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8A4BDC" w14:textId="77777777" w:rsidR="004B4E35" w:rsidRPr="00405303" w:rsidRDefault="009E6F82" w:rsidP="00C15251">
      <w:pPr>
        <w:shd w:val="clear" w:color="auto" w:fill="FFFFFF"/>
        <w:jc w:val="both"/>
        <w:rPr>
          <w:b/>
          <w:color w:val="002060"/>
          <w:sz w:val="16"/>
          <w:szCs w:val="16"/>
        </w:rPr>
      </w:pPr>
      <w:r w:rsidRPr="00405303">
        <w:rPr>
          <w:b/>
          <w:color w:val="002060"/>
          <w:sz w:val="16"/>
          <w:szCs w:val="16"/>
        </w:rPr>
        <w:t>1915</w:t>
      </w:r>
    </w:p>
    <w:p w14:paraId="558D3ACB" w14:textId="77777777" w:rsidR="004B4E35" w:rsidRPr="00405303" w:rsidRDefault="004B4E35" w:rsidP="00C15251">
      <w:pPr>
        <w:shd w:val="clear" w:color="auto" w:fill="FFFFFF"/>
        <w:jc w:val="both"/>
        <w:rPr>
          <w:bCs/>
          <w:color w:val="002060"/>
          <w:sz w:val="16"/>
          <w:szCs w:val="16"/>
        </w:rPr>
      </w:pPr>
    </w:p>
    <w:p w14:paraId="7C10F788"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31F51C89" w14:textId="77777777" w:rsidR="004B4E35" w:rsidRPr="00405303" w:rsidRDefault="004B4E35" w:rsidP="00C15251">
      <w:pPr>
        <w:shd w:val="clear" w:color="auto" w:fill="FFFFFF"/>
        <w:jc w:val="both"/>
        <w:rPr>
          <w:bCs/>
          <w:i/>
          <w:color w:val="002060"/>
          <w:sz w:val="16"/>
          <w:szCs w:val="16"/>
        </w:rPr>
      </w:pPr>
    </w:p>
    <w:p w14:paraId="23547EA0" w14:textId="77777777" w:rsidR="004B4E35" w:rsidRPr="00405303" w:rsidRDefault="009E6F82" w:rsidP="00C15251">
      <w:pPr>
        <w:jc w:val="both"/>
        <w:rPr>
          <w:bCs/>
          <w:color w:val="002060"/>
          <w:sz w:val="16"/>
          <w:szCs w:val="16"/>
        </w:rPr>
      </w:pPr>
      <w:r w:rsidRPr="00405303">
        <w:rPr>
          <w:bCs/>
          <w:color w:val="002060"/>
          <w:sz w:val="16"/>
          <w:szCs w:val="16"/>
        </w:rPr>
        <w:t>К январю 1915 года завод закончил постройку 10 воздушных кораблей по контракту с ГВТУ за № 2685/1515 от 12 мая 1914 года-4 машины модификации Б (№№ 135, 136, 137 и 139) и 6 машин модификации В (№№ 149, 150, 151, 157, 160 и 161).</w:t>
      </w:r>
    </w:p>
    <w:p w14:paraId="7B8A8535" w14:textId="77777777" w:rsidR="004B4E35" w:rsidRPr="00405303" w:rsidRDefault="009E6F82" w:rsidP="00C15251">
      <w:pPr>
        <w:jc w:val="both"/>
        <w:rPr>
          <w:bCs/>
          <w:color w:val="002060"/>
          <w:sz w:val="16"/>
          <w:szCs w:val="16"/>
        </w:rPr>
      </w:pPr>
      <w:r w:rsidRPr="00405303">
        <w:rPr>
          <w:bCs/>
          <w:color w:val="002060"/>
          <w:sz w:val="16"/>
          <w:szCs w:val="16"/>
        </w:rPr>
        <w:t xml:space="preserve">Как уже было сказано выше, в ноябре 1914 года из-за неудачных попыток использования "Муромцев" на фронте, исполнение работ по следующему контракту от 2 октября того же года на постройку 32 аэропланов по распоряжению Военного ведомства было приостановлено. Завод сосредоточил свои усилия на выполнении заказа на производство 45 лёгких аппаратов системы </w:t>
      </w:r>
      <w:proofErr w:type="gramStart"/>
      <w:r w:rsidRPr="00405303">
        <w:rPr>
          <w:bCs/>
          <w:color w:val="002060"/>
          <w:sz w:val="16"/>
          <w:szCs w:val="16"/>
        </w:rPr>
        <w:t>Сикор- ского</w:t>
      </w:r>
      <w:proofErr w:type="gramEnd"/>
      <w:r w:rsidRPr="00405303">
        <w:rPr>
          <w:bCs/>
          <w:color w:val="002060"/>
          <w:sz w:val="16"/>
          <w:szCs w:val="16"/>
        </w:rPr>
        <w:t>. Однако, этот заказ ни по стоимости, ни по значимости для завода не мог заменить заказа на "Муромцы".</w:t>
      </w:r>
    </w:p>
    <w:p w14:paraId="0C252E3B" w14:textId="77777777" w:rsidR="004B4E35" w:rsidRPr="00405303" w:rsidRDefault="009E6F82" w:rsidP="00C15251">
      <w:pPr>
        <w:jc w:val="both"/>
        <w:rPr>
          <w:bCs/>
          <w:color w:val="002060"/>
          <w:sz w:val="16"/>
          <w:szCs w:val="16"/>
        </w:rPr>
      </w:pPr>
      <w:r w:rsidRPr="00405303">
        <w:rPr>
          <w:bCs/>
          <w:color w:val="002060"/>
          <w:sz w:val="16"/>
          <w:szCs w:val="16"/>
        </w:rPr>
        <w:t>В январе 1915 года пожар главного корпуса завода махом решил несколько проблем - уничтожил весь задел "лёгких Си- корских", обеспечил заводу получение страховки и освободил производственные плошади для расширения производства "Муромцев". Несколько месяцев ушло на восстановление производства. В апреле 1915 года был снят запрет на исполнение работ по контракту от 2 октября и выпуск "Муромцев" был возобновлён. Срок исполнения заказа на 32 корабля был перенесён на 1 сентября 1915 года (с учётом 148 дней временной приостановки работ).</w:t>
      </w:r>
    </w:p>
    <w:p w14:paraId="096B372C" w14:textId="77777777" w:rsidR="004B4E35" w:rsidRPr="00405303" w:rsidRDefault="009E6F82" w:rsidP="00C15251">
      <w:pPr>
        <w:jc w:val="both"/>
        <w:rPr>
          <w:bCs/>
          <w:color w:val="002060"/>
          <w:sz w:val="16"/>
          <w:szCs w:val="16"/>
        </w:rPr>
      </w:pPr>
      <w:r w:rsidRPr="00405303">
        <w:rPr>
          <w:bCs/>
          <w:color w:val="002060"/>
          <w:sz w:val="16"/>
          <w:szCs w:val="16"/>
        </w:rPr>
        <w:t>В мае 1915 года воздухоплавательное отделение РБВЗ было реорганизовано в Рус- ско-Балтийский воздухоплавательный завод (или как его чаше называли "Авиа-Балт"). Его директором стал бывший заведующий отделением завода М.Ф. Климиксеев. В счёт утраченных при пожаре малых самолётов, 20 июня 1915 года завод заключил контракте ГВТУ за № 15976 на поставку ещё четырёх аэропланов типа "Илья Муромец" (№№ 158. 159, 163 и 165) с запасными частями на сумму 667.995 рублей. Казна платила за каждый корабль немалые деньги - цена не изменялась с 1914 года и составляла 150 тысяч рублей, тогда как одномоторный "маленький" аэроплан стоил от 7 до 14 тысяч.</w:t>
      </w:r>
    </w:p>
    <w:p w14:paraId="71304D20" w14:textId="77777777" w:rsidR="004B4E35" w:rsidRPr="00405303" w:rsidRDefault="009E6F82" w:rsidP="00C15251">
      <w:pPr>
        <w:jc w:val="both"/>
        <w:rPr>
          <w:bCs/>
          <w:color w:val="002060"/>
          <w:sz w:val="16"/>
          <w:szCs w:val="16"/>
        </w:rPr>
      </w:pPr>
      <w:r w:rsidRPr="00405303">
        <w:rPr>
          <w:bCs/>
          <w:color w:val="002060"/>
          <w:sz w:val="16"/>
          <w:szCs w:val="16"/>
        </w:rPr>
        <w:t>Как же собирались самолёты типа "Илья Муромец"? На заводе применялся метод по- агрегатной сборки. Сначала изготавливали и собирали отдельные части аппарата: фюзеляж, стойки шасси (центральные и две пары подмоторных), верхние и нижние планы (крылья), горизонтальное оперение. Нижний план в свою очередь собирался из двух располагаемых по бортам фюзеляжа подмоторных частей и двух присоединяемых к ним крайних, а верхний - из семи частей: двух надмоторных, двух крайних, двух приставочных поверхностей (так называемых над- крылков) и одной центральной части, располагаемой над фюзеляжем (в терминах того времени).</w:t>
      </w:r>
    </w:p>
    <w:p w14:paraId="650BC307" w14:textId="77777777" w:rsidR="004B4E35" w:rsidRPr="00405303" w:rsidRDefault="009E6F82" w:rsidP="00C15251">
      <w:pPr>
        <w:jc w:val="both"/>
        <w:rPr>
          <w:bCs/>
          <w:color w:val="002060"/>
          <w:sz w:val="16"/>
          <w:szCs w:val="16"/>
        </w:rPr>
      </w:pPr>
      <w:r w:rsidRPr="00405303">
        <w:rPr>
          <w:bCs/>
          <w:color w:val="002060"/>
          <w:sz w:val="16"/>
          <w:szCs w:val="16"/>
        </w:rPr>
        <w:t>Соответственные части верхнего и нижнего планов в мастерских завода собирались в коробки с помощью стоек и усиливались диагональными расчалками из струнной проволоки. Две моторные и две крайние коробки с надкрылками выверялись в стапелях и пригонялись друг к другу. Пока делались крылья, в сборочной мастерской устанавливался готовый фюзеляж, уже обтянутый материей и поставленный на центральное шасси, и над ним устанавливался центральный сектор верхнего плана. Затем к фюзеляжу крепилось горизонтальное оперение, состоявшее из двух консолей, и моторные коробки планов, под которые подводилось шасси. После этого на нижних планах коробок крыльев устанавливались фермы под моторы.</w:t>
      </w:r>
    </w:p>
    <w:p w14:paraId="0F45CDDF" w14:textId="77777777" w:rsidR="004B4E35" w:rsidRPr="00405303" w:rsidRDefault="009E6F82" w:rsidP="00C15251">
      <w:pPr>
        <w:jc w:val="both"/>
        <w:rPr>
          <w:bCs/>
          <w:color w:val="002060"/>
          <w:sz w:val="16"/>
          <w:szCs w:val="16"/>
        </w:rPr>
      </w:pPr>
      <w:r w:rsidRPr="00405303">
        <w:rPr>
          <w:bCs/>
          <w:color w:val="002060"/>
          <w:sz w:val="16"/>
          <w:szCs w:val="16"/>
        </w:rPr>
        <w:t>По окончании сборочных работ наступала очередь механиков, которые устанавливали двигатели на фермы, пригоняли к ним по месту бензо-, масло- и воздухопроводы, электрическую проводку и соответствующую арматуру, а также устанавливали бензиновые и масляные баки и измерительные приборы. По техническим условиям контракта баки для бензина и масла (с указателями уровня) должны были быть изготовлены из красной меди или латуни. Для управления высотой и боковыми наклонами аппарата ставился качающийся штурвал, для поворотов аппарата в горизонтальной плоскости - ножной рычаг. Кабина должна была оснащаться следующими приборами: двумя компасами, двумя барометрами-анероидами, двумя указателями скорости и часами с секундной стрелкой.</w:t>
      </w:r>
    </w:p>
    <w:p w14:paraId="44D91D75" w14:textId="77777777" w:rsidR="007F5B65" w:rsidRPr="00405303" w:rsidRDefault="009E6F82" w:rsidP="00C15251">
      <w:pPr>
        <w:jc w:val="both"/>
        <w:rPr>
          <w:bCs/>
          <w:color w:val="002060"/>
          <w:sz w:val="16"/>
          <w:szCs w:val="16"/>
        </w:rPr>
      </w:pPr>
      <w:r w:rsidRPr="00405303">
        <w:rPr>
          <w:bCs/>
          <w:color w:val="002060"/>
          <w:sz w:val="16"/>
          <w:szCs w:val="16"/>
        </w:rPr>
        <w:t>Этими действиями сборка аэроплана заканчивалась, он разбирался и пере- готовых фюзеляжей возился на Корпусной аэродром.</w:t>
      </w:r>
    </w:p>
    <w:p w14:paraId="4B0898C4" w14:textId="77777777" w:rsidR="004B4E35" w:rsidRPr="00405303" w:rsidRDefault="009E6F82" w:rsidP="00C15251">
      <w:pPr>
        <w:jc w:val="both"/>
        <w:rPr>
          <w:bCs/>
          <w:color w:val="002060"/>
          <w:sz w:val="16"/>
          <w:szCs w:val="16"/>
        </w:rPr>
      </w:pPr>
      <w:r w:rsidRPr="00405303">
        <w:rPr>
          <w:bCs/>
          <w:color w:val="002060"/>
          <w:sz w:val="16"/>
          <w:szCs w:val="16"/>
        </w:rPr>
        <w:t>Там в распоряжении завода имелись одна сборочная мастерская и два ангара на один аппарат каждый. В ангарах можно было полностью собирать корабль, т.е. хватало места для стыковки крайних коробок с надкрылками. В четырёх верстах от завода Военное ведомство предоставило три железных ангара, о назначении которых пойдёт речь ниже.</w:t>
      </w:r>
    </w:p>
    <w:p w14:paraId="23D96B20" w14:textId="77777777" w:rsidR="004B4E35" w:rsidRPr="00405303" w:rsidRDefault="009E6F82" w:rsidP="00C15251">
      <w:pPr>
        <w:jc w:val="both"/>
        <w:rPr>
          <w:bCs/>
          <w:color w:val="002060"/>
          <w:sz w:val="16"/>
          <w:szCs w:val="16"/>
        </w:rPr>
      </w:pPr>
      <w:r w:rsidRPr="00405303">
        <w:rPr>
          <w:bCs/>
          <w:color w:val="002060"/>
          <w:sz w:val="16"/>
          <w:szCs w:val="16"/>
        </w:rPr>
        <w:t>Доставленный с завода на Корпусной аэродром "Муромец", сначала поступал в сборочную мастерскую, где механиками производилась окончательная установка моторов. Такая работа занимала от трёх до четырёх дней.</w:t>
      </w:r>
    </w:p>
    <w:p w14:paraId="66EF6EE2" w14:textId="77777777" w:rsidR="004B4E35" w:rsidRPr="00405303" w:rsidRDefault="009E6F82" w:rsidP="00C15251">
      <w:pPr>
        <w:jc w:val="both"/>
        <w:rPr>
          <w:bCs/>
          <w:color w:val="002060"/>
          <w:sz w:val="16"/>
          <w:szCs w:val="16"/>
        </w:rPr>
      </w:pPr>
      <w:r w:rsidRPr="00405303">
        <w:rPr>
          <w:bCs/>
          <w:color w:val="002060"/>
          <w:sz w:val="16"/>
          <w:szCs w:val="16"/>
        </w:rPr>
        <w:t>Затем аппарат переводился в ангар, где к моторным планам присоединялись крайние коробки с надкрылками и производилась окончательная регулировка корабля, занимавшая два-три дня.</w:t>
      </w:r>
    </w:p>
    <w:p w14:paraId="0A7DC027" w14:textId="77777777" w:rsidR="004B4E35" w:rsidRPr="00405303" w:rsidRDefault="009E6F82" w:rsidP="00C15251">
      <w:pPr>
        <w:jc w:val="both"/>
        <w:rPr>
          <w:bCs/>
          <w:color w:val="002060"/>
          <w:sz w:val="16"/>
          <w:szCs w:val="16"/>
        </w:rPr>
      </w:pPr>
      <w:r w:rsidRPr="00405303">
        <w:rPr>
          <w:bCs/>
          <w:color w:val="002060"/>
          <w:sz w:val="16"/>
          <w:szCs w:val="16"/>
        </w:rPr>
        <w:t>Ещё день-два нужны были для регулировки двигателей.</w:t>
      </w:r>
    </w:p>
    <w:p w14:paraId="154148CD" w14:textId="77777777" w:rsidR="004B4E35" w:rsidRPr="00405303" w:rsidRDefault="009E6F82" w:rsidP="00C15251">
      <w:pPr>
        <w:jc w:val="both"/>
        <w:rPr>
          <w:bCs/>
          <w:color w:val="002060"/>
          <w:sz w:val="16"/>
          <w:szCs w:val="16"/>
        </w:rPr>
      </w:pPr>
      <w:r w:rsidRPr="00405303">
        <w:rPr>
          <w:bCs/>
          <w:color w:val="002060"/>
          <w:sz w:val="16"/>
          <w:szCs w:val="16"/>
        </w:rPr>
        <w:t>Таким образом, для подготовки "Муромца" к сдаточному полёту уходило от шести до девяти дней.</w:t>
      </w:r>
    </w:p>
    <w:p w14:paraId="04928F88" w14:textId="77777777" w:rsidR="004B4E35" w:rsidRPr="00405303" w:rsidRDefault="009E6F82" w:rsidP="00C15251">
      <w:pPr>
        <w:jc w:val="both"/>
        <w:rPr>
          <w:bCs/>
          <w:color w:val="002060"/>
          <w:sz w:val="16"/>
          <w:szCs w:val="16"/>
        </w:rPr>
      </w:pPr>
      <w:r w:rsidRPr="00405303">
        <w:rPr>
          <w:bCs/>
          <w:color w:val="002060"/>
          <w:sz w:val="16"/>
          <w:szCs w:val="16"/>
        </w:rPr>
        <w:t xml:space="preserve">После окончательной подготовки, аппараты должны были быть немедленно сданы и переправлены по воздуху (перелётом) в железные ангары Военного ведомства, так как условия местности не позволяли переправить самолёты "на руках". </w:t>
      </w:r>
    </w:p>
    <w:p w14:paraId="05990A95" w14:textId="77777777" w:rsidR="004B4E35" w:rsidRPr="00405303" w:rsidRDefault="009E6F82" w:rsidP="00C15251">
      <w:pPr>
        <w:jc w:val="both"/>
        <w:rPr>
          <w:bCs/>
          <w:color w:val="002060"/>
          <w:sz w:val="16"/>
          <w:szCs w:val="16"/>
        </w:rPr>
      </w:pPr>
      <w:r w:rsidRPr="00405303">
        <w:rPr>
          <w:bCs/>
          <w:color w:val="002060"/>
          <w:sz w:val="16"/>
          <w:szCs w:val="16"/>
        </w:rPr>
        <w:t>Мотор РБВЗ.6 Сдача "Муромцев" задерживалась тем, (РБЗ.В) 150л.с. что у завода не было собственного лётчика- сдатчика, приходилось запрашивать и ждать пилотов из Эскадры. Это обстоятельство ощутимо срывало сроки, и собранные самолёты только зря занимали немногочисленные ангары. Вскоре пришли к тому, что приёмку корабля можно проводить не только в Петрограде, но и в Эскадре, где за сдаточный полёт засчитывали первый боевой вылет.</w:t>
      </w:r>
    </w:p>
    <w:p w14:paraId="5B37B61E" w14:textId="77777777" w:rsidR="004B4E35" w:rsidRPr="00405303" w:rsidRDefault="009E6F82" w:rsidP="00C15251">
      <w:pPr>
        <w:jc w:val="both"/>
        <w:rPr>
          <w:bCs/>
          <w:color w:val="002060"/>
          <w:sz w:val="16"/>
          <w:szCs w:val="16"/>
        </w:rPr>
      </w:pPr>
      <w:r w:rsidRPr="00405303">
        <w:rPr>
          <w:bCs/>
          <w:color w:val="002060"/>
          <w:sz w:val="16"/>
          <w:szCs w:val="16"/>
        </w:rPr>
        <w:t>Выпуск самолётов модификации В ("остроносых" и "тупоносых") позволил несколько "утолить голод" Эскадры и наладить относительно регулярную боевую работу. Но Сикорский прекрасно понимал, что необходимо совершенствовать "Муромца", поскольку топтание на месте на самом деле вело назад.</w:t>
      </w:r>
    </w:p>
    <w:p w14:paraId="03527B63" w14:textId="77777777" w:rsidR="004B4E35" w:rsidRPr="00405303" w:rsidRDefault="009E6F82" w:rsidP="00C15251">
      <w:pPr>
        <w:jc w:val="both"/>
        <w:rPr>
          <w:bCs/>
          <w:color w:val="002060"/>
          <w:sz w:val="16"/>
          <w:szCs w:val="16"/>
        </w:rPr>
      </w:pPr>
      <w:r w:rsidRPr="00405303">
        <w:rPr>
          <w:bCs/>
          <w:color w:val="002060"/>
          <w:sz w:val="16"/>
          <w:szCs w:val="16"/>
        </w:rPr>
        <w:t>"Моторный голод" был ахиллесовой пятой российской авиации практически с самого её зарождения. Отсутствие отечественных моторов необходимой мощности и перебои с поставками из-за рубежа привели руководство РБВЗ к решению наладить на заводе и производство собственных двигателей. Дело это оказалось не столь простым и разработка, испытания и запуск производства заняли много времени. Тем не менее, в 1915 году на рижском отделении РБВЗ под руководством инженера В.В. Киреева был создан и испытан шестицилиндровый рядный двигатель РБВЗ.6 (РБ3.6) в 150 л.с. Установленные на "Муромце" тип В (№167) летом 1915 года, они показали себя с самой лучшей стороны, мало уступая германским "Аргусам".</w:t>
      </w:r>
    </w:p>
    <w:p w14:paraId="0E543A51" w14:textId="77777777" w:rsidR="004B4E35" w:rsidRPr="00405303" w:rsidRDefault="009E6F82" w:rsidP="00C15251">
      <w:pPr>
        <w:jc w:val="both"/>
        <w:rPr>
          <w:bCs/>
          <w:color w:val="002060"/>
          <w:sz w:val="16"/>
          <w:szCs w:val="16"/>
        </w:rPr>
      </w:pPr>
      <w:r w:rsidRPr="00405303">
        <w:rPr>
          <w:bCs/>
          <w:color w:val="002060"/>
          <w:sz w:val="16"/>
          <w:szCs w:val="16"/>
        </w:rPr>
        <w:t>Эвакуация рижского'завода осенью 1915 года не позволила расширить выпуск двигателей. В Москве к этому времени наладили лицензионный выпуск "Сальмсонов" М9 в 150 л.с., но не слишком удачный опыт их эксплуатации на "Муромцах" из-за большого лобового сопротивления, привёл к отказу от их использования.</w:t>
      </w:r>
    </w:p>
    <w:p w14:paraId="504DF57E" w14:textId="77777777" w:rsidR="004B4E35" w:rsidRPr="00405303" w:rsidRDefault="009E6F82" w:rsidP="00C15251">
      <w:pPr>
        <w:jc w:val="both"/>
        <w:rPr>
          <w:bCs/>
          <w:color w:val="002060"/>
          <w:sz w:val="16"/>
          <w:szCs w:val="16"/>
        </w:rPr>
      </w:pPr>
      <w:r w:rsidRPr="00405303">
        <w:rPr>
          <w:bCs/>
          <w:color w:val="002060"/>
          <w:sz w:val="16"/>
          <w:szCs w:val="16"/>
        </w:rPr>
        <w:t>Пока суть да дело, было решено закупить в Великобритании восьмицилиндровые V-образные двигатели водяного охлаждения "Санбим" в 150 л.с. На практике закупленные двигатели развивали не более 130 л.с., что заметно снижало боевые качества "Муромцев". В эксплуатации "Санбимы" оказались капризными и ненадёжными. Впервые установленные на них лобовые радиаторы заметно повышали сопротивление. Рекламации шли из Эскадры широким потоком, двигатели в массовом порядке отправлялись обратно на переборку и доработку. Но выбирать было не из чего...</w:t>
      </w:r>
    </w:p>
    <w:p w14:paraId="59CFB8DD" w14:textId="77777777" w:rsidR="004B4E35" w:rsidRPr="00405303" w:rsidRDefault="009E6F82" w:rsidP="00C15251">
      <w:pPr>
        <w:jc w:val="both"/>
        <w:rPr>
          <w:bCs/>
          <w:color w:val="002060"/>
          <w:sz w:val="16"/>
          <w:szCs w:val="16"/>
        </w:rPr>
      </w:pPr>
      <w:r w:rsidRPr="00405303">
        <w:rPr>
          <w:bCs/>
          <w:color w:val="002060"/>
          <w:sz w:val="16"/>
          <w:szCs w:val="16"/>
        </w:rPr>
        <w:t>Шидловский и Сикорский решили пойти на изменение конструкции для улучшения лётных характеристик своих воздушных гигантов. Улучшения было решено добиваться двумя путями. Первый путь заключался в совершенствовании винтомоторной установки, второй - в совершенствовании самого самолёта.</w:t>
      </w:r>
    </w:p>
    <w:p w14:paraId="10F3EB2D" w14:textId="77777777" w:rsidR="004B4E35" w:rsidRPr="00405303" w:rsidRDefault="009E6F82" w:rsidP="00C15251">
      <w:pPr>
        <w:jc w:val="both"/>
        <w:rPr>
          <w:bCs/>
          <w:color w:val="002060"/>
          <w:sz w:val="16"/>
          <w:szCs w:val="16"/>
        </w:rPr>
      </w:pPr>
      <w:r w:rsidRPr="00405303">
        <w:rPr>
          <w:bCs/>
          <w:color w:val="002060"/>
          <w:sz w:val="16"/>
          <w:szCs w:val="16"/>
        </w:rPr>
        <w:t>В первом направлении Сикорский решил уменьшить сопротивление двигательной установки и повысить КПД винтов. Во втором - увеличить площадь крыла и поддержать удельную нагрузку на крыло на прежнем уровне (12041).</w:t>
      </w:r>
    </w:p>
    <w:p w14:paraId="7891DE9B" w14:textId="77777777" w:rsidR="004B4E35" w:rsidRPr="00405303" w:rsidRDefault="004B4E35" w:rsidP="00C15251">
      <w:pPr>
        <w:jc w:val="both"/>
        <w:rPr>
          <w:bCs/>
          <w:color w:val="002060"/>
          <w:sz w:val="16"/>
          <w:szCs w:val="16"/>
        </w:rPr>
      </w:pPr>
    </w:p>
    <w:p w14:paraId="0F15E88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 1915 г. на “Дукс” для различных типов строившихся на заводе самолетов освоили выпуск стрелко</w:t>
      </w:r>
      <w:r w:rsidRPr="00405303">
        <w:rPr>
          <w:bCs/>
          <w:color w:val="002060"/>
          <w:sz w:val="16"/>
          <w:szCs w:val="16"/>
        </w:rPr>
        <w:softHyphen/>
        <w:t>вых установок с перемещающимся по кольцу шкворнем с пулеметом (9651).</w:t>
      </w:r>
    </w:p>
    <w:p w14:paraId="56866593" w14:textId="77777777" w:rsidR="004B4E35" w:rsidRPr="00405303" w:rsidRDefault="004B4E35" w:rsidP="00C15251">
      <w:pPr>
        <w:shd w:val="clear" w:color="auto" w:fill="FFFFFF"/>
        <w:jc w:val="both"/>
        <w:rPr>
          <w:bCs/>
          <w:color w:val="002060"/>
          <w:sz w:val="16"/>
          <w:szCs w:val="16"/>
        </w:rPr>
      </w:pPr>
    </w:p>
    <w:p w14:paraId="5092CE7F" w14:textId="77777777" w:rsidR="007F5B65" w:rsidRPr="00405303" w:rsidRDefault="007F5B65"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К 1915 году С.-Петербургский завод В. А. Лебедева получил заказ выпустить 60 “Моранов", но выполнена была только половина заказа.</w:t>
      </w:r>
    </w:p>
    <w:p w14:paraId="2B08CA1C" w14:textId="77777777" w:rsidR="007F5B65" w:rsidRPr="00405303" w:rsidRDefault="007F5B65"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Наиболее мощное производство русских "Моранов" развернулось на заводе "Дукс" в Москве. Его владельцем был обрусевший немец Ю. А. Меллер, сменивший с началом войны фамилию на Брежнева. Завод, под его руководством, отдавал предпочтение иностранным, надежно освоенным машинам. Довоенное производство на </w:t>
      </w:r>
      <w:r w:rsidRPr="00405303">
        <w:rPr>
          <w:bCs/>
          <w:i w:val="0"/>
          <w:color w:val="002060"/>
          <w:spacing w:val="0"/>
          <w:kern w:val="0"/>
          <w:position w:val="0"/>
          <w:sz w:val="16"/>
          <w:szCs w:val="16"/>
        </w:rPr>
        <w:lastRenderedPageBreak/>
        <w:t>предприятии составляло 10-12 самолетов в месяц, треть из которых – “Мораны" типов G, Н и L Кроме того, только завод "Дукс" совместно с Аэротехническим заводом строил эти самолеты с лыжным шасси. После начала боевых действий выпуск резко возрос.</w:t>
      </w:r>
    </w:p>
    <w:p w14:paraId="0B3E6433" w14:textId="77777777" w:rsidR="007F5B65" w:rsidRPr="00405303" w:rsidRDefault="007F5B65"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Московский завод итальянского конструктора Моска выпускал в среднем по 5 самолетов в месяц, это были "Ньюпоры" и “Мораиы" типов G и Н. В 1916 году Моска начал производство самолета собственной конструкции - "Моска МБ", являвшегося ничем иным, как несколько видоизмененным аналогом "Морана".</w:t>
      </w:r>
    </w:p>
    <w:p w14:paraId="7396ABB3" w14:textId="77777777" w:rsidR="007F5B65" w:rsidRPr="00405303" w:rsidRDefault="007F5B65"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Небольшое количество "Моранов" G произвел перед войной завод А. А. Анатра в Одессе (11265).</w:t>
      </w:r>
    </w:p>
    <w:p w14:paraId="7645F48D" w14:textId="77777777" w:rsidR="007F5B65" w:rsidRPr="00405303" w:rsidRDefault="007F5B65" w:rsidP="00C15251">
      <w:pPr>
        <w:pStyle w:val="a3"/>
        <w:jc w:val="both"/>
        <w:rPr>
          <w:bCs/>
          <w:i w:val="0"/>
          <w:color w:val="002060"/>
          <w:spacing w:val="0"/>
          <w:kern w:val="0"/>
          <w:position w:val="0"/>
          <w:sz w:val="16"/>
          <w:szCs w:val="16"/>
        </w:rPr>
      </w:pPr>
    </w:p>
    <w:p w14:paraId="74C3AF3E" w14:textId="77777777" w:rsidR="007F5B65" w:rsidRPr="00405303" w:rsidRDefault="007F5B65" w:rsidP="00C15251">
      <w:pPr>
        <w:shd w:val="clear" w:color="auto" w:fill="FFFFFF"/>
        <w:jc w:val="both"/>
        <w:rPr>
          <w:bCs/>
          <w:color w:val="002060"/>
          <w:sz w:val="16"/>
          <w:szCs w:val="16"/>
        </w:rPr>
      </w:pPr>
      <w:r w:rsidRPr="00405303">
        <w:rPr>
          <w:bCs/>
          <w:color w:val="002060"/>
          <w:sz w:val="16"/>
          <w:szCs w:val="16"/>
        </w:rPr>
        <w:t>К 1915 году «Червоннским авиационным завод» было выпущено 12 самолетов. Пред</w:t>
      </w:r>
      <w:r w:rsidRPr="00405303">
        <w:rPr>
          <w:bCs/>
          <w:color w:val="002060"/>
          <w:sz w:val="16"/>
          <w:szCs w:val="16"/>
        </w:rPr>
        <w:softHyphen/>
        <w:t>полагалось перевести завод из Червонного в Киев и довести его производительность до 150 самолетов в год. Однако этим планам не суждено было осущест</w:t>
      </w:r>
      <w:r w:rsidRPr="00405303">
        <w:rPr>
          <w:bCs/>
          <w:color w:val="002060"/>
          <w:sz w:val="16"/>
          <w:szCs w:val="16"/>
        </w:rPr>
        <w:softHyphen/>
        <w:t>виться. Осенью 1915 года из-за приближения фронта Червоннский авиационный завод эвакуировали в Москву, продали акционерному обществу «Дукс», и он прекратил свое существование как самостоятель</w:t>
      </w:r>
      <w:r w:rsidRPr="00405303">
        <w:rPr>
          <w:bCs/>
          <w:color w:val="002060"/>
          <w:sz w:val="16"/>
          <w:szCs w:val="16"/>
        </w:rPr>
        <w:softHyphen/>
        <w:t>ное предприятие (553).</w:t>
      </w:r>
    </w:p>
    <w:p w14:paraId="1226DEA1" w14:textId="77777777" w:rsidR="007F5B65" w:rsidRPr="00405303" w:rsidRDefault="007F5B65" w:rsidP="00C15251">
      <w:pPr>
        <w:shd w:val="clear" w:color="auto" w:fill="FFFFFF"/>
        <w:jc w:val="both"/>
        <w:rPr>
          <w:bCs/>
          <w:color w:val="002060"/>
          <w:sz w:val="16"/>
          <w:szCs w:val="16"/>
        </w:rPr>
      </w:pPr>
    </w:p>
    <w:p w14:paraId="1BCD2ED2" w14:textId="3FF7F5B4" w:rsidR="00197F16" w:rsidRPr="00405303" w:rsidRDefault="00197F16" w:rsidP="00C15251">
      <w:pPr>
        <w:jc w:val="both"/>
        <w:rPr>
          <w:bCs/>
          <w:i/>
          <w:color w:val="002060"/>
          <w:sz w:val="16"/>
          <w:szCs w:val="16"/>
        </w:rPr>
      </w:pPr>
      <w:r w:rsidRPr="00405303">
        <w:rPr>
          <w:bCs/>
          <w:i/>
          <w:color w:val="002060"/>
          <w:sz w:val="16"/>
          <w:szCs w:val="16"/>
        </w:rPr>
        <w:t>Другие оборонные отрасли:</w:t>
      </w:r>
    </w:p>
    <w:p w14:paraId="2989E716" w14:textId="77777777" w:rsidR="00197F16" w:rsidRPr="00405303" w:rsidRDefault="00197F16" w:rsidP="00C15251">
      <w:pPr>
        <w:jc w:val="both"/>
        <w:rPr>
          <w:bCs/>
          <w:i/>
          <w:color w:val="002060"/>
          <w:sz w:val="16"/>
          <w:szCs w:val="16"/>
        </w:rPr>
      </w:pPr>
    </w:p>
    <w:p w14:paraId="2A7304B2" w14:textId="77777777" w:rsidR="00197F16" w:rsidRPr="00405303" w:rsidRDefault="00197F16" w:rsidP="00C15251">
      <w:pPr>
        <w:pStyle w:val="ae"/>
        <w:spacing w:before="0" w:beforeAutospacing="0" w:after="0" w:afterAutospacing="0"/>
        <w:jc w:val="both"/>
        <w:rPr>
          <w:bCs/>
          <w:color w:val="002060"/>
          <w:sz w:val="16"/>
          <w:szCs w:val="16"/>
        </w:rPr>
      </w:pPr>
      <w:r w:rsidRPr="00405303">
        <w:rPr>
          <w:bCs/>
          <w:color w:val="002060"/>
          <w:sz w:val="16"/>
          <w:szCs w:val="16"/>
        </w:rPr>
        <w:t>Армия встречала 1915 г., не имея снарядов. Все запасы военного ведомства были исчерпаны. Начался тот систематический снарядный голод, который поставил армию весной и летом 1915 г. в катастрофическое положение. Н. Н. Янушкевич — начальник Штаба верховного главнокомандующего — говорил в ноябре 1914 г. военным представителям союзников при Ставке Лагишу (Франция) и Вильямсу (Англия), что «мы ощущаем серьезный недостаток в артиллерийском снабжении» и «это обстоятельство сильно повлияет на наши дальнейшие стратегические предположения»</w:t>
      </w:r>
      <w:bookmarkStart w:id="0" w:name="50r"/>
      <w:bookmarkEnd w:id="0"/>
      <w:r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"50p" </w:instrText>
      </w:r>
      <w:r w:rsidRPr="00405303">
        <w:rPr>
          <w:bCs/>
          <w:color w:val="002060"/>
          <w:sz w:val="16"/>
          <w:szCs w:val="16"/>
          <w:vertAlign w:val="superscript"/>
        </w:rPr>
      </w:r>
      <w:r w:rsidRPr="00405303">
        <w:rPr>
          <w:bCs/>
          <w:color w:val="002060"/>
          <w:sz w:val="16"/>
          <w:szCs w:val="16"/>
          <w:vertAlign w:val="superscript"/>
        </w:rPr>
        <w:fldChar w:fldCharType="separate"/>
      </w:r>
      <w:r w:rsidRPr="00405303">
        <w:rPr>
          <w:rStyle w:val="ad"/>
          <w:bCs/>
          <w:color w:val="002060"/>
          <w:sz w:val="16"/>
          <w:szCs w:val="16"/>
          <w:vertAlign w:val="superscript"/>
        </w:rPr>
        <w:t>50</w:t>
      </w:r>
      <w:r w:rsidRPr="00405303">
        <w:rPr>
          <w:bCs/>
          <w:color w:val="002060"/>
          <w:sz w:val="16"/>
          <w:szCs w:val="16"/>
          <w:vertAlign w:val="superscript"/>
        </w:rPr>
        <w:fldChar w:fldCharType="end"/>
      </w:r>
      <w:r w:rsidRPr="00405303">
        <w:rPr>
          <w:bCs/>
          <w:color w:val="002060"/>
          <w:sz w:val="16"/>
          <w:szCs w:val="16"/>
        </w:rPr>
        <w:t>.</w:t>
      </w:r>
    </w:p>
    <w:p w14:paraId="1987E201" w14:textId="77777777" w:rsidR="00197F16" w:rsidRPr="00405303" w:rsidRDefault="00197F16" w:rsidP="00C15251">
      <w:pPr>
        <w:pStyle w:val="ae"/>
        <w:spacing w:before="0" w:beforeAutospacing="0" w:after="0" w:afterAutospacing="0"/>
        <w:jc w:val="both"/>
        <w:rPr>
          <w:bCs/>
          <w:color w:val="002060"/>
          <w:sz w:val="16"/>
          <w:szCs w:val="16"/>
        </w:rPr>
      </w:pPr>
      <w:r w:rsidRPr="00405303">
        <w:rPr>
          <w:bCs/>
          <w:color w:val="002060"/>
          <w:sz w:val="16"/>
          <w:szCs w:val="16"/>
        </w:rPr>
        <w:t>В ответе Н. Н. Янушкевича Н. И. Иванову на его настойчивые, повторные требования снарядов рисуется действительное положение вещей. «Что положение с патронами грозное, — пишет Н. Н. Янушкевич, — было известно вашему высокопревосходительству еще 11 октября, когда парков имелось 16 во фронте. Что парков можно в среднем получить не свыше 9 на оба фронта до марта — заявлялось мною вам три раза с указанием, что на вверенный вам фронт будет выпускаться в месяц от 4 до 5 парков, не более... Таким образом, какие бы ни были требования армий Юго-Западного фронта, они не могут и не будут удовлетворены за полной к тому невозможностью. Максимум за декабрь — это 5 парков, с ними и надо вести дело. Этим считаю все объяснения по вопросам снабжения патронами исчерпаны. Положение вопроса давно известно не только военному министру, но даже его величеству. Штаб верховного главнокомандующего не заготовляет патронов и невозможного сделать не может»</w:t>
      </w:r>
      <w:bookmarkStart w:id="1" w:name="51r"/>
      <w:bookmarkEnd w:id="1"/>
      <w:r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"51p" </w:instrText>
      </w:r>
      <w:r w:rsidRPr="00405303">
        <w:rPr>
          <w:bCs/>
          <w:color w:val="002060"/>
          <w:sz w:val="16"/>
          <w:szCs w:val="16"/>
          <w:vertAlign w:val="superscript"/>
        </w:rPr>
      </w:r>
      <w:r w:rsidRPr="00405303">
        <w:rPr>
          <w:bCs/>
          <w:color w:val="002060"/>
          <w:sz w:val="16"/>
          <w:szCs w:val="16"/>
          <w:vertAlign w:val="superscript"/>
        </w:rPr>
        <w:fldChar w:fldCharType="separate"/>
      </w:r>
      <w:r w:rsidRPr="00405303">
        <w:rPr>
          <w:rStyle w:val="ad"/>
          <w:bCs/>
          <w:color w:val="002060"/>
          <w:sz w:val="16"/>
          <w:szCs w:val="16"/>
          <w:vertAlign w:val="superscript"/>
        </w:rPr>
        <w:t>51</w:t>
      </w:r>
      <w:r w:rsidRPr="00405303">
        <w:rPr>
          <w:bCs/>
          <w:color w:val="002060"/>
          <w:sz w:val="16"/>
          <w:szCs w:val="16"/>
          <w:vertAlign w:val="superscript"/>
        </w:rPr>
        <w:fldChar w:fldCharType="end"/>
      </w:r>
      <w:r w:rsidRPr="00405303">
        <w:rPr>
          <w:bCs/>
          <w:color w:val="002060"/>
          <w:sz w:val="16"/>
          <w:szCs w:val="16"/>
        </w:rPr>
        <w:t>.</w:t>
      </w:r>
    </w:p>
    <w:p w14:paraId="0CF602D4" w14:textId="77777777" w:rsidR="00197F16" w:rsidRPr="00405303" w:rsidRDefault="00197F16" w:rsidP="00C15251">
      <w:pPr>
        <w:pStyle w:val="ae"/>
        <w:spacing w:before="0" w:beforeAutospacing="0" w:after="0" w:afterAutospacing="0"/>
        <w:jc w:val="both"/>
        <w:rPr>
          <w:bCs/>
          <w:color w:val="002060"/>
          <w:sz w:val="16"/>
          <w:szCs w:val="16"/>
        </w:rPr>
      </w:pPr>
      <w:r w:rsidRPr="00405303">
        <w:rPr>
          <w:bCs/>
          <w:color w:val="002060"/>
          <w:sz w:val="16"/>
          <w:szCs w:val="16"/>
        </w:rPr>
        <w:t>Это письмо раскрывает катастрофическое положение русской армии в декабре 1914 г. Все возможные запасы снарядов были уже расстреляны, а текущее пополнение сокращалось в 3 раза даже по сравнению с недостаточным поступлением снарядов за последние месяцы. До марта 1915 г. Н. Н. Янушкевич не обещал никакого улучшения. В действительности такое безвыходное положение продолжалось до осени 1915 г., так как с марта по август намечалось изготовлять по 12 парков, а с августа — по 32 парка</w:t>
      </w:r>
      <w:bookmarkStart w:id="2" w:name="52r"/>
      <w:bookmarkEnd w:id="2"/>
      <w:r w:rsidRPr="00405303">
        <w:rPr>
          <w:bCs/>
          <w:color w:val="002060"/>
          <w:sz w:val="16"/>
          <w:szCs w:val="16"/>
        </w:rPr>
        <w:t>.</w:t>
      </w:r>
    </w:p>
    <w:p w14:paraId="54D736E9" w14:textId="77777777" w:rsidR="00197F16" w:rsidRPr="00405303" w:rsidRDefault="00197F16" w:rsidP="00C15251">
      <w:pPr>
        <w:pStyle w:val="ae"/>
        <w:spacing w:before="0" w:beforeAutospacing="0" w:after="0" w:afterAutospacing="0"/>
        <w:jc w:val="both"/>
        <w:rPr>
          <w:bCs/>
          <w:color w:val="002060"/>
          <w:sz w:val="16"/>
          <w:szCs w:val="16"/>
        </w:rPr>
      </w:pPr>
      <w:r w:rsidRPr="00405303">
        <w:rPr>
          <w:bCs/>
          <w:color w:val="002060"/>
          <w:sz w:val="16"/>
          <w:szCs w:val="16"/>
        </w:rPr>
        <w:t>Получив ответ от Н. Н. Янушкевича, Н. И. Иванов, видимо, не понял действительной глубины переживаемого кризиса в снабжении армии. 10 декабря 1914 г. он послал подробный мотивированный ответ с просьбой представить его верховному главнокомандующему, так как «по долгу службы не смею считать, что Ваша телеграмма исчерпывает столь важный и ответственный вопрос»</w:t>
      </w:r>
      <w:bookmarkStart w:id="3" w:name="53r"/>
      <w:bookmarkEnd w:id="3"/>
      <w:r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"53p" </w:instrText>
      </w:r>
      <w:r w:rsidRPr="00405303">
        <w:rPr>
          <w:bCs/>
          <w:color w:val="002060"/>
          <w:sz w:val="16"/>
          <w:szCs w:val="16"/>
          <w:vertAlign w:val="superscript"/>
        </w:rPr>
      </w:r>
      <w:r w:rsidRPr="00405303">
        <w:rPr>
          <w:bCs/>
          <w:color w:val="002060"/>
          <w:sz w:val="16"/>
          <w:szCs w:val="16"/>
          <w:vertAlign w:val="superscript"/>
        </w:rPr>
        <w:fldChar w:fldCharType="separate"/>
      </w:r>
      <w:r w:rsidRPr="00405303">
        <w:rPr>
          <w:rStyle w:val="ad"/>
          <w:bCs/>
          <w:color w:val="002060"/>
          <w:sz w:val="16"/>
          <w:szCs w:val="16"/>
          <w:vertAlign w:val="superscript"/>
        </w:rPr>
        <w:t>53</w:t>
      </w:r>
      <w:r w:rsidRPr="00405303">
        <w:rPr>
          <w:bCs/>
          <w:color w:val="002060"/>
          <w:sz w:val="16"/>
          <w:szCs w:val="16"/>
          <w:vertAlign w:val="superscript"/>
        </w:rPr>
        <w:fldChar w:fldCharType="end"/>
      </w:r>
      <w:r w:rsidRPr="00405303">
        <w:rPr>
          <w:bCs/>
          <w:color w:val="002060"/>
          <w:sz w:val="16"/>
          <w:szCs w:val="16"/>
        </w:rPr>
        <w:t>.</w:t>
      </w:r>
    </w:p>
    <w:p w14:paraId="5F6275D0" w14:textId="77777777" w:rsidR="00197F16" w:rsidRPr="00405303" w:rsidRDefault="00197F16" w:rsidP="00C15251">
      <w:pPr>
        <w:pStyle w:val="ae"/>
        <w:spacing w:before="0" w:beforeAutospacing="0" w:after="0" w:afterAutospacing="0"/>
        <w:jc w:val="both"/>
        <w:rPr>
          <w:bCs/>
          <w:color w:val="002060"/>
          <w:sz w:val="16"/>
          <w:szCs w:val="16"/>
        </w:rPr>
      </w:pPr>
      <w:r w:rsidRPr="00405303">
        <w:rPr>
          <w:bCs/>
          <w:color w:val="002060"/>
          <w:sz w:val="16"/>
          <w:szCs w:val="16"/>
        </w:rPr>
        <w:t>Верховный главнокомандующий также не мог помочь делу, ибо «вопрос» заключался не в распределении снарядов, а в организации их производства, в работе тыла (18524).</w:t>
      </w:r>
      <w:bookmarkStart w:id="4" w:name="03"/>
      <w:bookmarkEnd w:id="4"/>
    </w:p>
    <w:p w14:paraId="5F4E9F5A" w14:textId="77777777" w:rsidR="00197F16" w:rsidRPr="00405303" w:rsidRDefault="00197F16" w:rsidP="00C15251">
      <w:pPr>
        <w:pStyle w:val="ae"/>
        <w:spacing w:before="0" w:beforeAutospacing="0" w:after="0" w:afterAutospacing="0"/>
        <w:jc w:val="both"/>
        <w:rPr>
          <w:bCs/>
          <w:color w:val="002060"/>
          <w:sz w:val="16"/>
          <w:szCs w:val="16"/>
        </w:rPr>
      </w:pPr>
    </w:p>
    <w:p w14:paraId="66442406" w14:textId="77777777" w:rsidR="00197F16" w:rsidRPr="00405303" w:rsidRDefault="00197F16" w:rsidP="00C15251">
      <w:pPr>
        <w:pStyle w:val="p1"/>
        <w:spacing w:before="0" w:beforeAutospacing="0" w:after="0" w:afterAutospacing="0"/>
        <w:jc w:val="both"/>
        <w:rPr>
          <w:bCs/>
          <w:color w:val="002060"/>
          <w:sz w:val="16"/>
          <w:szCs w:val="16"/>
        </w:rPr>
      </w:pPr>
      <w:r w:rsidRPr="00405303">
        <w:rPr>
          <w:bCs/>
          <w:color w:val="002060"/>
          <w:sz w:val="16"/>
          <w:szCs w:val="16"/>
        </w:rPr>
        <w:t xml:space="preserve">К 1915 г. на Петроградском орудийном заводе половина всех производственных площадей приходилась на третьи этажи (в 1900 г. третьих этажей вовсе не было), еще 37% — на вторые этажи, что не отвечало правильной постановке дела; все теснее становилось во дворах. Здания цехов постепенно достраивались и надстраивались. Многие из 850 размещенных в этой тесноте станков были «малогодны, изношены и неэкономичны»; предстояло добавить еще сотни новых. Сказывалась недостаточность пространства в сборочных мастерских и в магазине; завод жаловался на то, что нет раздевален, столовая и приемный покой тесны; жилого дома для администрации нет. Нет бронзо- и </w:t>
      </w:r>
      <w:proofErr w:type="gramStart"/>
      <w:r w:rsidRPr="00405303">
        <w:rPr>
          <w:bCs/>
          <w:color w:val="002060"/>
          <w:sz w:val="16"/>
          <w:szCs w:val="16"/>
        </w:rPr>
        <w:t>чугуно-литейной</w:t>
      </w:r>
      <w:proofErr w:type="gramEnd"/>
      <w:r w:rsidRPr="00405303">
        <w:rPr>
          <w:bCs/>
          <w:color w:val="002060"/>
          <w:sz w:val="16"/>
          <w:szCs w:val="16"/>
        </w:rPr>
        <w:t>, «вследствие чего постоянная и мелочная зависимость от Арсенала и частных поставщиков»; «почти нет кузницы… полное отсутствие складов, навесов для ввозимых и вывозимых предметов; уголь и дрова помещаются в Арсенале». В дальнейшем «не только немыслимо самое ничтожное расширение завода, но и… перейден предел в смысле удобства работ и безопасности» (18366).</w:t>
      </w:r>
    </w:p>
    <w:p w14:paraId="5F26DC56" w14:textId="77777777" w:rsidR="00197F16" w:rsidRPr="00405303" w:rsidRDefault="00197F16" w:rsidP="00C15251">
      <w:pPr>
        <w:pStyle w:val="p1"/>
        <w:spacing w:before="0" w:beforeAutospacing="0" w:after="0" w:afterAutospacing="0"/>
        <w:jc w:val="both"/>
        <w:rPr>
          <w:bCs/>
          <w:color w:val="002060"/>
          <w:sz w:val="16"/>
          <w:szCs w:val="16"/>
        </w:rPr>
      </w:pPr>
    </w:p>
    <w:p w14:paraId="70DFA721" w14:textId="77777777" w:rsidR="00197F16" w:rsidRPr="00405303" w:rsidRDefault="00197F16" w:rsidP="00C15251">
      <w:pPr>
        <w:pStyle w:val="ae"/>
        <w:spacing w:before="0" w:beforeAutospacing="0" w:after="0" w:afterAutospacing="0"/>
        <w:jc w:val="both"/>
        <w:rPr>
          <w:bCs/>
          <w:color w:val="002060"/>
          <w:sz w:val="16"/>
          <w:szCs w:val="16"/>
        </w:rPr>
      </w:pPr>
      <w:r w:rsidRPr="00405303">
        <w:rPr>
          <w:bCs/>
          <w:color w:val="002060"/>
          <w:sz w:val="16"/>
          <w:szCs w:val="16"/>
        </w:rPr>
        <w:t xml:space="preserve">К 1915 г. годовая потребность в взрывчатых веществах исчислялась в 4.400.000 пудах, что в 15 раз превосходило общее довоенное производство взрывчатых веществ. Большинство русских заказов на порох давалось американской фирме Дюпон, но к заказам были привлечены и другие американские фирмы: «Геркулес», группа Моргана, «Провиданс», «Ноннабо», «Обаньон». Заказы пороха и взрывчатых веществ выполнялись в Америке исправно как в отношении сроков поставки, так и в отношении качества продукции. Размещались заказы на производство взрывчатых веществ и в Англии, Италии, Японии, Франции. Всего для русской армии в период войны 1914–1917 гг. было заготовлено 6 млн. пудов </w:t>
      </w:r>
      <w:proofErr w:type="gramStart"/>
      <w:r w:rsidRPr="00405303">
        <w:rPr>
          <w:bCs/>
          <w:color w:val="002060"/>
          <w:sz w:val="16"/>
          <w:szCs w:val="16"/>
        </w:rPr>
        <w:t>взрывчатых веществ</w:t>
      </w:r>
      <w:proofErr w:type="gramEnd"/>
      <w:r w:rsidRPr="00405303">
        <w:rPr>
          <w:bCs/>
          <w:color w:val="002060"/>
          <w:sz w:val="16"/>
          <w:szCs w:val="16"/>
        </w:rPr>
        <w:t xml:space="preserve"> из которых 3.228.000 пудов, или 62%, получено из-за границы (18515).</w:t>
      </w:r>
    </w:p>
    <w:p w14:paraId="4F1B9FAA" w14:textId="77777777" w:rsidR="00197F16" w:rsidRPr="00405303" w:rsidRDefault="00197F16" w:rsidP="00C15251">
      <w:pPr>
        <w:pStyle w:val="ae"/>
        <w:spacing w:before="0" w:beforeAutospacing="0" w:after="0" w:afterAutospacing="0"/>
        <w:jc w:val="both"/>
        <w:rPr>
          <w:bCs/>
          <w:color w:val="002060"/>
          <w:sz w:val="16"/>
          <w:szCs w:val="16"/>
        </w:rPr>
      </w:pPr>
    </w:p>
    <w:p w14:paraId="0CF32A86" w14:textId="77777777" w:rsidR="00197F16" w:rsidRPr="00405303" w:rsidRDefault="00197F16" w:rsidP="00C15251">
      <w:pPr>
        <w:jc w:val="both"/>
        <w:rPr>
          <w:bCs/>
          <w:color w:val="002060"/>
          <w:sz w:val="16"/>
          <w:szCs w:val="16"/>
        </w:rPr>
      </w:pPr>
      <w:r w:rsidRPr="00405303">
        <w:rPr>
          <w:bCs/>
          <w:color w:val="002060"/>
          <w:sz w:val="16"/>
          <w:szCs w:val="16"/>
        </w:rPr>
        <w:t>К январю 1915 года Сормовским заводом было поставлено 373 трактора Холта.</w:t>
      </w:r>
    </w:p>
    <w:p w14:paraId="67B318EA" w14:textId="77777777" w:rsidR="00197F16" w:rsidRPr="00405303" w:rsidRDefault="00197F16" w:rsidP="00C15251">
      <w:pPr>
        <w:jc w:val="both"/>
        <w:rPr>
          <w:bCs/>
          <w:color w:val="002060"/>
          <w:sz w:val="16"/>
          <w:szCs w:val="16"/>
        </w:rPr>
      </w:pPr>
      <w:r w:rsidRPr="00405303">
        <w:rPr>
          <w:bCs/>
          <w:color w:val="002060"/>
          <w:sz w:val="16"/>
          <w:szCs w:val="16"/>
        </w:rPr>
        <w:t>Кроме того, мастерская "Я. Мамин и Ко" в городе Балаков Самарской губернии в 1912 году изготовила свой первый локомобиль по образцу английской машины "Фоулер", после чего Мамин выпустил несколько тракторов с американскими моторами фирмы "Кейс". В общей сложности было построено 11 тракторов (18376).</w:t>
      </w:r>
    </w:p>
    <w:p w14:paraId="5CCFB8B9" w14:textId="77777777" w:rsidR="00197F16" w:rsidRPr="00405303" w:rsidRDefault="00197F16" w:rsidP="00C15251">
      <w:pPr>
        <w:jc w:val="both"/>
        <w:rPr>
          <w:bCs/>
          <w:color w:val="002060"/>
          <w:sz w:val="16"/>
          <w:szCs w:val="16"/>
        </w:rPr>
      </w:pPr>
    </w:p>
    <w:p w14:paraId="14B45510" w14:textId="77777777" w:rsidR="004B4E35" w:rsidRPr="00405303" w:rsidRDefault="009E6F82" w:rsidP="00C15251">
      <w:pPr>
        <w:jc w:val="both"/>
        <w:rPr>
          <w:bCs/>
          <w:color w:val="002060"/>
          <w:sz w:val="16"/>
          <w:szCs w:val="16"/>
        </w:rPr>
      </w:pPr>
      <w:r w:rsidRPr="00405303">
        <w:rPr>
          <w:bCs/>
          <w:color w:val="002060"/>
          <w:sz w:val="16"/>
          <w:szCs w:val="16"/>
        </w:rPr>
        <w:t>К 1915 году в России фактически отсутствовала автомобильная промышленность. К началу войны русская армия имела всего 418 грузовых, 258 легковых, 2 санитарных и 32 автомобиля вспомогательного назначения. Мобилизация частного автотранспорта дало еще около 4000 автомобилей, тогда как потребности военного ведомства только до лета 1916 года исчислялись в 24500 машин. За годы войны пришлось закупить у зарубежных фирм более 40000 автомобилей на сумму 500 миллионов золотых рублей. Трудности с доставкой заказанных за границей машин также вынуждали развивать отечественную автомобильную промышленность. Единственный завод, выпускавший серийную продукцию, - Русско-Балтийский вагоностроительный в Риге – вследствие эвакуации прекратил изготовление автомобилей.</w:t>
      </w:r>
    </w:p>
    <w:p w14:paraId="652FF4D1" w14:textId="77777777" w:rsidR="004B4E35" w:rsidRPr="00405303" w:rsidRDefault="009E6F82" w:rsidP="00C15251">
      <w:pPr>
        <w:jc w:val="both"/>
        <w:rPr>
          <w:bCs/>
          <w:color w:val="002060"/>
          <w:sz w:val="16"/>
          <w:szCs w:val="16"/>
        </w:rPr>
      </w:pPr>
      <w:r w:rsidRPr="00405303">
        <w:rPr>
          <w:bCs/>
          <w:color w:val="002060"/>
          <w:sz w:val="16"/>
          <w:szCs w:val="16"/>
        </w:rPr>
        <w:t xml:space="preserve">Все это заставило царское правительство принять в 1915 году решение о строительстве шести автозаводов: </w:t>
      </w:r>
      <w:proofErr w:type="gramStart"/>
      <w:r w:rsidRPr="00405303">
        <w:rPr>
          <w:bCs/>
          <w:color w:val="002060"/>
          <w:sz w:val="16"/>
          <w:szCs w:val="16"/>
        </w:rPr>
        <w:t>пяти частных</w:t>
      </w:r>
      <w:proofErr w:type="gramEnd"/>
      <w:r w:rsidRPr="00405303">
        <w:rPr>
          <w:bCs/>
          <w:color w:val="002060"/>
          <w:sz w:val="16"/>
          <w:szCs w:val="16"/>
        </w:rPr>
        <w:t xml:space="preserve"> и одного казенного. Заказы на постройку заводов получили товарищества «Аксай» в Нахичевани, товарищество «Кузнецов, Рябушинские и Ко» - в Москве, акционерное общество Русско-Балтийского завода в Филях, акционерное общество воздухоплавания в Ярославле и компания «Русский Рено» в Рыбинске. Единственный казенный завод предстояло возвести «Британскому инженерному обществу Сибири» Бекос.</w:t>
      </w:r>
    </w:p>
    <w:p w14:paraId="7BCFE3FE" w14:textId="77777777" w:rsidR="004B4E35" w:rsidRPr="00405303" w:rsidRDefault="004B4E35" w:rsidP="00C15251">
      <w:pPr>
        <w:jc w:val="both"/>
        <w:rPr>
          <w:bCs/>
          <w:color w:val="002060"/>
          <w:sz w:val="16"/>
          <w:szCs w:val="16"/>
        </w:rPr>
      </w:pPr>
    </w:p>
    <w:p w14:paraId="716A80F4" w14:textId="77777777" w:rsidR="004B4E35" w:rsidRPr="00405303" w:rsidRDefault="009E6F82" w:rsidP="00C15251">
      <w:pPr>
        <w:jc w:val="both"/>
        <w:rPr>
          <w:bCs/>
          <w:color w:val="002060"/>
          <w:sz w:val="16"/>
          <w:szCs w:val="16"/>
        </w:rPr>
      </w:pPr>
      <w:r w:rsidRPr="00405303">
        <w:rPr>
          <w:bCs/>
          <w:color w:val="002060"/>
          <w:sz w:val="16"/>
          <w:szCs w:val="16"/>
        </w:rPr>
        <w:t xml:space="preserve">К 1915 г. автомобильный отдел ГБВЗ располагал 142 металлорежущими станками - это сравнительно большое количество, если учесть, что австро-венгерское предприятие "Лаурин-Клемент", выпускавшее автомобилей несравненно больше, имело в том же году 630 станков. Производство в автомобильном отделе РБВЗ было построено на передовых принципах: применялась метрическая система (вместо дюймов, вершков и фунтов), широко использовались калибры для контроля деталей, а детали автомобилей выпускали крупными партиями (сериями) с полной взаимозаменяемостью деталей внутри партии без ручной подгонки, как практиковали иные российские фирмы. Известно, что пионером взаимозаменяемости деталей выступил в 1906 г. американский завод "Кадиллак" и его передовой опыт оперативно освоили, правда при разных масштабах производства, "Форд" и РБВЗ. Именно РБВЗ </w:t>
      </w:r>
      <w:r w:rsidRPr="00405303">
        <w:rPr>
          <w:rStyle w:val="12"/>
          <w:bCs/>
          <w:i w:val="0"/>
          <w:color w:val="002060"/>
          <w:sz w:val="16"/>
          <w:szCs w:val="16"/>
        </w:rPr>
        <w:t>начал применять высокопроизводительные</w:t>
      </w:r>
      <w:r w:rsidRPr="00405303">
        <w:rPr>
          <w:bCs/>
          <w:color w:val="002060"/>
          <w:sz w:val="16"/>
          <w:szCs w:val="16"/>
        </w:rPr>
        <w:t xml:space="preserve"> револьверные станки, специальные зуборезные станки и другое высокопроизводительное оборудование. В частности, он ввел автоматизированную обработку деревянных деталей колес-спиц и ободов. Свою специфику имело кузовное производство, где дерево являлось основным материалом. Каркас кузова набирался из деревянных брусьев, наружная обшивка также часто выполнялась из фанеры или </w:t>
      </w:r>
      <w:r w:rsidRPr="00405303">
        <w:rPr>
          <w:rStyle w:val="12"/>
          <w:bCs/>
          <w:i w:val="0"/>
          <w:color w:val="002060"/>
          <w:sz w:val="16"/>
          <w:szCs w:val="16"/>
        </w:rPr>
        <w:t>другого материала</w:t>
      </w:r>
      <w:r w:rsidRPr="00405303">
        <w:rPr>
          <w:bCs/>
          <w:color w:val="002060"/>
          <w:sz w:val="16"/>
          <w:szCs w:val="16"/>
        </w:rPr>
        <w:t xml:space="preserve"> на </w:t>
      </w:r>
      <w:proofErr w:type="gramStart"/>
      <w:r w:rsidRPr="00405303">
        <w:rPr>
          <w:bCs/>
          <w:color w:val="002060"/>
          <w:sz w:val="16"/>
          <w:szCs w:val="16"/>
        </w:rPr>
        <w:t>древесно-волокнистой</w:t>
      </w:r>
      <w:proofErr w:type="gramEnd"/>
      <w:r w:rsidRPr="00405303">
        <w:rPr>
          <w:bCs/>
          <w:color w:val="002060"/>
          <w:sz w:val="16"/>
          <w:szCs w:val="16"/>
        </w:rPr>
        <w:t xml:space="preserve"> основе. Окраска велась масляными красками в несколько слоев с тщательной сушкой </w:t>
      </w:r>
      <w:r w:rsidRPr="00405303">
        <w:rPr>
          <w:bCs/>
          <w:color w:val="002060"/>
          <w:sz w:val="16"/>
          <w:szCs w:val="16"/>
        </w:rPr>
        <w:lastRenderedPageBreak/>
        <w:t>и полировкой на каждой стадии. Довольно сложной для РБВЗ оказалась отливка заготовок для блоков цилиндров. Высокий процент брака из-за "глухих" цилиндров (без съемных головок) не позволял изготовлять блоки с количеством цилиндров более четырех. Наибольшее распространение имели двухцилиндровые блоки (РБВЗ, "Пузырев") (12098).</w:t>
      </w:r>
    </w:p>
    <w:p w14:paraId="1DE2103F" w14:textId="77777777" w:rsidR="004B4E35" w:rsidRPr="00405303" w:rsidRDefault="004B4E35" w:rsidP="00C15251">
      <w:pPr>
        <w:jc w:val="both"/>
        <w:rPr>
          <w:bCs/>
          <w:color w:val="002060"/>
          <w:sz w:val="16"/>
          <w:szCs w:val="16"/>
        </w:rPr>
      </w:pPr>
    </w:p>
    <w:p w14:paraId="22A5A564" w14:textId="77777777" w:rsidR="00483462" w:rsidRPr="00405303" w:rsidRDefault="00483462" w:rsidP="00C15251">
      <w:pPr>
        <w:jc w:val="both"/>
        <w:rPr>
          <w:bCs/>
          <w:color w:val="002060"/>
          <w:sz w:val="16"/>
          <w:szCs w:val="16"/>
        </w:rPr>
      </w:pPr>
      <w:r w:rsidRPr="00405303">
        <w:rPr>
          <w:bCs/>
          <w:color w:val="002060"/>
          <w:sz w:val="16"/>
          <w:szCs w:val="16"/>
        </w:rPr>
        <w:t>К началу 1915 г. в Депо сложилось сложное положение, вызванное отсутствием площадей для дальнейшего наращивания производства. Требовалось экстренно принять меры к реализации разработанного по указаниям Минного отдела проекта его расширения путем возведения дополнительных пристроек к основному зданию. Однако предусмотренные проектом средства выделялись по сметам текущего года не в полном объеме, хотя была очевидна выгода, которую Морское ведомство получит в случае организации на новых площадях изготовления радиостанций мощностью до 25 кВт.</w:t>
      </w:r>
    </w:p>
    <w:p w14:paraId="47C6BF4D" w14:textId="77777777" w:rsidR="00483462" w:rsidRPr="00405303" w:rsidRDefault="00483462" w:rsidP="00C15251">
      <w:pPr>
        <w:jc w:val="both"/>
        <w:rPr>
          <w:bCs/>
          <w:color w:val="002060"/>
          <w:sz w:val="16"/>
          <w:szCs w:val="16"/>
        </w:rPr>
      </w:pPr>
      <w:r w:rsidRPr="00405303">
        <w:rPr>
          <w:bCs/>
          <w:color w:val="002060"/>
          <w:sz w:val="16"/>
          <w:szCs w:val="16"/>
        </w:rPr>
        <w:t>В середине февраля 1915 г. недостающие средства для реализации проекта расширения депо были получены распоряжением морского министра из военного фонда5. В сентябре 1915 г. морской министр из этого же источника разрешил выделить еще 84 тыс. руб. для дальнейших работ по наращиванию производственных площадей предприятия. При переходе Радиотелеграфного завода в ведение Совета по управлению делами заводов Морского ведомства в начале июня 1917 г. стоимость принадлежащего ему недвижимого имущества оценивалась в 2 056 563 руб., а оборудования – в 405 071 руб. (18297).</w:t>
      </w:r>
    </w:p>
    <w:p w14:paraId="2EA5BBE0" w14:textId="77777777" w:rsidR="00483462" w:rsidRPr="00405303" w:rsidRDefault="00483462" w:rsidP="00C15251">
      <w:pPr>
        <w:jc w:val="both"/>
        <w:rPr>
          <w:bCs/>
          <w:color w:val="002060"/>
          <w:sz w:val="16"/>
          <w:szCs w:val="16"/>
        </w:rPr>
      </w:pPr>
    </w:p>
    <w:p w14:paraId="04960141"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09BACF37" w14:textId="77777777" w:rsidR="004B4E35" w:rsidRPr="00405303" w:rsidRDefault="004B4E35" w:rsidP="00C15251">
      <w:pPr>
        <w:shd w:val="clear" w:color="auto" w:fill="FFFFFF"/>
        <w:jc w:val="both"/>
        <w:rPr>
          <w:bCs/>
          <w:i/>
          <w:color w:val="002060"/>
          <w:sz w:val="16"/>
          <w:szCs w:val="16"/>
        </w:rPr>
      </w:pPr>
    </w:p>
    <w:p w14:paraId="5EAC381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 январю 1915 г. в мастерских Севастопольского военного порта на обоих «императорах» установили артиллерийское во</w:t>
      </w:r>
      <w:r w:rsidRPr="00405303">
        <w:rPr>
          <w:bCs/>
          <w:color w:val="002060"/>
          <w:sz w:val="16"/>
          <w:szCs w:val="16"/>
        </w:rPr>
        <w:softHyphen/>
        <w:t>оружение, в районе кормовой прогулочной палубы раз</w:t>
      </w:r>
      <w:r w:rsidRPr="00405303">
        <w:rPr>
          <w:bCs/>
          <w:color w:val="002060"/>
          <w:sz w:val="16"/>
          <w:szCs w:val="16"/>
        </w:rPr>
        <w:softHyphen/>
        <w:t>местили элементы крепления самолетов, установили кран-балки увеличенных размеров и грузоподъемности. Уже после переоборудования вспомогательный крейсер «Император Александр III» для отличия от одноименно</w:t>
      </w:r>
      <w:r w:rsidRPr="00405303">
        <w:rPr>
          <w:bCs/>
          <w:color w:val="002060"/>
          <w:sz w:val="16"/>
          <w:szCs w:val="16"/>
        </w:rPr>
        <w:softHyphen/>
        <w:t>го нового линкора переименовали в «Император Алек</w:t>
      </w:r>
      <w:r w:rsidRPr="00405303">
        <w:rPr>
          <w:bCs/>
          <w:color w:val="002060"/>
          <w:sz w:val="16"/>
          <w:szCs w:val="16"/>
        </w:rPr>
        <w:softHyphen/>
        <w:t>сандр I» (11107).</w:t>
      </w:r>
    </w:p>
    <w:p w14:paraId="0FF08C4C" w14:textId="77777777" w:rsidR="004B4E35" w:rsidRPr="00405303" w:rsidRDefault="004B4E35" w:rsidP="00C15251">
      <w:pPr>
        <w:shd w:val="clear" w:color="auto" w:fill="FFFFFF"/>
        <w:jc w:val="both"/>
        <w:rPr>
          <w:bCs/>
          <w:color w:val="002060"/>
          <w:sz w:val="16"/>
          <w:szCs w:val="16"/>
        </w:rPr>
      </w:pPr>
    </w:p>
    <w:p w14:paraId="1A42ED1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 1915 г. выяснилось, что если комитеты еще как-то справлялись с выработкой оперативных рекомен</w:t>
      </w:r>
      <w:r w:rsidRPr="00405303">
        <w:rPr>
          <w:bCs/>
          <w:color w:val="002060"/>
          <w:sz w:val="16"/>
          <w:szCs w:val="16"/>
        </w:rPr>
        <w:softHyphen/>
        <w:t>даций, то столичный отдел, «утонувший» в пото</w:t>
      </w:r>
      <w:r w:rsidRPr="00405303">
        <w:rPr>
          <w:bCs/>
          <w:color w:val="002060"/>
          <w:sz w:val="16"/>
          <w:szCs w:val="16"/>
        </w:rPr>
        <w:softHyphen/>
        <w:t>ке различных бумаг, мог служить разве что свое</w:t>
      </w:r>
      <w:r w:rsidRPr="00405303">
        <w:rPr>
          <w:bCs/>
          <w:color w:val="002060"/>
          <w:sz w:val="16"/>
          <w:szCs w:val="16"/>
        </w:rPr>
        <w:softHyphen/>
        <w:t>го рода координационным органом, посредником между флотскими авиаторами, вышестоящим флотским начальством, поставщиками, армией и т. д. Можно сказать, что и комитеты, и отделение МГШ решали задачи только оперативного харак</w:t>
      </w:r>
      <w:r w:rsidRPr="00405303">
        <w:rPr>
          <w:bCs/>
          <w:color w:val="002060"/>
          <w:sz w:val="16"/>
          <w:szCs w:val="16"/>
        </w:rPr>
        <w:softHyphen/>
        <w:t>тера, тогда как задачи на перспективу почти не обсуждались. Не удивительно, что в таких усло</w:t>
      </w:r>
      <w:r w:rsidRPr="00405303">
        <w:rPr>
          <w:bCs/>
          <w:color w:val="002060"/>
          <w:sz w:val="16"/>
          <w:szCs w:val="16"/>
        </w:rPr>
        <w:softHyphen/>
        <w:t>виях конструкторы авиационных предприятий сами решали, какой тип морского аэроплана им надлежало проектировать; владельцы произ</w:t>
      </w:r>
      <w:r w:rsidRPr="00405303">
        <w:rPr>
          <w:bCs/>
          <w:color w:val="002060"/>
          <w:sz w:val="16"/>
          <w:szCs w:val="16"/>
        </w:rPr>
        <w:softHyphen/>
        <w:t>водств действовали на свой страх и риск; опыт боевых действий и инженерная мысль существо</w:t>
      </w:r>
      <w:r w:rsidRPr="00405303">
        <w:rPr>
          <w:bCs/>
          <w:color w:val="002060"/>
          <w:sz w:val="16"/>
          <w:szCs w:val="16"/>
        </w:rPr>
        <w:softHyphen/>
        <w:t>вали раздельно. Естественным образом прогресс двигался по линии развития летающей лодки-раз</w:t>
      </w:r>
      <w:r w:rsidRPr="00405303">
        <w:rPr>
          <w:bCs/>
          <w:color w:val="002060"/>
          <w:sz w:val="16"/>
          <w:szCs w:val="16"/>
        </w:rPr>
        <w:softHyphen/>
        <w:t>ведчика, дав в результате не только ряд универ</w:t>
      </w:r>
      <w:r w:rsidRPr="00405303">
        <w:rPr>
          <w:bCs/>
          <w:color w:val="002060"/>
          <w:sz w:val="16"/>
          <w:szCs w:val="16"/>
        </w:rPr>
        <w:softHyphen/>
        <w:t>сальных моделей, но и вызвав к жизни тяжелый «Морской крейсер» и школьную «десятку». Те</w:t>
      </w:r>
      <w:r w:rsidRPr="00405303">
        <w:rPr>
          <w:bCs/>
          <w:color w:val="002060"/>
          <w:sz w:val="16"/>
          <w:szCs w:val="16"/>
        </w:rPr>
        <w:softHyphen/>
        <w:t>кущие потребности военно-морских сил получи</w:t>
      </w:r>
      <w:r w:rsidRPr="00405303">
        <w:rPr>
          <w:bCs/>
          <w:color w:val="002060"/>
          <w:sz w:val="16"/>
          <w:szCs w:val="16"/>
        </w:rPr>
        <w:softHyphen/>
        <w:t>ли отражение в аэро-глиссерах и лодочном истре</w:t>
      </w:r>
      <w:r w:rsidRPr="00405303">
        <w:rPr>
          <w:bCs/>
          <w:color w:val="002060"/>
          <w:sz w:val="16"/>
          <w:szCs w:val="16"/>
        </w:rPr>
        <w:softHyphen/>
        <w:t>бителе М-11, и, таким образом, примерно за год, с лета 1915 г. по осень 1916 г., и как бы исподволь в морской авиации приблизились к пониманию не</w:t>
      </w:r>
      <w:r w:rsidRPr="00405303">
        <w:rPr>
          <w:bCs/>
          <w:color w:val="002060"/>
          <w:sz w:val="16"/>
          <w:szCs w:val="16"/>
        </w:rPr>
        <w:softHyphen/>
        <w:t>обходимости выработки программ экспериментального строительства как единственно верного способа обеспечить флот нужными ему летательными машинами достойного качества. В помощь Воздухоплавательному отделению МГШ и для определенно</w:t>
      </w:r>
      <w:r w:rsidRPr="00405303">
        <w:rPr>
          <w:bCs/>
          <w:color w:val="002060"/>
          <w:sz w:val="16"/>
          <w:szCs w:val="16"/>
        </w:rPr>
        <w:softHyphen/>
        <w:t>го разделения ответственности был образован Отдел воздушного плавания ГУК, а одним из первых специальных типов явился как раз «зимний аппарат» — в частности, щетининский М-16. Если не вспоми</w:t>
      </w:r>
      <w:r w:rsidRPr="00405303">
        <w:rPr>
          <w:bCs/>
          <w:color w:val="002060"/>
          <w:sz w:val="16"/>
          <w:szCs w:val="16"/>
        </w:rPr>
        <w:softHyphen/>
        <w:t>нать про извечную национальную медлительность и неорганизованность, то, вероятно, только недоста</w:t>
      </w:r>
      <w:r w:rsidRPr="00405303">
        <w:rPr>
          <w:bCs/>
          <w:color w:val="002060"/>
          <w:sz w:val="16"/>
          <w:szCs w:val="16"/>
        </w:rPr>
        <w:softHyphen/>
        <w:t>ток времени, отпущенного судьбой, и общая неразвитость промышленности не позволили отладить ту стройную систему, при которой одни специалисты прогнозировали бы будущие потребности, другие — формулировали конкретные задания, а третьи — проектировали и собирали аэропланы для флота (2807).</w:t>
      </w:r>
    </w:p>
    <w:p w14:paraId="148E6F03" w14:textId="77777777" w:rsidR="004B4E35" w:rsidRPr="00405303" w:rsidRDefault="004B4E35" w:rsidP="00C15251">
      <w:pPr>
        <w:shd w:val="clear" w:color="auto" w:fill="FFFFFF"/>
        <w:jc w:val="both"/>
        <w:rPr>
          <w:bCs/>
          <w:color w:val="002060"/>
          <w:sz w:val="16"/>
          <w:szCs w:val="16"/>
        </w:rPr>
      </w:pPr>
    </w:p>
    <w:p w14:paraId="2D397796" w14:textId="77777777" w:rsidR="00483462" w:rsidRPr="00405303" w:rsidRDefault="00483462" w:rsidP="00C15251">
      <w:pPr>
        <w:jc w:val="both"/>
        <w:rPr>
          <w:bCs/>
          <w:i/>
          <w:color w:val="002060"/>
          <w:sz w:val="16"/>
          <w:szCs w:val="16"/>
        </w:rPr>
      </w:pPr>
      <w:r w:rsidRPr="00405303">
        <w:rPr>
          <w:bCs/>
          <w:i/>
          <w:color w:val="002060"/>
          <w:sz w:val="16"/>
          <w:szCs w:val="16"/>
        </w:rPr>
        <w:t>Воздухоплавание:</w:t>
      </w:r>
    </w:p>
    <w:p w14:paraId="10AD8EF6" w14:textId="77777777" w:rsidR="00483462" w:rsidRPr="00405303" w:rsidRDefault="00483462" w:rsidP="00C15251">
      <w:pPr>
        <w:jc w:val="both"/>
        <w:rPr>
          <w:bCs/>
          <w:i/>
          <w:color w:val="002060"/>
          <w:sz w:val="16"/>
          <w:szCs w:val="16"/>
        </w:rPr>
      </w:pPr>
    </w:p>
    <w:p w14:paraId="6D522232" w14:textId="34F61116" w:rsidR="00483462" w:rsidRPr="00405303" w:rsidRDefault="00483462" w:rsidP="00C15251">
      <w:pPr>
        <w:jc w:val="both"/>
        <w:rPr>
          <w:bCs/>
          <w:color w:val="002060"/>
          <w:sz w:val="16"/>
          <w:szCs w:val="16"/>
        </w:rPr>
      </w:pPr>
      <w:r w:rsidRPr="00405303">
        <w:rPr>
          <w:bCs/>
          <w:color w:val="002060"/>
          <w:sz w:val="16"/>
          <w:szCs w:val="16"/>
        </w:rPr>
        <w:t xml:space="preserve">К началу 1915 г. Воздухоплавательные части имели 7 полевых воздухоплавательных рот и крепостные роты: Варшавская, Варшавского УР, Владивостокская, Гродненская, Ивангородская, Карская, Ковенская, Новогеоргиевская, Осовецкая, Свеаборгская, а также Брест-Литовский крепостной батальон. В военное время к ним должны были добавиться 2 полевые роты, формируемые на базе офицерской воздухоплавательной школы. Всего имелось 46 змейковых </w:t>
      </w:r>
      <w:proofErr w:type="gramStart"/>
      <w:r w:rsidRPr="00405303">
        <w:rPr>
          <w:bCs/>
          <w:color w:val="002060"/>
          <w:sz w:val="16"/>
          <w:szCs w:val="16"/>
        </w:rPr>
        <w:t>аэростатов .</w:t>
      </w:r>
      <w:proofErr w:type="gramEnd"/>
      <w:r w:rsidRPr="00405303">
        <w:rPr>
          <w:bCs/>
          <w:color w:val="002060"/>
          <w:sz w:val="16"/>
          <w:szCs w:val="16"/>
        </w:rPr>
        <w:t xml:space="preserve"> </w:t>
      </w:r>
    </w:p>
    <w:p w14:paraId="02F6C62A" w14:textId="77777777" w:rsidR="00483462" w:rsidRPr="00405303" w:rsidRDefault="00483462" w:rsidP="00C15251">
      <w:pPr>
        <w:jc w:val="both"/>
        <w:rPr>
          <w:bCs/>
          <w:color w:val="002060"/>
          <w:sz w:val="16"/>
          <w:szCs w:val="16"/>
        </w:rPr>
      </w:pPr>
      <w:r w:rsidRPr="00405303">
        <w:rPr>
          <w:bCs/>
          <w:color w:val="002060"/>
          <w:sz w:val="16"/>
          <w:szCs w:val="16"/>
        </w:rPr>
        <w:t xml:space="preserve">Воздухоплавательная рота обычно состояла из 2-3 наблюдательных станций. Наблюдательная станция имела один змейковый аэростат и один запасный аэростат, с лебёдками для осуществления подъёма и спуска, подвижными газодобывающими аппаратами. Численность роты составляла от 60 до 100 человек. Вспомогательная часть воздухоплавательной роты ведала техническим снабжением и связью. С началом боевых действий реально обслуживали Действующую армию только две полевые воздухоплавательные роты, имевшие наблюдательные станции. Началась передача змейковых аэростатов из крепостей в полевые части. </w:t>
      </w:r>
    </w:p>
    <w:p w14:paraId="501CDF3F" w14:textId="77777777" w:rsidR="00483462" w:rsidRPr="00405303" w:rsidRDefault="00483462" w:rsidP="00C15251">
      <w:pPr>
        <w:jc w:val="both"/>
        <w:rPr>
          <w:bCs/>
          <w:color w:val="002060"/>
          <w:sz w:val="16"/>
          <w:szCs w:val="16"/>
        </w:rPr>
      </w:pPr>
      <w:r w:rsidRPr="00405303">
        <w:rPr>
          <w:bCs/>
          <w:color w:val="002060"/>
          <w:sz w:val="16"/>
          <w:szCs w:val="16"/>
        </w:rPr>
        <w:t>В 1915 году было приказано переформировать все наблюдательные станции крепостей в полевые воздухоплавательные роты. По расчётам русского командования в середине года необходимо было иметь в Действующей армии 25 воздухоплавательных рот, чтобы обеспечить эффективную разведку и корректировку артиллерийского огня. Каждая армия должна была иметь по 2-3 воздухоплавательные роты, находившиеся в подчинение инспектора артиллерии армии (11701).</w:t>
      </w:r>
    </w:p>
    <w:p w14:paraId="7EAD513F" w14:textId="77777777" w:rsidR="00483462" w:rsidRPr="00405303" w:rsidRDefault="00483462" w:rsidP="00C15251">
      <w:pPr>
        <w:jc w:val="both"/>
        <w:rPr>
          <w:bCs/>
          <w:color w:val="002060"/>
          <w:sz w:val="16"/>
          <w:szCs w:val="16"/>
        </w:rPr>
      </w:pPr>
    </w:p>
    <w:p w14:paraId="2241B882" w14:textId="77777777" w:rsidR="003F4093" w:rsidRPr="00405303" w:rsidRDefault="003F4093" w:rsidP="00C15251">
      <w:pPr>
        <w:jc w:val="both"/>
        <w:rPr>
          <w:bCs/>
          <w:i/>
          <w:color w:val="002060"/>
          <w:sz w:val="16"/>
          <w:szCs w:val="16"/>
        </w:rPr>
      </w:pPr>
      <w:r w:rsidRPr="00405303">
        <w:rPr>
          <w:bCs/>
          <w:i/>
          <w:color w:val="002060"/>
          <w:sz w:val="16"/>
          <w:szCs w:val="16"/>
        </w:rPr>
        <w:t>Авиация и воздухоплавание Англии</w:t>
      </w:r>
    </w:p>
    <w:p w14:paraId="0EC1EF82" w14:textId="77777777" w:rsidR="003F4093" w:rsidRPr="00405303" w:rsidRDefault="003F4093" w:rsidP="00C15251">
      <w:pPr>
        <w:jc w:val="both"/>
        <w:rPr>
          <w:bCs/>
          <w:color w:val="002060"/>
          <w:sz w:val="16"/>
          <w:szCs w:val="16"/>
        </w:rPr>
      </w:pPr>
    </w:p>
    <w:p w14:paraId="740060CE" w14:textId="37DD44DF" w:rsidR="003F4093" w:rsidRPr="00405303" w:rsidRDefault="003F4093" w:rsidP="00C15251">
      <w:pPr>
        <w:jc w:val="both"/>
        <w:rPr>
          <w:bCs/>
          <w:color w:val="002060"/>
          <w:sz w:val="16"/>
          <w:szCs w:val="16"/>
        </w:rPr>
      </w:pPr>
      <w:r w:rsidRPr="00405303">
        <w:rPr>
          <w:bCs/>
          <w:color w:val="002060"/>
          <w:sz w:val="16"/>
          <w:szCs w:val="16"/>
        </w:rPr>
        <w:t xml:space="preserve">К началу 1915 г. британское адмиралтейство смогло составить технические требования к тяжелому бомбардировщику и сделало заказ на 40 машин. В конце того же года появился на свет самолет «Хендли Пейдж 0/100», аналогичный по размерам «Илье Муромцу», но оснащенный в отличие от нашего гиганта двумя двигателями. На фронт «Хендли Пейдж» поступил только в ноябре 1916 г. С весны 1917 г. началось производство следующей модели 0/400. Годный для боевого применения четырехмоторный бомбардировщик англичанам удалось построить только в 1918 г. Принять участие в боевых действиях он уже не успел. Не успели наладить до конца войны серийное производство тяжелых бомбардировщиков и французы. Они так и были вынуждены строить по лицензии трехмоторный «Капрони». Американцы, как и англичане, только в 1918 г. наладили серийное производство четырехмоторных самолетов. Это были летающие лодки Кертиса. Самыми результативными из иностранцев в деле разработки многомоторных самолетов оказались немцы. Не исключено, что на это повлияла и эффективность боевого применения «Муромцев», однако значение русских «тяжеловозов» некоторые немецкие специалисты оценили еще до войны. Тем не менее приступить к разработке подобных собственных образцов немцы смогли только к концу 1914 г. В 1915 — начале 1916 г. стали подниматься в воздух первые опытные многомоторные «Цеппелин-Штаакены» и «Сименс-Шукерты», получившие в Германии обозначение «Р» от слова «Ризенфлюг-цойг» — гигантский самолет. Первый «Р» попал на Восточный фронт в конце 1915 г., но после многочисленных поломок и аварий в марте 1916 г. возвращен на завод. Он так и не успел совершить ни одного боевого вылета. Боевые действия на этих машинах удалось начать лишь в августе 1916 г., когда наконец после доработки стали поступать самолеты «Р», годные для практического применения. Немецкое командование образовало два </w:t>
      </w:r>
      <w:proofErr w:type="gramStart"/>
      <w:r w:rsidRPr="00405303">
        <w:rPr>
          <w:bCs/>
          <w:color w:val="002060"/>
          <w:sz w:val="16"/>
          <w:szCs w:val="16"/>
        </w:rPr>
        <w:t>« Р</w:t>
      </w:r>
      <w:proofErr w:type="gramEnd"/>
      <w:r w:rsidRPr="00405303">
        <w:rPr>
          <w:bCs/>
          <w:color w:val="002060"/>
          <w:sz w:val="16"/>
          <w:szCs w:val="16"/>
        </w:rPr>
        <w:t xml:space="preserve">-эскадрона». Оба они действовали на Восточном фронте. Самолеты применялись для налетов на Ригу и против русских кораблей в заливе. По своей организационной структуре и численности «Р-эскадроны» значительно уступали эскадре воздушных кораблей, так как их комплектование обеспечивалось штучными опытными образцами, не все из которых оказались работоспособными. Только в 1917 г. немцам удалось выпустить серию из 18 сравнительно однотипных самолетов «Цеппелин-Штаакен P-IV». В выборе компоновки и параметров первых немецких многомоторных самолетов, так </w:t>
      </w:r>
      <w:proofErr w:type="gramStart"/>
      <w:r w:rsidRPr="00405303">
        <w:rPr>
          <w:bCs/>
          <w:color w:val="002060"/>
          <w:sz w:val="16"/>
          <w:szCs w:val="16"/>
        </w:rPr>
        <w:t>же</w:t>
      </w:r>
      <w:proofErr w:type="gramEnd"/>
      <w:r w:rsidRPr="00405303">
        <w:rPr>
          <w:bCs/>
          <w:color w:val="002060"/>
          <w:sz w:val="16"/>
          <w:szCs w:val="16"/>
        </w:rPr>
        <w:t xml:space="preserve"> как и британских, отчетливо просматривается влияние «Русского Витязя» и «Ильи Муромца». Царское правительство, радея за качество российских самолетов (</w:t>
      </w:r>
      <w:proofErr w:type="gramStart"/>
      <w:r w:rsidRPr="00405303">
        <w:rPr>
          <w:bCs/>
          <w:color w:val="002060"/>
          <w:sz w:val="16"/>
          <w:szCs w:val="16"/>
        </w:rPr>
        <w:t>впрочем</w:t>
      </w:r>
      <w:proofErr w:type="gramEnd"/>
      <w:r w:rsidRPr="00405303">
        <w:rPr>
          <w:bCs/>
          <w:color w:val="002060"/>
          <w:sz w:val="16"/>
          <w:szCs w:val="16"/>
        </w:rPr>
        <w:t xml:space="preserve"> не только их) и стремясь не допустить любую монополизацию, стимулировало здоровую конкуренцию. Оно давало возможность разным авиаконструкторам проявить свои способности на ниве создания тяжелых машин. Так, в конце 1914 г. на заводе В. А. Лебедева в Петрограде была начата постройка оригинального тяжелого самолета «Святогор» конструкции талантливого ученого В. А. Слесарева. Имея большой опыт продувок в аэродинамической трубе Политехнического института различных моделей многих самолетов, в том числе и Сикорского, конструктор создал машину, которая по аэродинамике и продуманности компоновки представляла собой значительный шаг вперед. Однако главной ошибкой Слесарева был выбор схемы силовой установки — двигатели в </w:t>
      </w:r>
      <w:r w:rsidRPr="00405303">
        <w:rPr>
          <w:bCs/>
          <w:color w:val="002060"/>
          <w:sz w:val="16"/>
          <w:szCs w:val="16"/>
        </w:rPr>
        <w:lastRenderedPageBreak/>
        <w:t xml:space="preserve">фюзеляже и привод трансмиссией вынесенных по бокам винтов. Это и предопределило неудачу. «Святогор» так и не поднялся в воздух. Разработка Слесарева была не единственной попыткой составить конкуренцию «Муромцу». В 1916–1917 гг. выдающийся русский ученый Г. А. Ботезат, хорошо знакомый с конструкциями Сикорского, консультировал на Ижорском заводе по заказу военного ведомства разработку шестимоторных гигантов — биплана и триплана, а мобилизованный в армию инженер РБВЗ В. Ф. Савельев вместе с В. Залевским в 1916 г. приступили в Смоленском авиапарке к разработке гигантского четырехплана. Завершить эти интересные планы до октября 1917 г. не удалось. Г. А. Ботезат и В. Залевский в 1917 г. встретились в Херсоне, куда оба переехали для интересной </w:t>
      </w:r>
      <w:proofErr w:type="gramStart"/>
      <w:r w:rsidRPr="00405303">
        <w:rPr>
          <w:bCs/>
          <w:color w:val="002060"/>
          <w:sz w:val="16"/>
          <w:szCs w:val="16"/>
        </w:rPr>
        <w:t>в перспективной работы</w:t>
      </w:r>
      <w:proofErr w:type="gramEnd"/>
      <w:r w:rsidRPr="00405303">
        <w:rPr>
          <w:bCs/>
          <w:color w:val="002060"/>
          <w:sz w:val="16"/>
          <w:szCs w:val="16"/>
        </w:rPr>
        <w:t>. Дело в том, что в 1916 г. царское правительство привяло решение создать под Херсоном, где достаточно благоприятный климат, крупнейший в мире государственный многопрофильный авиационный комплекс ( «Авиагородок»), куда должны были входить научно-исследовательская аэродинамическая лаборатория с аэродинамической трубой, позволявшей исследовать самолеты в натуральную величину при скоростях полета до 320 км/ч, опытный завод для постройки по проектам талантливых изобретателей и конструкторов самолетов, двигателей и авиационного оборудования, два серийных завода (самолетный и двигательный), высшее учебное заведение, авиашкола, а также аэродром Управления Военно-Воздушного Флота России, предназначенный для летных испытаний и доводки опытных самолетов — предшественник нынешнего ГНИКИ ВВС. Научными руководителями этого комплекса были приглашены профессоры Г. А. Ботезат и А. П. Фан-дер-Флит. Там В. Залевский и разрабатывал свой тяжелый мультиплан. Однако всем этим грандиозным планам, как и многим другим, свершиться было не дано. 1917 г. изменил весь ход событий. В истории мирового самолетостроения «Муромцы» являются одной из наиболее ярких страниц ее начального периода. Воздушные гиганты И. И. Сикорского стали гордостью России, символом ее нарождавшейся технической мощи. Они были самобытны, уникальны, и их создание является неоспоримым приоритетом России в области разработки тяжелых воздушных кораблей, их оборудования, вооружения, а также военного применения. Полученный огромный опыт постройки и эксплуатации многомоторных тяжелых самолетов стал весомым вкладом в развитие мировой авиации, и это, несомненно, является предметом нашей национальной гордости (11196).</w:t>
      </w:r>
    </w:p>
    <w:p w14:paraId="4D8EA2A4" w14:textId="77777777" w:rsidR="003F4093" w:rsidRPr="00405303" w:rsidRDefault="003F4093" w:rsidP="00C15251">
      <w:pPr>
        <w:jc w:val="both"/>
        <w:rPr>
          <w:bCs/>
          <w:color w:val="002060"/>
          <w:sz w:val="16"/>
          <w:szCs w:val="16"/>
        </w:rPr>
      </w:pPr>
    </w:p>
    <w:p w14:paraId="4FF8C2A1" w14:textId="77777777" w:rsidR="007C42AD" w:rsidRPr="00405303" w:rsidRDefault="007C42AD" w:rsidP="00C15251">
      <w:pPr>
        <w:jc w:val="both"/>
        <w:rPr>
          <w:bCs/>
          <w:color w:val="002060"/>
          <w:sz w:val="16"/>
          <w:szCs w:val="16"/>
        </w:rPr>
      </w:pPr>
      <w:r w:rsidRPr="00405303">
        <w:rPr>
          <w:bCs/>
          <w:color w:val="002060"/>
          <w:sz w:val="16"/>
          <w:szCs w:val="16"/>
        </w:rPr>
        <w:t>К началу 1915 г. Британское адмиралтейство смогло составить техни</w:t>
      </w:r>
      <w:r w:rsidRPr="00405303">
        <w:rPr>
          <w:bCs/>
          <w:color w:val="002060"/>
          <w:sz w:val="16"/>
          <w:szCs w:val="16"/>
        </w:rPr>
        <w:softHyphen/>
        <w:t>ческие требования к тяжелому бомбардировщику и сделало заказ на 40 машин. В кон</w:t>
      </w:r>
      <w:r w:rsidRPr="00405303">
        <w:rPr>
          <w:bCs/>
          <w:color w:val="002060"/>
          <w:sz w:val="16"/>
          <w:szCs w:val="16"/>
        </w:rPr>
        <w:softHyphen/>
        <w:t>це того же года появился на свет самолет «Хендли Пейдж 0/100», аналогичный по размерам «Илье Му</w:t>
      </w:r>
      <w:r w:rsidRPr="00405303">
        <w:rPr>
          <w:bCs/>
          <w:color w:val="002060"/>
          <w:sz w:val="16"/>
          <w:szCs w:val="16"/>
        </w:rPr>
        <w:softHyphen/>
        <w:t>ромцу», но оснащенный в отличие от нашего гиганта двумя двигателями. На фронт «Хендли Пейдж» посту</w:t>
      </w:r>
      <w:r w:rsidRPr="00405303">
        <w:rPr>
          <w:bCs/>
          <w:color w:val="002060"/>
          <w:sz w:val="16"/>
          <w:szCs w:val="16"/>
        </w:rPr>
        <w:softHyphen/>
        <w:t>пил только в ноябре 1916 г. С весны 1917 г. началось производство следующей модели 0/400. Годный для бо</w:t>
      </w:r>
      <w:r w:rsidRPr="00405303">
        <w:rPr>
          <w:bCs/>
          <w:color w:val="002060"/>
          <w:sz w:val="16"/>
          <w:szCs w:val="16"/>
        </w:rPr>
        <w:softHyphen/>
        <w:t>евого применения четырехмоторный бомбардировщик англичанам удалось построить только в 1918 г. При</w:t>
      </w:r>
      <w:r w:rsidRPr="00405303">
        <w:rPr>
          <w:bCs/>
          <w:color w:val="002060"/>
          <w:sz w:val="16"/>
          <w:szCs w:val="16"/>
        </w:rPr>
        <w:softHyphen/>
        <w:t>нять участие в боевых действиях он уже не успел (24177).</w:t>
      </w:r>
    </w:p>
    <w:p w14:paraId="154F8A95" w14:textId="77777777" w:rsidR="007C42AD" w:rsidRPr="00405303" w:rsidRDefault="007C42AD" w:rsidP="00C15251">
      <w:pPr>
        <w:jc w:val="both"/>
        <w:rPr>
          <w:bCs/>
          <w:color w:val="002060"/>
          <w:sz w:val="16"/>
          <w:szCs w:val="16"/>
        </w:rPr>
      </w:pPr>
    </w:p>
    <w:p w14:paraId="577B18A8" w14:textId="6221225E" w:rsidR="003B25B1" w:rsidRPr="00405303" w:rsidRDefault="003B25B1" w:rsidP="00C15251">
      <w:pPr>
        <w:shd w:val="clear" w:color="auto" w:fill="FFFFFF"/>
        <w:jc w:val="both"/>
        <w:rPr>
          <w:bCs/>
          <w:i/>
          <w:color w:val="002060"/>
          <w:sz w:val="16"/>
          <w:szCs w:val="16"/>
        </w:rPr>
      </w:pPr>
      <w:r w:rsidRPr="00405303">
        <w:rPr>
          <w:bCs/>
          <w:i/>
          <w:color w:val="002060"/>
          <w:sz w:val="16"/>
          <w:szCs w:val="16"/>
        </w:rPr>
        <w:t>Авиация и воздухоплавание за рубежом:</w:t>
      </w:r>
    </w:p>
    <w:p w14:paraId="286DD3B4" w14:textId="77777777" w:rsidR="003B25B1" w:rsidRPr="00405303" w:rsidRDefault="003B25B1" w:rsidP="00C15251">
      <w:pPr>
        <w:shd w:val="clear" w:color="auto" w:fill="FFFFFF"/>
        <w:jc w:val="both"/>
        <w:rPr>
          <w:bCs/>
          <w:i/>
          <w:color w:val="002060"/>
          <w:sz w:val="16"/>
          <w:szCs w:val="16"/>
        </w:rPr>
      </w:pPr>
    </w:p>
    <w:p w14:paraId="771C2B27" w14:textId="77777777" w:rsidR="003B25B1" w:rsidRPr="00405303" w:rsidRDefault="003B25B1" w:rsidP="00C15251">
      <w:pPr>
        <w:shd w:val="clear" w:color="auto" w:fill="FFFFFF"/>
        <w:jc w:val="both"/>
        <w:rPr>
          <w:bCs/>
          <w:color w:val="002060"/>
          <w:sz w:val="16"/>
          <w:szCs w:val="16"/>
        </w:rPr>
      </w:pPr>
      <w:r w:rsidRPr="00405303">
        <w:rPr>
          <w:bCs/>
          <w:color w:val="002060"/>
          <w:sz w:val="16"/>
          <w:szCs w:val="16"/>
        </w:rPr>
        <w:t>К 1915 г. Австро-Венгрии удалось развернуть лишь очень небольшое лицензионное производство двухместных бипланов устаревшей конструкции — типа «Альбатрос» В.I или «Авиатик» В.I, В.II, В.III. Все их оборонительное вооружение, как правило, состояло из 8,8-мм пулемета «Шварцлозе» М07/12 на шкворневой установке у летнаба. Но и таких машин было вполне достаточно, пока основным противником была русская авиация, которая хотя и была многочисленной и сравнительно неплохо оснащенной в техническом плане, однако не имела хорошего управления, — генералы российской армии так и не смогли оценить значение боевых действий в воздухе и необходимость предпринимать усилия, для того чтобы держать господство в небе над фронтом. Это в значительной степени нивелировало техническое и количественное превосходство русской авиации в Галиции и способствовало успеху австрийцев (22749).</w:t>
      </w:r>
    </w:p>
    <w:p w14:paraId="0EB07773" w14:textId="77777777" w:rsidR="003B25B1" w:rsidRPr="00405303" w:rsidRDefault="003B25B1" w:rsidP="00C15251">
      <w:pPr>
        <w:shd w:val="clear" w:color="auto" w:fill="FFFFFF"/>
        <w:jc w:val="both"/>
        <w:rPr>
          <w:bCs/>
          <w:color w:val="002060"/>
          <w:sz w:val="16"/>
          <w:szCs w:val="16"/>
        </w:rPr>
      </w:pPr>
    </w:p>
    <w:p w14:paraId="37458FE5"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02AE1AD0" w14:textId="77777777" w:rsidR="004B4E35" w:rsidRPr="00405303" w:rsidRDefault="004B4E35" w:rsidP="00C15251">
      <w:pPr>
        <w:shd w:val="clear" w:color="auto" w:fill="FFFFFF"/>
        <w:jc w:val="both"/>
        <w:rPr>
          <w:bCs/>
          <w:i/>
          <w:color w:val="002060"/>
          <w:sz w:val="16"/>
          <w:szCs w:val="16"/>
        </w:rPr>
      </w:pPr>
    </w:p>
    <w:p w14:paraId="6C475023" w14:textId="1D625809" w:rsidR="004B4E35" w:rsidRPr="00405303" w:rsidRDefault="007F5B65" w:rsidP="00C15251">
      <w:pPr>
        <w:jc w:val="both"/>
        <w:rPr>
          <w:bCs/>
          <w:color w:val="002060"/>
          <w:sz w:val="16"/>
          <w:szCs w:val="16"/>
        </w:rPr>
      </w:pPr>
      <w:r w:rsidRPr="00405303">
        <w:rPr>
          <w:bCs/>
          <w:color w:val="002060"/>
          <w:sz w:val="16"/>
          <w:szCs w:val="16"/>
        </w:rPr>
        <w:t>С</w:t>
      </w:r>
      <w:r w:rsidR="009E6F82" w:rsidRPr="00405303">
        <w:rPr>
          <w:bCs/>
          <w:color w:val="002060"/>
          <w:sz w:val="16"/>
          <w:szCs w:val="16"/>
        </w:rPr>
        <w:t xml:space="preserve"> начала войны до 1 (14) января 1915 г.</w:t>
      </w:r>
      <w:r w:rsidRPr="00405303">
        <w:rPr>
          <w:bCs/>
          <w:color w:val="002060"/>
          <w:sz w:val="16"/>
          <w:szCs w:val="16"/>
        </w:rPr>
        <w:t xml:space="preserve"> мощностей русских авиазаводов не хватало для восполнения потерь -</w:t>
      </w:r>
      <w:r w:rsidR="000F5756">
        <w:rPr>
          <w:bCs/>
          <w:color w:val="002060"/>
          <w:sz w:val="16"/>
          <w:szCs w:val="16"/>
        </w:rPr>
        <w:t xml:space="preserve"> </w:t>
      </w:r>
      <w:r w:rsidR="009E6F82" w:rsidRPr="00405303">
        <w:rPr>
          <w:bCs/>
          <w:color w:val="002060"/>
          <w:sz w:val="16"/>
          <w:szCs w:val="16"/>
        </w:rPr>
        <w:t xml:space="preserve">они отправили в действующую армию 157 самолетов. Причем часто эти машины имели дефекты и забраковывались при сборке в отрядах и ротах. Особые нарекания вызывали самолеты завода Щетинина. Так, монопланы "Ньюпор" имели отрицательный угол установки крыла, что повлекло ряд аварий. Французские самолеты, сделанные на русских авиазаводах, отличались большей массой и низким качеством изготовления по сравнению с импортными "собратьями". Первые месяцы войны выявили и тот факт, что часто высшие военные начальники проявляли полное незнание свойств и возможностей аэропланов. Отсюда - либо отсутствие постановки задач и бездействие авиации, либо постановка перед летчиками нереальных боевых задач. Чтобы избежать таких недоразумений, были изданы подробные указания по использованию нового рода войск. Особую заботу о летчиках проявил главнокомандующий Юго-Западным фронтом, который издал приказ №6 от 12 августа 1914 г.: "Придавая большое значение работе аэропланов и признавая весь риск и трудности выполнения задач летчиками и наблюдателями, приказываю...". Далее шли указания летать не больше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Бичом русской авиации в первые месяцы войны стал безудержный обстрел аппаратов своими войсками, что стало причиной гибели нескольких авиаторов. Например, 13 августа при перелете линии фронта был убит своими войсками военный летчик 25-го КАО </w:t>
      </w:r>
      <w:proofErr w:type="gramStart"/>
      <w:r w:rsidR="009E6F82" w:rsidRPr="00405303">
        <w:rPr>
          <w:bCs/>
          <w:color w:val="002060"/>
          <w:sz w:val="16"/>
          <w:szCs w:val="16"/>
        </w:rPr>
        <w:t>поручик</w:t>
      </w:r>
      <w:proofErr w:type="gramEnd"/>
      <w:r w:rsidR="009E6F82" w:rsidRPr="00405303">
        <w:rPr>
          <w:bCs/>
          <w:color w:val="002060"/>
          <w:sz w:val="16"/>
          <w:szCs w:val="16"/>
        </w:rPr>
        <w:t xml:space="preserve">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w:t>
      </w:r>
      <w:proofErr w:type="gramStart"/>
      <w:r w:rsidR="009E6F82" w:rsidRPr="00405303">
        <w:rPr>
          <w:bCs/>
          <w:color w:val="002060"/>
          <w:sz w:val="16"/>
          <w:szCs w:val="16"/>
        </w:rPr>
        <w:t>очереди ,</w:t>
      </w:r>
      <w:proofErr w:type="gramEnd"/>
      <w:r w:rsidR="009E6F82" w:rsidRPr="00405303">
        <w:rPr>
          <w:bCs/>
          <w:color w:val="002060"/>
          <w:sz w:val="16"/>
          <w:szCs w:val="16"/>
        </w:rPr>
        <w:t xml:space="preserve">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w:t>
      </w:r>
      <w:r w:rsidR="009E6F82" w:rsidRPr="00405303">
        <w:rPr>
          <w:bCs/>
          <w:color w:val="002060"/>
          <w:sz w:val="16"/>
          <w:szCs w:val="16"/>
        </w:rPr>
        <w:lastRenderedPageBreak/>
        <w:t>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06DA3FDD" w14:textId="77777777" w:rsidR="004B4E35" w:rsidRPr="00405303" w:rsidRDefault="004B4E35" w:rsidP="00C15251">
      <w:pPr>
        <w:jc w:val="both"/>
        <w:rPr>
          <w:bCs/>
          <w:i/>
          <w:color w:val="002060"/>
          <w:sz w:val="16"/>
          <w:szCs w:val="16"/>
        </w:rPr>
      </w:pPr>
    </w:p>
    <w:p w14:paraId="59787836" w14:textId="63F32B15" w:rsidR="00A76FDA" w:rsidRPr="00405303" w:rsidRDefault="00A76FDA" w:rsidP="00C15251">
      <w:pPr>
        <w:jc w:val="both"/>
        <w:rPr>
          <w:bCs/>
          <w:color w:val="002060"/>
          <w:sz w:val="16"/>
          <w:szCs w:val="16"/>
        </w:rPr>
      </w:pPr>
      <w:r w:rsidRPr="00405303">
        <w:rPr>
          <w:bCs/>
          <w:color w:val="002060"/>
          <w:sz w:val="16"/>
          <w:szCs w:val="16"/>
        </w:rPr>
        <w:t>На 1 (14) января 1915 г. из 271 заказанных аэропланов на фронт поступило только 157. Между тем сражающейся армии требовалось значительно больше; только для восполнения потерь нужно было около 70 самолетов в месяц (23472).</w:t>
      </w:r>
    </w:p>
    <w:p w14:paraId="7DA8A088" w14:textId="77777777" w:rsidR="00A76FDA" w:rsidRPr="00405303" w:rsidRDefault="00A76FDA" w:rsidP="00C15251">
      <w:pPr>
        <w:jc w:val="both"/>
        <w:rPr>
          <w:bCs/>
          <w:color w:val="002060"/>
          <w:sz w:val="16"/>
          <w:szCs w:val="16"/>
        </w:rPr>
      </w:pPr>
    </w:p>
    <w:p w14:paraId="4C06CE93" w14:textId="77777777" w:rsidR="00CE4C0C" w:rsidRPr="00405303" w:rsidRDefault="00CE4C0C" w:rsidP="00CE4C0C">
      <w:pPr>
        <w:jc w:val="both"/>
        <w:rPr>
          <w:color w:val="0070C0"/>
          <w:sz w:val="16"/>
          <w:szCs w:val="16"/>
        </w:rPr>
      </w:pPr>
      <w:r w:rsidRPr="00405303">
        <w:rPr>
          <w:color w:val="0070C0"/>
          <w:sz w:val="16"/>
          <w:szCs w:val="16"/>
        </w:rPr>
        <w:t>До 1 (14) января 1915 г. с начала войны отечественные заводы отправили в действующую армию 157 самолетов. Причем часто эти машины имели дефекты и забраковывались при сборке в отрядах и ротах. Особые нарекания вызывали самолеты завода Щетинина. Так. монопланы "Ньюпор" имели отрицательный угол установки крыла, что повлекло ряд аварий.</w:t>
      </w:r>
    </w:p>
    <w:p w14:paraId="79CFE47F" w14:textId="3C2FB212" w:rsidR="00CE4C0C" w:rsidRPr="00405303" w:rsidRDefault="00CE4C0C" w:rsidP="00CE4C0C">
      <w:pPr>
        <w:jc w:val="both"/>
        <w:rPr>
          <w:color w:val="0070C0"/>
          <w:sz w:val="16"/>
          <w:szCs w:val="16"/>
        </w:rPr>
      </w:pPr>
      <w:r w:rsidRPr="00405303">
        <w:rPr>
          <w:color w:val="0070C0"/>
          <w:sz w:val="16"/>
          <w:szCs w:val="16"/>
        </w:rPr>
        <w:t>Французские самолеты, сделанные на русских авиазаводах, отличались большей массой и низким качеством изготовления по сравнение с импортными "собратьями" (15150).</w:t>
      </w:r>
    </w:p>
    <w:p w14:paraId="377DE40F" w14:textId="77777777" w:rsidR="00CE4C0C" w:rsidRPr="00405303" w:rsidRDefault="00CE4C0C" w:rsidP="00CE4C0C">
      <w:pPr>
        <w:rPr>
          <w:color w:val="0070C0"/>
          <w:sz w:val="16"/>
          <w:szCs w:val="16"/>
        </w:rPr>
      </w:pPr>
    </w:p>
    <w:p w14:paraId="49237758" w14:textId="347E0E3D" w:rsidR="00A76FDA" w:rsidRPr="00405303" w:rsidRDefault="00A76FDA" w:rsidP="00C15251">
      <w:pPr>
        <w:jc w:val="both"/>
        <w:rPr>
          <w:bCs/>
          <w:color w:val="002060"/>
          <w:sz w:val="16"/>
          <w:szCs w:val="16"/>
        </w:rPr>
      </w:pPr>
      <w:r w:rsidRPr="00405303">
        <w:rPr>
          <w:bCs/>
          <w:color w:val="002060"/>
          <w:sz w:val="16"/>
          <w:szCs w:val="16"/>
        </w:rPr>
        <w:t>К 1 (14) января 1915 г. вся эскадра воздушных кораблей, кроме экипажей Руднева и Панкратьева, была уже в Яблонне. Отсутствующие экипажи так и не начали своей самостоятельной боевой работы. На предписание Рудневу немедленно начать вы</w:t>
      </w:r>
      <w:r w:rsidRPr="00405303">
        <w:rPr>
          <w:bCs/>
          <w:color w:val="002060"/>
          <w:sz w:val="16"/>
          <w:szCs w:val="16"/>
        </w:rPr>
        <w:softHyphen/>
        <w:t>леты по заданиям штаба командир корабля ответил, что самолеты «Илья Муромец» для боевой работы непригод</w:t>
      </w:r>
      <w:r w:rsidRPr="00405303">
        <w:rPr>
          <w:bCs/>
          <w:color w:val="002060"/>
          <w:sz w:val="16"/>
          <w:szCs w:val="16"/>
        </w:rPr>
        <w:softHyphen/>
        <w:t>ны и ввиду этого просил откомандировать его в легкую авиацию. При этом он уведомил, что, не дожидаясь при</w:t>
      </w:r>
      <w:r w:rsidRPr="00405303">
        <w:rPr>
          <w:bCs/>
          <w:color w:val="002060"/>
          <w:sz w:val="16"/>
          <w:szCs w:val="16"/>
        </w:rPr>
        <w:softHyphen/>
        <w:t>каза, убывает в часть по своему выбору. Получив ответ Руднева, Шидловский срочно послал донесение в Ставку Верховного Главнокомандования о поведении штабс-ка</w:t>
      </w:r>
      <w:r w:rsidRPr="00405303">
        <w:rPr>
          <w:bCs/>
          <w:color w:val="002060"/>
          <w:sz w:val="16"/>
          <w:szCs w:val="16"/>
        </w:rPr>
        <w:softHyphen/>
        <w:t>питана и самовольного оставления боевого корабля. Тут же была отправлена телеграмма поручику Ильинскому разобрать «Муромец» и привезти его я Яблонну железной дорогой. Вскоре приказом по армии штабс-капитан Руд</w:t>
      </w:r>
      <w:r w:rsidRPr="00405303">
        <w:rPr>
          <w:bCs/>
          <w:color w:val="002060"/>
          <w:sz w:val="16"/>
          <w:szCs w:val="16"/>
        </w:rPr>
        <w:softHyphen/>
        <w:t>нев, первый пилот, получивший звание «военный лет</w:t>
      </w:r>
      <w:r w:rsidRPr="00405303">
        <w:rPr>
          <w:bCs/>
          <w:color w:val="002060"/>
          <w:sz w:val="16"/>
          <w:szCs w:val="16"/>
        </w:rPr>
        <w:softHyphen/>
        <w:t>чик», любимец Великого Князя Александра Михайлови</w:t>
      </w:r>
      <w:r w:rsidRPr="00405303">
        <w:rPr>
          <w:bCs/>
          <w:color w:val="002060"/>
          <w:sz w:val="16"/>
          <w:szCs w:val="16"/>
        </w:rPr>
        <w:softHyphen/>
        <w:t>ча, был отстранен от командования воздушным кораблем и направлен в тыл без права занимать командные долж</w:t>
      </w:r>
      <w:r w:rsidRPr="00405303">
        <w:rPr>
          <w:bCs/>
          <w:color w:val="002060"/>
          <w:sz w:val="16"/>
          <w:szCs w:val="16"/>
        </w:rPr>
        <w:softHyphen/>
        <w:t>ности на фронте. Фактически это было официальное об</w:t>
      </w:r>
      <w:r w:rsidRPr="00405303">
        <w:rPr>
          <w:bCs/>
          <w:color w:val="002060"/>
          <w:sz w:val="16"/>
          <w:szCs w:val="16"/>
        </w:rPr>
        <w:softHyphen/>
        <w:t>винение в трусости. Надо ли говорить — тяжелое наказа</w:t>
      </w:r>
      <w:r w:rsidRPr="00405303">
        <w:rPr>
          <w:bCs/>
          <w:color w:val="002060"/>
          <w:sz w:val="16"/>
          <w:szCs w:val="16"/>
        </w:rPr>
        <w:softHyphen/>
        <w:t>ние, принимая во внимание высокое в то время понятие офицерской чести.</w:t>
      </w:r>
    </w:p>
    <w:p w14:paraId="70A64135" w14:textId="77777777" w:rsidR="00A76FDA" w:rsidRPr="00405303" w:rsidRDefault="00A76FDA" w:rsidP="00C15251">
      <w:pPr>
        <w:jc w:val="both"/>
        <w:rPr>
          <w:bCs/>
          <w:color w:val="002060"/>
          <w:sz w:val="16"/>
          <w:szCs w:val="16"/>
        </w:rPr>
      </w:pPr>
      <w:r w:rsidRPr="00405303">
        <w:rPr>
          <w:bCs/>
          <w:color w:val="002060"/>
          <w:sz w:val="16"/>
          <w:szCs w:val="16"/>
        </w:rPr>
        <w:t>По особому ходатайству начальника эскадры воздуш</w:t>
      </w:r>
      <w:r w:rsidRPr="00405303">
        <w:rPr>
          <w:bCs/>
          <w:color w:val="002060"/>
          <w:sz w:val="16"/>
          <w:szCs w:val="16"/>
        </w:rPr>
        <w:softHyphen/>
        <w:t>ных кораблей и, очевидно, не без помощи Сикорского военно-морской летчик лейтенант Г. И. Лавров, уже к тому времени Георгиевский Кавалер, был командиро</w:t>
      </w:r>
      <w:r w:rsidRPr="00405303">
        <w:rPr>
          <w:bCs/>
          <w:color w:val="002060"/>
          <w:sz w:val="16"/>
          <w:szCs w:val="16"/>
        </w:rPr>
        <w:softHyphen/>
        <w:t>ван в Яблонну и по прибытии назначен Командиром Корабля № 1. Да, да. Во всех официальных документах командиры кораблей писались с большой буквы. Это ли не признание высокого авторитета!</w:t>
      </w:r>
    </w:p>
    <w:p w14:paraId="35209114" w14:textId="77777777" w:rsidR="00A76FDA" w:rsidRPr="00405303" w:rsidRDefault="00A76FDA" w:rsidP="00C15251">
      <w:pPr>
        <w:jc w:val="both"/>
        <w:rPr>
          <w:bCs/>
          <w:color w:val="002060"/>
          <w:sz w:val="16"/>
          <w:szCs w:val="16"/>
        </w:rPr>
      </w:pPr>
      <w:r w:rsidRPr="00405303">
        <w:rPr>
          <w:bCs/>
          <w:color w:val="002060"/>
          <w:sz w:val="16"/>
          <w:szCs w:val="16"/>
        </w:rPr>
        <w:t>В испытательном полете собранного корабля Руднева участвовали Сикорский, Лавров, Алехнович и механик Шидловский. При максимально полном боевом снаря</w:t>
      </w:r>
      <w:r w:rsidRPr="00405303">
        <w:rPr>
          <w:bCs/>
          <w:color w:val="002060"/>
          <w:sz w:val="16"/>
          <w:szCs w:val="16"/>
        </w:rPr>
        <w:softHyphen/>
        <w:t>жении за 1 ч 10 мин корабль набрал высоту 2 тыс. м. Никаких ненормальностей отмечено не было. После по</w:t>
      </w:r>
      <w:r w:rsidRPr="00405303">
        <w:rPr>
          <w:bCs/>
          <w:color w:val="002060"/>
          <w:sz w:val="16"/>
          <w:szCs w:val="16"/>
        </w:rPr>
        <w:softHyphen/>
        <w:t>лета комиссия вскрыла запечатанный барограф. Бланк самописца и полный отчет комиссии с подробным доне</w:t>
      </w:r>
      <w:r w:rsidRPr="00405303">
        <w:rPr>
          <w:bCs/>
          <w:color w:val="002060"/>
          <w:sz w:val="16"/>
          <w:szCs w:val="16"/>
        </w:rPr>
        <w:softHyphen/>
        <w:t>сением были отправлены дежурному генералу Ставки. Так было снято обвинение с первого «Муромца» о его неспособности вести боевую работу.</w:t>
      </w:r>
    </w:p>
    <w:p w14:paraId="3D6A8BCD" w14:textId="77777777" w:rsidR="00A76FDA" w:rsidRPr="00405303" w:rsidRDefault="00A76FDA" w:rsidP="00C15251">
      <w:pPr>
        <w:jc w:val="both"/>
        <w:rPr>
          <w:bCs/>
          <w:color w:val="002060"/>
          <w:sz w:val="16"/>
          <w:szCs w:val="16"/>
        </w:rPr>
      </w:pPr>
      <w:r w:rsidRPr="00405303">
        <w:rPr>
          <w:bCs/>
          <w:color w:val="002060"/>
          <w:sz w:val="16"/>
          <w:szCs w:val="16"/>
        </w:rPr>
        <w:t>Командир Корабля №2 Панкратьев в конце концов смог железной дорогой переправить свою матчасть на базу и впоследствии активно включился в работу. Те</w:t>
      </w:r>
      <w:r w:rsidRPr="00405303">
        <w:rPr>
          <w:bCs/>
          <w:color w:val="002060"/>
          <w:sz w:val="16"/>
          <w:szCs w:val="16"/>
        </w:rPr>
        <w:softHyphen/>
        <w:t>перь, когда эскадра была в полном составе, началась интенсивная подготовка к боевым действиям. (24177).</w:t>
      </w:r>
    </w:p>
    <w:p w14:paraId="3B8201A7" w14:textId="77777777" w:rsidR="00A76FDA" w:rsidRPr="00405303" w:rsidRDefault="00A76FDA" w:rsidP="00C15251">
      <w:pPr>
        <w:jc w:val="both"/>
        <w:rPr>
          <w:bCs/>
          <w:color w:val="002060"/>
          <w:sz w:val="16"/>
          <w:szCs w:val="16"/>
          <w:lang w:bidi="en-US"/>
        </w:rPr>
      </w:pPr>
    </w:p>
    <w:p w14:paraId="775E2E04" w14:textId="35B14C76" w:rsidR="004B4E35" w:rsidRPr="00405303" w:rsidRDefault="009E6F82" w:rsidP="00C15251">
      <w:pPr>
        <w:jc w:val="both"/>
        <w:rPr>
          <w:bCs/>
          <w:color w:val="002060"/>
          <w:sz w:val="16"/>
          <w:szCs w:val="16"/>
        </w:rPr>
      </w:pPr>
      <w:r w:rsidRPr="00405303">
        <w:rPr>
          <w:bCs/>
          <w:color w:val="002060"/>
          <w:sz w:val="16"/>
          <w:szCs w:val="16"/>
        </w:rPr>
        <w:t xml:space="preserve">К </w:t>
      </w:r>
      <w:r w:rsidR="007F5B65" w:rsidRPr="00405303">
        <w:rPr>
          <w:bCs/>
          <w:color w:val="002060"/>
          <w:sz w:val="16"/>
          <w:szCs w:val="16"/>
        </w:rPr>
        <w:t>1 (14)</w:t>
      </w:r>
      <w:r w:rsidRPr="00405303">
        <w:rPr>
          <w:bCs/>
          <w:color w:val="002060"/>
          <w:sz w:val="16"/>
          <w:szCs w:val="16"/>
        </w:rPr>
        <w:t xml:space="preserve"> января 1915 г. ни одна из </w:t>
      </w:r>
      <w:r w:rsidR="007F5B65" w:rsidRPr="00405303">
        <w:rPr>
          <w:bCs/>
          <w:color w:val="002060"/>
          <w:sz w:val="16"/>
          <w:szCs w:val="16"/>
        </w:rPr>
        <w:t xml:space="preserve">лл Григоровича М-2 </w:t>
      </w:r>
      <w:r w:rsidRPr="00405303">
        <w:rPr>
          <w:bCs/>
          <w:color w:val="002060"/>
          <w:sz w:val="16"/>
          <w:szCs w:val="16"/>
        </w:rPr>
        <w:t>еще не прошла сдаточных испытаний.</w:t>
      </w:r>
    </w:p>
    <w:p w14:paraId="73184D54" w14:textId="77777777" w:rsidR="004B4E35" w:rsidRPr="00405303" w:rsidRDefault="009E6F82" w:rsidP="00C15251">
      <w:pPr>
        <w:jc w:val="both"/>
        <w:rPr>
          <w:bCs/>
          <w:color w:val="002060"/>
          <w:sz w:val="16"/>
          <w:szCs w:val="16"/>
        </w:rPr>
      </w:pPr>
      <w:r w:rsidRPr="00405303">
        <w:rPr>
          <w:bCs/>
          <w:color w:val="002060"/>
          <w:sz w:val="16"/>
          <w:szCs w:val="16"/>
        </w:rPr>
        <w:t>Несмотря на трудности доводки М-2, первую такую лодку в начале февраля 1915 г. удалось испытать. Доработанные по ее опыту детали и узлы заново изготовили на заводе Щетинина, доставили в Ревель и установили на второй экземпляр. По причине изменений конструкции, он получил новое обозначение - М-3. Сдаточные испытания закончились в марте 1915 г., затем М-2 и М-3 зачислили в состав Службы связи Балтийского моря под обозначением Щ-2 и Щ-3 (12083).</w:t>
      </w:r>
    </w:p>
    <w:p w14:paraId="065B95B7" w14:textId="77777777" w:rsidR="004B4E35" w:rsidRPr="00405303" w:rsidRDefault="009E6F82" w:rsidP="00C15251">
      <w:pPr>
        <w:jc w:val="both"/>
        <w:rPr>
          <w:bCs/>
          <w:color w:val="002060"/>
          <w:sz w:val="16"/>
          <w:szCs w:val="16"/>
        </w:rPr>
      </w:pPr>
      <w:r w:rsidRPr="00405303">
        <w:rPr>
          <w:bCs/>
          <w:color w:val="002060"/>
          <w:sz w:val="16"/>
          <w:szCs w:val="16"/>
        </w:rPr>
        <w:t>Между тем, затянувшаяся сдача этих первых летающих лодок отечественного производства негативно повлияла на отношение к ним со стороны морского ведомства. В середине января 1915 г. штаб заведующего авиацией при Службе связи Балтийского моря принял решение о заказе большой партии летающих лодок ФБА для оснащения отрядов и станций на Балтике. Впрочем, реализация этого решения поначалу сдерживалась тем обстоятельством, что производственные мощности французской фирмы до предела были загружены заказами собственного флота. Начались переговоры о лицензионном соглашении.</w:t>
      </w:r>
    </w:p>
    <w:p w14:paraId="028B4D40" w14:textId="77777777" w:rsidR="004B4E35" w:rsidRPr="00405303" w:rsidRDefault="009E6F82" w:rsidP="00C15251">
      <w:pPr>
        <w:jc w:val="both"/>
        <w:rPr>
          <w:bCs/>
          <w:color w:val="002060"/>
          <w:sz w:val="16"/>
          <w:szCs w:val="16"/>
        </w:rPr>
      </w:pPr>
      <w:r w:rsidRPr="00405303">
        <w:rPr>
          <w:bCs/>
          <w:color w:val="002060"/>
          <w:sz w:val="16"/>
          <w:szCs w:val="16"/>
        </w:rPr>
        <w:t>2 февраля 1915 г. было получено сообщение, что фирма ФБА готова продать комплект чертежей своей летающей лодки России за 13000 рублей и, кроме того, фирма пожелала получать по 1300 рублей за каждый построенный такой самолет на русских заводах. После подписания лицензионного соглашения от приемки двух оставшихся лодок Щетинина отказались, выплатив заводу лишь небольшую неустойку. А французские ФБА в довольно большом числе экземпляров начал строить в Петрограде завод В.А. Лебедева.</w:t>
      </w:r>
    </w:p>
    <w:p w14:paraId="351F3378" w14:textId="77777777" w:rsidR="004B4E35" w:rsidRPr="00405303" w:rsidRDefault="009E6F82" w:rsidP="00C15251">
      <w:pPr>
        <w:jc w:val="both"/>
        <w:rPr>
          <w:bCs/>
          <w:color w:val="002060"/>
          <w:sz w:val="16"/>
          <w:szCs w:val="16"/>
        </w:rPr>
      </w:pPr>
      <w:r w:rsidRPr="00405303">
        <w:rPr>
          <w:bCs/>
          <w:color w:val="002060"/>
          <w:sz w:val="16"/>
          <w:szCs w:val="16"/>
        </w:rPr>
        <w:t>Принятые флотом М-2 (Щ-2) и М-3 (Щ-3) использовались на 3-й станции в качестве учебных машин. Летом 1915 г. почти одновременно они получили при жесткой посадке довольно серьезные повреждения конструкции и до октября находились в долговременном ремонте. В ноябре того же года их списали.</w:t>
      </w:r>
    </w:p>
    <w:p w14:paraId="09064450" w14:textId="77777777" w:rsidR="004B4E35" w:rsidRPr="00405303" w:rsidRDefault="009E6F82" w:rsidP="00C15251">
      <w:pPr>
        <w:jc w:val="both"/>
        <w:rPr>
          <w:bCs/>
          <w:color w:val="002060"/>
          <w:sz w:val="16"/>
          <w:szCs w:val="16"/>
        </w:rPr>
      </w:pPr>
      <w:r w:rsidRPr="00405303">
        <w:rPr>
          <w:bCs/>
          <w:color w:val="002060"/>
          <w:sz w:val="16"/>
          <w:szCs w:val="16"/>
        </w:rPr>
        <w:t>На Черном море летом 1914 г. еще царила довольно благодушная обстановка. Казалось, война далеко, а время для реорганизаций еще есть. В сентябре морская авиация Черноморского флота насчитывала всего шесть боевых машин. По-ложение резко изменилось в октябре, когда после набега немецких крейсеров "Гебен"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507760A4" w14:textId="77777777" w:rsidR="004B4E35" w:rsidRPr="00405303" w:rsidRDefault="009E6F82" w:rsidP="00C15251">
      <w:pPr>
        <w:jc w:val="both"/>
        <w:rPr>
          <w:bCs/>
          <w:color w:val="002060"/>
          <w:sz w:val="16"/>
          <w:szCs w:val="16"/>
        </w:rPr>
      </w:pPr>
      <w:r w:rsidRPr="00405303">
        <w:rPr>
          <w:bCs/>
          <w:color w:val="002060"/>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0EC35A88" w14:textId="77777777" w:rsidR="004B4E35" w:rsidRPr="00405303" w:rsidRDefault="009E6F82" w:rsidP="00C15251">
      <w:pPr>
        <w:jc w:val="both"/>
        <w:rPr>
          <w:bCs/>
          <w:color w:val="002060"/>
          <w:sz w:val="16"/>
          <w:szCs w:val="16"/>
        </w:rPr>
      </w:pPr>
      <w:r w:rsidRPr="00405303">
        <w:rPr>
          <w:bCs/>
          <w:color w:val="002060"/>
          <w:sz w:val="16"/>
          <w:szCs w:val="16"/>
        </w:rPr>
        <w:t xml:space="preserve">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"Кер- тисс" (СигН$$)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w:t>
      </w:r>
      <w:proofErr w:type="gramStart"/>
      <w:r w:rsidRPr="00405303">
        <w:rPr>
          <w:bCs/>
          <w:color w:val="002060"/>
          <w:sz w:val="16"/>
          <w:szCs w:val="16"/>
        </w:rPr>
        <w:t>ис-пользовании</w:t>
      </w:r>
      <w:proofErr w:type="gramEnd"/>
      <w:r w:rsidRPr="00405303">
        <w:rPr>
          <w:bCs/>
          <w:color w:val="002060"/>
          <w:sz w:val="16"/>
          <w:szCs w:val="16"/>
        </w:rPr>
        <w:t xml:space="preserve"> летающих лодок Щетинина-Григоровича, позволило вполне уверенно продолжать строительство следующих гидросамолетов (12083).</w:t>
      </w:r>
    </w:p>
    <w:p w14:paraId="7774DCE8" w14:textId="77777777" w:rsidR="004B4E35" w:rsidRPr="00405303" w:rsidRDefault="004B4E35" w:rsidP="00C15251">
      <w:pPr>
        <w:jc w:val="both"/>
        <w:rPr>
          <w:bCs/>
          <w:color w:val="002060"/>
          <w:sz w:val="16"/>
          <w:szCs w:val="16"/>
        </w:rPr>
      </w:pPr>
    </w:p>
    <w:p w14:paraId="594BB7C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С начала войны и по 1 (14) января 1915 г. завод «Гном» из</w:t>
      </w:r>
      <w:r w:rsidRPr="00405303">
        <w:rPr>
          <w:bCs/>
          <w:color w:val="002060"/>
          <w:sz w:val="16"/>
          <w:szCs w:val="16"/>
        </w:rPr>
        <w:softHyphen/>
        <w:t>готовил только около 100 новых и отремонтировал свыше 70 ста</w:t>
      </w:r>
      <w:r w:rsidRPr="00405303">
        <w:rPr>
          <w:bCs/>
          <w:color w:val="002060"/>
          <w:sz w:val="16"/>
          <w:szCs w:val="16"/>
        </w:rPr>
        <w:softHyphen/>
        <w:t>рых моторов. Между тем. Главное военно-техническое управле</w:t>
      </w:r>
      <w:r w:rsidRPr="00405303">
        <w:rPr>
          <w:bCs/>
          <w:color w:val="002060"/>
          <w:sz w:val="16"/>
          <w:szCs w:val="16"/>
        </w:rPr>
        <w:softHyphen/>
        <w:t>ние считало, что для нормального развития русской авиации не</w:t>
      </w:r>
      <w:r w:rsidRPr="00405303">
        <w:rPr>
          <w:bCs/>
          <w:color w:val="002060"/>
          <w:sz w:val="16"/>
          <w:szCs w:val="16"/>
        </w:rPr>
        <w:softHyphen/>
        <w:t>обходимо до 1300 моторов, притом более высокой мощности, чем моторы «Гном» (278).</w:t>
      </w:r>
    </w:p>
    <w:p w14:paraId="48D52A2D" w14:textId="77777777" w:rsidR="004B4E35" w:rsidRPr="00405303" w:rsidRDefault="004B4E35" w:rsidP="00C15251">
      <w:pPr>
        <w:shd w:val="clear" w:color="auto" w:fill="FFFFFF"/>
        <w:jc w:val="both"/>
        <w:rPr>
          <w:bCs/>
          <w:color w:val="002060"/>
          <w:sz w:val="16"/>
          <w:szCs w:val="16"/>
        </w:rPr>
      </w:pPr>
    </w:p>
    <w:p w14:paraId="34BFC9A1"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Аэростатостроение:</w:t>
      </w:r>
    </w:p>
    <w:p w14:paraId="3CA6F1B1" w14:textId="77777777" w:rsidR="004B4E35" w:rsidRPr="00405303" w:rsidRDefault="004B4E35" w:rsidP="00C15251">
      <w:pPr>
        <w:shd w:val="clear" w:color="auto" w:fill="FFFFFF"/>
        <w:jc w:val="both"/>
        <w:rPr>
          <w:bCs/>
          <w:i/>
          <w:color w:val="002060"/>
          <w:sz w:val="16"/>
          <w:szCs w:val="16"/>
        </w:rPr>
      </w:pPr>
    </w:p>
    <w:p w14:paraId="6B92E2B9" w14:textId="77777777" w:rsidR="004B4E35" w:rsidRPr="00405303" w:rsidRDefault="009E6F82" w:rsidP="00C15251">
      <w:pPr>
        <w:jc w:val="both"/>
        <w:rPr>
          <w:bCs/>
          <w:color w:val="002060"/>
          <w:sz w:val="16"/>
          <w:szCs w:val="16"/>
        </w:rPr>
      </w:pPr>
      <w:r w:rsidRPr="00405303">
        <w:rPr>
          <w:bCs/>
          <w:color w:val="002060"/>
          <w:sz w:val="16"/>
          <w:szCs w:val="16"/>
        </w:rPr>
        <w:t>К 1 (14) января 1915 г. на Балтийском заводе была закончена постройка одного из трех крупных заказанных управляемых аэростатов - полужесткого дирижабля «Гигант», конструкции П. Н. Сыромятникова и А. И. Шабского. Он имел объем 20 500 м3, длину 114 м и максимальный диаметр 17 м, был оборудован четырьмя двигателями мощностью 158 кВт каждый. В оболочке дирижабля, выполненной из шелковой прорезиненной материи, имелись три баллонета. Воздух в них нагнетался вентиляторами, приводимыми в движение специальными бензиновыми двигателями. Жесткая килевая ферма была изготовлена из цельнотянутых стальных труб и располагалась в нижней части оболочки. С килевой фермой жестко соединялась длинная гондола, также изготовленная из стальных труб. По расчетам «Гигант» должен был иметь максимальную скорость 58 км/ч, потолок 2500 м и продолжительность полета 20 ч. Однако в первом же полете под Гатчиной дирижабль потерпел аварию. Его начали перестраивать, но работы так и не были завершены.</w:t>
      </w:r>
    </w:p>
    <w:p w14:paraId="7D10C1B9" w14:textId="77777777" w:rsidR="004B4E35" w:rsidRPr="00405303" w:rsidRDefault="009E6F82" w:rsidP="00C15251">
      <w:pPr>
        <w:jc w:val="both"/>
        <w:rPr>
          <w:bCs/>
          <w:color w:val="002060"/>
          <w:sz w:val="16"/>
          <w:szCs w:val="16"/>
        </w:rPr>
      </w:pPr>
      <w:r w:rsidRPr="00405303">
        <w:rPr>
          <w:bCs/>
          <w:color w:val="002060"/>
          <w:sz w:val="16"/>
          <w:szCs w:val="16"/>
        </w:rPr>
        <w:t>Не была закончена постройка и большого дирижабля на Ижорском заводе. Этот управляемый аэростат строился по типу «Альбатроса». Его оболочка объемом 33 000 м3 была разделена на семь отсеков. Предполагалось, что максимальная скорость дирижабля при восьми двигателях мощностью 184 кВт каждый достигнет 108 км/ч. Расчетная высота полета составляла 4000 м, продолжительность полета - около 30 ч, радиус действия - 1500 км.</w:t>
      </w:r>
    </w:p>
    <w:p w14:paraId="06E4D36B" w14:textId="77777777" w:rsidR="004B4E35" w:rsidRPr="00405303" w:rsidRDefault="009E6F82" w:rsidP="00C15251">
      <w:pPr>
        <w:jc w:val="both"/>
        <w:rPr>
          <w:bCs/>
          <w:color w:val="002060"/>
          <w:sz w:val="16"/>
          <w:szCs w:val="16"/>
        </w:rPr>
      </w:pPr>
      <w:r w:rsidRPr="00405303">
        <w:rPr>
          <w:bCs/>
          <w:color w:val="002060"/>
          <w:sz w:val="16"/>
          <w:szCs w:val="16"/>
        </w:rPr>
        <w:t>Дирижабли, заказанные во Франции на заводе «Клеман Баяр» в 1914 г. и на заводе «Астра» в 1915 г., в Россию доставлены не были.</w:t>
      </w:r>
    </w:p>
    <w:p w14:paraId="138F5111" w14:textId="77777777" w:rsidR="004B4E35" w:rsidRPr="00405303" w:rsidRDefault="004B4E35" w:rsidP="00C15251">
      <w:pPr>
        <w:jc w:val="both"/>
        <w:rPr>
          <w:bCs/>
          <w:color w:val="002060"/>
          <w:sz w:val="16"/>
          <w:szCs w:val="16"/>
        </w:rPr>
      </w:pPr>
    </w:p>
    <w:p w14:paraId="1E23FA52" w14:textId="2876D990" w:rsidR="00D51F81" w:rsidRPr="00405303" w:rsidRDefault="00D51F81" w:rsidP="00C15251">
      <w:pPr>
        <w:jc w:val="both"/>
        <w:rPr>
          <w:bCs/>
          <w:color w:val="002060"/>
          <w:sz w:val="16"/>
          <w:szCs w:val="16"/>
        </w:rPr>
      </w:pPr>
      <w:r w:rsidRPr="00405303">
        <w:rPr>
          <w:rStyle w:val="42"/>
          <w:rFonts w:ascii="Times New Roman" w:hAnsi="Times New Roman" w:cs="Times New Roman"/>
          <w:bCs/>
          <w:color w:val="002060"/>
          <w:w w:val="100"/>
          <w:sz w:val="16"/>
          <w:szCs w:val="16"/>
        </w:rPr>
        <w:t xml:space="preserve">К 1 </w:t>
      </w:r>
      <w:r w:rsidR="00DE7562" w:rsidRPr="00405303">
        <w:rPr>
          <w:rStyle w:val="42"/>
          <w:rFonts w:ascii="Times New Roman" w:hAnsi="Times New Roman" w:cs="Times New Roman"/>
          <w:bCs/>
          <w:color w:val="002060"/>
          <w:w w:val="100"/>
          <w:sz w:val="16"/>
          <w:szCs w:val="16"/>
        </w:rPr>
        <w:t xml:space="preserve">(14) </w:t>
      </w:r>
      <w:r w:rsidRPr="00405303">
        <w:rPr>
          <w:rStyle w:val="42"/>
          <w:rFonts w:ascii="Times New Roman" w:hAnsi="Times New Roman" w:cs="Times New Roman"/>
          <w:bCs/>
          <w:color w:val="002060"/>
          <w:w w:val="100"/>
          <w:sz w:val="16"/>
          <w:szCs w:val="16"/>
        </w:rPr>
        <w:t>января 1915 г. все части «Астры» удалось доставить на станцию Чёрный Бор для отправки в Лиду. Затем оболочку отпра</w:t>
      </w:r>
      <w:r w:rsidRPr="00405303">
        <w:rPr>
          <w:rStyle w:val="42"/>
          <w:rFonts w:ascii="Times New Roman" w:hAnsi="Times New Roman" w:cs="Times New Roman"/>
          <w:bCs/>
          <w:color w:val="002060"/>
          <w:w w:val="100"/>
          <w:sz w:val="16"/>
          <w:szCs w:val="16"/>
        </w:rPr>
        <w:softHyphen/>
        <w:t>вили для ремонта в Петроград (20120).</w:t>
      </w:r>
    </w:p>
    <w:p w14:paraId="6546CB84" w14:textId="77777777" w:rsidR="00D51F81" w:rsidRPr="00405303" w:rsidRDefault="00D51F81" w:rsidP="00C15251">
      <w:pPr>
        <w:jc w:val="both"/>
        <w:rPr>
          <w:bCs/>
          <w:color w:val="002060"/>
          <w:sz w:val="16"/>
          <w:szCs w:val="16"/>
        </w:rPr>
      </w:pPr>
    </w:p>
    <w:p w14:paraId="2ECD8A8B"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1E48BE94" w14:textId="77777777" w:rsidR="004B4E35" w:rsidRPr="00405303" w:rsidRDefault="004B4E35" w:rsidP="00C15251">
      <w:pPr>
        <w:jc w:val="both"/>
        <w:rPr>
          <w:bCs/>
          <w:i/>
          <w:color w:val="002060"/>
          <w:sz w:val="16"/>
          <w:szCs w:val="16"/>
        </w:rPr>
      </w:pPr>
    </w:p>
    <w:p w14:paraId="66CAB2BD" w14:textId="77777777" w:rsidR="00DE7562" w:rsidRPr="00405303" w:rsidRDefault="00DE7562" w:rsidP="00C15251">
      <w:pPr>
        <w:jc w:val="both"/>
        <w:rPr>
          <w:bCs/>
          <w:color w:val="002060"/>
          <w:sz w:val="16"/>
          <w:szCs w:val="16"/>
        </w:rPr>
      </w:pPr>
      <w:r w:rsidRPr="00405303">
        <w:rPr>
          <w:bCs/>
          <w:color w:val="002060"/>
          <w:sz w:val="16"/>
          <w:szCs w:val="16"/>
        </w:rPr>
        <w:t>1 (14) января 1915 г. была учреждена Особая артиллерийская комиссия с целью содействовать обеспечению армии предметами артиллерийского снабжения, о состоянии заводов к этому времени писала следующее: "Коренное изменение юридического положения и условий работы всех военных учреждений, вызванное войной, совсем не коснулось казенных заводов. Все формальности мирного времени исполнялись, несмотря на чрезвычайную потерю времени, связанную с ними; так, например, торги, покупки материалов, станков и проч. производились с предварительного разрешения ГАУ; все планы построек необходимых зданий, проекты их и т. п. представлялись на одобрение начальника Главного управления по квартирному довольствию войск и т. д."</w:t>
      </w:r>
    </w:p>
    <w:p w14:paraId="0937DA66" w14:textId="77777777" w:rsidR="00DE7562" w:rsidRPr="00405303" w:rsidRDefault="00DE7562" w:rsidP="00C15251">
      <w:pPr>
        <w:jc w:val="both"/>
        <w:rPr>
          <w:bCs/>
          <w:color w:val="002060"/>
          <w:sz w:val="16"/>
          <w:szCs w:val="16"/>
        </w:rPr>
      </w:pPr>
      <w:r w:rsidRPr="00405303">
        <w:rPr>
          <w:bCs/>
          <w:color w:val="002060"/>
          <w:sz w:val="16"/>
          <w:szCs w:val="16"/>
        </w:rPr>
        <w:t>Отмечая указанное, Особая комиссия констатировала, что многие заводы за первые полгода войны далеко не достигли той степени производительности, какую могли бы достигнуть. Особая комиссия, пользуясь данными ей широкими правами, предписала военным заводам в кратчайший срок поставить работу на боевую ногу и прекратить все приемы мирного времени, замедляющие ее успех. Заводской администрации предложено было проявить максимум инициативы и энергии в работе.</w:t>
      </w:r>
    </w:p>
    <w:p w14:paraId="3EC23773" w14:textId="77777777" w:rsidR="00DE7562" w:rsidRPr="00405303" w:rsidRDefault="00DE7562" w:rsidP="00C15251">
      <w:pPr>
        <w:jc w:val="both"/>
        <w:rPr>
          <w:bCs/>
          <w:color w:val="002060"/>
          <w:sz w:val="16"/>
          <w:szCs w:val="16"/>
        </w:rPr>
      </w:pPr>
      <w:r w:rsidRPr="00405303">
        <w:rPr>
          <w:bCs/>
          <w:color w:val="002060"/>
          <w:sz w:val="16"/>
          <w:szCs w:val="16"/>
        </w:rPr>
        <w:t>В новых, более благоприятных условиях работы Тульский завод с января 1915 г. приступил к самой энергичной форсировке производства. В этом направлении предприняты все доступные меры: круглосуточная работа, сокращение нерабочих дней до двух в месяце, увеличение скоростей резания, переход на ручную подачу у станка. К числу этих мер надо отнести и разрешенное ГАУ облегчение условий приемки.</w:t>
      </w:r>
    </w:p>
    <w:p w14:paraId="3BD5F9B0" w14:textId="77777777" w:rsidR="00DE7562" w:rsidRPr="00405303" w:rsidRDefault="00DE7562" w:rsidP="00C15251">
      <w:pPr>
        <w:jc w:val="both"/>
        <w:rPr>
          <w:bCs/>
          <w:color w:val="002060"/>
          <w:sz w:val="16"/>
          <w:szCs w:val="16"/>
        </w:rPr>
      </w:pPr>
      <w:r w:rsidRPr="00405303">
        <w:rPr>
          <w:bCs/>
          <w:color w:val="002060"/>
          <w:sz w:val="16"/>
          <w:szCs w:val="16"/>
        </w:rPr>
        <w:t>Параллельно с этим завод приступил к усилению своего оборудования. Был использован небольшой запас станков, имевшийся на складе. Затем производилась закупка их на внутреннем рынке. Но главное, удалось закупить более 1000 станков за границей, откуда они поступали в течение 1915 и 1916 года. Кроме того, завод получил станки из своего станкостроительного отдела, который в 1916 г. довел годовой выпуск их до 600 штук.</w:t>
      </w:r>
    </w:p>
    <w:p w14:paraId="1AD8B6A6" w14:textId="77777777" w:rsidR="00DE7562" w:rsidRPr="00405303" w:rsidRDefault="00DE7562" w:rsidP="00C15251">
      <w:pPr>
        <w:jc w:val="both"/>
        <w:rPr>
          <w:bCs/>
          <w:color w:val="002060"/>
          <w:sz w:val="16"/>
          <w:szCs w:val="16"/>
        </w:rPr>
      </w:pPr>
      <w:r w:rsidRPr="00405303">
        <w:rPr>
          <w:bCs/>
          <w:color w:val="002060"/>
          <w:sz w:val="16"/>
          <w:szCs w:val="16"/>
        </w:rPr>
        <w:t xml:space="preserve">Все свободные рабочие площади использовались под добавочное оборудование, отчего в заводе непрерывно усиливалась теснота, достигшая к концу войны крайних пределов: на станок вместо 2 сажень приходилось всего около 3/4 сажени. </w:t>
      </w:r>
    </w:p>
    <w:p w14:paraId="06E3AC64" w14:textId="77777777" w:rsidR="00DE7562" w:rsidRPr="00405303" w:rsidRDefault="00DE7562" w:rsidP="00C15251">
      <w:pPr>
        <w:jc w:val="both"/>
        <w:rPr>
          <w:bCs/>
          <w:color w:val="002060"/>
          <w:sz w:val="16"/>
          <w:szCs w:val="16"/>
        </w:rPr>
      </w:pPr>
      <w:r w:rsidRPr="00405303">
        <w:rPr>
          <w:bCs/>
          <w:color w:val="002060"/>
          <w:sz w:val="16"/>
          <w:szCs w:val="16"/>
        </w:rPr>
        <w:t xml:space="preserve">За годы войны производительность Тульского завода выражается следующими данными: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64"/>
        <w:gridCol w:w="778"/>
        <w:gridCol w:w="1040"/>
        <w:gridCol w:w="861"/>
        <w:gridCol w:w="1060"/>
        <w:gridCol w:w="1016"/>
        <w:gridCol w:w="1118"/>
      </w:tblGrid>
      <w:tr w:rsidR="00DE7562" w:rsidRPr="00405303" w14:paraId="5219E54C" w14:textId="77777777" w:rsidTr="00D34AC1">
        <w:tc>
          <w:tcPr>
            <w:tcW w:w="564" w:type="dxa"/>
          </w:tcPr>
          <w:p w14:paraId="675920A3" w14:textId="77777777" w:rsidR="00DE7562" w:rsidRPr="00405303" w:rsidRDefault="00DE7562" w:rsidP="00C15251">
            <w:pPr>
              <w:jc w:val="both"/>
              <w:rPr>
                <w:bCs/>
                <w:color w:val="002060"/>
                <w:sz w:val="16"/>
                <w:szCs w:val="16"/>
              </w:rPr>
            </w:pPr>
            <w:r w:rsidRPr="00405303">
              <w:rPr>
                <w:bCs/>
                <w:color w:val="002060"/>
                <w:sz w:val="16"/>
                <w:szCs w:val="16"/>
              </w:rPr>
              <w:t>Года</w:t>
            </w:r>
          </w:p>
        </w:tc>
        <w:tc>
          <w:tcPr>
            <w:tcW w:w="778" w:type="dxa"/>
          </w:tcPr>
          <w:p w14:paraId="614602C7" w14:textId="77777777" w:rsidR="00DE7562" w:rsidRPr="00405303" w:rsidRDefault="00DE7562" w:rsidP="00C15251">
            <w:pPr>
              <w:jc w:val="both"/>
              <w:rPr>
                <w:bCs/>
                <w:color w:val="002060"/>
                <w:sz w:val="16"/>
                <w:szCs w:val="16"/>
              </w:rPr>
            </w:pPr>
            <w:r w:rsidRPr="00405303">
              <w:rPr>
                <w:bCs/>
                <w:color w:val="002060"/>
                <w:sz w:val="16"/>
                <w:szCs w:val="16"/>
              </w:rPr>
              <w:t>Винтовки</w:t>
            </w:r>
          </w:p>
        </w:tc>
        <w:tc>
          <w:tcPr>
            <w:tcW w:w="1040" w:type="dxa"/>
          </w:tcPr>
          <w:p w14:paraId="55E565E8" w14:textId="77777777" w:rsidR="00DE7562" w:rsidRPr="00405303" w:rsidRDefault="00DE7562" w:rsidP="00C15251">
            <w:pPr>
              <w:jc w:val="both"/>
              <w:rPr>
                <w:bCs/>
                <w:color w:val="002060"/>
                <w:sz w:val="16"/>
                <w:szCs w:val="16"/>
              </w:rPr>
            </w:pPr>
            <w:r w:rsidRPr="00405303">
              <w:rPr>
                <w:bCs/>
                <w:color w:val="002060"/>
                <w:sz w:val="16"/>
                <w:szCs w:val="16"/>
              </w:rPr>
              <w:t>Револьверы</w:t>
            </w:r>
          </w:p>
        </w:tc>
        <w:tc>
          <w:tcPr>
            <w:tcW w:w="861" w:type="dxa"/>
          </w:tcPr>
          <w:p w14:paraId="5C835869" w14:textId="77777777" w:rsidR="00DE7562" w:rsidRPr="00405303" w:rsidRDefault="00DE7562" w:rsidP="00C15251">
            <w:pPr>
              <w:jc w:val="both"/>
              <w:rPr>
                <w:bCs/>
                <w:color w:val="002060"/>
                <w:sz w:val="16"/>
                <w:szCs w:val="16"/>
              </w:rPr>
            </w:pPr>
            <w:r w:rsidRPr="00405303">
              <w:rPr>
                <w:bCs/>
                <w:color w:val="002060"/>
                <w:sz w:val="16"/>
                <w:szCs w:val="16"/>
              </w:rPr>
              <w:t>Пулеметы</w:t>
            </w:r>
          </w:p>
        </w:tc>
        <w:tc>
          <w:tcPr>
            <w:tcW w:w="1060" w:type="dxa"/>
          </w:tcPr>
          <w:p w14:paraId="35E399E6" w14:textId="77777777" w:rsidR="00DE7562" w:rsidRPr="00405303" w:rsidRDefault="00DE7562" w:rsidP="00C15251">
            <w:pPr>
              <w:jc w:val="both"/>
              <w:rPr>
                <w:bCs/>
                <w:color w:val="002060"/>
                <w:sz w:val="16"/>
                <w:szCs w:val="16"/>
              </w:rPr>
            </w:pPr>
            <w:r w:rsidRPr="00405303">
              <w:rPr>
                <w:bCs/>
                <w:color w:val="002060"/>
                <w:sz w:val="16"/>
                <w:szCs w:val="16"/>
              </w:rPr>
              <w:t>Пулеметные станки</w:t>
            </w:r>
          </w:p>
        </w:tc>
        <w:tc>
          <w:tcPr>
            <w:tcW w:w="1016" w:type="dxa"/>
          </w:tcPr>
          <w:p w14:paraId="7793D9A7" w14:textId="77777777" w:rsidR="00DE7562" w:rsidRPr="00405303" w:rsidRDefault="00DE7562" w:rsidP="00C15251">
            <w:pPr>
              <w:jc w:val="both"/>
              <w:rPr>
                <w:bCs/>
                <w:color w:val="002060"/>
                <w:sz w:val="16"/>
                <w:szCs w:val="16"/>
              </w:rPr>
            </w:pPr>
            <w:r w:rsidRPr="00405303">
              <w:rPr>
                <w:bCs/>
                <w:color w:val="002060"/>
                <w:sz w:val="16"/>
                <w:szCs w:val="16"/>
              </w:rPr>
              <w:t>Взрыватели</w:t>
            </w:r>
          </w:p>
        </w:tc>
        <w:tc>
          <w:tcPr>
            <w:tcW w:w="1118" w:type="dxa"/>
          </w:tcPr>
          <w:p w14:paraId="7E11D858" w14:textId="77777777" w:rsidR="00DE7562" w:rsidRPr="00405303" w:rsidRDefault="00DE7562" w:rsidP="00C15251">
            <w:pPr>
              <w:jc w:val="both"/>
              <w:rPr>
                <w:bCs/>
                <w:color w:val="002060"/>
                <w:sz w:val="16"/>
                <w:szCs w:val="16"/>
              </w:rPr>
            </w:pPr>
            <w:r w:rsidRPr="00405303">
              <w:rPr>
                <w:bCs/>
                <w:color w:val="002060"/>
                <w:sz w:val="16"/>
                <w:szCs w:val="16"/>
              </w:rPr>
              <w:t>Итого</w:t>
            </w:r>
          </w:p>
          <w:p w14:paraId="0DA5B1C4" w14:textId="77777777" w:rsidR="00DE7562" w:rsidRPr="00405303" w:rsidRDefault="00DE7562" w:rsidP="00C15251">
            <w:pPr>
              <w:jc w:val="both"/>
              <w:rPr>
                <w:bCs/>
                <w:color w:val="002060"/>
                <w:sz w:val="16"/>
                <w:szCs w:val="16"/>
              </w:rPr>
            </w:pPr>
            <w:r w:rsidRPr="00405303">
              <w:rPr>
                <w:bCs/>
                <w:color w:val="002060"/>
                <w:sz w:val="16"/>
                <w:szCs w:val="16"/>
              </w:rPr>
              <w:t>приведенных</w:t>
            </w:r>
          </w:p>
          <w:p w14:paraId="28A1612E" w14:textId="77777777" w:rsidR="00DE7562" w:rsidRPr="00405303" w:rsidRDefault="00DE7562" w:rsidP="00C15251">
            <w:pPr>
              <w:jc w:val="both"/>
              <w:rPr>
                <w:bCs/>
                <w:color w:val="002060"/>
                <w:sz w:val="16"/>
                <w:szCs w:val="16"/>
              </w:rPr>
            </w:pPr>
            <w:r w:rsidRPr="00405303">
              <w:rPr>
                <w:bCs/>
                <w:color w:val="002060"/>
                <w:sz w:val="16"/>
                <w:szCs w:val="16"/>
              </w:rPr>
              <w:t>единиц</w:t>
            </w:r>
          </w:p>
        </w:tc>
      </w:tr>
      <w:tr w:rsidR="00DE7562" w:rsidRPr="00405303" w14:paraId="46802D84" w14:textId="77777777" w:rsidTr="00D34AC1">
        <w:tc>
          <w:tcPr>
            <w:tcW w:w="564" w:type="dxa"/>
          </w:tcPr>
          <w:p w14:paraId="467E684E" w14:textId="77777777" w:rsidR="00DE7562" w:rsidRPr="00405303" w:rsidRDefault="00DE7562" w:rsidP="00C15251">
            <w:pPr>
              <w:jc w:val="both"/>
              <w:rPr>
                <w:bCs/>
                <w:color w:val="002060"/>
                <w:sz w:val="16"/>
                <w:szCs w:val="16"/>
              </w:rPr>
            </w:pPr>
            <w:r w:rsidRPr="00405303">
              <w:rPr>
                <w:bCs/>
                <w:color w:val="002060"/>
                <w:sz w:val="16"/>
                <w:szCs w:val="16"/>
              </w:rPr>
              <w:t>1914</w:t>
            </w:r>
          </w:p>
        </w:tc>
        <w:tc>
          <w:tcPr>
            <w:tcW w:w="778" w:type="dxa"/>
          </w:tcPr>
          <w:p w14:paraId="7A744E0D" w14:textId="77777777" w:rsidR="00DE7562" w:rsidRPr="00405303" w:rsidRDefault="00DE7562" w:rsidP="00C15251">
            <w:pPr>
              <w:jc w:val="both"/>
              <w:rPr>
                <w:bCs/>
                <w:color w:val="002060"/>
                <w:sz w:val="16"/>
                <w:szCs w:val="16"/>
              </w:rPr>
            </w:pPr>
            <w:r w:rsidRPr="00405303">
              <w:rPr>
                <w:bCs/>
                <w:color w:val="002060"/>
                <w:sz w:val="16"/>
                <w:szCs w:val="16"/>
              </w:rPr>
              <w:t>259.000</w:t>
            </w:r>
          </w:p>
        </w:tc>
        <w:tc>
          <w:tcPr>
            <w:tcW w:w="1040" w:type="dxa"/>
          </w:tcPr>
          <w:p w14:paraId="5AE34122" w14:textId="77777777" w:rsidR="00DE7562" w:rsidRPr="00405303" w:rsidRDefault="00DE7562" w:rsidP="00C15251">
            <w:pPr>
              <w:jc w:val="both"/>
              <w:rPr>
                <w:bCs/>
                <w:color w:val="002060"/>
                <w:sz w:val="16"/>
                <w:szCs w:val="16"/>
              </w:rPr>
            </w:pPr>
            <w:r w:rsidRPr="00405303">
              <w:rPr>
                <w:bCs/>
                <w:color w:val="002060"/>
                <w:sz w:val="16"/>
                <w:szCs w:val="16"/>
              </w:rPr>
              <w:t>76.000</w:t>
            </w:r>
          </w:p>
        </w:tc>
        <w:tc>
          <w:tcPr>
            <w:tcW w:w="861" w:type="dxa"/>
          </w:tcPr>
          <w:p w14:paraId="5B468B4B" w14:textId="77777777" w:rsidR="00DE7562" w:rsidRPr="00405303" w:rsidRDefault="00DE7562" w:rsidP="00C15251">
            <w:pPr>
              <w:jc w:val="both"/>
              <w:rPr>
                <w:bCs/>
                <w:color w:val="002060"/>
                <w:sz w:val="16"/>
                <w:szCs w:val="16"/>
              </w:rPr>
            </w:pPr>
            <w:r w:rsidRPr="00405303">
              <w:rPr>
                <w:bCs/>
                <w:color w:val="002060"/>
                <w:sz w:val="16"/>
                <w:szCs w:val="16"/>
              </w:rPr>
              <w:t>1.300</w:t>
            </w:r>
          </w:p>
        </w:tc>
        <w:tc>
          <w:tcPr>
            <w:tcW w:w="1060" w:type="dxa"/>
          </w:tcPr>
          <w:p w14:paraId="3C5AA333" w14:textId="77777777" w:rsidR="00DE7562" w:rsidRPr="00405303" w:rsidRDefault="00DE7562" w:rsidP="00C15251">
            <w:pPr>
              <w:jc w:val="both"/>
              <w:rPr>
                <w:bCs/>
                <w:color w:val="002060"/>
                <w:sz w:val="16"/>
                <w:szCs w:val="16"/>
              </w:rPr>
            </w:pPr>
            <w:r w:rsidRPr="00405303">
              <w:rPr>
                <w:bCs/>
                <w:color w:val="002060"/>
                <w:sz w:val="16"/>
                <w:szCs w:val="16"/>
              </w:rPr>
              <w:t>800</w:t>
            </w:r>
          </w:p>
        </w:tc>
        <w:tc>
          <w:tcPr>
            <w:tcW w:w="1016" w:type="dxa"/>
          </w:tcPr>
          <w:p w14:paraId="7C33A507" w14:textId="77777777" w:rsidR="00DE7562" w:rsidRPr="00405303" w:rsidRDefault="00DE7562" w:rsidP="00C15251">
            <w:pPr>
              <w:jc w:val="both"/>
              <w:rPr>
                <w:bCs/>
                <w:color w:val="002060"/>
                <w:sz w:val="16"/>
                <w:szCs w:val="16"/>
              </w:rPr>
            </w:pPr>
            <w:r w:rsidRPr="00405303">
              <w:rPr>
                <w:bCs/>
                <w:color w:val="002060"/>
                <w:sz w:val="16"/>
                <w:szCs w:val="16"/>
              </w:rPr>
              <w:t>277.000</w:t>
            </w:r>
          </w:p>
        </w:tc>
        <w:tc>
          <w:tcPr>
            <w:tcW w:w="1118" w:type="dxa"/>
          </w:tcPr>
          <w:p w14:paraId="644F0503" w14:textId="77777777" w:rsidR="00DE7562" w:rsidRPr="00405303" w:rsidRDefault="00DE7562" w:rsidP="00C15251">
            <w:pPr>
              <w:jc w:val="both"/>
              <w:rPr>
                <w:bCs/>
                <w:color w:val="002060"/>
                <w:sz w:val="16"/>
                <w:szCs w:val="16"/>
              </w:rPr>
            </w:pPr>
            <w:r w:rsidRPr="00405303">
              <w:rPr>
                <w:bCs/>
                <w:color w:val="002060"/>
                <w:sz w:val="16"/>
                <w:szCs w:val="16"/>
              </w:rPr>
              <w:t>242.000</w:t>
            </w:r>
          </w:p>
        </w:tc>
      </w:tr>
      <w:tr w:rsidR="00DE7562" w:rsidRPr="00405303" w14:paraId="63171D0D" w14:textId="77777777" w:rsidTr="00D34AC1">
        <w:tc>
          <w:tcPr>
            <w:tcW w:w="564" w:type="dxa"/>
          </w:tcPr>
          <w:p w14:paraId="3E5EEA3C" w14:textId="77777777" w:rsidR="00DE7562" w:rsidRPr="00405303" w:rsidRDefault="00DE7562" w:rsidP="00C15251">
            <w:pPr>
              <w:jc w:val="both"/>
              <w:rPr>
                <w:bCs/>
                <w:color w:val="002060"/>
                <w:sz w:val="16"/>
                <w:szCs w:val="16"/>
              </w:rPr>
            </w:pPr>
            <w:r w:rsidRPr="00405303">
              <w:rPr>
                <w:bCs/>
                <w:color w:val="002060"/>
                <w:sz w:val="16"/>
                <w:szCs w:val="16"/>
              </w:rPr>
              <w:t>1915</w:t>
            </w:r>
          </w:p>
        </w:tc>
        <w:tc>
          <w:tcPr>
            <w:tcW w:w="778" w:type="dxa"/>
          </w:tcPr>
          <w:p w14:paraId="5A4CCBFF" w14:textId="77777777" w:rsidR="00DE7562" w:rsidRPr="00405303" w:rsidRDefault="00DE7562" w:rsidP="00C15251">
            <w:pPr>
              <w:jc w:val="both"/>
              <w:rPr>
                <w:bCs/>
                <w:color w:val="002060"/>
                <w:sz w:val="16"/>
                <w:szCs w:val="16"/>
              </w:rPr>
            </w:pPr>
            <w:r w:rsidRPr="00405303">
              <w:rPr>
                <w:bCs/>
                <w:color w:val="002060"/>
                <w:sz w:val="16"/>
                <w:szCs w:val="16"/>
              </w:rPr>
              <w:t>352.500</w:t>
            </w:r>
          </w:p>
        </w:tc>
        <w:tc>
          <w:tcPr>
            <w:tcW w:w="1040" w:type="dxa"/>
          </w:tcPr>
          <w:p w14:paraId="4F3AEB6C" w14:textId="77777777" w:rsidR="00DE7562" w:rsidRPr="00405303" w:rsidRDefault="00DE7562" w:rsidP="00C15251">
            <w:pPr>
              <w:jc w:val="both"/>
              <w:rPr>
                <w:bCs/>
                <w:color w:val="002060"/>
                <w:sz w:val="16"/>
                <w:szCs w:val="16"/>
              </w:rPr>
            </w:pPr>
            <w:r w:rsidRPr="00405303">
              <w:rPr>
                <w:bCs/>
                <w:color w:val="002060"/>
                <w:sz w:val="16"/>
                <w:szCs w:val="16"/>
              </w:rPr>
              <w:t>131.900</w:t>
            </w:r>
          </w:p>
        </w:tc>
        <w:tc>
          <w:tcPr>
            <w:tcW w:w="861" w:type="dxa"/>
          </w:tcPr>
          <w:p w14:paraId="22667CC1" w14:textId="77777777" w:rsidR="00DE7562" w:rsidRPr="00405303" w:rsidRDefault="00DE7562" w:rsidP="00C15251">
            <w:pPr>
              <w:jc w:val="both"/>
              <w:rPr>
                <w:bCs/>
                <w:color w:val="002060"/>
                <w:sz w:val="16"/>
                <w:szCs w:val="16"/>
              </w:rPr>
            </w:pPr>
            <w:r w:rsidRPr="00405303">
              <w:rPr>
                <w:bCs/>
                <w:color w:val="002060"/>
                <w:sz w:val="16"/>
                <w:szCs w:val="16"/>
              </w:rPr>
              <w:t>4.300</w:t>
            </w:r>
          </w:p>
        </w:tc>
        <w:tc>
          <w:tcPr>
            <w:tcW w:w="1060" w:type="dxa"/>
          </w:tcPr>
          <w:p w14:paraId="50CCCEE1" w14:textId="77777777" w:rsidR="00DE7562" w:rsidRPr="00405303" w:rsidRDefault="00DE7562" w:rsidP="00C15251">
            <w:pPr>
              <w:jc w:val="both"/>
              <w:rPr>
                <w:bCs/>
                <w:color w:val="002060"/>
                <w:sz w:val="16"/>
                <w:szCs w:val="16"/>
              </w:rPr>
            </w:pPr>
            <w:r w:rsidRPr="00405303">
              <w:rPr>
                <w:bCs/>
                <w:color w:val="002060"/>
                <w:sz w:val="16"/>
                <w:szCs w:val="16"/>
              </w:rPr>
              <w:t>2.500</w:t>
            </w:r>
          </w:p>
        </w:tc>
        <w:tc>
          <w:tcPr>
            <w:tcW w:w="1016" w:type="dxa"/>
          </w:tcPr>
          <w:p w14:paraId="5C29749D" w14:textId="77777777" w:rsidR="00DE7562" w:rsidRPr="00405303" w:rsidRDefault="00DE7562" w:rsidP="00C15251">
            <w:pPr>
              <w:jc w:val="both"/>
              <w:rPr>
                <w:bCs/>
                <w:color w:val="002060"/>
                <w:sz w:val="16"/>
                <w:szCs w:val="16"/>
              </w:rPr>
            </w:pPr>
            <w:r w:rsidRPr="00405303">
              <w:rPr>
                <w:bCs/>
                <w:color w:val="002060"/>
                <w:sz w:val="16"/>
                <w:szCs w:val="16"/>
              </w:rPr>
              <w:t>459.000</w:t>
            </w:r>
          </w:p>
        </w:tc>
        <w:tc>
          <w:tcPr>
            <w:tcW w:w="1118" w:type="dxa"/>
          </w:tcPr>
          <w:p w14:paraId="3D6B93EF" w14:textId="77777777" w:rsidR="00DE7562" w:rsidRPr="00405303" w:rsidRDefault="00DE7562" w:rsidP="00C15251">
            <w:pPr>
              <w:jc w:val="both"/>
              <w:rPr>
                <w:bCs/>
                <w:color w:val="002060"/>
                <w:sz w:val="16"/>
                <w:szCs w:val="16"/>
              </w:rPr>
            </w:pPr>
            <w:r w:rsidRPr="00405303">
              <w:rPr>
                <w:bCs/>
                <w:color w:val="002060"/>
                <w:sz w:val="16"/>
                <w:szCs w:val="16"/>
              </w:rPr>
              <w:t>610.000</w:t>
            </w:r>
          </w:p>
        </w:tc>
      </w:tr>
      <w:tr w:rsidR="00DE7562" w:rsidRPr="00405303" w14:paraId="67B6C19B" w14:textId="77777777" w:rsidTr="00D34AC1">
        <w:tc>
          <w:tcPr>
            <w:tcW w:w="564" w:type="dxa"/>
          </w:tcPr>
          <w:p w14:paraId="08C264C7" w14:textId="77777777" w:rsidR="00DE7562" w:rsidRPr="00405303" w:rsidRDefault="00DE7562" w:rsidP="00C15251">
            <w:pPr>
              <w:jc w:val="both"/>
              <w:rPr>
                <w:bCs/>
                <w:color w:val="002060"/>
                <w:sz w:val="16"/>
                <w:szCs w:val="16"/>
              </w:rPr>
            </w:pPr>
            <w:r w:rsidRPr="00405303">
              <w:rPr>
                <w:bCs/>
                <w:color w:val="002060"/>
                <w:sz w:val="16"/>
                <w:szCs w:val="16"/>
              </w:rPr>
              <w:t>1916</w:t>
            </w:r>
          </w:p>
        </w:tc>
        <w:tc>
          <w:tcPr>
            <w:tcW w:w="778" w:type="dxa"/>
          </w:tcPr>
          <w:p w14:paraId="24A0CCBC" w14:textId="77777777" w:rsidR="00DE7562" w:rsidRPr="00405303" w:rsidRDefault="00DE7562" w:rsidP="00C15251">
            <w:pPr>
              <w:jc w:val="both"/>
              <w:rPr>
                <w:bCs/>
                <w:color w:val="002060"/>
                <w:sz w:val="16"/>
                <w:szCs w:val="16"/>
              </w:rPr>
            </w:pPr>
            <w:r w:rsidRPr="00405303">
              <w:rPr>
                <w:bCs/>
                <w:color w:val="002060"/>
                <w:sz w:val="16"/>
                <w:szCs w:val="16"/>
              </w:rPr>
              <w:t>648.800</w:t>
            </w:r>
          </w:p>
        </w:tc>
        <w:tc>
          <w:tcPr>
            <w:tcW w:w="1040" w:type="dxa"/>
          </w:tcPr>
          <w:p w14:paraId="47DB02BE" w14:textId="77777777" w:rsidR="00DE7562" w:rsidRPr="00405303" w:rsidRDefault="00DE7562" w:rsidP="00C15251">
            <w:pPr>
              <w:jc w:val="both"/>
              <w:rPr>
                <w:bCs/>
                <w:color w:val="002060"/>
                <w:sz w:val="16"/>
                <w:szCs w:val="16"/>
              </w:rPr>
            </w:pPr>
            <w:r w:rsidRPr="00405303">
              <w:rPr>
                <w:bCs/>
                <w:color w:val="002060"/>
                <w:sz w:val="16"/>
                <w:szCs w:val="16"/>
              </w:rPr>
              <w:t>180.700</w:t>
            </w:r>
          </w:p>
        </w:tc>
        <w:tc>
          <w:tcPr>
            <w:tcW w:w="861" w:type="dxa"/>
          </w:tcPr>
          <w:p w14:paraId="38050093" w14:textId="77777777" w:rsidR="00DE7562" w:rsidRPr="00405303" w:rsidRDefault="00DE7562" w:rsidP="00C15251">
            <w:pPr>
              <w:jc w:val="both"/>
              <w:rPr>
                <w:bCs/>
                <w:color w:val="002060"/>
                <w:sz w:val="16"/>
                <w:szCs w:val="16"/>
              </w:rPr>
            </w:pPr>
            <w:r w:rsidRPr="00405303">
              <w:rPr>
                <w:bCs/>
                <w:color w:val="002060"/>
                <w:sz w:val="16"/>
                <w:szCs w:val="16"/>
              </w:rPr>
              <w:t>11.100</w:t>
            </w:r>
          </w:p>
        </w:tc>
        <w:tc>
          <w:tcPr>
            <w:tcW w:w="1060" w:type="dxa"/>
          </w:tcPr>
          <w:p w14:paraId="32F3E12B" w14:textId="77777777" w:rsidR="00DE7562" w:rsidRPr="00405303" w:rsidRDefault="00DE7562" w:rsidP="00C15251">
            <w:pPr>
              <w:jc w:val="both"/>
              <w:rPr>
                <w:bCs/>
                <w:color w:val="002060"/>
                <w:sz w:val="16"/>
                <w:szCs w:val="16"/>
              </w:rPr>
            </w:pPr>
            <w:r w:rsidRPr="00405303">
              <w:rPr>
                <w:bCs/>
                <w:color w:val="002060"/>
                <w:sz w:val="16"/>
                <w:szCs w:val="16"/>
              </w:rPr>
              <w:t>8.000</w:t>
            </w:r>
          </w:p>
        </w:tc>
        <w:tc>
          <w:tcPr>
            <w:tcW w:w="1016" w:type="dxa"/>
          </w:tcPr>
          <w:p w14:paraId="5111F953" w14:textId="77777777" w:rsidR="00DE7562" w:rsidRPr="00405303" w:rsidRDefault="00DE7562" w:rsidP="00C15251">
            <w:pPr>
              <w:jc w:val="both"/>
              <w:rPr>
                <w:bCs/>
                <w:color w:val="002060"/>
                <w:sz w:val="16"/>
                <w:szCs w:val="16"/>
              </w:rPr>
            </w:pPr>
            <w:r w:rsidRPr="00405303">
              <w:rPr>
                <w:bCs/>
                <w:color w:val="002060"/>
                <w:sz w:val="16"/>
                <w:szCs w:val="16"/>
              </w:rPr>
              <w:t>677.400</w:t>
            </w:r>
          </w:p>
        </w:tc>
        <w:tc>
          <w:tcPr>
            <w:tcW w:w="1118" w:type="dxa"/>
          </w:tcPr>
          <w:p w14:paraId="3996C2AA" w14:textId="77777777" w:rsidR="00DE7562" w:rsidRPr="00405303" w:rsidRDefault="00DE7562" w:rsidP="00C15251">
            <w:pPr>
              <w:jc w:val="both"/>
              <w:rPr>
                <w:bCs/>
                <w:color w:val="002060"/>
                <w:sz w:val="16"/>
                <w:szCs w:val="16"/>
              </w:rPr>
            </w:pPr>
            <w:r w:rsidRPr="00405303">
              <w:rPr>
                <w:bCs/>
                <w:color w:val="002060"/>
                <w:sz w:val="16"/>
                <w:szCs w:val="16"/>
              </w:rPr>
              <w:t>1.141.000</w:t>
            </w:r>
          </w:p>
        </w:tc>
      </w:tr>
      <w:tr w:rsidR="00DE7562" w:rsidRPr="00405303" w14:paraId="2C9F69DE" w14:textId="77777777" w:rsidTr="00D34AC1">
        <w:tc>
          <w:tcPr>
            <w:tcW w:w="564" w:type="dxa"/>
          </w:tcPr>
          <w:p w14:paraId="692E4CF2" w14:textId="77777777" w:rsidR="00DE7562" w:rsidRPr="00405303" w:rsidRDefault="00DE7562" w:rsidP="00C15251">
            <w:pPr>
              <w:jc w:val="both"/>
              <w:rPr>
                <w:bCs/>
                <w:color w:val="002060"/>
                <w:sz w:val="16"/>
                <w:szCs w:val="16"/>
              </w:rPr>
            </w:pPr>
            <w:r w:rsidRPr="00405303">
              <w:rPr>
                <w:bCs/>
                <w:color w:val="002060"/>
                <w:sz w:val="16"/>
                <w:szCs w:val="16"/>
              </w:rPr>
              <w:t>1917</w:t>
            </w:r>
          </w:p>
        </w:tc>
        <w:tc>
          <w:tcPr>
            <w:tcW w:w="778" w:type="dxa"/>
          </w:tcPr>
          <w:p w14:paraId="304AC07F" w14:textId="77777777" w:rsidR="00DE7562" w:rsidRPr="00405303" w:rsidRDefault="00DE7562" w:rsidP="00C15251">
            <w:pPr>
              <w:jc w:val="both"/>
              <w:rPr>
                <w:bCs/>
                <w:color w:val="002060"/>
                <w:sz w:val="16"/>
                <w:szCs w:val="16"/>
              </w:rPr>
            </w:pPr>
            <w:r w:rsidRPr="00405303">
              <w:rPr>
                <w:bCs/>
                <w:color w:val="002060"/>
                <w:sz w:val="16"/>
                <w:szCs w:val="16"/>
              </w:rPr>
              <w:t>506.700</w:t>
            </w:r>
          </w:p>
        </w:tc>
        <w:tc>
          <w:tcPr>
            <w:tcW w:w="1040" w:type="dxa"/>
          </w:tcPr>
          <w:p w14:paraId="3EC7A725" w14:textId="77777777" w:rsidR="00DE7562" w:rsidRPr="00405303" w:rsidRDefault="00DE7562" w:rsidP="00C15251">
            <w:pPr>
              <w:jc w:val="both"/>
              <w:rPr>
                <w:bCs/>
                <w:color w:val="002060"/>
                <w:sz w:val="16"/>
                <w:szCs w:val="16"/>
              </w:rPr>
            </w:pPr>
            <w:r w:rsidRPr="00405303">
              <w:rPr>
                <w:bCs/>
                <w:color w:val="002060"/>
                <w:sz w:val="16"/>
                <w:szCs w:val="16"/>
              </w:rPr>
              <w:t>86.200</w:t>
            </w:r>
          </w:p>
        </w:tc>
        <w:tc>
          <w:tcPr>
            <w:tcW w:w="861" w:type="dxa"/>
          </w:tcPr>
          <w:p w14:paraId="0C641C92" w14:textId="77777777" w:rsidR="00DE7562" w:rsidRPr="00405303" w:rsidRDefault="00DE7562" w:rsidP="00C15251">
            <w:pPr>
              <w:jc w:val="both"/>
              <w:rPr>
                <w:bCs/>
                <w:color w:val="002060"/>
                <w:sz w:val="16"/>
                <w:szCs w:val="16"/>
              </w:rPr>
            </w:pPr>
            <w:r w:rsidRPr="00405303">
              <w:rPr>
                <w:bCs/>
                <w:color w:val="002060"/>
                <w:sz w:val="16"/>
                <w:szCs w:val="16"/>
              </w:rPr>
              <w:t>11.400</w:t>
            </w:r>
          </w:p>
        </w:tc>
        <w:tc>
          <w:tcPr>
            <w:tcW w:w="1060" w:type="dxa"/>
          </w:tcPr>
          <w:p w14:paraId="77A8D69E" w14:textId="77777777" w:rsidR="00DE7562" w:rsidRPr="00405303" w:rsidRDefault="00DE7562" w:rsidP="00C15251">
            <w:pPr>
              <w:jc w:val="both"/>
              <w:rPr>
                <w:bCs/>
                <w:color w:val="002060"/>
                <w:sz w:val="16"/>
                <w:szCs w:val="16"/>
              </w:rPr>
            </w:pPr>
            <w:r w:rsidRPr="00405303">
              <w:rPr>
                <w:bCs/>
                <w:color w:val="002060"/>
                <w:sz w:val="16"/>
                <w:szCs w:val="16"/>
              </w:rPr>
              <w:t>5.000</w:t>
            </w:r>
          </w:p>
        </w:tc>
        <w:tc>
          <w:tcPr>
            <w:tcW w:w="1016" w:type="dxa"/>
          </w:tcPr>
          <w:p w14:paraId="233E537A" w14:textId="77777777" w:rsidR="00DE7562" w:rsidRPr="00405303" w:rsidRDefault="00DE7562" w:rsidP="00C15251">
            <w:pPr>
              <w:jc w:val="both"/>
              <w:rPr>
                <w:bCs/>
                <w:color w:val="002060"/>
                <w:sz w:val="16"/>
                <w:szCs w:val="16"/>
              </w:rPr>
            </w:pPr>
            <w:r w:rsidRPr="00405303">
              <w:rPr>
                <w:bCs/>
                <w:color w:val="002060"/>
                <w:sz w:val="16"/>
                <w:szCs w:val="16"/>
              </w:rPr>
              <w:t>495.400</w:t>
            </w:r>
          </w:p>
        </w:tc>
        <w:tc>
          <w:tcPr>
            <w:tcW w:w="1118" w:type="dxa"/>
          </w:tcPr>
          <w:p w14:paraId="29152E56" w14:textId="77777777" w:rsidR="00DE7562" w:rsidRPr="00405303" w:rsidRDefault="00DE7562" w:rsidP="00C15251">
            <w:pPr>
              <w:jc w:val="both"/>
              <w:rPr>
                <w:bCs/>
                <w:color w:val="002060"/>
                <w:sz w:val="16"/>
                <w:szCs w:val="16"/>
              </w:rPr>
            </w:pPr>
            <w:r w:rsidRPr="00405303">
              <w:rPr>
                <w:bCs/>
                <w:color w:val="002060"/>
                <w:sz w:val="16"/>
                <w:szCs w:val="16"/>
              </w:rPr>
              <w:t>896.000</w:t>
            </w:r>
          </w:p>
        </w:tc>
      </w:tr>
    </w:tbl>
    <w:p w14:paraId="7AAD2E34" w14:textId="77777777" w:rsidR="00DE7562" w:rsidRPr="00405303" w:rsidRDefault="00DE7562" w:rsidP="00C15251">
      <w:pPr>
        <w:jc w:val="both"/>
        <w:rPr>
          <w:bCs/>
          <w:color w:val="002060"/>
          <w:sz w:val="16"/>
          <w:szCs w:val="16"/>
        </w:rPr>
      </w:pPr>
      <w:r w:rsidRPr="00405303">
        <w:rPr>
          <w:bCs/>
          <w:color w:val="002060"/>
          <w:sz w:val="16"/>
          <w:szCs w:val="16"/>
        </w:rPr>
        <w:t>Приведенная таблица показывает непрерывный и весьма интенсивный рост производства Тульского завода по всем основным его изделиям, что является, как указано выше, результатом как форсировки производства, так и усиления оборудования, которое шло непрерывно в течение всех лет войны.</w:t>
      </w:r>
    </w:p>
    <w:p w14:paraId="60D288CF" w14:textId="77777777" w:rsidR="00DE7562" w:rsidRPr="00405303" w:rsidRDefault="00DE7562" w:rsidP="00C15251">
      <w:pPr>
        <w:jc w:val="both"/>
        <w:rPr>
          <w:bCs/>
          <w:color w:val="002060"/>
          <w:sz w:val="16"/>
          <w:szCs w:val="16"/>
        </w:rPr>
      </w:pPr>
      <w:r w:rsidRPr="00405303">
        <w:rPr>
          <w:bCs/>
          <w:color w:val="002060"/>
          <w:sz w:val="16"/>
          <w:szCs w:val="16"/>
        </w:rPr>
        <w:t>Сверх указанных в таблице работ, Тульский завод вел также работу по ремонту поврежденных на фронте винтовок. В 1914 г. им было отремонтировано 46.000 винтовок, в 1915 г. — 53.000 винтовок и в 1916 г. — только 8700 винтовок. Необходимо отметить, что к этой работе завод не готовился и она ему весьма мешала во время войны. Тульский же завод пришлось привлекать к ремонтным работам потому, что военным ведомством не были своевременно организованы ремонтно-ружейные мастерские. Только во второй половине 1915 г. Тульский завод, равно как и Ижевский, начал освобождаться от ремонтных работ (11329).</w:t>
      </w:r>
    </w:p>
    <w:p w14:paraId="07D75A39" w14:textId="77777777" w:rsidR="00DE7562" w:rsidRPr="00405303" w:rsidRDefault="00DE7562" w:rsidP="00C15251">
      <w:pPr>
        <w:jc w:val="both"/>
        <w:rPr>
          <w:bCs/>
          <w:i/>
          <w:color w:val="002060"/>
          <w:sz w:val="16"/>
          <w:szCs w:val="16"/>
        </w:rPr>
      </w:pPr>
    </w:p>
    <w:p w14:paraId="4E4F4EDC" w14:textId="77777777" w:rsidR="002A03B1" w:rsidRPr="00405303" w:rsidRDefault="002A03B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 (15) января 1915 года решено было образовать Особую распорядительную комиссию по артиллерийской части в целях "установления действительной связи между действующей армией и органами, ведающими изготовлением и снабжение" предметами артиллерийского имущества". </w:t>
      </w:r>
    </w:p>
    <w:p w14:paraId="53912A28" w14:textId="77777777" w:rsidR="002A03B1" w:rsidRPr="00405303" w:rsidRDefault="002A03B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Положение об Особой распорядительной комиссии было утверждено 15 февраля 1915 г., причем в § 1 Положения было указано, что "образование означенной комиссии не изменяет установленного законом порядка направления всех заготовительных вопросов через Военный совет". </w:t>
      </w:r>
    </w:p>
    <w:p w14:paraId="030B3161" w14:textId="77777777" w:rsidR="002A03B1" w:rsidRPr="00405303" w:rsidRDefault="002A03B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Нa комиссию возлагалась обязанность "всеми мерами способствовать обеспечению действующей армии предметами артиллерийского снабжения, почему ее наблюдению и контролю подлежат все действия довольствующих учреждений". </w:t>
      </w:r>
    </w:p>
    <w:p w14:paraId="5F71F87B" w14:textId="77777777" w:rsidR="002A03B1" w:rsidRPr="00405303" w:rsidRDefault="002A03B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Комиссия обязана была наблюдать и проверять деятельность как ГАУ и подведомственных ему органов и лиц, так и всех причастных к заказам ГАУ частных и казенных учреждений и. заведений других ведомств в отношении всего, касающегося снабжения и своевременной доставки в действующую армию и т. д. </w:t>
      </w:r>
    </w:p>
    <w:p w14:paraId="325660E7" w14:textId="77777777" w:rsidR="002A03B1" w:rsidRPr="00405303" w:rsidRDefault="002A03B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На председателя комиссии возлагались обязанности: а) предъявлять ГАУ и подведомственным ему органам требования армии по части артиллерийского снабжения и настойчиво добиваться скорейшего их осуществления; б) требовать от подлежащих органов сведения о нуждах действующей армии по артиллерийскому снабжению; в) своевременно принимать меры к тому, чтобы артиллерийское снабжение велось вполне успешно, "указывая все средства как внутри империи, так и за границей и применяя все способы к незамедлительному удовлетворению этой потребности". </w:t>
      </w:r>
    </w:p>
    <w:p w14:paraId="36D03CB5" w14:textId="77777777" w:rsidR="002A03B1" w:rsidRPr="00405303" w:rsidRDefault="002A03B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Председателю комиссии предоставлялось право лично, через его помощника или через членов комиссии: а) проверять работы всех, управлений, учреждений и заведений, ведающих изготовлением, приобретением или доставкою в армию предметов артиллерийского снабжения; б) осматривать и контролировать работы на заводах, в мастерских, на складах и т. п., принадлежащих как частным лицам, так и другим казенным ведомствам, получивших заказы от ГАУ для действующей </w:t>
      </w:r>
      <w:r w:rsidRPr="00405303">
        <w:rPr>
          <w:bCs/>
          <w:i w:val="0"/>
          <w:color w:val="002060"/>
          <w:spacing w:val="0"/>
          <w:kern w:val="0"/>
          <w:position w:val="0"/>
          <w:sz w:val="16"/>
          <w:szCs w:val="16"/>
        </w:rPr>
        <w:lastRenderedPageBreak/>
        <w:t xml:space="preserve">армии. Но в § 8 Положения была сделана оговорка, что "контроль, и вообще отношение к частным и казенным заводам и фабрикам пе должны выходить из рамок действующих законоположений, высочайше утвержденных постановлений совета министров и междуведомственных соглашений". </w:t>
      </w:r>
    </w:p>
    <w:p w14:paraId="6DB5CDD5" w14:textId="77777777" w:rsidR="002A03B1" w:rsidRPr="00405303" w:rsidRDefault="002A03B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Оговорки в § 1 и 8 Положения в значительной мере связывали свободу деятельности комиссии. </w:t>
      </w:r>
    </w:p>
    <w:p w14:paraId="72A65BA9" w14:textId="77777777" w:rsidR="002A03B1" w:rsidRPr="00405303" w:rsidRDefault="002A03B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Большинство обязанностей Особой распорядительной комиссии являлось по существу дублированием обязанностей ГАУ. Поэтому и по другим соображениям, о которых будет сказано ниже, с назначением ген. Поливанова военным министром деятельность комиссии была признана излишней; комиссия была упразднена к июлю 1915 г. </w:t>
      </w:r>
    </w:p>
    <w:p w14:paraId="73176930" w14:textId="77777777" w:rsidR="002A03B1" w:rsidRPr="00405303" w:rsidRDefault="002A03B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Несмотря на краткость своего существования - около 0,5 года - ей все же удалось достигнуть весьма значительных результатов. Комиссия предприняла ряд мер, сильно поднявших производство. предметов боевого снабжения в России; ею были исчерпаны почти все возможности единовременных покупок и исполнимых контрактов на те же предметы за границей. </w:t>
      </w:r>
    </w:p>
    <w:p w14:paraId="642B4DF2" w14:textId="77777777" w:rsidR="002A03B1" w:rsidRPr="00405303" w:rsidRDefault="002A03B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Члены комиссии путем объездов и личных посещений ознакомились с действительными нуждами русских заводов и учредили фактический контроль над их деятельностью. </w:t>
      </w:r>
    </w:p>
    <w:p w14:paraId="6C5A3253" w14:textId="77777777" w:rsidR="002A03B1" w:rsidRPr="00405303" w:rsidRDefault="002A03B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Рассмотрев заграничные заказы, председатель комиссии пришел к выводу, что заключенные с заграничными фирмами контракты совершенно невыполнимы в обусловленные сроки, которые он считал "обманными". По донесениям приемщиков, большинство иностранных заводов ко времени учреждения комиссии не начинало производства, "но только приступало к оборудованию новых заводов". Союзные же правительства, несмотря на свои заявления, что они принимают все меры к добросовестному выполнению их заводами русских контрактов, "не только не способствовали нам, но даже косвенно препятствовали заводам в исполнении ими своих работ, заботясь, конечно, главным образом, о снабжении своих армий". </w:t>
      </w:r>
    </w:p>
    <w:p w14:paraId="5B498C31" w14:textId="77777777" w:rsidR="002A03B1" w:rsidRPr="00405303" w:rsidRDefault="002A03B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действительности большие опоздания в изготовлении заграничными заводами заказанных им предметов для русской армии превзошли все самые пессимистические ожидания. </w:t>
      </w:r>
    </w:p>
    <w:p w14:paraId="2F941F53" w14:textId="77777777" w:rsidR="002A03B1" w:rsidRPr="00405303" w:rsidRDefault="002A03B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Комиссией выработан был план осуществления общих мер к увеличению производительности русских заводов, работающих на оборону: в отношении обеспечения их топливом, личным техническим составом и рабочими; в отношении технических облегчений и усовершенствований, имевших целью увеличение выхода изделий; по изготовлению химических и взрывчатых веществ; по заготовлению траншейных орудий с огнеприпасами к ним и пр. Комиссия стремилась к объединению разрозненной деятельности военного и морского ведомств по заготовлению и распределению предметов боевого снабжения, в особенности пороха и взрывчатых веществ. </w:t>
      </w:r>
    </w:p>
    <w:p w14:paraId="60827FBA" w14:textId="77777777" w:rsidR="002A03B1" w:rsidRPr="00405303" w:rsidRDefault="002A03B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Кроме того, председатель комиссии руководил делом формирования новых батарей (в том числе зенитных), производившегося вне театра военных действий, распределением орудий, требующихся па фронт из крепостей, и т. д. </w:t>
      </w:r>
    </w:p>
    <w:p w14:paraId="096AF4D7" w14:textId="77777777" w:rsidR="002A03B1" w:rsidRPr="00405303" w:rsidRDefault="002A03B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15 (28) февраля 1915 г. главковерх телеграфировал председателю Распорядительной комиссии, что "все дальнейшие неудачи безусловно будут последствием недостатка пушечных патронов и винтовок". На это последний ответил, что, "вполне сознавая то критическое положение, в котором находится армия...", однако, обследовав вопросы артснабжения, он пришел к убеждению, что все мероприятия к ускорению артснабжения "смогут дать благоприятные результаты только в будущем". Обследование ген. Маниковского показало, например, что производительность наших оружейных заводов может быть поднята не раньше, как через шесть месяцев. </w:t>
      </w:r>
    </w:p>
    <w:p w14:paraId="673F8FA7" w14:textId="77777777" w:rsidR="002A03B1" w:rsidRPr="00405303" w:rsidRDefault="002A03B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22 февраля (7 марта) того же года главковерх вновь телеграфировал председателю Распорядительной комиссии: "Положение очень серьезно, недостаток пушечных патронов критический; подача замедлена, фронты нервно настроены, возможна серьезная неудача от недостатка патронов; между тем успех во многих местах вполне возможен; нужны сверх-меры". </w:t>
      </w:r>
    </w:p>
    <w:p w14:paraId="0C76F8AD" w14:textId="77777777" w:rsidR="002A03B1" w:rsidRPr="00405303" w:rsidRDefault="002A03B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 распоряжению председателя комиссии собраны были со всех заводов готовые снаряды, не дожидаясь требуемых испытаний, и в течение второй половины февраля было отправлено в армию 212.000 пушечных 76-мм патронов. </w:t>
      </w:r>
    </w:p>
    <w:p w14:paraId="4B2EB3C1" w14:textId="77777777" w:rsidR="002A03B1" w:rsidRPr="00405303" w:rsidRDefault="002A03B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 весне 1915 г. недостаток боевых припасов в действующей армии достиг крайнего предела, о чем главковерх непрестанно телеграфировал председателю Распорядительной комиссии. Признано было необходимым поставить во главе ГАУ нового начальника. 25 мая (7 июня) 1915 г. начальником ГАУ был назначен ген. Маниковский. </w:t>
      </w:r>
    </w:p>
    <w:p w14:paraId="59B2C1B6" w14:textId="77777777" w:rsidR="002A03B1" w:rsidRPr="00405303" w:rsidRDefault="002A03B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При Маниковском колоссальные многообразные требования войны осложнили деятельность ГАУ свыше всяких предположений. По мере увеличения или возникновения новых требований видоизменялась организация ГАУ, штаты его непрерывно расширялись без определенного, заранее предусмотренного плана. К концу мировой войны, в мае 1917 г., когда ген. Маниковского, назначенного помощником военного министра по снабжению, заменил ген. Лехович, ГАУ представляло чрезвычайно сложный и громоздкий организм, как это видно на прилагаемой схеме 2 (приложение 2) (11483).</w:t>
      </w:r>
    </w:p>
    <w:p w14:paraId="39BE51B6" w14:textId="77777777" w:rsidR="002A03B1" w:rsidRPr="00405303" w:rsidRDefault="002A03B1" w:rsidP="00C15251">
      <w:pPr>
        <w:pStyle w:val="a3"/>
        <w:jc w:val="both"/>
        <w:rPr>
          <w:bCs/>
          <w:i w:val="0"/>
          <w:color w:val="002060"/>
          <w:spacing w:val="0"/>
          <w:kern w:val="0"/>
          <w:position w:val="0"/>
          <w:sz w:val="16"/>
          <w:szCs w:val="16"/>
        </w:rPr>
      </w:pPr>
    </w:p>
    <w:p w14:paraId="61A306A7" w14:textId="77777777" w:rsidR="00DE7562" w:rsidRPr="00405303" w:rsidRDefault="00DE7562" w:rsidP="00C15251">
      <w:pPr>
        <w:pStyle w:val="ae"/>
        <w:spacing w:before="0" w:beforeAutospacing="0" w:after="0" w:afterAutospacing="0"/>
        <w:jc w:val="both"/>
        <w:rPr>
          <w:bCs/>
          <w:color w:val="002060"/>
          <w:sz w:val="16"/>
          <w:szCs w:val="16"/>
        </w:rPr>
      </w:pPr>
      <w:r w:rsidRPr="00405303">
        <w:rPr>
          <w:bCs/>
          <w:color w:val="002060"/>
          <w:sz w:val="16"/>
          <w:szCs w:val="16"/>
        </w:rPr>
        <w:t>1 (14) января 1915 г. по ходатайству верховного главнокомандующего была организована Особая распорядительная комиссия по артиллерийской части. Председателем этой комиссии стал вел. кн. Сергей Михайлович, хорошо знавший техническую сторону артиллерии, его помощником — А. А. Маниковский — комендант Кронштадтской крепости, членами комиссии — генералы Розенберг, Ипатьев, Дроздов, Крылов и Орлов. К комиссии были прикомандированы 99 прапорщиков запаса с высшим техническим образованием</w:t>
      </w:r>
      <w:bookmarkStart w:id="5" w:name="88r"/>
      <w:bookmarkEnd w:id="5"/>
      <w:r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"88p" </w:instrText>
      </w:r>
      <w:r w:rsidRPr="00405303">
        <w:rPr>
          <w:bCs/>
          <w:color w:val="002060"/>
          <w:sz w:val="16"/>
          <w:szCs w:val="16"/>
          <w:vertAlign w:val="superscript"/>
        </w:rPr>
      </w:r>
      <w:r w:rsidRPr="00405303">
        <w:rPr>
          <w:bCs/>
          <w:color w:val="002060"/>
          <w:sz w:val="16"/>
          <w:szCs w:val="16"/>
          <w:vertAlign w:val="superscript"/>
        </w:rPr>
        <w:fldChar w:fldCharType="separate"/>
      </w:r>
      <w:r w:rsidRPr="00405303">
        <w:rPr>
          <w:rStyle w:val="ad"/>
          <w:bCs/>
          <w:color w:val="002060"/>
          <w:sz w:val="16"/>
          <w:szCs w:val="16"/>
          <w:vertAlign w:val="superscript"/>
        </w:rPr>
        <w:t>88</w:t>
      </w:r>
      <w:r w:rsidRPr="00405303">
        <w:rPr>
          <w:bCs/>
          <w:color w:val="002060"/>
          <w:sz w:val="16"/>
          <w:szCs w:val="16"/>
          <w:vertAlign w:val="superscript"/>
        </w:rPr>
        <w:fldChar w:fldCharType="end"/>
      </w:r>
      <w:r w:rsidRPr="00405303">
        <w:rPr>
          <w:bCs/>
          <w:color w:val="002060"/>
          <w:sz w:val="16"/>
          <w:szCs w:val="16"/>
        </w:rPr>
        <w:t>. В состав комиссии привлекли лучших артиллеристов. Назначение вел. кн. Сергея Михайловича председателем комиссии спутало карты В. А. Сухомлинова и Ставки и вызвало их недовольство</w:t>
      </w:r>
      <w:bookmarkStart w:id="6" w:name="89r"/>
      <w:bookmarkEnd w:id="6"/>
      <w:r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"89p" </w:instrText>
      </w:r>
      <w:r w:rsidRPr="00405303">
        <w:rPr>
          <w:bCs/>
          <w:color w:val="002060"/>
          <w:sz w:val="16"/>
          <w:szCs w:val="16"/>
          <w:vertAlign w:val="superscript"/>
        </w:rPr>
      </w:r>
      <w:r w:rsidRPr="00405303">
        <w:rPr>
          <w:bCs/>
          <w:color w:val="002060"/>
          <w:sz w:val="16"/>
          <w:szCs w:val="16"/>
          <w:vertAlign w:val="superscript"/>
        </w:rPr>
        <w:fldChar w:fldCharType="separate"/>
      </w:r>
      <w:r w:rsidRPr="00405303">
        <w:rPr>
          <w:rStyle w:val="ad"/>
          <w:bCs/>
          <w:color w:val="002060"/>
          <w:sz w:val="16"/>
          <w:szCs w:val="16"/>
          <w:vertAlign w:val="superscript"/>
        </w:rPr>
        <w:t>89</w:t>
      </w:r>
      <w:r w:rsidRPr="00405303">
        <w:rPr>
          <w:bCs/>
          <w:color w:val="002060"/>
          <w:sz w:val="16"/>
          <w:szCs w:val="16"/>
          <w:vertAlign w:val="superscript"/>
        </w:rPr>
        <w:fldChar w:fldCharType="end"/>
      </w:r>
      <w:r w:rsidRPr="00405303">
        <w:rPr>
          <w:bCs/>
          <w:color w:val="002060"/>
          <w:sz w:val="16"/>
          <w:szCs w:val="16"/>
        </w:rPr>
        <w:t>.</w:t>
      </w:r>
    </w:p>
    <w:p w14:paraId="46430D75" w14:textId="77777777" w:rsidR="00DE7562" w:rsidRPr="00405303" w:rsidRDefault="00DE7562" w:rsidP="00C15251">
      <w:pPr>
        <w:pStyle w:val="ae"/>
        <w:spacing w:before="0" w:beforeAutospacing="0" w:after="0" w:afterAutospacing="0"/>
        <w:jc w:val="both"/>
        <w:rPr>
          <w:bCs/>
          <w:color w:val="002060"/>
          <w:sz w:val="16"/>
          <w:szCs w:val="16"/>
        </w:rPr>
      </w:pPr>
      <w:r w:rsidRPr="00405303">
        <w:rPr>
          <w:bCs/>
          <w:color w:val="002060"/>
          <w:sz w:val="16"/>
          <w:szCs w:val="16"/>
        </w:rPr>
        <w:t xml:space="preserve">Перед Особой распорядительной комиссией была поставлена ответственная задача: установить реальную связь «между действующей армией и органами, ведающими изготовлением и снабжением предметами артиллерийского имущества». Комиссия должна была «всеми мерами способствовать» снабжению действующей армии предметами артиллерийского довольствия и имела право контролировать деятельность учреждений и организаций, занятых снабжением армии и работой на оборону. Однако, как это при царизме часто бывало, одной рукой создавали комиссию, а другой — совали палки в колеса, чтобы помешать ее работе. Председатель комиссии, несмотря на свое высокое положение, не имел права «выходить из действующих законоположений», т. е. должен был вести дело на основе действующих правовых норм, в большинстве своем оставшихся от мирного времени. Весь порядок выдачи заказов — через Военный совет при Военном министерстве — остался неизменным; комиссия могла лишь предварительно дать свое заключение, а потом дело направлялось на окончательное решение Военного совета при военном министре. Значит, комиссия была </w:t>
      </w:r>
      <w:proofErr w:type="gramStart"/>
      <w:r w:rsidRPr="00405303">
        <w:rPr>
          <w:bCs/>
          <w:color w:val="002060"/>
          <w:sz w:val="16"/>
          <w:szCs w:val="16"/>
        </w:rPr>
        <w:t>бесправной</w:t>
      </w:r>
      <w:proofErr w:type="gramEnd"/>
      <w:r w:rsidRPr="00405303">
        <w:rPr>
          <w:bCs/>
          <w:color w:val="002060"/>
          <w:sz w:val="16"/>
          <w:szCs w:val="16"/>
        </w:rPr>
        <w:t xml:space="preserve"> и сама должна была поневоле превратиться в посредника и ходатая военных предприятий перед другими ведомствами империи.</w:t>
      </w:r>
    </w:p>
    <w:p w14:paraId="156824B6" w14:textId="77777777" w:rsidR="00DE7562" w:rsidRPr="00405303" w:rsidRDefault="00DE7562" w:rsidP="00C15251">
      <w:pPr>
        <w:pStyle w:val="ae"/>
        <w:spacing w:before="0" w:beforeAutospacing="0" w:after="0" w:afterAutospacing="0"/>
        <w:jc w:val="both"/>
        <w:rPr>
          <w:bCs/>
          <w:color w:val="002060"/>
          <w:sz w:val="16"/>
          <w:szCs w:val="16"/>
        </w:rPr>
      </w:pPr>
      <w:r w:rsidRPr="00405303">
        <w:rPr>
          <w:bCs/>
          <w:color w:val="002060"/>
          <w:sz w:val="16"/>
          <w:szCs w:val="16"/>
        </w:rPr>
        <w:t xml:space="preserve">Ставка надеялась, что великому князю, благодаря его особому и высокому положению, удастся повести дело энергичнее, чем военному министру. Однако и ему оказалось не под силу радикально изменить положение. Председатель распределил между членами комиссии определенные группы заводов, наблюдение за которыми они и должны были осуществлять. Это дало известный практический эффект, так как члены комиссии быстро ознакомились с предприятиями, что вскрыло ряд общих недостатков, устранить которые было необходимо, но сама комиссия не имела на то права. Прежде всего оказалось, что на заводах и в учреждениях дело ведется на основе законов мирного времени, что «значительно тормозило развитие заводов» и рост продукции. Не надеясь, что военный министр и Совет одобрят </w:t>
      </w:r>
      <w:proofErr w:type="gramStart"/>
      <w:r w:rsidRPr="00405303">
        <w:rPr>
          <w:bCs/>
          <w:color w:val="002060"/>
          <w:sz w:val="16"/>
          <w:szCs w:val="16"/>
        </w:rPr>
        <w:t>эту меру</w:t>
      </w:r>
      <w:proofErr w:type="gramEnd"/>
      <w:r w:rsidRPr="00405303">
        <w:rPr>
          <w:bCs/>
          <w:color w:val="002060"/>
          <w:sz w:val="16"/>
          <w:szCs w:val="16"/>
        </w:rPr>
        <w:t xml:space="preserve"> Сергей Михайлович самостоятельно разослал на все заводы телеграмму с предложением перестроить работу на военный лад, отказаться от волокиты и формалистики, сначала проводить необходимые мероприятия, а потом уже испрашивать утверждения принятых мер. «Впредь предписываю прекратить все приемы мирного времени, как-то торги, представление планов, проектов и т. п. формальностей. Вы обязаны принимать все меры к усилению производительности вверенного Вам завода путем наличной покупки как материалов, так и станков, не спрашивая разрешения ни Главного артиллерийского управления, ни окружных военных советов. По всем выполненным мероприятиям испрашивайте утверждения уже сделанных распоряжений. Если дальнейшая Ваша деятельность не даст необходимых результатов, Вы будете в самый кратчайший срок уволены со службы. Если среди членов как хозяйственной, так и технической части есть лица, тормозящие Ваши мероприятия, предписываю беззамедлительно представить к увольнению с немедленным отстранением от должности»</w:t>
      </w:r>
      <w:bookmarkStart w:id="7" w:name="90r"/>
      <w:bookmarkEnd w:id="7"/>
      <w:r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"90p" </w:instrText>
      </w:r>
      <w:r w:rsidRPr="00405303">
        <w:rPr>
          <w:bCs/>
          <w:color w:val="002060"/>
          <w:sz w:val="16"/>
          <w:szCs w:val="16"/>
          <w:vertAlign w:val="superscript"/>
        </w:rPr>
      </w:r>
      <w:r w:rsidRPr="00405303">
        <w:rPr>
          <w:bCs/>
          <w:color w:val="002060"/>
          <w:sz w:val="16"/>
          <w:szCs w:val="16"/>
          <w:vertAlign w:val="superscript"/>
        </w:rPr>
        <w:fldChar w:fldCharType="separate"/>
      </w:r>
      <w:r w:rsidRPr="00405303">
        <w:rPr>
          <w:rStyle w:val="ad"/>
          <w:bCs/>
          <w:color w:val="002060"/>
          <w:sz w:val="16"/>
          <w:szCs w:val="16"/>
          <w:vertAlign w:val="superscript"/>
        </w:rPr>
        <w:t>90</w:t>
      </w:r>
      <w:r w:rsidRPr="00405303">
        <w:rPr>
          <w:bCs/>
          <w:color w:val="002060"/>
          <w:sz w:val="16"/>
          <w:szCs w:val="16"/>
          <w:vertAlign w:val="superscript"/>
        </w:rPr>
        <w:fldChar w:fldCharType="end"/>
      </w:r>
      <w:r w:rsidRPr="00405303">
        <w:rPr>
          <w:bCs/>
          <w:color w:val="002060"/>
          <w:sz w:val="16"/>
          <w:szCs w:val="16"/>
        </w:rPr>
        <w:t>.</w:t>
      </w:r>
    </w:p>
    <w:p w14:paraId="57552079" w14:textId="77777777" w:rsidR="00DE7562" w:rsidRPr="00405303" w:rsidRDefault="00DE7562" w:rsidP="00C15251">
      <w:pPr>
        <w:pStyle w:val="ae"/>
        <w:spacing w:before="0" w:beforeAutospacing="0" w:after="0" w:afterAutospacing="0"/>
        <w:jc w:val="both"/>
        <w:rPr>
          <w:bCs/>
          <w:color w:val="002060"/>
          <w:sz w:val="16"/>
          <w:szCs w:val="16"/>
        </w:rPr>
      </w:pPr>
      <w:r w:rsidRPr="00405303">
        <w:rPr>
          <w:bCs/>
          <w:color w:val="002060"/>
          <w:sz w:val="16"/>
          <w:szCs w:val="16"/>
        </w:rPr>
        <w:t xml:space="preserve">В артиллерийском ведомстве Сергей Михайлович уже много лет был полновластным хозяином, действительным начальником ГАУ, а формальный начальник — Д. Д. Кузьмин-Караваев — являлся лишь исполнителем предписаний «августейшего» генерал-инспектора артиллерии. Только пользуясь своим особым положением и фактической безответственностью перед законом, председатель комиссии мог позволить себе так много. Его телеграмма произвела на заводах артиллерийского </w:t>
      </w:r>
      <w:r w:rsidRPr="00405303">
        <w:rPr>
          <w:bCs/>
          <w:color w:val="002060"/>
          <w:sz w:val="16"/>
          <w:szCs w:val="16"/>
        </w:rPr>
        <w:lastRenderedPageBreak/>
        <w:t>ведомства соответствующий эффект. Однако надо было перестроить всю систему руководства заводами, а это не удавалось сделать, поскольку требовалось разрешить ряд больших экономических вопросов. К ним, в частности, относились: «1) Недостаток в топливе; 2) несвоевременное получение станков, выписанных из-за границы; 3) недостаток хороших рабочих, так как мобилизация и два набора новобранцев лишили заводы многих хороших мастеров. В этом отношении оказались в лучших условиях только те заводы, которые ко дню объявления мобилизации уже исполняли заказы артиллерийского ведомства и на которых запасные получили отсрочку по ходатайству Главного артиллерийского управления, но набор новобранцев у них был произведен; 4) несвоевременная доставка сырых материалов; 5) зависимость многих механических заводов от добросовестного выполнения контрактов с металлургическими заводами. Удовлетворение перечисленных нужд заводов, — подчеркивал далее князь, — не зависело ни от меня, ни от Главного артиллерийского управления, и потому я немедленно возбудил ходатайство в подлежащих ведомствах»</w:t>
      </w:r>
      <w:bookmarkStart w:id="8" w:name="91r"/>
      <w:bookmarkEnd w:id="8"/>
      <w:r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"91p" </w:instrText>
      </w:r>
      <w:r w:rsidRPr="00405303">
        <w:rPr>
          <w:bCs/>
          <w:color w:val="002060"/>
          <w:sz w:val="16"/>
          <w:szCs w:val="16"/>
          <w:vertAlign w:val="superscript"/>
        </w:rPr>
      </w:r>
      <w:r w:rsidRPr="00405303">
        <w:rPr>
          <w:bCs/>
          <w:color w:val="002060"/>
          <w:sz w:val="16"/>
          <w:szCs w:val="16"/>
          <w:vertAlign w:val="superscript"/>
        </w:rPr>
        <w:fldChar w:fldCharType="separate"/>
      </w:r>
      <w:r w:rsidRPr="00405303">
        <w:rPr>
          <w:rStyle w:val="ad"/>
          <w:bCs/>
          <w:color w:val="002060"/>
          <w:sz w:val="16"/>
          <w:szCs w:val="16"/>
          <w:vertAlign w:val="superscript"/>
        </w:rPr>
        <w:t>91</w:t>
      </w:r>
      <w:r w:rsidRPr="00405303">
        <w:rPr>
          <w:bCs/>
          <w:color w:val="002060"/>
          <w:sz w:val="16"/>
          <w:szCs w:val="16"/>
          <w:vertAlign w:val="superscript"/>
        </w:rPr>
        <w:fldChar w:fldCharType="end"/>
      </w:r>
      <w:r w:rsidRPr="00405303">
        <w:rPr>
          <w:bCs/>
          <w:color w:val="002060"/>
          <w:sz w:val="16"/>
          <w:szCs w:val="16"/>
        </w:rPr>
        <w:t>.</w:t>
      </w:r>
    </w:p>
    <w:p w14:paraId="77CBB14C" w14:textId="77777777" w:rsidR="00DE7562" w:rsidRPr="00405303" w:rsidRDefault="00DE7562" w:rsidP="00C15251">
      <w:pPr>
        <w:pStyle w:val="ae"/>
        <w:spacing w:before="0" w:beforeAutospacing="0" w:after="0" w:afterAutospacing="0"/>
        <w:jc w:val="both"/>
        <w:rPr>
          <w:bCs/>
          <w:color w:val="002060"/>
          <w:sz w:val="16"/>
          <w:szCs w:val="16"/>
        </w:rPr>
      </w:pPr>
      <w:r w:rsidRPr="00405303">
        <w:rPr>
          <w:bCs/>
          <w:color w:val="002060"/>
          <w:sz w:val="16"/>
          <w:szCs w:val="16"/>
        </w:rPr>
        <w:t>Устранить указанные недостатки было нелегко, а некоторые даже невозможно. Комиссия пыталась своей деятельностью только несколько смягчить «неблагоприятные доктрины», мешающие работе военных предприятий, но не устранить их.</w:t>
      </w:r>
    </w:p>
    <w:p w14:paraId="5C5DADAA" w14:textId="77777777" w:rsidR="00DE7562" w:rsidRPr="00405303" w:rsidRDefault="00DE7562" w:rsidP="00C15251">
      <w:pPr>
        <w:pStyle w:val="ae"/>
        <w:spacing w:before="0" w:beforeAutospacing="0" w:after="0" w:afterAutospacing="0"/>
        <w:jc w:val="both"/>
        <w:rPr>
          <w:bCs/>
          <w:color w:val="002060"/>
          <w:sz w:val="16"/>
          <w:szCs w:val="16"/>
        </w:rPr>
      </w:pPr>
      <w:r w:rsidRPr="00405303">
        <w:rPr>
          <w:bCs/>
          <w:color w:val="002060"/>
          <w:sz w:val="16"/>
          <w:szCs w:val="16"/>
        </w:rPr>
        <w:t>Чтобы улучшить снабжение предприятий топливом, пришлось прибегнуть к государственному регулированию: были составлены списки предприятий, работавших для армии, и организовано снабжение этих предприятий топливом. Ответственным за это дело был назначен министр путей сообщения С. В. Рухлов. Чтобы сохранить кадры квалифицированных рабочих, острый недостаток в которых испытывали предприятия, комиссия добилась отсрочки призыва в армию 12 тыс. рабочих на 100 военных заводах. Однако Главный штаб был против возвращения на заводы рабочих, уже попавших в армию; не были освобождены также новобранцы</w:t>
      </w:r>
      <w:bookmarkStart w:id="9" w:name="92r"/>
      <w:bookmarkEnd w:id="9"/>
      <w:r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"92p" </w:instrText>
      </w:r>
      <w:r w:rsidRPr="00405303">
        <w:rPr>
          <w:bCs/>
          <w:color w:val="002060"/>
          <w:sz w:val="16"/>
          <w:szCs w:val="16"/>
          <w:vertAlign w:val="superscript"/>
        </w:rPr>
      </w:r>
      <w:r w:rsidRPr="00405303">
        <w:rPr>
          <w:bCs/>
          <w:color w:val="002060"/>
          <w:sz w:val="16"/>
          <w:szCs w:val="16"/>
          <w:vertAlign w:val="superscript"/>
        </w:rPr>
        <w:fldChar w:fldCharType="separate"/>
      </w:r>
      <w:r w:rsidRPr="00405303">
        <w:rPr>
          <w:rStyle w:val="ad"/>
          <w:bCs/>
          <w:color w:val="002060"/>
          <w:sz w:val="16"/>
          <w:szCs w:val="16"/>
          <w:vertAlign w:val="superscript"/>
        </w:rPr>
        <w:t>92</w:t>
      </w:r>
      <w:r w:rsidRPr="00405303">
        <w:rPr>
          <w:bCs/>
          <w:color w:val="002060"/>
          <w:sz w:val="16"/>
          <w:szCs w:val="16"/>
          <w:vertAlign w:val="superscript"/>
        </w:rPr>
        <w:fldChar w:fldCharType="end"/>
      </w:r>
      <w:r w:rsidRPr="00405303">
        <w:rPr>
          <w:bCs/>
          <w:color w:val="002060"/>
          <w:sz w:val="16"/>
          <w:szCs w:val="16"/>
        </w:rPr>
        <w:t>. Комиссия помогала военным предприятиям — казенным и частным — быстрее получить станки из-за границы, многие из которых залеживались в портах Финляндии, построила железнодорожную ветку, связавшую Ижевский завод с пристанью на Каме и с железнодорожной сетью империи, организовала производство бомбометов и снарядов к ним. Комиссия пыталась ввести элементарный порядок при заключении заграничных заказов вооружения, устранить посредников, грабивших казну, и противодействовать стремлениям военного министра Англии лорда Китченера поставить заграничное снабжение России под свой контроль.</w:t>
      </w:r>
    </w:p>
    <w:p w14:paraId="10DC32BF" w14:textId="77777777" w:rsidR="00DE7562" w:rsidRPr="00405303" w:rsidRDefault="00DE7562" w:rsidP="00C15251">
      <w:pPr>
        <w:pStyle w:val="ae"/>
        <w:spacing w:before="0" w:beforeAutospacing="0" w:after="0" w:afterAutospacing="0"/>
        <w:jc w:val="both"/>
        <w:rPr>
          <w:bCs/>
          <w:color w:val="002060"/>
          <w:sz w:val="16"/>
          <w:szCs w:val="16"/>
        </w:rPr>
      </w:pPr>
      <w:r w:rsidRPr="00405303">
        <w:rPr>
          <w:bCs/>
          <w:color w:val="002060"/>
          <w:sz w:val="16"/>
          <w:szCs w:val="16"/>
        </w:rPr>
        <w:t xml:space="preserve">Несмотря на некоторое повышение заводами производительности, намеченные планы не выполнялись. В марте комиссия занялась организацией производства шрапнелей и </w:t>
      </w:r>
      <w:proofErr w:type="gramStart"/>
      <w:r w:rsidRPr="00405303">
        <w:rPr>
          <w:bCs/>
          <w:color w:val="002060"/>
          <w:sz w:val="16"/>
          <w:szCs w:val="16"/>
        </w:rPr>
        <w:t>гранат</w:t>
      </w:r>
      <w:proofErr w:type="gramEnd"/>
      <w:r w:rsidRPr="00405303">
        <w:rPr>
          <w:bCs/>
          <w:color w:val="002060"/>
          <w:sz w:val="16"/>
          <w:szCs w:val="16"/>
        </w:rPr>
        <w:t xml:space="preserve"> но французскому способу. Ознакомившись с заводами центра и юга, французские специалисты определили возможным производить до 150 тыс. гранат в месяц. Военное ведомство не слишком охотно шло на предложение союзников. Толчком опять явилась Ставка, которая дала решительное указание: «Производительность всех работ Артиллерийского ведомства должна вестись и быть доведена до минимума в наикратчайший срок. Лишнего ничего нет. Выделывать всеми способами, привлечь французов, </w:t>
      </w:r>
      <w:proofErr w:type="gramStart"/>
      <w:r w:rsidRPr="00405303">
        <w:rPr>
          <w:bCs/>
          <w:color w:val="002060"/>
          <w:sz w:val="16"/>
          <w:szCs w:val="16"/>
        </w:rPr>
        <w:t>но</w:t>
      </w:r>
      <w:proofErr w:type="gramEnd"/>
      <w:r w:rsidRPr="00405303">
        <w:rPr>
          <w:bCs/>
          <w:color w:val="002060"/>
          <w:sz w:val="16"/>
          <w:szCs w:val="16"/>
        </w:rPr>
        <w:t xml:space="preserve"> чтобы порох был безопасный»</w:t>
      </w:r>
      <w:bookmarkStart w:id="10" w:name="93r"/>
      <w:bookmarkEnd w:id="10"/>
      <w:r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"93p" </w:instrText>
      </w:r>
      <w:r w:rsidRPr="00405303">
        <w:rPr>
          <w:bCs/>
          <w:color w:val="002060"/>
          <w:sz w:val="16"/>
          <w:szCs w:val="16"/>
          <w:vertAlign w:val="superscript"/>
        </w:rPr>
      </w:r>
      <w:r w:rsidRPr="00405303">
        <w:rPr>
          <w:bCs/>
          <w:color w:val="002060"/>
          <w:sz w:val="16"/>
          <w:szCs w:val="16"/>
          <w:vertAlign w:val="superscript"/>
        </w:rPr>
        <w:fldChar w:fldCharType="separate"/>
      </w:r>
      <w:r w:rsidRPr="00405303">
        <w:rPr>
          <w:rStyle w:val="ad"/>
          <w:bCs/>
          <w:color w:val="002060"/>
          <w:sz w:val="16"/>
          <w:szCs w:val="16"/>
          <w:vertAlign w:val="superscript"/>
        </w:rPr>
        <w:t>93</w:t>
      </w:r>
      <w:r w:rsidRPr="00405303">
        <w:rPr>
          <w:bCs/>
          <w:color w:val="002060"/>
          <w:sz w:val="16"/>
          <w:szCs w:val="16"/>
          <w:vertAlign w:val="superscript"/>
        </w:rPr>
        <w:fldChar w:fldCharType="end"/>
      </w:r>
      <w:r w:rsidRPr="00405303">
        <w:rPr>
          <w:bCs/>
          <w:color w:val="002060"/>
          <w:sz w:val="16"/>
          <w:szCs w:val="16"/>
        </w:rPr>
        <w:t>. 23 апреля царь утвердил предложение Военного совета о выделке 1 млн. фугасных гранат по французскому образцу. С этого времени развернула свою работу специальная Организация по заготовлению снарядов по французскому образцу во главе с генерал-майором С. Н. Ванковым. Уже в июне исполнением этого заказа были заняты 13 предприятий Московского промышленного района и 36 заводов на юге России. Организация производства снарядов французского образца явилась одним из существенных мероприятий комиссии, хотя дело это наладилось значительно позднее</w:t>
      </w:r>
      <w:bookmarkStart w:id="11" w:name="94r"/>
      <w:bookmarkEnd w:id="11"/>
      <w:r w:rsidRPr="00405303">
        <w:rPr>
          <w:bCs/>
          <w:color w:val="002060"/>
          <w:sz w:val="16"/>
          <w:szCs w:val="16"/>
        </w:rPr>
        <w:t xml:space="preserve"> (18524).</w:t>
      </w:r>
    </w:p>
    <w:p w14:paraId="6A9370A6" w14:textId="77777777" w:rsidR="00DE7562" w:rsidRPr="00405303" w:rsidRDefault="00DE7562" w:rsidP="00C15251">
      <w:pPr>
        <w:pStyle w:val="ae"/>
        <w:spacing w:before="0" w:beforeAutospacing="0" w:after="0" w:afterAutospacing="0"/>
        <w:jc w:val="both"/>
        <w:rPr>
          <w:bCs/>
          <w:color w:val="002060"/>
          <w:sz w:val="16"/>
          <w:szCs w:val="16"/>
        </w:rPr>
      </w:pPr>
    </w:p>
    <w:p w14:paraId="67C40390" w14:textId="5EA1B25C" w:rsidR="001B0D71" w:rsidRPr="00405303" w:rsidRDefault="001B0D71" w:rsidP="00C15251">
      <w:pPr>
        <w:pStyle w:val="ae"/>
        <w:spacing w:before="0" w:beforeAutospacing="0" w:after="0" w:afterAutospacing="0"/>
        <w:jc w:val="both"/>
        <w:textAlignment w:val="baseline"/>
        <w:rPr>
          <w:bCs/>
          <w:color w:val="002060"/>
          <w:sz w:val="16"/>
          <w:szCs w:val="16"/>
        </w:rPr>
      </w:pPr>
      <w:r w:rsidRPr="00405303">
        <w:rPr>
          <w:bCs/>
          <w:color w:val="002060"/>
          <w:sz w:val="16"/>
          <w:szCs w:val="16"/>
        </w:rPr>
        <w:t xml:space="preserve">По 1 </w:t>
      </w:r>
      <w:r w:rsidR="00DE7562" w:rsidRPr="00405303">
        <w:rPr>
          <w:bCs/>
          <w:color w:val="002060"/>
          <w:sz w:val="16"/>
          <w:szCs w:val="16"/>
        </w:rPr>
        <w:t xml:space="preserve">(14) </w:t>
      </w:r>
      <w:r w:rsidRPr="00405303">
        <w:rPr>
          <w:bCs/>
          <w:color w:val="002060"/>
          <w:sz w:val="16"/>
          <w:szCs w:val="16"/>
        </w:rPr>
        <w:t>января 1915 года с 1907 года в общей сложности на территории России за восемь лет было произведено и собрано 12446 автомобилей. В их числе шасси "Руссобалтов" моделей С, Д, М и Т, автомобилей Пузырёва и ФИАТов, выпущенных АМО, использовались для бронеавтомобилей различных типов. Завод "Ноблеснер" выпускал бронеавтомобили собственной конструкции.</w:t>
      </w:r>
      <w:r w:rsidR="000F5756">
        <w:rPr>
          <w:bCs/>
          <w:color w:val="002060"/>
          <w:sz w:val="16"/>
          <w:szCs w:val="16"/>
        </w:rPr>
        <w:t xml:space="preserve"> </w:t>
      </w:r>
      <w:r w:rsidRPr="00405303">
        <w:rPr>
          <w:bCs/>
          <w:color w:val="002060"/>
          <w:sz w:val="16"/>
          <w:szCs w:val="16"/>
        </w:rPr>
        <w:t xml:space="preserve"> Резкое увеличение выпуска автомобилей потребовало развития смежных отраслей. Шведская фирма SKF оказалась практически полностью загружена заказами из России и её руководство пришло к выводу, что выгоднее производить подшипники на месте. В 1916 году в Москве на Шаболовке был открыт первый в России шарикоподшипниковый завод (18376).</w:t>
      </w:r>
    </w:p>
    <w:p w14:paraId="65C9964F" w14:textId="77777777" w:rsidR="001B0D71" w:rsidRPr="00405303" w:rsidRDefault="001B0D71" w:rsidP="00C15251">
      <w:pPr>
        <w:pStyle w:val="ae"/>
        <w:spacing w:before="0" w:beforeAutospacing="0" w:after="0" w:afterAutospacing="0"/>
        <w:jc w:val="both"/>
        <w:textAlignment w:val="baseline"/>
        <w:rPr>
          <w:bCs/>
          <w:color w:val="002060"/>
          <w:sz w:val="16"/>
          <w:szCs w:val="16"/>
        </w:rPr>
      </w:pPr>
    </w:p>
    <w:p w14:paraId="4718F509"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237D2D11" w14:textId="77777777" w:rsidR="004B4E35" w:rsidRPr="00405303" w:rsidRDefault="004B4E35" w:rsidP="00C15251">
      <w:pPr>
        <w:jc w:val="both"/>
        <w:rPr>
          <w:bCs/>
          <w:i/>
          <w:color w:val="002060"/>
          <w:sz w:val="16"/>
          <w:szCs w:val="16"/>
        </w:rPr>
      </w:pPr>
    </w:p>
    <w:p w14:paraId="1436B401" w14:textId="016AB4E9" w:rsidR="00275354" w:rsidRPr="00405303" w:rsidRDefault="00275354" w:rsidP="00C15251">
      <w:pPr>
        <w:jc w:val="both"/>
        <w:rPr>
          <w:bCs/>
          <w:color w:val="002060"/>
          <w:sz w:val="16"/>
          <w:szCs w:val="16"/>
        </w:rPr>
      </w:pPr>
      <w:r w:rsidRPr="00405303">
        <w:rPr>
          <w:bCs/>
          <w:color w:val="002060"/>
          <w:sz w:val="16"/>
          <w:szCs w:val="16"/>
        </w:rPr>
        <w:t xml:space="preserve">По состоянию на 1 </w:t>
      </w:r>
      <w:r w:rsidR="002A03B1" w:rsidRPr="00405303">
        <w:rPr>
          <w:bCs/>
          <w:color w:val="002060"/>
          <w:sz w:val="16"/>
          <w:szCs w:val="16"/>
        </w:rPr>
        <w:t xml:space="preserve">(14) </w:t>
      </w:r>
      <w:r w:rsidRPr="00405303">
        <w:rPr>
          <w:bCs/>
          <w:color w:val="002060"/>
          <w:sz w:val="16"/>
          <w:szCs w:val="16"/>
        </w:rPr>
        <w:t>января 1915 г. в авиации действующей армии проходили службу 234 летчика (191 офицер и 43 нижних чина). Из их числа были определены наиболее опытные офицеры для назначения на командные должности в армейские авиаотряды, а остальных летчиков должны были дать имевшиеся две авиашколы, однако за 1914 год они подготовили только 97 летчиков, которых едва хватило на восполнение убыли в авиаотрядах (19566).</w:t>
      </w:r>
    </w:p>
    <w:p w14:paraId="11A44124" w14:textId="77777777" w:rsidR="00275354" w:rsidRPr="00405303" w:rsidRDefault="00275354" w:rsidP="00C15251">
      <w:pPr>
        <w:jc w:val="both"/>
        <w:rPr>
          <w:bCs/>
          <w:color w:val="002060"/>
          <w:sz w:val="16"/>
          <w:szCs w:val="16"/>
        </w:rPr>
      </w:pPr>
    </w:p>
    <w:p w14:paraId="1A4AB0D8" w14:textId="77777777" w:rsidR="00CE4C0C" w:rsidRPr="00405303" w:rsidRDefault="00CE4C0C" w:rsidP="00CE4C0C">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На 1 (14)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К началу боевых действий в составе воздушного флота России насчитывался 221 летчик: 170 офицеров, 35 нижних чинов и 16 вольноопределяющихся (добровольцев).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(11278).</w:t>
      </w:r>
    </w:p>
    <w:p w14:paraId="3E6F19FF" w14:textId="77777777" w:rsidR="00CE4C0C" w:rsidRPr="00405303" w:rsidRDefault="00CE4C0C" w:rsidP="00CE4C0C">
      <w:pPr>
        <w:pStyle w:val="a3"/>
        <w:jc w:val="both"/>
        <w:rPr>
          <w:bCs/>
          <w:i w:val="0"/>
          <w:color w:val="002060"/>
          <w:spacing w:val="0"/>
          <w:kern w:val="0"/>
          <w:position w:val="0"/>
          <w:sz w:val="16"/>
          <w:szCs w:val="16"/>
        </w:rPr>
      </w:pPr>
    </w:p>
    <w:p w14:paraId="5EC3277B" w14:textId="77777777" w:rsidR="00CE4C0C" w:rsidRPr="00405303" w:rsidRDefault="00CE4C0C" w:rsidP="00CE4C0C">
      <w:pPr>
        <w:jc w:val="both"/>
        <w:rPr>
          <w:color w:val="0070C0"/>
          <w:sz w:val="16"/>
          <w:szCs w:val="16"/>
        </w:rPr>
      </w:pPr>
      <w:r w:rsidRPr="00405303">
        <w:rPr>
          <w:color w:val="0070C0"/>
          <w:sz w:val="16"/>
          <w:szCs w:val="16"/>
        </w:rPr>
        <w:t>На 1 (14) января 1915 г. потери русских летчиков составили 33 человека или 14, 9% от общего состава. Из них 6 погибли от действий неприятеля. 5 – в авариях. 22 попали о плен и пропали боа вести. Среди погибших: штабс-капитаны Грузинов, Нестеров, поручики Лемешко, Гудим, старший унтер- 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Корнилов. Павлов, доброволец Шпицберг. Некоторые из них, например, летчик-доброволец 16-го КАО Шпицберг. впоследствии скончались в госпитале.</w:t>
      </w:r>
    </w:p>
    <w:p w14:paraId="7FCE7910" w14:textId="77777777" w:rsidR="00CE4C0C" w:rsidRPr="00405303" w:rsidRDefault="00CE4C0C" w:rsidP="00CE4C0C">
      <w:pPr>
        <w:jc w:val="both"/>
        <w:rPr>
          <w:color w:val="0070C0"/>
          <w:sz w:val="16"/>
          <w:szCs w:val="16"/>
        </w:rPr>
      </w:pPr>
      <w:r w:rsidRPr="00405303">
        <w:rPr>
          <w:color w:val="0070C0"/>
          <w:sz w:val="16"/>
          <w:szCs w:val="16"/>
        </w:rPr>
        <w:t>К началу боевых действий в составе воздушного флота России насчитывался 221 летчик: 170 офицеров. 35 нижних чинов и 16 вольноопределяющихся (добровольцев). (25150).</w:t>
      </w:r>
    </w:p>
    <w:p w14:paraId="2F0763C8" w14:textId="77777777" w:rsidR="00CE4C0C" w:rsidRPr="00405303" w:rsidRDefault="00CE4C0C" w:rsidP="00CE4C0C">
      <w:pPr>
        <w:jc w:val="both"/>
        <w:rPr>
          <w:color w:val="0070C0"/>
          <w:sz w:val="16"/>
          <w:szCs w:val="16"/>
        </w:rPr>
      </w:pPr>
    </w:p>
    <w:p w14:paraId="6563AD1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 1 (14) января 1915 года в воздушном флоте состоя</w:t>
      </w:r>
      <w:r w:rsidRPr="00405303">
        <w:rPr>
          <w:bCs/>
          <w:color w:val="002060"/>
          <w:sz w:val="16"/>
          <w:szCs w:val="16"/>
        </w:rPr>
        <w:softHyphen/>
        <w:t>ло 6 авиационных рот, 54 авиационных отряду , из которых один нештатный (добровольческий),, 4 гидроавиационных и 7 отрядов воздушных кораблей "Илья Муромец". В строю во всех авиачастях находилось 267 летчиков (в том числе 38 солдат), 90 летчиков-наблюдателей, 274 исправных самолета. По-прежнему преобладали “Ньюпор-4" и "Фарман" типы 16 и 20-й, Отряды самолетами полностью были укомплектованы.</w:t>
      </w:r>
    </w:p>
    <w:p w14:paraId="3BF408D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Воздухоплавание было представлено тремя фронтовыми воздухоплавательными парками, двумя полевыми и воомыо крепостными воздухоплавателъными ротами, в составе .которых находилось 26 *блюдательных станций с 52 привязными аэростатами.Кроме того, армии находилось пять воздухоплавательных рот с дирижаблями "Астра", "Кондор", "Парсевалъ", совершившими всего лишь несколько боевых вылетов, а затем разобранными за малопригодностью боевой службе (ЦГВИА. ф.2008, оп.2, д.616; справка А.виаканца о состоянии авиационного дела в действующей армии на I января 1915 г.).</w:t>
      </w:r>
    </w:p>
    <w:p w14:paraId="1C0531B9" w14:textId="77777777" w:rsidR="004B4E35" w:rsidRPr="00405303" w:rsidRDefault="004B4E35" w:rsidP="00C15251">
      <w:pPr>
        <w:shd w:val="clear" w:color="auto" w:fill="FFFFFF"/>
        <w:jc w:val="both"/>
        <w:rPr>
          <w:bCs/>
          <w:color w:val="002060"/>
          <w:sz w:val="16"/>
          <w:szCs w:val="16"/>
        </w:rPr>
      </w:pPr>
    </w:p>
    <w:p w14:paraId="2330463B" w14:textId="77777777" w:rsidR="002A03B1" w:rsidRPr="00405303" w:rsidRDefault="002A03B1" w:rsidP="00C15251">
      <w:pPr>
        <w:jc w:val="both"/>
        <w:rPr>
          <w:bCs/>
          <w:color w:val="002060"/>
          <w:sz w:val="16"/>
          <w:szCs w:val="16"/>
        </w:rPr>
      </w:pPr>
      <w:r w:rsidRPr="00405303">
        <w:rPr>
          <w:bCs/>
          <w:color w:val="002060"/>
          <w:sz w:val="16"/>
          <w:szCs w:val="16"/>
        </w:rPr>
        <w:lastRenderedPageBreak/>
        <w:t>На 1 (14) января 1915 г. в воздушном флоте состояло 6 авиационных рот, 54 авиационных отряда, из которых один нештатный /добровольческий/, 4 гидро авиационных и 7 отрядов воздушных кораблей "Илья муромец". В отрою во всех авиачастях находилось 267 летчиков /в том тюле 38 солдат/, 90 летчиков-наблюдателей, 274 исправных самолета. По прежнему преобладали Ньюпор-4 и Фарман тип 16 и 20-й. Отряды самолетами полностью не были укомплектованы.</w:t>
      </w:r>
    </w:p>
    <w:p w14:paraId="0E030DD1" w14:textId="77777777" w:rsidR="002A03B1" w:rsidRPr="00405303" w:rsidRDefault="002A03B1" w:rsidP="00C15251">
      <w:pPr>
        <w:jc w:val="both"/>
        <w:rPr>
          <w:bCs/>
          <w:color w:val="002060"/>
          <w:sz w:val="16"/>
          <w:szCs w:val="16"/>
        </w:rPr>
      </w:pPr>
      <w:r w:rsidRPr="00405303">
        <w:rPr>
          <w:bCs/>
          <w:color w:val="002060"/>
          <w:sz w:val="16"/>
          <w:szCs w:val="16"/>
        </w:rPr>
        <w:t>Воздухоплавание было представлено тремя фронтовыми воздухопла</w:t>
      </w:r>
      <w:r w:rsidRPr="00405303">
        <w:rPr>
          <w:bCs/>
          <w:color w:val="002060"/>
          <w:sz w:val="16"/>
          <w:szCs w:val="16"/>
        </w:rPr>
        <w:softHyphen/>
        <w:t>вательными парками, двумя полевыми и восемью крепостными воздухо</w:t>
      </w:r>
      <w:r w:rsidRPr="00405303">
        <w:rPr>
          <w:bCs/>
          <w:color w:val="002060"/>
          <w:sz w:val="16"/>
          <w:szCs w:val="16"/>
        </w:rPr>
        <w:softHyphen/>
        <w:t>плавательными ротами, в составе которых находилось 26 наблюдательных станций с 52 привязными аэростатами. Кроме то го, в армии нахо</w:t>
      </w:r>
      <w:r w:rsidRPr="00405303">
        <w:rPr>
          <w:bCs/>
          <w:color w:val="002060"/>
          <w:sz w:val="16"/>
          <w:szCs w:val="16"/>
        </w:rPr>
        <w:softHyphen/>
        <w:t>дилось пять воздухоплавательных род с дирижаблями /“Астра”, «Кон</w:t>
      </w:r>
      <w:r w:rsidRPr="00405303">
        <w:rPr>
          <w:bCs/>
          <w:color w:val="002060"/>
          <w:sz w:val="16"/>
          <w:szCs w:val="16"/>
        </w:rPr>
        <w:softHyphen/>
        <w:t>дор”, "Парсеваль“/, совершившими всего лишь несколько боевых выле</w:t>
      </w:r>
      <w:r w:rsidRPr="00405303">
        <w:rPr>
          <w:bCs/>
          <w:color w:val="002060"/>
          <w:sz w:val="16"/>
          <w:szCs w:val="16"/>
        </w:rPr>
        <w:softHyphen/>
        <w:t>тов, а затем разобранными за мало пригодностью к боевой службе.</w:t>
      </w:r>
    </w:p>
    <w:p w14:paraId="2635D03D" w14:textId="1AE888BA" w:rsidR="002A03B1" w:rsidRPr="00405303" w:rsidRDefault="002A03B1" w:rsidP="00C15251">
      <w:pPr>
        <w:jc w:val="both"/>
        <w:rPr>
          <w:bCs/>
          <w:color w:val="002060"/>
          <w:sz w:val="16"/>
          <w:szCs w:val="16"/>
        </w:rPr>
      </w:pPr>
      <w:r w:rsidRPr="00405303">
        <w:rPr>
          <w:bCs/>
          <w:color w:val="002060"/>
          <w:sz w:val="16"/>
          <w:szCs w:val="16"/>
        </w:rPr>
        <w:t>/ЦГВИА, ф. 2008, оп. 2, д. 616; справка Авиаканца о состоянии авиа</w:t>
      </w:r>
      <w:r w:rsidRPr="00405303">
        <w:rPr>
          <w:bCs/>
          <w:color w:val="002060"/>
          <w:sz w:val="16"/>
          <w:szCs w:val="16"/>
        </w:rPr>
        <w:softHyphen/>
        <w:t>ционного дела в действующей армии на 1 января 1915/ (23320).</w:t>
      </w:r>
    </w:p>
    <w:p w14:paraId="7982684F" w14:textId="77777777" w:rsidR="002A03B1" w:rsidRPr="00405303" w:rsidRDefault="002A03B1" w:rsidP="00C15251">
      <w:pPr>
        <w:jc w:val="both"/>
        <w:rPr>
          <w:bCs/>
          <w:color w:val="002060"/>
          <w:sz w:val="16"/>
          <w:szCs w:val="16"/>
        </w:rPr>
      </w:pPr>
    </w:p>
    <w:p w14:paraId="0E515077" w14:textId="77777777" w:rsidR="004B4E35" w:rsidRPr="00405303" w:rsidRDefault="009E6F82" w:rsidP="00C15251">
      <w:pPr>
        <w:jc w:val="both"/>
        <w:rPr>
          <w:bCs/>
          <w:color w:val="002060"/>
          <w:sz w:val="16"/>
          <w:szCs w:val="16"/>
        </w:rPr>
      </w:pPr>
      <w:r w:rsidRPr="00405303">
        <w:rPr>
          <w:bCs/>
          <w:color w:val="002060"/>
          <w:sz w:val="16"/>
          <w:szCs w:val="16"/>
        </w:rPr>
        <w:t>К 1 (14) января 1915 г. вся эскадра, кроме экипажей Руднева и Панкратьева, была уже в Яблонне. Отсутствующие экипажи так и не начали своей самостоятельной боевой работы. На предписание, Рудневу немедленно начать вылеты по заданиям штаба командир корабля ответил, что самолеты "Илья Муромец" для боевой работы непригодны и ввиду этого просил откомандировать его в легкую авиацию. При этом он уведомил, что, не дожидаясь приказа, убывает в часть по своему выбору. Получив ответ Руднева, Шидловский срочно послал донесение в Ставку Верховного Главнокомандования о поведении штабс-капитана и самовольного оставления боевого корабля. Тут же была отправлена телеграмма поручику Ильинскому разобрать "Муромец" и привезти его я Яблонну железной дорогой. Вскоре приказом по армии штабс-капитан Руднев, первый пилот, получивший звание "военный летчик", любимец Великого Князя Александра Михайловича, был отстранен от командования воздушным кораблем и направлен в тыл без права занимать командные должности на фронте. Фактически это было официальное обвинение в трусости. Надо ли говорить - тяжелое наказание, принимая во внимание высокое в то время понятие офицерской чести (11230).</w:t>
      </w:r>
    </w:p>
    <w:p w14:paraId="608898EE" w14:textId="77777777" w:rsidR="004B4E35" w:rsidRPr="00405303" w:rsidRDefault="009E6F82" w:rsidP="00C15251">
      <w:pPr>
        <w:jc w:val="both"/>
        <w:rPr>
          <w:bCs/>
          <w:color w:val="002060"/>
          <w:sz w:val="16"/>
          <w:szCs w:val="16"/>
        </w:rPr>
      </w:pPr>
      <w:r w:rsidRPr="00405303">
        <w:rPr>
          <w:bCs/>
          <w:color w:val="002060"/>
          <w:sz w:val="16"/>
          <w:szCs w:val="16"/>
        </w:rPr>
        <w:t xml:space="preserve">По особому ходатайству начальника эскадры воздушных кораблей и, очевидно, не без помощи Сикорского военно-морской летчик лейтенант Г. И. Лавров, уже к тому времени Георгиевский Кавалер, был командирован в Яблонну и по прибытии назначен Командиром Корабля № 1. Да, да. Во всех официальных документах командиры кораблей писались с большой буквы. Это ли не признание высокого авторитета профессии! </w:t>
      </w:r>
    </w:p>
    <w:p w14:paraId="735FC909" w14:textId="77777777" w:rsidR="004B4E35" w:rsidRPr="00405303" w:rsidRDefault="009E6F82" w:rsidP="00C15251">
      <w:pPr>
        <w:jc w:val="both"/>
        <w:rPr>
          <w:bCs/>
          <w:color w:val="002060"/>
          <w:sz w:val="16"/>
          <w:szCs w:val="16"/>
        </w:rPr>
      </w:pPr>
      <w:r w:rsidRPr="00405303">
        <w:rPr>
          <w:bCs/>
          <w:color w:val="002060"/>
          <w:sz w:val="16"/>
          <w:szCs w:val="16"/>
        </w:rPr>
        <w:t>В испытательном полете собранного корабля Руднева участвовали Сикорский, Лавров, Алехнович и механик Шидловский. При максимально полном боевом снаряжении за 1 ч 10 мин корабль набрал высоту 2 тыс. м. Никаких ненормальностей отмечено не было. После полета комиссия вскрыла запечатанный барограф. Бланк самописца и полный отчет комиссии с подробным донесением были отправлены дежурному генералу Ставки. Так было снято обвинение с первого "Муромца" о его неспособности вести боевую работу (11230).</w:t>
      </w:r>
    </w:p>
    <w:p w14:paraId="3CB051A9" w14:textId="77777777" w:rsidR="004B4E35" w:rsidRPr="00405303" w:rsidRDefault="004B4E35" w:rsidP="00C15251">
      <w:pPr>
        <w:jc w:val="both"/>
        <w:rPr>
          <w:bCs/>
          <w:color w:val="002060"/>
          <w:sz w:val="16"/>
          <w:szCs w:val="16"/>
        </w:rPr>
      </w:pPr>
    </w:p>
    <w:p w14:paraId="252F094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 период с августа 1914 г. по 1 (14) января 1915 г. в действую</w:t>
      </w:r>
      <w:r w:rsidRPr="00405303">
        <w:rPr>
          <w:bCs/>
          <w:color w:val="002060"/>
          <w:sz w:val="16"/>
          <w:szCs w:val="16"/>
        </w:rPr>
        <w:softHyphen/>
        <w:t>щую армию поступило только 157 самолетов (из них несколько самолетов французских и около 20 трофейных самолетов).</w:t>
      </w:r>
    </w:p>
    <w:p w14:paraId="1884426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Состояние самолетного парка русской действующей армии во второй половине 1914 г. характеризуется следующими дан</w:t>
      </w:r>
      <w:r w:rsidRPr="00405303">
        <w:rPr>
          <w:bCs/>
          <w:color w:val="002060"/>
          <w:sz w:val="16"/>
          <w:szCs w:val="16"/>
        </w:rPr>
        <w:softHyphen/>
        <w:t>ными (табл. 1) (ЦГВИА, ф. 2008, оп. 2, д. 616, л. .137).</w:t>
      </w:r>
    </w:p>
    <w:p w14:paraId="24F3960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Таблица 1</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26"/>
        <w:gridCol w:w="1776"/>
        <w:gridCol w:w="797"/>
        <w:gridCol w:w="806"/>
        <w:gridCol w:w="653"/>
      </w:tblGrid>
      <w:tr w:rsidR="004B4E35" w:rsidRPr="00405303" w14:paraId="21AFC718" w14:textId="77777777">
        <w:trPr>
          <w:trHeight w:val="403"/>
        </w:trPr>
        <w:tc>
          <w:tcPr>
            <w:tcW w:w="2102" w:type="dxa"/>
            <w:gridSpan w:val="2"/>
          </w:tcPr>
          <w:p w14:paraId="2FCF37A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Дата</w:t>
            </w:r>
          </w:p>
        </w:tc>
        <w:tc>
          <w:tcPr>
            <w:tcW w:w="2256" w:type="dxa"/>
            <w:gridSpan w:val="3"/>
          </w:tcPr>
          <w:p w14:paraId="3B96C27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Количество самолетов</w:t>
            </w:r>
          </w:p>
        </w:tc>
      </w:tr>
      <w:tr w:rsidR="004B4E35" w:rsidRPr="00405303" w14:paraId="79EC3821" w14:textId="77777777">
        <w:trPr>
          <w:trHeight w:val="432"/>
        </w:trPr>
        <w:tc>
          <w:tcPr>
            <w:tcW w:w="2102" w:type="dxa"/>
            <w:gridSpan w:val="2"/>
          </w:tcPr>
          <w:p w14:paraId="6F75B876" w14:textId="77777777" w:rsidR="004B4E35" w:rsidRPr="00405303" w:rsidRDefault="004B4E35" w:rsidP="00C15251">
            <w:pPr>
              <w:jc w:val="both"/>
              <w:rPr>
                <w:bCs/>
                <w:color w:val="002060"/>
                <w:sz w:val="16"/>
                <w:szCs w:val="16"/>
              </w:rPr>
            </w:pPr>
          </w:p>
        </w:tc>
        <w:tc>
          <w:tcPr>
            <w:tcW w:w="797" w:type="dxa"/>
          </w:tcPr>
          <w:p w14:paraId="1232716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исправных</w:t>
            </w:r>
          </w:p>
        </w:tc>
        <w:tc>
          <w:tcPr>
            <w:tcW w:w="806" w:type="dxa"/>
          </w:tcPr>
          <w:p w14:paraId="3435D4B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ремонте</w:t>
            </w:r>
          </w:p>
        </w:tc>
        <w:tc>
          <w:tcPr>
            <w:tcW w:w="653" w:type="dxa"/>
          </w:tcPr>
          <w:p w14:paraId="102F195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всего</w:t>
            </w:r>
          </w:p>
        </w:tc>
      </w:tr>
      <w:tr w:rsidR="004B4E35" w:rsidRPr="00405303" w14:paraId="67273EDE" w14:textId="77777777">
        <w:trPr>
          <w:trHeight w:val="442"/>
        </w:trPr>
        <w:tc>
          <w:tcPr>
            <w:tcW w:w="326" w:type="dxa"/>
          </w:tcPr>
          <w:p w14:paraId="7632512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w:t>
            </w:r>
          </w:p>
        </w:tc>
        <w:tc>
          <w:tcPr>
            <w:tcW w:w="1776" w:type="dxa"/>
          </w:tcPr>
          <w:p w14:paraId="03605F7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сентября 1914 г.</w:t>
            </w:r>
          </w:p>
        </w:tc>
        <w:tc>
          <w:tcPr>
            <w:tcW w:w="797" w:type="dxa"/>
          </w:tcPr>
          <w:p w14:paraId="233A724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145</w:t>
            </w:r>
          </w:p>
        </w:tc>
        <w:tc>
          <w:tcPr>
            <w:tcW w:w="806" w:type="dxa"/>
          </w:tcPr>
          <w:p w14:paraId="143DF94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17</w:t>
            </w:r>
          </w:p>
        </w:tc>
        <w:tc>
          <w:tcPr>
            <w:tcW w:w="653" w:type="dxa"/>
          </w:tcPr>
          <w:p w14:paraId="28913EE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162</w:t>
            </w:r>
          </w:p>
        </w:tc>
      </w:tr>
      <w:tr w:rsidR="004B4E35" w:rsidRPr="00405303" w14:paraId="2809B66A" w14:textId="77777777">
        <w:trPr>
          <w:trHeight w:val="173"/>
        </w:trPr>
        <w:tc>
          <w:tcPr>
            <w:tcW w:w="326" w:type="dxa"/>
          </w:tcPr>
          <w:p w14:paraId="67A3BCC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w:t>
            </w:r>
          </w:p>
        </w:tc>
        <w:tc>
          <w:tcPr>
            <w:tcW w:w="1776" w:type="dxa"/>
          </w:tcPr>
          <w:p w14:paraId="0F8D772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октября 1914 г.</w:t>
            </w:r>
          </w:p>
        </w:tc>
        <w:tc>
          <w:tcPr>
            <w:tcW w:w="797" w:type="dxa"/>
          </w:tcPr>
          <w:p w14:paraId="4122009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150</w:t>
            </w:r>
          </w:p>
        </w:tc>
        <w:tc>
          <w:tcPr>
            <w:tcW w:w="806" w:type="dxa"/>
          </w:tcPr>
          <w:p w14:paraId="507D9BB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w:t>
            </w:r>
          </w:p>
        </w:tc>
        <w:tc>
          <w:tcPr>
            <w:tcW w:w="653" w:type="dxa"/>
          </w:tcPr>
          <w:p w14:paraId="7DCC774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170</w:t>
            </w:r>
          </w:p>
        </w:tc>
      </w:tr>
      <w:tr w:rsidR="004B4E35" w:rsidRPr="00405303" w14:paraId="2B318107" w14:textId="77777777">
        <w:trPr>
          <w:trHeight w:val="163"/>
        </w:trPr>
        <w:tc>
          <w:tcPr>
            <w:tcW w:w="326" w:type="dxa"/>
          </w:tcPr>
          <w:p w14:paraId="17A7DAA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w:t>
            </w:r>
          </w:p>
        </w:tc>
        <w:tc>
          <w:tcPr>
            <w:tcW w:w="1776" w:type="dxa"/>
          </w:tcPr>
          <w:p w14:paraId="1D7BD97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ноября 1914 г.</w:t>
            </w:r>
          </w:p>
        </w:tc>
        <w:tc>
          <w:tcPr>
            <w:tcW w:w="797" w:type="dxa"/>
          </w:tcPr>
          <w:p w14:paraId="3353595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160</w:t>
            </w:r>
          </w:p>
        </w:tc>
        <w:tc>
          <w:tcPr>
            <w:tcW w:w="806" w:type="dxa"/>
          </w:tcPr>
          <w:p w14:paraId="1F96482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42</w:t>
            </w:r>
          </w:p>
        </w:tc>
        <w:tc>
          <w:tcPr>
            <w:tcW w:w="653" w:type="dxa"/>
          </w:tcPr>
          <w:p w14:paraId="635ABDD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202</w:t>
            </w:r>
          </w:p>
        </w:tc>
      </w:tr>
      <w:tr w:rsidR="004B4E35" w:rsidRPr="00405303" w14:paraId="1DA4C0DF" w14:textId="77777777">
        <w:trPr>
          <w:trHeight w:val="173"/>
        </w:trPr>
        <w:tc>
          <w:tcPr>
            <w:tcW w:w="326" w:type="dxa"/>
          </w:tcPr>
          <w:p w14:paraId="252FAB8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w:t>
            </w:r>
          </w:p>
        </w:tc>
        <w:tc>
          <w:tcPr>
            <w:tcW w:w="1776" w:type="dxa"/>
          </w:tcPr>
          <w:p w14:paraId="30D5416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декабря 1014 г.</w:t>
            </w:r>
          </w:p>
        </w:tc>
        <w:tc>
          <w:tcPr>
            <w:tcW w:w="797" w:type="dxa"/>
          </w:tcPr>
          <w:p w14:paraId="003AC59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162</w:t>
            </w:r>
          </w:p>
        </w:tc>
        <w:tc>
          <w:tcPr>
            <w:tcW w:w="806" w:type="dxa"/>
          </w:tcPr>
          <w:p w14:paraId="69BAFC0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37</w:t>
            </w:r>
          </w:p>
        </w:tc>
        <w:tc>
          <w:tcPr>
            <w:tcW w:w="653" w:type="dxa"/>
          </w:tcPr>
          <w:p w14:paraId="4563B85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199</w:t>
            </w:r>
          </w:p>
        </w:tc>
      </w:tr>
      <w:tr w:rsidR="004B4E35" w:rsidRPr="00405303" w14:paraId="376C3B2C" w14:textId="77777777">
        <w:trPr>
          <w:trHeight w:val="346"/>
        </w:trPr>
        <w:tc>
          <w:tcPr>
            <w:tcW w:w="326" w:type="dxa"/>
          </w:tcPr>
          <w:p w14:paraId="5487F2D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w:t>
            </w:r>
          </w:p>
        </w:tc>
        <w:tc>
          <w:tcPr>
            <w:tcW w:w="1776" w:type="dxa"/>
          </w:tcPr>
          <w:p w14:paraId="7E7D0FE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января 1915 г.</w:t>
            </w:r>
          </w:p>
        </w:tc>
        <w:tc>
          <w:tcPr>
            <w:tcW w:w="797" w:type="dxa"/>
          </w:tcPr>
          <w:p w14:paraId="1ED8084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209</w:t>
            </w:r>
          </w:p>
        </w:tc>
        <w:tc>
          <w:tcPr>
            <w:tcW w:w="806" w:type="dxa"/>
          </w:tcPr>
          <w:p w14:paraId="60C2734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62</w:t>
            </w:r>
          </w:p>
        </w:tc>
        <w:tc>
          <w:tcPr>
            <w:tcW w:w="653" w:type="dxa"/>
          </w:tcPr>
          <w:p w14:paraId="1ECCF1F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271</w:t>
            </w:r>
          </w:p>
        </w:tc>
      </w:tr>
    </w:tbl>
    <w:p w14:paraId="4E26CCA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Когда в ходе войны выявилось огромное значение авиации, русское военное ведомство приняло некоторые меры для повы</w:t>
      </w:r>
      <w:r w:rsidRPr="00405303">
        <w:rPr>
          <w:bCs/>
          <w:color w:val="002060"/>
          <w:sz w:val="16"/>
          <w:szCs w:val="16"/>
        </w:rPr>
        <w:softHyphen/>
        <w:t>шения производительности авиационных предприятий: мобили</w:t>
      </w:r>
      <w:r w:rsidRPr="00405303">
        <w:rPr>
          <w:bCs/>
          <w:color w:val="002060"/>
          <w:sz w:val="16"/>
          <w:szCs w:val="16"/>
        </w:rPr>
        <w:softHyphen/>
        <w:t>зованные в начале войны квалифицированные рабочие были возвращены на авиационные заводы; правительство содейство</w:t>
      </w:r>
      <w:r w:rsidRPr="00405303">
        <w:rPr>
          <w:bCs/>
          <w:color w:val="002060"/>
          <w:sz w:val="16"/>
          <w:szCs w:val="16"/>
        </w:rPr>
        <w:softHyphen/>
        <w:t>вало обеспечению авиационных заводов необходимыми мате</w:t>
      </w:r>
      <w:r w:rsidRPr="00405303">
        <w:rPr>
          <w:bCs/>
          <w:color w:val="002060"/>
          <w:sz w:val="16"/>
          <w:szCs w:val="16"/>
        </w:rPr>
        <w:softHyphen/>
        <w:t>риалами и т. п.</w:t>
      </w:r>
    </w:p>
    <w:p w14:paraId="4186931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результате этих мероприятий количество выпускаемых са</w:t>
      </w:r>
      <w:r w:rsidRPr="00405303">
        <w:rPr>
          <w:bCs/>
          <w:color w:val="002060"/>
          <w:sz w:val="16"/>
          <w:szCs w:val="16"/>
        </w:rPr>
        <w:softHyphen/>
        <w:t>молетов постепенно повышалось. Если в начале 1915 г. русские самолетостроительные предприятия давали менее 50 самолетов в месяц, то к концу года ежемесячно производилось до 75 само</w:t>
      </w:r>
      <w:r w:rsidRPr="00405303">
        <w:rPr>
          <w:bCs/>
          <w:color w:val="002060"/>
          <w:sz w:val="16"/>
          <w:szCs w:val="16"/>
        </w:rPr>
        <w:softHyphen/>
        <w:t>летов. Всего за 1915 г. русские заводы дали военному ведом</w:t>
      </w:r>
      <w:r w:rsidRPr="00405303">
        <w:rPr>
          <w:bCs/>
          <w:color w:val="002060"/>
          <w:sz w:val="16"/>
          <w:szCs w:val="16"/>
        </w:rPr>
        <w:softHyphen/>
        <w:t>ству свыше 700 самолетов. В условиях все более развертывав</w:t>
      </w:r>
      <w:r w:rsidRPr="00405303">
        <w:rPr>
          <w:bCs/>
          <w:color w:val="002060"/>
          <w:sz w:val="16"/>
          <w:szCs w:val="16"/>
        </w:rPr>
        <w:softHyphen/>
        <w:t>шейся первой мировой войны, требовавшей огромного количества материальных ресурсов, это было явно недостаточно (278).</w:t>
      </w:r>
    </w:p>
    <w:p w14:paraId="62C694F4" w14:textId="77777777" w:rsidR="004B4E35" w:rsidRPr="00405303" w:rsidRDefault="004B4E35" w:rsidP="00C15251">
      <w:pPr>
        <w:shd w:val="clear" w:color="auto" w:fill="FFFFFF"/>
        <w:jc w:val="both"/>
        <w:rPr>
          <w:bCs/>
          <w:color w:val="002060"/>
          <w:sz w:val="16"/>
          <w:szCs w:val="16"/>
        </w:rPr>
      </w:pPr>
    </w:p>
    <w:p w14:paraId="774D312D" w14:textId="68625AD0" w:rsidR="004B4E35" w:rsidRPr="00405303" w:rsidRDefault="004B01E0"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С</w:t>
      </w:r>
      <w:r w:rsidR="009E6F82" w:rsidRPr="00405303">
        <w:rPr>
          <w:bCs/>
          <w:i w:val="0"/>
          <w:color w:val="002060"/>
          <w:spacing w:val="0"/>
          <w:kern w:val="0"/>
          <w:position w:val="0"/>
          <w:sz w:val="16"/>
          <w:szCs w:val="16"/>
        </w:rPr>
        <w:t xml:space="preserve"> начала войны до 1 (14) января 1915 г. </w:t>
      </w:r>
      <w:r w:rsidRPr="00405303">
        <w:rPr>
          <w:bCs/>
          <w:i w:val="0"/>
          <w:color w:val="002060"/>
          <w:spacing w:val="0"/>
          <w:kern w:val="0"/>
          <w:position w:val="0"/>
          <w:sz w:val="16"/>
          <w:szCs w:val="16"/>
        </w:rPr>
        <w:t>наши заводы</w:t>
      </w:r>
      <w:r w:rsidR="000F5756">
        <w:rPr>
          <w:bCs/>
          <w:i w:val="0"/>
          <w:color w:val="002060"/>
          <w:spacing w:val="0"/>
          <w:kern w:val="0"/>
          <w:position w:val="0"/>
          <w:sz w:val="16"/>
          <w:szCs w:val="16"/>
        </w:rPr>
        <w:t xml:space="preserve"> </w:t>
      </w:r>
      <w:r w:rsidRPr="00405303">
        <w:rPr>
          <w:bCs/>
          <w:i w:val="0"/>
          <w:color w:val="002060"/>
          <w:spacing w:val="0"/>
          <w:kern w:val="0"/>
          <w:position w:val="0"/>
          <w:sz w:val="16"/>
          <w:szCs w:val="16"/>
        </w:rPr>
        <w:t xml:space="preserve">отправили в действующую армию </w:t>
      </w:r>
      <w:r w:rsidR="009E6F82" w:rsidRPr="00405303">
        <w:rPr>
          <w:bCs/>
          <w:i w:val="0"/>
          <w:color w:val="002060"/>
          <w:spacing w:val="0"/>
          <w:kern w:val="0"/>
          <w:position w:val="0"/>
          <w:sz w:val="16"/>
          <w:szCs w:val="16"/>
        </w:rPr>
        <w:t>157 самолетов. Причем часто эти машины имели дефекты и забраковывались при сборке в отрядах и ротах. Особые нарекания вызывали самолеты завода Щетинина. Так, монопланы "Ньюпор" имели отрицательный угол установки крыла, что повлекло ряд аварий. Французские самолеты, сделанные на русских авиазаводах, отличались большей массой и низким качеством изготовления по сравнению с импортными "собратьями"</w:t>
      </w:r>
      <w:r w:rsidRPr="00405303">
        <w:rPr>
          <w:bCs/>
          <w:i w:val="0"/>
          <w:color w:val="002060"/>
          <w:spacing w:val="0"/>
          <w:kern w:val="0"/>
          <w:position w:val="0"/>
          <w:sz w:val="16"/>
          <w:szCs w:val="16"/>
        </w:rPr>
        <w:t>. Исследование динамики убыли и поступления самолетов в целом по Русской армии показывает, что потери аэропланов были значительными и составляли не менее 45,8% за 2 месяца. Большая часть (иногда 90%) этой убыли была вызвана выходом из строя изношенных аэропланов и моторов. Мощностей русских авиазаводов не хватало для восполнения этих потерь.</w:t>
      </w:r>
      <w:r w:rsidR="009E6F82" w:rsidRPr="00405303">
        <w:rPr>
          <w:bCs/>
          <w:i w:val="0"/>
          <w:color w:val="002060"/>
          <w:spacing w:val="0"/>
          <w:kern w:val="0"/>
          <w:position w:val="0"/>
          <w:sz w:val="16"/>
          <w:szCs w:val="16"/>
        </w:rPr>
        <w:t xml:space="preserve"> (11278). </w:t>
      </w:r>
    </w:p>
    <w:p w14:paraId="676471B3" w14:textId="77777777" w:rsidR="004B4E35" w:rsidRPr="00405303" w:rsidRDefault="004B4E35" w:rsidP="00C15251">
      <w:pPr>
        <w:pStyle w:val="a3"/>
        <w:jc w:val="both"/>
        <w:rPr>
          <w:bCs/>
          <w:i w:val="0"/>
          <w:color w:val="002060"/>
          <w:spacing w:val="0"/>
          <w:kern w:val="0"/>
          <w:position w:val="0"/>
          <w:sz w:val="16"/>
          <w:szCs w:val="16"/>
        </w:rPr>
      </w:pPr>
    </w:p>
    <w:p w14:paraId="136ABEAA" w14:textId="6069B182"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w:t>
      </w:r>
      <w:r w:rsidR="004B01E0" w:rsidRPr="00405303">
        <w:rPr>
          <w:bCs/>
          <w:i w:val="0"/>
          <w:color w:val="002060"/>
          <w:spacing w:val="0"/>
          <w:kern w:val="0"/>
          <w:position w:val="0"/>
          <w:sz w:val="16"/>
          <w:szCs w:val="16"/>
        </w:rPr>
        <w:t xml:space="preserve">К началу боевых действий в составе воздушного флота России насчитывался 221 летчик: 170 офицеров, 35 нижних чинов и 16 вольноопределяющихся (добровольцев). </w:t>
      </w:r>
      <w:r w:rsidRPr="00405303">
        <w:rPr>
          <w:bCs/>
          <w:i w:val="0"/>
          <w:color w:val="002060"/>
          <w:spacing w:val="0"/>
          <w:kern w:val="0"/>
          <w:position w:val="0"/>
          <w:sz w:val="16"/>
          <w:szCs w:val="16"/>
        </w:rPr>
        <w:t>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(11278).</w:t>
      </w:r>
    </w:p>
    <w:p w14:paraId="0121430C" w14:textId="77777777" w:rsidR="004B4E35" w:rsidRPr="00405303" w:rsidRDefault="004B4E35" w:rsidP="00C15251">
      <w:pPr>
        <w:pStyle w:val="a3"/>
        <w:jc w:val="both"/>
        <w:rPr>
          <w:bCs/>
          <w:i w:val="0"/>
          <w:color w:val="002060"/>
          <w:spacing w:val="0"/>
          <w:kern w:val="0"/>
          <w:position w:val="0"/>
          <w:sz w:val="16"/>
          <w:szCs w:val="16"/>
        </w:rPr>
      </w:pPr>
    </w:p>
    <w:p w14:paraId="7415DB2E" w14:textId="10CF6168" w:rsidR="004B4E35" w:rsidRPr="00405303" w:rsidRDefault="009E6F82" w:rsidP="00C15251">
      <w:pPr>
        <w:jc w:val="both"/>
        <w:rPr>
          <w:bCs/>
          <w:color w:val="002060"/>
          <w:sz w:val="16"/>
          <w:szCs w:val="16"/>
        </w:rPr>
      </w:pPr>
      <w:r w:rsidRPr="00405303">
        <w:rPr>
          <w:bCs/>
          <w:color w:val="002060"/>
          <w:sz w:val="16"/>
          <w:szCs w:val="16"/>
        </w:rPr>
        <w:lastRenderedPageBreak/>
        <w:t xml:space="preserve">На 1 (14)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w:t>
      </w:r>
      <w:r w:rsidR="004B01E0" w:rsidRPr="00405303">
        <w:rPr>
          <w:bCs/>
          <w:color w:val="002060"/>
          <w:sz w:val="16"/>
          <w:szCs w:val="16"/>
        </w:rPr>
        <w:t xml:space="preserve">К началу боевых действий в составе воздушного флота России насчитывался 221 летчик: 170 офицеров, 35 нижних чинов и 16 вольноопределяющихся (добровольцев). </w:t>
      </w:r>
      <w:r w:rsidRPr="00405303">
        <w:rPr>
          <w:bCs/>
          <w:color w:val="002060"/>
          <w:sz w:val="16"/>
          <w:szCs w:val="16"/>
        </w:rPr>
        <w:t>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058659EB" w14:textId="77777777" w:rsidR="004B4E35" w:rsidRPr="00405303" w:rsidRDefault="004B4E35" w:rsidP="00C15251">
      <w:pPr>
        <w:jc w:val="both"/>
        <w:rPr>
          <w:bCs/>
          <w:i/>
          <w:color w:val="002060"/>
          <w:sz w:val="16"/>
          <w:szCs w:val="16"/>
        </w:rPr>
      </w:pPr>
    </w:p>
    <w:p w14:paraId="1AA7EFC5" w14:textId="77777777" w:rsidR="00CD7886" w:rsidRPr="00405303" w:rsidRDefault="00CD7886" w:rsidP="00C15251">
      <w:pPr>
        <w:shd w:val="clear" w:color="auto" w:fill="FFFFFF"/>
        <w:jc w:val="both"/>
        <w:rPr>
          <w:bCs/>
          <w:color w:val="002060"/>
          <w:sz w:val="16"/>
          <w:szCs w:val="16"/>
          <w:shd w:val="clear" w:color="auto" w:fill="FFFFFF"/>
        </w:rPr>
      </w:pPr>
      <w:r w:rsidRPr="00405303">
        <w:rPr>
          <w:bCs/>
          <w:color w:val="002060"/>
          <w:sz w:val="16"/>
          <w:szCs w:val="16"/>
          <w:shd w:val="clear" w:color="auto" w:fill="FFFFFF"/>
        </w:rPr>
        <w:t>На 1 (14)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А вот потери авиационной техники были попросту катастрофическими, достигая 90-95% от того авиапарка, что имелся к началу войны.</w:t>
      </w:r>
    </w:p>
    <w:p w14:paraId="37A62226" w14:textId="77777777" w:rsidR="00CD7886" w:rsidRPr="00405303" w:rsidRDefault="00CD7886" w:rsidP="00C15251">
      <w:pPr>
        <w:shd w:val="clear" w:color="auto" w:fill="FFFFFF"/>
        <w:jc w:val="both"/>
        <w:rPr>
          <w:bCs/>
          <w:color w:val="002060"/>
          <w:sz w:val="16"/>
          <w:szCs w:val="16"/>
          <w:shd w:val="clear" w:color="auto" w:fill="FFFFFF"/>
        </w:rPr>
      </w:pPr>
      <w:r w:rsidRPr="00405303">
        <w:rPr>
          <w:bCs/>
          <w:color w:val="002060"/>
          <w:sz w:val="16"/>
          <w:szCs w:val="16"/>
          <w:shd w:val="clear" w:color="auto" w:fill="FFFFFF"/>
        </w:rPr>
        <w:t>Основными причинами потерь были: технические неисправности, ошибки пилотирования, погодные условия и «дружественный огонь» своих войск.</w:t>
      </w:r>
    </w:p>
    <w:p w14:paraId="7B78CD83" w14:textId="77777777" w:rsidR="00CD7886" w:rsidRPr="00405303" w:rsidRDefault="00CD7886" w:rsidP="00C15251">
      <w:pPr>
        <w:shd w:val="clear" w:color="auto" w:fill="FFFFFF"/>
        <w:jc w:val="both"/>
        <w:rPr>
          <w:bCs/>
          <w:color w:val="002060"/>
          <w:sz w:val="16"/>
          <w:szCs w:val="16"/>
        </w:rPr>
      </w:pPr>
      <w:r w:rsidRPr="00405303">
        <w:rPr>
          <w:bCs/>
          <w:color w:val="002060"/>
          <w:sz w:val="16"/>
          <w:szCs w:val="16"/>
          <w:shd w:val="clear" w:color="auto" w:fill="FFFFFF"/>
        </w:rPr>
        <w:t>Напомню, что германских истребителей и зенитной артиллерии на Восточном фронте в 1914 году не было (19941).</w:t>
      </w:r>
    </w:p>
    <w:p w14:paraId="64712641" w14:textId="77777777" w:rsidR="00CD7886" w:rsidRPr="00405303" w:rsidRDefault="00CD7886" w:rsidP="00C15251">
      <w:pPr>
        <w:shd w:val="clear" w:color="auto" w:fill="FFFFFF"/>
        <w:jc w:val="both"/>
        <w:rPr>
          <w:bCs/>
          <w:color w:val="002060"/>
          <w:sz w:val="16"/>
          <w:szCs w:val="16"/>
        </w:rPr>
      </w:pPr>
    </w:p>
    <w:p w14:paraId="63D57BA1" w14:textId="612AD5F6" w:rsidR="00CD7886" w:rsidRPr="00405303" w:rsidRDefault="00CD7886" w:rsidP="00C15251">
      <w:pPr>
        <w:shd w:val="clear" w:color="auto" w:fill="FFFFFF"/>
        <w:jc w:val="both"/>
        <w:rPr>
          <w:bCs/>
          <w:color w:val="002060"/>
          <w:sz w:val="16"/>
          <w:szCs w:val="16"/>
        </w:rPr>
      </w:pPr>
      <w:r w:rsidRPr="00405303">
        <w:rPr>
          <w:bCs/>
          <w:color w:val="002060"/>
          <w:sz w:val="16"/>
          <w:szCs w:val="16"/>
          <w:shd w:val="clear" w:color="auto" w:fill="FFFFFF"/>
        </w:rPr>
        <w:t xml:space="preserve">На 1 </w:t>
      </w:r>
      <w:r w:rsidR="009E1C3B" w:rsidRPr="00405303">
        <w:rPr>
          <w:bCs/>
          <w:color w:val="002060"/>
          <w:sz w:val="16"/>
          <w:szCs w:val="16"/>
          <w:shd w:val="clear" w:color="auto" w:fill="FFFFFF"/>
        </w:rPr>
        <w:t xml:space="preserve">(14) </w:t>
      </w:r>
      <w:r w:rsidRPr="00405303">
        <w:rPr>
          <w:bCs/>
          <w:color w:val="002060"/>
          <w:sz w:val="16"/>
          <w:szCs w:val="16"/>
          <w:shd w:val="clear" w:color="auto" w:fill="FFFFFF"/>
        </w:rPr>
        <w:t>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(20028).</w:t>
      </w:r>
    </w:p>
    <w:p w14:paraId="0FF4BE89" w14:textId="77777777" w:rsidR="00CD7886" w:rsidRPr="00405303" w:rsidRDefault="00CD7886" w:rsidP="00C15251">
      <w:pPr>
        <w:shd w:val="clear" w:color="auto" w:fill="FFFFFF"/>
        <w:jc w:val="both"/>
        <w:rPr>
          <w:bCs/>
          <w:color w:val="002060"/>
          <w:sz w:val="16"/>
          <w:szCs w:val="16"/>
        </w:rPr>
      </w:pPr>
    </w:p>
    <w:p w14:paraId="0E344219" w14:textId="77777777" w:rsidR="004B4E35" w:rsidRPr="00405303" w:rsidRDefault="009E6F82" w:rsidP="00C15251">
      <w:pPr>
        <w:jc w:val="both"/>
        <w:rPr>
          <w:bCs/>
          <w:i/>
          <w:color w:val="002060"/>
          <w:sz w:val="16"/>
          <w:szCs w:val="16"/>
        </w:rPr>
      </w:pPr>
      <w:r w:rsidRPr="00405303">
        <w:rPr>
          <w:bCs/>
          <w:i/>
          <w:color w:val="002060"/>
          <w:sz w:val="16"/>
          <w:szCs w:val="16"/>
        </w:rPr>
        <w:t>Военное воздухоплавание:</w:t>
      </w:r>
    </w:p>
    <w:p w14:paraId="05D875A1" w14:textId="77777777" w:rsidR="004B4E35" w:rsidRPr="00405303" w:rsidRDefault="004B4E35" w:rsidP="00C15251">
      <w:pPr>
        <w:jc w:val="both"/>
        <w:rPr>
          <w:bCs/>
          <w:i/>
          <w:color w:val="002060"/>
          <w:sz w:val="16"/>
          <w:szCs w:val="16"/>
        </w:rPr>
      </w:pPr>
    </w:p>
    <w:p w14:paraId="5C254BF9" w14:textId="77777777" w:rsidR="004B4E35" w:rsidRPr="00405303" w:rsidRDefault="009E6F82" w:rsidP="00C15251">
      <w:pPr>
        <w:jc w:val="both"/>
        <w:rPr>
          <w:bCs/>
          <w:color w:val="002060"/>
          <w:sz w:val="16"/>
          <w:szCs w:val="16"/>
        </w:rPr>
      </w:pPr>
      <w:r w:rsidRPr="00405303">
        <w:rPr>
          <w:bCs/>
          <w:color w:val="002060"/>
          <w:sz w:val="16"/>
          <w:szCs w:val="16"/>
        </w:rPr>
        <w:t>24 декабря (6 января) в 10 часов утра дирижабль вылетел в Белосток. Погода стояла неустойчивая — дул порывистый ветер, местами землю покрывал густой туман. Шли над железной дорогой, ведущей в город Гродно, который появился в 12 часов. Облачность увеличивалась, а туман скрыл Варшавскую железную дорогу, поэтому приходилось часто спускаться на очень малую высоту, чтобы восстановить ориентировку. Ветер усилился до такой степени, что вернуться назад в Лиду не представлялось никакой возможности — мощности двигателей не хватало и дирижабль просто сносило. Временами шел снег, и в 15.00 дорога, а вместе с ней и ориентировка, были потеряны окончательно. Корабль плохо слушался рулей, и командир решил приземлиться на опушке леса вблизи маленькой деревушки, чтобы выяснить свое местонахождение, а также тайно надеясь, что Белосток недалеко. При приземлении порыв ветра бросил дирижабль на землю, в результате чего деформировалась передняя часть гондолы и вышел из строя носовой воздушный винт. Оказалось, что дирижабль находится в 20 км от Белостока, но добраться туда уже было невозможно. Поломка воздушного винта резко снизила скорость полета, и ветер буквально сносил корабль. В Белосток был послан гонец, чтобы вызвать ремонтную команду, но она не успела. Ветер все время усиливался, повалил снег, покров которого к утру достиг полуметра. Порывами ветра дирижабль било о землю, сминая панели гондолы, и в 17.30 командир дал команду рвать разрывные. Прибывшая команда разобрала дирижабль, и к 1 (14) января все его части были доставлены на ближайшую железнодорожную станцию Черный Бор для отправки в Лиду (11324).</w:t>
      </w:r>
    </w:p>
    <w:p w14:paraId="1DE068EC" w14:textId="77777777" w:rsidR="004B4E35" w:rsidRPr="00405303" w:rsidRDefault="004B4E35" w:rsidP="00C15251">
      <w:pPr>
        <w:jc w:val="both"/>
        <w:rPr>
          <w:bCs/>
          <w:i/>
          <w:color w:val="002060"/>
          <w:sz w:val="16"/>
          <w:szCs w:val="16"/>
        </w:rPr>
      </w:pPr>
    </w:p>
    <w:p w14:paraId="4525FAEE" w14:textId="77777777" w:rsidR="004B4E35" w:rsidRPr="00405303" w:rsidRDefault="009E6F82" w:rsidP="00C15251">
      <w:pPr>
        <w:jc w:val="both"/>
        <w:rPr>
          <w:bCs/>
          <w:i/>
          <w:color w:val="002060"/>
          <w:sz w:val="16"/>
          <w:szCs w:val="16"/>
        </w:rPr>
      </w:pPr>
      <w:r w:rsidRPr="00405303">
        <w:rPr>
          <w:bCs/>
          <w:i/>
          <w:color w:val="002060"/>
          <w:sz w:val="16"/>
          <w:szCs w:val="16"/>
        </w:rPr>
        <w:t>Армия:</w:t>
      </w:r>
    </w:p>
    <w:p w14:paraId="5D184417" w14:textId="77777777" w:rsidR="004B4E35" w:rsidRPr="00405303" w:rsidRDefault="004B4E35" w:rsidP="00C15251">
      <w:pPr>
        <w:jc w:val="both"/>
        <w:rPr>
          <w:bCs/>
          <w:i/>
          <w:color w:val="002060"/>
          <w:sz w:val="16"/>
          <w:szCs w:val="16"/>
        </w:rPr>
      </w:pPr>
    </w:p>
    <w:p w14:paraId="06F91913" w14:textId="0588111B" w:rsidR="004B4E35" w:rsidRPr="00405303" w:rsidRDefault="009E1C3B" w:rsidP="00C15251">
      <w:pPr>
        <w:jc w:val="both"/>
        <w:rPr>
          <w:bCs/>
          <w:color w:val="002060"/>
          <w:sz w:val="16"/>
          <w:szCs w:val="16"/>
        </w:rPr>
      </w:pPr>
      <w:r w:rsidRPr="00405303">
        <w:rPr>
          <w:bCs/>
          <w:color w:val="002060"/>
          <w:sz w:val="16"/>
          <w:szCs w:val="16"/>
        </w:rPr>
        <w:t>Н</w:t>
      </w:r>
      <w:r w:rsidR="009E6F82" w:rsidRPr="00405303">
        <w:rPr>
          <w:bCs/>
          <w:color w:val="002060"/>
          <w:sz w:val="16"/>
          <w:szCs w:val="16"/>
        </w:rPr>
        <w:t xml:space="preserve">а 1 </w:t>
      </w:r>
      <w:r w:rsidRPr="00405303">
        <w:rPr>
          <w:bCs/>
          <w:color w:val="002060"/>
          <w:sz w:val="16"/>
          <w:szCs w:val="16"/>
        </w:rPr>
        <w:t xml:space="preserve">(14) </w:t>
      </w:r>
      <w:r w:rsidR="009E6F82" w:rsidRPr="00405303">
        <w:rPr>
          <w:bCs/>
          <w:color w:val="002060"/>
          <w:sz w:val="16"/>
          <w:szCs w:val="16"/>
        </w:rPr>
        <w:t>января 1915 года</w:t>
      </w:r>
      <w:r w:rsidRPr="00405303">
        <w:rPr>
          <w:bCs/>
          <w:color w:val="002060"/>
          <w:sz w:val="16"/>
          <w:szCs w:val="16"/>
        </w:rPr>
        <w:t xml:space="preserve"> численность российской армии возросла с 1,36 млн. человек (контингент мирного времени) до 6,6 млн. человек</w:t>
      </w:r>
      <w:r w:rsidR="009E6F82" w:rsidRPr="00405303">
        <w:rPr>
          <w:bCs/>
          <w:color w:val="002060"/>
          <w:sz w:val="16"/>
          <w:szCs w:val="16"/>
        </w:rPr>
        <w:t>, 8 млн. — на 1 января 1916 года и 10,8 млн. на 1 января 1917 года. Одно лишь проведение мобилизации и затраты на первичную переброску армий потребовали значительных средств. В дальнейшем военные расходы нарастали из месяца в месяц. Они увеличились с 826 млн. руб. в 1913 году до 2,2 млрд. руб. в 1914-м; в 1915 году они составили 8,8 млрд., в 1916-м уже 14,5 млрд. руб., а в первой половине 1917 года превысили 10 млрд. руб. (Дьяченко В.П. Советские финансы в первой фазе развития социалистического государства. Ч. 1. - 1917—1925. М.: Госфиниздат, 1947. С. 29.).</w:t>
      </w:r>
    </w:p>
    <w:p w14:paraId="1D43A4E7" w14:textId="77777777" w:rsidR="004B4E35" w:rsidRPr="00405303" w:rsidRDefault="009E6F82" w:rsidP="00C15251">
      <w:pPr>
        <w:jc w:val="both"/>
        <w:rPr>
          <w:bCs/>
          <w:color w:val="002060"/>
          <w:sz w:val="16"/>
          <w:szCs w:val="16"/>
        </w:rPr>
      </w:pPr>
      <w:r w:rsidRPr="00405303">
        <w:rPr>
          <w:bCs/>
          <w:color w:val="002060"/>
          <w:sz w:val="16"/>
          <w:szCs w:val="16"/>
        </w:rPr>
        <w:t>Между тем налоговая база существенно сократилась. В июле 1914 года вместе с объявлением войны императорским указом была запрещена продажа водки.</w:t>
      </w:r>
    </w:p>
    <w:p w14:paraId="4719F1D5" w14:textId="77777777" w:rsidR="004B4E35" w:rsidRPr="00405303" w:rsidRDefault="009E6F82" w:rsidP="00C15251">
      <w:pPr>
        <w:jc w:val="both"/>
        <w:rPr>
          <w:bCs/>
          <w:color w:val="002060"/>
          <w:sz w:val="16"/>
          <w:szCs w:val="16"/>
        </w:rPr>
      </w:pPr>
      <w:r w:rsidRPr="00405303">
        <w:rPr>
          <w:bCs/>
          <w:color w:val="002060"/>
          <w:sz w:val="16"/>
          <w:szCs w:val="16"/>
        </w:rPr>
        <w:t>Сначала эта мера рассматривалась как временная на период мобилизации, однако по массовым ходатайствам с мест запрет был сохранен на все время войны. Образовавшуюся огромную брешь в бюджете попытались закрыть увеличением налогов. Уже осенью 1914 года выросли почти все налоги и почтово-телеграфные тарифы. В дополнение к существующим были установлены новые налоги: за право пользования телефоном, на перевозимые по железным дорогам грузы, налог со зрелищ, дополнительный акциз на чай и другие косвенные налоги.</w:t>
      </w:r>
    </w:p>
    <w:p w14:paraId="495F4FE5" w14:textId="77777777" w:rsidR="004B4E35" w:rsidRPr="00405303" w:rsidRDefault="009E6F82" w:rsidP="00C15251">
      <w:pPr>
        <w:jc w:val="both"/>
        <w:rPr>
          <w:bCs/>
          <w:color w:val="002060"/>
          <w:sz w:val="16"/>
          <w:szCs w:val="16"/>
        </w:rPr>
      </w:pPr>
      <w:r w:rsidRPr="00405303">
        <w:rPr>
          <w:bCs/>
          <w:color w:val="002060"/>
          <w:sz w:val="16"/>
          <w:szCs w:val="16"/>
        </w:rPr>
        <w:t>Долго не удавалось решить проблему налогообложения богатых.</w:t>
      </w:r>
    </w:p>
    <w:p w14:paraId="6888E406" w14:textId="77777777" w:rsidR="004B4E35" w:rsidRPr="00405303" w:rsidRDefault="009E6F82" w:rsidP="00C15251">
      <w:pPr>
        <w:jc w:val="both"/>
        <w:rPr>
          <w:bCs/>
          <w:color w:val="002060"/>
          <w:sz w:val="16"/>
          <w:szCs w:val="16"/>
        </w:rPr>
      </w:pPr>
      <w:r w:rsidRPr="00405303">
        <w:rPr>
          <w:bCs/>
          <w:color w:val="002060"/>
          <w:sz w:val="16"/>
          <w:szCs w:val="16"/>
        </w:rPr>
        <w:t xml:space="preserve">Преодолевая упорное сопротивление предпринимателей — наиболее состоятельной части населения — временное налогообложение прироста прибылей и подоходный налог удалось законодательно провести лишь в апреле— мае 1916 года. Весьма ограниченными оказались и возможности государственного кредита. Если в некоторых </w:t>
      </w:r>
      <w:proofErr w:type="gramStart"/>
      <w:r w:rsidRPr="00405303">
        <w:rPr>
          <w:bCs/>
          <w:color w:val="002060"/>
          <w:sz w:val="16"/>
          <w:szCs w:val="16"/>
        </w:rPr>
        <w:t>западно-европейских</w:t>
      </w:r>
      <w:proofErr w:type="gramEnd"/>
      <w:r w:rsidRPr="00405303">
        <w:rPr>
          <w:bCs/>
          <w:color w:val="002060"/>
          <w:sz w:val="16"/>
          <w:szCs w:val="16"/>
        </w:rPr>
        <w:t xml:space="preserve"> странах при помощи займов у населения было покрыто до 90 проц. всех военных расходов, то в России шестью выпущенными до Февральской революции 1917 года займами (на 8 млрд. руб. по номиналу) лишь немногим более трети. Несколько меньшую абсолютную и относительную величину составили внешние займы (Развитие советской экономики / Под ред. А.А. Арутиняна и Б.Л. Маркуса. М.: Соцэкгиз, 1940. С. 39-40.).</w:t>
      </w:r>
    </w:p>
    <w:p w14:paraId="66A0A03B" w14:textId="77777777" w:rsidR="004B4E35" w:rsidRPr="00405303" w:rsidRDefault="009E6F82" w:rsidP="00C15251">
      <w:pPr>
        <w:jc w:val="both"/>
        <w:rPr>
          <w:bCs/>
          <w:color w:val="002060"/>
          <w:sz w:val="16"/>
          <w:szCs w:val="16"/>
        </w:rPr>
      </w:pPr>
      <w:r w:rsidRPr="00405303">
        <w:rPr>
          <w:bCs/>
          <w:color w:val="002060"/>
          <w:sz w:val="16"/>
          <w:szCs w:val="16"/>
        </w:rPr>
        <w:t xml:space="preserve">Постепенно из трех возможных методов финансирования войны — налогового, кредитного и эмиссионного — царское правительство вынуждено было все чаще прибегать к последнему. Главным способом получения средств в бюджет стал учет краткосрочных обязательств государственного казначейства и связанный с ним выпуск в обращение бумажных денег. С началом военных действий правительство отменило обязательный обмен кредитных билетов на золото и предоставило Государственному банку право выпускать их «в размерах, вызываемых потребностями военного времени», т.е., по существу, безгранично, так что уже летом 1915 года количество бумажных денег в обращении увеличилось более чем в два раза, что послужило мощнейшим толчком к раскручиванию инфляции и росту цен. В большей мере это коснулось предметов первейшей необходимости, в частности хлеба и мяса, а затем и всех продуктов сельскохозяйственного производства. К июню 1915 года цены на ржаную муку, например, поднялись на 51 проц., на гречневую крупу — на 100, на хлопок — на 57, на шерсть — на 35 проц., в то время как цены на золото выросли только на 20 проц. (Кузовков Д.В. Материалы по теории и политике денежного обращения в России, 1914—1923 гг. // Вестник социалистической академии. 1923. Кн. 4. С. 109.). НА ПЕРВЫХ порах увеличение военных расходов и рост цен стимулировали экономику, способствовали увеличению производственной прибыли и доходов сельского населения. Возникли сотни новых акционерных предприятий, рос выпуск продукции военного назначения. </w:t>
      </w:r>
      <w:r w:rsidRPr="00405303">
        <w:rPr>
          <w:bCs/>
          <w:color w:val="002060"/>
          <w:sz w:val="16"/>
          <w:szCs w:val="16"/>
        </w:rPr>
        <w:lastRenderedPageBreak/>
        <w:t>Крестьянство, выручив немалые деньги от продажи сельскохозяйственной продукции, предъявило повышенный спрос на промышленные товары, в том числе на мебель, шелковые ткани, дорогостоящие зеркала, духи, туалетное мыло, сласти и т.п. Однако по мере усиления инфляции экономическое поведение деревни принципиально менялось. Видя непрерывное повышение цен, крестьяне практически перестали покупать промышленные товары, откладывая деньги до лучших времен и в то же время задерживая реализацию продуктов земледелия в расчете на дальнейшее повышение цен на них. Все это усугубляло разрыв между спросом и предложением, усиливало недостаток продовольствия, способствовало прогрессирующему росту цен (11177).</w:t>
      </w:r>
    </w:p>
    <w:p w14:paraId="3B2FE069" w14:textId="77777777" w:rsidR="004B4E35" w:rsidRPr="00405303" w:rsidRDefault="004B4E35" w:rsidP="00C15251">
      <w:pPr>
        <w:jc w:val="both"/>
        <w:rPr>
          <w:bCs/>
          <w:color w:val="002060"/>
          <w:sz w:val="16"/>
          <w:szCs w:val="16"/>
        </w:rPr>
      </w:pPr>
    </w:p>
    <w:p w14:paraId="4CB02BA1" w14:textId="1ED476E8" w:rsidR="004B4E35" w:rsidRPr="00405303" w:rsidRDefault="009E1C3B"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К</w:t>
      </w:r>
      <w:r w:rsidR="009E6F82" w:rsidRPr="00405303">
        <w:rPr>
          <w:bCs/>
          <w:i w:val="0"/>
          <w:color w:val="002060"/>
          <w:spacing w:val="0"/>
          <w:kern w:val="0"/>
          <w:position w:val="0"/>
          <w:sz w:val="16"/>
          <w:szCs w:val="16"/>
        </w:rPr>
        <w:t xml:space="preserve"> 1 января 1915 г. </w:t>
      </w:r>
      <w:r w:rsidRPr="00405303">
        <w:rPr>
          <w:bCs/>
          <w:i w:val="0"/>
          <w:color w:val="002060"/>
          <w:spacing w:val="0"/>
          <w:kern w:val="0"/>
          <w:position w:val="0"/>
          <w:sz w:val="16"/>
          <w:szCs w:val="16"/>
        </w:rPr>
        <w:t xml:space="preserve">у заведующего артиллерийской частью 8-й армии </w:t>
      </w:r>
      <w:r w:rsidR="009E6F82" w:rsidRPr="00405303">
        <w:rPr>
          <w:bCs/>
          <w:i w:val="0"/>
          <w:color w:val="002060"/>
          <w:spacing w:val="0"/>
          <w:kern w:val="0"/>
          <w:position w:val="0"/>
          <w:sz w:val="16"/>
          <w:szCs w:val="16"/>
        </w:rPr>
        <w:t xml:space="preserve">было уже 20 890 входящих и 19 570 исходящих бумаг, а в 11-й армии в месяц бывало не менее 1.500 входящих и 1.000 исходящих бумаг. Пришлось прикомандировать сверх штата для работы в канцеляриях. </w:t>
      </w:r>
    </w:p>
    <w:p w14:paraId="1D86A1B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"Занятые перепиской с утра до поздней ночи" заведующие ртиллерийской частью совершенно не имели времени отлучаться из своих канцелярий, чтобы на местах проверять и направлять деятельность подчиненных им тыловых артиллерийских учреждений. </w:t>
      </w:r>
    </w:p>
    <w:p w14:paraId="50F6EEB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Независимо от гор бумаг и переписок, некоторые органы артснабжения Юго-западного фронта оказались чрезвычайно перегруженными работой, на которую они не были рассчитаны. Так, например, Ровненский передовой артиллерийский запас, выполнив в течение сентября 1914 г. всего 89 нарядов на отпуск имущества, в ноябре того же года выполнил их 174, а за неделю в июле 1915 г. было выполнено уже 202 наряда. Трудность ведения дела усугублялась еще тем, что большинство чинов передового запаса "не ведало в мирное время порученной им работой"... По мнению генерал-инспектора артиллерии, "следовало рассредоточить работу, образовав вместо одного два или три передовых запаса на Юго-западном фронте". </w:t>
      </w:r>
    </w:p>
    <w:p w14:paraId="2C30479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Киевский артиллерийский склад находился в еще худших условиях работы. По предписанию ГАУ (10 (23) января 1915 г. № 348, секр.), все артиллерийское имущество, необходимое для Юго-западного фронта, направлялось из внутренних округов в Киевский артсклад, хотя бы оно и не предназначалось для этого склада. На основании приказа главначснаба Юго-западного фронта (от 20 мая 1915 г. № 355), все главнейшие предметы артиллерии, как требующие исправле-ния или замены, так и негодные, должны были сдаваться также в Киевский артсклад, причем начальник склада по приеме неисправных предметов обязан был сортировать их и передавать в Киевский арсенал или в подвижные починочные мастерские. В тот же склад направлялось имущество при эвакуации Галиции и наших западных губерний, и не только такое, как трофейное или собранное с полей сражения, но и не имеющее прямого отношения к артиллерии, как-то: колокола церковная утварь, лом меди, станки и пр. В результате этого нелепого направления встречных потоков артимущества "все дворы проходы и даже прилежащие к складу пустыри буквально были загромождены разным имуществом, разбросанным в хаотическом беспорядке". </w:t>
      </w:r>
    </w:p>
    <w:p w14:paraId="5336F0F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 громадном объеме работы склада можно судить по числу нарядов, выполненных за год войны только одним отделом ручного оружия: 1294 приходных наряда от 1958 войсковых частей и 1406 расходных нарядов, по которым было отпущено 2.389 войсковым частям. В отделе огнеприпасов за год вой ны было снаряжено 60 местных парков и ежедневно очищалось до 220.000 винтовочных патронов, собранных с по лей сражения. В мастерской отдела ручного оружия было отложено 124575 винтовок и приведено в исправность до 200.000 винтовок; ею же было подготовлено 48 оружейников, отправленных в части различных военных округов. Все эти работы, конечно, не могли быть выполнены личным </w:t>
      </w:r>
      <w:proofErr w:type="gramStart"/>
      <w:r w:rsidRPr="00405303">
        <w:rPr>
          <w:bCs/>
          <w:i w:val="0"/>
          <w:color w:val="002060"/>
          <w:spacing w:val="0"/>
          <w:kern w:val="0"/>
          <w:position w:val="0"/>
          <w:sz w:val="16"/>
          <w:szCs w:val="16"/>
        </w:rPr>
        <w:t>со-ставом</w:t>
      </w:r>
      <w:proofErr w:type="gramEnd"/>
      <w:r w:rsidRPr="00405303">
        <w:rPr>
          <w:bCs/>
          <w:i w:val="0"/>
          <w:color w:val="002060"/>
          <w:spacing w:val="0"/>
          <w:kern w:val="0"/>
          <w:position w:val="0"/>
          <w:sz w:val="16"/>
          <w:szCs w:val="16"/>
        </w:rPr>
        <w:t xml:space="preserve"> склада и к одному только отделу огнеприпасов было прикомандировано более 30 офицеров и классных чиновников и 1.800 солдат. </w:t>
      </w:r>
    </w:p>
    <w:p w14:paraId="7DC6819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Генерал-инспектор считал необходимым усилить штат Киевского артсклада, избавить склад от непроизводительных переотправок имущества, упростить порядок делопроизводства и отчетности, установив систему талонов и т. д., разгрузить склад передачей части имущества в другие склады и т. д. </w:t>
      </w:r>
    </w:p>
    <w:p w14:paraId="4366DD4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Не лучше обстояло дело в Киевском арсенале. "Наряды фронта, по большей части срочные, были столь многочисленны и разнообразны, что в Киевском арсенале была совершенно нарушена планомерность в работах". Перечень этих нарядов, данных только до конца июля 1915 г., занимал более 200 страниц. Почти все, что случайно не оказывалось в запасах фронта, "заказывалось арсеналу"... При таких условиях Киевский арсенал, несмотря на полную интенсивность работ (в кузнечной мастерской работали 24 часа в 3 смены, в остальных мастерских в 2 смены, по 11 часов каждая), не в состоянии был выполнять срочные наряды ГАУ, тогда как некоторые из них имели несравненно более серьезное значение, чем наряды фронта. </w:t>
      </w:r>
    </w:p>
    <w:p w14:paraId="5C4452E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Необходимо было осторожнее относиться к даче нарядов арсеналу от фронта, как </w:t>
      </w:r>
      <w:proofErr w:type="gramStart"/>
      <w:r w:rsidRPr="00405303">
        <w:rPr>
          <w:bCs/>
          <w:i w:val="0"/>
          <w:color w:val="002060"/>
          <w:spacing w:val="0"/>
          <w:kern w:val="0"/>
          <w:position w:val="0"/>
          <w:sz w:val="16"/>
          <w:szCs w:val="16"/>
        </w:rPr>
        <w:t>можно</w:t>
      </w:r>
      <w:proofErr w:type="gramEnd"/>
      <w:r w:rsidRPr="00405303">
        <w:rPr>
          <w:bCs/>
          <w:i w:val="0"/>
          <w:color w:val="002060"/>
          <w:spacing w:val="0"/>
          <w:kern w:val="0"/>
          <w:position w:val="0"/>
          <w:sz w:val="16"/>
          <w:szCs w:val="16"/>
        </w:rPr>
        <w:t xml:space="preserve"> шире привлекая для выполнения более простых нарядов починочные мастерские или даже частную промышленность. </w:t>
      </w:r>
    </w:p>
    <w:p w14:paraId="442D146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Оценивая создавшееся на Юго-западном фронте положение с артиллерийским снабжением, причины, его вызвавшие, отмеченные в цитируемых документах, и меры, предлагаемые для урегулирования артснабжения, приходится еще раз подчеркнуть: </w:t>
      </w:r>
    </w:p>
    <w:p w14:paraId="10756F6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 Недооценку вопросов артиллерийского снабжения при мобилизационной подготовке (отсутствие норм запасов для фронтов, недостаток штатного состава, неподготовленность к развертыванию существующих учреждений, недостаточная сеть артснабженческих учреждений, вызвавшая массу нештатных организаций, и т. д.). </w:t>
      </w:r>
    </w:p>
    <w:p w14:paraId="043F285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 Нелепость организации артиллерийского снабжения действующей армии в целом без возглавляющего аппарата, что приводило в отсутствию регулирования и наблюдения за правильным функционированием боевого снабжения и к стрем-лению фронтовых органов разрешать все вопросы артснабжения внутри себя (несоответственное распределение имущества по складам, загрузка Киевского склада имуществом, подлежащим отправлению во внутренние округа, загрузка арсенала заказами мелких частей, которых не было в запасах фронта, и т. п.). </w:t>
      </w:r>
    </w:p>
    <w:p w14:paraId="05FB89B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3. Отсутствие ясности и четкости в построении аппарата артснабжения на фронтах - в результате запутанность взаимоотношений (подчинение технических артиллерийских заведений фронтам по территориальному признаку и пр.). </w:t>
      </w:r>
    </w:p>
    <w:p w14:paraId="1DDF11D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4. Необычайно разросшиеся путы формализма, сдавившие железными обручами живое дело артснабжения (горы переписки и сложная отчетность, не поспевавшая за жизнью) (11483).</w:t>
      </w:r>
    </w:p>
    <w:p w14:paraId="11BC2F36" w14:textId="77777777" w:rsidR="004B4E35" w:rsidRPr="00405303" w:rsidRDefault="004B4E35" w:rsidP="00C15251">
      <w:pPr>
        <w:pStyle w:val="a3"/>
        <w:jc w:val="both"/>
        <w:rPr>
          <w:bCs/>
          <w:i w:val="0"/>
          <w:color w:val="002060"/>
          <w:spacing w:val="0"/>
          <w:kern w:val="0"/>
          <w:position w:val="0"/>
          <w:sz w:val="16"/>
          <w:szCs w:val="16"/>
        </w:rPr>
      </w:pPr>
    </w:p>
    <w:p w14:paraId="78BAD45A" w14:textId="77777777" w:rsidR="00CE4C0C" w:rsidRPr="00405303" w:rsidRDefault="00CE4C0C" w:rsidP="00CE4C0C">
      <w:pPr>
        <w:jc w:val="both"/>
        <w:rPr>
          <w:bCs/>
          <w:i/>
          <w:color w:val="002060"/>
          <w:sz w:val="16"/>
          <w:szCs w:val="16"/>
        </w:rPr>
      </w:pPr>
      <w:r w:rsidRPr="00405303">
        <w:rPr>
          <w:bCs/>
          <w:i/>
          <w:color w:val="002060"/>
          <w:sz w:val="16"/>
          <w:szCs w:val="16"/>
        </w:rPr>
        <w:t>Авиация и воздухоплавание Германии:</w:t>
      </w:r>
    </w:p>
    <w:p w14:paraId="32716985" w14:textId="77777777" w:rsidR="00CE4C0C" w:rsidRPr="00405303" w:rsidRDefault="00CE4C0C" w:rsidP="00CE4C0C">
      <w:pPr>
        <w:jc w:val="both"/>
        <w:rPr>
          <w:bCs/>
          <w:i/>
          <w:color w:val="002060"/>
          <w:sz w:val="16"/>
          <w:szCs w:val="16"/>
        </w:rPr>
      </w:pPr>
    </w:p>
    <w:p w14:paraId="0AA01C47" w14:textId="77777777" w:rsidR="00CE4C0C" w:rsidRPr="00405303" w:rsidRDefault="00CE4C0C" w:rsidP="00CE4C0C">
      <w:pPr>
        <w:jc w:val="both"/>
        <w:rPr>
          <w:color w:val="0070C0"/>
          <w:sz w:val="16"/>
          <w:szCs w:val="16"/>
        </w:rPr>
      </w:pPr>
      <w:r w:rsidRPr="00405303">
        <w:rPr>
          <w:color w:val="0070C0"/>
          <w:sz w:val="16"/>
          <w:szCs w:val="16"/>
        </w:rPr>
        <w:t>2 (15) января 1915 года поплавковый гидросамолет «Фридриксхафен» FF.29 был впервые в истории погружен на палубу подводной лодки U-12. В надводном положении она доставила «груз» на расстояние 15 миль от английского берега. Там самолет успешно спустили на воду и отправили в небо — на бомбардировку. В дальнейшем германские и австрийские гидропланы различных типов не раз успешно взаимодействовали с подводными лодками, доставляя донесения и наводя «у-боты» на врага. Встречаются упоминания и о том, что подводники несколько раз спасали экипажи попавших в беду летательных аппаратов (25222).</w:t>
      </w:r>
    </w:p>
    <w:p w14:paraId="3B69970D" w14:textId="77777777" w:rsidR="00CE4C0C" w:rsidRPr="00405303" w:rsidRDefault="00CE4C0C" w:rsidP="00CE4C0C">
      <w:pPr>
        <w:jc w:val="both"/>
        <w:rPr>
          <w:color w:val="0070C0"/>
          <w:sz w:val="16"/>
          <w:szCs w:val="16"/>
        </w:rPr>
      </w:pPr>
    </w:p>
    <w:p w14:paraId="3369BE7D" w14:textId="70947D5A" w:rsidR="00D51F81" w:rsidRPr="00405303" w:rsidRDefault="00D51F81" w:rsidP="00C15251">
      <w:pPr>
        <w:jc w:val="both"/>
        <w:rPr>
          <w:bCs/>
          <w:i/>
          <w:color w:val="002060"/>
          <w:sz w:val="16"/>
          <w:szCs w:val="16"/>
        </w:rPr>
      </w:pPr>
      <w:r w:rsidRPr="00405303">
        <w:rPr>
          <w:bCs/>
          <w:i/>
          <w:color w:val="002060"/>
          <w:sz w:val="16"/>
          <w:szCs w:val="16"/>
        </w:rPr>
        <w:t>Авиация и воздухоплавание за рубежом:</w:t>
      </w:r>
    </w:p>
    <w:p w14:paraId="7ABD885D" w14:textId="77777777" w:rsidR="00D51F81" w:rsidRPr="00405303" w:rsidRDefault="00D51F81" w:rsidP="00C15251">
      <w:pPr>
        <w:jc w:val="both"/>
        <w:rPr>
          <w:bCs/>
          <w:i/>
          <w:color w:val="002060"/>
          <w:sz w:val="16"/>
          <w:szCs w:val="16"/>
        </w:rPr>
      </w:pPr>
    </w:p>
    <w:p w14:paraId="2335608A" w14:textId="65DCA5FB" w:rsidR="00D51F81" w:rsidRPr="00405303" w:rsidRDefault="00D51F81" w:rsidP="00C15251">
      <w:pPr>
        <w:jc w:val="both"/>
        <w:rPr>
          <w:bCs/>
          <w:color w:val="002060"/>
          <w:sz w:val="16"/>
          <w:szCs w:val="16"/>
        </w:rPr>
      </w:pPr>
      <w:r w:rsidRPr="00405303">
        <w:rPr>
          <w:bCs/>
          <w:color w:val="002060"/>
          <w:sz w:val="16"/>
          <w:szCs w:val="16"/>
        </w:rPr>
        <w:t>2 (15) января 1915</w:t>
      </w:r>
      <w:r w:rsidR="00DB4D64" w:rsidRPr="00405303">
        <w:rPr>
          <w:bCs/>
          <w:color w:val="002060"/>
          <w:sz w:val="16"/>
          <w:szCs w:val="16"/>
        </w:rPr>
        <w:t xml:space="preserve"> </w:t>
      </w:r>
      <w:r w:rsidRPr="00405303">
        <w:rPr>
          <w:bCs/>
          <w:color w:val="002060"/>
          <w:sz w:val="16"/>
          <w:szCs w:val="16"/>
        </w:rPr>
        <w:t>- Установлен рекорд продолжительности полета на самолете Martin T Army Tractor - 8 часов, 53 минуты. Потрачено было 114 литров бензина. По оценке пилота, лейтенанта Байрона Джонса, горючего хватало еще на два часа полета, но приближающаяся темнота вынудила совершить посадку (22657).</w:t>
      </w:r>
    </w:p>
    <w:p w14:paraId="51C5632D" w14:textId="77777777" w:rsidR="00D51F81" w:rsidRPr="00405303" w:rsidRDefault="00D51F81" w:rsidP="00C15251">
      <w:pPr>
        <w:jc w:val="both"/>
        <w:rPr>
          <w:bCs/>
          <w:color w:val="002060"/>
          <w:sz w:val="16"/>
          <w:szCs w:val="16"/>
        </w:rPr>
      </w:pPr>
    </w:p>
    <w:p w14:paraId="63D1632B" w14:textId="57C2AE2F" w:rsidR="006F58A5" w:rsidRPr="00405303" w:rsidRDefault="006F58A5" w:rsidP="00C15251">
      <w:pPr>
        <w:jc w:val="both"/>
        <w:rPr>
          <w:bCs/>
          <w:i/>
          <w:color w:val="002060"/>
          <w:sz w:val="16"/>
          <w:szCs w:val="16"/>
        </w:rPr>
      </w:pPr>
      <w:r w:rsidRPr="00405303">
        <w:rPr>
          <w:bCs/>
          <w:i/>
          <w:color w:val="002060"/>
          <w:sz w:val="16"/>
          <w:szCs w:val="16"/>
        </w:rPr>
        <w:t>Авиация и воздухоплавание Германии:</w:t>
      </w:r>
    </w:p>
    <w:p w14:paraId="72D65C75" w14:textId="77777777" w:rsidR="006F58A5" w:rsidRPr="00405303" w:rsidRDefault="006F58A5" w:rsidP="00C15251">
      <w:pPr>
        <w:jc w:val="both"/>
        <w:rPr>
          <w:bCs/>
          <w:i/>
          <w:color w:val="002060"/>
          <w:sz w:val="16"/>
          <w:szCs w:val="16"/>
        </w:rPr>
      </w:pPr>
    </w:p>
    <w:p w14:paraId="29A6D37E" w14:textId="77777777" w:rsidR="006F58A5" w:rsidRPr="00405303" w:rsidRDefault="006F58A5" w:rsidP="00C15251">
      <w:pPr>
        <w:jc w:val="both"/>
        <w:rPr>
          <w:bCs/>
          <w:color w:val="002060"/>
          <w:sz w:val="16"/>
          <w:szCs w:val="16"/>
        </w:rPr>
      </w:pPr>
      <w:r w:rsidRPr="00405303">
        <w:rPr>
          <w:bCs/>
          <w:color w:val="002060"/>
          <w:sz w:val="16"/>
          <w:szCs w:val="16"/>
        </w:rPr>
        <w:t xml:space="preserve">4 (17) февраля 1915 всего через четыре недели после того, как они стали первыми двумя дирижаблями, бомбардировавшими Соединенное Королевство, Цеппелины L-3 и L-4 Императорского флота Германии потерпели крушение в Дании при попытке поиска британских кораблей у берегов </w:t>
      </w:r>
      <w:proofErr w:type="gramStart"/>
      <w:r w:rsidRPr="00405303">
        <w:rPr>
          <w:bCs/>
          <w:color w:val="002060"/>
          <w:sz w:val="16"/>
          <w:szCs w:val="16"/>
        </w:rPr>
        <w:t>Норвегии .</w:t>
      </w:r>
      <w:proofErr w:type="gramEnd"/>
      <w:r w:rsidRPr="00405303">
        <w:rPr>
          <w:bCs/>
          <w:color w:val="002060"/>
          <w:sz w:val="16"/>
          <w:szCs w:val="16"/>
        </w:rPr>
        <w:t xml:space="preserve"> L-3 сгорел и экипажа ьыл интернирован датскими властями. L-4 уносится ветром над Северным морем после приземления в Дании и исчезает с четырьмя членами экипажа, все еще находящимися на борту; датчане интернируют остальную часть команды (20338).</w:t>
      </w:r>
    </w:p>
    <w:p w14:paraId="000C4CBD" w14:textId="77777777" w:rsidR="006F58A5" w:rsidRPr="00405303" w:rsidRDefault="006F58A5" w:rsidP="00C15251">
      <w:pPr>
        <w:jc w:val="both"/>
        <w:rPr>
          <w:bCs/>
          <w:color w:val="002060"/>
          <w:sz w:val="16"/>
          <w:szCs w:val="16"/>
        </w:rPr>
      </w:pPr>
    </w:p>
    <w:p w14:paraId="3B10E318" w14:textId="77777777" w:rsidR="009E1C3B" w:rsidRPr="00405303" w:rsidRDefault="009E1C3B" w:rsidP="00C15251">
      <w:pPr>
        <w:jc w:val="both"/>
        <w:rPr>
          <w:bCs/>
          <w:i/>
          <w:color w:val="002060"/>
          <w:sz w:val="16"/>
          <w:szCs w:val="16"/>
        </w:rPr>
      </w:pPr>
      <w:r w:rsidRPr="00405303">
        <w:rPr>
          <w:bCs/>
          <w:i/>
          <w:color w:val="002060"/>
          <w:sz w:val="16"/>
          <w:szCs w:val="16"/>
        </w:rPr>
        <w:lastRenderedPageBreak/>
        <w:t>Авиация и воздухоплавание за рубежом:</w:t>
      </w:r>
    </w:p>
    <w:p w14:paraId="11E4D76E" w14:textId="77777777" w:rsidR="009E1C3B" w:rsidRPr="00405303" w:rsidRDefault="009E1C3B" w:rsidP="00C15251">
      <w:pPr>
        <w:jc w:val="both"/>
        <w:rPr>
          <w:bCs/>
          <w:i/>
          <w:color w:val="002060"/>
          <w:sz w:val="16"/>
          <w:szCs w:val="16"/>
        </w:rPr>
      </w:pPr>
    </w:p>
    <w:p w14:paraId="132943EC" w14:textId="77777777" w:rsidR="009E1C3B" w:rsidRPr="00405303" w:rsidRDefault="009E1C3B" w:rsidP="00C15251">
      <w:pPr>
        <w:jc w:val="both"/>
        <w:rPr>
          <w:bCs/>
          <w:color w:val="002060"/>
          <w:sz w:val="16"/>
          <w:szCs w:val="16"/>
        </w:rPr>
      </w:pPr>
      <w:r w:rsidRPr="00405303">
        <w:rPr>
          <w:bCs/>
          <w:color w:val="002060"/>
          <w:sz w:val="16"/>
          <w:szCs w:val="16"/>
        </w:rPr>
        <w:t>4 (17) января в 1915 году, по некоторым сведениям, Г.Уайтхед на двухмоторной летающей лодке совершил управляемый полет по замкнутому круговому маршруту, пролетев 11 км и выполнив посадку на воду. Весной 1986 года верхняя палата законодательного собрания американского штата Коннектикут предписала историку штата направить в Смитсоновский институт петицию с требованием назначить публичное слушание относительно приоритета братьев Уилбера и Орвилла Райт, которые считаются изобретателями самолёта - летательного аппатара тяжелее воздуха.</w:t>
      </w:r>
    </w:p>
    <w:p w14:paraId="311F679D" w14:textId="77777777" w:rsidR="009E1C3B" w:rsidRPr="00405303" w:rsidRDefault="009E1C3B" w:rsidP="00C15251">
      <w:pPr>
        <w:jc w:val="both"/>
        <w:rPr>
          <w:bCs/>
          <w:color w:val="002060"/>
          <w:sz w:val="16"/>
          <w:szCs w:val="16"/>
        </w:rPr>
      </w:pPr>
      <w:r w:rsidRPr="00405303">
        <w:rPr>
          <w:bCs/>
          <w:color w:val="002060"/>
          <w:sz w:val="16"/>
          <w:szCs w:val="16"/>
        </w:rPr>
        <w:t xml:space="preserve">Члены палаты настаивают на приоритете Густава Уайтхеда - иммигранта из Германии. Тем не менее, были люди, утверждающие, что были свидетелями этого полета. На снимке аэроплан Уайтхеда </w:t>
      </w:r>
      <w:proofErr w:type="gramStart"/>
      <w:r w:rsidRPr="00405303">
        <w:rPr>
          <w:bCs/>
          <w:color w:val="002060"/>
          <w:sz w:val="16"/>
          <w:szCs w:val="16"/>
        </w:rPr>
        <w:t>1902 года</w:t>
      </w:r>
      <w:proofErr w:type="gramEnd"/>
      <w:r w:rsidRPr="00405303">
        <w:rPr>
          <w:bCs/>
          <w:color w:val="002060"/>
          <w:sz w:val="16"/>
          <w:szCs w:val="16"/>
        </w:rPr>
        <w:t xml:space="preserve"> и он сам с дочерью на коленях:</w:t>
      </w:r>
    </w:p>
    <w:p w14:paraId="1CD6B253" w14:textId="77777777" w:rsidR="009E1C3B" w:rsidRPr="00405303" w:rsidRDefault="009E1C3B" w:rsidP="00C15251">
      <w:pPr>
        <w:pStyle w:val="ae"/>
        <w:spacing w:before="0" w:beforeAutospacing="0" w:after="0" w:afterAutospacing="0"/>
        <w:jc w:val="both"/>
        <w:rPr>
          <w:bCs/>
          <w:color w:val="002060"/>
          <w:sz w:val="16"/>
          <w:szCs w:val="16"/>
        </w:rPr>
      </w:pPr>
    </w:p>
    <w:p w14:paraId="60A0E7AF" w14:textId="77777777" w:rsidR="00275354" w:rsidRPr="00405303" w:rsidRDefault="00275354" w:rsidP="00C15251">
      <w:pPr>
        <w:jc w:val="both"/>
        <w:rPr>
          <w:bCs/>
          <w:i/>
          <w:color w:val="002060"/>
          <w:sz w:val="16"/>
          <w:szCs w:val="16"/>
        </w:rPr>
      </w:pPr>
      <w:r w:rsidRPr="00405303">
        <w:rPr>
          <w:bCs/>
          <w:i/>
          <w:color w:val="002060"/>
          <w:sz w:val="16"/>
          <w:szCs w:val="16"/>
        </w:rPr>
        <w:t>Авиация:</w:t>
      </w:r>
    </w:p>
    <w:p w14:paraId="17E512B9" w14:textId="77777777" w:rsidR="00275354" w:rsidRPr="00405303" w:rsidRDefault="00275354" w:rsidP="00C15251">
      <w:pPr>
        <w:jc w:val="both"/>
        <w:rPr>
          <w:bCs/>
          <w:i/>
          <w:color w:val="002060"/>
          <w:sz w:val="16"/>
          <w:szCs w:val="16"/>
        </w:rPr>
      </w:pPr>
    </w:p>
    <w:p w14:paraId="4A0BF722" w14:textId="680AEB43" w:rsidR="00275354" w:rsidRPr="00405303" w:rsidRDefault="00275354" w:rsidP="00C15251">
      <w:pPr>
        <w:jc w:val="both"/>
        <w:rPr>
          <w:bCs/>
          <w:color w:val="002060"/>
          <w:sz w:val="16"/>
          <w:szCs w:val="16"/>
        </w:rPr>
      </w:pPr>
      <w:r w:rsidRPr="00405303">
        <w:rPr>
          <w:bCs/>
          <w:color w:val="002060"/>
          <w:sz w:val="16"/>
          <w:szCs w:val="16"/>
        </w:rPr>
        <w:t xml:space="preserve">5 </w:t>
      </w:r>
      <w:r w:rsidR="009E1C3B" w:rsidRPr="00405303">
        <w:rPr>
          <w:bCs/>
          <w:color w:val="002060"/>
          <w:sz w:val="16"/>
          <w:szCs w:val="16"/>
        </w:rPr>
        <w:t xml:space="preserve">(18) </w:t>
      </w:r>
      <w:r w:rsidRPr="00405303">
        <w:rPr>
          <w:bCs/>
          <w:color w:val="002060"/>
          <w:sz w:val="16"/>
          <w:szCs w:val="16"/>
        </w:rPr>
        <w:t>января 1915 г. приказом Верховного Главнокомандующего (ВГК) № 4 была введена должность Заведующего организацией авиационного дела в Кавказской армии и расширены полномочия Александра Михайловича. Теперь он, находясь в подчинении ГК армиями ЮЗФ, должен был руководить деятельностью не только Заведующего авиацией СЗФ, но и Заведующего авиацией Кавказской армии. Вскоре несколько изменилось и название должности Великого князя: с 10 февраля 1915 г. он – Заведующий организацией авиационного дела в действующей армии с формальным подчинением начальнику штаба (НШ) ВГК (19566).</w:t>
      </w:r>
    </w:p>
    <w:p w14:paraId="4814A878" w14:textId="77777777" w:rsidR="00275354" w:rsidRPr="00405303" w:rsidRDefault="00275354" w:rsidP="00C15251">
      <w:pPr>
        <w:jc w:val="both"/>
        <w:rPr>
          <w:bCs/>
          <w:color w:val="002060"/>
          <w:sz w:val="16"/>
          <w:szCs w:val="16"/>
        </w:rPr>
      </w:pPr>
    </w:p>
    <w:p w14:paraId="1598CD49" w14:textId="77777777" w:rsidR="00CA3780" w:rsidRPr="00405303" w:rsidRDefault="00CA3780" w:rsidP="00C15251">
      <w:pPr>
        <w:jc w:val="both"/>
        <w:rPr>
          <w:bCs/>
          <w:color w:val="002060"/>
          <w:sz w:val="16"/>
          <w:szCs w:val="16"/>
        </w:rPr>
      </w:pPr>
      <w:r w:rsidRPr="00405303">
        <w:rPr>
          <w:bCs/>
          <w:color w:val="002060"/>
          <w:sz w:val="16"/>
          <w:szCs w:val="16"/>
        </w:rPr>
        <w:t>5 (18) января 1915 г. приказом ВГК № 4 учреждена должность Заведующего авиационным делом в Кавказской армии. Заведующим был назначен воздухоплаватель полковник Н.Г.Баратов, позже замененный летчиком бароном Г.О.Буксгеведеном. Этим же приказом на заведующего авиационным де</w:t>
      </w:r>
      <w:r w:rsidRPr="00405303">
        <w:rPr>
          <w:bCs/>
          <w:color w:val="002060"/>
          <w:sz w:val="16"/>
          <w:szCs w:val="16"/>
        </w:rPr>
        <w:softHyphen/>
        <w:t>лом юго-западного фронта в.к. Александра Михайловича было возложено заведывание организацией авиационного дела вообще в действующей армии.</w:t>
      </w:r>
    </w:p>
    <w:p w14:paraId="220838CC" w14:textId="77777777" w:rsidR="00CA3780" w:rsidRPr="00405303" w:rsidRDefault="00CA3780" w:rsidP="00C15251">
      <w:pPr>
        <w:jc w:val="both"/>
        <w:rPr>
          <w:bCs/>
          <w:color w:val="002060"/>
          <w:sz w:val="16"/>
          <w:szCs w:val="16"/>
        </w:rPr>
      </w:pPr>
      <w:r w:rsidRPr="00405303">
        <w:rPr>
          <w:bCs/>
          <w:color w:val="002060"/>
          <w:sz w:val="16"/>
          <w:szCs w:val="16"/>
        </w:rPr>
        <w:t>/ЦГВИА, ф. 2003, оп. 1, д. 1224, л. 216/ (23320).</w:t>
      </w:r>
    </w:p>
    <w:p w14:paraId="3077A454" w14:textId="77777777" w:rsidR="00CA3780" w:rsidRPr="00405303" w:rsidRDefault="00CA3780" w:rsidP="00C15251">
      <w:pPr>
        <w:jc w:val="both"/>
        <w:rPr>
          <w:bCs/>
          <w:color w:val="002060"/>
          <w:sz w:val="16"/>
          <w:szCs w:val="16"/>
        </w:rPr>
      </w:pPr>
    </w:p>
    <w:p w14:paraId="378C6E85" w14:textId="77777777" w:rsidR="00CE4C0C" w:rsidRPr="00405303" w:rsidRDefault="00CE4C0C" w:rsidP="00CE4C0C">
      <w:pPr>
        <w:jc w:val="both"/>
        <w:rPr>
          <w:color w:val="0070C0"/>
          <w:sz w:val="16"/>
          <w:szCs w:val="16"/>
        </w:rPr>
      </w:pPr>
      <w:r w:rsidRPr="00405303">
        <w:rPr>
          <w:color w:val="0070C0"/>
          <w:sz w:val="16"/>
          <w:szCs w:val="16"/>
        </w:rPr>
        <w:t>5 (18) янв. 1915 г. Приказами верх, глав-щего на бывш. вел. кн. Александра Михайловича было возложено заведывание организацией авиационного дела во всей действующей армии. Затем его же приказом от 10 ноября 1915 г. заве</w:t>
      </w:r>
      <w:r w:rsidRPr="00405303">
        <w:rPr>
          <w:color w:val="0070C0"/>
          <w:sz w:val="16"/>
          <w:szCs w:val="16"/>
        </w:rPr>
        <w:softHyphen/>
        <w:t>дующий организацией авиационного дела был переименован в «заведующего авиацией и воздухоплаванием в действую</w:t>
      </w:r>
      <w:r w:rsidRPr="00405303">
        <w:rPr>
          <w:color w:val="0070C0"/>
          <w:sz w:val="16"/>
          <w:szCs w:val="16"/>
        </w:rPr>
        <w:softHyphen/>
        <w:t>щей армии». Наконец, в ноябре 1916 г. была учреждена должность «генерал-инспектора Военного Воздушного Флота при верх, глав-щем., к которому и перешли функции зав. авиацией и воздухоплаванием в действующей армии (прик. нач-ка штаба верх, глав-щего от 24 ноября 1916 г. № 1632) (24923).</w:t>
      </w:r>
    </w:p>
    <w:p w14:paraId="2178A3DC" w14:textId="77777777" w:rsidR="00CE4C0C" w:rsidRPr="00405303" w:rsidRDefault="00CE4C0C" w:rsidP="00CE4C0C">
      <w:pPr>
        <w:jc w:val="both"/>
        <w:rPr>
          <w:color w:val="0070C0"/>
          <w:sz w:val="16"/>
          <w:szCs w:val="16"/>
        </w:rPr>
      </w:pPr>
    </w:p>
    <w:p w14:paraId="582F478D" w14:textId="45371848" w:rsidR="006F58A5" w:rsidRPr="00405303" w:rsidRDefault="009E1C3B" w:rsidP="00C15251">
      <w:pPr>
        <w:jc w:val="both"/>
        <w:rPr>
          <w:bCs/>
          <w:color w:val="002060"/>
          <w:sz w:val="16"/>
          <w:szCs w:val="16"/>
        </w:rPr>
      </w:pPr>
      <w:r w:rsidRPr="00405303">
        <w:rPr>
          <w:rStyle w:val="42"/>
          <w:rFonts w:ascii="Times New Roman" w:hAnsi="Times New Roman" w:cs="Times New Roman"/>
          <w:bCs/>
          <w:color w:val="002060"/>
          <w:w w:val="100"/>
          <w:sz w:val="16"/>
          <w:szCs w:val="16"/>
        </w:rPr>
        <w:t>С</w:t>
      </w:r>
      <w:r w:rsidR="006F58A5" w:rsidRPr="00405303">
        <w:rPr>
          <w:rStyle w:val="42"/>
          <w:rFonts w:ascii="Times New Roman" w:hAnsi="Times New Roman" w:cs="Times New Roman"/>
          <w:bCs/>
          <w:color w:val="002060"/>
          <w:w w:val="100"/>
          <w:sz w:val="16"/>
          <w:szCs w:val="16"/>
        </w:rPr>
        <w:t xml:space="preserve"> 5 (18) января по 10 (23) февраля 1915 г. </w:t>
      </w:r>
      <w:r w:rsidRPr="00405303">
        <w:rPr>
          <w:rStyle w:val="42"/>
          <w:rFonts w:ascii="Times New Roman" w:hAnsi="Times New Roman" w:cs="Times New Roman"/>
          <w:bCs/>
          <w:color w:val="002060"/>
          <w:w w:val="100"/>
          <w:sz w:val="16"/>
          <w:szCs w:val="16"/>
        </w:rPr>
        <w:t xml:space="preserve">во время блокады Перемышля русскими войсками гарнизон крепости поддерживал связь с основными силами с помощью аэропланов, выполнивших </w:t>
      </w:r>
      <w:r w:rsidR="006F58A5" w:rsidRPr="00405303">
        <w:rPr>
          <w:rStyle w:val="42"/>
          <w:rFonts w:ascii="Times New Roman" w:hAnsi="Times New Roman" w:cs="Times New Roman"/>
          <w:bCs/>
          <w:color w:val="002060"/>
          <w:w w:val="100"/>
          <w:sz w:val="16"/>
          <w:szCs w:val="16"/>
        </w:rPr>
        <w:t>33 полёта, причём в десяти из них пересы</w:t>
      </w:r>
      <w:r w:rsidR="006F58A5" w:rsidRPr="00405303">
        <w:rPr>
          <w:rStyle w:val="42"/>
          <w:rFonts w:ascii="Times New Roman" w:hAnsi="Times New Roman" w:cs="Times New Roman"/>
          <w:bCs/>
          <w:color w:val="002060"/>
          <w:w w:val="100"/>
          <w:sz w:val="16"/>
          <w:szCs w:val="16"/>
        </w:rPr>
        <w:softHyphen/>
        <w:t>лалась почта («</w:t>
      </w:r>
      <w:r w:rsidR="006F58A5" w:rsidRPr="00405303">
        <w:rPr>
          <w:rStyle w:val="42"/>
          <w:rFonts w:ascii="Times New Roman" w:hAnsi="Times New Roman" w:cs="Times New Roman"/>
          <w:bCs/>
          <w:color w:val="002060"/>
          <w:w w:val="100"/>
          <w:sz w:val="16"/>
          <w:szCs w:val="16"/>
          <w:lang w:val="en-US"/>
        </w:rPr>
        <w:t>Fliegerpost</w:t>
      </w:r>
      <w:r w:rsidR="006F58A5" w:rsidRPr="00405303">
        <w:rPr>
          <w:rStyle w:val="42"/>
          <w:rFonts w:ascii="Times New Roman" w:hAnsi="Times New Roman" w:cs="Times New Roman"/>
          <w:bCs/>
          <w:color w:val="002060"/>
          <w:w w:val="100"/>
          <w:sz w:val="16"/>
          <w:szCs w:val="16"/>
        </w:rPr>
        <w:t xml:space="preserve"> </w:t>
      </w:r>
      <w:r w:rsidR="006F58A5" w:rsidRPr="00405303">
        <w:rPr>
          <w:rStyle w:val="42"/>
          <w:rFonts w:ascii="Times New Roman" w:hAnsi="Times New Roman" w:cs="Times New Roman"/>
          <w:bCs/>
          <w:color w:val="002060"/>
          <w:w w:val="100"/>
          <w:sz w:val="16"/>
          <w:szCs w:val="16"/>
          <w:lang w:val="en-US"/>
        </w:rPr>
        <w:t>Przemysl</w:t>
      </w:r>
      <w:r w:rsidR="006F58A5" w:rsidRPr="00405303">
        <w:rPr>
          <w:rStyle w:val="42"/>
          <w:rFonts w:ascii="Times New Roman" w:hAnsi="Times New Roman" w:cs="Times New Roman"/>
          <w:bCs/>
          <w:color w:val="002060"/>
          <w:w w:val="100"/>
          <w:sz w:val="16"/>
          <w:szCs w:val="16"/>
        </w:rPr>
        <w:t>» — «Воздуш</w:t>
      </w:r>
      <w:r w:rsidR="006F58A5" w:rsidRPr="00405303">
        <w:rPr>
          <w:rStyle w:val="42"/>
          <w:rFonts w:ascii="Times New Roman" w:hAnsi="Times New Roman" w:cs="Times New Roman"/>
          <w:bCs/>
          <w:color w:val="002060"/>
          <w:w w:val="100"/>
          <w:sz w:val="16"/>
          <w:szCs w:val="16"/>
        </w:rPr>
        <w:softHyphen/>
        <w:t>ная почта Перемышль»). Вследствие малой гру</w:t>
      </w:r>
      <w:r w:rsidR="006F58A5" w:rsidRPr="00405303">
        <w:rPr>
          <w:rStyle w:val="42"/>
          <w:rFonts w:ascii="Times New Roman" w:hAnsi="Times New Roman" w:cs="Times New Roman"/>
          <w:bCs/>
          <w:color w:val="002060"/>
          <w:w w:val="100"/>
          <w:sz w:val="16"/>
          <w:szCs w:val="16"/>
        </w:rPr>
        <w:softHyphen/>
        <w:t>зоподъёмности аэропланов, конечно, ни о каком «воздушном мосте» не могло быть и речи (20120).</w:t>
      </w:r>
    </w:p>
    <w:p w14:paraId="28D8D75F" w14:textId="77777777" w:rsidR="006F58A5" w:rsidRPr="00405303" w:rsidRDefault="006F58A5" w:rsidP="00C15251">
      <w:pPr>
        <w:jc w:val="both"/>
        <w:rPr>
          <w:bCs/>
          <w:color w:val="002060"/>
          <w:sz w:val="16"/>
          <w:szCs w:val="16"/>
        </w:rPr>
      </w:pPr>
    </w:p>
    <w:p w14:paraId="3E01F747" w14:textId="73F52FAD" w:rsidR="006F58A5" w:rsidRPr="00405303" w:rsidRDefault="006F58A5" w:rsidP="00C15251">
      <w:pPr>
        <w:jc w:val="both"/>
        <w:rPr>
          <w:bCs/>
          <w:i/>
          <w:color w:val="002060"/>
          <w:sz w:val="16"/>
          <w:szCs w:val="16"/>
        </w:rPr>
      </w:pPr>
      <w:r w:rsidRPr="00405303">
        <w:rPr>
          <w:bCs/>
          <w:i/>
          <w:color w:val="002060"/>
          <w:sz w:val="16"/>
          <w:szCs w:val="16"/>
        </w:rPr>
        <w:t>Авиация и воздухоплавание Германии:</w:t>
      </w:r>
    </w:p>
    <w:p w14:paraId="6C782659" w14:textId="77777777" w:rsidR="006F58A5" w:rsidRPr="00405303" w:rsidRDefault="006F58A5" w:rsidP="00C15251">
      <w:pPr>
        <w:jc w:val="both"/>
        <w:rPr>
          <w:bCs/>
          <w:i/>
          <w:color w:val="002060"/>
          <w:sz w:val="16"/>
          <w:szCs w:val="16"/>
        </w:rPr>
      </w:pPr>
    </w:p>
    <w:p w14:paraId="42944647" w14:textId="79CFE9A9" w:rsidR="006F58A5" w:rsidRPr="00405303" w:rsidRDefault="006F58A5" w:rsidP="00C15251">
      <w:pPr>
        <w:jc w:val="both"/>
        <w:rPr>
          <w:bCs/>
          <w:color w:val="002060"/>
          <w:sz w:val="16"/>
          <w:szCs w:val="16"/>
        </w:rPr>
      </w:pPr>
      <w:r w:rsidRPr="00405303">
        <w:rPr>
          <w:bCs/>
          <w:color w:val="002060"/>
          <w:sz w:val="16"/>
          <w:szCs w:val="16"/>
        </w:rPr>
        <w:t>5 (19) января 1915</w:t>
      </w:r>
      <w:r w:rsidR="00DB4D64" w:rsidRPr="00405303">
        <w:rPr>
          <w:bCs/>
          <w:color w:val="002060"/>
          <w:sz w:val="16"/>
          <w:szCs w:val="16"/>
        </w:rPr>
        <w:t xml:space="preserve"> </w:t>
      </w:r>
      <w:r w:rsidR="009E1C3B" w:rsidRPr="00405303">
        <w:rPr>
          <w:bCs/>
          <w:color w:val="002060"/>
          <w:sz w:val="16"/>
          <w:szCs w:val="16"/>
        </w:rPr>
        <w:t>с</w:t>
      </w:r>
      <w:r w:rsidRPr="00405303">
        <w:rPr>
          <w:bCs/>
          <w:color w:val="002060"/>
          <w:sz w:val="16"/>
          <w:szCs w:val="16"/>
        </w:rPr>
        <w:t>остоялся первый налет немецких дирижаблей «Цеппелин» на Великобританию. В налёте участвовали L-3, L-4 и L-6. L-6 был вынужден вернуться на базу Норхольт из-за поломки двигателя. В 15 часов 30 минут Цеппелины достигли пригородов Ярмута (Great Yarmouth&amp; King’s Lynn), где располагались военные заводы. Но из-за облачности бомбы были сброшены практически вслепую. 15 фугасных бомб весом по 50 кг. и 18 зажигательных бомб упали практически на центр города. Погибло 4 человека, 16 ранены. Разрушены небольшие здания (22653).</w:t>
      </w:r>
    </w:p>
    <w:p w14:paraId="4D58FB4B" w14:textId="77777777" w:rsidR="006F58A5" w:rsidRPr="00405303" w:rsidRDefault="006F58A5" w:rsidP="00C15251">
      <w:pPr>
        <w:pStyle w:val="ae"/>
        <w:spacing w:before="0" w:beforeAutospacing="0" w:after="0" w:afterAutospacing="0"/>
        <w:jc w:val="both"/>
        <w:rPr>
          <w:bCs/>
          <w:color w:val="002060"/>
          <w:sz w:val="16"/>
          <w:szCs w:val="16"/>
        </w:rPr>
      </w:pPr>
    </w:p>
    <w:p w14:paraId="4FA0F5A7" w14:textId="206EC912" w:rsidR="006F58A5" w:rsidRPr="00405303" w:rsidRDefault="006F58A5" w:rsidP="00C15251">
      <w:pPr>
        <w:jc w:val="both"/>
        <w:rPr>
          <w:bCs/>
          <w:i/>
          <w:color w:val="002060"/>
          <w:sz w:val="16"/>
          <w:szCs w:val="16"/>
        </w:rPr>
      </w:pPr>
      <w:r w:rsidRPr="00405303">
        <w:rPr>
          <w:bCs/>
          <w:i/>
          <w:color w:val="002060"/>
          <w:sz w:val="16"/>
          <w:szCs w:val="16"/>
        </w:rPr>
        <w:t>За рубежом:</w:t>
      </w:r>
    </w:p>
    <w:p w14:paraId="6CFCEC4B" w14:textId="77777777" w:rsidR="006F58A5" w:rsidRPr="00405303" w:rsidRDefault="006F58A5" w:rsidP="00C15251">
      <w:pPr>
        <w:jc w:val="both"/>
        <w:rPr>
          <w:bCs/>
          <w:i/>
          <w:color w:val="002060"/>
          <w:sz w:val="16"/>
          <w:szCs w:val="16"/>
        </w:rPr>
      </w:pPr>
    </w:p>
    <w:p w14:paraId="101E3CEA" w14:textId="77777777" w:rsidR="006F58A5" w:rsidRPr="00405303" w:rsidRDefault="006F58A5" w:rsidP="00C15251">
      <w:pPr>
        <w:pStyle w:val="ae"/>
        <w:spacing w:before="0" w:beforeAutospacing="0" w:after="0" w:afterAutospacing="0"/>
        <w:jc w:val="both"/>
        <w:rPr>
          <w:bCs/>
          <w:color w:val="002060"/>
          <w:sz w:val="16"/>
          <w:szCs w:val="16"/>
        </w:rPr>
      </w:pPr>
      <w:r w:rsidRPr="00405303">
        <w:rPr>
          <w:bCs/>
          <w:color w:val="002060"/>
          <w:sz w:val="16"/>
          <w:szCs w:val="16"/>
        </w:rPr>
        <w:t>5 (18) января 1915 г. в Германии был сформирован добровольческий саперный отряд для испытания огнемета в боевых условиях (Flammenwerfer Abteilung). Его командиром назначили майора Германа Реддемана, бывшего начальника лейпцигской пожарной охраны. Реддеман проводил эксперименты с огнеметами на протяжении нескольких предвоенных лет. В феврале 1915 г. ранцевый огнемет испытали под Верденом против французов, а в июне против англичан. В обоих случаях огнемет вызвал панику в рядах вражеской пехоты, немцам удалось занять позиции противника с относительно небольшими потерями. Никто не мог остаться в траншее, когда за бруствер лился огненный поток. Третий гвардейский саперный батальон переформировали в Flammenwerfer Abteilung. Батальон первоначально состоял из шести рот, но к 1917 г. число рот увеличилось до 12. В каждой роте было 20 больших и 18 малых огнеметов. В составе каждого штурмового батальона был огнеметный взвод (Flam-menweriertrupp), насчитывавший от четырех до восьми ранцевых огнеметов (20246).</w:t>
      </w:r>
    </w:p>
    <w:p w14:paraId="7313A516" w14:textId="77777777" w:rsidR="006F58A5" w:rsidRPr="00405303" w:rsidRDefault="006F58A5" w:rsidP="00C15251">
      <w:pPr>
        <w:pStyle w:val="ae"/>
        <w:spacing w:before="0" w:beforeAutospacing="0" w:after="0" w:afterAutospacing="0"/>
        <w:jc w:val="both"/>
        <w:rPr>
          <w:bCs/>
          <w:color w:val="002060"/>
          <w:sz w:val="16"/>
          <w:szCs w:val="16"/>
        </w:rPr>
      </w:pPr>
    </w:p>
    <w:p w14:paraId="5B8FEA9E"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3B28A63C" w14:textId="77777777" w:rsidR="004B4E35" w:rsidRPr="00405303" w:rsidRDefault="004B4E35" w:rsidP="00C15251">
      <w:pPr>
        <w:jc w:val="both"/>
        <w:rPr>
          <w:bCs/>
          <w:i/>
          <w:color w:val="002060"/>
          <w:sz w:val="16"/>
          <w:szCs w:val="16"/>
        </w:rPr>
      </w:pPr>
    </w:p>
    <w:p w14:paraId="217E28C9" w14:textId="77777777" w:rsidR="004B4E35" w:rsidRPr="00405303" w:rsidRDefault="009E6F82" w:rsidP="00C15251">
      <w:pPr>
        <w:jc w:val="both"/>
        <w:rPr>
          <w:bCs/>
          <w:color w:val="002060"/>
          <w:sz w:val="16"/>
          <w:szCs w:val="16"/>
        </w:rPr>
      </w:pPr>
      <w:r w:rsidRPr="00405303">
        <w:rPr>
          <w:bCs/>
          <w:color w:val="002060"/>
          <w:sz w:val="16"/>
          <w:szCs w:val="16"/>
        </w:rPr>
        <w:t>6 (19) января 1915 года адъютант управления Варшавской крепостной артиллерии подпоручик Петропавловский подготовил доклад о совместных действиях летчиков и артиллеристов по противовоздушной обороне города. Предусматривалось, что авиаотряды будут вести воздушное наблюдение и действовать не далее семи верст от города, применяя как огнестрельное оружие, так и бомбы и неуправляемые ракеты (изготавливались в Варшавской крепости), «причем последние - в том случае, когда это совершенно безопасно для города». Противоаэропланные батареи должны были вести огонь только на дистанциях в две, три и четыре версты. За 20 минут до вылета летчик должен был телефонировать о полете на батареи, подлетать к городу на высоте не более 100 метров, с востока, покачивая крыльями. Предполагалось также создать вокруг Варшавы сеть из 19 разведывательных и 18 наблюдательных постов, соединенных с Мокотовским аэродромом телефонной связью. На эти посты назначалось 50 наблюдателей.</w:t>
      </w:r>
    </w:p>
    <w:p w14:paraId="7FEF6A74" w14:textId="77777777" w:rsidR="004B4E35" w:rsidRPr="00405303" w:rsidRDefault="004B4E35" w:rsidP="00C15251">
      <w:pPr>
        <w:jc w:val="both"/>
        <w:rPr>
          <w:bCs/>
          <w:i/>
          <w:color w:val="002060"/>
          <w:sz w:val="16"/>
          <w:szCs w:val="16"/>
        </w:rPr>
      </w:pPr>
    </w:p>
    <w:p w14:paraId="3EE7A12B" w14:textId="77777777" w:rsidR="00CE4C0C" w:rsidRPr="00405303" w:rsidRDefault="00CE4C0C" w:rsidP="00CE4C0C">
      <w:pPr>
        <w:jc w:val="both"/>
        <w:rPr>
          <w:color w:val="0070C0"/>
          <w:sz w:val="16"/>
          <w:szCs w:val="16"/>
        </w:rPr>
      </w:pPr>
      <w:r w:rsidRPr="00405303">
        <w:rPr>
          <w:rStyle w:val="aa"/>
          <w:rFonts w:ascii="Times New Roman" w:hAnsi="Times New Roman"/>
          <w:color w:val="0070C0"/>
          <w:spacing w:val="0"/>
          <w:sz w:val="16"/>
          <w:szCs w:val="16"/>
        </w:rPr>
        <w:t>6 (19) января 1915 г. два немецких дирижабля отбомбились по целям в Восточной Англии, и британцы впервые ощутили существование угрозы с неба (25712).</w:t>
      </w:r>
    </w:p>
    <w:p w14:paraId="571ED619" w14:textId="77777777" w:rsidR="00CE4C0C" w:rsidRPr="00405303" w:rsidRDefault="00CE4C0C" w:rsidP="00CE4C0C">
      <w:pPr>
        <w:jc w:val="both"/>
        <w:rPr>
          <w:color w:val="0070C0"/>
          <w:sz w:val="16"/>
          <w:szCs w:val="16"/>
        </w:rPr>
      </w:pPr>
    </w:p>
    <w:p w14:paraId="1ED3D044"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3EE97860" w14:textId="77777777" w:rsidR="004B4E35" w:rsidRPr="00405303" w:rsidRDefault="004B4E35" w:rsidP="00C15251">
      <w:pPr>
        <w:jc w:val="both"/>
        <w:rPr>
          <w:bCs/>
          <w:i/>
          <w:color w:val="002060"/>
          <w:sz w:val="16"/>
          <w:szCs w:val="16"/>
        </w:rPr>
      </w:pPr>
    </w:p>
    <w:p w14:paraId="12E862CF" w14:textId="77777777" w:rsidR="009E1C3B" w:rsidRPr="00405303" w:rsidRDefault="009E1C3B" w:rsidP="00C15251">
      <w:pPr>
        <w:jc w:val="both"/>
        <w:rPr>
          <w:bCs/>
          <w:color w:val="002060"/>
          <w:sz w:val="16"/>
          <w:szCs w:val="16"/>
        </w:rPr>
      </w:pPr>
      <w:r w:rsidRPr="00405303">
        <w:rPr>
          <w:bCs/>
          <w:color w:val="002060"/>
          <w:sz w:val="16"/>
          <w:szCs w:val="16"/>
        </w:rPr>
        <w:t xml:space="preserve">6 – 7 (19–20 января (ночь) 1915 г. происходит первый налет дирижаблей Цеппелина на Соединенное Королевство, осуществленный дирижаблями L </w:t>
      </w:r>
      <w:proofErr w:type="gramStart"/>
      <w:r w:rsidRPr="00405303">
        <w:rPr>
          <w:bCs/>
          <w:color w:val="002060"/>
          <w:sz w:val="16"/>
          <w:szCs w:val="16"/>
        </w:rPr>
        <w:t>3 ,</w:t>
      </w:r>
      <w:proofErr w:type="gramEnd"/>
      <w:r w:rsidRPr="00405303">
        <w:rPr>
          <w:bCs/>
          <w:color w:val="002060"/>
          <w:sz w:val="16"/>
          <w:szCs w:val="16"/>
        </w:rPr>
        <w:t xml:space="preserve"> L-4 и L-6 Императорского флота </w:t>
      </w:r>
      <w:proofErr w:type="gramStart"/>
      <w:r w:rsidRPr="00405303">
        <w:rPr>
          <w:bCs/>
          <w:color w:val="002060"/>
          <w:sz w:val="16"/>
          <w:szCs w:val="16"/>
        </w:rPr>
        <w:t>Германии .</w:t>
      </w:r>
      <w:proofErr w:type="gramEnd"/>
      <w:r w:rsidRPr="00405303">
        <w:rPr>
          <w:bCs/>
          <w:color w:val="002060"/>
          <w:sz w:val="16"/>
          <w:szCs w:val="16"/>
        </w:rPr>
        <w:t xml:space="preserve"> L-6 поворачивает обратно с неисправным двигателем, но L-3 сбрасывает шесть 50-кг (110 фунтов) фугасных и семь зажигательных бомб на Грейт-Ярмут, а L-4 - сбрасывает бомбы Шерингеме, Снеттишеме и Кингс-Линн . В результате рейда четыре человека погибли, 16 получили ранения (20338).</w:t>
      </w:r>
    </w:p>
    <w:p w14:paraId="78236481" w14:textId="77777777" w:rsidR="009E1C3B" w:rsidRPr="00405303" w:rsidRDefault="009E1C3B" w:rsidP="00C15251">
      <w:pPr>
        <w:jc w:val="both"/>
        <w:rPr>
          <w:bCs/>
          <w:color w:val="002060"/>
          <w:sz w:val="16"/>
          <w:szCs w:val="16"/>
        </w:rPr>
      </w:pPr>
    </w:p>
    <w:p w14:paraId="1DBBD325" w14:textId="77777777" w:rsidR="004B4E35" w:rsidRPr="00405303" w:rsidRDefault="009E6F82" w:rsidP="00C15251">
      <w:pPr>
        <w:jc w:val="both"/>
        <w:rPr>
          <w:bCs/>
          <w:color w:val="002060"/>
          <w:sz w:val="16"/>
          <w:szCs w:val="16"/>
        </w:rPr>
      </w:pPr>
      <w:r w:rsidRPr="00405303">
        <w:rPr>
          <w:bCs/>
          <w:color w:val="002060"/>
          <w:sz w:val="16"/>
          <w:szCs w:val="16"/>
        </w:rPr>
        <w:t xml:space="preserve">6 (19) января 1915 года можно считать днем рождения стратегической авиации. Впервые в практике боевых действий немецкие цеппелины атаковали военные объекты в глубоком тылу врага, и не просто в тылу, а на территории Британских островов, ранее считавшейся абсолютно недоступной для нападения с моря или воздуха. Первая попытка, предпринятая 13 января (вот и не верь после этого в магию чисел), сорвалась из-за плохой погоды. За неделю вдоль побережья Северного и Балтийского морей, от Фландрии до Кенигсберга, была развернута цепь метеорологических постов, каждые три часа передававших сводки погоды на основную базу дивизиона в Вильгельмсхафене. </w:t>
      </w:r>
    </w:p>
    <w:p w14:paraId="499FE4DE"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19 января погода наконец-то позволила приступить к проведению операции. Штрассер быль настолько уверен в том, что англичане абсолютно не готовы к отражению атак цеппелинов, что приказал провести рейд в дневное время. Ровно в 11.00 три корабля: L-3, L-4 и L-6 выплыли из эллингов Норхольта и, басовито гудя моторами, взяли курс на север. К величайшей досаде командира дивизиона, L-6, на котором он летел, был вынужден вернуться с полпути из-за неисправности двигателя. Два других цеппелина продолжили полет и в 15.30 достигли своей цели — военных заводов в пригородах Ярмута. К этому времени небо вновь затянули облака, и бомбардирам пришлось сбрасывать смертоносный груз практически вслепую. В результате 12 пятидесятикилограммовых фугасных и 18 зажигательных бомб упали прямо в центре города. </w:t>
      </w:r>
    </w:p>
    <w:p w14:paraId="161BFBDB" w14:textId="77777777" w:rsidR="004B4E35" w:rsidRPr="00405303" w:rsidRDefault="009E6F82" w:rsidP="00C15251">
      <w:pPr>
        <w:jc w:val="both"/>
        <w:rPr>
          <w:bCs/>
          <w:color w:val="002060"/>
          <w:sz w:val="16"/>
          <w:szCs w:val="16"/>
        </w:rPr>
      </w:pPr>
      <w:r w:rsidRPr="00405303">
        <w:rPr>
          <w:bCs/>
          <w:color w:val="002060"/>
          <w:sz w:val="16"/>
          <w:szCs w:val="16"/>
        </w:rPr>
        <w:t xml:space="preserve">С военной точки зрения первый рейд цеппелинов L-3 и L-4 провалился. Военные заводы не пострадали, бомбы разрушили несколько небольших зданий на городской площади (по оценкам страховых компаний, сумма нанесенного ущерба составила около 100 000 фунтов стерлингов). Четыре человека было убито, шестнадцать ранены. Однако Петер Штрассер был в восторге. Его теоретические разработки неограниченной воздушной войны получили блестящее подтверждение. Дирижабли могли поражать заранее выбранные цели в глубоком тылу врага без особого риска быть сбитыми. </w:t>
      </w:r>
    </w:p>
    <w:p w14:paraId="4A99C6EA" w14:textId="77777777" w:rsidR="004B4E35" w:rsidRPr="00405303" w:rsidRDefault="009E6F82" w:rsidP="00C15251">
      <w:pPr>
        <w:jc w:val="both"/>
        <w:rPr>
          <w:bCs/>
          <w:color w:val="002060"/>
          <w:sz w:val="16"/>
          <w:szCs w:val="16"/>
        </w:rPr>
      </w:pPr>
      <w:r w:rsidRPr="00405303">
        <w:rPr>
          <w:bCs/>
          <w:color w:val="002060"/>
          <w:sz w:val="16"/>
          <w:szCs w:val="16"/>
        </w:rPr>
        <w:t xml:space="preserve">Сообщение об успешном налете на Англию по всей стране встретили [111] с большим энтузиазмом. Немецкие газеты буквально захлебывались от восторга. Вот, например, выдержка из передовой статьи «Кельнише цайтунг» от 21 января 1915 года: «...наши цеппелины вознесли огненную десницу возмездия над Британией. Надменная Англия трепещет, с ужасом ожидая новых неотразимых ударов. Самое совершенное оружие, созданное гением немецких инженеров, — дирижабль — способно поражать нашего врага в самое сердце! </w:t>
      </w:r>
    </w:p>
    <w:p w14:paraId="0870EE5B" w14:textId="77777777" w:rsidR="004B4E35" w:rsidRPr="00405303" w:rsidRDefault="009E6F82" w:rsidP="00C15251">
      <w:pPr>
        <w:jc w:val="both"/>
        <w:rPr>
          <w:bCs/>
          <w:color w:val="002060"/>
          <w:sz w:val="16"/>
          <w:szCs w:val="16"/>
        </w:rPr>
      </w:pPr>
      <w:r w:rsidRPr="00405303">
        <w:rPr>
          <w:bCs/>
          <w:color w:val="002060"/>
          <w:sz w:val="16"/>
          <w:szCs w:val="16"/>
        </w:rPr>
        <w:t xml:space="preserve">Око за око, кровь за кровь — только так будем обращаться с неприятелем. Это самый быстрый способ победно завершить войну, а значит, и самый гуманный. Сегодня Германия поздравляет графа Цеппелина, увидевшего триумф своего детища, и благодарит его за то, что своим талантом и верой он подарил нашей стране чудо-оружие, подобного которому нет и не будет у англичан». </w:t>
      </w:r>
    </w:p>
    <w:p w14:paraId="6F74C963" w14:textId="77777777" w:rsidR="004B4E35" w:rsidRPr="00405303" w:rsidRDefault="004B4E35" w:rsidP="00C15251">
      <w:pPr>
        <w:shd w:val="clear" w:color="auto" w:fill="FFFFFF"/>
        <w:jc w:val="both"/>
        <w:rPr>
          <w:bCs/>
          <w:color w:val="002060"/>
          <w:sz w:val="16"/>
          <w:szCs w:val="16"/>
        </w:rPr>
      </w:pPr>
    </w:p>
    <w:p w14:paraId="6E5EBADF" w14:textId="77777777" w:rsidR="004B4E35" w:rsidRPr="00405303" w:rsidRDefault="009E6F82" w:rsidP="00C15251">
      <w:pPr>
        <w:jc w:val="both"/>
        <w:rPr>
          <w:bCs/>
          <w:color w:val="002060"/>
          <w:sz w:val="16"/>
          <w:szCs w:val="16"/>
        </w:rPr>
      </w:pPr>
      <w:r w:rsidRPr="00405303">
        <w:rPr>
          <w:bCs/>
          <w:color w:val="002060"/>
          <w:sz w:val="16"/>
          <w:szCs w:val="16"/>
        </w:rPr>
        <w:t>6 (19) января 1915 г. вечером три германских дирижабля LZ-24, LZ-27 и LZ-31 сбросили 15 фугасных бомб на восточные графства Англии, убив и ранив 21 человека из мирного населения. В дальнейшем немцы совершили 122 налета на Лондон и 45 налетов на Париж, сбросив на них десятки тонн фугасных и зажигательных бомб (11774).</w:t>
      </w:r>
    </w:p>
    <w:p w14:paraId="4333EA08" w14:textId="77777777" w:rsidR="004B4E35" w:rsidRPr="00405303" w:rsidRDefault="004B4E35" w:rsidP="00C15251">
      <w:pPr>
        <w:jc w:val="both"/>
        <w:rPr>
          <w:bCs/>
          <w:color w:val="002060"/>
          <w:sz w:val="16"/>
          <w:szCs w:val="16"/>
        </w:rPr>
      </w:pPr>
    </w:p>
    <w:p w14:paraId="24D2EFD6" w14:textId="1C4CAE1B" w:rsidR="00A41340" w:rsidRPr="00405303" w:rsidRDefault="00A41340" w:rsidP="00C15251">
      <w:pPr>
        <w:shd w:val="clear" w:color="auto" w:fill="FFFFFF"/>
        <w:jc w:val="both"/>
        <w:rPr>
          <w:bCs/>
          <w:color w:val="002060"/>
          <w:sz w:val="16"/>
          <w:szCs w:val="16"/>
        </w:rPr>
      </w:pPr>
      <w:r w:rsidRPr="00405303">
        <w:rPr>
          <w:bCs/>
          <w:color w:val="002060"/>
          <w:sz w:val="16"/>
          <w:szCs w:val="16"/>
        </w:rPr>
        <w:t>6 (19) января 1915 был первый налет цеппелинов на Англию (1137).</w:t>
      </w:r>
    </w:p>
    <w:p w14:paraId="4B47B571" w14:textId="77777777" w:rsidR="00A41340" w:rsidRPr="00405303" w:rsidRDefault="00A41340" w:rsidP="00C15251">
      <w:pPr>
        <w:shd w:val="clear" w:color="auto" w:fill="FFFFFF"/>
        <w:jc w:val="both"/>
        <w:rPr>
          <w:bCs/>
          <w:color w:val="002060"/>
          <w:sz w:val="16"/>
          <w:szCs w:val="16"/>
        </w:rPr>
      </w:pPr>
    </w:p>
    <w:p w14:paraId="39A619D6" w14:textId="77777777" w:rsidR="004B4E35" w:rsidRPr="00405303" w:rsidRDefault="009E6F82" w:rsidP="00C15251">
      <w:pPr>
        <w:jc w:val="both"/>
        <w:rPr>
          <w:bCs/>
          <w:color w:val="002060"/>
          <w:sz w:val="16"/>
          <w:szCs w:val="16"/>
        </w:rPr>
      </w:pPr>
      <w:r w:rsidRPr="00405303">
        <w:rPr>
          <w:bCs/>
          <w:color w:val="002060"/>
          <w:sz w:val="16"/>
          <w:szCs w:val="16"/>
        </w:rPr>
        <w:t>6 (19) января 1915 - Германия все не оставляла идею массового удара по городам Антанты с цеппелинов. Как только установилась погода три воздушных судна отправились к берегам туманного Альбиона выполнять поставленную высшим командованием задачу: "Разрушить Англию огнем". На рассвете два судна пересекли Северное море, достигли побережья Норфолка и произвели бомбардировку. Было убито два мирных жителя в Ярмуте и два в Кингз Линне (11999).</w:t>
      </w:r>
    </w:p>
    <w:p w14:paraId="3439F3EB" w14:textId="77777777" w:rsidR="004B4E35" w:rsidRPr="00405303" w:rsidRDefault="004B4E35" w:rsidP="00C15251">
      <w:pPr>
        <w:jc w:val="both"/>
        <w:rPr>
          <w:bCs/>
          <w:color w:val="002060"/>
          <w:sz w:val="16"/>
          <w:szCs w:val="16"/>
        </w:rPr>
      </w:pPr>
    </w:p>
    <w:p w14:paraId="205F987E" w14:textId="77777777" w:rsidR="00B3239B" w:rsidRPr="00405303" w:rsidRDefault="00B3239B" w:rsidP="00C15251">
      <w:pPr>
        <w:jc w:val="both"/>
        <w:rPr>
          <w:bCs/>
          <w:color w:val="002060"/>
          <w:sz w:val="16"/>
          <w:szCs w:val="16"/>
        </w:rPr>
      </w:pPr>
      <w:r w:rsidRPr="00405303">
        <w:rPr>
          <w:bCs/>
          <w:color w:val="002060"/>
          <w:sz w:val="16"/>
          <w:szCs w:val="16"/>
        </w:rPr>
        <w:t>6 (19) января 1915 года два немецких дири</w:t>
      </w:r>
      <w:r w:rsidRPr="00405303">
        <w:rPr>
          <w:bCs/>
          <w:color w:val="002060"/>
          <w:sz w:val="16"/>
          <w:szCs w:val="16"/>
        </w:rPr>
        <w:softHyphen/>
        <w:t>жабля произвели бомбардировку территории Брита</w:t>
      </w:r>
      <w:r w:rsidRPr="00405303">
        <w:rPr>
          <w:bCs/>
          <w:color w:val="002060"/>
          <w:sz w:val="16"/>
          <w:szCs w:val="16"/>
        </w:rPr>
        <w:softHyphen/>
        <w:t>нии, ранее считавшейся абсолютно неприступной для ударов с воздуха. С военной точки зрения успех</w:t>
      </w:r>
      <w:r w:rsidRPr="00405303">
        <w:rPr>
          <w:bCs/>
          <w:color w:val="002060"/>
          <w:sz w:val="16"/>
          <w:szCs w:val="16"/>
          <w:lang w:bidi="ru-RU"/>
        </w:rPr>
        <w:t xml:space="preserve"> </w:t>
      </w:r>
      <w:r w:rsidRPr="00405303">
        <w:rPr>
          <w:bCs/>
          <w:color w:val="002060"/>
          <w:sz w:val="16"/>
          <w:szCs w:val="16"/>
        </w:rPr>
        <w:t>оказался невелик, тем не менее психологический эф</w:t>
      </w:r>
      <w:r w:rsidRPr="00405303">
        <w:rPr>
          <w:bCs/>
          <w:color w:val="002060"/>
          <w:sz w:val="16"/>
          <w:szCs w:val="16"/>
        </w:rPr>
        <w:softHyphen/>
        <w:t>фект был огромен. С этого момента немецкие дири</w:t>
      </w:r>
      <w:r w:rsidRPr="00405303">
        <w:rPr>
          <w:bCs/>
          <w:color w:val="002060"/>
          <w:sz w:val="16"/>
          <w:szCs w:val="16"/>
        </w:rPr>
        <w:softHyphen/>
        <w:t>жабли стали нередко появляться в ночном небе над Британией, добирались даже до Лондона. Нужно сказать, что английские истребители неоднократно вылетали на перехват германских воздушных кораб</w:t>
      </w:r>
      <w:r w:rsidRPr="00405303">
        <w:rPr>
          <w:bCs/>
          <w:color w:val="002060"/>
          <w:sz w:val="16"/>
          <w:szCs w:val="16"/>
        </w:rPr>
        <w:softHyphen/>
        <w:t>лей, однако поначалу успехи островной ПВО были скромными.</w:t>
      </w:r>
    </w:p>
    <w:p w14:paraId="0E69CF93" w14:textId="77777777" w:rsidR="00B3239B" w:rsidRPr="00405303" w:rsidRDefault="00B3239B" w:rsidP="00C15251">
      <w:pPr>
        <w:jc w:val="both"/>
        <w:rPr>
          <w:bCs/>
          <w:color w:val="002060"/>
          <w:sz w:val="16"/>
          <w:szCs w:val="16"/>
        </w:rPr>
      </w:pPr>
      <w:r w:rsidRPr="00405303">
        <w:rPr>
          <w:bCs/>
          <w:color w:val="002060"/>
          <w:sz w:val="16"/>
          <w:szCs w:val="16"/>
        </w:rPr>
        <w:t>Понятно, что со временем английское командова</w:t>
      </w:r>
      <w:r w:rsidRPr="00405303">
        <w:rPr>
          <w:bCs/>
          <w:color w:val="002060"/>
          <w:sz w:val="16"/>
          <w:szCs w:val="16"/>
        </w:rPr>
        <w:softHyphen/>
        <w:t>ние для борьбы с немецкими дирижаблями изыски</w:t>
      </w:r>
      <w:r w:rsidRPr="00405303">
        <w:rPr>
          <w:bCs/>
          <w:color w:val="002060"/>
          <w:sz w:val="16"/>
          <w:szCs w:val="16"/>
        </w:rPr>
        <w:softHyphen/>
        <w:t>вало все новые и новые методы противодействия. Сюда входили бомбардировки береговых баз дири</w:t>
      </w:r>
      <w:r w:rsidRPr="00405303">
        <w:rPr>
          <w:bCs/>
          <w:color w:val="002060"/>
          <w:sz w:val="16"/>
          <w:szCs w:val="16"/>
        </w:rPr>
        <w:softHyphen/>
        <w:t>жаблей на германской территории, эксперименты с буксируемыми платформами для взлета истребителей и первые опыты с авианосцами. Однако один из та</w:t>
      </w:r>
      <w:r w:rsidRPr="00405303">
        <w:rPr>
          <w:bCs/>
          <w:color w:val="002060"/>
          <w:sz w:val="16"/>
          <w:szCs w:val="16"/>
        </w:rPr>
        <w:softHyphen/>
        <w:t>ких опытов предполагал соединение самолета с са</w:t>
      </w:r>
      <w:r w:rsidRPr="00405303">
        <w:rPr>
          <w:bCs/>
          <w:color w:val="002060"/>
          <w:sz w:val="16"/>
          <w:szCs w:val="16"/>
        </w:rPr>
        <w:softHyphen/>
        <w:t>молетом. Использовалась большая трехмоторная ле</w:t>
      </w:r>
      <w:r w:rsidRPr="00405303">
        <w:rPr>
          <w:bCs/>
          <w:color w:val="002060"/>
          <w:sz w:val="16"/>
          <w:szCs w:val="16"/>
        </w:rPr>
        <w:softHyphen/>
        <w:t>тающая лодка Porte Baby конструкции Джона Порте, на верхнем крыле которой крепился небольшой би</w:t>
      </w:r>
      <w:r w:rsidRPr="00405303">
        <w:rPr>
          <w:bCs/>
          <w:color w:val="002060"/>
          <w:sz w:val="16"/>
          <w:szCs w:val="16"/>
        </w:rPr>
        <w:softHyphen/>
        <w:t>план Бристоль «Скаут» (Bristol Scout). Считалось, что в случае удачного отцепления от носителя «Скаут» сможет атаковать один из цеппелинов и уничтожить его. 17 мая 1916 года Porte Baby в районе Гарвича подняла своего «наездника» на высоту 300 метров, где он успешно отцепился. Дальнейших событий не последовало, ибо развитие идеи показалось слишком сложным и затратным, а маленький «Скаут» слиш</w:t>
      </w:r>
      <w:r w:rsidRPr="00405303">
        <w:rPr>
          <w:bCs/>
          <w:color w:val="002060"/>
          <w:sz w:val="16"/>
          <w:szCs w:val="16"/>
        </w:rPr>
        <w:softHyphen/>
        <w:t>ком хрупким, чтобы спокойно выпускать его в ноч</w:t>
      </w:r>
      <w:r w:rsidRPr="00405303">
        <w:rPr>
          <w:bCs/>
          <w:color w:val="002060"/>
          <w:sz w:val="16"/>
          <w:szCs w:val="16"/>
        </w:rPr>
        <w:softHyphen/>
        <w:t>ное небо над Северным морем (23378).</w:t>
      </w:r>
    </w:p>
    <w:p w14:paraId="0C4CFDEB" w14:textId="77777777" w:rsidR="00B3239B" w:rsidRPr="00405303" w:rsidRDefault="00B3239B" w:rsidP="00C15251">
      <w:pPr>
        <w:jc w:val="both"/>
        <w:rPr>
          <w:bCs/>
          <w:color w:val="002060"/>
          <w:sz w:val="16"/>
          <w:szCs w:val="16"/>
          <w:lang w:bidi="ru-RU"/>
        </w:rPr>
      </w:pPr>
    </w:p>
    <w:p w14:paraId="2E4F5BA9" w14:textId="77777777" w:rsidR="00275354" w:rsidRPr="00405303" w:rsidRDefault="00275354" w:rsidP="00C15251">
      <w:pPr>
        <w:jc w:val="both"/>
        <w:rPr>
          <w:bCs/>
          <w:color w:val="002060"/>
          <w:sz w:val="16"/>
          <w:szCs w:val="16"/>
        </w:rPr>
      </w:pPr>
      <w:r w:rsidRPr="00405303">
        <w:rPr>
          <w:bCs/>
          <w:color w:val="002060"/>
          <w:sz w:val="16"/>
          <w:szCs w:val="16"/>
        </w:rPr>
        <w:t>6 (19) января в 1915 году состоялся первый налет немецких дирижаблей «Цеппелин» на Великобританию. В налёте участвовали «L-3», «L-4» и «L-6». «L-6» был вынужден вернуться на базу Норхольт из-за поломки двигателя. В 15 часов 30 минут Цеппелины достигли пригородов Ярмута («Great Yarmouth&amp; King’s Lynn»), где располагались военные заводы. Но из-за облачности бомбы были сброшены практически вслепую. 15 фугасных бомб весом по 50 кг. и 18 зажигательных бомб упали практически на центр города. Погибло 4 человека, 16 ранены. Разрушены небольшие здания. Дирижабль L-3 (заводское обозначение LZ17) для Дивизиона воздушных кораблей должен был быть построен 3 мая 1914 года (15014).</w:t>
      </w:r>
    </w:p>
    <w:p w14:paraId="357C1B57" w14:textId="77777777" w:rsidR="00275354" w:rsidRPr="00405303" w:rsidRDefault="00275354" w:rsidP="00C15251">
      <w:pPr>
        <w:jc w:val="both"/>
        <w:rPr>
          <w:bCs/>
          <w:color w:val="002060"/>
          <w:sz w:val="16"/>
          <w:szCs w:val="16"/>
        </w:rPr>
      </w:pPr>
    </w:p>
    <w:p w14:paraId="7531B43D" w14:textId="77777777" w:rsidR="00275354" w:rsidRPr="00405303" w:rsidRDefault="00275354" w:rsidP="00C15251">
      <w:pPr>
        <w:jc w:val="both"/>
        <w:rPr>
          <w:bCs/>
          <w:i/>
          <w:color w:val="002060"/>
          <w:sz w:val="16"/>
          <w:szCs w:val="16"/>
        </w:rPr>
      </w:pPr>
      <w:r w:rsidRPr="00405303">
        <w:rPr>
          <w:bCs/>
          <w:i/>
          <w:color w:val="002060"/>
          <w:sz w:val="16"/>
          <w:szCs w:val="16"/>
        </w:rPr>
        <w:t>За рубежом:</w:t>
      </w:r>
    </w:p>
    <w:p w14:paraId="0EDC8DFC" w14:textId="77777777" w:rsidR="00275354" w:rsidRPr="00405303" w:rsidRDefault="00275354" w:rsidP="00C15251">
      <w:pPr>
        <w:jc w:val="both"/>
        <w:rPr>
          <w:bCs/>
          <w:color w:val="002060"/>
          <w:sz w:val="16"/>
          <w:szCs w:val="16"/>
        </w:rPr>
      </w:pPr>
    </w:p>
    <w:p w14:paraId="3E3FBFE8" w14:textId="77777777" w:rsidR="00275354" w:rsidRPr="00405303" w:rsidRDefault="00275354" w:rsidP="00C15251">
      <w:pPr>
        <w:jc w:val="both"/>
        <w:rPr>
          <w:bCs/>
          <w:color w:val="002060"/>
          <w:sz w:val="16"/>
          <w:szCs w:val="16"/>
        </w:rPr>
      </w:pPr>
      <w:r w:rsidRPr="00405303">
        <w:rPr>
          <w:bCs/>
          <w:color w:val="002060"/>
          <w:sz w:val="16"/>
          <w:szCs w:val="16"/>
        </w:rPr>
        <w:t>6 (19) января в 1915 году парижанин Жорж Клод запатентовал неоновую рекламную вывеску (15014).</w:t>
      </w:r>
    </w:p>
    <w:p w14:paraId="2EB20C70" w14:textId="77777777" w:rsidR="00275354" w:rsidRPr="00405303" w:rsidRDefault="00275354" w:rsidP="00C15251">
      <w:pPr>
        <w:jc w:val="both"/>
        <w:rPr>
          <w:bCs/>
          <w:color w:val="002060"/>
          <w:sz w:val="16"/>
          <w:szCs w:val="16"/>
        </w:rPr>
      </w:pPr>
    </w:p>
    <w:p w14:paraId="5CEDC050" w14:textId="50285593" w:rsidR="00CE4C0C" w:rsidRPr="00405303" w:rsidRDefault="00CE4C0C" w:rsidP="00CE4C0C">
      <w:pPr>
        <w:jc w:val="both"/>
        <w:rPr>
          <w:bCs/>
          <w:i/>
          <w:color w:val="002060"/>
          <w:sz w:val="16"/>
          <w:szCs w:val="16"/>
        </w:rPr>
      </w:pPr>
      <w:r w:rsidRPr="00405303">
        <w:rPr>
          <w:bCs/>
          <w:i/>
          <w:color w:val="002060"/>
          <w:sz w:val="16"/>
          <w:szCs w:val="16"/>
        </w:rPr>
        <w:t>Авиация:</w:t>
      </w:r>
    </w:p>
    <w:p w14:paraId="605C4DFA" w14:textId="77777777" w:rsidR="00CE4C0C" w:rsidRPr="00405303" w:rsidRDefault="00CE4C0C" w:rsidP="00CE4C0C">
      <w:pPr>
        <w:jc w:val="both"/>
        <w:rPr>
          <w:bCs/>
          <w:i/>
          <w:color w:val="002060"/>
          <w:sz w:val="16"/>
          <w:szCs w:val="16"/>
        </w:rPr>
      </w:pPr>
    </w:p>
    <w:p w14:paraId="6CDB9934" w14:textId="27F796AE" w:rsidR="00CE4C0C" w:rsidRPr="00405303" w:rsidRDefault="00CE4C0C" w:rsidP="00CE4C0C">
      <w:pPr>
        <w:jc w:val="both"/>
        <w:rPr>
          <w:color w:val="0070C0"/>
          <w:sz w:val="16"/>
          <w:szCs w:val="16"/>
        </w:rPr>
      </w:pPr>
      <w:r w:rsidRPr="00405303">
        <w:rPr>
          <w:color w:val="0070C0"/>
          <w:sz w:val="16"/>
          <w:szCs w:val="16"/>
        </w:rPr>
        <w:t>7 (20) января 1915 г. в полосе Северо-Западного фронта летчики Осовецкого крепостного и Сибирского авиаотрядов решали задачу воздушного прикрытия наших полевых частей в прифронтовой полосе (25135).</w:t>
      </w:r>
    </w:p>
    <w:p w14:paraId="3F9160FE" w14:textId="77777777" w:rsidR="00CE4C0C" w:rsidRPr="00405303" w:rsidRDefault="00CE4C0C" w:rsidP="00CE4C0C">
      <w:pPr>
        <w:jc w:val="both"/>
        <w:rPr>
          <w:color w:val="0070C0"/>
          <w:sz w:val="16"/>
          <w:szCs w:val="16"/>
        </w:rPr>
      </w:pPr>
    </w:p>
    <w:p w14:paraId="7F93E067"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6714C6B4" w14:textId="77777777" w:rsidR="004B4E35" w:rsidRPr="00405303" w:rsidRDefault="004B4E35" w:rsidP="00C15251">
      <w:pPr>
        <w:shd w:val="clear" w:color="auto" w:fill="FFFFFF"/>
        <w:jc w:val="both"/>
        <w:rPr>
          <w:bCs/>
          <w:i/>
          <w:color w:val="002060"/>
          <w:sz w:val="16"/>
          <w:szCs w:val="16"/>
        </w:rPr>
      </w:pPr>
    </w:p>
    <w:p w14:paraId="2317C7D3" w14:textId="3E3D1127" w:rsidR="004B4E35" w:rsidRPr="00405303" w:rsidRDefault="009E6F82" w:rsidP="00C15251">
      <w:pPr>
        <w:jc w:val="both"/>
        <w:rPr>
          <w:bCs/>
          <w:color w:val="002060"/>
          <w:sz w:val="16"/>
          <w:szCs w:val="16"/>
        </w:rPr>
      </w:pPr>
      <w:r w:rsidRPr="00405303">
        <w:rPr>
          <w:bCs/>
          <w:color w:val="002060"/>
          <w:sz w:val="16"/>
          <w:szCs w:val="16"/>
        </w:rPr>
        <w:t xml:space="preserve">7 (20) января </w:t>
      </w:r>
      <w:r w:rsidR="009E1C3B" w:rsidRPr="00405303">
        <w:rPr>
          <w:bCs/>
          <w:color w:val="002060"/>
          <w:sz w:val="16"/>
          <w:szCs w:val="16"/>
        </w:rPr>
        <w:t>1915 г., согласно "Русским запискам" №1, январь 1915 г.:</w:t>
      </w:r>
      <w:r w:rsidR="000F5756">
        <w:rPr>
          <w:bCs/>
          <w:color w:val="002060"/>
          <w:sz w:val="16"/>
          <w:szCs w:val="16"/>
        </w:rPr>
        <w:t xml:space="preserve"> </w:t>
      </w:r>
      <w:r w:rsidR="009E1C3B" w:rsidRPr="00405303">
        <w:rPr>
          <w:bCs/>
          <w:color w:val="002060"/>
          <w:sz w:val="16"/>
          <w:szCs w:val="16"/>
        </w:rPr>
        <w:t xml:space="preserve">вечером </w:t>
      </w:r>
      <w:r w:rsidRPr="00405303">
        <w:rPr>
          <w:bCs/>
          <w:color w:val="002060"/>
          <w:sz w:val="16"/>
          <w:szCs w:val="16"/>
        </w:rPr>
        <w:t>флотилия из нескольких германских цеппелинов описала большую дугу с востока на запад вдоль северного побережья английского графства Норфолк, бросая бомбы над незащищенными городами и местечками Ярмут, Кромер, Шеррингем, Кингс-Линн и соседней королевской резиденции Сендрингем. В результате было разрушено несколько зданий и убито несколько человек. Два дня спустя 22 января германские летчики сбросили над Дюнкерком и окрестностями около 80 бомб, которыми было убито 7 человек и ранено 13".</w:t>
      </w:r>
    </w:p>
    <w:p w14:paraId="6259BAB9" w14:textId="77777777" w:rsidR="004B4E35" w:rsidRPr="00405303" w:rsidRDefault="009E6F82" w:rsidP="00C15251">
      <w:pPr>
        <w:jc w:val="both"/>
        <w:rPr>
          <w:bCs/>
          <w:color w:val="002060"/>
          <w:sz w:val="16"/>
          <w:szCs w:val="16"/>
        </w:rPr>
      </w:pPr>
      <w:r w:rsidRPr="00405303">
        <w:rPr>
          <w:bCs/>
          <w:color w:val="002060"/>
          <w:sz w:val="16"/>
          <w:szCs w:val="16"/>
        </w:rPr>
        <w:t>В ночь группа из 14 немецких самолетов впервые осуществила ночную бомбардировку, выбрав для этой цели Дюнкирхен - "первый опыт нападения под защитой темноты" (Зигерт: "Это тем более замечательно, что у нас не было ни малейших потерь - ни в личном составе, ни в материальной части"). До этого времени ночные полеты самолетов были практически невозможны.</w:t>
      </w:r>
    </w:p>
    <w:p w14:paraId="275D3994" w14:textId="77777777" w:rsidR="004B4E35" w:rsidRPr="00405303" w:rsidRDefault="009E6F82" w:rsidP="00C15251">
      <w:pPr>
        <w:jc w:val="both"/>
        <w:rPr>
          <w:bCs/>
          <w:color w:val="002060"/>
          <w:sz w:val="16"/>
          <w:szCs w:val="16"/>
        </w:rPr>
      </w:pPr>
      <w:r w:rsidRPr="00405303">
        <w:rPr>
          <w:bCs/>
          <w:color w:val="002060"/>
          <w:sz w:val="16"/>
          <w:szCs w:val="16"/>
        </w:rPr>
        <w:t>Зигерт: "Для всего света было ясно, что по развитию военно-летного дела Франция превосходит все другие страны численностью и техникой. Все же прусское военное министерство колебалось проводить на основании этих фактов нужные мероприятия. Еще в начале сентября 1911г. оно было в сомнениях, исполнить ли требование большого Генерального штаба, поддержанное тогда еще полковником Людендорфом о сформировании к 1 октября 1912 г. 10-ти полевых и 6-ти корпусных авиационных отрядов. Начальник Генерального штаба сообщил военному министру, что "таким способом мы не догоним Франции. Последняя обеспечила себя преимуществами, которых у нас нет"...Надо было добиться умения и приобрести опыт в малоизвестной до сих пор области летания в темноте... В феврале 1913 г. изучение ночных полетов было начато в широком масштабе в крепости Мец".</w:t>
      </w:r>
    </w:p>
    <w:p w14:paraId="3E76AB99" w14:textId="77777777" w:rsidR="004B4E35" w:rsidRPr="00405303" w:rsidRDefault="009E6F82" w:rsidP="00C15251">
      <w:pPr>
        <w:jc w:val="both"/>
        <w:rPr>
          <w:bCs/>
          <w:color w:val="002060"/>
          <w:sz w:val="16"/>
          <w:szCs w:val="16"/>
        </w:rPr>
      </w:pPr>
      <w:r w:rsidRPr="00405303">
        <w:rPr>
          <w:bCs/>
          <w:color w:val="002060"/>
          <w:sz w:val="16"/>
          <w:szCs w:val="16"/>
        </w:rPr>
        <w:t>В этом году русские летчики также начали совершать ночные полеты.</w:t>
      </w:r>
    </w:p>
    <w:p w14:paraId="69A1D556" w14:textId="77777777" w:rsidR="004B4E35" w:rsidRPr="00405303" w:rsidRDefault="009E6F82" w:rsidP="00C15251">
      <w:pPr>
        <w:jc w:val="both"/>
        <w:rPr>
          <w:bCs/>
          <w:color w:val="002060"/>
          <w:sz w:val="16"/>
          <w:szCs w:val="16"/>
        </w:rPr>
      </w:pPr>
      <w:r w:rsidRPr="00405303">
        <w:rPr>
          <w:bCs/>
          <w:color w:val="002060"/>
          <w:sz w:val="16"/>
          <w:szCs w:val="16"/>
        </w:rPr>
        <w:lastRenderedPageBreak/>
        <w:t>Командир 41-го авиационного отряда подполковник Глубоковеков, одним из первых организовавший ночные полеты своего подразделения, утверждал: "Значение для русской авиации ночных полетов огромно по причине:</w:t>
      </w:r>
    </w:p>
    <w:p w14:paraId="00822C66" w14:textId="77777777" w:rsidR="004B4E35" w:rsidRPr="00405303" w:rsidRDefault="009E6F82" w:rsidP="00C15251">
      <w:pPr>
        <w:jc w:val="both"/>
        <w:rPr>
          <w:bCs/>
          <w:color w:val="002060"/>
          <w:sz w:val="16"/>
          <w:szCs w:val="16"/>
        </w:rPr>
      </w:pPr>
      <w:r w:rsidRPr="00405303">
        <w:rPr>
          <w:bCs/>
          <w:color w:val="002060"/>
          <w:sz w:val="16"/>
          <w:szCs w:val="16"/>
        </w:rPr>
        <w:t>а) недостатка технических средств,</w:t>
      </w:r>
    </w:p>
    <w:p w14:paraId="1CEDE49A" w14:textId="77777777" w:rsidR="004B4E35" w:rsidRPr="00405303" w:rsidRDefault="009E6F82" w:rsidP="00C15251">
      <w:pPr>
        <w:jc w:val="both"/>
        <w:rPr>
          <w:bCs/>
          <w:color w:val="002060"/>
          <w:sz w:val="16"/>
          <w:szCs w:val="16"/>
        </w:rPr>
      </w:pPr>
      <w:r w:rsidRPr="00405303">
        <w:rPr>
          <w:bCs/>
          <w:color w:val="002060"/>
          <w:sz w:val="16"/>
          <w:szCs w:val="16"/>
        </w:rPr>
        <w:t>б) сравнительного их несовершенства,</w:t>
      </w:r>
    </w:p>
    <w:p w14:paraId="6D67AD7A" w14:textId="77777777" w:rsidR="004B4E35" w:rsidRPr="00405303" w:rsidRDefault="009E6F82" w:rsidP="00C15251">
      <w:pPr>
        <w:jc w:val="both"/>
        <w:rPr>
          <w:bCs/>
          <w:color w:val="002060"/>
          <w:sz w:val="16"/>
          <w:szCs w:val="16"/>
        </w:rPr>
      </w:pPr>
      <w:r w:rsidRPr="00405303">
        <w:rPr>
          <w:bCs/>
          <w:color w:val="002060"/>
          <w:sz w:val="16"/>
          <w:szCs w:val="16"/>
        </w:rPr>
        <w:t>в) технической отсталости и необходимости продуктивно использовать весь имеющийся запас устарелых, но надежных самолетов...</w:t>
      </w:r>
    </w:p>
    <w:p w14:paraId="3D771C3E" w14:textId="77777777" w:rsidR="004B4E35" w:rsidRPr="00405303" w:rsidRDefault="009E6F82" w:rsidP="00C15251">
      <w:pPr>
        <w:jc w:val="both"/>
        <w:rPr>
          <w:bCs/>
          <w:color w:val="002060"/>
          <w:sz w:val="16"/>
          <w:szCs w:val="16"/>
        </w:rPr>
      </w:pPr>
      <w:r w:rsidRPr="00405303">
        <w:rPr>
          <w:bCs/>
          <w:color w:val="002060"/>
          <w:sz w:val="16"/>
          <w:szCs w:val="16"/>
        </w:rPr>
        <w:t>Ночные полеты, происходя в необычной обстановке, требуют проявления необычных свойств и со стороны летчиков. Но этот вопрос, принимая во внимание испытанную доблесть наших летчиков, легко разрешим, необходима только планомерная работа для приобретения навыка".</w:t>
      </w:r>
    </w:p>
    <w:p w14:paraId="1D833C95" w14:textId="77777777" w:rsidR="004B4E35" w:rsidRPr="00405303" w:rsidRDefault="009E6F82" w:rsidP="00C15251">
      <w:pPr>
        <w:jc w:val="both"/>
        <w:rPr>
          <w:bCs/>
          <w:color w:val="002060"/>
          <w:sz w:val="16"/>
          <w:szCs w:val="16"/>
        </w:rPr>
      </w:pPr>
      <w:r w:rsidRPr="00405303">
        <w:rPr>
          <w:bCs/>
          <w:color w:val="002060"/>
          <w:sz w:val="16"/>
          <w:szCs w:val="16"/>
        </w:rPr>
        <w:t>Из практики ночных полетов выяснилось, что нормальная видимость, необходимая для наблюдателя при высоте полета 500 м, достигает 3 км. В целях борьбы с ослепляющим действием лучей прожектора русские летчики применяли различные средства: темные очки, козырьки, щитки и т. п.</w:t>
      </w:r>
    </w:p>
    <w:p w14:paraId="4EB7F399" w14:textId="77777777" w:rsidR="004B4E35" w:rsidRPr="00405303" w:rsidRDefault="009E6F82" w:rsidP="00C15251">
      <w:pPr>
        <w:jc w:val="both"/>
        <w:rPr>
          <w:bCs/>
          <w:color w:val="002060"/>
          <w:sz w:val="16"/>
          <w:szCs w:val="16"/>
        </w:rPr>
      </w:pPr>
      <w:r w:rsidRPr="00405303">
        <w:rPr>
          <w:bCs/>
          <w:color w:val="002060"/>
          <w:sz w:val="16"/>
          <w:szCs w:val="16"/>
        </w:rPr>
        <w:t>Из письма военного инженера полковника К.А. Антонова в ГВТУ: "Доношу, что на принятых мною аэропланах "Вуазен" № 385, 487, 672, 689 и 690 поставлено для пробы электрическое освещение, позволяющее совершать ночные полеты".</w:t>
      </w:r>
    </w:p>
    <w:p w14:paraId="02091BC3" w14:textId="77777777" w:rsidR="004B4E35" w:rsidRPr="00405303" w:rsidRDefault="009E6F82" w:rsidP="00C15251">
      <w:pPr>
        <w:jc w:val="both"/>
        <w:rPr>
          <w:bCs/>
          <w:color w:val="002060"/>
          <w:sz w:val="16"/>
          <w:szCs w:val="16"/>
        </w:rPr>
      </w:pPr>
      <w:r w:rsidRPr="00405303">
        <w:rPr>
          <w:bCs/>
          <w:color w:val="002060"/>
          <w:sz w:val="16"/>
          <w:szCs w:val="16"/>
        </w:rPr>
        <w:t>Ночные полеты стали в русской авиации довольно частым явлением, хотя были сопряжены с серьезной опасностью, так как выполнялись на несовершенных самолетах, все приборное оборудование которых сводилось к счетчику оборотов и высотомеру, привязываемому, во избежание влияния на него тряски, к ноге летчика (11999).</w:t>
      </w:r>
    </w:p>
    <w:p w14:paraId="327ABFE3" w14:textId="77777777" w:rsidR="004B4E35" w:rsidRPr="00405303" w:rsidRDefault="004B4E35" w:rsidP="00C15251">
      <w:pPr>
        <w:jc w:val="both"/>
        <w:rPr>
          <w:bCs/>
          <w:color w:val="002060"/>
          <w:sz w:val="16"/>
          <w:szCs w:val="16"/>
        </w:rPr>
      </w:pPr>
    </w:p>
    <w:p w14:paraId="6327153E" w14:textId="20022581" w:rsidR="00B3239B" w:rsidRPr="00405303" w:rsidRDefault="00B3239B" w:rsidP="00C15251">
      <w:pPr>
        <w:shd w:val="clear" w:color="auto" w:fill="FFFFFF"/>
        <w:jc w:val="both"/>
        <w:rPr>
          <w:bCs/>
          <w:i/>
          <w:color w:val="002060"/>
          <w:sz w:val="16"/>
          <w:szCs w:val="16"/>
        </w:rPr>
      </w:pPr>
      <w:r w:rsidRPr="00405303">
        <w:rPr>
          <w:bCs/>
          <w:i/>
          <w:color w:val="002060"/>
          <w:sz w:val="16"/>
          <w:szCs w:val="16"/>
        </w:rPr>
        <w:t>Морская авиация:</w:t>
      </w:r>
    </w:p>
    <w:p w14:paraId="2031B2F6" w14:textId="77777777" w:rsidR="00B3239B" w:rsidRPr="00405303" w:rsidRDefault="00B3239B" w:rsidP="00C15251">
      <w:pPr>
        <w:shd w:val="clear" w:color="auto" w:fill="FFFFFF"/>
        <w:jc w:val="both"/>
        <w:rPr>
          <w:bCs/>
          <w:i/>
          <w:color w:val="002060"/>
          <w:sz w:val="16"/>
          <w:szCs w:val="16"/>
        </w:rPr>
      </w:pPr>
    </w:p>
    <w:p w14:paraId="2DAB4449" w14:textId="77777777" w:rsidR="00B3239B" w:rsidRPr="00405303" w:rsidRDefault="00B3239B" w:rsidP="00C15251">
      <w:pPr>
        <w:jc w:val="both"/>
        <w:rPr>
          <w:bCs/>
          <w:color w:val="002060"/>
          <w:sz w:val="16"/>
          <w:szCs w:val="16"/>
          <w:lang w:bidi="en-US"/>
        </w:rPr>
      </w:pPr>
      <w:r w:rsidRPr="00405303">
        <w:rPr>
          <w:bCs/>
          <w:color w:val="002060"/>
          <w:sz w:val="16"/>
          <w:szCs w:val="16"/>
          <w:lang w:bidi="en-US"/>
        </w:rPr>
        <w:t>В начале января 1915 г. в Гельсингфорсе в Финском заливе была создана 4-я временная база морской авиации. Его возглавил лейтенант 1.1. Кульнев. Весной он был закрыт, а его личный состав присоединился к вновь сформированному 1-му отряду корабельной авиации на борту авианосца «Орлица». До мая 1915 г. отряд возглавлял Кульнев, затем до марта 1916 г. лейтенант И.С. Краевский, когда лейтенант 1.1. Нагурский взялся за дело. В мае 1916 года ею командовал лейтенант С.А. Петров (23525).</w:t>
      </w:r>
    </w:p>
    <w:p w14:paraId="1E6771D9" w14:textId="77777777" w:rsidR="00B3239B" w:rsidRPr="00405303" w:rsidRDefault="00B3239B" w:rsidP="00C15251">
      <w:pPr>
        <w:jc w:val="both"/>
        <w:rPr>
          <w:bCs/>
          <w:color w:val="002060"/>
          <w:sz w:val="16"/>
          <w:szCs w:val="16"/>
        </w:rPr>
      </w:pPr>
    </w:p>
    <w:p w14:paraId="2A203C36" w14:textId="6D66EA26"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31B2BECE" w14:textId="77777777" w:rsidR="004B4E35" w:rsidRPr="00405303" w:rsidRDefault="004B4E35" w:rsidP="00C15251">
      <w:pPr>
        <w:shd w:val="clear" w:color="auto" w:fill="FFFFFF"/>
        <w:jc w:val="both"/>
        <w:rPr>
          <w:bCs/>
          <w:i/>
          <w:color w:val="002060"/>
          <w:sz w:val="16"/>
          <w:szCs w:val="16"/>
        </w:rPr>
      </w:pPr>
    </w:p>
    <w:p w14:paraId="611DAF5C" w14:textId="42747611" w:rsidR="004B4E35" w:rsidRPr="00405303" w:rsidRDefault="00B60CFE" w:rsidP="00C15251">
      <w:pPr>
        <w:jc w:val="both"/>
        <w:rPr>
          <w:bCs/>
          <w:color w:val="002060"/>
          <w:sz w:val="16"/>
          <w:szCs w:val="16"/>
        </w:rPr>
      </w:pPr>
      <w:r w:rsidRPr="00405303">
        <w:rPr>
          <w:bCs/>
          <w:color w:val="002060"/>
          <w:sz w:val="16"/>
          <w:szCs w:val="16"/>
        </w:rPr>
        <w:t>К</w:t>
      </w:r>
      <w:r w:rsidR="009E6F82" w:rsidRPr="00405303">
        <w:rPr>
          <w:bCs/>
          <w:color w:val="002060"/>
          <w:sz w:val="16"/>
          <w:szCs w:val="16"/>
        </w:rPr>
        <w:t xml:space="preserve"> 8 </w:t>
      </w:r>
      <w:r w:rsidRPr="00405303">
        <w:rPr>
          <w:bCs/>
          <w:color w:val="002060"/>
          <w:sz w:val="16"/>
          <w:szCs w:val="16"/>
        </w:rPr>
        <w:t xml:space="preserve">(21) </w:t>
      </w:r>
      <w:r w:rsidR="009E6F82" w:rsidRPr="00405303">
        <w:rPr>
          <w:bCs/>
          <w:color w:val="002060"/>
          <w:sz w:val="16"/>
          <w:szCs w:val="16"/>
        </w:rPr>
        <w:t>января 1915</w:t>
      </w:r>
      <w:r w:rsidRPr="00405303">
        <w:rPr>
          <w:bCs/>
          <w:color w:val="002060"/>
          <w:sz w:val="16"/>
          <w:szCs w:val="16"/>
        </w:rPr>
        <w:t xml:space="preserve"> </w:t>
      </w:r>
      <w:r w:rsidR="009E6F82" w:rsidRPr="00405303">
        <w:rPr>
          <w:bCs/>
          <w:color w:val="002060"/>
          <w:sz w:val="16"/>
          <w:szCs w:val="16"/>
        </w:rPr>
        <w:t>г.</w:t>
      </w:r>
      <w:r w:rsidRPr="00405303">
        <w:rPr>
          <w:bCs/>
          <w:color w:val="002060"/>
          <w:sz w:val="16"/>
          <w:szCs w:val="16"/>
        </w:rPr>
        <w:t>,</w:t>
      </w:r>
      <w:r w:rsidR="009E6F82" w:rsidRPr="00405303">
        <w:rPr>
          <w:bCs/>
          <w:color w:val="002060"/>
          <w:sz w:val="16"/>
          <w:szCs w:val="16"/>
        </w:rPr>
        <w:t xml:space="preserve"> </w:t>
      </w:r>
      <w:r w:rsidRPr="00405303">
        <w:rPr>
          <w:bCs/>
          <w:color w:val="002060"/>
          <w:sz w:val="16"/>
          <w:szCs w:val="16"/>
        </w:rPr>
        <w:t xml:space="preserve">как следует из «Ведомости аэропланов, изготовленных для ГВТУ на авиационных заводах по состоянию </w:t>
      </w:r>
      <w:r w:rsidR="009E6F82" w:rsidRPr="00405303">
        <w:rPr>
          <w:bCs/>
          <w:color w:val="002060"/>
          <w:sz w:val="16"/>
          <w:szCs w:val="16"/>
        </w:rPr>
        <w:t>и заказанных за границей»</w:t>
      </w:r>
      <w:r w:rsidRPr="00405303">
        <w:rPr>
          <w:bCs/>
          <w:color w:val="002060"/>
          <w:sz w:val="16"/>
          <w:szCs w:val="16"/>
        </w:rPr>
        <w:t xml:space="preserve">, </w:t>
      </w:r>
      <w:r w:rsidR="009E6F82" w:rsidRPr="00405303">
        <w:rPr>
          <w:bCs/>
          <w:color w:val="002060"/>
          <w:sz w:val="16"/>
          <w:szCs w:val="16"/>
        </w:rPr>
        <w:t xml:space="preserve">на заводе «Гном и Рон» (французское отделение в Москве) было изготовлено 190 моторов «Гном» мощностью 80 л.с., а на заводе «Мотор» в Риге моторов «Калеп» мощностью 80 л.с. – 30 моторов. Из-за границы должно было поступить 100 моторов «Гном», прибыло же только 20, а моторов «Рон» из 50 не поступило ни одного! </w:t>
      </w:r>
    </w:p>
    <w:p w14:paraId="4ADD50EF" w14:textId="77777777" w:rsidR="004B4E35" w:rsidRPr="00405303" w:rsidRDefault="009E6F82" w:rsidP="00C15251">
      <w:pPr>
        <w:jc w:val="both"/>
        <w:rPr>
          <w:bCs/>
          <w:color w:val="002060"/>
          <w:sz w:val="16"/>
          <w:szCs w:val="16"/>
        </w:rPr>
      </w:pPr>
      <w:r w:rsidRPr="00405303">
        <w:rPr>
          <w:bCs/>
          <w:color w:val="002060"/>
          <w:sz w:val="16"/>
          <w:szCs w:val="16"/>
        </w:rPr>
        <w:t>Как докладывалось в начале 1915 г. начальнику штаба Верховного Главнокомандующего: «Наш военный агент во Франции уведомил, что французское правительство отказывает нам в отпуске обещанных моторов, чем… нарушен весь наш план дальнейшего изготовления аэропланов». 18 февраля 1915г. в Ставку Верховного Главнокомандующего поступила телеграмма, где говорилось: «Что расчеты на получение аппаратов и моторов из-за границы не оправдались, и когда будут получены неизвестно». В телеграмме испрашивалось разрешение по заказу новых самолетов и моторов на отечественных заводах. В связи с этим военное ведомство дополнительно заказало на рижском заводе «Мотор» еще 30 моторов, а на заводе «Гном и Рон» в Москве – 40. Так, неумение царского правительства распорядиться творческими силами отечественных конструкторов и имеющихся, пусть небольшого числа, заводов поставило в военные годы русский воздушный флот в тяжелейшее положение. А ведь еще в апреле 1913г. комиссия Главного инженерного управления, обследовавшая производственные мощности завода «Мотор», пришла к выводу, что этот рижский завод способен выпускать в год более 500 авиационных двигателей, что вполне обеспечило бы нужды авиации России. Не были использованы и производственные мощности крупнейшего рижского завода РБВЗ, где проводились работы по изготовлению двигателей водяного охлаждения мощностью до 166 л.с. типа РБВЗ-6 («Аргус») (11698).</w:t>
      </w:r>
    </w:p>
    <w:p w14:paraId="2776CBF9" w14:textId="77777777" w:rsidR="004B4E35" w:rsidRPr="00405303" w:rsidRDefault="004B4E35" w:rsidP="00C15251">
      <w:pPr>
        <w:jc w:val="both"/>
        <w:rPr>
          <w:bCs/>
          <w:color w:val="002060"/>
          <w:sz w:val="16"/>
          <w:szCs w:val="16"/>
        </w:rPr>
      </w:pPr>
    </w:p>
    <w:p w14:paraId="137BDF8F" w14:textId="7ACC9B95" w:rsidR="004B4E35" w:rsidRPr="00405303" w:rsidRDefault="009E6F82" w:rsidP="00C15251">
      <w:pPr>
        <w:jc w:val="both"/>
        <w:rPr>
          <w:bCs/>
          <w:color w:val="002060"/>
          <w:sz w:val="16"/>
          <w:szCs w:val="16"/>
        </w:rPr>
      </w:pPr>
      <w:r w:rsidRPr="00405303">
        <w:rPr>
          <w:bCs/>
          <w:color w:val="002060"/>
          <w:sz w:val="16"/>
          <w:szCs w:val="16"/>
        </w:rPr>
        <w:t xml:space="preserve">8 </w:t>
      </w:r>
      <w:r w:rsidR="004375E4" w:rsidRPr="00405303">
        <w:rPr>
          <w:bCs/>
          <w:color w:val="002060"/>
          <w:sz w:val="16"/>
          <w:szCs w:val="16"/>
        </w:rPr>
        <w:t xml:space="preserve">(21) </w:t>
      </w:r>
      <w:r w:rsidRPr="00405303">
        <w:rPr>
          <w:bCs/>
          <w:color w:val="002060"/>
          <w:sz w:val="16"/>
          <w:szCs w:val="16"/>
        </w:rPr>
        <w:t xml:space="preserve">января 1915 г. </w:t>
      </w:r>
      <w:r w:rsidR="00DA3A77" w:rsidRPr="00405303">
        <w:rPr>
          <w:bCs/>
          <w:color w:val="002060"/>
          <w:sz w:val="16"/>
          <w:szCs w:val="16"/>
        </w:rPr>
        <w:t xml:space="preserve">А. А. Пороховщиков письмом </w:t>
      </w:r>
      <w:r w:rsidRPr="00405303">
        <w:rPr>
          <w:bCs/>
          <w:color w:val="002060"/>
          <w:sz w:val="16"/>
          <w:szCs w:val="16"/>
        </w:rPr>
        <w:t>ответил</w:t>
      </w:r>
      <w:r w:rsidR="00CA3780" w:rsidRPr="00405303">
        <w:rPr>
          <w:bCs/>
          <w:color w:val="002060"/>
          <w:sz w:val="16"/>
          <w:szCs w:val="16"/>
        </w:rPr>
        <w:t xml:space="preserve"> на преложение Военного ведомства, которое обратило внимание на этот самолет, ф. Ф. Терещенко и предложило ему принять заказ на постройку нескольких самолетов “Би-Кок”</w:t>
      </w:r>
      <w:r w:rsidRPr="00405303">
        <w:rPr>
          <w:bCs/>
          <w:color w:val="002060"/>
          <w:sz w:val="16"/>
          <w:szCs w:val="16"/>
        </w:rPr>
        <w:t>, что хочет строить аппараты сам и при том в количестве не менее, как на целый авиационный отряд. Заказ оформлен не был, и этот оригинальный и интересный самолет развития не получил. В 1915 г. на втором экземпляре “Би-Кока” было гусеничное шасси — брезентовая лента на семи установленных в ряд деревянных барабанах — двух крайних диаметром 20 см и пяти малых промежуточных в общей раме. Эти гусеницы ставились взамен колес — возможно, впервые в мире — были испытаны, но применения не нашли (Шавров История воздухоплавания и авиации в СССР, с. 470—475).</w:t>
      </w:r>
    </w:p>
    <w:p w14:paraId="123C2B19" w14:textId="77777777" w:rsidR="004B4E35" w:rsidRPr="00405303" w:rsidRDefault="004B4E35" w:rsidP="00C15251">
      <w:pPr>
        <w:jc w:val="both"/>
        <w:rPr>
          <w:bCs/>
          <w:color w:val="002060"/>
          <w:sz w:val="16"/>
          <w:szCs w:val="16"/>
        </w:rPr>
      </w:pPr>
    </w:p>
    <w:p w14:paraId="1F7DC48D" w14:textId="25773FDB" w:rsidR="00B3239B" w:rsidRPr="00405303" w:rsidRDefault="00B3239B" w:rsidP="00C15251">
      <w:pPr>
        <w:jc w:val="both"/>
        <w:rPr>
          <w:bCs/>
          <w:color w:val="002060"/>
          <w:sz w:val="16"/>
          <w:szCs w:val="16"/>
        </w:rPr>
      </w:pPr>
      <w:r w:rsidRPr="00405303">
        <w:rPr>
          <w:bCs/>
          <w:color w:val="002060"/>
          <w:sz w:val="16"/>
          <w:szCs w:val="16"/>
          <w:lang w:bidi="ru-RU"/>
        </w:rPr>
        <w:t>8 (21) января 1915 г. Порохов</w:t>
      </w:r>
      <w:r w:rsidRPr="00405303">
        <w:rPr>
          <w:bCs/>
          <w:color w:val="002060"/>
          <w:sz w:val="16"/>
          <w:szCs w:val="16"/>
          <w:lang w:bidi="ru-RU"/>
        </w:rPr>
        <w:softHyphen/>
        <w:t>щиков, с которые Военным ведомством велись переговоры об из</w:t>
      </w:r>
      <w:r w:rsidRPr="00405303">
        <w:rPr>
          <w:bCs/>
          <w:color w:val="002060"/>
          <w:sz w:val="16"/>
          <w:szCs w:val="16"/>
          <w:lang w:bidi="ru-RU"/>
        </w:rPr>
        <w:softHyphen/>
        <w:t>готовлении небольшой серии «Би-Кок» на заводе Ф.Ф. Терещенко, в своем письме желал строить свой самолет лично, в количестве, достаточном для вооружения одного авиаотряда, о чем уведомил в сво</w:t>
      </w:r>
      <w:r w:rsidRPr="00405303">
        <w:rPr>
          <w:bCs/>
          <w:color w:val="002060"/>
          <w:sz w:val="16"/>
          <w:szCs w:val="16"/>
          <w:lang w:bidi="ru-RU"/>
        </w:rPr>
        <w:softHyphen/>
        <w:t>ем писДальнейшие переговоры зашли в тупик и постройка во</w:t>
      </w:r>
      <w:r w:rsidRPr="00405303">
        <w:rPr>
          <w:bCs/>
          <w:color w:val="002060"/>
          <w:sz w:val="16"/>
          <w:szCs w:val="16"/>
          <w:lang w:bidi="ru-RU"/>
        </w:rPr>
        <w:softHyphen/>
        <w:t>енных «Двухвосток» Пороховщикова не со</w:t>
      </w:r>
      <w:r w:rsidRPr="00405303">
        <w:rPr>
          <w:bCs/>
          <w:color w:val="002060"/>
          <w:sz w:val="16"/>
          <w:szCs w:val="16"/>
          <w:lang w:bidi="ru-RU"/>
        </w:rPr>
        <w:softHyphen/>
        <w:t>стоялась.</w:t>
      </w:r>
    </w:p>
    <w:p w14:paraId="36EA16F0" w14:textId="77777777" w:rsidR="00B3239B" w:rsidRPr="00405303" w:rsidRDefault="00B3239B" w:rsidP="00C15251">
      <w:pPr>
        <w:jc w:val="both"/>
        <w:rPr>
          <w:bCs/>
          <w:color w:val="002060"/>
          <w:sz w:val="16"/>
          <w:szCs w:val="16"/>
        </w:rPr>
      </w:pPr>
      <w:r w:rsidRPr="00405303">
        <w:rPr>
          <w:bCs/>
          <w:color w:val="002060"/>
          <w:sz w:val="16"/>
          <w:szCs w:val="16"/>
          <w:lang w:bidi="ru-RU"/>
        </w:rPr>
        <w:t>В 1915 г. построили второй экземпляр «Би-Кок» с оригинальным гусеничным шас</w:t>
      </w:r>
      <w:r w:rsidRPr="00405303">
        <w:rPr>
          <w:bCs/>
          <w:color w:val="002060"/>
          <w:sz w:val="16"/>
          <w:szCs w:val="16"/>
          <w:lang w:bidi="ru-RU"/>
        </w:rPr>
        <w:softHyphen/>
        <w:t>си, которое можно было устанавливать вместо колес. Гусеничное шасси представ</w:t>
      </w:r>
      <w:r w:rsidRPr="00405303">
        <w:rPr>
          <w:bCs/>
          <w:color w:val="002060"/>
          <w:sz w:val="16"/>
          <w:szCs w:val="16"/>
          <w:lang w:bidi="ru-RU"/>
        </w:rPr>
        <w:softHyphen/>
        <w:t>ляло собой брезентовую ленту, двигающу</w:t>
      </w:r>
      <w:r w:rsidRPr="00405303">
        <w:rPr>
          <w:bCs/>
          <w:color w:val="002060"/>
          <w:sz w:val="16"/>
          <w:szCs w:val="16"/>
          <w:lang w:bidi="ru-RU"/>
        </w:rPr>
        <w:softHyphen/>
        <w:t>юся на деревянных барабанах. Проведен</w:t>
      </w:r>
      <w:r w:rsidRPr="00405303">
        <w:rPr>
          <w:bCs/>
          <w:color w:val="002060"/>
          <w:sz w:val="16"/>
          <w:szCs w:val="16"/>
          <w:lang w:bidi="ru-RU"/>
        </w:rPr>
        <w:softHyphen/>
        <w:t>ные испытания подтвердили работоспо</w:t>
      </w:r>
      <w:r w:rsidRPr="00405303">
        <w:rPr>
          <w:bCs/>
          <w:color w:val="002060"/>
          <w:sz w:val="16"/>
          <w:szCs w:val="16"/>
          <w:lang w:bidi="ru-RU"/>
        </w:rPr>
        <w:softHyphen/>
        <w:t>собность оригинального устройства, однако дальнейшего развития изобретения не произошло (23374).</w:t>
      </w:r>
    </w:p>
    <w:p w14:paraId="4D7EB420" w14:textId="77777777" w:rsidR="00B3239B" w:rsidRPr="00405303" w:rsidRDefault="00B3239B" w:rsidP="00C15251">
      <w:pPr>
        <w:jc w:val="both"/>
        <w:rPr>
          <w:bCs/>
          <w:color w:val="002060"/>
          <w:sz w:val="16"/>
          <w:szCs w:val="16"/>
        </w:rPr>
      </w:pPr>
    </w:p>
    <w:p w14:paraId="19518B93" w14:textId="4C29CD8E" w:rsidR="00771D5C" w:rsidRPr="00405303" w:rsidRDefault="00771D5C" w:rsidP="00771D5C">
      <w:pPr>
        <w:shd w:val="clear" w:color="auto" w:fill="FFFFFF"/>
        <w:jc w:val="both"/>
        <w:rPr>
          <w:bCs/>
          <w:i/>
          <w:color w:val="002060"/>
          <w:sz w:val="16"/>
          <w:szCs w:val="16"/>
        </w:rPr>
      </w:pPr>
      <w:r w:rsidRPr="00405303">
        <w:rPr>
          <w:bCs/>
          <w:i/>
          <w:color w:val="002060"/>
          <w:sz w:val="16"/>
          <w:szCs w:val="16"/>
        </w:rPr>
        <w:t>Другие оборонные отрасли:</w:t>
      </w:r>
    </w:p>
    <w:p w14:paraId="68644C4F" w14:textId="77777777" w:rsidR="00771D5C" w:rsidRPr="00405303" w:rsidRDefault="00771D5C" w:rsidP="00771D5C">
      <w:pPr>
        <w:shd w:val="clear" w:color="auto" w:fill="FFFFFF"/>
        <w:jc w:val="both"/>
        <w:rPr>
          <w:bCs/>
          <w:i/>
          <w:color w:val="002060"/>
          <w:sz w:val="16"/>
          <w:szCs w:val="16"/>
        </w:rPr>
      </w:pPr>
    </w:p>
    <w:p w14:paraId="071F8464" w14:textId="77777777" w:rsidR="00771D5C" w:rsidRPr="00405303" w:rsidRDefault="00771D5C" w:rsidP="00771D5C">
      <w:pPr>
        <w:jc w:val="both"/>
        <w:rPr>
          <w:color w:val="0070C0"/>
          <w:sz w:val="16"/>
          <w:szCs w:val="16"/>
        </w:rPr>
      </w:pPr>
      <w:r w:rsidRPr="00405303">
        <w:rPr>
          <w:color w:val="0070C0"/>
          <w:sz w:val="16"/>
          <w:szCs w:val="16"/>
        </w:rPr>
        <w:t xml:space="preserve">8 (21) января 1915 года глава Союза Земств и городов князь Г. Е. Львов устроил танку Лебеденко Высочайшую аудиенцию. Моделька с пружинным заводом весело бегала по сводам законов Российской империи. В восторге от идеи одним взмахом взломать германский фронт Николай II из собственных денег выделил 210 000 рублей, сумму которой хватило бы на закупку примерно 20 броневиков Остин с полным вооружением. Но в тот момент вряд ли </w:t>
      </w:r>
      <w:proofErr w:type="gramStart"/>
      <w:r w:rsidRPr="00405303">
        <w:rPr>
          <w:color w:val="0070C0"/>
          <w:sz w:val="16"/>
          <w:szCs w:val="16"/>
        </w:rPr>
        <w:t>кто либо</w:t>
      </w:r>
      <w:proofErr w:type="gramEnd"/>
      <w:r w:rsidRPr="00405303">
        <w:rPr>
          <w:color w:val="0070C0"/>
          <w:sz w:val="16"/>
          <w:szCs w:val="16"/>
        </w:rPr>
        <w:t xml:space="preserve"> мог предположить, что правильно, а что неправильно.</w:t>
      </w:r>
    </w:p>
    <w:p w14:paraId="5F2695CA" w14:textId="77777777" w:rsidR="00771D5C" w:rsidRPr="00405303" w:rsidRDefault="00771D5C" w:rsidP="00771D5C">
      <w:pPr>
        <w:jc w:val="both"/>
        <w:rPr>
          <w:color w:val="0070C0"/>
          <w:sz w:val="16"/>
          <w:szCs w:val="16"/>
        </w:rPr>
      </w:pPr>
      <w:r w:rsidRPr="00405303">
        <w:rPr>
          <w:color w:val="0070C0"/>
          <w:sz w:val="16"/>
          <w:szCs w:val="16"/>
        </w:rPr>
        <w:t>Высочайшее соизволение и деньги сдвинули с места махину российской промышленности. Крупноузловую сборку начали в Хамовнических казармах в Москве, куда поставлялись металлоконструкции. Для окончательной сборки был специально подобран участок земли между станциями Орудьево и Вербилки Дмитровского направления. Так как проекту был присвоен высший уровень секретности, место должно было быть совершенно незаметным, но вблизи от железной дороги для доставки узлов и агрегатов (25466).</w:t>
      </w:r>
    </w:p>
    <w:p w14:paraId="664D5FB1" w14:textId="77777777" w:rsidR="00771D5C" w:rsidRPr="00405303" w:rsidRDefault="00771D5C" w:rsidP="00771D5C">
      <w:pPr>
        <w:jc w:val="both"/>
        <w:rPr>
          <w:color w:val="0070C0"/>
          <w:sz w:val="16"/>
          <w:szCs w:val="16"/>
        </w:rPr>
      </w:pPr>
    </w:p>
    <w:p w14:paraId="415CE610" w14:textId="77777777" w:rsidR="00771D5C" w:rsidRPr="00405303" w:rsidRDefault="00771D5C" w:rsidP="00771D5C">
      <w:pPr>
        <w:jc w:val="both"/>
        <w:rPr>
          <w:color w:val="0070C0"/>
          <w:sz w:val="16"/>
          <w:szCs w:val="16"/>
        </w:rPr>
      </w:pPr>
      <w:r w:rsidRPr="00405303">
        <w:rPr>
          <w:color w:val="0070C0"/>
          <w:sz w:val="16"/>
          <w:szCs w:val="16"/>
        </w:rPr>
        <w:t>8 (21) января 1915 года вследствие указаний ГУГГ, ГВТУ вошло в Воен</w:t>
      </w:r>
      <w:r w:rsidRPr="00405303">
        <w:rPr>
          <w:color w:val="0070C0"/>
          <w:sz w:val="16"/>
          <w:szCs w:val="16"/>
        </w:rPr>
        <w:softHyphen/>
        <w:t>ный Совет с представлением (за № 317/298) о заготовке самодвижущихся повозок для удовлетворения предстоявшей потребности в них действующей армии, и исчислило эту потребность в большем размере, чем это сделал Генеральный Штаб. Разница в исчислении об'ясняется тем, что Генеральным Штабом не были преду</w:t>
      </w:r>
      <w:r w:rsidRPr="00405303">
        <w:rPr>
          <w:color w:val="0070C0"/>
          <w:sz w:val="16"/>
          <w:szCs w:val="16"/>
        </w:rPr>
        <w:softHyphen/>
        <w:t>смотрены следующие обстоятельства:</w:t>
      </w:r>
    </w:p>
    <w:p w14:paraId="23F2C8B5" w14:textId="77777777" w:rsidR="00771D5C" w:rsidRPr="00405303" w:rsidRDefault="00771D5C" w:rsidP="00771D5C">
      <w:pPr>
        <w:jc w:val="both"/>
        <w:rPr>
          <w:color w:val="0070C0"/>
          <w:sz w:val="16"/>
          <w:szCs w:val="16"/>
        </w:rPr>
      </w:pPr>
      <w:bookmarkStart w:id="12" w:name="bookmark57"/>
      <w:r w:rsidRPr="00405303">
        <w:rPr>
          <w:color w:val="0070C0"/>
          <w:sz w:val="16"/>
          <w:szCs w:val="16"/>
        </w:rPr>
        <w:t>а</w:t>
      </w:r>
      <w:bookmarkEnd w:id="12"/>
      <w:r w:rsidRPr="00405303">
        <w:rPr>
          <w:color w:val="0070C0"/>
          <w:sz w:val="16"/>
          <w:szCs w:val="16"/>
        </w:rPr>
        <w:t>) Сформирование 14 тяжелых батарей с 6 дм. скоро</w:t>
      </w:r>
      <w:r w:rsidRPr="00405303">
        <w:rPr>
          <w:color w:val="0070C0"/>
          <w:sz w:val="16"/>
          <w:szCs w:val="16"/>
        </w:rPr>
        <w:softHyphen/>
        <w:t>стрельными орудиями Шнейдера, для каковых батарей, со</w:t>
      </w:r>
      <w:r w:rsidRPr="00405303">
        <w:rPr>
          <w:color w:val="0070C0"/>
          <w:sz w:val="16"/>
          <w:szCs w:val="16"/>
        </w:rPr>
        <w:softHyphen/>
        <w:t>гласно представления ГУГШ в Военный Совет от 22 дек. 1914 г. за № 5337 требовалось: 35 легковых автомобилей, 126 тракторов, 84 грузовика, 14 цистерн, 14 мастерских и 14 кухонь.</w:t>
      </w:r>
    </w:p>
    <w:p w14:paraId="340A99E0" w14:textId="77777777" w:rsidR="00771D5C" w:rsidRPr="00405303" w:rsidRDefault="00771D5C" w:rsidP="00771D5C">
      <w:pPr>
        <w:jc w:val="both"/>
        <w:rPr>
          <w:color w:val="0070C0"/>
          <w:sz w:val="16"/>
          <w:szCs w:val="16"/>
        </w:rPr>
      </w:pPr>
      <w:bookmarkStart w:id="13" w:name="bookmark58"/>
      <w:r w:rsidRPr="00405303">
        <w:rPr>
          <w:color w:val="0070C0"/>
          <w:sz w:val="16"/>
          <w:szCs w:val="16"/>
        </w:rPr>
        <w:t>б</w:t>
      </w:r>
      <w:bookmarkEnd w:id="13"/>
      <w:r w:rsidRPr="00405303">
        <w:rPr>
          <w:color w:val="0070C0"/>
          <w:sz w:val="16"/>
          <w:szCs w:val="16"/>
        </w:rPr>
        <w:t>) Потребность в грузовиках легкого типа (до 1 тонны) при операциях в гористых и пересеченных местностях, или в случаях, требующих большей скорости доставки.</w:t>
      </w:r>
    </w:p>
    <w:p w14:paraId="15BE0337" w14:textId="77777777" w:rsidR="00771D5C" w:rsidRPr="00405303" w:rsidRDefault="00771D5C" w:rsidP="00771D5C">
      <w:pPr>
        <w:jc w:val="both"/>
        <w:rPr>
          <w:color w:val="0070C0"/>
          <w:sz w:val="16"/>
          <w:szCs w:val="16"/>
        </w:rPr>
      </w:pPr>
      <w:bookmarkStart w:id="14" w:name="bookmark59"/>
      <w:r w:rsidRPr="00405303">
        <w:rPr>
          <w:color w:val="0070C0"/>
          <w:sz w:val="16"/>
          <w:szCs w:val="16"/>
        </w:rPr>
        <w:t>в</w:t>
      </w:r>
      <w:bookmarkEnd w:id="14"/>
      <w:r w:rsidRPr="00405303">
        <w:rPr>
          <w:color w:val="0070C0"/>
          <w:sz w:val="16"/>
          <w:szCs w:val="16"/>
        </w:rPr>
        <w:t>) Потребность в легковых и в грузовых (в 11/2 тонны) автомобилях для пулеметных автомобильных взводов, из которых в каждом положено было иметь: 3 бронированных, 3 грузовых и 4 легковых автомобиля.</w:t>
      </w:r>
    </w:p>
    <w:p w14:paraId="358E0A7B" w14:textId="77777777" w:rsidR="00771D5C" w:rsidRPr="00405303" w:rsidRDefault="00771D5C" w:rsidP="00771D5C">
      <w:pPr>
        <w:jc w:val="both"/>
        <w:rPr>
          <w:color w:val="0070C0"/>
          <w:sz w:val="16"/>
          <w:szCs w:val="16"/>
        </w:rPr>
      </w:pPr>
      <w:bookmarkStart w:id="15" w:name="bookmark60"/>
      <w:r w:rsidRPr="00405303">
        <w:rPr>
          <w:color w:val="0070C0"/>
          <w:sz w:val="16"/>
          <w:szCs w:val="16"/>
        </w:rPr>
        <w:lastRenderedPageBreak/>
        <w:t>г</w:t>
      </w:r>
      <w:bookmarkEnd w:id="15"/>
      <w:r w:rsidRPr="00405303">
        <w:rPr>
          <w:color w:val="0070C0"/>
          <w:sz w:val="16"/>
          <w:szCs w:val="16"/>
        </w:rPr>
        <w:t>) Необходимость иметь запас санитарных автомобилей в 50°/о.</w:t>
      </w:r>
    </w:p>
    <w:p w14:paraId="2534DEB0" w14:textId="77777777" w:rsidR="00771D5C" w:rsidRPr="00405303" w:rsidRDefault="00771D5C" w:rsidP="00771D5C">
      <w:pPr>
        <w:jc w:val="both"/>
        <w:rPr>
          <w:color w:val="0070C0"/>
          <w:sz w:val="16"/>
          <w:szCs w:val="16"/>
        </w:rPr>
      </w:pPr>
      <w:bookmarkStart w:id="16" w:name="bookmark61"/>
      <w:r w:rsidRPr="00405303">
        <w:rPr>
          <w:color w:val="0070C0"/>
          <w:sz w:val="16"/>
          <w:szCs w:val="16"/>
        </w:rPr>
        <w:t>д</w:t>
      </w:r>
      <w:bookmarkEnd w:id="16"/>
      <w:r w:rsidRPr="00405303">
        <w:rPr>
          <w:color w:val="0070C0"/>
          <w:sz w:val="16"/>
          <w:szCs w:val="16"/>
        </w:rPr>
        <w:t>) Потребность в автомобилях для снабжения подле</w:t>
      </w:r>
      <w:r w:rsidRPr="00405303">
        <w:rPr>
          <w:color w:val="0070C0"/>
          <w:sz w:val="16"/>
          <w:szCs w:val="16"/>
        </w:rPr>
        <w:softHyphen/>
        <w:t>жащих сформированию летучих автомобильно-авиационных мастерских.</w:t>
      </w:r>
    </w:p>
    <w:p w14:paraId="784FBCC8" w14:textId="77777777" w:rsidR="00771D5C" w:rsidRPr="00405303" w:rsidRDefault="00771D5C" w:rsidP="00771D5C">
      <w:pPr>
        <w:jc w:val="both"/>
        <w:rPr>
          <w:color w:val="0070C0"/>
          <w:sz w:val="16"/>
          <w:szCs w:val="16"/>
        </w:rPr>
      </w:pPr>
      <w:r w:rsidRPr="00405303">
        <w:rPr>
          <w:color w:val="0070C0"/>
          <w:sz w:val="16"/>
          <w:szCs w:val="16"/>
        </w:rPr>
        <w:t>Принимая все это во внимание, ГВТУ нашло необхо</w:t>
      </w:r>
      <w:r w:rsidRPr="00405303">
        <w:rPr>
          <w:color w:val="0070C0"/>
          <w:sz w:val="16"/>
          <w:szCs w:val="16"/>
        </w:rPr>
        <w:softHyphen/>
        <w:t>димым вновь заготовить 3.938 автомобилей и 278 тракторов.</w:t>
      </w:r>
    </w:p>
    <w:p w14:paraId="260A435D" w14:textId="77777777" w:rsidR="00771D5C" w:rsidRPr="00405303" w:rsidRDefault="00771D5C" w:rsidP="00771D5C">
      <w:pPr>
        <w:jc w:val="both"/>
        <w:rPr>
          <w:color w:val="0070C0"/>
          <w:sz w:val="16"/>
          <w:szCs w:val="16"/>
        </w:rPr>
      </w:pPr>
      <w:r w:rsidRPr="00405303">
        <w:rPr>
          <w:color w:val="0070C0"/>
          <w:sz w:val="16"/>
          <w:szCs w:val="16"/>
        </w:rPr>
        <w:t>В своем представлении в Военный Совет по поводу этой заготовки ГВТУ, ссылаясь па хорошие качества авто</w:t>
      </w:r>
      <w:r w:rsidRPr="00405303">
        <w:rPr>
          <w:color w:val="0070C0"/>
          <w:sz w:val="16"/>
          <w:szCs w:val="16"/>
        </w:rPr>
        <w:softHyphen/>
        <w:t>машин, поставлявшихся ранее через представителей аме</w:t>
      </w:r>
      <w:r w:rsidRPr="00405303">
        <w:rPr>
          <w:color w:val="0070C0"/>
          <w:sz w:val="16"/>
          <w:szCs w:val="16"/>
        </w:rPr>
        <w:softHyphen/>
        <w:t>риканских фирм Гастон и банкирский дом «Маврикий Нель- кен», на необходимость соблюдения принципа однотипности при приобретении машин и на то, что Гастон и Маврикий Нелькен заявили цены ниже прейскурантных, высказалось за предоставление заказа названным посредникам, указав при этом, что 1000 грузовиков в счет рассматриваемой за</w:t>
      </w:r>
      <w:r w:rsidRPr="00405303">
        <w:rPr>
          <w:color w:val="0070C0"/>
          <w:sz w:val="16"/>
          <w:szCs w:val="16"/>
        </w:rPr>
        <w:softHyphen/>
        <w:t>готовки уже заказаны банкирскому дому «Маврикий Нель</w:t>
      </w:r>
      <w:r w:rsidRPr="00405303">
        <w:rPr>
          <w:color w:val="0070C0"/>
          <w:sz w:val="16"/>
          <w:szCs w:val="16"/>
        </w:rPr>
        <w:softHyphen/>
        <w:t>кен», согласно приказанию ген. Сухомлинова (24923).</w:t>
      </w:r>
    </w:p>
    <w:p w14:paraId="72C70041" w14:textId="77777777" w:rsidR="00771D5C" w:rsidRPr="00405303" w:rsidRDefault="00771D5C" w:rsidP="00771D5C">
      <w:pPr>
        <w:jc w:val="both"/>
        <w:rPr>
          <w:color w:val="0070C0"/>
          <w:sz w:val="16"/>
          <w:szCs w:val="16"/>
        </w:rPr>
      </w:pPr>
    </w:p>
    <w:p w14:paraId="294E0FC3"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32BF6FBA" w14:textId="77777777" w:rsidR="004B4E35" w:rsidRPr="00405303" w:rsidRDefault="004B4E35" w:rsidP="00C15251">
      <w:pPr>
        <w:shd w:val="clear" w:color="auto" w:fill="FFFFFF"/>
        <w:jc w:val="both"/>
        <w:rPr>
          <w:bCs/>
          <w:i/>
          <w:color w:val="002060"/>
          <w:sz w:val="16"/>
          <w:szCs w:val="16"/>
        </w:rPr>
      </w:pPr>
    </w:p>
    <w:p w14:paraId="0020C688" w14:textId="6A18B166"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8 (21) января 1915 года, </w:t>
      </w:r>
      <w:r w:rsidR="000C6426" w:rsidRPr="00405303">
        <w:rPr>
          <w:bCs/>
          <w:color w:val="002060"/>
          <w:sz w:val="16"/>
          <w:szCs w:val="16"/>
        </w:rPr>
        <w:t>ввиду того, что на николаевском заводе «Руссуд» еще прошлой вес</w:t>
      </w:r>
      <w:r w:rsidR="000C6426" w:rsidRPr="00405303">
        <w:rPr>
          <w:bCs/>
          <w:color w:val="002060"/>
          <w:sz w:val="16"/>
          <w:szCs w:val="16"/>
        </w:rPr>
        <w:softHyphen/>
        <w:t>ной был спущен со стапеля на воду новый линейный корабль «Император Александр III», получивший ранее такое же наи</w:t>
      </w:r>
      <w:r w:rsidR="000C6426" w:rsidRPr="00405303">
        <w:rPr>
          <w:bCs/>
          <w:color w:val="002060"/>
          <w:sz w:val="16"/>
          <w:szCs w:val="16"/>
        </w:rPr>
        <w:softHyphen/>
        <w:t xml:space="preserve">менование, согласно приказу командующего флотом, авиатранспорт </w:t>
      </w:r>
      <w:r w:rsidRPr="00405303">
        <w:rPr>
          <w:bCs/>
          <w:color w:val="002060"/>
          <w:sz w:val="16"/>
          <w:szCs w:val="16"/>
        </w:rPr>
        <w:t xml:space="preserve">переименовали </w:t>
      </w:r>
      <w:r w:rsidR="000C6426" w:rsidRPr="00405303">
        <w:rPr>
          <w:bCs/>
          <w:color w:val="002060"/>
          <w:sz w:val="16"/>
          <w:szCs w:val="16"/>
        </w:rPr>
        <w:t xml:space="preserve">из «Император Александр III» </w:t>
      </w:r>
      <w:r w:rsidRPr="00405303">
        <w:rPr>
          <w:bCs/>
          <w:color w:val="002060"/>
          <w:sz w:val="16"/>
          <w:szCs w:val="16"/>
        </w:rPr>
        <w:t>в «Император Александр I» (11283).</w:t>
      </w:r>
    </w:p>
    <w:p w14:paraId="046CFC98" w14:textId="77777777" w:rsidR="004B4E35" w:rsidRPr="00405303" w:rsidRDefault="004B4E35" w:rsidP="00C15251">
      <w:pPr>
        <w:shd w:val="clear" w:color="auto" w:fill="FFFFFF"/>
        <w:jc w:val="both"/>
        <w:rPr>
          <w:bCs/>
          <w:color w:val="002060"/>
          <w:sz w:val="16"/>
          <w:szCs w:val="16"/>
        </w:rPr>
      </w:pPr>
    </w:p>
    <w:p w14:paraId="6422F4A3"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2C0FF9E1" w14:textId="77777777" w:rsidR="004B4E35" w:rsidRPr="00405303" w:rsidRDefault="004B4E35" w:rsidP="00C15251">
      <w:pPr>
        <w:jc w:val="both"/>
        <w:rPr>
          <w:bCs/>
          <w:i/>
          <w:color w:val="002060"/>
          <w:sz w:val="16"/>
          <w:szCs w:val="16"/>
        </w:rPr>
      </w:pPr>
    </w:p>
    <w:p w14:paraId="224564A4" w14:textId="7D8AD9DA" w:rsidR="004B4E35" w:rsidRPr="00405303" w:rsidRDefault="009E6F82" w:rsidP="00C15251">
      <w:pPr>
        <w:jc w:val="both"/>
        <w:rPr>
          <w:bCs/>
          <w:color w:val="002060"/>
          <w:sz w:val="16"/>
          <w:szCs w:val="16"/>
        </w:rPr>
      </w:pPr>
      <w:r w:rsidRPr="00405303">
        <w:rPr>
          <w:bCs/>
          <w:color w:val="002060"/>
          <w:sz w:val="16"/>
          <w:szCs w:val="16"/>
        </w:rPr>
        <w:t>8 (21) января 1915 года</w:t>
      </w:r>
      <w:r w:rsidR="000C6426" w:rsidRPr="00405303">
        <w:rPr>
          <w:bCs/>
          <w:color w:val="002060"/>
          <w:sz w:val="16"/>
          <w:szCs w:val="16"/>
        </w:rPr>
        <w:t xml:space="preserve"> «Кельнише цайтунг» писала</w:t>
      </w:r>
      <w:r w:rsidRPr="00405303">
        <w:rPr>
          <w:bCs/>
          <w:color w:val="002060"/>
          <w:sz w:val="16"/>
          <w:szCs w:val="16"/>
        </w:rPr>
        <w:t xml:space="preserve">: «...наши цеппелины вознесли огненную десницу возмездия над Британией. Надменная Англия трепещет, с ужасом ожидая новых неотразимых ударов. Самое совершенное оружие, созданное гением немецких инженеров, — дирижабль — способно поражать нашего врага в самое сердце! </w:t>
      </w:r>
    </w:p>
    <w:p w14:paraId="5B329DE6" w14:textId="77777777" w:rsidR="004B4E35" w:rsidRPr="00405303" w:rsidRDefault="009E6F82" w:rsidP="00C15251">
      <w:pPr>
        <w:jc w:val="both"/>
        <w:rPr>
          <w:bCs/>
          <w:color w:val="002060"/>
          <w:sz w:val="16"/>
          <w:szCs w:val="16"/>
        </w:rPr>
      </w:pPr>
      <w:r w:rsidRPr="00405303">
        <w:rPr>
          <w:bCs/>
          <w:color w:val="002060"/>
          <w:sz w:val="16"/>
          <w:szCs w:val="16"/>
        </w:rPr>
        <w:t xml:space="preserve">Око за око, кровь за кровь — только так будем обращаться с неприятелем. Это самый быстрый способ победно завершить войну, а значит, и самый гуманный. Сегодня Германия поздравляет графа Цеппелина, увидевшего триумф своего детища, и благодарит его за то, что своим талантом и верой он подарил нашей стране чудо-оружие, подобного которому нет и не будет у англичан». </w:t>
      </w:r>
    </w:p>
    <w:p w14:paraId="3FE074D8" w14:textId="77777777" w:rsidR="004B4E35" w:rsidRPr="00405303" w:rsidRDefault="009E6F82" w:rsidP="00C15251">
      <w:pPr>
        <w:jc w:val="both"/>
        <w:rPr>
          <w:bCs/>
          <w:color w:val="002060"/>
          <w:sz w:val="16"/>
          <w:szCs w:val="16"/>
        </w:rPr>
      </w:pPr>
      <w:r w:rsidRPr="00405303">
        <w:rPr>
          <w:bCs/>
          <w:color w:val="002060"/>
          <w:sz w:val="16"/>
          <w:szCs w:val="16"/>
        </w:rPr>
        <w:t xml:space="preserve">Само собой разумеется, что дирижабли не могли осуществить всех надежд, которые возникли в германском обществе после первых известий о появлении цеппелинов над Англией, но следует подчеркнуть, что они всегда выполняли возлагавшиеся на них военные задачи. Не говоря уже о непосредственном разрушении военных и промышленных объектов, нельзя забывать о силе морального воздействия на население, которое испытывало неописуемый страх, вглядываясь в ночное небо, где гигантские воздушные корабли противника, освещенные лучами прожекторов, зловеще и непобедимо плыли к своей цели. Вся эта жуткая картина сопровождалась оглушительными взрывами бомб и ураганным огнем противовоздушных средств. Широкие слои английского населения охватило постоянно растущее беспокойство, что влекло полнейшее запустение местности, расположенной на восточном побережье Англии. </w:t>
      </w:r>
    </w:p>
    <w:p w14:paraId="20EF58B7" w14:textId="77777777" w:rsidR="004B4E35" w:rsidRPr="00405303" w:rsidRDefault="009E6F82" w:rsidP="00C15251">
      <w:pPr>
        <w:jc w:val="both"/>
        <w:rPr>
          <w:bCs/>
          <w:color w:val="002060"/>
          <w:sz w:val="16"/>
          <w:szCs w:val="16"/>
        </w:rPr>
      </w:pPr>
      <w:r w:rsidRPr="00405303">
        <w:rPr>
          <w:bCs/>
          <w:color w:val="002060"/>
          <w:sz w:val="16"/>
          <w:szCs w:val="16"/>
        </w:rPr>
        <w:t>Именно эти причины побуждали флот, в противоположность армии, до самого последнего периода войны продолжать налеты, несмотря на постоянно растущее сопротивление англичан. В конце войны операции дирижаблей предпринимались преимущественно против стратегических пунктов в центре и на севере Англии, так как авиация к этому времени уже могла самостоятельно воздействовать как на южные и восточные районы, так и на Лондон (11324).</w:t>
      </w:r>
    </w:p>
    <w:p w14:paraId="192B1A95" w14:textId="77777777" w:rsidR="004B4E35" w:rsidRPr="00405303" w:rsidRDefault="004B4E35" w:rsidP="00C15251">
      <w:pPr>
        <w:shd w:val="clear" w:color="auto" w:fill="FFFFFF"/>
        <w:jc w:val="both"/>
        <w:rPr>
          <w:bCs/>
          <w:color w:val="002060"/>
          <w:sz w:val="16"/>
          <w:szCs w:val="16"/>
        </w:rPr>
      </w:pPr>
    </w:p>
    <w:p w14:paraId="25A77F27"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25C5B76A" w14:textId="77777777" w:rsidR="004B4E35" w:rsidRPr="00405303" w:rsidRDefault="004B4E35" w:rsidP="00C15251">
      <w:pPr>
        <w:shd w:val="clear" w:color="auto" w:fill="FFFFFF"/>
        <w:jc w:val="both"/>
        <w:rPr>
          <w:bCs/>
          <w:i/>
          <w:color w:val="002060"/>
          <w:sz w:val="16"/>
          <w:szCs w:val="16"/>
        </w:rPr>
      </w:pPr>
    </w:p>
    <w:p w14:paraId="2D1A127C" w14:textId="2FD77F80" w:rsidR="00275354" w:rsidRPr="00405303" w:rsidRDefault="00275354" w:rsidP="00C15251">
      <w:pPr>
        <w:pStyle w:val="ae"/>
        <w:spacing w:before="0" w:beforeAutospacing="0" w:after="0" w:afterAutospacing="0"/>
        <w:jc w:val="both"/>
        <w:rPr>
          <w:bCs/>
          <w:color w:val="002060"/>
          <w:sz w:val="16"/>
          <w:szCs w:val="16"/>
        </w:rPr>
      </w:pPr>
      <w:r w:rsidRPr="00405303">
        <w:rPr>
          <w:bCs/>
          <w:color w:val="002060"/>
          <w:sz w:val="16"/>
          <w:szCs w:val="16"/>
        </w:rPr>
        <w:t xml:space="preserve">9 </w:t>
      </w:r>
      <w:r w:rsidR="000C6426" w:rsidRPr="00405303">
        <w:rPr>
          <w:bCs/>
          <w:color w:val="002060"/>
          <w:sz w:val="16"/>
          <w:szCs w:val="16"/>
        </w:rPr>
        <w:t xml:space="preserve">(22) </w:t>
      </w:r>
      <w:r w:rsidRPr="00405303">
        <w:rPr>
          <w:bCs/>
          <w:color w:val="002060"/>
          <w:sz w:val="16"/>
          <w:szCs w:val="16"/>
        </w:rPr>
        <w:t>января 1915 года русский авиаконструктор и предприниматель Александр Александрович Пороховщиков (дед известного актера московского Театра им. А. С. Пушкина Александра Шалвовича Пороховщикова) представил главному начальнику снабжений армий Северо-Западного фронта чертежи и смету постройки русского танка. Кроме высокой проходимости, самодвижущийся агрегат обещал еще быть плавучим. И все это за каких-нибудь десять тысяч рублей (лошадь стоила сто рублей денег). Требуемые средства ему предоставили.</w:t>
      </w:r>
    </w:p>
    <w:p w14:paraId="5C43E2A1" w14:textId="228538AE" w:rsidR="00275354" w:rsidRPr="00405303" w:rsidRDefault="00275354" w:rsidP="00C15251">
      <w:pPr>
        <w:pStyle w:val="ae"/>
        <w:spacing w:before="0" w:beforeAutospacing="0" w:after="0" w:afterAutospacing="0"/>
        <w:jc w:val="both"/>
        <w:rPr>
          <w:bCs/>
          <w:color w:val="002060"/>
          <w:sz w:val="16"/>
          <w:szCs w:val="16"/>
        </w:rPr>
      </w:pPr>
      <w:r w:rsidRPr="00405303">
        <w:rPr>
          <w:bCs/>
          <w:color w:val="002060"/>
          <w:sz w:val="16"/>
          <w:szCs w:val="16"/>
        </w:rPr>
        <w:t>Через год был готов опытный образец. Вес</w:t>
      </w:r>
      <w:r w:rsidR="00DB4D64" w:rsidRPr="00405303">
        <w:rPr>
          <w:bCs/>
          <w:color w:val="002060"/>
          <w:sz w:val="16"/>
          <w:szCs w:val="16"/>
        </w:rPr>
        <w:t xml:space="preserve"> </w:t>
      </w:r>
      <w:r w:rsidRPr="00405303">
        <w:rPr>
          <w:bCs/>
          <w:color w:val="002060"/>
          <w:sz w:val="16"/>
          <w:szCs w:val="16"/>
        </w:rPr>
        <w:t>— четыре тонны. Сварной каркас опирался на одну широкую нерифленую гусеницу из прорезиненной ткани. Толщина брони 8 мм.</w:t>
      </w:r>
    </w:p>
    <w:p w14:paraId="335A348C" w14:textId="77777777" w:rsidR="00275354" w:rsidRPr="00405303" w:rsidRDefault="00275354" w:rsidP="00C15251">
      <w:pPr>
        <w:pStyle w:val="ae"/>
        <w:spacing w:before="0" w:beforeAutospacing="0" w:after="0" w:afterAutospacing="0"/>
        <w:jc w:val="both"/>
        <w:rPr>
          <w:bCs/>
          <w:color w:val="002060"/>
          <w:sz w:val="16"/>
          <w:szCs w:val="16"/>
        </w:rPr>
      </w:pPr>
      <w:r w:rsidRPr="00405303">
        <w:rPr>
          <w:bCs/>
          <w:color w:val="002060"/>
          <w:sz w:val="16"/>
          <w:szCs w:val="16"/>
        </w:rPr>
        <w:t>Опытный образец корпуса состоял из нескольких слоев стали с прослойкой из волоса и морской травы. Листы такой стали легко гнулись и сваривались между собой, но, к сожалению, не отвечали требованиям бронезащиты.</w:t>
      </w:r>
    </w:p>
    <w:p w14:paraId="269EB494" w14:textId="77777777" w:rsidR="00275354" w:rsidRPr="00405303" w:rsidRDefault="00275354" w:rsidP="00C15251">
      <w:pPr>
        <w:pStyle w:val="ae"/>
        <w:spacing w:before="0" w:beforeAutospacing="0" w:after="0" w:afterAutospacing="0"/>
        <w:jc w:val="both"/>
        <w:rPr>
          <w:bCs/>
          <w:color w:val="002060"/>
          <w:sz w:val="16"/>
          <w:szCs w:val="16"/>
        </w:rPr>
      </w:pPr>
      <w:r w:rsidRPr="00405303">
        <w:rPr>
          <w:bCs/>
          <w:color w:val="002060"/>
          <w:sz w:val="16"/>
          <w:szCs w:val="16"/>
        </w:rPr>
        <w:t>Десятисильный мотор позволял развивать скорость до 25 км/ч (с экипажем два человека), а высоко поднятое переднее колесо преодолевать канавы шириной примерно три метра. Правда, поворачивать «Вездеход» можно было, только упираясь в землю шестом. И вооружение отсутствовало. А так вполне себе ничего и даже оригинально (18519).</w:t>
      </w:r>
    </w:p>
    <w:p w14:paraId="318263D0" w14:textId="77777777" w:rsidR="00275354" w:rsidRPr="00405303" w:rsidRDefault="00275354" w:rsidP="00C15251">
      <w:pPr>
        <w:pStyle w:val="ae"/>
        <w:spacing w:before="0" w:beforeAutospacing="0" w:after="0" w:afterAutospacing="0"/>
        <w:jc w:val="both"/>
        <w:rPr>
          <w:bCs/>
          <w:color w:val="002060"/>
          <w:sz w:val="16"/>
          <w:szCs w:val="16"/>
        </w:rPr>
      </w:pPr>
    </w:p>
    <w:p w14:paraId="100B6A00" w14:textId="462348C0" w:rsidR="004B4E35" w:rsidRPr="00405303" w:rsidRDefault="009E6F82" w:rsidP="00C15251">
      <w:pPr>
        <w:jc w:val="both"/>
        <w:rPr>
          <w:bCs/>
          <w:color w:val="002060"/>
          <w:sz w:val="16"/>
          <w:szCs w:val="16"/>
        </w:rPr>
      </w:pPr>
      <w:r w:rsidRPr="00405303">
        <w:rPr>
          <w:bCs/>
          <w:color w:val="002060"/>
          <w:sz w:val="16"/>
          <w:szCs w:val="16"/>
        </w:rPr>
        <w:t>9</w:t>
      </w:r>
      <w:r w:rsidR="000C6426" w:rsidRPr="00405303">
        <w:rPr>
          <w:bCs/>
          <w:color w:val="002060"/>
          <w:sz w:val="16"/>
          <w:szCs w:val="16"/>
        </w:rPr>
        <w:t xml:space="preserve"> (22) января </w:t>
      </w:r>
      <w:r w:rsidRPr="00405303">
        <w:rPr>
          <w:bCs/>
          <w:color w:val="002060"/>
          <w:sz w:val="16"/>
          <w:szCs w:val="16"/>
        </w:rPr>
        <w:t xml:space="preserve">1915 </w:t>
      </w:r>
      <w:r w:rsidR="000C6426" w:rsidRPr="00405303">
        <w:rPr>
          <w:bCs/>
          <w:color w:val="002060"/>
          <w:sz w:val="16"/>
          <w:szCs w:val="16"/>
        </w:rPr>
        <w:t xml:space="preserve">г. </w:t>
      </w:r>
      <w:r w:rsidRPr="00405303">
        <w:rPr>
          <w:bCs/>
          <w:color w:val="002060"/>
          <w:sz w:val="16"/>
          <w:szCs w:val="16"/>
        </w:rPr>
        <w:t xml:space="preserve">Пороховщиков направил на имя </w:t>
      </w:r>
      <w:r w:rsidR="000C6426" w:rsidRPr="00405303">
        <w:rPr>
          <w:bCs/>
          <w:color w:val="002060"/>
          <w:sz w:val="16"/>
          <w:szCs w:val="16"/>
        </w:rPr>
        <w:t xml:space="preserve">начальника инженерных снабжений армий СЗФ </w:t>
      </w:r>
      <w:r w:rsidRPr="00405303">
        <w:rPr>
          <w:bCs/>
          <w:color w:val="002060"/>
          <w:sz w:val="16"/>
          <w:szCs w:val="16"/>
        </w:rPr>
        <w:t>докладную записку, чертежи и смету расходов в сумме 9660 руб. 72 коп. Материалы были изучены в течение трех дней, целесообразность постройки машины, именуемой «Вездеход», обоснована — оперативность, плохо сочетающаяся с рассуждениями о тотальной косности русской монархии</w:t>
      </w:r>
    </w:p>
    <w:p w14:paraId="20EE2F09" w14:textId="77777777" w:rsidR="004B4E35" w:rsidRPr="00405303" w:rsidRDefault="009E6F82" w:rsidP="00C15251">
      <w:pPr>
        <w:jc w:val="both"/>
        <w:rPr>
          <w:bCs/>
          <w:color w:val="002060"/>
          <w:sz w:val="16"/>
          <w:szCs w:val="16"/>
        </w:rPr>
      </w:pPr>
      <w:r w:rsidRPr="00405303">
        <w:rPr>
          <w:bCs/>
          <w:color w:val="002060"/>
          <w:sz w:val="16"/>
          <w:szCs w:val="16"/>
        </w:rPr>
        <w:t xml:space="preserve">13.01.1915 </w:t>
      </w:r>
      <w:proofErr w:type="gramStart"/>
      <w:r w:rsidRPr="00405303">
        <w:rPr>
          <w:bCs/>
          <w:color w:val="002060"/>
          <w:sz w:val="16"/>
          <w:szCs w:val="16"/>
        </w:rPr>
        <w:t>средства</w:t>
      </w:r>
      <w:proofErr w:type="gramEnd"/>
      <w:r w:rsidRPr="00405303">
        <w:rPr>
          <w:bCs/>
          <w:color w:val="002060"/>
          <w:sz w:val="16"/>
          <w:szCs w:val="16"/>
        </w:rPr>
        <w:t xml:space="preserve"> затребованные «на постройку испытательного экземпляра усовершенствованного автомобиля» ассигнованы. Особо отметим — испытательного экземпляра(!)</w:t>
      </w:r>
    </w:p>
    <w:p w14:paraId="6C8F261D" w14:textId="77777777" w:rsidR="004B4E35" w:rsidRPr="00405303" w:rsidRDefault="009E6F82" w:rsidP="00C15251">
      <w:pPr>
        <w:jc w:val="both"/>
        <w:rPr>
          <w:bCs/>
          <w:color w:val="002060"/>
          <w:sz w:val="16"/>
          <w:szCs w:val="16"/>
        </w:rPr>
      </w:pPr>
      <w:r w:rsidRPr="00405303">
        <w:rPr>
          <w:bCs/>
          <w:color w:val="002060"/>
          <w:sz w:val="16"/>
          <w:szCs w:val="16"/>
        </w:rPr>
        <w:t>Отсутствие информации о боевом предназначении, бронировании и вооружении «Вездехода» в распоряжении начальника снабжений СЗФ за № 8101 от 13.01.1915 о финансировании фронтом создания амфибийного вездехода способного превосходить обычные автомобили при передвижении по песку, полям, снегу, конечно можно рассматривать, в качестве косвенного подтверждения точки зрения на «Вездеход», как на вездеход не определенного назначения, а не боевую машину. Однако: 1) текст распоряжения не опубликован, а его объем, структура и стилистика могут дать пищу для размышлений; 2) первично решение Ставки, распоряжение начальника снабжений СЗФ не только вторично, но и не должно информировать нижестоящий аппарат об истинных суждениях и намерениях Ставки; 3) нормы подготовки распорядительных документов предполагают достаточное обоснование принятого решения — достаточное, не значит полное и всестороннее; 4) механизм перечисления средств не предполагает знания на всех уровнях истинных целей ассигнований. 5) и т.д.</w:t>
      </w:r>
    </w:p>
    <w:p w14:paraId="4AB60911" w14:textId="77777777" w:rsidR="004B4E35" w:rsidRPr="00405303" w:rsidRDefault="009E6F82" w:rsidP="00C15251">
      <w:pPr>
        <w:jc w:val="both"/>
        <w:rPr>
          <w:bCs/>
          <w:color w:val="002060"/>
          <w:sz w:val="16"/>
          <w:szCs w:val="16"/>
        </w:rPr>
      </w:pPr>
      <w:r w:rsidRPr="00405303">
        <w:rPr>
          <w:bCs/>
          <w:color w:val="002060"/>
          <w:sz w:val="16"/>
          <w:szCs w:val="16"/>
        </w:rPr>
        <w:t>Тем не менее, канцелярия начальника снабжений СЗФ умудрилась сказать лишнее, способное вызвать интерес неприятельской агентуры — «Вездеход» должен был преодолевать канавы не менее 1 м шириной. В распоряжении, судя по всему, не указывается, насколько канавы не менее 1 м шириной были актуальны для тылового хозяйства СЗФ, но вообще канава шириной не менее 1 м — это траншея (12111).</w:t>
      </w:r>
    </w:p>
    <w:p w14:paraId="4486A59F" w14:textId="77777777" w:rsidR="00275354" w:rsidRPr="00405303" w:rsidRDefault="00275354" w:rsidP="00C15251">
      <w:pPr>
        <w:shd w:val="clear" w:color="auto" w:fill="FFFFFF"/>
        <w:jc w:val="both"/>
        <w:rPr>
          <w:bCs/>
          <w:i/>
          <w:color w:val="002060"/>
          <w:sz w:val="16"/>
          <w:szCs w:val="16"/>
        </w:rPr>
      </w:pPr>
    </w:p>
    <w:p w14:paraId="24FF47B3" w14:textId="77777777" w:rsidR="008C59DD" w:rsidRPr="00405303" w:rsidRDefault="008C59DD" w:rsidP="00C15251">
      <w:pPr>
        <w:jc w:val="both"/>
        <w:rPr>
          <w:bCs/>
          <w:color w:val="002060"/>
          <w:sz w:val="16"/>
          <w:szCs w:val="16"/>
          <w:shd w:val="clear" w:color="auto" w:fill="FFFFFF"/>
        </w:rPr>
      </w:pPr>
      <w:bookmarkStart w:id="17" w:name="_Hlk56153702"/>
      <w:r w:rsidRPr="00405303">
        <w:rPr>
          <w:bCs/>
          <w:color w:val="002060"/>
          <w:sz w:val="16"/>
          <w:szCs w:val="16"/>
          <w:shd w:val="clear" w:color="auto" w:fill="FFFFFF"/>
        </w:rPr>
        <w:t>9 (22) января 1915 г., через четыре месяца, потребовавшиеся изобретателю на эскизный проект Пороховщиков представил Главному начальнику снабжений армий Северо-Западного фронта генералу Данилову чертежи и смету постройки «Вездехода». Кроме высокой проходимости Пороховщиков обещал плавучесть машины за счет герметизации корпуса. На постройку «самодвижущегося экипажа» он испрашивал 9960 рублей 72 копейки (20250).</w:t>
      </w:r>
    </w:p>
    <w:p w14:paraId="706E588B" w14:textId="77777777" w:rsidR="008C59DD" w:rsidRPr="00405303" w:rsidRDefault="008C59DD" w:rsidP="00C15251">
      <w:pPr>
        <w:jc w:val="both"/>
        <w:rPr>
          <w:bCs/>
          <w:color w:val="002060"/>
          <w:sz w:val="16"/>
          <w:szCs w:val="16"/>
          <w:shd w:val="clear" w:color="auto" w:fill="FFFFFF"/>
        </w:rPr>
      </w:pPr>
    </w:p>
    <w:bookmarkEnd w:id="17"/>
    <w:p w14:paraId="7C8C936F"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3800FEE3" w14:textId="77777777" w:rsidR="004B4E35" w:rsidRPr="00405303" w:rsidRDefault="004B4E35" w:rsidP="00C15251">
      <w:pPr>
        <w:shd w:val="clear" w:color="auto" w:fill="FFFFFF"/>
        <w:jc w:val="both"/>
        <w:rPr>
          <w:bCs/>
          <w:i/>
          <w:color w:val="002060"/>
          <w:sz w:val="16"/>
          <w:szCs w:val="16"/>
        </w:rPr>
      </w:pPr>
    </w:p>
    <w:p w14:paraId="71CAD422" w14:textId="5289A457" w:rsidR="00B3239B" w:rsidRPr="00405303" w:rsidRDefault="00B3239B" w:rsidP="00C15251">
      <w:pPr>
        <w:jc w:val="both"/>
        <w:rPr>
          <w:bCs/>
          <w:color w:val="002060"/>
          <w:sz w:val="16"/>
          <w:szCs w:val="16"/>
        </w:rPr>
      </w:pPr>
      <w:r w:rsidRPr="00405303">
        <w:rPr>
          <w:bCs/>
          <w:color w:val="002060"/>
          <w:sz w:val="16"/>
          <w:szCs w:val="16"/>
        </w:rPr>
        <w:t>9 (22) января 1915 г. с германского аэроплана было сброшено две бомбы над г. Жирардов (царство Польское; ныне - г. Жирардув). В результате их разрывов 5 человек убито и несколько ранено (23405).</w:t>
      </w:r>
    </w:p>
    <w:p w14:paraId="0D391C55" w14:textId="77777777" w:rsidR="00B3239B" w:rsidRPr="00405303" w:rsidRDefault="00B3239B" w:rsidP="00C15251">
      <w:pPr>
        <w:jc w:val="both"/>
        <w:rPr>
          <w:bCs/>
          <w:color w:val="002060"/>
          <w:sz w:val="16"/>
          <w:szCs w:val="16"/>
        </w:rPr>
      </w:pPr>
    </w:p>
    <w:p w14:paraId="193F2428" w14:textId="5DA61AAE" w:rsidR="00275354" w:rsidRPr="00405303" w:rsidRDefault="00275354" w:rsidP="00C15251">
      <w:pPr>
        <w:jc w:val="both"/>
        <w:rPr>
          <w:bCs/>
          <w:color w:val="002060"/>
          <w:sz w:val="16"/>
          <w:szCs w:val="16"/>
        </w:rPr>
      </w:pPr>
      <w:r w:rsidRPr="00405303">
        <w:rPr>
          <w:bCs/>
          <w:color w:val="002060"/>
          <w:sz w:val="16"/>
          <w:szCs w:val="16"/>
        </w:rPr>
        <w:lastRenderedPageBreak/>
        <w:t xml:space="preserve">9 </w:t>
      </w:r>
      <w:r w:rsidR="000C6426" w:rsidRPr="00405303">
        <w:rPr>
          <w:bCs/>
          <w:color w:val="002060"/>
          <w:sz w:val="16"/>
          <w:szCs w:val="16"/>
        </w:rPr>
        <w:t xml:space="preserve">(22) </w:t>
      </w:r>
      <w:r w:rsidRPr="00405303">
        <w:rPr>
          <w:bCs/>
          <w:color w:val="002060"/>
          <w:sz w:val="16"/>
          <w:szCs w:val="16"/>
        </w:rPr>
        <w:t>января 1915 г. ГВТУ предложило сформировать пять-восемь подвижных мастерских-поездов «с летучими» автомобильно-авиационными отделениями. Данное предложение вызвало в ГУ ГШ вопрос, будут ли эти мастерские-поезда подчиняться начальникам инженерных снабжений фронтов, или непосредственно Великому князю, как, например, ПАРМ-п Ф.Ф. Терещенко? Что ответил Александр Михайлович на этот вопрос пока обнаружить не удалось. Однако впоследствии от совместного ремонта самолетов и автомобилей отказались, и пять автомобильноавиационных мастерских стали выполнять только ремонт автомобилей. Ремонт авиатехники был возложен на шесть авиарот и две вышеупомянутые ПАРМ-п (19566).</w:t>
      </w:r>
    </w:p>
    <w:p w14:paraId="265AD645" w14:textId="77777777" w:rsidR="00275354" w:rsidRPr="00405303" w:rsidRDefault="00275354" w:rsidP="00C15251">
      <w:pPr>
        <w:jc w:val="both"/>
        <w:rPr>
          <w:bCs/>
          <w:color w:val="002060"/>
          <w:sz w:val="16"/>
          <w:szCs w:val="16"/>
        </w:rPr>
      </w:pPr>
    </w:p>
    <w:p w14:paraId="05DAD057" w14:textId="5AD002E7" w:rsidR="004B4E35" w:rsidRPr="00405303" w:rsidRDefault="009E6F82" w:rsidP="00C15251">
      <w:pPr>
        <w:jc w:val="both"/>
        <w:rPr>
          <w:bCs/>
          <w:color w:val="002060"/>
          <w:sz w:val="16"/>
          <w:szCs w:val="16"/>
        </w:rPr>
      </w:pPr>
      <w:r w:rsidRPr="00405303">
        <w:rPr>
          <w:bCs/>
          <w:color w:val="002060"/>
          <w:sz w:val="16"/>
          <w:szCs w:val="16"/>
        </w:rPr>
        <w:t>9 (22) января 1915</w:t>
      </w:r>
      <w:r w:rsidR="000C6426" w:rsidRPr="00405303">
        <w:rPr>
          <w:bCs/>
          <w:color w:val="002060"/>
          <w:sz w:val="16"/>
          <w:szCs w:val="16"/>
        </w:rPr>
        <w:t xml:space="preserve"> г.</w:t>
      </w:r>
      <w:r w:rsidRPr="00405303">
        <w:rPr>
          <w:bCs/>
          <w:color w:val="002060"/>
          <w:sz w:val="16"/>
          <w:szCs w:val="16"/>
        </w:rPr>
        <w:t xml:space="preserve"> Телеграмма командующего XVII армейского корпуса в штаб армии командующему авиадивизионом капитану Гончарову:</w:t>
      </w:r>
    </w:p>
    <w:p w14:paraId="367740B8" w14:textId="77777777" w:rsidR="004B4E35" w:rsidRPr="00405303" w:rsidRDefault="009E6F82" w:rsidP="00C15251">
      <w:pPr>
        <w:jc w:val="both"/>
        <w:rPr>
          <w:bCs/>
          <w:color w:val="002060"/>
          <w:sz w:val="16"/>
          <w:szCs w:val="16"/>
        </w:rPr>
      </w:pPr>
      <w:r w:rsidRPr="00405303">
        <w:rPr>
          <w:bCs/>
          <w:color w:val="002060"/>
          <w:sz w:val="16"/>
          <w:szCs w:val="16"/>
        </w:rPr>
        <w:t>"В районе Прусна Хрустовица и леса восточнее них установлены противником три батареи: одна из них - легкая и две - гаубичных; артиллеристы утверждают, что из последних одна - тяжелая. Этот район батарей трудно поддается подробной разведке, а, между тем, его огонь беспокоит наши войска у Чиркова Сениславице и может угрожать мостовой переправе через Вислу у нового Кирчина.</w:t>
      </w:r>
    </w:p>
    <w:p w14:paraId="17FAA5A4" w14:textId="77777777" w:rsidR="004B4E35" w:rsidRPr="00405303" w:rsidRDefault="009E6F82" w:rsidP="00C15251">
      <w:pPr>
        <w:jc w:val="both"/>
        <w:rPr>
          <w:bCs/>
          <w:color w:val="002060"/>
          <w:sz w:val="16"/>
          <w:szCs w:val="16"/>
        </w:rPr>
      </w:pPr>
      <w:r w:rsidRPr="00405303">
        <w:rPr>
          <w:bCs/>
          <w:color w:val="002060"/>
          <w:sz w:val="16"/>
          <w:szCs w:val="16"/>
        </w:rPr>
        <w:t>Выявлению положения этих батарей, особенно их наблюдательных пунктов, придаю важное значение. Знаю, что точно с аэроплана указать их трудно, однако задачу разведки можно облегчить следующим образом:</w:t>
      </w:r>
    </w:p>
    <w:p w14:paraId="05B15368" w14:textId="77777777" w:rsidR="004B4E35" w:rsidRPr="00405303" w:rsidRDefault="009E6F82" w:rsidP="00C15251">
      <w:pPr>
        <w:jc w:val="both"/>
        <w:rPr>
          <w:bCs/>
          <w:color w:val="002060"/>
          <w:sz w:val="16"/>
          <w:szCs w:val="16"/>
        </w:rPr>
      </w:pPr>
      <w:r w:rsidRPr="00405303">
        <w:rPr>
          <w:bCs/>
          <w:color w:val="002060"/>
          <w:sz w:val="16"/>
          <w:szCs w:val="16"/>
        </w:rPr>
        <w:t xml:space="preserve">1) летчик, обследуя этот район и заметив наблюдательный пункт или батарею, выбрасывает над ними красного цвета бумажную ленту с грузом, на которую артиллеристы берут засечку, определяя потом по этим засечкам и своим разведкам положение наблюдаемого летчиком пункта или батареи. Чем больше он выбросит лент, тем работа будет точнее, желательно не менее трех, этим определяется первая артиллерийская задача; </w:t>
      </w:r>
    </w:p>
    <w:p w14:paraId="7ED9738D" w14:textId="77777777" w:rsidR="004B4E35" w:rsidRPr="00405303" w:rsidRDefault="009E6F82" w:rsidP="00C15251">
      <w:pPr>
        <w:jc w:val="both"/>
        <w:rPr>
          <w:bCs/>
          <w:color w:val="002060"/>
          <w:sz w:val="16"/>
          <w:szCs w:val="16"/>
        </w:rPr>
      </w:pPr>
      <w:r w:rsidRPr="00405303">
        <w:rPr>
          <w:bCs/>
          <w:color w:val="002060"/>
          <w:sz w:val="16"/>
          <w:szCs w:val="16"/>
        </w:rPr>
        <w:t>2) артиллерийской задачей летчику следует определить место нахождения артиллерийского конского состава в деревнях или укреплениях, уничтожение которых является существенным. Я предпочел бы это сделать раньше, чем обстреливание батарей и наблюдательных пунктов, для воспрепятствования передвижению артиллерийских частей противника. Вместо ленты можно выбрасывать медленно горящие магниевые составы, обыкновенно хорошо днем наблюдаемые. Если летчик выполнит эти указания, то очень поможет разведке и после этого уже можно будет дать ему другие задачи. О времени полета необходимо меня предупредить за несколько часов.</w:t>
      </w:r>
    </w:p>
    <w:p w14:paraId="7732DFF4" w14:textId="77777777" w:rsidR="004B4E35" w:rsidRPr="00405303" w:rsidRDefault="009E6F82" w:rsidP="00C15251">
      <w:pPr>
        <w:jc w:val="both"/>
        <w:rPr>
          <w:bCs/>
          <w:color w:val="002060"/>
          <w:sz w:val="16"/>
          <w:szCs w:val="16"/>
        </w:rPr>
      </w:pPr>
      <w:r w:rsidRPr="00405303">
        <w:rPr>
          <w:bCs/>
          <w:color w:val="002060"/>
          <w:sz w:val="16"/>
          <w:szCs w:val="16"/>
        </w:rPr>
        <w:t>Генерал-лейтенант Будатов" (11999).</w:t>
      </w:r>
    </w:p>
    <w:p w14:paraId="75C69E08" w14:textId="77777777" w:rsidR="004B4E35" w:rsidRPr="00405303" w:rsidRDefault="004B4E35" w:rsidP="00C15251">
      <w:pPr>
        <w:jc w:val="both"/>
        <w:rPr>
          <w:bCs/>
          <w:color w:val="002060"/>
          <w:sz w:val="16"/>
          <w:szCs w:val="16"/>
        </w:rPr>
      </w:pPr>
    </w:p>
    <w:p w14:paraId="5FA985A0"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05783A8C" w14:textId="77777777" w:rsidR="004B4E35" w:rsidRPr="00405303" w:rsidRDefault="004B4E35" w:rsidP="00C15251">
      <w:pPr>
        <w:shd w:val="clear" w:color="auto" w:fill="FFFFFF"/>
        <w:jc w:val="both"/>
        <w:rPr>
          <w:bCs/>
          <w:i/>
          <w:color w:val="002060"/>
          <w:sz w:val="16"/>
          <w:szCs w:val="16"/>
        </w:rPr>
      </w:pPr>
    </w:p>
    <w:p w14:paraId="706AC427" w14:textId="0196A447" w:rsidR="004B4E35" w:rsidRPr="00405303" w:rsidRDefault="009E6F82" w:rsidP="00C15251">
      <w:pPr>
        <w:jc w:val="both"/>
        <w:rPr>
          <w:bCs/>
          <w:color w:val="002060"/>
          <w:sz w:val="16"/>
          <w:szCs w:val="16"/>
        </w:rPr>
      </w:pPr>
      <w:r w:rsidRPr="00405303">
        <w:rPr>
          <w:bCs/>
          <w:color w:val="002060"/>
          <w:sz w:val="16"/>
          <w:szCs w:val="16"/>
        </w:rPr>
        <w:t xml:space="preserve">9 </w:t>
      </w:r>
      <w:r w:rsidR="000C6426" w:rsidRPr="00405303">
        <w:rPr>
          <w:bCs/>
          <w:color w:val="002060"/>
          <w:sz w:val="16"/>
          <w:szCs w:val="16"/>
        </w:rPr>
        <w:t xml:space="preserve">(22) </w:t>
      </w:r>
      <w:r w:rsidRPr="00405303">
        <w:rPr>
          <w:bCs/>
          <w:color w:val="002060"/>
          <w:sz w:val="16"/>
          <w:szCs w:val="16"/>
        </w:rPr>
        <w:t xml:space="preserve">января 1915 года командующий МСБМ адмирал Н.О.Эссен обратился к морскому министру адмиралу И.К.Григоровичу с предложением оборудовать для целей воздушной разведки специальное «авиационное судно» — вспомогательный крейсер, который должен нести на себе, в полной готовности к спуску на воду, авиационный отряд. Поскольку из-за начала военных действий проектирование П.А.Шишковым специального «авиационного крейсера» прекратилось, не могло быть и речи о постройке нового корабля. </w:t>
      </w:r>
    </w:p>
    <w:p w14:paraId="4AF40E51" w14:textId="77777777" w:rsidR="004B4E35" w:rsidRPr="00405303" w:rsidRDefault="009E6F82" w:rsidP="00C15251">
      <w:pPr>
        <w:jc w:val="both"/>
        <w:rPr>
          <w:bCs/>
          <w:color w:val="002060"/>
          <w:sz w:val="16"/>
          <w:szCs w:val="16"/>
        </w:rPr>
      </w:pPr>
      <w:r w:rsidRPr="00405303">
        <w:rPr>
          <w:bCs/>
          <w:color w:val="002060"/>
          <w:sz w:val="16"/>
          <w:szCs w:val="16"/>
        </w:rPr>
        <w:t>После осмотра, по приказанию Н.О.Эссена, специалистами авиационного комитета Службы связи судов, находившихся в портах Балтийского моря, наиболее удобным для переоборудования, с наименьшими затратами времени и средств, оказался пароход «Императрица Александра» рижской судоходной компании «Гельмсинг и Гримм». До войны это грузопассажирское судно с рефрижераторными помещениями для перевозки скоропортящихся грузов обслуживало «Санкт-Петербургскую экспрессную линию» («St.Petersburg Express Line») и совершало регулярные рейсы на Лондон (11333).</w:t>
      </w:r>
    </w:p>
    <w:p w14:paraId="0FD626E6" w14:textId="77777777" w:rsidR="004B4E35" w:rsidRPr="00405303" w:rsidRDefault="004B4E35" w:rsidP="00C15251">
      <w:pPr>
        <w:jc w:val="both"/>
        <w:rPr>
          <w:bCs/>
          <w:i/>
          <w:color w:val="002060"/>
          <w:sz w:val="16"/>
          <w:szCs w:val="16"/>
        </w:rPr>
      </w:pPr>
    </w:p>
    <w:p w14:paraId="1348C788" w14:textId="2C5A6100" w:rsidR="008C59DD" w:rsidRPr="00405303" w:rsidRDefault="008C59DD" w:rsidP="00C15251">
      <w:pPr>
        <w:jc w:val="both"/>
        <w:rPr>
          <w:bCs/>
          <w:i/>
          <w:color w:val="002060"/>
          <w:sz w:val="16"/>
          <w:szCs w:val="16"/>
        </w:rPr>
      </w:pPr>
      <w:r w:rsidRPr="00405303">
        <w:rPr>
          <w:bCs/>
          <w:i/>
          <w:color w:val="002060"/>
          <w:sz w:val="16"/>
          <w:szCs w:val="16"/>
        </w:rPr>
        <w:t>Авиация и воздухоплавание за рубежом:</w:t>
      </w:r>
    </w:p>
    <w:p w14:paraId="6A1B6C18" w14:textId="77777777" w:rsidR="008C59DD" w:rsidRPr="00405303" w:rsidRDefault="008C59DD" w:rsidP="00C15251">
      <w:pPr>
        <w:jc w:val="both"/>
        <w:rPr>
          <w:bCs/>
          <w:i/>
          <w:color w:val="002060"/>
          <w:sz w:val="16"/>
          <w:szCs w:val="16"/>
        </w:rPr>
      </w:pPr>
    </w:p>
    <w:p w14:paraId="275A0E2E" w14:textId="77777777" w:rsidR="008C59DD" w:rsidRPr="00405303" w:rsidRDefault="008C59DD" w:rsidP="00C15251">
      <w:pPr>
        <w:jc w:val="both"/>
        <w:rPr>
          <w:bCs/>
          <w:color w:val="002060"/>
          <w:sz w:val="16"/>
          <w:szCs w:val="16"/>
        </w:rPr>
      </w:pPr>
      <w:r w:rsidRPr="00405303">
        <w:rPr>
          <w:rStyle w:val="42"/>
          <w:rFonts w:ascii="Times New Roman" w:hAnsi="Times New Roman" w:cs="Times New Roman"/>
          <w:bCs/>
          <w:color w:val="002060"/>
          <w:w w:val="100"/>
          <w:sz w:val="16"/>
          <w:szCs w:val="16"/>
        </w:rPr>
        <w:t>9 (22) января 1915 г. австрийская разведка забросила в русские окопы, в том чис</w:t>
      </w:r>
      <w:r w:rsidRPr="00405303">
        <w:rPr>
          <w:rStyle w:val="42"/>
          <w:rFonts w:ascii="Times New Roman" w:hAnsi="Times New Roman" w:cs="Times New Roman"/>
          <w:bCs/>
          <w:color w:val="002060"/>
          <w:w w:val="100"/>
          <w:sz w:val="16"/>
          <w:szCs w:val="16"/>
        </w:rPr>
        <w:softHyphen/>
        <w:t>ле и при помощи малых аэростатов, до 50 тыс. листовок с воззванием в годовщину «Кровавого воскресенья» от имени мифической «Русской на</w:t>
      </w:r>
      <w:r w:rsidRPr="00405303">
        <w:rPr>
          <w:rStyle w:val="42"/>
          <w:rFonts w:ascii="Times New Roman" w:hAnsi="Times New Roman" w:cs="Times New Roman"/>
          <w:bCs/>
          <w:color w:val="002060"/>
          <w:w w:val="100"/>
          <w:sz w:val="16"/>
          <w:szCs w:val="16"/>
        </w:rPr>
        <w:softHyphen/>
        <w:t>родной организации в Женеве». Позднее для до</w:t>
      </w:r>
      <w:r w:rsidRPr="00405303">
        <w:rPr>
          <w:rStyle w:val="42"/>
          <w:rFonts w:ascii="Times New Roman" w:hAnsi="Times New Roman" w:cs="Times New Roman"/>
          <w:bCs/>
          <w:color w:val="002060"/>
          <w:w w:val="100"/>
          <w:sz w:val="16"/>
          <w:szCs w:val="16"/>
        </w:rPr>
        <w:softHyphen/>
        <w:t>ставки пропагандистских изданий применялись и небольшие монгольфьеры (20120).</w:t>
      </w:r>
    </w:p>
    <w:p w14:paraId="44DED4B3" w14:textId="77777777" w:rsidR="008C59DD" w:rsidRPr="00405303" w:rsidRDefault="008C59DD" w:rsidP="00C15251">
      <w:pPr>
        <w:jc w:val="both"/>
        <w:rPr>
          <w:bCs/>
          <w:color w:val="002060"/>
          <w:sz w:val="16"/>
          <w:szCs w:val="16"/>
        </w:rPr>
      </w:pPr>
    </w:p>
    <w:p w14:paraId="7935D422" w14:textId="041B4C5D" w:rsidR="00225457" w:rsidRPr="00405303" w:rsidRDefault="00225457" w:rsidP="00225457">
      <w:pPr>
        <w:jc w:val="both"/>
        <w:rPr>
          <w:bCs/>
          <w:i/>
          <w:color w:val="002060"/>
          <w:sz w:val="16"/>
          <w:szCs w:val="16"/>
        </w:rPr>
      </w:pPr>
      <w:r w:rsidRPr="00405303">
        <w:rPr>
          <w:bCs/>
          <w:i/>
          <w:color w:val="002060"/>
          <w:sz w:val="16"/>
          <w:szCs w:val="16"/>
        </w:rPr>
        <w:t>Самолетостроение:</w:t>
      </w:r>
    </w:p>
    <w:p w14:paraId="21181E34" w14:textId="77777777" w:rsidR="00225457" w:rsidRPr="00405303" w:rsidRDefault="00225457" w:rsidP="00225457">
      <w:pPr>
        <w:jc w:val="both"/>
        <w:rPr>
          <w:bCs/>
          <w:i/>
          <w:color w:val="002060"/>
          <w:sz w:val="16"/>
          <w:szCs w:val="16"/>
        </w:rPr>
      </w:pPr>
    </w:p>
    <w:p w14:paraId="3C96CCEB" w14:textId="77777777" w:rsidR="00225457" w:rsidRPr="00405303" w:rsidRDefault="00225457" w:rsidP="00225457">
      <w:pPr>
        <w:jc w:val="both"/>
        <w:rPr>
          <w:color w:val="0070C0"/>
          <w:sz w:val="16"/>
          <w:szCs w:val="16"/>
        </w:rPr>
      </w:pPr>
      <w:r w:rsidRPr="00405303">
        <w:rPr>
          <w:color w:val="0070C0"/>
          <w:sz w:val="16"/>
          <w:szCs w:val="16"/>
        </w:rPr>
        <w:t>10 и 24 января (23 января – 6 февраля) 1915 года</w:t>
      </w:r>
      <w:r w:rsidRPr="00405303">
        <w:rPr>
          <w:rFonts w:eastAsia="Cambria"/>
          <w:color w:val="0070C0"/>
          <w:sz w:val="16"/>
          <w:szCs w:val="16"/>
        </w:rPr>
        <w:t xml:space="preserve"> были наряды на самолеты</w:t>
      </w:r>
    </w:p>
    <w:tbl>
      <w:tblPr>
        <w:tblOverlap w:val="never"/>
        <w:tblW w:w="0" w:type="auto"/>
        <w:tblLayout w:type="fixed"/>
        <w:tblCellMar>
          <w:left w:w="10" w:type="dxa"/>
          <w:right w:w="10" w:type="dxa"/>
        </w:tblCellMar>
        <w:tblLook w:val="0000" w:firstRow="0" w:lastRow="0" w:firstColumn="0" w:lastColumn="0" w:noHBand="0" w:noVBand="0"/>
      </w:tblPr>
      <w:tblGrid>
        <w:gridCol w:w="2621"/>
        <w:gridCol w:w="2496"/>
        <w:gridCol w:w="1051"/>
      </w:tblGrid>
      <w:tr w:rsidR="00225457" w:rsidRPr="00405303" w14:paraId="69495E74" w14:textId="77777777" w:rsidTr="00225457">
        <w:trPr>
          <w:trHeight w:hRule="exact" w:val="557"/>
        </w:trPr>
        <w:tc>
          <w:tcPr>
            <w:tcW w:w="2621" w:type="dxa"/>
            <w:tcBorders>
              <w:top w:val="single" w:sz="4" w:space="0" w:color="auto"/>
            </w:tcBorders>
            <w:shd w:val="clear" w:color="auto" w:fill="FFFFFF"/>
            <w:vAlign w:val="center"/>
          </w:tcPr>
          <w:p w14:paraId="00402832" w14:textId="77777777" w:rsidR="00225457" w:rsidRPr="00405303" w:rsidRDefault="00225457" w:rsidP="00225457">
            <w:pPr>
              <w:jc w:val="both"/>
              <w:rPr>
                <w:color w:val="0070C0"/>
                <w:sz w:val="16"/>
                <w:szCs w:val="16"/>
              </w:rPr>
            </w:pPr>
            <w:r w:rsidRPr="00405303">
              <w:rPr>
                <w:color w:val="0070C0"/>
                <w:sz w:val="16"/>
                <w:szCs w:val="16"/>
              </w:rPr>
              <w:t>Завод.</w:t>
            </w:r>
          </w:p>
        </w:tc>
        <w:tc>
          <w:tcPr>
            <w:tcW w:w="2496" w:type="dxa"/>
            <w:tcBorders>
              <w:top w:val="single" w:sz="4" w:space="0" w:color="auto"/>
            </w:tcBorders>
            <w:shd w:val="clear" w:color="auto" w:fill="FFFFFF"/>
            <w:vAlign w:val="center"/>
          </w:tcPr>
          <w:p w14:paraId="3852AAF4" w14:textId="77777777" w:rsidR="00225457" w:rsidRPr="00405303" w:rsidRDefault="00225457" w:rsidP="00225457">
            <w:pPr>
              <w:jc w:val="both"/>
              <w:rPr>
                <w:color w:val="0070C0"/>
                <w:sz w:val="16"/>
                <w:szCs w:val="16"/>
              </w:rPr>
            </w:pPr>
            <w:r w:rsidRPr="00405303">
              <w:rPr>
                <w:color w:val="0070C0"/>
                <w:sz w:val="16"/>
                <w:szCs w:val="16"/>
              </w:rPr>
              <w:t>Система.</w:t>
            </w:r>
          </w:p>
        </w:tc>
        <w:tc>
          <w:tcPr>
            <w:tcW w:w="1051" w:type="dxa"/>
            <w:tcBorders>
              <w:top w:val="single" w:sz="4" w:space="0" w:color="auto"/>
              <w:left w:val="single" w:sz="4" w:space="0" w:color="auto"/>
            </w:tcBorders>
            <w:shd w:val="clear" w:color="auto" w:fill="FFFFFF"/>
            <w:vAlign w:val="center"/>
          </w:tcPr>
          <w:p w14:paraId="56753399" w14:textId="77777777" w:rsidR="00225457" w:rsidRPr="00405303" w:rsidRDefault="00225457" w:rsidP="00225457">
            <w:pPr>
              <w:jc w:val="both"/>
              <w:rPr>
                <w:color w:val="0070C0"/>
                <w:sz w:val="16"/>
                <w:szCs w:val="16"/>
              </w:rPr>
            </w:pPr>
            <w:r w:rsidRPr="00405303">
              <w:rPr>
                <w:color w:val="0070C0"/>
                <w:sz w:val="16"/>
                <w:szCs w:val="16"/>
              </w:rPr>
              <w:t>Количество.</w:t>
            </w:r>
          </w:p>
        </w:tc>
      </w:tr>
      <w:tr w:rsidR="00225457" w:rsidRPr="00405303" w14:paraId="05BD755F" w14:textId="77777777" w:rsidTr="00225457">
        <w:trPr>
          <w:trHeight w:hRule="exact" w:val="2112"/>
        </w:trPr>
        <w:tc>
          <w:tcPr>
            <w:tcW w:w="2621" w:type="dxa"/>
            <w:tcBorders>
              <w:top w:val="single" w:sz="4" w:space="0" w:color="auto"/>
            </w:tcBorders>
            <w:shd w:val="clear" w:color="auto" w:fill="FFFFFF"/>
            <w:vAlign w:val="center"/>
          </w:tcPr>
          <w:p w14:paraId="7D63D4CB" w14:textId="77777777" w:rsidR="00225457" w:rsidRPr="00405303" w:rsidRDefault="00225457" w:rsidP="00225457">
            <w:pPr>
              <w:jc w:val="both"/>
              <w:rPr>
                <w:color w:val="0070C0"/>
                <w:sz w:val="16"/>
                <w:szCs w:val="16"/>
              </w:rPr>
            </w:pPr>
            <w:r w:rsidRPr="00405303">
              <w:rPr>
                <w:color w:val="0070C0"/>
                <w:sz w:val="16"/>
                <w:szCs w:val="16"/>
              </w:rPr>
              <w:t>Лебедев (в Петрограде)</w:t>
            </w:r>
          </w:p>
          <w:p w14:paraId="3EB97B3B" w14:textId="79E75CD7" w:rsidR="00225457" w:rsidRPr="00405303" w:rsidRDefault="00225457" w:rsidP="00225457">
            <w:pPr>
              <w:jc w:val="both"/>
              <w:rPr>
                <w:color w:val="0070C0"/>
                <w:sz w:val="16"/>
                <w:szCs w:val="16"/>
              </w:rPr>
            </w:pPr>
            <w:r w:rsidRPr="00405303">
              <w:rPr>
                <w:color w:val="0070C0"/>
                <w:sz w:val="16"/>
                <w:szCs w:val="16"/>
              </w:rPr>
              <w:t>.... Щетинин (в Петрограде) . . .</w:t>
            </w:r>
          </w:p>
          <w:p w14:paraId="6CB96045" w14:textId="77777777" w:rsidR="00225457" w:rsidRPr="00405303" w:rsidRDefault="00225457" w:rsidP="00225457">
            <w:pPr>
              <w:jc w:val="both"/>
              <w:rPr>
                <w:color w:val="0070C0"/>
                <w:sz w:val="16"/>
                <w:szCs w:val="16"/>
              </w:rPr>
            </w:pPr>
            <w:r w:rsidRPr="00405303">
              <w:rPr>
                <w:color w:val="0070C0"/>
                <w:sz w:val="16"/>
                <w:szCs w:val="16"/>
              </w:rPr>
              <w:t>Дуке (в Москве)</w:t>
            </w:r>
            <w:r w:rsidRPr="00405303">
              <w:rPr>
                <w:color w:val="0070C0"/>
                <w:sz w:val="16"/>
                <w:szCs w:val="16"/>
              </w:rPr>
              <w:tab/>
            </w:r>
          </w:p>
          <w:p w14:paraId="1EAF2F1B" w14:textId="77777777" w:rsidR="00225457" w:rsidRPr="00405303" w:rsidRDefault="00225457" w:rsidP="00225457">
            <w:pPr>
              <w:jc w:val="both"/>
              <w:rPr>
                <w:color w:val="0070C0"/>
                <w:sz w:val="16"/>
                <w:szCs w:val="16"/>
              </w:rPr>
            </w:pPr>
            <w:r w:rsidRPr="00405303">
              <w:rPr>
                <w:color w:val="0070C0"/>
                <w:sz w:val="16"/>
                <w:szCs w:val="16"/>
              </w:rPr>
              <w:t xml:space="preserve">Анатра (в Одессе) </w:t>
            </w:r>
            <w:r w:rsidRPr="00405303">
              <w:rPr>
                <w:color w:val="0070C0"/>
                <w:sz w:val="16"/>
                <w:szCs w:val="16"/>
              </w:rPr>
              <w:tab/>
            </w:r>
            <w:r w:rsidRPr="00405303">
              <w:rPr>
                <w:color w:val="0070C0"/>
                <w:sz w:val="16"/>
                <w:szCs w:val="16"/>
              </w:rPr>
              <w:tab/>
            </w:r>
          </w:p>
        </w:tc>
        <w:tc>
          <w:tcPr>
            <w:tcW w:w="2496" w:type="dxa"/>
            <w:tcBorders>
              <w:top w:val="single" w:sz="4" w:space="0" w:color="auto"/>
              <w:left w:val="single" w:sz="4" w:space="0" w:color="auto"/>
            </w:tcBorders>
            <w:shd w:val="clear" w:color="auto" w:fill="FFFFFF"/>
            <w:vAlign w:val="center"/>
          </w:tcPr>
          <w:p w14:paraId="575B5F9F" w14:textId="77777777" w:rsidR="00225457" w:rsidRPr="00405303" w:rsidRDefault="00225457" w:rsidP="00225457">
            <w:pPr>
              <w:jc w:val="both"/>
              <w:rPr>
                <w:color w:val="0070C0"/>
                <w:sz w:val="16"/>
                <w:szCs w:val="16"/>
              </w:rPr>
            </w:pPr>
          </w:p>
          <w:p w14:paraId="58415BE1" w14:textId="77777777" w:rsidR="00225457" w:rsidRPr="00405303" w:rsidRDefault="00225457" w:rsidP="00225457">
            <w:pPr>
              <w:jc w:val="both"/>
              <w:rPr>
                <w:color w:val="0070C0"/>
                <w:sz w:val="16"/>
                <w:szCs w:val="16"/>
              </w:rPr>
            </w:pPr>
          </w:p>
          <w:p w14:paraId="41AED1FC" w14:textId="67703F82" w:rsidR="00225457" w:rsidRPr="00405303" w:rsidRDefault="00225457" w:rsidP="00225457">
            <w:pPr>
              <w:jc w:val="both"/>
              <w:rPr>
                <w:color w:val="0070C0"/>
                <w:sz w:val="16"/>
                <w:szCs w:val="16"/>
              </w:rPr>
            </w:pPr>
            <w:r w:rsidRPr="00405303">
              <w:rPr>
                <w:color w:val="0070C0"/>
                <w:sz w:val="16"/>
                <w:szCs w:val="16"/>
              </w:rPr>
              <w:t xml:space="preserve">Вуазен </w:t>
            </w:r>
            <w:r w:rsidRPr="00405303">
              <w:rPr>
                <w:color w:val="0070C0"/>
                <w:sz w:val="16"/>
                <w:szCs w:val="16"/>
              </w:rPr>
              <w:tab/>
            </w:r>
          </w:p>
          <w:p w14:paraId="6ABA8CB5" w14:textId="77777777" w:rsidR="00225457" w:rsidRPr="00405303" w:rsidRDefault="00225457" w:rsidP="00225457">
            <w:pPr>
              <w:jc w:val="both"/>
              <w:rPr>
                <w:color w:val="0070C0"/>
                <w:sz w:val="16"/>
                <w:szCs w:val="16"/>
              </w:rPr>
            </w:pPr>
            <w:r w:rsidRPr="00405303">
              <w:rPr>
                <w:color w:val="0070C0"/>
                <w:sz w:val="16"/>
                <w:szCs w:val="16"/>
              </w:rPr>
              <w:t>Вуазен</w:t>
            </w:r>
            <w:r w:rsidRPr="00405303">
              <w:rPr>
                <w:color w:val="0070C0"/>
                <w:sz w:val="16"/>
                <w:szCs w:val="16"/>
              </w:rPr>
              <w:tab/>
            </w:r>
          </w:p>
          <w:p w14:paraId="11B4E5A1" w14:textId="77777777" w:rsidR="00225457" w:rsidRPr="00405303" w:rsidRDefault="00225457" w:rsidP="00225457">
            <w:pPr>
              <w:jc w:val="both"/>
              <w:rPr>
                <w:color w:val="0070C0"/>
                <w:sz w:val="16"/>
                <w:szCs w:val="16"/>
              </w:rPr>
            </w:pPr>
            <w:r w:rsidRPr="00405303">
              <w:rPr>
                <w:color w:val="0070C0"/>
                <w:sz w:val="16"/>
                <w:szCs w:val="16"/>
              </w:rPr>
              <w:t>Вуазен</w:t>
            </w:r>
            <w:r w:rsidRPr="00405303">
              <w:rPr>
                <w:color w:val="0070C0"/>
                <w:sz w:val="16"/>
                <w:szCs w:val="16"/>
              </w:rPr>
              <w:tab/>
            </w:r>
          </w:p>
          <w:p w14:paraId="63DA1E37" w14:textId="77777777" w:rsidR="00225457" w:rsidRPr="00405303" w:rsidRDefault="00225457" w:rsidP="00225457">
            <w:pPr>
              <w:jc w:val="both"/>
              <w:rPr>
                <w:color w:val="0070C0"/>
                <w:sz w:val="16"/>
                <w:szCs w:val="16"/>
              </w:rPr>
            </w:pPr>
            <w:r w:rsidRPr="00405303">
              <w:rPr>
                <w:color w:val="0070C0"/>
                <w:sz w:val="16"/>
                <w:szCs w:val="16"/>
              </w:rPr>
              <w:t>Ньюпор</w:t>
            </w:r>
            <w:r w:rsidRPr="00405303">
              <w:rPr>
                <w:color w:val="0070C0"/>
                <w:sz w:val="16"/>
                <w:szCs w:val="16"/>
              </w:rPr>
              <w:tab/>
            </w:r>
          </w:p>
          <w:p w14:paraId="41C5FDD2" w14:textId="77777777" w:rsidR="00225457" w:rsidRPr="00405303" w:rsidRDefault="00225457" w:rsidP="00225457">
            <w:pPr>
              <w:jc w:val="both"/>
              <w:rPr>
                <w:color w:val="0070C0"/>
                <w:sz w:val="16"/>
                <w:szCs w:val="16"/>
              </w:rPr>
            </w:pPr>
            <w:r w:rsidRPr="00405303">
              <w:rPr>
                <w:color w:val="0070C0"/>
                <w:sz w:val="16"/>
                <w:szCs w:val="16"/>
              </w:rPr>
              <w:t xml:space="preserve">Парасоль </w:t>
            </w:r>
            <w:r w:rsidRPr="00405303">
              <w:rPr>
                <w:color w:val="0070C0"/>
                <w:sz w:val="16"/>
                <w:szCs w:val="16"/>
              </w:rPr>
              <w:tab/>
            </w:r>
            <w:r w:rsidRPr="00405303">
              <w:rPr>
                <w:color w:val="0070C0"/>
                <w:sz w:val="16"/>
                <w:szCs w:val="16"/>
              </w:rPr>
              <w:tab/>
            </w:r>
          </w:p>
          <w:p w14:paraId="63A732F6" w14:textId="77777777" w:rsidR="00225457" w:rsidRPr="00405303" w:rsidRDefault="00225457" w:rsidP="00225457">
            <w:pPr>
              <w:jc w:val="both"/>
              <w:rPr>
                <w:color w:val="0070C0"/>
                <w:sz w:val="16"/>
                <w:szCs w:val="16"/>
              </w:rPr>
            </w:pPr>
            <w:r w:rsidRPr="00405303">
              <w:rPr>
                <w:color w:val="0070C0"/>
                <w:sz w:val="16"/>
                <w:szCs w:val="16"/>
              </w:rPr>
              <w:t xml:space="preserve">Вуазен . . . </w:t>
            </w:r>
            <w:r w:rsidRPr="00405303">
              <w:rPr>
                <w:color w:val="0070C0"/>
                <w:sz w:val="16"/>
                <w:szCs w:val="16"/>
              </w:rPr>
              <w:tab/>
            </w:r>
            <w:r w:rsidRPr="00405303">
              <w:rPr>
                <w:color w:val="0070C0"/>
                <w:sz w:val="16"/>
                <w:szCs w:val="16"/>
              </w:rPr>
              <w:tab/>
            </w:r>
          </w:p>
        </w:tc>
        <w:tc>
          <w:tcPr>
            <w:tcW w:w="1051" w:type="dxa"/>
            <w:tcBorders>
              <w:top w:val="single" w:sz="4" w:space="0" w:color="auto"/>
              <w:left w:val="single" w:sz="4" w:space="0" w:color="auto"/>
            </w:tcBorders>
            <w:shd w:val="clear" w:color="auto" w:fill="FFFFFF"/>
            <w:vAlign w:val="center"/>
          </w:tcPr>
          <w:p w14:paraId="5896D6F5" w14:textId="77777777" w:rsidR="00225457" w:rsidRPr="00405303" w:rsidRDefault="00225457" w:rsidP="00225457">
            <w:pPr>
              <w:jc w:val="both"/>
              <w:rPr>
                <w:color w:val="0070C0"/>
                <w:sz w:val="16"/>
                <w:szCs w:val="16"/>
              </w:rPr>
            </w:pPr>
          </w:p>
          <w:p w14:paraId="6E140DF4" w14:textId="77777777" w:rsidR="00225457" w:rsidRPr="00405303" w:rsidRDefault="00225457" w:rsidP="00225457">
            <w:pPr>
              <w:jc w:val="both"/>
              <w:rPr>
                <w:color w:val="0070C0"/>
                <w:sz w:val="16"/>
                <w:szCs w:val="16"/>
              </w:rPr>
            </w:pPr>
          </w:p>
          <w:p w14:paraId="205AE0C2" w14:textId="2DC15CDB" w:rsidR="00225457" w:rsidRPr="00405303" w:rsidRDefault="00225457" w:rsidP="00225457">
            <w:pPr>
              <w:jc w:val="both"/>
              <w:rPr>
                <w:color w:val="0070C0"/>
                <w:sz w:val="16"/>
                <w:szCs w:val="16"/>
              </w:rPr>
            </w:pPr>
            <w:r w:rsidRPr="00405303">
              <w:rPr>
                <w:color w:val="0070C0"/>
                <w:sz w:val="16"/>
                <w:szCs w:val="16"/>
              </w:rPr>
              <w:t>50</w:t>
            </w:r>
          </w:p>
          <w:p w14:paraId="596D40B3" w14:textId="77777777" w:rsidR="00225457" w:rsidRPr="00405303" w:rsidRDefault="00225457" w:rsidP="00225457">
            <w:pPr>
              <w:jc w:val="both"/>
              <w:rPr>
                <w:color w:val="0070C0"/>
                <w:sz w:val="16"/>
                <w:szCs w:val="16"/>
              </w:rPr>
            </w:pPr>
            <w:r w:rsidRPr="00405303">
              <w:rPr>
                <w:color w:val="0070C0"/>
                <w:sz w:val="16"/>
                <w:szCs w:val="16"/>
              </w:rPr>
              <w:t>50</w:t>
            </w:r>
          </w:p>
          <w:p w14:paraId="4F580524" w14:textId="77777777" w:rsidR="00225457" w:rsidRPr="00405303" w:rsidRDefault="00225457" w:rsidP="00225457">
            <w:pPr>
              <w:jc w:val="both"/>
              <w:rPr>
                <w:color w:val="0070C0"/>
                <w:sz w:val="16"/>
                <w:szCs w:val="16"/>
              </w:rPr>
            </w:pPr>
            <w:r w:rsidRPr="00405303">
              <w:rPr>
                <w:color w:val="0070C0"/>
                <w:sz w:val="16"/>
                <w:szCs w:val="16"/>
              </w:rPr>
              <w:t>50</w:t>
            </w:r>
          </w:p>
          <w:p w14:paraId="7ECA286A" w14:textId="77777777" w:rsidR="00225457" w:rsidRPr="00405303" w:rsidRDefault="00225457" w:rsidP="00225457">
            <w:pPr>
              <w:jc w:val="both"/>
              <w:rPr>
                <w:color w:val="0070C0"/>
                <w:sz w:val="16"/>
                <w:szCs w:val="16"/>
              </w:rPr>
            </w:pPr>
            <w:r w:rsidRPr="00405303">
              <w:rPr>
                <w:color w:val="0070C0"/>
                <w:sz w:val="16"/>
                <w:szCs w:val="16"/>
              </w:rPr>
              <w:t>60</w:t>
            </w:r>
          </w:p>
          <w:p w14:paraId="2C7D71C1" w14:textId="77777777" w:rsidR="00225457" w:rsidRPr="00405303" w:rsidRDefault="00225457" w:rsidP="00225457">
            <w:pPr>
              <w:jc w:val="both"/>
              <w:rPr>
                <w:color w:val="0070C0"/>
                <w:sz w:val="16"/>
                <w:szCs w:val="16"/>
              </w:rPr>
            </w:pPr>
            <w:r w:rsidRPr="00405303">
              <w:rPr>
                <w:color w:val="0070C0"/>
                <w:sz w:val="16"/>
                <w:szCs w:val="16"/>
              </w:rPr>
              <w:t>10</w:t>
            </w:r>
          </w:p>
          <w:p w14:paraId="6381CDB5" w14:textId="77777777" w:rsidR="00225457" w:rsidRPr="00405303" w:rsidRDefault="00225457" w:rsidP="00225457">
            <w:pPr>
              <w:jc w:val="both"/>
              <w:rPr>
                <w:color w:val="0070C0"/>
                <w:sz w:val="16"/>
                <w:szCs w:val="16"/>
              </w:rPr>
            </w:pPr>
            <w:r w:rsidRPr="00405303">
              <w:rPr>
                <w:color w:val="0070C0"/>
                <w:sz w:val="16"/>
                <w:szCs w:val="16"/>
              </w:rPr>
              <w:t>30</w:t>
            </w:r>
          </w:p>
        </w:tc>
      </w:tr>
    </w:tbl>
    <w:p w14:paraId="504C5E1B" w14:textId="77777777" w:rsidR="00225457" w:rsidRPr="00405303" w:rsidRDefault="00225457" w:rsidP="00225457">
      <w:pPr>
        <w:jc w:val="both"/>
        <w:rPr>
          <w:color w:val="0070C0"/>
          <w:sz w:val="16"/>
          <w:szCs w:val="16"/>
        </w:rPr>
      </w:pPr>
      <w:r w:rsidRPr="00405303">
        <w:rPr>
          <w:color w:val="0070C0"/>
          <w:sz w:val="16"/>
          <w:szCs w:val="16"/>
        </w:rPr>
        <w:t>Всего, таким образом, в эту заготовку было заказано 250 аэропланов. Сроки для поставки назначены были раз</w:t>
      </w:r>
      <w:r w:rsidRPr="00405303">
        <w:rPr>
          <w:color w:val="0070C0"/>
          <w:sz w:val="16"/>
          <w:szCs w:val="16"/>
        </w:rPr>
        <w:softHyphen/>
        <w:t>личные, с 10 мая по 31 декабря 1915 года (24923).</w:t>
      </w:r>
    </w:p>
    <w:p w14:paraId="1CC30C2D" w14:textId="77777777" w:rsidR="00225457" w:rsidRPr="00405303" w:rsidRDefault="00225457" w:rsidP="00225457">
      <w:pPr>
        <w:jc w:val="both"/>
        <w:rPr>
          <w:color w:val="0070C0"/>
          <w:sz w:val="16"/>
          <w:szCs w:val="16"/>
        </w:rPr>
      </w:pPr>
    </w:p>
    <w:p w14:paraId="259F077E"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60EF409E" w14:textId="77777777" w:rsidR="004B4E35" w:rsidRPr="00405303" w:rsidRDefault="004B4E35" w:rsidP="00C15251">
      <w:pPr>
        <w:jc w:val="both"/>
        <w:rPr>
          <w:bCs/>
          <w:i/>
          <w:color w:val="002060"/>
          <w:sz w:val="16"/>
          <w:szCs w:val="16"/>
        </w:rPr>
      </w:pPr>
    </w:p>
    <w:p w14:paraId="558ED10D" w14:textId="35900D2F" w:rsidR="004B4E35" w:rsidRPr="00405303" w:rsidRDefault="009E6F82" w:rsidP="00C15251">
      <w:pPr>
        <w:jc w:val="both"/>
        <w:rPr>
          <w:bCs/>
          <w:color w:val="002060"/>
          <w:sz w:val="16"/>
          <w:szCs w:val="16"/>
        </w:rPr>
      </w:pPr>
      <w:r w:rsidRPr="00405303">
        <w:rPr>
          <w:bCs/>
          <w:color w:val="002060"/>
          <w:sz w:val="16"/>
          <w:szCs w:val="16"/>
        </w:rPr>
        <w:t xml:space="preserve">10 (23) января 1915 года </w:t>
      </w:r>
      <w:r w:rsidR="000C6426" w:rsidRPr="00405303">
        <w:rPr>
          <w:bCs/>
          <w:color w:val="002060"/>
          <w:sz w:val="16"/>
          <w:szCs w:val="16"/>
        </w:rPr>
        <w:t xml:space="preserve">секретным приказом по 27-му армейскому корпусу </w:t>
      </w:r>
      <w:r w:rsidRPr="00405303">
        <w:rPr>
          <w:bCs/>
          <w:color w:val="002060"/>
          <w:sz w:val="16"/>
          <w:szCs w:val="16"/>
        </w:rPr>
        <w:t xml:space="preserve">общее руководство «борьбой с германскими аэропланами» </w:t>
      </w:r>
      <w:r w:rsidR="000C6426" w:rsidRPr="00405303">
        <w:rPr>
          <w:bCs/>
          <w:color w:val="002060"/>
          <w:sz w:val="16"/>
          <w:szCs w:val="16"/>
        </w:rPr>
        <w:t xml:space="preserve">в Варшаве </w:t>
      </w:r>
      <w:r w:rsidRPr="00405303">
        <w:rPr>
          <w:bCs/>
          <w:color w:val="002060"/>
          <w:sz w:val="16"/>
          <w:szCs w:val="16"/>
        </w:rPr>
        <w:t>поручалось командиру 2-й авиационной роты подполковнику Гинейко. Из 9-й бригады государственного ополчения в его распоряжение должны были поступить 10 «грамотных ратников с отличным зрением, умеющих читать карты, телеграфировать и хорошего поведения». Гииейко поручалось также совместно с полковником Глазковым «...установить согласованность в действиях авиационных отрядов и противоаэропланной артиллерии». О воздушной обстановке над Варшавой надлежало докладывать в штаб корпуса ежедневно к 6 часам вечера, а об экстренных происшествиях - немедленно.</w:t>
      </w:r>
      <w:r w:rsidR="000C6426" w:rsidRPr="00405303">
        <w:rPr>
          <w:bCs/>
          <w:color w:val="002060"/>
          <w:sz w:val="16"/>
          <w:szCs w:val="16"/>
        </w:rPr>
        <w:t xml:space="preserve"> Посты на подступах к городу были устроены первоначально в Вышеграде, Гройцах, Гура-Кальварии, на станциях Тересин и Старо-Радзивилов.</w:t>
      </w:r>
    </w:p>
    <w:p w14:paraId="62F6CFE3" w14:textId="77777777" w:rsidR="004B4E35" w:rsidRPr="00405303" w:rsidRDefault="004B4E35" w:rsidP="00C15251">
      <w:pPr>
        <w:jc w:val="both"/>
        <w:rPr>
          <w:bCs/>
          <w:i/>
          <w:color w:val="002060"/>
          <w:sz w:val="16"/>
          <w:szCs w:val="16"/>
        </w:rPr>
      </w:pPr>
    </w:p>
    <w:p w14:paraId="31923472" w14:textId="77777777" w:rsidR="004B4E35" w:rsidRPr="00405303" w:rsidRDefault="009E6F82" w:rsidP="00C15251">
      <w:pPr>
        <w:jc w:val="both"/>
        <w:rPr>
          <w:bCs/>
          <w:i/>
          <w:color w:val="002060"/>
          <w:sz w:val="16"/>
          <w:szCs w:val="16"/>
        </w:rPr>
      </w:pPr>
      <w:r w:rsidRPr="00405303">
        <w:rPr>
          <w:bCs/>
          <w:i/>
          <w:color w:val="002060"/>
          <w:sz w:val="16"/>
          <w:szCs w:val="16"/>
        </w:rPr>
        <w:t>Армия:</w:t>
      </w:r>
    </w:p>
    <w:p w14:paraId="50F2D25A" w14:textId="77777777" w:rsidR="004B4E35" w:rsidRPr="00405303" w:rsidRDefault="004B4E35" w:rsidP="00C15251">
      <w:pPr>
        <w:jc w:val="both"/>
        <w:rPr>
          <w:bCs/>
          <w:i/>
          <w:color w:val="002060"/>
          <w:sz w:val="16"/>
          <w:szCs w:val="16"/>
        </w:rPr>
      </w:pPr>
    </w:p>
    <w:p w14:paraId="17197C07" w14:textId="71399B56"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lastRenderedPageBreak/>
        <w:t xml:space="preserve">10 (23) января 1915 г. </w:t>
      </w:r>
      <w:r w:rsidR="000C6426" w:rsidRPr="00405303">
        <w:rPr>
          <w:bCs/>
          <w:i w:val="0"/>
          <w:color w:val="002060"/>
          <w:spacing w:val="0"/>
          <w:kern w:val="0"/>
          <w:position w:val="0"/>
          <w:sz w:val="16"/>
          <w:szCs w:val="16"/>
        </w:rPr>
        <w:t xml:space="preserve">По предписанию ГАУ </w:t>
      </w:r>
      <w:r w:rsidRPr="00405303">
        <w:rPr>
          <w:bCs/>
          <w:i w:val="0"/>
          <w:color w:val="002060"/>
          <w:spacing w:val="0"/>
          <w:kern w:val="0"/>
          <w:position w:val="0"/>
          <w:sz w:val="16"/>
          <w:szCs w:val="16"/>
        </w:rPr>
        <w:t xml:space="preserve">№ 348, секр., все артиллерийское имущество, необходимое для Юго-западного фронта, направлялось из внутренних округов в Киевский артсклад, хотя бы оно и не предназначалось для этого склада. На основании приказа главначснаба Юго-западного фронта (от 20 мая 1915 г. № 355), все главнейшие предметы артиллерии, как требующие исправле-ния или замены, так и негодные, должны были сдаваться также в Киевский артсклад, причем начальник склада по приеме неисправных предметов обязан был сортировать их и передавать в Киевский арсенал или в подвижные починочные мастерские. В тот же склад направлялось имущество при эвакуации Галиции и наших западных губерний, и не только такое, как трофейное или собранное с полей сражения, но и не имеющее прямого отношения к артиллерии, как-то: колокола церковная утварь, лом меди, станки и пр. В результате этого нелепого направления встречных потоков артимущества "все дворы проходы и даже прилежащие к складу пустыри буквально были загромождены разным имуществом, разбросанным в хаотическом беспорядке". </w:t>
      </w:r>
    </w:p>
    <w:p w14:paraId="47B7D84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 громадном объеме работы склада можно судить по числу нарядов, выполненных за год войны только одним отделом ручного оружия: 1294 приходных наряда от 1958 войсковых частей и 1406 расходных нарядов, по которым было отпущено 2.389 войсковым частям. В отделе огнеприпасов за год вой ны было снаряжено 60 местных парков и ежедневно очищалось до 220.000 винтовочных патронов, собранных с по лей сражения. В мастерской отдела ручного оружия было отложено 124575 винтовок и приведено в исправность до 200.000 винтовок; ею же было подготовлено 48 оружейников, отправленных в части различных военных округов. Все эти работы, конечно, не могли быть выполнены личным </w:t>
      </w:r>
      <w:proofErr w:type="gramStart"/>
      <w:r w:rsidRPr="00405303">
        <w:rPr>
          <w:bCs/>
          <w:i w:val="0"/>
          <w:color w:val="002060"/>
          <w:spacing w:val="0"/>
          <w:kern w:val="0"/>
          <w:position w:val="0"/>
          <w:sz w:val="16"/>
          <w:szCs w:val="16"/>
        </w:rPr>
        <w:t>со-ставом</w:t>
      </w:r>
      <w:proofErr w:type="gramEnd"/>
      <w:r w:rsidRPr="00405303">
        <w:rPr>
          <w:bCs/>
          <w:i w:val="0"/>
          <w:color w:val="002060"/>
          <w:spacing w:val="0"/>
          <w:kern w:val="0"/>
          <w:position w:val="0"/>
          <w:sz w:val="16"/>
          <w:szCs w:val="16"/>
        </w:rPr>
        <w:t xml:space="preserve"> склада и к одному только отделу огнеприпасов было прикомандировано более 30 офицеров и классных чиновников и 1.800 солдат. </w:t>
      </w:r>
    </w:p>
    <w:p w14:paraId="72F2184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Генерал-инспектор считал необходимым усилить штат Киевского артсклада, избавить склад от непроизводительных переотправок имущества, упростить порядок делопроизводства и отчетности, установив систему талонов и т. д., разгрузить склад передачей части имущества в другие склады и т. д. </w:t>
      </w:r>
    </w:p>
    <w:p w14:paraId="4C9A43D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Не лучше обстояло дело в Киевском арсенале. "Наряды фронта, по большей части срочные, были столь многочисленны и разнообразны, что в Киевском арсенале была совершенно нарушена планомерность в работах". Перечень этих нарядов, данных только до конца июля 1915 г., занимал более 200 страниц. Почти все, что случайно не оказывалось в запасах фронта, "заказывалось арсеналу"... При таких условиях Киевский арсенал, несмотря на полную интенсивность работ (в кузнечной мастерской работали 24 часа в 3 смены, в остальных мастерских в 2 смены, по 11 часов каждая), не в состоянии был выполнять срочные наряды ГАУ, тогда как некоторые из них имели несравненно более серьезное значение, чем наряды фронта. </w:t>
      </w:r>
    </w:p>
    <w:p w14:paraId="552A810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Необходимо было осторожнее относиться к даче нарядов арсеналу от фронта, как </w:t>
      </w:r>
      <w:proofErr w:type="gramStart"/>
      <w:r w:rsidRPr="00405303">
        <w:rPr>
          <w:bCs/>
          <w:i w:val="0"/>
          <w:color w:val="002060"/>
          <w:spacing w:val="0"/>
          <w:kern w:val="0"/>
          <w:position w:val="0"/>
          <w:sz w:val="16"/>
          <w:szCs w:val="16"/>
        </w:rPr>
        <w:t>можно</w:t>
      </w:r>
      <w:proofErr w:type="gramEnd"/>
      <w:r w:rsidRPr="00405303">
        <w:rPr>
          <w:bCs/>
          <w:i w:val="0"/>
          <w:color w:val="002060"/>
          <w:spacing w:val="0"/>
          <w:kern w:val="0"/>
          <w:position w:val="0"/>
          <w:sz w:val="16"/>
          <w:szCs w:val="16"/>
        </w:rPr>
        <w:t xml:space="preserve"> шире привлекая для выполнения более простых нарядов починочные мастерские или даже частную промышленность. </w:t>
      </w:r>
    </w:p>
    <w:p w14:paraId="5AA4BA2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Оценивая создавшееся на Юго-западном фронте положение с артиллерийским снабжением, причины, его вызвавшие, отмеченные в цитируемых документах, и меры, предлагаемые для урегулирования артснабжения, приходится еще раз подчеркнуть: </w:t>
      </w:r>
    </w:p>
    <w:p w14:paraId="7C86C82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 Недооценку вопросов артиллерийского снабжения при мобилизационной подготовке (отсутствие норм запасов для фронтов, недостаток штатного состава, неподготовленность к развертыванию существующих учреждений, недостаточная сеть артснабженческих учреждений, вызвавшая массу нештатных организаций, и т. д.). </w:t>
      </w:r>
    </w:p>
    <w:p w14:paraId="59BA6E4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 Нелепость организации артиллерийского снабжения действующей армии в целом без возглавляющего аппарата, что приводило в отсутствию регулирования и наблюдения за правильным функционированием боевого снабжения и к стрем-лению фронтовых органов разрешать все вопросы артснабжения внутри себя (несоответственное распределение имущества по складам, загрузка Киевского склада имуществом, подлежащим отправлению во внутренние округа, загрузка арсенала заказами мелких частей, которых не было в запасах фронта, и т. п.). </w:t>
      </w:r>
    </w:p>
    <w:p w14:paraId="602513B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3. Отсутствие ясности и четкости в построении аппарата артснабжения на фронтах - в результате запутанность взаимоотношений (подчинение технических артиллерийских заведений фронтам по территориальному признаку и пр.). </w:t>
      </w:r>
    </w:p>
    <w:p w14:paraId="0972851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4. Необычайно разросшиеся путы формализма, сдавившие железными обручами живое дело артснабжения (горы переписки и сложная отчетность, не поспевавшая за жизнью) (11483).</w:t>
      </w:r>
    </w:p>
    <w:p w14:paraId="09677D06" w14:textId="77777777" w:rsidR="004B4E35" w:rsidRPr="00405303" w:rsidRDefault="004B4E35" w:rsidP="00C15251">
      <w:pPr>
        <w:pStyle w:val="a3"/>
        <w:jc w:val="both"/>
        <w:rPr>
          <w:bCs/>
          <w:i w:val="0"/>
          <w:color w:val="002060"/>
          <w:spacing w:val="0"/>
          <w:kern w:val="0"/>
          <w:position w:val="0"/>
          <w:sz w:val="16"/>
          <w:szCs w:val="16"/>
        </w:rPr>
      </w:pPr>
    </w:p>
    <w:p w14:paraId="62340A39"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Англии:</w:t>
      </w:r>
    </w:p>
    <w:p w14:paraId="01790BA5" w14:textId="77777777" w:rsidR="004B4E35" w:rsidRPr="00405303" w:rsidRDefault="004B4E35" w:rsidP="00C15251">
      <w:pPr>
        <w:jc w:val="both"/>
        <w:rPr>
          <w:bCs/>
          <w:i/>
          <w:color w:val="002060"/>
          <w:sz w:val="16"/>
          <w:szCs w:val="16"/>
        </w:rPr>
      </w:pPr>
    </w:p>
    <w:p w14:paraId="1BC071BD" w14:textId="5BA04BEE" w:rsidR="004B4E35" w:rsidRPr="00405303" w:rsidRDefault="009E6F82" w:rsidP="00C15251">
      <w:pPr>
        <w:jc w:val="both"/>
        <w:rPr>
          <w:bCs/>
          <w:color w:val="002060"/>
          <w:sz w:val="16"/>
          <w:szCs w:val="16"/>
        </w:rPr>
      </w:pPr>
      <w:r w:rsidRPr="00405303">
        <w:rPr>
          <w:bCs/>
          <w:color w:val="002060"/>
          <w:sz w:val="16"/>
          <w:szCs w:val="16"/>
        </w:rPr>
        <w:t>10 (23) января 1915 два юных авиатора - пилот Ричард Белл Девис и наблюдатель Ричард Пайрс на низкой высоте сбросили 8 бомб на немецкую субмарину около побережья Зеебрюгге. Пайрс был несколько раз ранен и получил за эту акцию орден.</w:t>
      </w:r>
      <w:r w:rsidR="000F5756">
        <w:rPr>
          <w:bCs/>
          <w:color w:val="002060"/>
          <w:sz w:val="16"/>
          <w:szCs w:val="16"/>
        </w:rPr>
        <w:t xml:space="preserve"> </w:t>
      </w:r>
      <w:r w:rsidRPr="00405303">
        <w:rPr>
          <w:bCs/>
          <w:color w:val="002060"/>
          <w:sz w:val="16"/>
          <w:szCs w:val="16"/>
        </w:rPr>
        <w:t>В небе над оккупированным побережьем Северного моря британские авиаторы постигали новое искусство воздушных бомбардировок моря (11999).</w:t>
      </w:r>
    </w:p>
    <w:p w14:paraId="40D82D5D" w14:textId="77777777" w:rsidR="004B4E35" w:rsidRPr="00405303" w:rsidRDefault="004B4E35" w:rsidP="00C15251">
      <w:pPr>
        <w:jc w:val="both"/>
        <w:rPr>
          <w:bCs/>
          <w:color w:val="002060"/>
          <w:sz w:val="16"/>
          <w:szCs w:val="16"/>
        </w:rPr>
      </w:pPr>
    </w:p>
    <w:p w14:paraId="405115A0" w14:textId="77777777" w:rsidR="00275354" w:rsidRPr="00405303" w:rsidRDefault="00275354" w:rsidP="00C15251">
      <w:pPr>
        <w:jc w:val="both"/>
        <w:rPr>
          <w:bCs/>
          <w:i/>
          <w:color w:val="002060"/>
          <w:sz w:val="16"/>
          <w:szCs w:val="16"/>
        </w:rPr>
      </w:pPr>
      <w:r w:rsidRPr="00405303">
        <w:rPr>
          <w:bCs/>
          <w:i/>
          <w:color w:val="002060"/>
          <w:sz w:val="16"/>
          <w:szCs w:val="16"/>
        </w:rPr>
        <w:t>Самолетостроение:</w:t>
      </w:r>
    </w:p>
    <w:p w14:paraId="01B76C34" w14:textId="77777777" w:rsidR="00275354" w:rsidRPr="00405303" w:rsidRDefault="00275354" w:rsidP="00C15251">
      <w:pPr>
        <w:jc w:val="both"/>
        <w:rPr>
          <w:bCs/>
          <w:i/>
          <w:color w:val="002060"/>
          <w:sz w:val="16"/>
          <w:szCs w:val="16"/>
        </w:rPr>
      </w:pPr>
    </w:p>
    <w:p w14:paraId="74BEA888" w14:textId="77777777" w:rsidR="00275354" w:rsidRPr="00405303" w:rsidRDefault="00275354" w:rsidP="00C15251">
      <w:pPr>
        <w:pStyle w:val="2"/>
        <w:spacing w:before="0" w:after="0"/>
        <w:jc w:val="both"/>
        <w:rPr>
          <w:b w:val="0"/>
          <w:bCs/>
          <w:color w:val="002060"/>
          <w:sz w:val="16"/>
          <w:szCs w:val="16"/>
        </w:rPr>
      </w:pPr>
      <w:r w:rsidRPr="00405303">
        <w:rPr>
          <w:b w:val="0"/>
          <w:bCs/>
          <w:color w:val="002060"/>
          <w:sz w:val="16"/>
          <w:szCs w:val="16"/>
        </w:rPr>
        <w:t>В первой декаде января 1915 г. оформили контракт № 58/65 на поставку Дуксом 60 «Ньюпоров» Г без моторов и винтов по 6.500 руб. за самолет, 60 комплектов запасных частей к ним — по 1148 р. 95 коп. за комплект, 10 двухместных «Моран-Сольнье тип G» без моторов и винтов по 5.500 руб. за самолет и 10 комплектов запчастей по 3.1т7 руб. Общая сумма контракта — 545.113 руб. 40 коп. Сроки сдачи были предельно жесткими — восемь «Ньюпоров» и комплектов запчастей должны быть поставлены к уже концу февраля 1915 г., десять «Моранов» с запчастями — к середине марта, еще десять «Ньюпоров» и комплектов — к концу марта. В апреле—мае завод должен был сдавать по 15 «Ньюпоров» с запчастями, оставшиеся 12 — к 7 июня.</w:t>
      </w:r>
    </w:p>
    <w:p w14:paraId="5154589A" w14:textId="77777777" w:rsidR="00275354" w:rsidRPr="00405303" w:rsidRDefault="00275354" w:rsidP="00C15251">
      <w:pPr>
        <w:pStyle w:val="2"/>
        <w:spacing w:before="0" w:after="0"/>
        <w:jc w:val="both"/>
        <w:rPr>
          <w:b w:val="0"/>
          <w:bCs/>
          <w:color w:val="002060"/>
          <w:sz w:val="16"/>
          <w:szCs w:val="16"/>
        </w:rPr>
      </w:pPr>
      <w:r w:rsidRPr="00405303">
        <w:rPr>
          <w:b w:val="0"/>
          <w:bCs/>
          <w:color w:val="002060"/>
          <w:sz w:val="16"/>
          <w:szCs w:val="16"/>
        </w:rPr>
        <w:t>В апреле 1915 ГВТУ распоряжением № 8492 предоставило «Дуксу» маленькую «поблажку» — разрешило сдавать в казну комплекты запчастей к «Ныопорам» с отставанием на три недели относительно сроков сдачи самолетов.</w:t>
      </w:r>
    </w:p>
    <w:p w14:paraId="2BD7EBC8" w14:textId="77777777" w:rsidR="00275354" w:rsidRPr="00405303" w:rsidRDefault="00275354" w:rsidP="00C15251">
      <w:pPr>
        <w:pStyle w:val="2"/>
        <w:spacing w:before="0" w:after="0"/>
        <w:jc w:val="both"/>
        <w:rPr>
          <w:b w:val="0"/>
          <w:bCs/>
          <w:color w:val="002060"/>
          <w:sz w:val="16"/>
          <w:szCs w:val="16"/>
        </w:rPr>
      </w:pPr>
      <w:r w:rsidRPr="00405303">
        <w:rPr>
          <w:b w:val="0"/>
          <w:bCs/>
          <w:color w:val="002060"/>
          <w:sz w:val="16"/>
          <w:szCs w:val="16"/>
        </w:rPr>
        <w:t>Этот контракт примечателен тем, что его подписал лично Ю.А.Меллер (Брежнев) вместе с администратором правления АО «Дукс» подданным Великобритании Фомой (Томасом) Альбертовичем Стивенсом. Остальные контракты вместе со Ф.А.Стивенсом подписывал директор АО «Дукс» уроженец города Вейсехштейн Эстляидской губернии (ныне — Эстония) Иван Александрович Меллер — родной брат Ю.А.Меллера. Со стороны ГВТУ контракты и другие бумаги обычно подписывали начальник Технического отдела генерал-майор Болотов и за начальника Воздухоплавательного отделения — подполковник Сайлотов (15464).</w:t>
      </w:r>
      <w:r w:rsidRPr="00405303">
        <w:rPr>
          <w:b w:val="0"/>
          <w:bCs/>
          <w:color w:val="002060"/>
          <w:sz w:val="16"/>
          <w:szCs w:val="16"/>
        </w:rPr>
        <w:t> </w:t>
      </w:r>
    </w:p>
    <w:p w14:paraId="157D1759" w14:textId="77777777" w:rsidR="00275354" w:rsidRPr="00405303" w:rsidRDefault="00275354" w:rsidP="00C15251">
      <w:pPr>
        <w:jc w:val="both"/>
        <w:rPr>
          <w:bCs/>
          <w:color w:val="002060"/>
          <w:sz w:val="16"/>
          <w:szCs w:val="16"/>
        </w:rPr>
      </w:pPr>
    </w:p>
    <w:p w14:paraId="7AF573F1"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356DD0C0" w14:textId="77777777" w:rsidR="004B4E35" w:rsidRPr="00405303" w:rsidRDefault="004B4E35" w:rsidP="00C15251">
      <w:pPr>
        <w:jc w:val="both"/>
        <w:rPr>
          <w:bCs/>
          <w:i/>
          <w:color w:val="002060"/>
          <w:sz w:val="16"/>
          <w:szCs w:val="16"/>
        </w:rPr>
      </w:pPr>
    </w:p>
    <w:p w14:paraId="50EE145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11 (24) января 1915 был объявлен приказ по армии и флоту о формирова-ш эскадры воздушных кораблей, начало которому было положено декабря 1914 года (см. 8 декабря 1914 г.). В состав эскадры Цошли все семь отрядов "Илья Муромец". Эскадра формировалась содержалась по инициативе и на средства РБВЗ, заинтересован</w:t>
      </w:r>
      <w:r w:rsidRPr="00405303">
        <w:rPr>
          <w:bCs/>
          <w:color w:val="002060"/>
          <w:sz w:val="16"/>
          <w:szCs w:val="16"/>
        </w:rPr>
        <w:softHyphen/>
        <w:t>но в поставке своих "Муромцев". Начальником эскадры был назначен директор РБВЗ В.М.Шидловский, получивший чин генерала, процессе своей деятельности эскадра превратилась в своего зда учебно-боевой и испытательный центр по эксплуатации самолетов "Илья Муромец" (ЦГВИА. ф.2003, оп.2, д.616, л.65).</w:t>
      </w:r>
    </w:p>
    <w:p w14:paraId="588E349A" w14:textId="77777777" w:rsidR="004B4E35" w:rsidRPr="00405303" w:rsidRDefault="004B4E35" w:rsidP="00C15251">
      <w:pPr>
        <w:shd w:val="clear" w:color="auto" w:fill="FFFFFF"/>
        <w:jc w:val="both"/>
        <w:rPr>
          <w:bCs/>
          <w:color w:val="002060"/>
          <w:sz w:val="16"/>
          <w:szCs w:val="16"/>
        </w:rPr>
      </w:pPr>
    </w:p>
    <w:p w14:paraId="373D9CC1" w14:textId="77777777" w:rsidR="004C2250" w:rsidRPr="00405303" w:rsidRDefault="004C2250" w:rsidP="00C15251">
      <w:pPr>
        <w:jc w:val="both"/>
        <w:rPr>
          <w:bCs/>
          <w:color w:val="002060"/>
          <w:sz w:val="16"/>
          <w:szCs w:val="16"/>
        </w:rPr>
      </w:pPr>
      <w:r w:rsidRPr="00405303">
        <w:rPr>
          <w:bCs/>
          <w:color w:val="002060"/>
          <w:sz w:val="16"/>
          <w:szCs w:val="16"/>
        </w:rPr>
        <w:t>11 (24) января 1915 г. был об“явлен приказ по армии и флоту о сформировании Эскадры воздушных кораблей, начало которому было положено 14 дек. 1914 года. В состав эскадры вошли все семь отрядов "Илья Муромец». Эскадра формировалась и содержалась по инициативе и на средства РБВЗ, заинтересованного в поставке своих “Муромцев”. Начальником эскадры был назначен директор РБВЗ В.М.Шидловский, получивший по сему случаю чин генерала. В процессе своей деятельности Эскадра превратилась в своего рода учебно-боевой и испытательный центр по эксплуатации самолетов "Илья Муромец".</w:t>
      </w:r>
    </w:p>
    <w:p w14:paraId="51B370C1" w14:textId="77777777" w:rsidR="004C2250" w:rsidRPr="00405303" w:rsidRDefault="004C2250" w:rsidP="00C15251">
      <w:pPr>
        <w:jc w:val="both"/>
        <w:rPr>
          <w:bCs/>
          <w:color w:val="002060"/>
          <w:sz w:val="16"/>
          <w:szCs w:val="16"/>
        </w:rPr>
      </w:pPr>
      <w:r w:rsidRPr="00405303">
        <w:rPr>
          <w:bCs/>
          <w:color w:val="002060"/>
          <w:sz w:val="16"/>
          <w:szCs w:val="16"/>
        </w:rPr>
        <w:t>/ЦГВИА, ф. 2003, оп. 2, д. 616, л. 65/ (23320).</w:t>
      </w:r>
    </w:p>
    <w:p w14:paraId="6BF97161" w14:textId="77777777" w:rsidR="004C2250" w:rsidRPr="00405303" w:rsidRDefault="004C2250" w:rsidP="00C15251">
      <w:pPr>
        <w:jc w:val="both"/>
        <w:rPr>
          <w:bCs/>
          <w:color w:val="002060"/>
          <w:sz w:val="16"/>
          <w:szCs w:val="16"/>
        </w:rPr>
      </w:pPr>
    </w:p>
    <w:p w14:paraId="2537B88F" w14:textId="77777777" w:rsidR="002217E5" w:rsidRPr="00405303" w:rsidRDefault="002217E5" w:rsidP="00C15251">
      <w:pPr>
        <w:jc w:val="both"/>
        <w:rPr>
          <w:bCs/>
          <w:color w:val="002060"/>
          <w:sz w:val="16"/>
          <w:szCs w:val="16"/>
        </w:rPr>
      </w:pPr>
      <w:r w:rsidRPr="00405303">
        <w:rPr>
          <w:bCs/>
          <w:color w:val="002060"/>
          <w:sz w:val="16"/>
          <w:szCs w:val="16"/>
        </w:rPr>
        <w:lastRenderedPageBreak/>
        <w:t>11 (24) января 1915 начинает свою деятельность Эскадра воздушных кораблей. И. Сикорский на "ИМ-3" совершает первый испытательный полет с аэродрома в Яблонне (11999).</w:t>
      </w:r>
    </w:p>
    <w:p w14:paraId="65B01572" w14:textId="77777777" w:rsidR="002217E5" w:rsidRPr="00405303" w:rsidRDefault="002217E5" w:rsidP="00C15251">
      <w:pPr>
        <w:jc w:val="both"/>
        <w:rPr>
          <w:bCs/>
          <w:color w:val="002060"/>
          <w:sz w:val="16"/>
          <w:szCs w:val="16"/>
        </w:rPr>
      </w:pPr>
    </w:p>
    <w:p w14:paraId="6284D53B" w14:textId="6B12DA9F" w:rsidR="004B4E35" w:rsidRPr="00405303" w:rsidRDefault="009E6F82" w:rsidP="00C15251">
      <w:pPr>
        <w:jc w:val="both"/>
        <w:rPr>
          <w:bCs/>
          <w:color w:val="002060"/>
          <w:sz w:val="16"/>
          <w:szCs w:val="16"/>
        </w:rPr>
      </w:pPr>
      <w:r w:rsidRPr="00405303">
        <w:rPr>
          <w:bCs/>
          <w:color w:val="002060"/>
          <w:sz w:val="16"/>
          <w:szCs w:val="16"/>
        </w:rPr>
        <w:t xml:space="preserve">11 (24) января 1915: </w:t>
      </w:r>
      <w:r w:rsidR="004C2250" w:rsidRPr="00405303">
        <w:rPr>
          <w:bCs/>
          <w:color w:val="002060"/>
          <w:sz w:val="16"/>
          <w:szCs w:val="16"/>
        </w:rPr>
        <w:t xml:space="preserve">вышел приказ Главнокомандующего Юго-западного фронта генерала Н. И. Иванова </w:t>
      </w:r>
      <w:r w:rsidRPr="00405303">
        <w:rPr>
          <w:bCs/>
          <w:color w:val="002060"/>
          <w:sz w:val="16"/>
          <w:szCs w:val="16"/>
        </w:rPr>
        <w:t xml:space="preserve">"Летчики-офицеры и нижние чины, не считаясь с трудностями обстановки, не взирая ни на какую погоду, с честью выполнили свой долг и своими мужественными разведками приносили надлежащую пользу своим корпусам и армиям". Иначе обстояли дела на Северо-Западном фронте. В сентябре здесь решением главкома авиаотряды были изъяты из состава корпусов и сведены в авиационные группы, подчиненные начальникам штабов армий. Однако эта реорганизация оказалась малоэффективной, так как не были созданы органы управления авиагруппами, а ограниченный радиус действия самолетов затруднял их применение в интересах армейского командования. К тому же такая структура не учитывала сложные географические (болотистая и лесная местность) и погодные условия, существовавшие на северо-западе. Собранные на одном аэродроме самолеты каждой группы при плохих метеоусловиях были обречены на бездействие, тогда как в случае рассредоточения по площадкам авиаотрядов имелись бы шансы использовать кратковременные местные улучшения погоды. Исследование динамики убыли и поступления самолетов в целом по Русской армии показывает, что потери аэропланов были значительными и составляли не менее 45,8% за 2 месяца. Большая часть (иногда 90%) этой убыли была вызвана выходом из строя изношенных аэропланов и моторов. Мощностей русских авиазаводов не хватало для восполнения этих потерь - с начала войны до 1 января 1915 г. они отправили в действующую армию 157 самолетов. Причем часто эти машины имели дефекты и забраковывались при сборке в отрядах и ротах. Особые нарекания вызывали самолеты завода Щетинина. Так, монопланы "Ньюпор" имели отрицательный угол установки крыла, что повлекло ряд аварий. Французские самолеты, сделанные на русских авиазаводах, отличались большей массой и низким качеством изготовления по сравнению с импортными "собратьями". Первые месяцы войны выявили и тот факт, что часто высшие военные начальники проявляли полное незнание свойств и возможностей аэропланов. Отсюда - либо отсутствие постановки задач и бездействие авиации, либо постановка перед летчиками нереальных боевых задач. Чтобы избежать таких недоразумений, были изданы подробные указания по использованию нового рода войск. Особую заботу о летчиках проявил главнокомандующий Юго-Западным фронтом, который издал приказ №6 от 12 августа 1914 г.: "Придавая большое значение работе аэропланов и признавая весь риск и трудности выполнения задач летчиками и наблюдателями, приказываю...". Далее шли указания летать не больше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Бичом русской авиации в первые месяцы войны стал безудержный обстрел аппаратов своими войсками, что стало причиной гибели нескольких авиаторов. Например, 13 августа при перелете линии фронта был убит своими войсками военный летчик 25-го КАО </w:t>
      </w:r>
      <w:proofErr w:type="gramStart"/>
      <w:r w:rsidRPr="00405303">
        <w:rPr>
          <w:bCs/>
          <w:color w:val="002060"/>
          <w:sz w:val="16"/>
          <w:szCs w:val="16"/>
        </w:rPr>
        <w:t>поручик</w:t>
      </w:r>
      <w:proofErr w:type="gramEnd"/>
      <w:r w:rsidRPr="00405303">
        <w:rPr>
          <w:bCs/>
          <w:color w:val="002060"/>
          <w:sz w:val="16"/>
          <w:szCs w:val="16"/>
        </w:rPr>
        <w:t xml:space="preserve">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Замоского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"Ньюпорах",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w:t>
      </w:r>
      <w:proofErr w:type="gramStart"/>
      <w:r w:rsidRPr="00405303">
        <w:rPr>
          <w:bCs/>
          <w:color w:val="002060"/>
          <w:sz w:val="16"/>
          <w:szCs w:val="16"/>
        </w:rPr>
        <w:t>очереди ,</w:t>
      </w:r>
      <w:proofErr w:type="gramEnd"/>
      <w:r w:rsidRPr="00405303">
        <w:rPr>
          <w:bCs/>
          <w:color w:val="002060"/>
          <w:sz w:val="16"/>
          <w:szCs w:val="16"/>
        </w:rPr>
        <w:t xml:space="preserve">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"Ньюпорами".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 Гудим, старший унтер-офицер Доброшинский и др. Пропали без вести: поручики Николаевский, Шамин, Машерек и др. Ранены или разбились при падении: капитан Витковский, гвардии штабс-капитан Мельницкий, штабс-капитан Мучник, поручики Городецкий, Корнидов, Павлов, доброволец Шпицберг. Некоторые из них, например, летчик-доброволец 16-го КАО Шпицберг, впоследствии скончались в госпитале. В скорбный список боевых потерь одним из первых попал военный летчик начальник 14-го КАО Ефграф Ефграфович Грузинов, смертельно раненный шрапнелью в воздухе во время выполнения боевого задания. 17 августа он вылетел на разведку района Кщонов-Пиляш-Ковице-Быхов-Люблин и обратно не вернулся. Самолет упал на вражеской территории, которую вскоре заняли русские войска. У села Быхово близ Янова были найдены свежая могила и разбитый "Ньюпор".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Петроково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Летцену.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1CF517BF" w14:textId="77777777" w:rsidR="004B4E35" w:rsidRPr="00405303" w:rsidRDefault="004B4E35" w:rsidP="00C15251">
      <w:pPr>
        <w:jc w:val="both"/>
        <w:rPr>
          <w:bCs/>
          <w:i/>
          <w:color w:val="002060"/>
          <w:sz w:val="16"/>
          <w:szCs w:val="16"/>
        </w:rPr>
      </w:pPr>
    </w:p>
    <w:p w14:paraId="6931AD0F" w14:textId="77777777" w:rsidR="002217E5" w:rsidRPr="00405303" w:rsidRDefault="002217E5"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11 (24) января 1915 г. вышел приказ Главнокомандующего фронтом генерала Н. И. Иванова от: "Летчики-офицеры и нижние чины, не считаясь с трудностями обстановки, не взирая ни на какую погоду, с честью выполнили свой долг и своими мужественными разведками приносили надлежащую пользу своим корпусам и армиям" (11278). </w:t>
      </w:r>
    </w:p>
    <w:p w14:paraId="31C91069" w14:textId="77777777" w:rsidR="002217E5" w:rsidRPr="00405303" w:rsidRDefault="002217E5" w:rsidP="00C15251">
      <w:pPr>
        <w:pStyle w:val="a3"/>
        <w:jc w:val="both"/>
        <w:rPr>
          <w:bCs/>
          <w:i w:val="0"/>
          <w:color w:val="002060"/>
          <w:spacing w:val="0"/>
          <w:kern w:val="0"/>
          <w:position w:val="0"/>
          <w:sz w:val="16"/>
          <w:szCs w:val="16"/>
        </w:rPr>
      </w:pPr>
    </w:p>
    <w:p w14:paraId="7CBF4EF6" w14:textId="73D0B863" w:rsidR="009E5D3B" w:rsidRPr="00405303" w:rsidRDefault="009E5D3B" w:rsidP="00C15251">
      <w:pPr>
        <w:jc w:val="both"/>
        <w:rPr>
          <w:bCs/>
          <w:color w:val="002060"/>
          <w:sz w:val="16"/>
          <w:szCs w:val="16"/>
        </w:rPr>
      </w:pPr>
      <w:r w:rsidRPr="00405303">
        <w:rPr>
          <w:bCs/>
          <w:color w:val="002060"/>
          <w:sz w:val="16"/>
          <w:szCs w:val="16"/>
        </w:rPr>
        <w:t xml:space="preserve">11 (24) января 1915 г. вблизи дер. Витковице (Лодзинское воеводство) совершил вынужденную посадку неприятельский самолет, подстреленный огнем нашей артиллерии. Другой вражеский летательный аппарат был захвачен русскими войсками у пос. Гродиска (Варшавская губ.). В тот же день под г. </w:t>
      </w:r>
      <w:bookmarkStart w:id="18" w:name="bookmark80"/>
      <w:r w:rsidRPr="00405303">
        <w:rPr>
          <w:bCs/>
          <w:color w:val="002060"/>
          <w:sz w:val="16"/>
          <w:szCs w:val="16"/>
        </w:rPr>
        <w:t>Краков подбит и взят в плен австрийский аэроплан, летевший из осажденной крепости Перемышль с почтой (23405).</w:t>
      </w:r>
      <w:bookmarkEnd w:id="18"/>
    </w:p>
    <w:p w14:paraId="52452A34" w14:textId="77777777" w:rsidR="009E5D3B" w:rsidRPr="00405303" w:rsidRDefault="009E5D3B" w:rsidP="00C15251">
      <w:pPr>
        <w:jc w:val="both"/>
        <w:rPr>
          <w:bCs/>
          <w:color w:val="002060"/>
          <w:sz w:val="16"/>
          <w:szCs w:val="16"/>
          <w:lang w:bidi="ru-RU"/>
        </w:rPr>
      </w:pPr>
    </w:p>
    <w:p w14:paraId="7E23E7EE"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 и воздухоплавание Германии:</w:t>
      </w:r>
    </w:p>
    <w:p w14:paraId="42859969" w14:textId="77777777" w:rsidR="004B4E35" w:rsidRPr="00405303" w:rsidRDefault="004B4E35" w:rsidP="00C15251">
      <w:pPr>
        <w:pStyle w:val="a3"/>
        <w:jc w:val="both"/>
        <w:rPr>
          <w:bCs/>
          <w:color w:val="002060"/>
          <w:spacing w:val="0"/>
          <w:kern w:val="0"/>
          <w:position w:val="0"/>
          <w:sz w:val="16"/>
          <w:szCs w:val="16"/>
        </w:rPr>
      </w:pPr>
    </w:p>
    <w:p w14:paraId="1A5B260A" w14:textId="77777777" w:rsidR="004B4E35" w:rsidRPr="00405303" w:rsidRDefault="009E6F82" w:rsidP="00C15251">
      <w:pPr>
        <w:jc w:val="both"/>
        <w:rPr>
          <w:bCs/>
          <w:color w:val="002060"/>
          <w:sz w:val="16"/>
          <w:szCs w:val="16"/>
        </w:rPr>
      </w:pPr>
      <w:r w:rsidRPr="00405303">
        <w:rPr>
          <w:bCs/>
          <w:color w:val="002060"/>
          <w:sz w:val="16"/>
          <w:szCs w:val="16"/>
        </w:rPr>
        <w:t xml:space="preserve">11 (24) января 1915 года в Северном море произошел бой между германской эскадрой линейных крейсеров под командованием адмирала Хиппера и такой же эскадрой англичан под командованием адмирала Битти. В этом бою дважды случай становился на сторону англичан, парализуя действия германского командования, основанные на правильных расчетах и опирающиеся на объективные разведданные. </w:t>
      </w:r>
    </w:p>
    <w:p w14:paraId="35CF1FC1" w14:textId="77777777" w:rsidR="004B4E35" w:rsidRPr="00405303" w:rsidRDefault="009E6F82" w:rsidP="00C15251">
      <w:pPr>
        <w:jc w:val="both"/>
        <w:rPr>
          <w:bCs/>
          <w:color w:val="002060"/>
          <w:sz w:val="16"/>
          <w:szCs w:val="16"/>
        </w:rPr>
      </w:pPr>
      <w:r w:rsidRPr="00405303">
        <w:rPr>
          <w:bCs/>
          <w:color w:val="002060"/>
          <w:sz w:val="16"/>
          <w:szCs w:val="16"/>
        </w:rPr>
        <w:t xml:space="preserve">Первый случай — секретная сигнальная книга германского флота, которая была найдена русскими моряками на затонувшем еще в августе 1914 года германском крейсере «Магдебург». Она была передана англичанам, вследствие чего союзники получили возможность расшифровать все радиограммы немцев. </w:t>
      </w:r>
    </w:p>
    <w:p w14:paraId="66020BF3" w14:textId="77777777" w:rsidR="004B4E35" w:rsidRPr="00405303" w:rsidRDefault="009E6F82" w:rsidP="00C15251">
      <w:pPr>
        <w:jc w:val="both"/>
        <w:rPr>
          <w:bCs/>
          <w:color w:val="002060"/>
          <w:sz w:val="16"/>
          <w:szCs w:val="16"/>
        </w:rPr>
      </w:pPr>
      <w:r w:rsidRPr="00405303">
        <w:rPr>
          <w:bCs/>
          <w:color w:val="002060"/>
          <w:sz w:val="16"/>
          <w:szCs w:val="16"/>
        </w:rPr>
        <w:t xml:space="preserve">Второй случай — неудачное ведение разведки цеппелином L-5, приданным в том бою германским крейсерам, и третий — совершенно случайное попадание английского снаряда в самое уязвимое место германского крейсера «Блюхер». Мы остановимся на втором эпизоде, который близок нам по теме, и сразу оговоримся, что видим в нем только отсутствие опыта совместных действий флота и дирижаблей и недостаточную предварительную проработку боевой задачи. Германской крейсерской эскадре были приданы 3 дирижабля, стоявшие в своих эллингах в готовности для вылета. Адмирал Хиппер воспользовался [105] только одним, перед которым к тому же была поставлена недостаточно ясная задача. Таким образом, во время боя над судами германского флота находился один цеппелин вместо трех. Вместо того чтобы осматривать районы вблизи сражения, и сообщать о передвижениях морских сил противника, он занялся бомбометанием по английским кораблям, окружившим подбитый германский крейсер «Блюхер». Для оказания помощи гибнущему кораблю Хипперу нужны были сведения о противнике и дальних подступах к месту боя, но L-5 самозабвенно швырял бомбы, которые ложились вдали от кораблей противника, совершенно не обращавшего внимания на цеппелин. </w:t>
      </w:r>
    </w:p>
    <w:p w14:paraId="77914523" w14:textId="77777777" w:rsidR="004B4E35" w:rsidRPr="00405303" w:rsidRDefault="009E6F82" w:rsidP="00C15251">
      <w:pPr>
        <w:jc w:val="both"/>
        <w:rPr>
          <w:bCs/>
          <w:color w:val="002060"/>
          <w:sz w:val="16"/>
          <w:szCs w:val="16"/>
        </w:rPr>
      </w:pPr>
      <w:r w:rsidRPr="00405303">
        <w:rPr>
          <w:bCs/>
          <w:color w:val="002060"/>
          <w:sz w:val="16"/>
          <w:szCs w:val="16"/>
        </w:rPr>
        <w:t>Не зная точной обстановки, адмирал отказался от первоначального намерения напасть всеми своими силами на англичан и тем облегчить положение «Блюхера», так как опасался быть связанным боем при появлении новых судов противника. Одновременно Хиппер запросил L-5, не замечает ли он уменьшения скорости неприятельских судов, и получил отрицательный ответ. Из-за этого он отменил намеченную на вечер того же дня атаку немецких миноносцев на те корабли англичан, скорость которых из-за повреждений в бою упала. В действительности, в момент сражения 6 английских линейных кораблей, шедших на помощь адмиралу Битти, были еще далеко от района боя и приблизились к нему лишь через три часа; английский крейсер «Лайон» получил в бою повреждения, вышел из строя и малым ходом удалялся из района боевых действий к английским берегам. Таким образом, Хиппер имел возможность спасти крейсер и отправить миноносцы в атаку, но 2 цеппелина, так необходимые в ходе сражения, «прохлаждались» на базе, а командир L-5 проявил тактическую неграмотность (11324).</w:t>
      </w:r>
    </w:p>
    <w:p w14:paraId="1B164415" w14:textId="77777777" w:rsidR="004B4E35" w:rsidRPr="00405303" w:rsidRDefault="004B4E35" w:rsidP="00C15251">
      <w:pPr>
        <w:pStyle w:val="a3"/>
        <w:jc w:val="both"/>
        <w:rPr>
          <w:bCs/>
          <w:color w:val="002060"/>
          <w:spacing w:val="0"/>
          <w:kern w:val="0"/>
          <w:position w:val="0"/>
          <w:sz w:val="16"/>
          <w:szCs w:val="16"/>
        </w:rPr>
      </w:pPr>
    </w:p>
    <w:p w14:paraId="22110104" w14:textId="77777777" w:rsidR="00C6238C" w:rsidRPr="00405303" w:rsidRDefault="00C6238C" w:rsidP="00C15251">
      <w:pPr>
        <w:jc w:val="both"/>
        <w:rPr>
          <w:bCs/>
          <w:color w:val="002060"/>
          <w:sz w:val="16"/>
          <w:szCs w:val="16"/>
        </w:rPr>
      </w:pPr>
      <w:r w:rsidRPr="00405303">
        <w:rPr>
          <w:bCs/>
          <w:color w:val="002060"/>
          <w:sz w:val="16"/>
          <w:szCs w:val="16"/>
        </w:rPr>
        <w:t>11 (24) января 1915 дирижабль впервые принимает участие в морском сражении, когда немецкий флотский Zeppelin L 5, выполняя обычное патрулирование, прибывает во время продолжающейся битвы на Доггер-банке между британскими и немецкими линейными крейсерами в Северном море. Действуя осторожно после обстрела британских лёгких крейсеров, L-5 испытывает трудности с отслеживанием действий сквозь облачный покров и играет минимальную роль в бою, передавая ограниченную информацию командующему немецкому адмиралу Францу фон Хипперу на поздних этапах боя (20338).</w:t>
      </w:r>
    </w:p>
    <w:p w14:paraId="0160CB20" w14:textId="77777777" w:rsidR="00C6238C" w:rsidRPr="00405303" w:rsidRDefault="00C6238C" w:rsidP="00C15251">
      <w:pPr>
        <w:jc w:val="both"/>
        <w:rPr>
          <w:bCs/>
          <w:color w:val="002060"/>
          <w:sz w:val="16"/>
          <w:szCs w:val="16"/>
        </w:rPr>
      </w:pPr>
    </w:p>
    <w:p w14:paraId="403E908D" w14:textId="77777777" w:rsidR="00A9503D" w:rsidRPr="00405303" w:rsidRDefault="00A9503D" w:rsidP="00C15251">
      <w:pPr>
        <w:jc w:val="both"/>
        <w:rPr>
          <w:bCs/>
          <w:i/>
          <w:color w:val="002060"/>
          <w:sz w:val="16"/>
          <w:szCs w:val="16"/>
        </w:rPr>
      </w:pPr>
      <w:r w:rsidRPr="00405303">
        <w:rPr>
          <w:bCs/>
          <w:i/>
          <w:color w:val="002060"/>
          <w:sz w:val="16"/>
          <w:szCs w:val="16"/>
        </w:rPr>
        <w:t>За рубежом:</w:t>
      </w:r>
    </w:p>
    <w:p w14:paraId="3B3C5088" w14:textId="77777777" w:rsidR="00A9503D" w:rsidRPr="00405303" w:rsidRDefault="00A9503D" w:rsidP="00C15251">
      <w:pPr>
        <w:jc w:val="both"/>
        <w:rPr>
          <w:bCs/>
          <w:color w:val="002060"/>
          <w:sz w:val="16"/>
          <w:szCs w:val="16"/>
        </w:rPr>
      </w:pPr>
    </w:p>
    <w:p w14:paraId="13EA4D0C" w14:textId="77777777" w:rsidR="00A9503D" w:rsidRPr="00405303" w:rsidRDefault="00A9503D" w:rsidP="00C15251">
      <w:pPr>
        <w:jc w:val="both"/>
        <w:rPr>
          <w:bCs/>
          <w:color w:val="002060"/>
          <w:sz w:val="16"/>
          <w:szCs w:val="16"/>
        </w:rPr>
      </w:pPr>
      <w:r w:rsidRPr="00405303">
        <w:rPr>
          <w:bCs/>
          <w:color w:val="002060"/>
          <w:sz w:val="16"/>
          <w:szCs w:val="16"/>
        </w:rPr>
        <w:t>11 (24) января в 1915 году морское сражение в ходе 1-й мировой войны на Доггер-банке (в Северном море в 60 милях восточнее берегов Англии) между английской и германской эскадрами, в состав которых входили эсминцы и тяжелые крейсера. Немецкий крейсер «Блюхер» затонул, еще два загорелись, но нерешительность англичан из-за опасения попасть на минные поля позволила немцам спастись. Англичане во время сражения потеряли только 14 человек убитыми и 6 ранеными (15019).</w:t>
      </w:r>
    </w:p>
    <w:p w14:paraId="1E9A7E75" w14:textId="77777777" w:rsidR="00A9503D" w:rsidRPr="00405303" w:rsidRDefault="00A9503D" w:rsidP="00C15251">
      <w:pPr>
        <w:jc w:val="both"/>
        <w:rPr>
          <w:bCs/>
          <w:color w:val="002060"/>
          <w:sz w:val="16"/>
          <w:szCs w:val="16"/>
        </w:rPr>
      </w:pPr>
    </w:p>
    <w:p w14:paraId="27F211B7" w14:textId="5A78984C"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w:t>
      </w:r>
      <w:r w:rsidR="002217E5" w:rsidRPr="00405303">
        <w:rPr>
          <w:bCs/>
          <w:color w:val="002060"/>
          <w:spacing w:val="0"/>
          <w:kern w:val="0"/>
          <w:position w:val="0"/>
          <w:sz w:val="16"/>
          <w:szCs w:val="16"/>
        </w:rPr>
        <w:t>виация</w:t>
      </w:r>
      <w:r w:rsidRPr="00405303">
        <w:rPr>
          <w:bCs/>
          <w:color w:val="002060"/>
          <w:spacing w:val="0"/>
          <w:kern w:val="0"/>
          <w:position w:val="0"/>
          <w:sz w:val="16"/>
          <w:szCs w:val="16"/>
        </w:rPr>
        <w:t>:</w:t>
      </w:r>
    </w:p>
    <w:p w14:paraId="0C9E70B3" w14:textId="77777777" w:rsidR="004B4E35" w:rsidRPr="00405303" w:rsidRDefault="004B4E35" w:rsidP="00C15251">
      <w:pPr>
        <w:pStyle w:val="a3"/>
        <w:jc w:val="both"/>
        <w:rPr>
          <w:bCs/>
          <w:color w:val="002060"/>
          <w:spacing w:val="0"/>
          <w:kern w:val="0"/>
          <w:position w:val="0"/>
          <w:sz w:val="16"/>
          <w:szCs w:val="16"/>
        </w:rPr>
      </w:pPr>
    </w:p>
    <w:p w14:paraId="355646F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12 (25) января 1915 Немецкий дирижабль </w:t>
      </w:r>
      <w:r w:rsidRPr="00405303">
        <w:rPr>
          <w:bCs/>
          <w:color w:val="002060"/>
          <w:sz w:val="16"/>
          <w:szCs w:val="16"/>
          <w:vertAlign w:val="superscript"/>
        </w:rPr>
        <w:t>и</w:t>
      </w:r>
      <w:r w:rsidRPr="00405303">
        <w:rPr>
          <w:bCs/>
          <w:color w:val="002060"/>
          <w:sz w:val="16"/>
          <w:szCs w:val="16"/>
        </w:rPr>
        <w:t>Парсевалъ-19" совершил налет на Либаву и сбросил там несколько бомб, не причинив особого вреда, но сам был сбит нашими наземными войсками. Дирижабль сел на воду в двух километрах от берега и был потоплен нашими моряками, так как попытка отбуксировать его к берегу не удалась и-за сильной волны и приближения к этому месту немецких миноносцев (Сообщение штаба ВГК от 13 января 1915 г.; "Рижский Вестник». 1915, № 12).</w:t>
      </w:r>
    </w:p>
    <w:p w14:paraId="49EE2815" w14:textId="77777777" w:rsidR="004B4E35" w:rsidRPr="00405303" w:rsidRDefault="004B4E35" w:rsidP="00C15251">
      <w:pPr>
        <w:shd w:val="clear" w:color="auto" w:fill="FFFFFF"/>
        <w:jc w:val="both"/>
        <w:rPr>
          <w:bCs/>
          <w:color w:val="002060"/>
          <w:sz w:val="16"/>
          <w:szCs w:val="16"/>
        </w:rPr>
      </w:pPr>
    </w:p>
    <w:p w14:paraId="56AA4321" w14:textId="77777777" w:rsidR="00DF49C4" w:rsidRPr="00405303" w:rsidRDefault="00DF49C4" w:rsidP="00C15251">
      <w:pPr>
        <w:jc w:val="both"/>
        <w:rPr>
          <w:bCs/>
          <w:color w:val="002060"/>
          <w:sz w:val="16"/>
          <w:szCs w:val="16"/>
        </w:rPr>
      </w:pPr>
      <w:r w:rsidRPr="00405303">
        <w:rPr>
          <w:bCs/>
          <w:color w:val="002060"/>
          <w:sz w:val="16"/>
          <w:szCs w:val="16"/>
        </w:rPr>
        <w:t>12 (25) января 1915 г. немецкий дирижабль "Парсеваль-19" совершил налет на Либаву и сбросил там несколько бомб, не причинив особого вреда, но сам был сбит нашими наземными войсками. Дирижабль сел на воду в двух километрах от берега и был потоплен нашими моряками, так как попытка отбуксировать его к берегу не удалась вследствие сильной, волны и приближения к этому месту немецких миноносцев.</w:t>
      </w:r>
    </w:p>
    <w:p w14:paraId="5CDE3901" w14:textId="77777777" w:rsidR="00DF49C4" w:rsidRPr="00405303" w:rsidRDefault="00DF49C4" w:rsidP="00C15251">
      <w:pPr>
        <w:jc w:val="both"/>
        <w:rPr>
          <w:bCs/>
          <w:color w:val="002060"/>
          <w:sz w:val="16"/>
          <w:szCs w:val="16"/>
        </w:rPr>
      </w:pPr>
      <w:r w:rsidRPr="00405303">
        <w:rPr>
          <w:bCs/>
          <w:color w:val="002060"/>
          <w:sz w:val="16"/>
          <w:szCs w:val="16"/>
        </w:rPr>
        <w:t>/Сообщение штаба ВГК от 13 янв. 1915;"Рижский вестник", 1915 9 12/ (23320).</w:t>
      </w:r>
      <w:r w:rsidRPr="00405303">
        <w:rPr>
          <w:bCs/>
          <w:color w:val="002060"/>
          <w:sz w:val="16"/>
          <w:szCs w:val="16"/>
        </w:rPr>
        <w:br/>
      </w:r>
    </w:p>
    <w:p w14:paraId="100A8D67" w14:textId="77777777" w:rsidR="00225457" w:rsidRPr="00405303" w:rsidRDefault="00225457" w:rsidP="00225457">
      <w:pPr>
        <w:jc w:val="both"/>
        <w:rPr>
          <w:color w:val="0070C0"/>
          <w:sz w:val="16"/>
          <w:szCs w:val="16"/>
        </w:rPr>
      </w:pPr>
      <w:r w:rsidRPr="00405303">
        <w:rPr>
          <w:color w:val="0070C0"/>
          <w:sz w:val="16"/>
          <w:szCs w:val="16"/>
        </w:rPr>
        <w:t>12 (25) января 1915 е. немецкий дирижабль PL-19 совершил бомбардировку военных объектов г. Либава (Лиепая, Курляндия), сбросив на них 9 бомб с причинением незначительного вреда. На обратном пути к прусской границе дирижабль попал под зенитный огонь нашей береговой артиллерии и упал в море в 1,5 км от береговой кромки, где его окончательно расстреляли и потопили прибывшие из Либавы буксиры. Весь экипаж дирижабля (7 человек: капитан 2-го ранга Мейер (командир корабля), наблюдатель – лейтенант Ратсольд, лейтенанты Шенк, Лиман и Гиссов и три матроса) был взят в плен</w:t>
      </w:r>
      <w:hyperlink r:id="rId5" w:anchor="idm139863495142480" w:history="1">
        <w:r w:rsidRPr="00405303">
          <w:rPr>
            <w:rStyle w:val="ad"/>
            <w:color w:val="0070C0"/>
            <w:sz w:val="16"/>
            <w:szCs w:val="16"/>
            <w:vertAlign w:val="superscript"/>
          </w:rPr>
          <w:t>54</w:t>
        </w:r>
      </w:hyperlink>
      <w:r w:rsidRPr="00405303">
        <w:rPr>
          <w:color w:val="0070C0"/>
          <w:sz w:val="16"/>
          <w:szCs w:val="16"/>
        </w:rPr>
        <w:t>. Позднее потопленный воздушный корабль был благополучно извлечен со дна.</w:t>
      </w:r>
    </w:p>
    <w:p w14:paraId="7FDF58F8" w14:textId="77777777" w:rsidR="00225457" w:rsidRPr="00405303" w:rsidRDefault="00225457" w:rsidP="00225457">
      <w:pPr>
        <w:jc w:val="both"/>
        <w:rPr>
          <w:color w:val="0070C0"/>
          <w:sz w:val="16"/>
          <w:szCs w:val="16"/>
        </w:rPr>
      </w:pPr>
      <w:r w:rsidRPr="00405303">
        <w:rPr>
          <w:color w:val="0070C0"/>
          <w:sz w:val="16"/>
          <w:szCs w:val="16"/>
        </w:rPr>
        <w:t>Личный состав, участвовавший в уничтожении вражеского дирижабля, был представлен к наградам. По некоторым сведениям, пограничник с Виргенского поста младший вахмистр Сергеев, непосредственно подстреливший неприятельский воздушный корабль, получил награды лично из рук императора Николая II 25 января того же года при посещении последнего Ставки ВГК в Барановичах.</w:t>
      </w:r>
    </w:p>
    <w:p w14:paraId="366516E8" w14:textId="77777777" w:rsidR="00225457" w:rsidRPr="00405303" w:rsidRDefault="00225457" w:rsidP="00225457">
      <w:pPr>
        <w:jc w:val="both"/>
        <w:rPr>
          <w:color w:val="0070C0"/>
          <w:sz w:val="16"/>
          <w:szCs w:val="16"/>
        </w:rPr>
      </w:pPr>
      <w:r w:rsidRPr="00405303">
        <w:rPr>
          <w:color w:val="0070C0"/>
          <w:sz w:val="16"/>
          <w:szCs w:val="16"/>
        </w:rPr>
        <w:t>В ходе расследования было установлено, что данный тип воздушного корабля относился к системе «Парсеваль» мягкой конструкции. Летом 1914 г. три таких дирижабля были построены на заводе Luftfahrzeug-Gesellschaft (около г. Берлин, Германия). Последующий заказ (еще три воздушных корабля) для иностранных армий с началом войны был приостановлен. В результате изготовленный к этому времени дирижабль (№ 19) был передан военному ведомству и отправлен в г. Кёнигсберг (Калиниград). Воздушный корабль, оснащенный двумя моторами фирмы «Майбах», при полезной нагрузке в 2,6 тонны мог развивать скорость до 76,6 км/час (25135).</w:t>
      </w:r>
    </w:p>
    <w:p w14:paraId="5F2CA303" w14:textId="77777777" w:rsidR="00225457" w:rsidRPr="00405303" w:rsidRDefault="00225457" w:rsidP="00225457">
      <w:pPr>
        <w:jc w:val="both"/>
        <w:rPr>
          <w:color w:val="0070C0"/>
          <w:sz w:val="16"/>
          <w:szCs w:val="16"/>
        </w:rPr>
      </w:pPr>
    </w:p>
    <w:p w14:paraId="4E769709" w14:textId="77777777" w:rsidR="00225457" w:rsidRPr="00405303" w:rsidRDefault="00225457" w:rsidP="00225457">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 xml:space="preserve">12 (25) января 1915 года немецкий дирижабль </w:t>
      </w:r>
      <w:r w:rsidRPr="00405303">
        <w:rPr>
          <w:rStyle w:val="aa"/>
          <w:rFonts w:ascii="Times New Roman" w:hAnsi="Times New Roman"/>
          <w:color w:val="0070C0"/>
          <w:spacing w:val="0"/>
          <w:sz w:val="16"/>
          <w:szCs w:val="16"/>
          <w:lang w:val="en-US"/>
        </w:rPr>
        <w:t>PL</w:t>
      </w:r>
      <w:r w:rsidRPr="00405303">
        <w:rPr>
          <w:rStyle w:val="aa"/>
          <w:rFonts w:ascii="Times New Roman" w:hAnsi="Times New Roman"/>
          <w:color w:val="0070C0"/>
          <w:spacing w:val="0"/>
          <w:sz w:val="16"/>
          <w:szCs w:val="16"/>
        </w:rPr>
        <w:t>-19 осуществил бомбардировку военных объектов города-порта Либава, сбросив на них девять бомб с причинением незначительного вреда. На обратном пути к прусской границе, в 35 км от н/п Вирген дирижабль попал под зенитный огонь нашей береговой артиллерии и упал в море в 1,5 км от береговой кромки, где его окончательно расстреляли и потопили прибывшие из Либавы буксиры. Весь экипаж дирижабля (7 человек: капитан 2-го ранга Мейер (командир корабля), наблюдатель - лейтенант Ратсолъд, лейтенанты Шенк, Лиман и Гиссов и три матроса) взят в плен. Позднее потопленный воздушный корабль был благополучно извлечен со дна.</w:t>
      </w:r>
    </w:p>
    <w:p w14:paraId="368D1228" w14:textId="77777777" w:rsidR="00225457" w:rsidRPr="00405303" w:rsidRDefault="00225457" w:rsidP="00225457">
      <w:pPr>
        <w:jc w:val="both"/>
        <w:rPr>
          <w:color w:val="0070C0"/>
          <w:sz w:val="16"/>
          <w:szCs w:val="16"/>
        </w:rPr>
      </w:pPr>
      <w:r w:rsidRPr="00405303">
        <w:rPr>
          <w:rStyle w:val="aa"/>
          <w:rFonts w:ascii="Times New Roman" w:hAnsi="Times New Roman"/>
          <w:color w:val="0070C0"/>
          <w:spacing w:val="0"/>
          <w:sz w:val="16"/>
          <w:szCs w:val="16"/>
        </w:rPr>
        <w:t>Личный состав, участвовавший в уничтожении вражеского дирижабля, был представлен к правительственным наградам, в их числе: капитаны 2 ранга Г.А. Юровский, А.Н. Никифораки и штабс-капитан Г.И. Тарасевич. Георгиевскими крестами и георгиевскими медалями была награждена вся команда портовых судов. В их числе пограничник с Виргенского поста младший вахмистр Сергеев, непосредственно подстреливший неприятельский воздушный корабль. За этот подвиг он удостоился сразу двух Георгиевских крестов - III и IV степеней.</w:t>
      </w:r>
    </w:p>
    <w:p w14:paraId="5CFE52DC" w14:textId="77777777" w:rsidR="00225457" w:rsidRPr="00405303" w:rsidRDefault="00225457" w:rsidP="00225457">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lastRenderedPageBreak/>
        <w:t>Уничтожение германского воздушного корабля под Либавой вызвало широкий резонанс в российской печати. Первоначально, до получения более достоверных сведений, всех мучил один вопрос - кто погиб под Либавой? Именно под таким заголовком вышла статья на страницах газеты «Русский инвалид». В ней, в частности, отмечалось следующее: «Дирижабль, обстрелянный бравыми пограничными, затонул слишком быстро». Именно это обстоятельство стало причиной «не распознания типа этого судна с самого начала».</w:t>
      </w:r>
    </w:p>
    <w:p w14:paraId="23BDA2F5" w14:textId="0B968122" w:rsidR="00225457" w:rsidRPr="00405303" w:rsidRDefault="00225457" w:rsidP="00225457">
      <w:pPr>
        <w:jc w:val="both"/>
        <w:rPr>
          <w:color w:val="0070C0"/>
          <w:sz w:val="16"/>
          <w:szCs w:val="16"/>
        </w:rPr>
      </w:pPr>
      <w:r w:rsidRPr="00405303">
        <w:rPr>
          <w:rStyle w:val="aa"/>
          <w:rFonts w:ascii="Times New Roman" w:hAnsi="Times New Roman"/>
          <w:color w:val="0070C0"/>
          <w:spacing w:val="0"/>
          <w:sz w:val="16"/>
          <w:szCs w:val="16"/>
        </w:rPr>
        <w:t>Как отмечалось в вышеупомянутой статье: «Наглость экипажа - из коего - как оказывается, часть жила до войны в Либаве, - была настолько велика, что они шли над городом на ничтожной высоте в 150-200 метра. Публика видела отчетливо всю арматуру дирижабля и в отдельности каждого человека из экипажа. Это явно доказывает, как сильно были уверены на дирижабле в полной беззащитности того города, на который они напали, как воры домушники, предварительно ознакомившись до войны, в качестве гостей, со всем внутренним порядком и устройством в этом месте».</w:t>
      </w:r>
    </w:p>
    <w:p w14:paraId="3D214D19" w14:textId="77777777" w:rsidR="00225457" w:rsidRPr="00405303" w:rsidRDefault="00225457" w:rsidP="00225457">
      <w:pPr>
        <w:jc w:val="both"/>
        <w:rPr>
          <w:color w:val="0070C0"/>
          <w:sz w:val="16"/>
          <w:szCs w:val="16"/>
        </w:rPr>
      </w:pPr>
      <w:r w:rsidRPr="00405303">
        <w:rPr>
          <w:rStyle w:val="aa"/>
          <w:rFonts w:ascii="Times New Roman" w:hAnsi="Times New Roman"/>
          <w:color w:val="0070C0"/>
          <w:spacing w:val="0"/>
          <w:sz w:val="16"/>
          <w:szCs w:val="16"/>
        </w:rPr>
        <w:t>В ходе дальнейшего расследования было установлено, что данный тип воздушного корабля относился к системе «Парсеваль» мягкой конструкции (25166).</w:t>
      </w:r>
    </w:p>
    <w:p w14:paraId="4197857C" w14:textId="77777777" w:rsidR="00225457" w:rsidRPr="00405303" w:rsidRDefault="00225457" w:rsidP="00225457">
      <w:pPr>
        <w:jc w:val="both"/>
        <w:rPr>
          <w:color w:val="0070C0"/>
          <w:sz w:val="16"/>
          <w:szCs w:val="16"/>
        </w:rPr>
      </w:pPr>
    </w:p>
    <w:p w14:paraId="2B3CC109" w14:textId="77777777" w:rsidR="000A236C" w:rsidRPr="00405303" w:rsidRDefault="000A236C"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 и воздухоплавание Германии:</w:t>
      </w:r>
    </w:p>
    <w:p w14:paraId="54C65175" w14:textId="77777777" w:rsidR="000A236C" w:rsidRPr="00405303" w:rsidRDefault="000A236C" w:rsidP="00C15251">
      <w:pPr>
        <w:pStyle w:val="a3"/>
        <w:jc w:val="both"/>
        <w:rPr>
          <w:bCs/>
          <w:color w:val="002060"/>
          <w:spacing w:val="0"/>
          <w:kern w:val="0"/>
          <w:position w:val="0"/>
          <w:sz w:val="16"/>
          <w:szCs w:val="16"/>
        </w:rPr>
      </w:pPr>
    </w:p>
    <w:p w14:paraId="41305BB1" w14:textId="77777777" w:rsidR="000A236C" w:rsidRPr="00405303" w:rsidRDefault="000A236C" w:rsidP="00C15251">
      <w:pPr>
        <w:jc w:val="both"/>
        <w:rPr>
          <w:bCs/>
          <w:color w:val="002060"/>
          <w:sz w:val="16"/>
          <w:szCs w:val="16"/>
        </w:rPr>
      </w:pPr>
      <w:r w:rsidRPr="00405303">
        <w:rPr>
          <w:bCs/>
          <w:color w:val="002060"/>
          <w:sz w:val="16"/>
          <w:szCs w:val="16"/>
        </w:rPr>
        <w:t>12 (25) января 1915 Императорский флот Германии терпит первую потерю дирижабля в военное время, когда PL 19 падает в Балтийском море из- за обледенения и отказа двигателя при попытке вернуться на базу после бомбардировки Либавы, Россия. Два тральщика Императорского флота России захватили экипаж из семи человек и подожгли, уничтожив. До середины июля на Балтийском театре боевых действий дирижаблей не будет (20338).</w:t>
      </w:r>
    </w:p>
    <w:p w14:paraId="773A5B22" w14:textId="77777777" w:rsidR="000A236C" w:rsidRPr="00405303" w:rsidRDefault="000A236C" w:rsidP="00C15251">
      <w:pPr>
        <w:jc w:val="both"/>
        <w:rPr>
          <w:bCs/>
          <w:color w:val="002060"/>
          <w:sz w:val="16"/>
          <w:szCs w:val="16"/>
        </w:rPr>
      </w:pPr>
    </w:p>
    <w:p w14:paraId="5084951B"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Другие оборонные отрасли:</w:t>
      </w:r>
    </w:p>
    <w:p w14:paraId="095900BB" w14:textId="77777777" w:rsidR="004B4E35" w:rsidRPr="00405303" w:rsidRDefault="004B4E35" w:rsidP="00C15251">
      <w:pPr>
        <w:pStyle w:val="a3"/>
        <w:jc w:val="both"/>
        <w:rPr>
          <w:bCs/>
          <w:color w:val="002060"/>
          <w:spacing w:val="0"/>
          <w:kern w:val="0"/>
          <w:position w:val="0"/>
          <w:sz w:val="16"/>
          <w:szCs w:val="16"/>
        </w:rPr>
      </w:pPr>
    </w:p>
    <w:p w14:paraId="51AF18CB" w14:textId="0A9B44A2" w:rsidR="004B4E35" w:rsidRPr="00405303" w:rsidRDefault="009E6F82" w:rsidP="00C15251">
      <w:pPr>
        <w:jc w:val="both"/>
        <w:rPr>
          <w:bCs/>
          <w:color w:val="002060"/>
          <w:sz w:val="16"/>
          <w:szCs w:val="16"/>
        </w:rPr>
      </w:pPr>
      <w:r w:rsidRPr="00405303">
        <w:rPr>
          <w:bCs/>
          <w:color w:val="002060"/>
          <w:sz w:val="16"/>
          <w:szCs w:val="16"/>
        </w:rPr>
        <w:t>13</w:t>
      </w:r>
      <w:r w:rsidR="002217E5" w:rsidRPr="00405303">
        <w:rPr>
          <w:bCs/>
          <w:color w:val="002060"/>
          <w:sz w:val="16"/>
          <w:szCs w:val="16"/>
        </w:rPr>
        <w:t xml:space="preserve"> (26) января </w:t>
      </w:r>
      <w:r w:rsidRPr="00405303">
        <w:rPr>
          <w:bCs/>
          <w:color w:val="002060"/>
          <w:sz w:val="16"/>
          <w:szCs w:val="16"/>
        </w:rPr>
        <w:t xml:space="preserve">1915 </w:t>
      </w:r>
      <w:r w:rsidR="002217E5" w:rsidRPr="00405303">
        <w:rPr>
          <w:bCs/>
          <w:color w:val="002060"/>
          <w:sz w:val="16"/>
          <w:szCs w:val="16"/>
        </w:rPr>
        <w:t xml:space="preserve">г. </w:t>
      </w:r>
      <w:r w:rsidRPr="00405303">
        <w:rPr>
          <w:bCs/>
          <w:color w:val="002060"/>
          <w:sz w:val="16"/>
          <w:szCs w:val="16"/>
        </w:rPr>
        <w:t xml:space="preserve">средства затребованные «на постройку испытательного экземпляра усовершенствованного автомобиля» </w:t>
      </w:r>
      <w:r w:rsidR="002217E5" w:rsidRPr="00405303">
        <w:rPr>
          <w:bCs/>
          <w:color w:val="002060"/>
          <w:sz w:val="16"/>
          <w:szCs w:val="16"/>
        </w:rPr>
        <w:t xml:space="preserve">(речь идет о Вездехоже Пороховщикова) были </w:t>
      </w:r>
      <w:r w:rsidRPr="00405303">
        <w:rPr>
          <w:bCs/>
          <w:color w:val="002060"/>
          <w:sz w:val="16"/>
          <w:szCs w:val="16"/>
        </w:rPr>
        <w:t>ассигнованы. Особо отметим — испытательного экземпляра(!)</w:t>
      </w:r>
    </w:p>
    <w:p w14:paraId="45570A2C" w14:textId="77777777" w:rsidR="004B4E35" w:rsidRPr="00405303" w:rsidRDefault="009E6F82" w:rsidP="00C15251">
      <w:pPr>
        <w:jc w:val="both"/>
        <w:rPr>
          <w:bCs/>
          <w:color w:val="002060"/>
          <w:sz w:val="16"/>
          <w:szCs w:val="16"/>
        </w:rPr>
      </w:pPr>
      <w:r w:rsidRPr="00405303">
        <w:rPr>
          <w:bCs/>
          <w:color w:val="002060"/>
          <w:sz w:val="16"/>
          <w:szCs w:val="16"/>
        </w:rPr>
        <w:t>Отсутствие информации о боевом предназначении, бронировании и вооружении «Вездехода» в распоряжении начальника снабжений СЗФ за № 8101 от 13.01.1915 о финансировании фронтом создания амфибийного вездехода способного превосходить обычные автомобили при передвижении по песку, полям, снегу, конечно можно рассматривать, в качестве косвенного подтверждения точки зрения на «Вездеход», как на вездеход не определенного назначения, а не боевую машину. Однако: 1) текст распоряжения не опубликован, а его объем, структура и стилистика могут дать пищу для размышлений; 2) первично решение Ставки, распоряжение начальника снабжений СЗФ не только вторично, но и не должно информировать нижестоящий аппарат об истинных суждениях и намерениях Ставки; 3) нормы подготовки распорядительных документов предполагают достаточное обоснование принятого решения — достаточное, не значит полное и всестороннее; 4) механизм перечисления средств не предполагает знания на всех уровнях истинных целей ассигнований. 5) и т.д.</w:t>
      </w:r>
    </w:p>
    <w:p w14:paraId="372E1F70" w14:textId="77777777" w:rsidR="004B4E35" w:rsidRPr="00405303" w:rsidRDefault="009E6F82" w:rsidP="00C15251">
      <w:pPr>
        <w:jc w:val="both"/>
        <w:rPr>
          <w:bCs/>
          <w:color w:val="002060"/>
          <w:sz w:val="16"/>
          <w:szCs w:val="16"/>
        </w:rPr>
      </w:pPr>
      <w:r w:rsidRPr="00405303">
        <w:rPr>
          <w:bCs/>
          <w:color w:val="002060"/>
          <w:sz w:val="16"/>
          <w:szCs w:val="16"/>
        </w:rPr>
        <w:t>Тем не менее, канцелярия начальника снабжений СЗФ умудрилась сказать лишнее, способное вызвать интерес неприятельской агентуры — «Вездеход» должен был преодолевать канавы не менее 1 м шириной. В распоряжении, судя по всему, не указывается, насколько канавы не менее 1 м шириной были актуальны для тылового хозяйства СЗФ, но вообще канава шириной не менее 1 м — это траншея (12111).</w:t>
      </w:r>
    </w:p>
    <w:p w14:paraId="7F78E346" w14:textId="77777777" w:rsidR="009235C2" w:rsidRPr="00405303" w:rsidRDefault="009235C2" w:rsidP="00C15251">
      <w:pPr>
        <w:pStyle w:val="a3"/>
        <w:jc w:val="both"/>
        <w:rPr>
          <w:bCs/>
          <w:color w:val="002060"/>
          <w:spacing w:val="0"/>
          <w:kern w:val="0"/>
          <w:position w:val="0"/>
          <w:sz w:val="16"/>
          <w:szCs w:val="16"/>
        </w:rPr>
      </w:pPr>
    </w:p>
    <w:p w14:paraId="7F144FCB" w14:textId="77777777" w:rsidR="000A236C" w:rsidRPr="00405303" w:rsidRDefault="000A236C" w:rsidP="00C15251">
      <w:pPr>
        <w:jc w:val="both"/>
        <w:rPr>
          <w:bCs/>
          <w:color w:val="002060"/>
          <w:sz w:val="16"/>
          <w:szCs w:val="16"/>
        </w:rPr>
      </w:pPr>
      <w:r w:rsidRPr="00405303">
        <w:rPr>
          <w:bCs/>
          <w:color w:val="002060"/>
          <w:sz w:val="16"/>
          <w:szCs w:val="16"/>
          <w:shd w:val="clear" w:color="auto" w:fill="FFFFFF"/>
        </w:rPr>
        <w:t>13 (26) января 1915 Главный начальник снабжений армий Северо-Западного фронта генерал Данилов разрешил постройку, причем проектные данные «Вездехода» Пороховщикова были оговорены в особом докладе № 8101. Пороховщикову предоставили требуемые средства, оборудование авторемонтной мастерской и 25 мастеровых из числа ратников ополчения. Наблюдение за работами осуществлял начальник Рижского отдела по квартирному довольствию войск военный инженер полковник Поклевский-Козелло (20250).</w:t>
      </w:r>
    </w:p>
    <w:p w14:paraId="49461E33" w14:textId="77777777" w:rsidR="000A236C" w:rsidRPr="00405303" w:rsidRDefault="000A236C" w:rsidP="00C15251">
      <w:pPr>
        <w:jc w:val="both"/>
        <w:rPr>
          <w:bCs/>
          <w:color w:val="002060"/>
          <w:sz w:val="16"/>
          <w:szCs w:val="16"/>
        </w:rPr>
      </w:pPr>
    </w:p>
    <w:p w14:paraId="5BB40198"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23AE0627" w14:textId="77777777" w:rsidR="004B4E35" w:rsidRPr="00405303" w:rsidRDefault="004B4E35" w:rsidP="00C15251">
      <w:pPr>
        <w:pStyle w:val="a3"/>
        <w:jc w:val="both"/>
        <w:rPr>
          <w:bCs/>
          <w:color w:val="002060"/>
          <w:spacing w:val="0"/>
          <w:kern w:val="0"/>
          <w:position w:val="0"/>
          <w:sz w:val="16"/>
          <w:szCs w:val="16"/>
        </w:rPr>
      </w:pPr>
    </w:p>
    <w:p w14:paraId="662EC927" w14:textId="77777777" w:rsidR="004B4E35" w:rsidRPr="00405303" w:rsidRDefault="009E6F82" w:rsidP="00C15251">
      <w:pPr>
        <w:jc w:val="both"/>
        <w:rPr>
          <w:bCs/>
          <w:color w:val="002060"/>
          <w:sz w:val="16"/>
          <w:szCs w:val="16"/>
        </w:rPr>
      </w:pPr>
      <w:r w:rsidRPr="00405303">
        <w:rPr>
          <w:bCs/>
          <w:color w:val="002060"/>
          <w:sz w:val="16"/>
          <w:szCs w:val="16"/>
        </w:rPr>
        <w:t xml:space="preserve">13 (26) января 1915 совершает первый полет "ИМ-Киевский" с 12 пассажирами на борту, пилотируемый капитаном Г. Г. Горшковым. "ИМ-Киевский" достиг высоты более 2500 м за 49 мин. Во время этого полета, когда "ИМ-Киевский" пролетал недалеко от Варшавы, к нему приблизился "Моран-Сольнье", один из русских самолетов, используемых для специальных заданий. Этот "Моран" был расквартирован в Варшаве и с юмором окрещен "Бристольский", в честь знаменитого отеля и ресторана в пригороде Харькова. Пилот "Морана" признался позднее, что принял "Илью Муромца" за вражеский самолет и был уже готов открыть огонь из револьвера, потому что в эскадрильи единогласно считали, что "Муромцы" не могут подняться на такую высоту. Этот случай проиллюстрировал, как мало русские военные пилоты знали о воздушных судах </w:t>
      </w:r>
      <w:proofErr w:type="gramStart"/>
      <w:r w:rsidRPr="00405303">
        <w:rPr>
          <w:bCs/>
          <w:color w:val="002060"/>
          <w:sz w:val="16"/>
          <w:szCs w:val="16"/>
        </w:rPr>
        <w:t>Сикорского, несмотря на то, что</w:t>
      </w:r>
      <w:proofErr w:type="gramEnd"/>
      <w:r w:rsidRPr="00405303">
        <w:rPr>
          <w:bCs/>
          <w:color w:val="002060"/>
          <w:sz w:val="16"/>
          <w:szCs w:val="16"/>
        </w:rPr>
        <w:t xml:space="preserve"> аэродром ЭВК находился всего в 18 км от Варшавы. В то же самое время эта история показывает нам, чем одномоторные самолеты были в то время вооружены для воздушного боя (11999).</w:t>
      </w:r>
    </w:p>
    <w:p w14:paraId="2BE7C5D8" w14:textId="77777777" w:rsidR="004B4E35" w:rsidRPr="00405303" w:rsidRDefault="004B4E35" w:rsidP="00C15251">
      <w:pPr>
        <w:jc w:val="both"/>
        <w:rPr>
          <w:bCs/>
          <w:color w:val="002060"/>
          <w:sz w:val="16"/>
          <w:szCs w:val="16"/>
        </w:rPr>
      </w:pPr>
    </w:p>
    <w:p w14:paraId="4A975C58" w14:textId="180BF6F6" w:rsidR="009E5D3B" w:rsidRPr="00405303" w:rsidRDefault="009E5D3B" w:rsidP="00C15251">
      <w:pPr>
        <w:jc w:val="both"/>
        <w:rPr>
          <w:bCs/>
          <w:i/>
          <w:color w:val="002060"/>
          <w:sz w:val="16"/>
          <w:szCs w:val="16"/>
        </w:rPr>
      </w:pPr>
      <w:r w:rsidRPr="00405303">
        <w:rPr>
          <w:bCs/>
          <w:i/>
          <w:color w:val="002060"/>
          <w:sz w:val="16"/>
          <w:szCs w:val="16"/>
        </w:rPr>
        <w:t>Самолетостроение:</w:t>
      </w:r>
    </w:p>
    <w:p w14:paraId="454CF147" w14:textId="77777777" w:rsidR="009E5D3B" w:rsidRPr="00405303" w:rsidRDefault="009E5D3B" w:rsidP="00C15251">
      <w:pPr>
        <w:jc w:val="both"/>
        <w:rPr>
          <w:bCs/>
          <w:i/>
          <w:color w:val="002060"/>
          <w:sz w:val="16"/>
          <w:szCs w:val="16"/>
        </w:rPr>
      </w:pPr>
    </w:p>
    <w:p w14:paraId="1E0E09AB" w14:textId="30EAAB3D" w:rsidR="009E5D3B" w:rsidRPr="00405303" w:rsidRDefault="009E5D3B" w:rsidP="00C15251">
      <w:pPr>
        <w:jc w:val="both"/>
        <w:rPr>
          <w:bCs/>
          <w:color w:val="002060"/>
          <w:sz w:val="16"/>
          <w:szCs w:val="16"/>
        </w:rPr>
      </w:pPr>
      <w:r w:rsidRPr="00405303">
        <w:rPr>
          <w:bCs/>
          <w:color w:val="002060"/>
          <w:sz w:val="16"/>
          <w:szCs w:val="16"/>
        </w:rPr>
        <w:t>14 (27) января (по др. данным – в марте) 1915 г. отравлен с завода РБВЗ «Илья Муромец» В-10 (ИМ В-10 № 151 «остроносый», борт № III) экз. № 10, стратегический разведчик, тяжелый бомбардировщик, причем на него поставили моторы «Аргус» – все 6-цилиндровые As II по 140 л.с., снятые с самолета «Илья Муромец» Б-3 (ИМ-Б, «Илья Муромец Киевский», зав. № 135, борт № I) экз. № 3, который к тому времени был списан.</w:t>
      </w:r>
    </w:p>
    <w:p w14:paraId="1B95B7D8" w14:textId="77777777" w:rsidR="009E5D3B" w:rsidRPr="00405303" w:rsidRDefault="009E5D3B" w:rsidP="00C15251">
      <w:pPr>
        <w:jc w:val="both"/>
        <w:rPr>
          <w:bCs/>
          <w:color w:val="002060"/>
          <w:sz w:val="16"/>
          <w:szCs w:val="16"/>
        </w:rPr>
      </w:pPr>
      <w:r w:rsidRPr="00405303">
        <w:rPr>
          <w:bCs/>
          <w:color w:val="002060"/>
          <w:sz w:val="16"/>
          <w:szCs w:val="16"/>
        </w:rPr>
        <w:t>Самолет построен РБВЗ со следующими конструктивными особенностями:</w:t>
      </w:r>
    </w:p>
    <w:p w14:paraId="59BAA153" w14:textId="77777777" w:rsidR="009E5D3B" w:rsidRPr="00405303" w:rsidRDefault="009E5D3B" w:rsidP="00C15251">
      <w:pPr>
        <w:jc w:val="both"/>
        <w:rPr>
          <w:bCs/>
          <w:color w:val="002060"/>
          <w:sz w:val="16"/>
          <w:szCs w:val="16"/>
        </w:rPr>
      </w:pPr>
      <w:r w:rsidRPr="00405303">
        <w:rPr>
          <w:bCs/>
          <w:color w:val="002060"/>
          <w:sz w:val="16"/>
          <w:szCs w:val="16"/>
        </w:rPr>
        <w:t>- силовая установка с 4 моторами «Аргус» (As II, их поставили уже на базе ЭВК, см. ниже);</w:t>
      </w:r>
    </w:p>
    <w:p w14:paraId="67CBCE68" w14:textId="77777777" w:rsidR="009E5D3B" w:rsidRPr="00405303" w:rsidRDefault="009E5D3B" w:rsidP="00C15251">
      <w:pPr>
        <w:jc w:val="both"/>
        <w:rPr>
          <w:bCs/>
          <w:color w:val="002060"/>
          <w:sz w:val="16"/>
          <w:szCs w:val="16"/>
        </w:rPr>
      </w:pPr>
      <w:r w:rsidRPr="00405303">
        <w:rPr>
          <w:bCs/>
          <w:color w:val="002060"/>
          <w:sz w:val="16"/>
          <w:szCs w:val="16"/>
        </w:rPr>
        <w:t>- передние части моторов кроме первых цилиндров закрыты обтекателями, сделанными из алюминиевого листа выколоткой на болване;</w:t>
      </w:r>
    </w:p>
    <w:p w14:paraId="10BA6325" w14:textId="77777777" w:rsidR="009E5D3B" w:rsidRPr="00405303" w:rsidRDefault="009E5D3B" w:rsidP="00C15251">
      <w:pPr>
        <w:jc w:val="both"/>
        <w:rPr>
          <w:bCs/>
          <w:color w:val="002060"/>
          <w:sz w:val="16"/>
          <w:szCs w:val="16"/>
        </w:rPr>
      </w:pPr>
      <w:r w:rsidRPr="00405303">
        <w:rPr>
          <w:bCs/>
          <w:color w:val="002060"/>
          <w:sz w:val="16"/>
          <w:szCs w:val="16"/>
        </w:rPr>
        <w:t>- топливная система с двумя баками под центропланом верхнего крыла;</w:t>
      </w:r>
    </w:p>
    <w:p w14:paraId="597A437A" w14:textId="77777777" w:rsidR="009E5D3B" w:rsidRPr="00405303" w:rsidRDefault="009E5D3B" w:rsidP="00C15251">
      <w:pPr>
        <w:jc w:val="both"/>
        <w:rPr>
          <w:bCs/>
          <w:color w:val="002060"/>
          <w:sz w:val="16"/>
          <w:szCs w:val="16"/>
        </w:rPr>
      </w:pPr>
      <w:r w:rsidRPr="00405303">
        <w:rPr>
          <w:bCs/>
          <w:color w:val="002060"/>
          <w:sz w:val="16"/>
          <w:szCs w:val="16"/>
        </w:rPr>
        <w:t>- фюзеляж с «остроносой» кабиной летчика с шестью большими боковыми стеклами, полностью остекленными верхними и нижними ее гранями, а также 6 стеклами на нижних боковых «щеках».</w:t>
      </w:r>
    </w:p>
    <w:p w14:paraId="427B92A3" w14:textId="77777777" w:rsidR="009E5D3B" w:rsidRPr="00405303" w:rsidRDefault="009E5D3B" w:rsidP="00C15251">
      <w:pPr>
        <w:jc w:val="both"/>
        <w:rPr>
          <w:bCs/>
          <w:color w:val="002060"/>
          <w:sz w:val="16"/>
          <w:szCs w:val="16"/>
        </w:rPr>
      </w:pPr>
      <w:r w:rsidRPr="00405303">
        <w:rPr>
          <w:bCs/>
          <w:color w:val="002060"/>
          <w:sz w:val="16"/>
          <w:szCs w:val="16"/>
        </w:rPr>
        <w:t>7 (20) марта 1915 г. командиром корабля был назначен штабс-капитан С.М. Бродович.</w:t>
      </w:r>
    </w:p>
    <w:p w14:paraId="19B53F99" w14:textId="77777777" w:rsidR="009E5D3B" w:rsidRPr="00405303" w:rsidRDefault="009E5D3B" w:rsidP="00C15251">
      <w:pPr>
        <w:jc w:val="both"/>
        <w:rPr>
          <w:bCs/>
          <w:color w:val="002060"/>
          <w:sz w:val="16"/>
          <w:szCs w:val="16"/>
        </w:rPr>
      </w:pPr>
      <w:r w:rsidRPr="00405303">
        <w:rPr>
          <w:bCs/>
          <w:color w:val="002060"/>
          <w:sz w:val="16"/>
          <w:szCs w:val="16"/>
        </w:rPr>
        <w:t>В первых числах апреле 1915 г. корабль прибыл на базу ЭВК Яблона и был подготовлен к боевым вылетам, которые совершались с бомбами и двумя пулеметами, а затем с одним Мадсен М.1904 с 75 патронами (3 магазина).</w:t>
      </w:r>
    </w:p>
    <w:p w14:paraId="595595E4" w14:textId="77777777" w:rsidR="009E5D3B" w:rsidRPr="00405303" w:rsidRDefault="009E5D3B" w:rsidP="00C15251">
      <w:pPr>
        <w:jc w:val="both"/>
        <w:rPr>
          <w:bCs/>
          <w:color w:val="002060"/>
          <w:sz w:val="16"/>
          <w:szCs w:val="16"/>
        </w:rPr>
      </w:pPr>
      <w:r w:rsidRPr="00405303">
        <w:rPr>
          <w:bCs/>
          <w:color w:val="002060"/>
          <w:sz w:val="16"/>
          <w:szCs w:val="16"/>
        </w:rPr>
        <w:t>06.04.15 г. (19.05.15 г.) корабль совершил первый боевой вылет.</w:t>
      </w:r>
    </w:p>
    <w:p w14:paraId="43642657" w14:textId="77777777" w:rsidR="009E5D3B" w:rsidRPr="00405303" w:rsidRDefault="009E5D3B" w:rsidP="00C15251">
      <w:pPr>
        <w:jc w:val="both"/>
        <w:rPr>
          <w:bCs/>
          <w:color w:val="002060"/>
          <w:sz w:val="16"/>
          <w:szCs w:val="16"/>
        </w:rPr>
      </w:pPr>
      <w:r w:rsidRPr="00405303">
        <w:rPr>
          <w:bCs/>
          <w:color w:val="002060"/>
          <w:sz w:val="16"/>
          <w:szCs w:val="16"/>
        </w:rPr>
        <w:t>В мае 1915 г. корабль командирован на аэродром Лемберг в распоряжение штаба 3-й Армии.</w:t>
      </w:r>
    </w:p>
    <w:p w14:paraId="741FC1A0" w14:textId="77777777" w:rsidR="009E5D3B" w:rsidRPr="00405303" w:rsidRDefault="009E5D3B" w:rsidP="00C15251">
      <w:pPr>
        <w:jc w:val="both"/>
        <w:rPr>
          <w:bCs/>
          <w:color w:val="002060"/>
          <w:sz w:val="16"/>
          <w:szCs w:val="16"/>
        </w:rPr>
      </w:pPr>
      <w:r w:rsidRPr="00405303">
        <w:rPr>
          <w:bCs/>
          <w:color w:val="002060"/>
          <w:sz w:val="16"/>
          <w:szCs w:val="16"/>
        </w:rPr>
        <w:t>28 мая 1915 г. новым командиром корабля назначен поручик Д.А. Озерский, т.к. Бродович подал рапорт о переводе в легкую авиацию.</w:t>
      </w:r>
    </w:p>
    <w:p w14:paraId="01541828" w14:textId="77777777" w:rsidR="009E5D3B" w:rsidRPr="00405303" w:rsidRDefault="009E5D3B" w:rsidP="00C15251">
      <w:pPr>
        <w:jc w:val="both"/>
        <w:rPr>
          <w:bCs/>
          <w:color w:val="002060"/>
          <w:sz w:val="16"/>
          <w:szCs w:val="16"/>
        </w:rPr>
      </w:pPr>
      <w:r w:rsidRPr="00405303">
        <w:rPr>
          <w:bCs/>
          <w:color w:val="002060"/>
          <w:sz w:val="16"/>
          <w:szCs w:val="16"/>
        </w:rPr>
        <w:t>В июне 1915 г. корабль был перебазирован в Люблин, а затем в том же месяце – во Влодаву.</w:t>
      </w:r>
    </w:p>
    <w:p w14:paraId="122F61EB" w14:textId="77777777" w:rsidR="009E5D3B" w:rsidRPr="00405303" w:rsidRDefault="009E5D3B" w:rsidP="00C15251">
      <w:pPr>
        <w:jc w:val="both"/>
        <w:rPr>
          <w:bCs/>
          <w:color w:val="002060"/>
          <w:sz w:val="16"/>
          <w:szCs w:val="16"/>
        </w:rPr>
      </w:pPr>
      <w:r w:rsidRPr="00405303">
        <w:rPr>
          <w:bCs/>
          <w:color w:val="002060"/>
          <w:sz w:val="16"/>
          <w:szCs w:val="16"/>
        </w:rPr>
        <w:t>По инициативе командира корабля для его облегчения с самолета сняли боковые РН, оставив только центральный (23563).</w:t>
      </w:r>
    </w:p>
    <w:p w14:paraId="3ECC2E5E" w14:textId="77777777" w:rsidR="009E5D3B" w:rsidRPr="00405303" w:rsidRDefault="009E5D3B" w:rsidP="00C15251">
      <w:pPr>
        <w:jc w:val="both"/>
        <w:rPr>
          <w:bCs/>
          <w:color w:val="002060"/>
          <w:sz w:val="16"/>
          <w:szCs w:val="16"/>
          <w:lang w:bidi="en-US"/>
        </w:rPr>
      </w:pPr>
    </w:p>
    <w:p w14:paraId="7154B0A8" w14:textId="08550E1E" w:rsidR="009E5D3B" w:rsidRPr="00405303" w:rsidRDefault="009E5D3B" w:rsidP="00C15251">
      <w:pPr>
        <w:jc w:val="both"/>
        <w:rPr>
          <w:bCs/>
          <w:i/>
          <w:color w:val="002060"/>
          <w:sz w:val="16"/>
          <w:szCs w:val="16"/>
        </w:rPr>
      </w:pPr>
      <w:r w:rsidRPr="00405303">
        <w:rPr>
          <w:bCs/>
          <w:i/>
          <w:color w:val="002060"/>
          <w:sz w:val="16"/>
          <w:szCs w:val="16"/>
        </w:rPr>
        <w:t>Авиация:</w:t>
      </w:r>
    </w:p>
    <w:p w14:paraId="6FC08A34" w14:textId="77777777" w:rsidR="009E5D3B" w:rsidRPr="00405303" w:rsidRDefault="009E5D3B" w:rsidP="00C15251">
      <w:pPr>
        <w:jc w:val="both"/>
        <w:rPr>
          <w:bCs/>
          <w:i/>
          <w:color w:val="002060"/>
          <w:sz w:val="16"/>
          <w:szCs w:val="16"/>
        </w:rPr>
      </w:pPr>
    </w:p>
    <w:p w14:paraId="4882D6D7" w14:textId="19B6D7ED" w:rsidR="009E5D3B" w:rsidRPr="00405303" w:rsidRDefault="009E5D3B" w:rsidP="00C15251">
      <w:pPr>
        <w:jc w:val="both"/>
        <w:rPr>
          <w:bCs/>
          <w:color w:val="002060"/>
          <w:sz w:val="16"/>
          <w:szCs w:val="16"/>
        </w:rPr>
      </w:pPr>
      <w:r w:rsidRPr="00405303">
        <w:rPr>
          <w:bCs/>
          <w:color w:val="002060"/>
          <w:sz w:val="16"/>
          <w:szCs w:val="16"/>
          <w:lang w:bidi="en-US"/>
        </w:rPr>
        <w:t>На 14 (27) января 1915 г. потери русской авиации с начала войны значились: шесть летчиков погибли в бою, еще тринадцать летчиков-офицеров, три летчика-солдата и шесть офицеров-наблюдателей пропали без вести или попали в плен, шесть летчиков были ранены в бою; и пять пилотов погибли в авариях сзади.</w:t>
      </w:r>
    </w:p>
    <w:p w14:paraId="5E78C9F3" w14:textId="77777777" w:rsidR="009E5D3B" w:rsidRPr="00405303" w:rsidRDefault="009E5D3B" w:rsidP="00C15251">
      <w:pPr>
        <w:jc w:val="both"/>
        <w:rPr>
          <w:bCs/>
          <w:color w:val="002060"/>
          <w:sz w:val="16"/>
          <w:szCs w:val="16"/>
        </w:rPr>
      </w:pPr>
      <w:r w:rsidRPr="00405303">
        <w:rPr>
          <w:bCs/>
          <w:color w:val="002060"/>
          <w:sz w:val="16"/>
          <w:szCs w:val="16"/>
          <w:lang w:bidi="en-US"/>
        </w:rPr>
        <w:lastRenderedPageBreak/>
        <w:t>Четырнадцать летчиков и трое наблюдателей были выведены из состава частей за неудовлетворительную службу и направлены в тыловые районы. На данный момент восемь летчиков-офицеров награждены орденом Святого Георгия 4-й степени, а двенадцать рядовых летчиков награждены Георгиевским крестом (медалью) 4-й степени.</w:t>
      </w:r>
    </w:p>
    <w:p w14:paraId="5AE852EE" w14:textId="77777777" w:rsidR="009E5D3B" w:rsidRPr="00405303" w:rsidRDefault="009E5D3B" w:rsidP="00C15251">
      <w:pPr>
        <w:jc w:val="both"/>
        <w:rPr>
          <w:bCs/>
          <w:color w:val="002060"/>
          <w:sz w:val="16"/>
          <w:szCs w:val="16"/>
          <w:lang w:bidi="en-US"/>
        </w:rPr>
      </w:pPr>
      <w:r w:rsidRPr="00405303">
        <w:rPr>
          <w:bCs/>
          <w:color w:val="002060"/>
          <w:sz w:val="16"/>
          <w:szCs w:val="16"/>
          <w:lang w:bidi="en-US"/>
        </w:rPr>
        <w:t>Россия потеряла 146 самолетов по разным причинам. В рабочем состоянии оставалось 209 самолетов, еще 42 находились в ремонте. Сто тридцать три из них служили в составе двадцати трех авиационных частей. В составе было 170 военных летчиков-офицеров, шестнадцать летчиков-добровольцев и тридцать пять летчиков-солдат, всего 221 человек.</w:t>
      </w:r>
    </w:p>
    <w:p w14:paraId="1DC264A2" w14:textId="77777777" w:rsidR="009E5D3B" w:rsidRPr="00405303" w:rsidRDefault="009E5D3B" w:rsidP="00C15251">
      <w:pPr>
        <w:jc w:val="both"/>
        <w:rPr>
          <w:bCs/>
          <w:color w:val="002060"/>
          <w:sz w:val="16"/>
          <w:szCs w:val="16"/>
        </w:rPr>
      </w:pPr>
      <w:r w:rsidRPr="00405303">
        <w:rPr>
          <w:bCs/>
          <w:color w:val="002060"/>
          <w:sz w:val="16"/>
          <w:szCs w:val="16"/>
          <w:lang w:bidi="en-US"/>
        </w:rPr>
        <w:t xml:space="preserve">На Северо-Западном фронте было 100 исправных самолетов, еще 26 неисправных; на Юго-Западном фронте было девяносто шесть исправных самолетов, еще тридцать пять неисправных; в то время как на Кавказском фронте было тринадцать исправных машин плюс одна неисправная. Самолеты состояли из </w:t>
      </w:r>
      <w:r w:rsidRPr="00405303">
        <w:rPr>
          <w:bCs/>
          <w:color w:val="002060"/>
          <w:sz w:val="16"/>
          <w:szCs w:val="16"/>
          <w:lang w:val="en-US" w:bidi="en-US"/>
        </w:rPr>
        <w:t>Nieuport</w:t>
      </w:r>
      <w:r w:rsidRPr="00405303">
        <w:rPr>
          <w:bCs/>
          <w:color w:val="002060"/>
          <w:sz w:val="16"/>
          <w:szCs w:val="16"/>
          <w:lang w:bidi="en-US"/>
        </w:rPr>
        <w:t xml:space="preserve"> </w:t>
      </w:r>
      <w:r w:rsidRPr="00405303">
        <w:rPr>
          <w:bCs/>
          <w:color w:val="002060"/>
          <w:sz w:val="16"/>
          <w:szCs w:val="16"/>
          <w:lang w:val="en-US" w:bidi="en-US"/>
        </w:rPr>
        <w:t>I</w:t>
      </w:r>
      <w:r w:rsidRPr="00405303">
        <w:rPr>
          <w:bCs/>
          <w:color w:val="002060"/>
          <w:sz w:val="16"/>
          <w:szCs w:val="16"/>
          <w:lang w:bidi="en-US"/>
        </w:rPr>
        <w:t xml:space="preserve"> </w:t>
      </w:r>
      <w:r w:rsidRPr="00405303">
        <w:rPr>
          <w:bCs/>
          <w:color w:val="002060"/>
          <w:sz w:val="16"/>
          <w:szCs w:val="16"/>
          <w:lang w:val="en-US" w:bidi="en-US"/>
        </w:rPr>
        <w:t>V</w:t>
      </w:r>
      <w:r w:rsidRPr="00405303">
        <w:rPr>
          <w:bCs/>
          <w:color w:val="002060"/>
          <w:sz w:val="16"/>
          <w:szCs w:val="16"/>
          <w:lang w:bidi="en-US"/>
        </w:rPr>
        <w:t xml:space="preserve">, </w:t>
      </w:r>
      <w:r w:rsidRPr="00405303">
        <w:rPr>
          <w:bCs/>
          <w:color w:val="002060"/>
          <w:sz w:val="16"/>
          <w:szCs w:val="16"/>
          <w:lang w:val="en-US" w:bidi="en-US"/>
        </w:rPr>
        <w:t>Farman</w:t>
      </w:r>
      <w:r w:rsidRPr="00405303">
        <w:rPr>
          <w:bCs/>
          <w:color w:val="002060"/>
          <w:sz w:val="16"/>
          <w:szCs w:val="16"/>
          <w:lang w:bidi="en-US"/>
        </w:rPr>
        <w:t xml:space="preserve"> 15, 16 и 22, </w:t>
      </w:r>
      <w:r w:rsidRPr="00405303">
        <w:rPr>
          <w:bCs/>
          <w:color w:val="002060"/>
          <w:sz w:val="16"/>
          <w:szCs w:val="16"/>
          <w:lang w:val="en-US" w:bidi="en-US"/>
        </w:rPr>
        <w:t>Morane</w:t>
      </w:r>
      <w:r w:rsidRPr="00405303">
        <w:rPr>
          <w:bCs/>
          <w:color w:val="002060"/>
          <w:sz w:val="16"/>
          <w:szCs w:val="16"/>
          <w:lang w:bidi="en-US"/>
        </w:rPr>
        <w:t xml:space="preserve"> </w:t>
      </w:r>
      <w:r w:rsidRPr="00405303">
        <w:rPr>
          <w:bCs/>
          <w:color w:val="002060"/>
          <w:sz w:val="16"/>
          <w:szCs w:val="16"/>
          <w:lang w:val="en-US" w:bidi="en-US"/>
        </w:rPr>
        <w:t>G</w:t>
      </w:r>
      <w:r w:rsidRPr="00405303">
        <w:rPr>
          <w:bCs/>
          <w:color w:val="002060"/>
          <w:sz w:val="16"/>
          <w:szCs w:val="16"/>
          <w:lang w:bidi="en-US"/>
        </w:rPr>
        <w:t xml:space="preserve">, </w:t>
      </w:r>
      <w:r w:rsidRPr="00405303">
        <w:rPr>
          <w:bCs/>
          <w:color w:val="002060"/>
          <w:sz w:val="16"/>
          <w:szCs w:val="16"/>
          <w:lang w:val="en-US" w:bidi="en-US"/>
        </w:rPr>
        <w:t>Voisins</w:t>
      </w:r>
      <w:r w:rsidRPr="00405303">
        <w:rPr>
          <w:bCs/>
          <w:color w:val="002060"/>
          <w:sz w:val="16"/>
          <w:szCs w:val="16"/>
          <w:lang w:bidi="en-US"/>
        </w:rPr>
        <w:t xml:space="preserve">, </w:t>
      </w:r>
      <w:r w:rsidRPr="00405303">
        <w:rPr>
          <w:bCs/>
          <w:color w:val="002060"/>
          <w:sz w:val="16"/>
          <w:szCs w:val="16"/>
          <w:lang w:val="en-US" w:bidi="en-US"/>
        </w:rPr>
        <w:t>Deperdussins</w:t>
      </w:r>
      <w:r w:rsidRPr="00405303">
        <w:rPr>
          <w:bCs/>
          <w:color w:val="002060"/>
          <w:sz w:val="16"/>
          <w:szCs w:val="16"/>
          <w:lang w:bidi="en-US"/>
        </w:rPr>
        <w:t xml:space="preserve"> и трофейных </w:t>
      </w:r>
      <w:r w:rsidRPr="00405303">
        <w:rPr>
          <w:bCs/>
          <w:color w:val="002060"/>
          <w:sz w:val="16"/>
          <w:szCs w:val="16"/>
          <w:lang w:val="en-US" w:bidi="en-US"/>
        </w:rPr>
        <w:t>LVG</w:t>
      </w:r>
      <w:r w:rsidRPr="00405303">
        <w:rPr>
          <w:bCs/>
          <w:color w:val="002060"/>
          <w:sz w:val="16"/>
          <w:szCs w:val="16"/>
          <w:lang w:bidi="en-US"/>
        </w:rPr>
        <w:t>. Теперь на фронте было двадцать три авиационных подразделения (23525).</w:t>
      </w:r>
    </w:p>
    <w:p w14:paraId="45C4BDF8" w14:textId="77777777" w:rsidR="009E5D3B" w:rsidRPr="00405303" w:rsidRDefault="009E5D3B" w:rsidP="00C15251">
      <w:pPr>
        <w:jc w:val="both"/>
        <w:rPr>
          <w:bCs/>
          <w:i/>
          <w:color w:val="002060"/>
          <w:sz w:val="16"/>
          <w:szCs w:val="16"/>
        </w:rPr>
      </w:pPr>
    </w:p>
    <w:p w14:paraId="759DBFCA" w14:textId="420B478D" w:rsidR="00DC4F95" w:rsidRPr="00405303" w:rsidRDefault="00DC4F95" w:rsidP="00C15251">
      <w:pPr>
        <w:jc w:val="both"/>
        <w:rPr>
          <w:bCs/>
          <w:i/>
          <w:color w:val="002060"/>
          <w:sz w:val="16"/>
          <w:szCs w:val="16"/>
        </w:rPr>
      </w:pPr>
      <w:r w:rsidRPr="00405303">
        <w:rPr>
          <w:bCs/>
          <w:i/>
          <w:color w:val="002060"/>
          <w:sz w:val="16"/>
          <w:szCs w:val="16"/>
        </w:rPr>
        <w:t>Авиация и воздухоплавание Англии:</w:t>
      </w:r>
    </w:p>
    <w:p w14:paraId="3FD39DCC" w14:textId="77777777" w:rsidR="00DC4F95" w:rsidRPr="00405303" w:rsidRDefault="00DC4F95" w:rsidP="00C15251">
      <w:pPr>
        <w:jc w:val="both"/>
        <w:rPr>
          <w:bCs/>
          <w:i/>
          <w:color w:val="002060"/>
          <w:sz w:val="16"/>
          <w:szCs w:val="16"/>
        </w:rPr>
      </w:pPr>
    </w:p>
    <w:p w14:paraId="345966DD" w14:textId="77777777" w:rsidR="00DC4F95" w:rsidRPr="00405303" w:rsidRDefault="00DC4F95" w:rsidP="00C15251">
      <w:pPr>
        <w:jc w:val="both"/>
        <w:rPr>
          <w:bCs/>
          <w:color w:val="002060"/>
          <w:sz w:val="16"/>
          <w:szCs w:val="16"/>
        </w:rPr>
      </w:pPr>
      <w:r w:rsidRPr="00405303">
        <w:rPr>
          <w:bCs/>
          <w:color w:val="002060"/>
          <w:sz w:val="16"/>
          <w:szCs w:val="16"/>
        </w:rPr>
        <w:t xml:space="preserve">14 (27) января в 1915 году состоялся первый полет торпедоносца </w:t>
      </w:r>
      <w:hyperlink r:id="rId6" w:tgtFrame="_blank" w:history="1">
        <w:r w:rsidRPr="00405303">
          <w:rPr>
            <w:bCs/>
            <w:color w:val="002060"/>
            <w:sz w:val="16"/>
            <w:szCs w:val="16"/>
          </w:rPr>
          <w:t xml:space="preserve">«Сопвич» «Tип 860» («Sopwith» «Type 860») </w:t>
        </w:r>
      </w:hyperlink>
      <w:r w:rsidRPr="00405303">
        <w:rPr>
          <w:bCs/>
          <w:color w:val="002060"/>
          <w:sz w:val="16"/>
          <w:szCs w:val="16"/>
        </w:rPr>
        <w:t>(двигатель – «Sunbeam» 225л.с. (позже получивший название «Mohawk»), с торпедой. Но до боевых пусков торпеды не дошло. Непродолжительное время самолеты состояли на вооружение эскадрильи на базе RNAS в Grain (15022).</w:t>
      </w:r>
    </w:p>
    <w:p w14:paraId="64CBF843" w14:textId="77777777" w:rsidR="00DC4F95" w:rsidRPr="00405303" w:rsidRDefault="00DC4F95" w:rsidP="00C15251">
      <w:pPr>
        <w:jc w:val="both"/>
        <w:rPr>
          <w:bCs/>
          <w:color w:val="002060"/>
          <w:sz w:val="16"/>
          <w:szCs w:val="16"/>
        </w:rPr>
      </w:pPr>
    </w:p>
    <w:p w14:paraId="404DF636" w14:textId="778C2C5B" w:rsidR="000A236C" w:rsidRPr="00405303" w:rsidRDefault="000A236C" w:rsidP="00C15251">
      <w:pPr>
        <w:jc w:val="both"/>
        <w:rPr>
          <w:bCs/>
          <w:color w:val="002060"/>
          <w:sz w:val="16"/>
          <w:szCs w:val="16"/>
        </w:rPr>
      </w:pPr>
      <w:r w:rsidRPr="00405303">
        <w:rPr>
          <w:bCs/>
          <w:color w:val="002060"/>
          <w:sz w:val="16"/>
          <w:szCs w:val="16"/>
        </w:rPr>
        <w:t>14 (27) января 1915</w:t>
      </w:r>
      <w:r w:rsidR="00DB4D64" w:rsidRPr="00405303">
        <w:rPr>
          <w:bCs/>
          <w:color w:val="002060"/>
          <w:sz w:val="16"/>
          <w:szCs w:val="16"/>
        </w:rPr>
        <w:t xml:space="preserve"> </w:t>
      </w:r>
      <w:r w:rsidRPr="00405303">
        <w:rPr>
          <w:bCs/>
          <w:color w:val="002060"/>
          <w:sz w:val="16"/>
          <w:szCs w:val="16"/>
        </w:rPr>
        <w:t>- состоялся первый полет торпедоносца Сопвич Tип 860 «Sopwith Type 860» (двигатель - Sunbeam 225л.с. (позже получивший название Mohawk), с торпедой. Но до боевых пусков торпеды не дошло. Непродолжительное время самолеты состояли на вооружение эскадрильи на базе RNAS в Grain (22642).</w:t>
      </w:r>
    </w:p>
    <w:p w14:paraId="09EB3E9A" w14:textId="77777777" w:rsidR="000A236C" w:rsidRPr="00405303" w:rsidRDefault="000A236C" w:rsidP="00C15251">
      <w:pPr>
        <w:jc w:val="both"/>
        <w:rPr>
          <w:bCs/>
          <w:color w:val="002060"/>
          <w:sz w:val="16"/>
          <w:szCs w:val="16"/>
        </w:rPr>
      </w:pPr>
    </w:p>
    <w:p w14:paraId="0000033A"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1B88763B" w14:textId="77777777" w:rsidR="004B4E35" w:rsidRPr="00405303" w:rsidRDefault="004B4E35" w:rsidP="00C15251">
      <w:pPr>
        <w:pStyle w:val="a3"/>
        <w:jc w:val="both"/>
        <w:rPr>
          <w:bCs/>
          <w:color w:val="002060"/>
          <w:spacing w:val="0"/>
          <w:kern w:val="0"/>
          <w:position w:val="0"/>
          <w:sz w:val="16"/>
          <w:szCs w:val="16"/>
        </w:rPr>
      </w:pPr>
    </w:p>
    <w:p w14:paraId="5D2C64B7" w14:textId="2EEB03F0" w:rsidR="009235C2" w:rsidRPr="00405303" w:rsidRDefault="009235C2" w:rsidP="00C15251">
      <w:pPr>
        <w:pStyle w:val="2"/>
        <w:spacing w:before="0" w:after="0"/>
        <w:jc w:val="both"/>
        <w:rPr>
          <w:b w:val="0"/>
          <w:bCs/>
          <w:color w:val="002060"/>
          <w:sz w:val="16"/>
          <w:szCs w:val="16"/>
        </w:rPr>
      </w:pPr>
      <w:r w:rsidRPr="00405303">
        <w:rPr>
          <w:b w:val="0"/>
          <w:bCs/>
          <w:color w:val="002060"/>
          <w:sz w:val="16"/>
          <w:szCs w:val="16"/>
        </w:rPr>
        <w:t xml:space="preserve">15 </w:t>
      </w:r>
      <w:r w:rsidR="002217E5" w:rsidRPr="00405303">
        <w:rPr>
          <w:b w:val="0"/>
          <w:bCs/>
          <w:color w:val="002060"/>
          <w:sz w:val="16"/>
          <w:szCs w:val="16"/>
        </w:rPr>
        <w:t xml:space="preserve">(28) </w:t>
      </w:r>
      <w:r w:rsidRPr="00405303">
        <w:rPr>
          <w:b w:val="0"/>
          <w:bCs/>
          <w:color w:val="002060"/>
          <w:sz w:val="16"/>
          <w:szCs w:val="16"/>
        </w:rPr>
        <w:t>января 1915 г. И.Меллер и Стивенс подписали еще один контракт (по журналу Военного Совета 8 января проходил представлением ГВТУ под одним и тем же № 58/65) на поставку 50 «Вуазенов тип L» (13,5 м) без моторов и винтов по 10.0 руб. за самолет, 50 комплектов запчастей по 4.730 руб. и 13 дополнительных комплектов (так называемых отрядных) по 15.484 руб. на сумму 937.792 руб.</w:t>
      </w:r>
    </w:p>
    <w:p w14:paraId="0B209959" w14:textId="77777777" w:rsidR="009235C2" w:rsidRPr="00405303" w:rsidRDefault="009235C2" w:rsidP="00C15251">
      <w:pPr>
        <w:pStyle w:val="2"/>
        <w:spacing w:before="0" w:after="0"/>
        <w:jc w:val="both"/>
        <w:rPr>
          <w:b w:val="0"/>
          <w:bCs/>
          <w:color w:val="002060"/>
          <w:sz w:val="16"/>
          <w:szCs w:val="16"/>
        </w:rPr>
      </w:pPr>
      <w:r w:rsidRPr="00405303">
        <w:rPr>
          <w:b w:val="0"/>
          <w:bCs/>
          <w:color w:val="002060"/>
          <w:sz w:val="16"/>
          <w:szCs w:val="16"/>
        </w:rPr>
        <w:t>В тексте этого и других контрактов особо оговаривалось, что «моторы предоставляет ГВТУ, устанавливает поставщик». Сроки были чуть менее жесткие — первые пять аэропланов и комплектов следовало сдать до 10 мая 1915 г., остальные самолеты — тремя партиями по 15 машин и комплектов запчастей к 10 числа июня—августа (15464).</w:t>
      </w:r>
    </w:p>
    <w:p w14:paraId="7CA7AF24" w14:textId="77777777" w:rsidR="009235C2" w:rsidRPr="00405303" w:rsidRDefault="009235C2" w:rsidP="00C15251">
      <w:pPr>
        <w:pStyle w:val="2"/>
        <w:spacing w:before="0" w:after="0"/>
        <w:jc w:val="both"/>
        <w:rPr>
          <w:b w:val="0"/>
          <w:bCs/>
          <w:color w:val="002060"/>
          <w:sz w:val="16"/>
          <w:szCs w:val="16"/>
        </w:rPr>
      </w:pPr>
    </w:p>
    <w:p w14:paraId="47F6E0AE" w14:textId="666EB187" w:rsidR="004B4E35" w:rsidRPr="00405303" w:rsidRDefault="002217E5" w:rsidP="00C15251">
      <w:pPr>
        <w:jc w:val="both"/>
        <w:rPr>
          <w:bCs/>
          <w:color w:val="002060"/>
          <w:sz w:val="16"/>
          <w:szCs w:val="16"/>
        </w:rPr>
      </w:pPr>
      <w:r w:rsidRPr="00405303">
        <w:rPr>
          <w:bCs/>
          <w:color w:val="002060"/>
          <w:sz w:val="16"/>
          <w:szCs w:val="16"/>
        </w:rPr>
        <w:t>К</w:t>
      </w:r>
      <w:r w:rsidR="009E6F82" w:rsidRPr="00405303">
        <w:rPr>
          <w:bCs/>
          <w:color w:val="002060"/>
          <w:sz w:val="16"/>
          <w:szCs w:val="16"/>
        </w:rPr>
        <w:t xml:space="preserve"> 15-му (28) января 1915 г. </w:t>
      </w:r>
      <w:r w:rsidRPr="00405303">
        <w:rPr>
          <w:bCs/>
          <w:color w:val="002060"/>
          <w:sz w:val="16"/>
          <w:szCs w:val="16"/>
        </w:rPr>
        <w:t xml:space="preserve">стало очевидным, что из-за нехватки двигателей "Муромцы" не могли быть получены в обозримом будущем. </w:t>
      </w:r>
      <w:r w:rsidR="009E6F82" w:rsidRPr="00405303">
        <w:rPr>
          <w:bCs/>
          <w:color w:val="002060"/>
          <w:sz w:val="16"/>
          <w:szCs w:val="16"/>
        </w:rPr>
        <w:t>Примерно в то же время было отвергнуто предложение об использовании неких трофейных "Альбат</w:t>
      </w:r>
      <w:r w:rsidR="009E6F82" w:rsidRPr="00405303">
        <w:rPr>
          <w:bCs/>
          <w:color w:val="002060"/>
          <w:sz w:val="16"/>
          <w:szCs w:val="16"/>
        </w:rPr>
        <w:softHyphen/>
        <w:t>росов" с дальностью до 600 км и МГШ попытался найти другие ходы для решения проблемы. Результатом явилось заявление компании В.А. Лебедева от 19 января, в котором звучало обещание построить два аэроплана типа "Альбатрос" со сменным ко</w:t>
      </w:r>
      <w:r w:rsidR="009E6F82" w:rsidRPr="00405303">
        <w:rPr>
          <w:bCs/>
          <w:color w:val="002060"/>
          <w:sz w:val="16"/>
          <w:szCs w:val="16"/>
        </w:rPr>
        <w:softHyphen/>
        <w:t>лесным, лыжным или поплавковым шасси и с моторами "Аргус" или "Австро-Даймлер" мощностью 120 л.с. каждый, способных находиться в воздухе в течение 6 часов. Сто</w:t>
      </w:r>
      <w:r w:rsidR="009E6F82" w:rsidRPr="00405303">
        <w:rPr>
          <w:bCs/>
          <w:color w:val="002060"/>
          <w:sz w:val="16"/>
          <w:szCs w:val="16"/>
        </w:rPr>
        <w:softHyphen/>
        <w:t>имость такой машины расчитывалась следующим образом: 10.000 руб. за сам самолет, плюс 1.100 руб. за крылья увеличенного размаха и топливные баки, 1.500 руб. за ра</w:t>
      </w:r>
      <w:r w:rsidR="009E6F82" w:rsidRPr="00405303">
        <w:rPr>
          <w:bCs/>
          <w:color w:val="002060"/>
          <w:sz w:val="16"/>
          <w:szCs w:val="16"/>
        </w:rPr>
        <w:softHyphen/>
        <w:t>диаторы и трубопроводы, 3.500 руб. за трехпоплавковое шасси, 210 руб. за воз</w:t>
      </w:r>
      <w:r w:rsidR="009E6F82" w:rsidRPr="00405303">
        <w:rPr>
          <w:bCs/>
          <w:color w:val="002060"/>
          <w:sz w:val="16"/>
          <w:szCs w:val="16"/>
        </w:rPr>
        <w:softHyphen/>
        <w:t>душный винт диаметром 280 мм, окованный медью, 310 руб. за лыжи и т.д.; общая цена составляла 17.490 руб. Оба "Альбатроса" на колесном шасси могли быть изготовлены за 3 недели, а их испытания — выполнены пилотом фирмы. Также говорилось, что даль</w:t>
      </w:r>
      <w:r w:rsidR="009E6F82" w:rsidRPr="00405303">
        <w:rPr>
          <w:bCs/>
          <w:color w:val="002060"/>
          <w:sz w:val="16"/>
          <w:szCs w:val="16"/>
        </w:rPr>
        <w:softHyphen/>
        <w:t>ность действия колесного или лыжного варианта самолета равнялась 1200 км, а поплавко</w:t>
      </w:r>
      <w:r w:rsidR="009E6F82" w:rsidRPr="00405303">
        <w:rPr>
          <w:bCs/>
          <w:color w:val="002060"/>
          <w:sz w:val="16"/>
          <w:szCs w:val="16"/>
        </w:rPr>
        <w:softHyphen/>
        <w:t>вого — только 700 км.</w:t>
      </w:r>
    </w:p>
    <w:p w14:paraId="65163C9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целом проект приняли, но представители Морского ведомства настаивали на том, что</w:t>
      </w:r>
      <w:r w:rsidRPr="00405303">
        <w:rPr>
          <w:bCs/>
          <w:color w:val="002060"/>
          <w:sz w:val="16"/>
          <w:szCs w:val="16"/>
        </w:rPr>
        <w:softHyphen/>
        <w:t>бы компания оснастила аэропланы поплавками, доставила их в Батум и там сдала в казну. Это условие стало камнем преткновения в дальнейших переговорах, т.к. фирма не желала работать в Батуме, соглашаясь, однако, опробовать машины на колесном шасси в Петрог</w:t>
      </w:r>
      <w:r w:rsidRPr="00405303">
        <w:rPr>
          <w:bCs/>
          <w:color w:val="002060"/>
          <w:sz w:val="16"/>
          <w:szCs w:val="16"/>
        </w:rPr>
        <w:softHyphen/>
        <w:t>раде, а на поплавковом — в Севастополе. 4 февраля Авиационный комитет Черноморского флота одобрил это предложение и рекомендовал дать Лебедеву официальный контракт. Не</w:t>
      </w:r>
      <w:r w:rsidRPr="00405303">
        <w:rPr>
          <w:bCs/>
          <w:color w:val="002060"/>
          <w:sz w:val="16"/>
          <w:szCs w:val="16"/>
        </w:rPr>
        <w:softHyphen/>
        <w:t>ожиданно на следующий день компания представила в МГШ несколько измененный план строительства "Альбатросов", каждый из которых должен был теперь оснащаться двигателем "Санбим" 150 л.с. и стоить 16.450 руб., включая цену пропеллера, моторной установки и испытаний в Севастополе, плюс 8.890 руб. за комплект запасных частей и поплавков. Из</w:t>
      </w:r>
      <w:r w:rsidRPr="00405303">
        <w:rPr>
          <w:bCs/>
          <w:color w:val="002060"/>
          <w:sz w:val="16"/>
          <w:szCs w:val="16"/>
        </w:rPr>
        <w:softHyphen/>
        <w:t>готовление должно было занять 9 недель, а 150-сильные "Санбимы" поставлялись бы заказ</w:t>
      </w:r>
      <w:r w:rsidRPr="00405303">
        <w:rPr>
          <w:bCs/>
          <w:color w:val="002060"/>
          <w:sz w:val="16"/>
          <w:szCs w:val="16"/>
        </w:rPr>
        <w:softHyphen/>
        <w:t>чиком. Все эти пункты "прижились" и устное соглашение между партнерами последовало в середине февраля, но только 26 марта МГШ просил командира Петроградского порта под</w:t>
      </w:r>
      <w:r w:rsidRPr="00405303">
        <w:rPr>
          <w:bCs/>
          <w:color w:val="002060"/>
          <w:sz w:val="16"/>
          <w:szCs w:val="16"/>
        </w:rPr>
        <w:softHyphen/>
        <w:t>писать договор с фирмой (2843).</w:t>
      </w:r>
    </w:p>
    <w:p w14:paraId="211E59D9" w14:textId="77777777" w:rsidR="004B4E35" w:rsidRPr="00405303" w:rsidRDefault="004B4E35" w:rsidP="00C15251">
      <w:pPr>
        <w:shd w:val="clear" w:color="auto" w:fill="FFFFFF"/>
        <w:jc w:val="both"/>
        <w:rPr>
          <w:bCs/>
          <w:color w:val="002060"/>
          <w:sz w:val="16"/>
          <w:szCs w:val="16"/>
        </w:rPr>
      </w:pPr>
    </w:p>
    <w:p w14:paraId="2469A52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 (28) января 1915 г. И.А.Меллер и Ф.А.Стивенс подписа</w:t>
      </w:r>
      <w:r w:rsidRPr="00405303">
        <w:rPr>
          <w:bCs/>
          <w:color w:val="002060"/>
          <w:sz w:val="16"/>
          <w:szCs w:val="16"/>
        </w:rPr>
        <w:softHyphen/>
        <w:t>ли контракт на поставку 50 «Вуазенов тип Ь» (13,5 м) без моторов и винтов по 10.000 руб. за самолет, 50 комплек</w:t>
      </w:r>
      <w:r w:rsidRPr="00405303">
        <w:rPr>
          <w:bCs/>
          <w:color w:val="002060"/>
          <w:sz w:val="16"/>
          <w:szCs w:val="16"/>
        </w:rPr>
        <w:softHyphen/>
        <w:t>тов запчастей по 4.730 р. и 13 дополнительных комплектов (так называемых отрядных) по 15.484 руб. Общая сумма — 937.792 руб. В тексте этого и других контрактов особо оговаривалось, что «моторы предоставляет ГВТУ, устанав</w:t>
      </w:r>
      <w:r w:rsidRPr="00405303">
        <w:rPr>
          <w:bCs/>
          <w:color w:val="002060"/>
          <w:sz w:val="16"/>
          <w:szCs w:val="16"/>
        </w:rPr>
        <w:softHyphen/>
        <w:t>ливает поставщик». Первые пять аэропланов и комплектов следовало сдать до 10 мая 1915 г., остальные самолеты — тремя партиями по 15 машин и комплектов запчастей к 10 числа каждого месяца в июне—августе (9651).</w:t>
      </w:r>
    </w:p>
    <w:p w14:paraId="03F0F840" w14:textId="77777777" w:rsidR="004B4E35" w:rsidRPr="00405303" w:rsidRDefault="004B4E35" w:rsidP="00C15251">
      <w:pPr>
        <w:shd w:val="clear" w:color="auto" w:fill="FFFFFF"/>
        <w:jc w:val="both"/>
        <w:rPr>
          <w:bCs/>
          <w:color w:val="002060"/>
          <w:sz w:val="16"/>
          <w:szCs w:val="16"/>
        </w:rPr>
      </w:pPr>
    </w:p>
    <w:p w14:paraId="76FE12FA" w14:textId="77777777" w:rsidR="00DF49C4" w:rsidRPr="00405303" w:rsidRDefault="00DF49C4" w:rsidP="00C15251">
      <w:pPr>
        <w:jc w:val="both"/>
        <w:rPr>
          <w:bCs/>
          <w:color w:val="002060"/>
          <w:sz w:val="16"/>
          <w:szCs w:val="16"/>
        </w:rPr>
      </w:pPr>
      <w:r w:rsidRPr="00405303">
        <w:rPr>
          <w:bCs/>
          <w:color w:val="002060"/>
          <w:sz w:val="16"/>
          <w:szCs w:val="16"/>
        </w:rPr>
        <w:t>15 (28) января 1915 г. Военный Совет по представлению Главного ВТУ от 9 января № 152 постановил сформировать на все время войны восемь подвижных поездов-мастерских с летучими автомобильно-авиационными отде</w:t>
      </w:r>
      <w:r w:rsidRPr="00405303">
        <w:rPr>
          <w:bCs/>
          <w:color w:val="002060"/>
          <w:sz w:val="16"/>
          <w:szCs w:val="16"/>
        </w:rPr>
        <w:softHyphen/>
        <w:t>лениями для технического обслуживания частей фронта.</w:t>
      </w:r>
    </w:p>
    <w:p w14:paraId="0C2B0526" w14:textId="77777777" w:rsidR="00DF49C4" w:rsidRPr="00405303" w:rsidRDefault="00DF49C4" w:rsidP="00C15251">
      <w:pPr>
        <w:jc w:val="both"/>
        <w:rPr>
          <w:bCs/>
          <w:color w:val="002060"/>
          <w:sz w:val="16"/>
          <w:szCs w:val="16"/>
        </w:rPr>
      </w:pPr>
      <w:r w:rsidRPr="00405303">
        <w:rPr>
          <w:bCs/>
          <w:color w:val="002060"/>
          <w:sz w:val="16"/>
          <w:szCs w:val="16"/>
        </w:rPr>
        <w:t>/ЦГВИА, ф. 2003, оп. 2, д. 616, л. 124/ (23320).</w:t>
      </w:r>
    </w:p>
    <w:p w14:paraId="69712DE3" w14:textId="77777777" w:rsidR="00DF49C4" w:rsidRPr="00405303" w:rsidRDefault="00DF49C4" w:rsidP="00C15251">
      <w:pPr>
        <w:jc w:val="both"/>
        <w:rPr>
          <w:bCs/>
          <w:color w:val="002060"/>
          <w:sz w:val="16"/>
          <w:szCs w:val="16"/>
        </w:rPr>
      </w:pPr>
    </w:p>
    <w:p w14:paraId="4914891D" w14:textId="77777777" w:rsidR="00D82574" w:rsidRPr="00405303" w:rsidRDefault="00D82574" w:rsidP="00D82574">
      <w:pPr>
        <w:jc w:val="both"/>
        <w:rPr>
          <w:color w:val="0070C0"/>
          <w:sz w:val="16"/>
          <w:szCs w:val="16"/>
        </w:rPr>
      </w:pPr>
      <w:r w:rsidRPr="00405303">
        <w:rPr>
          <w:color w:val="0070C0"/>
          <w:sz w:val="16"/>
          <w:szCs w:val="16"/>
        </w:rPr>
        <w:t>15 (28) января 1915 г. Военный Совет принял решение о форми</w:t>
      </w:r>
      <w:r w:rsidRPr="00405303">
        <w:rPr>
          <w:color w:val="0070C0"/>
          <w:sz w:val="16"/>
          <w:szCs w:val="16"/>
        </w:rPr>
        <w:softHyphen/>
        <w:t>ровании 8-ми авиационных поездов-мас</w:t>
      </w:r>
      <w:r w:rsidRPr="00405303">
        <w:rPr>
          <w:color w:val="0070C0"/>
          <w:sz w:val="16"/>
          <w:szCs w:val="16"/>
        </w:rPr>
        <w:softHyphen/>
        <w:t>терских (РГВИА. Фонд 2003 опись 2 дело 616) (24962).</w:t>
      </w:r>
    </w:p>
    <w:p w14:paraId="33DD0756" w14:textId="77777777" w:rsidR="00D82574" w:rsidRPr="00405303" w:rsidRDefault="00D82574" w:rsidP="00D82574">
      <w:pPr>
        <w:jc w:val="both"/>
        <w:rPr>
          <w:color w:val="0070C0"/>
          <w:sz w:val="16"/>
          <w:szCs w:val="16"/>
        </w:rPr>
      </w:pPr>
    </w:p>
    <w:p w14:paraId="513C3B81" w14:textId="77777777" w:rsidR="00A9503D" w:rsidRPr="00405303" w:rsidRDefault="00A9503D" w:rsidP="00C15251">
      <w:pPr>
        <w:jc w:val="both"/>
        <w:rPr>
          <w:bCs/>
          <w:i/>
          <w:color w:val="002060"/>
          <w:sz w:val="16"/>
          <w:szCs w:val="16"/>
        </w:rPr>
      </w:pPr>
      <w:r w:rsidRPr="00405303">
        <w:rPr>
          <w:bCs/>
          <w:i/>
          <w:color w:val="002060"/>
          <w:sz w:val="16"/>
          <w:szCs w:val="16"/>
        </w:rPr>
        <w:t>Другие оборонные отрасли:</w:t>
      </w:r>
    </w:p>
    <w:p w14:paraId="0EC3AD11" w14:textId="77777777" w:rsidR="00A9503D" w:rsidRPr="00405303" w:rsidRDefault="00A9503D" w:rsidP="00C15251">
      <w:pPr>
        <w:jc w:val="both"/>
        <w:rPr>
          <w:bCs/>
          <w:i/>
          <w:color w:val="002060"/>
          <w:sz w:val="16"/>
          <w:szCs w:val="16"/>
        </w:rPr>
      </w:pPr>
    </w:p>
    <w:p w14:paraId="03D3198E" w14:textId="7D0ACF21" w:rsidR="00A9503D" w:rsidRPr="00405303" w:rsidRDefault="00A9503D" w:rsidP="00C15251">
      <w:pPr>
        <w:pStyle w:val="p1"/>
        <w:spacing w:before="0" w:beforeAutospacing="0" w:after="0" w:afterAutospacing="0"/>
        <w:jc w:val="both"/>
        <w:rPr>
          <w:bCs/>
          <w:color w:val="002060"/>
          <w:sz w:val="16"/>
          <w:szCs w:val="16"/>
        </w:rPr>
      </w:pPr>
      <w:r w:rsidRPr="00405303">
        <w:rPr>
          <w:bCs/>
          <w:color w:val="002060"/>
          <w:sz w:val="16"/>
          <w:szCs w:val="16"/>
        </w:rPr>
        <w:t xml:space="preserve">15 </w:t>
      </w:r>
      <w:r w:rsidR="0055780C" w:rsidRPr="00405303">
        <w:rPr>
          <w:bCs/>
          <w:color w:val="002060"/>
          <w:sz w:val="16"/>
          <w:szCs w:val="16"/>
        </w:rPr>
        <w:t xml:space="preserve">(28) </w:t>
      </w:r>
      <w:r w:rsidRPr="00405303">
        <w:rPr>
          <w:bCs/>
          <w:color w:val="002060"/>
          <w:sz w:val="16"/>
          <w:szCs w:val="16"/>
        </w:rPr>
        <w:t>января 1915 г. директор полуказенного Русского общества пароходства и торговли А.К. Тимрот подал заявление: «Для скорости мы предполагаем теперь же дать заказ иностранному заводу, обязав его одновременно с изготовлением станков для своего завода поставить также нам необходимые станки и лекала… Для удешевления заграничного заказа необходимо будет поставить условие, что[бы], по изготовлении определенного количества винтовок и по нашему требованию, нам были переданы за условленную плату и в полной исправности их станки, после чего все производство винтовок может быть перенесено нами в Россию с расчетом довести производство до 2000 винтовок в день». Все это обосновывалось идеей о подготовке к ответственному дню, когда произойдет перемена в отношениях с союзниками: «Именно к концу войны и во время конференции мира, когда державы ныне нейтральные могут оказаться нашими врагами, а союзники в некоторых вопросах могут оказаться недоброжелательными, мы должны быть сильнее, чем когда-либо».</w:t>
      </w:r>
    </w:p>
    <w:p w14:paraId="54880EC9" w14:textId="77777777" w:rsidR="00A9503D" w:rsidRPr="00405303" w:rsidRDefault="00A9503D" w:rsidP="00C15251">
      <w:pPr>
        <w:pStyle w:val="p1"/>
        <w:spacing w:before="0" w:beforeAutospacing="0" w:after="0" w:afterAutospacing="0"/>
        <w:jc w:val="both"/>
        <w:rPr>
          <w:bCs/>
          <w:color w:val="002060"/>
          <w:sz w:val="16"/>
          <w:szCs w:val="16"/>
        </w:rPr>
      </w:pPr>
      <w:r w:rsidRPr="00405303">
        <w:rPr>
          <w:bCs/>
          <w:color w:val="002060"/>
          <w:sz w:val="16"/>
          <w:szCs w:val="16"/>
        </w:rPr>
        <w:t>К этому времени выяснилось, что развертывание ружейного производства на казенных заводах наталкивается на затруднения. На 30 сентября 1914 г. Тульскому заводу недоставало станков и лекал для выпуска стволов и замочных частей более 600 шт. в день. Сестрорецкий завод, как и 20 лет назад, питался энергией от водяных колес. Летом 1915 г. недостаток воды в озере не позволял одновременно работать всем мастерским, и только тогда дело подошло «к замене водных турбин, ставятся нефтяные двигатели», — писали рабочие в жалобе на администрацию Сестрорецкого завода.</w:t>
      </w:r>
    </w:p>
    <w:p w14:paraId="02AC29B0" w14:textId="77777777" w:rsidR="00A9503D" w:rsidRPr="00405303" w:rsidRDefault="00A9503D" w:rsidP="00C15251">
      <w:pPr>
        <w:pStyle w:val="p1"/>
        <w:spacing w:before="0" w:beforeAutospacing="0" w:after="0" w:afterAutospacing="0"/>
        <w:jc w:val="both"/>
        <w:rPr>
          <w:bCs/>
          <w:color w:val="002060"/>
          <w:sz w:val="16"/>
          <w:szCs w:val="16"/>
        </w:rPr>
      </w:pPr>
      <w:r w:rsidRPr="00405303">
        <w:rPr>
          <w:bCs/>
          <w:color w:val="002060"/>
          <w:sz w:val="16"/>
          <w:szCs w:val="16"/>
        </w:rPr>
        <w:t>Проект Тимрота по распоряжению Николая II обсудило 19 января 1915 г. совещание под председательством помощника военного министра Вернандера, и оно признало проект несостоятельным; вскоре было отклонено и предложение Биткова — «как недостаточно разработанное и в малом масштабе» (18409).</w:t>
      </w:r>
    </w:p>
    <w:p w14:paraId="21C7F14C" w14:textId="77777777" w:rsidR="00A9503D" w:rsidRPr="00405303" w:rsidRDefault="00A9503D" w:rsidP="00C15251">
      <w:pPr>
        <w:pStyle w:val="p1"/>
        <w:spacing w:before="0" w:beforeAutospacing="0" w:after="0" w:afterAutospacing="0"/>
        <w:jc w:val="both"/>
        <w:rPr>
          <w:bCs/>
          <w:color w:val="002060"/>
          <w:sz w:val="16"/>
          <w:szCs w:val="16"/>
        </w:rPr>
      </w:pPr>
    </w:p>
    <w:p w14:paraId="5A47E252" w14:textId="77777777" w:rsidR="009E5D3B" w:rsidRPr="00405303" w:rsidRDefault="009E5D3B"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15 января 1915 г. в заявлении директора полуказенного Русского общества пароходства и торговли АА.Тимрота говорилось: «Для скорости мы предполагаем теперь же дать заказ иностранному заводу, обязав его одновременно с изготовлением станков для своего завода поставить также нам необходимые станки и лекала... Для удешевления за</w:t>
      </w:r>
      <w:r w:rsidRPr="00405303">
        <w:rPr>
          <w:rFonts w:ascii="Times New Roman" w:hAnsi="Times New Roman" w:cs="Times New Roman"/>
          <w:bCs/>
          <w:color w:val="002060"/>
          <w:sz w:val="16"/>
          <w:szCs w:val="16"/>
        </w:rPr>
        <w:softHyphen/>
        <w:t>граничного заказа необходимо будет поставить условие, что[бы], по изготовлении определенного количества винто</w:t>
      </w:r>
      <w:r w:rsidRPr="00405303">
        <w:rPr>
          <w:rFonts w:ascii="Times New Roman" w:hAnsi="Times New Roman" w:cs="Times New Roman"/>
          <w:bCs/>
          <w:color w:val="002060"/>
          <w:sz w:val="16"/>
          <w:szCs w:val="16"/>
        </w:rPr>
        <w:softHyphen/>
        <w:t>вок и по нашему требованию, нам были переданы за услов</w:t>
      </w:r>
      <w:r w:rsidRPr="00405303">
        <w:rPr>
          <w:rFonts w:ascii="Times New Roman" w:hAnsi="Times New Roman" w:cs="Times New Roman"/>
          <w:bCs/>
          <w:color w:val="002060"/>
          <w:sz w:val="16"/>
          <w:szCs w:val="16"/>
        </w:rPr>
        <w:softHyphen/>
        <w:t>ленную плату и в полной исправности их станки, после чего все производство винтовок может быть перенесено нами в Россию с расчетом довести производство до 2000 винтовок в день». Все это обосновывалось идеей о подготовке к от</w:t>
      </w:r>
      <w:r w:rsidRPr="00405303">
        <w:rPr>
          <w:rFonts w:ascii="Times New Roman" w:hAnsi="Times New Roman" w:cs="Times New Roman"/>
          <w:bCs/>
          <w:color w:val="002060"/>
          <w:sz w:val="16"/>
          <w:szCs w:val="16"/>
        </w:rPr>
        <w:softHyphen/>
        <w:t>ветственному дню, когда произойдет перемена в отношени</w:t>
      </w:r>
      <w:r w:rsidRPr="00405303">
        <w:rPr>
          <w:rFonts w:ascii="Times New Roman" w:hAnsi="Times New Roman" w:cs="Times New Roman"/>
          <w:bCs/>
          <w:color w:val="002060"/>
          <w:sz w:val="16"/>
          <w:szCs w:val="16"/>
        </w:rPr>
        <w:softHyphen/>
        <w:t>ях с союзниками: «Именно к концу войны и во время кон</w:t>
      </w:r>
      <w:r w:rsidRPr="00405303">
        <w:rPr>
          <w:rFonts w:ascii="Times New Roman" w:hAnsi="Times New Roman" w:cs="Times New Roman"/>
          <w:bCs/>
          <w:color w:val="002060"/>
          <w:sz w:val="16"/>
          <w:szCs w:val="16"/>
        </w:rPr>
        <w:softHyphen/>
        <w:t>ференции мира, когда державы ныне нейтральные могут оказаться нашими врагами, а союзники в некоторых вопро</w:t>
      </w:r>
      <w:r w:rsidRPr="00405303">
        <w:rPr>
          <w:rFonts w:ascii="Times New Roman" w:hAnsi="Times New Roman" w:cs="Times New Roman"/>
          <w:bCs/>
          <w:color w:val="002060"/>
          <w:sz w:val="16"/>
          <w:szCs w:val="16"/>
        </w:rPr>
        <w:softHyphen/>
        <w:t xml:space="preserve">сах могут оказаться недоброжелательными, мы должны быть сильнее, чем когда-либо» (2 июня </w:t>
      </w:r>
      <w:r w:rsidRPr="00405303">
        <w:rPr>
          <w:rFonts w:ascii="Times New Roman" w:hAnsi="Times New Roman" w:cs="Times New Roman"/>
          <w:bCs/>
          <w:color w:val="002060"/>
          <w:sz w:val="16"/>
          <w:szCs w:val="16"/>
          <w:lang w:val="en-US" w:bidi="en-US"/>
        </w:rPr>
        <w:t>KBM</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возвратила в ГАУ его доклады о покупке американ</w:t>
      </w:r>
      <w:r w:rsidRPr="00405303">
        <w:rPr>
          <w:rFonts w:ascii="Times New Roman" w:hAnsi="Times New Roman" w:cs="Times New Roman"/>
          <w:bCs/>
          <w:color w:val="002060"/>
          <w:sz w:val="16"/>
          <w:szCs w:val="16"/>
        </w:rPr>
        <w:softHyphen/>
        <w:t>ского оборудования и продолжении строительства в Екатеринославе (РГВИА. Ф. 29. Оп. 3. Д. 792. Л. 1, 5; Д. 783. Л. 61; Д. 1023. Л. 17). Там же. Ф. 962. Оп. 2. Д. 30. Л. 171—172. Надпись: «Государь им</w:t>
      </w:r>
      <w:r w:rsidRPr="00405303">
        <w:rPr>
          <w:rFonts w:ascii="Times New Roman" w:hAnsi="Times New Roman" w:cs="Times New Roman"/>
          <w:bCs/>
          <w:color w:val="002060"/>
          <w:sz w:val="16"/>
          <w:szCs w:val="16"/>
        </w:rPr>
        <w:softHyphen/>
        <w:t>ператор одобрил этот проект и повелел обсудить его беззамедлительно. 17.1.15. Г.-л. Сухомлинов».) (23452).</w:t>
      </w:r>
    </w:p>
    <w:p w14:paraId="12C24726" w14:textId="77777777" w:rsidR="009E5D3B" w:rsidRPr="00405303" w:rsidRDefault="009E5D3B" w:rsidP="00C15251">
      <w:pPr>
        <w:jc w:val="both"/>
        <w:rPr>
          <w:bCs/>
          <w:color w:val="002060"/>
          <w:sz w:val="16"/>
          <w:szCs w:val="16"/>
        </w:rPr>
      </w:pPr>
    </w:p>
    <w:p w14:paraId="0E80B879"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7B31A57D" w14:textId="77777777" w:rsidR="004B4E35" w:rsidRPr="00405303" w:rsidRDefault="004B4E35" w:rsidP="00C15251">
      <w:pPr>
        <w:shd w:val="clear" w:color="auto" w:fill="FFFFFF"/>
        <w:jc w:val="both"/>
        <w:rPr>
          <w:bCs/>
          <w:i/>
          <w:color w:val="002060"/>
          <w:sz w:val="16"/>
          <w:szCs w:val="16"/>
        </w:rPr>
      </w:pPr>
    </w:p>
    <w:p w14:paraId="3AA69AB5" w14:textId="3718C34C" w:rsidR="004B4E35" w:rsidRPr="00405303" w:rsidRDefault="009E6F82" w:rsidP="00C15251">
      <w:pPr>
        <w:jc w:val="both"/>
        <w:rPr>
          <w:bCs/>
          <w:color w:val="002060"/>
          <w:sz w:val="16"/>
          <w:szCs w:val="16"/>
        </w:rPr>
      </w:pPr>
      <w:r w:rsidRPr="00405303">
        <w:rPr>
          <w:bCs/>
          <w:color w:val="002060"/>
          <w:sz w:val="16"/>
          <w:szCs w:val="16"/>
        </w:rPr>
        <w:t xml:space="preserve">15 (28) января 1915 года </w:t>
      </w:r>
      <w:r w:rsidR="0055780C" w:rsidRPr="00405303">
        <w:rPr>
          <w:bCs/>
          <w:color w:val="002060"/>
          <w:sz w:val="16"/>
          <w:szCs w:val="16"/>
        </w:rPr>
        <w:t xml:space="preserve">с помощью сообщений из действующей армии, появившийся над станцией Влохи </w:t>
      </w:r>
      <w:r w:rsidRPr="00405303">
        <w:rPr>
          <w:bCs/>
          <w:color w:val="002060"/>
          <w:sz w:val="16"/>
          <w:szCs w:val="16"/>
        </w:rPr>
        <w:t>аэроплан был обстрелян сразу тремя батареями и ушел, сбросив бомбу на пустырь. Но другому аэроплану в этот день удалось сбросить три бомбы на центр города, правда, без жертв.</w:t>
      </w:r>
    </w:p>
    <w:p w14:paraId="2489D39E" w14:textId="77777777" w:rsidR="004B4E35" w:rsidRPr="00405303" w:rsidRDefault="004B4E35" w:rsidP="00C15251">
      <w:pPr>
        <w:shd w:val="clear" w:color="auto" w:fill="FFFFFF"/>
        <w:jc w:val="both"/>
        <w:rPr>
          <w:bCs/>
          <w:i/>
          <w:color w:val="002060"/>
          <w:sz w:val="16"/>
          <w:szCs w:val="16"/>
        </w:rPr>
      </w:pPr>
    </w:p>
    <w:p w14:paraId="56882146"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3F716235" w14:textId="77777777" w:rsidR="004B4E35" w:rsidRPr="00405303" w:rsidRDefault="004B4E35" w:rsidP="00C15251">
      <w:pPr>
        <w:shd w:val="clear" w:color="auto" w:fill="FFFFFF"/>
        <w:jc w:val="both"/>
        <w:rPr>
          <w:bCs/>
          <w:i/>
          <w:color w:val="002060"/>
          <w:sz w:val="16"/>
          <w:szCs w:val="16"/>
        </w:rPr>
      </w:pPr>
    </w:p>
    <w:p w14:paraId="050C076F" w14:textId="77777777" w:rsidR="0055780C" w:rsidRPr="00405303" w:rsidRDefault="0055780C" w:rsidP="00C15251">
      <w:pPr>
        <w:shd w:val="clear" w:color="auto" w:fill="FFFFFF"/>
        <w:jc w:val="both"/>
        <w:rPr>
          <w:bCs/>
          <w:color w:val="002060"/>
          <w:sz w:val="16"/>
          <w:szCs w:val="16"/>
        </w:rPr>
      </w:pPr>
      <w:bookmarkStart w:id="19" w:name="_Hlk117440746"/>
      <w:r w:rsidRPr="00405303">
        <w:rPr>
          <w:bCs/>
          <w:color w:val="002060"/>
          <w:sz w:val="16"/>
          <w:szCs w:val="16"/>
        </w:rPr>
        <w:t>15 (28) января 1915 года адмирал Эссен по</w:t>
      </w:r>
      <w:r w:rsidRPr="00405303">
        <w:rPr>
          <w:bCs/>
          <w:color w:val="002060"/>
          <w:sz w:val="16"/>
          <w:szCs w:val="16"/>
        </w:rPr>
        <w:softHyphen/>
        <w:t>ставил вопрос о создании в Свеаборгской крепости и Гельсингфорском рейде, где в зимнее время стояли линейные корабли, скованные льдом, воздушной станции, считая достаточным на первых порах иметь 4 колесных аэроплана, позаимствованных у ар</w:t>
      </w:r>
      <w:r w:rsidRPr="00405303">
        <w:rPr>
          <w:bCs/>
          <w:color w:val="002060"/>
          <w:sz w:val="16"/>
          <w:szCs w:val="16"/>
        </w:rPr>
        <w:softHyphen/>
        <w:t>мии. Постройка станции и формирование отряда затянулась до середины весны (11283).</w:t>
      </w:r>
    </w:p>
    <w:p w14:paraId="3985DDCE" w14:textId="77777777" w:rsidR="0055780C" w:rsidRPr="00405303" w:rsidRDefault="0055780C" w:rsidP="00C15251">
      <w:pPr>
        <w:shd w:val="clear" w:color="auto" w:fill="FFFFFF"/>
        <w:jc w:val="both"/>
        <w:rPr>
          <w:bCs/>
          <w:color w:val="002060"/>
          <w:sz w:val="16"/>
          <w:szCs w:val="16"/>
        </w:rPr>
      </w:pPr>
    </w:p>
    <w:bookmarkEnd w:id="19"/>
    <w:p w14:paraId="6A1F212D" w14:textId="5C65C9CE" w:rsidR="00BE7BD1" w:rsidRPr="00405303" w:rsidRDefault="009E6F82" w:rsidP="00C15251">
      <w:pPr>
        <w:jc w:val="both"/>
        <w:rPr>
          <w:bCs/>
          <w:color w:val="002060"/>
          <w:sz w:val="16"/>
          <w:szCs w:val="16"/>
        </w:rPr>
      </w:pPr>
      <w:r w:rsidRPr="00405303">
        <w:rPr>
          <w:bCs/>
          <w:color w:val="002060"/>
          <w:sz w:val="16"/>
          <w:szCs w:val="16"/>
        </w:rPr>
        <w:t xml:space="preserve">15 </w:t>
      </w:r>
      <w:r w:rsidR="00A41340" w:rsidRPr="00405303">
        <w:rPr>
          <w:bCs/>
          <w:color w:val="002060"/>
          <w:sz w:val="16"/>
          <w:szCs w:val="16"/>
        </w:rPr>
        <w:t xml:space="preserve">(28) </w:t>
      </w:r>
      <w:r w:rsidRPr="00405303">
        <w:rPr>
          <w:bCs/>
          <w:color w:val="002060"/>
          <w:sz w:val="16"/>
          <w:szCs w:val="16"/>
        </w:rPr>
        <w:t>января 1915 года</w:t>
      </w:r>
      <w:r w:rsidR="00BE7BD1" w:rsidRPr="00405303">
        <w:rPr>
          <w:bCs/>
          <w:color w:val="002060"/>
          <w:sz w:val="16"/>
          <w:szCs w:val="16"/>
        </w:rPr>
        <w:t>, согласившись в целом с предложениями Н.О.Эссена, И.К.Григорович</w:t>
      </w:r>
      <w:r w:rsidRPr="00405303">
        <w:rPr>
          <w:bCs/>
          <w:color w:val="002060"/>
          <w:sz w:val="16"/>
          <w:szCs w:val="16"/>
        </w:rPr>
        <w:t xml:space="preserve"> дал согласие на переоборудование судна, но посчитал, что к работам также следует привлечь Путиловский и Невский заводы</w:t>
      </w:r>
      <w:r w:rsidR="00BE7BD1" w:rsidRPr="00405303">
        <w:rPr>
          <w:bCs/>
          <w:color w:val="002060"/>
          <w:sz w:val="16"/>
          <w:szCs w:val="16"/>
        </w:rPr>
        <w:t>.</w:t>
      </w:r>
    </w:p>
    <w:p w14:paraId="4748B4BB" w14:textId="77777777" w:rsidR="00BE7BD1" w:rsidRPr="00405303" w:rsidRDefault="00BE7BD1" w:rsidP="00C15251">
      <w:pPr>
        <w:jc w:val="both"/>
        <w:rPr>
          <w:bCs/>
          <w:color w:val="002060"/>
          <w:sz w:val="16"/>
          <w:szCs w:val="16"/>
        </w:rPr>
      </w:pPr>
      <w:r w:rsidRPr="00405303">
        <w:rPr>
          <w:bCs/>
          <w:color w:val="002060"/>
          <w:sz w:val="16"/>
          <w:szCs w:val="16"/>
        </w:rPr>
        <w:t xml:space="preserve">Поскольку корабль должен был иметь «чисто боевое назначение», нести военный флаг и обслуживаться военной командой, Эссен предложил приобрести пароход в полную собственность морского ведомства и зачислить его во II ранг в разряд вспомогательных крейсеров с наименованием «Орлица». Срок готовности этого, крайне необходимого для флота, корабля устанавливался не позже апреля 1915 года. Разработку проекта переоборудования возложили на инженера по авиационной части Службы связи морского инженера П.А.Шишкова. </w:t>
      </w:r>
    </w:p>
    <w:p w14:paraId="28AA97B7" w14:textId="12358AE8" w:rsidR="004B4E35" w:rsidRPr="00405303" w:rsidRDefault="00BE7BD1" w:rsidP="00C15251">
      <w:pPr>
        <w:jc w:val="both"/>
        <w:rPr>
          <w:bCs/>
          <w:color w:val="002060"/>
          <w:sz w:val="16"/>
          <w:szCs w:val="16"/>
        </w:rPr>
      </w:pPr>
      <w:r w:rsidRPr="00405303">
        <w:rPr>
          <w:bCs/>
          <w:color w:val="002060"/>
          <w:sz w:val="16"/>
          <w:szCs w:val="16"/>
        </w:rPr>
        <w:t xml:space="preserve">Приобретение парохода в полную собственность казны представлялось Морскому генеральному штабу, поддержавшему в этом Эссена, более выгодным: переоборудование требовало больших затрат, а приведение судна в первоначальный вид, в случае его возвращения владельцам после войны, вызвало бы «бесполезный расход». К тому же специальное авиационное судно не потеряло бы своего значения и </w:t>
      </w:r>
      <w:proofErr w:type="gramStart"/>
      <w:r w:rsidRPr="00405303">
        <w:rPr>
          <w:bCs/>
          <w:color w:val="002060"/>
          <w:sz w:val="16"/>
          <w:szCs w:val="16"/>
        </w:rPr>
        <w:t>в мирное время</w:t>
      </w:r>
      <w:proofErr w:type="gramEnd"/>
      <w:r w:rsidRPr="00405303">
        <w:rPr>
          <w:bCs/>
          <w:color w:val="002060"/>
          <w:sz w:val="16"/>
          <w:szCs w:val="16"/>
        </w:rPr>
        <w:t xml:space="preserve"> и с успехом могло использоваться для обучения и тренировок личного состава. По мнению Морского генерального штаба, выполнение работ по кораблестроительной части следовало поручить Адмиралтейскому судостроительному заводу, а прочие работы — Петроградскому порту</w:t>
      </w:r>
      <w:r w:rsidR="009E6F82" w:rsidRPr="00405303">
        <w:rPr>
          <w:bCs/>
          <w:color w:val="002060"/>
          <w:sz w:val="16"/>
          <w:szCs w:val="16"/>
        </w:rPr>
        <w:t xml:space="preserve"> (11333).</w:t>
      </w:r>
    </w:p>
    <w:p w14:paraId="338B0EBD" w14:textId="77777777" w:rsidR="004B4E35" w:rsidRPr="00405303" w:rsidRDefault="004B4E35" w:rsidP="00C15251">
      <w:pPr>
        <w:shd w:val="clear" w:color="auto" w:fill="FFFFFF"/>
        <w:jc w:val="both"/>
        <w:rPr>
          <w:bCs/>
          <w:i/>
          <w:color w:val="002060"/>
          <w:sz w:val="16"/>
          <w:szCs w:val="16"/>
        </w:rPr>
      </w:pPr>
    </w:p>
    <w:p w14:paraId="27A2AB60" w14:textId="70D2E8F4" w:rsidR="00977D3E" w:rsidRPr="00405303" w:rsidRDefault="00977D3E" w:rsidP="00C15251">
      <w:pPr>
        <w:jc w:val="both"/>
        <w:rPr>
          <w:bCs/>
          <w:color w:val="002060"/>
          <w:sz w:val="16"/>
          <w:szCs w:val="16"/>
        </w:rPr>
      </w:pPr>
      <w:r w:rsidRPr="00405303">
        <w:rPr>
          <w:bCs/>
          <w:color w:val="002060"/>
          <w:sz w:val="16"/>
          <w:szCs w:val="16"/>
        </w:rPr>
        <w:t xml:space="preserve">15 </w:t>
      </w:r>
      <w:r w:rsidR="00BE7BD1" w:rsidRPr="00405303">
        <w:rPr>
          <w:bCs/>
          <w:color w:val="002060"/>
          <w:sz w:val="16"/>
          <w:szCs w:val="16"/>
        </w:rPr>
        <w:t xml:space="preserve">(28) </w:t>
      </w:r>
      <w:r w:rsidRPr="00405303">
        <w:rPr>
          <w:bCs/>
          <w:color w:val="002060"/>
          <w:sz w:val="16"/>
          <w:szCs w:val="16"/>
        </w:rPr>
        <w:t xml:space="preserve">января 1915 г </w:t>
      </w:r>
      <w:r w:rsidR="00BE7BD1" w:rsidRPr="00405303">
        <w:rPr>
          <w:bCs/>
          <w:color w:val="002060"/>
          <w:sz w:val="16"/>
          <w:szCs w:val="16"/>
        </w:rPr>
        <w:t>Морской министр И.К.Григоро</w:t>
      </w:r>
      <w:r w:rsidR="00BE7BD1" w:rsidRPr="00405303">
        <w:rPr>
          <w:bCs/>
          <w:color w:val="002060"/>
          <w:sz w:val="16"/>
          <w:szCs w:val="16"/>
        </w:rPr>
        <w:softHyphen/>
        <w:t xml:space="preserve">вич </w:t>
      </w:r>
      <w:r w:rsidRPr="00405303">
        <w:rPr>
          <w:bCs/>
          <w:color w:val="002060"/>
          <w:sz w:val="16"/>
          <w:szCs w:val="16"/>
        </w:rPr>
        <w:t>согласился на переоборудование судна, но пола</w:t>
      </w:r>
      <w:r w:rsidRPr="00405303">
        <w:rPr>
          <w:bCs/>
          <w:color w:val="002060"/>
          <w:sz w:val="16"/>
          <w:szCs w:val="16"/>
        </w:rPr>
        <w:softHyphen/>
        <w:t>гал, что к работам также следует привлечь Путиловский и Невский заводы. 24 января 1915 г. Григоро</w:t>
      </w:r>
      <w:r w:rsidRPr="00405303">
        <w:rPr>
          <w:bCs/>
          <w:color w:val="002060"/>
          <w:sz w:val="16"/>
          <w:szCs w:val="16"/>
        </w:rPr>
        <w:softHyphen/>
        <w:t>вич разрешил дать наряд Путилов- ской верфи на переоборудование парохода до 1 апреля 1915 г, воз</w:t>
      </w:r>
      <w:r w:rsidRPr="00405303">
        <w:rPr>
          <w:bCs/>
          <w:color w:val="002060"/>
          <w:sz w:val="16"/>
          <w:szCs w:val="16"/>
        </w:rPr>
        <w:softHyphen/>
        <w:t>ложив наблюдение за работами от морского ведомства на капитана 2-го ранга Б.П.Дудорова, назначен</w:t>
      </w:r>
      <w:r w:rsidRPr="00405303">
        <w:rPr>
          <w:bCs/>
          <w:color w:val="002060"/>
          <w:sz w:val="16"/>
          <w:szCs w:val="16"/>
        </w:rPr>
        <w:softHyphen/>
        <w:t>ного впоследствии (6 марта) коман</w:t>
      </w:r>
      <w:r w:rsidRPr="00405303">
        <w:rPr>
          <w:bCs/>
          <w:color w:val="002060"/>
          <w:sz w:val="16"/>
          <w:szCs w:val="16"/>
        </w:rPr>
        <w:softHyphen/>
        <w:t>диром корабля.</w:t>
      </w:r>
    </w:p>
    <w:p w14:paraId="26953FFE" w14:textId="77777777" w:rsidR="00977D3E" w:rsidRPr="00405303" w:rsidRDefault="00977D3E" w:rsidP="00C15251">
      <w:pPr>
        <w:pStyle w:val="a5"/>
        <w:rPr>
          <w:bCs/>
          <w:color w:val="002060"/>
          <w:sz w:val="16"/>
          <w:szCs w:val="16"/>
          <w:lang w:val="ru-RU"/>
        </w:rPr>
      </w:pPr>
      <w:r w:rsidRPr="00405303">
        <w:rPr>
          <w:bCs/>
          <w:color w:val="002060"/>
          <w:sz w:val="16"/>
          <w:szCs w:val="16"/>
          <w:lang w:val="ru-RU"/>
        </w:rPr>
        <w:t xml:space="preserve">Приказом по флоту и морскому ведомству за № 43 от 7 февраля 1915 г. император Николай </w:t>
      </w:r>
      <w:r w:rsidRPr="00405303">
        <w:rPr>
          <w:bCs/>
          <w:color w:val="002060"/>
          <w:sz w:val="16"/>
          <w:szCs w:val="16"/>
        </w:rPr>
        <w:t>II</w:t>
      </w:r>
      <w:r w:rsidRPr="00405303">
        <w:rPr>
          <w:bCs/>
          <w:color w:val="002060"/>
          <w:sz w:val="16"/>
          <w:szCs w:val="16"/>
          <w:lang w:val="ru-RU"/>
        </w:rPr>
        <w:t xml:space="preserve"> пове</w:t>
      </w:r>
      <w:r w:rsidRPr="00405303">
        <w:rPr>
          <w:bCs/>
          <w:color w:val="002060"/>
          <w:sz w:val="16"/>
          <w:szCs w:val="16"/>
          <w:lang w:val="ru-RU"/>
        </w:rPr>
        <w:softHyphen/>
        <w:t>лел зачислить пароход в класс учеб</w:t>
      </w:r>
      <w:r w:rsidRPr="00405303">
        <w:rPr>
          <w:bCs/>
          <w:color w:val="002060"/>
          <w:sz w:val="16"/>
          <w:szCs w:val="16"/>
          <w:lang w:val="ru-RU"/>
        </w:rPr>
        <w:softHyphen/>
        <w:t>ных судов и присвоить ему наиме</w:t>
      </w:r>
      <w:r w:rsidRPr="00405303">
        <w:rPr>
          <w:bCs/>
          <w:color w:val="002060"/>
          <w:sz w:val="16"/>
          <w:szCs w:val="16"/>
          <w:lang w:val="ru-RU"/>
        </w:rPr>
        <w:softHyphen/>
        <w:t>нование «Орлица». В документах «Орлицу» называли авиационной базой, авиационным судном, авиа</w:t>
      </w:r>
      <w:r w:rsidRPr="00405303">
        <w:rPr>
          <w:bCs/>
          <w:color w:val="002060"/>
          <w:sz w:val="16"/>
          <w:szCs w:val="16"/>
          <w:lang w:val="ru-RU"/>
        </w:rPr>
        <w:softHyphen/>
        <w:t>транспортом. Согласно боевому расписанию 1915 г. «Орлицу» пред</w:t>
      </w:r>
      <w:r w:rsidRPr="00405303">
        <w:rPr>
          <w:bCs/>
          <w:color w:val="002060"/>
          <w:sz w:val="16"/>
          <w:szCs w:val="16"/>
          <w:lang w:val="ru-RU"/>
        </w:rPr>
        <w:softHyphen/>
        <w:t>полагалось использовать «при Службе связи» Балтийского моря. Судно должно было нести четыре гидросамолета в готовом к спуску виде и четыре запасных в состоя</w:t>
      </w:r>
      <w:r w:rsidRPr="00405303">
        <w:rPr>
          <w:bCs/>
          <w:color w:val="002060"/>
          <w:sz w:val="16"/>
          <w:szCs w:val="16"/>
          <w:lang w:val="ru-RU"/>
        </w:rPr>
        <w:softHyphen/>
        <w:t>нии четырехчасовой готовности.</w:t>
      </w:r>
    </w:p>
    <w:p w14:paraId="46C4BD01" w14:textId="77777777" w:rsidR="00977D3E" w:rsidRPr="00405303" w:rsidRDefault="00977D3E" w:rsidP="00C15251">
      <w:pPr>
        <w:pStyle w:val="a5"/>
        <w:rPr>
          <w:bCs/>
          <w:color w:val="002060"/>
          <w:sz w:val="16"/>
          <w:szCs w:val="16"/>
          <w:lang w:val="ru-RU"/>
        </w:rPr>
      </w:pPr>
      <w:r w:rsidRPr="00405303">
        <w:rPr>
          <w:bCs/>
          <w:color w:val="002060"/>
          <w:sz w:val="16"/>
          <w:szCs w:val="16"/>
          <w:lang w:val="ru-RU"/>
        </w:rPr>
        <w:t>В процессе переоборудования на «Орлице» смонтировали четы</w:t>
      </w:r>
      <w:r w:rsidRPr="00405303">
        <w:rPr>
          <w:bCs/>
          <w:color w:val="002060"/>
          <w:sz w:val="16"/>
          <w:szCs w:val="16"/>
          <w:lang w:val="ru-RU"/>
        </w:rPr>
        <w:softHyphen/>
        <w:t>ре облегчённые поворотные стре</w:t>
      </w:r>
      <w:r w:rsidRPr="00405303">
        <w:rPr>
          <w:bCs/>
          <w:color w:val="002060"/>
          <w:sz w:val="16"/>
          <w:szCs w:val="16"/>
          <w:lang w:val="ru-RU"/>
        </w:rPr>
        <w:softHyphen/>
        <w:t>лы для подъёма и спуска самолё</w:t>
      </w:r>
      <w:r w:rsidRPr="00405303">
        <w:rPr>
          <w:bCs/>
          <w:color w:val="002060"/>
          <w:sz w:val="16"/>
          <w:szCs w:val="16"/>
          <w:lang w:val="ru-RU"/>
        </w:rPr>
        <w:softHyphen/>
        <w:t>тов, кильблоки (подставка для уста</w:t>
      </w:r>
      <w:r w:rsidRPr="00405303">
        <w:rPr>
          <w:bCs/>
          <w:color w:val="002060"/>
          <w:sz w:val="16"/>
          <w:szCs w:val="16"/>
          <w:lang w:val="ru-RU"/>
        </w:rPr>
        <w:softHyphen/>
        <w:t>новки гидросамолёта), импровизи</w:t>
      </w:r>
      <w:r w:rsidRPr="00405303">
        <w:rPr>
          <w:bCs/>
          <w:color w:val="002060"/>
          <w:sz w:val="16"/>
          <w:szCs w:val="16"/>
          <w:lang w:val="ru-RU"/>
        </w:rPr>
        <w:softHyphen/>
        <w:t>рованные носовой и кормовой ангары на два гидросамолета (типа ФБА) каждый, прикрытые с бортов брезентовыми обвесами. Для извле</w:t>
      </w:r>
      <w:r w:rsidRPr="00405303">
        <w:rPr>
          <w:bCs/>
          <w:color w:val="002060"/>
          <w:sz w:val="16"/>
          <w:szCs w:val="16"/>
          <w:lang w:val="ru-RU"/>
        </w:rPr>
        <w:softHyphen/>
        <w:t>чения самолета из ангара брезент закатывался кверху, стойки завали</w:t>
      </w:r>
      <w:r w:rsidRPr="00405303">
        <w:rPr>
          <w:bCs/>
          <w:color w:val="002060"/>
          <w:sz w:val="16"/>
          <w:szCs w:val="16"/>
          <w:lang w:val="ru-RU"/>
        </w:rPr>
        <w:softHyphen/>
        <w:t>вались. Четыре гидросамолета под</w:t>
      </w:r>
      <w:r w:rsidRPr="00405303">
        <w:rPr>
          <w:bCs/>
          <w:color w:val="002060"/>
          <w:sz w:val="16"/>
          <w:szCs w:val="16"/>
          <w:lang w:val="ru-RU"/>
        </w:rPr>
        <w:softHyphen/>
        <w:t>нимались на борт за 20 мин, спуск занимал 12 мин. В конструкцию верхней палубы и полубака ввели подкрепления для установки орудий. Кроме того, было смонтировано оборудование и верстак для ремон</w:t>
      </w:r>
      <w:r w:rsidRPr="00405303">
        <w:rPr>
          <w:bCs/>
          <w:color w:val="002060"/>
          <w:sz w:val="16"/>
          <w:szCs w:val="16"/>
          <w:lang w:val="ru-RU"/>
        </w:rPr>
        <w:softHyphen/>
        <w:t>та авиамоторов, установили два токарных, револьверный, фрезер</w:t>
      </w:r>
      <w:r w:rsidRPr="00405303">
        <w:rPr>
          <w:bCs/>
          <w:color w:val="002060"/>
          <w:sz w:val="16"/>
          <w:szCs w:val="16"/>
          <w:lang w:val="ru-RU"/>
        </w:rPr>
        <w:softHyphen/>
        <w:t>ный, два сверлильных станка и дру</w:t>
      </w:r>
      <w:r w:rsidRPr="00405303">
        <w:rPr>
          <w:bCs/>
          <w:color w:val="002060"/>
          <w:sz w:val="16"/>
          <w:szCs w:val="16"/>
          <w:lang w:val="ru-RU"/>
        </w:rPr>
        <w:softHyphen/>
        <w:t>гое оборудование для ремонта самолётов. В трюмах устроили два артиллерийских погреба для сна</w:t>
      </w:r>
      <w:r w:rsidRPr="00405303">
        <w:rPr>
          <w:bCs/>
          <w:color w:val="002060"/>
          <w:sz w:val="16"/>
          <w:szCs w:val="16"/>
          <w:lang w:val="ru-RU"/>
        </w:rPr>
        <w:softHyphen/>
        <w:t>рядов, авиабомб калибра 12,4-кг, две цистерны для бензина по 3,28 т (бензин по трубопроводам под дав</w:t>
      </w:r>
      <w:r w:rsidRPr="00405303">
        <w:rPr>
          <w:bCs/>
          <w:color w:val="002060"/>
          <w:sz w:val="16"/>
          <w:szCs w:val="16"/>
          <w:lang w:val="ru-RU"/>
        </w:rPr>
        <w:softHyphen/>
        <w:t>лением подавался в сборочную мастерскую и к гидросамолетам), кладовые для авиационного масла и другого имущества. На крыше ходовой рубки и легком настиле у гакаборта установили два 75-см прожектора. Вооружение «Орлицы» состояло из шести орудий калибра 75 мм и четырёх пулеметов.</w:t>
      </w:r>
    </w:p>
    <w:p w14:paraId="04939F04" w14:textId="77777777" w:rsidR="00977D3E" w:rsidRPr="00405303" w:rsidRDefault="00977D3E" w:rsidP="00C15251">
      <w:pPr>
        <w:pStyle w:val="a5"/>
        <w:rPr>
          <w:bCs/>
          <w:color w:val="002060"/>
          <w:sz w:val="16"/>
          <w:szCs w:val="16"/>
          <w:lang w:val="ru-RU"/>
        </w:rPr>
      </w:pPr>
      <w:r w:rsidRPr="00405303">
        <w:rPr>
          <w:bCs/>
          <w:color w:val="002060"/>
          <w:sz w:val="16"/>
          <w:szCs w:val="16"/>
          <w:lang w:val="ru-RU"/>
        </w:rPr>
        <w:t>20 апреля 1915 года судно офи</w:t>
      </w:r>
      <w:r w:rsidRPr="00405303">
        <w:rPr>
          <w:bCs/>
          <w:color w:val="002060"/>
          <w:sz w:val="16"/>
          <w:szCs w:val="16"/>
          <w:lang w:val="ru-RU"/>
        </w:rPr>
        <w:softHyphen/>
        <w:t>циально зачислили в состав Служ</w:t>
      </w:r>
      <w:r w:rsidRPr="00405303">
        <w:rPr>
          <w:bCs/>
          <w:color w:val="002060"/>
          <w:sz w:val="16"/>
          <w:szCs w:val="16"/>
          <w:lang w:val="ru-RU"/>
        </w:rPr>
        <w:softHyphen/>
        <w:t>бы связи Балтийского моря, и 15 мая оно начало кампанию. Одна</w:t>
      </w:r>
      <w:r w:rsidRPr="00405303">
        <w:rPr>
          <w:bCs/>
          <w:color w:val="002060"/>
          <w:sz w:val="16"/>
          <w:szCs w:val="16"/>
          <w:lang w:val="ru-RU"/>
        </w:rPr>
        <w:softHyphen/>
        <w:t>ко мелкие работы на «Орлице» вы</w:t>
      </w:r>
      <w:r w:rsidRPr="00405303">
        <w:rPr>
          <w:bCs/>
          <w:color w:val="002060"/>
          <w:sz w:val="16"/>
          <w:szCs w:val="16"/>
          <w:lang w:val="ru-RU"/>
        </w:rPr>
        <w:softHyphen/>
        <w:t>полнялись вплоть до ноября 1915 г., даже в период ее участия в боевых действиях.</w:t>
      </w:r>
    </w:p>
    <w:p w14:paraId="2E481327" w14:textId="77777777" w:rsidR="00977D3E" w:rsidRPr="00405303" w:rsidRDefault="00977D3E" w:rsidP="00C15251">
      <w:pPr>
        <w:pStyle w:val="a5"/>
        <w:rPr>
          <w:bCs/>
          <w:color w:val="002060"/>
          <w:sz w:val="16"/>
          <w:szCs w:val="16"/>
          <w:lang w:val="ru-RU"/>
        </w:rPr>
      </w:pPr>
      <w:r w:rsidRPr="00405303">
        <w:rPr>
          <w:bCs/>
          <w:color w:val="002060"/>
          <w:sz w:val="16"/>
          <w:szCs w:val="16"/>
          <w:lang w:val="ru-RU"/>
        </w:rPr>
        <w:t>Несколько расширенное описа</w:t>
      </w:r>
      <w:r w:rsidRPr="00405303">
        <w:rPr>
          <w:bCs/>
          <w:color w:val="002060"/>
          <w:sz w:val="16"/>
          <w:szCs w:val="16"/>
          <w:lang w:val="ru-RU"/>
        </w:rPr>
        <w:softHyphen/>
        <w:t>ние авиационного оборудования приведено, чтобы показать слож</w:t>
      </w:r>
      <w:r w:rsidRPr="00405303">
        <w:rPr>
          <w:bCs/>
          <w:color w:val="002060"/>
          <w:sz w:val="16"/>
          <w:szCs w:val="16"/>
          <w:lang w:val="ru-RU"/>
        </w:rPr>
        <w:softHyphen/>
        <w:t>ность работ. Уже первый опыт по</w:t>
      </w:r>
      <w:r w:rsidRPr="00405303">
        <w:rPr>
          <w:bCs/>
          <w:color w:val="002060"/>
          <w:sz w:val="16"/>
          <w:szCs w:val="16"/>
          <w:lang w:val="ru-RU"/>
        </w:rPr>
        <w:softHyphen/>
        <w:t>казал, что ангары «Орлицы» нуж</w:t>
      </w:r>
      <w:r w:rsidRPr="00405303">
        <w:rPr>
          <w:bCs/>
          <w:color w:val="002060"/>
          <w:sz w:val="16"/>
          <w:szCs w:val="16"/>
          <w:lang w:val="ru-RU"/>
        </w:rPr>
        <w:softHyphen/>
        <w:t>даются в доработке и в конце фев</w:t>
      </w:r>
      <w:r w:rsidRPr="00405303">
        <w:rPr>
          <w:bCs/>
          <w:color w:val="002060"/>
          <w:sz w:val="16"/>
          <w:szCs w:val="16"/>
          <w:lang w:val="ru-RU"/>
        </w:rPr>
        <w:softHyphen/>
        <w:t>раля 1916 г. их произвели на заво</w:t>
      </w:r>
      <w:r w:rsidRPr="00405303">
        <w:rPr>
          <w:bCs/>
          <w:color w:val="002060"/>
          <w:sz w:val="16"/>
          <w:szCs w:val="16"/>
          <w:lang w:val="ru-RU"/>
        </w:rPr>
        <w:softHyphen/>
        <w:t>де в Гельсингфорсе. С 23 мая по 2 июня 1916 года, во время захода «Орлицы» под командованием ка</w:t>
      </w:r>
      <w:r w:rsidRPr="00405303">
        <w:rPr>
          <w:bCs/>
          <w:color w:val="002060"/>
          <w:sz w:val="16"/>
          <w:szCs w:val="16"/>
          <w:lang w:val="ru-RU"/>
        </w:rPr>
        <w:softHyphen/>
        <w:t>питана 2-го ранга Н.Н.Ромашева в Петроград, были выполнены рабо</w:t>
      </w:r>
      <w:r w:rsidRPr="00405303">
        <w:rPr>
          <w:bCs/>
          <w:color w:val="002060"/>
          <w:sz w:val="16"/>
          <w:szCs w:val="16"/>
          <w:lang w:val="ru-RU"/>
        </w:rPr>
        <w:softHyphen/>
        <w:t>ты, чтобы обеспечить базирование гидросамолетов М-9. Наблюдение за работами осуществлял полков</w:t>
      </w:r>
      <w:r w:rsidRPr="00405303">
        <w:rPr>
          <w:bCs/>
          <w:color w:val="002060"/>
          <w:sz w:val="16"/>
          <w:szCs w:val="16"/>
          <w:lang w:val="ru-RU"/>
        </w:rPr>
        <w:softHyphen/>
        <w:t>ник корпуса корабельных инжене</w:t>
      </w:r>
      <w:r w:rsidRPr="00405303">
        <w:rPr>
          <w:bCs/>
          <w:color w:val="002060"/>
          <w:sz w:val="16"/>
          <w:szCs w:val="16"/>
          <w:lang w:val="ru-RU"/>
        </w:rPr>
        <w:softHyphen/>
        <w:t>ров И.Е.Храповицкий. Специалисты Путиловской верфи установили новые кильблоки для М-9 и устрой</w:t>
      </w:r>
      <w:r w:rsidRPr="00405303">
        <w:rPr>
          <w:bCs/>
          <w:color w:val="002060"/>
          <w:sz w:val="16"/>
          <w:szCs w:val="16"/>
          <w:lang w:val="ru-RU"/>
        </w:rPr>
        <w:softHyphen/>
        <w:t>ства для их крепления по-походно</w:t>
      </w:r>
      <w:r w:rsidRPr="00405303">
        <w:rPr>
          <w:bCs/>
          <w:color w:val="002060"/>
          <w:sz w:val="16"/>
          <w:szCs w:val="16"/>
          <w:lang w:val="ru-RU"/>
        </w:rPr>
        <w:softHyphen/>
        <w:t>му. Гаки с карабинами для спуска и подъема гидросамолетов заменили более мощными. «Орлица» прини</w:t>
      </w:r>
      <w:r w:rsidRPr="00405303">
        <w:rPr>
          <w:bCs/>
          <w:color w:val="002060"/>
          <w:sz w:val="16"/>
          <w:szCs w:val="16"/>
          <w:lang w:val="ru-RU"/>
        </w:rPr>
        <w:softHyphen/>
        <w:t>мала участие в боевых действиях, а в апреле 1918 г. в составе одно</w:t>
      </w:r>
      <w:r w:rsidRPr="00405303">
        <w:rPr>
          <w:bCs/>
          <w:color w:val="002060"/>
          <w:sz w:val="16"/>
          <w:szCs w:val="16"/>
          <w:lang w:val="ru-RU"/>
        </w:rPr>
        <w:softHyphen/>
        <w:t>го из эшелонов Ледового похода перешла в Кронштадт. В начале августа 1918 г. «Орлицу» разору</w:t>
      </w:r>
      <w:r w:rsidRPr="00405303">
        <w:rPr>
          <w:bCs/>
          <w:color w:val="002060"/>
          <w:sz w:val="16"/>
          <w:szCs w:val="16"/>
          <w:lang w:val="ru-RU"/>
        </w:rPr>
        <w:softHyphen/>
        <w:t>жили, передали Главному управле</w:t>
      </w:r>
      <w:r w:rsidRPr="00405303">
        <w:rPr>
          <w:bCs/>
          <w:color w:val="002060"/>
          <w:sz w:val="16"/>
          <w:szCs w:val="16"/>
          <w:lang w:val="ru-RU"/>
        </w:rPr>
        <w:softHyphen/>
        <w:t>нию водного транспорта Народно</w:t>
      </w:r>
      <w:r w:rsidRPr="00405303">
        <w:rPr>
          <w:bCs/>
          <w:color w:val="002060"/>
          <w:sz w:val="16"/>
          <w:szCs w:val="16"/>
          <w:lang w:val="ru-RU"/>
        </w:rPr>
        <w:softHyphen/>
        <w:t>го комиссариата путей сообщения и переименовали в «Совет». Паро</w:t>
      </w:r>
      <w:r w:rsidRPr="00405303">
        <w:rPr>
          <w:bCs/>
          <w:color w:val="002060"/>
          <w:sz w:val="16"/>
          <w:szCs w:val="16"/>
          <w:lang w:val="ru-RU"/>
        </w:rPr>
        <w:softHyphen/>
        <w:t>ход выполнял грузо-пассажирские перевозки, числясь в Балтийском морском пароходстве. В 1930 г. «Со</w:t>
      </w:r>
      <w:r w:rsidRPr="00405303">
        <w:rPr>
          <w:bCs/>
          <w:color w:val="002060"/>
          <w:sz w:val="16"/>
          <w:szCs w:val="16"/>
          <w:lang w:val="ru-RU"/>
        </w:rPr>
        <w:softHyphen/>
        <w:t>вет» перешел с Балтики во Влади</w:t>
      </w:r>
      <w:r w:rsidRPr="00405303">
        <w:rPr>
          <w:bCs/>
          <w:color w:val="002060"/>
          <w:sz w:val="16"/>
          <w:szCs w:val="16"/>
          <w:lang w:val="ru-RU"/>
        </w:rPr>
        <w:softHyphen/>
        <w:t>восток и вошел в состав Дальнево</w:t>
      </w:r>
      <w:r w:rsidRPr="00405303">
        <w:rPr>
          <w:bCs/>
          <w:color w:val="002060"/>
          <w:sz w:val="16"/>
          <w:szCs w:val="16"/>
          <w:lang w:val="ru-RU"/>
        </w:rPr>
        <w:softHyphen/>
        <w:t>сточного морского пароходства. Судно обслуживало экспрессную линию Владивосток — Совгавань — Александровск, а также перевози</w:t>
      </w:r>
      <w:r w:rsidRPr="00405303">
        <w:rPr>
          <w:bCs/>
          <w:color w:val="002060"/>
          <w:sz w:val="16"/>
          <w:szCs w:val="16"/>
          <w:lang w:val="ru-RU"/>
        </w:rPr>
        <w:softHyphen/>
        <w:t>ло людей и грузы на линиях Влади</w:t>
      </w:r>
      <w:r w:rsidRPr="00405303">
        <w:rPr>
          <w:bCs/>
          <w:color w:val="002060"/>
          <w:sz w:val="16"/>
          <w:szCs w:val="16"/>
          <w:lang w:val="ru-RU"/>
        </w:rPr>
        <w:softHyphen/>
        <w:t>восток — Нагаево и Владивосток — Петропавловск. В феврале 1934 г. «Совет» под командованием капи</w:t>
      </w:r>
      <w:r w:rsidRPr="00405303">
        <w:rPr>
          <w:bCs/>
          <w:color w:val="002060"/>
          <w:sz w:val="16"/>
          <w:szCs w:val="16"/>
          <w:lang w:val="ru-RU"/>
        </w:rPr>
        <w:softHyphen/>
        <w:t>тана В.П.Сиднева с дирижаблями на борту вышел к берегам Чукотки для участия в операции по спасе</w:t>
      </w:r>
      <w:r w:rsidRPr="00405303">
        <w:rPr>
          <w:bCs/>
          <w:color w:val="002060"/>
          <w:sz w:val="16"/>
          <w:szCs w:val="16"/>
          <w:lang w:val="ru-RU"/>
        </w:rPr>
        <w:softHyphen/>
        <w:t>нию пассажиров и экипажа паро</w:t>
      </w:r>
      <w:r w:rsidRPr="00405303">
        <w:rPr>
          <w:bCs/>
          <w:color w:val="002060"/>
          <w:sz w:val="16"/>
          <w:szCs w:val="16"/>
          <w:lang w:val="ru-RU"/>
        </w:rPr>
        <w:softHyphen/>
        <w:t>хода «Челюскин». В Охотском море обнаружились неполадки в силовой установке, и «Совет» зашел в Пет</w:t>
      </w:r>
      <w:r w:rsidRPr="00405303">
        <w:rPr>
          <w:bCs/>
          <w:color w:val="002060"/>
          <w:sz w:val="16"/>
          <w:szCs w:val="16"/>
          <w:lang w:val="ru-RU"/>
        </w:rPr>
        <w:softHyphen/>
        <w:t>ропавловск-Камчатский, где сдал груз, после чего судно поставили на длительный ремонт. В конце июля 1938 г., во время советско-японско</w:t>
      </w:r>
      <w:r w:rsidRPr="00405303">
        <w:rPr>
          <w:bCs/>
          <w:color w:val="002060"/>
          <w:sz w:val="16"/>
          <w:szCs w:val="16"/>
          <w:lang w:val="ru-RU"/>
        </w:rPr>
        <w:softHyphen/>
        <w:t>го вооруженного конфликта у озе</w:t>
      </w:r>
      <w:r w:rsidRPr="00405303">
        <w:rPr>
          <w:bCs/>
          <w:color w:val="002060"/>
          <w:sz w:val="16"/>
          <w:szCs w:val="16"/>
          <w:lang w:val="ru-RU"/>
        </w:rPr>
        <w:softHyphen/>
        <w:t>ра Хасан, пароход занимался пе</w:t>
      </w:r>
      <w:r w:rsidRPr="00405303">
        <w:rPr>
          <w:bCs/>
          <w:color w:val="002060"/>
          <w:sz w:val="16"/>
          <w:szCs w:val="16"/>
          <w:lang w:val="ru-RU"/>
        </w:rPr>
        <w:softHyphen/>
        <w:t>ревозкой войск, оружия, боеприпа</w:t>
      </w:r>
      <w:r w:rsidRPr="00405303">
        <w:rPr>
          <w:bCs/>
          <w:color w:val="002060"/>
          <w:sz w:val="16"/>
          <w:szCs w:val="16"/>
          <w:lang w:val="ru-RU"/>
        </w:rPr>
        <w:softHyphen/>
        <w:t>сов и военной техники. В годы Ве</w:t>
      </w:r>
      <w:r w:rsidRPr="00405303">
        <w:rPr>
          <w:bCs/>
          <w:color w:val="002060"/>
          <w:sz w:val="16"/>
          <w:szCs w:val="16"/>
          <w:lang w:val="ru-RU"/>
        </w:rPr>
        <w:softHyphen/>
        <w:t>ликой Отечественной войны судно, по-видимому, не совершало даль</w:t>
      </w:r>
      <w:r w:rsidRPr="00405303">
        <w:rPr>
          <w:bCs/>
          <w:color w:val="002060"/>
          <w:sz w:val="16"/>
          <w:szCs w:val="16"/>
          <w:lang w:val="ru-RU"/>
        </w:rPr>
        <w:softHyphen/>
        <w:t>них плаваний. Его списали на ме</w:t>
      </w:r>
      <w:r w:rsidRPr="00405303">
        <w:rPr>
          <w:bCs/>
          <w:color w:val="002060"/>
          <w:sz w:val="16"/>
          <w:szCs w:val="16"/>
          <w:lang w:val="ru-RU"/>
        </w:rPr>
        <w:softHyphen/>
        <w:t>таллолом в 1964 г. (напомним, что построен пароход был в 1903 г.) (11925).</w:t>
      </w:r>
    </w:p>
    <w:p w14:paraId="1E138993" w14:textId="77777777" w:rsidR="00977D3E" w:rsidRPr="00405303" w:rsidRDefault="00977D3E" w:rsidP="00C15251">
      <w:pPr>
        <w:pStyle w:val="a5"/>
        <w:rPr>
          <w:bCs/>
          <w:color w:val="002060"/>
          <w:sz w:val="16"/>
          <w:szCs w:val="16"/>
          <w:lang w:val="ru-RU"/>
        </w:rPr>
      </w:pPr>
    </w:p>
    <w:p w14:paraId="6E918E09" w14:textId="77777777" w:rsidR="00A9503D" w:rsidRPr="00405303" w:rsidRDefault="00A9503D" w:rsidP="00C15251">
      <w:pPr>
        <w:jc w:val="both"/>
        <w:rPr>
          <w:bCs/>
          <w:i/>
          <w:color w:val="002060"/>
          <w:sz w:val="16"/>
          <w:szCs w:val="16"/>
        </w:rPr>
      </w:pPr>
      <w:r w:rsidRPr="00405303">
        <w:rPr>
          <w:bCs/>
          <w:i/>
          <w:color w:val="002060"/>
          <w:sz w:val="16"/>
          <w:szCs w:val="16"/>
        </w:rPr>
        <w:t>Жизнь и внутренняя политика:</w:t>
      </w:r>
    </w:p>
    <w:p w14:paraId="6102F3F7" w14:textId="77777777" w:rsidR="00A9503D" w:rsidRPr="00405303" w:rsidRDefault="00A9503D" w:rsidP="00C15251">
      <w:pPr>
        <w:jc w:val="both"/>
        <w:rPr>
          <w:bCs/>
          <w:i/>
          <w:color w:val="002060"/>
          <w:sz w:val="16"/>
          <w:szCs w:val="16"/>
        </w:rPr>
      </w:pPr>
    </w:p>
    <w:p w14:paraId="49563EF2" w14:textId="581379BF" w:rsidR="00A9503D" w:rsidRPr="00405303" w:rsidRDefault="00A9503D" w:rsidP="00C15251">
      <w:pPr>
        <w:jc w:val="both"/>
        <w:rPr>
          <w:bCs/>
          <w:color w:val="002060"/>
          <w:sz w:val="16"/>
          <w:szCs w:val="16"/>
        </w:rPr>
      </w:pPr>
      <w:r w:rsidRPr="00405303">
        <w:rPr>
          <w:bCs/>
          <w:color w:val="002060"/>
          <w:sz w:val="16"/>
          <w:szCs w:val="16"/>
        </w:rPr>
        <w:t xml:space="preserve">15 </w:t>
      </w:r>
      <w:r w:rsidR="00BE7BD1" w:rsidRPr="00405303">
        <w:rPr>
          <w:bCs/>
          <w:color w:val="002060"/>
          <w:sz w:val="16"/>
          <w:szCs w:val="16"/>
        </w:rPr>
        <w:t xml:space="preserve">(28) </w:t>
      </w:r>
      <w:r w:rsidRPr="00405303">
        <w:rPr>
          <w:bCs/>
          <w:color w:val="002060"/>
          <w:sz w:val="16"/>
          <w:szCs w:val="16"/>
        </w:rPr>
        <w:t>января в 1915 году фрейлина русской императрицы Анна Вырубова попадает в железнодорожную катастрофу и получает тяжелейшие травмы (чудесным образом ее излечит Григорий Распутин) (15010).</w:t>
      </w:r>
    </w:p>
    <w:p w14:paraId="0CB99931" w14:textId="77777777" w:rsidR="00A9503D" w:rsidRPr="00405303" w:rsidRDefault="00A9503D" w:rsidP="00C15251">
      <w:pPr>
        <w:jc w:val="both"/>
        <w:rPr>
          <w:bCs/>
          <w:color w:val="002060"/>
          <w:sz w:val="16"/>
          <w:szCs w:val="16"/>
        </w:rPr>
      </w:pPr>
    </w:p>
    <w:p w14:paraId="4736A705"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lastRenderedPageBreak/>
        <w:t>Самолетостроение:</w:t>
      </w:r>
    </w:p>
    <w:p w14:paraId="16B249D4" w14:textId="77777777" w:rsidR="004B4E35" w:rsidRPr="00405303" w:rsidRDefault="004B4E35" w:rsidP="00C15251">
      <w:pPr>
        <w:shd w:val="clear" w:color="auto" w:fill="FFFFFF"/>
        <w:jc w:val="both"/>
        <w:rPr>
          <w:bCs/>
          <w:i/>
          <w:color w:val="002060"/>
          <w:sz w:val="16"/>
          <w:szCs w:val="16"/>
        </w:rPr>
      </w:pPr>
    </w:p>
    <w:p w14:paraId="34459316" w14:textId="7E326F6C" w:rsidR="004B4E35" w:rsidRPr="00405303" w:rsidRDefault="009E6F82" w:rsidP="00C15251">
      <w:pPr>
        <w:jc w:val="both"/>
        <w:rPr>
          <w:bCs/>
          <w:color w:val="002060"/>
          <w:sz w:val="16"/>
          <w:szCs w:val="16"/>
        </w:rPr>
      </w:pPr>
      <w:r w:rsidRPr="00405303">
        <w:rPr>
          <w:bCs/>
          <w:color w:val="002060"/>
          <w:sz w:val="16"/>
          <w:szCs w:val="16"/>
        </w:rPr>
        <w:t>В середине января 1915 г. штаб заведующего авиацией при Службе связи Балтийского моря принял решение о заказе большой партии летающих лодок ФБА для оснащения отрядов и станций на Балтике. Впрочем, реализация этого решения поначалу сдерживалась тем обстоятельством, что производственные мощности французской фирмы до предела были загружены заказами собственного флота. Начались переговоры о лицензионном соглашении.</w:t>
      </w:r>
    </w:p>
    <w:p w14:paraId="6C28797F" w14:textId="77777777" w:rsidR="004B4E35" w:rsidRPr="00405303" w:rsidRDefault="009E6F82" w:rsidP="00C15251">
      <w:pPr>
        <w:jc w:val="both"/>
        <w:rPr>
          <w:bCs/>
          <w:color w:val="002060"/>
          <w:sz w:val="16"/>
          <w:szCs w:val="16"/>
        </w:rPr>
      </w:pPr>
      <w:r w:rsidRPr="00405303">
        <w:rPr>
          <w:bCs/>
          <w:color w:val="002060"/>
          <w:sz w:val="16"/>
          <w:szCs w:val="16"/>
        </w:rPr>
        <w:t>2 февраля 1915 г. было получено сообщение, что фирма ФБА готова продать комплект чертежей своей летающей лодки России за 13000 рублей и, кроме того, фирма пожелала получать по 1300 рублей за каждый построенный такой самолет на русских заводах. После подписания лицензионного соглашения от приемки двух оставшихся лодок Щетинина отказались, выплатив заводу лишь небольшую неустойку. А французские ФБА в довольно большом числе экземпляров начал строить в Петрограде завод В.А. Лебедева.</w:t>
      </w:r>
    </w:p>
    <w:p w14:paraId="67C9FA6A" w14:textId="77777777" w:rsidR="004B4E35" w:rsidRPr="00405303" w:rsidRDefault="009E6F82" w:rsidP="00C15251">
      <w:pPr>
        <w:jc w:val="both"/>
        <w:rPr>
          <w:bCs/>
          <w:color w:val="002060"/>
          <w:sz w:val="16"/>
          <w:szCs w:val="16"/>
        </w:rPr>
      </w:pPr>
      <w:r w:rsidRPr="00405303">
        <w:rPr>
          <w:bCs/>
          <w:color w:val="002060"/>
          <w:sz w:val="16"/>
          <w:szCs w:val="16"/>
        </w:rPr>
        <w:t>Принятые флотом М-2 (Щ-2) и М-3 (Щ-3) использовались на 3-й станции в качестве учебных машин. Летом 1915 г. почти одновременно они получили при жесткой посадке довольно серьезные повреждения конструкции и до октября находились в долговременном ремонте. В ноябре того же года их списали.</w:t>
      </w:r>
    </w:p>
    <w:p w14:paraId="4A98A952" w14:textId="77777777" w:rsidR="004B4E35" w:rsidRPr="00405303" w:rsidRDefault="009E6F82" w:rsidP="00C15251">
      <w:pPr>
        <w:jc w:val="both"/>
        <w:rPr>
          <w:bCs/>
          <w:color w:val="002060"/>
          <w:sz w:val="16"/>
          <w:szCs w:val="16"/>
        </w:rPr>
      </w:pPr>
      <w:r w:rsidRPr="00405303">
        <w:rPr>
          <w:bCs/>
          <w:color w:val="002060"/>
          <w:sz w:val="16"/>
          <w:szCs w:val="16"/>
        </w:rPr>
        <w:t>На Черном море летом 1914 г. еще царила довольно благодушная обстановка. Казалось, война далеко, а время для реорганизаций еще есть. В сентябре морская авиация Черноморского флота насчитывала всего шесть боевых машин. По-ложение резко изменилось в октябре, когда после набега немецких крейсеров "Гебен"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5DA48F72" w14:textId="77777777" w:rsidR="004B4E35" w:rsidRPr="00405303" w:rsidRDefault="009E6F82" w:rsidP="00C15251">
      <w:pPr>
        <w:jc w:val="both"/>
        <w:rPr>
          <w:bCs/>
          <w:color w:val="002060"/>
          <w:sz w:val="16"/>
          <w:szCs w:val="16"/>
        </w:rPr>
      </w:pPr>
      <w:r w:rsidRPr="00405303">
        <w:rPr>
          <w:bCs/>
          <w:color w:val="002060"/>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0D1FEE65" w14:textId="7BE3C749" w:rsidR="004B4E35" w:rsidRPr="00405303" w:rsidRDefault="009E6F82" w:rsidP="00C15251">
      <w:pPr>
        <w:jc w:val="both"/>
        <w:rPr>
          <w:bCs/>
          <w:color w:val="002060"/>
          <w:sz w:val="16"/>
          <w:szCs w:val="16"/>
        </w:rPr>
      </w:pPr>
      <w:r w:rsidRPr="00405303">
        <w:rPr>
          <w:bCs/>
          <w:color w:val="002060"/>
          <w:sz w:val="16"/>
          <w:szCs w:val="16"/>
        </w:rPr>
        <w:t xml:space="preserve">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"Кер- тисс" (СигН$$)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w:t>
      </w:r>
      <w:proofErr w:type="gramStart"/>
      <w:r w:rsidRPr="00405303">
        <w:rPr>
          <w:bCs/>
          <w:color w:val="002060"/>
          <w:sz w:val="16"/>
          <w:szCs w:val="16"/>
        </w:rPr>
        <w:t>ис-пользовании</w:t>
      </w:r>
      <w:proofErr w:type="gramEnd"/>
      <w:r w:rsidRPr="00405303">
        <w:rPr>
          <w:bCs/>
          <w:color w:val="002060"/>
          <w:sz w:val="16"/>
          <w:szCs w:val="16"/>
        </w:rPr>
        <w:t xml:space="preserve"> летающих лодок Щетинина-Григоровича, позволило вполне уверенно продолжать строительство следующих гидросамолетов (12083).</w:t>
      </w:r>
    </w:p>
    <w:p w14:paraId="1D095456" w14:textId="77777777" w:rsidR="004B4E35" w:rsidRPr="00405303" w:rsidRDefault="004B4E35" w:rsidP="00C15251">
      <w:pPr>
        <w:jc w:val="both"/>
        <w:rPr>
          <w:bCs/>
          <w:color w:val="002060"/>
          <w:sz w:val="16"/>
          <w:szCs w:val="16"/>
        </w:rPr>
      </w:pPr>
    </w:p>
    <w:p w14:paraId="25E09BE9" w14:textId="127597F1" w:rsidR="00C75EFF" w:rsidRPr="00405303" w:rsidRDefault="00C75EFF" w:rsidP="00C15251">
      <w:pPr>
        <w:shd w:val="clear" w:color="auto" w:fill="FFFFFF"/>
        <w:jc w:val="both"/>
        <w:rPr>
          <w:bCs/>
          <w:i/>
          <w:color w:val="002060"/>
          <w:sz w:val="16"/>
          <w:szCs w:val="16"/>
        </w:rPr>
      </w:pPr>
      <w:r w:rsidRPr="00405303">
        <w:rPr>
          <w:bCs/>
          <w:i/>
          <w:color w:val="002060"/>
          <w:sz w:val="16"/>
          <w:szCs w:val="16"/>
        </w:rPr>
        <w:t>Армия:</w:t>
      </w:r>
    </w:p>
    <w:p w14:paraId="45BF4036" w14:textId="77777777" w:rsidR="00C75EFF" w:rsidRPr="00405303" w:rsidRDefault="00C75EFF" w:rsidP="00C15251">
      <w:pPr>
        <w:shd w:val="clear" w:color="auto" w:fill="FFFFFF"/>
        <w:jc w:val="both"/>
        <w:rPr>
          <w:bCs/>
          <w:i/>
          <w:color w:val="002060"/>
          <w:sz w:val="16"/>
          <w:szCs w:val="16"/>
        </w:rPr>
      </w:pPr>
    </w:p>
    <w:p w14:paraId="550F3EDE" w14:textId="77777777" w:rsidR="00C75EFF" w:rsidRPr="00405303" w:rsidRDefault="00C75EFF" w:rsidP="00C15251">
      <w:pPr>
        <w:jc w:val="both"/>
        <w:rPr>
          <w:bCs/>
          <w:color w:val="002060"/>
          <w:sz w:val="16"/>
          <w:szCs w:val="16"/>
          <w:lang w:bidi="en-US"/>
        </w:rPr>
      </w:pPr>
      <w:r w:rsidRPr="00405303">
        <w:rPr>
          <w:bCs/>
          <w:color w:val="002060"/>
          <w:sz w:val="16"/>
          <w:szCs w:val="16"/>
          <w:lang w:bidi="en-US"/>
        </w:rPr>
        <w:t>В середине января 1915 г. австро-германцы впервые применили газ в боях за Болимов в Польше (23525).</w:t>
      </w:r>
    </w:p>
    <w:p w14:paraId="44EBB007" w14:textId="77777777" w:rsidR="00C75EFF" w:rsidRPr="00405303" w:rsidRDefault="00C75EFF" w:rsidP="00C15251">
      <w:pPr>
        <w:jc w:val="both"/>
        <w:rPr>
          <w:bCs/>
          <w:color w:val="002060"/>
          <w:sz w:val="16"/>
          <w:szCs w:val="16"/>
        </w:rPr>
      </w:pPr>
    </w:p>
    <w:p w14:paraId="44A4E874" w14:textId="12C22E4A" w:rsidR="00D82574" w:rsidRPr="00405303" w:rsidRDefault="00D82574" w:rsidP="00D82574">
      <w:pPr>
        <w:shd w:val="clear" w:color="auto" w:fill="FFFFFF"/>
        <w:jc w:val="both"/>
        <w:rPr>
          <w:bCs/>
          <w:i/>
          <w:color w:val="002060"/>
          <w:sz w:val="16"/>
          <w:szCs w:val="16"/>
        </w:rPr>
      </w:pPr>
      <w:r w:rsidRPr="00405303">
        <w:rPr>
          <w:bCs/>
          <w:i/>
          <w:color w:val="002060"/>
          <w:sz w:val="16"/>
          <w:szCs w:val="16"/>
        </w:rPr>
        <w:t>Авиация:</w:t>
      </w:r>
    </w:p>
    <w:p w14:paraId="05767BE4" w14:textId="77777777" w:rsidR="00D82574" w:rsidRPr="00405303" w:rsidRDefault="00D82574" w:rsidP="00D82574">
      <w:pPr>
        <w:shd w:val="clear" w:color="auto" w:fill="FFFFFF"/>
        <w:jc w:val="both"/>
        <w:rPr>
          <w:bCs/>
          <w:i/>
          <w:color w:val="002060"/>
          <w:sz w:val="16"/>
          <w:szCs w:val="16"/>
        </w:rPr>
      </w:pPr>
    </w:p>
    <w:p w14:paraId="4D723CFA" w14:textId="77777777" w:rsidR="00D82574" w:rsidRPr="00405303" w:rsidRDefault="00D82574" w:rsidP="00D82574">
      <w:pPr>
        <w:jc w:val="both"/>
        <w:rPr>
          <w:color w:val="0070C0"/>
          <w:sz w:val="16"/>
          <w:szCs w:val="16"/>
        </w:rPr>
      </w:pPr>
      <w:r w:rsidRPr="00405303">
        <w:rPr>
          <w:color w:val="0070C0"/>
          <w:sz w:val="16"/>
          <w:szCs w:val="16"/>
        </w:rPr>
        <w:t xml:space="preserve">16 (29) января 1915 г. германский самолет опустился в районе древнего польского города Лович (Лодзинское воеводство) вследствие порчи мотора. Два летчика арестованы подоспевшим к месту посадки нашим дозором (25135). </w:t>
      </w:r>
    </w:p>
    <w:p w14:paraId="329A322A" w14:textId="77777777" w:rsidR="00D82574" w:rsidRPr="00405303" w:rsidRDefault="00D82574" w:rsidP="00D82574">
      <w:pPr>
        <w:jc w:val="both"/>
        <w:rPr>
          <w:color w:val="0070C0"/>
          <w:sz w:val="16"/>
          <w:szCs w:val="16"/>
        </w:rPr>
      </w:pPr>
    </w:p>
    <w:p w14:paraId="09F53133" w14:textId="34CA08C5"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1E6D2FB8" w14:textId="77777777" w:rsidR="004B4E35" w:rsidRPr="00405303" w:rsidRDefault="004B4E35" w:rsidP="00C15251">
      <w:pPr>
        <w:shd w:val="clear" w:color="auto" w:fill="FFFFFF"/>
        <w:jc w:val="both"/>
        <w:rPr>
          <w:bCs/>
          <w:i/>
          <w:color w:val="002060"/>
          <w:sz w:val="16"/>
          <w:szCs w:val="16"/>
        </w:rPr>
      </w:pPr>
    </w:p>
    <w:p w14:paraId="0861528E" w14:textId="24BEBE94"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17 (30) января 1915 г.</w:t>
      </w:r>
      <w:r w:rsidR="00BE7BD1" w:rsidRPr="00405303">
        <w:rPr>
          <w:bCs/>
          <w:i w:val="0"/>
          <w:color w:val="002060"/>
          <w:spacing w:val="0"/>
          <w:kern w:val="0"/>
          <w:position w:val="0"/>
          <w:sz w:val="16"/>
          <w:szCs w:val="16"/>
        </w:rPr>
        <w:t xml:space="preserve"> особая миссия из французских артиллеристов, инженеров, техников и химиков (всего 14 человек во главе с артиллерийским офицером Пио) прибыла в Петроград.</w:t>
      </w:r>
      <w:r w:rsidRPr="00405303">
        <w:rPr>
          <w:bCs/>
          <w:i w:val="0"/>
          <w:color w:val="002060"/>
          <w:spacing w:val="0"/>
          <w:kern w:val="0"/>
          <w:position w:val="0"/>
          <w:sz w:val="16"/>
          <w:szCs w:val="16"/>
        </w:rPr>
        <w:t xml:space="preserve"> </w:t>
      </w:r>
      <w:r w:rsidR="00BE7BD1" w:rsidRPr="00405303">
        <w:rPr>
          <w:bCs/>
          <w:i w:val="0"/>
          <w:color w:val="002060"/>
          <w:spacing w:val="0"/>
          <w:kern w:val="0"/>
          <w:position w:val="0"/>
          <w:sz w:val="16"/>
          <w:szCs w:val="16"/>
        </w:rPr>
        <w:t>О</w:t>
      </w:r>
      <w:r w:rsidRPr="00405303">
        <w:rPr>
          <w:bCs/>
          <w:i w:val="0"/>
          <w:color w:val="002060"/>
          <w:spacing w:val="0"/>
          <w:kern w:val="0"/>
          <w:position w:val="0"/>
          <w:sz w:val="16"/>
          <w:szCs w:val="16"/>
        </w:rPr>
        <w:t>на была принята в ГАУ скорее с недоверием, чем с симпатией.</w:t>
      </w:r>
    </w:p>
    <w:p w14:paraId="143F24FE" w14:textId="77777777" w:rsidR="00BE7BD1" w:rsidRPr="00405303" w:rsidRDefault="00BE7BD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Назначение миссии состояло, главным образом, в том, чтобы помочь России организовать в крупном масштабе производство снарядов, пользуясь опытом Франции. </w:t>
      </w:r>
    </w:p>
    <w:p w14:paraId="3962896E" w14:textId="557AEA8E" w:rsidR="00BE7BD1" w:rsidRPr="00405303" w:rsidRDefault="00BE7BD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При этом имелось в виду избежать чрезмерного разбрасывания заказов по мелочам, применять необходимые меры к облегчению работы неопытным промышленникам, упорядочить недостаточно оборудованные организации и пр.; словом, извлечь наибольшую пользу из наличных ресурсов страны, чтобы возможно меньше обращаться к содействию иностранной промышленности.</w:t>
      </w:r>
    </w:p>
    <w:p w14:paraId="18A8CB6F" w14:textId="7070FB38"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Гранаты французского образца изготовлялись цельнокорпусными, т. е. без отдельной винтовой головки, и снабжались взрывателями особого типа. </w:t>
      </w:r>
    </w:p>
    <w:p w14:paraId="1E911D7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отношении безопасности французские гранаты уступали русским, имелись сведения о случаях разрыва их в каналах орудий на фронте французских армий. </w:t>
      </w:r>
    </w:p>
    <w:p w14:paraId="40253F2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Ввиду этого председатель Особой распорядительной комиссии, стоявшей первоначально во главе дела, представил решение вопроса о целесообразности установки у нас способа фабрикации 76-мм гранат на усмотрение главковерха. </w:t>
      </w:r>
    </w:p>
    <w:p w14:paraId="6FF4362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13 (26) марта 1915 г. главковерх ответил следующее: </w:t>
      </w:r>
    </w:p>
    <w:p w14:paraId="06CE232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"Производительность всех работ артиллерийского ведомства должна быть доведена до максимума в наикратчайший срок. Лишнего нет ничего. Выделывать всеми способами, привлечь французов, </w:t>
      </w:r>
      <w:proofErr w:type="gramStart"/>
      <w:r w:rsidRPr="00405303">
        <w:rPr>
          <w:bCs/>
          <w:i w:val="0"/>
          <w:color w:val="002060"/>
          <w:spacing w:val="0"/>
          <w:kern w:val="0"/>
          <w:position w:val="0"/>
          <w:sz w:val="16"/>
          <w:szCs w:val="16"/>
        </w:rPr>
        <w:t>но</w:t>
      </w:r>
      <w:proofErr w:type="gramEnd"/>
      <w:r w:rsidRPr="00405303">
        <w:rPr>
          <w:bCs/>
          <w:i w:val="0"/>
          <w:color w:val="002060"/>
          <w:spacing w:val="0"/>
          <w:kern w:val="0"/>
          <w:position w:val="0"/>
          <w:sz w:val="16"/>
          <w:szCs w:val="16"/>
        </w:rPr>
        <w:t xml:space="preserve"> чтобы порох был безопасный" (не порох, а взрывчатое вещество). </w:t>
      </w:r>
    </w:p>
    <w:p w14:paraId="2D265BD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Тогда председатель Особой распорядительной комиссий предложил начальнику ГАУ сделать все необходимые распоряжения по изготовлению гранат по французскому образцу на заводах, которые перед тем уже были осмотрены комиссией с участием французов и начальника Брянского арсенала ген. Ванкова, и просил назначить последнего главным руководителем всего этого дела. </w:t>
      </w:r>
    </w:p>
    <w:p w14:paraId="339F13F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том же месяце Артком, среди членов которого существовала явная оппозиция принятию иностранных образцов, закончил рассмотрение чертежей и технических условий на изготовление всех частей французской гранаты (впоследствии эти чертежи и условия подверглись пересмотру и изменениям по требование заводского производства). </w:t>
      </w:r>
    </w:p>
    <w:p w14:paraId="78CCB22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Лишь три месяца спустя по прибытии французской миссии в Россию разрешен был Военным советом первый заказ на изготовление только одного миллиона 76-мм гранат по упрощенному французскому образцу.</w:t>
      </w:r>
    </w:p>
    <w:p w14:paraId="5FDC804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Заказ был ограничен этим количеством из осторожности как в отношении безопасности французских гранат, так и потому, что данных уже заказов на снаряды считали достаточными, кроме того, опасались, что для новых снарядов может нехватить пороха и взрывчатых веществ (11483).</w:t>
      </w:r>
    </w:p>
    <w:p w14:paraId="2932F1E6" w14:textId="77777777" w:rsidR="004B4E35" w:rsidRPr="00405303" w:rsidRDefault="004B4E35" w:rsidP="00C15251">
      <w:pPr>
        <w:pStyle w:val="a3"/>
        <w:jc w:val="both"/>
        <w:rPr>
          <w:bCs/>
          <w:i w:val="0"/>
          <w:color w:val="002060"/>
          <w:spacing w:val="0"/>
          <w:kern w:val="0"/>
          <w:position w:val="0"/>
          <w:sz w:val="16"/>
          <w:szCs w:val="16"/>
        </w:rPr>
      </w:pPr>
    </w:p>
    <w:p w14:paraId="426F11B1" w14:textId="491F312C" w:rsidR="0034342A" w:rsidRPr="00405303" w:rsidRDefault="0034342A" w:rsidP="00C15251">
      <w:pPr>
        <w:jc w:val="both"/>
        <w:rPr>
          <w:bCs/>
          <w:i/>
          <w:color w:val="002060"/>
          <w:sz w:val="16"/>
          <w:szCs w:val="16"/>
        </w:rPr>
      </w:pPr>
      <w:r w:rsidRPr="00405303">
        <w:rPr>
          <w:bCs/>
          <w:i/>
          <w:color w:val="002060"/>
          <w:sz w:val="16"/>
          <w:szCs w:val="16"/>
        </w:rPr>
        <w:t>Авиация и воздухоплавание Германии:</w:t>
      </w:r>
    </w:p>
    <w:p w14:paraId="3A06893F" w14:textId="77777777" w:rsidR="0034342A" w:rsidRPr="00405303" w:rsidRDefault="0034342A" w:rsidP="00C15251">
      <w:pPr>
        <w:jc w:val="both"/>
        <w:rPr>
          <w:bCs/>
          <w:color w:val="002060"/>
          <w:sz w:val="16"/>
          <w:szCs w:val="16"/>
        </w:rPr>
      </w:pPr>
    </w:p>
    <w:p w14:paraId="380E8B8D" w14:textId="77777777" w:rsidR="0034342A" w:rsidRPr="00405303" w:rsidRDefault="0034342A" w:rsidP="00C15251">
      <w:pPr>
        <w:jc w:val="both"/>
        <w:rPr>
          <w:bCs/>
          <w:color w:val="002060"/>
          <w:sz w:val="16"/>
          <w:szCs w:val="16"/>
        </w:rPr>
      </w:pPr>
      <w:r w:rsidRPr="00405303">
        <w:rPr>
          <w:bCs/>
          <w:color w:val="002060"/>
          <w:sz w:val="16"/>
          <w:szCs w:val="16"/>
        </w:rPr>
        <w:t>17 (30) января 1915 совершил первый полет Gotha FU (для Friedel-Ursinus), прототип Gotha GI (20338).</w:t>
      </w:r>
    </w:p>
    <w:p w14:paraId="210C63CF" w14:textId="77777777" w:rsidR="0034342A" w:rsidRPr="00405303" w:rsidRDefault="0034342A" w:rsidP="00C15251">
      <w:pPr>
        <w:jc w:val="both"/>
        <w:rPr>
          <w:bCs/>
          <w:color w:val="002060"/>
          <w:sz w:val="16"/>
          <w:szCs w:val="16"/>
        </w:rPr>
      </w:pPr>
    </w:p>
    <w:p w14:paraId="51765495" w14:textId="137576A1" w:rsidR="00BA427F" w:rsidRPr="00405303" w:rsidRDefault="00BA427F" w:rsidP="00C15251">
      <w:pPr>
        <w:jc w:val="both"/>
        <w:rPr>
          <w:bCs/>
          <w:color w:val="002060"/>
          <w:sz w:val="16"/>
          <w:szCs w:val="16"/>
        </w:rPr>
      </w:pPr>
      <w:r w:rsidRPr="00405303">
        <w:rPr>
          <w:bCs/>
          <w:color w:val="002060"/>
          <w:sz w:val="16"/>
          <w:szCs w:val="16"/>
        </w:rPr>
        <w:t>17 (30) января 1915 года — первый полёт двухмоторного среднего бомбардировщика</w:t>
      </w:r>
      <w:r w:rsidR="00DB4D64" w:rsidRPr="00405303">
        <w:rPr>
          <w:bCs/>
          <w:color w:val="002060"/>
          <w:sz w:val="16"/>
          <w:szCs w:val="16"/>
        </w:rPr>
        <w:t xml:space="preserve"> </w:t>
      </w:r>
      <w:r w:rsidRPr="00405303">
        <w:rPr>
          <w:bCs/>
          <w:color w:val="002060"/>
          <w:sz w:val="16"/>
          <w:szCs w:val="16"/>
        </w:rPr>
        <w:t>Gotha G.I.</w:t>
      </w:r>
    </w:p>
    <w:p w14:paraId="4397C5F9" w14:textId="62C58EFB" w:rsidR="00BA427F" w:rsidRPr="00405303" w:rsidRDefault="00BA427F" w:rsidP="00C15251">
      <w:pPr>
        <w:jc w:val="both"/>
        <w:rPr>
          <w:bCs/>
          <w:color w:val="002060"/>
          <w:sz w:val="16"/>
          <w:szCs w:val="16"/>
        </w:rPr>
      </w:pPr>
      <w:r w:rsidRPr="00405303">
        <w:rPr>
          <w:bCs/>
          <w:color w:val="002060"/>
          <w:sz w:val="16"/>
          <w:szCs w:val="16"/>
        </w:rPr>
        <w:t>Этот цельнодеревянный биплан появился как ответ на спецификации германской армии на «боевой самолёт» (Kampfflugzeug), опубликованные ещё весной 1914 года. Совместная разработка одного из пионеров немецкой авиации</w:t>
      </w:r>
      <w:r w:rsidR="00DB4D64" w:rsidRPr="00405303">
        <w:rPr>
          <w:bCs/>
          <w:color w:val="002060"/>
          <w:sz w:val="16"/>
          <w:szCs w:val="16"/>
        </w:rPr>
        <w:t xml:space="preserve"> </w:t>
      </w:r>
      <w:r w:rsidRPr="00405303">
        <w:rPr>
          <w:bCs/>
          <w:color w:val="002060"/>
          <w:sz w:val="16"/>
          <w:szCs w:val="16"/>
        </w:rPr>
        <w:t>Оскара Урсинуса</w:t>
      </w:r>
      <w:r w:rsidR="00DB4D64" w:rsidRPr="00405303">
        <w:rPr>
          <w:bCs/>
          <w:color w:val="002060"/>
          <w:sz w:val="16"/>
          <w:szCs w:val="16"/>
        </w:rPr>
        <w:t xml:space="preserve"> </w:t>
      </w:r>
      <w:r w:rsidRPr="00405303">
        <w:rPr>
          <w:bCs/>
          <w:color w:val="002060"/>
          <w:sz w:val="16"/>
          <w:szCs w:val="16"/>
        </w:rPr>
        <w:t>и командира авиаотряда</w:t>
      </w:r>
      <w:r w:rsidR="00DB4D64" w:rsidRPr="00405303">
        <w:rPr>
          <w:bCs/>
          <w:color w:val="002060"/>
          <w:sz w:val="16"/>
          <w:szCs w:val="16"/>
        </w:rPr>
        <w:t xml:space="preserve"> </w:t>
      </w:r>
      <w:r w:rsidRPr="00405303">
        <w:rPr>
          <w:bCs/>
          <w:color w:val="002060"/>
          <w:sz w:val="16"/>
          <w:szCs w:val="16"/>
        </w:rPr>
        <w:t>Хельмута Фриделя. Gotha G.I (встречается название Gotha Ursinus Heller I) стал первым немецким двухмоторным бомбардировщиком.</w:t>
      </w:r>
    </w:p>
    <w:p w14:paraId="3092C63D" w14:textId="47D70315" w:rsidR="00BA427F" w:rsidRPr="00405303" w:rsidRDefault="00BA427F" w:rsidP="00C15251">
      <w:pPr>
        <w:jc w:val="both"/>
        <w:rPr>
          <w:bCs/>
          <w:color w:val="002060"/>
          <w:sz w:val="16"/>
          <w:szCs w:val="16"/>
        </w:rPr>
      </w:pPr>
      <w:r w:rsidRPr="00405303">
        <w:rPr>
          <w:bCs/>
          <w:color w:val="002060"/>
          <w:sz w:val="16"/>
          <w:szCs w:val="16"/>
        </w:rPr>
        <w:t>Экипаж состоял из</w:t>
      </w:r>
      <w:r w:rsidR="00DB4D64" w:rsidRPr="00405303">
        <w:rPr>
          <w:bCs/>
          <w:color w:val="002060"/>
          <w:sz w:val="16"/>
          <w:szCs w:val="16"/>
        </w:rPr>
        <w:t xml:space="preserve"> </w:t>
      </w:r>
      <w:r w:rsidRPr="00405303">
        <w:rPr>
          <w:bCs/>
          <w:color w:val="002060"/>
          <w:sz w:val="16"/>
          <w:szCs w:val="16"/>
        </w:rPr>
        <w:t>3</w:t>
      </w:r>
      <w:r w:rsidR="00DB4D64" w:rsidRPr="00405303">
        <w:rPr>
          <w:bCs/>
          <w:color w:val="002060"/>
          <w:sz w:val="16"/>
          <w:szCs w:val="16"/>
        </w:rPr>
        <w:t xml:space="preserve"> </w:t>
      </w:r>
      <w:r w:rsidRPr="00405303">
        <w:rPr>
          <w:bCs/>
          <w:color w:val="002060"/>
          <w:sz w:val="16"/>
          <w:szCs w:val="16"/>
        </w:rPr>
        <w:t>человек: стрелок в носовой части, стрелок в средней кабине и пилот. Вооружение состояло из</w:t>
      </w:r>
      <w:r w:rsidR="00DB4D64" w:rsidRPr="00405303">
        <w:rPr>
          <w:bCs/>
          <w:color w:val="002060"/>
          <w:sz w:val="16"/>
          <w:szCs w:val="16"/>
        </w:rPr>
        <w:t xml:space="preserve"> </w:t>
      </w:r>
      <w:r w:rsidRPr="00405303">
        <w:rPr>
          <w:bCs/>
          <w:color w:val="002060"/>
          <w:sz w:val="16"/>
          <w:szCs w:val="16"/>
        </w:rPr>
        <w:t>2</w:t>
      </w:r>
      <w:r w:rsidR="00DB4D64" w:rsidRPr="00405303">
        <w:rPr>
          <w:bCs/>
          <w:color w:val="002060"/>
          <w:sz w:val="16"/>
          <w:szCs w:val="16"/>
        </w:rPr>
        <w:t xml:space="preserve"> </w:t>
      </w:r>
      <w:r w:rsidRPr="00405303">
        <w:rPr>
          <w:bCs/>
          <w:color w:val="002060"/>
          <w:sz w:val="16"/>
          <w:szCs w:val="16"/>
        </w:rPr>
        <w:t>пулемётов</w:t>
      </w:r>
      <w:r w:rsidR="00DB4D64" w:rsidRPr="00405303">
        <w:rPr>
          <w:bCs/>
          <w:color w:val="002060"/>
          <w:sz w:val="16"/>
          <w:szCs w:val="16"/>
        </w:rPr>
        <w:t xml:space="preserve"> </w:t>
      </w:r>
      <w:r w:rsidRPr="00405303">
        <w:rPr>
          <w:bCs/>
          <w:color w:val="002060"/>
          <w:sz w:val="16"/>
          <w:szCs w:val="16"/>
        </w:rPr>
        <w:t>Parabellum MG14</w:t>
      </w:r>
      <w:r w:rsidR="00DB4D64" w:rsidRPr="00405303">
        <w:rPr>
          <w:bCs/>
          <w:color w:val="002060"/>
          <w:sz w:val="16"/>
          <w:szCs w:val="16"/>
        </w:rPr>
        <w:t xml:space="preserve"> </w:t>
      </w:r>
      <w:r w:rsidRPr="00405303">
        <w:rPr>
          <w:bCs/>
          <w:color w:val="002060"/>
          <w:sz w:val="16"/>
          <w:szCs w:val="16"/>
        </w:rPr>
        <w:t>и</w:t>
      </w:r>
      <w:r w:rsidR="00DB4D64" w:rsidRPr="00405303">
        <w:rPr>
          <w:bCs/>
          <w:color w:val="002060"/>
          <w:sz w:val="16"/>
          <w:szCs w:val="16"/>
        </w:rPr>
        <w:t xml:space="preserve"> </w:t>
      </w:r>
      <w:r w:rsidRPr="00405303">
        <w:rPr>
          <w:bCs/>
          <w:color w:val="002060"/>
          <w:sz w:val="16"/>
          <w:szCs w:val="16"/>
        </w:rPr>
        <w:t>300</w:t>
      </w:r>
      <w:r w:rsidR="00DB4D64" w:rsidRPr="00405303">
        <w:rPr>
          <w:bCs/>
          <w:color w:val="002060"/>
          <w:sz w:val="16"/>
          <w:szCs w:val="16"/>
        </w:rPr>
        <w:t xml:space="preserve"> </w:t>
      </w:r>
      <w:r w:rsidRPr="00405303">
        <w:rPr>
          <w:bCs/>
          <w:color w:val="002060"/>
          <w:sz w:val="16"/>
          <w:szCs w:val="16"/>
        </w:rPr>
        <w:t>кг бомб. За счёт использования полотна для обшивки на основной части фюзеляжа (кроме гондолы экипажа) и крыльев, самолёт получился лёгким, что положительно сказалось на его лётных характеристиках.</w:t>
      </w:r>
    </w:p>
    <w:p w14:paraId="09CBD167" w14:textId="4A533686" w:rsidR="00BA427F" w:rsidRPr="00405303" w:rsidRDefault="00BA427F" w:rsidP="00C15251">
      <w:pPr>
        <w:jc w:val="both"/>
        <w:rPr>
          <w:bCs/>
          <w:color w:val="002060"/>
          <w:sz w:val="16"/>
          <w:szCs w:val="16"/>
        </w:rPr>
      </w:pPr>
      <w:r w:rsidRPr="00405303">
        <w:rPr>
          <w:bCs/>
          <w:color w:val="002060"/>
          <w:sz w:val="16"/>
          <w:szCs w:val="16"/>
        </w:rPr>
        <w:lastRenderedPageBreak/>
        <w:t>Всего выпустили</w:t>
      </w:r>
      <w:r w:rsidR="00DB4D64" w:rsidRPr="00405303">
        <w:rPr>
          <w:bCs/>
          <w:color w:val="002060"/>
          <w:sz w:val="16"/>
          <w:szCs w:val="16"/>
        </w:rPr>
        <w:t xml:space="preserve"> </w:t>
      </w:r>
      <w:r w:rsidRPr="00405303">
        <w:rPr>
          <w:bCs/>
          <w:color w:val="002060"/>
          <w:sz w:val="16"/>
          <w:szCs w:val="16"/>
        </w:rPr>
        <w:t>20</w:t>
      </w:r>
      <w:r w:rsidR="00DB4D64" w:rsidRPr="00405303">
        <w:rPr>
          <w:bCs/>
          <w:color w:val="002060"/>
          <w:sz w:val="16"/>
          <w:szCs w:val="16"/>
        </w:rPr>
        <w:t xml:space="preserve"> </w:t>
      </w:r>
      <w:r w:rsidRPr="00405303">
        <w:rPr>
          <w:bCs/>
          <w:color w:val="002060"/>
          <w:sz w:val="16"/>
          <w:szCs w:val="16"/>
        </w:rPr>
        <w:t>бомбардировщиков Gotha G.I, которые действовали на восточном фронте. В строевых частях G.I были до октября 1915 года, после чего их списали как устаревшие (22300).</w:t>
      </w:r>
    </w:p>
    <w:p w14:paraId="6B2D1B95" w14:textId="77777777" w:rsidR="00BA427F" w:rsidRPr="00405303" w:rsidRDefault="00BA427F" w:rsidP="00C15251">
      <w:pPr>
        <w:jc w:val="both"/>
        <w:rPr>
          <w:bCs/>
          <w:color w:val="002060"/>
          <w:sz w:val="16"/>
          <w:szCs w:val="16"/>
        </w:rPr>
      </w:pPr>
    </w:p>
    <w:p w14:paraId="2276DBEC" w14:textId="77777777" w:rsidR="00CB594C" w:rsidRPr="00405303" w:rsidRDefault="00CB594C" w:rsidP="00C15251">
      <w:pPr>
        <w:jc w:val="both"/>
        <w:rPr>
          <w:bCs/>
          <w:i/>
          <w:color w:val="002060"/>
          <w:sz w:val="16"/>
          <w:szCs w:val="16"/>
        </w:rPr>
      </w:pPr>
      <w:r w:rsidRPr="00405303">
        <w:rPr>
          <w:bCs/>
          <w:i/>
          <w:color w:val="002060"/>
          <w:sz w:val="16"/>
          <w:szCs w:val="16"/>
        </w:rPr>
        <w:t>За рубежом:</w:t>
      </w:r>
    </w:p>
    <w:p w14:paraId="44DFBEA2" w14:textId="77777777" w:rsidR="00CB594C" w:rsidRPr="00405303" w:rsidRDefault="00CB594C" w:rsidP="00C15251">
      <w:pPr>
        <w:jc w:val="both"/>
        <w:rPr>
          <w:bCs/>
          <w:color w:val="002060"/>
          <w:sz w:val="16"/>
          <w:szCs w:val="16"/>
        </w:rPr>
      </w:pPr>
    </w:p>
    <w:p w14:paraId="56A114C8" w14:textId="77777777" w:rsidR="00CB594C" w:rsidRPr="00405303" w:rsidRDefault="00CB594C" w:rsidP="00C15251">
      <w:pPr>
        <w:jc w:val="both"/>
        <w:rPr>
          <w:bCs/>
          <w:color w:val="002060"/>
          <w:sz w:val="16"/>
          <w:szCs w:val="16"/>
        </w:rPr>
      </w:pPr>
      <w:r w:rsidRPr="00405303">
        <w:rPr>
          <w:bCs/>
          <w:color w:val="002060"/>
          <w:sz w:val="16"/>
          <w:szCs w:val="16"/>
        </w:rPr>
        <w:t>17 (30) января в 1915 году неожиданно для всех Германия начинает использовать в войне подводные лодки. Нападению подвергается порт Гавр на северном побережье Франции (15025).</w:t>
      </w:r>
    </w:p>
    <w:p w14:paraId="7CA724E1" w14:textId="77777777" w:rsidR="00CB594C" w:rsidRPr="00405303" w:rsidRDefault="00CB594C" w:rsidP="00C15251">
      <w:pPr>
        <w:jc w:val="both"/>
        <w:rPr>
          <w:bCs/>
          <w:color w:val="002060"/>
          <w:sz w:val="16"/>
          <w:szCs w:val="16"/>
        </w:rPr>
      </w:pPr>
    </w:p>
    <w:p w14:paraId="333EBEFB" w14:textId="77777777" w:rsidR="00CB594C" w:rsidRPr="00405303" w:rsidRDefault="00CB594C" w:rsidP="00C15251">
      <w:pPr>
        <w:jc w:val="both"/>
        <w:rPr>
          <w:bCs/>
          <w:color w:val="002060"/>
          <w:sz w:val="16"/>
          <w:szCs w:val="16"/>
        </w:rPr>
      </w:pPr>
      <w:r w:rsidRPr="00405303">
        <w:rPr>
          <w:bCs/>
          <w:color w:val="002060"/>
          <w:sz w:val="16"/>
          <w:szCs w:val="16"/>
        </w:rPr>
        <w:t>17 (30) января в 1915 году действующая в Английском канале подводная лодка U-2 без предупреждения забрасывает торпедами за один день три парохода: "Эйкариа", "Токомару" и "Ориоль" (15025).</w:t>
      </w:r>
    </w:p>
    <w:p w14:paraId="093164C0" w14:textId="77777777" w:rsidR="00CB594C" w:rsidRPr="00405303" w:rsidRDefault="00CB594C" w:rsidP="00C15251">
      <w:pPr>
        <w:jc w:val="both"/>
        <w:rPr>
          <w:bCs/>
          <w:color w:val="002060"/>
          <w:sz w:val="16"/>
          <w:szCs w:val="16"/>
        </w:rPr>
      </w:pPr>
    </w:p>
    <w:p w14:paraId="46F2CAC1"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6B592002" w14:textId="77777777" w:rsidR="004B4E35" w:rsidRPr="00405303" w:rsidRDefault="004B4E35" w:rsidP="00C15251">
      <w:pPr>
        <w:shd w:val="clear" w:color="auto" w:fill="FFFFFF"/>
        <w:jc w:val="both"/>
        <w:rPr>
          <w:bCs/>
          <w:i/>
          <w:color w:val="002060"/>
          <w:sz w:val="16"/>
          <w:szCs w:val="16"/>
        </w:rPr>
      </w:pPr>
    </w:p>
    <w:p w14:paraId="3E59B5CD" w14:textId="70D9E33F" w:rsidR="00C75EFF" w:rsidRPr="00405303" w:rsidRDefault="00C75EFF" w:rsidP="00C15251">
      <w:pPr>
        <w:jc w:val="both"/>
        <w:rPr>
          <w:bCs/>
          <w:color w:val="002060"/>
          <w:sz w:val="16"/>
          <w:szCs w:val="16"/>
        </w:rPr>
      </w:pPr>
      <w:r w:rsidRPr="00405303">
        <w:rPr>
          <w:bCs/>
          <w:color w:val="002060"/>
          <w:sz w:val="16"/>
          <w:szCs w:val="16"/>
          <w:lang w:bidi="en-US"/>
        </w:rPr>
        <w:t>18 (31) января 1915 г. начальник Генерального штаба назначил великого князя Александра Михайловича командующим авиацией всей армии. Его адъютантом был капитан 1-го ранга Николай Федорович Фогель. Создана авиационная коллегия (АВИАКАНЦ).</w:t>
      </w:r>
    </w:p>
    <w:p w14:paraId="12A05856" w14:textId="77777777" w:rsidR="00C75EFF" w:rsidRPr="00405303" w:rsidRDefault="00C75EFF" w:rsidP="00C15251">
      <w:pPr>
        <w:jc w:val="both"/>
        <w:rPr>
          <w:bCs/>
          <w:color w:val="002060"/>
          <w:sz w:val="16"/>
          <w:szCs w:val="16"/>
        </w:rPr>
      </w:pPr>
      <w:r w:rsidRPr="00405303">
        <w:rPr>
          <w:bCs/>
          <w:color w:val="002060"/>
          <w:sz w:val="16"/>
          <w:szCs w:val="16"/>
          <w:lang w:bidi="en-US"/>
        </w:rPr>
        <w:t>Большая часть небольшого административного персонала великого князя служила с ним во время его пребывания на флоте и не имела опыта работы в авиации. Генерал-лейтенант А. В. Каульбарс был снят с поста начальника авиации Северо-Западного фронта и назначен командующим Варшавским военным округом (23525).</w:t>
      </w:r>
    </w:p>
    <w:p w14:paraId="2C698D12" w14:textId="77777777" w:rsidR="00C75EFF" w:rsidRPr="00405303" w:rsidRDefault="00C75EFF" w:rsidP="00C15251">
      <w:pPr>
        <w:jc w:val="both"/>
        <w:rPr>
          <w:bCs/>
          <w:color w:val="002060"/>
          <w:sz w:val="16"/>
          <w:szCs w:val="16"/>
          <w:lang w:bidi="en-US"/>
        </w:rPr>
      </w:pPr>
      <w:r w:rsidRPr="00405303">
        <w:rPr>
          <w:bCs/>
          <w:color w:val="002060"/>
          <w:sz w:val="16"/>
          <w:szCs w:val="16"/>
          <w:lang w:bidi="en-US"/>
        </w:rPr>
        <w:t xml:space="preserve">С 23 января по 6 февраля 1915 г. </w:t>
      </w:r>
      <w:r w:rsidRPr="00405303">
        <w:rPr>
          <w:bCs/>
          <w:color w:val="002060"/>
          <w:sz w:val="16"/>
          <w:szCs w:val="16"/>
          <w:lang w:val="en-US" w:bidi="en-US"/>
        </w:rPr>
        <w:t>CMTD</w:t>
      </w:r>
      <w:r w:rsidRPr="00405303">
        <w:rPr>
          <w:bCs/>
          <w:color w:val="002060"/>
          <w:sz w:val="16"/>
          <w:szCs w:val="16"/>
          <w:lang w:bidi="en-US"/>
        </w:rPr>
        <w:t xml:space="preserve"> разместила заказы на 270 самолетов; пятьдесят Вуазенов от Лебедева; пятьдесят Вуазенов из Щетинина; пятьдесят </w:t>
      </w:r>
      <w:r w:rsidRPr="00405303">
        <w:rPr>
          <w:bCs/>
          <w:color w:val="002060"/>
          <w:sz w:val="16"/>
          <w:szCs w:val="16"/>
          <w:lang w:val="en-US" w:bidi="en-US"/>
        </w:rPr>
        <w:t>Voisins</w:t>
      </w:r>
      <w:r w:rsidRPr="00405303">
        <w:rPr>
          <w:bCs/>
          <w:color w:val="002060"/>
          <w:sz w:val="16"/>
          <w:szCs w:val="16"/>
          <w:lang w:bidi="en-US"/>
        </w:rPr>
        <w:t xml:space="preserve">, десять </w:t>
      </w:r>
      <w:r w:rsidRPr="00405303">
        <w:rPr>
          <w:bCs/>
          <w:color w:val="002060"/>
          <w:sz w:val="16"/>
          <w:szCs w:val="16"/>
          <w:lang w:val="en-US" w:bidi="en-US"/>
        </w:rPr>
        <w:t>Morane</w:t>
      </w:r>
      <w:r w:rsidRPr="00405303">
        <w:rPr>
          <w:bCs/>
          <w:color w:val="002060"/>
          <w:sz w:val="16"/>
          <w:szCs w:val="16"/>
          <w:lang w:bidi="en-US"/>
        </w:rPr>
        <w:t xml:space="preserve"> </w:t>
      </w:r>
      <w:r w:rsidRPr="00405303">
        <w:rPr>
          <w:bCs/>
          <w:color w:val="002060"/>
          <w:sz w:val="16"/>
          <w:szCs w:val="16"/>
          <w:lang w:val="en-US" w:bidi="en-US"/>
        </w:rPr>
        <w:t>Parasols</w:t>
      </w:r>
      <w:r w:rsidRPr="00405303">
        <w:rPr>
          <w:bCs/>
          <w:color w:val="002060"/>
          <w:sz w:val="16"/>
          <w:szCs w:val="16"/>
          <w:lang w:bidi="en-US"/>
        </w:rPr>
        <w:t xml:space="preserve"> и шестьдесят </w:t>
      </w:r>
      <w:r w:rsidRPr="00405303">
        <w:rPr>
          <w:bCs/>
          <w:color w:val="002060"/>
          <w:sz w:val="16"/>
          <w:szCs w:val="16"/>
          <w:lang w:val="en-US" w:bidi="en-US"/>
        </w:rPr>
        <w:t>Nieuports</w:t>
      </w:r>
      <w:r w:rsidRPr="00405303">
        <w:rPr>
          <w:bCs/>
          <w:color w:val="002060"/>
          <w:sz w:val="16"/>
          <w:szCs w:val="16"/>
          <w:lang w:bidi="en-US"/>
        </w:rPr>
        <w:t xml:space="preserve"> от </w:t>
      </w:r>
      <w:r w:rsidRPr="00405303">
        <w:rPr>
          <w:bCs/>
          <w:color w:val="002060"/>
          <w:sz w:val="16"/>
          <w:szCs w:val="16"/>
          <w:lang w:val="en-US" w:bidi="en-US"/>
        </w:rPr>
        <w:t>Duks</w:t>
      </w:r>
      <w:r w:rsidRPr="00405303">
        <w:rPr>
          <w:bCs/>
          <w:color w:val="002060"/>
          <w:sz w:val="16"/>
          <w:szCs w:val="16"/>
          <w:lang w:bidi="en-US"/>
        </w:rPr>
        <w:t>; и тридцать Вуазенов из Анатры. Самолет должен был быть доставлен в период с 23 мая 1915 г. по 13 января 1916 г. (23525).</w:t>
      </w:r>
    </w:p>
    <w:p w14:paraId="3A84517E" w14:textId="77777777" w:rsidR="00C75EFF" w:rsidRPr="00405303" w:rsidRDefault="00C75EFF" w:rsidP="00C15251">
      <w:pPr>
        <w:jc w:val="both"/>
        <w:rPr>
          <w:bCs/>
          <w:color w:val="002060"/>
          <w:sz w:val="16"/>
          <w:szCs w:val="16"/>
        </w:rPr>
      </w:pPr>
    </w:p>
    <w:p w14:paraId="552DDB05" w14:textId="43EB7214" w:rsidR="004B4E35" w:rsidRPr="00405303" w:rsidRDefault="009E6F82" w:rsidP="00C15251">
      <w:pPr>
        <w:jc w:val="both"/>
        <w:rPr>
          <w:bCs/>
          <w:color w:val="002060"/>
          <w:sz w:val="16"/>
          <w:szCs w:val="16"/>
        </w:rPr>
      </w:pPr>
      <w:r w:rsidRPr="00405303">
        <w:rPr>
          <w:bCs/>
          <w:color w:val="002060"/>
          <w:sz w:val="16"/>
          <w:szCs w:val="16"/>
        </w:rPr>
        <w:t xml:space="preserve">18 (31) января 1915 года по русскому аэроплану, летчик которого неверно сообщил направление своего полета и стал кружить над мостами через Вислу </w:t>
      </w:r>
      <w:r w:rsidR="00BE7BD1" w:rsidRPr="00405303">
        <w:rPr>
          <w:bCs/>
          <w:color w:val="002060"/>
          <w:sz w:val="16"/>
          <w:szCs w:val="16"/>
        </w:rPr>
        <w:t xml:space="preserve">в Варшаве </w:t>
      </w:r>
      <w:r w:rsidRPr="00405303">
        <w:rPr>
          <w:bCs/>
          <w:color w:val="002060"/>
          <w:sz w:val="16"/>
          <w:szCs w:val="16"/>
        </w:rPr>
        <w:t>(«о том, что будут пробные полеты, с аэродрома знать не дали, и не был выполнен ни один из опознавательных сигналов»), было выпущено две шрапнели. Поскольку аппарат сразу стал снижаться, трагедии удалось избежать. Таким образом, взаимодействие артиллерии и авиации оставалось только тактическим, без объединения в одних руках.</w:t>
      </w:r>
    </w:p>
    <w:p w14:paraId="5B38370A" w14:textId="77777777" w:rsidR="004B4E35" w:rsidRPr="00405303" w:rsidRDefault="004B4E35" w:rsidP="00C15251">
      <w:pPr>
        <w:shd w:val="clear" w:color="auto" w:fill="FFFFFF"/>
        <w:jc w:val="both"/>
        <w:rPr>
          <w:bCs/>
          <w:i/>
          <w:color w:val="002060"/>
          <w:sz w:val="16"/>
          <w:szCs w:val="16"/>
        </w:rPr>
      </w:pPr>
    </w:p>
    <w:p w14:paraId="16A46DE0"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3D17EBCA" w14:textId="77777777" w:rsidR="004B4E35" w:rsidRPr="00405303" w:rsidRDefault="004B4E35" w:rsidP="00C15251">
      <w:pPr>
        <w:shd w:val="clear" w:color="auto" w:fill="FFFFFF"/>
        <w:jc w:val="both"/>
        <w:rPr>
          <w:bCs/>
          <w:i/>
          <w:color w:val="002060"/>
          <w:sz w:val="16"/>
          <w:szCs w:val="16"/>
        </w:rPr>
      </w:pPr>
    </w:p>
    <w:p w14:paraId="59BD6DD0" w14:textId="11F6929F" w:rsidR="004B4E35" w:rsidRPr="00405303" w:rsidRDefault="009E6F82" w:rsidP="00C15251">
      <w:pPr>
        <w:jc w:val="both"/>
        <w:rPr>
          <w:bCs/>
          <w:color w:val="002060"/>
          <w:sz w:val="16"/>
          <w:szCs w:val="16"/>
        </w:rPr>
      </w:pPr>
      <w:r w:rsidRPr="00405303">
        <w:rPr>
          <w:bCs/>
          <w:color w:val="002060"/>
          <w:sz w:val="16"/>
          <w:szCs w:val="16"/>
        </w:rPr>
        <w:t>19 января (1 февраля) 1915</w:t>
      </w:r>
      <w:r w:rsidR="00A41340" w:rsidRPr="00405303">
        <w:rPr>
          <w:bCs/>
          <w:color w:val="002060"/>
          <w:sz w:val="16"/>
          <w:szCs w:val="16"/>
        </w:rPr>
        <w:t xml:space="preserve"> г. вышло заявление Лебедева</w:t>
      </w:r>
      <w:r w:rsidRPr="00405303">
        <w:rPr>
          <w:bCs/>
          <w:color w:val="002060"/>
          <w:sz w:val="16"/>
          <w:szCs w:val="16"/>
        </w:rPr>
        <w:t>, в котором звучало обещание построить два аэроплана типа "Альбатрос" со сменным ко</w:t>
      </w:r>
      <w:r w:rsidRPr="00405303">
        <w:rPr>
          <w:bCs/>
          <w:color w:val="002060"/>
          <w:sz w:val="16"/>
          <w:szCs w:val="16"/>
        </w:rPr>
        <w:softHyphen/>
        <w:t>лесным, лыжным или поплавковым шасси и с моторами "Аргус" или "Австро-Даймлер" мощностью 120 л.с. каждый, способных находиться в воздухе в течение 6 часов. Сто</w:t>
      </w:r>
      <w:r w:rsidRPr="00405303">
        <w:rPr>
          <w:bCs/>
          <w:color w:val="002060"/>
          <w:sz w:val="16"/>
          <w:szCs w:val="16"/>
        </w:rPr>
        <w:softHyphen/>
        <w:t>имость такой машины расчитывалась следующим образом: 10.000 руб. за сам самолет, плюс 1.100 руб. за крылья увеличенного размаха и топливные баки, 1.500 руб. за ра</w:t>
      </w:r>
      <w:r w:rsidRPr="00405303">
        <w:rPr>
          <w:bCs/>
          <w:color w:val="002060"/>
          <w:sz w:val="16"/>
          <w:szCs w:val="16"/>
        </w:rPr>
        <w:softHyphen/>
        <w:t>диаторы и трубопроводы, 3.500 руб. за трехпоплавковое шасси, 210 руб. за воз</w:t>
      </w:r>
      <w:r w:rsidRPr="00405303">
        <w:rPr>
          <w:bCs/>
          <w:color w:val="002060"/>
          <w:sz w:val="16"/>
          <w:szCs w:val="16"/>
        </w:rPr>
        <w:softHyphen/>
        <w:t>душный винт диаметром 280 мм, окованный медью, 310 руб. за лыжи и т.д.; общая цена составляла 17.490 руб. Оба "Альбатроса" на колесном шасси могли быть изготовлены за 3 недели, а их испытания — выполнены пилотом фирмы. Также говорилось, что даль</w:t>
      </w:r>
      <w:r w:rsidRPr="00405303">
        <w:rPr>
          <w:bCs/>
          <w:color w:val="002060"/>
          <w:sz w:val="16"/>
          <w:szCs w:val="16"/>
        </w:rPr>
        <w:softHyphen/>
        <w:t>ность действия колесного или лыжного варианта самолета равнялась 1200 км, а поплавко</w:t>
      </w:r>
      <w:r w:rsidRPr="00405303">
        <w:rPr>
          <w:bCs/>
          <w:color w:val="002060"/>
          <w:sz w:val="16"/>
          <w:szCs w:val="16"/>
        </w:rPr>
        <w:softHyphen/>
        <w:t>вого — только 700 км.</w:t>
      </w:r>
    </w:p>
    <w:p w14:paraId="532A9EB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целом проект приняли, но представители Морского ведомства настаивали на том, что</w:t>
      </w:r>
      <w:r w:rsidRPr="00405303">
        <w:rPr>
          <w:bCs/>
          <w:color w:val="002060"/>
          <w:sz w:val="16"/>
          <w:szCs w:val="16"/>
        </w:rPr>
        <w:softHyphen/>
        <w:t>бы компания оснастила аэропланы поплавками, доставила их в Батум и там сдала в казну. Это условие стало камнем преткновения в дальнейших переговорах, т.к. фирма не желала работать в Батуме, соглашаясь, однако, опробовать машины на колесном шасси в Петрог</w:t>
      </w:r>
      <w:r w:rsidRPr="00405303">
        <w:rPr>
          <w:bCs/>
          <w:color w:val="002060"/>
          <w:sz w:val="16"/>
          <w:szCs w:val="16"/>
        </w:rPr>
        <w:softHyphen/>
        <w:t>раде, а на поплавковом — в Севастополе. 4 февраля Авиационный комитет Черноморского флота одобрил это предложение и рекомендовал дать Лебедеву официальный контракт. Не</w:t>
      </w:r>
      <w:r w:rsidRPr="00405303">
        <w:rPr>
          <w:bCs/>
          <w:color w:val="002060"/>
          <w:sz w:val="16"/>
          <w:szCs w:val="16"/>
        </w:rPr>
        <w:softHyphen/>
        <w:t>ожиданно на следующий день компания представила в МГШ несколько измененный план строительства "Альбатросов", каждый из которых должен был теперь оснащаться двигателем "Санбим" 150 л.с. и стоить 16.450 руб., включая цену пропеллера, моторной установки и испытаний в Севастополе, плюс 8.890 руб. за комплект запасных частей и поплавков. Из</w:t>
      </w:r>
      <w:r w:rsidRPr="00405303">
        <w:rPr>
          <w:bCs/>
          <w:color w:val="002060"/>
          <w:sz w:val="16"/>
          <w:szCs w:val="16"/>
        </w:rPr>
        <w:softHyphen/>
        <w:t>готовление должно было занять 9 недель, а 150-сильные "Санбимы" поставлялись бы заказ</w:t>
      </w:r>
      <w:r w:rsidRPr="00405303">
        <w:rPr>
          <w:bCs/>
          <w:color w:val="002060"/>
          <w:sz w:val="16"/>
          <w:szCs w:val="16"/>
        </w:rPr>
        <w:softHyphen/>
        <w:t>чиком. Все эти пункты "прижились" и устное соглашение между партнерами последовало в середине февраля, но только 26 марта МГШ просил командира Петроградского порта под</w:t>
      </w:r>
      <w:r w:rsidRPr="00405303">
        <w:rPr>
          <w:bCs/>
          <w:color w:val="002060"/>
          <w:sz w:val="16"/>
          <w:szCs w:val="16"/>
        </w:rPr>
        <w:softHyphen/>
        <w:t>писать договор с фирмой (2843).</w:t>
      </w:r>
    </w:p>
    <w:p w14:paraId="25172693" w14:textId="77777777" w:rsidR="004B4E35" w:rsidRPr="00405303" w:rsidRDefault="004B4E35" w:rsidP="00C15251">
      <w:pPr>
        <w:shd w:val="clear" w:color="auto" w:fill="FFFFFF"/>
        <w:jc w:val="both"/>
        <w:rPr>
          <w:bCs/>
          <w:color w:val="002060"/>
          <w:sz w:val="16"/>
          <w:szCs w:val="16"/>
        </w:rPr>
      </w:pPr>
    </w:p>
    <w:p w14:paraId="7F412C57" w14:textId="2DBA603F" w:rsidR="00C75EFF" w:rsidRPr="00405303" w:rsidRDefault="00C75EFF" w:rsidP="00C15251">
      <w:pPr>
        <w:jc w:val="both"/>
        <w:rPr>
          <w:bCs/>
          <w:color w:val="002060"/>
          <w:sz w:val="16"/>
          <w:szCs w:val="16"/>
          <w:lang w:bidi="ru-RU"/>
        </w:rPr>
      </w:pPr>
      <w:r w:rsidRPr="00405303">
        <w:rPr>
          <w:bCs/>
          <w:color w:val="002060"/>
          <w:sz w:val="16"/>
          <w:szCs w:val="16"/>
          <w:lang w:bidi="ru-RU"/>
        </w:rPr>
        <w:t>19 января (1 февраля) 1915 г. впервые упоминаются гидроса</w:t>
      </w:r>
      <w:r w:rsidRPr="00405303">
        <w:rPr>
          <w:bCs/>
          <w:color w:val="002060"/>
          <w:sz w:val="16"/>
          <w:szCs w:val="16"/>
          <w:lang w:bidi="ru-RU"/>
        </w:rPr>
        <w:softHyphen/>
        <w:t xml:space="preserve">молеты Лебедева. </w:t>
      </w:r>
    </w:p>
    <w:p w14:paraId="024F0969" w14:textId="77777777" w:rsidR="00C75EFF" w:rsidRPr="00405303" w:rsidRDefault="00C75EFF" w:rsidP="00C15251">
      <w:pPr>
        <w:jc w:val="both"/>
        <w:rPr>
          <w:bCs/>
          <w:color w:val="002060"/>
          <w:sz w:val="16"/>
          <w:szCs w:val="16"/>
          <w:lang w:bidi="ru-RU"/>
        </w:rPr>
      </w:pPr>
      <w:r w:rsidRPr="00405303">
        <w:rPr>
          <w:bCs/>
          <w:color w:val="002060"/>
          <w:sz w:val="16"/>
          <w:szCs w:val="16"/>
          <w:lang w:bidi="ru-RU"/>
        </w:rPr>
        <w:t>Попытки по</w:t>
      </w:r>
      <w:r w:rsidRPr="00405303">
        <w:rPr>
          <w:bCs/>
          <w:color w:val="002060"/>
          <w:sz w:val="16"/>
          <w:szCs w:val="16"/>
          <w:lang w:bidi="ru-RU"/>
        </w:rPr>
        <w:softHyphen/>
        <w:t>лучить на южный театр военных действий воздушные корабли типа «Илья Муромец» для выполнения дальней разведки оказались малоуспешными. В этой ситуации предста</w:t>
      </w:r>
      <w:r w:rsidRPr="00405303">
        <w:rPr>
          <w:bCs/>
          <w:color w:val="002060"/>
          <w:sz w:val="16"/>
          <w:szCs w:val="16"/>
          <w:lang w:bidi="ru-RU"/>
        </w:rPr>
        <w:softHyphen/>
        <w:t>вители флота со вниманием встретили предложение В.А. Лебедева построить два аэроплана «Альбатрос» типа 4а со смен</w:t>
      </w:r>
      <w:r w:rsidRPr="00405303">
        <w:rPr>
          <w:bCs/>
          <w:color w:val="002060"/>
          <w:sz w:val="16"/>
          <w:szCs w:val="16"/>
          <w:lang w:bidi="ru-RU"/>
        </w:rPr>
        <w:softHyphen/>
        <w:t>ным шасси (колеса, лыжи или поплавки), способные находиться в воздухе до 6 ча</w:t>
      </w:r>
      <w:r w:rsidRPr="00405303">
        <w:rPr>
          <w:bCs/>
          <w:color w:val="002060"/>
          <w:sz w:val="16"/>
          <w:szCs w:val="16"/>
          <w:lang w:bidi="ru-RU"/>
        </w:rPr>
        <w:softHyphen/>
        <w:t xml:space="preserve">сов. </w:t>
      </w:r>
    </w:p>
    <w:p w14:paraId="2D28A1BD" w14:textId="77777777" w:rsidR="00C75EFF" w:rsidRPr="00405303" w:rsidRDefault="00C75EFF" w:rsidP="00C15251">
      <w:pPr>
        <w:jc w:val="both"/>
        <w:rPr>
          <w:bCs/>
          <w:color w:val="002060"/>
          <w:sz w:val="16"/>
          <w:szCs w:val="16"/>
        </w:rPr>
      </w:pPr>
      <w:r w:rsidRPr="00405303">
        <w:rPr>
          <w:bCs/>
          <w:color w:val="002060"/>
          <w:sz w:val="16"/>
          <w:szCs w:val="16"/>
          <w:lang w:bidi="ru-RU"/>
        </w:rPr>
        <w:t>Окончательная договоренность сторон о постройке последовала в феврале-марте. По требованию заказчика, оснащенные по</w:t>
      </w:r>
      <w:r w:rsidRPr="00405303">
        <w:rPr>
          <w:bCs/>
          <w:color w:val="002060"/>
          <w:sz w:val="16"/>
          <w:szCs w:val="16"/>
          <w:lang w:bidi="ru-RU"/>
        </w:rPr>
        <w:softHyphen/>
        <w:t>плавками самолеты предстояло сдать в мае, далее провести сдаточные испытания в Севастополе, после чего доставить их к месту дислокации в Батум.</w:t>
      </w:r>
    </w:p>
    <w:p w14:paraId="0AD1AA08" w14:textId="77777777" w:rsidR="00C75EFF" w:rsidRPr="00405303" w:rsidRDefault="00C75EFF" w:rsidP="00C15251">
      <w:pPr>
        <w:jc w:val="both"/>
        <w:rPr>
          <w:bCs/>
          <w:color w:val="002060"/>
          <w:sz w:val="16"/>
          <w:szCs w:val="16"/>
        </w:rPr>
      </w:pPr>
      <w:r w:rsidRPr="00405303">
        <w:rPr>
          <w:bCs/>
          <w:color w:val="002060"/>
          <w:sz w:val="16"/>
          <w:szCs w:val="16"/>
          <w:lang w:bidi="ru-RU"/>
        </w:rPr>
        <w:t>Машины получили обозначение «Лебедь Морской-1» (ЛМ-1) и представляли собой развитие трехстоечных «Альбатрос Б.1». (23374)</w:t>
      </w:r>
    </w:p>
    <w:p w14:paraId="28749B45" w14:textId="77777777" w:rsidR="00C75EFF" w:rsidRPr="00405303" w:rsidRDefault="00C75EFF" w:rsidP="00C15251">
      <w:pPr>
        <w:jc w:val="both"/>
        <w:rPr>
          <w:bCs/>
          <w:color w:val="002060"/>
          <w:sz w:val="16"/>
          <w:szCs w:val="16"/>
        </w:rPr>
      </w:pPr>
    </w:p>
    <w:p w14:paraId="042F9E50" w14:textId="77777777" w:rsidR="00A9503D" w:rsidRPr="00405303" w:rsidRDefault="00A9503D" w:rsidP="00C15251">
      <w:pPr>
        <w:jc w:val="both"/>
        <w:rPr>
          <w:bCs/>
          <w:i/>
          <w:color w:val="002060"/>
          <w:sz w:val="16"/>
          <w:szCs w:val="16"/>
        </w:rPr>
      </w:pPr>
      <w:r w:rsidRPr="00405303">
        <w:rPr>
          <w:bCs/>
          <w:i/>
          <w:color w:val="002060"/>
          <w:sz w:val="16"/>
          <w:szCs w:val="16"/>
        </w:rPr>
        <w:t>Другие оборонные отрасли:</w:t>
      </w:r>
    </w:p>
    <w:p w14:paraId="31D90C6D" w14:textId="77777777" w:rsidR="00A9503D" w:rsidRPr="00405303" w:rsidRDefault="00A9503D" w:rsidP="00C15251">
      <w:pPr>
        <w:jc w:val="both"/>
        <w:rPr>
          <w:bCs/>
          <w:i/>
          <w:color w:val="002060"/>
          <w:sz w:val="16"/>
          <w:szCs w:val="16"/>
        </w:rPr>
      </w:pPr>
    </w:p>
    <w:p w14:paraId="6EBE6F43" w14:textId="7E8E0193" w:rsidR="00A9503D" w:rsidRPr="00405303" w:rsidRDefault="00A9503D" w:rsidP="00C15251">
      <w:pPr>
        <w:pStyle w:val="p1"/>
        <w:spacing w:before="0" w:beforeAutospacing="0" w:after="0" w:afterAutospacing="0"/>
        <w:jc w:val="both"/>
        <w:rPr>
          <w:bCs/>
          <w:color w:val="002060"/>
          <w:sz w:val="16"/>
          <w:szCs w:val="16"/>
        </w:rPr>
      </w:pPr>
      <w:r w:rsidRPr="00405303">
        <w:rPr>
          <w:bCs/>
          <w:color w:val="002060"/>
          <w:sz w:val="16"/>
          <w:szCs w:val="16"/>
        </w:rPr>
        <w:t xml:space="preserve">19 января </w:t>
      </w:r>
      <w:r w:rsidR="00A41340" w:rsidRPr="00405303">
        <w:rPr>
          <w:bCs/>
          <w:color w:val="002060"/>
          <w:sz w:val="16"/>
          <w:szCs w:val="16"/>
        </w:rPr>
        <w:t>(1 ф</w:t>
      </w:r>
      <w:r w:rsidR="00C75EFF" w:rsidRPr="00405303">
        <w:rPr>
          <w:bCs/>
          <w:color w:val="002060"/>
          <w:sz w:val="16"/>
          <w:szCs w:val="16"/>
        </w:rPr>
        <w:t>е</w:t>
      </w:r>
      <w:r w:rsidR="00A41340" w:rsidRPr="00405303">
        <w:rPr>
          <w:bCs/>
          <w:color w:val="002060"/>
          <w:sz w:val="16"/>
          <w:szCs w:val="16"/>
        </w:rPr>
        <w:t xml:space="preserve">враля) </w:t>
      </w:r>
      <w:r w:rsidRPr="00405303">
        <w:rPr>
          <w:bCs/>
          <w:color w:val="002060"/>
          <w:sz w:val="16"/>
          <w:szCs w:val="16"/>
        </w:rPr>
        <w:t>1915 г. совещание под председательством помощника военного министра Вернандера по распоряжению Николая II обсудило Проект Тимрота, и оно признало проект несостоятельным; вскоре было отклонено и предложение Биткова — «как недостаточно разработанное и в малом масштабе» (18409).</w:t>
      </w:r>
    </w:p>
    <w:p w14:paraId="1ABF49FD" w14:textId="77777777" w:rsidR="00A9503D" w:rsidRPr="00405303" w:rsidRDefault="00A9503D" w:rsidP="00C15251">
      <w:pPr>
        <w:pStyle w:val="p1"/>
        <w:spacing w:before="0" w:beforeAutospacing="0" w:after="0" w:afterAutospacing="0"/>
        <w:jc w:val="both"/>
        <w:rPr>
          <w:bCs/>
          <w:color w:val="002060"/>
          <w:sz w:val="16"/>
          <w:szCs w:val="16"/>
        </w:rPr>
      </w:pPr>
    </w:p>
    <w:p w14:paraId="282C77CB" w14:textId="78D07BCE" w:rsidR="00C75EFF" w:rsidRPr="00405303" w:rsidRDefault="00C75EFF" w:rsidP="00C15251">
      <w:pPr>
        <w:jc w:val="both"/>
        <w:rPr>
          <w:bCs/>
          <w:color w:val="002060"/>
          <w:sz w:val="16"/>
          <w:szCs w:val="16"/>
        </w:rPr>
      </w:pPr>
      <w:r w:rsidRPr="00405303">
        <w:rPr>
          <w:bCs/>
          <w:color w:val="002060"/>
          <w:sz w:val="16"/>
          <w:szCs w:val="16"/>
        </w:rPr>
        <w:t>19 января (1 февраля) 1915 г. проект частного оружейного завода А.А.Тимрота по распоряжению Николая II обсудило совещание под председательством помощ</w:t>
      </w:r>
      <w:r w:rsidRPr="00405303">
        <w:rPr>
          <w:bCs/>
          <w:color w:val="002060"/>
          <w:sz w:val="16"/>
          <w:szCs w:val="16"/>
        </w:rPr>
        <w:softHyphen/>
        <w:t>ника военного министра Вернандера, и оно признало про</w:t>
      </w:r>
      <w:r w:rsidRPr="00405303">
        <w:rPr>
          <w:bCs/>
          <w:color w:val="002060"/>
          <w:sz w:val="16"/>
          <w:szCs w:val="16"/>
        </w:rPr>
        <w:softHyphen/>
        <w:t>ект несостоятельным; вскоре было отклонено и схожее предложе</w:t>
      </w:r>
      <w:r w:rsidRPr="00405303">
        <w:rPr>
          <w:bCs/>
          <w:color w:val="002060"/>
          <w:sz w:val="16"/>
          <w:szCs w:val="16"/>
        </w:rPr>
        <w:softHyphen/>
        <w:t>ние Виткова — «как недостаточно разработанное и в малом масштабе» (23452).</w:t>
      </w:r>
    </w:p>
    <w:p w14:paraId="3FCD7F47" w14:textId="77777777" w:rsidR="00C75EFF" w:rsidRPr="00405303" w:rsidRDefault="00C75EFF" w:rsidP="00C15251">
      <w:pPr>
        <w:jc w:val="both"/>
        <w:rPr>
          <w:bCs/>
          <w:i/>
          <w:color w:val="002060"/>
          <w:sz w:val="16"/>
          <w:szCs w:val="16"/>
        </w:rPr>
      </w:pPr>
    </w:p>
    <w:p w14:paraId="16C2F757" w14:textId="77777777" w:rsidR="00E2570C" w:rsidRPr="00405303" w:rsidRDefault="00E2570C" w:rsidP="00C15251">
      <w:pPr>
        <w:jc w:val="both"/>
        <w:rPr>
          <w:bCs/>
          <w:i/>
          <w:color w:val="002060"/>
          <w:sz w:val="16"/>
          <w:szCs w:val="16"/>
        </w:rPr>
      </w:pPr>
      <w:r w:rsidRPr="00405303">
        <w:rPr>
          <w:bCs/>
          <w:i/>
          <w:color w:val="002060"/>
          <w:sz w:val="16"/>
          <w:szCs w:val="16"/>
        </w:rPr>
        <w:t>Авиация:</w:t>
      </w:r>
    </w:p>
    <w:p w14:paraId="50977E99" w14:textId="77777777" w:rsidR="00E2570C" w:rsidRPr="00405303" w:rsidRDefault="00E2570C" w:rsidP="00C15251">
      <w:pPr>
        <w:jc w:val="both"/>
        <w:rPr>
          <w:bCs/>
          <w:i/>
          <w:color w:val="002060"/>
          <w:sz w:val="16"/>
          <w:szCs w:val="16"/>
        </w:rPr>
      </w:pPr>
    </w:p>
    <w:p w14:paraId="372D4724" w14:textId="6EF39FEA" w:rsidR="00E2570C" w:rsidRPr="00405303" w:rsidRDefault="00C80775" w:rsidP="00C15251">
      <w:pPr>
        <w:jc w:val="both"/>
        <w:rPr>
          <w:bCs/>
          <w:color w:val="002060"/>
          <w:sz w:val="16"/>
          <w:szCs w:val="16"/>
        </w:rPr>
      </w:pPr>
      <w:r w:rsidRPr="00405303">
        <w:rPr>
          <w:bCs/>
          <w:color w:val="002060"/>
          <w:sz w:val="16"/>
          <w:szCs w:val="16"/>
          <w:lang w:bidi="en-US"/>
        </w:rPr>
        <w:t>19 января (</w:t>
      </w:r>
      <w:r w:rsidR="00E2570C" w:rsidRPr="00405303">
        <w:rPr>
          <w:bCs/>
          <w:color w:val="002060"/>
          <w:sz w:val="16"/>
          <w:szCs w:val="16"/>
          <w:lang w:bidi="en-US"/>
        </w:rPr>
        <w:t>1 февраля</w:t>
      </w:r>
      <w:r w:rsidRPr="00405303">
        <w:rPr>
          <w:bCs/>
          <w:color w:val="002060"/>
          <w:sz w:val="16"/>
          <w:szCs w:val="16"/>
          <w:lang w:bidi="en-US"/>
        </w:rPr>
        <w:t>)</w:t>
      </w:r>
      <w:r w:rsidR="00E2570C" w:rsidRPr="00405303">
        <w:rPr>
          <w:bCs/>
          <w:color w:val="002060"/>
          <w:sz w:val="16"/>
          <w:szCs w:val="16"/>
          <w:lang w:bidi="en-US"/>
        </w:rPr>
        <w:t xml:space="preserve"> 1915 г. немецкий дирижабль </w:t>
      </w:r>
      <w:r w:rsidR="00E2570C" w:rsidRPr="00405303">
        <w:rPr>
          <w:bCs/>
          <w:color w:val="002060"/>
          <w:sz w:val="16"/>
          <w:szCs w:val="16"/>
          <w:lang w:val="en-US" w:bidi="en-US"/>
        </w:rPr>
        <w:t>Z</w:t>
      </w:r>
      <w:r w:rsidR="00E2570C" w:rsidRPr="00405303">
        <w:rPr>
          <w:bCs/>
          <w:color w:val="002060"/>
          <w:sz w:val="16"/>
          <w:szCs w:val="16"/>
          <w:lang w:bidi="en-US"/>
        </w:rPr>
        <w:t>.</w:t>
      </w:r>
      <w:r w:rsidR="00E2570C" w:rsidRPr="00405303">
        <w:rPr>
          <w:bCs/>
          <w:color w:val="002060"/>
          <w:sz w:val="16"/>
          <w:szCs w:val="16"/>
          <w:lang w:val="en-US" w:bidi="en-US"/>
        </w:rPr>
        <w:t>IV</w:t>
      </w:r>
      <w:r w:rsidR="00E2570C" w:rsidRPr="00405303">
        <w:rPr>
          <w:bCs/>
          <w:color w:val="002060"/>
          <w:sz w:val="16"/>
          <w:szCs w:val="16"/>
          <w:lang w:bidi="en-US"/>
        </w:rPr>
        <w:t xml:space="preserve"> (</w:t>
      </w:r>
      <w:r w:rsidR="00E2570C" w:rsidRPr="00405303">
        <w:rPr>
          <w:bCs/>
          <w:color w:val="002060"/>
          <w:sz w:val="16"/>
          <w:szCs w:val="16"/>
          <w:lang w:val="en-US" w:bidi="en-US"/>
        </w:rPr>
        <w:t>LZ</w:t>
      </w:r>
      <w:r w:rsidR="00E2570C" w:rsidRPr="00405303">
        <w:rPr>
          <w:bCs/>
          <w:color w:val="002060"/>
          <w:sz w:val="16"/>
          <w:szCs w:val="16"/>
          <w:lang w:bidi="en-US"/>
        </w:rPr>
        <w:t>.16) нанес бомбовый удар по железнодорожной станции Люк. Он был поврежден русским наземным огнем и едва вернулась на свою базу в Алленштайне. Он прошел капитальный ремонт и вновь вступил в строй как учебный (23525).</w:t>
      </w:r>
    </w:p>
    <w:p w14:paraId="5F0EF5D6" w14:textId="77777777" w:rsidR="00E2570C" w:rsidRPr="00405303" w:rsidRDefault="00E2570C" w:rsidP="00C15251">
      <w:pPr>
        <w:jc w:val="both"/>
        <w:rPr>
          <w:bCs/>
          <w:color w:val="002060"/>
          <w:sz w:val="16"/>
          <w:szCs w:val="16"/>
          <w:lang w:bidi="en-US"/>
        </w:rPr>
      </w:pPr>
    </w:p>
    <w:p w14:paraId="6655F5FF" w14:textId="68802162" w:rsidR="00C75EFF" w:rsidRPr="00405303" w:rsidRDefault="00C75EFF" w:rsidP="00C15251">
      <w:pPr>
        <w:jc w:val="both"/>
        <w:rPr>
          <w:bCs/>
          <w:i/>
          <w:color w:val="002060"/>
          <w:sz w:val="16"/>
          <w:szCs w:val="16"/>
        </w:rPr>
      </w:pPr>
      <w:r w:rsidRPr="00405303">
        <w:rPr>
          <w:bCs/>
          <w:i/>
          <w:color w:val="002060"/>
          <w:sz w:val="16"/>
          <w:szCs w:val="16"/>
        </w:rPr>
        <w:t>Авиация:</w:t>
      </w:r>
    </w:p>
    <w:p w14:paraId="2E69C477" w14:textId="77777777" w:rsidR="00C75EFF" w:rsidRPr="00405303" w:rsidRDefault="00C75EFF" w:rsidP="00C15251">
      <w:pPr>
        <w:jc w:val="both"/>
        <w:rPr>
          <w:bCs/>
          <w:i/>
          <w:color w:val="002060"/>
          <w:sz w:val="16"/>
          <w:szCs w:val="16"/>
        </w:rPr>
      </w:pPr>
    </w:p>
    <w:p w14:paraId="2AA2C879" w14:textId="0BDA1D4A" w:rsidR="00C75EFF" w:rsidRPr="00405303" w:rsidRDefault="00C75EFF" w:rsidP="00C15251">
      <w:pPr>
        <w:jc w:val="both"/>
        <w:rPr>
          <w:bCs/>
          <w:color w:val="002060"/>
          <w:sz w:val="16"/>
          <w:szCs w:val="16"/>
        </w:rPr>
      </w:pPr>
      <w:r w:rsidRPr="00405303">
        <w:rPr>
          <w:bCs/>
          <w:color w:val="002060"/>
          <w:sz w:val="16"/>
          <w:szCs w:val="16"/>
        </w:rPr>
        <w:t>20 января (2 февраля) 1915 г. в полосе Северо-Западного фронта летчики Осовецкого крепостного и Сибирского авиаотрядов обеспечивали воздушного прикрытия наших полевых частей в прифронтовой полосе (23405).</w:t>
      </w:r>
    </w:p>
    <w:p w14:paraId="44EAD215" w14:textId="77777777" w:rsidR="00C75EFF" w:rsidRPr="00405303" w:rsidRDefault="00C75EFF" w:rsidP="00C15251">
      <w:pPr>
        <w:jc w:val="both"/>
        <w:rPr>
          <w:bCs/>
          <w:i/>
          <w:color w:val="002060"/>
          <w:sz w:val="16"/>
          <w:szCs w:val="16"/>
        </w:rPr>
      </w:pPr>
    </w:p>
    <w:p w14:paraId="134ABD5C" w14:textId="42737A12" w:rsidR="00C80775" w:rsidRPr="00405303" w:rsidRDefault="00C80775" w:rsidP="00C15251">
      <w:pPr>
        <w:jc w:val="both"/>
        <w:rPr>
          <w:bCs/>
          <w:color w:val="002060"/>
          <w:sz w:val="16"/>
          <w:szCs w:val="16"/>
          <w:lang w:bidi="en-US"/>
        </w:rPr>
      </w:pPr>
      <w:r w:rsidRPr="00405303">
        <w:rPr>
          <w:bCs/>
          <w:color w:val="002060"/>
          <w:sz w:val="16"/>
          <w:szCs w:val="16"/>
          <w:lang w:bidi="en-US"/>
        </w:rPr>
        <w:lastRenderedPageBreak/>
        <w:t>20 января (2 февраля) 1915 г. Генштаб России приказал сформировать в 7-й армии «особую авиационную часть», которая, вероятно, представляла собой передвижной авиационный поезд-мастерскую (23525).</w:t>
      </w:r>
    </w:p>
    <w:p w14:paraId="354F34E2" w14:textId="77777777" w:rsidR="00C80775" w:rsidRPr="00405303" w:rsidRDefault="00C80775" w:rsidP="00C15251">
      <w:pPr>
        <w:jc w:val="both"/>
        <w:rPr>
          <w:bCs/>
          <w:color w:val="002060"/>
          <w:sz w:val="16"/>
          <w:szCs w:val="16"/>
        </w:rPr>
      </w:pPr>
    </w:p>
    <w:p w14:paraId="30F90411" w14:textId="153FA006" w:rsidR="00C04E11" w:rsidRPr="00405303" w:rsidRDefault="00C04E11" w:rsidP="00C15251">
      <w:pPr>
        <w:jc w:val="both"/>
        <w:rPr>
          <w:bCs/>
          <w:i/>
          <w:color w:val="002060"/>
          <w:sz w:val="16"/>
          <w:szCs w:val="16"/>
        </w:rPr>
      </w:pPr>
      <w:r w:rsidRPr="00405303">
        <w:rPr>
          <w:bCs/>
          <w:i/>
          <w:color w:val="002060"/>
          <w:sz w:val="16"/>
          <w:szCs w:val="16"/>
        </w:rPr>
        <w:t>Воздухоплавание:</w:t>
      </w:r>
    </w:p>
    <w:p w14:paraId="5C1DC449" w14:textId="77777777" w:rsidR="00C04E11" w:rsidRPr="00405303" w:rsidRDefault="00C04E11" w:rsidP="00C15251">
      <w:pPr>
        <w:jc w:val="both"/>
        <w:rPr>
          <w:bCs/>
          <w:i/>
          <w:color w:val="002060"/>
          <w:sz w:val="16"/>
          <w:szCs w:val="16"/>
        </w:rPr>
      </w:pPr>
    </w:p>
    <w:p w14:paraId="03B8A2E3" w14:textId="77777777" w:rsidR="00C04E11" w:rsidRPr="00405303" w:rsidRDefault="00C04E11" w:rsidP="00C15251">
      <w:pPr>
        <w:jc w:val="both"/>
        <w:rPr>
          <w:bCs/>
          <w:color w:val="002060"/>
          <w:sz w:val="16"/>
          <w:szCs w:val="16"/>
        </w:rPr>
      </w:pPr>
      <w:r w:rsidRPr="00405303">
        <w:rPr>
          <w:rStyle w:val="42"/>
          <w:rFonts w:ascii="Times New Roman" w:hAnsi="Times New Roman" w:cs="Times New Roman"/>
          <w:bCs/>
          <w:color w:val="002060"/>
          <w:w w:val="100"/>
          <w:sz w:val="16"/>
          <w:szCs w:val="16"/>
        </w:rPr>
        <w:t>20 января (2 февраля) 1915 г. на</w:t>
      </w:r>
      <w:r w:rsidRPr="00405303">
        <w:rPr>
          <w:rStyle w:val="42"/>
          <w:rFonts w:ascii="Times New Roman" w:hAnsi="Times New Roman" w:cs="Times New Roman"/>
          <w:bCs/>
          <w:color w:val="002060"/>
          <w:w w:val="100"/>
          <w:sz w:val="16"/>
          <w:szCs w:val="16"/>
        </w:rPr>
        <w:softHyphen/>
        <w:t>чальник 24-го корпусного авиационного отряда 6-й армии военный лётчик инженер Кирпичёв подал рапорт с предложением сбросить со свободного сферического аэростата объёмом 1000 м3 на Перемышль бомбу в 30 пудов (480 кг) пироксилина. По своей массе она превос</w:t>
      </w:r>
      <w:r w:rsidRPr="00405303">
        <w:rPr>
          <w:rStyle w:val="42"/>
          <w:rFonts w:ascii="Times New Roman" w:hAnsi="Times New Roman" w:cs="Times New Roman"/>
          <w:bCs/>
          <w:color w:val="002060"/>
          <w:w w:val="100"/>
          <w:sz w:val="16"/>
          <w:szCs w:val="16"/>
        </w:rPr>
        <w:softHyphen/>
        <w:t>ходила 23 авиационные бомбы, сброшенные в те</w:t>
      </w:r>
      <w:r w:rsidRPr="00405303">
        <w:rPr>
          <w:rStyle w:val="42"/>
          <w:rFonts w:ascii="Times New Roman" w:hAnsi="Times New Roman" w:cs="Times New Roman"/>
          <w:bCs/>
          <w:color w:val="002060"/>
          <w:w w:val="100"/>
          <w:sz w:val="16"/>
          <w:szCs w:val="16"/>
        </w:rPr>
        <w:softHyphen/>
        <w:t>чение десяти дней, с 18 по 28 ноября 1914 г., лёт</w:t>
      </w:r>
      <w:r w:rsidRPr="00405303">
        <w:rPr>
          <w:rStyle w:val="42"/>
          <w:rFonts w:ascii="Times New Roman" w:hAnsi="Times New Roman" w:cs="Times New Roman"/>
          <w:bCs/>
          <w:color w:val="002060"/>
          <w:w w:val="100"/>
          <w:sz w:val="16"/>
          <w:szCs w:val="16"/>
        </w:rPr>
        <w:softHyphen/>
        <w:t>чиками Брест-Литовского крепостного и 24-го корпусного авиационных отрядов на военные объекты крепости. Обсуждение этого вопроса с инженерами штаба 11-й армии показало, что для точности бомбометания необходимо под</w:t>
      </w:r>
      <w:r w:rsidRPr="00405303">
        <w:rPr>
          <w:rStyle w:val="42"/>
          <w:rFonts w:ascii="Times New Roman" w:hAnsi="Times New Roman" w:cs="Times New Roman"/>
          <w:bCs/>
          <w:color w:val="002060"/>
          <w:w w:val="100"/>
          <w:sz w:val="16"/>
          <w:szCs w:val="16"/>
        </w:rPr>
        <w:softHyphen/>
        <w:t>нять вместе с аэростатом, несущим бомбу, ещё один шар с пилотами, осуществляющими выбор момента сброса бомбы. Провести бомбардиров</w:t>
      </w:r>
      <w:r w:rsidRPr="00405303">
        <w:rPr>
          <w:rStyle w:val="42"/>
          <w:rFonts w:ascii="Times New Roman" w:hAnsi="Times New Roman" w:cs="Times New Roman"/>
          <w:bCs/>
          <w:color w:val="002060"/>
          <w:w w:val="100"/>
          <w:sz w:val="16"/>
          <w:szCs w:val="16"/>
        </w:rPr>
        <w:softHyphen/>
        <w:t>ку предполагал сам Кирпичёв при помощи пра</w:t>
      </w:r>
      <w:r w:rsidRPr="00405303">
        <w:rPr>
          <w:rStyle w:val="42"/>
          <w:rFonts w:ascii="Times New Roman" w:hAnsi="Times New Roman" w:cs="Times New Roman"/>
          <w:bCs/>
          <w:color w:val="002060"/>
          <w:w w:val="100"/>
          <w:sz w:val="16"/>
          <w:szCs w:val="16"/>
        </w:rPr>
        <w:softHyphen/>
        <w:t>порщика Мейера из его авиационного отряда42. Это предложение реализовано не было (20120).</w:t>
      </w:r>
    </w:p>
    <w:p w14:paraId="5D4D91B7" w14:textId="77777777" w:rsidR="00C04E11" w:rsidRPr="00405303" w:rsidRDefault="00C04E11" w:rsidP="00C15251">
      <w:pPr>
        <w:jc w:val="both"/>
        <w:rPr>
          <w:bCs/>
          <w:color w:val="002060"/>
          <w:sz w:val="16"/>
          <w:szCs w:val="16"/>
        </w:rPr>
      </w:pPr>
    </w:p>
    <w:p w14:paraId="45B11AD8" w14:textId="77777777" w:rsidR="00A9503D" w:rsidRPr="00405303" w:rsidRDefault="00A9503D" w:rsidP="00C15251">
      <w:pPr>
        <w:jc w:val="both"/>
        <w:rPr>
          <w:bCs/>
          <w:i/>
          <w:color w:val="002060"/>
          <w:sz w:val="16"/>
          <w:szCs w:val="16"/>
        </w:rPr>
      </w:pPr>
      <w:r w:rsidRPr="00405303">
        <w:rPr>
          <w:bCs/>
          <w:i/>
          <w:color w:val="002060"/>
          <w:sz w:val="16"/>
          <w:szCs w:val="16"/>
        </w:rPr>
        <w:t>Другие оборонные отрасли:</w:t>
      </w:r>
    </w:p>
    <w:p w14:paraId="365FB852" w14:textId="77777777" w:rsidR="00A9503D" w:rsidRPr="00405303" w:rsidRDefault="00A9503D" w:rsidP="00C15251">
      <w:pPr>
        <w:jc w:val="both"/>
        <w:rPr>
          <w:bCs/>
          <w:i/>
          <w:color w:val="002060"/>
          <w:sz w:val="16"/>
          <w:szCs w:val="16"/>
        </w:rPr>
      </w:pPr>
    </w:p>
    <w:p w14:paraId="112EF231" w14:textId="77777777" w:rsidR="00A9503D" w:rsidRPr="00405303" w:rsidRDefault="00A9503D" w:rsidP="00C15251">
      <w:pPr>
        <w:jc w:val="both"/>
        <w:rPr>
          <w:bCs/>
          <w:color w:val="002060"/>
          <w:sz w:val="16"/>
          <w:szCs w:val="16"/>
        </w:rPr>
      </w:pPr>
      <w:r w:rsidRPr="00405303">
        <w:rPr>
          <w:bCs/>
          <w:color w:val="002060"/>
          <w:sz w:val="16"/>
          <w:szCs w:val="16"/>
        </w:rPr>
        <w:t>21 января 1915 г. ГВТУ вошло в Военный совет с представлением за №317/298 "О заготовке самодвижущихся повозок для удовлетворения предстоявшей потребности в них действующей армии" и определило эту потребность в большем размере, чем это сделал Генеральный штаб. Разница обьяснялась тем, что Генеральным штабом не было предусмотрено решение о формировании "14 тяжелых батарей с 6-дюймовыми скорострельными орудиями Шнейдера, для каковых батарей, согласно представления ГУГШ в Военный совет от 22.12.1914 г. за №5337 требовалось: 35 легковых автомобилей, 126 тракторов, 84 грузовика, 14 цистерн, 14 мастерских и 14 кухонь».</w:t>
      </w:r>
    </w:p>
    <w:p w14:paraId="510DF174" w14:textId="77777777" w:rsidR="00A9503D" w:rsidRPr="00405303" w:rsidRDefault="00A9503D" w:rsidP="00C15251">
      <w:pPr>
        <w:jc w:val="both"/>
        <w:rPr>
          <w:bCs/>
          <w:color w:val="002060"/>
          <w:sz w:val="16"/>
          <w:szCs w:val="16"/>
        </w:rPr>
      </w:pPr>
      <w:r w:rsidRPr="00405303">
        <w:rPr>
          <w:bCs/>
          <w:color w:val="002060"/>
          <w:sz w:val="16"/>
          <w:szCs w:val="16"/>
        </w:rPr>
        <w:t>Принимая это во внимание, Главное военно-техническое управление сочло необходимым закупить дополнительно 278 тракторов для артиллерии (18380).</w:t>
      </w:r>
    </w:p>
    <w:p w14:paraId="1EF4DD10" w14:textId="77777777" w:rsidR="00A9503D" w:rsidRPr="00405303" w:rsidRDefault="00A9503D" w:rsidP="00C15251">
      <w:pPr>
        <w:jc w:val="both"/>
        <w:rPr>
          <w:bCs/>
          <w:color w:val="002060"/>
          <w:sz w:val="16"/>
          <w:szCs w:val="16"/>
        </w:rPr>
      </w:pPr>
    </w:p>
    <w:p w14:paraId="32D17432"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Армия:</w:t>
      </w:r>
    </w:p>
    <w:p w14:paraId="286383A6" w14:textId="77777777" w:rsidR="004B4E35" w:rsidRPr="00405303" w:rsidRDefault="004B4E35" w:rsidP="00C15251">
      <w:pPr>
        <w:shd w:val="clear" w:color="auto" w:fill="FFFFFF"/>
        <w:jc w:val="both"/>
        <w:rPr>
          <w:bCs/>
          <w:i/>
          <w:color w:val="002060"/>
          <w:sz w:val="16"/>
          <w:szCs w:val="16"/>
        </w:rPr>
      </w:pPr>
    </w:p>
    <w:p w14:paraId="0CBE36D9" w14:textId="5746CD4D" w:rsidR="004B4E35" w:rsidRPr="00405303" w:rsidRDefault="009E6F82" w:rsidP="00C15251">
      <w:pPr>
        <w:jc w:val="both"/>
        <w:rPr>
          <w:bCs/>
          <w:color w:val="002060"/>
          <w:sz w:val="16"/>
          <w:szCs w:val="16"/>
        </w:rPr>
      </w:pPr>
      <w:r w:rsidRPr="00405303">
        <w:rPr>
          <w:bCs/>
          <w:color w:val="002060"/>
          <w:sz w:val="16"/>
          <w:szCs w:val="16"/>
        </w:rPr>
        <w:t xml:space="preserve">21 января (3 февраля) 1915 г. в эскадру пожаловал титулованный гость - Великий Князь Александр Михайлович. В его ведении после декабрьского приказа находилась вся легкая авиация. "Муромцы" же оказались вне досягаемости, теперь они подчинялись дежурному генералу Ставки Верховного Главнокомандования (ДЕГЕНВЕРХУ). Князь не скрывал своего отрицательного отношения к "Муромцам" и после осмотра эскадры попросил Шидловского собрать летный состав. Здесь в офицерском собрании он весьма прямолинейно предложил этим отборным летчикам - цвету российского воздушного флота перейти к нему в легкую авиацию, суля скорые должности и награды. </w:t>
      </w:r>
      <w:proofErr w:type="gramStart"/>
      <w:r w:rsidRPr="00405303">
        <w:rPr>
          <w:bCs/>
          <w:color w:val="002060"/>
          <w:sz w:val="16"/>
          <w:szCs w:val="16"/>
        </w:rPr>
        <w:t>Но к чести</w:t>
      </w:r>
      <w:proofErr w:type="gramEnd"/>
      <w:r w:rsidRPr="00405303">
        <w:rPr>
          <w:bCs/>
          <w:color w:val="002060"/>
          <w:sz w:val="16"/>
          <w:szCs w:val="16"/>
        </w:rPr>
        <w:t xml:space="preserve"> офицерского состава не нашлось ни одного, кто бы пожелал сменить эти тяжелые, с виду неуклюжие корабли, и к тому же пользующиеся дурной репутацией летающей мишени, на изящные и легкие машины. Так рождались товарищеcкая спайка нового коллектива, гордость за свою эскадру и вера в близкие успехи (11230).</w:t>
      </w:r>
    </w:p>
    <w:p w14:paraId="784AD781" w14:textId="77777777" w:rsidR="004B4E35" w:rsidRPr="00405303" w:rsidRDefault="004B4E35" w:rsidP="00C15251">
      <w:pPr>
        <w:jc w:val="both"/>
        <w:rPr>
          <w:bCs/>
          <w:color w:val="002060"/>
          <w:sz w:val="16"/>
          <w:szCs w:val="16"/>
        </w:rPr>
      </w:pPr>
    </w:p>
    <w:p w14:paraId="723B7A8B" w14:textId="5172CD2D" w:rsidR="00C75EFF" w:rsidRPr="00405303" w:rsidRDefault="00C75EFF" w:rsidP="00C15251">
      <w:pPr>
        <w:jc w:val="both"/>
        <w:rPr>
          <w:bCs/>
          <w:color w:val="002060"/>
          <w:sz w:val="16"/>
          <w:szCs w:val="16"/>
        </w:rPr>
      </w:pPr>
      <w:r w:rsidRPr="00405303">
        <w:rPr>
          <w:bCs/>
          <w:color w:val="002060"/>
          <w:sz w:val="16"/>
          <w:szCs w:val="16"/>
        </w:rPr>
        <w:t>21 января (3 февраля) 1915 г. в эскадру пожаловал титулованный гость — Ве</w:t>
      </w:r>
      <w:r w:rsidRPr="00405303">
        <w:rPr>
          <w:bCs/>
          <w:color w:val="002060"/>
          <w:sz w:val="16"/>
          <w:szCs w:val="16"/>
        </w:rPr>
        <w:softHyphen/>
        <w:t>ликий Князь Александр Михайлович. В его ведении после декабрьского приказа находилась вся легкая ави</w:t>
      </w:r>
      <w:r w:rsidRPr="00405303">
        <w:rPr>
          <w:bCs/>
          <w:color w:val="002060"/>
          <w:sz w:val="16"/>
          <w:szCs w:val="16"/>
        </w:rPr>
        <w:softHyphen/>
        <w:t>ация. «Муромцы» же оказались вне досягаемости, те</w:t>
      </w:r>
      <w:r w:rsidRPr="00405303">
        <w:rPr>
          <w:bCs/>
          <w:color w:val="002060"/>
          <w:sz w:val="16"/>
          <w:szCs w:val="16"/>
        </w:rPr>
        <w:softHyphen/>
        <w:t>перь они подчинялись дежурному генералу Ставки Вер</w:t>
      </w:r>
      <w:r w:rsidRPr="00405303">
        <w:rPr>
          <w:bCs/>
          <w:color w:val="002060"/>
          <w:sz w:val="16"/>
          <w:szCs w:val="16"/>
        </w:rPr>
        <w:softHyphen/>
        <w:t>ховного Главнокомандования (ДЕГЕНВЕРХУ). Князь не скрывал своего отрицательного отношения к «Му</w:t>
      </w:r>
      <w:r w:rsidRPr="00405303">
        <w:rPr>
          <w:bCs/>
          <w:color w:val="002060"/>
          <w:sz w:val="16"/>
          <w:szCs w:val="16"/>
        </w:rPr>
        <w:softHyphen/>
        <w:t>ромцам» и после осмотра эскадры попросил Шидлов- ского собрать летный состав. Здесь в офицерском собра</w:t>
      </w:r>
      <w:r w:rsidRPr="00405303">
        <w:rPr>
          <w:bCs/>
          <w:color w:val="002060"/>
          <w:sz w:val="16"/>
          <w:szCs w:val="16"/>
        </w:rPr>
        <w:softHyphen/>
        <w:t xml:space="preserve">нии он весьма прямолинейно предложил этим отборным летчикам — цвету российского воздушного флота перейти к нему в легкую авиацию, суля скорые должности и награды. </w:t>
      </w:r>
      <w:proofErr w:type="gramStart"/>
      <w:r w:rsidRPr="00405303">
        <w:rPr>
          <w:bCs/>
          <w:color w:val="002060"/>
          <w:sz w:val="16"/>
          <w:szCs w:val="16"/>
        </w:rPr>
        <w:t>Но к чести</w:t>
      </w:r>
      <w:proofErr w:type="gramEnd"/>
      <w:r w:rsidRPr="00405303">
        <w:rPr>
          <w:bCs/>
          <w:color w:val="002060"/>
          <w:sz w:val="16"/>
          <w:szCs w:val="16"/>
        </w:rPr>
        <w:t xml:space="preserve"> офицерского состава не нашлось ни одного, кто бы пожелал сменить эти тя</w:t>
      </w:r>
      <w:r w:rsidRPr="00405303">
        <w:rPr>
          <w:bCs/>
          <w:color w:val="002060"/>
          <w:sz w:val="16"/>
          <w:szCs w:val="16"/>
        </w:rPr>
        <w:softHyphen/>
        <w:t>желые, с виду неуклюжие корабли, и к тому же пользу</w:t>
      </w:r>
      <w:r w:rsidRPr="00405303">
        <w:rPr>
          <w:bCs/>
          <w:color w:val="002060"/>
          <w:sz w:val="16"/>
          <w:szCs w:val="16"/>
        </w:rPr>
        <w:softHyphen/>
        <w:t>ющиеся дурной репутацией летающей мишени, на изящные и легкие машины (24177).</w:t>
      </w:r>
    </w:p>
    <w:p w14:paraId="6ED92A5E" w14:textId="77777777" w:rsidR="00C75EFF" w:rsidRPr="00405303" w:rsidRDefault="00C75EFF" w:rsidP="00C15251">
      <w:pPr>
        <w:jc w:val="both"/>
        <w:rPr>
          <w:bCs/>
          <w:color w:val="002060"/>
          <w:sz w:val="16"/>
          <w:szCs w:val="16"/>
        </w:rPr>
      </w:pPr>
    </w:p>
    <w:p w14:paraId="6A3A644D" w14:textId="77777777" w:rsidR="004B4E35" w:rsidRPr="00405303" w:rsidRDefault="009E6F82" w:rsidP="00C15251">
      <w:pPr>
        <w:jc w:val="both"/>
        <w:rPr>
          <w:bCs/>
          <w:color w:val="002060"/>
          <w:sz w:val="16"/>
          <w:szCs w:val="16"/>
        </w:rPr>
      </w:pPr>
      <w:r w:rsidRPr="00405303">
        <w:rPr>
          <w:bCs/>
          <w:color w:val="002060"/>
          <w:sz w:val="16"/>
          <w:szCs w:val="16"/>
        </w:rPr>
        <w:t>С 1 июля 1914 г. по 21 января (3 февраля) 1915 г. курсанты в Севастопольской школе летчиков налетали 1436 часов. Однако выпуск летчиков в России хотя и увеличивался из месяца в месяц, все еще оставался недостаточным. В январе 1915 г. было подготовлено 3 военных летчика, в мае - 32, в осенне-зимние месяцы в среднем выпускалось по 12-15 человек. К концу года все школы выпустили 190 военных летчиков, в том числе обучено было 45 офицеров, переучено - 35. Кроме того, был подготовлен 81 "охотник" (11999).</w:t>
      </w:r>
    </w:p>
    <w:p w14:paraId="5D26C24D" w14:textId="77777777" w:rsidR="004B4E35" w:rsidRPr="00405303" w:rsidRDefault="004B4E35" w:rsidP="00C15251">
      <w:pPr>
        <w:jc w:val="both"/>
        <w:rPr>
          <w:bCs/>
          <w:color w:val="002060"/>
          <w:sz w:val="16"/>
          <w:szCs w:val="16"/>
        </w:rPr>
      </w:pPr>
    </w:p>
    <w:p w14:paraId="32F8E621" w14:textId="77777777" w:rsidR="003E46B4" w:rsidRPr="00405303" w:rsidRDefault="003E46B4" w:rsidP="00C15251">
      <w:pPr>
        <w:jc w:val="both"/>
        <w:rPr>
          <w:bCs/>
          <w:i/>
          <w:color w:val="002060"/>
          <w:sz w:val="16"/>
          <w:szCs w:val="16"/>
        </w:rPr>
      </w:pPr>
      <w:r w:rsidRPr="00405303">
        <w:rPr>
          <w:bCs/>
          <w:i/>
          <w:color w:val="002060"/>
          <w:sz w:val="16"/>
          <w:szCs w:val="16"/>
        </w:rPr>
        <w:t>За рубежом:</w:t>
      </w:r>
    </w:p>
    <w:p w14:paraId="11A157E2" w14:textId="77777777" w:rsidR="003E46B4" w:rsidRPr="00405303" w:rsidRDefault="003E46B4" w:rsidP="00C15251">
      <w:pPr>
        <w:jc w:val="both"/>
        <w:rPr>
          <w:bCs/>
          <w:color w:val="002060"/>
          <w:sz w:val="16"/>
          <w:szCs w:val="16"/>
        </w:rPr>
      </w:pPr>
    </w:p>
    <w:p w14:paraId="75B52F0C" w14:textId="77777777" w:rsidR="003E46B4" w:rsidRPr="00405303" w:rsidRDefault="003E46B4" w:rsidP="00C15251">
      <w:pPr>
        <w:jc w:val="both"/>
        <w:rPr>
          <w:bCs/>
          <w:color w:val="002060"/>
          <w:sz w:val="16"/>
          <w:szCs w:val="16"/>
        </w:rPr>
      </w:pPr>
      <w:r w:rsidRPr="00405303">
        <w:rPr>
          <w:bCs/>
          <w:color w:val="002060"/>
          <w:sz w:val="16"/>
          <w:szCs w:val="16"/>
        </w:rPr>
        <w:t>21 января (3 февраля) в 1915 году английские войска ликвидировали турецкий плацдарм на западном берегу Суэцкого канала,захваченный войсками Джемаль паши 2 февраля (15029).</w:t>
      </w:r>
    </w:p>
    <w:p w14:paraId="42DAD72B" w14:textId="77777777" w:rsidR="003E46B4" w:rsidRPr="00405303" w:rsidRDefault="003E46B4" w:rsidP="00C15251">
      <w:pPr>
        <w:jc w:val="both"/>
        <w:rPr>
          <w:bCs/>
          <w:color w:val="002060"/>
          <w:sz w:val="16"/>
          <w:szCs w:val="16"/>
        </w:rPr>
      </w:pPr>
    </w:p>
    <w:p w14:paraId="78A50029" w14:textId="0593163A" w:rsidR="00C75EFF" w:rsidRPr="00405303" w:rsidRDefault="00C75EFF" w:rsidP="00C15251">
      <w:pPr>
        <w:shd w:val="clear" w:color="auto" w:fill="FFFFFF"/>
        <w:jc w:val="both"/>
        <w:rPr>
          <w:bCs/>
          <w:i/>
          <w:color w:val="002060"/>
          <w:sz w:val="16"/>
          <w:szCs w:val="16"/>
        </w:rPr>
      </w:pPr>
      <w:r w:rsidRPr="00405303">
        <w:rPr>
          <w:bCs/>
          <w:i/>
          <w:color w:val="002060"/>
          <w:sz w:val="16"/>
          <w:szCs w:val="16"/>
        </w:rPr>
        <w:t>Морская авиация:</w:t>
      </w:r>
    </w:p>
    <w:p w14:paraId="51D6B000" w14:textId="77777777" w:rsidR="00C75EFF" w:rsidRPr="00405303" w:rsidRDefault="00C75EFF" w:rsidP="00C15251">
      <w:pPr>
        <w:shd w:val="clear" w:color="auto" w:fill="FFFFFF"/>
        <w:jc w:val="both"/>
        <w:rPr>
          <w:bCs/>
          <w:i/>
          <w:color w:val="002060"/>
          <w:sz w:val="16"/>
          <w:szCs w:val="16"/>
        </w:rPr>
      </w:pPr>
    </w:p>
    <w:p w14:paraId="342ACC3D" w14:textId="157735A5" w:rsidR="00C75EFF" w:rsidRPr="00405303" w:rsidRDefault="00C75EFF" w:rsidP="00C15251">
      <w:pPr>
        <w:jc w:val="both"/>
        <w:rPr>
          <w:bCs/>
          <w:color w:val="002060"/>
          <w:sz w:val="16"/>
          <w:szCs w:val="16"/>
          <w:lang w:bidi="en-US"/>
        </w:rPr>
      </w:pPr>
      <w:r w:rsidRPr="00405303">
        <w:rPr>
          <w:bCs/>
          <w:color w:val="002060"/>
          <w:sz w:val="16"/>
          <w:szCs w:val="16"/>
          <w:lang w:bidi="en-US"/>
        </w:rPr>
        <w:t xml:space="preserve">22 января </w:t>
      </w:r>
      <w:r w:rsidR="00C949AE" w:rsidRPr="00405303">
        <w:rPr>
          <w:bCs/>
          <w:color w:val="002060"/>
          <w:sz w:val="16"/>
          <w:szCs w:val="16"/>
          <w:lang w:bidi="en-US"/>
        </w:rPr>
        <w:t xml:space="preserve">(4 февраля) </w:t>
      </w:r>
      <w:r w:rsidRPr="00405303">
        <w:rPr>
          <w:bCs/>
          <w:color w:val="002060"/>
          <w:sz w:val="16"/>
          <w:szCs w:val="16"/>
          <w:lang w:bidi="en-US"/>
        </w:rPr>
        <w:t>1915 г. командующий Балтийским флотом адмирал Н. О. Эссен предложил военно-морскому министру потребность в специально оборудованном авиационном корабле для ведения воздушной разведки. 3 мая потребность была наконец удовлетворена вводом в строй «Орлицы» (23525).</w:t>
      </w:r>
    </w:p>
    <w:p w14:paraId="31F13190" w14:textId="77777777" w:rsidR="00C75EFF" w:rsidRPr="00405303" w:rsidRDefault="00C75EFF" w:rsidP="00C15251">
      <w:pPr>
        <w:shd w:val="clear" w:color="auto" w:fill="FFFFFF"/>
        <w:jc w:val="both"/>
        <w:rPr>
          <w:bCs/>
          <w:i/>
          <w:color w:val="002060"/>
          <w:sz w:val="16"/>
          <w:szCs w:val="16"/>
        </w:rPr>
      </w:pPr>
    </w:p>
    <w:p w14:paraId="4DC07EE4" w14:textId="1E9E5B12" w:rsidR="00C949AE" w:rsidRPr="00405303" w:rsidRDefault="00C949AE" w:rsidP="00C15251">
      <w:pPr>
        <w:jc w:val="both"/>
        <w:rPr>
          <w:bCs/>
          <w:color w:val="002060"/>
          <w:sz w:val="16"/>
          <w:szCs w:val="16"/>
          <w:lang w:bidi="en-US"/>
        </w:rPr>
      </w:pPr>
      <w:r w:rsidRPr="00405303">
        <w:rPr>
          <w:bCs/>
          <w:color w:val="002060"/>
          <w:sz w:val="16"/>
          <w:szCs w:val="16"/>
          <w:lang w:bidi="en-US"/>
        </w:rPr>
        <w:t xml:space="preserve">22 января (4 февраля) 1915 г. в Черном море авианосец «Император Николай </w:t>
      </w:r>
      <w:r w:rsidRPr="00405303">
        <w:rPr>
          <w:bCs/>
          <w:color w:val="002060"/>
          <w:sz w:val="16"/>
          <w:szCs w:val="16"/>
          <w:lang w:val="en-US" w:bidi="en-US"/>
        </w:rPr>
        <w:t>I</w:t>
      </w:r>
      <w:r w:rsidRPr="00405303">
        <w:rPr>
          <w:bCs/>
          <w:color w:val="002060"/>
          <w:sz w:val="16"/>
          <w:szCs w:val="16"/>
          <w:lang w:bidi="en-US"/>
        </w:rPr>
        <w:t>», к сожалению, протаранил другое судно на главном севастопольском рейде, получив незначительные повреждения (23525).</w:t>
      </w:r>
    </w:p>
    <w:p w14:paraId="6CD0C3C5" w14:textId="77777777" w:rsidR="00C949AE" w:rsidRPr="00405303" w:rsidRDefault="00C949AE" w:rsidP="00C15251">
      <w:pPr>
        <w:jc w:val="both"/>
        <w:rPr>
          <w:bCs/>
          <w:color w:val="002060"/>
          <w:sz w:val="16"/>
          <w:szCs w:val="16"/>
        </w:rPr>
      </w:pPr>
    </w:p>
    <w:p w14:paraId="14F44197" w14:textId="2A167079" w:rsidR="00C75EFF" w:rsidRPr="00405303" w:rsidRDefault="00C75EFF" w:rsidP="00C15251">
      <w:pPr>
        <w:shd w:val="clear" w:color="auto" w:fill="FFFFFF"/>
        <w:jc w:val="both"/>
        <w:rPr>
          <w:bCs/>
          <w:i/>
          <w:color w:val="002060"/>
          <w:sz w:val="16"/>
          <w:szCs w:val="16"/>
        </w:rPr>
      </w:pPr>
      <w:r w:rsidRPr="00405303">
        <w:rPr>
          <w:bCs/>
          <w:i/>
          <w:color w:val="002060"/>
          <w:sz w:val="16"/>
          <w:szCs w:val="16"/>
        </w:rPr>
        <w:t>Армия:</w:t>
      </w:r>
    </w:p>
    <w:p w14:paraId="005DA135" w14:textId="77777777" w:rsidR="00C75EFF" w:rsidRPr="00405303" w:rsidRDefault="00C75EFF" w:rsidP="00C15251">
      <w:pPr>
        <w:shd w:val="clear" w:color="auto" w:fill="FFFFFF"/>
        <w:jc w:val="both"/>
        <w:rPr>
          <w:bCs/>
          <w:i/>
          <w:color w:val="002060"/>
          <w:sz w:val="16"/>
          <w:szCs w:val="16"/>
        </w:rPr>
      </w:pPr>
    </w:p>
    <w:p w14:paraId="22FE1AFD" w14:textId="678D5E27" w:rsidR="00C75EFF" w:rsidRPr="00405303" w:rsidRDefault="00C75EFF" w:rsidP="00C15251">
      <w:pPr>
        <w:jc w:val="both"/>
        <w:rPr>
          <w:bCs/>
          <w:color w:val="002060"/>
          <w:sz w:val="16"/>
          <w:szCs w:val="16"/>
        </w:rPr>
      </w:pPr>
      <w:r w:rsidRPr="00405303">
        <w:rPr>
          <w:bCs/>
          <w:color w:val="002060"/>
          <w:sz w:val="16"/>
          <w:szCs w:val="16"/>
          <w:lang w:bidi="en-US"/>
        </w:rPr>
        <w:t xml:space="preserve">23 января </w:t>
      </w:r>
      <w:r w:rsidR="00C949AE" w:rsidRPr="00405303">
        <w:rPr>
          <w:bCs/>
          <w:color w:val="002060"/>
          <w:sz w:val="16"/>
          <w:szCs w:val="16"/>
          <w:lang w:bidi="en-US"/>
        </w:rPr>
        <w:t xml:space="preserve">(5 февраля) </w:t>
      </w:r>
      <w:r w:rsidRPr="00405303">
        <w:rPr>
          <w:bCs/>
          <w:color w:val="002060"/>
          <w:sz w:val="16"/>
          <w:szCs w:val="16"/>
          <w:lang w:bidi="en-US"/>
        </w:rPr>
        <w:t>1915 г. на Юго-Западном фронте австро-венгры прорвали позиции русских и отбили ключевые карпатские перевалы (23525).</w:t>
      </w:r>
    </w:p>
    <w:p w14:paraId="095E2040" w14:textId="77777777" w:rsidR="00C75EFF" w:rsidRPr="00405303" w:rsidRDefault="00C75EFF" w:rsidP="00C15251">
      <w:pPr>
        <w:jc w:val="both"/>
        <w:rPr>
          <w:bCs/>
          <w:color w:val="002060"/>
          <w:sz w:val="16"/>
          <w:szCs w:val="16"/>
          <w:lang w:bidi="ru-RU"/>
        </w:rPr>
      </w:pPr>
    </w:p>
    <w:p w14:paraId="607D778B" w14:textId="79850D56" w:rsidR="004B4E35" w:rsidRPr="00405303" w:rsidRDefault="009E6F82" w:rsidP="00C15251">
      <w:pPr>
        <w:shd w:val="clear" w:color="auto" w:fill="FFFFFF"/>
        <w:jc w:val="both"/>
        <w:rPr>
          <w:bCs/>
          <w:i/>
          <w:color w:val="002060"/>
          <w:sz w:val="16"/>
          <w:szCs w:val="16"/>
        </w:rPr>
      </w:pPr>
      <w:r w:rsidRPr="00405303">
        <w:rPr>
          <w:bCs/>
          <w:i/>
          <w:color w:val="002060"/>
          <w:sz w:val="16"/>
          <w:szCs w:val="16"/>
        </w:rPr>
        <w:t>А</w:t>
      </w:r>
      <w:r w:rsidR="00205034" w:rsidRPr="00405303">
        <w:rPr>
          <w:bCs/>
          <w:i/>
          <w:color w:val="002060"/>
          <w:sz w:val="16"/>
          <w:szCs w:val="16"/>
        </w:rPr>
        <w:t>виация</w:t>
      </w:r>
      <w:r w:rsidRPr="00405303">
        <w:rPr>
          <w:bCs/>
          <w:i/>
          <w:color w:val="002060"/>
          <w:sz w:val="16"/>
          <w:szCs w:val="16"/>
        </w:rPr>
        <w:t>:</w:t>
      </w:r>
    </w:p>
    <w:p w14:paraId="485FF10D" w14:textId="77777777" w:rsidR="004B4E35" w:rsidRPr="00405303" w:rsidRDefault="004B4E35" w:rsidP="00C15251">
      <w:pPr>
        <w:shd w:val="clear" w:color="auto" w:fill="FFFFFF"/>
        <w:jc w:val="both"/>
        <w:rPr>
          <w:bCs/>
          <w:i/>
          <w:color w:val="002060"/>
          <w:sz w:val="16"/>
          <w:szCs w:val="16"/>
        </w:rPr>
      </w:pPr>
    </w:p>
    <w:p w14:paraId="23AF6C98" w14:textId="6775C453" w:rsidR="004B4E35" w:rsidRPr="00405303" w:rsidRDefault="009E6F82" w:rsidP="00C15251">
      <w:pPr>
        <w:jc w:val="both"/>
        <w:rPr>
          <w:bCs/>
          <w:color w:val="002060"/>
          <w:sz w:val="16"/>
          <w:szCs w:val="16"/>
        </w:rPr>
      </w:pPr>
      <w:r w:rsidRPr="00405303">
        <w:rPr>
          <w:bCs/>
          <w:color w:val="002060"/>
          <w:sz w:val="16"/>
          <w:szCs w:val="16"/>
        </w:rPr>
        <w:t xml:space="preserve">23 января (5 февраля) 1915 года приказанием войскам 27-го армейского корпуса (г. Варшава) №13 </w:t>
      </w:r>
      <w:r w:rsidR="00A41340" w:rsidRPr="00405303">
        <w:rPr>
          <w:bCs/>
          <w:color w:val="002060"/>
          <w:sz w:val="16"/>
          <w:szCs w:val="16"/>
        </w:rPr>
        <w:t xml:space="preserve">была </w:t>
      </w:r>
      <w:r w:rsidRPr="00405303">
        <w:rPr>
          <w:bCs/>
          <w:color w:val="002060"/>
          <w:sz w:val="16"/>
          <w:szCs w:val="16"/>
        </w:rPr>
        <w:t>организована воздушная оборона г. Варшавы. Для борьбы с воздушным флотом противника сформированы авиационные отряды под командованием штабс-капитана Грезо и поручика Воеводского.</w:t>
      </w:r>
    </w:p>
    <w:p w14:paraId="1BE5DA23" w14:textId="77777777" w:rsidR="004B4E35" w:rsidRPr="00405303" w:rsidRDefault="009E6F82" w:rsidP="00C15251">
      <w:pPr>
        <w:jc w:val="both"/>
        <w:rPr>
          <w:bCs/>
          <w:color w:val="002060"/>
          <w:sz w:val="16"/>
          <w:szCs w:val="16"/>
        </w:rPr>
      </w:pPr>
      <w:r w:rsidRPr="00405303">
        <w:rPr>
          <w:bCs/>
          <w:color w:val="002060"/>
          <w:sz w:val="16"/>
          <w:szCs w:val="16"/>
        </w:rPr>
        <w:t>Общее руководство действиями авиационных отрядов было возложено на командира 2-й авиационной роты подполковника Генейко. Одновременно в этом районе действовал первый в русской армии истребительный авиационный отряд старшего лейтенанта Яцука Н.А.. Для своевременного оповещения частей воздушной обороны была установлена сеть наблюдательных постов, определено взаимодействие с противоаэропланной артиллерией Варшавской крепости, находящейся в распоряжении начальника Варшавской крепостной артиллерии полковника Глазкова П.Н.</w:t>
      </w:r>
    </w:p>
    <w:p w14:paraId="5BEE3F2A" w14:textId="77777777" w:rsidR="004B4E35" w:rsidRPr="00405303" w:rsidRDefault="009E6F82" w:rsidP="00C15251">
      <w:pPr>
        <w:jc w:val="both"/>
        <w:rPr>
          <w:bCs/>
          <w:color w:val="002060"/>
          <w:sz w:val="16"/>
          <w:szCs w:val="16"/>
        </w:rPr>
      </w:pPr>
      <w:r w:rsidRPr="00405303">
        <w:rPr>
          <w:bCs/>
          <w:color w:val="002060"/>
          <w:sz w:val="16"/>
          <w:szCs w:val="16"/>
        </w:rPr>
        <w:t>В течение 1915 - 1917 годов для организации воздушной обороны крупных военно-политических, административных центров страны: Могилева, Двинска, Минска, Пскова, Одессы, Николаева и т.д. формируется структура воздушного наблюдения и оповещения, входящая в состав организации обороны от воздушного нападения германской и австро-венгерской авиации.</w:t>
      </w:r>
    </w:p>
    <w:p w14:paraId="5DFA0EEA" w14:textId="77777777" w:rsidR="004B4E35" w:rsidRPr="00405303" w:rsidRDefault="009E6F82" w:rsidP="00C15251">
      <w:pPr>
        <w:jc w:val="both"/>
        <w:rPr>
          <w:bCs/>
          <w:color w:val="002060"/>
          <w:sz w:val="16"/>
          <w:szCs w:val="16"/>
        </w:rPr>
      </w:pPr>
      <w:r w:rsidRPr="00405303">
        <w:rPr>
          <w:bCs/>
          <w:color w:val="002060"/>
          <w:sz w:val="16"/>
          <w:szCs w:val="16"/>
        </w:rPr>
        <w:lastRenderedPageBreak/>
        <w:t>Так, в 1917 году вокруг Петрограда и Одессы уже было выставлено по 60 наблюдательных постов, сведенных в роты наблюдателей и укомплектованных кадровыми офицерами и солдатами. В дальнейшем вокруг Петрограда количество таких постов увеличилось до 83. Для приема донесений от постов также было создано вокруг российской столицы 15 телефонных и телеграфных станций (11198).</w:t>
      </w:r>
    </w:p>
    <w:p w14:paraId="5D1B0CFC" w14:textId="77777777" w:rsidR="004B4E35" w:rsidRPr="00405303" w:rsidRDefault="004B4E35" w:rsidP="00C15251">
      <w:pPr>
        <w:jc w:val="both"/>
        <w:rPr>
          <w:bCs/>
          <w:color w:val="002060"/>
          <w:sz w:val="16"/>
          <w:szCs w:val="16"/>
        </w:rPr>
      </w:pPr>
    </w:p>
    <w:p w14:paraId="71CE018D" w14:textId="22C0C4A5" w:rsidR="004B4E35" w:rsidRPr="00405303" w:rsidRDefault="009E6F82" w:rsidP="00C15251">
      <w:pPr>
        <w:jc w:val="both"/>
        <w:rPr>
          <w:bCs/>
          <w:color w:val="002060"/>
          <w:sz w:val="16"/>
          <w:szCs w:val="16"/>
        </w:rPr>
      </w:pPr>
      <w:r w:rsidRPr="00405303">
        <w:rPr>
          <w:bCs/>
          <w:color w:val="002060"/>
          <w:sz w:val="16"/>
          <w:szCs w:val="16"/>
        </w:rPr>
        <w:t xml:space="preserve">23 января (5 февраля) 1915 года приказанием войскам 27-го армейского корпуса (г. Варшава) №13 </w:t>
      </w:r>
      <w:r w:rsidR="00A41340" w:rsidRPr="00405303">
        <w:rPr>
          <w:bCs/>
          <w:color w:val="002060"/>
          <w:sz w:val="16"/>
          <w:szCs w:val="16"/>
        </w:rPr>
        <w:t xml:space="preserve">была </w:t>
      </w:r>
      <w:r w:rsidRPr="00405303">
        <w:rPr>
          <w:bCs/>
          <w:color w:val="002060"/>
          <w:sz w:val="16"/>
          <w:szCs w:val="16"/>
        </w:rPr>
        <w:t>организована воздушная оборона г. Варшавы. Для борьбы с воздушным флотом противника сформированы авиационные отряды под командованием штабс-капитана Грезо и поручика Воеводского.</w:t>
      </w:r>
    </w:p>
    <w:p w14:paraId="071E6E8B" w14:textId="77777777" w:rsidR="004B4E35" w:rsidRPr="00405303" w:rsidRDefault="009E6F82" w:rsidP="00C15251">
      <w:pPr>
        <w:jc w:val="both"/>
        <w:rPr>
          <w:bCs/>
          <w:color w:val="002060"/>
          <w:sz w:val="16"/>
          <w:szCs w:val="16"/>
        </w:rPr>
      </w:pPr>
      <w:r w:rsidRPr="00405303">
        <w:rPr>
          <w:bCs/>
          <w:color w:val="002060"/>
          <w:sz w:val="16"/>
          <w:szCs w:val="16"/>
        </w:rPr>
        <w:t>Общее руководство действиями авиационных отрядов было возложено на командира 2-й авиационной роты подполковника Генейко. Одновременно в этом районе действовал первый в русской армии истребительный авиационный отряд старшего лейтенанта Яцука Н.А.. Для своевременного оповещения частей воздушной обороны была установлена сеть наблюдательных постов, определено взаимодействие с противоаэропланной артиллерией Варшавской крепости, находящейся в распоряжении начальника Варшавской крепостной артиллерии полковника Глазкова П.Н.</w:t>
      </w:r>
    </w:p>
    <w:p w14:paraId="358388C3" w14:textId="77777777" w:rsidR="004B4E35" w:rsidRPr="00405303" w:rsidRDefault="009E6F82" w:rsidP="00C15251">
      <w:pPr>
        <w:jc w:val="both"/>
        <w:rPr>
          <w:bCs/>
          <w:color w:val="002060"/>
          <w:sz w:val="16"/>
          <w:szCs w:val="16"/>
        </w:rPr>
      </w:pPr>
      <w:r w:rsidRPr="00405303">
        <w:rPr>
          <w:bCs/>
          <w:color w:val="002060"/>
          <w:sz w:val="16"/>
          <w:szCs w:val="16"/>
        </w:rPr>
        <w:t>В течение 1915 - 1917 годов для организации воздушной обороны крупных военно-политических, административных центров страны: Могилева, Двинска, Минска, Пскова, Одессы, Николаева и т.д. формируется структура воздушного наблюдения и оповещения, входящая в состав организации обороны от воздушного нападения германской и австро-венгерской авиации.</w:t>
      </w:r>
    </w:p>
    <w:p w14:paraId="12227882" w14:textId="77777777" w:rsidR="004B4E35" w:rsidRPr="00405303" w:rsidRDefault="004B4E35" w:rsidP="00C15251">
      <w:pPr>
        <w:jc w:val="both"/>
        <w:rPr>
          <w:bCs/>
          <w:i/>
          <w:color w:val="002060"/>
          <w:sz w:val="16"/>
          <w:szCs w:val="16"/>
        </w:rPr>
      </w:pPr>
    </w:p>
    <w:p w14:paraId="4F75DAA2" w14:textId="44AC0DE6" w:rsidR="004B4E35" w:rsidRPr="00405303" w:rsidRDefault="009E6F82" w:rsidP="00C15251">
      <w:pPr>
        <w:jc w:val="both"/>
        <w:rPr>
          <w:bCs/>
          <w:color w:val="002060"/>
          <w:sz w:val="16"/>
          <w:szCs w:val="16"/>
        </w:rPr>
      </w:pPr>
      <w:r w:rsidRPr="00405303">
        <w:rPr>
          <w:bCs/>
          <w:color w:val="002060"/>
          <w:sz w:val="16"/>
          <w:szCs w:val="16"/>
        </w:rPr>
        <w:t>23 января (5 февраля) 1915 г.</w:t>
      </w:r>
      <w:r w:rsidR="00205034" w:rsidRPr="00405303">
        <w:rPr>
          <w:bCs/>
          <w:color w:val="002060"/>
          <w:sz w:val="16"/>
          <w:szCs w:val="16"/>
        </w:rPr>
        <w:t xml:space="preserve"> главнокомандующий армиями Северо-Западного фронта генерал от инфантерии Н.В. Рузский отверг Проект полковника Глазкова об усилении воздушной обороны Варшавы</w:t>
      </w:r>
      <w:r w:rsidRPr="00405303">
        <w:rPr>
          <w:bCs/>
          <w:color w:val="002060"/>
          <w:sz w:val="16"/>
          <w:szCs w:val="16"/>
        </w:rPr>
        <w:t>. Штабс-капитан Мертенгрен был назначен командиром вновь формируемого в крепости тяжелого артиллерийского дивизиона и 7 (20) февраля убыл с ним (в том числе со своей 6-дм батареей) на фронт, во 2-ю армию. Вместе с ним убыли назначенный командиром 2-й 42-лн батареи Ключарев и переведенный в ту же батарею младшим офицером подпоручик Школьников. Сдал батарею и Буковский, назначенный помощником начальника наблюдательной команды, а с 16 (29) апреля - заместителем командира 1-й противоаэропланной батареи (форт Сергий).</w:t>
      </w:r>
    </w:p>
    <w:p w14:paraId="775156A9" w14:textId="77777777" w:rsidR="004B4E35" w:rsidRPr="00405303" w:rsidRDefault="004B4E35" w:rsidP="00C15251">
      <w:pPr>
        <w:jc w:val="both"/>
        <w:rPr>
          <w:bCs/>
          <w:i/>
          <w:color w:val="002060"/>
          <w:sz w:val="16"/>
          <w:szCs w:val="16"/>
        </w:rPr>
      </w:pPr>
    </w:p>
    <w:p w14:paraId="05DBBF3F" w14:textId="77777777" w:rsidR="00205034" w:rsidRPr="00405303" w:rsidRDefault="00205034" w:rsidP="00C15251">
      <w:pPr>
        <w:shd w:val="clear" w:color="auto" w:fill="FFFFFF"/>
        <w:jc w:val="both"/>
        <w:rPr>
          <w:bCs/>
          <w:i/>
          <w:color w:val="002060"/>
          <w:sz w:val="16"/>
          <w:szCs w:val="16"/>
        </w:rPr>
      </w:pPr>
      <w:r w:rsidRPr="00405303">
        <w:rPr>
          <w:bCs/>
          <w:i/>
          <w:color w:val="002060"/>
          <w:sz w:val="16"/>
          <w:szCs w:val="16"/>
        </w:rPr>
        <w:t>Армия:</w:t>
      </w:r>
    </w:p>
    <w:p w14:paraId="5A4479E0" w14:textId="77777777" w:rsidR="00205034" w:rsidRPr="00405303" w:rsidRDefault="00205034" w:rsidP="00C15251">
      <w:pPr>
        <w:shd w:val="clear" w:color="auto" w:fill="FFFFFF"/>
        <w:jc w:val="both"/>
        <w:rPr>
          <w:bCs/>
          <w:i/>
          <w:color w:val="002060"/>
          <w:sz w:val="16"/>
          <w:szCs w:val="16"/>
        </w:rPr>
      </w:pPr>
    </w:p>
    <w:p w14:paraId="06767B1F" w14:textId="028F511F" w:rsidR="00A9503D" w:rsidRPr="00405303" w:rsidRDefault="00A9503D" w:rsidP="00C15251">
      <w:pPr>
        <w:jc w:val="both"/>
        <w:rPr>
          <w:bCs/>
          <w:color w:val="002060"/>
          <w:sz w:val="16"/>
          <w:szCs w:val="16"/>
        </w:rPr>
      </w:pPr>
      <w:r w:rsidRPr="00405303">
        <w:rPr>
          <w:bCs/>
          <w:color w:val="002060"/>
          <w:sz w:val="16"/>
          <w:szCs w:val="16"/>
        </w:rPr>
        <w:t xml:space="preserve">23 января </w:t>
      </w:r>
      <w:r w:rsidR="00205034" w:rsidRPr="00405303">
        <w:rPr>
          <w:bCs/>
          <w:color w:val="002060"/>
          <w:sz w:val="16"/>
          <w:szCs w:val="16"/>
        </w:rPr>
        <w:t xml:space="preserve">(5 февраля) </w:t>
      </w:r>
      <w:r w:rsidRPr="00405303">
        <w:rPr>
          <w:bCs/>
          <w:color w:val="002060"/>
          <w:sz w:val="16"/>
          <w:szCs w:val="16"/>
        </w:rPr>
        <w:t>в 1915 году на Восточном фронте идет жестокое сражение между русскими и австро-венгерскими войсками в Карпатах (до середины апреля) (15018).</w:t>
      </w:r>
    </w:p>
    <w:p w14:paraId="0A5E1321" w14:textId="77777777" w:rsidR="00A9503D" w:rsidRPr="00405303" w:rsidRDefault="00A9503D" w:rsidP="00C15251">
      <w:pPr>
        <w:jc w:val="both"/>
        <w:rPr>
          <w:bCs/>
          <w:color w:val="002060"/>
          <w:sz w:val="16"/>
          <w:szCs w:val="16"/>
        </w:rPr>
      </w:pPr>
    </w:p>
    <w:p w14:paraId="2F17ED29" w14:textId="27AAA6B7" w:rsidR="00C949AE" w:rsidRPr="00405303" w:rsidRDefault="00C949AE" w:rsidP="00C15251">
      <w:pPr>
        <w:jc w:val="both"/>
        <w:rPr>
          <w:bCs/>
          <w:color w:val="002060"/>
          <w:sz w:val="16"/>
          <w:szCs w:val="16"/>
        </w:rPr>
      </w:pPr>
      <w:r w:rsidRPr="00405303">
        <w:rPr>
          <w:bCs/>
          <w:color w:val="002060"/>
          <w:sz w:val="16"/>
          <w:szCs w:val="16"/>
          <w:lang w:bidi="en-US"/>
        </w:rPr>
        <w:t xml:space="preserve">23 января (5 февраля) 1915 г. в лондонском </w:t>
      </w:r>
      <w:r w:rsidRPr="00405303">
        <w:rPr>
          <w:bCs/>
          <w:i/>
          <w:iCs/>
          <w:color w:val="002060"/>
          <w:sz w:val="16"/>
          <w:szCs w:val="16"/>
          <w:lang w:bidi="en-US"/>
        </w:rPr>
        <w:t xml:space="preserve">журнале </w:t>
      </w:r>
      <w:r w:rsidRPr="00405303">
        <w:rPr>
          <w:bCs/>
          <w:i/>
          <w:iCs/>
          <w:color w:val="002060"/>
          <w:sz w:val="16"/>
          <w:szCs w:val="16"/>
          <w:lang w:val="en-US" w:bidi="en-US"/>
        </w:rPr>
        <w:t>Flight</w:t>
      </w:r>
      <w:r w:rsidRPr="00405303">
        <w:rPr>
          <w:bCs/>
          <w:i/>
          <w:iCs/>
          <w:color w:val="002060"/>
          <w:sz w:val="16"/>
          <w:szCs w:val="16"/>
          <w:lang w:bidi="en-US"/>
        </w:rPr>
        <w:t xml:space="preserve"> </w:t>
      </w:r>
      <w:r w:rsidRPr="00405303">
        <w:rPr>
          <w:bCs/>
          <w:i/>
          <w:iCs/>
          <w:color w:val="002060"/>
          <w:sz w:val="16"/>
          <w:szCs w:val="16"/>
          <w:lang w:val="en-US" w:bidi="en-US"/>
        </w:rPr>
        <w:t>Magazine</w:t>
      </w:r>
      <w:r w:rsidRPr="00405303">
        <w:rPr>
          <w:bCs/>
          <w:i/>
          <w:iCs/>
          <w:color w:val="002060"/>
          <w:sz w:val="16"/>
          <w:szCs w:val="16"/>
          <w:lang w:bidi="en-US"/>
        </w:rPr>
        <w:t xml:space="preserve"> </w:t>
      </w:r>
      <w:r w:rsidRPr="00405303">
        <w:rPr>
          <w:bCs/>
          <w:color w:val="002060"/>
          <w:sz w:val="16"/>
          <w:szCs w:val="16"/>
          <w:lang w:bidi="en-US"/>
        </w:rPr>
        <w:t>от сообщалось: «(Русский) царь частично постановил, что «обстрел несчастного города впредь следует рассматривать как акт пиратства, и лица, участвующие в таких актах, будут считаться пиратами, несмотря на любые их заявления о том, что с ними обращаются как с воюющими сторонами» (23525).</w:t>
      </w:r>
    </w:p>
    <w:p w14:paraId="43F20ED1" w14:textId="77777777" w:rsidR="00C949AE" w:rsidRPr="00405303" w:rsidRDefault="00C949AE" w:rsidP="00C15251">
      <w:pPr>
        <w:pStyle w:val="af6"/>
        <w:spacing w:line="240" w:lineRule="auto"/>
        <w:jc w:val="both"/>
        <w:rPr>
          <w:rFonts w:ascii="Times New Roman" w:hAnsi="Times New Roman" w:cs="Times New Roman"/>
          <w:bCs/>
          <w:color w:val="002060"/>
          <w:sz w:val="16"/>
          <w:szCs w:val="16"/>
        </w:rPr>
      </w:pPr>
    </w:p>
    <w:p w14:paraId="56109BAC" w14:textId="77777777" w:rsidR="00A9503D" w:rsidRPr="00405303" w:rsidRDefault="00A9503D" w:rsidP="00C15251">
      <w:pPr>
        <w:jc w:val="both"/>
        <w:rPr>
          <w:bCs/>
          <w:i/>
          <w:color w:val="002060"/>
          <w:sz w:val="16"/>
          <w:szCs w:val="16"/>
        </w:rPr>
      </w:pPr>
      <w:r w:rsidRPr="00405303">
        <w:rPr>
          <w:bCs/>
          <w:i/>
          <w:color w:val="002060"/>
          <w:sz w:val="16"/>
          <w:szCs w:val="16"/>
        </w:rPr>
        <w:t>Внешняя политика:</w:t>
      </w:r>
    </w:p>
    <w:p w14:paraId="563108A6" w14:textId="77777777" w:rsidR="00A9503D" w:rsidRPr="00405303" w:rsidRDefault="00A9503D" w:rsidP="00C15251">
      <w:pPr>
        <w:jc w:val="both"/>
        <w:rPr>
          <w:bCs/>
          <w:i/>
          <w:color w:val="002060"/>
          <w:sz w:val="16"/>
          <w:szCs w:val="16"/>
        </w:rPr>
      </w:pPr>
    </w:p>
    <w:p w14:paraId="3225A91D" w14:textId="77777777" w:rsidR="00A9503D" w:rsidRPr="00405303" w:rsidRDefault="00A9503D" w:rsidP="00C15251">
      <w:pPr>
        <w:pStyle w:val="ae"/>
        <w:spacing w:before="0" w:beforeAutospacing="0" w:after="0" w:afterAutospacing="0"/>
        <w:jc w:val="both"/>
        <w:textAlignment w:val="top"/>
        <w:rPr>
          <w:bCs/>
          <w:color w:val="002060"/>
          <w:sz w:val="16"/>
          <w:szCs w:val="16"/>
        </w:rPr>
      </w:pPr>
      <w:r w:rsidRPr="00405303">
        <w:rPr>
          <w:bCs/>
          <w:color w:val="002060"/>
          <w:sz w:val="16"/>
          <w:szCs w:val="16"/>
        </w:rPr>
        <w:t>23 января (5 февраля) 1915 г. в Париже был подписан франко-британско-русский договор. Франция и Англия предоставили России авансы по 25 млн. фунтов (625 млн. франков) в счет займа в размере 100 млн. фунтов, который должен был быть реализован на местных рынках в виде государственных бумаг. Впрочем, и его все равно пришлось обеспечивать поставками драгоценного металла. За время войны общее количество золота, переданного Англии, составило свыше 640 млн. рублей (при довоенном золотом запасе в 1,7 млрд. рублей). При этом только Япония не взвинчивала цен и выполняла заказы без задержек (18384).</w:t>
      </w:r>
    </w:p>
    <w:p w14:paraId="69D58B15" w14:textId="77777777" w:rsidR="00A9503D" w:rsidRPr="00405303" w:rsidRDefault="00A9503D" w:rsidP="00C15251">
      <w:pPr>
        <w:pStyle w:val="ae"/>
        <w:spacing w:before="0" w:beforeAutospacing="0" w:after="0" w:afterAutospacing="0"/>
        <w:jc w:val="both"/>
        <w:textAlignment w:val="top"/>
        <w:rPr>
          <w:bCs/>
          <w:color w:val="002060"/>
          <w:sz w:val="16"/>
          <w:szCs w:val="16"/>
        </w:rPr>
      </w:pPr>
    </w:p>
    <w:p w14:paraId="4045A4C2" w14:textId="77777777" w:rsidR="003E46B4" w:rsidRPr="00405303" w:rsidRDefault="003E46B4" w:rsidP="00C15251">
      <w:pPr>
        <w:jc w:val="both"/>
        <w:rPr>
          <w:bCs/>
          <w:i/>
          <w:color w:val="002060"/>
          <w:sz w:val="16"/>
          <w:szCs w:val="16"/>
        </w:rPr>
      </w:pPr>
      <w:r w:rsidRPr="00405303">
        <w:rPr>
          <w:bCs/>
          <w:i/>
          <w:color w:val="002060"/>
          <w:sz w:val="16"/>
          <w:szCs w:val="16"/>
        </w:rPr>
        <w:t>Авиация и воздухоплавание Англии:</w:t>
      </w:r>
    </w:p>
    <w:p w14:paraId="4ACE712E" w14:textId="77777777" w:rsidR="003E46B4" w:rsidRPr="00405303" w:rsidRDefault="003E46B4" w:rsidP="00C15251">
      <w:pPr>
        <w:jc w:val="both"/>
        <w:rPr>
          <w:bCs/>
          <w:i/>
          <w:color w:val="002060"/>
          <w:sz w:val="16"/>
          <w:szCs w:val="16"/>
        </w:rPr>
      </w:pPr>
    </w:p>
    <w:p w14:paraId="6CD8CF38" w14:textId="77777777" w:rsidR="003E46B4" w:rsidRPr="00405303" w:rsidRDefault="003E46B4" w:rsidP="00C15251">
      <w:pPr>
        <w:jc w:val="both"/>
        <w:rPr>
          <w:bCs/>
          <w:color w:val="002060"/>
          <w:sz w:val="16"/>
          <w:szCs w:val="16"/>
        </w:rPr>
      </w:pPr>
      <w:r w:rsidRPr="00405303">
        <w:rPr>
          <w:bCs/>
          <w:color w:val="002060"/>
          <w:sz w:val="16"/>
          <w:szCs w:val="16"/>
        </w:rPr>
        <w:t xml:space="preserve">23 января (5 февраля) в 1915 году самолет </w:t>
      </w:r>
      <w:hyperlink r:id="rId7" w:tgtFrame="_blank" w:history="1">
        <w:r w:rsidRPr="00405303">
          <w:rPr>
            <w:bCs/>
            <w:color w:val="002060"/>
            <w:sz w:val="16"/>
            <w:szCs w:val="16"/>
          </w:rPr>
          <w:t xml:space="preserve">"Моран Парасоль" L </w:t>
        </w:r>
      </w:hyperlink>
      <w:r w:rsidRPr="00405303">
        <w:rPr>
          <w:bCs/>
          <w:color w:val="002060"/>
          <w:sz w:val="16"/>
          <w:szCs w:val="16"/>
        </w:rPr>
        <w:t>из 3-й английской эскадрильи, с пилотом лейтенантом Ведхемом и наблюдателем лейтенантом Бартом, вступил в бой с германским "Авиатиком" близ города Менвиль. Немецкий летчик первым заметил противника и стал уходить, а его наблюдатель открыл огонь из карабина. Ведхем, искусно маневрируя, нагнал врага и подошел к нему сзади-сверху на дистанцию 100 метров. Барт начал стрелять из своего карабина. "Моран" подлетел совсем близко к неприятелю, расстояние между противниками сократилось до 20 метров. Было ясно видно, как пули рвут полотно на немецком самолете. Еще несколько удачных выстрелов, и поврежденный "Авиатик" садится на вынужденную. "Моран" во время этого боя также получил пробоины в винте, фюзеляже и в плоскости (15031).</w:t>
      </w:r>
    </w:p>
    <w:p w14:paraId="54928B8E" w14:textId="77777777" w:rsidR="003E46B4" w:rsidRPr="00405303" w:rsidRDefault="003E46B4" w:rsidP="00C15251">
      <w:pPr>
        <w:jc w:val="both"/>
        <w:rPr>
          <w:bCs/>
          <w:color w:val="002060"/>
          <w:sz w:val="16"/>
          <w:szCs w:val="16"/>
        </w:rPr>
      </w:pPr>
    </w:p>
    <w:p w14:paraId="4A3D07AD" w14:textId="78CD3D31" w:rsidR="000512CF" w:rsidRPr="00405303" w:rsidRDefault="000512CF"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23 января (5 февраля) 1915 года самолет "Моран" L из 3-й английской эскадрильи, с пилотом лейтенантом Ведхемом и наблюдателем лейтенантом Бартом, вступил в бой с германским "Авиатиком" близ города Менвиль. Немецкий летчик первым заметил противника и стал уходить, а его наблюдатель открыл огонь из карабина. Ведхем, искусно маневрируя, нагнал врага и подошел к нему сзади-сверху на дистанцию 100 метров. Барт начал стрелять из своего карабина. "Моран" подлетел совсем близко к неприятелю, расстояние между противниками сократилосьдо 20 метров. Было ясно видно, как пули рвут полотно на немецком самолете. Еще несколько удачных выстрелов, и поврежденный "Авиатик" садится на вынужденную. "Моран" во время этого боя также получил пробоины в винте, фюзеляже и в плоскости (11265).</w:t>
      </w:r>
    </w:p>
    <w:p w14:paraId="225C4494" w14:textId="77777777" w:rsidR="000512CF" w:rsidRPr="00405303" w:rsidRDefault="000512CF" w:rsidP="00C15251">
      <w:pPr>
        <w:pStyle w:val="a3"/>
        <w:jc w:val="both"/>
        <w:rPr>
          <w:bCs/>
          <w:i w:val="0"/>
          <w:color w:val="002060"/>
          <w:spacing w:val="0"/>
          <w:kern w:val="0"/>
          <w:position w:val="0"/>
          <w:sz w:val="16"/>
          <w:szCs w:val="16"/>
        </w:rPr>
      </w:pPr>
    </w:p>
    <w:p w14:paraId="7E02987E" w14:textId="63209562" w:rsidR="009D2D6F" w:rsidRPr="00405303" w:rsidRDefault="009D2D6F" w:rsidP="00C15251">
      <w:pPr>
        <w:jc w:val="both"/>
        <w:rPr>
          <w:bCs/>
          <w:i/>
          <w:color w:val="002060"/>
          <w:sz w:val="16"/>
          <w:szCs w:val="16"/>
        </w:rPr>
      </w:pPr>
      <w:r w:rsidRPr="00405303">
        <w:rPr>
          <w:bCs/>
          <w:i/>
          <w:color w:val="002060"/>
          <w:sz w:val="16"/>
          <w:szCs w:val="16"/>
        </w:rPr>
        <w:t>Авиация и воздухоплавание Франции:</w:t>
      </w:r>
    </w:p>
    <w:p w14:paraId="44A10F43" w14:textId="77777777" w:rsidR="009D2D6F" w:rsidRPr="00405303" w:rsidRDefault="009D2D6F" w:rsidP="00C15251">
      <w:pPr>
        <w:jc w:val="both"/>
        <w:rPr>
          <w:bCs/>
          <w:i/>
          <w:color w:val="002060"/>
          <w:sz w:val="16"/>
          <w:szCs w:val="16"/>
        </w:rPr>
      </w:pPr>
    </w:p>
    <w:p w14:paraId="0A2EF1B6" w14:textId="77777777" w:rsidR="009D2D6F" w:rsidRPr="00405303" w:rsidRDefault="009D2D6F" w:rsidP="00C15251">
      <w:pPr>
        <w:jc w:val="both"/>
        <w:rPr>
          <w:bCs/>
          <w:color w:val="002060"/>
          <w:sz w:val="16"/>
          <w:szCs w:val="16"/>
        </w:rPr>
      </w:pPr>
      <w:r w:rsidRPr="00405303">
        <w:rPr>
          <w:bCs/>
          <w:color w:val="002060"/>
          <w:sz w:val="16"/>
          <w:szCs w:val="16"/>
        </w:rPr>
        <w:t>23 января (5 февраля) 1915 г. Пегу и его неизменный персональный механик рядовой Леон Лерандю провели бой, который вошел в историю истребительной авиации как один из первых результативных. Во время рутинного вылета на разведку экипаж заметил германский «Таубе» и атаковал его. Короткий бой, и изрешеченная пулями немецкая машина устремилась к земле. Затем в районе появилась пара «Авиатиков», которые тоже были немедленно атакованы. Буквально за два захода один биплан вышел из боя пикированиема второй был вынужден совершить аварийную посадку в поле (22741).</w:t>
      </w:r>
    </w:p>
    <w:p w14:paraId="45FB7F2D" w14:textId="77777777" w:rsidR="009D2D6F" w:rsidRPr="00405303" w:rsidRDefault="009D2D6F" w:rsidP="00C15251">
      <w:pPr>
        <w:jc w:val="both"/>
        <w:rPr>
          <w:bCs/>
          <w:color w:val="002060"/>
          <w:sz w:val="16"/>
          <w:szCs w:val="16"/>
        </w:rPr>
      </w:pPr>
    </w:p>
    <w:p w14:paraId="1500BC4D" w14:textId="77777777" w:rsidR="003E46B4" w:rsidRPr="00405303" w:rsidRDefault="003E46B4" w:rsidP="00C15251">
      <w:pPr>
        <w:jc w:val="both"/>
        <w:rPr>
          <w:bCs/>
          <w:i/>
          <w:color w:val="002060"/>
          <w:sz w:val="16"/>
          <w:szCs w:val="16"/>
        </w:rPr>
      </w:pPr>
      <w:r w:rsidRPr="00405303">
        <w:rPr>
          <w:bCs/>
          <w:i/>
          <w:color w:val="002060"/>
          <w:sz w:val="16"/>
          <w:szCs w:val="16"/>
        </w:rPr>
        <w:t>За рубежом:</w:t>
      </w:r>
    </w:p>
    <w:p w14:paraId="58449729" w14:textId="77777777" w:rsidR="003E46B4" w:rsidRPr="00405303" w:rsidRDefault="003E46B4" w:rsidP="00C15251">
      <w:pPr>
        <w:jc w:val="both"/>
        <w:rPr>
          <w:bCs/>
          <w:color w:val="002060"/>
          <w:sz w:val="16"/>
          <w:szCs w:val="16"/>
        </w:rPr>
      </w:pPr>
    </w:p>
    <w:p w14:paraId="5A67DAC8" w14:textId="77777777" w:rsidR="003E46B4" w:rsidRPr="00405303" w:rsidRDefault="003E46B4" w:rsidP="00C15251">
      <w:pPr>
        <w:jc w:val="both"/>
        <w:rPr>
          <w:bCs/>
          <w:color w:val="002060"/>
          <w:sz w:val="16"/>
          <w:szCs w:val="16"/>
        </w:rPr>
      </w:pPr>
      <w:r w:rsidRPr="00405303">
        <w:rPr>
          <w:bCs/>
          <w:color w:val="002060"/>
          <w:sz w:val="16"/>
          <w:szCs w:val="16"/>
        </w:rPr>
        <w:t>23 января (5 февраля) в 1915 году в результате германских контратак в районе канала Бассе и у города Суассон , французские войска прекратили наступление в провинциях Артуа и Шампань, начатое 8 января (15031).</w:t>
      </w:r>
    </w:p>
    <w:p w14:paraId="5D411128" w14:textId="77777777" w:rsidR="003E46B4" w:rsidRPr="00405303" w:rsidRDefault="003E46B4" w:rsidP="00C15251">
      <w:pPr>
        <w:jc w:val="both"/>
        <w:rPr>
          <w:bCs/>
          <w:color w:val="002060"/>
          <w:sz w:val="16"/>
          <w:szCs w:val="16"/>
        </w:rPr>
      </w:pPr>
    </w:p>
    <w:p w14:paraId="243C17F4"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306FBF1D" w14:textId="77777777" w:rsidR="004B4E35" w:rsidRPr="00405303" w:rsidRDefault="004B4E35" w:rsidP="00C15251">
      <w:pPr>
        <w:jc w:val="both"/>
        <w:rPr>
          <w:bCs/>
          <w:i/>
          <w:color w:val="002060"/>
          <w:sz w:val="16"/>
          <w:szCs w:val="16"/>
        </w:rPr>
      </w:pPr>
    </w:p>
    <w:p w14:paraId="4A037C59" w14:textId="58D7E832" w:rsidR="004B4E35" w:rsidRPr="00405303" w:rsidRDefault="009E6F82" w:rsidP="00C15251">
      <w:pPr>
        <w:shd w:val="clear" w:color="auto" w:fill="FFFFFF"/>
        <w:jc w:val="both"/>
        <w:rPr>
          <w:bCs/>
          <w:color w:val="002060"/>
          <w:sz w:val="16"/>
          <w:szCs w:val="16"/>
        </w:rPr>
      </w:pPr>
      <w:r w:rsidRPr="00405303">
        <w:rPr>
          <w:bCs/>
          <w:color w:val="002060"/>
          <w:sz w:val="16"/>
          <w:szCs w:val="16"/>
        </w:rPr>
        <w:t>24 ян</w:t>
      </w:r>
      <w:r w:rsidRPr="00405303">
        <w:rPr>
          <w:bCs/>
          <w:color w:val="002060"/>
          <w:sz w:val="16"/>
          <w:szCs w:val="16"/>
        </w:rPr>
        <w:softHyphen/>
        <w:t xml:space="preserve">варя (6 февраля) 1915 г. </w:t>
      </w:r>
      <w:r w:rsidR="00205034" w:rsidRPr="00405303">
        <w:rPr>
          <w:bCs/>
          <w:color w:val="002060"/>
          <w:sz w:val="16"/>
          <w:szCs w:val="16"/>
        </w:rPr>
        <w:t xml:space="preserve">первый экземпляр истребителя РБВЗ-С-16 был направлен для летно-боевых испытаний в «Эскадру воздушных кораблей» </w:t>
      </w:r>
      <w:r w:rsidRPr="00405303">
        <w:rPr>
          <w:bCs/>
          <w:color w:val="002060"/>
          <w:sz w:val="16"/>
          <w:szCs w:val="16"/>
        </w:rPr>
        <w:t>В марте в «Эскадру» были отправлены еще два само</w:t>
      </w:r>
      <w:r w:rsidRPr="00405303">
        <w:rPr>
          <w:bCs/>
          <w:color w:val="002060"/>
          <w:sz w:val="16"/>
          <w:szCs w:val="16"/>
        </w:rPr>
        <w:softHyphen/>
        <w:t xml:space="preserve">лета этого типа (ЦГВИА, ф. 2003, оп. 2, д. 623, лл. 121, 125). Летно-боевые испытания первых истребителей дали настолько хорошие результаты, что инженерами, </w:t>
      </w:r>
      <w:proofErr w:type="gramStart"/>
      <w:r w:rsidRPr="00405303">
        <w:rPr>
          <w:bCs/>
          <w:color w:val="002060"/>
          <w:sz w:val="16"/>
          <w:szCs w:val="16"/>
        </w:rPr>
        <w:t>проектирова.в</w:t>
      </w:r>
      <w:proofErr w:type="gramEnd"/>
      <w:r w:rsidRPr="00405303">
        <w:rPr>
          <w:bCs/>
          <w:color w:val="002060"/>
          <w:sz w:val="16"/>
          <w:szCs w:val="16"/>
        </w:rPr>
        <w:t>-шими этот самолет, и летчиками «Эскадры» был поднят вопрос об организации серийного производства истребителя РБВЗ-С-16.</w:t>
      </w:r>
    </w:p>
    <w:p w14:paraId="02C640B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Однако, несмотря на высокие летно-тактические данные истре</w:t>
      </w:r>
      <w:r w:rsidRPr="00405303">
        <w:rPr>
          <w:bCs/>
          <w:color w:val="002060"/>
          <w:sz w:val="16"/>
          <w:szCs w:val="16"/>
        </w:rPr>
        <w:softHyphen/>
        <w:t>бителя РБВЗ-С-16 и острую нужду фронта в этих самолетах, выс</w:t>
      </w:r>
      <w:r w:rsidRPr="00405303">
        <w:rPr>
          <w:bCs/>
          <w:color w:val="002060"/>
          <w:sz w:val="16"/>
          <w:szCs w:val="16"/>
        </w:rPr>
        <w:softHyphen/>
        <w:t>шее командование русской военной авиации задерживало его серий</w:t>
      </w:r>
      <w:r w:rsidRPr="00405303">
        <w:rPr>
          <w:bCs/>
          <w:color w:val="002060"/>
          <w:sz w:val="16"/>
          <w:szCs w:val="16"/>
        </w:rPr>
        <w:softHyphen/>
        <w:t>ную постройку, рассчитывая получить подобную авиационную тех</w:t>
      </w:r>
      <w:r w:rsidRPr="00405303">
        <w:rPr>
          <w:bCs/>
          <w:color w:val="002060"/>
          <w:sz w:val="16"/>
          <w:szCs w:val="16"/>
        </w:rPr>
        <w:softHyphen/>
        <w:t>нику из-за границы. Однако невыполнение поставок самолетов со стороны союзников, неоднократное нарушение ими своих обяза</w:t>
      </w:r>
      <w:r w:rsidRPr="00405303">
        <w:rPr>
          <w:bCs/>
          <w:color w:val="002060"/>
          <w:sz w:val="16"/>
          <w:szCs w:val="16"/>
        </w:rPr>
        <w:softHyphen/>
        <w:t>тельств по этим поставкам и, наконец, настойчивые требования летчиков «Эскадры» и передовых инженеров завода о начале серийного производства истребителя заставили Главное военно-техническое управление заключить контракт на серийную постройку этого само</w:t>
      </w:r>
      <w:r w:rsidRPr="00405303">
        <w:rPr>
          <w:bCs/>
          <w:color w:val="002060"/>
          <w:sz w:val="16"/>
          <w:szCs w:val="16"/>
        </w:rPr>
        <w:softHyphen/>
        <w:t>лета. Согласно постановлению исполнительной комиссии в сентябре 1915 г. был заключен контракт с заводом РБВЗ на постройку небольшой серии истребителей РБВЗ-С-16 сер. Срок исполнения за</w:t>
      </w:r>
      <w:r w:rsidRPr="00405303">
        <w:rPr>
          <w:bCs/>
          <w:color w:val="002060"/>
          <w:sz w:val="16"/>
          <w:szCs w:val="16"/>
        </w:rPr>
        <w:softHyphen/>
        <w:t>каза по первой серии самолетов был установлен 4 декабря 1915 г. (ЦГВИА, ф. 369, д. 72, оп. 8, лл. 18—22, 25; д. 54, лл. 4, 6.) (318).</w:t>
      </w:r>
    </w:p>
    <w:p w14:paraId="0AAE8DC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Одновременно с летно-боевыми испытаниями первых серийных истребителей РБВЗ, по инициативе конструкторской группы, проек</w:t>
      </w:r>
      <w:r w:rsidRPr="00405303">
        <w:rPr>
          <w:bCs/>
          <w:color w:val="002060"/>
          <w:sz w:val="16"/>
          <w:szCs w:val="16"/>
        </w:rPr>
        <w:softHyphen/>
        <w:t>тировавшей этот самолет, была начата работа по дальнейшему улучшению его скоростных и маневренных характеристик. Основное же внимание было уделено отработке схемы вооружения самолета и синхронизатора оружия.</w:t>
      </w:r>
    </w:p>
    <w:p w14:paraId="658182C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До появления на фронте серийных истребителей РБВЗ-С-16 сер. в качестве истребителей применялись легкие самолеты, спроектиро</w:t>
      </w:r>
      <w:r w:rsidRPr="00405303">
        <w:rPr>
          <w:bCs/>
          <w:color w:val="002060"/>
          <w:sz w:val="16"/>
          <w:szCs w:val="16"/>
        </w:rPr>
        <w:softHyphen/>
        <w:t>ванные еще до войны для разведки и связи. В первые месяцы войны такие самолеты начали спешно приспосабливать для ведения воз</w:t>
      </w:r>
      <w:r w:rsidRPr="00405303">
        <w:rPr>
          <w:bCs/>
          <w:color w:val="002060"/>
          <w:sz w:val="16"/>
          <w:szCs w:val="16"/>
        </w:rPr>
        <w:softHyphen/>
        <w:t>душного боя, для чего на них устанавливались пулеметы.</w:t>
      </w:r>
    </w:p>
    <w:p w14:paraId="3481FBD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Принципиально существовало три варианта установок неподвиж</w:t>
      </w:r>
      <w:r w:rsidRPr="00405303">
        <w:rPr>
          <w:bCs/>
          <w:color w:val="002060"/>
          <w:sz w:val="16"/>
          <w:szCs w:val="16"/>
        </w:rPr>
        <w:softHyphen/>
        <w:t>ного пулемета на одноместный самолет (применительно к самолету, имеющему двигательную установку с тянущим винтом).</w:t>
      </w:r>
    </w:p>
    <w:p w14:paraId="79A6906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Первый вариант — пулемет устанавливался на самолет под та</w:t>
      </w:r>
      <w:r w:rsidRPr="00405303">
        <w:rPr>
          <w:bCs/>
          <w:color w:val="002060"/>
          <w:sz w:val="16"/>
          <w:szCs w:val="16"/>
        </w:rPr>
        <w:softHyphen/>
        <w:t>ким углом к оси самолета, чтобы траектории пуль не пересекали плоскость, сметаемую винтом. Так был вооружен, например, рус</w:t>
      </w:r>
      <w:r w:rsidRPr="00405303">
        <w:rPr>
          <w:bCs/>
          <w:color w:val="002060"/>
          <w:sz w:val="16"/>
          <w:szCs w:val="16"/>
        </w:rPr>
        <w:softHyphen/>
        <w:t>ский легкий самолет МБ. Такая установка оружия затрудняла на</w:t>
      </w:r>
      <w:r w:rsidRPr="00405303">
        <w:rPr>
          <w:bCs/>
          <w:color w:val="002060"/>
          <w:sz w:val="16"/>
          <w:szCs w:val="16"/>
        </w:rPr>
        <w:softHyphen/>
        <w:t>водку и резко сокращала время ведения прицельного огня на огне</w:t>
      </w:r>
      <w:r w:rsidRPr="00405303">
        <w:rPr>
          <w:bCs/>
          <w:color w:val="002060"/>
          <w:sz w:val="16"/>
          <w:szCs w:val="16"/>
        </w:rPr>
        <w:softHyphen/>
        <w:t>вой позиции.</w:t>
      </w:r>
    </w:p>
    <w:p w14:paraId="05FF064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Второй вариант — пулемет устанавливался параллельно оси са</w:t>
      </w:r>
      <w:r w:rsidRPr="00405303">
        <w:rPr>
          <w:bCs/>
          <w:color w:val="002060"/>
          <w:sz w:val="16"/>
          <w:szCs w:val="16"/>
        </w:rPr>
        <w:softHyphen/>
        <w:t>молета, но траектория пуль проходила вне плоскости, сметаемой винтом. Так был, например, вооружен русский биплан РБВЗ типа 1913 г.: пулемет был установлен на верхнем крыле бипланной ко</w:t>
      </w:r>
      <w:r w:rsidRPr="00405303">
        <w:rPr>
          <w:bCs/>
          <w:color w:val="002060"/>
          <w:sz w:val="16"/>
          <w:szCs w:val="16"/>
        </w:rPr>
        <w:softHyphen/>
        <w:t>робки. Однако вынос оси оружия от оси самолета требовал внесе</w:t>
      </w:r>
      <w:r w:rsidRPr="00405303">
        <w:rPr>
          <w:bCs/>
          <w:color w:val="002060"/>
          <w:sz w:val="16"/>
          <w:szCs w:val="16"/>
        </w:rPr>
        <w:softHyphen/>
        <w:t>ния заметных поправок в прицеливание и, следовательно, усложнял технику пилотирования на огневой позиции.</w:t>
      </w:r>
    </w:p>
    <w:p w14:paraId="23A0AEA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Третий вариант — пулемет устанавливался на фюзеляже парал</w:t>
      </w:r>
      <w:r w:rsidRPr="00405303">
        <w:rPr>
          <w:bCs/>
          <w:color w:val="002060"/>
          <w:sz w:val="16"/>
          <w:szCs w:val="16"/>
        </w:rPr>
        <w:softHyphen/>
        <w:t>лельно оси самолета. Такая установка значительно облегчала прице</w:t>
      </w:r>
      <w:r w:rsidRPr="00405303">
        <w:rPr>
          <w:bCs/>
          <w:color w:val="002060"/>
          <w:sz w:val="16"/>
          <w:szCs w:val="16"/>
        </w:rPr>
        <w:softHyphen/>
        <w:t>ливание вследствие близости осей самолета и пулемета и повышала точность ведения огня. Сама установка оружия могла быть сделана достаточно жесткой, что резко уменьшало рассеивание пуль при стрельбе. Однако конструирование такой установки было связано с трудностями — нужно было решить задачу о возможности ведения огня через плоскость вращения винта. Эта задача была решена рус</w:t>
      </w:r>
      <w:r w:rsidRPr="00405303">
        <w:rPr>
          <w:bCs/>
          <w:color w:val="002060"/>
          <w:sz w:val="16"/>
          <w:szCs w:val="16"/>
        </w:rPr>
        <w:softHyphen/>
        <w:t>скими инженерами и изобретателями к 1915 г. в двух направ</w:t>
      </w:r>
      <w:r w:rsidRPr="00405303">
        <w:rPr>
          <w:bCs/>
          <w:color w:val="002060"/>
          <w:sz w:val="16"/>
          <w:szCs w:val="16"/>
        </w:rPr>
        <w:softHyphen/>
        <w:t>лениях.</w:t>
      </w:r>
    </w:p>
    <w:p w14:paraId="6658325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Во-первых, защита винта от огня пулемета, работа которого в этом случае не связана с вращением винта. Такая защита винта осуществлялась чаще всего установкой отсекателя пуль, представ</w:t>
      </w:r>
      <w:r w:rsidRPr="00405303">
        <w:rPr>
          <w:bCs/>
          <w:color w:val="002060"/>
          <w:sz w:val="16"/>
          <w:szCs w:val="16"/>
        </w:rPr>
        <w:softHyphen/>
        <w:t>лявшего собой стальную закаленную призму, надетую на лопасть винта и направленную ребром к дульному срезу пулемета. Если при стрельбе в лопасть попадала пуля, то она рикошетировала от на</w:t>
      </w:r>
      <w:r w:rsidRPr="00405303">
        <w:rPr>
          <w:bCs/>
          <w:color w:val="002060"/>
          <w:sz w:val="16"/>
          <w:szCs w:val="16"/>
        </w:rPr>
        <w:softHyphen/>
        <w:t>клонной грани отсекателя в сторону от винта и самолета. Крупным недостатком отсекателей было снижение коэффициента полезного действия винта на 8—10%; кроме того, при установке отсекателей рикошетировало от их граней до 25% всех пуль из каждой очереди.</w:t>
      </w:r>
    </w:p>
    <w:p w14:paraId="609074B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Во-вторых, установка пулемета, работа которого была возможна только в те промежутки времени, когда против дульного среза пу</w:t>
      </w:r>
      <w:r w:rsidRPr="00405303">
        <w:rPr>
          <w:bCs/>
          <w:color w:val="002060"/>
          <w:sz w:val="16"/>
          <w:szCs w:val="16"/>
        </w:rPr>
        <w:softHyphen/>
        <w:t>лемета нет лопасти винта (синхронный пулемет).</w:t>
      </w:r>
    </w:p>
    <w:p w14:paraId="20D9ADE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Эта установка оказалась наиболее перспективной.</w:t>
      </w:r>
    </w:p>
    <w:p w14:paraId="59F042B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России над созданием синхронных установок работали изобре</w:t>
      </w:r>
      <w:r w:rsidRPr="00405303">
        <w:rPr>
          <w:bCs/>
          <w:color w:val="002060"/>
          <w:sz w:val="16"/>
          <w:szCs w:val="16"/>
        </w:rPr>
        <w:softHyphen/>
        <w:t>татели Смыслов, Шадский, Лавров и другие. Синхронизаторы Лав</w:t>
      </w:r>
      <w:r w:rsidRPr="00405303">
        <w:rPr>
          <w:bCs/>
          <w:color w:val="002060"/>
          <w:sz w:val="16"/>
          <w:szCs w:val="16"/>
        </w:rPr>
        <w:softHyphen/>
        <w:t>рова (РБВЗ) и Смыслова (завод «Дукс») устанавливались на се</w:t>
      </w:r>
      <w:r w:rsidRPr="00405303">
        <w:rPr>
          <w:bCs/>
          <w:color w:val="002060"/>
          <w:sz w:val="16"/>
          <w:szCs w:val="16"/>
        </w:rPr>
        <w:softHyphen/>
        <w:t>рийных самолетах. Кроме того, на фронт высылались пулеметы с комплектами деталей синхронизаторов, которые устанавливались на самолеты непосредственно в частях (318).</w:t>
      </w:r>
    </w:p>
    <w:p w14:paraId="713C463C" w14:textId="77777777" w:rsidR="004B4E35" w:rsidRPr="00405303" w:rsidRDefault="004B4E35" w:rsidP="00C15251">
      <w:pPr>
        <w:shd w:val="clear" w:color="auto" w:fill="FFFFFF"/>
        <w:jc w:val="both"/>
        <w:rPr>
          <w:bCs/>
          <w:color w:val="002060"/>
          <w:sz w:val="16"/>
          <w:szCs w:val="16"/>
        </w:rPr>
      </w:pPr>
    </w:p>
    <w:p w14:paraId="305F713F" w14:textId="09FDECCF" w:rsidR="00A9503D" w:rsidRPr="00405303" w:rsidRDefault="00A9503D" w:rsidP="00C15251">
      <w:pPr>
        <w:jc w:val="both"/>
        <w:rPr>
          <w:bCs/>
          <w:color w:val="002060"/>
          <w:sz w:val="16"/>
          <w:szCs w:val="16"/>
        </w:rPr>
      </w:pPr>
      <w:r w:rsidRPr="00405303">
        <w:rPr>
          <w:bCs/>
          <w:color w:val="002060"/>
          <w:sz w:val="16"/>
          <w:szCs w:val="16"/>
        </w:rPr>
        <w:t xml:space="preserve">24 января </w:t>
      </w:r>
      <w:r w:rsidR="006F372A" w:rsidRPr="00405303">
        <w:rPr>
          <w:bCs/>
          <w:color w:val="002060"/>
          <w:sz w:val="16"/>
          <w:szCs w:val="16"/>
        </w:rPr>
        <w:t xml:space="preserve">(6 февраля) </w:t>
      </w:r>
      <w:r w:rsidRPr="00405303">
        <w:rPr>
          <w:bCs/>
          <w:color w:val="002060"/>
          <w:sz w:val="16"/>
          <w:szCs w:val="16"/>
        </w:rPr>
        <w:t>1915 г. первый С-16 с заводским номером 154 поступил в эскадру для испытаний в боевых условиях. В марте туда же были направлены еще две машины (№ 155 и 156) (15127).</w:t>
      </w:r>
    </w:p>
    <w:p w14:paraId="588844B1" w14:textId="77777777" w:rsidR="00A9503D" w:rsidRPr="00405303" w:rsidRDefault="00A9503D" w:rsidP="00C15251">
      <w:pPr>
        <w:jc w:val="both"/>
        <w:rPr>
          <w:bCs/>
          <w:color w:val="002060"/>
          <w:sz w:val="16"/>
          <w:szCs w:val="16"/>
        </w:rPr>
      </w:pPr>
    </w:p>
    <w:p w14:paraId="2AFE595A" w14:textId="6585C654" w:rsidR="00C75EFF" w:rsidRPr="00405303" w:rsidRDefault="00C75EFF" w:rsidP="00C15251">
      <w:pPr>
        <w:jc w:val="both"/>
        <w:rPr>
          <w:bCs/>
          <w:color w:val="002060"/>
          <w:sz w:val="16"/>
          <w:szCs w:val="16"/>
        </w:rPr>
      </w:pPr>
      <w:r w:rsidRPr="00405303">
        <w:rPr>
          <w:bCs/>
          <w:color w:val="002060"/>
          <w:sz w:val="16"/>
          <w:szCs w:val="16"/>
        </w:rPr>
        <w:t>24 января (6 февраля) 1915 г. первый С-16 с заводским номе</w:t>
      </w:r>
      <w:r w:rsidRPr="00405303">
        <w:rPr>
          <w:bCs/>
          <w:color w:val="002060"/>
          <w:sz w:val="16"/>
          <w:szCs w:val="16"/>
        </w:rPr>
        <w:softHyphen/>
        <w:t>ром 154 поступил в эскадру для испытаний в боевых ус</w:t>
      </w:r>
      <w:r w:rsidRPr="00405303">
        <w:rPr>
          <w:bCs/>
          <w:color w:val="002060"/>
          <w:sz w:val="16"/>
          <w:szCs w:val="16"/>
        </w:rPr>
        <w:softHyphen/>
        <w:t>ловиях.</w:t>
      </w:r>
    </w:p>
    <w:p w14:paraId="7AB692F4" w14:textId="77777777" w:rsidR="00C75EFF" w:rsidRPr="00405303" w:rsidRDefault="00C75EFF" w:rsidP="00C15251">
      <w:pPr>
        <w:jc w:val="both"/>
        <w:rPr>
          <w:bCs/>
          <w:color w:val="002060"/>
          <w:sz w:val="16"/>
          <w:szCs w:val="16"/>
        </w:rPr>
      </w:pPr>
      <w:r w:rsidRPr="00405303">
        <w:rPr>
          <w:bCs/>
          <w:color w:val="002060"/>
          <w:sz w:val="16"/>
          <w:szCs w:val="16"/>
        </w:rPr>
        <w:t>В марте туда же были направ</w:t>
      </w:r>
      <w:r w:rsidRPr="00405303">
        <w:rPr>
          <w:bCs/>
          <w:color w:val="002060"/>
          <w:sz w:val="16"/>
          <w:szCs w:val="16"/>
        </w:rPr>
        <w:softHyphen/>
        <w:t>лены еще две машины (№ 155 и 156).</w:t>
      </w:r>
    </w:p>
    <w:p w14:paraId="4930A2DC" w14:textId="77777777" w:rsidR="00C75EFF" w:rsidRPr="00405303" w:rsidRDefault="00C75EFF" w:rsidP="00C15251">
      <w:pPr>
        <w:jc w:val="both"/>
        <w:rPr>
          <w:bCs/>
          <w:color w:val="002060"/>
          <w:sz w:val="16"/>
          <w:szCs w:val="16"/>
        </w:rPr>
      </w:pPr>
      <w:r w:rsidRPr="00405303">
        <w:rPr>
          <w:bCs/>
          <w:color w:val="002060"/>
          <w:sz w:val="16"/>
          <w:szCs w:val="16"/>
        </w:rPr>
        <w:t>В процессе эксплуатации трех опытных машин появилась мысль использовать их в качестве самолетов воздушного боя — сначала как истребителей-перехват</w:t>
      </w:r>
      <w:r w:rsidRPr="00405303">
        <w:rPr>
          <w:bCs/>
          <w:color w:val="002060"/>
          <w:sz w:val="16"/>
          <w:szCs w:val="16"/>
        </w:rPr>
        <w:softHyphen/>
        <w:t>чиков для прикрытия мест базирования «Муромцев», а затем и как истребителей сопровождения воздушных кораблей (24177).</w:t>
      </w:r>
    </w:p>
    <w:p w14:paraId="63402747" w14:textId="77777777" w:rsidR="00C75EFF" w:rsidRPr="00405303" w:rsidRDefault="00C75EFF" w:rsidP="00C15251">
      <w:pPr>
        <w:jc w:val="both"/>
        <w:rPr>
          <w:bCs/>
          <w:color w:val="002060"/>
          <w:sz w:val="16"/>
          <w:szCs w:val="16"/>
        </w:rPr>
      </w:pPr>
    </w:p>
    <w:p w14:paraId="7EC02D16" w14:textId="6D68A99F" w:rsidR="004B4E35" w:rsidRPr="00405303" w:rsidRDefault="009E6F82" w:rsidP="00C15251">
      <w:pPr>
        <w:jc w:val="both"/>
        <w:rPr>
          <w:bCs/>
          <w:color w:val="002060"/>
          <w:sz w:val="16"/>
          <w:szCs w:val="16"/>
        </w:rPr>
      </w:pPr>
      <w:r w:rsidRPr="00405303">
        <w:rPr>
          <w:bCs/>
          <w:color w:val="002060"/>
          <w:sz w:val="16"/>
          <w:szCs w:val="16"/>
        </w:rPr>
        <w:t xml:space="preserve">24 января </w:t>
      </w:r>
      <w:r w:rsidR="006F372A" w:rsidRPr="00405303">
        <w:rPr>
          <w:bCs/>
          <w:color w:val="002060"/>
          <w:sz w:val="16"/>
          <w:szCs w:val="16"/>
        </w:rPr>
        <w:t xml:space="preserve">(6 февраля) </w:t>
      </w:r>
      <w:r w:rsidRPr="00405303">
        <w:rPr>
          <w:bCs/>
          <w:color w:val="002060"/>
          <w:sz w:val="16"/>
          <w:szCs w:val="16"/>
        </w:rPr>
        <w:t xml:space="preserve">1915 г. </w:t>
      </w:r>
      <w:r w:rsidR="006F372A" w:rsidRPr="00405303">
        <w:rPr>
          <w:bCs/>
          <w:color w:val="002060"/>
          <w:sz w:val="16"/>
          <w:szCs w:val="16"/>
        </w:rPr>
        <w:t xml:space="preserve">первый С-16 с заводским номером 154 поступил в эскадру для испытаний в боевых условиях </w:t>
      </w:r>
      <w:r w:rsidRPr="00405303">
        <w:rPr>
          <w:bCs/>
          <w:color w:val="002060"/>
          <w:sz w:val="16"/>
          <w:szCs w:val="16"/>
        </w:rPr>
        <w:t xml:space="preserve">В марте туда же были направлены еще две машины (№ 155 и 156). В процессе эксплуатации этих трех опытных машин появилась мысль использовать их в качестве самолетов воздушного боя — сначала как истребителей-перехватчиков для прикрытия мест базирования «Муромцев», а затем и как истребителей сопровождения воздушных кораблей. 9 сентября 1915 г. от ГВТУ был получен заказ на 18 «Сикорских маленьких», так их звали в действующей армии. В соответствии с этим заказом «Авиа-Балт» в дополнение к первым трем С-16 сдал в начале 1916 г. еще 15 новых самолетов С-16сер, мало отличавшихся от первых. Большая часть их была одноместными. Для превращения безоружного поначалу самолета в боевой истребитель ГВТУ заключило с РБВЗ дополнительный контракт на оснащение С-16 пулеметами «Виккерс» и «Кольт». Синхронизатор был разработан хорошо нам известным Г. И. Лавровым. На двухместных машинах иногда устанавливали второй пулемет для стрельбы назад. Поступившие в эскадру С-16 были первыми серийными истребителями отечественной конструкции. О них тотчас прознал Августейший командующий легкой авиацией. У него появилась реальная возможность отхватить от эскадры приличный кусок. 3 февраля 1916 г. Великий Князь Александр Михайлович шлет начальнику штаба Верховного Главнокомандования генералу М. В. Алексееву депешу: </w:t>
      </w:r>
      <w:proofErr w:type="gramStart"/>
      <w:r w:rsidRPr="00405303">
        <w:rPr>
          <w:bCs/>
          <w:color w:val="002060"/>
          <w:sz w:val="16"/>
          <w:szCs w:val="16"/>
        </w:rPr>
        <w:t>« ...</w:t>
      </w:r>
      <w:proofErr w:type="gramEnd"/>
      <w:r w:rsidRPr="00405303">
        <w:rPr>
          <w:bCs/>
          <w:color w:val="002060"/>
          <w:sz w:val="16"/>
          <w:szCs w:val="16"/>
        </w:rPr>
        <w:t xml:space="preserve"> Прошу разрешения, ввиду того что Эскадра еще не приступила к боевой работе, послать в 7 и 11 армии аппараты Сикорского-16, являющиеся ныне наиболее быстроходными. В противном случае дальнейшая разведка станет невозможной». Что ж, достаточно высокая оценка в устах недоброжелателя. Шидловский, надеясь на широкое в будущем использование С-16, не только согласился уступить шесть машин, но и предложил переобучить на них славных соколов Великого Князя. Однако от последнего Августейший высокомерно отказался: «Всякий «моранист» полетит на «Сикорском</w:t>
      </w:r>
      <w:proofErr w:type="gramStart"/>
      <w:r w:rsidRPr="00405303">
        <w:rPr>
          <w:bCs/>
          <w:color w:val="002060"/>
          <w:sz w:val="16"/>
          <w:szCs w:val="16"/>
        </w:rPr>
        <w:t>» .</w:t>
      </w:r>
      <w:proofErr w:type="gramEnd"/>
      <w:r w:rsidRPr="00405303">
        <w:rPr>
          <w:bCs/>
          <w:color w:val="002060"/>
          <w:sz w:val="16"/>
          <w:szCs w:val="16"/>
        </w:rPr>
        <w:t xml:space="preserve"> Но и этим отказом Великий Князь невольно подчеркнул простоту техники пилотирования «Сикорского маленького». Вскоре один из запрошенных (№ 205) поступил в истребительное звено 33-го корпусного отряда. Его «оседлал» поручик Вокуловский. Три других (№201, 202 и 204) были переданы в знаменитый 7-й истребительный авиаотряд под командованием поручика И. А. Орлова, где были с энтузиазмом приняты летчиками. С-16 активно использовали, применяли в воздушных боях. 27 апреля 1916 г., возвращаясь с боевого задания, потерпел аварию двухместный С-16 известного русского аса прапорщика Ю. В. Гильшера. Самолет на снижении попал в штопор. Летнаб Квасников отделался испугом, летчик же сильно повредил ногу. Авария произошла после тяжелого и победного воздушного боя с австрийцем, но «Мефистофель Муромцев», как называет Великого Князя Александра Михайловича крупнейший зарубежный знаток русской авиации, </w:t>
      </w:r>
      <w:proofErr w:type="gramStart"/>
      <w:r w:rsidRPr="00405303">
        <w:rPr>
          <w:bCs/>
          <w:color w:val="002060"/>
          <w:sz w:val="16"/>
          <w:szCs w:val="16"/>
        </w:rPr>
        <w:t>и в частности</w:t>
      </w:r>
      <w:proofErr w:type="gramEnd"/>
      <w:r w:rsidRPr="00405303">
        <w:rPr>
          <w:bCs/>
          <w:color w:val="002060"/>
          <w:sz w:val="16"/>
          <w:szCs w:val="16"/>
        </w:rPr>
        <w:t xml:space="preserve"> творчества Сикорского, английский историк Харри Уудман, разбираться в причинах не стал и запретил применять С-16 в подчиненной ему авиации. Все машины вернули в эскадру, где претензий к ним не было. Смущала только ставшая к тому времени недостаточной скорость, однако исправить этот показатель было нельзя — более мощных двигателей для этих самолетов не было. Как только летом 1916 г. на одном из серийных С-16 (№ 210) был поставлен двигатель «Гном-Моносупап» в 100 л. с., летно-технические характеристики самолета заметно улучшились. Под этот двигатель начала готовиться следующая серия С-16. Первый образец новой серии «С-16–3» (№ 246) отправили в эскадру для испытаний в августе 1916 г. Он отличался более обтекаемыми формами. За кабиной был установлен алюминиевый гаргрот. Крылья сделаны разного размера. Элероны с нижнего крыла удалены, а на верхнем увеличены. Биплан начал превращаться в полутораплан в полном соответствии с общим ходом развития класса истребителей. Однако ни первый образец новой серии, ни последовавшие за ним еще 14 машин (№ 247–260) не оправдали возлагавшихся на них надежд. Виной всему был проклятый «моторный голод». В 1916 г. его удалось устранить для воздушных кораблей, но не для легких самолетов. Командующий легкой авиацией наотрез отказался делиться двигателями для истребителей производства РБВЗ, не без удовольствия напоминая УВВФ, что </w:t>
      </w:r>
      <w:r w:rsidRPr="00405303">
        <w:rPr>
          <w:bCs/>
          <w:color w:val="002060"/>
          <w:sz w:val="16"/>
          <w:szCs w:val="16"/>
        </w:rPr>
        <w:lastRenderedPageBreak/>
        <w:t>в 1915 г. «г. Шидловский отрицал необходимость охраны «Муромцев» истребителями». Великий Князь, видимо, не хотел учитывать, что на дворе уже стоял 1917 г. и «Муромцам» нужны были истребители хотя бы для прикрытия мест базирования. Так была утеряна последняя возможность наладить крупносерийное производство истребителей отечественной конструкции, под которое Правление РБВЗ даже предлагало свой Тверской завод. Враждебность Августейшего командующего не охладила интереса Сикорского к разработке легких самолетов. Применение их было обеспечено. Дело в том, что по приказу М. В. Алексеева от 21 ноября 1915 г. в штат эскадры должны были входить помимо кораблей легкие самолеты: 12 учебных — в эскадренную школу и по 4 истребителя, 4 разведчика и 6 тренировочных — в каждый боевой отряд, а всего их с учетом развития эскадры предусматривалось пять. В начале 1917 г. общая потребность эскадры оценивалась в 80 истребителей, 52 тренировочных и 20 учебных самолетов. Все предполагалось строить на предприятиях РБВЗ (11196).</w:t>
      </w:r>
    </w:p>
    <w:p w14:paraId="2D8EAFB0" w14:textId="77777777" w:rsidR="004B4E35" w:rsidRPr="00405303" w:rsidRDefault="004B4E35" w:rsidP="00C15251">
      <w:pPr>
        <w:jc w:val="both"/>
        <w:rPr>
          <w:bCs/>
          <w:color w:val="002060"/>
          <w:sz w:val="16"/>
          <w:szCs w:val="16"/>
        </w:rPr>
      </w:pPr>
    </w:p>
    <w:p w14:paraId="55F6AECE" w14:textId="05EC29F1" w:rsidR="00DC4F95" w:rsidRPr="00405303" w:rsidRDefault="00DC4F95" w:rsidP="00C15251">
      <w:pPr>
        <w:jc w:val="both"/>
        <w:rPr>
          <w:bCs/>
          <w:color w:val="002060"/>
          <w:sz w:val="16"/>
          <w:szCs w:val="16"/>
        </w:rPr>
      </w:pPr>
      <w:r w:rsidRPr="00405303">
        <w:rPr>
          <w:bCs/>
          <w:color w:val="002060"/>
          <w:sz w:val="16"/>
          <w:szCs w:val="16"/>
        </w:rPr>
        <w:t xml:space="preserve">24 января </w:t>
      </w:r>
      <w:r w:rsidR="006F372A" w:rsidRPr="00405303">
        <w:rPr>
          <w:bCs/>
          <w:color w:val="002060"/>
          <w:sz w:val="16"/>
          <w:szCs w:val="16"/>
        </w:rPr>
        <w:t xml:space="preserve">(6 февраля) </w:t>
      </w:r>
      <w:r w:rsidRPr="00405303">
        <w:rPr>
          <w:bCs/>
          <w:color w:val="002060"/>
          <w:sz w:val="16"/>
          <w:szCs w:val="16"/>
        </w:rPr>
        <w:t xml:space="preserve">в 1915 году на вооружение русской армии принят истребитель </w:t>
      </w:r>
      <w:hyperlink r:id="rId8" w:tgtFrame="_blank" w:history="1">
        <w:r w:rsidRPr="00405303">
          <w:rPr>
            <w:bCs/>
            <w:color w:val="002060"/>
            <w:sz w:val="16"/>
            <w:szCs w:val="16"/>
          </w:rPr>
          <w:t xml:space="preserve">«С-16» </w:t>
        </w:r>
      </w:hyperlink>
      <w:r w:rsidRPr="00405303">
        <w:rPr>
          <w:bCs/>
          <w:color w:val="002060"/>
          <w:sz w:val="16"/>
          <w:szCs w:val="16"/>
        </w:rPr>
        <w:t>. Боевая машина обладала высокими скоростями полета и скороподъемностью, хорошей маневренностью. Двухместный истребитель предназначался для сопровождения и защиты тяжелых воздушных кораблей типа «Илья Муромец». Первый опытный экземпляр испытывал сам конструктор. Последующие конструкции Сикорского — истребители «С-XVII», «C-XVIII» не были удачными и существовали лишь в опытных экземплярах. В начале 1916 года эскадра генерал-майора М.В.Шидловского - первого в истории соединения дальней бомбардировочной авиации - получила 6 самолетов «С-XVI», ожидались остальные 12. И хотя все аппараты были приняты приемной комиссией в начале февраля, их отправка задерживалась из-за отсутствия пулеметов для стрельбы через винт. Помимо первой серии из 18 самолетов, на Русско-Балтийском заводе построили и вторую - из 16 машин. В декабре 1916 года уже были готовы фюзеляжи, бипланные коробки крыльев, шасси и др. Общая готовность самолетов этой серии (без моторов) достигла 90 %. Их сдача приемочной комиссии и отправка в действующую армию растянулась на весь следующий год из-за нехватки моторов и вооружения. К тому времени самолет «С-XVI» уже устарел - не хватало мощности мотора, по скоростным и маневренным показателям он уже не мог соперничать с немецкими "фоккерами", да и новые французские истребители "Ньюпор" и "Спад" были лучше (15019).</w:t>
      </w:r>
    </w:p>
    <w:p w14:paraId="739CF3B1" w14:textId="77777777" w:rsidR="00DC4F95" w:rsidRPr="00405303" w:rsidRDefault="00DC4F95" w:rsidP="00C15251">
      <w:pPr>
        <w:jc w:val="both"/>
        <w:rPr>
          <w:bCs/>
          <w:color w:val="002060"/>
          <w:sz w:val="16"/>
          <w:szCs w:val="16"/>
        </w:rPr>
      </w:pPr>
    </w:p>
    <w:p w14:paraId="5A65FC43" w14:textId="670B5EAE" w:rsidR="00C75EFF" w:rsidRPr="00405303" w:rsidRDefault="00C75EFF" w:rsidP="00C15251">
      <w:pPr>
        <w:jc w:val="both"/>
        <w:rPr>
          <w:bCs/>
          <w:i/>
          <w:color w:val="002060"/>
          <w:sz w:val="16"/>
          <w:szCs w:val="16"/>
        </w:rPr>
      </w:pPr>
      <w:r w:rsidRPr="00405303">
        <w:rPr>
          <w:bCs/>
          <w:i/>
          <w:color w:val="002060"/>
          <w:sz w:val="16"/>
          <w:szCs w:val="16"/>
        </w:rPr>
        <w:t>Авиация:</w:t>
      </w:r>
    </w:p>
    <w:p w14:paraId="22D6D550" w14:textId="77777777" w:rsidR="00C75EFF" w:rsidRPr="00405303" w:rsidRDefault="00C75EFF" w:rsidP="00C15251">
      <w:pPr>
        <w:jc w:val="both"/>
        <w:rPr>
          <w:bCs/>
          <w:i/>
          <w:color w:val="002060"/>
          <w:sz w:val="16"/>
          <w:szCs w:val="16"/>
        </w:rPr>
      </w:pPr>
    </w:p>
    <w:p w14:paraId="26C2308F" w14:textId="76DA7E54" w:rsidR="00C75EFF" w:rsidRPr="00405303" w:rsidRDefault="00C75EFF" w:rsidP="00C15251">
      <w:pPr>
        <w:jc w:val="both"/>
        <w:rPr>
          <w:bCs/>
          <w:color w:val="002060"/>
          <w:sz w:val="16"/>
          <w:szCs w:val="16"/>
          <w:lang w:bidi="en-US"/>
        </w:rPr>
      </w:pPr>
      <w:r w:rsidRPr="00405303">
        <w:rPr>
          <w:bCs/>
          <w:color w:val="002060"/>
          <w:sz w:val="16"/>
          <w:szCs w:val="16"/>
          <w:lang w:bidi="en-US"/>
        </w:rPr>
        <w:t xml:space="preserve">24 января </w:t>
      </w:r>
      <w:r w:rsidR="00E2570C" w:rsidRPr="00405303">
        <w:rPr>
          <w:bCs/>
          <w:color w:val="002060"/>
          <w:sz w:val="16"/>
          <w:szCs w:val="16"/>
          <w:lang w:bidi="en-US"/>
        </w:rPr>
        <w:t xml:space="preserve">(6 февраля) </w:t>
      </w:r>
      <w:r w:rsidRPr="00405303">
        <w:rPr>
          <w:bCs/>
          <w:color w:val="002060"/>
          <w:sz w:val="16"/>
          <w:szCs w:val="16"/>
          <w:lang w:bidi="en-US"/>
        </w:rPr>
        <w:t>1915 г. командующий Юго-Западным фронтом генерал Н. И. Иванов констатировал в донесении, что «летчики и нижние чины, несмотря на трудности обстановки, несмотря на непогоду, с честью выполнили свои обязанности и своим мужественным трудом оказали надлежащую пользу для своих корпусов и армий» (23525).</w:t>
      </w:r>
    </w:p>
    <w:p w14:paraId="538EAB71" w14:textId="77777777" w:rsidR="00C75EFF" w:rsidRPr="00405303" w:rsidRDefault="00C75EFF" w:rsidP="00C15251">
      <w:pPr>
        <w:jc w:val="both"/>
        <w:rPr>
          <w:bCs/>
          <w:i/>
          <w:color w:val="002060"/>
          <w:sz w:val="16"/>
          <w:szCs w:val="16"/>
        </w:rPr>
      </w:pPr>
    </w:p>
    <w:p w14:paraId="673DCBDA" w14:textId="5D424CF1"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48C26274" w14:textId="77777777" w:rsidR="004B4E35" w:rsidRPr="00405303" w:rsidRDefault="004B4E35" w:rsidP="00C15251">
      <w:pPr>
        <w:jc w:val="both"/>
        <w:rPr>
          <w:bCs/>
          <w:i/>
          <w:color w:val="002060"/>
          <w:sz w:val="16"/>
          <w:szCs w:val="16"/>
        </w:rPr>
      </w:pPr>
    </w:p>
    <w:p w14:paraId="6447EA6F" w14:textId="65A99FC1" w:rsidR="004B4E35" w:rsidRPr="00405303" w:rsidRDefault="009E6F82" w:rsidP="00C15251">
      <w:pPr>
        <w:jc w:val="both"/>
        <w:rPr>
          <w:bCs/>
          <w:color w:val="002060"/>
          <w:sz w:val="16"/>
          <w:szCs w:val="16"/>
        </w:rPr>
      </w:pPr>
      <w:r w:rsidRPr="00405303">
        <w:rPr>
          <w:bCs/>
          <w:color w:val="002060"/>
          <w:sz w:val="16"/>
          <w:szCs w:val="16"/>
        </w:rPr>
        <w:t xml:space="preserve">24 января </w:t>
      </w:r>
      <w:r w:rsidR="006F372A" w:rsidRPr="00405303">
        <w:rPr>
          <w:bCs/>
          <w:color w:val="002060"/>
          <w:sz w:val="16"/>
          <w:szCs w:val="16"/>
        </w:rPr>
        <w:t xml:space="preserve">(6 февраля) </w:t>
      </w:r>
      <w:r w:rsidRPr="00405303">
        <w:rPr>
          <w:bCs/>
          <w:color w:val="002060"/>
          <w:sz w:val="16"/>
          <w:szCs w:val="16"/>
        </w:rPr>
        <w:t>1915 года И.К.Григорович разрешил дать наряд Путиловской верфи, потребовав от нее «экстренно» представить ведомость работ и возложив наблюдение за ними от морского ведомства на капитана 2 ранга Б.П.Дудорова, назначенного впоследствии (6 марта) командиром судна. Междуведомственное совещание внесло в перечень расходов по военному фонду на январь—апрель 1915 года 400 тыс. руб. на покупку парохода «Императрица Александра» и 300 тыс. руб. на его переоборудование (11333).</w:t>
      </w:r>
    </w:p>
    <w:p w14:paraId="35F98C8D" w14:textId="77777777" w:rsidR="004B4E35" w:rsidRPr="00405303" w:rsidRDefault="004B4E35" w:rsidP="00C15251">
      <w:pPr>
        <w:jc w:val="both"/>
        <w:rPr>
          <w:bCs/>
          <w:i/>
          <w:color w:val="002060"/>
          <w:sz w:val="16"/>
          <w:szCs w:val="16"/>
        </w:rPr>
      </w:pPr>
    </w:p>
    <w:p w14:paraId="110308DC" w14:textId="6BAB6B3E" w:rsidR="00977D3E" w:rsidRPr="00405303" w:rsidRDefault="00977D3E" w:rsidP="00C15251">
      <w:pPr>
        <w:jc w:val="both"/>
        <w:rPr>
          <w:bCs/>
          <w:color w:val="002060"/>
          <w:sz w:val="16"/>
          <w:szCs w:val="16"/>
        </w:rPr>
      </w:pPr>
      <w:r w:rsidRPr="00405303">
        <w:rPr>
          <w:bCs/>
          <w:color w:val="002060"/>
          <w:sz w:val="16"/>
          <w:szCs w:val="16"/>
        </w:rPr>
        <w:t xml:space="preserve">24 января </w:t>
      </w:r>
      <w:r w:rsidR="006F372A" w:rsidRPr="00405303">
        <w:rPr>
          <w:bCs/>
          <w:color w:val="002060"/>
          <w:sz w:val="16"/>
          <w:szCs w:val="16"/>
        </w:rPr>
        <w:t xml:space="preserve">(6 февраля) </w:t>
      </w:r>
      <w:r w:rsidRPr="00405303">
        <w:rPr>
          <w:bCs/>
          <w:color w:val="002060"/>
          <w:sz w:val="16"/>
          <w:szCs w:val="16"/>
        </w:rPr>
        <w:t>1915 г. Григоро</w:t>
      </w:r>
      <w:r w:rsidRPr="00405303">
        <w:rPr>
          <w:bCs/>
          <w:color w:val="002060"/>
          <w:sz w:val="16"/>
          <w:szCs w:val="16"/>
        </w:rPr>
        <w:softHyphen/>
        <w:t>вич разрешил дать наряд Путиловской верфи на переоборудование парохода до 1 апреля 1915 г, воз</w:t>
      </w:r>
      <w:r w:rsidRPr="00405303">
        <w:rPr>
          <w:bCs/>
          <w:color w:val="002060"/>
          <w:sz w:val="16"/>
          <w:szCs w:val="16"/>
        </w:rPr>
        <w:softHyphen/>
        <w:t>ложив наблюдение за работами от морского ведомства на капитана 2-го ранга Б.П.Дудорова, назначен</w:t>
      </w:r>
      <w:r w:rsidRPr="00405303">
        <w:rPr>
          <w:bCs/>
          <w:color w:val="002060"/>
          <w:sz w:val="16"/>
          <w:szCs w:val="16"/>
        </w:rPr>
        <w:softHyphen/>
        <w:t>ного впоследствии (6 марта) коман</w:t>
      </w:r>
      <w:r w:rsidRPr="00405303">
        <w:rPr>
          <w:bCs/>
          <w:color w:val="002060"/>
          <w:sz w:val="16"/>
          <w:szCs w:val="16"/>
        </w:rPr>
        <w:softHyphen/>
        <w:t>диром корабля.</w:t>
      </w:r>
    </w:p>
    <w:p w14:paraId="3C77A95A" w14:textId="77777777" w:rsidR="00977D3E" w:rsidRPr="00405303" w:rsidRDefault="00977D3E" w:rsidP="00C15251">
      <w:pPr>
        <w:pStyle w:val="a5"/>
        <w:rPr>
          <w:bCs/>
          <w:color w:val="002060"/>
          <w:sz w:val="16"/>
          <w:szCs w:val="16"/>
          <w:lang w:val="ru-RU"/>
        </w:rPr>
      </w:pPr>
      <w:r w:rsidRPr="00405303">
        <w:rPr>
          <w:bCs/>
          <w:color w:val="002060"/>
          <w:sz w:val="16"/>
          <w:szCs w:val="16"/>
          <w:lang w:val="ru-RU"/>
        </w:rPr>
        <w:t xml:space="preserve">Приказом по флоту и морскому ведомству за № 43 от 7 февраля 1915 г. император Николай </w:t>
      </w:r>
      <w:r w:rsidRPr="00405303">
        <w:rPr>
          <w:bCs/>
          <w:color w:val="002060"/>
          <w:sz w:val="16"/>
          <w:szCs w:val="16"/>
        </w:rPr>
        <w:t>II</w:t>
      </w:r>
      <w:r w:rsidRPr="00405303">
        <w:rPr>
          <w:bCs/>
          <w:color w:val="002060"/>
          <w:sz w:val="16"/>
          <w:szCs w:val="16"/>
          <w:lang w:val="ru-RU"/>
        </w:rPr>
        <w:t xml:space="preserve"> пове</w:t>
      </w:r>
      <w:r w:rsidRPr="00405303">
        <w:rPr>
          <w:bCs/>
          <w:color w:val="002060"/>
          <w:sz w:val="16"/>
          <w:szCs w:val="16"/>
          <w:lang w:val="ru-RU"/>
        </w:rPr>
        <w:softHyphen/>
        <w:t>лел зачислить пароход в класс учеб</w:t>
      </w:r>
      <w:r w:rsidRPr="00405303">
        <w:rPr>
          <w:bCs/>
          <w:color w:val="002060"/>
          <w:sz w:val="16"/>
          <w:szCs w:val="16"/>
          <w:lang w:val="ru-RU"/>
        </w:rPr>
        <w:softHyphen/>
        <w:t>ных судов и присвоить ему наиме</w:t>
      </w:r>
      <w:r w:rsidRPr="00405303">
        <w:rPr>
          <w:bCs/>
          <w:color w:val="002060"/>
          <w:sz w:val="16"/>
          <w:szCs w:val="16"/>
          <w:lang w:val="ru-RU"/>
        </w:rPr>
        <w:softHyphen/>
        <w:t>нование «Орлица». В документах «Орлицу» называли авиационной базой, авиационным судном, авиа</w:t>
      </w:r>
      <w:r w:rsidRPr="00405303">
        <w:rPr>
          <w:bCs/>
          <w:color w:val="002060"/>
          <w:sz w:val="16"/>
          <w:szCs w:val="16"/>
          <w:lang w:val="ru-RU"/>
        </w:rPr>
        <w:softHyphen/>
        <w:t>транспортом. Согласно боевому расписанию 1915 г. «Орлицу» пред</w:t>
      </w:r>
      <w:r w:rsidRPr="00405303">
        <w:rPr>
          <w:bCs/>
          <w:color w:val="002060"/>
          <w:sz w:val="16"/>
          <w:szCs w:val="16"/>
          <w:lang w:val="ru-RU"/>
        </w:rPr>
        <w:softHyphen/>
        <w:t>полагалось использовать «при Службе связи» Балтийского моря. Судно должно было нести четыре гидросамолета в готовом к спуску виде и четыре запасных в состоя</w:t>
      </w:r>
      <w:r w:rsidRPr="00405303">
        <w:rPr>
          <w:bCs/>
          <w:color w:val="002060"/>
          <w:sz w:val="16"/>
          <w:szCs w:val="16"/>
          <w:lang w:val="ru-RU"/>
        </w:rPr>
        <w:softHyphen/>
        <w:t>нии четырехчасовой готовности.</w:t>
      </w:r>
    </w:p>
    <w:p w14:paraId="55A8BBD5" w14:textId="77777777" w:rsidR="00977D3E" w:rsidRPr="00405303" w:rsidRDefault="00977D3E" w:rsidP="00C15251">
      <w:pPr>
        <w:pStyle w:val="a5"/>
        <w:rPr>
          <w:bCs/>
          <w:color w:val="002060"/>
          <w:sz w:val="16"/>
          <w:szCs w:val="16"/>
          <w:lang w:val="ru-RU"/>
        </w:rPr>
      </w:pPr>
      <w:r w:rsidRPr="00405303">
        <w:rPr>
          <w:bCs/>
          <w:color w:val="002060"/>
          <w:sz w:val="16"/>
          <w:szCs w:val="16"/>
          <w:lang w:val="ru-RU"/>
        </w:rPr>
        <w:t>В процессе переоборудования на «Орлице» смонтировали четы</w:t>
      </w:r>
      <w:r w:rsidRPr="00405303">
        <w:rPr>
          <w:bCs/>
          <w:color w:val="002060"/>
          <w:sz w:val="16"/>
          <w:szCs w:val="16"/>
          <w:lang w:val="ru-RU"/>
        </w:rPr>
        <w:softHyphen/>
        <w:t>ре облегчённые поворотные стре</w:t>
      </w:r>
      <w:r w:rsidRPr="00405303">
        <w:rPr>
          <w:bCs/>
          <w:color w:val="002060"/>
          <w:sz w:val="16"/>
          <w:szCs w:val="16"/>
          <w:lang w:val="ru-RU"/>
        </w:rPr>
        <w:softHyphen/>
        <w:t>лы для подъёма и спуска самолё</w:t>
      </w:r>
      <w:r w:rsidRPr="00405303">
        <w:rPr>
          <w:bCs/>
          <w:color w:val="002060"/>
          <w:sz w:val="16"/>
          <w:szCs w:val="16"/>
          <w:lang w:val="ru-RU"/>
        </w:rPr>
        <w:softHyphen/>
        <w:t>тов, кильблоки (подставка для уста</w:t>
      </w:r>
      <w:r w:rsidRPr="00405303">
        <w:rPr>
          <w:bCs/>
          <w:color w:val="002060"/>
          <w:sz w:val="16"/>
          <w:szCs w:val="16"/>
          <w:lang w:val="ru-RU"/>
        </w:rPr>
        <w:softHyphen/>
        <w:t>новки гидросамолёта), импровизи</w:t>
      </w:r>
      <w:r w:rsidRPr="00405303">
        <w:rPr>
          <w:bCs/>
          <w:color w:val="002060"/>
          <w:sz w:val="16"/>
          <w:szCs w:val="16"/>
          <w:lang w:val="ru-RU"/>
        </w:rPr>
        <w:softHyphen/>
        <w:t>рованные носовой и кормовой ангары на два гидросамолета (типа ФБА) каждый, прикрытые с бортов брезентовыми обвесами. Для извле</w:t>
      </w:r>
      <w:r w:rsidRPr="00405303">
        <w:rPr>
          <w:bCs/>
          <w:color w:val="002060"/>
          <w:sz w:val="16"/>
          <w:szCs w:val="16"/>
          <w:lang w:val="ru-RU"/>
        </w:rPr>
        <w:softHyphen/>
        <w:t>чения самолета из ангара брезент закатывался кверху, стойки завали</w:t>
      </w:r>
      <w:r w:rsidRPr="00405303">
        <w:rPr>
          <w:bCs/>
          <w:color w:val="002060"/>
          <w:sz w:val="16"/>
          <w:szCs w:val="16"/>
          <w:lang w:val="ru-RU"/>
        </w:rPr>
        <w:softHyphen/>
        <w:t>вались. Четыре гидросамолета под</w:t>
      </w:r>
      <w:r w:rsidRPr="00405303">
        <w:rPr>
          <w:bCs/>
          <w:color w:val="002060"/>
          <w:sz w:val="16"/>
          <w:szCs w:val="16"/>
          <w:lang w:val="ru-RU"/>
        </w:rPr>
        <w:softHyphen/>
        <w:t>нимались на борт за 20 мин, спуск занимал 12 мин. В конструкцию верхней палубы и полубака ввели подкрепления для установки орудий. Кроме того, было смонтировано оборудование и верстак для ремон</w:t>
      </w:r>
      <w:r w:rsidRPr="00405303">
        <w:rPr>
          <w:bCs/>
          <w:color w:val="002060"/>
          <w:sz w:val="16"/>
          <w:szCs w:val="16"/>
          <w:lang w:val="ru-RU"/>
        </w:rPr>
        <w:softHyphen/>
        <w:t>та авиамоторов, установили два токарных, револьверный, фрезер</w:t>
      </w:r>
      <w:r w:rsidRPr="00405303">
        <w:rPr>
          <w:bCs/>
          <w:color w:val="002060"/>
          <w:sz w:val="16"/>
          <w:szCs w:val="16"/>
          <w:lang w:val="ru-RU"/>
        </w:rPr>
        <w:softHyphen/>
        <w:t>ный, два сверлильных станка и дру</w:t>
      </w:r>
      <w:r w:rsidRPr="00405303">
        <w:rPr>
          <w:bCs/>
          <w:color w:val="002060"/>
          <w:sz w:val="16"/>
          <w:szCs w:val="16"/>
          <w:lang w:val="ru-RU"/>
        </w:rPr>
        <w:softHyphen/>
        <w:t>гое оборудование для ремонта самолётов. В трюмах устроили два артиллерийских погреба для сна</w:t>
      </w:r>
      <w:r w:rsidRPr="00405303">
        <w:rPr>
          <w:bCs/>
          <w:color w:val="002060"/>
          <w:sz w:val="16"/>
          <w:szCs w:val="16"/>
          <w:lang w:val="ru-RU"/>
        </w:rPr>
        <w:softHyphen/>
        <w:t>рядов, авиабомб калибра 12,4-кг, две цистерны для бензина по 3,28 т (бензин по трубопроводам под дав</w:t>
      </w:r>
      <w:r w:rsidRPr="00405303">
        <w:rPr>
          <w:bCs/>
          <w:color w:val="002060"/>
          <w:sz w:val="16"/>
          <w:szCs w:val="16"/>
          <w:lang w:val="ru-RU"/>
        </w:rPr>
        <w:softHyphen/>
        <w:t>лением подавался в сборочную мастерскую и к гидросамолетам), кладовые для авиационного масла и другого имущества. На крыше ходовой рубки и легком настиле у гакаборта установили два 75-см прожектора. Вооружение «Орлицы» состояло из шести орудий калибра 75 мм и четырёх пулеметов.</w:t>
      </w:r>
    </w:p>
    <w:p w14:paraId="453AC7ED" w14:textId="77777777" w:rsidR="00977D3E" w:rsidRPr="00405303" w:rsidRDefault="00977D3E" w:rsidP="00C15251">
      <w:pPr>
        <w:pStyle w:val="a5"/>
        <w:rPr>
          <w:bCs/>
          <w:color w:val="002060"/>
          <w:sz w:val="16"/>
          <w:szCs w:val="16"/>
          <w:lang w:val="ru-RU"/>
        </w:rPr>
      </w:pPr>
      <w:r w:rsidRPr="00405303">
        <w:rPr>
          <w:bCs/>
          <w:color w:val="002060"/>
          <w:sz w:val="16"/>
          <w:szCs w:val="16"/>
          <w:lang w:val="ru-RU"/>
        </w:rPr>
        <w:t>20 апреля 1915 года судно офи</w:t>
      </w:r>
      <w:r w:rsidRPr="00405303">
        <w:rPr>
          <w:bCs/>
          <w:color w:val="002060"/>
          <w:sz w:val="16"/>
          <w:szCs w:val="16"/>
          <w:lang w:val="ru-RU"/>
        </w:rPr>
        <w:softHyphen/>
        <w:t>циально зачислили в состав Служ</w:t>
      </w:r>
      <w:r w:rsidRPr="00405303">
        <w:rPr>
          <w:bCs/>
          <w:color w:val="002060"/>
          <w:sz w:val="16"/>
          <w:szCs w:val="16"/>
          <w:lang w:val="ru-RU"/>
        </w:rPr>
        <w:softHyphen/>
        <w:t>бы связи Балтийского моря, и 15 мая оно начало кампанию. Одна</w:t>
      </w:r>
      <w:r w:rsidRPr="00405303">
        <w:rPr>
          <w:bCs/>
          <w:color w:val="002060"/>
          <w:sz w:val="16"/>
          <w:szCs w:val="16"/>
          <w:lang w:val="ru-RU"/>
        </w:rPr>
        <w:softHyphen/>
        <w:t>ко мелкие работы на «Орлице» вы</w:t>
      </w:r>
      <w:r w:rsidRPr="00405303">
        <w:rPr>
          <w:bCs/>
          <w:color w:val="002060"/>
          <w:sz w:val="16"/>
          <w:szCs w:val="16"/>
          <w:lang w:val="ru-RU"/>
        </w:rPr>
        <w:softHyphen/>
        <w:t>полнялись вплоть до ноября 1915 г., даже в период ее участия в боевых действиях.</w:t>
      </w:r>
    </w:p>
    <w:p w14:paraId="7B149800" w14:textId="77777777" w:rsidR="00977D3E" w:rsidRPr="00405303" w:rsidRDefault="00977D3E" w:rsidP="00C15251">
      <w:pPr>
        <w:pStyle w:val="a5"/>
        <w:rPr>
          <w:bCs/>
          <w:color w:val="002060"/>
          <w:sz w:val="16"/>
          <w:szCs w:val="16"/>
          <w:lang w:val="ru-RU"/>
        </w:rPr>
      </w:pPr>
      <w:r w:rsidRPr="00405303">
        <w:rPr>
          <w:bCs/>
          <w:color w:val="002060"/>
          <w:sz w:val="16"/>
          <w:szCs w:val="16"/>
          <w:lang w:val="ru-RU"/>
        </w:rPr>
        <w:t>Несколько расширенное описа</w:t>
      </w:r>
      <w:r w:rsidRPr="00405303">
        <w:rPr>
          <w:bCs/>
          <w:color w:val="002060"/>
          <w:sz w:val="16"/>
          <w:szCs w:val="16"/>
          <w:lang w:val="ru-RU"/>
        </w:rPr>
        <w:softHyphen/>
        <w:t>ние авиационного оборудования приведено, чтобы показать слож</w:t>
      </w:r>
      <w:r w:rsidRPr="00405303">
        <w:rPr>
          <w:bCs/>
          <w:color w:val="002060"/>
          <w:sz w:val="16"/>
          <w:szCs w:val="16"/>
          <w:lang w:val="ru-RU"/>
        </w:rPr>
        <w:softHyphen/>
        <w:t>ность работ. Уже первый опыт по</w:t>
      </w:r>
      <w:r w:rsidRPr="00405303">
        <w:rPr>
          <w:bCs/>
          <w:color w:val="002060"/>
          <w:sz w:val="16"/>
          <w:szCs w:val="16"/>
          <w:lang w:val="ru-RU"/>
        </w:rPr>
        <w:softHyphen/>
        <w:t>казал, что ангары «Орлицы» нуж</w:t>
      </w:r>
      <w:r w:rsidRPr="00405303">
        <w:rPr>
          <w:bCs/>
          <w:color w:val="002060"/>
          <w:sz w:val="16"/>
          <w:szCs w:val="16"/>
          <w:lang w:val="ru-RU"/>
        </w:rPr>
        <w:softHyphen/>
        <w:t>даются в доработке и в конце фев</w:t>
      </w:r>
      <w:r w:rsidRPr="00405303">
        <w:rPr>
          <w:bCs/>
          <w:color w:val="002060"/>
          <w:sz w:val="16"/>
          <w:szCs w:val="16"/>
          <w:lang w:val="ru-RU"/>
        </w:rPr>
        <w:softHyphen/>
        <w:t>раля 1916 г. их произвели на заво</w:t>
      </w:r>
      <w:r w:rsidRPr="00405303">
        <w:rPr>
          <w:bCs/>
          <w:color w:val="002060"/>
          <w:sz w:val="16"/>
          <w:szCs w:val="16"/>
          <w:lang w:val="ru-RU"/>
        </w:rPr>
        <w:softHyphen/>
        <w:t>де в Гельсингфорсе. С 23 мая по 2 июня 1916 года, во время захода «Орлицы» под командованием ка</w:t>
      </w:r>
      <w:r w:rsidRPr="00405303">
        <w:rPr>
          <w:bCs/>
          <w:color w:val="002060"/>
          <w:sz w:val="16"/>
          <w:szCs w:val="16"/>
          <w:lang w:val="ru-RU"/>
        </w:rPr>
        <w:softHyphen/>
        <w:t>питана 2-го ранга Н.Н.Ромашева в Петроград, были выполнены рабо</w:t>
      </w:r>
      <w:r w:rsidRPr="00405303">
        <w:rPr>
          <w:bCs/>
          <w:color w:val="002060"/>
          <w:sz w:val="16"/>
          <w:szCs w:val="16"/>
          <w:lang w:val="ru-RU"/>
        </w:rPr>
        <w:softHyphen/>
        <w:t>ты, чтобы обеспечить базирование гидросамолетов М-9. Наблюдение за работами осуществлял полков</w:t>
      </w:r>
      <w:r w:rsidRPr="00405303">
        <w:rPr>
          <w:bCs/>
          <w:color w:val="002060"/>
          <w:sz w:val="16"/>
          <w:szCs w:val="16"/>
          <w:lang w:val="ru-RU"/>
        </w:rPr>
        <w:softHyphen/>
        <w:t>ник корпуса корабельных инжене</w:t>
      </w:r>
      <w:r w:rsidRPr="00405303">
        <w:rPr>
          <w:bCs/>
          <w:color w:val="002060"/>
          <w:sz w:val="16"/>
          <w:szCs w:val="16"/>
          <w:lang w:val="ru-RU"/>
        </w:rPr>
        <w:softHyphen/>
        <w:t>ров И.Е.Храповицкий. Специалисты Путиловской верфи установили новые кильблоки для М-9 и устрой</w:t>
      </w:r>
      <w:r w:rsidRPr="00405303">
        <w:rPr>
          <w:bCs/>
          <w:color w:val="002060"/>
          <w:sz w:val="16"/>
          <w:szCs w:val="16"/>
          <w:lang w:val="ru-RU"/>
        </w:rPr>
        <w:softHyphen/>
        <w:t>ства для их крепления по-походно</w:t>
      </w:r>
      <w:r w:rsidRPr="00405303">
        <w:rPr>
          <w:bCs/>
          <w:color w:val="002060"/>
          <w:sz w:val="16"/>
          <w:szCs w:val="16"/>
          <w:lang w:val="ru-RU"/>
        </w:rPr>
        <w:softHyphen/>
        <w:t>му. Гаки с карабинами для спуска и подъема гидросамолетов заменили более мощными. «Орлица» прини</w:t>
      </w:r>
      <w:r w:rsidRPr="00405303">
        <w:rPr>
          <w:bCs/>
          <w:color w:val="002060"/>
          <w:sz w:val="16"/>
          <w:szCs w:val="16"/>
          <w:lang w:val="ru-RU"/>
        </w:rPr>
        <w:softHyphen/>
        <w:t>мала участие в боевых действиях, а в апреле 1918 г. в составе одно</w:t>
      </w:r>
      <w:r w:rsidRPr="00405303">
        <w:rPr>
          <w:bCs/>
          <w:color w:val="002060"/>
          <w:sz w:val="16"/>
          <w:szCs w:val="16"/>
          <w:lang w:val="ru-RU"/>
        </w:rPr>
        <w:softHyphen/>
        <w:t>го из эшелонов Ледового похода перешла в Кронштадт. В начале августа 1918 г. «Орлицу» разору</w:t>
      </w:r>
      <w:r w:rsidRPr="00405303">
        <w:rPr>
          <w:bCs/>
          <w:color w:val="002060"/>
          <w:sz w:val="16"/>
          <w:szCs w:val="16"/>
          <w:lang w:val="ru-RU"/>
        </w:rPr>
        <w:softHyphen/>
        <w:t>жили, передали Главному управле</w:t>
      </w:r>
      <w:r w:rsidRPr="00405303">
        <w:rPr>
          <w:bCs/>
          <w:color w:val="002060"/>
          <w:sz w:val="16"/>
          <w:szCs w:val="16"/>
          <w:lang w:val="ru-RU"/>
        </w:rPr>
        <w:softHyphen/>
        <w:t>нию водного транспорта Народно</w:t>
      </w:r>
      <w:r w:rsidRPr="00405303">
        <w:rPr>
          <w:bCs/>
          <w:color w:val="002060"/>
          <w:sz w:val="16"/>
          <w:szCs w:val="16"/>
          <w:lang w:val="ru-RU"/>
        </w:rPr>
        <w:softHyphen/>
        <w:t>го комиссариата путей сообщения и переименовали в «Совет». Паро</w:t>
      </w:r>
      <w:r w:rsidRPr="00405303">
        <w:rPr>
          <w:bCs/>
          <w:color w:val="002060"/>
          <w:sz w:val="16"/>
          <w:szCs w:val="16"/>
          <w:lang w:val="ru-RU"/>
        </w:rPr>
        <w:softHyphen/>
        <w:t>ход выполнял грузо-пассажирские перевозки, числясь в Балтийском морском пароходстве. В 1930 г. «Со</w:t>
      </w:r>
      <w:r w:rsidRPr="00405303">
        <w:rPr>
          <w:bCs/>
          <w:color w:val="002060"/>
          <w:sz w:val="16"/>
          <w:szCs w:val="16"/>
          <w:lang w:val="ru-RU"/>
        </w:rPr>
        <w:softHyphen/>
        <w:t>вет» перешел с Балтики во Влади</w:t>
      </w:r>
      <w:r w:rsidRPr="00405303">
        <w:rPr>
          <w:bCs/>
          <w:color w:val="002060"/>
          <w:sz w:val="16"/>
          <w:szCs w:val="16"/>
          <w:lang w:val="ru-RU"/>
        </w:rPr>
        <w:softHyphen/>
        <w:t>восток и вошел в состав Дальнево</w:t>
      </w:r>
      <w:r w:rsidRPr="00405303">
        <w:rPr>
          <w:bCs/>
          <w:color w:val="002060"/>
          <w:sz w:val="16"/>
          <w:szCs w:val="16"/>
          <w:lang w:val="ru-RU"/>
        </w:rPr>
        <w:softHyphen/>
        <w:t>сточного морского пароходства. Судно обслуживало экспрессную линию Владивосток — Совгавань — Александровск, а также перевози</w:t>
      </w:r>
      <w:r w:rsidRPr="00405303">
        <w:rPr>
          <w:bCs/>
          <w:color w:val="002060"/>
          <w:sz w:val="16"/>
          <w:szCs w:val="16"/>
          <w:lang w:val="ru-RU"/>
        </w:rPr>
        <w:softHyphen/>
        <w:t>ло людей и грузы на линиях Влади</w:t>
      </w:r>
      <w:r w:rsidRPr="00405303">
        <w:rPr>
          <w:bCs/>
          <w:color w:val="002060"/>
          <w:sz w:val="16"/>
          <w:szCs w:val="16"/>
          <w:lang w:val="ru-RU"/>
        </w:rPr>
        <w:softHyphen/>
        <w:t>восток — Нагаево и Владивосток — Петропавловск. В феврале 1934 г. «Совет» под командованием капи</w:t>
      </w:r>
      <w:r w:rsidRPr="00405303">
        <w:rPr>
          <w:bCs/>
          <w:color w:val="002060"/>
          <w:sz w:val="16"/>
          <w:szCs w:val="16"/>
          <w:lang w:val="ru-RU"/>
        </w:rPr>
        <w:softHyphen/>
        <w:t>тана В.П.Сиднева с дирижаблями на борту вышел к берегам Чукотки для участия в операции по спасе</w:t>
      </w:r>
      <w:r w:rsidRPr="00405303">
        <w:rPr>
          <w:bCs/>
          <w:color w:val="002060"/>
          <w:sz w:val="16"/>
          <w:szCs w:val="16"/>
          <w:lang w:val="ru-RU"/>
        </w:rPr>
        <w:softHyphen/>
        <w:t>нию пассажиров и экипажа паро</w:t>
      </w:r>
      <w:r w:rsidRPr="00405303">
        <w:rPr>
          <w:bCs/>
          <w:color w:val="002060"/>
          <w:sz w:val="16"/>
          <w:szCs w:val="16"/>
          <w:lang w:val="ru-RU"/>
        </w:rPr>
        <w:softHyphen/>
        <w:t>хода «Челюскин». В Охотском море обнаружились неполадки в силовой установке, и «Совет» зашел в Пет</w:t>
      </w:r>
      <w:r w:rsidRPr="00405303">
        <w:rPr>
          <w:bCs/>
          <w:color w:val="002060"/>
          <w:sz w:val="16"/>
          <w:szCs w:val="16"/>
          <w:lang w:val="ru-RU"/>
        </w:rPr>
        <w:softHyphen/>
        <w:t>ропавловск-Камчатский, где сдал груз, после чего судно поставили на длительный ремонт. В конце июля 1938 г., во время советско-японско</w:t>
      </w:r>
      <w:r w:rsidRPr="00405303">
        <w:rPr>
          <w:bCs/>
          <w:color w:val="002060"/>
          <w:sz w:val="16"/>
          <w:szCs w:val="16"/>
          <w:lang w:val="ru-RU"/>
        </w:rPr>
        <w:softHyphen/>
        <w:t>го вооруженного конфликта у озе</w:t>
      </w:r>
      <w:r w:rsidRPr="00405303">
        <w:rPr>
          <w:bCs/>
          <w:color w:val="002060"/>
          <w:sz w:val="16"/>
          <w:szCs w:val="16"/>
          <w:lang w:val="ru-RU"/>
        </w:rPr>
        <w:softHyphen/>
        <w:t>ра Хасан, пароход занимался пе</w:t>
      </w:r>
      <w:r w:rsidRPr="00405303">
        <w:rPr>
          <w:bCs/>
          <w:color w:val="002060"/>
          <w:sz w:val="16"/>
          <w:szCs w:val="16"/>
          <w:lang w:val="ru-RU"/>
        </w:rPr>
        <w:softHyphen/>
        <w:t>ревозкой войск, оружия, боеприпа</w:t>
      </w:r>
      <w:r w:rsidRPr="00405303">
        <w:rPr>
          <w:bCs/>
          <w:color w:val="002060"/>
          <w:sz w:val="16"/>
          <w:szCs w:val="16"/>
          <w:lang w:val="ru-RU"/>
        </w:rPr>
        <w:softHyphen/>
        <w:t>сов и военной техники. В годы Ве</w:t>
      </w:r>
      <w:r w:rsidRPr="00405303">
        <w:rPr>
          <w:bCs/>
          <w:color w:val="002060"/>
          <w:sz w:val="16"/>
          <w:szCs w:val="16"/>
          <w:lang w:val="ru-RU"/>
        </w:rPr>
        <w:softHyphen/>
        <w:t>ликой Отечественной войны судно, по-видимому, не совершало даль</w:t>
      </w:r>
      <w:r w:rsidRPr="00405303">
        <w:rPr>
          <w:bCs/>
          <w:color w:val="002060"/>
          <w:sz w:val="16"/>
          <w:szCs w:val="16"/>
          <w:lang w:val="ru-RU"/>
        </w:rPr>
        <w:softHyphen/>
        <w:t>них плаваний. Его списали на ме</w:t>
      </w:r>
      <w:r w:rsidRPr="00405303">
        <w:rPr>
          <w:bCs/>
          <w:color w:val="002060"/>
          <w:sz w:val="16"/>
          <w:szCs w:val="16"/>
          <w:lang w:val="ru-RU"/>
        </w:rPr>
        <w:softHyphen/>
        <w:t>таллолом в 1964 г. (напомним, что построен пароход был в 1903 г.) (11925).</w:t>
      </w:r>
    </w:p>
    <w:p w14:paraId="60182E16" w14:textId="77777777" w:rsidR="00977D3E" w:rsidRPr="00405303" w:rsidRDefault="00977D3E" w:rsidP="00C15251">
      <w:pPr>
        <w:pStyle w:val="a5"/>
        <w:rPr>
          <w:bCs/>
          <w:color w:val="002060"/>
          <w:sz w:val="16"/>
          <w:szCs w:val="16"/>
          <w:lang w:val="ru-RU"/>
        </w:rPr>
      </w:pPr>
    </w:p>
    <w:p w14:paraId="1AACE606" w14:textId="77777777" w:rsidR="00DC4F95" w:rsidRPr="00405303" w:rsidRDefault="00DC4F95" w:rsidP="00C15251">
      <w:pPr>
        <w:jc w:val="both"/>
        <w:rPr>
          <w:bCs/>
          <w:i/>
          <w:color w:val="002060"/>
          <w:sz w:val="16"/>
          <w:szCs w:val="16"/>
        </w:rPr>
      </w:pPr>
      <w:r w:rsidRPr="00405303">
        <w:rPr>
          <w:bCs/>
          <w:i/>
          <w:color w:val="002060"/>
          <w:sz w:val="16"/>
          <w:szCs w:val="16"/>
        </w:rPr>
        <w:t>Армия:</w:t>
      </w:r>
    </w:p>
    <w:p w14:paraId="76013A76" w14:textId="77777777" w:rsidR="00DC4F95" w:rsidRPr="00405303" w:rsidRDefault="00DC4F95" w:rsidP="00C15251">
      <w:pPr>
        <w:jc w:val="both"/>
        <w:rPr>
          <w:bCs/>
          <w:i/>
          <w:color w:val="002060"/>
          <w:sz w:val="16"/>
          <w:szCs w:val="16"/>
        </w:rPr>
      </w:pPr>
    </w:p>
    <w:p w14:paraId="282CA93E" w14:textId="253CA376" w:rsidR="00DC4F95" w:rsidRPr="00405303" w:rsidRDefault="00DC4F95" w:rsidP="00C15251">
      <w:pPr>
        <w:jc w:val="both"/>
        <w:rPr>
          <w:bCs/>
          <w:color w:val="002060"/>
          <w:sz w:val="16"/>
          <w:szCs w:val="16"/>
        </w:rPr>
      </w:pPr>
      <w:r w:rsidRPr="00405303">
        <w:rPr>
          <w:bCs/>
          <w:color w:val="002060"/>
          <w:sz w:val="16"/>
          <w:szCs w:val="16"/>
        </w:rPr>
        <w:t xml:space="preserve">25 января </w:t>
      </w:r>
      <w:r w:rsidR="006F372A" w:rsidRPr="00405303">
        <w:rPr>
          <w:bCs/>
          <w:color w:val="002060"/>
          <w:sz w:val="16"/>
          <w:szCs w:val="16"/>
        </w:rPr>
        <w:t xml:space="preserve">(7 февраля) </w:t>
      </w:r>
      <w:r w:rsidRPr="00405303">
        <w:rPr>
          <w:bCs/>
          <w:color w:val="002060"/>
          <w:sz w:val="16"/>
          <w:szCs w:val="16"/>
        </w:rPr>
        <w:t>в 1915 году начинается Августовская (Восточно-Прусская) операция русской армии (Северо-Западный фронт) в Восточной Пруссии во время 1-й мировой войны. Закончится 13 февраля 1915. В результате германскому командованию не удастся уничтожить 10-ю русскую армию (1 кавалерийская и 14 пехотных дивизий) и обойти войска Северо-Западного фронта (15020).</w:t>
      </w:r>
    </w:p>
    <w:p w14:paraId="54658A69" w14:textId="77777777" w:rsidR="00DC4F95" w:rsidRPr="00405303" w:rsidRDefault="00DC4F95" w:rsidP="00C15251">
      <w:pPr>
        <w:jc w:val="both"/>
        <w:rPr>
          <w:bCs/>
          <w:color w:val="002060"/>
          <w:sz w:val="16"/>
          <w:szCs w:val="16"/>
        </w:rPr>
      </w:pPr>
    </w:p>
    <w:p w14:paraId="1DBED2D8" w14:textId="4729607F" w:rsidR="00C949AE" w:rsidRPr="00405303" w:rsidRDefault="00C949AE" w:rsidP="00C15251">
      <w:pPr>
        <w:jc w:val="both"/>
        <w:rPr>
          <w:bCs/>
          <w:color w:val="002060"/>
          <w:sz w:val="16"/>
          <w:szCs w:val="16"/>
        </w:rPr>
      </w:pPr>
      <w:r w:rsidRPr="00405303">
        <w:rPr>
          <w:bCs/>
          <w:color w:val="002060"/>
          <w:sz w:val="16"/>
          <w:szCs w:val="16"/>
          <w:lang w:bidi="en-US"/>
        </w:rPr>
        <w:t>25 января (7 февраля) 1915 г. в Восточной Пруссии немецкая 8-я армия и вновь сформированная 10-я армия начали наступление на 10-ю русскую армию в районе Мазурского озера. Бои продолжались до 28 числа с большими потерями с обеих сторон (23525).</w:t>
      </w:r>
    </w:p>
    <w:p w14:paraId="3CAB6011" w14:textId="77777777" w:rsidR="00C949AE" w:rsidRPr="00405303" w:rsidRDefault="00C949AE" w:rsidP="00C15251">
      <w:pPr>
        <w:jc w:val="both"/>
        <w:rPr>
          <w:bCs/>
          <w:color w:val="002060"/>
          <w:sz w:val="16"/>
          <w:szCs w:val="16"/>
        </w:rPr>
      </w:pPr>
    </w:p>
    <w:p w14:paraId="4120E1DF" w14:textId="77777777" w:rsidR="00D82574" w:rsidRPr="00405303" w:rsidRDefault="00D82574" w:rsidP="00D82574">
      <w:pPr>
        <w:jc w:val="both"/>
        <w:rPr>
          <w:color w:val="0070C0"/>
          <w:sz w:val="16"/>
          <w:szCs w:val="16"/>
        </w:rPr>
      </w:pPr>
      <w:r w:rsidRPr="00405303">
        <w:rPr>
          <w:color w:val="0070C0"/>
          <w:sz w:val="16"/>
          <w:szCs w:val="16"/>
        </w:rPr>
        <w:t>25 января (7 февраля) 1915 года началось немецкое на</w:t>
      </w:r>
      <w:r w:rsidRPr="00405303">
        <w:rPr>
          <w:color w:val="0070C0"/>
          <w:sz w:val="16"/>
          <w:szCs w:val="16"/>
        </w:rPr>
        <w:softHyphen/>
        <w:t>ступление в районе города Августов. Пла</w:t>
      </w:r>
      <w:r w:rsidRPr="00405303">
        <w:rPr>
          <w:color w:val="0070C0"/>
          <w:sz w:val="16"/>
          <w:szCs w:val="16"/>
        </w:rPr>
        <w:softHyphen/>
        <w:t>ном немецкого командования предусматри</w:t>
      </w:r>
      <w:r w:rsidRPr="00405303">
        <w:rPr>
          <w:color w:val="0070C0"/>
          <w:sz w:val="16"/>
          <w:szCs w:val="16"/>
        </w:rPr>
        <w:softHyphen/>
        <w:t>валось окружить и уничтожить 10-ю армию, после чего разгромить весь Северо-Запад</w:t>
      </w:r>
      <w:r w:rsidRPr="00405303">
        <w:rPr>
          <w:color w:val="0070C0"/>
          <w:sz w:val="16"/>
          <w:szCs w:val="16"/>
        </w:rPr>
        <w:softHyphen/>
        <w:t>ный фронт. Однако благодаря стойкости рус</w:t>
      </w:r>
      <w:r w:rsidRPr="00405303">
        <w:rPr>
          <w:color w:val="0070C0"/>
          <w:sz w:val="16"/>
          <w:szCs w:val="16"/>
        </w:rPr>
        <w:softHyphen/>
        <w:t>ских войск выполнить задачу немцы не смог</w:t>
      </w:r>
      <w:r w:rsidRPr="00405303">
        <w:rPr>
          <w:color w:val="0070C0"/>
          <w:sz w:val="16"/>
          <w:szCs w:val="16"/>
        </w:rPr>
        <w:softHyphen/>
        <w:t>ли. Тяжелые сражения шли до 26 февра</w:t>
      </w:r>
      <w:r w:rsidRPr="00405303">
        <w:rPr>
          <w:color w:val="0070C0"/>
          <w:sz w:val="16"/>
          <w:szCs w:val="16"/>
        </w:rPr>
        <w:softHyphen/>
        <w:t>ля (25008).</w:t>
      </w:r>
    </w:p>
    <w:p w14:paraId="25861110" w14:textId="77777777" w:rsidR="00D82574" w:rsidRPr="00405303" w:rsidRDefault="00D82574" w:rsidP="00D82574">
      <w:pPr>
        <w:jc w:val="both"/>
        <w:rPr>
          <w:color w:val="0070C0"/>
          <w:sz w:val="16"/>
          <w:szCs w:val="16"/>
        </w:rPr>
      </w:pPr>
    </w:p>
    <w:p w14:paraId="567BC4A5" w14:textId="7B6ADD20" w:rsidR="00DC4F95" w:rsidRPr="00405303" w:rsidRDefault="00DC4F95" w:rsidP="00C15251">
      <w:pPr>
        <w:jc w:val="both"/>
        <w:rPr>
          <w:bCs/>
          <w:color w:val="002060"/>
          <w:sz w:val="16"/>
          <w:szCs w:val="16"/>
        </w:rPr>
      </w:pPr>
      <w:r w:rsidRPr="00405303">
        <w:rPr>
          <w:bCs/>
          <w:color w:val="002060"/>
          <w:sz w:val="16"/>
          <w:szCs w:val="16"/>
        </w:rPr>
        <w:t xml:space="preserve">25 января </w:t>
      </w:r>
      <w:r w:rsidR="006F372A" w:rsidRPr="00405303">
        <w:rPr>
          <w:bCs/>
          <w:color w:val="002060"/>
          <w:sz w:val="16"/>
          <w:szCs w:val="16"/>
        </w:rPr>
        <w:t xml:space="preserve">(7 февраля) </w:t>
      </w:r>
      <w:r w:rsidRPr="00405303">
        <w:rPr>
          <w:bCs/>
          <w:color w:val="002060"/>
          <w:sz w:val="16"/>
          <w:szCs w:val="16"/>
        </w:rPr>
        <w:t>в 1915 году в период Первой мировой войны на Балтике на выставленных русскими моряками минах подорвались германские крейсера "Аугсбург" и "Газелле". Ремонт последнего был признан нецелесообразным, и его сдали на слом (15020).</w:t>
      </w:r>
    </w:p>
    <w:p w14:paraId="6533DA5C" w14:textId="77777777" w:rsidR="00DC4F95" w:rsidRPr="00405303" w:rsidRDefault="00DC4F95" w:rsidP="00C15251">
      <w:pPr>
        <w:jc w:val="both"/>
        <w:rPr>
          <w:bCs/>
          <w:color w:val="002060"/>
          <w:sz w:val="16"/>
          <w:szCs w:val="16"/>
        </w:rPr>
      </w:pPr>
    </w:p>
    <w:p w14:paraId="79C0F2F4" w14:textId="269492BB" w:rsidR="00C75EFF" w:rsidRPr="00405303" w:rsidRDefault="00C75EFF" w:rsidP="00C15251">
      <w:pPr>
        <w:jc w:val="both"/>
        <w:rPr>
          <w:bCs/>
          <w:i/>
          <w:color w:val="002060"/>
          <w:sz w:val="16"/>
          <w:szCs w:val="16"/>
        </w:rPr>
      </w:pPr>
      <w:r w:rsidRPr="00405303">
        <w:rPr>
          <w:bCs/>
          <w:i/>
          <w:color w:val="002060"/>
          <w:sz w:val="16"/>
          <w:szCs w:val="16"/>
        </w:rPr>
        <w:t>Автация:</w:t>
      </w:r>
    </w:p>
    <w:p w14:paraId="6D4409D7" w14:textId="77777777" w:rsidR="00C75EFF" w:rsidRPr="00405303" w:rsidRDefault="00C75EFF" w:rsidP="00C15251">
      <w:pPr>
        <w:jc w:val="both"/>
        <w:rPr>
          <w:bCs/>
          <w:i/>
          <w:color w:val="002060"/>
          <w:sz w:val="16"/>
          <w:szCs w:val="16"/>
        </w:rPr>
      </w:pPr>
    </w:p>
    <w:p w14:paraId="663A7C1B" w14:textId="39762A36" w:rsidR="00C75EFF" w:rsidRPr="00405303" w:rsidRDefault="00C75EFF" w:rsidP="00C15251">
      <w:pPr>
        <w:jc w:val="both"/>
        <w:rPr>
          <w:bCs/>
          <w:color w:val="002060"/>
          <w:sz w:val="16"/>
          <w:szCs w:val="16"/>
        </w:rPr>
      </w:pPr>
      <w:r w:rsidRPr="00405303">
        <w:rPr>
          <w:bCs/>
          <w:color w:val="002060"/>
          <w:sz w:val="16"/>
          <w:szCs w:val="16"/>
        </w:rPr>
        <w:t xml:space="preserve">25 января </w:t>
      </w:r>
      <w:r w:rsidR="00C949AE" w:rsidRPr="00405303">
        <w:rPr>
          <w:bCs/>
          <w:color w:val="002060"/>
          <w:sz w:val="16"/>
          <w:szCs w:val="16"/>
        </w:rPr>
        <w:t xml:space="preserve">(7 февраля) </w:t>
      </w:r>
      <w:r w:rsidRPr="00405303">
        <w:rPr>
          <w:bCs/>
          <w:color w:val="002060"/>
          <w:sz w:val="16"/>
          <w:szCs w:val="16"/>
        </w:rPr>
        <w:t>1915 г. немецкий дирижабль PL-19 совершил бомбардировку военных объектов г. Либава (Лиепая, Курляндия), сбросив на них 9 бомб с причинением незначительного вреда. На обратном пути к прусской границе дирижабль попал под зенитный огонь нашей береговой артиллерии и упал в море в 1,5 км от береговой кромки, где его окончательно расстреляли и потопили прибывшие из Либавы буксиры. Весь экипаж дирижабля (7 человек: капитан 2-го ранга Мейер (командир корабля), наблюдатель - лейтенант Ратсольд, лейтенанты Шенк, Лиман и Гиссов и три матроса) был взят в плен. Позднее потопленный воздушный корабль был благополучно извлечен со дна.</w:t>
      </w:r>
    </w:p>
    <w:p w14:paraId="6CB81383" w14:textId="77777777" w:rsidR="00C75EFF" w:rsidRPr="00405303" w:rsidRDefault="00C75EFF" w:rsidP="00C15251">
      <w:pPr>
        <w:jc w:val="both"/>
        <w:rPr>
          <w:bCs/>
          <w:color w:val="002060"/>
          <w:sz w:val="16"/>
          <w:szCs w:val="16"/>
        </w:rPr>
      </w:pPr>
      <w:r w:rsidRPr="00405303">
        <w:rPr>
          <w:bCs/>
          <w:color w:val="002060"/>
          <w:sz w:val="16"/>
          <w:szCs w:val="16"/>
        </w:rPr>
        <w:t>Личный состав, участвовавший в уничтожении вражеского дирижабля, был представлен к знакам отличия, в их числе: капитаны 2-го ранга Г.А. Юровский и А.Н. Никифораки, штабс-капитан Г.И. Тарасевич. Георгиевскими крестами и медалями была награждена вся команда портовых судов, в их числе пограничник с Виргенского поста младший вахмистр Сергеев, непосредственно подстреливший неприятельский воздушный корабль. За этот подвиг он удостоился сразу двух Георгиевских крестов - III и IV степеней. По некоторым сведениям, герой получил награды лично из рук императора Николая II 25 января того же года при посещении последнего Ставки ВГК в Барановичах.</w:t>
      </w:r>
    </w:p>
    <w:p w14:paraId="6CD18485" w14:textId="77777777" w:rsidR="00C75EFF" w:rsidRPr="00405303" w:rsidRDefault="00C75EFF" w:rsidP="00C15251">
      <w:pPr>
        <w:jc w:val="both"/>
        <w:rPr>
          <w:bCs/>
          <w:color w:val="002060"/>
          <w:sz w:val="16"/>
          <w:szCs w:val="16"/>
        </w:rPr>
      </w:pPr>
      <w:r w:rsidRPr="00405303">
        <w:rPr>
          <w:bCs/>
          <w:color w:val="002060"/>
          <w:sz w:val="16"/>
          <w:szCs w:val="16"/>
        </w:rPr>
        <w:t>Уничтожение германского воздушного корабля под Либавой вызвало широкий резонанс в российской печати. Первоначально, до получения более достоверных сведений, всех мучил один вопрос: кто погиб под Либавой? Именно под таким заголовком вышла статья на страницах газеты «Русский инвалид». В ней, в частности, отмечалось: «Дирижабль, обстрелянный бравыми пограничными, затонул слишком быстро». Именно это обстоятельство стало причиной «нераспознания типа этого судна с самого начала».</w:t>
      </w:r>
    </w:p>
    <w:p w14:paraId="3CD5CCF1" w14:textId="77777777" w:rsidR="00C75EFF" w:rsidRPr="00405303" w:rsidRDefault="00C75EFF" w:rsidP="00C15251">
      <w:pPr>
        <w:jc w:val="both"/>
        <w:rPr>
          <w:bCs/>
          <w:color w:val="002060"/>
          <w:sz w:val="16"/>
          <w:szCs w:val="16"/>
        </w:rPr>
      </w:pPr>
      <w:r w:rsidRPr="00405303">
        <w:rPr>
          <w:bCs/>
          <w:color w:val="002060"/>
          <w:sz w:val="16"/>
          <w:szCs w:val="16"/>
        </w:rPr>
        <w:t>В ходе дальнейшего расследования было установлено, что данный тип воздушного корабля относился к системе «Парсеваль» мягкой конструкции. Летом 1914 г. три таких дирижабля были построены на заводе Luftfahrzeug-Gesellschaft (около г. Берлин, Германия). Последующий заказ (еще три воздушных корабля) для иностранных армий с началом войны был приостановлен. В результате изготовленный к этому времени дирижабль (№ 19) был передан военному ведомству и отправлен в г. Кёнигсберг (Калиниград). Воздушный корабль, оснащенный двумя моторами фирмы «Майбах», при полезной нагрузке в 2,6 тонны мог развивать скорость до 76,6 км/ час.</w:t>
      </w:r>
    </w:p>
    <w:p w14:paraId="7123FF4E" w14:textId="77777777" w:rsidR="00C75EFF" w:rsidRPr="00405303" w:rsidRDefault="00C75EFF" w:rsidP="00C15251">
      <w:pPr>
        <w:jc w:val="both"/>
        <w:rPr>
          <w:bCs/>
          <w:color w:val="002060"/>
          <w:sz w:val="16"/>
          <w:szCs w:val="16"/>
        </w:rPr>
      </w:pPr>
      <w:r w:rsidRPr="00405303">
        <w:rPr>
          <w:bCs/>
          <w:color w:val="002060"/>
          <w:sz w:val="16"/>
          <w:szCs w:val="16"/>
        </w:rPr>
        <w:t>Как отмечалось в вышеупомянутой статье: «Наглость экипажа - из коего, как оказывается, часть жила до войны в Либаве, - была настолько велика, что они шли над городом на ничтожной высоте в 150-200 метра. Публика видела отчетливо всю арматуру дирижабля и в отдельности каждого человека из экипажа. Это явно доказывает, как сильно были уверены на дирижабле в полной беззащитности того города, на который они напали, как воры-домушники, предварительно ознакомившись до войны, в качестве гостей, со всем внутренним порядком и устройством в этом месте».</w:t>
      </w:r>
    </w:p>
    <w:p w14:paraId="0D0657AA" w14:textId="77777777" w:rsidR="00C75EFF" w:rsidRPr="00405303" w:rsidRDefault="00C75EFF" w:rsidP="00C15251">
      <w:pPr>
        <w:jc w:val="both"/>
        <w:rPr>
          <w:bCs/>
          <w:color w:val="002060"/>
          <w:sz w:val="16"/>
          <w:szCs w:val="16"/>
        </w:rPr>
      </w:pPr>
      <w:bookmarkStart w:id="20" w:name="bookmark64"/>
      <w:bookmarkStart w:id="21" w:name="bookmark65"/>
      <w:bookmarkStart w:id="22" w:name="bookmark66"/>
      <w:bookmarkStart w:id="23" w:name="bookmark67"/>
      <w:r w:rsidRPr="00405303">
        <w:rPr>
          <w:bCs/>
          <w:color w:val="002060"/>
          <w:sz w:val="16"/>
          <w:szCs w:val="16"/>
        </w:rPr>
        <w:t>На этот раз удача отвернулась от немецких аэронавтов, и война для них быстро закончилась. По сообщениям представителей Главного управления Генерального штаба, «вопрос о предании военно-полевому суду военнопленных с подбитого у Либавы германского управляемого аэростата у начальства, в ведении коего находятся названные военнопленные, не возникал». При этом командир Либавского военного порта генерал-майор В.М. Форсель, по определенным сведениям, попытался устроить пленным немецким аэронавтам торжественный обед с участием своих подчиненных. Это вызвало возмущение среди офицерского состава гарнизона и повлекло за собой служебное расследование. По распоряжению Фор-селя плененный экипаж германского дирижабля был доставлен из Либавы в Ригу в вагоне 1-го класса (по другим данным - 2-го класса) № 54 Средне-Азиатской железной дороги. 27 января он по прибытии в российскую столицу был помещен в Петроградскую крепость (23405).</w:t>
      </w:r>
      <w:bookmarkEnd w:id="20"/>
      <w:bookmarkEnd w:id="21"/>
      <w:bookmarkEnd w:id="22"/>
      <w:bookmarkEnd w:id="23"/>
    </w:p>
    <w:p w14:paraId="475DBFD7" w14:textId="77777777" w:rsidR="00C75EFF" w:rsidRPr="00405303" w:rsidRDefault="00C75EFF" w:rsidP="00C15251">
      <w:pPr>
        <w:jc w:val="both"/>
        <w:rPr>
          <w:bCs/>
          <w:color w:val="002060"/>
          <w:sz w:val="16"/>
          <w:szCs w:val="16"/>
          <w:lang w:bidi="ru-RU"/>
        </w:rPr>
      </w:pPr>
    </w:p>
    <w:p w14:paraId="729585F3" w14:textId="77777777" w:rsidR="00C75EFF" w:rsidRPr="00405303" w:rsidRDefault="00C75EFF" w:rsidP="00C15251">
      <w:pPr>
        <w:jc w:val="both"/>
        <w:rPr>
          <w:bCs/>
          <w:color w:val="002060"/>
          <w:sz w:val="16"/>
          <w:szCs w:val="16"/>
          <w:lang w:bidi="en-US"/>
        </w:rPr>
      </w:pPr>
      <w:r w:rsidRPr="00405303">
        <w:rPr>
          <w:bCs/>
          <w:color w:val="002060"/>
          <w:sz w:val="16"/>
          <w:szCs w:val="16"/>
          <w:lang w:bidi="en-US"/>
        </w:rPr>
        <w:t xml:space="preserve">25 января 1915 г. в Балтийском море немецкий дирижабль </w:t>
      </w:r>
      <w:r w:rsidRPr="00405303">
        <w:rPr>
          <w:bCs/>
          <w:color w:val="002060"/>
          <w:sz w:val="16"/>
          <w:szCs w:val="16"/>
          <w:lang w:val="en-US" w:bidi="en-US"/>
        </w:rPr>
        <w:t>PL</w:t>
      </w:r>
      <w:r w:rsidRPr="00405303">
        <w:rPr>
          <w:bCs/>
          <w:color w:val="002060"/>
          <w:sz w:val="16"/>
          <w:szCs w:val="16"/>
          <w:lang w:bidi="en-US"/>
        </w:rPr>
        <w:t>. 19 (военно-морской экипаж) потерпел крушение в 11 км к западу от Либавы из-за сильного обледенения и проблем с двигателем. Два вооруженных российских буксира обстреляли дирижабль, и экипаж из семи человек сдался (23525).</w:t>
      </w:r>
    </w:p>
    <w:p w14:paraId="6D40BC3A" w14:textId="77777777" w:rsidR="00C75EFF" w:rsidRPr="00405303" w:rsidRDefault="00C75EFF" w:rsidP="00C15251">
      <w:pPr>
        <w:jc w:val="both"/>
        <w:rPr>
          <w:bCs/>
          <w:color w:val="002060"/>
          <w:sz w:val="16"/>
          <w:szCs w:val="16"/>
        </w:rPr>
      </w:pPr>
    </w:p>
    <w:p w14:paraId="114CF542" w14:textId="7A3563D6"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5069A5CA" w14:textId="77777777" w:rsidR="004B4E35" w:rsidRPr="00405303" w:rsidRDefault="004B4E35" w:rsidP="00C15251">
      <w:pPr>
        <w:jc w:val="both"/>
        <w:rPr>
          <w:bCs/>
          <w:i/>
          <w:color w:val="002060"/>
          <w:sz w:val="16"/>
          <w:szCs w:val="16"/>
        </w:rPr>
      </w:pPr>
    </w:p>
    <w:p w14:paraId="5FCCBC23" w14:textId="7F9CDEF2"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26 января (8 февраля) 1915 г. ген. Рубан </w:t>
      </w:r>
      <w:r w:rsidR="006F372A" w:rsidRPr="00405303">
        <w:rPr>
          <w:bCs/>
          <w:i w:val="0"/>
          <w:color w:val="002060"/>
          <w:spacing w:val="0"/>
          <w:kern w:val="0"/>
          <w:position w:val="0"/>
          <w:sz w:val="16"/>
          <w:szCs w:val="16"/>
        </w:rPr>
        <w:t xml:space="preserve">телеграммою </w:t>
      </w:r>
      <w:r w:rsidRPr="00405303">
        <w:rPr>
          <w:bCs/>
          <w:i w:val="0"/>
          <w:color w:val="002060"/>
          <w:spacing w:val="0"/>
          <w:kern w:val="0"/>
          <w:position w:val="0"/>
          <w:sz w:val="16"/>
          <w:szCs w:val="16"/>
        </w:rPr>
        <w:t xml:space="preserve">донес, что лорд Китченер предлагает заказать через канадское правительство 5 млн. пушечных патронов. </w:t>
      </w:r>
    </w:p>
    <w:p w14:paraId="4C5A6A8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13 марта того же года лорд Китченер предложил председателю Особой распорядительной комиссии заказать в Америке еще 5 млн. снарядов; на это председатель ответил, что давать заказы на снаряды за границей более не предполагается, ибо общее количество заказанных снарядов уже достигло 10 млн. </w:t>
      </w:r>
    </w:p>
    <w:p w14:paraId="43B662E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Лорд Китченер, ожидая со стороны поставщиков больших запозданий в сдачах, считал эти заказы недостаточными и настаивал на возможно скором принятии предложений, о чем телеграфировал и в Ставку верховного главнокомандующего. Вследствие этого председатель комиссии отправил в Ставку телеграмму следующего содержания: </w:t>
      </w:r>
    </w:p>
    <w:p w14:paraId="46FD6D9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"Телеграмма Китченера мне была доставлена майором Ноксом три дня назад. Ответ дан в тот же день отрицательный, так как решил прекратить дальнейшие заказы на пушечные патроны за границей, которых уже дано на 9.800.000. Все эти заказы в срок сданы не будут, что уже доказали Виккерс и Шнейдер. Американские фирмы также все просрочили. Если еще дать заказы в Америке, то выполнения их можно ожидать не ранее как через восемь-двенадцать месяцев. Из перехваченных военной цензурой телеграмм мне известно, что американские заводы настолько завалены заказами с континента, что они не в состоянии что-либо выполнить ранее 1916 г. </w:t>
      </w:r>
    </w:p>
    <w:p w14:paraId="0363329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Во всех контрактах обусловлено наше право в случае надобности продолжить их на новое количество. Указание лорда Китченера на медленную работу машин и затруднения с рабочими неточно. По донесению нашего приемщика, месяц назад еще половина зданий не была готова, и оборудование машинами не поставлено". </w:t>
      </w:r>
    </w:p>
    <w:p w14:paraId="0F98D62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Указывая затем на несколько неисполненных таким образом контрактов, председатель обращал внимание наштаверха на то, "как заманчиво обусловливают все фирмы свои поставки при даче заказов и как эти заказы выполняются после закрепления за ними денег". </w:t>
      </w:r>
    </w:p>
    <w:p w14:paraId="755C3CF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Председатель комиссии просил доложить обо всем изложенном главковерху и заключал телеграмму следующими словами: "Если верховный главнокомандующий найдет мое решение, неправильным, то испрашиваю повеления на продолжение заграничных заказов". </w:t>
      </w:r>
    </w:p>
    <w:p w14:paraId="6E9C467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Ген. Янушкевич ответил: </w:t>
      </w:r>
    </w:p>
    <w:p w14:paraId="7C4848F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"Верховный главнокомандующий повелел передать вам, что он вполне одобряет ваше решение относительно дачи дальнейших заказов заграничным фирмам". </w:t>
      </w:r>
    </w:p>
    <w:p w14:paraId="7C24817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Получив такой ответ, председатель комиссии окончательно отклонил навязываемый нам английскими властями заказ. </w:t>
      </w:r>
    </w:p>
    <w:p w14:paraId="1F88EDE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связи с этим отказом председатель комиссии получил 11 апреля следующую телеграмму от почетного председателя англо-русского комитета:</w:t>
      </w:r>
    </w:p>
    <w:p w14:paraId="631ABD9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"Ввиду того что, несмотря на три энергичных предложения лорда Китченера приобрести пять миллионов шрапнелей в Америке, ему было отказано, предупреждаю самым серьезным образом, что хотя в данную минуту может быть нет нужды, но если позднее нужда в них появится, то их более невозможно будет приобрести, так как они на днях будут все приобретены другими государствами. Считаю моим святым долгом об этом предупредить и убедительно советую немедленно решиться на их приобретение, даже если другие люди будут это отсоветывать". </w:t>
      </w:r>
    </w:p>
    <w:p w14:paraId="13E8E09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Того же 11 (24) апреля председатель комиссии ответил на это: </w:t>
      </w:r>
    </w:p>
    <w:p w14:paraId="67FCCF4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lastRenderedPageBreak/>
        <w:t xml:space="preserve">"Вновь категорически повторяю, что кроме уже заказанных за границей пушечных патронов более новым фирмам заказывать не будем. Все снабжение точно рассчитано. В случае новой потребности в патронах будем продолжать заказы тем же фирмам, которые их выполняют ныне. </w:t>
      </w:r>
    </w:p>
    <w:p w14:paraId="68A9C3F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контрактах это право нами выговорено. С вашей стороны прошу энергично настаивать, чтобы английское правительство приняло все меры, дабы канадская фирма выполнила свой контракт в срок, так как эта фирма нам была рекомендована через британское посольство. Виккерс по всем контрактам уже бессовестно обманул". </w:t>
      </w:r>
    </w:p>
    <w:p w14:paraId="53D0CD4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Между тем вопрос о снарядах был, повидимому, предметом дальнейшей переписки между верховным главнокомандующим и лордом Китченером, так как 6 (19) мая председатель Особой распорядительной комиссии получил от начальника Штаба главковерха следующую телеграмму: </w:t>
      </w:r>
    </w:p>
    <w:p w14:paraId="0C5EF24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"Докладываю, что ввиду категорического обещания, данного генералом Китченером верховному главнокомандующему, оказать усиленное содействие по снабжению, и просьбы, лично к его высочеству обращенной, сообщить действительные единовременную и ежемесячную потребности в предметах артиллерийского снабжения, была послана телеграмма с указанием, что для активности армии и возможности вновь перейти в наступление необходимо пополнить комплекты пушечных патронов до 1 тысячи на орудие, что потребует сразу 3 миллиона, а для спокойной и действительной силы надо ежемесячно по 1,5 миллиона. Таким образом, ввиду настоящей просьбы Китченера указать ему потребности, таковые указаны в цифрах, считая, что если бы это удовлетворить, то это нисколько не уменьшает потребности русского производства. Избытка не будет, но только при условии, что поступления начнутся уже в июне" (11483).</w:t>
      </w:r>
    </w:p>
    <w:p w14:paraId="318097EF" w14:textId="77777777" w:rsidR="004B4E35" w:rsidRPr="00405303" w:rsidRDefault="004B4E35" w:rsidP="00C15251">
      <w:pPr>
        <w:pStyle w:val="a3"/>
        <w:jc w:val="both"/>
        <w:rPr>
          <w:bCs/>
          <w:i w:val="0"/>
          <w:color w:val="002060"/>
          <w:spacing w:val="0"/>
          <w:kern w:val="0"/>
          <w:position w:val="0"/>
          <w:sz w:val="16"/>
          <w:szCs w:val="16"/>
        </w:rPr>
      </w:pPr>
    </w:p>
    <w:p w14:paraId="2D516A04" w14:textId="77777777" w:rsidR="004B4E35" w:rsidRPr="00405303" w:rsidRDefault="009E6F82" w:rsidP="00C15251">
      <w:pPr>
        <w:jc w:val="both"/>
        <w:rPr>
          <w:bCs/>
          <w:i/>
          <w:color w:val="002060"/>
          <w:sz w:val="16"/>
          <w:szCs w:val="16"/>
        </w:rPr>
      </w:pPr>
      <w:r w:rsidRPr="00405303">
        <w:rPr>
          <w:bCs/>
          <w:i/>
          <w:color w:val="002060"/>
          <w:sz w:val="16"/>
          <w:szCs w:val="16"/>
        </w:rPr>
        <w:t>Армия:</w:t>
      </w:r>
    </w:p>
    <w:p w14:paraId="275CEC27" w14:textId="77777777" w:rsidR="004B4E35" w:rsidRPr="00405303" w:rsidRDefault="004B4E35" w:rsidP="00C15251">
      <w:pPr>
        <w:jc w:val="both"/>
        <w:rPr>
          <w:bCs/>
          <w:i/>
          <w:color w:val="002060"/>
          <w:sz w:val="16"/>
          <w:szCs w:val="16"/>
        </w:rPr>
      </w:pPr>
    </w:p>
    <w:p w14:paraId="32DC5FB2" w14:textId="2D01669D" w:rsidR="004B4E35" w:rsidRPr="00405303" w:rsidRDefault="009E6F82" w:rsidP="00C15251">
      <w:pPr>
        <w:shd w:val="clear" w:color="auto" w:fill="FFFFFF"/>
        <w:jc w:val="both"/>
        <w:rPr>
          <w:bCs/>
          <w:color w:val="002060"/>
          <w:sz w:val="16"/>
          <w:szCs w:val="16"/>
        </w:rPr>
      </w:pPr>
      <w:r w:rsidRPr="00405303">
        <w:rPr>
          <w:bCs/>
          <w:color w:val="002060"/>
          <w:sz w:val="16"/>
          <w:szCs w:val="16"/>
        </w:rPr>
        <w:t>26-27 января (8-9 февраля) 1915</w:t>
      </w:r>
      <w:r w:rsidR="006F372A" w:rsidRPr="00405303">
        <w:rPr>
          <w:bCs/>
          <w:color w:val="002060"/>
          <w:sz w:val="16"/>
          <w:szCs w:val="16"/>
        </w:rPr>
        <w:t xml:space="preserve"> г.</w:t>
      </w:r>
      <w:r w:rsidRPr="00405303">
        <w:rPr>
          <w:bCs/>
          <w:color w:val="002060"/>
          <w:sz w:val="16"/>
          <w:szCs w:val="16"/>
        </w:rPr>
        <w:t xml:space="preserve"> в связи с отступлением русских войск из восточной Пру</w:t>
      </w:r>
      <w:r w:rsidR="006F372A" w:rsidRPr="00405303">
        <w:rPr>
          <w:bCs/>
          <w:color w:val="002060"/>
          <w:sz w:val="16"/>
          <w:szCs w:val="16"/>
        </w:rPr>
        <w:t>сс</w:t>
      </w:r>
      <w:r w:rsidRPr="00405303">
        <w:rPr>
          <w:bCs/>
          <w:color w:val="002060"/>
          <w:sz w:val="16"/>
          <w:szCs w:val="16"/>
        </w:rPr>
        <w:t xml:space="preserve">ии Добровольческий </w:t>
      </w:r>
      <w:proofErr w:type="gramStart"/>
      <w:r w:rsidRPr="00405303">
        <w:rPr>
          <w:bCs/>
          <w:color w:val="002060"/>
          <w:sz w:val="16"/>
          <w:szCs w:val="16"/>
        </w:rPr>
        <w:t>авиаотряд ,</w:t>
      </w:r>
      <w:proofErr w:type="gramEnd"/>
      <w:r w:rsidRPr="00405303">
        <w:rPr>
          <w:bCs/>
          <w:color w:val="002060"/>
          <w:sz w:val="16"/>
          <w:szCs w:val="16"/>
        </w:rPr>
        <w:t xml:space="preserve"> находившийся </w:t>
      </w:r>
      <w:proofErr w:type="gramStart"/>
      <w:r w:rsidRPr="00405303">
        <w:rPr>
          <w:bCs/>
          <w:color w:val="002060"/>
          <w:sz w:val="16"/>
          <w:szCs w:val="16"/>
        </w:rPr>
        <w:t>в .Лыко</w:t>
      </w:r>
      <w:proofErr w:type="gramEnd"/>
      <w:r w:rsidRPr="00405303">
        <w:rPr>
          <w:bCs/>
          <w:color w:val="002060"/>
          <w:sz w:val="16"/>
          <w:szCs w:val="16"/>
        </w:rPr>
        <w:t>, оказалея в критическом положении. Не имея возможности перелететь из-за погоды (сильная метель) и не имея обоза, отряд под руководством своего командира Н.А.Яцука перенес два самолета "Фарман" на руках на расстояние 52 верст, питаясь по пути суха</w:t>
      </w:r>
      <w:r w:rsidRPr="00405303">
        <w:rPr>
          <w:bCs/>
          <w:color w:val="002060"/>
          <w:sz w:val="16"/>
          <w:szCs w:val="16"/>
        </w:rPr>
        <w:softHyphen/>
        <w:t xml:space="preserve">рями и отстреливаясь от наседавших неприятельских разъездов. Командиры 10-й армии и 3-го Сибирского корпуса, которым подчинялся </w:t>
      </w:r>
      <w:proofErr w:type="gramStart"/>
      <w:r w:rsidRPr="00405303">
        <w:rPr>
          <w:bCs/>
          <w:color w:val="002060"/>
          <w:sz w:val="16"/>
          <w:szCs w:val="16"/>
        </w:rPr>
        <w:t>отряд,-</w:t>
      </w:r>
      <w:proofErr w:type="gramEnd"/>
      <w:r w:rsidRPr="00405303">
        <w:rPr>
          <w:bCs/>
          <w:color w:val="002060"/>
          <w:sz w:val="16"/>
          <w:szCs w:val="16"/>
        </w:rPr>
        <w:t>весьма лестно отзывались о его работе (ЦГВИА. ф.2003, оп.2, д.617, лл.13-16).</w:t>
      </w:r>
    </w:p>
    <w:p w14:paraId="4B500D19" w14:textId="77777777" w:rsidR="004B4E35" w:rsidRPr="00405303" w:rsidRDefault="004B4E35" w:rsidP="00C15251">
      <w:pPr>
        <w:shd w:val="clear" w:color="auto" w:fill="FFFFFF"/>
        <w:jc w:val="both"/>
        <w:rPr>
          <w:bCs/>
          <w:color w:val="002060"/>
          <w:sz w:val="16"/>
          <w:szCs w:val="16"/>
        </w:rPr>
      </w:pPr>
    </w:p>
    <w:p w14:paraId="5FE622F3" w14:textId="77777777" w:rsidR="00E60686" w:rsidRPr="00405303" w:rsidRDefault="00E60686" w:rsidP="00C15251">
      <w:pPr>
        <w:jc w:val="both"/>
        <w:rPr>
          <w:bCs/>
          <w:color w:val="002060"/>
          <w:sz w:val="16"/>
          <w:szCs w:val="16"/>
        </w:rPr>
      </w:pPr>
      <w:r w:rsidRPr="00405303">
        <w:rPr>
          <w:bCs/>
          <w:color w:val="002060"/>
          <w:sz w:val="16"/>
          <w:szCs w:val="16"/>
        </w:rPr>
        <w:t>26-27 января (8-9 февраля) 1914 г. в связи с отступлением наших войск из Восточной Пруссии добровольческий авиаотряд, находившийся в г. Львове, оказался в критическом положении. Не имея возможности перелететь из-за пого</w:t>
      </w:r>
      <w:r w:rsidRPr="00405303">
        <w:rPr>
          <w:bCs/>
          <w:color w:val="002060"/>
          <w:sz w:val="16"/>
          <w:szCs w:val="16"/>
        </w:rPr>
        <w:softHyphen/>
        <w:t>ды /сильная метель/ и не имея обоза, отряд под руководством своего командира Н.А.Яцука перенес два самолета Фарман на руках на расстояние 52 верст, питаясь по пути сухарями, брошенными отступавшими войсками, и отстреливаясь от наседавших неприятельских разъездов. Командование 10-й армии и 3-го сибирского корпуса, коим подчинялся отряд, весьма лестно отзывались о его работе.</w:t>
      </w:r>
    </w:p>
    <w:p w14:paraId="1AD7A6D0" w14:textId="77777777" w:rsidR="00E60686" w:rsidRPr="00405303" w:rsidRDefault="00E60686" w:rsidP="00C15251">
      <w:pPr>
        <w:jc w:val="both"/>
        <w:rPr>
          <w:bCs/>
          <w:color w:val="002060"/>
          <w:sz w:val="16"/>
          <w:szCs w:val="16"/>
        </w:rPr>
      </w:pPr>
      <w:r w:rsidRPr="00405303">
        <w:rPr>
          <w:bCs/>
          <w:color w:val="002060"/>
          <w:sz w:val="16"/>
          <w:szCs w:val="16"/>
        </w:rPr>
        <w:t>/ЦГВИА, ф. 2003, оп. 2, д. 617, лл. 13-16/ (23320).</w:t>
      </w:r>
    </w:p>
    <w:p w14:paraId="5E272791" w14:textId="77777777" w:rsidR="00E60686" w:rsidRPr="00405303" w:rsidRDefault="00E60686" w:rsidP="00C15251">
      <w:pPr>
        <w:jc w:val="both"/>
        <w:rPr>
          <w:bCs/>
          <w:color w:val="002060"/>
          <w:sz w:val="16"/>
          <w:szCs w:val="16"/>
        </w:rPr>
      </w:pPr>
    </w:p>
    <w:p w14:paraId="59136554"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Внешняя политика:</w:t>
      </w:r>
    </w:p>
    <w:p w14:paraId="58231AE9" w14:textId="754B8A57" w:rsidR="004B4E35" w:rsidRPr="00405303" w:rsidRDefault="004B4E35" w:rsidP="00C15251">
      <w:pPr>
        <w:shd w:val="clear" w:color="auto" w:fill="FFFFFF"/>
        <w:jc w:val="both"/>
        <w:rPr>
          <w:bCs/>
          <w:i/>
          <w:color w:val="002060"/>
          <w:sz w:val="16"/>
          <w:szCs w:val="16"/>
        </w:rPr>
      </w:pPr>
    </w:p>
    <w:p w14:paraId="6E0728A9" w14:textId="0CF66B64" w:rsidR="006F372A" w:rsidRPr="00405303" w:rsidRDefault="006F372A" w:rsidP="00C15251">
      <w:pPr>
        <w:shd w:val="clear" w:color="auto" w:fill="FFFFFF"/>
        <w:jc w:val="both"/>
        <w:rPr>
          <w:bCs/>
          <w:iCs/>
          <w:color w:val="002060"/>
          <w:sz w:val="16"/>
          <w:szCs w:val="16"/>
        </w:rPr>
      </w:pPr>
      <w:r w:rsidRPr="00405303">
        <w:rPr>
          <w:bCs/>
          <w:iCs/>
          <w:color w:val="002060"/>
          <w:sz w:val="16"/>
          <w:szCs w:val="16"/>
        </w:rPr>
        <w:t>26 января (8 февраля) 1915 г.</w:t>
      </w:r>
    </w:p>
    <w:p w14:paraId="55CC3CDA" w14:textId="77777777" w:rsidR="004B4E35" w:rsidRPr="00405303" w:rsidRDefault="009E6F82" w:rsidP="00C15251">
      <w:pPr>
        <w:jc w:val="both"/>
        <w:rPr>
          <w:bCs/>
          <w:color w:val="002060"/>
          <w:sz w:val="16"/>
          <w:szCs w:val="16"/>
        </w:rPr>
      </w:pPr>
      <w:r w:rsidRPr="00405303">
        <w:rPr>
          <w:bCs/>
          <w:color w:val="002060"/>
          <w:sz w:val="16"/>
          <w:szCs w:val="16"/>
        </w:rPr>
        <w:t>Компании Ремингтон были даны следующие заказы на трехлинейные винтовки для России (тыс. шт.):</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848"/>
        <w:gridCol w:w="1476"/>
      </w:tblGrid>
      <w:tr w:rsidR="004B4E35" w:rsidRPr="00405303" w14:paraId="5E45CD41" w14:textId="77777777">
        <w:tc>
          <w:tcPr>
            <w:tcW w:w="4848" w:type="dxa"/>
          </w:tcPr>
          <w:p w14:paraId="174759BB" w14:textId="77777777" w:rsidR="004B4E35" w:rsidRPr="00405303" w:rsidRDefault="009E6F82" w:rsidP="00C15251">
            <w:pPr>
              <w:jc w:val="both"/>
              <w:rPr>
                <w:bCs/>
                <w:color w:val="002060"/>
                <w:sz w:val="16"/>
                <w:szCs w:val="16"/>
              </w:rPr>
            </w:pPr>
            <w:r w:rsidRPr="00405303">
              <w:rPr>
                <w:bCs/>
                <w:color w:val="002060"/>
                <w:sz w:val="16"/>
                <w:szCs w:val="16"/>
              </w:rPr>
              <w:t>По контракту с русским правительством 26 января (8 февраля) 1915 г.</w:t>
            </w:r>
          </w:p>
        </w:tc>
        <w:tc>
          <w:tcPr>
            <w:tcW w:w="1476" w:type="dxa"/>
          </w:tcPr>
          <w:p w14:paraId="274A08F1" w14:textId="77777777" w:rsidR="004B4E35" w:rsidRPr="00405303" w:rsidRDefault="009E6F82" w:rsidP="00C15251">
            <w:pPr>
              <w:jc w:val="both"/>
              <w:rPr>
                <w:bCs/>
                <w:color w:val="002060"/>
                <w:sz w:val="16"/>
                <w:szCs w:val="16"/>
              </w:rPr>
            </w:pPr>
            <w:r w:rsidRPr="00405303">
              <w:rPr>
                <w:bCs/>
                <w:color w:val="002060"/>
                <w:sz w:val="16"/>
                <w:szCs w:val="16"/>
              </w:rPr>
              <w:t xml:space="preserve">на 1000 </w:t>
            </w:r>
          </w:p>
        </w:tc>
      </w:tr>
      <w:tr w:rsidR="004B4E35" w:rsidRPr="00405303" w14:paraId="7558E77B" w14:textId="77777777">
        <w:tc>
          <w:tcPr>
            <w:tcW w:w="4848" w:type="dxa"/>
          </w:tcPr>
          <w:p w14:paraId="36E0304C" w14:textId="77777777" w:rsidR="004B4E35" w:rsidRPr="00405303" w:rsidRDefault="009E6F82" w:rsidP="00C15251">
            <w:pPr>
              <w:jc w:val="both"/>
              <w:rPr>
                <w:bCs/>
                <w:color w:val="002060"/>
                <w:sz w:val="16"/>
                <w:szCs w:val="16"/>
              </w:rPr>
            </w:pPr>
            <w:r w:rsidRPr="00405303">
              <w:rPr>
                <w:bCs/>
                <w:color w:val="002060"/>
                <w:sz w:val="16"/>
                <w:szCs w:val="16"/>
              </w:rPr>
              <w:t>То же 16 июля 1915 г.</w:t>
            </w:r>
          </w:p>
        </w:tc>
        <w:tc>
          <w:tcPr>
            <w:tcW w:w="1476" w:type="dxa"/>
          </w:tcPr>
          <w:p w14:paraId="51A9ACD9" w14:textId="77777777" w:rsidR="004B4E35" w:rsidRPr="00405303" w:rsidRDefault="009E6F82" w:rsidP="00C15251">
            <w:pPr>
              <w:jc w:val="both"/>
              <w:rPr>
                <w:bCs/>
                <w:color w:val="002060"/>
                <w:sz w:val="16"/>
                <w:szCs w:val="16"/>
              </w:rPr>
            </w:pPr>
            <w:r w:rsidRPr="00405303">
              <w:rPr>
                <w:bCs/>
                <w:color w:val="002060"/>
                <w:sz w:val="16"/>
                <w:szCs w:val="16"/>
              </w:rPr>
              <w:t xml:space="preserve">на 200 </w:t>
            </w:r>
          </w:p>
        </w:tc>
      </w:tr>
      <w:tr w:rsidR="004B4E35" w:rsidRPr="00405303" w14:paraId="0B805395" w14:textId="77777777">
        <w:tc>
          <w:tcPr>
            <w:tcW w:w="4848" w:type="dxa"/>
          </w:tcPr>
          <w:p w14:paraId="6EB5540A" w14:textId="77777777" w:rsidR="004B4E35" w:rsidRPr="00405303" w:rsidRDefault="009E6F82" w:rsidP="00C15251">
            <w:pPr>
              <w:jc w:val="both"/>
              <w:rPr>
                <w:bCs/>
                <w:color w:val="002060"/>
                <w:sz w:val="16"/>
                <w:szCs w:val="16"/>
              </w:rPr>
            </w:pPr>
            <w:r w:rsidRPr="00405303">
              <w:rPr>
                <w:bCs/>
                <w:color w:val="002060"/>
                <w:sz w:val="16"/>
                <w:szCs w:val="16"/>
              </w:rPr>
              <w:t>По контракту с британским правительством 9 сентября 1915 г.</w:t>
            </w:r>
          </w:p>
        </w:tc>
        <w:tc>
          <w:tcPr>
            <w:tcW w:w="1476" w:type="dxa"/>
          </w:tcPr>
          <w:p w14:paraId="3D65F54D" w14:textId="77777777" w:rsidR="004B4E35" w:rsidRPr="00405303" w:rsidRDefault="009E6F82" w:rsidP="00C15251">
            <w:pPr>
              <w:jc w:val="both"/>
              <w:rPr>
                <w:bCs/>
                <w:color w:val="002060"/>
                <w:sz w:val="16"/>
                <w:szCs w:val="16"/>
              </w:rPr>
            </w:pPr>
            <w:r w:rsidRPr="00405303">
              <w:rPr>
                <w:bCs/>
                <w:color w:val="002060"/>
                <w:sz w:val="16"/>
                <w:szCs w:val="16"/>
              </w:rPr>
              <w:t xml:space="preserve">на 300 </w:t>
            </w:r>
          </w:p>
        </w:tc>
      </w:tr>
      <w:tr w:rsidR="004B4E35" w:rsidRPr="00405303" w14:paraId="3F51A507" w14:textId="77777777">
        <w:tc>
          <w:tcPr>
            <w:tcW w:w="4848" w:type="dxa"/>
          </w:tcPr>
          <w:p w14:paraId="55132EFA" w14:textId="77777777" w:rsidR="004B4E35" w:rsidRPr="00405303" w:rsidRDefault="009E6F82" w:rsidP="00C15251">
            <w:pPr>
              <w:jc w:val="both"/>
              <w:rPr>
                <w:bCs/>
                <w:color w:val="002060"/>
                <w:sz w:val="16"/>
                <w:szCs w:val="16"/>
              </w:rPr>
            </w:pPr>
            <w:r w:rsidRPr="00405303">
              <w:rPr>
                <w:bCs/>
                <w:color w:val="002060"/>
                <w:sz w:val="16"/>
                <w:szCs w:val="16"/>
              </w:rPr>
              <w:t>Итого</w:t>
            </w:r>
          </w:p>
        </w:tc>
        <w:tc>
          <w:tcPr>
            <w:tcW w:w="1476" w:type="dxa"/>
          </w:tcPr>
          <w:p w14:paraId="5BFE2155" w14:textId="77777777" w:rsidR="004B4E35" w:rsidRPr="00405303" w:rsidRDefault="009E6F82" w:rsidP="00C15251">
            <w:pPr>
              <w:jc w:val="both"/>
              <w:rPr>
                <w:bCs/>
                <w:color w:val="002060"/>
                <w:sz w:val="16"/>
                <w:szCs w:val="16"/>
              </w:rPr>
            </w:pPr>
            <w:r w:rsidRPr="00405303">
              <w:rPr>
                <w:bCs/>
                <w:color w:val="002060"/>
                <w:sz w:val="16"/>
                <w:szCs w:val="16"/>
              </w:rPr>
              <w:t xml:space="preserve">1 500 000 штук. </w:t>
            </w:r>
          </w:p>
        </w:tc>
      </w:tr>
    </w:tbl>
    <w:p w14:paraId="3A34CDA4" w14:textId="77777777" w:rsidR="004B4E35" w:rsidRPr="00405303" w:rsidRDefault="009E6F82" w:rsidP="00C15251">
      <w:pPr>
        <w:jc w:val="both"/>
        <w:rPr>
          <w:bCs/>
          <w:color w:val="002060"/>
          <w:sz w:val="16"/>
          <w:szCs w:val="16"/>
        </w:rPr>
      </w:pPr>
      <w:r w:rsidRPr="00405303">
        <w:rPr>
          <w:bCs/>
          <w:color w:val="002060"/>
          <w:sz w:val="16"/>
          <w:szCs w:val="16"/>
        </w:rPr>
        <w:t xml:space="preserve">Кроме того, заказано 300 000 черновых ружейных стволов по цене 4,75 доллара за штуку. Начальный срок поставки винтовок — ноябрь 1915 г. и конечный — март 1917 года. Цена — 30 долларов за винтовку франко-завод. </w:t>
      </w:r>
    </w:p>
    <w:p w14:paraId="16C1ED17" w14:textId="77777777" w:rsidR="004B4E35" w:rsidRPr="00405303" w:rsidRDefault="009E6F82" w:rsidP="00C15251">
      <w:pPr>
        <w:jc w:val="both"/>
        <w:rPr>
          <w:bCs/>
          <w:color w:val="002060"/>
          <w:sz w:val="16"/>
          <w:szCs w:val="16"/>
        </w:rPr>
      </w:pPr>
      <w:r w:rsidRPr="00405303">
        <w:rPr>
          <w:bCs/>
          <w:color w:val="002060"/>
          <w:sz w:val="16"/>
          <w:szCs w:val="16"/>
        </w:rPr>
        <w:t xml:space="preserve">В противоположность Вестингаузу, разбросавшему выполнение заказа по нескольким десяткам заводов, Ремингтон сосредоточил выполнение заказа в одном месте. Для этого в Бриджпорте был выстроен и богато оборудован завод громадных размеров. Мощность его рассчитана была на 6000 винтовок в сутки, максимальная же сдача по плану выполнения контракта предусмотрена в 4500 штук. </w:t>
      </w:r>
    </w:p>
    <w:p w14:paraId="28B13D09" w14:textId="77777777" w:rsidR="004B4E35" w:rsidRPr="00405303" w:rsidRDefault="009E6F82" w:rsidP="00C15251">
      <w:pPr>
        <w:jc w:val="both"/>
        <w:rPr>
          <w:bCs/>
          <w:color w:val="002060"/>
          <w:sz w:val="16"/>
          <w:szCs w:val="16"/>
        </w:rPr>
      </w:pPr>
      <w:r w:rsidRPr="00405303">
        <w:rPr>
          <w:bCs/>
          <w:color w:val="002060"/>
          <w:sz w:val="16"/>
          <w:szCs w:val="16"/>
        </w:rPr>
        <w:t xml:space="preserve">Постройка завода началась в марте 1915 г. и закончилась в сентябре того же года. </w:t>
      </w:r>
    </w:p>
    <w:p w14:paraId="327F4628" w14:textId="77777777" w:rsidR="004B4E35" w:rsidRPr="00405303" w:rsidRDefault="009E6F82" w:rsidP="00C15251">
      <w:pPr>
        <w:jc w:val="both"/>
        <w:rPr>
          <w:bCs/>
          <w:color w:val="002060"/>
          <w:sz w:val="16"/>
          <w:szCs w:val="16"/>
        </w:rPr>
      </w:pPr>
      <w:r w:rsidRPr="00405303">
        <w:rPr>
          <w:bCs/>
          <w:color w:val="002060"/>
          <w:sz w:val="16"/>
          <w:szCs w:val="16"/>
        </w:rPr>
        <w:t xml:space="preserve">Предварительные данные, необходимые для постановки производства были сообщены заводу заблаговременно еще в 1914 году. Русские приемщики вместе с представителями завода начали разрабатывать необходимые чертежи и корректировать в них некоторые ошибки, наличие коих было указано в главе о Вестингаузе. Эта работа продолжалась по май 1915 года. В марте 1915 г. в распоряжении завода было несколько десятков винтовок, образцовые лекала и чертежи тех и других. Винтовки были не образцовые, так как изготовлялись в военное время по облегченным кондициям. Лекала — новые и вполне исправные. </w:t>
      </w:r>
    </w:p>
    <w:p w14:paraId="57B335BC" w14:textId="77777777" w:rsidR="004B4E35" w:rsidRPr="00405303" w:rsidRDefault="009E6F82" w:rsidP="00C15251">
      <w:pPr>
        <w:jc w:val="both"/>
        <w:rPr>
          <w:bCs/>
          <w:color w:val="002060"/>
          <w:sz w:val="16"/>
          <w:szCs w:val="16"/>
        </w:rPr>
      </w:pPr>
      <w:r w:rsidRPr="00405303">
        <w:rPr>
          <w:bCs/>
          <w:color w:val="002060"/>
          <w:sz w:val="16"/>
          <w:szCs w:val="16"/>
        </w:rPr>
        <w:t xml:space="preserve">В конце 1915 г. прибыли на завод назначенные туда от Заготовительного комитета приемщики. Весьма быстро между администрацией завода и ними возник серьезный конфликт, в результате коего приемщику отказали в допуске в завод. Для ликвидации конфликта на завод прибыла большая комиссия. Один из приемщиков был отозван в Россию, и инцидент был исчерпан. </w:t>
      </w:r>
    </w:p>
    <w:p w14:paraId="112158E6" w14:textId="77777777" w:rsidR="004B4E35" w:rsidRPr="00405303" w:rsidRDefault="009E6F82" w:rsidP="00C15251">
      <w:pPr>
        <w:jc w:val="both"/>
        <w:rPr>
          <w:bCs/>
          <w:color w:val="002060"/>
          <w:sz w:val="16"/>
          <w:szCs w:val="16"/>
        </w:rPr>
      </w:pPr>
      <w:r w:rsidRPr="00405303">
        <w:rPr>
          <w:bCs/>
          <w:color w:val="002060"/>
          <w:sz w:val="16"/>
          <w:szCs w:val="16"/>
        </w:rPr>
        <w:t xml:space="preserve">Сдача винтовок началась с большим запозданием, лишь в апреле 1916 года. Дело шло плохо и в отношении выпуска, и в отношении качеств изделия. Ввиду этого по настоянию русской инспекции директор завода был смещен. Новый директор, весьма опытный человек, предпринял коренную техническую перепланировку производства. Это вызвало резкий упадок достигнутого уже выпуска винтовок. Сдача, дошедшая в августе 1916 г. до 2000 шт. в сутки, снизилась </w:t>
      </w:r>
      <w:proofErr w:type="gramStart"/>
      <w:r w:rsidRPr="00405303">
        <w:rPr>
          <w:bCs/>
          <w:color w:val="002060"/>
          <w:sz w:val="16"/>
          <w:szCs w:val="16"/>
        </w:rPr>
        <w:t>больше</w:t>
      </w:r>
      <w:proofErr w:type="gramEnd"/>
      <w:r w:rsidRPr="00405303">
        <w:rPr>
          <w:bCs/>
          <w:color w:val="002060"/>
          <w:sz w:val="16"/>
          <w:szCs w:val="16"/>
        </w:rPr>
        <w:t xml:space="preserve"> чем вдвое. Но зато методы производства были значительно улучшены проведением правильно-лекального изготовления всех деталей. Это создавало прочную базу для быстрого и широкого разворачивания производства и улучшало качества изделия. Потребовалась перепланировка помещения цехов. </w:t>
      </w:r>
    </w:p>
    <w:p w14:paraId="475C1CBD" w14:textId="77777777" w:rsidR="004B4E35" w:rsidRPr="00405303" w:rsidRDefault="009E6F82" w:rsidP="00C15251">
      <w:pPr>
        <w:jc w:val="both"/>
        <w:rPr>
          <w:bCs/>
          <w:color w:val="002060"/>
          <w:sz w:val="16"/>
          <w:szCs w:val="16"/>
        </w:rPr>
      </w:pPr>
      <w:r w:rsidRPr="00405303">
        <w:rPr>
          <w:bCs/>
          <w:color w:val="002060"/>
          <w:sz w:val="16"/>
          <w:szCs w:val="16"/>
        </w:rPr>
        <w:t xml:space="preserve">По прошествии полутора лет со дня заключения контракта фактическое состояние производства по сравнению с контрактным планом представлялось в следующем виде: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984"/>
        <w:gridCol w:w="984"/>
        <w:gridCol w:w="984"/>
        <w:gridCol w:w="1128"/>
      </w:tblGrid>
      <w:tr w:rsidR="004B4E35" w:rsidRPr="00405303" w14:paraId="6CDE753B" w14:textId="77777777">
        <w:tc>
          <w:tcPr>
            <w:tcW w:w="1248" w:type="dxa"/>
          </w:tcPr>
          <w:p w14:paraId="33C74671" w14:textId="77777777" w:rsidR="004B4E35" w:rsidRPr="00405303" w:rsidRDefault="009E6F82" w:rsidP="00C15251">
            <w:pPr>
              <w:jc w:val="both"/>
              <w:rPr>
                <w:bCs/>
                <w:color w:val="002060"/>
                <w:sz w:val="16"/>
                <w:szCs w:val="16"/>
              </w:rPr>
            </w:pPr>
            <w:r w:rsidRPr="00405303">
              <w:rPr>
                <w:bCs/>
                <w:color w:val="002060"/>
                <w:sz w:val="16"/>
                <w:szCs w:val="16"/>
              </w:rPr>
              <w:t xml:space="preserve">Сдача </w:t>
            </w:r>
          </w:p>
        </w:tc>
        <w:tc>
          <w:tcPr>
            <w:tcW w:w="1968" w:type="dxa"/>
            <w:gridSpan w:val="2"/>
          </w:tcPr>
          <w:p w14:paraId="7EE63756" w14:textId="77777777" w:rsidR="004B4E35" w:rsidRPr="00405303" w:rsidRDefault="009E6F82" w:rsidP="00C15251">
            <w:pPr>
              <w:jc w:val="both"/>
              <w:rPr>
                <w:bCs/>
                <w:color w:val="002060"/>
                <w:sz w:val="16"/>
                <w:szCs w:val="16"/>
              </w:rPr>
            </w:pPr>
            <w:r w:rsidRPr="00405303">
              <w:rPr>
                <w:bCs/>
                <w:color w:val="002060"/>
                <w:sz w:val="16"/>
                <w:szCs w:val="16"/>
              </w:rPr>
              <w:t>Надлежало по плану</w:t>
            </w:r>
          </w:p>
        </w:tc>
        <w:tc>
          <w:tcPr>
            <w:tcW w:w="2112" w:type="dxa"/>
            <w:gridSpan w:val="2"/>
          </w:tcPr>
          <w:p w14:paraId="60E5D9B9" w14:textId="77777777" w:rsidR="004B4E35" w:rsidRPr="00405303" w:rsidRDefault="009E6F82" w:rsidP="00C15251">
            <w:pPr>
              <w:jc w:val="both"/>
              <w:rPr>
                <w:bCs/>
                <w:color w:val="002060"/>
                <w:sz w:val="16"/>
                <w:szCs w:val="16"/>
              </w:rPr>
            </w:pPr>
            <w:r w:rsidRPr="00405303">
              <w:rPr>
                <w:bCs/>
                <w:color w:val="002060"/>
                <w:sz w:val="16"/>
                <w:szCs w:val="16"/>
              </w:rPr>
              <w:t>Фактическая</w:t>
            </w:r>
          </w:p>
        </w:tc>
      </w:tr>
      <w:tr w:rsidR="004B4E35" w:rsidRPr="00405303" w14:paraId="4BD6BB57" w14:textId="77777777">
        <w:tc>
          <w:tcPr>
            <w:tcW w:w="1248" w:type="dxa"/>
          </w:tcPr>
          <w:p w14:paraId="2D444F45" w14:textId="77777777" w:rsidR="004B4E35" w:rsidRPr="00405303" w:rsidRDefault="009E6F82" w:rsidP="00C15251">
            <w:pPr>
              <w:jc w:val="both"/>
              <w:rPr>
                <w:bCs/>
                <w:color w:val="002060"/>
                <w:sz w:val="16"/>
                <w:szCs w:val="16"/>
              </w:rPr>
            </w:pPr>
            <w:r w:rsidRPr="00405303">
              <w:rPr>
                <w:bCs/>
                <w:color w:val="002060"/>
                <w:sz w:val="16"/>
                <w:szCs w:val="16"/>
              </w:rPr>
              <w:t>винтовок</w:t>
            </w:r>
          </w:p>
        </w:tc>
        <w:tc>
          <w:tcPr>
            <w:tcW w:w="984" w:type="dxa"/>
          </w:tcPr>
          <w:p w14:paraId="30A1E734" w14:textId="77777777" w:rsidR="004B4E35" w:rsidRPr="00405303" w:rsidRDefault="009E6F82" w:rsidP="00C15251">
            <w:pPr>
              <w:jc w:val="both"/>
              <w:rPr>
                <w:bCs/>
                <w:color w:val="002060"/>
                <w:sz w:val="16"/>
                <w:szCs w:val="16"/>
              </w:rPr>
            </w:pPr>
            <w:r w:rsidRPr="00405303">
              <w:rPr>
                <w:bCs/>
                <w:color w:val="002060"/>
                <w:sz w:val="16"/>
                <w:szCs w:val="16"/>
              </w:rPr>
              <w:t>В сутки</w:t>
            </w:r>
          </w:p>
        </w:tc>
        <w:tc>
          <w:tcPr>
            <w:tcW w:w="984" w:type="dxa"/>
          </w:tcPr>
          <w:p w14:paraId="4E2F8743" w14:textId="77777777" w:rsidR="004B4E35" w:rsidRPr="00405303" w:rsidRDefault="009E6F82" w:rsidP="00C15251">
            <w:pPr>
              <w:jc w:val="both"/>
              <w:rPr>
                <w:bCs/>
                <w:color w:val="002060"/>
                <w:sz w:val="16"/>
                <w:szCs w:val="16"/>
              </w:rPr>
            </w:pPr>
            <w:r w:rsidRPr="00405303">
              <w:rPr>
                <w:bCs/>
                <w:color w:val="002060"/>
                <w:sz w:val="16"/>
                <w:szCs w:val="16"/>
              </w:rPr>
              <w:t>От начала работ</w:t>
            </w:r>
          </w:p>
        </w:tc>
        <w:tc>
          <w:tcPr>
            <w:tcW w:w="984" w:type="dxa"/>
          </w:tcPr>
          <w:p w14:paraId="1064F939" w14:textId="77777777" w:rsidR="004B4E35" w:rsidRPr="00405303" w:rsidRDefault="009E6F82" w:rsidP="00C15251">
            <w:pPr>
              <w:jc w:val="both"/>
              <w:rPr>
                <w:bCs/>
                <w:color w:val="002060"/>
                <w:sz w:val="16"/>
                <w:szCs w:val="16"/>
              </w:rPr>
            </w:pPr>
            <w:r w:rsidRPr="00405303">
              <w:rPr>
                <w:bCs/>
                <w:color w:val="002060"/>
                <w:sz w:val="16"/>
                <w:szCs w:val="16"/>
              </w:rPr>
              <w:t>В сутки</w:t>
            </w:r>
          </w:p>
        </w:tc>
        <w:tc>
          <w:tcPr>
            <w:tcW w:w="1128" w:type="dxa"/>
          </w:tcPr>
          <w:p w14:paraId="0CB9B80E" w14:textId="77777777" w:rsidR="004B4E35" w:rsidRPr="00405303" w:rsidRDefault="009E6F82" w:rsidP="00C15251">
            <w:pPr>
              <w:jc w:val="both"/>
              <w:rPr>
                <w:bCs/>
                <w:color w:val="002060"/>
                <w:sz w:val="16"/>
                <w:szCs w:val="16"/>
              </w:rPr>
            </w:pPr>
            <w:r w:rsidRPr="00405303">
              <w:rPr>
                <w:bCs/>
                <w:color w:val="002060"/>
                <w:sz w:val="16"/>
                <w:szCs w:val="16"/>
              </w:rPr>
              <w:t>От начала работ</w:t>
            </w:r>
          </w:p>
        </w:tc>
      </w:tr>
      <w:tr w:rsidR="004B4E35" w:rsidRPr="00405303" w14:paraId="60F24943" w14:textId="77777777">
        <w:tc>
          <w:tcPr>
            <w:tcW w:w="1248" w:type="dxa"/>
          </w:tcPr>
          <w:p w14:paraId="07DDD2AC" w14:textId="77777777" w:rsidR="004B4E35" w:rsidRPr="00405303" w:rsidRDefault="009E6F82" w:rsidP="00C15251">
            <w:pPr>
              <w:jc w:val="both"/>
              <w:rPr>
                <w:bCs/>
                <w:color w:val="002060"/>
                <w:sz w:val="16"/>
                <w:szCs w:val="16"/>
              </w:rPr>
            </w:pPr>
            <w:r w:rsidRPr="00405303">
              <w:rPr>
                <w:bCs/>
                <w:color w:val="002060"/>
                <w:sz w:val="16"/>
                <w:szCs w:val="16"/>
              </w:rPr>
              <w:t>Декабрь 1916 г.</w:t>
            </w:r>
          </w:p>
        </w:tc>
        <w:tc>
          <w:tcPr>
            <w:tcW w:w="984" w:type="dxa"/>
          </w:tcPr>
          <w:p w14:paraId="63E7D0B2" w14:textId="77777777" w:rsidR="004B4E35" w:rsidRPr="00405303" w:rsidRDefault="009E6F82" w:rsidP="00C15251">
            <w:pPr>
              <w:jc w:val="both"/>
              <w:rPr>
                <w:bCs/>
                <w:color w:val="002060"/>
                <w:sz w:val="16"/>
                <w:szCs w:val="16"/>
              </w:rPr>
            </w:pPr>
            <w:r w:rsidRPr="00405303">
              <w:rPr>
                <w:bCs/>
                <w:color w:val="002060"/>
                <w:sz w:val="16"/>
                <w:szCs w:val="16"/>
              </w:rPr>
              <w:t>1.000</w:t>
            </w:r>
          </w:p>
        </w:tc>
        <w:tc>
          <w:tcPr>
            <w:tcW w:w="984" w:type="dxa"/>
          </w:tcPr>
          <w:p w14:paraId="4F3E300E" w14:textId="77777777" w:rsidR="004B4E35" w:rsidRPr="00405303" w:rsidRDefault="009E6F82" w:rsidP="00C15251">
            <w:pPr>
              <w:jc w:val="both"/>
              <w:rPr>
                <w:bCs/>
                <w:color w:val="002060"/>
                <w:sz w:val="16"/>
                <w:szCs w:val="16"/>
              </w:rPr>
            </w:pPr>
            <w:r w:rsidRPr="00405303">
              <w:rPr>
                <w:bCs/>
                <w:color w:val="002060"/>
                <w:sz w:val="16"/>
                <w:szCs w:val="16"/>
              </w:rPr>
              <w:t>1.000.000</w:t>
            </w:r>
          </w:p>
        </w:tc>
        <w:tc>
          <w:tcPr>
            <w:tcW w:w="984" w:type="dxa"/>
          </w:tcPr>
          <w:p w14:paraId="1FC65870" w14:textId="77777777" w:rsidR="004B4E35" w:rsidRPr="00405303" w:rsidRDefault="009E6F82" w:rsidP="00C15251">
            <w:pPr>
              <w:jc w:val="both"/>
              <w:rPr>
                <w:bCs/>
                <w:color w:val="002060"/>
                <w:sz w:val="16"/>
                <w:szCs w:val="16"/>
              </w:rPr>
            </w:pPr>
            <w:r w:rsidRPr="00405303">
              <w:rPr>
                <w:bCs/>
                <w:color w:val="002060"/>
                <w:sz w:val="16"/>
                <w:szCs w:val="16"/>
              </w:rPr>
              <w:t>500</w:t>
            </w:r>
          </w:p>
        </w:tc>
        <w:tc>
          <w:tcPr>
            <w:tcW w:w="1128" w:type="dxa"/>
          </w:tcPr>
          <w:p w14:paraId="173B81E1" w14:textId="77777777" w:rsidR="004B4E35" w:rsidRPr="00405303" w:rsidRDefault="009E6F82" w:rsidP="00C15251">
            <w:pPr>
              <w:jc w:val="both"/>
              <w:rPr>
                <w:bCs/>
                <w:color w:val="002060"/>
                <w:sz w:val="16"/>
                <w:szCs w:val="16"/>
              </w:rPr>
            </w:pPr>
            <w:r w:rsidRPr="00405303">
              <w:rPr>
                <w:bCs/>
                <w:color w:val="002060"/>
                <w:sz w:val="16"/>
                <w:szCs w:val="16"/>
              </w:rPr>
              <w:t>70.000</w:t>
            </w:r>
          </w:p>
        </w:tc>
      </w:tr>
      <w:tr w:rsidR="004B4E35" w:rsidRPr="00405303" w14:paraId="11DE47C8" w14:textId="77777777">
        <w:tc>
          <w:tcPr>
            <w:tcW w:w="1248" w:type="dxa"/>
          </w:tcPr>
          <w:p w14:paraId="49F175D7" w14:textId="77777777" w:rsidR="004B4E35" w:rsidRPr="00405303" w:rsidRDefault="009E6F82" w:rsidP="00C15251">
            <w:pPr>
              <w:jc w:val="both"/>
              <w:rPr>
                <w:bCs/>
                <w:color w:val="002060"/>
                <w:sz w:val="16"/>
                <w:szCs w:val="16"/>
              </w:rPr>
            </w:pPr>
            <w:r w:rsidRPr="00405303">
              <w:rPr>
                <w:bCs/>
                <w:color w:val="002060"/>
                <w:sz w:val="16"/>
                <w:szCs w:val="16"/>
              </w:rPr>
              <w:t>Март 1917 г.</w:t>
            </w:r>
          </w:p>
        </w:tc>
        <w:tc>
          <w:tcPr>
            <w:tcW w:w="984" w:type="dxa"/>
          </w:tcPr>
          <w:p w14:paraId="4F42A587" w14:textId="77777777" w:rsidR="004B4E35" w:rsidRPr="00405303" w:rsidRDefault="009E6F82" w:rsidP="00C15251">
            <w:pPr>
              <w:jc w:val="both"/>
              <w:rPr>
                <w:bCs/>
                <w:color w:val="002060"/>
                <w:sz w:val="16"/>
                <w:szCs w:val="16"/>
              </w:rPr>
            </w:pPr>
            <w:r w:rsidRPr="00405303">
              <w:rPr>
                <w:bCs/>
                <w:color w:val="002060"/>
                <w:sz w:val="16"/>
                <w:szCs w:val="16"/>
              </w:rPr>
              <w:t>4.000</w:t>
            </w:r>
          </w:p>
        </w:tc>
        <w:tc>
          <w:tcPr>
            <w:tcW w:w="984" w:type="dxa"/>
          </w:tcPr>
          <w:p w14:paraId="4AD4FF83" w14:textId="77777777" w:rsidR="004B4E35" w:rsidRPr="00405303" w:rsidRDefault="009E6F82" w:rsidP="00C15251">
            <w:pPr>
              <w:jc w:val="both"/>
              <w:rPr>
                <w:bCs/>
                <w:color w:val="002060"/>
                <w:sz w:val="16"/>
                <w:szCs w:val="16"/>
              </w:rPr>
            </w:pPr>
            <w:r w:rsidRPr="00405303">
              <w:rPr>
                <w:bCs/>
                <w:color w:val="002060"/>
                <w:sz w:val="16"/>
                <w:szCs w:val="16"/>
              </w:rPr>
              <w:t>1.250.000</w:t>
            </w:r>
          </w:p>
        </w:tc>
        <w:tc>
          <w:tcPr>
            <w:tcW w:w="984" w:type="dxa"/>
          </w:tcPr>
          <w:p w14:paraId="685B2BC4" w14:textId="77777777" w:rsidR="004B4E35" w:rsidRPr="00405303" w:rsidRDefault="009E6F82" w:rsidP="00C15251">
            <w:pPr>
              <w:jc w:val="both"/>
              <w:rPr>
                <w:bCs/>
                <w:color w:val="002060"/>
                <w:sz w:val="16"/>
                <w:szCs w:val="16"/>
              </w:rPr>
            </w:pPr>
            <w:r w:rsidRPr="00405303">
              <w:rPr>
                <w:bCs/>
                <w:color w:val="002060"/>
                <w:sz w:val="16"/>
                <w:szCs w:val="16"/>
              </w:rPr>
              <w:t>1.200</w:t>
            </w:r>
          </w:p>
        </w:tc>
        <w:tc>
          <w:tcPr>
            <w:tcW w:w="1128" w:type="dxa"/>
          </w:tcPr>
          <w:p w14:paraId="0CAADC9E" w14:textId="77777777" w:rsidR="004B4E35" w:rsidRPr="00405303" w:rsidRDefault="009E6F82" w:rsidP="00C15251">
            <w:pPr>
              <w:jc w:val="both"/>
              <w:rPr>
                <w:bCs/>
                <w:color w:val="002060"/>
                <w:sz w:val="16"/>
                <w:szCs w:val="16"/>
              </w:rPr>
            </w:pPr>
            <w:r w:rsidRPr="00405303">
              <w:rPr>
                <w:bCs/>
                <w:color w:val="002060"/>
                <w:sz w:val="16"/>
                <w:szCs w:val="16"/>
              </w:rPr>
              <w:t>120.000</w:t>
            </w:r>
          </w:p>
        </w:tc>
      </w:tr>
      <w:tr w:rsidR="004B4E35" w:rsidRPr="00405303" w14:paraId="47DB7FC4" w14:textId="77777777">
        <w:tc>
          <w:tcPr>
            <w:tcW w:w="1248" w:type="dxa"/>
          </w:tcPr>
          <w:p w14:paraId="177487D8" w14:textId="77777777" w:rsidR="004B4E35" w:rsidRPr="00405303" w:rsidRDefault="009E6F82" w:rsidP="00C15251">
            <w:pPr>
              <w:jc w:val="both"/>
              <w:rPr>
                <w:bCs/>
                <w:color w:val="002060"/>
                <w:sz w:val="16"/>
                <w:szCs w:val="16"/>
              </w:rPr>
            </w:pPr>
            <w:r w:rsidRPr="00405303">
              <w:rPr>
                <w:bCs/>
                <w:color w:val="002060"/>
                <w:sz w:val="16"/>
                <w:szCs w:val="16"/>
              </w:rPr>
              <w:t>Май 1917 г.</w:t>
            </w:r>
          </w:p>
        </w:tc>
        <w:tc>
          <w:tcPr>
            <w:tcW w:w="984" w:type="dxa"/>
          </w:tcPr>
          <w:p w14:paraId="6C8C282E" w14:textId="77777777" w:rsidR="004B4E35" w:rsidRPr="00405303" w:rsidRDefault="009E6F82" w:rsidP="00C15251">
            <w:pPr>
              <w:jc w:val="both"/>
              <w:rPr>
                <w:bCs/>
                <w:color w:val="002060"/>
                <w:sz w:val="16"/>
                <w:szCs w:val="16"/>
              </w:rPr>
            </w:pPr>
            <w:r w:rsidRPr="00405303">
              <w:rPr>
                <w:bCs/>
                <w:color w:val="002060"/>
                <w:sz w:val="16"/>
                <w:szCs w:val="16"/>
              </w:rPr>
              <w:t>4.000</w:t>
            </w:r>
          </w:p>
        </w:tc>
        <w:tc>
          <w:tcPr>
            <w:tcW w:w="984" w:type="dxa"/>
          </w:tcPr>
          <w:p w14:paraId="57EE6E30" w14:textId="77777777" w:rsidR="004B4E35" w:rsidRPr="00405303" w:rsidRDefault="009E6F82" w:rsidP="00C15251">
            <w:pPr>
              <w:jc w:val="both"/>
              <w:rPr>
                <w:bCs/>
                <w:color w:val="002060"/>
                <w:sz w:val="16"/>
                <w:szCs w:val="16"/>
              </w:rPr>
            </w:pPr>
            <w:r w:rsidRPr="00405303">
              <w:rPr>
                <w:bCs/>
                <w:color w:val="002060"/>
                <w:sz w:val="16"/>
                <w:szCs w:val="16"/>
              </w:rPr>
              <w:t>1.450.000</w:t>
            </w:r>
          </w:p>
        </w:tc>
        <w:tc>
          <w:tcPr>
            <w:tcW w:w="984" w:type="dxa"/>
          </w:tcPr>
          <w:p w14:paraId="7105FC7A" w14:textId="77777777" w:rsidR="004B4E35" w:rsidRPr="00405303" w:rsidRDefault="009E6F82" w:rsidP="00C15251">
            <w:pPr>
              <w:jc w:val="both"/>
              <w:rPr>
                <w:bCs/>
                <w:color w:val="002060"/>
                <w:sz w:val="16"/>
                <w:szCs w:val="16"/>
              </w:rPr>
            </w:pPr>
            <w:r w:rsidRPr="00405303">
              <w:rPr>
                <w:bCs/>
                <w:color w:val="002060"/>
                <w:sz w:val="16"/>
                <w:szCs w:val="16"/>
              </w:rPr>
              <w:t>1.800</w:t>
            </w:r>
          </w:p>
        </w:tc>
        <w:tc>
          <w:tcPr>
            <w:tcW w:w="1128" w:type="dxa"/>
          </w:tcPr>
          <w:p w14:paraId="0DB3DABF" w14:textId="77777777" w:rsidR="004B4E35" w:rsidRPr="00405303" w:rsidRDefault="009E6F82" w:rsidP="00C15251">
            <w:pPr>
              <w:jc w:val="both"/>
              <w:rPr>
                <w:bCs/>
                <w:color w:val="002060"/>
                <w:sz w:val="16"/>
                <w:szCs w:val="16"/>
              </w:rPr>
            </w:pPr>
            <w:r w:rsidRPr="00405303">
              <w:rPr>
                <w:bCs/>
                <w:color w:val="002060"/>
                <w:sz w:val="16"/>
                <w:szCs w:val="16"/>
              </w:rPr>
              <w:t>200.000</w:t>
            </w:r>
          </w:p>
        </w:tc>
      </w:tr>
    </w:tbl>
    <w:p w14:paraId="4AC16CC0" w14:textId="77777777" w:rsidR="004B4E35" w:rsidRPr="00405303" w:rsidRDefault="009E6F82" w:rsidP="00C15251">
      <w:pPr>
        <w:jc w:val="both"/>
        <w:rPr>
          <w:bCs/>
          <w:color w:val="002060"/>
          <w:sz w:val="16"/>
          <w:szCs w:val="16"/>
        </w:rPr>
      </w:pPr>
      <w:r w:rsidRPr="00405303">
        <w:rPr>
          <w:bCs/>
          <w:color w:val="002060"/>
          <w:sz w:val="16"/>
          <w:szCs w:val="16"/>
        </w:rPr>
        <w:t xml:space="preserve">Таким образом, сдача катастрофически отставала от плана. Это обстоятельство, естественно, создавало для компании крайне тяжелое финансовое положение, угрожавшее крахом, так как поступлений платежей не было, а расходы шли своим порядком. </w:t>
      </w:r>
    </w:p>
    <w:p w14:paraId="7975E6D3" w14:textId="77777777" w:rsidR="004B4E35" w:rsidRPr="00405303" w:rsidRDefault="009E6F82" w:rsidP="00C15251">
      <w:pPr>
        <w:jc w:val="both"/>
        <w:rPr>
          <w:bCs/>
          <w:color w:val="002060"/>
          <w:sz w:val="16"/>
          <w:szCs w:val="16"/>
        </w:rPr>
      </w:pPr>
      <w:r w:rsidRPr="00405303">
        <w:rPr>
          <w:bCs/>
          <w:color w:val="002060"/>
          <w:sz w:val="16"/>
          <w:szCs w:val="16"/>
        </w:rPr>
        <w:t xml:space="preserve">В декабре 1916 г. Заготовительным комитетом был канцелирован заказ на 300 000 винтовок. </w:t>
      </w:r>
    </w:p>
    <w:p w14:paraId="3B252E21" w14:textId="77777777" w:rsidR="004B4E35" w:rsidRPr="00405303" w:rsidRDefault="009E6F82" w:rsidP="00C15251">
      <w:pPr>
        <w:jc w:val="both"/>
        <w:rPr>
          <w:bCs/>
          <w:color w:val="002060"/>
          <w:sz w:val="16"/>
          <w:szCs w:val="16"/>
        </w:rPr>
      </w:pPr>
      <w:r w:rsidRPr="00405303">
        <w:rPr>
          <w:bCs/>
          <w:color w:val="002060"/>
          <w:sz w:val="16"/>
          <w:szCs w:val="16"/>
        </w:rPr>
        <w:t xml:space="preserve">В связи со всем этим Ремингтон возбудил вопрос о пересмотре контрактов, угрожая в противном случае остановить производство. Создавался, таким образом, конфликт, подобный тому, какой имел место с Вестингаузом. </w:t>
      </w:r>
    </w:p>
    <w:p w14:paraId="1C677D09" w14:textId="77777777" w:rsidR="004B4E35" w:rsidRPr="00405303" w:rsidRDefault="009E6F82" w:rsidP="00C15251">
      <w:pPr>
        <w:jc w:val="both"/>
        <w:rPr>
          <w:bCs/>
          <w:color w:val="002060"/>
          <w:sz w:val="16"/>
          <w:szCs w:val="16"/>
        </w:rPr>
      </w:pPr>
      <w:r w:rsidRPr="00405303">
        <w:rPr>
          <w:bCs/>
          <w:color w:val="002060"/>
          <w:sz w:val="16"/>
          <w:szCs w:val="16"/>
        </w:rPr>
        <w:t xml:space="preserve">Председатель Заготовительного комитета по этому поводу доносит в Петроград: "Завод Ремингтон, вероятно, опираясь на Вестингауза, получающего всякие льготы, начал опять подавать брак и тоже начинает протестовать против наших правильных требований". </w:t>
      </w:r>
    </w:p>
    <w:p w14:paraId="49347BF7" w14:textId="77777777" w:rsidR="004B4E35" w:rsidRPr="00405303" w:rsidRDefault="009E6F82" w:rsidP="00C15251">
      <w:pPr>
        <w:jc w:val="both"/>
        <w:rPr>
          <w:bCs/>
          <w:color w:val="002060"/>
          <w:sz w:val="16"/>
          <w:szCs w:val="16"/>
        </w:rPr>
      </w:pPr>
      <w:r w:rsidRPr="00405303">
        <w:rPr>
          <w:bCs/>
          <w:color w:val="002060"/>
          <w:sz w:val="16"/>
          <w:szCs w:val="16"/>
        </w:rPr>
        <w:t xml:space="preserve">Очевиден был сговор банков, которые требуют — или брать такие ружья, какие нам дают, или же, в противном случае, грозят закрыть завод, предпочитая не нести дальнейших убытков. Такое давление банков понятно, поскольку некоторые из директоров компании были в то же время директорами банков. </w:t>
      </w:r>
    </w:p>
    <w:p w14:paraId="7D848752"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В периоде переговоров об изменении условий контракта Ремингтон возбудил вопрос о передаче его завода в полное техническое управление русским инженерам-оружейникам. Одновременно такой же вопрос поставил и Вестингауз. </w:t>
      </w:r>
    </w:p>
    <w:p w14:paraId="604857C3" w14:textId="77777777" w:rsidR="004B4E35" w:rsidRPr="00405303" w:rsidRDefault="009E6F82" w:rsidP="00C15251">
      <w:pPr>
        <w:jc w:val="both"/>
        <w:rPr>
          <w:bCs/>
          <w:color w:val="002060"/>
          <w:sz w:val="16"/>
          <w:szCs w:val="16"/>
        </w:rPr>
      </w:pPr>
      <w:r w:rsidRPr="00405303">
        <w:rPr>
          <w:bCs/>
          <w:color w:val="002060"/>
          <w:sz w:val="16"/>
          <w:szCs w:val="16"/>
        </w:rPr>
        <w:t xml:space="preserve">В середине марта 1916 г. переговоры были задержаны почти на месяц союзной конференцией в Петрограде, после чего опять возобновились и шли успешно. </w:t>
      </w:r>
    </w:p>
    <w:p w14:paraId="525BC129" w14:textId="77777777" w:rsidR="004B4E35" w:rsidRPr="00405303" w:rsidRDefault="009E6F82" w:rsidP="00C15251">
      <w:pPr>
        <w:jc w:val="both"/>
        <w:rPr>
          <w:bCs/>
          <w:color w:val="002060"/>
          <w:sz w:val="16"/>
          <w:szCs w:val="16"/>
        </w:rPr>
      </w:pPr>
      <w:r w:rsidRPr="00405303">
        <w:rPr>
          <w:bCs/>
          <w:color w:val="002060"/>
          <w:sz w:val="16"/>
          <w:szCs w:val="16"/>
        </w:rPr>
        <w:t xml:space="preserve">После долгих переговоров и сношений с Лондоном и Петроградом был, наконец, 10 сентября 1917 г. подписан новый договор с фирмой Ремингтон, заменяющий предшествующие контракты. Основные положения нового договора сводились к следующему. </w:t>
      </w:r>
    </w:p>
    <w:p w14:paraId="250E1C43" w14:textId="77777777" w:rsidR="004B4E35" w:rsidRPr="00405303" w:rsidRDefault="009E6F82" w:rsidP="00C15251">
      <w:pPr>
        <w:jc w:val="both"/>
        <w:rPr>
          <w:bCs/>
          <w:color w:val="002060"/>
          <w:sz w:val="16"/>
          <w:szCs w:val="16"/>
        </w:rPr>
      </w:pPr>
      <w:r w:rsidRPr="00405303">
        <w:rPr>
          <w:bCs/>
          <w:color w:val="002060"/>
          <w:sz w:val="16"/>
          <w:szCs w:val="16"/>
        </w:rPr>
        <w:t xml:space="preserve">1) Заказ 1 500 000 ружей сокращается до 1 млн. </w:t>
      </w:r>
    </w:p>
    <w:p w14:paraId="295EEC11" w14:textId="77777777" w:rsidR="004B4E35" w:rsidRPr="00405303" w:rsidRDefault="009E6F82" w:rsidP="00C15251">
      <w:pPr>
        <w:jc w:val="both"/>
        <w:rPr>
          <w:bCs/>
          <w:color w:val="002060"/>
          <w:sz w:val="16"/>
          <w:szCs w:val="16"/>
        </w:rPr>
      </w:pPr>
      <w:r w:rsidRPr="00405303">
        <w:rPr>
          <w:bCs/>
          <w:color w:val="002060"/>
          <w:sz w:val="16"/>
          <w:szCs w:val="16"/>
        </w:rPr>
        <w:t xml:space="preserve">2) Организуется общество Новый Ремингтон, в котором половина акций принадлежит старому Ремингтону, другая — русскому правительству. </w:t>
      </w:r>
    </w:p>
    <w:p w14:paraId="399304B8" w14:textId="77777777" w:rsidR="004B4E35" w:rsidRPr="00405303" w:rsidRDefault="009E6F82" w:rsidP="00C15251">
      <w:pPr>
        <w:jc w:val="both"/>
        <w:rPr>
          <w:bCs/>
          <w:color w:val="002060"/>
          <w:sz w:val="16"/>
          <w:szCs w:val="16"/>
        </w:rPr>
      </w:pPr>
      <w:r w:rsidRPr="00405303">
        <w:rPr>
          <w:bCs/>
          <w:color w:val="002060"/>
          <w:sz w:val="16"/>
          <w:szCs w:val="16"/>
        </w:rPr>
        <w:t xml:space="preserve">3) Русское правительство вносит за акции 6 млн долларов, которые составляют половину капитала, затраченного фирмой в дело с начала работы по день нового контракта. </w:t>
      </w:r>
    </w:p>
    <w:p w14:paraId="5828D7B1" w14:textId="77777777" w:rsidR="004B4E35" w:rsidRPr="00405303" w:rsidRDefault="009E6F82" w:rsidP="00C15251">
      <w:pPr>
        <w:jc w:val="both"/>
        <w:rPr>
          <w:bCs/>
          <w:color w:val="002060"/>
          <w:sz w:val="16"/>
          <w:szCs w:val="16"/>
        </w:rPr>
      </w:pPr>
      <w:r w:rsidRPr="00405303">
        <w:rPr>
          <w:bCs/>
          <w:color w:val="002060"/>
          <w:sz w:val="16"/>
          <w:szCs w:val="16"/>
        </w:rPr>
        <w:t xml:space="preserve">4) Старый Ремингтон уступает Новому 0,68 доли участия в недвижимом имуществе, заводе и инвентаре, что отвечает потребности ружейного контракта. Часть имущества по особой описи вполне отчуждается Новому Ремингтону. </w:t>
      </w:r>
    </w:p>
    <w:p w14:paraId="31E77AC4" w14:textId="77777777" w:rsidR="004B4E35" w:rsidRPr="00405303" w:rsidRDefault="009E6F82" w:rsidP="00C15251">
      <w:pPr>
        <w:jc w:val="both"/>
        <w:rPr>
          <w:bCs/>
          <w:color w:val="002060"/>
          <w:sz w:val="16"/>
          <w:szCs w:val="16"/>
        </w:rPr>
      </w:pPr>
      <w:r w:rsidRPr="00405303">
        <w:rPr>
          <w:bCs/>
          <w:color w:val="002060"/>
          <w:sz w:val="16"/>
          <w:szCs w:val="16"/>
        </w:rPr>
        <w:t xml:space="preserve">5) Новый Ремингтон управляется директоратом из шести директоров — три от Ремингтона и три от Русского заготовительного комитета. </w:t>
      </w:r>
    </w:p>
    <w:p w14:paraId="185D8666" w14:textId="77777777" w:rsidR="004B4E35" w:rsidRPr="00405303" w:rsidRDefault="009E6F82" w:rsidP="00C15251">
      <w:pPr>
        <w:jc w:val="both"/>
        <w:rPr>
          <w:bCs/>
          <w:color w:val="002060"/>
          <w:sz w:val="16"/>
          <w:szCs w:val="16"/>
        </w:rPr>
      </w:pPr>
      <w:r w:rsidRPr="00405303">
        <w:rPr>
          <w:bCs/>
          <w:color w:val="002060"/>
          <w:sz w:val="16"/>
          <w:szCs w:val="16"/>
        </w:rPr>
        <w:t>6) Цена винтовки 30 долларов.</w:t>
      </w:r>
    </w:p>
    <w:p w14:paraId="56F9BEAF" w14:textId="77777777" w:rsidR="004B4E35" w:rsidRPr="00405303" w:rsidRDefault="009E6F82" w:rsidP="00C15251">
      <w:pPr>
        <w:jc w:val="both"/>
        <w:rPr>
          <w:bCs/>
          <w:color w:val="002060"/>
          <w:sz w:val="16"/>
          <w:szCs w:val="16"/>
        </w:rPr>
      </w:pPr>
      <w:r w:rsidRPr="00405303">
        <w:rPr>
          <w:bCs/>
          <w:color w:val="002060"/>
          <w:sz w:val="16"/>
          <w:szCs w:val="16"/>
        </w:rPr>
        <w:t xml:space="preserve">7) По окончании договора Россия приобретает от Нового Ремингтона машины, инструмент и пр. оборудование для оружейного дела. </w:t>
      </w:r>
    </w:p>
    <w:p w14:paraId="4615324A" w14:textId="77777777" w:rsidR="004B4E35" w:rsidRPr="00405303" w:rsidRDefault="009E6F82" w:rsidP="00C15251">
      <w:pPr>
        <w:jc w:val="both"/>
        <w:rPr>
          <w:bCs/>
          <w:color w:val="002060"/>
          <w:sz w:val="16"/>
          <w:szCs w:val="16"/>
        </w:rPr>
      </w:pPr>
      <w:r w:rsidRPr="00405303">
        <w:rPr>
          <w:bCs/>
          <w:color w:val="002060"/>
          <w:sz w:val="16"/>
          <w:szCs w:val="16"/>
        </w:rPr>
        <w:t xml:space="preserve">Указанное соглашение было принято Заготовительным комитетом под давлением обстоятельств, так как иного выхода не было: ружья были до зарезу нужны, а крах фирмы во всех отношениях для России был неприемлем. </w:t>
      </w:r>
    </w:p>
    <w:p w14:paraId="36371E3F" w14:textId="77777777" w:rsidR="004B4E35" w:rsidRPr="00405303" w:rsidRDefault="009E6F82" w:rsidP="00C15251">
      <w:pPr>
        <w:jc w:val="both"/>
        <w:rPr>
          <w:bCs/>
          <w:color w:val="002060"/>
          <w:sz w:val="16"/>
          <w:szCs w:val="16"/>
        </w:rPr>
      </w:pPr>
      <w:r w:rsidRPr="00405303">
        <w:rPr>
          <w:bCs/>
          <w:color w:val="002060"/>
          <w:sz w:val="16"/>
          <w:szCs w:val="16"/>
        </w:rPr>
        <w:t xml:space="preserve">Таким образом, с подписанием нового контракта производство стало быстро прогрессировать, в то время как в период переговоров и неопределенности оно значительно упало. С мая по сентябрь 1917 г. завод выпускал примерно по 30 000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80"/>
        <w:gridCol w:w="816"/>
      </w:tblGrid>
      <w:tr w:rsidR="004B4E35" w:rsidRPr="00405303" w14:paraId="3F9F02BE" w14:textId="77777777">
        <w:tc>
          <w:tcPr>
            <w:tcW w:w="1680" w:type="dxa"/>
          </w:tcPr>
          <w:p w14:paraId="7B9016CC" w14:textId="77777777" w:rsidR="004B4E35" w:rsidRPr="00405303" w:rsidRDefault="009E6F82" w:rsidP="00C15251">
            <w:pPr>
              <w:jc w:val="both"/>
              <w:rPr>
                <w:bCs/>
                <w:color w:val="002060"/>
                <w:sz w:val="16"/>
                <w:szCs w:val="16"/>
              </w:rPr>
            </w:pPr>
            <w:r w:rsidRPr="00405303">
              <w:rPr>
                <w:bCs/>
                <w:color w:val="002060"/>
                <w:sz w:val="16"/>
                <w:szCs w:val="16"/>
              </w:rPr>
              <w:t>в сентябре 1917 г.</w:t>
            </w:r>
          </w:p>
        </w:tc>
        <w:tc>
          <w:tcPr>
            <w:tcW w:w="816" w:type="dxa"/>
          </w:tcPr>
          <w:p w14:paraId="61C78DFD" w14:textId="77777777" w:rsidR="004B4E35" w:rsidRPr="00405303" w:rsidRDefault="009E6F82" w:rsidP="00C15251">
            <w:pPr>
              <w:jc w:val="both"/>
              <w:rPr>
                <w:bCs/>
                <w:color w:val="002060"/>
                <w:sz w:val="16"/>
                <w:szCs w:val="16"/>
              </w:rPr>
            </w:pPr>
            <w:r w:rsidRPr="00405303">
              <w:rPr>
                <w:bCs/>
                <w:color w:val="002060"/>
                <w:sz w:val="16"/>
                <w:szCs w:val="16"/>
              </w:rPr>
              <w:t xml:space="preserve">52 000 </w:t>
            </w:r>
          </w:p>
        </w:tc>
      </w:tr>
      <w:tr w:rsidR="004B4E35" w:rsidRPr="00405303" w14:paraId="23D73B93" w14:textId="77777777">
        <w:tc>
          <w:tcPr>
            <w:tcW w:w="1680" w:type="dxa"/>
          </w:tcPr>
          <w:p w14:paraId="52391913" w14:textId="77777777" w:rsidR="004B4E35" w:rsidRPr="00405303" w:rsidRDefault="009E6F82" w:rsidP="00C15251">
            <w:pPr>
              <w:jc w:val="both"/>
              <w:rPr>
                <w:bCs/>
                <w:color w:val="002060"/>
                <w:sz w:val="16"/>
                <w:szCs w:val="16"/>
              </w:rPr>
            </w:pPr>
            <w:r w:rsidRPr="00405303">
              <w:rPr>
                <w:bCs/>
                <w:color w:val="002060"/>
                <w:sz w:val="16"/>
                <w:szCs w:val="16"/>
              </w:rPr>
              <w:t>в октябре</w:t>
            </w:r>
          </w:p>
        </w:tc>
        <w:tc>
          <w:tcPr>
            <w:tcW w:w="816" w:type="dxa"/>
          </w:tcPr>
          <w:p w14:paraId="7383D6E0" w14:textId="77777777" w:rsidR="004B4E35" w:rsidRPr="00405303" w:rsidRDefault="009E6F82" w:rsidP="00C15251">
            <w:pPr>
              <w:jc w:val="both"/>
              <w:rPr>
                <w:bCs/>
                <w:color w:val="002060"/>
                <w:sz w:val="16"/>
                <w:szCs w:val="16"/>
              </w:rPr>
            </w:pPr>
            <w:r w:rsidRPr="00405303">
              <w:rPr>
                <w:bCs/>
                <w:color w:val="002060"/>
                <w:sz w:val="16"/>
                <w:szCs w:val="16"/>
              </w:rPr>
              <w:t xml:space="preserve">70 000 </w:t>
            </w:r>
          </w:p>
        </w:tc>
      </w:tr>
      <w:tr w:rsidR="004B4E35" w:rsidRPr="00405303" w14:paraId="55F1C35A" w14:textId="77777777">
        <w:tc>
          <w:tcPr>
            <w:tcW w:w="1680" w:type="dxa"/>
          </w:tcPr>
          <w:p w14:paraId="131534F8" w14:textId="77777777" w:rsidR="004B4E35" w:rsidRPr="00405303" w:rsidRDefault="009E6F82" w:rsidP="00C15251">
            <w:pPr>
              <w:jc w:val="both"/>
              <w:rPr>
                <w:bCs/>
                <w:color w:val="002060"/>
                <w:sz w:val="16"/>
                <w:szCs w:val="16"/>
              </w:rPr>
            </w:pPr>
            <w:r w:rsidRPr="00405303">
              <w:rPr>
                <w:bCs/>
                <w:color w:val="002060"/>
                <w:sz w:val="16"/>
                <w:szCs w:val="16"/>
              </w:rPr>
              <w:t>в ноябре</w:t>
            </w:r>
          </w:p>
        </w:tc>
        <w:tc>
          <w:tcPr>
            <w:tcW w:w="816" w:type="dxa"/>
          </w:tcPr>
          <w:p w14:paraId="2F9DDB45" w14:textId="77777777" w:rsidR="004B4E35" w:rsidRPr="00405303" w:rsidRDefault="009E6F82" w:rsidP="00C15251">
            <w:pPr>
              <w:jc w:val="both"/>
              <w:rPr>
                <w:bCs/>
                <w:color w:val="002060"/>
                <w:sz w:val="16"/>
                <w:szCs w:val="16"/>
              </w:rPr>
            </w:pPr>
            <w:r w:rsidRPr="00405303">
              <w:rPr>
                <w:bCs/>
                <w:color w:val="002060"/>
                <w:sz w:val="16"/>
                <w:szCs w:val="16"/>
              </w:rPr>
              <w:t xml:space="preserve">108 000 </w:t>
            </w:r>
          </w:p>
        </w:tc>
      </w:tr>
      <w:tr w:rsidR="004B4E35" w:rsidRPr="00405303" w14:paraId="05C1A476" w14:textId="77777777">
        <w:tc>
          <w:tcPr>
            <w:tcW w:w="1680" w:type="dxa"/>
          </w:tcPr>
          <w:p w14:paraId="36E03301" w14:textId="77777777" w:rsidR="004B4E35" w:rsidRPr="00405303" w:rsidRDefault="009E6F82" w:rsidP="00C15251">
            <w:pPr>
              <w:jc w:val="both"/>
              <w:rPr>
                <w:bCs/>
                <w:color w:val="002060"/>
                <w:sz w:val="16"/>
                <w:szCs w:val="16"/>
              </w:rPr>
            </w:pPr>
            <w:r w:rsidRPr="00405303">
              <w:rPr>
                <w:bCs/>
                <w:color w:val="002060"/>
                <w:sz w:val="16"/>
                <w:szCs w:val="16"/>
              </w:rPr>
              <w:t>в декабре</w:t>
            </w:r>
          </w:p>
        </w:tc>
        <w:tc>
          <w:tcPr>
            <w:tcW w:w="816" w:type="dxa"/>
          </w:tcPr>
          <w:p w14:paraId="52118900" w14:textId="77777777" w:rsidR="004B4E35" w:rsidRPr="00405303" w:rsidRDefault="009E6F82" w:rsidP="00C15251">
            <w:pPr>
              <w:jc w:val="both"/>
              <w:rPr>
                <w:bCs/>
                <w:color w:val="002060"/>
                <w:sz w:val="16"/>
                <w:szCs w:val="16"/>
              </w:rPr>
            </w:pPr>
            <w:r w:rsidRPr="00405303">
              <w:rPr>
                <w:bCs/>
                <w:color w:val="002060"/>
                <w:sz w:val="16"/>
                <w:szCs w:val="16"/>
              </w:rPr>
              <w:t xml:space="preserve">107 000 </w:t>
            </w:r>
          </w:p>
        </w:tc>
      </w:tr>
    </w:tbl>
    <w:p w14:paraId="70CF0613" w14:textId="77777777" w:rsidR="004B4E35" w:rsidRPr="00405303" w:rsidRDefault="009E6F82" w:rsidP="00C15251">
      <w:pPr>
        <w:jc w:val="both"/>
        <w:rPr>
          <w:bCs/>
          <w:color w:val="002060"/>
          <w:sz w:val="16"/>
          <w:szCs w:val="16"/>
        </w:rPr>
      </w:pPr>
      <w:r w:rsidRPr="00405303">
        <w:rPr>
          <w:bCs/>
          <w:color w:val="002060"/>
          <w:sz w:val="16"/>
          <w:szCs w:val="16"/>
        </w:rPr>
        <w:t xml:space="preserve">В конце 1917 г. в связи с прекращением войны Россией началась общая ликвидация работ Заготовительного комитета. Ввиду этого с Ремингтоном было выработано в январе 1918 г. особое соглашение о ликвидации контрактов. </w:t>
      </w:r>
    </w:p>
    <w:p w14:paraId="5129047B" w14:textId="77777777" w:rsidR="004B4E35" w:rsidRPr="00405303" w:rsidRDefault="009E6F82" w:rsidP="00C15251">
      <w:pPr>
        <w:jc w:val="both"/>
        <w:rPr>
          <w:bCs/>
          <w:color w:val="002060"/>
          <w:sz w:val="16"/>
          <w:szCs w:val="16"/>
        </w:rPr>
      </w:pPr>
      <w:r w:rsidRPr="00405303">
        <w:rPr>
          <w:bCs/>
          <w:color w:val="002060"/>
          <w:sz w:val="16"/>
          <w:szCs w:val="16"/>
        </w:rPr>
        <w:t xml:space="preserve">Нет надобности входить в детали этого соглашения, оно чрезвычайно сложно, что и понятно при той исключительной сложности взаимоотношения сторон, которое создавалась при учреждении общества Новый Ремингтон. В общем счете всего сдано Ремингтоном 840 307 винтовок. К сожалению, не имеется данных, коими можно было бы установить, сколько же этих ружей попало в Россию и сколько Россия уплатила фирме за все время, чтобы подсчитать, во что обошлось ружье. </w:t>
      </w:r>
    </w:p>
    <w:p w14:paraId="2D9DCD02" w14:textId="77777777" w:rsidR="004B4E35" w:rsidRPr="00405303" w:rsidRDefault="009E6F82" w:rsidP="00C15251">
      <w:pPr>
        <w:jc w:val="both"/>
        <w:rPr>
          <w:bCs/>
          <w:color w:val="002060"/>
          <w:sz w:val="16"/>
          <w:szCs w:val="16"/>
        </w:rPr>
      </w:pPr>
      <w:r w:rsidRPr="00405303">
        <w:rPr>
          <w:bCs/>
          <w:color w:val="002060"/>
          <w:sz w:val="16"/>
          <w:szCs w:val="16"/>
        </w:rPr>
        <w:t>В итоге заказ был выполнен Ремингтоном только в 55% его первоначального контрактного объема, причем часть эта исполнена с запозданием на 20 месяцев против контрактного срока для всего заказа (11329).</w:t>
      </w:r>
    </w:p>
    <w:p w14:paraId="19CE95E7" w14:textId="77777777" w:rsidR="004B4E35" w:rsidRPr="00405303" w:rsidRDefault="004B4E35" w:rsidP="00C15251">
      <w:pPr>
        <w:pStyle w:val="a3"/>
        <w:jc w:val="both"/>
        <w:rPr>
          <w:bCs/>
          <w:color w:val="002060"/>
          <w:spacing w:val="0"/>
          <w:kern w:val="0"/>
          <w:position w:val="0"/>
          <w:sz w:val="16"/>
          <w:szCs w:val="16"/>
        </w:rPr>
      </w:pPr>
    </w:p>
    <w:p w14:paraId="48DD5342"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6DCFE33D" w14:textId="77777777" w:rsidR="004B4E35" w:rsidRPr="00405303" w:rsidRDefault="004B4E35" w:rsidP="00C15251">
      <w:pPr>
        <w:pStyle w:val="a3"/>
        <w:jc w:val="both"/>
        <w:rPr>
          <w:bCs/>
          <w:color w:val="002060"/>
          <w:spacing w:val="0"/>
          <w:kern w:val="0"/>
          <w:position w:val="0"/>
          <w:sz w:val="16"/>
          <w:szCs w:val="16"/>
        </w:rPr>
      </w:pPr>
    </w:p>
    <w:p w14:paraId="5B4D9A50" w14:textId="77777777" w:rsidR="004B4E35" w:rsidRPr="00405303" w:rsidRDefault="009E6F82" w:rsidP="00C15251">
      <w:pPr>
        <w:jc w:val="both"/>
        <w:rPr>
          <w:bCs/>
          <w:color w:val="002060"/>
          <w:sz w:val="16"/>
          <w:szCs w:val="16"/>
        </w:rPr>
      </w:pPr>
      <w:r w:rsidRPr="00405303">
        <w:rPr>
          <w:bCs/>
          <w:color w:val="002060"/>
          <w:sz w:val="16"/>
          <w:szCs w:val="16"/>
        </w:rPr>
        <w:t>27 января (9 февраля) 1915 г. на РБВЗ Авиабалт внезапно на заводе вспыхнул пожар. Поговаривали, что это дело рук германских шпионов. В результате выгорел весь главный двухэтажный корпус. Страховка была выплачена, но погиб весь задел строившихся самолетов. Уцелела только чугунная фигура Петра Великого, стоявшая у входа в корпус. Спасти удалось лишь некоторые части серийных С-12бис. Месяцы ушли на восстановление завода. Массу хлопот доставлял не только процесс восстановления. Много неприятностей имел М. Ф. Климиксеев, например, с местным полицейским приставом, который не давал разрешения на восстановление производства, пока не были приняты необходимые меры обеспечения безопасности труда рабочих (11196).</w:t>
      </w:r>
    </w:p>
    <w:p w14:paraId="4B25D258" w14:textId="77777777" w:rsidR="004B4E35" w:rsidRPr="00405303" w:rsidRDefault="004B4E35" w:rsidP="00C15251">
      <w:pPr>
        <w:jc w:val="both"/>
        <w:rPr>
          <w:bCs/>
          <w:color w:val="002060"/>
          <w:sz w:val="16"/>
          <w:szCs w:val="16"/>
        </w:rPr>
      </w:pPr>
    </w:p>
    <w:p w14:paraId="6E073A9E" w14:textId="26E7DF96" w:rsidR="00C75EFF" w:rsidRPr="00405303" w:rsidRDefault="00C75EFF" w:rsidP="00C15251">
      <w:pPr>
        <w:jc w:val="both"/>
        <w:rPr>
          <w:bCs/>
          <w:color w:val="002060"/>
          <w:sz w:val="16"/>
          <w:szCs w:val="16"/>
        </w:rPr>
      </w:pPr>
      <w:r w:rsidRPr="00405303">
        <w:rPr>
          <w:bCs/>
          <w:color w:val="002060"/>
          <w:sz w:val="16"/>
          <w:szCs w:val="16"/>
        </w:rPr>
        <w:t>27 января (9 февраля) 1915 г. внезапно на заводе РБВЗ в Петербурге вспыхнул пожар. Поговари</w:t>
      </w:r>
      <w:r w:rsidRPr="00405303">
        <w:rPr>
          <w:bCs/>
          <w:color w:val="002060"/>
          <w:sz w:val="16"/>
          <w:szCs w:val="16"/>
        </w:rPr>
        <w:softHyphen/>
        <w:t>вали, что это дело рук германских шпионов. В резуль</w:t>
      </w:r>
      <w:r w:rsidRPr="00405303">
        <w:rPr>
          <w:bCs/>
          <w:color w:val="002060"/>
          <w:sz w:val="16"/>
          <w:szCs w:val="16"/>
        </w:rPr>
        <w:softHyphen/>
        <w:t>тате выгорел весь главный двухэтажный корпус. Стра</w:t>
      </w:r>
      <w:r w:rsidRPr="00405303">
        <w:rPr>
          <w:bCs/>
          <w:color w:val="002060"/>
          <w:sz w:val="16"/>
          <w:szCs w:val="16"/>
        </w:rPr>
        <w:softHyphen/>
        <w:t>ховка была выплачена, но погиб весь задел строившихся самолетов. Уцелела только чугунная фи</w:t>
      </w:r>
      <w:r w:rsidRPr="00405303">
        <w:rPr>
          <w:bCs/>
          <w:color w:val="002060"/>
          <w:sz w:val="16"/>
          <w:szCs w:val="16"/>
        </w:rPr>
        <w:softHyphen/>
        <w:t>гура Петра Великого, стоявшая у входа в корпус. Спа</w:t>
      </w:r>
      <w:r w:rsidRPr="00405303">
        <w:rPr>
          <w:bCs/>
          <w:color w:val="002060"/>
          <w:sz w:val="16"/>
          <w:szCs w:val="16"/>
        </w:rPr>
        <w:softHyphen/>
        <w:t>сти удалось лишь некоторые части серийных С-12бис. Месяцы ушли на восстановление завода. Массу хлопот доставлял не только процесс восстановления. Много не</w:t>
      </w:r>
      <w:r w:rsidRPr="00405303">
        <w:rPr>
          <w:bCs/>
          <w:color w:val="002060"/>
          <w:sz w:val="16"/>
          <w:szCs w:val="16"/>
        </w:rPr>
        <w:softHyphen/>
        <w:t>приятностей имел М. Ф. Климиксеев, который замещал Сикроского, находящегося в эскадре, например, с мес</w:t>
      </w:r>
      <w:r w:rsidRPr="00405303">
        <w:rPr>
          <w:bCs/>
          <w:color w:val="002060"/>
          <w:sz w:val="16"/>
          <w:szCs w:val="16"/>
        </w:rPr>
        <w:softHyphen/>
        <w:t>тным полицейским приставом, который не давал разре</w:t>
      </w:r>
      <w:r w:rsidRPr="00405303">
        <w:rPr>
          <w:bCs/>
          <w:color w:val="002060"/>
          <w:sz w:val="16"/>
          <w:szCs w:val="16"/>
        </w:rPr>
        <w:softHyphen/>
        <w:t>шения на восстановление производства, пока не были приняты необходимые меры обеспечения безопасности труда рабочих. Весной 1915 г. производство было восстановлено (24177).</w:t>
      </w:r>
    </w:p>
    <w:p w14:paraId="2660A753" w14:textId="77777777" w:rsidR="00C75EFF" w:rsidRPr="00405303" w:rsidRDefault="00C75EFF" w:rsidP="00C15251">
      <w:pPr>
        <w:jc w:val="both"/>
        <w:rPr>
          <w:bCs/>
          <w:color w:val="002060"/>
          <w:sz w:val="16"/>
          <w:szCs w:val="16"/>
        </w:rPr>
      </w:pPr>
    </w:p>
    <w:p w14:paraId="1132178A" w14:textId="04BFF12B" w:rsidR="003D7D74" w:rsidRPr="00405303" w:rsidRDefault="003D7D74" w:rsidP="00C15251">
      <w:pPr>
        <w:jc w:val="both"/>
        <w:rPr>
          <w:bCs/>
          <w:color w:val="002060"/>
          <w:sz w:val="16"/>
          <w:szCs w:val="16"/>
        </w:rPr>
      </w:pPr>
      <w:r w:rsidRPr="00405303">
        <w:rPr>
          <w:bCs/>
          <w:color w:val="002060"/>
          <w:sz w:val="16"/>
          <w:szCs w:val="16"/>
        </w:rPr>
        <w:t xml:space="preserve">27 января (9 февраля) 1915 г. внезапно на заводе </w:t>
      </w:r>
      <w:r w:rsidR="000512CF" w:rsidRPr="00405303">
        <w:rPr>
          <w:bCs/>
          <w:color w:val="002060"/>
          <w:sz w:val="16"/>
          <w:szCs w:val="16"/>
        </w:rPr>
        <w:t xml:space="preserve">РБВЗ Авиабалт </w:t>
      </w:r>
      <w:r w:rsidRPr="00405303">
        <w:rPr>
          <w:bCs/>
          <w:color w:val="002060"/>
          <w:sz w:val="16"/>
          <w:szCs w:val="16"/>
        </w:rPr>
        <w:t>вспыхнул пожар. Поговаривали, что это дело рук германских шпионов. В результате выгорел весь главный двухэтажный корпус. Страховка была выплачена, но погиб весь задел строившихся самолетов. Уцелела только чугунная фигура Петра Великого, стоявшая у входа в корпус. Спасти удалось лишь некоторые части серийных С-12бис. Месяцы ушли на восстановление завода. Массу хлопот доставлял не только процесс восстановления. Много неприятностей имел М. Ф. Климиксеев, например, с местным полицейским приставом, который не давал разрешения на восстановление производства, пока не были приняты необходимые меры обеспечения безопасности труда рабочих (19963).</w:t>
      </w:r>
    </w:p>
    <w:p w14:paraId="49BDC680" w14:textId="77777777" w:rsidR="003D7D74" w:rsidRPr="00405303" w:rsidRDefault="003D7D74" w:rsidP="00C15251">
      <w:pPr>
        <w:jc w:val="both"/>
        <w:rPr>
          <w:bCs/>
          <w:color w:val="002060"/>
          <w:sz w:val="16"/>
          <w:szCs w:val="16"/>
        </w:rPr>
      </w:pPr>
    </w:p>
    <w:p w14:paraId="0503474C" w14:textId="308BF843" w:rsidR="004B4E35" w:rsidRPr="00405303" w:rsidRDefault="009E6F82" w:rsidP="00C15251">
      <w:pPr>
        <w:jc w:val="both"/>
        <w:rPr>
          <w:bCs/>
          <w:color w:val="002060"/>
          <w:sz w:val="16"/>
          <w:szCs w:val="16"/>
        </w:rPr>
      </w:pPr>
      <w:r w:rsidRPr="00405303">
        <w:rPr>
          <w:bCs/>
          <w:color w:val="002060"/>
          <w:sz w:val="16"/>
          <w:szCs w:val="16"/>
        </w:rPr>
        <w:t xml:space="preserve">27 января (9 февраля) 1915 г. внезапно на заводе </w:t>
      </w:r>
      <w:r w:rsidR="000512CF" w:rsidRPr="00405303">
        <w:rPr>
          <w:bCs/>
          <w:color w:val="002060"/>
          <w:sz w:val="16"/>
          <w:szCs w:val="16"/>
        </w:rPr>
        <w:t xml:space="preserve">РБВЗ Авиабалт </w:t>
      </w:r>
      <w:r w:rsidRPr="00405303">
        <w:rPr>
          <w:bCs/>
          <w:color w:val="002060"/>
          <w:sz w:val="16"/>
          <w:szCs w:val="16"/>
        </w:rPr>
        <w:t>вспыхнул пожар. Поговаривали, что это дело рук германских шпионов. В результате выгорел весь главный двухэтажный корпус. Страховка была выплачена, но погиб весь задел строившихся самолетов. Уцелела только чугунная фигура Петра Великого, стоявшая у входа в корпус. Спасти удалось лишь некоторые части серийных С-12бис. Месяцы ушли на восстановление завода. Массу хлопот доставлял не только процесс восстановления. Много неприятностей имел М. Ф. Климиксеев, например, с местным полицейским приставом, который не давал разрешения на восстановление производства, пока не были приняты необходимые меры обеспечения безопасности труда рабочих (11230).</w:t>
      </w:r>
    </w:p>
    <w:p w14:paraId="69D2F377" w14:textId="77777777" w:rsidR="004B4E35" w:rsidRPr="00405303" w:rsidRDefault="004B4E35" w:rsidP="00C15251">
      <w:pPr>
        <w:jc w:val="both"/>
        <w:rPr>
          <w:bCs/>
          <w:color w:val="002060"/>
          <w:sz w:val="16"/>
          <w:szCs w:val="16"/>
        </w:rPr>
      </w:pPr>
    </w:p>
    <w:p w14:paraId="5CD319A9" w14:textId="6B60D5EC" w:rsidR="00DC4F95" w:rsidRPr="00405303" w:rsidRDefault="00DC4F95" w:rsidP="00C15251">
      <w:pPr>
        <w:jc w:val="both"/>
        <w:rPr>
          <w:bCs/>
          <w:color w:val="002060"/>
          <w:sz w:val="16"/>
          <w:szCs w:val="16"/>
        </w:rPr>
      </w:pPr>
      <w:r w:rsidRPr="00405303">
        <w:rPr>
          <w:bCs/>
          <w:color w:val="002060"/>
          <w:sz w:val="16"/>
          <w:szCs w:val="16"/>
        </w:rPr>
        <w:t xml:space="preserve">27 января </w:t>
      </w:r>
      <w:r w:rsidR="000512CF" w:rsidRPr="00405303">
        <w:rPr>
          <w:bCs/>
          <w:color w:val="002060"/>
          <w:sz w:val="16"/>
          <w:szCs w:val="16"/>
        </w:rPr>
        <w:t xml:space="preserve">(9 февраля) </w:t>
      </w:r>
      <w:r w:rsidRPr="00405303">
        <w:rPr>
          <w:bCs/>
          <w:color w:val="002060"/>
          <w:sz w:val="16"/>
          <w:szCs w:val="16"/>
        </w:rPr>
        <w:t>1915 г. на Авиабалте внезапно на заводе вспыхнул пожар. Поговаривали, что это дело рук германских шпионов. В результате выгорел весь главный двухэтажный корпус. Страховка была выплачена, но погиб весь задел строившихся самолетов. Уцелела только чугунная фигура Петра Великого, стоявшая у входа в корпус. Спасти удалось лишь некоторые части серийных С-12бис. Месяцы ушли на восстановление завода. Массу хлопот доставлял не только процесс восстановления. Много неприятностей имел М. Ф. Климиксеев, например, с местным полицейским приставом, который не давал разрешения на восстановление производства, пока не были приняты необходимые меры обеспечения безопасности труда рабочих.</w:t>
      </w:r>
    </w:p>
    <w:p w14:paraId="298C44C8" w14:textId="354DD360" w:rsidR="00DC4F95" w:rsidRPr="00405303" w:rsidRDefault="00DC4F95" w:rsidP="00C15251">
      <w:pPr>
        <w:jc w:val="both"/>
        <w:rPr>
          <w:bCs/>
          <w:color w:val="002060"/>
          <w:sz w:val="16"/>
          <w:szCs w:val="16"/>
        </w:rPr>
      </w:pPr>
      <w:r w:rsidRPr="00405303">
        <w:rPr>
          <w:bCs/>
          <w:color w:val="002060"/>
          <w:sz w:val="16"/>
          <w:szCs w:val="16"/>
        </w:rPr>
        <w:t>Весной 1915 г. производство было восстановлено. Военные к этому времени определили свое отношение к «Муромцам», и на</w:t>
      </w:r>
      <w:r w:rsidR="000F5756">
        <w:rPr>
          <w:bCs/>
          <w:color w:val="002060"/>
          <w:sz w:val="16"/>
          <w:szCs w:val="16"/>
        </w:rPr>
        <w:t xml:space="preserve"> </w:t>
      </w:r>
      <w:r w:rsidRPr="00405303">
        <w:rPr>
          <w:bCs/>
          <w:color w:val="002060"/>
          <w:sz w:val="16"/>
          <w:szCs w:val="16"/>
        </w:rPr>
        <w:t>РБВЗ</w:t>
      </w:r>
      <w:r w:rsidR="000F5756">
        <w:rPr>
          <w:bCs/>
          <w:color w:val="002060"/>
          <w:sz w:val="16"/>
          <w:szCs w:val="16"/>
        </w:rPr>
        <w:t xml:space="preserve"> </w:t>
      </w:r>
      <w:r w:rsidRPr="00405303">
        <w:rPr>
          <w:bCs/>
          <w:color w:val="002060"/>
          <w:sz w:val="16"/>
          <w:szCs w:val="16"/>
        </w:rPr>
        <w:t>началась лихорадочная подготовка к скорейшему выполнению заказа на 32 корабля. Заводу он был очень выгоден - за каждого «Муромца» военное ведомство по-прежнему платило 150 тыс. руб. Для сравнения можно отметить, что цена маленького самолета составляла от 7 до 14 тыс. руб. Вот в этих условиях Воздухоплавательное отделение и было выделено в самостоятельный Русско-Балтийский воздухоплавательный завод - «Авиа-Балт»,</w:t>
      </w:r>
      <w:r w:rsidR="000F5756">
        <w:rPr>
          <w:bCs/>
          <w:color w:val="002060"/>
          <w:sz w:val="16"/>
          <w:szCs w:val="16"/>
        </w:rPr>
        <w:t xml:space="preserve"> </w:t>
      </w:r>
      <w:r w:rsidRPr="00405303">
        <w:rPr>
          <w:bCs/>
          <w:color w:val="002060"/>
          <w:sz w:val="16"/>
          <w:szCs w:val="16"/>
        </w:rPr>
        <w:t>директором</w:t>
      </w:r>
      <w:r w:rsidR="000F5756">
        <w:rPr>
          <w:bCs/>
          <w:color w:val="002060"/>
          <w:sz w:val="16"/>
          <w:szCs w:val="16"/>
        </w:rPr>
        <w:t xml:space="preserve"> </w:t>
      </w:r>
      <w:r w:rsidRPr="00405303">
        <w:rPr>
          <w:bCs/>
          <w:color w:val="002060"/>
          <w:sz w:val="16"/>
          <w:szCs w:val="16"/>
        </w:rPr>
        <w:t xml:space="preserve">которого стал все тот же энергичный М. Ф. Климиксеев. В своей пояснительной записке о регистрации завода он отмечал: «Производство заключается в изготовлении аэропланов, Воздушных Кораблей и запасных частей к ним, а также их ремонт. Для изготовления аэропланов необходимы следующие мастерские: слесарно-механическая, моторная, деревообделочная - распиливающая лесной материал, столярная - производящая сборку отдельных частей аэропланов, обойная и, наконец, малярная. Центральными мастерскими являются: столярная и </w:t>
      </w:r>
      <w:r w:rsidRPr="00405303">
        <w:rPr>
          <w:bCs/>
          <w:color w:val="002060"/>
          <w:sz w:val="16"/>
          <w:szCs w:val="16"/>
        </w:rPr>
        <w:lastRenderedPageBreak/>
        <w:t xml:space="preserve">слесарно-механическая с наибольшим количеством рабочих, станков и прочего оборудования, остальные мастерские являются второстепенными и в них занято значительно меньшее число </w:t>
      </w:r>
      <w:proofErr w:type="gramStart"/>
      <w:r w:rsidRPr="00405303">
        <w:rPr>
          <w:bCs/>
          <w:color w:val="002060"/>
          <w:sz w:val="16"/>
          <w:szCs w:val="16"/>
        </w:rPr>
        <w:t>рабочих»…</w:t>
      </w:r>
      <w:proofErr w:type="gramEnd"/>
    </w:p>
    <w:p w14:paraId="05378513" w14:textId="77777777" w:rsidR="00DC4F95" w:rsidRPr="00405303" w:rsidRDefault="00DC4F95" w:rsidP="00C15251">
      <w:pPr>
        <w:jc w:val="both"/>
        <w:rPr>
          <w:bCs/>
          <w:color w:val="002060"/>
          <w:sz w:val="16"/>
          <w:szCs w:val="16"/>
        </w:rPr>
      </w:pPr>
    </w:p>
    <w:p w14:paraId="3DF8EA44"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11400DAB" w14:textId="77777777" w:rsidR="004B4E35" w:rsidRPr="00405303" w:rsidRDefault="004B4E35" w:rsidP="00C15251">
      <w:pPr>
        <w:shd w:val="clear" w:color="auto" w:fill="FFFFFF"/>
        <w:jc w:val="both"/>
        <w:rPr>
          <w:bCs/>
          <w:i/>
          <w:color w:val="002060"/>
          <w:sz w:val="16"/>
          <w:szCs w:val="16"/>
        </w:rPr>
      </w:pPr>
    </w:p>
    <w:p w14:paraId="4243C55B" w14:textId="6DEA903C"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27 января (9 февраля) 1915 г. </w:t>
      </w:r>
      <w:r w:rsidR="000512CF" w:rsidRPr="00405303">
        <w:rPr>
          <w:bCs/>
          <w:i w:val="0"/>
          <w:color w:val="002060"/>
          <w:spacing w:val="0"/>
          <w:kern w:val="0"/>
          <w:position w:val="0"/>
          <w:sz w:val="16"/>
          <w:szCs w:val="16"/>
        </w:rPr>
        <w:t xml:space="preserve">как и 26 июля (8 августа) 1914 в выступлениях Милюкова с думской трибуны прозвучало обоснование тактики укрепления позиций в государственной системе управления путем соглашений с царизмом, посредством тактики внутреннего мира. </w:t>
      </w:r>
      <w:r w:rsidRPr="00405303">
        <w:rPr>
          <w:bCs/>
          <w:i w:val="0"/>
          <w:color w:val="002060"/>
          <w:spacing w:val="0"/>
          <w:kern w:val="0"/>
          <w:position w:val="0"/>
          <w:sz w:val="16"/>
          <w:szCs w:val="16"/>
        </w:rPr>
        <w:t>В своей речи 26 июля он, в частности, заявил: «В этой борьбе мы все заодно — мы не ставим условий и требований: мы просто кладем на весы борьбы нашу твердую волю одолеть насильника».</w:t>
      </w:r>
    </w:p>
    <w:p w14:paraId="3CF717B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Тем не менее тревога за исход и последствия войны либералов никогла не покидала. Еще 2 августа 1914 г. на заседании ЦК кадетской партии Милюков вынужден был признать, что «единство 26 июля» является «довольно фиктивным», но его «надо всё же некоторое время поддерживать», ибо «демонстрация расхождения между властью и народом сейчас была бы очень неудобна с общей точки зрения». Но уже 14 ноября 1914 г. на заседании ЦК кадетской партии обсуждается вопрос о возможности революции во время войны. Интенсивность обсуждения этого вопроса приходится на начало 1915 г., когда представителями с мест выдвигается призыв о немедленном начале оппозиционной борьбы против внутреннего врага — царского правительства (11270).</w:t>
      </w:r>
    </w:p>
    <w:p w14:paraId="6E55914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пользу такого решения говорило всё: поражение русской армии, усиление революционных и оппозиционных настроений в обществе, создание думского Прогрессивного блока, деятельность общественных буржуазных организаций. Это заставило либералов поставить вопрос о власти. </w:t>
      </w:r>
    </w:p>
    <w:p w14:paraId="63B3742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Пути передачи власти буржуазии предполагались разные, но все они сводились к одному — «власть надо брать в любой момент», но никак не революционным путем, а посредством эволюционного общественного развития в рамках существующего парламентарного строя. И тем не менее в 1915 г. буржуазия не решалась еще на дворцовый переворот, к признанию необходимости которого она пришла осенью 1916 г. Тогда они считали для себя возможным продолжать борьбу за создание «министерства общественного доверия», которое, по их разумению, будет приемлемым и для верховной власти, так как ни в коем случае не предусматривало какого-либо радикального политического переворота, и одновременно могло быть рассмотрено в перспективе в качестве «ступеньки» к созданию думского ответственного министерства. </w:t>
      </w:r>
    </w:p>
    <w:p w14:paraId="767B3BA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Дебаты вокруг этого вопроса продолжались в либеральной среде вплоть до самой Февральской революции. Они то ослабевали, то усиливались, принимая радикальное направление в зависимости от положения в стране. Споры касались и перспектив развития кризисной ситуации, и возможности революции. Но споры оставались лишь спорами, в то время как политическая обстановка всё более осложнялась. </w:t>
      </w:r>
    </w:p>
    <w:p w14:paraId="70AC66C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Одной из причин политической нестабильности стал экономический кризис. Во многом он был вызван переключением на военное производство тех отраслей промышленности, которые изготавливали предметы потребления. В результате нарушился обмен между городом и деревней, ухудшилось снабжение городского трудового населения и значительно сократилось потребление трудящихся.</w:t>
      </w:r>
    </w:p>
    <w:p w14:paraId="20F0F7D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Выход из создавшегося положения виделся правительствам воюющих держав в проведении всеобъемлющей централизации снабжения. В России с 1915 г. карточная система явочным путем стала проводиться городскими самоуправлениями на дефицитные продукты: сахар и керосин. Но официально, в виде общегосударственной меры, карточная система появилась лишь с введением хлебной монополии 25 марта 1917 г.</w:t>
      </w:r>
    </w:p>
    <w:p w14:paraId="576057C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Обсуждались в России и проекты введения трудовой повинности, но идея оказалась непопулярной. Власть, опасаясь волнений рабочих и обострения социального вопроса, не пошла на принятие этого законопроекта.</w:t>
      </w:r>
    </w:p>
    <w:p w14:paraId="26137BD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Огромные жертвы, затяжной и кровопролитный характер войны, рост дороговизны в тылу воюющих государств привели в политической сфере к смещению акцентов — от грандиозной вспышки национализма и шовинизма, идей гражданского мира во имя победы над внешним врагом к созданию в широких народных массах совершенно новой психологии военного коммунизма с присущими ей настроениями максимализма, нетерпения, всеобщего уравнительства, с ориентацией на насилие и прямое революционное действие (11270).</w:t>
      </w:r>
    </w:p>
    <w:p w14:paraId="548333E2" w14:textId="77777777" w:rsidR="004B4E35" w:rsidRPr="00405303" w:rsidRDefault="004B4E35" w:rsidP="00C15251">
      <w:pPr>
        <w:pStyle w:val="a3"/>
        <w:jc w:val="both"/>
        <w:rPr>
          <w:bCs/>
          <w:i w:val="0"/>
          <w:color w:val="002060"/>
          <w:spacing w:val="0"/>
          <w:kern w:val="0"/>
          <w:position w:val="0"/>
          <w:sz w:val="16"/>
          <w:szCs w:val="16"/>
        </w:rPr>
      </w:pPr>
    </w:p>
    <w:p w14:paraId="486A4F33"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Морская авиация:</w:t>
      </w:r>
    </w:p>
    <w:p w14:paraId="316D3929" w14:textId="77777777" w:rsidR="004B4E35" w:rsidRPr="00405303" w:rsidRDefault="004B4E35" w:rsidP="00C15251">
      <w:pPr>
        <w:pStyle w:val="a3"/>
        <w:jc w:val="both"/>
        <w:rPr>
          <w:bCs/>
          <w:color w:val="002060"/>
          <w:spacing w:val="0"/>
          <w:kern w:val="0"/>
          <w:position w:val="0"/>
          <w:sz w:val="16"/>
          <w:szCs w:val="16"/>
        </w:rPr>
      </w:pPr>
    </w:p>
    <w:p w14:paraId="4636A75F" w14:textId="250B5409" w:rsidR="004B4E35" w:rsidRPr="00405303" w:rsidRDefault="009E6F82" w:rsidP="00C15251">
      <w:pPr>
        <w:jc w:val="both"/>
        <w:rPr>
          <w:bCs/>
          <w:color w:val="002060"/>
          <w:sz w:val="16"/>
          <w:szCs w:val="16"/>
        </w:rPr>
      </w:pPr>
      <w:r w:rsidRPr="00405303">
        <w:rPr>
          <w:bCs/>
          <w:color w:val="002060"/>
          <w:sz w:val="16"/>
          <w:szCs w:val="16"/>
        </w:rPr>
        <w:t xml:space="preserve">27 января </w:t>
      </w:r>
      <w:r w:rsidR="000512CF" w:rsidRPr="00405303">
        <w:rPr>
          <w:bCs/>
          <w:color w:val="002060"/>
          <w:sz w:val="16"/>
          <w:szCs w:val="16"/>
        </w:rPr>
        <w:t xml:space="preserve">(9 февраля) </w:t>
      </w:r>
      <w:r w:rsidRPr="00405303">
        <w:rPr>
          <w:bCs/>
          <w:color w:val="002060"/>
          <w:sz w:val="16"/>
          <w:szCs w:val="16"/>
        </w:rPr>
        <w:t xml:space="preserve">1915 года, после осмотра котлов инженер-механиками, комиссия, назначенная командиром Петроградского порта, признала возможным принять судно в казну. Главные механизмы оказались в полном порядке, но требовал ремонта правый котел. Ввиду необходимости страховки на период переоборудования парохода, оставшегося в ведении капитана дальнего плавания О.А.Блюменфельдта, стоимость судна оценили в 700 тыс. руб. </w:t>
      </w:r>
    </w:p>
    <w:p w14:paraId="39BFBA4F" w14:textId="77777777" w:rsidR="004B4E35" w:rsidRPr="00405303" w:rsidRDefault="009E6F82" w:rsidP="00C15251">
      <w:pPr>
        <w:jc w:val="both"/>
        <w:rPr>
          <w:bCs/>
          <w:color w:val="002060"/>
          <w:sz w:val="16"/>
          <w:szCs w:val="16"/>
        </w:rPr>
      </w:pPr>
      <w:r w:rsidRPr="00405303">
        <w:rPr>
          <w:bCs/>
          <w:color w:val="002060"/>
          <w:sz w:val="16"/>
          <w:szCs w:val="16"/>
        </w:rPr>
        <w:t>Переоборудование «Императрицы Александры» для «авиационных нужд» Балтийского флота согласилась принять на себя Путиловская верфь за плату по действительной стоимости (по первоначальной оценке, 300— 350 тыс. руб.) плюс прибыль не свыше 20%. По мнению начальника Главного управления кораблестроения вице-адмирала П.П.Муравьева, эта сумма не представлялась чрезмерной, учитывая сжатые сроки работ и затруднения военного времени (11333).</w:t>
      </w:r>
    </w:p>
    <w:p w14:paraId="0B5B3787" w14:textId="3E24597E" w:rsidR="004B4E35" w:rsidRPr="00405303" w:rsidRDefault="004B4E35" w:rsidP="00C15251">
      <w:pPr>
        <w:pStyle w:val="a3"/>
        <w:jc w:val="both"/>
        <w:rPr>
          <w:bCs/>
          <w:color w:val="002060"/>
          <w:spacing w:val="0"/>
          <w:kern w:val="0"/>
          <w:position w:val="0"/>
          <w:sz w:val="16"/>
          <w:szCs w:val="16"/>
        </w:rPr>
      </w:pPr>
    </w:p>
    <w:p w14:paraId="138A0AEC" w14:textId="0FBA1C18" w:rsidR="00E60686" w:rsidRPr="00405303" w:rsidRDefault="00E60686"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54BB1174" w14:textId="77777777" w:rsidR="00E60686" w:rsidRPr="00405303" w:rsidRDefault="00E60686" w:rsidP="00C15251">
      <w:pPr>
        <w:pStyle w:val="a3"/>
        <w:jc w:val="both"/>
        <w:rPr>
          <w:bCs/>
          <w:color w:val="002060"/>
          <w:spacing w:val="0"/>
          <w:kern w:val="0"/>
          <w:position w:val="0"/>
          <w:sz w:val="16"/>
          <w:szCs w:val="16"/>
        </w:rPr>
      </w:pPr>
    </w:p>
    <w:p w14:paraId="73D1AFEC" w14:textId="77777777" w:rsidR="00E60686" w:rsidRPr="00405303" w:rsidRDefault="00E60686" w:rsidP="00C15251">
      <w:pPr>
        <w:jc w:val="both"/>
        <w:rPr>
          <w:bCs/>
          <w:color w:val="002060"/>
          <w:sz w:val="16"/>
          <w:szCs w:val="16"/>
        </w:rPr>
      </w:pPr>
      <w:r w:rsidRPr="00405303">
        <w:rPr>
          <w:bCs/>
          <w:color w:val="002060"/>
          <w:sz w:val="16"/>
          <w:szCs w:val="16"/>
        </w:rPr>
        <w:t>28 января (10 февраля) 1915 г. военный летчик шт.-капитан Леонид Григорьевич Попов во время отхода нашего корпуса из Восточной Пруссии, вылетел на разведку при сильной ветре и морозе -18° и, находясь все время под обстрелом, обнаружил три колонны немцев, наступавшие против фланга корпуса и угрожавшие отрезать пути отступления. Данные разведки повлияли на успешный ход дальнейших событий. Летчик награжден ге</w:t>
      </w:r>
      <w:r w:rsidRPr="00405303">
        <w:rPr>
          <w:bCs/>
          <w:color w:val="002060"/>
          <w:sz w:val="16"/>
          <w:szCs w:val="16"/>
        </w:rPr>
        <w:softHyphen/>
        <w:t>оргиевский оружием.</w:t>
      </w:r>
    </w:p>
    <w:p w14:paraId="4E56EB3E" w14:textId="77777777" w:rsidR="00E60686" w:rsidRPr="00405303" w:rsidRDefault="00E60686" w:rsidP="00C15251">
      <w:pPr>
        <w:jc w:val="both"/>
        <w:rPr>
          <w:bCs/>
          <w:color w:val="002060"/>
          <w:sz w:val="16"/>
          <w:szCs w:val="16"/>
        </w:rPr>
      </w:pPr>
      <w:r w:rsidRPr="00405303">
        <w:rPr>
          <w:bCs/>
          <w:color w:val="002060"/>
          <w:sz w:val="16"/>
          <w:szCs w:val="16"/>
        </w:rPr>
        <w:t>/"Русский инвалид" за 28 июня 1915/ (23320).</w:t>
      </w:r>
    </w:p>
    <w:p w14:paraId="778B82C3" w14:textId="77777777" w:rsidR="00E60686" w:rsidRPr="00405303" w:rsidRDefault="00E60686" w:rsidP="00C15251">
      <w:pPr>
        <w:jc w:val="both"/>
        <w:rPr>
          <w:bCs/>
          <w:color w:val="002060"/>
          <w:sz w:val="16"/>
          <w:szCs w:val="16"/>
        </w:rPr>
      </w:pPr>
    </w:p>
    <w:p w14:paraId="456DECD1" w14:textId="77777777" w:rsidR="00CB594C" w:rsidRPr="00405303" w:rsidRDefault="00CB594C" w:rsidP="00C15251">
      <w:pPr>
        <w:jc w:val="both"/>
        <w:rPr>
          <w:bCs/>
          <w:i/>
          <w:color w:val="002060"/>
          <w:sz w:val="16"/>
          <w:szCs w:val="16"/>
        </w:rPr>
      </w:pPr>
      <w:r w:rsidRPr="00405303">
        <w:rPr>
          <w:bCs/>
          <w:i/>
          <w:color w:val="002060"/>
          <w:sz w:val="16"/>
          <w:szCs w:val="16"/>
        </w:rPr>
        <w:t>Армия:</w:t>
      </w:r>
    </w:p>
    <w:p w14:paraId="2522DF4D" w14:textId="77777777" w:rsidR="00CB594C" w:rsidRPr="00405303" w:rsidRDefault="00CB594C" w:rsidP="00C15251">
      <w:pPr>
        <w:jc w:val="both"/>
        <w:rPr>
          <w:bCs/>
          <w:i/>
          <w:color w:val="002060"/>
          <w:sz w:val="16"/>
          <w:szCs w:val="16"/>
        </w:rPr>
      </w:pPr>
    </w:p>
    <w:p w14:paraId="45DD4A7D" w14:textId="643F08BB" w:rsidR="00CB594C" w:rsidRPr="00405303" w:rsidRDefault="00CB594C" w:rsidP="00C15251">
      <w:pPr>
        <w:jc w:val="both"/>
        <w:rPr>
          <w:bCs/>
          <w:color w:val="002060"/>
          <w:sz w:val="16"/>
          <w:szCs w:val="16"/>
        </w:rPr>
      </w:pPr>
      <w:r w:rsidRPr="00405303">
        <w:rPr>
          <w:rStyle w:val="ucoz-forum-post"/>
          <w:bCs/>
          <w:color w:val="002060"/>
          <w:sz w:val="16"/>
          <w:szCs w:val="16"/>
        </w:rPr>
        <w:t xml:space="preserve">29 января </w:t>
      </w:r>
      <w:r w:rsidR="000512CF" w:rsidRPr="00405303">
        <w:rPr>
          <w:rStyle w:val="ucoz-forum-post"/>
          <w:bCs/>
          <w:color w:val="002060"/>
          <w:sz w:val="16"/>
          <w:szCs w:val="16"/>
        </w:rPr>
        <w:t xml:space="preserve">(11 февраля) </w:t>
      </w:r>
      <w:r w:rsidRPr="00405303">
        <w:rPr>
          <w:bCs/>
          <w:color w:val="002060"/>
          <w:sz w:val="16"/>
          <w:szCs w:val="16"/>
        </w:rPr>
        <w:t>в 1915 году войска русского генерала Л.Корнилова (будущего лидера белого движения) берут карпатский перевал Черемша, захватывая до 3 тысяч пленных австрийцев (15024).</w:t>
      </w:r>
    </w:p>
    <w:p w14:paraId="557F7C1E" w14:textId="77777777" w:rsidR="00CB594C" w:rsidRPr="00405303" w:rsidRDefault="00CB594C" w:rsidP="00C15251">
      <w:pPr>
        <w:jc w:val="both"/>
        <w:rPr>
          <w:bCs/>
          <w:color w:val="002060"/>
          <w:sz w:val="16"/>
          <w:szCs w:val="16"/>
        </w:rPr>
      </w:pPr>
    </w:p>
    <w:p w14:paraId="0D88DECF" w14:textId="77777777" w:rsidR="00C75EFF" w:rsidRPr="00405303" w:rsidRDefault="00C75EFF" w:rsidP="00C15251">
      <w:pPr>
        <w:pStyle w:val="a3"/>
        <w:jc w:val="both"/>
        <w:rPr>
          <w:bCs/>
          <w:color w:val="002060"/>
          <w:spacing w:val="0"/>
          <w:kern w:val="0"/>
          <w:position w:val="0"/>
          <w:sz w:val="16"/>
          <w:szCs w:val="16"/>
        </w:rPr>
      </w:pPr>
      <w:bookmarkStart w:id="24" w:name="bookmark81"/>
      <w:bookmarkStart w:id="25" w:name="bookmark82"/>
      <w:r w:rsidRPr="00405303">
        <w:rPr>
          <w:bCs/>
          <w:color w:val="002060"/>
          <w:spacing w:val="0"/>
          <w:kern w:val="0"/>
          <w:position w:val="0"/>
          <w:sz w:val="16"/>
          <w:szCs w:val="16"/>
        </w:rPr>
        <w:t>Авиация:</w:t>
      </w:r>
    </w:p>
    <w:p w14:paraId="56D87022" w14:textId="77777777" w:rsidR="00C75EFF" w:rsidRPr="00405303" w:rsidRDefault="00C75EFF" w:rsidP="00C15251">
      <w:pPr>
        <w:pStyle w:val="a3"/>
        <w:jc w:val="both"/>
        <w:rPr>
          <w:bCs/>
          <w:color w:val="002060"/>
          <w:spacing w:val="0"/>
          <w:kern w:val="0"/>
          <w:position w:val="0"/>
          <w:sz w:val="16"/>
          <w:szCs w:val="16"/>
        </w:rPr>
      </w:pPr>
    </w:p>
    <w:p w14:paraId="3B8EFA6F" w14:textId="4587D818" w:rsidR="00C75EFF" w:rsidRPr="00405303" w:rsidRDefault="00C75EFF" w:rsidP="00C15251">
      <w:pPr>
        <w:jc w:val="both"/>
        <w:rPr>
          <w:bCs/>
          <w:color w:val="002060"/>
          <w:sz w:val="16"/>
          <w:szCs w:val="16"/>
        </w:rPr>
      </w:pPr>
      <w:r w:rsidRPr="00405303">
        <w:rPr>
          <w:bCs/>
          <w:color w:val="002060"/>
          <w:sz w:val="16"/>
          <w:szCs w:val="16"/>
        </w:rPr>
        <w:t>29 января (11 февраля) 1915 г. в районе древнего польского города Лович (Лодзинское воеводство) сел германский самолет вследствие порчи мотора. Два летчика арестованы подоспевшим к месту посадки нашим дозором. 16 февраля противник в течение одного дня потерял сразу два своих летательных аппарата. На Ужокском направлении в Карпатах русские войска подбили германский аэроплан. В плен попали три члена его экипажа, с изъятием большого количества прокламаций и взрывчатых веществ. Также был захвачен сбитый австрийский самолет, направлявшийся из Перемышля в свой глубокий тыл (23405).</w:t>
      </w:r>
      <w:bookmarkEnd w:id="24"/>
      <w:bookmarkEnd w:id="25"/>
    </w:p>
    <w:p w14:paraId="772A3A3B" w14:textId="77777777" w:rsidR="00C75EFF" w:rsidRPr="00405303" w:rsidRDefault="00C75EFF" w:rsidP="00C15251">
      <w:pPr>
        <w:jc w:val="both"/>
        <w:rPr>
          <w:bCs/>
          <w:color w:val="002060"/>
          <w:sz w:val="16"/>
          <w:szCs w:val="16"/>
          <w:lang w:bidi="ru-RU"/>
        </w:rPr>
      </w:pPr>
    </w:p>
    <w:p w14:paraId="06472D4B" w14:textId="732B1DD0" w:rsidR="00D82574" w:rsidRPr="00405303" w:rsidRDefault="00D82574" w:rsidP="00D82574">
      <w:pPr>
        <w:jc w:val="both"/>
        <w:rPr>
          <w:bCs/>
          <w:i/>
          <w:color w:val="002060"/>
          <w:sz w:val="16"/>
          <w:szCs w:val="16"/>
        </w:rPr>
      </w:pPr>
      <w:r w:rsidRPr="00405303">
        <w:rPr>
          <w:bCs/>
          <w:i/>
          <w:color w:val="002060"/>
          <w:sz w:val="16"/>
          <w:szCs w:val="16"/>
        </w:rPr>
        <w:t>Другие оборонные отрасли:</w:t>
      </w:r>
    </w:p>
    <w:p w14:paraId="73A150D6" w14:textId="77777777" w:rsidR="00D82574" w:rsidRPr="00405303" w:rsidRDefault="00D82574" w:rsidP="00D82574">
      <w:pPr>
        <w:jc w:val="both"/>
        <w:rPr>
          <w:bCs/>
          <w:i/>
          <w:color w:val="002060"/>
          <w:sz w:val="16"/>
          <w:szCs w:val="16"/>
        </w:rPr>
      </w:pPr>
    </w:p>
    <w:p w14:paraId="7F23FEB7" w14:textId="77777777" w:rsidR="00D82574" w:rsidRPr="00405303" w:rsidRDefault="00D82574" w:rsidP="00D82574">
      <w:pPr>
        <w:jc w:val="both"/>
        <w:rPr>
          <w:color w:val="0070C0"/>
          <w:sz w:val="16"/>
          <w:szCs w:val="16"/>
        </w:rPr>
      </w:pPr>
      <w:r w:rsidRPr="00405303">
        <w:rPr>
          <w:color w:val="0070C0"/>
          <w:sz w:val="16"/>
          <w:szCs w:val="16"/>
        </w:rPr>
        <w:t>30 января (12 февраля) 1915 года Военный Совет, разрешив сде</w:t>
      </w:r>
      <w:r w:rsidRPr="00405303">
        <w:rPr>
          <w:color w:val="0070C0"/>
          <w:sz w:val="16"/>
          <w:szCs w:val="16"/>
        </w:rPr>
        <w:softHyphen/>
        <w:t>лать просимую ГВТУ заготовку автомобилей, не согласился с соображениями ГВТУ относительно способа производства этой заготовки и дал по этому поводу следующие указания:</w:t>
      </w:r>
    </w:p>
    <w:p w14:paraId="22EFB6BB" w14:textId="77777777" w:rsidR="00D82574" w:rsidRPr="00405303" w:rsidRDefault="00D82574" w:rsidP="00D82574">
      <w:pPr>
        <w:jc w:val="both"/>
        <w:rPr>
          <w:color w:val="0070C0"/>
          <w:sz w:val="16"/>
          <w:szCs w:val="16"/>
        </w:rPr>
      </w:pPr>
      <w:r w:rsidRPr="00405303">
        <w:rPr>
          <w:color w:val="0070C0"/>
          <w:sz w:val="16"/>
          <w:szCs w:val="16"/>
        </w:rPr>
        <w:t>1) все крупные заказы должны быть производимы обязательно через ко</w:t>
      </w:r>
      <w:r w:rsidRPr="00405303">
        <w:rPr>
          <w:color w:val="0070C0"/>
          <w:sz w:val="16"/>
          <w:szCs w:val="16"/>
        </w:rPr>
        <w:softHyphen/>
        <w:t>мандируемые для сего комиссии;</w:t>
      </w:r>
    </w:p>
    <w:p w14:paraId="6141EE56" w14:textId="77777777" w:rsidR="00D82574" w:rsidRPr="00405303" w:rsidRDefault="00D82574" w:rsidP="00D82574">
      <w:pPr>
        <w:jc w:val="both"/>
        <w:rPr>
          <w:color w:val="0070C0"/>
          <w:sz w:val="16"/>
          <w:szCs w:val="16"/>
        </w:rPr>
      </w:pPr>
      <w:r w:rsidRPr="00405303">
        <w:rPr>
          <w:color w:val="0070C0"/>
          <w:sz w:val="16"/>
          <w:szCs w:val="16"/>
        </w:rPr>
        <w:t>2) приобретение автомо</w:t>
      </w:r>
      <w:r w:rsidRPr="00405303">
        <w:rPr>
          <w:color w:val="0070C0"/>
          <w:sz w:val="16"/>
          <w:szCs w:val="16"/>
        </w:rPr>
        <w:softHyphen/>
        <w:t>билей отдельными лицами допускать-лишь при небольших заготовках;</w:t>
      </w:r>
    </w:p>
    <w:p w14:paraId="3961413E" w14:textId="77777777" w:rsidR="00D82574" w:rsidRPr="00405303" w:rsidRDefault="00D82574" w:rsidP="00D82574">
      <w:pPr>
        <w:jc w:val="both"/>
        <w:rPr>
          <w:color w:val="0070C0"/>
          <w:sz w:val="16"/>
          <w:szCs w:val="16"/>
        </w:rPr>
      </w:pPr>
      <w:r w:rsidRPr="00405303">
        <w:rPr>
          <w:color w:val="0070C0"/>
          <w:sz w:val="16"/>
          <w:szCs w:val="16"/>
        </w:rPr>
        <w:lastRenderedPageBreak/>
        <w:t>3) в состав комиссий должны быть включены представители государственного контроля;</w:t>
      </w:r>
    </w:p>
    <w:p w14:paraId="6310C5DB" w14:textId="77777777" w:rsidR="00D82574" w:rsidRPr="00405303" w:rsidRDefault="00D82574" w:rsidP="00D82574">
      <w:pPr>
        <w:jc w:val="both"/>
        <w:rPr>
          <w:color w:val="0070C0"/>
          <w:sz w:val="16"/>
          <w:szCs w:val="16"/>
        </w:rPr>
      </w:pPr>
      <w:r w:rsidRPr="00405303">
        <w:rPr>
          <w:color w:val="0070C0"/>
          <w:sz w:val="16"/>
          <w:szCs w:val="16"/>
        </w:rPr>
        <w:t>4) при приобретении автомобилей в Англии и Канаде комиссия должна работать на основании указаний комитета, образованного . под председательством русского посла в Лондоне, Бенкен</w:t>
      </w:r>
      <w:r w:rsidRPr="00405303">
        <w:rPr>
          <w:color w:val="0070C0"/>
          <w:sz w:val="16"/>
          <w:szCs w:val="16"/>
        </w:rPr>
        <w:softHyphen/>
        <w:t>дорфа, и по соглашению с находящимся там же' предста</w:t>
      </w:r>
      <w:r w:rsidRPr="00405303">
        <w:rPr>
          <w:color w:val="0070C0"/>
          <w:sz w:val="16"/>
          <w:szCs w:val="16"/>
        </w:rPr>
        <w:softHyphen/>
        <w:t xml:space="preserve">вителем ГВТУ ген. Тимченко-Рубаном; </w:t>
      </w:r>
    </w:p>
    <w:p w14:paraId="158356B3" w14:textId="77777777" w:rsidR="00D82574" w:rsidRPr="00405303" w:rsidRDefault="00D82574" w:rsidP="00D82574">
      <w:pPr>
        <w:jc w:val="both"/>
        <w:rPr>
          <w:color w:val="0070C0"/>
          <w:sz w:val="16"/>
          <w:szCs w:val="16"/>
        </w:rPr>
      </w:pPr>
      <w:r w:rsidRPr="00405303">
        <w:rPr>
          <w:color w:val="0070C0"/>
          <w:sz w:val="16"/>
          <w:szCs w:val="16"/>
        </w:rPr>
        <w:t>5) при приобретении автомобилей в Северо-Американских Соединенных Штатах комиссия должна вести работу в полной связи с образо</w:t>
      </w:r>
      <w:r w:rsidRPr="00405303">
        <w:rPr>
          <w:color w:val="0070C0"/>
          <w:sz w:val="16"/>
          <w:szCs w:val="16"/>
        </w:rPr>
        <w:softHyphen/>
        <w:t>ванной там особой комиссией.</w:t>
      </w:r>
    </w:p>
    <w:p w14:paraId="6AA1D955" w14:textId="77777777" w:rsidR="00D82574" w:rsidRPr="00405303" w:rsidRDefault="00D82574" w:rsidP="00D82574">
      <w:pPr>
        <w:jc w:val="both"/>
        <w:rPr>
          <w:color w:val="0070C0"/>
          <w:sz w:val="16"/>
          <w:szCs w:val="16"/>
        </w:rPr>
      </w:pPr>
      <w:r w:rsidRPr="00405303">
        <w:rPr>
          <w:color w:val="0070C0"/>
          <w:sz w:val="16"/>
          <w:szCs w:val="16"/>
        </w:rPr>
        <w:t>Таким образом, в силу этого пресекалась возможность по данной заготовке давать новые заказы Гастону и бан</w:t>
      </w:r>
      <w:r w:rsidRPr="00405303">
        <w:rPr>
          <w:color w:val="0070C0"/>
          <w:sz w:val="16"/>
          <w:szCs w:val="16"/>
        </w:rPr>
        <w:softHyphen/>
        <w:t>кирскому дому «Маврикий Нелькен», а предоставленный уже этому последнему посреднику заказ на 1.000 автомобилей (согласно приказания ген. Сухомлинова) остался без утверждения (24923).</w:t>
      </w:r>
    </w:p>
    <w:p w14:paraId="5E1B7695" w14:textId="77777777" w:rsidR="00D82574" w:rsidRPr="00405303" w:rsidRDefault="00D82574" w:rsidP="00D82574">
      <w:pPr>
        <w:jc w:val="both"/>
        <w:rPr>
          <w:color w:val="0070C0"/>
          <w:sz w:val="16"/>
          <w:szCs w:val="16"/>
        </w:rPr>
      </w:pPr>
    </w:p>
    <w:p w14:paraId="688DA45D" w14:textId="77777777" w:rsidR="000512CF" w:rsidRPr="00405303" w:rsidRDefault="000512CF" w:rsidP="00C15251">
      <w:pPr>
        <w:jc w:val="both"/>
        <w:rPr>
          <w:bCs/>
          <w:i/>
          <w:color w:val="002060"/>
          <w:sz w:val="16"/>
          <w:szCs w:val="16"/>
        </w:rPr>
      </w:pPr>
      <w:r w:rsidRPr="00405303">
        <w:rPr>
          <w:bCs/>
          <w:i/>
          <w:color w:val="002060"/>
          <w:sz w:val="16"/>
          <w:szCs w:val="16"/>
        </w:rPr>
        <w:t>Армия:</w:t>
      </w:r>
    </w:p>
    <w:p w14:paraId="1CE77C59" w14:textId="77777777" w:rsidR="000512CF" w:rsidRPr="00405303" w:rsidRDefault="000512CF" w:rsidP="00C15251">
      <w:pPr>
        <w:jc w:val="both"/>
        <w:rPr>
          <w:bCs/>
          <w:i/>
          <w:color w:val="002060"/>
          <w:sz w:val="16"/>
          <w:szCs w:val="16"/>
        </w:rPr>
      </w:pPr>
    </w:p>
    <w:p w14:paraId="178D1AC4" w14:textId="6F879D37" w:rsidR="003D7D74" w:rsidRPr="00405303" w:rsidRDefault="003D7D74" w:rsidP="00C15251">
      <w:pPr>
        <w:jc w:val="both"/>
        <w:rPr>
          <w:bCs/>
          <w:color w:val="002060"/>
          <w:sz w:val="16"/>
          <w:szCs w:val="16"/>
        </w:rPr>
      </w:pPr>
      <w:r w:rsidRPr="00405303">
        <w:rPr>
          <w:bCs/>
          <w:color w:val="002060"/>
          <w:sz w:val="16"/>
          <w:szCs w:val="16"/>
        </w:rPr>
        <w:t xml:space="preserve">С 30 января (12 февраля) по 9 (22) августа </w:t>
      </w:r>
      <w:r w:rsidR="000512CF" w:rsidRPr="00405303">
        <w:rPr>
          <w:bCs/>
          <w:color w:val="002060"/>
          <w:sz w:val="16"/>
          <w:szCs w:val="16"/>
        </w:rPr>
        <w:t>1915 г.</w:t>
      </w:r>
      <w:r w:rsidRPr="00405303">
        <w:rPr>
          <w:bCs/>
          <w:color w:val="002060"/>
          <w:sz w:val="16"/>
          <w:szCs w:val="16"/>
        </w:rPr>
        <w:t xml:space="preserve"> успешно отражал атаки превосходящих сил 8-й немецкой армии.</w:t>
      </w:r>
    </w:p>
    <w:p w14:paraId="1B48A127" w14:textId="77777777" w:rsidR="003D7D74" w:rsidRPr="00405303" w:rsidRDefault="003D7D74" w:rsidP="00C15251">
      <w:pPr>
        <w:jc w:val="both"/>
        <w:rPr>
          <w:bCs/>
          <w:color w:val="002060"/>
          <w:sz w:val="16"/>
          <w:szCs w:val="16"/>
        </w:rPr>
      </w:pPr>
      <w:r w:rsidRPr="00405303">
        <w:rPr>
          <w:bCs/>
          <w:color w:val="002060"/>
          <w:sz w:val="16"/>
          <w:szCs w:val="16"/>
        </w:rPr>
        <w:t>Соору</w:t>
      </w:r>
      <w:r w:rsidRPr="00405303">
        <w:rPr>
          <w:bCs/>
          <w:color w:val="002060"/>
          <w:sz w:val="16"/>
          <w:szCs w:val="16"/>
        </w:rPr>
        <w:softHyphen/>
        <w:t>жённая в 1882-1887 гг. крепость Осовец предназна</w:t>
      </w:r>
      <w:r w:rsidRPr="00405303">
        <w:rPr>
          <w:bCs/>
          <w:color w:val="002060"/>
          <w:sz w:val="16"/>
          <w:szCs w:val="16"/>
        </w:rPr>
        <w:softHyphen/>
        <w:t>чалась для прикрытия Белостокского железнодо</w:t>
      </w:r>
      <w:r w:rsidRPr="00405303">
        <w:rPr>
          <w:bCs/>
          <w:color w:val="002060"/>
          <w:sz w:val="16"/>
          <w:szCs w:val="16"/>
        </w:rPr>
        <w:softHyphen/>
        <w:t>рожного узла и Брест-Литовского операционного направления. К 1914 г. система инженерной обо</w:t>
      </w:r>
      <w:r w:rsidRPr="00405303">
        <w:rPr>
          <w:bCs/>
          <w:color w:val="002060"/>
          <w:sz w:val="16"/>
          <w:szCs w:val="16"/>
        </w:rPr>
        <w:softHyphen/>
        <w:t>роны крепости включала четыре форта, передо</w:t>
      </w:r>
      <w:r w:rsidRPr="00405303">
        <w:rPr>
          <w:bCs/>
          <w:color w:val="002060"/>
          <w:sz w:val="16"/>
          <w:szCs w:val="16"/>
        </w:rPr>
        <w:softHyphen/>
        <w:t>вую, две промежуточные, главную и тыловую укреплённые позиции, простиравшиеся по фрон</w:t>
      </w:r>
      <w:r w:rsidRPr="00405303">
        <w:rPr>
          <w:bCs/>
          <w:color w:val="002060"/>
          <w:sz w:val="16"/>
          <w:szCs w:val="16"/>
        </w:rPr>
        <w:softHyphen/>
        <w:t>ту на 60 км, и до 15 км в глубину (в центре) (20120).</w:t>
      </w:r>
    </w:p>
    <w:p w14:paraId="4C5B27BD" w14:textId="77777777" w:rsidR="003D7D74" w:rsidRPr="00405303" w:rsidRDefault="003D7D74" w:rsidP="00C15251">
      <w:pPr>
        <w:jc w:val="both"/>
        <w:rPr>
          <w:bCs/>
          <w:color w:val="002060"/>
          <w:sz w:val="16"/>
          <w:szCs w:val="16"/>
        </w:rPr>
      </w:pPr>
    </w:p>
    <w:p w14:paraId="16C97B85"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 и воздухоплавание Германии:</w:t>
      </w:r>
    </w:p>
    <w:p w14:paraId="4A945104" w14:textId="77777777" w:rsidR="004B4E35" w:rsidRPr="00405303" w:rsidRDefault="004B4E35" w:rsidP="00C15251">
      <w:pPr>
        <w:pStyle w:val="a3"/>
        <w:jc w:val="both"/>
        <w:rPr>
          <w:bCs/>
          <w:color w:val="002060"/>
          <w:spacing w:val="0"/>
          <w:kern w:val="0"/>
          <w:position w:val="0"/>
          <w:sz w:val="16"/>
          <w:szCs w:val="16"/>
        </w:rPr>
      </w:pPr>
    </w:p>
    <w:p w14:paraId="36F4ED08" w14:textId="77777777" w:rsidR="004B4E35" w:rsidRPr="00405303" w:rsidRDefault="009E6F82" w:rsidP="00C15251">
      <w:pPr>
        <w:jc w:val="both"/>
        <w:rPr>
          <w:bCs/>
          <w:color w:val="002060"/>
          <w:sz w:val="16"/>
          <w:szCs w:val="16"/>
        </w:rPr>
      </w:pPr>
      <w:r w:rsidRPr="00405303">
        <w:rPr>
          <w:bCs/>
          <w:color w:val="002060"/>
          <w:sz w:val="16"/>
          <w:szCs w:val="16"/>
        </w:rPr>
        <w:t>30 января (12 февраля) - Кайзер выразил надежду на успешность воздушной войны против Англии: "Война должна вестись с величайшей энергией". Были намечены цели: военные базы, казармы, нефтяные склады и лондонские доки. По специальному указанию кайзера была запрещена бомбежка королевских дворцов и резиденций (11999).</w:t>
      </w:r>
    </w:p>
    <w:p w14:paraId="6D3618EE" w14:textId="77777777" w:rsidR="004B4E35" w:rsidRPr="00405303" w:rsidRDefault="004B4E35" w:rsidP="00C15251">
      <w:pPr>
        <w:jc w:val="both"/>
        <w:rPr>
          <w:bCs/>
          <w:color w:val="002060"/>
          <w:sz w:val="16"/>
          <w:szCs w:val="16"/>
        </w:rPr>
      </w:pPr>
    </w:p>
    <w:p w14:paraId="4F67582C" w14:textId="77777777" w:rsidR="003E46B4" w:rsidRPr="00405303" w:rsidRDefault="003E46B4" w:rsidP="00C15251">
      <w:pPr>
        <w:jc w:val="both"/>
        <w:rPr>
          <w:bCs/>
          <w:i/>
          <w:color w:val="002060"/>
          <w:sz w:val="16"/>
          <w:szCs w:val="16"/>
        </w:rPr>
      </w:pPr>
      <w:r w:rsidRPr="00405303">
        <w:rPr>
          <w:bCs/>
          <w:i/>
          <w:color w:val="002060"/>
          <w:sz w:val="16"/>
          <w:szCs w:val="16"/>
        </w:rPr>
        <w:t>За рубежом:</w:t>
      </w:r>
    </w:p>
    <w:p w14:paraId="4AAE779C" w14:textId="77777777" w:rsidR="003E46B4" w:rsidRPr="00405303" w:rsidRDefault="003E46B4" w:rsidP="00C15251">
      <w:pPr>
        <w:jc w:val="both"/>
        <w:rPr>
          <w:bCs/>
          <w:color w:val="002060"/>
          <w:sz w:val="16"/>
          <w:szCs w:val="16"/>
        </w:rPr>
      </w:pPr>
    </w:p>
    <w:p w14:paraId="222F7D88" w14:textId="3CF4BFCC" w:rsidR="003E46B4" w:rsidRPr="00405303" w:rsidRDefault="003E46B4" w:rsidP="00C15251">
      <w:pPr>
        <w:jc w:val="both"/>
        <w:rPr>
          <w:bCs/>
          <w:color w:val="002060"/>
          <w:sz w:val="16"/>
          <w:szCs w:val="16"/>
        </w:rPr>
      </w:pPr>
      <w:r w:rsidRPr="00405303">
        <w:rPr>
          <w:bCs/>
          <w:color w:val="002060"/>
          <w:sz w:val="16"/>
          <w:szCs w:val="16"/>
        </w:rPr>
        <w:t xml:space="preserve">30 января (12 февраля) в 1915 году </w:t>
      </w:r>
      <w:r w:rsidR="00BA427F" w:rsidRPr="00405303">
        <w:rPr>
          <w:bCs/>
          <w:color w:val="002060"/>
          <w:sz w:val="16"/>
          <w:szCs w:val="16"/>
        </w:rPr>
        <w:t xml:space="preserve">началось </w:t>
      </w:r>
      <w:r w:rsidRPr="00405303">
        <w:rPr>
          <w:bCs/>
          <w:color w:val="002060"/>
          <w:sz w:val="16"/>
          <w:szCs w:val="16"/>
        </w:rPr>
        <w:t>наступление союзников в Шампани (15038).</w:t>
      </w:r>
    </w:p>
    <w:p w14:paraId="12EF866D" w14:textId="77777777" w:rsidR="003E46B4" w:rsidRPr="00405303" w:rsidRDefault="003E46B4" w:rsidP="00C15251">
      <w:pPr>
        <w:jc w:val="both"/>
        <w:rPr>
          <w:bCs/>
          <w:color w:val="002060"/>
          <w:sz w:val="16"/>
          <w:szCs w:val="16"/>
        </w:rPr>
      </w:pPr>
    </w:p>
    <w:p w14:paraId="76FB65EE" w14:textId="0BA92EBD" w:rsidR="00BA427F" w:rsidRPr="00405303" w:rsidRDefault="00BA427F" w:rsidP="00C15251">
      <w:pPr>
        <w:pStyle w:val="a3"/>
        <w:jc w:val="both"/>
        <w:rPr>
          <w:bCs/>
          <w:color w:val="002060"/>
          <w:spacing w:val="0"/>
          <w:kern w:val="0"/>
          <w:position w:val="0"/>
          <w:sz w:val="16"/>
          <w:szCs w:val="16"/>
        </w:rPr>
      </w:pPr>
      <w:r w:rsidRPr="00405303">
        <w:rPr>
          <w:bCs/>
          <w:color w:val="002060"/>
          <w:spacing w:val="0"/>
          <w:kern w:val="0"/>
          <w:position w:val="0"/>
          <w:sz w:val="16"/>
          <w:szCs w:val="16"/>
        </w:rPr>
        <w:t>Другие оборонные отрасли:</w:t>
      </w:r>
    </w:p>
    <w:p w14:paraId="111267D4" w14:textId="77777777" w:rsidR="00BA427F" w:rsidRPr="00405303" w:rsidRDefault="00BA427F" w:rsidP="00C15251">
      <w:pPr>
        <w:pStyle w:val="a3"/>
        <w:jc w:val="both"/>
        <w:rPr>
          <w:bCs/>
          <w:color w:val="002060"/>
          <w:spacing w:val="0"/>
          <w:kern w:val="0"/>
          <w:position w:val="0"/>
          <w:sz w:val="16"/>
          <w:szCs w:val="16"/>
        </w:rPr>
      </w:pPr>
    </w:p>
    <w:p w14:paraId="4D24E2F2" w14:textId="77777777" w:rsidR="00BA427F" w:rsidRPr="00405303" w:rsidRDefault="00BA427F"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31 января (13 февраля) 1915 г. главнокомандующий Юго-западного фронта утвердил наставление для штаб-офицеров, назначенных согласно приказу главковерха № 169. По наставлению Юго-западного фронта они подчинялись заведующему артчастью ЭХО армии и на них возлагалось: </w:t>
      </w:r>
    </w:p>
    <w:p w14:paraId="1B2343E5" w14:textId="77777777" w:rsidR="00BA427F" w:rsidRPr="00405303" w:rsidRDefault="00BA427F"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а) Ближайшее наблюдение за сбором ручного оружия и патронов как русских, так и иностранных с полей сражения, а также и организация такого сбора, где это потребуется. (Имея своей главной задачей сбор винтовок, пулеметов и патронов, они обязаны были оказывать по возможности содействие сбору и охранению и других нужных армии предметов вооружения и снаряжения.) </w:t>
      </w:r>
    </w:p>
    <w:p w14:paraId="32F063D6" w14:textId="77777777" w:rsidR="00BA427F" w:rsidRPr="00405303" w:rsidRDefault="00BA427F"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б) Наблюдение за доставкой названных в п. "а" предметов в пункты, избранные начальником этапно-хозяйственного отдела, как временные склады оружия армии. </w:t>
      </w:r>
    </w:p>
    <w:p w14:paraId="4B32D2B2" w14:textId="77777777" w:rsidR="00BA427F" w:rsidRPr="00405303" w:rsidRDefault="00BA427F"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Организация подвижных оружейных мастерских при в р е м е н н ых складах оружия армии и руководство их деятельностью (ближайшее заведывание этими мастерскими могло быть возложено штаб-офицером на одного из находившихся в его ведении классных оружейных мастеров). </w:t>
      </w:r>
    </w:p>
    <w:p w14:paraId="77C9DB37" w14:textId="77777777" w:rsidR="00BA427F" w:rsidRPr="00405303" w:rsidRDefault="00BA427F"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г) Наблюдение и руководство сортировкой собранного оружия - приведением в порядок оружия в армейских мастерских, отпуском оружия, своевременной отправкой оружия в тыл, обором и приемом оружия от населения. </w:t>
      </w:r>
    </w:p>
    <w:p w14:paraId="15EBC40B" w14:textId="77777777" w:rsidR="00BA427F" w:rsidRPr="00405303" w:rsidRDefault="00BA427F"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д) Наблюдение за состоянием оружия в войсковых частях. В непосредственном их подчинении состояли заведующий временным складом оружия, его помощники три классных оружейных мастера. </w:t>
      </w:r>
    </w:p>
    <w:p w14:paraId="10CCA59A" w14:textId="77777777" w:rsidR="00BA427F" w:rsidRPr="00405303" w:rsidRDefault="00BA427F"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распоряжении каждого из них была особая команда для сбора оружия, осмотра полей сражений, </w:t>
      </w:r>
      <w:proofErr w:type="gramStart"/>
      <w:r w:rsidRPr="00405303">
        <w:rPr>
          <w:bCs/>
          <w:i w:val="0"/>
          <w:color w:val="002060"/>
          <w:spacing w:val="0"/>
          <w:kern w:val="0"/>
          <w:position w:val="0"/>
          <w:sz w:val="16"/>
          <w:szCs w:val="16"/>
        </w:rPr>
        <w:t>сосредоточения</w:t>
      </w:r>
      <w:proofErr w:type="gramEnd"/>
      <w:r w:rsidRPr="00405303">
        <w:rPr>
          <w:bCs/>
          <w:i w:val="0"/>
          <w:color w:val="002060"/>
          <w:spacing w:val="0"/>
          <w:kern w:val="0"/>
          <w:position w:val="0"/>
          <w:sz w:val="16"/>
          <w:szCs w:val="16"/>
        </w:rPr>
        <w:t xml:space="preserve"> всего подобранного в те или другие пункты и для окарауливажия оружия. Наставление заключало в себе ряд указаний ро ремонту, выдаче оружия и т. п. (11483).</w:t>
      </w:r>
    </w:p>
    <w:p w14:paraId="15F9C2FD" w14:textId="77777777" w:rsidR="00BA427F" w:rsidRPr="00405303" w:rsidRDefault="00BA427F" w:rsidP="00C15251">
      <w:pPr>
        <w:pStyle w:val="a3"/>
        <w:jc w:val="both"/>
        <w:rPr>
          <w:bCs/>
          <w:i w:val="0"/>
          <w:color w:val="002060"/>
          <w:spacing w:val="0"/>
          <w:kern w:val="0"/>
          <w:position w:val="0"/>
          <w:sz w:val="16"/>
          <w:szCs w:val="16"/>
        </w:rPr>
      </w:pPr>
    </w:p>
    <w:p w14:paraId="6C0A226A" w14:textId="77777777" w:rsidR="00CB594C" w:rsidRPr="00405303" w:rsidRDefault="00CB594C"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5BD71BAA" w14:textId="77777777" w:rsidR="00CB594C" w:rsidRPr="00405303" w:rsidRDefault="00CB594C" w:rsidP="00C15251">
      <w:pPr>
        <w:pStyle w:val="a3"/>
        <w:jc w:val="both"/>
        <w:rPr>
          <w:bCs/>
          <w:color w:val="002060"/>
          <w:spacing w:val="0"/>
          <w:kern w:val="0"/>
          <w:position w:val="0"/>
          <w:sz w:val="16"/>
          <w:szCs w:val="16"/>
        </w:rPr>
      </w:pPr>
    </w:p>
    <w:p w14:paraId="664D3CF8" w14:textId="7D4B9926" w:rsidR="00CB594C" w:rsidRPr="00405303" w:rsidRDefault="00CB594C" w:rsidP="00C15251">
      <w:pPr>
        <w:jc w:val="both"/>
        <w:rPr>
          <w:bCs/>
          <w:color w:val="002060"/>
          <w:sz w:val="16"/>
          <w:szCs w:val="16"/>
        </w:rPr>
      </w:pPr>
      <w:r w:rsidRPr="00405303">
        <w:rPr>
          <w:bCs/>
          <w:color w:val="002060"/>
          <w:sz w:val="16"/>
          <w:szCs w:val="16"/>
        </w:rPr>
        <w:t xml:space="preserve">31 января </w:t>
      </w:r>
      <w:r w:rsidR="00BA427F" w:rsidRPr="00405303">
        <w:rPr>
          <w:bCs/>
          <w:color w:val="002060"/>
          <w:sz w:val="16"/>
          <w:szCs w:val="16"/>
        </w:rPr>
        <w:t xml:space="preserve">(13 февраля) </w:t>
      </w:r>
      <w:r w:rsidRPr="00405303">
        <w:rPr>
          <w:bCs/>
          <w:color w:val="002060"/>
          <w:sz w:val="16"/>
          <w:szCs w:val="16"/>
        </w:rPr>
        <w:t>1915 г., Александр Михайлович добился командирования генерала А.В. Каульбарса во Францию и Англию под предлогом выяснения за границей ряда вопросов, касавшихся дальнейшего организационного строительства авиации в условиях войны. После его отъезда Великий князь стал полностью контролировать авиационное дело и на СЗФ.</w:t>
      </w:r>
    </w:p>
    <w:p w14:paraId="3C28EBBB" w14:textId="77777777" w:rsidR="00CB594C" w:rsidRPr="00405303" w:rsidRDefault="00CB594C" w:rsidP="00C15251">
      <w:pPr>
        <w:jc w:val="both"/>
        <w:rPr>
          <w:bCs/>
          <w:color w:val="002060"/>
          <w:sz w:val="16"/>
          <w:szCs w:val="16"/>
        </w:rPr>
      </w:pPr>
      <w:r w:rsidRPr="00405303">
        <w:rPr>
          <w:bCs/>
          <w:color w:val="002060"/>
          <w:sz w:val="16"/>
          <w:szCs w:val="16"/>
        </w:rPr>
        <w:t xml:space="preserve">Усилению власти Александра Михайловича способствовала также смена Верховных Главнокомандующих, произошедшая </w:t>
      </w:r>
      <w:proofErr w:type="gramStart"/>
      <w:r w:rsidRPr="00405303">
        <w:rPr>
          <w:bCs/>
          <w:color w:val="002060"/>
          <w:sz w:val="16"/>
          <w:szCs w:val="16"/>
        </w:rPr>
        <w:t>в августе</w:t>
      </w:r>
      <w:proofErr w:type="gramEnd"/>
      <w:r w:rsidRPr="00405303">
        <w:rPr>
          <w:bCs/>
          <w:color w:val="002060"/>
          <w:sz w:val="16"/>
          <w:szCs w:val="16"/>
        </w:rPr>
        <w:t xml:space="preserve"> 1915 г. Николай II, став во главе действующей армии, особым повелением поручил Великому князю заведовать и тылом авиации (19566).</w:t>
      </w:r>
    </w:p>
    <w:p w14:paraId="08E84585" w14:textId="77777777" w:rsidR="00CB594C" w:rsidRPr="00405303" w:rsidRDefault="00CB594C" w:rsidP="00C15251">
      <w:pPr>
        <w:jc w:val="both"/>
        <w:rPr>
          <w:bCs/>
          <w:color w:val="002060"/>
          <w:sz w:val="16"/>
          <w:szCs w:val="16"/>
        </w:rPr>
      </w:pPr>
    </w:p>
    <w:p w14:paraId="06A4F09C" w14:textId="77777777" w:rsidR="00BA427F" w:rsidRPr="00405303" w:rsidRDefault="00BA427F" w:rsidP="00C15251">
      <w:pPr>
        <w:pStyle w:val="a3"/>
        <w:jc w:val="both"/>
        <w:rPr>
          <w:bCs/>
          <w:color w:val="002060"/>
          <w:spacing w:val="0"/>
          <w:kern w:val="0"/>
          <w:position w:val="0"/>
          <w:sz w:val="16"/>
          <w:szCs w:val="16"/>
        </w:rPr>
      </w:pPr>
      <w:r w:rsidRPr="00405303">
        <w:rPr>
          <w:bCs/>
          <w:color w:val="002060"/>
          <w:spacing w:val="0"/>
          <w:kern w:val="0"/>
          <w:position w:val="0"/>
          <w:sz w:val="16"/>
          <w:szCs w:val="16"/>
        </w:rPr>
        <w:t>Армия:</w:t>
      </w:r>
    </w:p>
    <w:p w14:paraId="00AF3838" w14:textId="77777777" w:rsidR="00BA427F" w:rsidRPr="00405303" w:rsidRDefault="00BA427F" w:rsidP="00C15251">
      <w:pPr>
        <w:pStyle w:val="a3"/>
        <w:jc w:val="both"/>
        <w:rPr>
          <w:bCs/>
          <w:color w:val="002060"/>
          <w:spacing w:val="0"/>
          <w:kern w:val="0"/>
          <w:position w:val="0"/>
          <w:sz w:val="16"/>
          <w:szCs w:val="16"/>
        </w:rPr>
      </w:pPr>
    </w:p>
    <w:p w14:paraId="5D0C7412" w14:textId="77777777" w:rsidR="00BA427F" w:rsidRPr="00405303" w:rsidRDefault="00BA427F" w:rsidP="00C15251">
      <w:pPr>
        <w:jc w:val="both"/>
        <w:rPr>
          <w:bCs/>
          <w:color w:val="002060"/>
          <w:sz w:val="16"/>
          <w:szCs w:val="16"/>
        </w:rPr>
      </w:pPr>
      <w:r w:rsidRPr="00405303">
        <w:rPr>
          <w:bCs/>
          <w:color w:val="002060"/>
          <w:sz w:val="16"/>
          <w:szCs w:val="16"/>
        </w:rPr>
        <w:t xml:space="preserve">31 января (13 февраля) 1915 года штаб 2-й армии Северо-Западного фронта доносил: "Бронированные автомобили снискали себе полное доверие в войсках, нашедших в этих машинах огромную мощную поддержку, особенно в наступлении...", а штаб 1-й армии тогда же так оценивал поступившие в ее </w:t>
      </w:r>
      <w:r w:rsidRPr="00405303">
        <w:rPr>
          <w:rStyle w:val="12"/>
          <w:bCs/>
          <w:i w:val="0"/>
          <w:color w:val="002060"/>
          <w:sz w:val="16"/>
          <w:szCs w:val="16"/>
        </w:rPr>
        <w:t>распоряжение броневики</w:t>
      </w:r>
      <w:r w:rsidRPr="00405303">
        <w:rPr>
          <w:bCs/>
          <w:color w:val="002060"/>
          <w:sz w:val="16"/>
          <w:szCs w:val="16"/>
        </w:rPr>
        <w:t>: "Эти автомобили своей боевой службой с ноября месяца уже в полной мере оправдали возлагавшиеся на этот новый род оружия надежды" (12098).</w:t>
      </w:r>
    </w:p>
    <w:p w14:paraId="41CDBD9F" w14:textId="77777777" w:rsidR="00BA427F" w:rsidRPr="00405303" w:rsidRDefault="00BA427F" w:rsidP="00C15251">
      <w:pPr>
        <w:jc w:val="both"/>
        <w:rPr>
          <w:bCs/>
          <w:color w:val="002060"/>
          <w:sz w:val="16"/>
          <w:szCs w:val="16"/>
        </w:rPr>
      </w:pPr>
    </w:p>
    <w:p w14:paraId="21C757B8" w14:textId="633BE90A" w:rsidR="00CB594C" w:rsidRPr="00405303" w:rsidRDefault="00CB594C" w:rsidP="00C15251">
      <w:pPr>
        <w:jc w:val="both"/>
        <w:rPr>
          <w:bCs/>
          <w:color w:val="002060"/>
          <w:sz w:val="16"/>
          <w:szCs w:val="16"/>
        </w:rPr>
      </w:pPr>
      <w:r w:rsidRPr="00405303">
        <w:rPr>
          <w:bCs/>
          <w:color w:val="002060"/>
          <w:sz w:val="16"/>
          <w:szCs w:val="16"/>
        </w:rPr>
        <w:t xml:space="preserve">31 января </w:t>
      </w:r>
      <w:r w:rsidR="00BA427F" w:rsidRPr="00405303">
        <w:rPr>
          <w:bCs/>
          <w:color w:val="002060"/>
          <w:sz w:val="16"/>
          <w:szCs w:val="16"/>
        </w:rPr>
        <w:t xml:space="preserve">(13 февраля) </w:t>
      </w:r>
      <w:r w:rsidRPr="00405303">
        <w:rPr>
          <w:bCs/>
          <w:color w:val="002060"/>
          <w:sz w:val="16"/>
          <w:szCs w:val="16"/>
        </w:rPr>
        <w:t>в 1915 году немецкие войска впервые применили отравляющий газ против русской армии (15026).</w:t>
      </w:r>
    </w:p>
    <w:p w14:paraId="777CEF8E" w14:textId="77777777" w:rsidR="00CB594C" w:rsidRPr="00405303" w:rsidRDefault="00CB594C" w:rsidP="00C15251">
      <w:pPr>
        <w:jc w:val="both"/>
        <w:rPr>
          <w:bCs/>
          <w:color w:val="002060"/>
          <w:sz w:val="16"/>
          <w:szCs w:val="16"/>
        </w:rPr>
      </w:pPr>
    </w:p>
    <w:p w14:paraId="0EFEFFE4"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67AB977B" w14:textId="77777777" w:rsidR="004B4E35" w:rsidRPr="00405303" w:rsidRDefault="004B4E35" w:rsidP="00C15251">
      <w:pPr>
        <w:pStyle w:val="a3"/>
        <w:jc w:val="both"/>
        <w:rPr>
          <w:bCs/>
          <w:color w:val="002060"/>
          <w:spacing w:val="0"/>
          <w:kern w:val="0"/>
          <w:position w:val="0"/>
          <w:sz w:val="16"/>
          <w:szCs w:val="16"/>
        </w:rPr>
      </w:pPr>
    </w:p>
    <w:p w14:paraId="3CDF38BA" w14:textId="741A9E05" w:rsidR="004B4E35" w:rsidRPr="00405303" w:rsidRDefault="009E6F82" w:rsidP="00C15251">
      <w:pPr>
        <w:jc w:val="both"/>
        <w:rPr>
          <w:bCs/>
          <w:color w:val="002060"/>
          <w:sz w:val="16"/>
          <w:szCs w:val="16"/>
        </w:rPr>
      </w:pPr>
      <w:r w:rsidRPr="00405303">
        <w:rPr>
          <w:bCs/>
          <w:color w:val="002060"/>
          <w:sz w:val="16"/>
          <w:szCs w:val="16"/>
        </w:rPr>
        <w:t xml:space="preserve">В конце января 19I5 года </w:t>
      </w:r>
      <w:r w:rsidR="00BA427F" w:rsidRPr="00405303">
        <w:rPr>
          <w:bCs/>
          <w:color w:val="002060"/>
          <w:sz w:val="16"/>
          <w:szCs w:val="16"/>
        </w:rPr>
        <w:t xml:space="preserve">в Эскадру </w:t>
      </w:r>
      <w:r w:rsidRPr="00405303">
        <w:rPr>
          <w:bCs/>
          <w:color w:val="002060"/>
          <w:sz w:val="16"/>
          <w:szCs w:val="16"/>
        </w:rPr>
        <w:t>при</w:t>
      </w:r>
      <w:r w:rsidR="00BA427F" w:rsidRPr="00405303">
        <w:rPr>
          <w:bCs/>
          <w:color w:val="002060"/>
          <w:sz w:val="16"/>
          <w:szCs w:val="16"/>
        </w:rPr>
        <w:t>был</w:t>
      </w:r>
      <w:r w:rsidRPr="00405303">
        <w:rPr>
          <w:bCs/>
          <w:color w:val="002060"/>
          <w:sz w:val="16"/>
          <w:szCs w:val="16"/>
        </w:rPr>
        <w:t xml:space="preserve"> и отряд Панкратьева (II корабль). После сборки начались тренировочные полёты на VI корабле (№ I49, тип В. с двумя "Сальмсонами") Фирсова, в которых участвовал сам Сикорский. 13 февраля из-за неправильного маневра при полёте VI потерял скорость и с высоты 30 метров упал и разбился. Надо отметить, что на этом самолёте не устанавливались дополнительные рули направления. Возможно, что Сикорский хотел проверить достаточность использования только основного руля, установленного по оси симметрии фюзеляжа. Больше всех в аварии пострадал штабс-капитан Б.Н. Фир- сов, который получил сотрясение мозга, значительные ушибы и был госпитализирован. Позднее Фирсов подал рапорт о переводе из Эскадры. "Муромец" пришёл в полную негодность. В марте с уже выработавшего свой ресурс старого I корабля (№ 135) были сняты дефицитные моторы "Аргус" и переданы штабс-капитану Бродовичудля нового корабля типа В (№ 151), получившему наименование "Илья Муромец III". На бывший аппарат Бродовича типа Б (№ 137) был назначен новый командир - поручик С.Н. Головин, а самолёт был переименован в VI корабль. </w:t>
      </w:r>
    </w:p>
    <w:p w14:paraId="5A9018C0" w14:textId="77777777" w:rsidR="004B4E35" w:rsidRPr="00405303" w:rsidRDefault="009E6F82" w:rsidP="00C15251">
      <w:pPr>
        <w:jc w:val="both"/>
        <w:rPr>
          <w:bCs/>
          <w:color w:val="002060"/>
          <w:sz w:val="16"/>
          <w:szCs w:val="16"/>
        </w:rPr>
      </w:pPr>
      <w:r w:rsidRPr="00405303">
        <w:rPr>
          <w:bCs/>
          <w:color w:val="002060"/>
          <w:sz w:val="16"/>
          <w:szCs w:val="16"/>
        </w:rPr>
        <w:t>Активная подготовительная работа не могла отвлечь от выполнения основной задачи - полётов в тыл противника. Капитан тип В с N° 150 Г.Г. Горшков и его помощник поручик И.С.</w:t>
      </w:r>
    </w:p>
    <w:p w14:paraId="65126E24" w14:textId="77777777" w:rsidR="004B4E35" w:rsidRPr="00405303" w:rsidRDefault="009E6F82" w:rsidP="00C15251">
      <w:pPr>
        <w:jc w:val="both"/>
        <w:rPr>
          <w:bCs/>
          <w:color w:val="002060"/>
          <w:sz w:val="16"/>
          <w:szCs w:val="16"/>
        </w:rPr>
      </w:pPr>
      <w:r w:rsidRPr="00405303">
        <w:rPr>
          <w:bCs/>
          <w:color w:val="002060"/>
          <w:sz w:val="16"/>
          <w:szCs w:val="16"/>
        </w:rPr>
        <w:t>Башко времени не теряли и вскоре корабль VII "Киевский" (№ 150) типа В с моторами "Аргус" был готов к их выполнению (12041).</w:t>
      </w:r>
    </w:p>
    <w:p w14:paraId="0F18469B" w14:textId="77777777" w:rsidR="004B4E35" w:rsidRPr="00405303" w:rsidRDefault="004B4E35" w:rsidP="00C15251">
      <w:pPr>
        <w:jc w:val="both"/>
        <w:rPr>
          <w:bCs/>
          <w:color w:val="002060"/>
          <w:sz w:val="16"/>
          <w:szCs w:val="16"/>
        </w:rPr>
      </w:pPr>
    </w:p>
    <w:p w14:paraId="31594E86"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lastRenderedPageBreak/>
        <w:t>Морская авиация:</w:t>
      </w:r>
    </w:p>
    <w:p w14:paraId="4A263695" w14:textId="77777777" w:rsidR="004B4E35" w:rsidRPr="00405303" w:rsidRDefault="004B4E35" w:rsidP="00C15251">
      <w:pPr>
        <w:pStyle w:val="a3"/>
        <w:jc w:val="both"/>
        <w:rPr>
          <w:bCs/>
          <w:color w:val="002060"/>
          <w:spacing w:val="0"/>
          <w:kern w:val="0"/>
          <w:position w:val="0"/>
          <w:sz w:val="16"/>
          <w:szCs w:val="16"/>
        </w:rPr>
      </w:pPr>
    </w:p>
    <w:p w14:paraId="67889AA2" w14:textId="780CEA1C" w:rsidR="004B4E35" w:rsidRPr="00405303" w:rsidRDefault="00BA427F"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конце января 1915 года</w:t>
      </w:r>
      <w:r w:rsidRPr="00405303">
        <w:rPr>
          <w:bCs/>
          <w:color w:val="002060"/>
          <w:sz w:val="16"/>
          <w:szCs w:val="16"/>
        </w:rPr>
        <w:t xml:space="preserve"> окончилось переоборудование «Им</w:t>
      </w:r>
      <w:r w:rsidRPr="00405303">
        <w:rPr>
          <w:bCs/>
          <w:color w:val="002060"/>
          <w:sz w:val="16"/>
          <w:szCs w:val="16"/>
        </w:rPr>
        <w:softHyphen/>
        <w:t>ператора Николая I»</w:t>
      </w:r>
      <w:r w:rsidR="009E6F82" w:rsidRPr="00405303">
        <w:rPr>
          <w:bCs/>
          <w:color w:val="002060"/>
          <w:sz w:val="16"/>
          <w:szCs w:val="16"/>
        </w:rPr>
        <w:t>, а «Императора Александра III» - в середине марта. Ввиду того, что на николаевском заводе «Руссуд» еще прошлой вес</w:t>
      </w:r>
      <w:r w:rsidR="009E6F82" w:rsidRPr="00405303">
        <w:rPr>
          <w:bCs/>
          <w:color w:val="002060"/>
          <w:sz w:val="16"/>
          <w:szCs w:val="16"/>
        </w:rPr>
        <w:softHyphen/>
        <w:t>ной был спущен со стапеля на воду новый линейный корабль «Император Александр III», получивший ранее такое же наи</w:t>
      </w:r>
      <w:r w:rsidR="009E6F82" w:rsidRPr="00405303">
        <w:rPr>
          <w:bCs/>
          <w:color w:val="002060"/>
          <w:sz w:val="16"/>
          <w:szCs w:val="16"/>
        </w:rPr>
        <w:softHyphen/>
        <w:t>менование авиатранспорт, согласно приказу командующего флотом от 8 января 1915 года, переименовали в «Император Александр I» (11283).</w:t>
      </w:r>
    </w:p>
    <w:p w14:paraId="7EA1347B" w14:textId="3B084510" w:rsidR="004B4E35" w:rsidRPr="00405303" w:rsidRDefault="004B4E35" w:rsidP="00C15251">
      <w:pPr>
        <w:shd w:val="clear" w:color="auto" w:fill="FFFFFF"/>
        <w:jc w:val="both"/>
        <w:rPr>
          <w:bCs/>
          <w:color w:val="002060"/>
          <w:sz w:val="16"/>
          <w:szCs w:val="16"/>
        </w:rPr>
      </w:pPr>
    </w:p>
    <w:p w14:paraId="474E4856" w14:textId="2B77B1B8" w:rsidR="00CE6579" w:rsidRPr="00405303" w:rsidRDefault="00CE6579" w:rsidP="00C15251">
      <w:pPr>
        <w:shd w:val="clear" w:color="auto" w:fill="FFFFFF"/>
        <w:jc w:val="both"/>
        <w:rPr>
          <w:bCs/>
          <w:i/>
          <w:iCs/>
          <w:color w:val="002060"/>
          <w:sz w:val="16"/>
          <w:szCs w:val="16"/>
        </w:rPr>
      </w:pPr>
      <w:r w:rsidRPr="00405303">
        <w:rPr>
          <w:bCs/>
          <w:i/>
          <w:iCs/>
          <w:color w:val="002060"/>
          <w:sz w:val="16"/>
          <w:szCs w:val="16"/>
        </w:rPr>
        <w:t>За рубежом:</w:t>
      </w:r>
    </w:p>
    <w:p w14:paraId="42EE4122" w14:textId="77777777" w:rsidR="00CE6579" w:rsidRPr="00405303" w:rsidRDefault="00CE6579" w:rsidP="00C15251">
      <w:pPr>
        <w:shd w:val="clear" w:color="auto" w:fill="FFFFFF"/>
        <w:jc w:val="both"/>
        <w:rPr>
          <w:bCs/>
          <w:i/>
          <w:iCs/>
          <w:color w:val="002060"/>
          <w:sz w:val="16"/>
          <w:szCs w:val="16"/>
        </w:rPr>
      </w:pPr>
    </w:p>
    <w:p w14:paraId="393A9F02" w14:textId="77777777" w:rsidR="00CE6579" w:rsidRPr="00405303" w:rsidRDefault="00CE6579" w:rsidP="00C15251">
      <w:pPr>
        <w:jc w:val="both"/>
        <w:rPr>
          <w:bCs/>
          <w:color w:val="002060"/>
          <w:sz w:val="16"/>
          <w:szCs w:val="16"/>
        </w:rPr>
      </w:pPr>
      <w:r w:rsidRPr="00405303">
        <w:rPr>
          <w:bCs/>
          <w:color w:val="002060"/>
          <w:sz w:val="16"/>
          <w:szCs w:val="16"/>
        </w:rPr>
        <w:t>К концу января 1915 г. необходимые приготовления внутри страны были закончены и практические испытания на фронте были сделаны, главное командование избрало для целей атаки XV корпус, который занимал позицию против юго-западной части Ипрского выступа (канал Комин у дороги в Менин). В результате метеорологических наблюдений главное командование убедилось, что новое оружие лучше всего испытать в период приближающегося господства южных ветров; поэтому опыт был сделан на участке фронта, повернутом на север, чему соответствовало расположение XV корпуса (20247).</w:t>
      </w:r>
    </w:p>
    <w:p w14:paraId="18F2F0B0" w14:textId="77777777" w:rsidR="00CE6579" w:rsidRPr="00405303" w:rsidRDefault="00CE6579" w:rsidP="00C15251">
      <w:pPr>
        <w:jc w:val="both"/>
        <w:rPr>
          <w:bCs/>
          <w:color w:val="002060"/>
          <w:sz w:val="16"/>
          <w:szCs w:val="16"/>
        </w:rPr>
      </w:pPr>
    </w:p>
    <w:p w14:paraId="096747A6"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5A34739C" w14:textId="77777777" w:rsidR="004B4E35" w:rsidRPr="00405303" w:rsidRDefault="004B4E35" w:rsidP="00C15251">
      <w:pPr>
        <w:pStyle w:val="a3"/>
        <w:jc w:val="both"/>
        <w:rPr>
          <w:bCs/>
          <w:color w:val="002060"/>
          <w:spacing w:val="0"/>
          <w:kern w:val="0"/>
          <w:position w:val="0"/>
          <w:sz w:val="16"/>
          <w:szCs w:val="16"/>
        </w:rPr>
      </w:pPr>
    </w:p>
    <w:p w14:paraId="29440C61" w14:textId="77777777" w:rsidR="000226B5" w:rsidRPr="00405303" w:rsidRDefault="000226B5" w:rsidP="00C15251">
      <w:pPr>
        <w:pStyle w:val="a00"/>
        <w:spacing w:after="0"/>
        <w:jc w:val="both"/>
        <w:rPr>
          <w:bCs/>
          <w:color w:val="002060"/>
          <w:sz w:val="16"/>
          <w:szCs w:val="16"/>
        </w:rPr>
      </w:pPr>
      <w:r w:rsidRPr="00405303">
        <w:rPr>
          <w:bCs/>
          <w:color w:val="002060"/>
          <w:sz w:val="16"/>
          <w:szCs w:val="16"/>
        </w:rPr>
        <w:t>В январе 1915 года появился специально двухместный биплан С-16 для воздушного боя, который и был оснащен механизмами синхронизации стрельбы. Уже в марте 1915 года бипланы С-16 поступили на вооружение эскадры воздушных кораблей (Тейлор Майкл, Мандэй Дэвид. Книга Гиннеса об авиации: С. 154.) (15135).</w:t>
      </w:r>
    </w:p>
    <w:p w14:paraId="329B9D83" w14:textId="77777777" w:rsidR="000226B5" w:rsidRPr="00405303" w:rsidRDefault="000226B5" w:rsidP="00C15251">
      <w:pPr>
        <w:pStyle w:val="a00"/>
        <w:spacing w:after="0"/>
        <w:jc w:val="both"/>
        <w:rPr>
          <w:bCs/>
          <w:color w:val="002060"/>
          <w:sz w:val="16"/>
          <w:szCs w:val="16"/>
        </w:rPr>
      </w:pPr>
    </w:p>
    <w:p w14:paraId="16F66DE1" w14:textId="6768E5C6"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В январе 1915 </w:t>
      </w:r>
      <w:r w:rsidR="00BA427F" w:rsidRPr="00405303">
        <w:rPr>
          <w:bCs/>
          <w:color w:val="002060"/>
          <w:sz w:val="16"/>
          <w:szCs w:val="16"/>
        </w:rPr>
        <w:t xml:space="preserve">г. </w:t>
      </w:r>
      <w:r w:rsidRPr="00405303">
        <w:rPr>
          <w:bCs/>
          <w:color w:val="002060"/>
          <w:sz w:val="16"/>
          <w:szCs w:val="16"/>
        </w:rPr>
        <w:t>“Воздухоплавательный отдел” РБВЗ сгорел дотла и был восстановлен уже в апреле как завод Авиабалт. В 1916 был расширен на новой площадке, которой руководил Эргант, а на старой - Н.Н.П. (10783,22).</w:t>
      </w:r>
    </w:p>
    <w:p w14:paraId="06E20890" w14:textId="77777777" w:rsidR="004B4E35" w:rsidRPr="00405303" w:rsidRDefault="004B4E35" w:rsidP="00C15251">
      <w:pPr>
        <w:shd w:val="clear" w:color="auto" w:fill="FFFFFF"/>
        <w:jc w:val="both"/>
        <w:rPr>
          <w:bCs/>
          <w:color w:val="002060"/>
          <w:sz w:val="16"/>
          <w:szCs w:val="16"/>
        </w:rPr>
      </w:pPr>
    </w:p>
    <w:p w14:paraId="5881746F" w14:textId="46F40345" w:rsidR="004B4E35" w:rsidRPr="00405303" w:rsidRDefault="009E6F82" w:rsidP="00C15251">
      <w:pPr>
        <w:jc w:val="both"/>
        <w:rPr>
          <w:bCs/>
          <w:color w:val="002060"/>
          <w:sz w:val="16"/>
          <w:szCs w:val="16"/>
        </w:rPr>
      </w:pPr>
      <w:r w:rsidRPr="00405303">
        <w:rPr>
          <w:bCs/>
          <w:color w:val="002060"/>
          <w:sz w:val="16"/>
          <w:szCs w:val="16"/>
        </w:rPr>
        <w:t>В январе 1915 года пожар главного корпуса завода махом решил несколько проблем - уничтожил весь задел "лёгких Сикорских", обеспечил заводу получение страховки и освободил производственные плошади для расширения производства "Муромцев". Несколько месяцев ушло на восстановление производства. В апреле 1915 года был снят запрет на исполнение работ по контракту от 2 октября и выпуск "Муромцев" был возобновлён. Срок исполнения заказа на 32 корабля был перенесён на 1 сентября 1915 года (с учётом 148 дней временной приостановки работ).</w:t>
      </w:r>
    </w:p>
    <w:p w14:paraId="795CAC00" w14:textId="77777777" w:rsidR="004B4E35" w:rsidRPr="00405303" w:rsidRDefault="009E6F82" w:rsidP="00C15251">
      <w:pPr>
        <w:jc w:val="both"/>
        <w:rPr>
          <w:bCs/>
          <w:color w:val="002060"/>
          <w:sz w:val="16"/>
          <w:szCs w:val="16"/>
        </w:rPr>
      </w:pPr>
      <w:r w:rsidRPr="00405303">
        <w:rPr>
          <w:bCs/>
          <w:color w:val="002060"/>
          <w:sz w:val="16"/>
          <w:szCs w:val="16"/>
        </w:rPr>
        <w:t>В мае 1915 года воздухоплавательное отделение РБВЗ было реорганизовано в Рус- ско-Балтийский воздухоплавательный завод (или как его чаше называли "Авиа-Балт"). Его директором стал бывший заведующий отделением завода М.Ф. Климиксеев. В счёт утраченных при пожаре малых самолётов, 20 июня 1915 года завод заключил контракте ГВТУ за № 15976 на поставку ещё четырёх аэропланов типа "Илья Муромец" (№№ 158. 159, 163 и 165) с запасными частями на сумму 667.995 рублей. Казна платила за каждый корабль немалые деньги - цена не изменялась с 1914 года и составляла 150 тысяч рублей, тогда как одномоторный "маленький" аэроплан стоил от 7 до 14 тысяч.</w:t>
      </w:r>
    </w:p>
    <w:p w14:paraId="733F687E" w14:textId="77777777" w:rsidR="004B4E35" w:rsidRPr="00405303" w:rsidRDefault="009E6F82" w:rsidP="00C15251">
      <w:pPr>
        <w:jc w:val="both"/>
        <w:rPr>
          <w:bCs/>
          <w:color w:val="002060"/>
          <w:sz w:val="16"/>
          <w:szCs w:val="16"/>
        </w:rPr>
      </w:pPr>
      <w:r w:rsidRPr="00405303">
        <w:rPr>
          <w:bCs/>
          <w:color w:val="002060"/>
          <w:sz w:val="16"/>
          <w:szCs w:val="16"/>
        </w:rPr>
        <w:t>Как же собирались самолёты типа "Илья Муромец"? На заводе применялся метод по- агрегатной сборки. Сначала изготавливали и собирали отдельные части аппарата: фюзеляж, стойки шасси (центральные и две пары подмоторных), верхние и нижние планы (крылья), горизонтальное оперение. Нижний план в свою очередь собирался из двух располагаемых по бортам фюзеляжа подмоторных частей и двух присоединяемых к ним крайних, а верхний - из семи частей: двух надмоторных, двух крайних, двух приставочных поверхностей (так называемых над- крылков) и одной центральной части, располагаемой над фюзеляжем (в терминах того времени).</w:t>
      </w:r>
    </w:p>
    <w:p w14:paraId="6298AA93" w14:textId="77777777" w:rsidR="004B4E35" w:rsidRPr="00405303" w:rsidRDefault="009E6F82" w:rsidP="00C15251">
      <w:pPr>
        <w:jc w:val="both"/>
        <w:rPr>
          <w:bCs/>
          <w:color w:val="002060"/>
          <w:sz w:val="16"/>
          <w:szCs w:val="16"/>
        </w:rPr>
      </w:pPr>
      <w:r w:rsidRPr="00405303">
        <w:rPr>
          <w:bCs/>
          <w:color w:val="002060"/>
          <w:sz w:val="16"/>
          <w:szCs w:val="16"/>
        </w:rPr>
        <w:t>Соответственные части верхнего и нижнего планов в мастерских завода собирались в коробки с помощью стоек и усиливались диагональными расчалками из струнной проволоки. Две моторные и две крайние коробки с надкрылками выверялись в стапелях и пригонялись друг к другу. Пока делались крылья, в сборочной мастерской устанавливался готовый фюзеляж, уже обтянутый материей и поставленный на центральное шасси, и над ним устанавливался центральный сектор верхнего плана. Затем к фюзеляжу крепилось горизонтальное оперение, состоявшее из двух консолей, и моторные коробки планов, под которые подводилось шасси. После этого на нижних планах коробок крыльев устанавливались фермы под моторы.</w:t>
      </w:r>
    </w:p>
    <w:p w14:paraId="15D4AC89" w14:textId="77777777" w:rsidR="004B4E35" w:rsidRPr="00405303" w:rsidRDefault="009E6F82" w:rsidP="00C15251">
      <w:pPr>
        <w:jc w:val="both"/>
        <w:rPr>
          <w:bCs/>
          <w:color w:val="002060"/>
          <w:sz w:val="16"/>
          <w:szCs w:val="16"/>
        </w:rPr>
      </w:pPr>
      <w:r w:rsidRPr="00405303">
        <w:rPr>
          <w:bCs/>
          <w:color w:val="002060"/>
          <w:sz w:val="16"/>
          <w:szCs w:val="16"/>
        </w:rPr>
        <w:t>По окончании сборочных работ наступала очередь механиков, которые устанавливали двигатели на фермы, пригоняли к ним по месту бензо-, масло- и воздухопроводы, электрическую проводку и соответствующую арматуру, а также устанавливали бензиновые и масляные баки и измерительные приборы. По техническим условиям контракта баки для бензина и масла (с указателями уровня) должны были быть изготовлены из красной меди или латуни. Для управления высотой и боковыми наклонами аппарата ставился качающийся штурвал, для поворотов аппарата в горизонтальной плоскости - ножной рычаг. Кабина должна была оснащаться следующими приборами: двумя компасами, двумя барометрами-анероидами, двумя указателями скорости и часами с секундной стрелкой.</w:t>
      </w:r>
    </w:p>
    <w:p w14:paraId="0FA8FADB" w14:textId="77777777" w:rsidR="00BA427F" w:rsidRPr="00405303" w:rsidRDefault="009E6F82" w:rsidP="00C15251">
      <w:pPr>
        <w:jc w:val="both"/>
        <w:rPr>
          <w:bCs/>
          <w:color w:val="002060"/>
          <w:sz w:val="16"/>
          <w:szCs w:val="16"/>
        </w:rPr>
      </w:pPr>
      <w:r w:rsidRPr="00405303">
        <w:rPr>
          <w:bCs/>
          <w:color w:val="002060"/>
          <w:sz w:val="16"/>
          <w:szCs w:val="16"/>
        </w:rPr>
        <w:t>Этими действиями сборка аэроплана на заводе заканчивалась, он разбирался и пере- готовых фюзеляжей возился на Корпусной аэродром.</w:t>
      </w:r>
    </w:p>
    <w:p w14:paraId="61AAC8FE" w14:textId="77777777" w:rsidR="004B4E35" w:rsidRPr="00405303" w:rsidRDefault="009E6F82" w:rsidP="00C15251">
      <w:pPr>
        <w:jc w:val="both"/>
        <w:rPr>
          <w:bCs/>
          <w:color w:val="002060"/>
          <w:sz w:val="16"/>
          <w:szCs w:val="16"/>
        </w:rPr>
      </w:pPr>
      <w:r w:rsidRPr="00405303">
        <w:rPr>
          <w:bCs/>
          <w:color w:val="002060"/>
          <w:sz w:val="16"/>
          <w:szCs w:val="16"/>
        </w:rPr>
        <w:t>Там в распоряжении завода имелись одна сборочная мастерская и два ангара на один аппарат каждый. В ангарах можно было полностью собирать корабль, т.е. хватало места для стыковки крайних коробок с надкрылками. В четырёх верстах от завода Военное ведомство предоставило три железных ангара, о назначении которых пойдёт речь ниже.</w:t>
      </w:r>
    </w:p>
    <w:p w14:paraId="6FEDB4F4" w14:textId="77777777" w:rsidR="004B4E35" w:rsidRPr="00405303" w:rsidRDefault="009E6F82" w:rsidP="00C15251">
      <w:pPr>
        <w:jc w:val="both"/>
        <w:rPr>
          <w:bCs/>
          <w:color w:val="002060"/>
          <w:sz w:val="16"/>
          <w:szCs w:val="16"/>
        </w:rPr>
      </w:pPr>
      <w:r w:rsidRPr="00405303">
        <w:rPr>
          <w:bCs/>
          <w:color w:val="002060"/>
          <w:sz w:val="16"/>
          <w:szCs w:val="16"/>
        </w:rPr>
        <w:t>Доставленный с завода на Корпусной аэродром "Муромец", сначала поступал в сборочную мастерскую, где механиками производилась окончательная установка моторов. Такая работа занимала от трёх до четырёх дней.</w:t>
      </w:r>
    </w:p>
    <w:p w14:paraId="0D43D813" w14:textId="77777777" w:rsidR="004B4E35" w:rsidRPr="00405303" w:rsidRDefault="009E6F82" w:rsidP="00C15251">
      <w:pPr>
        <w:jc w:val="both"/>
        <w:rPr>
          <w:bCs/>
          <w:color w:val="002060"/>
          <w:sz w:val="16"/>
          <w:szCs w:val="16"/>
        </w:rPr>
      </w:pPr>
      <w:r w:rsidRPr="00405303">
        <w:rPr>
          <w:bCs/>
          <w:color w:val="002060"/>
          <w:sz w:val="16"/>
          <w:szCs w:val="16"/>
        </w:rPr>
        <w:t>Затем аппарат переводился в ангар, где к моторным планам присоединялись крайние коробки с надкрылками и производилась окончательная регулировка корабля, занимавшая два-три дня.</w:t>
      </w:r>
    </w:p>
    <w:p w14:paraId="7EC505E0" w14:textId="77777777" w:rsidR="004B4E35" w:rsidRPr="00405303" w:rsidRDefault="009E6F82" w:rsidP="00C15251">
      <w:pPr>
        <w:jc w:val="both"/>
        <w:rPr>
          <w:bCs/>
          <w:color w:val="002060"/>
          <w:sz w:val="16"/>
          <w:szCs w:val="16"/>
        </w:rPr>
      </w:pPr>
      <w:r w:rsidRPr="00405303">
        <w:rPr>
          <w:bCs/>
          <w:color w:val="002060"/>
          <w:sz w:val="16"/>
          <w:szCs w:val="16"/>
        </w:rPr>
        <w:t>Ещё день-два нужны были для регулировки двигателей.</w:t>
      </w:r>
    </w:p>
    <w:p w14:paraId="677F4C52" w14:textId="77777777" w:rsidR="004B4E35" w:rsidRPr="00405303" w:rsidRDefault="009E6F82" w:rsidP="00C15251">
      <w:pPr>
        <w:jc w:val="both"/>
        <w:rPr>
          <w:bCs/>
          <w:color w:val="002060"/>
          <w:sz w:val="16"/>
          <w:szCs w:val="16"/>
        </w:rPr>
      </w:pPr>
      <w:r w:rsidRPr="00405303">
        <w:rPr>
          <w:bCs/>
          <w:color w:val="002060"/>
          <w:sz w:val="16"/>
          <w:szCs w:val="16"/>
        </w:rPr>
        <w:t>Таким образом, для подготовки "Муромца" к сдаточному полёту уходило от шести до девяти дней.</w:t>
      </w:r>
    </w:p>
    <w:p w14:paraId="199FE000" w14:textId="77777777" w:rsidR="004B4E35" w:rsidRPr="00405303" w:rsidRDefault="009E6F82" w:rsidP="00C15251">
      <w:pPr>
        <w:jc w:val="both"/>
        <w:rPr>
          <w:bCs/>
          <w:color w:val="002060"/>
          <w:sz w:val="16"/>
          <w:szCs w:val="16"/>
        </w:rPr>
      </w:pPr>
      <w:r w:rsidRPr="00405303">
        <w:rPr>
          <w:bCs/>
          <w:color w:val="002060"/>
          <w:sz w:val="16"/>
          <w:szCs w:val="16"/>
        </w:rPr>
        <w:t xml:space="preserve">После окончательной подготовки, аппараты должны были быть немедленно сданы и переправлены по воздуху (перелётом) в железные ангары Военного ведомства, так как условия местности не позволяли переправить самолёты "на руках". </w:t>
      </w:r>
    </w:p>
    <w:p w14:paraId="25611D4B" w14:textId="77777777" w:rsidR="004B4E35" w:rsidRPr="00405303" w:rsidRDefault="009E6F82" w:rsidP="00C15251">
      <w:pPr>
        <w:jc w:val="both"/>
        <w:rPr>
          <w:bCs/>
          <w:color w:val="002060"/>
          <w:sz w:val="16"/>
          <w:szCs w:val="16"/>
        </w:rPr>
      </w:pPr>
      <w:r w:rsidRPr="00405303">
        <w:rPr>
          <w:bCs/>
          <w:color w:val="002060"/>
          <w:sz w:val="16"/>
          <w:szCs w:val="16"/>
        </w:rPr>
        <w:t>Мотор РБВЗ.6 Сдача "Муромцев" задерживалась тем, (РБЗ.В) 150л.с. что у завода не было собственного лётчика- сдатчика, приходилось запрашивать и ждать пилотов из Эскадры. Это обстоятельство ощутимо срывало сроки, и собранные самолёты только зря занимали немногочисленные ангары. Вскоре пришли к тому, что приёмку корабля можно проводить не только в Петрограде, но и в Эскадре, где за сдаточный полёт засчитывали первый боевой вылет.</w:t>
      </w:r>
    </w:p>
    <w:p w14:paraId="19AD900E" w14:textId="77777777" w:rsidR="004B4E35" w:rsidRPr="00405303" w:rsidRDefault="009E6F82" w:rsidP="00C15251">
      <w:pPr>
        <w:jc w:val="both"/>
        <w:rPr>
          <w:bCs/>
          <w:color w:val="002060"/>
          <w:sz w:val="16"/>
          <w:szCs w:val="16"/>
        </w:rPr>
      </w:pPr>
      <w:r w:rsidRPr="00405303">
        <w:rPr>
          <w:bCs/>
          <w:color w:val="002060"/>
          <w:sz w:val="16"/>
          <w:szCs w:val="16"/>
        </w:rPr>
        <w:t>Выпуск самолётов модификации В ("остроносых" и "тупоносых") позволил несколько "утолить голод" Эскадры и наладить относительно регулярную боевую работу. Но Сикорский прекрасно понимал, что необходимо совершенствовать "Муромца", поскольку топтание на месте на самом деле вело назад.</w:t>
      </w:r>
    </w:p>
    <w:p w14:paraId="327C1957" w14:textId="77777777" w:rsidR="004B4E35" w:rsidRPr="00405303" w:rsidRDefault="009E6F82" w:rsidP="00C15251">
      <w:pPr>
        <w:jc w:val="both"/>
        <w:rPr>
          <w:bCs/>
          <w:color w:val="002060"/>
          <w:sz w:val="16"/>
          <w:szCs w:val="16"/>
        </w:rPr>
      </w:pPr>
      <w:r w:rsidRPr="00405303">
        <w:rPr>
          <w:bCs/>
          <w:color w:val="002060"/>
          <w:sz w:val="16"/>
          <w:szCs w:val="16"/>
        </w:rPr>
        <w:t>"Моторный голод" был ахиллесовой пятой российской авиации практически с самого её зарождения. Отсутствие отечественных моторов необходимой мощности и перебои с поставками из-за рубежа привели руководство РБВЗ к решению наладить на заводе и производство собственных двигателей. Дело это оказалось не столь простым и разработка, испытания и запуск производства заняли много времени. Тем не менее, в 1915 году на рижском отделении РБВЗ под руководством инженера В.В. Киреева был создан и испытан шестицилиндровый рядный двигатель РБВЗ.6 (РБ3.6) в 150 л.с. Установленные на "Муромце" тип В (№167) летом 1915 года, они показали себя с самой лучшей стороны, мало уступая германским "Аргусам".</w:t>
      </w:r>
    </w:p>
    <w:p w14:paraId="5DE4F78B" w14:textId="77777777" w:rsidR="004B4E35" w:rsidRPr="00405303" w:rsidRDefault="009E6F82" w:rsidP="00C15251">
      <w:pPr>
        <w:jc w:val="both"/>
        <w:rPr>
          <w:bCs/>
          <w:color w:val="002060"/>
          <w:sz w:val="16"/>
          <w:szCs w:val="16"/>
        </w:rPr>
      </w:pPr>
      <w:r w:rsidRPr="00405303">
        <w:rPr>
          <w:bCs/>
          <w:color w:val="002060"/>
          <w:sz w:val="16"/>
          <w:szCs w:val="16"/>
        </w:rPr>
        <w:t>Эвакуация рижского'завода осенью 1915 года не позволила расширить выпуск двигателей. В Москве к этому времени наладили лицензионный выпуск "Сальмсонов" М9 в 150 л.с., но не слишком удачный опыт их эксплуатации на "Муромцах" из-за большого лобового сопротивления, привёл к отказу от их использования.</w:t>
      </w:r>
    </w:p>
    <w:p w14:paraId="33F980A4" w14:textId="77777777" w:rsidR="004B4E35" w:rsidRPr="00405303" w:rsidRDefault="009E6F82" w:rsidP="00C15251">
      <w:pPr>
        <w:jc w:val="both"/>
        <w:rPr>
          <w:bCs/>
          <w:color w:val="002060"/>
          <w:sz w:val="16"/>
          <w:szCs w:val="16"/>
        </w:rPr>
      </w:pPr>
      <w:r w:rsidRPr="00405303">
        <w:rPr>
          <w:bCs/>
          <w:color w:val="002060"/>
          <w:sz w:val="16"/>
          <w:szCs w:val="16"/>
        </w:rPr>
        <w:t xml:space="preserve">Пока суть да дело, было решено закупить в Великобритании восьмицилиндровые V-образные двигатели водяного охлаждения "Санбим" в 150 л.с. На практике закупленные двигатели развивали не более 130 л.с., что заметно снижало боевые качества "Муромцев". В эксплуатации "Санбимы" оказались капризными и </w:t>
      </w:r>
      <w:r w:rsidRPr="00405303">
        <w:rPr>
          <w:bCs/>
          <w:color w:val="002060"/>
          <w:sz w:val="16"/>
          <w:szCs w:val="16"/>
        </w:rPr>
        <w:lastRenderedPageBreak/>
        <w:t>ненадёжными. Впервые установленные на них лобовые радиаторы заметно повышали сопротивление. Рекламации шли из Эскадры широким потоком, двигатели в массовом порядке отправлялись обратно на переборку и доработку. Но выбирать было не из чего...</w:t>
      </w:r>
    </w:p>
    <w:p w14:paraId="05C8D1B3" w14:textId="77777777" w:rsidR="004B4E35" w:rsidRPr="00405303" w:rsidRDefault="009E6F82" w:rsidP="00C15251">
      <w:pPr>
        <w:jc w:val="both"/>
        <w:rPr>
          <w:bCs/>
          <w:color w:val="002060"/>
          <w:sz w:val="16"/>
          <w:szCs w:val="16"/>
        </w:rPr>
      </w:pPr>
      <w:r w:rsidRPr="00405303">
        <w:rPr>
          <w:bCs/>
          <w:color w:val="002060"/>
          <w:sz w:val="16"/>
          <w:szCs w:val="16"/>
        </w:rPr>
        <w:t>Шидловский и Сикорский решили пойти на изменение конструкции для улучшения лётных характеристик своих воздушных гигантов. Улучшения было решено добиваться двумя путями. Первый путь заключался в совершенствовании винтомоторной установки, второй - в совершенствовании самого самолёта.</w:t>
      </w:r>
    </w:p>
    <w:p w14:paraId="04216366" w14:textId="77777777" w:rsidR="004B4E35" w:rsidRPr="00405303" w:rsidRDefault="009E6F82" w:rsidP="00C15251">
      <w:pPr>
        <w:jc w:val="both"/>
        <w:rPr>
          <w:bCs/>
          <w:color w:val="002060"/>
          <w:sz w:val="16"/>
          <w:szCs w:val="16"/>
        </w:rPr>
      </w:pPr>
      <w:r w:rsidRPr="00405303">
        <w:rPr>
          <w:bCs/>
          <w:color w:val="002060"/>
          <w:sz w:val="16"/>
          <w:szCs w:val="16"/>
        </w:rPr>
        <w:t>В первом направлении Сикорский решил уменьшить сопротивление двигательной установки и повысить КПД винтов. Во втором - увеличить площадь крыла и поддержать удельную нагрузку на крыло на прежнем уровне (12041).</w:t>
      </w:r>
    </w:p>
    <w:p w14:paraId="0FEEE958" w14:textId="77777777" w:rsidR="004B4E35" w:rsidRPr="00405303" w:rsidRDefault="004B4E35" w:rsidP="00C15251">
      <w:pPr>
        <w:jc w:val="both"/>
        <w:rPr>
          <w:bCs/>
          <w:color w:val="002060"/>
          <w:sz w:val="16"/>
          <w:szCs w:val="16"/>
        </w:rPr>
      </w:pPr>
    </w:p>
    <w:p w14:paraId="074CE987" w14:textId="7BEB4CFF" w:rsidR="004B4E35" w:rsidRPr="00405303" w:rsidRDefault="00BA427F"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w:t>
      </w:r>
      <w:r w:rsidRPr="00405303">
        <w:rPr>
          <w:bCs/>
          <w:color w:val="002060"/>
          <w:sz w:val="16"/>
          <w:szCs w:val="16"/>
        </w:rPr>
        <w:t xml:space="preserve">январе </w:t>
      </w:r>
      <w:r w:rsidR="009E6F82" w:rsidRPr="00405303">
        <w:rPr>
          <w:bCs/>
          <w:color w:val="002060"/>
          <w:sz w:val="16"/>
          <w:szCs w:val="16"/>
        </w:rPr>
        <w:t xml:space="preserve">1915 г. </w:t>
      </w:r>
      <w:r w:rsidRPr="00405303">
        <w:rPr>
          <w:bCs/>
          <w:color w:val="002060"/>
          <w:sz w:val="16"/>
          <w:szCs w:val="16"/>
        </w:rPr>
        <w:t xml:space="preserve">Петроградский </w:t>
      </w:r>
      <w:r w:rsidR="009E6F82" w:rsidRPr="00405303">
        <w:rPr>
          <w:bCs/>
          <w:color w:val="002060"/>
          <w:sz w:val="16"/>
          <w:szCs w:val="16"/>
        </w:rPr>
        <w:t xml:space="preserve">завод практически полностью сгорел, но был восстановлен весной того же года как дочерний завод РБВЗ - «Авиа-Балт». </w:t>
      </w:r>
      <w:r w:rsidRPr="00405303">
        <w:rPr>
          <w:bCs/>
          <w:color w:val="002060"/>
          <w:sz w:val="16"/>
          <w:szCs w:val="16"/>
        </w:rPr>
        <w:t>(Завод № 23 ВСНХ, НКТП, НКОП, НКАП, Русско-Балтийский воздухоплавательный завод АО РБВЗ, Завод «Авиа-Балт», Петроградский государственный соединённый авиазавод (ПГСАЗ), Завод № 3 «Красный летчик» ВСНХ, Государственный авиационный завод № 3 (ГАЗ-З) «Красный летчик» ВСНХ /г. Рига;</w:t>
      </w:r>
      <w:r w:rsidR="000F5756">
        <w:rPr>
          <w:bCs/>
          <w:color w:val="002060"/>
          <w:sz w:val="16"/>
          <w:szCs w:val="16"/>
        </w:rPr>
        <w:t xml:space="preserve"> </w:t>
      </w:r>
      <w:r w:rsidRPr="00405303">
        <w:rPr>
          <w:bCs/>
          <w:color w:val="002060"/>
          <w:sz w:val="16"/>
          <w:szCs w:val="16"/>
        </w:rPr>
        <w:t>г. Петербург,</w:t>
      </w:r>
      <w:r w:rsidR="000F5756">
        <w:rPr>
          <w:bCs/>
          <w:color w:val="002060"/>
          <w:sz w:val="16"/>
          <w:szCs w:val="16"/>
        </w:rPr>
        <w:t xml:space="preserve"> </w:t>
      </w:r>
      <w:r w:rsidRPr="00405303">
        <w:rPr>
          <w:bCs/>
          <w:color w:val="002060"/>
          <w:sz w:val="16"/>
          <w:szCs w:val="16"/>
        </w:rPr>
        <w:t>г. Петроград,</w:t>
      </w:r>
      <w:r w:rsidR="000F5756">
        <w:rPr>
          <w:bCs/>
          <w:color w:val="002060"/>
          <w:sz w:val="16"/>
          <w:szCs w:val="16"/>
        </w:rPr>
        <w:t xml:space="preserve"> </w:t>
      </w:r>
      <w:r w:rsidRPr="00405303">
        <w:rPr>
          <w:bCs/>
          <w:color w:val="002060"/>
          <w:sz w:val="16"/>
          <w:szCs w:val="16"/>
        </w:rPr>
        <w:t xml:space="preserve">г. Ленинград Новая Деревня, Строгановская наб., 1 «ГАЗ третий» (1925- 27 г.)/) </w:t>
      </w:r>
      <w:r w:rsidR="009E6F82" w:rsidRPr="00405303">
        <w:rPr>
          <w:bCs/>
          <w:color w:val="002060"/>
          <w:sz w:val="16"/>
          <w:szCs w:val="16"/>
        </w:rPr>
        <w:t>В 1916 г. завод был расширен за счет новой большой производственной площадки, где руководство работами возглавил Эргант; на старой площадке работами руководил Н.Н. Поликарпов.</w:t>
      </w:r>
      <w:r w:rsidR="009E6F82" w:rsidRPr="00405303">
        <w:rPr>
          <w:bCs/>
          <w:color w:val="002060"/>
          <w:sz w:val="16"/>
          <w:szCs w:val="16"/>
          <w:vertAlign w:val="superscript"/>
        </w:rPr>
        <w:t>144</w:t>
      </w:r>
    </w:p>
    <w:p w14:paraId="2CA7A1AF" w14:textId="77777777" w:rsidR="004B4E35" w:rsidRPr="00405303" w:rsidRDefault="009E6F82" w:rsidP="00C15251">
      <w:pPr>
        <w:jc w:val="both"/>
        <w:rPr>
          <w:bCs/>
          <w:color w:val="002060"/>
          <w:sz w:val="16"/>
          <w:szCs w:val="16"/>
        </w:rPr>
      </w:pPr>
      <w:r w:rsidRPr="00405303">
        <w:rPr>
          <w:bCs/>
          <w:color w:val="002060"/>
          <w:sz w:val="16"/>
          <w:szCs w:val="16"/>
        </w:rPr>
        <w:t>Работал конструктор И.И. Сикорский. Созданы самолеты: С-2 (третий взлетевший самолет отечественной конструкции, 16.06.1910 г.), поплавковый С-10 «Гидро» (21.05.1913 г.), истребитель С-16 (04.1915 г.), тяжелые: «Гранд» (10.05.1913 г.), «Илья Муромец» (10.12.1913 г.). Первым самолетом, строившимся на заводе серийно, стал С-10.</w:t>
      </w:r>
    </w:p>
    <w:p w14:paraId="35F26E8C" w14:textId="77777777" w:rsidR="004B4E35" w:rsidRPr="00405303" w:rsidRDefault="009E6F82" w:rsidP="00C15251">
      <w:pPr>
        <w:jc w:val="both"/>
        <w:rPr>
          <w:bCs/>
          <w:color w:val="002060"/>
          <w:sz w:val="16"/>
          <w:szCs w:val="16"/>
        </w:rPr>
      </w:pPr>
      <w:r w:rsidRPr="00405303">
        <w:rPr>
          <w:bCs/>
          <w:color w:val="002060"/>
          <w:sz w:val="16"/>
          <w:szCs w:val="16"/>
        </w:rPr>
        <w:t>В 1918 г. было принято решение эвакуировать завод в Ярославль на площадку недостроенного завода Щетинина. После того, как выяснилось, что завод в Ярославле уже переведен на выпуск сельхозтехники, часть оборудования была отправлена в Москву в Фили, а часть вернули обратно в Петроград. Летом 1918 г. практически одновременно Правление объединенных петроградских заводов приняло решение закрыть завод, а ВСНХ - эвакуировать его в Казань. В 1925 г. закрыта литейная. Далее основная часть завода располагалась по Строгановской наб., часть - на Комендантском аэродроме около ст. Новая Деревня. В 1926 г. в составе завода - опытный отдел и КБ; (1927 г.) отдел экономики труда (ОЭТ).</w:t>
      </w:r>
    </w:p>
    <w:p w14:paraId="3087BEA3" w14:textId="77777777" w:rsidR="004B4E35" w:rsidRPr="00405303" w:rsidRDefault="009E6F82" w:rsidP="00C15251">
      <w:pPr>
        <w:jc w:val="both"/>
        <w:rPr>
          <w:bCs/>
          <w:color w:val="002060"/>
          <w:sz w:val="16"/>
          <w:szCs w:val="16"/>
        </w:rPr>
      </w:pPr>
      <w:r w:rsidRPr="00405303">
        <w:rPr>
          <w:bCs/>
          <w:color w:val="002060"/>
          <w:sz w:val="16"/>
          <w:szCs w:val="16"/>
        </w:rPr>
        <w:t xml:space="preserve">Пост. СНХ Северного района от 25.09.1918 г. Русско-Балтийский воздухоплавательный завод АО РБВЗ был национализирован. С 17.12.1918 г. завод вошел в состав Авиаправления Секции по металлу СНХ Северного района, с 04.1919 г. - правления Северной районной группы авиазаводов. В 12.1919 г. - в ведении Главкоавиа. В 11.1920 г. вошел как Русско-Балтийский авиазавод № 2 (отделение № 2) в состав Петроградского государственного соединённого авиазавода в ведении Петроградского СНХ. Туда также вошли заводы «Гамаюн» (отделение № 1), Лебедева (отделение № 3) и В.В. Слюсаренко. Объединение заводов было утверждено приказом ГУВП ВСНХ от 14.05.1921 г. Основу завода составили: оборудование и кадры завода «Гамаюн», оборудование завода Лебедева и часть оборудования завода «Авиа-Балт» не отправленная в Сарапул. В 11.1922 г. объединенный авиазавод переименован в ГАЗ-З «Красный лётчик» в ведении Севзапвоенпрома.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3 «Красный летчик переименован в ГАЗ-З «Красный летчик». В соответствии с пост. СНК от 27.04.1926 г. по приказам ВСНХ/НКВМ/ОГПУ № 73сс от 9.07.1927 г. и Авиатреста № 114сс от 4.08.1927 г. ГАЗ-З «Красный летчик» с 1.10.1927 г. переименован в завод № 23. Приказом Авиатреста № 131 от 27.09.1927 г. действие приказа № 114сс было приостановлено до особого распоряжения. С 02.1931 г. завод - в ведении </w:t>
      </w:r>
      <w:r w:rsidRPr="00405303">
        <w:rPr>
          <w:bCs/>
          <w:color w:val="002060"/>
          <w:sz w:val="16"/>
          <w:szCs w:val="16"/>
          <w:lang w:val="en-US"/>
        </w:rPr>
        <w:t>BOA</w:t>
      </w:r>
      <w:r w:rsidRPr="00405303">
        <w:rPr>
          <w:bCs/>
          <w:color w:val="002060"/>
          <w:sz w:val="16"/>
          <w:szCs w:val="16"/>
        </w:rPr>
        <w:t>ВСНХ, затем ВАО, с 1932 г. - в самолетном тресте ГУАП НКТП. В 02.1937 г. - в ведении 1ГУ НКОП (и на 12.1938 г.), с 01.1939 г. - НКАП.</w:t>
      </w:r>
    </w:p>
    <w:p w14:paraId="62A93B85" w14:textId="77777777" w:rsidR="004B4E35" w:rsidRPr="00405303" w:rsidRDefault="009E6F82" w:rsidP="00C15251">
      <w:pPr>
        <w:jc w:val="both"/>
        <w:rPr>
          <w:bCs/>
          <w:color w:val="002060"/>
          <w:sz w:val="16"/>
          <w:szCs w:val="16"/>
        </w:rPr>
      </w:pPr>
      <w:r w:rsidRPr="00405303">
        <w:rPr>
          <w:bCs/>
          <w:color w:val="002060"/>
          <w:sz w:val="16"/>
          <w:szCs w:val="16"/>
        </w:rPr>
        <w:t>Производственная программа на 1923-24 г.: 28 М-24 (выпущено 28), 12 Морских АВРО (МУ1-М2) (0). В 1925 г. план по авиапроизводству выполнен на 27%, выпущено У-2 - 20 шт., МУР - 1, И-2 - 63 шт. В 1927 г. мощность завода - 120 И-2бис в год.</w:t>
      </w:r>
    </w:p>
    <w:p w14:paraId="115D4206" w14:textId="77777777" w:rsidR="004B4E35" w:rsidRPr="00405303" w:rsidRDefault="009E6F82" w:rsidP="00C15251">
      <w:pPr>
        <w:jc w:val="both"/>
        <w:rPr>
          <w:bCs/>
          <w:color w:val="002060"/>
          <w:sz w:val="16"/>
          <w:szCs w:val="16"/>
        </w:rPr>
      </w:pPr>
      <w:r w:rsidRPr="00405303">
        <w:rPr>
          <w:bCs/>
          <w:color w:val="002060"/>
          <w:sz w:val="16"/>
          <w:szCs w:val="16"/>
        </w:rPr>
        <w:t>С 1922 г. Д.П. Григорович - шеф-конструктор завода, с 05.1926 г. на заводе действует ОМОС Григоровича, в 1927 г. отдел переведен на завод № 22.</w:t>
      </w:r>
    </w:p>
    <w:p w14:paraId="41BA9873" w14:textId="4CF41BDF" w:rsidR="004B4E35" w:rsidRPr="00405303" w:rsidRDefault="009E6F82" w:rsidP="00C15251">
      <w:pPr>
        <w:jc w:val="both"/>
        <w:rPr>
          <w:bCs/>
          <w:color w:val="002060"/>
          <w:sz w:val="16"/>
          <w:szCs w:val="16"/>
        </w:rPr>
      </w:pPr>
      <w:r w:rsidRPr="00405303">
        <w:rPr>
          <w:bCs/>
          <w:color w:val="002060"/>
          <w:sz w:val="16"/>
          <w:szCs w:val="16"/>
        </w:rPr>
        <w:t>С 1936 г. - на заводе база ОКБ В.В. Никитина. В разное время на заводе работали также А.С. Москалев, В.Б. Шавров,</w:t>
      </w:r>
      <w:r w:rsidR="000F5756">
        <w:rPr>
          <w:bCs/>
          <w:color w:val="002060"/>
          <w:sz w:val="16"/>
          <w:szCs w:val="16"/>
        </w:rPr>
        <w:t xml:space="preserve"> </w:t>
      </w:r>
      <w:r w:rsidRPr="00405303">
        <w:rPr>
          <w:bCs/>
          <w:color w:val="002060"/>
          <w:sz w:val="16"/>
          <w:szCs w:val="16"/>
        </w:rPr>
        <w:t>Г.И. Бакшаев.</w:t>
      </w:r>
    </w:p>
    <w:p w14:paraId="2E775D6D" w14:textId="20B24F1F" w:rsidR="004B4E35" w:rsidRPr="00405303" w:rsidRDefault="009E6F82" w:rsidP="00C15251">
      <w:pPr>
        <w:jc w:val="both"/>
        <w:rPr>
          <w:bCs/>
          <w:color w:val="002060"/>
          <w:sz w:val="16"/>
          <w:szCs w:val="16"/>
        </w:rPr>
      </w:pPr>
      <w:r w:rsidRPr="00405303">
        <w:rPr>
          <w:bCs/>
          <w:color w:val="002060"/>
          <w:sz w:val="16"/>
          <w:szCs w:val="16"/>
        </w:rPr>
        <w:t>В 1930-х</w:t>
      </w:r>
      <w:r w:rsidR="000F5756">
        <w:rPr>
          <w:bCs/>
          <w:color w:val="002060"/>
          <w:sz w:val="16"/>
          <w:szCs w:val="16"/>
        </w:rPr>
        <w:t xml:space="preserve"> </w:t>
      </w:r>
      <w:r w:rsidRPr="00405303">
        <w:rPr>
          <w:bCs/>
          <w:color w:val="002060"/>
          <w:sz w:val="16"/>
          <w:szCs w:val="16"/>
        </w:rPr>
        <w:t>г. на заводе проводились работы по модификации планирующих торпед.</w:t>
      </w:r>
    </w:p>
    <w:p w14:paraId="3447FCC9" w14:textId="77777777" w:rsidR="004B4E35" w:rsidRPr="00405303" w:rsidRDefault="009E6F82" w:rsidP="00C15251">
      <w:pPr>
        <w:jc w:val="both"/>
        <w:rPr>
          <w:bCs/>
          <w:color w:val="002060"/>
          <w:sz w:val="16"/>
          <w:szCs w:val="16"/>
        </w:rPr>
      </w:pPr>
      <w:r w:rsidRPr="00405303">
        <w:rPr>
          <w:bCs/>
          <w:color w:val="002060"/>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48B96ADC" w14:textId="77777777" w:rsidR="004B4E35" w:rsidRPr="00405303" w:rsidRDefault="009E6F82" w:rsidP="00C15251">
      <w:pPr>
        <w:jc w:val="both"/>
        <w:rPr>
          <w:bCs/>
          <w:color w:val="002060"/>
          <w:sz w:val="16"/>
          <w:szCs w:val="16"/>
        </w:rPr>
      </w:pPr>
      <w:r w:rsidRPr="00405303">
        <w:rPr>
          <w:bCs/>
          <w:color w:val="002060"/>
          <w:sz w:val="16"/>
          <w:szCs w:val="16"/>
        </w:rPr>
        <w:t xml:space="preserve">С 03.1940 г. гл. конструктор завода- </w:t>
      </w:r>
      <w:r w:rsidRPr="00405303">
        <w:rPr>
          <w:bCs/>
          <w:color w:val="002060"/>
          <w:sz w:val="16"/>
          <w:szCs w:val="16"/>
          <w:lang w:val="en-US"/>
        </w:rPr>
        <w:t>O</w:t>
      </w:r>
      <w:r w:rsidRPr="00405303">
        <w:rPr>
          <w:bCs/>
          <w:color w:val="002060"/>
          <w:sz w:val="16"/>
          <w:szCs w:val="16"/>
        </w:rPr>
        <w:t>.</w:t>
      </w:r>
      <w:r w:rsidRPr="00405303">
        <w:rPr>
          <w:bCs/>
          <w:color w:val="002060"/>
          <w:sz w:val="16"/>
          <w:szCs w:val="16"/>
          <w:lang w:val="en-US"/>
        </w:rPr>
        <w:t>K</w:t>
      </w:r>
      <w:r w:rsidRPr="00405303">
        <w:rPr>
          <w:bCs/>
          <w:color w:val="002060"/>
          <w:sz w:val="16"/>
          <w:szCs w:val="16"/>
        </w:rPr>
        <w:t xml:space="preserve">. Антонов, здесь в 10.1940 г. он заканчивает проект «самолета № 4», в 09.1940 г.- разработан ОКА-38 «Аист». По приказу № 564с от 15.10.1940 г. </w:t>
      </w:r>
      <w:r w:rsidRPr="00405303">
        <w:rPr>
          <w:bCs/>
          <w:color w:val="002060"/>
          <w:sz w:val="16"/>
          <w:szCs w:val="16"/>
          <w:lang w:val="en-US"/>
        </w:rPr>
        <w:t>O</w:t>
      </w:r>
      <w:r w:rsidRPr="00405303">
        <w:rPr>
          <w:bCs/>
          <w:color w:val="002060"/>
          <w:sz w:val="16"/>
          <w:szCs w:val="16"/>
        </w:rPr>
        <w:t>.</w:t>
      </w:r>
      <w:r w:rsidRPr="00405303">
        <w:rPr>
          <w:bCs/>
          <w:color w:val="002060"/>
          <w:sz w:val="16"/>
          <w:szCs w:val="16"/>
          <w:lang w:val="en-US"/>
        </w:rPr>
        <w:t>K</w:t>
      </w:r>
      <w:r w:rsidRPr="00405303">
        <w:rPr>
          <w:bCs/>
          <w:color w:val="002060"/>
          <w:sz w:val="16"/>
          <w:szCs w:val="16"/>
        </w:rPr>
        <w:t>.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0C454A79" w14:textId="46C4AD38" w:rsidR="004B4E35" w:rsidRPr="00405303" w:rsidRDefault="009E6F82" w:rsidP="00C15251">
      <w:pPr>
        <w:jc w:val="both"/>
        <w:rPr>
          <w:bCs/>
          <w:color w:val="002060"/>
          <w:sz w:val="16"/>
          <w:szCs w:val="16"/>
        </w:rPr>
      </w:pPr>
      <w:r w:rsidRPr="00405303">
        <w:rPr>
          <w:bCs/>
          <w:color w:val="002060"/>
          <w:sz w:val="16"/>
          <w:szCs w:val="16"/>
        </w:rPr>
        <w:t>В соответствии с приказами НКАП № 652сс от 9.07.1941 г. и № 729сс от 22.07.1941 г. завод эвакуирован к 08.1941 г. в</w:t>
      </w:r>
      <w:r w:rsidR="000F5756">
        <w:rPr>
          <w:bCs/>
          <w:color w:val="002060"/>
          <w:sz w:val="16"/>
          <w:szCs w:val="16"/>
        </w:rPr>
        <w:t xml:space="preserve"> </w:t>
      </w:r>
      <w:r w:rsidRPr="00405303">
        <w:rPr>
          <w:bCs/>
          <w:color w:val="002060"/>
          <w:sz w:val="16"/>
          <w:szCs w:val="16"/>
        </w:rPr>
        <w:t>г. Новосибирск и влит в состав завода № 153 НКАП, часть завода эвакуирована в Казань (в 12.1941 г. в Ленинграде действовало отделение завода № 23).</w:t>
      </w:r>
      <w:r w:rsidRPr="00405303">
        <w:rPr>
          <w:bCs/>
          <w:color w:val="002060"/>
          <w:sz w:val="16"/>
          <w:szCs w:val="16"/>
          <w:vertAlign w:val="superscript"/>
        </w:rPr>
        <w:t>65</w:t>
      </w:r>
    </w:p>
    <w:p w14:paraId="5946C18C" w14:textId="77777777" w:rsidR="004B4E35" w:rsidRPr="00405303" w:rsidRDefault="009E6F82" w:rsidP="00C15251">
      <w:pPr>
        <w:jc w:val="both"/>
        <w:rPr>
          <w:bCs/>
          <w:color w:val="002060"/>
          <w:sz w:val="16"/>
          <w:szCs w:val="16"/>
        </w:rPr>
      </w:pPr>
      <w:r w:rsidRPr="00405303">
        <w:rPr>
          <w:bCs/>
          <w:color w:val="002060"/>
          <w:sz w:val="16"/>
          <w:szCs w:val="16"/>
        </w:rPr>
        <w:t>В 11.1944 г. на его месте образован завод № 272 НКАП.</w:t>
      </w:r>
    </w:p>
    <w:p w14:paraId="0A7BFD8A" w14:textId="77777777" w:rsidR="004B4E35" w:rsidRPr="00405303" w:rsidRDefault="009E6F82" w:rsidP="00C15251">
      <w:pPr>
        <w:jc w:val="both"/>
        <w:rPr>
          <w:bCs/>
          <w:color w:val="002060"/>
          <w:sz w:val="16"/>
          <w:szCs w:val="16"/>
        </w:rPr>
      </w:pPr>
      <w:r w:rsidRPr="00405303">
        <w:rPr>
          <w:bCs/>
          <w:color w:val="002060"/>
          <w:sz w:val="16"/>
          <w:szCs w:val="16"/>
        </w:rPr>
        <w:t>Количество оборудования: (1925 г.)- 120 ед., (1926 г.)-194 ед., (11.1940 г.)- 358 металлорежущих станков.</w:t>
      </w:r>
    </w:p>
    <w:p w14:paraId="51BA5D44" w14:textId="77777777" w:rsidR="004B4E35" w:rsidRPr="00405303" w:rsidRDefault="009E6F82" w:rsidP="00C15251">
      <w:pPr>
        <w:jc w:val="both"/>
        <w:rPr>
          <w:bCs/>
          <w:color w:val="002060"/>
          <w:sz w:val="16"/>
          <w:szCs w:val="16"/>
        </w:rPr>
      </w:pPr>
      <w:r w:rsidRPr="00405303">
        <w:rPr>
          <w:bCs/>
          <w:color w:val="002060"/>
          <w:sz w:val="16"/>
          <w:szCs w:val="16"/>
        </w:rPr>
        <w:t>Площадь: территории (1925 г.)- 35 тыс. м</w:t>
      </w:r>
      <w:r w:rsidRPr="00405303">
        <w:rPr>
          <w:bCs/>
          <w:color w:val="002060"/>
          <w:sz w:val="16"/>
          <w:szCs w:val="16"/>
          <w:vertAlign w:val="superscript"/>
        </w:rPr>
        <w:t>2</w:t>
      </w:r>
      <w:r w:rsidRPr="00405303">
        <w:rPr>
          <w:bCs/>
          <w:color w:val="002060"/>
          <w:sz w:val="16"/>
          <w:szCs w:val="16"/>
        </w:rPr>
        <w:t>; производственная (1925 г.)- 4,5 тыс. м</w:t>
      </w:r>
      <w:r w:rsidRPr="00405303">
        <w:rPr>
          <w:bCs/>
          <w:color w:val="002060"/>
          <w:sz w:val="16"/>
          <w:szCs w:val="16"/>
          <w:vertAlign w:val="superscript"/>
        </w:rPr>
        <w:t>2</w:t>
      </w:r>
      <w:r w:rsidRPr="00405303">
        <w:rPr>
          <w:bCs/>
          <w:color w:val="002060"/>
          <w:sz w:val="16"/>
          <w:szCs w:val="16"/>
        </w:rPr>
        <w:t>; вспомогательная (1925 г.)- 2,4 тыс. м</w:t>
      </w:r>
      <w:r w:rsidRPr="00405303">
        <w:rPr>
          <w:bCs/>
          <w:color w:val="002060"/>
          <w:sz w:val="16"/>
          <w:szCs w:val="16"/>
          <w:vertAlign w:val="superscript"/>
        </w:rPr>
        <w:t>2</w:t>
      </w:r>
      <w:r w:rsidRPr="00405303">
        <w:rPr>
          <w:bCs/>
          <w:color w:val="002060"/>
          <w:sz w:val="16"/>
          <w:szCs w:val="16"/>
        </w:rPr>
        <w:t>.</w:t>
      </w:r>
    </w:p>
    <w:p w14:paraId="7598D423" w14:textId="77777777" w:rsidR="004B4E35" w:rsidRPr="00405303" w:rsidRDefault="009E6F82" w:rsidP="00C15251">
      <w:pPr>
        <w:jc w:val="both"/>
        <w:rPr>
          <w:bCs/>
          <w:color w:val="002060"/>
          <w:sz w:val="16"/>
          <w:szCs w:val="16"/>
        </w:rPr>
      </w:pPr>
      <w:r w:rsidRPr="00405303">
        <w:rPr>
          <w:bCs/>
          <w:color w:val="002060"/>
          <w:sz w:val="16"/>
          <w:szCs w:val="16"/>
        </w:rPr>
        <w:t>Численность персонала (1914 г.)- 270 рабочих, (11.1915 г.)- 490 рабочих, (1.04.1917 г.)- 869 чел., (12.1926 г.)- 733 чел.</w:t>
      </w:r>
    </w:p>
    <w:p w14:paraId="030F4C23" w14:textId="77777777" w:rsidR="004B4E35" w:rsidRPr="00405303" w:rsidRDefault="009E6F82" w:rsidP="00C15251">
      <w:pPr>
        <w:jc w:val="both"/>
        <w:rPr>
          <w:bCs/>
          <w:color w:val="002060"/>
          <w:sz w:val="16"/>
          <w:szCs w:val="16"/>
        </w:rPr>
      </w:pPr>
      <w:r w:rsidRPr="00405303">
        <w:rPr>
          <w:bCs/>
          <w:color w:val="002060"/>
          <w:sz w:val="16"/>
          <w:szCs w:val="16"/>
        </w:rPr>
        <w:t>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Скарандаев, (07.1941 г.)- Обозный.</w:t>
      </w:r>
    </w:p>
    <w:p w14:paraId="7CE89348" w14:textId="77777777" w:rsidR="004B4E35" w:rsidRPr="00405303" w:rsidRDefault="009E6F82" w:rsidP="00C15251">
      <w:pPr>
        <w:jc w:val="both"/>
        <w:rPr>
          <w:bCs/>
          <w:color w:val="002060"/>
          <w:sz w:val="16"/>
          <w:szCs w:val="16"/>
        </w:rPr>
      </w:pPr>
      <w:r w:rsidRPr="00405303">
        <w:rPr>
          <w:bCs/>
          <w:color w:val="002060"/>
          <w:sz w:val="16"/>
          <w:szCs w:val="16"/>
        </w:rPr>
        <w:t>Зам. директора (07.1928 г.)- Соколов. Помощник директора: по техчасти (1925 г.)- Сивальнев, (10.1928 г.)- Пашкевич; и.о.- Зверев; по коммерческой части (1925 г.)- С.А. Заблоцкий; по найму и увольнению'(06.1937 г.)- В.С, Козин.</w:t>
      </w:r>
    </w:p>
    <w:p w14:paraId="016736AF" w14:textId="77777777" w:rsidR="004B4E35" w:rsidRPr="00405303" w:rsidRDefault="009E6F82" w:rsidP="00C15251">
      <w:pPr>
        <w:jc w:val="both"/>
        <w:rPr>
          <w:bCs/>
          <w:color w:val="002060"/>
          <w:sz w:val="16"/>
          <w:szCs w:val="16"/>
        </w:rPr>
      </w:pPr>
      <w:r w:rsidRPr="00405303">
        <w:rPr>
          <w:bCs/>
          <w:color w:val="002060"/>
          <w:sz w:val="16"/>
          <w:szCs w:val="16"/>
        </w:rPr>
        <w:t>Директор: технический (1912 г.-)- И.И. Сикорский, (1927 г.)- Пашкевич, (-10.06.1937 г.)- Е.Ф. Амбольт; коммерческий (1923 г.)- С.А. Заблоцкий.</w:t>
      </w:r>
    </w:p>
    <w:p w14:paraId="6FA995FD" w14:textId="77777777" w:rsidR="004B4E35" w:rsidRPr="00405303" w:rsidRDefault="009E6F82" w:rsidP="00C15251">
      <w:pPr>
        <w:jc w:val="both"/>
        <w:rPr>
          <w:bCs/>
          <w:color w:val="002060"/>
          <w:sz w:val="16"/>
          <w:szCs w:val="16"/>
        </w:rPr>
      </w:pPr>
      <w:r w:rsidRPr="00405303">
        <w:rPr>
          <w:bCs/>
          <w:color w:val="002060"/>
          <w:sz w:val="16"/>
          <w:szCs w:val="16"/>
        </w:rPr>
        <w:t>Гл. инженер (-21.11.1938 г.)- Н.Е. Попов, (21.11.1938 г.-)- П.С. Брылин.</w:t>
      </w:r>
    </w:p>
    <w:p w14:paraId="57EBF083" w14:textId="77777777" w:rsidR="004B4E35" w:rsidRPr="00405303" w:rsidRDefault="009E6F82" w:rsidP="00C15251">
      <w:pPr>
        <w:jc w:val="both"/>
        <w:rPr>
          <w:bCs/>
          <w:color w:val="002060"/>
          <w:sz w:val="16"/>
          <w:szCs w:val="16"/>
        </w:rPr>
      </w:pPr>
      <w:r w:rsidRPr="00405303">
        <w:rPr>
          <w:bCs/>
          <w:color w:val="002060"/>
          <w:sz w:val="16"/>
          <w:szCs w:val="16"/>
        </w:rPr>
        <w:t xml:space="preserve">Гл. конструктор (04.1912-03.1918 г.)- И.И. Сикорский {6.06.1889-26.10.1972}, (1922-27 г.)- Д.П. Григорович, (- 03.1940 г.)- А.А. Дубровин, (03-10.1940 г.)- </w:t>
      </w:r>
      <w:r w:rsidRPr="00405303">
        <w:rPr>
          <w:bCs/>
          <w:color w:val="002060"/>
          <w:sz w:val="16"/>
          <w:szCs w:val="16"/>
          <w:lang w:val="en-US"/>
        </w:rPr>
        <w:t>O</w:t>
      </w:r>
      <w:r w:rsidRPr="00405303">
        <w:rPr>
          <w:bCs/>
          <w:color w:val="002060"/>
          <w:sz w:val="16"/>
          <w:szCs w:val="16"/>
        </w:rPr>
        <w:t>.</w:t>
      </w:r>
      <w:r w:rsidRPr="00405303">
        <w:rPr>
          <w:bCs/>
          <w:color w:val="002060"/>
          <w:sz w:val="16"/>
          <w:szCs w:val="16"/>
          <w:lang w:val="en-US"/>
        </w:rPr>
        <w:t>K</w:t>
      </w:r>
      <w:r w:rsidRPr="00405303">
        <w:rPr>
          <w:bCs/>
          <w:color w:val="002060"/>
          <w:sz w:val="16"/>
          <w:szCs w:val="16"/>
        </w:rPr>
        <w:t>. Антонов.</w:t>
      </w:r>
    </w:p>
    <w:p w14:paraId="1176C2A9" w14:textId="6DF690D5" w:rsidR="004B4E35" w:rsidRPr="00405303" w:rsidRDefault="009E6F82" w:rsidP="00C15251">
      <w:pPr>
        <w:jc w:val="both"/>
        <w:rPr>
          <w:bCs/>
          <w:color w:val="002060"/>
          <w:sz w:val="16"/>
          <w:szCs w:val="16"/>
        </w:rPr>
      </w:pPr>
      <w:r w:rsidRPr="00405303">
        <w:rPr>
          <w:bCs/>
          <w:color w:val="002060"/>
          <w:sz w:val="16"/>
          <w:szCs w:val="16"/>
        </w:rPr>
        <w:t>Начальник производства (1912-14 г.)-</w:t>
      </w:r>
      <w:r w:rsidR="000F5756">
        <w:rPr>
          <w:bCs/>
          <w:color w:val="002060"/>
          <w:sz w:val="16"/>
          <w:szCs w:val="16"/>
        </w:rPr>
        <w:t xml:space="preserve"> </w:t>
      </w:r>
      <w:r w:rsidRPr="00405303">
        <w:rPr>
          <w:bCs/>
          <w:color w:val="002060"/>
          <w:sz w:val="16"/>
          <w:szCs w:val="16"/>
        </w:rPr>
        <w:t>Г. Адлер.</w:t>
      </w:r>
    </w:p>
    <w:p w14:paraId="1416848B" w14:textId="77777777" w:rsidR="004B4E35" w:rsidRPr="00405303" w:rsidRDefault="009E6F82" w:rsidP="00C15251">
      <w:pPr>
        <w:jc w:val="both"/>
        <w:rPr>
          <w:bCs/>
          <w:color w:val="002060"/>
          <w:sz w:val="16"/>
          <w:szCs w:val="16"/>
        </w:rPr>
      </w:pPr>
      <w:r w:rsidRPr="00405303">
        <w:rPr>
          <w:bCs/>
          <w:color w:val="002060"/>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3EE79659" w14:textId="77777777" w:rsidR="004B4E35" w:rsidRPr="00405303" w:rsidRDefault="009E6F82" w:rsidP="00C15251">
      <w:pPr>
        <w:jc w:val="both"/>
        <w:rPr>
          <w:bCs/>
          <w:color w:val="002060"/>
          <w:sz w:val="16"/>
          <w:szCs w:val="16"/>
        </w:rPr>
      </w:pPr>
      <w:r w:rsidRPr="00405303">
        <w:rPr>
          <w:bCs/>
          <w:color w:val="002060"/>
          <w:sz w:val="16"/>
          <w:szCs w:val="16"/>
        </w:rPr>
        <w:t>Заведующий бюро: организации и производства (-11.1924-25 г.-)- Н.В. Пирамидов; технико-нормировочного (1925 г.)- Берхен; мобилизационным (04.1928 г.)- Десмитнек.</w:t>
      </w:r>
    </w:p>
    <w:p w14:paraId="557FA39B" w14:textId="77777777" w:rsidR="004B4E35" w:rsidRPr="00405303" w:rsidRDefault="009E6F82" w:rsidP="00C15251">
      <w:pPr>
        <w:jc w:val="both"/>
        <w:rPr>
          <w:bCs/>
          <w:color w:val="002060"/>
          <w:sz w:val="16"/>
          <w:szCs w:val="16"/>
        </w:rPr>
      </w:pPr>
      <w:r w:rsidRPr="00405303">
        <w:rPr>
          <w:bCs/>
          <w:color w:val="002060"/>
          <w:sz w:val="16"/>
          <w:szCs w:val="16"/>
        </w:rPr>
        <w:t>Комендант (11.1924 г.)- Николаевский.</w:t>
      </w:r>
    </w:p>
    <w:p w14:paraId="1CB451E5" w14:textId="77777777" w:rsidR="004B4E35" w:rsidRPr="00405303" w:rsidRDefault="009E6F82" w:rsidP="00C15251">
      <w:pPr>
        <w:jc w:val="both"/>
        <w:rPr>
          <w:bCs/>
          <w:color w:val="002060"/>
          <w:sz w:val="16"/>
          <w:szCs w:val="16"/>
        </w:rPr>
      </w:pPr>
      <w:r w:rsidRPr="00405303">
        <w:rPr>
          <w:bCs/>
          <w:color w:val="002060"/>
          <w:sz w:val="16"/>
          <w:szCs w:val="16"/>
        </w:rPr>
        <w:t>Производство: самолеты: «Гаккель-</w:t>
      </w:r>
      <w:r w:rsidRPr="00405303">
        <w:rPr>
          <w:bCs/>
          <w:color w:val="002060"/>
          <w:sz w:val="16"/>
          <w:szCs w:val="16"/>
          <w:lang w:val="en-US"/>
        </w:rPr>
        <w:t>IV</w:t>
      </w:r>
      <w:r w:rsidRPr="00405303">
        <w:rPr>
          <w:bCs/>
          <w:color w:val="002060"/>
          <w:sz w:val="16"/>
          <w:szCs w:val="16"/>
        </w:rPr>
        <w:t>» (1911)- 2, "</w:t>
      </w:r>
      <w:r w:rsidRPr="00405303">
        <w:rPr>
          <w:bCs/>
          <w:color w:val="002060"/>
          <w:sz w:val="16"/>
          <w:szCs w:val="16"/>
          <w:lang w:val="en-US"/>
        </w:rPr>
        <w:t>Newport</w:t>
      </w:r>
      <w:r w:rsidRPr="00405303">
        <w:rPr>
          <w:bCs/>
          <w:color w:val="002060"/>
          <w:sz w:val="16"/>
          <w:szCs w:val="16"/>
        </w:rPr>
        <w:t>-</w:t>
      </w:r>
      <w:r w:rsidRPr="00405303">
        <w:rPr>
          <w:bCs/>
          <w:color w:val="002060"/>
          <w:sz w:val="16"/>
          <w:szCs w:val="16"/>
          <w:lang w:val="en-US"/>
        </w:rPr>
        <w:t>IV</w:t>
      </w:r>
      <w:r w:rsidRPr="00405303">
        <w:rPr>
          <w:bCs/>
          <w:color w:val="002060"/>
          <w:sz w:val="16"/>
          <w:szCs w:val="16"/>
        </w:rPr>
        <w:t>"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(Авро 504-К, 1926-30)- 482, МУ-1 (Авро 504-Л, 1927-29)- 61, РОМ-1 (1927)- 1, МУ-2 (1928)- 1, П-2 (1928), РОМ-2 (1929)- 1, МР-3 (1929)- 1, У-2 (1929-40)-10972, АП (1930-40)- 1235, СП (1934-39)- 831, СС (1934-36)- 99, АИР-6 (1935-36)- 107, ВС (1935-36)- 468, ЛИГ-10 (1937)- 1, УТ-2 (1938-41)- 677, ЛаГГ-3 (1941)- 65, Ш-2, МУ-3, Як-12 (11982).</w:t>
      </w:r>
    </w:p>
    <w:p w14:paraId="4CB676D6" w14:textId="77777777" w:rsidR="004B4E35" w:rsidRPr="00405303" w:rsidRDefault="004B4E35" w:rsidP="00C15251">
      <w:pPr>
        <w:jc w:val="both"/>
        <w:rPr>
          <w:bCs/>
          <w:color w:val="002060"/>
          <w:sz w:val="16"/>
          <w:szCs w:val="16"/>
        </w:rPr>
      </w:pPr>
    </w:p>
    <w:p w14:paraId="0EF9D5DF" w14:textId="4BB661F9" w:rsidR="004B4E35" w:rsidRPr="00405303" w:rsidRDefault="009E6F82" w:rsidP="00C15251">
      <w:pPr>
        <w:jc w:val="both"/>
        <w:rPr>
          <w:bCs/>
          <w:color w:val="002060"/>
          <w:sz w:val="16"/>
          <w:szCs w:val="16"/>
        </w:rPr>
      </w:pPr>
      <w:r w:rsidRPr="00405303">
        <w:rPr>
          <w:bCs/>
          <w:color w:val="002060"/>
          <w:sz w:val="16"/>
          <w:szCs w:val="16"/>
        </w:rPr>
        <w:t>Январь 1915 г. ушел на активную подготовку кораблей и тренировку личного состава</w:t>
      </w:r>
      <w:r w:rsidR="00BA427F" w:rsidRPr="00405303">
        <w:rPr>
          <w:bCs/>
          <w:color w:val="002060"/>
          <w:sz w:val="16"/>
          <w:szCs w:val="16"/>
        </w:rPr>
        <w:t xml:space="preserve"> ЭВК</w:t>
      </w:r>
      <w:r w:rsidRPr="00405303">
        <w:rPr>
          <w:bCs/>
          <w:color w:val="002060"/>
          <w:sz w:val="16"/>
          <w:szCs w:val="16"/>
        </w:rPr>
        <w:t>. Сикорский снова много летал - испытывал собранные машины, вывозил пилотов, участвовал в решении многочисленных проблем, связанных с установкой специального оборудования, вооружения, других вопросов (11230).</w:t>
      </w:r>
    </w:p>
    <w:p w14:paraId="218E9598" w14:textId="77777777" w:rsidR="004B4E35" w:rsidRPr="00405303" w:rsidRDefault="009E6F82" w:rsidP="00C15251">
      <w:pPr>
        <w:jc w:val="both"/>
        <w:rPr>
          <w:bCs/>
          <w:color w:val="002060"/>
          <w:sz w:val="16"/>
          <w:szCs w:val="16"/>
        </w:rPr>
      </w:pPr>
      <w:r w:rsidRPr="00405303">
        <w:rPr>
          <w:bCs/>
          <w:color w:val="002060"/>
          <w:sz w:val="16"/>
          <w:szCs w:val="16"/>
        </w:rPr>
        <w:t>При эскадре была организована мастерская по ремонту двигателей с моторным классом, в котором назначенные в эскадру механики проходили курс обслуживания различных двигателей "Муромцев" (11230).</w:t>
      </w:r>
    </w:p>
    <w:p w14:paraId="760DA9EE" w14:textId="77777777" w:rsidR="004B4E35" w:rsidRPr="00405303" w:rsidRDefault="009E6F82" w:rsidP="00C15251">
      <w:pPr>
        <w:jc w:val="both"/>
        <w:rPr>
          <w:bCs/>
          <w:color w:val="002060"/>
          <w:sz w:val="16"/>
          <w:szCs w:val="16"/>
        </w:rPr>
      </w:pPr>
      <w:r w:rsidRPr="00405303">
        <w:rPr>
          <w:bCs/>
          <w:color w:val="002060"/>
          <w:sz w:val="16"/>
          <w:szCs w:val="16"/>
        </w:rPr>
        <w:lastRenderedPageBreak/>
        <w:t>На базе проводилась большая работа по оснащению "Муромцев" бомбардировочным и стрелковым вооружением, устанавливалось фотооборудование для фиксации результатов бомбометания, а также для аэрофотосъемки (11230).</w:t>
      </w:r>
    </w:p>
    <w:p w14:paraId="053CF4C5" w14:textId="77777777" w:rsidR="004B4E35" w:rsidRPr="00405303" w:rsidRDefault="009E6F82" w:rsidP="00C15251">
      <w:pPr>
        <w:jc w:val="both"/>
        <w:rPr>
          <w:bCs/>
          <w:color w:val="002060"/>
          <w:sz w:val="16"/>
          <w:szCs w:val="16"/>
        </w:rPr>
      </w:pPr>
      <w:r w:rsidRPr="00405303">
        <w:rPr>
          <w:bCs/>
          <w:color w:val="002060"/>
          <w:sz w:val="16"/>
          <w:szCs w:val="16"/>
        </w:rPr>
        <w:t>Главным оружием "Муромцев", конечно, были бомбы. Создавать и устанавливать спецоборудование приходилось заново. Опыта никакого, все делалось впервые. Большие габариты кабины позволяли размещать бомбы в фюзеляже на внутренней подвеске, что в отличие от внешней подвески не ухудшало аэродинамику самолета. Первые "Муромцы" типа "В" с двигателями "Аргус" могли брать на борт до 500 кг бомб. Забегая вперед, можно сказать, что осенью 1915 г. на "Муромце" с первыми отечественными авиационными двигателями РБВЗ-6 впервые в мире была поднята 25-пудовая учебная бомба 410 кг. Ни один самолет в мире не мог этого сделать (11230).</w:t>
      </w:r>
    </w:p>
    <w:p w14:paraId="0E86CCDC" w14:textId="77777777" w:rsidR="004B4E35" w:rsidRPr="00405303" w:rsidRDefault="004B4E35" w:rsidP="00C15251">
      <w:pPr>
        <w:jc w:val="both"/>
        <w:rPr>
          <w:bCs/>
          <w:color w:val="002060"/>
          <w:sz w:val="16"/>
          <w:szCs w:val="16"/>
        </w:rPr>
      </w:pPr>
    </w:p>
    <w:p w14:paraId="646DDC9A" w14:textId="22F21264" w:rsidR="004B4E35" w:rsidRPr="00405303" w:rsidRDefault="009E6F82" w:rsidP="00C15251">
      <w:pPr>
        <w:jc w:val="both"/>
        <w:rPr>
          <w:bCs/>
          <w:color w:val="002060"/>
          <w:sz w:val="16"/>
          <w:szCs w:val="16"/>
        </w:rPr>
      </w:pPr>
      <w:r w:rsidRPr="00405303">
        <w:rPr>
          <w:bCs/>
          <w:color w:val="002060"/>
          <w:sz w:val="16"/>
          <w:szCs w:val="16"/>
        </w:rPr>
        <w:t>В январе 1915 г. корабль был доставлен в Яблонну, где после мелкого ремонта был испытан в полете. Сикорский лично взял на нем высоту в 2200 метров, тогда как Руднев не мог подняться выше 1375 м. А снятые с корабля ненадежные по мнению Руднева "Аргусы" были в марте переставлены на корабль Ш-й №151, который впоследствии совершал 5-ти часовые полеты вглубь территории противника.</w:t>
      </w:r>
    </w:p>
    <w:p w14:paraId="65B4E120" w14:textId="77777777" w:rsidR="004B4E35" w:rsidRPr="00405303" w:rsidRDefault="004B4E35" w:rsidP="00C15251">
      <w:pPr>
        <w:jc w:val="both"/>
        <w:rPr>
          <w:bCs/>
          <w:color w:val="002060"/>
          <w:sz w:val="16"/>
          <w:szCs w:val="16"/>
        </w:rPr>
      </w:pPr>
    </w:p>
    <w:p w14:paraId="568879F9" w14:textId="49F06F9A" w:rsidR="004B4E35" w:rsidRPr="00405303" w:rsidRDefault="00B53262" w:rsidP="00C15251">
      <w:pPr>
        <w:pStyle w:val="a3"/>
        <w:jc w:val="both"/>
        <w:rPr>
          <w:bCs/>
          <w:i w:val="0"/>
          <w:color w:val="002060"/>
          <w:spacing w:val="0"/>
          <w:kern w:val="0"/>
          <w:position w:val="0"/>
          <w:sz w:val="16"/>
          <w:szCs w:val="16"/>
        </w:rPr>
      </w:pPr>
      <w:bookmarkStart w:id="26" w:name="_Hlk117445254"/>
      <w:r w:rsidRPr="00405303">
        <w:rPr>
          <w:bCs/>
          <w:i w:val="0"/>
          <w:color w:val="002060"/>
          <w:spacing w:val="0"/>
          <w:kern w:val="0"/>
          <w:position w:val="0"/>
          <w:sz w:val="16"/>
          <w:szCs w:val="16"/>
        </w:rPr>
        <w:t>В</w:t>
      </w:r>
      <w:r w:rsidR="009E6F82" w:rsidRPr="00405303">
        <w:rPr>
          <w:bCs/>
          <w:i w:val="0"/>
          <w:color w:val="002060"/>
          <w:spacing w:val="0"/>
          <w:kern w:val="0"/>
          <w:position w:val="0"/>
          <w:sz w:val="16"/>
          <w:szCs w:val="16"/>
        </w:rPr>
        <w:t xml:space="preserve"> январе 1915 г. </w:t>
      </w:r>
      <w:r w:rsidRPr="00405303">
        <w:rPr>
          <w:bCs/>
          <w:i w:val="0"/>
          <w:color w:val="002060"/>
          <w:spacing w:val="0"/>
          <w:kern w:val="0"/>
          <w:position w:val="0"/>
          <w:sz w:val="16"/>
          <w:szCs w:val="16"/>
        </w:rPr>
        <w:t xml:space="preserve">уже в Эскадре </w:t>
      </w:r>
      <w:r w:rsidR="009E6F82" w:rsidRPr="00405303">
        <w:rPr>
          <w:bCs/>
          <w:i w:val="0"/>
          <w:color w:val="002060"/>
          <w:spacing w:val="0"/>
          <w:kern w:val="0"/>
          <w:position w:val="0"/>
          <w:sz w:val="16"/>
          <w:szCs w:val="16"/>
        </w:rPr>
        <w:t>пробовали на корабле V-м другую 3-х дюймовую пушку системы полковника Гельвига, которую прислали из 1лавного Артиллерийского Управления. Она была безоткатной, с нали­чием добавочного ствола прямо противоположного главному. При выстреле из главного ствола вылетал боевой снаряд, а из добавочного - пыж, но исключало откат ствола. Но от нее тоже отказались из-за большого веса, малой скорострельности и эффективности стрельбы (11277).</w:t>
      </w:r>
    </w:p>
    <w:p w14:paraId="4CBC3866" w14:textId="77777777" w:rsidR="004B4E35" w:rsidRPr="00405303" w:rsidRDefault="004B4E35" w:rsidP="00C15251">
      <w:pPr>
        <w:pStyle w:val="a3"/>
        <w:jc w:val="both"/>
        <w:rPr>
          <w:bCs/>
          <w:i w:val="0"/>
          <w:color w:val="002060"/>
          <w:spacing w:val="0"/>
          <w:kern w:val="0"/>
          <w:position w:val="0"/>
          <w:sz w:val="16"/>
          <w:szCs w:val="16"/>
        </w:rPr>
      </w:pPr>
    </w:p>
    <w:bookmarkEnd w:id="26"/>
    <w:p w14:paraId="5EC4694F" w14:textId="7340B72E" w:rsidR="00B53262" w:rsidRPr="00405303" w:rsidRDefault="00B53262" w:rsidP="00C15251">
      <w:pPr>
        <w:pStyle w:val="a3"/>
        <w:jc w:val="both"/>
        <w:rPr>
          <w:bCs/>
          <w:i w:val="0"/>
          <w:iCs/>
          <w:color w:val="002060"/>
          <w:spacing w:val="0"/>
          <w:kern w:val="0"/>
          <w:position w:val="0"/>
          <w:sz w:val="16"/>
          <w:szCs w:val="16"/>
        </w:rPr>
      </w:pPr>
      <w:r w:rsidRPr="00405303">
        <w:rPr>
          <w:bCs/>
          <w:i w:val="0"/>
          <w:color w:val="002060"/>
          <w:spacing w:val="0"/>
          <w:kern w:val="0"/>
          <w:position w:val="0"/>
          <w:sz w:val="16"/>
          <w:szCs w:val="16"/>
        </w:rPr>
        <w:t>В январе 1915 г. уже в Эскадре пробовали на корабле V-м другую 3-х дюймовую пушку системы полковника Гельвига, которую прислали из 1лавного Артиллерийского Управления. Она была безоткатной, с нали­чием добавочного ствола прямо противоположного главному. При выстреле из главного ствола вылетал боевой снаряд, а из добавочного - пыж, но исключало откат ствола. Но от нее тоже отказались из-за большого веса, малой скорострельности и эффективности стрельбы</w:t>
      </w:r>
      <w:r w:rsidR="000F5756">
        <w:rPr>
          <w:bCs/>
          <w:i w:val="0"/>
          <w:color w:val="002060"/>
          <w:spacing w:val="0"/>
          <w:kern w:val="0"/>
          <w:position w:val="0"/>
          <w:sz w:val="16"/>
          <w:szCs w:val="16"/>
        </w:rPr>
        <w:t xml:space="preserve"> </w:t>
      </w:r>
      <w:r w:rsidRPr="00405303">
        <w:rPr>
          <w:bCs/>
          <w:i w:val="0"/>
          <w:iCs/>
          <w:color w:val="002060"/>
          <w:spacing w:val="0"/>
          <w:sz w:val="16"/>
          <w:szCs w:val="16"/>
        </w:rPr>
        <w:t>(12038)</w:t>
      </w:r>
      <w:r w:rsidRPr="00405303">
        <w:rPr>
          <w:bCs/>
          <w:i w:val="0"/>
          <w:iCs/>
          <w:color w:val="002060"/>
          <w:spacing w:val="0"/>
          <w:kern w:val="0"/>
          <w:position w:val="0"/>
          <w:sz w:val="16"/>
          <w:szCs w:val="16"/>
        </w:rPr>
        <w:t>.</w:t>
      </w:r>
    </w:p>
    <w:p w14:paraId="3008F5AF" w14:textId="77777777" w:rsidR="00B53262" w:rsidRPr="00405303" w:rsidRDefault="00B53262" w:rsidP="00C15251">
      <w:pPr>
        <w:pStyle w:val="a3"/>
        <w:jc w:val="both"/>
        <w:rPr>
          <w:bCs/>
          <w:i w:val="0"/>
          <w:color w:val="002060"/>
          <w:spacing w:val="0"/>
          <w:kern w:val="0"/>
          <w:position w:val="0"/>
          <w:sz w:val="16"/>
          <w:szCs w:val="16"/>
        </w:rPr>
      </w:pPr>
    </w:p>
    <w:p w14:paraId="527B445C" w14:textId="334FA784" w:rsidR="004B4E35" w:rsidRPr="00405303" w:rsidRDefault="00B53262"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январе 1915 г</w:t>
      </w:r>
      <w:r w:rsidRPr="00405303">
        <w:rPr>
          <w:bCs/>
          <w:color w:val="002060"/>
          <w:sz w:val="16"/>
          <w:szCs w:val="16"/>
        </w:rPr>
        <w:t>. первый из С-16, имевший заводской Nо. 154, был готов</w:t>
      </w:r>
      <w:r w:rsidR="009E6F82" w:rsidRPr="00405303">
        <w:rPr>
          <w:bCs/>
          <w:color w:val="002060"/>
          <w:sz w:val="16"/>
          <w:szCs w:val="16"/>
        </w:rPr>
        <w:t>, Российское морское ведомство, заказавшее «Малютку» и всегда благожелательно относившееся к работам И. И. Сикорского, выделило для самолета двигатель «Рон» в 80 л. с. и помогло доставить аппарат в Ревель (Таллин) , где в то время нес службу Г. И. Лавров. Одна» о провести немедленно испытания С-16 не удалось. В феврале аэродром был покрыт глубоким снегом, а лыжами самолет оснащен не был (11188).</w:t>
      </w:r>
    </w:p>
    <w:p w14:paraId="5DFA4C2C" w14:textId="77777777" w:rsidR="004B4E35" w:rsidRPr="00405303" w:rsidRDefault="004B4E35" w:rsidP="00C15251">
      <w:pPr>
        <w:jc w:val="both"/>
        <w:rPr>
          <w:bCs/>
          <w:color w:val="002060"/>
          <w:sz w:val="16"/>
          <w:szCs w:val="16"/>
        </w:rPr>
      </w:pPr>
    </w:p>
    <w:p w14:paraId="66490A26" w14:textId="6B64B8B9" w:rsidR="004B4E35" w:rsidRPr="00405303" w:rsidRDefault="00B53262"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январе 1915 г.</w:t>
      </w:r>
      <w:r w:rsidRPr="00405303">
        <w:rPr>
          <w:bCs/>
          <w:color w:val="002060"/>
          <w:sz w:val="16"/>
          <w:szCs w:val="16"/>
        </w:rPr>
        <w:t xml:space="preserve"> прототип С-16 с заводским номером 154 был закончен</w:t>
      </w:r>
      <w:r w:rsidR="009E6F82" w:rsidRPr="00405303">
        <w:rPr>
          <w:bCs/>
          <w:color w:val="002060"/>
          <w:sz w:val="16"/>
          <w:szCs w:val="16"/>
        </w:rPr>
        <w:t>, а опыты с ним предполагалось выполнить в Ревеле, где находился его испытатель лейтенант Г.И. Лавров, близкий друг И.И. Сикорского и изобре</w:t>
      </w:r>
      <w:r w:rsidR="009E6F82" w:rsidRPr="00405303">
        <w:rPr>
          <w:bCs/>
          <w:color w:val="002060"/>
          <w:sz w:val="16"/>
          <w:szCs w:val="16"/>
        </w:rPr>
        <w:softHyphen/>
        <w:t>татель, сотрудничавший с Р-БВЗ вообще и участвовавший в создании С-16 в частности. Согласно книге В.Р. Михеева "Сикорский С-16: Русский скаут" флотское руководство отнеслось к этой затее благосклонно и разрешило проведение экспериментов на своей территории. Самолет с мо</w:t>
      </w:r>
      <w:r w:rsidR="009E6F82" w:rsidRPr="00405303">
        <w:rPr>
          <w:bCs/>
          <w:color w:val="002060"/>
          <w:sz w:val="16"/>
          <w:szCs w:val="16"/>
        </w:rPr>
        <w:softHyphen/>
        <w:t>тором "Рон" 80 л.с., полученным от Морского ведомства, доставили в столицу Эстляндской гу</w:t>
      </w:r>
      <w:r w:rsidR="009E6F82" w:rsidRPr="00405303">
        <w:rPr>
          <w:bCs/>
          <w:color w:val="002060"/>
          <w:sz w:val="16"/>
          <w:szCs w:val="16"/>
        </w:rPr>
        <w:softHyphen/>
        <w:t>бернии, но затем стало ясно, что опробовать его не удастся по причине снежной зимы и отсут</w:t>
      </w:r>
      <w:r w:rsidR="009E6F82" w:rsidRPr="00405303">
        <w:rPr>
          <w:bCs/>
          <w:color w:val="002060"/>
          <w:sz w:val="16"/>
          <w:szCs w:val="16"/>
        </w:rPr>
        <w:softHyphen/>
        <w:t>ствия лыжного шасси (2843).</w:t>
      </w:r>
    </w:p>
    <w:p w14:paraId="1B174FAA" w14:textId="77777777" w:rsidR="004B4E35" w:rsidRPr="00405303" w:rsidRDefault="004B4E35" w:rsidP="00C15251">
      <w:pPr>
        <w:shd w:val="clear" w:color="auto" w:fill="FFFFFF"/>
        <w:jc w:val="both"/>
        <w:rPr>
          <w:bCs/>
          <w:color w:val="002060"/>
          <w:sz w:val="16"/>
          <w:szCs w:val="16"/>
        </w:rPr>
      </w:pPr>
    </w:p>
    <w:p w14:paraId="2D77BA95" w14:textId="0B7D0A7A" w:rsidR="004B4E35" w:rsidRPr="00405303" w:rsidRDefault="00B53262"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январе 1915 года </w:t>
      </w:r>
      <w:r w:rsidRPr="00405303">
        <w:rPr>
          <w:bCs/>
          <w:color w:val="002060"/>
          <w:sz w:val="16"/>
          <w:szCs w:val="16"/>
        </w:rPr>
        <w:t xml:space="preserve">А. А. Безобразов прибыл в Крым </w:t>
      </w:r>
      <w:r w:rsidR="009E6F82" w:rsidRPr="00405303">
        <w:rPr>
          <w:bCs/>
          <w:color w:val="002060"/>
          <w:sz w:val="16"/>
          <w:szCs w:val="16"/>
        </w:rPr>
        <w:t>и уже без Моски на протяжении всего 1915 года продолжал переделки и усовершенствования аппарата, пока в июне следующего года вновь не прибыл в Москву. 6 августа 1916 года летчик И. А. Орлов потерпел аварию при попытке взлета. Из-за поломки колесной оси аэроплан клюнул носом и перевернулся на спину. Ремонт «триплана» был закончен к марту 1917 года. Дальнейшие опыты с аэропланом были приостановлены. Установка и тип оружия на гипотетическом истребителе А. А. Безобразова не известны (11918).</w:t>
      </w:r>
    </w:p>
    <w:p w14:paraId="653DA5F7" w14:textId="77777777" w:rsidR="004B4E35" w:rsidRPr="00405303" w:rsidRDefault="004B4E35" w:rsidP="00C15251">
      <w:pPr>
        <w:jc w:val="both"/>
        <w:rPr>
          <w:bCs/>
          <w:color w:val="002060"/>
          <w:sz w:val="16"/>
          <w:szCs w:val="16"/>
        </w:rPr>
      </w:pPr>
    </w:p>
    <w:p w14:paraId="0914EBA5" w14:textId="5EB68561"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В январе 1915 </w:t>
      </w:r>
      <w:r w:rsidR="00501A0A" w:rsidRPr="00405303">
        <w:rPr>
          <w:bCs/>
          <w:color w:val="002060"/>
          <w:sz w:val="16"/>
          <w:szCs w:val="16"/>
        </w:rPr>
        <w:t>г. начались</w:t>
      </w:r>
      <w:r w:rsidRPr="00405303">
        <w:rPr>
          <w:bCs/>
          <w:color w:val="002060"/>
          <w:sz w:val="16"/>
          <w:szCs w:val="16"/>
        </w:rPr>
        <w:t xml:space="preserve"> летны</w:t>
      </w:r>
      <w:r w:rsidR="00501A0A" w:rsidRPr="00405303">
        <w:rPr>
          <w:bCs/>
          <w:color w:val="002060"/>
          <w:sz w:val="16"/>
          <w:szCs w:val="16"/>
        </w:rPr>
        <w:t>е</w:t>
      </w:r>
      <w:r w:rsidRPr="00405303">
        <w:rPr>
          <w:bCs/>
          <w:color w:val="002060"/>
          <w:sz w:val="16"/>
          <w:szCs w:val="16"/>
        </w:rPr>
        <w:t xml:space="preserve"> испытаний летающей лодки М-5 Д. П. Григоро</w:t>
      </w:r>
      <w:r w:rsidRPr="00405303">
        <w:rPr>
          <w:bCs/>
          <w:color w:val="002060"/>
          <w:sz w:val="16"/>
          <w:szCs w:val="16"/>
        </w:rPr>
        <w:softHyphen/>
        <w:t>вича. 12 апреля состоялся ее первый боевой полет. В школах морской авиации применялась до 1924 г (1137).</w:t>
      </w:r>
    </w:p>
    <w:p w14:paraId="02A0D689" w14:textId="77777777" w:rsidR="004B4E35" w:rsidRPr="00405303" w:rsidRDefault="004B4E35" w:rsidP="00C15251">
      <w:pPr>
        <w:shd w:val="clear" w:color="auto" w:fill="FFFFFF"/>
        <w:jc w:val="both"/>
        <w:rPr>
          <w:bCs/>
          <w:color w:val="002060"/>
          <w:sz w:val="16"/>
          <w:szCs w:val="16"/>
        </w:rPr>
      </w:pPr>
    </w:p>
    <w:p w14:paraId="6F530515" w14:textId="69200C85" w:rsidR="004B4E35" w:rsidRPr="00405303" w:rsidRDefault="00501A0A" w:rsidP="00C15251">
      <w:pPr>
        <w:shd w:val="clear" w:color="auto" w:fill="FFFFFF"/>
        <w:jc w:val="both"/>
        <w:rPr>
          <w:bCs/>
          <w:color w:val="002060"/>
          <w:sz w:val="16"/>
          <w:szCs w:val="16"/>
        </w:rPr>
      </w:pPr>
      <w:r w:rsidRPr="00405303">
        <w:rPr>
          <w:bCs/>
          <w:color w:val="002060"/>
          <w:sz w:val="16"/>
          <w:szCs w:val="16"/>
        </w:rPr>
        <w:t>В я</w:t>
      </w:r>
      <w:r w:rsidR="009E6F82" w:rsidRPr="00405303">
        <w:rPr>
          <w:bCs/>
          <w:color w:val="002060"/>
          <w:sz w:val="16"/>
          <w:szCs w:val="16"/>
        </w:rPr>
        <w:t>нвар</w:t>
      </w:r>
      <w:r w:rsidRPr="00405303">
        <w:rPr>
          <w:bCs/>
          <w:color w:val="002060"/>
          <w:sz w:val="16"/>
          <w:szCs w:val="16"/>
        </w:rPr>
        <w:t>е</w:t>
      </w:r>
      <w:r w:rsidR="009E6F82" w:rsidRPr="00405303">
        <w:rPr>
          <w:bCs/>
          <w:color w:val="002060"/>
          <w:sz w:val="16"/>
          <w:szCs w:val="16"/>
        </w:rPr>
        <w:t xml:space="preserve"> 1915</w:t>
      </w:r>
      <w:r w:rsidRPr="00405303">
        <w:rPr>
          <w:bCs/>
          <w:color w:val="002060"/>
          <w:sz w:val="16"/>
          <w:szCs w:val="16"/>
        </w:rPr>
        <w:t xml:space="preserve"> </w:t>
      </w:r>
      <w:r w:rsidR="009E6F82" w:rsidRPr="00405303">
        <w:rPr>
          <w:bCs/>
          <w:color w:val="002060"/>
          <w:sz w:val="16"/>
          <w:szCs w:val="16"/>
        </w:rPr>
        <w:t xml:space="preserve">г. </w:t>
      </w:r>
      <w:r w:rsidRPr="00405303">
        <w:rPr>
          <w:bCs/>
          <w:color w:val="002060"/>
          <w:sz w:val="16"/>
          <w:szCs w:val="16"/>
        </w:rPr>
        <w:t>н</w:t>
      </w:r>
      <w:r w:rsidR="009E6F82" w:rsidRPr="00405303">
        <w:rPr>
          <w:bCs/>
          <w:color w:val="002060"/>
          <w:sz w:val="16"/>
          <w:szCs w:val="16"/>
        </w:rPr>
        <w:t>ачал</w:t>
      </w:r>
      <w:r w:rsidRPr="00405303">
        <w:rPr>
          <w:bCs/>
          <w:color w:val="002060"/>
          <w:sz w:val="16"/>
          <w:szCs w:val="16"/>
        </w:rPr>
        <w:t>ись</w:t>
      </w:r>
      <w:r w:rsidR="009E6F82" w:rsidRPr="00405303">
        <w:rPr>
          <w:bCs/>
          <w:color w:val="002060"/>
          <w:sz w:val="16"/>
          <w:szCs w:val="16"/>
        </w:rPr>
        <w:t xml:space="preserve"> летны</w:t>
      </w:r>
      <w:r w:rsidRPr="00405303">
        <w:rPr>
          <w:bCs/>
          <w:color w:val="002060"/>
          <w:sz w:val="16"/>
          <w:szCs w:val="16"/>
        </w:rPr>
        <w:t>е</w:t>
      </w:r>
      <w:r w:rsidR="009E6F82" w:rsidRPr="00405303">
        <w:rPr>
          <w:bCs/>
          <w:color w:val="002060"/>
          <w:sz w:val="16"/>
          <w:szCs w:val="16"/>
        </w:rPr>
        <w:t xml:space="preserve"> испытани</w:t>
      </w:r>
      <w:r w:rsidRPr="00405303">
        <w:rPr>
          <w:bCs/>
          <w:color w:val="002060"/>
          <w:sz w:val="16"/>
          <w:szCs w:val="16"/>
        </w:rPr>
        <w:t>я</w:t>
      </w:r>
      <w:r w:rsidR="009E6F82" w:rsidRPr="00405303">
        <w:rPr>
          <w:bCs/>
          <w:color w:val="002060"/>
          <w:sz w:val="16"/>
          <w:szCs w:val="16"/>
        </w:rPr>
        <w:t xml:space="preserve"> летающей лодки М-5 Д. П. Григо</w:t>
      </w:r>
      <w:r w:rsidR="009E6F82" w:rsidRPr="00405303">
        <w:rPr>
          <w:bCs/>
          <w:color w:val="002060"/>
          <w:sz w:val="16"/>
          <w:szCs w:val="16"/>
        </w:rPr>
        <w:softHyphen/>
        <w:t>ровича. 12 апреля 1915г. состоялся ее первый боевой полет. В шко</w:t>
      </w:r>
      <w:r w:rsidR="009E6F82" w:rsidRPr="00405303">
        <w:rPr>
          <w:bCs/>
          <w:color w:val="002060"/>
          <w:sz w:val="16"/>
          <w:szCs w:val="16"/>
        </w:rPr>
        <w:softHyphen/>
        <w:t>лах морской авиации применялась до 1924 г (11425).</w:t>
      </w:r>
    </w:p>
    <w:p w14:paraId="5EF6E320" w14:textId="77777777" w:rsidR="004B4E35" w:rsidRPr="00405303" w:rsidRDefault="004B4E35" w:rsidP="00C15251">
      <w:pPr>
        <w:shd w:val="clear" w:color="auto" w:fill="FFFFFF"/>
        <w:jc w:val="both"/>
        <w:rPr>
          <w:bCs/>
          <w:color w:val="002060"/>
          <w:sz w:val="16"/>
          <w:szCs w:val="16"/>
        </w:rPr>
      </w:pPr>
    </w:p>
    <w:p w14:paraId="49C6C726" w14:textId="77777777" w:rsidR="00686730" w:rsidRPr="00405303" w:rsidRDefault="00686730" w:rsidP="00C15251">
      <w:pPr>
        <w:jc w:val="both"/>
        <w:rPr>
          <w:bCs/>
          <w:color w:val="002060"/>
          <w:sz w:val="16"/>
          <w:szCs w:val="16"/>
          <w:lang w:bidi="en-US"/>
        </w:rPr>
      </w:pPr>
      <w:r w:rsidRPr="00405303">
        <w:rPr>
          <w:bCs/>
          <w:color w:val="002060"/>
          <w:sz w:val="16"/>
          <w:szCs w:val="16"/>
          <w:lang w:bidi="en-US"/>
        </w:rPr>
        <w:t>В январе 1915 г. под Петроградом были совершены первые испытательные полеты летающей лодки М-5 конструкции Григоровича, построенной Щетининым. Первый боевой вылет М-5 состоялся 25 апреля (23525).</w:t>
      </w:r>
    </w:p>
    <w:p w14:paraId="69D2CABA" w14:textId="77777777" w:rsidR="00686730" w:rsidRPr="00405303" w:rsidRDefault="00686730" w:rsidP="00C15251">
      <w:pPr>
        <w:jc w:val="both"/>
        <w:rPr>
          <w:bCs/>
          <w:color w:val="002060"/>
          <w:sz w:val="16"/>
          <w:szCs w:val="16"/>
        </w:rPr>
      </w:pPr>
    </w:p>
    <w:p w14:paraId="40743424" w14:textId="11B9806E" w:rsidR="004B4E35" w:rsidRPr="00405303" w:rsidRDefault="00501A0A"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январе 1915 г. </w:t>
      </w:r>
      <w:r w:rsidRPr="00405303">
        <w:rPr>
          <w:bCs/>
          <w:color w:val="002060"/>
          <w:sz w:val="16"/>
          <w:szCs w:val="16"/>
        </w:rPr>
        <w:t>был сдан второй «Терещенко № 5бис» с мото</w:t>
      </w:r>
      <w:r w:rsidRPr="00405303">
        <w:rPr>
          <w:bCs/>
          <w:color w:val="002060"/>
          <w:sz w:val="16"/>
          <w:szCs w:val="16"/>
        </w:rPr>
        <w:softHyphen/>
        <w:t xml:space="preserve">ром «Гном». </w:t>
      </w:r>
      <w:r w:rsidR="009E6F82" w:rsidRPr="00405303">
        <w:rPr>
          <w:bCs/>
          <w:color w:val="002060"/>
          <w:sz w:val="16"/>
          <w:szCs w:val="16"/>
        </w:rPr>
        <w:t>Известно, что второй самолет про</w:t>
      </w:r>
      <w:r w:rsidR="009E6F82" w:rsidRPr="00405303">
        <w:rPr>
          <w:bCs/>
          <w:color w:val="002060"/>
          <w:sz w:val="16"/>
          <w:szCs w:val="16"/>
        </w:rPr>
        <w:softHyphen/>
        <w:t>ходил фронтовые испытания. В своих отче</w:t>
      </w:r>
      <w:r w:rsidR="009E6F82" w:rsidRPr="00405303">
        <w:rPr>
          <w:bCs/>
          <w:color w:val="002060"/>
          <w:sz w:val="16"/>
          <w:szCs w:val="16"/>
        </w:rPr>
        <w:softHyphen/>
        <w:t xml:space="preserve">тах военные летчики отмечали его сносную управляемость, однако крыло мешало </w:t>
      </w:r>
      <w:r w:rsidR="009E6F82" w:rsidRPr="00405303">
        <w:rPr>
          <w:bCs/>
          <w:i/>
          <w:color w:val="002060"/>
          <w:sz w:val="16"/>
          <w:szCs w:val="16"/>
        </w:rPr>
        <w:t>об</w:t>
      </w:r>
      <w:r w:rsidR="009E6F82" w:rsidRPr="00405303">
        <w:rPr>
          <w:bCs/>
          <w:i/>
          <w:color w:val="002060"/>
          <w:sz w:val="16"/>
          <w:szCs w:val="16"/>
        </w:rPr>
        <w:softHyphen/>
        <w:t xml:space="preserve">зору </w:t>
      </w:r>
      <w:r w:rsidR="009E6F82" w:rsidRPr="00405303">
        <w:rPr>
          <w:bCs/>
          <w:color w:val="002060"/>
          <w:sz w:val="16"/>
          <w:szCs w:val="16"/>
        </w:rPr>
        <w:t>нижней полусферы, что усложняло его использование в качестве разведчика (11217).</w:t>
      </w:r>
    </w:p>
    <w:p w14:paraId="45012A09" w14:textId="77777777" w:rsidR="004B4E35" w:rsidRPr="00405303" w:rsidRDefault="004B4E35" w:rsidP="00C15251">
      <w:pPr>
        <w:shd w:val="clear" w:color="auto" w:fill="FFFFFF"/>
        <w:jc w:val="both"/>
        <w:rPr>
          <w:bCs/>
          <w:color w:val="002060"/>
          <w:sz w:val="16"/>
          <w:szCs w:val="16"/>
        </w:rPr>
      </w:pPr>
    </w:p>
    <w:p w14:paraId="58B676C1" w14:textId="77777777" w:rsidR="004B4E35" w:rsidRPr="00405303" w:rsidRDefault="009E6F82" w:rsidP="00C15251">
      <w:pPr>
        <w:jc w:val="both"/>
        <w:rPr>
          <w:bCs/>
          <w:color w:val="002060"/>
          <w:sz w:val="16"/>
          <w:szCs w:val="16"/>
        </w:rPr>
      </w:pPr>
      <w:r w:rsidRPr="00405303">
        <w:rPr>
          <w:bCs/>
          <w:color w:val="002060"/>
          <w:sz w:val="16"/>
          <w:szCs w:val="16"/>
        </w:rPr>
        <w:t>В январе 1915 г. на заседании Авиационного комитета Службы связи Балтийского моря было при</w:t>
      </w:r>
      <w:r w:rsidRPr="00405303">
        <w:rPr>
          <w:bCs/>
          <w:color w:val="002060"/>
          <w:sz w:val="16"/>
          <w:szCs w:val="16"/>
        </w:rPr>
        <w:softHyphen/>
        <w:t>нято решение ходатайствовать об организации производства авиаци</w:t>
      </w:r>
      <w:r w:rsidRPr="00405303">
        <w:rPr>
          <w:bCs/>
          <w:color w:val="002060"/>
          <w:sz w:val="16"/>
          <w:szCs w:val="16"/>
        </w:rPr>
        <w:softHyphen/>
        <w:t>онных двигателей на Путиловском заводе (11872).</w:t>
      </w:r>
    </w:p>
    <w:p w14:paraId="6AF6C1FF" w14:textId="77777777" w:rsidR="004B4E35" w:rsidRPr="00405303" w:rsidRDefault="004B4E35" w:rsidP="00C15251">
      <w:pPr>
        <w:jc w:val="both"/>
        <w:rPr>
          <w:bCs/>
          <w:color w:val="002060"/>
          <w:sz w:val="16"/>
          <w:szCs w:val="16"/>
        </w:rPr>
      </w:pPr>
    </w:p>
    <w:p w14:paraId="7BE06D4D" w14:textId="77777777" w:rsidR="00686730" w:rsidRPr="00405303" w:rsidRDefault="00686730" w:rsidP="00C15251">
      <w:pPr>
        <w:jc w:val="both"/>
        <w:rPr>
          <w:bCs/>
          <w:color w:val="002060"/>
          <w:sz w:val="16"/>
          <w:szCs w:val="16"/>
        </w:rPr>
      </w:pPr>
      <w:r w:rsidRPr="00405303">
        <w:rPr>
          <w:bCs/>
          <w:color w:val="002060"/>
          <w:sz w:val="16"/>
          <w:szCs w:val="16"/>
        </w:rPr>
        <w:t>В январе 1915 г. на корабле «Илья Муромец» Б-7 (ИМ-Б № 143, борт № V) экз. № 7, стратегический разведчик, по сути – учебный и экспериментальный самолет провели испытания установленной на верхней платформе безоткатной пушки системы Гельвига калибра 76 мм, которые дали отрицательные результаты:</w:t>
      </w:r>
    </w:p>
    <w:p w14:paraId="6BCE2F16" w14:textId="77777777" w:rsidR="00686730" w:rsidRPr="00405303" w:rsidRDefault="00686730" w:rsidP="00C15251">
      <w:pPr>
        <w:jc w:val="both"/>
        <w:rPr>
          <w:bCs/>
          <w:color w:val="002060"/>
          <w:sz w:val="16"/>
          <w:szCs w:val="16"/>
        </w:rPr>
      </w:pPr>
      <w:r w:rsidRPr="00405303">
        <w:rPr>
          <w:bCs/>
          <w:color w:val="002060"/>
          <w:sz w:val="16"/>
          <w:szCs w:val="16"/>
        </w:rPr>
        <w:t>- пушка для самолета слишком тяжелая, наводить ее неудобно;</w:t>
      </w:r>
    </w:p>
    <w:p w14:paraId="5FF1529B" w14:textId="77777777" w:rsidR="00686730" w:rsidRPr="00405303" w:rsidRDefault="00686730" w:rsidP="00C15251">
      <w:pPr>
        <w:jc w:val="both"/>
        <w:rPr>
          <w:bCs/>
          <w:color w:val="002060"/>
          <w:sz w:val="16"/>
          <w:szCs w:val="16"/>
        </w:rPr>
      </w:pPr>
      <w:r w:rsidRPr="00405303">
        <w:rPr>
          <w:bCs/>
          <w:color w:val="002060"/>
          <w:sz w:val="16"/>
          <w:szCs w:val="16"/>
        </w:rPr>
        <w:t>- темп стрельбы недостаточен;</w:t>
      </w:r>
    </w:p>
    <w:p w14:paraId="47FAE8A3" w14:textId="77777777" w:rsidR="00686730" w:rsidRPr="00405303" w:rsidRDefault="00686730" w:rsidP="00C15251">
      <w:pPr>
        <w:jc w:val="both"/>
        <w:rPr>
          <w:bCs/>
          <w:color w:val="002060"/>
          <w:sz w:val="16"/>
          <w:szCs w:val="16"/>
        </w:rPr>
      </w:pPr>
      <w:r w:rsidRPr="00405303">
        <w:rPr>
          <w:bCs/>
          <w:color w:val="002060"/>
          <w:sz w:val="16"/>
          <w:szCs w:val="16"/>
        </w:rPr>
        <w:t>- пыж, вылетающий из обращенного назад ствола, создает опасность для своего самолета;</w:t>
      </w:r>
    </w:p>
    <w:p w14:paraId="7FBB975E" w14:textId="77777777" w:rsidR="00686730" w:rsidRPr="00405303" w:rsidRDefault="00686730" w:rsidP="00C15251">
      <w:pPr>
        <w:jc w:val="both"/>
        <w:rPr>
          <w:bCs/>
          <w:color w:val="002060"/>
          <w:sz w:val="16"/>
          <w:szCs w:val="16"/>
        </w:rPr>
      </w:pPr>
      <w:r w:rsidRPr="00405303">
        <w:rPr>
          <w:bCs/>
          <w:color w:val="002060"/>
          <w:sz w:val="16"/>
          <w:szCs w:val="16"/>
        </w:rPr>
        <w:t>- рассеивание слишком велико.</w:t>
      </w:r>
    </w:p>
    <w:p w14:paraId="5AAAEF67" w14:textId="77777777" w:rsidR="00686730" w:rsidRPr="00405303" w:rsidRDefault="00686730" w:rsidP="00C15251">
      <w:pPr>
        <w:jc w:val="both"/>
        <w:rPr>
          <w:bCs/>
          <w:color w:val="002060"/>
          <w:sz w:val="16"/>
          <w:szCs w:val="16"/>
        </w:rPr>
      </w:pPr>
      <w:r w:rsidRPr="00405303">
        <w:rPr>
          <w:bCs/>
          <w:color w:val="002060"/>
          <w:sz w:val="16"/>
          <w:szCs w:val="16"/>
        </w:rPr>
        <w:t>Был сделан однозначный вывод о предпочтительности для обороны легких пулеметов.</w:t>
      </w:r>
    </w:p>
    <w:p w14:paraId="6AAF1ECD" w14:textId="77777777" w:rsidR="00686730" w:rsidRPr="00405303" w:rsidRDefault="00686730" w:rsidP="00C15251">
      <w:pPr>
        <w:jc w:val="both"/>
        <w:rPr>
          <w:bCs/>
          <w:color w:val="002060"/>
          <w:sz w:val="16"/>
          <w:szCs w:val="16"/>
        </w:rPr>
      </w:pPr>
      <w:r w:rsidRPr="00405303">
        <w:rPr>
          <w:bCs/>
          <w:color w:val="002060"/>
          <w:sz w:val="16"/>
          <w:szCs w:val="16"/>
        </w:rPr>
        <w:t>В декабре 1914 г. прибыл на базу ЭВК в Яблонну и там был принят в казну в нарушение указания Военного Совета о запрете приемки самолетов ИМ впредь до устранения их недостатков.</w:t>
      </w:r>
    </w:p>
    <w:p w14:paraId="5B3D9D40" w14:textId="77777777" w:rsidR="00686730" w:rsidRPr="00405303" w:rsidRDefault="00686730" w:rsidP="00C15251">
      <w:pPr>
        <w:jc w:val="both"/>
        <w:rPr>
          <w:bCs/>
          <w:color w:val="002060"/>
          <w:sz w:val="16"/>
          <w:szCs w:val="16"/>
        </w:rPr>
      </w:pPr>
      <w:r w:rsidRPr="00405303">
        <w:rPr>
          <w:bCs/>
          <w:color w:val="002060"/>
          <w:sz w:val="16"/>
          <w:szCs w:val="16"/>
        </w:rPr>
        <w:t>В сентябре 1914 г. сдан РБВЗ заказчику.</w:t>
      </w:r>
    </w:p>
    <w:p w14:paraId="65C686FA" w14:textId="77777777" w:rsidR="00686730" w:rsidRPr="00405303" w:rsidRDefault="00686730" w:rsidP="00C15251">
      <w:pPr>
        <w:jc w:val="both"/>
        <w:rPr>
          <w:bCs/>
          <w:color w:val="002060"/>
          <w:sz w:val="16"/>
          <w:szCs w:val="16"/>
        </w:rPr>
      </w:pPr>
      <w:r w:rsidRPr="00405303">
        <w:rPr>
          <w:bCs/>
          <w:color w:val="002060"/>
          <w:sz w:val="16"/>
          <w:szCs w:val="16"/>
        </w:rPr>
        <w:t>Построен с моторами и шасси по типу самолета № 136, но с отличиями по остальной конструкции:</w:t>
      </w:r>
    </w:p>
    <w:p w14:paraId="0C34FFC9" w14:textId="77777777" w:rsidR="00686730" w:rsidRPr="00405303" w:rsidRDefault="00686730" w:rsidP="00C15251">
      <w:pPr>
        <w:jc w:val="both"/>
        <w:rPr>
          <w:bCs/>
          <w:color w:val="002060"/>
          <w:sz w:val="16"/>
          <w:szCs w:val="16"/>
        </w:rPr>
      </w:pPr>
      <w:r w:rsidRPr="00405303">
        <w:rPr>
          <w:bCs/>
          <w:color w:val="002060"/>
          <w:sz w:val="16"/>
          <w:szCs w:val="16"/>
        </w:rPr>
        <w:t>- топливная и масляная система с двумя совмещенными баками над внутренними моторами (возможно, были баки и внутри фюзеляжа);</w:t>
      </w:r>
    </w:p>
    <w:p w14:paraId="68458920" w14:textId="77777777" w:rsidR="00686730" w:rsidRPr="00405303" w:rsidRDefault="00686730" w:rsidP="00C15251">
      <w:pPr>
        <w:jc w:val="both"/>
        <w:rPr>
          <w:bCs/>
          <w:color w:val="002060"/>
          <w:sz w:val="16"/>
          <w:szCs w:val="16"/>
        </w:rPr>
      </w:pPr>
      <w:r w:rsidRPr="00405303">
        <w:rPr>
          <w:bCs/>
          <w:color w:val="002060"/>
          <w:sz w:val="16"/>
          <w:szCs w:val="16"/>
        </w:rPr>
        <w:t>- установлены радиаторы нового типа;</w:t>
      </w:r>
    </w:p>
    <w:p w14:paraId="4EAA78ED" w14:textId="77777777" w:rsidR="00686730" w:rsidRPr="00405303" w:rsidRDefault="00686730" w:rsidP="00C15251">
      <w:pPr>
        <w:jc w:val="both"/>
        <w:rPr>
          <w:bCs/>
          <w:color w:val="002060"/>
          <w:sz w:val="16"/>
          <w:szCs w:val="16"/>
        </w:rPr>
      </w:pPr>
      <w:r w:rsidRPr="00405303">
        <w:rPr>
          <w:bCs/>
          <w:color w:val="002060"/>
          <w:sz w:val="16"/>
          <w:szCs w:val="16"/>
        </w:rPr>
        <w:t>- в межлонжеронной части центроплана верхнего крыла убраны все нервюры, кроме крайних, под ним на стойках «кабана» укреплена платформа и стойка для пулемета – это, по-видимому, был первый самолет ИМ с пулеметной установкой в центроплане;</w:t>
      </w:r>
    </w:p>
    <w:p w14:paraId="7CEDEFF0" w14:textId="77777777" w:rsidR="00686730" w:rsidRPr="00405303" w:rsidRDefault="00686730" w:rsidP="00C15251">
      <w:pPr>
        <w:jc w:val="both"/>
        <w:rPr>
          <w:bCs/>
          <w:color w:val="002060"/>
          <w:sz w:val="16"/>
          <w:szCs w:val="16"/>
        </w:rPr>
      </w:pPr>
      <w:r w:rsidRPr="00405303">
        <w:rPr>
          <w:bCs/>
          <w:color w:val="002060"/>
          <w:sz w:val="16"/>
          <w:szCs w:val="16"/>
        </w:rPr>
        <w:t>- под лобовым остеклением кабины установлены деревянные барельефы с государственным гербом Российской Империи и надписью «Илья Муромец» славянской вязью.</w:t>
      </w:r>
    </w:p>
    <w:p w14:paraId="4F1AD434" w14:textId="77777777" w:rsidR="00686730" w:rsidRPr="00405303" w:rsidRDefault="00686730" w:rsidP="00C15251">
      <w:pPr>
        <w:jc w:val="both"/>
        <w:rPr>
          <w:bCs/>
          <w:color w:val="002060"/>
          <w:sz w:val="16"/>
          <w:szCs w:val="16"/>
        </w:rPr>
      </w:pPr>
      <w:r w:rsidRPr="00405303">
        <w:rPr>
          <w:bCs/>
          <w:color w:val="002060"/>
          <w:sz w:val="16"/>
          <w:szCs w:val="16"/>
        </w:rPr>
        <w:lastRenderedPageBreak/>
        <w:t>Командиром корабля был назначен поручик Г.В. Алехнович.</w:t>
      </w:r>
    </w:p>
    <w:p w14:paraId="534BBF35" w14:textId="77777777" w:rsidR="00686730" w:rsidRPr="00405303" w:rsidRDefault="00686730" w:rsidP="00C15251">
      <w:pPr>
        <w:jc w:val="both"/>
        <w:rPr>
          <w:bCs/>
          <w:color w:val="002060"/>
          <w:sz w:val="16"/>
          <w:szCs w:val="16"/>
        </w:rPr>
      </w:pPr>
      <w:r w:rsidRPr="00405303">
        <w:rPr>
          <w:bCs/>
          <w:color w:val="002060"/>
          <w:sz w:val="16"/>
          <w:szCs w:val="16"/>
        </w:rPr>
        <w:t>В начале 1915 г. (предположительно, уже весной) самолет потерпел аварию на а/д Яблонна – были снесены шасси, поломаны все воздушные винты, повреждено нижнее крыло. Самолет пилотировал его штатный командир поручик Г.В. Алехнович.</w:t>
      </w:r>
    </w:p>
    <w:p w14:paraId="1BF338CF" w14:textId="77777777" w:rsidR="00686730" w:rsidRPr="00405303" w:rsidRDefault="00686730" w:rsidP="00C15251">
      <w:pPr>
        <w:jc w:val="both"/>
        <w:rPr>
          <w:bCs/>
          <w:color w:val="002060"/>
          <w:sz w:val="16"/>
          <w:szCs w:val="16"/>
        </w:rPr>
      </w:pPr>
      <w:r w:rsidRPr="00405303">
        <w:rPr>
          <w:bCs/>
          <w:color w:val="002060"/>
          <w:sz w:val="16"/>
          <w:szCs w:val="16"/>
        </w:rPr>
        <w:t>Списан в мае 1915 г. в Яблонне.</w:t>
      </w:r>
    </w:p>
    <w:p w14:paraId="5CD72DE5" w14:textId="77777777" w:rsidR="00686730" w:rsidRPr="00405303" w:rsidRDefault="00686730" w:rsidP="00C15251">
      <w:pPr>
        <w:jc w:val="both"/>
        <w:rPr>
          <w:bCs/>
          <w:color w:val="002060"/>
          <w:sz w:val="16"/>
          <w:szCs w:val="16"/>
        </w:rPr>
      </w:pPr>
      <w:r w:rsidRPr="00405303">
        <w:rPr>
          <w:bCs/>
          <w:color w:val="002060"/>
          <w:sz w:val="16"/>
          <w:szCs w:val="16"/>
        </w:rPr>
        <w:t>2 (15 по н.ст.) октября 1914 г. ГВТУ выдало РБВЗ дополнительный контракт № 11356/5031 на постройку еще 32 кораблей типа ИМ. Однако после рапорта Руднева о непригодности самолета для военных целей, который поступил примерно в это же время, 20 ноября (3 декабря по н.ст.) 1914 г. он был приостановлен решением Военного Совета СВГК до устранения замечаний (23569).</w:t>
      </w:r>
    </w:p>
    <w:p w14:paraId="46089C15" w14:textId="77777777" w:rsidR="00686730" w:rsidRPr="00405303" w:rsidRDefault="00686730" w:rsidP="00C15251">
      <w:pPr>
        <w:jc w:val="both"/>
        <w:rPr>
          <w:bCs/>
          <w:color w:val="002060"/>
          <w:sz w:val="16"/>
          <w:szCs w:val="16"/>
          <w:lang w:bidi="ru-RU"/>
        </w:rPr>
      </w:pPr>
    </w:p>
    <w:p w14:paraId="30C6A0D8" w14:textId="77777777" w:rsidR="00686730" w:rsidRPr="00405303" w:rsidRDefault="00686730" w:rsidP="00C15251">
      <w:pPr>
        <w:jc w:val="both"/>
        <w:rPr>
          <w:bCs/>
          <w:color w:val="002060"/>
          <w:sz w:val="16"/>
          <w:szCs w:val="16"/>
          <w:lang w:bidi="ru-RU"/>
        </w:rPr>
      </w:pPr>
      <w:r w:rsidRPr="00405303">
        <w:rPr>
          <w:bCs/>
          <w:color w:val="002060"/>
          <w:sz w:val="16"/>
          <w:szCs w:val="16"/>
        </w:rPr>
        <w:t>В январе 1915 г. пожар полностью уничтожил главный корпус Воздухоплавательного отделения РБВЗ. К весне производство восстановили, и с этого времени бывшее отделение РБВЗ получило статус самостоятельного аэропланного завода Русско-Балтийского акционерного общества (сокращенно «Авиа-Балт»). Летом 1915 г. там работало 425 человек, имелось больше полусотни современных станков. Чтобы увеличить площадь производственных помещений, на Корпусном аэродроме в 1916 г. соорудили пять больших ангаров — сборочных цехов (23472).</w:t>
      </w:r>
    </w:p>
    <w:p w14:paraId="4F155EAD" w14:textId="77777777" w:rsidR="00686730" w:rsidRPr="00405303" w:rsidRDefault="00686730" w:rsidP="00C15251">
      <w:pPr>
        <w:jc w:val="both"/>
        <w:rPr>
          <w:bCs/>
          <w:color w:val="002060"/>
          <w:sz w:val="16"/>
          <w:szCs w:val="16"/>
          <w:lang w:bidi="ru-RU"/>
        </w:rPr>
      </w:pPr>
    </w:p>
    <w:p w14:paraId="01DDF562" w14:textId="77777777" w:rsidR="00686730" w:rsidRPr="00405303" w:rsidRDefault="00686730" w:rsidP="00C15251">
      <w:pPr>
        <w:jc w:val="both"/>
        <w:rPr>
          <w:bCs/>
          <w:color w:val="002060"/>
          <w:sz w:val="16"/>
          <w:szCs w:val="16"/>
        </w:rPr>
      </w:pPr>
      <w:r w:rsidRPr="00405303">
        <w:rPr>
          <w:bCs/>
          <w:color w:val="002060"/>
          <w:sz w:val="16"/>
          <w:szCs w:val="16"/>
        </w:rPr>
        <w:t>В январе 1915 г. самолет С-16 был закончен постройкой. Мотор Рон 9С для него был предоставлен из запасов Авиации ВМФ (23557).</w:t>
      </w:r>
    </w:p>
    <w:p w14:paraId="3B1B5E9C" w14:textId="77777777" w:rsidR="00686730" w:rsidRPr="00405303" w:rsidRDefault="00686730" w:rsidP="00C15251">
      <w:pPr>
        <w:jc w:val="both"/>
        <w:rPr>
          <w:bCs/>
          <w:color w:val="002060"/>
          <w:sz w:val="16"/>
          <w:szCs w:val="16"/>
          <w:lang w:bidi="en-US"/>
        </w:rPr>
      </w:pPr>
    </w:p>
    <w:p w14:paraId="0B2A9612" w14:textId="77777777" w:rsidR="002051CA" w:rsidRPr="00405303" w:rsidRDefault="002051CA" w:rsidP="00C15251">
      <w:pPr>
        <w:jc w:val="both"/>
        <w:rPr>
          <w:bCs/>
          <w:color w:val="002060"/>
          <w:sz w:val="16"/>
          <w:szCs w:val="16"/>
        </w:rPr>
      </w:pPr>
      <w:r w:rsidRPr="00405303">
        <w:rPr>
          <w:bCs/>
          <w:color w:val="002060"/>
          <w:sz w:val="16"/>
          <w:szCs w:val="16"/>
        </w:rPr>
        <w:t>В январе 1915 г. Анатра был получен контракт на поставку 139 самолетов Анатра VI (Вуазен Иванова), разработанных военным летчиком Подпоручиком П.Д. Иванов из 26-го КАО, модифицировавший ЛАС Voisin. в период с марта 1915 г. по март 1916 г. К концу войны было построено около 100 самолетов. Производство закончилось в середине 1918 года. В армейских отчетах упоминается десять небоевых аварий в 5-м Сибирском КАО в апреле 1917 года. Известно, что у него были серьезные проблемы с боковой устойчивостью и управляемостью (23525).</w:t>
      </w:r>
    </w:p>
    <w:p w14:paraId="7BCBDCE5" w14:textId="77777777" w:rsidR="002051CA" w:rsidRPr="00405303" w:rsidRDefault="002051CA" w:rsidP="00C15251">
      <w:pPr>
        <w:jc w:val="both"/>
        <w:rPr>
          <w:bCs/>
          <w:color w:val="002060"/>
          <w:sz w:val="16"/>
          <w:szCs w:val="16"/>
        </w:rPr>
      </w:pPr>
    </w:p>
    <w:p w14:paraId="56E62B69" w14:textId="77777777" w:rsidR="002051CA" w:rsidRPr="00405303" w:rsidRDefault="002051CA" w:rsidP="00C15251">
      <w:pPr>
        <w:jc w:val="both"/>
        <w:rPr>
          <w:bCs/>
          <w:color w:val="002060"/>
          <w:sz w:val="16"/>
          <w:szCs w:val="16"/>
          <w:lang w:bidi="ru-RU"/>
        </w:rPr>
      </w:pPr>
      <w:r w:rsidRPr="00405303">
        <w:rPr>
          <w:bCs/>
          <w:color w:val="002060"/>
          <w:sz w:val="16"/>
          <w:szCs w:val="16"/>
        </w:rPr>
        <w:t>В январе 1915 г. в главном корпусе Воздухоплавательного отделения РБВЗ, уничтоженный в январе пожаром, производство восстановили, и с этого времени бывшее отделение РБВЗ получило статус самостоятельного аэропланного завода Русско-Балтийского акционерного общества (сокращенно «Авиа-Балт»). Летом 1915 г. там работало 425 человек, имелось больше полусотни современных станков. Чтобы увеличить площадь производственных помещений, на Корпусном аэродроме в 1916 г. соорудили пять больших ангаров — сборочных цехов (23472).</w:t>
      </w:r>
    </w:p>
    <w:p w14:paraId="571C3C7A" w14:textId="77777777" w:rsidR="002051CA" w:rsidRPr="00405303" w:rsidRDefault="002051CA" w:rsidP="00C15251">
      <w:pPr>
        <w:jc w:val="both"/>
        <w:rPr>
          <w:bCs/>
          <w:color w:val="002060"/>
          <w:sz w:val="16"/>
          <w:szCs w:val="16"/>
          <w:lang w:bidi="ru-RU"/>
        </w:rPr>
      </w:pPr>
    </w:p>
    <w:p w14:paraId="7148EC49" w14:textId="77777777" w:rsidR="002051CA" w:rsidRPr="00405303" w:rsidRDefault="002051CA" w:rsidP="00C15251">
      <w:pPr>
        <w:jc w:val="both"/>
        <w:rPr>
          <w:bCs/>
          <w:color w:val="002060"/>
          <w:sz w:val="16"/>
          <w:szCs w:val="16"/>
        </w:rPr>
      </w:pPr>
      <w:r w:rsidRPr="00405303">
        <w:rPr>
          <w:bCs/>
          <w:color w:val="002060"/>
          <w:sz w:val="16"/>
          <w:szCs w:val="16"/>
          <w:lang w:bidi="en-US"/>
        </w:rPr>
        <w:t>В январе 1915 г. военно-морской атташе США в Петрограде сообщил, что завод Лебедева, производивший теперь по пять самолетов в неделю, уже отремонтировал, отремонтировал и реконструировал двадцать семь захваченных вражеских самолетов (23525).</w:t>
      </w:r>
    </w:p>
    <w:p w14:paraId="159D8FCD" w14:textId="77777777" w:rsidR="002051CA" w:rsidRPr="00405303" w:rsidRDefault="002051CA" w:rsidP="00C15251">
      <w:pPr>
        <w:jc w:val="both"/>
        <w:rPr>
          <w:bCs/>
          <w:color w:val="002060"/>
          <w:sz w:val="16"/>
          <w:szCs w:val="16"/>
          <w:lang w:bidi="en-US"/>
        </w:rPr>
      </w:pPr>
    </w:p>
    <w:p w14:paraId="177D4575"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3BDE49AF" w14:textId="77777777" w:rsidR="004B4E35" w:rsidRPr="00405303" w:rsidRDefault="004B4E35" w:rsidP="00C15251">
      <w:pPr>
        <w:shd w:val="clear" w:color="auto" w:fill="FFFFFF"/>
        <w:jc w:val="both"/>
        <w:rPr>
          <w:bCs/>
          <w:i/>
          <w:color w:val="002060"/>
          <w:sz w:val="16"/>
          <w:szCs w:val="16"/>
        </w:rPr>
      </w:pPr>
    </w:p>
    <w:p w14:paraId="59BD908B" w14:textId="345A381A" w:rsidR="000226B5" w:rsidRPr="00405303" w:rsidRDefault="000226B5" w:rsidP="00C15251">
      <w:pPr>
        <w:jc w:val="both"/>
        <w:rPr>
          <w:bCs/>
          <w:color w:val="002060"/>
          <w:sz w:val="16"/>
          <w:szCs w:val="16"/>
        </w:rPr>
      </w:pPr>
      <w:r w:rsidRPr="00405303">
        <w:rPr>
          <w:bCs/>
          <w:color w:val="002060"/>
          <w:sz w:val="16"/>
          <w:szCs w:val="16"/>
        </w:rPr>
        <w:t>До января 1915 года Пар</w:t>
      </w:r>
      <w:r w:rsidR="00461264" w:rsidRPr="00405303">
        <w:rPr>
          <w:bCs/>
          <w:color w:val="002060"/>
          <w:sz w:val="16"/>
          <w:szCs w:val="16"/>
        </w:rPr>
        <w:t>о</w:t>
      </w:r>
      <w:r w:rsidRPr="00405303">
        <w:rPr>
          <w:bCs/>
          <w:color w:val="002060"/>
          <w:sz w:val="16"/>
          <w:szCs w:val="16"/>
        </w:rPr>
        <w:t>ходостроительный завод "И.П.Чепурин" в Благовещенске</w:t>
      </w:r>
      <w:r w:rsidR="000F5756">
        <w:rPr>
          <w:bCs/>
          <w:color w:val="002060"/>
          <w:sz w:val="16"/>
          <w:szCs w:val="16"/>
        </w:rPr>
        <w:t xml:space="preserve"> </w:t>
      </w:r>
      <w:r w:rsidRPr="00405303">
        <w:rPr>
          <w:bCs/>
          <w:color w:val="002060"/>
          <w:sz w:val="16"/>
          <w:szCs w:val="16"/>
        </w:rPr>
        <w:t>собрад 38 автомобилей - грузовых модификаций "Форда-Т" (18376).</w:t>
      </w:r>
    </w:p>
    <w:p w14:paraId="585F19C2" w14:textId="77777777" w:rsidR="000226B5" w:rsidRPr="00405303" w:rsidRDefault="000226B5" w:rsidP="00C15251">
      <w:pPr>
        <w:jc w:val="both"/>
        <w:rPr>
          <w:bCs/>
          <w:color w:val="002060"/>
          <w:sz w:val="16"/>
          <w:szCs w:val="16"/>
        </w:rPr>
      </w:pPr>
    </w:p>
    <w:p w14:paraId="536C0B94" w14:textId="77777777" w:rsidR="000226B5" w:rsidRPr="00405303" w:rsidRDefault="000226B5" w:rsidP="00C15251">
      <w:pPr>
        <w:pStyle w:val="p1"/>
        <w:spacing w:before="0" w:beforeAutospacing="0" w:after="0" w:afterAutospacing="0"/>
        <w:jc w:val="both"/>
        <w:rPr>
          <w:bCs/>
          <w:color w:val="002060"/>
          <w:sz w:val="16"/>
          <w:szCs w:val="16"/>
        </w:rPr>
      </w:pPr>
      <w:r w:rsidRPr="00405303">
        <w:rPr>
          <w:bCs/>
          <w:color w:val="002060"/>
          <w:sz w:val="16"/>
          <w:szCs w:val="16"/>
        </w:rPr>
        <w:t>В январе 1915 г. помощник Сухомлинова Лукомский доложил о затянувшемся исследовании и проектировании завода по производству азота из воздуха и заодно перечислил ряд поступивших в прошлом предложений от частных предпринимателей (последним было заявление Зенгера). «Ввиду возникновения войны, — напомнил Лукомский, — разрешение возбужденного вопроса было отложено», но теперь он «представлялся неотложным», и Сухомлинов распорядился создать при ГАУ междуведомственную комиссию.</w:t>
      </w:r>
    </w:p>
    <w:p w14:paraId="73052061" w14:textId="77777777" w:rsidR="000226B5" w:rsidRPr="00405303" w:rsidRDefault="000226B5" w:rsidP="00C15251">
      <w:pPr>
        <w:pStyle w:val="p1"/>
        <w:spacing w:before="0" w:beforeAutospacing="0" w:after="0" w:afterAutospacing="0"/>
        <w:jc w:val="both"/>
        <w:rPr>
          <w:bCs/>
          <w:color w:val="002060"/>
          <w:sz w:val="16"/>
          <w:szCs w:val="16"/>
        </w:rPr>
      </w:pPr>
      <w:r w:rsidRPr="00405303">
        <w:rPr>
          <w:bCs/>
          <w:color w:val="002060"/>
          <w:sz w:val="16"/>
          <w:szCs w:val="16"/>
        </w:rPr>
        <w:t>В 1914 г. в Германии, лишившейся доступа к чилийской селитре в связи с началом войны, синтез азотной кислоты из воздуха приобрел решающее значение, без развития этого производства удовлетворительное снабжение фронта боеприпасами становилось невозможным уже в 1915 г. Но с этого времени и началась все более развертываемая с помощью правительства Германии деятельность, обеспечивавшая также и сельское хозяйство азотистыми удобрениями (18409).</w:t>
      </w:r>
    </w:p>
    <w:p w14:paraId="26B80D7F" w14:textId="77777777" w:rsidR="000226B5" w:rsidRPr="00405303" w:rsidRDefault="000226B5" w:rsidP="00C15251">
      <w:pPr>
        <w:pStyle w:val="p1"/>
        <w:spacing w:before="0" w:beforeAutospacing="0" w:after="0" w:afterAutospacing="0"/>
        <w:jc w:val="both"/>
        <w:rPr>
          <w:bCs/>
          <w:color w:val="002060"/>
          <w:sz w:val="16"/>
          <w:szCs w:val="16"/>
        </w:rPr>
      </w:pPr>
    </w:p>
    <w:p w14:paraId="7DEA761C" w14:textId="77777777" w:rsidR="000226B5" w:rsidRPr="00405303" w:rsidRDefault="000226B5" w:rsidP="00C15251">
      <w:pPr>
        <w:pStyle w:val="ae"/>
        <w:spacing w:before="0" w:beforeAutospacing="0" w:after="0" w:afterAutospacing="0"/>
        <w:jc w:val="both"/>
        <w:rPr>
          <w:bCs/>
          <w:color w:val="002060"/>
          <w:sz w:val="16"/>
          <w:szCs w:val="16"/>
        </w:rPr>
      </w:pPr>
      <w:r w:rsidRPr="00405303">
        <w:rPr>
          <w:bCs/>
          <w:color w:val="002060"/>
          <w:sz w:val="16"/>
          <w:szCs w:val="16"/>
        </w:rPr>
        <w:t>В январе 1915 г. Совет съездов представителей промышленности и торговли по собственной инициативе обратился к военному министру с предложением помочь правительству «в разрешении тяжелых задач, выдвинутых войной»</w:t>
      </w:r>
      <w:bookmarkStart w:id="27" w:name="84r"/>
      <w:bookmarkEnd w:id="27"/>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"84p"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84</w:t>
      </w:r>
      <w:r w:rsidR="00617EB0" w:rsidRPr="00405303">
        <w:rPr>
          <w:bCs/>
          <w:color w:val="002060"/>
          <w:sz w:val="16"/>
          <w:szCs w:val="16"/>
          <w:vertAlign w:val="superscript"/>
        </w:rPr>
        <w:fldChar w:fldCharType="end"/>
      </w:r>
      <w:r w:rsidRPr="00405303">
        <w:rPr>
          <w:bCs/>
          <w:color w:val="002060"/>
          <w:sz w:val="16"/>
          <w:szCs w:val="16"/>
        </w:rPr>
        <w:t>. Заметим сразу же, что речь шла не о конкуренции с правительством, не о противопоставлении себя правительству, а о добрых услугах и помощи в организации производства снарядов. Совет съездов был осведомлен, что «дело надлежащего снабжения армии достаточным количеством снарядов встретило некоторые затруднения, которые надлежит по возможности безотлагательно устранить». Совет съездов провел закрытое совещание с наиболее крупными заводчиками, уже работающими для армии, и обсудил с ними вопрос об усилении производства снарядов.</w:t>
      </w:r>
    </w:p>
    <w:p w14:paraId="26C1FA1F" w14:textId="77777777" w:rsidR="000226B5" w:rsidRPr="00405303" w:rsidRDefault="000226B5" w:rsidP="00C15251">
      <w:pPr>
        <w:pStyle w:val="ae"/>
        <w:spacing w:before="0" w:beforeAutospacing="0" w:after="0" w:afterAutospacing="0"/>
        <w:jc w:val="both"/>
        <w:rPr>
          <w:bCs/>
          <w:color w:val="002060"/>
          <w:sz w:val="16"/>
          <w:szCs w:val="16"/>
        </w:rPr>
      </w:pPr>
      <w:r w:rsidRPr="00405303">
        <w:rPr>
          <w:bCs/>
          <w:color w:val="002060"/>
          <w:sz w:val="16"/>
          <w:szCs w:val="16"/>
        </w:rPr>
        <w:t>В чем заключалась программа буржуазии и по каким каналам и путям она намечала организацию помощи правительству?</w:t>
      </w:r>
    </w:p>
    <w:p w14:paraId="7AA54B1A" w14:textId="77777777" w:rsidR="000226B5" w:rsidRPr="00405303" w:rsidRDefault="000226B5" w:rsidP="00C15251">
      <w:pPr>
        <w:pStyle w:val="ae"/>
        <w:spacing w:before="0" w:beforeAutospacing="0" w:after="0" w:afterAutospacing="0"/>
        <w:jc w:val="both"/>
        <w:rPr>
          <w:bCs/>
          <w:color w:val="002060"/>
          <w:sz w:val="16"/>
          <w:szCs w:val="16"/>
        </w:rPr>
      </w:pPr>
      <w:r w:rsidRPr="00405303">
        <w:rPr>
          <w:bCs/>
          <w:color w:val="002060"/>
          <w:sz w:val="16"/>
          <w:szCs w:val="16"/>
        </w:rPr>
        <w:t>Совет съездов прежде всего защищал тезис о том, что нечего бояться перепроизводства снарядов, ибо «опасений об избытке или перепроизводстве снарядов нет и быть не может»</w:t>
      </w:r>
      <w:bookmarkStart w:id="28" w:name="85r"/>
      <w:bookmarkEnd w:id="28"/>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"85p"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85</w:t>
      </w:r>
      <w:r w:rsidR="00617EB0" w:rsidRPr="00405303">
        <w:rPr>
          <w:bCs/>
          <w:color w:val="002060"/>
          <w:sz w:val="16"/>
          <w:szCs w:val="16"/>
          <w:vertAlign w:val="superscript"/>
        </w:rPr>
        <w:fldChar w:fldCharType="end"/>
      </w:r>
      <w:r w:rsidRPr="00405303">
        <w:rPr>
          <w:bCs/>
          <w:color w:val="002060"/>
          <w:sz w:val="16"/>
          <w:szCs w:val="16"/>
        </w:rPr>
        <w:t>, особенно в ближайшие месяцы, пока заводы не развернут полностью производства. Поэтому первое конкретное предложение заключалось в том, чтобы полностью использовать все оборудование на заводах, уже изготовляющих снаряды, для чего необходима рабочая сила, нехватка которой мешает заводчикам ввести трехсменную работу. Для устранения недостатка рабочих Совет рекомендовал правительству не только срочно вернуть из армии всех рабочих, работавших ранее на заводах, занятых изготовлением снарядов, но и откомандировать из армии рабочих и техников, которые будут затребованы заводами. Таким образом, первый пункт предложений Совета съездов был направлен целиком на защиту интересов крупнейших предприятий, уже получивших заказы на снаряды.</w:t>
      </w:r>
    </w:p>
    <w:p w14:paraId="323F2E77" w14:textId="77777777" w:rsidR="000226B5" w:rsidRPr="00405303" w:rsidRDefault="000226B5" w:rsidP="00C15251">
      <w:pPr>
        <w:pStyle w:val="ae"/>
        <w:spacing w:before="0" w:beforeAutospacing="0" w:after="0" w:afterAutospacing="0"/>
        <w:jc w:val="both"/>
        <w:rPr>
          <w:bCs/>
          <w:color w:val="002060"/>
          <w:sz w:val="16"/>
          <w:szCs w:val="16"/>
        </w:rPr>
      </w:pPr>
      <w:r w:rsidRPr="00405303">
        <w:rPr>
          <w:bCs/>
          <w:color w:val="002060"/>
          <w:sz w:val="16"/>
          <w:szCs w:val="16"/>
        </w:rPr>
        <w:t>Ссылаясь на опыт Франции, Совет съездов требовал, во-вторых, передать под контроль и наблюдение крупных заводов мелкие предприятия, которые могут изготовлять части снарядов, по особым соглашениям с крупными. И второй пункт предложений сводился опять-таки к защите интересов привилегированной верхушки промышленной буржуазии.</w:t>
      </w:r>
    </w:p>
    <w:p w14:paraId="3CE6552F" w14:textId="77777777" w:rsidR="000226B5" w:rsidRPr="00405303" w:rsidRDefault="000226B5" w:rsidP="00C15251">
      <w:pPr>
        <w:pStyle w:val="ae"/>
        <w:spacing w:before="0" w:beforeAutospacing="0" w:after="0" w:afterAutospacing="0"/>
        <w:jc w:val="both"/>
        <w:rPr>
          <w:bCs/>
          <w:color w:val="002060"/>
          <w:sz w:val="16"/>
          <w:szCs w:val="16"/>
        </w:rPr>
      </w:pPr>
      <w:r w:rsidRPr="00405303">
        <w:rPr>
          <w:bCs/>
          <w:color w:val="002060"/>
          <w:sz w:val="16"/>
          <w:szCs w:val="16"/>
        </w:rPr>
        <w:t>Далее Совет съездов выступил в роли ходатая за предприятия, которые могли бы изготовлять снаряды (заводы Урала), но до сих пор не получили заказов. Совет не возражал и против получения снарядов из-за границы, но требовал более широкого привлечения к этому доходному делу отечественной буржуазии.</w:t>
      </w:r>
    </w:p>
    <w:p w14:paraId="6B5ED0A0" w14:textId="77777777" w:rsidR="000226B5" w:rsidRPr="00405303" w:rsidRDefault="000226B5" w:rsidP="00C15251">
      <w:pPr>
        <w:pStyle w:val="ae"/>
        <w:spacing w:before="0" w:beforeAutospacing="0" w:after="0" w:afterAutospacing="0"/>
        <w:jc w:val="both"/>
        <w:rPr>
          <w:bCs/>
          <w:color w:val="002060"/>
          <w:sz w:val="16"/>
          <w:szCs w:val="16"/>
        </w:rPr>
      </w:pPr>
      <w:r w:rsidRPr="00405303">
        <w:rPr>
          <w:bCs/>
          <w:color w:val="002060"/>
          <w:sz w:val="16"/>
          <w:szCs w:val="16"/>
        </w:rPr>
        <w:t>Наконец, Совет съездов выдвинул предложение создать Особое совещание, в руках которого и сосредоточить все дело распределения заказов. Это Совещание должно было состоять из правительственных чиновников «с участием представителей промышленных организаций» и располагать широкими полномочиями как в распределении заказов, так и в вопросах технических условий производства. Буржуазия предлагала правительству лояльное сотрудничество, выговаривая для себя второстепенную роль.</w:t>
      </w:r>
    </w:p>
    <w:p w14:paraId="2F768130" w14:textId="77777777" w:rsidR="000226B5" w:rsidRPr="00405303" w:rsidRDefault="000226B5" w:rsidP="00C15251">
      <w:pPr>
        <w:pStyle w:val="ae"/>
        <w:spacing w:before="0" w:beforeAutospacing="0" w:after="0" w:afterAutospacing="0"/>
        <w:jc w:val="both"/>
        <w:rPr>
          <w:bCs/>
          <w:color w:val="002060"/>
          <w:sz w:val="16"/>
          <w:szCs w:val="16"/>
        </w:rPr>
      </w:pPr>
      <w:r w:rsidRPr="00405303">
        <w:rPr>
          <w:bCs/>
          <w:color w:val="002060"/>
          <w:sz w:val="16"/>
          <w:szCs w:val="16"/>
        </w:rPr>
        <w:t>Однако ни В. А. Сухомлинов, ни правительство в целом не приняли протянутой буржуазией руки помощи, хотя самое предложение о создании какого-то органа, которому следовало подчинить Главное артиллерийское управление, не являлось неожиданным. Ставка лелеяла мысль подчинить ГАУ прямо верховному главнокомандующему. Предложение об этом исходило от Н. Н. Янушкевича, который спрашивал согласия В. А. Сухомлинова</w:t>
      </w:r>
      <w:bookmarkStart w:id="29" w:name="86r"/>
      <w:bookmarkEnd w:id="29"/>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"86p"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86</w:t>
      </w:r>
      <w:r w:rsidR="00617EB0" w:rsidRPr="00405303">
        <w:rPr>
          <w:bCs/>
          <w:color w:val="002060"/>
          <w:sz w:val="16"/>
          <w:szCs w:val="16"/>
          <w:vertAlign w:val="superscript"/>
        </w:rPr>
        <w:fldChar w:fldCharType="end"/>
      </w:r>
      <w:r w:rsidRPr="00405303">
        <w:rPr>
          <w:bCs/>
          <w:color w:val="002060"/>
          <w:sz w:val="16"/>
          <w:szCs w:val="16"/>
        </w:rPr>
        <w:t>. Н. Н. Янушкевич предлагал создать специальный орган, ведающий артиллерийским снабжением, во главе не с вел. кн. Сергеем Михайловичем, а с Маниковским «из сведущих энергичных артиллеристов-французов, подчиненный Ставке»</w:t>
      </w:r>
      <w:bookmarkStart w:id="30" w:name="87r"/>
      <w:bookmarkEnd w:id="30"/>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"87p"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87</w:t>
      </w:r>
      <w:r w:rsidR="00617EB0" w:rsidRPr="00405303">
        <w:rPr>
          <w:bCs/>
          <w:color w:val="002060"/>
          <w:sz w:val="16"/>
          <w:szCs w:val="16"/>
          <w:vertAlign w:val="superscript"/>
        </w:rPr>
        <w:fldChar w:fldCharType="end"/>
      </w:r>
      <w:r w:rsidRPr="00405303">
        <w:rPr>
          <w:bCs/>
          <w:color w:val="002060"/>
          <w:sz w:val="16"/>
          <w:szCs w:val="16"/>
        </w:rPr>
        <w:t>. Этот орган мог предписывать ГАУ свои требования. Н. Н. Янушкевич мечтал о возможности поднять производство снарядов хотя бы на 40—50% и не особенно надеялся на В. А. Сухомлинова. Настаивая на создании комиссии, подчиненной верховному главнокомандующему, Ставка вела интригу и против В. А. Сухомлинова и против вел. кн. Сергея Михайловича — инспектора артиллерии (18524).</w:t>
      </w:r>
    </w:p>
    <w:p w14:paraId="7046DA0A" w14:textId="77777777" w:rsidR="000226B5" w:rsidRPr="00405303" w:rsidRDefault="000226B5" w:rsidP="00C15251">
      <w:pPr>
        <w:pStyle w:val="ae"/>
        <w:spacing w:before="0" w:beforeAutospacing="0" w:after="0" w:afterAutospacing="0"/>
        <w:jc w:val="both"/>
        <w:rPr>
          <w:bCs/>
          <w:color w:val="002060"/>
          <w:sz w:val="16"/>
          <w:szCs w:val="16"/>
        </w:rPr>
      </w:pPr>
    </w:p>
    <w:p w14:paraId="69279609" w14:textId="77777777" w:rsidR="000226B5" w:rsidRPr="00405303" w:rsidRDefault="000226B5" w:rsidP="00C15251">
      <w:pPr>
        <w:pStyle w:val="ae"/>
        <w:spacing w:before="0" w:beforeAutospacing="0" w:after="0" w:afterAutospacing="0"/>
        <w:jc w:val="both"/>
        <w:rPr>
          <w:bCs/>
          <w:color w:val="002060"/>
          <w:sz w:val="16"/>
          <w:szCs w:val="16"/>
        </w:rPr>
      </w:pPr>
      <w:r w:rsidRPr="00405303">
        <w:rPr>
          <w:bCs/>
          <w:color w:val="002060"/>
          <w:sz w:val="16"/>
          <w:szCs w:val="16"/>
        </w:rPr>
        <w:t>В январе 1915 г. Е. К. Смысловским Н. Н. Янушкевичу на совещании в Ставке говорилось о производстве 100 млн. патронов, которые удовлетворяли от ½ до ⅔ потребности армии, однако, 50 млн. ожидаемого производства составляло от ¼ до ⅓ потребности (18524).</w:t>
      </w:r>
    </w:p>
    <w:p w14:paraId="2EB3C065" w14:textId="77777777" w:rsidR="000226B5" w:rsidRPr="00405303" w:rsidRDefault="000226B5" w:rsidP="00C15251">
      <w:pPr>
        <w:pStyle w:val="ae"/>
        <w:spacing w:before="0" w:beforeAutospacing="0" w:after="0" w:afterAutospacing="0"/>
        <w:jc w:val="both"/>
        <w:rPr>
          <w:bCs/>
          <w:color w:val="002060"/>
          <w:sz w:val="16"/>
          <w:szCs w:val="16"/>
        </w:rPr>
      </w:pPr>
    </w:p>
    <w:p w14:paraId="40E8B67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январе 1915 г. выяснилась потребность в заказе до 6500 76-мм полевых пушек, из которых 3500 орудий были заказаны существовавшим русским пушечным заводам на полную их производительность, а для заказа остальных 3.000 пушек принимались разные неудачные меры при посредничестве А. И. Гучкова и других "общественных деятелей". Между прочим, предполагали все 3.000 пушек заказать частному заводу царицынской группы, устраиваемому при посредстве английской фирмы Виккерса. </w:t>
      </w:r>
    </w:p>
    <w:p w14:paraId="3AACA98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Только после печальных опытов, когда даже поверяющим ведомствам стало ясно, что такие предметы, как современные артиллерийские орудия, нельзя готовить даже на наиболее мощных механических и металлургических заводах пришли, наконец, к позднему сознанию о необходимости постройки специального орудийного завода. Но и тут не могли вполне отрешиться от прежнего взгляда и пойти на постройку действительно мощного орудийного завода в масштабе требований современной войны, достаточно показавшей уже свое лицо за 2,5 года, а также ввиду тех исключительных затруднений и унижений, с какими союзники давали нам крохи от своих Виккерсов и Шнейдеров. Казалось бы, что уже после всего этого можно было оставить политику государственного скопидомства, принесшего такие ужасные плоды. Тем не менее и в данном случае решение было принято половинчатое: ГАУ было разрешено внести проект постройки нового завода лишь в целях "переноса и расширения" имевшегося в распоряжении ГАУ орудийного завода, но без самостоятельного литья и ковки. </w:t>
      </w:r>
    </w:p>
    <w:p w14:paraId="0CF17A8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Препятствием к постановке вопроса во всей его широте являлись все те же сакраментальные соображения поверяющих ведомств о том, что: а) для текущей войны этот завод не послужит; б) постройка его в условиях войны обойдется значительно дороже, чем в мирное время; в) при постройке завода, могущего послужить лишь в "будущем", будут отняты от "настоящего" рабочие, материалы и транспорт. </w:t>
      </w:r>
    </w:p>
    <w:p w14:paraId="26F5C9D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Месячная производительность будущего (расширенного) завода определялась отделкой 247 орудий следующих калибров: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5097"/>
        <w:gridCol w:w="1132"/>
      </w:tblGrid>
      <w:tr w:rsidR="004B4E35" w:rsidRPr="00405303" w14:paraId="7CD32503" w14:textId="77777777">
        <w:trPr>
          <w:jc w:val="center"/>
        </w:trPr>
        <w:tc>
          <w:tcPr>
            <w:tcW w:w="5097" w:type="dxa"/>
          </w:tcPr>
          <w:p w14:paraId="3E4CCCD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76-мм (3-дм.) обр. 1902 г. </w:t>
            </w:r>
          </w:p>
        </w:tc>
        <w:tc>
          <w:tcPr>
            <w:tcW w:w="1132" w:type="dxa"/>
          </w:tcPr>
          <w:p w14:paraId="235B337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120 </w:t>
            </w:r>
          </w:p>
        </w:tc>
      </w:tr>
      <w:tr w:rsidR="004B4E35" w:rsidRPr="00405303" w14:paraId="7F025071" w14:textId="77777777">
        <w:trPr>
          <w:jc w:val="center"/>
        </w:trPr>
        <w:tc>
          <w:tcPr>
            <w:tcW w:w="5097" w:type="dxa"/>
          </w:tcPr>
          <w:p w14:paraId="4B3FE5C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76-мм (3-дм.) горных обр. 1909 г. </w:t>
            </w:r>
          </w:p>
        </w:tc>
        <w:tc>
          <w:tcPr>
            <w:tcW w:w="1132" w:type="dxa"/>
          </w:tcPr>
          <w:p w14:paraId="6D5F606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40 </w:t>
            </w:r>
          </w:p>
        </w:tc>
      </w:tr>
      <w:tr w:rsidR="004B4E35" w:rsidRPr="00405303" w14:paraId="34512797" w14:textId="77777777">
        <w:trPr>
          <w:jc w:val="center"/>
        </w:trPr>
        <w:tc>
          <w:tcPr>
            <w:tcW w:w="5097" w:type="dxa"/>
          </w:tcPr>
          <w:p w14:paraId="16D4F72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107-мм (42-лин.) пушек обр. 1910 г. </w:t>
            </w:r>
          </w:p>
        </w:tc>
        <w:tc>
          <w:tcPr>
            <w:tcW w:w="1132" w:type="dxa"/>
          </w:tcPr>
          <w:p w14:paraId="031AC05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25 </w:t>
            </w:r>
          </w:p>
        </w:tc>
      </w:tr>
      <w:tr w:rsidR="004B4E35" w:rsidRPr="00405303" w14:paraId="6A1D15F3" w14:textId="77777777">
        <w:trPr>
          <w:jc w:val="center"/>
        </w:trPr>
        <w:tc>
          <w:tcPr>
            <w:tcW w:w="5097" w:type="dxa"/>
          </w:tcPr>
          <w:p w14:paraId="286893D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122-мм (48-лин.) гаубиц обр. 1910 г. </w:t>
            </w:r>
          </w:p>
        </w:tc>
        <w:tc>
          <w:tcPr>
            <w:tcW w:w="1132" w:type="dxa"/>
          </w:tcPr>
          <w:p w14:paraId="4EFD651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25 </w:t>
            </w:r>
          </w:p>
        </w:tc>
      </w:tr>
      <w:tr w:rsidR="004B4E35" w:rsidRPr="00405303" w14:paraId="14B82558" w14:textId="77777777">
        <w:trPr>
          <w:jc w:val="center"/>
        </w:trPr>
        <w:tc>
          <w:tcPr>
            <w:tcW w:w="5097" w:type="dxa"/>
          </w:tcPr>
          <w:p w14:paraId="78DFF44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152-мм (6-дм.) гаубиц обр. 1910 г. </w:t>
            </w:r>
          </w:p>
        </w:tc>
        <w:tc>
          <w:tcPr>
            <w:tcW w:w="1132" w:type="dxa"/>
          </w:tcPr>
          <w:p w14:paraId="42AA277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25 </w:t>
            </w:r>
          </w:p>
        </w:tc>
      </w:tr>
      <w:tr w:rsidR="004B4E35" w:rsidRPr="00405303" w14:paraId="29F9E4F5" w14:textId="77777777">
        <w:trPr>
          <w:jc w:val="center"/>
        </w:trPr>
        <w:tc>
          <w:tcPr>
            <w:tcW w:w="5097" w:type="dxa"/>
          </w:tcPr>
          <w:p w14:paraId="777D6E2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152-мм (6-дм.) креп. Скоростр. пушек обр. 1909 г. </w:t>
            </w:r>
          </w:p>
        </w:tc>
        <w:tc>
          <w:tcPr>
            <w:tcW w:w="1132" w:type="dxa"/>
          </w:tcPr>
          <w:p w14:paraId="21F75EB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8 </w:t>
            </w:r>
          </w:p>
        </w:tc>
      </w:tr>
      <w:tr w:rsidR="004B4E35" w:rsidRPr="00405303" w14:paraId="6232CFBB" w14:textId="77777777">
        <w:trPr>
          <w:jc w:val="center"/>
        </w:trPr>
        <w:tc>
          <w:tcPr>
            <w:tcW w:w="5097" w:type="dxa"/>
          </w:tcPr>
          <w:p w14:paraId="72D1473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203-мм (8-дм.) гаубиц </w:t>
            </w:r>
          </w:p>
        </w:tc>
        <w:tc>
          <w:tcPr>
            <w:tcW w:w="1132" w:type="dxa"/>
          </w:tcPr>
          <w:p w14:paraId="61A7173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4 </w:t>
            </w:r>
          </w:p>
        </w:tc>
      </w:tr>
      <w:tr w:rsidR="004B4E35" w:rsidRPr="00405303" w14:paraId="1F980522" w14:textId="77777777">
        <w:trPr>
          <w:jc w:val="center"/>
        </w:trPr>
        <w:tc>
          <w:tcPr>
            <w:tcW w:w="5097" w:type="dxa"/>
          </w:tcPr>
          <w:p w14:paraId="5258139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Итого </w:t>
            </w:r>
          </w:p>
        </w:tc>
        <w:tc>
          <w:tcPr>
            <w:tcW w:w="1132" w:type="dxa"/>
          </w:tcPr>
          <w:p w14:paraId="17F4A62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247 </w:t>
            </w:r>
          </w:p>
        </w:tc>
      </w:tr>
    </w:tbl>
    <w:p w14:paraId="2609BBB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Как видно из этой программы, новый завод был рассчитан на ничтожное количество 152-мм пушек и 203-м гаубиц и совершенно не предназначен готовить более крупные калибры - до 305-мм, не говоря уже о 355 и 406-мм, без которых был немыслим никакой ТАОН. Таким образом, снабжение армии самыми могущественными орудиями было оставлено на волю случайности. </w:t>
      </w:r>
    </w:p>
    <w:p w14:paraId="5E728D6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Кроме того, Н-скому заводу и впредь суждено было жить на чужих поковках. </w:t>
      </w:r>
    </w:p>
    <w:p w14:paraId="6BA79E4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Местом для завода был избран находящийся на Волге крупный и благоустроенный центр. </w:t>
      </w:r>
    </w:p>
    <w:p w14:paraId="186FFF4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Постройку и оборудование предположено было закончить в 2,5 года. Начаться постройка должна была весной 1917 г., но так и не началась (11483).</w:t>
      </w:r>
    </w:p>
    <w:p w14:paraId="1BA13FCE" w14:textId="77777777" w:rsidR="004B4E35" w:rsidRPr="00405303" w:rsidRDefault="004B4E35" w:rsidP="00C15251">
      <w:pPr>
        <w:pStyle w:val="a3"/>
        <w:jc w:val="both"/>
        <w:rPr>
          <w:bCs/>
          <w:i w:val="0"/>
          <w:color w:val="002060"/>
          <w:spacing w:val="0"/>
          <w:kern w:val="0"/>
          <w:position w:val="0"/>
          <w:sz w:val="16"/>
          <w:szCs w:val="16"/>
        </w:rPr>
      </w:pPr>
    </w:p>
    <w:p w14:paraId="141982BA" w14:textId="37CFCF01" w:rsidR="004B4E35" w:rsidRPr="00405303" w:rsidRDefault="00501A0A" w:rsidP="00C15251">
      <w:pPr>
        <w:jc w:val="both"/>
        <w:rPr>
          <w:bCs/>
          <w:color w:val="002060"/>
          <w:sz w:val="16"/>
          <w:szCs w:val="16"/>
        </w:rPr>
      </w:pPr>
      <w:r w:rsidRPr="00405303">
        <w:rPr>
          <w:bCs/>
          <w:color w:val="002060"/>
          <w:sz w:val="16"/>
          <w:szCs w:val="16"/>
        </w:rPr>
        <w:t>С</w:t>
      </w:r>
      <w:r w:rsidR="009E6F82" w:rsidRPr="00405303">
        <w:rPr>
          <w:bCs/>
          <w:color w:val="002060"/>
          <w:sz w:val="16"/>
          <w:szCs w:val="16"/>
        </w:rPr>
        <w:t xml:space="preserve"> января 1915 года</w:t>
      </w:r>
      <w:r w:rsidRPr="00405303">
        <w:rPr>
          <w:bCs/>
          <w:color w:val="002060"/>
          <w:sz w:val="16"/>
          <w:szCs w:val="16"/>
        </w:rPr>
        <w:t>, как и в других оружейных заводах, на Ижевском заводе началась интенсивная работа</w:t>
      </w:r>
      <w:r w:rsidR="009E6F82" w:rsidRPr="00405303">
        <w:rPr>
          <w:bCs/>
          <w:color w:val="002060"/>
          <w:sz w:val="16"/>
          <w:szCs w:val="16"/>
        </w:rPr>
        <w:t xml:space="preserve">. Методы форсировки применялись те же, которые описаны выше: трехсменная работа, работа в праздники и воскресные дни, увеличение скорости резания и подачи и проч. Одним из мероприятий, оказавших существенное влияние на производительность, было введение прогрессивных расценок по отдельным цехам и переходам и премии по выпуску готовых изделий. </w:t>
      </w:r>
    </w:p>
    <w:p w14:paraId="31B8D896" w14:textId="77777777" w:rsidR="004B4E35" w:rsidRPr="00405303" w:rsidRDefault="009E6F82" w:rsidP="00C15251">
      <w:pPr>
        <w:jc w:val="both"/>
        <w:rPr>
          <w:bCs/>
          <w:color w:val="002060"/>
          <w:sz w:val="16"/>
          <w:szCs w:val="16"/>
        </w:rPr>
      </w:pPr>
      <w:r w:rsidRPr="00405303">
        <w:rPr>
          <w:bCs/>
          <w:color w:val="002060"/>
          <w:sz w:val="16"/>
          <w:szCs w:val="16"/>
        </w:rPr>
        <w:t xml:space="preserve">Попутно с форсировкой производства Ижевский завод принял интенсивные меры к увеличению мощности оборудования. Станки и механизмы заказывались за границей и в некоторой части готовились на Тульском заводе и в ремонтном цехе самого Ижевского завода. Всего для оружейных цехов выписано было более 300 станков. В сталелитейной пущен в ход Мартен в 20 тонн и 4 тигельные печи. В прокатной поставлен стан. В молотовой почти удвоено число молотов и колотушек. По мастерским сверлильно-токарной и очистки стали увеличено значительно число станков. Усилены также и вспомогательные цеха. </w:t>
      </w:r>
    </w:p>
    <w:p w14:paraId="1B59C31E" w14:textId="77777777" w:rsidR="004B4E35" w:rsidRPr="00405303" w:rsidRDefault="009E6F82" w:rsidP="00C15251">
      <w:pPr>
        <w:jc w:val="both"/>
        <w:rPr>
          <w:bCs/>
          <w:color w:val="002060"/>
          <w:sz w:val="16"/>
          <w:szCs w:val="16"/>
        </w:rPr>
      </w:pPr>
      <w:r w:rsidRPr="00405303">
        <w:rPr>
          <w:bCs/>
          <w:color w:val="002060"/>
          <w:sz w:val="16"/>
          <w:szCs w:val="16"/>
        </w:rPr>
        <w:t>Для усиления центральной станции в 1915 г. были поставлены дизель-генераторы, а в 1916—1917 гг. 3 паротурбогенератора по 1000 кВ.</w:t>
      </w:r>
    </w:p>
    <w:p w14:paraId="5D9F1A75" w14:textId="77777777" w:rsidR="004B4E35" w:rsidRPr="00405303" w:rsidRDefault="009E6F82" w:rsidP="00C15251">
      <w:pPr>
        <w:jc w:val="both"/>
        <w:rPr>
          <w:bCs/>
          <w:color w:val="002060"/>
          <w:sz w:val="16"/>
          <w:szCs w:val="16"/>
        </w:rPr>
      </w:pPr>
      <w:r w:rsidRPr="00405303">
        <w:rPr>
          <w:bCs/>
          <w:color w:val="002060"/>
          <w:sz w:val="16"/>
          <w:szCs w:val="16"/>
        </w:rPr>
        <w:t xml:space="preserve">В связи с пополнением оборудования постепенно росла и мощность завода. </w:t>
      </w:r>
    </w:p>
    <w:p w14:paraId="3BC6DC10" w14:textId="77777777" w:rsidR="004B4E35" w:rsidRPr="00405303" w:rsidRDefault="009E6F82" w:rsidP="00C15251">
      <w:pPr>
        <w:jc w:val="both"/>
        <w:rPr>
          <w:bCs/>
          <w:color w:val="002060"/>
          <w:sz w:val="16"/>
          <w:szCs w:val="16"/>
        </w:rPr>
      </w:pPr>
      <w:r w:rsidRPr="00405303">
        <w:rPr>
          <w:bCs/>
          <w:color w:val="002060"/>
          <w:sz w:val="16"/>
          <w:szCs w:val="16"/>
        </w:rPr>
        <w:t xml:space="preserve">Как указано было выше, основное переустройство завода, проектированное в 1907 г., производилось в первые годы войны. К этому периоду относится постройка зданий: механической, сверлильно-токарной, силовой и осветительной станции стального завода, здание печей Сименса, расширение зданий сталелитейной, листопрокатной и молотовой, начало постройки проволочной и ремонтной. </w:t>
      </w:r>
    </w:p>
    <w:p w14:paraId="56F51852" w14:textId="77777777" w:rsidR="004B4E35" w:rsidRPr="00405303" w:rsidRDefault="009E6F82" w:rsidP="00C15251">
      <w:pPr>
        <w:jc w:val="both"/>
        <w:rPr>
          <w:bCs/>
          <w:color w:val="002060"/>
          <w:sz w:val="16"/>
          <w:szCs w:val="16"/>
        </w:rPr>
      </w:pPr>
      <w:r w:rsidRPr="00405303">
        <w:rPr>
          <w:bCs/>
          <w:color w:val="002060"/>
          <w:sz w:val="16"/>
          <w:szCs w:val="16"/>
        </w:rPr>
        <w:t xml:space="preserve">В 1915 г., когда еще далеко не были закончены работы по основному переустройству, была выдвинута программа дополнительного переустройства стального завода, главным образом в части сталелитейной и прокатной, затем в 1916 г. последовало задание второго дополнительного переустройства на крупную сумму 11 млн руб., которое имело в виду большое число новых строительных и механических работ для усиления мощности завода. </w:t>
      </w:r>
    </w:p>
    <w:p w14:paraId="13B2D8B5" w14:textId="77777777" w:rsidR="004B4E35" w:rsidRPr="00405303" w:rsidRDefault="009E6F82" w:rsidP="00C15251">
      <w:pPr>
        <w:jc w:val="both"/>
        <w:rPr>
          <w:bCs/>
          <w:color w:val="002060"/>
          <w:sz w:val="16"/>
          <w:szCs w:val="16"/>
        </w:rPr>
      </w:pPr>
      <w:r w:rsidRPr="00405303">
        <w:rPr>
          <w:bCs/>
          <w:color w:val="002060"/>
          <w:sz w:val="16"/>
          <w:szCs w:val="16"/>
        </w:rPr>
        <w:t>К началу революции по обоим дополнительным переустройствам было сделано сравнительно мало. Основное переустройство в некоторых частях также не было закончено (11329).</w:t>
      </w:r>
    </w:p>
    <w:p w14:paraId="4F306634" w14:textId="77777777" w:rsidR="004B4E35" w:rsidRPr="00405303" w:rsidRDefault="004B4E35" w:rsidP="00C15251">
      <w:pPr>
        <w:pStyle w:val="a3"/>
        <w:jc w:val="both"/>
        <w:rPr>
          <w:bCs/>
          <w:i w:val="0"/>
          <w:color w:val="002060"/>
          <w:spacing w:val="0"/>
          <w:kern w:val="0"/>
          <w:position w:val="0"/>
          <w:sz w:val="16"/>
          <w:szCs w:val="16"/>
        </w:rPr>
      </w:pPr>
    </w:p>
    <w:p w14:paraId="57120FD8" w14:textId="32AA00D0" w:rsidR="004B4E35" w:rsidRPr="00405303" w:rsidRDefault="00501A0A" w:rsidP="00C15251">
      <w:pPr>
        <w:jc w:val="both"/>
        <w:rPr>
          <w:bCs/>
          <w:color w:val="002060"/>
          <w:sz w:val="16"/>
          <w:szCs w:val="16"/>
        </w:rPr>
      </w:pPr>
      <w:r w:rsidRPr="00405303">
        <w:rPr>
          <w:bCs/>
          <w:color w:val="002060"/>
          <w:sz w:val="16"/>
          <w:szCs w:val="16"/>
        </w:rPr>
        <w:t>С</w:t>
      </w:r>
      <w:r w:rsidR="009E6F82" w:rsidRPr="00405303">
        <w:rPr>
          <w:bCs/>
          <w:color w:val="002060"/>
          <w:sz w:val="16"/>
          <w:szCs w:val="16"/>
        </w:rPr>
        <w:t xml:space="preserve"> января 1915 г. </w:t>
      </w:r>
      <w:r w:rsidRPr="00405303">
        <w:rPr>
          <w:bCs/>
          <w:color w:val="002060"/>
          <w:sz w:val="16"/>
          <w:szCs w:val="16"/>
        </w:rPr>
        <w:t xml:space="preserve">ГАУ </w:t>
      </w:r>
      <w:proofErr w:type="gramStart"/>
      <w:r w:rsidR="009E6F82" w:rsidRPr="00405303">
        <w:rPr>
          <w:bCs/>
          <w:color w:val="002060"/>
          <w:sz w:val="16"/>
          <w:szCs w:val="16"/>
        </w:rPr>
        <w:t>по своему</w:t>
      </w:r>
      <w:proofErr w:type="gramEnd"/>
      <w:r w:rsidR="009E6F82" w:rsidRPr="00405303">
        <w:rPr>
          <w:bCs/>
          <w:color w:val="002060"/>
          <w:sz w:val="16"/>
          <w:szCs w:val="16"/>
        </w:rPr>
        <w:t xml:space="preserve"> же почину стало форсировать производство пулеметов. Если принять выпуск февраля 1915 г. за единицу, то к декабрю этого года он выражался цифрой 2, к маю 1916 г. — 3,5 и к декабрю 1916 г. — 5. </w:t>
      </w:r>
    </w:p>
    <w:p w14:paraId="6AF6C71B" w14:textId="77777777" w:rsidR="004B4E35" w:rsidRPr="00405303" w:rsidRDefault="009E6F82" w:rsidP="00C15251">
      <w:pPr>
        <w:jc w:val="both"/>
        <w:rPr>
          <w:bCs/>
          <w:color w:val="002060"/>
          <w:sz w:val="16"/>
          <w:szCs w:val="16"/>
        </w:rPr>
      </w:pPr>
      <w:r w:rsidRPr="00405303">
        <w:rPr>
          <w:bCs/>
          <w:color w:val="002060"/>
          <w:sz w:val="16"/>
          <w:szCs w:val="16"/>
        </w:rPr>
        <w:t xml:space="preserve">Этот темп разворачивания производства пулеметов на Тульском заводе нужно признать предельным, так как завод вел работу с исключительным напряжением, с одной стороны, форсируя технологические процессы, а с другой — усиливая оборудование. Большего выжать из завода было нельзя. </w:t>
      </w:r>
    </w:p>
    <w:p w14:paraId="18413765" w14:textId="77777777" w:rsidR="004B4E35" w:rsidRPr="00405303" w:rsidRDefault="009E6F82" w:rsidP="00C15251">
      <w:pPr>
        <w:jc w:val="both"/>
        <w:rPr>
          <w:bCs/>
          <w:color w:val="002060"/>
          <w:sz w:val="16"/>
          <w:szCs w:val="16"/>
        </w:rPr>
      </w:pPr>
      <w:r w:rsidRPr="00405303">
        <w:rPr>
          <w:bCs/>
          <w:color w:val="002060"/>
          <w:sz w:val="16"/>
          <w:szCs w:val="16"/>
        </w:rPr>
        <w:t>Что касается потребности в пулеметах, то цифра 800 шт. в месяц, указанная выше, была увеличена в августе 1915 г. до 1000 шт. в месяц, в сентябре того же года до 2078 шт. в месяц, а к 1 января 1916 г. она уже оказалась 4990. Таким образам, сентябрьская цифра потребности почти вдвое превысила тот максимум, 1200 шт., который мог дать Тульский завод, а январская — в 5 раз. Дефицит в пулеметах пришлось пополнять заграничными заказами, принимая на вооружение армии без особого разбора все системы, какие возможно было получить, — Кольта, Льюиса, Гочкиса, Шоша и др. (11329)</w:t>
      </w:r>
    </w:p>
    <w:p w14:paraId="18F6D66A" w14:textId="77777777" w:rsidR="004B4E35" w:rsidRPr="00405303" w:rsidRDefault="004B4E35" w:rsidP="00C15251">
      <w:pPr>
        <w:shd w:val="clear" w:color="auto" w:fill="FFFFFF"/>
        <w:jc w:val="both"/>
        <w:rPr>
          <w:bCs/>
          <w:i/>
          <w:color w:val="002060"/>
          <w:sz w:val="16"/>
          <w:szCs w:val="16"/>
        </w:rPr>
      </w:pPr>
    </w:p>
    <w:p w14:paraId="508C673D" w14:textId="23A1E357" w:rsidR="004B4E35" w:rsidRPr="00405303" w:rsidRDefault="00501A0A" w:rsidP="00C15251">
      <w:pPr>
        <w:jc w:val="both"/>
        <w:rPr>
          <w:bCs/>
          <w:color w:val="002060"/>
          <w:sz w:val="16"/>
          <w:szCs w:val="16"/>
        </w:rPr>
      </w:pPr>
      <w:r w:rsidRPr="00405303">
        <w:rPr>
          <w:bCs/>
          <w:color w:val="002060"/>
          <w:sz w:val="16"/>
          <w:szCs w:val="16"/>
        </w:rPr>
        <w:t>С</w:t>
      </w:r>
      <w:r w:rsidR="009E6F82" w:rsidRPr="00405303">
        <w:rPr>
          <w:bCs/>
          <w:color w:val="002060"/>
          <w:sz w:val="16"/>
          <w:szCs w:val="16"/>
        </w:rPr>
        <w:t xml:space="preserve"> января 1915 г.</w:t>
      </w:r>
      <w:r w:rsidRPr="00405303">
        <w:rPr>
          <w:bCs/>
          <w:color w:val="002060"/>
          <w:sz w:val="16"/>
          <w:szCs w:val="16"/>
        </w:rPr>
        <w:t xml:space="preserve"> завод начал форсировать производство только тогда</w:t>
      </w:r>
      <w:r w:rsidR="009E6F82" w:rsidRPr="00405303">
        <w:rPr>
          <w:bCs/>
          <w:color w:val="002060"/>
          <w:sz w:val="16"/>
          <w:szCs w:val="16"/>
        </w:rPr>
        <w:t xml:space="preserve">, когда на этот счет было получено от ГАУ категорическое указание. Работа велась в две смены. Форсировка шла за счет увеличения длительности смен: первая — 13 часов и вторая — 9 часов, и увеличения числа рабочих дней до 350 в году. Вместе с тем велось энергичное усиление оборудования завода и увеличение пропускной его способности. В соответствии с этим возводились новые постройки. </w:t>
      </w:r>
    </w:p>
    <w:p w14:paraId="35617AFC" w14:textId="77777777" w:rsidR="004B4E35" w:rsidRPr="00405303" w:rsidRDefault="009E6F82" w:rsidP="00C15251">
      <w:pPr>
        <w:jc w:val="both"/>
        <w:rPr>
          <w:bCs/>
          <w:color w:val="002060"/>
          <w:sz w:val="16"/>
          <w:szCs w:val="16"/>
        </w:rPr>
      </w:pPr>
      <w:r w:rsidRPr="00405303">
        <w:rPr>
          <w:bCs/>
          <w:color w:val="002060"/>
          <w:sz w:val="16"/>
          <w:szCs w:val="16"/>
        </w:rPr>
        <w:t>За время войны выпуск патронов с петроградского Патронного завода выражается в следующих цифрах (млн шт.):</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32"/>
        <w:gridCol w:w="2472"/>
        <w:gridCol w:w="816"/>
      </w:tblGrid>
      <w:tr w:rsidR="004B4E35" w:rsidRPr="00405303" w14:paraId="3CE6D021" w14:textId="77777777">
        <w:tc>
          <w:tcPr>
            <w:tcW w:w="1332" w:type="dxa"/>
          </w:tcPr>
          <w:p w14:paraId="77B7D7A1" w14:textId="3D04084C" w:rsidR="004B4E35" w:rsidRPr="00405303" w:rsidRDefault="00DB4D64" w:rsidP="00C15251">
            <w:pPr>
              <w:jc w:val="both"/>
              <w:rPr>
                <w:bCs/>
                <w:color w:val="002060"/>
                <w:sz w:val="16"/>
                <w:szCs w:val="16"/>
              </w:rPr>
            </w:pPr>
            <w:r w:rsidRPr="00405303">
              <w:rPr>
                <w:bCs/>
                <w:color w:val="002060"/>
                <w:sz w:val="16"/>
                <w:szCs w:val="16"/>
              </w:rPr>
              <w:t xml:space="preserve"> </w:t>
            </w:r>
          </w:p>
        </w:tc>
        <w:tc>
          <w:tcPr>
            <w:tcW w:w="2472" w:type="dxa"/>
          </w:tcPr>
          <w:p w14:paraId="62D843A2" w14:textId="77777777" w:rsidR="004B4E35" w:rsidRPr="00405303" w:rsidRDefault="009E6F82" w:rsidP="00C15251">
            <w:pPr>
              <w:jc w:val="both"/>
              <w:rPr>
                <w:bCs/>
                <w:color w:val="002060"/>
                <w:sz w:val="16"/>
                <w:szCs w:val="16"/>
              </w:rPr>
            </w:pPr>
            <w:r w:rsidRPr="00405303">
              <w:rPr>
                <w:bCs/>
                <w:color w:val="002060"/>
                <w:sz w:val="16"/>
                <w:szCs w:val="16"/>
              </w:rPr>
              <w:t xml:space="preserve">Январь — июнь 1914 г. </w:t>
            </w:r>
          </w:p>
        </w:tc>
        <w:tc>
          <w:tcPr>
            <w:tcW w:w="816" w:type="dxa"/>
          </w:tcPr>
          <w:p w14:paraId="1DA77957" w14:textId="77777777" w:rsidR="004B4E35" w:rsidRPr="00405303" w:rsidRDefault="009E6F82" w:rsidP="00C15251">
            <w:pPr>
              <w:jc w:val="both"/>
              <w:rPr>
                <w:bCs/>
                <w:color w:val="002060"/>
                <w:sz w:val="16"/>
                <w:szCs w:val="16"/>
              </w:rPr>
            </w:pPr>
            <w:r w:rsidRPr="00405303">
              <w:rPr>
                <w:bCs/>
                <w:color w:val="002060"/>
                <w:sz w:val="16"/>
                <w:szCs w:val="16"/>
              </w:rPr>
              <w:t>134,7</w:t>
            </w:r>
          </w:p>
        </w:tc>
      </w:tr>
      <w:tr w:rsidR="004B4E35" w:rsidRPr="00405303" w14:paraId="51693FA0" w14:textId="77777777">
        <w:tc>
          <w:tcPr>
            <w:tcW w:w="1332" w:type="dxa"/>
          </w:tcPr>
          <w:p w14:paraId="7DCB4D70" w14:textId="654EC6FC" w:rsidR="004B4E35" w:rsidRPr="00405303" w:rsidRDefault="00DB4D64" w:rsidP="00C15251">
            <w:pPr>
              <w:jc w:val="both"/>
              <w:rPr>
                <w:bCs/>
                <w:color w:val="002060"/>
                <w:sz w:val="16"/>
                <w:szCs w:val="16"/>
              </w:rPr>
            </w:pPr>
            <w:r w:rsidRPr="00405303">
              <w:rPr>
                <w:bCs/>
                <w:color w:val="002060"/>
                <w:sz w:val="16"/>
                <w:szCs w:val="16"/>
              </w:rPr>
              <w:t xml:space="preserve"> </w:t>
            </w:r>
          </w:p>
        </w:tc>
        <w:tc>
          <w:tcPr>
            <w:tcW w:w="2472" w:type="dxa"/>
          </w:tcPr>
          <w:p w14:paraId="7B66BE84" w14:textId="77777777" w:rsidR="004B4E35" w:rsidRPr="00405303" w:rsidRDefault="009E6F82" w:rsidP="00C15251">
            <w:pPr>
              <w:jc w:val="both"/>
              <w:rPr>
                <w:bCs/>
                <w:color w:val="002060"/>
                <w:sz w:val="16"/>
                <w:szCs w:val="16"/>
              </w:rPr>
            </w:pPr>
            <w:r w:rsidRPr="00405303">
              <w:rPr>
                <w:bCs/>
                <w:color w:val="002060"/>
                <w:sz w:val="16"/>
                <w:szCs w:val="16"/>
              </w:rPr>
              <w:t>Июль — декабрь</w:t>
            </w:r>
          </w:p>
        </w:tc>
        <w:tc>
          <w:tcPr>
            <w:tcW w:w="816" w:type="dxa"/>
          </w:tcPr>
          <w:p w14:paraId="2FA7BF79" w14:textId="77777777" w:rsidR="004B4E35" w:rsidRPr="00405303" w:rsidRDefault="009E6F82" w:rsidP="00C15251">
            <w:pPr>
              <w:jc w:val="both"/>
              <w:rPr>
                <w:bCs/>
                <w:color w:val="002060"/>
                <w:sz w:val="16"/>
                <w:szCs w:val="16"/>
              </w:rPr>
            </w:pPr>
            <w:r w:rsidRPr="00405303">
              <w:rPr>
                <w:bCs/>
                <w:color w:val="002060"/>
                <w:sz w:val="16"/>
                <w:szCs w:val="16"/>
              </w:rPr>
              <w:t>156,9</w:t>
            </w:r>
          </w:p>
        </w:tc>
      </w:tr>
      <w:tr w:rsidR="004B4E35" w:rsidRPr="00405303" w14:paraId="16A0CDBF" w14:textId="77777777">
        <w:tc>
          <w:tcPr>
            <w:tcW w:w="1332" w:type="dxa"/>
          </w:tcPr>
          <w:p w14:paraId="4DBABF95" w14:textId="6D472176" w:rsidR="004B4E35" w:rsidRPr="00405303" w:rsidRDefault="00DB4D64" w:rsidP="00C15251">
            <w:pPr>
              <w:jc w:val="both"/>
              <w:rPr>
                <w:bCs/>
                <w:color w:val="002060"/>
                <w:sz w:val="16"/>
                <w:szCs w:val="16"/>
              </w:rPr>
            </w:pPr>
            <w:r w:rsidRPr="00405303">
              <w:rPr>
                <w:bCs/>
                <w:color w:val="002060"/>
                <w:sz w:val="16"/>
                <w:szCs w:val="16"/>
              </w:rPr>
              <w:t xml:space="preserve"> </w:t>
            </w:r>
          </w:p>
        </w:tc>
        <w:tc>
          <w:tcPr>
            <w:tcW w:w="2472" w:type="dxa"/>
          </w:tcPr>
          <w:p w14:paraId="10548488" w14:textId="77777777" w:rsidR="004B4E35" w:rsidRPr="00405303" w:rsidRDefault="009E6F82" w:rsidP="00C15251">
            <w:pPr>
              <w:jc w:val="both"/>
              <w:rPr>
                <w:bCs/>
                <w:color w:val="002060"/>
                <w:sz w:val="16"/>
                <w:szCs w:val="16"/>
              </w:rPr>
            </w:pPr>
            <w:r w:rsidRPr="00405303">
              <w:rPr>
                <w:bCs/>
                <w:color w:val="002060"/>
                <w:sz w:val="16"/>
                <w:szCs w:val="16"/>
              </w:rPr>
              <w:t>1915 г.</w:t>
            </w:r>
          </w:p>
        </w:tc>
        <w:tc>
          <w:tcPr>
            <w:tcW w:w="816" w:type="dxa"/>
          </w:tcPr>
          <w:p w14:paraId="156D213D" w14:textId="77777777" w:rsidR="004B4E35" w:rsidRPr="00405303" w:rsidRDefault="009E6F82" w:rsidP="00C15251">
            <w:pPr>
              <w:jc w:val="both"/>
              <w:rPr>
                <w:bCs/>
                <w:color w:val="002060"/>
                <w:sz w:val="16"/>
                <w:szCs w:val="16"/>
              </w:rPr>
            </w:pPr>
            <w:r w:rsidRPr="00405303">
              <w:rPr>
                <w:bCs/>
                <w:color w:val="002060"/>
                <w:sz w:val="16"/>
                <w:szCs w:val="16"/>
              </w:rPr>
              <w:t>436,5</w:t>
            </w:r>
          </w:p>
        </w:tc>
      </w:tr>
      <w:tr w:rsidR="004B4E35" w:rsidRPr="00405303" w14:paraId="1B4216D4" w14:textId="77777777">
        <w:tc>
          <w:tcPr>
            <w:tcW w:w="1332" w:type="dxa"/>
          </w:tcPr>
          <w:p w14:paraId="3201CEC9" w14:textId="709ED4B7" w:rsidR="004B4E35" w:rsidRPr="00405303" w:rsidRDefault="00DB4D64" w:rsidP="00C15251">
            <w:pPr>
              <w:jc w:val="both"/>
              <w:rPr>
                <w:bCs/>
                <w:color w:val="002060"/>
                <w:sz w:val="16"/>
                <w:szCs w:val="16"/>
              </w:rPr>
            </w:pPr>
            <w:r w:rsidRPr="00405303">
              <w:rPr>
                <w:bCs/>
                <w:color w:val="002060"/>
                <w:sz w:val="16"/>
                <w:szCs w:val="16"/>
              </w:rPr>
              <w:t xml:space="preserve"> </w:t>
            </w:r>
          </w:p>
        </w:tc>
        <w:tc>
          <w:tcPr>
            <w:tcW w:w="2472" w:type="dxa"/>
          </w:tcPr>
          <w:p w14:paraId="0A66C9EB" w14:textId="77777777" w:rsidR="004B4E35" w:rsidRPr="00405303" w:rsidRDefault="009E6F82" w:rsidP="00C15251">
            <w:pPr>
              <w:jc w:val="both"/>
              <w:rPr>
                <w:bCs/>
                <w:color w:val="002060"/>
                <w:sz w:val="16"/>
                <w:szCs w:val="16"/>
              </w:rPr>
            </w:pPr>
            <w:r w:rsidRPr="00405303">
              <w:rPr>
                <w:bCs/>
                <w:color w:val="002060"/>
                <w:sz w:val="16"/>
                <w:szCs w:val="16"/>
              </w:rPr>
              <w:t>1916 г.</w:t>
            </w:r>
          </w:p>
        </w:tc>
        <w:tc>
          <w:tcPr>
            <w:tcW w:w="816" w:type="dxa"/>
          </w:tcPr>
          <w:p w14:paraId="245CE822" w14:textId="77777777" w:rsidR="004B4E35" w:rsidRPr="00405303" w:rsidRDefault="009E6F82" w:rsidP="00C15251">
            <w:pPr>
              <w:jc w:val="both"/>
              <w:rPr>
                <w:bCs/>
                <w:color w:val="002060"/>
                <w:sz w:val="16"/>
                <w:szCs w:val="16"/>
              </w:rPr>
            </w:pPr>
            <w:r w:rsidRPr="00405303">
              <w:rPr>
                <w:bCs/>
                <w:color w:val="002060"/>
                <w:sz w:val="16"/>
                <w:szCs w:val="16"/>
              </w:rPr>
              <w:t>623,3</w:t>
            </w:r>
          </w:p>
        </w:tc>
      </w:tr>
      <w:tr w:rsidR="004B4E35" w:rsidRPr="00405303" w14:paraId="44E27189" w14:textId="77777777">
        <w:tc>
          <w:tcPr>
            <w:tcW w:w="1332" w:type="dxa"/>
          </w:tcPr>
          <w:p w14:paraId="51727884" w14:textId="54E891CE" w:rsidR="004B4E35" w:rsidRPr="00405303" w:rsidRDefault="00DB4D64" w:rsidP="00C15251">
            <w:pPr>
              <w:jc w:val="both"/>
              <w:rPr>
                <w:bCs/>
                <w:color w:val="002060"/>
                <w:sz w:val="16"/>
                <w:szCs w:val="16"/>
              </w:rPr>
            </w:pPr>
            <w:r w:rsidRPr="00405303">
              <w:rPr>
                <w:bCs/>
                <w:color w:val="002060"/>
                <w:sz w:val="16"/>
                <w:szCs w:val="16"/>
              </w:rPr>
              <w:t xml:space="preserve"> </w:t>
            </w:r>
          </w:p>
        </w:tc>
        <w:tc>
          <w:tcPr>
            <w:tcW w:w="2472" w:type="dxa"/>
          </w:tcPr>
          <w:p w14:paraId="2F862DF4" w14:textId="77777777" w:rsidR="004B4E35" w:rsidRPr="00405303" w:rsidRDefault="009E6F82" w:rsidP="00C15251">
            <w:pPr>
              <w:jc w:val="both"/>
              <w:rPr>
                <w:bCs/>
                <w:color w:val="002060"/>
                <w:sz w:val="16"/>
                <w:szCs w:val="16"/>
              </w:rPr>
            </w:pPr>
            <w:r w:rsidRPr="00405303">
              <w:rPr>
                <w:bCs/>
                <w:color w:val="002060"/>
                <w:sz w:val="16"/>
                <w:szCs w:val="16"/>
              </w:rPr>
              <w:t>1917 г.</w:t>
            </w:r>
          </w:p>
        </w:tc>
        <w:tc>
          <w:tcPr>
            <w:tcW w:w="816" w:type="dxa"/>
          </w:tcPr>
          <w:p w14:paraId="499DC6DA" w14:textId="77777777" w:rsidR="004B4E35" w:rsidRPr="00405303" w:rsidRDefault="009E6F82" w:rsidP="00C15251">
            <w:pPr>
              <w:jc w:val="both"/>
              <w:rPr>
                <w:bCs/>
                <w:color w:val="002060"/>
                <w:sz w:val="16"/>
                <w:szCs w:val="16"/>
              </w:rPr>
            </w:pPr>
            <w:r w:rsidRPr="00405303">
              <w:rPr>
                <w:bCs/>
                <w:color w:val="002060"/>
                <w:sz w:val="16"/>
                <w:szCs w:val="16"/>
              </w:rPr>
              <w:t>442,7</w:t>
            </w:r>
          </w:p>
        </w:tc>
      </w:tr>
    </w:tbl>
    <w:p w14:paraId="3E2A7487" w14:textId="77777777" w:rsidR="004B4E35" w:rsidRPr="00405303" w:rsidRDefault="009E6F82" w:rsidP="00C15251">
      <w:pPr>
        <w:shd w:val="clear" w:color="auto" w:fill="FFFFFF"/>
        <w:jc w:val="both"/>
        <w:rPr>
          <w:bCs/>
          <w:iCs/>
          <w:color w:val="002060"/>
          <w:sz w:val="16"/>
          <w:szCs w:val="16"/>
        </w:rPr>
      </w:pPr>
      <w:r w:rsidRPr="00405303">
        <w:rPr>
          <w:bCs/>
          <w:iCs/>
          <w:color w:val="002060"/>
          <w:sz w:val="16"/>
          <w:szCs w:val="16"/>
        </w:rPr>
        <w:t>(11329).</w:t>
      </w:r>
    </w:p>
    <w:p w14:paraId="7DC53E20" w14:textId="77777777" w:rsidR="004B4E35" w:rsidRPr="00405303" w:rsidRDefault="004B4E35" w:rsidP="00C15251">
      <w:pPr>
        <w:shd w:val="clear" w:color="auto" w:fill="FFFFFF"/>
        <w:jc w:val="both"/>
        <w:rPr>
          <w:bCs/>
          <w:i/>
          <w:color w:val="002060"/>
          <w:sz w:val="16"/>
          <w:szCs w:val="16"/>
        </w:rPr>
      </w:pPr>
    </w:p>
    <w:p w14:paraId="3D0DF05A" w14:textId="03B3A15B" w:rsidR="004B4E35" w:rsidRPr="00405303" w:rsidRDefault="00501A0A" w:rsidP="00C15251">
      <w:pPr>
        <w:jc w:val="both"/>
        <w:rPr>
          <w:bCs/>
          <w:color w:val="002060"/>
          <w:sz w:val="16"/>
          <w:szCs w:val="16"/>
        </w:rPr>
      </w:pPr>
      <w:r w:rsidRPr="00405303">
        <w:rPr>
          <w:bCs/>
          <w:color w:val="002060"/>
          <w:sz w:val="16"/>
          <w:szCs w:val="16"/>
        </w:rPr>
        <w:lastRenderedPageBreak/>
        <w:t>В</w:t>
      </w:r>
      <w:r w:rsidR="009E6F82" w:rsidRPr="00405303">
        <w:rPr>
          <w:bCs/>
          <w:color w:val="002060"/>
          <w:sz w:val="16"/>
          <w:szCs w:val="16"/>
        </w:rPr>
        <w:t xml:space="preserve"> январе 1915 года</w:t>
      </w:r>
      <w:r w:rsidRPr="00405303">
        <w:rPr>
          <w:bCs/>
          <w:color w:val="002060"/>
          <w:sz w:val="16"/>
          <w:szCs w:val="16"/>
        </w:rPr>
        <w:t xml:space="preserve"> специальная миссия из французских артиллеристов и инженеров по специальностям, имевшим отношение к снарядному делу под начальством майора Пио прибыла в Россию</w:t>
      </w:r>
      <w:r w:rsidR="009E6F82" w:rsidRPr="00405303">
        <w:rPr>
          <w:bCs/>
          <w:color w:val="002060"/>
          <w:sz w:val="16"/>
          <w:szCs w:val="16"/>
        </w:rPr>
        <w:t xml:space="preserve">. Задача миссии была — помочь России в разрешении снарядного кризиса путем использования того технического и организационного опыта, который уже имела в этом деле Франция. </w:t>
      </w:r>
    </w:p>
    <w:p w14:paraId="5ACA7E11" w14:textId="77777777" w:rsidR="004B4E35" w:rsidRPr="00405303" w:rsidRDefault="009E6F82" w:rsidP="00C15251">
      <w:pPr>
        <w:jc w:val="both"/>
        <w:rPr>
          <w:bCs/>
          <w:color w:val="002060"/>
          <w:sz w:val="16"/>
          <w:szCs w:val="16"/>
        </w:rPr>
      </w:pPr>
      <w:r w:rsidRPr="00405303">
        <w:rPr>
          <w:bCs/>
          <w:color w:val="002060"/>
          <w:sz w:val="16"/>
          <w:szCs w:val="16"/>
        </w:rPr>
        <w:t xml:space="preserve">Первый вопрос, который надо было решить, — это определить возможность применения французских способов изготовления снарядов в русской частной промышленности, так как французская граната существенно отличалась от нашей и </w:t>
      </w:r>
      <w:proofErr w:type="gramStart"/>
      <w:r w:rsidRPr="00405303">
        <w:rPr>
          <w:bCs/>
          <w:color w:val="002060"/>
          <w:sz w:val="16"/>
          <w:szCs w:val="16"/>
        </w:rPr>
        <w:t>по чертежу</w:t>
      </w:r>
      <w:proofErr w:type="gramEnd"/>
      <w:r w:rsidRPr="00405303">
        <w:rPr>
          <w:bCs/>
          <w:color w:val="002060"/>
          <w:sz w:val="16"/>
          <w:szCs w:val="16"/>
        </w:rPr>
        <w:t xml:space="preserve"> и по способу изготовления. </w:t>
      </w:r>
    </w:p>
    <w:p w14:paraId="2553360F" w14:textId="77777777" w:rsidR="004B4E35" w:rsidRPr="00405303" w:rsidRDefault="009E6F82" w:rsidP="00C15251">
      <w:pPr>
        <w:jc w:val="both"/>
        <w:rPr>
          <w:bCs/>
          <w:color w:val="002060"/>
          <w:sz w:val="16"/>
          <w:szCs w:val="16"/>
        </w:rPr>
      </w:pPr>
      <w:r w:rsidRPr="00405303">
        <w:rPr>
          <w:bCs/>
          <w:color w:val="002060"/>
          <w:sz w:val="16"/>
          <w:szCs w:val="16"/>
        </w:rPr>
        <w:t xml:space="preserve">К этому делу с первых шагов его был привлечен бывший в то время начальником Брянского арсенала военный инженер С.Н. Ванков, который в дальнейшем и вел его в течение всей войны. </w:t>
      </w:r>
    </w:p>
    <w:p w14:paraId="044D95CD" w14:textId="77777777" w:rsidR="004B4E35" w:rsidRPr="00405303" w:rsidRDefault="009E6F82" w:rsidP="00C15251">
      <w:pPr>
        <w:jc w:val="both"/>
        <w:rPr>
          <w:bCs/>
          <w:color w:val="002060"/>
          <w:sz w:val="16"/>
          <w:szCs w:val="16"/>
        </w:rPr>
      </w:pPr>
      <w:r w:rsidRPr="00405303">
        <w:rPr>
          <w:bCs/>
          <w:color w:val="002060"/>
          <w:sz w:val="16"/>
          <w:szCs w:val="16"/>
        </w:rPr>
        <w:t xml:space="preserve">Совещание С.Н. Ванкова с московскими заводчиками выяснило, что вопрос о возможности изготовления 3-дм гранат по французскому образцу разрешается в положительном смысле. После этого приступлено было к изготовлению в Брянском арсенале и на нескольких московских заводах первых образчиков гранат французского образца. Вместе с тем на Юг были командированы инженеры для ознакомления южных заводов с этим делом. </w:t>
      </w:r>
    </w:p>
    <w:p w14:paraId="2F787D5D" w14:textId="77777777" w:rsidR="004B4E35" w:rsidRPr="00405303" w:rsidRDefault="009E6F82" w:rsidP="00C15251">
      <w:pPr>
        <w:jc w:val="both"/>
        <w:rPr>
          <w:bCs/>
          <w:color w:val="002060"/>
          <w:sz w:val="16"/>
          <w:szCs w:val="16"/>
        </w:rPr>
      </w:pPr>
      <w:r w:rsidRPr="00405303">
        <w:rPr>
          <w:bCs/>
          <w:color w:val="002060"/>
          <w:sz w:val="16"/>
          <w:szCs w:val="16"/>
        </w:rPr>
        <w:t xml:space="preserve">Испытание изготовленных образцов гранат стрельбой дало удовлетворительные результаты. После этого Артиллерийский комитет ГАУ дал окончательные чертежи и технические условия на изготовление всех частей гранаты. </w:t>
      </w:r>
    </w:p>
    <w:p w14:paraId="3C6E32D9" w14:textId="77777777" w:rsidR="004B4E35" w:rsidRPr="00405303" w:rsidRDefault="009E6F82" w:rsidP="00C15251">
      <w:pPr>
        <w:jc w:val="both"/>
        <w:rPr>
          <w:bCs/>
          <w:color w:val="002060"/>
          <w:sz w:val="16"/>
          <w:szCs w:val="16"/>
        </w:rPr>
      </w:pPr>
      <w:r w:rsidRPr="00405303">
        <w:rPr>
          <w:bCs/>
          <w:color w:val="002060"/>
          <w:sz w:val="16"/>
          <w:szCs w:val="16"/>
        </w:rPr>
        <w:t xml:space="preserve">Обследование заводов Московского и Южного районов выяснило возможность поставить на большинстве заводов валовое производство таких гранат. Был разработан приблизительный план организации дела. Калькулированы были цены на снаряды. </w:t>
      </w:r>
    </w:p>
    <w:p w14:paraId="6AA19568" w14:textId="77777777" w:rsidR="004B4E35" w:rsidRPr="00405303" w:rsidRDefault="009E6F82" w:rsidP="00C15251">
      <w:pPr>
        <w:jc w:val="both"/>
        <w:rPr>
          <w:bCs/>
          <w:color w:val="002060"/>
          <w:sz w:val="16"/>
          <w:szCs w:val="16"/>
        </w:rPr>
      </w:pPr>
      <w:r w:rsidRPr="00405303">
        <w:rPr>
          <w:bCs/>
          <w:color w:val="002060"/>
          <w:sz w:val="16"/>
          <w:szCs w:val="16"/>
        </w:rPr>
        <w:t xml:space="preserve">По исполнении всех этих предварительных работ, к началу апреля 1915 г. был дан первый заказ на 1 000 000 гранат со взрывателями и трубками. </w:t>
      </w:r>
    </w:p>
    <w:p w14:paraId="53EDAA2C" w14:textId="77777777" w:rsidR="004B4E35" w:rsidRPr="00405303" w:rsidRDefault="009E6F82" w:rsidP="00C15251">
      <w:pPr>
        <w:jc w:val="both"/>
        <w:rPr>
          <w:bCs/>
          <w:color w:val="002060"/>
          <w:sz w:val="16"/>
          <w:szCs w:val="16"/>
        </w:rPr>
      </w:pPr>
      <w:r w:rsidRPr="00405303">
        <w:rPr>
          <w:bCs/>
          <w:color w:val="002060"/>
          <w:sz w:val="16"/>
          <w:szCs w:val="16"/>
        </w:rPr>
        <w:t xml:space="preserve">Непременным условием было поставлено, чтобы к работе по изготовлению французских гранат приступлено было в таких районах России и на таких фабриках и заводах, которые не работали в то время на Главное артиллерийское управление, чтобы не нарушать производственной программы последнего по снарядам. </w:t>
      </w:r>
    </w:p>
    <w:p w14:paraId="5FA62955" w14:textId="77777777" w:rsidR="004B4E35" w:rsidRPr="00405303" w:rsidRDefault="009E6F82" w:rsidP="00C15251">
      <w:pPr>
        <w:jc w:val="both"/>
        <w:rPr>
          <w:bCs/>
          <w:color w:val="002060"/>
          <w:sz w:val="16"/>
          <w:szCs w:val="16"/>
        </w:rPr>
      </w:pPr>
      <w:r w:rsidRPr="00405303">
        <w:rPr>
          <w:bCs/>
          <w:color w:val="002060"/>
          <w:sz w:val="16"/>
          <w:szCs w:val="16"/>
        </w:rPr>
        <w:t xml:space="preserve">Способ заготовления гранат избран был комиссионерский, как более отвечающий обстоятельствам дела по своей гибкости и применяемости к обстановке. </w:t>
      </w:r>
    </w:p>
    <w:p w14:paraId="048C896F" w14:textId="77777777" w:rsidR="004B4E35" w:rsidRPr="00405303" w:rsidRDefault="009E6F82" w:rsidP="00C15251">
      <w:pPr>
        <w:jc w:val="both"/>
        <w:rPr>
          <w:bCs/>
          <w:color w:val="002060"/>
          <w:sz w:val="16"/>
          <w:szCs w:val="16"/>
        </w:rPr>
      </w:pPr>
      <w:r w:rsidRPr="00405303">
        <w:rPr>
          <w:bCs/>
          <w:color w:val="002060"/>
          <w:sz w:val="16"/>
          <w:szCs w:val="16"/>
        </w:rPr>
        <w:t xml:space="preserve">К маю 1915 г. уже 37 заводов приступили к изготовлению корпусов гранат и три завода — к изготовлению калибров и лекал. </w:t>
      </w:r>
    </w:p>
    <w:p w14:paraId="1E811BDA" w14:textId="77777777" w:rsidR="004B4E35" w:rsidRPr="00405303" w:rsidRDefault="009E6F82" w:rsidP="00C15251">
      <w:pPr>
        <w:jc w:val="both"/>
        <w:rPr>
          <w:bCs/>
          <w:color w:val="002060"/>
          <w:sz w:val="16"/>
          <w:szCs w:val="16"/>
        </w:rPr>
      </w:pPr>
      <w:r w:rsidRPr="00405303">
        <w:rPr>
          <w:bCs/>
          <w:color w:val="002060"/>
          <w:sz w:val="16"/>
          <w:szCs w:val="16"/>
        </w:rPr>
        <w:t xml:space="preserve">Одновременно с этим приступлено было к устройству заводов для снаряжения гранат мелинитом. О них будет сказано ниже. </w:t>
      </w:r>
    </w:p>
    <w:p w14:paraId="5A163A55" w14:textId="77777777" w:rsidR="004B4E35" w:rsidRPr="00405303" w:rsidRDefault="009E6F82" w:rsidP="00C15251">
      <w:pPr>
        <w:jc w:val="both"/>
        <w:rPr>
          <w:bCs/>
          <w:color w:val="002060"/>
          <w:sz w:val="16"/>
          <w:szCs w:val="16"/>
        </w:rPr>
      </w:pPr>
      <w:r w:rsidRPr="00405303">
        <w:rPr>
          <w:bCs/>
          <w:color w:val="002060"/>
          <w:sz w:val="16"/>
          <w:szCs w:val="16"/>
        </w:rPr>
        <w:t xml:space="preserve">Для управления всем делом заготовления и снаряжения заводов было организовано в Москве Управление уполномоченного ГАУ по изготовлению снарядов французского образца. Управление состояло из технического отдела, отдела распределения материалов, бухгалтерии, хозяйственного отдела, канцелярии и отдела снабжения. При управлении состояла французская техническая миссия. </w:t>
      </w:r>
    </w:p>
    <w:p w14:paraId="21C8BB4D" w14:textId="77777777" w:rsidR="004B4E35" w:rsidRPr="00405303" w:rsidRDefault="009E6F82" w:rsidP="00C15251">
      <w:pPr>
        <w:jc w:val="both"/>
        <w:rPr>
          <w:bCs/>
          <w:color w:val="002060"/>
          <w:sz w:val="16"/>
          <w:szCs w:val="16"/>
        </w:rPr>
      </w:pPr>
      <w:r w:rsidRPr="00405303">
        <w:rPr>
          <w:bCs/>
          <w:color w:val="002060"/>
          <w:sz w:val="16"/>
          <w:szCs w:val="16"/>
        </w:rPr>
        <w:t xml:space="preserve">Заводы, привлеченные к исполнению заказа, были распределены по районам, коих было семь: Южный, Одесский, Киевский, Тамбовский, Петроградский, Ярославский и Московский. На каждом из заводов имелся приемщик от Управления уполномоченного ГАУ. </w:t>
      </w:r>
    </w:p>
    <w:p w14:paraId="2CC64C72" w14:textId="77777777" w:rsidR="004B4E35" w:rsidRPr="00405303" w:rsidRDefault="009E6F82" w:rsidP="00C15251">
      <w:pPr>
        <w:jc w:val="both"/>
        <w:rPr>
          <w:bCs/>
          <w:color w:val="002060"/>
          <w:sz w:val="16"/>
          <w:szCs w:val="16"/>
        </w:rPr>
      </w:pPr>
      <w:r w:rsidRPr="00405303">
        <w:rPr>
          <w:bCs/>
          <w:color w:val="002060"/>
          <w:sz w:val="16"/>
          <w:szCs w:val="16"/>
        </w:rPr>
        <w:t xml:space="preserve">Районами заведовали отдельные инженеры, на обязанности коих лежало: 1) оказывать заводам, исполняющим заказы, возможно большую помощь техническими указаниями, устраняя дефекты и затруднения в производстве, 2) принимать меры к ускорению хода работ и скорейшей отправке готовых партий по назначению, 3) объединять работу заводов района, 4) входить в нужных случаях в сношения с местными властями на предмет содействия в работе заводов, 5) ближайшим образом руководить работой приемщиков на заводах. </w:t>
      </w:r>
    </w:p>
    <w:p w14:paraId="4E6F723A" w14:textId="77777777" w:rsidR="004B4E35" w:rsidRPr="00405303" w:rsidRDefault="009E6F82" w:rsidP="00C15251">
      <w:pPr>
        <w:jc w:val="both"/>
        <w:rPr>
          <w:bCs/>
          <w:color w:val="002060"/>
          <w:sz w:val="16"/>
          <w:szCs w:val="16"/>
        </w:rPr>
      </w:pPr>
      <w:r w:rsidRPr="00405303">
        <w:rPr>
          <w:bCs/>
          <w:color w:val="002060"/>
          <w:sz w:val="16"/>
          <w:szCs w:val="16"/>
        </w:rPr>
        <w:t xml:space="preserve">Вслед за первым заказом на 1 000 000 шт. 3-дм гранат последовали один за другим дальнейшие заказы на них: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44"/>
        <w:gridCol w:w="2064"/>
      </w:tblGrid>
      <w:tr w:rsidR="004B4E35" w:rsidRPr="00405303" w14:paraId="08281826" w14:textId="77777777">
        <w:tc>
          <w:tcPr>
            <w:tcW w:w="2244" w:type="dxa"/>
          </w:tcPr>
          <w:p w14:paraId="247DF97B" w14:textId="77777777" w:rsidR="004B4E35" w:rsidRPr="00405303" w:rsidRDefault="009E6F82" w:rsidP="00C15251">
            <w:pPr>
              <w:jc w:val="both"/>
              <w:rPr>
                <w:bCs/>
                <w:color w:val="002060"/>
                <w:sz w:val="16"/>
                <w:szCs w:val="16"/>
              </w:rPr>
            </w:pPr>
            <w:r w:rsidRPr="00405303">
              <w:rPr>
                <w:bCs/>
                <w:color w:val="002060"/>
                <w:sz w:val="16"/>
                <w:szCs w:val="16"/>
              </w:rPr>
              <w:t>В 1915 г.</w:t>
            </w:r>
          </w:p>
        </w:tc>
        <w:tc>
          <w:tcPr>
            <w:tcW w:w="2064" w:type="dxa"/>
          </w:tcPr>
          <w:p w14:paraId="0FD8B86E" w14:textId="77777777" w:rsidR="004B4E35" w:rsidRPr="00405303" w:rsidRDefault="009E6F82" w:rsidP="00C15251">
            <w:pPr>
              <w:jc w:val="both"/>
              <w:rPr>
                <w:bCs/>
                <w:color w:val="002060"/>
                <w:sz w:val="16"/>
                <w:szCs w:val="16"/>
              </w:rPr>
            </w:pPr>
            <w:r w:rsidRPr="00405303">
              <w:rPr>
                <w:bCs/>
                <w:color w:val="002060"/>
                <w:sz w:val="16"/>
                <w:szCs w:val="16"/>
              </w:rPr>
              <w:t xml:space="preserve">на 3.600.000 гранат </w:t>
            </w:r>
          </w:p>
        </w:tc>
      </w:tr>
      <w:tr w:rsidR="004B4E35" w:rsidRPr="00405303" w14:paraId="058EBE02" w14:textId="77777777">
        <w:tc>
          <w:tcPr>
            <w:tcW w:w="2244" w:type="dxa"/>
          </w:tcPr>
          <w:p w14:paraId="05332886" w14:textId="77777777" w:rsidR="004B4E35" w:rsidRPr="00405303" w:rsidRDefault="009E6F82" w:rsidP="00C15251">
            <w:pPr>
              <w:jc w:val="both"/>
              <w:rPr>
                <w:bCs/>
                <w:color w:val="002060"/>
                <w:sz w:val="16"/>
                <w:szCs w:val="16"/>
              </w:rPr>
            </w:pPr>
            <w:r w:rsidRPr="00405303">
              <w:rPr>
                <w:bCs/>
                <w:color w:val="002060"/>
                <w:sz w:val="16"/>
                <w:szCs w:val="16"/>
              </w:rPr>
              <w:t>В 1916 г.</w:t>
            </w:r>
          </w:p>
        </w:tc>
        <w:tc>
          <w:tcPr>
            <w:tcW w:w="2064" w:type="dxa"/>
          </w:tcPr>
          <w:p w14:paraId="16A6516F" w14:textId="77777777" w:rsidR="004B4E35" w:rsidRPr="00405303" w:rsidRDefault="009E6F82" w:rsidP="00C15251">
            <w:pPr>
              <w:jc w:val="both"/>
              <w:rPr>
                <w:bCs/>
                <w:color w:val="002060"/>
                <w:sz w:val="16"/>
                <w:szCs w:val="16"/>
              </w:rPr>
            </w:pPr>
            <w:r w:rsidRPr="00405303">
              <w:rPr>
                <w:bCs/>
                <w:color w:val="002060"/>
                <w:sz w:val="16"/>
                <w:szCs w:val="16"/>
              </w:rPr>
              <w:t xml:space="preserve">на 5.500.000 </w:t>
            </w:r>
          </w:p>
        </w:tc>
      </w:tr>
      <w:tr w:rsidR="004B4E35" w:rsidRPr="00405303" w14:paraId="520A24A0" w14:textId="77777777">
        <w:tc>
          <w:tcPr>
            <w:tcW w:w="2244" w:type="dxa"/>
          </w:tcPr>
          <w:p w14:paraId="501C0C6C" w14:textId="77777777" w:rsidR="004B4E35" w:rsidRPr="00405303" w:rsidRDefault="009E6F82" w:rsidP="00C15251">
            <w:pPr>
              <w:jc w:val="both"/>
              <w:rPr>
                <w:bCs/>
                <w:color w:val="002060"/>
                <w:sz w:val="16"/>
                <w:szCs w:val="16"/>
              </w:rPr>
            </w:pPr>
            <w:r w:rsidRPr="00405303">
              <w:rPr>
                <w:bCs/>
                <w:color w:val="002060"/>
                <w:sz w:val="16"/>
                <w:szCs w:val="16"/>
              </w:rPr>
              <w:t>В 1917 г.</w:t>
            </w:r>
          </w:p>
        </w:tc>
        <w:tc>
          <w:tcPr>
            <w:tcW w:w="2064" w:type="dxa"/>
          </w:tcPr>
          <w:p w14:paraId="5F155FD4" w14:textId="77777777" w:rsidR="004B4E35" w:rsidRPr="00405303" w:rsidRDefault="009E6F82" w:rsidP="00C15251">
            <w:pPr>
              <w:jc w:val="both"/>
              <w:rPr>
                <w:bCs/>
                <w:color w:val="002060"/>
                <w:sz w:val="16"/>
                <w:szCs w:val="16"/>
              </w:rPr>
            </w:pPr>
            <w:r w:rsidRPr="00405303">
              <w:rPr>
                <w:bCs/>
                <w:color w:val="002060"/>
                <w:sz w:val="16"/>
                <w:szCs w:val="16"/>
              </w:rPr>
              <w:t xml:space="preserve">на 4.940.000 </w:t>
            </w:r>
          </w:p>
        </w:tc>
      </w:tr>
      <w:tr w:rsidR="004B4E35" w:rsidRPr="00405303" w14:paraId="005B9462" w14:textId="77777777">
        <w:tc>
          <w:tcPr>
            <w:tcW w:w="2244" w:type="dxa"/>
          </w:tcPr>
          <w:p w14:paraId="6A2BFB71" w14:textId="77777777" w:rsidR="004B4E35" w:rsidRPr="00405303" w:rsidRDefault="009E6F82" w:rsidP="00C15251">
            <w:pPr>
              <w:jc w:val="both"/>
              <w:rPr>
                <w:bCs/>
                <w:color w:val="002060"/>
                <w:sz w:val="16"/>
                <w:szCs w:val="16"/>
              </w:rPr>
            </w:pPr>
            <w:r w:rsidRPr="00405303">
              <w:rPr>
                <w:bCs/>
                <w:color w:val="002060"/>
                <w:sz w:val="16"/>
                <w:szCs w:val="16"/>
              </w:rPr>
              <w:t>Всего</w:t>
            </w:r>
          </w:p>
        </w:tc>
        <w:tc>
          <w:tcPr>
            <w:tcW w:w="2064" w:type="dxa"/>
          </w:tcPr>
          <w:p w14:paraId="345A1EC7" w14:textId="04D705D3" w:rsidR="004B4E35" w:rsidRPr="00405303" w:rsidRDefault="00DB4D64" w:rsidP="00C15251">
            <w:pPr>
              <w:jc w:val="both"/>
              <w:rPr>
                <w:bCs/>
                <w:color w:val="002060"/>
                <w:sz w:val="16"/>
                <w:szCs w:val="16"/>
              </w:rPr>
            </w:pPr>
            <w:r w:rsidRPr="00405303">
              <w:rPr>
                <w:bCs/>
                <w:color w:val="002060"/>
                <w:sz w:val="16"/>
                <w:szCs w:val="16"/>
              </w:rPr>
              <w:t xml:space="preserve"> </w:t>
            </w:r>
            <w:r w:rsidR="009E6F82" w:rsidRPr="00405303">
              <w:rPr>
                <w:bCs/>
                <w:color w:val="002060"/>
                <w:sz w:val="16"/>
                <w:szCs w:val="16"/>
              </w:rPr>
              <w:t>на 14.540.000 гранат.</w:t>
            </w:r>
          </w:p>
        </w:tc>
      </w:tr>
    </w:tbl>
    <w:p w14:paraId="54583025" w14:textId="77777777" w:rsidR="004B4E35" w:rsidRPr="00405303" w:rsidRDefault="009E6F82" w:rsidP="00C15251">
      <w:pPr>
        <w:jc w:val="both"/>
        <w:rPr>
          <w:bCs/>
          <w:color w:val="002060"/>
          <w:sz w:val="16"/>
          <w:szCs w:val="16"/>
        </w:rPr>
      </w:pPr>
      <w:r w:rsidRPr="00405303">
        <w:rPr>
          <w:bCs/>
          <w:color w:val="002060"/>
          <w:sz w:val="16"/>
          <w:szCs w:val="16"/>
        </w:rPr>
        <w:t xml:space="preserve">И к ним: </w:t>
      </w:r>
    </w:p>
    <w:p w14:paraId="563BCC4A" w14:textId="77777777" w:rsidR="004B4E35" w:rsidRPr="00405303" w:rsidRDefault="009E6F82" w:rsidP="00C15251">
      <w:pPr>
        <w:jc w:val="both"/>
        <w:rPr>
          <w:bCs/>
          <w:color w:val="002060"/>
          <w:sz w:val="16"/>
          <w:szCs w:val="16"/>
        </w:rPr>
      </w:pPr>
      <w:r w:rsidRPr="00405303">
        <w:rPr>
          <w:bCs/>
          <w:color w:val="002060"/>
          <w:sz w:val="16"/>
          <w:szCs w:val="16"/>
        </w:rPr>
        <w:t xml:space="preserve">17.090.000 запальных стаканов, </w:t>
      </w:r>
    </w:p>
    <w:p w14:paraId="4F191ABC" w14:textId="77777777" w:rsidR="004B4E35" w:rsidRPr="00405303" w:rsidRDefault="009E6F82" w:rsidP="00C15251">
      <w:pPr>
        <w:jc w:val="both"/>
        <w:rPr>
          <w:bCs/>
          <w:color w:val="002060"/>
          <w:sz w:val="16"/>
          <w:szCs w:val="16"/>
        </w:rPr>
      </w:pPr>
      <w:r w:rsidRPr="00405303">
        <w:rPr>
          <w:bCs/>
          <w:color w:val="002060"/>
          <w:sz w:val="16"/>
          <w:szCs w:val="16"/>
        </w:rPr>
        <w:t>17.540.000 детонаторных трубок.</w:t>
      </w:r>
    </w:p>
    <w:p w14:paraId="11236EB3" w14:textId="77777777" w:rsidR="004B4E35" w:rsidRPr="00405303" w:rsidRDefault="009E6F82" w:rsidP="00C15251">
      <w:pPr>
        <w:jc w:val="both"/>
        <w:rPr>
          <w:bCs/>
          <w:color w:val="002060"/>
          <w:sz w:val="16"/>
          <w:szCs w:val="16"/>
        </w:rPr>
      </w:pPr>
      <w:r w:rsidRPr="00405303">
        <w:rPr>
          <w:bCs/>
          <w:color w:val="002060"/>
          <w:sz w:val="16"/>
          <w:szCs w:val="16"/>
        </w:rPr>
        <w:t xml:space="preserve">Из этого числа 1 000 000 был приспособлен для снаряжения удушающими веществами. </w:t>
      </w:r>
    </w:p>
    <w:p w14:paraId="175A78AF" w14:textId="77777777" w:rsidR="004B4E35" w:rsidRPr="00405303" w:rsidRDefault="009E6F82" w:rsidP="00C15251">
      <w:pPr>
        <w:jc w:val="both"/>
        <w:rPr>
          <w:bCs/>
          <w:color w:val="002060"/>
          <w:sz w:val="16"/>
          <w:szCs w:val="16"/>
        </w:rPr>
      </w:pPr>
      <w:r w:rsidRPr="00405303">
        <w:rPr>
          <w:bCs/>
          <w:color w:val="002060"/>
          <w:sz w:val="16"/>
          <w:szCs w:val="16"/>
        </w:rPr>
        <w:t xml:space="preserve">Кроме 3-дм гранат, уполномоченному ГАУ поручено было разновременно в 1916 г. изготовление снарядов средних и больших калибров, а именно: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372"/>
        <w:gridCol w:w="936"/>
      </w:tblGrid>
      <w:tr w:rsidR="004B4E35" w:rsidRPr="00405303" w14:paraId="7E5577C6" w14:textId="77777777">
        <w:tc>
          <w:tcPr>
            <w:tcW w:w="3372" w:type="dxa"/>
          </w:tcPr>
          <w:p w14:paraId="04D49922" w14:textId="77777777" w:rsidR="004B4E35" w:rsidRPr="00405303" w:rsidRDefault="009E6F82" w:rsidP="00C15251">
            <w:pPr>
              <w:jc w:val="both"/>
              <w:rPr>
                <w:bCs/>
                <w:color w:val="002060"/>
                <w:sz w:val="16"/>
                <w:szCs w:val="16"/>
              </w:rPr>
            </w:pPr>
            <w:r w:rsidRPr="00405303">
              <w:rPr>
                <w:bCs/>
                <w:color w:val="002060"/>
                <w:sz w:val="16"/>
                <w:szCs w:val="16"/>
              </w:rPr>
              <w:t>6-дм бомб</w:t>
            </w:r>
          </w:p>
        </w:tc>
        <w:tc>
          <w:tcPr>
            <w:tcW w:w="936" w:type="dxa"/>
          </w:tcPr>
          <w:p w14:paraId="6B0372BC" w14:textId="77777777" w:rsidR="004B4E35" w:rsidRPr="00405303" w:rsidRDefault="009E6F82" w:rsidP="00C15251">
            <w:pPr>
              <w:jc w:val="both"/>
              <w:rPr>
                <w:bCs/>
                <w:color w:val="002060"/>
                <w:sz w:val="16"/>
                <w:szCs w:val="16"/>
              </w:rPr>
            </w:pPr>
            <w:r w:rsidRPr="00405303">
              <w:rPr>
                <w:bCs/>
                <w:color w:val="002060"/>
                <w:sz w:val="16"/>
                <w:szCs w:val="16"/>
              </w:rPr>
              <w:t xml:space="preserve">740.000 </w:t>
            </w:r>
          </w:p>
        </w:tc>
      </w:tr>
      <w:tr w:rsidR="004B4E35" w:rsidRPr="00405303" w14:paraId="5CFE02BA" w14:textId="77777777">
        <w:tc>
          <w:tcPr>
            <w:tcW w:w="3372" w:type="dxa"/>
          </w:tcPr>
          <w:p w14:paraId="2FE0F346" w14:textId="77777777" w:rsidR="004B4E35" w:rsidRPr="00405303" w:rsidRDefault="009E6F82" w:rsidP="00C15251">
            <w:pPr>
              <w:jc w:val="both"/>
              <w:rPr>
                <w:bCs/>
                <w:color w:val="002060"/>
                <w:sz w:val="16"/>
                <w:szCs w:val="16"/>
              </w:rPr>
            </w:pPr>
            <w:r w:rsidRPr="00405303">
              <w:rPr>
                <w:bCs/>
                <w:color w:val="002060"/>
                <w:sz w:val="16"/>
                <w:szCs w:val="16"/>
              </w:rPr>
              <w:t>48-лин. бомб</w:t>
            </w:r>
          </w:p>
        </w:tc>
        <w:tc>
          <w:tcPr>
            <w:tcW w:w="936" w:type="dxa"/>
          </w:tcPr>
          <w:p w14:paraId="63E18025" w14:textId="77777777" w:rsidR="004B4E35" w:rsidRPr="00405303" w:rsidRDefault="009E6F82" w:rsidP="00C15251">
            <w:pPr>
              <w:jc w:val="both"/>
              <w:rPr>
                <w:bCs/>
                <w:color w:val="002060"/>
                <w:sz w:val="16"/>
                <w:szCs w:val="16"/>
              </w:rPr>
            </w:pPr>
            <w:r w:rsidRPr="00405303">
              <w:rPr>
                <w:bCs/>
                <w:color w:val="002060"/>
                <w:sz w:val="16"/>
                <w:szCs w:val="16"/>
              </w:rPr>
              <w:t xml:space="preserve">400.000 </w:t>
            </w:r>
          </w:p>
        </w:tc>
      </w:tr>
      <w:tr w:rsidR="004B4E35" w:rsidRPr="00405303" w14:paraId="6CC215B1" w14:textId="77777777">
        <w:tc>
          <w:tcPr>
            <w:tcW w:w="3372" w:type="dxa"/>
          </w:tcPr>
          <w:p w14:paraId="17BB7A01" w14:textId="77777777" w:rsidR="004B4E35" w:rsidRPr="00405303" w:rsidRDefault="009E6F82" w:rsidP="00C15251">
            <w:pPr>
              <w:jc w:val="both"/>
              <w:rPr>
                <w:bCs/>
                <w:color w:val="002060"/>
                <w:sz w:val="16"/>
                <w:szCs w:val="16"/>
              </w:rPr>
            </w:pPr>
            <w:r w:rsidRPr="00405303">
              <w:rPr>
                <w:bCs/>
                <w:color w:val="002060"/>
                <w:sz w:val="16"/>
                <w:szCs w:val="16"/>
              </w:rPr>
              <w:t>57-мм для Румынии</w:t>
            </w:r>
          </w:p>
        </w:tc>
        <w:tc>
          <w:tcPr>
            <w:tcW w:w="936" w:type="dxa"/>
          </w:tcPr>
          <w:p w14:paraId="0E444970" w14:textId="77777777" w:rsidR="004B4E35" w:rsidRPr="00405303" w:rsidRDefault="009E6F82" w:rsidP="00C15251">
            <w:pPr>
              <w:jc w:val="both"/>
              <w:rPr>
                <w:bCs/>
                <w:color w:val="002060"/>
                <w:sz w:val="16"/>
                <w:szCs w:val="16"/>
              </w:rPr>
            </w:pPr>
            <w:r w:rsidRPr="00405303">
              <w:rPr>
                <w:bCs/>
                <w:color w:val="002060"/>
                <w:sz w:val="16"/>
                <w:szCs w:val="16"/>
              </w:rPr>
              <w:t xml:space="preserve">360.000 </w:t>
            </w:r>
          </w:p>
        </w:tc>
      </w:tr>
      <w:tr w:rsidR="004B4E35" w:rsidRPr="00405303" w14:paraId="7C2BE90D" w14:textId="77777777">
        <w:tc>
          <w:tcPr>
            <w:tcW w:w="3372" w:type="dxa"/>
          </w:tcPr>
          <w:p w14:paraId="6CC7167E" w14:textId="77777777" w:rsidR="004B4E35" w:rsidRPr="00405303" w:rsidRDefault="009E6F82" w:rsidP="00C15251">
            <w:pPr>
              <w:jc w:val="both"/>
              <w:rPr>
                <w:bCs/>
                <w:color w:val="002060"/>
                <w:sz w:val="16"/>
                <w:szCs w:val="16"/>
              </w:rPr>
            </w:pPr>
            <w:r w:rsidRPr="00405303">
              <w:rPr>
                <w:bCs/>
                <w:color w:val="002060"/>
                <w:sz w:val="16"/>
                <w:szCs w:val="16"/>
              </w:rPr>
              <w:t>75-мм гранат</w:t>
            </w:r>
          </w:p>
        </w:tc>
        <w:tc>
          <w:tcPr>
            <w:tcW w:w="936" w:type="dxa"/>
          </w:tcPr>
          <w:p w14:paraId="2CB6CEE5" w14:textId="77777777" w:rsidR="004B4E35" w:rsidRPr="00405303" w:rsidRDefault="009E6F82" w:rsidP="00C15251">
            <w:pPr>
              <w:jc w:val="both"/>
              <w:rPr>
                <w:bCs/>
                <w:color w:val="002060"/>
                <w:sz w:val="16"/>
                <w:szCs w:val="16"/>
              </w:rPr>
            </w:pPr>
            <w:r w:rsidRPr="00405303">
              <w:rPr>
                <w:bCs/>
                <w:color w:val="002060"/>
                <w:sz w:val="16"/>
                <w:szCs w:val="16"/>
              </w:rPr>
              <w:t xml:space="preserve">540.000 </w:t>
            </w:r>
          </w:p>
        </w:tc>
      </w:tr>
      <w:tr w:rsidR="004B4E35" w:rsidRPr="00405303" w14:paraId="3E10FF9D" w14:textId="77777777">
        <w:tc>
          <w:tcPr>
            <w:tcW w:w="3372" w:type="dxa"/>
          </w:tcPr>
          <w:p w14:paraId="3B988AF7" w14:textId="77777777" w:rsidR="004B4E35" w:rsidRPr="00405303" w:rsidRDefault="009E6F82" w:rsidP="00C15251">
            <w:pPr>
              <w:jc w:val="both"/>
              <w:rPr>
                <w:bCs/>
                <w:color w:val="002060"/>
                <w:sz w:val="16"/>
                <w:szCs w:val="16"/>
              </w:rPr>
            </w:pPr>
            <w:r w:rsidRPr="00405303">
              <w:rPr>
                <w:bCs/>
                <w:color w:val="002060"/>
                <w:sz w:val="16"/>
                <w:szCs w:val="16"/>
              </w:rPr>
              <w:t>105-мм для Румынии</w:t>
            </w:r>
          </w:p>
        </w:tc>
        <w:tc>
          <w:tcPr>
            <w:tcW w:w="936" w:type="dxa"/>
          </w:tcPr>
          <w:p w14:paraId="6617E74A" w14:textId="77777777" w:rsidR="004B4E35" w:rsidRPr="00405303" w:rsidRDefault="009E6F82" w:rsidP="00C15251">
            <w:pPr>
              <w:jc w:val="both"/>
              <w:rPr>
                <w:bCs/>
                <w:color w:val="002060"/>
                <w:sz w:val="16"/>
                <w:szCs w:val="16"/>
              </w:rPr>
            </w:pPr>
            <w:r w:rsidRPr="00405303">
              <w:rPr>
                <w:bCs/>
                <w:color w:val="002060"/>
                <w:sz w:val="16"/>
                <w:szCs w:val="16"/>
              </w:rPr>
              <w:t xml:space="preserve">90.000 </w:t>
            </w:r>
          </w:p>
        </w:tc>
      </w:tr>
      <w:tr w:rsidR="004B4E35" w:rsidRPr="00405303" w14:paraId="296F1F57" w14:textId="77777777">
        <w:tc>
          <w:tcPr>
            <w:tcW w:w="3372" w:type="dxa"/>
          </w:tcPr>
          <w:p w14:paraId="2D2AFBEF" w14:textId="77777777" w:rsidR="004B4E35" w:rsidRPr="00405303" w:rsidRDefault="009E6F82" w:rsidP="00C15251">
            <w:pPr>
              <w:jc w:val="both"/>
              <w:rPr>
                <w:bCs/>
                <w:color w:val="002060"/>
                <w:sz w:val="16"/>
                <w:szCs w:val="16"/>
              </w:rPr>
            </w:pPr>
            <w:r w:rsidRPr="00405303">
              <w:rPr>
                <w:bCs/>
                <w:color w:val="002060"/>
                <w:sz w:val="16"/>
                <w:szCs w:val="16"/>
              </w:rPr>
              <w:t>155-мм стальных гранат</w:t>
            </w:r>
          </w:p>
        </w:tc>
        <w:tc>
          <w:tcPr>
            <w:tcW w:w="936" w:type="dxa"/>
          </w:tcPr>
          <w:p w14:paraId="650FC7C1" w14:textId="77777777" w:rsidR="004B4E35" w:rsidRPr="00405303" w:rsidRDefault="009E6F82" w:rsidP="00C15251">
            <w:pPr>
              <w:jc w:val="both"/>
              <w:rPr>
                <w:bCs/>
                <w:color w:val="002060"/>
                <w:sz w:val="16"/>
                <w:szCs w:val="16"/>
              </w:rPr>
            </w:pPr>
            <w:r w:rsidRPr="00405303">
              <w:rPr>
                <w:bCs/>
                <w:color w:val="002060"/>
                <w:sz w:val="16"/>
                <w:szCs w:val="16"/>
              </w:rPr>
              <w:t xml:space="preserve">200.000 </w:t>
            </w:r>
          </w:p>
        </w:tc>
      </w:tr>
      <w:tr w:rsidR="004B4E35" w:rsidRPr="00405303" w14:paraId="4CEF574C" w14:textId="77777777">
        <w:tc>
          <w:tcPr>
            <w:tcW w:w="3372" w:type="dxa"/>
          </w:tcPr>
          <w:p w14:paraId="2712197C" w14:textId="77777777" w:rsidR="004B4E35" w:rsidRPr="00405303" w:rsidRDefault="009E6F82" w:rsidP="00C15251">
            <w:pPr>
              <w:jc w:val="both"/>
              <w:rPr>
                <w:bCs/>
                <w:color w:val="002060"/>
                <w:sz w:val="16"/>
                <w:szCs w:val="16"/>
              </w:rPr>
            </w:pPr>
            <w:r w:rsidRPr="00405303">
              <w:rPr>
                <w:bCs/>
                <w:color w:val="002060"/>
                <w:sz w:val="16"/>
                <w:szCs w:val="16"/>
              </w:rPr>
              <w:t>8-дм, 11-дм и 12-дм бомб сталистого чугуна</w:t>
            </w:r>
          </w:p>
        </w:tc>
        <w:tc>
          <w:tcPr>
            <w:tcW w:w="936" w:type="dxa"/>
          </w:tcPr>
          <w:p w14:paraId="7C686B75" w14:textId="77777777" w:rsidR="004B4E35" w:rsidRPr="00405303" w:rsidRDefault="009E6F82" w:rsidP="00C15251">
            <w:pPr>
              <w:jc w:val="both"/>
              <w:rPr>
                <w:bCs/>
                <w:color w:val="002060"/>
                <w:sz w:val="16"/>
                <w:szCs w:val="16"/>
              </w:rPr>
            </w:pPr>
            <w:r w:rsidRPr="00405303">
              <w:rPr>
                <w:bCs/>
                <w:color w:val="002060"/>
                <w:sz w:val="16"/>
                <w:szCs w:val="16"/>
              </w:rPr>
              <w:t xml:space="preserve">70.000 </w:t>
            </w:r>
          </w:p>
        </w:tc>
      </w:tr>
    </w:tbl>
    <w:p w14:paraId="14F4D8C0" w14:textId="77777777" w:rsidR="004B4E35" w:rsidRPr="00405303" w:rsidRDefault="009E6F82" w:rsidP="00C15251">
      <w:pPr>
        <w:jc w:val="both"/>
        <w:rPr>
          <w:bCs/>
          <w:color w:val="002060"/>
          <w:sz w:val="16"/>
          <w:szCs w:val="16"/>
        </w:rPr>
      </w:pPr>
      <w:r w:rsidRPr="00405303">
        <w:rPr>
          <w:bCs/>
          <w:color w:val="002060"/>
          <w:sz w:val="16"/>
          <w:szCs w:val="16"/>
        </w:rPr>
        <w:t xml:space="preserve">Состояние металлообрабатывающий промышленности, в котором застала ее война, мало способствовало успеху дела, возложенного на уполномоченного ГАУ. Заводы с первых же месяцев войны растеряли значительную часть квалифицированных рабочих и технического персонала, призванных на фронт. Последовавшие за тем разрешения возвращать взятых на фронт обратно на заводы реализовались с большим трудом, так как разыскать местонахождение рабочего или инженера на фронте было до крайности трудно, а возвращение сопровождалось длинной канцелярской волокитой. </w:t>
      </w:r>
    </w:p>
    <w:p w14:paraId="102C04EF" w14:textId="77777777" w:rsidR="004B4E35" w:rsidRPr="00405303" w:rsidRDefault="009E6F82" w:rsidP="00C15251">
      <w:pPr>
        <w:jc w:val="both"/>
        <w:rPr>
          <w:bCs/>
          <w:color w:val="002060"/>
          <w:sz w:val="16"/>
          <w:szCs w:val="16"/>
        </w:rPr>
      </w:pPr>
      <w:r w:rsidRPr="00405303">
        <w:rPr>
          <w:bCs/>
          <w:color w:val="002060"/>
          <w:sz w:val="16"/>
          <w:szCs w:val="16"/>
        </w:rPr>
        <w:t xml:space="preserve">Затем, заводы металлообрабатывающий промышленности, не исполнявшие военных заказов в мирное время, совершенно не были подготовлены к быстрому налаживанию военных производств. Для этого они не имели в большинстве случаев ни надлежащего оборудования, ни навыков и приемов массового производства, ни привычки к точным работам со строгими допусками. </w:t>
      </w:r>
    </w:p>
    <w:p w14:paraId="03C60DBC" w14:textId="77777777" w:rsidR="004B4E35" w:rsidRPr="00405303" w:rsidRDefault="009E6F82" w:rsidP="00C15251">
      <w:pPr>
        <w:jc w:val="both"/>
        <w:rPr>
          <w:bCs/>
          <w:color w:val="002060"/>
          <w:sz w:val="16"/>
          <w:szCs w:val="16"/>
        </w:rPr>
      </w:pPr>
      <w:r w:rsidRPr="00405303">
        <w:rPr>
          <w:bCs/>
          <w:color w:val="002060"/>
          <w:sz w:val="16"/>
          <w:szCs w:val="16"/>
        </w:rPr>
        <w:t xml:space="preserve">К этому надо добавить, что большинство заводов за убылью рабочих и за сокращением спроса сократило значительно свои работы на мирный рынок, причем не занятое работой оборудование довольно часто реквизировалось и вывозилось с заводов распоряжением различных общественных организаций (Земгор, Военно-промышленный комитет и пр.) и государственных органов, работавших на оборону. </w:t>
      </w:r>
    </w:p>
    <w:p w14:paraId="60098EA8" w14:textId="77777777" w:rsidR="004B4E35" w:rsidRPr="00405303" w:rsidRDefault="009E6F82" w:rsidP="00C15251">
      <w:pPr>
        <w:jc w:val="both"/>
        <w:rPr>
          <w:bCs/>
          <w:color w:val="002060"/>
          <w:sz w:val="16"/>
          <w:szCs w:val="16"/>
        </w:rPr>
      </w:pPr>
      <w:r w:rsidRPr="00405303">
        <w:rPr>
          <w:bCs/>
          <w:color w:val="002060"/>
          <w:sz w:val="16"/>
          <w:szCs w:val="16"/>
        </w:rPr>
        <w:t xml:space="preserve">Если прибавить ко всему этому расстройство транспорта, недостаток топлива и нерегулярность снабжения им, недостаток в сырых материалах, недостаток в работах и техническом персонале, то условия, в которых приходилось начать и проводить мобилизацию мирной промышленности на снарядное дело, надо признать в высшей степени неблагоприятными. Поэтому организации С.Н. Ванкова, помимо прямого технического дела, много труда и энергии пришлось расходовать на устранение всевозможных препятствий, стоявших на пути к цели. </w:t>
      </w:r>
    </w:p>
    <w:p w14:paraId="69B2A70F" w14:textId="77777777" w:rsidR="004B4E35" w:rsidRPr="00405303" w:rsidRDefault="009E6F82" w:rsidP="00C15251">
      <w:pPr>
        <w:jc w:val="both"/>
        <w:rPr>
          <w:bCs/>
          <w:color w:val="002060"/>
          <w:sz w:val="16"/>
          <w:szCs w:val="16"/>
        </w:rPr>
      </w:pPr>
      <w:r w:rsidRPr="00405303">
        <w:rPr>
          <w:bCs/>
          <w:color w:val="002060"/>
          <w:sz w:val="16"/>
          <w:szCs w:val="16"/>
        </w:rPr>
        <w:t xml:space="preserve">Нельзя не отметить, что весьма нередко заводы, привлекаемые С.Н. Ванковым к снарядному делу, упорно уклонялись от него, предпочитая заняться более выгодными для себя и менее ответственными частными заказами. Это приводило к необходимости обследования заводов и принятию соответствующих мер, которые, однако, не шли дальше аннулирования заказа, ибо уполномоченный не имел на этот случай специальных прав. </w:t>
      </w:r>
    </w:p>
    <w:p w14:paraId="05BFD719" w14:textId="77777777" w:rsidR="004B4E35" w:rsidRPr="00405303" w:rsidRDefault="009E6F82" w:rsidP="00C15251">
      <w:pPr>
        <w:jc w:val="both"/>
        <w:rPr>
          <w:bCs/>
          <w:color w:val="002060"/>
          <w:sz w:val="16"/>
          <w:szCs w:val="16"/>
        </w:rPr>
      </w:pPr>
      <w:r w:rsidRPr="00405303">
        <w:rPr>
          <w:bCs/>
          <w:color w:val="002060"/>
          <w:sz w:val="16"/>
          <w:szCs w:val="16"/>
        </w:rPr>
        <w:t xml:space="preserve">Необходимо констатировать, что новизна дела в первое время сильно отпугивала заводчиков и нужно было много энергии, чтобы внушить им веру в дело. С другой стороны, большим тормозом дела служило то обстоятельство, что заводы обычно с недоверием относились к инструктированию со стороны техников организации Ванкова и пытались решать все технические вопросы самостоятельно. При отсутствии опыта это часто давало плачевные результаты, и в конце концов приходилось все-таки пользоваться консультацией и руководством организации Ванкова, с потерей, конечно, дорогого времени. Впрочем, организация сравнительно в непродолжительное время сумела завоевать надлежащий авторитет среди работавших на заводах французских снарядов (так в тексте. Очевидно — специалистов. — Ред.). </w:t>
      </w:r>
    </w:p>
    <w:p w14:paraId="2BAB9C18"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Можно считать, что валовое изготовление 3-дм гранат началось с сентября 1915 г. и </w:t>
      </w:r>
      <w:proofErr w:type="gramStart"/>
      <w:r w:rsidRPr="00405303">
        <w:rPr>
          <w:bCs/>
          <w:color w:val="002060"/>
          <w:sz w:val="16"/>
          <w:szCs w:val="16"/>
        </w:rPr>
        <w:t>шло</w:t>
      </w:r>
      <w:proofErr w:type="gramEnd"/>
      <w:r w:rsidRPr="00405303">
        <w:rPr>
          <w:bCs/>
          <w:color w:val="002060"/>
          <w:sz w:val="16"/>
          <w:szCs w:val="16"/>
        </w:rPr>
        <w:t xml:space="preserve"> постоянно увеличиваясь и достигнув максимума в декабре 1916 года. </w:t>
      </w:r>
    </w:p>
    <w:p w14:paraId="71901F87" w14:textId="77777777" w:rsidR="004B4E35" w:rsidRPr="00405303" w:rsidRDefault="009E6F82" w:rsidP="00C15251">
      <w:pPr>
        <w:jc w:val="both"/>
        <w:rPr>
          <w:bCs/>
          <w:color w:val="002060"/>
          <w:sz w:val="16"/>
          <w:szCs w:val="16"/>
        </w:rPr>
      </w:pPr>
      <w:r w:rsidRPr="00405303">
        <w:rPr>
          <w:bCs/>
          <w:color w:val="002060"/>
          <w:sz w:val="16"/>
          <w:szCs w:val="16"/>
        </w:rPr>
        <w:t xml:space="preserve">Рост месячного выпуска снарядов шел следующим темпом (суммарно по всем заводам,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600"/>
      </w:tblGrid>
      <w:tr w:rsidR="004B4E35" w:rsidRPr="00405303" w14:paraId="349D7EE7" w14:textId="77777777">
        <w:tc>
          <w:tcPr>
            <w:tcW w:w="1896" w:type="dxa"/>
          </w:tcPr>
          <w:p w14:paraId="411683F1" w14:textId="77777777" w:rsidR="004B4E35" w:rsidRPr="00405303" w:rsidRDefault="009E6F82" w:rsidP="00C15251">
            <w:pPr>
              <w:jc w:val="both"/>
              <w:rPr>
                <w:bCs/>
                <w:color w:val="002060"/>
                <w:sz w:val="16"/>
                <w:szCs w:val="16"/>
              </w:rPr>
            </w:pPr>
            <w:r w:rsidRPr="00405303">
              <w:rPr>
                <w:bCs/>
                <w:color w:val="002060"/>
                <w:sz w:val="16"/>
                <w:szCs w:val="16"/>
              </w:rPr>
              <w:t>1915 г., сентябрь</w:t>
            </w:r>
          </w:p>
        </w:tc>
        <w:tc>
          <w:tcPr>
            <w:tcW w:w="600" w:type="dxa"/>
          </w:tcPr>
          <w:p w14:paraId="17D07ECF" w14:textId="77777777" w:rsidR="004B4E35" w:rsidRPr="00405303" w:rsidRDefault="009E6F82" w:rsidP="00C15251">
            <w:pPr>
              <w:jc w:val="both"/>
              <w:rPr>
                <w:bCs/>
                <w:color w:val="002060"/>
                <w:sz w:val="16"/>
                <w:szCs w:val="16"/>
              </w:rPr>
            </w:pPr>
            <w:r w:rsidRPr="00405303">
              <w:rPr>
                <w:bCs/>
                <w:color w:val="002060"/>
                <w:sz w:val="16"/>
                <w:szCs w:val="16"/>
              </w:rPr>
              <w:t xml:space="preserve">66 </w:t>
            </w:r>
          </w:p>
        </w:tc>
      </w:tr>
      <w:tr w:rsidR="004B4E35" w:rsidRPr="00405303" w14:paraId="76B3CD96" w14:textId="77777777">
        <w:tc>
          <w:tcPr>
            <w:tcW w:w="1896" w:type="dxa"/>
          </w:tcPr>
          <w:p w14:paraId="191A2422" w14:textId="77777777" w:rsidR="004B4E35" w:rsidRPr="00405303" w:rsidRDefault="009E6F82" w:rsidP="00C15251">
            <w:pPr>
              <w:jc w:val="both"/>
              <w:rPr>
                <w:bCs/>
                <w:color w:val="002060"/>
                <w:sz w:val="16"/>
                <w:szCs w:val="16"/>
              </w:rPr>
            </w:pPr>
            <w:r w:rsidRPr="00405303">
              <w:rPr>
                <w:bCs/>
                <w:color w:val="002060"/>
                <w:sz w:val="16"/>
                <w:szCs w:val="16"/>
              </w:rPr>
              <w:t>октябрь</w:t>
            </w:r>
          </w:p>
        </w:tc>
        <w:tc>
          <w:tcPr>
            <w:tcW w:w="600" w:type="dxa"/>
          </w:tcPr>
          <w:p w14:paraId="1AE8F961" w14:textId="77777777" w:rsidR="004B4E35" w:rsidRPr="00405303" w:rsidRDefault="009E6F82" w:rsidP="00C15251">
            <w:pPr>
              <w:jc w:val="both"/>
              <w:rPr>
                <w:bCs/>
                <w:color w:val="002060"/>
                <w:sz w:val="16"/>
                <w:szCs w:val="16"/>
              </w:rPr>
            </w:pPr>
            <w:r w:rsidRPr="00405303">
              <w:rPr>
                <w:bCs/>
                <w:color w:val="002060"/>
                <w:sz w:val="16"/>
                <w:szCs w:val="16"/>
              </w:rPr>
              <w:t xml:space="preserve">127 </w:t>
            </w:r>
          </w:p>
        </w:tc>
      </w:tr>
      <w:tr w:rsidR="004B4E35" w:rsidRPr="00405303" w14:paraId="6345F76B" w14:textId="77777777">
        <w:tc>
          <w:tcPr>
            <w:tcW w:w="1896" w:type="dxa"/>
          </w:tcPr>
          <w:p w14:paraId="6AE2DB0A"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600" w:type="dxa"/>
          </w:tcPr>
          <w:p w14:paraId="1BFA1009" w14:textId="77777777" w:rsidR="004B4E35" w:rsidRPr="00405303" w:rsidRDefault="009E6F82" w:rsidP="00C15251">
            <w:pPr>
              <w:jc w:val="both"/>
              <w:rPr>
                <w:bCs/>
                <w:color w:val="002060"/>
                <w:sz w:val="16"/>
                <w:szCs w:val="16"/>
              </w:rPr>
            </w:pPr>
            <w:r w:rsidRPr="00405303">
              <w:rPr>
                <w:bCs/>
                <w:color w:val="002060"/>
                <w:sz w:val="16"/>
                <w:szCs w:val="16"/>
              </w:rPr>
              <w:t xml:space="preserve">185 </w:t>
            </w:r>
          </w:p>
        </w:tc>
      </w:tr>
      <w:tr w:rsidR="004B4E35" w:rsidRPr="00405303" w14:paraId="568C4B84" w14:textId="77777777">
        <w:tc>
          <w:tcPr>
            <w:tcW w:w="1896" w:type="dxa"/>
          </w:tcPr>
          <w:p w14:paraId="0E31AF06"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600" w:type="dxa"/>
          </w:tcPr>
          <w:p w14:paraId="231422EB" w14:textId="77777777" w:rsidR="004B4E35" w:rsidRPr="00405303" w:rsidRDefault="009E6F82" w:rsidP="00C15251">
            <w:pPr>
              <w:jc w:val="both"/>
              <w:rPr>
                <w:bCs/>
                <w:color w:val="002060"/>
                <w:sz w:val="16"/>
                <w:szCs w:val="16"/>
              </w:rPr>
            </w:pPr>
            <w:r w:rsidRPr="00405303">
              <w:rPr>
                <w:bCs/>
                <w:color w:val="002060"/>
                <w:sz w:val="16"/>
                <w:szCs w:val="16"/>
              </w:rPr>
              <w:t xml:space="preserve">223 </w:t>
            </w:r>
          </w:p>
        </w:tc>
      </w:tr>
      <w:tr w:rsidR="004B4E35" w:rsidRPr="00405303" w14:paraId="2D16FDE3" w14:textId="77777777">
        <w:tc>
          <w:tcPr>
            <w:tcW w:w="1896" w:type="dxa"/>
          </w:tcPr>
          <w:p w14:paraId="5F39DEFE" w14:textId="77777777" w:rsidR="004B4E35" w:rsidRPr="00405303" w:rsidRDefault="009E6F82" w:rsidP="00C15251">
            <w:pPr>
              <w:jc w:val="both"/>
              <w:rPr>
                <w:bCs/>
                <w:color w:val="002060"/>
                <w:sz w:val="16"/>
                <w:szCs w:val="16"/>
              </w:rPr>
            </w:pPr>
            <w:r w:rsidRPr="00405303">
              <w:rPr>
                <w:bCs/>
                <w:color w:val="002060"/>
                <w:sz w:val="16"/>
                <w:szCs w:val="16"/>
              </w:rPr>
              <w:t>1916 г., январь</w:t>
            </w:r>
          </w:p>
        </w:tc>
        <w:tc>
          <w:tcPr>
            <w:tcW w:w="600" w:type="dxa"/>
          </w:tcPr>
          <w:p w14:paraId="4A2CA085" w14:textId="77777777" w:rsidR="004B4E35" w:rsidRPr="00405303" w:rsidRDefault="009E6F82" w:rsidP="00C15251">
            <w:pPr>
              <w:jc w:val="both"/>
              <w:rPr>
                <w:bCs/>
                <w:color w:val="002060"/>
                <w:sz w:val="16"/>
                <w:szCs w:val="16"/>
              </w:rPr>
            </w:pPr>
            <w:r w:rsidRPr="00405303">
              <w:rPr>
                <w:bCs/>
                <w:color w:val="002060"/>
                <w:sz w:val="16"/>
                <w:szCs w:val="16"/>
              </w:rPr>
              <w:t xml:space="preserve">245 </w:t>
            </w:r>
          </w:p>
        </w:tc>
      </w:tr>
      <w:tr w:rsidR="004B4E35" w:rsidRPr="00405303" w14:paraId="1269DF30" w14:textId="77777777">
        <w:tc>
          <w:tcPr>
            <w:tcW w:w="1896" w:type="dxa"/>
          </w:tcPr>
          <w:p w14:paraId="6616B2B2" w14:textId="77777777" w:rsidR="004B4E35" w:rsidRPr="00405303" w:rsidRDefault="009E6F82" w:rsidP="00C15251">
            <w:pPr>
              <w:jc w:val="both"/>
              <w:rPr>
                <w:bCs/>
                <w:color w:val="002060"/>
                <w:sz w:val="16"/>
                <w:szCs w:val="16"/>
              </w:rPr>
            </w:pPr>
            <w:r w:rsidRPr="00405303">
              <w:rPr>
                <w:bCs/>
                <w:color w:val="002060"/>
                <w:sz w:val="16"/>
                <w:szCs w:val="16"/>
              </w:rPr>
              <w:t>апрель</w:t>
            </w:r>
          </w:p>
        </w:tc>
        <w:tc>
          <w:tcPr>
            <w:tcW w:w="600" w:type="dxa"/>
          </w:tcPr>
          <w:p w14:paraId="0FD25093" w14:textId="77777777" w:rsidR="004B4E35" w:rsidRPr="00405303" w:rsidRDefault="009E6F82" w:rsidP="00C15251">
            <w:pPr>
              <w:jc w:val="both"/>
              <w:rPr>
                <w:bCs/>
                <w:color w:val="002060"/>
                <w:sz w:val="16"/>
                <w:szCs w:val="16"/>
              </w:rPr>
            </w:pPr>
            <w:r w:rsidRPr="00405303">
              <w:rPr>
                <w:bCs/>
                <w:color w:val="002060"/>
                <w:sz w:val="16"/>
                <w:szCs w:val="16"/>
              </w:rPr>
              <w:t xml:space="preserve">422 </w:t>
            </w:r>
          </w:p>
        </w:tc>
      </w:tr>
      <w:tr w:rsidR="004B4E35" w:rsidRPr="00405303" w14:paraId="19F9E0F3" w14:textId="77777777">
        <w:tc>
          <w:tcPr>
            <w:tcW w:w="1896" w:type="dxa"/>
          </w:tcPr>
          <w:p w14:paraId="02A3E85E" w14:textId="77777777" w:rsidR="004B4E35" w:rsidRPr="00405303" w:rsidRDefault="009E6F82" w:rsidP="00C15251">
            <w:pPr>
              <w:jc w:val="both"/>
              <w:rPr>
                <w:bCs/>
                <w:color w:val="002060"/>
                <w:sz w:val="16"/>
                <w:szCs w:val="16"/>
              </w:rPr>
            </w:pPr>
            <w:r w:rsidRPr="00405303">
              <w:rPr>
                <w:bCs/>
                <w:color w:val="002060"/>
                <w:sz w:val="16"/>
                <w:szCs w:val="16"/>
              </w:rPr>
              <w:t>июль</w:t>
            </w:r>
          </w:p>
        </w:tc>
        <w:tc>
          <w:tcPr>
            <w:tcW w:w="600" w:type="dxa"/>
          </w:tcPr>
          <w:p w14:paraId="65160CE7" w14:textId="77777777" w:rsidR="004B4E35" w:rsidRPr="00405303" w:rsidRDefault="009E6F82" w:rsidP="00C15251">
            <w:pPr>
              <w:jc w:val="both"/>
              <w:rPr>
                <w:bCs/>
                <w:color w:val="002060"/>
                <w:sz w:val="16"/>
                <w:szCs w:val="16"/>
              </w:rPr>
            </w:pPr>
            <w:r w:rsidRPr="00405303">
              <w:rPr>
                <w:bCs/>
                <w:color w:val="002060"/>
                <w:sz w:val="16"/>
                <w:szCs w:val="16"/>
              </w:rPr>
              <w:t xml:space="preserve">688 </w:t>
            </w:r>
          </w:p>
        </w:tc>
      </w:tr>
      <w:tr w:rsidR="004B4E35" w:rsidRPr="00405303" w14:paraId="294C0E83" w14:textId="77777777">
        <w:tc>
          <w:tcPr>
            <w:tcW w:w="1896" w:type="dxa"/>
          </w:tcPr>
          <w:p w14:paraId="22378B64" w14:textId="77777777" w:rsidR="004B4E35" w:rsidRPr="00405303" w:rsidRDefault="009E6F82" w:rsidP="00C15251">
            <w:pPr>
              <w:jc w:val="both"/>
              <w:rPr>
                <w:bCs/>
                <w:color w:val="002060"/>
                <w:sz w:val="16"/>
                <w:szCs w:val="16"/>
              </w:rPr>
            </w:pPr>
            <w:r w:rsidRPr="00405303">
              <w:rPr>
                <w:bCs/>
                <w:color w:val="002060"/>
                <w:sz w:val="16"/>
                <w:szCs w:val="16"/>
              </w:rPr>
              <w:t>сентябрь</w:t>
            </w:r>
          </w:p>
        </w:tc>
        <w:tc>
          <w:tcPr>
            <w:tcW w:w="600" w:type="dxa"/>
          </w:tcPr>
          <w:p w14:paraId="47EB4F3F" w14:textId="77777777" w:rsidR="004B4E35" w:rsidRPr="00405303" w:rsidRDefault="009E6F82" w:rsidP="00C15251">
            <w:pPr>
              <w:jc w:val="both"/>
              <w:rPr>
                <w:bCs/>
                <w:color w:val="002060"/>
                <w:sz w:val="16"/>
                <w:szCs w:val="16"/>
              </w:rPr>
            </w:pPr>
            <w:r w:rsidRPr="00405303">
              <w:rPr>
                <w:bCs/>
                <w:color w:val="002060"/>
                <w:sz w:val="16"/>
                <w:szCs w:val="16"/>
              </w:rPr>
              <w:t xml:space="preserve">703 </w:t>
            </w:r>
          </w:p>
        </w:tc>
      </w:tr>
      <w:tr w:rsidR="004B4E35" w:rsidRPr="00405303" w14:paraId="3DF6ADA7" w14:textId="77777777">
        <w:tc>
          <w:tcPr>
            <w:tcW w:w="1896" w:type="dxa"/>
          </w:tcPr>
          <w:p w14:paraId="65D57D45"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600" w:type="dxa"/>
          </w:tcPr>
          <w:p w14:paraId="4A33BD6C" w14:textId="77777777" w:rsidR="004B4E35" w:rsidRPr="00405303" w:rsidRDefault="009E6F82" w:rsidP="00C15251">
            <w:pPr>
              <w:jc w:val="both"/>
              <w:rPr>
                <w:bCs/>
                <w:color w:val="002060"/>
                <w:sz w:val="16"/>
                <w:szCs w:val="16"/>
              </w:rPr>
            </w:pPr>
            <w:r w:rsidRPr="00405303">
              <w:rPr>
                <w:bCs/>
                <w:color w:val="002060"/>
                <w:sz w:val="16"/>
                <w:szCs w:val="16"/>
              </w:rPr>
              <w:t xml:space="preserve">783 </w:t>
            </w:r>
          </w:p>
        </w:tc>
      </w:tr>
      <w:tr w:rsidR="004B4E35" w:rsidRPr="00405303" w14:paraId="2E301202" w14:textId="77777777">
        <w:tc>
          <w:tcPr>
            <w:tcW w:w="1896" w:type="dxa"/>
          </w:tcPr>
          <w:p w14:paraId="3B70BC34" w14:textId="77777777" w:rsidR="004B4E35" w:rsidRPr="00405303" w:rsidRDefault="009E6F82" w:rsidP="00C15251">
            <w:pPr>
              <w:jc w:val="both"/>
              <w:rPr>
                <w:bCs/>
                <w:color w:val="002060"/>
                <w:sz w:val="16"/>
                <w:szCs w:val="16"/>
              </w:rPr>
            </w:pPr>
            <w:r w:rsidRPr="00405303">
              <w:rPr>
                <w:bCs/>
                <w:color w:val="002060"/>
                <w:sz w:val="16"/>
                <w:szCs w:val="16"/>
              </w:rPr>
              <w:t>1917 г., январь</w:t>
            </w:r>
          </w:p>
        </w:tc>
        <w:tc>
          <w:tcPr>
            <w:tcW w:w="600" w:type="dxa"/>
          </w:tcPr>
          <w:p w14:paraId="6EF0FD3D" w14:textId="77777777" w:rsidR="004B4E35" w:rsidRPr="00405303" w:rsidRDefault="009E6F82" w:rsidP="00C15251">
            <w:pPr>
              <w:jc w:val="both"/>
              <w:rPr>
                <w:bCs/>
                <w:color w:val="002060"/>
                <w:sz w:val="16"/>
                <w:szCs w:val="16"/>
              </w:rPr>
            </w:pPr>
            <w:r w:rsidRPr="00405303">
              <w:rPr>
                <w:bCs/>
                <w:color w:val="002060"/>
                <w:sz w:val="16"/>
                <w:szCs w:val="16"/>
              </w:rPr>
              <w:t xml:space="preserve">764 </w:t>
            </w:r>
          </w:p>
        </w:tc>
      </w:tr>
      <w:tr w:rsidR="004B4E35" w:rsidRPr="00405303" w14:paraId="61F6FCE1" w14:textId="77777777">
        <w:tc>
          <w:tcPr>
            <w:tcW w:w="1896" w:type="dxa"/>
          </w:tcPr>
          <w:p w14:paraId="052FB285" w14:textId="77777777" w:rsidR="004B4E35" w:rsidRPr="00405303" w:rsidRDefault="009E6F82" w:rsidP="00C15251">
            <w:pPr>
              <w:jc w:val="both"/>
              <w:rPr>
                <w:bCs/>
                <w:color w:val="002060"/>
                <w:sz w:val="16"/>
                <w:szCs w:val="16"/>
              </w:rPr>
            </w:pPr>
            <w:r w:rsidRPr="00405303">
              <w:rPr>
                <w:bCs/>
                <w:color w:val="002060"/>
                <w:sz w:val="16"/>
                <w:szCs w:val="16"/>
              </w:rPr>
              <w:t>апрель</w:t>
            </w:r>
          </w:p>
        </w:tc>
        <w:tc>
          <w:tcPr>
            <w:tcW w:w="600" w:type="dxa"/>
          </w:tcPr>
          <w:p w14:paraId="11E038FD" w14:textId="77777777" w:rsidR="004B4E35" w:rsidRPr="00405303" w:rsidRDefault="009E6F82" w:rsidP="00C15251">
            <w:pPr>
              <w:jc w:val="both"/>
              <w:rPr>
                <w:bCs/>
                <w:color w:val="002060"/>
                <w:sz w:val="16"/>
                <w:szCs w:val="16"/>
              </w:rPr>
            </w:pPr>
            <w:r w:rsidRPr="00405303">
              <w:rPr>
                <w:bCs/>
                <w:color w:val="002060"/>
                <w:sz w:val="16"/>
                <w:szCs w:val="16"/>
              </w:rPr>
              <w:t xml:space="preserve">501 </w:t>
            </w:r>
          </w:p>
        </w:tc>
      </w:tr>
      <w:tr w:rsidR="004B4E35" w:rsidRPr="00405303" w14:paraId="5E1DB2CF" w14:textId="77777777">
        <w:tc>
          <w:tcPr>
            <w:tcW w:w="1896" w:type="dxa"/>
          </w:tcPr>
          <w:p w14:paraId="5B501BB4" w14:textId="77777777" w:rsidR="004B4E35" w:rsidRPr="00405303" w:rsidRDefault="009E6F82" w:rsidP="00C15251">
            <w:pPr>
              <w:jc w:val="both"/>
              <w:rPr>
                <w:bCs/>
                <w:color w:val="002060"/>
                <w:sz w:val="16"/>
                <w:szCs w:val="16"/>
              </w:rPr>
            </w:pPr>
            <w:r w:rsidRPr="00405303">
              <w:rPr>
                <w:bCs/>
                <w:color w:val="002060"/>
                <w:sz w:val="16"/>
                <w:szCs w:val="16"/>
              </w:rPr>
              <w:t>июль</w:t>
            </w:r>
          </w:p>
        </w:tc>
        <w:tc>
          <w:tcPr>
            <w:tcW w:w="600" w:type="dxa"/>
          </w:tcPr>
          <w:p w14:paraId="2B43ABAC" w14:textId="77777777" w:rsidR="004B4E35" w:rsidRPr="00405303" w:rsidRDefault="009E6F82" w:rsidP="00C15251">
            <w:pPr>
              <w:jc w:val="both"/>
              <w:rPr>
                <w:bCs/>
                <w:color w:val="002060"/>
                <w:sz w:val="16"/>
                <w:szCs w:val="16"/>
              </w:rPr>
            </w:pPr>
            <w:r w:rsidRPr="00405303">
              <w:rPr>
                <w:bCs/>
                <w:color w:val="002060"/>
                <w:sz w:val="16"/>
                <w:szCs w:val="16"/>
              </w:rPr>
              <w:t xml:space="preserve">449 </w:t>
            </w:r>
          </w:p>
        </w:tc>
      </w:tr>
      <w:tr w:rsidR="004B4E35" w:rsidRPr="00405303" w14:paraId="58DB7E5C" w14:textId="77777777">
        <w:tc>
          <w:tcPr>
            <w:tcW w:w="1896" w:type="dxa"/>
          </w:tcPr>
          <w:p w14:paraId="34619A6C"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600" w:type="dxa"/>
          </w:tcPr>
          <w:p w14:paraId="1F6DF84E" w14:textId="77777777" w:rsidR="004B4E35" w:rsidRPr="00405303" w:rsidRDefault="009E6F82" w:rsidP="00C15251">
            <w:pPr>
              <w:jc w:val="both"/>
              <w:rPr>
                <w:bCs/>
                <w:color w:val="002060"/>
                <w:sz w:val="16"/>
                <w:szCs w:val="16"/>
              </w:rPr>
            </w:pPr>
            <w:r w:rsidRPr="00405303">
              <w:rPr>
                <w:bCs/>
                <w:color w:val="002060"/>
                <w:sz w:val="16"/>
                <w:szCs w:val="16"/>
              </w:rPr>
              <w:t xml:space="preserve">291 </w:t>
            </w:r>
          </w:p>
        </w:tc>
      </w:tr>
    </w:tbl>
    <w:p w14:paraId="778B67D6" w14:textId="77777777" w:rsidR="004B4E35" w:rsidRPr="00405303" w:rsidRDefault="009E6F82" w:rsidP="00C15251">
      <w:pPr>
        <w:jc w:val="both"/>
        <w:rPr>
          <w:bCs/>
          <w:color w:val="002060"/>
          <w:sz w:val="16"/>
          <w:szCs w:val="16"/>
        </w:rPr>
      </w:pPr>
      <w:r w:rsidRPr="00405303">
        <w:rPr>
          <w:bCs/>
          <w:color w:val="002060"/>
          <w:sz w:val="16"/>
          <w:szCs w:val="16"/>
        </w:rPr>
        <w:t xml:space="preserve">Всего с сентября 1915 г. по ноябрь 1917 г. выпущено 12 000 000 корпусов 3-дм гранат. С февраля 1917 г. производительность начинает падать и приходит к нулю в конце 1917 года. </w:t>
      </w:r>
    </w:p>
    <w:p w14:paraId="3A1B6378" w14:textId="77777777" w:rsidR="004B4E35" w:rsidRPr="00405303" w:rsidRDefault="009E6F82" w:rsidP="00C15251">
      <w:pPr>
        <w:jc w:val="both"/>
        <w:rPr>
          <w:bCs/>
          <w:color w:val="002060"/>
          <w:sz w:val="16"/>
          <w:szCs w:val="16"/>
        </w:rPr>
      </w:pPr>
      <w:r w:rsidRPr="00405303">
        <w:rPr>
          <w:bCs/>
          <w:color w:val="002060"/>
          <w:sz w:val="16"/>
          <w:szCs w:val="16"/>
        </w:rPr>
        <w:t xml:space="preserve">Сверх 3-дм гранат французского образца, уполномоченному ГАУ в середине 1916 г. было, как указано выше, поручено Главным артиллерийским управлением изготовление стальных снарядов 155-мм, 57-мм и 48-лин. химических, в количествах, указанных выше. </w:t>
      </w:r>
    </w:p>
    <w:p w14:paraId="47C3CDA2" w14:textId="77777777" w:rsidR="004B4E35" w:rsidRPr="00405303" w:rsidRDefault="009E6F82" w:rsidP="00C15251">
      <w:pPr>
        <w:jc w:val="both"/>
        <w:rPr>
          <w:bCs/>
          <w:color w:val="002060"/>
          <w:sz w:val="16"/>
          <w:szCs w:val="16"/>
        </w:rPr>
      </w:pPr>
      <w:r w:rsidRPr="00405303">
        <w:rPr>
          <w:bCs/>
          <w:color w:val="002060"/>
          <w:sz w:val="16"/>
          <w:szCs w:val="16"/>
        </w:rPr>
        <w:t xml:space="preserve">Все подготовительные к исполнению заказа работы были выполнены и заказ размещен, но реализовать его не пришлось ввиду ликвидации всего снарядного дела к концу 1917 года. </w:t>
      </w:r>
    </w:p>
    <w:p w14:paraId="3DB48DED" w14:textId="77777777" w:rsidR="004B4E35" w:rsidRPr="00405303" w:rsidRDefault="009E6F82" w:rsidP="00C15251">
      <w:pPr>
        <w:jc w:val="both"/>
        <w:rPr>
          <w:bCs/>
          <w:color w:val="002060"/>
          <w:sz w:val="16"/>
          <w:szCs w:val="16"/>
        </w:rPr>
      </w:pPr>
      <w:r w:rsidRPr="00405303">
        <w:rPr>
          <w:bCs/>
          <w:color w:val="002060"/>
          <w:sz w:val="16"/>
          <w:szCs w:val="16"/>
        </w:rPr>
        <w:t xml:space="preserve">Уполномоченному ГАУ поручено было также изготовление снарядов средних и больших калибров из сталистого чугуна. Сталистый чугун являлся нововведением в снарядном деле. В технике вообще он появился в 1880—1890-е годы во Франции, под именем "арденского чугуна". Но как материал он не был изучен и производство его не было поставлено на научных началах. Изучению сталистого чугуна было положено начало работами капитана французской службы Праша, произведшего капитальные исследования по этому вопросу. Сталистый чугун, стоящий по своему составу между чугуном и сталью, имеет значительную прочность, обусловливаемую относительной бедностью углеродом и значительным процентом связанного углерода. Одним из препятствий к употреблению сталистого чугуна в артиллерийском деле служила необходимость выплавки его в отражательных печах. Поэтому во Франции были изысканы и разработаны методы получения его в вагранках. Надо заметить, что эти методы в России были найдены ранее, чем во Франции, именно — 40 лет назад проф. Черновым. </w:t>
      </w:r>
    </w:p>
    <w:p w14:paraId="52B5A147" w14:textId="77777777" w:rsidR="004B4E35" w:rsidRPr="00405303" w:rsidRDefault="009E6F82" w:rsidP="00C15251">
      <w:pPr>
        <w:jc w:val="both"/>
        <w:rPr>
          <w:bCs/>
          <w:color w:val="002060"/>
          <w:sz w:val="16"/>
          <w:szCs w:val="16"/>
        </w:rPr>
      </w:pPr>
      <w:r w:rsidRPr="00405303">
        <w:rPr>
          <w:bCs/>
          <w:color w:val="002060"/>
          <w:sz w:val="16"/>
          <w:szCs w:val="16"/>
        </w:rPr>
        <w:t xml:space="preserve">Применение сталистого чугуна во Франции во время войны 1914—1917 гг. в результате опытов Праша приняло широкие размеры и способствовало в значительной мере урегулированию снарядного кризиса. Это обстоятельство побудило поставить вопрос об изготовлении снарядов сталистого чугуна в России. После долгих обсуждений вопрос был разрешен в утвердительном смысле. После предварительных опытных работ первый заказ на 6-дм сталистые бомбы был дан в середине 1916 года. Он был размещен на 14 заводах, главным образом южных. Затем последовал заказ на 48-лин. бомбы. </w:t>
      </w:r>
    </w:p>
    <w:p w14:paraId="1CF8F504" w14:textId="77777777" w:rsidR="004B4E35" w:rsidRPr="00405303" w:rsidRDefault="009E6F82" w:rsidP="00C15251">
      <w:pPr>
        <w:jc w:val="both"/>
        <w:rPr>
          <w:bCs/>
          <w:color w:val="002060"/>
          <w:sz w:val="16"/>
          <w:szCs w:val="16"/>
        </w:rPr>
      </w:pPr>
      <w:r w:rsidRPr="00405303">
        <w:rPr>
          <w:bCs/>
          <w:color w:val="002060"/>
          <w:sz w:val="16"/>
          <w:szCs w:val="16"/>
        </w:rPr>
        <w:t xml:space="preserve">Организацией Ванкова были разработаны новые методы приемки сталистых снарядов, отличные от французских. </w:t>
      </w:r>
    </w:p>
    <w:p w14:paraId="15DC543A" w14:textId="77777777" w:rsidR="004B4E35" w:rsidRPr="00405303" w:rsidRDefault="009E6F82" w:rsidP="00C15251">
      <w:pPr>
        <w:jc w:val="both"/>
        <w:rPr>
          <w:bCs/>
          <w:color w:val="002060"/>
          <w:sz w:val="16"/>
          <w:szCs w:val="16"/>
        </w:rPr>
      </w:pPr>
      <w:r w:rsidRPr="00405303">
        <w:rPr>
          <w:bCs/>
          <w:color w:val="002060"/>
          <w:sz w:val="16"/>
          <w:szCs w:val="16"/>
        </w:rPr>
        <w:t xml:space="preserve">Результаты работ по сталистым снарядам, 6-дм и 48-лин, выразились следующими цифрами (тыс. шт.):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60"/>
        <w:gridCol w:w="564"/>
        <w:gridCol w:w="938"/>
      </w:tblGrid>
      <w:tr w:rsidR="004B4E35" w:rsidRPr="00405303" w14:paraId="4E115AFF" w14:textId="77777777">
        <w:tc>
          <w:tcPr>
            <w:tcW w:w="2160" w:type="dxa"/>
          </w:tcPr>
          <w:p w14:paraId="4097EA45" w14:textId="77777777" w:rsidR="004B4E35" w:rsidRPr="00405303" w:rsidRDefault="009E6F82" w:rsidP="00C15251">
            <w:pPr>
              <w:jc w:val="both"/>
              <w:rPr>
                <w:bCs/>
                <w:color w:val="002060"/>
                <w:sz w:val="16"/>
                <w:szCs w:val="16"/>
              </w:rPr>
            </w:pPr>
            <w:r w:rsidRPr="00405303">
              <w:rPr>
                <w:bCs/>
                <w:color w:val="002060"/>
                <w:sz w:val="16"/>
                <w:szCs w:val="16"/>
              </w:rPr>
              <w:t>Рост выпуска продукции в 1917 г.</w:t>
            </w:r>
          </w:p>
        </w:tc>
        <w:tc>
          <w:tcPr>
            <w:tcW w:w="564" w:type="dxa"/>
          </w:tcPr>
          <w:p w14:paraId="1F03318F" w14:textId="77777777" w:rsidR="004B4E35" w:rsidRPr="00405303" w:rsidRDefault="009E6F82" w:rsidP="00C15251">
            <w:pPr>
              <w:jc w:val="both"/>
              <w:rPr>
                <w:bCs/>
                <w:color w:val="002060"/>
                <w:sz w:val="16"/>
                <w:szCs w:val="16"/>
              </w:rPr>
            </w:pPr>
            <w:r w:rsidRPr="00405303">
              <w:rPr>
                <w:bCs/>
                <w:color w:val="002060"/>
                <w:sz w:val="16"/>
                <w:szCs w:val="16"/>
              </w:rPr>
              <w:t>Литье</w:t>
            </w:r>
          </w:p>
        </w:tc>
        <w:tc>
          <w:tcPr>
            <w:tcW w:w="938" w:type="dxa"/>
          </w:tcPr>
          <w:p w14:paraId="58910248" w14:textId="77777777" w:rsidR="004B4E35" w:rsidRPr="00405303" w:rsidRDefault="009E6F82" w:rsidP="00C15251">
            <w:pPr>
              <w:jc w:val="both"/>
              <w:rPr>
                <w:bCs/>
                <w:color w:val="002060"/>
                <w:sz w:val="16"/>
                <w:szCs w:val="16"/>
              </w:rPr>
            </w:pPr>
            <w:r w:rsidRPr="00405303">
              <w:rPr>
                <w:bCs/>
                <w:color w:val="002060"/>
                <w:sz w:val="16"/>
                <w:szCs w:val="16"/>
              </w:rPr>
              <w:t>Обработка</w:t>
            </w:r>
          </w:p>
        </w:tc>
      </w:tr>
      <w:tr w:rsidR="004B4E35" w:rsidRPr="00405303" w14:paraId="7791FE1E" w14:textId="77777777">
        <w:tc>
          <w:tcPr>
            <w:tcW w:w="2160" w:type="dxa"/>
          </w:tcPr>
          <w:p w14:paraId="0ADCD67C" w14:textId="77777777" w:rsidR="004B4E35" w:rsidRPr="00405303" w:rsidRDefault="009E6F82" w:rsidP="00C15251">
            <w:pPr>
              <w:jc w:val="both"/>
              <w:rPr>
                <w:bCs/>
                <w:color w:val="002060"/>
                <w:sz w:val="16"/>
                <w:szCs w:val="16"/>
              </w:rPr>
            </w:pPr>
            <w:r w:rsidRPr="00405303">
              <w:rPr>
                <w:bCs/>
                <w:color w:val="002060"/>
                <w:sz w:val="16"/>
                <w:szCs w:val="16"/>
              </w:rPr>
              <w:t>Январь</w:t>
            </w:r>
          </w:p>
        </w:tc>
        <w:tc>
          <w:tcPr>
            <w:tcW w:w="564" w:type="dxa"/>
          </w:tcPr>
          <w:p w14:paraId="551D1176" w14:textId="77777777" w:rsidR="004B4E35" w:rsidRPr="00405303" w:rsidRDefault="009E6F82" w:rsidP="00C15251">
            <w:pPr>
              <w:jc w:val="both"/>
              <w:rPr>
                <w:bCs/>
                <w:color w:val="002060"/>
                <w:sz w:val="16"/>
                <w:szCs w:val="16"/>
              </w:rPr>
            </w:pPr>
            <w:r w:rsidRPr="00405303">
              <w:rPr>
                <w:bCs/>
                <w:color w:val="002060"/>
                <w:sz w:val="16"/>
                <w:szCs w:val="16"/>
              </w:rPr>
              <w:t>236</w:t>
            </w:r>
          </w:p>
        </w:tc>
        <w:tc>
          <w:tcPr>
            <w:tcW w:w="938" w:type="dxa"/>
          </w:tcPr>
          <w:p w14:paraId="5733C178" w14:textId="77777777" w:rsidR="004B4E35" w:rsidRPr="00405303" w:rsidRDefault="009E6F82" w:rsidP="00C15251">
            <w:pPr>
              <w:jc w:val="both"/>
              <w:rPr>
                <w:bCs/>
                <w:color w:val="002060"/>
                <w:sz w:val="16"/>
                <w:szCs w:val="16"/>
              </w:rPr>
            </w:pPr>
            <w:r w:rsidRPr="00405303">
              <w:rPr>
                <w:bCs/>
                <w:color w:val="002060"/>
                <w:sz w:val="16"/>
                <w:szCs w:val="16"/>
              </w:rPr>
              <w:t>118</w:t>
            </w:r>
          </w:p>
        </w:tc>
      </w:tr>
      <w:tr w:rsidR="004B4E35" w:rsidRPr="00405303" w14:paraId="4AF5F5AA" w14:textId="77777777">
        <w:tc>
          <w:tcPr>
            <w:tcW w:w="2160" w:type="dxa"/>
          </w:tcPr>
          <w:p w14:paraId="36CEC9D2" w14:textId="77777777" w:rsidR="004B4E35" w:rsidRPr="00405303" w:rsidRDefault="009E6F82" w:rsidP="00C15251">
            <w:pPr>
              <w:jc w:val="both"/>
              <w:rPr>
                <w:bCs/>
                <w:color w:val="002060"/>
                <w:sz w:val="16"/>
                <w:szCs w:val="16"/>
              </w:rPr>
            </w:pPr>
            <w:r w:rsidRPr="00405303">
              <w:rPr>
                <w:bCs/>
                <w:color w:val="002060"/>
                <w:sz w:val="16"/>
                <w:szCs w:val="16"/>
              </w:rPr>
              <w:t>Июнь</w:t>
            </w:r>
          </w:p>
        </w:tc>
        <w:tc>
          <w:tcPr>
            <w:tcW w:w="564" w:type="dxa"/>
          </w:tcPr>
          <w:p w14:paraId="3621601F" w14:textId="77777777" w:rsidR="004B4E35" w:rsidRPr="00405303" w:rsidRDefault="009E6F82" w:rsidP="00C15251">
            <w:pPr>
              <w:jc w:val="both"/>
              <w:rPr>
                <w:bCs/>
                <w:color w:val="002060"/>
                <w:sz w:val="16"/>
                <w:szCs w:val="16"/>
              </w:rPr>
            </w:pPr>
            <w:r w:rsidRPr="00405303">
              <w:rPr>
                <w:bCs/>
                <w:color w:val="002060"/>
                <w:sz w:val="16"/>
                <w:szCs w:val="16"/>
              </w:rPr>
              <w:t>666</w:t>
            </w:r>
          </w:p>
        </w:tc>
        <w:tc>
          <w:tcPr>
            <w:tcW w:w="938" w:type="dxa"/>
          </w:tcPr>
          <w:p w14:paraId="39714F24" w14:textId="77777777" w:rsidR="004B4E35" w:rsidRPr="00405303" w:rsidRDefault="009E6F82" w:rsidP="00C15251">
            <w:pPr>
              <w:jc w:val="both"/>
              <w:rPr>
                <w:bCs/>
                <w:color w:val="002060"/>
                <w:sz w:val="16"/>
                <w:szCs w:val="16"/>
              </w:rPr>
            </w:pPr>
            <w:r w:rsidRPr="00405303">
              <w:rPr>
                <w:bCs/>
                <w:color w:val="002060"/>
                <w:sz w:val="16"/>
                <w:szCs w:val="16"/>
              </w:rPr>
              <w:t>345</w:t>
            </w:r>
          </w:p>
        </w:tc>
      </w:tr>
      <w:tr w:rsidR="004B4E35" w:rsidRPr="00405303" w14:paraId="4DBE6D01" w14:textId="77777777">
        <w:tc>
          <w:tcPr>
            <w:tcW w:w="2160" w:type="dxa"/>
          </w:tcPr>
          <w:p w14:paraId="58DE4F93"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564" w:type="dxa"/>
          </w:tcPr>
          <w:p w14:paraId="639FABEB" w14:textId="77777777" w:rsidR="004B4E35" w:rsidRPr="00405303" w:rsidRDefault="009E6F82" w:rsidP="00C15251">
            <w:pPr>
              <w:jc w:val="both"/>
              <w:rPr>
                <w:bCs/>
                <w:color w:val="002060"/>
                <w:sz w:val="16"/>
                <w:szCs w:val="16"/>
              </w:rPr>
            </w:pPr>
            <w:r w:rsidRPr="00405303">
              <w:rPr>
                <w:bCs/>
                <w:color w:val="002060"/>
                <w:sz w:val="16"/>
                <w:szCs w:val="16"/>
              </w:rPr>
              <w:t>1024</w:t>
            </w:r>
          </w:p>
        </w:tc>
        <w:tc>
          <w:tcPr>
            <w:tcW w:w="938" w:type="dxa"/>
          </w:tcPr>
          <w:p w14:paraId="7F933753" w14:textId="77777777" w:rsidR="004B4E35" w:rsidRPr="00405303" w:rsidRDefault="009E6F82" w:rsidP="00C15251">
            <w:pPr>
              <w:jc w:val="both"/>
              <w:rPr>
                <w:bCs/>
                <w:color w:val="002060"/>
                <w:sz w:val="16"/>
                <w:szCs w:val="16"/>
              </w:rPr>
            </w:pPr>
            <w:r w:rsidRPr="00405303">
              <w:rPr>
                <w:bCs/>
                <w:color w:val="002060"/>
                <w:sz w:val="16"/>
                <w:szCs w:val="16"/>
              </w:rPr>
              <w:t>545</w:t>
            </w:r>
          </w:p>
        </w:tc>
      </w:tr>
    </w:tbl>
    <w:p w14:paraId="1D6890F6" w14:textId="77777777" w:rsidR="004B4E35" w:rsidRPr="00405303" w:rsidRDefault="009E6F82" w:rsidP="00C15251">
      <w:pPr>
        <w:jc w:val="both"/>
        <w:rPr>
          <w:bCs/>
          <w:color w:val="002060"/>
          <w:sz w:val="16"/>
          <w:szCs w:val="16"/>
        </w:rPr>
      </w:pPr>
      <w:r w:rsidRPr="00405303">
        <w:rPr>
          <w:bCs/>
          <w:color w:val="002060"/>
          <w:sz w:val="16"/>
          <w:szCs w:val="16"/>
        </w:rPr>
        <w:t xml:space="preserve">К снарядам необходимо было готовить запальные стаканы и детонаторные трубки французского образца. Наибольшие трудности представляло изготовление трубок, производство коих являлось совершенно новым ввиду полного несходства французского образца трубок с русскими. Производство французских трубок, как и русских, является высокоточным. Число заводов, которые могли бы взяться за эту работу, оказалось сначала четыре, а затем к ним присоединились еще три, всего — семь. Из этих семи заводов сравнительно успешно и быстро справились с делом только четыре, из коих один (Русский Рено) оборудовал отдельный завод, выписав специальное оборудование из-за границы. В результате производство французских трубок не поспевало за производством снарядов и недобор трубок пришлось восполнятъ выпиской из Франции. </w:t>
      </w:r>
    </w:p>
    <w:p w14:paraId="4F8DFFCA" w14:textId="77777777" w:rsidR="004B4E35" w:rsidRPr="00405303" w:rsidRDefault="009E6F82" w:rsidP="00C15251">
      <w:pPr>
        <w:jc w:val="both"/>
        <w:rPr>
          <w:bCs/>
          <w:color w:val="002060"/>
          <w:sz w:val="16"/>
          <w:szCs w:val="16"/>
        </w:rPr>
      </w:pPr>
      <w:r w:rsidRPr="00405303">
        <w:rPr>
          <w:bCs/>
          <w:color w:val="002060"/>
          <w:sz w:val="16"/>
          <w:szCs w:val="16"/>
        </w:rPr>
        <w:t xml:space="preserve">Применение в русской артиллерии французских трубок потребовало ряда опытов для выяснения вопросов, возникавших и в процессе производства этих трубок и при стрельбе ими. В конце концов все эти вопросы были удовлетворительно разрешены. </w:t>
      </w:r>
    </w:p>
    <w:p w14:paraId="159ABABB" w14:textId="77777777" w:rsidR="004B4E35" w:rsidRPr="00405303" w:rsidRDefault="009E6F82" w:rsidP="00C15251">
      <w:pPr>
        <w:jc w:val="both"/>
        <w:rPr>
          <w:bCs/>
          <w:color w:val="002060"/>
          <w:sz w:val="16"/>
          <w:szCs w:val="16"/>
        </w:rPr>
      </w:pPr>
      <w:r w:rsidRPr="00405303">
        <w:rPr>
          <w:bCs/>
          <w:color w:val="002060"/>
          <w:sz w:val="16"/>
          <w:szCs w:val="16"/>
        </w:rPr>
        <w:t xml:space="preserve">Большие трудности представила установка производства запальных стаканов благодаря требовавшейся от этого изделия большой точности. Во Франции на эту работу, как и на трубки, были использованы имевшиеся в большом количестве арматурные заводы, обладавшие большим числом однотипных станков. В России таких заводов было немного, да и вообще русские заводы, не привыкшие к высокоточной работе, всеми способами уклонялись от нее, тем </w:t>
      </w:r>
      <w:proofErr w:type="gramStart"/>
      <w:r w:rsidRPr="00405303">
        <w:rPr>
          <w:bCs/>
          <w:color w:val="002060"/>
          <w:sz w:val="16"/>
          <w:szCs w:val="16"/>
        </w:rPr>
        <w:t>более</w:t>
      </w:r>
      <w:proofErr w:type="gramEnd"/>
      <w:r w:rsidRPr="00405303">
        <w:rPr>
          <w:bCs/>
          <w:color w:val="002060"/>
          <w:sz w:val="16"/>
          <w:szCs w:val="16"/>
        </w:rPr>
        <w:t xml:space="preserve"> когда вопрос шел о массовом производстве, а с научными принципами массового производства русская гражданская промышленность была до крайности мало знакома. Точные массовые производства были специальностью почти исключительно военно-промышленных заводов. Пришлось ставить производство трубок и станков (стаканов. — Ред.) самым разнообразным способом в смысле применения того или другого оборудования, а также в смысле организации производства и технических приемов работы. </w:t>
      </w:r>
    </w:p>
    <w:p w14:paraId="6BFA634F" w14:textId="77777777" w:rsidR="004B4E35" w:rsidRPr="00405303" w:rsidRDefault="009E6F82" w:rsidP="00C15251">
      <w:pPr>
        <w:jc w:val="both"/>
        <w:rPr>
          <w:bCs/>
          <w:color w:val="002060"/>
          <w:sz w:val="16"/>
          <w:szCs w:val="16"/>
        </w:rPr>
      </w:pPr>
      <w:r w:rsidRPr="00405303">
        <w:rPr>
          <w:bCs/>
          <w:color w:val="002060"/>
          <w:sz w:val="16"/>
          <w:szCs w:val="16"/>
        </w:rPr>
        <w:t>Производство стаканов в конце концов наладилось и постепенно догнало производство гранат. Постепенно производительность увеличивается из месяца в месяц, как показано в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060"/>
        <w:gridCol w:w="1248"/>
        <w:gridCol w:w="1246"/>
      </w:tblGrid>
      <w:tr w:rsidR="004B4E35" w:rsidRPr="00405303" w14:paraId="2658C6E5" w14:textId="77777777">
        <w:tc>
          <w:tcPr>
            <w:tcW w:w="3060" w:type="dxa"/>
          </w:tcPr>
          <w:p w14:paraId="7FC0C38F" w14:textId="77777777" w:rsidR="004B4E35" w:rsidRPr="00405303" w:rsidRDefault="009E6F82" w:rsidP="00C15251">
            <w:pPr>
              <w:jc w:val="both"/>
              <w:rPr>
                <w:bCs/>
                <w:color w:val="002060"/>
                <w:sz w:val="16"/>
                <w:szCs w:val="16"/>
              </w:rPr>
            </w:pPr>
            <w:r w:rsidRPr="00405303">
              <w:rPr>
                <w:bCs/>
                <w:color w:val="002060"/>
                <w:sz w:val="16"/>
                <w:szCs w:val="16"/>
              </w:rPr>
              <w:t>Рост выпуска продукции</w:t>
            </w:r>
          </w:p>
        </w:tc>
        <w:tc>
          <w:tcPr>
            <w:tcW w:w="1248" w:type="dxa"/>
          </w:tcPr>
          <w:p w14:paraId="211B3A84" w14:textId="77777777" w:rsidR="004B4E35" w:rsidRPr="00405303" w:rsidRDefault="009E6F82" w:rsidP="00C15251">
            <w:pPr>
              <w:jc w:val="both"/>
              <w:rPr>
                <w:bCs/>
                <w:color w:val="002060"/>
                <w:sz w:val="16"/>
                <w:szCs w:val="16"/>
              </w:rPr>
            </w:pPr>
            <w:r w:rsidRPr="00405303">
              <w:rPr>
                <w:bCs/>
                <w:color w:val="002060"/>
                <w:sz w:val="16"/>
                <w:szCs w:val="16"/>
              </w:rPr>
              <w:t>Запальные стаканы 6-дм, 3-дм и У.С.</w:t>
            </w:r>
          </w:p>
        </w:tc>
        <w:tc>
          <w:tcPr>
            <w:tcW w:w="1246" w:type="dxa"/>
          </w:tcPr>
          <w:p w14:paraId="2CA08D48" w14:textId="77777777" w:rsidR="004B4E35" w:rsidRPr="00405303" w:rsidRDefault="009E6F82" w:rsidP="00C15251">
            <w:pPr>
              <w:jc w:val="both"/>
              <w:rPr>
                <w:bCs/>
                <w:color w:val="002060"/>
                <w:sz w:val="16"/>
                <w:szCs w:val="16"/>
              </w:rPr>
            </w:pPr>
            <w:r w:rsidRPr="00405303">
              <w:rPr>
                <w:bCs/>
                <w:color w:val="002060"/>
                <w:sz w:val="16"/>
                <w:szCs w:val="16"/>
              </w:rPr>
              <w:t>Детонаторные</w:t>
            </w:r>
          </w:p>
        </w:tc>
      </w:tr>
      <w:tr w:rsidR="004B4E35" w:rsidRPr="00405303" w14:paraId="13D32608" w14:textId="77777777">
        <w:tc>
          <w:tcPr>
            <w:tcW w:w="3060" w:type="dxa"/>
          </w:tcPr>
          <w:p w14:paraId="36D2FA76" w14:textId="77777777" w:rsidR="004B4E35" w:rsidRPr="00405303" w:rsidRDefault="009E6F82" w:rsidP="00C15251">
            <w:pPr>
              <w:jc w:val="both"/>
              <w:rPr>
                <w:bCs/>
                <w:color w:val="002060"/>
                <w:sz w:val="16"/>
                <w:szCs w:val="16"/>
              </w:rPr>
            </w:pPr>
            <w:r w:rsidRPr="00405303">
              <w:rPr>
                <w:bCs/>
                <w:color w:val="002060"/>
                <w:sz w:val="16"/>
                <w:szCs w:val="16"/>
              </w:rPr>
              <w:t>1915 г., сентябрь</w:t>
            </w:r>
          </w:p>
        </w:tc>
        <w:tc>
          <w:tcPr>
            <w:tcW w:w="1248" w:type="dxa"/>
          </w:tcPr>
          <w:p w14:paraId="56DF4E58" w14:textId="77777777" w:rsidR="004B4E35" w:rsidRPr="00405303" w:rsidRDefault="009E6F82" w:rsidP="00C15251">
            <w:pPr>
              <w:jc w:val="both"/>
              <w:rPr>
                <w:bCs/>
                <w:color w:val="002060"/>
                <w:sz w:val="16"/>
                <w:szCs w:val="16"/>
              </w:rPr>
            </w:pPr>
            <w:r w:rsidRPr="00405303">
              <w:rPr>
                <w:bCs/>
                <w:color w:val="002060"/>
                <w:sz w:val="16"/>
                <w:szCs w:val="16"/>
              </w:rPr>
              <w:t>37.000</w:t>
            </w:r>
          </w:p>
        </w:tc>
        <w:tc>
          <w:tcPr>
            <w:tcW w:w="1246" w:type="dxa"/>
          </w:tcPr>
          <w:p w14:paraId="4FCD58C4" w14:textId="77777777" w:rsidR="004B4E35" w:rsidRPr="00405303" w:rsidRDefault="009E6F82" w:rsidP="00C15251">
            <w:pPr>
              <w:jc w:val="both"/>
              <w:rPr>
                <w:bCs/>
                <w:color w:val="002060"/>
                <w:sz w:val="16"/>
                <w:szCs w:val="16"/>
              </w:rPr>
            </w:pPr>
            <w:r w:rsidRPr="00405303">
              <w:rPr>
                <w:bCs/>
                <w:color w:val="002060"/>
                <w:sz w:val="16"/>
                <w:szCs w:val="16"/>
              </w:rPr>
              <w:t>2.000</w:t>
            </w:r>
          </w:p>
        </w:tc>
      </w:tr>
      <w:tr w:rsidR="004B4E35" w:rsidRPr="00405303" w14:paraId="28FF1A70" w14:textId="77777777">
        <w:tc>
          <w:tcPr>
            <w:tcW w:w="3060" w:type="dxa"/>
          </w:tcPr>
          <w:p w14:paraId="2666B7AE" w14:textId="77777777" w:rsidR="004B4E35" w:rsidRPr="00405303" w:rsidRDefault="009E6F82" w:rsidP="00C15251">
            <w:pPr>
              <w:jc w:val="both"/>
              <w:rPr>
                <w:bCs/>
                <w:color w:val="002060"/>
                <w:sz w:val="16"/>
                <w:szCs w:val="16"/>
              </w:rPr>
            </w:pPr>
            <w:r w:rsidRPr="00405303">
              <w:rPr>
                <w:bCs/>
                <w:color w:val="002060"/>
                <w:sz w:val="16"/>
                <w:szCs w:val="16"/>
              </w:rPr>
              <w:t>1916 г., январь</w:t>
            </w:r>
          </w:p>
        </w:tc>
        <w:tc>
          <w:tcPr>
            <w:tcW w:w="1248" w:type="dxa"/>
          </w:tcPr>
          <w:p w14:paraId="4DA15F95" w14:textId="77777777" w:rsidR="004B4E35" w:rsidRPr="00405303" w:rsidRDefault="009E6F82" w:rsidP="00C15251">
            <w:pPr>
              <w:jc w:val="both"/>
              <w:rPr>
                <w:bCs/>
                <w:color w:val="002060"/>
                <w:sz w:val="16"/>
                <w:szCs w:val="16"/>
              </w:rPr>
            </w:pPr>
            <w:r w:rsidRPr="00405303">
              <w:rPr>
                <w:bCs/>
                <w:color w:val="002060"/>
                <w:sz w:val="16"/>
                <w:szCs w:val="16"/>
              </w:rPr>
              <w:t>151.000</w:t>
            </w:r>
          </w:p>
        </w:tc>
        <w:tc>
          <w:tcPr>
            <w:tcW w:w="1246" w:type="dxa"/>
          </w:tcPr>
          <w:p w14:paraId="42DCBB02" w14:textId="77777777" w:rsidR="004B4E35" w:rsidRPr="00405303" w:rsidRDefault="009E6F82" w:rsidP="00C15251">
            <w:pPr>
              <w:jc w:val="both"/>
              <w:rPr>
                <w:bCs/>
                <w:color w:val="002060"/>
                <w:sz w:val="16"/>
                <w:szCs w:val="16"/>
              </w:rPr>
            </w:pPr>
            <w:r w:rsidRPr="00405303">
              <w:rPr>
                <w:bCs/>
                <w:color w:val="002060"/>
                <w:sz w:val="16"/>
                <w:szCs w:val="16"/>
              </w:rPr>
              <w:t>228.900</w:t>
            </w:r>
          </w:p>
        </w:tc>
      </w:tr>
      <w:tr w:rsidR="004B4E35" w:rsidRPr="00405303" w14:paraId="7BB8F00F" w14:textId="77777777">
        <w:tc>
          <w:tcPr>
            <w:tcW w:w="3060" w:type="dxa"/>
          </w:tcPr>
          <w:p w14:paraId="5DA604F1" w14:textId="77777777" w:rsidR="004B4E35" w:rsidRPr="00405303" w:rsidRDefault="009E6F82" w:rsidP="00C15251">
            <w:pPr>
              <w:jc w:val="both"/>
              <w:rPr>
                <w:bCs/>
                <w:color w:val="002060"/>
                <w:sz w:val="16"/>
                <w:szCs w:val="16"/>
              </w:rPr>
            </w:pPr>
            <w:r w:rsidRPr="00405303">
              <w:rPr>
                <w:bCs/>
                <w:color w:val="002060"/>
                <w:sz w:val="16"/>
                <w:szCs w:val="16"/>
              </w:rPr>
              <w:t>1916 г., июль</w:t>
            </w:r>
          </w:p>
        </w:tc>
        <w:tc>
          <w:tcPr>
            <w:tcW w:w="1248" w:type="dxa"/>
          </w:tcPr>
          <w:p w14:paraId="45186B9D" w14:textId="77777777" w:rsidR="004B4E35" w:rsidRPr="00405303" w:rsidRDefault="009E6F82" w:rsidP="00C15251">
            <w:pPr>
              <w:jc w:val="both"/>
              <w:rPr>
                <w:bCs/>
                <w:color w:val="002060"/>
                <w:sz w:val="16"/>
                <w:szCs w:val="16"/>
              </w:rPr>
            </w:pPr>
            <w:r w:rsidRPr="00405303">
              <w:rPr>
                <w:bCs/>
                <w:color w:val="002060"/>
                <w:sz w:val="16"/>
                <w:szCs w:val="16"/>
              </w:rPr>
              <w:t>405.000</w:t>
            </w:r>
          </w:p>
        </w:tc>
        <w:tc>
          <w:tcPr>
            <w:tcW w:w="1246" w:type="dxa"/>
          </w:tcPr>
          <w:p w14:paraId="54E54C9C" w14:textId="77777777" w:rsidR="004B4E35" w:rsidRPr="00405303" w:rsidRDefault="009E6F82" w:rsidP="00C15251">
            <w:pPr>
              <w:jc w:val="both"/>
              <w:rPr>
                <w:bCs/>
                <w:color w:val="002060"/>
                <w:sz w:val="16"/>
                <w:szCs w:val="16"/>
              </w:rPr>
            </w:pPr>
            <w:r w:rsidRPr="00405303">
              <w:rPr>
                <w:bCs/>
                <w:color w:val="002060"/>
                <w:sz w:val="16"/>
                <w:szCs w:val="16"/>
              </w:rPr>
              <w:t>524.000</w:t>
            </w:r>
          </w:p>
        </w:tc>
      </w:tr>
      <w:tr w:rsidR="004B4E35" w:rsidRPr="00405303" w14:paraId="1CEF7AE8" w14:textId="77777777">
        <w:tc>
          <w:tcPr>
            <w:tcW w:w="3060" w:type="dxa"/>
          </w:tcPr>
          <w:p w14:paraId="00DE652A" w14:textId="77777777" w:rsidR="004B4E35" w:rsidRPr="00405303" w:rsidRDefault="009E6F82" w:rsidP="00C15251">
            <w:pPr>
              <w:jc w:val="both"/>
              <w:rPr>
                <w:bCs/>
                <w:color w:val="002060"/>
                <w:sz w:val="16"/>
                <w:szCs w:val="16"/>
              </w:rPr>
            </w:pPr>
            <w:r w:rsidRPr="00405303">
              <w:rPr>
                <w:bCs/>
                <w:color w:val="002060"/>
                <w:sz w:val="16"/>
                <w:szCs w:val="16"/>
              </w:rPr>
              <w:t>1917 г., январь</w:t>
            </w:r>
          </w:p>
        </w:tc>
        <w:tc>
          <w:tcPr>
            <w:tcW w:w="1248" w:type="dxa"/>
          </w:tcPr>
          <w:p w14:paraId="6EDBBD85" w14:textId="77777777" w:rsidR="004B4E35" w:rsidRPr="00405303" w:rsidRDefault="009E6F82" w:rsidP="00C15251">
            <w:pPr>
              <w:jc w:val="both"/>
              <w:rPr>
                <w:bCs/>
                <w:color w:val="002060"/>
                <w:sz w:val="16"/>
                <w:szCs w:val="16"/>
              </w:rPr>
            </w:pPr>
            <w:r w:rsidRPr="00405303">
              <w:rPr>
                <w:bCs/>
                <w:color w:val="002060"/>
                <w:sz w:val="16"/>
                <w:szCs w:val="16"/>
              </w:rPr>
              <w:t>994.000</w:t>
            </w:r>
          </w:p>
        </w:tc>
        <w:tc>
          <w:tcPr>
            <w:tcW w:w="1246" w:type="dxa"/>
          </w:tcPr>
          <w:p w14:paraId="7F02792C" w14:textId="77777777" w:rsidR="004B4E35" w:rsidRPr="00405303" w:rsidRDefault="009E6F82" w:rsidP="00C15251">
            <w:pPr>
              <w:jc w:val="both"/>
              <w:rPr>
                <w:bCs/>
                <w:color w:val="002060"/>
                <w:sz w:val="16"/>
                <w:szCs w:val="16"/>
              </w:rPr>
            </w:pPr>
            <w:r w:rsidRPr="00405303">
              <w:rPr>
                <w:bCs/>
                <w:color w:val="002060"/>
                <w:sz w:val="16"/>
                <w:szCs w:val="16"/>
              </w:rPr>
              <w:t>607.000</w:t>
            </w:r>
          </w:p>
        </w:tc>
      </w:tr>
      <w:tr w:rsidR="004B4E35" w:rsidRPr="00405303" w14:paraId="11B3ED0E" w14:textId="77777777">
        <w:tc>
          <w:tcPr>
            <w:tcW w:w="3060" w:type="dxa"/>
          </w:tcPr>
          <w:p w14:paraId="2A4ADBBE" w14:textId="77777777" w:rsidR="004B4E35" w:rsidRPr="00405303" w:rsidRDefault="009E6F82" w:rsidP="00C15251">
            <w:pPr>
              <w:jc w:val="both"/>
              <w:rPr>
                <w:bCs/>
                <w:color w:val="002060"/>
                <w:sz w:val="16"/>
                <w:szCs w:val="16"/>
              </w:rPr>
            </w:pPr>
            <w:r w:rsidRPr="00405303">
              <w:rPr>
                <w:bCs/>
                <w:color w:val="002060"/>
                <w:sz w:val="16"/>
                <w:szCs w:val="16"/>
              </w:rPr>
              <w:t>1917 г., апрель</w:t>
            </w:r>
          </w:p>
        </w:tc>
        <w:tc>
          <w:tcPr>
            <w:tcW w:w="1248" w:type="dxa"/>
          </w:tcPr>
          <w:p w14:paraId="14DCCA1D" w14:textId="77777777" w:rsidR="004B4E35" w:rsidRPr="00405303" w:rsidRDefault="009E6F82" w:rsidP="00C15251">
            <w:pPr>
              <w:jc w:val="both"/>
              <w:rPr>
                <w:bCs/>
                <w:color w:val="002060"/>
                <w:sz w:val="16"/>
                <w:szCs w:val="16"/>
              </w:rPr>
            </w:pPr>
            <w:r w:rsidRPr="00405303">
              <w:rPr>
                <w:bCs/>
                <w:color w:val="002060"/>
                <w:sz w:val="16"/>
                <w:szCs w:val="16"/>
              </w:rPr>
              <w:t>1.030.000</w:t>
            </w:r>
          </w:p>
        </w:tc>
        <w:tc>
          <w:tcPr>
            <w:tcW w:w="1246" w:type="dxa"/>
          </w:tcPr>
          <w:p w14:paraId="754275F3" w14:textId="77777777" w:rsidR="004B4E35" w:rsidRPr="00405303" w:rsidRDefault="009E6F82" w:rsidP="00C15251">
            <w:pPr>
              <w:jc w:val="both"/>
              <w:rPr>
                <w:bCs/>
                <w:color w:val="002060"/>
                <w:sz w:val="16"/>
                <w:szCs w:val="16"/>
              </w:rPr>
            </w:pPr>
            <w:r w:rsidRPr="00405303">
              <w:rPr>
                <w:bCs/>
                <w:color w:val="002060"/>
                <w:sz w:val="16"/>
                <w:szCs w:val="16"/>
              </w:rPr>
              <w:t>270.000</w:t>
            </w:r>
          </w:p>
        </w:tc>
      </w:tr>
      <w:tr w:rsidR="004B4E35" w:rsidRPr="00405303" w14:paraId="3807B5DE" w14:textId="77777777">
        <w:tc>
          <w:tcPr>
            <w:tcW w:w="3060" w:type="dxa"/>
          </w:tcPr>
          <w:p w14:paraId="3E99FCA4" w14:textId="77777777" w:rsidR="004B4E35" w:rsidRPr="00405303" w:rsidRDefault="009E6F82" w:rsidP="00C15251">
            <w:pPr>
              <w:jc w:val="both"/>
              <w:rPr>
                <w:bCs/>
                <w:color w:val="002060"/>
                <w:sz w:val="16"/>
                <w:szCs w:val="16"/>
              </w:rPr>
            </w:pPr>
            <w:r w:rsidRPr="00405303">
              <w:rPr>
                <w:bCs/>
                <w:color w:val="002060"/>
                <w:sz w:val="16"/>
                <w:szCs w:val="16"/>
              </w:rPr>
              <w:t>1917 г., июль</w:t>
            </w:r>
          </w:p>
        </w:tc>
        <w:tc>
          <w:tcPr>
            <w:tcW w:w="1248" w:type="dxa"/>
          </w:tcPr>
          <w:p w14:paraId="347DEF27" w14:textId="77777777" w:rsidR="004B4E35" w:rsidRPr="00405303" w:rsidRDefault="009E6F82" w:rsidP="00C15251">
            <w:pPr>
              <w:jc w:val="both"/>
              <w:rPr>
                <w:bCs/>
                <w:color w:val="002060"/>
                <w:sz w:val="16"/>
                <w:szCs w:val="16"/>
              </w:rPr>
            </w:pPr>
            <w:r w:rsidRPr="00405303">
              <w:rPr>
                <w:bCs/>
                <w:color w:val="002060"/>
                <w:sz w:val="16"/>
                <w:szCs w:val="16"/>
              </w:rPr>
              <w:t>1.609.000</w:t>
            </w:r>
          </w:p>
        </w:tc>
        <w:tc>
          <w:tcPr>
            <w:tcW w:w="1246" w:type="dxa"/>
          </w:tcPr>
          <w:p w14:paraId="5E4C8142" w14:textId="77777777" w:rsidR="004B4E35" w:rsidRPr="00405303" w:rsidRDefault="009E6F82" w:rsidP="00C15251">
            <w:pPr>
              <w:jc w:val="both"/>
              <w:rPr>
                <w:bCs/>
                <w:color w:val="002060"/>
                <w:sz w:val="16"/>
                <w:szCs w:val="16"/>
              </w:rPr>
            </w:pPr>
            <w:r w:rsidRPr="00405303">
              <w:rPr>
                <w:bCs/>
                <w:color w:val="002060"/>
                <w:sz w:val="16"/>
                <w:szCs w:val="16"/>
              </w:rPr>
              <w:t>406.000</w:t>
            </w:r>
          </w:p>
        </w:tc>
      </w:tr>
      <w:tr w:rsidR="004B4E35" w:rsidRPr="00405303" w14:paraId="21437E89" w14:textId="77777777">
        <w:tc>
          <w:tcPr>
            <w:tcW w:w="3060" w:type="dxa"/>
          </w:tcPr>
          <w:p w14:paraId="1AD8C6EA" w14:textId="77777777" w:rsidR="004B4E35" w:rsidRPr="00405303" w:rsidRDefault="009E6F82" w:rsidP="00C15251">
            <w:pPr>
              <w:jc w:val="both"/>
              <w:rPr>
                <w:bCs/>
                <w:color w:val="002060"/>
                <w:sz w:val="16"/>
                <w:szCs w:val="16"/>
              </w:rPr>
            </w:pPr>
            <w:r w:rsidRPr="00405303">
              <w:rPr>
                <w:bCs/>
                <w:color w:val="002060"/>
                <w:sz w:val="16"/>
                <w:szCs w:val="16"/>
              </w:rPr>
              <w:t xml:space="preserve">1917 г., ноябрь </w:t>
            </w:r>
          </w:p>
        </w:tc>
        <w:tc>
          <w:tcPr>
            <w:tcW w:w="1248" w:type="dxa"/>
          </w:tcPr>
          <w:p w14:paraId="0953BA81" w14:textId="77777777" w:rsidR="004B4E35" w:rsidRPr="00405303" w:rsidRDefault="009E6F82" w:rsidP="00C15251">
            <w:pPr>
              <w:jc w:val="both"/>
              <w:rPr>
                <w:bCs/>
                <w:color w:val="002060"/>
                <w:sz w:val="16"/>
                <w:szCs w:val="16"/>
              </w:rPr>
            </w:pPr>
            <w:r w:rsidRPr="00405303">
              <w:rPr>
                <w:bCs/>
                <w:color w:val="002060"/>
                <w:sz w:val="16"/>
                <w:szCs w:val="16"/>
              </w:rPr>
              <w:t>1.891.000</w:t>
            </w:r>
          </w:p>
        </w:tc>
        <w:tc>
          <w:tcPr>
            <w:tcW w:w="1246" w:type="dxa"/>
          </w:tcPr>
          <w:p w14:paraId="6C26A2E1" w14:textId="77777777" w:rsidR="004B4E35" w:rsidRPr="00405303" w:rsidRDefault="009E6F82" w:rsidP="00C15251">
            <w:pPr>
              <w:jc w:val="both"/>
              <w:rPr>
                <w:bCs/>
                <w:color w:val="002060"/>
                <w:sz w:val="16"/>
                <w:szCs w:val="16"/>
              </w:rPr>
            </w:pPr>
            <w:r w:rsidRPr="00405303">
              <w:rPr>
                <w:bCs/>
                <w:color w:val="002060"/>
                <w:sz w:val="16"/>
                <w:szCs w:val="16"/>
              </w:rPr>
              <w:t>347.000</w:t>
            </w:r>
          </w:p>
        </w:tc>
      </w:tr>
      <w:tr w:rsidR="004B4E35" w:rsidRPr="00405303" w14:paraId="121C86E3" w14:textId="77777777">
        <w:tc>
          <w:tcPr>
            <w:tcW w:w="3060" w:type="dxa"/>
          </w:tcPr>
          <w:p w14:paraId="355A1DB8" w14:textId="77777777" w:rsidR="004B4E35" w:rsidRPr="00405303" w:rsidRDefault="009E6F82" w:rsidP="00C15251">
            <w:pPr>
              <w:jc w:val="both"/>
              <w:rPr>
                <w:bCs/>
                <w:color w:val="002060"/>
                <w:sz w:val="16"/>
                <w:szCs w:val="16"/>
              </w:rPr>
            </w:pPr>
            <w:r w:rsidRPr="00405303">
              <w:rPr>
                <w:bCs/>
                <w:color w:val="002060"/>
                <w:sz w:val="16"/>
                <w:szCs w:val="16"/>
              </w:rPr>
              <w:t>Всего за время с сентября 1915 по ноябрь выпущено</w:t>
            </w:r>
          </w:p>
        </w:tc>
        <w:tc>
          <w:tcPr>
            <w:tcW w:w="1248" w:type="dxa"/>
          </w:tcPr>
          <w:p w14:paraId="5D32EE6A" w14:textId="77777777" w:rsidR="004B4E35" w:rsidRPr="00405303" w:rsidRDefault="009E6F82" w:rsidP="00C15251">
            <w:pPr>
              <w:jc w:val="both"/>
              <w:rPr>
                <w:bCs/>
                <w:color w:val="002060"/>
                <w:sz w:val="16"/>
                <w:szCs w:val="16"/>
              </w:rPr>
            </w:pPr>
            <w:r w:rsidRPr="00405303">
              <w:rPr>
                <w:bCs/>
                <w:color w:val="002060"/>
                <w:sz w:val="16"/>
                <w:szCs w:val="16"/>
              </w:rPr>
              <w:t>12.037.000</w:t>
            </w:r>
          </w:p>
        </w:tc>
        <w:tc>
          <w:tcPr>
            <w:tcW w:w="1246" w:type="dxa"/>
          </w:tcPr>
          <w:p w14:paraId="05F138CB" w14:textId="77777777" w:rsidR="004B4E35" w:rsidRPr="00405303" w:rsidRDefault="009E6F82" w:rsidP="00C15251">
            <w:pPr>
              <w:jc w:val="both"/>
              <w:rPr>
                <w:bCs/>
                <w:color w:val="002060"/>
                <w:sz w:val="16"/>
                <w:szCs w:val="16"/>
              </w:rPr>
            </w:pPr>
            <w:r w:rsidRPr="00405303">
              <w:rPr>
                <w:bCs/>
                <w:color w:val="002060"/>
                <w:sz w:val="16"/>
                <w:szCs w:val="16"/>
              </w:rPr>
              <w:t>8.102.235</w:t>
            </w:r>
          </w:p>
        </w:tc>
      </w:tr>
    </w:tbl>
    <w:p w14:paraId="6B6F5C59" w14:textId="77777777" w:rsidR="004B4E35" w:rsidRPr="00405303" w:rsidRDefault="009E6F82" w:rsidP="00C15251">
      <w:pPr>
        <w:jc w:val="both"/>
        <w:rPr>
          <w:bCs/>
          <w:color w:val="002060"/>
          <w:sz w:val="16"/>
          <w:szCs w:val="16"/>
        </w:rPr>
      </w:pPr>
      <w:r w:rsidRPr="00405303">
        <w:rPr>
          <w:bCs/>
          <w:color w:val="002060"/>
          <w:sz w:val="16"/>
          <w:szCs w:val="16"/>
        </w:rPr>
        <w:t xml:space="preserve">Надо отметить, что для всех перечисленных работ было изготовлено точных поверочных инструментов (единиц):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80"/>
        <w:gridCol w:w="816"/>
      </w:tblGrid>
      <w:tr w:rsidR="004B4E35" w:rsidRPr="00405303" w14:paraId="227F2719" w14:textId="77777777">
        <w:tc>
          <w:tcPr>
            <w:tcW w:w="2580" w:type="dxa"/>
          </w:tcPr>
          <w:p w14:paraId="2A36B0C7" w14:textId="77777777" w:rsidR="004B4E35" w:rsidRPr="00405303" w:rsidRDefault="009E6F82" w:rsidP="00C15251">
            <w:pPr>
              <w:jc w:val="both"/>
              <w:rPr>
                <w:bCs/>
                <w:color w:val="002060"/>
                <w:sz w:val="16"/>
                <w:szCs w:val="16"/>
              </w:rPr>
            </w:pPr>
            <w:r w:rsidRPr="00405303">
              <w:rPr>
                <w:bCs/>
                <w:color w:val="002060"/>
                <w:sz w:val="16"/>
                <w:szCs w:val="16"/>
              </w:rPr>
              <w:lastRenderedPageBreak/>
              <w:t>для 3-дм гранат</w:t>
            </w:r>
          </w:p>
        </w:tc>
        <w:tc>
          <w:tcPr>
            <w:tcW w:w="816" w:type="dxa"/>
          </w:tcPr>
          <w:p w14:paraId="0F28923F" w14:textId="77777777" w:rsidR="004B4E35" w:rsidRPr="00405303" w:rsidRDefault="009E6F82" w:rsidP="00C15251">
            <w:pPr>
              <w:jc w:val="both"/>
              <w:rPr>
                <w:bCs/>
                <w:color w:val="002060"/>
                <w:sz w:val="16"/>
                <w:szCs w:val="16"/>
              </w:rPr>
            </w:pPr>
            <w:r w:rsidRPr="00405303">
              <w:rPr>
                <w:bCs/>
                <w:color w:val="002060"/>
                <w:sz w:val="16"/>
                <w:szCs w:val="16"/>
              </w:rPr>
              <w:t xml:space="preserve">8083 </w:t>
            </w:r>
          </w:p>
        </w:tc>
      </w:tr>
      <w:tr w:rsidR="004B4E35" w:rsidRPr="00405303" w14:paraId="319E67C0" w14:textId="77777777">
        <w:tc>
          <w:tcPr>
            <w:tcW w:w="2580" w:type="dxa"/>
          </w:tcPr>
          <w:p w14:paraId="030BA401" w14:textId="77777777" w:rsidR="004B4E35" w:rsidRPr="00405303" w:rsidRDefault="009E6F82" w:rsidP="00C15251">
            <w:pPr>
              <w:jc w:val="both"/>
              <w:rPr>
                <w:bCs/>
                <w:color w:val="002060"/>
                <w:sz w:val="16"/>
                <w:szCs w:val="16"/>
              </w:rPr>
            </w:pPr>
            <w:r w:rsidRPr="00405303">
              <w:rPr>
                <w:bCs/>
                <w:color w:val="002060"/>
                <w:sz w:val="16"/>
                <w:szCs w:val="16"/>
              </w:rPr>
              <w:t>для 3-дм запальных стаканов</w:t>
            </w:r>
          </w:p>
        </w:tc>
        <w:tc>
          <w:tcPr>
            <w:tcW w:w="816" w:type="dxa"/>
          </w:tcPr>
          <w:p w14:paraId="709F7D7F" w14:textId="77777777" w:rsidR="004B4E35" w:rsidRPr="00405303" w:rsidRDefault="009E6F82" w:rsidP="00C15251">
            <w:pPr>
              <w:jc w:val="both"/>
              <w:rPr>
                <w:bCs/>
                <w:color w:val="002060"/>
                <w:sz w:val="16"/>
                <w:szCs w:val="16"/>
              </w:rPr>
            </w:pPr>
            <w:r w:rsidRPr="00405303">
              <w:rPr>
                <w:bCs/>
                <w:color w:val="002060"/>
                <w:sz w:val="16"/>
                <w:szCs w:val="16"/>
              </w:rPr>
              <w:t xml:space="preserve">6249 </w:t>
            </w:r>
          </w:p>
        </w:tc>
      </w:tr>
      <w:tr w:rsidR="004B4E35" w:rsidRPr="00405303" w14:paraId="2DCF4CC8" w14:textId="77777777">
        <w:tc>
          <w:tcPr>
            <w:tcW w:w="2580" w:type="dxa"/>
          </w:tcPr>
          <w:p w14:paraId="24FF0FD6" w14:textId="77777777" w:rsidR="004B4E35" w:rsidRPr="00405303" w:rsidRDefault="009E6F82" w:rsidP="00C15251">
            <w:pPr>
              <w:jc w:val="both"/>
              <w:rPr>
                <w:bCs/>
                <w:color w:val="002060"/>
                <w:sz w:val="16"/>
                <w:szCs w:val="16"/>
              </w:rPr>
            </w:pPr>
            <w:r w:rsidRPr="00405303">
              <w:rPr>
                <w:bCs/>
                <w:color w:val="002060"/>
                <w:sz w:val="16"/>
                <w:szCs w:val="16"/>
              </w:rPr>
              <w:t>детонаторных трубок и др. изделий</w:t>
            </w:r>
          </w:p>
        </w:tc>
        <w:tc>
          <w:tcPr>
            <w:tcW w:w="816" w:type="dxa"/>
          </w:tcPr>
          <w:p w14:paraId="680F4B79" w14:textId="77777777" w:rsidR="004B4E35" w:rsidRPr="00405303" w:rsidRDefault="009E6F82" w:rsidP="00C15251">
            <w:pPr>
              <w:jc w:val="both"/>
              <w:rPr>
                <w:bCs/>
                <w:color w:val="002060"/>
                <w:sz w:val="16"/>
                <w:szCs w:val="16"/>
              </w:rPr>
            </w:pPr>
            <w:r w:rsidRPr="00405303">
              <w:rPr>
                <w:bCs/>
                <w:color w:val="002060"/>
                <w:sz w:val="16"/>
                <w:szCs w:val="16"/>
              </w:rPr>
              <w:t xml:space="preserve">5807 </w:t>
            </w:r>
          </w:p>
        </w:tc>
      </w:tr>
    </w:tbl>
    <w:p w14:paraId="04C156BF" w14:textId="77777777" w:rsidR="004B4E35" w:rsidRPr="00405303" w:rsidRDefault="009E6F82" w:rsidP="00C15251">
      <w:pPr>
        <w:jc w:val="both"/>
        <w:rPr>
          <w:bCs/>
          <w:color w:val="002060"/>
          <w:sz w:val="16"/>
          <w:szCs w:val="16"/>
        </w:rPr>
      </w:pPr>
      <w:r w:rsidRPr="00405303">
        <w:rPr>
          <w:bCs/>
          <w:color w:val="002060"/>
          <w:sz w:val="16"/>
          <w:szCs w:val="16"/>
        </w:rPr>
        <w:t xml:space="preserve">Установка производства инструмента также представляла большие трудности и сильно тормозила дело. </w:t>
      </w:r>
    </w:p>
    <w:p w14:paraId="082998CF" w14:textId="77777777" w:rsidR="004B4E35" w:rsidRPr="00405303" w:rsidRDefault="009E6F82" w:rsidP="00C15251">
      <w:pPr>
        <w:jc w:val="both"/>
        <w:rPr>
          <w:bCs/>
          <w:color w:val="002060"/>
          <w:sz w:val="16"/>
          <w:szCs w:val="16"/>
        </w:rPr>
      </w:pPr>
      <w:r w:rsidRPr="00405303">
        <w:rPr>
          <w:bCs/>
          <w:color w:val="002060"/>
          <w:sz w:val="16"/>
          <w:szCs w:val="16"/>
        </w:rPr>
        <w:t xml:space="preserve">Для снаряжения взрывчатым веществом изготовляемых организацией уполномоченного ГАУ снарядов и детонаторных трубок к ним необходимо было организовать снаряжательные заводы. </w:t>
      </w:r>
    </w:p>
    <w:p w14:paraId="3ED7F240" w14:textId="77777777" w:rsidR="004B4E35" w:rsidRPr="00405303" w:rsidRDefault="009E6F82" w:rsidP="00C15251">
      <w:pPr>
        <w:jc w:val="both"/>
        <w:rPr>
          <w:bCs/>
          <w:color w:val="002060"/>
          <w:sz w:val="16"/>
          <w:szCs w:val="16"/>
        </w:rPr>
      </w:pPr>
      <w:r w:rsidRPr="00405303">
        <w:rPr>
          <w:bCs/>
          <w:color w:val="002060"/>
          <w:sz w:val="16"/>
          <w:szCs w:val="16"/>
        </w:rPr>
        <w:t xml:space="preserve">Первый снаряжательный завод был устроен промышленником Н.А. Второвым в бывшей красочной фабрике Байера в Москве, где пришлось вновь выстроить и оборудовать две группы зданий, использовав также и существующие здания фабрики. Мощность завода исчислялась в 750 тыс. гранат в месяц. Постройка первой группы зданий была выполнена в 38 дней, второй — в 4 месяца. </w:t>
      </w:r>
    </w:p>
    <w:p w14:paraId="7D754BCD" w14:textId="77777777" w:rsidR="004B4E35" w:rsidRPr="00405303" w:rsidRDefault="009E6F82" w:rsidP="00C15251">
      <w:pPr>
        <w:jc w:val="both"/>
        <w:rPr>
          <w:bCs/>
          <w:color w:val="002060"/>
          <w:sz w:val="16"/>
          <w:szCs w:val="16"/>
        </w:rPr>
      </w:pPr>
      <w:r w:rsidRPr="00405303">
        <w:rPr>
          <w:bCs/>
          <w:color w:val="002060"/>
          <w:sz w:val="16"/>
          <w:szCs w:val="16"/>
        </w:rPr>
        <w:t xml:space="preserve">Независимо от этого тем же контрагентом была предпринята постройка второго снаряжательного завода близ станции Затишье Богородского уезда. </w:t>
      </w:r>
    </w:p>
    <w:p w14:paraId="17E9ED6A" w14:textId="77777777" w:rsidR="004B4E35" w:rsidRPr="00405303" w:rsidRDefault="009E6F82" w:rsidP="00C15251">
      <w:pPr>
        <w:jc w:val="both"/>
        <w:rPr>
          <w:bCs/>
          <w:color w:val="002060"/>
          <w:sz w:val="16"/>
          <w:szCs w:val="16"/>
        </w:rPr>
      </w:pPr>
      <w:r w:rsidRPr="00405303">
        <w:rPr>
          <w:bCs/>
          <w:color w:val="002060"/>
          <w:sz w:val="16"/>
          <w:szCs w:val="16"/>
        </w:rPr>
        <w:t xml:space="preserve">Работа по снаряжению снарядов в Московском заводе началась в сентябре 1915 г., когда было сдано 44 тыс. гранат. В дальнейшем производительность по снаряжению, увеличиваясь из месяца в месяц, показала значительный рост. </w:t>
      </w:r>
    </w:p>
    <w:p w14:paraId="0445AB64" w14:textId="77777777" w:rsidR="004B4E35" w:rsidRPr="00405303" w:rsidRDefault="009E6F82" w:rsidP="00C15251">
      <w:pPr>
        <w:jc w:val="both"/>
        <w:rPr>
          <w:bCs/>
          <w:color w:val="002060"/>
          <w:sz w:val="16"/>
          <w:szCs w:val="16"/>
        </w:rPr>
      </w:pPr>
      <w:r w:rsidRPr="00405303">
        <w:rPr>
          <w:bCs/>
          <w:color w:val="002060"/>
          <w:sz w:val="16"/>
          <w:szCs w:val="16"/>
        </w:rPr>
        <w:t xml:space="preserve">Производительность по снаряжению в месяц, суммарно по всем калибрам снарядов, была следующая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44"/>
        <w:gridCol w:w="684"/>
      </w:tblGrid>
      <w:tr w:rsidR="004B4E35" w:rsidRPr="00405303" w14:paraId="47A37CDD" w14:textId="77777777">
        <w:tc>
          <w:tcPr>
            <w:tcW w:w="2244" w:type="dxa"/>
          </w:tcPr>
          <w:p w14:paraId="7FCCD16C" w14:textId="77777777" w:rsidR="004B4E35" w:rsidRPr="00405303" w:rsidRDefault="009E6F82" w:rsidP="00C15251">
            <w:pPr>
              <w:jc w:val="both"/>
              <w:rPr>
                <w:bCs/>
                <w:color w:val="002060"/>
                <w:sz w:val="16"/>
                <w:szCs w:val="16"/>
              </w:rPr>
            </w:pPr>
            <w:r w:rsidRPr="00405303">
              <w:rPr>
                <w:bCs/>
                <w:color w:val="002060"/>
                <w:sz w:val="16"/>
                <w:szCs w:val="16"/>
              </w:rPr>
              <w:t>1916 г., январь</w:t>
            </w:r>
          </w:p>
        </w:tc>
        <w:tc>
          <w:tcPr>
            <w:tcW w:w="684" w:type="dxa"/>
          </w:tcPr>
          <w:p w14:paraId="6F8B21FB" w14:textId="77777777" w:rsidR="004B4E35" w:rsidRPr="00405303" w:rsidRDefault="009E6F82" w:rsidP="00C15251">
            <w:pPr>
              <w:jc w:val="both"/>
              <w:rPr>
                <w:bCs/>
                <w:color w:val="002060"/>
                <w:sz w:val="16"/>
                <w:szCs w:val="16"/>
              </w:rPr>
            </w:pPr>
            <w:r w:rsidRPr="00405303">
              <w:rPr>
                <w:bCs/>
                <w:color w:val="002060"/>
                <w:sz w:val="16"/>
                <w:szCs w:val="16"/>
              </w:rPr>
              <w:t xml:space="preserve">245 </w:t>
            </w:r>
          </w:p>
        </w:tc>
      </w:tr>
      <w:tr w:rsidR="004B4E35" w:rsidRPr="00405303" w14:paraId="4B689189" w14:textId="77777777">
        <w:tc>
          <w:tcPr>
            <w:tcW w:w="2244" w:type="dxa"/>
          </w:tcPr>
          <w:p w14:paraId="65FA0CAA" w14:textId="77777777" w:rsidR="004B4E35" w:rsidRPr="00405303" w:rsidRDefault="009E6F82" w:rsidP="00C15251">
            <w:pPr>
              <w:jc w:val="both"/>
              <w:rPr>
                <w:bCs/>
                <w:color w:val="002060"/>
                <w:sz w:val="16"/>
                <w:szCs w:val="16"/>
              </w:rPr>
            </w:pPr>
            <w:r w:rsidRPr="00405303">
              <w:rPr>
                <w:bCs/>
                <w:color w:val="002060"/>
                <w:sz w:val="16"/>
                <w:szCs w:val="16"/>
              </w:rPr>
              <w:t>апрель</w:t>
            </w:r>
          </w:p>
        </w:tc>
        <w:tc>
          <w:tcPr>
            <w:tcW w:w="684" w:type="dxa"/>
          </w:tcPr>
          <w:p w14:paraId="44C4C28E" w14:textId="77777777" w:rsidR="004B4E35" w:rsidRPr="00405303" w:rsidRDefault="009E6F82" w:rsidP="00C15251">
            <w:pPr>
              <w:jc w:val="both"/>
              <w:rPr>
                <w:bCs/>
                <w:color w:val="002060"/>
                <w:sz w:val="16"/>
                <w:szCs w:val="16"/>
              </w:rPr>
            </w:pPr>
            <w:r w:rsidRPr="00405303">
              <w:rPr>
                <w:bCs/>
                <w:color w:val="002060"/>
                <w:sz w:val="16"/>
                <w:szCs w:val="16"/>
              </w:rPr>
              <w:t xml:space="preserve">347 </w:t>
            </w:r>
          </w:p>
        </w:tc>
      </w:tr>
      <w:tr w:rsidR="004B4E35" w:rsidRPr="00405303" w14:paraId="0C2311F8" w14:textId="77777777">
        <w:tc>
          <w:tcPr>
            <w:tcW w:w="2244" w:type="dxa"/>
          </w:tcPr>
          <w:p w14:paraId="05A40758" w14:textId="77777777" w:rsidR="004B4E35" w:rsidRPr="00405303" w:rsidRDefault="009E6F82" w:rsidP="00C15251">
            <w:pPr>
              <w:jc w:val="both"/>
              <w:rPr>
                <w:bCs/>
                <w:color w:val="002060"/>
                <w:sz w:val="16"/>
                <w:szCs w:val="16"/>
              </w:rPr>
            </w:pPr>
            <w:r w:rsidRPr="00405303">
              <w:rPr>
                <w:bCs/>
                <w:color w:val="002060"/>
                <w:sz w:val="16"/>
                <w:szCs w:val="16"/>
              </w:rPr>
              <w:t>июль</w:t>
            </w:r>
          </w:p>
        </w:tc>
        <w:tc>
          <w:tcPr>
            <w:tcW w:w="684" w:type="dxa"/>
          </w:tcPr>
          <w:p w14:paraId="00BA74E4" w14:textId="77777777" w:rsidR="004B4E35" w:rsidRPr="00405303" w:rsidRDefault="009E6F82" w:rsidP="00C15251">
            <w:pPr>
              <w:jc w:val="both"/>
              <w:rPr>
                <w:bCs/>
                <w:color w:val="002060"/>
                <w:sz w:val="16"/>
                <w:szCs w:val="16"/>
              </w:rPr>
            </w:pPr>
            <w:r w:rsidRPr="00405303">
              <w:rPr>
                <w:bCs/>
                <w:color w:val="002060"/>
                <w:sz w:val="16"/>
                <w:szCs w:val="16"/>
              </w:rPr>
              <w:t xml:space="preserve">668 </w:t>
            </w:r>
          </w:p>
        </w:tc>
      </w:tr>
      <w:tr w:rsidR="004B4E35" w:rsidRPr="00405303" w14:paraId="2DF9ED9D" w14:textId="77777777">
        <w:tc>
          <w:tcPr>
            <w:tcW w:w="2244" w:type="dxa"/>
          </w:tcPr>
          <w:p w14:paraId="387500FB" w14:textId="77777777" w:rsidR="004B4E35" w:rsidRPr="00405303" w:rsidRDefault="009E6F82" w:rsidP="00C15251">
            <w:pPr>
              <w:jc w:val="both"/>
              <w:rPr>
                <w:bCs/>
                <w:color w:val="002060"/>
                <w:sz w:val="16"/>
                <w:szCs w:val="16"/>
              </w:rPr>
            </w:pPr>
            <w:r w:rsidRPr="00405303">
              <w:rPr>
                <w:bCs/>
                <w:color w:val="002060"/>
                <w:sz w:val="16"/>
                <w:szCs w:val="16"/>
              </w:rPr>
              <w:t>октябрь</w:t>
            </w:r>
          </w:p>
        </w:tc>
        <w:tc>
          <w:tcPr>
            <w:tcW w:w="684" w:type="dxa"/>
          </w:tcPr>
          <w:p w14:paraId="7BB370C3" w14:textId="77777777" w:rsidR="004B4E35" w:rsidRPr="00405303" w:rsidRDefault="009E6F82" w:rsidP="00C15251">
            <w:pPr>
              <w:jc w:val="both"/>
              <w:rPr>
                <w:bCs/>
                <w:color w:val="002060"/>
                <w:sz w:val="16"/>
                <w:szCs w:val="16"/>
              </w:rPr>
            </w:pPr>
            <w:r w:rsidRPr="00405303">
              <w:rPr>
                <w:bCs/>
                <w:color w:val="002060"/>
                <w:sz w:val="16"/>
                <w:szCs w:val="16"/>
              </w:rPr>
              <w:t xml:space="preserve">1053 </w:t>
            </w:r>
          </w:p>
        </w:tc>
      </w:tr>
      <w:tr w:rsidR="004B4E35" w:rsidRPr="00405303" w14:paraId="5B5F7D2F" w14:textId="77777777">
        <w:tc>
          <w:tcPr>
            <w:tcW w:w="2244" w:type="dxa"/>
          </w:tcPr>
          <w:p w14:paraId="681D74C7"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684" w:type="dxa"/>
          </w:tcPr>
          <w:p w14:paraId="4D15E0D7" w14:textId="77777777" w:rsidR="004B4E35" w:rsidRPr="00405303" w:rsidRDefault="009E6F82" w:rsidP="00C15251">
            <w:pPr>
              <w:jc w:val="both"/>
              <w:rPr>
                <w:bCs/>
                <w:color w:val="002060"/>
                <w:sz w:val="16"/>
                <w:szCs w:val="16"/>
              </w:rPr>
            </w:pPr>
            <w:r w:rsidRPr="00405303">
              <w:rPr>
                <w:bCs/>
                <w:color w:val="002060"/>
                <w:sz w:val="16"/>
                <w:szCs w:val="16"/>
              </w:rPr>
              <w:t xml:space="preserve">801 </w:t>
            </w:r>
          </w:p>
        </w:tc>
      </w:tr>
      <w:tr w:rsidR="004B4E35" w:rsidRPr="00405303" w14:paraId="613C83D1" w14:textId="77777777">
        <w:tc>
          <w:tcPr>
            <w:tcW w:w="2244" w:type="dxa"/>
          </w:tcPr>
          <w:p w14:paraId="79524F2F" w14:textId="77777777" w:rsidR="004B4E35" w:rsidRPr="00405303" w:rsidRDefault="009E6F82" w:rsidP="00C15251">
            <w:pPr>
              <w:jc w:val="both"/>
              <w:rPr>
                <w:bCs/>
                <w:color w:val="002060"/>
                <w:sz w:val="16"/>
                <w:szCs w:val="16"/>
              </w:rPr>
            </w:pPr>
            <w:r w:rsidRPr="00405303">
              <w:rPr>
                <w:bCs/>
                <w:color w:val="002060"/>
                <w:sz w:val="16"/>
                <w:szCs w:val="16"/>
              </w:rPr>
              <w:t>1917 г., январь</w:t>
            </w:r>
          </w:p>
        </w:tc>
        <w:tc>
          <w:tcPr>
            <w:tcW w:w="684" w:type="dxa"/>
          </w:tcPr>
          <w:p w14:paraId="65B4B97B" w14:textId="77777777" w:rsidR="004B4E35" w:rsidRPr="00405303" w:rsidRDefault="009E6F82" w:rsidP="00C15251">
            <w:pPr>
              <w:jc w:val="both"/>
              <w:rPr>
                <w:bCs/>
                <w:color w:val="002060"/>
                <w:sz w:val="16"/>
                <w:szCs w:val="16"/>
              </w:rPr>
            </w:pPr>
            <w:r w:rsidRPr="00405303">
              <w:rPr>
                <w:bCs/>
                <w:color w:val="002060"/>
                <w:sz w:val="16"/>
                <w:szCs w:val="16"/>
              </w:rPr>
              <w:t xml:space="preserve">763 </w:t>
            </w:r>
          </w:p>
        </w:tc>
      </w:tr>
      <w:tr w:rsidR="004B4E35" w:rsidRPr="00405303" w14:paraId="50E8B040" w14:textId="77777777">
        <w:tc>
          <w:tcPr>
            <w:tcW w:w="2244" w:type="dxa"/>
          </w:tcPr>
          <w:p w14:paraId="6999C47C" w14:textId="77777777" w:rsidR="004B4E35" w:rsidRPr="00405303" w:rsidRDefault="009E6F82" w:rsidP="00C15251">
            <w:pPr>
              <w:jc w:val="both"/>
              <w:rPr>
                <w:bCs/>
                <w:color w:val="002060"/>
                <w:sz w:val="16"/>
                <w:szCs w:val="16"/>
              </w:rPr>
            </w:pPr>
            <w:r w:rsidRPr="00405303">
              <w:rPr>
                <w:bCs/>
                <w:color w:val="002060"/>
                <w:sz w:val="16"/>
                <w:szCs w:val="16"/>
              </w:rPr>
              <w:t>апрель</w:t>
            </w:r>
          </w:p>
        </w:tc>
        <w:tc>
          <w:tcPr>
            <w:tcW w:w="684" w:type="dxa"/>
          </w:tcPr>
          <w:p w14:paraId="4B13C7E6" w14:textId="77777777" w:rsidR="004B4E35" w:rsidRPr="00405303" w:rsidRDefault="009E6F82" w:rsidP="00C15251">
            <w:pPr>
              <w:jc w:val="both"/>
              <w:rPr>
                <w:bCs/>
                <w:color w:val="002060"/>
                <w:sz w:val="16"/>
                <w:szCs w:val="16"/>
              </w:rPr>
            </w:pPr>
            <w:r w:rsidRPr="00405303">
              <w:rPr>
                <w:bCs/>
                <w:color w:val="002060"/>
                <w:sz w:val="16"/>
                <w:szCs w:val="16"/>
              </w:rPr>
              <w:t xml:space="preserve">608 </w:t>
            </w:r>
          </w:p>
        </w:tc>
      </w:tr>
      <w:tr w:rsidR="004B4E35" w:rsidRPr="00405303" w14:paraId="3225374F" w14:textId="77777777">
        <w:tc>
          <w:tcPr>
            <w:tcW w:w="2244" w:type="dxa"/>
          </w:tcPr>
          <w:p w14:paraId="09BE5E18" w14:textId="77777777" w:rsidR="004B4E35" w:rsidRPr="00405303" w:rsidRDefault="009E6F82" w:rsidP="00C15251">
            <w:pPr>
              <w:jc w:val="both"/>
              <w:rPr>
                <w:bCs/>
                <w:color w:val="002060"/>
                <w:sz w:val="16"/>
                <w:szCs w:val="16"/>
              </w:rPr>
            </w:pPr>
            <w:r w:rsidRPr="00405303">
              <w:rPr>
                <w:bCs/>
                <w:color w:val="002060"/>
                <w:sz w:val="16"/>
                <w:szCs w:val="16"/>
              </w:rPr>
              <w:t>октябрь</w:t>
            </w:r>
          </w:p>
        </w:tc>
        <w:tc>
          <w:tcPr>
            <w:tcW w:w="684" w:type="dxa"/>
          </w:tcPr>
          <w:p w14:paraId="672C8633" w14:textId="77777777" w:rsidR="004B4E35" w:rsidRPr="00405303" w:rsidRDefault="009E6F82" w:rsidP="00C15251">
            <w:pPr>
              <w:jc w:val="both"/>
              <w:rPr>
                <w:bCs/>
                <w:color w:val="002060"/>
                <w:sz w:val="16"/>
                <w:szCs w:val="16"/>
              </w:rPr>
            </w:pPr>
            <w:r w:rsidRPr="00405303">
              <w:rPr>
                <w:bCs/>
                <w:color w:val="002060"/>
                <w:sz w:val="16"/>
                <w:szCs w:val="16"/>
              </w:rPr>
              <w:t>378</w:t>
            </w:r>
          </w:p>
        </w:tc>
      </w:tr>
      <w:tr w:rsidR="004B4E35" w:rsidRPr="00405303" w14:paraId="3690470A" w14:textId="77777777">
        <w:tc>
          <w:tcPr>
            <w:tcW w:w="2244" w:type="dxa"/>
          </w:tcPr>
          <w:p w14:paraId="58C790F0"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684" w:type="dxa"/>
          </w:tcPr>
          <w:p w14:paraId="7B102CB6" w14:textId="77777777" w:rsidR="004B4E35" w:rsidRPr="00405303" w:rsidRDefault="009E6F82" w:rsidP="00C15251">
            <w:pPr>
              <w:jc w:val="both"/>
              <w:rPr>
                <w:bCs/>
                <w:color w:val="002060"/>
                <w:sz w:val="16"/>
                <w:szCs w:val="16"/>
              </w:rPr>
            </w:pPr>
            <w:r w:rsidRPr="00405303">
              <w:rPr>
                <w:bCs/>
                <w:color w:val="002060"/>
                <w:sz w:val="16"/>
                <w:szCs w:val="16"/>
              </w:rPr>
              <w:t xml:space="preserve">109 </w:t>
            </w:r>
          </w:p>
        </w:tc>
      </w:tr>
      <w:tr w:rsidR="004B4E35" w:rsidRPr="00405303" w14:paraId="48B927C2" w14:textId="77777777">
        <w:tc>
          <w:tcPr>
            <w:tcW w:w="2244" w:type="dxa"/>
          </w:tcPr>
          <w:p w14:paraId="58022D76" w14:textId="77777777" w:rsidR="004B4E35" w:rsidRPr="00405303" w:rsidRDefault="009E6F82" w:rsidP="00C15251">
            <w:pPr>
              <w:jc w:val="both"/>
              <w:rPr>
                <w:bCs/>
                <w:color w:val="002060"/>
                <w:sz w:val="16"/>
                <w:szCs w:val="16"/>
              </w:rPr>
            </w:pPr>
            <w:r w:rsidRPr="00405303">
              <w:rPr>
                <w:bCs/>
                <w:color w:val="002060"/>
                <w:sz w:val="16"/>
                <w:szCs w:val="16"/>
              </w:rPr>
              <w:t>[Всего]</w:t>
            </w:r>
          </w:p>
        </w:tc>
        <w:tc>
          <w:tcPr>
            <w:tcW w:w="684" w:type="dxa"/>
          </w:tcPr>
          <w:p w14:paraId="6696F81C" w14:textId="77777777" w:rsidR="004B4E35" w:rsidRPr="00405303" w:rsidRDefault="009E6F82" w:rsidP="00C15251">
            <w:pPr>
              <w:jc w:val="both"/>
              <w:rPr>
                <w:bCs/>
                <w:color w:val="002060"/>
                <w:sz w:val="16"/>
                <w:szCs w:val="16"/>
              </w:rPr>
            </w:pPr>
            <w:r w:rsidRPr="00405303">
              <w:rPr>
                <w:bCs/>
                <w:color w:val="002060"/>
                <w:sz w:val="16"/>
                <w:szCs w:val="16"/>
              </w:rPr>
              <w:t xml:space="preserve">4971 </w:t>
            </w:r>
          </w:p>
        </w:tc>
      </w:tr>
    </w:tbl>
    <w:p w14:paraId="0237124D" w14:textId="77777777" w:rsidR="004B4E35" w:rsidRPr="00405303" w:rsidRDefault="009E6F82" w:rsidP="00C15251">
      <w:pPr>
        <w:jc w:val="both"/>
        <w:rPr>
          <w:bCs/>
          <w:color w:val="002060"/>
          <w:sz w:val="16"/>
          <w:szCs w:val="16"/>
        </w:rPr>
      </w:pPr>
      <w:r w:rsidRPr="00405303">
        <w:rPr>
          <w:bCs/>
          <w:color w:val="002060"/>
          <w:sz w:val="16"/>
          <w:szCs w:val="16"/>
        </w:rPr>
        <w:t xml:space="preserve">Интересно сопоставить количественно работу организации Ванкова с производством снарядов на заводах, выполнявших заказы ГАУ. Сравнение дано в нижеследующей таблице, где цифры указывают, какой процент составляет месячная продукция организации Ванкова от общерусского производства снарядов: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560"/>
        <w:gridCol w:w="936"/>
      </w:tblGrid>
      <w:tr w:rsidR="004B4E35" w:rsidRPr="00405303" w14:paraId="1242119A" w14:textId="77777777">
        <w:tc>
          <w:tcPr>
            <w:tcW w:w="1560" w:type="dxa"/>
          </w:tcPr>
          <w:p w14:paraId="15C5B8C4" w14:textId="77777777" w:rsidR="004B4E35" w:rsidRPr="00405303" w:rsidRDefault="009E6F82" w:rsidP="00C15251">
            <w:pPr>
              <w:jc w:val="both"/>
              <w:rPr>
                <w:bCs/>
                <w:color w:val="002060"/>
                <w:sz w:val="16"/>
                <w:szCs w:val="16"/>
              </w:rPr>
            </w:pPr>
            <w:r w:rsidRPr="00405303">
              <w:rPr>
                <w:bCs/>
                <w:color w:val="002060"/>
                <w:sz w:val="16"/>
                <w:szCs w:val="16"/>
              </w:rPr>
              <w:t>1915 г., октябрь</w:t>
            </w:r>
          </w:p>
        </w:tc>
        <w:tc>
          <w:tcPr>
            <w:tcW w:w="936" w:type="dxa"/>
          </w:tcPr>
          <w:p w14:paraId="5D4DF1CC" w14:textId="77777777" w:rsidR="004B4E35" w:rsidRPr="00405303" w:rsidRDefault="009E6F82" w:rsidP="00C15251">
            <w:pPr>
              <w:jc w:val="both"/>
              <w:rPr>
                <w:bCs/>
                <w:color w:val="002060"/>
                <w:sz w:val="16"/>
                <w:szCs w:val="16"/>
              </w:rPr>
            </w:pPr>
            <w:r w:rsidRPr="00405303">
              <w:rPr>
                <w:bCs/>
                <w:color w:val="002060"/>
                <w:sz w:val="16"/>
                <w:szCs w:val="16"/>
              </w:rPr>
              <w:t xml:space="preserve">6,4 </w:t>
            </w:r>
          </w:p>
        </w:tc>
      </w:tr>
      <w:tr w:rsidR="004B4E35" w:rsidRPr="00405303" w14:paraId="0D51030F" w14:textId="77777777">
        <w:tc>
          <w:tcPr>
            <w:tcW w:w="1560" w:type="dxa"/>
          </w:tcPr>
          <w:p w14:paraId="0BAA0968"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936" w:type="dxa"/>
          </w:tcPr>
          <w:p w14:paraId="153780B3" w14:textId="77777777" w:rsidR="004B4E35" w:rsidRPr="00405303" w:rsidRDefault="009E6F82" w:rsidP="00C15251">
            <w:pPr>
              <w:jc w:val="both"/>
              <w:rPr>
                <w:bCs/>
                <w:color w:val="002060"/>
                <w:sz w:val="16"/>
                <w:szCs w:val="16"/>
              </w:rPr>
            </w:pPr>
            <w:r w:rsidRPr="00405303">
              <w:rPr>
                <w:bCs/>
                <w:color w:val="002060"/>
                <w:sz w:val="16"/>
                <w:szCs w:val="16"/>
              </w:rPr>
              <w:t xml:space="preserve">12,3 </w:t>
            </w:r>
          </w:p>
        </w:tc>
      </w:tr>
      <w:tr w:rsidR="004B4E35" w:rsidRPr="00405303" w14:paraId="3673BADE" w14:textId="77777777">
        <w:tc>
          <w:tcPr>
            <w:tcW w:w="1560" w:type="dxa"/>
          </w:tcPr>
          <w:p w14:paraId="77EF1A7B"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936" w:type="dxa"/>
          </w:tcPr>
          <w:p w14:paraId="2AD7DE31" w14:textId="77777777" w:rsidR="004B4E35" w:rsidRPr="00405303" w:rsidRDefault="009E6F82" w:rsidP="00C15251">
            <w:pPr>
              <w:jc w:val="both"/>
              <w:rPr>
                <w:bCs/>
                <w:color w:val="002060"/>
                <w:sz w:val="16"/>
                <w:szCs w:val="16"/>
              </w:rPr>
            </w:pPr>
            <w:r w:rsidRPr="00405303">
              <w:rPr>
                <w:bCs/>
                <w:color w:val="002060"/>
                <w:sz w:val="16"/>
                <w:szCs w:val="16"/>
              </w:rPr>
              <w:t xml:space="preserve">10,2 </w:t>
            </w:r>
          </w:p>
        </w:tc>
      </w:tr>
      <w:tr w:rsidR="004B4E35" w:rsidRPr="00405303" w14:paraId="609C43F0" w14:textId="77777777">
        <w:tc>
          <w:tcPr>
            <w:tcW w:w="1560" w:type="dxa"/>
          </w:tcPr>
          <w:p w14:paraId="10D4B1EA" w14:textId="77777777" w:rsidR="004B4E35" w:rsidRPr="00405303" w:rsidRDefault="009E6F82" w:rsidP="00C15251">
            <w:pPr>
              <w:jc w:val="both"/>
              <w:rPr>
                <w:bCs/>
                <w:color w:val="002060"/>
                <w:sz w:val="16"/>
                <w:szCs w:val="16"/>
              </w:rPr>
            </w:pPr>
            <w:r w:rsidRPr="00405303">
              <w:rPr>
                <w:bCs/>
                <w:color w:val="002060"/>
                <w:sz w:val="16"/>
                <w:szCs w:val="16"/>
              </w:rPr>
              <w:t>1916 г., январь</w:t>
            </w:r>
          </w:p>
        </w:tc>
        <w:tc>
          <w:tcPr>
            <w:tcW w:w="936" w:type="dxa"/>
          </w:tcPr>
          <w:p w14:paraId="4ABA1AA0" w14:textId="77777777" w:rsidR="004B4E35" w:rsidRPr="00405303" w:rsidRDefault="009E6F82" w:rsidP="00C15251">
            <w:pPr>
              <w:jc w:val="both"/>
              <w:rPr>
                <w:bCs/>
                <w:color w:val="002060"/>
                <w:sz w:val="16"/>
                <w:szCs w:val="16"/>
              </w:rPr>
            </w:pPr>
            <w:r w:rsidRPr="00405303">
              <w:rPr>
                <w:bCs/>
                <w:color w:val="002060"/>
                <w:sz w:val="16"/>
                <w:szCs w:val="16"/>
              </w:rPr>
              <w:t>11,6</w:t>
            </w:r>
          </w:p>
        </w:tc>
      </w:tr>
      <w:tr w:rsidR="004B4E35" w:rsidRPr="00405303" w14:paraId="356C1BF3" w14:textId="77777777">
        <w:tc>
          <w:tcPr>
            <w:tcW w:w="1560" w:type="dxa"/>
          </w:tcPr>
          <w:p w14:paraId="65E749E4" w14:textId="77777777" w:rsidR="004B4E35" w:rsidRPr="00405303" w:rsidRDefault="009E6F82" w:rsidP="00C15251">
            <w:pPr>
              <w:jc w:val="both"/>
              <w:rPr>
                <w:bCs/>
                <w:color w:val="002060"/>
                <w:sz w:val="16"/>
                <w:szCs w:val="16"/>
              </w:rPr>
            </w:pPr>
            <w:r w:rsidRPr="00405303">
              <w:rPr>
                <w:bCs/>
                <w:color w:val="002060"/>
                <w:sz w:val="16"/>
                <w:szCs w:val="16"/>
              </w:rPr>
              <w:t>февраль</w:t>
            </w:r>
          </w:p>
        </w:tc>
        <w:tc>
          <w:tcPr>
            <w:tcW w:w="936" w:type="dxa"/>
          </w:tcPr>
          <w:p w14:paraId="750AABC2" w14:textId="77777777" w:rsidR="004B4E35" w:rsidRPr="00405303" w:rsidRDefault="009E6F82" w:rsidP="00C15251">
            <w:pPr>
              <w:jc w:val="both"/>
              <w:rPr>
                <w:bCs/>
                <w:color w:val="002060"/>
                <w:sz w:val="16"/>
                <w:szCs w:val="16"/>
              </w:rPr>
            </w:pPr>
            <w:r w:rsidRPr="00405303">
              <w:rPr>
                <w:bCs/>
                <w:color w:val="002060"/>
                <w:sz w:val="16"/>
                <w:szCs w:val="16"/>
              </w:rPr>
              <w:t xml:space="preserve">18,0 </w:t>
            </w:r>
          </w:p>
        </w:tc>
      </w:tr>
      <w:tr w:rsidR="004B4E35" w:rsidRPr="00405303" w14:paraId="3457B317" w14:textId="77777777">
        <w:tc>
          <w:tcPr>
            <w:tcW w:w="1560" w:type="dxa"/>
          </w:tcPr>
          <w:p w14:paraId="0F791777" w14:textId="77777777" w:rsidR="004B4E35" w:rsidRPr="00405303" w:rsidRDefault="009E6F82" w:rsidP="00C15251">
            <w:pPr>
              <w:jc w:val="both"/>
              <w:rPr>
                <w:bCs/>
                <w:color w:val="002060"/>
                <w:sz w:val="16"/>
                <w:szCs w:val="16"/>
              </w:rPr>
            </w:pPr>
            <w:r w:rsidRPr="00405303">
              <w:rPr>
                <w:bCs/>
                <w:color w:val="002060"/>
                <w:sz w:val="16"/>
                <w:szCs w:val="16"/>
              </w:rPr>
              <w:t>март</w:t>
            </w:r>
          </w:p>
        </w:tc>
        <w:tc>
          <w:tcPr>
            <w:tcW w:w="936" w:type="dxa"/>
          </w:tcPr>
          <w:p w14:paraId="3385F012" w14:textId="77777777" w:rsidR="004B4E35" w:rsidRPr="00405303" w:rsidRDefault="009E6F82" w:rsidP="00C15251">
            <w:pPr>
              <w:jc w:val="both"/>
              <w:rPr>
                <w:bCs/>
                <w:color w:val="002060"/>
                <w:sz w:val="16"/>
                <w:szCs w:val="16"/>
              </w:rPr>
            </w:pPr>
            <w:r w:rsidRPr="00405303">
              <w:rPr>
                <w:bCs/>
                <w:color w:val="002060"/>
                <w:sz w:val="16"/>
                <w:szCs w:val="16"/>
              </w:rPr>
              <w:t xml:space="preserve">28,2 </w:t>
            </w:r>
          </w:p>
        </w:tc>
      </w:tr>
    </w:tbl>
    <w:p w14:paraId="237E36F3" w14:textId="77777777" w:rsidR="004B4E35" w:rsidRPr="00405303" w:rsidRDefault="009E6F82" w:rsidP="00C15251">
      <w:pPr>
        <w:jc w:val="both"/>
        <w:rPr>
          <w:bCs/>
          <w:color w:val="002060"/>
          <w:sz w:val="16"/>
          <w:szCs w:val="16"/>
        </w:rPr>
      </w:pPr>
      <w:r w:rsidRPr="00405303">
        <w:rPr>
          <w:bCs/>
          <w:color w:val="002060"/>
          <w:sz w:val="16"/>
          <w:szCs w:val="16"/>
        </w:rPr>
        <w:t xml:space="preserve">В истории "Организации уполномоченного ГАУ" есть много поучительного. Первое, на чем нужно остановить внимание в работе организации — это элемент времени, сроки. Дело начато было в феврале 1915 года. В апреле даны первые заказы. Производство корпусов началось в октябре 1915 г. (9-й месяц) — выпуск первых валовых партий. До максимума поднялось в декабре 1916 г. (20-й месяц). Снаряжение началось в январе 1916 г. (11-й месяц). </w:t>
      </w:r>
    </w:p>
    <w:p w14:paraId="3C0EC798" w14:textId="77777777" w:rsidR="004B4E35" w:rsidRPr="00405303" w:rsidRDefault="009E6F82" w:rsidP="00C15251">
      <w:pPr>
        <w:jc w:val="both"/>
        <w:rPr>
          <w:bCs/>
          <w:color w:val="002060"/>
          <w:sz w:val="16"/>
          <w:szCs w:val="16"/>
        </w:rPr>
      </w:pPr>
      <w:r w:rsidRPr="00405303">
        <w:rPr>
          <w:bCs/>
          <w:color w:val="002060"/>
          <w:sz w:val="16"/>
          <w:szCs w:val="16"/>
        </w:rPr>
        <w:t xml:space="preserve">Эти данные относятся не к одному какому-либо заводу, а к сотням их. Следовательно, сроки здесь не носят случайного характера — в них есть определенная закономерность. </w:t>
      </w:r>
    </w:p>
    <w:p w14:paraId="1E0BD85B" w14:textId="77777777" w:rsidR="004B4E35" w:rsidRPr="00405303" w:rsidRDefault="009E6F82" w:rsidP="00C15251">
      <w:pPr>
        <w:jc w:val="both"/>
        <w:rPr>
          <w:bCs/>
          <w:color w:val="002060"/>
          <w:sz w:val="16"/>
          <w:szCs w:val="16"/>
        </w:rPr>
      </w:pPr>
      <w:r w:rsidRPr="00405303">
        <w:rPr>
          <w:bCs/>
          <w:color w:val="002060"/>
          <w:sz w:val="16"/>
          <w:szCs w:val="16"/>
        </w:rPr>
        <w:t xml:space="preserve">Производство 3-дм снарядов французского образца среди военных изделий относится к числу наименее сложных и точных. Степень точности и сложности работы здесь несравненно ниже, чем в винтовках, трубках и т.д. Относительное число точных обмеров весьма мало, значительное большинство их работается с большими допусками. </w:t>
      </w:r>
    </w:p>
    <w:p w14:paraId="4777CF22" w14:textId="77777777" w:rsidR="004B4E35" w:rsidRPr="00405303" w:rsidRDefault="009E6F82" w:rsidP="00C15251">
      <w:pPr>
        <w:jc w:val="both"/>
        <w:rPr>
          <w:bCs/>
          <w:color w:val="002060"/>
          <w:sz w:val="16"/>
          <w:szCs w:val="16"/>
        </w:rPr>
      </w:pPr>
      <w:r w:rsidRPr="00405303">
        <w:rPr>
          <w:bCs/>
          <w:color w:val="002060"/>
          <w:sz w:val="16"/>
          <w:szCs w:val="16"/>
        </w:rPr>
        <w:t xml:space="preserve">Затем, организация уполномоченного ГАУ пользовалась обширными хозяйственными правами и все дело поставлено было на правильных коммерческих началах, с изъятием волокиты, казенщины и пр. </w:t>
      </w:r>
    </w:p>
    <w:p w14:paraId="5A522E68" w14:textId="77777777" w:rsidR="004B4E35" w:rsidRPr="00405303" w:rsidRDefault="009E6F82" w:rsidP="00C15251">
      <w:pPr>
        <w:jc w:val="both"/>
        <w:rPr>
          <w:bCs/>
          <w:color w:val="002060"/>
          <w:sz w:val="16"/>
          <w:szCs w:val="16"/>
        </w:rPr>
      </w:pPr>
      <w:r w:rsidRPr="00405303">
        <w:rPr>
          <w:bCs/>
          <w:color w:val="002060"/>
          <w:sz w:val="16"/>
          <w:szCs w:val="16"/>
        </w:rPr>
        <w:t xml:space="preserve">И тем не менее постановка массового, сравнительно несложного производства в импровизированном порядке, без предварительной подготовки потребовала 9 месяцев, а разворачивание его до максимума — 18 месяцев. </w:t>
      </w:r>
    </w:p>
    <w:p w14:paraId="1DCB2A91" w14:textId="77777777" w:rsidR="004B4E35" w:rsidRPr="00405303" w:rsidRDefault="009E6F82" w:rsidP="00C15251">
      <w:pPr>
        <w:jc w:val="both"/>
        <w:rPr>
          <w:bCs/>
          <w:color w:val="002060"/>
          <w:sz w:val="16"/>
          <w:szCs w:val="16"/>
        </w:rPr>
      </w:pPr>
      <w:r w:rsidRPr="00405303">
        <w:rPr>
          <w:bCs/>
          <w:color w:val="002060"/>
          <w:sz w:val="16"/>
          <w:szCs w:val="16"/>
        </w:rPr>
        <w:t xml:space="preserve">Эти цифры, относящиеся к довольно далекому прошлому, тем не менее полностью сохраняют свою практическую ценность и сейчас, в совершенно иной обстановке. Это подтверждает отчетливо опыт постановки на Златоустовском заводе массового производства снарядов нового чертежа, имевший место в 1924—1925 годах. Здесь работа в отношении сроков результировалась цифрами, совершенно сходными с теми, которые приведены выше. </w:t>
      </w:r>
    </w:p>
    <w:p w14:paraId="162CCDE7" w14:textId="77777777" w:rsidR="004B4E35" w:rsidRPr="00405303" w:rsidRDefault="009E6F82" w:rsidP="00C15251">
      <w:pPr>
        <w:jc w:val="both"/>
        <w:rPr>
          <w:bCs/>
          <w:color w:val="002060"/>
          <w:sz w:val="16"/>
          <w:szCs w:val="16"/>
        </w:rPr>
      </w:pPr>
      <w:r w:rsidRPr="00405303">
        <w:rPr>
          <w:bCs/>
          <w:color w:val="002060"/>
          <w:sz w:val="16"/>
          <w:szCs w:val="16"/>
        </w:rPr>
        <w:t xml:space="preserve">Приведенные выше сроки, как бы они хорошо ни были обоснованы с точки зрения производственной, с точки зрения интересов военного ведомства, само собой разумеется, должны быть признаны неприемлемыми. Единственное средство сократить их — это надлежащая заблаговременная мобилизационная подготовка заводов. При наличии ее получается совершенно другой производственный эффект. </w:t>
      </w:r>
    </w:p>
    <w:p w14:paraId="4FE3C67F" w14:textId="77777777" w:rsidR="004B4E35" w:rsidRPr="00405303" w:rsidRDefault="009E6F82" w:rsidP="00C15251">
      <w:pPr>
        <w:jc w:val="both"/>
        <w:rPr>
          <w:bCs/>
          <w:color w:val="002060"/>
          <w:sz w:val="16"/>
          <w:szCs w:val="16"/>
        </w:rPr>
      </w:pPr>
      <w:r w:rsidRPr="00405303">
        <w:rPr>
          <w:bCs/>
          <w:color w:val="002060"/>
          <w:sz w:val="16"/>
          <w:szCs w:val="16"/>
        </w:rPr>
        <w:t>Все указанные обстоятельства должны быть тщательно учтены военным ведомством при составлении его мобилизационных планов, с тем чтобы эти планы носили реальный характер. Это особенно важно по отношению к снарядам, так как производство их лежит в большинстве на гражданских заводах, в мирное время стоящих на консервации (так в тексте. — Ред.) (11329).</w:t>
      </w:r>
    </w:p>
    <w:p w14:paraId="7042DD16" w14:textId="77777777" w:rsidR="004B4E35" w:rsidRPr="00405303" w:rsidRDefault="004B4E35" w:rsidP="00C15251">
      <w:pPr>
        <w:jc w:val="both"/>
        <w:rPr>
          <w:bCs/>
          <w:i/>
          <w:color w:val="002060"/>
          <w:sz w:val="16"/>
          <w:szCs w:val="16"/>
        </w:rPr>
      </w:pPr>
    </w:p>
    <w:p w14:paraId="33122448" w14:textId="23C7FC15" w:rsidR="004B4E35" w:rsidRPr="00405303" w:rsidRDefault="00501A0A"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январе 1915г. с фронта поступили сообщения о применении немцами снарядов с отравляющими веществами и дымо</w:t>
      </w:r>
      <w:r w:rsidR="009E6F82" w:rsidRPr="00405303">
        <w:rPr>
          <w:bCs/>
          <w:color w:val="002060"/>
          <w:sz w:val="16"/>
          <w:szCs w:val="16"/>
        </w:rPr>
        <w:softHyphen/>
        <w:t>вых снарядов, в России были предприняты работы по созданию ана</w:t>
      </w:r>
      <w:r w:rsidR="009E6F82" w:rsidRPr="00405303">
        <w:rPr>
          <w:bCs/>
          <w:color w:val="002060"/>
          <w:sz w:val="16"/>
          <w:szCs w:val="16"/>
        </w:rPr>
        <w:softHyphen/>
        <w:t xml:space="preserve">логичных средств борьбы. </w:t>
      </w:r>
      <w:r w:rsidR="009E6F82" w:rsidRPr="00405303">
        <w:rPr>
          <w:bCs/>
          <w:i/>
          <w:color w:val="002060"/>
          <w:sz w:val="16"/>
          <w:szCs w:val="16"/>
        </w:rPr>
        <w:t xml:space="preserve">С </w:t>
      </w:r>
      <w:r w:rsidR="009E6F82" w:rsidRPr="00405303">
        <w:rPr>
          <w:bCs/>
          <w:color w:val="002060"/>
          <w:sz w:val="16"/>
          <w:szCs w:val="16"/>
        </w:rPr>
        <w:t xml:space="preserve">1916 г. в России начали изготовлять 76-мм гранаты с ОВ двух типов: удушающие (с хлорпикрином) и ядовитые (с фосгеном). </w:t>
      </w:r>
      <w:r w:rsidR="009E6F82" w:rsidRPr="00405303">
        <w:rPr>
          <w:bCs/>
          <w:i/>
          <w:color w:val="002060"/>
          <w:sz w:val="16"/>
          <w:szCs w:val="16"/>
        </w:rPr>
        <w:t xml:space="preserve">С </w:t>
      </w:r>
      <w:r w:rsidR="009E6F82" w:rsidRPr="00405303">
        <w:rPr>
          <w:bCs/>
          <w:color w:val="002060"/>
          <w:sz w:val="16"/>
          <w:szCs w:val="16"/>
        </w:rPr>
        <w:t>осени 1916 г. требования действующей русской армии на 76-мм химические снаряды удовлетворялись пол</w:t>
      </w:r>
      <w:r w:rsidR="009E6F82" w:rsidRPr="00405303">
        <w:rPr>
          <w:bCs/>
          <w:color w:val="002060"/>
          <w:sz w:val="16"/>
          <w:szCs w:val="16"/>
        </w:rPr>
        <w:softHyphen/>
        <w:t>ностью.</w:t>
      </w:r>
    </w:p>
    <w:p w14:paraId="5A06AA0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весны 1917 г. русская артиллерия-с тала получать также хими</w:t>
      </w:r>
      <w:r w:rsidRPr="00405303">
        <w:rPr>
          <w:bCs/>
          <w:color w:val="002060"/>
          <w:sz w:val="16"/>
          <w:szCs w:val="16"/>
        </w:rPr>
        <w:softHyphen/>
        <w:t>ческие мины для минометов, вмещавшие больше отравляющего ве</w:t>
      </w:r>
      <w:r w:rsidRPr="00405303">
        <w:rPr>
          <w:bCs/>
          <w:color w:val="002060"/>
          <w:sz w:val="16"/>
          <w:szCs w:val="16"/>
        </w:rPr>
        <w:softHyphen/>
        <w:t>щества (до 50 % общей массы снаряда против 10 % у 76-мм химиче</w:t>
      </w:r>
      <w:r w:rsidRPr="00405303">
        <w:rPr>
          <w:bCs/>
          <w:color w:val="002060"/>
          <w:sz w:val="16"/>
          <w:szCs w:val="16"/>
        </w:rPr>
        <w:softHyphen/>
        <w:t>ских снарядов) [4, с. 317] (5484).</w:t>
      </w:r>
    </w:p>
    <w:p w14:paraId="4CB6DB5D" w14:textId="77777777" w:rsidR="004B4E35" w:rsidRPr="00405303" w:rsidRDefault="004B4E35" w:rsidP="00C15251">
      <w:pPr>
        <w:shd w:val="clear" w:color="auto" w:fill="FFFFFF"/>
        <w:jc w:val="both"/>
        <w:rPr>
          <w:bCs/>
          <w:color w:val="002060"/>
          <w:sz w:val="16"/>
          <w:szCs w:val="16"/>
        </w:rPr>
      </w:pPr>
    </w:p>
    <w:p w14:paraId="5F1497FD" w14:textId="77777777" w:rsidR="00220D0B" w:rsidRPr="00405303" w:rsidRDefault="00220D0B" w:rsidP="00C15251">
      <w:pPr>
        <w:jc w:val="both"/>
        <w:rPr>
          <w:rFonts w:eastAsia="Times-Roman"/>
          <w:bCs/>
          <w:color w:val="002060"/>
          <w:sz w:val="16"/>
          <w:szCs w:val="16"/>
        </w:rPr>
      </w:pPr>
      <w:r w:rsidRPr="00405303">
        <w:rPr>
          <w:rFonts w:eastAsia="TimesNewRoman"/>
          <w:bCs/>
          <w:color w:val="002060"/>
          <w:sz w:val="16"/>
          <w:szCs w:val="16"/>
        </w:rPr>
        <w:t xml:space="preserve">В январе </w:t>
      </w:r>
      <w:r w:rsidRPr="00405303">
        <w:rPr>
          <w:rFonts w:eastAsia="Times-Roman"/>
          <w:bCs/>
          <w:color w:val="002060"/>
          <w:sz w:val="16"/>
          <w:szCs w:val="16"/>
        </w:rPr>
        <w:t xml:space="preserve">1915 </w:t>
      </w:r>
      <w:r w:rsidRPr="00405303">
        <w:rPr>
          <w:rFonts w:eastAsia="TimesNewRoman"/>
          <w:bCs/>
          <w:color w:val="002060"/>
          <w:sz w:val="16"/>
          <w:szCs w:val="16"/>
        </w:rPr>
        <w:t>г</w:t>
      </w:r>
      <w:r w:rsidRPr="00405303">
        <w:rPr>
          <w:rFonts w:eastAsia="Times-Roman"/>
          <w:bCs/>
          <w:color w:val="002060"/>
          <w:sz w:val="16"/>
          <w:szCs w:val="16"/>
        </w:rPr>
        <w:t xml:space="preserve">. была учреждена </w:t>
      </w:r>
      <w:r w:rsidRPr="00405303">
        <w:rPr>
          <w:rFonts w:eastAsia="TimesNewRoman"/>
          <w:bCs/>
          <w:color w:val="002060"/>
          <w:sz w:val="16"/>
          <w:szCs w:val="16"/>
        </w:rPr>
        <w:t>Особая распорядительная комиссия по артиллерийской части во главе с генерал</w:t>
      </w:r>
      <w:r w:rsidRPr="00405303">
        <w:rPr>
          <w:rFonts w:eastAsia="Times-Roman"/>
          <w:bCs/>
          <w:color w:val="002060"/>
          <w:sz w:val="16"/>
          <w:szCs w:val="16"/>
        </w:rPr>
        <w:t>-</w:t>
      </w:r>
      <w:r w:rsidRPr="00405303">
        <w:rPr>
          <w:rFonts w:eastAsia="TimesNewRoman"/>
          <w:bCs/>
          <w:color w:val="002060"/>
          <w:sz w:val="16"/>
          <w:szCs w:val="16"/>
        </w:rPr>
        <w:t>инспектором артиллерии великим князем Сергеем Михайловичем</w:t>
      </w:r>
      <w:r w:rsidRPr="00405303">
        <w:rPr>
          <w:rFonts w:eastAsia="Times-Roman"/>
          <w:bCs/>
          <w:color w:val="002060"/>
          <w:sz w:val="16"/>
          <w:szCs w:val="16"/>
        </w:rPr>
        <w:t xml:space="preserve">. </w:t>
      </w:r>
      <w:r w:rsidRPr="00405303">
        <w:rPr>
          <w:rFonts w:eastAsia="TimesNewRoman"/>
          <w:bCs/>
          <w:color w:val="002060"/>
          <w:sz w:val="16"/>
          <w:szCs w:val="16"/>
        </w:rPr>
        <w:t xml:space="preserve">к маю </w:t>
      </w:r>
      <w:r w:rsidRPr="00405303">
        <w:rPr>
          <w:rFonts w:eastAsia="Times-Roman"/>
          <w:bCs/>
          <w:color w:val="002060"/>
          <w:sz w:val="16"/>
          <w:szCs w:val="16"/>
        </w:rPr>
        <w:t xml:space="preserve">1915 </w:t>
      </w:r>
      <w:r w:rsidRPr="00405303">
        <w:rPr>
          <w:rFonts w:eastAsia="TimesNewRoman"/>
          <w:bCs/>
          <w:color w:val="002060"/>
          <w:sz w:val="16"/>
          <w:szCs w:val="16"/>
        </w:rPr>
        <w:t>г</w:t>
      </w:r>
      <w:r w:rsidRPr="00405303">
        <w:rPr>
          <w:rFonts w:eastAsia="Times-Roman"/>
          <w:bCs/>
          <w:color w:val="002060"/>
          <w:sz w:val="16"/>
          <w:szCs w:val="16"/>
        </w:rPr>
        <w:t>. б</w:t>
      </w:r>
      <w:r w:rsidRPr="00405303">
        <w:rPr>
          <w:rFonts w:eastAsia="TimesNewRoman"/>
          <w:bCs/>
          <w:color w:val="002060"/>
          <w:sz w:val="16"/>
          <w:szCs w:val="16"/>
        </w:rPr>
        <w:t>лагодаря авторитету своего председателя и энергии членов комиссии удалось добиться некоторого роста производства важнейших предметов боевого снабжения армии</w:t>
      </w:r>
      <w:r w:rsidRPr="00405303">
        <w:rPr>
          <w:rFonts w:eastAsia="Times-Roman"/>
          <w:bCs/>
          <w:color w:val="002060"/>
          <w:sz w:val="16"/>
          <w:szCs w:val="16"/>
        </w:rPr>
        <w:t xml:space="preserve">. </w:t>
      </w:r>
      <w:r w:rsidRPr="00405303">
        <w:rPr>
          <w:rFonts w:eastAsia="TimesNewRoman"/>
          <w:bCs/>
          <w:color w:val="002060"/>
          <w:sz w:val="16"/>
          <w:szCs w:val="16"/>
        </w:rPr>
        <w:t>Однако, это не смогло предотвратить кризиса вооружения</w:t>
      </w:r>
      <w:r w:rsidRPr="00405303">
        <w:rPr>
          <w:rFonts w:eastAsia="Times-Roman"/>
          <w:bCs/>
          <w:color w:val="002060"/>
          <w:sz w:val="16"/>
          <w:szCs w:val="16"/>
        </w:rPr>
        <w:t xml:space="preserve">, </w:t>
      </w:r>
      <w:r w:rsidRPr="00405303">
        <w:rPr>
          <w:rFonts w:eastAsia="TimesNewRoman"/>
          <w:bCs/>
          <w:color w:val="002060"/>
          <w:sz w:val="16"/>
          <w:szCs w:val="16"/>
        </w:rPr>
        <w:t xml:space="preserve">ставшего основной причиной </w:t>
      </w:r>
      <w:r w:rsidRPr="00405303">
        <w:rPr>
          <w:rFonts w:eastAsia="Times-Roman"/>
          <w:bCs/>
          <w:color w:val="002060"/>
          <w:sz w:val="16"/>
          <w:szCs w:val="16"/>
        </w:rPr>
        <w:t>«</w:t>
      </w:r>
      <w:r w:rsidRPr="00405303">
        <w:rPr>
          <w:rFonts w:eastAsia="TimesNewRoman"/>
          <w:bCs/>
          <w:color w:val="002060"/>
          <w:sz w:val="16"/>
          <w:szCs w:val="16"/>
        </w:rPr>
        <w:t>Великого отступления</w:t>
      </w:r>
      <w:r w:rsidRPr="00405303">
        <w:rPr>
          <w:rFonts w:eastAsia="Times-Roman"/>
          <w:bCs/>
          <w:color w:val="002060"/>
          <w:sz w:val="16"/>
          <w:szCs w:val="16"/>
        </w:rPr>
        <w:t xml:space="preserve">» </w:t>
      </w:r>
      <w:r w:rsidRPr="00405303">
        <w:rPr>
          <w:rFonts w:eastAsia="TimesNewRoman"/>
          <w:bCs/>
          <w:color w:val="002060"/>
          <w:sz w:val="16"/>
          <w:szCs w:val="16"/>
        </w:rPr>
        <w:t>русской армии весной</w:t>
      </w:r>
      <w:r w:rsidRPr="00405303">
        <w:rPr>
          <w:rFonts w:eastAsia="Times-Roman"/>
          <w:bCs/>
          <w:color w:val="002060"/>
          <w:sz w:val="16"/>
          <w:szCs w:val="16"/>
        </w:rPr>
        <w:t>-</w:t>
      </w:r>
      <w:r w:rsidRPr="00405303">
        <w:rPr>
          <w:rFonts w:eastAsia="TimesNewRoman"/>
          <w:bCs/>
          <w:color w:val="002060"/>
          <w:sz w:val="16"/>
          <w:szCs w:val="16"/>
        </w:rPr>
        <w:t xml:space="preserve">летом </w:t>
      </w:r>
      <w:r w:rsidRPr="00405303">
        <w:rPr>
          <w:rFonts w:eastAsia="Times-Roman"/>
          <w:bCs/>
          <w:color w:val="002060"/>
          <w:sz w:val="16"/>
          <w:szCs w:val="16"/>
        </w:rPr>
        <w:t xml:space="preserve">1915 </w:t>
      </w:r>
      <w:proofErr w:type="gramStart"/>
      <w:r w:rsidRPr="00405303">
        <w:rPr>
          <w:rFonts w:eastAsia="TimesNewRoman"/>
          <w:bCs/>
          <w:color w:val="002060"/>
          <w:sz w:val="16"/>
          <w:szCs w:val="16"/>
        </w:rPr>
        <w:t>г</w:t>
      </w:r>
      <w:r w:rsidRPr="00405303">
        <w:rPr>
          <w:rFonts w:eastAsia="Times-Roman"/>
          <w:bCs/>
          <w:color w:val="002060"/>
          <w:sz w:val="16"/>
          <w:szCs w:val="16"/>
        </w:rPr>
        <w:t>..</w:t>
      </w:r>
      <w:proofErr w:type="gramEnd"/>
    </w:p>
    <w:p w14:paraId="3417C065" w14:textId="77777777" w:rsidR="00220D0B" w:rsidRPr="00405303" w:rsidRDefault="00220D0B" w:rsidP="00C15251">
      <w:pPr>
        <w:jc w:val="both"/>
        <w:rPr>
          <w:rFonts w:eastAsia="Times-Roman"/>
          <w:bCs/>
          <w:color w:val="002060"/>
          <w:sz w:val="16"/>
          <w:szCs w:val="16"/>
        </w:rPr>
      </w:pPr>
      <w:r w:rsidRPr="00405303">
        <w:rPr>
          <w:rFonts w:eastAsia="TimesNewRoman"/>
          <w:bCs/>
          <w:color w:val="002060"/>
          <w:sz w:val="16"/>
          <w:szCs w:val="16"/>
        </w:rPr>
        <w:t>Положение Особой распорядительной комиссии достаточно объективно оценил бывший министр торговли и промышленности С</w:t>
      </w:r>
      <w:r w:rsidRPr="00405303">
        <w:rPr>
          <w:rFonts w:eastAsia="Times-Roman"/>
          <w:bCs/>
          <w:color w:val="002060"/>
          <w:sz w:val="16"/>
          <w:szCs w:val="16"/>
        </w:rPr>
        <w:t>.</w:t>
      </w:r>
      <w:r w:rsidRPr="00405303">
        <w:rPr>
          <w:rFonts w:eastAsia="TimesNewRoman"/>
          <w:bCs/>
          <w:color w:val="002060"/>
          <w:sz w:val="16"/>
          <w:szCs w:val="16"/>
        </w:rPr>
        <w:t>И</w:t>
      </w:r>
      <w:r w:rsidRPr="00405303">
        <w:rPr>
          <w:rFonts w:eastAsia="Times-Roman"/>
          <w:bCs/>
          <w:color w:val="002060"/>
          <w:sz w:val="16"/>
          <w:szCs w:val="16"/>
        </w:rPr>
        <w:t xml:space="preserve">. </w:t>
      </w:r>
      <w:r w:rsidRPr="00405303">
        <w:rPr>
          <w:rFonts w:eastAsia="TimesNewRoman"/>
          <w:bCs/>
          <w:color w:val="002060"/>
          <w:sz w:val="16"/>
          <w:szCs w:val="16"/>
        </w:rPr>
        <w:t>Тимашев в своей памятной записке</w:t>
      </w:r>
      <w:r w:rsidRPr="00405303">
        <w:rPr>
          <w:rFonts w:eastAsia="Times-Roman"/>
          <w:bCs/>
          <w:color w:val="002060"/>
          <w:sz w:val="16"/>
          <w:szCs w:val="16"/>
        </w:rPr>
        <w:t xml:space="preserve">: «… </w:t>
      </w:r>
      <w:r w:rsidRPr="00405303">
        <w:rPr>
          <w:rFonts w:eastAsia="TimesNewRoman"/>
          <w:bCs/>
          <w:color w:val="002060"/>
          <w:sz w:val="16"/>
          <w:szCs w:val="16"/>
        </w:rPr>
        <w:t>сношения второстепенных чинов военного ведомства с отдельными заводчиками не разрешат задачи в намеченном объеме</w:t>
      </w:r>
      <w:r w:rsidRPr="00405303">
        <w:rPr>
          <w:rFonts w:eastAsia="Times-Roman"/>
          <w:bCs/>
          <w:color w:val="002060"/>
          <w:sz w:val="16"/>
          <w:szCs w:val="16"/>
        </w:rPr>
        <w:t xml:space="preserve">…». </w:t>
      </w:r>
      <w:r w:rsidRPr="00405303">
        <w:rPr>
          <w:rFonts w:eastAsia="TimesNewRoman"/>
          <w:bCs/>
          <w:color w:val="002060"/>
          <w:sz w:val="16"/>
          <w:szCs w:val="16"/>
        </w:rPr>
        <w:t>По его мнению</w:t>
      </w:r>
      <w:r w:rsidRPr="00405303">
        <w:rPr>
          <w:rFonts w:eastAsia="Times-Roman"/>
          <w:bCs/>
          <w:color w:val="002060"/>
          <w:sz w:val="16"/>
          <w:szCs w:val="16"/>
        </w:rPr>
        <w:t>, «</w:t>
      </w:r>
      <w:r w:rsidRPr="00405303">
        <w:rPr>
          <w:rFonts w:eastAsia="TimesNewRoman"/>
          <w:bCs/>
          <w:color w:val="002060"/>
          <w:sz w:val="16"/>
          <w:szCs w:val="16"/>
        </w:rPr>
        <w:t>необходимо образование высоко</w:t>
      </w:r>
      <w:r w:rsidRPr="00405303">
        <w:rPr>
          <w:rFonts w:eastAsia="Times-Roman"/>
          <w:bCs/>
          <w:color w:val="002060"/>
          <w:sz w:val="16"/>
          <w:szCs w:val="16"/>
        </w:rPr>
        <w:t>-</w:t>
      </w:r>
      <w:r w:rsidRPr="00405303">
        <w:rPr>
          <w:rFonts w:eastAsia="TimesNewRoman"/>
          <w:bCs/>
          <w:color w:val="002060"/>
          <w:sz w:val="16"/>
          <w:szCs w:val="16"/>
        </w:rPr>
        <w:t>авторитетного учреждения</w:t>
      </w:r>
      <w:r w:rsidRPr="00405303">
        <w:rPr>
          <w:rFonts w:eastAsia="Times-Roman"/>
          <w:bCs/>
          <w:color w:val="002060"/>
          <w:sz w:val="16"/>
          <w:szCs w:val="16"/>
        </w:rPr>
        <w:t xml:space="preserve">, </w:t>
      </w:r>
      <w:r w:rsidRPr="00405303">
        <w:rPr>
          <w:rFonts w:eastAsia="TimesNewRoman"/>
          <w:bCs/>
          <w:color w:val="002060"/>
          <w:sz w:val="16"/>
          <w:szCs w:val="16"/>
        </w:rPr>
        <w:t>которое быстро обсуждало бы возникающие вопросы и принимало безотлагательные меры к их разрешению</w:t>
      </w:r>
      <w:r w:rsidRPr="00405303">
        <w:rPr>
          <w:rFonts w:eastAsia="Times-Roman"/>
          <w:bCs/>
          <w:color w:val="002060"/>
          <w:sz w:val="16"/>
          <w:szCs w:val="16"/>
        </w:rPr>
        <w:t>» (20240).</w:t>
      </w:r>
    </w:p>
    <w:p w14:paraId="0E3CA35C" w14:textId="77777777" w:rsidR="00220D0B" w:rsidRPr="00405303" w:rsidRDefault="00220D0B" w:rsidP="00C15251">
      <w:pPr>
        <w:jc w:val="both"/>
        <w:rPr>
          <w:rFonts w:eastAsia="Times-Roman"/>
          <w:bCs/>
          <w:color w:val="002060"/>
          <w:sz w:val="16"/>
          <w:szCs w:val="16"/>
        </w:rPr>
      </w:pPr>
    </w:p>
    <w:p w14:paraId="4753AA88" w14:textId="77777777" w:rsidR="00220D0B" w:rsidRPr="00405303" w:rsidRDefault="00220D0B" w:rsidP="00C15251">
      <w:pPr>
        <w:shd w:val="clear" w:color="auto" w:fill="FFFFFF"/>
        <w:jc w:val="both"/>
        <w:rPr>
          <w:bCs/>
          <w:color w:val="002060"/>
          <w:sz w:val="16"/>
          <w:szCs w:val="16"/>
        </w:rPr>
      </w:pPr>
      <w:r w:rsidRPr="00405303">
        <w:rPr>
          <w:bCs/>
          <w:color w:val="002060"/>
          <w:sz w:val="16"/>
          <w:szCs w:val="16"/>
        </w:rPr>
        <w:lastRenderedPageBreak/>
        <w:t>В январе 1915 г. Техническим комитетом ГВТУ был одобрен образец карманной грелки, разработанный в ЦНТЛ. Однако массовое снабжение ими войск задерживалось из-за нехватки материалов для производства угольков. В преддверии осенне-зимнего периода Особое совещание 14 сентября 1915 г. санкционировало заказ крупной партии грелок и угольков в Японии, потребовав одновременно наладить выпуск этих изделий и в России [Журнал № 5 ПКОВ. Заседание 14 сентября 1915 г. / Архив ВИМАИВиВС. Ф. 13. Оп. 87/1. Д. 69. Л. 83.]. В течение 1915–1916 гг. к производству грелок и углей были привлечены Петроградский технологический институт, Петроградские политехнические курсы М.А. Шуммера, товарищество на паях «И.Е. Кузнецов», петроградский завод «Токарь», а также целый ряд мелких предприятий, задействованных через ЦВПК и Земгор (20236).</w:t>
      </w:r>
    </w:p>
    <w:p w14:paraId="6FC20064" w14:textId="77777777" w:rsidR="00220D0B" w:rsidRPr="00405303" w:rsidRDefault="00220D0B" w:rsidP="00C15251">
      <w:pPr>
        <w:jc w:val="both"/>
        <w:rPr>
          <w:bCs/>
          <w:color w:val="002060"/>
          <w:sz w:val="16"/>
          <w:szCs w:val="16"/>
          <w:shd w:val="clear" w:color="auto" w:fill="FFFFFF"/>
        </w:rPr>
      </w:pPr>
    </w:p>
    <w:p w14:paraId="0095E622" w14:textId="77777777" w:rsidR="00220D0B" w:rsidRPr="00405303" w:rsidRDefault="00220D0B" w:rsidP="00C15251">
      <w:pPr>
        <w:pStyle w:val="ae"/>
        <w:spacing w:before="0" w:beforeAutospacing="0" w:after="0" w:afterAutospacing="0"/>
        <w:jc w:val="both"/>
        <w:rPr>
          <w:bCs/>
          <w:color w:val="002060"/>
          <w:sz w:val="16"/>
          <w:szCs w:val="16"/>
        </w:rPr>
      </w:pPr>
      <w:r w:rsidRPr="00405303">
        <w:rPr>
          <w:bCs/>
          <w:color w:val="002060"/>
          <w:sz w:val="16"/>
          <w:szCs w:val="16"/>
        </w:rPr>
        <w:t>В январе 1915 г. Ставка уже была озабочена появлением у немцев многих технических новшеств, применение которых действовало угнетающе на русские войска. Среди них снаряды с «удушливыми газами», дымовые завесы, бросаемые в окопы мины и т. п. Необходимо было, не стремясь к достижению технически совершенных результатов, применить как можно скорее те же меры против немцев, чтобы сразу же поднять настроение русских солдат сознанием, что и им дают возможность поражать врага такими же техническими средствами, какие имеются у него (20246).</w:t>
      </w:r>
    </w:p>
    <w:p w14:paraId="11AA45C0" w14:textId="77777777" w:rsidR="00220D0B" w:rsidRPr="00405303" w:rsidRDefault="00220D0B" w:rsidP="00C15251">
      <w:pPr>
        <w:pStyle w:val="ae"/>
        <w:spacing w:before="0" w:beforeAutospacing="0" w:after="0" w:afterAutospacing="0"/>
        <w:jc w:val="both"/>
        <w:rPr>
          <w:bCs/>
          <w:color w:val="002060"/>
          <w:sz w:val="16"/>
          <w:szCs w:val="16"/>
        </w:rPr>
      </w:pPr>
    </w:p>
    <w:p w14:paraId="4E830A69" w14:textId="77777777" w:rsidR="002051CA" w:rsidRPr="00405303" w:rsidRDefault="002051CA" w:rsidP="00C15251">
      <w:pPr>
        <w:jc w:val="both"/>
        <w:rPr>
          <w:bCs/>
          <w:color w:val="002060"/>
          <w:sz w:val="16"/>
          <w:szCs w:val="16"/>
          <w:lang w:bidi="ru-RU"/>
        </w:rPr>
      </w:pPr>
      <w:r w:rsidRPr="00405303">
        <w:rPr>
          <w:bCs/>
          <w:color w:val="002060"/>
          <w:sz w:val="16"/>
          <w:szCs w:val="16"/>
        </w:rPr>
        <w:t>В ян</w:t>
      </w:r>
      <w:r w:rsidRPr="00405303">
        <w:rPr>
          <w:bCs/>
          <w:color w:val="002060"/>
          <w:sz w:val="16"/>
          <w:szCs w:val="16"/>
        </w:rPr>
        <w:softHyphen/>
        <w:t>варе 1915 г. помощник военного министра Сухомлиновв Лукомский в справке доложил о затянув</w:t>
      </w:r>
      <w:r w:rsidRPr="00405303">
        <w:rPr>
          <w:bCs/>
          <w:color w:val="002060"/>
          <w:sz w:val="16"/>
          <w:szCs w:val="16"/>
        </w:rPr>
        <w:softHyphen/>
        <w:t>шемся исследовании и проектировании азотного завода и заодно перечис</w:t>
      </w:r>
      <w:r w:rsidRPr="00405303">
        <w:rPr>
          <w:bCs/>
          <w:color w:val="002060"/>
          <w:sz w:val="16"/>
          <w:szCs w:val="16"/>
        </w:rPr>
        <w:softHyphen/>
        <w:t>лил ряд поступивших в прошлом предложений от частных предпринимателей (последним было заявление Зенгера). «Ввиду возникновения войны, — напомнил Лукомский, — разрешение возбужденного вопроса было отложено», но теперь он «представлялся неотложным», и Сухомлинов рас</w:t>
      </w:r>
      <w:r w:rsidRPr="00405303">
        <w:rPr>
          <w:bCs/>
          <w:color w:val="002060"/>
          <w:sz w:val="16"/>
          <w:szCs w:val="16"/>
        </w:rPr>
        <w:softHyphen/>
        <w:t>порядился создать при ГАУ междуведомственную комис</w:t>
      </w:r>
      <w:r w:rsidRPr="00405303">
        <w:rPr>
          <w:bCs/>
          <w:color w:val="002060"/>
          <w:sz w:val="16"/>
          <w:szCs w:val="16"/>
        </w:rPr>
        <w:softHyphen/>
        <w:t>сию (23452).</w:t>
      </w:r>
    </w:p>
    <w:p w14:paraId="14334912" w14:textId="77777777" w:rsidR="002051CA" w:rsidRPr="00405303" w:rsidRDefault="002051CA" w:rsidP="00C15251">
      <w:pPr>
        <w:jc w:val="both"/>
        <w:rPr>
          <w:bCs/>
          <w:color w:val="002060"/>
          <w:sz w:val="16"/>
          <w:szCs w:val="16"/>
          <w:lang w:bidi="ru-RU"/>
        </w:rPr>
      </w:pPr>
    </w:p>
    <w:p w14:paraId="2D815192" w14:textId="77777777" w:rsidR="00461264" w:rsidRPr="00405303" w:rsidRDefault="00461264" w:rsidP="00461264">
      <w:pPr>
        <w:jc w:val="both"/>
        <w:rPr>
          <w:color w:val="0070C0"/>
          <w:sz w:val="16"/>
          <w:szCs w:val="16"/>
        </w:rPr>
      </w:pPr>
      <w:r w:rsidRPr="00405303">
        <w:rPr>
          <w:color w:val="0070C0"/>
          <w:sz w:val="16"/>
          <w:szCs w:val="16"/>
        </w:rPr>
        <w:t>В январе 1915 года в Архангельске была образована комиссия из представителей различных ведомств для обсу</w:t>
      </w:r>
      <w:r w:rsidRPr="00405303">
        <w:rPr>
          <w:color w:val="0070C0"/>
          <w:sz w:val="16"/>
          <w:szCs w:val="16"/>
        </w:rPr>
        <w:softHyphen/>
        <w:t>ждения мероприятий по улучшению Архангельского порта. Эта комиссия постановила приобрести в казну лесопильный завод Вита на Бакарице и построить там вполне оборудо</w:t>
      </w:r>
      <w:r w:rsidRPr="00405303">
        <w:rPr>
          <w:color w:val="0070C0"/>
          <w:sz w:val="16"/>
          <w:szCs w:val="16"/>
        </w:rPr>
        <w:softHyphen/>
        <w:t>ванную набережную на 6 пароходов. Зимой приступлено было к работе, и к началу навигации часть набережной уже была готова, а с середины лета 1915 года можно было пользоваться уже всей набережной. К тому же времени было увеличено и количество подвижного состава-на же</w:t>
      </w:r>
      <w:r w:rsidRPr="00405303">
        <w:rPr>
          <w:color w:val="0070C0"/>
          <w:sz w:val="16"/>
          <w:szCs w:val="16"/>
        </w:rPr>
        <w:softHyphen/>
        <w:t>лезной дороге.</w:t>
      </w:r>
    </w:p>
    <w:p w14:paraId="5523069C" w14:textId="77777777" w:rsidR="00461264" w:rsidRPr="00405303" w:rsidRDefault="00461264" w:rsidP="00461264">
      <w:pPr>
        <w:jc w:val="both"/>
        <w:rPr>
          <w:color w:val="0070C0"/>
          <w:sz w:val="16"/>
          <w:szCs w:val="16"/>
        </w:rPr>
      </w:pPr>
      <w:r w:rsidRPr="00405303">
        <w:rPr>
          <w:color w:val="0070C0"/>
          <w:sz w:val="16"/>
          <w:szCs w:val="16"/>
        </w:rPr>
        <w:t>Вследствие всего этого, дело переотправки грузов в навигацию 1915 года пошло значительно успешнее (24923).</w:t>
      </w:r>
    </w:p>
    <w:p w14:paraId="3BC16DD5" w14:textId="77777777" w:rsidR="00461264" w:rsidRPr="00405303" w:rsidRDefault="00461264" w:rsidP="00461264">
      <w:pPr>
        <w:jc w:val="both"/>
        <w:rPr>
          <w:color w:val="0070C0"/>
          <w:sz w:val="16"/>
          <w:szCs w:val="16"/>
        </w:rPr>
      </w:pPr>
    </w:p>
    <w:p w14:paraId="1E0A576D" w14:textId="233B717F"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0DC8C5DF" w14:textId="77777777" w:rsidR="004B4E35" w:rsidRPr="00405303" w:rsidRDefault="004B4E35" w:rsidP="00C15251">
      <w:pPr>
        <w:shd w:val="clear" w:color="auto" w:fill="FFFFFF"/>
        <w:jc w:val="both"/>
        <w:rPr>
          <w:bCs/>
          <w:i/>
          <w:color w:val="002060"/>
          <w:sz w:val="16"/>
          <w:szCs w:val="16"/>
        </w:rPr>
      </w:pPr>
    </w:p>
    <w:p w14:paraId="6A5BA43F" w14:textId="77777777" w:rsidR="004B4E35" w:rsidRPr="00405303" w:rsidRDefault="009E6F82" w:rsidP="00C15251">
      <w:pPr>
        <w:jc w:val="both"/>
        <w:rPr>
          <w:bCs/>
          <w:color w:val="002060"/>
          <w:sz w:val="16"/>
          <w:szCs w:val="16"/>
        </w:rPr>
      </w:pPr>
      <w:r w:rsidRPr="00405303">
        <w:rPr>
          <w:bCs/>
          <w:color w:val="002060"/>
          <w:sz w:val="16"/>
          <w:szCs w:val="16"/>
        </w:rPr>
        <w:t>В январе 1915 был организован специальный истребительный отряд для воздушной обороны Варшавы и особенно мостов через Вислу от налетов германских самолетов и дирижаблей. По получении от пограничных постов телеграфных сообщений о появлении самолетов или дирижаблей с германской стороны очередная пара самолетов отряда поднималась в воздух и дежурила на высоте 2000 м. Основные военно-воздушные силы России сосредоточивались в этот период на Юго-Западном фронте (11999).</w:t>
      </w:r>
    </w:p>
    <w:p w14:paraId="58B8F37B" w14:textId="77777777" w:rsidR="004B4E35" w:rsidRPr="00405303" w:rsidRDefault="004B4E35" w:rsidP="00C15251">
      <w:pPr>
        <w:shd w:val="clear" w:color="auto" w:fill="FFFFFF"/>
        <w:jc w:val="both"/>
        <w:rPr>
          <w:bCs/>
          <w:i/>
          <w:color w:val="002060"/>
          <w:sz w:val="16"/>
          <w:szCs w:val="16"/>
        </w:rPr>
      </w:pPr>
    </w:p>
    <w:p w14:paraId="382CF52E" w14:textId="77777777" w:rsidR="002051CA" w:rsidRPr="00405303" w:rsidRDefault="002051CA" w:rsidP="00C15251">
      <w:pPr>
        <w:jc w:val="both"/>
        <w:rPr>
          <w:bCs/>
          <w:color w:val="002060"/>
          <w:sz w:val="16"/>
          <w:szCs w:val="16"/>
          <w:lang w:bidi="en-US"/>
        </w:rPr>
      </w:pPr>
      <w:r w:rsidRPr="00405303">
        <w:rPr>
          <w:bCs/>
          <w:color w:val="002060"/>
          <w:sz w:val="16"/>
          <w:szCs w:val="16"/>
          <w:lang w:bidi="en-US"/>
        </w:rPr>
        <w:t>В течение января 1915 г. немцы сформировали несколько конных зенитных батарей на русском фронте, используя тридцать шесть захваченных русских 7,62-мм орудий и снарядов (23525).</w:t>
      </w:r>
    </w:p>
    <w:p w14:paraId="2FC6B284" w14:textId="77777777" w:rsidR="002051CA" w:rsidRPr="00405303" w:rsidRDefault="002051CA" w:rsidP="00C15251">
      <w:pPr>
        <w:jc w:val="both"/>
        <w:rPr>
          <w:bCs/>
          <w:color w:val="002060"/>
          <w:sz w:val="16"/>
          <w:szCs w:val="16"/>
        </w:rPr>
      </w:pPr>
    </w:p>
    <w:p w14:paraId="74BB2C65" w14:textId="77777777" w:rsidR="002051CA" w:rsidRPr="00405303" w:rsidRDefault="002051CA" w:rsidP="00C15251">
      <w:pPr>
        <w:jc w:val="both"/>
        <w:rPr>
          <w:bCs/>
          <w:color w:val="002060"/>
          <w:sz w:val="16"/>
          <w:szCs w:val="16"/>
        </w:rPr>
      </w:pPr>
      <w:r w:rsidRPr="00405303">
        <w:rPr>
          <w:bCs/>
          <w:color w:val="002060"/>
          <w:sz w:val="16"/>
          <w:szCs w:val="16"/>
          <w:lang w:bidi="en-US"/>
        </w:rPr>
        <w:t>В январе 1915 г. на аэродром в Яблонной, в 16 км к северо-западу от Варшавы, прибыло шесть самолетов Илья Муромец раннего Бех(б) типа ИМ-</w:t>
      </w:r>
      <w:r w:rsidRPr="00405303">
        <w:rPr>
          <w:bCs/>
          <w:color w:val="002060"/>
          <w:sz w:val="16"/>
          <w:szCs w:val="16"/>
          <w:lang w:val="en-US" w:bidi="en-US"/>
        </w:rPr>
        <w:t>II</w:t>
      </w:r>
      <w:r w:rsidRPr="00405303">
        <w:rPr>
          <w:bCs/>
          <w:color w:val="002060"/>
          <w:sz w:val="16"/>
          <w:szCs w:val="16"/>
          <w:lang w:bidi="en-US"/>
        </w:rPr>
        <w:t>, ИМ-</w:t>
      </w:r>
      <w:r w:rsidRPr="00405303">
        <w:rPr>
          <w:bCs/>
          <w:color w:val="002060"/>
          <w:sz w:val="16"/>
          <w:szCs w:val="16"/>
          <w:lang w:val="en-US" w:bidi="en-US"/>
        </w:rPr>
        <w:t>III</w:t>
      </w:r>
      <w:r w:rsidRPr="00405303">
        <w:rPr>
          <w:bCs/>
          <w:color w:val="002060"/>
          <w:sz w:val="16"/>
          <w:szCs w:val="16"/>
          <w:lang w:bidi="en-US"/>
        </w:rPr>
        <w:t>, ИМ-</w:t>
      </w:r>
      <w:r w:rsidRPr="00405303">
        <w:rPr>
          <w:bCs/>
          <w:color w:val="002060"/>
          <w:sz w:val="16"/>
          <w:szCs w:val="16"/>
          <w:lang w:val="en-US" w:bidi="en-US"/>
        </w:rPr>
        <w:t>IV</w:t>
      </w:r>
      <w:r w:rsidRPr="00405303">
        <w:rPr>
          <w:bCs/>
          <w:color w:val="002060"/>
          <w:sz w:val="16"/>
          <w:szCs w:val="16"/>
          <w:lang w:bidi="en-US"/>
        </w:rPr>
        <w:t>, ИМ-</w:t>
      </w:r>
      <w:r w:rsidRPr="00405303">
        <w:rPr>
          <w:bCs/>
          <w:color w:val="002060"/>
          <w:sz w:val="16"/>
          <w:szCs w:val="16"/>
          <w:lang w:val="en-US" w:bidi="en-US"/>
        </w:rPr>
        <w:t>V</w:t>
      </w:r>
      <w:r w:rsidRPr="00405303">
        <w:rPr>
          <w:bCs/>
          <w:color w:val="002060"/>
          <w:sz w:val="16"/>
          <w:szCs w:val="16"/>
          <w:lang w:bidi="en-US"/>
        </w:rPr>
        <w:t xml:space="preserve">, ИМ </w:t>
      </w:r>
      <w:r w:rsidRPr="00405303">
        <w:rPr>
          <w:bCs/>
          <w:color w:val="002060"/>
          <w:sz w:val="16"/>
          <w:szCs w:val="16"/>
          <w:lang w:val="en-US" w:bidi="en-US"/>
        </w:rPr>
        <w:t>VI</w:t>
      </w:r>
      <w:r w:rsidRPr="00405303">
        <w:rPr>
          <w:bCs/>
          <w:color w:val="002060"/>
          <w:sz w:val="16"/>
          <w:szCs w:val="16"/>
          <w:lang w:bidi="en-US"/>
        </w:rPr>
        <w:t xml:space="preserve"> и ИМ-</w:t>
      </w:r>
      <w:r w:rsidRPr="00405303">
        <w:rPr>
          <w:bCs/>
          <w:color w:val="002060"/>
          <w:sz w:val="16"/>
          <w:szCs w:val="16"/>
          <w:lang w:val="en-US" w:bidi="en-US"/>
        </w:rPr>
        <w:t>VII</w:t>
      </w:r>
      <w:r w:rsidRPr="00405303">
        <w:rPr>
          <w:bCs/>
          <w:color w:val="002060"/>
          <w:sz w:val="16"/>
          <w:szCs w:val="16"/>
          <w:lang w:bidi="en-US"/>
        </w:rPr>
        <w:t>. УЭВК заработал. Инженер Полковник Найденов исполнял обязанности заместителя командира Шидловского. ИМ-</w:t>
      </w:r>
      <w:r w:rsidRPr="00405303">
        <w:rPr>
          <w:bCs/>
          <w:color w:val="002060"/>
          <w:sz w:val="16"/>
          <w:szCs w:val="16"/>
          <w:lang w:val="en-US" w:bidi="en-US"/>
        </w:rPr>
        <w:t>VII</w:t>
      </w:r>
      <w:r w:rsidRPr="00405303">
        <w:rPr>
          <w:bCs/>
          <w:color w:val="002060"/>
          <w:sz w:val="16"/>
          <w:szCs w:val="16"/>
          <w:lang w:bidi="en-US"/>
        </w:rPr>
        <w:t xml:space="preserve"> (ИМ-Киевский) командовал военный летчик Капитан Г.Г. Горшков. Его заместителем был военный летчик Поручик И.С. Башко (23525).</w:t>
      </w:r>
    </w:p>
    <w:p w14:paraId="4BA3129B" w14:textId="77777777" w:rsidR="002051CA" w:rsidRPr="00405303" w:rsidRDefault="002051CA" w:rsidP="00C15251">
      <w:pPr>
        <w:jc w:val="both"/>
        <w:rPr>
          <w:bCs/>
          <w:color w:val="002060"/>
          <w:sz w:val="16"/>
          <w:szCs w:val="16"/>
          <w:lang w:bidi="ru-RU"/>
        </w:rPr>
      </w:pPr>
    </w:p>
    <w:p w14:paraId="4A0D9E26" w14:textId="77777777" w:rsidR="002051CA" w:rsidRPr="00405303" w:rsidRDefault="002051CA" w:rsidP="00C15251">
      <w:pPr>
        <w:jc w:val="both"/>
        <w:rPr>
          <w:bCs/>
          <w:color w:val="002060"/>
          <w:sz w:val="16"/>
          <w:szCs w:val="16"/>
        </w:rPr>
      </w:pPr>
      <w:r w:rsidRPr="00405303">
        <w:rPr>
          <w:bCs/>
          <w:color w:val="002060"/>
          <w:sz w:val="16"/>
          <w:szCs w:val="16"/>
        </w:rPr>
        <w:t>В январе 1915 г. вся Эскадра бы</w:t>
      </w:r>
      <w:r w:rsidRPr="00405303">
        <w:rPr>
          <w:bCs/>
          <w:color w:val="002060"/>
          <w:sz w:val="16"/>
          <w:szCs w:val="16"/>
        </w:rPr>
        <w:softHyphen/>
        <w:t>ла уже в Яблонне. Командиром Воз</w:t>
      </w:r>
      <w:r w:rsidRPr="00405303">
        <w:rPr>
          <w:bCs/>
          <w:color w:val="002060"/>
          <w:sz w:val="16"/>
          <w:szCs w:val="16"/>
        </w:rPr>
        <w:softHyphen/>
        <w:t>душного Корабля I вместо отказав</w:t>
      </w:r>
      <w:r w:rsidRPr="00405303">
        <w:rPr>
          <w:bCs/>
          <w:color w:val="002060"/>
          <w:sz w:val="16"/>
          <w:szCs w:val="16"/>
        </w:rPr>
        <w:softHyphen/>
        <w:t>шегося воевать Руднева был назна</w:t>
      </w:r>
      <w:r w:rsidRPr="00405303">
        <w:rPr>
          <w:bCs/>
          <w:color w:val="002060"/>
          <w:sz w:val="16"/>
          <w:szCs w:val="16"/>
        </w:rPr>
        <w:softHyphen/>
        <w:t>чен военный морской лётчик лей</w:t>
      </w:r>
      <w:r w:rsidRPr="00405303">
        <w:rPr>
          <w:bCs/>
          <w:color w:val="002060"/>
          <w:sz w:val="16"/>
          <w:szCs w:val="16"/>
        </w:rPr>
        <w:softHyphen/>
        <w:t>тенант Г.И. Лавров. Личный друг И.И. Сикорского и выдающийся офицер быстро превратил первый экипаж в один из лучших в Эскадре.</w:t>
      </w:r>
    </w:p>
    <w:p w14:paraId="0778E97B" w14:textId="77777777" w:rsidR="002051CA" w:rsidRPr="00405303" w:rsidRDefault="002051CA" w:rsidP="00C15251">
      <w:pPr>
        <w:jc w:val="both"/>
        <w:rPr>
          <w:bCs/>
          <w:color w:val="002060"/>
          <w:sz w:val="16"/>
          <w:szCs w:val="16"/>
        </w:rPr>
      </w:pPr>
      <w:r w:rsidRPr="00405303">
        <w:rPr>
          <w:bCs/>
          <w:color w:val="002060"/>
          <w:sz w:val="16"/>
          <w:szCs w:val="16"/>
        </w:rPr>
        <w:t>Весь первый месяц 1915 г. ушёл в ЭВК на активную подготовку ко</w:t>
      </w:r>
      <w:r w:rsidRPr="00405303">
        <w:rPr>
          <w:bCs/>
          <w:color w:val="002060"/>
          <w:sz w:val="16"/>
          <w:szCs w:val="16"/>
        </w:rPr>
        <w:softHyphen/>
        <w:t>раблей и тренировку личного со</w:t>
      </w:r>
      <w:r w:rsidRPr="00405303">
        <w:rPr>
          <w:bCs/>
          <w:color w:val="002060"/>
          <w:sz w:val="16"/>
          <w:szCs w:val="16"/>
        </w:rPr>
        <w:softHyphen/>
        <w:t>става. При Эскадре были образова</w:t>
      </w:r>
      <w:r w:rsidRPr="00405303">
        <w:rPr>
          <w:bCs/>
          <w:color w:val="002060"/>
          <w:sz w:val="16"/>
          <w:szCs w:val="16"/>
        </w:rPr>
        <w:softHyphen/>
        <w:t>ны школы для лётного и наземно</w:t>
      </w:r>
      <w:r w:rsidRPr="00405303">
        <w:rPr>
          <w:bCs/>
          <w:color w:val="002060"/>
          <w:sz w:val="16"/>
          <w:szCs w:val="16"/>
        </w:rPr>
        <w:softHyphen/>
        <w:t>го состава. Лётная готовила экипа</w:t>
      </w:r>
      <w:r w:rsidRPr="00405303">
        <w:rPr>
          <w:bCs/>
          <w:color w:val="002060"/>
          <w:sz w:val="16"/>
          <w:szCs w:val="16"/>
        </w:rPr>
        <w:softHyphen/>
        <w:t>жи «Муромцев»: пилотов, артилле</w:t>
      </w:r>
      <w:r w:rsidRPr="00405303">
        <w:rPr>
          <w:bCs/>
          <w:color w:val="002060"/>
          <w:sz w:val="16"/>
          <w:szCs w:val="16"/>
        </w:rPr>
        <w:softHyphen/>
        <w:t>рийских офицеров и механиков. Пилотирование воздушных кораб</w:t>
      </w:r>
      <w:r w:rsidRPr="00405303">
        <w:rPr>
          <w:bCs/>
          <w:color w:val="002060"/>
          <w:sz w:val="16"/>
          <w:szCs w:val="16"/>
        </w:rPr>
        <w:softHyphen/>
        <w:t>лей было сложным, обучение по</w:t>
      </w:r>
      <w:r w:rsidRPr="00405303">
        <w:rPr>
          <w:bCs/>
          <w:color w:val="002060"/>
          <w:sz w:val="16"/>
          <w:szCs w:val="16"/>
        </w:rPr>
        <w:softHyphen/>
        <w:t>стоянно сопровождалось авария</w:t>
      </w:r>
      <w:r w:rsidRPr="00405303">
        <w:rPr>
          <w:bCs/>
          <w:color w:val="002060"/>
          <w:sz w:val="16"/>
          <w:szCs w:val="16"/>
        </w:rPr>
        <w:softHyphen/>
        <w:t>ми, в ходе которых безвозвратно потеряли не один учебный «Муро</w:t>
      </w:r>
      <w:r w:rsidRPr="00405303">
        <w:rPr>
          <w:bCs/>
          <w:color w:val="002060"/>
          <w:sz w:val="16"/>
          <w:szCs w:val="16"/>
        </w:rPr>
        <w:softHyphen/>
        <w:t>мец». Аварии, к счастью, очень ред</w:t>
      </w:r>
      <w:r w:rsidRPr="00405303">
        <w:rPr>
          <w:bCs/>
          <w:color w:val="002060"/>
          <w:sz w:val="16"/>
          <w:szCs w:val="16"/>
        </w:rPr>
        <w:softHyphen/>
        <w:t>ко сопровождались гибелью чле</w:t>
      </w:r>
      <w:r w:rsidRPr="00405303">
        <w:rPr>
          <w:bCs/>
          <w:color w:val="002060"/>
          <w:sz w:val="16"/>
          <w:szCs w:val="16"/>
        </w:rPr>
        <w:softHyphen/>
        <w:t>нов экипажа.</w:t>
      </w:r>
    </w:p>
    <w:p w14:paraId="44A1C6B6" w14:textId="77777777" w:rsidR="002051CA" w:rsidRPr="00405303" w:rsidRDefault="002051CA" w:rsidP="00C15251">
      <w:pPr>
        <w:jc w:val="both"/>
        <w:rPr>
          <w:bCs/>
          <w:color w:val="002060"/>
          <w:sz w:val="16"/>
          <w:szCs w:val="16"/>
          <w:lang w:bidi="ru-RU"/>
        </w:rPr>
      </w:pPr>
      <w:r w:rsidRPr="00405303">
        <w:rPr>
          <w:bCs/>
          <w:color w:val="002060"/>
          <w:sz w:val="16"/>
          <w:szCs w:val="16"/>
        </w:rPr>
        <w:t>Вначале пилотированию тяжё</w:t>
      </w:r>
      <w:r w:rsidRPr="00405303">
        <w:rPr>
          <w:bCs/>
          <w:color w:val="002060"/>
          <w:sz w:val="16"/>
          <w:szCs w:val="16"/>
        </w:rPr>
        <w:softHyphen/>
        <w:t>лых бомбардировщиков обучались только офицеры, уже имевшие зва</w:t>
      </w:r>
      <w:r w:rsidRPr="00405303">
        <w:rPr>
          <w:bCs/>
          <w:color w:val="002060"/>
          <w:sz w:val="16"/>
          <w:szCs w:val="16"/>
        </w:rPr>
        <w:softHyphen/>
        <w:t xml:space="preserve">ние «военный лётчик», но </w:t>
      </w:r>
      <w:proofErr w:type="gramStart"/>
      <w:r w:rsidRPr="00405303">
        <w:rPr>
          <w:bCs/>
          <w:color w:val="002060"/>
          <w:sz w:val="16"/>
          <w:szCs w:val="16"/>
        </w:rPr>
        <w:t>Шидлов- ский</w:t>
      </w:r>
      <w:proofErr w:type="gramEnd"/>
      <w:r w:rsidRPr="00405303">
        <w:rPr>
          <w:bCs/>
          <w:color w:val="002060"/>
          <w:sz w:val="16"/>
          <w:szCs w:val="16"/>
        </w:rPr>
        <w:t xml:space="preserve"> взял на себя смелость обучать пилотов по полной программе (23469).</w:t>
      </w:r>
    </w:p>
    <w:p w14:paraId="0D510259" w14:textId="77777777" w:rsidR="002051CA" w:rsidRPr="00405303" w:rsidRDefault="002051CA" w:rsidP="00C15251">
      <w:pPr>
        <w:jc w:val="both"/>
        <w:rPr>
          <w:bCs/>
          <w:color w:val="002060"/>
          <w:sz w:val="16"/>
          <w:szCs w:val="16"/>
          <w:lang w:bidi="ru-RU"/>
        </w:rPr>
      </w:pPr>
    </w:p>
    <w:p w14:paraId="6E4797A2" w14:textId="77777777" w:rsidR="00461264" w:rsidRPr="00405303" w:rsidRDefault="00461264" w:rsidP="00461264">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 xml:space="preserve">В январе 1915 года была воздушная бомбардировка военно- морского порта и г. Либава немецким дирижаблем </w:t>
      </w:r>
      <w:r w:rsidRPr="00405303">
        <w:rPr>
          <w:rStyle w:val="aa"/>
          <w:rFonts w:ascii="Times New Roman" w:hAnsi="Times New Roman"/>
          <w:color w:val="0070C0"/>
          <w:spacing w:val="0"/>
          <w:sz w:val="16"/>
          <w:szCs w:val="16"/>
          <w:lang w:val="en-US"/>
        </w:rPr>
        <w:t>PL</w:t>
      </w:r>
      <w:r w:rsidRPr="00405303">
        <w:rPr>
          <w:rStyle w:val="aa"/>
          <w:rFonts w:ascii="Times New Roman" w:hAnsi="Times New Roman"/>
          <w:color w:val="0070C0"/>
          <w:spacing w:val="0"/>
          <w:sz w:val="16"/>
          <w:szCs w:val="16"/>
        </w:rPr>
        <w:t>-19. Этот рейд стал последним для его экипажа, сбитый зенитным огнем береговой артиллерии (25166).</w:t>
      </w:r>
    </w:p>
    <w:p w14:paraId="4B91171D" w14:textId="77777777" w:rsidR="00461264" w:rsidRPr="00405303" w:rsidRDefault="00461264" w:rsidP="00461264">
      <w:pPr>
        <w:jc w:val="both"/>
        <w:rPr>
          <w:rStyle w:val="aa"/>
          <w:rFonts w:ascii="Times New Roman" w:hAnsi="Times New Roman"/>
          <w:color w:val="0070C0"/>
          <w:spacing w:val="0"/>
          <w:sz w:val="16"/>
          <w:szCs w:val="16"/>
        </w:rPr>
      </w:pPr>
    </w:p>
    <w:p w14:paraId="4A61936B"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1C6152A1" w14:textId="77777777" w:rsidR="004B4E35" w:rsidRPr="00405303" w:rsidRDefault="004B4E35" w:rsidP="00C15251">
      <w:pPr>
        <w:shd w:val="clear" w:color="auto" w:fill="FFFFFF"/>
        <w:jc w:val="both"/>
        <w:rPr>
          <w:bCs/>
          <w:i/>
          <w:color w:val="002060"/>
          <w:sz w:val="16"/>
          <w:szCs w:val="16"/>
        </w:rPr>
      </w:pPr>
    </w:p>
    <w:p w14:paraId="076A6D67" w14:textId="77777777" w:rsidR="004B4E35" w:rsidRPr="00405303" w:rsidRDefault="009E6F82" w:rsidP="00C15251">
      <w:pPr>
        <w:jc w:val="both"/>
        <w:rPr>
          <w:bCs/>
          <w:color w:val="002060"/>
          <w:sz w:val="16"/>
          <w:szCs w:val="16"/>
        </w:rPr>
      </w:pPr>
      <w:r w:rsidRPr="00405303">
        <w:rPr>
          <w:bCs/>
          <w:color w:val="002060"/>
          <w:sz w:val="16"/>
          <w:szCs w:val="16"/>
        </w:rPr>
        <w:t>В январе 1915 г. на заседании авиационного комитета высказывалось обосновонное беспокойство за состояние боевой готовности морской авиации. На заседании комитета присутствовали начальник воздухоплава-тельного отделения Морского генерального штаба старший лейтенант А.А. Тучков, начальник Ревельской авиастанции старший лейте-нант Б.А. Щербачев, лётчики лейтенанты И.И. Кульнев и Г.И. Лавров, инженер Шишкин и другие. Было предложено принять экстренные меры для получения 12 летающих лодок "Кертисс-К", оформить заказа Петроградскому заводу Лебедева на постройку по лицензии 20 летающих лодок "ФБА" с моторами Путиловского завода. С учетом других закупок флотское командование рассчитывало в текущем году получить 56 аэропланов. Однако надежда на продуктивную работу столичных заводов оказалась несостоятельной (11927).</w:t>
      </w:r>
    </w:p>
    <w:p w14:paraId="18F3C530" w14:textId="77777777" w:rsidR="004B4E35" w:rsidRPr="00405303" w:rsidRDefault="004B4E35" w:rsidP="00C15251">
      <w:pPr>
        <w:jc w:val="both"/>
        <w:rPr>
          <w:bCs/>
          <w:color w:val="002060"/>
          <w:sz w:val="16"/>
          <w:szCs w:val="16"/>
        </w:rPr>
      </w:pPr>
    </w:p>
    <w:p w14:paraId="5AE081D3"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Армия:</w:t>
      </w:r>
    </w:p>
    <w:p w14:paraId="71E16F1D" w14:textId="77777777" w:rsidR="004B4E35" w:rsidRPr="00405303" w:rsidRDefault="004B4E35" w:rsidP="00C15251">
      <w:pPr>
        <w:shd w:val="clear" w:color="auto" w:fill="FFFFFF"/>
        <w:jc w:val="both"/>
        <w:rPr>
          <w:bCs/>
          <w:i/>
          <w:color w:val="002060"/>
          <w:sz w:val="16"/>
          <w:szCs w:val="16"/>
        </w:rPr>
      </w:pPr>
    </w:p>
    <w:p w14:paraId="7070A837" w14:textId="77777777" w:rsidR="000226B5" w:rsidRPr="00405303" w:rsidRDefault="000226B5" w:rsidP="00C15251">
      <w:pPr>
        <w:jc w:val="both"/>
        <w:rPr>
          <w:bCs/>
          <w:color w:val="002060"/>
          <w:sz w:val="16"/>
          <w:szCs w:val="16"/>
        </w:rPr>
      </w:pPr>
      <w:r w:rsidRPr="00405303">
        <w:rPr>
          <w:bCs/>
          <w:color w:val="002060"/>
          <w:sz w:val="16"/>
          <w:szCs w:val="16"/>
        </w:rPr>
        <w:t>В январе 1915 года у Болимова Германия первой нарушила запрет, применив боевые газы на Восточном фронте против армии генерала Гурко. Существенного ущерба русским войскам причинено не было, поскольку от мороза часть газа кристаллизовалась, а часть ветер унес обратно на немецкие окопы.</w:t>
      </w:r>
    </w:p>
    <w:p w14:paraId="2CF22969" w14:textId="77777777" w:rsidR="000226B5" w:rsidRPr="00405303" w:rsidRDefault="000226B5" w:rsidP="00C15251">
      <w:pPr>
        <w:jc w:val="both"/>
        <w:rPr>
          <w:bCs/>
          <w:color w:val="002060"/>
          <w:sz w:val="16"/>
          <w:szCs w:val="16"/>
        </w:rPr>
      </w:pPr>
      <w:r w:rsidRPr="00405303">
        <w:rPr>
          <w:bCs/>
          <w:color w:val="002060"/>
          <w:sz w:val="16"/>
          <w:szCs w:val="16"/>
        </w:rPr>
        <w:t xml:space="preserve">Еще до начала Первой мировой войны на вооружении практически всех стран-участниц будущего конфликта состояли боевые отравляющие вещества (ОВ), снаряженные ими боеприпасы и приборы для их выливания и распыления. Официально применение ОВ в ходе боевых действий было запрещено еще Гаагскими конвенциями 1899 и 1907 гг. </w:t>
      </w:r>
    </w:p>
    <w:p w14:paraId="612B7C7B" w14:textId="77777777" w:rsidR="000226B5" w:rsidRPr="00405303" w:rsidRDefault="000226B5" w:rsidP="00C15251">
      <w:pPr>
        <w:jc w:val="both"/>
        <w:rPr>
          <w:bCs/>
          <w:color w:val="002060"/>
          <w:sz w:val="16"/>
          <w:szCs w:val="16"/>
        </w:rPr>
      </w:pPr>
      <w:r w:rsidRPr="00405303">
        <w:rPr>
          <w:bCs/>
          <w:color w:val="002060"/>
          <w:sz w:val="16"/>
          <w:szCs w:val="16"/>
        </w:rPr>
        <w:t>После того как Германия повторно применила газы, но уже с более серьезными последствиями в битве на Ипре (9 апреля 1915 г.), все воюющие державы начали активно использовать ОВ. Россия, разумеется, не могла остаться в стороне. Отечественное военно-химическое производство в то время находилось в зачаточном состоянии — за время войны на российских заводах было произведено всего 3650 т. ОВ, в то время как в Германии — 68 100 т (18263).</w:t>
      </w:r>
    </w:p>
    <w:p w14:paraId="5C5364A1" w14:textId="77777777" w:rsidR="000226B5" w:rsidRPr="00405303" w:rsidRDefault="000226B5" w:rsidP="00C15251">
      <w:pPr>
        <w:jc w:val="both"/>
        <w:rPr>
          <w:bCs/>
          <w:color w:val="002060"/>
          <w:sz w:val="16"/>
          <w:szCs w:val="16"/>
        </w:rPr>
      </w:pPr>
    </w:p>
    <w:p w14:paraId="06486E8D" w14:textId="77777777" w:rsidR="004B4E35" w:rsidRPr="00405303" w:rsidRDefault="009E6F82" w:rsidP="00C15251">
      <w:pPr>
        <w:jc w:val="both"/>
        <w:rPr>
          <w:bCs/>
          <w:color w:val="002060"/>
          <w:sz w:val="16"/>
          <w:szCs w:val="16"/>
        </w:rPr>
      </w:pPr>
      <w:r w:rsidRPr="00405303">
        <w:rPr>
          <w:bCs/>
          <w:color w:val="002060"/>
          <w:sz w:val="16"/>
          <w:szCs w:val="16"/>
        </w:rPr>
        <w:t>В январе 1915 года во время налета на Либаву был потерян нежесткий дирижабль PL-19 (11324).</w:t>
      </w:r>
    </w:p>
    <w:p w14:paraId="23C5C694" w14:textId="77777777" w:rsidR="004B4E35" w:rsidRPr="00405303" w:rsidRDefault="004B4E35" w:rsidP="00C15251">
      <w:pPr>
        <w:shd w:val="clear" w:color="auto" w:fill="FFFFFF"/>
        <w:jc w:val="both"/>
        <w:rPr>
          <w:bCs/>
          <w:i/>
          <w:color w:val="002060"/>
          <w:sz w:val="16"/>
          <w:szCs w:val="16"/>
        </w:rPr>
      </w:pPr>
    </w:p>
    <w:p w14:paraId="7C331A6D" w14:textId="4A1E8579" w:rsidR="00C70383" w:rsidRPr="00405303" w:rsidRDefault="00C70383" w:rsidP="00C15251">
      <w:pPr>
        <w:jc w:val="both"/>
        <w:rPr>
          <w:bCs/>
          <w:color w:val="002060"/>
          <w:sz w:val="16"/>
          <w:szCs w:val="16"/>
        </w:rPr>
      </w:pPr>
      <w:r w:rsidRPr="00405303">
        <w:rPr>
          <w:bCs/>
          <w:color w:val="002060"/>
          <w:sz w:val="16"/>
          <w:szCs w:val="16"/>
        </w:rPr>
        <w:lastRenderedPageBreak/>
        <w:t>В январе 1915 г. Главное военно-техническое управление (ГВТУ) направило в Военный совет доклад о необходимости снабжения армии автомашинами специального назначения, а также экскаваторами и тракторами с плугами для рытья траншей. При определении количества землекопных машин ГВТУ поставило главную цель – механизировать земляные работы. Было решено, что такие машины необходимы в равной степени каждому корпусу. Возникла надобность в подготовленном техническом персонале для их обслуживания и профессионального надзора. Исходя из таких соображений, собирались придавать эти машины саперным батальонам. Таким образом, минимальное количество экскаваторов и плугов определялось количеством корпусов, действующих на фронтах, и, в частности, количеством саперных батальонов. Для обеспечения непрерывности их действия было признано необходимым оснастить каждый батальон двумя экскаваторами и двумя тракторами.</w:t>
      </w:r>
    </w:p>
    <w:p w14:paraId="4F89CE18" w14:textId="77777777" w:rsidR="00C70383" w:rsidRPr="00405303" w:rsidRDefault="00C70383" w:rsidP="00C15251">
      <w:pPr>
        <w:jc w:val="both"/>
        <w:rPr>
          <w:bCs/>
          <w:color w:val="002060"/>
          <w:sz w:val="16"/>
          <w:szCs w:val="16"/>
        </w:rPr>
      </w:pPr>
      <w:r w:rsidRPr="00405303">
        <w:rPr>
          <w:bCs/>
          <w:color w:val="002060"/>
          <w:sz w:val="16"/>
          <w:szCs w:val="16"/>
        </w:rPr>
        <w:t>На основании этих расчетов намечалось заготовить всего 82 экскаватора и 82 плуга для рытья траншей. Для обеспечения работы плугов требовалось приобрести 82 трактора земледельческого или дорожного типа с повозками. Учитывая надобность в запасной технике, в итоге было решено поставить в войска 90 экскаваторов, 100 плугов, а также 360 пахотных и транспортных тракторов. Военный совет принял соответствующее постановление, после чего в ГВТУ поступило ряд предложений от представителей различных заграничных фирм на поставки экскаваторов и тракторов. Однако, учитывая дороговизну землекопной техники, а также посчитав, что применение экскаваторов будет ограниченным и исключительно в тыловых районах, намеченное для заказа количество сократили до 12 (по числу армий) машин и к ним еще по одному в запас каждого фронта.</w:t>
      </w:r>
    </w:p>
    <w:p w14:paraId="74B44A5A" w14:textId="77777777" w:rsidR="00C70383" w:rsidRPr="00405303" w:rsidRDefault="00C70383" w:rsidP="00C15251">
      <w:pPr>
        <w:jc w:val="both"/>
        <w:rPr>
          <w:bCs/>
          <w:color w:val="002060"/>
          <w:sz w:val="16"/>
          <w:szCs w:val="16"/>
        </w:rPr>
      </w:pPr>
      <w:r w:rsidRPr="00405303">
        <w:rPr>
          <w:bCs/>
          <w:color w:val="002060"/>
          <w:sz w:val="16"/>
          <w:szCs w:val="16"/>
        </w:rPr>
        <w:t>Представитель ГВТУ в Америке военный инженер полковник С.Ф. Балдин осмотрел тамошние заводы и присутствовал на испытаниях экскаваторов «Остин» (Austin – марка американской фирмы Austin-Western, не путать с одноименным английским производителем автомобилей), «Парсонс» (Parsons) и «Бьюсайрус» (Bucyrus). По итогам испытаний ГВТУ запросило разрешение на закупку 12 экскаваторов на гусеничном ходу типа «Парсонс» с шестью комплектами запасных частей. «Стоимость всех выписанных экскаваторов с запасными частями определилась в 31440 долларов франко Владивосток».</w:t>
      </w:r>
    </w:p>
    <w:p w14:paraId="43956484" w14:textId="77777777" w:rsidR="00C70383" w:rsidRPr="00405303" w:rsidRDefault="00C70383" w:rsidP="00C15251">
      <w:pPr>
        <w:jc w:val="both"/>
        <w:rPr>
          <w:bCs/>
          <w:color w:val="002060"/>
          <w:sz w:val="16"/>
          <w:szCs w:val="16"/>
        </w:rPr>
      </w:pPr>
      <w:r w:rsidRPr="00405303">
        <w:rPr>
          <w:bCs/>
          <w:color w:val="002060"/>
          <w:sz w:val="16"/>
          <w:szCs w:val="16"/>
        </w:rPr>
        <w:t>Экскаваторы прибыли во Владивосток в конце августа 1915 г. в разобранном виде и вскоре были отправлены в Москву, где предполагалось их собрать и испытать. Там же для обслуживания новых машин предусматривалось подготовить команду из 24 специалистов из числа нижних чинов, откомандированных Московским военным округом. Сборкой экскаваторов и обучением технического персонала руководил инженер Центрального военно-промышленного комитета Сухих, а в качестве инструктора по сборке и применению дорожных машин был привлечен служивший в Министерстве земледелия инженер Н.С. Ветчинкин.</w:t>
      </w:r>
    </w:p>
    <w:p w14:paraId="553E05AD" w14:textId="77777777" w:rsidR="00C70383" w:rsidRPr="00405303" w:rsidRDefault="00C70383" w:rsidP="00C15251">
      <w:pPr>
        <w:jc w:val="both"/>
        <w:rPr>
          <w:bCs/>
          <w:color w:val="002060"/>
          <w:sz w:val="16"/>
          <w:szCs w:val="16"/>
        </w:rPr>
      </w:pPr>
      <w:r w:rsidRPr="00405303">
        <w:rPr>
          <w:bCs/>
          <w:color w:val="002060"/>
          <w:sz w:val="16"/>
          <w:szCs w:val="16"/>
        </w:rPr>
        <w:t>Тем временем ГВТУ подняло вопрос об увеличении заказа на траншейные экскаваторы «Парсонс» еще на десять штук и о заказе Путиловскому заводу десяти экскаваторов отечественной конструкции на шасси автомобилей. Необходимо отметить, что петроградское Общество Путиловских заводов было единственным предприятием в России, имевшим опыт постройки большегрузных сухопутных экскаваторов. Несколько десятков таких машин на железнодорожном ходу изготовили по заказу Министерства путей сообщения (МПС). Тем временем автомобили-траншеекопатели уже успешно использовались союзниками на Западном театре военных действий. По их образцу в России разработали аналогичные легкие машины, имевшие некоторые преимущества по сравнению с тяжелой американской техникой: в первую очередь – высокую мобильность и возможность быстрой переброски на различные участки фронтового строительства. Но этот заказ по причине загруженности завода был, к сожалению, отложен и в итоге аннулирован.</w:t>
      </w:r>
    </w:p>
    <w:p w14:paraId="476CA300" w14:textId="77777777" w:rsidR="00C70383" w:rsidRPr="00405303" w:rsidRDefault="00C70383" w:rsidP="00C15251">
      <w:pPr>
        <w:jc w:val="both"/>
        <w:rPr>
          <w:bCs/>
          <w:color w:val="002060"/>
          <w:sz w:val="16"/>
          <w:szCs w:val="16"/>
        </w:rPr>
      </w:pPr>
      <w:r w:rsidRPr="00405303">
        <w:rPr>
          <w:bCs/>
          <w:color w:val="002060"/>
          <w:sz w:val="16"/>
          <w:szCs w:val="16"/>
        </w:rPr>
        <w:t>В Америке ГВТУ закупило также комплекты дорожной техники. В каждый комплект входили: один дорожный струг большой, один струг малый, один утюг; и на два комплекта – один дорожный каток.</w:t>
      </w:r>
    </w:p>
    <w:p w14:paraId="2DB61915" w14:textId="77777777" w:rsidR="00C70383" w:rsidRPr="00405303" w:rsidRDefault="00C70383" w:rsidP="00C15251">
      <w:pPr>
        <w:jc w:val="both"/>
        <w:rPr>
          <w:bCs/>
          <w:color w:val="002060"/>
          <w:sz w:val="16"/>
          <w:szCs w:val="16"/>
        </w:rPr>
      </w:pPr>
      <w:r w:rsidRPr="00405303">
        <w:rPr>
          <w:bCs/>
          <w:color w:val="002060"/>
          <w:sz w:val="16"/>
          <w:szCs w:val="16"/>
        </w:rPr>
        <w:t>Экскаваторы попали на инженерные склады фронтов, а дорожные машины разделили на две партии: одну (из пяти комплектов) направили в Киев в распоряжение начальника снабжения Юго-Западного фронта, а другую (из девяти комплектов) – в Минск в распоряжение начальника снабжения Северо-Западного фронта. С ними в действующую армию отправились нижние чины Военной автомобильной школы (по три обученных солдата на комплект) и упомянутый инженер Ветчинкин.</w:t>
      </w:r>
    </w:p>
    <w:p w14:paraId="3DED0B8D" w14:textId="77777777" w:rsidR="00C70383" w:rsidRPr="00405303" w:rsidRDefault="00C70383" w:rsidP="00C15251">
      <w:pPr>
        <w:jc w:val="both"/>
        <w:rPr>
          <w:bCs/>
          <w:color w:val="002060"/>
          <w:sz w:val="16"/>
          <w:szCs w:val="16"/>
        </w:rPr>
      </w:pPr>
      <w:r w:rsidRPr="00405303">
        <w:rPr>
          <w:bCs/>
          <w:color w:val="002060"/>
          <w:sz w:val="16"/>
          <w:szCs w:val="16"/>
        </w:rPr>
        <w:t>Всего за 1915 и 1916 г. ГВТУ выписало из Америки 22 гусеничных экскаватора «Парсонс». Первые собранные в Москве шесть машин летом 1916 г. направили в составе вновь сформированных тракторно-экскаваторных отделений на Северный фронт. К концу 1916 г. в Россию прибыли 12 экскаваторов. Четыре машины остались в Луге в распоряжении Северного фронта, одна направлена в Дриссу на Западный фронт и четыре – в Киев на Юго-Западный фронт. Три экскаватора находились в сборке и должны были быть готовы к апрелю 1917 г. Остальные десять выписанных из САСШ экскаваторов за время войны частью прибыли в ящиках в Архангельск, но не были собраны, а некоторые и вовсе затерялись где-то в пути.</w:t>
      </w:r>
    </w:p>
    <w:p w14:paraId="49E100A8" w14:textId="77777777" w:rsidR="00C70383" w:rsidRPr="00405303" w:rsidRDefault="00C70383" w:rsidP="00C15251">
      <w:pPr>
        <w:jc w:val="both"/>
        <w:rPr>
          <w:bCs/>
          <w:color w:val="002060"/>
          <w:sz w:val="16"/>
          <w:szCs w:val="16"/>
        </w:rPr>
      </w:pPr>
      <w:r w:rsidRPr="00405303">
        <w:rPr>
          <w:bCs/>
          <w:color w:val="002060"/>
          <w:sz w:val="16"/>
          <w:szCs w:val="16"/>
        </w:rPr>
        <w:t>Но так как экскаваторов в армии имелось крайне мало, зачастую рытье окопов производилось при помощи колесного трактора и обычного трехкорпусного плуга. Специальные плуги, приспособленные для рытья траншей, были приобретены из наличного запаса со складов различных американских фирм весной 1916 г. в количестве 36 штук. Из них 19 плугов производства фирмы «Румели» (Rumely), 15 – «Молин» (Moline) и два – «Сеттлей» (Sattley). Все они были рассчитаны для прокладки канав глубиной до восьми, шириной до 20 и насыпью высотой до четырех вершков в один проход. Кроме того, на Брянском заводе изготовили один пробный плуг, дающий канаву шириной до девятнадцати, глубиной до четырнадцати и насыпь высотой до десяти вершков.</w:t>
      </w:r>
    </w:p>
    <w:p w14:paraId="57E2FE1A" w14:textId="77777777" w:rsidR="00C70383" w:rsidRPr="00405303" w:rsidRDefault="00C70383" w:rsidP="00C15251">
      <w:pPr>
        <w:jc w:val="both"/>
        <w:rPr>
          <w:bCs/>
          <w:color w:val="002060"/>
          <w:sz w:val="16"/>
          <w:szCs w:val="16"/>
        </w:rPr>
      </w:pPr>
      <w:r w:rsidRPr="00405303">
        <w:rPr>
          <w:bCs/>
          <w:color w:val="002060"/>
          <w:sz w:val="16"/>
          <w:szCs w:val="16"/>
        </w:rPr>
        <w:t>Для работы с плугами и транспортных целей выделялось 75 американских тракторов различных систем (все мощностью по 60 л.с.), которые отправили в Киев, Брест-Литовск, Ивангород, Гродну, Варшаву и Белосток. Позже многие из них эвакуировали в Москву, откуда часть тракторов отправили на Северный фронт, а несколько машин оставили в Москве. Тракторы заказывались Крепостным отделением ГВТУ для механизации позиционных работ. Однако требования к их техническим характеристикам с уклоном для выполнения дорожных работ поступали от Отдела военных сообщений, а не от Главного инженерного управления (12140).</w:t>
      </w:r>
    </w:p>
    <w:p w14:paraId="3A3B19D1" w14:textId="77777777" w:rsidR="00C70383" w:rsidRPr="00405303" w:rsidRDefault="00C70383" w:rsidP="00C15251">
      <w:pPr>
        <w:pStyle w:val="8"/>
        <w:shd w:val="clear" w:color="auto" w:fill="auto"/>
        <w:spacing w:after="0" w:line="240" w:lineRule="auto"/>
        <w:ind w:firstLine="0"/>
        <w:jc w:val="both"/>
        <w:rPr>
          <w:rFonts w:ascii="Times New Roman" w:hAnsi="Times New Roman"/>
          <w:bCs/>
          <w:color w:val="002060"/>
          <w:sz w:val="16"/>
          <w:szCs w:val="16"/>
        </w:rPr>
      </w:pPr>
    </w:p>
    <w:p w14:paraId="3C3FF569" w14:textId="77777777" w:rsidR="002051CA" w:rsidRPr="00405303" w:rsidRDefault="002051CA" w:rsidP="00C15251">
      <w:pPr>
        <w:jc w:val="both"/>
        <w:rPr>
          <w:bCs/>
          <w:color w:val="002060"/>
          <w:sz w:val="16"/>
          <w:szCs w:val="16"/>
          <w:lang w:bidi="en-US"/>
        </w:rPr>
      </w:pPr>
      <w:r w:rsidRPr="00405303">
        <w:rPr>
          <w:bCs/>
          <w:color w:val="002060"/>
          <w:sz w:val="16"/>
          <w:szCs w:val="16"/>
          <w:lang w:bidi="en-US"/>
        </w:rPr>
        <w:t>В январе 1915 г. русские решили разместить гарнизон и укрепить Аландские острова в Ботническом заливе (23525).</w:t>
      </w:r>
    </w:p>
    <w:p w14:paraId="7CB6829A" w14:textId="77777777" w:rsidR="002051CA" w:rsidRPr="00405303" w:rsidRDefault="002051CA" w:rsidP="00C15251">
      <w:pPr>
        <w:jc w:val="both"/>
        <w:rPr>
          <w:bCs/>
          <w:color w:val="002060"/>
          <w:sz w:val="16"/>
          <w:szCs w:val="16"/>
        </w:rPr>
      </w:pPr>
    </w:p>
    <w:p w14:paraId="085A2FC3"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Внешняя политика:</w:t>
      </w:r>
    </w:p>
    <w:p w14:paraId="06E6EE3C" w14:textId="77777777" w:rsidR="004B4E35" w:rsidRPr="00405303" w:rsidRDefault="004B4E35" w:rsidP="00C15251">
      <w:pPr>
        <w:shd w:val="clear" w:color="auto" w:fill="FFFFFF"/>
        <w:jc w:val="both"/>
        <w:rPr>
          <w:bCs/>
          <w:i/>
          <w:color w:val="002060"/>
          <w:sz w:val="16"/>
          <w:szCs w:val="16"/>
        </w:rPr>
      </w:pPr>
    </w:p>
    <w:p w14:paraId="03B03854" w14:textId="40E77BAD" w:rsidR="004B4E35" w:rsidRPr="00405303" w:rsidRDefault="00501A0A"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январе 1915 года</w:t>
      </w:r>
      <w:r w:rsidRPr="00405303">
        <w:rPr>
          <w:bCs/>
          <w:color w:val="002060"/>
          <w:sz w:val="16"/>
          <w:szCs w:val="16"/>
        </w:rPr>
        <w:t xml:space="preserve"> в США был выдан второй заказ на 166 000 пудов пушечного пороха</w:t>
      </w:r>
      <w:r w:rsidR="009E6F82" w:rsidRPr="00405303">
        <w:rPr>
          <w:bCs/>
          <w:color w:val="002060"/>
          <w:sz w:val="16"/>
          <w:szCs w:val="16"/>
        </w:rPr>
        <w:t xml:space="preserve">. Вскоре последовал длинный ряд заказов на пороха пушечные и ружейные. </w:t>
      </w:r>
    </w:p>
    <w:p w14:paraId="1A6DA418" w14:textId="77777777" w:rsidR="004B4E35" w:rsidRPr="00405303" w:rsidRDefault="009E6F82" w:rsidP="00C15251">
      <w:pPr>
        <w:jc w:val="both"/>
        <w:rPr>
          <w:bCs/>
          <w:color w:val="002060"/>
          <w:sz w:val="16"/>
          <w:szCs w:val="16"/>
        </w:rPr>
      </w:pPr>
      <w:r w:rsidRPr="00405303">
        <w:rPr>
          <w:bCs/>
          <w:color w:val="002060"/>
          <w:sz w:val="16"/>
          <w:szCs w:val="16"/>
        </w:rPr>
        <w:t xml:space="preserve">Сверх указанных бездымных порохов и тротила, заказанных непосредственно русским военным ведомством, американским заводам пришлось выполнять крупнейшие заказы на эти продукты от группы Моргана и Канадской компании, которым русское военное ведомство заказало 3-дм патроны — шрапнельные и гранатные, а также от фирм, которым были заказаны ружейные патроны. Параллельно крупнейшие заказы на пороха и взрывчатые вещества были также и от других воюющих государств. </w:t>
      </w:r>
    </w:p>
    <w:p w14:paraId="7B3CDB52" w14:textId="77777777" w:rsidR="004B4E35" w:rsidRPr="00405303" w:rsidRDefault="009E6F82" w:rsidP="00C15251">
      <w:pPr>
        <w:jc w:val="both"/>
        <w:rPr>
          <w:bCs/>
          <w:color w:val="002060"/>
          <w:sz w:val="16"/>
          <w:szCs w:val="16"/>
        </w:rPr>
      </w:pPr>
      <w:r w:rsidRPr="00405303">
        <w:rPr>
          <w:bCs/>
          <w:color w:val="002060"/>
          <w:sz w:val="16"/>
          <w:szCs w:val="16"/>
        </w:rPr>
        <w:t xml:space="preserve">Таким образом, пороховая и взрывчатая промышленность с первых же месяцев Европейской войны должна была быстро и широко развернуть свою работу. </w:t>
      </w:r>
    </w:p>
    <w:p w14:paraId="68B6D83D" w14:textId="77777777" w:rsidR="004B4E35" w:rsidRPr="00405303" w:rsidRDefault="009E6F82" w:rsidP="00C15251">
      <w:pPr>
        <w:jc w:val="both"/>
        <w:rPr>
          <w:bCs/>
          <w:color w:val="002060"/>
          <w:sz w:val="16"/>
          <w:szCs w:val="16"/>
        </w:rPr>
      </w:pPr>
      <w:r w:rsidRPr="00405303">
        <w:rPr>
          <w:bCs/>
          <w:color w:val="002060"/>
          <w:sz w:val="16"/>
          <w:szCs w:val="16"/>
        </w:rPr>
        <w:t xml:space="preserve">Первый период войны, то есть 1914 г. и начало 1915 г., фирме du Pont удавалось удерживать в своих руках монополию. Она быстро и значительно расширила существующие пироксилиновые заводы и построила новые заводы. Чтобы характеризовать масштаб работы du Pont, достаточно указать, что в 1916 г. она сдавала в сутки более 4000 пудов только по русским заказам. </w:t>
      </w:r>
    </w:p>
    <w:p w14:paraId="49929B50" w14:textId="77777777" w:rsidR="004B4E35" w:rsidRPr="00405303" w:rsidRDefault="009E6F82" w:rsidP="00C15251">
      <w:pPr>
        <w:jc w:val="both"/>
        <w:rPr>
          <w:bCs/>
          <w:color w:val="002060"/>
          <w:sz w:val="16"/>
          <w:szCs w:val="16"/>
        </w:rPr>
      </w:pPr>
      <w:r w:rsidRPr="00405303">
        <w:rPr>
          <w:bCs/>
          <w:color w:val="002060"/>
          <w:sz w:val="16"/>
          <w:szCs w:val="16"/>
        </w:rPr>
        <w:t xml:space="preserve">Рост заказов был так велик, что в 1915 г. du Pont уже не мог удерживать в своих руках монополию и у него явились конкуренты Aetne Explosives С°, Nonnapo Chemical Сo и др., построившие обширные заводы. </w:t>
      </w:r>
    </w:p>
    <w:p w14:paraId="185D2F45" w14:textId="77777777" w:rsidR="004B4E35" w:rsidRPr="00405303" w:rsidRDefault="009E6F82" w:rsidP="00C15251">
      <w:pPr>
        <w:jc w:val="both"/>
        <w:rPr>
          <w:bCs/>
          <w:color w:val="002060"/>
          <w:sz w:val="16"/>
          <w:szCs w:val="16"/>
        </w:rPr>
      </w:pPr>
      <w:r w:rsidRPr="00405303">
        <w:rPr>
          <w:bCs/>
          <w:color w:val="002060"/>
          <w:sz w:val="16"/>
          <w:szCs w:val="16"/>
        </w:rPr>
        <w:t xml:space="preserve">В брошюрах инженера Жуковского, бывшего приемщика по американским заказам в 1914—1916 гг., приведены очень интересные данные относительно быстроты постройки этих заводов и характера их строительных сооружений. </w:t>
      </w:r>
    </w:p>
    <w:p w14:paraId="49EB306C" w14:textId="77777777" w:rsidR="004B4E35" w:rsidRPr="00405303" w:rsidRDefault="009E6F82" w:rsidP="00C15251">
      <w:pPr>
        <w:jc w:val="both"/>
        <w:rPr>
          <w:bCs/>
          <w:color w:val="002060"/>
          <w:sz w:val="16"/>
          <w:szCs w:val="16"/>
        </w:rPr>
      </w:pPr>
      <w:r w:rsidRPr="00405303">
        <w:rPr>
          <w:bCs/>
          <w:color w:val="002060"/>
          <w:sz w:val="16"/>
          <w:szCs w:val="16"/>
        </w:rPr>
        <w:t xml:space="preserve">Так, фирма du Pont в октябре 1914 г. начала на совершенно голом месте постройку крупнейшего пироксилинового завода. В мае 1915 г., то есть через 6-7 месяцев, завод уже выпускал пироксилин и продолжал в то же время расширение. В августе выход пироксилина достиг 14 000 пудов в день. а весной 1916 г. — 28 000 пудов в день. Цифра громадная. Ни один из русских заводов в 1916 г., в период наибольшего напряжения, не давал более 1000-1100 пудов в сутки. </w:t>
      </w:r>
    </w:p>
    <w:p w14:paraId="5EAD8E94" w14:textId="77777777" w:rsidR="004B4E35" w:rsidRPr="00405303" w:rsidRDefault="009E6F82" w:rsidP="00C15251">
      <w:pPr>
        <w:jc w:val="both"/>
        <w:rPr>
          <w:bCs/>
          <w:color w:val="002060"/>
          <w:sz w:val="16"/>
          <w:szCs w:val="16"/>
        </w:rPr>
      </w:pPr>
      <w:r w:rsidRPr="00405303">
        <w:rPr>
          <w:bCs/>
          <w:color w:val="002060"/>
          <w:sz w:val="16"/>
          <w:szCs w:val="16"/>
        </w:rPr>
        <w:t xml:space="preserve">Подобно этому фирма Aetne также на голом месте в пять месяцев воздвигла крупный пироксилиновый завод и в шесть месяцев — пороховой. </w:t>
      </w:r>
    </w:p>
    <w:p w14:paraId="43439A75" w14:textId="77777777" w:rsidR="004B4E35" w:rsidRPr="00405303" w:rsidRDefault="009E6F82" w:rsidP="00C15251">
      <w:pPr>
        <w:jc w:val="both"/>
        <w:rPr>
          <w:bCs/>
          <w:color w:val="002060"/>
          <w:sz w:val="16"/>
          <w:szCs w:val="16"/>
        </w:rPr>
      </w:pPr>
      <w:r w:rsidRPr="00405303">
        <w:rPr>
          <w:bCs/>
          <w:color w:val="002060"/>
          <w:sz w:val="16"/>
          <w:szCs w:val="16"/>
        </w:rPr>
        <w:t xml:space="preserve">Большую особенность в американских пороховых заводах представляет характер построек и их распланировка. Все постройки делаются из досок и иногда покрываются графитовыми плитками. Кирпич и бетон применялись лишь для фундаментов под здания и машины. В России же дерево как строительный материал в </w:t>
      </w:r>
      <w:r w:rsidRPr="00405303">
        <w:rPr>
          <w:bCs/>
          <w:color w:val="002060"/>
          <w:sz w:val="16"/>
          <w:szCs w:val="16"/>
        </w:rPr>
        <w:lastRenderedPageBreak/>
        <w:t xml:space="preserve">пороховых заводах считается неприемлемым и допускается в виде исключения. Надо отметить, что указанные дощатые постройки практиковались в Америке во всяком климате. </w:t>
      </w:r>
    </w:p>
    <w:p w14:paraId="13895A6A" w14:textId="77777777" w:rsidR="004B4E35" w:rsidRPr="00405303" w:rsidRDefault="009E6F82" w:rsidP="00C15251">
      <w:pPr>
        <w:jc w:val="both"/>
        <w:rPr>
          <w:bCs/>
          <w:color w:val="002060"/>
          <w:sz w:val="16"/>
          <w:szCs w:val="16"/>
        </w:rPr>
      </w:pPr>
      <w:r w:rsidRPr="00405303">
        <w:rPr>
          <w:bCs/>
          <w:color w:val="002060"/>
          <w:sz w:val="16"/>
          <w:szCs w:val="16"/>
        </w:rPr>
        <w:t xml:space="preserve">Что касается распланировки американских заводов, то между опасными зданиями расстояние в среднем держится около пяти сажен. Хранилища с готовым пироксилином вынесены за ограду завода, но от ограды удалены всего на 12 сажен. Между тем в России полагалось всегда соблюдать между пороховыми зданиями промежуток не менее 25 сажен. Особо опасные здания, например, сушильни, относились сажен за 80 от других зданий и располагались обычно по краю завода, причем окружались высокими земляными валами. В Америке земляные валы не применяются вовсе. </w:t>
      </w:r>
    </w:p>
    <w:p w14:paraId="175E5B2B" w14:textId="77777777" w:rsidR="004B4E35" w:rsidRPr="00405303" w:rsidRDefault="009E6F82" w:rsidP="00C15251">
      <w:pPr>
        <w:jc w:val="both"/>
        <w:rPr>
          <w:bCs/>
          <w:color w:val="002060"/>
          <w:sz w:val="16"/>
          <w:szCs w:val="16"/>
        </w:rPr>
      </w:pPr>
      <w:r w:rsidRPr="00405303">
        <w:rPr>
          <w:bCs/>
          <w:color w:val="002060"/>
          <w:sz w:val="16"/>
          <w:szCs w:val="16"/>
        </w:rPr>
        <w:t xml:space="preserve">По отношению к населенным пунктам пороховые заводы в Америке располагаются без соблюдения каких-либо норм дистанций. Так, например, пироксилиновые заводы фирмы Ноннабо расположены только в 300 шагах от края поселения. Если принять во внимание громадную производительность этих заводов и подсчитать, какое количество горючих и взрывчатых веществ находится одновременно на территории заводов, то легко себе представить, что в случае взрыва на заводе все прилегающие к нему поселения будут уничтожены без остатка. Если так опасно соседство порохового завода, то и обратно, для самого завода не менее опасны непосредственно вокруг завода близлежащие поселения, так как в случае возникновения в них пожара последний может легко перекинуться на завод. </w:t>
      </w:r>
    </w:p>
    <w:p w14:paraId="19DC3F1D" w14:textId="77777777" w:rsidR="004B4E35" w:rsidRPr="00405303" w:rsidRDefault="009E6F82" w:rsidP="00C15251">
      <w:pPr>
        <w:jc w:val="both"/>
        <w:rPr>
          <w:bCs/>
          <w:color w:val="002060"/>
          <w:sz w:val="16"/>
          <w:szCs w:val="16"/>
        </w:rPr>
      </w:pPr>
      <w:r w:rsidRPr="00405303">
        <w:rPr>
          <w:bCs/>
          <w:color w:val="002060"/>
          <w:sz w:val="16"/>
          <w:szCs w:val="16"/>
        </w:rPr>
        <w:t>Вообще в смысле безопасности американские заводы не проявляют и ничтожной доли той осмотрительности и щепетильности, которые вошли глубоко в традиции русского пороходелия.</w:t>
      </w:r>
    </w:p>
    <w:p w14:paraId="316E01BF" w14:textId="77777777" w:rsidR="004B4E35" w:rsidRPr="00405303" w:rsidRDefault="009E6F82" w:rsidP="00C15251">
      <w:pPr>
        <w:jc w:val="both"/>
        <w:rPr>
          <w:bCs/>
          <w:color w:val="002060"/>
          <w:sz w:val="16"/>
          <w:szCs w:val="16"/>
        </w:rPr>
      </w:pPr>
      <w:r w:rsidRPr="00405303">
        <w:rPr>
          <w:bCs/>
          <w:color w:val="002060"/>
          <w:sz w:val="16"/>
          <w:szCs w:val="16"/>
        </w:rPr>
        <w:t xml:space="preserve">Выполнение американских заказов по порохам и взрывчатым веществам как в смысле сроков, так и в смысле качества продукции, шло весьма исправно, и здесь не имели места те трения, которые сопровождали заказы на патроны и винтовки. Это обстоятельство объясняется тем, что, с одной стороны, заказ исполнялся фирмой du Pont, которая задолго до Европейской войны изготовляла и пороха, и взрывчатые вещества, а с другой — весьма помогали делу опытные русские приемщики. Нужно указать, что первое время американцы не могли приспособиться к тем техническим требованиям, которые русское военное ведомство предъявляло к заказываемым порохам, и только благодаря деятельной консультации опытных и знающих русских приемщиков (инженер Жуковский и др.) они могли подойти к выполнению этих требований. Что касается вновь возникших пороходельных фирм, то они тоже в достаточной мере легко и исправно справлялись с заказом, так как в Америке до войны существовала хорошо развитая промышленность по изготовлению целлулоидных изделий и искусственной кожи, весьма родственная пороховой промышленности, ибо она оперирует с основным материалом, представляющим ничто иное, как азотный пироксилин. </w:t>
      </w:r>
    </w:p>
    <w:p w14:paraId="6445B76E" w14:textId="77777777" w:rsidR="004B4E35" w:rsidRPr="00405303" w:rsidRDefault="009E6F82" w:rsidP="00C15251">
      <w:pPr>
        <w:jc w:val="both"/>
        <w:rPr>
          <w:bCs/>
          <w:color w:val="002060"/>
          <w:sz w:val="16"/>
          <w:szCs w:val="16"/>
        </w:rPr>
      </w:pPr>
      <w:r w:rsidRPr="00405303">
        <w:rPr>
          <w:bCs/>
          <w:color w:val="002060"/>
          <w:sz w:val="16"/>
          <w:szCs w:val="16"/>
        </w:rPr>
        <w:t xml:space="preserve">Надо добавить, что, кроме заказов на пороха и взрывчатые вещества, в Америке размещены были еще значительные заказы на основные пороходельные материалы, а именно: селитру и линтер. </w:t>
      </w:r>
    </w:p>
    <w:p w14:paraId="619AD5E5" w14:textId="77777777" w:rsidR="004B4E35" w:rsidRPr="00405303" w:rsidRDefault="009E6F82" w:rsidP="00C15251">
      <w:pPr>
        <w:jc w:val="both"/>
        <w:rPr>
          <w:bCs/>
          <w:color w:val="002060"/>
          <w:sz w:val="16"/>
          <w:szCs w:val="16"/>
        </w:rPr>
      </w:pPr>
      <w:r w:rsidRPr="00405303">
        <w:rPr>
          <w:bCs/>
          <w:color w:val="002060"/>
          <w:sz w:val="16"/>
          <w:szCs w:val="16"/>
        </w:rPr>
        <w:t>Порох для полевых пушек, заказанный в Америке, был изготовлен американскими заводами не в форме лент, принятых у нас, а в форме цилиндрического зерна с продольным каналом, принятым для американских порохов. Широкая практика стрельбы этим порохом русской артиллерии позволила хорошо ознакомиться с прекрасными свойствами этого пороха, имеющего большое преимущество перед порохом ленточным. Об этом вопросе будет подробно сказано в своем месте (11329).</w:t>
      </w:r>
    </w:p>
    <w:p w14:paraId="0C0C915B" w14:textId="77777777" w:rsidR="004B4E35" w:rsidRPr="00405303" w:rsidRDefault="004B4E35" w:rsidP="00C15251">
      <w:pPr>
        <w:shd w:val="clear" w:color="auto" w:fill="FFFFFF"/>
        <w:jc w:val="both"/>
        <w:rPr>
          <w:bCs/>
          <w:i/>
          <w:color w:val="002060"/>
          <w:sz w:val="16"/>
          <w:szCs w:val="16"/>
        </w:rPr>
      </w:pPr>
    </w:p>
    <w:p w14:paraId="5930F765"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468FC564" w14:textId="77777777" w:rsidR="000226B5" w:rsidRPr="00405303" w:rsidRDefault="000226B5" w:rsidP="00C15251">
      <w:pPr>
        <w:pStyle w:val="20"/>
        <w:shd w:val="clear" w:color="auto" w:fill="auto"/>
        <w:spacing w:after="0" w:line="240" w:lineRule="auto"/>
        <w:ind w:firstLine="0"/>
        <w:jc w:val="both"/>
        <w:rPr>
          <w:rFonts w:ascii="Times New Roman" w:hAnsi="Times New Roman"/>
          <w:bCs/>
          <w:color w:val="002060"/>
          <w:spacing w:val="0"/>
          <w:sz w:val="16"/>
          <w:szCs w:val="16"/>
        </w:rPr>
      </w:pPr>
    </w:p>
    <w:p w14:paraId="14947628" w14:textId="77777777" w:rsidR="000226B5" w:rsidRPr="00405303" w:rsidRDefault="000226B5" w:rsidP="00C15251">
      <w:pPr>
        <w:pStyle w:val="20"/>
        <w:shd w:val="clear" w:color="auto" w:fill="auto"/>
        <w:spacing w:after="0" w:line="240" w:lineRule="auto"/>
        <w:ind w:firstLine="0"/>
        <w:jc w:val="both"/>
        <w:rPr>
          <w:rFonts w:ascii="Times New Roman" w:hAnsi="Times New Roman"/>
          <w:bCs/>
          <w:color w:val="002060"/>
          <w:spacing w:val="0"/>
          <w:sz w:val="16"/>
          <w:szCs w:val="16"/>
        </w:rPr>
      </w:pPr>
      <w:r w:rsidRPr="00405303">
        <w:rPr>
          <w:rFonts w:ascii="Times New Roman" w:hAnsi="Times New Roman"/>
          <w:bCs/>
          <w:color w:val="002060"/>
          <w:spacing w:val="0"/>
          <w:sz w:val="16"/>
          <w:szCs w:val="16"/>
        </w:rPr>
        <w:t xml:space="preserve">С января </w:t>
      </w:r>
      <w:proofErr w:type="gramStart"/>
      <w:r w:rsidRPr="00405303">
        <w:rPr>
          <w:rFonts w:ascii="Times New Roman" w:hAnsi="Times New Roman"/>
          <w:bCs/>
          <w:color w:val="002060"/>
          <w:spacing w:val="0"/>
          <w:sz w:val="16"/>
          <w:szCs w:val="16"/>
        </w:rPr>
        <w:t>1915 г. Германия</w:t>
      </w:r>
      <w:proofErr w:type="gramEnd"/>
      <w:r w:rsidRPr="00405303">
        <w:rPr>
          <w:rFonts w:ascii="Times New Roman" w:hAnsi="Times New Roman"/>
          <w:bCs/>
          <w:color w:val="002060"/>
          <w:spacing w:val="0"/>
          <w:sz w:val="16"/>
          <w:szCs w:val="16"/>
        </w:rPr>
        <w:t xml:space="preserve"> приступившая к бомбарди</w:t>
      </w:r>
      <w:r w:rsidRPr="00405303">
        <w:rPr>
          <w:rFonts w:ascii="Times New Roman" w:hAnsi="Times New Roman"/>
          <w:bCs/>
          <w:color w:val="002060"/>
          <w:spacing w:val="0"/>
          <w:sz w:val="16"/>
          <w:szCs w:val="16"/>
        </w:rPr>
        <w:softHyphen/>
        <w:t>ровкам Англии с дирижаблей (15759).</w:t>
      </w:r>
    </w:p>
    <w:p w14:paraId="1E85946E" w14:textId="77777777" w:rsidR="000226B5" w:rsidRPr="00405303" w:rsidRDefault="000226B5" w:rsidP="00C15251">
      <w:pPr>
        <w:pStyle w:val="20"/>
        <w:shd w:val="clear" w:color="auto" w:fill="auto"/>
        <w:spacing w:after="0" w:line="240" w:lineRule="auto"/>
        <w:ind w:firstLine="0"/>
        <w:jc w:val="both"/>
        <w:rPr>
          <w:rFonts w:ascii="Times New Roman" w:hAnsi="Times New Roman"/>
          <w:bCs/>
          <w:color w:val="002060"/>
          <w:spacing w:val="0"/>
          <w:sz w:val="16"/>
          <w:szCs w:val="16"/>
        </w:rPr>
      </w:pPr>
      <w:r w:rsidRPr="00405303">
        <w:rPr>
          <w:rFonts w:ascii="Times New Roman" w:hAnsi="Times New Roman"/>
          <w:bCs/>
          <w:color w:val="002060"/>
          <w:spacing w:val="0"/>
          <w:sz w:val="16"/>
          <w:szCs w:val="16"/>
        </w:rPr>
        <w:t>Из всех типов дирижаблей, которые Германия имела до войны, наиболее подходящими для военных целей оказались «Цеппелины» и «Шютте-Ланцы». Их наиболее значительное конструкционное различие состояло в том, что у «Цеппели</w:t>
      </w:r>
      <w:r w:rsidRPr="00405303">
        <w:rPr>
          <w:rFonts w:ascii="Times New Roman" w:hAnsi="Times New Roman"/>
          <w:bCs/>
          <w:color w:val="002060"/>
          <w:spacing w:val="0"/>
          <w:sz w:val="16"/>
          <w:szCs w:val="16"/>
        </w:rPr>
        <w:softHyphen/>
        <w:t>на» каркас был из алюминия, а у «Шютте-Ланца» - из дерева. В процессе военных действий система Цеппелина все более выдвигалась на первый план, и почти все морские дирижабли Германии были этого типа. Алюминиевый каркас имел, пре</w:t>
      </w:r>
      <w:r w:rsidRPr="00405303">
        <w:rPr>
          <w:rFonts w:ascii="Times New Roman" w:hAnsi="Times New Roman"/>
          <w:bCs/>
          <w:color w:val="002060"/>
          <w:spacing w:val="0"/>
          <w:sz w:val="16"/>
          <w:szCs w:val="16"/>
        </w:rPr>
        <w:softHyphen/>
        <w:t>жде всего, преимущество в том, что он был легче и не под</w:t>
      </w:r>
      <w:r w:rsidRPr="00405303">
        <w:rPr>
          <w:rFonts w:ascii="Times New Roman" w:hAnsi="Times New Roman"/>
          <w:bCs/>
          <w:color w:val="002060"/>
          <w:spacing w:val="0"/>
          <w:sz w:val="16"/>
          <w:szCs w:val="16"/>
        </w:rPr>
        <w:softHyphen/>
        <w:t>вергался столь сильному воздействию погоды, как дерево. Хотя внешне неспециалист едва ли смог бы отличить «Цеппе</w:t>
      </w:r>
      <w:r w:rsidRPr="00405303">
        <w:rPr>
          <w:rFonts w:ascii="Times New Roman" w:hAnsi="Times New Roman"/>
          <w:bCs/>
          <w:color w:val="002060"/>
          <w:spacing w:val="0"/>
          <w:sz w:val="16"/>
          <w:szCs w:val="16"/>
        </w:rPr>
        <w:softHyphen/>
        <w:t>лин» от «Шютте-Ланца» (15759).</w:t>
      </w:r>
    </w:p>
    <w:p w14:paraId="059C06C6" w14:textId="77777777" w:rsidR="000226B5" w:rsidRPr="00405303" w:rsidRDefault="000226B5" w:rsidP="00C15251">
      <w:pPr>
        <w:pStyle w:val="20"/>
        <w:shd w:val="clear" w:color="auto" w:fill="auto"/>
        <w:spacing w:after="0" w:line="240" w:lineRule="auto"/>
        <w:ind w:firstLine="0"/>
        <w:jc w:val="both"/>
        <w:rPr>
          <w:rFonts w:ascii="Times New Roman" w:hAnsi="Times New Roman"/>
          <w:bCs/>
          <w:color w:val="002060"/>
          <w:spacing w:val="0"/>
          <w:sz w:val="16"/>
          <w:szCs w:val="16"/>
        </w:rPr>
      </w:pPr>
    </w:p>
    <w:p w14:paraId="4DBC7FFE" w14:textId="77777777" w:rsidR="004B4E35" w:rsidRPr="00405303" w:rsidRDefault="009E6F82" w:rsidP="00C15251">
      <w:pPr>
        <w:jc w:val="both"/>
        <w:rPr>
          <w:bCs/>
          <w:color w:val="002060"/>
          <w:sz w:val="16"/>
          <w:szCs w:val="16"/>
        </w:rPr>
      </w:pPr>
      <w:r w:rsidRPr="00405303">
        <w:rPr>
          <w:bCs/>
          <w:color w:val="002060"/>
          <w:sz w:val="16"/>
          <w:szCs w:val="16"/>
        </w:rPr>
        <w:t>В январе 1915 года в Германии ручные лебедки были заменены механическими; фронтовые части получили вполне пригодные для наблюдения бинокли; фотоаппарат быстро совершенствовался. Подготовка пополнения велась чрезвычайно энергично (11282).</w:t>
      </w:r>
    </w:p>
    <w:p w14:paraId="5387179A" w14:textId="77777777" w:rsidR="004B4E35" w:rsidRPr="00405303" w:rsidRDefault="004B4E35" w:rsidP="00C15251">
      <w:pPr>
        <w:jc w:val="both"/>
        <w:rPr>
          <w:bCs/>
          <w:color w:val="002060"/>
          <w:sz w:val="16"/>
          <w:szCs w:val="16"/>
        </w:rPr>
      </w:pPr>
    </w:p>
    <w:p w14:paraId="00A1511B" w14:textId="77777777" w:rsidR="004B4E35" w:rsidRPr="00405303" w:rsidRDefault="009E6F82" w:rsidP="00C15251">
      <w:pPr>
        <w:jc w:val="both"/>
        <w:rPr>
          <w:bCs/>
          <w:color w:val="002060"/>
          <w:sz w:val="16"/>
          <w:szCs w:val="16"/>
        </w:rPr>
      </w:pPr>
      <w:r w:rsidRPr="00405303">
        <w:rPr>
          <w:bCs/>
          <w:color w:val="002060"/>
          <w:sz w:val="16"/>
          <w:szCs w:val="16"/>
        </w:rPr>
        <w:t>В январе 1915 в германской армии ручные лебедки для привязных аэростатов были заменены механическими (11999).</w:t>
      </w:r>
    </w:p>
    <w:p w14:paraId="47B12A56" w14:textId="77777777" w:rsidR="004B4E35" w:rsidRPr="00405303" w:rsidRDefault="004B4E35" w:rsidP="00C15251">
      <w:pPr>
        <w:jc w:val="both"/>
        <w:rPr>
          <w:bCs/>
          <w:color w:val="002060"/>
          <w:sz w:val="16"/>
          <w:szCs w:val="16"/>
        </w:rPr>
      </w:pPr>
    </w:p>
    <w:p w14:paraId="72B2018D" w14:textId="77777777" w:rsidR="004B4E35" w:rsidRPr="00405303" w:rsidRDefault="009E6F82" w:rsidP="00C15251">
      <w:pPr>
        <w:jc w:val="both"/>
        <w:rPr>
          <w:bCs/>
          <w:color w:val="002060"/>
          <w:sz w:val="16"/>
          <w:szCs w:val="16"/>
        </w:rPr>
      </w:pPr>
      <w:r w:rsidRPr="00405303">
        <w:rPr>
          <w:bCs/>
          <w:color w:val="002060"/>
          <w:sz w:val="16"/>
          <w:szCs w:val="16"/>
        </w:rPr>
        <w:t>В январе 1915 Кайзер Германии Вильгельм дал разрешение на бомбардировку Лондона и других крупных городов союзников (11999).</w:t>
      </w:r>
    </w:p>
    <w:p w14:paraId="31F28180" w14:textId="77777777" w:rsidR="004B4E35" w:rsidRPr="00405303" w:rsidRDefault="004B4E35" w:rsidP="00C15251">
      <w:pPr>
        <w:jc w:val="both"/>
        <w:rPr>
          <w:bCs/>
          <w:color w:val="002060"/>
          <w:sz w:val="16"/>
          <w:szCs w:val="16"/>
        </w:rPr>
      </w:pPr>
    </w:p>
    <w:p w14:paraId="3F5EC7F8" w14:textId="5D6D0961" w:rsidR="004B4E35" w:rsidRPr="00405303" w:rsidRDefault="00501A0A"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январе 1915 года Леман получил Z-XII, новенький дирижабль, построенный компанией Цеппелина. В конструкцию Z-XII было внесено большое количество улучшений, учитывающих опыт боевых [147] действий. Среди них было и применение более эффективного кормового воздушного винта, который позволил достичь максимальной скорости в 100 км/ч. Впервые в конструкции каркаса использовался дюралюминий, более прочный металл и лишь немного тяжелее, чем алюминий. В дальнейшем этот сплав широко использовался в конструкции всех последующих цеппелинов (11324).</w:t>
      </w:r>
    </w:p>
    <w:p w14:paraId="322A3EF9" w14:textId="77777777" w:rsidR="004B4E35" w:rsidRPr="00405303" w:rsidRDefault="004B4E35" w:rsidP="00C15251">
      <w:pPr>
        <w:jc w:val="both"/>
        <w:rPr>
          <w:bCs/>
          <w:i/>
          <w:color w:val="002060"/>
          <w:sz w:val="16"/>
          <w:szCs w:val="16"/>
        </w:rPr>
      </w:pPr>
    </w:p>
    <w:p w14:paraId="19BEB40C"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Франции:</w:t>
      </w:r>
    </w:p>
    <w:p w14:paraId="440DDED1" w14:textId="77777777" w:rsidR="004B4E35" w:rsidRPr="00405303" w:rsidRDefault="004B4E35" w:rsidP="00C15251">
      <w:pPr>
        <w:shd w:val="clear" w:color="auto" w:fill="FFFFFF"/>
        <w:jc w:val="both"/>
        <w:rPr>
          <w:bCs/>
          <w:i/>
          <w:color w:val="002060"/>
          <w:sz w:val="16"/>
          <w:szCs w:val="16"/>
        </w:rPr>
      </w:pPr>
    </w:p>
    <w:p w14:paraId="6329C314" w14:textId="01B7955D" w:rsidR="004B4E35" w:rsidRPr="00405303" w:rsidRDefault="009E6F82" w:rsidP="00C15251">
      <w:pPr>
        <w:jc w:val="both"/>
        <w:rPr>
          <w:bCs/>
          <w:color w:val="002060"/>
          <w:sz w:val="16"/>
          <w:szCs w:val="16"/>
        </w:rPr>
      </w:pPr>
      <w:r w:rsidRPr="00405303">
        <w:rPr>
          <w:bCs/>
          <w:color w:val="002060"/>
          <w:sz w:val="16"/>
          <w:szCs w:val="16"/>
        </w:rPr>
        <w:t xml:space="preserve">В январе 1915 </w:t>
      </w:r>
      <w:r w:rsidR="00501A0A" w:rsidRPr="00405303">
        <w:rPr>
          <w:bCs/>
          <w:color w:val="002060"/>
          <w:sz w:val="16"/>
          <w:szCs w:val="16"/>
        </w:rPr>
        <w:t>г.</w:t>
      </w:r>
      <w:r w:rsidRPr="00405303">
        <w:rPr>
          <w:bCs/>
          <w:color w:val="002060"/>
          <w:sz w:val="16"/>
          <w:szCs w:val="16"/>
        </w:rPr>
        <w:t xml:space="preserve"> французское отделение бомбардировщиков атаковало Баадскую анилино-содовую фабрику в Людвигсгафене (11999).</w:t>
      </w:r>
    </w:p>
    <w:p w14:paraId="542DB739" w14:textId="77777777" w:rsidR="004B4E35" w:rsidRPr="00405303" w:rsidRDefault="004B4E35" w:rsidP="00C15251">
      <w:pPr>
        <w:jc w:val="both"/>
        <w:rPr>
          <w:bCs/>
          <w:color w:val="002060"/>
          <w:sz w:val="16"/>
          <w:szCs w:val="16"/>
        </w:rPr>
      </w:pPr>
    </w:p>
    <w:p w14:paraId="78DAE131" w14:textId="6908D075" w:rsidR="004B4E35" w:rsidRPr="00405303" w:rsidRDefault="006B1D23"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январе и сентябре 1915 года</w:t>
      </w:r>
      <w:r w:rsidRPr="00405303">
        <w:rPr>
          <w:bCs/>
          <w:color w:val="002060"/>
          <w:sz w:val="16"/>
          <w:szCs w:val="16"/>
        </w:rPr>
        <w:t xml:space="preserve"> поднялись в воздух дирижабль «Пилатр де Розье» «Астры» объемом 23 000 куб. м</w:t>
      </w:r>
      <w:r w:rsidR="009E6F82" w:rsidRPr="00405303">
        <w:rPr>
          <w:bCs/>
          <w:color w:val="002060"/>
          <w:sz w:val="16"/>
          <w:szCs w:val="16"/>
        </w:rPr>
        <w:t xml:space="preserve">. </w:t>
      </w:r>
      <w:r w:rsidRPr="00405303">
        <w:rPr>
          <w:bCs/>
          <w:color w:val="002060"/>
          <w:sz w:val="16"/>
          <w:szCs w:val="16"/>
        </w:rPr>
        <w:t>и</w:t>
      </w:r>
      <w:r w:rsidR="000F5756">
        <w:rPr>
          <w:bCs/>
          <w:color w:val="002060"/>
          <w:sz w:val="16"/>
          <w:szCs w:val="16"/>
        </w:rPr>
        <w:t xml:space="preserve"> </w:t>
      </w:r>
      <w:r w:rsidRPr="00405303">
        <w:rPr>
          <w:bCs/>
          <w:color w:val="002060"/>
          <w:sz w:val="16"/>
          <w:szCs w:val="16"/>
        </w:rPr>
        <w:t xml:space="preserve">«Генерал Менье» «Клеман-Байяр». </w:t>
      </w:r>
      <w:r w:rsidR="009E6F82" w:rsidRPr="00405303">
        <w:rPr>
          <w:bCs/>
          <w:color w:val="002060"/>
          <w:sz w:val="16"/>
          <w:szCs w:val="16"/>
        </w:rPr>
        <w:t>Оказалось, что все усилия по разработке и строительству воздушных кораблей были затрачены впустую. Дирижабли этого типа оказались слишком медлительны и имели недостаточный потолок, поэтому не приходилось рассчитывать на их успешное проникновение через линию фронта (11324).</w:t>
      </w:r>
    </w:p>
    <w:p w14:paraId="7FFE0CAF" w14:textId="77777777" w:rsidR="004B4E35" w:rsidRPr="00405303" w:rsidRDefault="004B4E35" w:rsidP="00C15251">
      <w:pPr>
        <w:jc w:val="both"/>
        <w:rPr>
          <w:bCs/>
          <w:i/>
          <w:color w:val="002060"/>
          <w:sz w:val="16"/>
          <w:szCs w:val="16"/>
        </w:rPr>
      </w:pPr>
    </w:p>
    <w:p w14:paraId="50398764"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Англии:</w:t>
      </w:r>
    </w:p>
    <w:p w14:paraId="4A0BDDDF" w14:textId="77777777" w:rsidR="004B4E35" w:rsidRPr="00405303" w:rsidRDefault="004B4E35" w:rsidP="00C15251">
      <w:pPr>
        <w:shd w:val="clear" w:color="auto" w:fill="FFFFFF"/>
        <w:jc w:val="both"/>
        <w:rPr>
          <w:bCs/>
          <w:i/>
          <w:color w:val="002060"/>
          <w:sz w:val="16"/>
          <w:szCs w:val="16"/>
        </w:rPr>
      </w:pPr>
    </w:p>
    <w:p w14:paraId="444B85FC" w14:textId="77777777" w:rsidR="004B4E35" w:rsidRPr="00405303" w:rsidRDefault="009E6F82" w:rsidP="00C15251">
      <w:pPr>
        <w:jc w:val="both"/>
        <w:rPr>
          <w:bCs/>
          <w:color w:val="002060"/>
          <w:sz w:val="16"/>
          <w:szCs w:val="16"/>
        </w:rPr>
      </w:pPr>
      <w:r w:rsidRPr="00405303">
        <w:rPr>
          <w:bCs/>
          <w:color w:val="002060"/>
          <w:sz w:val="16"/>
          <w:szCs w:val="16"/>
        </w:rPr>
        <w:t xml:space="preserve">В январе 1915 года в воздух поднялся первый мягкий дирижабль типа «блимп», состоящий из оболочки дирижабля «Эта», под которой был подвешен фюзеляж разведывательного самолета ВЕ2с без хвостового оперения, но с шасси, мотором «Рено» мощностью 60 л. с., тянущим винтом и кабиной, в которой размещались 2 человека. С марта 1915 года было изготовлено 49 таких «блимпов», из них 36 переданы флоту, где получили официальное обозначение S.S. (Sea Scout — морской разведывательный; иногда S.S. расшифровывают как Submarine Scout — противолодочный разведывательный, но это только вариант, основывающийся на одинаковых начальных буквах). Название серии «блимп» было взято у английского юмористического персонажа, полковника Блимпа, символа твердокаменного упрямства. </w:t>
      </w:r>
    </w:p>
    <w:p w14:paraId="205FE373" w14:textId="77777777" w:rsidR="004B4E35" w:rsidRPr="00405303" w:rsidRDefault="009E6F82" w:rsidP="00C15251">
      <w:pPr>
        <w:jc w:val="both"/>
        <w:rPr>
          <w:bCs/>
          <w:color w:val="002060"/>
          <w:sz w:val="16"/>
          <w:szCs w:val="16"/>
        </w:rPr>
      </w:pPr>
      <w:r w:rsidRPr="00405303">
        <w:rPr>
          <w:bCs/>
          <w:color w:val="002060"/>
          <w:sz w:val="16"/>
          <w:szCs w:val="16"/>
        </w:rPr>
        <w:t>Серийные дирижабли S.S. имели [274] объем 1840 куб. м и более мощные моторы в 80 л. с. Большинство из них оснащались фюзеляжами ВЕ2с, десять — фюзеляжами самолета Фарман MF.11 с небольшой гондолой, четыре — специальными фюзеляжами фирмы «Армстронг-Уитворт». «Блимпы» хорошо показали себя в деле, легко управлялись, обладали прекрасной маневренностью, без проблем ставились в ангар или укрывались брезентом, к тому же легко транспортировались наземным транспортом. Надо учесть, что «блимпы» могли корректировать стрельбу прибрежных мониторов, их можно было буксировать кораблями береговой охраны. Эти дирижабли обычно находились в воздухе около четырех часов при средней скорости 50 км/ч (11324).</w:t>
      </w:r>
    </w:p>
    <w:p w14:paraId="19A57085" w14:textId="77777777" w:rsidR="004B4E35" w:rsidRPr="00405303" w:rsidRDefault="004B4E35" w:rsidP="00C15251">
      <w:pPr>
        <w:jc w:val="both"/>
        <w:rPr>
          <w:bCs/>
          <w:i/>
          <w:color w:val="002060"/>
          <w:sz w:val="16"/>
          <w:szCs w:val="16"/>
        </w:rPr>
      </w:pPr>
    </w:p>
    <w:p w14:paraId="69902723" w14:textId="7B9A604B" w:rsidR="008B0EA3" w:rsidRPr="00405303" w:rsidRDefault="008B0EA3" w:rsidP="00C15251">
      <w:pPr>
        <w:jc w:val="both"/>
        <w:rPr>
          <w:bCs/>
          <w:i/>
          <w:color w:val="002060"/>
          <w:sz w:val="16"/>
          <w:szCs w:val="16"/>
        </w:rPr>
      </w:pPr>
      <w:r w:rsidRPr="00405303">
        <w:rPr>
          <w:bCs/>
          <w:i/>
          <w:color w:val="002060"/>
          <w:sz w:val="16"/>
          <w:szCs w:val="16"/>
        </w:rPr>
        <w:t>За рубежом:</w:t>
      </w:r>
    </w:p>
    <w:p w14:paraId="5A3A6B90" w14:textId="77777777" w:rsidR="008B0EA3" w:rsidRPr="00405303" w:rsidRDefault="008B0EA3" w:rsidP="00C15251">
      <w:pPr>
        <w:jc w:val="both"/>
        <w:rPr>
          <w:bCs/>
          <w:i/>
          <w:color w:val="002060"/>
          <w:sz w:val="16"/>
          <w:szCs w:val="16"/>
        </w:rPr>
      </w:pPr>
    </w:p>
    <w:p w14:paraId="7AF76698" w14:textId="5479BF0E" w:rsidR="008B0EA3" w:rsidRPr="00405303" w:rsidRDefault="008B0EA3" w:rsidP="00C15251">
      <w:pPr>
        <w:jc w:val="both"/>
        <w:rPr>
          <w:bCs/>
          <w:color w:val="002060"/>
          <w:sz w:val="16"/>
          <w:szCs w:val="16"/>
        </w:rPr>
      </w:pPr>
      <w:r w:rsidRPr="00405303">
        <w:rPr>
          <w:bCs/>
          <w:color w:val="002060"/>
          <w:sz w:val="16"/>
          <w:szCs w:val="16"/>
        </w:rPr>
        <w:t>В январе 1915 германцы закончили разработку нового химического снаряда, известного под маркой «Т» 15-см артиллерийской гранаты с сильным бризантным действием и раздражающим химическим веществом (ксилил-бромид), впоследствии замененным бромацетоном и бромэтилкетоном (рис. 1). В конце января германцы применили его на фронте в левобережной Польше в районе Болимова, но в химическом отношении безуспешно, вследствие низкой температуры и недостаточного массирования стрельбы</w:t>
      </w:r>
      <w:r w:rsidR="00DB4D64" w:rsidRPr="00405303">
        <w:rPr>
          <w:bCs/>
          <w:color w:val="002060"/>
          <w:sz w:val="16"/>
          <w:szCs w:val="16"/>
        </w:rPr>
        <w:t xml:space="preserve"> </w:t>
      </w:r>
      <w:r w:rsidRPr="00405303">
        <w:rPr>
          <w:bCs/>
          <w:color w:val="002060"/>
          <w:sz w:val="16"/>
          <w:szCs w:val="16"/>
        </w:rPr>
        <w:t>(20247).</w:t>
      </w:r>
    </w:p>
    <w:p w14:paraId="0027C384" w14:textId="77777777" w:rsidR="008B0EA3" w:rsidRPr="00405303" w:rsidRDefault="008B0EA3" w:rsidP="00C15251">
      <w:pPr>
        <w:jc w:val="both"/>
        <w:rPr>
          <w:bCs/>
          <w:color w:val="002060"/>
          <w:sz w:val="16"/>
          <w:szCs w:val="16"/>
        </w:rPr>
      </w:pPr>
    </w:p>
    <w:p w14:paraId="108460D1" w14:textId="77777777" w:rsidR="008B0EA3" w:rsidRPr="00405303" w:rsidRDefault="008B0EA3" w:rsidP="00C15251">
      <w:pPr>
        <w:jc w:val="both"/>
        <w:rPr>
          <w:bCs/>
          <w:color w:val="002060"/>
          <w:sz w:val="16"/>
          <w:szCs w:val="16"/>
        </w:rPr>
      </w:pPr>
      <w:r w:rsidRPr="00405303">
        <w:rPr>
          <w:bCs/>
          <w:color w:val="002060"/>
          <w:sz w:val="16"/>
          <w:szCs w:val="16"/>
        </w:rPr>
        <w:t>В январе 1915 французы отправляют на фронт свои химические 26-мм ружейные гранаты, но оставляют их пока без применения, так как войска еще не были обучены и не было еще средств защиты (20247).</w:t>
      </w:r>
    </w:p>
    <w:p w14:paraId="4182FECE" w14:textId="6D9CD3BC" w:rsidR="008B0EA3" w:rsidRPr="00405303" w:rsidRDefault="008B0EA3" w:rsidP="00C15251">
      <w:pPr>
        <w:jc w:val="both"/>
        <w:rPr>
          <w:bCs/>
          <w:color w:val="002060"/>
          <w:sz w:val="16"/>
          <w:szCs w:val="16"/>
        </w:rPr>
      </w:pPr>
      <w:r w:rsidRPr="00405303">
        <w:rPr>
          <w:bCs/>
          <w:color w:val="002060"/>
          <w:sz w:val="16"/>
          <w:szCs w:val="16"/>
        </w:rPr>
        <w:t>В феврале 1915 г. германцы производят удачную</w:t>
      </w:r>
      <w:r w:rsidR="00DB4D64" w:rsidRPr="00405303">
        <w:rPr>
          <w:bCs/>
          <w:color w:val="002060"/>
          <w:sz w:val="16"/>
          <w:szCs w:val="16"/>
        </w:rPr>
        <w:t xml:space="preserve"> </w:t>
      </w:r>
      <w:r w:rsidRPr="00405303">
        <w:rPr>
          <w:bCs/>
          <w:color w:val="002060"/>
          <w:sz w:val="16"/>
          <w:szCs w:val="16"/>
        </w:rPr>
        <w:t>огнеметную атаку</w:t>
      </w:r>
      <w:r w:rsidR="00DB4D64" w:rsidRPr="00405303">
        <w:rPr>
          <w:bCs/>
          <w:color w:val="002060"/>
          <w:sz w:val="16"/>
          <w:szCs w:val="16"/>
        </w:rPr>
        <w:t xml:space="preserve"> </w:t>
      </w:r>
      <w:r w:rsidRPr="00405303">
        <w:rPr>
          <w:bCs/>
          <w:color w:val="002060"/>
          <w:sz w:val="16"/>
          <w:szCs w:val="16"/>
        </w:rPr>
        <w:t>под Верденом (20247).</w:t>
      </w:r>
    </w:p>
    <w:p w14:paraId="5975F49D" w14:textId="75B65583" w:rsidR="008B0EA3" w:rsidRPr="00405303" w:rsidRDefault="008B0EA3" w:rsidP="00C15251">
      <w:pPr>
        <w:jc w:val="both"/>
        <w:rPr>
          <w:bCs/>
          <w:color w:val="002060"/>
          <w:sz w:val="16"/>
          <w:szCs w:val="16"/>
        </w:rPr>
      </w:pPr>
      <w:r w:rsidRPr="00405303">
        <w:rPr>
          <w:bCs/>
          <w:color w:val="002060"/>
          <w:sz w:val="16"/>
          <w:szCs w:val="16"/>
        </w:rPr>
        <w:t>В марте 1915 французы впервые применяют химические 26-мм</w:t>
      </w:r>
      <w:r w:rsidR="00DB4D64" w:rsidRPr="00405303">
        <w:rPr>
          <w:bCs/>
          <w:color w:val="002060"/>
          <w:sz w:val="16"/>
          <w:szCs w:val="16"/>
        </w:rPr>
        <w:t xml:space="preserve"> </w:t>
      </w:r>
      <w:r w:rsidRPr="00405303">
        <w:rPr>
          <w:bCs/>
          <w:color w:val="002060"/>
          <w:sz w:val="16"/>
          <w:szCs w:val="16"/>
        </w:rPr>
        <w:t>ружейные гранаты</w:t>
      </w:r>
      <w:r w:rsidR="00DB4D64" w:rsidRPr="00405303">
        <w:rPr>
          <w:bCs/>
          <w:color w:val="002060"/>
          <w:sz w:val="16"/>
          <w:szCs w:val="16"/>
        </w:rPr>
        <w:t xml:space="preserve"> </w:t>
      </w:r>
      <w:r w:rsidRPr="00405303">
        <w:rPr>
          <w:bCs/>
          <w:color w:val="002060"/>
          <w:sz w:val="16"/>
          <w:szCs w:val="16"/>
        </w:rPr>
        <w:t>(этилбромацетон) и подобные им химические ручные гранаты, и те и другие без каких-либо заметных результатов, что являлось вполне естественным для начала (20247).</w:t>
      </w:r>
    </w:p>
    <w:p w14:paraId="1D361DE7" w14:textId="4211D4B4" w:rsidR="008B0EA3" w:rsidRPr="00405303" w:rsidRDefault="008B0EA3" w:rsidP="00C15251">
      <w:pPr>
        <w:jc w:val="both"/>
        <w:rPr>
          <w:bCs/>
          <w:color w:val="002060"/>
          <w:sz w:val="16"/>
          <w:szCs w:val="16"/>
        </w:rPr>
      </w:pPr>
      <w:r w:rsidRPr="00405303">
        <w:rPr>
          <w:bCs/>
          <w:color w:val="002060"/>
          <w:sz w:val="16"/>
          <w:szCs w:val="16"/>
        </w:rPr>
        <w:t>2 марта 1915 в Дарданельской операции была удачно применена английским флотом</w:t>
      </w:r>
      <w:r w:rsidR="00DB4D64" w:rsidRPr="00405303">
        <w:rPr>
          <w:bCs/>
          <w:color w:val="002060"/>
          <w:sz w:val="16"/>
          <w:szCs w:val="16"/>
        </w:rPr>
        <w:t xml:space="preserve"> </w:t>
      </w:r>
      <w:r w:rsidRPr="00405303">
        <w:rPr>
          <w:bCs/>
          <w:color w:val="002060"/>
          <w:sz w:val="16"/>
          <w:szCs w:val="16"/>
        </w:rPr>
        <w:t>дымовая завеса, под защитой которой английские тральщики спаслись от огня береговой турецкой артиллерии, начавшей их расстреливать во время работы по вылавливанию мин в самом проливе (20247).</w:t>
      </w:r>
    </w:p>
    <w:p w14:paraId="4025EBDA" w14:textId="77777777" w:rsidR="008B0EA3" w:rsidRPr="00405303" w:rsidRDefault="008B0EA3" w:rsidP="00C15251">
      <w:pPr>
        <w:jc w:val="both"/>
        <w:rPr>
          <w:bCs/>
          <w:color w:val="002060"/>
          <w:sz w:val="16"/>
          <w:szCs w:val="16"/>
        </w:rPr>
      </w:pPr>
      <w:r w:rsidRPr="00405303">
        <w:rPr>
          <w:bCs/>
          <w:color w:val="002060"/>
          <w:sz w:val="16"/>
          <w:szCs w:val="16"/>
        </w:rPr>
        <w:t>В апреле 1915 у Ньюпора во Фландрии германцы впервые испытали действие своих гранат «Д», содержавших смесь бромистого бензила и ксилила, а также бромированные кетоны (20247).</w:t>
      </w:r>
    </w:p>
    <w:p w14:paraId="09D5E83C" w14:textId="77777777" w:rsidR="008B0EA3" w:rsidRPr="00405303" w:rsidRDefault="008B0EA3" w:rsidP="00C15251">
      <w:pPr>
        <w:jc w:val="both"/>
        <w:rPr>
          <w:bCs/>
          <w:color w:val="002060"/>
          <w:sz w:val="16"/>
          <w:szCs w:val="16"/>
        </w:rPr>
      </w:pPr>
    </w:p>
    <w:p w14:paraId="6E3AF7B2" w14:textId="77777777" w:rsidR="008B0EA3" w:rsidRPr="00405303" w:rsidRDefault="008B0EA3" w:rsidP="00C15251">
      <w:pPr>
        <w:pStyle w:val="ae"/>
        <w:spacing w:before="0" w:beforeAutospacing="0" w:after="0" w:afterAutospacing="0"/>
        <w:jc w:val="both"/>
        <w:rPr>
          <w:bCs/>
          <w:color w:val="002060"/>
          <w:sz w:val="16"/>
          <w:szCs w:val="16"/>
        </w:rPr>
      </w:pPr>
      <w:r w:rsidRPr="00405303">
        <w:rPr>
          <w:bCs/>
          <w:color w:val="002060"/>
          <w:sz w:val="16"/>
          <w:szCs w:val="16"/>
        </w:rPr>
        <w:t>В январе 1915 г. химиками Imperial College было удачно продемонстрировано представителям армии слезоточивое действие этилиодоацетата (ethyl iodoacetat). Неблагоприятное для британцев развитие войны заставило их искать более опасные химические соединения. Но никаких удачных идей у них не было, не было и людей, способных принимать решения в этой области (20246).</w:t>
      </w:r>
    </w:p>
    <w:p w14:paraId="673D66D1" w14:textId="77777777" w:rsidR="008B0EA3" w:rsidRPr="00405303" w:rsidRDefault="008B0EA3" w:rsidP="00C15251">
      <w:pPr>
        <w:pStyle w:val="ae"/>
        <w:spacing w:before="0" w:beforeAutospacing="0" w:after="0" w:afterAutospacing="0"/>
        <w:jc w:val="both"/>
        <w:rPr>
          <w:bCs/>
          <w:color w:val="002060"/>
          <w:sz w:val="16"/>
          <w:szCs w:val="16"/>
        </w:rPr>
      </w:pPr>
    </w:p>
    <w:p w14:paraId="7ADA6B90"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285D7DEE" w14:textId="77777777" w:rsidR="004B4E35" w:rsidRPr="00405303" w:rsidRDefault="004B4E35" w:rsidP="00C15251">
      <w:pPr>
        <w:jc w:val="both"/>
        <w:rPr>
          <w:bCs/>
          <w:i/>
          <w:color w:val="002060"/>
          <w:sz w:val="16"/>
          <w:szCs w:val="16"/>
        </w:rPr>
      </w:pPr>
    </w:p>
    <w:p w14:paraId="25B4EECD" w14:textId="62F27A5A" w:rsidR="004B4E35" w:rsidRPr="00405303" w:rsidRDefault="006B1D23"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январе — августе 1915 г. </w:t>
      </w:r>
      <w:r w:rsidRPr="00405303">
        <w:rPr>
          <w:bCs/>
          <w:color w:val="002060"/>
          <w:sz w:val="16"/>
          <w:szCs w:val="16"/>
        </w:rPr>
        <w:t xml:space="preserve">А.А. Микулиным и Б.С. Стечкиным был спроектировали мотор АМБС-1. </w:t>
      </w:r>
      <w:r w:rsidR="009E6F82" w:rsidRPr="00405303">
        <w:rPr>
          <w:bCs/>
          <w:color w:val="002060"/>
          <w:sz w:val="16"/>
          <w:szCs w:val="16"/>
        </w:rPr>
        <w:t>Двухтактный двига</w:t>
      </w:r>
      <w:r w:rsidR="009E6F82" w:rsidRPr="00405303">
        <w:rPr>
          <w:bCs/>
          <w:color w:val="002060"/>
          <w:sz w:val="16"/>
          <w:szCs w:val="16"/>
        </w:rPr>
        <w:softHyphen/>
        <w:t>тель мощностью 300 л.с. отличался необычной компоновкой. Цилиндры располагались параллельно друг другу. В каждом цилиндре стояли два противоположно двигавшихся поршня. Преобразование поступательного движения во вращательное осуществлялось двумя наклонными шайбами, стоявшими по обе стороны двигателя. Топливо подавалось в камеры сго</w:t>
      </w:r>
      <w:r w:rsidR="009E6F82" w:rsidRPr="00405303">
        <w:rPr>
          <w:bCs/>
          <w:color w:val="002060"/>
          <w:sz w:val="16"/>
          <w:szCs w:val="16"/>
        </w:rPr>
        <w:softHyphen/>
        <w:t>рания форсунками непосредственного впрыска. По некоторым документам можно сделать вывод, что работу финансировало общество «Дюфлон и Константинович». В сентябре 1915 г. опытный образец АМБС-1 начали изготавливать на заводе «Ош и Везер» в Москве. Сборку завершили в ноябре 1916 г. Месяцем позже двигатель установили на испытательном станке в сарае Императорского высшего технического училища. Мотор проработал всего три минуты — согнулись штоки поршней. До февраля 1917 г. делались попытки восстановить АМБС-1 и продолжить испытания, но все они ока</w:t>
      </w:r>
      <w:r w:rsidR="009E6F82" w:rsidRPr="00405303">
        <w:rPr>
          <w:bCs/>
          <w:color w:val="002060"/>
          <w:sz w:val="16"/>
          <w:szCs w:val="16"/>
        </w:rPr>
        <w:softHyphen/>
        <w:t>зались безуспешны (11852).</w:t>
      </w:r>
    </w:p>
    <w:p w14:paraId="2939F20F" w14:textId="77777777" w:rsidR="004B4E35" w:rsidRPr="00405303" w:rsidRDefault="004B4E35" w:rsidP="00C15251">
      <w:pPr>
        <w:shd w:val="clear" w:color="auto" w:fill="FFFFFF"/>
        <w:jc w:val="both"/>
        <w:rPr>
          <w:bCs/>
          <w:color w:val="002060"/>
          <w:sz w:val="16"/>
          <w:szCs w:val="16"/>
        </w:rPr>
      </w:pPr>
    </w:p>
    <w:p w14:paraId="2C5EA8C2" w14:textId="77777777" w:rsidR="00B56823" w:rsidRPr="00405303" w:rsidRDefault="00B56823" w:rsidP="00C15251">
      <w:pPr>
        <w:jc w:val="both"/>
        <w:rPr>
          <w:bCs/>
          <w:color w:val="002060"/>
          <w:sz w:val="16"/>
          <w:szCs w:val="16"/>
          <w:lang w:bidi="ru-RU"/>
        </w:rPr>
      </w:pPr>
      <w:r w:rsidRPr="00405303">
        <w:rPr>
          <w:bCs/>
          <w:color w:val="002060"/>
          <w:sz w:val="16"/>
          <w:szCs w:val="16"/>
          <w:lang w:bidi="ru-RU"/>
        </w:rPr>
        <w:t>В январе-феврале 1915 г. в Севастополь</w:t>
      </w:r>
      <w:r w:rsidRPr="00405303">
        <w:rPr>
          <w:bCs/>
          <w:color w:val="002060"/>
          <w:sz w:val="16"/>
          <w:szCs w:val="16"/>
          <w:lang w:bidi="ru-RU"/>
        </w:rPr>
        <w:softHyphen/>
        <w:t>ской авиашколе, куда Безобразов прибыл ближе к более благопри</w:t>
      </w:r>
      <w:r w:rsidRPr="00405303">
        <w:rPr>
          <w:bCs/>
          <w:color w:val="002060"/>
          <w:sz w:val="16"/>
          <w:szCs w:val="16"/>
          <w:lang w:bidi="ru-RU"/>
        </w:rPr>
        <w:softHyphen/>
        <w:t>ятной летной погоде, Александро-Михайловском аэродроме (с. Кача) Безобразовым были установлены специально приобре</w:t>
      </w:r>
      <w:r w:rsidRPr="00405303">
        <w:rPr>
          <w:bCs/>
          <w:color w:val="002060"/>
          <w:sz w:val="16"/>
          <w:szCs w:val="16"/>
          <w:lang w:bidi="ru-RU"/>
        </w:rPr>
        <w:softHyphen/>
        <w:t>тенные два ангара: брезентовый ангар «Бессонно» и стропильный ангар «Кебке». В одном дорабатывался первый тип три</w:t>
      </w:r>
      <w:r w:rsidRPr="00405303">
        <w:rPr>
          <w:bCs/>
          <w:color w:val="002060"/>
          <w:sz w:val="16"/>
          <w:szCs w:val="16"/>
          <w:lang w:bidi="ru-RU"/>
        </w:rPr>
        <w:softHyphen/>
        <w:t>плана, во втором строился следующий, оп</w:t>
      </w:r>
      <w:r w:rsidRPr="00405303">
        <w:rPr>
          <w:bCs/>
          <w:color w:val="002060"/>
          <w:sz w:val="16"/>
          <w:szCs w:val="16"/>
          <w:lang w:bidi="ru-RU"/>
        </w:rPr>
        <w:softHyphen/>
        <w:t>ределяемый как «тримоноплан тип 2», осо</w:t>
      </w:r>
      <w:r w:rsidRPr="00405303">
        <w:rPr>
          <w:bCs/>
          <w:color w:val="002060"/>
          <w:sz w:val="16"/>
          <w:szCs w:val="16"/>
          <w:lang w:bidi="ru-RU"/>
        </w:rPr>
        <w:softHyphen/>
        <w:t>бенностью которого было отсутствие ста</w:t>
      </w:r>
      <w:r w:rsidRPr="00405303">
        <w:rPr>
          <w:bCs/>
          <w:color w:val="002060"/>
          <w:sz w:val="16"/>
          <w:szCs w:val="16"/>
          <w:lang w:bidi="ru-RU"/>
        </w:rPr>
        <w:softHyphen/>
        <w:t>билизатора и руля глубины на хвостовой части фюзеляжа. Для нового триплана 3 марта 1915 г. при</w:t>
      </w:r>
      <w:r w:rsidRPr="00405303">
        <w:rPr>
          <w:bCs/>
          <w:color w:val="002060"/>
          <w:sz w:val="16"/>
          <w:szCs w:val="16"/>
          <w:lang w:bidi="ru-RU"/>
        </w:rPr>
        <w:softHyphen/>
        <w:t>казом № 62 по Офицер</w:t>
      </w:r>
      <w:r w:rsidRPr="00405303">
        <w:rPr>
          <w:bCs/>
          <w:color w:val="002060"/>
          <w:sz w:val="16"/>
          <w:szCs w:val="16"/>
          <w:lang w:bidi="ru-RU"/>
        </w:rPr>
        <w:softHyphen/>
        <w:t>ской школе авиации Великим князем Алек</w:t>
      </w:r>
      <w:r w:rsidRPr="00405303">
        <w:rPr>
          <w:bCs/>
          <w:color w:val="002060"/>
          <w:sz w:val="16"/>
          <w:szCs w:val="16"/>
          <w:lang w:bidi="ru-RU"/>
        </w:rPr>
        <w:softHyphen/>
        <w:t>сандром Михайловичем был выделен дви</w:t>
      </w:r>
      <w:r w:rsidRPr="00405303">
        <w:rPr>
          <w:bCs/>
          <w:color w:val="002060"/>
          <w:sz w:val="16"/>
          <w:szCs w:val="16"/>
          <w:lang w:bidi="ru-RU"/>
        </w:rPr>
        <w:softHyphen/>
        <w:t>гатель «Рон» 80 л.с. за номером 84 от 6-й авиационной роты «под расписку прапор</w:t>
      </w:r>
      <w:r w:rsidRPr="00405303">
        <w:rPr>
          <w:bCs/>
          <w:color w:val="002060"/>
          <w:sz w:val="16"/>
          <w:szCs w:val="16"/>
          <w:lang w:bidi="ru-RU"/>
        </w:rPr>
        <w:softHyphen/>
        <w:t xml:space="preserve">щику Безобразову». </w:t>
      </w:r>
    </w:p>
    <w:p w14:paraId="467CF4D7" w14:textId="77777777" w:rsidR="00B56823" w:rsidRPr="00405303" w:rsidRDefault="00B56823" w:rsidP="00C15251">
      <w:pPr>
        <w:jc w:val="both"/>
        <w:rPr>
          <w:bCs/>
          <w:color w:val="002060"/>
          <w:sz w:val="16"/>
          <w:szCs w:val="16"/>
          <w:lang w:bidi="ru-RU"/>
        </w:rPr>
      </w:pPr>
      <w:r w:rsidRPr="00405303">
        <w:rPr>
          <w:bCs/>
          <w:color w:val="002060"/>
          <w:sz w:val="16"/>
          <w:szCs w:val="16"/>
          <w:lang w:bidi="ru-RU"/>
        </w:rPr>
        <w:t>Сам Безобразов ха</w:t>
      </w:r>
      <w:r w:rsidRPr="00405303">
        <w:rPr>
          <w:bCs/>
          <w:color w:val="002060"/>
          <w:sz w:val="16"/>
          <w:szCs w:val="16"/>
          <w:lang w:bidi="ru-RU"/>
        </w:rPr>
        <w:softHyphen/>
        <w:t>рактеризовал триплан как «разведочный, двухместный». Размах крыльев более 13 м, ширина — 0,5 м, площадь несущей поверх</w:t>
      </w:r>
      <w:r w:rsidRPr="00405303">
        <w:rPr>
          <w:bCs/>
          <w:color w:val="002060"/>
          <w:sz w:val="16"/>
          <w:szCs w:val="16"/>
          <w:lang w:bidi="ru-RU"/>
        </w:rPr>
        <w:softHyphen/>
        <w:t>ности около 18 кв. м. На задней кромке каждого крыла были сделаны особые зуб</w:t>
      </w:r>
      <w:r w:rsidRPr="00405303">
        <w:rPr>
          <w:bCs/>
          <w:color w:val="002060"/>
          <w:sz w:val="16"/>
          <w:szCs w:val="16"/>
          <w:lang w:bidi="ru-RU"/>
        </w:rPr>
        <w:softHyphen/>
        <w:t>цы «для облегчения стекания» и стабилиза</w:t>
      </w:r>
      <w:r w:rsidRPr="00405303">
        <w:rPr>
          <w:bCs/>
          <w:color w:val="002060"/>
          <w:sz w:val="16"/>
          <w:szCs w:val="16"/>
          <w:lang w:bidi="ru-RU"/>
        </w:rPr>
        <w:softHyphen/>
        <w:t>ции. Вес аппарата без груза составлял 27 пудов (432 кг), вес с максимальной нагруз</w:t>
      </w:r>
      <w:r w:rsidRPr="00405303">
        <w:rPr>
          <w:bCs/>
          <w:color w:val="002060"/>
          <w:sz w:val="16"/>
          <w:szCs w:val="16"/>
          <w:lang w:bidi="ru-RU"/>
        </w:rPr>
        <w:softHyphen/>
        <w:t>кой — 670-680 кг (23374).</w:t>
      </w:r>
    </w:p>
    <w:p w14:paraId="42C9B831" w14:textId="77777777" w:rsidR="00B56823" w:rsidRPr="00405303" w:rsidRDefault="00B56823" w:rsidP="00C15251">
      <w:pPr>
        <w:jc w:val="both"/>
        <w:rPr>
          <w:bCs/>
          <w:color w:val="002060"/>
          <w:sz w:val="16"/>
          <w:szCs w:val="16"/>
        </w:rPr>
      </w:pPr>
    </w:p>
    <w:p w14:paraId="2F07FD25"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60874A28" w14:textId="77777777" w:rsidR="004B4E35" w:rsidRPr="00405303" w:rsidRDefault="004B4E35" w:rsidP="00C15251">
      <w:pPr>
        <w:jc w:val="both"/>
        <w:rPr>
          <w:bCs/>
          <w:i/>
          <w:color w:val="002060"/>
          <w:sz w:val="16"/>
          <w:szCs w:val="16"/>
        </w:rPr>
      </w:pPr>
    </w:p>
    <w:p w14:paraId="4134D8F1" w14:textId="4B0A98AA" w:rsidR="004B4E35" w:rsidRPr="00405303" w:rsidRDefault="006B1D23"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янва</w:t>
      </w:r>
      <w:r w:rsidR="009E6F82" w:rsidRPr="00405303">
        <w:rPr>
          <w:bCs/>
          <w:color w:val="002060"/>
          <w:sz w:val="16"/>
          <w:szCs w:val="16"/>
        </w:rPr>
        <w:softHyphen/>
        <w:t>ре—феврале 1915 г.</w:t>
      </w:r>
      <w:r w:rsidRPr="00405303">
        <w:rPr>
          <w:bCs/>
          <w:color w:val="002060"/>
          <w:sz w:val="16"/>
          <w:szCs w:val="16"/>
        </w:rPr>
        <w:t xml:space="preserve"> Балтийский, Николаевский и не</w:t>
      </w:r>
      <w:r w:rsidRPr="00405303">
        <w:rPr>
          <w:bCs/>
          <w:color w:val="002060"/>
          <w:sz w:val="16"/>
          <w:szCs w:val="16"/>
        </w:rPr>
        <w:softHyphen/>
        <w:t>которые другие заводы выдали первые партии снарядов</w:t>
      </w:r>
      <w:r w:rsidR="009E6F82" w:rsidRPr="00405303">
        <w:rPr>
          <w:bCs/>
          <w:color w:val="002060"/>
          <w:sz w:val="16"/>
          <w:szCs w:val="16"/>
        </w:rPr>
        <w:t xml:space="preserve"> (5484).</w:t>
      </w:r>
    </w:p>
    <w:p w14:paraId="23736B6C" w14:textId="6F32FFE5" w:rsidR="004B4E35" w:rsidRPr="00405303" w:rsidRDefault="004B4E35" w:rsidP="00C15251">
      <w:pPr>
        <w:shd w:val="clear" w:color="auto" w:fill="FFFFFF"/>
        <w:jc w:val="both"/>
        <w:rPr>
          <w:bCs/>
          <w:color w:val="002060"/>
          <w:sz w:val="16"/>
          <w:szCs w:val="16"/>
        </w:rPr>
      </w:pPr>
    </w:p>
    <w:p w14:paraId="43BA3663" w14:textId="609C4938" w:rsidR="00B56823" w:rsidRPr="00405303" w:rsidRDefault="00B56823" w:rsidP="00C15251">
      <w:pPr>
        <w:jc w:val="both"/>
        <w:rPr>
          <w:rStyle w:val="42"/>
          <w:rFonts w:ascii="Times New Roman" w:hAnsi="Times New Roman" w:cs="Times New Roman"/>
          <w:bCs/>
          <w:i/>
          <w:iCs/>
          <w:color w:val="002060"/>
          <w:w w:val="100"/>
          <w:sz w:val="16"/>
          <w:szCs w:val="16"/>
        </w:rPr>
      </w:pPr>
      <w:r w:rsidRPr="00405303">
        <w:rPr>
          <w:rStyle w:val="42"/>
          <w:rFonts w:ascii="Times New Roman" w:hAnsi="Times New Roman" w:cs="Times New Roman"/>
          <w:bCs/>
          <w:i/>
          <w:iCs/>
          <w:color w:val="002060"/>
          <w:w w:val="100"/>
          <w:sz w:val="16"/>
          <w:szCs w:val="16"/>
        </w:rPr>
        <w:t>Авиация:</w:t>
      </w:r>
    </w:p>
    <w:p w14:paraId="7EFF23C2" w14:textId="77777777" w:rsidR="00B56823" w:rsidRPr="00405303" w:rsidRDefault="00B56823" w:rsidP="00C15251">
      <w:pPr>
        <w:jc w:val="both"/>
        <w:rPr>
          <w:rStyle w:val="42"/>
          <w:rFonts w:ascii="Times New Roman" w:hAnsi="Times New Roman" w:cs="Times New Roman"/>
          <w:bCs/>
          <w:i/>
          <w:iCs/>
          <w:color w:val="002060"/>
          <w:w w:val="100"/>
          <w:sz w:val="16"/>
          <w:szCs w:val="16"/>
        </w:rPr>
      </w:pPr>
    </w:p>
    <w:p w14:paraId="053186C9" w14:textId="77777777" w:rsidR="00B56823" w:rsidRPr="00405303" w:rsidRDefault="00B56823" w:rsidP="00C15251">
      <w:pPr>
        <w:jc w:val="both"/>
        <w:rPr>
          <w:bCs/>
          <w:color w:val="002060"/>
          <w:sz w:val="16"/>
          <w:szCs w:val="16"/>
        </w:rPr>
      </w:pPr>
      <w:bookmarkStart w:id="31" w:name="bookmark182"/>
      <w:r w:rsidRPr="00405303">
        <w:rPr>
          <w:bCs/>
          <w:color w:val="002060"/>
          <w:sz w:val="16"/>
          <w:szCs w:val="16"/>
        </w:rPr>
        <w:t>За период января - июля 1915 г., по данным газеты «Русский инвалид», только артиллерийским огнем в прифронтовой полосе было уничтожено 13 неприятельских летательных аппаратов, несколько самолетов достались в качестве трофея в исправном состоянии.</w:t>
      </w:r>
      <w:bookmarkEnd w:id="31"/>
    </w:p>
    <w:p w14:paraId="580C7D1F" w14:textId="77777777" w:rsidR="00B56823" w:rsidRPr="00405303" w:rsidRDefault="00B56823" w:rsidP="00C15251">
      <w:pPr>
        <w:jc w:val="both"/>
        <w:rPr>
          <w:bCs/>
          <w:color w:val="002060"/>
          <w:sz w:val="16"/>
          <w:szCs w:val="16"/>
        </w:rPr>
      </w:pPr>
      <w:r w:rsidRPr="00405303">
        <w:rPr>
          <w:bCs/>
          <w:color w:val="002060"/>
          <w:sz w:val="16"/>
          <w:szCs w:val="16"/>
        </w:rPr>
        <w:t>Основные события в начале лета развернулись в небе над Балтикой (23405).</w:t>
      </w:r>
    </w:p>
    <w:p w14:paraId="7228FFA0" w14:textId="77777777" w:rsidR="00B56823" w:rsidRPr="00405303" w:rsidRDefault="00B56823" w:rsidP="00C15251">
      <w:pPr>
        <w:jc w:val="both"/>
        <w:rPr>
          <w:bCs/>
          <w:color w:val="002060"/>
          <w:sz w:val="16"/>
          <w:szCs w:val="16"/>
        </w:rPr>
      </w:pPr>
    </w:p>
    <w:p w14:paraId="6D1BB73A" w14:textId="77777777" w:rsidR="00461264" w:rsidRPr="00405303" w:rsidRDefault="00461264" w:rsidP="00461264">
      <w:pPr>
        <w:jc w:val="both"/>
        <w:rPr>
          <w:color w:val="0070C0"/>
          <w:sz w:val="16"/>
          <w:szCs w:val="16"/>
        </w:rPr>
      </w:pPr>
      <w:r w:rsidRPr="00405303">
        <w:rPr>
          <w:rStyle w:val="aa"/>
          <w:rFonts w:ascii="Times New Roman" w:hAnsi="Times New Roman"/>
          <w:color w:val="0070C0"/>
          <w:spacing w:val="0"/>
          <w:sz w:val="16"/>
          <w:szCs w:val="16"/>
        </w:rPr>
        <w:t>За период января – июля 1915 г., по данным газеты «Русский инвалид», только артиллерийским огнем в прифронтовой полосе было уничтожено 13 неприятельских летательных аппаратов, несколько самолетов достались в качестве трофея в исправном состоянии (25135).</w:t>
      </w:r>
    </w:p>
    <w:p w14:paraId="5B510E86" w14:textId="77777777" w:rsidR="00461264" w:rsidRPr="00405303" w:rsidRDefault="00461264" w:rsidP="00461264">
      <w:pPr>
        <w:jc w:val="both"/>
        <w:rPr>
          <w:color w:val="0070C0"/>
          <w:sz w:val="16"/>
          <w:szCs w:val="16"/>
        </w:rPr>
      </w:pPr>
    </w:p>
    <w:p w14:paraId="45E41A7A" w14:textId="77777777" w:rsidR="00B56823" w:rsidRPr="00405303" w:rsidRDefault="00B56823" w:rsidP="00C15251">
      <w:pPr>
        <w:shd w:val="clear" w:color="auto" w:fill="FFFFFF"/>
        <w:jc w:val="both"/>
        <w:rPr>
          <w:bCs/>
          <w:i/>
          <w:color w:val="002060"/>
          <w:sz w:val="16"/>
          <w:szCs w:val="16"/>
        </w:rPr>
      </w:pPr>
      <w:r w:rsidRPr="00405303">
        <w:rPr>
          <w:bCs/>
          <w:i/>
          <w:color w:val="002060"/>
          <w:sz w:val="16"/>
          <w:szCs w:val="16"/>
        </w:rPr>
        <w:t>Морская авиация:</w:t>
      </w:r>
    </w:p>
    <w:p w14:paraId="5AD8A491" w14:textId="77777777" w:rsidR="00B56823" w:rsidRPr="00405303" w:rsidRDefault="00B56823" w:rsidP="00C15251">
      <w:pPr>
        <w:shd w:val="clear" w:color="auto" w:fill="FFFFFF"/>
        <w:jc w:val="both"/>
        <w:rPr>
          <w:bCs/>
          <w:i/>
          <w:color w:val="002060"/>
          <w:sz w:val="16"/>
          <w:szCs w:val="16"/>
        </w:rPr>
      </w:pPr>
    </w:p>
    <w:p w14:paraId="442E3E3E" w14:textId="77777777" w:rsidR="00B56823" w:rsidRPr="00405303" w:rsidRDefault="00B56823" w:rsidP="00C15251">
      <w:pPr>
        <w:shd w:val="clear" w:color="auto" w:fill="FFFFFF"/>
        <w:jc w:val="both"/>
        <w:rPr>
          <w:bCs/>
          <w:color w:val="002060"/>
          <w:sz w:val="16"/>
          <w:szCs w:val="16"/>
        </w:rPr>
      </w:pPr>
      <w:r w:rsidRPr="00405303">
        <w:rPr>
          <w:bCs/>
          <w:color w:val="002060"/>
          <w:sz w:val="16"/>
          <w:szCs w:val="16"/>
        </w:rPr>
        <w:t>В период с декабря 1914 по январь 1915 гг. командование Черноморским флотом также прилагало некоторые усилия, направленные на получение двух сухопутных гигантов, нуж</w:t>
      </w:r>
      <w:r w:rsidRPr="00405303">
        <w:rPr>
          <w:bCs/>
          <w:color w:val="002060"/>
          <w:sz w:val="16"/>
          <w:szCs w:val="16"/>
        </w:rPr>
        <w:softHyphen/>
        <w:t>ных для полетов в районе Батума. Р-БВЗ, не имея моторов для установки на аппараты, не мог, однако, принять ни одного флотского заказа, тогда как Морское ведомство равным образом было не в состоянии снабдить фирму двигателями необходимого типа и мощности. В результате проект был почти забыт, а морские авиаторы устремили надежды на заказан</w:t>
      </w:r>
      <w:r w:rsidRPr="00405303">
        <w:rPr>
          <w:bCs/>
          <w:color w:val="002060"/>
          <w:sz w:val="16"/>
          <w:szCs w:val="16"/>
        </w:rPr>
        <w:softHyphen/>
        <w:t>ные в Америке двухмоторные летающие лодки Кертисса модель "Эйч-Фо", да на лсбедев-ские "Морскис-Псрвыс". На Балтике очередная просьба, касавшаяся на этот раз двух ап</w:t>
      </w:r>
      <w:r w:rsidRPr="00405303">
        <w:rPr>
          <w:bCs/>
          <w:color w:val="002060"/>
          <w:sz w:val="16"/>
          <w:szCs w:val="16"/>
        </w:rPr>
        <w:softHyphen/>
        <w:t>паратов "Илья Муромец" "последнего образца", появилась летом 1915 г. и, в частности, 28 июня в рапорте командующего вице-адмирала В.А. Канина на имя Главнокомандующего 6-й армией и Балтийским флотом говорилось:</w:t>
      </w:r>
    </w:p>
    <w:p w14:paraId="3D16BC1F" w14:textId="77777777" w:rsidR="00B56823" w:rsidRPr="00405303" w:rsidRDefault="00B56823" w:rsidP="00C15251">
      <w:pPr>
        <w:jc w:val="both"/>
        <w:rPr>
          <w:bCs/>
          <w:color w:val="002060"/>
          <w:sz w:val="16"/>
          <w:szCs w:val="16"/>
        </w:rPr>
      </w:pPr>
      <w:r w:rsidRPr="00405303">
        <w:rPr>
          <w:bCs/>
          <w:color w:val="002060"/>
          <w:sz w:val="16"/>
          <w:szCs w:val="16"/>
        </w:rPr>
        <w:t xml:space="preserve">"... В последние </w:t>
      </w:r>
      <w:proofErr w:type="gramStart"/>
      <w:r w:rsidRPr="00405303">
        <w:rPr>
          <w:bCs/>
          <w:color w:val="002060"/>
          <w:sz w:val="16"/>
          <w:szCs w:val="16"/>
        </w:rPr>
        <w:t>месяцы,предшествовавшие</w:t>
      </w:r>
      <w:proofErr w:type="gramEnd"/>
      <w:r w:rsidRPr="00405303">
        <w:rPr>
          <w:bCs/>
          <w:color w:val="002060"/>
          <w:sz w:val="16"/>
          <w:szCs w:val="16"/>
        </w:rPr>
        <w:t xml:space="preserve"> войне, была сделана попытка использовать для морской воздушной разведки аппарат Сикорского типа "Илья Муромец", который переделали в гидроаэроплан. Эта переделка отозвалась крайне неудовлетворительно на свойствах аппарата, проектированного для взлета и посадки на земле </w:t>
      </w:r>
      <w:proofErr w:type="gramStart"/>
      <w:r w:rsidRPr="00405303">
        <w:rPr>
          <w:bCs/>
          <w:color w:val="002060"/>
          <w:sz w:val="16"/>
          <w:szCs w:val="16"/>
        </w:rPr>
        <w:t>и</w:t>
      </w:r>
      <w:proofErr w:type="gramEnd"/>
      <w:r w:rsidRPr="00405303">
        <w:rPr>
          <w:bCs/>
          <w:color w:val="002060"/>
          <w:sz w:val="16"/>
          <w:szCs w:val="16"/>
        </w:rPr>
        <w:t xml:space="preserve"> хотя опыты п этом отношении не были закончены, но можно сказать, что отчасти благодаря им аппарат Сикорского был потерян в первые дни войны. Имея теперь сведения о поста</w:t>
      </w:r>
      <w:r w:rsidRPr="00405303">
        <w:rPr>
          <w:bCs/>
          <w:color w:val="002060"/>
          <w:sz w:val="16"/>
          <w:szCs w:val="16"/>
        </w:rPr>
        <w:softHyphen/>
        <w:t>новке дела для постройки аппаратов Сикорского для нужд армии, я ходатайствую о предоставлении возможности получить для нужд Балтийского флота несколько аппа</w:t>
      </w:r>
      <w:r w:rsidRPr="00405303">
        <w:rPr>
          <w:bCs/>
          <w:color w:val="002060"/>
          <w:sz w:val="16"/>
          <w:szCs w:val="16"/>
        </w:rPr>
        <w:softHyphen/>
        <w:t>ратов этого типа.</w:t>
      </w:r>
    </w:p>
    <w:p w14:paraId="2C3BC4CF" w14:textId="77777777" w:rsidR="00B56823" w:rsidRPr="00405303" w:rsidRDefault="00B56823" w:rsidP="00C15251">
      <w:pPr>
        <w:shd w:val="clear" w:color="auto" w:fill="FFFFFF"/>
        <w:jc w:val="both"/>
        <w:rPr>
          <w:bCs/>
          <w:color w:val="002060"/>
          <w:sz w:val="16"/>
          <w:szCs w:val="16"/>
        </w:rPr>
      </w:pPr>
      <w:r w:rsidRPr="00405303">
        <w:rPr>
          <w:bCs/>
          <w:color w:val="002060"/>
          <w:sz w:val="16"/>
          <w:szCs w:val="16"/>
        </w:rPr>
        <w:t>При помощи этих мощных аэропланов явится возможность освещать разведкой не</w:t>
      </w:r>
      <w:r w:rsidRPr="00405303">
        <w:rPr>
          <w:bCs/>
          <w:color w:val="002060"/>
          <w:sz w:val="16"/>
          <w:szCs w:val="16"/>
        </w:rPr>
        <w:softHyphen/>
        <w:t>обходимый для оперативных целей морской район и использовать их для активной борьбы с подводными лодками, требующей большого числа воздушных бомб значи</w:t>
      </w:r>
      <w:r w:rsidRPr="00405303">
        <w:rPr>
          <w:bCs/>
          <w:color w:val="002060"/>
          <w:sz w:val="16"/>
          <w:szCs w:val="16"/>
        </w:rPr>
        <w:softHyphen/>
        <w:t>тельного веса.</w:t>
      </w:r>
    </w:p>
    <w:p w14:paraId="0BFA00FC" w14:textId="77777777" w:rsidR="00B56823" w:rsidRPr="00405303" w:rsidRDefault="00B56823" w:rsidP="00C15251">
      <w:pPr>
        <w:shd w:val="clear" w:color="auto" w:fill="FFFFFF"/>
        <w:jc w:val="both"/>
        <w:rPr>
          <w:bCs/>
          <w:color w:val="002060"/>
          <w:sz w:val="16"/>
          <w:szCs w:val="16"/>
        </w:rPr>
      </w:pPr>
      <w:r w:rsidRPr="00405303">
        <w:rPr>
          <w:bCs/>
          <w:color w:val="002060"/>
          <w:sz w:val="16"/>
          <w:szCs w:val="16"/>
        </w:rPr>
        <w:t>Еще одно обстоятельство, имеющее большое значение для воздушных операций, за</w:t>
      </w:r>
      <w:r w:rsidRPr="00405303">
        <w:rPr>
          <w:bCs/>
          <w:color w:val="002060"/>
          <w:sz w:val="16"/>
          <w:szCs w:val="16"/>
        </w:rPr>
        <w:softHyphen/>
        <w:t>ставляет просить о снабжении Балтийского флота аппаратами Сикорского — это низ</w:t>
      </w:r>
      <w:r w:rsidRPr="00405303">
        <w:rPr>
          <w:bCs/>
          <w:color w:val="002060"/>
          <w:sz w:val="16"/>
          <w:szCs w:val="16"/>
        </w:rPr>
        <w:softHyphen/>
        <w:t>кие температуры нашего осеннего и зимнего периода, когда полеты аэропланов ста</w:t>
      </w:r>
      <w:r w:rsidRPr="00405303">
        <w:rPr>
          <w:bCs/>
          <w:color w:val="002060"/>
          <w:sz w:val="16"/>
          <w:szCs w:val="16"/>
        </w:rPr>
        <w:softHyphen/>
        <w:t>новятся крайне затруднительными из-за полной незащищенности летчиков — недо</w:t>
      </w:r>
      <w:r w:rsidRPr="00405303">
        <w:rPr>
          <w:bCs/>
          <w:color w:val="002060"/>
          <w:sz w:val="16"/>
          <w:szCs w:val="16"/>
        </w:rPr>
        <w:softHyphen/>
        <w:t>статок, который устранен на последних аппаратах Сикорского..." (2843).</w:t>
      </w:r>
    </w:p>
    <w:p w14:paraId="1104777A" w14:textId="77777777" w:rsidR="00B56823" w:rsidRPr="00405303" w:rsidRDefault="00B56823" w:rsidP="00C15251">
      <w:pPr>
        <w:shd w:val="clear" w:color="auto" w:fill="FFFFFF"/>
        <w:jc w:val="both"/>
        <w:rPr>
          <w:bCs/>
          <w:color w:val="002060"/>
          <w:sz w:val="16"/>
          <w:szCs w:val="16"/>
        </w:rPr>
      </w:pPr>
    </w:p>
    <w:p w14:paraId="2A5CA66A" w14:textId="77777777" w:rsidR="00B56823" w:rsidRPr="00405303" w:rsidRDefault="00B56823" w:rsidP="00C15251">
      <w:pPr>
        <w:jc w:val="both"/>
        <w:rPr>
          <w:bCs/>
          <w:color w:val="002060"/>
          <w:sz w:val="16"/>
          <w:szCs w:val="16"/>
        </w:rPr>
      </w:pPr>
      <w:r w:rsidRPr="00405303">
        <w:rPr>
          <w:bCs/>
          <w:color w:val="002060"/>
          <w:sz w:val="16"/>
          <w:szCs w:val="16"/>
          <w:lang w:bidi="en-US"/>
        </w:rPr>
        <w:lastRenderedPageBreak/>
        <w:t>В январе-феврале 1915 г. гибридная яхта-крейсер «Алмаз» была введена в эксплуатацию в качестве гидроавианосца в Севастополе. Участвовал в боевых действиях 17 марта 1915 года у Босфора.</w:t>
      </w:r>
    </w:p>
    <w:p w14:paraId="3F68F691" w14:textId="77777777" w:rsidR="00B56823" w:rsidRPr="00405303" w:rsidRDefault="00B56823" w:rsidP="00C15251">
      <w:pPr>
        <w:jc w:val="both"/>
        <w:rPr>
          <w:bCs/>
          <w:color w:val="002060"/>
          <w:sz w:val="16"/>
          <w:szCs w:val="16"/>
        </w:rPr>
      </w:pPr>
      <w:r w:rsidRPr="00405303">
        <w:rPr>
          <w:bCs/>
          <w:color w:val="002060"/>
          <w:sz w:val="16"/>
          <w:szCs w:val="16"/>
          <w:lang w:bidi="en-US"/>
        </w:rPr>
        <w:t xml:space="preserve">Вскоре в Севастополь были сданы два других гидроавианосца, переоборудованные из грузопассажирских лайнеров «Император Николай </w:t>
      </w:r>
      <w:r w:rsidRPr="00405303">
        <w:rPr>
          <w:bCs/>
          <w:color w:val="002060"/>
          <w:sz w:val="16"/>
          <w:szCs w:val="16"/>
          <w:lang w:val="en-US" w:bidi="en-US"/>
        </w:rPr>
        <w:t>I</w:t>
      </w:r>
      <w:r w:rsidRPr="00405303">
        <w:rPr>
          <w:bCs/>
          <w:color w:val="002060"/>
          <w:sz w:val="16"/>
          <w:szCs w:val="16"/>
          <w:lang w:bidi="en-US"/>
        </w:rPr>
        <w:t xml:space="preserve">» и «Император Александр </w:t>
      </w:r>
      <w:r w:rsidRPr="00405303">
        <w:rPr>
          <w:bCs/>
          <w:color w:val="002060"/>
          <w:sz w:val="16"/>
          <w:szCs w:val="16"/>
          <w:lang w:val="en-US" w:bidi="en-US"/>
        </w:rPr>
        <w:t>I</w:t>
      </w:r>
      <w:r w:rsidRPr="00405303">
        <w:rPr>
          <w:bCs/>
          <w:color w:val="002060"/>
          <w:sz w:val="16"/>
          <w:szCs w:val="16"/>
          <w:lang w:bidi="en-US"/>
        </w:rPr>
        <w:t xml:space="preserve">». Каждый мог нести по 6–8 летающих лодок «Григорович М-9». В марте 1917 года они оба были переименованы, Николай </w:t>
      </w:r>
      <w:r w:rsidRPr="00405303">
        <w:rPr>
          <w:bCs/>
          <w:color w:val="002060"/>
          <w:sz w:val="16"/>
          <w:szCs w:val="16"/>
          <w:lang w:val="en-US" w:bidi="en-US"/>
        </w:rPr>
        <w:t>I</w:t>
      </w:r>
      <w:r w:rsidRPr="00405303">
        <w:rPr>
          <w:bCs/>
          <w:color w:val="002060"/>
          <w:sz w:val="16"/>
          <w:szCs w:val="16"/>
          <w:lang w:bidi="en-US"/>
        </w:rPr>
        <w:t xml:space="preserve"> стал Республиканцем, а Александр </w:t>
      </w:r>
      <w:r w:rsidRPr="00405303">
        <w:rPr>
          <w:bCs/>
          <w:color w:val="002060"/>
          <w:sz w:val="16"/>
          <w:szCs w:val="16"/>
          <w:lang w:val="en-US" w:bidi="en-US"/>
        </w:rPr>
        <w:t>I</w:t>
      </w:r>
      <w:r w:rsidRPr="00405303">
        <w:rPr>
          <w:bCs/>
          <w:color w:val="002060"/>
          <w:sz w:val="16"/>
          <w:szCs w:val="16"/>
          <w:lang w:bidi="en-US"/>
        </w:rPr>
        <w:t xml:space="preserve"> стал Авиатором (23525).</w:t>
      </w:r>
    </w:p>
    <w:p w14:paraId="38C7EC26" w14:textId="77777777" w:rsidR="00B56823" w:rsidRPr="00405303" w:rsidRDefault="00B56823" w:rsidP="00C15251">
      <w:pPr>
        <w:jc w:val="both"/>
        <w:rPr>
          <w:bCs/>
          <w:color w:val="002060"/>
          <w:sz w:val="16"/>
          <w:szCs w:val="16"/>
        </w:rPr>
      </w:pPr>
    </w:p>
    <w:p w14:paraId="419820B0" w14:textId="59C53E98" w:rsidR="00CB58BE" w:rsidRPr="00405303" w:rsidRDefault="00CB58BE" w:rsidP="00C15251">
      <w:pPr>
        <w:jc w:val="both"/>
        <w:rPr>
          <w:rStyle w:val="42"/>
          <w:rFonts w:ascii="Times New Roman" w:hAnsi="Times New Roman" w:cs="Times New Roman"/>
          <w:bCs/>
          <w:i/>
          <w:iCs/>
          <w:color w:val="002060"/>
          <w:w w:val="100"/>
          <w:sz w:val="16"/>
          <w:szCs w:val="16"/>
        </w:rPr>
      </w:pPr>
      <w:r w:rsidRPr="00405303">
        <w:rPr>
          <w:rStyle w:val="42"/>
          <w:rFonts w:ascii="Times New Roman" w:hAnsi="Times New Roman" w:cs="Times New Roman"/>
          <w:bCs/>
          <w:i/>
          <w:iCs/>
          <w:color w:val="002060"/>
          <w:w w:val="100"/>
          <w:sz w:val="16"/>
          <w:szCs w:val="16"/>
        </w:rPr>
        <w:t>Воздухоплавание:</w:t>
      </w:r>
    </w:p>
    <w:p w14:paraId="7C1F4B62" w14:textId="77777777" w:rsidR="00CB58BE" w:rsidRPr="00405303" w:rsidRDefault="00CB58BE" w:rsidP="00C15251">
      <w:pPr>
        <w:jc w:val="both"/>
        <w:rPr>
          <w:rStyle w:val="42"/>
          <w:rFonts w:ascii="Times New Roman" w:hAnsi="Times New Roman" w:cs="Times New Roman"/>
          <w:bCs/>
          <w:i/>
          <w:iCs/>
          <w:color w:val="002060"/>
          <w:w w:val="100"/>
          <w:sz w:val="16"/>
          <w:szCs w:val="16"/>
        </w:rPr>
      </w:pPr>
    </w:p>
    <w:p w14:paraId="1DAE8373" w14:textId="77777777" w:rsidR="006B1D23" w:rsidRPr="00405303" w:rsidRDefault="006B1D23" w:rsidP="00C15251">
      <w:pPr>
        <w:jc w:val="both"/>
        <w:rPr>
          <w:bCs/>
          <w:color w:val="002060"/>
          <w:sz w:val="16"/>
          <w:szCs w:val="16"/>
        </w:rPr>
      </w:pPr>
      <w:r w:rsidRPr="00405303">
        <w:rPr>
          <w:rStyle w:val="42"/>
          <w:rFonts w:ascii="Times New Roman" w:hAnsi="Times New Roman" w:cs="Times New Roman"/>
          <w:bCs/>
          <w:color w:val="002060"/>
          <w:w w:val="100"/>
          <w:sz w:val="16"/>
          <w:szCs w:val="16"/>
        </w:rPr>
        <w:t>В январе-марте 1915 г. после того, как 8-я армия генерала Брусилова отразила деблокирующий удар II австро-венгерской армии и Южной гер</w:t>
      </w:r>
      <w:r w:rsidRPr="00405303">
        <w:rPr>
          <w:rStyle w:val="42"/>
          <w:rFonts w:ascii="Times New Roman" w:hAnsi="Times New Roman" w:cs="Times New Roman"/>
          <w:bCs/>
          <w:color w:val="002060"/>
          <w:w w:val="100"/>
          <w:sz w:val="16"/>
          <w:szCs w:val="16"/>
        </w:rPr>
        <w:softHyphen/>
        <w:t>манской армии, а вылазка гарнизона 5 (18) марта закончилась разгромом полевых войск генерала Кусманека, положение крепости стало безнадёж</w:t>
      </w:r>
      <w:r w:rsidRPr="00405303">
        <w:rPr>
          <w:rStyle w:val="42"/>
          <w:rFonts w:ascii="Times New Roman" w:hAnsi="Times New Roman" w:cs="Times New Roman"/>
          <w:bCs/>
          <w:color w:val="002060"/>
          <w:w w:val="100"/>
          <w:sz w:val="16"/>
          <w:szCs w:val="16"/>
        </w:rPr>
        <w:softHyphen/>
        <w:t>ным. Перед капитуляцией Перемышля, после</w:t>
      </w:r>
      <w:r w:rsidRPr="00405303">
        <w:rPr>
          <w:rStyle w:val="42"/>
          <w:rFonts w:ascii="Times New Roman" w:hAnsi="Times New Roman" w:cs="Times New Roman"/>
          <w:bCs/>
          <w:color w:val="002060"/>
          <w:w w:val="100"/>
          <w:sz w:val="16"/>
          <w:szCs w:val="16"/>
        </w:rPr>
        <w:softHyphen/>
        <w:t>довавшей 9 (22) марта, из крепости отправили несколько свободных аэростатов с офицерами и почтой в расчёте на достижение позиций сво</w:t>
      </w:r>
      <w:r w:rsidRPr="00405303">
        <w:rPr>
          <w:rStyle w:val="42"/>
          <w:rFonts w:ascii="Times New Roman" w:hAnsi="Times New Roman" w:cs="Times New Roman"/>
          <w:bCs/>
          <w:color w:val="002060"/>
          <w:w w:val="100"/>
          <w:sz w:val="16"/>
          <w:szCs w:val="16"/>
        </w:rPr>
        <w:softHyphen/>
        <w:t>их войск. Избежать плена аэронавтам не удалось, так как изменившийся ветер занёс шары на рус</w:t>
      </w:r>
      <w:r w:rsidRPr="00405303">
        <w:rPr>
          <w:rStyle w:val="42"/>
          <w:rFonts w:ascii="Times New Roman" w:hAnsi="Times New Roman" w:cs="Times New Roman"/>
          <w:bCs/>
          <w:color w:val="002060"/>
          <w:w w:val="100"/>
          <w:sz w:val="16"/>
          <w:szCs w:val="16"/>
        </w:rPr>
        <w:softHyphen/>
        <w:t>скую территорию (20120).</w:t>
      </w:r>
    </w:p>
    <w:p w14:paraId="4AF585CE" w14:textId="77777777" w:rsidR="006B1D23" w:rsidRPr="00405303" w:rsidRDefault="006B1D23" w:rsidP="00C15251">
      <w:pPr>
        <w:jc w:val="both"/>
        <w:rPr>
          <w:rStyle w:val="42"/>
          <w:rFonts w:ascii="Times New Roman" w:hAnsi="Times New Roman" w:cs="Times New Roman"/>
          <w:bCs/>
          <w:color w:val="002060"/>
          <w:w w:val="100"/>
          <w:sz w:val="16"/>
          <w:szCs w:val="16"/>
        </w:rPr>
      </w:pPr>
    </w:p>
    <w:p w14:paraId="64DDE70F" w14:textId="77777777" w:rsidR="00CB58BE" w:rsidRPr="00405303" w:rsidRDefault="00CB58BE" w:rsidP="00C15251">
      <w:pPr>
        <w:jc w:val="both"/>
        <w:rPr>
          <w:bCs/>
          <w:color w:val="002060"/>
          <w:sz w:val="16"/>
          <w:szCs w:val="16"/>
        </w:rPr>
      </w:pPr>
      <w:r w:rsidRPr="00405303">
        <w:rPr>
          <w:bCs/>
          <w:color w:val="002060"/>
          <w:sz w:val="16"/>
          <w:szCs w:val="16"/>
        </w:rPr>
        <w:t>Январь-апрель 1915 г. ознаменовались операци</w:t>
      </w:r>
      <w:r w:rsidRPr="00405303">
        <w:rPr>
          <w:bCs/>
          <w:color w:val="002060"/>
          <w:sz w:val="16"/>
          <w:szCs w:val="16"/>
        </w:rPr>
        <w:softHyphen/>
        <w:t>ями на флангах русского фронта в Восточной Пруссии и Карпатах, откуда германское коман</w:t>
      </w:r>
      <w:r w:rsidRPr="00405303">
        <w:rPr>
          <w:bCs/>
          <w:color w:val="002060"/>
          <w:sz w:val="16"/>
          <w:szCs w:val="16"/>
        </w:rPr>
        <w:softHyphen/>
        <w:t>дование планировало осуществить глубокий об</w:t>
      </w:r>
      <w:r w:rsidRPr="00405303">
        <w:rPr>
          <w:bCs/>
          <w:color w:val="002060"/>
          <w:sz w:val="16"/>
          <w:szCs w:val="16"/>
        </w:rPr>
        <w:softHyphen/>
        <w:t>ход русских армий, их окружение и разгром для вывода России из войны путём подписания сепа</w:t>
      </w:r>
      <w:r w:rsidRPr="00405303">
        <w:rPr>
          <w:bCs/>
          <w:color w:val="002060"/>
          <w:sz w:val="16"/>
          <w:szCs w:val="16"/>
        </w:rPr>
        <w:softHyphen/>
        <w:t>ратного мира. Русский план кампании сводился к наступлению в Восточную Пруссию и вторже</w:t>
      </w:r>
      <w:r w:rsidRPr="00405303">
        <w:rPr>
          <w:bCs/>
          <w:color w:val="002060"/>
          <w:sz w:val="16"/>
          <w:szCs w:val="16"/>
        </w:rPr>
        <w:softHyphen/>
        <w:t>нию через Карпаты в Австро-Венгрию.</w:t>
      </w:r>
    </w:p>
    <w:p w14:paraId="2FF61F6A" w14:textId="77777777" w:rsidR="00CB58BE" w:rsidRPr="00405303" w:rsidRDefault="00CB58BE" w:rsidP="00C15251">
      <w:pPr>
        <w:jc w:val="both"/>
        <w:rPr>
          <w:bCs/>
          <w:color w:val="002060"/>
          <w:sz w:val="16"/>
          <w:szCs w:val="16"/>
        </w:rPr>
      </w:pPr>
      <w:r w:rsidRPr="00405303">
        <w:rPr>
          <w:bCs/>
          <w:color w:val="002060"/>
          <w:sz w:val="16"/>
          <w:szCs w:val="16"/>
        </w:rPr>
        <w:t>13-я и 14-я воздухоплавательные роты уча</w:t>
      </w:r>
      <w:r w:rsidRPr="00405303">
        <w:rPr>
          <w:bCs/>
          <w:color w:val="002060"/>
          <w:sz w:val="16"/>
          <w:szCs w:val="16"/>
        </w:rPr>
        <w:softHyphen/>
        <w:t>ствовали в Карпатской операции 10 (23) янва</w:t>
      </w:r>
      <w:r w:rsidRPr="00405303">
        <w:rPr>
          <w:bCs/>
          <w:color w:val="002060"/>
          <w:sz w:val="16"/>
          <w:szCs w:val="16"/>
        </w:rPr>
        <w:softHyphen/>
        <w:t>ря — 11 (24) апреля 1915 г. 14-я рота работала двумя воздухоплавательными станциями при 18-м армейском корпусе в районе Вышковского перевала. Представитель Ставки докладывал, что работа 14-й воздухроты в Карпатах крайне напряжённая: её солдаты в условиях бездорожья под постоянным обстрелом противника выта</w:t>
      </w:r>
      <w:r w:rsidRPr="00405303">
        <w:rPr>
          <w:bCs/>
          <w:color w:val="002060"/>
          <w:sz w:val="16"/>
          <w:szCs w:val="16"/>
        </w:rPr>
        <w:softHyphen/>
        <w:t>скивают тяжёлую лебёдку на труднодоступные высоты. 13-я рота работала в Карпатах с одной воздухоплавательной станцией сначала при 11-м, а затем при 30-м армейских корпусах.</w:t>
      </w:r>
    </w:p>
    <w:p w14:paraId="101FEDBE" w14:textId="77777777" w:rsidR="00CB58BE" w:rsidRPr="00405303" w:rsidRDefault="00CB58BE" w:rsidP="00C15251">
      <w:pPr>
        <w:jc w:val="both"/>
        <w:rPr>
          <w:bCs/>
          <w:color w:val="002060"/>
          <w:sz w:val="16"/>
          <w:szCs w:val="16"/>
        </w:rPr>
      </w:pPr>
      <w:r w:rsidRPr="00405303">
        <w:rPr>
          <w:bCs/>
          <w:color w:val="002060"/>
          <w:sz w:val="16"/>
          <w:szCs w:val="16"/>
        </w:rPr>
        <w:t>Горлицкий прорыв 19 апреля (2 мая) — 10 (23) июня 1915 г. привёл к оставлению рус</w:t>
      </w:r>
      <w:r w:rsidRPr="00405303">
        <w:rPr>
          <w:bCs/>
          <w:color w:val="002060"/>
          <w:sz w:val="16"/>
          <w:szCs w:val="16"/>
        </w:rPr>
        <w:softHyphen/>
        <w:t>скими войсками Галиции. В результате линия русского фронта в своей средней части приняла форму дуги, обращённой в сторону противни</w:t>
      </w:r>
      <w:r w:rsidRPr="00405303">
        <w:rPr>
          <w:bCs/>
          <w:color w:val="002060"/>
          <w:sz w:val="16"/>
          <w:szCs w:val="16"/>
        </w:rPr>
        <w:softHyphen/>
        <w:t>ка. На пространстве, куда входили центральные районы Польши, находились главные силы рус</w:t>
      </w:r>
      <w:r w:rsidRPr="00405303">
        <w:rPr>
          <w:bCs/>
          <w:color w:val="002060"/>
          <w:sz w:val="16"/>
          <w:szCs w:val="16"/>
        </w:rPr>
        <w:softHyphen/>
        <w:t>ской армии. Состояние железных дорог внутри выступа исключало действия русских войск по внутренним операционным линиям, что делало возможным их окружение. Ценой больших по</w:t>
      </w:r>
      <w:r w:rsidRPr="00405303">
        <w:rPr>
          <w:bCs/>
          <w:color w:val="002060"/>
          <w:sz w:val="16"/>
          <w:szCs w:val="16"/>
        </w:rPr>
        <w:softHyphen/>
        <w:t>терь русской армии удалось избежать окружения и разгрома. Большую роль в этом сыграли крепо</w:t>
      </w:r>
      <w:r w:rsidRPr="00405303">
        <w:rPr>
          <w:bCs/>
          <w:color w:val="002060"/>
          <w:sz w:val="16"/>
          <w:szCs w:val="16"/>
        </w:rPr>
        <w:softHyphen/>
        <w:t>сти Ивангород и Осовец, действия воздухоплава</w:t>
      </w:r>
      <w:r w:rsidRPr="00405303">
        <w:rPr>
          <w:bCs/>
          <w:color w:val="002060"/>
          <w:sz w:val="16"/>
          <w:szCs w:val="16"/>
        </w:rPr>
        <w:softHyphen/>
        <w:t>тельных рот в которых были описаны выше (20120).</w:t>
      </w:r>
    </w:p>
    <w:p w14:paraId="33F04966" w14:textId="77777777" w:rsidR="00CB58BE" w:rsidRPr="00405303" w:rsidRDefault="00CB58BE" w:rsidP="00C15251">
      <w:pPr>
        <w:jc w:val="both"/>
        <w:rPr>
          <w:bCs/>
          <w:color w:val="002060"/>
          <w:sz w:val="16"/>
          <w:szCs w:val="16"/>
        </w:rPr>
      </w:pPr>
    </w:p>
    <w:p w14:paraId="1DECC7DB"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1FBBEA30" w14:textId="77777777" w:rsidR="004B4E35" w:rsidRPr="00405303" w:rsidRDefault="004B4E35" w:rsidP="00C15251">
      <w:pPr>
        <w:jc w:val="both"/>
        <w:rPr>
          <w:bCs/>
          <w:i/>
          <w:color w:val="002060"/>
          <w:sz w:val="16"/>
          <w:szCs w:val="16"/>
        </w:rPr>
      </w:pPr>
    </w:p>
    <w:p w14:paraId="0713EDCF" w14:textId="77777777" w:rsidR="000226B5" w:rsidRPr="00405303" w:rsidRDefault="000226B5" w:rsidP="00C15251">
      <w:pPr>
        <w:pStyle w:val="22"/>
        <w:shd w:val="clear" w:color="auto" w:fill="auto"/>
        <w:spacing w:line="240" w:lineRule="auto"/>
        <w:ind w:firstLine="0"/>
        <w:jc w:val="both"/>
        <w:rPr>
          <w:bCs/>
          <w:color w:val="002060"/>
          <w:sz w:val="16"/>
          <w:szCs w:val="16"/>
        </w:rPr>
      </w:pPr>
      <w:r w:rsidRPr="00405303">
        <w:rPr>
          <w:bCs/>
          <w:color w:val="002060"/>
          <w:sz w:val="16"/>
          <w:szCs w:val="16"/>
        </w:rPr>
        <w:t>В начале 1915 г. в мастерской завода С. С. Щетинина из ореховых досок был построен первый полноразмерный опытный воздушный винт системы Г-1 Григора</w:t>
      </w:r>
      <w:r w:rsidRPr="00405303">
        <w:rPr>
          <w:bCs/>
          <w:color w:val="002060"/>
          <w:sz w:val="16"/>
          <w:szCs w:val="16"/>
        </w:rPr>
        <w:softHyphen/>
        <w:t>швили. Предназначенный для самолетов «Фарман-16» и «Фарман-22», он имел диаметр 2,5 м и шаг 1,8 м. Начальник Гатчинской военной авиационной школы, полковник С. А. Ульянин, согласился провести у себя сравнительные летные испытания винтов Григорашвили и Шовьера. Главой испытательной комиссии он назначил одного из самых технически гра</w:t>
      </w:r>
      <w:r w:rsidRPr="00405303">
        <w:rPr>
          <w:bCs/>
          <w:color w:val="002060"/>
          <w:sz w:val="16"/>
          <w:szCs w:val="16"/>
        </w:rPr>
        <w:softHyphen/>
        <w:t>мотных русских летчиков того времени, военного инженера штабс-капитана Борейко (15740).</w:t>
      </w:r>
    </w:p>
    <w:p w14:paraId="2296E4C9" w14:textId="77777777" w:rsidR="000226B5" w:rsidRPr="00405303" w:rsidRDefault="000226B5" w:rsidP="00C15251">
      <w:pPr>
        <w:pStyle w:val="22"/>
        <w:shd w:val="clear" w:color="auto" w:fill="auto"/>
        <w:spacing w:line="240" w:lineRule="auto"/>
        <w:ind w:firstLine="0"/>
        <w:jc w:val="both"/>
        <w:rPr>
          <w:bCs/>
          <w:color w:val="002060"/>
          <w:sz w:val="16"/>
          <w:szCs w:val="16"/>
        </w:rPr>
      </w:pPr>
    </w:p>
    <w:p w14:paraId="11D3AA8B" w14:textId="77777777" w:rsidR="000226B5" w:rsidRPr="00405303" w:rsidRDefault="000226B5" w:rsidP="00C15251">
      <w:pPr>
        <w:jc w:val="both"/>
        <w:rPr>
          <w:bCs/>
          <w:color w:val="002060"/>
          <w:sz w:val="16"/>
          <w:szCs w:val="16"/>
        </w:rPr>
      </w:pPr>
      <w:r w:rsidRPr="00405303">
        <w:rPr>
          <w:bCs/>
          <w:color w:val="002060"/>
          <w:sz w:val="16"/>
          <w:szCs w:val="16"/>
        </w:rPr>
        <w:t>В начале 1915 г. в штаб верховного главнокомандующего стали поступать сведения о немецких авиабомбах, дающих большое количество осколков. После одного из налетов эскадры самолетов "Илья Муромец" на аэродром в Яблонне генерал-майор В. Шидловский доносил в Ставку: "Наши бомбы, насколько позволил судить опыт последних бомбометаний, имея значительные фугасные действия, почти не дают осколков, что значительно уменьшает сферу поражаемого пространства". В. Шидловский особенно подчеркивал необходимость "снабжения воздушной эскадры снарядами, дающими большее количество осколков, и, наконец, желая еще больше развить активные боевые действия нашего воздушного флота, ходатайствую о присылке для опыта бомб с зарядами в 10, 15, 25 пудов тротила в бомбе, не менее двух снарядов каждого типа" (18738).</w:t>
      </w:r>
    </w:p>
    <w:p w14:paraId="004260D4" w14:textId="77777777" w:rsidR="000226B5" w:rsidRPr="00405303" w:rsidRDefault="000226B5" w:rsidP="00C15251">
      <w:pPr>
        <w:jc w:val="both"/>
        <w:rPr>
          <w:bCs/>
          <w:color w:val="002060"/>
          <w:sz w:val="16"/>
          <w:szCs w:val="16"/>
        </w:rPr>
      </w:pPr>
    </w:p>
    <w:p w14:paraId="0D895FB0" w14:textId="77777777" w:rsidR="000226B5" w:rsidRPr="00405303" w:rsidRDefault="000226B5" w:rsidP="00C15251">
      <w:pPr>
        <w:pStyle w:val="2"/>
        <w:spacing w:before="0" w:after="0"/>
        <w:jc w:val="both"/>
        <w:rPr>
          <w:b w:val="0"/>
          <w:bCs/>
          <w:color w:val="002060"/>
          <w:sz w:val="16"/>
          <w:szCs w:val="16"/>
        </w:rPr>
      </w:pPr>
      <w:r w:rsidRPr="00405303">
        <w:rPr>
          <w:b w:val="0"/>
          <w:bCs/>
          <w:color w:val="002060"/>
          <w:sz w:val="16"/>
          <w:szCs w:val="16"/>
        </w:rPr>
        <w:t>В начале 1915 г. Французское правительство отменило ранее выданное разрешение на поставку в Россию «Сальмсонов», хотя именно в них в наибольшей степени нуждались авиазаводы, в первую очередь, «Дукс», строивший «Вуазены» с этими моторами, позже их ставили на «Фарманы-XXVII» и «Фарманы-ХХХ». Поэтому во время войны в Москве за Семеновской заставой построили завод «Сальмсон» как московский филиал французского предприятия. Стиль и методы руководства были такими же как на «Гноме».</w:t>
      </w:r>
    </w:p>
    <w:p w14:paraId="6A289F07" w14:textId="77777777" w:rsidR="000226B5" w:rsidRPr="00405303" w:rsidRDefault="000226B5" w:rsidP="00C15251">
      <w:pPr>
        <w:pStyle w:val="2"/>
        <w:spacing w:before="0" w:after="0"/>
        <w:jc w:val="both"/>
        <w:rPr>
          <w:b w:val="0"/>
          <w:bCs/>
          <w:color w:val="002060"/>
          <w:sz w:val="16"/>
          <w:szCs w:val="16"/>
        </w:rPr>
      </w:pPr>
      <w:r w:rsidRPr="00405303">
        <w:rPr>
          <w:b w:val="0"/>
          <w:bCs/>
          <w:color w:val="002060"/>
          <w:sz w:val="16"/>
          <w:szCs w:val="16"/>
        </w:rPr>
        <w:t>Первое время территория завода «Сальмсон» представляла собой большой кирпичный сарай и здание из шести комнат, где находились все основные заводские цехи. Позже заново выстроили механический корпус, слесарную мастерскую и ис</w:t>
      </w:r>
    </w:p>
    <w:p w14:paraId="3369D1AD" w14:textId="77777777" w:rsidR="000226B5" w:rsidRPr="00405303" w:rsidRDefault="000226B5" w:rsidP="00C15251">
      <w:pPr>
        <w:pStyle w:val="2"/>
        <w:spacing w:before="0" w:after="0"/>
        <w:jc w:val="both"/>
        <w:rPr>
          <w:b w:val="0"/>
          <w:bCs/>
          <w:color w:val="002060"/>
          <w:sz w:val="16"/>
          <w:szCs w:val="16"/>
        </w:rPr>
      </w:pPr>
      <w:r w:rsidRPr="00405303">
        <w:rPr>
          <w:b w:val="0"/>
          <w:bCs/>
          <w:color w:val="002060"/>
          <w:sz w:val="16"/>
          <w:szCs w:val="16"/>
        </w:rPr>
        <w:t>пытательную станцию. На заводе организовали сборку из французских деталей моторов «Сальмсон» трех модификаций: М.9 в 130 л.с. образца 1909 г., Р.9 (П.9) в 150 л.с. образца 1915 г. и R.9 (Р.9) в 160 л.с. образца 1916 г. Следует отметить, что указанная номинальная мощность могла существенно отличаться от реальной, причем как в меньшую, так и в большую сторону. «Сальмсоны» считались достаточно надежными и экономичными, допуская непрерывную работу в течение 10— 15 часов, переборка требовалась после 200—300 ч. (15464).</w:t>
      </w:r>
    </w:p>
    <w:p w14:paraId="7D9DA8BE" w14:textId="77777777" w:rsidR="000226B5" w:rsidRPr="00405303" w:rsidRDefault="000226B5" w:rsidP="00C15251">
      <w:pPr>
        <w:pStyle w:val="2"/>
        <w:spacing w:before="0" w:after="0"/>
        <w:jc w:val="both"/>
        <w:rPr>
          <w:b w:val="0"/>
          <w:bCs/>
          <w:color w:val="002060"/>
          <w:sz w:val="16"/>
          <w:szCs w:val="16"/>
        </w:rPr>
      </w:pPr>
    </w:p>
    <w:p w14:paraId="245F8B7E" w14:textId="26E209D1" w:rsidR="000226B5" w:rsidRPr="00405303" w:rsidRDefault="000226B5" w:rsidP="00C15251">
      <w:pPr>
        <w:shd w:val="clear" w:color="auto" w:fill="FFFFFF"/>
        <w:jc w:val="both"/>
        <w:rPr>
          <w:bCs/>
          <w:color w:val="002060"/>
          <w:sz w:val="16"/>
          <w:szCs w:val="16"/>
        </w:rPr>
      </w:pPr>
      <w:r w:rsidRPr="00405303">
        <w:rPr>
          <w:bCs/>
          <w:color w:val="002060"/>
          <w:sz w:val="16"/>
          <w:szCs w:val="16"/>
        </w:rPr>
        <w:t>В</w:t>
      </w:r>
      <w:r w:rsidR="00DB4D64" w:rsidRPr="00405303">
        <w:rPr>
          <w:bCs/>
          <w:color w:val="002060"/>
          <w:sz w:val="16"/>
          <w:szCs w:val="16"/>
        </w:rPr>
        <w:t xml:space="preserve"> </w:t>
      </w:r>
      <w:r w:rsidRPr="00405303">
        <w:rPr>
          <w:bCs/>
          <w:color w:val="002060"/>
          <w:sz w:val="16"/>
          <w:szCs w:val="16"/>
        </w:rPr>
        <w:t>начале 1915</w:t>
      </w:r>
      <w:r w:rsidR="00DB4D64" w:rsidRPr="00405303">
        <w:rPr>
          <w:bCs/>
          <w:color w:val="002060"/>
          <w:sz w:val="16"/>
          <w:szCs w:val="16"/>
        </w:rPr>
        <w:t xml:space="preserve"> </w:t>
      </w:r>
      <w:r w:rsidRPr="00405303">
        <w:rPr>
          <w:bCs/>
          <w:color w:val="002060"/>
          <w:sz w:val="16"/>
          <w:szCs w:val="16"/>
        </w:rPr>
        <w:t>г.</w:t>
      </w:r>
      <w:r w:rsidR="000F5756">
        <w:rPr>
          <w:bCs/>
          <w:color w:val="002060"/>
          <w:sz w:val="16"/>
          <w:szCs w:val="16"/>
        </w:rPr>
        <w:t xml:space="preserve"> </w:t>
      </w:r>
      <w:r w:rsidRPr="00405303">
        <w:rPr>
          <w:bCs/>
          <w:color w:val="002060"/>
          <w:sz w:val="16"/>
          <w:szCs w:val="16"/>
        </w:rPr>
        <w:t>Безобразова, которого на</w:t>
      </w:r>
      <w:r w:rsidR="00DB4D64" w:rsidRPr="00405303">
        <w:rPr>
          <w:bCs/>
          <w:color w:val="002060"/>
          <w:sz w:val="16"/>
          <w:szCs w:val="16"/>
        </w:rPr>
        <w:t xml:space="preserve"> </w:t>
      </w:r>
      <w:r w:rsidRPr="00405303">
        <w:rPr>
          <w:bCs/>
          <w:color w:val="002060"/>
          <w:sz w:val="16"/>
          <w:szCs w:val="16"/>
        </w:rPr>
        <w:t>фронте тяжело ранили, после лечения откомандировали в</w:t>
      </w:r>
      <w:r w:rsidR="00DB4D64" w:rsidRPr="00405303">
        <w:rPr>
          <w:bCs/>
          <w:color w:val="002060"/>
          <w:sz w:val="16"/>
          <w:szCs w:val="16"/>
        </w:rPr>
        <w:t xml:space="preserve"> </w:t>
      </w:r>
      <w:r w:rsidRPr="00405303">
        <w:rPr>
          <w:bCs/>
          <w:color w:val="002060"/>
          <w:sz w:val="16"/>
          <w:szCs w:val="16"/>
        </w:rPr>
        <w:t>Севастополь для продолжения работ над самолетом, его триплан перевезли туда еще в</w:t>
      </w:r>
      <w:r w:rsidR="00DB4D64" w:rsidRPr="00405303">
        <w:rPr>
          <w:bCs/>
          <w:color w:val="002060"/>
          <w:sz w:val="16"/>
          <w:szCs w:val="16"/>
        </w:rPr>
        <w:t xml:space="preserve"> </w:t>
      </w:r>
      <w:r w:rsidRPr="00405303">
        <w:rPr>
          <w:bCs/>
          <w:color w:val="002060"/>
          <w:sz w:val="16"/>
          <w:szCs w:val="16"/>
        </w:rPr>
        <w:t>декабре 1914</w:t>
      </w:r>
      <w:r w:rsidR="00DB4D64" w:rsidRPr="00405303">
        <w:rPr>
          <w:bCs/>
          <w:color w:val="002060"/>
          <w:sz w:val="16"/>
          <w:szCs w:val="16"/>
        </w:rPr>
        <w:t xml:space="preserve"> </w:t>
      </w:r>
      <w:r w:rsidRPr="00405303">
        <w:rPr>
          <w:bCs/>
          <w:color w:val="002060"/>
          <w:sz w:val="16"/>
          <w:szCs w:val="16"/>
        </w:rPr>
        <w:t>г.</w:t>
      </w:r>
      <w:r w:rsidR="00DB4D64" w:rsidRPr="00405303">
        <w:rPr>
          <w:bCs/>
          <w:color w:val="002060"/>
          <w:sz w:val="16"/>
          <w:szCs w:val="16"/>
        </w:rPr>
        <w:t xml:space="preserve"> </w:t>
      </w:r>
      <w:r w:rsidRPr="00405303">
        <w:rPr>
          <w:bCs/>
          <w:color w:val="002060"/>
          <w:sz w:val="16"/>
          <w:szCs w:val="16"/>
        </w:rPr>
        <w:t>Изобретатель занимался переделками и</w:t>
      </w:r>
      <w:r w:rsidR="00DB4D64" w:rsidRPr="00405303">
        <w:rPr>
          <w:bCs/>
          <w:color w:val="002060"/>
          <w:sz w:val="16"/>
          <w:szCs w:val="16"/>
        </w:rPr>
        <w:t xml:space="preserve"> </w:t>
      </w:r>
      <w:r w:rsidRPr="00405303">
        <w:rPr>
          <w:bCs/>
          <w:color w:val="002060"/>
          <w:sz w:val="16"/>
          <w:szCs w:val="16"/>
        </w:rPr>
        <w:t>доводками весь год, в</w:t>
      </w:r>
      <w:r w:rsidR="00DB4D64" w:rsidRPr="00405303">
        <w:rPr>
          <w:bCs/>
          <w:color w:val="002060"/>
          <w:sz w:val="16"/>
          <w:szCs w:val="16"/>
        </w:rPr>
        <w:t xml:space="preserve"> </w:t>
      </w:r>
      <w:r w:rsidRPr="00405303">
        <w:rPr>
          <w:bCs/>
          <w:color w:val="002060"/>
          <w:sz w:val="16"/>
          <w:szCs w:val="16"/>
        </w:rPr>
        <w:t>конце 1915</w:t>
      </w:r>
      <w:r w:rsidR="00DB4D64" w:rsidRPr="00405303">
        <w:rPr>
          <w:bCs/>
          <w:color w:val="002060"/>
          <w:sz w:val="16"/>
          <w:szCs w:val="16"/>
        </w:rPr>
        <w:t xml:space="preserve"> </w:t>
      </w:r>
      <w:r w:rsidRPr="00405303">
        <w:rPr>
          <w:bCs/>
          <w:color w:val="002060"/>
          <w:sz w:val="16"/>
          <w:szCs w:val="16"/>
        </w:rPr>
        <w:t>г.</w:t>
      </w:r>
      <w:r w:rsidR="00DB4D64" w:rsidRPr="00405303">
        <w:rPr>
          <w:bCs/>
          <w:color w:val="002060"/>
          <w:sz w:val="16"/>
          <w:szCs w:val="16"/>
        </w:rPr>
        <w:t xml:space="preserve"> </w:t>
      </w:r>
      <w:r w:rsidRPr="00405303">
        <w:rPr>
          <w:bCs/>
          <w:color w:val="002060"/>
          <w:sz w:val="16"/>
          <w:szCs w:val="16"/>
        </w:rPr>
        <w:t>законченный самолет вновь поднялся в</w:t>
      </w:r>
      <w:r w:rsidR="00DB4D64" w:rsidRPr="00405303">
        <w:rPr>
          <w:bCs/>
          <w:color w:val="002060"/>
          <w:sz w:val="16"/>
          <w:szCs w:val="16"/>
        </w:rPr>
        <w:t xml:space="preserve"> </w:t>
      </w:r>
      <w:r w:rsidRPr="00405303">
        <w:rPr>
          <w:bCs/>
          <w:color w:val="002060"/>
          <w:sz w:val="16"/>
          <w:szCs w:val="16"/>
        </w:rPr>
        <w:t>воздух. В</w:t>
      </w:r>
      <w:r w:rsidR="00DB4D64" w:rsidRPr="00405303">
        <w:rPr>
          <w:bCs/>
          <w:color w:val="002060"/>
          <w:sz w:val="16"/>
          <w:szCs w:val="16"/>
        </w:rPr>
        <w:t xml:space="preserve"> </w:t>
      </w:r>
      <w:r w:rsidRPr="00405303">
        <w:rPr>
          <w:bCs/>
          <w:color w:val="002060"/>
          <w:sz w:val="16"/>
          <w:szCs w:val="16"/>
        </w:rPr>
        <w:t>июне 1916</w:t>
      </w:r>
      <w:r w:rsidR="00DB4D64" w:rsidRPr="00405303">
        <w:rPr>
          <w:bCs/>
          <w:color w:val="002060"/>
          <w:sz w:val="16"/>
          <w:szCs w:val="16"/>
        </w:rPr>
        <w:t xml:space="preserve"> </w:t>
      </w:r>
      <w:r w:rsidRPr="00405303">
        <w:rPr>
          <w:bCs/>
          <w:color w:val="002060"/>
          <w:sz w:val="16"/>
          <w:szCs w:val="16"/>
        </w:rPr>
        <w:t>г.</w:t>
      </w:r>
      <w:r w:rsidR="00DB4D64" w:rsidRPr="00405303">
        <w:rPr>
          <w:bCs/>
          <w:color w:val="002060"/>
          <w:sz w:val="16"/>
          <w:szCs w:val="16"/>
        </w:rPr>
        <w:t xml:space="preserve"> </w:t>
      </w:r>
      <w:r w:rsidRPr="00405303">
        <w:rPr>
          <w:bCs/>
          <w:color w:val="002060"/>
          <w:sz w:val="16"/>
          <w:szCs w:val="16"/>
        </w:rPr>
        <w:t>корнет Безобразов был откомандирован в</w:t>
      </w:r>
      <w:r w:rsidR="00DB4D64" w:rsidRPr="00405303">
        <w:rPr>
          <w:bCs/>
          <w:color w:val="002060"/>
          <w:sz w:val="16"/>
          <w:szCs w:val="16"/>
        </w:rPr>
        <w:t xml:space="preserve"> </w:t>
      </w:r>
      <w:r w:rsidRPr="00405303">
        <w:rPr>
          <w:bCs/>
          <w:color w:val="002060"/>
          <w:sz w:val="16"/>
          <w:szCs w:val="16"/>
        </w:rPr>
        <w:t>Москву и</w:t>
      </w:r>
      <w:r w:rsidR="00DB4D64" w:rsidRPr="00405303">
        <w:rPr>
          <w:bCs/>
          <w:color w:val="002060"/>
          <w:sz w:val="16"/>
          <w:szCs w:val="16"/>
        </w:rPr>
        <w:t xml:space="preserve"> </w:t>
      </w:r>
      <w:r w:rsidRPr="00405303">
        <w:rPr>
          <w:bCs/>
          <w:color w:val="002060"/>
          <w:sz w:val="16"/>
          <w:szCs w:val="16"/>
        </w:rPr>
        <w:t>«прибыл в</w:t>
      </w:r>
      <w:r w:rsidR="00DB4D64" w:rsidRPr="00405303">
        <w:rPr>
          <w:bCs/>
          <w:color w:val="002060"/>
          <w:sz w:val="16"/>
          <w:szCs w:val="16"/>
        </w:rPr>
        <w:t xml:space="preserve"> </w:t>
      </w:r>
      <w:r w:rsidRPr="00405303">
        <w:rPr>
          <w:bCs/>
          <w:color w:val="002060"/>
          <w:sz w:val="16"/>
          <w:szCs w:val="16"/>
        </w:rPr>
        <w:t>школу 15</w:t>
      </w:r>
      <w:r w:rsidR="00DB4D64" w:rsidRPr="00405303">
        <w:rPr>
          <w:bCs/>
          <w:color w:val="002060"/>
          <w:sz w:val="16"/>
          <w:szCs w:val="16"/>
        </w:rPr>
        <w:t xml:space="preserve"> </w:t>
      </w:r>
      <w:r w:rsidRPr="00405303">
        <w:rPr>
          <w:bCs/>
          <w:color w:val="002060"/>
          <w:sz w:val="16"/>
          <w:szCs w:val="16"/>
        </w:rPr>
        <w:t>июля 1916</w:t>
      </w:r>
      <w:r w:rsidR="00DB4D64" w:rsidRPr="00405303">
        <w:rPr>
          <w:bCs/>
          <w:color w:val="002060"/>
          <w:sz w:val="16"/>
          <w:szCs w:val="16"/>
        </w:rPr>
        <w:t xml:space="preserve"> </w:t>
      </w:r>
      <w:r w:rsidRPr="00405303">
        <w:rPr>
          <w:bCs/>
          <w:color w:val="002060"/>
          <w:sz w:val="16"/>
          <w:szCs w:val="16"/>
        </w:rPr>
        <w:t>г.</w:t>
      </w:r>
      <w:r w:rsidR="00DB4D64" w:rsidRPr="00405303">
        <w:rPr>
          <w:bCs/>
          <w:color w:val="002060"/>
          <w:sz w:val="16"/>
          <w:szCs w:val="16"/>
        </w:rPr>
        <w:t xml:space="preserve"> </w:t>
      </w:r>
      <w:r w:rsidRPr="00405303">
        <w:rPr>
          <w:bCs/>
          <w:color w:val="002060"/>
          <w:sz w:val="16"/>
          <w:szCs w:val="16"/>
        </w:rPr>
        <w:t>из Севастопольской Военной Авиационной школы со</w:t>
      </w:r>
      <w:r w:rsidR="00DB4D64" w:rsidRPr="00405303">
        <w:rPr>
          <w:bCs/>
          <w:color w:val="002060"/>
          <w:sz w:val="16"/>
          <w:szCs w:val="16"/>
        </w:rPr>
        <w:t xml:space="preserve"> </w:t>
      </w:r>
      <w:r w:rsidRPr="00405303">
        <w:rPr>
          <w:bCs/>
          <w:color w:val="002060"/>
          <w:sz w:val="16"/>
          <w:szCs w:val="16"/>
        </w:rPr>
        <w:t>своей мастерской впредь до</w:t>
      </w:r>
      <w:r w:rsidR="00DB4D64" w:rsidRPr="00405303">
        <w:rPr>
          <w:bCs/>
          <w:color w:val="002060"/>
          <w:sz w:val="16"/>
          <w:szCs w:val="16"/>
        </w:rPr>
        <w:t xml:space="preserve"> </w:t>
      </w:r>
      <w:r w:rsidRPr="00405303">
        <w:rPr>
          <w:bCs/>
          <w:color w:val="002060"/>
          <w:sz w:val="16"/>
          <w:szCs w:val="16"/>
        </w:rPr>
        <w:t>особого распоряжения."</w:t>
      </w:r>
    </w:p>
    <w:p w14:paraId="00772E07" w14:textId="77777777" w:rsidR="000226B5" w:rsidRPr="00405303" w:rsidRDefault="000226B5" w:rsidP="00C15251">
      <w:pPr>
        <w:shd w:val="clear" w:color="auto" w:fill="FFFFFF"/>
        <w:jc w:val="both"/>
        <w:rPr>
          <w:bCs/>
          <w:color w:val="002060"/>
          <w:sz w:val="16"/>
          <w:szCs w:val="16"/>
        </w:rPr>
      </w:pPr>
    </w:p>
    <w:p w14:paraId="772D806E" w14:textId="77777777" w:rsidR="000226B5" w:rsidRPr="00405303" w:rsidRDefault="000226B5" w:rsidP="00C15251">
      <w:pPr>
        <w:pStyle w:val="2"/>
        <w:spacing w:before="0" w:after="0"/>
        <w:jc w:val="both"/>
        <w:rPr>
          <w:b w:val="0"/>
          <w:bCs/>
          <w:color w:val="002060"/>
          <w:sz w:val="16"/>
          <w:szCs w:val="16"/>
        </w:rPr>
      </w:pPr>
      <w:r w:rsidRPr="00405303">
        <w:rPr>
          <w:b w:val="0"/>
          <w:bCs/>
          <w:color w:val="002060"/>
          <w:sz w:val="16"/>
          <w:szCs w:val="16"/>
        </w:rPr>
        <w:t>В начале 1915 г. возобновили работы по вооружению самолетов, и на «Ньюпоре-XI» появился жестко закрепленный пулемет, стрелявший поверх винта (15464).</w:t>
      </w:r>
    </w:p>
    <w:p w14:paraId="27A4FD84" w14:textId="77777777" w:rsidR="000226B5" w:rsidRPr="00405303" w:rsidRDefault="000226B5" w:rsidP="00C15251">
      <w:pPr>
        <w:pStyle w:val="2"/>
        <w:spacing w:before="0" w:after="0"/>
        <w:jc w:val="both"/>
        <w:rPr>
          <w:b w:val="0"/>
          <w:bCs/>
          <w:color w:val="002060"/>
          <w:sz w:val="16"/>
          <w:szCs w:val="16"/>
        </w:rPr>
      </w:pPr>
    </w:p>
    <w:p w14:paraId="7F9E7236" w14:textId="77777777" w:rsidR="000226B5" w:rsidRPr="00405303" w:rsidRDefault="000226B5" w:rsidP="00C15251">
      <w:pPr>
        <w:shd w:val="clear" w:color="auto" w:fill="FFFFFF"/>
        <w:jc w:val="both"/>
        <w:rPr>
          <w:bCs/>
          <w:color w:val="002060"/>
          <w:sz w:val="16"/>
          <w:szCs w:val="16"/>
        </w:rPr>
      </w:pPr>
      <w:r w:rsidRPr="00405303">
        <w:rPr>
          <w:bCs/>
          <w:color w:val="002060"/>
          <w:sz w:val="16"/>
          <w:szCs w:val="16"/>
        </w:rPr>
        <w:t>В начале 1915 г. Французское правительство отменило ранее выданное разрешение на поставку в Россию «Сальмсонов» - автомобильного типа с водяным охлаждением мощностью 130—160 л.с., хотя именно в них в наибольшей степени нуждались авиазаводы, в первую очередь, «Дуке», строивший «Вуазены» с этими моторами, позже их ставили на «Фарманы-XXVII» и «Фарманы-ХХХ». Поэтому во время войны в Москве за Семеновской заставой построили завод «Сальмсон» как московский филиал французского предприятия. Стиль и методы руководства были такими же как на «Гноме». Первое время территория завода «Сальмсон» представляла собой большой кирпичный сарай и здание из шести комнат, где находились все основные заводские цехи. Позже заново выстроили механический корпус, слесарную мастерскую и испытательную станцию. На заводе организовали сборку из французских деталей моторов «Сальмсон» трех модификаций: М.9 в 130 л.с. образца 1909 г., Р.9 (П.9) в 150 л.с. образца 1915 г. и R.9 (Р.9) в 160 л.с. образца 1916 г. Следует отметить, что указанная номинальная мощность могла существенно отличаться от реальной, причем как в меньшую, так и в большую сторону. «Сальмсоны» считались достаточно надежными и экономичными, допуская непрерывную работу в течение 10— 15 часов, переборка требовалась после 200—300 ч (15221).</w:t>
      </w:r>
    </w:p>
    <w:p w14:paraId="7C9089D5" w14:textId="77777777" w:rsidR="000226B5" w:rsidRPr="00405303" w:rsidRDefault="000226B5" w:rsidP="00C15251">
      <w:pPr>
        <w:shd w:val="clear" w:color="auto" w:fill="FFFFFF"/>
        <w:jc w:val="both"/>
        <w:rPr>
          <w:bCs/>
          <w:color w:val="002060"/>
          <w:sz w:val="16"/>
          <w:szCs w:val="16"/>
        </w:rPr>
      </w:pPr>
    </w:p>
    <w:p w14:paraId="5004B946" w14:textId="77777777" w:rsidR="000226B5" w:rsidRPr="00405303" w:rsidRDefault="000226B5" w:rsidP="00C15251">
      <w:pPr>
        <w:pStyle w:val="2"/>
        <w:spacing w:before="0" w:after="0"/>
        <w:jc w:val="both"/>
        <w:rPr>
          <w:b w:val="0"/>
          <w:bCs/>
          <w:color w:val="002060"/>
          <w:sz w:val="16"/>
          <w:szCs w:val="16"/>
        </w:rPr>
      </w:pPr>
      <w:r w:rsidRPr="00405303">
        <w:rPr>
          <w:b w:val="0"/>
          <w:bCs/>
          <w:color w:val="002060"/>
          <w:sz w:val="16"/>
          <w:szCs w:val="16"/>
        </w:rPr>
        <w:t>С начала 1915 г. на деньги военных начался новый этап развития производства Дукс. Временные помещения утеплили, полным ходом развернули строительство г новых цехов — трубоволочильного, деревообделочного, столярного и сборочного. К 1916 г. расширили и частично перестроили инструментальный, механический, литейный и медницкий цехи (15464).</w:t>
      </w:r>
    </w:p>
    <w:p w14:paraId="604486DF" w14:textId="77777777" w:rsidR="000226B5" w:rsidRPr="00405303" w:rsidRDefault="000226B5" w:rsidP="00C15251">
      <w:pPr>
        <w:pStyle w:val="2"/>
        <w:spacing w:before="0" w:after="0"/>
        <w:jc w:val="both"/>
        <w:rPr>
          <w:b w:val="0"/>
          <w:bCs/>
          <w:color w:val="002060"/>
          <w:sz w:val="16"/>
          <w:szCs w:val="16"/>
        </w:rPr>
      </w:pPr>
    </w:p>
    <w:p w14:paraId="3FF70E0D" w14:textId="478A95D7" w:rsidR="004B4E35" w:rsidRPr="00405303" w:rsidRDefault="009E6F82" w:rsidP="00C15251">
      <w:pPr>
        <w:jc w:val="both"/>
        <w:rPr>
          <w:bCs/>
          <w:color w:val="002060"/>
          <w:sz w:val="16"/>
          <w:szCs w:val="16"/>
        </w:rPr>
      </w:pPr>
      <w:r w:rsidRPr="00405303">
        <w:rPr>
          <w:bCs/>
          <w:color w:val="002060"/>
          <w:sz w:val="16"/>
          <w:szCs w:val="16"/>
        </w:rPr>
        <w:t xml:space="preserve">В начале 1915 г. все сотрудничество в области строительства крылатых машин </w:t>
      </w:r>
      <w:r w:rsidR="006B1D23" w:rsidRPr="00405303">
        <w:rPr>
          <w:bCs/>
          <w:color w:val="002060"/>
          <w:sz w:val="16"/>
          <w:szCs w:val="16"/>
        </w:rPr>
        <w:t xml:space="preserve">для флота </w:t>
      </w:r>
      <w:r w:rsidRPr="00405303">
        <w:rPr>
          <w:bCs/>
          <w:color w:val="002060"/>
          <w:sz w:val="16"/>
          <w:szCs w:val="16"/>
        </w:rPr>
        <w:t>было свернуто, хотя производитель и продолжал снабжать флотскую авиацию некоторыми мате</w:t>
      </w:r>
      <w:r w:rsidRPr="00405303">
        <w:rPr>
          <w:bCs/>
          <w:color w:val="002060"/>
          <w:sz w:val="16"/>
          <w:szCs w:val="16"/>
        </w:rPr>
        <w:softHyphen/>
        <w:t>риалами и изделиями, а Морское ведомство периодически проявляло интерес к аппаратам типа "Илья Муромец" и немногим другим моделям (2843).</w:t>
      </w:r>
    </w:p>
    <w:p w14:paraId="03E2D7E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Таблица 5</w:t>
      </w:r>
    </w:p>
    <w:p w14:paraId="3082525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Некоторые статистические данные о самолетостроительном отделении Р-</w:t>
      </w:r>
      <w:proofErr w:type="gramStart"/>
      <w:r w:rsidRPr="00405303">
        <w:rPr>
          <w:bCs/>
          <w:color w:val="002060"/>
          <w:sz w:val="16"/>
          <w:szCs w:val="16"/>
        </w:rPr>
        <w:t>БВЗ .</w:t>
      </w:r>
      <w:proofErr w:type="gramEnd"/>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tblGrid>
      <w:tr w:rsidR="004B4E35" w:rsidRPr="00405303" w14:paraId="027FBFDE" w14:textId="77777777">
        <w:tc>
          <w:tcPr>
            <w:tcW w:w="3192" w:type="dxa"/>
            <w:shd w:val="clear" w:color="auto" w:fill="FFFFFF"/>
          </w:tcPr>
          <w:p w14:paraId="129E0377" w14:textId="77777777" w:rsidR="004B4E35" w:rsidRPr="00405303" w:rsidRDefault="009E6F82" w:rsidP="00C15251">
            <w:pPr>
              <w:jc w:val="both"/>
              <w:rPr>
                <w:bCs/>
                <w:color w:val="002060"/>
                <w:sz w:val="16"/>
                <w:szCs w:val="16"/>
              </w:rPr>
            </w:pPr>
            <w:r w:rsidRPr="00405303">
              <w:rPr>
                <w:bCs/>
                <w:color w:val="002060"/>
                <w:sz w:val="16"/>
                <w:szCs w:val="16"/>
              </w:rPr>
              <w:t>Год основания</w:t>
            </w:r>
          </w:p>
        </w:tc>
        <w:tc>
          <w:tcPr>
            <w:tcW w:w="3192" w:type="dxa"/>
            <w:shd w:val="clear" w:color="auto" w:fill="FFFFFF"/>
          </w:tcPr>
          <w:p w14:paraId="52F7AB9E" w14:textId="77777777" w:rsidR="004B4E35" w:rsidRPr="00405303" w:rsidRDefault="009E6F82" w:rsidP="00C15251">
            <w:pPr>
              <w:jc w:val="both"/>
              <w:rPr>
                <w:bCs/>
                <w:color w:val="002060"/>
                <w:sz w:val="16"/>
                <w:szCs w:val="16"/>
              </w:rPr>
            </w:pPr>
            <w:r w:rsidRPr="00405303">
              <w:rPr>
                <w:bCs/>
                <w:color w:val="002060"/>
                <w:sz w:val="16"/>
                <w:szCs w:val="16"/>
              </w:rPr>
              <w:t xml:space="preserve"> 1909-1912</w:t>
            </w:r>
          </w:p>
        </w:tc>
      </w:tr>
      <w:tr w:rsidR="004B4E35" w:rsidRPr="00405303" w14:paraId="64C55F24" w14:textId="77777777">
        <w:tc>
          <w:tcPr>
            <w:tcW w:w="3192" w:type="dxa"/>
            <w:shd w:val="clear" w:color="auto" w:fill="FFFFFF"/>
          </w:tcPr>
          <w:p w14:paraId="79F05799" w14:textId="77777777" w:rsidR="004B4E35" w:rsidRPr="00405303" w:rsidRDefault="009E6F82" w:rsidP="00C15251">
            <w:pPr>
              <w:jc w:val="both"/>
              <w:rPr>
                <w:bCs/>
                <w:color w:val="002060"/>
                <w:sz w:val="16"/>
                <w:szCs w:val="16"/>
              </w:rPr>
            </w:pPr>
            <w:r w:rsidRPr="00405303">
              <w:rPr>
                <w:bCs/>
                <w:color w:val="002060"/>
                <w:sz w:val="16"/>
                <w:szCs w:val="16"/>
              </w:rPr>
              <w:t xml:space="preserve">Площадь строений к 1918 г., </w:t>
            </w:r>
            <w:proofErr w:type="gramStart"/>
            <w:r w:rsidRPr="00405303">
              <w:rPr>
                <w:bCs/>
                <w:color w:val="002060"/>
                <w:sz w:val="16"/>
                <w:szCs w:val="16"/>
              </w:rPr>
              <w:t>кв.м</w:t>
            </w:r>
            <w:proofErr w:type="gramEnd"/>
          </w:p>
        </w:tc>
        <w:tc>
          <w:tcPr>
            <w:tcW w:w="3192" w:type="dxa"/>
            <w:shd w:val="clear" w:color="auto" w:fill="FFFFFF"/>
          </w:tcPr>
          <w:p w14:paraId="145D9261" w14:textId="77777777" w:rsidR="004B4E35" w:rsidRPr="00405303" w:rsidRDefault="009E6F82" w:rsidP="00C15251">
            <w:pPr>
              <w:jc w:val="both"/>
              <w:rPr>
                <w:bCs/>
                <w:color w:val="002060"/>
                <w:sz w:val="16"/>
                <w:szCs w:val="16"/>
              </w:rPr>
            </w:pPr>
            <w:r w:rsidRPr="00405303">
              <w:rPr>
                <w:bCs/>
                <w:color w:val="002060"/>
                <w:sz w:val="16"/>
                <w:szCs w:val="16"/>
              </w:rPr>
              <w:t xml:space="preserve"> 14.578</w:t>
            </w:r>
          </w:p>
        </w:tc>
      </w:tr>
      <w:tr w:rsidR="004B4E35" w:rsidRPr="00405303" w14:paraId="7D49B746" w14:textId="77777777">
        <w:tc>
          <w:tcPr>
            <w:tcW w:w="3192" w:type="dxa"/>
            <w:shd w:val="clear" w:color="auto" w:fill="FFFFFF"/>
          </w:tcPr>
          <w:p w14:paraId="02DFC1FF" w14:textId="77777777" w:rsidR="004B4E35" w:rsidRPr="00405303" w:rsidRDefault="009E6F82" w:rsidP="00C15251">
            <w:pPr>
              <w:jc w:val="both"/>
              <w:rPr>
                <w:bCs/>
                <w:color w:val="002060"/>
                <w:sz w:val="16"/>
                <w:szCs w:val="16"/>
              </w:rPr>
            </w:pPr>
            <w:r w:rsidRPr="00405303">
              <w:rPr>
                <w:bCs/>
                <w:color w:val="002060"/>
                <w:sz w:val="16"/>
                <w:szCs w:val="16"/>
              </w:rPr>
              <w:t xml:space="preserve">Площадь территории, </w:t>
            </w:r>
            <w:proofErr w:type="gramStart"/>
            <w:r w:rsidRPr="00405303">
              <w:rPr>
                <w:bCs/>
                <w:color w:val="002060"/>
                <w:sz w:val="16"/>
                <w:szCs w:val="16"/>
              </w:rPr>
              <w:t>кв.м</w:t>
            </w:r>
            <w:proofErr w:type="gramEnd"/>
          </w:p>
        </w:tc>
        <w:tc>
          <w:tcPr>
            <w:tcW w:w="3192" w:type="dxa"/>
            <w:shd w:val="clear" w:color="auto" w:fill="FFFFFF"/>
          </w:tcPr>
          <w:p w14:paraId="5D2205EA" w14:textId="77777777" w:rsidR="004B4E35" w:rsidRPr="00405303" w:rsidRDefault="009E6F82" w:rsidP="00C15251">
            <w:pPr>
              <w:jc w:val="both"/>
              <w:rPr>
                <w:bCs/>
                <w:color w:val="002060"/>
                <w:sz w:val="16"/>
                <w:szCs w:val="16"/>
              </w:rPr>
            </w:pPr>
            <w:r w:rsidRPr="00405303">
              <w:rPr>
                <w:bCs/>
                <w:color w:val="002060"/>
                <w:sz w:val="16"/>
                <w:szCs w:val="16"/>
              </w:rPr>
              <w:t xml:space="preserve"> 43.849</w:t>
            </w:r>
          </w:p>
        </w:tc>
      </w:tr>
      <w:tr w:rsidR="004B4E35" w:rsidRPr="00405303" w14:paraId="587C4EE7" w14:textId="77777777">
        <w:tc>
          <w:tcPr>
            <w:tcW w:w="3192" w:type="dxa"/>
            <w:shd w:val="clear" w:color="auto" w:fill="FFFFFF"/>
          </w:tcPr>
          <w:p w14:paraId="10090466" w14:textId="77777777" w:rsidR="004B4E35" w:rsidRPr="00405303" w:rsidRDefault="009E6F82" w:rsidP="00C15251">
            <w:pPr>
              <w:jc w:val="both"/>
              <w:rPr>
                <w:bCs/>
                <w:color w:val="002060"/>
                <w:sz w:val="16"/>
                <w:szCs w:val="16"/>
              </w:rPr>
            </w:pPr>
            <w:r w:rsidRPr="00405303">
              <w:rPr>
                <w:bCs/>
                <w:color w:val="002060"/>
                <w:sz w:val="16"/>
                <w:szCs w:val="16"/>
              </w:rPr>
              <w:t>Мощность энергетических установок, л.с.</w:t>
            </w:r>
          </w:p>
        </w:tc>
        <w:tc>
          <w:tcPr>
            <w:tcW w:w="3192" w:type="dxa"/>
            <w:shd w:val="clear" w:color="auto" w:fill="FFFFFF"/>
          </w:tcPr>
          <w:p w14:paraId="44FA7C38" w14:textId="77777777" w:rsidR="004B4E35" w:rsidRPr="00405303" w:rsidRDefault="009E6F82" w:rsidP="00C15251">
            <w:pPr>
              <w:jc w:val="both"/>
              <w:rPr>
                <w:bCs/>
                <w:color w:val="002060"/>
                <w:sz w:val="16"/>
                <w:szCs w:val="16"/>
              </w:rPr>
            </w:pPr>
            <w:r w:rsidRPr="00405303">
              <w:rPr>
                <w:bCs/>
                <w:color w:val="002060"/>
                <w:sz w:val="16"/>
                <w:szCs w:val="16"/>
              </w:rPr>
              <w:t>300</w:t>
            </w:r>
          </w:p>
        </w:tc>
      </w:tr>
      <w:tr w:rsidR="004B4E35" w:rsidRPr="00405303" w14:paraId="5314234B" w14:textId="77777777">
        <w:tc>
          <w:tcPr>
            <w:tcW w:w="3192" w:type="dxa"/>
            <w:shd w:val="clear" w:color="auto" w:fill="FFFFFF"/>
          </w:tcPr>
          <w:p w14:paraId="33EBD699" w14:textId="77777777" w:rsidR="004B4E35" w:rsidRPr="00405303" w:rsidRDefault="009E6F82" w:rsidP="00C15251">
            <w:pPr>
              <w:jc w:val="both"/>
              <w:rPr>
                <w:bCs/>
                <w:color w:val="002060"/>
                <w:sz w:val="16"/>
                <w:szCs w:val="16"/>
              </w:rPr>
            </w:pPr>
            <w:r w:rsidRPr="00405303">
              <w:rPr>
                <w:bCs/>
                <w:color w:val="002060"/>
                <w:sz w:val="16"/>
                <w:szCs w:val="16"/>
              </w:rPr>
              <w:t>Количество двигателей</w:t>
            </w:r>
          </w:p>
        </w:tc>
        <w:tc>
          <w:tcPr>
            <w:tcW w:w="3192" w:type="dxa"/>
            <w:shd w:val="clear" w:color="auto" w:fill="FFFFFF"/>
          </w:tcPr>
          <w:p w14:paraId="79948DE2" w14:textId="77777777" w:rsidR="004B4E35" w:rsidRPr="00405303" w:rsidRDefault="009E6F82" w:rsidP="00C15251">
            <w:pPr>
              <w:jc w:val="both"/>
              <w:rPr>
                <w:bCs/>
                <w:color w:val="002060"/>
                <w:sz w:val="16"/>
                <w:szCs w:val="16"/>
              </w:rPr>
            </w:pPr>
            <w:r w:rsidRPr="00405303">
              <w:rPr>
                <w:bCs/>
                <w:color w:val="002060"/>
                <w:sz w:val="16"/>
                <w:szCs w:val="16"/>
              </w:rPr>
              <w:t xml:space="preserve"> 24</w:t>
            </w:r>
          </w:p>
        </w:tc>
      </w:tr>
      <w:tr w:rsidR="004B4E35" w:rsidRPr="00405303" w14:paraId="03092A76" w14:textId="77777777">
        <w:tc>
          <w:tcPr>
            <w:tcW w:w="3192" w:type="dxa"/>
            <w:shd w:val="clear" w:color="auto" w:fill="FFFFFF"/>
          </w:tcPr>
          <w:p w14:paraId="469AC864" w14:textId="77777777" w:rsidR="004B4E35" w:rsidRPr="00405303" w:rsidRDefault="009E6F82" w:rsidP="00C15251">
            <w:pPr>
              <w:jc w:val="both"/>
              <w:rPr>
                <w:bCs/>
                <w:color w:val="002060"/>
                <w:sz w:val="16"/>
                <w:szCs w:val="16"/>
              </w:rPr>
            </w:pPr>
            <w:r w:rsidRPr="00405303">
              <w:rPr>
                <w:bCs/>
                <w:color w:val="002060"/>
                <w:sz w:val="16"/>
                <w:szCs w:val="16"/>
              </w:rPr>
              <w:t>Количество станков</w:t>
            </w:r>
          </w:p>
        </w:tc>
        <w:tc>
          <w:tcPr>
            <w:tcW w:w="3192" w:type="dxa"/>
            <w:shd w:val="clear" w:color="auto" w:fill="FFFFFF"/>
          </w:tcPr>
          <w:p w14:paraId="3B067D7E" w14:textId="77777777" w:rsidR="004B4E35" w:rsidRPr="00405303" w:rsidRDefault="009E6F82" w:rsidP="00C15251">
            <w:pPr>
              <w:jc w:val="both"/>
              <w:rPr>
                <w:bCs/>
                <w:color w:val="002060"/>
                <w:sz w:val="16"/>
                <w:szCs w:val="16"/>
              </w:rPr>
            </w:pPr>
            <w:r w:rsidRPr="00405303">
              <w:rPr>
                <w:bCs/>
                <w:color w:val="002060"/>
                <w:sz w:val="16"/>
                <w:szCs w:val="16"/>
              </w:rPr>
              <w:t>36</w:t>
            </w:r>
          </w:p>
        </w:tc>
      </w:tr>
      <w:tr w:rsidR="004B4E35" w:rsidRPr="00405303" w14:paraId="149D217D" w14:textId="77777777">
        <w:tc>
          <w:tcPr>
            <w:tcW w:w="3192" w:type="dxa"/>
            <w:shd w:val="clear" w:color="auto" w:fill="FFFFFF"/>
          </w:tcPr>
          <w:p w14:paraId="11AEA29F" w14:textId="77777777" w:rsidR="004B4E35" w:rsidRPr="00405303" w:rsidRDefault="009E6F82" w:rsidP="00C15251">
            <w:pPr>
              <w:jc w:val="both"/>
              <w:rPr>
                <w:bCs/>
                <w:color w:val="002060"/>
                <w:sz w:val="16"/>
                <w:szCs w:val="16"/>
              </w:rPr>
            </w:pPr>
            <w:r w:rsidRPr="00405303">
              <w:rPr>
                <w:bCs/>
                <w:color w:val="002060"/>
                <w:sz w:val="16"/>
                <w:szCs w:val="16"/>
              </w:rPr>
              <w:t>Количество служащих в 1917 г.</w:t>
            </w:r>
          </w:p>
        </w:tc>
        <w:tc>
          <w:tcPr>
            <w:tcW w:w="3192" w:type="dxa"/>
            <w:shd w:val="clear" w:color="auto" w:fill="FFFFFF"/>
          </w:tcPr>
          <w:p w14:paraId="73A1789D" w14:textId="77777777" w:rsidR="004B4E35" w:rsidRPr="00405303" w:rsidRDefault="009E6F82" w:rsidP="00C15251">
            <w:pPr>
              <w:jc w:val="both"/>
              <w:rPr>
                <w:bCs/>
                <w:color w:val="002060"/>
                <w:sz w:val="16"/>
                <w:szCs w:val="16"/>
              </w:rPr>
            </w:pPr>
            <w:r w:rsidRPr="00405303">
              <w:rPr>
                <w:bCs/>
                <w:color w:val="002060"/>
                <w:sz w:val="16"/>
                <w:szCs w:val="16"/>
              </w:rPr>
              <w:t>176</w:t>
            </w:r>
          </w:p>
        </w:tc>
      </w:tr>
      <w:tr w:rsidR="004B4E35" w:rsidRPr="00405303" w14:paraId="6A254FC3" w14:textId="77777777">
        <w:tc>
          <w:tcPr>
            <w:tcW w:w="3192" w:type="dxa"/>
            <w:shd w:val="clear" w:color="auto" w:fill="FFFFFF"/>
          </w:tcPr>
          <w:p w14:paraId="6B1A7506" w14:textId="77777777" w:rsidR="004B4E35" w:rsidRPr="00405303" w:rsidRDefault="009E6F82" w:rsidP="00C15251">
            <w:pPr>
              <w:jc w:val="both"/>
              <w:rPr>
                <w:bCs/>
                <w:color w:val="002060"/>
                <w:sz w:val="16"/>
                <w:szCs w:val="16"/>
              </w:rPr>
            </w:pPr>
            <w:r w:rsidRPr="00405303">
              <w:rPr>
                <w:bCs/>
                <w:color w:val="002060"/>
                <w:sz w:val="16"/>
                <w:szCs w:val="16"/>
              </w:rPr>
              <w:t>Количество рабочих в 1914 г.</w:t>
            </w:r>
          </w:p>
        </w:tc>
        <w:tc>
          <w:tcPr>
            <w:tcW w:w="3192" w:type="dxa"/>
            <w:shd w:val="clear" w:color="auto" w:fill="FFFFFF"/>
          </w:tcPr>
          <w:p w14:paraId="7108655B" w14:textId="77777777" w:rsidR="004B4E35" w:rsidRPr="00405303" w:rsidRDefault="009E6F82" w:rsidP="00C15251">
            <w:pPr>
              <w:jc w:val="both"/>
              <w:rPr>
                <w:bCs/>
                <w:color w:val="002060"/>
                <w:sz w:val="16"/>
                <w:szCs w:val="16"/>
              </w:rPr>
            </w:pPr>
            <w:r w:rsidRPr="00405303">
              <w:rPr>
                <w:bCs/>
                <w:color w:val="002060"/>
                <w:sz w:val="16"/>
                <w:szCs w:val="16"/>
              </w:rPr>
              <w:t>270</w:t>
            </w:r>
          </w:p>
        </w:tc>
      </w:tr>
      <w:tr w:rsidR="004B4E35" w:rsidRPr="00405303" w14:paraId="5258D6A2" w14:textId="77777777">
        <w:tc>
          <w:tcPr>
            <w:tcW w:w="3192" w:type="dxa"/>
            <w:shd w:val="clear" w:color="auto" w:fill="FFFFFF"/>
          </w:tcPr>
          <w:p w14:paraId="3471E7D9" w14:textId="77777777" w:rsidR="004B4E35" w:rsidRPr="00405303" w:rsidRDefault="009E6F82" w:rsidP="00C15251">
            <w:pPr>
              <w:jc w:val="both"/>
              <w:rPr>
                <w:bCs/>
                <w:color w:val="002060"/>
                <w:sz w:val="16"/>
                <w:szCs w:val="16"/>
              </w:rPr>
            </w:pPr>
            <w:r w:rsidRPr="00405303">
              <w:rPr>
                <w:bCs/>
                <w:color w:val="002060"/>
                <w:sz w:val="16"/>
                <w:szCs w:val="16"/>
              </w:rPr>
              <w:t>1915 г</w:t>
            </w:r>
          </w:p>
        </w:tc>
        <w:tc>
          <w:tcPr>
            <w:tcW w:w="3192" w:type="dxa"/>
            <w:shd w:val="clear" w:color="auto" w:fill="FFFFFF"/>
          </w:tcPr>
          <w:p w14:paraId="10D83AEA" w14:textId="77777777" w:rsidR="004B4E35" w:rsidRPr="00405303" w:rsidRDefault="009E6F82" w:rsidP="00C15251">
            <w:pPr>
              <w:jc w:val="both"/>
              <w:rPr>
                <w:bCs/>
                <w:color w:val="002060"/>
                <w:sz w:val="16"/>
                <w:szCs w:val="16"/>
              </w:rPr>
            </w:pPr>
            <w:r w:rsidRPr="00405303">
              <w:rPr>
                <w:bCs/>
                <w:color w:val="002060"/>
                <w:sz w:val="16"/>
                <w:szCs w:val="16"/>
              </w:rPr>
              <w:t>около 400</w:t>
            </w:r>
          </w:p>
        </w:tc>
      </w:tr>
      <w:tr w:rsidR="004B4E35" w:rsidRPr="00405303" w14:paraId="7846EC6D" w14:textId="77777777">
        <w:tc>
          <w:tcPr>
            <w:tcW w:w="3192" w:type="dxa"/>
            <w:shd w:val="clear" w:color="auto" w:fill="FFFFFF"/>
          </w:tcPr>
          <w:p w14:paraId="352EE476" w14:textId="77777777" w:rsidR="004B4E35" w:rsidRPr="00405303" w:rsidRDefault="009E6F82" w:rsidP="00C15251">
            <w:pPr>
              <w:jc w:val="both"/>
              <w:rPr>
                <w:bCs/>
                <w:color w:val="002060"/>
                <w:sz w:val="16"/>
                <w:szCs w:val="16"/>
              </w:rPr>
            </w:pPr>
            <w:r w:rsidRPr="00405303">
              <w:rPr>
                <w:bCs/>
                <w:color w:val="002060"/>
                <w:sz w:val="16"/>
                <w:szCs w:val="16"/>
              </w:rPr>
              <w:t>1916 г.</w:t>
            </w:r>
          </w:p>
        </w:tc>
        <w:tc>
          <w:tcPr>
            <w:tcW w:w="3192" w:type="dxa"/>
            <w:shd w:val="clear" w:color="auto" w:fill="FFFFFF"/>
          </w:tcPr>
          <w:p w14:paraId="62FF5403" w14:textId="77777777" w:rsidR="004B4E35" w:rsidRPr="00405303" w:rsidRDefault="009E6F82" w:rsidP="00C15251">
            <w:pPr>
              <w:jc w:val="both"/>
              <w:rPr>
                <w:bCs/>
                <w:color w:val="002060"/>
                <w:sz w:val="16"/>
                <w:szCs w:val="16"/>
              </w:rPr>
            </w:pPr>
            <w:r w:rsidRPr="00405303">
              <w:rPr>
                <w:bCs/>
                <w:color w:val="002060"/>
                <w:sz w:val="16"/>
                <w:szCs w:val="16"/>
              </w:rPr>
              <w:t>478</w:t>
            </w:r>
          </w:p>
        </w:tc>
      </w:tr>
      <w:tr w:rsidR="004B4E35" w:rsidRPr="00405303" w14:paraId="195D1A8A" w14:textId="77777777">
        <w:tc>
          <w:tcPr>
            <w:tcW w:w="3192" w:type="dxa"/>
            <w:shd w:val="clear" w:color="auto" w:fill="FFFFFF"/>
          </w:tcPr>
          <w:p w14:paraId="53E8FCAB" w14:textId="77777777" w:rsidR="004B4E35" w:rsidRPr="00405303" w:rsidRDefault="009E6F82" w:rsidP="00C15251">
            <w:pPr>
              <w:jc w:val="both"/>
              <w:rPr>
                <w:bCs/>
                <w:color w:val="002060"/>
                <w:sz w:val="16"/>
                <w:szCs w:val="16"/>
              </w:rPr>
            </w:pPr>
            <w:r w:rsidRPr="00405303">
              <w:rPr>
                <w:bCs/>
                <w:color w:val="002060"/>
                <w:sz w:val="16"/>
                <w:szCs w:val="16"/>
              </w:rPr>
              <w:t>1917 г.</w:t>
            </w:r>
          </w:p>
        </w:tc>
        <w:tc>
          <w:tcPr>
            <w:tcW w:w="3192" w:type="dxa"/>
            <w:shd w:val="clear" w:color="auto" w:fill="FFFFFF"/>
          </w:tcPr>
          <w:p w14:paraId="2C321BB1" w14:textId="77777777" w:rsidR="004B4E35" w:rsidRPr="00405303" w:rsidRDefault="009E6F82" w:rsidP="00C15251">
            <w:pPr>
              <w:jc w:val="both"/>
              <w:rPr>
                <w:bCs/>
                <w:color w:val="002060"/>
                <w:sz w:val="16"/>
                <w:szCs w:val="16"/>
              </w:rPr>
            </w:pPr>
            <w:r w:rsidRPr="00405303">
              <w:rPr>
                <w:bCs/>
                <w:color w:val="002060"/>
                <w:sz w:val="16"/>
                <w:szCs w:val="16"/>
              </w:rPr>
              <w:t>475</w:t>
            </w:r>
          </w:p>
        </w:tc>
      </w:tr>
      <w:tr w:rsidR="004B4E35" w:rsidRPr="00405303" w14:paraId="21851F8B" w14:textId="77777777">
        <w:tc>
          <w:tcPr>
            <w:tcW w:w="3192" w:type="dxa"/>
            <w:shd w:val="clear" w:color="auto" w:fill="FFFFFF"/>
          </w:tcPr>
          <w:p w14:paraId="23CFCD51" w14:textId="77777777" w:rsidR="004B4E35" w:rsidRPr="00405303" w:rsidRDefault="009E6F82" w:rsidP="00C15251">
            <w:pPr>
              <w:jc w:val="both"/>
              <w:rPr>
                <w:bCs/>
                <w:color w:val="002060"/>
                <w:sz w:val="16"/>
                <w:szCs w:val="16"/>
              </w:rPr>
            </w:pPr>
            <w:r w:rsidRPr="00405303">
              <w:rPr>
                <w:bCs/>
                <w:color w:val="002060"/>
                <w:sz w:val="16"/>
                <w:szCs w:val="16"/>
              </w:rPr>
              <w:t>Количество сданных аэропланов в период 1910-1913 гг.</w:t>
            </w:r>
          </w:p>
        </w:tc>
        <w:tc>
          <w:tcPr>
            <w:tcW w:w="3192" w:type="dxa"/>
            <w:shd w:val="clear" w:color="auto" w:fill="FFFFFF"/>
          </w:tcPr>
          <w:p w14:paraId="76046434" w14:textId="77777777" w:rsidR="004B4E35" w:rsidRPr="00405303" w:rsidRDefault="009E6F82" w:rsidP="00C15251">
            <w:pPr>
              <w:jc w:val="both"/>
              <w:rPr>
                <w:bCs/>
                <w:color w:val="002060"/>
                <w:sz w:val="16"/>
                <w:szCs w:val="16"/>
              </w:rPr>
            </w:pPr>
            <w:r w:rsidRPr="00405303">
              <w:rPr>
                <w:bCs/>
                <w:color w:val="002060"/>
                <w:sz w:val="16"/>
                <w:szCs w:val="16"/>
              </w:rPr>
              <w:t>100</w:t>
            </w:r>
          </w:p>
        </w:tc>
      </w:tr>
      <w:tr w:rsidR="004B4E35" w:rsidRPr="00405303" w14:paraId="40E9E22D" w14:textId="77777777">
        <w:tc>
          <w:tcPr>
            <w:tcW w:w="3192" w:type="dxa"/>
            <w:shd w:val="clear" w:color="auto" w:fill="FFFFFF"/>
          </w:tcPr>
          <w:p w14:paraId="0B17ECB1" w14:textId="77777777" w:rsidR="004B4E35" w:rsidRPr="00405303" w:rsidRDefault="009E6F82" w:rsidP="00C15251">
            <w:pPr>
              <w:jc w:val="both"/>
              <w:rPr>
                <w:bCs/>
                <w:color w:val="002060"/>
                <w:sz w:val="16"/>
                <w:szCs w:val="16"/>
              </w:rPr>
            </w:pPr>
            <w:r w:rsidRPr="00405303">
              <w:rPr>
                <w:bCs/>
                <w:color w:val="002060"/>
                <w:sz w:val="16"/>
                <w:szCs w:val="16"/>
              </w:rPr>
              <w:t>1914-1917 гг.</w:t>
            </w:r>
          </w:p>
        </w:tc>
        <w:tc>
          <w:tcPr>
            <w:tcW w:w="3192" w:type="dxa"/>
            <w:shd w:val="clear" w:color="auto" w:fill="FFFFFF"/>
          </w:tcPr>
          <w:p w14:paraId="2FE009EF" w14:textId="77777777" w:rsidR="004B4E35" w:rsidRPr="00405303" w:rsidRDefault="009E6F82" w:rsidP="00C15251">
            <w:pPr>
              <w:jc w:val="both"/>
              <w:rPr>
                <w:bCs/>
                <w:color w:val="002060"/>
                <w:sz w:val="16"/>
                <w:szCs w:val="16"/>
              </w:rPr>
            </w:pPr>
            <w:r w:rsidRPr="00405303">
              <w:rPr>
                <w:bCs/>
                <w:color w:val="002060"/>
                <w:sz w:val="16"/>
                <w:szCs w:val="16"/>
              </w:rPr>
              <w:t>140</w:t>
            </w:r>
          </w:p>
        </w:tc>
      </w:tr>
    </w:tbl>
    <w:p w14:paraId="6796B5B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С самого старта своей авиационной карьеры или, </w:t>
      </w:r>
      <w:proofErr w:type="gramStart"/>
      <w:r w:rsidRPr="00405303">
        <w:rPr>
          <w:bCs/>
          <w:color w:val="002060"/>
          <w:sz w:val="16"/>
          <w:szCs w:val="16"/>
        </w:rPr>
        <w:t>по крайней мере, с тех пор, как</w:t>
      </w:r>
      <w:proofErr w:type="gramEnd"/>
      <w:r w:rsidRPr="00405303">
        <w:rPr>
          <w:bCs/>
          <w:color w:val="002060"/>
          <w:sz w:val="16"/>
          <w:szCs w:val="16"/>
        </w:rPr>
        <w:t xml:space="preserve"> первые проекты были удачно реализованы, И.И. Сикорский использовал систему, согласно которой все модели получали обозначения, состоящие из заглавной буквы "С" (Сикорский) и по</w:t>
      </w:r>
      <w:r w:rsidRPr="00405303">
        <w:rPr>
          <w:bCs/>
          <w:color w:val="002060"/>
          <w:sz w:val="16"/>
          <w:szCs w:val="16"/>
        </w:rPr>
        <w:softHyphen/>
        <w:t>рядкового номера конструкции. Так, например, аппарат С-5 являлся 5-м типом, разрабо</w:t>
      </w:r>
      <w:r w:rsidRPr="00405303">
        <w:rPr>
          <w:bCs/>
          <w:color w:val="002060"/>
          <w:sz w:val="16"/>
          <w:szCs w:val="16"/>
        </w:rPr>
        <w:softHyphen/>
        <w:t>танным инженером, С-10 — десятым, и т.д. Прописные буквы "а", "б" (или "бис") и, может быть, "в" добавлялись к основному коду, чтобы различать модификации какой-либо из ба</w:t>
      </w:r>
      <w:r w:rsidRPr="00405303">
        <w:rPr>
          <w:bCs/>
          <w:color w:val="002060"/>
          <w:sz w:val="16"/>
          <w:szCs w:val="16"/>
        </w:rPr>
        <w:softHyphen/>
        <w:t>зовых моделей. Заглавные буквы "А" и "Б" также часто использовались для этой цели.</w:t>
      </w:r>
    </w:p>
    <w:p w14:paraId="1BC5C70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Некоторые из аэропланов Сикорского, а именно "Гранд" ("Русский витязь") и "Илья Му</w:t>
      </w:r>
      <w:r w:rsidRPr="00405303">
        <w:rPr>
          <w:bCs/>
          <w:color w:val="002060"/>
          <w:sz w:val="16"/>
          <w:szCs w:val="16"/>
        </w:rPr>
        <w:softHyphen/>
        <w:t>ромец", не имели основного кода и были известны под этими названиями; основной код некоторых других моделей дополнялся своего рода прозвищами — С-9 "Круглый", С-11 "Полукруглый" и т.п. Так как самолеты типа "Илья Муромец" производились серийно, то воз</w:t>
      </w:r>
      <w:r w:rsidRPr="00405303">
        <w:rPr>
          <w:bCs/>
          <w:color w:val="002060"/>
          <w:sz w:val="16"/>
          <w:szCs w:val="16"/>
        </w:rPr>
        <w:softHyphen/>
        <w:t>никла необходимость обозначать их модификации, для чего к имени "Илья Муромец" при</w:t>
      </w:r>
      <w:r w:rsidRPr="00405303">
        <w:rPr>
          <w:bCs/>
          <w:color w:val="002060"/>
          <w:sz w:val="16"/>
          <w:szCs w:val="16"/>
        </w:rPr>
        <w:softHyphen/>
        <w:t>ставлялись заглавные буквы и цифры. Обозначение "Илья Муромец" тип Г-2 гласило, что под ним скрывался аппарат "Илья Муромец" модификации "Г", 2-й вариант.</w:t>
      </w:r>
    </w:p>
    <w:p w14:paraId="0D71556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 всей видимости, такой метод был придуман и введен в действие самим И.И. Сикор-ским и его друзьями и коллегами. Он был принят компанией и, удивительно, имя произ</w:t>
      </w:r>
      <w:r w:rsidRPr="00405303">
        <w:rPr>
          <w:bCs/>
          <w:color w:val="002060"/>
          <w:sz w:val="16"/>
          <w:szCs w:val="16"/>
        </w:rPr>
        <w:softHyphen/>
        <w:t>водителя часто приносилось в жертву имени конструктора: аэропланы Р-БВЗ были широко известны как аппараты Сикорского. Фирма все же присваивала своей продукции заводские номера и потому полное обозначение любой из построенных ею машин состояло из основ</w:t>
      </w:r>
      <w:r w:rsidRPr="00405303">
        <w:rPr>
          <w:bCs/>
          <w:color w:val="002060"/>
          <w:sz w:val="16"/>
          <w:szCs w:val="16"/>
        </w:rPr>
        <w:softHyphen/>
        <w:t>ного и добавочного кода или имени и заводской маркировки (2843).</w:t>
      </w:r>
    </w:p>
    <w:p w14:paraId="4FE6F011" w14:textId="77777777" w:rsidR="004B4E35" w:rsidRPr="00405303" w:rsidRDefault="004B4E35" w:rsidP="00C15251">
      <w:pPr>
        <w:shd w:val="clear" w:color="auto" w:fill="FFFFFF"/>
        <w:jc w:val="both"/>
        <w:rPr>
          <w:bCs/>
          <w:color w:val="002060"/>
          <w:sz w:val="16"/>
          <w:szCs w:val="16"/>
        </w:rPr>
      </w:pPr>
    </w:p>
    <w:p w14:paraId="6994A23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начале 1915 года в Севастопольскую авиашколу был доставлен из Москвы для окончания испытаний самолет-триплан Безобразова. Александр Александрович Безобразов, офицер, в начале 1914 года совместно с Ф.Э.Моска начал строить экспери</w:t>
      </w:r>
      <w:r w:rsidRPr="00405303">
        <w:rPr>
          <w:bCs/>
          <w:color w:val="002060"/>
          <w:sz w:val="16"/>
          <w:szCs w:val="16"/>
        </w:rPr>
        <w:softHyphen/>
        <w:t>ментальный аппарат. По своей схеме он представлял собой триплан-тандем с узкими (хорда 0,5 м) длин</w:t>
      </w:r>
      <w:r w:rsidRPr="00405303">
        <w:rPr>
          <w:bCs/>
          <w:color w:val="002060"/>
          <w:sz w:val="16"/>
          <w:szCs w:val="16"/>
        </w:rPr>
        <w:softHyphen/>
        <w:t>ными однолонжеронными крыльями. Горизонтальное оперение как таковое отсутствовало. Функции руля высоты выполняли небольшие поверхности, распо</w:t>
      </w:r>
      <w:r w:rsidRPr="00405303">
        <w:rPr>
          <w:bCs/>
          <w:color w:val="002060"/>
          <w:sz w:val="16"/>
          <w:szCs w:val="16"/>
        </w:rPr>
        <w:softHyphen/>
        <w:t>ложенные в средней части нижнего крыла. Конструк</w:t>
      </w:r>
      <w:r w:rsidRPr="00405303">
        <w:rPr>
          <w:bCs/>
          <w:color w:val="002060"/>
          <w:sz w:val="16"/>
          <w:szCs w:val="16"/>
        </w:rPr>
        <w:softHyphen/>
        <w:t>ция самолета отличалась сложной системой стоек и расчалок, в которую входили шпренгели на верхних и средних крыльях и высокий кабан для обратных расчалок. Вначале на самолете был установлен двига</w:t>
      </w:r>
      <w:r w:rsidRPr="00405303">
        <w:rPr>
          <w:bCs/>
          <w:color w:val="002060"/>
          <w:sz w:val="16"/>
          <w:szCs w:val="16"/>
        </w:rPr>
        <w:softHyphen/>
        <w:t>тель «Анзани» в 60 л.с., затем — «Гном» в 80 л.с. В течение первой половины 1915 года А.А. Бе</w:t>
      </w:r>
      <w:r w:rsidRPr="00405303">
        <w:rPr>
          <w:bCs/>
          <w:color w:val="002060"/>
          <w:sz w:val="16"/>
          <w:szCs w:val="16"/>
        </w:rPr>
        <w:softHyphen/>
        <w:t>зобразов в Севастополе занимался переделками конструкции, после чего самолет был успешно испытан (553).</w:t>
      </w:r>
    </w:p>
    <w:p w14:paraId="0620740C" w14:textId="77777777" w:rsidR="004B4E35" w:rsidRPr="00405303" w:rsidRDefault="004B4E35" w:rsidP="00C15251">
      <w:pPr>
        <w:shd w:val="clear" w:color="auto" w:fill="FFFFFF"/>
        <w:jc w:val="both"/>
        <w:rPr>
          <w:bCs/>
          <w:color w:val="002060"/>
          <w:sz w:val="16"/>
          <w:szCs w:val="16"/>
        </w:rPr>
      </w:pPr>
    </w:p>
    <w:p w14:paraId="2610B632" w14:textId="77777777" w:rsidR="004B4E35" w:rsidRPr="00405303" w:rsidRDefault="009E6F82" w:rsidP="00C15251">
      <w:pPr>
        <w:jc w:val="both"/>
        <w:rPr>
          <w:bCs/>
          <w:color w:val="002060"/>
          <w:sz w:val="16"/>
          <w:szCs w:val="16"/>
        </w:rPr>
      </w:pPr>
      <w:r w:rsidRPr="00405303">
        <w:rPr>
          <w:bCs/>
          <w:color w:val="002060"/>
          <w:sz w:val="16"/>
          <w:szCs w:val="16"/>
        </w:rPr>
        <w:t>С самого начала 1915 г. Григорович приступил к созданию новой летающей лодки, позже получившей обозначение М-5. При ее проектировании учитывался опыт постройки предыдущих конструкций, а также детальное знакомство с летающей лодкой ФБА. Для совершенствования аэродинамических характеристик использовались результаты продувок модели, произведенные в аэродинамической трубе Петроградского политехнического института (по тем временам одной из лучших в Европе) под руководством В.А. Слесарева. В вопросах гидродинамики и конструкции лодочного фюзеляжа нелишними оказались консультации у профессоров Кораблестроительного отделения вуза.</w:t>
      </w:r>
    </w:p>
    <w:p w14:paraId="6A2A5ABA" w14:textId="77777777" w:rsidR="004B4E35" w:rsidRPr="00405303" w:rsidRDefault="009E6F82" w:rsidP="00C15251">
      <w:pPr>
        <w:jc w:val="both"/>
        <w:rPr>
          <w:bCs/>
          <w:color w:val="002060"/>
          <w:sz w:val="16"/>
          <w:szCs w:val="16"/>
        </w:rPr>
      </w:pPr>
      <w:r w:rsidRPr="00405303">
        <w:rPr>
          <w:bCs/>
          <w:color w:val="002060"/>
          <w:sz w:val="16"/>
          <w:szCs w:val="16"/>
        </w:rPr>
        <w:t xml:space="preserve">Благодаря проведенным исследованиям, конструктор максимально оптимизировал обводы лодки, удлинил и слегка изогнул ее хвостовую часть кверху для более эффективного размещения хвостового оперения. В отличие от первых </w:t>
      </w:r>
      <w:proofErr w:type="gramStart"/>
      <w:r w:rsidRPr="00405303">
        <w:rPr>
          <w:bCs/>
          <w:color w:val="002060"/>
          <w:sz w:val="16"/>
          <w:szCs w:val="16"/>
        </w:rPr>
        <w:t>образ.цов</w:t>
      </w:r>
      <w:proofErr w:type="gramEnd"/>
      <w:r w:rsidRPr="00405303">
        <w:rPr>
          <w:bCs/>
          <w:color w:val="002060"/>
          <w:sz w:val="16"/>
          <w:szCs w:val="16"/>
        </w:rPr>
        <w:t xml:space="preserve">, в которых нижнее крыло было приподнято над фюзеляжем на коротких 150 мм стойках, в М-5 это крыло соединялось непосредственно с увеличенными по высоте бортами лодки. Размах и площадь нижнего крыла увеличились, и это </w:t>
      </w:r>
      <w:proofErr w:type="gramStart"/>
      <w:r w:rsidRPr="00405303">
        <w:rPr>
          <w:bCs/>
          <w:color w:val="002060"/>
          <w:sz w:val="16"/>
          <w:szCs w:val="16"/>
        </w:rPr>
        <w:t>об-стоятельство</w:t>
      </w:r>
      <w:proofErr w:type="gramEnd"/>
      <w:r w:rsidRPr="00405303">
        <w:rPr>
          <w:bCs/>
          <w:color w:val="002060"/>
          <w:sz w:val="16"/>
          <w:szCs w:val="16"/>
        </w:rPr>
        <w:t xml:space="preserve"> заметно улучшило взлетные и посадочные свойства самолета.</w:t>
      </w:r>
    </w:p>
    <w:p w14:paraId="75E7851B" w14:textId="77777777" w:rsidR="004B4E35" w:rsidRPr="00405303" w:rsidRDefault="009E6F82" w:rsidP="00C15251">
      <w:pPr>
        <w:jc w:val="both"/>
        <w:rPr>
          <w:bCs/>
          <w:color w:val="002060"/>
          <w:sz w:val="16"/>
          <w:szCs w:val="16"/>
        </w:rPr>
      </w:pPr>
      <w:r w:rsidRPr="00405303">
        <w:rPr>
          <w:bCs/>
          <w:color w:val="002060"/>
          <w:sz w:val="16"/>
          <w:szCs w:val="16"/>
        </w:rPr>
        <w:t>Особое внимание при постройке М-5 было уделено повышению прочности корпуса лодки в части, соприкасающейся с водой. Конструкция могла уже называться типовой, она состояла из ясеневого каркаса с 3 мм фанерной обшивкой на бортах и 5-6 мм обшивкой на днище. Редан накладной из 10 мм фанеры. Сборка фюзеляжа велась на латунных шурупах с использованием свинцовых или цинковых белил. Соединения обшивки усиливались фанерными накладками, проклепанными медными заклепками.</w:t>
      </w:r>
    </w:p>
    <w:p w14:paraId="4DEA6075" w14:textId="77777777" w:rsidR="004B4E35" w:rsidRPr="00405303" w:rsidRDefault="009E6F82" w:rsidP="00C15251">
      <w:pPr>
        <w:jc w:val="both"/>
        <w:rPr>
          <w:bCs/>
          <w:color w:val="002060"/>
          <w:sz w:val="16"/>
          <w:szCs w:val="16"/>
        </w:rPr>
      </w:pPr>
      <w:r w:rsidRPr="00405303">
        <w:rPr>
          <w:bCs/>
          <w:color w:val="002060"/>
          <w:sz w:val="16"/>
          <w:szCs w:val="16"/>
        </w:rPr>
        <w:t>Нижние швы укреплялись медной фольгой толщиной 0,3 мм, края ее загибались под обшивку, а стыки паялись оловом. Снаружи деревянный корпус покрывался бесцветным масляным лаком, а его внутренние</w:t>
      </w:r>
    </w:p>
    <w:p w14:paraId="338347E4" w14:textId="77777777" w:rsidR="004B4E35" w:rsidRPr="00405303" w:rsidRDefault="009E6F82" w:rsidP="00C15251">
      <w:pPr>
        <w:jc w:val="both"/>
        <w:rPr>
          <w:bCs/>
          <w:color w:val="002060"/>
          <w:sz w:val="16"/>
          <w:szCs w:val="16"/>
        </w:rPr>
      </w:pPr>
      <w:r w:rsidRPr="00405303">
        <w:rPr>
          <w:bCs/>
          <w:color w:val="002060"/>
          <w:sz w:val="16"/>
          <w:szCs w:val="16"/>
        </w:rPr>
        <w:t>поверхности - олифой.</w:t>
      </w:r>
    </w:p>
    <w:p w14:paraId="4E69B212" w14:textId="77777777" w:rsidR="004B4E35" w:rsidRPr="00405303" w:rsidRDefault="009E6F82" w:rsidP="00C15251">
      <w:pPr>
        <w:jc w:val="both"/>
        <w:rPr>
          <w:bCs/>
          <w:color w:val="002060"/>
          <w:sz w:val="16"/>
          <w:szCs w:val="16"/>
        </w:rPr>
      </w:pPr>
      <w:r w:rsidRPr="00405303">
        <w:rPr>
          <w:bCs/>
          <w:color w:val="002060"/>
          <w:sz w:val="16"/>
          <w:szCs w:val="16"/>
        </w:rPr>
        <w:t>Конструкция крыльев, стабилизатора и киля вертикального оперения собиралась из сосны, рули высоты и поворота - из тонкостенных стальных труб. Хвостовое оперение с целью защиты от воды было поднято вверх на стальной трубчатой пирамиде и расчалено тросами. Такая схема не являлась достаточно жесткой, в полете вся хвостовая часть заметно скручивалась на виражах, вибрировала от воздушной струи, однако никогда не ломалась.</w:t>
      </w:r>
    </w:p>
    <w:p w14:paraId="47E137E0" w14:textId="77777777" w:rsidR="004B4E35" w:rsidRPr="00405303" w:rsidRDefault="009E6F82" w:rsidP="00C15251">
      <w:pPr>
        <w:jc w:val="both"/>
        <w:rPr>
          <w:bCs/>
          <w:color w:val="002060"/>
          <w:sz w:val="16"/>
          <w:szCs w:val="16"/>
        </w:rPr>
      </w:pPr>
      <w:r w:rsidRPr="00405303">
        <w:rPr>
          <w:bCs/>
          <w:color w:val="002060"/>
          <w:sz w:val="16"/>
          <w:szCs w:val="16"/>
        </w:rPr>
        <w:t>Ротативный двигатель с толкающим воздушным винтом монтировался на мотораме, расположенной в пространстве между центральными межкрыльевыми стойками. В передней части мотоустановки имелась рукоятка ручного запуска двигателя. Для подачи бензина к двигателю пользовались ручным насосом, которым создавали избыточное давление в топливном баке, размещенном за кабиной пилотов.</w:t>
      </w:r>
    </w:p>
    <w:p w14:paraId="26297653" w14:textId="77777777" w:rsidR="004B4E35" w:rsidRPr="00405303" w:rsidRDefault="009E6F82" w:rsidP="00C15251">
      <w:pPr>
        <w:jc w:val="both"/>
        <w:rPr>
          <w:bCs/>
          <w:color w:val="002060"/>
          <w:sz w:val="16"/>
          <w:szCs w:val="16"/>
        </w:rPr>
      </w:pPr>
      <w:r w:rsidRPr="00405303">
        <w:rPr>
          <w:bCs/>
          <w:color w:val="002060"/>
          <w:sz w:val="16"/>
          <w:szCs w:val="16"/>
        </w:rPr>
        <w:t>Первый экземпляр М-5 построили на заводе Щетинина в апреле 1915 г., спустя месяц самолет благополучно прошел испытания, и далее началась его многолетняя история использования.</w:t>
      </w:r>
    </w:p>
    <w:p w14:paraId="1FAD21D9" w14:textId="77777777" w:rsidR="004B4E35" w:rsidRPr="00405303" w:rsidRDefault="009E6F82" w:rsidP="00C15251">
      <w:pPr>
        <w:jc w:val="both"/>
        <w:rPr>
          <w:bCs/>
          <w:color w:val="002060"/>
          <w:sz w:val="16"/>
          <w:szCs w:val="16"/>
        </w:rPr>
      </w:pPr>
      <w:r w:rsidRPr="00405303">
        <w:rPr>
          <w:bCs/>
          <w:color w:val="002060"/>
          <w:sz w:val="16"/>
          <w:szCs w:val="16"/>
        </w:rPr>
        <w:t>Основная часть М-5 оснащалась двигателями "Гном Моносупап" 100 л.с. С этим двигателем получилось наиболее удачное соотношение мощности, полетного веса и размеров самолета, позволявшее летчикам оценивать его как приятный в полете, а по своей доступности и безопасности считать отличным учебным аппаратом. В последнем своем качестве М-5 положительно запомнился многим обучившимся на нем авиаторам и даже получил весьма благосклонное прозвище "пятак".</w:t>
      </w:r>
    </w:p>
    <w:p w14:paraId="4FF8578D" w14:textId="77777777" w:rsidR="004B4E35" w:rsidRPr="00405303" w:rsidRDefault="009E6F82" w:rsidP="00C15251">
      <w:pPr>
        <w:jc w:val="both"/>
        <w:rPr>
          <w:bCs/>
          <w:color w:val="002060"/>
          <w:sz w:val="16"/>
          <w:szCs w:val="16"/>
        </w:rPr>
      </w:pPr>
      <w:r w:rsidRPr="00405303">
        <w:rPr>
          <w:bCs/>
          <w:color w:val="002060"/>
          <w:sz w:val="16"/>
          <w:szCs w:val="16"/>
        </w:rPr>
        <w:lastRenderedPageBreak/>
        <w:t>Одновременно, М-5 обладал невысокими летными донными, его полетная скорость находилась в пределах 100 км/ч. Григорович неоднократно пытался улучшить характеристики М-5 путем установки более мощных двигателей, однако, единожды достигнутая гармония (с "Гном Моносупап") нарушалась и летные качества только ухудшались.</w:t>
      </w:r>
    </w:p>
    <w:p w14:paraId="05438E46" w14:textId="77777777" w:rsidR="004B4E35" w:rsidRPr="00405303" w:rsidRDefault="009E6F82" w:rsidP="00C15251">
      <w:pPr>
        <w:jc w:val="both"/>
        <w:rPr>
          <w:bCs/>
          <w:color w:val="002060"/>
          <w:sz w:val="16"/>
          <w:szCs w:val="16"/>
        </w:rPr>
      </w:pPr>
      <w:r w:rsidRPr="00405303">
        <w:rPr>
          <w:bCs/>
          <w:color w:val="002060"/>
          <w:sz w:val="16"/>
          <w:szCs w:val="16"/>
        </w:rPr>
        <w:t>На Балтике самолет не вызвал большого интереса: хотя М-5 имел легкое и приятное управление по всем трем осям, по летным характеристикам ФБА он не превосходил. А война там шла жестокая. С апреля 1915 г. обе стороны выполняли ежедневные разведывательные полеты, в июле состоялись первые воздушные стычки, б которых противники отчаянно обстреливали друг друга из карабинов и маузеров. В сентябре отмечались практически ежедневные воздушные бои, в которых соотношение сил (увы!) составляло обычно два к пяти в пользу немецких авиаторов.</w:t>
      </w:r>
    </w:p>
    <w:p w14:paraId="0BB5C2F0" w14:textId="77777777" w:rsidR="004B4E35" w:rsidRPr="00405303" w:rsidRDefault="009E6F82" w:rsidP="00C15251">
      <w:pPr>
        <w:jc w:val="both"/>
        <w:rPr>
          <w:bCs/>
          <w:color w:val="002060"/>
          <w:sz w:val="16"/>
          <w:szCs w:val="16"/>
        </w:rPr>
      </w:pPr>
      <w:r w:rsidRPr="00405303">
        <w:rPr>
          <w:bCs/>
          <w:color w:val="002060"/>
          <w:sz w:val="16"/>
          <w:szCs w:val="16"/>
        </w:rPr>
        <w:t xml:space="preserve">На Черном море, ввиду превосходства русского флота, обстановка для авиации была более спокойной. При этом "Кертиссы", составлявшие ядро самолетного парка, обладали гораздо худшими летными характеристиками, чем даже ранние М-4 Григоровича. Поэтому прибытие 16 мая 1915 г. в Севастополь М-5 первого образца воспринималось как вполне положительное явление. Кроме того, по сравнению с французской лодкой ФБА, М-5 оказалась прочнее и гораздо лучше выдерживала посадку на крутую черноморскую волну. Все указанные обстоятельства привели к тому, что очень скоро </w:t>
      </w:r>
      <w:proofErr w:type="gramStart"/>
      <w:r w:rsidRPr="00405303">
        <w:rPr>
          <w:bCs/>
          <w:color w:val="002060"/>
          <w:sz w:val="16"/>
          <w:szCs w:val="16"/>
        </w:rPr>
        <w:t>последо-вал</w:t>
      </w:r>
      <w:proofErr w:type="gramEnd"/>
      <w:r w:rsidRPr="00405303">
        <w:rPr>
          <w:bCs/>
          <w:color w:val="002060"/>
          <w:sz w:val="16"/>
          <w:szCs w:val="16"/>
        </w:rPr>
        <w:t xml:space="preserve"> заказ на 12 таких лодок для авиации Черноморского флота.</w:t>
      </w:r>
    </w:p>
    <w:p w14:paraId="57042ACE" w14:textId="77777777" w:rsidR="004B4E35" w:rsidRPr="00405303" w:rsidRDefault="009E6F82" w:rsidP="00C15251">
      <w:pPr>
        <w:jc w:val="both"/>
        <w:rPr>
          <w:bCs/>
          <w:color w:val="002060"/>
          <w:sz w:val="16"/>
          <w:szCs w:val="16"/>
        </w:rPr>
      </w:pPr>
      <w:r w:rsidRPr="00405303">
        <w:rPr>
          <w:bCs/>
          <w:color w:val="002060"/>
          <w:sz w:val="16"/>
          <w:szCs w:val="16"/>
        </w:rPr>
        <w:t>Серийное производство М-5 началось в июне 1915 г. и до конца года на заводе Щетинина их построили 37 штук. Затем их выпуск продолжался с различной интенсивностью на протяжении нескольких лет. Последние три экземпляра, предназначенные для учебных целей, сдали заказчику в 1921 году. До этого момента общее количество построенных М-5 составило порядка 200 экземпляров, большинство из них изготовили на заводах Щетинина, Мельцера, Григоровича в Петрограде, некоторое количество на заводе Анатра в Одессе, а после революции - на петроградском заводе №3.</w:t>
      </w:r>
    </w:p>
    <w:p w14:paraId="55EB14D3" w14:textId="77777777" w:rsidR="004B4E35" w:rsidRPr="00405303" w:rsidRDefault="009E6F82" w:rsidP="00C15251">
      <w:pPr>
        <w:jc w:val="both"/>
        <w:rPr>
          <w:bCs/>
          <w:color w:val="002060"/>
          <w:sz w:val="16"/>
          <w:szCs w:val="16"/>
        </w:rPr>
      </w:pPr>
      <w:r w:rsidRPr="00405303">
        <w:rPr>
          <w:bCs/>
          <w:color w:val="002060"/>
          <w:sz w:val="16"/>
          <w:szCs w:val="16"/>
        </w:rPr>
        <w:t xml:space="preserve">Наиболее активно М-5 использовались в авиации Черноморского флота, получившей в свое пользование за весь период более 70 таких гидропланов. 10 октября 1915 г. начальник авиации Черноморского флота старший лейтенант Ста- ховский писал в Морской генеральный штаб: "...Боевыми аппаратами можно считать лишь Щетинины типа М-5, коих имеется 17, но за недо-статком моторов из них могут действовать лишь 14". Дополним эти сведения: в ноябре 1916 г. на Черном море их числилось 45 экземпляров, в конце 1 917 г. - 24 экземпляра. </w:t>
      </w:r>
    </w:p>
    <w:p w14:paraId="368AC363" w14:textId="77777777" w:rsidR="004B4E35" w:rsidRPr="00405303" w:rsidRDefault="009E6F82" w:rsidP="00C15251">
      <w:pPr>
        <w:jc w:val="both"/>
        <w:rPr>
          <w:bCs/>
          <w:color w:val="002060"/>
          <w:sz w:val="16"/>
          <w:szCs w:val="16"/>
        </w:rPr>
      </w:pPr>
      <w:r w:rsidRPr="00405303">
        <w:rPr>
          <w:bCs/>
          <w:color w:val="002060"/>
          <w:sz w:val="16"/>
          <w:szCs w:val="16"/>
        </w:rPr>
        <w:t>Вооружение боевых М-5 состояло из одного пулемета "Максим", "Виккерс" или "Льюис", установленных на треноге перед правым членом экипажа, нескольких 8-ми или 50-ти фунтовых бомб. С ноября 1915 г. на отдельных экземплярах ус-танавливали радиотелеграфные станции разных типов с дальностью связи свыше 40 км и фотоаппараты "Потте".</w:t>
      </w:r>
    </w:p>
    <w:p w14:paraId="0476738D" w14:textId="77777777" w:rsidR="004B4E35" w:rsidRPr="00405303" w:rsidRDefault="009E6F82" w:rsidP="00C15251">
      <w:pPr>
        <w:jc w:val="both"/>
        <w:rPr>
          <w:bCs/>
          <w:color w:val="002060"/>
          <w:sz w:val="16"/>
          <w:szCs w:val="16"/>
        </w:rPr>
      </w:pPr>
      <w:r w:rsidRPr="00405303">
        <w:rPr>
          <w:bCs/>
          <w:color w:val="002060"/>
          <w:sz w:val="16"/>
          <w:szCs w:val="16"/>
        </w:rPr>
        <w:t>Черноморские М-5 базировались в Севастополе (1-й и 2-й отряды Воздушной дивизии), Одессе и Батуме (Кавказский фронт). Кроме этого, часть аппаратов была приписана к 1, 2, 3-му корабельным авиаотрядам на гидрокрейсерах "Император Александр I", "Император Николай I", "Алмаз". В отдельных случаях самолеты транспортировали на крейсере "Память Меркурия". Самолеты корабельной авиации участвовали в рейдах к берегам Турции и Болгарии.</w:t>
      </w:r>
    </w:p>
    <w:p w14:paraId="4F3B9FBE" w14:textId="77777777" w:rsidR="004B4E35" w:rsidRPr="00405303" w:rsidRDefault="009E6F82" w:rsidP="00C15251">
      <w:pPr>
        <w:jc w:val="both"/>
        <w:rPr>
          <w:bCs/>
          <w:color w:val="002060"/>
          <w:sz w:val="16"/>
          <w:szCs w:val="16"/>
        </w:rPr>
      </w:pPr>
      <w:r w:rsidRPr="00405303">
        <w:rPr>
          <w:bCs/>
          <w:color w:val="002060"/>
          <w:sz w:val="16"/>
          <w:szCs w:val="16"/>
        </w:rPr>
        <w:t>Большую огласку получила атака турецкого порта Зонгулдак в январе 1916 г. Целью этой набеговой операции значилось нарушение турецких перевозок угля из Зон- гулдакского угольного района в Константинополь. Уголь доставляли морем по причине отсутствия полноценного железнодорожного сообщения. Эффективность русских боевых кораблей в противодей-ствии турецким перевозкам угля оценивалась высоко, однако в начале 1916 г. последовало решение нанести удар по Зонгулдаку с использованием авиации.</w:t>
      </w:r>
    </w:p>
    <w:p w14:paraId="3D6C2CB7" w14:textId="77777777" w:rsidR="004B4E35" w:rsidRPr="00405303" w:rsidRDefault="009E6F82" w:rsidP="00C15251">
      <w:pPr>
        <w:jc w:val="both"/>
        <w:rPr>
          <w:bCs/>
          <w:color w:val="002060"/>
          <w:sz w:val="16"/>
          <w:szCs w:val="16"/>
        </w:rPr>
      </w:pPr>
      <w:r w:rsidRPr="00405303">
        <w:rPr>
          <w:bCs/>
          <w:color w:val="002060"/>
          <w:sz w:val="16"/>
          <w:szCs w:val="16"/>
        </w:rPr>
        <w:t>В составе эскадры, вышедшей из Севастополя 24 января 1916 г. находились авиатранспорты "Император Александр I" и "Император Николай I", которые имели на борту 1 4 летающих лодок "Кертисс" и М-5. Авиационной группе ставилась задача атаковать турецкие объекты, недоступные корабельной артиллерии. Каждый гидроплан был вооружен двумя двухпудовыми и несколькими десятифунтовыми бомбами. Примерно в 15 милях к северу от Зонгулдака авиатранспорты спустили самолеты на воду, после чего вся группа стартовала в воздух. До цели долетели 1 1 машин, остальные по причине неисправностей вернулись назад. Бомбардировка порта велась в условиях плотной облачности и активного обстрела с земли. Тем не менее, ударом с воздуха удалось уничтожить турецкий пароход "Ирмингард" (1гт1пНагс1), несколько мелких судов и разрушить портовые объекты.</w:t>
      </w:r>
    </w:p>
    <w:p w14:paraId="79FC4982" w14:textId="77777777" w:rsidR="004B4E35" w:rsidRPr="00405303" w:rsidRDefault="009E6F82" w:rsidP="00C15251">
      <w:pPr>
        <w:jc w:val="both"/>
        <w:rPr>
          <w:bCs/>
          <w:color w:val="002060"/>
          <w:sz w:val="16"/>
          <w:szCs w:val="16"/>
        </w:rPr>
      </w:pPr>
      <w:r w:rsidRPr="00405303">
        <w:rPr>
          <w:bCs/>
          <w:color w:val="002060"/>
          <w:sz w:val="16"/>
          <w:szCs w:val="16"/>
        </w:rPr>
        <w:t>В 1916-17 гг. летающие лодки М-5 продолжали активно использоваться в интересах Черноморского флота и своим присутствием существенно повлияли на достижение успеха во многих боевых операциях. В начале 1918 г. практически все черноморские М-5 оказались в зоне белого движения и австрийской оккупации. В летном состоянии оставались лишь единичные экземпляры, которые просуществовали до 1919-20 гг.</w:t>
      </w:r>
    </w:p>
    <w:p w14:paraId="5E9D090B" w14:textId="77777777" w:rsidR="004B4E35" w:rsidRPr="00405303" w:rsidRDefault="009E6F82" w:rsidP="00C15251">
      <w:pPr>
        <w:jc w:val="both"/>
        <w:rPr>
          <w:bCs/>
          <w:color w:val="002060"/>
          <w:sz w:val="16"/>
          <w:szCs w:val="16"/>
        </w:rPr>
      </w:pPr>
      <w:r w:rsidRPr="00405303">
        <w:rPr>
          <w:bCs/>
          <w:color w:val="002060"/>
          <w:sz w:val="16"/>
          <w:szCs w:val="16"/>
        </w:rPr>
        <w:t>На Балтике "пятаки" дебютировали как учебные машины при открытии в Петрограде 28 июля 1915 г. офицерской школы морской авиации. Поначалу в ней имелись 4 лодки М-5 и две французские ФБА. Одновременно с функционирующей школой в Петрограде решили открыть ее отделение в Баку - к обучению летчиков на Каспийском море приступили 22 ноября 1915 г.</w:t>
      </w:r>
    </w:p>
    <w:p w14:paraId="4970DEE9" w14:textId="77777777" w:rsidR="004B4E35" w:rsidRPr="00405303" w:rsidRDefault="009E6F82" w:rsidP="00C15251">
      <w:pPr>
        <w:jc w:val="both"/>
        <w:rPr>
          <w:bCs/>
          <w:color w:val="002060"/>
          <w:sz w:val="16"/>
          <w:szCs w:val="16"/>
        </w:rPr>
      </w:pPr>
      <w:r w:rsidRPr="00405303">
        <w:rPr>
          <w:bCs/>
          <w:color w:val="002060"/>
          <w:sz w:val="16"/>
          <w:szCs w:val="16"/>
        </w:rPr>
        <w:t>Бакинский филиал с начала 1917 г. стал самостоятельной летной школой с прекрасно оборудованными мастерскими, ангарами и спусками на воду. В лучшие времена здесь эксплуатировалось до 20 учебных гидросамолетов М-5. Часть из них в середине 1918 г. принимала участие в отражении турецкого наступления в Закавказье, действуя в интересах оставшихся подразделений русской армии. Между тем, активное использование вело к неуклонному снижению количества пригодных к полетам машин, поэтому в 1919 г. здесь оставалось лишь два экземпляра М-5. В последующих бурных событиях гражданской войны Бакинская школа и ее имущество перестали существовать.</w:t>
      </w:r>
    </w:p>
    <w:p w14:paraId="0A246A6A" w14:textId="77777777" w:rsidR="004B4E35" w:rsidRPr="00405303" w:rsidRDefault="009E6F82" w:rsidP="00C15251">
      <w:pPr>
        <w:jc w:val="both"/>
        <w:rPr>
          <w:bCs/>
          <w:color w:val="002060"/>
          <w:sz w:val="16"/>
          <w:szCs w:val="16"/>
        </w:rPr>
      </w:pPr>
      <w:r w:rsidRPr="00405303">
        <w:rPr>
          <w:bCs/>
          <w:color w:val="002060"/>
          <w:sz w:val="16"/>
          <w:szCs w:val="16"/>
        </w:rPr>
        <w:t>Точное количество учебных аппаратов, используемых петроградской школой неизвестно, скорее всего, в течение двух лет здесь их применялось до двух десятков экземпляров. В апреле 1918 г., в связи с угрозой немецкого вторжения, школу эвакуировали в Нижний Новгород - на Волгу отправились 5 учебных М-5. Такое же количество учебных "пятаков" насчитывалось в морской школе летчиков им. Троцкого, открытой 11 ноября 1918 г. на Гу- туевском острове в Петрограде. В период с мая по октябрь 1919 г. летающие лодки этой школы принимали участие в боевых действиях против армии генерала Юденича, наступавшей на Петроград. В декабре 1919 г. оба упомянутые учебные заведения объединили в Военно-морскую школу авиации и перевели в Самару на Волге. Объединенная школа базировалась на барже "Евпраксия", которая была оборудована ангаром и спуском для гидросамолетов. В период 1920- 1921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середины 1920-х годов. Известно, что в декабре 1925 г. в составе советской авиации числилось 22 таких учебных летающих лодки (очевидно совместно с М-20, отличавшейся в основном двигателем).</w:t>
      </w:r>
    </w:p>
    <w:p w14:paraId="321308D9" w14:textId="77777777" w:rsidR="004B4E35" w:rsidRPr="00405303" w:rsidRDefault="009E6F82" w:rsidP="00C15251">
      <w:pPr>
        <w:jc w:val="both"/>
        <w:rPr>
          <w:bCs/>
          <w:color w:val="002060"/>
          <w:sz w:val="16"/>
          <w:szCs w:val="16"/>
        </w:rPr>
      </w:pPr>
      <w:r w:rsidRPr="00405303">
        <w:rPr>
          <w:bCs/>
          <w:color w:val="002060"/>
          <w:sz w:val="16"/>
          <w:szCs w:val="16"/>
        </w:rPr>
        <w:t>Помимо эксплуатации в России, по крайней мере, одна лодка М-5 после 1917 г. использовалась в Финляндии. Еще один экземпляр в ходе войны достался Турции, где сохранился до наших дней в авиационном музее Стамбула - Науа Мизеа (12083).</w:t>
      </w:r>
    </w:p>
    <w:p w14:paraId="1F474A58" w14:textId="77777777" w:rsidR="004B4E35" w:rsidRPr="00405303" w:rsidRDefault="004B4E35" w:rsidP="00C15251">
      <w:pPr>
        <w:jc w:val="both"/>
        <w:rPr>
          <w:bCs/>
          <w:color w:val="002060"/>
          <w:sz w:val="16"/>
          <w:szCs w:val="16"/>
        </w:rPr>
      </w:pPr>
    </w:p>
    <w:p w14:paraId="0CFBDFD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начале 1915 г. русское правительство добилось разреше</w:t>
      </w:r>
      <w:r w:rsidRPr="00405303">
        <w:rPr>
          <w:bCs/>
          <w:color w:val="002060"/>
          <w:sz w:val="16"/>
          <w:szCs w:val="16"/>
        </w:rPr>
        <w:softHyphen/>
        <w:t>ния на вывоз из Франции 150 моторов «Сальмсон», но и эти мо</w:t>
      </w:r>
      <w:r w:rsidRPr="00405303">
        <w:rPr>
          <w:bCs/>
          <w:color w:val="002060"/>
          <w:sz w:val="16"/>
          <w:szCs w:val="16"/>
        </w:rPr>
        <w:softHyphen/>
        <w:t>торы были получены не сразу (278).</w:t>
      </w:r>
    </w:p>
    <w:p w14:paraId="35C64A9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Главное военно-техническое управление заключило договоры с рядом русских фирм, которые обязались организовать выпуск авиационных моторов (общество «Русский Рено», «Аксай», ма</w:t>
      </w:r>
      <w:r w:rsidRPr="00405303">
        <w:rPr>
          <w:bCs/>
          <w:color w:val="002060"/>
          <w:sz w:val="16"/>
          <w:szCs w:val="16"/>
        </w:rPr>
        <w:softHyphen/>
        <w:t>стерская Ильина и др.), но наладить производство моторов им не удалось (278).</w:t>
      </w:r>
    </w:p>
    <w:p w14:paraId="132756E6" w14:textId="77777777" w:rsidR="004B4E35" w:rsidRPr="00405303" w:rsidRDefault="004B4E35" w:rsidP="00C15251">
      <w:pPr>
        <w:shd w:val="clear" w:color="auto" w:fill="FFFFFF"/>
        <w:jc w:val="both"/>
        <w:rPr>
          <w:bCs/>
          <w:color w:val="002060"/>
          <w:sz w:val="16"/>
          <w:szCs w:val="16"/>
        </w:rPr>
      </w:pPr>
    </w:p>
    <w:p w14:paraId="7989769C" w14:textId="5F047969" w:rsidR="004B4E35" w:rsidRPr="00405303" w:rsidRDefault="006B1D23" w:rsidP="00C15251">
      <w:pPr>
        <w:shd w:val="clear" w:color="auto" w:fill="FFFFFF"/>
        <w:jc w:val="both"/>
        <w:rPr>
          <w:bCs/>
          <w:color w:val="002060"/>
          <w:sz w:val="16"/>
          <w:szCs w:val="16"/>
        </w:rPr>
      </w:pPr>
      <w:r w:rsidRPr="00405303">
        <w:rPr>
          <w:bCs/>
          <w:color w:val="002060"/>
          <w:sz w:val="16"/>
          <w:szCs w:val="16"/>
        </w:rPr>
        <w:t>Н</w:t>
      </w:r>
      <w:r w:rsidR="009E6F82" w:rsidRPr="00405303">
        <w:rPr>
          <w:bCs/>
          <w:color w:val="002060"/>
          <w:sz w:val="16"/>
          <w:szCs w:val="16"/>
        </w:rPr>
        <w:t>а рубеже 1914-1915 гг. со стороны Антанты на фронт стали поступать новые образцы аэропланов, и испытывающие недостаток в вооружении германские машины несли тяжелые потери. Немецкое руководство вынуждено было полностью отка</w:t>
      </w:r>
      <w:r w:rsidR="009E6F82" w:rsidRPr="00405303">
        <w:rPr>
          <w:bCs/>
          <w:color w:val="002060"/>
          <w:sz w:val="16"/>
          <w:szCs w:val="16"/>
        </w:rPr>
        <w:softHyphen/>
        <w:t>зываться от дальней разведки, а ближняя и артиллерийская разведка осуществлялись только при особенно острой не</w:t>
      </w:r>
      <w:r w:rsidR="009E6F82" w:rsidRPr="00405303">
        <w:rPr>
          <w:bCs/>
          <w:color w:val="002060"/>
          <w:sz w:val="16"/>
          <w:szCs w:val="16"/>
        </w:rPr>
        <w:softHyphen/>
        <w:t>обходимости.</w:t>
      </w:r>
    </w:p>
    <w:p w14:paraId="299826C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Впервые в войне было установлено полное воздушное превосходство одной стороны. Германские воздушные силы в первые месяцы этого года на Западноевропейском теат</w:t>
      </w:r>
      <w:r w:rsidRPr="00405303">
        <w:rPr>
          <w:bCs/>
          <w:color w:val="002060"/>
          <w:sz w:val="16"/>
          <w:szCs w:val="16"/>
        </w:rPr>
        <w:softHyphen/>
        <w:t>ре военных действий выпали почти полностью. Германское руководство частично старалось компенсировать недостат</w:t>
      </w:r>
      <w:r w:rsidRPr="00405303">
        <w:rPr>
          <w:bCs/>
          <w:color w:val="002060"/>
          <w:sz w:val="16"/>
          <w:szCs w:val="16"/>
        </w:rPr>
        <w:softHyphen/>
        <w:t>ки вооружения благодаря улучшению технических свойств и снаряжения своих машин. В связи с этим все имеющиеся в Германии самолеты были поделены на различные типы, обозначаемые заглавными латинскими буквами:</w:t>
      </w:r>
    </w:p>
    <w:p w14:paraId="4D1352C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 — двухместный моноплан без вооружения;</w:t>
      </w:r>
    </w:p>
    <w:p w14:paraId="795AF9D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 двухместный биплан без вооружения;</w:t>
      </w:r>
    </w:p>
    <w:p w14:paraId="322EFE9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С — двухместный биплан с вооружением.</w:t>
      </w:r>
    </w:p>
    <w:p w14:paraId="4FE92F0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Было принято решение постепенно в течение года все самолеты типов А и В переводить в разряд учебных и вытес</w:t>
      </w:r>
      <w:r w:rsidRPr="00405303">
        <w:rPr>
          <w:bCs/>
          <w:color w:val="002060"/>
          <w:sz w:val="16"/>
          <w:szCs w:val="16"/>
        </w:rPr>
        <w:softHyphen/>
        <w:t>нять их с фронтов самолетами типа С. Однако этого оказа</w:t>
      </w:r>
      <w:r w:rsidRPr="00405303">
        <w:rPr>
          <w:bCs/>
          <w:color w:val="002060"/>
          <w:sz w:val="16"/>
          <w:szCs w:val="16"/>
        </w:rPr>
        <w:softHyphen/>
        <w:t>лось недостаточно. Германским конструкторам и авиаторам пришлось предпринять более энергичные усилия в воздуш</w:t>
      </w:r>
      <w:r w:rsidRPr="00405303">
        <w:rPr>
          <w:bCs/>
          <w:color w:val="002060"/>
          <w:sz w:val="16"/>
          <w:szCs w:val="16"/>
        </w:rPr>
        <w:softHyphen/>
        <w:t>ной деятельности, дабы преодолеть британо-французское превосходство в воздухе.</w:t>
      </w:r>
    </w:p>
    <w:p w14:paraId="3FBE39B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Инспекция летных войск в Германии, обсуждая возмож</w:t>
      </w:r>
      <w:r w:rsidRPr="00405303">
        <w:rPr>
          <w:bCs/>
          <w:color w:val="002060"/>
          <w:sz w:val="16"/>
          <w:szCs w:val="16"/>
        </w:rPr>
        <w:softHyphen/>
        <w:t>ности роста продуктивности авиапромышленности на за</w:t>
      </w:r>
      <w:r w:rsidRPr="00405303">
        <w:rPr>
          <w:bCs/>
          <w:color w:val="002060"/>
          <w:sz w:val="16"/>
          <w:szCs w:val="16"/>
        </w:rPr>
        <w:softHyphen/>
        <w:t>седании в военном министерстве, предлагала в корне изме</w:t>
      </w:r>
      <w:r w:rsidRPr="00405303">
        <w:rPr>
          <w:bCs/>
          <w:color w:val="002060"/>
          <w:sz w:val="16"/>
          <w:szCs w:val="16"/>
        </w:rPr>
        <w:softHyphen/>
        <w:t>нить научную мобилизацию авиастроения. Промышлен ность, со своей стороны, требовала твердого заказа на дли</w:t>
      </w:r>
      <w:r w:rsidRPr="00405303">
        <w:rPr>
          <w:bCs/>
          <w:color w:val="002060"/>
          <w:sz w:val="16"/>
          <w:szCs w:val="16"/>
        </w:rPr>
        <w:softHyphen/>
        <w:t>тельное время, обеспечения квалифицированными рабочи</w:t>
      </w:r>
      <w:r w:rsidRPr="00405303">
        <w:rPr>
          <w:bCs/>
          <w:color w:val="002060"/>
          <w:sz w:val="16"/>
          <w:szCs w:val="16"/>
        </w:rPr>
        <w:softHyphen/>
        <w:t>ми, финансовой поддержки и бесперебойной поставки сырья и материалов, что в условиях тотальной морской бло</w:t>
      </w:r>
      <w:r w:rsidRPr="00405303">
        <w:rPr>
          <w:bCs/>
          <w:color w:val="002060"/>
          <w:sz w:val="16"/>
          <w:szCs w:val="16"/>
        </w:rPr>
        <w:softHyphen/>
        <w:t>кады было не'так-то просто осуществить. Сами заинтере</w:t>
      </w:r>
      <w:r w:rsidRPr="00405303">
        <w:rPr>
          <w:bCs/>
          <w:color w:val="002060"/>
          <w:sz w:val="16"/>
          <w:szCs w:val="16"/>
        </w:rPr>
        <w:softHyphen/>
        <w:t>сованные в прибылях авиапредприятия переходили на мно</w:t>
      </w:r>
      <w:r w:rsidRPr="00405303">
        <w:rPr>
          <w:bCs/>
          <w:color w:val="002060"/>
          <w:sz w:val="16"/>
          <w:szCs w:val="16"/>
        </w:rPr>
        <w:softHyphen/>
        <w:t>госменную систему и эксплуатировали рабочих — как говорилось в одном меморандуме — «до предела возмож</w:t>
      </w:r>
      <w:r w:rsidRPr="00405303">
        <w:rPr>
          <w:bCs/>
          <w:color w:val="002060"/>
          <w:sz w:val="16"/>
          <w:szCs w:val="16"/>
        </w:rPr>
        <w:softHyphen/>
        <w:t>ностей». Военное министерство со своей стороны тоже де</w:t>
      </w:r>
      <w:r w:rsidRPr="00405303">
        <w:rPr>
          <w:bCs/>
          <w:color w:val="002060"/>
          <w:sz w:val="16"/>
          <w:szCs w:val="16"/>
        </w:rPr>
        <w:softHyphen/>
        <w:t>лало все возможное, прежде всего обеспечивая твердый го</w:t>
      </w:r>
      <w:r w:rsidRPr="00405303">
        <w:rPr>
          <w:bCs/>
          <w:color w:val="002060"/>
          <w:sz w:val="16"/>
          <w:szCs w:val="16"/>
        </w:rPr>
        <w:softHyphen/>
        <w:t>сударственный заказ, по крайней мере на три месяца.</w:t>
      </w:r>
    </w:p>
    <w:p w14:paraId="7FBA272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Несмотря на все эти экстраординарные усилия, произ</w:t>
      </w:r>
      <w:r w:rsidRPr="00405303">
        <w:rPr>
          <w:bCs/>
          <w:color w:val="002060"/>
          <w:sz w:val="16"/>
          <w:szCs w:val="16"/>
        </w:rPr>
        <w:softHyphen/>
        <w:t>водство продукции увеличилось ненамного. В здании рейх</w:t>
      </w:r>
      <w:r w:rsidRPr="00405303">
        <w:rPr>
          <w:bCs/>
          <w:color w:val="002060"/>
          <w:sz w:val="16"/>
          <w:szCs w:val="16"/>
        </w:rPr>
        <w:softHyphen/>
        <w:t>стага в течение года постоянно проводились совместные встречи представителей военного управления, гражданской власти, рейхстага и авиапромышленности. Авиапромыш</w:t>
      </w:r>
      <w:r w:rsidRPr="00405303">
        <w:rPr>
          <w:bCs/>
          <w:color w:val="002060"/>
          <w:sz w:val="16"/>
          <w:szCs w:val="16"/>
        </w:rPr>
        <w:softHyphen/>
        <w:t>ленность ультимативно требовала выдачи большого креди</w:t>
      </w:r>
      <w:r w:rsidRPr="00405303">
        <w:rPr>
          <w:bCs/>
          <w:color w:val="002060"/>
          <w:sz w:val="16"/>
          <w:szCs w:val="16"/>
        </w:rPr>
        <w:softHyphen/>
        <w:t>та в виде задатка на будущие поставки, увеличения заказа, дальнейшего направления людей и материалов. В секрет</w:t>
      </w:r>
      <w:r w:rsidRPr="00405303">
        <w:rPr>
          <w:bCs/>
          <w:color w:val="002060"/>
          <w:sz w:val="16"/>
          <w:szCs w:val="16"/>
        </w:rPr>
        <w:softHyphen/>
        <w:t>ном меморандуме есть следующая запись: «со стороны всех органов власти и народных представителей была выказана направленная к общей цели поддержка, особенно постави</w:t>
      </w:r>
      <w:r w:rsidRPr="00405303">
        <w:rPr>
          <w:bCs/>
          <w:color w:val="002060"/>
          <w:sz w:val="16"/>
          <w:szCs w:val="16"/>
        </w:rPr>
        <w:softHyphen/>
        <w:t>ли на вид необходимость поощрения выдающихся'успехов».</w:t>
      </w:r>
    </w:p>
    <w:p w14:paraId="237E04E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военном министерстве был создан специальный центр, принимавший все пожелания авиапромышленников с целью их наиболее адекватного и своевременного обеспе</w:t>
      </w:r>
      <w:r w:rsidRPr="00405303">
        <w:rPr>
          <w:bCs/>
          <w:color w:val="002060"/>
          <w:sz w:val="16"/>
          <w:szCs w:val="16"/>
        </w:rPr>
        <w:softHyphen/>
        <w:t>чения. Он состоял из высоких чинов офицеров-летчиков, членов рейхстага и служащих управления. Авиапромыш</w:t>
      </w:r>
      <w:r w:rsidRPr="00405303">
        <w:rPr>
          <w:bCs/>
          <w:color w:val="002060"/>
          <w:sz w:val="16"/>
          <w:szCs w:val="16"/>
        </w:rPr>
        <w:softHyphen/>
        <w:t>ленность наконец стала получать вместо небольших серий от 6 до 12, как практиковалось до сих пор, заказ сразу на сотни самолетов. Причем государство взяло на себя обяза</w:t>
      </w:r>
      <w:r w:rsidRPr="00405303">
        <w:rPr>
          <w:bCs/>
          <w:color w:val="002060"/>
          <w:sz w:val="16"/>
          <w:szCs w:val="16"/>
        </w:rPr>
        <w:softHyphen/>
        <w:t>тельство заботиться о предоплате заказа и незамедлитель</w:t>
      </w:r>
      <w:r w:rsidRPr="00405303">
        <w:rPr>
          <w:bCs/>
          <w:color w:val="002060"/>
          <w:sz w:val="16"/>
          <w:szCs w:val="16"/>
        </w:rPr>
        <w:softHyphen/>
        <w:t>ной оплате готовой продукции. Военным поставщикам были даны указания не затягивать поставки посредством переговоров о ценах, дабы обеспечить промышленности «достаточную выгоду». Как это было выражено в уже упо</w:t>
      </w:r>
      <w:r w:rsidRPr="00405303">
        <w:rPr>
          <w:bCs/>
          <w:color w:val="002060"/>
          <w:sz w:val="16"/>
          <w:szCs w:val="16"/>
        </w:rPr>
        <w:softHyphen/>
        <w:t>мянутом меморандуме: «Деньги государства, отпускавшиеся в мирное время для этой цели в незначительной массе, оказались отныне практически неограниченными».</w:t>
      </w:r>
    </w:p>
    <w:p w14:paraId="348EC8B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Высокие прибыли, которые достигались в авиапромыш</w:t>
      </w:r>
      <w:r w:rsidRPr="00405303">
        <w:rPr>
          <w:bCs/>
          <w:color w:val="002060"/>
          <w:sz w:val="16"/>
          <w:szCs w:val="16"/>
        </w:rPr>
        <w:softHyphen/>
        <w:t>ленности таким путем, побуждали большие концерны — особенно Сименс и АЕГ — бросить на строительство аэро</w:t>
      </w:r>
      <w:r w:rsidRPr="00405303">
        <w:rPr>
          <w:bCs/>
          <w:color w:val="002060"/>
          <w:sz w:val="16"/>
          <w:szCs w:val="16"/>
        </w:rPr>
        <w:softHyphen/>
        <w:t>планов все силы. Благодаря их и без того ведущей роли в системе военного хозяйства они быстро выиграли значи</w:t>
      </w:r>
      <w:r w:rsidRPr="00405303">
        <w:rPr>
          <w:bCs/>
          <w:color w:val="002060"/>
          <w:sz w:val="16"/>
          <w:szCs w:val="16"/>
        </w:rPr>
        <w:softHyphen/>
        <w:t xml:space="preserve">тельное положение и в авиапромышленности. </w:t>
      </w:r>
      <w:proofErr w:type="gramStart"/>
      <w:r w:rsidRPr="00405303">
        <w:rPr>
          <w:bCs/>
          <w:color w:val="002060"/>
          <w:sz w:val="16"/>
          <w:szCs w:val="16"/>
        </w:rPr>
        <w:t>Сверх того</w:t>
      </w:r>
      <w:proofErr w:type="gramEnd"/>
      <w:r w:rsidRPr="00405303">
        <w:rPr>
          <w:bCs/>
          <w:color w:val="002060"/>
          <w:sz w:val="16"/>
          <w:szCs w:val="16"/>
        </w:rPr>
        <w:t xml:space="preserve"> военное министерство, помимо увеличения продуктивно</w:t>
      </w:r>
      <w:r w:rsidRPr="00405303">
        <w:rPr>
          <w:bCs/>
          <w:color w:val="002060"/>
          <w:sz w:val="16"/>
          <w:szCs w:val="16"/>
        </w:rPr>
        <w:softHyphen/>
        <w:t>сти существующих заводов, поощряло строительство новых заводов по производству аэропланов.</w:t>
      </w:r>
    </w:p>
    <w:p w14:paraId="64B5FFA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Следующим шагом военные стали требовать от авиа</w:t>
      </w:r>
      <w:r w:rsidRPr="00405303">
        <w:rPr>
          <w:bCs/>
          <w:color w:val="002060"/>
          <w:sz w:val="16"/>
          <w:szCs w:val="16"/>
        </w:rPr>
        <w:softHyphen/>
        <w:t>промышленников наряду с повышением производительно</w:t>
      </w:r>
      <w:r w:rsidRPr="00405303">
        <w:rPr>
          <w:bCs/>
          <w:color w:val="002060"/>
          <w:sz w:val="16"/>
          <w:szCs w:val="16"/>
        </w:rPr>
        <w:softHyphen/>
        <w:t>сти существенного улучшения качества самолетов и стави</w:t>
      </w:r>
      <w:r w:rsidRPr="00405303">
        <w:rPr>
          <w:bCs/>
          <w:color w:val="002060"/>
          <w:sz w:val="16"/>
          <w:szCs w:val="16"/>
        </w:rPr>
        <w:softHyphen/>
        <w:t>ли в зависимость от этого повышение заказа. Причем воен</w:t>
      </w:r>
      <w:r w:rsidRPr="00405303">
        <w:rPr>
          <w:bCs/>
          <w:color w:val="002060"/>
          <w:sz w:val="16"/>
          <w:szCs w:val="16"/>
        </w:rPr>
        <w:softHyphen/>
        <w:t>ный аппарат предпочитал отдавать заказ таким фирмам, которые перестраивали себя на серийное производство. Такие гиганты освобождались от ремонтной деятельности. Но в то же время поддерживались и маленькие фирмы как лаборатории, разрабатывавшие модели, соответствующие требованиям времени.</w:t>
      </w:r>
    </w:p>
    <w:p w14:paraId="351E4D5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Кроме этого, ввиду неожиданной поначалу большой убы</w:t>
      </w:r>
      <w:r w:rsidRPr="00405303">
        <w:rPr>
          <w:bCs/>
          <w:color w:val="002060"/>
          <w:sz w:val="16"/>
          <w:szCs w:val="16"/>
        </w:rPr>
        <w:softHyphen/>
        <w:t>ли летчиков, теперь главным требованием к совершенство</w:t>
      </w:r>
      <w:r w:rsidRPr="00405303">
        <w:rPr>
          <w:bCs/>
          <w:color w:val="002060"/>
          <w:sz w:val="16"/>
          <w:szCs w:val="16"/>
        </w:rPr>
        <w:softHyphen/>
        <w:t>ванию конструкций аэропланов стало уменьшение рисков. В связи с этим военное снабжение брало на себя обязатель</w:t>
      </w:r>
      <w:r w:rsidRPr="00405303">
        <w:rPr>
          <w:bCs/>
          <w:color w:val="002060"/>
          <w:sz w:val="16"/>
          <w:szCs w:val="16"/>
        </w:rPr>
        <w:softHyphen/>
        <w:t>ства поддерживать так называемую полноту заказа. Такая полнота заказа состояла в строительстве учебных самолетов, а также в лицензионном строительстве. Столь тесная взаи</w:t>
      </w:r>
      <w:r w:rsidRPr="00405303">
        <w:rPr>
          <w:bCs/>
          <w:color w:val="002060"/>
          <w:sz w:val="16"/>
          <w:szCs w:val="16"/>
        </w:rPr>
        <w:softHyphen/>
        <w:t>мосвязь между военными и промышленностью способство</w:t>
      </w:r>
      <w:r w:rsidRPr="00405303">
        <w:rPr>
          <w:bCs/>
          <w:color w:val="002060"/>
          <w:sz w:val="16"/>
          <w:szCs w:val="16"/>
        </w:rPr>
        <w:softHyphen/>
        <w:t>вала тому, что на авиазаводах были специально созданы за</w:t>
      </w:r>
      <w:r w:rsidRPr="00405303">
        <w:rPr>
          <w:bCs/>
          <w:color w:val="002060"/>
          <w:sz w:val="16"/>
          <w:szCs w:val="16"/>
        </w:rPr>
        <w:softHyphen/>
        <w:t>водские школы по обучению военных пилотов. Военное ве</w:t>
      </w:r>
      <w:r w:rsidRPr="00405303">
        <w:rPr>
          <w:bCs/>
          <w:color w:val="002060"/>
          <w:sz w:val="16"/>
          <w:szCs w:val="16"/>
        </w:rPr>
        <w:softHyphen/>
        <w:t>домство осуществляло лишь надзор за этим образованием.</w:t>
      </w:r>
    </w:p>
    <w:p w14:paraId="668AC77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Важнейшим следствием такого взаимодействия было еще и то, что производство аэропланов в Германии в 1915 г. действительно значительно возросло и качество их улуч</w:t>
      </w:r>
      <w:r w:rsidRPr="00405303">
        <w:rPr>
          <w:bCs/>
          <w:color w:val="002060"/>
          <w:sz w:val="16"/>
          <w:szCs w:val="16"/>
        </w:rPr>
        <w:softHyphen/>
        <w:t>шилось*. Устаревшие аппараты 1914 г., так называемые А и В типы были в течение 1915г. изъяты с фронтов и замене</w:t>
      </w:r>
      <w:r w:rsidRPr="00405303">
        <w:rPr>
          <w:bCs/>
          <w:color w:val="002060"/>
          <w:sz w:val="16"/>
          <w:szCs w:val="16"/>
        </w:rPr>
        <w:softHyphen/>
        <w:t>ны новыми едиными аэропланами типа С. Они были снаб</w:t>
      </w:r>
      <w:r w:rsidRPr="00405303">
        <w:rPr>
          <w:bCs/>
          <w:color w:val="002060"/>
          <w:sz w:val="16"/>
          <w:szCs w:val="16"/>
        </w:rPr>
        <w:softHyphen/>
        <w:t>жены 160-сильными моторами, достигали высоты 3000 м и располагали грузоподъемностью, позволявшей брать аэро</w:t>
      </w:r>
      <w:r w:rsidRPr="00405303">
        <w:rPr>
          <w:bCs/>
          <w:color w:val="002060"/>
          <w:sz w:val="16"/>
          <w:szCs w:val="16"/>
        </w:rPr>
        <w:softHyphen/>
        <w:t>камеру, радиоприемник и вооружение. В двухместном ап</w:t>
      </w:r>
      <w:r w:rsidRPr="00405303">
        <w:rPr>
          <w:bCs/>
          <w:color w:val="002060"/>
          <w:sz w:val="16"/>
          <w:szCs w:val="16"/>
        </w:rPr>
        <w:softHyphen/>
        <w:t>парате типа С наблюдатель и пилот поменялись местами. Теперь наблюдатель, сидящий сзади пилота, был в состоя</w:t>
      </w:r>
      <w:r w:rsidRPr="00405303">
        <w:rPr>
          <w:bCs/>
          <w:color w:val="002060"/>
          <w:sz w:val="16"/>
          <w:szCs w:val="16"/>
        </w:rPr>
        <w:softHyphen/>
        <w:t>нии применять фотокамеру вертикально и отражать воз</w:t>
      </w:r>
      <w:r w:rsidRPr="00405303">
        <w:rPr>
          <w:bCs/>
          <w:color w:val="002060"/>
          <w:sz w:val="16"/>
          <w:szCs w:val="16"/>
        </w:rPr>
        <w:softHyphen/>
        <w:t>душного противника при помощи турельного пулемета.</w:t>
      </w:r>
    </w:p>
    <w:p w14:paraId="75141D6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Хотя часть самолетов типа В все еще в начале этого года продолжала специализироваться на артиллерийской раз</w:t>
      </w:r>
      <w:r w:rsidRPr="00405303">
        <w:rPr>
          <w:bCs/>
          <w:color w:val="002060"/>
          <w:sz w:val="16"/>
          <w:szCs w:val="16"/>
        </w:rPr>
        <w:softHyphen/>
        <w:t>ведке и в каждой армии еще оставался в распоряжении от</w:t>
      </w:r>
      <w:r w:rsidRPr="00405303">
        <w:rPr>
          <w:bCs/>
          <w:color w:val="002060"/>
          <w:sz w:val="16"/>
          <w:szCs w:val="16"/>
        </w:rPr>
        <w:softHyphen/>
        <w:t>ряд из 4-х таких машин, руководство воздушных сил неук</w:t>
      </w:r>
      <w:r w:rsidRPr="00405303">
        <w:rPr>
          <w:bCs/>
          <w:color w:val="002060"/>
          <w:sz w:val="16"/>
          <w:szCs w:val="16"/>
        </w:rPr>
        <w:softHyphen/>
        <w:t>лонно вело дело к полной унификации воздушного оружия. Это позволило германскому руководству в противополож</w:t>
      </w:r>
      <w:r w:rsidRPr="00405303">
        <w:rPr>
          <w:bCs/>
          <w:color w:val="002060"/>
          <w:sz w:val="16"/>
          <w:szCs w:val="16"/>
        </w:rPr>
        <w:softHyphen/>
        <w:t>ность к фактическому состоянию, требовавшему в затянув</w:t>
      </w:r>
      <w:r w:rsidRPr="00405303">
        <w:rPr>
          <w:bCs/>
          <w:color w:val="002060"/>
          <w:sz w:val="16"/>
          <w:szCs w:val="16"/>
        </w:rPr>
        <w:softHyphen/>
        <w:t>шейся позиционной войне добиваться еще более тесного взаимодействия между воздушными силами и наземными войсками, перейти к развитию специальных аппаратов и разработке соответствующей тактики, позволяющей при</w:t>
      </w:r>
      <w:r w:rsidRPr="00405303">
        <w:rPr>
          <w:bCs/>
          <w:color w:val="002060"/>
          <w:sz w:val="16"/>
          <w:szCs w:val="16"/>
        </w:rPr>
        <w:softHyphen/>
        <w:t>бегнуть почти исключительно к глубокому бомбардирова-нию незащищенных селений противника. Именно с начала 1915 г. в Германии стали выпускать аэропланы, специально предназначенные для бомбардирования. В этом году было выпущено 185 таких аэропланов.</w:t>
      </w:r>
    </w:p>
    <w:p w14:paraId="1FB85F6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авиабомбами в Германии дело обстояло лучше, чем у союзников. В начале 1915 г. в штаб русского верховного главнокомандования стали поступать сведения о герман</w:t>
      </w:r>
      <w:r w:rsidRPr="00405303">
        <w:rPr>
          <w:bCs/>
          <w:color w:val="002060"/>
          <w:sz w:val="16"/>
          <w:szCs w:val="16"/>
        </w:rPr>
        <w:softHyphen/>
        <w:t>ских авиабомбах, дающих большое количество осколков. Такие бомбы имели в головке длинный наконечник и взры</w:t>
      </w:r>
      <w:r w:rsidRPr="00405303">
        <w:rPr>
          <w:bCs/>
          <w:color w:val="002060"/>
          <w:sz w:val="16"/>
          <w:szCs w:val="16"/>
        </w:rPr>
        <w:softHyphen/>
        <w:t>вались над землей. Осколками, разлетавшимися над самой землей, они буквально косили траву и поражали все жи</w:t>
      </w:r>
      <w:r w:rsidRPr="00405303">
        <w:rPr>
          <w:bCs/>
          <w:color w:val="002060"/>
          <w:sz w:val="16"/>
          <w:szCs w:val="16"/>
        </w:rPr>
        <w:softHyphen/>
        <w:t>вое, встречающееся на пути.</w:t>
      </w:r>
    </w:p>
    <w:p w14:paraId="7F30660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Тогда же командующий ЭВК Шидловский доносил в Ставку: «Наши бомбы, насколько позволил судить опыт последних бомбометаний, имея значительные фугасные свойства, почти не дают осколков... ходатайствую о присыл</w:t>
      </w:r>
      <w:r w:rsidRPr="00405303">
        <w:rPr>
          <w:bCs/>
          <w:color w:val="002060"/>
          <w:sz w:val="16"/>
          <w:szCs w:val="16"/>
        </w:rPr>
        <w:softHyphen/>
        <w:t>ке для опыта бомб с зарядами в 10, 15, 25 пудов тротила в бомбе, не менее двух снарядов каждого типа». Шидловский настаивал на необходимости «снабжения воздушной эскад</w:t>
      </w:r>
      <w:r w:rsidRPr="00405303">
        <w:rPr>
          <w:bCs/>
          <w:color w:val="002060"/>
          <w:sz w:val="16"/>
          <w:szCs w:val="16"/>
        </w:rPr>
        <w:softHyphen/>
        <w:t>ры снарядами, дающими большое количество осколков». Поступали подобные требования и из других авиачастей. В результате в России под давлением фронта ГВТУ присту</w:t>
      </w:r>
      <w:r w:rsidRPr="00405303">
        <w:rPr>
          <w:bCs/>
          <w:color w:val="002060"/>
          <w:sz w:val="16"/>
          <w:szCs w:val="16"/>
        </w:rPr>
        <w:softHyphen/>
        <w:t>пило к срочной разработке специальных авиационных бомб фугасного и осколочного типа.</w:t>
      </w:r>
    </w:p>
    <w:p w14:paraId="7EC8020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Много вопросов было предъявлено в первые месяцы вой</w:t>
      </w:r>
      <w:r w:rsidRPr="00405303">
        <w:rPr>
          <w:bCs/>
          <w:color w:val="002060"/>
          <w:sz w:val="16"/>
          <w:szCs w:val="16"/>
        </w:rPr>
        <w:softHyphen/>
        <w:t>ны и к принципам организации воздушных сил. Наиболее рациональное их построение исследовалось военными в те</w:t>
      </w:r>
      <w:r w:rsidRPr="00405303">
        <w:rPr>
          <w:bCs/>
          <w:color w:val="002060"/>
          <w:sz w:val="16"/>
          <w:szCs w:val="16"/>
        </w:rPr>
        <w:softHyphen/>
        <w:t>чение всего 1915 г. На основе всеобщих тенденций развития этот процесс во всех странах был примерно одинаков.</w:t>
      </w:r>
    </w:p>
    <w:p w14:paraId="5A0373F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связи с установившейся позиционной войной собы</w:t>
      </w:r>
      <w:r w:rsidRPr="00405303">
        <w:rPr>
          <w:bCs/>
          <w:color w:val="002060"/>
          <w:sz w:val="16"/>
          <w:szCs w:val="16"/>
        </w:rPr>
        <w:softHyphen/>
        <w:t>тия на фронтах в 1915 г. имели не такую плотность, как в предыдущие пять месяцев. Частыми были затишья, особен</w:t>
      </w:r>
      <w:r w:rsidRPr="00405303">
        <w:rPr>
          <w:bCs/>
          <w:color w:val="002060"/>
          <w:sz w:val="16"/>
          <w:szCs w:val="16"/>
        </w:rPr>
        <w:softHyphen/>
        <w:t>но на Западноевропейском театре военных действий, имев</w:t>
      </w:r>
      <w:r w:rsidRPr="00405303">
        <w:rPr>
          <w:bCs/>
          <w:color w:val="002060"/>
          <w:sz w:val="16"/>
          <w:szCs w:val="16"/>
        </w:rPr>
        <w:softHyphen/>
        <w:t>шем в этом году второстепенное значение (11060).</w:t>
      </w:r>
    </w:p>
    <w:p w14:paraId="51853422" w14:textId="77777777" w:rsidR="004B4E35" w:rsidRPr="00405303" w:rsidRDefault="004B4E35" w:rsidP="00C15251">
      <w:pPr>
        <w:shd w:val="clear" w:color="auto" w:fill="FFFFFF"/>
        <w:jc w:val="both"/>
        <w:rPr>
          <w:bCs/>
          <w:color w:val="002060"/>
          <w:sz w:val="16"/>
          <w:szCs w:val="16"/>
        </w:rPr>
      </w:pPr>
    </w:p>
    <w:p w14:paraId="7E2DCEE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начале 1915 Из Всеподдайнешего доклада по Военному министерству о мероприятиях и состоянии всех частей военного управления за 1914 г.</w:t>
      </w:r>
    </w:p>
    <w:p w14:paraId="3E68140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&lt;...&gt; е) [Заготовление] воздухоплавательного и авиационного [имущества]. Объявление войны застало наши воздухоплавательные и авиационные части в период реорганиза</w:t>
      </w:r>
      <w:r w:rsidRPr="00405303">
        <w:rPr>
          <w:bCs/>
          <w:color w:val="002060"/>
          <w:sz w:val="16"/>
          <w:szCs w:val="16"/>
        </w:rPr>
        <w:softHyphen/>
        <w:t>ции, что поставило деятельность Военного министерства по снабжению их имуществом в полную зависимость от требований действующей армии.</w:t>
      </w:r>
    </w:p>
    <w:p w14:paraId="39D4C70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Положенное по табелям имущество было заказано на разные сроки до конца 1914 г., при этом заказанные за границей нашими заводами, исполнявшими заказы на постройку аэропланов, моторы и значительная часть авиационного имущества доставлены не были.</w:t>
      </w:r>
    </w:p>
    <w:p w14:paraId="32E42EC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Ввиду этого, хотя наши авиационные отряды выступили с имуществом, соответству</w:t>
      </w:r>
      <w:r w:rsidRPr="00405303">
        <w:rPr>
          <w:bCs/>
          <w:color w:val="002060"/>
          <w:sz w:val="16"/>
          <w:szCs w:val="16"/>
        </w:rPr>
        <w:softHyphen/>
        <w:t>ющим почти полностью табелям, но они имели только один комплект аэропланов, по</w:t>
      </w:r>
      <w:r w:rsidRPr="00405303">
        <w:rPr>
          <w:bCs/>
          <w:color w:val="002060"/>
          <w:sz w:val="16"/>
          <w:szCs w:val="16"/>
        </w:rPr>
        <w:softHyphen/>
        <w:t>ношенных во время практики.</w:t>
      </w:r>
    </w:p>
    <w:p w14:paraId="76E2B2C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первую очередь были приняты меры к обеспечению отрядов аэропланами для заме</w:t>
      </w:r>
      <w:r w:rsidRPr="00405303">
        <w:rPr>
          <w:bCs/>
          <w:color w:val="002060"/>
          <w:sz w:val="16"/>
          <w:szCs w:val="16"/>
        </w:rPr>
        <w:softHyphen/>
        <w:t>ны аппаратов, быстро выходивших из строя во время войны. Эта потребность была сроч</w:t>
      </w:r>
      <w:r w:rsidRPr="00405303">
        <w:rPr>
          <w:bCs/>
          <w:color w:val="002060"/>
          <w:sz w:val="16"/>
          <w:szCs w:val="16"/>
        </w:rPr>
        <w:softHyphen/>
        <w:t>но удовлетворена: все аэропланы не только заменены новыми, но на наших заводах обра</w:t>
      </w:r>
      <w:r w:rsidRPr="00405303">
        <w:rPr>
          <w:bCs/>
          <w:color w:val="002060"/>
          <w:sz w:val="16"/>
          <w:szCs w:val="16"/>
        </w:rPr>
        <w:softHyphen/>
        <w:t>зован некоторый запас аппаратов, достаточный для пополнения убыли аэропланов в отрядах до апреля - мая 1915 года.</w:t>
      </w:r>
    </w:p>
    <w:p w14:paraId="71F232A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Так как в мирное время во второй комплект были заказаны партии аэропланов новых систем, требовавших переучивания летчиков, то для летчиков, потерявших в действую</w:t>
      </w:r>
      <w:r w:rsidRPr="00405303">
        <w:rPr>
          <w:bCs/>
          <w:color w:val="002060"/>
          <w:sz w:val="16"/>
          <w:szCs w:val="16"/>
        </w:rPr>
        <w:softHyphen/>
        <w:t>щей армии аппараты, были организованы две временные школы (в Москве и Петрогра</w:t>
      </w:r>
      <w:r w:rsidRPr="00405303">
        <w:rPr>
          <w:bCs/>
          <w:color w:val="002060"/>
          <w:sz w:val="16"/>
          <w:szCs w:val="16"/>
        </w:rPr>
        <w:softHyphen/>
        <w:t>де), причем летчики, выходя из школ, получали новые аппараты и возвращались с ними в свои отряды.</w:t>
      </w:r>
    </w:p>
    <w:p w14:paraId="738DCB9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Для безостановочного пополнения аэропланами действующих армий заказаны за границей, преимущественно во Франции, значительные партии моторов и материалов для постройки аэропланов и моторов. Доставление последних облегчит положение на</w:t>
      </w:r>
      <w:r w:rsidRPr="00405303">
        <w:rPr>
          <w:bCs/>
          <w:color w:val="002060"/>
          <w:sz w:val="16"/>
          <w:szCs w:val="16"/>
        </w:rPr>
        <w:softHyphen/>
        <w:t>ших заводов, которым затруднительно получать достаточное количество материалов.</w:t>
      </w:r>
    </w:p>
    <w:p w14:paraId="21C75B9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целях лучшей постановки ремонта поврежденных моторов и аэропланов, кроме отрядных и ротных мастерских, сформированы подвижные мастерские в вагонах и тыло</w:t>
      </w:r>
      <w:r w:rsidRPr="00405303">
        <w:rPr>
          <w:bCs/>
          <w:color w:val="002060"/>
          <w:sz w:val="16"/>
          <w:szCs w:val="16"/>
        </w:rPr>
        <w:softHyphen/>
        <w:t>вые авиационно-автомобильные мастерские, а также приняты меры по организации под</w:t>
      </w:r>
      <w:r w:rsidRPr="00405303">
        <w:rPr>
          <w:bCs/>
          <w:color w:val="002060"/>
          <w:sz w:val="16"/>
          <w:szCs w:val="16"/>
        </w:rPr>
        <w:softHyphen/>
        <w:t>вижных технических мастерских-поездов, при которых будут состоять особые летучие авиационные мастерские для производства ремонта на местах. Кроме того, для правиль</w:t>
      </w:r>
      <w:r w:rsidRPr="00405303">
        <w:rPr>
          <w:bCs/>
          <w:color w:val="002060"/>
          <w:sz w:val="16"/>
          <w:szCs w:val="16"/>
        </w:rPr>
        <w:softHyphen/>
        <w:t>ной и непрерывной работы аэропланных, винтовых и моторных заводов приняты соот</w:t>
      </w:r>
      <w:r w:rsidRPr="00405303">
        <w:rPr>
          <w:bCs/>
          <w:color w:val="002060"/>
          <w:sz w:val="16"/>
          <w:szCs w:val="16"/>
        </w:rPr>
        <w:softHyphen/>
        <w:t>ветствующие меры, причем организовано наблюдение через особых офицеров.</w:t>
      </w:r>
    </w:p>
    <w:p w14:paraId="781232B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Так как для наших легких аэропланов непосильно производство глубоких разведок, необходимость которых выяснил опыт войны, то приступлено к формированию особых авиационных отрядов, снабженных более грузоподъемными аппаратами системы Вуазе-на. Аппараты заказаны на наших заводах, а моторы - во Франции.</w:t>
      </w:r>
    </w:p>
    <w:p w14:paraId="6D311F9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Для обеспечения авиационной службы исполнено следующее: а) разослано при мо</w:t>
      </w:r>
      <w:r w:rsidRPr="00405303">
        <w:rPr>
          <w:bCs/>
          <w:color w:val="002060"/>
          <w:sz w:val="16"/>
          <w:szCs w:val="16"/>
        </w:rPr>
        <w:softHyphen/>
        <w:t>билизации около 100 тыс. пудов бензина 1-го сорта; б) заготовлено около 100 тыс. пудов специального авиационного бензина; в) сверх табельных запасов направлено в авиаци</w:t>
      </w:r>
      <w:r w:rsidRPr="00405303">
        <w:rPr>
          <w:bCs/>
          <w:color w:val="002060"/>
          <w:sz w:val="16"/>
          <w:szCs w:val="16"/>
        </w:rPr>
        <w:softHyphen/>
        <w:t>онные части в запас около 16 тыс. пудов смазочного (касторового) масла. Эти меры обес</w:t>
      </w:r>
      <w:r w:rsidRPr="00405303">
        <w:rPr>
          <w:bCs/>
          <w:color w:val="002060"/>
          <w:sz w:val="16"/>
          <w:szCs w:val="16"/>
        </w:rPr>
        <w:softHyphen/>
        <w:t>печивают авиационную службу до мая 1915 года.</w:t>
      </w:r>
    </w:p>
    <w:p w14:paraId="10953D1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 времени объявления войны вопрос о снабжении наших отрядов снарядами раз</w:t>
      </w:r>
      <w:r w:rsidRPr="00405303">
        <w:rPr>
          <w:bCs/>
          <w:color w:val="002060"/>
          <w:sz w:val="16"/>
          <w:szCs w:val="16"/>
        </w:rPr>
        <w:softHyphen/>
        <w:t>личного вида для метания их с аэропланов и для сигнализации находился в периоде разработки. Так как опыт войны указал на настоятельную необходимость этого снабже</w:t>
      </w:r>
      <w:r w:rsidRPr="00405303">
        <w:rPr>
          <w:bCs/>
          <w:color w:val="002060"/>
          <w:sz w:val="16"/>
          <w:szCs w:val="16"/>
        </w:rPr>
        <w:softHyphen/>
        <w:t>ния, то спешно были разработаны образцы метательных снарядов (весом от 5 фунтов до 5 пудов), снаряженных тротилом или динамитом. Эти снаряды были срочно изготовлень и в большом количестве отправлены в авиационные отряды, которыми уже применя</w:t>
      </w:r>
      <w:r w:rsidRPr="00405303">
        <w:rPr>
          <w:bCs/>
          <w:color w:val="002060"/>
          <w:sz w:val="16"/>
          <w:szCs w:val="16"/>
        </w:rPr>
        <w:softHyphen/>
        <w:t>ются с успехом.</w:t>
      </w:r>
    </w:p>
    <w:p w14:paraId="4856855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Для зажигания неприятельских сооружений и действия по неприятельскому воздуш</w:t>
      </w:r>
      <w:r w:rsidRPr="00405303">
        <w:rPr>
          <w:bCs/>
          <w:color w:val="002060"/>
          <w:sz w:val="16"/>
          <w:szCs w:val="16"/>
        </w:rPr>
        <w:softHyphen/>
        <w:t>ному флоту построены специальные зажигательные снаряды. Кроме того, для действий по воздушному флоту противника имеются и снаряды шрапнельного действия. Для дей</w:t>
      </w:r>
      <w:r w:rsidRPr="00405303">
        <w:rPr>
          <w:bCs/>
          <w:color w:val="002060"/>
          <w:sz w:val="16"/>
          <w:szCs w:val="16"/>
        </w:rPr>
        <w:softHyphen/>
        <w:t>ствия же по войскам заготовлены и заготовляются вновь стрелки и особые летучие пули.</w:t>
      </w:r>
    </w:p>
    <w:p w14:paraId="3A45FB2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Для устройства сигнализации с аэропланов разработаны и переданы в армию особые дымные сигналы различных цветов.</w:t>
      </w:r>
    </w:p>
    <w:p w14:paraId="29BFCE0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Затем, для предохранения своих аэропланов от обстреливания ружейным и шрап</w:t>
      </w:r>
      <w:r w:rsidRPr="00405303">
        <w:rPr>
          <w:bCs/>
          <w:color w:val="002060"/>
          <w:sz w:val="16"/>
          <w:szCs w:val="16"/>
        </w:rPr>
        <w:softHyphen/>
        <w:t>нельным огнем разработана и применена для бронирования аэропланов особая стальная броня и приступлено к вооружению аэропланов пулеметами и особыми пушками.</w:t>
      </w:r>
    </w:p>
    <w:p w14:paraId="3E4F760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Блестящий опыт полета аэроплана типа «Илья Муромец» в Киев побудил Военное министерство составить план снабжения армии 42 такими самолетами и в виде опыта, заказать эскадру в 10 таких аппаратов. Хотя эти аэропланы должны были быть построены лишь к марту 1915 г., но военные обстоятельства заставили ускорить работы. К январю 1915 г. несколько аппаратов построены и находятся в армии. Для подготовки личного состава к управлению аппаратами и для испытания их в боевой обстановке сформирова</w:t>
      </w:r>
      <w:r w:rsidRPr="00405303">
        <w:rPr>
          <w:bCs/>
          <w:color w:val="002060"/>
          <w:sz w:val="16"/>
          <w:szCs w:val="16"/>
        </w:rPr>
        <w:softHyphen/>
        <w:t>но управление воздушных кораблей.</w:t>
      </w:r>
    </w:p>
    <w:p w14:paraId="096FA6B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Если боевая практика самолетов даст благоприятные результаты, то в будущем пред</w:t>
      </w:r>
      <w:r w:rsidRPr="00405303">
        <w:rPr>
          <w:bCs/>
          <w:color w:val="002060"/>
          <w:sz w:val="16"/>
          <w:szCs w:val="16"/>
        </w:rPr>
        <w:softHyphen/>
        <w:t>полагается построить еще 32 самолета типа «Илья Муромец».</w:t>
      </w:r>
    </w:p>
    <w:p w14:paraId="1B5B687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Что же касается до воздухоплавательных частей, то они к началу войны остались при аппаратах устаревших типов вследствие того, что заказанные три аэростата (2 во Фран</w:t>
      </w:r>
      <w:r w:rsidRPr="00405303">
        <w:rPr>
          <w:bCs/>
          <w:color w:val="002060"/>
          <w:sz w:val="16"/>
          <w:szCs w:val="16"/>
        </w:rPr>
        <w:softHyphen/>
        <w:t>ции и 1 в России) большого объема (свыше 25 тыс. куб. м) готовы не были.</w:t>
      </w:r>
    </w:p>
    <w:p w14:paraId="1CC44B1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Ввиду того, что опыт войны выяснил огромное значение привязных аэростатов, с успехом применявшихся во время боев под Осовцем, Ивангородом и в других пунктах, приняты соответствующие меры для заготовления достаточного числа таких аэростатов. По распоряжению штаба верховного главнокомандующего намечено формирование по</w:t>
      </w:r>
      <w:r w:rsidRPr="00405303">
        <w:rPr>
          <w:bCs/>
          <w:color w:val="002060"/>
          <w:sz w:val="16"/>
          <w:szCs w:val="16"/>
        </w:rPr>
        <w:softHyphen/>
        <w:t>левых рот с привязными аэростатами.</w:t>
      </w:r>
    </w:p>
    <w:p w14:paraId="3182913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Осуществление указанных мероприятий по улучшению снабжения авиационным и воздухоплавательным имуществом вызывает огромные расходы. К январю 1915 г. раз</w:t>
      </w:r>
      <w:r w:rsidRPr="00405303">
        <w:rPr>
          <w:bCs/>
          <w:color w:val="002060"/>
          <w:sz w:val="16"/>
          <w:szCs w:val="16"/>
        </w:rPr>
        <w:softHyphen/>
        <w:t>личных заказов было сделано на сумму свыше 30 млн. рублей.</w:t>
      </w:r>
    </w:p>
    <w:p w14:paraId="7909EA9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РГВИА. Ф. 1. Оп. 2. Д. 115. Л. 36-52. Подлинник (487).</w:t>
      </w:r>
    </w:p>
    <w:p w14:paraId="0C793CC9" w14:textId="77777777" w:rsidR="004B4E35" w:rsidRPr="00405303" w:rsidRDefault="004B4E35" w:rsidP="00C15251">
      <w:pPr>
        <w:shd w:val="clear" w:color="auto" w:fill="FFFFFF"/>
        <w:jc w:val="both"/>
        <w:rPr>
          <w:bCs/>
          <w:color w:val="002060"/>
          <w:sz w:val="16"/>
          <w:szCs w:val="16"/>
        </w:rPr>
      </w:pPr>
    </w:p>
    <w:p w14:paraId="1350A6EA" w14:textId="77777777" w:rsidR="004B4E35" w:rsidRPr="00405303" w:rsidRDefault="009E6F82" w:rsidP="00C15251">
      <w:pPr>
        <w:jc w:val="both"/>
        <w:rPr>
          <w:bCs/>
          <w:color w:val="002060"/>
          <w:sz w:val="16"/>
          <w:szCs w:val="16"/>
        </w:rPr>
      </w:pPr>
      <w:r w:rsidRPr="00405303">
        <w:rPr>
          <w:bCs/>
          <w:color w:val="002060"/>
          <w:sz w:val="16"/>
          <w:szCs w:val="16"/>
        </w:rPr>
        <w:t>В начале 1915 года был выпущен первый оригинальный самолет «</w:t>
      </w:r>
      <w:proofErr w:type="gramStart"/>
      <w:r w:rsidRPr="00405303">
        <w:rPr>
          <w:bCs/>
          <w:color w:val="002060"/>
          <w:sz w:val="16"/>
          <w:szCs w:val="16"/>
        </w:rPr>
        <w:t>Лебедь»№</w:t>
      </w:r>
      <w:proofErr w:type="gramEnd"/>
      <w:r w:rsidRPr="00405303">
        <w:rPr>
          <w:bCs/>
          <w:color w:val="002060"/>
          <w:sz w:val="16"/>
          <w:szCs w:val="16"/>
        </w:rPr>
        <w:t xml:space="preserve"> 10. Создавая боевой аппарат, В. А. Лебедев возможно впервые в России заложил в схему и конструкцию аэроплана возможности для многоцелевого применения, не требующие дополнительных мероприятий для сохранения продольной центровки и балансировки. Фюзеляж с начинкой, шасси, хвостовое оперение и синхронный пулемет, который должен был устанавливаться поверху головной части фюзеляжа перед прозрачным козырьком кабины летчика, были неизменными. На вершине расчаленных кабанов и к нижним узлам фюзеляжа можно было навесить два варианта несущих поверхностей. При установке так называемых малых крыльев («МК») получался одностоечный </w:t>
      </w:r>
      <w:proofErr w:type="gramStart"/>
      <w:r w:rsidRPr="00405303">
        <w:rPr>
          <w:bCs/>
          <w:color w:val="002060"/>
          <w:sz w:val="16"/>
          <w:szCs w:val="16"/>
        </w:rPr>
        <w:t>полутораплан,,</w:t>
      </w:r>
      <w:proofErr w:type="gramEnd"/>
      <w:r w:rsidRPr="00405303">
        <w:rPr>
          <w:bCs/>
          <w:color w:val="002060"/>
          <w:sz w:val="16"/>
          <w:szCs w:val="16"/>
        </w:rPr>
        <w:t xml:space="preserve"> который должен был применяться как одноместный истребитель. Верхнее крыло площадью 16 м</w:t>
      </w:r>
      <w:r w:rsidRPr="00405303">
        <w:rPr>
          <w:bCs/>
          <w:color w:val="002060"/>
          <w:sz w:val="16"/>
          <w:szCs w:val="16"/>
          <w:vertAlign w:val="superscript"/>
        </w:rPr>
        <w:t>2</w:t>
      </w:r>
      <w:r w:rsidRPr="00405303">
        <w:rPr>
          <w:bCs/>
          <w:color w:val="002060"/>
          <w:sz w:val="16"/>
          <w:szCs w:val="16"/>
        </w:rPr>
        <w:t xml:space="preserve"> имело нормальные элероны по концам, расширяющиеся по размаху. Нижнее крыло, имевшее площадь 13 м</w:t>
      </w:r>
      <w:r w:rsidRPr="00405303">
        <w:rPr>
          <w:bCs/>
          <w:color w:val="002060"/>
          <w:sz w:val="16"/>
          <w:szCs w:val="16"/>
          <w:vertAlign w:val="superscript"/>
        </w:rPr>
        <w:t>1</w:t>
      </w:r>
      <w:r w:rsidRPr="00405303">
        <w:rPr>
          <w:bCs/>
          <w:color w:val="002060"/>
          <w:sz w:val="16"/>
          <w:szCs w:val="16"/>
        </w:rPr>
        <w:t>, было без элеронов. Оба крыла являлись двухлонжеронными и набирались из одинаковых фанерных нервюр вогнуто-выпуклого профиля. Боковые стойки бипланной коробки состояли из двух стержней каплевидного поперечного сечения, расчаленных стальной проволокой. Центральные кабаны (также расчаленные) крепились к верхним перекрестьям стержней фюзеляжной фермы. Шаг нервюр крыльев по размаху был выбран равным 875 мм. Он четко определил дистанцию между кабанами, т. е. ширину фюзеляжа, расстояние между элеронами, боковыми стойками и концевыми срезами крыльев, т. е. размах последних. Этому закону построения базовой геометрии были подчинены крылья второго варианта самолета «Лебедь» № 10, который должен был стать воздушным разведчиком. Его можно назвать «Лебедь» № 10 «БК» (т. е. большие крылья), крылья его при одинаковом размахе имели разные площади, верхнее — 20 м</w:t>
      </w:r>
      <w:r w:rsidRPr="00405303">
        <w:rPr>
          <w:bCs/>
          <w:color w:val="002060"/>
          <w:sz w:val="16"/>
          <w:szCs w:val="16"/>
          <w:vertAlign w:val="superscript"/>
        </w:rPr>
        <w:t>2</w:t>
      </w:r>
      <w:r w:rsidRPr="00405303">
        <w:rPr>
          <w:bCs/>
          <w:color w:val="002060"/>
          <w:sz w:val="16"/>
          <w:szCs w:val="16"/>
        </w:rPr>
        <w:t xml:space="preserve"> за счет расширения элеронов и нижнее — 19,4 </w:t>
      </w:r>
      <w:proofErr w:type="gramStart"/>
      <w:r w:rsidRPr="00405303">
        <w:rPr>
          <w:bCs/>
          <w:color w:val="002060"/>
          <w:sz w:val="16"/>
          <w:szCs w:val="16"/>
        </w:rPr>
        <w:t>м .</w:t>
      </w:r>
      <w:proofErr w:type="gramEnd"/>
      <w:r w:rsidRPr="00405303">
        <w:rPr>
          <w:bCs/>
          <w:color w:val="002060"/>
          <w:sz w:val="16"/>
          <w:szCs w:val="16"/>
        </w:rPr>
        <w:t xml:space="preserve"> Бипланная коробка этого варианта была уже двухстоечной. Стягивание пролетов между стойками было одинаковым для обоих вариантов «десятки», проволочными расчалками крест-накрест. Элероны для верхних крыльев независимо от их размаха также были одинаковыми. Материалы для крыльев: </w:t>
      </w:r>
      <w:proofErr w:type="gramStart"/>
      <w:r w:rsidRPr="00405303">
        <w:rPr>
          <w:bCs/>
          <w:color w:val="002060"/>
          <w:sz w:val="16"/>
          <w:szCs w:val="16"/>
        </w:rPr>
        <w:t>фанера</w:t>
      </w:r>
      <w:proofErr w:type="gramEnd"/>
      <w:r w:rsidRPr="00405303">
        <w:rPr>
          <w:bCs/>
          <w:color w:val="002060"/>
          <w:sz w:val="16"/>
          <w:szCs w:val="16"/>
        </w:rPr>
        <w:t xml:space="preserve"> гнутая для лобовых частей крыльев, лонжероны коробчатые из сосновых брусьев и фанеры, обшивка — полотно на краске и лаке, фюзеляж был выполнен виде длинной прямоугольной фермы, суживающейся к хвосту и состоящей из двух разъемных частей. Головной отсек, в котором были расположены мотор, топливо и рабочее место летчика, представлял собой стержневую ферму, сваренную из стальных труб. Хвостовой отсек имел деревянную ферму, стянутую во всех клетках по бортам и в плоскостях шпангоутов проволочными расчалками. По верхней и нижней сторонам фюзеляжные фермы были прикрыты полукруглыми гаргротами, сделанными из фанеры. Общая обтяжка полотном и последующее покрытие краской и лаком образовывали наружную поверхность фюзеляжа. Исключению была подвергнута носовая часть корпуса. Ротативный двигатель «Рон» (80 л. с.) был частично закрыт цилиндрическим капотом с небольшим лобовым щитком в верхней части. Борта моторного отсека обшивались фанерой. Для бесступечатого обтекания носовой части фюзеляжа по бокам были надставлены плавные сходы контуров от круглого капота к плоским бортам в виде выпуклых накладок, образованных коническими сегментами. Шасси имело классическую двухстоечную схему с единой осью для колес. Амортизация шасси, резиновая шнуровая, также была общепринятой в то время. Хвостовое оперение было привычным с установившейся конструктивно-силовой схемой: стабилизатор с двумя секциями руля высоты и киль с рулем поворота. Горизонтальное оперение имело при виде сверху форму кругового сегмента радиусом 2 м. Вертикальное оперение по виду сбоку было треугольным.</w:t>
      </w:r>
    </w:p>
    <w:p w14:paraId="182008AC" w14:textId="77777777" w:rsidR="004B4E35" w:rsidRPr="00405303" w:rsidRDefault="009E6F82" w:rsidP="00C15251">
      <w:pPr>
        <w:jc w:val="both"/>
        <w:rPr>
          <w:bCs/>
          <w:color w:val="002060"/>
          <w:sz w:val="16"/>
          <w:szCs w:val="16"/>
        </w:rPr>
      </w:pPr>
      <w:r w:rsidRPr="00405303">
        <w:rPr>
          <w:bCs/>
          <w:color w:val="002060"/>
          <w:sz w:val="16"/>
          <w:szCs w:val="16"/>
        </w:rPr>
        <w:t>Два экземпляра «Лебедь» № 10 были построены в конце 1915 г. ив начале 1916 г. Полутораплан «МК» мог бы стать истребителем, да вот мощность мотора оказалась недостаточной. Более размашистый вариант («БК») в качестве истребителя был, конечно же, негожим, а как разведчик -маломощным. Разнокрылые близнецы проходили летные испытания весной 1916 года и, не показав требуемых качеств, в серии не строились. На самолетах летал сам автор. Вооружение на обеих машинах не устанавливалось.</w:t>
      </w:r>
    </w:p>
    <w:p w14:paraId="1FF961AA" w14:textId="77777777" w:rsidR="004B4E35" w:rsidRPr="00405303" w:rsidRDefault="009E6F82" w:rsidP="00C15251">
      <w:pPr>
        <w:jc w:val="both"/>
        <w:rPr>
          <w:bCs/>
          <w:color w:val="002060"/>
          <w:sz w:val="16"/>
          <w:szCs w:val="16"/>
        </w:rPr>
      </w:pPr>
      <w:r w:rsidRPr="00405303">
        <w:rPr>
          <w:bCs/>
          <w:color w:val="002060"/>
          <w:sz w:val="16"/>
          <w:szCs w:val="16"/>
        </w:rPr>
        <w:t xml:space="preserve">В последующем времени Владимир Александрович Лебедев строил и другие самолеты на нескольких своих заводах. В основном это были воздушные разведчики. Количество опытных и серийных типов с обозначением «Лебедь» доходило до двух с половиной десятков. Наиболее многотиражными и известными были самолеты «Лебедь» № 11 и «Лебедь» № 12. Они не выделялись своими характеристиками и не были оригинальными по схеме и конструкции. Используемые для этих разведчиков моторы воздушного охлаждения «Сальмсон» в 150 л. с. не имели альтернативы, и заказчики были вынуждены довольствоваться принципом «ешь, что дают». Своих моторов в России не было, да и война с Германией к 1917 году как-то застабилизировалась в своих требованиях к разведывательной авиации. Истребительный парк пополнялся французскими и английскими самолетами, и деятельность В. А. Лебедева сводилась более к ремонту этих машин на его заводах, </w:t>
      </w:r>
      <w:r w:rsidRPr="00405303">
        <w:rPr>
          <w:bCs/>
          <w:color w:val="002060"/>
          <w:sz w:val="16"/>
          <w:szCs w:val="16"/>
        </w:rPr>
        <w:lastRenderedPageBreak/>
        <w:t>чем к выпуску новых аппаратов. В 1917 году Лебедев построил еще два завода и стал получать крупные заказы на постройку сотен самолетов типа «Сопвич». В основном строились разведчики «Лебедь» № 12. Спортсмену-летчику лучше удавались воспроизведения чужих самолетов, чаще всего это были немецкие «Альбатросы». В опытном производстве на его заводах чаще находились самолеты других конструкторов. Собственные попытки разработать новые оригинальные конструкции встречались в его практике сравнительно редко.</w:t>
      </w:r>
    </w:p>
    <w:p w14:paraId="3D246C8F" w14:textId="77777777" w:rsidR="004B4E35" w:rsidRPr="00405303" w:rsidRDefault="009E6F82" w:rsidP="00C15251">
      <w:pPr>
        <w:jc w:val="both"/>
        <w:rPr>
          <w:bCs/>
          <w:color w:val="002060"/>
          <w:sz w:val="16"/>
          <w:szCs w:val="16"/>
        </w:rPr>
      </w:pPr>
      <w:r w:rsidRPr="00405303">
        <w:rPr>
          <w:bCs/>
          <w:color w:val="002060"/>
          <w:sz w:val="16"/>
          <w:szCs w:val="16"/>
        </w:rPr>
        <w:t>В 1918 году В. А. Лебедев вынужден был бежать из Петрограда на Юг, а оттуда — в Сербию. На новом месте он занимался продажей и распространением французских моторов «Гном» и «Рон». В 1926 году Лебедев переезжает в Париж, активно включается в работу французского аэроклуба и за плодотворную деятельность на авиационном поприще удостаивается высшей награды Франции ордена Почетного легиона. Владимир Александрович Лебедев умер вдали от родины в 1947 году и был захоронен на русском кладбище (11918).</w:t>
      </w:r>
    </w:p>
    <w:p w14:paraId="39656D76" w14:textId="77777777" w:rsidR="004B4E35" w:rsidRPr="00405303" w:rsidRDefault="004B4E35" w:rsidP="00C15251">
      <w:pPr>
        <w:jc w:val="both"/>
        <w:rPr>
          <w:bCs/>
          <w:color w:val="002060"/>
          <w:sz w:val="16"/>
          <w:szCs w:val="16"/>
        </w:rPr>
      </w:pPr>
    </w:p>
    <w:p w14:paraId="544FDFA2"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начале 1915 г. русские самолетостроительные предприятия давали менее 50 самолетов в месяц, то к концу года ежемесячно производилось до 75 само</w:t>
      </w:r>
      <w:r w:rsidR="009E6F82" w:rsidRPr="00405303">
        <w:rPr>
          <w:bCs/>
          <w:color w:val="002060"/>
          <w:sz w:val="16"/>
          <w:szCs w:val="16"/>
        </w:rPr>
        <w:softHyphen/>
        <w:t>летов. Всего за 1915 г. русские заводы дали военному ведом</w:t>
      </w:r>
      <w:r w:rsidR="009E6F82" w:rsidRPr="00405303">
        <w:rPr>
          <w:bCs/>
          <w:color w:val="002060"/>
          <w:sz w:val="16"/>
          <w:szCs w:val="16"/>
        </w:rPr>
        <w:softHyphen/>
        <w:t>ству свыше 700 самолетов. В условиях все более развертывав</w:t>
      </w:r>
      <w:r w:rsidR="009E6F82" w:rsidRPr="00405303">
        <w:rPr>
          <w:bCs/>
          <w:color w:val="002060"/>
          <w:sz w:val="16"/>
          <w:szCs w:val="16"/>
        </w:rPr>
        <w:softHyphen/>
        <w:t>шейся первой мировой войны, требовавшей огромного количества материальных ресурсов, это было явно недостаточно</w:t>
      </w:r>
      <w:r w:rsidRPr="00405303">
        <w:rPr>
          <w:bCs/>
          <w:color w:val="002060"/>
          <w:sz w:val="16"/>
          <w:szCs w:val="16"/>
        </w:rPr>
        <w:t>.</w:t>
      </w:r>
    </w:p>
    <w:p w14:paraId="174326FE"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За период с августа 1914 г. по 1 января 1915 г. в действую</w:t>
      </w:r>
      <w:r w:rsidRPr="00405303">
        <w:rPr>
          <w:bCs/>
          <w:color w:val="002060"/>
          <w:sz w:val="16"/>
          <w:szCs w:val="16"/>
        </w:rPr>
        <w:softHyphen/>
        <w:t>щую армию поступило только 157 самолетов (из них несколько самолетов французских и около 20 трофейных самолетов).</w:t>
      </w:r>
    </w:p>
    <w:p w14:paraId="063B8949"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Состояние самолетного парка русской действующей армии во второй половине 1914 г. характеризуется следующими дан</w:t>
      </w:r>
      <w:r w:rsidRPr="00405303">
        <w:rPr>
          <w:bCs/>
          <w:color w:val="002060"/>
          <w:sz w:val="16"/>
          <w:szCs w:val="16"/>
        </w:rPr>
        <w:softHyphen/>
        <w:t>ными (табл. 1) (ЦГВИА, ф. 2008, оп. 2, д. 616, л. .137).</w:t>
      </w:r>
    </w:p>
    <w:p w14:paraId="350E7309"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Таблица 1</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26"/>
        <w:gridCol w:w="1776"/>
        <w:gridCol w:w="797"/>
        <w:gridCol w:w="806"/>
        <w:gridCol w:w="653"/>
      </w:tblGrid>
      <w:tr w:rsidR="00DB5EE2" w:rsidRPr="00405303" w14:paraId="599B7BC0" w14:textId="77777777" w:rsidTr="00D34AC1">
        <w:trPr>
          <w:trHeight w:val="403"/>
        </w:trPr>
        <w:tc>
          <w:tcPr>
            <w:tcW w:w="2102" w:type="dxa"/>
            <w:gridSpan w:val="2"/>
          </w:tcPr>
          <w:p w14:paraId="065FFEFC"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Дата</w:t>
            </w:r>
          </w:p>
        </w:tc>
        <w:tc>
          <w:tcPr>
            <w:tcW w:w="2256" w:type="dxa"/>
            <w:gridSpan w:val="3"/>
          </w:tcPr>
          <w:p w14:paraId="2BC5AD70"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Количество самолетов</w:t>
            </w:r>
          </w:p>
        </w:tc>
      </w:tr>
      <w:tr w:rsidR="00DB5EE2" w:rsidRPr="00405303" w14:paraId="16F93DB5" w14:textId="77777777" w:rsidTr="00D34AC1">
        <w:trPr>
          <w:trHeight w:val="432"/>
        </w:trPr>
        <w:tc>
          <w:tcPr>
            <w:tcW w:w="2102" w:type="dxa"/>
            <w:gridSpan w:val="2"/>
          </w:tcPr>
          <w:p w14:paraId="3CE75B54" w14:textId="77777777" w:rsidR="00DB5EE2" w:rsidRPr="00405303" w:rsidRDefault="00DB5EE2" w:rsidP="00C15251">
            <w:pPr>
              <w:jc w:val="both"/>
              <w:rPr>
                <w:bCs/>
                <w:color w:val="002060"/>
                <w:sz w:val="16"/>
                <w:szCs w:val="16"/>
              </w:rPr>
            </w:pPr>
          </w:p>
        </w:tc>
        <w:tc>
          <w:tcPr>
            <w:tcW w:w="797" w:type="dxa"/>
          </w:tcPr>
          <w:p w14:paraId="12A7728C"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исправных</w:t>
            </w:r>
          </w:p>
        </w:tc>
        <w:tc>
          <w:tcPr>
            <w:tcW w:w="806" w:type="dxa"/>
          </w:tcPr>
          <w:p w14:paraId="3CE20DD8"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в ремонте</w:t>
            </w:r>
          </w:p>
        </w:tc>
        <w:tc>
          <w:tcPr>
            <w:tcW w:w="653" w:type="dxa"/>
          </w:tcPr>
          <w:p w14:paraId="4739FF05"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всего</w:t>
            </w:r>
          </w:p>
        </w:tc>
      </w:tr>
      <w:tr w:rsidR="00DB5EE2" w:rsidRPr="00405303" w14:paraId="7B6FB0E8" w14:textId="77777777" w:rsidTr="00D34AC1">
        <w:trPr>
          <w:trHeight w:val="442"/>
        </w:trPr>
        <w:tc>
          <w:tcPr>
            <w:tcW w:w="326" w:type="dxa"/>
          </w:tcPr>
          <w:p w14:paraId="72C108E4"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На</w:t>
            </w:r>
          </w:p>
        </w:tc>
        <w:tc>
          <w:tcPr>
            <w:tcW w:w="1776" w:type="dxa"/>
          </w:tcPr>
          <w:p w14:paraId="727EFF3F"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1 сентября 1914 г.</w:t>
            </w:r>
          </w:p>
        </w:tc>
        <w:tc>
          <w:tcPr>
            <w:tcW w:w="797" w:type="dxa"/>
          </w:tcPr>
          <w:p w14:paraId="0D130DCC"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145</w:t>
            </w:r>
          </w:p>
        </w:tc>
        <w:tc>
          <w:tcPr>
            <w:tcW w:w="806" w:type="dxa"/>
          </w:tcPr>
          <w:p w14:paraId="2F0512F8"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17</w:t>
            </w:r>
          </w:p>
        </w:tc>
        <w:tc>
          <w:tcPr>
            <w:tcW w:w="653" w:type="dxa"/>
          </w:tcPr>
          <w:p w14:paraId="70B56EFC"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162</w:t>
            </w:r>
          </w:p>
        </w:tc>
      </w:tr>
      <w:tr w:rsidR="00DB5EE2" w:rsidRPr="00405303" w14:paraId="14DEB40C" w14:textId="77777777" w:rsidTr="00D34AC1">
        <w:trPr>
          <w:trHeight w:val="173"/>
        </w:trPr>
        <w:tc>
          <w:tcPr>
            <w:tcW w:w="326" w:type="dxa"/>
          </w:tcPr>
          <w:p w14:paraId="06E29BC3"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На</w:t>
            </w:r>
          </w:p>
        </w:tc>
        <w:tc>
          <w:tcPr>
            <w:tcW w:w="1776" w:type="dxa"/>
          </w:tcPr>
          <w:p w14:paraId="3E7E3579"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1 октября 1914 г.</w:t>
            </w:r>
          </w:p>
        </w:tc>
        <w:tc>
          <w:tcPr>
            <w:tcW w:w="797" w:type="dxa"/>
          </w:tcPr>
          <w:p w14:paraId="0AD62E30"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150</w:t>
            </w:r>
          </w:p>
        </w:tc>
        <w:tc>
          <w:tcPr>
            <w:tcW w:w="806" w:type="dxa"/>
          </w:tcPr>
          <w:p w14:paraId="55B6A900"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20</w:t>
            </w:r>
          </w:p>
        </w:tc>
        <w:tc>
          <w:tcPr>
            <w:tcW w:w="653" w:type="dxa"/>
          </w:tcPr>
          <w:p w14:paraId="5B7E3C5D"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170</w:t>
            </w:r>
          </w:p>
        </w:tc>
      </w:tr>
      <w:tr w:rsidR="00DB5EE2" w:rsidRPr="00405303" w14:paraId="7E2A6394" w14:textId="77777777" w:rsidTr="00D34AC1">
        <w:trPr>
          <w:trHeight w:val="163"/>
        </w:trPr>
        <w:tc>
          <w:tcPr>
            <w:tcW w:w="326" w:type="dxa"/>
          </w:tcPr>
          <w:p w14:paraId="3EADF84A"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На</w:t>
            </w:r>
          </w:p>
        </w:tc>
        <w:tc>
          <w:tcPr>
            <w:tcW w:w="1776" w:type="dxa"/>
          </w:tcPr>
          <w:p w14:paraId="331B171C"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1 ноября 1914 г.</w:t>
            </w:r>
          </w:p>
        </w:tc>
        <w:tc>
          <w:tcPr>
            <w:tcW w:w="797" w:type="dxa"/>
          </w:tcPr>
          <w:p w14:paraId="31525A0D"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160</w:t>
            </w:r>
          </w:p>
        </w:tc>
        <w:tc>
          <w:tcPr>
            <w:tcW w:w="806" w:type="dxa"/>
          </w:tcPr>
          <w:p w14:paraId="3F556623"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42</w:t>
            </w:r>
          </w:p>
        </w:tc>
        <w:tc>
          <w:tcPr>
            <w:tcW w:w="653" w:type="dxa"/>
          </w:tcPr>
          <w:p w14:paraId="4A3C1625"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202</w:t>
            </w:r>
          </w:p>
        </w:tc>
      </w:tr>
      <w:tr w:rsidR="00DB5EE2" w:rsidRPr="00405303" w14:paraId="5C9DE9A2" w14:textId="77777777" w:rsidTr="00D34AC1">
        <w:trPr>
          <w:trHeight w:val="173"/>
        </w:trPr>
        <w:tc>
          <w:tcPr>
            <w:tcW w:w="326" w:type="dxa"/>
          </w:tcPr>
          <w:p w14:paraId="3B3B1250"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На</w:t>
            </w:r>
          </w:p>
        </w:tc>
        <w:tc>
          <w:tcPr>
            <w:tcW w:w="1776" w:type="dxa"/>
          </w:tcPr>
          <w:p w14:paraId="643A501E"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1 декабря 1014 г.</w:t>
            </w:r>
          </w:p>
        </w:tc>
        <w:tc>
          <w:tcPr>
            <w:tcW w:w="797" w:type="dxa"/>
          </w:tcPr>
          <w:p w14:paraId="2C206C8F"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162</w:t>
            </w:r>
          </w:p>
        </w:tc>
        <w:tc>
          <w:tcPr>
            <w:tcW w:w="806" w:type="dxa"/>
          </w:tcPr>
          <w:p w14:paraId="72F185BC"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37</w:t>
            </w:r>
          </w:p>
        </w:tc>
        <w:tc>
          <w:tcPr>
            <w:tcW w:w="653" w:type="dxa"/>
          </w:tcPr>
          <w:p w14:paraId="36A46AB1"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199</w:t>
            </w:r>
          </w:p>
        </w:tc>
      </w:tr>
      <w:tr w:rsidR="00DB5EE2" w:rsidRPr="00405303" w14:paraId="3FCA6D35" w14:textId="77777777" w:rsidTr="00D34AC1">
        <w:trPr>
          <w:trHeight w:val="346"/>
        </w:trPr>
        <w:tc>
          <w:tcPr>
            <w:tcW w:w="326" w:type="dxa"/>
          </w:tcPr>
          <w:p w14:paraId="3118C3D2"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На</w:t>
            </w:r>
          </w:p>
        </w:tc>
        <w:tc>
          <w:tcPr>
            <w:tcW w:w="1776" w:type="dxa"/>
          </w:tcPr>
          <w:p w14:paraId="1E1D0C35"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1 января 1915 г.</w:t>
            </w:r>
          </w:p>
        </w:tc>
        <w:tc>
          <w:tcPr>
            <w:tcW w:w="797" w:type="dxa"/>
          </w:tcPr>
          <w:p w14:paraId="5B6A1A94"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209</w:t>
            </w:r>
          </w:p>
        </w:tc>
        <w:tc>
          <w:tcPr>
            <w:tcW w:w="806" w:type="dxa"/>
          </w:tcPr>
          <w:p w14:paraId="108A8AFE"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62</w:t>
            </w:r>
          </w:p>
        </w:tc>
        <w:tc>
          <w:tcPr>
            <w:tcW w:w="653" w:type="dxa"/>
          </w:tcPr>
          <w:p w14:paraId="2E02E2FA"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271</w:t>
            </w:r>
          </w:p>
        </w:tc>
      </w:tr>
    </w:tbl>
    <w:p w14:paraId="53CC62AB" w14:textId="77777777" w:rsidR="00DB5EE2" w:rsidRPr="00405303" w:rsidRDefault="00DB5EE2" w:rsidP="00C15251">
      <w:pPr>
        <w:shd w:val="clear" w:color="auto" w:fill="FFFFFF"/>
        <w:jc w:val="both"/>
        <w:rPr>
          <w:bCs/>
          <w:color w:val="002060"/>
          <w:sz w:val="16"/>
          <w:szCs w:val="16"/>
        </w:rPr>
      </w:pPr>
      <w:r w:rsidRPr="00405303">
        <w:rPr>
          <w:bCs/>
          <w:color w:val="002060"/>
          <w:sz w:val="16"/>
          <w:szCs w:val="16"/>
        </w:rPr>
        <w:t>Когда в ходе войны выявилось огромное значение авиации, русское военное ведомство приняло некоторые меры для повы</w:t>
      </w:r>
      <w:r w:rsidRPr="00405303">
        <w:rPr>
          <w:bCs/>
          <w:color w:val="002060"/>
          <w:sz w:val="16"/>
          <w:szCs w:val="16"/>
        </w:rPr>
        <w:softHyphen/>
        <w:t>шения производительности авиационных предприятий: мобили</w:t>
      </w:r>
      <w:r w:rsidRPr="00405303">
        <w:rPr>
          <w:bCs/>
          <w:color w:val="002060"/>
          <w:sz w:val="16"/>
          <w:szCs w:val="16"/>
        </w:rPr>
        <w:softHyphen/>
        <w:t>зованные в начале войны квалифицированные рабочие были возвращены на авиационные заводы; правительство содейство</w:t>
      </w:r>
      <w:r w:rsidRPr="00405303">
        <w:rPr>
          <w:bCs/>
          <w:color w:val="002060"/>
          <w:sz w:val="16"/>
          <w:szCs w:val="16"/>
        </w:rPr>
        <w:softHyphen/>
        <w:t>вало обеспечению авиационных заводов необходимыми мате</w:t>
      </w:r>
      <w:r w:rsidRPr="00405303">
        <w:rPr>
          <w:bCs/>
          <w:color w:val="002060"/>
          <w:sz w:val="16"/>
          <w:szCs w:val="16"/>
        </w:rPr>
        <w:softHyphen/>
        <w:t>риалами и т. п.</w:t>
      </w:r>
    </w:p>
    <w:p w14:paraId="28CBAD36" w14:textId="086C9893" w:rsidR="004B4E35" w:rsidRPr="00405303" w:rsidRDefault="00DB5EE2" w:rsidP="00C15251">
      <w:pPr>
        <w:shd w:val="clear" w:color="auto" w:fill="FFFFFF"/>
        <w:jc w:val="both"/>
        <w:rPr>
          <w:bCs/>
          <w:color w:val="002060"/>
          <w:sz w:val="16"/>
          <w:szCs w:val="16"/>
        </w:rPr>
      </w:pPr>
      <w:r w:rsidRPr="00405303">
        <w:rPr>
          <w:bCs/>
          <w:color w:val="002060"/>
          <w:sz w:val="16"/>
          <w:szCs w:val="16"/>
        </w:rPr>
        <w:t>В результате этих мероприятий количество выпускаемых са</w:t>
      </w:r>
      <w:r w:rsidRPr="00405303">
        <w:rPr>
          <w:bCs/>
          <w:color w:val="002060"/>
          <w:sz w:val="16"/>
          <w:szCs w:val="16"/>
        </w:rPr>
        <w:softHyphen/>
        <w:t xml:space="preserve">молетов постепенно повышалось </w:t>
      </w:r>
      <w:r w:rsidR="009E6F82" w:rsidRPr="00405303">
        <w:rPr>
          <w:bCs/>
          <w:color w:val="002060"/>
          <w:sz w:val="16"/>
          <w:szCs w:val="16"/>
        </w:rPr>
        <w:t>(278).</w:t>
      </w:r>
    </w:p>
    <w:p w14:paraId="28C0B1BB" w14:textId="77777777" w:rsidR="004B4E35" w:rsidRPr="00405303" w:rsidRDefault="004B4E35" w:rsidP="00C15251">
      <w:pPr>
        <w:shd w:val="clear" w:color="auto" w:fill="FFFFFF"/>
        <w:jc w:val="both"/>
        <w:rPr>
          <w:bCs/>
          <w:color w:val="002060"/>
          <w:sz w:val="16"/>
          <w:szCs w:val="16"/>
        </w:rPr>
      </w:pPr>
    </w:p>
    <w:p w14:paraId="5A3263D1" w14:textId="4F1D304D" w:rsidR="004B4E35" w:rsidRPr="00405303" w:rsidRDefault="00DB5EE2"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начале 1915 г. капитаном Орановским</w:t>
      </w:r>
      <w:r w:rsidRPr="00405303">
        <w:rPr>
          <w:bCs/>
          <w:color w:val="002060"/>
          <w:sz w:val="16"/>
          <w:szCs w:val="16"/>
        </w:rPr>
        <w:t xml:space="preserve"> был сконструирован бомбодержатель балочного типа, обеспечивающий горизонтальную подвеску</w:t>
      </w:r>
      <w:r w:rsidR="009E6F82" w:rsidRPr="00405303">
        <w:rPr>
          <w:bCs/>
          <w:color w:val="002060"/>
          <w:sz w:val="16"/>
          <w:szCs w:val="16"/>
        </w:rPr>
        <w:t>. С помощью пружины носок авиабомбы в этом уст</w:t>
      </w:r>
      <w:r w:rsidR="009E6F82" w:rsidRPr="00405303">
        <w:rPr>
          <w:bCs/>
          <w:color w:val="002060"/>
          <w:sz w:val="16"/>
          <w:szCs w:val="16"/>
        </w:rPr>
        <w:softHyphen/>
        <w:t>ройстве удерживался специальным стержнем за ушко, ввернутое в корпус авиабомбы. Стабилизатор зацеплялся специальным крючком.</w:t>
      </w:r>
    </w:p>
    <w:p w14:paraId="5A2C34F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кабине летчика находилась рукоятка, управлявшая тросом, при</w:t>
      </w:r>
      <w:r w:rsidRPr="00405303">
        <w:rPr>
          <w:bCs/>
          <w:color w:val="002060"/>
          <w:sz w:val="16"/>
          <w:szCs w:val="16"/>
        </w:rPr>
        <w:softHyphen/>
        <w:t>крепленным к стержню, удерживающим авиабомбу на бомбодержателе. При повороте рукоятки на определенный угол, стержень выдергивался из ушка авиабомбы, носок бомбы освобождался, и бомба принимала верти</w:t>
      </w:r>
      <w:r w:rsidRPr="00405303">
        <w:rPr>
          <w:bCs/>
          <w:color w:val="002060"/>
          <w:sz w:val="16"/>
          <w:szCs w:val="16"/>
        </w:rPr>
        <w:softHyphen/>
        <w:t>кальное положение и падала. Бомбодержателями и бомбосбрасывателя</w:t>
      </w:r>
      <w:r w:rsidRPr="00405303">
        <w:rPr>
          <w:bCs/>
          <w:color w:val="002060"/>
          <w:sz w:val="16"/>
          <w:szCs w:val="16"/>
        </w:rPr>
        <w:softHyphen/>
        <w:t>ми Орановского оборудовались самолеты, которые выпускались завода</w:t>
      </w:r>
      <w:r w:rsidRPr="00405303">
        <w:rPr>
          <w:bCs/>
          <w:color w:val="002060"/>
          <w:sz w:val="16"/>
          <w:szCs w:val="16"/>
        </w:rPr>
        <w:softHyphen/>
        <w:t>ми Терещенко и Дукс. Эта же система была установлена на самолетах типа «Илья Муромец» (11425).</w:t>
      </w:r>
    </w:p>
    <w:p w14:paraId="4A4B4E22" w14:textId="77777777" w:rsidR="00DB5EE2" w:rsidRPr="00405303" w:rsidRDefault="00DB5EE2" w:rsidP="00C15251">
      <w:pPr>
        <w:shd w:val="clear" w:color="auto" w:fill="FFFFFF"/>
        <w:jc w:val="both"/>
        <w:rPr>
          <w:bCs/>
          <w:color w:val="002060"/>
          <w:sz w:val="16"/>
          <w:szCs w:val="16"/>
        </w:rPr>
      </w:pPr>
    </w:p>
    <w:p w14:paraId="29391033" w14:textId="0A571849" w:rsidR="004B4E35" w:rsidRPr="00405303" w:rsidRDefault="009E6F82" w:rsidP="00C15251">
      <w:pPr>
        <w:shd w:val="clear" w:color="auto" w:fill="FFFFFF"/>
        <w:jc w:val="both"/>
        <w:rPr>
          <w:bCs/>
          <w:color w:val="002060"/>
          <w:sz w:val="16"/>
          <w:szCs w:val="16"/>
        </w:rPr>
      </w:pPr>
      <w:r w:rsidRPr="00405303">
        <w:rPr>
          <w:bCs/>
          <w:color w:val="002060"/>
          <w:sz w:val="16"/>
          <w:szCs w:val="16"/>
        </w:rPr>
        <w:t>Когда в начале 1915 г. ГВТУ попросило начальников авиаотря</w:t>
      </w:r>
      <w:r w:rsidRPr="00405303">
        <w:rPr>
          <w:bCs/>
          <w:color w:val="002060"/>
          <w:sz w:val="16"/>
          <w:szCs w:val="16"/>
        </w:rPr>
        <w:softHyphen/>
        <w:t>дов указать «случаи и результаты применения па некоторых аэропланах пулеметов и маузеров», то один из командиров авиационного отряда от</w:t>
      </w:r>
      <w:r w:rsidRPr="00405303">
        <w:rPr>
          <w:bCs/>
          <w:color w:val="002060"/>
          <w:sz w:val="16"/>
          <w:szCs w:val="16"/>
        </w:rPr>
        <w:softHyphen/>
        <w:t>ветил: «Пулеметы на войне не применялись (хотя были установлены) ввиду невозможности занять выгодное маневренное положение. Маузе</w:t>
      </w:r>
      <w:r w:rsidRPr="00405303">
        <w:rPr>
          <w:bCs/>
          <w:color w:val="002060"/>
          <w:sz w:val="16"/>
          <w:szCs w:val="16"/>
        </w:rPr>
        <w:softHyphen/>
        <w:t>ры не применялись (выбрасывание гильз не даст уверенности при ветре сзади), желательно нечто вроде ружья Льюиса».</w:t>
      </w:r>
    </w:p>
    <w:p w14:paraId="0D2F2AB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Впрочем, пулеметы «Максим» вес же использовались, для облегчения у них срезали половину кожуха. Однако использовались они и начале войны в России только для вооружения тяжелых самолетов «Илья Му</w:t>
      </w:r>
      <w:r w:rsidRPr="00405303">
        <w:rPr>
          <w:bCs/>
          <w:color w:val="002060"/>
          <w:sz w:val="16"/>
          <w:szCs w:val="16"/>
        </w:rPr>
        <w:softHyphen/>
        <w:t>ромец».</w:t>
      </w:r>
    </w:p>
    <w:p w14:paraId="6585FB6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Вначале на них устанавливались пулеметы «Максим», затем «Лыоис» калибром 7,62 мм, имевшие скорострельность около 400 выстрелов в ми</w:t>
      </w:r>
      <w:r w:rsidRPr="00405303">
        <w:rPr>
          <w:bCs/>
          <w:color w:val="002060"/>
          <w:sz w:val="16"/>
          <w:szCs w:val="16"/>
        </w:rPr>
        <w:softHyphen/>
        <w:t>нуту. На верху фюзеляжа, между плоскостями, располагались два пуле</w:t>
      </w:r>
      <w:r w:rsidRPr="00405303">
        <w:rPr>
          <w:bCs/>
          <w:color w:val="002060"/>
          <w:sz w:val="16"/>
          <w:szCs w:val="16"/>
        </w:rPr>
        <w:softHyphen/>
        <w:t>мета, стрелявшие вперед, в боковых окнах по одному пулемету, которые стреляли в стороны под углом около 60°. Один пулемет помещался в ниж</w:t>
      </w:r>
      <w:r w:rsidRPr="00405303">
        <w:rPr>
          <w:bCs/>
          <w:color w:val="002060"/>
          <w:sz w:val="16"/>
          <w:szCs w:val="16"/>
        </w:rPr>
        <w:softHyphen/>
        <w:t>нем люкс стрелка и, наконец, на хвосте самолета устанавливалась задняя пулеметная точка, которую летчики называли «вороньим гнездом» (11060).</w:t>
      </w:r>
    </w:p>
    <w:p w14:paraId="600996B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Стрельба поверх винта из пулеметов новейших систем крайне за</w:t>
      </w:r>
      <w:r w:rsidRPr="00405303">
        <w:rPr>
          <w:bCs/>
          <w:color w:val="002060"/>
          <w:sz w:val="16"/>
          <w:szCs w:val="16"/>
        </w:rPr>
        <w:softHyphen/>
        <w:t xml:space="preserve">трудняла летчиков, даже несмотря на то, </w:t>
      </w:r>
      <w:proofErr w:type="gramStart"/>
      <w:r w:rsidRPr="00405303">
        <w:rPr>
          <w:bCs/>
          <w:color w:val="002060"/>
          <w:sz w:val="16"/>
          <w:szCs w:val="16"/>
        </w:rPr>
        <w:t>что.гашетка</w:t>
      </w:r>
      <w:proofErr w:type="gramEnd"/>
      <w:r w:rsidRPr="00405303">
        <w:rPr>
          <w:bCs/>
          <w:color w:val="002060"/>
          <w:sz w:val="16"/>
          <w:szCs w:val="16"/>
        </w:rPr>
        <w:t xml:space="preserve"> находилась на ру</w:t>
      </w:r>
      <w:r w:rsidRPr="00405303">
        <w:rPr>
          <w:bCs/>
          <w:color w:val="002060"/>
          <w:sz w:val="16"/>
          <w:szCs w:val="16"/>
        </w:rPr>
        <w:softHyphen/>
        <w:t>коятке управления. Как только расходовались имевшиеся в магазине пу</w:t>
      </w:r>
      <w:r w:rsidRPr="00405303">
        <w:rPr>
          <w:bCs/>
          <w:color w:val="002060"/>
          <w:sz w:val="16"/>
          <w:szCs w:val="16"/>
        </w:rPr>
        <w:softHyphen/>
        <w:t>лемета «Льюис» 47 патронов, надо было, наклони в пулемет, сменить диск. Все это приходилось проделывать одной рукой, что затрудняло маневри</w:t>
      </w:r>
      <w:r w:rsidRPr="00405303">
        <w:rPr>
          <w:bCs/>
          <w:color w:val="002060"/>
          <w:sz w:val="16"/>
          <w:szCs w:val="16"/>
        </w:rPr>
        <w:softHyphen/>
        <w:t>рование самолетом и давало явное преимущество противнику (11060).</w:t>
      </w:r>
    </w:p>
    <w:p w14:paraId="6AE812EB" w14:textId="77777777" w:rsidR="004B4E35" w:rsidRPr="00405303" w:rsidRDefault="004B4E35" w:rsidP="00C15251">
      <w:pPr>
        <w:shd w:val="clear" w:color="auto" w:fill="FFFFFF"/>
        <w:jc w:val="both"/>
        <w:rPr>
          <w:bCs/>
          <w:color w:val="002060"/>
          <w:sz w:val="16"/>
          <w:szCs w:val="16"/>
        </w:rPr>
      </w:pPr>
    </w:p>
    <w:p w14:paraId="642AA7CC" w14:textId="77777777" w:rsidR="004B4E35" w:rsidRPr="00405303" w:rsidRDefault="009E6F82" w:rsidP="00C15251">
      <w:pPr>
        <w:jc w:val="both"/>
        <w:rPr>
          <w:bCs/>
          <w:color w:val="002060"/>
          <w:sz w:val="16"/>
          <w:szCs w:val="16"/>
        </w:rPr>
      </w:pPr>
      <w:r w:rsidRPr="00405303">
        <w:rPr>
          <w:bCs/>
          <w:color w:val="002060"/>
          <w:sz w:val="16"/>
          <w:szCs w:val="16"/>
        </w:rPr>
        <w:t xml:space="preserve">В начале 1915 г. в штаб верховного главнокомандующего стали поступать сведения о немецких авиабомбах, дающих большое количество осколков. После одного из налетов эскадры самолетов "Илья Муромец" на аэродром в Яблонне генерал-майор В. Шидловский доносил в Ставку: "Наши бомбы, насколько позволил судить опыт последних бомбометаний, имея значительные фугасные действия, почти не дают осколков, что значительно уменьшает сферу поражаемого пространства". В. Шидловский особенно подчеркивал необходимость "снабжения воздушной эскадры снарядами, дающими большее количество осколков, и, наконец, желая еще больше развить активные боевые действия нашего воздушного флота, ходатайствую о присылке для опыта бомб с зарядами в 10, 15, 25 пудов тротила в бомбе, не менее двух снарядов каждого типа". </w:t>
      </w:r>
    </w:p>
    <w:p w14:paraId="537422A3" w14:textId="77777777" w:rsidR="004B4E35" w:rsidRPr="00405303" w:rsidRDefault="009E6F82" w:rsidP="00C15251">
      <w:pPr>
        <w:jc w:val="both"/>
        <w:rPr>
          <w:bCs/>
          <w:color w:val="002060"/>
          <w:sz w:val="16"/>
          <w:szCs w:val="16"/>
        </w:rPr>
      </w:pPr>
      <w:r w:rsidRPr="00405303">
        <w:rPr>
          <w:bCs/>
          <w:color w:val="002060"/>
          <w:sz w:val="16"/>
          <w:szCs w:val="16"/>
        </w:rPr>
        <w:t>Под давлением фронта ГВТУ приступило к срочной разработке специального типа авиационных бомб фугасного и осколочного действия. К середине 1915 г. капитану Орановскому удалось сконструировать вполне удовлетворительный тип авиационной бомбы, которая была принята на вооружение. Фугасные бомбы Орановского имели металлический корпус каплевидной формы и начинялись тротилом. Детонатором являлся небольшой заряд тетрила. Бомба снабжалась стабилизатором. Взрыватель донного типа с замедлением 0,13 с. имел ветрянку, которая предохраняла бомбу от преждевременного взрыва. После сброса бомбы ветрянка силою воздушного потока вывертывалась и освобождала ударник. Бомбы с таким взрывателем действовали безотказно (11237).</w:t>
      </w:r>
    </w:p>
    <w:p w14:paraId="2961A5C7" w14:textId="77777777" w:rsidR="004B4E35" w:rsidRPr="00405303" w:rsidRDefault="004B4E35" w:rsidP="00C15251">
      <w:pPr>
        <w:jc w:val="both"/>
        <w:rPr>
          <w:bCs/>
          <w:color w:val="002060"/>
          <w:sz w:val="16"/>
          <w:szCs w:val="16"/>
        </w:rPr>
      </w:pPr>
    </w:p>
    <w:p w14:paraId="22217F9D" w14:textId="77777777" w:rsidR="004B4E35" w:rsidRPr="00405303" w:rsidRDefault="009E6F82" w:rsidP="00C15251">
      <w:pPr>
        <w:jc w:val="both"/>
        <w:rPr>
          <w:bCs/>
          <w:color w:val="002060"/>
          <w:sz w:val="16"/>
          <w:szCs w:val="16"/>
        </w:rPr>
      </w:pPr>
      <w:r w:rsidRPr="00405303">
        <w:rPr>
          <w:bCs/>
          <w:color w:val="002060"/>
          <w:sz w:val="16"/>
          <w:szCs w:val="16"/>
        </w:rPr>
        <w:t>В начале 1915 г. в штаб русского верховного главнокомандования стали поступать сведения о германских авиабомбах, дающих большое количество осколков. Такие бомбы имели в головке длинный наконечник и взрывались над землей. Осколками, разлетавшимися над самой землей, они буквально косили траву и поражали все живое, встречающееся на пути.</w:t>
      </w:r>
    </w:p>
    <w:p w14:paraId="7A2965F9" w14:textId="77777777" w:rsidR="004B4E35" w:rsidRPr="00405303" w:rsidRDefault="009E6F82" w:rsidP="00C15251">
      <w:pPr>
        <w:jc w:val="both"/>
        <w:rPr>
          <w:bCs/>
          <w:color w:val="002060"/>
          <w:sz w:val="16"/>
          <w:szCs w:val="16"/>
        </w:rPr>
      </w:pPr>
      <w:r w:rsidRPr="00405303">
        <w:rPr>
          <w:bCs/>
          <w:color w:val="002060"/>
          <w:sz w:val="16"/>
          <w:szCs w:val="16"/>
        </w:rPr>
        <w:lastRenderedPageBreak/>
        <w:t>Тогда же командующий ЭВК Шидловский доносил в Ставку: "Наши бомбы, насколько позволил судить опыт последних бомбометаний, имея значительные фугасные свойства, почти не дают осколков... ходатайствую о присылке для опыта бомб с зарядами в 10, 15, 25 пудов тротила в бомбе, не менее двух снарядов каждого типа". Шидловский настаивал на необходимости "снабжения воздушной эскадры снарядами, дающими большое количество осколков". Поступали подобные требования и из других авиачастей. В результате в России под давлением фронта ГВТУ приступило к срочной разработке специальных авиационных бомб фугасного и осколочного типа (11999).</w:t>
      </w:r>
    </w:p>
    <w:p w14:paraId="213A0DA6" w14:textId="77777777" w:rsidR="004B4E35" w:rsidRPr="00405303" w:rsidRDefault="004B4E35" w:rsidP="00C15251">
      <w:pPr>
        <w:jc w:val="both"/>
        <w:rPr>
          <w:bCs/>
          <w:color w:val="002060"/>
          <w:sz w:val="16"/>
          <w:szCs w:val="16"/>
        </w:rPr>
      </w:pPr>
    </w:p>
    <w:p w14:paraId="74E03574" w14:textId="77777777" w:rsidR="00DD2C8C" w:rsidRPr="00405303" w:rsidRDefault="00DD2C8C" w:rsidP="00C15251">
      <w:pPr>
        <w:jc w:val="both"/>
        <w:rPr>
          <w:bCs/>
          <w:color w:val="002060"/>
          <w:sz w:val="16"/>
          <w:szCs w:val="16"/>
        </w:rPr>
      </w:pPr>
      <w:r w:rsidRPr="00405303">
        <w:rPr>
          <w:bCs/>
          <w:color w:val="002060"/>
          <w:sz w:val="16"/>
          <w:szCs w:val="16"/>
        </w:rPr>
        <w:t>В начале 1915 г. был собран и укомплектован на базе ЭВК в Яблоне «Илья Муромец» В-8 (ИМ В-8 № 149 «остроносый», борт № VI) экз. № 8, стратегический разведчик, тяжелый бомбардировщик, фактически учебный самолет.</w:t>
      </w:r>
    </w:p>
    <w:p w14:paraId="586F981A" w14:textId="77777777" w:rsidR="00DD2C8C" w:rsidRPr="00405303" w:rsidRDefault="00DD2C8C" w:rsidP="00C15251">
      <w:pPr>
        <w:jc w:val="both"/>
        <w:rPr>
          <w:bCs/>
          <w:color w:val="002060"/>
          <w:sz w:val="16"/>
          <w:szCs w:val="16"/>
        </w:rPr>
      </w:pPr>
      <w:r w:rsidRPr="00405303">
        <w:rPr>
          <w:bCs/>
          <w:color w:val="002060"/>
          <w:sz w:val="16"/>
          <w:szCs w:val="16"/>
        </w:rPr>
        <w:t>На заводе-изготовителе окончательная сборка самолета не выполнялась.</w:t>
      </w:r>
    </w:p>
    <w:p w14:paraId="4C2B0C1D" w14:textId="77777777" w:rsidR="00DD2C8C" w:rsidRPr="00405303" w:rsidRDefault="00DD2C8C" w:rsidP="00C15251">
      <w:pPr>
        <w:jc w:val="both"/>
        <w:rPr>
          <w:bCs/>
          <w:color w:val="002060"/>
          <w:sz w:val="16"/>
          <w:szCs w:val="16"/>
        </w:rPr>
      </w:pPr>
      <w:r w:rsidRPr="00405303">
        <w:rPr>
          <w:bCs/>
          <w:color w:val="002060"/>
          <w:sz w:val="16"/>
          <w:szCs w:val="16"/>
        </w:rPr>
        <w:t>Построен РБВЗ со значительными отличиями от предыдущих:</w:t>
      </w:r>
    </w:p>
    <w:p w14:paraId="2A7C993E" w14:textId="77777777" w:rsidR="00DD2C8C" w:rsidRPr="00405303" w:rsidRDefault="00DD2C8C" w:rsidP="00C15251">
      <w:pPr>
        <w:jc w:val="both"/>
        <w:rPr>
          <w:bCs/>
          <w:color w:val="002060"/>
          <w:sz w:val="16"/>
          <w:szCs w:val="16"/>
        </w:rPr>
      </w:pPr>
      <w:r w:rsidRPr="00405303">
        <w:rPr>
          <w:bCs/>
          <w:color w:val="002060"/>
          <w:sz w:val="16"/>
          <w:szCs w:val="16"/>
        </w:rPr>
        <w:t>- силовая установка с 2 тянущими моторами Сальмсон 2М7 по 200 л.с. (их установка и система охлаждения такие же, как на предыдущих кораблях с этими моторами), внешние мотоустановки с рамами не монтировались;</w:t>
      </w:r>
    </w:p>
    <w:p w14:paraId="090F97CC" w14:textId="77777777" w:rsidR="00DD2C8C" w:rsidRPr="00405303" w:rsidRDefault="00DD2C8C" w:rsidP="00C15251">
      <w:pPr>
        <w:jc w:val="both"/>
        <w:rPr>
          <w:bCs/>
          <w:color w:val="002060"/>
          <w:sz w:val="16"/>
          <w:szCs w:val="16"/>
        </w:rPr>
      </w:pPr>
      <w:r w:rsidRPr="00405303">
        <w:rPr>
          <w:bCs/>
          <w:color w:val="002060"/>
          <w:sz w:val="16"/>
          <w:szCs w:val="16"/>
        </w:rPr>
        <w:t>- предположительно, емкость топливной системы уменьшена;</w:t>
      </w:r>
    </w:p>
    <w:p w14:paraId="363F3065" w14:textId="77777777" w:rsidR="00DD2C8C" w:rsidRPr="00405303" w:rsidRDefault="00DD2C8C" w:rsidP="00C15251">
      <w:pPr>
        <w:jc w:val="both"/>
        <w:rPr>
          <w:bCs/>
          <w:color w:val="002060"/>
          <w:sz w:val="16"/>
          <w:szCs w:val="16"/>
        </w:rPr>
      </w:pPr>
      <w:r w:rsidRPr="00405303">
        <w:rPr>
          <w:bCs/>
          <w:color w:val="002060"/>
          <w:sz w:val="16"/>
          <w:szCs w:val="16"/>
        </w:rPr>
        <w:t>- передние кроме первых цилиндров и боковые части моторов закрыты обтекателями (по 3 отдельных панели на мотор), состоящие из обшивки, сделанной из алюминиевого листа выколоткой на болване, и каркаса из уголков;</w:t>
      </w:r>
    </w:p>
    <w:p w14:paraId="313070E1" w14:textId="77777777" w:rsidR="00DD2C8C" w:rsidRPr="00405303" w:rsidRDefault="00DD2C8C" w:rsidP="00C15251">
      <w:pPr>
        <w:jc w:val="both"/>
        <w:rPr>
          <w:bCs/>
          <w:color w:val="002060"/>
          <w:sz w:val="16"/>
          <w:szCs w:val="16"/>
        </w:rPr>
      </w:pPr>
      <w:r w:rsidRPr="00405303">
        <w:rPr>
          <w:bCs/>
          <w:color w:val="002060"/>
          <w:sz w:val="16"/>
          <w:szCs w:val="16"/>
        </w:rPr>
        <w:t>- по данным М. Хайрулина сделана новая бипланная коробка с укороченными крыльями, но судя по известным снимкам – такая же, как на предыдущих самолетах;</w:t>
      </w:r>
    </w:p>
    <w:p w14:paraId="2A672794" w14:textId="77777777" w:rsidR="00DD2C8C" w:rsidRPr="00405303" w:rsidRDefault="00DD2C8C" w:rsidP="00C15251">
      <w:pPr>
        <w:jc w:val="both"/>
        <w:rPr>
          <w:bCs/>
          <w:color w:val="002060"/>
          <w:sz w:val="16"/>
          <w:szCs w:val="16"/>
        </w:rPr>
      </w:pPr>
      <w:r w:rsidRPr="00405303">
        <w:rPr>
          <w:bCs/>
          <w:color w:val="002060"/>
          <w:sz w:val="16"/>
          <w:szCs w:val="16"/>
        </w:rPr>
        <w:t>- НЧФ «остроносая» с остеклением кабины летчика из 6 больших боковых стекол, 2 передних открываются на петлях, установленных на их задних рамах;</w:t>
      </w:r>
    </w:p>
    <w:p w14:paraId="52662950" w14:textId="77777777" w:rsidR="00DD2C8C" w:rsidRPr="00405303" w:rsidRDefault="00DD2C8C" w:rsidP="00C15251">
      <w:pPr>
        <w:jc w:val="both"/>
        <w:rPr>
          <w:bCs/>
          <w:color w:val="002060"/>
          <w:sz w:val="16"/>
          <w:szCs w:val="16"/>
        </w:rPr>
      </w:pPr>
      <w:r w:rsidRPr="00405303">
        <w:rPr>
          <w:bCs/>
          <w:color w:val="002060"/>
          <w:sz w:val="16"/>
          <w:szCs w:val="16"/>
        </w:rPr>
        <w:t>- входные двери сделаны вперед к НЧФ.</w:t>
      </w:r>
    </w:p>
    <w:p w14:paraId="344BC605" w14:textId="77777777" w:rsidR="00DD2C8C" w:rsidRPr="00405303" w:rsidRDefault="00DD2C8C" w:rsidP="00C15251">
      <w:pPr>
        <w:jc w:val="both"/>
        <w:rPr>
          <w:bCs/>
          <w:color w:val="002060"/>
          <w:sz w:val="16"/>
          <w:szCs w:val="16"/>
        </w:rPr>
      </w:pPr>
      <w:r w:rsidRPr="00405303">
        <w:rPr>
          <w:bCs/>
          <w:color w:val="002060"/>
          <w:sz w:val="16"/>
          <w:szCs w:val="16"/>
        </w:rPr>
        <w:t>Пулеметное вооружение самолету придано не было, и состав его не был определен.</w:t>
      </w:r>
    </w:p>
    <w:p w14:paraId="59F86D21" w14:textId="77777777" w:rsidR="00DD2C8C" w:rsidRPr="00405303" w:rsidRDefault="00DD2C8C" w:rsidP="00C15251">
      <w:pPr>
        <w:jc w:val="both"/>
        <w:rPr>
          <w:bCs/>
          <w:color w:val="002060"/>
          <w:sz w:val="16"/>
          <w:szCs w:val="16"/>
        </w:rPr>
      </w:pPr>
      <w:r w:rsidRPr="00405303">
        <w:rPr>
          <w:bCs/>
          <w:color w:val="002060"/>
          <w:sz w:val="16"/>
          <w:szCs w:val="16"/>
        </w:rPr>
        <w:t>Командиром корабля был назначен штабс-капитан Б.М. Фирсов.</w:t>
      </w:r>
    </w:p>
    <w:p w14:paraId="2A7F777C" w14:textId="77777777" w:rsidR="00DD2C8C" w:rsidRPr="00405303" w:rsidRDefault="00DD2C8C" w:rsidP="00C15251">
      <w:pPr>
        <w:jc w:val="both"/>
        <w:rPr>
          <w:bCs/>
          <w:color w:val="002060"/>
          <w:sz w:val="16"/>
          <w:szCs w:val="16"/>
        </w:rPr>
      </w:pPr>
      <w:r w:rsidRPr="00405303">
        <w:rPr>
          <w:bCs/>
          <w:color w:val="002060"/>
          <w:sz w:val="16"/>
          <w:szCs w:val="16"/>
        </w:rPr>
        <w:t>В начале 1915 г., не позже первых чисел февраля, самолет был Фирсовым облетан.</w:t>
      </w:r>
    </w:p>
    <w:p w14:paraId="7717AA7B" w14:textId="77777777" w:rsidR="00DD2C8C" w:rsidRPr="00405303" w:rsidRDefault="00DD2C8C" w:rsidP="00C15251">
      <w:pPr>
        <w:jc w:val="both"/>
        <w:rPr>
          <w:bCs/>
          <w:color w:val="002060"/>
          <w:sz w:val="16"/>
          <w:szCs w:val="16"/>
        </w:rPr>
      </w:pPr>
      <w:r w:rsidRPr="00405303">
        <w:rPr>
          <w:bCs/>
          <w:color w:val="002060"/>
          <w:sz w:val="16"/>
          <w:szCs w:val="16"/>
        </w:rPr>
        <w:t>Разбит 13.02.15 г. (26.02.15 г. по н.ст.) – это была первая потеря самолета ИМ по причине аварии (23563).</w:t>
      </w:r>
    </w:p>
    <w:p w14:paraId="61F43A1A" w14:textId="77777777" w:rsidR="00DD2C8C" w:rsidRPr="00405303" w:rsidRDefault="00DD2C8C" w:rsidP="00C15251">
      <w:pPr>
        <w:jc w:val="both"/>
        <w:rPr>
          <w:bCs/>
          <w:color w:val="002060"/>
          <w:sz w:val="16"/>
          <w:szCs w:val="16"/>
          <w:lang w:bidi="ru-RU"/>
        </w:rPr>
      </w:pPr>
    </w:p>
    <w:p w14:paraId="7165D660" w14:textId="77777777" w:rsidR="00DD2C8C" w:rsidRPr="00405303" w:rsidRDefault="00DD2C8C" w:rsidP="00C15251">
      <w:pPr>
        <w:jc w:val="both"/>
        <w:rPr>
          <w:bCs/>
          <w:color w:val="002060"/>
          <w:sz w:val="16"/>
          <w:szCs w:val="16"/>
        </w:rPr>
      </w:pPr>
      <w:r w:rsidRPr="00405303">
        <w:rPr>
          <w:bCs/>
          <w:color w:val="002060"/>
          <w:sz w:val="16"/>
          <w:szCs w:val="16"/>
        </w:rPr>
        <w:t>В начале 1915 г. был закончен постройкой без установки мотора С-16 (C-XVI, зав. № 156) 3-й опытный.</w:t>
      </w:r>
    </w:p>
    <w:p w14:paraId="6ADE2665" w14:textId="77777777" w:rsidR="00DD2C8C" w:rsidRPr="00405303" w:rsidRDefault="00DD2C8C" w:rsidP="00C15251">
      <w:pPr>
        <w:jc w:val="both"/>
        <w:rPr>
          <w:bCs/>
          <w:color w:val="002060"/>
          <w:sz w:val="16"/>
          <w:szCs w:val="16"/>
        </w:rPr>
      </w:pPr>
      <w:r w:rsidRPr="00405303">
        <w:rPr>
          <w:bCs/>
          <w:color w:val="002060"/>
          <w:sz w:val="16"/>
          <w:szCs w:val="16"/>
        </w:rPr>
        <w:t>Постройка началась Петербургским авиационным отделением РБВЗ в ноябре 1914 г.</w:t>
      </w:r>
    </w:p>
    <w:p w14:paraId="6773E4E7" w14:textId="77777777" w:rsidR="00DD2C8C" w:rsidRPr="00405303" w:rsidRDefault="00DD2C8C" w:rsidP="00C15251">
      <w:pPr>
        <w:jc w:val="both"/>
        <w:rPr>
          <w:bCs/>
          <w:color w:val="002060"/>
          <w:sz w:val="16"/>
          <w:szCs w:val="16"/>
        </w:rPr>
      </w:pPr>
      <w:r w:rsidRPr="00405303">
        <w:rPr>
          <w:bCs/>
          <w:color w:val="002060"/>
          <w:sz w:val="16"/>
          <w:szCs w:val="16"/>
        </w:rPr>
        <w:t>В первых числах марта 1915 г. Председатель правления АО РБВЗ – командир ЭВК М.В. Шидловский распорядился передать самолет в распоряжение ЭВК, и он был отправлен 19 марта 1915 г. без мотора.</w:t>
      </w:r>
    </w:p>
    <w:p w14:paraId="642167A1" w14:textId="77777777" w:rsidR="00DD2C8C" w:rsidRPr="00405303" w:rsidRDefault="00DD2C8C" w:rsidP="00C15251">
      <w:pPr>
        <w:jc w:val="both"/>
        <w:rPr>
          <w:bCs/>
          <w:color w:val="002060"/>
          <w:sz w:val="16"/>
          <w:szCs w:val="16"/>
        </w:rPr>
      </w:pPr>
      <w:r w:rsidRPr="00405303">
        <w:rPr>
          <w:bCs/>
          <w:color w:val="002060"/>
          <w:sz w:val="16"/>
          <w:szCs w:val="16"/>
        </w:rPr>
        <w:t>Весной 1915 г. на самолет был установлен мотор «Калеп» мощностью 60 л.с. для проверки возможности использования таких авиадвигателей, задел которых был и была возможность выпуска.</w:t>
      </w:r>
    </w:p>
    <w:p w14:paraId="70917309" w14:textId="77777777" w:rsidR="00DD2C8C" w:rsidRPr="00405303" w:rsidRDefault="00DD2C8C" w:rsidP="00C15251">
      <w:pPr>
        <w:jc w:val="both"/>
        <w:rPr>
          <w:bCs/>
          <w:color w:val="002060"/>
          <w:sz w:val="16"/>
          <w:szCs w:val="16"/>
        </w:rPr>
      </w:pPr>
      <w:r w:rsidRPr="00405303">
        <w:rPr>
          <w:bCs/>
          <w:color w:val="002060"/>
          <w:sz w:val="16"/>
          <w:szCs w:val="16"/>
        </w:rPr>
        <w:t>Для компенсации уменьшения мощности мотора были сделаны другие изменения:</w:t>
      </w:r>
    </w:p>
    <w:p w14:paraId="16F72186" w14:textId="77777777" w:rsidR="00DD2C8C" w:rsidRPr="00405303" w:rsidRDefault="00DD2C8C" w:rsidP="00C15251">
      <w:pPr>
        <w:jc w:val="both"/>
        <w:rPr>
          <w:bCs/>
          <w:color w:val="002060"/>
          <w:sz w:val="16"/>
          <w:szCs w:val="16"/>
        </w:rPr>
      </w:pPr>
      <w:r w:rsidRPr="00405303">
        <w:rPr>
          <w:bCs/>
          <w:color w:val="002060"/>
          <w:sz w:val="16"/>
          <w:szCs w:val="16"/>
        </w:rPr>
        <w:t>- установлено новое верхнее крыло с увеличенным до 10 м размахом и увеличенными элеронами (самолет стал полуторапланом);</w:t>
      </w:r>
    </w:p>
    <w:p w14:paraId="21CDD1E5" w14:textId="77777777" w:rsidR="00DD2C8C" w:rsidRPr="00405303" w:rsidRDefault="00DD2C8C" w:rsidP="00C15251">
      <w:pPr>
        <w:jc w:val="both"/>
        <w:rPr>
          <w:bCs/>
          <w:color w:val="002060"/>
          <w:sz w:val="16"/>
          <w:szCs w:val="16"/>
        </w:rPr>
      </w:pPr>
      <w:r w:rsidRPr="00405303">
        <w:rPr>
          <w:bCs/>
          <w:color w:val="002060"/>
          <w:sz w:val="16"/>
          <w:szCs w:val="16"/>
        </w:rPr>
        <w:t>- сделано новое нижнее крыло без элеронов;</w:t>
      </w:r>
    </w:p>
    <w:p w14:paraId="6FFA0B37" w14:textId="77777777" w:rsidR="00DD2C8C" w:rsidRPr="00405303" w:rsidRDefault="00DD2C8C" w:rsidP="00C15251">
      <w:pPr>
        <w:jc w:val="both"/>
        <w:rPr>
          <w:bCs/>
          <w:color w:val="002060"/>
          <w:sz w:val="16"/>
          <w:szCs w:val="16"/>
        </w:rPr>
      </w:pPr>
      <w:r w:rsidRPr="00405303">
        <w:rPr>
          <w:bCs/>
          <w:color w:val="002060"/>
          <w:sz w:val="16"/>
          <w:szCs w:val="16"/>
        </w:rPr>
        <w:t>- с учетом отсутствия элеронов на нижнем крыле изменена проводка управления по крену.</w:t>
      </w:r>
    </w:p>
    <w:p w14:paraId="668D32B1" w14:textId="77777777" w:rsidR="00DD2C8C" w:rsidRPr="00405303" w:rsidRDefault="00DD2C8C" w:rsidP="00C15251">
      <w:pPr>
        <w:jc w:val="both"/>
        <w:rPr>
          <w:bCs/>
          <w:color w:val="002060"/>
          <w:sz w:val="16"/>
          <w:szCs w:val="16"/>
        </w:rPr>
      </w:pPr>
      <w:r w:rsidRPr="00405303">
        <w:rPr>
          <w:bCs/>
          <w:color w:val="002060"/>
          <w:sz w:val="16"/>
          <w:szCs w:val="16"/>
        </w:rPr>
        <w:t>Все три первых самолета были облетаны в ЭВК летом 1915 г. (не известно, который испытали первым).</w:t>
      </w:r>
    </w:p>
    <w:p w14:paraId="51DE97ED" w14:textId="77777777" w:rsidR="00DD2C8C" w:rsidRPr="00405303" w:rsidRDefault="00DD2C8C" w:rsidP="00C15251">
      <w:pPr>
        <w:jc w:val="both"/>
        <w:rPr>
          <w:bCs/>
          <w:color w:val="002060"/>
          <w:sz w:val="16"/>
          <w:szCs w:val="16"/>
        </w:rPr>
      </w:pPr>
      <w:r w:rsidRPr="00405303">
        <w:rPr>
          <w:bCs/>
          <w:color w:val="002060"/>
          <w:sz w:val="16"/>
          <w:szCs w:val="16"/>
        </w:rPr>
        <w:t>Самолет с заведомо слабым мотором «Калеп» показал худшие качества скороподъемности и скорости, в то же время их устойчивость и управляемость с двумя летчиками были нормальными, что позволяло их использовать по основному назначению – для тренировки пилотов ЭВК. С формированием Летной школы ЭВК передан в ее состав (к середине января 1916 г. самолет все еще не был принят в казну и оплачен) (23557).</w:t>
      </w:r>
    </w:p>
    <w:p w14:paraId="637740F4" w14:textId="77777777" w:rsidR="00DD2C8C" w:rsidRPr="00405303" w:rsidRDefault="00DD2C8C" w:rsidP="00C15251">
      <w:pPr>
        <w:pStyle w:val="af6"/>
        <w:spacing w:line="240" w:lineRule="auto"/>
        <w:jc w:val="both"/>
        <w:rPr>
          <w:rFonts w:ascii="Times New Roman" w:hAnsi="Times New Roman" w:cs="Times New Roman"/>
          <w:bCs/>
          <w:color w:val="002060"/>
          <w:sz w:val="16"/>
          <w:szCs w:val="16"/>
        </w:rPr>
      </w:pPr>
    </w:p>
    <w:p w14:paraId="7103B305" w14:textId="77777777" w:rsidR="00DD2C8C" w:rsidRPr="00405303" w:rsidRDefault="00DD2C8C"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В начале 1915 г. большие заказы на производство «Вуазенов» модели LAS с увеличенным размахом крыла и двигателем «Сальмсон» в 150 л. с. получили все крупные российские авиазаводы. Планировалось, что к середине 1916 г. «Дукс» передаст армии 150 «вуазенов», завод Лебедева — 279, завод Щетинина — 150, завод Анатра — 180. Предполагалось, что эта машина и моноплан Моран-Солнье «Парасоль» станут основными самолетами русской авиации.</w:t>
      </w:r>
    </w:p>
    <w:p w14:paraId="35F7B39D" w14:textId="77777777" w:rsidR="00DD2C8C" w:rsidRPr="00405303" w:rsidRDefault="00DD2C8C"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Первую партию из 12 «Вуазен L» с двигателями мощностью 130 л. с. заказали В.А. Лебедеву еще до войны. С началом боевых действий завод Лебедева подписал контракт на выпуск еще 24 таких самолетов.</w:t>
      </w:r>
    </w:p>
    <w:p w14:paraId="7AB25DFB" w14:textId="77777777" w:rsidR="00DD2C8C" w:rsidRPr="00405303" w:rsidRDefault="00DD2C8C"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На деле «вуазенов» построили меньше. Причин тому несколько, в том числе и нехватка конструкционных материалов и моторов, трудностями с поставкой двигателей из Франции во второй половине 1914 г., в результате чего производство «вуазенов» пришлось приостановить.</w:t>
      </w:r>
    </w:p>
    <w:p w14:paraId="27CC5F1F" w14:textId="77777777" w:rsidR="00DD2C8C" w:rsidRPr="00405303" w:rsidRDefault="00DD2C8C"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Из-за наступления немцев на юго-западном фронте отправленное из Франции в Россию морем авиационное имущество задержалось в Салониках, а затем было переадресовано в Архангельск, но из-за образования льда на Белом море его пришлось выгрузить в Александровске (ныне — г. Полярный), где его складировали до открытия навигации в следующем году. Не получив комплектующих, встали моторные заводы «Гном и Рон» и «Сальмсон», а склады Петрограда, Москвы и Одессы оказались заполнены самолетами без двигателей. Положение спас «шеф авиации» Александр Романов, организовавший доставку на оленьих упряжках необходимых моторным заводам грузов из Александровска до линии железной дороги в Мурманске (23472).</w:t>
      </w:r>
    </w:p>
    <w:p w14:paraId="6669E254" w14:textId="77777777" w:rsidR="00DD2C8C" w:rsidRPr="00405303" w:rsidRDefault="00DD2C8C" w:rsidP="00C15251">
      <w:pPr>
        <w:pStyle w:val="af6"/>
        <w:spacing w:line="240" w:lineRule="auto"/>
        <w:jc w:val="both"/>
        <w:rPr>
          <w:rFonts w:ascii="Times New Roman" w:hAnsi="Times New Roman" w:cs="Times New Roman"/>
          <w:bCs/>
          <w:color w:val="002060"/>
          <w:sz w:val="16"/>
          <w:szCs w:val="16"/>
        </w:rPr>
      </w:pPr>
    </w:p>
    <w:p w14:paraId="071CA7F5" w14:textId="77777777" w:rsidR="00DD2C8C" w:rsidRPr="00405303" w:rsidRDefault="00DD2C8C" w:rsidP="00C15251">
      <w:pPr>
        <w:jc w:val="both"/>
        <w:rPr>
          <w:bCs/>
          <w:color w:val="002060"/>
          <w:sz w:val="16"/>
          <w:szCs w:val="16"/>
        </w:rPr>
      </w:pPr>
      <w:r w:rsidRPr="00405303">
        <w:rPr>
          <w:bCs/>
          <w:color w:val="002060"/>
          <w:sz w:val="16"/>
          <w:szCs w:val="16"/>
        </w:rPr>
        <w:t>В начале 1915 г. заводом ПТРВ без существенных отличий от первого образца построен М-2 («Морской второй») экземпляр № 4, морской разведчик – летающая лодка.</w:t>
      </w:r>
    </w:p>
    <w:p w14:paraId="716403A5" w14:textId="77777777" w:rsidR="00DD2C8C" w:rsidRPr="00405303" w:rsidRDefault="00DD2C8C" w:rsidP="00C15251">
      <w:pPr>
        <w:jc w:val="both"/>
        <w:rPr>
          <w:bCs/>
          <w:color w:val="002060"/>
          <w:sz w:val="16"/>
          <w:szCs w:val="16"/>
        </w:rPr>
      </w:pPr>
      <w:r w:rsidRPr="00405303">
        <w:rPr>
          <w:bCs/>
          <w:color w:val="002060"/>
          <w:sz w:val="16"/>
          <w:szCs w:val="16"/>
        </w:rPr>
        <w:t>Сдан авиации Черноморского флота и отправлен с завода 10 марта 1915 г.</w:t>
      </w:r>
    </w:p>
    <w:p w14:paraId="24ECC023" w14:textId="77777777" w:rsidR="00DD2C8C" w:rsidRPr="00405303" w:rsidRDefault="00DD2C8C" w:rsidP="00C15251">
      <w:pPr>
        <w:jc w:val="both"/>
        <w:rPr>
          <w:bCs/>
          <w:color w:val="002060"/>
          <w:sz w:val="16"/>
          <w:szCs w:val="16"/>
        </w:rPr>
      </w:pPr>
      <w:r w:rsidRPr="00405303">
        <w:rPr>
          <w:bCs/>
          <w:color w:val="002060"/>
          <w:sz w:val="16"/>
          <w:szCs w:val="16"/>
        </w:rPr>
        <w:t>На месте применения самолет получил бортовой номер «29» и использовался в боевых действиях на Черном море на протяжении 1915 г.</w:t>
      </w:r>
    </w:p>
    <w:p w14:paraId="2993C779" w14:textId="77777777" w:rsidR="00DD2C8C" w:rsidRPr="00405303" w:rsidRDefault="00DD2C8C" w:rsidP="00C15251">
      <w:pPr>
        <w:jc w:val="both"/>
        <w:rPr>
          <w:bCs/>
          <w:color w:val="002060"/>
          <w:sz w:val="16"/>
          <w:szCs w:val="16"/>
        </w:rPr>
      </w:pPr>
      <w:r w:rsidRPr="00405303">
        <w:rPr>
          <w:bCs/>
          <w:color w:val="002060"/>
          <w:sz w:val="16"/>
          <w:szCs w:val="16"/>
        </w:rPr>
        <w:t>Дальнейшая судьба самолета не известна (23594).</w:t>
      </w:r>
    </w:p>
    <w:p w14:paraId="25582EBF" w14:textId="77777777" w:rsidR="00DD2C8C" w:rsidRPr="00405303" w:rsidRDefault="00DD2C8C" w:rsidP="00C15251">
      <w:pPr>
        <w:jc w:val="both"/>
        <w:rPr>
          <w:bCs/>
          <w:color w:val="002060"/>
          <w:sz w:val="16"/>
          <w:szCs w:val="16"/>
        </w:rPr>
      </w:pPr>
    </w:p>
    <w:p w14:paraId="43061B4C" w14:textId="77777777" w:rsidR="00DD2C8C" w:rsidRPr="00405303" w:rsidRDefault="00DD2C8C" w:rsidP="00C15251">
      <w:pPr>
        <w:jc w:val="both"/>
        <w:rPr>
          <w:bCs/>
          <w:color w:val="002060"/>
          <w:sz w:val="16"/>
          <w:szCs w:val="16"/>
        </w:rPr>
      </w:pPr>
      <w:r w:rsidRPr="00405303">
        <w:rPr>
          <w:bCs/>
          <w:color w:val="002060"/>
          <w:sz w:val="16"/>
          <w:szCs w:val="16"/>
        </w:rPr>
        <w:t>В начале 1915 г. заводом ПТРВ без существенных отличий от первого образца построен М-2 («Морской второй») экземпляр № 5, морской разведчик – летающая лодка.</w:t>
      </w:r>
    </w:p>
    <w:p w14:paraId="5C51F824" w14:textId="77777777" w:rsidR="00DD2C8C" w:rsidRPr="00405303" w:rsidRDefault="00DD2C8C" w:rsidP="00C15251">
      <w:pPr>
        <w:jc w:val="both"/>
        <w:rPr>
          <w:bCs/>
          <w:color w:val="002060"/>
          <w:sz w:val="16"/>
          <w:szCs w:val="16"/>
        </w:rPr>
      </w:pPr>
      <w:r w:rsidRPr="00405303">
        <w:rPr>
          <w:bCs/>
          <w:color w:val="002060"/>
          <w:sz w:val="16"/>
          <w:szCs w:val="16"/>
        </w:rPr>
        <w:t>Сдан авиации Черноморского флота и отправлен с завода 10 марта 1915 г.</w:t>
      </w:r>
    </w:p>
    <w:p w14:paraId="4FA96C7F" w14:textId="77777777" w:rsidR="00DD2C8C" w:rsidRPr="00405303" w:rsidRDefault="00DD2C8C" w:rsidP="00C15251">
      <w:pPr>
        <w:jc w:val="both"/>
        <w:rPr>
          <w:bCs/>
          <w:color w:val="002060"/>
          <w:sz w:val="16"/>
          <w:szCs w:val="16"/>
        </w:rPr>
      </w:pPr>
      <w:r w:rsidRPr="00405303">
        <w:rPr>
          <w:bCs/>
          <w:color w:val="002060"/>
          <w:sz w:val="16"/>
          <w:szCs w:val="16"/>
        </w:rPr>
        <w:t>На месте применения самолет получил бортовой номер «30» и использовался в боевых действиях на Черном море на протяжении 1915 г.</w:t>
      </w:r>
    </w:p>
    <w:p w14:paraId="31B421CC" w14:textId="77777777" w:rsidR="00DD2C8C" w:rsidRPr="00405303" w:rsidRDefault="00DD2C8C" w:rsidP="00C15251">
      <w:pPr>
        <w:jc w:val="both"/>
        <w:rPr>
          <w:bCs/>
          <w:color w:val="002060"/>
          <w:sz w:val="16"/>
          <w:szCs w:val="16"/>
        </w:rPr>
      </w:pPr>
      <w:r w:rsidRPr="00405303">
        <w:rPr>
          <w:bCs/>
          <w:color w:val="002060"/>
          <w:sz w:val="16"/>
          <w:szCs w:val="16"/>
        </w:rPr>
        <w:t>В том же году был передан в Офицерскую летную школу в Севастополе. Далее, видимо, был списан по износу.</w:t>
      </w:r>
    </w:p>
    <w:p w14:paraId="66816AE5" w14:textId="77777777" w:rsidR="00DD2C8C" w:rsidRPr="00405303" w:rsidRDefault="00DD2C8C" w:rsidP="00C15251">
      <w:pPr>
        <w:jc w:val="both"/>
        <w:rPr>
          <w:bCs/>
          <w:color w:val="002060"/>
          <w:sz w:val="16"/>
          <w:szCs w:val="16"/>
        </w:rPr>
      </w:pPr>
      <w:r w:rsidRPr="00405303">
        <w:rPr>
          <w:bCs/>
          <w:color w:val="002060"/>
          <w:sz w:val="16"/>
          <w:szCs w:val="16"/>
        </w:rPr>
        <w:t>Всего построено 5 самолетов М-2.</w:t>
      </w:r>
    </w:p>
    <w:p w14:paraId="0DEEC097" w14:textId="77777777" w:rsidR="00DD2C8C" w:rsidRPr="00405303" w:rsidRDefault="00DD2C8C" w:rsidP="00C15251">
      <w:pPr>
        <w:jc w:val="both"/>
        <w:rPr>
          <w:bCs/>
          <w:color w:val="002060"/>
          <w:sz w:val="16"/>
          <w:szCs w:val="16"/>
        </w:rPr>
      </w:pPr>
      <w:r w:rsidRPr="00405303">
        <w:rPr>
          <w:bCs/>
          <w:color w:val="002060"/>
          <w:sz w:val="16"/>
          <w:szCs w:val="16"/>
        </w:rPr>
        <w:t>Летные данные самолета М-2 для 1915 г., когда началась его строевая эксплуатация, были уже недостаточны – в основном, из-за слабого мотора, но и профиль крыльев не обеспечивал достаточного аэродинамического качества. Также неудовлетворительной оказалась мореходность самолета и его стойкость к климатическим воздействиям, особенно, для условий Балтики.</w:t>
      </w:r>
    </w:p>
    <w:p w14:paraId="1B5F1BD4" w14:textId="77777777" w:rsidR="00DD2C8C" w:rsidRPr="00405303" w:rsidRDefault="00DD2C8C" w:rsidP="00C15251">
      <w:pPr>
        <w:jc w:val="both"/>
        <w:rPr>
          <w:bCs/>
          <w:color w:val="002060"/>
          <w:sz w:val="16"/>
          <w:szCs w:val="16"/>
        </w:rPr>
      </w:pPr>
      <w:r w:rsidRPr="00405303">
        <w:rPr>
          <w:bCs/>
          <w:color w:val="002060"/>
          <w:sz w:val="16"/>
          <w:szCs w:val="16"/>
        </w:rPr>
        <w:t>Идея демпфера килевой качки («лопаты») оказалась неудачной.</w:t>
      </w:r>
    </w:p>
    <w:p w14:paraId="2ABB459F" w14:textId="77777777" w:rsidR="00DD2C8C" w:rsidRPr="00405303" w:rsidRDefault="00DD2C8C" w:rsidP="00C15251">
      <w:pPr>
        <w:jc w:val="both"/>
        <w:rPr>
          <w:bCs/>
          <w:color w:val="002060"/>
          <w:sz w:val="16"/>
          <w:szCs w:val="16"/>
        </w:rPr>
      </w:pPr>
      <w:r w:rsidRPr="00405303">
        <w:rPr>
          <w:bCs/>
          <w:color w:val="002060"/>
          <w:sz w:val="16"/>
          <w:szCs w:val="16"/>
        </w:rPr>
        <w:t>Установка зимнего лыжного шасси сильно снижала летные данные и оно, по-видимому, широко оно не использовалось, но необходимость в нем была – и не только там, где море замерзало, но и из-за обычного ухудшения погоды, снижения температуры воды и воздуха, делавших такие полеты очень трудными.</w:t>
      </w:r>
    </w:p>
    <w:p w14:paraId="6D6AA1AD" w14:textId="77777777" w:rsidR="00DD2C8C" w:rsidRPr="00405303" w:rsidRDefault="00DD2C8C" w:rsidP="00C15251">
      <w:pPr>
        <w:jc w:val="both"/>
        <w:rPr>
          <w:bCs/>
          <w:color w:val="002060"/>
          <w:sz w:val="16"/>
          <w:szCs w:val="16"/>
        </w:rPr>
      </w:pPr>
      <w:r w:rsidRPr="00405303">
        <w:rPr>
          <w:bCs/>
          <w:color w:val="002060"/>
          <w:sz w:val="16"/>
          <w:szCs w:val="16"/>
        </w:rPr>
        <w:t>Основные недостатки конструкции были видны уже в середине 1914 г., когда самолет №1 строился, но было решено их исправлять на новом типе М-3, см. далее.</w:t>
      </w:r>
    </w:p>
    <w:p w14:paraId="2EC95D8A" w14:textId="77777777" w:rsidR="00DD2C8C" w:rsidRPr="00405303" w:rsidRDefault="00DD2C8C" w:rsidP="00C15251">
      <w:pPr>
        <w:jc w:val="both"/>
        <w:rPr>
          <w:bCs/>
          <w:color w:val="002060"/>
          <w:sz w:val="16"/>
          <w:szCs w:val="16"/>
        </w:rPr>
      </w:pPr>
      <w:r w:rsidRPr="00405303">
        <w:rPr>
          <w:bCs/>
          <w:color w:val="002060"/>
          <w:sz w:val="16"/>
          <w:szCs w:val="16"/>
        </w:rPr>
        <w:t>Тем не менее, принятые флотом четыре самолета довольно активно летали – сначала как разведчики, а потом как учебные самолеты (23594).</w:t>
      </w:r>
    </w:p>
    <w:p w14:paraId="7E163BFD" w14:textId="77777777" w:rsidR="00DD2C8C" w:rsidRPr="00405303" w:rsidRDefault="00DD2C8C" w:rsidP="00C15251">
      <w:pPr>
        <w:jc w:val="both"/>
        <w:rPr>
          <w:bCs/>
          <w:color w:val="002060"/>
          <w:sz w:val="16"/>
          <w:szCs w:val="16"/>
        </w:rPr>
      </w:pPr>
    </w:p>
    <w:p w14:paraId="36085657" w14:textId="77777777" w:rsidR="00DD2C8C" w:rsidRPr="00405303" w:rsidRDefault="00DD2C8C" w:rsidP="00C15251">
      <w:pPr>
        <w:jc w:val="both"/>
        <w:rPr>
          <w:bCs/>
          <w:color w:val="002060"/>
          <w:sz w:val="16"/>
          <w:szCs w:val="16"/>
        </w:rPr>
      </w:pPr>
      <w:r w:rsidRPr="00405303">
        <w:rPr>
          <w:bCs/>
          <w:color w:val="002060"/>
          <w:sz w:val="16"/>
          <w:szCs w:val="16"/>
        </w:rPr>
        <w:t>В начале 1915 года «Кертисс» № 5 разбился из-за разрушения крыла, при этом погиб пилотировавший его мичман Б.Д.Светухин. Остальные самолеты были списаны как выработавшие свой ресурс. Им на смену пришли летающие лодки «Кертисс», зарекомендовав</w:t>
      </w:r>
      <w:r w:rsidRPr="00405303">
        <w:rPr>
          <w:bCs/>
          <w:color w:val="002060"/>
          <w:sz w:val="16"/>
          <w:szCs w:val="16"/>
        </w:rPr>
        <w:softHyphen/>
        <w:t>шие себя с самой плохой стороны и ставшие причиной разрыва с фирмой «Кертисс» (23545).</w:t>
      </w:r>
    </w:p>
    <w:p w14:paraId="78E52424" w14:textId="77777777" w:rsidR="00DD2C8C" w:rsidRPr="00405303" w:rsidRDefault="00DD2C8C" w:rsidP="00C15251">
      <w:pPr>
        <w:pStyle w:val="af6"/>
        <w:spacing w:line="240" w:lineRule="auto"/>
        <w:jc w:val="both"/>
        <w:rPr>
          <w:rFonts w:ascii="Times New Roman" w:hAnsi="Times New Roman" w:cs="Times New Roman"/>
          <w:bCs/>
          <w:color w:val="002060"/>
          <w:sz w:val="16"/>
          <w:szCs w:val="16"/>
        </w:rPr>
      </w:pPr>
    </w:p>
    <w:p w14:paraId="09A85F6F" w14:textId="77777777" w:rsidR="00DD2C8C" w:rsidRPr="00405303" w:rsidRDefault="00DD2C8C" w:rsidP="00C15251">
      <w:pPr>
        <w:jc w:val="both"/>
        <w:rPr>
          <w:bCs/>
          <w:color w:val="002060"/>
          <w:sz w:val="16"/>
          <w:szCs w:val="16"/>
        </w:rPr>
      </w:pPr>
      <w:r w:rsidRPr="00405303">
        <w:rPr>
          <w:bCs/>
          <w:color w:val="002060"/>
          <w:sz w:val="16"/>
          <w:szCs w:val="16"/>
        </w:rPr>
        <w:t>В начале 1915 года для приемки и испытаний летающих лодок в Севастополь вновь приехал Ч. Уитмер. В конце февраля прибыли ящики с первыми «Кертисса</w:t>
      </w:r>
      <w:r w:rsidRPr="00405303">
        <w:rPr>
          <w:bCs/>
          <w:color w:val="002060"/>
          <w:sz w:val="16"/>
          <w:szCs w:val="16"/>
        </w:rPr>
        <w:softHyphen/>
        <w:t>ми». Российские морские летчики с нетерпением ждали самолеты, споря между собой, кому первому должна достаться лодка Кертисса. Было решено сразу собрать всю партию самолетов, чтобы затем отправить их для боевых действий в район Босфора.</w:t>
      </w:r>
    </w:p>
    <w:p w14:paraId="1B61DD99" w14:textId="77777777" w:rsidR="00DD2C8C" w:rsidRPr="00405303" w:rsidRDefault="00DD2C8C" w:rsidP="00C15251">
      <w:pPr>
        <w:jc w:val="both"/>
        <w:rPr>
          <w:bCs/>
          <w:color w:val="002060"/>
          <w:sz w:val="16"/>
          <w:szCs w:val="16"/>
        </w:rPr>
      </w:pPr>
      <w:r w:rsidRPr="00405303">
        <w:rPr>
          <w:bCs/>
          <w:color w:val="002060"/>
          <w:sz w:val="16"/>
          <w:szCs w:val="16"/>
        </w:rPr>
        <w:t>Вскоре, однако, радужные планы сменились разоча</w:t>
      </w:r>
      <w:r w:rsidRPr="00405303">
        <w:rPr>
          <w:bCs/>
          <w:color w:val="002060"/>
          <w:sz w:val="16"/>
          <w:szCs w:val="16"/>
        </w:rPr>
        <w:softHyphen/>
        <w:t>рованием. Как показали испытания, у «F» оказалось слабое днище, которое нередко проламывалось при по</w:t>
      </w:r>
      <w:r w:rsidRPr="00405303">
        <w:rPr>
          <w:bCs/>
          <w:color w:val="002060"/>
          <w:sz w:val="16"/>
          <w:szCs w:val="16"/>
        </w:rPr>
        <w:softHyphen/>
        <w:t>садке на волны. «Ахиллесовой пятой» лодки «К» был двигатель. Он сильно вибрировал и поглощал масло в таких количествах, 'что 20-литровый маслобак опусто</w:t>
      </w:r>
      <w:r w:rsidRPr="00405303">
        <w:rPr>
          <w:bCs/>
          <w:color w:val="002060"/>
          <w:sz w:val="16"/>
          <w:szCs w:val="16"/>
        </w:rPr>
        <w:softHyphen/>
        <w:t>шался за несколько десятков минут. Часто случались поломки коленчатого вала, бензо- и маслопроводов, ло</w:t>
      </w:r>
      <w:r w:rsidRPr="00405303">
        <w:rPr>
          <w:bCs/>
          <w:color w:val="002060"/>
          <w:sz w:val="16"/>
          <w:szCs w:val="16"/>
        </w:rPr>
        <w:softHyphen/>
        <w:t>мались болты крепления пропеллера.</w:t>
      </w:r>
    </w:p>
    <w:p w14:paraId="147EF9DF" w14:textId="77777777" w:rsidR="00DD2C8C" w:rsidRPr="00405303" w:rsidRDefault="00DD2C8C" w:rsidP="00C15251">
      <w:pPr>
        <w:jc w:val="both"/>
        <w:rPr>
          <w:bCs/>
          <w:color w:val="002060"/>
          <w:sz w:val="16"/>
          <w:szCs w:val="16"/>
        </w:rPr>
      </w:pPr>
      <w:r w:rsidRPr="00405303">
        <w:rPr>
          <w:bCs/>
          <w:color w:val="002060"/>
          <w:sz w:val="16"/>
          <w:szCs w:val="16"/>
        </w:rPr>
        <w:t>Прибывшие на помощь Уитмеру летчики У.Джонсон, Э.Джаннус и целый штат американских механиков, не</w:t>
      </w:r>
      <w:r w:rsidRPr="00405303">
        <w:rPr>
          <w:bCs/>
          <w:color w:val="002060"/>
          <w:sz w:val="16"/>
          <w:szCs w:val="16"/>
        </w:rPr>
        <w:softHyphen/>
        <w:t>смотря на все усилия—сверление дополнительных от</w:t>
      </w:r>
      <w:r w:rsidRPr="00405303">
        <w:rPr>
          <w:bCs/>
          <w:color w:val="002060"/>
          <w:sz w:val="16"/>
          <w:szCs w:val="16"/>
        </w:rPr>
        <w:softHyphen/>
        <w:t>верстий для смазки коленвала, применение пружин для подвески двигателя и т.д., не смогли исправить ситуа</w:t>
      </w:r>
      <w:r w:rsidRPr="00405303">
        <w:rPr>
          <w:bCs/>
          <w:color w:val="002060"/>
          <w:sz w:val="16"/>
          <w:szCs w:val="16"/>
        </w:rPr>
        <w:softHyphen/>
        <w:t>цию. В конце 1915 года работы пришлось остановить, так как замерзший порт Архангельска сделал невозмож</w:t>
      </w:r>
      <w:r w:rsidRPr="00405303">
        <w:rPr>
          <w:bCs/>
          <w:color w:val="002060"/>
          <w:sz w:val="16"/>
          <w:szCs w:val="16"/>
        </w:rPr>
        <w:softHyphen/>
        <w:t>ной доставку из США необходимых запчастей. В резуль</w:t>
      </w:r>
      <w:r w:rsidRPr="00405303">
        <w:rPr>
          <w:bCs/>
          <w:color w:val="002060"/>
          <w:sz w:val="16"/>
          <w:szCs w:val="16"/>
        </w:rPr>
        <w:softHyphen/>
        <w:t>тате Черноморский флот согласился принять не более трети из 25 полученных в 1915 году лодок Кертисса.</w:t>
      </w:r>
    </w:p>
    <w:p w14:paraId="664497D5" w14:textId="77777777" w:rsidR="00DD2C8C" w:rsidRPr="00405303" w:rsidRDefault="00DD2C8C" w:rsidP="00C15251">
      <w:pPr>
        <w:jc w:val="both"/>
        <w:rPr>
          <w:bCs/>
          <w:color w:val="002060"/>
          <w:sz w:val="16"/>
          <w:szCs w:val="16"/>
        </w:rPr>
      </w:pPr>
      <w:r w:rsidRPr="00405303">
        <w:rPr>
          <w:bCs/>
          <w:color w:val="002060"/>
          <w:sz w:val="16"/>
          <w:szCs w:val="16"/>
        </w:rPr>
        <w:t>По мере того, как все попытки доработать летающие лодки оканчивались неудачей, отношения между амери</w:t>
      </w:r>
      <w:r w:rsidRPr="00405303">
        <w:rPr>
          <w:bCs/>
          <w:color w:val="002060"/>
          <w:sz w:val="16"/>
          <w:szCs w:val="16"/>
        </w:rPr>
        <w:softHyphen/>
        <w:t>канцами и российскими моряками становились все бо</w:t>
      </w:r>
      <w:r w:rsidRPr="00405303">
        <w:rPr>
          <w:bCs/>
          <w:color w:val="002060"/>
          <w:sz w:val="16"/>
          <w:szCs w:val="16"/>
        </w:rPr>
        <w:softHyphen/>
        <w:t>лее натянутыми. Поползли слухи о преднамеренном желании сдать негодную продукцию. Уолтер Джонсон пишет: «Вначале дружественно настроенные к нам рус</w:t>
      </w:r>
      <w:r w:rsidRPr="00405303">
        <w:rPr>
          <w:bCs/>
          <w:color w:val="002060"/>
          <w:sz w:val="16"/>
          <w:szCs w:val="16"/>
        </w:rPr>
        <w:softHyphen/>
        <w:t>ские офицеры постепенно стали сторониться нас и не проявляли желания помочь в доводке самолетов до ра</w:t>
      </w:r>
      <w:r w:rsidRPr="00405303">
        <w:rPr>
          <w:bCs/>
          <w:color w:val="002060"/>
          <w:sz w:val="16"/>
          <w:szCs w:val="16"/>
        </w:rPr>
        <w:softHyphen/>
        <w:t>ботоспособного состояния. Когда лейтенант Утгоф был в Севастополе, он всячески содействовал нам, но после его отъезда в Америку (Утгофа командировали в США в августе 1915 года для контроля за производством за</w:t>
      </w:r>
      <w:r w:rsidRPr="00405303">
        <w:rPr>
          <w:bCs/>
          <w:color w:val="002060"/>
          <w:sz w:val="16"/>
          <w:szCs w:val="16"/>
        </w:rPr>
        <w:softHyphen/>
        <w:t>казанных «лодок») мы потеряли единственного друга. С этого момента ни один из офицеров не про явил к нам расположения и не предложил какой-либо помощи. Мы остались предоставлены самим себе со всеми нашими проблемами».</w:t>
      </w:r>
    </w:p>
    <w:p w14:paraId="7081AC94" w14:textId="77777777" w:rsidR="00DD2C8C" w:rsidRPr="00405303" w:rsidRDefault="00DD2C8C" w:rsidP="00C15251">
      <w:pPr>
        <w:jc w:val="both"/>
        <w:rPr>
          <w:bCs/>
          <w:color w:val="002060"/>
          <w:sz w:val="16"/>
          <w:szCs w:val="16"/>
        </w:rPr>
      </w:pPr>
      <w:r w:rsidRPr="00405303">
        <w:rPr>
          <w:bCs/>
          <w:color w:val="002060"/>
          <w:sz w:val="16"/>
          <w:szCs w:val="16"/>
        </w:rPr>
        <w:t>Апогеем антагонизма между русскими и американца</w:t>
      </w:r>
      <w:r w:rsidRPr="00405303">
        <w:rPr>
          <w:bCs/>
          <w:color w:val="002060"/>
          <w:sz w:val="16"/>
          <w:szCs w:val="16"/>
        </w:rPr>
        <w:softHyphen/>
        <w:t>ми стал арест в Севастополе представителя фирмы «Кертисс» в России П.Окса. Его обвинили в шпионаже в пользу Германии и Австро-Венгрии, мотивируя это тем, что до войны Окс работал сотрудником Кертисса в Берлине и Вене. Он провел в тюрьме несколько недель, прежде чем сумел доказать свою невиновность.</w:t>
      </w:r>
    </w:p>
    <w:p w14:paraId="39C6A0AD" w14:textId="77777777" w:rsidR="00DD2C8C" w:rsidRPr="00405303" w:rsidRDefault="00DD2C8C" w:rsidP="00C15251">
      <w:pPr>
        <w:jc w:val="both"/>
        <w:rPr>
          <w:bCs/>
          <w:color w:val="002060"/>
          <w:sz w:val="16"/>
          <w:szCs w:val="16"/>
        </w:rPr>
      </w:pPr>
      <w:r w:rsidRPr="00405303">
        <w:rPr>
          <w:bCs/>
          <w:color w:val="002060"/>
          <w:sz w:val="16"/>
          <w:szCs w:val="16"/>
        </w:rPr>
        <w:t>В ответ на телеграммы Морского генерального шта</w:t>
      </w:r>
      <w:r w:rsidRPr="00405303">
        <w:rPr>
          <w:bCs/>
          <w:color w:val="002060"/>
          <w:sz w:val="16"/>
          <w:szCs w:val="16"/>
        </w:rPr>
        <w:softHyphen/>
        <w:t>ба о недостатках летающих лодок Г.Кертисс слал депе</w:t>
      </w:r>
      <w:r w:rsidRPr="00405303">
        <w:rPr>
          <w:bCs/>
          <w:color w:val="002060"/>
          <w:sz w:val="16"/>
          <w:szCs w:val="16"/>
        </w:rPr>
        <w:softHyphen/>
        <w:t>ши с заверениями, что с открытием навигации в 1916 году в Россию доставят новые усовершенствованные двигатели и все проблемы будут решены. Однако в на</w:t>
      </w:r>
      <w:r w:rsidRPr="00405303">
        <w:rPr>
          <w:bCs/>
          <w:color w:val="002060"/>
          <w:sz w:val="16"/>
          <w:szCs w:val="16"/>
        </w:rPr>
        <w:softHyphen/>
        <w:t>чале года на вооружение флота начали поступать лета</w:t>
      </w:r>
      <w:r w:rsidRPr="00405303">
        <w:rPr>
          <w:bCs/>
          <w:color w:val="002060"/>
          <w:sz w:val="16"/>
          <w:szCs w:val="16"/>
        </w:rPr>
        <w:softHyphen/>
        <w:t>ющие лодки Д.П.Григоровича М-5 и М-9, оказавшиеся несравненно лучше «Кертиссов». В связи с этим стало назревать решение об отказе от новых контактов с Кер</w:t>
      </w:r>
      <w:r w:rsidRPr="00405303">
        <w:rPr>
          <w:bCs/>
          <w:color w:val="002060"/>
          <w:sz w:val="16"/>
          <w:szCs w:val="16"/>
        </w:rPr>
        <w:softHyphen/>
        <w:t>тиссом и перевооружении авиации флота на отечест</w:t>
      </w:r>
      <w:r w:rsidRPr="00405303">
        <w:rPr>
          <w:bCs/>
          <w:color w:val="002060"/>
          <w:sz w:val="16"/>
          <w:szCs w:val="16"/>
        </w:rPr>
        <w:softHyphen/>
        <w:t>венные самолеты. В феврале 1916 года Тучков сообщил российскому военно-морскому атташе в Нью-Йорке о возможном разрыве контракта, так как принятые «Кер</w:t>
      </w:r>
      <w:r w:rsidRPr="00405303">
        <w:rPr>
          <w:bCs/>
          <w:color w:val="002060"/>
          <w:sz w:val="16"/>
          <w:szCs w:val="16"/>
        </w:rPr>
        <w:softHyphen/>
        <w:t>тиссы» практически не используются из-за отсутствия запасных частей к двигателям.</w:t>
      </w:r>
    </w:p>
    <w:p w14:paraId="140EF0E1" w14:textId="77777777" w:rsidR="00DD2C8C" w:rsidRPr="00405303" w:rsidRDefault="00DD2C8C" w:rsidP="00C15251">
      <w:pPr>
        <w:jc w:val="both"/>
        <w:rPr>
          <w:bCs/>
          <w:color w:val="002060"/>
          <w:sz w:val="16"/>
          <w:szCs w:val="16"/>
        </w:rPr>
      </w:pPr>
      <w:r w:rsidRPr="00405303">
        <w:rPr>
          <w:bCs/>
          <w:color w:val="002060"/>
          <w:sz w:val="16"/>
          <w:szCs w:val="16"/>
        </w:rPr>
        <w:t>«Последней каплей» явилась поломка валов двигате</w:t>
      </w:r>
      <w:r w:rsidRPr="00405303">
        <w:rPr>
          <w:bCs/>
          <w:color w:val="002060"/>
          <w:sz w:val="16"/>
          <w:szCs w:val="16"/>
        </w:rPr>
        <w:softHyphen/>
        <w:t>лей двух новых «Кертисс К» во время их испытаний весной 1916 года В резолюции, подготовленной на за</w:t>
      </w:r>
      <w:r w:rsidRPr="00405303">
        <w:rPr>
          <w:bCs/>
          <w:color w:val="002060"/>
          <w:sz w:val="16"/>
          <w:szCs w:val="16"/>
        </w:rPr>
        <w:softHyphen/>
        <w:t>седании Авиационного комитета Черноморского флота отмечалось, что из-за недостатков в конструкции лодок «К» они абсолютно бесполезны для военных целей и не могут использоваться даже для обучения пилотов, так как полеты на них опасны для жизни.</w:t>
      </w:r>
    </w:p>
    <w:p w14:paraId="1C3BAE06" w14:textId="77777777" w:rsidR="00DD2C8C" w:rsidRPr="00405303" w:rsidRDefault="00DD2C8C" w:rsidP="00C15251">
      <w:pPr>
        <w:jc w:val="both"/>
        <w:rPr>
          <w:bCs/>
          <w:color w:val="002060"/>
          <w:sz w:val="16"/>
          <w:szCs w:val="16"/>
        </w:rPr>
      </w:pPr>
      <w:r w:rsidRPr="00405303">
        <w:rPr>
          <w:bCs/>
          <w:color w:val="002060"/>
          <w:sz w:val="16"/>
          <w:szCs w:val="16"/>
        </w:rPr>
        <w:t>Этого же мнения придерживался и В.В.Утгоф. «Ле</w:t>
      </w:r>
      <w:r w:rsidRPr="00405303">
        <w:rPr>
          <w:bCs/>
          <w:color w:val="002060"/>
          <w:sz w:val="16"/>
          <w:szCs w:val="16"/>
        </w:rPr>
        <w:softHyphen/>
        <w:t>тающие лодки типа «К» оказались настолько неудачны</w:t>
      </w:r>
      <w:r w:rsidRPr="00405303">
        <w:rPr>
          <w:bCs/>
          <w:color w:val="002060"/>
          <w:sz w:val="16"/>
          <w:szCs w:val="16"/>
        </w:rPr>
        <w:softHyphen/>
        <w:t>ми, что продолжительные усилия многих людей до сих пор оказываются бесплодными в смысле приведения аэ</w:t>
      </w:r>
      <w:r w:rsidRPr="00405303">
        <w:rPr>
          <w:bCs/>
          <w:color w:val="002060"/>
          <w:sz w:val="16"/>
          <w:szCs w:val="16"/>
        </w:rPr>
        <w:softHyphen/>
        <w:t>ропланов Кертисса в готовность»,—писал он по возвра</w:t>
      </w:r>
      <w:r w:rsidRPr="00405303">
        <w:rPr>
          <w:bCs/>
          <w:color w:val="002060"/>
          <w:sz w:val="16"/>
          <w:szCs w:val="16"/>
        </w:rPr>
        <w:softHyphen/>
        <w:t>щении из США в апреле 1916 года.</w:t>
      </w:r>
    </w:p>
    <w:p w14:paraId="388FDE31" w14:textId="77777777" w:rsidR="00DD2C8C" w:rsidRPr="00405303" w:rsidRDefault="00DD2C8C" w:rsidP="00C15251">
      <w:pPr>
        <w:jc w:val="both"/>
        <w:rPr>
          <w:bCs/>
          <w:color w:val="002060"/>
          <w:sz w:val="16"/>
          <w:szCs w:val="16"/>
        </w:rPr>
      </w:pPr>
      <w:r w:rsidRPr="00405303">
        <w:rPr>
          <w:bCs/>
          <w:color w:val="002060"/>
          <w:sz w:val="16"/>
          <w:szCs w:val="16"/>
        </w:rPr>
        <w:t>16 апреля 1916 года представители Г.Кертисса были уведомлены о прекращении всяких работ в Севастополе и необходимости забрать оттуда летающие лодки и все другое имущество фирмы. Пытаясь спасти положение, Джаннус и Окс предложили организовать сборку и ис</w:t>
      </w:r>
      <w:r w:rsidRPr="00405303">
        <w:rPr>
          <w:bCs/>
          <w:color w:val="002060"/>
          <w:sz w:val="16"/>
          <w:szCs w:val="16"/>
        </w:rPr>
        <w:softHyphen/>
        <w:t>пытания поступающих в Россию через Архангельск ле</w:t>
      </w:r>
      <w:r w:rsidRPr="00405303">
        <w:rPr>
          <w:bCs/>
          <w:color w:val="002060"/>
          <w:sz w:val="16"/>
          <w:szCs w:val="16"/>
        </w:rPr>
        <w:softHyphen/>
        <w:t>тающих лодок в Петрограде, для использования их в дальнейшем на Балтике. Они начали переговоры с ди</w:t>
      </w:r>
      <w:r w:rsidRPr="00405303">
        <w:rPr>
          <w:bCs/>
          <w:color w:val="002060"/>
          <w:sz w:val="16"/>
          <w:szCs w:val="16"/>
        </w:rPr>
        <w:softHyphen/>
        <w:t>ректором петроградского завода пневматических инстру</w:t>
      </w:r>
      <w:r w:rsidRPr="00405303">
        <w:rPr>
          <w:bCs/>
          <w:color w:val="002060"/>
          <w:sz w:val="16"/>
          <w:szCs w:val="16"/>
        </w:rPr>
        <w:softHyphen/>
        <w:t>ментов о сотрудничестве в доводке и ремонте двигате</w:t>
      </w:r>
      <w:r w:rsidRPr="00405303">
        <w:rPr>
          <w:bCs/>
          <w:color w:val="002060"/>
          <w:sz w:val="16"/>
          <w:szCs w:val="16"/>
        </w:rPr>
        <w:softHyphen/>
        <w:t>лей, а также предложили привезти в Россию в качестве компенсации 50 новых авиамоторов Кертисс VX мощ</w:t>
      </w:r>
      <w:r w:rsidRPr="00405303">
        <w:rPr>
          <w:bCs/>
          <w:color w:val="002060"/>
          <w:sz w:val="16"/>
          <w:szCs w:val="16"/>
        </w:rPr>
        <w:softHyphen/>
        <w:t>ностью 160 л.с., но эти замыслы не имели успеха—за</w:t>
      </w:r>
      <w:r w:rsidRPr="00405303">
        <w:rPr>
          <w:bCs/>
          <w:color w:val="002060"/>
          <w:sz w:val="16"/>
          <w:szCs w:val="16"/>
        </w:rPr>
        <w:softHyphen/>
        <w:t>пас доверия Кертиссу был исчерпан (23545).</w:t>
      </w:r>
    </w:p>
    <w:p w14:paraId="024BD89E" w14:textId="77777777" w:rsidR="00DD2C8C" w:rsidRPr="00405303" w:rsidRDefault="00DD2C8C" w:rsidP="00C15251">
      <w:pPr>
        <w:pStyle w:val="af6"/>
        <w:spacing w:line="240" w:lineRule="auto"/>
        <w:jc w:val="both"/>
        <w:rPr>
          <w:rFonts w:ascii="Times New Roman" w:hAnsi="Times New Roman" w:cs="Times New Roman"/>
          <w:bCs/>
          <w:color w:val="002060"/>
          <w:sz w:val="16"/>
          <w:szCs w:val="16"/>
        </w:rPr>
      </w:pPr>
    </w:p>
    <w:p w14:paraId="63F7C9B1" w14:textId="31BD8478" w:rsidR="00A1370A" w:rsidRPr="00405303" w:rsidRDefault="00A1370A" w:rsidP="00A1370A">
      <w:pPr>
        <w:jc w:val="both"/>
        <w:rPr>
          <w:color w:val="0070C0"/>
          <w:sz w:val="16"/>
          <w:szCs w:val="16"/>
        </w:rPr>
      </w:pPr>
      <w:r w:rsidRPr="00405303">
        <w:rPr>
          <w:color w:val="0070C0"/>
          <w:sz w:val="16"/>
          <w:szCs w:val="16"/>
        </w:rPr>
        <w:t xml:space="preserve">В начале 1915 г. был перевооружен самолетами «Моран-Ж» IV корпусной авиаотряд (4-й КАО). В отряде проходил службу штабс-капитан Александр Александрович Казаков (по др. источникам – Козаков А.А., это было его первое место службы в авиации, в будущем – самый результативный ас ИВФ России). Казаков первым в отряде стал искать способы воздушного боя </w:t>
      </w:r>
      <w:proofErr w:type="gramStart"/>
      <w:r w:rsidRPr="00405303">
        <w:rPr>
          <w:color w:val="0070C0"/>
          <w:sz w:val="16"/>
          <w:szCs w:val="16"/>
        </w:rPr>
        <w:t>и в частности</w:t>
      </w:r>
      <w:proofErr w:type="gramEnd"/>
      <w:r w:rsidRPr="00405303">
        <w:rPr>
          <w:color w:val="0070C0"/>
          <w:sz w:val="16"/>
          <w:szCs w:val="16"/>
        </w:rPr>
        <w:t xml:space="preserve"> приделал к своему самолету «Моран-Ж» т.н. «кошку» – крюк на тросе, которым он рассчитывал зацепить и опрокинут вражеский самолет.</w:t>
      </w:r>
    </w:p>
    <w:p w14:paraId="34017819" w14:textId="77777777" w:rsidR="00A1370A" w:rsidRPr="00405303" w:rsidRDefault="00A1370A" w:rsidP="00A1370A">
      <w:pPr>
        <w:jc w:val="both"/>
        <w:rPr>
          <w:color w:val="0070C0"/>
          <w:sz w:val="16"/>
          <w:szCs w:val="16"/>
        </w:rPr>
      </w:pPr>
    </w:p>
    <w:p w14:paraId="4B2A6D73"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35B5ADF1" w14:textId="77777777" w:rsidR="004B4E35" w:rsidRPr="00405303" w:rsidRDefault="004B4E35" w:rsidP="00C15251">
      <w:pPr>
        <w:jc w:val="both"/>
        <w:rPr>
          <w:bCs/>
          <w:i/>
          <w:color w:val="002060"/>
          <w:sz w:val="16"/>
          <w:szCs w:val="16"/>
        </w:rPr>
      </w:pPr>
    </w:p>
    <w:p w14:paraId="68B61DD7" w14:textId="77777777" w:rsidR="00E3186F" w:rsidRPr="00405303" w:rsidRDefault="00E3186F" w:rsidP="00E3186F">
      <w:pPr>
        <w:jc w:val="both"/>
        <w:rPr>
          <w:color w:val="0070C0"/>
          <w:sz w:val="16"/>
          <w:szCs w:val="16"/>
        </w:rPr>
      </w:pPr>
      <w:r w:rsidRPr="00405303">
        <w:rPr>
          <w:color w:val="0070C0"/>
          <w:sz w:val="16"/>
          <w:szCs w:val="16"/>
        </w:rPr>
        <w:t xml:space="preserve">В начале 1915 г. по инициативе военного ведомства была создана Организация уполномоченного Главного артиллерийского управления по заготовке снарядов по французскому образцу. Возглавил ее бывший начальник Хабаровского и Брянского арсеналов генерал-майор С.Н. Ванков. Основной задачей Ванкова стала организация производства 3-дюймовых снарядов. В основу производства снарядов была положена французская технология, позволявшая использовать кооперацию множества предприятий, осуществлявших массовый выпуск отдельных частей гранат или отдельные операции по их изготовлению. Структура нового учреждения включала: центральное управление (канцелярия; отделы: технический, хозяйственный, личного состава, поверочных инструментов, распределения материалов; части: юридическая, чертежная, статистическая и др.); французскую военно-техническую миссию (артиллеристы, инженеры, техники, химики); специальных уполномоченных по районам и наблюдающих на заводах. В 1915– 1917 гг. Организация Ванкова мобилизовала для исполнения военных заказов от 300 до 500 предприятий, включая крупные заводы, небольшие фабрики, железнодорожные и кустарные мастерские разной отраслевой направленности (металлургические, металлообрабатывающие, текстильные и пр.), принадлежавшие разным владельцам (казенные, частные, военно-промышленных комитетов и городских союзов), а также лаборатории училищ и высших учебных заведений. По характеру выпускаемой продукции они объединялись в несколько групп, причем некоторые имели головное предприятие. В июне 1915 – июне 1917 г. на предприятиях Организации Ванкова было изготовлено 16 млн 3-дюймовых, 700 тыс. 6-дюймовых, а также свыше 1 млн снарядов и бомб других калибров, что позволило преодолеть кризис в снабжении боеприпасами основной части русской артиллерии, наметившийся осенью 1914 </w:t>
      </w:r>
      <w:proofErr w:type="gramStart"/>
      <w:r w:rsidRPr="00405303">
        <w:rPr>
          <w:color w:val="0070C0"/>
          <w:sz w:val="16"/>
          <w:szCs w:val="16"/>
        </w:rPr>
        <w:t>г.(</w:t>
      </w:r>
      <w:proofErr w:type="gramEnd"/>
      <w:r w:rsidRPr="00405303">
        <w:rPr>
          <w:color w:val="0070C0"/>
          <w:sz w:val="16"/>
          <w:szCs w:val="16"/>
        </w:rPr>
        <w:t>Экономическая история России (с древнейших времен до 1917 г.): Энциклопедия. В 2 т. М., 2008. Т. 1. С. 334-335) (25601).</w:t>
      </w:r>
    </w:p>
    <w:p w14:paraId="2DA3A789" w14:textId="77777777" w:rsidR="00E3186F" w:rsidRPr="00405303" w:rsidRDefault="00E3186F" w:rsidP="00E3186F">
      <w:pPr>
        <w:jc w:val="both"/>
        <w:rPr>
          <w:color w:val="0070C0"/>
          <w:sz w:val="16"/>
          <w:szCs w:val="16"/>
        </w:rPr>
      </w:pPr>
    </w:p>
    <w:p w14:paraId="4A01DD5E" w14:textId="77777777" w:rsidR="00726C94" w:rsidRPr="00405303" w:rsidRDefault="00726C94" w:rsidP="00C15251">
      <w:pPr>
        <w:jc w:val="both"/>
        <w:rPr>
          <w:bCs/>
          <w:color w:val="002060"/>
          <w:sz w:val="16"/>
          <w:szCs w:val="16"/>
        </w:rPr>
      </w:pPr>
      <w:r w:rsidRPr="00405303">
        <w:rPr>
          <w:bCs/>
          <w:color w:val="002060"/>
          <w:sz w:val="16"/>
          <w:szCs w:val="16"/>
        </w:rPr>
        <w:t>С начала 1915 на все стороны жизнедеятельности электрослаботочных предприятий столицы стало оказывать ГВТУ как ведущий заказчик их продукции. К числу признаков, указывающих на это влияние, следует отнести:</w:t>
      </w:r>
    </w:p>
    <w:p w14:paraId="44964B1F" w14:textId="77777777" w:rsidR="00726C94" w:rsidRPr="00405303" w:rsidRDefault="00726C94" w:rsidP="00C15251">
      <w:pPr>
        <w:jc w:val="both"/>
        <w:rPr>
          <w:bCs/>
          <w:color w:val="002060"/>
          <w:sz w:val="16"/>
          <w:szCs w:val="16"/>
        </w:rPr>
      </w:pPr>
      <w:r w:rsidRPr="00405303">
        <w:rPr>
          <w:bCs/>
          <w:color w:val="002060"/>
          <w:sz w:val="16"/>
          <w:szCs w:val="16"/>
        </w:rPr>
        <w:t>- выдачу разрешений со стороны Электротехнического отдела ГВТУ на производство фирмами продукции для потребителей даже из числа казенных, но не входящих в систему Военного ведомства, учреждений;</w:t>
      </w:r>
    </w:p>
    <w:p w14:paraId="54CCB449" w14:textId="77777777" w:rsidR="00726C94" w:rsidRPr="00405303" w:rsidRDefault="00726C94" w:rsidP="00C15251">
      <w:pPr>
        <w:jc w:val="both"/>
        <w:rPr>
          <w:bCs/>
          <w:color w:val="002060"/>
          <w:sz w:val="16"/>
          <w:szCs w:val="16"/>
        </w:rPr>
      </w:pPr>
      <w:r w:rsidRPr="00405303">
        <w:rPr>
          <w:bCs/>
          <w:color w:val="002060"/>
          <w:sz w:val="16"/>
          <w:szCs w:val="16"/>
        </w:rPr>
        <w:t>- запрещение на продажу наиболее массовых предметов таких, например, как переносных телефонных аппаратов без выдачи разрешения в каждом отдельном случае Электротехническим отделом;</w:t>
      </w:r>
    </w:p>
    <w:p w14:paraId="4C2D2E0F" w14:textId="77777777" w:rsidR="00726C94" w:rsidRPr="00405303" w:rsidRDefault="00726C94" w:rsidP="00C15251">
      <w:pPr>
        <w:jc w:val="both"/>
        <w:rPr>
          <w:bCs/>
          <w:color w:val="002060"/>
          <w:sz w:val="16"/>
          <w:szCs w:val="16"/>
        </w:rPr>
      </w:pPr>
      <w:r w:rsidRPr="00405303">
        <w:rPr>
          <w:bCs/>
          <w:color w:val="002060"/>
          <w:sz w:val="16"/>
          <w:szCs w:val="16"/>
        </w:rPr>
        <w:t xml:space="preserve">- систему контроля за ходом выполнения выданных заказов. В годы войны было уделено большое внимание на совершенствование этой системы путем укрепления приемного аппарата ГВТУ. На это были направлены ряд нормативных документов Военного Совета и самого Инженерного ведомства (Приказы по Главному Военно-техническому управлению. – Пг., 1915. Приказ по ГВТУ № 112 от 5.09.1915 г.; Приказание по ГВТУ № 39 от 1.07.1916 г.; Приказание по ГВТУ № 42 от 8.07.1917 г.). </w:t>
      </w:r>
      <w:r w:rsidRPr="00405303">
        <w:rPr>
          <w:bCs/>
          <w:color w:val="002060"/>
          <w:sz w:val="16"/>
          <w:szCs w:val="16"/>
        </w:rPr>
        <w:lastRenderedPageBreak/>
        <w:t>При изготовлении каждой партии предметов заводы обязывались сообщать об этом в Электротехнический отдел ГВТУ, в Главный инженерный склад, заведующему инженерными приемками ГВТУ и военному приемщику на предприятии (18297);</w:t>
      </w:r>
    </w:p>
    <w:p w14:paraId="7C4CD19C" w14:textId="77777777" w:rsidR="00726C94" w:rsidRPr="00405303" w:rsidRDefault="00726C94" w:rsidP="00C15251">
      <w:pPr>
        <w:jc w:val="both"/>
        <w:rPr>
          <w:bCs/>
          <w:color w:val="002060"/>
          <w:sz w:val="16"/>
          <w:szCs w:val="16"/>
        </w:rPr>
      </w:pPr>
      <w:r w:rsidRPr="00405303">
        <w:rPr>
          <w:bCs/>
          <w:color w:val="002060"/>
          <w:sz w:val="16"/>
          <w:szCs w:val="16"/>
        </w:rPr>
        <w:t>- обеспечение предприятий материалами и сырьем через посредничество ГВТУ. Для их получения заводами требовалось удостоверение Инженерного ведомства, подтверждающее необходимость данных материалов для выполнения военных заказов. Такой порядок, в частности, существовал в отношении металлов, распределением которых занималось специальное бюро Центрального Военнопромышленного комитета.</w:t>
      </w:r>
    </w:p>
    <w:p w14:paraId="2A12378C" w14:textId="77777777" w:rsidR="00726C94" w:rsidRPr="00405303" w:rsidRDefault="00726C94" w:rsidP="00C15251">
      <w:pPr>
        <w:jc w:val="both"/>
        <w:rPr>
          <w:bCs/>
          <w:color w:val="002060"/>
          <w:sz w:val="16"/>
          <w:szCs w:val="16"/>
        </w:rPr>
      </w:pPr>
      <w:r w:rsidRPr="00405303">
        <w:rPr>
          <w:bCs/>
          <w:color w:val="002060"/>
          <w:sz w:val="16"/>
          <w:szCs w:val="16"/>
        </w:rPr>
        <w:t>Аналогичные удостоверения ГВТУ требовались предприятиям и для получения валюты в случае самостоятельных расчетов с зарубежными поставщиками3 или поставок из Англии дефицитных материалов (алюминий, сурьма, свинец, никель, цинк, специальные сорта меди, инструментальная сталь, вольфрам, молибден и проч.) через Англо-русский комитет в Лондоне (ЦГИА СПб. Ф. 1471. Оп. 1. Д. 199. Л. 3) (18297).</w:t>
      </w:r>
    </w:p>
    <w:p w14:paraId="17E9C2AA" w14:textId="77777777" w:rsidR="00726C94" w:rsidRPr="00405303" w:rsidRDefault="00726C94" w:rsidP="00C15251">
      <w:pPr>
        <w:jc w:val="both"/>
        <w:rPr>
          <w:bCs/>
          <w:color w:val="002060"/>
          <w:sz w:val="16"/>
          <w:szCs w:val="16"/>
        </w:rPr>
      </w:pPr>
    </w:p>
    <w:p w14:paraId="7DDDAE33" w14:textId="77777777" w:rsidR="00726C94" w:rsidRPr="00405303" w:rsidRDefault="00726C94" w:rsidP="00C15251">
      <w:pPr>
        <w:pStyle w:val="p1"/>
        <w:spacing w:before="0" w:beforeAutospacing="0" w:after="0" w:afterAutospacing="0"/>
        <w:jc w:val="both"/>
        <w:rPr>
          <w:bCs/>
          <w:color w:val="002060"/>
          <w:sz w:val="16"/>
          <w:szCs w:val="16"/>
        </w:rPr>
      </w:pPr>
      <w:r w:rsidRPr="00405303">
        <w:rPr>
          <w:bCs/>
          <w:color w:val="002060"/>
          <w:sz w:val="16"/>
          <w:szCs w:val="16"/>
        </w:rPr>
        <w:t>В начале 1915 г. выяснилось, что получить от русской металлургии подковы «быть может и возможно», как выразился главный интендант, «но что касается шипов, то за перегруженностью специальных заводов нарядами военного ведомства, за недостаточностью… металла и необходимых оборудований» заготовить их внутри России не удается. «Большинством поступающих ныне предложений от разного рода мастерских, заводов и предпринимателей изъявляется согласие на заготовление лишь подков, но без шипов». «Наиболее крупный специальный завод Посселя» отказался от подряда на 60 млн. шипов из-за отсутствия материалов и недостаточности заводских помещений. Другой специальный завод, Оршанский, не имея материалов, не смог исполнить данный ему заказ на шипы. Прочим предприятиям потребовалось бы еще выписать из-за границы необходимое для изготовления шипов оборудование. Все это вынуждало интендантское ведомство продолжать заказывать шипы преимущественно на американских заводах.[165] Завод Посселя, входивший в военно-промышленную группу Русско-Азиатского банка, подобно Путиловскому и другим не справлявшимся с военными заданиями предприятиям группы, 9 ноября 1915 г. подвергся конфискации, после чего именовался Петроградским военно-подковным заводом (18409).</w:t>
      </w:r>
    </w:p>
    <w:p w14:paraId="3C70CE71" w14:textId="77777777" w:rsidR="00726C94" w:rsidRPr="00405303" w:rsidRDefault="00726C94" w:rsidP="00C15251">
      <w:pPr>
        <w:pStyle w:val="p1"/>
        <w:spacing w:before="0" w:beforeAutospacing="0" w:after="0" w:afterAutospacing="0"/>
        <w:jc w:val="both"/>
        <w:rPr>
          <w:bCs/>
          <w:color w:val="002060"/>
          <w:sz w:val="16"/>
          <w:szCs w:val="16"/>
        </w:rPr>
      </w:pPr>
    </w:p>
    <w:p w14:paraId="53226423" w14:textId="77777777" w:rsidR="00DD2C8C" w:rsidRPr="00405303" w:rsidRDefault="00DD2C8C"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В начале 1915 г. выяснилось, что получить от русской метал</w:t>
      </w:r>
      <w:r w:rsidRPr="00405303">
        <w:rPr>
          <w:rFonts w:ascii="Times New Roman" w:hAnsi="Times New Roman" w:cs="Times New Roman"/>
          <w:bCs/>
          <w:color w:val="002060"/>
          <w:sz w:val="16"/>
          <w:szCs w:val="16"/>
        </w:rPr>
        <w:softHyphen/>
        <w:t>лургии подковы «быть может и возможно», как выразился главный интендант, «но что касается шипов, то за пере</w:t>
      </w:r>
      <w:r w:rsidRPr="00405303">
        <w:rPr>
          <w:rFonts w:ascii="Times New Roman" w:hAnsi="Times New Roman" w:cs="Times New Roman"/>
          <w:bCs/>
          <w:color w:val="002060"/>
          <w:sz w:val="16"/>
          <w:szCs w:val="16"/>
        </w:rPr>
        <w:softHyphen/>
        <w:t>груженностью специальных заводов нарядами военного ве</w:t>
      </w:r>
      <w:r w:rsidRPr="00405303">
        <w:rPr>
          <w:rFonts w:ascii="Times New Roman" w:hAnsi="Times New Roman" w:cs="Times New Roman"/>
          <w:bCs/>
          <w:color w:val="002060"/>
          <w:sz w:val="16"/>
          <w:szCs w:val="16"/>
        </w:rPr>
        <w:softHyphen/>
        <w:t>домства, за недостаточностью... металла и необходимых оборудований» заготовить их внутри России не удается. «Большинством поступающих ныне предложений от разно</w:t>
      </w:r>
      <w:r w:rsidRPr="00405303">
        <w:rPr>
          <w:rFonts w:ascii="Times New Roman" w:hAnsi="Times New Roman" w:cs="Times New Roman"/>
          <w:bCs/>
          <w:color w:val="002060"/>
          <w:sz w:val="16"/>
          <w:szCs w:val="16"/>
        </w:rPr>
        <w:softHyphen/>
        <w:t>го рода мастерских, заводов и предпринимателей изъявля</w:t>
      </w:r>
      <w:r w:rsidRPr="00405303">
        <w:rPr>
          <w:rFonts w:ascii="Times New Roman" w:hAnsi="Times New Roman" w:cs="Times New Roman"/>
          <w:bCs/>
          <w:color w:val="002060"/>
          <w:sz w:val="16"/>
          <w:szCs w:val="16"/>
        </w:rPr>
        <w:softHyphen/>
        <w:t>ется согласие на заготовление лишь подков, но без шипов». «Наиболее крупный специальный завод Посселя» отказал</w:t>
      </w:r>
      <w:r w:rsidRPr="00405303">
        <w:rPr>
          <w:rFonts w:ascii="Times New Roman" w:hAnsi="Times New Roman" w:cs="Times New Roman"/>
          <w:bCs/>
          <w:color w:val="002060"/>
          <w:sz w:val="16"/>
          <w:szCs w:val="16"/>
        </w:rPr>
        <w:softHyphen/>
        <w:t>ся от подряда на 60 млн шипов из-за отсутствия материалов и недостаточности заводских помещений. Другой специ</w:t>
      </w:r>
      <w:r w:rsidRPr="00405303">
        <w:rPr>
          <w:rFonts w:ascii="Times New Roman" w:hAnsi="Times New Roman" w:cs="Times New Roman"/>
          <w:bCs/>
          <w:color w:val="002060"/>
          <w:sz w:val="16"/>
          <w:szCs w:val="16"/>
        </w:rPr>
        <w:softHyphen/>
        <w:t>альный завод, Оршанский, не имея материалов, не смог исполнить данный ему заказ на шипы. Прочим предприя</w:t>
      </w:r>
      <w:r w:rsidRPr="00405303">
        <w:rPr>
          <w:rFonts w:ascii="Times New Roman" w:hAnsi="Times New Roman" w:cs="Times New Roman"/>
          <w:bCs/>
          <w:color w:val="002060"/>
          <w:sz w:val="16"/>
          <w:szCs w:val="16"/>
        </w:rPr>
        <w:softHyphen/>
        <w:t>тиям потребовалось бы еще выписать из-за границы необ</w:t>
      </w:r>
      <w:r w:rsidRPr="00405303">
        <w:rPr>
          <w:rFonts w:ascii="Times New Roman" w:hAnsi="Times New Roman" w:cs="Times New Roman"/>
          <w:bCs/>
          <w:color w:val="002060"/>
          <w:sz w:val="16"/>
          <w:szCs w:val="16"/>
        </w:rPr>
        <w:softHyphen/>
        <w:t>ходимое для изготовления шипов оборудование. Все это вынуждало интендантское ведомство продолжать заказы</w:t>
      </w:r>
      <w:r w:rsidRPr="00405303">
        <w:rPr>
          <w:rFonts w:ascii="Times New Roman" w:hAnsi="Times New Roman" w:cs="Times New Roman"/>
          <w:bCs/>
          <w:color w:val="002060"/>
          <w:sz w:val="16"/>
          <w:szCs w:val="16"/>
        </w:rPr>
        <w:softHyphen/>
        <w:t>вать шипы преимущественно на американских заводах1. За</w:t>
      </w:r>
      <w:r w:rsidRPr="00405303">
        <w:rPr>
          <w:rFonts w:ascii="Times New Roman" w:hAnsi="Times New Roman" w:cs="Times New Roman"/>
          <w:bCs/>
          <w:color w:val="002060"/>
          <w:sz w:val="16"/>
          <w:szCs w:val="16"/>
        </w:rPr>
        <w:softHyphen/>
        <w:t>вод Посселя, входивший в военно-промышленную группу Русско-Азиатского банка, подобно Путиловскому и другим не справлявшимся с военными заданиями предприятиям группы, 9 ноября 1915 г. подвергся конфискации (РГВИА. Ф. 962. Оп. 2. Д.115. Л. 136—137. За главного интенданта Н.И. Богатко — Министерству торговли и промышленности, 29.1.1915. «Большой шиповый завод» И.Е. Терехова (300 рабочих) был устроен при содействии местного ВПК в Омске в 1916 г. (Скубневский В.А. Сибирь // Энциклопедия. Т. 3. С. 195—196; Серебренников И. Претерпев судеб уда</w:t>
      </w:r>
      <w:r w:rsidRPr="00405303">
        <w:rPr>
          <w:rFonts w:ascii="Times New Roman" w:hAnsi="Times New Roman" w:cs="Times New Roman"/>
          <w:bCs/>
          <w:color w:val="002060"/>
          <w:sz w:val="16"/>
          <w:szCs w:val="16"/>
        </w:rPr>
        <w:softHyphen/>
        <w:t xml:space="preserve">ры. Дневник. [Иркутск,] 2008. С. 265. Запись </w:t>
      </w:r>
      <w:proofErr w:type="gramStart"/>
      <w:r w:rsidRPr="00405303">
        <w:rPr>
          <w:rFonts w:ascii="Times New Roman" w:hAnsi="Times New Roman" w:cs="Times New Roman"/>
          <w:bCs/>
          <w:color w:val="002060"/>
          <w:sz w:val="16"/>
          <w:szCs w:val="16"/>
        </w:rPr>
        <w:t>23.IX.</w:t>
      </w:r>
      <w:proofErr w:type="gramEnd"/>
      <w:r w:rsidRPr="00405303">
        <w:rPr>
          <w:rFonts w:ascii="Times New Roman" w:hAnsi="Times New Roman" w:cs="Times New Roman"/>
          <w:bCs/>
          <w:color w:val="002060"/>
          <w:sz w:val="16"/>
          <w:szCs w:val="16"/>
        </w:rPr>
        <w:t xml:space="preserve"> 1916). В какой мере этот завод развернул свою деятельность, из записи Серебренникова не ясно, но ему было заказано 7,5 млн шипов; Бовыкин В.И., Тарновский К.Н. Концентрация производства и раз</w:t>
      </w:r>
      <w:r w:rsidRPr="00405303">
        <w:rPr>
          <w:rFonts w:ascii="Times New Roman" w:hAnsi="Times New Roman" w:cs="Times New Roman"/>
          <w:bCs/>
          <w:color w:val="002060"/>
          <w:sz w:val="16"/>
          <w:szCs w:val="16"/>
        </w:rPr>
        <w:softHyphen/>
        <w:t>витие монополий в металлообрабатывающей промышленности Рос</w:t>
      </w:r>
      <w:r w:rsidRPr="00405303">
        <w:rPr>
          <w:rFonts w:ascii="Times New Roman" w:hAnsi="Times New Roman" w:cs="Times New Roman"/>
          <w:bCs/>
          <w:color w:val="002060"/>
          <w:sz w:val="16"/>
          <w:szCs w:val="16"/>
        </w:rPr>
        <w:softHyphen/>
        <w:t>сии // Вопросы истории. 1957. № 2. С. 27; СУ. 19.11.1916. № 48. Ст. 318), после чего именовался Петроградским военно-подковным заводом (23452).</w:t>
      </w:r>
    </w:p>
    <w:p w14:paraId="696878C4" w14:textId="77777777" w:rsidR="00DD2C8C" w:rsidRPr="00405303" w:rsidRDefault="00DD2C8C" w:rsidP="00C15251">
      <w:pPr>
        <w:jc w:val="both"/>
        <w:rPr>
          <w:bCs/>
          <w:color w:val="002060"/>
          <w:sz w:val="16"/>
          <w:szCs w:val="16"/>
        </w:rPr>
      </w:pPr>
    </w:p>
    <w:p w14:paraId="4EAC9EE4" w14:textId="77777777" w:rsidR="00726C94" w:rsidRPr="00405303" w:rsidRDefault="00726C94" w:rsidP="00C15251">
      <w:pPr>
        <w:jc w:val="both"/>
        <w:rPr>
          <w:bCs/>
          <w:color w:val="002060"/>
          <w:sz w:val="16"/>
          <w:szCs w:val="16"/>
        </w:rPr>
      </w:pPr>
      <w:r w:rsidRPr="00405303">
        <w:rPr>
          <w:bCs/>
          <w:color w:val="002060"/>
          <w:sz w:val="16"/>
          <w:szCs w:val="16"/>
        </w:rPr>
        <w:t>До начала 1915 года было принято 5 моторов типа "Даймлер" производства завода в Нижнем Новгороде (18376).</w:t>
      </w:r>
    </w:p>
    <w:p w14:paraId="4F586280" w14:textId="77777777" w:rsidR="00726C94" w:rsidRPr="00405303" w:rsidRDefault="00726C94" w:rsidP="00C15251">
      <w:pPr>
        <w:jc w:val="both"/>
        <w:rPr>
          <w:bCs/>
          <w:color w:val="002060"/>
          <w:sz w:val="16"/>
          <w:szCs w:val="16"/>
        </w:rPr>
      </w:pPr>
    </w:p>
    <w:p w14:paraId="1DEE92E9" w14:textId="77777777" w:rsidR="00E3186F" w:rsidRPr="00405303" w:rsidRDefault="00E3186F" w:rsidP="00E3186F">
      <w:pPr>
        <w:jc w:val="both"/>
        <w:rPr>
          <w:color w:val="0070C0"/>
          <w:sz w:val="16"/>
          <w:szCs w:val="16"/>
        </w:rPr>
      </w:pPr>
      <w:r w:rsidRPr="00405303">
        <w:rPr>
          <w:color w:val="0070C0"/>
          <w:sz w:val="16"/>
          <w:szCs w:val="16"/>
        </w:rPr>
        <w:t>В начале 1915 года мастерская Братолюбова предъявлены на испытания все 12 машин (из них 4 машины производства Руссо-Балт типа С и 6 машин типа Д). Испытывались броневики в Офицерской стрелковой школе и выпускные экзамены они не сдали. Машины оказались перетяжелены, особенно на шасси Руссо-Балт модель Д, и были полностью непригодны для боевого применения. Если по ровному шоссе машины еще перемещались хоть как то, то любое бездорожье или хороший уклон становился для них непреодолим. В общем все машины отправились на задворки Офицерской школы.</w:t>
      </w:r>
    </w:p>
    <w:p w14:paraId="6486BD79" w14:textId="77777777" w:rsidR="00E3186F" w:rsidRPr="00405303" w:rsidRDefault="00E3186F" w:rsidP="00E3186F">
      <w:pPr>
        <w:jc w:val="both"/>
        <w:rPr>
          <w:color w:val="0070C0"/>
          <w:sz w:val="16"/>
          <w:szCs w:val="16"/>
        </w:rPr>
      </w:pPr>
      <w:r w:rsidRPr="00405303">
        <w:rPr>
          <w:color w:val="0070C0"/>
          <w:sz w:val="16"/>
          <w:szCs w:val="16"/>
        </w:rPr>
        <w:t>Броневики по первому проекту Братолюбова-Некрасова получили сложную форму, собранную из прямых и гнутых листов. Объединенное боевое отделение и отделение были защищены броней, форма которой была скорее яйцеобразной, возможно авторы проекта считали такую форму более стойкой как скорлупа яйца. Моторный отсек был полностью бронирован, доступ к двигателю был только через два небольших люка по бортам. Радиатор спереди прикрывался горизонтальными жалюзями. Система охлаждения двигателя была продумана плохо, что в будущем создавало проблемы, двигатели быстро перегревались. Крыша так же имела полукруглую форму. Башен не было. Броневики Некрасова-Братолюбова на шасси Руссо-Балт тип С должны были оснащаться двумя 37-мм пушками Гочкис, в лобовой и кормовой броне и тремя пулеметами — для которых с каждой стороны были подготовлены амбразуры. Доступ в броневик был через узкую боковую дверь. В сложной ситуации быстро покинуть броневик было затруднительно (25491).</w:t>
      </w:r>
    </w:p>
    <w:p w14:paraId="201FBA14" w14:textId="77777777" w:rsidR="00E3186F" w:rsidRPr="00405303" w:rsidRDefault="00E3186F" w:rsidP="00E3186F">
      <w:pPr>
        <w:jc w:val="both"/>
        <w:rPr>
          <w:color w:val="0070C0"/>
          <w:sz w:val="16"/>
          <w:szCs w:val="16"/>
        </w:rPr>
      </w:pPr>
    </w:p>
    <w:p w14:paraId="0CC7A1E5" w14:textId="77777777" w:rsidR="00726C94" w:rsidRPr="00405303" w:rsidRDefault="00726C94" w:rsidP="00C15251">
      <w:pPr>
        <w:jc w:val="both"/>
        <w:rPr>
          <w:bCs/>
          <w:color w:val="002060"/>
          <w:sz w:val="16"/>
          <w:szCs w:val="16"/>
        </w:rPr>
      </w:pPr>
      <w:r w:rsidRPr="00405303">
        <w:rPr>
          <w:bCs/>
          <w:color w:val="002060"/>
          <w:sz w:val="16"/>
          <w:szCs w:val="16"/>
        </w:rPr>
        <w:t>В начале 1915 г. фирма «Н.К. Гейслера» была запрошена ГВТУ о возможности производства в экстренном порядке телефонных аппаратов с фоническим вызовом даже упрощенной конструкции4. А уже в начале февраля 1915 г. она получает первый крупный заказ на 1 700 телефонных аппаратов собственной конструкции5. С этого времени фирма включается в активное производство данного вида телефонной продукции.</w:t>
      </w:r>
    </w:p>
    <w:p w14:paraId="619A760D" w14:textId="77777777" w:rsidR="00726C94" w:rsidRPr="00405303" w:rsidRDefault="00726C94" w:rsidP="00C15251">
      <w:pPr>
        <w:jc w:val="both"/>
        <w:rPr>
          <w:bCs/>
          <w:color w:val="002060"/>
          <w:sz w:val="16"/>
          <w:szCs w:val="16"/>
        </w:rPr>
      </w:pPr>
      <w:r w:rsidRPr="00405303">
        <w:rPr>
          <w:bCs/>
          <w:color w:val="002060"/>
          <w:sz w:val="16"/>
          <w:szCs w:val="16"/>
        </w:rPr>
        <w:t>При этом цены у «Н.К. Гейслера» неизменно были ниже, чем у его основного конкурента – «Л.М. Эриксона», хотя в годы войны этот фактор и престал играть ведущую роль при выборе Военным ведомством своих поставщиков (18297).</w:t>
      </w:r>
    </w:p>
    <w:p w14:paraId="7DAFC2D6" w14:textId="77777777" w:rsidR="00726C94" w:rsidRPr="00405303" w:rsidRDefault="00726C94" w:rsidP="00C15251">
      <w:pPr>
        <w:jc w:val="both"/>
        <w:rPr>
          <w:bCs/>
          <w:color w:val="002060"/>
          <w:sz w:val="16"/>
          <w:szCs w:val="16"/>
        </w:rPr>
      </w:pPr>
    </w:p>
    <w:p w14:paraId="5AD27E15" w14:textId="77777777" w:rsidR="00726C94" w:rsidRPr="00405303" w:rsidRDefault="00726C94" w:rsidP="00C15251">
      <w:pPr>
        <w:jc w:val="both"/>
        <w:rPr>
          <w:bCs/>
          <w:color w:val="002060"/>
          <w:sz w:val="16"/>
          <w:szCs w:val="16"/>
        </w:rPr>
      </w:pPr>
      <w:r w:rsidRPr="00405303">
        <w:rPr>
          <w:bCs/>
          <w:color w:val="002060"/>
          <w:sz w:val="16"/>
          <w:szCs w:val="16"/>
        </w:rPr>
        <w:t>В начале 1915 г. численность занятых рабочих АО «Л.М. Эриксон» с 1940 возросла к январю 1916 г., в связи с введением двухсменного режима работы, до 3284 человек. В декабре 1916 г. этот режим был отменен, и количество рабочих сократилось до 2230. Из числа занятых на заводе 548 служащих большой отряд – более 250 человек – составлял технический персонал (инженеры, техники, чертежники, мастера и их помощники).</w:t>
      </w:r>
    </w:p>
    <w:p w14:paraId="583BCCA9" w14:textId="77777777" w:rsidR="00726C94" w:rsidRPr="00405303" w:rsidRDefault="00726C94" w:rsidP="00C15251">
      <w:pPr>
        <w:jc w:val="both"/>
        <w:rPr>
          <w:bCs/>
          <w:color w:val="002060"/>
          <w:sz w:val="16"/>
          <w:szCs w:val="16"/>
        </w:rPr>
      </w:pPr>
      <w:r w:rsidRPr="00405303">
        <w:rPr>
          <w:bCs/>
          <w:color w:val="002060"/>
          <w:sz w:val="16"/>
          <w:szCs w:val="16"/>
        </w:rPr>
        <w:t>Предприятие АО «Л.М. Эриксон» в годы Первой мировой войны стало ведущим поставщиком телефонной продукции для Военного ведомства. Здесь было организовано производство военно-полевых телефонных аппаратов в крупных масштабах без каких-либо существенных организационных изменений. Для организации этого производства завод получил крупные ассигнования, за счет которых в 1915-1916 гг. было осуществлено значительное расширение производственных площадей и станочного парка. Предприятие имело 1344 станка различного назначения, в большинстве своем новейших конструкций, и 96 электромоторов, обслуживавших станки и машины (18297).</w:t>
      </w:r>
    </w:p>
    <w:p w14:paraId="092751DB" w14:textId="77777777" w:rsidR="00726C94" w:rsidRPr="00405303" w:rsidRDefault="00726C94" w:rsidP="00C15251">
      <w:pPr>
        <w:jc w:val="both"/>
        <w:rPr>
          <w:bCs/>
          <w:color w:val="002060"/>
          <w:sz w:val="16"/>
          <w:szCs w:val="16"/>
        </w:rPr>
      </w:pPr>
    </w:p>
    <w:p w14:paraId="37967FFF" w14:textId="0C2DAF7E" w:rsidR="005900EE" w:rsidRPr="00405303" w:rsidRDefault="005900EE" w:rsidP="00C15251">
      <w:pPr>
        <w:jc w:val="both"/>
        <w:rPr>
          <w:bCs/>
          <w:color w:val="002060"/>
          <w:sz w:val="16"/>
          <w:szCs w:val="16"/>
        </w:rPr>
      </w:pPr>
      <w:r w:rsidRPr="00405303">
        <w:rPr>
          <w:bCs/>
          <w:color w:val="002060"/>
          <w:sz w:val="16"/>
          <w:szCs w:val="16"/>
        </w:rPr>
        <w:t xml:space="preserve">В начале 1915 г. по поручению генерал-инспектора артиллерии, с согласия главковерха, было произведено обследование артиллерийского снабжения на Кавказском фронте. Это обследование обнаружило многие недостатки в организации управления артснабжением, установленной Положением 1914 г., хотя ввиду особых условий обособленности и удаленности Кавказского фронта эти недостатки не давали себя столь остро чувствовать, как на других русских фронтах. </w:t>
      </w:r>
    </w:p>
    <w:p w14:paraId="23B92D8F" w14:textId="77777777" w:rsidR="005900EE" w:rsidRPr="00405303" w:rsidRDefault="005900EE" w:rsidP="00C15251">
      <w:pPr>
        <w:jc w:val="both"/>
        <w:rPr>
          <w:bCs/>
          <w:color w:val="002060"/>
          <w:sz w:val="16"/>
          <w:szCs w:val="16"/>
        </w:rPr>
      </w:pPr>
      <w:r w:rsidRPr="00405303">
        <w:rPr>
          <w:bCs/>
          <w:color w:val="002060"/>
          <w:sz w:val="16"/>
          <w:szCs w:val="16"/>
        </w:rPr>
        <w:t xml:space="preserve">Наконец, в конце июля того же 1915 г. по указаниям военного министра, одобренным царем, были исследованы условия артиллерийского снабжения армий Юго-западного фронта генерал-инспектором артиллерии. На результатах этого исследования придется остановиться более подробно дальше, а здесь только отметить, что для упорядочения артиллерийского снабжения наших армий генерал-инспектор артиллерии признавал, между прочим, необходимым: а) иметь при Штабе главковерха, при штабах главкомов и командармов артиллеристов, которые по своим знаниям и служебному положению могли бы направлять сложное специальное артиллерийское дело, ведая вопросами вооружения и боевого снабжения армии, а также боевым применением артиллерии; б) расширить права и обязанности </w:t>
      </w:r>
      <w:r w:rsidRPr="00405303">
        <w:rPr>
          <w:bCs/>
          <w:color w:val="002060"/>
          <w:sz w:val="16"/>
          <w:szCs w:val="16"/>
        </w:rPr>
        <w:lastRenderedPageBreak/>
        <w:t xml:space="preserve">начальника артиллерийского снабжения, заведующего артиллерийской частью и инспектора артиллерии корпуса; в) установить определенные взаимоотношения лиц и учреждений, распоряжающихся артиллерийским снабжением; г) усилить штатный состав учреждений, ведающих артиллерийским снабжением, и т. д. </w:t>
      </w:r>
    </w:p>
    <w:p w14:paraId="10FB8F58" w14:textId="77777777" w:rsidR="005900EE" w:rsidRPr="00405303" w:rsidRDefault="005900EE" w:rsidP="00C15251">
      <w:pPr>
        <w:jc w:val="both"/>
        <w:rPr>
          <w:bCs/>
          <w:color w:val="002060"/>
          <w:sz w:val="16"/>
          <w:szCs w:val="16"/>
        </w:rPr>
      </w:pPr>
    </w:p>
    <w:p w14:paraId="447BE599" w14:textId="77777777" w:rsidR="00726C94" w:rsidRPr="00405303" w:rsidRDefault="00726C94" w:rsidP="00C15251">
      <w:pPr>
        <w:jc w:val="both"/>
        <w:rPr>
          <w:bCs/>
          <w:color w:val="002060"/>
          <w:sz w:val="16"/>
          <w:szCs w:val="16"/>
        </w:rPr>
      </w:pPr>
      <w:r w:rsidRPr="00405303">
        <w:rPr>
          <w:bCs/>
          <w:color w:val="002060"/>
          <w:sz w:val="16"/>
          <w:szCs w:val="16"/>
        </w:rPr>
        <w:t>С начала 1915 г. хронический характер приобретает проблема несвоевременного исполнения предприятиями заказов по причине перебоев со снабжением сырьем и материалами.</w:t>
      </w:r>
    </w:p>
    <w:p w14:paraId="6023EA68" w14:textId="77777777" w:rsidR="00726C94" w:rsidRPr="00405303" w:rsidRDefault="00726C94" w:rsidP="00C15251">
      <w:pPr>
        <w:jc w:val="both"/>
        <w:rPr>
          <w:bCs/>
          <w:color w:val="002060"/>
          <w:sz w:val="16"/>
          <w:szCs w:val="16"/>
        </w:rPr>
      </w:pPr>
      <w:r w:rsidRPr="00405303">
        <w:rPr>
          <w:bCs/>
          <w:color w:val="002060"/>
          <w:sz w:val="16"/>
          <w:szCs w:val="16"/>
        </w:rPr>
        <w:t>Для выполнения крупного заказа ГВТУ, выданного ему в октябре 1914 г., фирма «Л.М. Эриксона» заблаговременно заказала материалы у петроградского предприятия Розенкранца, кабельного завода Кольчугино и завода «Треугольник». Однако поставщики смогли выполнить свои обязательства только к февралю 1915 г., в результате чего «Л.М. Эриксон» не смог своевременно поставить первые партии изделий, как это было предусмотрено условиями контракта. К тому же заказанный у «Треугольника» при содействии ГВТУ эбонит оказался неудовлетворительного качества. Потребовались ходатайства фирмы к руководству ГВТУ о снятии штрафных санкций, которые автоматически вступали в силу в случае просрочки фирмой установленных сроков поставки (18297).</w:t>
      </w:r>
    </w:p>
    <w:p w14:paraId="5CE49117" w14:textId="77777777" w:rsidR="00726C94" w:rsidRPr="00405303" w:rsidRDefault="00726C94" w:rsidP="00C15251">
      <w:pPr>
        <w:jc w:val="both"/>
        <w:rPr>
          <w:bCs/>
          <w:color w:val="002060"/>
          <w:sz w:val="16"/>
          <w:szCs w:val="16"/>
        </w:rPr>
      </w:pPr>
    </w:p>
    <w:p w14:paraId="479EFC1E" w14:textId="37EB7789" w:rsidR="00726C94" w:rsidRPr="00405303" w:rsidRDefault="00726C94" w:rsidP="00C15251">
      <w:pPr>
        <w:pStyle w:val="ae"/>
        <w:spacing w:before="0" w:beforeAutospacing="0" w:after="0" w:afterAutospacing="0"/>
        <w:jc w:val="both"/>
        <w:rPr>
          <w:bCs/>
          <w:color w:val="002060"/>
          <w:sz w:val="16"/>
          <w:szCs w:val="16"/>
        </w:rPr>
      </w:pPr>
      <w:r w:rsidRPr="00405303">
        <w:rPr>
          <w:bCs/>
          <w:color w:val="002060"/>
          <w:sz w:val="16"/>
          <w:szCs w:val="16"/>
        </w:rPr>
        <w:t>В начале 1915</w:t>
      </w:r>
      <w:r w:rsidR="00DB4D64" w:rsidRPr="00405303">
        <w:rPr>
          <w:bCs/>
          <w:color w:val="002060"/>
          <w:sz w:val="16"/>
          <w:szCs w:val="16"/>
        </w:rPr>
        <w:t xml:space="preserve"> </w:t>
      </w:r>
      <w:r w:rsidRPr="00405303">
        <w:rPr>
          <w:bCs/>
          <w:color w:val="002060"/>
          <w:sz w:val="16"/>
          <w:szCs w:val="16"/>
        </w:rPr>
        <w:t>г. «Завод г. Федорицкаго представляет собою настолько исключительное явление в русской промышленности, что я позволю себе остановиться на истории возникновения завода и работы на нем в настоящее время. Инженер-технолог и инженер-электрик Н.А. Федорицкий, занимающий ныне должность главного электротехника Балтийского судостроительного и механического завода, почти 10 лет тому назад пытался создать в России производство круксовых и рентгеновских трубок, но попытки эти терпели неудачи. Война и полное прекращение подвоза заграничных трубок поставили на очередь вопрос о производстве трубок в России. При помощи военнаго ведомства маленькая мастерская г. Федорицкаго увеличивается в размерах (ныне занимает 5 квартир), снабжается достаточным количеством мастеров как русских, так и иностранцев (из числа военнопленных германцев), и выработка трубок становится в условия прочной и целесообразной деятельности.</w:t>
      </w:r>
    </w:p>
    <w:p w14:paraId="393ADFCB" w14:textId="77777777" w:rsidR="00726C94" w:rsidRPr="00405303" w:rsidRDefault="00726C94" w:rsidP="00C15251">
      <w:pPr>
        <w:pStyle w:val="ae"/>
        <w:spacing w:before="0" w:beforeAutospacing="0" w:after="0" w:afterAutospacing="0"/>
        <w:jc w:val="both"/>
        <w:rPr>
          <w:bCs/>
          <w:color w:val="002060"/>
          <w:sz w:val="16"/>
          <w:szCs w:val="16"/>
        </w:rPr>
      </w:pPr>
      <w:r w:rsidRPr="00405303">
        <w:rPr>
          <w:bCs/>
          <w:color w:val="002060"/>
          <w:sz w:val="16"/>
          <w:szCs w:val="16"/>
        </w:rPr>
        <w:t>Все трубки от начала до конца изготовлены из русскаго материала. Предубеждения против русскаго стекла, якобы неудерживающаго нужнаго вакуума, оказались неосновательными. Трубки работают великолепно. Качество их нисколько не ниже трубок иностраннаго происхождения, а стоимость не выше. Следует обратить внимание на оригинальную и остроумную упаковку трубок, составляющую, насколько мне известно, изобретение г. Федорицкаго. Тщательно упакованная в ящик трубка может быть освидетельствована в ящике же в нераспакованном виде, так как концы ея, анод и катод, при помощи соединительных проволок выведены наружу… Все три приобретенныя трубки прекрасного качества и работают отлично. В заключение считаю нужным добавить, что испорченная 19 декабря 1914 года трубка мною исправлена, и в настоящее время кабинет располагает четырьмя трубками различной жесткости» (15736).</w:t>
      </w:r>
    </w:p>
    <w:p w14:paraId="22A840DF" w14:textId="77777777" w:rsidR="00726C94" w:rsidRPr="00405303" w:rsidRDefault="00726C94" w:rsidP="00C15251">
      <w:pPr>
        <w:pStyle w:val="ae"/>
        <w:spacing w:before="0" w:beforeAutospacing="0" w:after="0" w:afterAutospacing="0"/>
        <w:jc w:val="both"/>
        <w:rPr>
          <w:bCs/>
          <w:color w:val="002060"/>
          <w:sz w:val="16"/>
          <w:szCs w:val="16"/>
        </w:rPr>
      </w:pPr>
    </w:p>
    <w:p w14:paraId="2BCD617C" w14:textId="77777777" w:rsidR="00726C94" w:rsidRPr="00405303" w:rsidRDefault="00726C94" w:rsidP="00C15251">
      <w:pPr>
        <w:pStyle w:val="20"/>
        <w:shd w:val="clear" w:color="auto" w:fill="auto"/>
        <w:spacing w:after="0" w:line="240" w:lineRule="auto"/>
        <w:ind w:firstLine="0"/>
        <w:jc w:val="both"/>
        <w:rPr>
          <w:rFonts w:ascii="Times New Roman" w:hAnsi="Times New Roman"/>
          <w:bCs/>
          <w:color w:val="002060"/>
          <w:spacing w:val="0"/>
          <w:sz w:val="16"/>
          <w:szCs w:val="16"/>
        </w:rPr>
      </w:pPr>
      <w:r w:rsidRPr="00405303">
        <w:rPr>
          <w:rFonts w:ascii="Times New Roman" w:hAnsi="Times New Roman"/>
          <w:bCs/>
          <w:color w:val="002060"/>
          <w:spacing w:val="0"/>
          <w:sz w:val="16"/>
          <w:szCs w:val="16"/>
        </w:rPr>
        <w:t>В начале 1915 года русская Ставка Верховного Главнокомандования заявила о ежемесячной потребности по действующей армии в 150 миллионов патронов. Это существенно превышало производственные возможности отечественной оружейной промышленности, производившей в этот период в совокупности не более 90 миллионов патронов в месяц. Столь существенное расхождение в потребностях фронта и наличных поставках вызвало эмоциональную телеграмму начальника штаба Ставки, генерала Янушкевича военному министру Сухомлинову: «Из всех армий вопль — дайте патронов!» (15230).</w:t>
      </w:r>
    </w:p>
    <w:p w14:paraId="0121ADEA" w14:textId="77777777" w:rsidR="00726C94" w:rsidRPr="00405303" w:rsidRDefault="00726C94" w:rsidP="00C15251">
      <w:pPr>
        <w:pStyle w:val="20"/>
        <w:shd w:val="clear" w:color="auto" w:fill="auto"/>
        <w:spacing w:after="0" w:line="240" w:lineRule="auto"/>
        <w:ind w:firstLine="0"/>
        <w:jc w:val="both"/>
        <w:rPr>
          <w:rFonts w:ascii="Times New Roman" w:hAnsi="Times New Roman"/>
          <w:bCs/>
          <w:color w:val="002060"/>
          <w:spacing w:val="0"/>
          <w:sz w:val="16"/>
          <w:szCs w:val="16"/>
        </w:rPr>
      </w:pPr>
    </w:p>
    <w:p w14:paraId="041991A6" w14:textId="74B04263" w:rsidR="004B4E35" w:rsidRPr="00405303" w:rsidRDefault="00DB5EE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w:t>
      </w:r>
      <w:r w:rsidR="009E6F82" w:rsidRPr="00405303">
        <w:rPr>
          <w:bCs/>
          <w:i w:val="0"/>
          <w:color w:val="002060"/>
          <w:spacing w:val="0"/>
          <w:kern w:val="0"/>
          <w:position w:val="0"/>
          <w:sz w:val="16"/>
          <w:szCs w:val="16"/>
        </w:rPr>
        <w:t xml:space="preserve"> начале 1915 г.</w:t>
      </w:r>
      <w:r w:rsidRPr="00405303">
        <w:rPr>
          <w:bCs/>
          <w:i w:val="0"/>
          <w:color w:val="002060"/>
          <w:spacing w:val="0"/>
          <w:kern w:val="0"/>
          <w:position w:val="0"/>
          <w:sz w:val="16"/>
          <w:szCs w:val="16"/>
        </w:rPr>
        <w:t xml:space="preserve"> была учреждена Особая распорядительная комиссия по артиллерийской части</w:t>
      </w:r>
      <w:r w:rsidR="009E6F82" w:rsidRPr="00405303">
        <w:rPr>
          <w:bCs/>
          <w:i w:val="0"/>
          <w:color w:val="002060"/>
          <w:spacing w:val="0"/>
          <w:kern w:val="0"/>
          <w:position w:val="0"/>
          <w:sz w:val="16"/>
          <w:szCs w:val="16"/>
        </w:rPr>
        <w:t>, главным образом, "для установления действительной связи между действующей армией и органами, ведающими изготовлением и снабжением предметами артиллерийского имущества".</w:t>
      </w:r>
    </w:p>
    <w:p w14:paraId="63F5442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Комиссия эта через полгода была упразднена, чтобы не затрудняла "исполнение постановлений Особого совещания", созданного в мае 1915 г. Но Особое совещание не предназначалось для непосредственной связи с действующей армией. </w:t>
      </w:r>
    </w:p>
    <w:p w14:paraId="5344700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С упразднением Особой распорядительной комиссии вопрос, о связи глубокого тыла с фронтом по вопросам боевого снабжения повис в воздухе. "Живая личная связь Петрограда с фронтом и Ставкой по части артиллерии" через бывшего председателя комиссии, о которой писал в июне 1915 г. Янушкевич Поливанову, установлена, конечно, не была. </w:t>
      </w:r>
    </w:p>
    <w:p w14:paraId="0389BD2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Одновременно с упразднением Особой распорядительной комиссии начальник ГУГШ ген. Беляев был назначен помощником военного министра. Поливанов возложил на Беляева согласование требований из Ставки с деятельностью довольствующих главных управлений военного министерства, но от этого пользы не могло быть, так как Беляев представлял собою олицетворение канцелярской рутины и бюрократизма (11483).</w:t>
      </w:r>
    </w:p>
    <w:p w14:paraId="562AD630" w14:textId="77777777" w:rsidR="004B4E35" w:rsidRPr="00405303" w:rsidRDefault="004B4E35" w:rsidP="00C15251">
      <w:pPr>
        <w:pStyle w:val="a3"/>
        <w:jc w:val="both"/>
        <w:rPr>
          <w:bCs/>
          <w:i w:val="0"/>
          <w:color w:val="002060"/>
          <w:spacing w:val="0"/>
          <w:kern w:val="0"/>
          <w:position w:val="0"/>
          <w:sz w:val="16"/>
          <w:szCs w:val="16"/>
        </w:rPr>
      </w:pPr>
    </w:p>
    <w:p w14:paraId="25AD7BF6" w14:textId="7079EDC3" w:rsidR="004B4E35" w:rsidRPr="00405303" w:rsidRDefault="00DB5EE2" w:rsidP="00C15251">
      <w:pPr>
        <w:jc w:val="both"/>
        <w:rPr>
          <w:bCs/>
          <w:color w:val="002060"/>
          <w:sz w:val="16"/>
          <w:szCs w:val="16"/>
        </w:rPr>
      </w:pPr>
      <w:r w:rsidRPr="00405303">
        <w:rPr>
          <w:bCs/>
          <w:color w:val="002060"/>
          <w:sz w:val="16"/>
          <w:szCs w:val="16"/>
        </w:rPr>
        <w:t>С</w:t>
      </w:r>
      <w:r w:rsidR="009E6F82" w:rsidRPr="00405303">
        <w:rPr>
          <w:bCs/>
          <w:color w:val="002060"/>
          <w:sz w:val="16"/>
          <w:szCs w:val="16"/>
        </w:rPr>
        <w:t xml:space="preserve"> началом 1915 г. </w:t>
      </w:r>
      <w:r w:rsidRPr="00405303">
        <w:rPr>
          <w:bCs/>
          <w:color w:val="002060"/>
          <w:sz w:val="16"/>
          <w:szCs w:val="16"/>
        </w:rPr>
        <w:t xml:space="preserve">на всех патронных заводах </w:t>
      </w:r>
      <w:r w:rsidR="009E6F82" w:rsidRPr="00405303">
        <w:rPr>
          <w:bCs/>
          <w:color w:val="002060"/>
          <w:sz w:val="16"/>
          <w:szCs w:val="16"/>
        </w:rPr>
        <w:t xml:space="preserve">были предприняты меры к максимальному увеличению пропускной способности заводов путем постановки дополнительного оборудования, которое спешно заказывалось в России и за границей. Новое оборудование начало вступать в работу примерно с середины 1915 года. Таким образом, на протяжении 1915 г. заводы при максимальнейшем напряжении могли усилить выпуск патронов только примерно в два раза (с 49,9 млн до 107,9), причем частью за счет форсировки работы, частью за счет увеличения оборудования. </w:t>
      </w:r>
    </w:p>
    <w:p w14:paraId="0B79580C" w14:textId="77777777" w:rsidR="004B4E35" w:rsidRPr="00405303" w:rsidRDefault="009E6F82" w:rsidP="00C15251">
      <w:pPr>
        <w:jc w:val="both"/>
        <w:rPr>
          <w:bCs/>
          <w:color w:val="002060"/>
          <w:sz w:val="16"/>
          <w:szCs w:val="16"/>
        </w:rPr>
      </w:pPr>
      <w:r w:rsidRPr="00405303">
        <w:rPr>
          <w:bCs/>
          <w:color w:val="002060"/>
          <w:sz w:val="16"/>
          <w:szCs w:val="16"/>
        </w:rPr>
        <w:t>За 1916 г. эффект годового нарастания выпуска получился ниже, только 1,5 (с 109,3 до 150,7), и главным образом за счет постановки дополнительного оборудования, которое, начав поступать в заводы с 1915 г., все время продолжало прибывать и в 1916 году.</w:t>
      </w:r>
    </w:p>
    <w:p w14:paraId="4933895E" w14:textId="77777777" w:rsidR="004B4E35" w:rsidRPr="00405303" w:rsidRDefault="009E6F82" w:rsidP="00C15251">
      <w:pPr>
        <w:jc w:val="both"/>
        <w:rPr>
          <w:bCs/>
          <w:color w:val="002060"/>
          <w:sz w:val="16"/>
          <w:szCs w:val="16"/>
        </w:rPr>
      </w:pPr>
      <w:r w:rsidRPr="00405303">
        <w:rPr>
          <w:bCs/>
          <w:color w:val="002060"/>
          <w:sz w:val="16"/>
          <w:szCs w:val="16"/>
        </w:rPr>
        <w:t xml:space="preserve">Дальнейший рост производительности заводов был невозможен, так как они были насыщены станками и свободных площадей для дальнейшего развития станочных парков уже не было. </w:t>
      </w:r>
    </w:p>
    <w:p w14:paraId="5929C027" w14:textId="77777777" w:rsidR="004B4E35" w:rsidRPr="00405303" w:rsidRDefault="009E6F82" w:rsidP="00C15251">
      <w:pPr>
        <w:jc w:val="both"/>
        <w:rPr>
          <w:bCs/>
          <w:color w:val="002060"/>
          <w:sz w:val="16"/>
          <w:szCs w:val="16"/>
        </w:rPr>
      </w:pPr>
      <w:r w:rsidRPr="00405303">
        <w:rPr>
          <w:bCs/>
          <w:color w:val="002060"/>
          <w:sz w:val="16"/>
          <w:szCs w:val="16"/>
        </w:rPr>
        <w:t xml:space="preserve">Таким образом, война застала патронные заводы при средней месячной производительности около 50 млн патронов. При предельной форсировке работы и насыщении заводов до отказа оборудованием удалось на протяжении 2,5 лет поднять месячный выпуск до 150 миллионов. Эту цифру заводы давали с крайним напряжением, и ее нужно признать "вымученной" (11329). </w:t>
      </w:r>
    </w:p>
    <w:p w14:paraId="31BD6C50" w14:textId="77777777" w:rsidR="004B4E35" w:rsidRPr="00405303" w:rsidRDefault="004B4E35" w:rsidP="00C15251">
      <w:pPr>
        <w:jc w:val="both"/>
        <w:rPr>
          <w:bCs/>
          <w:color w:val="002060"/>
          <w:sz w:val="16"/>
          <w:szCs w:val="16"/>
        </w:rPr>
      </w:pPr>
    </w:p>
    <w:p w14:paraId="4AF1123A" w14:textId="55617A5B" w:rsidR="004B4E35" w:rsidRPr="00405303" w:rsidRDefault="00DB5EE2"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начале 1915 г. Ставка главнокомандующего заявила ежемесячную потребность в 150 млн патронов. В начале 1916 г. она была увеличена до 200 млн, в середине 1916 г. — до 225 млн, в конце 1916 г. — до 250 млн, и, наконец, на Конференции союзников в январе 1917 г. она достигла 350 миллионов. Это цифры текущей регулярной потребности на пополнение расхода, и в них не учтены единовременные потребности, явившиеся результатом просчетов в мобилизационных предположениях. </w:t>
      </w:r>
    </w:p>
    <w:p w14:paraId="1D551AC2" w14:textId="77777777" w:rsidR="004B4E35" w:rsidRPr="00405303" w:rsidRDefault="009E6F82" w:rsidP="00C15251">
      <w:pPr>
        <w:jc w:val="both"/>
        <w:rPr>
          <w:bCs/>
          <w:color w:val="002060"/>
          <w:sz w:val="16"/>
          <w:szCs w:val="16"/>
        </w:rPr>
      </w:pPr>
      <w:r w:rsidRPr="00405303">
        <w:rPr>
          <w:bCs/>
          <w:color w:val="002060"/>
          <w:sz w:val="16"/>
          <w:szCs w:val="16"/>
        </w:rPr>
        <w:t>Приведенные сейчас цифры — потребностей, превосходящих:</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372"/>
        <w:gridCol w:w="1272"/>
      </w:tblGrid>
      <w:tr w:rsidR="004B4E35" w:rsidRPr="00405303" w14:paraId="0A781BF8" w14:textId="77777777">
        <w:tc>
          <w:tcPr>
            <w:tcW w:w="3372" w:type="dxa"/>
          </w:tcPr>
          <w:p w14:paraId="64F0363A" w14:textId="77777777" w:rsidR="004B4E35" w:rsidRPr="00405303" w:rsidRDefault="009E6F82" w:rsidP="00C15251">
            <w:pPr>
              <w:jc w:val="both"/>
              <w:rPr>
                <w:bCs/>
                <w:color w:val="002060"/>
                <w:sz w:val="16"/>
                <w:szCs w:val="16"/>
              </w:rPr>
            </w:pPr>
            <w:r w:rsidRPr="00405303">
              <w:rPr>
                <w:bCs/>
                <w:color w:val="002060"/>
                <w:sz w:val="16"/>
                <w:szCs w:val="16"/>
              </w:rPr>
              <w:t>довоенную суммарную мощность заводов</w:t>
            </w:r>
          </w:p>
        </w:tc>
        <w:tc>
          <w:tcPr>
            <w:tcW w:w="1272" w:type="dxa"/>
          </w:tcPr>
          <w:p w14:paraId="6E5D4049" w14:textId="77777777" w:rsidR="004B4E35" w:rsidRPr="00405303" w:rsidRDefault="009E6F82" w:rsidP="00C15251">
            <w:pPr>
              <w:jc w:val="both"/>
              <w:rPr>
                <w:bCs/>
                <w:color w:val="002060"/>
                <w:sz w:val="16"/>
                <w:szCs w:val="16"/>
              </w:rPr>
            </w:pPr>
            <w:r w:rsidRPr="00405303">
              <w:rPr>
                <w:bCs/>
                <w:color w:val="002060"/>
                <w:sz w:val="16"/>
                <w:szCs w:val="16"/>
              </w:rPr>
              <w:t xml:space="preserve">в 3-7 раз </w:t>
            </w:r>
          </w:p>
        </w:tc>
      </w:tr>
      <w:tr w:rsidR="004B4E35" w:rsidRPr="00405303" w14:paraId="100BC2D5" w14:textId="77777777">
        <w:tc>
          <w:tcPr>
            <w:tcW w:w="3372" w:type="dxa"/>
          </w:tcPr>
          <w:p w14:paraId="3CD5BEDA" w14:textId="77777777" w:rsidR="004B4E35" w:rsidRPr="00405303" w:rsidRDefault="009E6F82" w:rsidP="00C15251">
            <w:pPr>
              <w:jc w:val="both"/>
              <w:rPr>
                <w:bCs/>
                <w:color w:val="002060"/>
                <w:sz w:val="16"/>
                <w:szCs w:val="16"/>
              </w:rPr>
            </w:pPr>
            <w:r w:rsidRPr="00405303">
              <w:rPr>
                <w:bCs/>
                <w:color w:val="002060"/>
                <w:sz w:val="16"/>
                <w:szCs w:val="16"/>
              </w:rPr>
              <w:t>мощность заводов к концу 1916 г.</w:t>
            </w:r>
          </w:p>
        </w:tc>
        <w:tc>
          <w:tcPr>
            <w:tcW w:w="1272" w:type="dxa"/>
          </w:tcPr>
          <w:p w14:paraId="6F078F27" w14:textId="77777777" w:rsidR="004B4E35" w:rsidRPr="00405303" w:rsidRDefault="009E6F82" w:rsidP="00C15251">
            <w:pPr>
              <w:jc w:val="both"/>
              <w:rPr>
                <w:bCs/>
                <w:color w:val="002060"/>
                <w:sz w:val="16"/>
                <w:szCs w:val="16"/>
              </w:rPr>
            </w:pPr>
            <w:r w:rsidRPr="00405303">
              <w:rPr>
                <w:bCs/>
                <w:color w:val="002060"/>
                <w:sz w:val="16"/>
                <w:szCs w:val="16"/>
              </w:rPr>
              <w:t>в 1,3-3 раза.</w:t>
            </w:r>
          </w:p>
        </w:tc>
      </w:tr>
    </w:tbl>
    <w:p w14:paraId="2E3E1C01" w14:textId="77777777" w:rsidR="004B4E35" w:rsidRPr="00405303" w:rsidRDefault="009E6F82" w:rsidP="00C15251">
      <w:pPr>
        <w:jc w:val="both"/>
        <w:rPr>
          <w:bCs/>
          <w:color w:val="002060"/>
          <w:sz w:val="16"/>
          <w:szCs w:val="16"/>
        </w:rPr>
      </w:pPr>
      <w:r w:rsidRPr="00405303">
        <w:rPr>
          <w:bCs/>
          <w:color w:val="002060"/>
          <w:sz w:val="16"/>
          <w:szCs w:val="16"/>
        </w:rPr>
        <w:t>Дефицит покрывался заказами в Америке, Японии и Англии (11329).</w:t>
      </w:r>
    </w:p>
    <w:p w14:paraId="1FC515CD" w14:textId="77777777" w:rsidR="004B4E35" w:rsidRPr="00405303" w:rsidRDefault="004B4E35" w:rsidP="00C15251">
      <w:pPr>
        <w:jc w:val="both"/>
        <w:rPr>
          <w:bCs/>
          <w:i/>
          <w:color w:val="002060"/>
          <w:sz w:val="16"/>
          <w:szCs w:val="16"/>
        </w:rPr>
      </w:pPr>
    </w:p>
    <w:p w14:paraId="0BD4F866" w14:textId="77777777" w:rsidR="004B4E35" w:rsidRPr="00405303" w:rsidRDefault="009E6F82" w:rsidP="00C15251">
      <w:pPr>
        <w:jc w:val="both"/>
        <w:rPr>
          <w:bCs/>
          <w:color w:val="002060"/>
          <w:sz w:val="16"/>
          <w:szCs w:val="16"/>
        </w:rPr>
      </w:pPr>
      <w:r w:rsidRPr="00405303">
        <w:rPr>
          <w:bCs/>
          <w:color w:val="002060"/>
          <w:sz w:val="16"/>
          <w:szCs w:val="16"/>
        </w:rPr>
        <w:t xml:space="preserve">В начале 1915 г. завод поставил перед ГАУ вопрос о некотором облегчении условий приемки трубки с тем, чтобы поднять выпуск их путем уменьшения брака, а также отчасти за счет сокращения работ инструментальных мастерских, являвшихся всегда узким местом в заводе. Рост станочного парка завода за годы 1913—1917 выражается следующими цифрами: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24"/>
        <w:gridCol w:w="2580"/>
        <w:gridCol w:w="816"/>
      </w:tblGrid>
      <w:tr w:rsidR="004B4E35" w:rsidRPr="00405303" w14:paraId="1FC62B25" w14:textId="77777777">
        <w:tc>
          <w:tcPr>
            <w:tcW w:w="1224" w:type="dxa"/>
          </w:tcPr>
          <w:p w14:paraId="044A0BFE" w14:textId="72CD59AF" w:rsidR="004B4E35" w:rsidRPr="00405303" w:rsidRDefault="00DB4D64" w:rsidP="00C15251">
            <w:pPr>
              <w:jc w:val="both"/>
              <w:rPr>
                <w:bCs/>
                <w:color w:val="002060"/>
                <w:sz w:val="16"/>
                <w:szCs w:val="16"/>
              </w:rPr>
            </w:pPr>
            <w:r w:rsidRPr="00405303">
              <w:rPr>
                <w:bCs/>
                <w:color w:val="002060"/>
                <w:sz w:val="16"/>
                <w:szCs w:val="16"/>
              </w:rPr>
              <w:t xml:space="preserve"> </w:t>
            </w:r>
          </w:p>
        </w:tc>
        <w:tc>
          <w:tcPr>
            <w:tcW w:w="2580" w:type="dxa"/>
          </w:tcPr>
          <w:p w14:paraId="27BAC5D3" w14:textId="77777777" w:rsidR="004B4E35" w:rsidRPr="00405303" w:rsidRDefault="009E6F82" w:rsidP="00C15251">
            <w:pPr>
              <w:jc w:val="both"/>
              <w:rPr>
                <w:bCs/>
                <w:color w:val="002060"/>
                <w:sz w:val="16"/>
                <w:szCs w:val="16"/>
              </w:rPr>
            </w:pPr>
            <w:r w:rsidRPr="00405303">
              <w:rPr>
                <w:bCs/>
                <w:color w:val="002060"/>
                <w:sz w:val="16"/>
                <w:szCs w:val="16"/>
              </w:rPr>
              <w:t>в июне 1914 г.</w:t>
            </w:r>
          </w:p>
        </w:tc>
        <w:tc>
          <w:tcPr>
            <w:tcW w:w="816" w:type="dxa"/>
          </w:tcPr>
          <w:p w14:paraId="4343EC1F" w14:textId="77777777" w:rsidR="004B4E35" w:rsidRPr="00405303" w:rsidRDefault="009E6F82" w:rsidP="00C15251">
            <w:pPr>
              <w:jc w:val="both"/>
              <w:rPr>
                <w:bCs/>
                <w:color w:val="002060"/>
                <w:sz w:val="16"/>
                <w:szCs w:val="16"/>
              </w:rPr>
            </w:pPr>
            <w:r w:rsidRPr="00405303">
              <w:rPr>
                <w:bCs/>
                <w:color w:val="002060"/>
                <w:sz w:val="16"/>
                <w:szCs w:val="16"/>
              </w:rPr>
              <w:t>2230</w:t>
            </w:r>
          </w:p>
        </w:tc>
      </w:tr>
      <w:tr w:rsidR="004B4E35" w:rsidRPr="00405303" w14:paraId="2F5ED368" w14:textId="77777777">
        <w:tc>
          <w:tcPr>
            <w:tcW w:w="1224" w:type="dxa"/>
          </w:tcPr>
          <w:p w14:paraId="1071E1AB" w14:textId="70827205" w:rsidR="004B4E35" w:rsidRPr="00405303" w:rsidRDefault="00DB4D64" w:rsidP="00C15251">
            <w:pPr>
              <w:jc w:val="both"/>
              <w:rPr>
                <w:bCs/>
                <w:color w:val="002060"/>
                <w:sz w:val="16"/>
                <w:szCs w:val="16"/>
              </w:rPr>
            </w:pPr>
            <w:r w:rsidRPr="00405303">
              <w:rPr>
                <w:bCs/>
                <w:color w:val="002060"/>
                <w:sz w:val="16"/>
                <w:szCs w:val="16"/>
              </w:rPr>
              <w:t xml:space="preserve"> </w:t>
            </w:r>
          </w:p>
        </w:tc>
        <w:tc>
          <w:tcPr>
            <w:tcW w:w="2580" w:type="dxa"/>
          </w:tcPr>
          <w:p w14:paraId="7BEB0B93" w14:textId="77777777" w:rsidR="004B4E35" w:rsidRPr="00405303" w:rsidRDefault="009E6F82" w:rsidP="00C15251">
            <w:pPr>
              <w:jc w:val="both"/>
              <w:rPr>
                <w:bCs/>
                <w:color w:val="002060"/>
                <w:sz w:val="16"/>
                <w:szCs w:val="16"/>
              </w:rPr>
            </w:pPr>
            <w:r w:rsidRPr="00405303">
              <w:rPr>
                <w:bCs/>
                <w:color w:val="002060"/>
                <w:sz w:val="16"/>
                <w:szCs w:val="16"/>
              </w:rPr>
              <w:t>в январе 1915 г.</w:t>
            </w:r>
          </w:p>
        </w:tc>
        <w:tc>
          <w:tcPr>
            <w:tcW w:w="816" w:type="dxa"/>
          </w:tcPr>
          <w:p w14:paraId="0327F7EC" w14:textId="77777777" w:rsidR="004B4E35" w:rsidRPr="00405303" w:rsidRDefault="009E6F82" w:rsidP="00C15251">
            <w:pPr>
              <w:jc w:val="both"/>
              <w:rPr>
                <w:bCs/>
                <w:color w:val="002060"/>
                <w:sz w:val="16"/>
                <w:szCs w:val="16"/>
              </w:rPr>
            </w:pPr>
            <w:r w:rsidRPr="00405303">
              <w:rPr>
                <w:bCs/>
                <w:color w:val="002060"/>
                <w:sz w:val="16"/>
                <w:szCs w:val="16"/>
              </w:rPr>
              <w:t>2360</w:t>
            </w:r>
          </w:p>
        </w:tc>
      </w:tr>
      <w:tr w:rsidR="004B4E35" w:rsidRPr="00405303" w14:paraId="5D6480A4" w14:textId="77777777">
        <w:tc>
          <w:tcPr>
            <w:tcW w:w="1224" w:type="dxa"/>
          </w:tcPr>
          <w:p w14:paraId="63E0F8E0" w14:textId="295053F3" w:rsidR="004B4E35" w:rsidRPr="00405303" w:rsidRDefault="00DB4D64" w:rsidP="00C15251">
            <w:pPr>
              <w:jc w:val="both"/>
              <w:rPr>
                <w:bCs/>
                <w:color w:val="002060"/>
                <w:sz w:val="16"/>
                <w:szCs w:val="16"/>
              </w:rPr>
            </w:pPr>
            <w:r w:rsidRPr="00405303">
              <w:rPr>
                <w:bCs/>
                <w:color w:val="002060"/>
                <w:sz w:val="16"/>
                <w:szCs w:val="16"/>
              </w:rPr>
              <w:t xml:space="preserve"> </w:t>
            </w:r>
          </w:p>
        </w:tc>
        <w:tc>
          <w:tcPr>
            <w:tcW w:w="2580" w:type="dxa"/>
          </w:tcPr>
          <w:p w14:paraId="48B88DC7" w14:textId="77777777" w:rsidR="004B4E35" w:rsidRPr="00405303" w:rsidRDefault="009E6F82" w:rsidP="00C15251">
            <w:pPr>
              <w:jc w:val="both"/>
              <w:rPr>
                <w:bCs/>
                <w:color w:val="002060"/>
                <w:sz w:val="16"/>
                <w:szCs w:val="16"/>
              </w:rPr>
            </w:pPr>
            <w:r w:rsidRPr="00405303">
              <w:rPr>
                <w:bCs/>
                <w:color w:val="002060"/>
                <w:sz w:val="16"/>
                <w:szCs w:val="16"/>
              </w:rPr>
              <w:t>в апреле 1915 г.</w:t>
            </w:r>
          </w:p>
        </w:tc>
        <w:tc>
          <w:tcPr>
            <w:tcW w:w="816" w:type="dxa"/>
          </w:tcPr>
          <w:p w14:paraId="6B23F46A" w14:textId="77777777" w:rsidR="004B4E35" w:rsidRPr="00405303" w:rsidRDefault="009E6F82" w:rsidP="00C15251">
            <w:pPr>
              <w:jc w:val="both"/>
              <w:rPr>
                <w:bCs/>
                <w:color w:val="002060"/>
                <w:sz w:val="16"/>
                <w:szCs w:val="16"/>
              </w:rPr>
            </w:pPr>
            <w:r w:rsidRPr="00405303">
              <w:rPr>
                <w:bCs/>
                <w:color w:val="002060"/>
                <w:sz w:val="16"/>
                <w:szCs w:val="16"/>
              </w:rPr>
              <w:t>2420</w:t>
            </w:r>
          </w:p>
        </w:tc>
      </w:tr>
      <w:tr w:rsidR="004B4E35" w:rsidRPr="00405303" w14:paraId="0113BE8C" w14:textId="77777777">
        <w:tc>
          <w:tcPr>
            <w:tcW w:w="1224" w:type="dxa"/>
          </w:tcPr>
          <w:p w14:paraId="73A7F069" w14:textId="761F52CD" w:rsidR="004B4E35" w:rsidRPr="00405303" w:rsidRDefault="00DB4D64" w:rsidP="00C15251">
            <w:pPr>
              <w:jc w:val="both"/>
              <w:rPr>
                <w:bCs/>
                <w:color w:val="002060"/>
                <w:sz w:val="16"/>
                <w:szCs w:val="16"/>
              </w:rPr>
            </w:pPr>
            <w:r w:rsidRPr="00405303">
              <w:rPr>
                <w:bCs/>
                <w:color w:val="002060"/>
                <w:sz w:val="16"/>
                <w:szCs w:val="16"/>
              </w:rPr>
              <w:t xml:space="preserve"> </w:t>
            </w:r>
          </w:p>
        </w:tc>
        <w:tc>
          <w:tcPr>
            <w:tcW w:w="2580" w:type="dxa"/>
          </w:tcPr>
          <w:p w14:paraId="0CBEEE60" w14:textId="77777777" w:rsidR="004B4E35" w:rsidRPr="00405303" w:rsidRDefault="009E6F82" w:rsidP="00C15251">
            <w:pPr>
              <w:jc w:val="both"/>
              <w:rPr>
                <w:bCs/>
                <w:color w:val="002060"/>
                <w:sz w:val="16"/>
                <w:szCs w:val="16"/>
              </w:rPr>
            </w:pPr>
            <w:r w:rsidRPr="00405303">
              <w:rPr>
                <w:bCs/>
                <w:color w:val="002060"/>
                <w:sz w:val="16"/>
                <w:szCs w:val="16"/>
              </w:rPr>
              <w:t>в июле 1915 г.</w:t>
            </w:r>
          </w:p>
        </w:tc>
        <w:tc>
          <w:tcPr>
            <w:tcW w:w="816" w:type="dxa"/>
          </w:tcPr>
          <w:p w14:paraId="13CB80AA" w14:textId="77777777" w:rsidR="004B4E35" w:rsidRPr="00405303" w:rsidRDefault="009E6F82" w:rsidP="00C15251">
            <w:pPr>
              <w:jc w:val="both"/>
              <w:rPr>
                <w:bCs/>
                <w:color w:val="002060"/>
                <w:sz w:val="16"/>
                <w:szCs w:val="16"/>
              </w:rPr>
            </w:pPr>
            <w:r w:rsidRPr="00405303">
              <w:rPr>
                <w:bCs/>
                <w:color w:val="002060"/>
                <w:sz w:val="16"/>
                <w:szCs w:val="16"/>
              </w:rPr>
              <w:t>2490</w:t>
            </w:r>
          </w:p>
        </w:tc>
      </w:tr>
      <w:tr w:rsidR="004B4E35" w:rsidRPr="00405303" w14:paraId="4E74E301" w14:textId="77777777">
        <w:tc>
          <w:tcPr>
            <w:tcW w:w="1224" w:type="dxa"/>
          </w:tcPr>
          <w:p w14:paraId="6D81AA98" w14:textId="0199EE1F" w:rsidR="004B4E35" w:rsidRPr="00405303" w:rsidRDefault="00DB4D64" w:rsidP="00C15251">
            <w:pPr>
              <w:jc w:val="both"/>
              <w:rPr>
                <w:bCs/>
                <w:color w:val="002060"/>
                <w:sz w:val="16"/>
                <w:szCs w:val="16"/>
              </w:rPr>
            </w:pPr>
            <w:r w:rsidRPr="00405303">
              <w:rPr>
                <w:bCs/>
                <w:color w:val="002060"/>
                <w:sz w:val="16"/>
                <w:szCs w:val="16"/>
              </w:rPr>
              <w:t xml:space="preserve"> </w:t>
            </w:r>
          </w:p>
        </w:tc>
        <w:tc>
          <w:tcPr>
            <w:tcW w:w="2580" w:type="dxa"/>
          </w:tcPr>
          <w:p w14:paraId="227A69BB" w14:textId="77777777" w:rsidR="004B4E35" w:rsidRPr="00405303" w:rsidRDefault="009E6F82" w:rsidP="00C15251">
            <w:pPr>
              <w:jc w:val="both"/>
              <w:rPr>
                <w:bCs/>
                <w:color w:val="002060"/>
                <w:sz w:val="16"/>
                <w:szCs w:val="16"/>
              </w:rPr>
            </w:pPr>
            <w:r w:rsidRPr="00405303">
              <w:rPr>
                <w:bCs/>
                <w:color w:val="002060"/>
                <w:sz w:val="16"/>
                <w:szCs w:val="16"/>
              </w:rPr>
              <w:t>в сентябре 1915 г.</w:t>
            </w:r>
          </w:p>
        </w:tc>
        <w:tc>
          <w:tcPr>
            <w:tcW w:w="816" w:type="dxa"/>
          </w:tcPr>
          <w:p w14:paraId="4D36E826" w14:textId="77777777" w:rsidR="004B4E35" w:rsidRPr="00405303" w:rsidRDefault="009E6F82" w:rsidP="00C15251">
            <w:pPr>
              <w:jc w:val="both"/>
              <w:rPr>
                <w:bCs/>
                <w:color w:val="002060"/>
                <w:sz w:val="16"/>
                <w:szCs w:val="16"/>
              </w:rPr>
            </w:pPr>
            <w:r w:rsidRPr="00405303">
              <w:rPr>
                <w:bCs/>
                <w:color w:val="002060"/>
                <w:sz w:val="16"/>
                <w:szCs w:val="16"/>
              </w:rPr>
              <w:t>2660</w:t>
            </w:r>
          </w:p>
        </w:tc>
      </w:tr>
      <w:tr w:rsidR="004B4E35" w:rsidRPr="00405303" w14:paraId="3CCEB1CA" w14:textId="77777777">
        <w:tc>
          <w:tcPr>
            <w:tcW w:w="1224" w:type="dxa"/>
          </w:tcPr>
          <w:p w14:paraId="75357819" w14:textId="7BAD9F1D" w:rsidR="004B4E35" w:rsidRPr="00405303" w:rsidRDefault="00DB4D64" w:rsidP="00C15251">
            <w:pPr>
              <w:jc w:val="both"/>
              <w:rPr>
                <w:bCs/>
                <w:color w:val="002060"/>
                <w:sz w:val="16"/>
                <w:szCs w:val="16"/>
              </w:rPr>
            </w:pPr>
            <w:r w:rsidRPr="00405303">
              <w:rPr>
                <w:bCs/>
                <w:color w:val="002060"/>
                <w:sz w:val="16"/>
                <w:szCs w:val="16"/>
              </w:rPr>
              <w:lastRenderedPageBreak/>
              <w:t xml:space="preserve"> </w:t>
            </w:r>
          </w:p>
        </w:tc>
        <w:tc>
          <w:tcPr>
            <w:tcW w:w="2580" w:type="dxa"/>
          </w:tcPr>
          <w:p w14:paraId="1F4D5603" w14:textId="77777777" w:rsidR="004B4E35" w:rsidRPr="00405303" w:rsidRDefault="009E6F82" w:rsidP="00C15251">
            <w:pPr>
              <w:jc w:val="both"/>
              <w:rPr>
                <w:bCs/>
                <w:color w:val="002060"/>
                <w:sz w:val="16"/>
                <w:szCs w:val="16"/>
              </w:rPr>
            </w:pPr>
            <w:r w:rsidRPr="00405303">
              <w:rPr>
                <w:bCs/>
                <w:color w:val="002060"/>
                <w:sz w:val="16"/>
                <w:szCs w:val="16"/>
              </w:rPr>
              <w:t>в январе 1916 г.</w:t>
            </w:r>
          </w:p>
        </w:tc>
        <w:tc>
          <w:tcPr>
            <w:tcW w:w="816" w:type="dxa"/>
          </w:tcPr>
          <w:p w14:paraId="74E97F89" w14:textId="77777777" w:rsidR="004B4E35" w:rsidRPr="00405303" w:rsidRDefault="009E6F82" w:rsidP="00C15251">
            <w:pPr>
              <w:jc w:val="both"/>
              <w:rPr>
                <w:bCs/>
                <w:color w:val="002060"/>
                <w:sz w:val="16"/>
                <w:szCs w:val="16"/>
              </w:rPr>
            </w:pPr>
            <w:r w:rsidRPr="00405303">
              <w:rPr>
                <w:bCs/>
                <w:color w:val="002060"/>
                <w:sz w:val="16"/>
                <w:szCs w:val="16"/>
              </w:rPr>
              <w:t>2940</w:t>
            </w:r>
          </w:p>
        </w:tc>
      </w:tr>
      <w:tr w:rsidR="004B4E35" w:rsidRPr="00405303" w14:paraId="013D41F9" w14:textId="77777777">
        <w:tc>
          <w:tcPr>
            <w:tcW w:w="1224" w:type="dxa"/>
          </w:tcPr>
          <w:p w14:paraId="60877882" w14:textId="6FBD91F9" w:rsidR="004B4E35" w:rsidRPr="00405303" w:rsidRDefault="00DB4D64" w:rsidP="00C15251">
            <w:pPr>
              <w:jc w:val="both"/>
              <w:rPr>
                <w:bCs/>
                <w:color w:val="002060"/>
                <w:sz w:val="16"/>
                <w:szCs w:val="16"/>
              </w:rPr>
            </w:pPr>
            <w:r w:rsidRPr="00405303">
              <w:rPr>
                <w:bCs/>
                <w:color w:val="002060"/>
                <w:sz w:val="16"/>
                <w:szCs w:val="16"/>
              </w:rPr>
              <w:t xml:space="preserve"> </w:t>
            </w:r>
          </w:p>
        </w:tc>
        <w:tc>
          <w:tcPr>
            <w:tcW w:w="2580" w:type="dxa"/>
          </w:tcPr>
          <w:p w14:paraId="4827032B" w14:textId="77777777" w:rsidR="004B4E35" w:rsidRPr="00405303" w:rsidRDefault="009E6F82" w:rsidP="00C15251">
            <w:pPr>
              <w:jc w:val="both"/>
              <w:rPr>
                <w:bCs/>
                <w:color w:val="002060"/>
                <w:sz w:val="16"/>
                <w:szCs w:val="16"/>
              </w:rPr>
            </w:pPr>
            <w:r w:rsidRPr="00405303">
              <w:rPr>
                <w:bCs/>
                <w:color w:val="002060"/>
                <w:sz w:val="16"/>
                <w:szCs w:val="16"/>
              </w:rPr>
              <w:t>в апреле 1916 г.</w:t>
            </w:r>
          </w:p>
        </w:tc>
        <w:tc>
          <w:tcPr>
            <w:tcW w:w="816" w:type="dxa"/>
          </w:tcPr>
          <w:p w14:paraId="1BB170B3" w14:textId="77777777" w:rsidR="004B4E35" w:rsidRPr="00405303" w:rsidRDefault="009E6F82" w:rsidP="00C15251">
            <w:pPr>
              <w:jc w:val="both"/>
              <w:rPr>
                <w:bCs/>
                <w:color w:val="002060"/>
                <w:sz w:val="16"/>
                <w:szCs w:val="16"/>
              </w:rPr>
            </w:pPr>
            <w:r w:rsidRPr="00405303">
              <w:rPr>
                <w:bCs/>
                <w:color w:val="002060"/>
                <w:sz w:val="16"/>
                <w:szCs w:val="16"/>
              </w:rPr>
              <w:t>3130</w:t>
            </w:r>
          </w:p>
        </w:tc>
      </w:tr>
      <w:tr w:rsidR="004B4E35" w:rsidRPr="00405303" w14:paraId="64B5A89E" w14:textId="77777777">
        <w:tc>
          <w:tcPr>
            <w:tcW w:w="1224" w:type="dxa"/>
          </w:tcPr>
          <w:p w14:paraId="261890C0" w14:textId="5111C6A8" w:rsidR="004B4E35" w:rsidRPr="00405303" w:rsidRDefault="00DB4D64" w:rsidP="00C15251">
            <w:pPr>
              <w:jc w:val="both"/>
              <w:rPr>
                <w:bCs/>
                <w:color w:val="002060"/>
                <w:sz w:val="16"/>
                <w:szCs w:val="16"/>
              </w:rPr>
            </w:pPr>
            <w:r w:rsidRPr="00405303">
              <w:rPr>
                <w:bCs/>
                <w:color w:val="002060"/>
                <w:sz w:val="16"/>
                <w:szCs w:val="16"/>
              </w:rPr>
              <w:t xml:space="preserve"> </w:t>
            </w:r>
          </w:p>
        </w:tc>
        <w:tc>
          <w:tcPr>
            <w:tcW w:w="2580" w:type="dxa"/>
          </w:tcPr>
          <w:p w14:paraId="1775DE6F" w14:textId="77777777" w:rsidR="004B4E35" w:rsidRPr="00405303" w:rsidRDefault="009E6F82" w:rsidP="00C15251">
            <w:pPr>
              <w:jc w:val="both"/>
              <w:rPr>
                <w:bCs/>
                <w:color w:val="002060"/>
                <w:sz w:val="16"/>
                <w:szCs w:val="16"/>
              </w:rPr>
            </w:pPr>
            <w:r w:rsidRPr="00405303">
              <w:rPr>
                <w:bCs/>
                <w:color w:val="002060"/>
                <w:sz w:val="16"/>
                <w:szCs w:val="16"/>
              </w:rPr>
              <w:t>в июле 1916 г.</w:t>
            </w:r>
          </w:p>
        </w:tc>
        <w:tc>
          <w:tcPr>
            <w:tcW w:w="816" w:type="dxa"/>
          </w:tcPr>
          <w:p w14:paraId="1FE30EA6" w14:textId="20C7D55D" w:rsidR="004B4E35" w:rsidRPr="00405303" w:rsidRDefault="00DB4D64" w:rsidP="00C15251">
            <w:pPr>
              <w:jc w:val="both"/>
              <w:rPr>
                <w:bCs/>
                <w:color w:val="002060"/>
                <w:sz w:val="16"/>
                <w:szCs w:val="16"/>
              </w:rPr>
            </w:pPr>
            <w:r w:rsidRPr="00405303">
              <w:rPr>
                <w:bCs/>
                <w:color w:val="002060"/>
                <w:sz w:val="16"/>
                <w:szCs w:val="16"/>
              </w:rPr>
              <w:t xml:space="preserve"> </w:t>
            </w:r>
            <w:r w:rsidR="009E6F82" w:rsidRPr="00405303">
              <w:rPr>
                <w:bCs/>
                <w:color w:val="002060"/>
                <w:sz w:val="16"/>
                <w:szCs w:val="16"/>
              </w:rPr>
              <w:t>—</w:t>
            </w:r>
          </w:p>
        </w:tc>
      </w:tr>
      <w:tr w:rsidR="004B4E35" w:rsidRPr="00405303" w14:paraId="1D598DC8" w14:textId="77777777">
        <w:tc>
          <w:tcPr>
            <w:tcW w:w="1224" w:type="dxa"/>
          </w:tcPr>
          <w:p w14:paraId="2812A156" w14:textId="18202FE3" w:rsidR="004B4E35" w:rsidRPr="00405303" w:rsidRDefault="00DB4D64" w:rsidP="00C15251">
            <w:pPr>
              <w:jc w:val="both"/>
              <w:rPr>
                <w:bCs/>
                <w:color w:val="002060"/>
                <w:sz w:val="16"/>
                <w:szCs w:val="16"/>
              </w:rPr>
            </w:pPr>
            <w:r w:rsidRPr="00405303">
              <w:rPr>
                <w:bCs/>
                <w:color w:val="002060"/>
                <w:sz w:val="16"/>
                <w:szCs w:val="16"/>
              </w:rPr>
              <w:t xml:space="preserve"> </w:t>
            </w:r>
          </w:p>
        </w:tc>
        <w:tc>
          <w:tcPr>
            <w:tcW w:w="2580" w:type="dxa"/>
          </w:tcPr>
          <w:p w14:paraId="6DC419A3" w14:textId="77777777" w:rsidR="004B4E35" w:rsidRPr="00405303" w:rsidRDefault="009E6F82" w:rsidP="00C15251">
            <w:pPr>
              <w:jc w:val="both"/>
              <w:rPr>
                <w:bCs/>
                <w:color w:val="002060"/>
                <w:sz w:val="16"/>
                <w:szCs w:val="16"/>
              </w:rPr>
            </w:pPr>
            <w:r w:rsidRPr="00405303">
              <w:rPr>
                <w:bCs/>
                <w:color w:val="002060"/>
                <w:sz w:val="16"/>
                <w:szCs w:val="16"/>
              </w:rPr>
              <w:t>в октябре 1916 г.</w:t>
            </w:r>
          </w:p>
        </w:tc>
        <w:tc>
          <w:tcPr>
            <w:tcW w:w="816" w:type="dxa"/>
          </w:tcPr>
          <w:p w14:paraId="1718614D" w14:textId="77777777" w:rsidR="004B4E35" w:rsidRPr="00405303" w:rsidRDefault="009E6F82" w:rsidP="00C15251">
            <w:pPr>
              <w:jc w:val="both"/>
              <w:rPr>
                <w:bCs/>
                <w:color w:val="002060"/>
                <w:sz w:val="16"/>
                <w:szCs w:val="16"/>
              </w:rPr>
            </w:pPr>
            <w:r w:rsidRPr="00405303">
              <w:rPr>
                <w:bCs/>
                <w:color w:val="002060"/>
                <w:sz w:val="16"/>
                <w:szCs w:val="16"/>
              </w:rPr>
              <w:t>3600</w:t>
            </w:r>
          </w:p>
        </w:tc>
      </w:tr>
      <w:tr w:rsidR="004B4E35" w:rsidRPr="00405303" w14:paraId="149E98CA" w14:textId="77777777">
        <w:tc>
          <w:tcPr>
            <w:tcW w:w="1224" w:type="dxa"/>
          </w:tcPr>
          <w:p w14:paraId="0FA0FE16" w14:textId="2E9BF91D" w:rsidR="004B4E35" w:rsidRPr="00405303" w:rsidRDefault="00DB4D64" w:rsidP="00C15251">
            <w:pPr>
              <w:jc w:val="both"/>
              <w:rPr>
                <w:bCs/>
                <w:color w:val="002060"/>
                <w:sz w:val="16"/>
                <w:szCs w:val="16"/>
              </w:rPr>
            </w:pPr>
            <w:r w:rsidRPr="00405303">
              <w:rPr>
                <w:bCs/>
                <w:color w:val="002060"/>
                <w:sz w:val="16"/>
                <w:szCs w:val="16"/>
              </w:rPr>
              <w:t xml:space="preserve"> </w:t>
            </w:r>
          </w:p>
        </w:tc>
        <w:tc>
          <w:tcPr>
            <w:tcW w:w="2580" w:type="dxa"/>
          </w:tcPr>
          <w:p w14:paraId="2E404FF6" w14:textId="77777777" w:rsidR="004B4E35" w:rsidRPr="00405303" w:rsidRDefault="009E6F82" w:rsidP="00C15251">
            <w:pPr>
              <w:jc w:val="both"/>
              <w:rPr>
                <w:bCs/>
                <w:color w:val="002060"/>
                <w:sz w:val="16"/>
                <w:szCs w:val="16"/>
              </w:rPr>
            </w:pPr>
            <w:r w:rsidRPr="00405303">
              <w:rPr>
                <w:bCs/>
                <w:color w:val="002060"/>
                <w:sz w:val="16"/>
                <w:szCs w:val="16"/>
              </w:rPr>
              <w:t>в январе 1917 г.</w:t>
            </w:r>
          </w:p>
        </w:tc>
        <w:tc>
          <w:tcPr>
            <w:tcW w:w="816" w:type="dxa"/>
          </w:tcPr>
          <w:p w14:paraId="74484C28"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r>
      <w:tr w:rsidR="004B4E35" w:rsidRPr="00405303" w14:paraId="7288B6CA" w14:textId="77777777">
        <w:tc>
          <w:tcPr>
            <w:tcW w:w="1224" w:type="dxa"/>
          </w:tcPr>
          <w:p w14:paraId="23583368" w14:textId="016E5DF1" w:rsidR="004B4E35" w:rsidRPr="00405303" w:rsidRDefault="00DB4D64" w:rsidP="00C15251">
            <w:pPr>
              <w:jc w:val="both"/>
              <w:rPr>
                <w:bCs/>
                <w:color w:val="002060"/>
                <w:sz w:val="16"/>
                <w:szCs w:val="16"/>
              </w:rPr>
            </w:pPr>
            <w:r w:rsidRPr="00405303">
              <w:rPr>
                <w:bCs/>
                <w:color w:val="002060"/>
                <w:sz w:val="16"/>
                <w:szCs w:val="16"/>
              </w:rPr>
              <w:t xml:space="preserve"> </w:t>
            </w:r>
          </w:p>
        </w:tc>
        <w:tc>
          <w:tcPr>
            <w:tcW w:w="2580" w:type="dxa"/>
          </w:tcPr>
          <w:p w14:paraId="09B8F533" w14:textId="77777777" w:rsidR="004B4E35" w:rsidRPr="00405303" w:rsidRDefault="009E6F82" w:rsidP="00C15251">
            <w:pPr>
              <w:jc w:val="both"/>
              <w:rPr>
                <w:bCs/>
                <w:color w:val="002060"/>
                <w:sz w:val="16"/>
                <w:szCs w:val="16"/>
              </w:rPr>
            </w:pPr>
            <w:r w:rsidRPr="00405303">
              <w:rPr>
                <w:bCs/>
                <w:color w:val="002060"/>
                <w:sz w:val="16"/>
                <w:szCs w:val="16"/>
              </w:rPr>
              <w:t>в июле 1917 г.</w:t>
            </w:r>
          </w:p>
        </w:tc>
        <w:tc>
          <w:tcPr>
            <w:tcW w:w="816" w:type="dxa"/>
          </w:tcPr>
          <w:p w14:paraId="17A365E5" w14:textId="77777777" w:rsidR="004B4E35" w:rsidRPr="00405303" w:rsidRDefault="009E6F82" w:rsidP="00C15251">
            <w:pPr>
              <w:jc w:val="both"/>
              <w:rPr>
                <w:bCs/>
                <w:color w:val="002060"/>
                <w:sz w:val="16"/>
                <w:szCs w:val="16"/>
              </w:rPr>
            </w:pPr>
            <w:r w:rsidRPr="00405303">
              <w:rPr>
                <w:bCs/>
                <w:color w:val="002060"/>
                <w:sz w:val="16"/>
                <w:szCs w:val="16"/>
              </w:rPr>
              <w:t>4000</w:t>
            </w:r>
          </w:p>
        </w:tc>
      </w:tr>
      <w:tr w:rsidR="004B4E35" w:rsidRPr="00405303" w14:paraId="079B8BBA" w14:textId="77777777">
        <w:tc>
          <w:tcPr>
            <w:tcW w:w="1224" w:type="dxa"/>
          </w:tcPr>
          <w:p w14:paraId="01D950DB" w14:textId="3975E0D4" w:rsidR="004B4E35" w:rsidRPr="00405303" w:rsidRDefault="00DB4D64" w:rsidP="00C15251">
            <w:pPr>
              <w:jc w:val="both"/>
              <w:rPr>
                <w:bCs/>
                <w:color w:val="002060"/>
                <w:sz w:val="16"/>
                <w:szCs w:val="16"/>
              </w:rPr>
            </w:pPr>
            <w:r w:rsidRPr="00405303">
              <w:rPr>
                <w:bCs/>
                <w:color w:val="002060"/>
                <w:sz w:val="16"/>
                <w:szCs w:val="16"/>
              </w:rPr>
              <w:t xml:space="preserve"> </w:t>
            </w:r>
          </w:p>
        </w:tc>
        <w:tc>
          <w:tcPr>
            <w:tcW w:w="2580" w:type="dxa"/>
          </w:tcPr>
          <w:p w14:paraId="08FFA393" w14:textId="77777777" w:rsidR="004B4E35" w:rsidRPr="00405303" w:rsidRDefault="009E6F82" w:rsidP="00C15251">
            <w:pPr>
              <w:jc w:val="both"/>
              <w:rPr>
                <w:bCs/>
                <w:color w:val="002060"/>
                <w:sz w:val="16"/>
                <w:szCs w:val="16"/>
              </w:rPr>
            </w:pPr>
            <w:r w:rsidRPr="00405303">
              <w:rPr>
                <w:bCs/>
                <w:color w:val="002060"/>
                <w:sz w:val="16"/>
                <w:szCs w:val="16"/>
              </w:rPr>
              <w:t>в сентябре 1917 г.</w:t>
            </w:r>
          </w:p>
        </w:tc>
        <w:tc>
          <w:tcPr>
            <w:tcW w:w="816" w:type="dxa"/>
          </w:tcPr>
          <w:p w14:paraId="5232F2DB" w14:textId="77777777" w:rsidR="004B4E35" w:rsidRPr="00405303" w:rsidRDefault="009E6F82" w:rsidP="00C15251">
            <w:pPr>
              <w:jc w:val="both"/>
              <w:rPr>
                <w:bCs/>
                <w:color w:val="002060"/>
                <w:sz w:val="16"/>
                <w:szCs w:val="16"/>
              </w:rPr>
            </w:pPr>
            <w:r w:rsidRPr="00405303">
              <w:rPr>
                <w:bCs/>
                <w:color w:val="002060"/>
                <w:sz w:val="16"/>
                <w:szCs w:val="16"/>
              </w:rPr>
              <w:t>4220</w:t>
            </w:r>
          </w:p>
        </w:tc>
      </w:tr>
    </w:tbl>
    <w:p w14:paraId="754C1065" w14:textId="77777777" w:rsidR="004B4E35" w:rsidRPr="00405303" w:rsidRDefault="009E6F82" w:rsidP="00C15251">
      <w:pPr>
        <w:jc w:val="both"/>
        <w:rPr>
          <w:bCs/>
          <w:color w:val="002060"/>
          <w:sz w:val="16"/>
          <w:szCs w:val="16"/>
        </w:rPr>
      </w:pPr>
      <w:r w:rsidRPr="00405303">
        <w:rPr>
          <w:bCs/>
          <w:color w:val="002060"/>
          <w:sz w:val="16"/>
          <w:szCs w:val="16"/>
        </w:rPr>
        <w:t xml:space="preserve">Благодаря тому, что станки в России собирались в разных местах и наспех, а за границей заказывались те модели, которые имелись на рынке, без строгого отбора, станочный парк завода в итого оказался весьма пестрым и в отношении новизны моделей, и технического износа. </w:t>
      </w:r>
    </w:p>
    <w:p w14:paraId="021DEAE1" w14:textId="77777777" w:rsidR="004B4E35" w:rsidRPr="00405303" w:rsidRDefault="009E6F82" w:rsidP="00C15251">
      <w:pPr>
        <w:jc w:val="both"/>
        <w:rPr>
          <w:bCs/>
          <w:color w:val="002060"/>
          <w:sz w:val="16"/>
          <w:szCs w:val="16"/>
        </w:rPr>
      </w:pPr>
      <w:r w:rsidRPr="00405303">
        <w:rPr>
          <w:bCs/>
          <w:color w:val="002060"/>
          <w:sz w:val="16"/>
          <w:szCs w:val="16"/>
        </w:rPr>
        <w:t xml:space="preserve">Несмотря на все указанные мероприятия, завод всю войну проработал в условиях крайней тесноты помещений и острого недостатка оборудования. </w:t>
      </w:r>
    </w:p>
    <w:p w14:paraId="50C87AB3" w14:textId="77777777" w:rsidR="004B4E35" w:rsidRPr="00405303" w:rsidRDefault="009E6F82" w:rsidP="00C15251">
      <w:pPr>
        <w:jc w:val="both"/>
        <w:rPr>
          <w:bCs/>
          <w:color w:val="002060"/>
          <w:sz w:val="16"/>
          <w:szCs w:val="16"/>
        </w:rPr>
      </w:pPr>
      <w:r w:rsidRPr="00405303">
        <w:rPr>
          <w:bCs/>
          <w:color w:val="002060"/>
          <w:sz w:val="16"/>
          <w:szCs w:val="16"/>
        </w:rPr>
        <w:t xml:space="preserve">Далее на протяжении трех лет войны завод терпит нужду то в том, то в другом существенном для работы материале. Нет тиглей Моргана, нет электрических принадлежностей и пр. </w:t>
      </w:r>
    </w:p>
    <w:p w14:paraId="36181160" w14:textId="77777777" w:rsidR="004B4E35" w:rsidRPr="00405303" w:rsidRDefault="009E6F82" w:rsidP="00C15251">
      <w:pPr>
        <w:jc w:val="both"/>
        <w:rPr>
          <w:bCs/>
          <w:color w:val="002060"/>
          <w:sz w:val="16"/>
          <w:szCs w:val="16"/>
        </w:rPr>
      </w:pPr>
      <w:r w:rsidRPr="00405303">
        <w:rPr>
          <w:bCs/>
          <w:color w:val="002060"/>
          <w:sz w:val="16"/>
          <w:szCs w:val="16"/>
        </w:rPr>
        <w:t xml:space="preserve">Столь же неблагоприятны были и условия обеспечения завода топливом. Уже в марте 1915 г. ГАУ извещает завод, что ввиду тяжелых условий добычи и доставки минерального топлива из Донецкого бассейна уголь, антрацит и кокс будут отпускаться заводу в самом ограниченном количестве и что необходимо принимать меры к переходу на другие виды топлива — дерево, торф и т. д. В работу завода это внесло большие осложнения, так как потребность в топливе была весьма велика, в 1916 г. — угля до 3 000 000 пудов в год и нефтяных остатков до 1 200 000 пудов. </w:t>
      </w:r>
    </w:p>
    <w:p w14:paraId="545F7361" w14:textId="77777777" w:rsidR="004B4E35" w:rsidRPr="00405303" w:rsidRDefault="009E6F82" w:rsidP="00C15251">
      <w:pPr>
        <w:jc w:val="both"/>
        <w:rPr>
          <w:bCs/>
          <w:color w:val="002060"/>
          <w:sz w:val="16"/>
          <w:szCs w:val="16"/>
        </w:rPr>
      </w:pPr>
      <w:r w:rsidRPr="00405303">
        <w:rPr>
          <w:bCs/>
          <w:color w:val="002060"/>
          <w:sz w:val="16"/>
          <w:szCs w:val="16"/>
        </w:rPr>
        <w:t xml:space="preserve">Весьма острую нужду терпел завод и в инженерах. Так как специальность производство трубок — чисто военная, то опытных трубочников нигде вне двух трубочных заводов, Петроградского и Самарского, не имелось. При этом надо отметить, что Самарский завод, открывший работы лишь незадолго до начала войны, был комплектован инженерами того же Петроградского трубочного завода. Таким образом, перед самой войной почти единственный трубочный завод был обеднен инженерами. Между тем быстрое и колоссальное по масштабу разворачивание такого тонкого, капризного и ответственного производства требовало значительного усиления технического штата, и пополнять его было некем. </w:t>
      </w:r>
    </w:p>
    <w:p w14:paraId="6CDA3278" w14:textId="77777777" w:rsidR="004B4E35" w:rsidRPr="00405303" w:rsidRDefault="009E6F82" w:rsidP="00C15251">
      <w:pPr>
        <w:jc w:val="both"/>
        <w:rPr>
          <w:bCs/>
          <w:color w:val="002060"/>
          <w:sz w:val="16"/>
          <w:szCs w:val="16"/>
        </w:rPr>
      </w:pPr>
      <w:r w:rsidRPr="00405303">
        <w:rPr>
          <w:bCs/>
          <w:color w:val="002060"/>
          <w:sz w:val="16"/>
          <w:szCs w:val="16"/>
        </w:rPr>
        <w:t xml:space="preserve">Тяжесть положения усугублялась еще тем, что заводских инженеров приходилось отвлекать от производства и посылать по России и за границу для реквизиции и покупки оборудования. В довершение всего в 1914 г. была предпринята постройка 3-го трубочного завода и туда также пришлось взять с того же Петроградского трубочного завода двух высокоопытных инженеров. </w:t>
      </w:r>
    </w:p>
    <w:p w14:paraId="09CF0475" w14:textId="77777777" w:rsidR="004B4E35" w:rsidRPr="00405303" w:rsidRDefault="009E6F82" w:rsidP="00C15251">
      <w:pPr>
        <w:jc w:val="both"/>
        <w:rPr>
          <w:bCs/>
          <w:color w:val="002060"/>
          <w:sz w:val="16"/>
          <w:szCs w:val="16"/>
        </w:rPr>
      </w:pPr>
      <w:r w:rsidRPr="00405303">
        <w:rPr>
          <w:bCs/>
          <w:color w:val="002060"/>
          <w:sz w:val="16"/>
          <w:szCs w:val="16"/>
        </w:rPr>
        <w:t xml:space="preserve">Петроградский трубочный завод обратился в ГАУ и просил командировать в его распоряжение до 10 человек окончивших Артиллерийскую академию. Но эта просьба удовлетворена была в очень скромной мере — дали только двух человек. Поэтому завод вынужден был пополнять технический состав инженерами гражданских специальностей. Между тем большинство военных производств, и трубочное в особенности, требуют от инженера не только знания узкотехнологической стороны дела, но и основательного знакомства с важнейшими артиллерийскими дисциплинами, как-то: баллистикой внутренней и внешней, теорией стрельбы, теорией взрывчатых веществ и пр. Без всего этого багажа знаний инженер может нести в военном заводе лишь работу узкого масштаба, либо на вспомогательных производствах, либо в основном производстве на второстепенных ролях. Ко всему, в трубочном деле еще требуется хорошее знание методики точного массового производства, каковое в гражданской промышленности почти отсутствует или имеет крайне ограниченное применение и ни масштабом, ни сложностью, ни глубиной точности не походит на производства, подобные трубочному, ружейному и др. В итоге Петроградский трубочный завод всю войну переживал острый кризис в отношении технической </w:t>
      </w:r>
      <w:proofErr w:type="gramStart"/>
      <w:r w:rsidRPr="00405303">
        <w:rPr>
          <w:bCs/>
          <w:color w:val="002060"/>
          <w:sz w:val="16"/>
          <w:szCs w:val="16"/>
        </w:rPr>
        <w:t>силы, несмотря на то, что</w:t>
      </w:r>
      <w:proofErr w:type="gramEnd"/>
      <w:r w:rsidRPr="00405303">
        <w:rPr>
          <w:bCs/>
          <w:color w:val="002060"/>
          <w:sz w:val="16"/>
          <w:szCs w:val="16"/>
        </w:rPr>
        <w:t xml:space="preserve"> численно она была велика, так как в течение войны было взято большое число гражданских инженеров. За малым исключением, это была молодежь, имеющая вообще весьма малый стаж инженерной работы. </w:t>
      </w:r>
    </w:p>
    <w:p w14:paraId="65EAAE7B" w14:textId="77777777" w:rsidR="004B4E35" w:rsidRPr="00405303" w:rsidRDefault="009E6F82" w:rsidP="00C15251">
      <w:pPr>
        <w:jc w:val="both"/>
        <w:rPr>
          <w:bCs/>
          <w:color w:val="002060"/>
          <w:sz w:val="16"/>
          <w:szCs w:val="16"/>
        </w:rPr>
      </w:pPr>
      <w:r w:rsidRPr="00405303">
        <w:rPr>
          <w:bCs/>
          <w:color w:val="002060"/>
          <w:sz w:val="16"/>
          <w:szCs w:val="16"/>
        </w:rPr>
        <w:t xml:space="preserve">Непрерывное и быстрое разворачивание во время войны работы Петроградского трубочного завода до пределов, многократно превосходящих пропускную способность завода по мирному времени, требовало непрерывного и интенсивного найма рабочих. В связи с этим с первых же дней возникли затруднения с приисканием квалифицированной рабочей силы, слесарей, токарей и особенно слесарей-лекальщиков. Предложений на эти категории на рынке не было. Для выхода из положения завод организовал подготовку рабочих по этим специальностям у себя. Для предотвращения убыли квалифицированной силы в связи с призывом на фронт очередных сроков завод возбудил ходатайство об освобождении от призыва нужных ему рабочих элементов. </w:t>
      </w:r>
    </w:p>
    <w:p w14:paraId="77348470" w14:textId="77777777" w:rsidR="004B4E35" w:rsidRPr="00405303" w:rsidRDefault="009E6F82" w:rsidP="00C15251">
      <w:pPr>
        <w:jc w:val="both"/>
        <w:rPr>
          <w:bCs/>
          <w:color w:val="002060"/>
          <w:sz w:val="16"/>
          <w:szCs w:val="16"/>
        </w:rPr>
      </w:pPr>
      <w:r w:rsidRPr="00405303">
        <w:rPr>
          <w:bCs/>
          <w:color w:val="002060"/>
          <w:sz w:val="16"/>
          <w:szCs w:val="16"/>
        </w:rPr>
        <w:t>В отношении неквалифицированных рабочих затруднений не было. Завод применял в большом проценте (до 30) труд женщин. На хозяйственных и легких вспомогательных работах ставились подростки, коих было до 3% (11329).</w:t>
      </w:r>
    </w:p>
    <w:p w14:paraId="34C9C223" w14:textId="77777777" w:rsidR="004B4E35" w:rsidRPr="00405303" w:rsidRDefault="004B4E35" w:rsidP="00C15251">
      <w:pPr>
        <w:jc w:val="both"/>
        <w:rPr>
          <w:bCs/>
          <w:i/>
          <w:color w:val="002060"/>
          <w:sz w:val="16"/>
          <w:szCs w:val="16"/>
        </w:rPr>
      </w:pPr>
    </w:p>
    <w:p w14:paraId="25CE74DF" w14:textId="77777777" w:rsidR="004B4E35" w:rsidRPr="00405303" w:rsidRDefault="009E6F82" w:rsidP="00C15251">
      <w:pPr>
        <w:jc w:val="both"/>
        <w:rPr>
          <w:bCs/>
          <w:color w:val="002060"/>
          <w:sz w:val="16"/>
          <w:szCs w:val="16"/>
        </w:rPr>
      </w:pPr>
      <w:r w:rsidRPr="00405303">
        <w:rPr>
          <w:bCs/>
          <w:color w:val="002060"/>
          <w:sz w:val="16"/>
          <w:szCs w:val="16"/>
        </w:rPr>
        <w:t xml:space="preserve">В начале 1915 г. в связи с усиленными заказами Арсеналу выяснилась необходимость произвести ряд работ по усилению мощности Арсенала, а именно: а) возвести новые постройки: управление Арсенала, электрическую станцию, механическую мастерскую, помещение для тепловой обработки металла, литейную и ряд построек административно-хозяйственного назначения, б) расширить мастерские: слесарно-механическую, столярную, кузнечную и сушильню и в) капитально перестроить старую литейную и др. В общем, путем указанных работ площадь производственных зданий была увеличена </w:t>
      </w:r>
      <w:proofErr w:type="gramStart"/>
      <w:r w:rsidRPr="00405303">
        <w:rPr>
          <w:bCs/>
          <w:color w:val="002060"/>
          <w:sz w:val="16"/>
          <w:szCs w:val="16"/>
        </w:rPr>
        <w:t>больше</w:t>
      </w:r>
      <w:proofErr w:type="gramEnd"/>
      <w:r w:rsidRPr="00405303">
        <w:rPr>
          <w:bCs/>
          <w:color w:val="002060"/>
          <w:sz w:val="16"/>
          <w:szCs w:val="16"/>
        </w:rPr>
        <w:t xml:space="preserve"> чем вдвое. </w:t>
      </w:r>
    </w:p>
    <w:p w14:paraId="7C6666E6" w14:textId="77777777" w:rsidR="004B4E35" w:rsidRPr="00405303" w:rsidRDefault="009E6F82" w:rsidP="00C15251">
      <w:pPr>
        <w:jc w:val="both"/>
        <w:rPr>
          <w:bCs/>
          <w:color w:val="002060"/>
          <w:sz w:val="16"/>
          <w:szCs w:val="16"/>
        </w:rPr>
      </w:pPr>
      <w:r w:rsidRPr="00405303">
        <w:rPr>
          <w:bCs/>
          <w:color w:val="002060"/>
          <w:sz w:val="16"/>
          <w:szCs w:val="16"/>
        </w:rPr>
        <w:t xml:space="preserve">Расширенная кузница в дальнейшем оказалась тесна, и было решено строить новую. К тому же железная конструкция кузницы имела серьезные дефекты: летом в ней было очень жарко, зимой — холодно. Был составлен проект изменений кузницы. Так как для постройки ее не было места, то был возбужден вопрос об отчуждении в пользу Арсенала соседних участков. Это происходило в самом начале 1917 года. Вспыхнувшая революция остановила дело. </w:t>
      </w:r>
    </w:p>
    <w:p w14:paraId="7F86883A" w14:textId="77777777" w:rsidR="004B4E35" w:rsidRPr="00405303" w:rsidRDefault="009E6F82" w:rsidP="00C15251">
      <w:pPr>
        <w:jc w:val="both"/>
        <w:rPr>
          <w:bCs/>
          <w:color w:val="002060"/>
          <w:sz w:val="16"/>
          <w:szCs w:val="16"/>
        </w:rPr>
      </w:pPr>
      <w:r w:rsidRPr="00405303">
        <w:rPr>
          <w:bCs/>
          <w:color w:val="002060"/>
          <w:sz w:val="16"/>
          <w:szCs w:val="16"/>
        </w:rPr>
        <w:t xml:space="preserve">Что касается оборудования, то в течение войны силовая станция, имевшая суммарную мощность 590 л.с., усилена была двумя дизелями общей мощностью 850 лошадиных сил. </w:t>
      </w:r>
    </w:p>
    <w:p w14:paraId="672510E1" w14:textId="77777777" w:rsidR="004B4E35" w:rsidRPr="00405303" w:rsidRDefault="009E6F82" w:rsidP="00C15251">
      <w:pPr>
        <w:jc w:val="both"/>
        <w:rPr>
          <w:bCs/>
          <w:color w:val="002060"/>
          <w:sz w:val="16"/>
          <w:szCs w:val="16"/>
        </w:rPr>
      </w:pPr>
      <w:r w:rsidRPr="00405303">
        <w:rPr>
          <w:bCs/>
          <w:color w:val="002060"/>
          <w:sz w:val="16"/>
          <w:szCs w:val="16"/>
        </w:rPr>
        <w:t xml:space="preserve">Общая мощность паровых котлов к 1914 г. оценивалась в 650 кв. м поверхности нагрева в центральной станции. Несколько отдельных котлов находились при цехах. Во время войны были установлены дополнительные котлы, суммарно в 416 кв. м поверхности нагрева. </w:t>
      </w:r>
    </w:p>
    <w:p w14:paraId="140572AA" w14:textId="77777777" w:rsidR="004B4E35" w:rsidRPr="00405303" w:rsidRDefault="009E6F82" w:rsidP="00C15251">
      <w:pPr>
        <w:jc w:val="both"/>
        <w:rPr>
          <w:bCs/>
          <w:color w:val="002060"/>
          <w:sz w:val="16"/>
          <w:szCs w:val="16"/>
        </w:rPr>
      </w:pPr>
      <w:r w:rsidRPr="00405303">
        <w:rPr>
          <w:bCs/>
          <w:color w:val="002060"/>
          <w:sz w:val="16"/>
          <w:szCs w:val="16"/>
        </w:rPr>
        <w:t xml:space="preserve">Мощность литейной к 1914 г. равнялась при односменной работе в месяц 600 пудов чугуна и 1000 пудов цветных металлов. В 1917 г. мастерская была перенесена в новое помещение. Поставлены вновь: вагранки, для цветных металлов — пламенная печь и печь Моргана. Мощность мастерской усилилась, при односменной работе, в месяц до 6000 пудов чугуна и 2000 пудов цветных металлов. </w:t>
      </w:r>
    </w:p>
    <w:p w14:paraId="300C9EF4" w14:textId="77777777" w:rsidR="004B4E35" w:rsidRPr="00405303" w:rsidRDefault="009E6F82" w:rsidP="00C15251">
      <w:pPr>
        <w:jc w:val="both"/>
        <w:rPr>
          <w:bCs/>
          <w:color w:val="002060"/>
          <w:sz w:val="16"/>
          <w:szCs w:val="16"/>
        </w:rPr>
      </w:pPr>
      <w:r w:rsidRPr="00405303">
        <w:rPr>
          <w:bCs/>
          <w:color w:val="002060"/>
          <w:sz w:val="16"/>
          <w:szCs w:val="16"/>
        </w:rPr>
        <w:t xml:space="preserve">В 1914 г. механический цех Арсенала имел отделы: инструментальный, токарный, строгальный, прессовой, долбежный, сверлильный и фрезерный, при общем количестве станков около 150. </w:t>
      </w:r>
    </w:p>
    <w:p w14:paraId="6F3ABD25" w14:textId="77777777" w:rsidR="004B4E35" w:rsidRPr="00405303" w:rsidRDefault="009E6F82" w:rsidP="00C15251">
      <w:pPr>
        <w:jc w:val="both"/>
        <w:rPr>
          <w:bCs/>
          <w:color w:val="002060"/>
          <w:sz w:val="16"/>
          <w:szCs w:val="16"/>
        </w:rPr>
      </w:pPr>
      <w:r w:rsidRPr="00405303">
        <w:rPr>
          <w:bCs/>
          <w:color w:val="002060"/>
          <w:sz w:val="16"/>
          <w:szCs w:val="16"/>
        </w:rPr>
        <w:t xml:space="preserve">В 1914—1916 гг. механический цех был значительно усилен постановкой большого числа станков — 166 шт., при коих 40 фрезерных, 80 токарно-винторезных. </w:t>
      </w:r>
    </w:p>
    <w:p w14:paraId="3B7731B9" w14:textId="77777777" w:rsidR="004B4E35" w:rsidRPr="00405303" w:rsidRDefault="009E6F82" w:rsidP="00C15251">
      <w:pPr>
        <w:jc w:val="both"/>
        <w:rPr>
          <w:bCs/>
          <w:color w:val="002060"/>
          <w:sz w:val="16"/>
          <w:szCs w:val="16"/>
        </w:rPr>
      </w:pPr>
      <w:r w:rsidRPr="00405303">
        <w:rPr>
          <w:bCs/>
          <w:color w:val="002060"/>
          <w:sz w:val="16"/>
          <w:szCs w:val="16"/>
        </w:rPr>
        <w:t xml:space="preserve">В этот период орудийный отдел был переоборудован для перестволения 3-дм скорострельных пушек. Для этой работы было установлено необходимое оборудование — станки, пресса для снимания кожухов и надульников с орудий, электрическая печь и пр. </w:t>
      </w:r>
    </w:p>
    <w:p w14:paraId="66BB54A8" w14:textId="77777777" w:rsidR="004B4E35" w:rsidRPr="00405303" w:rsidRDefault="009E6F82" w:rsidP="00C15251">
      <w:pPr>
        <w:jc w:val="both"/>
        <w:rPr>
          <w:bCs/>
          <w:color w:val="002060"/>
          <w:sz w:val="16"/>
          <w:szCs w:val="16"/>
        </w:rPr>
      </w:pPr>
      <w:r w:rsidRPr="00405303">
        <w:rPr>
          <w:bCs/>
          <w:color w:val="002060"/>
          <w:sz w:val="16"/>
          <w:szCs w:val="16"/>
        </w:rPr>
        <w:t xml:space="preserve">Новые станки для Арсенала, изготовленные в Америке, доставлялись через Англию, Японию, Францию и Швецию. </w:t>
      </w:r>
    </w:p>
    <w:p w14:paraId="3BAB91B0" w14:textId="77777777" w:rsidR="004B4E35" w:rsidRPr="00405303" w:rsidRDefault="009E6F82" w:rsidP="00C15251">
      <w:pPr>
        <w:jc w:val="both"/>
        <w:rPr>
          <w:bCs/>
          <w:color w:val="002060"/>
          <w:sz w:val="16"/>
          <w:szCs w:val="16"/>
        </w:rPr>
      </w:pPr>
      <w:r w:rsidRPr="00405303">
        <w:rPr>
          <w:bCs/>
          <w:color w:val="002060"/>
          <w:sz w:val="16"/>
          <w:szCs w:val="16"/>
        </w:rPr>
        <w:t xml:space="preserve">Благодаря постановке дополнительного оборудования мощность механического цеха увеличилась почти втрое. При эвакуации Брянского арсенала в 1918 г. в Нижний Новгород наиболее ценное, вновь поставленное оборудование было вывезено туда, но обратно вернулось не все. </w:t>
      </w:r>
    </w:p>
    <w:p w14:paraId="4000F2EA" w14:textId="77777777" w:rsidR="004B4E35" w:rsidRPr="00405303" w:rsidRDefault="009E6F82" w:rsidP="00C15251">
      <w:pPr>
        <w:jc w:val="both"/>
        <w:rPr>
          <w:bCs/>
          <w:color w:val="002060"/>
          <w:sz w:val="16"/>
          <w:szCs w:val="16"/>
        </w:rPr>
      </w:pPr>
      <w:r w:rsidRPr="00405303">
        <w:rPr>
          <w:bCs/>
          <w:color w:val="002060"/>
          <w:sz w:val="16"/>
          <w:szCs w:val="16"/>
        </w:rPr>
        <w:t xml:space="preserve">За время войны сборный цех по площади увеличен более чем в три раза. В таком же масштабе усилена была и столярная мастерская и ремонтно-механический цех, причем оба были укомплектованы добавочным оборудованием. Ремонтно-механический цех в 1915 г. перенесен был в новое помещение. </w:t>
      </w:r>
    </w:p>
    <w:p w14:paraId="7F73DD03" w14:textId="77777777" w:rsidR="004B4E35" w:rsidRPr="00405303" w:rsidRDefault="009E6F82" w:rsidP="00C15251">
      <w:pPr>
        <w:jc w:val="both"/>
        <w:rPr>
          <w:bCs/>
          <w:color w:val="002060"/>
          <w:sz w:val="16"/>
          <w:szCs w:val="16"/>
        </w:rPr>
      </w:pPr>
      <w:r w:rsidRPr="00405303">
        <w:rPr>
          <w:bCs/>
          <w:color w:val="002060"/>
          <w:sz w:val="16"/>
          <w:szCs w:val="16"/>
        </w:rPr>
        <w:t xml:space="preserve">Производственная работа Арсенала, постоянно во время войны усиливаемая, выражалась в следующих цифрах: </w:t>
      </w:r>
    </w:p>
    <w:p w14:paraId="1AF2AC69" w14:textId="77777777" w:rsidR="004B4E35" w:rsidRPr="00405303" w:rsidRDefault="009E6F82" w:rsidP="00C15251">
      <w:pPr>
        <w:jc w:val="both"/>
        <w:rPr>
          <w:bCs/>
          <w:color w:val="002060"/>
          <w:sz w:val="16"/>
          <w:szCs w:val="16"/>
        </w:rPr>
      </w:pPr>
      <w:r w:rsidRPr="00405303">
        <w:rPr>
          <w:bCs/>
          <w:color w:val="002060"/>
          <w:sz w:val="16"/>
          <w:szCs w:val="16"/>
        </w:rPr>
        <w:t xml:space="preserve">За период, предшествующий войне, Арсенал выпустил следующее количество изделий: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52"/>
        <w:gridCol w:w="636"/>
        <w:gridCol w:w="660"/>
        <w:gridCol w:w="636"/>
        <w:gridCol w:w="636"/>
      </w:tblGrid>
      <w:tr w:rsidR="004B4E35" w:rsidRPr="00405303" w14:paraId="7F4B1E22" w14:textId="77777777">
        <w:tc>
          <w:tcPr>
            <w:tcW w:w="2652" w:type="dxa"/>
          </w:tcPr>
          <w:p w14:paraId="6ACCF668" w14:textId="77777777" w:rsidR="004B4E35" w:rsidRPr="00405303" w:rsidRDefault="009E6F82" w:rsidP="00C15251">
            <w:pPr>
              <w:jc w:val="both"/>
              <w:rPr>
                <w:bCs/>
                <w:color w:val="002060"/>
                <w:sz w:val="16"/>
                <w:szCs w:val="16"/>
              </w:rPr>
            </w:pPr>
            <w:r w:rsidRPr="00405303">
              <w:rPr>
                <w:bCs/>
                <w:color w:val="002060"/>
                <w:sz w:val="16"/>
                <w:szCs w:val="16"/>
              </w:rPr>
              <w:t>Наименование излелий</w:t>
            </w:r>
          </w:p>
        </w:tc>
        <w:tc>
          <w:tcPr>
            <w:tcW w:w="636" w:type="dxa"/>
          </w:tcPr>
          <w:p w14:paraId="5415F1CF" w14:textId="77777777" w:rsidR="004B4E35" w:rsidRPr="00405303" w:rsidRDefault="009E6F82" w:rsidP="00C15251">
            <w:pPr>
              <w:jc w:val="both"/>
              <w:rPr>
                <w:bCs/>
                <w:color w:val="002060"/>
                <w:sz w:val="16"/>
                <w:szCs w:val="16"/>
              </w:rPr>
            </w:pPr>
            <w:r w:rsidRPr="00405303">
              <w:rPr>
                <w:bCs/>
                <w:color w:val="002060"/>
                <w:sz w:val="16"/>
                <w:szCs w:val="16"/>
              </w:rPr>
              <w:t>1910 г.</w:t>
            </w:r>
          </w:p>
        </w:tc>
        <w:tc>
          <w:tcPr>
            <w:tcW w:w="660" w:type="dxa"/>
          </w:tcPr>
          <w:p w14:paraId="68EA801E" w14:textId="77777777" w:rsidR="004B4E35" w:rsidRPr="00405303" w:rsidRDefault="009E6F82" w:rsidP="00C15251">
            <w:pPr>
              <w:jc w:val="both"/>
              <w:rPr>
                <w:bCs/>
                <w:color w:val="002060"/>
                <w:sz w:val="16"/>
                <w:szCs w:val="16"/>
              </w:rPr>
            </w:pPr>
            <w:r w:rsidRPr="00405303">
              <w:rPr>
                <w:bCs/>
                <w:color w:val="002060"/>
                <w:sz w:val="16"/>
                <w:szCs w:val="16"/>
              </w:rPr>
              <w:t>1911 г.</w:t>
            </w:r>
          </w:p>
        </w:tc>
        <w:tc>
          <w:tcPr>
            <w:tcW w:w="636" w:type="dxa"/>
          </w:tcPr>
          <w:p w14:paraId="0741EAA6" w14:textId="77777777" w:rsidR="004B4E35" w:rsidRPr="00405303" w:rsidRDefault="009E6F82" w:rsidP="00C15251">
            <w:pPr>
              <w:jc w:val="both"/>
              <w:rPr>
                <w:bCs/>
                <w:color w:val="002060"/>
                <w:sz w:val="16"/>
                <w:szCs w:val="16"/>
              </w:rPr>
            </w:pPr>
            <w:r w:rsidRPr="00405303">
              <w:rPr>
                <w:bCs/>
                <w:color w:val="002060"/>
                <w:sz w:val="16"/>
                <w:szCs w:val="16"/>
              </w:rPr>
              <w:t>1912 г.</w:t>
            </w:r>
          </w:p>
        </w:tc>
        <w:tc>
          <w:tcPr>
            <w:tcW w:w="636" w:type="dxa"/>
          </w:tcPr>
          <w:p w14:paraId="06D39D6D" w14:textId="77777777" w:rsidR="004B4E35" w:rsidRPr="00405303" w:rsidRDefault="009E6F82" w:rsidP="00C15251">
            <w:pPr>
              <w:jc w:val="both"/>
              <w:rPr>
                <w:bCs/>
                <w:color w:val="002060"/>
                <w:sz w:val="16"/>
                <w:szCs w:val="16"/>
              </w:rPr>
            </w:pPr>
            <w:r w:rsidRPr="00405303">
              <w:rPr>
                <w:bCs/>
                <w:color w:val="002060"/>
                <w:sz w:val="16"/>
                <w:szCs w:val="16"/>
              </w:rPr>
              <w:t>1913 г.</w:t>
            </w:r>
          </w:p>
        </w:tc>
      </w:tr>
      <w:tr w:rsidR="004B4E35" w:rsidRPr="00405303" w14:paraId="12B03C9E" w14:textId="77777777">
        <w:tc>
          <w:tcPr>
            <w:tcW w:w="2652" w:type="dxa"/>
          </w:tcPr>
          <w:p w14:paraId="7FCFFFC0" w14:textId="77777777" w:rsidR="004B4E35" w:rsidRPr="00405303" w:rsidRDefault="009E6F82" w:rsidP="00C15251">
            <w:pPr>
              <w:jc w:val="both"/>
              <w:rPr>
                <w:bCs/>
                <w:color w:val="002060"/>
                <w:sz w:val="16"/>
                <w:szCs w:val="16"/>
              </w:rPr>
            </w:pPr>
            <w:r w:rsidRPr="00405303">
              <w:rPr>
                <w:bCs/>
                <w:color w:val="002060"/>
                <w:sz w:val="16"/>
                <w:szCs w:val="16"/>
              </w:rPr>
              <w:lastRenderedPageBreak/>
              <w:t>Изготовление полевых зарядных ящиков, ходов</w:t>
            </w:r>
          </w:p>
        </w:tc>
        <w:tc>
          <w:tcPr>
            <w:tcW w:w="636" w:type="dxa"/>
          </w:tcPr>
          <w:p w14:paraId="69935D43" w14:textId="77777777" w:rsidR="004B4E35" w:rsidRPr="00405303" w:rsidRDefault="009E6F82" w:rsidP="00C15251">
            <w:pPr>
              <w:jc w:val="both"/>
              <w:rPr>
                <w:bCs/>
                <w:color w:val="002060"/>
                <w:sz w:val="16"/>
                <w:szCs w:val="16"/>
              </w:rPr>
            </w:pPr>
            <w:r w:rsidRPr="00405303">
              <w:rPr>
                <w:bCs/>
                <w:color w:val="002060"/>
                <w:sz w:val="16"/>
                <w:szCs w:val="16"/>
              </w:rPr>
              <w:t>83</w:t>
            </w:r>
          </w:p>
        </w:tc>
        <w:tc>
          <w:tcPr>
            <w:tcW w:w="660" w:type="dxa"/>
          </w:tcPr>
          <w:p w14:paraId="556DBE90" w14:textId="77777777" w:rsidR="004B4E35" w:rsidRPr="00405303" w:rsidRDefault="009E6F82" w:rsidP="00C15251">
            <w:pPr>
              <w:jc w:val="both"/>
              <w:rPr>
                <w:bCs/>
                <w:color w:val="002060"/>
                <w:sz w:val="16"/>
                <w:szCs w:val="16"/>
              </w:rPr>
            </w:pPr>
            <w:r w:rsidRPr="00405303">
              <w:rPr>
                <w:bCs/>
                <w:color w:val="002060"/>
                <w:sz w:val="16"/>
                <w:szCs w:val="16"/>
              </w:rPr>
              <w:t>802</w:t>
            </w:r>
          </w:p>
        </w:tc>
        <w:tc>
          <w:tcPr>
            <w:tcW w:w="636" w:type="dxa"/>
          </w:tcPr>
          <w:p w14:paraId="6E347160" w14:textId="77777777" w:rsidR="004B4E35" w:rsidRPr="00405303" w:rsidRDefault="009E6F82" w:rsidP="00C15251">
            <w:pPr>
              <w:jc w:val="both"/>
              <w:rPr>
                <w:bCs/>
                <w:color w:val="002060"/>
                <w:sz w:val="16"/>
                <w:szCs w:val="16"/>
              </w:rPr>
            </w:pPr>
            <w:r w:rsidRPr="00405303">
              <w:rPr>
                <w:bCs/>
                <w:color w:val="002060"/>
                <w:sz w:val="16"/>
                <w:szCs w:val="16"/>
              </w:rPr>
              <w:t>101</w:t>
            </w:r>
          </w:p>
        </w:tc>
        <w:tc>
          <w:tcPr>
            <w:tcW w:w="636" w:type="dxa"/>
          </w:tcPr>
          <w:p w14:paraId="6CEE729F" w14:textId="77777777" w:rsidR="004B4E35" w:rsidRPr="00405303" w:rsidRDefault="009E6F82" w:rsidP="00C15251">
            <w:pPr>
              <w:jc w:val="both"/>
              <w:rPr>
                <w:bCs/>
                <w:color w:val="002060"/>
                <w:sz w:val="16"/>
                <w:szCs w:val="16"/>
              </w:rPr>
            </w:pPr>
            <w:r w:rsidRPr="00405303">
              <w:rPr>
                <w:bCs/>
                <w:color w:val="002060"/>
                <w:sz w:val="16"/>
                <w:szCs w:val="16"/>
              </w:rPr>
              <w:t>308</w:t>
            </w:r>
          </w:p>
        </w:tc>
      </w:tr>
      <w:tr w:rsidR="004B4E35" w:rsidRPr="00405303" w14:paraId="45EBEF62" w14:textId="77777777">
        <w:tc>
          <w:tcPr>
            <w:tcW w:w="2652" w:type="dxa"/>
          </w:tcPr>
          <w:p w14:paraId="0E1240CF" w14:textId="77777777" w:rsidR="004B4E35" w:rsidRPr="00405303" w:rsidRDefault="009E6F82" w:rsidP="00C15251">
            <w:pPr>
              <w:jc w:val="both"/>
              <w:rPr>
                <w:bCs/>
                <w:color w:val="002060"/>
                <w:sz w:val="16"/>
                <w:szCs w:val="16"/>
              </w:rPr>
            </w:pPr>
            <w:r w:rsidRPr="00405303">
              <w:rPr>
                <w:bCs/>
                <w:color w:val="002060"/>
                <w:sz w:val="16"/>
                <w:szCs w:val="16"/>
              </w:rPr>
              <w:t>Ремонт полевых зарядных ящиков</w:t>
            </w:r>
          </w:p>
        </w:tc>
        <w:tc>
          <w:tcPr>
            <w:tcW w:w="636" w:type="dxa"/>
          </w:tcPr>
          <w:p w14:paraId="6D4CFCA5" w14:textId="77777777" w:rsidR="004B4E35" w:rsidRPr="00405303" w:rsidRDefault="009E6F82" w:rsidP="00C15251">
            <w:pPr>
              <w:jc w:val="both"/>
              <w:rPr>
                <w:bCs/>
                <w:color w:val="002060"/>
                <w:sz w:val="16"/>
                <w:szCs w:val="16"/>
              </w:rPr>
            </w:pPr>
            <w:r w:rsidRPr="00405303">
              <w:rPr>
                <w:bCs/>
                <w:color w:val="002060"/>
                <w:sz w:val="16"/>
                <w:szCs w:val="16"/>
              </w:rPr>
              <w:t>—</w:t>
            </w:r>
          </w:p>
        </w:tc>
        <w:tc>
          <w:tcPr>
            <w:tcW w:w="660" w:type="dxa"/>
          </w:tcPr>
          <w:p w14:paraId="3D852FAA" w14:textId="77777777" w:rsidR="004B4E35" w:rsidRPr="00405303" w:rsidRDefault="009E6F82" w:rsidP="00C15251">
            <w:pPr>
              <w:jc w:val="both"/>
              <w:rPr>
                <w:bCs/>
                <w:color w:val="002060"/>
                <w:sz w:val="16"/>
                <w:szCs w:val="16"/>
              </w:rPr>
            </w:pPr>
            <w:r w:rsidRPr="00405303">
              <w:rPr>
                <w:bCs/>
                <w:color w:val="002060"/>
                <w:sz w:val="16"/>
                <w:szCs w:val="16"/>
              </w:rPr>
              <w:t>560</w:t>
            </w:r>
          </w:p>
        </w:tc>
        <w:tc>
          <w:tcPr>
            <w:tcW w:w="636" w:type="dxa"/>
          </w:tcPr>
          <w:p w14:paraId="398271FD" w14:textId="77777777" w:rsidR="004B4E35" w:rsidRPr="00405303" w:rsidRDefault="009E6F82" w:rsidP="00C15251">
            <w:pPr>
              <w:jc w:val="both"/>
              <w:rPr>
                <w:bCs/>
                <w:color w:val="002060"/>
                <w:sz w:val="16"/>
                <w:szCs w:val="16"/>
              </w:rPr>
            </w:pPr>
            <w:r w:rsidRPr="00405303">
              <w:rPr>
                <w:bCs/>
                <w:color w:val="002060"/>
                <w:sz w:val="16"/>
                <w:szCs w:val="16"/>
              </w:rPr>
              <w:t>1.495</w:t>
            </w:r>
          </w:p>
        </w:tc>
        <w:tc>
          <w:tcPr>
            <w:tcW w:w="636" w:type="dxa"/>
          </w:tcPr>
          <w:p w14:paraId="5C5BB998" w14:textId="77777777" w:rsidR="004B4E35" w:rsidRPr="00405303" w:rsidRDefault="009E6F82" w:rsidP="00C15251">
            <w:pPr>
              <w:jc w:val="both"/>
              <w:rPr>
                <w:bCs/>
                <w:color w:val="002060"/>
                <w:sz w:val="16"/>
                <w:szCs w:val="16"/>
              </w:rPr>
            </w:pPr>
            <w:r w:rsidRPr="00405303">
              <w:rPr>
                <w:bCs/>
                <w:color w:val="002060"/>
                <w:sz w:val="16"/>
                <w:szCs w:val="16"/>
              </w:rPr>
              <w:t>50</w:t>
            </w:r>
          </w:p>
        </w:tc>
      </w:tr>
      <w:tr w:rsidR="004B4E35" w:rsidRPr="00405303" w14:paraId="25878792" w14:textId="77777777">
        <w:tc>
          <w:tcPr>
            <w:tcW w:w="2652" w:type="dxa"/>
          </w:tcPr>
          <w:p w14:paraId="074B636A" w14:textId="77777777" w:rsidR="004B4E35" w:rsidRPr="00405303" w:rsidRDefault="009E6F82" w:rsidP="00C15251">
            <w:pPr>
              <w:jc w:val="both"/>
              <w:rPr>
                <w:bCs/>
                <w:color w:val="002060"/>
                <w:sz w:val="16"/>
                <w:szCs w:val="16"/>
              </w:rPr>
            </w:pPr>
            <w:r w:rsidRPr="00405303">
              <w:rPr>
                <w:bCs/>
                <w:color w:val="002060"/>
                <w:sz w:val="16"/>
                <w:szCs w:val="16"/>
              </w:rPr>
              <w:t>Изготовление колес полевых</w:t>
            </w:r>
          </w:p>
        </w:tc>
        <w:tc>
          <w:tcPr>
            <w:tcW w:w="636" w:type="dxa"/>
          </w:tcPr>
          <w:p w14:paraId="723180B1" w14:textId="77777777" w:rsidR="004B4E35" w:rsidRPr="00405303" w:rsidRDefault="009E6F82" w:rsidP="00C15251">
            <w:pPr>
              <w:jc w:val="both"/>
              <w:rPr>
                <w:bCs/>
                <w:color w:val="002060"/>
                <w:sz w:val="16"/>
                <w:szCs w:val="16"/>
              </w:rPr>
            </w:pPr>
            <w:r w:rsidRPr="00405303">
              <w:rPr>
                <w:bCs/>
                <w:color w:val="002060"/>
                <w:sz w:val="16"/>
                <w:szCs w:val="16"/>
              </w:rPr>
              <w:t>—</w:t>
            </w:r>
          </w:p>
        </w:tc>
        <w:tc>
          <w:tcPr>
            <w:tcW w:w="660" w:type="dxa"/>
          </w:tcPr>
          <w:p w14:paraId="7023066D" w14:textId="77777777" w:rsidR="004B4E35" w:rsidRPr="00405303" w:rsidRDefault="009E6F82" w:rsidP="00C15251">
            <w:pPr>
              <w:jc w:val="both"/>
              <w:rPr>
                <w:bCs/>
                <w:color w:val="002060"/>
                <w:sz w:val="16"/>
                <w:szCs w:val="16"/>
              </w:rPr>
            </w:pPr>
            <w:r w:rsidRPr="00405303">
              <w:rPr>
                <w:bCs/>
                <w:color w:val="002060"/>
                <w:sz w:val="16"/>
                <w:szCs w:val="16"/>
              </w:rPr>
              <w:t>1.650</w:t>
            </w:r>
          </w:p>
        </w:tc>
        <w:tc>
          <w:tcPr>
            <w:tcW w:w="636" w:type="dxa"/>
          </w:tcPr>
          <w:p w14:paraId="0ABA74D1" w14:textId="77777777" w:rsidR="004B4E35" w:rsidRPr="00405303" w:rsidRDefault="009E6F82" w:rsidP="00C15251">
            <w:pPr>
              <w:jc w:val="both"/>
              <w:rPr>
                <w:bCs/>
                <w:color w:val="002060"/>
                <w:sz w:val="16"/>
                <w:szCs w:val="16"/>
              </w:rPr>
            </w:pPr>
            <w:r w:rsidRPr="00405303">
              <w:rPr>
                <w:bCs/>
                <w:color w:val="002060"/>
                <w:sz w:val="16"/>
                <w:szCs w:val="16"/>
              </w:rPr>
              <w:t>2.805</w:t>
            </w:r>
          </w:p>
        </w:tc>
        <w:tc>
          <w:tcPr>
            <w:tcW w:w="636" w:type="dxa"/>
          </w:tcPr>
          <w:p w14:paraId="2E203B16" w14:textId="77777777" w:rsidR="004B4E35" w:rsidRPr="00405303" w:rsidRDefault="009E6F82" w:rsidP="00C15251">
            <w:pPr>
              <w:jc w:val="both"/>
              <w:rPr>
                <w:bCs/>
                <w:color w:val="002060"/>
                <w:sz w:val="16"/>
                <w:szCs w:val="16"/>
              </w:rPr>
            </w:pPr>
            <w:r w:rsidRPr="00405303">
              <w:rPr>
                <w:bCs/>
                <w:color w:val="002060"/>
                <w:sz w:val="16"/>
                <w:szCs w:val="16"/>
              </w:rPr>
              <w:t>180</w:t>
            </w:r>
          </w:p>
        </w:tc>
      </w:tr>
      <w:tr w:rsidR="004B4E35" w:rsidRPr="00405303" w14:paraId="744DC5B4" w14:textId="77777777">
        <w:tc>
          <w:tcPr>
            <w:tcW w:w="2652" w:type="dxa"/>
          </w:tcPr>
          <w:p w14:paraId="5B68B7F1" w14:textId="77777777" w:rsidR="004B4E35" w:rsidRPr="00405303" w:rsidRDefault="009E6F82" w:rsidP="00C15251">
            <w:pPr>
              <w:jc w:val="both"/>
              <w:rPr>
                <w:bCs/>
                <w:color w:val="002060"/>
                <w:sz w:val="16"/>
                <w:szCs w:val="16"/>
              </w:rPr>
            </w:pPr>
            <w:r w:rsidRPr="00405303">
              <w:rPr>
                <w:bCs/>
                <w:color w:val="002060"/>
                <w:sz w:val="16"/>
                <w:szCs w:val="16"/>
              </w:rPr>
              <w:t>Изготовление колес обозных</w:t>
            </w:r>
          </w:p>
        </w:tc>
        <w:tc>
          <w:tcPr>
            <w:tcW w:w="636" w:type="dxa"/>
          </w:tcPr>
          <w:p w14:paraId="5B657277" w14:textId="77777777" w:rsidR="004B4E35" w:rsidRPr="00405303" w:rsidRDefault="009E6F82" w:rsidP="00C15251">
            <w:pPr>
              <w:jc w:val="both"/>
              <w:rPr>
                <w:bCs/>
                <w:color w:val="002060"/>
                <w:sz w:val="16"/>
                <w:szCs w:val="16"/>
              </w:rPr>
            </w:pPr>
            <w:r w:rsidRPr="00405303">
              <w:rPr>
                <w:bCs/>
                <w:color w:val="002060"/>
                <w:sz w:val="16"/>
                <w:szCs w:val="16"/>
              </w:rPr>
              <w:t>—</w:t>
            </w:r>
          </w:p>
        </w:tc>
        <w:tc>
          <w:tcPr>
            <w:tcW w:w="660" w:type="dxa"/>
          </w:tcPr>
          <w:p w14:paraId="5DE517DE" w14:textId="77777777" w:rsidR="004B4E35" w:rsidRPr="00405303" w:rsidRDefault="009E6F82" w:rsidP="00C15251">
            <w:pPr>
              <w:jc w:val="both"/>
              <w:rPr>
                <w:bCs/>
                <w:color w:val="002060"/>
                <w:sz w:val="16"/>
                <w:szCs w:val="16"/>
              </w:rPr>
            </w:pPr>
            <w:r w:rsidRPr="00405303">
              <w:rPr>
                <w:bCs/>
                <w:color w:val="002060"/>
                <w:sz w:val="16"/>
                <w:szCs w:val="16"/>
              </w:rPr>
              <w:t>745</w:t>
            </w:r>
          </w:p>
        </w:tc>
        <w:tc>
          <w:tcPr>
            <w:tcW w:w="636" w:type="dxa"/>
          </w:tcPr>
          <w:p w14:paraId="38D19B48" w14:textId="77777777" w:rsidR="004B4E35" w:rsidRPr="00405303" w:rsidRDefault="009E6F82" w:rsidP="00C15251">
            <w:pPr>
              <w:jc w:val="both"/>
              <w:rPr>
                <w:bCs/>
                <w:color w:val="002060"/>
                <w:sz w:val="16"/>
                <w:szCs w:val="16"/>
              </w:rPr>
            </w:pPr>
            <w:r w:rsidRPr="00405303">
              <w:rPr>
                <w:bCs/>
                <w:color w:val="002060"/>
                <w:sz w:val="16"/>
                <w:szCs w:val="16"/>
              </w:rPr>
              <w:t>55</w:t>
            </w:r>
          </w:p>
        </w:tc>
        <w:tc>
          <w:tcPr>
            <w:tcW w:w="636" w:type="dxa"/>
          </w:tcPr>
          <w:p w14:paraId="5C3EE7C1" w14:textId="77777777" w:rsidR="004B4E35" w:rsidRPr="00405303" w:rsidRDefault="009E6F82" w:rsidP="00C15251">
            <w:pPr>
              <w:jc w:val="both"/>
              <w:rPr>
                <w:bCs/>
                <w:color w:val="002060"/>
                <w:sz w:val="16"/>
                <w:szCs w:val="16"/>
              </w:rPr>
            </w:pPr>
            <w:r w:rsidRPr="00405303">
              <w:rPr>
                <w:bCs/>
                <w:color w:val="002060"/>
                <w:sz w:val="16"/>
                <w:szCs w:val="16"/>
              </w:rPr>
              <w:t>480</w:t>
            </w:r>
          </w:p>
        </w:tc>
      </w:tr>
      <w:tr w:rsidR="004B4E35" w:rsidRPr="00405303" w14:paraId="3A08523A" w14:textId="77777777">
        <w:tc>
          <w:tcPr>
            <w:tcW w:w="2652" w:type="dxa"/>
          </w:tcPr>
          <w:p w14:paraId="66A68E7D" w14:textId="77777777" w:rsidR="004B4E35" w:rsidRPr="00405303" w:rsidRDefault="009E6F82" w:rsidP="00C15251">
            <w:pPr>
              <w:jc w:val="both"/>
              <w:rPr>
                <w:bCs/>
                <w:color w:val="002060"/>
                <w:sz w:val="16"/>
                <w:szCs w:val="16"/>
              </w:rPr>
            </w:pPr>
            <w:r w:rsidRPr="00405303">
              <w:rPr>
                <w:bCs/>
                <w:color w:val="002060"/>
                <w:sz w:val="16"/>
                <w:szCs w:val="16"/>
              </w:rPr>
              <w:t>Изготовление колес пулеметных</w:t>
            </w:r>
          </w:p>
        </w:tc>
        <w:tc>
          <w:tcPr>
            <w:tcW w:w="636" w:type="dxa"/>
          </w:tcPr>
          <w:p w14:paraId="1EB5343E" w14:textId="77777777" w:rsidR="004B4E35" w:rsidRPr="00405303" w:rsidRDefault="009E6F82" w:rsidP="00C15251">
            <w:pPr>
              <w:jc w:val="both"/>
              <w:rPr>
                <w:bCs/>
                <w:color w:val="002060"/>
                <w:sz w:val="16"/>
                <w:szCs w:val="16"/>
              </w:rPr>
            </w:pPr>
            <w:r w:rsidRPr="00405303">
              <w:rPr>
                <w:bCs/>
                <w:color w:val="002060"/>
                <w:sz w:val="16"/>
                <w:szCs w:val="16"/>
              </w:rPr>
              <w:t>2.995</w:t>
            </w:r>
          </w:p>
        </w:tc>
        <w:tc>
          <w:tcPr>
            <w:tcW w:w="660" w:type="dxa"/>
          </w:tcPr>
          <w:p w14:paraId="28A1F868" w14:textId="77777777" w:rsidR="004B4E35" w:rsidRPr="00405303" w:rsidRDefault="009E6F82" w:rsidP="00C15251">
            <w:pPr>
              <w:jc w:val="both"/>
              <w:rPr>
                <w:bCs/>
                <w:color w:val="002060"/>
                <w:sz w:val="16"/>
                <w:szCs w:val="16"/>
              </w:rPr>
            </w:pPr>
            <w:r w:rsidRPr="00405303">
              <w:rPr>
                <w:bCs/>
                <w:color w:val="002060"/>
                <w:sz w:val="16"/>
                <w:szCs w:val="16"/>
              </w:rPr>
              <w:t>1.165</w:t>
            </w:r>
          </w:p>
        </w:tc>
        <w:tc>
          <w:tcPr>
            <w:tcW w:w="636" w:type="dxa"/>
          </w:tcPr>
          <w:p w14:paraId="68C36500" w14:textId="77777777" w:rsidR="004B4E35" w:rsidRPr="00405303" w:rsidRDefault="009E6F82" w:rsidP="00C15251">
            <w:pPr>
              <w:jc w:val="both"/>
              <w:rPr>
                <w:bCs/>
                <w:color w:val="002060"/>
                <w:sz w:val="16"/>
                <w:szCs w:val="16"/>
              </w:rPr>
            </w:pPr>
            <w:r w:rsidRPr="00405303">
              <w:rPr>
                <w:bCs/>
                <w:color w:val="002060"/>
                <w:sz w:val="16"/>
                <w:szCs w:val="16"/>
              </w:rPr>
              <w:t>3.380</w:t>
            </w:r>
          </w:p>
        </w:tc>
        <w:tc>
          <w:tcPr>
            <w:tcW w:w="636" w:type="dxa"/>
          </w:tcPr>
          <w:p w14:paraId="2B06AC2F" w14:textId="77777777" w:rsidR="004B4E35" w:rsidRPr="00405303" w:rsidRDefault="009E6F82" w:rsidP="00C15251">
            <w:pPr>
              <w:jc w:val="both"/>
              <w:rPr>
                <w:bCs/>
                <w:color w:val="002060"/>
                <w:sz w:val="16"/>
                <w:szCs w:val="16"/>
              </w:rPr>
            </w:pPr>
            <w:r w:rsidRPr="00405303">
              <w:rPr>
                <w:bCs/>
                <w:color w:val="002060"/>
                <w:sz w:val="16"/>
                <w:szCs w:val="16"/>
              </w:rPr>
              <w:t>1.130</w:t>
            </w:r>
          </w:p>
        </w:tc>
      </w:tr>
      <w:tr w:rsidR="004B4E35" w:rsidRPr="00405303" w14:paraId="3E5DD107" w14:textId="77777777">
        <w:tc>
          <w:tcPr>
            <w:tcW w:w="2652" w:type="dxa"/>
          </w:tcPr>
          <w:p w14:paraId="6C475C06" w14:textId="77777777" w:rsidR="004B4E35" w:rsidRPr="00405303" w:rsidRDefault="009E6F82" w:rsidP="00C15251">
            <w:pPr>
              <w:jc w:val="both"/>
              <w:rPr>
                <w:bCs/>
                <w:color w:val="002060"/>
                <w:sz w:val="16"/>
                <w:szCs w:val="16"/>
              </w:rPr>
            </w:pPr>
            <w:r w:rsidRPr="00405303">
              <w:rPr>
                <w:bCs/>
                <w:color w:val="002060"/>
                <w:sz w:val="16"/>
                <w:szCs w:val="16"/>
              </w:rPr>
              <w:t>Ремонт колес</w:t>
            </w:r>
          </w:p>
        </w:tc>
        <w:tc>
          <w:tcPr>
            <w:tcW w:w="636" w:type="dxa"/>
          </w:tcPr>
          <w:p w14:paraId="08A25409" w14:textId="77777777" w:rsidR="004B4E35" w:rsidRPr="00405303" w:rsidRDefault="009E6F82" w:rsidP="00C15251">
            <w:pPr>
              <w:jc w:val="both"/>
              <w:rPr>
                <w:bCs/>
                <w:color w:val="002060"/>
                <w:sz w:val="16"/>
                <w:szCs w:val="16"/>
              </w:rPr>
            </w:pPr>
            <w:r w:rsidRPr="00405303">
              <w:rPr>
                <w:bCs/>
                <w:color w:val="002060"/>
                <w:sz w:val="16"/>
                <w:szCs w:val="16"/>
              </w:rPr>
              <w:t>—</w:t>
            </w:r>
          </w:p>
        </w:tc>
        <w:tc>
          <w:tcPr>
            <w:tcW w:w="660" w:type="dxa"/>
          </w:tcPr>
          <w:p w14:paraId="567E8881" w14:textId="77777777" w:rsidR="004B4E35" w:rsidRPr="00405303" w:rsidRDefault="009E6F82" w:rsidP="00C15251">
            <w:pPr>
              <w:jc w:val="both"/>
              <w:rPr>
                <w:bCs/>
                <w:color w:val="002060"/>
                <w:sz w:val="16"/>
                <w:szCs w:val="16"/>
              </w:rPr>
            </w:pPr>
            <w:r w:rsidRPr="00405303">
              <w:rPr>
                <w:bCs/>
                <w:color w:val="002060"/>
                <w:sz w:val="16"/>
                <w:szCs w:val="16"/>
              </w:rPr>
              <w:t>910</w:t>
            </w:r>
          </w:p>
        </w:tc>
        <w:tc>
          <w:tcPr>
            <w:tcW w:w="636" w:type="dxa"/>
          </w:tcPr>
          <w:p w14:paraId="4F478F49" w14:textId="77777777" w:rsidR="004B4E35" w:rsidRPr="00405303" w:rsidRDefault="009E6F82" w:rsidP="00C15251">
            <w:pPr>
              <w:jc w:val="both"/>
              <w:rPr>
                <w:bCs/>
                <w:color w:val="002060"/>
                <w:sz w:val="16"/>
                <w:szCs w:val="16"/>
              </w:rPr>
            </w:pPr>
            <w:r w:rsidRPr="00405303">
              <w:rPr>
                <w:bCs/>
                <w:color w:val="002060"/>
                <w:sz w:val="16"/>
                <w:szCs w:val="16"/>
              </w:rPr>
              <w:t>460</w:t>
            </w:r>
          </w:p>
        </w:tc>
        <w:tc>
          <w:tcPr>
            <w:tcW w:w="636" w:type="dxa"/>
          </w:tcPr>
          <w:p w14:paraId="0750B5DF" w14:textId="77777777" w:rsidR="004B4E35" w:rsidRPr="00405303" w:rsidRDefault="009E6F82" w:rsidP="00C15251">
            <w:pPr>
              <w:jc w:val="both"/>
              <w:rPr>
                <w:bCs/>
                <w:color w:val="002060"/>
                <w:sz w:val="16"/>
                <w:szCs w:val="16"/>
              </w:rPr>
            </w:pPr>
            <w:r w:rsidRPr="00405303">
              <w:rPr>
                <w:bCs/>
                <w:color w:val="002060"/>
                <w:sz w:val="16"/>
                <w:szCs w:val="16"/>
              </w:rPr>
              <w:t>950</w:t>
            </w:r>
          </w:p>
        </w:tc>
      </w:tr>
      <w:tr w:rsidR="004B4E35" w:rsidRPr="00405303" w14:paraId="75E54D61" w14:textId="77777777">
        <w:tc>
          <w:tcPr>
            <w:tcW w:w="2652" w:type="dxa"/>
          </w:tcPr>
          <w:p w14:paraId="3028C90B" w14:textId="77777777" w:rsidR="004B4E35" w:rsidRPr="00405303" w:rsidRDefault="009E6F82" w:rsidP="00C15251">
            <w:pPr>
              <w:jc w:val="both"/>
              <w:rPr>
                <w:bCs/>
                <w:color w:val="002060"/>
                <w:sz w:val="16"/>
                <w:szCs w:val="16"/>
              </w:rPr>
            </w:pPr>
            <w:r w:rsidRPr="00405303">
              <w:rPr>
                <w:bCs/>
                <w:color w:val="002060"/>
                <w:sz w:val="16"/>
                <w:szCs w:val="16"/>
              </w:rPr>
              <w:t>Ремонт лафетов</w:t>
            </w:r>
          </w:p>
        </w:tc>
        <w:tc>
          <w:tcPr>
            <w:tcW w:w="636" w:type="dxa"/>
          </w:tcPr>
          <w:p w14:paraId="27B57A1F" w14:textId="77777777" w:rsidR="004B4E35" w:rsidRPr="00405303" w:rsidRDefault="009E6F82" w:rsidP="00C15251">
            <w:pPr>
              <w:jc w:val="both"/>
              <w:rPr>
                <w:bCs/>
                <w:color w:val="002060"/>
                <w:sz w:val="16"/>
                <w:szCs w:val="16"/>
              </w:rPr>
            </w:pPr>
            <w:r w:rsidRPr="00405303">
              <w:rPr>
                <w:bCs/>
                <w:color w:val="002060"/>
                <w:sz w:val="16"/>
                <w:szCs w:val="16"/>
              </w:rPr>
              <w:t>725</w:t>
            </w:r>
          </w:p>
        </w:tc>
        <w:tc>
          <w:tcPr>
            <w:tcW w:w="660" w:type="dxa"/>
          </w:tcPr>
          <w:p w14:paraId="781AC9E8" w14:textId="77777777" w:rsidR="004B4E35" w:rsidRPr="00405303" w:rsidRDefault="009E6F82" w:rsidP="00C15251">
            <w:pPr>
              <w:jc w:val="both"/>
              <w:rPr>
                <w:bCs/>
                <w:color w:val="002060"/>
                <w:sz w:val="16"/>
                <w:szCs w:val="16"/>
              </w:rPr>
            </w:pPr>
            <w:r w:rsidRPr="00405303">
              <w:rPr>
                <w:bCs/>
                <w:color w:val="002060"/>
                <w:sz w:val="16"/>
                <w:szCs w:val="16"/>
              </w:rPr>
              <w:t>785</w:t>
            </w:r>
          </w:p>
        </w:tc>
        <w:tc>
          <w:tcPr>
            <w:tcW w:w="636" w:type="dxa"/>
          </w:tcPr>
          <w:p w14:paraId="36C0B089" w14:textId="77777777" w:rsidR="004B4E35" w:rsidRPr="00405303" w:rsidRDefault="009E6F82" w:rsidP="00C15251">
            <w:pPr>
              <w:jc w:val="both"/>
              <w:rPr>
                <w:bCs/>
                <w:color w:val="002060"/>
                <w:sz w:val="16"/>
                <w:szCs w:val="16"/>
              </w:rPr>
            </w:pPr>
            <w:r w:rsidRPr="00405303">
              <w:rPr>
                <w:bCs/>
                <w:color w:val="002060"/>
                <w:sz w:val="16"/>
                <w:szCs w:val="16"/>
              </w:rPr>
              <w:t>15</w:t>
            </w:r>
          </w:p>
        </w:tc>
        <w:tc>
          <w:tcPr>
            <w:tcW w:w="636" w:type="dxa"/>
          </w:tcPr>
          <w:p w14:paraId="194136F0" w14:textId="77777777" w:rsidR="004B4E35" w:rsidRPr="00405303" w:rsidRDefault="009E6F82" w:rsidP="00C15251">
            <w:pPr>
              <w:jc w:val="both"/>
              <w:rPr>
                <w:bCs/>
                <w:color w:val="002060"/>
                <w:sz w:val="16"/>
                <w:szCs w:val="16"/>
              </w:rPr>
            </w:pPr>
            <w:r w:rsidRPr="00405303">
              <w:rPr>
                <w:bCs/>
                <w:color w:val="002060"/>
                <w:sz w:val="16"/>
                <w:szCs w:val="16"/>
              </w:rPr>
              <w:t>215</w:t>
            </w:r>
          </w:p>
        </w:tc>
      </w:tr>
      <w:tr w:rsidR="004B4E35" w:rsidRPr="00405303" w14:paraId="069BB227" w14:textId="77777777">
        <w:tc>
          <w:tcPr>
            <w:tcW w:w="2652" w:type="dxa"/>
          </w:tcPr>
          <w:p w14:paraId="78D68B47" w14:textId="77777777" w:rsidR="004B4E35" w:rsidRPr="00405303" w:rsidRDefault="009E6F82" w:rsidP="00C15251">
            <w:pPr>
              <w:jc w:val="both"/>
              <w:rPr>
                <w:bCs/>
                <w:color w:val="002060"/>
                <w:sz w:val="16"/>
                <w:szCs w:val="16"/>
              </w:rPr>
            </w:pPr>
            <w:r w:rsidRPr="00405303">
              <w:rPr>
                <w:bCs/>
                <w:color w:val="002060"/>
                <w:sz w:val="16"/>
                <w:szCs w:val="16"/>
              </w:rPr>
              <w:t>Изготовление двуколок</w:t>
            </w:r>
          </w:p>
        </w:tc>
        <w:tc>
          <w:tcPr>
            <w:tcW w:w="636" w:type="dxa"/>
          </w:tcPr>
          <w:p w14:paraId="59AA2B89" w14:textId="77777777" w:rsidR="004B4E35" w:rsidRPr="00405303" w:rsidRDefault="009E6F82" w:rsidP="00C15251">
            <w:pPr>
              <w:jc w:val="both"/>
              <w:rPr>
                <w:bCs/>
                <w:color w:val="002060"/>
                <w:sz w:val="16"/>
                <w:szCs w:val="16"/>
              </w:rPr>
            </w:pPr>
            <w:r w:rsidRPr="00405303">
              <w:rPr>
                <w:bCs/>
                <w:color w:val="002060"/>
                <w:sz w:val="16"/>
                <w:szCs w:val="16"/>
              </w:rPr>
              <w:t>—</w:t>
            </w:r>
          </w:p>
        </w:tc>
        <w:tc>
          <w:tcPr>
            <w:tcW w:w="660" w:type="dxa"/>
          </w:tcPr>
          <w:p w14:paraId="705513A3" w14:textId="77777777" w:rsidR="004B4E35" w:rsidRPr="00405303" w:rsidRDefault="009E6F82" w:rsidP="00C15251">
            <w:pPr>
              <w:jc w:val="both"/>
              <w:rPr>
                <w:bCs/>
                <w:color w:val="002060"/>
                <w:sz w:val="16"/>
                <w:szCs w:val="16"/>
              </w:rPr>
            </w:pPr>
            <w:r w:rsidRPr="00405303">
              <w:rPr>
                <w:bCs/>
                <w:color w:val="002060"/>
                <w:sz w:val="16"/>
                <w:szCs w:val="16"/>
              </w:rPr>
              <w:t>90</w:t>
            </w:r>
          </w:p>
        </w:tc>
        <w:tc>
          <w:tcPr>
            <w:tcW w:w="636" w:type="dxa"/>
          </w:tcPr>
          <w:p w14:paraId="0ADF5180" w14:textId="77777777" w:rsidR="004B4E35" w:rsidRPr="00405303" w:rsidRDefault="009E6F82" w:rsidP="00C15251">
            <w:pPr>
              <w:jc w:val="both"/>
              <w:rPr>
                <w:bCs/>
                <w:color w:val="002060"/>
                <w:sz w:val="16"/>
                <w:szCs w:val="16"/>
              </w:rPr>
            </w:pPr>
            <w:r w:rsidRPr="00405303">
              <w:rPr>
                <w:bCs/>
                <w:color w:val="002060"/>
                <w:sz w:val="16"/>
                <w:szCs w:val="16"/>
              </w:rPr>
              <w:t>460</w:t>
            </w:r>
          </w:p>
        </w:tc>
        <w:tc>
          <w:tcPr>
            <w:tcW w:w="636" w:type="dxa"/>
          </w:tcPr>
          <w:p w14:paraId="34464396" w14:textId="77777777" w:rsidR="004B4E35" w:rsidRPr="00405303" w:rsidRDefault="009E6F82" w:rsidP="00C15251">
            <w:pPr>
              <w:jc w:val="both"/>
              <w:rPr>
                <w:bCs/>
                <w:color w:val="002060"/>
                <w:sz w:val="16"/>
                <w:szCs w:val="16"/>
              </w:rPr>
            </w:pPr>
            <w:r w:rsidRPr="00405303">
              <w:rPr>
                <w:bCs/>
                <w:color w:val="002060"/>
                <w:sz w:val="16"/>
                <w:szCs w:val="16"/>
              </w:rPr>
              <w:t>680</w:t>
            </w:r>
          </w:p>
        </w:tc>
      </w:tr>
      <w:tr w:rsidR="004B4E35" w:rsidRPr="00405303" w14:paraId="4BCAE158" w14:textId="77777777">
        <w:tc>
          <w:tcPr>
            <w:tcW w:w="2652" w:type="dxa"/>
          </w:tcPr>
          <w:p w14:paraId="1E0E41C9" w14:textId="77777777" w:rsidR="004B4E35" w:rsidRPr="00405303" w:rsidRDefault="009E6F82" w:rsidP="00C15251">
            <w:pPr>
              <w:jc w:val="both"/>
              <w:rPr>
                <w:bCs/>
                <w:color w:val="002060"/>
                <w:sz w:val="16"/>
                <w:szCs w:val="16"/>
              </w:rPr>
            </w:pPr>
            <w:r w:rsidRPr="00405303">
              <w:rPr>
                <w:bCs/>
                <w:color w:val="002060"/>
                <w:sz w:val="16"/>
                <w:szCs w:val="16"/>
              </w:rPr>
              <w:t>Изготовление ящиков для патронных лент</w:t>
            </w:r>
          </w:p>
        </w:tc>
        <w:tc>
          <w:tcPr>
            <w:tcW w:w="636" w:type="dxa"/>
          </w:tcPr>
          <w:p w14:paraId="23FE77AA" w14:textId="77777777" w:rsidR="004B4E35" w:rsidRPr="00405303" w:rsidRDefault="009E6F82" w:rsidP="00C15251">
            <w:pPr>
              <w:jc w:val="both"/>
              <w:rPr>
                <w:bCs/>
                <w:color w:val="002060"/>
                <w:sz w:val="16"/>
                <w:szCs w:val="16"/>
              </w:rPr>
            </w:pPr>
            <w:r w:rsidRPr="00405303">
              <w:rPr>
                <w:bCs/>
                <w:color w:val="002060"/>
                <w:sz w:val="16"/>
                <w:szCs w:val="16"/>
              </w:rPr>
              <w:t>6.000</w:t>
            </w:r>
          </w:p>
        </w:tc>
        <w:tc>
          <w:tcPr>
            <w:tcW w:w="660" w:type="dxa"/>
          </w:tcPr>
          <w:p w14:paraId="74417EB6" w14:textId="77777777" w:rsidR="004B4E35" w:rsidRPr="00405303" w:rsidRDefault="009E6F82" w:rsidP="00C15251">
            <w:pPr>
              <w:jc w:val="both"/>
              <w:rPr>
                <w:bCs/>
                <w:color w:val="002060"/>
                <w:sz w:val="16"/>
                <w:szCs w:val="16"/>
              </w:rPr>
            </w:pPr>
            <w:r w:rsidRPr="00405303">
              <w:rPr>
                <w:bCs/>
                <w:color w:val="002060"/>
                <w:sz w:val="16"/>
                <w:szCs w:val="16"/>
              </w:rPr>
              <w:t>10.000</w:t>
            </w:r>
          </w:p>
        </w:tc>
        <w:tc>
          <w:tcPr>
            <w:tcW w:w="636" w:type="dxa"/>
          </w:tcPr>
          <w:p w14:paraId="0FA6F0AD" w14:textId="77777777" w:rsidR="004B4E35" w:rsidRPr="00405303" w:rsidRDefault="009E6F82" w:rsidP="00C15251">
            <w:pPr>
              <w:jc w:val="both"/>
              <w:rPr>
                <w:bCs/>
                <w:color w:val="002060"/>
                <w:sz w:val="16"/>
                <w:szCs w:val="16"/>
              </w:rPr>
            </w:pPr>
            <w:r w:rsidRPr="00405303">
              <w:rPr>
                <w:bCs/>
                <w:color w:val="002060"/>
                <w:sz w:val="16"/>
                <w:szCs w:val="16"/>
              </w:rPr>
              <w:t>6.970</w:t>
            </w:r>
          </w:p>
        </w:tc>
        <w:tc>
          <w:tcPr>
            <w:tcW w:w="636" w:type="dxa"/>
          </w:tcPr>
          <w:p w14:paraId="126BC756" w14:textId="77777777" w:rsidR="004B4E35" w:rsidRPr="00405303" w:rsidRDefault="009E6F82" w:rsidP="00C15251">
            <w:pPr>
              <w:jc w:val="both"/>
              <w:rPr>
                <w:bCs/>
                <w:color w:val="002060"/>
                <w:sz w:val="16"/>
                <w:szCs w:val="16"/>
              </w:rPr>
            </w:pPr>
            <w:r w:rsidRPr="00405303">
              <w:rPr>
                <w:bCs/>
                <w:color w:val="002060"/>
                <w:sz w:val="16"/>
                <w:szCs w:val="16"/>
              </w:rPr>
              <w:t>10.815</w:t>
            </w:r>
          </w:p>
        </w:tc>
      </w:tr>
      <w:tr w:rsidR="004B4E35" w:rsidRPr="00405303" w14:paraId="55821C34" w14:textId="77777777">
        <w:tc>
          <w:tcPr>
            <w:tcW w:w="2652" w:type="dxa"/>
          </w:tcPr>
          <w:p w14:paraId="4133C22A" w14:textId="77777777" w:rsidR="004B4E35" w:rsidRPr="00405303" w:rsidRDefault="009E6F82" w:rsidP="00C15251">
            <w:pPr>
              <w:jc w:val="both"/>
              <w:rPr>
                <w:bCs/>
                <w:color w:val="002060"/>
                <w:sz w:val="16"/>
                <w:szCs w:val="16"/>
              </w:rPr>
            </w:pPr>
            <w:r w:rsidRPr="00405303">
              <w:rPr>
                <w:bCs/>
                <w:color w:val="002060"/>
                <w:sz w:val="16"/>
                <w:szCs w:val="16"/>
              </w:rPr>
              <w:t>Изготовление ящиков для панорам</w:t>
            </w:r>
          </w:p>
        </w:tc>
        <w:tc>
          <w:tcPr>
            <w:tcW w:w="636" w:type="dxa"/>
          </w:tcPr>
          <w:p w14:paraId="79AC8CE3" w14:textId="77777777" w:rsidR="004B4E35" w:rsidRPr="00405303" w:rsidRDefault="009E6F82" w:rsidP="00C15251">
            <w:pPr>
              <w:jc w:val="both"/>
              <w:rPr>
                <w:bCs/>
                <w:color w:val="002060"/>
                <w:sz w:val="16"/>
                <w:szCs w:val="16"/>
              </w:rPr>
            </w:pPr>
            <w:r w:rsidRPr="00405303">
              <w:rPr>
                <w:bCs/>
                <w:color w:val="002060"/>
                <w:sz w:val="16"/>
                <w:szCs w:val="16"/>
              </w:rPr>
              <w:t>2.500</w:t>
            </w:r>
          </w:p>
        </w:tc>
        <w:tc>
          <w:tcPr>
            <w:tcW w:w="660" w:type="dxa"/>
          </w:tcPr>
          <w:p w14:paraId="6BA5D32D" w14:textId="77777777" w:rsidR="004B4E35" w:rsidRPr="00405303" w:rsidRDefault="009E6F82" w:rsidP="00C15251">
            <w:pPr>
              <w:jc w:val="both"/>
              <w:rPr>
                <w:bCs/>
                <w:color w:val="002060"/>
                <w:sz w:val="16"/>
                <w:szCs w:val="16"/>
              </w:rPr>
            </w:pPr>
            <w:r w:rsidRPr="00405303">
              <w:rPr>
                <w:bCs/>
                <w:color w:val="002060"/>
                <w:sz w:val="16"/>
                <w:szCs w:val="16"/>
              </w:rPr>
              <w:t>2.500</w:t>
            </w:r>
          </w:p>
        </w:tc>
        <w:tc>
          <w:tcPr>
            <w:tcW w:w="636" w:type="dxa"/>
          </w:tcPr>
          <w:p w14:paraId="53A36925" w14:textId="77777777" w:rsidR="004B4E35" w:rsidRPr="00405303" w:rsidRDefault="009E6F82" w:rsidP="00C15251">
            <w:pPr>
              <w:jc w:val="both"/>
              <w:rPr>
                <w:bCs/>
                <w:color w:val="002060"/>
                <w:sz w:val="16"/>
                <w:szCs w:val="16"/>
              </w:rPr>
            </w:pPr>
            <w:r w:rsidRPr="00405303">
              <w:rPr>
                <w:bCs/>
                <w:color w:val="002060"/>
                <w:sz w:val="16"/>
                <w:szCs w:val="16"/>
              </w:rPr>
              <w:t>—</w:t>
            </w:r>
          </w:p>
        </w:tc>
        <w:tc>
          <w:tcPr>
            <w:tcW w:w="636" w:type="dxa"/>
          </w:tcPr>
          <w:p w14:paraId="3F059DC3"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22FC5D52" w14:textId="77777777">
        <w:tc>
          <w:tcPr>
            <w:tcW w:w="2652" w:type="dxa"/>
          </w:tcPr>
          <w:p w14:paraId="7B80D2F9" w14:textId="77777777" w:rsidR="004B4E35" w:rsidRPr="00405303" w:rsidRDefault="009E6F82" w:rsidP="00C15251">
            <w:pPr>
              <w:jc w:val="both"/>
              <w:rPr>
                <w:bCs/>
                <w:color w:val="002060"/>
                <w:sz w:val="16"/>
                <w:szCs w:val="16"/>
              </w:rPr>
            </w:pPr>
            <w:r w:rsidRPr="00405303">
              <w:rPr>
                <w:bCs/>
                <w:color w:val="002060"/>
                <w:sz w:val="16"/>
                <w:szCs w:val="16"/>
              </w:rPr>
              <w:t>Изготовление патронных вьючных ящиков для 3-дм горной артиллерии</w:t>
            </w:r>
          </w:p>
        </w:tc>
        <w:tc>
          <w:tcPr>
            <w:tcW w:w="636" w:type="dxa"/>
          </w:tcPr>
          <w:p w14:paraId="182AA3BA" w14:textId="77777777" w:rsidR="004B4E35" w:rsidRPr="00405303" w:rsidRDefault="009E6F82" w:rsidP="00C15251">
            <w:pPr>
              <w:jc w:val="both"/>
              <w:rPr>
                <w:bCs/>
                <w:color w:val="002060"/>
                <w:sz w:val="16"/>
                <w:szCs w:val="16"/>
              </w:rPr>
            </w:pPr>
            <w:r w:rsidRPr="00405303">
              <w:rPr>
                <w:bCs/>
                <w:color w:val="002060"/>
                <w:sz w:val="16"/>
                <w:szCs w:val="16"/>
              </w:rPr>
              <w:t>—</w:t>
            </w:r>
          </w:p>
        </w:tc>
        <w:tc>
          <w:tcPr>
            <w:tcW w:w="660" w:type="dxa"/>
          </w:tcPr>
          <w:p w14:paraId="36D7E76B" w14:textId="77777777" w:rsidR="004B4E35" w:rsidRPr="00405303" w:rsidRDefault="009E6F82" w:rsidP="00C15251">
            <w:pPr>
              <w:jc w:val="both"/>
              <w:rPr>
                <w:bCs/>
                <w:color w:val="002060"/>
                <w:sz w:val="16"/>
                <w:szCs w:val="16"/>
              </w:rPr>
            </w:pPr>
            <w:r w:rsidRPr="00405303">
              <w:rPr>
                <w:bCs/>
                <w:color w:val="002060"/>
                <w:sz w:val="16"/>
                <w:szCs w:val="16"/>
              </w:rPr>
              <w:t>2.400</w:t>
            </w:r>
          </w:p>
        </w:tc>
        <w:tc>
          <w:tcPr>
            <w:tcW w:w="636" w:type="dxa"/>
          </w:tcPr>
          <w:p w14:paraId="13D5CD57" w14:textId="77777777" w:rsidR="004B4E35" w:rsidRPr="00405303" w:rsidRDefault="009E6F82" w:rsidP="00C15251">
            <w:pPr>
              <w:jc w:val="both"/>
              <w:rPr>
                <w:bCs/>
                <w:color w:val="002060"/>
                <w:sz w:val="16"/>
                <w:szCs w:val="16"/>
              </w:rPr>
            </w:pPr>
            <w:r w:rsidRPr="00405303">
              <w:rPr>
                <w:bCs/>
                <w:color w:val="002060"/>
                <w:sz w:val="16"/>
                <w:szCs w:val="16"/>
              </w:rPr>
              <w:t>1.350</w:t>
            </w:r>
          </w:p>
        </w:tc>
        <w:tc>
          <w:tcPr>
            <w:tcW w:w="636" w:type="dxa"/>
          </w:tcPr>
          <w:p w14:paraId="0C333170"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618836E5" w14:textId="77777777">
        <w:tc>
          <w:tcPr>
            <w:tcW w:w="2652" w:type="dxa"/>
          </w:tcPr>
          <w:p w14:paraId="4694DF24" w14:textId="77777777" w:rsidR="004B4E35" w:rsidRPr="00405303" w:rsidRDefault="009E6F82" w:rsidP="00C15251">
            <w:pPr>
              <w:jc w:val="both"/>
              <w:rPr>
                <w:bCs/>
                <w:color w:val="002060"/>
                <w:sz w:val="16"/>
                <w:szCs w:val="16"/>
              </w:rPr>
            </w:pPr>
            <w:r w:rsidRPr="00405303">
              <w:rPr>
                <w:bCs/>
                <w:color w:val="002060"/>
                <w:sz w:val="16"/>
                <w:szCs w:val="16"/>
              </w:rPr>
              <w:t>Принадлежности</w:t>
            </w:r>
          </w:p>
        </w:tc>
        <w:tc>
          <w:tcPr>
            <w:tcW w:w="636" w:type="dxa"/>
          </w:tcPr>
          <w:p w14:paraId="58414570" w14:textId="77777777" w:rsidR="004B4E35" w:rsidRPr="00405303" w:rsidRDefault="009E6F82" w:rsidP="00C15251">
            <w:pPr>
              <w:jc w:val="both"/>
              <w:rPr>
                <w:bCs/>
                <w:color w:val="002060"/>
                <w:sz w:val="16"/>
                <w:szCs w:val="16"/>
              </w:rPr>
            </w:pPr>
            <w:r w:rsidRPr="00405303">
              <w:rPr>
                <w:bCs/>
                <w:color w:val="002060"/>
                <w:sz w:val="16"/>
                <w:szCs w:val="16"/>
              </w:rPr>
              <w:t>135</w:t>
            </w:r>
          </w:p>
        </w:tc>
        <w:tc>
          <w:tcPr>
            <w:tcW w:w="660" w:type="dxa"/>
          </w:tcPr>
          <w:p w14:paraId="5B11BFF7" w14:textId="77777777" w:rsidR="004B4E35" w:rsidRPr="00405303" w:rsidRDefault="009E6F82" w:rsidP="00C15251">
            <w:pPr>
              <w:jc w:val="both"/>
              <w:rPr>
                <w:bCs/>
                <w:color w:val="002060"/>
                <w:sz w:val="16"/>
                <w:szCs w:val="16"/>
              </w:rPr>
            </w:pPr>
            <w:r w:rsidRPr="00405303">
              <w:rPr>
                <w:bCs/>
                <w:color w:val="002060"/>
                <w:sz w:val="16"/>
                <w:szCs w:val="16"/>
              </w:rPr>
              <w:t>1.640</w:t>
            </w:r>
          </w:p>
        </w:tc>
        <w:tc>
          <w:tcPr>
            <w:tcW w:w="636" w:type="dxa"/>
          </w:tcPr>
          <w:p w14:paraId="52FE3E3F" w14:textId="77777777" w:rsidR="004B4E35" w:rsidRPr="00405303" w:rsidRDefault="009E6F82" w:rsidP="00C15251">
            <w:pPr>
              <w:jc w:val="both"/>
              <w:rPr>
                <w:bCs/>
                <w:color w:val="002060"/>
                <w:sz w:val="16"/>
                <w:szCs w:val="16"/>
              </w:rPr>
            </w:pPr>
            <w:r w:rsidRPr="00405303">
              <w:rPr>
                <w:bCs/>
                <w:color w:val="002060"/>
                <w:sz w:val="16"/>
                <w:szCs w:val="16"/>
              </w:rPr>
              <w:t>28.075</w:t>
            </w:r>
          </w:p>
        </w:tc>
        <w:tc>
          <w:tcPr>
            <w:tcW w:w="636" w:type="dxa"/>
          </w:tcPr>
          <w:p w14:paraId="7EA6D6B7" w14:textId="77777777" w:rsidR="004B4E35" w:rsidRPr="00405303" w:rsidRDefault="009E6F82" w:rsidP="00C15251">
            <w:pPr>
              <w:jc w:val="both"/>
              <w:rPr>
                <w:bCs/>
                <w:color w:val="002060"/>
                <w:sz w:val="16"/>
                <w:szCs w:val="16"/>
              </w:rPr>
            </w:pPr>
            <w:r w:rsidRPr="00405303">
              <w:rPr>
                <w:bCs/>
                <w:color w:val="002060"/>
                <w:sz w:val="16"/>
                <w:szCs w:val="16"/>
              </w:rPr>
              <w:t>20.340</w:t>
            </w:r>
          </w:p>
        </w:tc>
      </w:tr>
      <w:tr w:rsidR="004B4E35" w:rsidRPr="00405303" w14:paraId="53048C16" w14:textId="77777777">
        <w:tc>
          <w:tcPr>
            <w:tcW w:w="2652" w:type="dxa"/>
          </w:tcPr>
          <w:p w14:paraId="41AED851" w14:textId="77777777" w:rsidR="004B4E35" w:rsidRPr="00405303" w:rsidRDefault="009E6F82" w:rsidP="00C15251">
            <w:pPr>
              <w:jc w:val="both"/>
              <w:rPr>
                <w:bCs/>
                <w:color w:val="002060"/>
                <w:sz w:val="16"/>
                <w:szCs w:val="16"/>
              </w:rPr>
            </w:pPr>
            <w:r w:rsidRPr="00405303">
              <w:rPr>
                <w:bCs/>
                <w:color w:val="002060"/>
                <w:sz w:val="16"/>
                <w:szCs w:val="16"/>
              </w:rPr>
              <w:t>Запасные части</w:t>
            </w:r>
          </w:p>
        </w:tc>
        <w:tc>
          <w:tcPr>
            <w:tcW w:w="636" w:type="dxa"/>
          </w:tcPr>
          <w:p w14:paraId="6BAD6F31" w14:textId="77777777" w:rsidR="004B4E35" w:rsidRPr="00405303" w:rsidRDefault="009E6F82" w:rsidP="00C15251">
            <w:pPr>
              <w:jc w:val="both"/>
              <w:rPr>
                <w:bCs/>
                <w:color w:val="002060"/>
                <w:sz w:val="16"/>
                <w:szCs w:val="16"/>
              </w:rPr>
            </w:pPr>
            <w:r w:rsidRPr="00405303">
              <w:rPr>
                <w:bCs/>
                <w:color w:val="002060"/>
                <w:sz w:val="16"/>
                <w:szCs w:val="16"/>
              </w:rPr>
              <w:t>10.750</w:t>
            </w:r>
          </w:p>
        </w:tc>
        <w:tc>
          <w:tcPr>
            <w:tcW w:w="660" w:type="dxa"/>
          </w:tcPr>
          <w:p w14:paraId="778FADD9" w14:textId="77777777" w:rsidR="004B4E35" w:rsidRPr="00405303" w:rsidRDefault="009E6F82" w:rsidP="00C15251">
            <w:pPr>
              <w:jc w:val="both"/>
              <w:rPr>
                <w:bCs/>
                <w:color w:val="002060"/>
                <w:sz w:val="16"/>
                <w:szCs w:val="16"/>
              </w:rPr>
            </w:pPr>
            <w:r w:rsidRPr="00405303">
              <w:rPr>
                <w:bCs/>
                <w:color w:val="002060"/>
                <w:sz w:val="16"/>
                <w:szCs w:val="16"/>
              </w:rPr>
              <w:t>44.320</w:t>
            </w:r>
          </w:p>
        </w:tc>
        <w:tc>
          <w:tcPr>
            <w:tcW w:w="636" w:type="dxa"/>
          </w:tcPr>
          <w:p w14:paraId="5E0D5232" w14:textId="77777777" w:rsidR="004B4E35" w:rsidRPr="00405303" w:rsidRDefault="009E6F82" w:rsidP="00C15251">
            <w:pPr>
              <w:jc w:val="both"/>
              <w:rPr>
                <w:bCs/>
                <w:color w:val="002060"/>
                <w:sz w:val="16"/>
                <w:szCs w:val="16"/>
              </w:rPr>
            </w:pPr>
            <w:r w:rsidRPr="00405303">
              <w:rPr>
                <w:bCs/>
                <w:color w:val="002060"/>
                <w:sz w:val="16"/>
                <w:szCs w:val="16"/>
              </w:rPr>
              <w:t>26.650</w:t>
            </w:r>
          </w:p>
        </w:tc>
        <w:tc>
          <w:tcPr>
            <w:tcW w:w="636" w:type="dxa"/>
          </w:tcPr>
          <w:p w14:paraId="40172573" w14:textId="77777777" w:rsidR="004B4E35" w:rsidRPr="00405303" w:rsidRDefault="009E6F82" w:rsidP="00C15251">
            <w:pPr>
              <w:jc w:val="both"/>
              <w:rPr>
                <w:bCs/>
                <w:color w:val="002060"/>
                <w:sz w:val="16"/>
                <w:szCs w:val="16"/>
              </w:rPr>
            </w:pPr>
            <w:r w:rsidRPr="00405303">
              <w:rPr>
                <w:bCs/>
                <w:color w:val="002060"/>
                <w:sz w:val="16"/>
                <w:szCs w:val="16"/>
              </w:rPr>
              <w:t>42.620</w:t>
            </w:r>
          </w:p>
        </w:tc>
      </w:tr>
      <w:tr w:rsidR="004B4E35" w:rsidRPr="00405303" w14:paraId="6C3DF95B" w14:textId="77777777">
        <w:tc>
          <w:tcPr>
            <w:tcW w:w="2652" w:type="dxa"/>
          </w:tcPr>
          <w:p w14:paraId="707F03A0" w14:textId="77777777" w:rsidR="004B4E35" w:rsidRPr="00405303" w:rsidRDefault="009E6F82" w:rsidP="00C15251">
            <w:pPr>
              <w:jc w:val="both"/>
              <w:rPr>
                <w:bCs/>
                <w:color w:val="002060"/>
                <w:sz w:val="16"/>
                <w:szCs w:val="16"/>
              </w:rPr>
            </w:pPr>
            <w:r w:rsidRPr="00405303">
              <w:rPr>
                <w:bCs/>
                <w:color w:val="002060"/>
                <w:sz w:val="16"/>
                <w:szCs w:val="16"/>
              </w:rPr>
              <w:t>Изготовление латунных прокладок</w:t>
            </w:r>
          </w:p>
        </w:tc>
        <w:tc>
          <w:tcPr>
            <w:tcW w:w="636" w:type="dxa"/>
          </w:tcPr>
          <w:p w14:paraId="53BB16F2" w14:textId="77777777" w:rsidR="004B4E35" w:rsidRPr="00405303" w:rsidRDefault="009E6F82" w:rsidP="00C15251">
            <w:pPr>
              <w:jc w:val="both"/>
              <w:rPr>
                <w:bCs/>
                <w:color w:val="002060"/>
                <w:sz w:val="16"/>
                <w:szCs w:val="16"/>
              </w:rPr>
            </w:pPr>
            <w:r w:rsidRPr="00405303">
              <w:rPr>
                <w:bCs/>
                <w:color w:val="002060"/>
                <w:sz w:val="16"/>
                <w:szCs w:val="16"/>
              </w:rPr>
              <w:t>42</w:t>
            </w:r>
          </w:p>
        </w:tc>
        <w:tc>
          <w:tcPr>
            <w:tcW w:w="660" w:type="dxa"/>
          </w:tcPr>
          <w:p w14:paraId="4B6C2BA3" w14:textId="77777777" w:rsidR="004B4E35" w:rsidRPr="00405303" w:rsidRDefault="009E6F82" w:rsidP="00C15251">
            <w:pPr>
              <w:jc w:val="both"/>
              <w:rPr>
                <w:bCs/>
                <w:color w:val="002060"/>
                <w:sz w:val="16"/>
                <w:szCs w:val="16"/>
              </w:rPr>
            </w:pPr>
            <w:r w:rsidRPr="00405303">
              <w:rPr>
                <w:bCs/>
                <w:color w:val="002060"/>
                <w:sz w:val="16"/>
                <w:szCs w:val="16"/>
              </w:rPr>
              <w:t>—</w:t>
            </w:r>
          </w:p>
        </w:tc>
        <w:tc>
          <w:tcPr>
            <w:tcW w:w="636" w:type="dxa"/>
          </w:tcPr>
          <w:p w14:paraId="0FD2F15F" w14:textId="77777777" w:rsidR="004B4E35" w:rsidRPr="00405303" w:rsidRDefault="009E6F82" w:rsidP="00C15251">
            <w:pPr>
              <w:jc w:val="both"/>
              <w:rPr>
                <w:bCs/>
                <w:color w:val="002060"/>
                <w:sz w:val="16"/>
                <w:szCs w:val="16"/>
              </w:rPr>
            </w:pPr>
            <w:r w:rsidRPr="00405303">
              <w:rPr>
                <w:bCs/>
                <w:color w:val="002060"/>
                <w:sz w:val="16"/>
                <w:szCs w:val="16"/>
              </w:rPr>
              <w:t>—</w:t>
            </w:r>
          </w:p>
        </w:tc>
        <w:tc>
          <w:tcPr>
            <w:tcW w:w="636" w:type="dxa"/>
          </w:tcPr>
          <w:p w14:paraId="2A82853B"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6613A611" w14:textId="77777777">
        <w:tc>
          <w:tcPr>
            <w:tcW w:w="2652" w:type="dxa"/>
          </w:tcPr>
          <w:p w14:paraId="2093F87E" w14:textId="77777777" w:rsidR="004B4E35" w:rsidRPr="00405303" w:rsidRDefault="009E6F82" w:rsidP="00C15251">
            <w:pPr>
              <w:jc w:val="both"/>
              <w:rPr>
                <w:bCs/>
                <w:color w:val="002060"/>
                <w:sz w:val="16"/>
                <w:szCs w:val="16"/>
              </w:rPr>
            </w:pPr>
            <w:r w:rsidRPr="00405303">
              <w:rPr>
                <w:bCs/>
                <w:color w:val="002060"/>
                <w:sz w:val="16"/>
                <w:szCs w:val="16"/>
              </w:rPr>
              <w:t>Изготовление болтов с гайками</w:t>
            </w:r>
          </w:p>
        </w:tc>
        <w:tc>
          <w:tcPr>
            <w:tcW w:w="636" w:type="dxa"/>
          </w:tcPr>
          <w:p w14:paraId="67B0CAEB" w14:textId="77777777" w:rsidR="004B4E35" w:rsidRPr="00405303" w:rsidRDefault="009E6F82" w:rsidP="00C15251">
            <w:pPr>
              <w:jc w:val="both"/>
              <w:rPr>
                <w:bCs/>
                <w:color w:val="002060"/>
                <w:sz w:val="16"/>
                <w:szCs w:val="16"/>
              </w:rPr>
            </w:pPr>
            <w:r w:rsidRPr="00405303">
              <w:rPr>
                <w:bCs/>
                <w:color w:val="002060"/>
                <w:sz w:val="16"/>
                <w:szCs w:val="16"/>
              </w:rPr>
              <w:t>—</w:t>
            </w:r>
          </w:p>
        </w:tc>
        <w:tc>
          <w:tcPr>
            <w:tcW w:w="660" w:type="dxa"/>
          </w:tcPr>
          <w:p w14:paraId="04658EB6" w14:textId="77777777" w:rsidR="004B4E35" w:rsidRPr="00405303" w:rsidRDefault="009E6F82" w:rsidP="00C15251">
            <w:pPr>
              <w:jc w:val="both"/>
              <w:rPr>
                <w:bCs/>
                <w:color w:val="002060"/>
                <w:sz w:val="16"/>
                <w:szCs w:val="16"/>
              </w:rPr>
            </w:pPr>
            <w:r w:rsidRPr="00405303">
              <w:rPr>
                <w:bCs/>
                <w:color w:val="002060"/>
                <w:sz w:val="16"/>
                <w:szCs w:val="16"/>
              </w:rPr>
              <w:t>10.000</w:t>
            </w:r>
          </w:p>
        </w:tc>
        <w:tc>
          <w:tcPr>
            <w:tcW w:w="636" w:type="dxa"/>
          </w:tcPr>
          <w:p w14:paraId="4720A0D4" w14:textId="77777777" w:rsidR="004B4E35" w:rsidRPr="00405303" w:rsidRDefault="009E6F82" w:rsidP="00C15251">
            <w:pPr>
              <w:jc w:val="both"/>
              <w:rPr>
                <w:bCs/>
                <w:color w:val="002060"/>
                <w:sz w:val="16"/>
                <w:szCs w:val="16"/>
              </w:rPr>
            </w:pPr>
            <w:r w:rsidRPr="00405303">
              <w:rPr>
                <w:bCs/>
                <w:color w:val="002060"/>
                <w:sz w:val="16"/>
                <w:szCs w:val="16"/>
              </w:rPr>
              <w:t>—</w:t>
            </w:r>
          </w:p>
        </w:tc>
        <w:tc>
          <w:tcPr>
            <w:tcW w:w="636" w:type="dxa"/>
          </w:tcPr>
          <w:p w14:paraId="49C6AE25"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59FBC884" w14:textId="77777777">
        <w:tc>
          <w:tcPr>
            <w:tcW w:w="2652" w:type="dxa"/>
          </w:tcPr>
          <w:p w14:paraId="1AD6D835" w14:textId="77777777" w:rsidR="004B4E35" w:rsidRPr="00405303" w:rsidRDefault="009E6F82" w:rsidP="00C15251">
            <w:pPr>
              <w:jc w:val="both"/>
              <w:rPr>
                <w:bCs/>
                <w:color w:val="002060"/>
                <w:sz w:val="16"/>
                <w:szCs w:val="16"/>
              </w:rPr>
            </w:pPr>
            <w:r w:rsidRPr="00405303">
              <w:rPr>
                <w:bCs/>
                <w:color w:val="002060"/>
                <w:sz w:val="16"/>
                <w:szCs w:val="16"/>
              </w:rPr>
              <w:t>Изготовление парных повозок обр. 1884 г.</w:t>
            </w:r>
          </w:p>
        </w:tc>
        <w:tc>
          <w:tcPr>
            <w:tcW w:w="636" w:type="dxa"/>
          </w:tcPr>
          <w:p w14:paraId="3F3130A9" w14:textId="77777777" w:rsidR="004B4E35" w:rsidRPr="00405303" w:rsidRDefault="009E6F82" w:rsidP="00C15251">
            <w:pPr>
              <w:jc w:val="both"/>
              <w:rPr>
                <w:bCs/>
                <w:color w:val="002060"/>
                <w:sz w:val="16"/>
                <w:szCs w:val="16"/>
              </w:rPr>
            </w:pPr>
            <w:r w:rsidRPr="00405303">
              <w:rPr>
                <w:bCs/>
                <w:color w:val="002060"/>
                <w:sz w:val="16"/>
                <w:szCs w:val="16"/>
              </w:rPr>
              <w:t>—</w:t>
            </w:r>
          </w:p>
        </w:tc>
        <w:tc>
          <w:tcPr>
            <w:tcW w:w="660" w:type="dxa"/>
          </w:tcPr>
          <w:p w14:paraId="5D24A134" w14:textId="77777777" w:rsidR="004B4E35" w:rsidRPr="00405303" w:rsidRDefault="009E6F82" w:rsidP="00C15251">
            <w:pPr>
              <w:jc w:val="both"/>
              <w:rPr>
                <w:bCs/>
                <w:color w:val="002060"/>
                <w:sz w:val="16"/>
                <w:szCs w:val="16"/>
              </w:rPr>
            </w:pPr>
            <w:r w:rsidRPr="00405303">
              <w:rPr>
                <w:bCs/>
                <w:color w:val="002060"/>
                <w:sz w:val="16"/>
                <w:szCs w:val="16"/>
              </w:rPr>
              <w:t>180</w:t>
            </w:r>
          </w:p>
        </w:tc>
        <w:tc>
          <w:tcPr>
            <w:tcW w:w="636" w:type="dxa"/>
          </w:tcPr>
          <w:p w14:paraId="6149319D" w14:textId="77777777" w:rsidR="004B4E35" w:rsidRPr="00405303" w:rsidRDefault="009E6F82" w:rsidP="00C15251">
            <w:pPr>
              <w:jc w:val="both"/>
              <w:rPr>
                <w:bCs/>
                <w:color w:val="002060"/>
                <w:sz w:val="16"/>
                <w:szCs w:val="16"/>
              </w:rPr>
            </w:pPr>
            <w:r w:rsidRPr="00405303">
              <w:rPr>
                <w:bCs/>
                <w:color w:val="002060"/>
                <w:sz w:val="16"/>
                <w:szCs w:val="16"/>
              </w:rPr>
              <w:t>25</w:t>
            </w:r>
          </w:p>
        </w:tc>
        <w:tc>
          <w:tcPr>
            <w:tcW w:w="636" w:type="dxa"/>
          </w:tcPr>
          <w:p w14:paraId="50013930" w14:textId="77777777" w:rsidR="004B4E35" w:rsidRPr="00405303" w:rsidRDefault="009E6F82" w:rsidP="00C15251">
            <w:pPr>
              <w:jc w:val="both"/>
              <w:rPr>
                <w:bCs/>
                <w:color w:val="002060"/>
                <w:sz w:val="16"/>
                <w:szCs w:val="16"/>
              </w:rPr>
            </w:pPr>
            <w:r w:rsidRPr="00405303">
              <w:rPr>
                <w:bCs/>
                <w:color w:val="002060"/>
                <w:sz w:val="16"/>
                <w:szCs w:val="16"/>
              </w:rPr>
              <w:t>120</w:t>
            </w:r>
          </w:p>
        </w:tc>
      </w:tr>
      <w:tr w:rsidR="004B4E35" w:rsidRPr="00405303" w14:paraId="5D72F00A" w14:textId="77777777">
        <w:tc>
          <w:tcPr>
            <w:tcW w:w="2652" w:type="dxa"/>
          </w:tcPr>
          <w:p w14:paraId="2B48673E" w14:textId="77777777" w:rsidR="004B4E35" w:rsidRPr="00405303" w:rsidRDefault="009E6F82" w:rsidP="00C15251">
            <w:pPr>
              <w:jc w:val="both"/>
              <w:rPr>
                <w:bCs/>
                <w:color w:val="002060"/>
                <w:sz w:val="16"/>
                <w:szCs w:val="16"/>
              </w:rPr>
            </w:pPr>
            <w:r w:rsidRPr="00405303">
              <w:rPr>
                <w:bCs/>
                <w:color w:val="002060"/>
                <w:sz w:val="16"/>
                <w:szCs w:val="16"/>
              </w:rPr>
              <w:t>Приготовление лотков</w:t>
            </w:r>
          </w:p>
        </w:tc>
        <w:tc>
          <w:tcPr>
            <w:tcW w:w="636" w:type="dxa"/>
          </w:tcPr>
          <w:p w14:paraId="13AD6F99" w14:textId="77777777" w:rsidR="004B4E35" w:rsidRPr="00405303" w:rsidRDefault="009E6F82" w:rsidP="00C15251">
            <w:pPr>
              <w:jc w:val="both"/>
              <w:rPr>
                <w:bCs/>
                <w:color w:val="002060"/>
                <w:sz w:val="16"/>
                <w:szCs w:val="16"/>
              </w:rPr>
            </w:pPr>
            <w:r w:rsidRPr="00405303">
              <w:rPr>
                <w:bCs/>
                <w:color w:val="002060"/>
                <w:sz w:val="16"/>
                <w:szCs w:val="16"/>
              </w:rPr>
              <w:t>—</w:t>
            </w:r>
          </w:p>
        </w:tc>
        <w:tc>
          <w:tcPr>
            <w:tcW w:w="660" w:type="dxa"/>
          </w:tcPr>
          <w:p w14:paraId="7F9EEB4A" w14:textId="5AEB230C" w:rsidR="004B4E35" w:rsidRPr="00405303" w:rsidRDefault="00DB4D64" w:rsidP="00C15251">
            <w:pPr>
              <w:jc w:val="both"/>
              <w:rPr>
                <w:bCs/>
                <w:color w:val="002060"/>
                <w:sz w:val="16"/>
                <w:szCs w:val="16"/>
              </w:rPr>
            </w:pPr>
            <w:r w:rsidRPr="00405303">
              <w:rPr>
                <w:bCs/>
                <w:color w:val="002060"/>
                <w:sz w:val="16"/>
                <w:szCs w:val="16"/>
              </w:rPr>
              <w:t xml:space="preserve"> </w:t>
            </w:r>
          </w:p>
        </w:tc>
        <w:tc>
          <w:tcPr>
            <w:tcW w:w="636" w:type="dxa"/>
          </w:tcPr>
          <w:p w14:paraId="0EB56441" w14:textId="77777777" w:rsidR="004B4E35" w:rsidRPr="00405303" w:rsidRDefault="009E6F82" w:rsidP="00C15251">
            <w:pPr>
              <w:jc w:val="both"/>
              <w:rPr>
                <w:bCs/>
                <w:color w:val="002060"/>
                <w:sz w:val="16"/>
                <w:szCs w:val="16"/>
              </w:rPr>
            </w:pPr>
            <w:r w:rsidRPr="00405303">
              <w:rPr>
                <w:bCs/>
                <w:color w:val="002060"/>
                <w:sz w:val="16"/>
                <w:szCs w:val="16"/>
              </w:rPr>
              <w:t>1.690</w:t>
            </w:r>
          </w:p>
        </w:tc>
        <w:tc>
          <w:tcPr>
            <w:tcW w:w="636" w:type="dxa"/>
          </w:tcPr>
          <w:p w14:paraId="5FD3DA84"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2624A14D" w14:textId="77777777">
        <w:tc>
          <w:tcPr>
            <w:tcW w:w="2652" w:type="dxa"/>
          </w:tcPr>
          <w:p w14:paraId="1D6F93AA" w14:textId="77777777" w:rsidR="004B4E35" w:rsidRPr="00405303" w:rsidRDefault="009E6F82" w:rsidP="00C15251">
            <w:pPr>
              <w:jc w:val="both"/>
              <w:rPr>
                <w:bCs/>
                <w:color w:val="002060"/>
                <w:sz w:val="16"/>
                <w:szCs w:val="16"/>
              </w:rPr>
            </w:pPr>
            <w:r w:rsidRPr="00405303">
              <w:rPr>
                <w:bCs/>
                <w:color w:val="002060"/>
                <w:sz w:val="16"/>
                <w:szCs w:val="16"/>
              </w:rPr>
              <w:t>Изготовление цилиндров для укладки ящиков</w:t>
            </w:r>
          </w:p>
        </w:tc>
        <w:tc>
          <w:tcPr>
            <w:tcW w:w="636" w:type="dxa"/>
          </w:tcPr>
          <w:p w14:paraId="5C80A70A" w14:textId="77777777" w:rsidR="004B4E35" w:rsidRPr="00405303" w:rsidRDefault="009E6F82" w:rsidP="00C15251">
            <w:pPr>
              <w:jc w:val="both"/>
              <w:rPr>
                <w:bCs/>
                <w:color w:val="002060"/>
                <w:sz w:val="16"/>
                <w:szCs w:val="16"/>
              </w:rPr>
            </w:pPr>
            <w:r w:rsidRPr="00405303">
              <w:rPr>
                <w:bCs/>
                <w:color w:val="002060"/>
                <w:sz w:val="16"/>
                <w:szCs w:val="16"/>
              </w:rPr>
              <w:t>—</w:t>
            </w:r>
          </w:p>
        </w:tc>
        <w:tc>
          <w:tcPr>
            <w:tcW w:w="660" w:type="dxa"/>
          </w:tcPr>
          <w:p w14:paraId="4E951302" w14:textId="77777777" w:rsidR="004B4E35" w:rsidRPr="00405303" w:rsidRDefault="009E6F82" w:rsidP="00C15251">
            <w:pPr>
              <w:jc w:val="both"/>
              <w:rPr>
                <w:bCs/>
                <w:color w:val="002060"/>
                <w:sz w:val="16"/>
                <w:szCs w:val="16"/>
              </w:rPr>
            </w:pPr>
            <w:r w:rsidRPr="00405303">
              <w:rPr>
                <w:bCs/>
                <w:color w:val="002060"/>
                <w:sz w:val="16"/>
                <w:szCs w:val="16"/>
              </w:rPr>
              <w:t>—</w:t>
            </w:r>
          </w:p>
        </w:tc>
        <w:tc>
          <w:tcPr>
            <w:tcW w:w="636" w:type="dxa"/>
          </w:tcPr>
          <w:p w14:paraId="48070E8A" w14:textId="77777777" w:rsidR="004B4E35" w:rsidRPr="00405303" w:rsidRDefault="009E6F82" w:rsidP="00C15251">
            <w:pPr>
              <w:jc w:val="both"/>
              <w:rPr>
                <w:bCs/>
                <w:color w:val="002060"/>
                <w:sz w:val="16"/>
                <w:szCs w:val="16"/>
              </w:rPr>
            </w:pPr>
            <w:r w:rsidRPr="00405303">
              <w:rPr>
                <w:bCs/>
                <w:color w:val="002060"/>
                <w:sz w:val="16"/>
                <w:szCs w:val="16"/>
              </w:rPr>
              <w:t>1.915</w:t>
            </w:r>
          </w:p>
        </w:tc>
        <w:tc>
          <w:tcPr>
            <w:tcW w:w="636" w:type="dxa"/>
          </w:tcPr>
          <w:p w14:paraId="51C5A3AA" w14:textId="77777777" w:rsidR="004B4E35" w:rsidRPr="00405303" w:rsidRDefault="009E6F82" w:rsidP="00C15251">
            <w:pPr>
              <w:jc w:val="both"/>
              <w:rPr>
                <w:bCs/>
                <w:color w:val="002060"/>
                <w:sz w:val="16"/>
                <w:szCs w:val="16"/>
              </w:rPr>
            </w:pPr>
            <w:r w:rsidRPr="00405303">
              <w:rPr>
                <w:bCs/>
                <w:color w:val="002060"/>
                <w:sz w:val="16"/>
                <w:szCs w:val="16"/>
              </w:rPr>
              <w:t>1.235</w:t>
            </w:r>
          </w:p>
        </w:tc>
      </w:tr>
    </w:tbl>
    <w:p w14:paraId="664CDA11"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(11329).</w:t>
      </w:r>
    </w:p>
    <w:p w14:paraId="2D56A8E0" w14:textId="77777777" w:rsidR="004B4E35" w:rsidRPr="00405303" w:rsidRDefault="004B4E35" w:rsidP="00C15251">
      <w:pPr>
        <w:shd w:val="clear" w:color="auto" w:fill="FFFFFF"/>
        <w:jc w:val="both"/>
        <w:rPr>
          <w:bCs/>
          <w:i/>
          <w:color w:val="002060"/>
          <w:sz w:val="16"/>
          <w:szCs w:val="16"/>
        </w:rPr>
      </w:pPr>
    </w:p>
    <w:p w14:paraId="47EBED6A" w14:textId="2E81AE86" w:rsidR="004B4E35" w:rsidRPr="00405303" w:rsidRDefault="00DB5EE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С</w:t>
      </w:r>
      <w:r w:rsidR="009E6F82" w:rsidRPr="00405303">
        <w:rPr>
          <w:bCs/>
          <w:i w:val="0"/>
          <w:color w:val="002060"/>
          <w:spacing w:val="0"/>
          <w:kern w:val="0"/>
          <w:position w:val="0"/>
          <w:sz w:val="16"/>
          <w:szCs w:val="16"/>
        </w:rPr>
        <w:t xml:space="preserve"> начала 1915 г.</w:t>
      </w:r>
      <w:r w:rsidRPr="00405303">
        <w:rPr>
          <w:bCs/>
          <w:i w:val="0"/>
          <w:color w:val="002060"/>
          <w:spacing w:val="0"/>
          <w:kern w:val="0"/>
          <w:position w:val="0"/>
          <w:sz w:val="16"/>
          <w:szCs w:val="16"/>
        </w:rPr>
        <w:t xml:space="preserve"> обнаружилась острая нехватка ружейных патронов</w:t>
      </w:r>
      <w:r w:rsidR="009E6F82" w:rsidRPr="00405303">
        <w:rPr>
          <w:bCs/>
          <w:i w:val="0"/>
          <w:color w:val="002060"/>
          <w:spacing w:val="0"/>
          <w:kern w:val="0"/>
          <w:position w:val="0"/>
          <w:sz w:val="16"/>
          <w:szCs w:val="16"/>
        </w:rPr>
        <w:t xml:space="preserve">, и как только выяснилось, что размеры этой нехватки таковы, что никакое расширение наших патронных заводов покрыть ее не сможет, - а надежды на заграницу и особенно на транспорт оттуда не очень </w:t>
      </w:r>
      <w:proofErr w:type="gramStart"/>
      <w:r w:rsidR="009E6F82" w:rsidRPr="00405303">
        <w:rPr>
          <w:bCs/>
          <w:i w:val="0"/>
          <w:color w:val="002060"/>
          <w:spacing w:val="0"/>
          <w:kern w:val="0"/>
          <w:position w:val="0"/>
          <w:sz w:val="16"/>
          <w:szCs w:val="16"/>
        </w:rPr>
        <w:t>крепки,-</w:t>
      </w:r>
      <w:proofErr w:type="gramEnd"/>
      <w:r w:rsidR="009E6F82" w:rsidRPr="00405303">
        <w:rPr>
          <w:bCs/>
          <w:i w:val="0"/>
          <w:color w:val="002060"/>
          <w:spacing w:val="0"/>
          <w:kern w:val="0"/>
          <w:position w:val="0"/>
          <w:sz w:val="16"/>
          <w:szCs w:val="16"/>
        </w:rPr>
        <w:t xml:space="preserve"> ГАУ решило войти с представлением о необходимости строить новый патронный завод. И так как пределом развития производительности существовавших заводов представлялось тогда (в середине 1915 г.) 130 млн. в месяц, а заявленная в то время Ставкой ежемесячная норма была 200 млн., то производительность нового завода определялась в 70 млн. в месяц или 840 млн. в год. Разрешение постройки завода затянулось и с большим трудом было получено. Произошло это вследствие особого противодействия меднолитейного синдиката, нажавшего все пружины для того, чтобы провалить этот завод и, главным образом, не из-за патронного его отдела, а из-за меднолитейного с годовой производительностью около 1 млн. пудов латуни и около 200.000 пудов мельхиора. Вот этого отдела частные людные заводчики-монополисты никак допустить не могли. И, действительно, было им из-за чего ломать копья: сразу их грабительские цены должны были значительно упасть и им пришлось бы распрощаться с теми неслыханными барышами, которые они получали с казны на самом "законном" основании. Действительно, дело обстояло так. Частному патронному заводу казна платила за патроны по цене, средней между ценами казенных патронных заводов. И так как частный патронный завод географически и по условиям рынка находится действительно между казенными натронными заводами, то никому и в голову не могло притти оспаривать такой с виду вполне справедливый способ оплаты. На самом же деле выходило не так: в стоимости патрона главнейшую часть представляет именно самый металл, ибо стоимость механической работы патрона очень невелика (металл мягкий, пластичный, и вся работа состоит в ряде вытяжек при простых станках и очень невысоких требованиях от рабочих и инструмента); обратное явление представляет собою, например, винтовка, где стоимость материала очень невелика по сравнению со стоимостью работы (громадная точность, дорогие и сложные станки, много механической отделки, работа по очень твердому металлу, требующая искусных рабочих и особых качеств от инструмента, много калки и т. д.). А так как металл для гильз казенным заводам поставлял литейный отдел того же частного завода и к тому же и все обрезки, по условию, сдавались с казенных заводов ему же, и, конечно, за бесценок, то становится ясным, что не частный патронный завод работал по ценам якобы казенных заводов, они работали по цене частного патронного завода, устанавливавшего свою цену на медь. Вот почему и барыши его были колоссальны и почему всеми меднозаводчиками были мобилизованы все силы для провала меднолитейного отдела нового казенного патронного завода, а вместе с тем и всего завода и много энергии понадобилось, чтобы отстоять постройку его (11483).</w:t>
      </w:r>
    </w:p>
    <w:p w14:paraId="40FFD173" w14:textId="77777777" w:rsidR="004B4E35" w:rsidRPr="00405303" w:rsidRDefault="004B4E35" w:rsidP="00C15251">
      <w:pPr>
        <w:pStyle w:val="a3"/>
        <w:jc w:val="both"/>
        <w:rPr>
          <w:bCs/>
          <w:i w:val="0"/>
          <w:color w:val="002060"/>
          <w:spacing w:val="0"/>
          <w:kern w:val="0"/>
          <w:position w:val="0"/>
          <w:sz w:val="16"/>
          <w:szCs w:val="16"/>
        </w:rPr>
      </w:pPr>
    </w:p>
    <w:p w14:paraId="252D260F" w14:textId="77777777" w:rsidR="004B4E35" w:rsidRPr="00405303" w:rsidRDefault="009E6F82" w:rsidP="00C15251">
      <w:pPr>
        <w:jc w:val="both"/>
        <w:rPr>
          <w:bCs/>
          <w:color w:val="002060"/>
          <w:sz w:val="16"/>
          <w:szCs w:val="16"/>
        </w:rPr>
      </w:pPr>
      <w:r w:rsidRPr="00405303">
        <w:rPr>
          <w:bCs/>
          <w:color w:val="002060"/>
          <w:sz w:val="16"/>
          <w:szCs w:val="16"/>
        </w:rPr>
        <w:t>В начале 1915 г., в связи с колоссальным ростом потребности в порохах, по настоянию морского ведомства было решено постройку завода возобновить. Вновь командированному за границу инженеру Броунсу удалось в Америке и Англии заказать все необходимое заводу оборудование (11329).</w:t>
      </w:r>
    </w:p>
    <w:p w14:paraId="5019C472" w14:textId="77777777" w:rsidR="004B4E35" w:rsidRPr="00405303" w:rsidRDefault="004B4E35" w:rsidP="00C15251">
      <w:pPr>
        <w:jc w:val="both"/>
        <w:rPr>
          <w:bCs/>
          <w:i/>
          <w:color w:val="002060"/>
          <w:sz w:val="16"/>
          <w:szCs w:val="16"/>
        </w:rPr>
      </w:pPr>
    </w:p>
    <w:p w14:paraId="0E3C70D2" w14:textId="351EFBE6" w:rsidR="004B4E35" w:rsidRPr="00405303" w:rsidRDefault="00DB5EE2"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начале 1915 г. </w:t>
      </w:r>
      <w:r w:rsidRPr="00405303">
        <w:rPr>
          <w:bCs/>
          <w:color w:val="002060"/>
          <w:sz w:val="16"/>
          <w:szCs w:val="16"/>
        </w:rPr>
        <w:t xml:space="preserve">ГАУ </w:t>
      </w:r>
      <w:r w:rsidR="009E6F82" w:rsidRPr="00405303">
        <w:rPr>
          <w:bCs/>
          <w:color w:val="002060"/>
          <w:sz w:val="16"/>
          <w:szCs w:val="16"/>
        </w:rPr>
        <w:t>поставило вопрос перед правительством об устройстве крупного сталелитейного завода. После рассмотрения этого дела в высших инстанциях, в августе 1915 г. постройка этого завода была разрешена.</w:t>
      </w:r>
    </w:p>
    <w:p w14:paraId="3FC0E1C2" w14:textId="77777777" w:rsidR="004B4E35" w:rsidRPr="00405303" w:rsidRDefault="009E6F82" w:rsidP="00C15251">
      <w:pPr>
        <w:jc w:val="both"/>
        <w:rPr>
          <w:bCs/>
          <w:color w:val="002060"/>
          <w:sz w:val="16"/>
          <w:szCs w:val="16"/>
        </w:rPr>
      </w:pPr>
      <w:r w:rsidRPr="00405303">
        <w:rPr>
          <w:bCs/>
          <w:color w:val="002060"/>
          <w:sz w:val="16"/>
          <w:szCs w:val="16"/>
        </w:rPr>
        <w:t xml:space="preserve">Проект завода был составлен по следующему заданию (производительность в год):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04"/>
        <w:gridCol w:w="4080"/>
        <w:gridCol w:w="1584"/>
      </w:tblGrid>
      <w:tr w:rsidR="004B4E35" w:rsidRPr="00405303" w14:paraId="11F6E33C" w14:textId="77777777">
        <w:tc>
          <w:tcPr>
            <w:tcW w:w="1104" w:type="dxa"/>
          </w:tcPr>
          <w:p w14:paraId="65A1B587" w14:textId="37A51AFD" w:rsidR="004B4E35" w:rsidRPr="00405303" w:rsidRDefault="00DB4D64" w:rsidP="00C15251">
            <w:pPr>
              <w:jc w:val="both"/>
              <w:rPr>
                <w:bCs/>
                <w:color w:val="002060"/>
                <w:sz w:val="16"/>
                <w:szCs w:val="16"/>
              </w:rPr>
            </w:pPr>
            <w:r w:rsidRPr="00405303">
              <w:rPr>
                <w:bCs/>
                <w:color w:val="002060"/>
                <w:sz w:val="16"/>
                <w:szCs w:val="16"/>
              </w:rPr>
              <w:t xml:space="preserve"> </w:t>
            </w:r>
          </w:p>
        </w:tc>
        <w:tc>
          <w:tcPr>
            <w:tcW w:w="4080" w:type="dxa"/>
          </w:tcPr>
          <w:p w14:paraId="07BDE505" w14:textId="77777777" w:rsidR="004B4E35" w:rsidRPr="00405303" w:rsidRDefault="009E6F82" w:rsidP="00C15251">
            <w:pPr>
              <w:jc w:val="both"/>
              <w:rPr>
                <w:bCs/>
                <w:color w:val="002060"/>
                <w:sz w:val="16"/>
                <w:szCs w:val="16"/>
              </w:rPr>
            </w:pPr>
            <w:r w:rsidRPr="00405303">
              <w:rPr>
                <w:bCs/>
                <w:color w:val="002060"/>
                <w:sz w:val="16"/>
                <w:szCs w:val="16"/>
              </w:rPr>
              <w:t>черновых ружейных стволов</w:t>
            </w:r>
          </w:p>
        </w:tc>
        <w:tc>
          <w:tcPr>
            <w:tcW w:w="1584" w:type="dxa"/>
          </w:tcPr>
          <w:p w14:paraId="1B07B6A7" w14:textId="77777777" w:rsidR="004B4E35" w:rsidRPr="00405303" w:rsidRDefault="009E6F82" w:rsidP="00C15251">
            <w:pPr>
              <w:jc w:val="both"/>
              <w:rPr>
                <w:bCs/>
                <w:color w:val="002060"/>
                <w:sz w:val="16"/>
                <w:szCs w:val="16"/>
              </w:rPr>
            </w:pPr>
            <w:r w:rsidRPr="00405303">
              <w:rPr>
                <w:bCs/>
                <w:color w:val="002060"/>
                <w:sz w:val="16"/>
                <w:szCs w:val="16"/>
              </w:rPr>
              <w:t xml:space="preserve">1000 000 шт. </w:t>
            </w:r>
          </w:p>
        </w:tc>
      </w:tr>
      <w:tr w:rsidR="004B4E35" w:rsidRPr="00405303" w14:paraId="7FEE2A83" w14:textId="77777777">
        <w:tc>
          <w:tcPr>
            <w:tcW w:w="1104" w:type="dxa"/>
          </w:tcPr>
          <w:p w14:paraId="477841F9" w14:textId="7FDB9E5E" w:rsidR="004B4E35" w:rsidRPr="00405303" w:rsidRDefault="00DB4D64" w:rsidP="00C15251">
            <w:pPr>
              <w:jc w:val="both"/>
              <w:rPr>
                <w:bCs/>
                <w:color w:val="002060"/>
                <w:sz w:val="16"/>
                <w:szCs w:val="16"/>
              </w:rPr>
            </w:pPr>
            <w:r w:rsidRPr="00405303">
              <w:rPr>
                <w:bCs/>
                <w:color w:val="002060"/>
                <w:sz w:val="16"/>
                <w:szCs w:val="16"/>
              </w:rPr>
              <w:t xml:space="preserve"> </w:t>
            </w:r>
          </w:p>
        </w:tc>
        <w:tc>
          <w:tcPr>
            <w:tcW w:w="4080" w:type="dxa"/>
          </w:tcPr>
          <w:p w14:paraId="6B87CABE" w14:textId="77777777" w:rsidR="004B4E35" w:rsidRPr="00405303" w:rsidRDefault="009E6F82" w:rsidP="00C15251">
            <w:pPr>
              <w:jc w:val="both"/>
              <w:rPr>
                <w:bCs/>
                <w:color w:val="002060"/>
                <w:sz w:val="16"/>
                <w:szCs w:val="16"/>
              </w:rPr>
            </w:pPr>
            <w:r w:rsidRPr="00405303">
              <w:rPr>
                <w:bCs/>
                <w:color w:val="002060"/>
                <w:sz w:val="16"/>
                <w:szCs w:val="16"/>
              </w:rPr>
              <w:t>сортового материала для изготовления винтовок</w:t>
            </w:r>
          </w:p>
        </w:tc>
        <w:tc>
          <w:tcPr>
            <w:tcW w:w="1584" w:type="dxa"/>
          </w:tcPr>
          <w:p w14:paraId="5379BA55" w14:textId="77777777" w:rsidR="004B4E35" w:rsidRPr="00405303" w:rsidRDefault="009E6F82" w:rsidP="00C15251">
            <w:pPr>
              <w:jc w:val="both"/>
              <w:rPr>
                <w:bCs/>
                <w:color w:val="002060"/>
                <w:sz w:val="16"/>
                <w:szCs w:val="16"/>
              </w:rPr>
            </w:pPr>
            <w:r w:rsidRPr="00405303">
              <w:rPr>
                <w:bCs/>
                <w:color w:val="002060"/>
                <w:sz w:val="16"/>
                <w:szCs w:val="16"/>
              </w:rPr>
              <w:t xml:space="preserve">400 000 пудов </w:t>
            </w:r>
          </w:p>
        </w:tc>
      </w:tr>
      <w:tr w:rsidR="004B4E35" w:rsidRPr="00405303" w14:paraId="12C97981" w14:textId="77777777">
        <w:tc>
          <w:tcPr>
            <w:tcW w:w="1104" w:type="dxa"/>
          </w:tcPr>
          <w:p w14:paraId="6EE1E969" w14:textId="61E2DF19" w:rsidR="004B4E35" w:rsidRPr="00405303" w:rsidRDefault="00DB4D64" w:rsidP="00C15251">
            <w:pPr>
              <w:jc w:val="both"/>
              <w:rPr>
                <w:bCs/>
                <w:color w:val="002060"/>
                <w:sz w:val="16"/>
                <w:szCs w:val="16"/>
              </w:rPr>
            </w:pPr>
            <w:r w:rsidRPr="00405303">
              <w:rPr>
                <w:bCs/>
                <w:color w:val="002060"/>
                <w:sz w:val="16"/>
                <w:szCs w:val="16"/>
              </w:rPr>
              <w:t xml:space="preserve"> </w:t>
            </w:r>
          </w:p>
        </w:tc>
        <w:tc>
          <w:tcPr>
            <w:tcW w:w="4080" w:type="dxa"/>
          </w:tcPr>
          <w:p w14:paraId="6BC44ADE" w14:textId="77777777" w:rsidR="004B4E35" w:rsidRPr="00405303" w:rsidRDefault="009E6F82" w:rsidP="00C15251">
            <w:pPr>
              <w:jc w:val="both"/>
              <w:rPr>
                <w:bCs/>
                <w:color w:val="002060"/>
                <w:sz w:val="16"/>
                <w:szCs w:val="16"/>
              </w:rPr>
            </w:pPr>
            <w:r w:rsidRPr="00405303">
              <w:rPr>
                <w:bCs/>
                <w:color w:val="002060"/>
                <w:sz w:val="16"/>
                <w:szCs w:val="16"/>
              </w:rPr>
              <w:t>инструментальной стали для оружейных заводов</w:t>
            </w:r>
          </w:p>
        </w:tc>
        <w:tc>
          <w:tcPr>
            <w:tcW w:w="1584" w:type="dxa"/>
          </w:tcPr>
          <w:p w14:paraId="64790BE0" w14:textId="77777777" w:rsidR="004B4E35" w:rsidRPr="00405303" w:rsidRDefault="009E6F82" w:rsidP="00C15251">
            <w:pPr>
              <w:jc w:val="both"/>
              <w:rPr>
                <w:bCs/>
                <w:color w:val="002060"/>
                <w:sz w:val="16"/>
                <w:szCs w:val="16"/>
              </w:rPr>
            </w:pPr>
            <w:r w:rsidRPr="00405303">
              <w:rPr>
                <w:bCs/>
                <w:color w:val="002060"/>
                <w:sz w:val="16"/>
                <w:szCs w:val="16"/>
              </w:rPr>
              <w:t xml:space="preserve">180 000 пудов </w:t>
            </w:r>
          </w:p>
        </w:tc>
      </w:tr>
      <w:tr w:rsidR="004B4E35" w:rsidRPr="00405303" w14:paraId="530BC5E0" w14:textId="77777777">
        <w:tc>
          <w:tcPr>
            <w:tcW w:w="1104" w:type="dxa"/>
          </w:tcPr>
          <w:p w14:paraId="5646F745" w14:textId="21C21BF4" w:rsidR="004B4E35" w:rsidRPr="00405303" w:rsidRDefault="00DB4D64" w:rsidP="00C15251">
            <w:pPr>
              <w:jc w:val="both"/>
              <w:rPr>
                <w:bCs/>
                <w:color w:val="002060"/>
                <w:sz w:val="16"/>
                <w:szCs w:val="16"/>
              </w:rPr>
            </w:pPr>
            <w:r w:rsidRPr="00405303">
              <w:rPr>
                <w:bCs/>
                <w:color w:val="002060"/>
                <w:sz w:val="16"/>
                <w:szCs w:val="16"/>
              </w:rPr>
              <w:t xml:space="preserve"> </w:t>
            </w:r>
          </w:p>
        </w:tc>
        <w:tc>
          <w:tcPr>
            <w:tcW w:w="4080" w:type="dxa"/>
          </w:tcPr>
          <w:p w14:paraId="7B88EEC0" w14:textId="77777777" w:rsidR="004B4E35" w:rsidRPr="00405303" w:rsidRDefault="009E6F82" w:rsidP="00C15251">
            <w:pPr>
              <w:jc w:val="both"/>
              <w:rPr>
                <w:bCs/>
                <w:color w:val="002060"/>
                <w:sz w:val="16"/>
                <w:szCs w:val="16"/>
              </w:rPr>
            </w:pPr>
            <w:r w:rsidRPr="00405303">
              <w:rPr>
                <w:bCs/>
                <w:color w:val="002060"/>
                <w:sz w:val="16"/>
                <w:szCs w:val="16"/>
              </w:rPr>
              <w:t>инструментальной стали для других заводов</w:t>
            </w:r>
          </w:p>
        </w:tc>
        <w:tc>
          <w:tcPr>
            <w:tcW w:w="1584" w:type="dxa"/>
          </w:tcPr>
          <w:p w14:paraId="4F3C300A" w14:textId="77777777" w:rsidR="004B4E35" w:rsidRPr="00405303" w:rsidRDefault="009E6F82" w:rsidP="00C15251">
            <w:pPr>
              <w:jc w:val="both"/>
              <w:rPr>
                <w:bCs/>
                <w:color w:val="002060"/>
                <w:sz w:val="16"/>
                <w:szCs w:val="16"/>
              </w:rPr>
            </w:pPr>
            <w:r w:rsidRPr="00405303">
              <w:rPr>
                <w:bCs/>
                <w:color w:val="002060"/>
                <w:sz w:val="16"/>
                <w:szCs w:val="16"/>
              </w:rPr>
              <w:t xml:space="preserve">100 000 пудов </w:t>
            </w:r>
          </w:p>
        </w:tc>
      </w:tr>
      <w:tr w:rsidR="004B4E35" w:rsidRPr="00405303" w14:paraId="307B17C6" w14:textId="77777777">
        <w:tc>
          <w:tcPr>
            <w:tcW w:w="1104" w:type="dxa"/>
          </w:tcPr>
          <w:p w14:paraId="05B2FED7" w14:textId="40179B10" w:rsidR="004B4E35" w:rsidRPr="00405303" w:rsidRDefault="00DB4D64" w:rsidP="00C15251">
            <w:pPr>
              <w:jc w:val="both"/>
              <w:rPr>
                <w:bCs/>
                <w:color w:val="002060"/>
                <w:sz w:val="16"/>
                <w:szCs w:val="16"/>
              </w:rPr>
            </w:pPr>
            <w:r w:rsidRPr="00405303">
              <w:rPr>
                <w:bCs/>
                <w:color w:val="002060"/>
                <w:sz w:val="16"/>
                <w:szCs w:val="16"/>
              </w:rPr>
              <w:t xml:space="preserve"> </w:t>
            </w:r>
          </w:p>
        </w:tc>
        <w:tc>
          <w:tcPr>
            <w:tcW w:w="4080" w:type="dxa"/>
          </w:tcPr>
          <w:p w14:paraId="3EE73720" w14:textId="77777777" w:rsidR="004B4E35" w:rsidRPr="00405303" w:rsidRDefault="009E6F82" w:rsidP="00C15251">
            <w:pPr>
              <w:jc w:val="both"/>
              <w:rPr>
                <w:bCs/>
                <w:color w:val="002060"/>
                <w:sz w:val="16"/>
                <w:szCs w:val="16"/>
              </w:rPr>
            </w:pPr>
            <w:r w:rsidRPr="00405303">
              <w:rPr>
                <w:bCs/>
                <w:color w:val="002060"/>
                <w:sz w:val="16"/>
                <w:szCs w:val="16"/>
              </w:rPr>
              <w:t>стали для взрывателей</w:t>
            </w:r>
          </w:p>
        </w:tc>
        <w:tc>
          <w:tcPr>
            <w:tcW w:w="1584" w:type="dxa"/>
          </w:tcPr>
          <w:p w14:paraId="473AA93B" w14:textId="77777777" w:rsidR="004B4E35" w:rsidRPr="00405303" w:rsidRDefault="009E6F82" w:rsidP="00C15251">
            <w:pPr>
              <w:jc w:val="both"/>
              <w:rPr>
                <w:bCs/>
                <w:color w:val="002060"/>
                <w:sz w:val="16"/>
                <w:szCs w:val="16"/>
              </w:rPr>
            </w:pPr>
            <w:r w:rsidRPr="00405303">
              <w:rPr>
                <w:bCs/>
                <w:color w:val="002060"/>
                <w:sz w:val="16"/>
                <w:szCs w:val="16"/>
              </w:rPr>
              <w:t xml:space="preserve">150 000 пудов </w:t>
            </w:r>
          </w:p>
        </w:tc>
      </w:tr>
      <w:tr w:rsidR="004B4E35" w:rsidRPr="00405303" w14:paraId="3B1B5B19" w14:textId="77777777">
        <w:tc>
          <w:tcPr>
            <w:tcW w:w="1104" w:type="dxa"/>
          </w:tcPr>
          <w:p w14:paraId="7D4BCA83" w14:textId="175D95B7" w:rsidR="004B4E35" w:rsidRPr="00405303" w:rsidRDefault="00DB4D64" w:rsidP="00C15251">
            <w:pPr>
              <w:jc w:val="both"/>
              <w:rPr>
                <w:bCs/>
                <w:color w:val="002060"/>
                <w:sz w:val="16"/>
                <w:szCs w:val="16"/>
              </w:rPr>
            </w:pPr>
            <w:r w:rsidRPr="00405303">
              <w:rPr>
                <w:bCs/>
                <w:color w:val="002060"/>
                <w:sz w:val="16"/>
                <w:szCs w:val="16"/>
              </w:rPr>
              <w:t xml:space="preserve"> </w:t>
            </w:r>
          </w:p>
        </w:tc>
        <w:tc>
          <w:tcPr>
            <w:tcW w:w="4080" w:type="dxa"/>
          </w:tcPr>
          <w:p w14:paraId="5FA4FDA5" w14:textId="77777777" w:rsidR="004B4E35" w:rsidRPr="00405303" w:rsidRDefault="009E6F82" w:rsidP="00C15251">
            <w:pPr>
              <w:jc w:val="both"/>
              <w:rPr>
                <w:bCs/>
                <w:color w:val="002060"/>
                <w:sz w:val="16"/>
                <w:szCs w:val="16"/>
              </w:rPr>
            </w:pPr>
            <w:r w:rsidRPr="00405303">
              <w:rPr>
                <w:bCs/>
                <w:color w:val="002060"/>
                <w:sz w:val="16"/>
                <w:szCs w:val="16"/>
              </w:rPr>
              <w:t>ленточной стали для обойм</w:t>
            </w:r>
          </w:p>
        </w:tc>
        <w:tc>
          <w:tcPr>
            <w:tcW w:w="1584" w:type="dxa"/>
          </w:tcPr>
          <w:p w14:paraId="57A39F19" w14:textId="77777777" w:rsidR="004B4E35" w:rsidRPr="00405303" w:rsidRDefault="009E6F82" w:rsidP="00C15251">
            <w:pPr>
              <w:jc w:val="both"/>
              <w:rPr>
                <w:bCs/>
                <w:color w:val="002060"/>
                <w:sz w:val="16"/>
                <w:szCs w:val="16"/>
              </w:rPr>
            </w:pPr>
            <w:r w:rsidRPr="00405303">
              <w:rPr>
                <w:bCs/>
                <w:color w:val="002060"/>
                <w:sz w:val="16"/>
                <w:szCs w:val="16"/>
              </w:rPr>
              <w:t xml:space="preserve">60 000 пудов </w:t>
            </w:r>
          </w:p>
        </w:tc>
      </w:tr>
      <w:tr w:rsidR="004B4E35" w:rsidRPr="00405303" w14:paraId="2E3D0D50" w14:textId="77777777">
        <w:tc>
          <w:tcPr>
            <w:tcW w:w="1104" w:type="dxa"/>
          </w:tcPr>
          <w:p w14:paraId="23829FD5" w14:textId="087DA14F" w:rsidR="004B4E35" w:rsidRPr="00405303" w:rsidRDefault="00DB4D64" w:rsidP="00C15251">
            <w:pPr>
              <w:jc w:val="both"/>
              <w:rPr>
                <w:bCs/>
                <w:color w:val="002060"/>
                <w:sz w:val="16"/>
                <w:szCs w:val="16"/>
              </w:rPr>
            </w:pPr>
            <w:r w:rsidRPr="00405303">
              <w:rPr>
                <w:bCs/>
                <w:color w:val="002060"/>
                <w:sz w:val="16"/>
                <w:szCs w:val="16"/>
              </w:rPr>
              <w:t xml:space="preserve"> </w:t>
            </w:r>
          </w:p>
        </w:tc>
        <w:tc>
          <w:tcPr>
            <w:tcW w:w="4080" w:type="dxa"/>
          </w:tcPr>
          <w:p w14:paraId="653A685F" w14:textId="77777777" w:rsidR="004B4E35" w:rsidRPr="00405303" w:rsidRDefault="009E6F82" w:rsidP="00C15251">
            <w:pPr>
              <w:jc w:val="both"/>
              <w:rPr>
                <w:bCs/>
                <w:color w:val="002060"/>
                <w:sz w:val="16"/>
                <w:szCs w:val="16"/>
              </w:rPr>
            </w:pPr>
            <w:r w:rsidRPr="00405303">
              <w:rPr>
                <w:bCs/>
                <w:color w:val="002060"/>
                <w:sz w:val="16"/>
                <w:szCs w:val="16"/>
              </w:rPr>
              <w:t>пулеметных щитов</w:t>
            </w:r>
          </w:p>
        </w:tc>
        <w:tc>
          <w:tcPr>
            <w:tcW w:w="1584" w:type="dxa"/>
          </w:tcPr>
          <w:p w14:paraId="0CC2F4FC" w14:textId="77777777" w:rsidR="004B4E35" w:rsidRPr="00405303" w:rsidRDefault="009E6F82" w:rsidP="00C15251">
            <w:pPr>
              <w:jc w:val="both"/>
              <w:rPr>
                <w:bCs/>
                <w:color w:val="002060"/>
                <w:sz w:val="16"/>
                <w:szCs w:val="16"/>
              </w:rPr>
            </w:pPr>
            <w:r w:rsidRPr="00405303">
              <w:rPr>
                <w:bCs/>
                <w:color w:val="002060"/>
                <w:sz w:val="16"/>
                <w:szCs w:val="16"/>
              </w:rPr>
              <w:t xml:space="preserve">3 000 пудов </w:t>
            </w:r>
          </w:p>
        </w:tc>
      </w:tr>
      <w:tr w:rsidR="004B4E35" w:rsidRPr="00405303" w14:paraId="2CE293D0" w14:textId="77777777">
        <w:tc>
          <w:tcPr>
            <w:tcW w:w="1104" w:type="dxa"/>
          </w:tcPr>
          <w:p w14:paraId="77347E84" w14:textId="2036A3D1" w:rsidR="004B4E35" w:rsidRPr="00405303" w:rsidRDefault="00DB4D64" w:rsidP="00C15251">
            <w:pPr>
              <w:jc w:val="both"/>
              <w:rPr>
                <w:bCs/>
                <w:color w:val="002060"/>
                <w:sz w:val="16"/>
                <w:szCs w:val="16"/>
              </w:rPr>
            </w:pPr>
            <w:r w:rsidRPr="00405303">
              <w:rPr>
                <w:bCs/>
                <w:color w:val="002060"/>
                <w:sz w:val="16"/>
                <w:szCs w:val="16"/>
              </w:rPr>
              <w:t xml:space="preserve"> </w:t>
            </w:r>
          </w:p>
        </w:tc>
        <w:tc>
          <w:tcPr>
            <w:tcW w:w="4080" w:type="dxa"/>
          </w:tcPr>
          <w:p w14:paraId="33E68098" w14:textId="77777777" w:rsidR="004B4E35" w:rsidRPr="00405303" w:rsidRDefault="009E6F82" w:rsidP="00C15251">
            <w:pPr>
              <w:jc w:val="both"/>
              <w:rPr>
                <w:bCs/>
                <w:color w:val="002060"/>
                <w:sz w:val="16"/>
                <w:szCs w:val="16"/>
              </w:rPr>
            </w:pPr>
            <w:r w:rsidRPr="00405303">
              <w:rPr>
                <w:bCs/>
                <w:color w:val="002060"/>
                <w:sz w:val="16"/>
                <w:szCs w:val="16"/>
              </w:rPr>
              <w:t>щитовых листов для артиллерии</w:t>
            </w:r>
          </w:p>
        </w:tc>
        <w:tc>
          <w:tcPr>
            <w:tcW w:w="1584" w:type="dxa"/>
          </w:tcPr>
          <w:p w14:paraId="2CE01DC3" w14:textId="77777777" w:rsidR="004B4E35" w:rsidRPr="00405303" w:rsidRDefault="009E6F82" w:rsidP="00C15251">
            <w:pPr>
              <w:jc w:val="both"/>
              <w:rPr>
                <w:bCs/>
                <w:color w:val="002060"/>
                <w:sz w:val="16"/>
                <w:szCs w:val="16"/>
              </w:rPr>
            </w:pPr>
            <w:r w:rsidRPr="00405303">
              <w:rPr>
                <w:bCs/>
                <w:color w:val="002060"/>
                <w:sz w:val="16"/>
                <w:szCs w:val="16"/>
              </w:rPr>
              <w:t xml:space="preserve">10 000 шт. </w:t>
            </w:r>
          </w:p>
        </w:tc>
      </w:tr>
      <w:tr w:rsidR="004B4E35" w:rsidRPr="00405303" w14:paraId="56C01402" w14:textId="77777777">
        <w:tc>
          <w:tcPr>
            <w:tcW w:w="1104" w:type="dxa"/>
          </w:tcPr>
          <w:p w14:paraId="0B4D6177" w14:textId="42C439B1" w:rsidR="004B4E35" w:rsidRPr="00405303" w:rsidRDefault="00DB4D64" w:rsidP="00C15251">
            <w:pPr>
              <w:jc w:val="both"/>
              <w:rPr>
                <w:bCs/>
                <w:color w:val="002060"/>
                <w:sz w:val="16"/>
                <w:szCs w:val="16"/>
              </w:rPr>
            </w:pPr>
            <w:r w:rsidRPr="00405303">
              <w:rPr>
                <w:bCs/>
                <w:color w:val="002060"/>
                <w:sz w:val="16"/>
                <w:szCs w:val="16"/>
              </w:rPr>
              <w:t xml:space="preserve"> </w:t>
            </w:r>
          </w:p>
        </w:tc>
        <w:tc>
          <w:tcPr>
            <w:tcW w:w="4080" w:type="dxa"/>
          </w:tcPr>
          <w:p w14:paraId="32A0CFF9" w14:textId="77777777" w:rsidR="004B4E35" w:rsidRPr="00405303" w:rsidRDefault="009E6F82" w:rsidP="00C15251">
            <w:pPr>
              <w:jc w:val="both"/>
              <w:rPr>
                <w:bCs/>
                <w:color w:val="002060"/>
                <w:sz w:val="16"/>
                <w:szCs w:val="16"/>
              </w:rPr>
            </w:pPr>
            <w:r w:rsidRPr="00405303">
              <w:rPr>
                <w:bCs/>
                <w:color w:val="002060"/>
                <w:sz w:val="16"/>
                <w:szCs w:val="16"/>
              </w:rPr>
              <w:t>различной стали для своего завода</w:t>
            </w:r>
          </w:p>
        </w:tc>
        <w:tc>
          <w:tcPr>
            <w:tcW w:w="1584" w:type="dxa"/>
          </w:tcPr>
          <w:p w14:paraId="5E5750B5" w14:textId="77777777" w:rsidR="004B4E35" w:rsidRPr="00405303" w:rsidRDefault="009E6F82" w:rsidP="00C15251">
            <w:pPr>
              <w:jc w:val="both"/>
              <w:rPr>
                <w:bCs/>
                <w:color w:val="002060"/>
                <w:sz w:val="16"/>
                <w:szCs w:val="16"/>
              </w:rPr>
            </w:pPr>
            <w:r w:rsidRPr="00405303">
              <w:rPr>
                <w:bCs/>
                <w:color w:val="002060"/>
                <w:sz w:val="16"/>
                <w:szCs w:val="16"/>
              </w:rPr>
              <w:t xml:space="preserve">150 000 пудов </w:t>
            </w:r>
          </w:p>
        </w:tc>
      </w:tr>
      <w:tr w:rsidR="004B4E35" w:rsidRPr="00405303" w14:paraId="0F4D3C16" w14:textId="77777777">
        <w:tc>
          <w:tcPr>
            <w:tcW w:w="1104" w:type="dxa"/>
          </w:tcPr>
          <w:p w14:paraId="21CC6BEB" w14:textId="210DE007" w:rsidR="004B4E35" w:rsidRPr="00405303" w:rsidRDefault="00DB4D64" w:rsidP="00C15251">
            <w:pPr>
              <w:jc w:val="both"/>
              <w:rPr>
                <w:bCs/>
                <w:color w:val="002060"/>
                <w:sz w:val="16"/>
                <w:szCs w:val="16"/>
              </w:rPr>
            </w:pPr>
            <w:r w:rsidRPr="00405303">
              <w:rPr>
                <w:bCs/>
                <w:color w:val="002060"/>
                <w:sz w:val="16"/>
                <w:szCs w:val="16"/>
              </w:rPr>
              <w:t xml:space="preserve"> </w:t>
            </w:r>
          </w:p>
        </w:tc>
        <w:tc>
          <w:tcPr>
            <w:tcW w:w="4080" w:type="dxa"/>
          </w:tcPr>
          <w:p w14:paraId="3A54CC05" w14:textId="77777777" w:rsidR="004B4E35" w:rsidRPr="00405303" w:rsidRDefault="009E6F82" w:rsidP="00C15251">
            <w:pPr>
              <w:jc w:val="both"/>
              <w:rPr>
                <w:bCs/>
                <w:color w:val="002060"/>
                <w:sz w:val="16"/>
                <w:szCs w:val="16"/>
              </w:rPr>
            </w:pPr>
            <w:r w:rsidRPr="00405303">
              <w:rPr>
                <w:bCs/>
                <w:color w:val="002060"/>
                <w:sz w:val="16"/>
                <w:szCs w:val="16"/>
              </w:rPr>
              <w:t>3-дм фугасных снарядов</w:t>
            </w:r>
          </w:p>
        </w:tc>
        <w:tc>
          <w:tcPr>
            <w:tcW w:w="1584" w:type="dxa"/>
          </w:tcPr>
          <w:p w14:paraId="6223B7C0" w14:textId="77777777" w:rsidR="004B4E35" w:rsidRPr="00405303" w:rsidRDefault="009E6F82" w:rsidP="00C15251">
            <w:pPr>
              <w:jc w:val="both"/>
              <w:rPr>
                <w:bCs/>
                <w:color w:val="002060"/>
                <w:sz w:val="16"/>
                <w:szCs w:val="16"/>
              </w:rPr>
            </w:pPr>
            <w:r w:rsidRPr="00405303">
              <w:rPr>
                <w:bCs/>
                <w:color w:val="002060"/>
                <w:sz w:val="16"/>
                <w:szCs w:val="16"/>
              </w:rPr>
              <w:t xml:space="preserve">1000 000 шт. </w:t>
            </w:r>
          </w:p>
        </w:tc>
      </w:tr>
    </w:tbl>
    <w:p w14:paraId="2106CAB9" w14:textId="77777777" w:rsidR="004B4E35" w:rsidRPr="00405303" w:rsidRDefault="009E6F82" w:rsidP="00C15251">
      <w:pPr>
        <w:jc w:val="both"/>
        <w:rPr>
          <w:bCs/>
          <w:color w:val="002060"/>
          <w:sz w:val="16"/>
          <w:szCs w:val="16"/>
        </w:rPr>
      </w:pPr>
      <w:r w:rsidRPr="00405303">
        <w:rPr>
          <w:bCs/>
          <w:color w:val="002060"/>
          <w:sz w:val="16"/>
          <w:szCs w:val="16"/>
        </w:rPr>
        <w:t xml:space="preserve">Намечалось построить семь печей Мартена по 30 т и три электрических печи по 1,5 тонны. Годовое производство мартеновского металла — 5 млн пудов. </w:t>
      </w:r>
    </w:p>
    <w:p w14:paraId="1C9BCD90" w14:textId="77777777" w:rsidR="004B4E35" w:rsidRPr="00405303" w:rsidRDefault="009E6F82" w:rsidP="00C15251">
      <w:pPr>
        <w:jc w:val="both"/>
        <w:rPr>
          <w:bCs/>
          <w:color w:val="002060"/>
          <w:sz w:val="16"/>
          <w:szCs w:val="16"/>
        </w:rPr>
      </w:pPr>
      <w:r w:rsidRPr="00405303">
        <w:rPr>
          <w:bCs/>
          <w:color w:val="002060"/>
          <w:sz w:val="16"/>
          <w:szCs w:val="16"/>
        </w:rPr>
        <w:t xml:space="preserve">Местом для постройки завода была выбрана станция Каменская Области войска Донского. Общая площадь участка составляла 750 десятин, из коих 135 десятин — под завод непосредственно. </w:t>
      </w:r>
    </w:p>
    <w:p w14:paraId="2029C330" w14:textId="77777777" w:rsidR="004B4E35" w:rsidRPr="00405303" w:rsidRDefault="009E6F82" w:rsidP="00C15251">
      <w:pPr>
        <w:jc w:val="both"/>
        <w:rPr>
          <w:bCs/>
          <w:color w:val="002060"/>
          <w:sz w:val="16"/>
          <w:szCs w:val="16"/>
        </w:rPr>
      </w:pPr>
      <w:r w:rsidRPr="00405303">
        <w:rPr>
          <w:bCs/>
          <w:color w:val="002060"/>
          <w:sz w:val="16"/>
          <w:szCs w:val="16"/>
        </w:rPr>
        <w:t xml:space="preserve">Строительные работы начаты были в апреле 1916 г. и продолжались до октября 1917 года. </w:t>
      </w:r>
    </w:p>
    <w:p w14:paraId="7D31D2EA"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К этому последнему сроку была выполнена следующая часть работ. Под здание Мартена (площадь 1 дес.) был готов фундамент. Из трех корпусов сверлильно-токарного цеха один окончен, два доведены до крыши и один — до перемычек. Два корпуса инструментального цеха — до потолков. В механической положен цоколь и в управлении — фундамент. Прокатная и молотовая не начаты. </w:t>
      </w:r>
    </w:p>
    <w:p w14:paraId="7B7549F9" w14:textId="77777777" w:rsidR="004B4E35" w:rsidRPr="00405303" w:rsidRDefault="009E6F82" w:rsidP="00C15251">
      <w:pPr>
        <w:jc w:val="both"/>
        <w:rPr>
          <w:bCs/>
          <w:color w:val="002060"/>
          <w:sz w:val="16"/>
          <w:szCs w:val="16"/>
        </w:rPr>
      </w:pPr>
      <w:r w:rsidRPr="00405303">
        <w:rPr>
          <w:bCs/>
          <w:color w:val="002060"/>
          <w:sz w:val="16"/>
          <w:szCs w:val="16"/>
        </w:rPr>
        <w:t xml:space="preserve">Оборудование было в значительной части заказано, причем крупные заказы даны в Англии и Америке. Из заказанного получена лишь небольшая часть предметов оборудования. Строительство завода закончилось в октябре 1917 г. и в 1918 г. было совершенно ликвидировано. </w:t>
      </w:r>
    </w:p>
    <w:p w14:paraId="5DA3D61C" w14:textId="77777777" w:rsidR="004B4E35" w:rsidRPr="00405303" w:rsidRDefault="009E6F82" w:rsidP="00C15251">
      <w:pPr>
        <w:jc w:val="both"/>
        <w:rPr>
          <w:bCs/>
          <w:color w:val="002060"/>
          <w:sz w:val="16"/>
          <w:szCs w:val="16"/>
        </w:rPr>
      </w:pPr>
      <w:r w:rsidRPr="00405303">
        <w:rPr>
          <w:bCs/>
          <w:color w:val="002060"/>
          <w:sz w:val="16"/>
          <w:szCs w:val="16"/>
        </w:rPr>
        <w:t xml:space="preserve">По сметам 1916 г. стоимость постройки завода оценивалась в 49 млн рублей. </w:t>
      </w:r>
    </w:p>
    <w:p w14:paraId="7159C55D" w14:textId="77777777" w:rsidR="004B4E35" w:rsidRPr="00405303" w:rsidRDefault="009E6F82" w:rsidP="00C15251">
      <w:pPr>
        <w:jc w:val="both"/>
        <w:rPr>
          <w:bCs/>
          <w:color w:val="002060"/>
          <w:sz w:val="16"/>
          <w:szCs w:val="16"/>
        </w:rPr>
      </w:pPr>
      <w:r w:rsidRPr="00405303">
        <w:rPr>
          <w:bCs/>
          <w:color w:val="002060"/>
          <w:sz w:val="16"/>
          <w:szCs w:val="16"/>
        </w:rPr>
        <w:t xml:space="preserve">В первоначальном проекте, составленном в первые месяцы войны, имелось в виду на Каменском заводе иметь производство только 3-дм снарядов. Так как опыт мировой войны указал на очень большую потребность в снарядах тяжелой артиллерии и изготовление их не было установлено ни на одном из казенных заводов, то ГАУ признало необходимым при Каменском сталелитейном заводе организовать отдел по изготовлению снарядов среднего и крупного калибра. Основное задание этому отделу было — изготовлять в сутки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4B4E35" w:rsidRPr="00405303" w14:paraId="0ABE1917" w14:textId="77777777">
        <w:tc>
          <w:tcPr>
            <w:tcW w:w="1788" w:type="dxa"/>
          </w:tcPr>
          <w:p w14:paraId="1BF56EC8" w14:textId="77777777" w:rsidR="004B4E35" w:rsidRPr="00405303" w:rsidRDefault="009E6F82" w:rsidP="00C15251">
            <w:pPr>
              <w:jc w:val="both"/>
              <w:rPr>
                <w:bCs/>
                <w:color w:val="002060"/>
                <w:sz w:val="16"/>
                <w:szCs w:val="16"/>
              </w:rPr>
            </w:pPr>
            <w:r w:rsidRPr="00405303">
              <w:rPr>
                <w:bCs/>
                <w:color w:val="002060"/>
                <w:sz w:val="16"/>
                <w:szCs w:val="16"/>
              </w:rPr>
              <w:t>6-дм снарядов</w:t>
            </w:r>
          </w:p>
        </w:tc>
        <w:tc>
          <w:tcPr>
            <w:tcW w:w="936" w:type="dxa"/>
          </w:tcPr>
          <w:p w14:paraId="31A7BB02" w14:textId="77777777" w:rsidR="004B4E35" w:rsidRPr="00405303" w:rsidRDefault="009E6F82" w:rsidP="00C15251">
            <w:pPr>
              <w:jc w:val="both"/>
              <w:rPr>
                <w:bCs/>
                <w:color w:val="002060"/>
                <w:sz w:val="16"/>
                <w:szCs w:val="16"/>
              </w:rPr>
            </w:pPr>
            <w:r w:rsidRPr="00405303">
              <w:rPr>
                <w:bCs/>
                <w:color w:val="002060"/>
                <w:sz w:val="16"/>
                <w:szCs w:val="16"/>
              </w:rPr>
              <w:t xml:space="preserve">10000 </w:t>
            </w:r>
          </w:p>
        </w:tc>
      </w:tr>
      <w:tr w:rsidR="004B4E35" w:rsidRPr="00405303" w14:paraId="3A42A8F6" w14:textId="77777777">
        <w:tc>
          <w:tcPr>
            <w:tcW w:w="1788" w:type="dxa"/>
          </w:tcPr>
          <w:p w14:paraId="39D54745" w14:textId="77777777" w:rsidR="004B4E35" w:rsidRPr="00405303" w:rsidRDefault="009E6F82" w:rsidP="00C15251">
            <w:pPr>
              <w:jc w:val="both"/>
              <w:rPr>
                <w:bCs/>
                <w:color w:val="002060"/>
                <w:sz w:val="16"/>
                <w:szCs w:val="16"/>
              </w:rPr>
            </w:pPr>
            <w:r w:rsidRPr="00405303">
              <w:rPr>
                <w:bCs/>
                <w:color w:val="002060"/>
                <w:sz w:val="16"/>
                <w:szCs w:val="16"/>
              </w:rPr>
              <w:t>8-дм снарядов</w:t>
            </w:r>
          </w:p>
        </w:tc>
        <w:tc>
          <w:tcPr>
            <w:tcW w:w="936" w:type="dxa"/>
          </w:tcPr>
          <w:p w14:paraId="461BF995" w14:textId="77777777" w:rsidR="004B4E35" w:rsidRPr="00405303" w:rsidRDefault="009E6F82" w:rsidP="00C15251">
            <w:pPr>
              <w:jc w:val="both"/>
              <w:rPr>
                <w:bCs/>
                <w:color w:val="002060"/>
                <w:sz w:val="16"/>
                <w:szCs w:val="16"/>
              </w:rPr>
            </w:pPr>
            <w:r w:rsidRPr="00405303">
              <w:rPr>
                <w:bCs/>
                <w:color w:val="002060"/>
                <w:sz w:val="16"/>
                <w:szCs w:val="16"/>
              </w:rPr>
              <w:t xml:space="preserve">1000 </w:t>
            </w:r>
          </w:p>
        </w:tc>
      </w:tr>
      <w:tr w:rsidR="004B4E35" w:rsidRPr="00405303" w14:paraId="030D3AAB" w14:textId="77777777">
        <w:tc>
          <w:tcPr>
            <w:tcW w:w="1788" w:type="dxa"/>
          </w:tcPr>
          <w:p w14:paraId="2A58CB6C" w14:textId="77777777" w:rsidR="004B4E35" w:rsidRPr="00405303" w:rsidRDefault="009E6F82" w:rsidP="00C15251">
            <w:pPr>
              <w:jc w:val="both"/>
              <w:rPr>
                <w:bCs/>
                <w:color w:val="002060"/>
                <w:sz w:val="16"/>
                <w:szCs w:val="16"/>
              </w:rPr>
            </w:pPr>
            <w:r w:rsidRPr="00405303">
              <w:rPr>
                <w:bCs/>
                <w:color w:val="002060"/>
                <w:sz w:val="16"/>
                <w:szCs w:val="16"/>
              </w:rPr>
              <w:t>11-12-дм снарядов</w:t>
            </w:r>
          </w:p>
        </w:tc>
        <w:tc>
          <w:tcPr>
            <w:tcW w:w="936" w:type="dxa"/>
          </w:tcPr>
          <w:p w14:paraId="2B80B0D9" w14:textId="77777777" w:rsidR="004B4E35" w:rsidRPr="00405303" w:rsidRDefault="009E6F82" w:rsidP="00C15251">
            <w:pPr>
              <w:jc w:val="both"/>
              <w:rPr>
                <w:bCs/>
                <w:color w:val="002060"/>
                <w:sz w:val="16"/>
                <w:szCs w:val="16"/>
              </w:rPr>
            </w:pPr>
            <w:r w:rsidRPr="00405303">
              <w:rPr>
                <w:bCs/>
                <w:color w:val="002060"/>
                <w:sz w:val="16"/>
                <w:szCs w:val="16"/>
              </w:rPr>
              <w:t>200</w:t>
            </w:r>
          </w:p>
        </w:tc>
      </w:tr>
    </w:tbl>
    <w:p w14:paraId="2D9070B0" w14:textId="77777777" w:rsidR="004B4E35" w:rsidRPr="00405303" w:rsidRDefault="009E6F82" w:rsidP="00C15251">
      <w:pPr>
        <w:jc w:val="both"/>
        <w:rPr>
          <w:bCs/>
          <w:color w:val="002060"/>
          <w:sz w:val="16"/>
          <w:szCs w:val="16"/>
        </w:rPr>
      </w:pPr>
      <w:r w:rsidRPr="00405303">
        <w:rPr>
          <w:bCs/>
          <w:color w:val="002060"/>
          <w:sz w:val="16"/>
          <w:szCs w:val="16"/>
        </w:rPr>
        <w:t xml:space="preserve">Дополнительные расходы, вызываемые сооружением снарядного отдела, выражались в следующих цифрах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4B4E35" w:rsidRPr="00405303" w14:paraId="5E0A95E5" w14:textId="77777777">
        <w:tc>
          <w:tcPr>
            <w:tcW w:w="1788" w:type="dxa"/>
          </w:tcPr>
          <w:p w14:paraId="193FDD1E" w14:textId="77777777" w:rsidR="004B4E35" w:rsidRPr="00405303" w:rsidRDefault="009E6F82" w:rsidP="00C15251">
            <w:pPr>
              <w:jc w:val="both"/>
              <w:rPr>
                <w:bCs/>
                <w:color w:val="002060"/>
                <w:sz w:val="16"/>
                <w:szCs w:val="16"/>
              </w:rPr>
            </w:pPr>
            <w:r w:rsidRPr="00405303">
              <w:rPr>
                <w:bCs/>
                <w:color w:val="002060"/>
                <w:sz w:val="16"/>
                <w:szCs w:val="16"/>
              </w:rPr>
              <w:t>строительные работы</w:t>
            </w:r>
          </w:p>
        </w:tc>
        <w:tc>
          <w:tcPr>
            <w:tcW w:w="936" w:type="dxa"/>
          </w:tcPr>
          <w:p w14:paraId="421295D3" w14:textId="77777777" w:rsidR="004B4E35" w:rsidRPr="00405303" w:rsidRDefault="009E6F82" w:rsidP="00C15251">
            <w:pPr>
              <w:jc w:val="both"/>
              <w:rPr>
                <w:bCs/>
                <w:color w:val="002060"/>
                <w:sz w:val="16"/>
                <w:szCs w:val="16"/>
              </w:rPr>
            </w:pPr>
            <w:r w:rsidRPr="00405303">
              <w:rPr>
                <w:bCs/>
                <w:color w:val="002060"/>
                <w:sz w:val="16"/>
                <w:szCs w:val="16"/>
              </w:rPr>
              <w:t xml:space="preserve">42,5 </w:t>
            </w:r>
          </w:p>
        </w:tc>
      </w:tr>
      <w:tr w:rsidR="004B4E35" w:rsidRPr="00405303" w14:paraId="40D7A154" w14:textId="77777777">
        <w:tc>
          <w:tcPr>
            <w:tcW w:w="1788" w:type="dxa"/>
          </w:tcPr>
          <w:p w14:paraId="57254EA7" w14:textId="77777777" w:rsidR="004B4E35" w:rsidRPr="00405303" w:rsidRDefault="009E6F82" w:rsidP="00C15251">
            <w:pPr>
              <w:jc w:val="both"/>
              <w:rPr>
                <w:bCs/>
                <w:color w:val="002060"/>
                <w:sz w:val="16"/>
                <w:szCs w:val="16"/>
              </w:rPr>
            </w:pPr>
            <w:r w:rsidRPr="00405303">
              <w:rPr>
                <w:bCs/>
                <w:color w:val="002060"/>
                <w:sz w:val="16"/>
                <w:szCs w:val="16"/>
              </w:rPr>
              <w:t>механические работы</w:t>
            </w:r>
          </w:p>
        </w:tc>
        <w:tc>
          <w:tcPr>
            <w:tcW w:w="936" w:type="dxa"/>
          </w:tcPr>
          <w:p w14:paraId="4D473C0D" w14:textId="77777777" w:rsidR="004B4E35" w:rsidRPr="00405303" w:rsidRDefault="009E6F82" w:rsidP="00C15251">
            <w:pPr>
              <w:jc w:val="both"/>
              <w:rPr>
                <w:bCs/>
                <w:color w:val="002060"/>
                <w:sz w:val="16"/>
                <w:szCs w:val="16"/>
              </w:rPr>
            </w:pPr>
            <w:r w:rsidRPr="00405303">
              <w:rPr>
                <w:bCs/>
                <w:color w:val="002060"/>
                <w:sz w:val="16"/>
                <w:szCs w:val="16"/>
              </w:rPr>
              <w:t xml:space="preserve">93,5 </w:t>
            </w:r>
          </w:p>
        </w:tc>
      </w:tr>
      <w:tr w:rsidR="004B4E35" w:rsidRPr="00405303" w14:paraId="0A245E24" w14:textId="77777777">
        <w:tc>
          <w:tcPr>
            <w:tcW w:w="1788" w:type="dxa"/>
          </w:tcPr>
          <w:p w14:paraId="2B54EEDB" w14:textId="77777777" w:rsidR="004B4E35" w:rsidRPr="00405303" w:rsidRDefault="009E6F82" w:rsidP="00C15251">
            <w:pPr>
              <w:jc w:val="both"/>
              <w:rPr>
                <w:bCs/>
                <w:color w:val="002060"/>
                <w:sz w:val="16"/>
                <w:szCs w:val="16"/>
              </w:rPr>
            </w:pPr>
            <w:r w:rsidRPr="00405303">
              <w:rPr>
                <w:bCs/>
                <w:color w:val="002060"/>
                <w:sz w:val="16"/>
                <w:szCs w:val="16"/>
              </w:rPr>
              <w:t>прочие расходы</w:t>
            </w:r>
          </w:p>
        </w:tc>
        <w:tc>
          <w:tcPr>
            <w:tcW w:w="936" w:type="dxa"/>
          </w:tcPr>
          <w:p w14:paraId="745C0B24" w14:textId="77777777" w:rsidR="004B4E35" w:rsidRPr="00405303" w:rsidRDefault="009E6F82" w:rsidP="00C15251">
            <w:pPr>
              <w:jc w:val="both"/>
              <w:rPr>
                <w:bCs/>
                <w:color w:val="002060"/>
                <w:sz w:val="16"/>
                <w:szCs w:val="16"/>
              </w:rPr>
            </w:pPr>
            <w:r w:rsidRPr="00405303">
              <w:rPr>
                <w:bCs/>
                <w:color w:val="002060"/>
                <w:sz w:val="16"/>
                <w:szCs w:val="16"/>
              </w:rPr>
              <w:t xml:space="preserve">2,0 </w:t>
            </w:r>
          </w:p>
        </w:tc>
      </w:tr>
      <w:tr w:rsidR="004B4E35" w:rsidRPr="00405303" w14:paraId="5E682A45" w14:textId="77777777">
        <w:tc>
          <w:tcPr>
            <w:tcW w:w="1788" w:type="dxa"/>
          </w:tcPr>
          <w:p w14:paraId="303C3A82" w14:textId="77777777" w:rsidR="004B4E35" w:rsidRPr="00405303" w:rsidRDefault="009E6F82" w:rsidP="00C15251">
            <w:pPr>
              <w:jc w:val="both"/>
              <w:rPr>
                <w:bCs/>
                <w:color w:val="002060"/>
                <w:sz w:val="16"/>
                <w:szCs w:val="16"/>
              </w:rPr>
            </w:pPr>
            <w:r w:rsidRPr="00405303">
              <w:rPr>
                <w:bCs/>
                <w:color w:val="002060"/>
                <w:sz w:val="16"/>
                <w:szCs w:val="16"/>
              </w:rPr>
              <w:t>Итого</w:t>
            </w:r>
          </w:p>
        </w:tc>
        <w:tc>
          <w:tcPr>
            <w:tcW w:w="936" w:type="dxa"/>
          </w:tcPr>
          <w:p w14:paraId="119D663F" w14:textId="77777777" w:rsidR="004B4E35" w:rsidRPr="00405303" w:rsidRDefault="009E6F82" w:rsidP="00C15251">
            <w:pPr>
              <w:jc w:val="both"/>
              <w:rPr>
                <w:bCs/>
                <w:color w:val="002060"/>
                <w:sz w:val="16"/>
                <w:szCs w:val="16"/>
              </w:rPr>
            </w:pPr>
            <w:r w:rsidRPr="00405303">
              <w:rPr>
                <w:bCs/>
                <w:color w:val="002060"/>
                <w:sz w:val="16"/>
                <w:szCs w:val="16"/>
              </w:rPr>
              <w:t xml:space="preserve">138,0. </w:t>
            </w:r>
          </w:p>
        </w:tc>
      </w:tr>
    </w:tbl>
    <w:p w14:paraId="5D2A796C" w14:textId="77777777" w:rsidR="004B4E35" w:rsidRPr="00405303" w:rsidRDefault="009E6F82" w:rsidP="00C15251">
      <w:pPr>
        <w:jc w:val="both"/>
        <w:rPr>
          <w:bCs/>
          <w:color w:val="002060"/>
          <w:sz w:val="16"/>
          <w:szCs w:val="16"/>
        </w:rPr>
      </w:pPr>
      <w:r w:rsidRPr="00405303">
        <w:rPr>
          <w:bCs/>
          <w:color w:val="002060"/>
          <w:sz w:val="16"/>
          <w:szCs w:val="16"/>
        </w:rPr>
        <w:t xml:space="preserve">Однако к осуществлению этого дополнительного проекта приступлено не было (11329). </w:t>
      </w:r>
    </w:p>
    <w:p w14:paraId="418114B4" w14:textId="77777777" w:rsidR="004B4E35" w:rsidRPr="00405303" w:rsidRDefault="004B4E35" w:rsidP="00C15251">
      <w:pPr>
        <w:jc w:val="both"/>
        <w:rPr>
          <w:bCs/>
          <w:i/>
          <w:color w:val="002060"/>
          <w:sz w:val="16"/>
          <w:szCs w:val="16"/>
        </w:rPr>
      </w:pPr>
    </w:p>
    <w:p w14:paraId="3E95103A" w14:textId="14BB3F2A" w:rsidR="004B4E35" w:rsidRPr="00405303" w:rsidRDefault="00DB5EE2" w:rsidP="00C15251">
      <w:pPr>
        <w:jc w:val="both"/>
        <w:rPr>
          <w:bCs/>
          <w:color w:val="002060"/>
          <w:sz w:val="16"/>
          <w:szCs w:val="16"/>
        </w:rPr>
      </w:pPr>
      <w:r w:rsidRPr="00405303">
        <w:rPr>
          <w:bCs/>
          <w:color w:val="002060"/>
          <w:sz w:val="16"/>
          <w:szCs w:val="16"/>
        </w:rPr>
        <w:t>С</w:t>
      </w:r>
      <w:r w:rsidR="009E6F82" w:rsidRPr="00405303">
        <w:rPr>
          <w:bCs/>
          <w:color w:val="002060"/>
          <w:sz w:val="16"/>
          <w:szCs w:val="16"/>
        </w:rPr>
        <w:t xml:space="preserve"> началом 1915 года, когда начали разворачиваться заводы — и казенные и частные, сразу обнаружился крайне острый недостаток на военных заводах артиллерийских академиков и возникла ясная необходимость широко допустить на производство инженеров гражданских специальностей. Это и было сделано. К сожалению, эту меру пришлось осуществить наспех, без особого разбора, и потому наряду с инженерами, которые в дальнейшем заявили себя отличными работниками и сумели продвинуться на ответственные должности в артзаводах, попало немало таких, без которых можно было бы свободно обойтись и для которых заводы служили не более как местом укрытия от воинской повинности. </w:t>
      </w:r>
    </w:p>
    <w:p w14:paraId="779C4C5F" w14:textId="77777777" w:rsidR="004B4E35" w:rsidRPr="00405303" w:rsidRDefault="009E6F82" w:rsidP="00C15251">
      <w:pPr>
        <w:jc w:val="both"/>
        <w:rPr>
          <w:bCs/>
          <w:color w:val="002060"/>
          <w:sz w:val="16"/>
          <w:szCs w:val="16"/>
        </w:rPr>
      </w:pPr>
      <w:r w:rsidRPr="00405303">
        <w:rPr>
          <w:bCs/>
          <w:color w:val="002060"/>
          <w:sz w:val="16"/>
          <w:szCs w:val="16"/>
        </w:rPr>
        <w:t xml:space="preserve">Обстоятельства войны заставили также отказаться от порядка назначения на должности по чинам и старшинству. Хотя этот порядок законом отменен и не был, но А.А. Маниковский, назначенный в 1915 г. начальником ГАУ, явочным порядком упразднил его и считался при назначениях не с чинами и старшинством, а с интересами дела. </w:t>
      </w:r>
    </w:p>
    <w:p w14:paraId="422AC768" w14:textId="77777777" w:rsidR="004B4E35" w:rsidRPr="00405303" w:rsidRDefault="009E6F82" w:rsidP="00C15251">
      <w:pPr>
        <w:jc w:val="both"/>
        <w:rPr>
          <w:bCs/>
          <w:color w:val="002060"/>
          <w:sz w:val="16"/>
          <w:szCs w:val="16"/>
        </w:rPr>
      </w:pPr>
      <w:r w:rsidRPr="00405303">
        <w:rPr>
          <w:bCs/>
          <w:color w:val="002060"/>
          <w:sz w:val="16"/>
          <w:szCs w:val="16"/>
        </w:rPr>
        <w:t xml:space="preserve">Выше шла речь об инженерном составе. Кроме него, военные заводы обслуживались техниками среднего образования — питомцами военных школ, технической и пиротехнической, объединенных после в одну техническую. </w:t>
      </w:r>
    </w:p>
    <w:p w14:paraId="7E30B406" w14:textId="77777777" w:rsidR="004B4E35" w:rsidRPr="00405303" w:rsidRDefault="009E6F82" w:rsidP="00C15251">
      <w:pPr>
        <w:jc w:val="both"/>
        <w:rPr>
          <w:bCs/>
          <w:color w:val="002060"/>
          <w:sz w:val="16"/>
          <w:szCs w:val="16"/>
        </w:rPr>
      </w:pPr>
      <w:r w:rsidRPr="00405303">
        <w:rPr>
          <w:bCs/>
          <w:color w:val="002060"/>
          <w:sz w:val="16"/>
          <w:szCs w:val="16"/>
        </w:rPr>
        <w:t xml:space="preserve">В заводах эти техники занимали — одна часть низшие технические должности в мастерских, другая часть — канцелярские должности в управлении завода, как-то: правитель канцелярии, помощник, бухгалтер, делопроизводитель и пр., и младшие административные по заводу: содержатель имущества, смотритель здания и пр. На канцелярских и административных должностях техников всегда было больше, чем на технических. </w:t>
      </w:r>
    </w:p>
    <w:p w14:paraId="2D7742D1" w14:textId="77777777" w:rsidR="004B4E35" w:rsidRPr="00405303" w:rsidRDefault="009E6F82" w:rsidP="00C15251">
      <w:pPr>
        <w:jc w:val="both"/>
        <w:rPr>
          <w:bCs/>
          <w:color w:val="002060"/>
          <w:sz w:val="16"/>
          <w:szCs w:val="16"/>
        </w:rPr>
      </w:pPr>
      <w:r w:rsidRPr="00405303">
        <w:rPr>
          <w:bCs/>
          <w:color w:val="002060"/>
          <w:sz w:val="16"/>
          <w:szCs w:val="16"/>
        </w:rPr>
        <w:t xml:space="preserve">Понять, зачем понадобилось иметь бухгалтеров, делопроизводителей, заведующих фурштатом со специальным техническим образованием, — трудно, но это требовалось утвержденными штатами, и большая часть арттехников отвлекалась, без всякой нужды, от своей прямой технической работы. </w:t>
      </w:r>
    </w:p>
    <w:p w14:paraId="534B107C" w14:textId="77777777" w:rsidR="004B4E35" w:rsidRPr="00405303" w:rsidRDefault="009E6F82" w:rsidP="00C15251">
      <w:pPr>
        <w:jc w:val="both"/>
        <w:rPr>
          <w:bCs/>
          <w:color w:val="002060"/>
          <w:sz w:val="16"/>
          <w:szCs w:val="16"/>
        </w:rPr>
      </w:pPr>
      <w:r w:rsidRPr="00405303">
        <w:rPr>
          <w:bCs/>
          <w:color w:val="002060"/>
          <w:sz w:val="16"/>
          <w:szCs w:val="16"/>
        </w:rPr>
        <w:t xml:space="preserve">В мастерских персонал средних артиллерийских техников был полезен в качестве ближайших помощников инженерного персонала. Через них удобно осуществлялся ответственный надзор за наиболее важными работами, которые, по правилам, должны протекать под непосредственным наблюдением технического персонала (снаряжение взрывчатых изделий и др.). Они же были выполнителями разных специальных технических задач и опытов по заданиям руководителя мастерской. </w:t>
      </w:r>
    </w:p>
    <w:p w14:paraId="01C4469C" w14:textId="77777777" w:rsidR="004B4E35" w:rsidRPr="00405303" w:rsidRDefault="009E6F82" w:rsidP="00C15251">
      <w:pPr>
        <w:jc w:val="both"/>
        <w:rPr>
          <w:bCs/>
          <w:color w:val="002060"/>
          <w:sz w:val="16"/>
          <w:szCs w:val="16"/>
        </w:rPr>
      </w:pPr>
      <w:r w:rsidRPr="00405303">
        <w:rPr>
          <w:bCs/>
          <w:color w:val="002060"/>
          <w:sz w:val="16"/>
          <w:szCs w:val="16"/>
        </w:rPr>
        <w:t xml:space="preserve">Из среды артиллерийских техников выделялись отдельные лица, которые трудолюбием и любовью к делу приобрели большой опыт и знания в своих отраслях техники, и таким лицам доверялось на заводе заведование цехами. </w:t>
      </w:r>
    </w:p>
    <w:p w14:paraId="61D56ED0" w14:textId="77777777" w:rsidR="004B4E35" w:rsidRPr="00405303" w:rsidRDefault="009E6F82" w:rsidP="00C15251">
      <w:pPr>
        <w:jc w:val="both"/>
        <w:rPr>
          <w:bCs/>
          <w:color w:val="002060"/>
          <w:sz w:val="16"/>
          <w:szCs w:val="16"/>
        </w:rPr>
      </w:pPr>
      <w:r w:rsidRPr="00405303">
        <w:rPr>
          <w:bCs/>
          <w:color w:val="002060"/>
          <w:sz w:val="16"/>
          <w:szCs w:val="16"/>
        </w:rPr>
        <w:t xml:space="preserve">Однако большинство артиллерийских техников стремилось уйти из технической части в канцелярию, где служба оплачивалась выше технической и считалась повышением против последней. </w:t>
      </w:r>
    </w:p>
    <w:p w14:paraId="54091ED8" w14:textId="77777777" w:rsidR="004B4E35" w:rsidRPr="00405303" w:rsidRDefault="009E6F82" w:rsidP="00C15251">
      <w:pPr>
        <w:jc w:val="both"/>
        <w:rPr>
          <w:bCs/>
          <w:color w:val="002060"/>
          <w:sz w:val="16"/>
          <w:szCs w:val="16"/>
        </w:rPr>
      </w:pPr>
      <w:r w:rsidRPr="00405303">
        <w:rPr>
          <w:bCs/>
          <w:color w:val="002060"/>
          <w:sz w:val="16"/>
          <w:szCs w:val="16"/>
        </w:rPr>
        <w:t xml:space="preserve">Казенные артиллерийские заводы хорошо были обеспечены инженерным и младшим техническим персоналом в условиях и масштабе работы мирного времени. Но решительно ничего не было сделано для того, чтобы обеспечить в этом отношении военную промышленность на случай военного времени. Поэтому, когда в войну 1914—1917 гг. пришлось широко разворачивать работу военных заводов и мобилизовать гражданские заводы, те и другие оказались в крайне трудном положении. Поэтому пришлось пополнять технический персонал заводов инженерами, совершенно не сведущими в военной технике, притом взятыми наспех и без отбора. Приходилось пользоваться во многих случаях даже и не инженерами, и на заводы попадали математики, агрономы, почвоведы и т.п. Вместе с тем по неведомым мотивам с началом войны была закрыта Артиллерийская академия и слушатели ее отправлены... на фронт. Мало того, были случаи отсылки военных инженеров на фронт даже и из заводов. </w:t>
      </w:r>
    </w:p>
    <w:p w14:paraId="7CF129EB" w14:textId="77777777" w:rsidR="004B4E35" w:rsidRPr="00405303" w:rsidRDefault="009E6F82" w:rsidP="00C15251">
      <w:pPr>
        <w:jc w:val="both"/>
        <w:rPr>
          <w:bCs/>
          <w:color w:val="002060"/>
          <w:sz w:val="16"/>
          <w:szCs w:val="16"/>
        </w:rPr>
      </w:pPr>
      <w:r w:rsidRPr="00405303">
        <w:rPr>
          <w:bCs/>
          <w:color w:val="002060"/>
          <w:sz w:val="16"/>
          <w:szCs w:val="16"/>
        </w:rPr>
        <w:t xml:space="preserve">Вопрос о мобилизационном обеспечении военной промышленности инженерным составом является одним из важнейших. </w:t>
      </w:r>
    </w:p>
    <w:p w14:paraId="4AE21A53" w14:textId="77777777" w:rsidR="004B4E35" w:rsidRPr="00405303" w:rsidRDefault="009E6F82" w:rsidP="00C15251">
      <w:pPr>
        <w:jc w:val="both"/>
        <w:rPr>
          <w:bCs/>
          <w:color w:val="002060"/>
          <w:sz w:val="16"/>
          <w:szCs w:val="16"/>
        </w:rPr>
      </w:pPr>
      <w:r w:rsidRPr="00405303">
        <w:rPr>
          <w:bCs/>
          <w:color w:val="002060"/>
          <w:sz w:val="16"/>
          <w:szCs w:val="16"/>
        </w:rPr>
        <w:t xml:space="preserve">Казалось бы, наилучшим разрешением его было [бы] создание "запаса военных техников" по каждой из основных специальностей военной техники. Эта мера могла бы быть осуществлена путем установления военно-промышленной повинности, сущность которой должна состоять в следующем. </w:t>
      </w:r>
    </w:p>
    <w:p w14:paraId="5F18C907" w14:textId="77777777" w:rsidR="004B4E35" w:rsidRPr="00405303" w:rsidRDefault="009E6F82" w:rsidP="00C15251">
      <w:pPr>
        <w:jc w:val="both"/>
        <w:rPr>
          <w:bCs/>
          <w:color w:val="002060"/>
          <w:sz w:val="16"/>
          <w:szCs w:val="16"/>
        </w:rPr>
      </w:pPr>
      <w:r w:rsidRPr="00405303">
        <w:rPr>
          <w:bCs/>
          <w:color w:val="002060"/>
          <w:sz w:val="16"/>
          <w:szCs w:val="16"/>
        </w:rPr>
        <w:t xml:space="preserve">Окончившие гражданские высшие технические учебные заведения тотчас по окончании, вместо отбывания воинской повинности в строю, призываются на обязательную двухлетнюю службу в военных заводах. Призванные распределяются по заводам разных специальностей сообразно с потребностью и проходят службу, тщательно обучаясь военному производству, на которое поставлены. По прошествии срока стажерам делается экзамен, по выдержании какового они зачисляются в "запас военных техников" — по специальностям: патронного, ружейного, порохового и др. производств, и состоят на учете. </w:t>
      </w:r>
    </w:p>
    <w:p w14:paraId="54E4FA71" w14:textId="77777777" w:rsidR="004B4E35" w:rsidRPr="00405303" w:rsidRDefault="009E6F82" w:rsidP="00C15251">
      <w:pPr>
        <w:jc w:val="both"/>
        <w:rPr>
          <w:bCs/>
          <w:color w:val="002060"/>
          <w:sz w:val="16"/>
          <w:szCs w:val="16"/>
        </w:rPr>
      </w:pPr>
      <w:r w:rsidRPr="00405303">
        <w:rPr>
          <w:bCs/>
          <w:color w:val="002060"/>
          <w:sz w:val="16"/>
          <w:szCs w:val="16"/>
        </w:rPr>
        <w:t xml:space="preserve">В нужный момент эти запасные техники могут быть мобилизованы с назначением на заводы, кои потребуется усилить техническим персоналом. Такого рода проект проведен Комитетом по демобилизации промышленности. </w:t>
      </w:r>
    </w:p>
    <w:p w14:paraId="6F68A647" w14:textId="77777777" w:rsidR="004B4E35" w:rsidRPr="00405303" w:rsidRDefault="009E6F82" w:rsidP="00C15251">
      <w:pPr>
        <w:jc w:val="both"/>
        <w:rPr>
          <w:bCs/>
          <w:color w:val="002060"/>
          <w:sz w:val="16"/>
          <w:szCs w:val="16"/>
        </w:rPr>
      </w:pPr>
      <w:r w:rsidRPr="00405303">
        <w:rPr>
          <w:bCs/>
          <w:color w:val="002060"/>
          <w:sz w:val="16"/>
          <w:szCs w:val="16"/>
        </w:rPr>
        <w:t>В течение войны 1914—1917 гг. и в следующий период артиллерийские заводы почти не пополнялись военными инженерами. Поэтому к концу гражданской войны процент их резко понизился — до пределов 15-20 [%] от всего инженерного состава заводов. Это обстоятельство надо признать весьма вредным для обороны. Военные инженеры должны составлять основной костяк инженерного состава артиллерийских заводов. Для успешного и авторитетного руководства изготовлением оружия и боевых припасов нельзя ограничиться знакомством только с технологией производства их. Совершенно необходимо в такой же мере теоретически и практически знать служебное употребление изготовляемых предметов вооружения. Это обязывает к основательному знакомству с целым рядом научных дисциплин такого порядка, как внутренняя и внешняя баллистика, проектирование орудий, снарядов и пр., теория взрывчатых веществ, пороховедение, теория стрельбы, тактика артиллерии и др. При наличии этих познаний инженер может не только вести текущее производство, но также осуществлять творческую работу по усовершенствованию самих военных изделий, а также методов их изготовления (11329).</w:t>
      </w:r>
    </w:p>
    <w:p w14:paraId="1CBFDAD8" w14:textId="77777777" w:rsidR="004B4E35" w:rsidRPr="00405303" w:rsidRDefault="004B4E35" w:rsidP="00C15251">
      <w:pPr>
        <w:jc w:val="both"/>
        <w:rPr>
          <w:bCs/>
          <w:i/>
          <w:color w:val="002060"/>
          <w:sz w:val="16"/>
          <w:szCs w:val="16"/>
        </w:rPr>
      </w:pPr>
    </w:p>
    <w:p w14:paraId="0C7D444E" w14:textId="14197886" w:rsidR="004B4E35" w:rsidRPr="00405303" w:rsidRDefault="00DB5EE2" w:rsidP="00C15251">
      <w:pPr>
        <w:jc w:val="both"/>
        <w:rPr>
          <w:bCs/>
          <w:color w:val="002060"/>
          <w:sz w:val="16"/>
          <w:szCs w:val="16"/>
        </w:rPr>
      </w:pPr>
      <w:r w:rsidRPr="00405303">
        <w:rPr>
          <w:bCs/>
          <w:color w:val="002060"/>
          <w:sz w:val="16"/>
          <w:szCs w:val="16"/>
        </w:rPr>
        <w:t>С</w:t>
      </w:r>
      <w:r w:rsidR="009E6F82" w:rsidRPr="00405303">
        <w:rPr>
          <w:bCs/>
          <w:color w:val="002060"/>
          <w:sz w:val="16"/>
          <w:szCs w:val="16"/>
        </w:rPr>
        <w:t xml:space="preserve"> начала 1915 г.</w:t>
      </w:r>
      <w:r w:rsidRPr="00405303">
        <w:rPr>
          <w:bCs/>
          <w:color w:val="002060"/>
          <w:sz w:val="16"/>
          <w:szCs w:val="16"/>
        </w:rPr>
        <w:t>,</w:t>
      </w:r>
      <w:r w:rsidR="009E6F82" w:rsidRPr="00405303">
        <w:rPr>
          <w:bCs/>
          <w:color w:val="002060"/>
          <w:sz w:val="16"/>
          <w:szCs w:val="16"/>
        </w:rPr>
        <w:t xml:space="preserve"> </w:t>
      </w:r>
      <w:r w:rsidRPr="00405303">
        <w:rPr>
          <w:bCs/>
          <w:color w:val="002060"/>
          <w:sz w:val="16"/>
          <w:szCs w:val="16"/>
        </w:rPr>
        <w:t xml:space="preserve">независимо от получения толуола, </w:t>
      </w:r>
      <w:r w:rsidR="009E6F82" w:rsidRPr="00405303">
        <w:rPr>
          <w:bCs/>
          <w:color w:val="002060"/>
          <w:sz w:val="16"/>
          <w:szCs w:val="16"/>
        </w:rPr>
        <w:t xml:space="preserve">велись деятельные опыты над разложением нефти при высоких температурах по методам, предложенным химиком Никифоровым. Опыты велись проф. Тихвинским, Зелинским и Лебедевым, а также в Научно-технической лаборатории военного ведомства. К концу 1915 г. имелось </w:t>
      </w:r>
      <w:r w:rsidR="009E6F82" w:rsidRPr="00405303">
        <w:rPr>
          <w:bCs/>
          <w:color w:val="002060"/>
          <w:sz w:val="16"/>
          <w:szCs w:val="16"/>
        </w:rPr>
        <w:lastRenderedPageBreak/>
        <w:t xml:space="preserve">уже достаточно материалов, чтобы ставить заводское производство. Первые заводские опыты были поставлены Комиссией Ипатьева на газовом заводе казанской городской управы и там же было поставлено первое валовое производство ароматических углеводородов на небольшую производительность — около 1000 пудов в месяц. </w:t>
      </w:r>
    </w:p>
    <w:p w14:paraId="3CB2230D" w14:textId="77777777" w:rsidR="004B4E35" w:rsidRPr="00405303" w:rsidRDefault="009E6F82" w:rsidP="00C15251">
      <w:pPr>
        <w:jc w:val="both"/>
        <w:rPr>
          <w:bCs/>
          <w:color w:val="002060"/>
          <w:sz w:val="16"/>
          <w:szCs w:val="16"/>
        </w:rPr>
      </w:pPr>
      <w:r w:rsidRPr="00405303">
        <w:rPr>
          <w:bCs/>
          <w:color w:val="002060"/>
          <w:sz w:val="16"/>
          <w:szCs w:val="16"/>
        </w:rPr>
        <w:t xml:space="preserve">Вопросом получения толуола из нефти пирогенетическим путем занимался деятельно и Военно-промышленный комитет. Бакинский ВПК взял на себя постройку для этой цели завода в Баку. Предварительный проект был составлен проф. П. Кошицем, Смоленским и Громаном. Завод был рассчитан на производство 4000 пудов и к осени 1916 г. был пущен уже в ход. </w:t>
      </w:r>
    </w:p>
    <w:p w14:paraId="18F784D7" w14:textId="77777777" w:rsidR="004B4E35" w:rsidRPr="00405303" w:rsidRDefault="009E6F82" w:rsidP="00C15251">
      <w:pPr>
        <w:jc w:val="both"/>
        <w:rPr>
          <w:bCs/>
          <w:color w:val="002060"/>
          <w:sz w:val="16"/>
          <w:szCs w:val="16"/>
        </w:rPr>
      </w:pPr>
      <w:r w:rsidRPr="00405303">
        <w:rPr>
          <w:bCs/>
          <w:color w:val="002060"/>
          <w:sz w:val="16"/>
          <w:szCs w:val="16"/>
        </w:rPr>
        <w:t xml:space="preserve">Одновременно с бакинским ВПК была начата постройка трех заводов для получения ароматических углеводородов из нефти фирмами: Бр. Нобель, Бенкендорф и Нефтегаз. Из них только первая выполнила задачу вовремя. Другие две закончили постройку к самому концу войны. </w:t>
      </w:r>
    </w:p>
    <w:p w14:paraId="6AAFDAC9" w14:textId="77777777" w:rsidR="004B4E35" w:rsidRPr="00405303" w:rsidRDefault="009E6F82" w:rsidP="00C15251">
      <w:pPr>
        <w:jc w:val="both"/>
        <w:rPr>
          <w:bCs/>
          <w:color w:val="002060"/>
          <w:sz w:val="16"/>
          <w:szCs w:val="16"/>
        </w:rPr>
      </w:pPr>
      <w:r w:rsidRPr="00405303">
        <w:rPr>
          <w:bCs/>
          <w:color w:val="002060"/>
          <w:sz w:val="16"/>
          <w:szCs w:val="16"/>
        </w:rPr>
        <w:t xml:space="preserve">В итоге за время войны было изготовлено пирогенетического толуола до 150 000 пудов и была создана таким образом новая отрасль химической промышленности. </w:t>
      </w:r>
    </w:p>
    <w:p w14:paraId="77693113" w14:textId="77777777" w:rsidR="004B4E35" w:rsidRPr="00405303" w:rsidRDefault="009E6F82" w:rsidP="00C15251">
      <w:pPr>
        <w:jc w:val="both"/>
        <w:rPr>
          <w:bCs/>
          <w:color w:val="002060"/>
          <w:sz w:val="16"/>
          <w:szCs w:val="16"/>
        </w:rPr>
      </w:pPr>
      <w:r w:rsidRPr="00405303">
        <w:rPr>
          <w:bCs/>
          <w:color w:val="002060"/>
          <w:sz w:val="16"/>
          <w:szCs w:val="16"/>
        </w:rPr>
        <w:t xml:space="preserve">Суммарное получение чистого бензола и [чистого] толуола всеми перечисленными методами (каменноугольного и нефтяного) выражается в следующих цифрах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837"/>
        <w:gridCol w:w="636"/>
        <w:gridCol w:w="641"/>
        <w:gridCol w:w="636"/>
        <w:gridCol w:w="641"/>
      </w:tblGrid>
      <w:tr w:rsidR="004B4E35" w:rsidRPr="00405303" w14:paraId="6B5B0DD2" w14:textId="77777777">
        <w:tc>
          <w:tcPr>
            <w:tcW w:w="837" w:type="dxa"/>
          </w:tcPr>
          <w:p w14:paraId="198CA0DD" w14:textId="50CD7811" w:rsidR="004B4E35" w:rsidRPr="00405303" w:rsidRDefault="00DB4D64" w:rsidP="00C15251">
            <w:pPr>
              <w:jc w:val="both"/>
              <w:rPr>
                <w:bCs/>
                <w:color w:val="002060"/>
                <w:sz w:val="16"/>
                <w:szCs w:val="16"/>
              </w:rPr>
            </w:pPr>
            <w:r w:rsidRPr="00405303">
              <w:rPr>
                <w:bCs/>
                <w:color w:val="002060"/>
                <w:sz w:val="16"/>
                <w:szCs w:val="16"/>
              </w:rPr>
              <w:t xml:space="preserve"> </w:t>
            </w:r>
          </w:p>
        </w:tc>
        <w:tc>
          <w:tcPr>
            <w:tcW w:w="1277" w:type="dxa"/>
            <w:gridSpan w:val="2"/>
          </w:tcPr>
          <w:p w14:paraId="4303F49C" w14:textId="77777777" w:rsidR="004B4E35" w:rsidRPr="00405303" w:rsidRDefault="009E6F82" w:rsidP="00C15251">
            <w:pPr>
              <w:jc w:val="both"/>
              <w:rPr>
                <w:bCs/>
                <w:color w:val="002060"/>
                <w:sz w:val="16"/>
                <w:szCs w:val="16"/>
              </w:rPr>
            </w:pPr>
            <w:r w:rsidRPr="00405303">
              <w:rPr>
                <w:bCs/>
                <w:color w:val="002060"/>
                <w:sz w:val="16"/>
                <w:szCs w:val="16"/>
              </w:rPr>
              <w:t>1916 год</w:t>
            </w:r>
          </w:p>
        </w:tc>
        <w:tc>
          <w:tcPr>
            <w:tcW w:w="1277" w:type="dxa"/>
            <w:gridSpan w:val="2"/>
          </w:tcPr>
          <w:p w14:paraId="09CBD29A" w14:textId="77777777" w:rsidR="004B4E35" w:rsidRPr="00405303" w:rsidRDefault="009E6F82" w:rsidP="00C15251">
            <w:pPr>
              <w:jc w:val="both"/>
              <w:rPr>
                <w:bCs/>
                <w:color w:val="002060"/>
                <w:sz w:val="16"/>
                <w:szCs w:val="16"/>
              </w:rPr>
            </w:pPr>
            <w:r w:rsidRPr="00405303">
              <w:rPr>
                <w:bCs/>
                <w:color w:val="002060"/>
                <w:sz w:val="16"/>
                <w:szCs w:val="16"/>
              </w:rPr>
              <w:t>1917 год</w:t>
            </w:r>
          </w:p>
        </w:tc>
      </w:tr>
      <w:tr w:rsidR="004B4E35" w:rsidRPr="00405303" w14:paraId="3C59231E" w14:textId="77777777">
        <w:tc>
          <w:tcPr>
            <w:tcW w:w="837" w:type="dxa"/>
          </w:tcPr>
          <w:p w14:paraId="1F2E341E" w14:textId="77777777" w:rsidR="004B4E35" w:rsidRPr="00405303" w:rsidRDefault="009E6F82" w:rsidP="00C15251">
            <w:pPr>
              <w:jc w:val="both"/>
              <w:rPr>
                <w:bCs/>
                <w:color w:val="002060"/>
                <w:sz w:val="16"/>
                <w:szCs w:val="16"/>
              </w:rPr>
            </w:pPr>
            <w:r w:rsidRPr="00405303">
              <w:rPr>
                <w:bCs/>
                <w:color w:val="002060"/>
                <w:sz w:val="16"/>
                <w:szCs w:val="16"/>
              </w:rPr>
              <w:t>Месяцы</w:t>
            </w:r>
          </w:p>
        </w:tc>
        <w:tc>
          <w:tcPr>
            <w:tcW w:w="636" w:type="dxa"/>
          </w:tcPr>
          <w:p w14:paraId="4A921C12" w14:textId="77777777" w:rsidR="004B4E35" w:rsidRPr="00405303" w:rsidRDefault="009E6F82" w:rsidP="00C15251">
            <w:pPr>
              <w:jc w:val="both"/>
              <w:rPr>
                <w:bCs/>
                <w:color w:val="002060"/>
                <w:sz w:val="16"/>
                <w:szCs w:val="16"/>
              </w:rPr>
            </w:pPr>
            <w:r w:rsidRPr="00405303">
              <w:rPr>
                <w:bCs/>
                <w:color w:val="002060"/>
                <w:sz w:val="16"/>
                <w:szCs w:val="16"/>
              </w:rPr>
              <w:t>Бензол</w:t>
            </w:r>
          </w:p>
        </w:tc>
        <w:tc>
          <w:tcPr>
            <w:tcW w:w="641" w:type="dxa"/>
          </w:tcPr>
          <w:p w14:paraId="624BA8B7" w14:textId="77777777" w:rsidR="004B4E35" w:rsidRPr="00405303" w:rsidRDefault="009E6F82" w:rsidP="00C15251">
            <w:pPr>
              <w:jc w:val="both"/>
              <w:rPr>
                <w:bCs/>
                <w:color w:val="002060"/>
                <w:sz w:val="16"/>
                <w:szCs w:val="16"/>
              </w:rPr>
            </w:pPr>
            <w:r w:rsidRPr="00405303">
              <w:rPr>
                <w:bCs/>
                <w:color w:val="002060"/>
                <w:sz w:val="16"/>
                <w:szCs w:val="16"/>
              </w:rPr>
              <w:t>Толуол</w:t>
            </w:r>
          </w:p>
        </w:tc>
        <w:tc>
          <w:tcPr>
            <w:tcW w:w="636" w:type="dxa"/>
          </w:tcPr>
          <w:p w14:paraId="0B946DF1" w14:textId="77777777" w:rsidR="004B4E35" w:rsidRPr="00405303" w:rsidRDefault="009E6F82" w:rsidP="00C15251">
            <w:pPr>
              <w:jc w:val="both"/>
              <w:rPr>
                <w:bCs/>
                <w:color w:val="002060"/>
                <w:sz w:val="16"/>
                <w:szCs w:val="16"/>
              </w:rPr>
            </w:pPr>
            <w:r w:rsidRPr="00405303">
              <w:rPr>
                <w:bCs/>
                <w:color w:val="002060"/>
                <w:sz w:val="16"/>
                <w:szCs w:val="16"/>
              </w:rPr>
              <w:t xml:space="preserve">Бензол </w:t>
            </w:r>
          </w:p>
        </w:tc>
        <w:tc>
          <w:tcPr>
            <w:tcW w:w="641" w:type="dxa"/>
          </w:tcPr>
          <w:p w14:paraId="584A7AE2" w14:textId="77777777" w:rsidR="004B4E35" w:rsidRPr="00405303" w:rsidRDefault="009E6F82" w:rsidP="00C15251">
            <w:pPr>
              <w:jc w:val="both"/>
              <w:rPr>
                <w:bCs/>
                <w:color w:val="002060"/>
                <w:sz w:val="16"/>
                <w:szCs w:val="16"/>
              </w:rPr>
            </w:pPr>
            <w:r w:rsidRPr="00405303">
              <w:rPr>
                <w:bCs/>
                <w:color w:val="002060"/>
                <w:sz w:val="16"/>
                <w:szCs w:val="16"/>
              </w:rPr>
              <w:t>Толуол</w:t>
            </w:r>
          </w:p>
        </w:tc>
      </w:tr>
      <w:tr w:rsidR="004B4E35" w:rsidRPr="00405303" w14:paraId="2A0A04AE" w14:textId="77777777">
        <w:tc>
          <w:tcPr>
            <w:tcW w:w="837" w:type="dxa"/>
          </w:tcPr>
          <w:p w14:paraId="42A508C5" w14:textId="77777777" w:rsidR="004B4E35" w:rsidRPr="00405303" w:rsidRDefault="009E6F82" w:rsidP="00C15251">
            <w:pPr>
              <w:jc w:val="both"/>
              <w:rPr>
                <w:bCs/>
                <w:color w:val="002060"/>
                <w:sz w:val="16"/>
                <w:szCs w:val="16"/>
              </w:rPr>
            </w:pPr>
            <w:r w:rsidRPr="00405303">
              <w:rPr>
                <w:bCs/>
                <w:color w:val="002060"/>
                <w:sz w:val="16"/>
                <w:szCs w:val="16"/>
              </w:rPr>
              <w:t>Январь</w:t>
            </w:r>
          </w:p>
        </w:tc>
        <w:tc>
          <w:tcPr>
            <w:tcW w:w="636" w:type="dxa"/>
          </w:tcPr>
          <w:p w14:paraId="504E435C" w14:textId="77777777" w:rsidR="004B4E35" w:rsidRPr="00405303" w:rsidRDefault="009E6F82" w:rsidP="00C15251">
            <w:pPr>
              <w:jc w:val="both"/>
              <w:rPr>
                <w:bCs/>
                <w:color w:val="002060"/>
                <w:sz w:val="16"/>
                <w:szCs w:val="16"/>
              </w:rPr>
            </w:pPr>
            <w:r w:rsidRPr="00405303">
              <w:rPr>
                <w:bCs/>
                <w:color w:val="002060"/>
                <w:sz w:val="16"/>
                <w:szCs w:val="16"/>
              </w:rPr>
              <w:t>13,6</w:t>
            </w:r>
          </w:p>
        </w:tc>
        <w:tc>
          <w:tcPr>
            <w:tcW w:w="641" w:type="dxa"/>
          </w:tcPr>
          <w:p w14:paraId="657AF96F" w14:textId="77777777" w:rsidR="004B4E35" w:rsidRPr="00405303" w:rsidRDefault="009E6F82" w:rsidP="00C15251">
            <w:pPr>
              <w:jc w:val="both"/>
              <w:rPr>
                <w:bCs/>
                <w:color w:val="002060"/>
                <w:sz w:val="16"/>
                <w:szCs w:val="16"/>
              </w:rPr>
            </w:pPr>
            <w:r w:rsidRPr="00405303">
              <w:rPr>
                <w:bCs/>
                <w:color w:val="002060"/>
                <w:sz w:val="16"/>
                <w:szCs w:val="16"/>
              </w:rPr>
              <w:t>10,9</w:t>
            </w:r>
          </w:p>
        </w:tc>
        <w:tc>
          <w:tcPr>
            <w:tcW w:w="636" w:type="dxa"/>
          </w:tcPr>
          <w:p w14:paraId="39C00F6F" w14:textId="77777777" w:rsidR="004B4E35" w:rsidRPr="00405303" w:rsidRDefault="009E6F82" w:rsidP="00C15251">
            <w:pPr>
              <w:jc w:val="both"/>
              <w:rPr>
                <w:bCs/>
                <w:color w:val="002060"/>
                <w:sz w:val="16"/>
                <w:szCs w:val="16"/>
              </w:rPr>
            </w:pPr>
            <w:r w:rsidRPr="00405303">
              <w:rPr>
                <w:bCs/>
                <w:color w:val="002060"/>
                <w:sz w:val="16"/>
                <w:szCs w:val="16"/>
              </w:rPr>
              <w:t xml:space="preserve">20,0 </w:t>
            </w:r>
          </w:p>
        </w:tc>
        <w:tc>
          <w:tcPr>
            <w:tcW w:w="641" w:type="dxa"/>
          </w:tcPr>
          <w:p w14:paraId="181CF5AF" w14:textId="77777777" w:rsidR="004B4E35" w:rsidRPr="00405303" w:rsidRDefault="009E6F82" w:rsidP="00C15251">
            <w:pPr>
              <w:jc w:val="both"/>
              <w:rPr>
                <w:bCs/>
                <w:color w:val="002060"/>
                <w:sz w:val="16"/>
                <w:szCs w:val="16"/>
              </w:rPr>
            </w:pPr>
            <w:r w:rsidRPr="00405303">
              <w:rPr>
                <w:bCs/>
                <w:color w:val="002060"/>
                <w:sz w:val="16"/>
                <w:szCs w:val="16"/>
              </w:rPr>
              <w:t>16,8</w:t>
            </w:r>
          </w:p>
        </w:tc>
      </w:tr>
      <w:tr w:rsidR="004B4E35" w:rsidRPr="00405303" w14:paraId="1371862A" w14:textId="77777777">
        <w:tc>
          <w:tcPr>
            <w:tcW w:w="837" w:type="dxa"/>
          </w:tcPr>
          <w:p w14:paraId="5D625356" w14:textId="77777777" w:rsidR="004B4E35" w:rsidRPr="00405303" w:rsidRDefault="009E6F82" w:rsidP="00C15251">
            <w:pPr>
              <w:jc w:val="both"/>
              <w:rPr>
                <w:bCs/>
                <w:color w:val="002060"/>
                <w:sz w:val="16"/>
                <w:szCs w:val="16"/>
              </w:rPr>
            </w:pPr>
            <w:r w:rsidRPr="00405303">
              <w:rPr>
                <w:bCs/>
                <w:color w:val="002060"/>
                <w:sz w:val="16"/>
                <w:szCs w:val="16"/>
              </w:rPr>
              <w:t>Февраль</w:t>
            </w:r>
          </w:p>
        </w:tc>
        <w:tc>
          <w:tcPr>
            <w:tcW w:w="636" w:type="dxa"/>
          </w:tcPr>
          <w:p w14:paraId="2023F910" w14:textId="77777777" w:rsidR="004B4E35" w:rsidRPr="00405303" w:rsidRDefault="009E6F82" w:rsidP="00C15251">
            <w:pPr>
              <w:jc w:val="both"/>
              <w:rPr>
                <w:bCs/>
                <w:color w:val="002060"/>
                <w:sz w:val="16"/>
                <w:szCs w:val="16"/>
              </w:rPr>
            </w:pPr>
            <w:r w:rsidRPr="00405303">
              <w:rPr>
                <w:bCs/>
                <w:color w:val="002060"/>
                <w:sz w:val="16"/>
                <w:szCs w:val="16"/>
              </w:rPr>
              <w:t>13,3</w:t>
            </w:r>
          </w:p>
        </w:tc>
        <w:tc>
          <w:tcPr>
            <w:tcW w:w="641" w:type="dxa"/>
          </w:tcPr>
          <w:p w14:paraId="1F16A718" w14:textId="77777777" w:rsidR="004B4E35" w:rsidRPr="00405303" w:rsidRDefault="009E6F82" w:rsidP="00C15251">
            <w:pPr>
              <w:jc w:val="both"/>
              <w:rPr>
                <w:bCs/>
                <w:color w:val="002060"/>
                <w:sz w:val="16"/>
                <w:szCs w:val="16"/>
              </w:rPr>
            </w:pPr>
            <w:r w:rsidRPr="00405303">
              <w:rPr>
                <w:bCs/>
                <w:color w:val="002060"/>
                <w:sz w:val="16"/>
                <w:szCs w:val="16"/>
              </w:rPr>
              <w:t>10,5</w:t>
            </w:r>
          </w:p>
        </w:tc>
        <w:tc>
          <w:tcPr>
            <w:tcW w:w="636" w:type="dxa"/>
          </w:tcPr>
          <w:p w14:paraId="4314F3BF" w14:textId="77777777" w:rsidR="004B4E35" w:rsidRPr="00405303" w:rsidRDefault="009E6F82" w:rsidP="00C15251">
            <w:pPr>
              <w:jc w:val="both"/>
              <w:rPr>
                <w:bCs/>
                <w:color w:val="002060"/>
                <w:sz w:val="16"/>
                <w:szCs w:val="16"/>
              </w:rPr>
            </w:pPr>
            <w:r w:rsidRPr="00405303">
              <w:rPr>
                <w:bCs/>
                <w:color w:val="002060"/>
                <w:sz w:val="16"/>
                <w:szCs w:val="16"/>
              </w:rPr>
              <w:t xml:space="preserve">23,5 </w:t>
            </w:r>
          </w:p>
        </w:tc>
        <w:tc>
          <w:tcPr>
            <w:tcW w:w="641" w:type="dxa"/>
          </w:tcPr>
          <w:p w14:paraId="15D7D0CA" w14:textId="77777777" w:rsidR="004B4E35" w:rsidRPr="00405303" w:rsidRDefault="009E6F82" w:rsidP="00C15251">
            <w:pPr>
              <w:jc w:val="both"/>
              <w:rPr>
                <w:bCs/>
                <w:color w:val="002060"/>
                <w:sz w:val="16"/>
                <w:szCs w:val="16"/>
              </w:rPr>
            </w:pPr>
            <w:r w:rsidRPr="00405303">
              <w:rPr>
                <w:bCs/>
                <w:color w:val="002060"/>
                <w:sz w:val="16"/>
                <w:szCs w:val="16"/>
              </w:rPr>
              <w:t>19,1</w:t>
            </w:r>
          </w:p>
        </w:tc>
      </w:tr>
      <w:tr w:rsidR="004B4E35" w:rsidRPr="00405303" w14:paraId="6C7D202B" w14:textId="77777777">
        <w:tc>
          <w:tcPr>
            <w:tcW w:w="837" w:type="dxa"/>
          </w:tcPr>
          <w:p w14:paraId="0534B641" w14:textId="77777777" w:rsidR="004B4E35" w:rsidRPr="00405303" w:rsidRDefault="009E6F82" w:rsidP="00C15251">
            <w:pPr>
              <w:jc w:val="both"/>
              <w:rPr>
                <w:bCs/>
                <w:color w:val="002060"/>
                <w:sz w:val="16"/>
                <w:szCs w:val="16"/>
              </w:rPr>
            </w:pPr>
            <w:r w:rsidRPr="00405303">
              <w:rPr>
                <w:bCs/>
                <w:color w:val="002060"/>
                <w:sz w:val="16"/>
                <w:szCs w:val="16"/>
              </w:rPr>
              <w:t>Март</w:t>
            </w:r>
          </w:p>
        </w:tc>
        <w:tc>
          <w:tcPr>
            <w:tcW w:w="636" w:type="dxa"/>
          </w:tcPr>
          <w:p w14:paraId="5240898B" w14:textId="77777777" w:rsidR="004B4E35" w:rsidRPr="00405303" w:rsidRDefault="009E6F82" w:rsidP="00C15251">
            <w:pPr>
              <w:jc w:val="both"/>
              <w:rPr>
                <w:bCs/>
                <w:color w:val="002060"/>
                <w:sz w:val="16"/>
                <w:szCs w:val="16"/>
              </w:rPr>
            </w:pPr>
            <w:r w:rsidRPr="00405303">
              <w:rPr>
                <w:bCs/>
                <w:color w:val="002060"/>
                <w:sz w:val="16"/>
                <w:szCs w:val="16"/>
              </w:rPr>
              <w:t>14,2</w:t>
            </w:r>
          </w:p>
        </w:tc>
        <w:tc>
          <w:tcPr>
            <w:tcW w:w="641" w:type="dxa"/>
          </w:tcPr>
          <w:p w14:paraId="10E9809A" w14:textId="77777777" w:rsidR="004B4E35" w:rsidRPr="00405303" w:rsidRDefault="009E6F82" w:rsidP="00C15251">
            <w:pPr>
              <w:jc w:val="both"/>
              <w:rPr>
                <w:bCs/>
                <w:color w:val="002060"/>
                <w:sz w:val="16"/>
                <w:szCs w:val="16"/>
              </w:rPr>
            </w:pPr>
            <w:r w:rsidRPr="00405303">
              <w:rPr>
                <w:bCs/>
                <w:color w:val="002060"/>
                <w:sz w:val="16"/>
                <w:szCs w:val="16"/>
              </w:rPr>
              <w:t>11,4</w:t>
            </w:r>
          </w:p>
        </w:tc>
        <w:tc>
          <w:tcPr>
            <w:tcW w:w="636" w:type="dxa"/>
          </w:tcPr>
          <w:p w14:paraId="68F74505" w14:textId="77777777" w:rsidR="004B4E35" w:rsidRPr="00405303" w:rsidRDefault="009E6F82" w:rsidP="00C15251">
            <w:pPr>
              <w:jc w:val="both"/>
              <w:rPr>
                <w:bCs/>
                <w:color w:val="002060"/>
                <w:sz w:val="16"/>
                <w:szCs w:val="16"/>
              </w:rPr>
            </w:pPr>
            <w:r w:rsidRPr="00405303">
              <w:rPr>
                <w:bCs/>
                <w:color w:val="002060"/>
                <w:sz w:val="16"/>
                <w:szCs w:val="16"/>
              </w:rPr>
              <w:t xml:space="preserve">26,3 </w:t>
            </w:r>
          </w:p>
        </w:tc>
        <w:tc>
          <w:tcPr>
            <w:tcW w:w="641" w:type="dxa"/>
          </w:tcPr>
          <w:p w14:paraId="711FD00B" w14:textId="77777777" w:rsidR="004B4E35" w:rsidRPr="00405303" w:rsidRDefault="009E6F82" w:rsidP="00C15251">
            <w:pPr>
              <w:jc w:val="both"/>
              <w:rPr>
                <w:bCs/>
                <w:color w:val="002060"/>
                <w:sz w:val="16"/>
                <w:szCs w:val="16"/>
              </w:rPr>
            </w:pPr>
            <w:r w:rsidRPr="00405303">
              <w:rPr>
                <w:bCs/>
                <w:color w:val="002060"/>
                <w:sz w:val="16"/>
                <w:szCs w:val="16"/>
              </w:rPr>
              <w:t>21,6</w:t>
            </w:r>
          </w:p>
        </w:tc>
      </w:tr>
      <w:tr w:rsidR="004B4E35" w:rsidRPr="00405303" w14:paraId="41CB0FF6" w14:textId="77777777">
        <w:tc>
          <w:tcPr>
            <w:tcW w:w="837" w:type="dxa"/>
          </w:tcPr>
          <w:p w14:paraId="1747FA4C" w14:textId="77777777" w:rsidR="004B4E35" w:rsidRPr="00405303" w:rsidRDefault="009E6F82" w:rsidP="00C15251">
            <w:pPr>
              <w:jc w:val="both"/>
              <w:rPr>
                <w:bCs/>
                <w:color w:val="002060"/>
                <w:sz w:val="16"/>
                <w:szCs w:val="16"/>
              </w:rPr>
            </w:pPr>
            <w:r w:rsidRPr="00405303">
              <w:rPr>
                <w:bCs/>
                <w:color w:val="002060"/>
                <w:sz w:val="16"/>
                <w:szCs w:val="16"/>
              </w:rPr>
              <w:t>Апрель</w:t>
            </w:r>
          </w:p>
        </w:tc>
        <w:tc>
          <w:tcPr>
            <w:tcW w:w="636" w:type="dxa"/>
          </w:tcPr>
          <w:p w14:paraId="3F5A0602" w14:textId="77777777" w:rsidR="004B4E35" w:rsidRPr="00405303" w:rsidRDefault="009E6F82" w:rsidP="00C15251">
            <w:pPr>
              <w:jc w:val="both"/>
              <w:rPr>
                <w:bCs/>
                <w:color w:val="002060"/>
                <w:sz w:val="16"/>
                <w:szCs w:val="16"/>
              </w:rPr>
            </w:pPr>
            <w:r w:rsidRPr="00405303">
              <w:rPr>
                <w:bCs/>
                <w:color w:val="002060"/>
                <w:sz w:val="16"/>
                <w:szCs w:val="16"/>
              </w:rPr>
              <w:t>13.5</w:t>
            </w:r>
          </w:p>
        </w:tc>
        <w:tc>
          <w:tcPr>
            <w:tcW w:w="641" w:type="dxa"/>
          </w:tcPr>
          <w:p w14:paraId="7BA550BE" w14:textId="77777777" w:rsidR="004B4E35" w:rsidRPr="00405303" w:rsidRDefault="009E6F82" w:rsidP="00C15251">
            <w:pPr>
              <w:jc w:val="both"/>
              <w:rPr>
                <w:bCs/>
                <w:color w:val="002060"/>
                <w:sz w:val="16"/>
                <w:szCs w:val="16"/>
              </w:rPr>
            </w:pPr>
            <w:r w:rsidRPr="00405303">
              <w:rPr>
                <w:bCs/>
                <w:color w:val="002060"/>
                <w:sz w:val="16"/>
                <w:szCs w:val="16"/>
              </w:rPr>
              <w:t>9,5</w:t>
            </w:r>
          </w:p>
        </w:tc>
        <w:tc>
          <w:tcPr>
            <w:tcW w:w="636" w:type="dxa"/>
          </w:tcPr>
          <w:p w14:paraId="101776F2" w14:textId="77777777" w:rsidR="004B4E35" w:rsidRPr="00405303" w:rsidRDefault="009E6F82" w:rsidP="00C15251">
            <w:pPr>
              <w:jc w:val="both"/>
              <w:rPr>
                <w:bCs/>
                <w:color w:val="002060"/>
                <w:sz w:val="16"/>
                <w:szCs w:val="16"/>
              </w:rPr>
            </w:pPr>
            <w:r w:rsidRPr="00405303">
              <w:rPr>
                <w:bCs/>
                <w:color w:val="002060"/>
                <w:sz w:val="16"/>
                <w:szCs w:val="16"/>
              </w:rPr>
              <w:t>31,5</w:t>
            </w:r>
          </w:p>
        </w:tc>
        <w:tc>
          <w:tcPr>
            <w:tcW w:w="641" w:type="dxa"/>
          </w:tcPr>
          <w:p w14:paraId="6F3AE75F" w14:textId="77777777" w:rsidR="004B4E35" w:rsidRPr="00405303" w:rsidRDefault="009E6F82" w:rsidP="00C15251">
            <w:pPr>
              <w:jc w:val="both"/>
              <w:rPr>
                <w:bCs/>
                <w:color w:val="002060"/>
                <w:sz w:val="16"/>
                <w:szCs w:val="16"/>
              </w:rPr>
            </w:pPr>
            <w:r w:rsidRPr="00405303">
              <w:rPr>
                <w:bCs/>
                <w:color w:val="002060"/>
                <w:sz w:val="16"/>
                <w:szCs w:val="16"/>
              </w:rPr>
              <w:t>26,3</w:t>
            </w:r>
          </w:p>
        </w:tc>
      </w:tr>
      <w:tr w:rsidR="004B4E35" w:rsidRPr="00405303" w14:paraId="471C2DF7" w14:textId="77777777">
        <w:tc>
          <w:tcPr>
            <w:tcW w:w="837" w:type="dxa"/>
          </w:tcPr>
          <w:p w14:paraId="2630324D" w14:textId="77777777" w:rsidR="004B4E35" w:rsidRPr="00405303" w:rsidRDefault="009E6F82" w:rsidP="00C15251">
            <w:pPr>
              <w:jc w:val="both"/>
              <w:rPr>
                <w:bCs/>
                <w:color w:val="002060"/>
                <w:sz w:val="16"/>
                <w:szCs w:val="16"/>
              </w:rPr>
            </w:pPr>
            <w:r w:rsidRPr="00405303">
              <w:rPr>
                <w:bCs/>
                <w:color w:val="002060"/>
                <w:sz w:val="16"/>
                <w:szCs w:val="16"/>
              </w:rPr>
              <w:t>Май</w:t>
            </w:r>
          </w:p>
        </w:tc>
        <w:tc>
          <w:tcPr>
            <w:tcW w:w="636" w:type="dxa"/>
          </w:tcPr>
          <w:p w14:paraId="220676F6" w14:textId="77777777" w:rsidR="004B4E35" w:rsidRPr="00405303" w:rsidRDefault="009E6F82" w:rsidP="00C15251">
            <w:pPr>
              <w:jc w:val="both"/>
              <w:rPr>
                <w:bCs/>
                <w:color w:val="002060"/>
                <w:sz w:val="16"/>
                <w:szCs w:val="16"/>
              </w:rPr>
            </w:pPr>
            <w:r w:rsidRPr="00405303">
              <w:rPr>
                <w:bCs/>
                <w:color w:val="002060"/>
                <w:sz w:val="16"/>
                <w:szCs w:val="16"/>
              </w:rPr>
              <w:t>14,5</w:t>
            </w:r>
          </w:p>
        </w:tc>
        <w:tc>
          <w:tcPr>
            <w:tcW w:w="641" w:type="dxa"/>
          </w:tcPr>
          <w:p w14:paraId="6D0E7DAD" w14:textId="77777777" w:rsidR="004B4E35" w:rsidRPr="00405303" w:rsidRDefault="009E6F82" w:rsidP="00C15251">
            <w:pPr>
              <w:jc w:val="both"/>
              <w:rPr>
                <w:bCs/>
                <w:color w:val="002060"/>
                <w:sz w:val="16"/>
                <w:szCs w:val="16"/>
              </w:rPr>
            </w:pPr>
            <w:r w:rsidRPr="00405303">
              <w:rPr>
                <w:bCs/>
                <w:color w:val="002060"/>
                <w:sz w:val="16"/>
                <w:szCs w:val="16"/>
              </w:rPr>
              <w:t>9,5</w:t>
            </w:r>
          </w:p>
        </w:tc>
        <w:tc>
          <w:tcPr>
            <w:tcW w:w="636" w:type="dxa"/>
          </w:tcPr>
          <w:p w14:paraId="5FF84C88" w14:textId="77777777" w:rsidR="004B4E35" w:rsidRPr="00405303" w:rsidRDefault="009E6F82" w:rsidP="00C15251">
            <w:pPr>
              <w:jc w:val="both"/>
              <w:rPr>
                <w:bCs/>
                <w:color w:val="002060"/>
                <w:sz w:val="16"/>
                <w:szCs w:val="16"/>
              </w:rPr>
            </w:pPr>
            <w:r w:rsidRPr="00405303">
              <w:rPr>
                <w:bCs/>
                <w:color w:val="002060"/>
                <w:sz w:val="16"/>
                <w:szCs w:val="16"/>
              </w:rPr>
              <w:t xml:space="preserve">33,7 </w:t>
            </w:r>
          </w:p>
        </w:tc>
        <w:tc>
          <w:tcPr>
            <w:tcW w:w="641" w:type="dxa"/>
          </w:tcPr>
          <w:p w14:paraId="539CF2D1" w14:textId="77777777" w:rsidR="004B4E35" w:rsidRPr="00405303" w:rsidRDefault="009E6F82" w:rsidP="00C15251">
            <w:pPr>
              <w:jc w:val="both"/>
              <w:rPr>
                <w:bCs/>
                <w:color w:val="002060"/>
                <w:sz w:val="16"/>
                <w:szCs w:val="16"/>
              </w:rPr>
            </w:pPr>
            <w:r w:rsidRPr="00405303">
              <w:rPr>
                <w:bCs/>
                <w:color w:val="002060"/>
                <w:sz w:val="16"/>
                <w:szCs w:val="16"/>
              </w:rPr>
              <w:t>28,0</w:t>
            </w:r>
          </w:p>
        </w:tc>
      </w:tr>
      <w:tr w:rsidR="004B4E35" w:rsidRPr="00405303" w14:paraId="39489A05" w14:textId="77777777">
        <w:tc>
          <w:tcPr>
            <w:tcW w:w="837" w:type="dxa"/>
          </w:tcPr>
          <w:p w14:paraId="1F1C481B" w14:textId="77777777" w:rsidR="004B4E35" w:rsidRPr="00405303" w:rsidRDefault="009E6F82" w:rsidP="00C15251">
            <w:pPr>
              <w:jc w:val="both"/>
              <w:rPr>
                <w:bCs/>
                <w:color w:val="002060"/>
                <w:sz w:val="16"/>
                <w:szCs w:val="16"/>
              </w:rPr>
            </w:pPr>
            <w:r w:rsidRPr="00405303">
              <w:rPr>
                <w:bCs/>
                <w:color w:val="002060"/>
                <w:sz w:val="16"/>
                <w:szCs w:val="16"/>
              </w:rPr>
              <w:t>Июнь</w:t>
            </w:r>
          </w:p>
        </w:tc>
        <w:tc>
          <w:tcPr>
            <w:tcW w:w="636" w:type="dxa"/>
          </w:tcPr>
          <w:p w14:paraId="1B06F274" w14:textId="77777777" w:rsidR="004B4E35" w:rsidRPr="00405303" w:rsidRDefault="009E6F82" w:rsidP="00C15251">
            <w:pPr>
              <w:jc w:val="both"/>
              <w:rPr>
                <w:bCs/>
                <w:color w:val="002060"/>
                <w:sz w:val="16"/>
                <w:szCs w:val="16"/>
              </w:rPr>
            </w:pPr>
            <w:r w:rsidRPr="00405303">
              <w:rPr>
                <w:bCs/>
                <w:color w:val="002060"/>
                <w:sz w:val="16"/>
                <w:szCs w:val="16"/>
              </w:rPr>
              <w:t>116,5</w:t>
            </w:r>
          </w:p>
        </w:tc>
        <w:tc>
          <w:tcPr>
            <w:tcW w:w="641" w:type="dxa"/>
          </w:tcPr>
          <w:p w14:paraId="748FF9EB" w14:textId="77777777" w:rsidR="004B4E35" w:rsidRPr="00405303" w:rsidRDefault="009E6F82" w:rsidP="00C15251">
            <w:pPr>
              <w:jc w:val="both"/>
              <w:rPr>
                <w:bCs/>
                <w:color w:val="002060"/>
                <w:sz w:val="16"/>
                <w:szCs w:val="16"/>
              </w:rPr>
            </w:pPr>
            <w:r w:rsidRPr="00405303">
              <w:rPr>
                <w:bCs/>
                <w:color w:val="002060"/>
                <w:sz w:val="16"/>
                <w:szCs w:val="16"/>
              </w:rPr>
              <w:t>12,8</w:t>
            </w:r>
          </w:p>
        </w:tc>
        <w:tc>
          <w:tcPr>
            <w:tcW w:w="636" w:type="dxa"/>
          </w:tcPr>
          <w:p w14:paraId="5273ABE6" w14:textId="77777777" w:rsidR="004B4E35" w:rsidRPr="00405303" w:rsidRDefault="009E6F82" w:rsidP="00C15251">
            <w:pPr>
              <w:jc w:val="both"/>
              <w:rPr>
                <w:bCs/>
                <w:color w:val="002060"/>
                <w:sz w:val="16"/>
                <w:szCs w:val="16"/>
              </w:rPr>
            </w:pPr>
            <w:r w:rsidRPr="00405303">
              <w:rPr>
                <w:bCs/>
                <w:color w:val="002060"/>
                <w:sz w:val="16"/>
                <w:szCs w:val="16"/>
              </w:rPr>
              <w:t xml:space="preserve">33,7 </w:t>
            </w:r>
          </w:p>
        </w:tc>
        <w:tc>
          <w:tcPr>
            <w:tcW w:w="641" w:type="dxa"/>
          </w:tcPr>
          <w:p w14:paraId="3A967663" w14:textId="77777777" w:rsidR="004B4E35" w:rsidRPr="00405303" w:rsidRDefault="009E6F82" w:rsidP="00C15251">
            <w:pPr>
              <w:jc w:val="both"/>
              <w:rPr>
                <w:bCs/>
                <w:color w:val="002060"/>
                <w:sz w:val="16"/>
                <w:szCs w:val="16"/>
              </w:rPr>
            </w:pPr>
            <w:r w:rsidRPr="00405303">
              <w:rPr>
                <w:bCs/>
                <w:color w:val="002060"/>
                <w:sz w:val="16"/>
                <w:szCs w:val="16"/>
              </w:rPr>
              <w:t>28,0</w:t>
            </w:r>
          </w:p>
        </w:tc>
      </w:tr>
      <w:tr w:rsidR="004B4E35" w:rsidRPr="00405303" w14:paraId="695C9A89" w14:textId="77777777">
        <w:tc>
          <w:tcPr>
            <w:tcW w:w="837" w:type="dxa"/>
          </w:tcPr>
          <w:p w14:paraId="3149746E" w14:textId="77777777" w:rsidR="004B4E35" w:rsidRPr="00405303" w:rsidRDefault="009E6F82" w:rsidP="00C15251">
            <w:pPr>
              <w:jc w:val="both"/>
              <w:rPr>
                <w:bCs/>
                <w:color w:val="002060"/>
                <w:sz w:val="16"/>
                <w:szCs w:val="16"/>
              </w:rPr>
            </w:pPr>
            <w:r w:rsidRPr="00405303">
              <w:rPr>
                <w:bCs/>
                <w:color w:val="002060"/>
                <w:sz w:val="16"/>
                <w:szCs w:val="16"/>
              </w:rPr>
              <w:t>Июль</w:t>
            </w:r>
          </w:p>
        </w:tc>
        <w:tc>
          <w:tcPr>
            <w:tcW w:w="636" w:type="dxa"/>
          </w:tcPr>
          <w:p w14:paraId="6A0465CB" w14:textId="77777777" w:rsidR="004B4E35" w:rsidRPr="00405303" w:rsidRDefault="009E6F82" w:rsidP="00C15251">
            <w:pPr>
              <w:jc w:val="both"/>
              <w:rPr>
                <w:bCs/>
                <w:color w:val="002060"/>
                <w:sz w:val="16"/>
                <w:szCs w:val="16"/>
              </w:rPr>
            </w:pPr>
            <w:r w:rsidRPr="00405303">
              <w:rPr>
                <w:bCs/>
                <w:color w:val="002060"/>
                <w:sz w:val="16"/>
                <w:szCs w:val="16"/>
              </w:rPr>
              <w:t>126,7</w:t>
            </w:r>
          </w:p>
        </w:tc>
        <w:tc>
          <w:tcPr>
            <w:tcW w:w="641" w:type="dxa"/>
          </w:tcPr>
          <w:p w14:paraId="45C201AD" w14:textId="77777777" w:rsidR="004B4E35" w:rsidRPr="00405303" w:rsidRDefault="009E6F82" w:rsidP="00C15251">
            <w:pPr>
              <w:jc w:val="both"/>
              <w:rPr>
                <w:bCs/>
                <w:color w:val="002060"/>
                <w:sz w:val="16"/>
                <w:szCs w:val="16"/>
              </w:rPr>
            </w:pPr>
            <w:r w:rsidRPr="00405303">
              <w:rPr>
                <w:bCs/>
                <w:color w:val="002060"/>
                <w:sz w:val="16"/>
                <w:szCs w:val="16"/>
              </w:rPr>
              <w:t>12,5</w:t>
            </w:r>
          </w:p>
        </w:tc>
        <w:tc>
          <w:tcPr>
            <w:tcW w:w="636" w:type="dxa"/>
          </w:tcPr>
          <w:p w14:paraId="3EC71706"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76CB1E76"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00876C2C" w14:textId="77777777">
        <w:tc>
          <w:tcPr>
            <w:tcW w:w="837" w:type="dxa"/>
          </w:tcPr>
          <w:p w14:paraId="20A17BC6" w14:textId="77777777" w:rsidR="004B4E35" w:rsidRPr="00405303" w:rsidRDefault="009E6F82" w:rsidP="00C15251">
            <w:pPr>
              <w:jc w:val="both"/>
              <w:rPr>
                <w:bCs/>
                <w:color w:val="002060"/>
                <w:sz w:val="16"/>
                <w:szCs w:val="16"/>
              </w:rPr>
            </w:pPr>
            <w:r w:rsidRPr="00405303">
              <w:rPr>
                <w:bCs/>
                <w:color w:val="002060"/>
                <w:sz w:val="16"/>
                <w:szCs w:val="16"/>
              </w:rPr>
              <w:t>Август</w:t>
            </w:r>
          </w:p>
        </w:tc>
        <w:tc>
          <w:tcPr>
            <w:tcW w:w="636" w:type="dxa"/>
          </w:tcPr>
          <w:p w14:paraId="6E161406" w14:textId="77777777" w:rsidR="004B4E35" w:rsidRPr="00405303" w:rsidRDefault="009E6F82" w:rsidP="00C15251">
            <w:pPr>
              <w:jc w:val="both"/>
              <w:rPr>
                <w:bCs/>
                <w:color w:val="002060"/>
                <w:sz w:val="16"/>
                <w:szCs w:val="16"/>
              </w:rPr>
            </w:pPr>
            <w:r w:rsidRPr="00405303">
              <w:rPr>
                <w:bCs/>
                <w:color w:val="002060"/>
                <w:sz w:val="16"/>
                <w:szCs w:val="16"/>
              </w:rPr>
              <w:t>15,1</w:t>
            </w:r>
          </w:p>
        </w:tc>
        <w:tc>
          <w:tcPr>
            <w:tcW w:w="641" w:type="dxa"/>
          </w:tcPr>
          <w:p w14:paraId="600B13C1" w14:textId="77777777" w:rsidR="004B4E35" w:rsidRPr="00405303" w:rsidRDefault="009E6F82" w:rsidP="00C15251">
            <w:pPr>
              <w:jc w:val="both"/>
              <w:rPr>
                <w:bCs/>
                <w:color w:val="002060"/>
                <w:sz w:val="16"/>
                <w:szCs w:val="16"/>
              </w:rPr>
            </w:pPr>
            <w:r w:rsidRPr="00405303">
              <w:rPr>
                <w:bCs/>
                <w:color w:val="002060"/>
                <w:sz w:val="16"/>
                <w:szCs w:val="16"/>
              </w:rPr>
              <w:t>12,4</w:t>
            </w:r>
          </w:p>
        </w:tc>
        <w:tc>
          <w:tcPr>
            <w:tcW w:w="636" w:type="dxa"/>
          </w:tcPr>
          <w:p w14:paraId="2401AA68"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6EF322B5"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2E8616AF" w14:textId="77777777">
        <w:tc>
          <w:tcPr>
            <w:tcW w:w="837" w:type="dxa"/>
          </w:tcPr>
          <w:p w14:paraId="664D958B" w14:textId="77777777" w:rsidR="004B4E35" w:rsidRPr="00405303" w:rsidRDefault="009E6F82" w:rsidP="00C15251">
            <w:pPr>
              <w:jc w:val="both"/>
              <w:rPr>
                <w:bCs/>
                <w:color w:val="002060"/>
                <w:sz w:val="16"/>
                <w:szCs w:val="16"/>
              </w:rPr>
            </w:pPr>
            <w:r w:rsidRPr="00405303">
              <w:rPr>
                <w:bCs/>
                <w:color w:val="002060"/>
                <w:sz w:val="16"/>
                <w:szCs w:val="16"/>
              </w:rPr>
              <w:t>Сентябрь</w:t>
            </w:r>
          </w:p>
        </w:tc>
        <w:tc>
          <w:tcPr>
            <w:tcW w:w="636" w:type="dxa"/>
          </w:tcPr>
          <w:p w14:paraId="496EF33A" w14:textId="77777777" w:rsidR="004B4E35" w:rsidRPr="00405303" w:rsidRDefault="009E6F82" w:rsidP="00C15251">
            <w:pPr>
              <w:jc w:val="both"/>
              <w:rPr>
                <w:bCs/>
                <w:color w:val="002060"/>
                <w:sz w:val="16"/>
                <w:szCs w:val="16"/>
              </w:rPr>
            </w:pPr>
            <w:r w:rsidRPr="00405303">
              <w:rPr>
                <w:bCs/>
                <w:color w:val="002060"/>
                <w:sz w:val="16"/>
                <w:szCs w:val="16"/>
              </w:rPr>
              <w:t>18,3</w:t>
            </w:r>
          </w:p>
        </w:tc>
        <w:tc>
          <w:tcPr>
            <w:tcW w:w="641" w:type="dxa"/>
          </w:tcPr>
          <w:p w14:paraId="4075D56E" w14:textId="77777777" w:rsidR="004B4E35" w:rsidRPr="00405303" w:rsidRDefault="009E6F82" w:rsidP="00C15251">
            <w:pPr>
              <w:jc w:val="both"/>
              <w:rPr>
                <w:bCs/>
                <w:color w:val="002060"/>
                <w:sz w:val="16"/>
                <w:szCs w:val="16"/>
              </w:rPr>
            </w:pPr>
            <w:r w:rsidRPr="00405303">
              <w:rPr>
                <w:bCs/>
                <w:color w:val="002060"/>
                <w:sz w:val="16"/>
                <w:szCs w:val="16"/>
              </w:rPr>
              <w:t>14,3</w:t>
            </w:r>
          </w:p>
        </w:tc>
        <w:tc>
          <w:tcPr>
            <w:tcW w:w="636" w:type="dxa"/>
          </w:tcPr>
          <w:p w14:paraId="0389C33E"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5713D2AD"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0665B5CB" w14:textId="77777777">
        <w:tc>
          <w:tcPr>
            <w:tcW w:w="837" w:type="dxa"/>
          </w:tcPr>
          <w:p w14:paraId="6920F743" w14:textId="77777777" w:rsidR="004B4E35" w:rsidRPr="00405303" w:rsidRDefault="009E6F82" w:rsidP="00C15251">
            <w:pPr>
              <w:jc w:val="both"/>
              <w:rPr>
                <w:bCs/>
                <w:color w:val="002060"/>
                <w:sz w:val="16"/>
                <w:szCs w:val="16"/>
              </w:rPr>
            </w:pPr>
            <w:r w:rsidRPr="00405303">
              <w:rPr>
                <w:bCs/>
                <w:color w:val="002060"/>
                <w:sz w:val="16"/>
                <w:szCs w:val="16"/>
              </w:rPr>
              <w:t>Октябрь</w:t>
            </w:r>
          </w:p>
        </w:tc>
        <w:tc>
          <w:tcPr>
            <w:tcW w:w="636" w:type="dxa"/>
          </w:tcPr>
          <w:p w14:paraId="30BAAE51" w14:textId="77777777" w:rsidR="004B4E35" w:rsidRPr="00405303" w:rsidRDefault="009E6F82" w:rsidP="00C15251">
            <w:pPr>
              <w:jc w:val="both"/>
              <w:rPr>
                <w:bCs/>
                <w:color w:val="002060"/>
                <w:sz w:val="16"/>
                <w:szCs w:val="16"/>
              </w:rPr>
            </w:pPr>
            <w:r w:rsidRPr="00405303">
              <w:rPr>
                <w:bCs/>
                <w:color w:val="002060"/>
                <w:sz w:val="16"/>
                <w:szCs w:val="16"/>
              </w:rPr>
              <w:t>22,3</w:t>
            </w:r>
          </w:p>
        </w:tc>
        <w:tc>
          <w:tcPr>
            <w:tcW w:w="641" w:type="dxa"/>
          </w:tcPr>
          <w:p w14:paraId="04BE1F43" w14:textId="77777777" w:rsidR="004B4E35" w:rsidRPr="00405303" w:rsidRDefault="009E6F82" w:rsidP="00C15251">
            <w:pPr>
              <w:jc w:val="both"/>
              <w:rPr>
                <w:bCs/>
                <w:color w:val="002060"/>
                <w:sz w:val="16"/>
                <w:szCs w:val="16"/>
              </w:rPr>
            </w:pPr>
            <w:r w:rsidRPr="00405303">
              <w:rPr>
                <w:bCs/>
                <w:color w:val="002060"/>
                <w:sz w:val="16"/>
                <w:szCs w:val="16"/>
              </w:rPr>
              <w:t>16,7</w:t>
            </w:r>
          </w:p>
        </w:tc>
        <w:tc>
          <w:tcPr>
            <w:tcW w:w="636" w:type="dxa"/>
          </w:tcPr>
          <w:p w14:paraId="0CC20BE9"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0B4F9076"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521B79F2" w14:textId="77777777">
        <w:tc>
          <w:tcPr>
            <w:tcW w:w="837" w:type="dxa"/>
          </w:tcPr>
          <w:p w14:paraId="06FBE5B2"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636" w:type="dxa"/>
          </w:tcPr>
          <w:p w14:paraId="08A792F1" w14:textId="77777777" w:rsidR="004B4E35" w:rsidRPr="00405303" w:rsidRDefault="009E6F82" w:rsidP="00C15251">
            <w:pPr>
              <w:jc w:val="both"/>
              <w:rPr>
                <w:bCs/>
                <w:color w:val="002060"/>
                <w:sz w:val="16"/>
                <w:szCs w:val="16"/>
              </w:rPr>
            </w:pPr>
            <w:r w:rsidRPr="00405303">
              <w:rPr>
                <w:bCs/>
                <w:color w:val="002060"/>
                <w:sz w:val="16"/>
                <w:szCs w:val="16"/>
              </w:rPr>
              <w:t>19,7</w:t>
            </w:r>
          </w:p>
        </w:tc>
        <w:tc>
          <w:tcPr>
            <w:tcW w:w="641" w:type="dxa"/>
          </w:tcPr>
          <w:p w14:paraId="1FBCE0A6" w14:textId="77777777" w:rsidR="004B4E35" w:rsidRPr="00405303" w:rsidRDefault="009E6F82" w:rsidP="00C15251">
            <w:pPr>
              <w:jc w:val="both"/>
              <w:rPr>
                <w:bCs/>
                <w:color w:val="002060"/>
                <w:sz w:val="16"/>
                <w:szCs w:val="16"/>
              </w:rPr>
            </w:pPr>
            <w:r w:rsidRPr="00405303">
              <w:rPr>
                <w:bCs/>
                <w:color w:val="002060"/>
                <w:sz w:val="16"/>
                <w:szCs w:val="16"/>
              </w:rPr>
              <w:t>15,4</w:t>
            </w:r>
          </w:p>
        </w:tc>
        <w:tc>
          <w:tcPr>
            <w:tcW w:w="636" w:type="dxa"/>
          </w:tcPr>
          <w:p w14:paraId="2C030384"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0AAAB62C"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4CC4532F" w14:textId="77777777">
        <w:tc>
          <w:tcPr>
            <w:tcW w:w="837" w:type="dxa"/>
          </w:tcPr>
          <w:p w14:paraId="03220917"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636" w:type="dxa"/>
          </w:tcPr>
          <w:p w14:paraId="4BC37878" w14:textId="77777777" w:rsidR="004B4E35" w:rsidRPr="00405303" w:rsidRDefault="009E6F82" w:rsidP="00C15251">
            <w:pPr>
              <w:jc w:val="both"/>
              <w:rPr>
                <w:bCs/>
                <w:color w:val="002060"/>
                <w:sz w:val="16"/>
                <w:szCs w:val="16"/>
              </w:rPr>
            </w:pPr>
            <w:r w:rsidRPr="00405303">
              <w:rPr>
                <w:bCs/>
                <w:color w:val="002060"/>
                <w:sz w:val="16"/>
                <w:szCs w:val="16"/>
              </w:rPr>
              <w:t>26,7</w:t>
            </w:r>
          </w:p>
        </w:tc>
        <w:tc>
          <w:tcPr>
            <w:tcW w:w="641" w:type="dxa"/>
          </w:tcPr>
          <w:p w14:paraId="24F16785" w14:textId="77777777" w:rsidR="004B4E35" w:rsidRPr="00405303" w:rsidRDefault="009E6F82" w:rsidP="00C15251">
            <w:pPr>
              <w:jc w:val="both"/>
              <w:rPr>
                <w:bCs/>
                <w:color w:val="002060"/>
                <w:sz w:val="16"/>
                <w:szCs w:val="16"/>
              </w:rPr>
            </w:pPr>
            <w:r w:rsidRPr="00405303">
              <w:rPr>
                <w:bCs/>
                <w:color w:val="002060"/>
                <w:sz w:val="16"/>
                <w:szCs w:val="16"/>
              </w:rPr>
              <w:t>18,7</w:t>
            </w:r>
          </w:p>
        </w:tc>
        <w:tc>
          <w:tcPr>
            <w:tcW w:w="636" w:type="dxa"/>
          </w:tcPr>
          <w:p w14:paraId="5C1D0E37"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61B736F6"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35932641" w14:textId="77777777">
        <w:tc>
          <w:tcPr>
            <w:tcW w:w="837" w:type="dxa"/>
          </w:tcPr>
          <w:p w14:paraId="22B8076B" w14:textId="77777777" w:rsidR="004B4E35" w:rsidRPr="00405303" w:rsidRDefault="009E6F82" w:rsidP="00C15251">
            <w:pPr>
              <w:jc w:val="both"/>
              <w:rPr>
                <w:bCs/>
                <w:color w:val="002060"/>
                <w:sz w:val="16"/>
                <w:szCs w:val="16"/>
              </w:rPr>
            </w:pPr>
            <w:r w:rsidRPr="00405303">
              <w:rPr>
                <w:bCs/>
                <w:color w:val="002060"/>
                <w:sz w:val="16"/>
                <w:szCs w:val="16"/>
              </w:rPr>
              <w:t>[Всего]</w:t>
            </w:r>
          </w:p>
        </w:tc>
        <w:tc>
          <w:tcPr>
            <w:tcW w:w="636" w:type="dxa"/>
          </w:tcPr>
          <w:p w14:paraId="09016971" w14:textId="77777777" w:rsidR="004B4E35" w:rsidRPr="00405303" w:rsidRDefault="009E6F82" w:rsidP="00C15251">
            <w:pPr>
              <w:jc w:val="both"/>
              <w:rPr>
                <w:bCs/>
                <w:color w:val="002060"/>
                <w:sz w:val="16"/>
                <w:szCs w:val="16"/>
              </w:rPr>
            </w:pPr>
            <w:r w:rsidRPr="00405303">
              <w:rPr>
                <w:bCs/>
                <w:color w:val="002060"/>
                <w:sz w:val="16"/>
                <w:szCs w:val="16"/>
              </w:rPr>
              <w:t>414,4</w:t>
            </w:r>
          </w:p>
        </w:tc>
        <w:tc>
          <w:tcPr>
            <w:tcW w:w="641" w:type="dxa"/>
          </w:tcPr>
          <w:p w14:paraId="1636D82A" w14:textId="77777777" w:rsidR="004B4E35" w:rsidRPr="00405303" w:rsidRDefault="009E6F82" w:rsidP="00C15251">
            <w:pPr>
              <w:jc w:val="both"/>
              <w:rPr>
                <w:bCs/>
                <w:color w:val="002060"/>
                <w:sz w:val="16"/>
                <w:szCs w:val="16"/>
              </w:rPr>
            </w:pPr>
            <w:r w:rsidRPr="00405303">
              <w:rPr>
                <w:bCs/>
                <w:color w:val="002060"/>
                <w:sz w:val="16"/>
                <w:szCs w:val="16"/>
              </w:rPr>
              <w:t>154,6</w:t>
            </w:r>
          </w:p>
        </w:tc>
        <w:tc>
          <w:tcPr>
            <w:tcW w:w="636" w:type="dxa"/>
          </w:tcPr>
          <w:p w14:paraId="510F7B01" w14:textId="77777777" w:rsidR="004B4E35" w:rsidRPr="00405303" w:rsidRDefault="009E6F82" w:rsidP="00C15251">
            <w:pPr>
              <w:jc w:val="both"/>
              <w:rPr>
                <w:bCs/>
                <w:color w:val="002060"/>
                <w:sz w:val="16"/>
                <w:szCs w:val="16"/>
              </w:rPr>
            </w:pPr>
            <w:r w:rsidRPr="00405303">
              <w:rPr>
                <w:bCs/>
                <w:color w:val="002060"/>
                <w:sz w:val="16"/>
                <w:szCs w:val="16"/>
              </w:rPr>
              <w:t>168,7</w:t>
            </w:r>
          </w:p>
        </w:tc>
        <w:tc>
          <w:tcPr>
            <w:tcW w:w="641" w:type="dxa"/>
          </w:tcPr>
          <w:p w14:paraId="59EEB499" w14:textId="77777777" w:rsidR="004B4E35" w:rsidRPr="00405303" w:rsidRDefault="009E6F82" w:rsidP="00C15251">
            <w:pPr>
              <w:jc w:val="both"/>
              <w:rPr>
                <w:bCs/>
                <w:color w:val="002060"/>
                <w:sz w:val="16"/>
                <w:szCs w:val="16"/>
              </w:rPr>
            </w:pPr>
            <w:r w:rsidRPr="00405303">
              <w:rPr>
                <w:bCs/>
                <w:color w:val="002060"/>
                <w:sz w:val="16"/>
                <w:szCs w:val="16"/>
              </w:rPr>
              <w:t>139,8</w:t>
            </w:r>
          </w:p>
        </w:tc>
      </w:tr>
    </w:tbl>
    <w:p w14:paraId="692F48D4" w14:textId="77777777" w:rsidR="004B4E35" w:rsidRPr="00405303" w:rsidRDefault="009E6F82" w:rsidP="00C15251">
      <w:pPr>
        <w:jc w:val="both"/>
        <w:rPr>
          <w:bCs/>
          <w:color w:val="002060"/>
          <w:sz w:val="16"/>
          <w:szCs w:val="16"/>
        </w:rPr>
      </w:pPr>
      <w:r w:rsidRPr="00405303">
        <w:rPr>
          <w:bCs/>
          <w:color w:val="002060"/>
          <w:sz w:val="16"/>
          <w:szCs w:val="16"/>
        </w:rPr>
        <w:t xml:space="preserve">Цифры 1916 года показывают фактический выход продуктов. Для 1917 г. показан выход, предполагавшийся соответственно мощности заводов. Цифры выражают суммарный выход бензола и толуола, как нефтяного, так и каменноугольного. </w:t>
      </w:r>
    </w:p>
    <w:p w14:paraId="5609D637" w14:textId="77777777" w:rsidR="004B4E35" w:rsidRPr="00405303" w:rsidRDefault="009E6F82" w:rsidP="00C15251">
      <w:pPr>
        <w:jc w:val="both"/>
        <w:rPr>
          <w:bCs/>
          <w:color w:val="002060"/>
          <w:sz w:val="16"/>
          <w:szCs w:val="16"/>
        </w:rPr>
      </w:pPr>
      <w:r w:rsidRPr="00405303">
        <w:rPr>
          <w:bCs/>
          <w:color w:val="002060"/>
          <w:sz w:val="16"/>
          <w:szCs w:val="16"/>
        </w:rPr>
        <w:t xml:space="preserve">Количество каменноугольного продукта составляет от общего количества следующий процент: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792"/>
      </w:tblGrid>
      <w:tr w:rsidR="004B4E35" w:rsidRPr="00405303" w14:paraId="76566F71" w14:textId="77777777">
        <w:tc>
          <w:tcPr>
            <w:tcW w:w="1896" w:type="dxa"/>
          </w:tcPr>
          <w:p w14:paraId="526BD6B8" w14:textId="77777777" w:rsidR="004B4E35" w:rsidRPr="00405303" w:rsidRDefault="009E6F82" w:rsidP="00C15251">
            <w:pPr>
              <w:jc w:val="both"/>
              <w:rPr>
                <w:bCs/>
                <w:color w:val="002060"/>
                <w:sz w:val="16"/>
                <w:szCs w:val="16"/>
              </w:rPr>
            </w:pPr>
            <w:r w:rsidRPr="00405303">
              <w:rPr>
                <w:bCs/>
                <w:color w:val="002060"/>
                <w:sz w:val="16"/>
                <w:szCs w:val="16"/>
              </w:rPr>
              <w:t>В январе 1916 г.</w:t>
            </w:r>
          </w:p>
        </w:tc>
        <w:tc>
          <w:tcPr>
            <w:tcW w:w="792" w:type="dxa"/>
          </w:tcPr>
          <w:p w14:paraId="0E19296A" w14:textId="77777777" w:rsidR="004B4E35" w:rsidRPr="00405303" w:rsidRDefault="009E6F82" w:rsidP="00C15251">
            <w:pPr>
              <w:jc w:val="both"/>
              <w:rPr>
                <w:bCs/>
                <w:color w:val="002060"/>
                <w:sz w:val="16"/>
                <w:szCs w:val="16"/>
              </w:rPr>
            </w:pPr>
            <w:r w:rsidRPr="00405303">
              <w:rPr>
                <w:bCs/>
                <w:color w:val="002060"/>
                <w:sz w:val="16"/>
                <w:szCs w:val="16"/>
              </w:rPr>
              <w:t xml:space="preserve">100% </w:t>
            </w:r>
          </w:p>
        </w:tc>
      </w:tr>
      <w:tr w:rsidR="004B4E35" w:rsidRPr="00405303" w14:paraId="67BE435E" w14:textId="77777777">
        <w:tc>
          <w:tcPr>
            <w:tcW w:w="1896" w:type="dxa"/>
          </w:tcPr>
          <w:p w14:paraId="6CFE3B22" w14:textId="77777777" w:rsidR="004B4E35" w:rsidRPr="00405303" w:rsidRDefault="009E6F82" w:rsidP="00C15251">
            <w:pPr>
              <w:jc w:val="both"/>
              <w:rPr>
                <w:bCs/>
                <w:color w:val="002060"/>
                <w:sz w:val="16"/>
                <w:szCs w:val="16"/>
              </w:rPr>
            </w:pPr>
            <w:r w:rsidRPr="00405303">
              <w:rPr>
                <w:bCs/>
                <w:color w:val="002060"/>
                <w:sz w:val="16"/>
                <w:szCs w:val="16"/>
              </w:rPr>
              <w:t>В январе 1917 г.</w:t>
            </w:r>
          </w:p>
        </w:tc>
        <w:tc>
          <w:tcPr>
            <w:tcW w:w="792" w:type="dxa"/>
          </w:tcPr>
          <w:p w14:paraId="702F7592" w14:textId="77777777" w:rsidR="004B4E35" w:rsidRPr="00405303" w:rsidRDefault="009E6F82" w:rsidP="00C15251">
            <w:pPr>
              <w:jc w:val="both"/>
              <w:rPr>
                <w:bCs/>
                <w:color w:val="002060"/>
                <w:sz w:val="16"/>
                <w:szCs w:val="16"/>
              </w:rPr>
            </w:pPr>
            <w:r w:rsidRPr="00405303">
              <w:rPr>
                <w:bCs/>
                <w:color w:val="002060"/>
                <w:sz w:val="16"/>
                <w:szCs w:val="16"/>
              </w:rPr>
              <w:t xml:space="preserve">70% </w:t>
            </w:r>
          </w:p>
        </w:tc>
      </w:tr>
    </w:tbl>
    <w:p w14:paraId="092B6B8E" w14:textId="77777777" w:rsidR="004B4E35" w:rsidRPr="00405303" w:rsidRDefault="009E6F82" w:rsidP="00C15251">
      <w:pPr>
        <w:jc w:val="both"/>
        <w:rPr>
          <w:bCs/>
          <w:color w:val="002060"/>
          <w:sz w:val="16"/>
          <w:szCs w:val="16"/>
        </w:rPr>
      </w:pPr>
      <w:r w:rsidRPr="00405303">
        <w:rPr>
          <w:bCs/>
          <w:color w:val="002060"/>
          <w:sz w:val="16"/>
          <w:szCs w:val="16"/>
        </w:rPr>
        <w:t xml:space="preserve">С 1909 г. для снаряжения фугасных снарядов был принят в армии и флоте тротил. Однако заводы взрывчатых веществ, изготовлявшие тротил, Самарский казенный и Шлиссельбургский частный, по состоянию их мощности на 1917 г. далеко не могли покрыть той потребности во взрывчатых веществах для снарядов, которая была заявлена военным ведомством уже в первый, а в особенности во второй год войны. </w:t>
      </w:r>
    </w:p>
    <w:p w14:paraId="61C9EA78" w14:textId="77777777" w:rsidR="004B4E35" w:rsidRPr="00405303" w:rsidRDefault="009E6F82" w:rsidP="00C15251">
      <w:pPr>
        <w:jc w:val="both"/>
        <w:rPr>
          <w:bCs/>
          <w:color w:val="002060"/>
          <w:sz w:val="16"/>
          <w:szCs w:val="16"/>
        </w:rPr>
      </w:pPr>
      <w:r w:rsidRPr="00405303">
        <w:rPr>
          <w:bCs/>
          <w:color w:val="002060"/>
          <w:sz w:val="16"/>
          <w:szCs w:val="16"/>
        </w:rPr>
        <w:t xml:space="preserve">Поэтому Комиссия Ипатьева наряду с другими задачами поставила себе целью развивать производство как тротила, так и других взрывчатых веществ, пригодных для военных целей. Среди них главное место занимала пикриновая кислота, которая до тротила около 15 лет применялась в русской армии как вещество для снаряжения фугасных и бризантных снарядов и была хорошо изучена. </w:t>
      </w:r>
    </w:p>
    <w:p w14:paraId="1A34ED2A" w14:textId="77777777" w:rsidR="004B4E35" w:rsidRPr="00405303" w:rsidRDefault="009E6F82" w:rsidP="00C15251">
      <w:pPr>
        <w:jc w:val="both"/>
        <w:rPr>
          <w:bCs/>
          <w:color w:val="002060"/>
          <w:sz w:val="16"/>
          <w:szCs w:val="16"/>
        </w:rPr>
      </w:pPr>
      <w:r w:rsidRPr="00405303">
        <w:rPr>
          <w:bCs/>
          <w:color w:val="002060"/>
          <w:sz w:val="16"/>
          <w:szCs w:val="16"/>
        </w:rPr>
        <w:t xml:space="preserve">Натуральный фенол, получаемый из каменноугольной смолы, из которого ранее фабриковалась пикриновая кислота, в России почти не вырабатывался. Поэтому проф. Ипатьев озаботился прежде всего поставить производство синтетического фенола через сульфацию бензола и получение из него пикриновой кислоты. Ранее других это производство было организовано на заводе Фарбверке в Москве. Начав производство в мае 1915 г., завод в декабре мог давать уже до 6000 пудов в месяц. Затем были устроены заводы синтетического фенола: у ст. Рубежной, при заводе "Русско-Краска", и у ст. Шахтной Донецкой области при заводе Парамонова. </w:t>
      </w:r>
    </w:p>
    <w:p w14:paraId="7B7B297D" w14:textId="77777777" w:rsidR="004B4E35" w:rsidRPr="00405303" w:rsidRDefault="009E6F82" w:rsidP="00C15251">
      <w:pPr>
        <w:jc w:val="both"/>
        <w:rPr>
          <w:bCs/>
          <w:color w:val="002060"/>
          <w:sz w:val="16"/>
          <w:szCs w:val="16"/>
        </w:rPr>
      </w:pPr>
      <w:r w:rsidRPr="00405303">
        <w:rPr>
          <w:bCs/>
          <w:color w:val="002060"/>
          <w:sz w:val="16"/>
          <w:szCs w:val="16"/>
        </w:rPr>
        <w:t xml:space="preserve">Так как производство синтетического фенола в нормальных условиях спроса не может выдерживать конкуренцию с фенолом натуральным, то Химический комитет, заботясь о нормальном развитии химической промышленности в дальнейшем, когда кончится война, организовал также получение карболовой кислоты и крезолов из тяжелой каменноугольной смолы и очистку этих продуктов. С этой целью был Львовым построен завод при ст. Железной Екатеринославской железной дороги. </w:t>
      </w:r>
    </w:p>
    <w:p w14:paraId="3EF39A52" w14:textId="77777777" w:rsidR="004B4E35" w:rsidRPr="00405303" w:rsidRDefault="009E6F82" w:rsidP="00C15251">
      <w:pPr>
        <w:jc w:val="both"/>
        <w:rPr>
          <w:bCs/>
          <w:color w:val="002060"/>
          <w:sz w:val="16"/>
          <w:szCs w:val="16"/>
        </w:rPr>
      </w:pPr>
      <w:r w:rsidRPr="00405303">
        <w:rPr>
          <w:bCs/>
          <w:color w:val="002060"/>
          <w:sz w:val="16"/>
          <w:szCs w:val="16"/>
        </w:rPr>
        <w:t xml:space="preserve">Выработка синтетического фенола в 1916 г. выражается в следующих цифрах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08"/>
        <w:gridCol w:w="792"/>
      </w:tblGrid>
      <w:tr w:rsidR="004B4E35" w:rsidRPr="00405303" w14:paraId="7D0D1F85" w14:textId="77777777">
        <w:tc>
          <w:tcPr>
            <w:tcW w:w="2808" w:type="dxa"/>
          </w:tcPr>
          <w:p w14:paraId="227403A6" w14:textId="77777777" w:rsidR="004B4E35" w:rsidRPr="00405303" w:rsidRDefault="009E6F82" w:rsidP="00C15251">
            <w:pPr>
              <w:jc w:val="both"/>
              <w:rPr>
                <w:bCs/>
                <w:color w:val="002060"/>
                <w:sz w:val="16"/>
                <w:szCs w:val="16"/>
              </w:rPr>
            </w:pPr>
            <w:r w:rsidRPr="00405303">
              <w:rPr>
                <w:bCs/>
                <w:color w:val="002060"/>
                <w:sz w:val="16"/>
                <w:szCs w:val="16"/>
              </w:rPr>
              <w:t>Первое полугодие 1916 г.</w:t>
            </w:r>
          </w:p>
        </w:tc>
        <w:tc>
          <w:tcPr>
            <w:tcW w:w="792" w:type="dxa"/>
          </w:tcPr>
          <w:p w14:paraId="57BCB232" w14:textId="77777777" w:rsidR="004B4E35" w:rsidRPr="00405303" w:rsidRDefault="009E6F82" w:rsidP="00C15251">
            <w:pPr>
              <w:jc w:val="both"/>
              <w:rPr>
                <w:bCs/>
                <w:color w:val="002060"/>
                <w:sz w:val="16"/>
                <w:szCs w:val="16"/>
              </w:rPr>
            </w:pPr>
            <w:r w:rsidRPr="00405303">
              <w:rPr>
                <w:bCs/>
                <w:color w:val="002060"/>
                <w:sz w:val="16"/>
                <w:szCs w:val="16"/>
              </w:rPr>
              <w:t xml:space="preserve">51.8 </w:t>
            </w:r>
          </w:p>
        </w:tc>
      </w:tr>
      <w:tr w:rsidR="004B4E35" w:rsidRPr="00405303" w14:paraId="37457D96" w14:textId="77777777">
        <w:tc>
          <w:tcPr>
            <w:tcW w:w="2808" w:type="dxa"/>
          </w:tcPr>
          <w:p w14:paraId="7B7F3F14" w14:textId="77777777" w:rsidR="004B4E35" w:rsidRPr="00405303" w:rsidRDefault="009E6F82" w:rsidP="00C15251">
            <w:pPr>
              <w:jc w:val="both"/>
              <w:rPr>
                <w:bCs/>
                <w:color w:val="002060"/>
                <w:sz w:val="16"/>
                <w:szCs w:val="16"/>
              </w:rPr>
            </w:pPr>
            <w:r w:rsidRPr="00405303">
              <w:rPr>
                <w:bCs/>
                <w:color w:val="002060"/>
                <w:sz w:val="16"/>
                <w:szCs w:val="16"/>
              </w:rPr>
              <w:t>Второе полугодие 1916 г.</w:t>
            </w:r>
          </w:p>
        </w:tc>
        <w:tc>
          <w:tcPr>
            <w:tcW w:w="792" w:type="dxa"/>
          </w:tcPr>
          <w:p w14:paraId="5BA3D594" w14:textId="77777777" w:rsidR="004B4E35" w:rsidRPr="00405303" w:rsidRDefault="009E6F82" w:rsidP="00C15251">
            <w:pPr>
              <w:jc w:val="both"/>
              <w:rPr>
                <w:bCs/>
                <w:color w:val="002060"/>
                <w:sz w:val="16"/>
                <w:szCs w:val="16"/>
              </w:rPr>
            </w:pPr>
            <w:r w:rsidRPr="00405303">
              <w:rPr>
                <w:bCs/>
                <w:color w:val="002060"/>
                <w:sz w:val="16"/>
                <w:szCs w:val="16"/>
              </w:rPr>
              <w:t xml:space="preserve">73.1 </w:t>
            </w:r>
          </w:p>
        </w:tc>
      </w:tr>
      <w:tr w:rsidR="004B4E35" w:rsidRPr="00405303" w14:paraId="3B7A177A" w14:textId="77777777">
        <w:tc>
          <w:tcPr>
            <w:tcW w:w="2808" w:type="dxa"/>
          </w:tcPr>
          <w:p w14:paraId="7FEFAFC4" w14:textId="77777777" w:rsidR="004B4E35" w:rsidRPr="00405303" w:rsidRDefault="009E6F82" w:rsidP="00C15251">
            <w:pPr>
              <w:jc w:val="both"/>
              <w:rPr>
                <w:bCs/>
                <w:color w:val="002060"/>
                <w:sz w:val="16"/>
                <w:szCs w:val="16"/>
              </w:rPr>
            </w:pPr>
            <w:r w:rsidRPr="00405303">
              <w:rPr>
                <w:bCs/>
                <w:color w:val="002060"/>
                <w:sz w:val="16"/>
                <w:szCs w:val="16"/>
              </w:rPr>
              <w:t>Всего за 1916 г.</w:t>
            </w:r>
          </w:p>
        </w:tc>
        <w:tc>
          <w:tcPr>
            <w:tcW w:w="792" w:type="dxa"/>
          </w:tcPr>
          <w:p w14:paraId="2936EEF6" w14:textId="77777777" w:rsidR="004B4E35" w:rsidRPr="00405303" w:rsidRDefault="009E6F82" w:rsidP="00C15251">
            <w:pPr>
              <w:jc w:val="both"/>
              <w:rPr>
                <w:bCs/>
                <w:color w:val="002060"/>
                <w:sz w:val="16"/>
                <w:szCs w:val="16"/>
              </w:rPr>
            </w:pPr>
            <w:r w:rsidRPr="00405303">
              <w:rPr>
                <w:bCs/>
                <w:color w:val="002060"/>
                <w:sz w:val="16"/>
                <w:szCs w:val="16"/>
              </w:rPr>
              <w:t>124.9.</w:t>
            </w:r>
          </w:p>
        </w:tc>
      </w:tr>
    </w:tbl>
    <w:p w14:paraId="55E3816E" w14:textId="77777777" w:rsidR="004B4E35" w:rsidRPr="00405303" w:rsidRDefault="009E6F82" w:rsidP="00C15251">
      <w:pPr>
        <w:jc w:val="both"/>
        <w:rPr>
          <w:bCs/>
          <w:color w:val="002060"/>
          <w:sz w:val="16"/>
          <w:szCs w:val="16"/>
        </w:rPr>
      </w:pPr>
      <w:r w:rsidRPr="00405303">
        <w:rPr>
          <w:bCs/>
          <w:color w:val="002060"/>
          <w:sz w:val="16"/>
          <w:szCs w:val="16"/>
        </w:rPr>
        <w:t xml:space="preserve">До войны серная кислота вырабатывалась в России в количестве до 1,25 млн пудов в месяц. Колчедан, необходимый для этой цели, в четверть добывался на Урале, остальные же три четверти привозились из-за границы. </w:t>
      </w:r>
    </w:p>
    <w:p w14:paraId="13E93833" w14:textId="77777777" w:rsidR="004B4E35" w:rsidRPr="00405303" w:rsidRDefault="009E6F82" w:rsidP="00C15251">
      <w:pPr>
        <w:jc w:val="both"/>
        <w:rPr>
          <w:bCs/>
          <w:color w:val="002060"/>
          <w:sz w:val="16"/>
          <w:szCs w:val="16"/>
        </w:rPr>
      </w:pPr>
      <w:r w:rsidRPr="00405303">
        <w:rPr>
          <w:bCs/>
          <w:color w:val="002060"/>
          <w:sz w:val="16"/>
          <w:szCs w:val="16"/>
        </w:rPr>
        <w:t xml:space="preserve">В связи с военными операциями на Западном фронте сернокислотные заводы Прибалтики и Царства Польского прекратили работы, благодаря чему с общего счета нужно было скинуть 0,5 млн пудов месячной производительности. </w:t>
      </w:r>
    </w:p>
    <w:p w14:paraId="751DAAD5" w14:textId="77777777" w:rsidR="004B4E35" w:rsidRPr="00405303" w:rsidRDefault="009E6F82" w:rsidP="00C15251">
      <w:pPr>
        <w:jc w:val="both"/>
        <w:rPr>
          <w:bCs/>
          <w:color w:val="002060"/>
          <w:sz w:val="16"/>
          <w:szCs w:val="16"/>
        </w:rPr>
      </w:pPr>
      <w:r w:rsidRPr="00405303">
        <w:rPr>
          <w:bCs/>
          <w:color w:val="002060"/>
          <w:sz w:val="16"/>
          <w:szCs w:val="16"/>
        </w:rPr>
        <w:t xml:space="preserve">Такое положение с серной кислотой являлось угрозой делу производства порохов и взрывчатых веществ, которые вместе с ростом производства основных материалов — толуола, бензола и пр. — должны были и дальше сильно расти, соответственно с заданиями высшего командования. Поэтому требовались энергичные мероприятия со стороны Комиссии Ипатьева по восстановлению и развитию сернокислотного дела и исходных материалов для него. </w:t>
      </w:r>
    </w:p>
    <w:p w14:paraId="0E2F90F6" w14:textId="77777777" w:rsidR="004B4E35" w:rsidRPr="00405303" w:rsidRDefault="009E6F82" w:rsidP="00C15251">
      <w:pPr>
        <w:jc w:val="both"/>
        <w:rPr>
          <w:bCs/>
          <w:color w:val="002060"/>
          <w:sz w:val="16"/>
          <w:szCs w:val="16"/>
        </w:rPr>
      </w:pPr>
      <w:r w:rsidRPr="00405303">
        <w:rPr>
          <w:bCs/>
          <w:color w:val="002060"/>
          <w:sz w:val="16"/>
          <w:szCs w:val="16"/>
        </w:rPr>
        <w:t xml:space="preserve">С целью выяснить вопрос о возможности постройки новых сернокислотных заводов и развития старых, а также усиления добычи колчедана, в июне 1915 г. был собран съезд кислотозаводчиков и представителей серноколчеданных рудников. На съезде была выработала детальная программа развития сернокислотного и колчеданного дела, и, по утверждении ее Особым совещанием по обороне, с лета 1915 г. было приступлено к осуществлению ее. </w:t>
      </w:r>
    </w:p>
    <w:p w14:paraId="51D8F047" w14:textId="77777777" w:rsidR="004B4E35" w:rsidRPr="00405303" w:rsidRDefault="009E6F82" w:rsidP="00C15251">
      <w:pPr>
        <w:jc w:val="both"/>
        <w:rPr>
          <w:bCs/>
          <w:color w:val="002060"/>
          <w:sz w:val="16"/>
          <w:szCs w:val="16"/>
        </w:rPr>
      </w:pPr>
      <w:proofErr w:type="gramStart"/>
      <w:r w:rsidRPr="00405303">
        <w:rPr>
          <w:bCs/>
          <w:color w:val="002060"/>
          <w:sz w:val="16"/>
          <w:szCs w:val="16"/>
        </w:rPr>
        <w:t>Согласно программы</w:t>
      </w:r>
      <w:proofErr w:type="gramEnd"/>
      <w:r w:rsidRPr="00405303">
        <w:rPr>
          <w:bCs/>
          <w:color w:val="002060"/>
          <w:sz w:val="16"/>
          <w:szCs w:val="16"/>
        </w:rPr>
        <w:t xml:space="preserve">, намечена была постройка с лета 1915 г. до 20 заводов серной кислоты, которые должны были увеличить вдвое выработку кислоты. Часть этих заводов предположена была к оборудованию контактными системами. </w:t>
      </w:r>
    </w:p>
    <w:p w14:paraId="0A86B581" w14:textId="77777777" w:rsidR="004B4E35" w:rsidRPr="00405303" w:rsidRDefault="009E6F82" w:rsidP="00C15251">
      <w:pPr>
        <w:jc w:val="both"/>
        <w:rPr>
          <w:bCs/>
          <w:color w:val="002060"/>
          <w:sz w:val="16"/>
          <w:szCs w:val="16"/>
        </w:rPr>
      </w:pPr>
      <w:r w:rsidRPr="00405303">
        <w:rPr>
          <w:bCs/>
          <w:color w:val="002060"/>
          <w:sz w:val="16"/>
          <w:szCs w:val="16"/>
        </w:rPr>
        <w:t xml:space="preserve">Для наблюдения на местах за производством кислоты и правильного распределения ее между заводами военной и частной промышленности, а также для наблюдения за строительством, Комиссией по заготовлению взрывчатых веществ были организованы районные бюро. Районов было установлено шесть: Петроградский, Московский, Верхневолжский, Казанский, Уральский, Южный и Кавказский. </w:t>
      </w:r>
    </w:p>
    <w:p w14:paraId="6CEDC3F1" w14:textId="77777777" w:rsidR="004B4E35" w:rsidRPr="00405303" w:rsidRDefault="009E6F82" w:rsidP="00C15251">
      <w:pPr>
        <w:jc w:val="both"/>
        <w:rPr>
          <w:bCs/>
          <w:color w:val="002060"/>
          <w:sz w:val="16"/>
          <w:szCs w:val="16"/>
        </w:rPr>
      </w:pPr>
      <w:r w:rsidRPr="00405303">
        <w:rPr>
          <w:bCs/>
          <w:color w:val="002060"/>
          <w:sz w:val="16"/>
          <w:szCs w:val="16"/>
        </w:rPr>
        <w:t xml:space="preserve">Весьма серьезным вопросом являлось правильное распределение кислоты между потребителями частной промышленности, так как в связи с кислотным кризисом на рынке началась спекуляция и искусственное вздутие цен на этот материал. </w:t>
      </w:r>
    </w:p>
    <w:p w14:paraId="7882E996" w14:textId="77777777" w:rsidR="004B4E35" w:rsidRPr="00405303" w:rsidRDefault="009E6F82" w:rsidP="00C15251">
      <w:pPr>
        <w:jc w:val="both"/>
        <w:rPr>
          <w:bCs/>
          <w:color w:val="002060"/>
          <w:sz w:val="16"/>
          <w:szCs w:val="16"/>
        </w:rPr>
      </w:pPr>
      <w:r w:rsidRPr="00405303">
        <w:rPr>
          <w:bCs/>
          <w:color w:val="002060"/>
          <w:sz w:val="16"/>
          <w:szCs w:val="16"/>
        </w:rPr>
        <w:t xml:space="preserve">Ниже приводится таблица, в которой по месяцам указаны: 1) программа работы по производству серной кислоты заводов, существовавших к осени 1915 г., 2) число вновь организованных заводов, вступивших в работу, 3) программа, работы последних и 4) суммарный выпуск серной кислоты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1503"/>
        <w:gridCol w:w="1092"/>
        <w:gridCol w:w="1792"/>
        <w:gridCol w:w="972"/>
      </w:tblGrid>
      <w:tr w:rsidR="004B4E35" w:rsidRPr="00405303" w14:paraId="40184543" w14:textId="77777777">
        <w:tc>
          <w:tcPr>
            <w:tcW w:w="1248" w:type="dxa"/>
          </w:tcPr>
          <w:p w14:paraId="51481534" w14:textId="6563DDB9" w:rsidR="004B4E35" w:rsidRPr="00405303" w:rsidRDefault="00DB4D64" w:rsidP="00C15251">
            <w:pPr>
              <w:jc w:val="both"/>
              <w:rPr>
                <w:bCs/>
                <w:color w:val="002060"/>
                <w:sz w:val="16"/>
                <w:szCs w:val="16"/>
              </w:rPr>
            </w:pPr>
            <w:r w:rsidRPr="00405303">
              <w:rPr>
                <w:bCs/>
                <w:color w:val="002060"/>
                <w:sz w:val="16"/>
                <w:szCs w:val="16"/>
              </w:rPr>
              <w:lastRenderedPageBreak/>
              <w:t xml:space="preserve"> </w:t>
            </w:r>
          </w:p>
        </w:tc>
        <w:tc>
          <w:tcPr>
            <w:tcW w:w="1503" w:type="dxa"/>
          </w:tcPr>
          <w:p w14:paraId="55625384" w14:textId="77777777" w:rsidR="004B4E35" w:rsidRPr="00405303" w:rsidRDefault="009E6F82" w:rsidP="00C15251">
            <w:pPr>
              <w:jc w:val="both"/>
              <w:rPr>
                <w:bCs/>
                <w:color w:val="002060"/>
                <w:sz w:val="16"/>
                <w:szCs w:val="16"/>
              </w:rPr>
            </w:pPr>
            <w:r w:rsidRPr="00405303">
              <w:rPr>
                <w:bCs/>
                <w:color w:val="002060"/>
                <w:sz w:val="16"/>
                <w:szCs w:val="16"/>
              </w:rPr>
              <w:t>Существовавшие к осени 1915 г. заводы</w:t>
            </w:r>
          </w:p>
        </w:tc>
        <w:tc>
          <w:tcPr>
            <w:tcW w:w="1092" w:type="dxa"/>
          </w:tcPr>
          <w:p w14:paraId="382AD0CF" w14:textId="77777777" w:rsidR="004B4E35" w:rsidRPr="00405303" w:rsidRDefault="009E6F82" w:rsidP="00C15251">
            <w:pPr>
              <w:jc w:val="both"/>
              <w:rPr>
                <w:bCs/>
                <w:color w:val="002060"/>
                <w:sz w:val="16"/>
                <w:szCs w:val="16"/>
              </w:rPr>
            </w:pPr>
            <w:r w:rsidRPr="00405303">
              <w:rPr>
                <w:bCs/>
                <w:color w:val="002060"/>
                <w:sz w:val="16"/>
                <w:szCs w:val="16"/>
              </w:rPr>
              <w:t>Число новых заводов</w:t>
            </w:r>
          </w:p>
        </w:tc>
        <w:tc>
          <w:tcPr>
            <w:tcW w:w="1792" w:type="dxa"/>
          </w:tcPr>
          <w:p w14:paraId="5D997794" w14:textId="77777777" w:rsidR="004B4E35" w:rsidRPr="00405303" w:rsidRDefault="009E6F82" w:rsidP="00C15251">
            <w:pPr>
              <w:jc w:val="both"/>
              <w:rPr>
                <w:bCs/>
                <w:color w:val="002060"/>
                <w:sz w:val="16"/>
                <w:szCs w:val="16"/>
              </w:rPr>
            </w:pPr>
            <w:r w:rsidRPr="00405303">
              <w:rPr>
                <w:bCs/>
                <w:color w:val="002060"/>
                <w:sz w:val="16"/>
                <w:szCs w:val="16"/>
              </w:rPr>
              <w:t>Производительность новых заводов</w:t>
            </w:r>
          </w:p>
        </w:tc>
        <w:tc>
          <w:tcPr>
            <w:tcW w:w="972" w:type="dxa"/>
          </w:tcPr>
          <w:p w14:paraId="638D558F" w14:textId="77777777" w:rsidR="004B4E35" w:rsidRPr="00405303" w:rsidRDefault="009E6F82" w:rsidP="00C15251">
            <w:pPr>
              <w:jc w:val="both"/>
              <w:rPr>
                <w:bCs/>
                <w:color w:val="002060"/>
                <w:sz w:val="16"/>
                <w:szCs w:val="16"/>
              </w:rPr>
            </w:pPr>
            <w:r w:rsidRPr="00405303">
              <w:rPr>
                <w:bCs/>
                <w:color w:val="002060"/>
                <w:sz w:val="16"/>
                <w:szCs w:val="16"/>
              </w:rPr>
              <w:t xml:space="preserve">Итого старые и новые </w:t>
            </w:r>
          </w:p>
        </w:tc>
      </w:tr>
      <w:tr w:rsidR="004B4E35" w:rsidRPr="00405303" w14:paraId="717971B3" w14:textId="77777777">
        <w:tc>
          <w:tcPr>
            <w:tcW w:w="1248" w:type="dxa"/>
          </w:tcPr>
          <w:p w14:paraId="7E25EDE8" w14:textId="3C375018" w:rsidR="004B4E35" w:rsidRPr="00405303" w:rsidRDefault="00DB4D64" w:rsidP="00C15251">
            <w:pPr>
              <w:jc w:val="both"/>
              <w:rPr>
                <w:bCs/>
                <w:color w:val="002060"/>
                <w:sz w:val="16"/>
                <w:szCs w:val="16"/>
              </w:rPr>
            </w:pPr>
            <w:r w:rsidRPr="00405303">
              <w:rPr>
                <w:bCs/>
                <w:color w:val="002060"/>
                <w:sz w:val="16"/>
                <w:szCs w:val="16"/>
              </w:rPr>
              <w:t xml:space="preserve"> </w:t>
            </w:r>
          </w:p>
        </w:tc>
        <w:tc>
          <w:tcPr>
            <w:tcW w:w="4387" w:type="dxa"/>
            <w:gridSpan w:val="3"/>
          </w:tcPr>
          <w:p w14:paraId="1024E3EE" w14:textId="77777777" w:rsidR="004B4E35" w:rsidRPr="00405303" w:rsidRDefault="009E6F82" w:rsidP="00C15251">
            <w:pPr>
              <w:jc w:val="both"/>
              <w:rPr>
                <w:bCs/>
                <w:color w:val="002060"/>
                <w:sz w:val="16"/>
                <w:szCs w:val="16"/>
              </w:rPr>
            </w:pPr>
            <w:r w:rsidRPr="00405303">
              <w:rPr>
                <w:bCs/>
                <w:color w:val="002060"/>
                <w:sz w:val="16"/>
                <w:szCs w:val="16"/>
              </w:rPr>
              <w:t>Программа</w:t>
            </w:r>
          </w:p>
        </w:tc>
        <w:tc>
          <w:tcPr>
            <w:tcW w:w="972" w:type="dxa"/>
          </w:tcPr>
          <w:p w14:paraId="7248E4AB" w14:textId="2DBC42AD" w:rsidR="004B4E35" w:rsidRPr="00405303" w:rsidRDefault="00DB4D64" w:rsidP="00C15251">
            <w:pPr>
              <w:jc w:val="both"/>
              <w:rPr>
                <w:bCs/>
                <w:color w:val="002060"/>
                <w:sz w:val="16"/>
                <w:szCs w:val="16"/>
              </w:rPr>
            </w:pPr>
            <w:r w:rsidRPr="00405303">
              <w:rPr>
                <w:bCs/>
                <w:color w:val="002060"/>
                <w:sz w:val="16"/>
                <w:szCs w:val="16"/>
              </w:rPr>
              <w:t xml:space="preserve"> </w:t>
            </w:r>
          </w:p>
        </w:tc>
      </w:tr>
      <w:tr w:rsidR="004B4E35" w:rsidRPr="00405303" w14:paraId="11A93A19" w14:textId="77777777">
        <w:tc>
          <w:tcPr>
            <w:tcW w:w="1248" w:type="dxa"/>
          </w:tcPr>
          <w:p w14:paraId="5B0BCA59" w14:textId="77777777" w:rsidR="004B4E35" w:rsidRPr="00405303" w:rsidRDefault="009E6F82" w:rsidP="00C15251">
            <w:pPr>
              <w:jc w:val="both"/>
              <w:rPr>
                <w:bCs/>
                <w:color w:val="002060"/>
                <w:sz w:val="16"/>
                <w:szCs w:val="16"/>
              </w:rPr>
            </w:pPr>
            <w:r w:rsidRPr="00405303">
              <w:rPr>
                <w:bCs/>
                <w:color w:val="002060"/>
                <w:sz w:val="16"/>
                <w:szCs w:val="16"/>
              </w:rPr>
              <w:t>Декабрь 1915 г.</w:t>
            </w:r>
          </w:p>
        </w:tc>
        <w:tc>
          <w:tcPr>
            <w:tcW w:w="1503" w:type="dxa"/>
          </w:tcPr>
          <w:p w14:paraId="6E5EAEF1"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416A41FF" w14:textId="77777777" w:rsidR="004B4E35" w:rsidRPr="00405303" w:rsidRDefault="009E6F82" w:rsidP="00C15251">
            <w:pPr>
              <w:jc w:val="both"/>
              <w:rPr>
                <w:bCs/>
                <w:color w:val="002060"/>
                <w:sz w:val="16"/>
                <w:szCs w:val="16"/>
              </w:rPr>
            </w:pPr>
            <w:r w:rsidRPr="00405303">
              <w:rPr>
                <w:bCs/>
                <w:color w:val="002060"/>
                <w:sz w:val="16"/>
                <w:szCs w:val="16"/>
              </w:rPr>
              <w:t>2</w:t>
            </w:r>
          </w:p>
        </w:tc>
        <w:tc>
          <w:tcPr>
            <w:tcW w:w="1792" w:type="dxa"/>
          </w:tcPr>
          <w:p w14:paraId="2472A396" w14:textId="77777777" w:rsidR="004B4E35" w:rsidRPr="00405303" w:rsidRDefault="009E6F82" w:rsidP="00C15251">
            <w:pPr>
              <w:jc w:val="both"/>
              <w:rPr>
                <w:bCs/>
                <w:color w:val="002060"/>
                <w:sz w:val="16"/>
                <w:szCs w:val="16"/>
              </w:rPr>
            </w:pPr>
            <w:r w:rsidRPr="00405303">
              <w:rPr>
                <w:bCs/>
                <w:color w:val="002060"/>
                <w:sz w:val="16"/>
                <w:szCs w:val="16"/>
              </w:rPr>
              <w:t>75</w:t>
            </w:r>
          </w:p>
        </w:tc>
        <w:tc>
          <w:tcPr>
            <w:tcW w:w="972" w:type="dxa"/>
          </w:tcPr>
          <w:p w14:paraId="5CFA8410" w14:textId="77777777" w:rsidR="004B4E35" w:rsidRPr="00405303" w:rsidRDefault="009E6F82" w:rsidP="00C15251">
            <w:pPr>
              <w:jc w:val="both"/>
              <w:rPr>
                <w:bCs/>
                <w:color w:val="002060"/>
                <w:sz w:val="16"/>
                <w:szCs w:val="16"/>
              </w:rPr>
            </w:pPr>
            <w:r w:rsidRPr="00405303">
              <w:rPr>
                <w:bCs/>
                <w:color w:val="002060"/>
                <w:sz w:val="16"/>
                <w:szCs w:val="16"/>
              </w:rPr>
              <w:t>875</w:t>
            </w:r>
          </w:p>
        </w:tc>
      </w:tr>
      <w:tr w:rsidR="004B4E35" w:rsidRPr="00405303" w14:paraId="7E99249E" w14:textId="77777777">
        <w:tc>
          <w:tcPr>
            <w:tcW w:w="1248" w:type="dxa"/>
          </w:tcPr>
          <w:p w14:paraId="24269438" w14:textId="77777777" w:rsidR="004B4E35" w:rsidRPr="00405303" w:rsidRDefault="009E6F82" w:rsidP="00C15251">
            <w:pPr>
              <w:jc w:val="both"/>
              <w:rPr>
                <w:bCs/>
                <w:color w:val="002060"/>
                <w:sz w:val="16"/>
                <w:szCs w:val="16"/>
              </w:rPr>
            </w:pPr>
            <w:r w:rsidRPr="00405303">
              <w:rPr>
                <w:bCs/>
                <w:color w:val="002060"/>
                <w:sz w:val="16"/>
                <w:szCs w:val="16"/>
              </w:rPr>
              <w:t>Январь 1916 г.</w:t>
            </w:r>
          </w:p>
        </w:tc>
        <w:tc>
          <w:tcPr>
            <w:tcW w:w="1503" w:type="dxa"/>
          </w:tcPr>
          <w:p w14:paraId="7710F897"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611DA74C" w14:textId="77777777" w:rsidR="004B4E35" w:rsidRPr="00405303" w:rsidRDefault="009E6F82" w:rsidP="00C15251">
            <w:pPr>
              <w:jc w:val="both"/>
              <w:rPr>
                <w:bCs/>
                <w:color w:val="002060"/>
                <w:sz w:val="16"/>
                <w:szCs w:val="16"/>
              </w:rPr>
            </w:pPr>
            <w:r w:rsidRPr="00405303">
              <w:rPr>
                <w:bCs/>
                <w:color w:val="002060"/>
                <w:sz w:val="16"/>
                <w:szCs w:val="16"/>
              </w:rPr>
              <w:t>6</w:t>
            </w:r>
          </w:p>
        </w:tc>
        <w:tc>
          <w:tcPr>
            <w:tcW w:w="1792" w:type="dxa"/>
          </w:tcPr>
          <w:p w14:paraId="49A804EC" w14:textId="77777777" w:rsidR="004B4E35" w:rsidRPr="00405303" w:rsidRDefault="009E6F82" w:rsidP="00C15251">
            <w:pPr>
              <w:jc w:val="both"/>
              <w:rPr>
                <w:bCs/>
                <w:color w:val="002060"/>
                <w:sz w:val="16"/>
                <w:szCs w:val="16"/>
              </w:rPr>
            </w:pPr>
            <w:r w:rsidRPr="00405303">
              <w:rPr>
                <w:bCs/>
                <w:color w:val="002060"/>
                <w:sz w:val="16"/>
                <w:szCs w:val="16"/>
              </w:rPr>
              <w:t>249,1</w:t>
            </w:r>
          </w:p>
        </w:tc>
        <w:tc>
          <w:tcPr>
            <w:tcW w:w="972" w:type="dxa"/>
          </w:tcPr>
          <w:p w14:paraId="4DD1A44E" w14:textId="77777777" w:rsidR="004B4E35" w:rsidRPr="00405303" w:rsidRDefault="009E6F82" w:rsidP="00C15251">
            <w:pPr>
              <w:jc w:val="both"/>
              <w:rPr>
                <w:bCs/>
                <w:color w:val="002060"/>
                <w:sz w:val="16"/>
                <w:szCs w:val="16"/>
              </w:rPr>
            </w:pPr>
            <w:r w:rsidRPr="00405303">
              <w:rPr>
                <w:bCs/>
                <w:color w:val="002060"/>
                <w:sz w:val="16"/>
                <w:szCs w:val="16"/>
              </w:rPr>
              <w:t>1.049,1</w:t>
            </w:r>
          </w:p>
        </w:tc>
      </w:tr>
      <w:tr w:rsidR="004B4E35" w:rsidRPr="00405303" w14:paraId="53A517EC" w14:textId="77777777">
        <w:tc>
          <w:tcPr>
            <w:tcW w:w="1248" w:type="dxa"/>
          </w:tcPr>
          <w:p w14:paraId="541EAAE6" w14:textId="77777777" w:rsidR="004B4E35" w:rsidRPr="00405303" w:rsidRDefault="009E6F82" w:rsidP="00C15251">
            <w:pPr>
              <w:jc w:val="both"/>
              <w:rPr>
                <w:bCs/>
                <w:color w:val="002060"/>
                <w:sz w:val="16"/>
                <w:szCs w:val="16"/>
              </w:rPr>
            </w:pPr>
            <w:r w:rsidRPr="00405303">
              <w:rPr>
                <w:bCs/>
                <w:color w:val="002060"/>
                <w:sz w:val="16"/>
                <w:szCs w:val="16"/>
              </w:rPr>
              <w:t>Февраль</w:t>
            </w:r>
          </w:p>
        </w:tc>
        <w:tc>
          <w:tcPr>
            <w:tcW w:w="1503" w:type="dxa"/>
          </w:tcPr>
          <w:p w14:paraId="378F09CE"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0577EBEC" w14:textId="77777777" w:rsidR="004B4E35" w:rsidRPr="00405303" w:rsidRDefault="009E6F82" w:rsidP="00C15251">
            <w:pPr>
              <w:jc w:val="both"/>
              <w:rPr>
                <w:bCs/>
                <w:color w:val="002060"/>
                <w:sz w:val="16"/>
                <w:szCs w:val="16"/>
              </w:rPr>
            </w:pPr>
            <w:r w:rsidRPr="00405303">
              <w:rPr>
                <w:bCs/>
                <w:color w:val="002060"/>
                <w:sz w:val="16"/>
                <w:szCs w:val="16"/>
              </w:rPr>
              <w:t>8</w:t>
            </w:r>
          </w:p>
        </w:tc>
        <w:tc>
          <w:tcPr>
            <w:tcW w:w="1792" w:type="dxa"/>
          </w:tcPr>
          <w:p w14:paraId="64A2662B" w14:textId="77777777" w:rsidR="004B4E35" w:rsidRPr="00405303" w:rsidRDefault="009E6F82" w:rsidP="00C15251">
            <w:pPr>
              <w:jc w:val="both"/>
              <w:rPr>
                <w:bCs/>
                <w:color w:val="002060"/>
                <w:sz w:val="16"/>
                <w:szCs w:val="16"/>
              </w:rPr>
            </w:pPr>
            <w:r w:rsidRPr="00405303">
              <w:rPr>
                <w:bCs/>
                <w:color w:val="002060"/>
                <w:sz w:val="16"/>
                <w:szCs w:val="16"/>
              </w:rPr>
              <w:t>342,6</w:t>
            </w:r>
          </w:p>
        </w:tc>
        <w:tc>
          <w:tcPr>
            <w:tcW w:w="972" w:type="dxa"/>
          </w:tcPr>
          <w:p w14:paraId="45366A9E" w14:textId="77777777" w:rsidR="004B4E35" w:rsidRPr="00405303" w:rsidRDefault="009E6F82" w:rsidP="00C15251">
            <w:pPr>
              <w:jc w:val="both"/>
              <w:rPr>
                <w:bCs/>
                <w:color w:val="002060"/>
                <w:sz w:val="16"/>
                <w:szCs w:val="16"/>
              </w:rPr>
            </w:pPr>
            <w:r w:rsidRPr="00405303">
              <w:rPr>
                <w:bCs/>
                <w:color w:val="002060"/>
                <w:sz w:val="16"/>
                <w:szCs w:val="16"/>
              </w:rPr>
              <w:t>1.142,6</w:t>
            </w:r>
          </w:p>
        </w:tc>
      </w:tr>
      <w:tr w:rsidR="004B4E35" w:rsidRPr="00405303" w14:paraId="1652EDAF" w14:textId="77777777">
        <w:tc>
          <w:tcPr>
            <w:tcW w:w="1248" w:type="dxa"/>
          </w:tcPr>
          <w:p w14:paraId="7F93A17B" w14:textId="77777777" w:rsidR="004B4E35" w:rsidRPr="00405303" w:rsidRDefault="009E6F82" w:rsidP="00C15251">
            <w:pPr>
              <w:jc w:val="both"/>
              <w:rPr>
                <w:bCs/>
                <w:color w:val="002060"/>
                <w:sz w:val="16"/>
                <w:szCs w:val="16"/>
              </w:rPr>
            </w:pPr>
            <w:r w:rsidRPr="00405303">
              <w:rPr>
                <w:bCs/>
                <w:color w:val="002060"/>
                <w:sz w:val="16"/>
                <w:szCs w:val="16"/>
              </w:rPr>
              <w:t>М«рт</w:t>
            </w:r>
          </w:p>
        </w:tc>
        <w:tc>
          <w:tcPr>
            <w:tcW w:w="1503" w:type="dxa"/>
          </w:tcPr>
          <w:p w14:paraId="5DA6E956"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6752799B" w14:textId="77777777" w:rsidR="004B4E35" w:rsidRPr="00405303" w:rsidRDefault="009E6F82" w:rsidP="00C15251">
            <w:pPr>
              <w:jc w:val="both"/>
              <w:rPr>
                <w:bCs/>
                <w:color w:val="002060"/>
                <w:sz w:val="16"/>
                <w:szCs w:val="16"/>
              </w:rPr>
            </w:pPr>
            <w:r w:rsidRPr="00405303">
              <w:rPr>
                <w:bCs/>
                <w:color w:val="002060"/>
                <w:sz w:val="16"/>
                <w:szCs w:val="16"/>
              </w:rPr>
              <w:t>11</w:t>
            </w:r>
          </w:p>
        </w:tc>
        <w:tc>
          <w:tcPr>
            <w:tcW w:w="1792" w:type="dxa"/>
          </w:tcPr>
          <w:p w14:paraId="621028B1" w14:textId="77777777" w:rsidR="004B4E35" w:rsidRPr="00405303" w:rsidRDefault="009E6F82" w:rsidP="00C15251">
            <w:pPr>
              <w:jc w:val="both"/>
              <w:rPr>
                <w:bCs/>
                <w:color w:val="002060"/>
                <w:sz w:val="16"/>
                <w:szCs w:val="16"/>
              </w:rPr>
            </w:pPr>
            <w:r w:rsidRPr="00405303">
              <w:rPr>
                <w:bCs/>
                <w:color w:val="002060"/>
                <w:sz w:val="16"/>
                <w:szCs w:val="16"/>
              </w:rPr>
              <w:t>479,9</w:t>
            </w:r>
          </w:p>
        </w:tc>
        <w:tc>
          <w:tcPr>
            <w:tcW w:w="972" w:type="dxa"/>
          </w:tcPr>
          <w:p w14:paraId="20F5F208" w14:textId="77777777" w:rsidR="004B4E35" w:rsidRPr="00405303" w:rsidRDefault="009E6F82" w:rsidP="00C15251">
            <w:pPr>
              <w:jc w:val="both"/>
              <w:rPr>
                <w:bCs/>
                <w:color w:val="002060"/>
                <w:sz w:val="16"/>
                <w:szCs w:val="16"/>
              </w:rPr>
            </w:pPr>
            <w:r w:rsidRPr="00405303">
              <w:rPr>
                <w:bCs/>
                <w:color w:val="002060"/>
                <w:sz w:val="16"/>
                <w:szCs w:val="16"/>
              </w:rPr>
              <w:t>1.279,9</w:t>
            </w:r>
          </w:p>
        </w:tc>
      </w:tr>
      <w:tr w:rsidR="004B4E35" w:rsidRPr="00405303" w14:paraId="7AD47E35" w14:textId="77777777">
        <w:tc>
          <w:tcPr>
            <w:tcW w:w="1248" w:type="dxa"/>
          </w:tcPr>
          <w:p w14:paraId="0674FEB6" w14:textId="77777777" w:rsidR="004B4E35" w:rsidRPr="00405303" w:rsidRDefault="009E6F82" w:rsidP="00C15251">
            <w:pPr>
              <w:jc w:val="both"/>
              <w:rPr>
                <w:bCs/>
                <w:color w:val="002060"/>
                <w:sz w:val="16"/>
                <w:szCs w:val="16"/>
              </w:rPr>
            </w:pPr>
            <w:r w:rsidRPr="00405303">
              <w:rPr>
                <w:bCs/>
                <w:color w:val="002060"/>
                <w:sz w:val="16"/>
                <w:szCs w:val="16"/>
              </w:rPr>
              <w:t>Апрель</w:t>
            </w:r>
          </w:p>
        </w:tc>
        <w:tc>
          <w:tcPr>
            <w:tcW w:w="1503" w:type="dxa"/>
          </w:tcPr>
          <w:p w14:paraId="515C3F11"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5AEC5CCB" w14:textId="77777777" w:rsidR="004B4E35" w:rsidRPr="00405303" w:rsidRDefault="009E6F82" w:rsidP="00C15251">
            <w:pPr>
              <w:jc w:val="both"/>
              <w:rPr>
                <w:bCs/>
                <w:color w:val="002060"/>
                <w:sz w:val="16"/>
                <w:szCs w:val="16"/>
              </w:rPr>
            </w:pPr>
            <w:r w:rsidRPr="00405303">
              <w:rPr>
                <w:bCs/>
                <w:color w:val="002060"/>
                <w:sz w:val="16"/>
                <w:szCs w:val="16"/>
              </w:rPr>
              <w:t>15</w:t>
            </w:r>
          </w:p>
        </w:tc>
        <w:tc>
          <w:tcPr>
            <w:tcW w:w="1792" w:type="dxa"/>
          </w:tcPr>
          <w:p w14:paraId="38B0CDFC" w14:textId="77777777" w:rsidR="004B4E35" w:rsidRPr="00405303" w:rsidRDefault="009E6F82" w:rsidP="00C15251">
            <w:pPr>
              <w:jc w:val="both"/>
              <w:rPr>
                <w:bCs/>
                <w:color w:val="002060"/>
                <w:sz w:val="16"/>
                <w:szCs w:val="16"/>
              </w:rPr>
            </w:pPr>
            <w:r w:rsidRPr="00405303">
              <w:rPr>
                <w:bCs/>
                <w:color w:val="002060"/>
                <w:sz w:val="16"/>
                <w:szCs w:val="16"/>
              </w:rPr>
              <w:t>632,1</w:t>
            </w:r>
          </w:p>
        </w:tc>
        <w:tc>
          <w:tcPr>
            <w:tcW w:w="972" w:type="dxa"/>
          </w:tcPr>
          <w:p w14:paraId="71DB0826" w14:textId="77777777" w:rsidR="004B4E35" w:rsidRPr="00405303" w:rsidRDefault="009E6F82" w:rsidP="00C15251">
            <w:pPr>
              <w:jc w:val="both"/>
              <w:rPr>
                <w:bCs/>
                <w:color w:val="002060"/>
                <w:sz w:val="16"/>
                <w:szCs w:val="16"/>
              </w:rPr>
            </w:pPr>
            <w:r w:rsidRPr="00405303">
              <w:rPr>
                <w:bCs/>
                <w:color w:val="002060"/>
                <w:sz w:val="16"/>
                <w:szCs w:val="16"/>
              </w:rPr>
              <w:t>1.432,1</w:t>
            </w:r>
          </w:p>
        </w:tc>
      </w:tr>
      <w:tr w:rsidR="004B4E35" w:rsidRPr="00405303" w14:paraId="2A501082" w14:textId="77777777">
        <w:tc>
          <w:tcPr>
            <w:tcW w:w="1248" w:type="dxa"/>
          </w:tcPr>
          <w:p w14:paraId="44FAA061" w14:textId="77777777" w:rsidR="004B4E35" w:rsidRPr="00405303" w:rsidRDefault="009E6F82" w:rsidP="00C15251">
            <w:pPr>
              <w:jc w:val="both"/>
              <w:rPr>
                <w:bCs/>
                <w:color w:val="002060"/>
                <w:sz w:val="16"/>
                <w:szCs w:val="16"/>
              </w:rPr>
            </w:pPr>
            <w:r w:rsidRPr="00405303">
              <w:rPr>
                <w:bCs/>
                <w:color w:val="002060"/>
                <w:sz w:val="16"/>
                <w:szCs w:val="16"/>
              </w:rPr>
              <w:t>Май</w:t>
            </w:r>
          </w:p>
        </w:tc>
        <w:tc>
          <w:tcPr>
            <w:tcW w:w="1503" w:type="dxa"/>
          </w:tcPr>
          <w:p w14:paraId="5DE77D15"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14B67249" w14:textId="77777777" w:rsidR="004B4E35" w:rsidRPr="00405303" w:rsidRDefault="009E6F82" w:rsidP="00C15251">
            <w:pPr>
              <w:jc w:val="both"/>
              <w:rPr>
                <w:bCs/>
                <w:color w:val="002060"/>
                <w:sz w:val="16"/>
                <w:szCs w:val="16"/>
              </w:rPr>
            </w:pPr>
            <w:r w:rsidRPr="00405303">
              <w:rPr>
                <w:bCs/>
                <w:color w:val="002060"/>
                <w:sz w:val="16"/>
                <w:szCs w:val="16"/>
              </w:rPr>
              <w:t>18</w:t>
            </w:r>
          </w:p>
        </w:tc>
        <w:tc>
          <w:tcPr>
            <w:tcW w:w="1792" w:type="dxa"/>
          </w:tcPr>
          <w:p w14:paraId="364B2453" w14:textId="77777777" w:rsidR="004B4E35" w:rsidRPr="00405303" w:rsidRDefault="009E6F82" w:rsidP="00C15251">
            <w:pPr>
              <w:jc w:val="both"/>
              <w:rPr>
                <w:bCs/>
                <w:color w:val="002060"/>
                <w:sz w:val="16"/>
                <w:szCs w:val="16"/>
              </w:rPr>
            </w:pPr>
            <w:r w:rsidRPr="00405303">
              <w:rPr>
                <w:bCs/>
                <w:color w:val="002060"/>
                <w:sz w:val="16"/>
                <w:szCs w:val="16"/>
              </w:rPr>
              <w:t>739,8</w:t>
            </w:r>
          </w:p>
        </w:tc>
        <w:tc>
          <w:tcPr>
            <w:tcW w:w="972" w:type="dxa"/>
          </w:tcPr>
          <w:p w14:paraId="7BBD5AC4" w14:textId="77777777" w:rsidR="004B4E35" w:rsidRPr="00405303" w:rsidRDefault="009E6F82" w:rsidP="00C15251">
            <w:pPr>
              <w:jc w:val="both"/>
              <w:rPr>
                <w:bCs/>
                <w:color w:val="002060"/>
                <w:sz w:val="16"/>
                <w:szCs w:val="16"/>
              </w:rPr>
            </w:pPr>
            <w:r w:rsidRPr="00405303">
              <w:rPr>
                <w:bCs/>
                <w:color w:val="002060"/>
                <w:sz w:val="16"/>
                <w:szCs w:val="16"/>
              </w:rPr>
              <w:t>1.539,8</w:t>
            </w:r>
          </w:p>
        </w:tc>
      </w:tr>
      <w:tr w:rsidR="004B4E35" w:rsidRPr="00405303" w14:paraId="4A3E7C74" w14:textId="77777777">
        <w:tc>
          <w:tcPr>
            <w:tcW w:w="1248" w:type="dxa"/>
          </w:tcPr>
          <w:p w14:paraId="5C961614" w14:textId="77777777" w:rsidR="004B4E35" w:rsidRPr="00405303" w:rsidRDefault="009E6F82" w:rsidP="00C15251">
            <w:pPr>
              <w:jc w:val="both"/>
              <w:rPr>
                <w:bCs/>
                <w:color w:val="002060"/>
                <w:sz w:val="16"/>
                <w:szCs w:val="16"/>
              </w:rPr>
            </w:pPr>
            <w:r w:rsidRPr="00405303">
              <w:rPr>
                <w:bCs/>
                <w:color w:val="002060"/>
                <w:sz w:val="16"/>
                <w:szCs w:val="16"/>
              </w:rPr>
              <w:t>Июнь</w:t>
            </w:r>
          </w:p>
        </w:tc>
        <w:tc>
          <w:tcPr>
            <w:tcW w:w="1503" w:type="dxa"/>
          </w:tcPr>
          <w:p w14:paraId="04D9E8B7"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36C17A17" w14:textId="77777777" w:rsidR="004B4E35" w:rsidRPr="00405303" w:rsidRDefault="009E6F82" w:rsidP="00C15251">
            <w:pPr>
              <w:jc w:val="both"/>
              <w:rPr>
                <w:bCs/>
                <w:color w:val="002060"/>
                <w:sz w:val="16"/>
                <w:szCs w:val="16"/>
              </w:rPr>
            </w:pPr>
            <w:r w:rsidRPr="00405303">
              <w:rPr>
                <w:bCs/>
                <w:color w:val="002060"/>
                <w:sz w:val="16"/>
                <w:szCs w:val="16"/>
              </w:rPr>
              <w:t>18</w:t>
            </w:r>
          </w:p>
        </w:tc>
        <w:tc>
          <w:tcPr>
            <w:tcW w:w="1792" w:type="dxa"/>
          </w:tcPr>
          <w:p w14:paraId="37759461" w14:textId="77777777" w:rsidR="004B4E35" w:rsidRPr="00405303" w:rsidRDefault="009E6F82" w:rsidP="00C15251">
            <w:pPr>
              <w:jc w:val="both"/>
              <w:rPr>
                <w:bCs/>
                <w:color w:val="002060"/>
                <w:sz w:val="16"/>
                <w:szCs w:val="16"/>
              </w:rPr>
            </w:pPr>
            <w:r w:rsidRPr="00405303">
              <w:rPr>
                <w:bCs/>
                <w:color w:val="002060"/>
                <w:sz w:val="16"/>
                <w:szCs w:val="16"/>
              </w:rPr>
              <w:t>739,8</w:t>
            </w:r>
          </w:p>
        </w:tc>
        <w:tc>
          <w:tcPr>
            <w:tcW w:w="972" w:type="dxa"/>
          </w:tcPr>
          <w:p w14:paraId="34CA26C7" w14:textId="77777777" w:rsidR="004B4E35" w:rsidRPr="00405303" w:rsidRDefault="009E6F82" w:rsidP="00C15251">
            <w:pPr>
              <w:jc w:val="both"/>
              <w:rPr>
                <w:bCs/>
                <w:color w:val="002060"/>
                <w:sz w:val="16"/>
                <w:szCs w:val="16"/>
              </w:rPr>
            </w:pPr>
            <w:r w:rsidRPr="00405303">
              <w:rPr>
                <w:bCs/>
                <w:color w:val="002060"/>
                <w:sz w:val="16"/>
                <w:szCs w:val="16"/>
              </w:rPr>
              <w:t>1.539,8</w:t>
            </w:r>
          </w:p>
        </w:tc>
      </w:tr>
      <w:tr w:rsidR="004B4E35" w:rsidRPr="00405303" w14:paraId="2255DA5B" w14:textId="77777777">
        <w:tc>
          <w:tcPr>
            <w:tcW w:w="1248" w:type="dxa"/>
          </w:tcPr>
          <w:p w14:paraId="5A395803" w14:textId="77777777" w:rsidR="004B4E35" w:rsidRPr="00405303" w:rsidRDefault="009E6F82" w:rsidP="00C15251">
            <w:pPr>
              <w:jc w:val="both"/>
              <w:rPr>
                <w:bCs/>
                <w:color w:val="002060"/>
                <w:sz w:val="16"/>
                <w:szCs w:val="16"/>
              </w:rPr>
            </w:pPr>
            <w:r w:rsidRPr="00405303">
              <w:rPr>
                <w:bCs/>
                <w:color w:val="002060"/>
                <w:sz w:val="16"/>
                <w:szCs w:val="16"/>
              </w:rPr>
              <w:t>Июль</w:t>
            </w:r>
          </w:p>
        </w:tc>
        <w:tc>
          <w:tcPr>
            <w:tcW w:w="1503" w:type="dxa"/>
          </w:tcPr>
          <w:p w14:paraId="64F25E2E"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4113E48D" w14:textId="77777777" w:rsidR="004B4E35" w:rsidRPr="00405303" w:rsidRDefault="009E6F82" w:rsidP="00C15251">
            <w:pPr>
              <w:jc w:val="both"/>
              <w:rPr>
                <w:bCs/>
                <w:color w:val="002060"/>
                <w:sz w:val="16"/>
                <w:szCs w:val="16"/>
              </w:rPr>
            </w:pPr>
            <w:r w:rsidRPr="00405303">
              <w:rPr>
                <w:bCs/>
                <w:color w:val="002060"/>
                <w:sz w:val="16"/>
                <w:szCs w:val="16"/>
              </w:rPr>
              <w:t>23</w:t>
            </w:r>
          </w:p>
        </w:tc>
        <w:tc>
          <w:tcPr>
            <w:tcW w:w="1792" w:type="dxa"/>
          </w:tcPr>
          <w:p w14:paraId="3333C6E5" w14:textId="77777777" w:rsidR="004B4E35" w:rsidRPr="00405303" w:rsidRDefault="009E6F82" w:rsidP="00C15251">
            <w:pPr>
              <w:jc w:val="both"/>
              <w:rPr>
                <w:bCs/>
                <w:color w:val="002060"/>
                <w:sz w:val="16"/>
                <w:szCs w:val="16"/>
              </w:rPr>
            </w:pPr>
            <w:r w:rsidRPr="00405303">
              <w:rPr>
                <w:bCs/>
                <w:color w:val="002060"/>
                <w:sz w:val="16"/>
                <w:szCs w:val="16"/>
              </w:rPr>
              <w:t>932,4</w:t>
            </w:r>
          </w:p>
        </w:tc>
        <w:tc>
          <w:tcPr>
            <w:tcW w:w="972" w:type="dxa"/>
          </w:tcPr>
          <w:p w14:paraId="64621894" w14:textId="77777777" w:rsidR="004B4E35" w:rsidRPr="00405303" w:rsidRDefault="009E6F82" w:rsidP="00C15251">
            <w:pPr>
              <w:jc w:val="both"/>
              <w:rPr>
                <w:bCs/>
                <w:color w:val="002060"/>
                <w:sz w:val="16"/>
                <w:szCs w:val="16"/>
              </w:rPr>
            </w:pPr>
            <w:r w:rsidRPr="00405303">
              <w:rPr>
                <w:bCs/>
                <w:color w:val="002060"/>
                <w:sz w:val="16"/>
                <w:szCs w:val="16"/>
              </w:rPr>
              <w:t>1.732,4</w:t>
            </w:r>
          </w:p>
        </w:tc>
      </w:tr>
      <w:tr w:rsidR="004B4E35" w:rsidRPr="00405303" w14:paraId="6557A586" w14:textId="77777777">
        <w:tc>
          <w:tcPr>
            <w:tcW w:w="1248" w:type="dxa"/>
          </w:tcPr>
          <w:p w14:paraId="52A6A0CF" w14:textId="77777777" w:rsidR="004B4E35" w:rsidRPr="00405303" w:rsidRDefault="009E6F82" w:rsidP="00C15251">
            <w:pPr>
              <w:jc w:val="both"/>
              <w:rPr>
                <w:bCs/>
                <w:color w:val="002060"/>
                <w:sz w:val="16"/>
                <w:szCs w:val="16"/>
              </w:rPr>
            </w:pPr>
            <w:r w:rsidRPr="00405303">
              <w:rPr>
                <w:bCs/>
                <w:color w:val="002060"/>
                <w:sz w:val="16"/>
                <w:szCs w:val="16"/>
              </w:rPr>
              <w:t>Август</w:t>
            </w:r>
          </w:p>
        </w:tc>
        <w:tc>
          <w:tcPr>
            <w:tcW w:w="1503" w:type="dxa"/>
          </w:tcPr>
          <w:p w14:paraId="5D74178A"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49B7EA04" w14:textId="77777777" w:rsidR="004B4E35" w:rsidRPr="00405303" w:rsidRDefault="009E6F82" w:rsidP="00C15251">
            <w:pPr>
              <w:jc w:val="both"/>
              <w:rPr>
                <w:bCs/>
                <w:color w:val="002060"/>
                <w:sz w:val="16"/>
                <w:szCs w:val="16"/>
              </w:rPr>
            </w:pPr>
            <w:r w:rsidRPr="00405303">
              <w:rPr>
                <w:bCs/>
                <w:color w:val="002060"/>
                <w:sz w:val="16"/>
                <w:szCs w:val="16"/>
              </w:rPr>
              <w:t>23</w:t>
            </w:r>
          </w:p>
        </w:tc>
        <w:tc>
          <w:tcPr>
            <w:tcW w:w="1792" w:type="dxa"/>
          </w:tcPr>
          <w:p w14:paraId="2F996FF9" w14:textId="77777777" w:rsidR="004B4E35" w:rsidRPr="00405303" w:rsidRDefault="009E6F82" w:rsidP="00C15251">
            <w:pPr>
              <w:jc w:val="both"/>
              <w:rPr>
                <w:bCs/>
                <w:color w:val="002060"/>
                <w:sz w:val="16"/>
                <w:szCs w:val="16"/>
              </w:rPr>
            </w:pPr>
            <w:r w:rsidRPr="00405303">
              <w:rPr>
                <w:bCs/>
                <w:color w:val="002060"/>
                <w:sz w:val="16"/>
                <w:szCs w:val="16"/>
              </w:rPr>
              <w:t>932,4</w:t>
            </w:r>
          </w:p>
        </w:tc>
        <w:tc>
          <w:tcPr>
            <w:tcW w:w="972" w:type="dxa"/>
          </w:tcPr>
          <w:p w14:paraId="2C69791A" w14:textId="77777777" w:rsidR="004B4E35" w:rsidRPr="00405303" w:rsidRDefault="009E6F82" w:rsidP="00C15251">
            <w:pPr>
              <w:jc w:val="both"/>
              <w:rPr>
                <w:bCs/>
                <w:color w:val="002060"/>
                <w:sz w:val="16"/>
                <w:szCs w:val="16"/>
              </w:rPr>
            </w:pPr>
            <w:r w:rsidRPr="00405303">
              <w:rPr>
                <w:bCs/>
                <w:color w:val="002060"/>
                <w:sz w:val="16"/>
                <w:szCs w:val="16"/>
              </w:rPr>
              <w:t>1.732,4</w:t>
            </w:r>
          </w:p>
        </w:tc>
      </w:tr>
      <w:tr w:rsidR="004B4E35" w:rsidRPr="00405303" w14:paraId="72D414F2" w14:textId="77777777">
        <w:tc>
          <w:tcPr>
            <w:tcW w:w="1248" w:type="dxa"/>
          </w:tcPr>
          <w:p w14:paraId="6E75DFAB" w14:textId="77777777" w:rsidR="004B4E35" w:rsidRPr="00405303" w:rsidRDefault="009E6F82" w:rsidP="00C15251">
            <w:pPr>
              <w:jc w:val="both"/>
              <w:rPr>
                <w:bCs/>
                <w:color w:val="002060"/>
                <w:sz w:val="16"/>
                <w:szCs w:val="16"/>
              </w:rPr>
            </w:pPr>
            <w:r w:rsidRPr="00405303">
              <w:rPr>
                <w:bCs/>
                <w:color w:val="002060"/>
                <w:sz w:val="16"/>
                <w:szCs w:val="16"/>
              </w:rPr>
              <w:t>Сентябрь</w:t>
            </w:r>
          </w:p>
        </w:tc>
        <w:tc>
          <w:tcPr>
            <w:tcW w:w="1503" w:type="dxa"/>
          </w:tcPr>
          <w:p w14:paraId="3B1282BB"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502E1115" w14:textId="77777777" w:rsidR="004B4E35" w:rsidRPr="00405303" w:rsidRDefault="009E6F82" w:rsidP="00C15251">
            <w:pPr>
              <w:jc w:val="both"/>
              <w:rPr>
                <w:bCs/>
                <w:color w:val="002060"/>
                <w:sz w:val="16"/>
                <w:szCs w:val="16"/>
              </w:rPr>
            </w:pPr>
            <w:r w:rsidRPr="00405303">
              <w:rPr>
                <w:bCs/>
                <w:color w:val="002060"/>
                <w:sz w:val="16"/>
                <w:szCs w:val="16"/>
              </w:rPr>
              <w:t>28</w:t>
            </w:r>
          </w:p>
        </w:tc>
        <w:tc>
          <w:tcPr>
            <w:tcW w:w="1792" w:type="dxa"/>
          </w:tcPr>
          <w:p w14:paraId="1252219B" w14:textId="77777777" w:rsidR="004B4E35" w:rsidRPr="00405303" w:rsidRDefault="009E6F82" w:rsidP="00C15251">
            <w:pPr>
              <w:jc w:val="both"/>
              <w:rPr>
                <w:bCs/>
                <w:color w:val="002060"/>
                <w:sz w:val="16"/>
                <w:szCs w:val="16"/>
              </w:rPr>
            </w:pPr>
            <w:r w:rsidRPr="00405303">
              <w:rPr>
                <w:bCs/>
                <w:color w:val="002060"/>
                <w:sz w:val="16"/>
                <w:szCs w:val="16"/>
              </w:rPr>
              <w:t>1.064,7</w:t>
            </w:r>
          </w:p>
        </w:tc>
        <w:tc>
          <w:tcPr>
            <w:tcW w:w="972" w:type="dxa"/>
          </w:tcPr>
          <w:p w14:paraId="73DFFC04" w14:textId="77777777" w:rsidR="004B4E35" w:rsidRPr="00405303" w:rsidRDefault="009E6F82" w:rsidP="00C15251">
            <w:pPr>
              <w:jc w:val="both"/>
              <w:rPr>
                <w:bCs/>
                <w:color w:val="002060"/>
                <w:sz w:val="16"/>
                <w:szCs w:val="16"/>
              </w:rPr>
            </w:pPr>
            <w:r w:rsidRPr="00405303">
              <w:rPr>
                <w:bCs/>
                <w:color w:val="002060"/>
                <w:sz w:val="16"/>
                <w:szCs w:val="16"/>
              </w:rPr>
              <w:t>1.864,7</w:t>
            </w:r>
          </w:p>
        </w:tc>
      </w:tr>
      <w:tr w:rsidR="004B4E35" w:rsidRPr="00405303" w14:paraId="5D857E5B" w14:textId="77777777">
        <w:tc>
          <w:tcPr>
            <w:tcW w:w="1248" w:type="dxa"/>
          </w:tcPr>
          <w:p w14:paraId="4D346C8B" w14:textId="77777777" w:rsidR="004B4E35" w:rsidRPr="00405303" w:rsidRDefault="009E6F82" w:rsidP="00C15251">
            <w:pPr>
              <w:jc w:val="both"/>
              <w:rPr>
                <w:bCs/>
                <w:color w:val="002060"/>
                <w:sz w:val="16"/>
                <w:szCs w:val="16"/>
              </w:rPr>
            </w:pPr>
            <w:r w:rsidRPr="00405303">
              <w:rPr>
                <w:bCs/>
                <w:color w:val="002060"/>
                <w:sz w:val="16"/>
                <w:szCs w:val="16"/>
              </w:rPr>
              <w:t>Октябрь</w:t>
            </w:r>
          </w:p>
        </w:tc>
        <w:tc>
          <w:tcPr>
            <w:tcW w:w="1503" w:type="dxa"/>
          </w:tcPr>
          <w:p w14:paraId="6F34E83C"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5BBE3A89" w14:textId="77777777" w:rsidR="004B4E35" w:rsidRPr="00405303" w:rsidRDefault="009E6F82" w:rsidP="00C15251">
            <w:pPr>
              <w:jc w:val="both"/>
              <w:rPr>
                <w:bCs/>
                <w:color w:val="002060"/>
                <w:sz w:val="16"/>
                <w:szCs w:val="16"/>
              </w:rPr>
            </w:pPr>
            <w:r w:rsidRPr="00405303">
              <w:rPr>
                <w:bCs/>
                <w:color w:val="002060"/>
                <w:sz w:val="16"/>
                <w:szCs w:val="16"/>
              </w:rPr>
              <w:t>28</w:t>
            </w:r>
          </w:p>
        </w:tc>
        <w:tc>
          <w:tcPr>
            <w:tcW w:w="1792" w:type="dxa"/>
          </w:tcPr>
          <w:p w14:paraId="2BD8739C" w14:textId="77777777" w:rsidR="004B4E35" w:rsidRPr="00405303" w:rsidRDefault="009E6F82" w:rsidP="00C15251">
            <w:pPr>
              <w:jc w:val="both"/>
              <w:rPr>
                <w:bCs/>
                <w:color w:val="002060"/>
                <w:sz w:val="16"/>
                <w:szCs w:val="16"/>
              </w:rPr>
            </w:pPr>
            <w:r w:rsidRPr="00405303">
              <w:rPr>
                <w:bCs/>
                <w:color w:val="002060"/>
                <w:sz w:val="16"/>
                <w:szCs w:val="16"/>
              </w:rPr>
              <w:t>1.064,7</w:t>
            </w:r>
          </w:p>
        </w:tc>
        <w:tc>
          <w:tcPr>
            <w:tcW w:w="972" w:type="dxa"/>
          </w:tcPr>
          <w:p w14:paraId="29D7F958" w14:textId="77777777" w:rsidR="004B4E35" w:rsidRPr="00405303" w:rsidRDefault="009E6F82" w:rsidP="00C15251">
            <w:pPr>
              <w:jc w:val="both"/>
              <w:rPr>
                <w:bCs/>
                <w:color w:val="002060"/>
                <w:sz w:val="16"/>
                <w:szCs w:val="16"/>
              </w:rPr>
            </w:pPr>
            <w:r w:rsidRPr="00405303">
              <w:rPr>
                <w:bCs/>
                <w:color w:val="002060"/>
                <w:sz w:val="16"/>
                <w:szCs w:val="16"/>
              </w:rPr>
              <w:t>1.864,7</w:t>
            </w:r>
          </w:p>
        </w:tc>
      </w:tr>
      <w:tr w:rsidR="004B4E35" w:rsidRPr="00405303" w14:paraId="37F31989" w14:textId="77777777">
        <w:tc>
          <w:tcPr>
            <w:tcW w:w="1248" w:type="dxa"/>
          </w:tcPr>
          <w:p w14:paraId="654D5DA5"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1503" w:type="dxa"/>
          </w:tcPr>
          <w:p w14:paraId="640E750E"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19AD8C6E" w14:textId="77777777" w:rsidR="004B4E35" w:rsidRPr="00405303" w:rsidRDefault="009E6F82" w:rsidP="00C15251">
            <w:pPr>
              <w:jc w:val="both"/>
              <w:rPr>
                <w:bCs/>
                <w:color w:val="002060"/>
                <w:sz w:val="16"/>
                <w:szCs w:val="16"/>
              </w:rPr>
            </w:pPr>
            <w:r w:rsidRPr="00405303">
              <w:rPr>
                <w:bCs/>
                <w:color w:val="002060"/>
                <w:sz w:val="16"/>
                <w:szCs w:val="16"/>
              </w:rPr>
              <w:t>28</w:t>
            </w:r>
          </w:p>
        </w:tc>
        <w:tc>
          <w:tcPr>
            <w:tcW w:w="1792" w:type="dxa"/>
          </w:tcPr>
          <w:p w14:paraId="31F1127B" w14:textId="77777777" w:rsidR="004B4E35" w:rsidRPr="00405303" w:rsidRDefault="009E6F82" w:rsidP="00C15251">
            <w:pPr>
              <w:jc w:val="both"/>
              <w:rPr>
                <w:bCs/>
                <w:color w:val="002060"/>
                <w:sz w:val="16"/>
                <w:szCs w:val="16"/>
              </w:rPr>
            </w:pPr>
            <w:r w:rsidRPr="00405303">
              <w:rPr>
                <w:bCs/>
                <w:color w:val="002060"/>
                <w:sz w:val="16"/>
                <w:szCs w:val="16"/>
              </w:rPr>
              <w:t>1.064,7</w:t>
            </w:r>
          </w:p>
        </w:tc>
        <w:tc>
          <w:tcPr>
            <w:tcW w:w="972" w:type="dxa"/>
          </w:tcPr>
          <w:p w14:paraId="085ECD35" w14:textId="77777777" w:rsidR="004B4E35" w:rsidRPr="00405303" w:rsidRDefault="009E6F82" w:rsidP="00C15251">
            <w:pPr>
              <w:jc w:val="both"/>
              <w:rPr>
                <w:bCs/>
                <w:color w:val="002060"/>
                <w:sz w:val="16"/>
                <w:szCs w:val="16"/>
              </w:rPr>
            </w:pPr>
            <w:r w:rsidRPr="00405303">
              <w:rPr>
                <w:bCs/>
                <w:color w:val="002060"/>
                <w:sz w:val="16"/>
                <w:szCs w:val="16"/>
              </w:rPr>
              <w:t>1.864,7</w:t>
            </w:r>
          </w:p>
        </w:tc>
      </w:tr>
      <w:tr w:rsidR="004B4E35" w:rsidRPr="00405303" w14:paraId="3455D6DC" w14:textId="77777777">
        <w:tc>
          <w:tcPr>
            <w:tcW w:w="1248" w:type="dxa"/>
          </w:tcPr>
          <w:p w14:paraId="042767DA"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1503" w:type="dxa"/>
          </w:tcPr>
          <w:p w14:paraId="76C7C9D1"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69965CE5" w14:textId="77777777" w:rsidR="004B4E35" w:rsidRPr="00405303" w:rsidRDefault="009E6F82" w:rsidP="00C15251">
            <w:pPr>
              <w:jc w:val="both"/>
              <w:rPr>
                <w:bCs/>
                <w:color w:val="002060"/>
                <w:sz w:val="16"/>
                <w:szCs w:val="16"/>
              </w:rPr>
            </w:pPr>
            <w:r w:rsidRPr="00405303">
              <w:rPr>
                <w:bCs/>
                <w:color w:val="002060"/>
                <w:sz w:val="16"/>
                <w:szCs w:val="16"/>
              </w:rPr>
              <w:t>28</w:t>
            </w:r>
          </w:p>
        </w:tc>
        <w:tc>
          <w:tcPr>
            <w:tcW w:w="1792" w:type="dxa"/>
          </w:tcPr>
          <w:p w14:paraId="4876B4B4" w14:textId="77777777" w:rsidR="004B4E35" w:rsidRPr="00405303" w:rsidRDefault="009E6F82" w:rsidP="00C15251">
            <w:pPr>
              <w:jc w:val="both"/>
              <w:rPr>
                <w:bCs/>
                <w:color w:val="002060"/>
                <w:sz w:val="16"/>
                <w:szCs w:val="16"/>
              </w:rPr>
            </w:pPr>
            <w:r w:rsidRPr="00405303">
              <w:rPr>
                <w:bCs/>
                <w:color w:val="002060"/>
                <w:sz w:val="16"/>
                <w:szCs w:val="16"/>
              </w:rPr>
              <w:t>1.064,7</w:t>
            </w:r>
          </w:p>
        </w:tc>
        <w:tc>
          <w:tcPr>
            <w:tcW w:w="972" w:type="dxa"/>
          </w:tcPr>
          <w:p w14:paraId="0CFF2C5E" w14:textId="77777777" w:rsidR="004B4E35" w:rsidRPr="00405303" w:rsidRDefault="009E6F82" w:rsidP="00C15251">
            <w:pPr>
              <w:jc w:val="both"/>
              <w:rPr>
                <w:bCs/>
                <w:color w:val="002060"/>
                <w:sz w:val="16"/>
                <w:szCs w:val="16"/>
              </w:rPr>
            </w:pPr>
            <w:r w:rsidRPr="00405303">
              <w:rPr>
                <w:bCs/>
                <w:color w:val="002060"/>
                <w:sz w:val="16"/>
                <w:szCs w:val="16"/>
              </w:rPr>
              <w:t>1.864,7</w:t>
            </w:r>
          </w:p>
        </w:tc>
      </w:tr>
    </w:tbl>
    <w:p w14:paraId="5C207F0D" w14:textId="77777777" w:rsidR="004B4E35" w:rsidRPr="00405303" w:rsidRDefault="009E6F82" w:rsidP="00C15251">
      <w:pPr>
        <w:jc w:val="both"/>
        <w:rPr>
          <w:bCs/>
          <w:color w:val="002060"/>
          <w:sz w:val="16"/>
          <w:szCs w:val="16"/>
        </w:rPr>
      </w:pPr>
      <w:r w:rsidRPr="00405303">
        <w:rPr>
          <w:bCs/>
          <w:color w:val="002060"/>
          <w:sz w:val="16"/>
          <w:szCs w:val="16"/>
        </w:rPr>
        <w:t>Фактически эта программа выполнялась на 80%.</w:t>
      </w:r>
    </w:p>
    <w:p w14:paraId="65B6FA59" w14:textId="5A569233" w:rsidR="004B4E35" w:rsidRPr="00405303" w:rsidRDefault="00DB4D64" w:rsidP="00C15251">
      <w:pPr>
        <w:jc w:val="both"/>
        <w:rPr>
          <w:bCs/>
          <w:color w:val="002060"/>
          <w:sz w:val="16"/>
          <w:szCs w:val="16"/>
        </w:rPr>
      </w:pPr>
      <w:r w:rsidRPr="00405303">
        <w:rPr>
          <w:bCs/>
          <w:color w:val="002060"/>
          <w:sz w:val="16"/>
          <w:szCs w:val="16"/>
        </w:rPr>
        <w:t xml:space="preserve"> </w:t>
      </w:r>
      <w:r w:rsidR="009E6F82" w:rsidRPr="00405303">
        <w:rPr>
          <w:bCs/>
          <w:color w:val="002060"/>
          <w:sz w:val="16"/>
          <w:szCs w:val="16"/>
        </w:rPr>
        <w:t xml:space="preserve">Что касается добычи колчедана, то в связи с программой сернокислотных заводов программа по колчедану была намечена следующая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52"/>
        <w:gridCol w:w="612"/>
        <w:gridCol w:w="650"/>
        <w:gridCol w:w="636"/>
        <w:gridCol w:w="728"/>
      </w:tblGrid>
      <w:tr w:rsidR="004B4E35" w:rsidRPr="00405303" w14:paraId="2ED1838D" w14:textId="77777777">
        <w:tc>
          <w:tcPr>
            <w:tcW w:w="2652" w:type="dxa"/>
          </w:tcPr>
          <w:p w14:paraId="37AF265D" w14:textId="42598BF1" w:rsidR="004B4E35" w:rsidRPr="00405303" w:rsidRDefault="00DB4D64" w:rsidP="00C15251">
            <w:pPr>
              <w:jc w:val="both"/>
              <w:rPr>
                <w:bCs/>
                <w:color w:val="002060"/>
                <w:sz w:val="16"/>
                <w:szCs w:val="16"/>
              </w:rPr>
            </w:pPr>
            <w:r w:rsidRPr="00405303">
              <w:rPr>
                <w:bCs/>
                <w:color w:val="002060"/>
                <w:sz w:val="16"/>
                <w:szCs w:val="16"/>
              </w:rPr>
              <w:t xml:space="preserve"> </w:t>
            </w:r>
          </w:p>
        </w:tc>
        <w:tc>
          <w:tcPr>
            <w:tcW w:w="612" w:type="dxa"/>
          </w:tcPr>
          <w:p w14:paraId="555F8531" w14:textId="77777777" w:rsidR="004B4E35" w:rsidRPr="00405303" w:rsidRDefault="009E6F82" w:rsidP="00C15251">
            <w:pPr>
              <w:jc w:val="both"/>
              <w:rPr>
                <w:bCs/>
                <w:color w:val="002060"/>
                <w:sz w:val="16"/>
                <w:szCs w:val="16"/>
              </w:rPr>
            </w:pPr>
            <w:r w:rsidRPr="00405303">
              <w:rPr>
                <w:bCs/>
                <w:color w:val="002060"/>
                <w:sz w:val="16"/>
                <w:szCs w:val="16"/>
              </w:rPr>
              <w:t>Август 1915 г.</w:t>
            </w:r>
          </w:p>
        </w:tc>
        <w:tc>
          <w:tcPr>
            <w:tcW w:w="650" w:type="dxa"/>
          </w:tcPr>
          <w:p w14:paraId="4C85869C" w14:textId="77777777" w:rsidR="004B4E35" w:rsidRPr="00405303" w:rsidRDefault="009E6F82" w:rsidP="00C15251">
            <w:pPr>
              <w:jc w:val="both"/>
              <w:rPr>
                <w:bCs/>
                <w:color w:val="002060"/>
                <w:sz w:val="16"/>
                <w:szCs w:val="16"/>
              </w:rPr>
            </w:pPr>
            <w:r w:rsidRPr="00405303">
              <w:rPr>
                <w:bCs/>
                <w:color w:val="002060"/>
                <w:sz w:val="16"/>
                <w:szCs w:val="16"/>
              </w:rPr>
              <w:t>Январь 1916 г.</w:t>
            </w:r>
          </w:p>
        </w:tc>
        <w:tc>
          <w:tcPr>
            <w:tcW w:w="636" w:type="dxa"/>
          </w:tcPr>
          <w:p w14:paraId="3989F865" w14:textId="77777777" w:rsidR="004B4E35" w:rsidRPr="00405303" w:rsidRDefault="009E6F82" w:rsidP="00C15251">
            <w:pPr>
              <w:jc w:val="both"/>
              <w:rPr>
                <w:bCs/>
                <w:color w:val="002060"/>
                <w:sz w:val="16"/>
                <w:szCs w:val="16"/>
              </w:rPr>
            </w:pPr>
            <w:r w:rsidRPr="00405303">
              <w:rPr>
                <w:bCs/>
                <w:color w:val="002060"/>
                <w:sz w:val="16"/>
                <w:szCs w:val="16"/>
              </w:rPr>
              <w:t>Июнь 1916 г.</w:t>
            </w:r>
          </w:p>
        </w:tc>
        <w:tc>
          <w:tcPr>
            <w:tcW w:w="728" w:type="dxa"/>
          </w:tcPr>
          <w:p w14:paraId="7D0B1FD7" w14:textId="77777777" w:rsidR="004B4E35" w:rsidRPr="00405303" w:rsidRDefault="009E6F82" w:rsidP="00C15251">
            <w:pPr>
              <w:jc w:val="both"/>
              <w:rPr>
                <w:bCs/>
                <w:color w:val="002060"/>
                <w:sz w:val="16"/>
                <w:szCs w:val="16"/>
              </w:rPr>
            </w:pPr>
            <w:r w:rsidRPr="00405303">
              <w:rPr>
                <w:bCs/>
                <w:color w:val="002060"/>
                <w:sz w:val="16"/>
                <w:szCs w:val="16"/>
              </w:rPr>
              <w:t>Декабрь 1916 г.</w:t>
            </w:r>
          </w:p>
        </w:tc>
      </w:tr>
      <w:tr w:rsidR="004B4E35" w:rsidRPr="00405303" w14:paraId="21D416EF" w14:textId="77777777">
        <w:tc>
          <w:tcPr>
            <w:tcW w:w="2652" w:type="dxa"/>
          </w:tcPr>
          <w:p w14:paraId="36B08939" w14:textId="77777777" w:rsidR="004B4E35" w:rsidRPr="00405303" w:rsidRDefault="009E6F82" w:rsidP="00C15251">
            <w:pPr>
              <w:jc w:val="both"/>
              <w:rPr>
                <w:bCs/>
                <w:color w:val="002060"/>
                <w:sz w:val="16"/>
                <w:szCs w:val="16"/>
              </w:rPr>
            </w:pPr>
            <w:r w:rsidRPr="00405303">
              <w:rPr>
                <w:bCs/>
                <w:color w:val="002060"/>
                <w:sz w:val="16"/>
                <w:szCs w:val="16"/>
              </w:rPr>
              <w:t>Кыштымский горный округ</w:t>
            </w:r>
          </w:p>
        </w:tc>
        <w:tc>
          <w:tcPr>
            <w:tcW w:w="612" w:type="dxa"/>
          </w:tcPr>
          <w:p w14:paraId="2D8D10BF" w14:textId="77777777" w:rsidR="004B4E35" w:rsidRPr="00405303" w:rsidRDefault="009E6F82" w:rsidP="00C15251">
            <w:pPr>
              <w:jc w:val="both"/>
              <w:rPr>
                <w:bCs/>
                <w:color w:val="002060"/>
                <w:sz w:val="16"/>
                <w:szCs w:val="16"/>
              </w:rPr>
            </w:pPr>
            <w:r w:rsidRPr="00405303">
              <w:rPr>
                <w:bCs/>
                <w:color w:val="002060"/>
                <w:sz w:val="16"/>
                <w:szCs w:val="16"/>
              </w:rPr>
              <w:t>225</w:t>
            </w:r>
          </w:p>
        </w:tc>
        <w:tc>
          <w:tcPr>
            <w:tcW w:w="650" w:type="dxa"/>
          </w:tcPr>
          <w:p w14:paraId="17C83C57"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636" w:type="dxa"/>
          </w:tcPr>
          <w:p w14:paraId="77BF9DFC"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728" w:type="dxa"/>
          </w:tcPr>
          <w:p w14:paraId="0D1CB839" w14:textId="77777777" w:rsidR="004B4E35" w:rsidRPr="00405303" w:rsidRDefault="009E6F82" w:rsidP="00C15251">
            <w:pPr>
              <w:jc w:val="both"/>
              <w:rPr>
                <w:bCs/>
                <w:color w:val="002060"/>
                <w:sz w:val="16"/>
                <w:szCs w:val="16"/>
              </w:rPr>
            </w:pPr>
            <w:r w:rsidRPr="00405303">
              <w:rPr>
                <w:bCs/>
                <w:color w:val="002060"/>
                <w:sz w:val="16"/>
                <w:szCs w:val="16"/>
              </w:rPr>
              <w:t>800</w:t>
            </w:r>
          </w:p>
        </w:tc>
      </w:tr>
      <w:tr w:rsidR="004B4E35" w:rsidRPr="00405303" w14:paraId="14C9E462" w14:textId="77777777">
        <w:tc>
          <w:tcPr>
            <w:tcW w:w="2652" w:type="dxa"/>
          </w:tcPr>
          <w:p w14:paraId="60809973" w14:textId="77777777" w:rsidR="004B4E35" w:rsidRPr="00405303" w:rsidRDefault="009E6F82" w:rsidP="00C15251">
            <w:pPr>
              <w:jc w:val="both"/>
              <w:rPr>
                <w:bCs/>
                <w:color w:val="002060"/>
                <w:sz w:val="16"/>
                <w:szCs w:val="16"/>
              </w:rPr>
            </w:pPr>
            <w:r w:rsidRPr="00405303">
              <w:rPr>
                <w:bCs/>
                <w:color w:val="002060"/>
                <w:sz w:val="16"/>
                <w:szCs w:val="16"/>
              </w:rPr>
              <w:t>Верх-Исетский горный округ</w:t>
            </w:r>
          </w:p>
        </w:tc>
        <w:tc>
          <w:tcPr>
            <w:tcW w:w="612" w:type="dxa"/>
          </w:tcPr>
          <w:p w14:paraId="408BCDAF" w14:textId="77777777" w:rsidR="004B4E35" w:rsidRPr="00405303" w:rsidRDefault="009E6F82" w:rsidP="00C15251">
            <w:pPr>
              <w:jc w:val="both"/>
              <w:rPr>
                <w:bCs/>
                <w:color w:val="002060"/>
                <w:sz w:val="16"/>
                <w:szCs w:val="16"/>
              </w:rPr>
            </w:pPr>
            <w:r w:rsidRPr="00405303">
              <w:rPr>
                <w:bCs/>
                <w:color w:val="002060"/>
                <w:sz w:val="16"/>
                <w:szCs w:val="16"/>
              </w:rPr>
              <w:t>325</w:t>
            </w:r>
          </w:p>
        </w:tc>
        <w:tc>
          <w:tcPr>
            <w:tcW w:w="650" w:type="dxa"/>
          </w:tcPr>
          <w:p w14:paraId="4E5E848C" w14:textId="77777777" w:rsidR="004B4E35" w:rsidRPr="00405303" w:rsidRDefault="009E6F82" w:rsidP="00C15251">
            <w:pPr>
              <w:jc w:val="both"/>
              <w:rPr>
                <w:bCs/>
                <w:color w:val="002060"/>
                <w:sz w:val="16"/>
                <w:szCs w:val="16"/>
              </w:rPr>
            </w:pPr>
            <w:r w:rsidRPr="00405303">
              <w:rPr>
                <w:bCs/>
                <w:color w:val="002060"/>
                <w:sz w:val="16"/>
                <w:szCs w:val="16"/>
              </w:rPr>
              <w:t>325</w:t>
            </w:r>
          </w:p>
        </w:tc>
        <w:tc>
          <w:tcPr>
            <w:tcW w:w="636" w:type="dxa"/>
          </w:tcPr>
          <w:p w14:paraId="1B0FBDC3" w14:textId="77777777" w:rsidR="004B4E35" w:rsidRPr="00405303" w:rsidRDefault="009E6F82" w:rsidP="00C15251">
            <w:pPr>
              <w:jc w:val="both"/>
              <w:rPr>
                <w:bCs/>
                <w:color w:val="002060"/>
                <w:sz w:val="16"/>
                <w:szCs w:val="16"/>
              </w:rPr>
            </w:pPr>
            <w:r w:rsidRPr="00405303">
              <w:rPr>
                <w:bCs/>
                <w:color w:val="002060"/>
                <w:sz w:val="16"/>
                <w:szCs w:val="16"/>
              </w:rPr>
              <w:t>325</w:t>
            </w:r>
          </w:p>
        </w:tc>
        <w:tc>
          <w:tcPr>
            <w:tcW w:w="728" w:type="dxa"/>
          </w:tcPr>
          <w:p w14:paraId="45EF9F95" w14:textId="77777777" w:rsidR="004B4E35" w:rsidRPr="00405303" w:rsidRDefault="009E6F82" w:rsidP="00C15251">
            <w:pPr>
              <w:jc w:val="both"/>
              <w:rPr>
                <w:bCs/>
                <w:color w:val="002060"/>
                <w:sz w:val="16"/>
                <w:szCs w:val="16"/>
              </w:rPr>
            </w:pPr>
            <w:r w:rsidRPr="00405303">
              <w:rPr>
                <w:bCs/>
                <w:color w:val="002060"/>
                <w:sz w:val="16"/>
                <w:szCs w:val="16"/>
              </w:rPr>
              <w:t>325</w:t>
            </w:r>
          </w:p>
        </w:tc>
      </w:tr>
      <w:tr w:rsidR="004B4E35" w:rsidRPr="00405303" w14:paraId="56016ED0" w14:textId="77777777">
        <w:tc>
          <w:tcPr>
            <w:tcW w:w="2652" w:type="dxa"/>
          </w:tcPr>
          <w:p w14:paraId="204B417F" w14:textId="77777777" w:rsidR="004B4E35" w:rsidRPr="00405303" w:rsidRDefault="009E6F82" w:rsidP="00C15251">
            <w:pPr>
              <w:jc w:val="both"/>
              <w:rPr>
                <w:bCs/>
                <w:color w:val="002060"/>
                <w:sz w:val="16"/>
                <w:szCs w:val="16"/>
              </w:rPr>
            </w:pPr>
            <w:r w:rsidRPr="00405303">
              <w:rPr>
                <w:bCs/>
                <w:color w:val="002060"/>
                <w:sz w:val="16"/>
                <w:szCs w:val="16"/>
              </w:rPr>
              <w:t>Сысертский горный округ</w:t>
            </w:r>
          </w:p>
        </w:tc>
        <w:tc>
          <w:tcPr>
            <w:tcW w:w="612" w:type="dxa"/>
          </w:tcPr>
          <w:p w14:paraId="021C59F7" w14:textId="77777777" w:rsidR="004B4E35" w:rsidRPr="00405303" w:rsidRDefault="009E6F82" w:rsidP="00C15251">
            <w:pPr>
              <w:jc w:val="both"/>
              <w:rPr>
                <w:bCs/>
                <w:color w:val="002060"/>
                <w:sz w:val="16"/>
                <w:szCs w:val="16"/>
              </w:rPr>
            </w:pPr>
            <w:r w:rsidRPr="00405303">
              <w:rPr>
                <w:bCs/>
                <w:color w:val="002060"/>
                <w:sz w:val="16"/>
                <w:szCs w:val="16"/>
              </w:rPr>
              <w:t>—</w:t>
            </w:r>
          </w:p>
        </w:tc>
        <w:tc>
          <w:tcPr>
            <w:tcW w:w="650" w:type="dxa"/>
          </w:tcPr>
          <w:p w14:paraId="14B40E62" w14:textId="77777777" w:rsidR="004B4E35" w:rsidRPr="00405303" w:rsidRDefault="009E6F82" w:rsidP="00C15251">
            <w:pPr>
              <w:jc w:val="both"/>
              <w:rPr>
                <w:bCs/>
                <w:color w:val="002060"/>
                <w:sz w:val="16"/>
                <w:szCs w:val="16"/>
              </w:rPr>
            </w:pPr>
            <w:r w:rsidRPr="00405303">
              <w:rPr>
                <w:bCs/>
                <w:color w:val="002060"/>
                <w:sz w:val="16"/>
                <w:szCs w:val="16"/>
              </w:rPr>
              <w:t>100</w:t>
            </w:r>
          </w:p>
        </w:tc>
        <w:tc>
          <w:tcPr>
            <w:tcW w:w="636" w:type="dxa"/>
          </w:tcPr>
          <w:p w14:paraId="5A987B2D" w14:textId="77777777" w:rsidR="004B4E35" w:rsidRPr="00405303" w:rsidRDefault="009E6F82" w:rsidP="00C15251">
            <w:pPr>
              <w:jc w:val="both"/>
              <w:rPr>
                <w:bCs/>
                <w:color w:val="002060"/>
                <w:sz w:val="16"/>
                <w:szCs w:val="16"/>
              </w:rPr>
            </w:pPr>
            <w:r w:rsidRPr="00405303">
              <w:rPr>
                <w:bCs/>
                <w:color w:val="002060"/>
                <w:sz w:val="16"/>
                <w:szCs w:val="16"/>
              </w:rPr>
              <w:t>100</w:t>
            </w:r>
          </w:p>
        </w:tc>
        <w:tc>
          <w:tcPr>
            <w:tcW w:w="728" w:type="dxa"/>
          </w:tcPr>
          <w:p w14:paraId="26BA5952" w14:textId="77777777" w:rsidR="004B4E35" w:rsidRPr="00405303" w:rsidRDefault="009E6F82" w:rsidP="00C15251">
            <w:pPr>
              <w:jc w:val="both"/>
              <w:rPr>
                <w:bCs/>
                <w:color w:val="002060"/>
                <w:sz w:val="16"/>
                <w:szCs w:val="16"/>
              </w:rPr>
            </w:pPr>
            <w:r w:rsidRPr="00405303">
              <w:rPr>
                <w:bCs/>
                <w:color w:val="002060"/>
                <w:sz w:val="16"/>
                <w:szCs w:val="16"/>
              </w:rPr>
              <w:t>100</w:t>
            </w:r>
          </w:p>
        </w:tc>
      </w:tr>
      <w:tr w:rsidR="004B4E35" w:rsidRPr="00405303" w14:paraId="40014BBC" w14:textId="77777777">
        <w:tc>
          <w:tcPr>
            <w:tcW w:w="2652" w:type="dxa"/>
          </w:tcPr>
          <w:p w14:paraId="1004FB1B" w14:textId="77777777" w:rsidR="004B4E35" w:rsidRPr="00405303" w:rsidRDefault="009E6F82" w:rsidP="00C15251">
            <w:pPr>
              <w:jc w:val="both"/>
              <w:rPr>
                <w:bCs/>
                <w:color w:val="002060"/>
                <w:sz w:val="16"/>
                <w:szCs w:val="16"/>
              </w:rPr>
            </w:pPr>
            <w:r w:rsidRPr="00405303">
              <w:rPr>
                <w:bCs/>
                <w:color w:val="002060"/>
                <w:sz w:val="16"/>
                <w:szCs w:val="16"/>
              </w:rPr>
              <w:t>Ревдинский горный округ</w:t>
            </w:r>
          </w:p>
        </w:tc>
        <w:tc>
          <w:tcPr>
            <w:tcW w:w="612" w:type="dxa"/>
          </w:tcPr>
          <w:p w14:paraId="2A21F09C" w14:textId="77777777" w:rsidR="004B4E35" w:rsidRPr="00405303" w:rsidRDefault="009E6F82" w:rsidP="00C15251">
            <w:pPr>
              <w:jc w:val="both"/>
              <w:rPr>
                <w:bCs/>
                <w:color w:val="002060"/>
                <w:sz w:val="16"/>
                <w:szCs w:val="16"/>
              </w:rPr>
            </w:pPr>
            <w:r w:rsidRPr="00405303">
              <w:rPr>
                <w:bCs/>
                <w:color w:val="002060"/>
                <w:sz w:val="16"/>
                <w:szCs w:val="16"/>
              </w:rPr>
              <w:t>—</w:t>
            </w:r>
          </w:p>
        </w:tc>
        <w:tc>
          <w:tcPr>
            <w:tcW w:w="650" w:type="dxa"/>
          </w:tcPr>
          <w:p w14:paraId="7318542E" w14:textId="77777777" w:rsidR="004B4E35" w:rsidRPr="00405303" w:rsidRDefault="009E6F82" w:rsidP="00C15251">
            <w:pPr>
              <w:jc w:val="both"/>
              <w:rPr>
                <w:bCs/>
                <w:color w:val="002060"/>
                <w:sz w:val="16"/>
                <w:szCs w:val="16"/>
              </w:rPr>
            </w:pPr>
            <w:r w:rsidRPr="00405303">
              <w:rPr>
                <w:bCs/>
                <w:color w:val="002060"/>
                <w:sz w:val="16"/>
                <w:szCs w:val="16"/>
              </w:rPr>
              <w:t>150</w:t>
            </w:r>
          </w:p>
        </w:tc>
        <w:tc>
          <w:tcPr>
            <w:tcW w:w="636" w:type="dxa"/>
          </w:tcPr>
          <w:p w14:paraId="07625BCE" w14:textId="77777777" w:rsidR="004B4E35" w:rsidRPr="00405303" w:rsidRDefault="009E6F82" w:rsidP="00C15251">
            <w:pPr>
              <w:jc w:val="both"/>
              <w:rPr>
                <w:bCs/>
                <w:color w:val="002060"/>
                <w:sz w:val="16"/>
                <w:szCs w:val="16"/>
              </w:rPr>
            </w:pPr>
            <w:r w:rsidRPr="00405303">
              <w:rPr>
                <w:bCs/>
                <w:color w:val="002060"/>
                <w:sz w:val="16"/>
                <w:szCs w:val="16"/>
              </w:rPr>
              <w:t>150</w:t>
            </w:r>
          </w:p>
        </w:tc>
        <w:tc>
          <w:tcPr>
            <w:tcW w:w="728" w:type="dxa"/>
          </w:tcPr>
          <w:p w14:paraId="6368A14F" w14:textId="77777777" w:rsidR="004B4E35" w:rsidRPr="00405303" w:rsidRDefault="009E6F82" w:rsidP="00C15251">
            <w:pPr>
              <w:jc w:val="both"/>
              <w:rPr>
                <w:bCs/>
                <w:color w:val="002060"/>
                <w:sz w:val="16"/>
                <w:szCs w:val="16"/>
              </w:rPr>
            </w:pPr>
            <w:r w:rsidRPr="00405303">
              <w:rPr>
                <w:bCs/>
                <w:color w:val="002060"/>
                <w:sz w:val="16"/>
                <w:szCs w:val="16"/>
              </w:rPr>
              <w:t>150</w:t>
            </w:r>
          </w:p>
        </w:tc>
      </w:tr>
      <w:tr w:rsidR="004B4E35" w:rsidRPr="00405303" w14:paraId="434D18F8" w14:textId="77777777">
        <w:tc>
          <w:tcPr>
            <w:tcW w:w="2652" w:type="dxa"/>
          </w:tcPr>
          <w:p w14:paraId="0CC344B1" w14:textId="77777777" w:rsidR="004B4E35" w:rsidRPr="00405303" w:rsidRDefault="009E6F82" w:rsidP="00C15251">
            <w:pPr>
              <w:jc w:val="both"/>
              <w:rPr>
                <w:bCs/>
                <w:color w:val="002060"/>
                <w:sz w:val="16"/>
                <w:szCs w:val="16"/>
              </w:rPr>
            </w:pPr>
            <w:r w:rsidRPr="00405303">
              <w:rPr>
                <w:bCs/>
                <w:color w:val="002060"/>
                <w:sz w:val="16"/>
                <w:szCs w:val="16"/>
              </w:rPr>
              <w:t>Рудники Ушакова</w:t>
            </w:r>
          </w:p>
        </w:tc>
        <w:tc>
          <w:tcPr>
            <w:tcW w:w="612" w:type="dxa"/>
          </w:tcPr>
          <w:p w14:paraId="3A2EE22A" w14:textId="77777777" w:rsidR="004B4E35" w:rsidRPr="00405303" w:rsidRDefault="009E6F82" w:rsidP="00C15251">
            <w:pPr>
              <w:jc w:val="both"/>
              <w:rPr>
                <w:bCs/>
                <w:color w:val="002060"/>
                <w:sz w:val="16"/>
                <w:szCs w:val="16"/>
              </w:rPr>
            </w:pPr>
            <w:r w:rsidRPr="00405303">
              <w:rPr>
                <w:bCs/>
                <w:color w:val="002060"/>
                <w:sz w:val="16"/>
                <w:szCs w:val="16"/>
              </w:rPr>
              <w:t>—</w:t>
            </w:r>
          </w:p>
        </w:tc>
        <w:tc>
          <w:tcPr>
            <w:tcW w:w="650" w:type="dxa"/>
          </w:tcPr>
          <w:p w14:paraId="33A73103" w14:textId="77777777" w:rsidR="004B4E35" w:rsidRPr="00405303" w:rsidRDefault="009E6F82" w:rsidP="00C15251">
            <w:pPr>
              <w:jc w:val="both"/>
              <w:rPr>
                <w:bCs/>
                <w:color w:val="002060"/>
                <w:sz w:val="16"/>
                <w:szCs w:val="16"/>
              </w:rPr>
            </w:pPr>
            <w:r w:rsidRPr="00405303">
              <w:rPr>
                <w:bCs/>
                <w:color w:val="002060"/>
                <w:sz w:val="16"/>
                <w:szCs w:val="16"/>
              </w:rPr>
              <w:t>100</w:t>
            </w:r>
          </w:p>
        </w:tc>
        <w:tc>
          <w:tcPr>
            <w:tcW w:w="636" w:type="dxa"/>
          </w:tcPr>
          <w:p w14:paraId="30100C12" w14:textId="77777777" w:rsidR="004B4E35" w:rsidRPr="00405303" w:rsidRDefault="009E6F82" w:rsidP="00C15251">
            <w:pPr>
              <w:jc w:val="both"/>
              <w:rPr>
                <w:bCs/>
                <w:color w:val="002060"/>
                <w:sz w:val="16"/>
                <w:szCs w:val="16"/>
              </w:rPr>
            </w:pPr>
            <w:r w:rsidRPr="00405303">
              <w:rPr>
                <w:bCs/>
                <w:color w:val="002060"/>
                <w:sz w:val="16"/>
                <w:szCs w:val="16"/>
              </w:rPr>
              <w:t>100</w:t>
            </w:r>
          </w:p>
        </w:tc>
        <w:tc>
          <w:tcPr>
            <w:tcW w:w="728" w:type="dxa"/>
          </w:tcPr>
          <w:p w14:paraId="72ABC90E" w14:textId="77777777" w:rsidR="004B4E35" w:rsidRPr="00405303" w:rsidRDefault="009E6F82" w:rsidP="00C15251">
            <w:pPr>
              <w:jc w:val="both"/>
              <w:rPr>
                <w:bCs/>
                <w:color w:val="002060"/>
                <w:sz w:val="16"/>
                <w:szCs w:val="16"/>
              </w:rPr>
            </w:pPr>
            <w:r w:rsidRPr="00405303">
              <w:rPr>
                <w:bCs/>
                <w:color w:val="002060"/>
                <w:sz w:val="16"/>
                <w:szCs w:val="16"/>
              </w:rPr>
              <w:t>100</w:t>
            </w:r>
          </w:p>
        </w:tc>
      </w:tr>
      <w:tr w:rsidR="004B4E35" w:rsidRPr="00405303" w14:paraId="43120C9B" w14:textId="77777777">
        <w:tc>
          <w:tcPr>
            <w:tcW w:w="2652" w:type="dxa"/>
          </w:tcPr>
          <w:p w14:paraId="7FC3B7BC" w14:textId="77777777" w:rsidR="004B4E35" w:rsidRPr="00405303" w:rsidRDefault="009E6F82" w:rsidP="00C15251">
            <w:pPr>
              <w:jc w:val="both"/>
              <w:rPr>
                <w:bCs/>
                <w:color w:val="002060"/>
                <w:sz w:val="16"/>
                <w:szCs w:val="16"/>
              </w:rPr>
            </w:pPr>
            <w:r w:rsidRPr="00405303">
              <w:rPr>
                <w:bCs/>
                <w:color w:val="002060"/>
                <w:sz w:val="16"/>
                <w:szCs w:val="16"/>
              </w:rPr>
              <w:t xml:space="preserve">Прочие мелкие добычи </w:t>
            </w:r>
          </w:p>
          <w:p w14:paraId="126C98BE" w14:textId="77777777" w:rsidR="004B4E35" w:rsidRPr="00405303" w:rsidRDefault="009E6F82" w:rsidP="00C15251">
            <w:pPr>
              <w:jc w:val="both"/>
              <w:rPr>
                <w:bCs/>
                <w:color w:val="002060"/>
                <w:sz w:val="16"/>
                <w:szCs w:val="16"/>
              </w:rPr>
            </w:pPr>
            <w:r w:rsidRPr="00405303">
              <w:rPr>
                <w:bCs/>
                <w:color w:val="002060"/>
                <w:sz w:val="16"/>
                <w:szCs w:val="16"/>
              </w:rPr>
              <w:t>(Кавказские, Донецкие, Подмосковные)</w:t>
            </w:r>
          </w:p>
        </w:tc>
        <w:tc>
          <w:tcPr>
            <w:tcW w:w="612" w:type="dxa"/>
          </w:tcPr>
          <w:p w14:paraId="6B2C64CC" w14:textId="77777777" w:rsidR="004B4E35" w:rsidRPr="00405303" w:rsidRDefault="009E6F82" w:rsidP="00C15251">
            <w:pPr>
              <w:jc w:val="both"/>
              <w:rPr>
                <w:bCs/>
                <w:color w:val="002060"/>
                <w:sz w:val="16"/>
                <w:szCs w:val="16"/>
              </w:rPr>
            </w:pPr>
            <w:r w:rsidRPr="00405303">
              <w:rPr>
                <w:bCs/>
                <w:color w:val="002060"/>
                <w:sz w:val="16"/>
                <w:szCs w:val="16"/>
              </w:rPr>
              <w:t>105</w:t>
            </w:r>
          </w:p>
        </w:tc>
        <w:tc>
          <w:tcPr>
            <w:tcW w:w="650" w:type="dxa"/>
          </w:tcPr>
          <w:p w14:paraId="2123D3A8" w14:textId="77777777" w:rsidR="004B4E35" w:rsidRPr="00405303" w:rsidRDefault="009E6F82" w:rsidP="00C15251">
            <w:pPr>
              <w:jc w:val="both"/>
              <w:rPr>
                <w:bCs/>
                <w:color w:val="002060"/>
                <w:sz w:val="16"/>
                <w:szCs w:val="16"/>
              </w:rPr>
            </w:pPr>
            <w:r w:rsidRPr="00405303">
              <w:rPr>
                <w:bCs/>
                <w:color w:val="002060"/>
                <w:sz w:val="16"/>
                <w:szCs w:val="16"/>
              </w:rPr>
              <w:t>110</w:t>
            </w:r>
          </w:p>
        </w:tc>
        <w:tc>
          <w:tcPr>
            <w:tcW w:w="636" w:type="dxa"/>
          </w:tcPr>
          <w:p w14:paraId="767B9D15" w14:textId="77777777" w:rsidR="004B4E35" w:rsidRPr="00405303" w:rsidRDefault="009E6F82" w:rsidP="00C15251">
            <w:pPr>
              <w:jc w:val="both"/>
              <w:rPr>
                <w:bCs/>
                <w:color w:val="002060"/>
                <w:sz w:val="16"/>
                <w:szCs w:val="16"/>
              </w:rPr>
            </w:pPr>
            <w:r w:rsidRPr="00405303">
              <w:rPr>
                <w:bCs/>
                <w:color w:val="002060"/>
                <w:sz w:val="16"/>
                <w:szCs w:val="16"/>
              </w:rPr>
              <w:t>140</w:t>
            </w:r>
          </w:p>
        </w:tc>
        <w:tc>
          <w:tcPr>
            <w:tcW w:w="728" w:type="dxa"/>
          </w:tcPr>
          <w:p w14:paraId="7F4632A6" w14:textId="77777777" w:rsidR="004B4E35" w:rsidRPr="00405303" w:rsidRDefault="009E6F82" w:rsidP="00C15251">
            <w:pPr>
              <w:jc w:val="both"/>
              <w:rPr>
                <w:bCs/>
                <w:color w:val="002060"/>
                <w:sz w:val="16"/>
                <w:szCs w:val="16"/>
              </w:rPr>
            </w:pPr>
            <w:r w:rsidRPr="00405303">
              <w:rPr>
                <w:bCs/>
                <w:color w:val="002060"/>
                <w:sz w:val="16"/>
                <w:szCs w:val="16"/>
              </w:rPr>
              <w:t>150</w:t>
            </w:r>
          </w:p>
        </w:tc>
      </w:tr>
    </w:tbl>
    <w:p w14:paraId="267A6B5B" w14:textId="77777777" w:rsidR="004B4E35" w:rsidRPr="00405303" w:rsidRDefault="009E6F82" w:rsidP="00C15251">
      <w:pPr>
        <w:jc w:val="both"/>
        <w:rPr>
          <w:bCs/>
          <w:color w:val="002060"/>
          <w:sz w:val="16"/>
          <w:szCs w:val="16"/>
        </w:rPr>
      </w:pPr>
      <w:r w:rsidRPr="00405303">
        <w:rPr>
          <w:bCs/>
          <w:color w:val="002060"/>
          <w:sz w:val="16"/>
          <w:szCs w:val="16"/>
        </w:rPr>
        <w:t xml:space="preserve">Не менее забот представлял вопрос с азотной кислотой. Для изготовления ее ежегодно в Россию необходимо было ввозить до 6 млн пудов чилийской селитры. Комиссия Ипатьева, а впоследствии Химический комитет взял на себя надзор за провозом и распределением ее. </w:t>
      </w:r>
    </w:p>
    <w:p w14:paraId="41753BC1" w14:textId="77777777" w:rsidR="004B4E35" w:rsidRPr="00405303" w:rsidRDefault="009E6F82" w:rsidP="00C15251">
      <w:pPr>
        <w:jc w:val="both"/>
        <w:rPr>
          <w:bCs/>
          <w:color w:val="002060"/>
          <w:sz w:val="16"/>
          <w:szCs w:val="16"/>
        </w:rPr>
      </w:pPr>
      <w:r w:rsidRPr="00405303">
        <w:rPr>
          <w:bCs/>
          <w:color w:val="002060"/>
          <w:sz w:val="16"/>
          <w:szCs w:val="16"/>
        </w:rPr>
        <w:t xml:space="preserve">Комитет занялся также исследованием залежей отечественной селитры, но эти месторождения оказались неблагонадежными. </w:t>
      </w:r>
    </w:p>
    <w:p w14:paraId="49822FB5" w14:textId="77777777" w:rsidR="004B4E35" w:rsidRPr="00405303" w:rsidRDefault="009E6F82" w:rsidP="00C15251">
      <w:pPr>
        <w:jc w:val="both"/>
        <w:rPr>
          <w:bCs/>
          <w:color w:val="002060"/>
          <w:sz w:val="16"/>
          <w:szCs w:val="16"/>
        </w:rPr>
      </w:pPr>
      <w:r w:rsidRPr="00405303">
        <w:rPr>
          <w:bCs/>
          <w:color w:val="002060"/>
          <w:sz w:val="16"/>
          <w:szCs w:val="16"/>
        </w:rPr>
        <w:t xml:space="preserve">Имея в виду в будущем освободиться от иностранной зависимости, Химический комитет приступил к разработке вопроса о наилучшем для России методе получения азотной кислоты. </w:t>
      </w:r>
    </w:p>
    <w:p w14:paraId="226D0F5E" w14:textId="77777777" w:rsidR="004B4E35" w:rsidRPr="00405303" w:rsidRDefault="009E6F82" w:rsidP="00C15251">
      <w:pPr>
        <w:jc w:val="both"/>
        <w:rPr>
          <w:bCs/>
          <w:color w:val="002060"/>
          <w:sz w:val="16"/>
          <w:szCs w:val="16"/>
        </w:rPr>
      </w:pPr>
      <w:r w:rsidRPr="00405303">
        <w:rPr>
          <w:bCs/>
          <w:color w:val="002060"/>
          <w:sz w:val="16"/>
          <w:szCs w:val="16"/>
        </w:rPr>
        <w:t xml:space="preserve">В связи с установлением улавливания побочных продуктов коксования угля начала быстро расти выработка аммиачных вод. Были привлечены крупные научные силы к разработке практического метода превращения аммиака в азотную кислоту. Лабораторные изыскания и опытная заводская работа дали благоприятные результаты. После этого Химический комитет построил первый казенный завод в Юзовке для получения азотной кислоты переработкой аммиачных вод, производительностью на 50 тыс. пудов селитры в месяц. Этот завод должен был послужить образцом для постройки в дальнейшем таких же заводов. </w:t>
      </w:r>
    </w:p>
    <w:p w14:paraId="4CF3501B" w14:textId="77777777" w:rsidR="004B4E35" w:rsidRPr="00405303" w:rsidRDefault="009E6F82" w:rsidP="00C15251">
      <w:pPr>
        <w:jc w:val="both"/>
        <w:rPr>
          <w:bCs/>
          <w:color w:val="002060"/>
          <w:sz w:val="16"/>
          <w:szCs w:val="16"/>
        </w:rPr>
      </w:pPr>
      <w:r w:rsidRPr="00405303">
        <w:rPr>
          <w:bCs/>
          <w:color w:val="002060"/>
          <w:sz w:val="16"/>
          <w:szCs w:val="16"/>
        </w:rPr>
        <w:t xml:space="preserve">В целях разрешения полностью вопроса о связанном азоте Химическим комитетом был осенью 1916 г. разработан проект завода цианамида кальция производительностью на 2 000 000 пудов в год, который предположено было строить на Кавказе, в Грозном. </w:t>
      </w:r>
    </w:p>
    <w:p w14:paraId="2D54F62C" w14:textId="77777777" w:rsidR="004B4E35" w:rsidRPr="00405303" w:rsidRDefault="009E6F82" w:rsidP="00C15251">
      <w:pPr>
        <w:jc w:val="both"/>
        <w:rPr>
          <w:bCs/>
          <w:color w:val="002060"/>
          <w:sz w:val="16"/>
          <w:szCs w:val="16"/>
        </w:rPr>
      </w:pPr>
      <w:r w:rsidRPr="00405303">
        <w:rPr>
          <w:bCs/>
          <w:color w:val="002060"/>
          <w:sz w:val="16"/>
          <w:szCs w:val="16"/>
        </w:rPr>
        <w:t xml:space="preserve">Таким образом, Комиссия Ипатьева, а в дальнейшем Химический комитет, как видно из приведенного очерка, несли на себе все заботы о снабжении казенных и частных заводов пороха и взрывчатых веществ основными материалами для производства. </w:t>
      </w:r>
    </w:p>
    <w:p w14:paraId="2F74D213" w14:textId="77777777" w:rsidR="004B4E35" w:rsidRPr="00405303" w:rsidRDefault="009E6F82" w:rsidP="00C15251">
      <w:pPr>
        <w:jc w:val="both"/>
        <w:rPr>
          <w:bCs/>
          <w:color w:val="002060"/>
          <w:sz w:val="16"/>
          <w:szCs w:val="16"/>
        </w:rPr>
      </w:pPr>
      <w:r w:rsidRPr="00405303">
        <w:rPr>
          <w:bCs/>
          <w:color w:val="002060"/>
          <w:sz w:val="16"/>
          <w:szCs w:val="16"/>
        </w:rPr>
        <w:t xml:space="preserve">Независимо от этого на Химическом комитете лежала обязанность привлечь частную промышленность к изготовлению самых взрывчатых веществ в дополнение к тем, которые изготовлялись казенными заводами. </w:t>
      </w:r>
    </w:p>
    <w:p w14:paraId="2FABDF72" w14:textId="77777777" w:rsidR="004B4E35" w:rsidRPr="00405303" w:rsidRDefault="009E6F82" w:rsidP="00C15251">
      <w:pPr>
        <w:jc w:val="both"/>
        <w:rPr>
          <w:bCs/>
          <w:color w:val="002060"/>
          <w:sz w:val="16"/>
          <w:szCs w:val="16"/>
        </w:rPr>
      </w:pPr>
      <w:r w:rsidRPr="00405303">
        <w:rPr>
          <w:bCs/>
          <w:color w:val="002060"/>
          <w:sz w:val="16"/>
          <w:szCs w:val="16"/>
        </w:rPr>
        <w:t xml:space="preserve">Во время войны производство тротила было установлено на нескольких существовавших частных химических заводах (отдельные цеха) и построены новые тротиловые заводы. Общее число частных заводов, готовивших тротил во время войны, достигло восьми. </w:t>
      </w:r>
    </w:p>
    <w:p w14:paraId="6FA7E942" w14:textId="77777777" w:rsidR="004B4E35" w:rsidRPr="00405303" w:rsidRDefault="009E6F82" w:rsidP="00C15251">
      <w:pPr>
        <w:jc w:val="both"/>
        <w:rPr>
          <w:bCs/>
          <w:color w:val="002060"/>
          <w:sz w:val="16"/>
          <w:szCs w:val="16"/>
        </w:rPr>
      </w:pPr>
      <w:r w:rsidRPr="00405303">
        <w:rPr>
          <w:bCs/>
          <w:color w:val="002060"/>
          <w:sz w:val="16"/>
          <w:szCs w:val="16"/>
        </w:rPr>
        <w:t xml:space="preserve">Пикриновая кислота во время войны готовилась только на частных заводах: на пяти — нитрацией фенола и на двух — синтетическим путем из бензола. До войны ее готовили только два завода по первому способу. Синтетический способ был разработан в России уже во время войны в Центральной научно-технической лаборатории военного ведомства и представляет большой научный интерес. </w:t>
      </w:r>
    </w:p>
    <w:p w14:paraId="17AC88CF" w14:textId="77777777" w:rsidR="004B4E35" w:rsidRPr="00405303" w:rsidRDefault="009E6F82" w:rsidP="00C15251">
      <w:pPr>
        <w:jc w:val="both"/>
        <w:rPr>
          <w:bCs/>
          <w:color w:val="002060"/>
          <w:sz w:val="16"/>
          <w:szCs w:val="16"/>
        </w:rPr>
      </w:pPr>
      <w:r w:rsidRPr="00405303">
        <w:rPr>
          <w:bCs/>
          <w:color w:val="002060"/>
          <w:sz w:val="16"/>
          <w:szCs w:val="16"/>
        </w:rPr>
        <w:t xml:space="preserve">Было установлено Химическим комитетом также производство тринитроксилола и динитронафталина, каждый на двух заводах. </w:t>
      </w:r>
    </w:p>
    <w:p w14:paraId="51091C2E" w14:textId="77777777" w:rsidR="004B4E35" w:rsidRPr="00405303" w:rsidRDefault="009E6F82" w:rsidP="00C15251">
      <w:pPr>
        <w:jc w:val="both"/>
        <w:rPr>
          <w:bCs/>
          <w:color w:val="002060"/>
          <w:sz w:val="16"/>
          <w:szCs w:val="16"/>
        </w:rPr>
      </w:pPr>
      <w:r w:rsidRPr="00405303">
        <w:rPr>
          <w:bCs/>
          <w:color w:val="002060"/>
          <w:sz w:val="16"/>
          <w:szCs w:val="16"/>
        </w:rPr>
        <w:t xml:space="preserve">Изготовление аммиачной селитры, кроме упомянутого выше Юзовского казенного завода, было организовано Комиссией еще на двух заводах в Донецком бассейне. </w:t>
      </w:r>
    </w:p>
    <w:p w14:paraId="658AE647" w14:textId="77777777" w:rsidR="004B4E35" w:rsidRPr="00405303" w:rsidRDefault="009E6F82" w:rsidP="00C15251">
      <w:pPr>
        <w:jc w:val="both"/>
        <w:rPr>
          <w:bCs/>
          <w:color w:val="002060"/>
          <w:sz w:val="16"/>
          <w:szCs w:val="16"/>
        </w:rPr>
      </w:pPr>
      <w:r w:rsidRPr="00405303">
        <w:rPr>
          <w:bCs/>
          <w:color w:val="002060"/>
          <w:sz w:val="16"/>
          <w:szCs w:val="16"/>
        </w:rPr>
        <w:t xml:space="preserve">Фабрикация взрывчатых смесей на основе аммиачной селитры была организована Химическим комитетом в нескольких мастерских и заводах. </w:t>
      </w:r>
    </w:p>
    <w:p w14:paraId="1CB11C45" w14:textId="77777777" w:rsidR="004B4E35" w:rsidRPr="00405303" w:rsidRDefault="009E6F82" w:rsidP="00C15251">
      <w:pPr>
        <w:jc w:val="both"/>
        <w:rPr>
          <w:bCs/>
          <w:color w:val="002060"/>
          <w:sz w:val="16"/>
          <w:szCs w:val="16"/>
        </w:rPr>
      </w:pPr>
      <w:r w:rsidRPr="00405303">
        <w:rPr>
          <w:bCs/>
          <w:color w:val="002060"/>
          <w:sz w:val="16"/>
          <w:szCs w:val="16"/>
        </w:rPr>
        <w:t xml:space="preserve">Общее количество заводов, изготовлявших взрывчатые вещества, возросло с февраля 1915 г. по январь 1917 г. с 4 до 28. Общая мощность их по оборудованию в 1917 г. возросла до 218 000 пудов в месяц. Из них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4B4E35" w:rsidRPr="00405303" w14:paraId="416C92C7" w14:textId="77777777">
        <w:tc>
          <w:tcPr>
            <w:tcW w:w="1788" w:type="dxa"/>
          </w:tcPr>
          <w:p w14:paraId="51963AD0" w14:textId="77777777" w:rsidR="004B4E35" w:rsidRPr="00405303" w:rsidRDefault="009E6F82" w:rsidP="00C15251">
            <w:pPr>
              <w:jc w:val="both"/>
              <w:rPr>
                <w:bCs/>
                <w:color w:val="002060"/>
                <w:sz w:val="16"/>
                <w:szCs w:val="16"/>
              </w:rPr>
            </w:pPr>
            <w:r w:rsidRPr="00405303">
              <w:rPr>
                <w:bCs/>
                <w:color w:val="002060"/>
                <w:sz w:val="16"/>
                <w:szCs w:val="16"/>
              </w:rPr>
              <w:t>Тротила</w:t>
            </w:r>
          </w:p>
        </w:tc>
        <w:tc>
          <w:tcPr>
            <w:tcW w:w="936" w:type="dxa"/>
          </w:tcPr>
          <w:p w14:paraId="0B5B1CCD" w14:textId="77777777" w:rsidR="004B4E35" w:rsidRPr="00405303" w:rsidRDefault="009E6F82" w:rsidP="00C15251">
            <w:pPr>
              <w:jc w:val="both"/>
              <w:rPr>
                <w:bCs/>
                <w:color w:val="002060"/>
                <w:sz w:val="16"/>
                <w:szCs w:val="16"/>
              </w:rPr>
            </w:pPr>
            <w:r w:rsidRPr="00405303">
              <w:rPr>
                <w:bCs/>
                <w:color w:val="002060"/>
                <w:sz w:val="16"/>
                <w:szCs w:val="16"/>
              </w:rPr>
              <w:t xml:space="preserve">52.000 </w:t>
            </w:r>
          </w:p>
        </w:tc>
      </w:tr>
      <w:tr w:rsidR="004B4E35" w:rsidRPr="00405303" w14:paraId="31B96D5B" w14:textId="77777777">
        <w:tc>
          <w:tcPr>
            <w:tcW w:w="1788" w:type="dxa"/>
          </w:tcPr>
          <w:p w14:paraId="7D47BFDF" w14:textId="77777777" w:rsidR="004B4E35" w:rsidRPr="00405303" w:rsidRDefault="009E6F82" w:rsidP="00C15251">
            <w:pPr>
              <w:jc w:val="both"/>
              <w:rPr>
                <w:bCs/>
                <w:color w:val="002060"/>
                <w:sz w:val="16"/>
                <w:szCs w:val="16"/>
              </w:rPr>
            </w:pPr>
            <w:r w:rsidRPr="00405303">
              <w:rPr>
                <w:bCs/>
                <w:color w:val="002060"/>
                <w:sz w:val="16"/>
                <w:szCs w:val="16"/>
              </w:rPr>
              <w:t>Пикриновой кислоты</w:t>
            </w:r>
          </w:p>
        </w:tc>
        <w:tc>
          <w:tcPr>
            <w:tcW w:w="936" w:type="dxa"/>
          </w:tcPr>
          <w:p w14:paraId="4498B736" w14:textId="77777777" w:rsidR="004B4E35" w:rsidRPr="00405303" w:rsidRDefault="009E6F82" w:rsidP="00C15251">
            <w:pPr>
              <w:jc w:val="both"/>
              <w:rPr>
                <w:bCs/>
                <w:color w:val="002060"/>
                <w:sz w:val="16"/>
                <w:szCs w:val="16"/>
              </w:rPr>
            </w:pPr>
            <w:r w:rsidRPr="00405303">
              <w:rPr>
                <w:bCs/>
                <w:color w:val="002060"/>
                <w:sz w:val="16"/>
                <w:szCs w:val="16"/>
              </w:rPr>
              <w:t xml:space="preserve">50.000 </w:t>
            </w:r>
          </w:p>
        </w:tc>
      </w:tr>
      <w:tr w:rsidR="004B4E35" w:rsidRPr="00405303" w14:paraId="338A8452" w14:textId="77777777">
        <w:tc>
          <w:tcPr>
            <w:tcW w:w="1788" w:type="dxa"/>
          </w:tcPr>
          <w:p w14:paraId="31A514A0" w14:textId="77777777" w:rsidR="004B4E35" w:rsidRPr="00405303" w:rsidRDefault="009E6F82" w:rsidP="00C15251">
            <w:pPr>
              <w:jc w:val="both"/>
              <w:rPr>
                <w:bCs/>
                <w:color w:val="002060"/>
                <w:sz w:val="16"/>
                <w:szCs w:val="16"/>
              </w:rPr>
            </w:pPr>
            <w:r w:rsidRPr="00405303">
              <w:rPr>
                <w:bCs/>
                <w:color w:val="002060"/>
                <w:sz w:val="16"/>
                <w:szCs w:val="16"/>
              </w:rPr>
              <w:t>Аммиачной селитры</w:t>
            </w:r>
          </w:p>
        </w:tc>
        <w:tc>
          <w:tcPr>
            <w:tcW w:w="936" w:type="dxa"/>
          </w:tcPr>
          <w:p w14:paraId="25150C6D" w14:textId="77777777" w:rsidR="004B4E35" w:rsidRPr="00405303" w:rsidRDefault="009E6F82" w:rsidP="00C15251">
            <w:pPr>
              <w:jc w:val="both"/>
              <w:rPr>
                <w:bCs/>
                <w:color w:val="002060"/>
                <w:sz w:val="16"/>
                <w:szCs w:val="16"/>
              </w:rPr>
            </w:pPr>
            <w:r w:rsidRPr="00405303">
              <w:rPr>
                <w:bCs/>
                <w:color w:val="002060"/>
                <w:sz w:val="16"/>
                <w:szCs w:val="16"/>
              </w:rPr>
              <w:t xml:space="preserve">60.000 </w:t>
            </w:r>
          </w:p>
        </w:tc>
      </w:tr>
      <w:tr w:rsidR="004B4E35" w:rsidRPr="00405303" w14:paraId="08CFB187" w14:textId="77777777">
        <w:tc>
          <w:tcPr>
            <w:tcW w:w="1788" w:type="dxa"/>
          </w:tcPr>
          <w:p w14:paraId="640305A5" w14:textId="77777777" w:rsidR="004B4E35" w:rsidRPr="00405303" w:rsidRDefault="009E6F82" w:rsidP="00C15251">
            <w:pPr>
              <w:jc w:val="both"/>
              <w:rPr>
                <w:bCs/>
                <w:color w:val="002060"/>
                <w:sz w:val="16"/>
                <w:szCs w:val="16"/>
              </w:rPr>
            </w:pPr>
            <w:r w:rsidRPr="00405303">
              <w:rPr>
                <w:bCs/>
                <w:color w:val="002060"/>
                <w:sz w:val="16"/>
                <w:szCs w:val="16"/>
              </w:rPr>
              <w:t>Ксилола</w:t>
            </w:r>
          </w:p>
        </w:tc>
        <w:tc>
          <w:tcPr>
            <w:tcW w:w="936" w:type="dxa"/>
          </w:tcPr>
          <w:p w14:paraId="62FC6C32" w14:textId="77777777" w:rsidR="004B4E35" w:rsidRPr="00405303" w:rsidRDefault="009E6F82" w:rsidP="00C15251">
            <w:pPr>
              <w:jc w:val="both"/>
              <w:rPr>
                <w:bCs/>
                <w:color w:val="002060"/>
                <w:sz w:val="16"/>
                <w:szCs w:val="16"/>
              </w:rPr>
            </w:pPr>
            <w:r w:rsidRPr="00405303">
              <w:rPr>
                <w:bCs/>
                <w:color w:val="002060"/>
                <w:sz w:val="16"/>
                <w:szCs w:val="16"/>
              </w:rPr>
              <w:t xml:space="preserve">9.000 </w:t>
            </w:r>
          </w:p>
        </w:tc>
      </w:tr>
      <w:tr w:rsidR="004B4E35" w:rsidRPr="00405303" w14:paraId="4A225782" w14:textId="77777777">
        <w:tc>
          <w:tcPr>
            <w:tcW w:w="1788" w:type="dxa"/>
          </w:tcPr>
          <w:p w14:paraId="22DA4915" w14:textId="77777777" w:rsidR="004B4E35" w:rsidRPr="00405303" w:rsidRDefault="009E6F82" w:rsidP="00C15251">
            <w:pPr>
              <w:jc w:val="both"/>
              <w:rPr>
                <w:bCs/>
                <w:color w:val="002060"/>
                <w:sz w:val="16"/>
                <w:szCs w:val="16"/>
              </w:rPr>
            </w:pPr>
            <w:r w:rsidRPr="00405303">
              <w:rPr>
                <w:bCs/>
                <w:color w:val="002060"/>
                <w:sz w:val="16"/>
                <w:szCs w:val="16"/>
              </w:rPr>
              <w:t>Динитронафталина</w:t>
            </w:r>
          </w:p>
        </w:tc>
        <w:tc>
          <w:tcPr>
            <w:tcW w:w="936" w:type="dxa"/>
          </w:tcPr>
          <w:p w14:paraId="2B327795" w14:textId="77777777" w:rsidR="004B4E35" w:rsidRPr="00405303" w:rsidRDefault="009E6F82" w:rsidP="00C15251">
            <w:pPr>
              <w:jc w:val="both"/>
              <w:rPr>
                <w:bCs/>
                <w:color w:val="002060"/>
                <w:sz w:val="16"/>
                <w:szCs w:val="16"/>
              </w:rPr>
            </w:pPr>
            <w:r w:rsidRPr="00405303">
              <w:rPr>
                <w:bCs/>
                <w:color w:val="002060"/>
                <w:sz w:val="16"/>
                <w:szCs w:val="16"/>
              </w:rPr>
              <w:t xml:space="preserve">12.000 </w:t>
            </w:r>
          </w:p>
        </w:tc>
      </w:tr>
    </w:tbl>
    <w:p w14:paraId="228401E7" w14:textId="77777777" w:rsidR="004B4E35" w:rsidRPr="00405303" w:rsidRDefault="009E6F82" w:rsidP="00C15251">
      <w:pPr>
        <w:jc w:val="both"/>
        <w:rPr>
          <w:bCs/>
          <w:color w:val="002060"/>
          <w:sz w:val="16"/>
          <w:szCs w:val="16"/>
        </w:rPr>
      </w:pPr>
      <w:r w:rsidRPr="00405303">
        <w:rPr>
          <w:bCs/>
          <w:color w:val="002060"/>
          <w:sz w:val="16"/>
          <w:szCs w:val="16"/>
        </w:rPr>
        <w:t xml:space="preserve">Фактически эта мощность не была использована полностью. </w:t>
      </w:r>
    </w:p>
    <w:p w14:paraId="3D49AF12" w14:textId="77777777" w:rsidR="004B4E35" w:rsidRPr="00405303" w:rsidRDefault="009E6F82" w:rsidP="00C15251">
      <w:pPr>
        <w:jc w:val="both"/>
        <w:rPr>
          <w:bCs/>
          <w:color w:val="002060"/>
          <w:sz w:val="16"/>
          <w:szCs w:val="16"/>
        </w:rPr>
      </w:pPr>
      <w:r w:rsidRPr="00405303">
        <w:rPr>
          <w:bCs/>
          <w:color w:val="002060"/>
          <w:sz w:val="16"/>
          <w:szCs w:val="16"/>
        </w:rPr>
        <w:t xml:space="preserve">Летом 1915 г. определенно выяснилась необходимость организовать производство целого ряда химических продуктов для газовой борьбы с противником. </w:t>
      </w:r>
    </w:p>
    <w:p w14:paraId="4ECE0933" w14:textId="77777777" w:rsidR="004B4E35" w:rsidRPr="00405303" w:rsidRDefault="009E6F82" w:rsidP="00C15251">
      <w:pPr>
        <w:jc w:val="both"/>
        <w:rPr>
          <w:bCs/>
          <w:color w:val="002060"/>
          <w:sz w:val="16"/>
          <w:szCs w:val="16"/>
        </w:rPr>
      </w:pPr>
      <w:r w:rsidRPr="00405303">
        <w:rPr>
          <w:bCs/>
          <w:color w:val="002060"/>
          <w:sz w:val="16"/>
          <w:szCs w:val="16"/>
        </w:rPr>
        <w:t xml:space="preserve">Это дело проводилось с большой энергией и успехом, сначала специально для этой цели организованной Комиссией у[душающих] с[редств], а после Химическим комитетом, куда вошла Комиссия УС. Организации заводского производства предшествовал ряд научных изысканий. </w:t>
      </w:r>
    </w:p>
    <w:p w14:paraId="5143C431" w14:textId="77777777" w:rsidR="004B4E35" w:rsidRPr="00405303" w:rsidRDefault="009E6F82" w:rsidP="00C15251">
      <w:pPr>
        <w:jc w:val="both"/>
        <w:rPr>
          <w:bCs/>
          <w:color w:val="002060"/>
          <w:sz w:val="16"/>
          <w:szCs w:val="16"/>
        </w:rPr>
      </w:pPr>
      <w:r w:rsidRPr="00405303">
        <w:rPr>
          <w:bCs/>
          <w:color w:val="002060"/>
          <w:sz w:val="16"/>
          <w:szCs w:val="16"/>
        </w:rPr>
        <w:t xml:space="preserve">Для выпуска из баллонов принят был сжиженный хлор. Производство было быстро организовано на двух заводах Донецкого бассейна и в период с осени 1915 г. к осени 1916 г. достигло 500-600 пудов в сутки, что вполне покрывало потребность фронта. </w:t>
      </w:r>
    </w:p>
    <w:p w14:paraId="2FCA5D66" w14:textId="77777777" w:rsidR="004B4E35" w:rsidRPr="00405303" w:rsidRDefault="009E6F82" w:rsidP="00C15251">
      <w:pPr>
        <w:jc w:val="both"/>
        <w:rPr>
          <w:bCs/>
          <w:color w:val="002060"/>
          <w:sz w:val="16"/>
          <w:szCs w:val="16"/>
        </w:rPr>
      </w:pPr>
      <w:r w:rsidRPr="00405303">
        <w:rPr>
          <w:bCs/>
          <w:color w:val="002060"/>
          <w:sz w:val="16"/>
          <w:szCs w:val="16"/>
        </w:rPr>
        <w:t xml:space="preserve">Второе вещество, необходимое для баллоновой газовой борьбы, фосген, в России ранее вовсе не вырабатывалось. </w:t>
      </w:r>
    </w:p>
    <w:p w14:paraId="016DE47B" w14:textId="77777777" w:rsidR="004B4E35" w:rsidRPr="00405303" w:rsidRDefault="009E6F82" w:rsidP="00C15251">
      <w:pPr>
        <w:jc w:val="both"/>
        <w:rPr>
          <w:bCs/>
          <w:color w:val="002060"/>
          <w:sz w:val="16"/>
          <w:szCs w:val="16"/>
        </w:rPr>
      </w:pPr>
      <w:r w:rsidRPr="00405303">
        <w:rPr>
          <w:bCs/>
          <w:color w:val="002060"/>
          <w:sz w:val="16"/>
          <w:szCs w:val="16"/>
        </w:rPr>
        <w:t xml:space="preserve">На это производство оборудовалось пять заводов, из коих один казенный. Из пяти только два своевременно справились с делом. С января по октябрь 1916 г. производство фосгена достигло 600 пудов в месяц. Установка его представляла большие технические трудности. </w:t>
      </w:r>
    </w:p>
    <w:p w14:paraId="6FE2EEAA" w14:textId="77777777" w:rsidR="004B4E35" w:rsidRPr="00405303" w:rsidRDefault="009E6F82" w:rsidP="00C15251">
      <w:pPr>
        <w:jc w:val="both"/>
        <w:rPr>
          <w:bCs/>
          <w:color w:val="002060"/>
          <w:sz w:val="16"/>
          <w:szCs w:val="16"/>
        </w:rPr>
      </w:pPr>
      <w:r w:rsidRPr="00405303">
        <w:rPr>
          <w:bCs/>
          <w:color w:val="002060"/>
          <w:sz w:val="16"/>
          <w:szCs w:val="16"/>
        </w:rPr>
        <w:t xml:space="preserve">Что касается других удушающих веществ, то Химический комитет поставил следующие производства: </w:t>
      </w:r>
    </w:p>
    <w:p w14:paraId="6FEAE17F"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Хлорпикрин — производство было поставлено на семи заводах. Из них один казенный (Глобинский). По 1 октября 1916 г. изготовлено 21 000 пудов. </w:t>
      </w:r>
    </w:p>
    <w:p w14:paraId="20D9C68A" w14:textId="77777777" w:rsidR="004B4E35" w:rsidRPr="00405303" w:rsidRDefault="009E6F82" w:rsidP="00C15251">
      <w:pPr>
        <w:jc w:val="both"/>
        <w:rPr>
          <w:bCs/>
          <w:color w:val="002060"/>
          <w:sz w:val="16"/>
          <w:szCs w:val="16"/>
        </w:rPr>
      </w:pPr>
      <w:r w:rsidRPr="00405303">
        <w:rPr>
          <w:bCs/>
          <w:color w:val="002060"/>
          <w:sz w:val="16"/>
          <w:szCs w:val="16"/>
        </w:rPr>
        <w:t xml:space="preserve">Хлористый сульфурин и хлористый ангидрид — на одном заводе, до 1 октября 1916 г. выработано: первого 14 000 пудов, а второго 18 000 пудов. </w:t>
      </w:r>
    </w:p>
    <w:p w14:paraId="5DA26A48" w14:textId="77777777" w:rsidR="004B4E35" w:rsidRPr="00405303" w:rsidRDefault="009E6F82" w:rsidP="00C15251">
      <w:pPr>
        <w:jc w:val="both"/>
        <w:rPr>
          <w:bCs/>
          <w:color w:val="002060"/>
          <w:sz w:val="16"/>
          <w:szCs w:val="16"/>
        </w:rPr>
      </w:pPr>
      <w:r w:rsidRPr="00405303">
        <w:rPr>
          <w:bCs/>
          <w:color w:val="002060"/>
          <w:sz w:val="16"/>
          <w:szCs w:val="16"/>
        </w:rPr>
        <w:t xml:space="preserve">Хлорное олово — на одном заводе, до 1 октября 1916 г. выработано 14 000 пудов. </w:t>
      </w:r>
    </w:p>
    <w:p w14:paraId="3AD4374E" w14:textId="77777777" w:rsidR="004B4E35" w:rsidRPr="00405303" w:rsidRDefault="009E6F82" w:rsidP="00C15251">
      <w:pPr>
        <w:jc w:val="both"/>
        <w:rPr>
          <w:bCs/>
          <w:color w:val="002060"/>
          <w:sz w:val="16"/>
          <w:szCs w:val="16"/>
        </w:rPr>
      </w:pPr>
      <w:r w:rsidRPr="00405303">
        <w:rPr>
          <w:bCs/>
          <w:color w:val="002060"/>
          <w:sz w:val="16"/>
          <w:szCs w:val="16"/>
        </w:rPr>
        <w:t xml:space="preserve">Цианистый калий — на одном заводе, за 1916 г. выработано 100 пудов. </w:t>
      </w:r>
    </w:p>
    <w:p w14:paraId="7A5A7B6E" w14:textId="77777777" w:rsidR="004B4E35" w:rsidRPr="00405303" w:rsidRDefault="009E6F82" w:rsidP="00C15251">
      <w:pPr>
        <w:jc w:val="both"/>
        <w:rPr>
          <w:bCs/>
          <w:color w:val="002060"/>
          <w:sz w:val="16"/>
          <w:szCs w:val="16"/>
        </w:rPr>
      </w:pPr>
      <w:r w:rsidRPr="00405303">
        <w:rPr>
          <w:bCs/>
          <w:color w:val="002060"/>
          <w:sz w:val="16"/>
          <w:szCs w:val="16"/>
        </w:rPr>
        <w:t xml:space="preserve">Хлороформ — на одном заводе, до 1 октября 1916 г. — 300 пудов. </w:t>
      </w:r>
    </w:p>
    <w:p w14:paraId="7C3E31D4" w14:textId="77777777" w:rsidR="004B4E35" w:rsidRPr="00405303" w:rsidRDefault="009E6F82" w:rsidP="00C15251">
      <w:pPr>
        <w:jc w:val="both"/>
        <w:rPr>
          <w:bCs/>
          <w:color w:val="002060"/>
          <w:sz w:val="16"/>
          <w:szCs w:val="16"/>
        </w:rPr>
      </w:pPr>
      <w:r w:rsidRPr="00405303">
        <w:rPr>
          <w:bCs/>
          <w:color w:val="002060"/>
          <w:sz w:val="16"/>
          <w:szCs w:val="16"/>
        </w:rPr>
        <w:t xml:space="preserve">Хлористый мышьяк — на одном заводе, до 1 октября 1916 г. — 2000 пудов. </w:t>
      </w:r>
    </w:p>
    <w:p w14:paraId="790A906B" w14:textId="77777777" w:rsidR="004B4E35" w:rsidRPr="00405303" w:rsidRDefault="009E6F82" w:rsidP="00C15251">
      <w:pPr>
        <w:jc w:val="both"/>
        <w:rPr>
          <w:bCs/>
          <w:color w:val="002060"/>
          <w:sz w:val="16"/>
          <w:szCs w:val="16"/>
        </w:rPr>
      </w:pPr>
      <w:r w:rsidRPr="00405303">
        <w:rPr>
          <w:bCs/>
          <w:color w:val="002060"/>
          <w:sz w:val="16"/>
          <w:szCs w:val="16"/>
        </w:rPr>
        <w:t xml:space="preserve">Для производства бромбензола было установлено, впервые в России, производство брома. </w:t>
      </w:r>
    </w:p>
    <w:p w14:paraId="25534332" w14:textId="77777777" w:rsidR="004B4E35" w:rsidRPr="00405303" w:rsidRDefault="009E6F82" w:rsidP="00C15251">
      <w:pPr>
        <w:jc w:val="both"/>
        <w:rPr>
          <w:bCs/>
          <w:color w:val="002060"/>
          <w:sz w:val="16"/>
          <w:szCs w:val="16"/>
        </w:rPr>
      </w:pPr>
      <w:r w:rsidRPr="00405303">
        <w:rPr>
          <w:bCs/>
          <w:color w:val="002060"/>
          <w:sz w:val="16"/>
          <w:szCs w:val="16"/>
        </w:rPr>
        <w:t xml:space="preserve">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 </w:t>
      </w:r>
    </w:p>
    <w:p w14:paraId="0645A56B" w14:textId="77777777" w:rsidR="004B4E35" w:rsidRPr="00405303" w:rsidRDefault="009E6F82" w:rsidP="00C15251">
      <w:pPr>
        <w:jc w:val="both"/>
        <w:rPr>
          <w:bCs/>
          <w:color w:val="002060"/>
          <w:sz w:val="16"/>
          <w:szCs w:val="16"/>
        </w:rPr>
      </w:pPr>
      <w:r w:rsidRPr="00405303">
        <w:rPr>
          <w:bCs/>
          <w:color w:val="002060"/>
          <w:sz w:val="16"/>
          <w:szCs w:val="16"/>
        </w:rPr>
        <w:t xml:space="preserve">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 </w:t>
      </w:r>
    </w:p>
    <w:p w14:paraId="38E79B97" w14:textId="77777777" w:rsidR="004B4E35" w:rsidRPr="00405303" w:rsidRDefault="009E6F82" w:rsidP="00C15251">
      <w:pPr>
        <w:jc w:val="both"/>
        <w:rPr>
          <w:bCs/>
          <w:color w:val="002060"/>
          <w:sz w:val="16"/>
          <w:szCs w:val="16"/>
        </w:rPr>
      </w:pPr>
      <w:r w:rsidRPr="00405303">
        <w:rPr>
          <w:bCs/>
          <w:color w:val="002060"/>
          <w:sz w:val="16"/>
          <w:szCs w:val="16"/>
        </w:rPr>
        <w:t xml:space="preserve">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 </w:t>
      </w:r>
    </w:p>
    <w:p w14:paraId="2848BFA8" w14:textId="77777777" w:rsidR="004B4E35" w:rsidRPr="00405303" w:rsidRDefault="009E6F82" w:rsidP="00C15251">
      <w:pPr>
        <w:jc w:val="both"/>
        <w:rPr>
          <w:bCs/>
          <w:color w:val="002060"/>
          <w:sz w:val="16"/>
          <w:szCs w:val="16"/>
        </w:rPr>
      </w:pPr>
      <w:r w:rsidRPr="00405303">
        <w:rPr>
          <w:bCs/>
          <w:color w:val="002060"/>
          <w:sz w:val="16"/>
          <w:szCs w:val="16"/>
        </w:rPr>
        <w:t xml:space="preserve">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 </w:t>
      </w:r>
    </w:p>
    <w:p w14:paraId="09ED54AB" w14:textId="77777777" w:rsidR="004B4E35" w:rsidRPr="00405303" w:rsidRDefault="009E6F82" w:rsidP="00C15251">
      <w:pPr>
        <w:jc w:val="both"/>
        <w:rPr>
          <w:bCs/>
          <w:color w:val="002060"/>
          <w:sz w:val="16"/>
          <w:szCs w:val="16"/>
        </w:rPr>
      </w:pPr>
      <w:r w:rsidRPr="00405303">
        <w:rPr>
          <w:bCs/>
          <w:color w:val="002060"/>
          <w:sz w:val="16"/>
          <w:szCs w:val="16"/>
        </w:rPr>
        <w:t xml:space="preserve">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 </w:t>
      </w:r>
    </w:p>
    <w:p w14:paraId="70D5E648" w14:textId="77777777" w:rsidR="004B4E35" w:rsidRPr="00405303" w:rsidRDefault="009E6F82" w:rsidP="00C15251">
      <w:pPr>
        <w:jc w:val="both"/>
        <w:rPr>
          <w:bCs/>
          <w:color w:val="002060"/>
          <w:sz w:val="16"/>
          <w:szCs w:val="16"/>
        </w:rPr>
      </w:pPr>
      <w:r w:rsidRPr="00405303">
        <w:rPr>
          <w:bCs/>
          <w:color w:val="002060"/>
          <w:sz w:val="16"/>
          <w:szCs w:val="16"/>
        </w:rPr>
        <w:t xml:space="preserve">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w:t>
      </w:r>
    </w:p>
    <w:p w14:paraId="58F040E8" w14:textId="77777777" w:rsidR="004B4E35" w:rsidRPr="00405303" w:rsidRDefault="009E6F82" w:rsidP="00C15251">
      <w:pPr>
        <w:jc w:val="both"/>
        <w:rPr>
          <w:bCs/>
          <w:color w:val="002060"/>
          <w:sz w:val="16"/>
          <w:szCs w:val="16"/>
        </w:rPr>
      </w:pPr>
      <w:r w:rsidRPr="00405303">
        <w:rPr>
          <w:bCs/>
          <w:color w:val="002060"/>
          <w:sz w:val="16"/>
          <w:szCs w:val="16"/>
        </w:rPr>
        <w:t>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13F6DBBA" w14:textId="77777777" w:rsidR="004B4E35" w:rsidRPr="00405303" w:rsidRDefault="009E6F82" w:rsidP="00C15251">
      <w:pPr>
        <w:jc w:val="both"/>
        <w:rPr>
          <w:bCs/>
          <w:color w:val="002060"/>
          <w:sz w:val="16"/>
          <w:szCs w:val="16"/>
        </w:rPr>
      </w:pPr>
      <w:r w:rsidRPr="00405303">
        <w:rPr>
          <w:bCs/>
          <w:color w:val="002060"/>
          <w:sz w:val="16"/>
          <w:szCs w:val="16"/>
        </w:rPr>
        <w:t xml:space="preserve">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00582114" w14:textId="77777777" w:rsidR="004B4E35" w:rsidRPr="00405303" w:rsidRDefault="009E6F82" w:rsidP="00C15251">
      <w:pPr>
        <w:jc w:val="both"/>
        <w:rPr>
          <w:bCs/>
          <w:color w:val="002060"/>
          <w:sz w:val="16"/>
          <w:szCs w:val="16"/>
        </w:rPr>
      </w:pPr>
      <w:r w:rsidRPr="00405303">
        <w:rPr>
          <w:bCs/>
          <w:color w:val="002060"/>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4FF999B6" w14:textId="77777777" w:rsidR="004B4E35" w:rsidRPr="00405303" w:rsidRDefault="009E6F82" w:rsidP="00C15251">
      <w:pPr>
        <w:jc w:val="both"/>
        <w:rPr>
          <w:bCs/>
          <w:color w:val="002060"/>
          <w:sz w:val="16"/>
          <w:szCs w:val="16"/>
        </w:rPr>
      </w:pPr>
      <w:r w:rsidRPr="00405303">
        <w:rPr>
          <w:bCs/>
          <w:color w:val="002060"/>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358AC3B8" w14:textId="77777777" w:rsidR="004B4E35" w:rsidRPr="00405303" w:rsidRDefault="009E6F82" w:rsidP="00C15251">
      <w:pPr>
        <w:jc w:val="both"/>
        <w:rPr>
          <w:bCs/>
          <w:color w:val="002060"/>
          <w:sz w:val="16"/>
          <w:szCs w:val="16"/>
        </w:rPr>
      </w:pPr>
      <w:r w:rsidRPr="00405303">
        <w:rPr>
          <w:bCs/>
          <w:color w:val="002060"/>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27834196" w14:textId="77777777" w:rsidR="004B4E35" w:rsidRPr="00405303" w:rsidRDefault="004B4E35" w:rsidP="00C15251">
      <w:pPr>
        <w:jc w:val="both"/>
        <w:rPr>
          <w:bCs/>
          <w:i/>
          <w:color w:val="002060"/>
          <w:sz w:val="16"/>
          <w:szCs w:val="16"/>
        </w:rPr>
      </w:pPr>
    </w:p>
    <w:p w14:paraId="7177E5DD" w14:textId="5A5C9261" w:rsidR="004B4E35" w:rsidRPr="00405303" w:rsidRDefault="001A0C4D"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начале 1915 г. ГАУ ослабило чрезмер</w:t>
      </w:r>
      <w:r w:rsidR="009E6F82" w:rsidRPr="00405303">
        <w:rPr>
          <w:bCs/>
          <w:color w:val="002060"/>
          <w:sz w:val="16"/>
          <w:szCs w:val="16"/>
        </w:rPr>
        <w:softHyphen/>
        <w:t>но строгие требования к приему корпусов снарядов. Кроме того, из-за недостатка стали было принято решение изготовлять гранаты из обыкновенного и сталистого чугуна по упрощенному французскому образцу, т. е. цельнокорпусными без отдельной привинтной головки. Налаживание массового производства корпусов снарядов было связано с рядом трудностей. До войны основным источником приоб</w:t>
      </w:r>
      <w:r w:rsidR="009E6F82" w:rsidRPr="00405303">
        <w:rPr>
          <w:bCs/>
          <w:color w:val="002060"/>
          <w:sz w:val="16"/>
          <w:szCs w:val="16"/>
        </w:rPr>
        <w:softHyphen/>
        <w:t>ретения металлообрабатывающих станков, специального оборудова</w:t>
      </w:r>
      <w:r w:rsidR="009E6F82" w:rsidRPr="00405303">
        <w:rPr>
          <w:bCs/>
          <w:color w:val="002060"/>
          <w:sz w:val="16"/>
          <w:szCs w:val="16"/>
        </w:rPr>
        <w:softHyphen/>
        <w:t>ния и многих видов сырья являлся германский рынок. С началом войны он стал недоступным, пришлось организовывать многие про</w:t>
      </w:r>
      <w:r w:rsidR="009E6F82" w:rsidRPr="00405303">
        <w:rPr>
          <w:bCs/>
          <w:color w:val="002060"/>
          <w:sz w:val="16"/>
          <w:szCs w:val="16"/>
        </w:rPr>
        <w:softHyphen/>
        <w:t>изводства внутри страны или искать поставщиков среди союзни</w:t>
      </w:r>
      <w:r w:rsidR="009E6F82" w:rsidRPr="00405303">
        <w:rPr>
          <w:bCs/>
          <w:color w:val="002060"/>
          <w:sz w:val="16"/>
          <w:szCs w:val="16"/>
        </w:rPr>
        <w:softHyphen/>
        <w:t>ков. Многие материалы, необходимые для военного производства, стали дефицитными из-за резко возросшего спроса на них во всех воюющих державах. Осложнилась доставка импортных грузов из-за закрытия портов Балтийского моря. Затрудняло работу отсутствие опыта производства корпусов сна</w:t>
      </w:r>
      <w:r w:rsidR="009E6F82" w:rsidRPr="00405303">
        <w:rPr>
          <w:bCs/>
          <w:color w:val="002060"/>
          <w:sz w:val="16"/>
          <w:szCs w:val="16"/>
        </w:rPr>
        <w:softHyphen/>
        <w:t>рядов, незнание специфики массового производства вообще и сна</w:t>
      </w:r>
      <w:r w:rsidR="009E6F82" w:rsidRPr="00405303">
        <w:rPr>
          <w:bCs/>
          <w:color w:val="002060"/>
          <w:sz w:val="16"/>
          <w:szCs w:val="16"/>
        </w:rPr>
        <w:softHyphen/>
        <w:t>рядного в частности. На большинстве заводов не было хорошего обо</w:t>
      </w:r>
      <w:r w:rsidR="009E6F82" w:rsidRPr="00405303">
        <w:rPr>
          <w:bCs/>
          <w:color w:val="002060"/>
          <w:sz w:val="16"/>
          <w:szCs w:val="16"/>
        </w:rPr>
        <w:softHyphen/>
        <w:t>рудования; рабочие не имели квалификации, требуемой для изготов</w:t>
      </w:r>
      <w:r w:rsidR="009E6F82" w:rsidRPr="00405303">
        <w:rPr>
          <w:bCs/>
          <w:color w:val="002060"/>
          <w:sz w:val="16"/>
          <w:szCs w:val="16"/>
        </w:rPr>
        <w:softHyphen/>
        <w:t>ления такой точной продукции, как артиллерийские снаряды. Даже Путиловский завод, получивший крупный заказ в августе 1914 г., смог дать первую партию корпусов снарядов (26 711 шт.) только в ноябре 1914 г., Петроградский механический завод изготовил в де</w:t>
      </w:r>
      <w:r w:rsidR="009E6F82" w:rsidRPr="00405303">
        <w:rPr>
          <w:bCs/>
          <w:color w:val="002060"/>
          <w:sz w:val="16"/>
          <w:szCs w:val="16"/>
        </w:rPr>
        <w:softHyphen/>
        <w:t>кабре 1914 г. всего 1009 корпусов. Балтийский, Николаевский и не</w:t>
      </w:r>
      <w:r w:rsidR="009E6F82" w:rsidRPr="00405303">
        <w:rPr>
          <w:bCs/>
          <w:color w:val="002060"/>
          <w:sz w:val="16"/>
          <w:szCs w:val="16"/>
        </w:rPr>
        <w:softHyphen/>
        <w:t>которые другие заводы выдали первые партии снарядов лишь в янва</w:t>
      </w:r>
      <w:r w:rsidR="009E6F82" w:rsidRPr="00405303">
        <w:rPr>
          <w:bCs/>
          <w:color w:val="002060"/>
          <w:sz w:val="16"/>
          <w:szCs w:val="16"/>
        </w:rPr>
        <w:softHyphen/>
        <w:t>ре—феврале 1915 г. (5484).</w:t>
      </w:r>
    </w:p>
    <w:p w14:paraId="1FBA4F57" w14:textId="77777777" w:rsidR="004B4E35" w:rsidRPr="00405303" w:rsidRDefault="004B4E35" w:rsidP="00C15251">
      <w:pPr>
        <w:shd w:val="clear" w:color="auto" w:fill="FFFFFF"/>
        <w:jc w:val="both"/>
        <w:rPr>
          <w:bCs/>
          <w:color w:val="002060"/>
          <w:sz w:val="16"/>
          <w:szCs w:val="16"/>
        </w:rPr>
      </w:pPr>
    </w:p>
    <w:p w14:paraId="4982806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начале 1915 г. мотоциклы окончательно стали табельным имуществом. К каждому бронепулемётному и пулемётному авто</w:t>
      </w:r>
      <w:r w:rsidRPr="00405303">
        <w:rPr>
          <w:bCs/>
          <w:color w:val="002060"/>
          <w:sz w:val="16"/>
          <w:szCs w:val="16"/>
        </w:rPr>
        <w:softHyphen/>
        <w:t>взводам предписывалось по четыре мотоцикла, а бронеавтомо-бильным ротам - по 16 [2.52]. В боевых действиях 1915-1916 гг. мотоциклетные отделения показали себя с наилучшей стороны. Неудивительно, что ГУГШ потребовало срочно сформировать ещё 10 таких же подразделе</w:t>
      </w:r>
      <w:r w:rsidRPr="00405303">
        <w:rPr>
          <w:bCs/>
          <w:color w:val="002060"/>
          <w:sz w:val="16"/>
          <w:szCs w:val="16"/>
        </w:rPr>
        <w:softHyphen/>
        <w:t>ний с номерами от 46 до 54 и отправить их на фронт. К тому вре</w:t>
      </w:r>
      <w:r w:rsidRPr="00405303">
        <w:rPr>
          <w:bCs/>
          <w:color w:val="002060"/>
          <w:sz w:val="16"/>
          <w:szCs w:val="16"/>
        </w:rPr>
        <w:softHyphen/>
        <w:t>мени командиры воинских частей хорошо разбирались в техни</w:t>
      </w:r>
      <w:r w:rsidRPr="00405303">
        <w:rPr>
          <w:bCs/>
          <w:color w:val="002060"/>
          <w:sz w:val="16"/>
          <w:szCs w:val="16"/>
        </w:rPr>
        <w:softHyphen/>
        <w:t>ческих свойствах мотоциклов. Они требовали оснащать свои подразделения мотоциклами определённых марок, возвращали на склады оказавшиеся непригодными в полевых условиях, соста</w:t>
      </w:r>
      <w:r w:rsidRPr="00405303">
        <w:rPr>
          <w:bCs/>
          <w:color w:val="002060"/>
          <w:sz w:val="16"/>
          <w:szCs w:val="16"/>
        </w:rPr>
        <w:softHyphen/>
        <w:t>вляли при этом акты обследования, требовали своевременных поставок нужных запчастей и мотоциклетных мастерских [2.53]. Это способствовало повышению боеспособности наших воин</w:t>
      </w:r>
      <w:r w:rsidRPr="00405303">
        <w:rPr>
          <w:bCs/>
          <w:color w:val="002060"/>
          <w:sz w:val="16"/>
          <w:szCs w:val="16"/>
        </w:rPr>
        <w:softHyphen/>
        <w:t>ских частей. Снабжение мотоциклами строго учитывалось, поэтому каж</w:t>
      </w:r>
      <w:r w:rsidRPr="00405303">
        <w:rPr>
          <w:bCs/>
          <w:color w:val="002060"/>
          <w:sz w:val="16"/>
          <w:szCs w:val="16"/>
        </w:rPr>
        <w:softHyphen/>
        <w:t>дое воинское подразделение получало лишь полагавшиеся ему по табельному расписанию мотоциклы. Так, 427 и 440 пехотные полки просили выдать по два мотоцикла, ведь именно столько значилось в их табельных перечнях. В процессе возникавшей слу</w:t>
      </w:r>
      <w:r w:rsidRPr="00405303">
        <w:rPr>
          <w:bCs/>
          <w:color w:val="002060"/>
          <w:sz w:val="16"/>
          <w:szCs w:val="16"/>
        </w:rPr>
        <w:softHyphen/>
        <w:t xml:space="preserve">жебной переписки сообщали в воинскую </w:t>
      </w:r>
      <w:r w:rsidRPr="00405303">
        <w:rPr>
          <w:bCs/>
          <w:color w:val="002060"/>
          <w:sz w:val="16"/>
          <w:szCs w:val="16"/>
        </w:rPr>
        <w:lastRenderedPageBreak/>
        <w:t>часть, когда были от</w:t>
      </w:r>
      <w:r w:rsidRPr="00405303">
        <w:rPr>
          <w:bCs/>
          <w:color w:val="002060"/>
          <w:sz w:val="16"/>
          <w:szCs w:val="16"/>
        </w:rPr>
        <w:softHyphen/>
        <w:t>правлены ожидаемые мотоциклы, запрашивали мотоциклы для фронта, уведомляли, сколько мотоциклов имеется на военной та</w:t>
      </w:r>
      <w:r w:rsidRPr="00405303">
        <w:rPr>
          <w:bCs/>
          <w:color w:val="002060"/>
          <w:sz w:val="16"/>
          <w:szCs w:val="16"/>
        </w:rPr>
        <w:softHyphen/>
        <w:t>можне. Переписка по вопросам снабжения мотоциклами была тщательной [2.54].</w:t>
      </w:r>
    </w:p>
    <w:p w14:paraId="2E854B1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При планировании военных компаний анализировали сведе</w:t>
      </w:r>
      <w:r w:rsidRPr="00405303">
        <w:rPr>
          <w:bCs/>
          <w:color w:val="002060"/>
          <w:sz w:val="16"/>
          <w:szCs w:val="16"/>
        </w:rPr>
        <w:softHyphen/>
        <w:t>ния о состоянии имеющихся в армиях мотоциклах [2.44, 2.45], составляли ведомости потребностей в запчастях [2.55]. Это по</w:t>
      </w:r>
      <w:r w:rsidRPr="00405303">
        <w:rPr>
          <w:bCs/>
          <w:color w:val="002060"/>
          <w:sz w:val="16"/>
          <w:szCs w:val="16"/>
        </w:rPr>
        <w:softHyphen/>
        <w:t>зволяло оценивать количество мотоциклов, полученных арми</w:t>
      </w:r>
      <w:r w:rsidRPr="00405303">
        <w:rPr>
          <w:bCs/>
          <w:color w:val="002060"/>
          <w:sz w:val="16"/>
          <w:szCs w:val="16"/>
        </w:rPr>
        <w:softHyphen/>
        <w:t>ей от ВАШ к началу 1917 г., за всё время военных действий [2.56]. Большое внимание в предстоящей летней военной компа</w:t>
      </w:r>
      <w:r w:rsidRPr="00405303">
        <w:rPr>
          <w:bCs/>
          <w:color w:val="002060"/>
          <w:sz w:val="16"/>
          <w:szCs w:val="16"/>
        </w:rPr>
        <w:softHyphen/>
        <w:t>нии уделяли оснащению средствами прорыва вражеских укреп</w:t>
      </w:r>
      <w:r w:rsidRPr="00405303">
        <w:rPr>
          <w:bCs/>
          <w:color w:val="002060"/>
          <w:sz w:val="16"/>
          <w:szCs w:val="16"/>
        </w:rPr>
        <w:softHyphen/>
        <w:t>лений на линии фронта. Поэтому формировали новые подразде</w:t>
      </w:r>
      <w:r w:rsidRPr="00405303">
        <w:rPr>
          <w:bCs/>
          <w:color w:val="002060"/>
          <w:sz w:val="16"/>
          <w:szCs w:val="16"/>
        </w:rPr>
        <w:softHyphen/>
        <w:t>ления тяжёлой артиллерии, которые снабжали мотоциклами для осуществления корректировки огня, связи и освещения це</w:t>
      </w:r>
      <w:r w:rsidRPr="00405303">
        <w:rPr>
          <w:bCs/>
          <w:color w:val="002060"/>
          <w:sz w:val="16"/>
          <w:szCs w:val="16"/>
        </w:rPr>
        <w:softHyphen/>
        <w:t>лей [2.57]. Как правило, мотоциклы учитывались отдельно для каждого фронта [2.44]. В действующую армию направляли во</w:t>
      </w:r>
      <w:r w:rsidRPr="00405303">
        <w:rPr>
          <w:bCs/>
          <w:color w:val="002060"/>
          <w:sz w:val="16"/>
          <w:szCs w:val="16"/>
        </w:rPr>
        <w:softHyphen/>
        <w:t>инские части, укомплектованные мотоциклетными подразде</w:t>
      </w:r>
      <w:r w:rsidRPr="00405303">
        <w:rPr>
          <w:bCs/>
          <w:color w:val="002060"/>
          <w:sz w:val="16"/>
          <w:szCs w:val="16"/>
        </w:rPr>
        <w:softHyphen/>
        <w:t>лениями. В 1917 году мотоциклов уже не хватало, их настоя</w:t>
      </w:r>
      <w:r w:rsidRPr="00405303">
        <w:rPr>
          <w:bCs/>
          <w:color w:val="002060"/>
          <w:sz w:val="16"/>
          <w:szCs w:val="16"/>
        </w:rPr>
        <w:softHyphen/>
        <w:t>тельно требовали различные соединения, например, 34-е мото</w:t>
      </w:r>
      <w:r w:rsidRPr="00405303">
        <w:rPr>
          <w:bCs/>
          <w:color w:val="002060"/>
          <w:sz w:val="16"/>
          <w:szCs w:val="16"/>
        </w:rPr>
        <w:softHyphen/>
        <w:t>циклетное отделение, команда Радиотелеграфных формирова</w:t>
      </w:r>
      <w:r w:rsidRPr="00405303">
        <w:rPr>
          <w:bCs/>
          <w:color w:val="002060"/>
          <w:sz w:val="16"/>
          <w:szCs w:val="16"/>
        </w:rPr>
        <w:softHyphen/>
        <w:t>ний и др. [2.58].</w:t>
      </w:r>
    </w:p>
    <w:p w14:paraId="4A9F3A8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Анализ использования мотоциклов в русской армии, показал, что Военное ведомство в предвоенный период мотоциклам не уделяло серьёзного внимания, не считало их табельным имущест</w:t>
      </w:r>
      <w:r w:rsidRPr="00405303">
        <w:rPr>
          <w:bCs/>
          <w:color w:val="002060"/>
          <w:sz w:val="16"/>
          <w:szCs w:val="16"/>
        </w:rPr>
        <w:softHyphen/>
        <w:t>вом, не формировало мотоциклетные воинские части. С первых же дней войны ГУГШ изменило отношение к мотоциклам, и все</w:t>
      </w:r>
      <w:r w:rsidRPr="00405303">
        <w:rPr>
          <w:bCs/>
          <w:color w:val="002060"/>
          <w:sz w:val="16"/>
          <w:szCs w:val="16"/>
        </w:rPr>
        <w:softHyphen/>
        <w:t>мерно способствовало приобретению их для армии. К сожале</w:t>
      </w:r>
      <w:r w:rsidRPr="00405303">
        <w:rPr>
          <w:bCs/>
          <w:color w:val="002060"/>
          <w:sz w:val="16"/>
          <w:szCs w:val="16"/>
        </w:rPr>
        <w:softHyphen/>
        <w:t>нию, автору не удалось выявить полные списки импортирован</w:t>
      </w:r>
      <w:r w:rsidRPr="00405303">
        <w:rPr>
          <w:bCs/>
          <w:color w:val="002060"/>
          <w:sz w:val="16"/>
          <w:szCs w:val="16"/>
        </w:rPr>
        <w:softHyphen/>
        <w:t>ных и реквизированных мотоциклов. О поставках мотоциклов в русскую армию можно судить по сводному списку, составленно</w:t>
      </w:r>
      <w:r w:rsidRPr="00405303">
        <w:rPr>
          <w:bCs/>
          <w:color w:val="002060"/>
          <w:sz w:val="16"/>
          <w:szCs w:val="16"/>
        </w:rPr>
        <w:softHyphen/>
        <w:t>му ВАШ, при комплектовании мотоциклетных подразделений, воинских частей, имевших в инженерном обеспечении мотоцик</w:t>
      </w:r>
      <w:r w:rsidRPr="00405303">
        <w:rPr>
          <w:bCs/>
          <w:color w:val="002060"/>
          <w:sz w:val="16"/>
          <w:szCs w:val="16"/>
        </w:rPr>
        <w:softHyphen/>
        <w:t>лы, штабов всех уровней, автомотошкол, различных армейских служб и соединений. Из этого списка видно, что среди 20 фирм, мотоциклы которых передавала ВАШ в действующую армию, три внесли наибольший вклад в моторизацию русской армии: американские фирмы «Индиан» - 2300 шт. и «Харлей-Дэвидсон» -680 шт., а также английская фирма - «Рудж-Мульт» - 650 шт. [2.56]. Основными поставщиками мотоциклов в Россию были США и Великобритания.</w:t>
      </w:r>
    </w:p>
    <w:p w14:paraId="5995203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 ходу войны мотоцикл стал важным транспортным средст</w:t>
      </w:r>
      <w:r w:rsidRPr="00405303">
        <w:rPr>
          <w:bCs/>
          <w:color w:val="002060"/>
          <w:sz w:val="16"/>
          <w:szCs w:val="16"/>
        </w:rPr>
        <w:softHyphen/>
        <w:t>вом общего назначения, и был включён в табельное расписание при обеспечении войсковых подразделений. В России к началу 1917г. сформировали и направили в действующую армию 59 мо</w:t>
      </w:r>
      <w:r w:rsidRPr="00405303">
        <w:rPr>
          <w:bCs/>
          <w:color w:val="002060"/>
          <w:sz w:val="16"/>
          <w:szCs w:val="16"/>
        </w:rPr>
        <w:softHyphen/>
        <w:t>тоциклетных воинских подразделений: 2 мотоциклетные роты, 55 мотоциклетных отделений, 2 мотоциклетных команды [2.27]. В 1916 году ГУГШ планировало увеличить количество мотоцик</w:t>
      </w:r>
      <w:r w:rsidRPr="00405303">
        <w:rPr>
          <w:bCs/>
          <w:color w:val="002060"/>
          <w:sz w:val="16"/>
          <w:szCs w:val="16"/>
        </w:rPr>
        <w:softHyphen/>
        <w:t>летных отделений и довести их до 61 [2.50]. Однако сведений о воплощении этого замысла автору выявить не удалось.</w:t>
      </w:r>
    </w:p>
    <w:p w14:paraId="4901A948" w14:textId="77777777" w:rsidR="004B4E35" w:rsidRPr="00405303" w:rsidRDefault="009E6F82" w:rsidP="00C15251">
      <w:pPr>
        <w:jc w:val="both"/>
        <w:rPr>
          <w:bCs/>
          <w:color w:val="002060"/>
          <w:sz w:val="16"/>
          <w:szCs w:val="16"/>
        </w:rPr>
      </w:pPr>
      <w:r w:rsidRPr="00405303">
        <w:rPr>
          <w:bCs/>
          <w:color w:val="002060"/>
          <w:sz w:val="16"/>
          <w:szCs w:val="16"/>
        </w:rPr>
        <w:t>За период 1913-1917 гг. Россия приобрела 16 133 мотоцикла, из них до окончания войны выбыли из строя в результате воен</w:t>
      </w:r>
      <w:r w:rsidRPr="00405303">
        <w:rPr>
          <w:bCs/>
          <w:color w:val="002060"/>
          <w:sz w:val="16"/>
          <w:szCs w:val="16"/>
        </w:rPr>
        <w:softHyphen/>
        <w:t>ных действий 15 440 экземпляра [2.59], по другим данным -12 тыс. [2.60]. Многие мотоциклы, повреждённые на войне, вос</w:t>
      </w:r>
      <w:r w:rsidRPr="00405303">
        <w:rPr>
          <w:bCs/>
          <w:color w:val="002060"/>
          <w:sz w:val="16"/>
          <w:szCs w:val="16"/>
        </w:rPr>
        <w:softHyphen/>
        <w:t>станавливали в мобильных мотоциклетных мастерских, а также в мастерских и на заводах городов. Благодаря этому к 1 сентября 1917 г. Ставка Верховного Главнокомандующего имела в своём распоряжении примерно 6 тыс. мотоциклов [2.48].</w:t>
      </w:r>
    </w:p>
    <w:p w14:paraId="5FC81E0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становлении мирового мотоциклостроения заметную роль сыграли экспериментальные машины. Испытанные на них техни</w:t>
      </w:r>
      <w:r w:rsidRPr="00405303">
        <w:rPr>
          <w:bCs/>
          <w:color w:val="002060"/>
          <w:sz w:val="16"/>
          <w:szCs w:val="16"/>
        </w:rPr>
        <w:softHyphen/>
        <w:t>ческие решения помогли освоить серийное производство мотоцик</w:t>
      </w:r>
      <w:r w:rsidRPr="00405303">
        <w:rPr>
          <w:bCs/>
          <w:color w:val="002060"/>
          <w:sz w:val="16"/>
          <w:szCs w:val="16"/>
        </w:rPr>
        <w:softHyphen/>
        <w:t>лов. При таком пути развития нарождавшейся отрасли техники большое значение имели различные состязания: испытательные пробеги с зачётом неисправностей каждой машины, спортивные соревнования, апробация разных новаций и в движении, и на стен</w:t>
      </w:r>
      <w:r w:rsidRPr="00405303">
        <w:rPr>
          <w:bCs/>
          <w:color w:val="002060"/>
          <w:sz w:val="16"/>
          <w:szCs w:val="16"/>
        </w:rPr>
        <w:softHyphen/>
        <w:t>дах. Так формировалось мотоциклостроение в промышленно развитых странах. Советскому мотоциклостроению предстояло нечто подобное с учётом особенностей состояния нашей про</w:t>
      </w:r>
      <w:r w:rsidRPr="00405303">
        <w:rPr>
          <w:bCs/>
          <w:color w:val="002060"/>
          <w:sz w:val="16"/>
          <w:szCs w:val="16"/>
        </w:rPr>
        <w:softHyphen/>
        <w:t>мышленности и наших дорог в ту пору (11429).</w:t>
      </w:r>
    </w:p>
    <w:p w14:paraId="1B35ABF8" w14:textId="77777777" w:rsidR="004B4E35" w:rsidRPr="00405303" w:rsidRDefault="004B4E35" w:rsidP="00C15251">
      <w:pPr>
        <w:shd w:val="clear" w:color="auto" w:fill="FFFFFF"/>
        <w:jc w:val="both"/>
        <w:rPr>
          <w:bCs/>
          <w:color w:val="002060"/>
          <w:sz w:val="16"/>
          <w:szCs w:val="16"/>
        </w:rPr>
      </w:pPr>
    </w:p>
    <w:p w14:paraId="75131B5D" w14:textId="2823BB85" w:rsidR="00CC5AAB" w:rsidRPr="00405303" w:rsidRDefault="00CC5AAB" w:rsidP="00C15251">
      <w:pPr>
        <w:jc w:val="both"/>
        <w:rPr>
          <w:bCs/>
          <w:color w:val="002060"/>
          <w:sz w:val="16"/>
          <w:szCs w:val="16"/>
        </w:rPr>
      </w:pPr>
      <w:r w:rsidRPr="00405303">
        <w:rPr>
          <w:bCs/>
          <w:color w:val="002060"/>
          <w:sz w:val="16"/>
          <w:szCs w:val="16"/>
        </w:rPr>
        <w:t>В начале 1915</w:t>
      </w:r>
      <w:r w:rsidR="00DB4D64" w:rsidRPr="00405303">
        <w:rPr>
          <w:bCs/>
          <w:color w:val="002060"/>
          <w:sz w:val="16"/>
          <w:szCs w:val="16"/>
        </w:rPr>
        <w:t xml:space="preserve"> </w:t>
      </w:r>
      <w:r w:rsidRPr="00405303">
        <w:rPr>
          <w:bCs/>
          <w:color w:val="002060"/>
          <w:sz w:val="16"/>
          <w:szCs w:val="16"/>
        </w:rPr>
        <w:t>г., ещё до появления танков, молодой изобретатель Александр Александрович Пороховщиков при поддержке командования Северо-Западного фронта изготовил гусеничную машину «Вездеход». Она имела одну широкую гусеницу из прорезиненного брезента, натянутую на четыре пустотелых барабана, последний из которых был связан с двигателем (17489).</w:t>
      </w:r>
    </w:p>
    <w:p w14:paraId="790DA98E" w14:textId="77777777" w:rsidR="00CC5AAB" w:rsidRPr="00405303" w:rsidRDefault="00CC5AAB" w:rsidP="00C15251">
      <w:pPr>
        <w:jc w:val="both"/>
        <w:rPr>
          <w:bCs/>
          <w:color w:val="002060"/>
          <w:sz w:val="16"/>
          <w:szCs w:val="16"/>
        </w:rPr>
      </w:pPr>
    </w:p>
    <w:p w14:paraId="1C2EA6A6" w14:textId="2C686AC2" w:rsidR="004B4E35" w:rsidRPr="00405303" w:rsidRDefault="009E6F82" w:rsidP="00C15251">
      <w:pPr>
        <w:jc w:val="both"/>
        <w:rPr>
          <w:bCs/>
          <w:color w:val="002060"/>
          <w:sz w:val="16"/>
          <w:szCs w:val="16"/>
        </w:rPr>
      </w:pPr>
      <w:r w:rsidRPr="00405303">
        <w:rPr>
          <w:bCs/>
          <w:color w:val="002060"/>
          <w:sz w:val="16"/>
          <w:szCs w:val="16"/>
        </w:rPr>
        <w:t>В начале 1915 года бронепоезд отправился на фронт, где ситуация складывалась для русской армии не самым лучшим образом.</w:t>
      </w:r>
    </w:p>
    <w:p w14:paraId="44BBDDBC" w14:textId="77777777" w:rsidR="004B4E35" w:rsidRPr="00405303" w:rsidRDefault="009E6F82" w:rsidP="00C15251">
      <w:pPr>
        <w:jc w:val="both"/>
        <w:rPr>
          <w:bCs/>
          <w:color w:val="002060"/>
          <w:sz w:val="16"/>
          <w:szCs w:val="16"/>
        </w:rPr>
      </w:pPr>
      <w:r w:rsidRPr="00405303">
        <w:rPr>
          <w:bCs/>
          <w:color w:val="002060"/>
          <w:sz w:val="16"/>
          <w:szCs w:val="16"/>
        </w:rPr>
        <w:t>Еще четыре аналогичных бронепоезда вступили в строй до конца 1915 года. В российской армии бронепоезда организационно входили в состав железнодорожных войск, что облегчало их строительство, техническое обслуживание и ремонт в полевых условиях. После постройки первых бронепоездов было развернуто их производство в Киеве, в мастерских Юго-Западной железной дороги, и в Одессе в мастерских Русского общества пароходства и торговли.</w:t>
      </w:r>
    </w:p>
    <w:p w14:paraId="76364E4F" w14:textId="77777777" w:rsidR="004B4E35" w:rsidRPr="00405303" w:rsidRDefault="009E6F82" w:rsidP="00C15251">
      <w:pPr>
        <w:jc w:val="both"/>
        <w:rPr>
          <w:bCs/>
          <w:color w:val="002060"/>
          <w:sz w:val="16"/>
          <w:szCs w:val="16"/>
        </w:rPr>
      </w:pPr>
      <w:r w:rsidRPr="00405303">
        <w:rPr>
          <w:bCs/>
          <w:color w:val="002060"/>
          <w:sz w:val="16"/>
          <w:szCs w:val="16"/>
        </w:rPr>
        <w:t>Распространение в этот период получила типовая конструкция полевого бронепоезда русской армии образца 1915 года конструкции инженера Балля, включавшая бронепаровоз и две бронеплощадки. На каждой площадке имелось двенадцать станковых пулеметов "Максим" (по шесть на каждый борт), а в концевом каземате была установлена трехдюймовая горная пушка образца 1904 года.</w:t>
      </w:r>
    </w:p>
    <w:p w14:paraId="1C6724D0" w14:textId="77777777" w:rsidR="004B4E35" w:rsidRPr="00405303" w:rsidRDefault="009E6F82" w:rsidP="00C15251">
      <w:pPr>
        <w:jc w:val="both"/>
        <w:rPr>
          <w:bCs/>
          <w:color w:val="002060"/>
          <w:sz w:val="16"/>
          <w:szCs w:val="16"/>
        </w:rPr>
      </w:pPr>
      <w:r w:rsidRPr="00405303">
        <w:rPr>
          <w:bCs/>
          <w:color w:val="002060"/>
          <w:sz w:val="16"/>
          <w:szCs w:val="16"/>
        </w:rPr>
        <w:t xml:space="preserve">Как правило, бронепоезд приводился в движение паровозом серии О - наиболее массовым на российских железных дорогах в то время. Кстати, буква О означала "основной". К этому типу с 1892 г. относили паровозы с формулой 0-4-0 (четырехосные, все колесные пары ведущие), с паровыми машинами типа компаунд (то есть с двумя цилиндрами с каждой стороны паровоза). На первых паровозах </w:t>
      </w:r>
      <w:proofErr w:type="gramStart"/>
      <w:r w:rsidRPr="00405303">
        <w:rPr>
          <w:bCs/>
          <w:color w:val="002060"/>
          <w:sz w:val="16"/>
          <w:szCs w:val="16"/>
        </w:rPr>
        <w:t>серии</w:t>
      </w:r>
      <w:proofErr w:type="gramEnd"/>
      <w:r w:rsidRPr="00405303">
        <w:rPr>
          <w:bCs/>
          <w:color w:val="002060"/>
          <w:sz w:val="16"/>
          <w:szCs w:val="16"/>
        </w:rPr>
        <w:t xml:space="preserve"> О цилиндры имели диаметр 500 и 710 мм, ход поршня составлял 650 мм, давление пара в котле составляло 11 кгс/см2. Для разновидности паровоза с парораспределительным механизмом Вальсхарта было принято обозначения ОВ, а среди железнодорожников такие локомотивы получили известность под именем "овечка". Масса паровоза составляла 51…52,5 т, их максимальная скорость не превышала 50…60 км/ч. Всего было построено свыше 4,5 тысяч паровозов серии О. В небольших количествах их строили вплоть до конца двадцатых годов прошлого века. Неудивительно, что именно этот паровоз, доказавший свою надежность и неприхотливость, стал главной "тягловой силой" российских бронепоездов.</w:t>
      </w:r>
    </w:p>
    <w:p w14:paraId="3BFBF9A2" w14:textId="77777777" w:rsidR="004B4E35" w:rsidRPr="00405303" w:rsidRDefault="009E6F82" w:rsidP="00C15251">
      <w:pPr>
        <w:jc w:val="both"/>
        <w:rPr>
          <w:bCs/>
          <w:color w:val="002060"/>
          <w:sz w:val="16"/>
          <w:szCs w:val="16"/>
        </w:rPr>
      </w:pPr>
      <w:r w:rsidRPr="00405303">
        <w:rPr>
          <w:bCs/>
          <w:color w:val="002060"/>
          <w:sz w:val="16"/>
          <w:szCs w:val="16"/>
        </w:rPr>
        <w:t>К концу 1915 года на Восточном фронте действовало уже 15 бронепоездов - по одному на Северном и Западном, восемь на Юго-Западном, четыре на Кавказском фронте и один в Финляндии (использовался для береговой обороны и охраны побережья). Строились они на знаменитом Путиловском заводе в Петрограде. Сложные условия боевого применения и, в частности, все более широкое распространение скорострельных пушек, создавали большие проблемы (11406).</w:t>
      </w:r>
    </w:p>
    <w:p w14:paraId="4CA48CEC" w14:textId="77777777" w:rsidR="004B4E35" w:rsidRPr="00405303" w:rsidRDefault="004B4E35" w:rsidP="00C15251">
      <w:pPr>
        <w:jc w:val="both"/>
        <w:rPr>
          <w:bCs/>
          <w:color w:val="002060"/>
          <w:sz w:val="16"/>
          <w:szCs w:val="16"/>
        </w:rPr>
      </w:pPr>
    </w:p>
    <w:p w14:paraId="0C9DD522" w14:textId="77777777" w:rsidR="00837596" w:rsidRPr="00405303" w:rsidRDefault="00837596" w:rsidP="00C15251">
      <w:pPr>
        <w:pStyle w:val="ae"/>
        <w:spacing w:before="0" w:beforeAutospacing="0" w:after="0" w:afterAutospacing="0"/>
        <w:jc w:val="both"/>
        <w:rPr>
          <w:bCs/>
          <w:color w:val="002060"/>
          <w:sz w:val="16"/>
          <w:szCs w:val="16"/>
        </w:rPr>
      </w:pPr>
      <w:r w:rsidRPr="00405303">
        <w:rPr>
          <w:bCs/>
          <w:color w:val="002060"/>
          <w:sz w:val="16"/>
          <w:szCs w:val="16"/>
        </w:rPr>
        <w:t>В начале 1915 г. некоторыми российскими химиками и военными еще обсуждалась возможность использования фосгена как средства ведения химической войны. Но нужно было принять соответствующее решение на самом высоком уровне (20246).</w:t>
      </w:r>
    </w:p>
    <w:p w14:paraId="1E063C1D" w14:textId="77777777" w:rsidR="00837596" w:rsidRPr="00405303" w:rsidRDefault="00837596" w:rsidP="00C15251">
      <w:pPr>
        <w:pStyle w:val="ae"/>
        <w:spacing w:before="0" w:beforeAutospacing="0" w:after="0" w:afterAutospacing="0"/>
        <w:jc w:val="both"/>
        <w:rPr>
          <w:bCs/>
          <w:color w:val="002060"/>
          <w:sz w:val="16"/>
          <w:szCs w:val="16"/>
        </w:rPr>
      </w:pPr>
    </w:p>
    <w:p w14:paraId="703CF84D" w14:textId="77777777" w:rsidR="00837596" w:rsidRPr="00405303" w:rsidRDefault="00837596" w:rsidP="00C15251">
      <w:pPr>
        <w:jc w:val="both"/>
        <w:rPr>
          <w:bCs/>
          <w:color w:val="002060"/>
          <w:sz w:val="16"/>
          <w:szCs w:val="16"/>
        </w:rPr>
      </w:pPr>
      <w:r w:rsidRPr="00405303">
        <w:rPr>
          <w:bCs/>
          <w:color w:val="002060"/>
          <w:sz w:val="16"/>
          <w:szCs w:val="16"/>
          <w:shd w:val="clear" w:color="auto" w:fill="FFFFFF"/>
        </w:rPr>
        <w:t>В начале 1915г. ГВТУ закупило в Америке 20 «Холт», а 30 июля 1915г. предлагало закупить еще 70 гусеничных тракторов (из них 40 «Холт») и 340 колесных (20250).</w:t>
      </w:r>
    </w:p>
    <w:p w14:paraId="6E0EA505" w14:textId="77777777" w:rsidR="00837596" w:rsidRPr="00405303" w:rsidRDefault="00837596" w:rsidP="00C15251">
      <w:pPr>
        <w:jc w:val="both"/>
        <w:rPr>
          <w:bCs/>
          <w:color w:val="002060"/>
          <w:sz w:val="16"/>
          <w:szCs w:val="16"/>
        </w:rPr>
      </w:pPr>
    </w:p>
    <w:p w14:paraId="5FBF281A"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43725CA4" w14:textId="77777777" w:rsidR="004B4E35" w:rsidRPr="00405303" w:rsidRDefault="004B4E35" w:rsidP="00C15251">
      <w:pPr>
        <w:shd w:val="clear" w:color="auto" w:fill="FFFFFF"/>
        <w:jc w:val="both"/>
        <w:rPr>
          <w:bCs/>
          <w:i/>
          <w:color w:val="002060"/>
          <w:sz w:val="16"/>
          <w:szCs w:val="16"/>
        </w:rPr>
      </w:pPr>
    </w:p>
    <w:p w14:paraId="1558C856" w14:textId="77777777" w:rsidR="009D120C" w:rsidRPr="00405303" w:rsidRDefault="009D120C" w:rsidP="00C15251">
      <w:pPr>
        <w:jc w:val="both"/>
        <w:rPr>
          <w:bCs/>
          <w:color w:val="002060"/>
          <w:sz w:val="16"/>
          <w:szCs w:val="16"/>
        </w:rPr>
      </w:pPr>
      <w:r w:rsidRPr="00405303">
        <w:rPr>
          <w:bCs/>
          <w:color w:val="002060"/>
          <w:sz w:val="16"/>
          <w:szCs w:val="16"/>
        </w:rPr>
        <w:t>В начале 1915 г. крепостные авиационные отряды: Ковенский, Гродненский, Осовецкий и Новогеоргиевский начали оснащаться обозами. Кроме того, в марте 1915 г. крепостные авиаотряды по дополнительному табелю получили право на обеспечение автомобилями (четыре машины на отряд). В целом, спустя год с начала войны, организационное оформление авиации действующей армии в основном было завершено. Распределение авиаотрядов по армиям и фронтам стало более упорядоченным, штабы объединений и соединений сухопутных войск научились использовать авиацию и управлять ею. В действующей армии состояло 49 авиаотрядов – 1 специальный, 6 армейских, 39 корпусных и 3 корпусных, временно отведенных в тыл. Постепенно улучшалась и организация материально-технического обеспечения авиачастей. Штаты и табели отрядов в основном соответствовали требованиям войны по ведению воздушной разведки с одной стороны, и скромным возможностям снабжения, с другой. Авиаотряды стали представлять собой, по выражению А.А. Леера, «соединения отдельных элементов ... (нижние чины, начальствующий персонал, материальная часть) в прочные и удобоуправляемые единицы» (19566).</w:t>
      </w:r>
    </w:p>
    <w:p w14:paraId="0A0A4D08" w14:textId="77777777" w:rsidR="009D120C" w:rsidRPr="00405303" w:rsidRDefault="009D120C" w:rsidP="00C15251">
      <w:pPr>
        <w:jc w:val="both"/>
        <w:rPr>
          <w:bCs/>
          <w:color w:val="002060"/>
          <w:sz w:val="16"/>
          <w:szCs w:val="16"/>
        </w:rPr>
      </w:pPr>
    </w:p>
    <w:p w14:paraId="4839F1D0" w14:textId="77777777" w:rsidR="009D120C" w:rsidRPr="00405303" w:rsidRDefault="009D120C" w:rsidP="00C15251">
      <w:pPr>
        <w:jc w:val="both"/>
        <w:rPr>
          <w:bCs/>
          <w:color w:val="002060"/>
          <w:sz w:val="16"/>
          <w:szCs w:val="16"/>
        </w:rPr>
      </w:pPr>
      <w:r w:rsidRPr="00405303">
        <w:rPr>
          <w:bCs/>
          <w:color w:val="002060"/>
          <w:sz w:val="16"/>
          <w:szCs w:val="16"/>
        </w:rPr>
        <w:t xml:space="preserve">В начале 1915 г. Александр Михайлович добился командирования Заведующего авиацией СЗФ А.В. Каульбарса за границу. К маю 1915 г. А.В. Каульбарс возвратился и доложил следующее: «В военное время Авиационные и Воздухоплавательные войска [Франции] с состоящими при них складами и мастерскими находятся в полном ведении Главнокомандующего, а питательные учреждения, находящиеся внутри государства, подготовляющие личный состав и материальное (инженерное) </w:t>
      </w:r>
      <w:r w:rsidRPr="00405303">
        <w:rPr>
          <w:bCs/>
          <w:color w:val="002060"/>
          <w:sz w:val="16"/>
          <w:szCs w:val="16"/>
        </w:rPr>
        <w:lastRenderedPageBreak/>
        <w:t>снабжение, остаются в ведении Начальника Главного Управления Авиацией и Воздухоплаванием, который сам подчиняется исключительно Военному министру и не подчинен Главнокомандующему» (19566).</w:t>
      </w:r>
    </w:p>
    <w:p w14:paraId="71FEA475" w14:textId="77777777" w:rsidR="009D120C" w:rsidRPr="00405303" w:rsidRDefault="009D120C" w:rsidP="00C15251">
      <w:pPr>
        <w:jc w:val="both"/>
        <w:rPr>
          <w:bCs/>
          <w:color w:val="002060"/>
          <w:sz w:val="16"/>
          <w:szCs w:val="16"/>
        </w:rPr>
      </w:pPr>
    </w:p>
    <w:p w14:paraId="50F80BEC" w14:textId="77777777" w:rsidR="009D120C" w:rsidRPr="00405303" w:rsidRDefault="009D120C" w:rsidP="00C15251">
      <w:pPr>
        <w:jc w:val="both"/>
        <w:rPr>
          <w:bCs/>
          <w:color w:val="002060"/>
          <w:sz w:val="16"/>
          <w:szCs w:val="16"/>
        </w:rPr>
      </w:pPr>
      <w:r w:rsidRPr="00405303">
        <w:rPr>
          <w:bCs/>
          <w:color w:val="002060"/>
          <w:sz w:val="16"/>
          <w:szCs w:val="16"/>
        </w:rPr>
        <w:t>В начале 1915 г. руководство авиацией сосредоточило внимание на разработке концепции развития авиации при затяжной войне. В этой связи генералу А.В. Каульбарсу, командируемому в союзные страны в конце января 1915 г., было поручено выяснить там следующее: «возможно ли в виду разнообразия службы аэропланов ограничиться каким-либо из типов аэропланов, соединив в нем все требования, предъявляемые военным аппаратам, или признается необходимым выработать несколько типов аэропланов, пригодных для определенных задач: 1) разведка; 2) связь; 3) бомбометание; 4) корректирование огня артиллерии; 5) уничтожение неприятельских летательных аппаратов (...). Требования, предъявляемые к аппаратам перечисленных типов». В мае 1915 г. А.В. Каульбарс представил доклад о выборе типов самолетов во Франции и Англии (19566).</w:t>
      </w:r>
    </w:p>
    <w:p w14:paraId="56EE3A78" w14:textId="77777777" w:rsidR="009D120C" w:rsidRPr="00405303" w:rsidRDefault="009D120C" w:rsidP="00C15251">
      <w:pPr>
        <w:jc w:val="both"/>
        <w:rPr>
          <w:bCs/>
          <w:color w:val="002060"/>
          <w:sz w:val="16"/>
          <w:szCs w:val="16"/>
        </w:rPr>
      </w:pPr>
    </w:p>
    <w:p w14:paraId="0C45F05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начале 1915 был подготовлен Всеподданейший доклад по Военному министерству о мероприятиях и состоянии всех частей военного управления за 1914.</w:t>
      </w:r>
    </w:p>
    <w:p w14:paraId="72226F9B" w14:textId="77777777" w:rsidR="004B4E35" w:rsidRPr="00405303" w:rsidRDefault="009E6F82" w:rsidP="00C15251">
      <w:pPr>
        <w:shd w:val="clear" w:color="auto" w:fill="FFFFFF"/>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&lt;...&gt; е) [Заготовление] воздухоплавательного и авиационного имущества. Объявление войны застало наши воздухоплавательные и авиационные части в период реорганиза</w:t>
      </w:r>
      <w:r w:rsidRPr="00405303">
        <w:rPr>
          <w:bCs/>
          <w:color w:val="002060"/>
          <w:sz w:val="16"/>
          <w:szCs w:val="16"/>
        </w:rPr>
        <w:softHyphen/>
        <w:t>ции, что поставило деятельность Военного министерства по снабжению их имуществом в полную зависимость от требований действующей армии.</w:t>
      </w:r>
    </w:p>
    <w:p w14:paraId="2E206F0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Положенное по табелям имущество было заказано на разные сроки до конца 1914 г., при этом заказанные за границей нашими заводами, исполнявшими заказы на постройку аэропланов, моторы и значительная часть авиационного имущества доставлены не были. Ввиду этого, хотя наши авиационные отряды выступили с имуществом, соответству</w:t>
      </w:r>
      <w:r w:rsidRPr="00405303">
        <w:rPr>
          <w:bCs/>
          <w:color w:val="002060"/>
          <w:sz w:val="16"/>
          <w:szCs w:val="16"/>
        </w:rPr>
        <w:softHyphen/>
        <w:t>ющим почти полностью табелям, но они имели только один комплект аэропланов, по</w:t>
      </w:r>
      <w:r w:rsidRPr="00405303">
        <w:rPr>
          <w:bCs/>
          <w:color w:val="002060"/>
          <w:sz w:val="16"/>
          <w:szCs w:val="16"/>
        </w:rPr>
        <w:softHyphen/>
        <w:t>ношенных во время практики.</w:t>
      </w:r>
    </w:p>
    <w:p w14:paraId="2D4FC0E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первую очередь были приняты меры к обеспечению отрядов аэропланами для заме</w:t>
      </w:r>
      <w:r w:rsidRPr="00405303">
        <w:rPr>
          <w:bCs/>
          <w:color w:val="002060"/>
          <w:sz w:val="16"/>
          <w:szCs w:val="16"/>
        </w:rPr>
        <w:softHyphen/>
        <w:t>ны аппаратов, быстро выходивших из строя во время войны. Эта потребность была сроч</w:t>
      </w:r>
      <w:r w:rsidRPr="00405303">
        <w:rPr>
          <w:bCs/>
          <w:color w:val="002060"/>
          <w:sz w:val="16"/>
          <w:szCs w:val="16"/>
        </w:rPr>
        <w:softHyphen/>
        <w:t>но удовлетворена: все аэропланы не только заменены новыми, но на наших заводах обра</w:t>
      </w:r>
      <w:r w:rsidRPr="00405303">
        <w:rPr>
          <w:bCs/>
          <w:color w:val="002060"/>
          <w:sz w:val="16"/>
          <w:szCs w:val="16"/>
        </w:rPr>
        <w:softHyphen/>
        <w:t>зован некоторый запас аппаратов, достаточный для пополнения убыли аэропланов в отрядах до апреля — мая 1915 года.</w:t>
      </w:r>
    </w:p>
    <w:p w14:paraId="67A8063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Так как в мирное время во второй комплект были заказаны партии аэропланов новых систем, требовавших переучивания летчиков, то для летчиков, потерявших в действую</w:t>
      </w:r>
      <w:r w:rsidRPr="00405303">
        <w:rPr>
          <w:bCs/>
          <w:color w:val="002060"/>
          <w:sz w:val="16"/>
          <w:szCs w:val="16"/>
        </w:rPr>
        <w:softHyphen/>
        <w:t>щей армии аппараты, были организованы две временные школы (в Москве и Петрогра</w:t>
      </w:r>
      <w:r w:rsidRPr="00405303">
        <w:rPr>
          <w:bCs/>
          <w:color w:val="002060"/>
          <w:sz w:val="16"/>
          <w:szCs w:val="16"/>
        </w:rPr>
        <w:softHyphen/>
        <w:t>де), причем летчики, выходя из школ, получали новые аппараты и возвращались с ними в свои отряды.</w:t>
      </w:r>
    </w:p>
    <w:p w14:paraId="3403D4A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Для безостановочного пополнения аэропланами действующих армий заказаны за границей, преимущественно во Франции, значительные партии моторов и материалов для постройки аэропланов и моторов. Доставление последних облегчит положение на</w:t>
      </w:r>
      <w:r w:rsidRPr="00405303">
        <w:rPr>
          <w:bCs/>
          <w:color w:val="002060"/>
          <w:sz w:val="16"/>
          <w:szCs w:val="16"/>
        </w:rPr>
        <w:softHyphen/>
        <w:t>ших заводов, которым затруднительно получать достаточное количество материалов.</w:t>
      </w:r>
    </w:p>
    <w:p w14:paraId="1201247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целях лучшей постановки ремонта поврежденных моторов и аэропланов, кроме отрядных и ротных мастерских, сформированы подвижные мастерские в вагонах и тыло</w:t>
      </w:r>
      <w:r w:rsidRPr="00405303">
        <w:rPr>
          <w:bCs/>
          <w:color w:val="002060"/>
          <w:sz w:val="16"/>
          <w:szCs w:val="16"/>
        </w:rPr>
        <w:softHyphen/>
        <w:t>вые авиационно-автомобильные мастерские, а также приняты меры по организации под</w:t>
      </w:r>
      <w:r w:rsidRPr="00405303">
        <w:rPr>
          <w:bCs/>
          <w:color w:val="002060"/>
          <w:sz w:val="16"/>
          <w:szCs w:val="16"/>
        </w:rPr>
        <w:softHyphen/>
        <w:t>вижных технических мастерских-поездов, при которых будут состоять особые летучие авиационные мастерские для производства ремонта на местах. Кроме того, для правиль</w:t>
      </w:r>
      <w:r w:rsidRPr="00405303">
        <w:rPr>
          <w:bCs/>
          <w:color w:val="002060"/>
          <w:sz w:val="16"/>
          <w:szCs w:val="16"/>
        </w:rPr>
        <w:softHyphen/>
        <w:t>ной и непрерывной работы аэропланных, винтовых и моторных заводов приняты соот</w:t>
      </w:r>
      <w:r w:rsidRPr="00405303">
        <w:rPr>
          <w:bCs/>
          <w:color w:val="002060"/>
          <w:sz w:val="16"/>
          <w:szCs w:val="16"/>
        </w:rPr>
        <w:softHyphen/>
        <w:t>ветствующие меры, причем организовано наблюдение через особых офицеров.</w:t>
      </w:r>
    </w:p>
    <w:p w14:paraId="50E0CC5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Так как для наших легких аэропланов непосильно производство глубоких разведок, необходимость которых выяснил опыт войны, то приступлено к формированию особых авиационных отрядов, снабженных более грузоподъемными аппаратами системы Вуазе-на. Аппараты заказаны на наших заводах, а моторы — во Франции.</w:t>
      </w:r>
    </w:p>
    <w:p w14:paraId="5B0CCB2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Для обеспечения авиационной службы исполнено следующее: а) разослано при мо</w:t>
      </w:r>
      <w:r w:rsidRPr="00405303">
        <w:rPr>
          <w:bCs/>
          <w:color w:val="002060"/>
          <w:sz w:val="16"/>
          <w:szCs w:val="16"/>
        </w:rPr>
        <w:softHyphen/>
        <w:t>билизации около 100 тыс. пудов бензина 1-го сорта; б) заготовлено около 100 тыс. пудов специального авиационного бензина; в) сверх табельных запасов направлено в авиаци</w:t>
      </w:r>
      <w:r w:rsidRPr="00405303">
        <w:rPr>
          <w:bCs/>
          <w:color w:val="002060"/>
          <w:sz w:val="16"/>
          <w:szCs w:val="16"/>
        </w:rPr>
        <w:softHyphen/>
        <w:t>онные части в запас около 16 тыс. пудов смазочного (касторового) масла. Эти меры обес</w:t>
      </w:r>
      <w:r w:rsidRPr="00405303">
        <w:rPr>
          <w:bCs/>
          <w:color w:val="002060"/>
          <w:sz w:val="16"/>
          <w:szCs w:val="16"/>
        </w:rPr>
        <w:softHyphen/>
        <w:t>печивают авиационную службу до мая 1915 года.</w:t>
      </w:r>
    </w:p>
    <w:p w14:paraId="14DB4A7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 времени объявления войны вопрос о снабжении наших отрядов снарядами раз</w:t>
      </w:r>
      <w:r w:rsidRPr="00405303">
        <w:rPr>
          <w:bCs/>
          <w:color w:val="002060"/>
          <w:sz w:val="16"/>
          <w:szCs w:val="16"/>
        </w:rPr>
        <w:softHyphen/>
        <w:t>личного вида для метания их с аэропланов и для сигнализации находился в периоде разработки. Так как опыт войны указал на настоятельную необходимость этого снабже</w:t>
      </w:r>
      <w:r w:rsidRPr="00405303">
        <w:rPr>
          <w:bCs/>
          <w:color w:val="002060"/>
          <w:sz w:val="16"/>
          <w:szCs w:val="16"/>
        </w:rPr>
        <w:softHyphen/>
        <w:t>ния, то спешно были разработаны образцы метательных снарядов (весом от 5 фунтов до 5 пудов), снаряженных тротилом или динамитом. Эти снаряды были срочно изготовле</w:t>
      </w:r>
      <w:r w:rsidRPr="00405303">
        <w:rPr>
          <w:bCs/>
          <w:color w:val="002060"/>
          <w:sz w:val="16"/>
          <w:szCs w:val="16"/>
        </w:rPr>
        <w:softHyphen/>
        <w:t>ны и в большом количестве отправлены в авиационные отряды, которыми уже применя</w:t>
      </w:r>
      <w:r w:rsidRPr="00405303">
        <w:rPr>
          <w:bCs/>
          <w:color w:val="002060"/>
          <w:sz w:val="16"/>
          <w:szCs w:val="16"/>
        </w:rPr>
        <w:softHyphen/>
        <w:t>ются с успехом.</w:t>
      </w:r>
    </w:p>
    <w:p w14:paraId="3BC3F41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Для зажигания неприятельских сооружений и действия по неприятельскому воздуш</w:t>
      </w:r>
      <w:r w:rsidRPr="00405303">
        <w:rPr>
          <w:bCs/>
          <w:color w:val="002060"/>
          <w:sz w:val="16"/>
          <w:szCs w:val="16"/>
        </w:rPr>
        <w:softHyphen/>
        <w:t>ному флоту построены специальные зажигательные снаряды. Кроме того, для действий по воздушному флоту противника имеются и снаряды шрапнельного действия. Для дей</w:t>
      </w:r>
      <w:r w:rsidRPr="00405303">
        <w:rPr>
          <w:bCs/>
          <w:color w:val="002060"/>
          <w:sz w:val="16"/>
          <w:szCs w:val="16"/>
        </w:rPr>
        <w:softHyphen/>
        <w:t>ствия же по войскам заготовлены и заготовляются вновь стрелки и особые летучие пули. Для устройства сигнализации с аэропланов разработаны и переданы в армию особые дымные сигналы различных цветов.</w:t>
      </w:r>
    </w:p>
    <w:p w14:paraId="6778202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Затем, для предохранения своих аэропланов от обстреливания ружейным и шрап</w:t>
      </w:r>
      <w:r w:rsidRPr="00405303">
        <w:rPr>
          <w:bCs/>
          <w:color w:val="002060"/>
          <w:sz w:val="16"/>
          <w:szCs w:val="16"/>
        </w:rPr>
        <w:softHyphen/>
        <w:t>нельным огнем разработана и применена для бронирования аэропланов особая стальная броня и приступлено к вооружению аэропланов пулеметами и особыми пушками.</w:t>
      </w:r>
    </w:p>
    <w:p w14:paraId="06762D1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Блестящий опыт полета аэроплана типа «Илья Муромец» в Киев побудил Военное министерство составить план снабжения армии 42 такими самолетами и в виде опыта заказать эскадру в 10 таких аппаратов. Хотя эти аэропланы должны были быть построены лишь к марту 1915 г., но военные обстоятельства заставили ускорить работы. К январю 1915 г. несколько аппаратов построены и находятся в армии. Для подготовки личного состава к управлению аппаратами и для испытания их в боевой обстановке сформирова</w:t>
      </w:r>
      <w:r w:rsidRPr="00405303">
        <w:rPr>
          <w:bCs/>
          <w:color w:val="002060"/>
          <w:sz w:val="16"/>
          <w:szCs w:val="16"/>
        </w:rPr>
        <w:softHyphen/>
        <w:t>но управление воздушных кораблей.</w:t>
      </w:r>
    </w:p>
    <w:p w14:paraId="7EABC82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Если боевая практика самолетов даст благоприятные результаты, то в будущем пред</w:t>
      </w:r>
      <w:r w:rsidRPr="00405303">
        <w:rPr>
          <w:bCs/>
          <w:color w:val="002060"/>
          <w:sz w:val="16"/>
          <w:szCs w:val="16"/>
        </w:rPr>
        <w:softHyphen/>
        <w:t>полагается построить еще 32 самолета типа «Илья Муромец».</w:t>
      </w:r>
    </w:p>
    <w:p w14:paraId="1F2A7E5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Что же касается до воздухоплавательных частей, то они к началу войны остались при аппаратах устаревших типов вследствие того, что заказанные три аэростата (2 во Фран</w:t>
      </w:r>
      <w:r w:rsidRPr="00405303">
        <w:rPr>
          <w:bCs/>
          <w:color w:val="002060"/>
          <w:sz w:val="16"/>
          <w:szCs w:val="16"/>
        </w:rPr>
        <w:softHyphen/>
        <w:t>ции и 1 в России) большого объема (свыше 25 тыс. куб. м) готовы не были.</w:t>
      </w:r>
    </w:p>
    <w:p w14:paraId="3C3DF1A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Ввиду того, что опыт войны выяснил огромное значение привязных аэростатов, с успехом применявшихся во время боев под Осовцем, Ивангородом и в других пунктах, приняты соответствующие меры для заготовления достаточного числа таких аэростатов. По распоряжению штаба верховного главнокомандующего намечено формирование по</w:t>
      </w:r>
      <w:r w:rsidRPr="00405303">
        <w:rPr>
          <w:bCs/>
          <w:color w:val="002060"/>
          <w:sz w:val="16"/>
          <w:szCs w:val="16"/>
        </w:rPr>
        <w:softHyphen/>
        <w:t>левых рот с привязными аэростатами.</w:t>
      </w:r>
    </w:p>
    <w:p w14:paraId="2F6D4F6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Осуществление указанных мероприятий по улучшению снабжения авиационным и воздухоплавательным имуществом вызывает огромные расходы. К январю 1915 г. раз</w:t>
      </w:r>
      <w:r w:rsidRPr="00405303">
        <w:rPr>
          <w:bCs/>
          <w:color w:val="002060"/>
          <w:sz w:val="16"/>
          <w:szCs w:val="16"/>
        </w:rPr>
        <w:softHyphen/>
        <w:t>личных заказов было сделано на сумму свыше 30 млн. рублей.</w:t>
      </w:r>
    </w:p>
    <w:p w14:paraId="0F8C7FF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ж) Автомобильного. В первую половину 1914 г. деятельность Военного министерства была направлена на проведение мероприятий по автомобильной части, предусмотрен</w:t>
      </w:r>
      <w:r w:rsidRPr="00405303">
        <w:rPr>
          <w:bCs/>
          <w:color w:val="002060"/>
          <w:sz w:val="16"/>
          <w:szCs w:val="16"/>
        </w:rPr>
        <w:softHyphen/>
        <w:t>ных Большой программой усиления нашей армии. Ввиду сложности формирования, отпущенные по закону 24 июня 1914 г. кредиты не могли быть использованы к началу войны, которая застала наше автомобильное дело в зачаточном состоянии: автомобиль</w:t>
      </w:r>
      <w:r w:rsidRPr="00405303">
        <w:rPr>
          <w:bCs/>
          <w:color w:val="002060"/>
          <w:sz w:val="16"/>
          <w:szCs w:val="16"/>
        </w:rPr>
        <w:softHyphen/>
        <w:t>ные части в армии, за исключением учебной автомобильной роты и содержавшихся при некоторых железнодорожных батальонах кадров, фактически отсутствовали.</w:t>
      </w:r>
    </w:p>
    <w:p w14:paraId="1C169E4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объявлением мобилизации были приняты деятельные меры по формированию первых пяти автомобильных рот и пяти команд. Затем, для удовлетворения потребнос</w:t>
      </w:r>
      <w:r w:rsidRPr="00405303">
        <w:rPr>
          <w:bCs/>
          <w:color w:val="002060"/>
          <w:sz w:val="16"/>
          <w:szCs w:val="16"/>
        </w:rPr>
        <w:softHyphen/>
        <w:t>тей армии в механических повозках (автомобилях, мотоциклетках и тракторах), в период мобилизации была произведена поставка последних по военно-автомобильной повин</w:t>
      </w:r>
      <w:r w:rsidRPr="00405303">
        <w:rPr>
          <w:bCs/>
          <w:color w:val="002060"/>
          <w:sz w:val="16"/>
          <w:szCs w:val="16"/>
        </w:rPr>
        <w:softHyphen/>
        <w:t>ности, причем на снабжение армии в общем поступило около 3 тыс. легких и 430 грузо</w:t>
      </w:r>
      <w:r w:rsidRPr="00405303">
        <w:rPr>
          <w:bCs/>
          <w:color w:val="002060"/>
          <w:sz w:val="16"/>
          <w:szCs w:val="16"/>
        </w:rPr>
        <w:softHyphen/>
        <w:t>вых автомобилей и до 1800 мотоциклеток. Ввиду недостатка этих машин для предусмот</w:t>
      </w:r>
      <w:r w:rsidRPr="00405303">
        <w:rPr>
          <w:bCs/>
          <w:color w:val="002060"/>
          <w:sz w:val="16"/>
          <w:szCs w:val="16"/>
        </w:rPr>
        <w:softHyphen/>
        <w:t>ренных в первую очередь новых формирований, а главное — вследствие плохого состоя</w:t>
      </w:r>
      <w:r w:rsidRPr="00405303">
        <w:rPr>
          <w:bCs/>
          <w:color w:val="002060"/>
          <w:sz w:val="16"/>
          <w:szCs w:val="16"/>
        </w:rPr>
        <w:softHyphen/>
        <w:t>ния большей части машин, не обеспечивавшего продолжительной службы при исклю</w:t>
      </w:r>
      <w:r w:rsidRPr="00405303">
        <w:rPr>
          <w:bCs/>
          <w:color w:val="002060"/>
          <w:sz w:val="16"/>
          <w:szCs w:val="16"/>
        </w:rPr>
        <w:softHyphen/>
        <w:t>чительных условиях военной эксплуатации, были приняты меры по обеспечению про</w:t>
      </w:r>
      <w:r w:rsidRPr="00405303">
        <w:rPr>
          <w:bCs/>
          <w:color w:val="002060"/>
          <w:sz w:val="16"/>
          <w:szCs w:val="16"/>
        </w:rPr>
        <w:softHyphen/>
        <w:t>изводства заказа за границей.</w:t>
      </w:r>
    </w:p>
    <w:p w14:paraId="2AC3827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 мере развития военных операций выяснилась вполне определенно неотложная необходимость в широком снабжении армии автомобилями разного назначения. Для этой цели был разработан план сформирования новых автомобильных частей, для кото</w:t>
      </w:r>
      <w:r w:rsidRPr="00405303">
        <w:rPr>
          <w:bCs/>
          <w:color w:val="002060"/>
          <w:sz w:val="16"/>
          <w:szCs w:val="16"/>
        </w:rPr>
        <w:softHyphen/>
        <w:t>рых в общей сложности требовалось: 1300 грузовых автомобилей, 258 автомобилей спе</w:t>
      </w:r>
      <w:r w:rsidRPr="00405303">
        <w:rPr>
          <w:bCs/>
          <w:color w:val="002060"/>
          <w:sz w:val="16"/>
          <w:szCs w:val="16"/>
        </w:rPr>
        <w:softHyphen/>
        <w:t>циального назначения (цистерн, мастерских, кухонь и проч.), 300 санитарных автомо</w:t>
      </w:r>
      <w:r w:rsidRPr="00405303">
        <w:rPr>
          <w:bCs/>
          <w:color w:val="002060"/>
          <w:sz w:val="16"/>
          <w:szCs w:val="16"/>
        </w:rPr>
        <w:softHyphen/>
        <w:t>билей, 48 бронированных автомобилей, 3 тыс. мотоциклеток и 74 трактора. Приобрете</w:t>
      </w:r>
      <w:r w:rsidRPr="00405303">
        <w:rPr>
          <w:bCs/>
          <w:color w:val="002060"/>
          <w:sz w:val="16"/>
          <w:szCs w:val="16"/>
        </w:rPr>
        <w:softHyphen/>
        <w:t>ние этого автомобильного имущества вызывало расход около 29 млн. рублей. Заготовка всего имущества проведена успешно за границей, причем лишь часть заказа (около 500 грузовиков) была направлена на Владивосток, а остальное имущество — на Архангельск, куда и прибыло к 29 декабря 1914 года.</w:t>
      </w:r>
    </w:p>
    <w:p w14:paraId="29717D5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В общей сложности приобретено: 2100 автомобилей разного назначения (1416 грузо</w:t>
      </w:r>
      <w:r w:rsidRPr="00405303">
        <w:rPr>
          <w:bCs/>
          <w:color w:val="002060"/>
          <w:sz w:val="16"/>
          <w:szCs w:val="16"/>
        </w:rPr>
        <w:softHyphen/>
        <w:t>вых, 284 специального назначения: цистерны, мастерские, кухни и проч., 300 санитар</w:t>
      </w:r>
      <w:r w:rsidRPr="00405303">
        <w:rPr>
          <w:bCs/>
          <w:color w:val="002060"/>
          <w:sz w:val="16"/>
          <w:szCs w:val="16"/>
        </w:rPr>
        <w:softHyphen/>
        <w:t>ных и 100 бронированных), 90 тракторов с прицепными повозками и 3152 мотоциклет</w:t>
      </w:r>
      <w:r w:rsidRPr="00405303">
        <w:rPr>
          <w:bCs/>
          <w:color w:val="002060"/>
          <w:sz w:val="16"/>
          <w:szCs w:val="16"/>
        </w:rPr>
        <w:softHyphen/>
        <w:t>ки, в том числе 75 с приспособлением для вооружения пулеметами. Кроме того, заказан значительный запас (на 800 тыс. руб.) тех автомобильных принадлежностей, которых нельзя получить в России, и 25 тыс. металлических бочек для хранения бензина (10707).</w:t>
      </w:r>
    </w:p>
    <w:p w14:paraId="01E2C947" w14:textId="77777777" w:rsidR="004B4E35" w:rsidRPr="00405303" w:rsidRDefault="004B4E35" w:rsidP="00C15251">
      <w:pPr>
        <w:shd w:val="clear" w:color="auto" w:fill="FFFFFF"/>
        <w:jc w:val="both"/>
        <w:rPr>
          <w:bCs/>
          <w:color w:val="002060"/>
          <w:sz w:val="16"/>
          <w:szCs w:val="16"/>
        </w:rPr>
      </w:pPr>
    </w:p>
    <w:p w14:paraId="66C93B55" w14:textId="77777777" w:rsidR="000839B5" w:rsidRPr="00405303" w:rsidRDefault="000839B5" w:rsidP="00C15251">
      <w:pPr>
        <w:jc w:val="both"/>
        <w:rPr>
          <w:bCs/>
          <w:color w:val="002060"/>
          <w:sz w:val="16"/>
          <w:szCs w:val="16"/>
        </w:rPr>
      </w:pPr>
      <w:r w:rsidRPr="00405303">
        <w:rPr>
          <w:bCs/>
          <w:color w:val="002060"/>
          <w:sz w:val="16"/>
          <w:szCs w:val="16"/>
        </w:rPr>
        <w:t>В начале 1915 г. года на русско-германский фронт прибыли оказавшиеся малопригодными для Западноевропейского театра войны дирижабли «Саксен», Z-XI и LZ-34 (23405).</w:t>
      </w:r>
    </w:p>
    <w:p w14:paraId="50F6196C" w14:textId="77777777" w:rsidR="000839B5" w:rsidRPr="00405303" w:rsidRDefault="000839B5" w:rsidP="00C15251">
      <w:pPr>
        <w:jc w:val="both"/>
        <w:rPr>
          <w:bCs/>
          <w:color w:val="002060"/>
          <w:sz w:val="16"/>
          <w:szCs w:val="16"/>
        </w:rPr>
      </w:pPr>
    </w:p>
    <w:p w14:paraId="444E989F" w14:textId="77777777" w:rsidR="004E63A7" w:rsidRPr="00405303" w:rsidRDefault="004E63A7" w:rsidP="004E63A7">
      <w:pPr>
        <w:jc w:val="both"/>
        <w:rPr>
          <w:color w:val="0070C0"/>
          <w:sz w:val="16"/>
          <w:szCs w:val="16"/>
        </w:rPr>
      </w:pPr>
      <w:r w:rsidRPr="00405303">
        <w:rPr>
          <w:color w:val="0070C0"/>
          <w:sz w:val="16"/>
          <w:szCs w:val="16"/>
        </w:rPr>
        <w:t>В начале 1915 года на русско-германский фронт прибыли оказавшиеся малопригодными для Западноевропейского театра войны дирижабли «Саксен», Z-XI и LZ-34.</w:t>
      </w:r>
    </w:p>
    <w:p w14:paraId="1641D21F" w14:textId="77777777" w:rsidR="004E63A7" w:rsidRPr="00405303" w:rsidRDefault="004E63A7" w:rsidP="004E63A7">
      <w:pPr>
        <w:jc w:val="both"/>
        <w:rPr>
          <w:color w:val="0070C0"/>
          <w:sz w:val="16"/>
          <w:szCs w:val="16"/>
        </w:rPr>
      </w:pPr>
    </w:p>
    <w:p w14:paraId="74506BA0"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4C3DDA3A" w14:textId="77777777" w:rsidR="004B4E35" w:rsidRPr="00405303" w:rsidRDefault="004B4E35" w:rsidP="00C15251">
      <w:pPr>
        <w:jc w:val="both"/>
        <w:rPr>
          <w:bCs/>
          <w:i/>
          <w:color w:val="002060"/>
          <w:sz w:val="16"/>
          <w:szCs w:val="16"/>
        </w:rPr>
      </w:pPr>
    </w:p>
    <w:p w14:paraId="7BE9D2A3" w14:textId="0BEC3EBE" w:rsidR="004B4E35" w:rsidRPr="00405303" w:rsidRDefault="001A0C4D"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начале 1915 года </w:t>
      </w:r>
      <w:r w:rsidRPr="00405303">
        <w:rPr>
          <w:bCs/>
          <w:color w:val="002060"/>
          <w:sz w:val="16"/>
          <w:szCs w:val="16"/>
        </w:rPr>
        <w:t xml:space="preserve">первые успешные боевые применения авианесущих кораблей с базировавшимися на борту гидросамолетами были осуществлены черноморцами </w:t>
      </w:r>
      <w:r w:rsidR="009E6F82" w:rsidRPr="00405303">
        <w:rPr>
          <w:bCs/>
          <w:color w:val="002060"/>
          <w:sz w:val="16"/>
          <w:szCs w:val="16"/>
        </w:rPr>
        <w:t>(11166).</w:t>
      </w:r>
    </w:p>
    <w:p w14:paraId="5442A2D0" w14:textId="77777777" w:rsidR="004B4E35" w:rsidRPr="00405303" w:rsidRDefault="004B4E35" w:rsidP="00C15251">
      <w:pPr>
        <w:jc w:val="both"/>
        <w:rPr>
          <w:bCs/>
          <w:color w:val="002060"/>
          <w:sz w:val="16"/>
          <w:szCs w:val="16"/>
        </w:rPr>
      </w:pPr>
    </w:p>
    <w:p w14:paraId="1B6CD91C" w14:textId="012FBABF" w:rsidR="004B4E35" w:rsidRPr="00405303" w:rsidRDefault="009E6F82" w:rsidP="00C15251">
      <w:pPr>
        <w:jc w:val="both"/>
        <w:rPr>
          <w:bCs/>
          <w:color w:val="002060"/>
          <w:sz w:val="16"/>
          <w:szCs w:val="16"/>
        </w:rPr>
      </w:pPr>
      <w:r w:rsidRPr="00405303">
        <w:rPr>
          <w:bCs/>
          <w:color w:val="002060"/>
          <w:sz w:val="16"/>
          <w:szCs w:val="16"/>
        </w:rPr>
        <w:t>В начале 1915 года оба корабля были включены в боевой состав флота и вскоре получили боевое крещение в составе отрядов боевых кораблей (ОБК) Черноморского флота. Чуть позже для выполнения наиболее важных заданий в состав корабельных групп стали включаться сразу два авианесущих корабля (11177).</w:t>
      </w:r>
    </w:p>
    <w:p w14:paraId="39D1CEF4" w14:textId="77777777" w:rsidR="004B4E35" w:rsidRPr="00405303" w:rsidRDefault="004B4E35" w:rsidP="00C15251">
      <w:pPr>
        <w:jc w:val="both"/>
        <w:rPr>
          <w:bCs/>
          <w:color w:val="002060"/>
          <w:sz w:val="16"/>
          <w:szCs w:val="16"/>
        </w:rPr>
      </w:pPr>
    </w:p>
    <w:p w14:paraId="4EB0BF94" w14:textId="23BF2E87" w:rsidR="004B4E35" w:rsidRPr="00405303" w:rsidRDefault="009E6F82" w:rsidP="00C15251">
      <w:pPr>
        <w:jc w:val="both"/>
        <w:rPr>
          <w:bCs/>
          <w:color w:val="002060"/>
          <w:sz w:val="16"/>
          <w:szCs w:val="16"/>
        </w:rPr>
      </w:pPr>
      <w:r w:rsidRPr="00405303">
        <w:rPr>
          <w:bCs/>
          <w:color w:val="002060"/>
          <w:sz w:val="16"/>
          <w:szCs w:val="16"/>
        </w:rPr>
        <w:t>В начале 1915 г.</w:t>
      </w:r>
      <w:r w:rsidR="000F5756">
        <w:rPr>
          <w:bCs/>
          <w:color w:val="002060"/>
          <w:sz w:val="16"/>
          <w:szCs w:val="16"/>
        </w:rPr>
        <w:t xml:space="preserve"> </w:t>
      </w:r>
      <w:r w:rsidRPr="00405303">
        <w:rPr>
          <w:bCs/>
          <w:color w:val="002060"/>
          <w:sz w:val="16"/>
          <w:szCs w:val="16"/>
        </w:rPr>
        <w:t>использовали пароход «Императри</w:t>
      </w:r>
      <w:r w:rsidRPr="00405303">
        <w:rPr>
          <w:bCs/>
          <w:color w:val="002060"/>
          <w:sz w:val="16"/>
          <w:szCs w:val="16"/>
        </w:rPr>
        <w:softHyphen/>
        <w:t>ца Александра», получивший после проведенной модернизации наиме</w:t>
      </w:r>
      <w:r w:rsidRPr="00405303">
        <w:rPr>
          <w:bCs/>
          <w:color w:val="002060"/>
          <w:sz w:val="16"/>
          <w:szCs w:val="16"/>
        </w:rPr>
        <w:softHyphen/>
        <w:t>нование авиабаза «Орлица». Ко</w:t>
      </w:r>
      <w:r w:rsidRPr="00405303">
        <w:rPr>
          <w:bCs/>
          <w:color w:val="002060"/>
          <w:sz w:val="16"/>
          <w:szCs w:val="16"/>
        </w:rPr>
        <w:softHyphen/>
        <w:t>рабль имел на верхней палубе два навеса-ангара, вмещавшие по два самолета. Еще один самолет в ра</w:t>
      </w:r>
      <w:r w:rsidRPr="00405303">
        <w:rPr>
          <w:bCs/>
          <w:color w:val="002060"/>
          <w:sz w:val="16"/>
          <w:szCs w:val="16"/>
        </w:rPr>
        <w:softHyphen/>
        <w:t>зобранном виде хранился в трюм</w:t>
      </w:r>
      <w:r w:rsidRPr="00405303">
        <w:rPr>
          <w:bCs/>
          <w:color w:val="002060"/>
          <w:sz w:val="16"/>
          <w:szCs w:val="16"/>
        </w:rPr>
        <w:softHyphen/>
        <w:t>ном отделении. На борту хранились необходимые запасы топлива и бомб, были устроены мастерские для ремонта самолетов и двигате</w:t>
      </w:r>
      <w:r w:rsidRPr="00405303">
        <w:rPr>
          <w:bCs/>
          <w:color w:val="002060"/>
          <w:sz w:val="16"/>
          <w:szCs w:val="16"/>
        </w:rPr>
        <w:softHyphen/>
        <w:t>лей. После окончания переобору</w:t>
      </w:r>
      <w:r w:rsidRPr="00405303">
        <w:rPr>
          <w:bCs/>
          <w:color w:val="002060"/>
          <w:sz w:val="16"/>
          <w:szCs w:val="16"/>
        </w:rPr>
        <w:softHyphen/>
        <w:t>дования на «Орлицу» перевели ле</w:t>
      </w:r>
      <w:r w:rsidRPr="00405303">
        <w:rPr>
          <w:bCs/>
          <w:color w:val="002060"/>
          <w:sz w:val="16"/>
          <w:szCs w:val="16"/>
        </w:rPr>
        <w:softHyphen/>
        <w:t>тающие лодки РВА с экипажами с закрытой береговой станции в Гель</w:t>
      </w:r>
      <w:r w:rsidRPr="00405303">
        <w:rPr>
          <w:bCs/>
          <w:color w:val="002060"/>
          <w:sz w:val="16"/>
          <w:szCs w:val="16"/>
        </w:rPr>
        <w:softHyphen/>
        <w:t>сингфорсе.</w:t>
      </w:r>
    </w:p>
    <w:p w14:paraId="6DB277CA" w14:textId="77777777" w:rsidR="004B4E35" w:rsidRPr="00405303" w:rsidRDefault="009E6F82" w:rsidP="00C15251">
      <w:pPr>
        <w:jc w:val="both"/>
        <w:rPr>
          <w:bCs/>
          <w:color w:val="002060"/>
          <w:sz w:val="16"/>
          <w:szCs w:val="16"/>
        </w:rPr>
      </w:pPr>
      <w:r w:rsidRPr="00405303">
        <w:rPr>
          <w:bCs/>
          <w:color w:val="002060"/>
          <w:sz w:val="16"/>
          <w:szCs w:val="16"/>
        </w:rPr>
        <w:t>В зимний период активность боевых действий на море спала, а к началу летнего периода 1916 г. «Орлица» приняла на борт более совершенные летающие лодки М-9. 4 июля самолеты «Орлицы» прикры</w:t>
      </w:r>
      <w:r w:rsidRPr="00405303">
        <w:rPr>
          <w:bCs/>
          <w:color w:val="002060"/>
          <w:sz w:val="16"/>
          <w:szCs w:val="16"/>
        </w:rPr>
        <w:softHyphen/>
        <w:t>вали с воздуха линкор «Слава» и несколько миноносцев, ведущих обстрел немецких береговых бата</w:t>
      </w:r>
      <w:r w:rsidRPr="00405303">
        <w:rPr>
          <w:bCs/>
          <w:color w:val="002060"/>
          <w:sz w:val="16"/>
          <w:szCs w:val="16"/>
        </w:rPr>
        <w:softHyphen/>
        <w:t>рей у мыса Рагоцен. В ходе опера</w:t>
      </w:r>
      <w:r w:rsidRPr="00405303">
        <w:rPr>
          <w:bCs/>
          <w:color w:val="002060"/>
          <w:sz w:val="16"/>
          <w:szCs w:val="16"/>
        </w:rPr>
        <w:softHyphen/>
        <w:t>ции четверку русских М-9 атакова</w:t>
      </w:r>
      <w:r w:rsidRPr="00405303">
        <w:rPr>
          <w:bCs/>
          <w:color w:val="002060"/>
          <w:sz w:val="16"/>
          <w:szCs w:val="16"/>
        </w:rPr>
        <w:softHyphen/>
        <w:t>ли 4 вражеских гидроплана с не</w:t>
      </w:r>
      <w:r w:rsidRPr="00405303">
        <w:rPr>
          <w:bCs/>
          <w:color w:val="002060"/>
          <w:sz w:val="16"/>
          <w:szCs w:val="16"/>
        </w:rPr>
        <w:softHyphen/>
        <w:t>мецкого авиатранспорта «СПпс1ег», однако два из них были сбиты воз</w:t>
      </w:r>
      <w:r w:rsidRPr="00405303">
        <w:rPr>
          <w:bCs/>
          <w:color w:val="002060"/>
          <w:sz w:val="16"/>
          <w:szCs w:val="16"/>
        </w:rPr>
        <w:softHyphen/>
        <w:t>душными стрелками «девяток». Под</w:t>
      </w:r>
      <w:r w:rsidRPr="00405303">
        <w:rPr>
          <w:bCs/>
          <w:color w:val="002060"/>
          <w:sz w:val="16"/>
          <w:szCs w:val="16"/>
        </w:rPr>
        <w:softHyphen/>
        <w:t>нятые из воды немецкие пилоты рассказали, что целью их нападе</w:t>
      </w:r>
      <w:r w:rsidRPr="00405303">
        <w:rPr>
          <w:bCs/>
          <w:color w:val="002060"/>
          <w:sz w:val="16"/>
          <w:szCs w:val="16"/>
        </w:rPr>
        <w:softHyphen/>
        <w:t>ния являлось уничтожение «Орли</w:t>
      </w:r>
      <w:r w:rsidRPr="00405303">
        <w:rPr>
          <w:bCs/>
          <w:color w:val="002060"/>
          <w:sz w:val="16"/>
          <w:szCs w:val="16"/>
        </w:rPr>
        <w:softHyphen/>
        <w:t>цы», как наиболее досаждающего своими действиями корабля.</w:t>
      </w:r>
    </w:p>
    <w:p w14:paraId="72AA7737" w14:textId="77777777" w:rsidR="004B4E35" w:rsidRPr="00405303" w:rsidRDefault="009E6F82" w:rsidP="00C15251">
      <w:pPr>
        <w:jc w:val="both"/>
        <w:rPr>
          <w:bCs/>
          <w:color w:val="002060"/>
          <w:sz w:val="16"/>
          <w:szCs w:val="16"/>
        </w:rPr>
      </w:pPr>
      <w:r w:rsidRPr="00405303">
        <w:rPr>
          <w:bCs/>
          <w:color w:val="002060"/>
          <w:sz w:val="16"/>
          <w:szCs w:val="16"/>
        </w:rPr>
        <w:t>Начиная с 1916 г. немцы во все возрастающих масштабах стали привлекать к действиям против рус</w:t>
      </w:r>
      <w:r w:rsidRPr="00405303">
        <w:rPr>
          <w:bCs/>
          <w:color w:val="002060"/>
          <w:sz w:val="16"/>
          <w:szCs w:val="16"/>
        </w:rPr>
        <w:softHyphen/>
        <w:t>ских кораблей, береговых станций и авиации свои сухопутные само</w:t>
      </w:r>
      <w:r w:rsidRPr="00405303">
        <w:rPr>
          <w:bCs/>
          <w:color w:val="002060"/>
          <w:sz w:val="16"/>
          <w:szCs w:val="16"/>
        </w:rPr>
        <w:softHyphen/>
        <w:t>леты. Численное преимущество про</w:t>
      </w:r>
      <w:r w:rsidRPr="00405303">
        <w:rPr>
          <w:bCs/>
          <w:color w:val="002060"/>
          <w:sz w:val="16"/>
          <w:szCs w:val="16"/>
        </w:rPr>
        <w:softHyphen/>
        <w:t>тивника к лету 1917 г. стало подав</w:t>
      </w:r>
      <w:r w:rsidRPr="00405303">
        <w:rPr>
          <w:bCs/>
          <w:color w:val="002060"/>
          <w:sz w:val="16"/>
          <w:szCs w:val="16"/>
        </w:rPr>
        <w:softHyphen/>
        <w:t>ляющим. Листая сводки боевых до</w:t>
      </w:r>
      <w:r w:rsidRPr="00405303">
        <w:rPr>
          <w:bCs/>
          <w:color w:val="002060"/>
          <w:sz w:val="16"/>
          <w:szCs w:val="16"/>
        </w:rPr>
        <w:softHyphen/>
        <w:t>несений, можно увидеть, что немец</w:t>
      </w:r>
      <w:r w:rsidRPr="00405303">
        <w:rPr>
          <w:bCs/>
          <w:color w:val="002060"/>
          <w:sz w:val="16"/>
          <w:szCs w:val="16"/>
        </w:rPr>
        <w:softHyphen/>
        <w:t>кие самолеты буквально каждые пять минут осуществляли бомбежку и обстрел русских позиций, вели не</w:t>
      </w:r>
      <w:r w:rsidRPr="00405303">
        <w:rPr>
          <w:bCs/>
          <w:color w:val="002060"/>
          <w:sz w:val="16"/>
          <w:szCs w:val="16"/>
        </w:rPr>
        <w:softHyphen/>
        <w:t>устанное воздушное патрулирова</w:t>
      </w:r>
      <w:r w:rsidRPr="00405303">
        <w:rPr>
          <w:bCs/>
          <w:color w:val="002060"/>
          <w:sz w:val="16"/>
          <w:szCs w:val="16"/>
        </w:rPr>
        <w:softHyphen/>
        <w:t>ние и охотно вступали в воздушные бои. Напряженность боевой обста</w:t>
      </w:r>
      <w:r w:rsidRPr="00405303">
        <w:rPr>
          <w:bCs/>
          <w:color w:val="002060"/>
          <w:sz w:val="16"/>
          <w:szCs w:val="16"/>
        </w:rPr>
        <w:softHyphen/>
        <w:t>новки можно иллюстрировать сле</w:t>
      </w:r>
      <w:r w:rsidRPr="00405303">
        <w:rPr>
          <w:bCs/>
          <w:color w:val="002060"/>
          <w:sz w:val="16"/>
          <w:szCs w:val="16"/>
        </w:rPr>
        <w:softHyphen/>
        <w:t>дующим фактом: мичман Зайцевс- кий, отчаявшись отбиться в воздухе от численно превосходящего про</w:t>
      </w:r>
      <w:r w:rsidRPr="00405303">
        <w:rPr>
          <w:bCs/>
          <w:color w:val="002060"/>
          <w:sz w:val="16"/>
          <w:szCs w:val="16"/>
        </w:rPr>
        <w:softHyphen/>
        <w:t>тивника, вынужден был посадить свою лодку в небольшую бухту, снять пулемет и отстреливаться от нем</w:t>
      </w:r>
      <w:r w:rsidRPr="00405303">
        <w:rPr>
          <w:bCs/>
          <w:color w:val="002060"/>
          <w:sz w:val="16"/>
          <w:szCs w:val="16"/>
        </w:rPr>
        <w:softHyphen/>
        <w:t>цев из-за гранитных валунов (12088).</w:t>
      </w:r>
    </w:p>
    <w:p w14:paraId="10AC7C7C" w14:textId="77777777" w:rsidR="004B4E35" w:rsidRPr="00405303" w:rsidRDefault="004B4E35" w:rsidP="00C15251">
      <w:pPr>
        <w:jc w:val="both"/>
        <w:rPr>
          <w:bCs/>
          <w:color w:val="002060"/>
          <w:sz w:val="16"/>
          <w:szCs w:val="16"/>
        </w:rPr>
      </w:pPr>
    </w:p>
    <w:p w14:paraId="44304C21" w14:textId="77777777" w:rsidR="004B4E35" w:rsidRPr="00405303" w:rsidRDefault="009E6F82" w:rsidP="00C15251">
      <w:pPr>
        <w:jc w:val="both"/>
        <w:rPr>
          <w:bCs/>
          <w:color w:val="002060"/>
          <w:sz w:val="16"/>
          <w:szCs w:val="16"/>
        </w:rPr>
      </w:pPr>
      <w:r w:rsidRPr="00405303">
        <w:rPr>
          <w:bCs/>
          <w:color w:val="002060"/>
          <w:sz w:val="16"/>
          <w:szCs w:val="16"/>
        </w:rPr>
        <w:t>В начале 1915 года флот получил авиатранспорты "Император Николай I" и "Император Александр I", переоборудованные из броненосцев, несколько позже подобное переоборудование прошел крейсер "Алмаз", а в 1917 году в строй вошел авиатранспорт "Румыния", созданный на базе пасажирского парохода. На Балтике имелся лишь один авиатранспорт - "Орлица", переоборудованный из парохода и введенный в строй в феврале 1915 года. Число гидросамолетов в корабельных отрядах вначале составляло четыре-пять единиц, а в 1917 году было доведено до семи-девяти летательных аппаратов (11184).</w:t>
      </w:r>
    </w:p>
    <w:p w14:paraId="0BE578D7" w14:textId="77777777" w:rsidR="004B4E35" w:rsidRPr="00405303" w:rsidRDefault="004B4E35" w:rsidP="00C15251">
      <w:pPr>
        <w:jc w:val="both"/>
        <w:rPr>
          <w:bCs/>
          <w:color w:val="002060"/>
          <w:sz w:val="16"/>
          <w:szCs w:val="16"/>
        </w:rPr>
      </w:pPr>
    </w:p>
    <w:p w14:paraId="7D59845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начале 1915 г. на БФ пароход «Императрица Александра» стал авиабазой под названием «Орлица». Корабль имел на верхней палубе два навеса-ангара, вмещавшие по два самолета. Еще один самолет в разобранном виде хра</w:t>
      </w:r>
      <w:r w:rsidRPr="00405303">
        <w:rPr>
          <w:bCs/>
          <w:color w:val="002060"/>
          <w:sz w:val="16"/>
          <w:szCs w:val="16"/>
        </w:rPr>
        <w:softHyphen/>
        <w:t>нился в трюмном отделении. На борту имелись необходи</w:t>
      </w:r>
      <w:r w:rsidRPr="00405303">
        <w:rPr>
          <w:bCs/>
          <w:color w:val="002060"/>
          <w:sz w:val="16"/>
          <w:szCs w:val="16"/>
        </w:rPr>
        <w:softHyphen/>
        <w:t>мые запасы топлива и бомб, мастерские для ремонта са</w:t>
      </w:r>
      <w:r w:rsidRPr="00405303">
        <w:rPr>
          <w:bCs/>
          <w:color w:val="002060"/>
          <w:sz w:val="16"/>
          <w:szCs w:val="16"/>
        </w:rPr>
        <w:softHyphen/>
        <w:t>молетов и двигателей. После окончания переоборудова</w:t>
      </w:r>
      <w:r w:rsidRPr="00405303">
        <w:rPr>
          <w:bCs/>
          <w:color w:val="002060"/>
          <w:sz w:val="16"/>
          <w:szCs w:val="16"/>
        </w:rPr>
        <w:softHyphen/>
        <w:t>ния на «Орлицу» с закрытой береговой станции в Гельсингфорсе перевели летающие лодки РВА и М-о с экипажами (11107).</w:t>
      </w:r>
    </w:p>
    <w:p w14:paraId="6E367B81" w14:textId="77777777" w:rsidR="004B4E35" w:rsidRPr="00405303" w:rsidRDefault="004B4E35" w:rsidP="00C15251">
      <w:pPr>
        <w:shd w:val="clear" w:color="auto" w:fill="FFFFFF"/>
        <w:jc w:val="both"/>
        <w:rPr>
          <w:bCs/>
          <w:color w:val="002060"/>
          <w:sz w:val="16"/>
          <w:szCs w:val="16"/>
        </w:rPr>
      </w:pPr>
    </w:p>
    <w:p w14:paraId="3B2D00C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начале 1915г. на Путиловской верфи был создан авианесущий корабль «Орлица». На борту корабля находились 4 гидросамолета М-9, готовых к немедленному спус</w:t>
      </w:r>
      <w:r w:rsidRPr="00405303">
        <w:rPr>
          <w:bCs/>
          <w:color w:val="002060"/>
          <w:sz w:val="16"/>
          <w:szCs w:val="16"/>
        </w:rPr>
        <w:softHyphen/>
        <w:t>ку на воду, и 2 запасных гидросамолета. «Орлица» участвовала в боевых действиях Балтийского флота в Первую мировую войну. На Черноморс</w:t>
      </w:r>
      <w:r w:rsidRPr="00405303">
        <w:rPr>
          <w:bCs/>
          <w:color w:val="002060"/>
          <w:sz w:val="16"/>
          <w:szCs w:val="16"/>
        </w:rPr>
        <w:softHyphen/>
        <w:t>ком флоте оборудованы в качестве авианесущих кораблей «Николай-</w:t>
      </w:r>
      <w:r w:rsidRPr="00405303">
        <w:rPr>
          <w:bCs/>
          <w:color w:val="002060"/>
          <w:sz w:val="16"/>
          <w:szCs w:val="16"/>
          <w:lang w:val="en-US"/>
        </w:rPr>
        <w:t>I</w:t>
      </w:r>
      <w:r w:rsidRPr="00405303">
        <w:rPr>
          <w:bCs/>
          <w:color w:val="002060"/>
          <w:sz w:val="16"/>
          <w:szCs w:val="16"/>
        </w:rPr>
        <w:t>»,«Александр-1», «Румыния», и «Алмаз» [8]. Военно-морское ведомство большое внимание уделяло постройке военных аэропланов для выполнения боевых задач совместно с флотом. Работы велись по двум направлениям:</w:t>
      </w:r>
    </w:p>
    <w:p w14:paraId="4883579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создание специальных гидроаэропланов и авианесущих кораблей;</w:t>
      </w:r>
    </w:p>
    <w:p w14:paraId="71C4F7E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использование аэропланов, базирующихся на береговых аэродро</w:t>
      </w:r>
      <w:r w:rsidRPr="00405303">
        <w:rPr>
          <w:bCs/>
          <w:color w:val="002060"/>
          <w:sz w:val="16"/>
          <w:szCs w:val="16"/>
        </w:rPr>
        <w:softHyphen/>
        <w:t>мах и взаимодействующих с кораблями флота (11425).</w:t>
      </w:r>
    </w:p>
    <w:p w14:paraId="2C6738E7" w14:textId="77777777" w:rsidR="004B4E35" w:rsidRPr="00405303" w:rsidRDefault="004B4E35" w:rsidP="00C15251">
      <w:pPr>
        <w:jc w:val="both"/>
        <w:rPr>
          <w:bCs/>
          <w:color w:val="002060"/>
          <w:sz w:val="16"/>
          <w:szCs w:val="16"/>
        </w:rPr>
      </w:pPr>
    </w:p>
    <w:p w14:paraId="0EFEC39F" w14:textId="6F94DCDF" w:rsidR="004B4E35" w:rsidRPr="00405303" w:rsidRDefault="001A0C4D"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начале кампании 1915 года </w:t>
      </w:r>
      <w:r w:rsidRPr="00405303">
        <w:rPr>
          <w:bCs/>
          <w:color w:val="002060"/>
          <w:sz w:val="16"/>
          <w:szCs w:val="16"/>
        </w:rPr>
        <w:t xml:space="preserve">на Балтике </w:t>
      </w:r>
      <w:r w:rsidR="009E6F82" w:rsidRPr="00405303">
        <w:rPr>
          <w:bCs/>
          <w:color w:val="002060"/>
          <w:sz w:val="16"/>
          <w:szCs w:val="16"/>
        </w:rPr>
        <w:t>только лишь начали переоборудовать в авианесущий корабль пароход «Императрица Александра» (РГА ВМФ, ф. 418, оп. 1, д. 1408, л. 23.), который вскоре стал именоваться учебным судном Балтийского флота «Орлица» (11166).</w:t>
      </w:r>
    </w:p>
    <w:p w14:paraId="5EA36C19" w14:textId="77777777" w:rsidR="004B4E35" w:rsidRPr="00405303" w:rsidRDefault="004B4E35" w:rsidP="00C15251">
      <w:pPr>
        <w:jc w:val="both"/>
        <w:rPr>
          <w:bCs/>
          <w:color w:val="002060"/>
          <w:sz w:val="16"/>
          <w:szCs w:val="16"/>
        </w:rPr>
      </w:pPr>
    </w:p>
    <w:p w14:paraId="2C8C0263" w14:textId="77777777" w:rsidR="004B4E35" w:rsidRPr="00405303" w:rsidRDefault="009E6F82" w:rsidP="00C15251">
      <w:pPr>
        <w:jc w:val="both"/>
        <w:rPr>
          <w:bCs/>
          <w:i/>
          <w:color w:val="002060"/>
          <w:sz w:val="16"/>
          <w:szCs w:val="16"/>
        </w:rPr>
      </w:pPr>
      <w:r w:rsidRPr="00405303">
        <w:rPr>
          <w:bCs/>
          <w:i/>
          <w:color w:val="002060"/>
          <w:sz w:val="16"/>
          <w:szCs w:val="16"/>
        </w:rPr>
        <w:t>Армия:</w:t>
      </w:r>
    </w:p>
    <w:p w14:paraId="124468C2" w14:textId="77777777" w:rsidR="004B4E35" w:rsidRPr="00405303" w:rsidRDefault="004B4E35" w:rsidP="00C15251">
      <w:pPr>
        <w:jc w:val="both"/>
        <w:rPr>
          <w:bCs/>
          <w:i/>
          <w:color w:val="002060"/>
          <w:sz w:val="16"/>
          <w:szCs w:val="16"/>
        </w:rPr>
      </w:pPr>
    </w:p>
    <w:p w14:paraId="6573975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начале 1915 г. по поручению генерал-инспектора артиллерии, с согласия главковерха, было произведено обследование артиллерийского снабжения на Кавказском фронте.</w:t>
      </w:r>
    </w:p>
    <w:p w14:paraId="1E80EB2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Это обследование обнаружило многие недостатки в организации управления артснабжением, установленной Положением 1914 г., хотя ввиду особых условий обособленности и удаленности Кавказского фронта эти недостатки не давали себя столь остро чувствовать, как на других русских фронтах. </w:t>
      </w:r>
    </w:p>
    <w:p w14:paraId="52C9D9C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Наконец, в конце июля того же 1915 г. по указаниям военного министра, одобренным царем, были исследованы условия артиллерийского снабжения армий Юго-западного фронта генерал-инспектором артиллерии. На результатах этого исследования придется остановиться более подробно дальше, а здесь только отметить, что для упорядочения артиллерийского снабжения наших армий генерал-инспектор артиллерии признавал, между прочим, необходимым: а) иметь при Штабе главковерха, при штабах главкомов и командармов артиллеристов, которые по своим знаниям и служебному положению могли бы направлять сложное специальное артиллерийское дело, ведая вопросами вооружения и боевого снабжения армии, а также боевым применением артиллерии; б) расширить права и обязанности начальника артиллерийского снабжения, заведующего артиллерийской частью и инспектора артиллерии корпуса; в) установить определенные взаимоотношения лиц и учреждений, распоряжающихся артиллерийским снабжением; г) усилить штатный состав учреждений, ведающих артиллерийским снабжением, и т. д. </w:t>
      </w:r>
    </w:p>
    <w:p w14:paraId="24B4CAB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Подводя итоги, приходится подчеркнуть следующие недочеты в организации артиллерийского снабжения: </w:t>
      </w:r>
    </w:p>
    <w:p w14:paraId="46D1880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a) Положение о полевом управлении 1914 г. в части артиллерийского снабжения оказалось крайне неудовлетворительным, не отвечающим пользе дела. </w:t>
      </w:r>
    </w:p>
    <w:p w14:paraId="6F5C3B3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б) Недочеты, подмеченные в первые же дни войны, исправлены не были, по крайней мере в 1914-1915 гг., если не считать того, что Ставка, не имея соответствующего аппарата, взяла на себя дачу указаний по направлению в действующую армию винтовок и местных парков с огнеприпасами и по снабжению осадной артиллерии; </w:t>
      </w:r>
      <w:r w:rsidRPr="00405303">
        <w:rPr>
          <w:bCs/>
          <w:i w:val="0"/>
          <w:color w:val="002060"/>
          <w:spacing w:val="0"/>
          <w:kern w:val="0"/>
          <w:position w:val="0"/>
          <w:sz w:val="16"/>
          <w:szCs w:val="16"/>
        </w:rPr>
        <w:lastRenderedPageBreak/>
        <w:t xml:space="preserve">нельзя считать серьезной мерой усиление в конце 1915 г. состава управления дегенверха одним столоначальником из ГАУ ш.-к. Старцевым, хотя весьма опытным и сведущим в деле артиллерийского снабжения, во все же недостаточно авторитетным, что-бы руководить боевым снабжением в целом. </w:t>
      </w:r>
    </w:p>
    <w:p w14:paraId="4057F86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Мобилизационная подготовка артиллерийского имущества на артскладах не была согласована с требованиями Положения 1914 г., да и не могла быть заблаговременно согласована, так как Положение было утверждено 16(29) июля 1914 г. и стало известным исполнителям после начала войны. Положение шло даже в разрез с назначением, задачами и деятельностью артарсеналов и отчасти с деятельностью артскладов. </w:t>
      </w:r>
    </w:p>
    <w:p w14:paraId="09E08DF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г) Создавшаяся с первых же шагов применения Положения обстановка внесла большую путаницу в работу ГАУ, распоряжения которого в некоторых случаях даже не исполнялись артиллерийскими складами и арсеналами, находящимися на театре войны. </w:t>
      </w:r>
    </w:p>
    <w:p w14:paraId="06B2DF5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д) Взаимоотношения фронтов и отдельных армий с центральным органом артснабжения вне театра военных действий, т. е. с ГАУ, никем не регулируемые, естественно, не могли иметь положительных результатов, вследствие чего замечалась неравномерность обеспечения войск артимуществом и несогласованность обеспечения с оперативными заданиями. </w:t>
      </w:r>
    </w:p>
    <w:p w14:paraId="172F300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е) Положение 1914 г. во многом противоречило жизненным потребностям армии в боевом снабжении; оно явно недооценивало значение артиллерийского снабжения как в целом, так и в отдельных действиях. </w:t>
      </w:r>
    </w:p>
    <w:p w14:paraId="0852361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Все</w:t>
      </w:r>
      <w:proofErr w:type="gramStart"/>
      <w:r w:rsidRPr="00405303">
        <w:rPr>
          <w:bCs/>
          <w:i w:val="0"/>
          <w:color w:val="002060"/>
          <w:spacing w:val="0"/>
          <w:kern w:val="0"/>
          <w:position w:val="0"/>
          <w:sz w:val="16"/>
          <w:szCs w:val="16"/>
        </w:rPr>
        <w:t>-это</w:t>
      </w:r>
      <w:proofErr w:type="gramEnd"/>
      <w:r w:rsidRPr="00405303">
        <w:rPr>
          <w:bCs/>
          <w:i w:val="0"/>
          <w:color w:val="002060"/>
          <w:spacing w:val="0"/>
          <w:kern w:val="0"/>
          <w:position w:val="0"/>
          <w:sz w:val="16"/>
          <w:szCs w:val="16"/>
        </w:rPr>
        <w:t xml:space="preserve"> обнаружилось в первые же месяцы мировой войны. </w:t>
      </w:r>
    </w:p>
    <w:p w14:paraId="54F1D70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Однако, доводы рассудка и очевидности не так скоро доходили до сознания Ставки, пренебрежение которой отчасти ко всему артиллерийскому делу красной нитью сквозило во всех ее действиях до 1916 г. Потребовалось немало жертв и крупный неудач, прежде чем Положение 1914 г. стали перерабатывать соответственно потребностям жизни, подходя все ближе и ближе... к старому Положению 1890 г. </w:t>
      </w:r>
    </w:p>
    <w:p w14:paraId="5CD272F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Потребовались все поражения 1915 г., чтобы, наконец, 5 января 1916 г. был отдан приказ наштаверха за № 24 с объявлением Положения о полевом генерал-инспекторе артиллерии и его управлении (Упарте). Но и в данном случае бывший генерал-квартирмейстер Штаба главковерха Ю. Н. Данилов оставался упрямо верным себе. Чрезвычайно характерно заключение его по поводу проекта Положения о полевом генерал-инспекторе артиллерии: "По моему мнению, следовало бы относиться с осторожностью ко всяким дополнительным формированиям в период войны" (11483).</w:t>
      </w:r>
    </w:p>
    <w:p w14:paraId="10907420" w14:textId="77777777" w:rsidR="004B4E35" w:rsidRPr="00405303" w:rsidRDefault="004B4E35" w:rsidP="00C15251">
      <w:pPr>
        <w:pStyle w:val="a3"/>
        <w:jc w:val="both"/>
        <w:rPr>
          <w:bCs/>
          <w:i w:val="0"/>
          <w:color w:val="002060"/>
          <w:spacing w:val="0"/>
          <w:kern w:val="0"/>
          <w:position w:val="0"/>
          <w:sz w:val="16"/>
          <w:szCs w:val="16"/>
        </w:rPr>
      </w:pPr>
    </w:p>
    <w:p w14:paraId="10C3AAAC" w14:textId="77777777" w:rsidR="004B4E35" w:rsidRPr="00405303" w:rsidRDefault="009E6F82" w:rsidP="00C15251">
      <w:pPr>
        <w:jc w:val="both"/>
        <w:rPr>
          <w:bCs/>
          <w:color w:val="002060"/>
          <w:sz w:val="16"/>
          <w:szCs w:val="16"/>
        </w:rPr>
      </w:pPr>
      <w:r w:rsidRPr="00405303">
        <w:rPr>
          <w:bCs/>
          <w:color w:val="002060"/>
          <w:sz w:val="16"/>
          <w:szCs w:val="16"/>
        </w:rPr>
        <w:t>В начале 1915 года первый русский бронепоезд отправился на фронт, где ситуация складывалась для русской армии не самым лучшим образом (11149). Еще четыре аналогичных бронепоезда вступили в строй до конца 1915 года. В российской армии бронепоезда организационно входили в состав железнодорожных войск, что облегчало их строительство, техническое обслуживание и ремонт в полевых условиях. После постройки первых бронепоездов было развернуто их производство в Киеве, в мастерских Юго-Западной железной дороги, и в Одессе в мастерских Русского общества пароходства и торговли.</w:t>
      </w:r>
    </w:p>
    <w:p w14:paraId="3D77410E" w14:textId="77777777" w:rsidR="004B4E35" w:rsidRPr="00405303" w:rsidRDefault="009E6F82" w:rsidP="00C15251">
      <w:pPr>
        <w:jc w:val="both"/>
        <w:rPr>
          <w:bCs/>
          <w:color w:val="002060"/>
          <w:sz w:val="16"/>
          <w:szCs w:val="16"/>
        </w:rPr>
      </w:pPr>
      <w:r w:rsidRPr="00405303">
        <w:rPr>
          <w:bCs/>
          <w:color w:val="002060"/>
          <w:sz w:val="16"/>
          <w:szCs w:val="16"/>
        </w:rPr>
        <w:t>Распространение в этот период получила типовая конструкция полевого бронепоезда русской армии образца 1915 года конструкции инженера Балля, включавшая бронепаровоз и две бронеплощадки. На каждой площадке имелось двенадцать станковых пулеметов "Максим" (по шесть на каждый борт), а в концевом каземате была установлена трехдюймовая горная пушка образца 1904 года.</w:t>
      </w:r>
    </w:p>
    <w:p w14:paraId="2307953F" w14:textId="77777777" w:rsidR="004B4E35" w:rsidRPr="00405303" w:rsidRDefault="009E6F82" w:rsidP="00C15251">
      <w:pPr>
        <w:jc w:val="both"/>
        <w:rPr>
          <w:bCs/>
          <w:color w:val="002060"/>
          <w:sz w:val="16"/>
          <w:szCs w:val="16"/>
        </w:rPr>
      </w:pPr>
      <w:r w:rsidRPr="00405303">
        <w:rPr>
          <w:bCs/>
          <w:color w:val="002060"/>
          <w:sz w:val="16"/>
          <w:szCs w:val="16"/>
        </w:rPr>
        <w:t xml:space="preserve">Как правило, бронепоезд приводился в движение паровозом серии О - наиболее массовым на российских железных дорогах в то время. Кстати, буква О означала "основной". К этому типу с 1892 г. относили паровозы с формулой 0-4-0 (четырехосные, все колесные пары ведущие), с паровыми машинами типа компаунд (то есть с двумя цилиндрами с каждой стороны паровоза). На первых паровозах </w:t>
      </w:r>
      <w:proofErr w:type="gramStart"/>
      <w:r w:rsidRPr="00405303">
        <w:rPr>
          <w:bCs/>
          <w:color w:val="002060"/>
          <w:sz w:val="16"/>
          <w:szCs w:val="16"/>
        </w:rPr>
        <w:t>серии</w:t>
      </w:r>
      <w:proofErr w:type="gramEnd"/>
      <w:r w:rsidRPr="00405303">
        <w:rPr>
          <w:bCs/>
          <w:color w:val="002060"/>
          <w:sz w:val="16"/>
          <w:szCs w:val="16"/>
        </w:rPr>
        <w:t xml:space="preserve"> О цилиндры имели диаметр 500 и 710 мм, ход поршня составлял 650 мм, давление пара в котле составляло 11 кгс/см2. Для разновидности паровоза с парораспределительным механизмом Вальсхарта было принято обозначения ОВ, а среди железнодорожников такие локомотивы получили известность под именем "овечка". Масса паровоза составляла 51…52,5 т, их максимальная скорость не превышала 50…60 км/ч. Всего было построено свыше 4,5 тысяч паровозов серии О. В небольших количествах их строили вплоть до конца двадцатых годов прошлого века. Неудивительно, что именно этот паровоз, доказавший свою надежность и неприхотливость, стал главной "тягловой силой" российских бронепоездов (11149).</w:t>
      </w:r>
    </w:p>
    <w:p w14:paraId="74F55F96" w14:textId="77777777" w:rsidR="004B4E35" w:rsidRPr="00405303" w:rsidRDefault="004B4E35" w:rsidP="00C15251">
      <w:pPr>
        <w:jc w:val="both"/>
        <w:rPr>
          <w:bCs/>
          <w:color w:val="002060"/>
          <w:sz w:val="16"/>
          <w:szCs w:val="16"/>
        </w:rPr>
      </w:pPr>
    </w:p>
    <w:p w14:paraId="0460E532"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Жизнь и внутренняя политика:</w:t>
      </w:r>
    </w:p>
    <w:p w14:paraId="144571A1" w14:textId="77777777" w:rsidR="004B4E35" w:rsidRPr="00405303" w:rsidRDefault="004B4E35" w:rsidP="00C15251">
      <w:pPr>
        <w:shd w:val="clear" w:color="auto" w:fill="FFFFFF"/>
        <w:jc w:val="both"/>
        <w:rPr>
          <w:bCs/>
          <w:i/>
          <w:color w:val="002060"/>
          <w:sz w:val="16"/>
          <w:szCs w:val="16"/>
        </w:rPr>
      </w:pPr>
    </w:p>
    <w:p w14:paraId="4BD21463" w14:textId="1AE7C3B6" w:rsidR="004B4E35" w:rsidRPr="00405303" w:rsidRDefault="001A0C4D"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w:t>
      </w:r>
      <w:r w:rsidR="009E6F82" w:rsidRPr="00405303">
        <w:rPr>
          <w:bCs/>
          <w:i w:val="0"/>
          <w:color w:val="002060"/>
          <w:spacing w:val="0"/>
          <w:kern w:val="0"/>
          <w:position w:val="0"/>
          <w:sz w:val="16"/>
          <w:szCs w:val="16"/>
        </w:rPr>
        <w:t>начал</w:t>
      </w:r>
      <w:r w:rsidRPr="00405303">
        <w:rPr>
          <w:bCs/>
          <w:i w:val="0"/>
          <w:color w:val="002060"/>
          <w:spacing w:val="0"/>
          <w:kern w:val="0"/>
          <w:position w:val="0"/>
          <w:sz w:val="16"/>
          <w:szCs w:val="16"/>
        </w:rPr>
        <w:t>е</w:t>
      </w:r>
      <w:r w:rsidR="009E6F82" w:rsidRPr="00405303">
        <w:rPr>
          <w:bCs/>
          <w:i w:val="0"/>
          <w:color w:val="002060"/>
          <w:spacing w:val="0"/>
          <w:kern w:val="0"/>
          <w:position w:val="0"/>
          <w:sz w:val="16"/>
          <w:szCs w:val="16"/>
        </w:rPr>
        <w:t xml:space="preserve"> 1915 г. представителями </w:t>
      </w:r>
      <w:r w:rsidRPr="00405303">
        <w:rPr>
          <w:bCs/>
          <w:i w:val="0"/>
          <w:color w:val="002060"/>
          <w:spacing w:val="0"/>
          <w:kern w:val="0"/>
          <w:position w:val="0"/>
          <w:sz w:val="16"/>
          <w:szCs w:val="16"/>
        </w:rPr>
        <w:t xml:space="preserve">кадетов </w:t>
      </w:r>
      <w:r w:rsidR="009E6F82" w:rsidRPr="00405303">
        <w:rPr>
          <w:bCs/>
          <w:i w:val="0"/>
          <w:color w:val="002060"/>
          <w:spacing w:val="0"/>
          <w:kern w:val="0"/>
          <w:position w:val="0"/>
          <w:sz w:val="16"/>
          <w:szCs w:val="16"/>
        </w:rPr>
        <w:t>с мест выдвигается призыв о немедленном начале оппозиционной борьбы против внутреннего врага — царского правительства (11270).</w:t>
      </w:r>
    </w:p>
    <w:p w14:paraId="5564FC1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пользу такого решения говорило всё: поражение русской армии, усиление революционных и оппозиционных настроений в обществе, создание думского Прогрессивного блока, деятельность общественных буржуазных организаций. Это заставило либералов поставить вопрос о власти. </w:t>
      </w:r>
    </w:p>
    <w:p w14:paraId="1E29149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Пути передачи власти буржуазии предполагались разные, но все они сводились к одному — «власть надо брать в любой момент», но никак не революционным путем, а посредством эволюционного общественного развития в рамках существующего парламентарного строя. И тем не менее в 1915 г. буржуазия не решалась еще на дворцовый переворот, к признанию необходимости которого она пришла осенью 1916 г. Тогда они считали для себя возможным продолжать борьбу за создание «министерства общественного доверия», которое, по их разумению, будет приемлемым и для верховной власти, так как ни в коем случае не предусматривало какого-либо радикального политического переворота, и одновременно могло быть рассмотрено в перспективе в качестве «ступеньки» к созданию думского ответственного министерства. </w:t>
      </w:r>
    </w:p>
    <w:p w14:paraId="2908C5B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Дебаты вокруг этого вопроса продолжались в либеральной среде вплоть до самой Февральской революции. Они то ослабевали, то усиливались, принимая радикальное направление в зависимости от положения в стране. Споры касались и перспектив развития кризисной ситуации, и возможности революции. Но споры оставались лишь спорами, в то время как политическая обстановка всё более осложнялась. </w:t>
      </w:r>
    </w:p>
    <w:p w14:paraId="5094FE6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Одной из причин политической нестабильности стал экономический кризис. Во многом он был вызван переключением на военное производство тех отраслей промышленности, которые изготавливали предметы потребления. В результате нарушился обмен между городом и деревней, ухудшилось снабжение городского трудового населения и значительно сократилось потребление трудящихся.</w:t>
      </w:r>
    </w:p>
    <w:p w14:paraId="7EF08CD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Выход из создавшегося положения виделся правительствам воюющих держав в проведении всеобъемлющей централизации снабжения. В России с 1915 г. карточная система явочным путем стала проводиться городскими самоуправлениями на дефицитные продукты: сахар и керосин. Но официально, в виде общегосударственной меры, карточная система появилась лишь с введением хлебной монополии 25 марта 1917 г.</w:t>
      </w:r>
    </w:p>
    <w:p w14:paraId="6D58ACC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Обсуждались в России и проекты введения трудовой повинности, но идея оказалась непопулярной. Власть, опасаясь волнений рабочих и обострения социального вопроса, не пошла на принятие этого законопроекта.</w:t>
      </w:r>
    </w:p>
    <w:p w14:paraId="7DE9855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Огромные жертвы, затяжной и кровопролитный характер войны, рост дороговизны в тылу воюющих государств привели в политической сфере к смещению акцентов — от грандиозной вспышки национализма и шовинизма, идей гражданского мира во имя победы над внешним врагом к созданию в широких народных массах совершенно новой психологии военного коммунизма с присущими ей настроениями максимализма, нетерпения, всеобщего уравнительства, с ориентацией на насилие и прямое революционное действие (11270).</w:t>
      </w:r>
    </w:p>
    <w:p w14:paraId="02AD5139" w14:textId="77777777" w:rsidR="004B4E35" w:rsidRPr="00405303" w:rsidRDefault="004B4E35" w:rsidP="00C15251">
      <w:pPr>
        <w:pStyle w:val="a3"/>
        <w:jc w:val="both"/>
        <w:rPr>
          <w:bCs/>
          <w:i w:val="0"/>
          <w:color w:val="002060"/>
          <w:spacing w:val="0"/>
          <w:kern w:val="0"/>
          <w:position w:val="0"/>
          <w:sz w:val="16"/>
          <w:szCs w:val="16"/>
        </w:rPr>
      </w:pPr>
    </w:p>
    <w:p w14:paraId="4E119980"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Внешняя политика:</w:t>
      </w:r>
    </w:p>
    <w:p w14:paraId="143A9A46" w14:textId="77777777" w:rsidR="004B4E35" w:rsidRPr="00405303" w:rsidRDefault="004B4E35" w:rsidP="00C15251">
      <w:pPr>
        <w:shd w:val="clear" w:color="auto" w:fill="FFFFFF"/>
        <w:jc w:val="both"/>
        <w:rPr>
          <w:bCs/>
          <w:i/>
          <w:color w:val="002060"/>
          <w:sz w:val="16"/>
          <w:szCs w:val="16"/>
        </w:rPr>
      </w:pPr>
    </w:p>
    <w:p w14:paraId="273D209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начала 1915 г. французское правительство, озабоченное прежде все</w:t>
      </w:r>
      <w:r w:rsidRPr="00405303">
        <w:rPr>
          <w:bCs/>
          <w:color w:val="002060"/>
          <w:sz w:val="16"/>
          <w:szCs w:val="16"/>
        </w:rPr>
        <w:softHyphen/>
        <w:t>го созданием собственного мощного воздушного флота, распорядилось отменить выданное ранее разрешение па ввоз в Россию авиадвигателей «Сальмсоп» (11060).</w:t>
      </w:r>
    </w:p>
    <w:p w14:paraId="6F17D3F6" w14:textId="77777777" w:rsidR="004B4E35" w:rsidRPr="00405303" w:rsidRDefault="004B4E35" w:rsidP="00C15251">
      <w:pPr>
        <w:shd w:val="clear" w:color="auto" w:fill="FFFFFF"/>
        <w:jc w:val="both"/>
        <w:rPr>
          <w:bCs/>
          <w:color w:val="002060"/>
          <w:sz w:val="16"/>
          <w:szCs w:val="16"/>
        </w:rPr>
      </w:pPr>
    </w:p>
    <w:p w14:paraId="268470E3" w14:textId="3955DF75" w:rsidR="00FE470A" w:rsidRPr="00405303" w:rsidRDefault="001A0C4D" w:rsidP="00C15251">
      <w:pPr>
        <w:jc w:val="both"/>
        <w:rPr>
          <w:bCs/>
          <w:color w:val="002060"/>
          <w:sz w:val="16"/>
          <w:szCs w:val="16"/>
        </w:rPr>
      </w:pPr>
      <w:r w:rsidRPr="00405303">
        <w:rPr>
          <w:bCs/>
          <w:color w:val="002060"/>
          <w:sz w:val="16"/>
          <w:szCs w:val="16"/>
        </w:rPr>
        <w:t>В</w:t>
      </w:r>
      <w:r w:rsidR="00FE470A" w:rsidRPr="00405303">
        <w:rPr>
          <w:bCs/>
          <w:color w:val="002060"/>
          <w:sz w:val="16"/>
          <w:szCs w:val="16"/>
        </w:rPr>
        <w:t xml:space="preserve"> начале 1915 г. </w:t>
      </w:r>
      <w:r w:rsidRPr="00405303">
        <w:rPr>
          <w:bCs/>
          <w:color w:val="002060"/>
          <w:sz w:val="16"/>
          <w:szCs w:val="16"/>
        </w:rPr>
        <w:t xml:space="preserve">Конференция министров финансов России, Великобритании и Франции </w:t>
      </w:r>
      <w:r w:rsidR="00FE470A" w:rsidRPr="00405303">
        <w:rPr>
          <w:bCs/>
          <w:color w:val="002060"/>
          <w:sz w:val="16"/>
          <w:szCs w:val="16"/>
        </w:rPr>
        <w:t xml:space="preserve">подтвердила финансовые соглашения между Францией и Россией, союзническую договоренность открытием взаимного кредита денежных средств на двухсторонней основе для военных целей. Международное казначейство </w:t>
      </w:r>
      <w:r w:rsidR="00FE470A" w:rsidRPr="00405303">
        <w:rPr>
          <w:bCs/>
          <w:color w:val="002060"/>
          <w:sz w:val="16"/>
          <w:szCs w:val="16"/>
        </w:rPr>
        <w:lastRenderedPageBreak/>
        <w:t>представило ссудное ассигнование России на 625 млн [Файертаг, 2014, с. 49]. Но, к сожалению, вскоре этот кредит иссяк из-за погашения русского долга и роста русских военных заказов во Франции (20057).</w:t>
      </w:r>
    </w:p>
    <w:p w14:paraId="41EB69BD" w14:textId="77777777" w:rsidR="00FE470A" w:rsidRPr="00405303" w:rsidRDefault="00FE470A" w:rsidP="00C15251">
      <w:pPr>
        <w:jc w:val="both"/>
        <w:rPr>
          <w:bCs/>
          <w:color w:val="002060"/>
          <w:sz w:val="16"/>
          <w:szCs w:val="16"/>
        </w:rPr>
      </w:pPr>
    </w:p>
    <w:p w14:paraId="002B6A6C"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Франции:</w:t>
      </w:r>
    </w:p>
    <w:p w14:paraId="1C9E73FF" w14:textId="77777777" w:rsidR="004B4E35" w:rsidRPr="00405303" w:rsidRDefault="004B4E35" w:rsidP="00C15251">
      <w:pPr>
        <w:shd w:val="clear" w:color="auto" w:fill="FFFFFF"/>
        <w:jc w:val="both"/>
        <w:rPr>
          <w:bCs/>
          <w:i/>
          <w:color w:val="002060"/>
          <w:sz w:val="16"/>
          <w:szCs w:val="16"/>
        </w:rPr>
      </w:pPr>
    </w:p>
    <w:p w14:paraId="05D4D169" w14:textId="77777777" w:rsidR="00F635F7" w:rsidRPr="00405303" w:rsidRDefault="00F635F7" w:rsidP="00C15251">
      <w:pPr>
        <w:pStyle w:val="ae"/>
        <w:shd w:val="clear" w:color="auto" w:fill="FFFFFF"/>
        <w:spacing w:before="0" w:beforeAutospacing="0" w:after="0" w:afterAutospacing="0"/>
        <w:jc w:val="both"/>
        <w:textAlignment w:val="baseline"/>
        <w:rPr>
          <w:bCs/>
          <w:color w:val="002060"/>
          <w:sz w:val="16"/>
          <w:szCs w:val="16"/>
        </w:rPr>
      </w:pPr>
      <w:r w:rsidRPr="00405303">
        <w:rPr>
          <w:bCs/>
          <w:color w:val="002060"/>
          <w:sz w:val="16"/>
          <w:szCs w:val="16"/>
        </w:rPr>
        <w:t>В начале 1915 года Хиршауэр, который «возвратился» в авиацию и был назначен ответственным за ПВО Парижа, а после стабилизации фронта — ответственным за снабжение авиации самолетами и моторами, стал заместитель госсекретаря правительства по аэронавтике. Слабым местом было производство авиадвигателей, и Хиршауэр серьезно занялся этой проблемой: компаниям-производителям выделяются преференции, разрешается увеличивать заводские площади без дополнительной арендной платы, на заводы возвращают мобилизованных в армию рабочих и инженеров.</w:t>
      </w:r>
    </w:p>
    <w:p w14:paraId="50726DDA" w14:textId="77777777" w:rsidR="00F635F7" w:rsidRPr="00405303" w:rsidRDefault="00F635F7" w:rsidP="00C15251">
      <w:pPr>
        <w:pStyle w:val="ae"/>
        <w:shd w:val="clear" w:color="auto" w:fill="FFFFFF"/>
        <w:spacing w:before="0" w:beforeAutospacing="0" w:after="0" w:afterAutospacing="0"/>
        <w:jc w:val="both"/>
        <w:textAlignment w:val="baseline"/>
        <w:rPr>
          <w:bCs/>
          <w:color w:val="002060"/>
          <w:sz w:val="16"/>
          <w:szCs w:val="16"/>
        </w:rPr>
      </w:pPr>
      <w:r w:rsidRPr="00405303">
        <w:rPr>
          <w:bCs/>
          <w:color w:val="002060"/>
          <w:sz w:val="16"/>
          <w:szCs w:val="16"/>
        </w:rPr>
        <w:t>Главнокомандующий генерал Жоффр под впечатлением работы авиаторов в инициативном порядке создаёт при Генеральном штабе (GQG) воздушную службу под руководством полковника Ж. Баре (J. Barès). Тот предлагает скомплектовать эскадрильи по «специализации»: разведка поля боя, корректировка артогня, дальняя разведка и т.д. (19791).</w:t>
      </w:r>
    </w:p>
    <w:p w14:paraId="50ED33B0" w14:textId="77777777" w:rsidR="00F635F7" w:rsidRPr="00405303" w:rsidRDefault="00F635F7" w:rsidP="00C15251">
      <w:pPr>
        <w:pStyle w:val="ae"/>
        <w:shd w:val="clear" w:color="auto" w:fill="FFFFFF"/>
        <w:spacing w:before="0" w:beforeAutospacing="0" w:after="0" w:afterAutospacing="0"/>
        <w:jc w:val="both"/>
        <w:textAlignment w:val="baseline"/>
        <w:rPr>
          <w:bCs/>
          <w:color w:val="002060"/>
          <w:sz w:val="16"/>
          <w:szCs w:val="16"/>
        </w:rPr>
      </w:pPr>
    </w:p>
    <w:p w14:paraId="36E4CB91" w14:textId="77777777" w:rsidR="004B4E35" w:rsidRPr="00405303" w:rsidRDefault="009E6F82" w:rsidP="00C15251">
      <w:pPr>
        <w:jc w:val="both"/>
        <w:rPr>
          <w:bCs/>
          <w:color w:val="002060"/>
          <w:sz w:val="16"/>
          <w:szCs w:val="16"/>
        </w:rPr>
      </w:pPr>
      <w:r w:rsidRPr="00405303">
        <w:rPr>
          <w:bCs/>
          <w:color w:val="002060"/>
          <w:sz w:val="16"/>
          <w:szCs w:val="16"/>
        </w:rPr>
        <w:t xml:space="preserve">В начале 1915 г. чаша весов склонилась в сторону </w:t>
      </w:r>
      <w:proofErr w:type="gramStart"/>
      <w:r w:rsidRPr="00405303">
        <w:rPr>
          <w:bCs/>
          <w:color w:val="002060"/>
          <w:sz w:val="16"/>
          <w:szCs w:val="16"/>
        </w:rPr>
        <w:t>союзников, после того, как</w:t>
      </w:r>
      <w:proofErr w:type="gramEnd"/>
      <w:r w:rsidRPr="00405303">
        <w:rPr>
          <w:bCs/>
          <w:color w:val="002060"/>
          <w:sz w:val="16"/>
          <w:szCs w:val="16"/>
        </w:rPr>
        <w:t xml:space="preserve"> французы создали скорострельный пулемет, стреляющий поверх пропеллера. Потери Германии в воздухе стали стремительно расти, а несколько французских летчиков уже стали асами (5 побед). Французский пилот Роланд Гарро придумал отсекатель для пуль и установил его вместе с пулеметом Гочкисс на своем Моран-Солнье L. Теперь пилоты союзников могли стрелять через плоскость винта. Гарро стал асом к апрелю 1915 года, но день 16 апреля стал подарком Германии. В этот день самолет Гарро приземлился из-за повреждения за линией фронта, в расположении немцев. </w:t>
      </w:r>
      <w:proofErr w:type="gramStart"/>
      <w:r w:rsidRPr="00405303">
        <w:rPr>
          <w:bCs/>
          <w:color w:val="002060"/>
          <w:sz w:val="16"/>
          <w:szCs w:val="16"/>
        </w:rPr>
        <w:t>Естественно</w:t>
      </w:r>
      <w:proofErr w:type="gramEnd"/>
      <w:r w:rsidRPr="00405303">
        <w:rPr>
          <w:bCs/>
          <w:color w:val="002060"/>
          <w:sz w:val="16"/>
          <w:szCs w:val="16"/>
        </w:rPr>
        <w:t xml:space="preserve"> машина была захвачена и передана Высшему Германскому командованию. В авиачасти новинка была исследована и опробована, но так как немцы использовали пули со стальными сердечниками, в отличии от медных французских, накладки на пропеллер не выдерживали долгой стрельбы и разрушались вместе с винтом. В воздухе витала идея синхронизатора.</w:t>
      </w:r>
    </w:p>
    <w:p w14:paraId="02625159" w14:textId="77777777" w:rsidR="004B4E35" w:rsidRPr="00405303" w:rsidRDefault="004B4E35" w:rsidP="00C15251">
      <w:pPr>
        <w:jc w:val="both"/>
        <w:rPr>
          <w:bCs/>
          <w:color w:val="002060"/>
          <w:sz w:val="16"/>
          <w:szCs w:val="16"/>
        </w:rPr>
      </w:pPr>
    </w:p>
    <w:p w14:paraId="10D76461"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323294B0" w14:textId="77777777" w:rsidR="004B4E35" w:rsidRPr="00405303" w:rsidRDefault="004B4E35" w:rsidP="00C15251">
      <w:pPr>
        <w:shd w:val="clear" w:color="auto" w:fill="FFFFFF"/>
        <w:jc w:val="both"/>
        <w:rPr>
          <w:bCs/>
          <w:i/>
          <w:color w:val="002060"/>
          <w:sz w:val="16"/>
          <w:szCs w:val="16"/>
        </w:rPr>
      </w:pPr>
    </w:p>
    <w:p w14:paraId="597EFE4D" w14:textId="3669C81D" w:rsidR="00CC5AAB" w:rsidRPr="00405303" w:rsidRDefault="00CC5AAB" w:rsidP="00C15251">
      <w:pPr>
        <w:jc w:val="both"/>
        <w:rPr>
          <w:bCs/>
          <w:color w:val="002060"/>
          <w:sz w:val="16"/>
          <w:szCs w:val="16"/>
        </w:rPr>
      </w:pPr>
      <w:r w:rsidRPr="00405303">
        <w:rPr>
          <w:bCs/>
          <w:color w:val="002060"/>
          <w:sz w:val="16"/>
          <w:szCs w:val="16"/>
        </w:rPr>
        <w:t>В начале 1915</w:t>
      </w:r>
      <w:r w:rsidR="00DB4D64" w:rsidRPr="00405303">
        <w:rPr>
          <w:bCs/>
          <w:color w:val="002060"/>
          <w:sz w:val="16"/>
          <w:szCs w:val="16"/>
        </w:rPr>
        <w:t xml:space="preserve"> </w:t>
      </w:r>
      <w:r w:rsidRPr="00405303">
        <w:rPr>
          <w:bCs/>
          <w:color w:val="002060"/>
          <w:sz w:val="16"/>
          <w:szCs w:val="16"/>
        </w:rPr>
        <w:t>г. конструктор фирмы «Сименс» В. Форсман, который обучался в Рижском политехническом институте и был хорошо знаком с российской авиацией, попытался повторить успех Сикорского, построив похожий на «Илью Муромца»</w:t>
      </w:r>
      <w:r w:rsidR="00DB4D64" w:rsidRPr="00405303">
        <w:rPr>
          <w:bCs/>
          <w:color w:val="002060"/>
          <w:sz w:val="16"/>
          <w:szCs w:val="16"/>
        </w:rPr>
        <w:t xml:space="preserve"> </w:t>
      </w:r>
      <w:r w:rsidRPr="00405303">
        <w:rPr>
          <w:bCs/>
          <w:color w:val="002060"/>
          <w:sz w:val="16"/>
          <w:szCs w:val="16"/>
        </w:rPr>
        <w:t>самолёт «Форсман-R». Но машина оказалась неудачной и после нескольких полётов потерпела аварию. Выпущенный в 1915</w:t>
      </w:r>
      <w:r w:rsidR="00DB4D64" w:rsidRPr="00405303">
        <w:rPr>
          <w:bCs/>
          <w:color w:val="002060"/>
          <w:sz w:val="16"/>
          <w:szCs w:val="16"/>
        </w:rPr>
        <w:t xml:space="preserve"> </w:t>
      </w:r>
      <w:r w:rsidRPr="00405303">
        <w:rPr>
          <w:bCs/>
          <w:color w:val="002060"/>
          <w:sz w:val="16"/>
          <w:szCs w:val="16"/>
        </w:rPr>
        <w:t>г. небольшой серией трёхмоторный немецкий бомбардировщик «Штеффен R.1» с двигателями в фюзеляже показал себя непригодным для работы на фронте из-за частых поломок в трансмиссии от силовой установки к винтам. Боеспособные многомоторные самолёты появились на Западе только в 1916</w:t>
      </w:r>
      <w:r w:rsidR="00DB4D64" w:rsidRPr="00405303">
        <w:rPr>
          <w:bCs/>
          <w:color w:val="002060"/>
          <w:sz w:val="16"/>
          <w:szCs w:val="16"/>
        </w:rPr>
        <w:t xml:space="preserve"> </w:t>
      </w:r>
      <w:r w:rsidRPr="00405303">
        <w:rPr>
          <w:bCs/>
          <w:color w:val="002060"/>
          <w:sz w:val="16"/>
          <w:szCs w:val="16"/>
        </w:rPr>
        <w:t>г. (17489).</w:t>
      </w:r>
    </w:p>
    <w:p w14:paraId="77EEAC0E" w14:textId="77777777" w:rsidR="00CC5AAB" w:rsidRPr="00405303" w:rsidRDefault="00CC5AAB" w:rsidP="00C15251">
      <w:pPr>
        <w:jc w:val="both"/>
        <w:rPr>
          <w:bCs/>
          <w:color w:val="002060"/>
          <w:sz w:val="16"/>
          <w:szCs w:val="16"/>
        </w:rPr>
      </w:pPr>
    </w:p>
    <w:p w14:paraId="665706D9" w14:textId="2E6A547C" w:rsidR="004B4E35" w:rsidRPr="00405303" w:rsidRDefault="009E6F82" w:rsidP="00C15251">
      <w:pPr>
        <w:jc w:val="both"/>
        <w:rPr>
          <w:bCs/>
          <w:color w:val="002060"/>
          <w:sz w:val="16"/>
          <w:szCs w:val="16"/>
        </w:rPr>
      </w:pPr>
      <w:r w:rsidRPr="00405303">
        <w:rPr>
          <w:bCs/>
          <w:color w:val="002060"/>
          <w:sz w:val="16"/>
          <w:szCs w:val="16"/>
        </w:rPr>
        <w:t xml:space="preserve">К началу 1915 года Австрии было передано 70 самолетов и в дальнейшем должно было передаваться по 10 самолетов в месяц. Таким образом, и в воздухе главная тяжесть войны лежала на нас. Там, где германским летчикам приходилось работать вместе с австрийскими, между ними поддерживались хорошие товарищеские отношения. Те и другие соперничали между собою лишь в успешности полетов. Для прорыва на участке Горлица — Тарное в мае 1915 года каждому германскому корпусу был придан один авиаотряд. Штабу 11-й армии непосредственно была подчинена боевая эскадра, переброшенная в Краков из Восточной Пруссии; она применялась главным образом для разведки и часть ее была выделена в распоряжение 6-го австрийского корпуса. Удалось сделать непрерывную аэрофотосъемку неприятельских позиций, не привлекая внимания русских к пункту прорыва. Донесения летчиков были положены в основу распоряжений об атаке. Удавшийся прорыв повлек за собою передвижение всего восточного фронта. О работе авиации во время последовавших военных действий начальник штаба одного из участвовавших в них корпусов сказал следующее: </w:t>
      </w:r>
      <w:r w:rsidRPr="00405303">
        <w:rPr>
          <w:rFonts w:eastAsia="Times-Roman"/>
          <w:bCs/>
          <w:color w:val="002060"/>
          <w:sz w:val="16"/>
          <w:szCs w:val="16"/>
        </w:rPr>
        <w:t>«àðìèÿ</w:t>
      </w:r>
      <w:r w:rsidRPr="00405303">
        <w:rPr>
          <w:bCs/>
          <w:color w:val="002060"/>
          <w:sz w:val="16"/>
          <w:szCs w:val="16"/>
        </w:rPr>
        <w:t xml:space="preserve"> оказывалась совершенно бессильной, как только наталкивалась на сопротивление. В течение этого времени нам помогали почти исключительно летчики, снабжая нас точными разведывательными сведениями, на основании которых мы принимали все решения. Большинство этих отважных людей погибло</w:t>
      </w:r>
      <w:r w:rsidRPr="00405303">
        <w:rPr>
          <w:rFonts w:eastAsia="Times-Roman"/>
          <w:bCs/>
          <w:color w:val="002060"/>
          <w:sz w:val="16"/>
          <w:szCs w:val="16"/>
        </w:rPr>
        <w:t>ｻ</w:t>
      </w:r>
      <w:r w:rsidRPr="00405303">
        <w:rPr>
          <w:rFonts w:eastAsia="Times-Roman"/>
          <w:bCs/>
          <w:color w:val="002060"/>
          <w:sz w:val="16"/>
          <w:szCs w:val="16"/>
        </w:rPr>
        <w:t xml:space="preserve"> (11282)</w:t>
      </w:r>
      <w:r w:rsidRPr="00405303">
        <w:rPr>
          <w:bCs/>
          <w:color w:val="002060"/>
          <w:sz w:val="16"/>
          <w:szCs w:val="16"/>
        </w:rPr>
        <w:t>.</w:t>
      </w:r>
    </w:p>
    <w:p w14:paraId="33AEADA4" w14:textId="77777777" w:rsidR="004B4E35" w:rsidRPr="00405303" w:rsidRDefault="004B4E35" w:rsidP="00C15251">
      <w:pPr>
        <w:jc w:val="both"/>
        <w:rPr>
          <w:bCs/>
          <w:color w:val="002060"/>
          <w:sz w:val="16"/>
          <w:szCs w:val="16"/>
        </w:rPr>
      </w:pPr>
    </w:p>
    <w:p w14:paraId="4F483B41" w14:textId="77777777" w:rsidR="004B4E35" w:rsidRPr="00405303" w:rsidRDefault="009E6F82" w:rsidP="00C15251">
      <w:pPr>
        <w:jc w:val="both"/>
        <w:rPr>
          <w:bCs/>
          <w:color w:val="002060"/>
          <w:sz w:val="16"/>
          <w:szCs w:val="16"/>
        </w:rPr>
      </w:pPr>
      <w:r w:rsidRPr="00405303">
        <w:rPr>
          <w:bCs/>
          <w:color w:val="002060"/>
          <w:sz w:val="16"/>
          <w:szCs w:val="16"/>
        </w:rPr>
        <w:t xml:space="preserve">В начале 1915 года заводом Цеппелина был выпущен новый, значительно усовершенствованный дирижабль </w:t>
      </w:r>
      <w:r w:rsidRPr="00405303">
        <w:rPr>
          <w:rFonts w:eastAsia="Times-Roman"/>
          <w:bCs/>
          <w:color w:val="002060"/>
          <w:sz w:val="16"/>
          <w:szCs w:val="16"/>
        </w:rPr>
        <w:t>ｫ</w:t>
      </w:r>
      <w:r w:rsidRPr="00405303">
        <w:rPr>
          <w:rFonts w:eastAsia="Times-Roman"/>
          <w:bCs/>
          <w:color w:val="002060"/>
          <w:sz w:val="16"/>
          <w:szCs w:val="16"/>
        </w:rPr>
        <w:t>L</w:t>
      </w:r>
      <w:r w:rsidRPr="00405303">
        <w:rPr>
          <w:bCs/>
          <w:color w:val="002060"/>
          <w:sz w:val="16"/>
          <w:szCs w:val="16"/>
        </w:rPr>
        <w:t>Z-12</w:t>
      </w:r>
      <w:r w:rsidRPr="00405303">
        <w:rPr>
          <w:rFonts w:eastAsia="Times-Roman"/>
          <w:bCs/>
          <w:color w:val="002060"/>
          <w:sz w:val="16"/>
          <w:szCs w:val="16"/>
        </w:rPr>
        <w:t>ｻ</w:t>
      </w:r>
      <w:r w:rsidRPr="00405303">
        <w:rPr>
          <w:bCs/>
          <w:color w:val="002060"/>
          <w:sz w:val="16"/>
          <w:szCs w:val="16"/>
        </w:rPr>
        <w:t xml:space="preserve"> (25 000 м3), у которого соединяющий гондолы коридор проходил не по килю под корпусом дирижабля, как это делалось прежде, а внутри каркаса. Корпус дирижабля имел обтекаемую форму (11282).</w:t>
      </w:r>
    </w:p>
    <w:p w14:paraId="2115FBD1" w14:textId="77777777" w:rsidR="004B4E35" w:rsidRPr="00405303" w:rsidRDefault="004B4E35" w:rsidP="00C15251">
      <w:pPr>
        <w:jc w:val="both"/>
        <w:rPr>
          <w:bCs/>
          <w:color w:val="002060"/>
          <w:sz w:val="16"/>
          <w:szCs w:val="16"/>
        </w:rPr>
      </w:pPr>
    </w:p>
    <w:p w14:paraId="636A342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начале 1915 года граф Цеппелин заявил, что если авиация будет развиваться такими темпами, то его дирижабли очень скоро станут не</w:t>
      </w:r>
      <w:r w:rsidRPr="00405303">
        <w:rPr>
          <w:bCs/>
          <w:color w:val="002060"/>
          <w:sz w:val="16"/>
          <w:szCs w:val="16"/>
        </w:rPr>
        <w:softHyphen/>
        <w:t>нужными (11060).</w:t>
      </w:r>
    </w:p>
    <w:p w14:paraId="7C608579" w14:textId="77777777" w:rsidR="004B4E35" w:rsidRPr="00405303" w:rsidRDefault="004B4E35" w:rsidP="00C15251">
      <w:pPr>
        <w:shd w:val="clear" w:color="auto" w:fill="FFFFFF"/>
        <w:jc w:val="both"/>
        <w:rPr>
          <w:bCs/>
          <w:color w:val="002060"/>
          <w:sz w:val="16"/>
          <w:szCs w:val="16"/>
        </w:rPr>
      </w:pPr>
    </w:p>
    <w:p w14:paraId="1DED7F13" w14:textId="2BE25CA7" w:rsidR="004B4E35" w:rsidRPr="00405303" w:rsidRDefault="001A0C4D" w:rsidP="00C15251">
      <w:pPr>
        <w:pStyle w:val="Blockquote"/>
        <w:spacing w:before="0" w:after="0"/>
        <w:ind w:left="0" w:right="0"/>
        <w:jc w:val="both"/>
        <w:rPr>
          <w:bCs/>
          <w:color w:val="002060"/>
          <w:sz w:val="16"/>
          <w:szCs w:val="16"/>
        </w:rPr>
      </w:pPr>
      <w:r w:rsidRPr="00405303">
        <w:rPr>
          <w:bCs/>
          <w:color w:val="002060"/>
          <w:sz w:val="16"/>
          <w:szCs w:val="16"/>
        </w:rPr>
        <w:t>В</w:t>
      </w:r>
      <w:r w:rsidR="009E6F82" w:rsidRPr="00405303">
        <w:rPr>
          <w:bCs/>
          <w:color w:val="002060"/>
          <w:sz w:val="16"/>
          <w:szCs w:val="16"/>
        </w:rPr>
        <w:t xml:space="preserve"> конце 1914 и начале 1915 годов</w:t>
      </w:r>
      <w:r w:rsidRPr="00405303">
        <w:rPr>
          <w:bCs/>
          <w:color w:val="002060"/>
          <w:sz w:val="16"/>
          <w:szCs w:val="16"/>
        </w:rPr>
        <w:t xml:space="preserve"> большую часть цеппелинов</w:t>
      </w:r>
      <w:r w:rsidR="009E6F82" w:rsidRPr="00405303">
        <w:rPr>
          <w:bCs/>
          <w:color w:val="002060"/>
          <w:sz w:val="16"/>
          <w:szCs w:val="16"/>
        </w:rPr>
        <w:t>, составляли корабли серии «т» объемом 22 470 куб. м. Они примерно соответствовали объему морского дирижабля L-3 (LZ-24), построенного в мае 1914 года, но вместе с тем в их конструкцию было введено много усовершенствований. У них остался еще укороченный внешний киль, но дирижабли получили современное одинарное хвостовое оперение на тонкой кормовой части. Под оболочкой находились 2 одинаковые длинные гондолы, расположенные друг за другом. Передняя, командирская, была застеклена. В ее задней части был установлен мотор «Майбак» МС-Х мощностью 210 л. с., с толкающим воздушным винтом. Во второй гондоле находились два МС-Х, их мощность разделялась между толкающим винтом в хвостовой части гондолы и двумя винтами, установленными на рамах на боковых сторонах корпуса корабля. Длина цеппелинов серии «т» составляла 158 м, грузоподъемность 7450 кг. Дирижабли развивали скорость 80,6 км/ч и могли действовать на высоте 2000 м. В конце 1914 года был выпущен новый значительно усовершенствованный тип дирижабля переходной серии «m/n» Z-XII (LZ-26) объемом 25 000 куб. м, у которого коридор, [103] соединяющий гондолы, проходил не по килю под корпусом дирижабля, как это делалось прежде, а был устроен внутри каркаса. Дирижабль имел более совершенную аэродинамику. [104]</w:t>
      </w:r>
    </w:p>
    <w:p w14:paraId="3B30C927" w14:textId="77777777" w:rsidR="004B4E35" w:rsidRPr="00405303" w:rsidRDefault="009E6F82" w:rsidP="00C15251">
      <w:pPr>
        <w:jc w:val="both"/>
        <w:rPr>
          <w:bCs/>
          <w:color w:val="002060"/>
          <w:sz w:val="16"/>
          <w:szCs w:val="16"/>
        </w:rPr>
      </w:pPr>
      <w:r w:rsidRPr="00405303">
        <w:rPr>
          <w:bCs/>
          <w:color w:val="002060"/>
          <w:sz w:val="16"/>
          <w:szCs w:val="16"/>
        </w:rPr>
        <w:t xml:space="preserve">Армия получила четыре дирижабля: Z-IX, Z-X, Z-XI и Z-XII. Военные опасались вводить в свой состав «несчастливый» тринадцатый номер. Поэтому некоторое время использовались заводские обозначения. Большинство кораблей серии «m» были переданы флоту. </w:t>
      </w:r>
    </w:p>
    <w:p w14:paraId="59A1C16C" w14:textId="77777777" w:rsidR="004B4E35" w:rsidRPr="00405303" w:rsidRDefault="009E6F82" w:rsidP="00C15251">
      <w:pPr>
        <w:jc w:val="both"/>
        <w:rPr>
          <w:bCs/>
          <w:color w:val="002060"/>
          <w:sz w:val="16"/>
          <w:szCs w:val="16"/>
        </w:rPr>
      </w:pPr>
      <w:r w:rsidRPr="00405303">
        <w:rPr>
          <w:bCs/>
          <w:color w:val="002060"/>
          <w:sz w:val="16"/>
          <w:szCs w:val="16"/>
        </w:rPr>
        <w:t xml:space="preserve">Энергией и стараниями Штрассера к новому 1915 году Дивизион воздушных кораблей пополнился сразу пятью боевыми единицами: L-4, L-5, L-6, L-7 и L-8. Однако на 6 дирижаблей приходилось 25 подготовленных экипажей, что никак не устраивало Штрассера. В его распоряжении уже находилось почти 4000 человек, рассредоточенных на воздухоплавательных базах и готовых по первому приказу вылететь на бомбардировку Англии. Правда, лететь пока им было не на чем, и поэтому Петер Штрассер фактически в одиночку провел переговоры с заводами Цеппелина и договорился о постройке к середине 1915 года двадцати восьми дирижаблей увеличенного объема, пригодных для налетов на Британские острова. </w:t>
      </w:r>
    </w:p>
    <w:p w14:paraId="2D86276C" w14:textId="77777777" w:rsidR="004B4E35" w:rsidRPr="00405303" w:rsidRDefault="009E6F82" w:rsidP="00C15251">
      <w:pPr>
        <w:jc w:val="both"/>
        <w:rPr>
          <w:bCs/>
          <w:color w:val="002060"/>
          <w:sz w:val="16"/>
          <w:szCs w:val="16"/>
        </w:rPr>
      </w:pPr>
      <w:r w:rsidRPr="00405303">
        <w:rPr>
          <w:bCs/>
          <w:color w:val="002060"/>
          <w:sz w:val="16"/>
          <w:szCs w:val="16"/>
        </w:rPr>
        <w:t>Моряки использовали дирижабли в основном для патрулирования Северного и Балтийского морей и для установки минных заграждений. Морская разведка была столь интенсивна и успешна, что британцы с горечью отмечали: для этого дела один дирижабль стоит пяти-шести крейсеров (11324).</w:t>
      </w:r>
    </w:p>
    <w:p w14:paraId="0EA33640" w14:textId="77777777" w:rsidR="004B4E35" w:rsidRPr="00405303" w:rsidRDefault="004B4E35" w:rsidP="00C15251">
      <w:pPr>
        <w:jc w:val="both"/>
        <w:rPr>
          <w:bCs/>
          <w:i/>
          <w:color w:val="002060"/>
          <w:sz w:val="16"/>
          <w:szCs w:val="16"/>
        </w:rPr>
      </w:pPr>
    </w:p>
    <w:p w14:paraId="4D715FEB" w14:textId="77777777" w:rsidR="00FE470A" w:rsidRPr="00405303" w:rsidRDefault="00FE470A" w:rsidP="00C15251">
      <w:pPr>
        <w:jc w:val="both"/>
        <w:rPr>
          <w:bCs/>
          <w:color w:val="002060"/>
          <w:sz w:val="16"/>
          <w:szCs w:val="16"/>
        </w:rPr>
      </w:pPr>
      <w:r w:rsidRPr="00405303">
        <w:rPr>
          <w:bCs/>
          <w:color w:val="002060"/>
          <w:sz w:val="16"/>
          <w:szCs w:val="16"/>
        </w:rPr>
        <w:t>В начале 1915 года был облетан опытный AEG G I.</w:t>
      </w:r>
    </w:p>
    <w:p w14:paraId="11799EC7" w14:textId="77777777" w:rsidR="00FE470A" w:rsidRPr="00405303" w:rsidRDefault="00FE470A" w:rsidP="00C15251">
      <w:pPr>
        <w:jc w:val="both"/>
        <w:rPr>
          <w:bCs/>
          <w:color w:val="002060"/>
          <w:sz w:val="16"/>
          <w:szCs w:val="16"/>
        </w:rPr>
      </w:pPr>
      <w:r w:rsidRPr="00405303">
        <w:rPr>
          <w:bCs/>
          <w:color w:val="002060"/>
          <w:sz w:val="16"/>
          <w:szCs w:val="16"/>
        </w:rPr>
        <w:t>Частная общемашиностроительная фирма «Альгемайне Электрицитаас-Гессельшафт» спроектировала самолет с большой бомбовой нагрузкой для ударов по укреплениям на линии фронта, названный K I, но задание изменили, требуемую нагрузку уменьшили, а радиус действия увеличили. Не имея времени для коренных переделок, инженеры AEG увеличили баки и в таком виде представили машину на испытания. Она получила индекс G I (Grossflugzeug – большой самолет). Силовую установку составляли 2 мотора «Мерседес» D I по 104 л.с., оказавшихся, как показали испытания, слабоватыми.</w:t>
      </w:r>
    </w:p>
    <w:p w14:paraId="01CCFB0F" w14:textId="77777777" w:rsidR="00FE470A" w:rsidRPr="00405303" w:rsidRDefault="00FE470A" w:rsidP="00C15251">
      <w:pPr>
        <w:jc w:val="both"/>
        <w:rPr>
          <w:bCs/>
          <w:color w:val="002060"/>
          <w:sz w:val="16"/>
          <w:szCs w:val="16"/>
        </w:rPr>
      </w:pPr>
      <w:r w:rsidRPr="00405303">
        <w:rPr>
          <w:bCs/>
          <w:color w:val="002060"/>
          <w:sz w:val="16"/>
          <w:szCs w:val="16"/>
        </w:rPr>
        <w:lastRenderedPageBreak/>
        <w:t>Военные сочли, что машина пока не пригодна к реальной войне, заказав лишь 10 штук. Более совершенные AEG G II появились летом 1915 года, их сделали уже 24 (21794).</w:t>
      </w:r>
    </w:p>
    <w:p w14:paraId="2FC81BDB" w14:textId="77777777" w:rsidR="00FE470A" w:rsidRPr="00405303" w:rsidRDefault="00FE470A" w:rsidP="00C15251">
      <w:pPr>
        <w:jc w:val="both"/>
        <w:rPr>
          <w:bCs/>
          <w:color w:val="002060"/>
          <w:sz w:val="16"/>
          <w:szCs w:val="16"/>
        </w:rPr>
      </w:pPr>
    </w:p>
    <w:p w14:paraId="2AE17D40" w14:textId="77777777" w:rsidR="00FE470A" w:rsidRPr="00405303" w:rsidRDefault="00FE470A" w:rsidP="00C15251">
      <w:pPr>
        <w:jc w:val="both"/>
        <w:rPr>
          <w:bCs/>
          <w:color w:val="002060"/>
          <w:sz w:val="16"/>
          <w:szCs w:val="16"/>
        </w:rPr>
      </w:pPr>
      <w:r w:rsidRPr="00405303">
        <w:rPr>
          <w:bCs/>
          <w:color w:val="002060"/>
          <w:sz w:val="16"/>
          <w:szCs w:val="16"/>
        </w:rPr>
        <w:t>В начале 1915 г. в Германии появились самолеты «большие» (Großflugzeug), а весной и «гигантские», названные Reissenflugzeug.</w:t>
      </w:r>
    </w:p>
    <w:p w14:paraId="278EBED1" w14:textId="77777777" w:rsidR="00FE470A" w:rsidRPr="00405303" w:rsidRDefault="00FE470A" w:rsidP="00C15251">
      <w:pPr>
        <w:jc w:val="both"/>
        <w:rPr>
          <w:bCs/>
          <w:color w:val="002060"/>
          <w:sz w:val="16"/>
          <w:szCs w:val="16"/>
        </w:rPr>
      </w:pPr>
      <w:r w:rsidRPr="00405303">
        <w:rPr>
          <w:bCs/>
          <w:color w:val="002060"/>
          <w:sz w:val="16"/>
          <w:szCs w:val="16"/>
        </w:rPr>
        <w:t>«Большие» бомбардировщики именовались уже не общей для самолетов этого назначения любой размерности литерой K, как было до 1914 г., а буквой G, а «гигантские» – R. Эти обозначения присваивал не разработчик, а Инспекция воздушных войск Германии (Idflieg, Inspektion der Fliegertruppen), которая определяла потребность во всех видах авиатехники, заказывала всё необходимое, контролировала ход производства, проводила официальные типовые и приемочные испытания новых и серийных образцов, а затем распределяла полученное по летным отрядам Воздушных войск Германской Империи – Die Fliegertruppen des Deutschen Kaiserreiches, или просто Флигертруппен.</w:t>
      </w:r>
    </w:p>
    <w:p w14:paraId="2A3B251B" w14:textId="66B4F7DA" w:rsidR="00FE470A" w:rsidRPr="00405303" w:rsidRDefault="00FE470A" w:rsidP="00C15251">
      <w:pPr>
        <w:jc w:val="both"/>
        <w:rPr>
          <w:bCs/>
          <w:color w:val="002060"/>
          <w:sz w:val="16"/>
          <w:szCs w:val="16"/>
        </w:rPr>
      </w:pPr>
      <w:r w:rsidRPr="00405303">
        <w:rPr>
          <w:bCs/>
          <w:color w:val="002060"/>
          <w:sz w:val="16"/>
          <w:szCs w:val="16"/>
        </w:rPr>
        <w:t>Однако как немцы и не любят порядок, без исключений не обошлись и здесь – в строевой эксплуатации для некоторых самолетов, даже получивших обозначения официальные, использовались и различные индексы разработчиков. А эта система у каждого предприятия была своя</w:t>
      </w:r>
      <w:r w:rsidR="000F5756">
        <w:rPr>
          <w:bCs/>
          <w:color w:val="002060"/>
          <w:sz w:val="16"/>
          <w:szCs w:val="16"/>
        </w:rPr>
        <w:t xml:space="preserve"> </w:t>
      </w:r>
      <w:r w:rsidRPr="00405303">
        <w:rPr>
          <w:bCs/>
          <w:color w:val="002060"/>
          <w:sz w:val="16"/>
          <w:szCs w:val="16"/>
        </w:rPr>
        <w:t>(23075).</w:t>
      </w:r>
    </w:p>
    <w:p w14:paraId="3A0B33BB" w14:textId="77777777" w:rsidR="00FE470A" w:rsidRPr="00405303" w:rsidRDefault="00FE470A" w:rsidP="00C15251">
      <w:pPr>
        <w:jc w:val="both"/>
        <w:rPr>
          <w:bCs/>
          <w:color w:val="002060"/>
          <w:sz w:val="16"/>
          <w:szCs w:val="16"/>
        </w:rPr>
      </w:pPr>
    </w:p>
    <w:p w14:paraId="5ACC6C3E" w14:textId="77777777" w:rsidR="00FE470A" w:rsidRPr="00405303" w:rsidRDefault="00FE470A" w:rsidP="00C15251">
      <w:pPr>
        <w:jc w:val="both"/>
        <w:rPr>
          <w:bCs/>
          <w:color w:val="002060"/>
          <w:sz w:val="16"/>
          <w:szCs w:val="16"/>
        </w:rPr>
      </w:pPr>
      <w:r w:rsidRPr="00405303">
        <w:rPr>
          <w:bCs/>
          <w:color w:val="002060"/>
          <w:sz w:val="16"/>
          <w:szCs w:val="16"/>
        </w:rPr>
        <w:t>В начале 1915 года был облетан опытный образец AEG G I. Частная фирма электротоваров «Альгемайне Электрицитаас-Гессельшафт» (AEG) поспешила воспользоваться выгодами, которые сулила война, и расширить свой бизнес. Она спроектировала самолет AEG K I как тяжелый ближний бомбардировщик, но задание изменили, требуемую нагрузку уменьшили, а радиус действия увеличили. Не имея времени для коренных переделок, разработчики просто увеличили баки и в таком виде представили машину на испытания под новым обозначением AEG G I. Силовую установку составляли два рядных шестицилиндровых мотора водяного охлаждения Мерседес D I, оказавшихся, как показали испытания, слабоватыми, хотя из текущей партии выбрали два лучших, давших на станке по 104 л.с.</w:t>
      </w:r>
    </w:p>
    <w:p w14:paraId="6F616228" w14:textId="77777777" w:rsidR="00FE470A" w:rsidRPr="00405303" w:rsidRDefault="00FE470A" w:rsidP="00C15251">
      <w:pPr>
        <w:jc w:val="both"/>
        <w:rPr>
          <w:bCs/>
          <w:color w:val="002060"/>
          <w:sz w:val="16"/>
          <w:szCs w:val="16"/>
        </w:rPr>
      </w:pPr>
      <w:r w:rsidRPr="00405303">
        <w:rPr>
          <w:bCs/>
          <w:color w:val="002060"/>
          <w:sz w:val="16"/>
          <w:szCs w:val="16"/>
        </w:rPr>
        <w:t>Хотя военные сочли, что машина пока не пригодна к реальной войне, но уже успев познакомиться с «Муромцами», заказали десять штук. Более совершенные AEG G II появились летом 1915 г. и их сделали уже двадцать четыре (23075).</w:t>
      </w:r>
    </w:p>
    <w:p w14:paraId="05FF9E5B" w14:textId="77777777" w:rsidR="00FE470A" w:rsidRPr="00405303" w:rsidRDefault="00FE470A" w:rsidP="00C15251">
      <w:pPr>
        <w:jc w:val="both"/>
        <w:rPr>
          <w:bCs/>
          <w:color w:val="002060"/>
          <w:sz w:val="16"/>
          <w:szCs w:val="16"/>
        </w:rPr>
      </w:pPr>
    </w:p>
    <w:p w14:paraId="3030B2E2"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574B5294" w14:textId="77777777" w:rsidR="004B4E35" w:rsidRPr="00405303" w:rsidRDefault="004B4E35" w:rsidP="00C15251">
      <w:pPr>
        <w:jc w:val="both"/>
        <w:rPr>
          <w:bCs/>
          <w:i/>
          <w:color w:val="002060"/>
          <w:sz w:val="16"/>
          <w:szCs w:val="16"/>
        </w:rPr>
      </w:pPr>
    </w:p>
    <w:p w14:paraId="391AC4CF" w14:textId="64C56843" w:rsidR="004B4E35" w:rsidRPr="00405303" w:rsidRDefault="003F4093"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К</w:t>
      </w:r>
      <w:r w:rsidR="009E6F82" w:rsidRPr="00405303">
        <w:rPr>
          <w:bCs/>
          <w:i w:val="0"/>
          <w:color w:val="002060"/>
          <w:spacing w:val="0"/>
          <w:kern w:val="0"/>
          <w:position w:val="0"/>
          <w:sz w:val="16"/>
          <w:szCs w:val="16"/>
        </w:rPr>
        <w:t xml:space="preserve"> февралю 1915 г. </w:t>
      </w:r>
      <w:r w:rsidRPr="00405303">
        <w:rPr>
          <w:bCs/>
          <w:i w:val="0"/>
          <w:color w:val="002060"/>
          <w:spacing w:val="0"/>
          <w:kern w:val="0"/>
          <w:position w:val="0"/>
          <w:sz w:val="16"/>
          <w:szCs w:val="16"/>
        </w:rPr>
        <w:t>оформилась новая схема организации ГАУ</w:t>
      </w:r>
      <w:r w:rsidR="009E6F82" w:rsidRPr="00405303">
        <w:rPr>
          <w:bCs/>
          <w:i w:val="0"/>
          <w:color w:val="002060"/>
          <w:spacing w:val="0"/>
          <w:kern w:val="0"/>
          <w:position w:val="0"/>
          <w:sz w:val="16"/>
          <w:szCs w:val="16"/>
        </w:rPr>
        <w:t xml:space="preserve">. </w:t>
      </w:r>
    </w:p>
    <w:p w14:paraId="52FD14C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 новому Положению общие обязанности ГАУ почти не отличались от регламентированных прежним Положением. Новым Положением, как и прежним, не предусматривалось никаких особых обязанностей ГАУ во время войны. </w:t>
      </w:r>
      <w:proofErr w:type="gramStart"/>
      <w:r w:rsidRPr="00405303">
        <w:rPr>
          <w:bCs/>
          <w:i w:val="0"/>
          <w:color w:val="002060"/>
          <w:spacing w:val="0"/>
          <w:kern w:val="0"/>
          <w:position w:val="0"/>
          <w:sz w:val="16"/>
          <w:szCs w:val="16"/>
        </w:rPr>
        <w:t>Сущест-венное</w:t>
      </w:r>
      <w:proofErr w:type="gramEnd"/>
      <w:r w:rsidRPr="00405303">
        <w:rPr>
          <w:bCs/>
          <w:i w:val="0"/>
          <w:color w:val="002060"/>
          <w:spacing w:val="0"/>
          <w:kern w:val="0"/>
          <w:position w:val="0"/>
          <w:sz w:val="16"/>
          <w:szCs w:val="16"/>
        </w:rPr>
        <w:t xml:space="preserve"> различие заключалось в добавлении в состав ГАУ III отдела технических артиллерийских заведений и </w:t>
      </w:r>
      <w:proofErr w:type="gramStart"/>
      <w:r w:rsidRPr="00405303">
        <w:rPr>
          <w:bCs/>
          <w:i w:val="0"/>
          <w:color w:val="002060"/>
          <w:spacing w:val="0"/>
          <w:kern w:val="0"/>
          <w:position w:val="0"/>
          <w:sz w:val="16"/>
          <w:szCs w:val="16"/>
        </w:rPr>
        <w:t>распоряди-тельного</w:t>
      </w:r>
      <w:proofErr w:type="gramEnd"/>
      <w:r w:rsidRPr="00405303">
        <w:rPr>
          <w:bCs/>
          <w:i w:val="0"/>
          <w:color w:val="002060"/>
          <w:spacing w:val="0"/>
          <w:kern w:val="0"/>
          <w:position w:val="0"/>
          <w:sz w:val="16"/>
          <w:szCs w:val="16"/>
        </w:rPr>
        <w:t xml:space="preserve"> делопроизводства по заготовлениям и снабжению, в организации на новых началах технической части (взамен бывшего Артиллерийского комитета) и в некотором изменении предметов занятий различных отделений делопроизводства и частей ГАУ. </w:t>
      </w:r>
    </w:p>
    <w:p w14:paraId="5212555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III отделе ГАУ было сосредоточено управление техническими артиллерийскими заведениями в хозяйственном и техническом отношении, обеспечение их всем необходимым, дача им нарядов и вся исполнительная часть по нарядам; этот отдел не ведал снабжением войск и не занимался рассылкой по назначению предметов, изготовленных техническими артиллерийскими заведениями. </w:t>
      </w:r>
    </w:p>
    <w:p w14:paraId="2460653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Во II хозяйственном отделе ГАУ сосредоточивались вся распорядительная часть и все исполнительные функции по заготовлениям на частных заводах и на казенных заводах не артиллерийского ведомства, а также по снабжению армии всеми предметами артиллерийского довольствия и рассылка по назначению тех же предметов - как изготовленных указанными заводами, так и техническими артиллерийскими заведениями (находящимися в ведении III. отдела). </w:t>
      </w:r>
    </w:p>
    <w:p w14:paraId="21179F7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На делопроизводстве по заготовлениям и снабжению лежали весьма ответственные и многосложные обязанности: определение потребности в артиллерийских предметах для снабжения армии; все вопросы, связанные с новым вооружением или усовершенствованием существующего; составление ведомостей и табелей вновь вводимому артиллерийскому иму-ществу; исчисление расходов, вызываемых новыми формированиями; указание соответственным хозяйственным отделениям и отделу технических артиллерийских заведений о подлежащих выполнению заготовлениях; планы годовых снабжений; обеспечение всех заготовлений кредитами; установление сроков возможного выполнения заказов; указание отделениям хозяйственного отдела о порядке рассылки готовых предметов (установление единства снабжения). Наконец, распорядительное делопроизводство являлось для начальника ГАУ, так сказать, контролирующим органом, наблюдающим за своевременным выполнением заказов и за ходом снабжения; с этой целью на делопроизводстве лежал сбор сведений о ходе заготовительных операций и о ходе снабжения (повседневная статистика). </w:t>
      </w:r>
    </w:p>
    <w:p w14:paraId="224D395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На практике распорядительное делопроизводство не могло выполнять в полной мере всех обязанностей, возложенных на него по Положению, утвержденному 7 (20) сентября 1914 г., но оно принесло несомненно большую пользу, как стати-стико-распорядительный объединяющий орган, значительно облегчивший труд начальника ГАУ по наблюдению за подведомственным ему заготовлением и боевым снабжением. </w:t>
      </w:r>
    </w:p>
    <w:p w14:paraId="079DF01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Техническая часть ГАУ </w:t>
      </w:r>
      <w:proofErr w:type="gramStart"/>
      <w:r w:rsidRPr="00405303">
        <w:rPr>
          <w:bCs/>
          <w:i w:val="0"/>
          <w:color w:val="002060"/>
          <w:spacing w:val="0"/>
          <w:kern w:val="0"/>
          <w:position w:val="0"/>
          <w:sz w:val="16"/>
          <w:szCs w:val="16"/>
        </w:rPr>
        <w:t>по новому</w:t>
      </w:r>
      <w:proofErr w:type="gramEnd"/>
      <w:r w:rsidRPr="00405303">
        <w:rPr>
          <w:bCs/>
          <w:i w:val="0"/>
          <w:color w:val="002060"/>
          <w:spacing w:val="0"/>
          <w:kern w:val="0"/>
          <w:position w:val="0"/>
          <w:sz w:val="16"/>
          <w:szCs w:val="16"/>
        </w:rPr>
        <w:t xml:space="preserve"> о ней Положению состояла из канцелярии и артиллерийского комитета с главным артиллерийским полигоном, лабораториями и чертежной. </w:t>
      </w:r>
    </w:p>
    <w:p w14:paraId="511147C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На техническую часть возлагались, как и по прежнему Положению: </w:t>
      </w:r>
    </w:p>
    <w:p w14:paraId="1EFB5C7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 Разработка и обслуживание вопросов и предположений, касающихся теории, техники и практики артиллерии, а также и предметов вооружения армии, и руководство исследованиями и опытами по всем вопросам. </w:t>
      </w:r>
    </w:p>
    <w:p w14:paraId="2C16D31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 Рассмотрение новых изобретений и разных предположений, до усовершенствования техники артиллерийского дела касающихся. </w:t>
      </w:r>
    </w:p>
    <w:p w14:paraId="02ABEF7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3. Разработка и обсуждение различных специально артиллерийских уставов, руководств и постановлений, а также инструкций и программ. </w:t>
      </w:r>
    </w:p>
    <w:p w14:paraId="190F971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4. Разработка и обсуждение вопросов, касающихся артиллерийского образования. </w:t>
      </w:r>
    </w:p>
    <w:p w14:paraId="0623C01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5. Распространение научных сведений между офицерами, артиллерии". </w:t>
      </w:r>
    </w:p>
    <w:p w14:paraId="248D43C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Артком, как видно из схемы 1 (см. приложение 1), разделялся на 5 отделов с комиссией по применению взрывчатых веществ при II отделе и с частью по изданию уставов, руководств и наставлений при III отделе. </w:t>
      </w:r>
    </w:p>
    <w:p w14:paraId="5A6E8BE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Обращает на себя внимание организация III отдела боевой подготовки и организации. Отдел этот состоял из трех частей: </w:t>
      </w:r>
    </w:p>
    <w:p w14:paraId="5DF8F50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 Полевой и тяжелой артиллерии - для разработки всех вопросов, связанных с боевой подготовкой полевой артиллерии. </w:t>
      </w:r>
    </w:p>
    <w:p w14:paraId="32DBFF0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 Крепостной артиллерии - для разработки всех </w:t>
      </w:r>
      <w:proofErr w:type="gramStart"/>
      <w:r w:rsidRPr="00405303">
        <w:rPr>
          <w:bCs/>
          <w:i w:val="0"/>
          <w:color w:val="002060"/>
          <w:spacing w:val="0"/>
          <w:kern w:val="0"/>
          <w:position w:val="0"/>
          <w:sz w:val="16"/>
          <w:szCs w:val="16"/>
        </w:rPr>
        <w:t>вопросов,,</w:t>
      </w:r>
      <w:proofErr w:type="gramEnd"/>
      <w:r w:rsidRPr="00405303">
        <w:rPr>
          <w:bCs/>
          <w:i w:val="0"/>
          <w:color w:val="002060"/>
          <w:spacing w:val="0"/>
          <w:kern w:val="0"/>
          <w:position w:val="0"/>
          <w:sz w:val="16"/>
          <w:szCs w:val="16"/>
        </w:rPr>
        <w:t xml:space="preserve"> связанных с боевой подготовкой крепостной артиллерии. </w:t>
      </w:r>
    </w:p>
    <w:p w14:paraId="3CD39D5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3. Организационной - по вопросам, касающимся организации и вооружения всякого рода артиллерии. </w:t>
      </w:r>
    </w:p>
    <w:p w14:paraId="1D46E3E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Артком в целом являлся по существу чисто научно-техническим артиллерийским учреждением, для которого вопросы боевой подготовки и организации строевых частей артиллерии были в значительной мере чуждыми. В числе членов Арткома, по крайней мере в 1915 г., вовсе не было лиц, сведущих в этих вопросах. Сам начальник III отдела ген. Шмидт-фон-дер-Лауниц был специалистом по разного рода механическим, электротехническим и оптическим вспомогательным приборам для стрельбы береговой (крепостной) артиллерии; он получил известность изобретенными им дальномерами для береговой артиллерии. Постоянные члены III отдела ген. С. Т. Беляев и В. А. Микеладзе, единственные среди членов Арткома причастные к делу боевой подготовки артиллерии, находились на командных должностях в действующей армии. </w:t>
      </w:r>
    </w:p>
    <w:p w14:paraId="43A0CBB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Наличие III отдела при Арткоме ничем не оправдывалось п являлось каким-то недоразумением; круг его обязанностей даже не соответствовал основному положению о технической части ГАУ, по которому разработка вопросов боевой подготовки и организации артиллерии на техническую часть ГАУ не возлагалась. </w:t>
      </w:r>
    </w:p>
    <w:p w14:paraId="0AB4D07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Порядок направления и решения дед в Арткоме, установленный по новому Положению, в общем был согласован с проектом преобразования Арткома, составленным в ГАУ еще в 1912 г. Согласно Положению отделы арткома должны были приблизиться к живому производственному делу техники на заводах и к соответственным отделениям ГАУ и работать в непосредственном общении с теми и другими, разрешая большинства дел без обсуждения в общих собраниях - быстро, с проявлением </w:t>
      </w:r>
      <w:r w:rsidRPr="00405303">
        <w:rPr>
          <w:bCs/>
          <w:i w:val="0"/>
          <w:color w:val="002060"/>
          <w:spacing w:val="0"/>
          <w:kern w:val="0"/>
          <w:position w:val="0"/>
          <w:sz w:val="16"/>
          <w:szCs w:val="16"/>
        </w:rPr>
        <w:lastRenderedPageBreak/>
        <w:t xml:space="preserve">инициативы и не плодя излишней переписки. Эти мысли законодательства не получили должного осуществления на практике, и в Арткоме оставались рутина и канцелярская волокита. </w:t>
      </w:r>
    </w:p>
    <w:p w14:paraId="55ADADD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Права и обязанности начальника и прочих чинов ГАУ, установленные новым Положением, почти ничем не отличались от прежних. </w:t>
      </w:r>
    </w:p>
    <w:p w14:paraId="02F3A1D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Несколько расширены были только обязанности начальников отделов, которые по Положению являлись "ближайшими помощниками начальника ГАУ по развитию и усовершенствованию всех отраслей артиллерийского дела, составляющих предмет ведения ГАУ". С особою подробностью регламентированы были в Положении обязанности начальника отдела технических артиллерийских заведений. </w:t>
      </w:r>
    </w:p>
    <w:p w14:paraId="5794BBE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Порядок делопроизводства в ГАУ оставлен был прежний, т. е. рутинно-канцелярский. </w:t>
      </w:r>
    </w:p>
    <w:p w14:paraId="7FF95DF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Между прочим, в новом положении о ГАУ сохранена была старая статья, вменяющая в обязанность начальника отделения и равных ему по правам должностных лиц "доносить военному министру, не скрепляя бумаг и докладов", о тех случаях, когда "начальником ГАУ или начальниками отделов и частей даны будут разрешения по делам, несогласные с законом и наставлениями военного министра или отменяющие их"... </w:t>
      </w:r>
    </w:p>
    <w:p w14:paraId="1C97B84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Таким образом, эта статья предоставляла начальникам отделений право доклада по всем сколько-нибудь серьезным или сомнительным вопросам и получения указании от начальника ГАУ. </w:t>
      </w:r>
    </w:p>
    <w:p w14:paraId="0385884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Вследствие этого начальник ГАУ имел не только 10 разных докладчиков, показанных на схеме 1 (приложение 1), но и всех начальников отделений и делопроизводств ГАУ; кроме того, начальнику ГАУ периодически докладывали непосредственно ему подчиненные начальники артиллерийской академии и училищ, офицерской артиллерийской школы, технических артиллерийских заведений и школ. </w:t>
      </w:r>
    </w:p>
    <w:p w14:paraId="34CA221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Достаточно взглянуть на ту же схему, чтобы убедиться в невозможности для начальника ГАУ целесообразного управления подчиненным ему сложным аппаратом при свыше 30 непосредственных ему докладчиках. </w:t>
      </w:r>
    </w:p>
    <w:p w14:paraId="498B012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целях усиления производительности заводов артиллерийского ведомства, и ускорения получения предметов, заказанных другим заводам, ГАУ понижало требования технических условий на прием различных предметов; работа заводов производилась в три смены не прерываемая ни праздниками, ни ремонтом механизмов и пр. </w:t>
      </w:r>
    </w:p>
    <w:p w14:paraId="74B840D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ГАУ заказало множество предметов боевого снабжения, в особенности огнеприпасов, не только русским казенным и частным заводам, но и заграничным. ГАУ, конечно, не могло исправить такие ошибки в подготовке обороны государства, как отсутствие плана мобилизации промышленности, который должен быть выработан еще в мирное время, или отсутствие правил, обеспечивающих казенные заводы от опасности перерыва их деятельности в военное время, и пр. </w:t>
      </w:r>
    </w:p>
    <w:p w14:paraId="5B9C1B6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Результаты мероприятий ГАУ могли сказаться лишь через несколько месяцев. Между тем вследствие наступившего снарядного голода продолжалось беспрестанное давление с фронта, крайне возбуждавшее общественное мнение, требовавшее подачи снарядов в армию и усиления заказов без всяких рассуждений. </w:t>
      </w:r>
    </w:p>
    <w:p w14:paraId="0ED3E0D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Все это в связи с действительно ничтожной производительностью снарядной промышленности и почти полным отсутствием понимания этого дела у лиц, возглавлявших военное ведомство, приводило к тому, что ГАУ оказывалось единственно виновным в необеспеченности армии снарядами, а руководители ГАУ неспособными пополнить недочеты боевого снабжения (11483).</w:t>
      </w:r>
    </w:p>
    <w:p w14:paraId="71644D59" w14:textId="77777777" w:rsidR="004B4E35" w:rsidRPr="00405303" w:rsidRDefault="004B4E35" w:rsidP="00C15251">
      <w:pPr>
        <w:pStyle w:val="a3"/>
        <w:jc w:val="both"/>
        <w:rPr>
          <w:bCs/>
          <w:i w:val="0"/>
          <w:color w:val="002060"/>
          <w:spacing w:val="0"/>
          <w:kern w:val="0"/>
          <w:position w:val="0"/>
          <w:sz w:val="16"/>
          <w:szCs w:val="16"/>
        </w:rPr>
      </w:pPr>
    </w:p>
    <w:p w14:paraId="11660B1A" w14:textId="4DEE5841" w:rsidR="000839B5" w:rsidRPr="00405303" w:rsidRDefault="000839B5" w:rsidP="00C15251">
      <w:pPr>
        <w:jc w:val="both"/>
        <w:rPr>
          <w:bCs/>
          <w:i/>
          <w:color w:val="002060"/>
          <w:sz w:val="16"/>
          <w:szCs w:val="16"/>
        </w:rPr>
      </w:pPr>
      <w:r w:rsidRPr="00405303">
        <w:rPr>
          <w:bCs/>
          <w:i/>
          <w:color w:val="002060"/>
          <w:sz w:val="16"/>
          <w:szCs w:val="16"/>
        </w:rPr>
        <w:t>Авиация:</w:t>
      </w:r>
    </w:p>
    <w:p w14:paraId="1D9A2CAA" w14:textId="77777777" w:rsidR="000839B5" w:rsidRPr="00405303" w:rsidRDefault="000839B5" w:rsidP="00C15251">
      <w:pPr>
        <w:jc w:val="both"/>
        <w:rPr>
          <w:bCs/>
          <w:i/>
          <w:color w:val="002060"/>
          <w:sz w:val="16"/>
          <w:szCs w:val="16"/>
        </w:rPr>
      </w:pPr>
    </w:p>
    <w:p w14:paraId="4BBC960C" w14:textId="77777777" w:rsidR="000839B5" w:rsidRPr="00405303" w:rsidRDefault="000839B5" w:rsidP="00C15251">
      <w:pPr>
        <w:jc w:val="both"/>
        <w:rPr>
          <w:bCs/>
          <w:color w:val="002060"/>
          <w:sz w:val="16"/>
          <w:szCs w:val="16"/>
        </w:rPr>
      </w:pPr>
      <w:bookmarkStart w:id="32" w:name="bookmark78"/>
      <w:r w:rsidRPr="00405303">
        <w:rPr>
          <w:bCs/>
          <w:color w:val="002060"/>
          <w:sz w:val="16"/>
          <w:szCs w:val="16"/>
        </w:rPr>
        <w:t>К февралю 1915 г. численность авиаотрядов действующей армии значительно увеличилась, что позволило значительно расширить спектр решаемых задач. Тем временем в связи с весенней распутицей в районе бассейна рек Бобра и Нарева (Северо-Западный фронт) действия наземных войск оказались практически парализованными. Сложившаяся ситуация оказала существенное влияние на переход к групповым налетам со стороны германской авиации на объекты ближнего тыла русской армии. В этот период на вооружение ВВФ Германии поступил легкий бомбардировщик (с бомбовой нагрузкой до 100 кг) (23405).</w:t>
      </w:r>
      <w:bookmarkEnd w:id="32"/>
    </w:p>
    <w:p w14:paraId="1CD51B6F" w14:textId="77777777" w:rsidR="000839B5" w:rsidRPr="00405303" w:rsidRDefault="000839B5" w:rsidP="00C15251">
      <w:pPr>
        <w:jc w:val="both"/>
        <w:rPr>
          <w:bCs/>
          <w:color w:val="002060"/>
          <w:sz w:val="16"/>
          <w:szCs w:val="16"/>
          <w:lang w:bidi="ru-RU"/>
        </w:rPr>
      </w:pPr>
    </w:p>
    <w:p w14:paraId="7222C72C" w14:textId="77777777" w:rsidR="004E63A7" w:rsidRPr="00405303" w:rsidRDefault="004E63A7" w:rsidP="004E63A7">
      <w:pPr>
        <w:jc w:val="both"/>
        <w:rPr>
          <w:color w:val="0070C0"/>
          <w:sz w:val="16"/>
          <w:szCs w:val="16"/>
        </w:rPr>
      </w:pPr>
      <w:r w:rsidRPr="00405303">
        <w:rPr>
          <w:color w:val="0070C0"/>
          <w:sz w:val="16"/>
          <w:szCs w:val="16"/>
        </w:rPr>
        <w:t>К февралю 1915 г. численность авиаотрядов действующей армии значительно увеличилась, что позволило значительно расширить спектр решаемых задач. Тем временем в связи с весенней распутицей в районе бассейна рек Бобра и Нарева (Северо-Западный фронт) действия наземных войск оказались практически парализованными. Сложившаяся ситуация оказала существенное влияние на переход к групповым налетам со стороны германской авиации на объекты ближнего тыла русской армии. В этот период на вооружение ВВФ Германии поступил легкий бомбардировщик (с бомбовой нагрузкой до 100 кг). В начале кампании 1915 г. немецкая авиация подвергла активной бомбардировке расположения русских войск в районе г. Цеханов (Цеханув), Плоцк, Лович, Сохачев и др. (без серьезного ущерба для них) (25135).</w:t>
      </w:r>
    </w:p>
    <w:p w14:paraId="3B3FD8D9" w14:textId="77777777" w:rsidR="004E63A7" w:rsidRPr="00405303" w:rsidRDefault="004E63A7" w:rsidP="004E63A7">
      <w:pPr>
        <w:jc w:val="both"/>
        <w:rPr>
          <w:color w:val="0070C0"/>
          <w:sz w:val="16"/>
          <w:szCs w:val="16"/>
        </w:rPr>
      </w:pPr>
    </w:p>
    <w:p w14:paraId="6BA7D063" w14:textId="12C4A928"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1FF26319" w14:textId="77777777" w:rsidR="004B4E35" w:rsidRPr="00405303" w:rsidRDefault="004B4E35" w:rsidP="00C15251">
      <w:pPr>
        <w:jc w:val="both"/>
        <w:rPr>
          <w:bCs/>
          <w:i/>
          <w:color w:val="002060"/>
          <w:sz w:val="16"/>
          <w:szCs w:val="16"/>
        </w:rPr>
      </w:pPr>
    </w:p>
    <w:p w14:paraId="30D076BF" w14:textId="77777777" w:rsidR="004B4E35" w:rsidRPr="00405303" w:rsidRDefault="009E6F82" w:rsidP="00C15251">
      <w:pPr>
        <w:jc w:val="both"/>
        <w:rPr>
          <w:bCs/>
          <w:color w:val="002060"/>
          <w:sz w:val="16"/>
          <w:szCs w:val="16"/>
        </w:rPr>
      </w:pPr>
      <w:r w:rsidRPr="00405303">
        <w:rPr>
          <w:bCs/>
          <w:color w:val="002060"/>
          <w:sz w:val="16"/>
          <w:szCs w:val="16"/>
        </w:rPr>
        <w:t xml:space="preserve">К февралю 1915 германскому командованию удалось сформировать 25 новых авиаотрядов; "Отделение голубиной почты" перестало быть отдельной самостоятельной единицей, к ней присоединили крепостные авиаотряды; кроме того, было сформировано 3 армейских авиапарка. В результате этих мероприятий число германских авиачастей по отношению к началу войны почти удвоилось. </w:t>
      </w:r>
    </w:p>
    <w:p w14:paraId="48684DDC" w14:textId="77777777" w:rsidR="004B4E35" w:rsidRPr="00405303" w:rsidRDefault="009E6F82" w:rsidP="00C15251">
      <w:pPr>
        <w:jc w:val="both"/>
        <w:rPr>
          <w:bCs/>
          <w:color w:val="002060"/>
          <w:sz w:val="16"/>
          <w:szCs w:val="16"/>
        </w:rPr>
      </w:pPr>
      <w:r w:rsidRPr="00405303">
        <w:rPr>
          <w:bCs/>
          <w:color w:val="002060"/>
          <w:sz w:val="16"/>
          <w:szCs w:val="16"/>
        </w:rPr>
        <w:t>Кроме того, в феврале германской артиллерией был проведен ряд удачных стрельб с помощью авиационного наведеиия, после чего, начиная с этого месяца, совместная работа с артиллерией стала одной из основных задач германской авиации (11999).</w:t>
      </w:r>
    </w:p>
    <w:p w14:paraId="647FCDE8" w14:textId="77777777" w:rsidR="004B4E35" w:rsidRPr="00405303" w:rsidRDefault="004B4E35" w:rsidP="00C15251">
      <w:pPr>
        <w:jc w:val="both"/>
        <w:rPr>
          <w:bCs/>
          <w:color w:val="002060"/>
          <w:sz w:val="16"/>
          <w:szCs w:val="16"/>
        </w:rPr>
      </w:pPr>
    </w:p>
    <w:p w14:paraId="160B2715"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44E71663" w14:textId="77777777" w:rsidR="004B4E35" w:rsidRPr="00405303" w:rsidRDefault="004B4E35" w:rsidP="00C15251">
      <w:pPr>
        <w:jc w:val="both"/>
        <w:rPr>
          <w:bCs/>
          <w:i/>
          <w:color w:val="002060"/>
          <w:sz w:val="16"/>
          <w:szCs w:val="16"/>
        </w:rPr>
      </w:pPr>
    </w:p>
    <w:p w14:paraId="2F80A265" w14:textId="2C7CF916" w:rsidR="004B4E35" w:rsidRPr="00405303" w:rsidRDefault="009E6F82" w:rsidP="00C15251">
      <w:pPr>
        <w:jc w:val="both"/>
        <w:rPr>
          <w:bCs/>
          <w:color w:val="002060"/>
          <w:sz w:val="16"/>
          <w:szCs w:val="16"/>
        </w:rPr>
      </w:pPr>
      <w:r w:rsidRPr="00405303">
        <w:rPr>
          <w:bCs/>
          <w:color w:val="002060"/>
          <w:sz w:val="16"/>
          <w:szCs w:val="16"/>
        </w:rPr>
        <w:t>1</w:t>
      </w:r>
      <w:r w:rsidR="00F37D70" w:rsidRPr="00405303">
        <w:rPr>
          <w:bCs/>
          <w:color w:val="002060"/>
          <w:sz w:val="16"/>
          <w:szCs w:val="16"/>
        </w:rPr>
        <w:t xml:space="preserve"> (14) февраля </w:t>
      </w:r>
      <w:r w:rsidRPr="00405303">
        <w:rPr>
          <w:bCs/>
          <w:color w:val="002060"/>
          <w:sz w:val="16"/>
          <w:szCs w:val="16"/>
        </w:rPr>
        <w:t>1915</w:t>
      </w:r>
      <w:r w:rsidR="00F37D70" w:rsidRPr="00405303">
        <w:rPr>
          <w:bCs/>
          <w:color w:val="002060"/>
          <w:sz w:val="16"/>
          <w:szCs w:val="16"/>
        </w:rPr>
        <w:t xml:space="preserve"> г</w:t>
      </w:r>
      <w:r w:rsidRPr="00405303">
        <w:rPr>
          <w:bCs/>
          <w:color w:val="002060"/>
          <w:sz w:val="16"/>
          <w:szCs w:val="16"/>
        </w:rPr>
        <w:t xml:space="preserve">. </w:t>
      </w:r>
      <w:r w:rsidR="00F37D70" w:rsidRPr="00405303">
        <w:rPr>
          <w:bCs/>
          <w:color w:val="002060"/>
          <w:sz w:val="16"/>
          <w:szCs w:val="16"/>
        </w:rPr>
        <w:t>в</w:t>
      </w:r>
      <w:r w:rsidRPr="00405303">
        <w:rPr>
          <w:bCs/>
          <w:color w:val="002060"/>
          <w:sz w:val="16"/>
          <w:szCs w:val="16"/>
        </w:rPr>
        <w:t xml:space="preserve"> Риге на базе мастерской (фабрика) Пороховщикова начата постройка испытательного экземпляра «Вездехода» с деревянным макетом кузова. В помощь направлены 25 солдат-мастеровых.</w:t>
      </w:r>
    </w:p>
    <w:p w14:paraId="74E2D9AD" w14:textId="77777777" w:rsidR="004B4E35" w:rsidRPr="00405303" w:rsidRDefault="009E6F82" w:rsidP="00C15251">
      <w:pPr>
        <w:jc w:val="both"/>
        <w:rPr>
          <w:bCs/>
          <w:color w:val="002060"/>
          <w:sz w:val="16"/>
          <w:szCs w:val="16"/>
        </w:rPr>
      </w:pPr>
      <w:r w:rsidRPr="00405303">
        <w:rPr>
          <w:bCs/>
          <w:color w:val="002060"/>
          <w:sz w:val="16"/>
          <w:szCs w:val="16"/>
        </w:rPr>
        <w:t>13.05.1915. Пробный пробег, не центрированная резиновая лента «гуляла» по каткам и упорно норовила слететь. При испытаниях шасси в «штатном» режиме машину догружали мешками с песком. Из чего следует, что расчетная масса комплектного «Вездехода» больше массы опытного образца, но данных по массе балласта нет и получить какие-либо эмпирические ориентировки относительно полезной нагрузки (бронированию кузова) не представляется возможным.</w:t>
      </w:r>
    </w:p>
    <w:p w14:paraId="3DC5ABA6" w14:textId="77777777" w:rsidR="004B4E35" w:rsidRPr="00405303" w:rsidRDefault="009E6F82" w:rsidP="00C15251">
      <w:pPr>
        <w:jc w:val="both"/>
        <w:rPr>
          <w:bCs/>
          <w:color w:val="002060"/>
          <w:sz w:val="16"/>
          <w:szCs w:val="16"/>
        </w:rPr>
      </w:pPr>
      <w:r w:rsidRPr="00405303">
        <w:rPr>
          <w:bCs/>
          <w:color w:val="002060"/>
          <w:sz w:val="16"/>
          <w:szCs w:val="16"/>
        </w:rPr>
        <w:t>20.06.1915. Официальные испытания. Результаты зафиксированы комиссией в акте №4563: «…означенный «Вездеход» легко идет по довольно глубокому песку со скоростью около двадцати верст в час; в дальнейшем «Вездеход» перешел на среднем ходу канаву с пологими (около 40 градусов) откосами, шириной по верху три и глубиной около одного аршина… Все значительные выбоины и значительные неровности поверхности «полкового двора», где производились испытания, «Вездеход» брал легко, на полном ходу. Поворотливость вполне удовлетворительная; в общем «Вездеход» прошел по грунту и местности, непроходимой для обыкновенных автомобилей» (Редакционная статья «Родина танка — Россия» в газете «Известия» ВЦИК №205 (1644) от 13.09.22) (12111).</w:t>
      </w:r>
    </w:p>
    <w:p w14:paraId="6356C510" w14:textId="77777777" w:rsidR="004B4E35" w:rsidRPr="00405303" w:rsidRDefault="004B4E35" w:rsidP="00C15251">
      <w:pPr>
        <w:jc w:val="both"/>
        <w:rPr>
          <w:bCs/>
          <w:color w:val="002060"/>
          <w:sz w:val="16"/>
          <w:szCs w:val="16"/>
        </w:rPr>
      </w:pPr>
    </w:p>
    <w:p w14:paraId="234A3FC4" w14:textId="73C4A1FD" w:rsidR="004E63A7" w:rsidRPr="00405303" w:rsidRDefault="004E63A7" w:rsidP="004E63A7">
      <w:pPr>
        <w:jc w:val="both"/>
        <w:rPr>
          <w:bCs/>
          <w:i/>
          <w:color w:val="002060"/>
          <w:sz w:val="16"/>
          <w:szCs w:val="16"/>
        </w:rPr>
      </w:pPr>
      <w:r w:rsidRPr="00405303">
        <w:rPr>
          <w:bCs/>
          <w:i/>
          <w:color w:val="002060"/>
          <w:sz w:val="16"/>
          <w:szCs w:val="16"/>
        </w:rPr>
        <w:t>Авиация:</w:t>
      </w:r>
    </w:p>
    <w:p w14:paraId="727D1632" w14:textId="77777777" w:rsidR="004E63A7" w:rsidRPr="00405303" w:rsidRDefault="004E63A7" w:rsidP="004E63A7">
      <w:pPr>
        <w:jc w:val="both"/>
        <w:rPr>
          <w:bCs/>
          <w:i/>
          <w:color w:val="002060"/>
          <w:sz w:val="16"/>
          <w:szCs w:val="16"/>
        </w:rPr>
      </w:pPr>
    </w:p>
    <w:p w14:paraId="4B49E709" w14:textId="77777777" w:rsidR="004E63A7" w:rsidRPr="00405303" w:rsidRDefault="004E63A7" w:rsidP="004E63A7">
      <w:pPr>
        <w:jc w:val="both"/>
        <w:rPr>
          <w:color w:val="0070C0"/>
          <w:sz w:val="16"/>
          <w:szCs w:val="16"/>
        </w:rPr>
      </w:pPr>
      <w:r w:rsidRPr="00405303">
        <w:rPr>
          <w:color w:val="0070C0"/>
          <w:sz w:val="16"/>
          <w:szCs w:val="16"/>
        </w:rPr>
        <w:t xml:space="preserve">1 (14) февраля 1915 г. началась боевая деятельность Эскадры. В этот день был назначен первый боевой вылет. «Киевский» медленно набрал высоту 1800 м и углубился в тыл противника. Прошли две станции, сфотографировали поезд, но конечного пункта маршрута - Вилленберга - не нашли, заблудились в облаках. Не удовлетворенный результатами вылета, Г.Г. Горшков решил повторить вылет прямо на следующий день. Уже по знакомому маршруту точно вышли на Вилленберг и сделали три захода - на первом пристрелка, на втором сбросили серию из пяти бомб, на третьем сфотографировали станцию, уже окутанную дымом. Попадания были точными. Этими двумя полетами и началась боевая работа Эскадры. За ними последовали другие вылеты. Г.Г. Горшков, И.С. Башко и Наумов были награждены </w:t>
      </w:r>
      <w:r w:rsidRPr="00405303">
        <w:rPr>
          <w:color w:val="0070C0"/>
          <w:sz w:val="16"/>
          <w:szCs w:val="16"/>
        </w:rPr>
        <w:lastRenderedPageBreak/>
        <w:t>георгиевским оружием. Кроме того, Г.Г. Горшков получил должность и.о. старшего офицера Эскадры, а штабс-капитан И.С. Башко стал командиром корабля «Киевский» (24965).</w:t>
      </w:r>
    </w:p>
    <w:p w14:paraId="6D311869" w14:textId="77777777" w:rsidR="004E63A7" w:rsidRPr="00405303" w:rsidRDefault="004E63A7" w:rsidP="004E63A7">
      <w:pPr>
        <w:jc w:val="both"/>
        <w:rPr>
          <w:color w:val="0070C0"/>
          <w:sz w:val="16"/>
          <w:szCs w:val="16"/>
        </w:rPr>
      </w:pPr>
    </w:p>
    <w:p w14:paraId="0F8273AD" w14:textId="77777777" w:rsidR="004E63A7" w:rsidRPr="00405303" w:rsidRDefault="004E63A7" w:rsidP="004E63A7">
      <w:pPr>
        <w:jc w:val="both"/>
        <w:rPr>
          <w:color w:val="0070C0"/>
          <w:sz w:val="16"/>
          <w:szCs w:val="16"/>
        </w:rPr>
      </w:pPr>
      <w:r w:rsidRPr="00405303">
        <w:rPr>
          <w:color w:val="0070C0"/>
          <w:sz w:val="16"/>
          <w:szCs w:val="16"/>
        </w:rPr>
        <w:t>1 (14) февраля 1915 г. ЭВК совершила первый боевой вы</w:t>
      </w:r>
      <w:r w:rsidRPr="00405303">
        <w:rPr>
          <w:color w:val="0070C0"/>
          <w:sz w:val="16"/>
          <w:szCs w:val="16"/>
        </w:rPr>
        <w:softHyphen/>
        <w:t>лет. Но экипаж не нашел пред</w:t>
      </w:r>
      <w:r w:rsidRPr="00405303">
        <w:rPr>
          <w:color w:val="0070C0"/>
          <w:sz w:val="16"/>
          <w:szCs w:val="16"/>
        </w:rPr>
        <w:softHyphen/>
        <w:t>писанную ему цель. Лишь на следующий день «Муромец» Г.Г. Горшкова отбомбился по железнодорожной станции Вилленберг в Восточной Пруссии. С этого момента само</w:t>
      </w:r>
      <w:r w:rsidRPr="00405303">
        <w:rPr>
          <w:color w:val="0070C0"/>
          <w:sz w:val="16"/>
          <w:szCs w:val="16"/>
        </w:rPr>
        <w:softHyphen/>
        <w:t>леты эскадры начали летать на бомбометание и фотографи</w:t>
      </w:r>
      <w:r w:rsidRPr="00405303">
        <w:rPr>
          <w:color w:val="0070C0"/>
          <w:sz w:val="16"/>
          <w:szCs w:val="16"/>
        </w:rPr>
        <w:softHyphen/>
        <w:t>рование (24977).</w:t>
      </w:r>
    </w:p>
    <w:p w14:paraId="1A9C6D52" w14:textId="77777777" w:rsidR="004E63A7" w:rsidRPr="00405303" w:rsidRDefault="004E63A7" w:rsidP="004E63A7">
      <w:pPr>
        <w:jc w:val="both"/>
        <w:rPr>
          <w:color w:val="0070C0"/>
          <w:sz w:val="16"/>
          <w:szCs w:val="16"/>
        </w:rPr>
      </w:pPr>
    </w:p>
    <w:p w14:paraId="12D2D4C7"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3D39813A" w14:textId="77777777" w:rsidR="004B4E35" w:rsidRPr="00405303" w:rsidRDefault="004B4E35" w:rsidP="00C15251">
      <w:pPr>
        <w:jc w:val="both"/>
        <w:rPr>
          <w:bCs/>
          <w:i/>
          <w:color w:val="002060"/>
          <w:sz w:val="16"/>
          <w:szCs w:val="16"/>
        </w:rPr>
      </w:pPr>
    </w:p>
    <w:p w14:paraId="62974C5D" w14:textId="4ACC39A5" w:rsidR="004B4E35" w:rsidRPr="00405303" w:rsidRDefault="009E6F82" w:rsidP="00C15251">
      <w:pPr>
        <w:jc w:val="both"/>
        <w:rPr>
          <w:bCs/>
          <w:color w:val="002060"/>
          <w:sz w:val="16"/>
          <w:szCs w:val="16"/>
        </w:rPr>
      </w:pPr>
      <w:bookmarkStart w:id="33" w:name="_Hlk117447277"/>
      <w:r w:rsidRPr="00405303">
        <w:rPr>
          <w:bCs/>
          <w:color w:val="002060"/>
          <w:sz w:val="16"/>
          <w:szCs w:val="16"/>
        </w:rPr>
        <w:t xml:space="preserve">2 </w:t>
      </w:r>
      <w:r w:rsidR="003F4093" w:rsidRPr="00405303">
        <w:rPr>
          <w:bCs/>
          <w:color w:val="002060"/>
          <w:sz w:val="16"/>
          <w:szCs w:val="16"/>
        </w:rPr>
        <w:t xml:space="preserve">(15) </w:t>
      </w:r>
      <w:r w:rsidRPr="00405303">
        <w:rPr>
          <w:bCs/>
          <w:color w:val="002060"/>
          <w:sz w:val="16"/>
          <w:szCs w:val="16"/>
        </w:rPr>
        <w:t>февраля 1915 г. было получено сообщение, что фирма ФБА готова продать комплект чертежей своей летающей лодки России за 13000 рублей и, кроме того, фирма пожелала получать по 1300 рублей за каждый построенный такой самолет на русских заводах. После подписания лицензионного соглашения от приемки двух оставшихся лодок Щетинина отказались, выплатив заводу лишь небольшую неустойку. А французские ФБА в довольно большом числе экземпляров начал строить в Петрограде завод В.А. Лебедева.</w:t>
      </w:r>
    </w:p>
    <w:p w14:paraId="615983AB" w14:textId="77777777" w:rsidR="004B4E35" w:rsidRPr="00405303" w:rsidRDefault="009E6F82" w:rsidP="00C15251">
      <w:pPr>
        <w:jc w:val="both"/>
        <w:rPr>
          <w:bCs/>
          <w:color w:val="002060"/>
          <w:sz w:val="16"/>
          <w:szCs w:val="16"/>
        </w:rPr>
      </w:pPr>
      <w:r w:rsidRPr="00405303">
        <w:rPr>
          <w:bCs/>
          <w:color w:val="002060"/>
          <w:sz w:val="16"/>
          <w:szCs w:val="16"/>
        </w:rPr>
        <w:t>Принятые флотом М-2 (Щ-2) и М-3 (Щ-3) использовались на 3-й станции в качестве учебных машин. Летом 1915 г. почти одновременно они получили при жесткой посадке довольно серьезные повреждения конструкции и до октября находились в долговременном ремонте. В ноябре того же года их списали.</w:t>
      </w:r>
    </w:p>
    <w:p w14:paraId="421D28F0" w14:textId="77777777" w:rsidR="004B4E35" w:rsidRPr="00405303" w:rsidRDefault="009E6F82" w:rsidP="00C15251">
      <w:pPr>
        <w:jc w:val="both"/>
        <w:rPr>
          <w:bCs/>
          <w:color w:val="002060"/>
          <w:sz w:val="16"/>
          <w:szCs w:val="16"/>
        </w:rPr>
      </w:pPr>
      <w:r w:rsidRPr="00405303">
        <w:rPr>
          <w:bCs/>
          <w:color w:val="002060"/>
          <w:sz w:val="16"/>
          <w:szCs w:val="16"/>
        </w:rPr>
        <w:t>На Черном море летом 1914 г. еще царила довольно благодушная обстановка. Казалось, война далеко, а время для реорганизаций еще есть. В сентябре морская авиация Черноморского флота насчитывала всего шесть боевых машин. По-ложение резко изменилось в октябре, когда после набега немецких крейсеров "Гебен"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73B855A7" w14:textId="77777777" w:rsidR="004B4E35" w:rsidRPr="00405303" w:rsidRDefault="009E6F82" w:rsidP="00C15251">
      <w:pPr>
        <w:jc w:val="both"/>
        <w:rPr>
          <w:bCs/>
          <w:color w:val="002060"/>
          <w:sz w:val="16"/>
          <w:szCs w:val="16"/>
        </w:rPr>
      </w:pPr>
      <w:r w:rsidRPr="00405303">
        <w:rPr>
          <w:bCs/>
          <w:color w:val="002060"/>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01BAD90A" w14:textId="77777777" w:rsidR="004B4E35" w:rsidRPr="00405303" w:rsidRDefault="009E6F82" w:rsidP="00C15251">
      <w:pPr>
        <w:jc w:val="both"/>
        <w:rPr>
          <w:bCs/>
          <w:color w:val="002060"/>
          <w:sz w:val="16"/>
          <w:szCs w:val="16"/>
        </w:rPr>
      </w:pPr>
      <w:r w:rsidRPr="00405303">
        <w:rPr>
          <w:bCs/>
          <w:color w:val="002060"/>
          <w:sz w:val="16"/>
          <w:szCs w:val="16"/>
        </w:rPr>
        <w:t xml:space="preserve">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"Кер- тисс" (СигН$$)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w:t>
      </w:r>
      <w:proofErr w:type="gramStart"/>
      <w:r w:rsidRPr="00405303">
        <w:rPr>
          <w:bCs/>
          <w:color w:val="002060"/>
          <w:sz w:val="16"/>
          <w:szCs w:val="16"/>
        </w:rPr>
        <w:t>ис-пользовании</w:t>
      </w:r>
      <w:proofErr w:type="gramEnd"/>
      <w:r w:rsidRPr="00405303">
        <w:rPr>
          <w:bCs/>
          <w:color w:val="002060"/>
          <w:sz w:val="16"/>
          <w:szCs w:val="16"/>
        </w:rPr>
        <w:t xml:space="preserve"> летающих лодок Щетинина-Григоровича, позволило вполне уверенно продолжать строительство следующих гидросамолетов (12083).</w:t>
      </w:r>
    </w:p>
    <w:p w14:paraId="7825015D" w14:textId="77777777" w:rsidR="004B4E35" w:rsidRPr="00405303" w:rsidRDefault="004B4E35" w:rsidP="00C15251">
      <w:pPr>
        <w:jc w:val="both"/>
        <w:rPr>
          <w:bCs/>
          <w:color w:val="002060"/>
          <w:sz w:val="16"/>
          <w:szCs w:val="16"/>
        </w:rPr>
      </w:pPr>
    </w:p>
    <w:bookmarkEnd w:id="33"/>
    <w:p w14:paraId="2A38A75C" w14:textId="3AB402EC" w:rsidR="003F4093" w:rsidRPr="00405303" w:rsidRDefault="003F4093" w:rsidP="00C15251">
      <w:pPr>
        <w:jc w:val="both"/>
        <w:rPr>
          <w:bCs/>
          <w:color w:val="002060"/>
          <w:sz w:val="16"/>
          <w:szCs w:val="16"/>
        </w:rPr>
      </w:pPr>
      <w:r w:rsidRPr="00405303">
        <w:rPr>
          <w:bCs/>
          <w:color w:val="002060"/>
          <w:sz w:val="16"/>
          <w:szCs w:val="16"/>
        </w:rPr>
        <w:t>2 (15) февраля 1915 был сдан в эксплуатацию единственный авианосец Императорского флота России, несший службу в Балтийском море во время Первой мировой войны, «Орлица».</w:t>
      </w:r>
    </w:p>
    <w:p w14:paraId="5A792EA4" w14:textId="77777777" w:rsidR="003F4093" w:rsidRPr="00405303" w:rsidRDefault="003F4093" w:rsidP="00C15251">
      <w:pPr>
        <w:jc w:val="both"/>
        <w:rPr>
          <w:bCs/>
          <w:color w:val="002060"/>
          <w:sz w:val="16"/>
          <w:szCs w:val="16"/>
        </w:rPr>
      </w:pPr>
    </w:p>
    <w:p w14:paraId="5EDE13D7" w14:textId="6D07E31C" w:rsidR="00C949AE" w:rsidRPr="00405303" w:rsidRDefault="00C949AE" w:rsidP="00C15251">
      <w:pPr>
        <w:jc w:val="both"/>
        <w:rPr>
          <w:bCs/>
          <w:i/>
          <w:color w:val="002060"/>
          <w:sz w:val="16"/>
          <w:szCs w:val="16"/>
        </w:rPr>
      </w:pPr>
      <w:r w:rsidRPr="00405303">
        <w:rPr>
          <w:bCs/>
          <w:i/>
          <w:color w:val="002060"/>
          <w:sz w:val="16"/>
          <w:szCs w:val="16"/>
        </w:rPr>
        <w:t>Аэростатостроение:</w:t>
      </w:r>
    </w:p>
    <w:p w14:paraId="4C096497" w14:textId="77777777" w:rsidR="00C949AE" w:rsidRPr="00405303" w:rsidRDefault="00C949AE" w:rsidP="00C15251">
      <w:pPr>
        <w:jc w:val="both"/>
        <w:rPr>
          <w:bCs/>
          <w:i/>
          <w:color w:val="002060"/>
          <w:sz w:val="16"/>
          <w:szCs w:val="16"/>
        </w:rPr>
      </w:pPr>
    </w:p>
    <w:p w14:paraId="1F64CC39" w14:textId="6179C3E4" w:rsidR="00C949AE" w:rsidRPr="00405303" w:rsidRDefault="00C949AE" w:rsidP="00C15251">
      <w:pPr>
        <w:jc w:val="both"/>
        <w:rPr>
          <w:bCs/>
          <w:color w:val="002060"/>
          <w:sz w:val="16"/>
          <w:szCs w:val="16"/>
        </w:rPr>
      </w:pPr>
      <w:r w:rsidRPr="00405303">
        <w:rPr>
          <w:bCs/>
          <w:color w:val="002060"/>
          <w:sz w:val="16"/>
          <w:szCs w:val="16"/>
          <w:lang w:bidi="en-US"/>
        </w:rPr>
        <w:t xml:space="preserve">2 (15) февраля 1915 г. дирижабль «Гигант» (30 000 м </w:t>
      </w:r>
      <w:proofErr w:type="gramStart"/>
      <w:r w:rsidRPr="00405303">
        <w:rPr>
          <w:bCs/>
          <w:color w:val="002060"/>
          <w:sz w:val="16"/>
          <w:szCs w:val="16"/>
          <w:vertAlign w:val="superscript"/>
          <w:lang w:bidi="en-US"/>
        </w:rPr>
        <w:t xml:space="preserve">3 </w:t>
      </w:r>
      <w:r w:rsidRPr="00405303">
        <w:rPr>
          <w:bCs/>
          <w:color w:val="002060"/>
          <w:sz w:val="16"/>
          <w:szCs w:val="16"/>
          <w:lang w:bidi="en-US"/>
        </w:rPr>
        <w:t>)</w:t>
      </w:r>
      <w:proofErr w:type="gramEnd"/>
      <w:r w:rsidRPr="00405303">
        <w:rPr>
          <w:bCs/>
          <w:color w:val="002060"/>
          <w:sz w:val="16"/>
          <w:szCs w:val="16"/>
          <w:lang w:bidi="en-US"/>
        </w:rPr>
        <w:t xml:space="preserve"> совершил пробный полет в Петрограде (23525).</w:t>
      </w:r>
    </w:p>
    <w:p w14:paraId="78FB789A" w14:textId="77777777" w:rsidR="00C949AE" w:rsidRPr="00405303" w:rsidRDefault="00C949AE" w:rsidP="00C15251">
      <w:pPr>
        <w:jc w:val="both"/>
        <w:rPr>
          <w:bCs/>
          <w:color w:val="002060"/>
          <w:sz w:val="16"/>
          <w:szCs w:val="16"/>
        </w:rPr>
      </w:pPr>
    </w:p>
    <w:p w14:paraId="3EB2377C" w14:textId="08AC10B3" w:rsidR="00872C64" w:rsidRPr="00405303" w:rsidRDefault="00872C64" w:rsidP="00C15251">
      <w:pPr>
        <w:jc w:val="both"/>
        <w:rPr>
          <w:bCs/>
          <w:i/>
          <w:color w:val="002060"/>
          <w:sz w:val="16"/>
          <w:szCs w:val="16"/>
        </w:rPr>
      </w:pPr>
      <w:r w:rsidRPr="00405303">
        <w:rPr>
          <w:bCs/>
          <w:i/>
          <w:color w:val="002060"/>
          <w:sz w:val="16"/>
          <w:szCs w:val="16"/>
        </w:rPr>
        <w:t>Другие оборонные отрасли:</w:t>
      </w:r>
    </w:p>
    <w:p w14:paraId="560773C7" w14:textId="77777777" w:rsidR="00872C64" w:rsidRPr="00405303" w:rsidRDefault="00872C64" w:rsidP="00C15251">
      <w:pPr>
        <w:jc w:val="both"/>
        <w:rPr>
          <w:bCs/>
          <w:i/>
          <w:color w:val="002060"/>
          <w:sz w:val="16"/>
          <w:szCs w:val="16"/>
        </w:rPr>
      </w:pPr>
    </w:p>
    <w:p w14:paraId="76F16A10" w14:textId="26C29E07" w:rsidR="00872C64" w:rsidRPr="00405303" w:rsidRDefault="00872C64" w:rsidP="00C15251">
      <w:pPr>
        <w:jc w:val="both"/>
        <w:rPr>
          <w:bCs/>
          <w:color w:val="002060"/>
          <w:sz w:val="16"/>
          <w:szCs w:val="16"/>
        </w:rPr>
      </w:pPr>
      <w:r w:rsidRPr="00405303">
        <w:rPr>
          <w:bCs/>
          <w:color w:val="002060"/>
          <w:sz w:val="16"/>
          <w:szCs w:val="16"/>
        </w:rPr>
        <w:t xml:space="preserve">2 </w:t>
      </w:r>
      <w:r w:rsidR="00F37D70" w:rsidRPr="00405303">
        <w:rPr>
          <w:bCs/>
          <w:color w:val="002060"/>
          <w:sz w:val="16"/>
          <w:szCs w:val="16"/>
        </w:rPr>
        <w:t xml:space="preserve">(15) </w:t>
      </w:r>
      <w:r w:rsidRPr="00405303">
        <w:rPr>
          <w:bCs/>
          <w:color w:val="002060"/>
          <w:sz w:val="16"/>
          <w:szCs w:val="16"/>
        </w:rPr>
        <w:t>февраля 1915 года Николай II утвердил положение Совета министров, касающееся бизнеса иностранцев в Российской империи. Комментируя данное постановление, газета «Киевлянин» писала: «В товариществах на паях и акционерных обществах, учрежденных на основании действующих в государстве Российском общих или местных законов, лица, принадлежащие к австрийскому, венгерскому, германскому или турецкому подданству, не допускаются к занятию должностей членов совета, правления и всех других комитетов» (12281).</w:t>
      </w:r>
    </w:p>
    <w:p w14:paraId="267EE0AC" w14:textId="77777777" w:rsidR="00872C64" w:rsidRPr="00405303" w:rsidRDefault="00872C64" w:rsidP="00C15251">
      <w:pPr>
        <w:jc w:val="both"/>
        <w:rPr>
          <w:bCs/>
          <w:color w:val="002060"/>
          <w:sz w:val="16"/>
          <w:szCs w:val="16"/>
        </w:rPr>
      </w:pPr>
    </w:p>
    <w:p w14:paraId="5B335FEF" w14:textId="064D1D48" w:rsidR="00342F76" w:rsidRPr="00405303" w:rsidRDefault="00342F76" w:rsidP="00342F76">
      <w:pPr>
        <w:jc w:val="both"/>
        <w:rPr>
          <w:bCs/>
          <w:i/>
          <w:color w:val="002060"/>
          <w:sz w:val="16"/>
          <w:szCs w:val="16"/>
        </w:rPr>
      </w:pPr>
      <w:r w:rsidRPr="00405303">
        <w:rPr>
          <w:bCs/>
          <w:i/>
          <w:color w:val="002060"/>
          <w:sz w:val="16"/>
          <w:szCs w:val="16"/>
        </w:rPr>
        <w:t>Авиация:</w:t>
      </w:r>
    </w:p>
    <w:p w14:paraId="709E0423" w14:textId="77777777" w:rsidR="00342F76" w:rsidRPr="00405303" w:rsidRDefault="00342F76" w:rsidP="00342F76">
      <w:pPr>
        <w:jc w:val="both"/>
        <w:rPr>
          <w:color w:val="0070C0"/>
          <w:sz w:val="16"/>
          <w:szCs w:val="16"/>
        </w:rPr>
      </w:pPr>
    </w:p>
    <w:p w14:paraId="5EC2D1E4" w14:textId="1406929D" w:rsidR="00342F76" w:rsidRPr="00405303" w:rsidRDefault="00342F76" w:rsidP="00342F76">
      <w:pPr>
        <w:jc w:val="both"/>
        <w:rPr>
          <w:color w:val="0070C0"/>
          <w:sz w:val="16"/>
          <w:szCs w:val="16"/>
        </w:rPr>
      </w:pPr>
      <w:r w:rsidRPr="00405303">
        <w:rPr>
          <w:color w:val="0070C0"/>
          <w:sz w:val="16"/>
          <w:szCs w:val="16"/>
        </w:rPr>
        <w:t xml:space="preserve">2 (15) февраля 1915 г. </w:t>
      </w:r>
      <w:r w:rsidRPr="00405303">
        <w:rPr>
          <w:color w:val="0070C0"/>
          <w:sz w:val="16"/>
          <w:szCs w:val="16"/>
          <w:shd w:val="clear" w:color="auto" w:fill="FFFFFF"/>
        </w:rPr>
        <w:t xml:space="preserve">состоялся </w:t>
      </w:r>
      <w:r w:rsidRPr="00405303">
        <w:rPr>
          <w:color w:val="0070C0"/>
          <w:sz w:val="16"/>
          <w:szCs w:val="16"/>
        </w:rPr>
        <w:t>первый боевой вылет воздушного корабля «Илья Муромец» на фронте (25135).</w:t>
      </w:r>
    </w:p>
    <w:p w14:paraId="72FB03A6" w14:textId="77777777" w:rsidR="00342F76" w:rsidRPr="00405303" w:rsidRDefault="00342F76" w:rsidP="00342F76">
      <w:pPr>
        <w:jc w:val="both"/>
        <w:rPr>
          <w:color w:val="0070C0"/>
          <w:sz w:val="16"/>
          <w:szCs w:val="16"/>
        </w:rPr>
      </w:pPr>
    </w:p>
    <w:p w14:paraId="22C7DFC2" w14:textId="77777777" w:rsidR="00342F76" w:rsidRPr="00405303" w:rsidRDefault="00342F76" w:rsidP="00342F76">
      <w:pPr>
        <w:jc w:val="both"/>
        <w:rPr>
          <w:color w:val="0070C0"/>
          <w:sz w:val="16"/>
          <w:szCs w:val="16"/>
        </w:rPr>
      </w:pPr>
      <w:r w:rsidRPr="00405303">
        <w:rPr>
          <w:color w:val="0070C0"/>
          <w:sz w:val="16"/>
          <w:szCs w:val="16"/>
        </w:rPr>
        <w:t>2 (15) февраля 1915 г. Г.Г. Горшков решил повторить вылет. Уже по знакомому маршруту точно вышли на Вилленберг и сделали три захода - на первом пристрелка, на втором сбросили серию из пяти бомб, на третьем сфотографировали станцию, уже окутанную дымом. Попадания были точными (24965).</w:t>
      </w:r>
    </w:p>
    <w:p w14:paraId="68DFD10B" w14:textId="77777777" w:rsidR="00342F76" w:rsidRPr="00405303" w:rsidRDefault="00342F76" w:rsidP="00342F76">
      <w:pPr>
        <w:jc w:val="both"/>
        <w:rPr>
          <w:color w:val="0070C0"/>
          <w:sz w:val="16"/>
          <w:szCs w:val="16"/>
        </w:rPr>
      </w:pPr>
    </w:p>
    <w:p w14:paraId="6D637C58" w14:textId="77777777" w:rsidR="00342F76" w:rsidRPr="00405303" w:rsidRDefault="00342F76" w:rsidP="00342F76">
      <w:pPr>
        <w:jc w:val="both"/>
        <w:rPr>
          <w:color w:val="0070C0"/>
          <w:sz w:val="16"/>
          <w:szCs w:val="16"/>
        </w:rPr>
      </w:pPr>
      <w:r w:rsidRPr="00405303">
        <w:rPr>
          <w:color w:val="0070C0"/>
          <w:sz w:val="16"/>
          <w:szCs w:val="16"/>
        </w:rPr>
        <w:t>2 (15) февраля 1915 г., через три часа после возвращения „Муромца“ [Киевского] из его первого боевого полета» первый немецкий аэроплан бросал бомбы в аэродром. В результате бомбардировки пострадали мирные жители д. Яблонна.</w:t>
      </w:r>
    </w:p>
    <w:p w14:paraId="1CA624A5" w14:textId="77777777" w:rsidR="00342F76" w:rsidRPr="00405303" w:rsidRDefault="00342F76" w:rsidP="00342F76">
      <w:pPr>
        <w:jc w:val="both"/>
        <w:rPr>
          <w:color w:val="0070C0"/>
          <w:sz w:val="16"/>
          <w:szCs w:val="16"/>
        </w:rPr>
      </w:pPr>
      <w:r w:rsidRPr="00405303">
        <w:rPr>
          <w:color w:val="0070C0"/>
          <w:sz w:val="16"/>
          <w:szCs w:val="16"/>
        </w:rPr>
        <w:t>Германские аэропланы, до того времени не обращавшие внимания на аэродром „Муромцев“, начали довольно регулярно, по два раза в день, навещать Яблонну.</w:t>
      </w:r>
    </w:p>
    <w:p w14:paraId="2CD89E57" w14:textId="77777777" w:rsidR="00342F76" w:rsidRPr="00405303" w:rsidRDefault="00342F76" w:rsidP="00342F76">
      <w:pPr>
        <w:jc w:val="both"/>
        <w:rPr>
          <w:color w:val="0070C0"/>
          <w:sz w:val="16"/>
          <w:szCs w:val="16"/>
        </w:rPr>
      </w:pPr>
      <w:r w:rsidRPr="00405303">
        <w:rPr>
          <w:color w:val="0070C0"/>
          <w:sz w:val="16"/>
          <w:szCs w:val="16"/>
        </w:rPr>
        <w:t>С целью пресечения таких налетов на аэродроме было установлено дежурство одного из воздушных кораблей (25135).</w:t>
      </w:r>
    </w:p>
    <w:p w14:paraId="0D3F45A0" w14:textId="77777777" w:rsidR="00342F76" w:rsidRPr="00405303" w:rsidRDefault="00342F76" w:rsidP="00342F76">
      <w:pPr>
        <w:jc w:val="both"/>
        <w:rPr>
          <w:color w:val="0070C0"/>
          <w:sz w:val="16"/>
          <w:szCs w:val="16"/>
        </w:rPr>
      </w:pPr>
    </w:p>
    <w:p w14:paraId="6C7DFFDF" w14:textId="77777777" w:rsidR="00E341E3" w:rsidRPr="00405303" w:rsidRDefault="00E341E3" w:rsidP="00C15251">
      <w:pPr>
        <w:jc w:val="both"/>
        <w:rPr>
          <w:bCs/>
          <w:i/>
          <w:color w:val="002060"/>
          <w:sz w:val="16"/>
          <w:szCs w:val="16"/>
        </w:rPr>
      </w:pPr>
      <w:r w:rsidRPr="00405303">
        <w:rPr>
          <w:bCs/>
          <w:i/>
          <w:color w:val="002060"/>
          <w:sz w:val="16"/>
          <w:szCs w:val="16"/>
        </w:rPr>
        <w:t>Авиация и воздухоплавание Англии:</w:t>
      </w:r>
    </w:p>
    <w:p w14:paraId="38CE029A" w14:textId="77777777" w:rsidR="00E341E3" w:rsidRPr="00405303" w:rsidRDefault="00E341E3" w:rsidP="00C15251">
      <w:pPr>
        <w:jc w:val="both"/>
        <w:rPr>
          <w:bCs/>
          <w:i/>
          <w:color w:val="002060"/>
          <w:sz w:val="16"/>
          <w:szCs w:val="16"/>
        </w:rPr>
      </w:pPr>
    </w:p>
    <w:p w14:paraId="524699B2" w14:textId="77777777" w:rsidR="00E341E3" w:rsidRPr="00405303" w:rsidRDefault="00E341E3" w:rsidP="00C15251">
      <w:pPr>
        <w:jc w:val="both"/>
        <w:rPr>
          <w:bCs/>
          <w:color w:val="002060"/>
          <w:sz w:val="16"/>
          <w:szCs w:val="16"/>
        </w:rPr>
      </w:pPr>
      <w:r w:rsidRPr="00405303">
        <w:rPr>
          <w:bCs/>
          <w:color w:val="002060"/>
          <w:sz w:val="16"/>
          <w:szCs w:val="16"/>
        </w:rPr>
        <w:t xml:space="preserve">2 (15) февраля в 1915 году первый полёт истребителя </w:t>
      </w:r>
      <w:hyperlink r:id="rId9" w:tgtFrame="_blank" w:history="1">
        <w:r w:rsidRPr="00405303">
          <w:rPr>
            <w:bCs/>
            <w:color w:val="002060"/>
            <w:sz w:val="16"/>
            <w:szCs w:val="16"/>
          </w:rPr>
          <w:t xml:space="preserve">«M.1» </w:t>
        </w:r>
      </w:hyperlink>
      <w:r w:rsidRPr="00405303">
        <w:rPr>
          <w:bCs/>
          <w:color w:val="002060"/>
          <w:sz w:val="16"/>
          <w:szCs w:val="16"/>
        </w:rPr>
        <w:t>(компания «Mann, Grimmer», Великобритания). Разработанный инженерами R.F.Mann и R.P.Grimmer, двухместный истребитель «M.1» был закончен в начале 1915 года. На самолёте установлен десятицилиндровый двигатель воздушного охлаждения «Anzani» мощностью 100 л.с. Уже в ходе первых полётов были выявлены недостатки силовой установки и самолёт был направлен на доделку (15041).</w:t>
      </w:r>
    </w:p>
    <w:p w14:paraId="79833400" w14:textId="77777777" w:rsidR="00E341E3" w:rsidRPr="00405303" w:rsidRDefault="00E341E3" w:rsidP="00C15251">
      <w:pPr>
        <w:jc w:val="both"/>
        <w:rPr>
          <w:bCs/>
          <w:color w:val="002060"/>
          <w:sz w:val="16"/>
          <w:szCs w:val="16"/>
        </w:rPr>
      </w:pPr>
    </w:p>
    <w:p w14:paraId="6BCF78DB" w14:textId="43FFE85B" w:rsidR="008244EE" w:rsidRPr="00405303" w:rsidRDefault="008244EE" w:rsidP="00C15251">
      <w:pPr>
        <w:jc w:val="both"/>
        <w:rPr>
          <w:bCs/>
          <w:color w:val="002060"/>
          <w:sz w:val="16"/>
          <w:szCs w:val="16"/>
        </w:rPr>
      </w:pPr>
      <w:r w:rsidRPr="00405303">
        <w:rPr>
          <w:bCs/>
          <w:color w:val="002060"/>
          <w:sz w:val="16"/>
          <w:szCs w:val="16"/>
        </w:rPr>
        <w:t>2 (15) февраля 1915</w:t>
      </w:r>
      <w:r w:rsidR="000F5756">
        <w:rPr>
          <w:bCs/>
          <w:color w:val="002060"/>
          <w:sz w:val="16"/>
          <w:szCs w:val="16"/>
        </w:rPr>
        <w:t xml:space="preserve"> </w:t>
      </w:r>
      <w:r w:rsidR="00F37D70" w:rsidRPr="00405303">
        <w:rPr>
          <w:bCs/>
          <w:color w:val="002060"/>
          <w:sz w:val="16"/>
          <w:szCs w:val="16"/>
        </w:rPr>
        <w:t>состоялся п</w:t>
      </w:r>
      <w:r w:rsidRPr="00405303">
        <w:rPr>
          <w:bCs/>
          <w:color w:val="002060"/>
          <w:sz w:val="16"/>
          <w:szCs w:val="16"/>
        </w:rPr>
        <w:t>ервый полёт истребителя M.1 (компания Mann, Grimmer, Великобритания).</w:t>
      </w:r>
    </w:p>
    <w:p w14:paraId="115C4FD7" w14:textId="77777777" w:rsidR="008244EE" w:rsidRPr="00405303" w:rsidRDefault="008244EE" w:rsidP="00C15251">
      <w:pPr>
        <w:jc w:val="both"/>
        <w:rPr>
          <w:bCs/>
          <w:color w:val="002060"/>
          <w:sz w:val="16"/>
          <w:szCs w:val="16"/>
        </w:rPr>
      </w:pPr>
      <w:r w:rsidRPr="00405303">
        <w:rPr>
          <w:bCs/>
          <w:color w:val="002060"/>
          <w:sz w:val="16"/>
          <w:szCs w:val="16"/>
        </w:rPr>
        <w:t>Разработанный инженерами R F Mann и R P Grimmer, двухместный истребитель M.1 был закончен в начале 1915 года. На самолёте установлен десятицилиндровый двигатель воздушного охлаждения Anzani мощностью 100 л.с. Уже в ходе первых полётов были выявлены недостатки силовой установки и самолёт был направлен на доделку (22597).</w:t>
      </w:r>
    </w:p>
    <w:p w14:paraId="1D6F9C56" w14:textId="77777777" w:rsidR="008244EE" w:rsidRPr="00405303" w:rsidRDefault="008244EE" w:rsidP="00C15251">
      <w:pPr>
        <w:jc w:val="both"/>
        <w:rPr>
          <w:bCs/>
          <w:color w:val="002060"/>
          <w:sz w:val="16"/>
          <w:szCs w:val="16"/>
        </w:rPr>
      </w:pPr>
    </w:p>
    <w:p w14:paraId="396EEB3F" w14:textId="77777777" w:rsidR="00E341E3" w:rsidRPr="00405303" w:rsidRDefault="00E341E3" w:rsidP="00C15251">
      <w:pPr>
        <w:jc w:val="both"/>
        <w:rPr>
          <w:bCs/>
          <w:i/>
          <w:color w:val="002060"/>
          <w:sz w:val="16"/>
          <w:szCs w:val="16"/>
        </w:rPr>
      </w:pPr>
      <w:r w:rsidRPr="00405303">
        <w:rPr>
          <w:bCs/>
          <w:i/>
          <w:color w:val="002060"/>
          <w:sz w:val="16"/>
          <w:szCs w:val="16"/>
        </w:rPr>
        <w:t>Другие оборонные отрасли:</w:t>
      </w:r>
    </w:p>
    <w:p w14:paraId="6F43A47A" w14:textId="77777777" w:rsidR="00E341E3" w:rsidRPr="00405303" w:rsidRDefault="00E341E3" w:rsidP="00C15251">
      <w:pPr>
        <w:jc w:val="both"/>
        <w:rPr>
          <w:bCs/>
          <w:i/>
          <w:color w:val="002060"/>
          <w:sz w:val="16"/>
          <w:szCs w:val="16"/>
        </w:rPr>
      </w:pPr>
    </w:p>
    <w:p w14:paraId="1109DF4C" w14:textId="3CFD9AE5" w:rsidR="00E341E3" w:rsidRPr="00405303" w:rsidRDefault="00E341E3" w:rsidP="00C15251">
      <w:pPr>
        <w:pStyle w:val="p1"/>
        <w:spacing w:before="0" w:beforeAutospacing="0" w:after="0" w:afterAutospacing="0"/>
        <w:jc w:val="both"/>
        <w:rPr>
          <w:bCs/>
          <w:color w:val="002060"/>
          <w:sz w:val="16"/>
          <w:szCs w:val="16"/>
        </w:rPr>
      </w:pPr>
      <w:r w:rsidRPr="00405303">
        <w:rPr>
          <w:bCs/>
          <w:color w:val="002060"/>
          <w:sz w:val="16"/>
          <w:szCs w:val="16"/>
        </w:rPr>
        <w:t xml:space="preserve">3 </w:t>
      </w:r>
      <w:r w:rsidR="00F37D70" w:rsidRPr="00405303">
        <w:rPr>
          <w:bCs/>
          <w:color w:val="002060"/>
          <w:sz w:val="16"/>
          <w:szCs w:val="16"/>
        </w:rPr>
        <w:t xml:space="preserve">(16) </w:t>
      </w:r>
      <w:r w:rsidRPr="00405303">
        <w:rPr>
          <w:bCs/>
          <w:color w:val="002060"/>
          <w:sz w:val="16"/>
          <w:szCs w:val="16"/>
        </w:rPr>
        <w:t xml:space="preserve">февраля 1915 Сухомлинов получил новое заявление об учреждении частного завода — на этот раз от Русского акционерного общества артиллерийских заводов, уже сооружавшего в Царицыне большой пушечный завод. «Будучи осведомлено о предположении военного ведомства выдать заказ на ружья», правление РАОАЗ намеревалось в случае заказа предъявления не менее миллиона винтовок, установить производство до 300 тысяч винтовок в год. Новый (и при этом первый в России частный) ружейный завод был бы связан с царицынским предприятием того же общества и с английской фирмой «Виккерс». 6 февраля это заявление было </w:t>
      </w:r>
      <w:r w:rsidRPr="00405303">
        <w:rPr>
          <w:bCs/>
          <w:color w:val="002060"/>
          <w:sz w:val="16"/>
          <w:szCs w:val="16"/>
        </w:rPr>
        <w:lastRenderedPageBreak/>
        <w:t>подкреплено телеграммой одного из директоров компании «Виккерс» Ф. Баркера о готовности продать оборудование для производства 375 тысяч винтовок в год (при работе 3 тысяч рабочих в одну смену; при двухсменной работе они изготовляли бы 650 тысяч в год). Ответ требовался в течение шести дней. Сухомлинов показал телеграмму Николаю II, и царь распорядился: «Не упускайте завода» и «повелел рассмотреть этот вопрос спешно в Совете министров» (18409).</w:t>
      </w:r>
    </w:p>
    <w:p w14:paraId="42C82D91" w14:textId="77777777" w:rsidR="00E341E3" w:rsidRPr="00405303" w:rsidRDefault="00E341E3" w:rsidP="00C15251">
      <w:pPr>
        <w:pStyle w:val="p1"/>
        <w:spacing w:before="0" w:beforeAutospacing="0" w:after="0" w:afterAutospacing="0"/>
        <w:jc w:val="both"/>
        <w:rPr>
          <w:bCs/>
          <w:color w:val="002060"/>
          <w:sz w:val="16"/>
          <w:szCs w:val="16"/>
        </w:rPr>
      </w:pPr>
    </w:p>
    <w:p w14:paraId="6B8A66A7" w14:textId="687C9295" w:rsidR="00C949AE" w:rsidRPr="00405303" w:rsidRDefault="00C949AE"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3 (16) февраля 1915 г. Сухомлинов получил новое заявление об уч</w:t>
      </w:r>
      <w:r w:rsidRPr="00405303">
        <w:rPr>
          <w:rFonts w:ascii="Times New Roman" w:hAnsi="Times New Roman" w:cs="Times New Roman"/>
          <w:bCs/>
          <w:color w:val="002060"/>
          <w:sz w:val="16"/>
          <w:szCs w:val="16"/>
        </w:rPr>
        <w:softHyphen/>
        <w:t>реждении частного завода — на этот раз от Русского ак</w:t>
      </w:r>
      <w:r w:rsidRPr="00405303">
        <w:rPr>
          <w:rFonts w:ascii="Times New Roman" w:hAnsi="Times New Roman" w:cs="Times New Roman"/>
          <w:bCs/>
          <w:color w:val="002060"/>
          <w:sz w:val="16"/>
          <w:szCs w:val="16"/>
        </w:rPr>
        <w:softHyphen/>
        <w:t>ционерного общества артиллерийских заводов, уже соору</w:t>
      </w:r>
      <w:r w:rsidRPr="00405303">
        <w:rPr>
          <w:rFonts w:ascii="Times New Roman" w:hAnsi="Times New Roman" w:cs="Times New Roman"/>
          <w:bCs/>
          <w:color w:val="002060"/>
          <w:sz w:val="16"/>
          <w:szCs w:val="16"/>
        </w:rPr>
        <w:softHyphen/>
        <w:t>жавшего в Царицыне большой пушечный завод. «Будучи осведомлено о предположении военного ведомства выдать заказ на ружья», правление РАО АЗ намеревалось в случае заказа предъявления не менее миллиона винтовок, устано</w:t>
      </w:r>
      <w:r w:rsidRPr="00405303">
        <w:rPr>
          <w:rFonts w:ascii="Times New Roman" w:hAnsi="Times New Roman" w:cs="Times New Roman"/>
          <w:bCs/>
          <w:color w:val="002060"/>
          <w:sz w:val="16"/>
          <w:szCs w:val="16"/>
        </w:rPr>
        <w:softHyphen/>
        <w:t xml:space="preserve">вить производство до 300 тысяч винтовок в год. Новый (и при этом первый в России частный) ружейный завод был бы связан с царицынским предприятием того же общества и с английской фирмой «Виккерс» (ГАРФ. Ф. 1467. </w:t>
      </w:r>
      <w:r w:rsidRPr="00405303">
        <w:rPr>
          <w:rFonts w:ascii="Times New Roman" w:hAnsi="Times New Roman" w:cs="Times New Roman"/>
          <w:bCs/>
          <w:color w:val="002060"/>
          <w:sz w:val="16"/>
          <w:szCs w:val="16"/>
          <w:lang w:val="en-US" w:bidi="en-US"/>
        </w:rPr>
        <w:t>On</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 xml:space="preserve">1. Д. 556. Л. 22 и об.; РГВИА. Ф. 962. </w:t>
      </w:r>
      <w:r w:rsidRPr="00405303">
        <w:rPr>
          <w:rFonts w:ascii="Times New Roman" w:hAnsi="Times New Roman" w:cs="Times New Roman"/>
          <w:bCs/>
          <w:color w:val="002060"/>
          <w:sz w:val="16"/>
          <w:szCs w:val="16"/>
          <w:lang w:val="en-US" w:bidi="en-US"/>
        </w:rPr>
        <w:t>On</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1. Д. 13. Л. 2. Там же. Ф. 2000. Оп. 2. Д. 1733. Л. 3—4. 9 февраля 1915 г. правление РАОАЗ пересмотрело условия: речь шла о заказе уже не менее 3 млн винтовок; завод должен был выпускать 500 тысяч винтовок в год, число рабочих намечалось в 10 тысяч.). 6 февраля это заявле</w:t>
      </w:r>
      <w:r w:rsidRPr="00405303">
        <w:rPr>
          <w:rFonts w:ascii="Times New Roman" w:hAnsi="Times New Roman" w:cs="Times New Roman"/>
          <w:bCs/>
          <w:color w:val="002060"/>
          <w:sz w:val="16"/>
          <w:szCs w:val="16"/>
        </w:rPr>
        <w:softHyphen/>
        <w:t>ние было подкреплено телеграммой одного из директоров компании «Виккерс» Ф. Баркера о готовности продать обо</w:t>
      </w:r>
      <w:r w:rsidRPr="00405303">
        <w:rPr>
          <w:rFonts w:ascii="Times New Roman" w:hAnsi="Times New Roman" w:cs="Times New Roman"/>
          <w:bCs/>
          <w:color w:val="002060"/>
          <w:sz w:val="16"/>
          <w:szCs w:val="16"/>
        </w:rPr>
        <w:softHyphen/>
        <w:t>рудование для производства 375 тысяч винтовок в год (при работе 3 тысяч рабочих в одну смену; при двухсменной ра</w:t>
      </w:r>
      <w:r w:rsidRPr="00405303">
        <w:rPr>
          <w:rFonts w:ascii="Times New Roman" w:hAnsi="Times New Roman" w:cs="Times New Roman"/>
          <w:bCs/>
          <w:color w:val="002060"/>
          <w:sz w:val="16"/>
          <w:szCs w:val="16"/>
        </w:rPr>
        <w:softHyphen/>
        <w:t>боте они изготовляли бы 650 тысяч в год). Ответ требовал</w:t>
      </w:r>
      <w:r w:rsidRPr="00405303">
        <w:rPr>
          <w:rFonts w:ascii="Times New Roman" w:hAnsi="Times New Roman" w:cs="Times New Roman"/>
          <w:bCs/>
          <w:color w:val="002060"/>
          <w:sz w:val="16"/>
          <w:szCs w:val="16"/>
        </w:rPr>
        <w:softHyphen/>
        <w:t>ся в течение шести дней. Сухомлинов показал телеграмму Николаю II, и царь распорядился: «Не упускайте завода» и «повелел рассмотреть этот вопрос спешно в Совете мини</w:t>
      </w:r>
      <w:r w:rsidRPr="00405303">
        <w:rPr>
          <w:rFonts w:ascii="Times New Roman" w:hAnsi="Times New Roman" w:cs="Times New Roman"/>
          <w:bCs/>
          <w:color w:val="002060"/>
          <w:sz w:val="16"/>
          <w:szCs w:val="16"/>
        </w:rPr>
        <w:softHyphen/>
        <w:t>стров» (23452).</w:t>
      </w:r>
    </w:p>
    <w:p w14:paraId="3790F8C6" w14:textId="77777777" w:rsidR="00C949AE" w:rsidRPr="0073033D" w:rsidRDefault="00C949AE" w:rsidP="00C15251">
      <w:pPr>
        <w:jc w:val="both"/>
        <w:rPr>
          <w:bCs/>
          <w:color w:val="002060"/>
          <w:sz w:val="16"/>
          <w:szCs w:val="16"/>
          <w:lang w:bidi="ru-RU"/>
        </w:rPr>
      </w:pPr>
    </w:p>
    <w:p w14:paraId="6C7F8811" w14:textId="43C5B60F" w:rsidR="001B7028" w:rsidRPr="0073033D" w:rsidRDefault="001B7028" w:rsidP="00C15251">
      <w:pPr>
        <w:jc w:val="both"/>
        <w:rPr>
          <w:bCs/>
          <w:color w:val="002060"/>
          <w:sz w:val="16"/>
          <w:szCs w:val="16"/>
          <w:lang w:bidi="ru-RU"/>
        </w:rPr>
      </w:pPr>
      <w:r w:rsidRPr="00405303">
        <w:rPr>
          <w:bCs/>
          <w:i/>
          <w:color w:val="002060"/>
          <w:sz w:val="16"/>
          <w:szCs w:val="16"/>
        </w:rPr>
        <w:t>Авиация:</w:t>
      </w:r>
    </w:p>
    <w:p w14:paraId="0C04F695" w14:textId="77777777" w:rsidR="001B7028" w:rsidRPr="0073033D" w:rsidRDefault="001B7028" w:rsidP="00C15251">
      <w:pPr>
        <w:jc w:val="both"/>
        <w:rPr>
          <w:bCs/>
          <w:color w:val="002060"/>
          <w:sz w:val="16"/>
          <w:szCs w:val="16"/>
          <w:lang w:bidi="ru-RU"/>
        </w:rPr>
      </w:pPr>
    </w:p>
    <w:p w14:paraId="3D749A37" w14:textId="77777777" w:rsidR="001B7028" w:rsidRPr="00405303" w:rsidRDefault="001B7028" w:rsidP="001B7028">
      <w:pPr>
        <w:jc w:val="both"/>
        <w:rPr>
          <w:color w:val="0070C0"/>
          <w:sz w:val="16"/>
          <w:szCs w:val="16"/>
        </w:rPr>
      </w:pPr>
      <w:r w:rsidRPr="00405303">
        <w:rPr>
          <w:color w:val="0070C0"/>
          <w:sz w:val="16"/>
          <w:szCs w:val="16"/>
        </w:rPr>
        <w:t>3 (16) февраля 1915 г. противник в течение одного дня потерял сразу два своих летательных аппарата. На Ужокском направлении в Карпатах русские войска подбили германский аэроплан. В плен попали три члена его экипажа, с изъятием большого количества прокламаций и взрывчатых веществ. Также был захвачен сбитый австрийский самолет, направлявшийся из Перемышля в свой глубокий тыл (25135).</w:t>
      </w:r>
    </w:p>
    <w:p w14:paraId="3D4D1403" w14:textId="77777777" w:rsidR="001B7028" w:rsidRPr="00405303" w:rsidRDefault="001B7028" w:rsidP="001B7028">
      <w:pPr>
        <w:jc w:val="both"/>
        <w:rPr>
          <w:color w:val="0070C0"/>
          <w:sz w:val="16"/>
          <w:szCs w:val="16"/>
        </w:rPr>
      </w:pPr>
    </w:p>
    <w:p w14:paraId="1488EE0B"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6420D1B8" w14:textId="77777777" w:rsidR="004B4E35" w:rsidRPr="00405303" w:rsidRDefault="004B4E35" w:rsidP="00C15251">
      <w:pPr>
        <w:jc w:val="both"/>
        <w:rPr>
          <w:bCs/>
          <w:i/>
          <w:color w:val="002060"/>
          <w:sz w:val="16"/>
          <w:szCs w:val="16"/>
        </w:rPr>
      </w:pPr>
    </w:p>
    <w:p w14:paraId="5A1A62BF" w14:textId="49029F95" w:rsidR="004B4E35" w:rsidRPr="00405303" w:rsidRDefault="009E6F82" w:rsidP="00C15251">
      <w:pPr>
        <w:jc w:val="both"/>
        <w:rPr>
          <w:bCs/>
          <w:color w:val="002060"/>
          <w:sz w:val="16"/>
          <w:szCs w:val="16"/>
        </w:rPr>
      </w:pPr>
      <w:r w:rsidRPr="00405303">
        <w:rPr>
          <w:bCs/>
          <w:color w:val="002060"/>
          <w:sz w:val="16"/>
          <w:szCs w:val="16"/>
        </w:rPr>
        <w:t xml:space="preserve">3 </w:t>
      </w:r>
      <w:r w:rsidR="00F37D70" w:rsidRPr="00405303">
        <w:rPr>
          <w:bCs/>
          <w:color w:val="002060"/>
          <w:sz w:val="16"/>
          <w:szCs w:val="16"/>
        </w:rPr>
        <w:t xml:space="preserve">(16) </w:t>
      </w:r>
      <w:r w:rsidRPr="00405303">
        <w:rPr>
          <w:bCs/>
          <w:color w:val="002060"/>
          <w:sz w:val="16"/>
          <w:szCs w:val="16"/>
        </w:rPr>
        <w:t xml:space="preserve">февраля </w:t>
      </w:r>
      <w:r w:rsidR="00F37D70" w:rsidRPr="00405303">
        <w:rPr>
          <w:bCs/>
          <w:color w:val="002060"/>
          <w:sz w:val="16"/>
          <w:szCs w:val="16"/>
        </w:rPr>
        <w:t xml:space="preserve">1915 г. </w:t>
      </w:r>
      <w:r w:rsidRPr="00405303">
        <w:rPr>
          <w:bCs/>
          <w:color w:val="002060"/>
          <w:sz w:val="16"/>
          <w:szCs w:val="16"/>
        </w:rPr>
        <w:t>кораблестроительный отдел Главного управления кораблестроения, с разрешения морского министра, дал наряд Обществу Путиловских заводов, в которое входила Путиловская верфь, на переоборудование парохода под «авиационную базу — транспорт "Орлица" в срок до 1 апреля 1915 года»</w:t>
      </w:r>
      <w:r w:rsidR="00F37D70" w:rsidRPr="00405303">
        <w:rPr>
          <w:bCs/>
          <w:color w:val="002060"/>
          <w:sz w:val="16"/>
          <w:szCs w:val="16"/>
        </w:rPr>
        <w:t>. Путиловская верфь приступила к работам на судне 28 января. Они выполнялись близ 11-го пакгауза Петроградской портовой таможни, отданного в распоряжение верфи</w:t>
      </w:r>
      <w:r w:rsidRPr="00405303">
        <w:rPr>
          <w:bCs/>
          <w:color w:val="002060"/>
          <w:sz w:val="16"/>
          <w:szCs w:val="16"/>
        </w:rPr>
        <w:t xml:space="preserve"> (11333).</w:t>
      </w:r>
    </w:p>
    <w:p w14:paraId="414B3099" w14:textId="77777777" w:rsidR="004B4E35" w:rsidRPr="00405303" w:rsidRDefault="004B4E35" w:rsidP="00C15251">
      <w:pPr>
        <w:jc w:val="both"/>
        <w:rPr>
          <w:bCs/>
          <w:i/>
          <w:color w:val="002060"/>
          <w:sz w:val="16"/>
          <w:szCs w:val="16"/>
        </w:rPr>
      </w:pPr>
    </w:p>
    <w:p w14:paraId="7C94370B" w14:textId="77777777" w:rsidR="00E341E3" w:rsidRPr="00405303" w:rsidRDefault="00E341E3" w:rsidP="00C15251">
      <w:pPr>
        <w:jc w:val="both"/>
        <w:rPr>
          <w:bCs/>
          <w:i/>
          <w:color w:val="002060"/>
          <w:sz w:val="16"/>
          <w:szCs w:val="16"/>
        </w:rPr>
      </w:pPr>
      <w:r w:rsidRPr="00405303">
        <w:rPr>
          <w:bCs/>
          <w:i/>
          <w:color w:val="002060"/>
          <w:sz w:val="16"/>
          <w:szCs w:val="16"/>
        </w:rPr>
        <w:t>За рубежом:</w:t>
      </w:r>
    </w:p>
    <w:p w14:paraId="5D109C8D" w14:textId="77777777" w:rsidR="00E341E3" w:rsidRPr="00405303" w:rsidRDefault="00E341E3" w:rsidP="00C15251">
      <w:pPr>
        <w:jc w:val="both"/>
        <w:rPr>
          <w:bCs/>
          <w:i/>
          <w:color w:val="002060"/>
          <w:sz w:val="16"/>
          <w:szCs w:val="16"/>
        </w:rPr>
      </w:pPr>
    </w:p>
    <w:p w14:paraId="6152BB4A" w14:textId="77777777" w:rsidR="00E341E3" w:rsidRPr="00405303" w:rsidRDefault="00E341E3" w:rsidP="00C15251">
      <w:pPr>
        <w:jc w:val="both"/>
        <w:rPr>
          <w:bCs/>
          <w:color w:val="002060"/>
          <w:sz w:val="16"/>
          <w:szCs w:val="16"/>
        </w:rPr>
      </w:pPr>
      <w:r w:rsidRPr="00405303">
        <w:rPr>
          <w:bCs/>
          <w:color w:val="002060"/>
          <w:sz w:val="16"/>
          <w:szCs w:val="16"/>
        </w:rPr>
        <w:t>4 (17) февраля в 1915 году Германия начинает подводную войну (15043).</w:t>
      </w:r>
    </w:p>
    <w:p w14:paraId="3DE7FF91" w14:textId="77777777" w:rsidR="00E341E3" w:rsidRPr="00405303" w:rsidRDefault="00E341E3" w:rsidP="00C15251">
      <w:pPr>
        <w:jc w:val="both"/>
        <w:rPr>
          <w:bCs/>
          <w:color w:val="002060"/>
          <w:sz w:val="16"/>
          <w:szCs w:val="16"/>
        </w:rPr>
      </w:pPr>
    </w:p>
    <w:p w14:paraId="084436EB" w14:textId="77777777" w:rsidR="00E341E3" w:rsidRPr="00405303" w:rsidRDefault="00E341E3" w:rsidP="00C15251">
      <w:pPr>
        <w:jc w:val="both"/>
        <w:rPr>
          <w:bCs/>
          <w:color w:val="002060"/>
          <w:sz w:val="16"/>
          <w:szCs w:val="16"/>
        </w:rPr>
      </w:pPr>
      <w:r w:rsidRPr="00405303">
        <w:rPr>
          <w:bCs/>
          <w:color w:val="002060"/>
          <w:sz w:val="16"/>
          <w:szCs w:val="16"/>
        </w:rPr>
        <w:t>4 (17) февраля в 1915 году дирижабли L-3 и L-4 германского военного флота разбиваются на побережье Ютландии, попав в шторм при возвращении на базу после выполнения боевого задания (бомбардировки Великобритании) (15043).</w:t>
      </w:r>
    </w:p>
    <w:p w14:paraId="3BFB95A9" w14:textId="77777777" w:rsidR="00E341E3" w:rsidRPr="00405303" w:rsidRDefault="00E341E3" w:rsidP="00C15251">
      <w:pPr>
        <w:jc w:val="both"/>
        <w:rPr>
          <w:bCs/>
          <w:color w:val="002060"/>
          <w:sz w:val="16"/>
          <w:szCs w:val="16"/>
        </w:rPr>
      </w:pPr>
    </w:p>
    <w:p w14:paraId="2FD50283" w14:textId="1E33E02C" w:rsidR="004B4E35" w:rsidRPr="00405303" w:rsidRDefault="009E6F82" w:rsidP="00C15251">
      <w:pPr>
        <w:jc w:val="both"/>
        <w:rPr>
          <w:bCs/>
          <w:color w:val="002060"/>
          <w:sz w:val="16"/>
          <w:szCs w:val="16"/>
        </w:rPr>
      </w:pPr>
      <w:r w:rsidRPr="00405303">
        <w:rPr>
          <w:bCs/>
          <w:color w:val="002060"/>
          <w:sz w:val="16"/>
          <w:szCs w:val="16"/>
        </w:rPr>
        <w:t>4 (17) февраля</w:t>
      </w:r>
      <w:r w:rsidR="00F37D70" w:rsidRPr="00405303">
        <w:rPr>
          <w:bCs/>
          <w:color w:val="002060"/>
          <w:sz w:val="16"/>
          <w:szCs w:val="16"/>
        </w:rPr>
        <w:t xml:space="preserve"> 1914 г. состоялся званый обед с участием Черчилля</w:t>
      </w:r>
      <w:r w:rsidRPr="00405303">
        <w:rPr>
          <w:bCs/>
          <w:color w:val="002060"/>
          <w:sz w:val="16"/>
          <w:szCs w:val="16"/>
        </w:rPr>
        <w:t xml:space="preserve">. От R.N.A.S. присутствовали Суэтер, Хезерингтон, Стерн, Бригс. Абсурдность видений Хезерингтона, демонстрировавшего богатейшее воображение, не смутила Первого лорда даже при последующем обсуждении с адмиралом Джоном Фишером, не оставившем от них камня на камне. Вскоре будет ясно сколь здраво поступил Черчилль. Никто не понимал всю широту задачи так, как он, ибо волей судьбы владел всей полнотой информации, а именно: </w:t>
      </w:r>
    </w:p>
    <w:p w14:paraId="19CE32F5" w14:textId="77777777" w:rsidR="004B4E35" w:rsidRPr="00405303" w:rsidRDefault="009E6F82" w:rsidP="00C15251">
      <w:pPr>
        <w:jc w:val="both"/>
        <w:rPr>
          <w:bCs/>
          <w:color w:val="002060"/>
          <w:sz w:val="16"/>
          <w:szCs w:val="16"/>
        </w:rPr>
      </w:pPr>
      <w:r w:rsidRPr="00405303">
        <w:rPr>
          <w:bCs/>
          <w:color w:val="002060"/>
          <w:sz w:val="16"/>
          <w:szCs w:val="16"/>
        </w:rPr>
        <w:t xml:space="preserve">I. Успехи автобронеслужбы R.N.A.S. для Первого лорда Адмиралтейства не секрет, как не секрет, что траншеи для бронеавтомобилей непреодолимы. Однако ещё в ноябре 1914 года капитан Туллок, управлявший Пороховой компанией в Чильворте, сообщил свои мысли Морису Хэнки на счёт создания бронированного «сухопутного крейсера», способного добраться до неприятельских пушечных и гаубичных позиций, а позже довёл их и до Черчилля. </w:t>
      </w:r>
    </w:p>
    <w:p w14:paraId="1685B2E7" w14:textId="77777777" w:rsidR="004B4E35" w:rsidRPr="00405303" w:rsidRDefault="009E6F82" w:rsidP="00C15251">
      <w:pPr>
        <w:jc w:val="both"/>
        <w:rPr>
          <w:bCs/>
          <w:color w:val="002060"/>
          <w:sz w:val="16"/>
          <w:szCs w:val="16"/>
        </w:rPr>
      </w:pPr>
      <w:r w:rsidRPr="00405303">
        <w:rPr>
          <w:bCs/>
          <w:color w:val="002060"/>
          <w:sz w:val="16"/>
          <w:szCs w:val="16"/>
        </w:rPr>
        <w:t xml:space="preserve">II. Только что Свинтона постигла неудача — армия вынесла отрицательный вердикт по «Holt». Содержание меморандума Хэнки Черчиллю было хорошо известно, в январе 1915 он сам направил развёрнутое письмо в его поддержку на имя Премьера Асквита. В данном случае всего днём раньше, 16. 02. 1915 года на параде Конной Гвардии он лично встал между оглоблями одногусеничной (вспомним «Вездеход») прицепки «Pedrail» и выяснил, что может без труда буксировать 2 тонны. Инженер Брахам Диплок, владелец «Diplock» Caterpillar Tractor Company из Фулхэма заявил о существовании этой коммерческой тележки на конной тяге 14. 11. 1914 года, рекомендовал использовать для перевозки тяжёлых орудий и снаряжения по тяжёлым грунтам. Лорд Китченер ничего дельного в ней не нашёл, Черчилль решил осмотреть. Организация осмотра, кстати, не обошлась без участия Суэте-ра и Хезерингтона. </w:t>
      </w:r>
    </w:p>
    <w:p w14:paraId="222D0FDA" w14:textId="77777777" w:rsidR="004B4E35" w:rsidRPr="00405303" w:rsidRDefault="009E6F82" w:rsidP="00C15251">
      <w:pPr>
        <w:jc w:val="both"/>
        <w:rPr>
          <w:bCs/>
          <w:color w:val="002060"/>
          <w:sz w:val="16"/>
          <w:szCs w:val="16"/>
        </w:rPr>
      </w:pPr>
      <w:r w:rsidRPr="00405303">
        <w:rPr>
          <w:bCs/>
          <w:color w:val="002060"/>
          <w:sz w:val="16"/>
          <w:szCs w:val="16"/>
        </w:rPr>
        <w:t>III. 13.02.1915 года Черчилль выдал заказ на 30 тракторов тягачей «Daimler-Foster» R.M.A. (Royal Marine Artillery — Королевская Морская Артиллерия) — средство буксировки 15-дм гаубиц адмирала Бэкона (Артзаводы Ковентри). Приобретение орудий планировалось при условии комплектации подходящими тягачами. По заказу Бэкона тягач спроектировал Уильям Триттон, исполнительный директор «Lincolnengineers William Foster &amp; ОД». 01.11.1914 года первый образец вышел на испытания. Его большие ведущие колёса имели в диаметре 8 футов (какой ни есть, а Хезерингтону бальзам на душу) (12111).</w:t>
      </w:r>
    </w:p>
    <w:p w14:paraId="35C5E00F" w14:textId="77777777" w:rsidR="004B4E35" w:rsidRPr="00405303" w:rsidRDefault="004B4E35" w:rsidP="00C15251">
      <w:pPr>
        <w:jc w:val="both"/>
        <w:rPr>
          <w:bCs/>
          <w:color w:val="002060"/>
          <w:sz w:val="16"/>
          <w:szCs w:val="16"/>
        </w:rPr>
      </w:pPr>
    </w:p>
    <w:p w14:paraId="6BF58D4E" w14:textId="77777777" w:rsidR="00B16A24" w:rsidRPr="00405303" w:rsidRDefault="00B16A24" w:rsidP="00C15251">
      <w:pPr>
        <w:pStyle w:val="a3"/>
        <w:jc w:val="both"/>
        <w:rPr>
          <w:bCs/>
          <w:color w:val="002060"/>
          <w:spacing w:val="0"/>
          <w:kern w:val="0"/>
          <w:position w:val="0"/>
          <w:sz w:val="16"/>
          <w:szCs w:val="16"/>
        </w:rPr>
      </w:pPr>
      <w:r w:rsidRPr="00405303">
        <w:rPr>
          <w:bCs/>
          <w:color w:val="002060"/>
          <w:spacing w:val="0"/>
          <w:kern w:val="0"/>
          <w:position w:val="0"/>
          <w:sz w:val="16"/>
          <w:szCs w:val="16"/>
        </w:rPr>
        <w:t>За рубежом:</w:t>
      </w:r>
    </w:p>
    <w:p w14:paraId="463AD6CE" w14:textId="77777777" w:rsidR="00B16A24" w:rsidRPr="00405303" w:rsidRDefault="00B16A24" w:rsidP="00C15251">
      <w:pPr>
        <w:pStyle w:val="a3"/>
        <w:jc w:val="both"/>
        <w:rPr>
          <w:bCs/>
          <w:color w:val="002060"/>
          <w:spacing w:val="0"/>
          <w:kern w:val="0"/>
          <w:position w:val="0"/>
          <w:sz w:val="16"/>
          <w:szCs w:val="16"/>
        </w:rPr>
      </w:pPr>
    </w:p>
    <w:p w14:paraId="5A4F8536" w14:textId="77777777" w:rsidR="00B16A24" w:rsidRPr="00405303" w:rsidRDefault="00B16A24" w:rsidP="00C15251">
      <w:pPr>
        <w:jc w:val="both"/>
        <w:rPr>
          <w:bCs/>
          <w:color w:val="002060"/>
          <w:sz w:val="16"/>
          <w:szCs w:val="16"/>
        </w:rPr>
      </w:pPr>
      <w:r w:rsidRPr="00405303">
        <w:rPr>
          <w:bCs/>
          <w:color w:val="002060"/>
          <w:sz w:val="16"/>
          <w:szCs w:val="16"/>
        </w:rPr>
        <w:t xml:space="preserve">Многие источники называют «отцом» танка помощника секретаря Комитета Имперской обороны подполковника-сапёра Эрнеста Д. Свинтона. Если подвергнуть событийный ряд, приведший к появлению танка, анализу, то очевидно, Свинтон — далеко не определяющая фигура. Как проектировщик он не просматривается, а роль армии в раскрутке танковой темы вообще смехотворно мала. </w:t>
      </w:r>
    </w:p>
    <w:p w14:paraId="37B6436E" w14:textId="77777777" w:rsidR="00B16A24" w:rsidRPr="00405303" w:rsidRDefault="00B16A24" w:rsidP="00C15251">
      <w:pPr>
        <w:jc w:val="both"/>
        <w:rPr>
          <w:bCs/>
          <w:color w:val="002060"/>
          <w:sz w:val="16"/>
          <w:szCs w:val="16"/>
        </w:rPr>
      </w:pPr>
      <w:r w:rsidRPr="00405303">
        <w:rPr>
          <w:bCs/>
          <w:color w:val="002060"/>
          <w:sz w:val="16"/>
          <w:szCs w:val="16"/>
        </w:rPr>
        <w:t xml:space="preserve">Собственно, сам Свинтон на первенство не претендовал. Он подготовил известный документ о необходимости подвижных «бронированных фортов» для уничтожения проволочных заграждений и пулемётов, то, что было ясно уже многим. Заслуга Свинтона, причём величайшая, в том, что он, благодаря служебным возможностям, смог запустить «бумагу» по каналам, заставившим заработать армейскую административную машину. Причём случай весьма показательный. «Бумага» по армейской ветке дело не «раскочегарила», но мы видим, как работает система, обеспечивая компенсацию «сбоя» в одной «епархии» продуктивной работой смежных сфер. Объём статьи не позволяет в подтверждение сказанного достаточно широко рассмотреть перипетии в цепи тех драматических событий. Отметим наиболее важные. </w:t>
      </w:r>
    </w:p>
    <w:p w14:paraId="6645B27E" w14:textId="77777777" w:rsidR="00B16A24" w:rsidRPr="00405303" w:rsidRDefault="00B16A24" w:rsidP="00C15251">
      <w:pPr>
        <w:jc w:val="both"/>
        <w:rPr>
          <w:bCs/>
          <w:color w:val="002060"/>
          <w:sz w:val="16"/>
          <w:szCs w:val="16"/>
        </w:rPr>
      </w:pPr>
      <w:r w:rsidRPr="00405303">
        <w:rPr>
          <w:bCs/>
          <w:color w:val="002060"/>
          <w:sz w:val="16"/>
          <w:szCs w:val="16"/>
        </w:rPr>
        <w:t xml:space="preserve">Свинтон после возвращения из Франции, где выполнял обязанности официального военного корреспондента в британской экспедиционной армии, в частной беседе 7 (20). 10. 1914 года с подполковником Морисом Хэнки, секретарем Комитета Имперской обороны, высказал мысль о целесообразности создания «гусеничных истребителей пулемётов» на базе американских тракторов «Holt», используемых на фронте в качестве арттягачей. Ещё раз скажем — на тот момент суть этой идеи висела в воздухе, не было офицерской столовой, в которой не интерпретировали бы её и не обсуждали реализацию в той или иной форме. Хэнки подготовил к Рождеству соответствующий меморандум и распространил его среди членов Комитета, в частности, направил Первому лорду Адмиралтейства Уинстону Черчиллю, а также премьер-министру Асквиту. Прохождение идеи по армейским каналам, через Генеральный штаб, Госсекретаря по военным делам (военного министра) лорда Китченера, премьера Асквита, при активной, что не случайно, поддержке Черчилля вылилось в организацию. </w:t>
      </w:r>
    </w:p>
    <w:p w14:paraId="1ADD7C51" w14:textId="77777777" w:rsidR="00B16A24" w:rsidRPr="00405303" w:rsidRDefault="00B16A24" w:rsidP="00C15251">
      <w:pPr>
        <w:jc w:val="both"/>
        <w:rPr>
          <w:bCs/>
          <w:color w:val="002060"/>
          <w:sz w:val="16"/>
          <w:szCs w:val="16"/>
        </w:rPr>
      </w:pPr>
    </w:p>
    <w:p w14:paraId="3DF70286" w14:textId="77777777" w:rsidR="00B16A24" w:rsidRPr="00405303" w:rsidRDefault="00B16A24" w:rsidP="00C15251">
      <w:pPr>
        <w:jc w:val="both"/>
        <w:rPr>
          <w:bCs/>
          <w:color w:val="002060"/>
          <w:sz w:val="16"/>
          <w:szCs w:val="16"/>
        </w:rPr>
      </w:pPr>
      <w:r w:rsidRPr="00405303">
        <w:rPr>
          <w:bCs/>
          <w:color w:val="002060"/>
          <w:sz w:val="16"/>
          <w:szCs w:val="16"/>
        </w:rPr>
        <w:lastRenderedPageBreak/>
        <w:t>4 (17) февраля 1915 года комиссия в составе директоров департаментов фортификации, артиллерии и транспорта, созданная для проверки предложения Свинтона испытала «Holt» в весьма неблагоприятных для него условиях и сделала неутешительные выводы. На том всё и закончилось (12111).</w:t>
      </w:r>
    </w:p>
    <w:p w14:paraId="48289304" w14:textId="77777777" w:rsidR="00B16A24" w:rsidRPr="00405303" w:rsidRDefault="00B16A24" w:rsidP="00C15251">
      <w:pPr>
        <w:jc w:val="both"/>
        <w:rPr>
          <w:bCs/>
          <w:color w:val="002060"/>
          <w:sz w:val="16"/>
          <w:szCs w:val="16"/>
        </w:rPr>
      </w:pPr>
    </w:p>
    <w:p w14:paraId="509ECAA9" w14:textId="77777777" w:rsidR="001B7028" w:rsidRPr="00405303" w:rsidRDefault="001B7028" w:rsidP="001B7028">
      <w:pPr>
        <w:jc w:val="both"/>
        <w:rPr>
          <w:bCs/>
          <w:color w:val="002060"/>
          <w:sz w:val="16"/>
          <w:szCs w:val="16"/>
          <w:lang w:bidi="ru-RU"/>
        </w:rPr>
      </w:pPr>
      <w:r w:rsidRPr="00405303">
        <w:rPr>
          <w:bCs/>
          <w:i/>
          <w:color w:val="002060"/>
          <w:sz w:val="16"/>
          <w:szCs w:val="16"/>
        </w:rPr>
        <w:t>Авиация:</w:t>
      </w:r>
    </w:p>
    <w:p w14:paraId="76D18EC8" w14:textId="77777777" w:rsidR="001B7028" w:rsidRPr="00405303" w:rsidRDefault="001B7028" w:rsidP="001B7028">
      <w:pPr>
        <w:jc w:val="both"/>
        <w:rPr>
          <w:bCs/>
          <w:color w:val="002060"/>
          <w:sz w:val="16"/>
          <w:szCs w:val="16"/>
          <w:lang w:bidi="ru-RU"/>
        </w:rPr>
      </w:pPr>
    </w:p>
    <w:p w14:paraId="20444823" w14:textId="77777777" w:rsidR="001B7028" w:rsidRPr="00405303" w:rsidRDefault="001B7028" w:rsidP="001B7028">
      <w:pPr>
        <w:jc w:val="both"/>
        <w:rPr>
          <w:color w:val="0070C0"/>
          <w:sz w:val="16"/>
          <w:szCs w:val="16"/>
        </w:rPr>
      </w:pPr>
      <w:r w:rsidRPr="00405303">
        <w:rPr>
          <w:color w:val="0070C0"/>
          <w:sz w:val="16"/>
          <w:szCs w:val="16"/>
        </w:rPr>
        <w:t>5 (18) февраля 1915 г. немецкая авиация совершила групповой налет на город-крепость Гродно (25135).</w:t>
      </w:r>
    </w:p>
    <w:p w14:paraId="76903D2E" w14:textId="77777777" w:rsidR="001B7028" w:rsidRPr="00405303" w:rsidRDefault="001B7028" w:rsidP="001B7028">
      <w:pPr>
        <w:jc w:val="both"/>
        <w:rPr>
          <w:color w:val="0070C0"/>
          <w:sz w:val="16"/>
          <w:szCs w:val="16"/>
        </w:rPr>
      </w:pPr>
    </w:p>
    <w:p w14:paraId="03316C54" w14:textId="77777777" w:rsidR="00E341E3" w:rsidRPr="00405303" w:rsidRDefault="00E341E3" w:rsidP="00C15251">
      <w:pPr>
        <w:jc w:val="both"/>
        <w:rPr>
          <w:bCs/>
          <w:i/>
          <w:color w:val="002060"/>
          <w:sz w:val="16"/>
          <w:szCs w:val="16"/>
        </w:rPr>
      </w:pPr>
      <w:r w:rsidRPr="00405303">
        <w:rPr>
          <w:bCs/>
          <w:i/>
          <w:color w:val="002060"/>
          <w:sz w:val="16"/>
          <w:szCs w:val="16"/>
        </w:rPr>
        <w:t>Жизнь и внутренняя политика:</w:t>
      </w:r>
    </w:p>
    <w:p w14:paraId="1A1593EE" w14:textId="77777777" w:rsidR="00E341E3" w:rsidRPr="00405303" w:rsidRDefault="00E341E3" w:rsidP="00C15251">
      <w:pPr>
        <w:jc w:val="both"/>
        <w:rPr>
          <w:bCs/>
          <w:i/>
          <w:color w:val="002060"/>
          <w:sz w:val="16"/>
          <w:szCs w:val="16"/>
        </w:rPr>
      </w:pPr>
    </w:p>
    <w:p w14:paraId="48D8DAE5" w14:textId="16EB0D91" w:rsidR="00E341E3" w:rsidRPr="00405303" w:rsidRDefault="00E341E3" w:rsidP="00C15251">
      <w:pPr>
        <w:pStyle w:val="ae"/>
        <w:spacing w:before="0" w:beforeAutospacing="0" w:after="0" w:afterAutospacing="0"/>
        <w:jc w:val="both"/>
        <w:rPr>
          <w:bCs/>
          <w:color w:val="002060"/>
          <w:sz w:val="16"/>
          <w:szCs w:val="16"/>
        </w:rPr>
      </w:pPr>
      <w:r w:rsidRPr="00405303">
        <w:rPr>
          <w:bCs/>
          <w:color w:val="002060"/>
          <w:sz w:val="16"/>
          <w:szCs w:val="16"/>
        </w:rPr>
        <w:t xml:space="preserve">5 </w:t>
      </w:r>
      <w:r w:rsidR="00F37D70" w:rsidRPr="00405303">
        <w:rPr>
          <w:bCs/>
          <w:color w:val="002060"/>
          <w:sz w:val="16"/>
          <w:szCs w:val="16"/>
        </w:rPr>
        <w:t xml:space="preserve">(18) </w:t>
      </w:r>
      <w:r w:rsidRPr="00405303">
        <w:rPr>
          <w:bCs/>
          <w:color w:val="002060"/>
          <w:sz w:val="16"/>
          <w:szCs w:val="16"/>
        </w:rPr>
        <w:t>февраля 1915 г. благодаря настоянию вел. кн. Сергея Михайловича Сухомлинов и Кузьмин-Караваев вновь обратились в Совет министров с предложением утвердить правила «об особом положении». В представлении на этот раз выдвигались новые мотивы: а) рост революционного движения среди рабочих и б) сманивание рабочих с казенных предприятий частными заводами, которые, получая от казны авансы и бешеные прибыли, платили больше, чем на казенных заводах. В нем говорилось: «Хотя с начала войны спокойное течение работ в технических артиллерийских заведениях не нарушалось, но за последнее время были случаи демонстративных забастовок на частных Петроградских заводах, в коих начинают появляться прокламации, призывающие к агитации, направленной к прекращению войны и перемене форм правления»</w:t>
      </w:r>
      <w:bookmarkStart w:id="34" w:name="112r"/>
      <w:bookmarkEnd w:id="34"/>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"112p"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112</w:t>
      </w:r>
      <w:r w:rsidR="00617EB0" w:rsidRPr="00405303">
        <w:rPr>
          <w:bCs/>
          <w:color w:val="002060"/>
          <w:sz w:val="16"/>
          <w:szCs w:val="16"/>
          <w:vertAlign w:val="superscript"/>
        </w:rPr>
        <w:fldChar w:fldCharType="end"/>
      </w:r>
      <w:r w:rsidRPr="00405303">
        <w:rPr>
          <w:bCs/>
          <w:color w:val="002060"/>
          <w:sz w:val="16"/>
          <w:szCs w:val="16"/>
        </w:rPr>
        <w:t>. Далее приводилось сообщение начальника Самарского трубочного завода о наличии «брожения» среди рабочих «еще с начала декабря», об аресте жандармами 13 декабря трех рабочих «за принадлежность к социал-демократической организации». При обыске у рабочих были найдены прокламации с призывом «к выступлению в целях прекращения войны и созыва Учредительного собрания». Таковы факты, на которые ссылалось военное ведомство.</w:t>
      </w:r>
    </w:p>
    <w:p w14:paraId="42524DF8" w14:textId="77777777" w:rsidR="00E341E3" w:rsidRPr="00405303" w:rsidRDefault="00E341E3" w:rsidP="00C15251">
      <w:pPr>
        <w:pStyle w:val="ae"/>
        <w:spacing w:before="0" w:beforeAutospacing="0" w:after="0" w:afterAutospacing="0"/>
        <w:jc w:val="both"/>
        <w:rPr>
          <w:bCs/>
          <w:color w:val="002060"/>
          <w:sz w:val="16"/>
          <w:szCs w:val="16"/>
        </w:rPr>
      </w:pPr>
      <w:r w:rsidRPr="00405303">
        <w:rPr>
          <w:bCs/>
          <w:color w:val="002060"/>
          <w:sz w:val="16"/>
          <w:szCs w:val="16"/>
        </w:rPr>
        <w:t>Они показывают, что, с одной стороны, работа большевиков не прекратилась, что их влияние проникло на военные предприятия; с другой стороны, они говорят, что администрация заводов и правительство внимательно следили за настроением рабочих, вели беспощадную борьбу с революционными представителями рабочего класса. Для военного министра обстановка на военных предприятиях в конце 1914 г. внушала опасение, и он требовал введения особого режима для рабочих.</w:t>
      </w:r>
    </w:p>
    <w:p w14:paraId="6A860792" w14:textId="77777777" w:rsidR="00E341E3" w:rsidRPr="00405303" w:rsidRDefault="00E341E3" w:rsidP="00C15251">
      <w:pPr>
        <w:pStyle w:val="ae"/>
        <w:spacing w:before="0" w:beforeAutospacing="0" w:after="0" w:afterAutospacing="0"/>
        <w:jc w:val="both"/>
        <w:rPr>
          <w:bCs/>
          <w:color w:val="002060"/>
          <w:sz w:val="16"/>
          <w:szCs w:val="16"/>
        </w:rPr>
      </w:pPr>
      <w:r w:rsidRPr="00405303">
        <w:rPr>
          <w:bCs/>
          <w:color w:val="002060"/>
          <w:sz w:val="16"/>
          <w:szCs w:val="16"/>
        </w:rPr>
        <w:t>13 февраля Совет министров обсудил представление военного ведомства и вновь отклонил его, о чем председатель Совета министров известил В. А. Сухомлинова письмом от 19 февраля 1915 г.</w:t>
      </w:r>
      <w:bookmarkStart w:id="35" w:name="113r"/>
      <w:bookmarkEnd w:id="35"/>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"113p"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113</w:t>
      </w:r>
      <w:r w:rsidR="00617EB0" w:rsidRPr="00405303">
        <w:rPr>
          <w:bCs/>
          <w:color w:val="002060"/>
          <w:sz w:val="16"/>
          <w:szCs w:val="16"/>
          <w:vertAlign w:val="superscript"/>
        </w:rPr>
        <w:fldChar w:fldCharType="end"/>
      </w:r>
      <w:r w:rsidRPr="00405303">
        <w:rPr>
          <w:bCs/>
          <w:color w:val="002060"/>
          <w:sz w:val="16"/>
          <w:szCs w:val="16"/>
        </w:rPr>
        <w:t>. И на этот раз доводы министра внутренних дел оказались более убедительными, чем настойчивые указания Ставки о нехватке военного снаряжения и троекратное представление главы ведомства, более других отвечавшего за ход войны.</w:t>
      </w:r>
    </w:p>
    <w:p w14:paraId="32DD5C22" w14:textId="77777777" w:rsidR="00E341E3" w:rsidRPr="00405303" w:rsidRDefault="00E341E3" w:rsidP="00C15251">
      <w:pPr>
        <w:pStyle w:val="ae"/>
        <w:spacing w:before="0" w:beforeAutospacing="0" w:after="0" w:afterAutospacing="0"/>
        <w:jc w:val="both"/>
        <w:rPr>
          <w:bCs/>
          <w:color w:val="002060"/>
          <w:sz w:val="16"/>
          <w:szCs w:val="16"/>
        </w:rPr>
      </w:pPr>
      <w:r w:rsidRPr="00405303">
        <w:rPr>
          <w:bCs/>
          <w:color w:val="002060"/>
          <w:sz w:val="16"/>
          <w:szCs w:val="16"/>
        </w:rPr>
        <w:t>И. Л. Горемыкин писал В. А. Сухомлинову, что его представление отклонено потому, что оно является «при наблюдаемом ныне и удостоверенном министром внутренних дел вполне спокойном и лояльном настроении фабрично-заводского населения, несвоевременным и могущим лишь подать повод к нежелательным толкам и волнениям». Последние слова выдают «секрет». Правительство боялось вызвать волнения, поэтому и отклонило меру, к тому времени проведенную в других воевавших странах. Правда, Совет министров на этот раз не мог просто отклонить представление военного ведомства, ибо не хотел брать на себя ответственность за последствия. Для виду он пошел на некоторую уступку. На том же заседании Совета министров было вынесено решение об организации при Военном министерстве совещания для обсуждения вопроса о «прикреплении» рабочих к предприятиям и милитаризации производства. По этому предложению технический персонал предприятий, рабочие и служащие рассматривались призванными на военную службу.</w:t>
      </w:r>
    </w:p>
    <w:p w14:paraId="712453FF" w14:textId="77777777" w:rsidR="00E341E3" w:rsidRPr="00405303" w:rsidRDefault="00E341E3" w:rsidP="00C15251">
      <w:pPr>
        <w:pStyle w:val="ae"/>
        <w:spacing w:before="0" w:beforeAutospacing="0" w:after="0" w:afterAutospacing="0"/>
        <w:jc w:val="both"/>
        <w:rPr>
          <w:bCs/>
          <w:color w:val="002060"/>
          <w:sz w:val="16"/>
          <w:szCs w:val="16"/>
        </w:rPr>
      </w:pPr>
      <w:r w:rsidRPr="00405303">
        <w:rPr>
          <w:bCs/>
          <w:color w:val="002060"/>
          <w:sz w:val="16"/>
          <w:szCs w:val="16"/>
        </w:rPr>
        <w:t>Однако на этом дело не прекратилось. Дальнейшее наступление на правительство повел вел. кн. Сергей Михайлович. В феврале он написал рескрипт председателю Совета министров с просьбой утвердить проект Главного артиллерийского управления о милитаризации и подчинении особым законам военного времени частных заводов, работающих на оборону страны</w:t>
      </w:r>
      <w:bookmarkStart w:id="36" w:name="114r"/>
      <w:bookmarkEnd w:id="36"/>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"114p"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114</w:t>
      </w:r>
      <w:r w:rsidR="00617EB0" w:rsidRPr="00405303">
        <w:rPr>
          <w:bCs/>
          <w:color w:val="002060"/>
          <w:sz w:val="16"/>
          <w:szCs w:val="16"/>
          <w:vertAlign w:val="superscript"/>
        </w:rPr>
        <w:fldChar w:fldCharType="end"/>
      </w:r>
      <w:r w:rsidRPr="00405303">
        <w:rPr>
          <w:bCs/>
          <w:color w:val="002060"/>
          <w:sz w:val="16"/>
          <w:szCs w:val="16"/>
        </w:rPr>
        <w:t>. Но и это не могло поколебать позицию правительства. Спустя несколько дней тот же высокопоставленный свидетель, давая устные объяснения Верховной комиссии у себя во дворце, еще раз указал на эту коренную ошибку правительства</w:t>
      </w:r>
      <w:bookmarkStart w:id="37" w:name="115r"/>
      <w:bookmarkEnd w:id="37"/>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"115p"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115</w:t>
      </w:r>
      <w:r w:rsidR="00617EB0" w:rsidRPr="00405303">
        <w:rPr>
          <w:bCs/>
          <w:color w:val="002060"/>
          <w:sz w:val="16"/>
          <w:szCs w:val="16"/>
          <w:vertAlign w:val="superscript"/>
        </w:rPr>
        <w:fldChar w:fldCharType="end"/>
      </w:r>
      <w:r w:rsidRPr="00405303">
        <w:rPr>
          <w:bCs/>
          <w:color w:val="002060"/>
          <w:sz w:val="16"/>
          <w:szCs w:val="16"/>
        </w:rPr>
        <w:t>. Предложение великого князя и на этот раз было поддержано военным министром. По мнению В. А. Сухомлинова, предлагаемая великим князем мера аналогична с осуществленной во Франции милитаризацией заводов и преследует одну и ту же цель — «ограждение интересов государственности», т. е. буржуазии и помещиков и их политики доведения войны до победы. Но Совет миниметров, боясь осложнений с рабочим классом, категорически отказался принять предложение, которое могло бы «нарушить мирное настроение рабочих и вызвать ненужные толки и волнения». Совет министров пошел за министрами внутренних дел и торговли и промышленности, которые удостоверяли, что среди фабрично-заводских рабочих нет «никакого брожения, могущего угрожать интересам государственной обороны». Одновременно не забыли привести и другие чисто экономические соображения, почерпнутые из времен выработки положения об освобождении крестьян, — бо́льшую производительность «вольнонаемного труда по сравнению с подневольным». Совет министров принял позу защитника прогресса от сторонников «подневольного труда».</w:t>
      </w:r>
    </w:p>
    <w:p w14:paraId="19B76110" w14:textId="77777777" w:rsidR="00E341E3" w:rsidRPr="00405303" w:rsidRDefault="00E341E3" w:rsidP="00C15251">
      <w:pPr>
        <w:pStyle w:val="ae"/>
        <w:spacing w:before="0" w:beforeAutospacing="0" w:after="0" w:afterAutospacing="0"/>
        <w:jc w:val="both"/>
        <w:rPr>
          <w:bCs/>
          <w:color w:val="002060"/>
          <w:sz w:val="16"/>
          <w:szCs w:val="16"/>
        </w:rPr>
      </w:pPr>
      <w:r w:rsidRPr="00405303">
        <w:rPr>
          <w:bCs/>
          <w:color w:val="002060"/>
          <w:sz w:val="16"/>
          <w:szCs w:val="16"/>
        </w:rPr>
        <w:t>Для борьбы с переманиванием квалифицированных рабочих Совет министров рекомендовал повысить расценки их труда. Правительство соглашалось на дополнительные расходы казны, считая «такую меру во всяком случае предпочтительнее, нежели принятие каких-либо исключительных мер по отношению к личному составу обслуживающих потребности государственной обороны заводов»</w:t>
      </w:r>
      <w:bookmarkStart w:id="38" w:name="116r"/>
      <w:bookmarkEnd w:id="38"/>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"116p"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116</w:t>
      </w:r>
      <w:r w:rsidR="00617EB0" w:rsidRPr="00405303">
        <w:rPr>
          <w:bCs/>
          <w:color w:val="002060"/>
          <w:sz w:val="16"/>
          <w:szCs w:val="16"/>
          <w:vertAlign w:val="superscript"/>
        </w:rPr>
        <w:fldChar w:fldCharType="end"/>
      </w:r>
      <w:r w:rsidRPr="00405303">
        <w:rPr>
          <w:bCs/>
          <w:color w:val="002060"/>
          <w:sz w:val="16"/>
          <w:szCs w:val="16"/>
        </w:rPr>
        <w:t>. Оно отказалось устанавливать какие-либо ограничения в переходе рабочих и служащих с казенных предприятий на частные. В отношении же частных заводов тем более не признавалось никакой особой регламентации. Удивительно, что в конце заседания Совет министров неожиданно встал на позицию милитаризации предприятий «с объявлением всех их служащих и рабочих состоящими на военной службе» и с освобождением от призыва к строевой службе. Такое решение вопроса казалось правительству наилучшим может быть потому, что в случае недовольства рабочих последних сначала припугнули бы отправкой на фронт, а потом, в случае необходимости, осуществили бы эту угрозу на самом деле. Однако признание милитаризации как наилучшего способа «обуздания» рабочих пока что было только теоретическим.</w:t>
      </w:r>
    </w:p>
    <w:p w14:paraId="2B136D5E" w14:textId="77777777" w:rsidR="00E341E3" w:rsidRPr="00405303" w:rsidRDefault="00E341E3" w:rsidP="00C15251">
      <w:pPr>
        <w:pStyle w:val="ae"/>
        <w:spacing w:before="0" w:beforeAutospacing="0" w:after="0" w:afterAutospacing="0"/>
        <w:jc w:val="both"/>
        <w:rPr>
          <w:bCs/>
          <w:color w:val="002060"/>
          <w:sz w:val="16"/>
          <w:szCs w:val="16"/>
        </w:rPr>
      </w:pPr>
      <w:r w:rsidRPr="00405303">
        <w:rPr>
          <w:bCs/>
          <w:color w:val="002060"/>
          <w:sz w:val="16"/>
          <w:szCs w:val="16"/>
        </w:rPr>
        <w:t>Тем временем начала работать комиссия, образованная при Военном министерстве для проработки вопроса о милитаризации рабочих. Председателем комиссии был генерал от артиллерии Кузьмин-Караваев, не отличавшийся ни особой распорядительностью, ни смелостью своих суждений, ни даже глубоким пониманием связи между войной и проблемами экономики. Комиссия была чрезвычайно громоздкая — в ней было 24 члена, в том числе представители министерств: торговли и промышленности, внутренних дел, юстиции, морского и представители многочисленных главных управлений Военного министерства, ряда технических артиллерийских заведений и даже три человека от штаба 6-й армии, которая не воевала. Комиссия работала отнюдь не военными темпами. Чтобы провести шесть заседаний, потребовалось более полутора месяцев: первое заседание состоялось 31 марта, а последнее — 18 мая 1915 г.</w:t>
      </w:r>
      <w:bookmarkStart w:id="39" w:name="117r"/>
      <w:bookmarkEnd w:id="39"/>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"117p"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117</w:t>
      </w:r>
      <w:r w:rsidR="00617EB0" w:rsidRPr="00405303">
        <w:rPr>
          <w:bCs/>
          <w:color w:val="002060"/>
          <w:sz w:val="16"/>
          <w:szCs w:val="16"/>
          <w:vertAlign w:val="superscript"/>
        </w:rPr>
        <w:fldChar w:fldCharType="end"/>
      </w:r>
      <w:r w:rsidRPr="00405303">
        <w:rPr>
          <w:bCs/>
          <w:color w:val="002060"/>
          <w:sz w:val="16"/>
          <w:szCs w:val="16"/>
        </w:rPr>
        <w:t>. По окончании работ этой комиссии военный министр В. А. Сухомлинов и новый начальник ГАУ А. А. Маниковский вошли в Совет министров с новым представлением о милитаризации промышленности. В этом представлении был кратко изложен результат работы упомянутой выше комиссии.</w:t>
      </w:r>
    </w:p>
    <w:p w14:paraId="23577EB9" w14:textId="77777777" w:rsidR="00E341E3" w:rsidRPr="00405303" w:rsidRDefault="00E341E3" w:rsidP="00C15251">
      <w:pPr>
        <w:pStyle w:val="ae"/>
        <w:spacing w:before="0" w:beforeAutospacing="0" w:after="0" w:afterAutospacing="0"/>
        <w:jc w:val="both"/>
        <w:rPr>
          <w:bCs/>
          <w:color w:val="002060"/>
          <w:sz w:val="16"/>
          <w:szCs w:val="16"/>
        </w:rPr>
      </w:pPr>
      <w:r w:rsidRPr="00405303">
        <w:rPr>
          <w:bCs/>
          <w:color w:val="002060"/>
          <w:sz w:val="16"/>
          <w:szCs w:val="16"/>
        </w:rPr>
        <w:t>Ссылаясь на материалы, полученные из Лондона и Парижа о милитаризации промышленности в Англии и Франции, комиссия и Военное министерство видели суть милитаризации, осуществленной у союзников, лишь в праве военных органов требовать от владельцев предприятий выполнения всякого рода военных работ или даже брать частные заводы в распоряжение казны. Рассмотрение заграничной практики привело работников военного ведомства к неправильному выводу о том, что за границей никакого личного закрепления рабочих и служащих за предприятиями не существует.</w:t>
      </w:r>
    </w:p>
    <w:p w14:paraId="6EA5554C" w14:textId="7C5553A4" w:rsidR="00E341E3" w:rsidRPr="00405303" w:rsidRDefault="00E341E3" w:rsidP="00C15251">
      <w:pPr>
        <w:pStyle w:val="ae"/>
        <w:spacing w:before="0" w:beforeAutospacing="0" w:after="0" w:afterAutospacing="0"/>
        <w:jc w:val="both"/>
        <w:rPr>
          <w:bCs/>
          <w:color w:val="002060"/>
          <w:sz w:val="16"/>
          <w:szCs w:val="16"/>
        </w:rPr>
      </w:pPr>
      <w:r w:rsidRPr="00405303">
        <w:rPr>
          <w:bCs/>
          <w:color w:val="002060"/>
          <w:sz w:val="16"/>
          <w:szCs w:val="16"/>
        </w:rPr>
        <w:t>Обращаясь к русским законам, совещание находило, что законы 4 сентября и 17 октября 1914 г.</w:t>
      </w:r>
      <w:bookmarkStart w:id="40" w:name="118r"/>
      <w:bookmarkEnd w:id="40"/>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"118p"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118</w:t>
      </w:r>
      <w:r w:rsidR="00617EB0" w:rsidRPr="00405303">
        <w:rPr>
          <w:bCs/>
          <w:color w:val="002060"/>
          <w:sz w:val="16"/>
          <w:szCs w:val="16"/>
          <w:vertAlign w:val="superscript"/>
        </w:rPr>
        <w:fldChar w:fldCharType="end"/>
      </w:r>
      <w:r w:rsidR="00DB4D64" w:rsidRPr="00405303">
        <w:rPr>
          <w:bCs/>
          <w:color w:val="002060"/>
          <w:sz w:val="16"/>
          <w:szCs w:val="16"/>
        </w:rPr>
        <w:t xml:space="preserve"> </w:t>
      </w:r>
      <w:r w:rsidRPr="00405303">
        <w:rPr>
          <w:bCs/>
          <w:color w:val="002060"/>
          <w:sz w:val="16"/>
          <w:szCs w:val="16"/>
        </w:rPr>
        <w:t>дают военному ведомству возможность «обращения» частной собственности на нужды войны не в меньшей мере, чем в Западной Европе. Совещание определило, что под понятием «милитаризация промышленности» в России следует считать «возможно широкое комплектование всего контингента служащих отставными военными, отбывшими срок службы в войсках, а также запасными, которые в случае каких-либо замешательств призывались бы на действительную военную службу с оставлением их при исполнении прежних служебных обязанностей». Фактически комиссия признала возможность милитаризации для учреждений «служащих», распространив ее только на отставных военных, а не на весь персонал без ограничения. Однако и в изложенном выше чисто полицейско-юридическом понимании дела милитаризация применительно к «фабричным заведениям» была отвергнута совещанием, так как ее применение было найдено «в течение настоящей войны несвоевременным»</w:t>
      </w:r>
      <w:bookmarkStart w:id="41" w:name="119r"/>
      <w:bookmarkEnd w:id="41"/>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"119p"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119</w:t>
      </w:r>
      <w:r w:rsidR="00617EB0" w:rsidRPr="00405303">
        <w:rPr>
          <w:bCs/>
          <w:color w:val="002060"/>
          <w:sz w:val="16"/>
          <w:szCs w:val="16"/>
          <w:vertAlign w:val="superscript"/>
        </w:rPr>
        <w:fldChar w:fldCharType="end"/>
      </w:r>
      <w:r w:rsidRPr="00405303">
        <w:rPr>
          <w:bCs/>
          <w:color w:val="002060"/>
          <w:sz w:val="16"/>
          <w:szCs w:val="16"/>
        </w:rPr>
        <w:t>.</w:t>
      </w:r>
    </w:p>
    <w:p w14:paraId="57C6397F" w14:textId="77777777" w:rsidR="00E341E3" w:rsidRPr="00405303" w:rsidRDefault="00E341E3" w:rsidP="00C15251">
      <w:pPr>
        <w:pStyle w:val="ae"/>
        <w:spacing w:before="0" w:beforeAutospacing="0" w:after="0" w:afterAutospacing="0"/>
        <w:jc w:val="both"/>
        <w:rPr>
          <w:bCs/>
          <w:color w:val="002060"/>
          <w:sz w:val="16"/>
          <w:szCs w:val="16"/>
        </w:rPr>
      </w:pPr>
      <w:r w:rsidRPr="00405303">
        <w:rPr>
          <w:bCs/>
          <w:color w:val="002060"/>
          <w:sz w:val="16"/>
          <w:szCs w:val="16"/>
        </w:rPr>
        <w:t xml:space="preserve">Совещание признало, при возражении представителя Министерства торговли и промышленности, необходимым известные правила, «клонящиеся к закреплению в той или иной форме служащих и рабочих в предприятиях». Однако совещание и на этот раз высказалось против издания общего закона, обязательного для всех предприятий. Было решено провести эти меры втихомолку. Военные власти должны были получить право применять в случае надобности эти ограничения, суть </w:t>
      </w:r>
      <w:r w:rsidRPr="00405303">
        <w:rPr>
          <w:bCs/>
          <w:color w:val="002060"/>
          <w:sz w:val="16"/>
          <w:szCs w:val="16"/>
        </w:rPr>
        <w:lastRenderedPageBreak/>
        <w:t>которых заключалась в запрещении вольнонаемным рабочим и служащим оставлять работу и предприятия без согласия администрации. Начальники казенных оборонных предприятий наделялись правом применять к подчиненным репрессии в пределах прав командиров дивизий.</w:t>
      </w:r>
    </w:p>
    <w:p w14:paraId="6A98A4C3" w14:textId="77777777" w:rsidR="00E341E3" w:rsidRPr="00405303" w:rsidRDefault="00E341E3" w:rsidP="00C15251">
      <w:pPr>
        <w:pStyle w:val="ae"/>
        <w:spacing w:before="0" w:beforeAutospacing="0" w:after="0" w:afterAutospacing="0"/>
        <w:jc w:val="both"/>
        <w:rPr>
          <w:bCs/>
          <w:color w:val="002060"/>
          <w:sz w:val="16"/>
          <w:szCs w:val="16"/>
        </w:rPr>
      </w:pPr>
      <w:r w:rsidRPr="00405303">
        <w:rPr>
          <w:bCs/>
          <w:color w:val="002060"/>
          <w:sz w:val="16"/>
          <w:szCs w:val="16"/>
        </w:rPr>
        <w:t>Эти предложения, выработанные совещанием, были одобрены Военным советом и представлены на утверждение Совета министров. К представлению военного министра была приложена справка Министерства торговли и промышленности о забастовочном движении на частных предприятиях. Из этой справки видно, что на частных заводах с декабря 1914 г. по апрель 1915 г. было 393 забастовки, во время которых было потеряно свыше 377 тыс. рабочих дней, или 87% от общего количества потерянного времени на всех бастовавших предприятиях</w:t>
      </w:r>
      <w:bookmarkStart w:id="42" w:name="120r"/>
      <w:bookmarkEnd w:id="42"/>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"120p"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120</w:t>
      </w:r>
      <w:r w:rsidR="00617EB0" w:rsidRPr="00405303">
        <w:rPr>
          <w:bCs/>
          <w:color w:val="002060"/>
          <w:sz w:val="16"/>
          <w:szCs w:val="16"/>
          <w:vertAlign w:val="superscript"/>
        </w:rPr>
        <w:fldChar w:fldCharType="end"/>
      </w:r>
      <w:r w:rsidRPr="00405303">
        <w:rPr>
          <w:bCs/>
          <w:color w:val="002060"/>
          <w:sz w:val="16"/>
          <w:szCs w:val="16"/>
        </w:rPr>
        <w:t>. Количество забастовок увеличилось: на апрель приходилось свыше 268 тыс. потерянных рабочих дней. Из приведенных данных министр торговли делал вывод против милитаризации, так как боялся выступлений «противоправительственных элементов». Кроме того, он полагал, что администрация предприятий легко справится с текучестью рабочих, особенно большой среди тех рабочих, которых «легко заменить», т. е. неквалифицированных. Однако остальные члены совещания и военный министр делали из этих фактов противоположные выводы. Военный министр просил дать право применять особое правило, по усмотрению военного начальства на местах, начальникам военных округов, командующим войсками и т. п. В связи с обсуждением в Совете министров правил, представленных Особым совещанием при Военном министерстве, министр торговли и промышленности обратился 26 июня 1915 г. к Горемыкину с особым письмом, в котором резко выступал против предложенной военным ведомством меры закрепления рабочих</w:t>
      </w:r>
      <w:bookmarkStart w:id="43" w:name="121r"/>
      <w:bookmarkEnd w:id="43"/>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"121p"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121</w:t>
      </w:r>
      <w:r w:rsidR="00617EB0" w:rsidRPr="00405303">
        <w:rPr>
          <w:bCs/>
          <w:color w:val="002060"/>
          <w:sz w:val="16"/>
          <w:szCs w:val="16"/>
          <w:vertAlign w:val="superscript"/>
        </w:rPr>
        <w:fldChar w:fldCharType="end"/>
      </w:r>
      <w:r w:rsidRPr="00405303">
        <w:rPr>
          <w:bCs/>
          <w:color w:val="002060"/>
          <w:sz w:val="16"/>
          <w:szCs w:val="16"/>
        </w:rPr>
        <w:t>. По его мнению, предлагаемая мера «насильственного удержания» на предприятиях невоеннообязанных рабочих может породить лишь недовольство в рабочей среде и будет истолкована рабочими как желание правительства заставить их работать на менее выгодных условиях, чем те, которые бы они получили в другом месте. Желание найти более выгодные условия работы и «побуждают работников уходить с одного места на другое».</w:t>
      </w:r>
    </w:p>
    <w:p w14:paraId="7CF5AEB1" w14:textId="77777777" w:rsidR="00E341E3" w:rsidRPr="00405303" w:rsidRDefault="00E341E3" w:rsidP="00C15251">
      <w:pPr>
        <w:pStyle w:val="ae"/>
        <w:spacing w:before="0" w:beforeAutospacing="0" w:after="0" w:afterAutospacing="0"/>
        <w:jc w:val="both"/>
        <w:rPr>
          <w:bCs/>
          <w:color w:val="002060"/>
          <w:sz w:val="16"/>
          <w:szCs w:val="16"/>
        </w:rPr>
      </w:pPr>
      <w:r w:rsidRPr="00405303">
        <w:rPr>
          <w:bCs/>
          <w:color w:val="002060"/>
          <w:sz w:val="16"/>
          <w:szCs w:val="16"/>
        </w:rPr>
        <w:t>Из письма В. Н. Шаховского мы узнаем также, что, оказывается, вопрос об обеспечении предприятий рабочей силой обсуждался в Ставке, на заседании Совета министров под председательством царя. На этом заседании верховный главнокомандующий вел. кн. Николай Николаевич высказался за то, чтобы в целях обеспечения предприятий, работающих на армию, рабочей силой рабочие и служащие, подлежащие призыву, призывались к исполнению воинской повинности и затем оставлялись на заводах «для выполнения заводских работ».</w:t>
      </w:r>
    </w:p>
    <w:p w14:paraId="783BC50B" w14:textId="77777777" w:rsidR="00E341E3" w:rsidRPr="00405303" w:rsidRDefault="00E341E3" w:rsidP="00C15251">
      <w:pPr>
        <w:pStyle w:val="ae"/>
        <w:spacing w:before="0" w:beforeAutospacing="0" w:after="0" w:afterAutospacing="0"/>
        <w:jc w:val="both"/>
        <w:rPr>
          <w:bCs/>
          <w:color w:val="002060"/>
          <w:sz w:val="16"/>
          <w:szCs w:val="16"/>
        </w:rPr>
      </w:pPr>
      <w:r w:rsidRPr="00405303">
        <w:rPr>
          <w:bCs/>
          <w:color w:val="002060"/>
          <w:sz w:val="16"/>
          <w:szCs w:val="16"/>
        </w:rPr>
        <w:t>12 и 30 июня 1915 г. вопрос о милираризации промышленности, поднятый военным ведомством, обсуждался в Совете министров. В журнале заседания Совета министров кроме изложения истории вопроса повторены и мотивы, почему отклонялись ходатайства военного ведомства. Ссылаясь главным образом на соображения министра торговли и промышленности, которые были поддержаны другими членами Совета, Совет министров нашел, что ранее приводимые им мотивы «в полной мере применимы и к ныне намеченным в этой области правилам», и решил пойти навстречу ходатайствам военного ведомства, так как «не считал себя в праве препятствовать осуществлению заявленного военным ведомством предположения» (18524).</w:t>
      </w:r>
    </w:p>
    <w:p w14:paraId="280323DE" w14:textId="77777777" w:rsidR="00E341E3" w:rsidRPr="00405303" w:rsidRDefault="00E341E3" w:rsidP="00C15251">
      <w:pPr>
        <w:pStyle w:val="ae"/>
        <w:spacing w:before="0" w:beforeAutospacing="0" w:after="0" w:afterAutospacing="0"/>
        <w:jc w:val="both"/>
        <w:rPr>
          <w:bCs/>
          <w:color w:val="002060"/>
          <w:sz w:val="16"/>
          <w:szCs w:val="16"/>
        </w:rPr>
      </w:pPr>
    </w:p>
    <w:p w14:paraId="1B83D2A5" w14:textId="77777777" w:rsidR="00E341E3" w:rsidRPr="00405303" w:rsidRDefault="00E341E3" w:rsidP="00C15251">
      <w:pPr>
        <w:jc w:val="both"/>
        <w:rPr>
          <w:bCs/>
          <w:i/>
          <w:color w:val="002060"/>
          <w:sz w:val="16"/>
          <w:szCs w:val="16"/>
        </w:rPr>
      </w:pPr>
      <w:r w:rsidRPr="00405303">
        <w:rPr>
          <w:bCs/>
          <w:i/>
          <w:color w:val="002060"/>
          <w:sz w:val="16"/>
          <w:szCs w:val="16"/>
        </w:rPr>
        <w:t>За рубежом:</w:t>
      </w:r>
    </w:p>
    <w:p w14:paraId="2B34B2FF" w14:textId="77777777" w:rsidR="00E341E3" w:rsidRPr="00405303" w:rsidRDefault="00E341E3" w:rsidP="00C15251">
      <w:pPr>
        <w:jc w:val="both"/>
        <w:rPr>
          <w:bCs/>
          <w:color w:val="002060"/>
          <w:sz w:val="16"/>
          <w:szCs w:val="16"/>
        </w:rPr>
      </w:pPr>
    </w:p>
    <w:p w14:paraId="1FC3BD2D" w14:textId="77777777" w:rsidR="00E341E3" w:rsidRPr="00405303" w:rsidRDefault="00E341E3" w:rsidP="00C15251">
      <w:pPr>
        <w:jc w:val="both"/>
        <w:rPr>
          <w:bCs/>
          <w:color w:val="002060"/>
          <w:sz w:val="16"/>
          <w:szCs w:val="16"/>
        </w:rPr>
      </w:pPr>
      <w:r w:rsidRPr="00405303">
        <w:rPr>
          <w:bCs/>
          <w:color w:val="002060"/>
          <w:sz w:val="16"/>
          <w:szCs w:val="16"/>
        </w:rPr>
        <w:t>5 (18) февраля в 1915 году Германия объявляет о том, что будет уничтожать любое судно, вошедшее в воды Англии и Ирландии (15044).</w:t>
      </w:r>
    </w:p>
    <w:p w14:paraId="333D2756" w14:textId="77777777" w:rsidR="00E341E3" w:rsidRPr="00405303" w:rsidRDefault="00E341E3" w:rsidP="00C15251">
      <w:pPr>
        <w:jc w:val="both"/>
        <w:rPr>
          <w:bCs/>
          <w:color w:val="002060"/>
          <w:sz w:val="16"/>
          <w:szCs w:val="16"/>
        </w:rPr>
      </w:pPr>
    </w:p>
    <w:p w14:paraId="4C1AECBA" w14:textId="77777777" w:rsidR="00E341E3" w:rsidRPr="00405303" w:rsidRDefault="00E341E3" w:rsidP="00C15251">
      <w:pPr>
        <w:jc w:val="both"/>
        <w:rPr>
          <w:bCs/>
          <w:color w:val="002060"/>
          <w:sz w:val="16"/>
          <w:szCs w:val="16"/>
        </w:rPr>
      </w:pPr>
      <w:r w:rsidRPr="00405303">
        <w:rPr>
          <w:bCs/>
          <w:color w:val="002060"/>
          <w:sz w:val="16"/>
          <w:szCs w:val="16"/>
        </w:rPr>
        <w:t>5 (18) февраля в 1915 году спущен на воду в Киле один из самых мощных германских линкоров - "Байерн" (головной корабль одноименного типа, 31700 тонн, 22 узла, 8 380-мм, 16 150-мм, 8 88-мм зенитных орудий, 1171 человек). Участвовал в Первой мировой войне. После ее окончания согласно условиям перемирия находился в британской базе Скапа-Флоу. 21 июня 1919 г. был затоплен там своим экипажем. В 1934 г. поднят и разобран на металл (15044).</w:t>
      </w:r>
    </w:p>
    <w:p w14:paraId="3FF87748" w14:textId="77777777" w:rsidR="00E341E3" w:rsidRPr="00405303" w:rsidRDefault="00E341E3" w:rsidP="00C15251">
      <w:pPr>
        <w:jc w:val="both"/>
        <w:rPr>
          <w:bCs/>
          <w:color w:val="002060"/>
          <w:sz w:val="16"/>
          <w:szCs w:val="16"/>
        </w:rPr>
      </w:pPr>
    </w:p>
    <w:p w14:paraId="3A04EB95"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69CE9894" w14:textId="77777777" w:rsidR="004B4E35" w:rsidRPr="00405303" w:rsidRDefault="004B4E35" w:rsidP="00C15251">
      <w:pPr>
        <w:jc w:val="both"/>
        <w:rPr>
          <w:bCs/>
          <w:i/>
          <w:color w:val="002060"/>
          <w:sz w:val="16"/>
          <w:szCs w:val="16"/>
        </w:rPr>
      </w:pPr>
    </w:p>
    <w:p w14:paraId="35C063B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 (19) февраля 1915 г. ГВТУ распорядилось: «Все летательные аппараты, изготовляемые Вашим заводом (“Дукс”), снабжать одной парой бомбометов системы капитана Орановского, образец коих был Вам выслан управлением. Стоимость пары бомбометов для бомб малого калибра 104 р. за пару, и для бомб крупного калибра в 2 и 3 пуда 136 р за пару. Впредь до ново</w:t>
      </w:r>
      <w:r w:rsidRPr="00405303">
        <w:rPr>
          <w:bCs/>
          <w:color w:val="002060"/>
          <w:sz w:val="16"/>
          <w:szCs w:val="16"/>
        </w:rPr>
        <w:softHyphen/>
        <w:t>го уведомления надлежит снабжать аппараты малыми бом</w:t>
      </w:r>
      <w:r w:rsidRPr="00405303">
        <w:rPr>
          <w:bCs/>
          <w:color w:val="002060"/>
          <w:sz w:val="16"/>
          <w:szCs w:val="16"/>
        </w:rPr>
        <w:softHyphen/>
        <w:t>бометами» (9651).</w:t>
      </w:r>
    </w:p>
    <w:p w14:paraId="30BE70A6" w14:textId="77777777" w:rsidR="004B4E35" w:rsidRPr="00405303" w:rsidRDefault="004B4E35" w:rsidP="00C15251">
      <w:pPr>
        <w:shd w:val="clear" w:color="auto" w:fill="FFFFFF"/>
        <w:jc w:val="both"/>
        <w:rPr>
          <w:bCs/>
          <w:color w:val="002060"/>
          <w:sz w:val="16"/>
          <w:szCs w:val="16"/>
        </w:rPr>
      </w:pPr>
    </w:p>
    <w:p w14:paraId="14F44BE0"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7B0F935C" w14:textId="77777777" w:rsidR="004B4E35" w:rsidRPr="00405303" w:rsidRDefault="004B4E35" w:rsidP="00C15251">
      <w:pPr>
        <w:shd w:val="clear" w:color="auto" w:fill="FFFFFF"/>
        <w:jc w:val="both"/>
        <w:rPr>
          <w:bCs/>
          <w:i/>
          <w:color w:val="002060"/>
          <w:sz w:val="16"/>
          <w:szCs w:val="16"/>
        </w:rPr>
      </w:pPr>
    </w:p>
    <w:p w14:paraId="1F951919" w14:textId="308C260C" w:rsidR="004B4E35" w:rsidRPr="00405303" w:rsidRDefault="009E6F82" w:rsidP="00C15251">
      <w:pPr>
        <w:jc w:val="both"/>
        <w:rPr>
          <w:bCs/>
          <w:color w:val="002060"/>
          <w:sz w:val="16"/>
          <w:szCs w:val="16"/>
        </w:rPr>
      </w:pPr>
      <w:r w:rsidRPr="00405303">
        <w:rPr>
          <w:bCs/>
          <w:color w:val="002060"/>
          <w:sz w:val="16"/>
          <w:szCs w:val="16"/>
        </w:rPr>
        <w:t xml:space="preserve">6 </w:t>
      </w:r>
      <w:r w:rsidR="00F37D70" w:rsidRPr="00405303">
        <w:rPr>
          <w:bCs/>
          <w:color w:val="002060"/>
          <w:sz w:val="16"/>
          <w:szCs w:val="16"/>
        </w:rPr>
        <w:t xml:space="preserve">(19) </w:t>
      </w:r>
      <w:r w:rsidRPr="00405303">
        <w:rPr>
          <w:bCs/>
          <w:color w:val="002060"/>
          <w:sz w:val="16"/>
          <w:szCs w:val="16"/>
        </w:rPr>
        <w:t xml:space="preserve">февраля 1915 г. </w:t>
      </w:r>
      <w:r w:rsidR="00F37D70" w:rsidRPr="00405303">
        <w:rPr>
          <w:bCs/>
          <w:color w:val="002060"/>
          <w:sz w:val="16"/>
          <w:szCs w:val="16"/>
        </w:rPr>
        <w:t xml:space="preserve">по результатам командировки в Донбасс нескольких специалистов во главе с генералом В.Н. Ипатьевым для изучения имеющихся ресурсов по развитию коксобензольного производства, </w:t>
      </w:r>
      <w:r w:rsidRPr="00405303">
        <w:rPr>
          <w:bCs/>
          <w:color w:val="002060"/>
          <w:sz w:val="16"/>
          <w:szCs w:val="16"/>
        </w:rPr>
        <w:t xml:space="preserve">при ГАУ </w:t>
      </w:r>
      <w:r w:rsidR="00F37D70" w:rsidRPr="00405303">
        <w:rPr>
          <w:bCs/>
          <w:color w:val="002060"/>
          <w:sz w:val="16"/>
          <w:szCs w:val="16"/>
        </w:rPr>
        <w:t xml:space="preserve">была создана </w:t>
      </w:r>
      <w:r w:rsidRPr="00405303">
        <w:rPr>
          <w:bCs/>
          <w:color w:val="002060"/>
          <w:sz w:val="16"/>
          <w:szCs w:val="16"/>
        </w:rPr>
        <w:t>Комиссии по заготовке взрывчатых веществ, в обязанности которой входило не только развитие пороховых и взрывчатых заводов, но и обеспечение этих заводов исходными продуктами работы [6, с.4-5]. На практике это означало, что Военное министерство начало активно вмешиваться в работу тех заводов, руководство которыми ранее принадлежало гражданским властям (11423).</w:t>
      </w:r>
    </w:p>
    <w:p w14:paraId="35F0A47B" w14:textId="77777777" w:rsidR="004B4E35" w:rsidRPr="00405303" w:rsidRDefault="004B4E35" w:rsidP="00C15251">
      <w:pPr>
        <w:jc w:val="both"/>
        <w:rPr>
          <w:bCs/>
          <w:color w:val="002060"/>
          <w:sz w:val="16"/>
          <w:szCs w:val="16"/>
        </w:rPr>
      </w:pPr>
    </w:p>
    <w:p w14:paraId="35B587BD" w14:textId="0B9C7134" w:rsidR="004B4E35" w:rsidRPr="00405303" w:rsidRDefault="009E6F82" w:rsidP="00C15251">
      <w:pPr>
        <w:shd w:val="clear" w:color="auto" w:fill="FFFFFF"/>
        <w:jc w:val="both"/>
        <w:rPr>
          <w:bCs/>
          <w:color w:val="002060"/>
          <w:sz w:val="16"/>
          <w:szCs w:val="16"/>
        </w:rPr>
      </w:pPr>
      <w:r w:rsidRPr="00405303">
        <w:rPr>
          <w:bCs/>
          <w:color w:val="002060"/>
          <w:sz w:val="16"/>
          <w:szCs w:val="16"/>
        </w:rPr>
        <w:t>6 (19) февраля 1915 г. военное министерство приняло решение о со</w:t>
      </w:r>
      <w:r w:rsidRPr="00405303">
        <w:rPr>
          <w:bCs/>
          <w:color w:val="002060"/>
          <w:sz w:val="16"/>
          <w:szCs w:val="16"/>
        </w:rPr>
        <w:softHyphen/>
        <w:t>здании при ГАУ постоянной Комиссии по заготовке взрывчатых веществ, в обязанность которой входила также и заготовка «всех сырых материалов, необходимых для приготовления взрывчатых ве</w:t>
      </w:r>
      <w:r w:rsidRPr="00405303">
        <w:rPr>
          <w:bCs/>
          <w:color w:val="002060"/>
          <w:sz w:val="16"/>
          <w:szCs w:val="16"/>
        </w:rPr>
        <w:softHyphen/>
        <w:t>ществ». В состав комиссии входили: председатель — академик В. Н. Ипатьев, члены: Л. Ф. Фокин, А. А. Солонина, В. Ю. Шуман, О. Г. Филиппов, С. П. Вуколов (начальник НТЛ Морского ведомст</w:t>
      </w:r>
      <w:r w:rsidRPr="00405303">
        <w:rPr>
          <w:bCs/>
          <w:color w:val="002060"/>
          <w:sz w:val="16"/>
          <w:szCs w:val="16"/>
        </w:rPr>
        <w:softHyphen/>
        <w:t>ва) , И. И. Андреев и представители других ведомств, заинтересован</w:t>
      </w:r>
      <w:r w:rsidRPr="00405303">
        <w:rPr>
          <w:bCs/>
          <w:color w:val="002060"/>
          <w:sz w:val="16"/>
          <w:szCs w:val="16"/>
        </w:rPr>
        <w:softHyphen/>
        <w:t>ных в получении взрывчатых веществ.</w:t>
      </w:r>
    </w:p>
    <w:p w14:paraId="10251FD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Деятельность комиссии разворачивалась по следующим основ</w:t>
      </w:r>
      <w:r w:rsidRPr="00405303">
        <w:rPr>
          <w:bCs/>
          <w:color w:val="002060"/>
          <w:sz w:val="16"/>
          <w:szCs w:val="16"/>
        </w:rPr>
        <w:softHyphen/>
        <w:t>ным направлениям: создание производства бензола и толуола; рас</w:t>
      </w:r>
      <w:r w:rsidRPr="00405303">
        <w:rPr>
          <w:bCs/>
          <w:color w:val="002060"/>
          <w:sz w:val="16"/>
          <w:szCs w:val="16"/>
        </w:rPr>
        <w:softHyphen/>
        <w:t>ширение производств серной и азотной кислот, а также взрывчатых веществ. 56</w:t>
      </w:r>
    </w:p>
    <w:p w14:paraId="7B42A40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апреле 1916 г. Комиссия по заготовке взрывчатых веществ бы</w:t>
      </w:r>
      <w:r w:rsidRPr="00405303">
        <w:rPr>
          <w:bCs/>
          <w:color w:val="002060"/>
          <w:sz w:val="16"/>
          <w:szCs w:val="16"/>
        </w:rPr>
        <w:softHyphen/>
        <w:t>ла преобразована в Химический комитет ГАУ. Его возглавил акаде</w:t>
      </w:r>
      <w:r w:rsidRPr="00405303">
        <w:rPr>
          <w:bCs/>
          <w:color w:val="002060"/>
          <w:sz w:val="16"/>
          <w:szCs w:val="16"/>
        </w:rPr>
        <w:softHyphen/>
        <w:t>мик В. Н. Ипатьев.</w:t>
      </w:r>
    </w:p>
    <w:p w14:paraId="469BEAE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Первое, с чего начал В. Н. Ипатьев, был учет химической про</w:t>
      </w:r>
      <w:r w:rsidRPr="00405303">
        <w:rPr>
          <w:bCs/>
          <w:color w:val="002060"/>
          <w:sz w:val="16"/>
          <w:szCs w:val="16"/>
        </w:rPr>
        <w:softHyphen/>
        <w:t>мышленности России. Затем была начата научная и организацион</w:t>
      </w:r>
      <w:r w:rsidRPr="00405303">
        <w:rPr>
          <w:bCs/>
          <w:color w:val="002060"/>
          <w:sz w:val="16"/>
          <w:szCs w:val="16"/>
        </w:rPr>
        <w:softHyphen/>
        <w:t xml:space="preserve">ная работа, которая вышла за рамки </w:t>
      </w:r>
      <w:proofErr w:type="gramStart"/>
      <w:r w:rsidRPr="00405303">
        <w:rPr>
          <w:bCs/>
          <w:color w:val="002060"/>
          <w:sz w:val="16"/>
          <w:szCs w:val="16"/>
        </w:rPr>
        <w:t>проблемы собственно</w:t>
      </w:r>
      <w:proofErr w:type="gramEnd"/>
      <w:r w:rsidRPr="00405303">
        <w:rPr>
          <w:bCs/>
          <w:color w:val="002060"/>
          <w:sz w:val="16"/>
          <w:szCs w:val="16"/>
        </w:rPr>
        <w:t xml:space="preserve"> взрывча</w:t>
      </w:r>
      <w:r w:rsidRPr="00405303">
        <w:rPr>
          <w:bCs/>
          <w:color w:val="002060"/>
          <w:sz w:val="16"/>
          <w:szCs w:val="16"/>
        </w:rPr>
        <w:softHyphen/>
        <w:t>тых веществ. Химический комитет ГАУ явился по существу органи</w:t>
      </w:r>
      <w:r w:rsidRPr="00405303">
        <w:rPr>
          <w:bCs/>
          <w:color w:val="002060"/>
          <w:sz w:val="16"/>
          <w:szCs w:val="16"/>
        </w:rPr>
        <w:softHyphen/>
        <w:t>затором и строителем зарождающейся химической промышленно</w:t>
      </w:r>
      <w:r w:rsidRPr="00405303">
        <w:rPr>
          <w:bCs/>
          <w:color w:val="002060"/>
          <w:sz w:val="16"/>
          <w:szCs w:val="16"/>
        </w:rPr>
        <w:softHyphen/>
        <w:t>сти России.</w:t>
      </w:r>
    </w:p>
    <w:p w14:paraId="6690511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Создание производств бензола и толуола. Комиссия В. Н. Ипать</w:t>
      </w:r>
      <w:r w:rsidRPr="00405303">
        <w:rPr>
          <w:bCs/>
          <w:color w:val="002060"/>
          <w:sz w:val="16"/>
          <w:szCs w:val="16"/>
        </w:rPr>
        <w:softHyphen/>
        <w:t>ева занялась в первую очередь строительством бензольных заводов. По первоначальному плану в Донбассе и Кузбассе намечали создать 26 бензольных заводов с 2400 печами. Большинство заводов было пущено в эксплуатацию в 1915 и 1916 гг. В короткий срок была со</w:t>
      </w:r>
      <w:r w:rsidRPr="00405303">
        <w:rPr>
          <w:bCs/>
          <w:color w:val="002060"/>
          <w:sz w:val="16"/>
          <w:szCs w:val="16"/>
        </w:rPr>
        <w:softHyphen/>
        <w:t>здана новая отрасль химической промышленности.</w:t>
      </w:r>
    </w:p>
    <w:p w14:paraId="4984257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результате осуществленных комиссией мероприятий произ</w:t>
      </w:r>
      <w:r w:rsidRPr="00405303">
        <w:rPr>
          <w:bCs/>
          <w:color w:val="002060"/>
          <w:sz w:val="16"/>
          <w:szCs w:val="16"/>
        </w:rPr>
        <w:softHyphen/>
        <w:t>водство бензола увеличилось в 3,5 раза (до 58 тыс. пудов в декабре 1915 г.). Одиннадцать наиболее крупных бензольных заводов в 1915 г. выпустили 364,6 тыс. пудов бензола [20, с. 25; 42, с. 442].</w:t>
      </w:r>
    </w:p>
    <w:p w14:paraId="6D9E29F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связи с большим дефицитом толуола Комиссия выявила воз</w:t>
      </w:r>
      <w:r w:rsidRPr="00405303">
        <w:rPr>
          <w:bCs/>
          <w:color w:val="002060"/>
          <w:sz w:val="16"/>
          <w:szCs w:val="16"/>
        </w:rPr>
        <w:softHyphen/>
        <w:t>можность получения его из бензинов Майкопского и Грозненского месторождений. Для этой цели в Грозном и Екатеринодаре построи</w:t>
      </w:r>
      <w:r w:rsidRPr="00405303">
        <w:rPr>
          <w:bCs/>
          <w:color w:val="002060"/>
          <w:sz w:val="16"/>
          <w:szCs w:val="16"/>
        </w:rPr>
        <w:softHyphen/>
        <w:t>ли мастерские, где по технологическому процессу, разработанному одним из членов комиссии И. И. Андреевым, нитровали фракции бензина, богатые толуолом, и извлекали образующийся при этом мононитротолуол 120, с. 271.</w:t>
      </w:r>
    </w:p>
    <w:p w14:paraId="67BC932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 началу 1917 г. в Грозном по предложению Н. И. Аккермана была построена и пущена в эксплуатацию большая ректификацион</w:t>
      </w:r>
      <w:r w:rsidRPr="00405303">
        <w:rPr>
          <w:bCs/>
          <w:color w:val="002060"/>
          <w:sz w:val="16"/>
          <w:szCs w:val="16"/>
        </w:rPr>
        <w:softHyphen/>
        <w:t>ная установка для получения толуола из лигроина производитель</w:t>
      </w:r>
      <w:r w:rsidRPr="00405303">
        <w:rPr>
          <w:bCs/>
          <w:color w:val="002060"/>
          <w:sz w:val="16"/>
          <w:szCs w:val="16"/>
        </w:rPr>
        <w:softHyphen/>
        <w:t>ностью около 4000 пудов толуола в месяц [20, с. 28].</w:t>
      </w:r>
    </w:p>
    <w:p w14:paraId="48659EB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Комиссия В. Н. Ипатьева организовала также производство бен</w:t>
      </w:r>
      <w:r w:rsidRPr="00405303">
        <w:rPr>
          <w:bCs/>
          <w:color w:val="002060"/>
          <w:sz w:val="16"/>
          <w:szCs w:val="16"/>
        </w:rPr>
        <w:softHyphen/>
        <w:t>зола и толуола из нефти, подвергая ее пиролитическому разложе</w:t>
      </w:r>
      <w:r w:rsidRPr="00405303">
        <w:rPr>
          <w:bCs/>
          <w:color w:val="002060"/>
          <w:sz w:val="16"/>
          <w:szCs w:val="16"/>
        </w:rPr>
        <w:softHyphen/>
        <w:t>нию. Первые опыты по пиролизу нефти были проведены на газовом заводе в Казани, где затем выпускалось около 1000 пудов бензола и толуола в месяц. Результаты этих опытов послужили базой для про</w:t>
      </w:r>
      <w:r w:rsidRPr="00405303">
        <w:rPr>
          <w:bCs/>
          <w:color w:val="002060"/>
          <w:sz w:val="16"/>
          <w:szCs w:val="16"/>
        </w:rPr>
        <w:softHyphen/>
        <w:t>ектирования и строительства крупных предприятий по пиролизу нефти в Баку. К 1917 г. общее количество добытых из нефти таким путем ароматических углеводородов достигло 150 тыс. пудов [20, с. 31].</w:t>
      </w:r>
    </w:p>
    <w:p w14:paraId="7D87067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Производство бензола и толуола составило в 1916 г. 569 тыс. пу</w:t>
      </w:r>
      <w:r w:rsidRPr="00405303">
        <w:rPr>
          <w:bCs/>
          <w:color w:val="002060"/>
          <w:sz w:val="16"/>
          <w:szCs w:val="16"/>
        </w:rPr>
        <w:softHyphen/>
        <w:t>дов (414,4 тыс. пудов бензола и 154,6 тыс. пудов толуола), а с января по июнь 1917 г. — 308,5 тыс. пудов (168,7 тыс. пудов бензола и 139,8 тыс. пудов толуола).</w:t>
      </w:r>
    </w:p>
    <w:p w14:paraId="400F9BE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Таким образом, проблема обеспечения производственных мощ</w:t>
      </w:r>
      <w:r w:rsidRPr="00405303">
        <w:rPr>
          <w:bCs/>
          <w:color w:val="002060"/>
          <w:sz w:val="16"/>
          <w:szCs w:val="16"/>
        </w:rPr>
        <w:softHyphen/>
        <w:t>ностей по выпуску тротила основным сырьем — толуолом — была успешно решена (5484).</w:t>
      </w:r>
    </w:p>
    <w:p w14:paraId="31DBFDCD" w14:textId="77777777" w:rsidR="004B4E35" w:rsidRPr="00405303" w:rsidRDefault="004B4E35" w:rsidP="00C15251">
      <w:pPr>
        <w:shd w:val="clear" w:color="auto" w:fill="FFFFFF"/>
        <w:jc w:val="both"/>
        <w:rPr>
          <w:bCs/>
          <w:color w:val="002060"/>
          <w:sz w:val="16"/>
          <w:szCs w:val="16"/>
        </w:rPr>
      </w:pPr>
    </w:p>
    <w:p w14:paraId="752BDA7C" w14:textId="24E332A0" w:rsidR="004B4E35" w:rsidRPr="00405303" w:rsidRDefault="009E6F82" w:rsidP="00C15251">
      <w:pPr>
        <w:jc w:val="both"/>
        <w:rPr>
          <w:bCs/>
          <w:color w:val="002060"/>
          <w:sz w:val="16"/>
          <w:szCs w:val="16"/>
        </w:rPr>
      </w:pPr>
      <w:r w:rsidRPr="00405303">
        <w:rPr>
          <w:bCs/>
          <w:color w:val="002060"/>
          <w:sz w:val="16"/>
          <w:szCs w:val="16"/>
        </w:rPr>
        <w:t>6 (19) февраля 1915 г. было утверждено положение</w:t>
      </w:r>
      <w:r w:rsidR="00F37D70" w:rsidRPr="00405303">
        <w:rPr>
          <w:bCs/>
          <w:color w:val="002060"/>
          <w:sz w:val="16"/>
          <w:szCs w:val="16"/>
        </w:rPr>
        <w:t xml:space="preserve"> о комиссии и ее правах</w:t>
      </w:r>
      <w:r w:rsidRPr="00405303">
        <w:rPr>
          <w:bCs/>
          <w:color w:val="002060"/>
          <w:sz w:val="16"/>
          <w:szCs w:val="16"/>
        </w:rPr>
        <w:t xml:space="preserve">, причем она получила название "Комиссия по заготовке взрывчатых веществ". </w:t>
      </w:r>
    </w:p>
    <w:p w14:paraId="2E69BD23" w14:textId="77777777" w:rsidR="004B4E35" w:rsidRPr="00405303" w:rsidRDefault="009E6F82" w:rsidP="00C15251">
      <w:pPr>
        <w:jc w:val="both"/>
        <w:rPr>
          <w:bCs/>
          <w:color w:val="002060"/>
          <w:sz w:val="16"/>
          <w:szCs w:val="16"/>
        </w:rPr>
      </w:pPr>
      <w:r w:rsidRPr="00405303">
        <w:rPr>
          <w:bCs/>
          <w:color w:val="002060"/>
          <w:sz w:val="16"/>
          <w:szCs w:val="16"/>
        </w:rPr>
        <w:t xml:space="preserve">Таким образом, с августа 1914 г. было потеряно пять драгоценных месяцев, пока серьезно занялись делом первоочередной важности. </w:t>
      </w:r>
    </w:p>
    <w:p w14:paraId="2989A562" w14:textId="77777777" w:rsidR="004B4E35" w:rsidRPr="00405303" w:rsidRDefault="009E6F82" w:rsidP="00C15251">
      <w:pPr>
        <w:jc w:val="both"/>
        <w:rPr>
          <w:bCs/>
          <w:color w:val="002060"/>
          <w:sz w:val="16"/>
          <w:szCs w:val="16"/>
        </w:rPr>
      </w:pPr>
      <w:r w:rsidRPr="00405303">
        <w:rPr>
          <w:bCs/>
          <w:color w:val="002060"/>
          <w:sz w:val="16"/>
          <w:szCs w:val="16"/>
        </w:rPr>
        <w:t xml:space="preserve">Председателем комиссии был назначен проф. Ипатьев и его ближайшим сотрудником был проф. Фокин. </w:t>
      </w:r>
    </w:p>
    <w:p w14:paraId="209A66E3" w14:textId="77777777" w:rsidR="004B4E35" w:rsidRPr="00405303" w:rsidRDefault="009E6F82" w:rsidP="00C15251">
      <w:pPr>
        <w:jc w:val="both"/>
        <w:rPr>
          <w:bCs/>
          <w:color w:val="002060"/>
          <w:sz w:val="16"/>
          <w:szCs w:val="16"/>
        </w:rPr>
      </w:pPr>
      <w:r w:rsidRPr="00405303">
        <w:rPr>
          <w:bCs/>
          <w:color w:val="002060"/>
          <w:sz w:val="16"/>
          <w:szCs w:val="16"/>
        </w:rPr>
        <w:t xml:space="preserve">Эти обстоятельства не лишили работников комиссии энергии, и она, не дожидаясь утверждения положения, а в дальнейшем и не считаясь с ним, за свой риск и страх приступила к осуществлению программы, намеченной после поездки в Донецкий бассейн. </w:t>
      </w:r>
    </w:p>
    <w:p w14:paraId="5E69D47A" w14:textId="77777777" w:rsidR="004B4E35" w:rsidRPr="00405303" w:rsidRDefault="009E6F82" w:rsidP="00C15251">
      <w:pPr>
        <w:jc w:val="both"/>
        <w:rPr>
          <w:bCs/>
          <w:color w:val="002060"/>
          <w:sz w:val="16"/>
          <w:szCs w:val="16"/>
        </w:rPr>
      </w:pPr>
      <w:r w:rsidRPr="00405303">
        <w:rPr>
          <w:bCs/>
          <w:color w:val="002060"/>
          <w:sz w:val="16"/>
          <w:szCs w:val="16"/>
        </w:rPr>
        <w:t xml:space="preserve">На первых шагах в работе встретились большие затруднения. Представители частновладельческой коксовой промышленности неохотно шли навстречу начинаниям комиссии. С одной стороны, они боялись нарушить права германских концессионеров, которым принадлежала часть имевшихся на юге устройств для улавливания побочных продуктов коксования. С другой стороны — боялись перепроизводства бензола, толуола и нафталина и др., так как не рассчитывали, что параллельно с этими производствами могут в дальнейшем развиться те отрасли промышленности, которые, помимо военного ведомства, явятся потребителями названных продуктов, как, например, производство красителей. </w:t>
      </w:r>
    </w:p>
    <w:p w14:paraId="1D092723" w14:textId="77777777" w:rsidR="004B4E35" w:rsidRPr="00405303" w:rsidRDefault="009E6F82" w:rsidP="00C15251">
      <w:pPr>
        <w:jc w:val="both"/>
        <w:rPr>
          <w:bCs/>
          <w:color w:val="002060"/>
          <w:sz w:val="16"/>
          <w:szCs w:val="16"/>
        </w:rPr>
      </w:pPr>
      <w:r w:rsidRPr="00405303">
        <w:rPr>
          <w:bCs/>
          <w:color w:val="002060"/>
          <w:sz w:val="16"/>
          <w:szCs w:val="16"/>
        </w:rPr>
        <w:t xml:space="preserve">Первая фирма, с которой удалось договориться, была фирма Оливье Пьетт (бельгийская, в Макеевке). В течение января 1915 г. Комиссия разработала договор, согласно коего Пьетт должен соорудить у себя на заводе установку для улавливания сырого бензола, а также ректификационный завод для фракционирования бензола, как своего, так и того, который будет доставляться с других заводов. Контрактный срок начала поставки был выполнен Пьеттом с незначительным опозданием (август 1915 г. вместо июля). Фирма начала постройки в феврале 1915 г., еще до утверждения договора с ней. Цена на ректификацию бензола была калькулирована 50 коп. за пуд вместо 9 руб., которые платили в мирное время за то же Тентелевскому заводу. </w:t>
      </w:r>
    </w:p>
    <w:p w14:paraId="032F22E4" w14:textId="77777777" w:rsidR="004B4E35" w:rsidRPr="00405303" w:rsidRDefault="009E6F82" w:rsidP="00C15251">
      <w:pPr>
        <w:jc w:val="both"/>
        <w:rPr>
          <w:bCs/>
          <w:color w:val="002060"/>
          <w:sz w:val="16"/>
          <w:szCs w:val="16"/>
        </w:rPr>
      </w:pPr>
      <w:r w:rsidRPr="00405303">
        <w:rPr>
          <w:bCs/>
          <w:color w:val="002060"/>
          <w:sz w:val="16"/>
          <w:szCs w:val="16"/>
        </w:rPr>
        <w:t xml:space="preserve">Вслед за этим Комиссия вступила в переговоры с Южно-Днепровским обществом в Кадиевке о постройке установок для улавливания сырого бензола. Но Общество отказалось взять на себя постройку, так как было связано с одной германской фирмой десятилетним контрактом, согласно коего этой фирме принадлежало право использования всех продуктов коксования кадиевских печей. </w:t>
      </w:r>
    </w:p>
    <w:p w14:paraId="425A28A5" w14:textId="77777777" w:rsidR="004B4E35" w:rsidRPr="00405303" w:rsidRDefault="009E6F82" w:rsidP="00C15251">
      <w:pPr>
        <w:jc w:val="both"/>
        <w:rPr>
          <w:bCs/>
          <w:color w:val="002060"/>
          <w:sz w:val="16"/>
          <w:szCs w:val="16"/>
        </w:rPr>
      </w:pPr>
      <w:r w:rsidRPr="00405303">
        <w:rPr>
          <w:bCs/>
          <w:color w:val="002060"/>
          <w:sz w:val="16"/>
          <w:szCs w:val="16"/>
        </w:rPr>
        <w:t xml:space="preserve">Ввиду этого ГАУ признало необходимым самостоятельно предпринять постройку казенного бензолового завода при кадиевских коксовых печах, из продукции которых можно было бы получать до 200 тыс. [пудов в год] сырого бензола. После долгих колебаний Военное министерство дало, наконец, в феврале 1915 г. согласие на постройку завода. </w:t>
      </w:r>
    </w:p>
    <w:p w14:paraId="17D6150B" w14:textId="77777777" w:rsidR="004B4E35" w:rsidRPr="00405303" w:rsidRDefault="009E6F82" w:rsidP="00C15251">
      <w:pPr>
        <w:jc w:val="both"/>
        <w:rPr>
          <w:bCs/>
          <w:color w:val="002060"/>
          <w:sz w:val="16"/>
          <w:szCs w:val="16"/>
        </w:rPr>
      </w:pPr>
      <w:r w:rsidRPr="00405303">
        <w:rPr>
          <w:bCs/>
          <w:color w:val="002060"/>
          <w:sz w:val="16"/>
          <w:szCs w:val="16"/>
        </w:rPr>
        <w:t xml:space="preserve">Постройка велась строительной комиссией под председательством В.Н. Ипатьева. Южно-Днепровское Общество оказывало работе Комиссии деятельную помощь. Завод был готов 20 августа 1915 г., на полтора месяца ранее назначенного срока. Завод тотчас был пущен в ход и давал бензол по ценам, которые не превосходили цен мирного времени на германских бензоловых заводах, и, таким образом, расходы на сооружение завода должны были быстро окупиться. </w:t>
      </w:r>
    </w:p>
    <w:p w14:paraId="0AF1FBF9" w14:textId="77777777" w:rsidR="004B4E35" w:rsidRPr="00405303" w:rsidRDefault="009E6F82" w:rsidP="00C15251">
      <w:pPr>
        <w:jc w:val="both"/>
        <w:rPr>
          <w:bCs/>
          <w:color w:val="002060"/>
          <w:sz w:val="16"/>
          <w:szCs w:val="16"/>
        </w:rPr>
      </w:pPr>
      <w:r w:rsidRPr="00405303">
        <w:rPr>
          <w:bCs/>
          <w:color w:val="002060"/>
          <w:sz w:val="16"/>
          <w:szCs w:val="16"/>
        </w:rPr>
        <w:t xml:space="preserve">Постройка Макеевского и в особенности Кадиевского казенного завода сыграла огромную роль в деле насаждения на Юге коксобензольной промышленности. Как только выяснилось, что постройка этих заводов идет успешно, частные предприниматели нашли в себе, наконец, решимость взяться за дело, и в ГАУ стали поступать от них предложения на поставку бензола и толуола, при условии выдачи авансов на постройку заводов. </w:t>
      </w:r>
    </w:p>
    <w:p w14:paraId="005C430C" w14:textId="77777777" w:rsidR="004B4E35" w:rsidRPr="00405303" w:rsidRDefault="009E6F82" w:rsidP="00C15251">
      <w:pPr>
        <w:jc w:val="both"/>
        <w:rPr>
          <w:bCs/>
          <w:color w:val="002060"/>
          <w:sz w:val="16"/>
          <w:szCs w:val="16"/>
        </w:rPr>
      </w:pPr>
      <w:r w:rsidRPr="00405303">
        <w:rPr>
          <w:bCs/>
          <w:color w:val="002060"/>
          <w:sz w:val="16"/>
          <w:szCs w:val="16"/>
        </w:rPr>
        <w:t xml:space="preserve">В дальнейшем таким порядком предпринята была постройка до 20 бензольных заводов не только в Донецком бассейне, но и в Сибири, в Кузнецком бассейне. </w:t>
      </w:r>
    </w:p>
    <w:p w14:paraId="6E84D0B0" w14:textId="77777777" w:rsidR="004B4E35" w:rsidRPr="00405303" w:rsidRDefault="009E6F82" w:rsidP="00C15251">
      <w:pPr>
        <w:jc w:val="both"/>
        <w:rPr>
          <w:bCs/>
          <w:color w:val="002060"/>
          <w:sz w:val="16"/>
          <w:szCs w:val="16"/>
        </w:rPr>
      </w:pPr>
      <w:r w:rsidRPr="00405303">
        <w:rPr>
          <w:bCs/>
          <w:color w:val="002060"/>
          <w:sz w:val="16"/>
          <w:szCs w:val="16"/>
        </w:rPr>
        <w:t xml:space="preserve">Фактический рост за время войны бензольных заводов в Донецком бассейне виден из следующей таблицы, где цифры указывают общее наличие заводов к означенным датам: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684"/>
      </w:tblGrid>
      <w:tr w:rsidR="004B4E35" w:rsidRPr="00405303" w14:paraId="54B4D465" w14:textId="77777777">
        <w:tc>
          <w:tcPr>
            <w:tcW w:w="1788" w:type="dxa"/>
          </w:tcPr>
          <w:p w14:paraId="7846EC04" w14:textId="77777777" w:rsidR="004B4E35" w:rsidRPr="00405303" w:rsidRDefault="009E6F82" w:rsidP="00C15251">
            <w:pPr>
              <w:jc w:val="both"/>
              <w:rPr>
                <w:bCs/>
                <w:color w:val="002060"/>
                <w:sz w:val="16"/>
                <w:szCs w:val="16"/>
              </w:rPr>
            </w:pPr>
            <w:r w:rsidRPr="00405303">
              <w:rPr>
                <w:bCs/>
                <w:color w:val="002060"/>
                <w:sz w:val="16"/>
                <w:szCs w:val="16"/>
              </w:rPr>
              <w:t xml:space="preserve">1915 г.: </w:t>
            </w:r>
          </w:p>
        </w:tc>
        <w:tc>
          <w:tcPr>
            <w:tcW w:w="684" w:type="dxa"/>
          </w:tcPr>
          <w:p w14:paraId="53D95C40" w14:textId="1367592C" w:rsidR="004B4E35" w:rsidRPr="00405303" w:rsidRDefault="00DB4D64" w:rsidP="00C15251">
            <w:pPr>
              <w:jc w:val="both"/>
              <w:rPr>
                <w:bCs/>
                <w:color w:val="002060"/>
                <w:sz w:val="16"/>
                <w:szCs w:val="16"/>
              </w:rPr>
            </w:pPr>
            <w:r w:rsidRPr="00405303">
              <w:rPr>
                <w:bCs/>
                <w:color w:val="002060"/>
                <w:sz w:val="16"/>
                <w:szCs w:val="16"/>
              </w:rPr>
              <w:t xml:space="preserve"> </w:t>
            </w:r>
          </w:p>
        </w:tc>
      </w:tr>
      <w:tr w:rsidR="004B4E35" w:rsidRPr="00405303" w14:paraId="19D02D88" w14:textId="77777777">
        <w:tc>
          <w:tcPr>
            <w:tcW w:w="1788" w:type="dxa"/>
          </w:tcPr>
          <w:p w14:paraId="38451C08" w14:textId="77777777" w:rsidR="004B4E35" w:rsidRPr="00405303" w:rsidRDefault="009E6F82" w:rsidP="00C15251">
            <w:pPr>
              <w:jc w:val="both"/>
              <w:rPr>
                <w:bCs/>
                <w:color w:val="002060"/>
                <w:sz w:val="16"/>
                <w:szCs w:val="16"/>
              </w:rPr>
            </w:pPr>
            <w:r w:rsidRPr="00405303">
              <w:rPr>
                <w:bCs/>
                <w:color w:val="002060"/>
                <w:sz w:val="16"/>
                <w:szCs w:val="16"/>
              </w:rPr>
              <w:t>Февраль</w:t>
            </w:r>
          </w:p>
        </w:tc>
        <w:tc>
          <w:tcPr>
            <w:tcW w:w="684" w:type="dxa"/>
          </w:tcPr>
          <w:p w14:paraId="4E51239D" w14:textId="77777777" w:rsidR="004B4E35" w:rsidRPr="00405303" w:rsidRDefault="009E6F82" w:rsidP="00C15251">
            <w:pPr>
              <w:jc w:val="both"/>
              <w:rPr>
                <w:bCs/>
                <w:color w:val="002060"/>
                <w:sz w:val="16"/>
                <w:szCs w:val="16"/>
              </w:rPr>
            </w:pPr>
            <w:r w:rsidRPr="00405303">
              <w:rPr>
                <w:bCs/>
                <w:color w:val="002060"/>
                <w:sz w:val="16"/>
                <w:szCs w:val="16"/>
              </w:rPr>
              <w:t xml:space="preserve">3 </w:t>
            </w:r>
          </w:p>
        </w:tc>
      </w:tr>
      <w:tr w:rsidR="004B4E35" w:rsidRPr="00405303" w14:paraId="50AB3D93" w14:textId="77777777">
        <w:tc>
          <w:tcPr>
            <w:tcW w:w="1788" w:type="dxa"/>
          </w:tcPr>
          <w:p w14:paraId="626F78AB" w14:textId="77777777" w:rsidR="004B4E35" w:rsidRPr="00405303" w:rsidRDefault="009E6F82" w:rsidP="00C15251">
            <w:pPr>
              <w:jc w:val="both"/>
              <w:rPr>
                <w:bCs/>
                <w:color w:val="002060"/>
                <w:sz w:val="16"/>
                <w:szCs w:val="16"/>
              </w:rPr>
            </w:pPr>
            <w:r w:rsidRPr="00405303">
              <w:rPr>
                <w:bCs/>
                <w:color w:val="002060"/>
                <w:sz w:val="16"/>
                <w:szCs w:val="16"/>
              </w:rPr>
              <w:t>Июнь</w:t>
            </w:r>
          </w:p>
        </w:tc>
        <w:tc>
          <w:tcPr>
            <w:tcW w:w="684" w:type="dxa"/>
          </w:tcPr>
          <w:p w14:paraId="69753626" w14:textId="77777777" w:rsidR="004B4E35" w:rsidRPr="00405303" w:rsidRDefault="009E6F82" w:rsidP="00C15251">
            <w:pPr>
              <w:jc w:val="both"/>
              <w:rPr>
                <w:bCs/>
                <w:color w:val="002060"/>
                <w:sz w:val="16"/>
                <w:szCs w:val="16"/>
              </w:rPr>
            </w:pPr>
            <w:r w:rsidRPr="00405303">
              <w:rPr>
                <w:bCs/>
                <w:color w:val="002060"/>
                <w:sz w:val="16"/>
                <w:szCs w:val="16"/>
              </w:rPr>
              <w:t xml:space="preserve">4 </w:t>
            </w:r>
          </w:p>
        </w:tc>
      </w:tr>
      <w:tr w:rsidR="004B4E35" w:rsidRPr="00405303" w14:paraId="1E5849C3" w14:textId="77777777">
        <w:tc>
          <w:tcPr>
            <w:tcW w:w="1788" w:type="dxa"/>
          </w:tcPr>
          <w:p w14:paraId="54660E36" w14:textId="77777777" w:rsidR="004B4E35" w:rsidRPr="00405303" w:rsidRDefault="009E6F82" w:rsidP="00C15251">
            <w:pPr>
              <w:jc w:val="both"/>
              <w:rPr>
                <w:bCs/>
                <w:color w:val="002060"/>
                <w:sz w:val="16"/>
                <w:szCs w:val="16"/>
              </w:rPr>
            </w:pPr>
            <w:r w:rsidRPr="00405303">
              <w:rPr>
                <w:bCs/>
                <w:color w:val="002060"/>
                <w:sz w:val="16"/>
                <w:szCs w:val="16"/>
              </w:rPr>
              <w:t>Июль</w:t>
            </w:r>
          </w:p>
        </w:tc>
        <w:tc>
          <w:tcPr>
            <w:tcW w:w="684" w:type="dxa"/>
          </w:tcPr>
          <w:p w14:paraId="6A3C1757" w14:textId="77777777" w:rsidR="004B4E35" w:rsidRPr="00405303" w:rsidRDefault="009E6F82" w:rsidP="00C15251">
            <w:pPr>
              <w:jc w:val="both"/>
              <w:rPr>
                <w:bCs/>
                <w:color w:val="002060"/>
                <w:sz w:val="16"/>
                <w:szCs w:val="16"/>
              </w:rPr>
            </w:pPr>
            <w:r w:rsidRPr="00405303">
              <w:rPr>
                <w:bCs/>
                <w:color w:val="002060"/>
                <w:sz w:val="16"/>
                <w:szCs w:val="16"/>
              </w:rPr>
              <w:t xml:space="preserve">5 </w:t>
            </w:r>
          </w:p>
        </w:tc>
      </w:tr>
      <w:tr w:rsidR="004B4E35" w:rsidRPr="00405303" w14:paraId="20A8D272" w14:textId="77777777">
        <w:tc>
          <w:tcPr>
            <w:tcW w:w="1788" w:type="dxa"/>
          </w:tcPr>
          <w:p w14:paraId="3C12798F" w14:textId="77777777" w:rsidR="004B4E35" w:rsidRPr="00405303" w:rsidRDefault="009E6F82" w:rsidP="00C15251">
            <w:pPr>
              <w:jc w:val="both"/>
              <w:rPr>
                <w:bCs/>
                <w:color w:val="002060"/>
                <w:sz w:val="16"/>
                <w:szCs w:val="16"/>
              </w:rPr>
            </w:pPr>
            <w:r w:rsidRPr="00405303">
              <w:rPr>
                <w:bCs/>
                <w:color w:val="002060"/>
                <w:sz w:val="16"/>
                <w:szCs w:val="16"/>
              </w:rPr>
              <w:t>Сентябрь</w:t>
            </w:r>
          </w:p>
        </w:tc>
        <w:tc>
          <w:tcPr>
            <w:tcW w:w="684" w:type="dxa"/>
          </w:tcPr>
          <w:p w14:paraId="2BCE33E0" w14:textId="77777777" w:rsidR="004B4E35" w:rsidRPr="00405303" w:rsidRDefault="009E6F82" w:rsidP="00C15251">
            <w:pPr>
              <w:jc w:val="both"/>
              <w:rPr>
                <w:bCs/>
                <w:color w:val="002060"/>
                <w:sz w:val="16"/>
                <w:szCs w:val="16"/>
              </w:rPr>
            </w:pPr>
            <w:r w:rsidRPr="00405303">
              <w:rPr>
                <w:bCs/>
                <w:color w:val="002060"/>
                <w:sz w:val="16"/>
                <w:szCs w:val="16"/>
              </w:rPr>
              <w:t xml:space="preserve">7 </w:t>
            </w:r>
          </w:p>
        </w:tc>
      </w:tr>
      <w:tr w:rsidR="004B4E35" w:rsidRPr="00405303" w14:paraId="37A518B4" w14:textId="77777777">
        <w:tc>
          <w:tcPr>
            <w:tcW w:w="1788" w:type="dxa"/>
          </w:tcPr>
          <w:p w14:paraId="079E307E"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684" w:type="dxa"/>
          </w:tcPr>
          <w:p w14:paraId="5AB6F36A" w14:textId="77777777" w:rsidR="004B4E35" w:rsidRPr="00405303" w:rsidRDefault="009E6F82" w:rsidP="00C15251">
            <w:pPr>
              <w:jc w:val="both"/>
              <w:rPr>
                <w:bCs/>
                <w:color w:val="002060"/>
                <w:sz w:val="16"/>
                <w:szCs w:val="16"/>
              </w:rPr>
            </w:pPr>
            <w:r w:rsidRPr="00405303">
              <w:rPr>
                <w:bCs/>
                <w:color w:val="002060"/>
                <w:sz w:val="16"/>
                <w:szCs w:val="16"/>
              </w:rPr>
              <w:t xml:space="preserve">8 </w:t>
            </w:r>
          </w:p>
        </w:tc>
      </w:tr>
      <w:tr w:rsidR="004B4E35" w:rsidRPr="00405303" w14:paraId="71541E20" w14:textId="77777777">
        <w:tc>
          <w:tcPr>
            <w:tcW w:w="1788" w:type="dxa"/>
          </w:tcPr>
          <w:p w14:paraId="53B17A25" w14:textId="77777777" w:rsidR="004B4E35" w:rsidRPr="00405303" w:rsidRDefault="009E6F82" w:rsidP="00C15251">
            <w:pPr>
              <w:jc w:val="both"/>
              <w:rPr>
                <w:bCs/>
                <w:color w:val="002060"/>
                <w:sz w:val="16"/>
                <w:szCs w:val="16"/>
              </w:rPr>
            </w:pPr>
            <w:r w:rsidRPr="00405303">
              <w:rPr>
                <w:bCs/>
                <w:color w:val="002060"/>
                <w:sz w:val="16"/>
                <w:szCs w:val="16"/>
              </w:rPr>
              <w:t xml:space="preserve">1916 г.: </w:t>
            </w:r>
          </w:p>
        </w:tc>
        <w:tc>
          <w:tcPr>
            <w:tcW w:w="684" w:type="dxa"/>
          </w:tcPr>
          <w:p w14:paraId="5AA7C597" w14:textId="3DCC2429" w:rsidR="004B4E35" w:rsidRPr="00405303" w:rsidRDefault="00DB4D64" w:rsidP="00C15251">
            <w:pPr>
              <w:jc w:val="both"/>
              <w:rPr>
                <w:bCs/>
                <w:color w:val="002060"/>
                <w:sz w:val="16"/>
                <w:szCs w:val="16"/>
              </w:rPr>
            </w:pPr>
            <w:r w:rsidRPr="00405303">
              <w:rPr>
                <w:bCs/>
                <w:color w:val="002060"/>
                <w:sz w:val="16"/>
                <w:szCs w:val="16"/>
              </w:rPr>
              <w:t xml:space="preserve"> </w:t>
            </w:r>
          </w:p>
        </w:tc>
      </w:tr>
      <w:tr w:rsidR="004B4E35" w:rsidRPr="00405303" w14:paraId="5CFF97F5" w14:textId="77777777">
        <w:tc>
          <w:tcPr>
            <w:tcW w:w="1788" w:type="dxa"/>
          </w:tcPr>
          <w:p w14:paraId="43149D86" w14:textId="77777777" w:rsidR="004B4E35" w:rsidRPr="00405303" w:rsidRDefault="009E6F82" w:rsidP="00C15251">
            <w:pPr>
              <w:jc w:val="both"/>
              <w:rPr>
                <w:bCs/>
                <w:color w:val="002060"/>
                <w:sz w:val="16"/>
                <w:szCs w:val="16"/>
              </w:rPr>
            </w:pPr>
            <w:r w:rsidRPr="00405303">
              <w:rPr>
                <w:bCs/>
                <w:color w:val="002060"/>
                <w:sz w:val="16"/>
                <w:szCs w:val="16"/>
              </w:rPr>
              <w:t>Август</w:t>
            </w:r>
          </w:p>
        </w:tc>
        <w:tc>
          <w:tcPr>
            <w:tcW w:w="684" w:type="dxa"/>
          </w:tcPr>
          <w:p w14:paraId="08EBE6BD" w14:textId="77777777" w:rsidR="004B4E35" w:rsidRPr="00405303" w:rsidRDefault="009E6F82" w:rsidP="00C15251">
            <w:pPr>
              <w:jc w:val="both"/>
              <w:rPr>
                <w:bCs/>
                <w:color w:val="002060"/>
                <w:sz w:val="16"/>
                <w:szCs w:val="16"/>
              </w:rPr>
            </w:pPr>
            <w:r w:rsidRPr="00405303">
              <w:rPr>
                <w:bCs/>
                <w:color w:val="002060"/>
                <w:sz w:val="16"/>
                <w:szCs w:val="16"/>
              </w:rPr>
              <w:t xml:space="preserve">10 </w:t>
            </w:r>
          </w:p>
        </w:tc>
      </w:tr>
      <w:tr w:rsidR="004B4E35" w:rsidRPr="00405303" w14:paraId="37F372A0" w14:textId="77777777">
        <w:tc>
          <w:tcPr>
            <w:tcW w:w="1788" w:type="dxa"/>
          </w:tcPr>
          <w:p w14:paraId="54756DCA" w14:textId="77777777" w:rsidR="004B4E35" w:rsidRPr="00405303" w:rsidRDefault="009E6F82" w:rsidP="00C15251">
            <w:pPr>
              <w:jc w:val="both"/>
              <w:rPr>
                <w:bCs/>
                <w:color w:val="002060"/>
                <w:sz w:val="16"/>
                <w:szCs w:val="16"/>
              </w:rPr>
            </w:pPr>
            <w:r w:rsidRPr="00405303">
              <w:rPr>
                <w:bCs/>
                <w:color w:val="002060"/>
                <w:sz w:val="16"/>
                <w:szCs w:val="16"/>
              </w:rPr>
              <w:t>Сентябрь</w:t>
            </w:r>
          </w:p>
        </w:tc>
        <w:tc>
          <w:tcPr>
            <w:tcW w:w="684" w:type="dxa"/>
          </w:tcPr>
          <w:p w14:paraId="3801CBC7" w14:textId="77777777" w:rsidR="004B4E35" w:rsidRPr="00405303" w:rsidRDefault="009E6F82" w:rsidP="00C15251">
            <w:pPr>
              <w:jc w:val="both"/>
              <w:rPr>
                <w:bCs/>
                <w:color w:val="002060"/>
                <w:sz w:val="16"/>
                <w:szCs w:val="16"/>
              </w:rPr>
            </w:pPr>
            <w:r w:rsidRPr="00405303">
              <w:rPr>
                <w:bCs/>
                <w:color w:val="002060"/>
                <w:sz w:val="16"/>
                <w:szCs w:val="16"/>
              </w:rPr>
              <w:t xml:space="preserve">11 </w:t>
            </w:r>
          </w:p>
        </w:tc>
      </w:tr>
      <w:tr w:rsidR="004B4E35" w:rsidRPr="00405303" w14:paraId="4876378A" w14:textId="77777777">
        <w:tc>
          <w:tcPr>
            <w:tcW w:w="1788" w:type="dxa"/>
          </w:tcPr>
          <w:p w14:paraId="11813C18"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684" w:type="dxa"/>
          </w:tcPr>
          <w:p w14:paraId="25EB21A3" w14:textId="77777777" w:rsidR="004B4E35" w:rsidRPr="00405303" w:rsidRDefault="009E6F82" w:rsidP="00C15251">
            <w:pPr>
              <w:jc w:val="both"/>
              <w:rPr>
                <w:bCs/>
                <w:color w:val="002060"/>
                <w:sz w:val="16"/>
                <w:szCs w:val="16"/>
              </w:rPr>
            </w:pPr>
            <w:r w:rsidRPr="00405303">
              <w:rPr>
                <w:bCs/>
                <w:color w:val="002060"/>
                <w:sz w:val="16"/>
                <w:szCs w:val="16"/>
              </w:rPr>
              <w:t xml:space="preserve">12 </w:t>
            </w:r>
          </w:p>
        </w:tc>
      </w:tr>
      <w:tr w:rsidR="004B4E35" w:rsidRPr="00405303" w14:paraId="3E692E29" w14:textId="77777777">
        <w:tc>
          <w:tcPr>
            <w:tcW w:w="1788" w:type="dxa"/>
          </w:tcPr>
          <w:p w14:paraId="7A3D945A"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684" w:type="dxa"/>
          </w:tcPr>
          <w:p w14:paraId="27713E21" w14:textId="77777777" w:rsidR="004B4E35" w:rsidRPr="00405303" w:rsidRDefault="009E6F82" w:rsidP="00C15251">
            <w:pPr>
              <w:jc w:val="both"/>
              <w:rPr>
                <w:bCs/>
                <w:color w:val="002060"/>
                <w:sz w:val="16"/>
                <w:szCs w:val="16"/>
              </w:rPr>
            </w:pPr>
            <w:r w:rsidRPr="00405303">
              <w:rPr>
                <w:bCs/>
                <w:color w:val="002060"/>
                <w:sz w:val="16"/>
                <w:szCs w:val="16"/>
              </w:rPr>
              <w:t xml:space="preserve">14 </w:t>
            </w:r>
          </w:p>
        </w:tc>
      </w:tr>
      <w:tr w:rsidR="004B4E35" w:rsidRPr="00405303" w14:paraId="1600543A" w14:textId="77777777">
        <w:tc>
          <w:tcPr>
            <w:tcW w:w="1788" w:type="dxa"/>
          </w:tcPr>
          <w:p w14:paraId="641CC13F" w14:textId="77777777" w:rsidR="004B4E35" w:rsidRPr="00405303" w:rsidRDefault="009E6F82" w:rsidP="00C15251">
            <w:pPr>
              <w:jc w:val="both"/>
              <w:rPr>
                <w:bCs/>
                <w:color w:val="002060"/>
                <w:sz w:val="16"/>
                <w:szCs w:val="16"/>
              </w:rPr>
            </w:pPr>
            <w:r w:rsidRPr="00405303">
              <w:rPr>
                <w:bCs/>
                <w:color w:val="002060"/>
                <w:sz w:val="16"/>
                <w:szCs w:val="16"/>
              </w:rPr>
              <w:t xml:space="preserve">1917 г.: </w:t>
            </w:r>
          </w:p>
        </w:tc>
        <w:tc>
          <w:tcPr>
            <w:tcW w:w="684" w:type="dxa"/>
          </w:tcPr>
          <w:p w14:paraId="3E2E6C5F" w14:textId="5A9F87F8" w:rsidR="004B4E35" w:rsidRPr="00405303" w:rsidRDefault="00DB4D64" w:rsidP="00C15251">
            <w:pPr>
              <w:jc w:val="both"/>
              <w:rPr>
                <w:bCs/>
                <w:color w:val="002060"/>
                <w:sz w:val="16"/>
                <w:szCs w:val="16"/>
              </w:rPr>
            </w:pPr>
            <w:r w:rsidRPr="00405303">
              <w:rPr>
                <w:bCs/>
                <w:color w:val="002060"/>
                <w:sz w:val="16"/>
                <w:szCs w:val="16"/>
              </w:rPr>
              <w:t xml:space="preserve"> </w:t>
            </w:r>
          </w:p>
        </w:tc>
      </w:tr>
      <w:tr w:rsidR="004B4E35" w:rsidRPr="00405303" w14:paraId="6F26FC6D" w14:textId="77777777">
        <w:tc>
          <w:tcPr>
            <w:tcW w:w="1788" w:type="dxa"/>
          </w:tcPr>
          <w:p w14:paraId="25ABF523" w14:textId="77777777" w:rsidR="004B4E35" w:rsidRPr="00405303" w:rsidRDefault="009E6F82" w:rsidP="00C15251">
            <w:pPr>
              <w:jc w:val="both"/>
              <w:rPr>
                <w:bCs/>
                <w:color w:val="002060"/>
                <w:sz w:val="16"/>
                <w:szCs w:val="16"/>
              </w:rPr>
            </w:pPr>
            <w:r w:rsidRPr="00405303">
              <w:rPr>
                <w:bCs/>
                <w:color w:val="002060"/>
                <w:sz w:val="16"/>
                <w:szCs w:val="16"/>
              </w:rPr>
              <w:t>Январь</w:t>
            </w:r>
          </w:p>
        </w:tc>
        <w:tc>
          <w:tcPr>
            <w:tcW w:w="684" w:type="dxa"/>
          </w:tcPr>
          <w:p w14:paraId="50E7FECE" w14:textId="77777777" w:rsidR="004B4E35" w:rsidRPr="00405303" w:rsidRDefault="009E6F82" w:rsidP="00C15251">
            <w:pPr>
              <w:jc w:val="both"/>
              <w:rPr>
                <w:bCs/>
                <w:color w:val="002060"/>
                <w:sz w:val="16"/>
                <w:szCs w:val="16"/>
              </w:rPr>
            </w:pPr>
            <w:r w:rsidRPr="00405303">
              <w:rPr>
                <w:bCs/>
                <w:color w:val="002060"/>
                <w:sz w:val="16"/>
                <w:szCs w:val="16"/>
              </w:rPr>
              <w:t xml:space="preserve">15 </w:t>
            </w:r>
          </w:p>
        </w:tc>
      </w:tr>
    </w:tbl>
    <w:p w14:paraId="45AEC866" w14:textId="77777777" w:rsidR="004B4E35" w:rsidRPr="00405303" w:rsidRDefault="009E6F82" w:rsidP="00C15251">
      <w:pPr>
        <w:jc w:val="both"/>
        <w:rPr>
          <w:bCs/>
          <w:color w:val="002060"/>
          <w:sz w:val="16"/>
          <w:szCs w:val="16"/>
        </w:rPr>
      </w:pPr>
      <w:r w:rsidRPr="00405303">
        <w:rPr>
          <w:bCs/>
          <w:color w:val="002060"/>
          <w:sz w:val="16"/>
          <w:szCs w:val="16"/>
        </w:rPr>
        <w:t xml:space="preserve">Добывание бензола, толуола и др. побочных продуктов коксования каменного угля явилось совершенно новой у нас отраслью промышленности. До войны этим путем добывались исключительно сернокислый аммоний, нашатырный спирт, каменноугольная смола и др. Более ценные продукты — бензол, толуол, антрацен и др. получались лишь в весьма незначительном количестве на трех заводах: в Енакиеве, Байраке и Щербинском. </w:t>
      </w:r>
    </w:p>
    <w:p w14:paraId="5D4AD2FC" w14:textId="77777777" w:rsidR="004B4E35" w:rsidRPr="00405303" w:rsidRDefault="009E6F82" w:rsidP="00C15251">
      <w:pPr>
        <w:jc w:val="both"/>
        <w:rPr>
          <w:bCs/>
          <w:color w:val="002060"/>
          <w:sz w:val="16"/>
          <w:szCs w:val="16"/>
        </w:rPr>
      </w:pPr>
      <w:r w:rsidRPr="00405303">
        <w:rPr>
          <w:bCs/>
          <w:color w:val="002060"/>
          <w:sz w:val="16"/>
          <w:szCs w:val="16"/>
        </w:rPr>
        <w:t>Бензоловые заводы представляют подлинную здоровую базу для питания необходимыми материалами важнейшей отрасли военной промышленности, вырабатывающей взрывчатые вещества. В то же время эти заводы нужны были и мирной промышленности для красящих веществ, фармацевтических средств, медицинских препаратов и т.д. Эти последние отрасли ранее черпали всегда сырье из Германии, и широкое развитие коксобензольной промышленности освободило бы всю нашу химическую промышленность, как военную, так и гражданскую, от иностранной зависимости.</w:t>
      </w:r>
    </w:p>
    <w:p w14:paraId="1A8CF6E6" w14:textId="77777777" w:rsidR="004B4E35" w:rsidRPr="00405303" w:rsidRDefault="009E6F82" w:rsidP="00C15251">
      <w:pPr>
        <w:jc w:val="both"/>
        <w:rPr>
          <w:bCs/>
          <w:color w:val="002060"/>
          <w:sz w:val="16"/>
          <w:szCs w:val="16"/>
        </w:rPr>
      </w:pPr>
      <w:r w:rsidRPr="00405303">
        <w:rPr>
          <w:bCs/>
          <w:color w:val="002060"/>
          <w:sz w:val="16"/>
          <w:szCs w:val="16"/>
        </w:rPr>
        <w:t xml:space="preserve">В 1914 г. в Донецком бассейне существовало 6150 коксовальных печей. Из них только 1268, при 13 коксовых заводах, были приспособлены к частичному улавливанию побочных продуктов коксования: 10 заводов (910 печей) улавливали дешевые и тяжелые продукты, и только упомянутые выше три завода — Енакиевский, Байракский и Щербиновский (358 печей) улавливали сырой бензол. </w:t>
      </w:r>
    </w:p>
    <w:p w14:paraId="2CE897DE" w14:textId="77777777" w:rsidR="004B4E35" w:rsidRPr="00405303" w:rsidRDefault="009E6F82" w:rsidP="00C15251">
      <w:pPr>
        <w:jc w:val="both"/>
        <w:rPr>
          <w:bCs/>
          <w:color w:val="002060"/>
          <w:sz w:val="16"/>
          <w:szCs w:val="16"/>
        </w:rPr>
      </w:pPr>
      <w:r w:rsidRPr="00405303">
        <w:rPr>
          <w:bCs/>
          <w:color w:val="002060"/>
          <w:sz w:val="16"/>
          <w:szCs w:val="16"/>
        </w:rPr>
        <w:t xml:space="preserve">В первую очередь комиссия Ипатьева занялась постройкой бензоловых заводов при указанных 13 предприятиях. Затем в 1915 и 1916 гг. была предпринята постройка еще 13 заводов с расчетом на обслуживание 1200 печей, из которых часть печей возводилась заново. Намечен был, таким образом, план создать 26 бензольных заводов с 2400 печами. Осуществить постройку всех 26 заводов не удалось по разным причинам — расстройство транспорта, недостаток материалов и пр. Из строившихся 20 заводов часть была пущена в ход в 1915 и 1916 гг., часть была в 1917 г. еще не достроена. </w:t>
      </w:r>
    </w:p>
    <w:p w14:paraId="7216EFF8" w14:textId="77777777" w:rsidR="004B4E35" w:rsidRPr="00405303" w:rsidRDefault="009E6F82" w:rsidP="00C15251">
      <w:pPr>
        <w:jc w:val="both"/>
        <w:rPr>
          <w:bCs/>
          <w:color w:val="002060"/>
          <w:sz w:val="16"/>
          <w:szCs w:val="16"/>
        </w:rPr>
      </w:pPr>
      <w:r w:rsidRPr="00405303">
        <w:rPr>
          <w:bCs/>
          <w:color w:val="002060"/>
          <w:sz w:val="16"/>
          <w:szCs w:val="16"/>
        </w:rPr>
        <w:t xml:space="preserve">Производство сырого бензола в 1915 и 1916 гг. по отдельным заводам показано в следующей таблице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68"/>
        <w:gridCol w:w="792"/>
        <w:gridCol w:w="684"/>
      </w:tblGrid>
      <w:tr w:rsidR="004B4E35" w:rsidRPr="00405303" w14:paraId="4E15BAA6" w14:textId="77777777">
        <w:tc>
          <w:tcPr>
            <w:tcW w:w="2268" w:type="dxa"/>
          </w:tcPr>
          <w:p w14:paraId="7500F281" w14:textId="77777777" w:rsidR="004B4E35" w:rsidRPr="00405303" w:rsidRDefault="009E6F82" w:rsidP="00C15251">
            <w:pPr>
              <w:jc w:val="both"/>
              <w:rPr>
                <w:bCs/>
                <w:color w:val="002060"/>
                <w:sz w:val="16"/>
                <w:szCs w:val="16"/>
              </w:rPr>
            </w:pPr>
            <w:r w:rsidRPr="00405303">
              <w:rPr>
                <w:bCs/>
                <w:color w:val="002060"/>
                <w:sz w:val="16"/>
                <w:szCs w:val="16"/>
              </w:rPr>
              <w:t>Заводы</w:t>
            </w:r>
          </w:p>
        </w:tc>
        <w:tc>
          <w:tcPr>
            <w:tcW w:w="792" w:type="dxa"/>
          </w:tcPr>
          <w:p w14:paraId="406430FB" w14:textId="77777777" w:rsidR="004B4E35" w:rsidRPr="00405303" w:rsidRDefault="009E6F82" w:rsidP="00C15251">
            <w:pPr>
              <w:jc w:val="both"/>
              <w:rPr>
                <w:bCs/>
                <w:color w:val="002060"/>
                <w:sz w:val="16"/>
                <w:szCs w:val="16"/>
              </w:rPr>
            </w:pPr>
            <w:r w:rsidRPr="00405303">
              <w:rPr>
                <w:bCs/>
                <w:color w:val="002060"/>
                <w:sz w:val="16"/>
                <w:szCs w:val="16"/>
              </w:rPr>
              <w:t>1915 г.</w:t>
            </w:r>
          </w:p>
        </w:tc>
        <w:tc>
          <w:tcPr>
            <w:tcW w:w="684" w:type="dxa"/>
          </w:tcPr>
          <w:p w14:paraId="5EB7D93C" w14:textId="77777777" w:rsidR="004B4E35" w:rsidRPr="00405303" w:rsidRDefault="009E6F82" w:rsidP="00C15251">
            <w:pPr>
              <w:jc w:val="both"/>
              <w:rPr>
                <w:bCs/>
                <w:color w:val="002060"/>
                <w:sz w:val="16"/>
                <w:szCs w:val="16"/>
              </w:rPr>
            </w:pPr>
            <w:r w:rsidRPr="00405303">
              <w:rPr>
                <w:bCs/>
                <w:color w:val="002060"/>
                <w:sz w:val="16"/>
                <w:szCs w:val="16"/>
              </w:rPr>
              <w:t>1916 г.</w:t>
            </w:r>
          </w:p>
        </w:tc>
      </w:tr>
      <w:tr w:rsidR="004B4E35" w:rsidRPr="00405303" w14:paraId="1DD926C7" w14:textId="77777777">
        <w:tc>
          <w:tcPr>
            <w:tcW w:w="2268" w:type="dxa"/>
          </w:tcPr>
          <w:p w14:paraId="32A642B4" w14:textId="77777777" w:rsidR="004B4E35" w:rsidRPr="00405303" w:rsidRDefault="009E6F82" w:rsidP="00C15251">
            <w:pPr>
              <w:jc w:val="both"/>
              <w:rPr>
                <w:bCs/>
                <w:color w:val="002060"/>
                <w:sz w:val="16"/>
                <w:szCs w:val="16"/>
              </w:rPr>
            </w:pPr>
            <w:r w:rsidRPr="00405303">
              <w:rPr>
                <w:bCs/>
                <w:color w:val="002060"/>
                <w:sz w:val="16"/>
                <w:szCs w:val="16"/>
              </w:rPr>
              <w:t>Э. Коппе, ст. Енакиево</w:t>
            </w:r>
          </w:p>
        </w:tc>
        <w:tc>
          <w:tcPr>
            <w:tcW w:w="792" w:type="dxa"/>
          </w:tcPr>
          <w:p w14:paraId="2F59C969" w14:textId="77777777" w:rsidR="004B4E35" w:rsidRPr="00405303" w:rsidRDefault="009E6F82" w:rsidP="00C15251">
            <w:pPr>
              <w:jc w:val="both"/>
              <w:rPr>
                <w:bCs/>
                <w:color w:val="002060"/>
                <w:sz w:val="16"/>
                <w:szCs w:val="16"/>
              </w:rPr>
            </w:pPr>
            <w:r w:rsidRPr="00405303">
              <w:rPr>
                <w:bCs/>
                <w:color w:val="002060"/>
                <w:sz w:val="16"/>
                <w:szCs w:val="16"/>
              </w:rPr>
              <w:t>117,9</w:t>
            </w:r>
          </w:p>
        </w:tc>
        <w:tc>
          <w:tcPr>
            <w:tcW w:w="684" w:type="dxa"/>
          </w:tcPr>
          <w:p w14:paraId="229088B4" w14:textId="77777777" w:rsidR="004B4E35" w:rsidRPr="00405303" w:rsidRDefault="009E6F82" w:rsidP="00C15251">
            <w:pPr>
              <w:jc w:val="both"/>
              <w:rPr>
                <w:bCs/>
                <w:color w:val="002060"/>
                <w:sz w:val="16"/>
                <w:szCs w:val="16"/>
              </w:rPr>
            </w:pPr>
            <w:r w:rsidRPr="00405303">
              <w:rPr>
                <w:bCs/>
                <w:color w:val="002060"/>
                <w:sz w:val="16"/>
                <w:szCs w:val="16"/>
              </w:rPr>
              <w:t>131,1</w:t>
            </w:r>
          </w:p>
        </w:tc>
      </w:tr>
      <w:tr w:rsidR="004B4E35" w:rsidRPr="00405303" w14:paraId="60DCBB21" w14:textId="77777777">
        <w:tc>
          <w:tcPr>
            <w:tcW w:w="2268" w:type="dxa"/>
          </w:tcPr>
          <w:p w14:paraId="2EB15B6A" w14:textId="77777777" w:rsidR="004B4E35" w:rsidRPr="00405303" w:rsidRDefault="009E6F82" w:rsidP="00C15251">
            <w:pPr>
              <w:jc w:val="both"/>
              <w:rPr>
                <w:bCs/>
                <w:color w:val="002060"/>
                <w:sz w:val="16"/>
                <w:szCs w:val="16"/>
              </w:rPr>
            </w:pPr>
            <w:r w:rsidRPr="00405303">
              <w:rPr>
                <w:bCs/>
                <w:color w:val="002060"/>
                <w:sz w:val="16"/>
                <w:szCs w:val="16"/>
              </w:rPr>
              <w:t>Э. Коппк, ст. Юзовка</w:t>
            </w:r>
          </w:p>
        </w:tc>
        <w:tc>
          <w:tcPr>
            <w:tcW w:w="792" w:type="dxa"/>
          </w:tcPr>
          <w:p w14:paraId="650CB10C" w14:textId="77777777" w:rsidR="004B4E35" w:rsidRPr="00405303" w:rsidRDefault="009E6F82" w:rsidP="00C15251">
            <w:pPr>
              <w:jc w:val="both"/>
              <w:rPr>
                <w:bCs/>
                <w:color w:val="002060"/>
                <w:sz w:val="16"/>
                <w:szCs w:val="16"/>
              </w:rPr>
            </w:pPr>
            <w:r w:rsidRPr="00405303">
              <w:rPr>
                <w:bCs/>
                <w:color w:val="002060"/>
                <w:sz w:val="16"/>
                <w:szCs w:val="16"/>
              </w:rPr>
              <w:t>46,6</w:t>
            </w:r>
          </w:p>
        </w:tc>
        <w:tc>
          <w:tcPr>
            <w:tcW w:w="684" w:type="dxa"/>
          </w:tcPr>
          <w:p w14:paraId="32F0F466" w14:textId="77777777" w:rsidR="004B4E35" w:rsidRPr="00405303" w:rsidRDefault="009E6F82" w:rsidP="00C15251">
            <w:pPr>
              <w:jc w:val="both"/>
              <w:rPr>
                <w:bCs/>
                <w:color w:val="002060"/>
                <w:sz w:val="16"/>
                <w:szCs w:val="16"/>
              </w:rPr>
            </w:pPr>
            <w:r w:rsidRPr="00405303">
              <w:rPr>
                <w:bCs/>
                <w:color w:val="002060"/>
                <w:sz w:val="16"/>
                <w:szCs w:val="16"/>
              </w:rPr>
              <w:t>90,1</w:t>
            </w:r>
          </w:p>
        </w:tc>
      </w:tr>
      <w:tr w:rsidR="004B4E35" w:rsidRPr="00405303" w14:paraId="3F14BDB9" w14:textId="77777777">
        <w:tc>
          <w:tcPr>
            <w:tcW w:w="2268" w:type="dxa"/>
          </w:tcPr>
          <w:p w14:paraId="0F03C52C" w14:textId="77777777" w:rsidR="004B4E35" w:rsidRPr="00405303" w:rsidRDefault="009E6F82" w:rsidP="00C15251">
            <w:pPr>
              <w:jc w:val="both"/>
              <w:rPr>
                <w:bCs/>
                <w:color w:val="002060"/>
                <w:sz w:val="16"/>
                <w:szCs w:val="16"/>
              </w:rPr>
            </w:pPr>
            <w:r w:rsidRPr="00405303">
              <w:rPr>
                <w:bCs/>
                <w:color w:val="002060"/>
                <w:sz w:val="16"/>
                <w:szCs w:val="16"/>
              </w:rPr>
              <w:t>Э. Коппе, ст. Байрак</w:t>
            </w:r>
          </w:p>
        </w:tc>
        <w:tc>
          <w:tcPr>
            <w:tcW w:w="792" w:type="dxa"/>
          </w:tcPr>
          <w:p w14:paraId="1EAFD6D8" w14:textId="77777777" w:rsidR="004B4E35" w:rsidRPr="00405303" w:rsidRDefault="009E6F82" w:rsidP="00C15251">
            <w:pPr>
              <w:jc w:val="both"/>
              <w:rPr>
                <w:bCs/>
                <w:color w:val="002060"/>
                <w:sz w:val="16"/>
                <w:szCs w:val="16"/>
              </w:rPr>
            </w:pPr>
            <w:r w:rsidRPr="00405303">
              <w:rPr>
                <w:bCs/>
                <w:color w:val="002060"/>
                <w:sz w:val="16"/>
                <w:szCs w:val="16"/>
              </w:rPr>
              <w:t>31,2</w:t>
            </w:r>
          </w:p>
        </w:tc>
        <w:tc>
          <w:tcPr>
            <w:tcW w:w="684" w:type="dxa"/>
          </w:tcPr>
          <w:p w14:paraId="5AD1D63D" w14:textId="77777777" w:rsidR="004B4E35" w:rsidRPr="00405303" w:rsidRDefault="009E6F82" w:rsidP="00C15251">
            <w:pPr>
              <w:jc w:val="both"/>
              <w:rPr>
                <w:bCs/>
                <w:color w:val="002060"/>
                <w:sz w:val="16"/>
                <w:szCs w:val="16"/>
              </w:rPr>
            </w:pPr>
            <w:r w:rsidRPr="00405303">
              <w:rPr>
                <w:bCs/>
                <w:color w:val="002060"/>
                <w:sz w:val="16"/>
                <w:szCs w:val="16"/>
              </w:rPr>
              <w:t>26,9</w:t>
            </w:r>
          </w:p>
        </w:tc>
      </w:tr>
      <w:tr w:rsidR="004B4E35" w:rsidRPr="00405303" w14:paraId="10592430" w14:textId="77777777">
        <w:tc>
          <w:tcPr>
            <w:tcW w:w="2268" w:type="dxa"/>
          </w:tcPr>
          <w:p w14:paraId="19BF3AB3" w14:textId="77777777" w:rsidR="004B4E35" w:rsidRPr="00405303" w:rsidRDefault="009E6F82" w:rsidP="00C15251">
            <w:pPr>
              <w:jc w:val="both"/>
              <w:rPr>
                <w:bCs/>
                <w:color w:val="002060"/>
                <w:sz w:val="16"/>
                <w:szCs w:val="16"/>
              </w:rPr>
            </w:pPr>
            <w:r w:rsidRPr="00405303">
              <w:rPr>
                <w:bCs/>
                <w:color w:val="002060"/>
                <w:sz w:val="16"/>
                <w:szCs w:val="16"/>
              </w:rPr>
              <w:t>Э. Коппе, ст. Веровка</w:t>
            </w:r>
          </w:p>
        </w:tc>
        <w:tc>
          <w:tcPr>
            <w:tcW w:w="792" w:type="dxa"/>
          </w:tcPr>
          <w:p w14:paraId="583BAC5C" w14:textId="77777777" w:rsidR="004B4E35" w:rsidRPr="00405303" w:rsidRDefault="009E6F82" w:rsidP="00C15251">
            <w:pPr>
              <w:jc w:val="both"/>
              <w:rPr>
                <w:bCs/>
                <w:color w:val="002060"/>
                <w:sz w:val="16"/>
                <w:szCs w:val="16"/>
              </w:rPr>
            </w:pPr>
            <w:r w:rsidRPr="00405303">
              <w:rPr>
                <w:bCs/>
                <w:color w:val="002060"/>
                <w:sz w:val="16"/>
                <w:szCs w:val="16"/>
              </w:rPr>
              <w:t>11,5</w:t>
            </w:r>
          </w:p>
        </w:tc>
        <w:tc>
          <w:tcPr>
            <w:tcW w:w="684" w:type="dxa"/>
          </w:tcPr>
          <w:p w14:paraId="04501C45" w14:textId="77777777" w:rsidR="004B4E35" w:rsidRPr="00405303" w:rsidRDefault="009E6F82" w:rsidP="00C15251">
            <w:pPr>
              <w:jc w:val="both"/>
              <w:rPr>
                <w:bCs/>
                <w:color w:val="002060"/>
                <w:sz w:val="16"/>
                <w:szCs w:val="16"/>
              </w:rPr>
            </w:pPr>
            <w:r w:rsidRPr="00405303">
              <w:rPr>
                <w:bCs/>
                <w:color w:val="002060"/>
                <w:sz w:val="16"/>
                <w:szCs w:val="16"/>
              </w:rPr>
              <w:t>19,3</w:t>
            </w:r>
          </w:p>
        </w:tc>
      </w:tr>
      <w:tr w:rsidR="004B4E35" w:rsidRPr="00405303" w14:paraId="250DA5C7" w14:textId="77777777">
        <w:tc>
          <w:tcPr>
            <w:tcW w:w="2268" w:type="dxa"/>
          </w:tcPr>
          <w:p w14:paraId="46CE03DA" w14:textId="77777777" w:rsidR="004B4E35" w:rsidRPr="00405303" w:rsidRDefault="009E6F82" w:rsidP="00C15251">
            <w:pPr>
              <w:jc w:val="both"/>
              <w:rPr>
                <w:bCs/>
                <w:color w:val="002060"/>
                <w:sz w:val="16"/>
                <w:szCs w:val="16"/>
              </w:rPr>
            </w:pPr>
            <w:r w:rsidRPr="00405303">
              <w:rPr>
                <w:bCs/>
                <w:color w:val="002060"/>
                <w:sz w:val="16"/>
                <w:szCs w:val="16"/>
              </w:rPr>
              <w:t>Э. Коппе, ст. Сартана</w:t>
            </w:r>
          </w:p>
        </w:tc>
        <w:tc>
          <w:tcPr>
            <w:tcW w:w="792" w:type="dxa"/>
          </w:tcPr>
          <w:p w14:paraId="6876A7CC" w14:textId="77777777" w:rsidR="004B4E35" w:rsidRPr="00405303" w:rsidRDefault="009E6F82" w:rsidP="00C15251">
            <w:pPr>
              <w:jc w:val="both"/>
              <w:rPr>
                <w:bCs/>
                <w:color w:val="002060"/>
                <w:sz w:val="16"/>
                <w:szCs w:val="16"/>
              </w:rPr>
            </w:pPr>
            <w:r w:rsidRPr="00405303">
              <w:rPr>
                <w:bCs/>
                <w:color w:val="002060"/>
                <w:sz w:val="16"/>
                <w:szCs w:val="16"/>
              </w:rPr>
              <w:t>2.5</w:t>
            </w:r>
          </w:p>
        </w:tc>
        <w:tc>
          <w:tcPr>
            <w:tcW w:w="684" w:type="dxa"/>
          </w:tcPr>
          <w:p w14:paraId="2B1022A4" w14:textId="77777777" w:rsidR="004B4E35" w:rsidRPr="00405303" w:rsidRDefault="009E6F82" w:rsidP="00C15251">
            <w:pPr>
              <w:jc w:val="both"/>
              <w:rPr>
                <w:bCs/>
                <w:color w:val="002060"/>
                <w:sz w:val="16"/>
                <w:szCs w:val="16"/>
              </w:rPr>
            </w:pPr>
            <w:r w:rsidRPr="00405303">
              <w:rPr>
                <w:bCs/>
                <w:color w:val="002060"/>
                <w:sz w:val="16"/>
                <w:szCs w:val="16"/>
              </w:rPr>
              <w:t>15,7</w:t>
            </w:r>
          </w:p>
        </w:tc>
      </w:tr>
      <w:tr w:rsidR="004B4E35" w:rsidRPr="00405303" w14:paraId="76966D5F" w14:textId="77777777">
        <w:tc>
          <w:tcPr>
            <w:tcW w:w="2268" w:type="dxa"/>
          </w:tcPr>
          <w:p w14:paraId="179D7F9D" w14:textId="77777777" w:rsidR="004B4E35" w:rsidRPr="00405303" w:rsidRDefault="009E6F82" w:rsidP="00C15251">
            <w:pPr>
              <w:jc w:val="both"/>
              <w:rPr>
                <w:bCs/>
                <w:color w:val="002060"/>
                <w:sz w:val="16"/>
                <w:szCs w:val="16"/>
              </w:rPr>
            </w:pPr>
            <w:r w:rsidRPr="00405303">
              <w:rPr>
                <w:bCs/>
                <w:color w:val="002060"/>
                <w:sz w:val="16"/>
                <w:szCs w:val="16"/>
              </w:rPr>
              <w:lastRenderedPageBreak/>
              <w:t>О. Пьетт, ст. Макеевка</w:t>
            </w:r>
          </w:p>
        </w:tc>
        <w:tc>
          <w:tcPr>
            <w:tcW w:w="792" w:type="dxa"/>
          </w:tcPr>
          <w:p w14:paraId="103565FB" w14:textId="77777777" w:rsidR="004B4E35" w:rsidRPr="00405303" w:rsidRDefault="009E6F82" w:rsidP="00C15251">
            <w:pPr>
              <w:jc w:val="both"/>
              <w:rPr>
                <w:bCs/>
                <w:color w:val="002060"/>
                <w:sz w:val="16"/>
                <w:szCs w:val="16"/>
              </w:rPr>
            </w:pPr>
            <w:r w:rsidRPr="00405303">
              <w:rPr>
                <w:bCs/>
                <w:color w:val="002060"/>
                <w:sz w:val="16"/>
                <w:szCs w:val="16"/>
              </w:rPr>
              <w:t>62,6</w:t>
            </w:r>
          </w:p>
        </w:tc>
        <w:tc>
          <w:tcPr>
            <w:tcW w:w="684" w:type="dxa"/>
          </w:tcPr>
          <w:p w14:paraId="6B960DA5" w14:textId="77777777" w:rsidR="004B4E35" w:rsidRPr="00405303" w:rsidRDefault="009E6F82" w:rsidP="00C15251">
            <w:pPr>
              <w:jc w:val="both"/>
              <w:rPr>
                <w:bCs/>
                <w:color w:val="002060"/>
                <w:sz w:val="16"/>
                <w:szCs w:val="16"/>
              </w:rPr>
            </w:pPr>
            <w:r w:rsidRPr="00405303">
              <w:rPr>
                <w:bCs/>
                <w:color w:val="002060"/>
                <w:sz w:val="16"/>
                <w:szCs w:val="16"/>
              </w:rPr>
              <w:t>125,9</w:t>
            </w:r>
          </w:p>
        </w:tc>
      </w:tr>
      <w:tr w:rsidR="004B4E35" w:rsidRPr="00405303" w14:paraId="5F1A75F0" w14:textId="77777777">
        <w:tc>
          <w:tcPr>
            <w:tcW w:w="2268" w:type="dxa"/>
          </w:tcPr>
          <w:p w14:paraId="03EECE3A" w14:textId="77777777" w:rsidR="004B4E35" w:rsidRPr="00405303" w:rsidRDefault="009E6F82" w:rsidP="00C15251">
            <w:pPr>
              <w:jc w:val="both"/>
              <w:rPr>
                <w:bCs/>
                <w:color w:val="002060"/>
                <w:sz w:val="16"/>
                <w:szCs w:val="16"/>
              </w:rPr>
            </w:pPr>
            <w:r w:rsidRPr="00405303">
              <w:rPr>
                <w:bCs/>
                <w:color w:val="002060"/>
                <w:sz w:val="16"/>
                <w:szCs w:val="16"/>
              </w:rPr>
              <w:t>Кадиевский казенный завод</w:t>
            </w:r>
          </w:p>
        </w:tc>
        <w:tc>
          <w:tcPr>
            <w:tcW w:w="792" w:type="dxa"/>
          </w:tcPr>
          <w:p w14:paraId="7B6A2C28" w14:textId="77777777" w:rsidR="004B4E35" w:rsidRPr="00405303" w:rsidRDefault="009E6F82" w:rsidP="00C15251">
            <w:pPr>
              <w:jc w:val="both"/>
              <w:rPr>
                <w:bCs/>
                <w:color w:val="002060"/>
                <w:sz w:val="16"/>
                <w:szCs w:val="16"/>
              </w:rPr>
            </w:pPr>
            <w:r w:rsidRPr="00405303">
              <w:rPr>
                <w:bCs/>
                <w:color w:val="002060"/>
                <w:sz w:val="16"/>
                <w:szCs w:val="16"/>
              </w:rPr>
              <w:t>62,3</w:t>
            </w:r>
          </w:p>
        </w:tc>
        <w:tc>
          <w:tcPr>
            <w:tcW w:w="684" w:type="dxa"/>
          </w:tcPr>
          <w:p w14:paraId="332CF75D" w14:textId="77777777" w:rsidR="004B4E35" w:rsidRPr="00405303" w:rsidRDefault="009E6F82" w:rsidP="00C15251">
            <w:pPr>
              <w:jc w:val="both"/>
              <w:rPr>
                <w:bCs/>
                <w:color w:val="002060"/>
                <w:sz w:val="16"/>
                <w:szCs w:val="16"/>
              </w:rPr>
            </w:pPr>
            <w:r w:rsidRPr="00405303">
              <w:rPr>
                <w:bCs/>
                <w:color w:val="002060"/>
                <w:sz w:val="16"/>
                <w:szCs w:val="16"/>
              </w:rPr>
              <w:t>167,1</w:t>
            </w:r>
          </w:p>
        </w:tc>
      </w:tr>
      <w:tr w:rsidR="004B4E35" w:rsidRPr="00405303" w14:paraId="41321100" w14:textId="77777777">
        <w:tc>
          <w:tcPr>
            <w:tcW w:w="2268" w:type="dxa"/>
          </w:tcPr>
          <w:p w14:paraId="152B5926" w14:textId="77777777" w:rsidR="004B4E35" w:rsidRPr="00405303" w:rsidRDefault="009E6F82" w:rsidP="00C15251">
            <w:pPr>
              <w:jc w:val="both"/>
              <w:rPr>
                <w:bCs/>
                <w:color w:val="002060"/>
                <w:sz w:val="16"/>
                <w:szCs w:val="16"/>
              </w:rPr>
            </w:pPr>
            <w:r w:rsidRPr="00405303">
              <w:rPr>
                <w:bCs/>
                <w:color w:val="002060"/>
                <w:sz w:val="16"/>
                <w:szCs w:val="16"/>
              </w:rPr>
              <w:t>Щербиновский завод</w:t>
            </w:r>
          </w:p>
        </w:tc>
        <w:tc>
          <w:tcPr>
            <w:tcW w:w="792" w:type="dxa"/>
          </w:tcPr>
          <w:p w14:paraId="3B07BBEE" w14:textId="77777777" w:rsidR="004B4E35" w:rsidRPr="00405303" w:rsidRDefault="009E6F82" w:rsidP="00C15251">
            <w:pPr>
              <w:jc w:val="both"/>
              <w:rPr>
                <w:bCs/>
                <w:color w:val="002060"/>
                <w:sz w:val="16"/>
                <w:szCs w:val="16"/>
              </w:rPr>
            </w:pPr>
            <w:r w:rsidRPr="00405303">
              <w:rPr>
                <w:bCs/>
                <w:color w:val="002060"/>
                <w:sz w:val="16"/>
                <w:szCs w:val="16"/>
              </w:rPr>
              <w:t>29,7</w:t>
            </w:r>
          </w:p>
        </w:tc>
        <w:tc>
          <w:tcPr>
            <w:tcW w:w="684" w:type="dxa"/>
          </w:tcPr>
          <w:p w14:paraId="32C16AFC" w14:textId="77777777" w:rsidR="004B4E35" w:rsidRPr="00405303" w:rsidRDefault="009E6F82" w:rsidP="00C15251">
            <w:pPr>
              <w:jc w:val="both"/>
              <w:rPr>
                <w:bCs/>
                <w:color w:val="002060"/>
                <w:sz w:val="16"/>
                <w:szCs w:val="16"/>
              </w:rPr>
            </w:pPr>
            <w:r w:rsidRPr="00405303">
              <w:rPr>
                <w:bCs/>
                <w:color w:val="002060"/>
                <w:sz w:val="16"/>
                <w:szCs w:val="16"/>
              </w:rPr>
              <w:t>36,9</w:t>
            </w:r>
          </w:p>
        </w:tc>
      </w:tr>
      <w:tr w:rsidR="004B4E35" w:rsidRPr="00405303" w14:paraId="721F3CAC" w14:textId="77777777">
        <w:tc>
          <w:tcPr>
            <w:tcW w:w="2268" w:type="dxa"/>
          </w:tcPr>
          <w:p w14:paraId="38C30378" w14:textId="77777777" w:rsidR="004B4E35" w:rsidRPr="00405303" w:rsidRDefault="009E6F82" w:rsidP="00C15251">
            <w:pPr>
              <w:jc w:val="both"/>
              <w:rPr>
                <w:bCs/>
                <w:color w:val="002060"/>
                <w:sz w:val="16"/>
                <w:szCs w:val="16"/>
              </w:rPr>
            </w:pPr>
            <w:r w:rsidRPr="00405303">
              <w:rPr>
                <w:bCs/>
                <w:color w:val="002060"/>
                <w:sz w:val="16"/>
                <w:szCs w:val="16"/>
              </w:rPr>
              <w:t>Общество Карбонизоми (Горловка)</w:t>
            </w:r>
          </w:p>
        </w:tc>
        <w:tc>
          <w:tcPr>
            <w:tcW w:w="792" w:type="dxa"/>
          </w:tcPr>
          <w:p w14:paraId="2C68DD99" w14:textId="77777777" w:rsidR="004B4E35" w:rsidRPr="00405303" w:rsidRDefault="009E6F82" w:rsidP="00C15251">
            <w:pPr>
              <w:jc w:val="both"/>
              <w:rPr>
                <w:bCs/>
                <w:color w:val="002060"/>
                <w:sz w:val="16"/>
                <w:szCs w:val="16"/>
              </w:rPr>
            </w:pPr>
            <w:r w:rsidRPr="00405303">
              <w:rPr>
                <w:bCs/>
                <w:color w:val="002060"/>
                <w:sz w:val="16"/>
                <w:szCs w:val="16"/>
              </w:rPr>
              <w:t>—</w:t>
            </w:r>
          </w:p>
        </w:tc>
        <w:tc>
          <w:tcPr>
            <w:tcW w:w="684" w:type="dxa"/>
          </w:tcPr>
          <w:p w14:paraId="4E0A099A" w14:textId="77777777" w:rsidR="004B4E35" w:rsidRPr="00405303" w:rsidRDefault="009E6F82" w:rsidP="00C15251">
            <w:pPr>
              <w:jc w:val="both"/>
              <w:rPr>
                <w:bCs/>
                <w:color w:val="002060"/>
                <w:sz w:val="16"/>
                <w:szCs w:val="16"/>
              </w:rPr>
            </w:pPr>
            <w:r w:rsidRPr="00405303">
              <w:rPr>
                <w:bCs/>
                <w:color w:val="002060"/>
                <w:sz w:val="16"/>
                <w:szCs w:val="16"/>
              </w:rPr>
              <w:t>12,4</w:t>
            </w:r>
          </w:p>
        </w:tc>
      </w:tr>
      <w:tr w:rsidR="004B4E35" w:rsidRPr="00405303" w14:paraId="36578449" w14:textId="77777777">
        <w:tc>
          <w:tcPr>
            <w:tcW w:w="2268" w:type="dxa"/>
          </w:tcPr>
          <w:p w14:paraId="3367899F" w14:textId="77777777" w:rsidR="004B4E35" w:rsidRPr="00405303" w:rsidRDefault="009E6F82" w:rsidP="00C15251">
            <w:pPr>
              <w:jc w:val="both"/>
              <w:rPr>
                <w:bCs/>
                <w:color w:val="002060"/>
                <w:sz w:val="16"/>
                <w:szCs w:val="16"/>
              </w:rPr>
            </w:pPr>
            <w:r w:rsidRPr="00405303">
              <w:rPr>
                <w:bCs/>
                <w:color w:val="002060"/>
                <w:sz w:val="16"/>
                <w:szCs w:val="16"/>
              </w:rPr>
              <w:t>О. Пьетт (Дружковка)</w:t>
            </w:r>
          </w:p>
        </w:tc>
        <w:tc>
          <w:tcPr>
            <w:tcW w:w="792" w:type="dxa"/>
          </w:tcPr>
          <w:p w14:paraId="26176B69" w14:textId="77777777" w:rsidR="004B4E35" w:rsidRPr="00405303" w:rsidRDefault="009E6F82" w:rsidP="00C15251">
            <w:pPr>
              <w:jc w:val="both"/>
              <w:rPr>
                <w:bCs/>
                <w:color w:val="002060"/>
                <w:sz w:val="16"/>
                <w:szCs w:val="16"/>
              </w:rPr>
            </w:pPr>
            <w:r w:rsidRPr="00405303">
              <w:rPr>
                <w:bCs/>
                <w:color w:val="002060"/>
                <w:sz w:val="16"/>
                <w:szCs w:val="16"/>
              </w:rPr>
              <w:t>—</w:t>
            </w:r>
          </w:p>
        </w:tc>
        <w:tc>
          <w:tcPr>
            <w:tcW w:w="684" w:type="dxa"/>
          </w:tcPr>
          <w:p w14:paraId="6B805C08" w14:textId="77777777" w:rsidR="004B4E35" w:rsidRPr="00405303" w:rsidRDefault="009E6F82" w:rsidP="00C15251">
            <w:pPr>
              <w:jc w:val="both"/>
              <w:rPr>
                <w:bCs/>
                <w:color w:val="002060"/>
                <w:sz w:val="16"/>
                <w:szCs w:val="16"/>
              </w:rPr>
            </w:pPr>
            <w:r w:rsidRPr="00405303">
              <w:rPr>
                <w:bCs/>
                <w:color w:val="002060"/>
                <w:sz w:val="16"/>
                <w:szCs w:val="16"/>
              </w:rPr>
              <w:t>23,1</w:t>
            </w:r>
          </w:p>
        </w:tc>
      </w:tr>
      <w:tr w:rsidR="004B4E35" w:rsidRPr="00405303" w14:paraId="0EC09AAA" w14:textId="77777777">
        <w:tc>
          <w:tcPr>
            <w:tcW w:w="2268" w:type="dxa"/>
          </w:tcPr>
          <w:p w14:paraId="567AB537" w14:textId="77777777" w:rsidR="004B4E35" w:rsidRPr="00405303" w:rsidRDefault="009E6F82" w:rsidP="00C15251">
            <w:pPr>
              <w:jc w:val="both"/>
              <w:rPr>
                <w:bCs/>
                <w:color w:val="002060"/>
                <w:sz w:val="16"/>
                <w:szCs w:val="16"/>
              </w:rPr>
            </w:pPr>
            <w:r w:rsidRPr="00405303">
              <w:rPr>
                <w:bCs/>
                <w:color w:val="002060"/>
                <w:sz w:val="16"/>
                <w:szCs w:val="16"/>
              </w:rPr>
              <w:t>Э. Коппе (Константиновка)</w:t>
            </w:r>
          </w:p>
        </w:tc>
        <w:tc>
          <w:tcPr>
            <w:tcW w:w="792" w:type="dxa"/>
          </w:tcPr>
          <w:p w14:paraId="3C86F0DF" w14:textId="77777777" w:rsidR="004B4E35" w:rsidRPr="00405303" w:rsidRDefault="009E6F82" w:rsidP="00C15251">
            <w:pPr>
              <w:jc w:val="both"/>
              <w:rPr>
                <w:bCs/>
                <w:color w:val="002060"/>
                <w:sz w:val="16"/>
                <w:szCs w:val="16"/>
              </w:rPr>
            </w:pPr>
            <w:r w:rsidRPr="00405303">
              <w:rPr>
                <w:bCs/>
                <w:color w:val="002060"/>
                <w:sz w:val="16"/>
                <w:szCs w:val="16"/>
              </w:rPr>
              <w:t>—</w:t>
            </w:r>
          </w:p>
        </w:tc>
        <w:tc>
          <w:tcPr>
            <w:tcW w:w="684" w:type="dxa"/>
          </w:tcPr>
          <w:p w14:paraId="1FD37873" w14:textId="77777777" w:rsidR="004B4E35" w:rsidRPr="00405303" w:rsidRDefault="009E6F82" w:rsidP="00C15251">
            <w:pPr>
              <w:jc w:val="both"/>
              <w:rPr>
                <w:bCs/>
                <w:color w:val="002060"/>
                <w:sz w:val="16"/>
                <w:szCs w:val="16"/>
              </w:rPr>
            </w:pPr>
            <w:r w:rsidRPr="00405303">
              <w:rPr>
                <w:bCs/>
                <w:color w:val="002060"/>
                <w:sz w:val="16"/>
                <w:szCs w:val="16"/>
              </w:rPr>
              <w:t>8,2</w:t>
            </w:r>
          </w:p>
        </w:tc>
      </w:tr>
      <w:tr w:rsidR="004B4E35" w:rsidRPr="00405303" w14:paraId="7747C655" w14:textId="77777777">
        <w:tc>
          <w:tcPr>
            <w:tcW w:w="2268" w:type="dxa"/>
          </w:tcPr>
          <w:p w14:paraId="0DFA18CB" w14:textId="77777777" w:rsidR="004B4E35" w:rsidRPr="00405303" w:rsidRDefault="009E6F82" w:rsidP="00C15251">
            <w:pPr>
              <w:jc w:val="both"/>
              <w:rPr>
                <w:bCs/>
                <w:color w:val="002060"/>
                <w:sz w:val="16"/>
                <w:szCs w:val="16"/>
              </w:rPr>
            </w:pPr>
            <w:r w:rsidRPr="00405303">
              <w:rPr>
                <w:bCs/>
                <w:color w:val="002060"/>
                <w:sz w:val="16"/>
                <w:szCs w:val="16"/>
              </w:rPr>
              <w:t>Всего</w:t>
            </w:r>
          </w:p>
        </w:tc>
        <w:tc>
          <w:tcPr>
            <w:tcW w:w="792" w:type="dxa"/>
          </w:tcPr>
          <w:p w14:paraId="4E95DD97" w14:textId="77777777" w:rsidR="004B4E35" w:rsidRPr="00405303" w:rsidRDefault="009E6F82" w:rsidP="00C15251">
            <w:pPr>
              <w:jc w:val="both"/>
              <w:rPr>
                <w:bCs/>
                <w:color w:val="002060"/>
                <w:sz w:val="16"/>
                <w:szCs w:val="16"/>
              </w:rPr>
            </w:pPr>
            <w:r w:rsidRPr="00405303">
              <w:rPr>
                <w:bCs/>
                <w:color w:val="002060"/>
                <w:sz w:val="16"/>
                <w:szCs w:val="16"/>
              </w:rPr>
              <w:t>364,3</w:t>
            </w:r>
          </w:p>
        </w:tc>
        <w:tc>
          <w:tcPr>
            <w:tcW w:w="684" w:type="dxa"/>
          </w:tcPr>
          <w:p w14:paraId="6662CC62" w14:textId="77777777" w:rsidR="004B4E35" w:rsidRPr="00405303" w:rsidRDefault="009E6F82" w:rsidP="00C15251">
            <w:pPr>
              <w:jc w:val="both"/>
              <w:rPr>
                <w:bCs/>
                <w:color w:val="002060"/>
                <w:sz w:val="16"/>
                <w:szCs w:val="16"/>
              </w:rPr>
            </w:pPr>
            <w:r w:rsidRPr="00405303">
              <w:rPr>
                <w:bCs/>
                <w:color w:val="002060"/>
                <w:sz w:val="16"/>
                <w:szCs w:val="16"/>
              </w:rPr>
              <w:t>656,7</w:t>
            </w:r>
          </w:p>
        </w:tc>
      </w:tr>
    </w:tbl>
    <w:p w14:paraId="179098F4" w14:textId="77777777" w:rsidR="004B4E35" w:rsidRPr="00405303" w:rsidRDefault="009E6F82" w:rsidP="00C15251">
      <w:pPr>
        <w:jc w:val="both"/>
        <w:rPr>
          <w:bCs/>
          <w:color w:val="002060"/>
          <w:sz w:val="16"/>
          <w:szCs w:val="16"/>
        </w:rPr>
      </w:pPr>
      <w:r w:rsidRPr="00405303">
        <w:rPr>
          <w:bCs/>
          <w:color w:val="002060"/>
          <w:sz w:val="16"/>
          <w:szCs w:val="16"/>
        </w:rPr>
        <w:t xml:space="preserve">Надо отметить, что заводы не всегда могли работать на полную свою мощность, так как сплошь и рядом каменный уголь для коксования доставлялся не по адресу, а именно: на печи без улавливания продуктов коксования, а печи с улавливанием месяцами стояли, не имея что коксовать. </w:t>
      </w:r>
    </w:p>
    <w:p w14:paraId="214875AD" w14:textId="77777777" w:rsidR="004B4E35" w:rsidRPr="00405303" w:rsidRDefault="009E6F82" w:rsidP="00C15251">
      <w:pPr>
        <w:jc w:val="both"/>
        <w:rPr>
          <w:bCs/>
          <w:color w:val="002060"/>
          <w:sz w:val="16"/>
          <w:szCs w:val="16"/>
        </w:rPr>
      </w:pPr>
      <w:r w:rsidRPr="00405303">
        <w:rPr>
          <w:bCs/>
          <w:color w:val="002060"/>
          <w:sz w:val="16"/>
          <w:szCs w:val="16"/>
        </w:rPr>
        <w:t xml:space="preserve">В итоге мероприятий по развитию коксобензольного дела удалось в 7-8 раз увеличить количество печей, могущих давать полностью все продукты сухой перегонки каменного угля. </w:t>
      </w:r>
    </w:p>
    <w:p w14:paraId="73D727B1" w14:textId="77777777" w:rsidR="004B4E35" w:rsidRPr="00405303" w:rsidRDefault="009E6F82" w:rsidP="00C15251">
      <w:pPr>
        <w:jc w:val="both"/>
        <w:rPr>
          <w:bCs/>
          <w:color w:val="002060"/>
          <w:sz w:val="16"/>
          <w:szCs w:val="16"/>
        </w:rPr>
      </w:pPr>
      <w:r w:rsidRPr="00405303">
        <w:rPr>
          <w:bCs/>
          <w:color w:val="002060"/>
          <w:sz w:val="16"/>
          <w:szCs w:val="16"/>
        </w:rPr>
        <w:t xml:space="preserve">Затем, Комиссией Ипатьева были произведены крупные работы по организации заводов для ректификации продуктов коксования угля. </w:t>
      </w:r>
    </w:p>
    <w:p w14:paraId="201A93D5" w14:textId="77777777" w:rsidR="004B4E35" w:rsidRPr="00405303" w:rsidRDefault="009E6F82" w:rsidP="00C15251">
      <w:pPr>
        <w:jc w:val="both"/>
        <w:rPr>
          <w:bCs/>
          <w:color w:val="002060"/>
          <w:sz w:val="16"/>
          <w:szCs w:val="16"/>
        </w:rPr>
      </w:pPr>
      <w:r w:rsidRPr="00405303">
        <w:rPr>
          <w:bCs/>
          <w:color w:val="002060"/>
          <w:sz w:val="16"/>
          <w:szCs w:val="16"/>
        </w:rPr>
        <w:t xml:space="preserve">До войны, получаемые на Юге небольшие количества сырого бензола фракционировалось на 90%-ный бензол, 50%-ный бензол и сольвентнафта, без выделения чистых продуктов — бензола, толуола и ксилола. Между тем для фабрикации взрывчатых веществ требовались именно эти продукты. </w:t>
      </w:r>
    </w:p>
    <w:p w14:paraId="36A626D3" w14:textId="77777777" w:rsidR="004B4E35" w:rsidRPr="00405303" w:rsidRDefault="009E6F82" w:rsidP="00C15251">
      <w:pPr>
        <w:jc w:val="both"/>
        <w:rPr>
          <w:bCs/>
          <w:color w:val="002060"/>
          <w:sz w:val="16"/>
          <w:szCs w:val="16"/>
        </w:rPr>
      </w:pPr>
      <w:r w:rsidRPr="00405303">
        <w:rPr>
          <w:bCs/>
          <w:color w:val="002060"/>
          <w:sz w:val="16"/>
          <w:szCs w:val="16"/>
        </w:rPr>
        <w:t xml:space="preserve">В начале деятельности Химического комитета сырой бензол, получаемый в Донбассе, направлялся в Петроград для фракционировки на Тентелевском химическом заводе, после чего полученный чистый толуол отправлялся для нитрования в Самарский завод взрывчатых веществ, а чистый бензол — обратно на Юг для выработки пикриновой кислоты, на завод Сольвей. </w:t>
      </w:r>
    </w:p>
    <w:p w14:paraId="1F2C3B54" w14:textId="77777777" w:rsidR="004B4E35" w:rsidRPr="00405303" w:rsidRDefault="009E6F82" w:rsidP="00C15251">
      <w:pPr>
        <w:jc w:val="both"/>
        <w:rPr>
          <w:bCs/>
          <w:color w:val="002060"/>
          <w:sz w:val="16"/>
          <w:szCs w:val="16"/>
        </w:rPr>
      </w:pPr>
      <w:r w:rsidRPr="00405303">
        <w:rPr>
          <w:bCs/>
          <w:color w:val="002060"/>
          <w:sz w:val="16"/>
          <w:szCs w:val="16"/>
        </w:rPr>
        <w:t xml:space="preserve">Так как Тентелевский завод не справлялся с фракционировкой, за малой производительностью аппаратов, то было произведено переоборудование Гутуевского спиртоочистительного завода для фракционировки бензола. </w:t>
      </w:r>
    </w:p>
    <w:p w14:paraId="7EECD4B6" w14:textId="77777777" w:rsidR="004B4E35" w:rsidRPr="00405303" w:rsidRDefault="009E6F82" w:rsidP="00C15251">
      <w:pPr>
        <w:jc w:val="both"/>
        <w:rPr>
          <w:bCs/>
          <w:color w:val="002060"/>
          <w:sz w:val="16"/>
          <w:szCs w:val="16"/>
        </w:rPr>
      </w:pPr>
      <w:r w:rsidRPr="00405303">
        <w:rPr>
          <w:bCs/>
          <w:color w:val="002060"/>
          <w:sz w:val="16"/>
          <w:szCs w:val="16"/>
        </w:rPr>
        <w:t xml:space="preserve">Ввиду указанных обстоятельств для фракционирования бензола Комиссией по заготовке взрывчатых веществ была предпринята постройка казенного ректификационного завода в Кадиевке с производительностью 500 000 пудов в год, считая на сырой бензол. </w:t>
      </w:r>
    </w:p>
    <w:p w14:paraId="5EA94A18" w14:textId="77777777" w:rsidR="004B4E35" w:rsidRPr="00405303" w:rsidRDefault="009E6F82" w:rsidP="00C15251">
      <w:pPr>
        <w:jc w:val="both"/>
        <w:rPr>
          <w:bCs/>
          <w:color w:val="002060"/>
          <w:sz w:val="16"/>
          <w:szCs w:val="16"/>
        </w:rPr>
      </w:pPr>
      <w:r w:rsidRPr="00405303">
        <w:rPr>
          <w:bCs/>
          <w:color w:val="002060"/>
          <w:sz w:val="16"/>
          <w:szCs w:val="16"/>
        </w:rPr>
        <w:t xml:space="preserve">Независимо от этого, по поручению Комиссии профессора Ипатьева были поставлены ректификационные оборудования частными фирмами — Оливье Пьетт в Макеевке, Эванс Коппе при Новосмоляниновском руднике в Юзовке, Брянским обществом в Орловской губернии и Обществом Коксобензол при ст. Рубежной (начато постройкой). </w:t>
      </w:r>
    </w:p>
    <w:p w14:paraId="1F8C5DDA" w14:textId="77777777" w:rsidR="004B4E35" w:rsidRPr="00405303" w:rsidRDefault="009E6F82" w:rsidP="00C15251">
      <w:pPr>
        <w:jc w:val="both"/>
        <w:rPr>
          <w:bCs/>
          <w:color w:val="002060"/>
          <w:sz w:val="16"/>
          <w:szCs w:val="16"/>
        </w:rPr>
      </w:pPr>
      <w:r w:rsidRPr="00405303">
        <w:rPr>
          <w:bCs/>
          <w:color w:val="002060"/>
          <w:sz w:val="16"/>
          <w:szCs w:val="16"/>
        </w:rPr>
        <w:t xml:space="preserve">Ввиду того, что производство каменноугольного толуола в Донецком бассейне не могло быстро развернуться в таком масштабе, чтобы покрывать всю потребность войны, Комиссия Ипатьева озаботилась изысканием других источников получения толуола. Было обращено внимание на бензины, содержащие большой процент толуола. </w:t>
      </w:r>
    </w:p>
    <w:p w14:paraId="66F93395" w14:textId="77777777" w:rsidR="004B4E35" w:rsidRPr="00405303" w:rsidRDefault="009E6F82" w:rsidP="00C15251">
      <w:pPr>
        <w:jc w:val="both"/>
        <w:rPr>
          <w:bCs/>
          <w:color w:val="002060"/>
          <w:sz w:val="16"/>
          <w:szCs w:val="16"/>
        </w:rPr>
      </w:pPr>
      <w:r w:rsidRPr="00405303">
        <w:rPr>
          <w:bCs/>
          <w:color w:val="002060"/>
          <w:sz w:val="16"/>
          <w:szCs w:val="16"/>
        </w:rPr>
        <w:t xml:space="preserve">Большие и ценные в научном отношении работы по этому вопросу сделаны были химиком Центральной научно-технической лаборатории военного ведомства Н.П. Андреевым. Предположено было первоначально добывать толуол из галицийской нефти, где процент его очень высок. Отступление русских войск из Галиции в 1915 г. не позволило сделать этого. Тогда были произведены исследования бензинов Майкопских и Грозненских месторождений, давшие вполне благоприятные результаты. После этого было решено строить заводы для извлечения толуола из бензинов. Дело было поручено строительной Комиссии под председательством В.Н. Ипатьева. </w:t>
      </w:r>
    </w:p>
    <w:p w14:paraId="013CCE99" w14:textId="77777777" w:rsidR="004B4E35" w:rsidRPr="00405303" w:rsidRDefault="009E6F82" w:rsidP="00C15251">
      <w:pPr>
        <w:jc w:val="both"/>
        <w:rPr>
          <w:bCs/>
          <w:color w:val="002060"/>
          <w:sz w:val="16"/>
          <w:szCs w:val="16"/>
        </w:rPr>
      </w:pPr>
      <w:r w:rsidRPr="00405303">
        <w:rPr>
          <w:bCs/>
          <w:color w:val="002060"/>
          <w:sz w:val="16"/>
          <w:szCs w:val="16"/>
        </w:rPr>
        <w:t xml:space="preserve">Первый такой завод построен был в Екатеринодаре, около Майкопских нефтеперегонных заводов. В 1916 г. он давал уже до 2000 пудов в месяц монотринитротолуола, получаемого обработкой нитрующей смесью фракции бензина, содержащей 15-20% толуола. Монопродукт отправлялся для донитрования в Самарский завод взрывчатых веществ. </w:t>
      </w:r>
    </w:p>
    <w:p w14:paraId="14CE738A" w14:textId="77777777" w:rsidR="004B4E35" w:rsidRPr="00405303" w:rsidRDefault="009E6F82" w:rsidP="00C15251">
      <w:pPr>
        <w:jc w:val="both"/>
        <w:rPr>
          <w:bCs/>
          <w:color w:val="002060"/>
          <w:sz w:val="16"/>
          <w:szCs w:val="16"/>
        </w:rPr>
      </w:pPr>
      <w:r w:rsidRPr="00405303">
        <w:rPr>
          <w:bCs/>
          <w:color w:val="002060"/>
          <w:sz w:val="16"/>
          <w:szCs w:val="16"/>
        </w:rPr>
        <w:t xml:space="preserve">В Грозном на заводах "Русский Стандарт" и Ахвердова были сделаны крупные ректификационные установки для получения толуола из лигроина, с производительностью до 4000 пудов в месяц. Производство было начато в начале 1917 года. </w:t>
      </w:r>
    </w:p>
    <w:p w14:paraId="4F333233" w14:textId="77777777" w:rsidR="004B4E35" w:rsidRPr="00405303" w:rsidRDefault="009E6F82" w:rsidP="00C15251">
      <w:pPr>
        <w:jc w:val="both"/>
        <w:rPr>
          <w:bCs/>
          <w:color w:val="002060"/>
          <w:sz w:val="16"/>
          <w:szCs w:val="16"/>
        </w:rPr>
      </w:pPr>
      <w:r w:rsidRPr="00405303">
        <w:rPr>
          <w:bCs/>
          <w:color w:val="002060"/>
          <w:sz w:val="16"/>
          <w:szCs w:val="16"/>
        </w:rPr>
        <w:t xml:space="preserve">Независимо от получения толуола указанным путем, с начала 1915 г. велись деятельные опыты над разложением нефти при высоких температурах по методам, предложенным химиком Никифоровым. Опыты велись проф. Тихвинским, Зелинским и Лебедевым, а также в Научно-технической лаборатории военного ведомства. К концу 1915 г. имелось уже достаточно материалов, чтобы ставить заводское производство. Первые заводские опыты были поставлены Комиссией Ипатьева на газовом заводе казанской городской управы и там же было поставлено первое валовое производство ароматических углеводородов на небольшую производительность — около 1000 пудов в месяц. </w:t>
      </w:r>
    </w:p>
    <w:p w14:paraId="7A19B54A" w14:textId="77777777" w:rsidR="004B4E35" w:rsidRPr="00405303" w:rsidRDefault="009E6F82" w:rsidP="00C15251">
      <w:pPr>
        <w:jc w:val="both"/>
        <w:rPr>
          <w:bCs/>
          <w:color w:val="002060"/>
          <w:sz w:val="16"/>
          <w:szCs w:val="16"/>
        </w:rPr>
      </w:pPr>
      <w:r w:rsidRPr="00405303">
        <w:rPr>
          <w:bCs/>
          <w:color w:val="002060"/>
          <w:sz w:val="16"/>
          <w:szCs w:val="16"/>
        </w:rPr>
        <w:t xml:space="preserve">Вопросом получения толуола из нефти пирогенетическим путем занимался деятельно и Военно-промышленный комитет. Бакинский ВПК взял на себя постройку для этой цели завода в Баку. Предварительный проект был составлен проф. П. Кошицем, Смоленским и Громаном. Завод был рассчитан на производство 4000 пудов и к осени 1916 г. был пущен уже в ход. </w:t>
      </w:r>
    </w:p>
    <w:p w14:paraId="474CC979" w14:textId="77777777" w:rsidR="004B4E35" w:rsidRPr="00405303" w:rsidRDefault="009E6F82" w:rsidP="00C15251">
      <w:pPr>
        <w:jc w:val="both"/>
        <w:rPr>
          <w:bCs/>
          <w:color w:val="002060"/>
          <w:sz w:val="16"/>
          <w:szCs w:val="16"/>
        </w:rPr>
      </w:pPr>
      <w:r w:rsidRPr="00405303">
        <w:rPr>
          <w:bCs/>
          <w:color w:val="002060"/>
          <w:sz w:val="16"/>
          <w:szCs w:val="16"/>
        </w:rPr>
        <w:t xml:space="preserve">Одновременно с бакинским ВПК была начата постройка трех заводов для получения ароматических углеводородов из нефти фирмами: Бр. Нобель, Бенкендорф и Нефтегаз. Из них только первая выполнила задачу вовремя. Другие две закончили постройку к самому концу войны. </w:t>
      </w:r>
    </w:p>
    <w:p w14:paraId="67DA0EE1" w14:textId="77777777" w:rsidR="004B4E35" w:rsidRPr="00405303" w:rsidRDefault="009E6F82" w:rsidP="00C15251">
      <w:pPr>
        <w:jc w:val="both"/>
        <w:rPr>
          <w:bCs/>
          <w:color w:val="002060"/>
          <w:sz w:val="16"/>
          <w:szCs w:val="16"/>
        </w:rPr>
      </w:pPr>
      <w:r w:rsidRPr="00405303">
        <w:rPr>
          <w:bCs/>
          <w:color w:val="002060"/>
          <w:sz w:val="16"/>
          <w:szCs w:val="16"/>
        </w:rPr>
        <w:t xml:space="preserve">В итоге за время войны было изготовлено пирогенетического толуола до 150 000 пудов и была создана таким образом новая отрасль химической промышленности. </w:t>
      </w:r>
    </w:p>
    <w:p w14:paraId="3379CB78" w14:textId="77777777" w:rsidR="004B4E35" w:rsidRPr="00405303" w:rsidRDefault="009E6F82" w:rsidP="00C15251">
      <w:pPr>
        <w:jc w:val="both"/>
        <w:rPr>
          <w:bCs/>
          <w:color w:val="002060"/>
          <w:sz w:val="16"/>
          <w:szCs w:val="16"/>
        </w:rPr>
      </w:pPr>
      <w:r w:rsidRPr="00405303">
        <w:rPr>
          <w:bCs/>
          <w:color w:val="002060"/>
          <w:sz w:val="16"/>
          <w:szCs w:val="16"/>
        </w:rPr>
        <w:t xml:space="preserve">Суммарное получение чистого бензола и [чистого] толуола всеми перечисленными методами (каменноугольного и нефтяного) выражается в следующих цифрах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837"/>
        <w:gridCol w:w="636"/>
        <w:gridCol w:w="641"/>
        <w:gridCol w:w="636"/>
        <w:gridCol w:w="641"/>
      </w:tblGrid>
      <w:tr w:rsidR="004B4E35" w:rsidRPr="00405303" w14:paraId="1C85A447" w14:textId="77777777">
        <w:tc>
          <w:tcPr>
            <w:tcW w:w="837" w:type="dxa"/>
          </w:tcPr>
          <w:p w14:paraId="627F8C7D" w14:textId="0FA87946" w:rsidR="004B4E35" w:rsidRPr="00405303" w:rsidRDefault="00DB4D64" w:rsidP="00C15251">
            <w:pPr>
              <w:jc w:val="both"/>
              <w:rPr>
                <w:bCs/>
                <w:color w:val="002060"/>
                <w:sz w:val="16"/>
                <w:szCs w:val="16"/>
              </w:rPr>
            </w:pPr>
            <w:r w:rsidRPr="00405303">
              <w:rPr>
                <w:bCs/>
                <w:color w:val="002060"/>
                <w:sz w:val="16"/>
                <w:szCs w:val="16"/>
              </w:rPr>
              <w:t xml:space="preserve"> </w:t>
            </w:r>
          </w:p>
        </w:tc>
        <w:tc>
          <w:tcPr>
            <w:tcW w:w="1277" w:type="dxa"/>
            <w:gridSpan w:val="2"/>
          </w:tcPr>
          <w:p w14:paraId="523D85B4" w14:textId="77777777" w:rsidR="004B4E35" w:rsidRPr="00405303" w:rsidRDefault="009E6F82" w:rsidP="00C15251">
            <w:pPr>
              <w:jc w:val="both"/>
              <w:rPr>
                <w:bCs/>
                <w:color w:val="002060"/>
                <w:sz w:val="16"/>
                <w:szCs w:val="16"/>
              </w:rPr>
            </w:pPr>
            <w:r w:rsidRPr="00405303">
              <w:rPr>
                <w:bCs/>
                <w:color w:val="002060"/>
                <w:sz w:val="16"/>
                <w:szCs w:val="16"/>
              </w:rPr>
              <w:t>1916 год</w:t>
            </w:r>
          </w:p>
        </w:tc>
        <w:tc>
          <w:tcPr>
            <w:tcW w:w="1277" w:type="dxa"/>
            <w:gridSpan w:val="2"/>
          </w:tcPr>
          <w:p w14:paraId="1D3F329E" w14:textId="77777777" w:rsidR="004B4E35" w:rsidRPr="00405303" w:rsidRDefault="009E6F82" w:rsidP="00C15251">
            <w:pPr>
              <w:jc w:val="both"/>
              <w:rPr>
                <w:bCs/>
                <w:color w:val="002060"/>
                <w:sz w:val="16"/>
                <w:szCs w:val="16"/>
              </w:rPr>
            </w:pPr>
            <w:r w:rsidRPr="00405303">
              <w:rPr>
                <w:bCs/>
                <w:color w:val="002060"/>
                <w:sz w:val="16"/>
                <w:szCs w:val="16"/>
              </w:rPr>
              <w:t>1917 год</w:t>
            </w:r>
          </w:p>
        </w:tc>
      </w:tr>
      <w:tr w:rsidR="004B4E35" w:rsidRPr="00405303" w14:paraId="188E0C7C" w14:textId="77777777">
        <w:tc>
          <w:tcPr>
            <w:tcW w:w="837" w:type="dxa"/>
          </w:tcPr>
          <w:p w14:paraId="4DFBF934" w14:textId="77777777" w:rsidR="004B4E35" w:rsidRPr="00405303" w:rsidRDefault="009E6F82" w:rsidP="00C15251">
            <w:pPr>
              <w:jc w:val="both"/>
              <w:rPr>
                <w:bCs/>
                <w:color w:val="002060"/>
                <w:sz w:val="16"/>
                <w:szCs w:val="16"/>
              </w:rPr>
            </w:pPr>
            <w:r w:rsidRPr="00405303">
              <w:rPr>
                <w:bCs/>
                <w:color w:val="002060"/>
                <w:sz w:val="16"/>
                <w:szCs w:val="16"/>
              </w:rPr>
              <w:t>Месяцы</w:t>
            </w:r>
          </w:p>
        </w:tc>
        <w:tc>
          <w:tcPr>
            <w:tcW w:w="636" w:type="dxa"/>
          </w:tcPr>
          <w:p w14:paraId="56942FAF" w14:textId="77777777" w:rsidR="004B4E35" w:rsidRPr="00405303" w:rsidRDefault="009E6F82" w:rsidP="00C15251">
            <w:pPr>
              <w:jc w:val="both"/>
              <w:rPr>
                <w:bCs/>
                <w:color w:val="002060"/>
                <w:sz w:val="16"/>
                <w:szCs w:val="16"/>
              </w:rPr>
            </w:pPr>
            <w:r w:rsidRPr="00405303">
              <w:rPr>
                <w:bCs/>
                <w:color w:val="002060"/>
                <w:sz w:val="16"/>
                <w:szCs w:val="16"/>
              </w:rPr>
              <w:t>Бензол</w:t>
            </w:r>
          </w:p>
        </w:tc>
        <w:tc>
          <w:tcPr>
            <w:tcW w:w="641" w:type="dxa"/>
          </w:tcPr>
          <w:p w14:paraId="0DF626B7" w14:textId="77777777" w:rsidR="004B4E35" w:rsidRPr="00405303" w:rsidRDefault="009E6F82" w:rsidP="00C15251">
            <w:pPr>
              <w:jc w:val="both"/>
              <w:rPr>
                <w:bCs/>
                <w:color w:val="002060"/>
                <w:sz w:val="16"/>
                <w:szCs w:val="16"/>
              </w:rPr>
            </w:pPr>
            <w:r w:rsidRPr="00405303">
              <w:rPr>
                <w:bCs/>
                <w:color w:val="002060"/>
                <w:sz w:val="16"/>
                <w:szCs w:val="16"/>
              </w:rPr>
              <w:t>Толуол</w:t>
            </w:r>
          </w:p>
        </w:tc>
        <w:tc>
          <w:tcPr>
            <w:tcW w:w="636" w:type="dxa"/>
          </w:tcPr>
          <w:p w14:paraId="373801AA" w14:textId="77777777" w:rsidR="004B4E35" w:rsidRPr="00405303" w:rsidRDefault="009E6F82" w:rsidP="00C15251">
            <w:pPr>
              <w:jc w:val="both"/>
              <w:rPr>
                <w:bCs/>
                <w:color w:val="002060"/>
                <w:sz w:val="16"/>
                <w:szCs w:val="16"/>
              </w:rPr>
            </w:pPr>
            <w:r w:rsidRPr="00405303">
              <w:rPr>
                <w:bCs/>
                <w:color w:val="002060"/>
                <w:sz w:val="16"/>
                <w:szCs w:val="16"/>
              </w:rPr>
              <w:t xml:space="preserve">Бензол </w:t>
            </w:r>
          </w:p>
        </w:tc>
        <w:tc>
          <w:tcPr>
            <w:tcW w:w="641" w:type="dxa"/>
          </w:tcPr>
          <w:p w14:paraId="7AA49FA9" w14:textId="77777777" w:rsidR="004B4E35" w:rsidRPr="00405303" w:rsidRDefault="009E6F82" w:rsidP="00C15251">
            <w:pPr>
              <w:jc w:val="both"/>
              <w:rPr>
                <w:bCs/>
                <w:color w:val="002060"/>
                <w:sz w:val="16"/>
                <w:szCs w:val="16"/>
              </w:rPr>
            </w:pPr>
            <w:r w:rsidRPr="00405303">
              <w:rPr>
                <w:bCs/>
                <w:color w:val="002060"/>
                <w:sz w:val="16"/>
                <w:szCs w:val="16"/>
              </w:rPr>
              <w:t>Толуол</w:t>
            </w:r>
          </w:p>
        </w:tc>
      </w:tr>
      <w:tr w:rsidR="004B4E35" w:rsidRPr="00405303" w14:paraId="459B3856" w14:textId="77777777">
        <w:tc>
          <w:tcPr>
            <w:tcW w:w="837" w:type="dxa"/>
          </w:tcPr>
          <w:p w14:paraId="1C81AEB7" w14:textId="77777777" w:rsidR="004B4E35" w:rsidRPr="00405303" w:rsidRDefault="009E6F82" w:rsidP="00C15251">
            <w:pPr>
              <w:jc w:val="both"/>
              <w:rPr>
                <w:bCs/>
                <w:color w:val="002060"/>
                <w:sz w:val="16"/>
                <w:szCs w:val="16"/>
              </w:rPr>
            </w:pPr>
            <w:r w:rsidRPr="00405303">
              <w:rPr>
                <w:bCs/>
                <w:color w:val="002060"/>
                <w:sz w:val="16"/>
                <w:szCs w:val="16"/>
              </w:rPr>
              <w:t>Январь</w:t>
            </w:r>
          </w:p>
        </w:tc>
        <w:tc>
          <w:tcPr>
            <w:tcW w:w="636" w:type="dxa"/>
          </w:tcPr>
          <w:p w14:paraId="361868C4" w14:textId="77777777" w:rsidR="004B4E35" w:rsidRPr="00405303" w:rsidRDefault="009E6F82" w:rsidP="00C15251">
            <w:pPr>
              <w:jc w:val="both"/>
              <w:rPr>
                <w:bCs/>
                <w:color w:val="002060"/>
                <w:sz w:val="16"/>
                <w:szCs w:val="16"/>
              </w:rPr>
            </w:pPr>
            <w:r w:rsidRPr="00405303">
              <w:rPr>
                <w:bCs/>
                <w:color w:val="002060"/>
                <w:sz w:val="16"/>
                <w:szCs w:val="16"/>
              </w:rPr>
              <w:t>13,6</w:t>
            </w:r>
          </w:p>
        </w:tc>
        <w:tc>
          <w:tcPr>
            <w:tcW w:w="641" w:type="dxa"/>
          </w:tcPr>
          <w:p w14:paraId="6177E937" w14:textId="77777777" w:rsidR="004B4E35" w:rsidRPr="00405303" w:rsidRDefault="009E6F82" w:rsidP="00C15251">
            <w:pPr>
              <w:jc w:val="both"/>
              <w:rPr>
                <w:bCs/>
                <w:color w:val="002060"/>
                <w:sz w:val="16"/>
                <w:szCs w:val="16"/>
              </w:rPr>
            </w:pPr>
            <w:r w:rsidRPr="00405303">
              <w:rPr>
                <w:bCs/>
                <w:color w:val="002060"/>
                <w:sz w:val="16"/>
                <w:szCs w:val="16"/>
              </w:rPr>
              <w:t>10,9</w:t>
            </w:r>
          </w:p>
        </w:tc>
        <w:tc>
          <w:tcPr>
            <w:tcW w:w="636" w:type="dxa"/>
          </w:tcPr>
          <w:p w14:paraId="503ABDCB" w14:textId="77777777" w:rsidR="004B4E35" w:rsidRPr="00405303" w:rsidRDefault="009E6F82" w:rsidP="00C15251">
            <w:pPr>
              <w:jc w:val="both"/>
              <w:rPr>
                <w:bCs/>
                <w:color w:val="002060"/>
                <w:sz w:val="16"/>
                <w:szCs w:val="16"/>
              </w:rPr>
            </w:pPr>
            <w:r w:rsidRPr="00405303">
              <w:rPr>
                <w:bCs/>
                <w:color w:val="002060"/>
                <w:sz w:val="16"/>
                <w:szCs w:val="16"/>
              </w:rPr>
              <w:t xml:space="preserve">20,0 </w:t>
            </w:r>
          </w:p>
        </w:tc>
        <w:tc>
          <w:tcPr>
            <w:tcW w:w="641" w:type="dxa"/>
          </w:tcPr>
          <w:p w14:paraId="788FF447" w14:textId="77777777" w:rsidR="004B4E35" w:rsidRPr="00405303" w:rsidRDefault="009E6F82" w:rsidP="00C15251">
            <w:pPr>
              <w:jc w:val="both"/>
              <w:rPr>
                <w:bCs/>
                <w:color w:val="002060"/>
                <w:sz w:val="16"/>
                <w:szCs w:val="16"/>
              </w:rPr>
            </w:pPr>
            <w:r w:rsidRPr="00405303">
              <w:rPr>
                <w:bCs/>
                <w:color w:val="002060"/>
                <w:sz w:val="16"/>
                <w:szCs w:val="16"/>
              </w:rPr>
              <w:t>16,8</w:t>
            </w:r>
          </w:p>
        </w:tc>
      </w:tr>
      <w:tr w:rsidR="004B4E35" w:rsidRPr="00405303" w14:paraId="597145E6" w14:textId="77777777">
        <w:tc>
          <w:tcPr>
            <w:tcW w:w="837" w:type="dxa"/>
          </w:tcPr>
          <w:p w14:paraId="6ECD0E7C" w14:textId="77777777" w:rsidR="004B4E35" w:rsidRPr="00405303" w:rsidRDefault="009E6F82" w:rsidP="00C15251">
            <w:pPr>
              <w:jc w:val="both"/>
              <w:rPr>
                <w:bCs/>
                <w:color w:val="002060"/>
                <w:sz w:val="16"/>
                <w:szCs w:val="16"/>
              </w:rPr>
            </w:pPr>
            <w:r w:rsidRPr="00405303">
              <w:rPr>
                <w:bCs/>
                <w:color w:val="002060"/>
                <w:sz w:val="16"/>
                <w:szCs w:val="16"/>
              </w:rPr>
              <w:t>Февраль</w:t>
            </w:r>
          </w:p>
        </w:tc>
        <w:tc>
          <w:tcPr>
            <w:tcW w:w="636" w:type="dxa"/>
          </w:tcPr>
          <w:p w14:paraId="4BB1A3AE" w14:textId="77777777" w:rsidR="004B4E35" w:rsidRPr="00405303" w:rsidRDefault="009E6F82" w:rsidP="00C15251">
            <w:pPr>
              <w:jc w:val="both"/>
              <w:rPr>
                <w:bCs/>
                <w:color w:val="002060"/>
                <w:sz w:val="16"/>
                <w:szCs w:val="16"/>
              </w:rPr>
            </w:pPr>
            <w:r w:rsidRPr="00405303">
              <w:rPr>
                <w:bCs/>
                <w:color w:val="002060"/>
                <w:sz w:val="16"/>
                <w:szCs w:val="16"/>
              </w:rPr>
              <w:t>13,3</w:t>
            </w:r>
          </w:p>
        </w:tc>
        <w:tc>
          <w:tcPr>
            <w:tcW w:w="641" w:type="dxa"/>
          </w:tcPr>
          <w:p w14:paraId="78E13521" w14:textId="77777777" w:rsidR="004B4E35" w:rsidRPr="00405303" w:rsidRDefault="009E6F82" w:rsidP="00C15251">
            <w:pPr>
              <w:jc w:val="both"/>
              <w:rPr>
                <w:bCs/>
                <w:color w:val="002060"/>
                <w:sz w:val="16"/>
                <w:szCs w:val="16"/>
              </w:rPr>
            </w:pPr>
            <w:r w:rsidRPr="00405303">
              <w:rPr>
                <w:bCs/>
                <w:color w:val="002060"/>
                <w:sz w:val="16"/>
                <w:szCs w:val="16"/>
              </w:rPr>
              <w:t>10,5</w:t>
            </w:r>
          </w:p>
        </w:tc>
        <w:tc>
          <w:tcPr>
            <w:tcW w:w="636" w:type="dxa"/>
          </w:tcPr>
          <w:p w14:paraId="72C03AE8" w14:textId="77777777" w:rsidR="004B4E35" w:rsidRPr="00405303" w:rsidRDefault="009E6F82" w:rsidP="00C15251">
            <w:pPr>
              <w:jc w:val="both"/>
              <w:rPr>
                <w:bCs/>
                <w:color w:val="002060"/>
                <w:sz w:val="16"/>
                <w:szCs w:val="16"/>
              </w:rPr>
            </w:pPr>
            <w:r w:rsidRPr="00405303">
              <w:rPr>
                <w:bCs/>
                <w:color w:val="002060"/>
                <w:sz w:val="16"/>
                <w:szCs w:val="16"/>
              </w:rPr>
              <w:t xml:space="preserve">23,5 </w:t>
            </w:r>
          </w:p>
        </w:tc>
        <w:tc>
          <w:tcPr>
            <w:tcW w:w="641" w:type="dxa"/>
          </w:tcPr>
          <w:p w14:paraId="53A0C34D" w14:textId="77777777" w:rsidR="004B4E35" w:rsidRPr="00405303" w:rsidRDefault="009E6F82" w:rsidP="00C15251">
            <w:pPr>
              <w:jc w:val="both"/>
              <w:rPr>
                <w:bCs/>
                <w:color w:val="002060"/>
                <w:sz w:val="16"/>
                <w:szCs w:val="16"/>
              </w:rPr>
            </w:pPr>
            <w:r w:rsidRPr="00405303">
              <w:rPr>
                <w:bCs/>
                <w:color w:val="002060"/>
                <w:sz w:val="16"/>
                <w:szCs w:val="16"/>
              </w:rPr>
              <w:t>19,1</w:t>
            </w:r>
          </w:p>
        </w:tc>
      </w:tr>
      <w:tr w:rsidR="004B4E35" w:rsidRPr="00405303" w14:paraId="5DB9DD6B" w14:textId="77777777">
        <w:tc>
          <w:tcPr>
            <w:tcW w:w="837" w:type="dxa"/>
          </w:tcPr>
          <w:p w14:paraId="69937C18" w14:textId="77777777" w:rsidR="004B4E35" w:rsidRPr="00405303" w:rsidRDefault="009E6F82" w:rsidP="00C15251">
            <w:pPr>
              <w:jc w:val="both"/>
              <w:rPr>
                <w:bCs/>
                <w:color w:val="002060"/>
                <w:sz w:val="16"/>
                <w:szCs w:val="16"/>
              </w:rPr>
            </w:pPr>
            <w:r w:rsidRPr="00405303">
              <w:rPr>
                <w:bCs/>
                <w:color w:val="002060"/>
                <w:sz w:val="16"/>
                <w:szCs w:val="16"/>
              </w:rPr>
              <w:t>Март</w:t>
            </w:r>
          </w:p>
        </w:tc>
        <w:tc>
          <w:tcPr>
            <w:tcW w:w="636" w:type="dxa"/>
          </w:tcPr>
          <w:p w14:paraId="5A0C8201" w14:textId="77777777" w:rsidR="004B4E35" w:rsidRPr="00405303" w:rsidRDefault="009E6F82" w:rsidP="00C15251">
            <w:pPr>
              <w:jc w:val="both"/>
              <w:rPr>
                <w:bCs/>
                <w:color w:val="002060"/>
                <w:sz w:val="16"/>
                <w:szCs w:val="16"/>
              </w:rPr>
            </w:pPr>
            <w:r w:rsidRPr="00405303">
              <w:rPr>
                <w:bCs/>
                <w:color w:val="002060"/>
                <w:sz w:val="16"/>
                <w:szCs w:val="16"/>
              </w:rPr>
              <w:t>14,2</w:t>
            </w:r>
          </w:p>
        </w:tc>
        <w:tc>
          <w:tcPr>
            <w:tcW w:w="641" w:type="dxa"/>
          </w:tcPr>
          <w:p w14:paraId="2CE43FAC" w14:textId="77777777" w:rsidR="004B4E35" w:rsidRPr="00405303" w:rsidRDefault="009E6F82" w:rsidP="00C15251">
            <w:pPr>
              <w:jc w:val="both"/>
              <w:rPr>
                <w:bCs/>
                <w:color w:val="002060"/>
                <w:sz w:val="16"/>
                <w:szCs w:val="16"/>
              </w:rPr>
            </w:pPr>
            <w:r w:rsidRPr="00405303">
              <w:rPr>
                <w:bCs/>
                <w:color w:val="002060"/>
                <w:sz w:val="16"/>
                <w:szCs w:val="16"/>
              </w:rPr>
              <w:t>11,4</w:t>
            </w:r>
          </w:p>
        </w:tc>
        <w:tc>
          <w:tcPr>
            <w:tcW w:w="636" w:type="dxa"/>
          </w:tcPr>
          <w:p w14:paraId="4B6B851F" w14:textId="77777777" w:rsidR="004B4E35" w:rsidRPr="00405303" w:rsidRDefault="009E6F82" w:rsidP="00C15251">
            <w:pPr>
              <w:jc w:val="both"/>
              <w:rPr>
                <w:bCs/>
                <w:color w:val="002060"/>
                <w:sz w:val="16"/>
                <w:szCs w:val="16"/>
              </w:rPr>
            </w:pPr>
            <w:r w:rsidRPr="00405303">
              <w:rPr>
                <w:bCs/>
                <w:color w:val="002060"/>
                <w:sz w:val="16"/>
                <w:szCs w:val="16"/>
              </w:rPr>
              <w:t xml:space="preserve">26,3 </w:t>
            </w:r>
          </w:p>
        </w:tc>
        <w:tc>
          <w:tcPr>
            <w:tcW w:w="641" w:type="dxa"/>
          </w:tcPr>
          <w:p w14:paraId="76DED5B8" w14:textId="77777777" w:rsidR="004B4E35" w:rsidRPr="00405303" w:rsidRDefault="009E6F82" w:rsidP="00C15251">
            <w:pPr>
              <w:jc w:val="both"/>
              <w:rPr>
                <w:bCs/>
                <w:color w:val="002060"/>
                <w:sz w:val="16"/>
                <w:szCs w:val="16"/>
              </w:rPr>
            </w:pPr>
            <w:r w:rsidRPr="00405303">
              <w:rPr>
                <w:bCs/>
                <w:color w:val="002060"/>
                <w:sz w:val="16"/>
                <w:szCs w:val="16"/>
              </w:rPr>
              <w:t>21,6</w:t>
            </w:r>
          </w:p>
        </w:tc>
      </w:tr>
      <w:tr w:rsidR="004B4E35" w:rsidRPr="00405303" w14:paraId="47B39B91" w14:textId="77777777">
        <w:tc>
          <w:tcPr>
            <w:tcW w:w="837" w:type="dxa"/>
          </w:tcPr>
          <w:p w14:paraId="3E70292A" w14:textId="77777777" w:rsidR="004B4E35" w:rsidRPr="00405303" w:rsidRDefault="009E6F82" w:rsidP="00C15251">
            <w:pPr>
              <w:jc w:val="both"/>
              <w:rPr>
                <w:bCs/>
                <w:color w:val="002060"/>
                <w:sz w:val="16"/>
                <w:szCs w:val="16"/>
              </w:rPr>
            </w:pPr>
            <w:r w:rsidRPr="00405303">
              <w:rPr>
                <w:bCs/>
                <w:color w:val="002060"/>
                <w:sz w:val="16"/>
                <w:szCs w:val="16"/>
              </w:rPr>
              <w:t>Апрель</w:t>
            </w:r>
          </w:p>
        </w:tc>
        <w:tc>
          <w:tcPr>
            <w:tcW w:w="636" w:type="dxa"/>
          </w:tcPr>
          <w:p w14:paraId="6FE7FB2F" w14:textId="77777777" w:rsidR="004B4E35" w:rsidRPr="00405303" w:rsidRDefault="009E6F82" w:rsidP="00C15251">
            <w:pPr>
              <w:jc w:val="both"/>
              <w:rPr>
                <w:bCs/>
                <w:color w:val="002060"/>
                <w:sz w:val="16"/>
                <w:szCs w:val="16"/>
              </w:rPr>
            </w:pPr>
            <w:r w:rsidRPr="00405303">
              <w:rPr>
                <w:bCs/>
                <w:color w:val="002060"/>
                <w:sz w:val="16"/>
                <w:szCs w:val="16"/>
              </w:rPr>
              <w:t>13.5</w:t>
            </w:r>
          </w:p>
        </w:tc>
        <w:tc>
          <w:tcPr>
            <w:tcW w:w="641" w:type="dxa"/>
          </w:tcPr>
          <w:p w14:paraId="319C2C7E" w14:textId="77777777" w:rsidR="004B4E35" w:rsidRPr="00405303" w:rsidRDefault="009E6F82" w:rsidP="00C15251">
            <w:pPr>
              <w:jc w:val="both"/>
              <w:rPr>
                <w:bCs/>
                <w:color w:val="002060"/>
                <w:sz w:val="16"/>
                <w:szCs w:val="16"/>
              </w:rPr>
            </w:pPr>
            <w:r w:rsidRPr="00405303">
              <w:rPr>
                <w:bCs/>
                <w:color w:val="002060"/>
                <w:sz w:val="16"/>
                <w:szCs w:val="16"/>
              </w:rPr>
              <w:t>9,5</w:t>
            </w:r>
          </w:p>
        </w:tc>
        <w:tc>
          <w:tcPr>
            <w:tcW w:w="636" w:type="dxa"/>
          </w:tcPr>
          <w:p w14:paraId="4F639F56" w14:textId="77777777" w:rsidR="004B4E35" w:rsidRPr="00405303" w:rsidRDefault="009E6F82" w:rsidP="00C15251">
            <w:pPr>
              <w:jc w:val="both"/>
              <w:rPr>
                <w:bCs/>
                <w:color w:val="002060"/>
                <w:sz w:val="16"/>
                <w:szCs w:val="16"/>
              </w:rPr>
            </w:pPr>
            <w:r w:rsidRPr="00405303">
              <w:rPr>
                <w:bCs/>
                <w:color w:val="002060"/>
                <w:sz w:val="16"/>
                <w:szCs w:val="16"/>
              </w:rPr>
              <w:t>31,5</w:t>
            </w:r>
          </w:p>
        </w:tc>
        <w:tc>
          <w:tcPr>
            <w:tcW w:w="641" w:type="dxa"/>
          </w:tcPr>
          <w:p w14:paraId="3BE47D9C" w14:textId="77777777" w:rsidR="004B4E35" w:rsidRPr="00405303" w:rsidRDefault="009E6F82" w:rsidP="00C15251">
            <w:pPr>
              <w:jc w:val="both"/>
              <w:rPr>
                <w:bCs/>
                <w:color w:val="002060"/>
                <w:sz w:val="16"/>
                <w:szCs w:val="16"/>
              </w:rPr>
            </w:pPr>
            <w:r w:rsidRPr="00405303">
              <w:rPr>
                <w:bCs/>
                <w:color w:val="002060"/>
                <w:sz w:val="16"/>
                <w:szCs w:val="16"/>
              </w:rPr>
              <w:t>26,3</w:t>
            </w:r>
          </w:p>
        </w:tc>
      </w:tr>
      <w:tr w:rsidR="004B4E35" w:rsidRPr="00405303" w14:paraId="01AFDFAC" w14:textId="77777777">
        <w:tc>
          <w:tcPr>
            <w:tcW w:w="837" w:type="dxa"/>
          </w:tcPr>
          <w:p w14:paraId="5063F7F8" w14:textId="77777777" w:rsidR="004B4E35" w:rsidRPr="00405303" w:rsidRDefault="009E6F82" w:rsidP="00C15251">
            <w:pPr>
              <w:jc w:val="both"/>
              <w:rPr>
                <w:bCs/>
                <w:color w:val="002060"/>
                <w:sz w:val="16"/>
                <w:szCs w:val="16"/>
              </w:rPr>
            </w:pPr>
            <w:r w:rsidRPr="00405303">
              <w:rPr>
                <w:bCs/>
                <w:color w:val="002060"/>
                <w:sz w:val="16"/>
                <w:szCs w:val="16"/>
              </w:rPr>
              <w:t>Май</w:t>
            </w:r>
          </w:p>
        </w:tc>
        <w:tc>
          <w:tcPr>
            <w:tcW w:w="636" w:type="dxa"/>
          </w:tcPr>
          <w:p w14:paraId="262CCD52" w14:textId="77777777" w:rsidR="004B4E35" w:rsidRPr="00405303" w:rsidRDefault="009E6F82" w:rsidP="00C15251">
            <w:pPr>
              <w:jc w:val="both"/>
              <w:rPr>
                <w:bCs/>
                <w:color w:val="002060"/>
                <w:sz w:val="16"/>
                <w:szCs w:val="16"/>
              </w:rPr>
            </w:pPr>
            <w:r w:rsidRPr="00405303">
              <w:rPr>
                <w:bCs/>
                <w:color w:val="002060"/>
                <w:sz w:val="16"/>
                <w:szCs w:val="16"/>
              </w:rPr>
              <w:t>14,5</w:t>
            </w:r>
          </w:p>
        </w:tc>
        <w:tc>
          <w:tcPr>
            <w:tcW w:w="641" w:type="dxa"/>
          </w:tcPr>
          <w:p w14:paraId="1FCD8FAB" w14:textId="77777777" w:rsidR="004B4E35" w:rsidRPr="00405303" w:rsidRDefault="009E6F82" w:rsidP="00C15251">
            <w:pPr>
              <w:jc w:val="both"/>
              <w:rPr>
                <w:bCs/>
                <w:color w:val="002060"/>
                <w:sz w:val="16"/>
                <w:szCs w:val="16"/>
              </w:rPr>
            </w:pPr>
            <w:r w:rsidRPr="00405303">
              <w:rPr>
                <w:bCs/>
                <w:color w:val="002060"/>
                <w:sz w:val="16"/>
                <w:szCs w:val="16"/>
              </w:rPr>
              <w:t>9,5</w:t>
            </w:r>
          </w:p>
        </w:tc>
        <w:tc>
          <w:tcPr>
            <w:tcW w:w="636" w:type="dxa"/>
          </w:tcPr>
          <w:p w14:paraId="2C0D5489" w14:textId="77777777" w:rsidR="004B4E35" w:rsidRPr="00405303" w:rsidRDefault="009E6F82" w:rsidP="00C15251">
            <w:pPr>
              <w:jc w:val="both"/>
              <w:rPr>
                <w:bCs/>
                <w:color w:val="002060"/>
                <w:sz w:val="16"/>
                <w:szCs w:val="16"/>
              </w:rPr>
            </w:pPr>
            <w:r w:rsidRPr="00405303">
              <w:rPr>
                <w:bCs/>
                <w:color w:val="002060"/>
                <w:sz w:val="16"/>
                <w:szCs w:val="16"/>
              </w:rPr>
              <w:t xml:space="preserve">33,7 </w:t>
            </w:r>
          </w:p>
        </w:tc>
        <w:tc>
          <w:tcPr>
            <w:tcW w:w="641" w:type="dxa"/>
          </w:tcPr>
          <w:p w14:paraId="1670D534" w14:textId="77777777" w:rsidR="004B4E35" w:rsidRPr="00405303" w:rsidRDefault="009E6F82" w:rsidP="00C15251">
            <w:pPr>
              <w:jc w:val="both"/>
              <w:rPr>
                <w:bCs/>
                <w:color w:val="002060"/>
                <w:sz w:val="16"/>
                <w:szCs w:val="16"/>
              </w:rPr>
            </w:pPr>
            <w:r w:rsidRPr="00405303">
              <w:rPr>
                <w:bCs/>
                <w:color w:val="002060"/>
                <w:sz w:val="16"/>
                <w:szCs w:val="16"/>
              </w:rPr>
              <w:t>28,0</w:t>
            </w:r>
          </w:p>
        </w:tc>
      </w:tr>
      <w:tr w:rsidR="004B4E35" w:rsidRPr="00405303" w14:paraId="1029674C" w14:textId="77777777">
        <w:tc>
          <w:tcPr>
            <w:tcW w:w="837" w:type="dxa"/>
          </w:tcPr>
          <w:p w14:paraId="53246A4D" w14:textId="77777777" w:rsidR="004B4E35" w:rsidRPr="00405303" w:rsidRDefault="009E6F82" w:rsidP="00C15251">
            <w:pPr>
              <w:jc w:val="both"/>
              <w:rPr>
                <w:bCs/>
                <w:color w:val="002060"/>
                <w:sz w:val="16"/>
                <w:szCs w:val="16"/>
              </w:rPr>
            </w:pPr>
            <w:r w:rsidRPr="00405303">
              <w:rPr>
                <w:bCs/>
                <w:color w:val="002060"/>
                <w:sz w:val="16"/>
                <w:szCs w:val="16"/>
              </w:rPr>
              <w:t>Июнь</w:t>
            </w:r>
          </w:p>
        </w:tc>
        <w:tc>
          <w:tcPr>
            <w:tcW w:w="636" w:type="dxa"/>
          </w:tcPr>
          <w:p w14:paraId="370EFB3F" w14:textId="77777777" w:rsidR="004B4E35" w:rsidRPr="00405303" w:rsidRDefault="009E6F82" w:rsidP="00C15251">
            <w:pPr>
              <w:jc w:val="both"/>
              <w:rPr>
                <w:bCs/>
                <w:color w:val="002060"/>
                <w:sz w:val="16"/>
                <w:szCs w:val="16"/>
              </w:rPr>
            </w:pPr>
            <w:r w:rsidRPr="00405303">
              <w:rPr>
                <w:bCs/>
                <w:color w:val="002060"/>
                <w:sz w:val="16"/>
                <w:szCs w:val="16"/>
              </w:rPr>
              <w:t>116,5</w:t>
            </w:r>
          </w:p>
        </w:tc>
        <w:tc>
          <w:tcPr>
            <w:tcW w:w="641" w:type="dxa"/>
          </w:tcPr>
          <w:p w14:paraId="54C96040" w14:textId="77777777" w:rsidR="004B4E35" w:rsidRPr="00405303" w:rsidRDefault="009E6F82" w:rsidP="00C15251">
            <w:pPr>
              <w:jc w:val="both"/>
              <w:rPr>
                <w:bCs/>
                <w:color w:val="002060"/>
                <w:sz w:val="16"/>
                <w:szCs w:val="16"/>
              </w:rPr>
            </w:pPr>
            <w:r w:rsidRPr="00405303">
              <w:rPr>
                <w:bCs/>
                <w:color w:val="002060"/>
                <w:sz w:val="16"/>
                <w:szCs w:val="16"/>
              </w:rPr>
              <w:t>12,8</w:t>
            </w:r>
          </w:p>
        </w:tc>
        <w:tc>
          <w:tcPr>
            <w:tcW w:w="636" w:type="dxa"/>
          </w:tcPr>
          <w:p w14:paraId="4C7E5236" w14:textId="77777777" w:rsidR="004B4E35" w:rsidRPr="00405303" w:rsidRDefault="009E6F82" w:rsidP="00C15251">
            <w:pPr>
              <w:jc w:val="both"/>
              <w:rPr>
                <w:bCs/>
                <w:color w:val="002060"/>
                <w:sz w:val="16"/>
                <w:szCs w:val="16"/>
              </w:rPr>
            </w:pPr>
            <w:r w:rsidRPr="00405303">
              <w:rPr>
                <w:bCs/>
                <w:color w:val="002060"/>
                <w:sz w:val="16"/>
                <w:szCs w:val="16"/>
              </w:rPr>
              <w:t xml:space="preserve">33,7 </w:t>
            </w:r>
          </w:p>
        </w:tc>
        <w:tc>
          <w:tcPr>
            <w:tcW w:w="641" w:type="dxa"/>
          </w:tcPr>
          <w:p w14:paraId="2524CF17" w14:textId="77777777" w:rsidR="004B4E35" w:rsidRPr="00405303" w:rsidRDefault="009E6F82" w:rsidP="00C15251">
            <w:pPr>
              <w:jc w:val="both"/>
              <w:rPr>
                <w:bCs/>
                <w:color w:val="002060"/>
                <w:sz w:val="16"/>
                <w:szCs w:val="16"/>
              </w:rPr>
            </w:pPr>
            <w:r w:rsidRPr="00405303">
              <w:rPr>
                <w:bCs/>
                <w:color w:val="002060"/>
                <w:sz w:val="16"/>
                <w:szCs w:val="16"/>
              </w:rPr>
              <w:t>28,0</w:t>
            </w:r>
          </w:p>
        </w:tc>
      </w:tr>
      <w:tr w:rsidR="004B4E35" w:rsidRPr="00405303" w14:paraId="0557A2EF" w14:textId="77777777">
        <w:tc>
          <w:tcPr>
            <w:tcW w:w="837" w:type="dxa"/>
          </w:tcPr>
          <w:p w14:paraId="1F6C7C18" w14:textId="77777777" w:rsidR="004B4E35" w:rsidRPr="00405303" w:rsidRDefault="009E6F82" w:rsidP="00C15251">
            <w:pPr>
              <w:jc w:val="both"/>
              <w:rPr>
                <w:bCs/>
                <w:color w:val="002060"/>
                <w:sz w:val="16"/>
                <w:szCs w:val="16"/>
              </w:rPr>
            </w:pPr>
            <w:r w:rsidRPr="00405303">
              <w:rPr>
                <w:bCs/>
                <w:color w:val="002060"/>
                <w:sz w:val="16"/>
                <w:szCs w:val="16"/>
              </w:rPr>
              <w:t>Июль</w:t>
            </w:r>
          </w:p>
        </w:tc>
        <w:tc>
          <w:tcPr>
            <w:tcW w:w="636" w:type="dxa"/>
          </w:tcPr>
          <w:p w14:paraId="1FE16203" w14:textId="77777777" w:rsidR="004B4E35" w:rsidRPr="00405303" w:rsidRDefault="009E6F82" w:rsidP="00C15251">
            <w:pPr>
              <w:jc w:val="both"/>
              <w:rPr>
                <w:bCs/>
                <w:color w:val="002060"/>
                <w:sz w:val="16"/>
                <w:szCs w:val="16"/>
              </w:rPr>
            </w:pPr>
            <w:r w:rsidRPr="00405303">
              <w:rPr>
                <w:bCs/>
                <w:color w:val="002060"/>
                <w:sz w:val="16"/>
                <w:szCs w:val="16"/>
              </w:rPr>
              <w:t>126,7</w:t>
            </w:r>
          </w:p>
        </w:tc>
        <w:tc>
          <w:tcPr>
            <w:tcW w:w="641" w:type="dxa"/>
          </w:tcPr>
          <w:p w14:paraId="2479D6E5" w14:textId="77777777" w:rsidR="004B4E35" w:rsidRPr="00405303" w:rsidRDefault="009E6F82" w:rsidP="00C15251">
            <w:pPr>
              <w:jc w:val="both"/>
              <w:rPr>
                <w:bCs/>
                <w:color w:val="002060"/>
                <w:sz w:val="16"/>
                <w:szCs w:val="16"/>
              </w:rPr>
            </w:pPr>
            <w:r w:rsidRPr="00405303">
              <w:rPr>
                <w:bCs/>
                <w:color w:val="002060"/>
                <w:sz w:val="16"/>
                <w:szCs w:val="16"/>
              </w:rPr>
              <w:t>12,5</w:t>
            </w:r>
          </w:p>
        </w:tc>
        <w:tc>
          <w:tcPr>
            <w:tcW w:w="636" w:type="dxa"/>
          </w:tcPr>
          <w:p w14:paraId="7135E5CE"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3BBE0F24"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7CD3394D" w14:textId="77777777">
        <w:tc>
          <w:tcPr>
            <w:tcW w:w="837" w:type="dxa"/>
          </w:tcPr>
          <w:p w14:paraId="0E126FE9" w14:textId="77777777" w:rsidR="004B4E35" w:rsidRPr="00405303" w:rsidRDefault="009E6F82" w:rsidP="00C15251">
            <w:pPr>
              <w:jc w:val="both"/>
              <w:rPr>
                <w:bCs/>
                <w:color w:val="002060"/>
                <w:sz w:val="16"/>
                <w:szCs w:val="16"/>
              </w:rPr>
            </w:pPr>
            <w:r w:rsidRPr="00405303">
              <w:rPr>
                <w:bCs/>
                <w:color w:val="002060"/>
                <w:sz w:val="16"/>
                <w:szCs w:val="16"/>
              </w:rPr>
              <w:t>Август</w:t>
            </w:r>
          </w:p>
        </w:tc>
        <w:tc>
          <w:tcPr>
            <w:tcW w:w="636" w:type="dxa"/>
          </w:tcPr>
          <w:p w14:paraId="745C0340" w14:textId="77777777" w:rsidR="004B4E35" w:rsidRPr="00405303" w:rsidRDefault="009E6F82" w:rsidP="00C15251">
            <w:pPr>
              <w:jc w:val="both"/>
              <w:rPr>
                <w:bCs/>
                <w:color w:val="002060"/>
                <w:sz w:val="16"/>
                <w:szCs w:val="16"/>
              </w:rPr>
            </w:pPr>
            <w:r w:rsidRPr="00405303">
              <w:rPr>
                <w:bCs/>
                <w:color w:val="002060"/>
                <w:sz w:val="16"/>
                <w:szCs w:val="16"/>
              </w:rPr>
              <w:t>15,1</w:t>
            </w:r>
          </w:p>
        </w:tc>
        <w:tc>
          <w:tcPr>
            <w:tcW w:w="641" w:type="dxa"/>
          </w:tcPr>
          <w:p w14:paraId="08F5A4A4" w14:textId="77777777" w:rsidR="004B4E35" w:rsidRPr="00405303" w:rsidRDefault="009E6F82" w:rsidP="00C15251">
            <w:pPr>
              <w:jc w:val="both"/>
              <w:rPr>
                <w:bCs/>
                <w:color w:val="002060"/>
                <w:sz w:val="16"/>
                <w:szCs w:val="16"/>
              </w:rPr>
            </w:pPr>
            <w:r w:rsidRPr="00405303">
              <w:rPr>
                <w:bCs/>
                <w:color w:val="002060"/>
                <w:sz w:val="16"/>
                <w:szCs w:val="16"/>
              </w:rPr>
              <w:t>12,4</w:t>
            </w:r>
          </w:p>
        </w:tc>
        <w:tc>
          <w:tcPr>
            <w:tcW w:w="636" w:type="dxa"/>
          </w:tcPr>
          <w:p w14:paraId="52B9DAC1"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3F09FA47"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3E2BC10A" w14:textId="77777777">
        <w:tc>
          <w:tcPr>
            <w:tcW w:w="837" w:type="dxa"/>
          </w:tcPr>
          <w:p w14:paraId="4E4A3210" w14:textId="77777777" w:rsidR="004B4E35" w:rsidRPr="00405303" w:rsidRDefault="009E6F82" w:rsidP="00C15251">
            <w:pPr>
              <w:jc w:val="both"/>
              <w:rPr>
                <w:bCs/>
                <w:color w:val="002060"/>
                <w:sz w:val="16"/>
                <w:szCs w:val="16"/>
              </w:rPr>
            </w:pPr>
            <w:r w:rsidRPr="00405303">
              <w:rPr>
                <w:bCs/>
                <w:color w:val="002060"/>
                <w:sz w:val="16"/>
                <w:szCs w:val="16"/>
              </w:rPr>
              <w:t>Сентябрь</w:t>
            </w:r>
          </w:p>
        </w:tc>
        <w:tc>
          <w:tcPr>
            <w:tcW w:w="636" w:type="dxa"/>
          </w:tcPr>
          <w:p w14:paraId="0F6F69A8" w14:textId="77777777" w:rsidR="004B4E35" w:rsidRPr="00405303" w:rsidRDefault="009E6F82" w:rsidP="00C15251">
            <w:pPr>
              <w:jc w:val="both"/>
              <w:rPr>
                <w:bCs/>
                <w:color w:val="002060"/>
                <w:sz w:val="16"/>
                <w:szCs w:val="16"/>
              </w:rPr>
            </w:pPr>
            <w:r w:rsidRPr="00405303">
              <w:rPr>
                <w:bCs/>
                <w:color w:val="002060"/>
                <w:sz w:val="16"/>
                <w:szCs w:val="16"/>
              </w:rPr>
              <w:t>18,3</w:t>
            </w:r>
          </w:p>
        </w:tc>
        <w:tc>
          <w:tcPr>
            <w:tcW w:w="641" w:type="dxa"/>
          </w:tcPr>
          <w:p w14:paraId="4034FD57" w14:textId="77777777" w:rsidR="004B4E35" w:rsidRPr="00405303" w:rsidRDefault="009E6F82" w:rsidP="00C15251">
            <w:pPr>
              <w:jc w:val="both"/>
              <w:rPr>
                <w:bCs/>
                <w:color w:val="002060"/>
                <w:sz w:val="16"/>
                <w:szCs w:val="16"/>
              </w:rPr>
            </w:pPr>
            <w:r w:rsidRPr="00405303">
              <w:rPr>
                <w:bCs/>
                <w:color w:val="002060"/>
                <w:sz w:val="16"/>
                <w:szCs w:val="16"/>
              </w:rPr>
              <w:t>14,3</w:t>
            </w:r>
          </w:p>
        </w:tc>
        <w:tc>
          <w:tcPr>
            <w:tcW w:w="636" w:type="dxa"/>
          </w:tcPr>
          <w:p w14:paraId="4BE7CBFF"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1689C3DD"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0EC72556" w14:textId="77777777">
        <w:tc>
          <w:tcPr>
            <w:tcW w:w="837" w:type="dxa"/>
          </w:tcPr>
          <w:p w14:paraId="2F99689D" w14:textId="77777777" w:rsidR="004B4E35" w:rsidRPr="00405303" w:rsidRDefault="009E6F82" w:rsidP="00C15251">
            <w:pPr>
              <w:jc w:val="both"/>
              <w:rPr>
                <w:bCs/>
                <w:color w:val="002060"/>
                <w:sz w:val="16"/>
                <w:szCs w:val="16"/>
              </w:rPr>
            </w:pPr>
            <w:r w:rsidRPr="00405303">
              <w:rPr>
                <w:bCs/>
                <w:color w:val="002060"/>
                <w:sz w:val="16"/>
                <w:szCs w:val="16"/>
              </w:rPr>
              <w:t>Октябрь</w:t>
            </w:r>
          </w:p>
        </w:tc>
        <w:tc>
          <w:tcPr>
            <w:tcW w:w="636" w:type="dxa"/>
          </w:tcPr>
          <w:p w14:paraId="2B4F098E" w14:textId="77777777" w:rsidR="004B4E35" w:rsidRPr="00405303" w:rsidRDefault="009E6F82" w:rsidP="00C15251">
            <w:pPr>
              <w:jc w:val="both"/>
              <w:rPr>
                <w:bCs/>
                <w:color w:val="002060"/>
                <w:sz w:val="16"/>
                <w:szCs w:val="16"/>
              </w:rPr>
            </w:pPr>
            <w:r w:rsidRPr="00405303">
              <w:rPr>
                <w:bCs/>
                <w:color w:val="002060"/>
                <w:sz w:val="16"/>
                <w:szCs w:val="16"/>
              </w:rPr>
              <w:t>22,3</w:t>
            </w:r>
          </w:p>
        </w:tc>
        <w:tc>
          <w:tcPr>
            <w:tcW w:w="641" w:type="dxa"/>
          </w:tcPr>
          <w:p w14:paraId="122E611C" w14:textId="77777777" w:rsidR="004B4E35" w:rsidRPr="00405303" w:rsidRDefault="009E6F82" w:rsidP="00C15251">
            <w:pPr>
              <w:jc w:val="both"/>
              <w:rPr>
                <w:bCs/>
                <w:color w:val="002060"/>
                <w:sz w:val="16"/>
                <w:szCs w:val="16"/>
              </w:rPr>
            </w:pPr>
            <w:r w:rsidRPr="00405303">
              <w:rPr>
                <w:bCs/>
                <w:color w:val="002060"/>
                <w:sz w:val="16"/>
                <w:szCs w:val="16"/>
              </w:rPr>
              <w:t>16,7</w:t>
            </w:r>
          </w:p>
        </w:tc>
        <w:tc>
          <w:tcPr>
            <w:tcW w:w="636" w:type="dxa"/>
          </w:tcPr>
          <w:p w14:paraId="18501E74"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54AD1338"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039D2DEE" w14:textId="77777777">
        <w:tc>
          <w:tcPr>
            <w:tcW w:w="837" w:type="dxa"/>
          </w:tcPr>
          <w:p w14:paraId="08F00D7E"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636" w:type="dxa"/>
          </w:tcPr>
          <w:p w14:paraId="7C42458E" w14:textId="77777777" w:rsidR="004B4E35" w:rsidRPr="00405303" w:rsidRDefault="009E6F82" w:rsidP="00C15251">
            <w:pPr>
              <w:jc w:val="both"/>
              <w:rPr>
                <w:bCs/>
                <w:color w:val="002060"/>
                <w:sz w:val="16"/>
                <w:szCs w:val="16"/>
              </w:rPr>
            </w:pPr>
            <w:r w:rsidRPr="00405303">
              <w:rPr>
                <w:bCs/>
                <w:color w:val="002060"/>
                <w:sz w:val="16"/>
                <w:szCs w:val="16"/>
              </w:rPr>
              <w:t>19,7</w:t>
            </w:r>
          </w:p>
        </w:tc>
        <w:tc>
          <w:tcPr>
            <w:tcW w:w="641" w:type="dxa"/>
          </w:tcPr>
          <w:p w14:paraId="15734DED" w14:textId="77777777" w:rsidR="004B4E35" w:rsidRPr="00405303" w:rsidRDefault="009E6F82" w:rsidP="00C15251">
            <w:pPr>
              <w:jc w:val="both"/>
              <w:rPr>
                <w:bCs/>
                <w:color w:val="002060"/>
                <w:sz w:val="16"/>
                <w:szCs w:val="16"/>
              </w:rPr>
            </w:pPr>
            <w:r w:rsidRPr="00405303">
              <w:rPr>
                <w:bCs/>
                <w:color w:val="002060"/>
                <w:sz w:val="16"/>
                <w:szCs w:val="16"/>
              </w:rPr>
              <w:t>15,4</w:t>
            </w:r>
          </w:p>
        </w:tc>
        <w:tc>
          <w:tcPr>
            <w:tcW w:w="636" w:type="dxa"/>
          </w:tcPr>
          <w:p w14:paraId="038141F6"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10CC2B13"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679479D7" w14:textId="77777777">
        <w:tc>
          <w:tcPr>
            <w:tcW w:w="837" w:type="dxa"/>
          </w:tcPr>
          <w:p w14:paraId="3FF7B583"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636" w:type="dxa"/>
          </w:tcPr>
          <w:p w14:paraId="1CFB4952" w14:textId="77777777" w:rsidR="004B4E35" w:rsidRPr="00405303" w:rsidRDefault="009E6F82" w:rsidP="00C15251">
            <w:pPr>
              <w:jc w:val="both"/>
              <w:rPr>
                <w:bCs/>
                <w:color w:val="002060"/>
                <w:sz w:val="16"/>
                <w:szCs w:val="16"/>
              </w:rPr>
            </w:pPr>
            <w:r w:rsidRPr="00405303">
              <w:rPr>
                <w:bCs/>
                <w:color w:val="002060"/>
                <w:sz w:val="16"/>
                <w:szCs w:val="16"/>
              </w:rPr>
              <w:t>26,7</w:t>
            </w:r>
          </w:p>
        </w:tc>
        <w:tc>
          <w:tcPr>
            <w:tcW w:w="641" w:type="dxa"/>
          </w:tcPr>
          <w:p w14:paraId="6F388363" w14:textId="77777777" w:rsidR="004B4E35" w:rsidRPr="00405303" w:rsidRDefault="009E6F82" w:rsidP="00C15251">
            <w:pPr>
              <w:jc w:val="both"/>
              <w:rPr>
                <w:bCs/>
                <w:color w:val="002060"/>
                <w:sz w:val="16"/>
                <w:szCs w:val="16"/>
              </w:rPr>
            </w:pPr>
            <w:r w:rsidRPr="00405303">
              <w:rPr>
                <w:bCs/>
                <w:color w:val="002060"/>
                <w:sz w:val="16"/>
                <w:szCs w:val="16"/>
              </w:rPr>
              <w:t>18,7</w:t>
            </w:r>
          </w:p>
        </w:tc>
        <w:tc>
          <w:tcPr>
            <w:tcW w:w="636" w:type="dxa"/>
          </w:tcPr>
          <w:p w14:paraId="66155A6F"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5C3B3CB3"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5EEAF7EF" w14:textId="77777777">
        <w:tc>
          <w:tcPr>
            <w:tcW w:w="837" w:type="dxa"/>
          </w:tcPr>
          <w:p w14:paraId="46130CA4" w14:textId="77777777" w:rsidR="004B4E35" w:rsidRPr="00405303" w:rsidRDefault="009E6F82" w:rsidP="00C15251">
            <w:pPr>
              <w:jc w:val="both"/>
              <w:rPr>
                <w:bCs/>
                <w:color w:val="002060"/>
                <w:sz w:val="16"/>
                <w:szCs w:val="16"/>
              </w:rPr>
            </w:pPr>
            <w:r w:rsidRPr="00405303">
              <w:rPr>
                <w:bCs/>
                <w:color w:val="002060"/>
                <w:sz w:val="16"/>
                <w:szCs w:val="16"/>
              </w:rPr>
              <w:t>[Всего]</w:t>
            </w:r>
          </w:p>
        </w:tc>
        <w:tc>
          <w:tcPr>
            <w:tcW w:w="636" w:type="dxa"/>
          </w:tcPr>
          <w:p w14:paraId="63D8B9C1" w14:textId="77777777" w:rsidR="004B4E35" w:rsidRPr="00405303" w:rsidRDefault="009E6F82" w:rsidP="00C15251">
            <w:pPr>
              <w:jc w:val="both"/>
              <w:rPr>
                <w:bCs/>
                <w:color w:val="002060"/>
                <w:sz w:val="16"/>
                <w:szCs w:val="16"/>
              </w:rPr>
            </w:pPr>
            <w:r w:rsidRPr="00405303">
              <w:rPr>
                <w:bCs/>
                <w:color w:val="002060"/>
                <w:sz w:val="16"/>
                <w:szCs w:val="16"/>
              </w:rPr>
              <w:t>414,4</w:t>
            </w:r>
          </w:p>
        </w:tc>
        <w:tc>
          <w:tcPr>
            <w:tcW w:w="641" w:type="dxa"/>
          </w:tcPr>
          <w:p w14:paraId="0C5B1A93" w14:textId="77777777" w:rsidR="004B4E35" w:rsidRPr="00405303" w:rsidRDefault="009E6F82" w:rsidP="00C15251">
            <w:pPr>
              <w:jc w:val="both"/>
              <w:rPr>
                <w:bCs/>
                <w:color w:val="002060"/>
                <w:sz w:val="16"/>
                <w:szCs w:val="16"/>
              </w:rPr>
            </w:pPr>
            <w:r w:rsidRPr="00405303">
              <w:rPr>
                <w:bCs/>
                <w:color w:val="002060"/>
                <w:sz w:val="16"/>
                <w:szCs w:val="16"/>
              </w:rPr>
              <w:t>154,6</w:t>
            </w:r>
          </w:p>
        </w:tc>
        <w:tc>
          <w:tcPr>
            <w:tcW w:w="636" w:type="dxa"/>
          </w:tcPr>
          <w:p w14:paraId="1E173DBD" w14:textId="77777777" w:rsidR="004B4E35" w:rsidRPr="00405303" w:rsidRDefault="009E6F82" w:rsidP="00C15251">
            <w:pPr>
              <w:jc w:val="both"/>
              <w:rPr>
                <w:bCs/>
                <w:color w:val="002060"/>
                <w:sz w:val="16"/>
                <w:szCs w:val="16"/>
              </w:rPr>
            </w:pPr>
            <w:r w:rsidRPr="00405303">
              <w:rPr>
                <w:bCs/>
                <w:color w:val="002060"/>
                <w:sz w:val="16"/>
                <w:szCs w:val="16"/>
              </w:rPr>
              <w:t>168,7</w:t>
            </w:r>
          </w:p>
        </w:tc>
        <w:tc>
          <w:tcPr>
            <w:tcW w:w="641" w:type="dxa"/>
          </w:tcPr>
          <w:p w14:paraId="7CA8484F" w14:textId="77777777" w:rsidR="004B4E35" w:rsidRPr="00405303" w:rsidRDefault="009E6F82" w:rsidP="00C15251">
            <w:pPr>
              <w:jc w:val="both"/>
              <w:rPr>
                <w:bCs/>
                <w:color w:val="002060"/>
                <w:sz w:val="16"/>
                <w:szCs w:val="16"/>
              </w:rPr>
            </w:pPr>
            <w:r w:rsidRPr="00405303">
              <w:rPr>
                <w:bCs/>
                <w:color w:val="002060"/>
                <w:sz w:val="16"/>
                <w:szCs w:val="16"/>
              </w:rPr>
              <w:t>139,8</w:t>
            </w:r>
          </w:p>
        </w:tc>
      </w:tr>
    </w:tbl>
    <w:p w14:paraId="773661C4" w14:textId="77777777" w:rsidR="004B4E35" w:rsidRPr="00405303" w:rsidRDefault="009E6F82" w:rsidP="00C15251">
      <w:pPr>
        <w:jc w:val="both"/>
        <w:rPr>
          <w:bCs/>
          <w:color w:val="002060"/>
          <w:sz w:val="16"/>
          <w:szCs w:val="16"/>
        </w:rPr>
      </w:pPr>
      <w:r w:rsidRPr="00405303">
        <w:rPr>
          <w:bCs/>
          <w:color w:val="002060"/>
          <w:sz w:val="16"/>
          <w:szCs w:val="16"/>
        </w:rPr>
        <w:t xml:space="preserve">Цифры 1916 года показывают фактический выход продуктов. Для 1917 г. показан выход, предполагавшийся соответственно мощности заводов. Цифры выражают суммарный выход бензола и толуола, как нефтяного, так и каменноугольного. </w:t>
      </w:r>
    </w:p>
    <w:p w14:paraId="7C518327"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Количество каменноугольного продукта составляет от общего количества следующий процент: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792"/>
      </w:tblGrid>
      <w:tr w:rsidR="004B4E35" w:rsidRPr="00405303" w14:paraId="54C8A8F3" w14:textId="77777777">
        <w:tc>
          <w:tcPr>
            <w:tcW w:w="1896" w:type="dxa"/>
          </w:tcPr>
          <w:p w14:paraId="5E215F2F" w14:textId="77777777" w:rsidR="004B4E35" w:rsidRPr="00405303" w:rsidRDefault="009E6F82" w:rsidP="00C15251">
            <w:pPr>
              <w:jc w:val="both"/>
              <w:rPr>
                <w:bCs/>
                <w:color w:val="002060"/>
                <w:sz w:val="16"/>
                <w:szCs w:val="16"/>
              </w:rPr>
            </w:pPr>
            <w:r w:rsidRPr="00405303">
              <w:rPr>
                <w:bCs/>
                <w:color w:val="002060"/>
                <w:sz w:val="16"/>
                <w:szCs w:val="16"/>
              </w:rPr>
              <w:t>В январе 1916 г.</w:t>
            </w:r>
          </w:p>
        </w:tc>
        <w:tc>
          <w:tcPr>
            <w:tcW w:w="792" w:type="dxa"/>
          </w:tcPr>
          <w:p w14:paraId="414D7D31" w14:textId="77777777" w:rsidR="004B4E35" w:rsidRPr="00405303" w:rsidRDefault="009E6F82" w:rsidP="00C15251">
            <w:pPr>
              <w:jc w:val="both"/>
              <w:rPr>
                <w:bCs/>
                <w:color w:val="002060"/>
                <w:sz w:val="16"/>
                <w:szCs w:val="16"/>
              </w:rPr>
            </w:pPr>
            <w:r w:rsidRPr="00405303">
              <w:rPr>
                <w:bCs/>
                <w:color w:val="002060"/>
                <w:sz w:val="16"/>
                <w:szCs w:val="16"/>
              </w:rPr>
              <w:t xml:space="preserve">100% </w:t>
            </w:r>
          </w:p>
        </w:tc>
      </w:tr>
      <w:tr w:rsidR="004B4E35" w:rsidRPr="00405303" w14:paraId="52043788" w14:textId="77777777">
        <w:tc>
          <w:tcPr>
            <w:tcW w:w="1896" w:type="dxa"/>
          </w:tcPr>
          <w:p w14:paraId="31065E8D" w14:textId="77777777" w:rsidR="004B4E35" w:rsidRPr="00405303" w:rsidRDefault="009E6F82" w:rsidP="00C15251">
            <w:pPr>
              <w:jc w:val="both"/>
              <w:rPr>
                <w:bCs/>
                <w:color w:val="002060"/>
                <w:sz w:val="16"/>
                <w:szCs w:val="16"/>
              </w:rPr>
            </w:pPr>
            <w:r w:rsidRPr="00405303">
              <w:rPr>
                <w:bCs/>
                <w:color w:val="002060"/>
                <w:sz w:val="16"/>
                <w:szCs w:val="16"/>
              </w:rPr>
              <w:t>В январе 1917 г.</w:t>
            </w:r>
          </w:p>
        </w:tc>
        <w:tc>
          <w:tcPr>
            <w:tcW w:w="792" w:type="dxa"/>
          </w:tcPr>
          <w:p w14:paraId="5C660CC1" w14:textId="77777777" w:rsidR="004B4E35" w:rsidRPr="00405303" w:rsidRDefault="009E6F82" w:rsidP="00C15251">
            <w:pPr>
              <w:jc w:val="both"/>
              <w:rPr>
                <w:bCs/>
                <w:color w:val="002060"/>
                <w:sz w:val="16"/>
                <w:szCs w:val="16"/>
              </w:rPr>
            </w:pPr>
            <w:r w:rsidRPr="00405303">
              <w:rPr>
                <w:bCs/>
                <w:color w:val="002060"/>
                <w:sz w:val="16"/>
                <w:szCs w:val="16"/>
              </w:rPr>
              <w:t xml:space="preserve">70% </w:t>
            </w:r>
          </w:p>
        </w:tc>
      </w:tr>
    </w:tbl>
    <w:p w14:paraId="06D33A12" w14:textId="77777777" w:rsidR="004B4E35" w:rsidRPr="00405303" w:rsidRDefault="009E6F82" w:rsidP="00C15251">
      <w:pPr>
        <w:jc w:val="both"/>
        <w:rPr>
          <w:bCs/>
          <w:color w:val="002060"/>
          <w:sz w:val="16"/>
          <w:szCs w:val="16"/>
        </w:rPr>
      </w:pPr>
      <w:r w:rsidRPr="00405303">
        <w:rPr>
          <w:bCs/>
          <w:color w:val="002060"/>
          <w:sz w:val="16"/>
          <w:szCs w:val="16"/>
        </w:rPr>
        <w:t xml:space="preserve">С 1909 г. для снаряжения фугасных снарядов был принят в армии и флоте тротил. Однако заводы взрывчатых веществ, изготовлявшие тротил, Самарский казенный и Шлиссельбургский частный, по состоянию их мощности на 1917 г. далеко не могли покрыть той потребности во взрывчатых веществах для снарядов, которая была заявлена военным ведомством уже в первый, а в особенности во второй год войны. </w:t>
      </w:r>
    </w:p>
    <w:p w14:paraId="706779F6" w14:textId="77777777" w:rsidR="004B4E35" w:rsidRPr="00405303" w:rsidRDefault="009E6F82" w:rsidP="00C15251">
      <w:pPr>
        <w:jc w:val="both"/>
        <w:rPr>
          <w:bCs/>
          <w:color w:val="002060"/>
          <w:sz w:val="16"/>
          <w:szCs w:val="16"/>
        </w:rPr>
      </w:pPr>
      <w:r w:rsidRPr="00405303">
        <w:rPr>
          <w:bCs/>
          <w:color w:val="002060"/>
          <w:sz w:val="16"/>
          <w:szCs w:val="16"/>
        </w:rPr>
        <w:t xml:space="preserve">Поэтому Комиссия Ипатьева наряду с другими задачами поставила себе целью развивать производство как тротила, так и других взрывчатых веществ, пригодных для военных целей. Среди них главное место занимала пикриновая кислота, которая до тротила около 15 лет применялась в русской армии как вещество для снаряжения фугасных и бризантных снарядов и была хорошо изучена. </w:t>
      </w:r>
    </w:p>
    <w:p w14:paraId="4CBEBFC3" w14:textId="77777777" w:rsidR="004B4E35" w:rsidRPr="00405303" w:rsidRDefault="009E6F82" w:rsidP="00C15251">
      <w:pPr>
        <w:jc w:val="both"/>
        <w:rPr>
          <w:bCs/>
          <w:color w:val="002060"/>
          <w:sz w:val="16"/>
          <w:szCs w:val="16"/>
        </w:rPr>
      </w:pPr>
      <w:r w:rsidRPr="00405303">
        <w:rPr>
          <w:bCs/>
          <w:color w:val="002060"/>
          <w:sz w:val="16"/>
          <w:szCs w:val="16"/>
        </w:rPr>
        <w:t xml:space="preserve">Натуральный фенол, получаемый из каменноугольной смолы, из которого ранее фабриковалась пикриновая кислота, в России почти не вырабатывался. Поэтому проф. Ипатьев озаботился прежде всего поставить производство синтетического фенола через сульфацию бензола и получение из него пикриновой кислоты. Ранее других это производство было организовано на заводе Фарбверке в Москве. Начав производство в мае 1915 г., завод в декабре мог давать уже до 6000 пудов в месяц. Затем были устроены заводы синтетического фенола: у ст. Рубежной, при заводе "Русско-Краска", и у ст. Шахтной Донецкой области при заводе Парамонова. </w:t>
      </w:r>
    </w:p>
    <w:p w14:paraId="4CCF7D2C" w14:textId="77777777" w:rsidR="004B4E35" w:rsidRPr="00405303" w:rsidRDefault="009E6F82" w:rsidP="00C15251">
      <w:pPr>
        <w:jc w:val="both"/>
        <w:rPr>
          <w:bCs/>
          <w:color w:val="002060"/>
          <w:sz w:val="16"/>
          <w:szCs w:val="16"/>
        </w:rPr>
      </w:pPr>
      <w:r w:rsidRPr="00405303">
        <w:rPr>
          <w:bCs/>
          <w:color w:val="002060"/>
          <w:sz w:val="16"/>
          <w:szCs w:val="16"/>
        </w:rPr>
        <w:t xml:space="preserve">Так как производство синтетического фенола в нормальных условиях спроса не может выдерживать конкуренцию с фенолом натуральным, то Химический комитет, заботясь о нормальном развитии химической промышленности в дальнейшем, когда кончится война, организовал также получение карболовой кислоты и крезолов из тяжелой каменноугольной смолы и очистку этих продуктов. С этой целью был Львовым построен завод при ст. Железной Екатеринославской железной дороги. </w:t>
      </w:r>
    </w:p>
    <w:p w14:paraId="4F01D8F3" w14:textId="77777777" w:rsidR="004B4E35" w:rsidRPr="00405303" w:rsidRDefault="009E6F82" w:rsidP="00C15251">
      <w:pPr>
        <w:jc w:val="both"/>
        <w:rPr>
          <w:bCs/>
          <w:color w:val="002060"/>
          <w:sz w:val="16"/>
          <w:szCs w:val="16"/>
        </w:rPr>
      </w:pPr>
      <w:r w:rsidRPr="00405303">
        <w:rPr>
          <w:bCs/>
          <w:color w:val="002060"/>
          <w:sz w:val="16"/>
          <w:szCs w:val="16"/>
        </w:rPr>
        <w:t xml:space="preserve">Выработка синтетического фенола в 1916 г. выражается в следующих цифрах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08"/>
        <w:gridCol w:w="792"/>
      </w:tblGrid>
      <w:tr w:rsidR="004B4E35" w:rsidRPr="00405303" w14:paraId="41A084A7" w14:textId="77777777">
        <w:tc>
          <w:tcPr>
            <w:tcW w:w="2808" w:type="dxa"/>
          </w:tcPr>
          <w:p w14:paraId="14ECC58F" w14:textId="77777777" w:rsidR="004B4E35" w:rsidRPr="00405303" w:rsidRDefault="009E6F82" w:rsidP="00C15251">
            <w:pPr>
              <w:jc w:val="both"/>
              <w:rPr>
                <w:bCs/>
                <w:color w:val="002060"/>
                <w:sz w:val="16"/>
                <w:szCs w:val="16"/>
              </w:rPr>
            </w:pPr>
            <w:r w:rsidRPr="00405303">
              <w:rPr>
                <w:bCs/>
                <w:color w:val="002060"/>
                <w:sz w:val="16"/>
                <w:szCs w:val="16"/>
              </w:rPr>
              <w:t>Первое полугодие 1916 г.</w:t>
            </w:r>
          </w:p>
        </w:tc>
        <w:tc>
          <w:tcPr>
            <w:tcW w:w="792" w:type="dxa"/>
          </w:tcPr>
          <w:p w14:paraId="5A63CC46" w14:textId="77777777" w:rsidR="004B4E35" w:rsidRPr="00405303" w:rsidRDefault="009E6F82" w:rsidP="00C15251">
            <w:pPr>
              <w:jc w:val="both"/>
              <w:rPr>
                <w:bCs/>
                <w:color w:val="002060"/>
                <w:sz w:val="16"/>
                <w:szCs w:val="16"/>
              </w:rPr>
            </w:pPr>
            <w:r w:rsidRPr="00405303">
              <w:rPr>
                <w:bCs/>
                <w:color w:val="002060"/>
                <w:sz w:val="16"/>
                <w:szCs w:val="16"/>
              </w:rPr>
              <w:t xml:space="preserve">51.8 </w:t>
            </w:r>
          </w:p>
        </w:tc>
      </w:tr>
      <w:tr w:rsidR="004B4E35" w:rsidRPr="00405303" w14:paraId="336512FE" w14:textId="77777777">
        <w:tc>
          <w:tcPr>
            <w:tcW w:w="2808" w:type="dxa"/>
          </w:tcPr>
          <w:p w14:paraId="460DD1BC" w14:textId="77777777" w:rsidR="004B4E35" w:rsidRPr="00405303" w:rsidRDefault="009E6F82" w:rsidP="00C15251">
            <w:pPr>
              <w:jc w:val="both"/>
              <w:rPr>
                <w:bCs/>
                <w:color w:val="002060"/>
                <w:sz w:val="16"/>
                <w:szCs w:val="16"/>
              </w:rPr>
            </w:pPr>
            <w:r w:rsidRPr="00405303">
              <w:rPr>
                <w:bCs/>
                <w:color w:val="002060"/>
                <w:sz w:val="16"/>
                <w:szCs w:val="16"/>
              </w:rPr>
              <w:t>Второе полугодие 1916 г.</w:t>
            </w:r>
          </w:p>
        </w:tc>
        <w:tc>
          <w:tcPr>
            <w:tcW w:w="792" w:type="dxa"/>
          </w:tcPr>
          <w:p w14:paraId="1B33F5B0" w14:textId="77777777" w:rsidR="004B4E35" w:rsidRPr="00405303" w:rsidRDefault="009E6F82" w:rsidP="00C15251">
            <w:pPr>
              <w:jc w:val="both"/>
              <w:rPr>
                <w:bCs/>
                <w:color w:val="002060"/>
                <w:sz w:val="16"/>
                <w:szCs w:val="16"/>
              </w:rPr>
            </w:pPr>
            <w:r w:rsidRPr="00405303">
              <w:rPr>
                <w:bCs/>
                <w:color w:val="002060"/>
                <w:sz w:val="16"/>
                <w:szCs w:val="16"/>
              </w:rPr>
              <w:t xml:space="preserve">73.1 </w:t>
            </w:r>
          </w:p>
        </w:tc>
      </w:tr>
      <w:tr w:rsidR="004B4E35" w:rsidRPr="00405303" w14:paraId="5BCD7DD1" w14:textId="77777777">
        <w:tc>
          <w:tcPr>
            <w:tcW w:w="2808" w:type="dxa"/>
          </w:tcPr>
          <w:p w14:paraId="47965AA3" w14:textId="77777777" w:rsidR="004B4E35" w:rsidRPr="00405303" w:rsidRDefault="009E6F82" w:rsidP="00C15251">
            <w:pPr>
              <w:jc w:val="both"/>
              <w:rPr>
                <w:bCs/>
                <w:color w:val="002060"/>
                <w:sz w:val="16"/>
                <w:szCs w:val="16"/>
              </w:rPr>
            </w:pPr>
            <w:r w:rsidRPr="00405303">
              <w:rPr>
                <w:bCs/>
                <w:color w:val="002060"/>
                <w:sz w:val="16"/>
                <w:szCs w:val="16"/>
              </w:rPr>
              <w:t>Всего за 1916 г.</w:t>
            </w:r>
          </w:p>
        </w:tc>
        <w:tc>
          <w:tcPr>
            <w:tcW w:w="792" w:type="dxa"/>
          </w:tcPr>
          <w:p w14:paraId="6E1FFA2D" w14:textId="77777777" w:rsidR="004B4E35" w:rsidRPr="00405303" w:rsidRDefault="009E6F82" w:rsidP="00C15251">
            <w:pPr>
              <w:jc w:val="both"/>
              <w:rPr>
                <w:bCs/>
                <w:color w:val="002060"/>
                <w:sz w:val="16"/>
                <w:szCs w:val="16"/>
              </w:rPr>
            </w:pPr>
            <w:r w:rsidRPr="00405303">
              <w:rPr>
                <w:bCs/>
                <w:color w:val="002060"/>
                <w:sz w:val="16"/>
                <w:szCs w:val="16"/>
              </w:rPr>
              <w:t>124.9.</w:t>
            </w:r>
          </w:p>
        </w:tc>
      </w:tr>
    </w:tbl>
    <w:p w14:paraId="7560A34C" w14:textId="77777777" w:rsidR="004B4E35" w:rsidRPr="00405303" w:rsidRDefault="009E6F82" w:rsidP="00C15251">
      <w:pPr>
        <w:jc w:val="both"/>
        <w:rPr>
          <w:bCs/>
          <w:color w:val="002060"/>
          <w:sz w:val="16"/>
          <w:szCs w:val="16"/>
        </w:rPr>
      </w:pPr>
      <w:r w:rsidRPr="00405303">
        <w:rPr>
          <w:bCs/>
          <w:color w:val="002060"/>
          <w:sz w:val="16"/>
          <w:szCs w:val="16"/>
        </w:rPr>
        <w:t xml:space="preserve">До войны серная кислота вырабатывалась в России в количестве до 1,25 млн пудов в месяц. Колчедан, необходимый для этой цели, в четверть добывался на Урале, остальные же три четверти привозились из-за границы. </w:t>
      </w:r>
    </w:p>
    <w:p w14:paraId="17659BCA" w14:textId="77777777" w:rsidR="004B4E35" w:rsidRPr="00405303" w:rsidRDefault="009E6F82" w:rsidP="00C15251">
      <w:pPr>
        <w:jc w:val="both"/>
        <w:rPr>
          <w:bCs/>
          <w:color w:val="002060"/>
          <w:sz w:val="16"/>
          <w:szCs w:val="16"/>
        </w:rPr>
      </w:pPr>
      <w:r w:rsidRPr="00405303">
        <w:rPr>
          <w:bCs/>
          <w:color w:val="002060"/>
          <w:sz w:val="16"/>
          <w:szCs w:val="16"/>
        </w:rPr>
        <w:t xml:space="preserve">В связи с военными операциями на Западном фронте сернокислотные заводы Прибалтики и Царства Польского прекратили работы, благодаря чему с общего счета нужно было скинуть 0,5 млн пудов месячной производительности. </w:t>
      </w:r>
    </w:p>
    <w:p w14:paraId="30164D8E" w14:textId="77777777" w:rsidR="004B4E35" w:rsidRPr="00405303" w:rsidRDefault="009E6F82" w:rsidP="00C15251">
      <w:pPr>
        <w:jc w:val="both"/>
        <w:rPr>
          <w:bCs/>
          <w:color w:val="002060"/>
          <w:sz w:val="16"/>
          <w:szCs w:val="16"/>
        </w:rPr>
      </w:pPr>
      <w:r w:rsidRPr="00405303">
        <w:rPr>
          <w:bCs/>
          <w:color w:val="002060"/>
          <w:sz w:val="16"/>
          <w:szCs w:val="16"/>
        </w:rPr>
        <w:t xml:space="preserve">Такое положение с серной кислотой являлось угрозой делу производства порохов и взрывчатых веществ, которые вместе с ростом производства основных материалов — толуола, бензола и пр. — должны были и дальше сильно расти, соответственно с заданиями высшего командования. Поэтому требовались энергичные мероприятия со стороны Комиссии Ипатьева по восстановлению и развитию сернокислотного дела и исходных материалов для него. </w:t>
      </w:r>
    </w:p>
    <w:p w14:paraId="62AA0AC3" w14:textId="77777777" w:rsidR="004B4E35" w:rsidRPr="00405303" w:rsidRDefault="009E6F82" w:rsidP="00C15251">
      <w:pPr>
        <w:jc w:val="both"/>
        <w:rPr>
          <w:bCs/>
          <w:color w:val="002060"/>
          <w:sz w:val="16"/>
          <w:szCs w:val="16"/>
        </w:rPr>
      </w:pPr>
      <w:r w:rsidRPr="00405303">
        <w:rPr>
          <w:bCs/>
          <w:color w:val="002060"/>
          <w:sz w:val="16"/>
          <w:szCs w:val="16"/>
        </w:rPr>
        <w:t xml:space="preserve">С целью выяснить вопрос о возможности постройки новых сернокислотных заводов и развития старых, а также усиления добычи колчедана, в июне 1915 г. был собран съезд кислотозаводчиков и представителей серноколчеданных рудников. На съезде была выработала детальная программа развития сернокислотного и колчеданного дела, и, по утверждении ее Особым совещанием по обороне, с лета 1915 г. было приступлено к осуществлению ее. </w:t>
      </w:r>
    </w:p>
    <w:p w14:paraId="306BD44D" w14:textId="77777777" w:rsidR="004B4E35" w:rsidRPr="00405303" w:rsidRDefault="009E6F82" w:rsidP="00C15251">
      <w:pPr>
        <w:jc w:val="both"/>
        <w:rPr>
          <w:bCs/>
          <w:color w:val="002060"/>
          <w:sz w:val="16"/>
          <w:szCs w:val="16"/>
        </w:rPr>
      </w:pPr>
      <w:proofErr w:type="gramStart"/>
      <w:r w:rsidRPr="00405303">
        <w:rPr>
          <w:bCs/>
          <w:color w:val="002060"/>
          <w:sz w:val="16"/>
          <w:szCs w:val="16"/>
        </w:rPr>
        <w:t>Согласно программы</w:t>
      </w:r>
      <w:proofErr w:type="gramEnd"/>
      <w:r w:rsidRPr="00405303">
        <w:rPr>
          <w:bCs/>
          <w:color w:val="002060"/>
          <w:sz w:val="16"/>
          <w:szCs w:val="16"/>
        </w:rPr>
        <w:t xml:space="preserve">, намечена была постройка с лета 1915 г. до 20 заводов серной кислоты, которые должны были увеличить вдвое выработку кислоты. Часть этих заводов предположена была к оборудованию контактными системами. </w:t>
      </w:r>
    </w:p>
    <w:p w14:paraId="33BC524F" w14:textId="77777777" w:rsidR="004B4E35" w:rsidRPr="00405303" w:rsidRDefault="009E6F82" w:rsidP="00C15251">
      <w:pPr>
        <w:jc w:val="both"/>
        <w:rPr>
          <w:bCs/>
          <w:color w:val="002060"/>
          <w:sz w:val="16"/>
          <w:szCs w:val="16"/>
        </w:rPr>
      </w:pPr>
      <w:r w:rsidRPr="00405303">
        <w:rPr>
          <w:bCs/>
          <w:color w:val="002060"/>
          <w:sz w:val="16"/>
          <w:szCs w:val="16"/>
        </w:rPr>
        <w:t xml:space="preserve">Для наблюдения на местах за производством кислоты и правильного распределения ее между заводами военной и частной промышленности, а также для наблюдения за строительством, Комиссией по заготовлению взрывчатых веществ были организованы районные бюро. Районов было установлено шесть: Петроградский, Московский, Верхневолжский, Казанский, Уральский, Южный и Кавказский. </w:t>
      </w:r>
    </w:p>
    <w:p w14:paraId="5AAE6D59" w14:textId="77777777" w:rsidR="004B4E35" w:rsidRPr="00405303" w:rsidRDefault="009E6F82" w:rsidP="00C15251">
      <w:pPr>
        <w:jc w:val="both"/>
        <w:rPr>
          <w:bCs/>
          <w:color w:val="002060"/>
          <w:sz w:val="16"/>
          <w:szCs w:val="16"/>
        </w:rPr>
      </w:pPr>
      <w:r w:rsidRPr="00405303">
        <w:rPr>
          <w:bCs/>
          <w:color w:val="002060"/>
          <w:sz w:val="16"/>
          <w:szCs w:val="16"/>
        </w:rPr>
        <w:t xml:space="preserve">Весьма серьезным вопросом являлось правильное распределение кислоты между потребителями частной промышленности, так как в связи с кислотным кризисом на рынке началась спекуляция и искусственное вздутие цен на этот материал. </w:t>
      </w:r>
    </w:p>
    <w:p w14:paraId="70A5E890" w14:textId="77777777" w:rsidR="004B4E35" w:rsidRPr="00405303" w:rsidRDefault="009E6F82" w:rsidP="00C15251">
      <w:pPr>
        <w:jc w:val="both"/>
        <w:rPr>
          <w:bCs/>
          <w:color w:val="002060"/>
          <w:sz w:val="16"/>
          <w:szCs w:val="16"/>
        </w:rPr>
      </w:pPr>
      <w:r w:rsidRPr="00405303">
        <w:rPr>
          <w:bCs/>
          <w:color w:val="002060"/>
          <w:sz w:val="16"/>
          <w:szCs w:val="16"/>
        </w:rPr>
        <w:t xml:space="preserve">Ниже приводится таблица, в которой по месяцам указаны: 1) программа работы по производству серной кислоты заводов, существовавших к осени 1915 г., 2) число вновь организованных заводов, вступивших в работу, 3) программа, работы последних и 4) суммарный выпуск серной кислоты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1503"/>
        <w:gridCol w:w="1092"/>
        <w:gridCol w:w="1792"/>
        <w:gridCol w:w="972"/>
      </w:tblGrid>
      <w:tr w:rsidR="004B4E35" w:rsidRPr="00405303" w14:paraId="6CEAC5C7" w14:textId="77777777">
        <w:tc>
          <w:tcPr>
            <w:tcW w:w="1248" w:type="dxa"/>
          </w:tcPr>
          <w:p w14:paraId="27D7D878" w14:textId="5AFB5D0D" w:rsidR="004B4E35" w:rsidRPr="00405303" w:rsidRDefault="00DB4D64" w:rsidP="00C15251">
            <w:pPr>
              <w:jc w:val="both"/>
              <w:rPr>
                <w:bCs/>
                <w:color w:val="002060"/>
                <w:sz w:val="16"/>
                <w:szCs w:val="16"/>
              </w:rPr>
            </w:pPr>
            <w:r w:rsidRPr="00405303">
              <w:rPr>
                <w:bCs/>
                <w:color w:val="002060"/>
                <w:sz w:val="16"/>
                <w:szCs w:val="16"/>
              </w:rPr>
              <w:t xml:space="preserve"> </w:t>
            </w:r>
          </w:p>
        </w:tc>
        <w:tc>
          <w:tcPr>
            <w:tcW w:w="1503" w:type="dxa"/>
          </w:tcPr>
          <w:p w14:paraId="1E984CB0" w14:textId="77777777" w:rsidR="004B4E35" w:rsidRPr="00405303" w:rsidRDefault="009E6F82" w:rsidP="00C15251">
            <w:pPr>
              <w:jc w:val="both"/>
              <w:rPr>
                <w:bCs/>
                <w:color w:val="002060"/>
                <w:sz w:val="16"/>
                <w:szCs w:val="16"/>
              </w:rPr>
            </w:pPr>
            <w:r w:rsidRPr="00405303">
              <w:rPr>
                <w:bCs/>
                <w:color w:val="002060"/>
                <w:sz w:val="16"/>
                <w:szCs w:val="16"/>
              </w:rPr>
              <w:t>Существовавшие к осени 1915 г. заводы</w:t>
            </w:r>
          </w:p>
        </w:tc>
        <w:tc>
          <w:tcPr>
            <w:tcW w:w="1092" w:type="dxa"/>
          </w:tcPr>
          <w:p w14:paraId="53C2AE4A" w14:textId="77777777" w:rsidR="004B4E35" w:rsidRPr="00405303" w:rsidRDefault="009E6F82" w:rsidP="00C15251">
            <w:pPr>
              <w:jc w:val="both"/>
              <w:rPr>
                <w:bCs/>
                <w:color w:val="002060"/>
                <w:sz w:val="16"/>
                <w:szCs w:val="16"/>
              </w:rPr>
            </w:pPr>
            <w:r w:rsidRPr="00405303">
              <w:rPr>
                <w:bCs/>
                <w:color w:val="002060"/>
                <w:sz w:val="16"/>
                <w:szCs w:val="16"/>
              </w:rPr>
              <w:t>Число новых заводов</w:t>
            </w:r>
          </w:p>
        </w:tc>
        <w:tc>
          <w:tcPr>
            <w:tcW w:w="1792" w:type="dxa"/>
          </w:tcPr>
          <w:p w14:paraId="6EA5291E" w14:textId="77777777" w:rsidR="004B4E35" w:rsidRPr="00405303" w:rsidRDefault="009E6F82" w:rsidP="00C15251">
            <w:pPr>
              <w:jc w:val="both"/>
              <w:rPr>
                <w:bCs/>
                <w:color w:val="002060"/>
                <w:sz w:val="16"/>
                <w:szCs w:val="16"/>
              </w:rPr>
            </w:pPr>
            <w:r w:rsidRPr="00405303">
              <w:rPr>
                <w:bCs/>
                <w:color w:val="002060"/>
                <w:sz w:val="16"/>
                <w:szCs w:val="16"/>
              </w:rPr>
              <w:t>Производительность новых заводов</w:t>
            </w:r>
          </w:p>
        </w:tc>
        <w:tc>
          <w:tcPr>
            <w:tcW w:w="972" w:type="dxa"/>
          </w:tcPr>
          <w:p w14:paraId="512754BD" w14:textId="77777777" w:rsidR="004B4E35" w:rsidRPr="00405303" w:rsidRDefault="009E6F82" w:rsidP="00C15251">
            <w:pPr>
              <w:jc w:val="both"/>
              <w:rPr>
                <w:bCs/>
                <w:color w:val="002060"/>
                <w:sz w:val="16"/>
                <w:szCs w:val="16"/>
              </w:rPr>
            </w:pPr>
            <w:r w:rsidRPr="00405303">
              <w:rPr>
                <w:bCs/>
                <w:color w:val="002060"/>
                <w:sz w:val="16"/>
                <w:szCs w:val="16"/>
              </w:rPr>
              <w:t xml:space="preserve">Итого старые и новые </w:t>
            </w:r>
          </w:p>
        </w:tc>
      </w:tr>
      <w:tr w:rsidR="004B4E35" w:rsidRPr="00405303" w14:paraId="7FEDA7C5" w14:textId="77777777">
        <w:tc>
          <w:tcPr>
            <w:tcW w:w="1248" w:type="dxa"/>
          </w:tcPr>
          <w:p w14:paraId="05B24B72" w14:textId="08DDBAD5" w:rsidR="004B4E35" w:rsidRPr="00405303" w:rsidRDefault="00DB4D64" w:rsidP="00C15251">
            <w:pPr>
              <w:jc w:val="both"/>
              <w:rPr>
                <w:bCs/>
                <w:color w:val="002060"/>
                <w:sz w:val="16"/>
                <w:szCs w:val="16"/>
              </w:rPr>
            </w:pPr>
            <w:r w:rsidRPr="00405303">
              <w:rPr>
                <w:bCs/>
                <w:color w:val="002060"/>
                <w:sz w:val="16"/>
                <w:szCs w:val="16"/>
              </w:rPr>
              <w:t xml:space="preserve"> </w:t>
            </w:r>
          </w:p>
        </w:tc>
        <w:tc>
          <w:tcPr>
            <w:tcW w:w="4387" w:type="dxa"/>
            <w:gridSpan w:val="3"/>
          </w:tcPr>
          <w:p w14:paraId="24051A79" w14:textId="77777777" w:rsidR="004B4E35" w:rsidRPr="00405303" w:rsidRDefault="009E6F82" w:rsidP="00C15251">
            <w:pPr>
              <w:jc w:val="both"/>
              <w:rPr>
                <w:bCs/>
                <w:color w:val="002060"/>
                <w:sz w:val="16"/>
                <w:szCs w:val="16"/>
              </w:rPr>
            </w:pPr>
            <w:r w:rsidRPr="00405303">
              <w:rPr>
                <w:bCs/>
                <w:color w:val="002060"/>
                <w:sz w:val="16"/>
                <w:szCs w:val="16"/>
              </w:rPr>
              <w:t>Программа</w:t>
            </w:r>
          </w:p>
        </w:tc>
        <w:tc>
          <w:tcPr>
            <w:tcW w:w="972" w:type="dxa"/>
          </w:tcPr>
          <w:p w14:paraId="72D5676D" w14:textId="079F1A7A" w:rsidR="004B4E35" w:rsidRPr="00405303" w:rsidRDefault="00DB4D64" w:rsidP="00C15251">
            <w:pPr>
              <w:jc w:val="both"/>
              <w:rPr>
                <w:bCs/>
                <w:color w:val="002060"/>
                <w:sz w:val="16"/>
                <w:szCs w:val="16"/>
              </w:rPr>
            </w:pPr>
            <w:r w:rsidRPr="00405303">
              <w:rPr>
                <w:bCs/>
                <w:color w:val="002060"/>
                <w:sz w:val="16"/>
                <w:szCs w:val="16"/>
              </w:rPr>
              <w:t xml:space="preserve"> </w:t>
            </w:r>
          </w:p>
        </w:tc>
      </w:tr>
      <w:tr w:rsidR="004B4E35" w:rsidRPr="00405303" w14:paraId="1726D2F4" w14:textId="77777777">
        <w:tc>
          <w:tcPr>
            <w:tcW w:w="1248" w:type="dxa"/>
          </w:tcPr>
          <w:p w14:paraId="5B4A356A" w14:textId="77777777" w:rsidR="004B4E35" w:rsidRPr="00405303" w:rsidRDefault="009E6F82" w:rsidP="00C15251">
            <w:pPr>
              <w:jc w:val="both"/>
              <w:rPr>
                <w:bCs/>
                <w:color w:val="002060"/>
                <w:sz w:val="16"/>
                <w:szCs w:val="16"/>
              </w:rPr>
            </w:pPr>
            <w:r w:rsidRPr="00405303">
              <w:rPr>
                <w:bCs/>
                <w:color w:val="002060"/>
                <w:sz w:val="16"/>
                <w:szCs w:val="16"/>
              </w:rPr>
              <w:t>Декабрь 1915 г.</w:t>
            </w:r>
          </w:p>
        </w:tc>
        <w:tc>
          <w:tcPr>
            <w:tcW w:w="1503" w:type="dxa"/>
          </w:tcPr>
          <w:p w14:paraId="48EFFF4B"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3A21CDA4" w14:textId="77777777" w:rsidR="004B4E35" w:rsidRPr="00405303" w:rsidRDefault="009E6F82" w:rsidP="00C15251">
            <w:pPr>
              <w:jc w:val="both"/>
              <w:rPr>
                <w:bCs/>
                <w:color w:val="002060"/>
                <w:sz w:val="16"/>
                <w:szCs w:val="16"/>
              </w:rPr>
            </w:pPr>
            <w:r w:rsidRPr="00405303">
              <w:rPr>
                <w:bCs/>
                <w:color w:val="002060"/>
                <w:sz w:val="16"/>
                <w:szCs w:val="16"/>
              </w:rPr>
              <w:t>2</w:t>
            </w:r>
          </w:p>
        </w:tc>
        <w:tc>
          <w:tcPr>
            <w:tcW w:w="1792" w:type="dxa"/>
          </w:tcPr>
          <w:p w14:paraId="3DDAEDE9" w14:textId="77777777" w:rsidR="004B4E35" w:rsidRPr="00405303" w:rsidRDefault="009E6F82" w:rsidP="00C15251">
            <w:pPr>
              <w:jc w:val="both"/>
              <w:rPr>
                <w:bCs/>
                <w:color w:val="002060"/>
                <w:sz w:val="16"/>
                <w:szCs w:val="16"/>
              </w:rPr>
            </w:pPr>
            <w:r w:rsidRPr="00405303">
              <w:rPr>
                <w:bCs/>
                <w:color w:val="002060"/>
                <w:sz w:val="16"/>
                <w:szCs w:val="16"/>
              </w:rPr>
              <w:t>75</w:t>
            </w:r>
          </w:p>
        </w:tc>
        <w:tc>
          <w:tcPr>
            <w:tcW w:w="972" w:type="dxa"/>
          </w:tcPr>
          <w:p w14:paraId="12E5DB9D" w14:textId="77777777" w:rsidR="004B4E35" w:rsidRPr="00405303" w:rsidRDefault="009E6F82" w:rsidP="00C15251">
            <w:pPr>
              <w:jc w:val="both"/>
              <w:rPr>
                <w:bCs/>
                <w:color w:val="002060"/>
                <w:sz w:val="16"/>
                <w:szCs w:val="16"/>
              </w:rPr>
            </w:pPr>
            <w:r w:rsidRPr="00405303">
              <w:rPr>
                <w:bCs/>
                <w:color w:val="002060"/>
                <w:sz w:val="16"/>
                <w:szCs w:val="16"/>
              </w:rPr>
              <w:t>875</w:t>
            </w:r>
          </w:p>
        </w:tc>
      </w:tr>
      <w:tr w:rsidR="004B4E35" w:rsidRPr="00405303" w14:paraId="1B9F9960" w14:textId="77777777">
        <w:tc>
          <w:tcPr>
            <w:tcW w:w="1248" w:type="dxa"/>
          </w:tcPr>
          <w:p w14:paraId="4777A7F7" w14:textId="77777777" w:rsidR="004B4E35" w:rsidRPr="00405303" w:rsidRDefault="009E6F82" w:rsidP="00C15251">
            <w:pPr>
              <w:jc w:val="both"/>
              <w:rPr>
                <w:bCs/>
                <w:color w:val="002060"/>
                <w:sz w:val="16"/>
                <w:szCs w:val="16"/>
              </w:rPr>
            </w:pPr>
            <w:r w:rsidRPr="00405303">
              <w:rPr>
                <w:bCs/>
                <w:color w:val="002060"/>
                <w:sz w:val="16"/>
                <w:szCs w:val="16"/>
              </w:rPr>
              <w:t>Январь 1916 г.</w:t>
            </w:r>
          </w:p>
        </w:tc>
        <w:tc>
          <w:tcPr>
            <w:tcW w:w="1503" w:type="dxa"/>
          </w:tcPr>
          <w:p w14:paraId="547399F4"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71E5FCB4" w14:textId="77777777" w:rsidR="004B4E35" w:rsidRPr="00405303" w:rsidRDefault="009E6F82" w:rsidP="00C15251">
            <w:pPr>
              <w:jc w:val="both"/>
              <w:rPr>
                <w:bCs/>
                <w:color w:val="002060"/>
                <w:sz w:val="16"/>
                <w:szCs w:val="16"/>
              </w:rPr>
            </w:pPr>
            <w:r w:rsidRPr="00405303">
              <w:rPr>
                <w:bCs/>
                <w:color w:val="002060"/>
                <w:sz w:val="16"/>
                <w:szCs w:val="16"/>
              </w:rPr>
              <w:t>6</w:t>
            </w:r>
          </w:p>
        </w:tc>
        <w:tc>
          <w:tcPr>
            <w:tcW w:w="1792" w:type="dxa"/>
          </w:tcPr>
          <w:p w14:paraId="1F1C8825" w14:textId="77777777" w:rsidR="004B4E35" w:rsidRPr="00405303" w:rsidRDefault="009E6F82" w:rsidP="00C15251">
            <w:pPr>
              <w:jc w:val="both"/>
              <w:rPr>
                <w:bCs/>
                <w:color w:val="002060"/>
                <w:sz w:val="16"/>
                <w:szCs w:val="16"/>
              </w:rPr>
            </w:pPr>
            <w:r w:rsidRPr="00405303">
              <w:rPr>
                <w:bCs/>
                <w:color w:val="002060"/>
                <w:sz w:val="16"/>
                <w:szCs w:val="16"/>
              </w:rPr>
              <w:t>249,1</w:t>
            </w:r>
          </w:p>
        </w:tc>
        <w:tc>
          <w:tcPr>
            <w:tcW w:w="972" w:type="dxa"/>
          </w:tcPr>
          <w:p w14:paraId="249FA592" w14:textId="77777777" w:rsidR="004B4E35" w:rsidRPr="00405303" w:rsidRDefault="009E6F82" w:rsidP="00C15251">
            <w:pPr>
              <w:jc w:val="both"/>
              <w:rPr>
                <w:bCs/>
                <w:color w:val="002060"/>
                <w:sz w:val="16"/>
                <w:szCs w:val="16"/>
              </w:rPr>
            </w:pPr>
            <w:r w:rsidRPr="00405303">
              <w:rPr>
                <w:bCs/>
                <w:color w:val="002060"/>
                <w:sz w:val="16"/>
                <w:szCs w:val="16"/>
              </w:rPr>
              <w:t>1.049,1</w:t>
            </w:r>
          </w:p>
        </w:tc>
      </w:tr>
      <w:tr w:rsidR="004B4E35" w:rsidRPr="00405303" w14:paraId="70F13B11" w14:textId="77777777">
        <w:tc>
          <w:tcPr>
            <w:tcW w:w="1248" w:type="dxa"/>
          </w:tcPr>
          <w:p w14:paraId="54CBA85A" w14:textId="77777777" w:rsidR="004B4E35" w:rsidRPr="00405303" w:rsidRDefault="009E6F82" w:rsidP="00C15251">
            <w:pPr>
              <w:jc w:val="both"/>
              <w:rPr>
                <w:bCs/>
                <w:color w:val="002060"/>
                <w:sz w:val="16"/>
                <w:szCs w:val="16"/>
              </w:rPr>
            </w:pPr>
            <w:r w:rsidRPr="00405303">
              <w:rPr>
                <w:bCs/>
                <w:color w:val="002060"/>
                <w:sz w:val="16"/>
                <w:szCs w:val="16"/>
              </w:rPr>
              <w:t>Февраль</w:t>
            </w:r>
          </w:p>
        </w:tc>
        <w:tc>
          <w:tcPr>
            <w:tcW w:w="1503" w:type="dxa"/>
          </w:tcPr>
          <w:p w14:paraId="2406728B"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2664FCEA" w14:textId="77777777" w:rsidR="004B4E35" w:rsidRPr="00405303" w:rsidRDefault="009E6F82" w:rsidP="00C15251">
            <w:pPr>
              <w:jc w:val="both"/>
              <w:rPr>
                <w:bCs/>
                <w:color w:val="002060"/>
                <w:sz w:val="16"/>
                <w:szCs w:val="16"/>
              </w:rPr>
            </w:pPr>
            <w:r w:rsidRPr="00405303">
              <w:rPr>
                <w:bCs/>
                <w:color w:val="002060"/>
                <w:sz w:val="16"/>
                <w:szCs w:val="16"/>
              </w:rPr>
              <w:t>8</w:t>
            </w:r>
          </w:p>
        </w:tc>
        <w:tc>
          <w:tcPr>
            <w:tcW w:w="1792" w:type="dxa"/>
          </w:tcPr>
          <w:p w14:paraId="0B475C40" w14:textId="77777777" w:rsidR="004B4E35" w:rsidRPr="00405303" w:rsidRDefault="009E6F82" w:rsidP="00C15251">
            <w:pPr>
              <w:jc w:val="both"/>
              <w:rPr>
                <w:bCs/>
                <w:color w:val="002060"/>
                <w:sz w:val="16"/>
                <w:szCs w:val="16"/>
              </w:rPr>
            </w:pPr>
            <w:r w:rsidRPr="00405303">
              <w:rPr>
                <w:bCs/>
                <w:color w:val="002060"/>
                <w:sz w:val="16"/>
                <w:szCs w:val="16"/>
              </w:rPr>
              <w:t>342,6</w:t>
            </w:r>
          </w:p>
        </w:tc>
        <w:tc>
          <w:tcPr>
            <w:tcW w:w="972" w:type="dxa"/>
          </w:tcPr>
          <w:p w14:paraId="4BAAC26A" w14:textId="77777777" w:rsidR="004B4E35" w:rsidRPr="00405303" w:rsidRDefault="009E6F82" w:rsidP="00C15251">
            <w:pPr>
              <w:jc w:val="both"/>
              <w:rPr>
                <w:bCs/>
                <w:color w:val="002060"/>
                <w:sz w:val="16"/>
                <w:szCs w:val="16"/>
              </w:rPr>
            </w:pPr>
            <w:r w:rsidRPr="00405303">
              <w:rPr>
                <w:bCs/>
                <w:color w:val="002060"/>
                <w:sz w:val="16"/>
                <w:szCs w:val="16"/>
              </w:rPr>
              <w:t>1.142,6</w:t>
            </w:r>
          </w:p>
        </w:tc>
      </w:tr>
      <w:tr w:rsidR="004B4E35" w:rsidRPr="00405303" w14:paraId="2BCF183E" w14:textId="77777777">
        <w:tc>
          <w:tcPr>
            <w:tcW w:w="1248" w:type="dxa"/>
          </w:tcPr>
          <w:p w14:paraId="7173DDDB" w14:textId="77777777" w:rsidR="004B4E35" w:rsidRPr="00405303" w:rsidRDefault="009E6F82" w:rsidP="00C15251">
            <w:pPr>
              <w:jc w:val="both"/>
              <w:rPr>
                <w:bCs/>
                <w:color w:val="002060"/>
                <w:sz w:val="16"/>
                <w:szCs w:val="16"/>
              </w:rPr>
            </w:pPr>
            <w:r w:rsidRPr="00405303">
              <w:rPr>
                <w:bCs/>
                <w:color w:val="002060"/>
                <w:sz w:val="16"/>
                <w:szCs w:val="16"/>
              </w:rPr>
              <w:t>М«рт</w:t>
            </w:r>
          </w:p>
        </w:tc>
        <w:tc>
          <w:tcPr>
            <w:tcW w:w="1503" w:type="dxa"/>
          </w:tcPr>
          <w:p w14:paraId="0512FCF2"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447E700F" w14:textId="77777777" w:rsidR="004B4E35" w:rsidRPr="00405303" w:rsidRDefault="009E6F82" w:rsidP="00C15251">
            <w:pPr>
              <w:jc w:val="both"/>
              <w:rPr>
                <w:bCs/>
                <w:color w:val="002060"/>
                <w:sz w:val="16"/>
                <w:szCs w:val="16"/>
              </w:rPr>
            </w:pPr>
            <w:r w:rsidRPr="00405303">
              <w:rPr>
                <w:bCs/>
                <w:color w:val="002060"/>
                <w:sz w:val="16"/>
                <w:szCs w:val="16"/>
              </w:rPr>
              <w:t>11</w:t>
            </w:r>
          </w:p>
        </w:tc>
        <w:tc>
          <w:tcPr>
            <w:tcW w:w="1792" w:type="dxa"/>
          </w:tcPr>
          <w:p w14:paraId="419DC65E" w14:textId="77777777" w:rsidR="004B4E35" w:rsidRPr="00405303" w:rsidRDefault="009E6F82" w:rsidP="00C15251">
            <w:pPr>
              <w:jc w:val="both"/>
              <w:rPr>
                <w:bCs/>
                <w:color w:val="002060"/>
                <w:sz w:val="16"/>
                <w:szCs w:val="16"/>
              </w:rPr>
            </w:pPr>
            <w:r w:rsidRPr="00405303">
              <w:rPr>
                <w:bCs/>
                <w:color w:val="002060"/>
                <w:sz w:val="16"/>
                <w:szCs w:val="16"/>
              </w:rPr>
              <w:t>479,9</w:t>
            </w:r>
          </w:p>
        </w:tc>
        <w:tc>
          <w:tcPr>
            <w:tcW w:w="972" w:type="dxa"/>
          </w:tcPr>
          <w:p w14:paraId="5CCFD299" w14:textId="77777777" w:rsidR="004B4E35" w:rsidRPr="00405303" w:rsidRDefault="009E6F82" w:rsidP="00C15251">
            <w:pPr>
              <w:jc w:val="both"/>
              <w:rPr>
                <w:bCs/>
                <w:color w:val="002060"/>
                <w:sz w:val="16"/>
                <w:szCs w:val="16"/>
              </w:rPr>
            </w:pPr>
            <w:r w:rsidRPr="00405303">
              <w:rPr>
                <w:bCs/>
                <w:color w:val="002060"/>
                <w:sz w:val="16"/>
                <w:szCs w:val="16"/>
              </w:rPr>
              <w:t>1.279,9</w:t>
            </w:r>
          </w:p>
        </w:tc>
      </w:tr>
      <w:tr w:rsidR="004B4E35" w:rsidRPr="00405303" w14:paraId="0EAFC9DA" w14:textId="77777777">
        <w:tc>
          <w:tcPr>
            <w:tcW w:w="1248" w:type="dxa"/>
          </w:tcPr>
          <w:p w14:paraId="42E1C223" w14:textId="77777777" w:rsidR="004B4E35" w:rsidRPr="00405303" w:rsidRDefault="009E6F82" w:rsidP="00C15251">
            <w:pPr>
              <w:jc w:val="both"/>
              <w:rPr>
                <w:bCs/>
                <w:color w:val="002060"/>
                <w:sz w:val="16"/>
                <w:szCs w:val="16"/>
              </w:rPr>
            </w:pPr>
            <w:r w:rsidRPr="00405303">
              <w:rPr>
                <w:bCs/>
                <w:color w:val="002060"/>
                <w:sz w:val="16"/>
                <w:szCs w:val="16"/>
              </w:rPr>
              <w:t>Апрель</w:t>
            </w:r>
          </w:p>
        </w:tc>
        <w:tc>
          <w:tcPr>
            <w:tcW w:w="1503" w:type="dxa"/>
          </w:tcPr>
          <w:p w14:paraId="69E19AB8"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0EF9752A" w14:textId="77777777" w:rsidR="004B4E35" w:rsidRPr="00405303" w:rsidRDefault="009E6F82" w:rsidP="00C15251">
            <w:pPr>
              <w:jc w:val="both"/>
              <w:rPr>
                <w:bCs/>
                <w:color w:val="002060"/>
                <w:sz w:val="16"/>
                <w:szCs w:val="16"/>
              </w:rPr>
            </w:pPr>
            <w:r w:rsidRPr="00405303">
              <w:rPr>
                <w:bCs/>
                <w:color w:val="002060"/>
                <w:sz w:val="16"/>
                <w:szCs w:val="16"/>
              </w:rPr>
              <w:t>15</w:t>
            </w:r>
          </w:p>
        </w:tc>
        <w:tc>
          <w:tcPr>
            <w:tcW w:w="1792" w:type="dxa"/>
          </w:tcPr>
          <w:p w14:paraId="13108A74" w14:textId="77777777" w:rsidR="004B4E35" w:rsidRPr="00405303" w:rsidRDefault="009E6F82" w:rsidP="00C15251">
            <w:pPr>
              <w:jc w:val="both"/>
              <w:rPr>
                <w:bCs/>
                <w:color w:val="002060"/>
                <w:sz w:val="16"/>
                <w:szCs w:val="16"/>
              </w:rPr>
            </w:pPr>
            <w:r w:rsidRPr="00405303">
              <w:rPr>
                <w:bCs/>
                <w:color w:val="002060"/>
                <w:sz w:val="16"/>
                <w:szCs w:val="16"/>
              </w:rPr>
              <w:t>632,1</w:t>
            </w:r>
          </w:p>
        </w:tc>
        <w:tc>
          <w:tcPr>
            <w:tcW w:w="972" w:type="dxa"/>
          </w:tcPr>
          <w:p w14:paraId="7C9C2E79" w14:textId="77777777" w:rsidR="004B4E35" w:rsidRPr="00405303" w:rsidRDefault="009E6F82" w:rsidP="00C15251">
            <w:pPr>
              <w:jc w:val="both"/>
              <w:rPr>
                <w:bCs/>
                <w:color w:val="002060"/>
                <w:sz w:val="16"/>
                <w:szCs w:val="16"/>
              </w:rPr>
            </w:pPr>
            <w:r w:rsidRPr="00405303">
              <w:rPr>
                <w:bCs/>
                <w:color w:val="002060"/>
                <w:sz w:val="16"/>
                <w:szCs w:val="16"/>
              </w:rPr>
              <w:t>1.432,1</w:t>
            </w:r>
          </w:p>
        </w:tc>
      </w:tr>
      <w:tr w:rsidR="004B4E35" w:rsidRPr="00405303" w14:paraId="0DB880A4" w14:textId="77777777">
        <w:tc>
          <w:tcPr>
            <w:tcW w:w="1248" w:type="dxa"/>
          </w:tcPr>
          <w:p w14:paraId="08DF6745" w14:textId="77777777" w:rsidR="004B4E35" w:rsidRPr="00405303" w:rsidRDefault="009E6F82" w:rsidP="00C15251">
            <w:pPr>
              <w:jc w:val="both"/>
              <w:rPr>
                <w:bCs/>
                <w:color w:val="002060"/>
                <w:sz w:val="16"/>
                <w:szCs w:val="16"/>
              </w:rPr>
            </w:pPr>
            <w:r w:rsidRPr="00405303">
              <w:rPr>
                <w:bCs/>
                <w:color w:val="002060"/>
                <w:sz w:val="16"/>
                <w:szCs w:val="16"/>
              </w:rPr>
              <w:t>Май</w:t>
            </w:r>
          </w:p>
        </w:tc>
        <w:tc>
          <w:tcPr>
            <w:tcW w:w="1503" w:type="dxa"/>
          </w:tcPr>
          <w:p w14:paraId="7D8988F2"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2057A5AD" w14:textId="77777777" w:rsidR="004B4E35" w:rsidRPr="00405303" w:rsidRDefault="009E6F82" w:rsidP="00C15251">
            <w:pPr>
              <w:jc w:val="both"/>
              <w:rPr>
                <w:bCs/>
                <w:color w:val="002060"/>
                <w:sz w:val="16"/>
                <w:szCs w:val="16"/>
              </w:rPr>
            </w:pPr>
            <w:r w:rsidRPr="00405303">
              <w:rPr>
                <w:bCs/>
                <w:color w:val="002060"/>
                <w:sz w:val="16"/>
                <w:szCs w:val="16"/>
              </w:rPr>
              <w:t>18</w:t>
            </w:r>
          </w:p>
        </w:tc>
        <w:tc>
          <w:tcPr>
            <w:tcW w:w="1792" w:type="dxa"/>
          </w:tcPr>
          <w:p w14:paraId="5D7B97C4" w14:textId="77777777" w:rsidR="004B4E35" w:rsidRPr="00405303" w:rsidRDefault="009E6F82" w:rsidP="00C15251">
            <w:pPr>
              <w:jc w:val="both"/>
              <w:rPr>
                <w:bCs/>
                <w:color w:val="002060"/>
                <w:sz w:val="16"/>
                <w:szCs w:val="16"/>
              </w:rPr>
            </w:pPr>
            <w:r w:rsidRPr="00405303">
              <w:rPr>
                <w:bCs/>
                <w:color w:val="002060"/>
                <w:sz w:val="16"/>
                <w:szCs w:val="16"/>
              </w:rPr>
              <w:t>739,8</w:t>
            </w:r>
          </w:p>
        </w:tc>
        <w:tc>
          <w:tcPr>
            <w:tcW w:w="972" w:type="dxa"/>
          </w:tcPr>
          <w:p w14:paraId="697A23B3" w14:textId="77777777" w:rsidR="004B4E35" w:rsidRPr="00405303" w:rsidRDefault="009E6F82" w:rsidP="00C15251">
            <w:pPr>
              <w:jc w:val="both"/>
              <w:rPr>
                <w:bCs/>
                <w:color w:val="002060"/>
                <w:sz w:val="16"/>
                <w:szCs w:val="16"/>
              </w:rPr>
            </w:pPr>
            <w:r w:rsidRPr="00405303">
              <w:rPr>
                <w:bCs/>
                <w:color w:val="002060"/>
                <w:sz w:val="16"/>
                <w:szCs w:val="16"/>
              </w:rPr>
              <w:t>1.539,8</w:t>
            </w:r>
          </w:p>
        </w:tc>
      </w:tr>
      <w:tr w:rsidR="004B4E35" w:rsidRPr="00405303" w14:paraId="2F021E55" w14:textId="77777777">
        <w:tc>
          <w:tcPr>
            <w:tcW w:w="1248" w:type="dxa"/>
          </w:tcPr>
          <w:p w14:paraId="7A2BDBA8" w14:textId="77777777" w:rsidR="004B4E35" w:rsidRPr="00405303" w:rsidRDefault="009E6F82" w:rsidP="00C15251">
            <w:pPr>
              <w:jc w:val="both"/>
              <w:rPr>
                <w:bCs/>
                <w:color w:val="002060"/>
                <w:sz w:val="16"/>
                <w:szCs w:val="16"/>
              </w:rPr>
            </w:pPr>
            <w:r w:rsidRPr="00405303">
              <w:rPr>
                <w:bCs/>
                <w:color w:val="002060"/>
                <w:sz w:val="16"/>
                <w:szCs w:val="16"/>
              </w:rPr>
              <w:t>Июнь</w:t>
            </w:r>
          </w:p>
        </w:tc>
        <w:tc>
          <w:tcPr>
            <w:tcW w:w="1503" w:type="dxa"/>
          </w:tcPr>
          <w:p w14:paraId="7F96B231"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533EECDF" w14:textId="77777777" w:rsidR="004B4E35" w:rsidRPr="00405303" w:rsidRDefault="009E6F82" w:rsidP="00C15251">
            <w:pPr>
              <w:jc w:val="both"/>
              <w:rPr>
                <w:bCs/>
                <w:color w:val="002060"/>
                <w:sz w:val="16"/>
                <w:szCs w:val="16"/>
              </w:rPr>
            </w:pPr>
            <w:r w:rsidRPr="00405303">
              <w:rPr>
                <w:bCs/>
                <w:color w:val="002060"/>
                <w:sz w:val="16"/>
                <w:szCs w:val="16"/>
              </w:rPr>
              <w:t>18</w:t>
            </w:r>
          </w:p>
        </w:tc>
        <w:tc>
          <w:tcPr>
            <w:tcW w:w="1792" w:type="dxa"/>
          </w:tcPr>
          <w:p w14:paraId="30121695" w14:textId="77777777" w:rsidR="004B4E35" w:rsidRPr="00405303" w:rsidRDefault="009E6F82" w:rsidP="00C15251">
            <w:pPr>
              <w:jc w:val="both"/>
              <w:rPr>
                <w:bCs/>
                <w:color w:val="002060"/>
                <w:sz w:val="16"/>
                <w:szCs w:val="16"/>
              </w:rPr>
            </w:pPr>
            <w:r w:rsidRPr="00405303">
              <w:rPr>
                <w:bCs/>
                <w:color w:val="002060"/>
                <w:sz w:val="16"/>
                <w:szCs w:val="16"/>
              </w:rPr>
              <w:t>739,8</w:t>
            </w:r>
          </w:p>
        </w:tc>
        <w:tc>
          <w:tcPr>
            <w:tcW w:w="972" w:type="dxa"/>
          </w:tcPr>
          <w:p w14:paraId="40F9175D" w14:textId="77777777" w:rsidR="004B4E35" w:rsidRPr="00405303" w:rsidRDefault="009E6F82" w:rsidP="00C15251">
            <w:pPr>
              <w:jc w:val="both"/>
              <w:rPr>
                <w:bCs/>
                <w:color w:val="002060"/>
                <w:sz w:val="16"/>
                <w:szCs w:val="16"/>
              </w:rPr>
            </w:pPr>
            <w:r w:rsidRPr="00405303">
              <w:rPr>
                <w:bCs/>
                <w:color w:val="002060"/>
                <w:sz w:val="16"/>
                <w:szCs w:val="16"/>
              </w:rPr>
              <w:t>1.539,8</w:t>
            </w:r>
          </w:p>
        </w:tc>
      </w:tr>
      <w:tr w:rsidR="004B4E35" w:rsidRPr="00405303" w14:paraId="2867DF1A" w14:textId="77777777">
        <w:tc>
          <w:tcPr>
            <w:tcW w:w="1248" w:type="dxa"/>
          </w:tcPr>
          <w:p w14:paraId="7F526AA8" w14:textId="77777777" w:rsidR="004B4E35" w:rsidRPr="00405303" w:rsidRDefault="009E6F82" w:rsidP="00C15251">
            <w:pPr>
              <w:jc w:val="both"/>
              <w:rPr>
                <w:bCs/>
                <w:color w:val="002060"/>
                <w:sz w:val="16"/>
                <w:szCs w:val="16"/>
              </w:rPr>
            </w:pPr>
            <w:r w:rsidRPr="00405303">
              <w:rPr>
                <w:bCs/>
                <w:color w:val="002060"/>
                <w:sz w:val="16"/>
                <w:szCs w:val="16"/>
              </w:rPr>
              <w:t>Июль</w:t>
            </w:r>
          </w:p>
        </w:tc>
        <w:tc>
          <w:tcPr>
            <w:tcW w:w="1503" w:type="dxa"/>
          </w:tcPr>
          <w:p w14:paraId="17D2AFB0"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08AAA1C5" w14:textId="77777777" w:rsidR="004B4E35" w:rsidRPr="00405303" w:rsidRDefault="009E6F82" w:rsidP="00C15251">
            <w:pPr>
              <w:jc w:val="both"/>
              <w:rPr>
                <w:bCs/>
                <w:color w:val="002060"/>
                <w:sz w:val="16"/>
                <w:szCs w:val="16"/>
              </w:rPr>
            </w:pPr>
            <w:r w:rsidRPr="00405303">
              <w:rPr>
                <w:bCs/>
                <w:color w:val="002060"/>
                <w:sz w:val="16"/>
                <w:szCs w:val="16"/>
              </w:rPr>
              <w:t>23</w:t>
            </w:r>
          </w:p>
        </w:tc>
        <w:tc>
          <w:tcPr>
            <w:tcW w:w="1792" w:type="dxa"/>
          </w:tcPr>
          <w:p w14:paraId="150CCA33" w14:textId="77777777" w:rsidR="004B4E35" w:rsidRPr="00405303" w:rsidRDefault="009E6F82" w:rsidP="00C15251">
            <w:pPr>
              <w:jc w:val="both"/>
              <w:rPr>
                <w:bCs/>
                <w:color w:val="002060"/>
                <w:sz w:val="16"/>
                <w:szCs w:val="16"/>
              </w:rPr>
            </w:pPr>
            <w:r w:rsidRPr="00405303">
              <w:rPr>
                <w:bCs/>
                <w:color w:val="002060"/>
                <w:sz w:val="16"/>
                <w:szCs w:val="16"/>
              </w:rPr>
              <w:t>932,4</w:t>
            </w:r>
          </w:p>
        </w:tc>
        <w:tc>
          <w:tcPr>
            <w:tcW w:w="972" w:type="dxa"/>
          </w:tcPr>
          <w:p w14:paraId="26B5D2E2" w14:textId="77777777" w:rsidR="004B4E35" w:rsidRPr="00405303" w:rsidRDefault="009E6F82" w:rsidP="00C15251">
            <w:pPr>
              <w:jc w:val="both"/>
              <w:rPr>
                <w:bCs/>
                <w:color w:val="002060"/>
                <w:sz w:val="16"/>
                <w:szCs w:val="16"/>
              </w:rPr>
            </w:pPr>
            <w:r w:rsidRPr="00405303">
              <w:rPr>
                <w:bCs/>
                <w:color w:val="002060"/>
                <w:sz w:val="16"/>
                <w:szCs w:val="16"/>
              </w:rPr>
              <w:t>1.732,4</w:t>
            </w:r>
          </w:p>
        </w:tc>
      </w:tr>
      <w:tr w:rsidR="004B4E35" w:rsidRPr="00405303" w14:paraId="1D1300F6" w14:textId="77777777">
        <w:tc>
          <w:tcPr>
            <w:tcW w:w="1248" w:type="dxa"/>
          </w:tcPr>
          <w:p w14:paraId="33E6A85C" w14:textId="77777777" w:rsidR="004B4E35" w:rsidRPr="00405303" w:rsidRDefault="009E6F82" w:rsidP="00C15251">
            <w:pPr>
              <w:jc w:val="both"/>
              <w:rPr>
                <w:bCs/>
                <w:color w:val="002060"/>
                <w:sz w:val="16"/>
                <w:szCs w:val="16"/>
              </w:rPr>
            </w:pPr>
            <w:r w:rsidRPr="00405303">
              <w:rPr>
                <w:bCs/>
                <w:color w:val="002060"/>
                <w:sz w:val="16"/>
                <w:szCs w:val="16"/>
              </w:rPr>
              <w:t>Август</w:t>
            </w:r>
          </w:p>
        </w:tc>
        <w:tc>
          <w:tcPr>
            <w:tcW w:w="1503" w:type="dxa"/>
          </w:tcPr>
          <w:p w14:paraId="32D5A8F0"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49BEDF05" w14:textId="77777777" w:rsidR="004B4E35" w:rsidRPr="00405303" w:rsidRDefault="009E6F82" w:rsidP="00C15251">
            <w:pPr>
              <w:jc w:val="both"/>
              <w:rPr>
                <w:bCs/>
                <w:color w:val="002060"/>
                <w:sz w:val="16"/>
                <w:szCs w:val="16"/>
              </w:rPr>
            </w:pPr>
            <w:r w:rsidRPr="00405303">
              <w:rPr>
                <w:bCs/>
                <w:color w:val="002060"/>
                <w:sz w:val="16"/>
                <w:szCs w:val="16"/>
              </w:rPr>
              <w:t>23</w:t>
            </w:r>
          </w:p>
        </w:tc>
        <w:tc>
          <w:tcPr>
            <w:tcW w:w="1792" w:type="dxa"/>
          </w:tcPr>
          <w:p w14:paraId="3A7EA8DF" w14:textId="77777777" w:rsidR="004B4E35" w:rsidRPr="00405303" w:rsidRDefault="009E6F82" w:rsidP="00C15251">
            <w:pPr>
              <w:jc w:val="both"/>
              <w:rPr>
                <w:bCs/>
                <w:color w:val="002060"/>
                <w:sz w:val="16"/>
                <w:szCs w:val="16"/>
              </w:rPr>
            </w:pPr>
            <w:r w:rsidRPr="00405303">
              <w:rPr>
                <w:bCs/>
                <w:color w:val="002060"/>
                <w:sz w:val="16"/>
                <w:szCs w:val="16"/>
              </w:rPr>
              <w:t>932,4</w:t>
            </w:r>
          </w:p>
        </w:tc>
        <w:tc>
          <w:tcPr>
            <w:tcW w:w="972" w:type="dxa"/>
          </w:tcPr>
          <w:p w14:paraId="282135A0" w14:textId="77777777" w:rsidR="004B4E35" w:rsidRPr="00405303" w:rsidRDefault="009E6F82" w:rsidP="00C15251">
            <w:pPr>
              <w:jc w:val="both"/>
              <w:rPr>
                <w:bCs/>
                <w:color w:val="002060"/>
                <w:sz w:val="16"/>
                <w:szCs w:val="16"/>
              </w:rPr>
            </w:pPr>
            <w:r w:rsidRPr="00405303">
              <w:rPr>
                <w:bCs/>
                <w:color w:val="002060"/>
                <w:sz w:val="16"/>
                <w:szCs w:val="16"/>
              </w:rPr>
              <w:t>1.732,4</w:t>
            </w:r>
          </w:p>
        </w:tc>
      </w:tr>
      <w:tr w:rsidR="004B4E35" w:rsidRPr="00405303" w14:paraId="63FFFB88" w14:textId="77777777">
        <w:tc>
          <w:tcPr>
            <w:tcW w:w="1248" w:type="dxa"/>
          </w:tcPr>
          <w:p w14:paraId="7D189BEE" w14:textId="77777777" w:rsidR="004B4E35" w:rsidRPr="00405303" w:rsidRDefault="009E6F82" w:rsidP="00C15251">
            <w:pPr>
              <w:jc w:val="both"/>
              <w:rPr>
                <w:bCs/>
                <w:color w:val="002060"/>
                <w:sz w:val="16"/>
                <w:szCs w:val="16"/>
              </w:rPr>
            </w:pPr>
            <w:r w:rsidRPr="00405303">
              <w:rPr>
                <w:bCs/>
                <w:color w:val="002060"/>
                <w:sz w:val="16"/>
                <w:szCs w:val="16"/>
              </w:rPr>
              <w:t>Сентябрь</w:t>
            </w:r>
          </w:p>
        </w:tc>
        <w:tc>
          <w:tcPr>
            <w:tcW w:w="1503" w:type="dxa"/>
          </w:tcPr>
          <w:p w14:paraId="3422ED00"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3AEAF670" w14:textId="77777777" w:rsidR="004B4E35" w:rsidRPr="00405303" w:rsidRDefault="009E6F82" w:rsidP="00C15251">
            <w:pPr>
              <w:jc w:val="both"/>
              <w:rPr>
                <w:bCs/>
                <w:color w:val="002060"/>
                <w:sz w:val="16"/>
                <w:szCs w:val="16"/>
              </w:rPr>
            </w:pPr>
            <w:r w:rsidRPr="00405303">
              <w:rPr>
                <w:bCs/>
                <w:color w:val="002060"/>
                <w:sz w:val="16"/>
                <w:szCs w:val="16"/>
              </w:rPr>
              <w:t>28</w:t>
            </w:r>
          </w:p>
        </w:tc>
        <w:tc>
          <w:tcPr>
            <w:tcW w:w="1792" w:type="dxa"/>
          </w:tcPr>
          <w:p w14:paraId="62FCED91" w14:textId="77777777" w:rsidR="004B4E35" w:rsidRPr="00405303" w:rsidRDefault="009E6F82" w:rsidP="00C15251">
            <w:pPr>
              <w:jc w:val="both"/>
              <w:rPr>
                <w:bCs/>
                <w:color w:val="002060"/>
                <w:sz w:val="16"/>
                <w:szCs w:val="16"/>
              </w:rPr>
            </w:pPr>
            <w:r w:rsidRPr="00405303">
              <w:rPr>
                <w:bCs/>
                <w:color w:val="002060"/>
                <w:sz w:val="16"/>
                <w:szCs w:val="16"/>
              </w:rPr>
              <w:t>1.064,7</w:t>
            </w:r>
          </w:p>
        </w:tc>
        <w:tc>
          <w:tcPr>
            <w:tcW w:w="972" w:type="dxa"/>
          </w:tcPr>
          <w:p w14:paraId="1C32CD70" w14:textId="77777777" w:rsidR="004B4E35" w:rsidRPr="00405303" w:rsidRDefault="009E6F82" w:rsidP="00C15251">
            <w:pPr>
              <w:jc w:val="both"/>
              <w:rPr>
                <w:bCs/>
                <w:color w:val="002060"/>
                <w:sz w:val="16"/>
                <w:szCs w:val="16"/>
              </w:rPr>
            </w:pPr>
            <w:r w:rsidRPr="00405303">
              <w:rPr>
                <w:bCs/>
                <w:color w:val="002060"/>
                <w:sz w:val="16"/>
                <w:szCs w:val="16"/>
              </w:rPr>
              <w:t>1.864,7</w:t>
            </w:r>
          </w:p>
        </w:tc>
      </w:tr>
      <w:tr w:rsidR="004B4E35" w:rsidRPr="00405303" w14:paraId="225286E2" w14:textId="77777777">
        <w:tc>
          <w:tcPr>
            <w:tcW w:w="1248" w:type="dxa"/>
          </w:tcPr>
          <w:p w14:paraId="6E6172EF" w14:textId="77777777" w:rsidR="004B4E35" w:rsidRPr="00405303" w:rsidRDefault="009E6F82" w:rsidP="00C15251">
            <w:pPr>
              <w:jc w:val="both"/>
              <w:rPr>
                <w:bCs/>
                <w:color w:val="002060"/>
                <w:sz w:val="16"/>
                <w:szCs w:val="16"/>
              </w:rPr>
            </w:pPr>
            <w:r w:rsidRPr="00405303">
              <w:rPr>
                <w:bCs/>
                <w:color w:val="002060"/>
                <w:sz w:val="16"/>
                <w:szCs w:val="16"/>
              </w:rPr>
              <w:t>Октябрь</w:t>
            </w:r>
          </w:p>
        </w:tc>
        <w:tc>
          <w:tcPr>
            <w:tcW w:w="1503" w:type="dxa"/>
          </w:tcPr>
          <w:p w14:paraId="2B83358F"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63AA76CE" w14:textId="77777777" w:rsidR="004B4E35" w:rsidRPr="00405303" w:rsidRDefault="009E6F82" w:rsidP="00C15251">
            <w:pPr>
              <w:jc w:val="both"/>
              <w:rPr>
                <w:bCs/>
                <w:color w:val="002060"/>
                <w:sz w:val="16"/>
                <w:szCs w:val="16"/>
              </w:rPr>
            </w:pPr>
            <w:r w:rsidRPr="00405303">
              <w:rPr>
                <w:bCs/>
                <w:color w:val="002060"/>
                <w:sz w:val="16"/>
                <w:szCs w:val="16"/>
              </w:rPr>
              <w:t>28</w:t>
            </w:r>
          </w:p>
        </w:tc>
        <w:tc>
          <w:tcPr>
            <w:tcW w:w="1792" w:type="dxa"/>
          </w:tcPr>
          <w:p w14:paraId="1D9C9E18" w14:textId="77777777" w:rsidR="004B4E35" w:rsidRPr="00405303" w:rsidRDefault="009E6F82" w:rsidP="00C15251">
            <w:pPr>
              <w:jc w:val="both"/>
              <w:rPr>
                <w:bCs/>
                <w:color w:val="002060"/>
                <w:sz w:val="16"/>
                <w:szCs w:val="16"/>
              </w:rPr>
            </w:pPr>
            <w:r w:rsidRPr="00405303">
              <w:rPr>
                <w:bCs/>
                <w:color w:val="002060"/>
                <w:sz w:val="16"/>
                <w:szCs w:val="16"/>
              </w:rPr>
              <w:t>1.064,7</w:t>
            </w:r>
          </w:p>
        </w:tc>
        <w:tc>
          <w:tcPr>
            <w:tcW w:w="972" w:type="dxa"/>
          </w:tcPr>
          <w:p w14:paraId="1C69CFB8" w14:textId="77777777" w:rsidR="004B4E35" w:rsidRPr="00405303" w:rsidRDefault="009E6F82" w:rsidP="00C15251">
            <w:pPr>
              <w:jc w:val="both"/>
              <w:rPr>
                <w:bCs/>
                <w:color w:val="002060"/>
                <w:sz w:val="16"/>
                <w:szCs w:val="16"/>
              </w:rPr>
            </w:pPr>
            <w:r w:rsidRPr="00405303">
              <w:rPr>
                <w:bCs/>
                <w:color w:val="002060"/>
                <w:sz w:val="16"/>
                <w:szCs w:val="16"/>
              </w:rPr>
              <w:t>1.864,7</w:t>
            </w:r>
          </w:p>
        </w:tc>
      </w:tr>
      <w:tr w:rsidR="004B4E35" w:rsidRPr="00405303" w14:paraId="6DB95D35" w14:textId="77777777">
        <w:tc>
          <w:tcPr>
            <w:tcW w:w="1248" w:type="dxa"/>
          </w:tcPr>
          <w:p w14:paraId="530D590D"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1503" w:type="dxa"/>
          </w:tcPr>
          <w:p w14:paraId="421E3678"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1C1C5EE8" w14:textId="77777777" w:rsidR="004B4E35" w:rsidRPr="00405303" w:rsidRDefault="009E6F82" w:rsidP="00C15251">
            <w:pPr>
              <w:jc w:val="both"/>
              <w:rPr>
                <w:bCs/>
                <w:color w:val="002060"/>
                <w:sz w:val="16"/>
                <w:szCs w:val="16"/>
              </w:rPr>
            </w:pPr>
            <w:r w:rsidRPr="00405303">
              <w:rPr>
                <w:bCs/>
                <w:color w:val="002060"/>
                <w:sz w:val="16"/>
                <w:szCs w:val="16"/>
              </w:rPr>
              <w:t>28</w:t>
            </w:r>
          </w:p>
        </w:tc>
        <w:tc>
          <w:tcPr>
            <w:tcW w:w="1792" w:type="dxa"/>
          </w:tcPr>
          <w:p w14:paraId="07719E6F" w14:textId="77777777" w:rsidR="004B4E35" w:rsidRPr="00405303" w:rsidRDefault="009E6F82" w:rsidP="00C15251">
            <w:pPr>
              <w:jc w:val="both"/>
              <w:rPr>
                <w:bCs/>
                <w:color w:val="002060"/>
                <w:sz w:val="16"/>
                <w:szCs w:val="16"/>
              </w:rPr>
            </w:pPr>
            <w:r w:rsidRPr="00405303">
              <w:rPr>
                <w:bCs/>
                <w:color w:val="002060"/>
                <w:sz w:val="16"/>
                <w:szCs w:val="16"/>
              </w:rPr>
              <w:t>1.064,7</w:t>
            </w:r>
          </w:p>
        </w:tc>
        <w:tc>
          <w:tcPr>
            <w:tcW w:w="972" w:type="dxa"/>
          </w:tcPr>
          <w:p w14:paraId="2CD7CBFC" w14:textId="77777777" w:rsidR="004B4E35" w:rsidRPr="00405303" w:rsidRDefault="009E6F82" w:rsidP="00C15251">
            <w:pPr>
              <w:jc w:val="both"/>
              <w:rPr>
                <w:bCs/>
                <w:color w:val="002060"/>
                <w:sz w:val="16"/>
                <w:szCs w:val="16"/>
              </w:rPr>
            </w:pPr>
            <w:r w:rsidRPr="00405303">
              <w:rPr>
                <w:bCs/>
                <w:color w:val="002060"/>
                <w:sz w:val="16"/>
                <w:szCs w:val="16"/>
              </w:rPr>
              <w:t>1.864,7</w:t>
            </w:r>
          </w:p>
        </w:tc>
      </w:tr>
      <w:tr w:rsidR="004B4E35" w:rsidRPr="00405303" w14:paraId="23845114" w14:textId="77777777">
        <w:tc>
          <w:tcPr>
            <w:tcW w:w="1248" w:type="dxa"/>
          </w:tcPr>
          <w:p w14:paraId="7B39B236"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1503" w:type="dxa"/>
          </w:tcPr>
          <w:p w14:paraId="6F76BA79"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38DCB3B6" w14:textId="77777777" w:rsidR="004B4E35" w:rsidRPr="00405303" w:rsidRDefault="009E6F82" w:rsidP="00C15251">
            <w:pPr>
              <w:jc w:val="both"/>
              <w:rPr>
                <w:bCs/>
                <w:color w:val="002060"/>
                <w:sz w:val="16"/>
                <w:szCs w:val="16"/>
              </w:rPr>
            </w:pPr>
            <w:r w:rsidRPr="00405303">
              <w:rPr>
                <w:bCs/>
                <w:color w:val="002060"/>
                <w:sz w:val="16"/>
                <w:szCs w:val="16"/>
              </w:rPr>
              <w:t>28</w:t>
            </w:r>
          </w:p>
        </w:tc>
        <w:tc>
          <w:tcPr>
            <w:tcW w:w="1792" w:type="dxa"/>
          </w:tcPr>
          <w:p w14:paraId="05E71B6C" w14:textId="77777777" w:rsidR="004B4E35" w:rsidRPr="00405303" w:rsidRDefault="009E6F82" w:rsidP="00C15251">
            <w:pPr>
              <w:jc w:val="both"/>
              <w:rPr>
                <w:bCs/>
                <w:color w:val="002060"/>
                <w:sz w:val="16"/>
                <w:szCs w:val="16"/>
              </w:rPr>
            </w:pPr>
            <w:r w:rsidRPr="00405303">
              <w:rPr>
                <w:bCs/>
                <w:color w:val="002060"/>
                <w:sz w:val="16"/>
                <w:szCs w:val="16"/>
              </w:rPr>
              <w:t>1.064,7</w:t>
            </w:r>
          </w:p>
        </w:tc>
        <w:tc>
          <w:tcPr>
            <w:tcW w:w="972" w:type="dxa"/>
          </w:tcPr>
          <w:p w14:paraId="0E13AA98" w14:textId="77777777" w:rsidR="004B4E35" w:rsidRPr="00405303" w:rsidRDefault="009E6F82" w:rsidP="00C15251">
            <w:pPr>
              <w:jc w:val="both"/>
              <w:rPr>
                <w:bCs/>
                <w:color w:val="002060"/>
                <w:sz w:val="16"/>
                <w:szCs w:val="16"/>
              </w:rPr>
            </w:pPr>
            <w:r w:rsidRPr="00405303">
              <w:rPr>
                <w:bCs/>
                <w:color w:val="002060"/>
                <w:sz w:val="16"/>
                <w:szCs w:val="16"/>
              </w:rPr>
              <w:t>1.864,7</w:t>
            </w:r>
          </w:p>
        </w:tc>
      </w:tr>
    </w:tbl>
    <w:p w14:paraId="26272729" w14:textId="77777777" w:rsidR="004B4E35" w:rsidRPr="00405303" w:rsidRDefault="009E6F82" w:rsidP="00C15251">
      <w:pPr>
        <w:jc w:val="both"/>
        <w:rPr>
          <w:bCs/>
          <w:color w:val="002060"/>
          <w:sz w:val="16"/>
          <w:szCs w:val="16"/>
        </w:rPr>
      </w:pPr>
      <w:r w:rsidRPr="00405303">
        <w:rPr>
          <w:bCs/>
          <w:color w:val="002060"/>
          <w:sz w:val="16"/>
          <w:szCs w:val="16"/>
        </w:rPr>
        <w:t>Фактически эта программа выполнялась на 80%.</w:t>
      </w:r>
    </w:p>
    <w:p w14:paraId="471620E4" w14:textId="66D1BC85" w:rsidR="004B4E35" w:rsidRPr="00405303" w:rsidRDefault="00DB4D64" w:rsidP="00C15251">
      <w:pPr>
        <w:jc w:val="both"/>
        <w:rPr>
          <w:bCs/>
          <w:color w:val="002060"/>
          <w:sz w:val="16"/>
          <w:szCs w:val="16"/>
        </w:rPr>
      </w:pPr>
      <w:r w:rsidRPr="00405303">
        <w:rPr>
          <w:bCs/>
          <w:color w:val="002060"/>
          <w:sz w:val="16"/>
          <w:szCs w:val="16"/>
        </w:rPr>
        <w:t xml:space="preserve"> </w:t>
      </w:r>
      <w:r w:rsidR="009E6F82" w:rsidRPr="00405303">
        <w:rPr>
          <w:bCs/>
          <w:color w:val="002060"/>
          <w:sz w:val="16"/>
          <w:szCs w:val="16"/>
        </w:rPr>
        <w:t xml:space="preserve">Что касается добычи колчедана, то в связи с программой сернокислотных заводов программа по колчедану была намечена следующая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52"/>
        <w:gridCol w:w="612"/>
        <w:gridCol w:w="650"/>
        <w:gridCol w:w="636"/>
        <w:gridCol w:w="728"/>
      </w:tblGrid>
      <w:tr w:rsidR="004B4E35" w:rsidRPr="00405303" w14:paraId="3E8E1D29" w14:textId="77777777">
        <w:tc>
          <w:tcPr>
            <w:tcW w:w="2652" w:type="dxa"/>
          </w:tcPr>
          <w:p w14:paraId="36F8B23B" w14:textId="2E9660FE" w:rsidR="004B4E35" w:rsidRPr="00405303" w:rsidRDefault="00DB4D64" w:rsidP="00C15251">
            <w:pPr>
              <w:jc w:val="both"/>
              <w:rPr>
                <w:bCs/>
                <w:color w:val="002060"/>
                <w:sz w:val="16"/>
                <w:szCs w:val="16"/>
              </w:rPr>
            </w:pPr>
            <w:r w:rsidRPr="00405303">
              <w:rPr>
                <w:bCs/>
                <w:color w:val="002060"/>
                <w:sz w:val="16"/>
                <w:szCs w:val="16"/>
              </w:rPr>
              <w:t xml:space="preserve"> </w:t>
            </w:r>
          </w:p>
        </w:tc>
        <w:tc>
          <w:tcPr>
            <w:tcW w:w="612" w:type="dxa"/>
          </w:tcPr>
          <w:p w14:paraId="7DDA4E62" w14:textId="77777777" w:rsidR="004B4E35" w:rsidRPr="00405303" w:rsidRDefault="009E6F82" w:rsidP="00C15251">
            <w:pPr>
              <w:jc w:val="both"/>
              <w:rPr>
                <w:bCs/>
                <w:color w:val="002060"/>
                <w:sz w:val="16"/>
                <w:szCs w:val="16"/>
              </w:rPr>
            </w:pPr>
            <w:r w:rsidRPr="00405303">
              <w:rPr>
                <w:bCs/>
                <w:color w:val="002060"/>
                <w:sz w:val="16"/>
                <w:szCs w:val="16"/>
              </w:rPr>
              <w:t>Август 1915 г.</w:t>
            </w:r>
          </w:p>
        </w:tc>
        <w:tc>
          <w:tcPr>
            <w:tcW w:w="650" w:type="dxa"/>
          </w:tcPr>
          <w:p w14:paraId="3AFDF459" w14:textId="77777777" w:rsidR="004B4E35" w:rsidRPr="00405303" w:rsidRDefault="009E6F82" w:rsidP="00C15251">
            <w:pPr>
              <w:jc w:val="both"/>
              <w:rPr>
                <w:bCs/>
                <w:color w:val="002060"/>
                <w:sz w:val="16"/>
                <w:szCs w:val="16"/>
              </w:rPr>
            </w:pPr>
            <w:r w:rsidRPr="00405303">
              <w:rPr>
                <w:bCs/>
                <w:color w:val="002060"/>
                <w:sz w:val="16"/>
                <w:szCs w:val="16"/>
              </w:rPr>
              <w:t>Январь 1916 г.</w:t>
            </w:r>
          </w:p>
        </w:tc>
        <w:tc>
          <w:tcPr>
            <w:tcW w:w="636" w:type="dxa"/>
          </w:tcPr>
          <w:p w14:paraId="3B93BFCB" w14:textId="77777777" w:rsidR="004B4E35" w:rsidRPr="00405303" w:rsidRDefault="009E6F82" w:rsidP="00C15251">
            <w:pPr>
              <w:jc w:val="both"/>
              <w:rPr>
                <w:bCs/>
                <w:color w:val="002060"/>
                <w:sz w:val="16"/>
                <w:szCs w:val="16"/>
              </w:rPr>
            </w:pPr>
            <w:r w:rsidRPr="00405303">
              <w:rPr>
                <w:bCs/>
                <w:color w:val="002060"/>
                <w:sz w:val="16"/>
                <w:szCs w:val="16"/>
              </w:rPr>
              <w:t>Июнь 1916 г.</w:t>
            </w:r>
          </w:p>
        </w:tc>
        <w:tc>
          <w:tcPr>
            <w:tcW w:w="728" w:type="dxa"/>
          </w:tcPr>
          <w:p w14:paraId="2E3190D6" w14:textId="77777777" w:rsidR="004B4E35" w:rsidRPr="00405303" w:rsidRDefault="009E6F82" w:rsidP="00C15251">
            <w:pPr>
              <w:jc w:val="both"/>
              <w:rPr>
                <w:bCs/>
                <w:color w:val="002060"/>
                <w:sz w:val="16"/>
                <w:szCs w:val="16"/>
              </w:rPr>
            </w:pPr>
            <w:r w:rsidRPr="00405303">
              <w:rPr>
                <w:bCs/>
                <w:color w:val="002060"/>
                <w:sz w:val="16"/>
                <w:szCs w:val="16"/>
              </w:rPr>
              <w:t>Декабрь 1916 г.</w:t>
            </w:r>
          </w:p>
        </w:tc>
      </w:tr>
      <w:tr w:rsidR="004B4E35" w:rsidRPr="00405303" w14:paraId="4732E52E" w14:textId="77777777">
        <w:tc>
          <w:tcPr>
            <w:tcW w:w="2652" w:type="dxa"/>
          </w:tcPr>
          <w:p w14:paraId="6D01894E" w14:textId="77777777" w:rsidR="004B4E35" w:rsidRPr="00405303" w:rsidRDefault="009E6F82" w:rsidP="00C15251">
            <w:pPr>
              <w:jc w:val="both"/>
              <w:rPr>
                <w:bCs/>
                <w:color w:val="002060"/>
                <w:sz w:val="16"/>
                <w:szCs w:val="16"/>
              </w:rPr>
            </w:pPr>
            <w:r w:rsidRPr="00405303">
              <w:rPr>
                <w:bCs/>
                <w:color w:val="002060"/>
                <w:sz w:val="16"/>
                <w:szCs w:val="16"/>
              </w:rPr>
              <w:t>Кыштымский горный округ</w:t>
            </w:r>
          </w:p>
        </w:tc>
        <w:tc>
          <w:tcPr>
            <w:tcW w:w="612" w:type="dxa"/>
          </w:tcPr>
          <w:p w14:paraId="6EFD6640" w14:textId="77777777" w:rsidR="004B4E35" w:rsidRPr="00405303" w:rsidRDefault="009E6F82" w:rsidP="00C15251">
            <w:pPr>
              <w:jc w:val="both"/>
              <w:rPr>
                <w:bCs/>
                <w:color w:val="002060"/>
                <w:sz w:val="16"/>
                <w:szCs w:val="16"/>
              </w:rPr>
            </w:pPr>
            <w:r w:rsidRPr="00405303">
              <w:rPr>
                <w:bCs/>
                <w:color w:val="002060"/>
                <w:sz w:val="16"/>
                <w:szCs w:val="16"/>
              </w:rPr>
              <w:t>225</w:t>
            </w:r>
          </w:p>
        </w:tc>
        <w:tc>
          <w:tcPr>
            <w:tcW w:w="650" w:type="dxa"/>
          </w:tcPr>
          <w:p w14:paraId="0A489B44"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636" w:type="dxa"/>
          </w:tcPr>
          <w:p w14:paraId="1E79367A"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728" w:type="dxa"/>
          </w:tcPr>
          <w:p w14:paraId="2B2BB7B2" w14:textId="77777777" w:rsidR="004B4E35" w:rsidRPr="00405303" w:rsidRDefault="009E6F82" w:rsidP="00C15251">
            <w:pPr>
              <w:jc w:val="both"/>
              <w:rPr>
                <w:bCs/>
                <w:color w:val="002060"/>
                <w:sz w:val="16"/>
                <w:szCs w:val="16"/>
              </w:rPr>
            </w:pPr>
            <w:r w:rsidRPr="00405303">
              <w:rPr>
                <w:bCs/>
                <w:color w:val="002060"/>
                <w:sz w:val="16"/>
                <w:szCs w:val="16"/>
              </w:rPr>
              <w:t>800</w:t>
            </w:r>
          </w:p>
        </w:tc>
      </w:tr>
      <w:tr w:rsidR="004B4E35" w:rsidRPr="00405303" w14:paraId="686B2354" w14:textId="77777777">
        <w:tc>
          <w:tcPr>
            <w:tcW w:w="2652" w:type="dxa"/>
          </w:tcPr>
          <w:p w14:paraId="068EF46D" w14:textId="77777777" w:rsidR="004B4E35" w:rsidRPr="00405303" w:rsidRDefault="009E6F82" w:rsidP="00C15251">
            <w:pPr>
              <w:jc w:val="both"/>
              <w:rPr>
                <w:bCs/>
                <w:color w:val="002060"/>
                <w:sz w:val="16"/>
                <w:szCs w:val="16"/>
              </w:rPr>
            </w:pPr>
            <w:r w:rsidRPr="00405303">
              <w:rPr>
                <w:bCs/>
                <w:color w:val="002060"/>
                <w:sz w:val="16"/>
                <w:szCs w:val="16"/>
              </w:rPr>
              <w:t>Верх-Исетский горный округ</w:t>
            </w:r>
          </w:p>
        </w:tc>
        <w:tc>
          <w:tcPr>
            <w:tcW w:w="612" w:type="dxa"/>
          </w:tcPr>
          <w:p w14:paraId="35439D7D" w14:textId="77777777" w:rsidR="004B4E35" w:rsidRPr="00405303" w:rsidRDefault="009E6F82" w:rsidP="00C15251">
            <w:pPr>
              <w:jc w:val="both"/>
              <w:rPr>
                <w:bCs/>
                <w:color w:val="002060"/>
                <w:sz w:val="16"/>
                <w:szCs w:val="16"/>
              </w:rPr>
            </w:pPr>
            <w:r w:rsidRPr="00405303">
              <w:rPr>
                <w:bCs/>
                <w:color w:val="002060"/>
                <w:sz w:val="16"/>
                <w:szCs w:val="16"/>
              </w:rPr>
              <w:t>325</w:t>
            </w:r>
          </w:p>
        </w:tc>
        <w:tc>
          <w:tcPr>
            <w:tcW w:w="650" w:type="dxa"/>
          </w:tcPr>
          <w:p w14:paraId="7DFD9E78" w14:textId="77777777" w:rsidR="004B4E35" w:rsidRPr="00405303" w:rsidRDefault="009E6F82" w:rsidP="00C15251">
            <w:pPr>
              <w:jc w:val="both"/>
              <w:rPr>
                <w:bCs/>
                <w:color w:val="002060"/>
                <w:sz w:val="16"/>
                <w:szCs w:val="16"/>
              </w:rPr>
            </w:pPr>
            <w:r w:rsidRPr="00405303">
              <w:rPr>
                <w:bCs/>
                <w:color w:val="002060"/>
                <w:sz w:val="16"/>
                <w:szCs w:val="16"/>
              </w:rPr>
              <w:t>325</w:t>
            </w:r>
          </w:p>
        </w:tc>
        <w:tc>
          <w:tcPr>
            <w:tcW w:w="636" w:type="dxa"/>
          </w:tcPr>
          <w:p w14:paraId="05B56E8A" w14:textId="77777777" w:rsidR="004B4E35" w:rsidRPr="00405303" w:rsidRDefault="009E6F82" w:rsidP="00C15251">
            <w:pPr>
              <w:jc w:val="both"/>
              <w:rPr>
                <w:bCs/>
                <w:color w:val="002060"/>
                <w:sz w:val="16"/>
                <w:szCs w:val="16"/>
              </w:rPr>
            </w:pPr>
            <w:r w:rsidRPr="00405303">
              <w:rPr>
                <w:bCs/>
                <w:color w:val="002060"/>
                <w:sz w:val="16"/>
                <w:szCs w:val="16"/>
              </w:rPr>
              <w:t>325</w:t>
            </w:r>
          </w:p>
        </w:tc>
        <w:tc>
          <w:tcPr>
            <w:tcW w:w="728" w:type="dxa"/>
          </w:tcPr>
          <w:p w14:paraId="1C5E4AE0" w14:textId="77777777" w:rsidR="004B4E35" w:rsidRPr="00405303" w:rsidRDefault="009E6F82" w:rsidP="00C15251">
            <w:pPr>
              <w:jc w:val="both"/>
              <w:rPr>
                <w:bCs/>
                <w:color w:val="002060"/>
                <w:sz w:val="16"/>
                <w:szCs w:val="16"/>
              </w:rPr>
            </w:pPr>
            <w:r w:rsidRPr="00405303">
              <w:rPr>
                <w:bCs/>
                <w:color w:val="002060"/>
                <w:sz w:val="16"/>
                <w:szCs w:val="16"/>
              </w:rPr>
              <w:t>325</w:t>
            </w:r>
          </w:p>
        </w:tc>
      </w:tr>
      <w:tr w:rsidR="004B4E35" w:rsidRPr="00405303" w14:paraId="312CB6B9" w14:textId="77777777">
        <w:tc>
          <w:tcPr>
            <w:tcW w:w="2652" w:type="dxa"/>
          </w:tcPr>
          <w:p w14:paraId="713730F1" w14:textId="77777777" w:rsidR="004B4E35" w:rsidRPr="00405303" w:rsidRDefault="009E6F82" w:rsidP="00C15251">
            <w:pPr>
              <w:jc w:val="both"/>
              <w:rPr>
                <w:bCs/>
                <w:color w:val="002060"/>
                <w:sz w:val="16"/>
                <w:szCs w:val="16"/>
              </w:rPr>
            </w:pPr>
            <w:r w:rsidRPr="00405303">
              <w:rPr>
                <w:bCs/>
                <w:color w:val="002060"/>
                <w:sz w:val="16"/>
                <w:szCs w:val="16"/>
              </w:rPr>
              <w:t>Сысертский горный округ</w:t>
            </w:r>
          </w:p>
        </w:tc>
        <w:tc>
          <w:tcPr>
            <w:tcW w:w="612" w:type="dxa"/>
          </w:tcPr>
          <w:p w14:paraId="6D5D8F2D" w14:textId="77777777" w:rsidR="004B4E35" w:rsidRPr="00405303" w:rsidRDefault="009E6F82" w:rsidP="00C15251">
            <w:pPr>
              <w:jc w:val="both"/>
              <w:rPr>
                <w:bCs/>
                <w:color w:val="002060"/>
                <w:sz w:val="16"/>
                <w:szCs w:val="16"/>
              </w:rPr>
            </w:pPr>
            <w:r w:rsidRPr="00405303">
              <w:rPr>
                <w:bCs/>
                <w:color w:val="002060"/>
                <w:sz w:val="16"/>
                <w:szCs w:val="16"/>
              </w:rPr>
              <w:t>—</w:t>
            </w:r>
          </w:p>
        </w:tc>
        <w:tc>
          <w:tcPr>
            <w:tcW w:w="650" w:type="dxa"/>
          </w:tcPr>
          <w:p w14:paraId="394A947B" w14:textId="77777777" w:rsidR="004B4E35" w:rsidRPr="00405303" w:rsidRDefault="009E6F82" w:rsidP="00C15251">
            <w:pPr>
              <w:jc w:val="both"/>
              <w:rPr>
                <w:bCs/>
                <w:color w:val="002060"/>
                <w:sz w:val="16"/>
                <w:szCs w:val="16"/>
              </w:rPr>
            </w:pPr>
            <w:r w:rsidRPr="00405303">
              <w:rPr>
                <w:bCs/>
                <w:color w:val="002060"/>
                <w:sz w:val="16"/>
                <w:szCs w:val="16"/>
              </w:rPr>
              <w:t>100</w:t>
            </w:r>
          </w:p>
        </w:tc>
        <w:tc>
          <w:tcPr>
            <w:tcW w:w="636" w:type="dxa"/>
          </w:tcPr>
          <w:p w14:paraId="7D2EF225" w14:textId="77777777" w:rsidR="004B4E35" w:rsidRPr="00405303" w:rsidRDefault="009E6F82" w:rsidP="00C15251">
            <w:pPr>
              <w:jc w:val="both"/>
              <w:rPr>
                <w:bCs/>
                <w:color w:val="002060"/>
                <w:sz w:val="16"/>
                <w:szCs w:val="16"/>
              </w:rPr>
            </w:pPr>
            <w:r w:rsidRPr="00405303">
              <w:rPr>
                <w:bCs/>
                <w:color w:val="002060"/>
                <w:sz w:val="16"/>
                <w:szCs w:val="16"/>
              </w:rPr>
              <w:t>100</w:t>
            </w:r>
          </w:p>
        </w:tc>
        <w:tc>
          <w:tcPr>
            <w:tcW w:w="728" w:type="dxa"/>
          </w:tcPr>
          <w:p w14:paraId="0D0C6FE1" w14:textId="77777777" w:rsidR="004B4E35" w:rsidRPr="00405303" w:rsidRDefault="009E6F82" w:rsidP="00C15251">
            <w:pPr>
              <w:jc w:val="both"/>
              <w:rPr>
                <w:bCs/>
                <w:color w:val="002060"/>
                <w:sz w:val="16"/>
                <w:szCs w:val="16"/>
              </w:rPr>
            </w:pPr>
            <w:r w:rsidRPr="00405303">
              <w:rPr>
                <w:bCs/>
                <w:color w:val="002060"/>
                <w:sz w:val="16"/>
                <w:szCs w:val="16"/>
              </w:rPr>
              <w:t>100</w:t>
            </w:r>
          </w:p>
        </w:tc>
      </w:tr>
      <w:tr w:rsidR="004B4E35" w:rsidRPr="00405303" w14:paraId="66363C2B" w14:textId="77777777">
        <w:tc>
          <w:tcPr>
            <w:tcW w:w="2652" w:type="dxa"/>
          </w:tcPr>
          <w:p w14:paraId="1B6AA296" w14:textId="77777777" w:rsidR="004B4E35" w:rsidRPr="00405303" w:rsidRDefault="009E6F82" w:rsidP="00C15251">
            <w:pPr>
              <w:jc w:val="both"/>
              <w:rPr>
                <w:bCs/>
                <w:color w:val="002060"/>
                <w:sz w:val="16"/>
                <w:szCs w:val="16"/>
              </w:rPr>
            </w:pPr>
            <w:r w:rsidRPr="00405303">
              <w:rPr>
                <w:bCs/>
                <w:color w:val="002060"/>
                <w:sz w:val="16"/>
                <w:szCs w:val="16"/>
              </w:rPr>
              <w:t>Ревдинский горный округ</w:t>
            </w:r>
          </w:p>
        </w:tc>
        <w:tc>
          <w:tcPr>
            <w:tcW w:w="612" w:type="dxa"/>
          </w:tcPr>
          <w:p w14:paraId="64EC23FD" w14:textId="77777777" w:rsidR="004B4E35" w:rsidRPr="00405303" w:rsidRDefault="009E6F82" w:rsidP="00C15251">
            <w:pPr>
              <w:jc w:val="both"/>
              <w:rPr>
                <w:bCs/>
                <w:color w:val="002060"/>
                <w:sz w:val="16"/>
                <w:szCs w:val="16"/>
              </w:rPr>
            </w:pPr>
            <w:r w:rsidRPr="00405303">
              <w:rPr>
                <w:bCs/>
                <w:color w:val="002060"/>
                <w:sz w:val="16"/>
                <w:szCs w:val="16"/>
              </w:rPr>
              <w:t>—</w:t>
            </w:r>
          </w:p>
        </w:tc>
        <w:tc>
          <w:tcPr>
            <w:tcW w:w="650" w:type="dxa"/>
          </w:tcPr>
          <w:p w14:paraId="522D9666" w14:textId="77777777" w:rsidR="004B4E35" w:rsidRPr="00405303" w:rsidRDefault="009E6F82" w:rsidP="00C15251">
            <w:pPr>
              <w:jc w:val="both"/>
              <w:rPr>
                <w:bCs/>
                <w:color w:val="002060"/>
                <w:sz w:val="16"/>
                <w:szCs w:val="16"/>
              </w:rPr>
            </w:pPr>
            <w:r w:rsidRPr="00405303">
              <w:rPr>
                <w:bCs/>
                <w:color w:val="002060"/>
                <w:sz w:val="16"/>
                <w:szCs w:val="16"/>
              </w:rPr>
              <w:t>150</w:t>
            </w:r>
          </w:p>
        </w:tc>
        <w:tc>
          <w:tcPr>
            <w:tcW w:w="636" w:type="dxa"/>
          </w:tcPr>
          <w:p w14:paraId="39EF99B4" w14:textId="77777777" w:rsidR="004B4E35" w:rsidRPr="00405303" w:rsidRDefault="009E6F82" w:rsidP="00C15251">
            <w:pPr>
              <w:jc w:val="both"/>
              <w:rPr>
                <w:bCs/>
                <w:color w:val="002060"/>
                <w:sz w:val="16"/>
                <w:szCs w:val="16"/>
              </w:rPr>
            </w:pPr>
            <w:r w:rsidRPr="00405303">
              <w:rPr>
                <w:bCs/>
                <w:color w:val="002060"/>
                <w:sz w:val="16"/>
                <w:szCs w:val="16"/>
              </w:rPr>
              <w:t>150</w:t>
            </w:r>
          </w:p>
        </w:tc>
        <w:tc>
          <w:tcPr>
            <w:tcW w:w="728" w:type="dxa"/>
          </w:tcPr>
          <w:p w14:paraId="37E84F48" w14:textId="77777777" w:rsidR="004B4E35" w:rsidRPr="00405303" w:rsidRDefault="009E6F82" w:rsidP="00C15251">
            <w:pPr>
              <w:jc w:val="both"/>
              <w:rPr>
                <w:bCs/>
                <w:color w:val="002060"/>
                <w:sz w:val="16"/>
                <w:szCs w:val="16"/>
              </w:rPr>
            </w:pPr>
            <w:r w:rsidRPr="00405303">
              <w:rPr>
                <w:bCs/>
                <w:color w:val="002060"/>
                <w:sz w:val="16"/>
                <w:szCs w:val="16"/>
              </w:rPr>
              <w:t>150</w:t>
            </w:r>
          </w:p>
        </w:tc>
      </w:tr>
      <w:tr w:rsidR="004B4E35" w:rsidRPr="00405303" w14:paraId="1546FFDB" w14:textId="77777777">
        <w:tc>
          <w:tcPr>
            <w:tcW w:w="2652" w:type="dxa"/>
          </w:tcPr>
          <w:p w14:paraId="49AF349B" w14:textId="77777777" w:rsidR="004B4E35" w:rsidRPr="00405303" w:rsidRDefault="009E6F82" w:rsidP="00C15251">
            <w:pPr>
              <w:jc w:val="both"/>
              <w:rPr>
                <w:bCs/>
                <w:color w:val="002060"/>
                <w:sz w:val="16"/>
                <w:szCs w:val="16"/>
              </w:rPr>
            </w:pPr>
            <w:r w:rsidRPr="00405303">
              <w:rPr>
                <w:bCs/>
                <w:color w:val="002060"/>
                <w:sz w:val="16"/>
                <w:szCs w:val="16"/>
              </w:rPr>
              <w:t>Рудники Ушакова</w:t>
            </w:r>
          </w:p>
        </w:tc>
        <w:tc>
          <w:tcPr>
            <w:tcW w:w="612" w:type="dxa"/>
          </w:tcPr>
          <w:p w14:paraId="6182093B" w14:textId="77777777" w:rsidR="004B4E35" w:rsidRPr="00405303" w:rsidRDefault="009E6F82" w:rsidP="00C15251">
            <w:pPr>
              <w:jc w:val="both"/>
              <w:rPr>
                <w:bCs/>
                <w:color w:val="002060"/>
                <w:sz w:val="16"/>
                <w:szCs w:val="16"/>
              </w:rPr>
            </w:pPr>
            <w:r w:rsidRPr="00405303">
              <w:rPr>
                <w:bCs/>
                <w:color w:val="002060"/>
                <w:sz w:val="16"/>
                <w:szCs w:val="16"/>
              </w:rPr>
              <w:t>—</w:t>
            </w:r>
          </w:p>
        </w:tc>
        <w:tc>
          <w:tcPr>
            <w:tcW w:w="650" w:type="dxa"/>
          </w:tcPr>
          <w:p w14:paraId="54A8FDFD" w14:textId="77777777" w:rsidR="004B4E35" w:rsidRPr="00405303" w:rsidRDefault="009E6F82" w:rsidP="00C15251">
            <w:pPr>
              <w:jc w:val="both"/>
              <w:rPr>
                <w:bCs/>
                <w:color w:val="002060"/>
                <w:sz w:val="16"/>
                <w:szCs w:val="16"/>
              </w:rPr>
            </w:pPr>
            <w:r w:rsidRPr="00405303">
              <w:rPr>
                <w:bCs/>
                <w:color w:val="002060"/>
                <w:sz w:val="16"/>
                <w:szCs w:val="16"/>
              </w:rPr>
              <w:t>100</w:t>
            </w:r>
          </w:p>
        </w:tc>
        <w:tc>
          <w:tcPr>
            <w:tcW w:w="636" w:type="dxa"/>
          </w:tcPr>
          <w:p w14:paraId="7224BFC7" w14:textId="77777777" w:rsidR="004B4E35" w:rsidRPr="00405303" w:rsidRDefault="009E6F82" w:rsidP="00C15251">
            <w:pPr>
              <w:jc w:val="both"/>
              <w:rPr>
                <w:bCs/>
                <w:color w:val="002060"/>
                <w:sz w:val="16"/>
                <w:szCs w:val="16"/>
              </w:rPr>
            </w:pPr>
            <w:r w:rsidRPr="00405303">
              <w:rPr>
                <w:bCs/>
                <w:color w:val="002060"/>
                <w:sz w:val="16"/>
                <w:szCs w:val="16"/>
              </w:rPr>
              <w:t>100</w:t>
            </w:r>
          </w:p>
        </w:tc>
        <w:tc>
          <w:tcPr>
            <w:tcW w:w="728" w:type="dxa"/>
          </w:tcPr>
          <w:p w14:paraId="06DE3294" w14:textId="77777777" w:rsidR="004B4E35" w:rsidRPr="00405303" w:rsidRDefault="009E6F82" w:rsidP="00C15251">
            <w:pPr>
              <w:jc w:val="both"/>
              <w:rPr>
                <w:bCs/>
                <w:color w:val="002060"/>
                <w:sz w:val="16"/>
                <w:szCs w:val="16"/>
              </w:rPr>
            </w:pPr>
            <w:r w:rsidRPr="00405303">
              <w:rPr>
                <w:bCs/>
                <w:color w:val="002060"/>
                <w:sz w:val="16"/>
                <w:szCs w:val="16"/>
              </w:rPr>
              <w:t>100</w:t>
            </w:r>
          </w:p>
        </w:tc>
      </w:tr>
      <w:tr w:rsidR="004B4E35" w:rsidRPr="00405303" w14:paraId="6F36D8F0" w14:textId="77777777">
        <w:tc>
          <w:tcPr>
            <w:tcW w:w="2652" w:type="dxa"/>
          </w:tcPr>
          <w:p w14:paraId="5FD22EDA" w14:textId="77777777" w:rsidR="004B4E35" w:rsidRPr="00405303" w:rsidRDefault="009E6F82" w:rsidP="00C15251">
            <w:pPr>
              <w:jc w:val="both"/>
              <w:rPr>
                <w:bCs/>
                <w:color w:val="002060"/>
                <w:sz w:val="16"/>
                <w:szCs w:val="16"/>
              </w:rPr>
            </w:pPr>
            <w:r w:rsidRPr="00405303">
              <w:rPr>
                <w:bCs/>
                <w:color w:val="002060"/>
                <w:sz w:val="16"/>
                <w:szCs w:val="16"/>
              </w:rPr>
              <w:t xml:space="preserve">Прочие мелкие добычи </w:t>
            </w:r>
          </w:p>
          <w:p w14:paraId="1D5C472D" w14:textId="77777777" w:rsidR="004B4E35" w:rsidRPr="00405303" w:rsidRDefault="009E6F82" w:rsidP="00C15251">
            <w:pPr>
              <w:jc w:val="both"/>
              <w:rPr>
                <w:bCs/>
                <w:color w:val="002060"/>
                <w:sz w:val="16"/>
                <w:szCs w:val="16"/>
              </w:rPr>
            </w:pPr>
            <w:r w:rsidRPr="00405303">
              <w:rPr>
                <w:bCs/>
                <w:color w:val="002060"/>
                <w:sz w:val="16"/>
                <w:szCs w:val="16"/>
              </w:rPr>
              <w:t>(Кавказские, Донецкие, Подмосковные)</w:t>
            </w:r>
          </w:p>
        </w:tc>
        <w:tc>
          <w:tcPr>
            <w:tcW w:w="612" w:type="dxa"/>
          </w:tcPr>
          <w:p w14:paraId="782344FD" w14:textId="77777777" w:rsidR="004B4E35" w:rsidRPr="00405303" w:rsidRDefault="009E6F82" w:rsidP="00C15251">
            <w:pPr>
              <w:jc w:val="both"/>
              <w:rPr>
                <w:bCs/>
                <w:color w:val="002060"/>
                <w:sz w:val="16"/>
                <w:szCs w:val="16"/>
              </w:rPr>
            </w:pPr>
            <w:r w:rsidRPr="00405303">
              <w:rPr>
                <w:bCs/>
                <w:color w:val="002060"/>
                <w:sz w:val="16"/>
                <w:szCs w:val="16"/>
              </w:rPr>
              <w:t>105</w:t>
            </w:r>
          </w:p>
        </w:tc>
        <w:tc>
          <w:tcPr>
            <w:tcW w:w="650" w:type="dxa"/>
          </w:tcPr>
          <w:p w14:paraId="7C1A8E39" w14:textId="77777777" w:rsidR="004B4E35" w:rsidRPr="00405303" w:rsidRDefault="009E6F82" w:rsidP="00C15251">
            <w:pPr>
              <w:jc w:val="both"/>
              <w:rPr>
                <w:bCs/>
                <w:color w:val="002060"/>
                <w:sz w:val="16"/>
                <w:szCs w:val="16"/>
              </w:rPr>
            </w:pPr>
            <w:r w:rsidRPr="00405303">
              <w:rPr>
                <w:bCs/>
                <w:color w:val="002060"/>
                <w:sz w:val="16"/>
                <w:szCs w:val="16"/>
              </w:rPr>
              <w:t>110</w:t>
            </w:r>
          </w:p>
        </w:tc>
        <w:tc>
          <w:tcPr>
            <w:tcW w:w="636" w:type="dxa"/>
          </w:tcPr>
          <w:p w14:paraId="21CF2BB4" w14:textId="77777777" w:rsidR="004B4E35" w:rsidRPr="00405303" w:rsidRDefault="009E6F82" w:rsidP="00C15251">
            <w:pPr>
              <w:jc w:val="both"/>
              <w:rPr>
                <w:bCs/>
                <w:color w:val="002060"/>
                <w:sz w:val="16"/>
                <w:szCs w:val="16"/>
              </w:rPr>
            </w:pPr>
            <w:r w:rsidRPr="00405303">
              <w:rPr>
                <w:bCs/>
                <w:color w:val="002060"/>
                <w:sz w:val="16"/>
                <w:szCs w:val="16"/>
              </w:rPr>
              <w:t>140</w:t>
            </w:r>
          </w:p>
        </w:tc>
        <w:tc>
          <w:tcPr>
            <w:tcW w:w="728" w:type="dxa"/>
          </w:tcPr>
          <w:p w14:paraId="23CC49C5" w14:textId="77777777" w:rsidR="004B4E35" w:rsidRPr="00405303" w:rsidRDefault="009E6F82" w:rsidP="00C15251">
            <w:pPr>
              <w:jc w:val="both"/>
              <w:rPr>
                <w:bCs/>
                <w:color w:val="002060"/>
                <w:sz w:val="16"/>
                <w:szCs w:val="16"/>
              </w:rPr>
            </w:pPr>
            <w:r w:rsidRPr="00405303">
              <w:rPr>
                <w:bCs/>
                <w:color w:val="002060"/>
                <w:sz w:val="16"/>
                <w:szCs w:val="16"/>
              </w:rPr>
              <w:t>150</w:t>
            </w:r>
          </w:p>
        </w:tc>
      </w:tr>
    </w:tbl>
    <w:p w14:paraId="262D6F3E"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Не менее забот представлял вопрос с азотной кислотой. Для изготовления ее ежегодно в Россию необходимо было ввозить до 6 млн пудов чилийской селитры. Комиссия Ипатьева, а впоследствии Химический комитет взял на себя надзор за провозом и распределением ее. </w:t>
      </w:r>
    </w:p>
    <w:p w14:paraId="38116156" w14:textId="77777777" w:rsidR="004B4E35" w:rsidRPr="00405303" w:rsidRDefault="009E6F82" w:rsidP="00C15251">
      <w:pPr>
        <w:jc w:val="both"/>
        <w:rPr>
          <w:bCs/>
          <w:color w:val="002060"/>
          <w:sz w:val="16"/>
          <w:szCs w:val="16"/>
        </w:rPr>
      </w:pPr>
      <w:r w:rsidRPr="00405303">
        <w:rPr>
          <w:bCs/>
          <w:color w:val="002060"/>
          <w:sz w:val="16"/>
          <w:szCs w:val="16"/>
        </w:rPr>
        <w:t xml:space="preserve">Комитет занялся также исследованием залежей отечественной селитры, но эти месторождения оказались неблагонадежными. </w:t>
      </w:r>
    </w:p>
    <w:p w14:paraId="0DCFE27B" w14:textId="77777777" w:rsidR="004B4E35" w:rsidRPr="00405303" w:rsidRDefault="009E6F82" w:rsidP="00C15251">
      <w:pPr>
        <w:jc w:val="both"/>
        <w:rPr>
          <w:bCs/>
          <w:color w:val="002060"/>
          <w:sz w:val="16"/>
          <w:szCs w:val="16"/>
        </w:rPr>
      </w:pPr>
      <w:r w:rsidRPr="00405303">
        <w:rPr>
          <w:bCs/>
          <w:color w:val="002060"/>
          <w:sz w:val="16"/>
          <w:szCs w:val="16"/>
        </w:rPr>
        <w:t xml:space="preserve">Имея в виду в будущем освободиться от иностранной зависимости, Химический комитет приступил к разработке вопроса о наилучшем для России методе получения азотной кислоты. </w:t>
      </w:r>
    </w:p>
    <w:p w14:paraId="7B305209" w14:textId="77777777" w:rsidR="004B4E35" w:rsidRPr="00405303" w:rsidRDefault="009E6F82" w:rsidP="00C15251">
      <w:pPr>
        <w:jc w:val="both"/>
        <w:rPr>
          <w:bCs/>
          <w:color w:val="002060"/>
          <w:sz w:val="16"/>
          <w:szCs w:val="16"/>
        </w:rPr>
      </w:pPr>
      <w:r w:rsidRPr="00405303">
        <w:rPr>
          <w:bCs/>
          <w:color w:val="002060"/>
          <w:sz w:val="16"/>
          <w:szCs w:val="16"/>
        </w:rPr>
        <w:t xml:space="preserve">В связи с установлением улавливания побочных продуктов коксования угля начала быстро расти выработка аммиачных вод. Были привлечены крупные научные силы к разработке практического метода превращения аммиака в азотную кислоту. Лабораторные изыскания и опытная заводская работа дали благоприятные результаты. После этого Химический комитет построил первый казенный завод в Юзовке для получения азотной кислоты переработкой аммиачных вод, производительностью на 50 тыс. пудов селитры в месяц. Этот завод должен был послужить образцом для постройки в дальнейшем таких же заводов. </w:t>
      </w:r>
    </w:p>
    <w:p w14:paraId="07C81CCF" w14:textId="77777777" w:rsidR="004B4E35" w:rsidRPr="00405303" w:rsidRDefault="009E6F82" w:rsidP="00C15251">
      <w:pPr>
        <w:jc w:val="both"/>
        <w:rPr>
          <w:bCs/>
          <w:color w:val="002060"/>
          <w:sz w:val="16"/>
          <w:szCs w:val="16"/>
        </w:rPr>
      </w:pPr>
      <w:r w:rsidRPr="00405303">
        <w:rPr>
          <w:bCs/>
          <w:color w:val="002060"/>
          <w:sz w:val="16"/>
          <w:szCs w:val="16"/>
        </w:rPr>
        <w:t xml:space="preserve">В целях разрешения полностью вопроса о связанном азоте Химическим комитетом был осенью 1916 г. разработан проект завода цианамида кальция производительностью на 2 000 000 пудов в год, который предположено было строить на Кавказе, в Грозном. </w:t>
      </w:r>
    </w:p>
    <w:p w14:paraId="2305D64A" w14:textId="77777777" w:rsidR="004B4E35" w:rsidRPr="00405303" w:rsidRDefault="009E6F82" w:rsidP="00C15251">
      <w:pPr>
        <w:jc w:val="both"/>
        <w:rPr>
          <w:bCs/>
          <w:color w:val="002060"/>
          <w:sz w:val="16"/>
          <w:szCs w:val="16"/>
        </w:rPr>
      </w:pPr>
      <w:r w:rsidRPr="00405303">
        <w:rPr>
          <w:bCs/>
          <w:color w:val="002060"/>
          <w:sz w:val="16"/>
          <w:szCs w:val="16"/>
        </w:rPr>
        <w:t xml:space="preserve">Таким образом, Комиссия Ипатьева, а в дальнейшем Химический комитет, как видно из приведенного очерка, несли на себе все заботы о снабжении казенных и частных заводов пороха и взрывчатых веществ основными материалами для производства. </w:t>
      </w:r>
    </w:p>
    <w:p w14:paraId="31FAAB5A" w14:textId="77777777" w:rsidR="004B4E35" w:rsidRPr="00405303" w:rsidRDefault="009E6F82" w:rsidP="00C15251">
      <w:pPr>
        <w:jc w:val="both"/>
        <w:rPr>
          <w:bCs/>
          <w:color w:val="002060"/>
          <w:sz w:val="16"/>
          <w:szCs w:val="16"/>
        </w:rPr>
      </w:pPr>
      <w:r w:rsidRPr="00405303">
        <w:rPr>
          <w:bCs/>
          <w:color w:val="002060"/>
          <w:sz w:val="16"/>
          <w:szCs w:val="16"/>
        </w:rPr>
        <w:t xml:space="preserve">Независимо от этого на Химическом комитете лежала обязанность привлечь частную промышленность к изготовлению самых взрывчатых веществ в дополнение к тем, которые изготовлялись казенными заводами. </w:t>
      </w:r>
    </w:p>
    <w:p w14:paraId="788C66B2" w14:textId="77777777" w:rsidR="004B4E35" w:rsidRPr="00405303" w:rsidRDefault="009E6F82" w:rsidP="00C15251">
      <w:pPr>
        <w:jc w:val="both"/>
        <w:rPr>
          <w:bCs/>
          <w:color w:val="002060"/>
          <w:sz w:val="16"/>
          <w:szCs w:val="16"/>
        </w:rPr>
      </w:pPr>
      <w:r w:rsidRPr="00405303">
        <w:rPr>
          <w:bCs/>
          <w:color w:val="002060"/>
          <w:sz w:val="16"/>
          <w:szCs w:val="16"/>
        </w:rPr>
        <w:t xml:space="preserve">Во время войны производство тротила было установлено на нескольких существовавших частных химических заводах (отдельные цеха) и построены новые тротиловые заводы. Общее число частных заводов, готовивших тротил во время войны, достигло восьми. </w:t>
      </w:r>
    </w:p>
    <w:p w14:paraId="3D4CB40C" w14:textId="77777777" w:rsidR="004B4E35" w:rsidRPr="00405303" w:rsidRDefault="009E6F82" w:rsidP="00C15251">
      <w:pPr>
        <w:jc w:val="both"/>
        <w:rPr>
          <w:bCs/>
          <w:color w:val="002060"/>
          <w:sz w:val="16"/>
          <w:szCs w:val="16"/>
        </w:rPr>
      </w:pPr>
      <w:r w:rsidRPr="00405303">
        <w:rPr>
          <w:bCs/>
          <w:color w:val="002060"/>
          <w:sz w:val="16"/>
          <w:szCs w:val="16"/>
        </w:rPr>
        <w:t xml:space="preserve">Пикриновая кислота во время войны готовилась только на частных заводах: на пяти — нитрацией фенола и на двух — синтетическим путем из бензола. До войны ее готовили только два завода по первому способу. Синтетический способ был разработан в России уже во время войны в Центральной научно-технической лаборатории военного ведомства и представляет большой научный интерес. </w:t>
      </w:r>
    </w:p>
    <w:p w14:paraId="42A41417" w14:textId="77777777" w:rsidR="004B4E35" w:rsidRPr="00405303" w:rsidRDefault="009E6F82" w:rsidP="00C15251">
      <w:pPr>
        <w:jc w:val="both"/>
        <w:rPr>
          <w:bCs/>
          <w:color w:val="002060"/>
          <w:sz w:val="16"/>
          <w:szCs w:val="16"/>
        </w:rPr>
      </w:pPr>
      <w:r w:rsidRPr="00405303">
        <w:rPr>
          <w:bCs/>
          <w:color w:val="002060"/>
          <w:sz w:val="16"/>
          <w:szCs w:val="16"/>
        </w:rPr>
        <w:t xml:space="preserve">Было установлено Химическим комитетом также производство тринитроксилола и динитронафталина, каждый на двух заводах. </w:t>
      </w:r>
    </w:p>
    <w:p w14:paraId="2BA38721" w14:textId="77777777" w:rsidR="004B4E35" w:rsidRPr="00405303" w:rsidRDefault="009E6F82" w:rsidP="00C15251">
      <w:pPr>
        <w:jc w:val="both"/>
        <w:rPr>
          <w:bCs/>
          <w:color w:val="002060"/>
          <w:sz w:val="16"/>
          <w:szCs w:val="16"/>
        </w:rPr>
      </w:pPr>
      <w:r w:rsidRPr="00405303">
        <w:rPr>
          <w:bCs/>
          <w:color w:val="002060"/>
          <w:sz w:val="16"/>
          <w:szCs w:val="16"/>
        </w:rPr>
        <w:t xml:space="preserve">Изготовление аммиачной селитры, кроме упомянутого выше Юзовского казенного завода, было организовано Комиссией еще на двух заводах в Донецком бассейне. </w:t>
      </w:r>
    </w:p>
    <w:p w14:paraId="3B83CF7C" w14:textId="77777777" w:rsidR="004B4E35" w:rsidRPr="00405303" w:rsidRDefault="009E6F82" w:rsidP="00C15251">
      <w:pPr>
        <w:jc w:val="both"/>
        <w:rPr>
          <w:bCs/>
          <w:color w:val="002060"/>
          <w:sz w:val="16"/>
          <w:szCs w:val="16"/>
        </w:rPr>
      </w:pPr>
      <w:r w:rsidRPr="00405303">
        <w:rPr>
          <w:bCs/>
          <w:color w:val="002060"/>
          <w:sz w:val="16"/>
          <w:szCs w:val="16"/>
        </w:rPr>
        <w:t xml:space="preserve">Фабрикация взрывчатых смесей на основе аммиачной селитры была организована Химическим комитетом в нескольких мастерских и заводах. </w:t>
      </w:r>
    </w:p>
    <w:p w14:paraId="4ABBA15C" w14:textId="77777777" w:rsidR="004B4E35" w:rsidRPr="00405303" w:rsidRDefault="009E6F82" w:rsidP="00C15251">
      <w:pPr>
        <w:jc w:val="both"/>
        <w:rPr>
          <w:bCs/>
          <w:color w:val="002060"/>
          <w:sz w:val="16"/>
          <w:szCs w:val="16"/>
        </w:rPr>
      </w:pPr>
      <w:r w:rsidRPr="00405303">
        <w:rPr>
          <w:bCs/>
          <w:color w:val="002060"/>
          <w:sz w:val="16"/>
          <w:szCs w:val="16"/>
        </w:rPr>
        <w:t xml:space="preserve">Общее количество заводов, изготовлявших взрывчатые вещества, возросло с февраля 1915 г. по январь 1917 г. с 4 до 28. Общая мощность их по оборудованию в 1917 г. возросла до 218 000 пудов в месяц. Из них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4B4E35" w:rsidRPr="00405303" w14:paraId="5D538B9D" w14:textId="77777777">
        <w:tc>
          <w:tcPr>
            <w:tcW w:w="1788" w:type="dxa"/>
          </w:tcPr>
          <w:p w14:paraId="1B2A340B" w14:textId="77777777" w:rsidR="004B4E35" w:rsidRPr="00405303" w:rsidRDefault="009E6F82" w:rsidP="00C15251">
            <w:pPr>
              <w:jc w:val="both"/>
              <w:rPr>
                <w:bCs/>
                <w:color w:val="002060"/>
                <w:sz w:val="16"/>
                <w:szCs w:val="16"/>
              </w:rPr>
            </w:pPr>
            <w:r w:rsidRPr="00405303">
              <w:rPr>
                <w:bCs/>
                <w:color w:val="002060"/>
                <w:sz w:val="16"/>
                <w:szCs w:val="16"/>
              </w:rPr>
              <w:t>Тротила</w:t>
            </w:r>
          </w:p>
        </w:tc>
        <w:tc>
          <w:tcPr>
            <w:tcW w:w="936" w:type="dxa"/>
          </w:tcPr>
          <w:p w14:paraId="3D1B59DF" w14:textId="77777777" w:rsidR="004B4E35" w:rsidRPr="00405303" w:rsidRDefault="009E6F82" w:rsidP="00C15251">
            <w:pPr>
              <w:jc w:val="both"/>
              <w:rPr>
                <w:bCs/>
                <w:color w:val="002060"/>
                <w:sz w:val="16"/>
                <w:szCs w:val="16"/>
              </w:rPr>
            </w:pPr>
            <w:r w:rsidRPr="00405303">
              <w:rPr>
                <w:bCs/>
                <w:color w:val="002060"/>
                <w:sz w:val="16"/>
                <w:szCs w:val="16"/>
              </w:rPr>
              <w:t xml:space="preserve">52.000 </w:t>
            </w:r>
          </w:p>
        </w:tc>
      </w:tr>
      <w:tr w:rsidR="004B4E35" w:rsidRPr="00405303" w14:paraId="0D0C0656" w14:textId="77777777">
        <w:tc>
          <w:tcPr>
            <w:tcW w:w="1788" w:type="dxa"/>
          </w:tcPr>
          <w:p w14:paraId="691FEA70" w14:textId="77777777" w:rsidR="004B4E35" w:rsidRPr="00405303" w:rsidRDefault="009E6F82" w:rsidP="00C15251">
            <w:pPr>
              <w:jc w:val="both"/>
              <w:rPr>
                <w:bCs/>
                <w:color w:val="002060"/>
                <w:sz w:val="16"/>
                <w:szCs w:val="16"/>
              </w:rPr>
            </w:pPr>
            <w:r w:rsidRPr="00405303">
              <w:rPr>
                <w:bCs/>
                <w:color w:val="002060"/>
                <w:sz w:val="16"/>
                <w:szCs w:val="16"/>
              </w:rPr>
              <w:t>Пикриновой кислоты</w:t>
            </w:r>
          </w:p>
        </w:tc>
        <w:tc>
          <w:tcPr>
            <w:tcW w:w="936" w:type="dxa"/>
          </w:tcPr>
          <w:p w14:paraId="0871B3D1" w14:textId="77777777" w:rsidR="004B4E35" w:rsidRPr="00405303" w:rsidRDefault="009E6F82" w:rsidP="00C15251">
            <w:pPr>
              <w:jc w:val="both"/>
              <w:rPr>
                <w:bCs/>
                <w:color w:val="002060"/>
                <w:sz w:val="16"/>
                <w:szCs w:val="16"/>
              </w:rPr>
            </w:pPr>
            <w:r w:rsidRPr="00405303">
              <w:rPr>
                <w:bCs/>
                <w:color w:val="002060"/>
                <w:sz w:val="16"/>
                <w:szCs w:val="16"/>
              </w:rPr>
              <w:t xml:space="preserve">50.000 </w:t>
            </w:r>
          </w:p>
        </w:tc>
      </w:tr>
      <w:tr w:rsidR="004B4E35" w:rsidRPr="00405303" w14:paraId="02D99131" w14:textId="77777777">
        <w:tc>
          <w:tcPr>
            <w:tcW w:w="1788" w:type="dxa"/>
          </w:tcPr>
          <w:p w14:paraId="215BC791" w14:textId="77777777" w:rsidR="004B4E35" w:rsidRPr="00405303" w:rsidRDefault="009E6F82" w:rsidP="00C15251">
            <w:pPr>
              <w:jc w:val="both"/>
              <w:rPr>
                <w:bCs/>
                <w:color w:val="002060"/>
                <w:sz w:val="16"/>
                <w:szCs w:val="16"/>
              </w:rPr>
            </w:pPr>
            <w:r w:rsidRPr="00405303">
              <w:rPr>
                <w:bCs/>
                <w:color w:val="002060"/>
                <w:sz w:val="16"/>
                <w:szCs w:val="16"/>
              </w:rPr>
              <w:t>Аммиачной селитры</w:t>
            </w:r>
          </w:p>
        </w:tc>
        <w:tc>
          <w:tcPr>
            <w:tcW w:w="936" w:type="dxa"/>
          </w:tcPr>
          <w:p w14:paraId="5903D39A" w14:textId="77777777" w:rsidR="004B4E35" w:rsidRPr="00405303" w:rsidRDefault="009E6F82" w:rsidP="00C15251">
            <w:pPr>
              <w:jc w:val="both"/>
              <w:rPr>
                <w:bCs/>
                <w:color w:val="002060"/>
                <w:sz w:val="16"/>
                <w:szCs w:val="16"/>
              </w:rPr>
            </w:pPr>
            <w:r w:rsidRPr="00405303">
              <w:rPr>
                <w:bCs/>
                <w:color w:val="002060"/>
                <w:sz w:val="16"/>
                <w:szCs w:val="16"/>
              </w:rPr>
              <w:t xml:space="preserve">60.000 </w:t>
            </w:r>
          </w:p>
        </w:tc>
      </w:tr>
      <w:tr w:rsidR="004B4E35" w:rsidRPr="00405303" w14:paraId="500638CC" w14:textId="77777777">
        <w:tc>
          <w:tcPr>
            <w:tcW w:w="1788" w:type="dxa"/>
          </w:tcPr>
          <w:p w14:paraId="6FA3BAE5" w14:textId="77777777" w:rsidR="004B4E35" w:rsidRPr="00405303" w:rsidRDefault="009E6F82" w:rsidP="00C15251">
            <w:pPr>
              <w:jc w:val="both"/>
              <w:rPr>
                <w:bCs/>
                <w:color w:val="002060"/>
                <w:sz w:val="16"/>
                <w:szCs w:val="16"/>
              </w:rPr>
            </w:pPr>
            <w:r w:rsidRPr="00405303">
              <w:rPr>
                <w:bCs/>
                <w:color w:val="002060"/>
                <w:sz w:val="16"/>
                <w:szCs w:val="16"/>
              </w:rPr>
              <w:t>Ксилола</w:t>
            </w:r>
          </w:p>
        </w:tc>
        <w:tc>
          <w:tcPr>
            <w:tcW w:w="936" w:type="dxa"/>
          </w:tcPr>
          <w:p w14:paraId="7745E8F0" w14:textId="77777777" w:rsidR="004B4E35" w:rsidRPr="00405303" w:rsidRDefault="009E6F82" w:rsidP="00C15251">
            <w:pPr>
              <w:jc w:val="both"/>
              <w:rPr>
                <w:bCs/>
                <w:color w:val="002060"/>
                <w:sz w:val="16"/>
                <w:szCs w:val="16"/>
              </w:rPr>
            </w:pPr>
            <w:r w:rsidRPr="00405303">
              <w:rPr>
                <w:bCs/>
                <w:color w:val="002060"/>
                <w:sz w:val="16"/>
                <w:szCs w:val="16"/>
              </w:rPr>
              <w:t xml:space="preserve">9.000 </w:t>
            </w:r>
          </w:p>
        </w:tc>
      </w:tr>
      <w:tr w:rsidR="004B4E35" w:rsidRPr="00405303" w14:paraId="0349709B" w14:textId="77777777">
        <w:tc>
          <w:tcPr>
            <w:tcW w:w="1788" w:type="dxa"/>
          </w:tcPr>
          <w:p w14:paraId="19BDBC75" w14:textId="77777777" w:rsidR="004B4E35" w:rsidRPr="00405303" w:rsidRDefault="009E6F82" w:rsidP="00C15251">
            <w:pPr>
              <w:jc w:val="both"/>
              <w:rPr>
                <w:bCs/>
                <w:color w:val="002060"/>
                <w:sz w:val="16"/>
                <w:szCs w:val="16"/>
              </w:rPr>
            </w:pPr>
            <w:r w:rsidRPr="00405303">
              <w:rPr>
                <w:bCs/>
                <w:color w:val="002060"/>
                <w:sz w:val="16"/>
                <w:szCs w:val="16"/>
              </w:rPr>
              <w:t>Динитронафталина</w:t>
            </w:r>
          </w:p>
        </w:tc>
        <w:tc>
          <w:tcPr>
            <w:tcW w:w="936" w:type="dxa"/>
          </w:tcPr>
          <w:p w14:paraId="1EF39FE2" w14:textId="77777777" w:rsidR="004B4E35" w:rsidRPr="00405303" w:rsidRDefault="009E6F82" w:rsidP="00C15251">
            <w:pPr>
              <w:jc w:val="both"/>
              <w:rPr>
                <w:bCs/>
                <w:color w:val="002060"/>
                <w:sz w:val="16"/>
                <w:szCs w:val="16"/>
              </w:rPr>
            </w:pPr>
            <w:r w:rsidRPr="00405303">
              <w:rPr>
                <w:bCs/>
                <w:color w:val="002060"/>
                <w:sz w:val="16"/>
                <w:szCs w:val="16"/>
              </w:rPr>
              <w:t xml:space="preserve">12.000 </w:t>
            </w:r>
          </w:p>
        </w:tc>
      </w:tr>
    </w:tbl>
    <w:p w14:paraId="33719312" w14:textId="77777777" w:rsidR="004B4E35" w:rsidRPr="00405303" w:rsidRDefault="009E6F82" w:rsidP="00C15251">
      <w:pPr>
        <w:jc w:val="both"/>
        <w:rPr>
          <w:bCs/>
          <w:color w:val="002060"/>
          <w:sz w:val="16"/>
          <w:szCs w:val="16"/>
        </w:rPr>
      </w:pPr>
      <w:r w:rsidRPr="00405303">
        <w:rPr>
          <w:bCs/>
          <w:color w:val="002060"/>
          <w:sz w:val="16"/>
          <w:szCs w:val="16"/>
        </w:rPr>
        <w:t xml:space="preserve">Фактически эта мощность не была использована полностью. </w:t>
      </w:r>
    </w:p>
    <w:p w14:paraId="2723EC30" w14:textId="77777777" w:rsidR="004B4E35" w:rsidRPr="00405303" w:rsidRDefault="009E6F82" w:rsidP="00C15251">
      <w:pPr>
        <w:jc w:val="both"/>
        <w:rPr>
          <w:bCs/>
          <w:color w:val="002060"/>
          <w:sz w:val="16"/>
          <w:szCs w:val="16"/>
        </w:rPr>
      </w:pPr>
      <w:r w:rsidRPr="00405303">
        <w:rPr>
          <w:bCs/>
          <w:color w:val="002060"/>
          <w:sz w:val="16"/>
          <w:szCs w:val="16"/>
        </w:rPr>
        <w:t xml:space="preserve">Летом 1915 г. определенно выяснилась необходимость организовать производство целого ряда химических продуктов для газовой борьбы с противником. </w:t>
      </w:r>
    </w:p>
    <w:p w14:paraId="2828C555" w14:textId="77777777" w:rsidR="004B4E35" w:rsidRPr="00405303" w:rsidRDefault="009E6F82" w:rsidP="00C15251">
      <w:pPr>
        <w:jc w:val="both"/>
        <w:rPr>
          <w:bCs/>
          <w:color w:val="002060"/>
          <w:sz w:val="16"/>
          <w:szCs w:val="16"/>
        </w:rPr>
      </w:pPr>
      <w:r w:rsidRPr="00405303">
        <w:rPr>
          <w:bCs/>
          <w:color w:val="002060"/>
          <w:sz w:val="16"/>
          <w:szCs w:val="16"/>
        </w:rPr>
        <w:t xml:space="preserve">Это дело проводилось с большой энергией и успехом, сначала специально для этой цели организованной Комиссией у[душающих] с[редств], а после Химическим комитетом, куда вошла Комиссия УС. Организации заводского производства предшествовал ряд научных изысканий. </w:t>
      </w:r>
    </w:p>
    <w:p w14:paraId="3F2703D4" w14:textId="77777777" w:rsidR="004B4E35" w:rsidRPr="00405303" w:rsidRDefault="009E6F82" w:rsidP="00C15251">
      <w:pPr>
        <w:jc w:val="both"/>
        <w:rPr>
          <w:bCs/>
          <w:color w:val="002060"/>
          <w:sz w:val="16"/>
          <w:szCs w:val="16"/>
        </w:rPr>
      </w:pPr>
      <w:r w:rsidRPr="00405303">
        <w:rPr>
          <w:bCs/>
          <w:color w:val="002060"/>
          <w:sz w:val="16"/>
          <w:szCs w:val="16"/>
        </w:rPr>
        <w:t xml:space="preserve">Для выпуска из баллонов принят был сжиженный хлор. Производство было быстро организовано на двух заводах Донецкого бассейна и в период с осени 1915 г. к осени 1916 г. достигло 500-600 пудов в сутки, что вполне покрывало потребность фронта. </w:t>
      </w:r>
    </w:p>
    <w:p w14:paraId="56CAAD76" w14:textId="77777777" w:rsidR="004B4E35" w:rsidRPr="00405303" w:rsidRDefault="009E6F82" w:rsidP="00C15251">
      <w:pPr>
        <w:jc w:val="both"/>
        <w:rPr>
          <w:bCs/>
          <w:color w:val="002060"/>
          <w:sz w:val="16"/>
          <w:szCs w:val="16"/>
        </w:rPr>
      </w:pPr>
      <w:r w:rsidRPr="00405303">
        <w:rPr>
          <w:bCs/>
          <w:color w:val="002060"/>
          <w:sz w:val="16"/>
          <w:szCs w:val="16"/>
        </w:rPr>
        <w:t xml:space="preserve">Второе вещество, необходимое для баллоновой газовой борьбы, фосген, в России ранее вовсе не вырабатывалось. </w:t>
      </w:r>
    </w:p>
    <w:p w14:paraId="386D72B7" w14:textId="77777777" w:rsidR="004B4E35" w:rsidRPr="00405303" w:rsidRDefault="009E6F82" w:rsidP="00C15251">
      <w:pPr>
        <w:jc w:val="both"/>
        <w:rPr>
          <w:bCs/>
          <w:color w:val="002060"/>
          <w:sz w:val="16"/>
          <w:szCs w:val="16"/>
        </w:rPr>
      </w:pPr>
      <w:r w:rsidRPr="00405303">
        <w:rPr>
          <w:bCs/>
          <w:color w:val="002060"/>
          <w:sz w:val="16"/>
          <w:szCs w:val="16"/>
        </w:rPr>
        <w:t xml:space="preserve">На это производство оборудовалось пять заводов, из коих один казенный. Из пяти только два своевременно справились с делом. С января по октябрь 1916 г. производство фосгена достигло 600 пудов в месяц. Установка его представляла большие технические трудности. </w:t>
      </w:r>
    </w:p>
    <w:p w14:paraId="59D6B111" w14:textId="77777777" w:rsidR="004B4E35" w:rsidRPr="00405303" w:rsidRDefault="009E6F82" w:rsidP="00C15251">
      <w:pPr>
        <w:jc w:val="both"/>
        <w:rPr>
          <w:bCs/>
          <w:color w:val="002060"/>
          <w:sz w:val="16"/>
          <w:szCs w:val="16"/>
        </w:rPr>
      </w:pPr>
      <w:r w:rsidRPr="00405303">
        <w:rPr>
          <w:bCs/>
          <w:color w:val="002060"/>
          <w:sz w:val="16"/>
          <w:szCs w:val="16"/>
        </w:rPr>
        <w:t xml:space="preserve">Что касается других удушающих веществ, то Химический комитет поставил следующие производства: </w:t>
      </w:r>
    </w:p>
    <w:p w14:paraId="1C53CA2C" w14:textId="77777777" w:rsidR="004B4E35" w:rsidRPr="00405303" w:rsidRDefault="009E6F82" w:rsidP="00C15251">
      <w:pPr>
        <w:jc w:val="both"/>
        <w:rPr>
          <w:bCs/>
          <w:color w:val="002060"/>
          <w:sz w:val="16"/>
          <w:szCs w:val="16"/>
        </w:rPr>
      </w:pPr>
      <w:r w:rsidRPr="00405303">
        <w:rPr>
          <w:bCs/>
          <w:color w:val="002060"/>
          <w:sz w:val="16"/>
          <w:szCs w:val="16"/>
        </w:rPr>
        <w:t xml:space="preserve">Хлорпикрин — производство было поставлено на семи заводах. Из них один казенный (Глобинский). По 1 октября 1916 г. изготовлено 21 000 пудов. </w:t>
      </w:r>
    </w:p>
    <w:p w14:paraId="557FAA2A" w14:textId="77777777" w:rsidR="004B4E35" w:rsidRPr="00405303" w:rsidRDefault="009E6F82" w:rsidP="00C15251">
      <w:pPr>
        <w:jc w:val="both"/>
        <w:rPr>
          <w:bCs/>
          <w:color w:val="002060"/>
          <w:sz w:val="16"/>
          <w:szCs w:val="16"/>
        </w:rPr>
      </w:pPr>
      <w:r w:rsidRPr="00405303">
        <w:rPr>
          <w:bCs/>
          <w:color w:val="002060"/>
          <w:sz w:val="16"/>
          <w:szCs w:val="16"/>
        </w:rPr>
        <w:t xml:space="preserve">Хлористый сульфурин и хлористый ангидрид — на одном заводе, до 1 октября 1916 г. выработано: первого 14 000 пудов, а второго 18 000 пудов. </w:t>
      </w:r>
    </w:p>
    <w:p w14:paraId="1DAFDF3B" w14:textId="77777777" w:rsidR="004B4E35" w:rsidRPr="00405303" w:rsidRDefault="009E6F82" w:rsidP="00C15251">
      <w:pPr>
        <w:jc w:val="both"/>
        <w:rPr>
          <w:bCs/>
          <w:color w:val="002060"/>
          <w:sz w:val="16"/>
          <w:szCs w:val="16"/>
        </w:rPr>
      </w:pPr>
      <w:r w:rsidRPr="00405303">
        <w:rPr>
          <w:bCs/>
          <w:color w:val="002060"/>
          <w:sz w:val="16"/>
          <w:szCs w:val="16"/>
        </w:rPr>
        <w:t xml:space="preserve">Хлорное олово — на одном заводе, до 1 октября 1916 г. выработано 14 000 пудов. </w:t>
      </w:r>
    </w:p>
    <w:p w14:paraId="7F13A954" w14:textId="77777777" w:rsidR="004B4E35" w:rsidRPr="00405303" w:rsidRDefault="009E6F82" w:rsidP="00C15251">
      <w:pPr>
        <w:jc w:val="both"/>
        <w:rPr>
          <w:bCs/>
          <w:color w:val="002060"/>
          <w:sz w:val="16"/>
          <w:szCs w:val="16"/>
        </w:rPr>
      </w:pPr>
      <w:r w:rsidRPr="00405303">
        <w:rPr>
          <w:bCs/>
          <w:color w:val="002060"/>
          <w:sz w:val="16"/>
          <w:szCs w:val="16"/>
        </w:rPr>
        <w:t xml:space="preserve">Цианистый калий — на одном заводе, за 1916 г. выработано 100 пудов. </w:t>
      </w:r>
    </w:p>
    <w:p w14:paraId="305405FC" w14:textId="77777777" w:rsidR="004B4E35" w:rsidRPr="00405303" w:rsidRDefault="009E6F82" w:rsidP="00C15251">
      <w:pPr>
        <w:jc w:val="both"/>
        <w:rPr>
          <w:bCs/>
          <w:color w:val="002060"/>
          <w:sz w:val="16"/>
          <w:szCs w:val="16"/>
        </w:rPr>
      </w:pPr>
      <w:r w:rsidRPr="00405303">
        <w:rPr>
          <w:bCs/>
          <w:color w:val="002060"/>
          <w:sz w:val="16"/>
          <w:szCs w:val="16"/>
        </w:rPr>
        <w:t xml:space="preserve">Хлороформ — на одном заводе, до 1 октября 1916 г. — 300 пудов. </w:t>
      </w:r>
    </w:p>
    <w:p w14:paraId="227661CD" w14:textId="77777777" w:rsidR="004B4E35" w:rsidRPr="00405303" w:rsidRDefault="009E6F82" w:rsidP="00C15251">
      <w:pPr>
        <w:jc w:val="both"/>
        <w:rPr>
          <w:bCs/>
          <w:color w:val="002060"/>
          <w:sz w:val="16"/>
          <w:szCs w:val="16"/>
        </w:rPr>
      </w:pPr>
      <w:r w:rsidRPr="00405303">
        <w:rPr>
          <w:bCs/>
          <w:color w:val="002060"/>
          <w:sz w:val="16"/>
          <w:szCs w:val="16"/>
        </w:rPr>
        <w:t xml:space="preserve">Хлористый мышьяк — на одном заводе, до 1 октября 1916 г. — 2000 пудов. </w:t>
      </w:r>
    </w:p>
    <w:p w14:paraId="3292B35D" w14:textId="77777777" w:rsidR="004B4E35" w:rsidRPr="00405303" w:rsidRDefault="009E6F82" w:rsidP="00C15251">
      <w:pPr>
        <w:jc w:val="both"/>
        <w:rPr>
          <w:bCs/>
          <w:color w:val="002060"/>
          <w:sz w:val="16"/>
          <w:szCs w:val="16"/>
        </w:rPr>
      </w:pPr>
      <w:r w:rsidRPr="00405303">
        <w:rPr>
          <w:bCs/>
          <w:color w:val="002060"/>
          <w:sz w:val="16"/>
          <w:szCs w:val="16"/>
        </w:rPr>
        <w:t xml:space="preserve">Для производства бромбензола было установлено, впервые в России, производство брома. </w:t>
      </w:r>
    </w:p>
    <w:p w14:paraId="40F7D1F9" w14:textId="77777777" w:rsidR="004B4E35" w:rsidRPr="00405303" w:rsidRDefault="009E6F82" w:rsidP="00C15251">
      <w:pPr>
        <w:jc w:val="both"/>
        <w:rPr>
          <w:bCs/>
          <w:color w:val="002060"/>
          <w:sz w:val="16"/>
          <w:szCs w:val="16"/>
        </w:rPr>
      </w:pPr>
      <w:r w:rsidRPr="00405303">
        <w:rPr>
          <w:bCs/>
          <w:color w:val="002060"/>
          <w:sz w:val="16"/>
          <w:szCs w:val="16"/>
        </w:rPr>
        <w:t xml:space="preserve">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 </w:t>
      </w:r>
    </w:p>
    <w:p w14:paraId="7E3F1977" w14:textId="77777777" w:rsidR="004B4E35" w:rsidRPr="00405303" w:rsidRDefault="009E6F82" w:rsidP="00C15251">
      <w:pPr>
        <w:jc w:val="both"/>
        <w:rPr>
          <w:bCs/>
          <w:color w:val="002060"/>
          <w:sz w:val="16"/>
          <w:szCs w:val="16"/>
        </w:rPr>
      </w:pPr>
      <w:r w:rsidRPr="00405303">
        <w:rPr>
          <w:bCs/>
          <w:color w:val="002060"/>
          <w:sz w:val="16"/>
          <w:szCs w:val="16"/>
        </w:rPr>
        <w:t xml:space="preserve">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 </w:t>
      </w:r>
    </w:p>
    <w:p w14:paraId="55C0EC88" w14:textId="77777777" w:rsidR="004B4E35" w:rsidRPr="00405303" w:rsidRDefault="009E6F82" w:rsidP="00C15251">
      <w:pPr>
        <w:jc w:val="both"/>
        <w:rPr>
          <w:bCs/>
          <w:color w:val="002060"/>
          <w:sz w:val="16"/>
          <w:szCs w:val="16"/>
        </w:rPr>
      </w:pPr>
      <w:r w:rsidRPr="00405303">
        <w:rPr>
          <w:bCs/>
          <w:color w:val="002060"/>
          <w:sz w:val="16"/>
          <w:szCs w:val="16"/>
        </w:rPr>
        <w:t xml:space="preserve">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 </w:t>
      </w:r>
    </w:p>
    <w:p w14:paraId="653EF273" w14:textId="77777777" w:rsidR="004B4E35" w:rsidRPr="00405303" w:rsidRDefault="009E6F82" w:rsidP="00C15251">
      <w:pPr>
        <w:jc w:val="both"/>
        <w:rPr>
          <w:bCs/>
          <w:color w:val="002060"/>
          <w:sz w:val="16"/>
          <w:szCs w:val="16"/>
        </w:rPr>
      </w:pPr>
      <w:r w:rsidRPr="00405303">
        <w:rPr>
          <w:bCs/>
          <w:color w:val="002060"/>
          <w:sz w:val="16"/>
          <w:szCs w:val="16"/>
        </w:rPr>
        <w:t xml:space="preserve">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 </w:t>
      </w:r>
    </w:p>
    <w:p w14:paraId="3AE805D6" w14:textId="77777777" w:rsidR="004B4E35" w:rsidRPr="00405303" w:rsidRDefault="009E6F82" w:rsidP="00C15251">
      <w:pPr>
        <w:jc w:val="both"/>
        <w:rPr>
          <w:bCs/>
          <w:color w:val="002060"/>
          <w:sz w:val="16"/>
          <w:szCs w:val="16"/>
        </w:rPr>
      </w:pPr>
      <w:r w:rsidRPr="00405303">
        <w:rPr>
          <w:bCs/>
          <w:color w:val="002060"/>
          <w:sz w:val="16"/>
          <w:szCs w:val="16"/>
        </w:rPr>
        <w:t xml:space="preserve">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 </w:t>
      </w:r>
    </w:p>
    <w:p w14:paraId="7234B755" w14:textId="77777777" w:rsidR="004B4E35" w:rsidRPr="00405303" w:rsidRDefault="009E6F82" w:rsidP="00C15251">
      <w:pPr>
        <w:jc w:val="both"/>
        <w:rPr>
          <w:bCs/>
          <w:color w:val="002060"/>
          <w:sz w:val="16"/>
          <w:szCs w:val="16"/>
        </w:rPr>
      </w:pPr>
      <w:r w:rsidRPr="00405303">
        <w:rPr>
          <w:bCs/>
          <w:color w:val="002060"/>
          <w:sz w:val="16"/>
          <w:szCs w:val="16"/>
        </w:rPr>
        <w:t xml:space="preserve">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w:t>
      </w:r>
    </w:p>
    <w:p w14:paraId="6B6A3ADA" w14:textId="77777777" w:rsidR="004B4E35" w:rsidRPr="00405303" w:rsidRDefault="009E6F82" w:rsidP="00C15251">
      <w:pPr>
        <w:jc w:val="both"/>
        <w:rPr>
          <w:bCs/>
          <w:color w:val="002060"/>
          <w:sz w:val="16"/>
          <w:szCs w:val="16"/>
        </w:rPr>
      </w:pPr>
      <w:r w:rsidRPr="00405303">
        <w:rPr>
          <w:bCs/>
          <w:color w:val="002060"/>
          <w:sz w:val="16"/>
          <w:szCs w:val="16"/>
        </w:rPr>
        <w:t xml:space="preserve">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w:t>
      </w:r>
      <w:r w:rsidRPr="00405303">
        <w:rPr>
          <w:bCs/>
          <w:color w:val="002060"/>
          <w:sz w:val="16"/>
          <w:szCs w:val="16"/>
        </w:rPr>
        <w:lastRenderedPageBreak/>
        <w:t>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6560AA84" w14:textId="77777777" w:rsidR="004B4E35" w:rsidRPr="00405303" w:rsidRDefault="009E6F82" w:rsidP="00C15251">
      <w:pPr>
        <w:jc w:val="both"/>
        <w:rPr>
          <w:bCs/>
          <w:color w:val="002060"/>
          <w:sz w:val="16"/>
          <w:szCs w:val="16"/>
        </w:rPr>
      </w:pPr>
      <w:r w:rsidRPr="00405303">
        <w:rPr>
          <w:bCs/>
          <w:color w:val="002060"/>
          <w:sz w:val="16"/>
          <w:szCs w:val="16"/>
        </w:rPr>
        <w:t xml:space="preserve">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487A6464" w14:textId="77777777" w:rsidR="004B4E35" w:rsidRPr="00405303" w:rsidRDefault="009E6F82" w:rsidP="00C15251">
      <w:pPr>
        <w:jc w:val="both"/>
        <w:rPr>
          <w:bCs/>
          <w:color w:val="002060"/>
          <w:sz w:val="16"/>
          <w:szCs w:val="16"/>
        </w:rPr>
      </w:pPr>
      <w:r w:rsidRPr="00405303">
        <w:rPr>
          <w:bCs/>
          <w:color w:val="002060"/>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1A6A3363" w14:textId="77777777" w:rsidR="004B4E35" w:rsidRPr="00405303" w:rsidRDefault="009E6F82" w:rsidP="00C15251">
      <w:pPr>
        <w:jc w:val="both"/>
        <w:rPr>
          <w:bCs/>
          <w:color w:val="002060"/>
          <w:sz w:val="16"/>
          <w:szCs w:val="16"/>
        </w:rPr>
      </w:pPr>
      <w:r w:rsidRPr="00405303">
        <w:rPr>
          <w:bCs/>
          <w:color w:val="002060"/>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77421562" w14:textId="77777777" w:rsidR="004B4E35" w:rsidRPr="00405303" w:rsidRDefault="009E6F82" w:rsidP="00C15251">
      <w:pPr>
        <w:jc w:val="both"/>
        <w:rPr>
          <w:bCs/>
          <w:color w:val="002060"/>
          <w:sz w:val="16"/>
          <w:szCs w:val="16"/>
        </w:rPr>
      </w:pPr>
      <w:r w:rsidRPr="00405303">
        <w:rPr>
          <w:bCs/>
          <w:color w:val="002060"/>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3D3B4830" w14:textId="77777777" w:rsidR="004B4E35" w:rsidRPr="00405303" w:rsidRDefault="004B4E35" w:rsidP="00C15251">
      <w:pPr>
        <w:jc w:val="both"/>
        <w:rPr>
          <w:bCs/>
          <w:i/>
          <w:color w:val="002060"/>
          <w:sz w:val="16"/>
          <w:szCs w:val="16"/>
        </w:rPr>
      </w:pPr>
    </w:p>
    <w:p w14:paraId="264D2F62"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7A1F8330" w14:textId="77777777" w:rsidR="004B4E35" w:rsidRPr="00405303" w:rsidRDefault="004B4E35" w:rsidP="00C15251">
      <w:pPr>
        <w:shd w:val="clear" w:color="auto" w:fill="FFFFFF"/>
        <w:jc w:val="both"/>
        <w:rPr>
          <w:bCs/>
          <w:i/>
          <w:color w:val="002060"/>
          <w:sz w:val="16"/>
          <w:szCs w:val="16"/>
        </w:rPr>
      </w:pPr>
    </w:p>
    <w:p w14:paraId="25F8B84F" w14:textId="6C25C172" w:rsidR="004B4E35" w:rsidRPr="00405303" w:rsidRDefault="009E6F82" w:rsidP="00C15251">
      <w:pPr>
        <w:jc w:val="both"/>
        <w:rPr>
          <w:bCs/>
          <w:color w:val="002060"/>
          <w:sz w:val="16"/>
          <w:szCs w:val="16"/>
        </w:rPr>
      </w:pPr>
      <w:r w:rsidRPr="00405303">
        <w:rPr>
          <w:bCs/>
          <w:color w:val="002060"/>
          <w:sz w:val="16"/>
          <w:szCs w:val="16"/>
        </w:rPr>
        <w:t xml:space="preserve">6 (19) февраля 1915 </w:t>
      </w:r>
      <w:r w:rsidR="00F37D70" w:rsidRPr="00405303">
        <w:rPr>
          <w:bCs/>
          <w:color w:val="002060"/>
          <w:sz w:val="16"/>
          <w:szCs w:val="16"/>
        </w:rPr>
        <w:t>т</w:t>
      </w:r>
      <w:r w:rsidRPr="00405303">
        <w:rPr>
          <w:bCs/>
          <w:color w:val="002060"/>
          <w:sz w:val="16"/>
          <w:szCs w:val="16"/>
        </w:rPr>
        <w:t>ри цеппелина по личному приказу кайзера отправились в Англию, но над Ютландом были застигнуты снежной бурей и повреждены (11999).</w:t>
      </w:r>
    </w:p>
    <w:p w14:paraId="51C36984" w14:textId="77777777" w:rsidR="004B4E35" w:rsidRPr="00405303" w:rsidRDefault="004B4E35" w:rsidP="00C15251">
      <w:pPr>
        <w:jc w:val="both"/>
        <w:rPr>
          <w:bCs/>
          <w:color w:val="002060"/>
          <w:sz w:val="16"/>
          <w:szCs w:val="16"/>
        </w:rPr>
      </w:pPr>
    </w:p>
    <w:p w14:paraId="50B3DD58" w14:textId="77777777" w:rsidR="000B6056" w:rsidRPr="00405303" w:rsidRDefault="000B6056" w:rsidP="00C15251">
      <w:pPr>
        <w:jc w:val="both"/>
        <w:rPr>
          <w:bCs/>
          <w:i/>
          <w:color w:val="002060"/>
          <w:sz w:val="16"/>
          <w:szCs w:val="16"/>
        </w:rPr>
      </w:pPr>
      <w:r w:rsidRPr="00405303">
        <w:rPr>
          <w:bCs/>
          <w:i/>
          <w:color w:val="002060"/>
          <w:sz w:val="16"/>
          <w:szCs w:val="16"/>
        </w:rPr>
        <w:t>За рубежом:</w:t>
      </w:r>
    </w:p>
    <w:p w14:paraId="1F3F647E" w14:textId="77777777" w:rsidR="000B6056" w:rsidRPr="00405303" w:rsidRDefault="000B6056" w:rsidP="00C15251">
      <w:pPr>
        <w:jc w:val="both"/>
        <w:rPr>
          <w:bCs/>
          <w:color w:val="002060"/>
          <w:sz w:val="16"/>
          <w:szCs w:val="16"/>
        </w:rPr>
      </w:pPr>
    </w:p>
    <w:p w14:paraId="5DFF0259" w14:textId="514AE900" w:rsidR="000B6056" w:rsidRPr="00405303" w:rsidRDefault="000B6056" w:rsidP="00C15251">
      <w:pPr>
        <w:jc w:val="both"/>
        <w:rPr>
          <w:bCs/>
          <w:color w:val="002060"/>
          <w:sz w:val="16"/>
          <w:szCs w:val="16"/>
        </w:rPr>
      </w:pPr>
      <w:r w:rsidRPr="00405303">
        <w:rPr>
          <w:bCs/>
          <w:color w:val="002060"/>
          <w:sz w:val="16"/>
          <w:szCs w:val="16"/>
        </w:rPr>
        <w:t xml:space="preserve">6 (19) февраля </w:t>
      </w:r>
      <w:r w:rsidR="00185B77" w:rsidRPr="00405303">
        <w:rPr>
          <w:bCs/>
          <w:color w:val="002060"/>
          <w:sz w:val="16"/>
          <w:szCs w:val="16"/>
        </w:rPr>
        <w:t xml:space="preserve">-28 декабря </w:t>
      </w:r>
      <w:r w:rsidRPr="00405303">
        <w:rPr>
          <w:bCs/>
          <w:color w:val="002060"/>
          <w:sz w:val="16"/>
          <w:szCs w:val="16"/>
        </w:rPr>
        <w:t>1915 год</w:t>
      </w:r>
      <w:r w:rsidR="00185B77" w:rsidRPr="00405303">
        <w:rPr>
          <w:bCs/>
          <w:color w:val="002060"/>
          <w:sz w:val="16"/>
          <w:szCs w:val="16"/>
        </w:rPr>
        <w:t>а</w:t>
      </w:r>
      <w:r w:rsidR="00F37D70" w:rsidRPr="00405303">
        <w:rPr>
          <w:bCs/>
          <w:color w:val="002060"/>
          <w:sz w:val="16"/>
          <w:szCs w:val="16"/>
        </w:rPr>
        <w:t xml:space="preserve"> </w:t>
      </w:r>
      <w:r w:rsidR="00185B77" w:rsidRPr="00405303">
        <w:rPr>
          <w:bCs/>
          <w:color w:val="002060"/>
          <w:sz w:val="16"/>
          <w:szCs w:val="16"/>
        </w:rPr>
        <w:t>(</w:t>
      </w:r>
      <w:r w:rsidR="00F37D70" w:rsidRPr="00405303">
        <w:rPr>
          <w:bCs/>
          <w:color w:val="002060"/>
          <w:sz w:val="16"/>
          <w:szCs w:val="16"/>
        </w:rPr>
        <w:t xml:space="preserve">9 января 1916 </w:t>
      </w:r>
      <w:r w:rsidR="00185B77" w:rsidRPr="00405303">
        <w:rPr>
          <w:bCs/>
          <w:color w:val="002060"/>
          <w:sz w:val="16"/>
          <w:szCs w:val="16"/>
        </w:rPr>
        <w:t xml:space="preserve">г.) </w:t>
      </w:r>
      <w:r w:rsidR="00F37D70" w:rsidRPr="00405303">
        <w:rPr>
          <w:bCs/>
          <w:color w:val="002060"/>
          <w:sz w:val="16"/>
          <w:szCs w:val="16"/>
        </w:rPr>
        <w:t xml:space="preserve">была </w:t>
      </w:r>
      <w:r w:rsidRPr="00405303">
        <w:rPr>
          <w:bCs/>
          <w:color w:val="002060"/>
          <w:sz w:val="16"/>
          <w:szCs w:val="16"/>
        </w:rPr>
        <w:t xml:space="preserve">Дарданелльская операция </w:t>
      </w:r>
      <w:r w:rsidR="00F37D70" w:rsidRPr="00405303">
        <w:rPr>
          <w:bCs/>
          <w:color w:val="002060"/>
          <w:sz w:val="16"/>
          <w:szCs w:val="16"/>
        </w:rPr>
        <w:t xml:space="preserve">- </w:t>
      </w:r>
      <w:r w:rsidRPr="00405303">
        <w:rPr>
          <w:bCs/>
          <w:color w:val="002060"/>
          <w:sz w:val="16"/>
          <w:szCs w:val="16"/>
        </w:rPr>
        <w:t>действия англо-французского флота и десантных войск с целью овладения Дарданеллами, Босфором и Константинополем, вывода Турции из войны и восстановления связи с Россией через Черное море. С 19 февраля англо-французская эскадра (11 линейных кораблей, линейный крейсер, 4 крейсера, 16 эсминцев и др., позже до 18 линейных кораблей, 12 крейсеров, 40 эсминцев и др.) бомбардировала турецкие форты, однако ее попытка прорваться 18 марта через проливы окончилась неудачей с потерей 3 кораблей. Тогда было решено захватить десантом. 25 апреля десант (4,5 дивизии — свыше 80 тысяч человек, 178 орудий) под командованием английского генерала Я. Гамильтона и французского генерала А. д"Амада, потеряв 18 тысяч человек, высадился на полуострове, у Седдюльбахира и севернее. Попытки расширить плацдарм остались безуспешными вследствие упорного сопротивления турецких войск (5 дивизий) под командованием немецкого генерала Лимана фон Сандерса. Наступательные действия англо-французских войск в апреле — июне также окончились неудачей. В начале августа союзники увеличили силы до 12 дивизий и 6—10 августа предприняли новое наступление и высадили 7 августа десант в бухте Сувла, но и эти удары были отражены турецкими войсками (15 дивизий). С 10 декабря 1915 по 9 января 1916 англо-французские войска были эвакуированы в Салоники для усиления Салоникского фронта. Потери союзников 145 тысяч человек., турок — 186 тысяч человек. Из-за плохой подготовки и неумелого руководства действиями, отсутствия единого командования и общего замысла, а также противоречий среди союзников Дарданелльская операция 1915 не достигла цели. Ее неудача способствовала вступлению Болгарии в войну на стороне (14 октября 1915) (15045).</w:t>
      </w:r>
    </w:p>
    <w:p w14:paraId="1B0A029A" w14:textId="77777777" w:rsidR="000B6056" w:rsidRPr="00405303" w:rsidRDefault="000B6056" w:rsidP="00C15251">
      <w:pPr>
        <w:jc w:val="both"/>
        <w:rPr>
          <w:bCs/>
          <w:color w:val="002060"/>
          <w:sz w:val="16"/>
          <w:szCs w:val="16"/>
        </w:rPr>
      </w:pPr>
    </w:p>
    <w:p w14:paraId="6A12817E"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62FEBDC6" w14:textId="77777777" w:rsidR="004B4E35" w:rsidRPr="00405303" w:rsidRDefault="004B4E35" w:rsidP="00C15251">
      <w:pPr>
        <w:jc w:val="both"/>
        <w:rPr>
          <w:bCs/>
          <w:i/>
          <w:color w:val="002060"/>
          <w:sz w:val="16"/>
          <w:szCs w:val="16"/>
        </w:rPr>
      </w:pPr>
    </w:p>
    <w:p w14:paraId="61C3508F" w14:textId="6BB372A6" w:rsidR="004B4E35" w:rsidRPr="00405303" w:rsidRDefault="009E6F82" w:rsidP="00C15251">
      <w:pPr>
        <w:jc w:val="both"/>
        <w:rPr>
          <w:bCs/>
          <w:color w:val="002060"/>
          <w:sz w:val="16"/>
          <w:szCs w:val="16"/>
        </w:rPr>
      </w:pPr>
      <w:r w:rsidRPr="00405303">
        <w:rPr>
          <w:bCs/>
          <w:color w:val="002060"/>
          <w:sz w:val="16"/>
          <w:szCs w:val="16"/>
        </w:rPr>
        <w:t xml:space="preserve">7 </w:t>
      </w:r>
      <w:r w:rsidR="00185B77" w:rsidRPr="00405303">
        <w:rPr>
          <w:bCs/>
          <w:color w:val="002060"/>
          <w:sz w:val="16"/>
          <w:szCs w:val="16"/>
        </w:rPr>
        <w:t xml:space="preserve">(20) </w:t>
      </w:r>
      <w:r w:rsidRPr="00405303">
        <w:rPr>
          <w:bCs/>
          <w:color w:val="002060"/>
          <w:sz w:val="16"/>
          <w:szCs w:val="16"/>
        </w:rPr>
        <w:t xml:space="preserve">февраля 1915 </w:t>
      </w:r>
      <w:r w:rsidR="00185B77" w:rsidRPr="00405303">
        <w:rPr>
          <w:bCs/>
          <w:color w:val="002060"/>
          <w:sz w:val="16"/>
          <w:szCs w:val="16"/>
        </w:rPr>
        <w:t xml:space="preserve">как бы в ответ на удаление из крепости опытных «зенитчиков», </w:t>
      </w:r>
      <w:r w:rsidRPr="00405303">
        <w:rPr>
          <w:bCs/>
          <w:color w:val="002060"/>
          <w:sz w:val="16"/>
          <w:szCs w:val="16"/>
        </w:rPr>
        <w:t>аэроплан противника сбросил четыре бомбы на кварталы Нового Света и на Александровский парк (Прага)</w:t>
      </w:r>
      <w:r w:rsidR="00185B77" w:rsidRPr="00405303">
        <w:rPr>
          <w:bCs/>
          <w:color w:val="002060"/>
          <w:sz w:val="16"/>
          <w:szCs w:val="16"/>
        </w:rPr>
        <w:t xml:space="preserve"> Варшавы</w:t>
      </w:r>
      <w:r w:rsidRPr="00405303">
        <w:rPr>
          <w:bCs/>
          <w:color w:val="002060"/>
          <w:sz w:val="16"/>
          <w:szCs w:val="16"/>
        </w:rPr>
        <w:t>, к счастью, без человеческих жертв. Новые воздушные атаки последовали 14 (27) и 16 (2 марта) февраля, причем вновь противник применил дирижабль, сбросивший в разных местах города 11 бомб. Целью были мосты через Вислу; интенсивный огонь батарей не дал возможности для прицельного бомбометания.</w:t>
      </w:r>
    </w:p>
    <w:p w14:paraId="1CF672EA" w14:textId="77777777" w:rsidR="004B4E35" w:rsidRPr="00405303" w:rsidRDefault="004B4E35" w:rsidP="00C15251">
      <w:pPr>
        <w:jc w:val="both"/>
        <w:rPr>
          <w:bCs/>
          <w:i/>
          <w:color w:val="002060"/>
          <w:sz w:val="16"/>
          <w:szCs w:val="16"/>
        </w:rPr>
      </w:pPr>
    </w:p>
    <w:p w14:paraId="35A3433D"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535758E5" w14:textId="77777777" w:rsidR="004B4E35" w:rsidRPr="00405303" w:rsidRDefault="004B4E35" w:rsidP="00C15251">
      <w:pPr>
        <w:jc w:val="both"/>
        <w:rPr>
          <w:bCs/>
          <w:i/>
          <w:color w:val="002060"/>
          <w:sz w:val="16"/>
          <w:szCs w:val="16"/>
        </w:rPr>
      </w:pPr>
    </w:p>
    <w:p w14:paraId="58FA2BF2" w14:textId="2E342054" w:rsidR="004B4E35" w:rsidRPr="00405303" w:rsidRDefault="009E6F82" w:rsidP="00C15251">
      <w:pPr>
        <w:jc w:val="both"/>
        <w:rPr>
          <w:bCs/>
          <w:color w:val="002060"/>
          <w:sz w:val="16"/>
          <w:szCs w:val="16"/>
        </w:rPr>
      </w:pPr>
      <w:r w:rsidRPr="00405303">
        <w:rPr>
          <w:bCs/>
          <w:color w:val="002060"/>
          <w:sz w:val="16"/>
          <w:szCs w:val="16"/>
        </w:rPr>
        <w:t xml:space="preserve">7 </w:t>
      </w:r>
      <w:r w:rsidR="00185B77" w:rsidRPr="00405303">
        <w:rPr>
          <w:bCs/>
          <w:color w:val="002060"/>
          <w:sz w:val="16"/>
          <w:szCs w:val="16"/>
        </w:rPr>
        <w:t xml:space="preserve">(2) </w:t>
      </w:r>
      <w:r w:rsidRPr="00405303">
        <w:rPr>
          <w:bCs/>
          <w:color w:val="002060"/>
          <w:sz w:val="16"/>
          <w:szCs w:val="16"/>
        </w:rPr>
        <w:t xml:space="preserve">февраля 1915 года </w:t>
      </w:r>
      <w:r w:rsidR="00185B77" w:rsidRPr="00405303">
        <w:rPr>
          <w:bCs/>
          <w:color w:val="002060"/>
          <w:sz w:val="16"/>
          <w:szCs w:val="16"/>
        </w:rPr>
        <w:t xml:space="preserve">приказом по флоту и морскому ведомству за № 43 </w:t>
      </w:r>
      <w:r w:rsidRPr="00405303">
        <w:rPr>
          <w:bCs/>
          <w:color w:val="002060"/>
          <w:sz w:val="16"/>
          <w:szCs w:val="16"/>
        </w:rPr>
        <w:t xml:space="preserve">император Николай II повелел зачислить пароход в класс учебных судов и присвоить ему наименование «Орлица». Адмиралтейств-Совет своим постановлением от 12 февраля присвоил ей II ранг судов флота. Можно предположить, что в класс учебных судов «Орлицу» зачислили скорее ради маскировки ее истинного назначения. В документах «Орлицу» называли авиационной базой, авиационным судном, авиатранспортом и даже авиационной баржей. </w:t>
      </w:r>
    </w:p>
    <w:p w14:paraId="1074CC31" w14:textId="77777777" w:rsidR="004B4E35" w:rsidRPr="00405303" w:rsidRDefault="009E6F82" w:rsidP="00C15251">
      <w:pPr>
        <w:jc w:val="both"/>
        <w:rPr>
          <w:bCs/>
          <w:color w:val="002060"/>
          <w:sz w:val="16"/>
          <w:szCs w:val="16"/>
        </w:rPr>
      </w:pPr>
      <w:r w:rsidRPr="00405303">
        <w:rPr>
          <w:bCs/>
          <w:color w:val="002060"/>
          <w:sz w:val="16"/>
          <w:szCs w:val="16"/>
        </w:rPr>
        <w:t xml:space="preserve">Согласно боевому расписанию 1915 года «Орлицу» предполагалось использовать «при Службе связи» Балтийского моря. Судно должно было нести четыре гидросамолета в готовом к спуску виде и четыре запасных — в состоянии четырехчасовой готовности. </w:t>
      </w:r>
    </w:p>
    <w:p w14:paraId="6BCA2F24" w14:textId="77777777" w:rsidR="004B4E35" w:rsidRPr="00405303" w:rsidRDefault="009E6F82" w:rsidP="00C15251">
      <w:pPr>
        <w:jc w:val="both"/>
        <w:rPr>
          <w:bCs/>
          <w:color w:val="002060"/>
          <w:sz w:val="16"/>
          <w:szCs w:val="16"/>
        </w:rPr>
      </w:pPr>
      <w:r w:rsidRPr="00405303">
        <w:rPr>
          <w:bCs/>
          <w:color w:val="002060"/>
          <w:sz w:val="16"/>
          <w:szCs w:val="16"/>
        </w:rPr>
        <w:t xml:space="preserve">Работы по переоборудованию судна под «авиационную базу» заключались в следующем. Изготовили новую ходовую рубку с закрытым штурвалом, помещением для карт и штурманской каютой. Установили главный и второй путевой компасы и второй штурвал, крылья мостика передвинули в корму на 3,5 м. Укоротили командирскую рубку, оставив в ней два салона. Лобовую стенку носовой надстройки и носовую часть шлюпочной палубы сдвинули в корму на 4,8 м, промежуток между носовой и средней надстройками (8,8 м) сверху и с бортов зашили стальными листами. На шлюпочной палубе установили рубку для радиотелеграфа (системы морского ведомства образца 1913 года), четыре шлюпбалки для двух 10,7-метровых моторных катеров, подкрепления под четыре 75-мм орудия Канэ. </w:t>
      </w:r>
    </w:p>
    <w:p w14:paraId="467F72E3" w14:textId="77777777" w:rsidR="004B4E35" w:rsidRPr="00405303" w:rsidRDefault="009E6F82" w:rsidP="00C15251">
      <w:pPr>
        <w:jc w:val="both"/>
        <w:rPr>
          <w:bCs/>
          <w:color w:val="002060"/>
          <w:sz w:val="16"/>
          <w:szCs w:val="16"/>
        </w:rPr>
      </w:pPr>
      <w:r w:rsidRPr="00405303">
        <w:rPr>
          <w:bCs/>
          <w:color w:val="002060"/>
          <w:sz w:val="16"/>
          <w:szCs w:val="16"/>
        </w:rPr>
        <w:t xml:space="preserve">В новой обширной средней надстройке смонтировали шахты для погрузки угля и провизии, разместили каюты для 11 офицеров, кают-компанию с буфетной и две канцелярии. Все комингсы грузовых люков на верхней палубе срезали до высоты 0,3 м; второй грузовой люк удлинили на пять шпаций. Снесли кормовую рубку, установили легкую палубу площадью около 320 м2, поддерживаемую пиллерсами. Для спуска и подъема гидросамолетов смонтировали четыре облегченные поворотные стрелы с передвигающимися по ним тельферными тележками грузоподъемностью 1,5 т каждая, для хранения машин на верхней палубе установили кильблоки. Импровизированные носовой и кормовой ангары (на два гидросамолета типа FBA каждый) с бортов прикрыли брезентовыми стенами. Для извлечения самолета из ангара брезент закатывался кверху, стойки убирались, а поручни клались на палубу. Самолет поднимался горденем доверху, а затем тележка с подъемным блоком, через который проходил гордень, передвигалась по стреле для установки машины на кильблоки; спуск на воду выполнялся в обратном порядке. Все четыре гидросамолета поднимались на борт за 20 мин, спуск занимал 12 мин. </w:t>
      </w:r>
    </w:p>
    <w:p w14:paraId="22673D37" w14:textId="77777777" w:rsidR="004B4E35" w:rsidRPr="00405303" w:rsidRDefault="009E6F82" w:rsidP="00C15251">
      <w:pPr>
        <w:jc w:val="both"/>
        <w:rPr>
          <w:bCs/>
          <w:color w:val="002060"/>
          <w:sz w:val="16"/>
          <w:szCs w:val="16"/>
        </w:rPr>
      </w:pPr>
      <w:r w:rsidRPr="00405303">
        <w:rPr>
          <w:bCs/>
          <w:color w:val="002060"/>
          <w:sz w:val="16"/>
          <w:szCs w:val="16"/>
        </w:rPr>
        <w:t xml:space="preserve">В конструкцию верхней палубы и полубака ввели подкрепления для установки четырех 75-мм орудий. Под палубой полубака устроили помещения для десяти кондукторов с кают-компанией, камбуз, хлебопекарню, умывальник и гальюны для команды. В твиндеке оборудовали жилые помещения для 132 матросов, баню и </w:t>
      </w:r>
      <w:r w:rsidRPr="00405303">
        <w:rPr>
          <w:bCs/>
          <w:color w:val="002060"/>
          <w:sz w:val="16"/>
          <w:szCs w:val="16"/>
        </w:rPr>
        <w:lastRenderedPageBreak/>
        <w:t xml:space="preserve">прачечную. В бывших каютах 1 -го класса снесли все переборки и устроили лазарет в составе общей палаты на шесть коек, изолятора (две койки), операционной, ванной, аптеки и каюты фельдшера. Там же разместили каюты для доктора, священника, инженера и фотолабораторию. </w:t>
      </w:r>
    </w:p>
    <w:p w14:paraId="6DA43D25" w14:textId="77777777" w:rsidR="004B4E35" w:rsidRPr="00405303" w:rsidRDefault="009E6F82" w:rsidP="00C15251">
      <w:pPr>
        <w:jc w:val="both"/>
        <w:rPr>
          <w:bCs/>
          <w:color w:val="002060"/>
          <w:sz w:val="16"/>
          <w:szCs w:val="16"/>
        </w:rPr>
      </w:pPr>
      <w:r w:rsidRPr="00405303">
        <w:rPr>
          <w:bCs/>
          <w:color w:val="002060"/>
          <w:sz w:val="16"/>
          <w:szCs w:val="16"/>
        </w:rPr>
        <w:t xml:space="preserve">На главной палубе деревянные переборки заменили металлическими и оборудовали мастерские. В сборочной и пригоночной мастерских смонтировали оборудование для ремонта авиамоторов (два сборочных стола, два чана для промывки деталей и слесарный верстак с четырьмя тисками). В слесарной мастерской установили два токарных, револьверный, фрезерный, два сверлильных станка, правильную доску, точило и верстак с четырьмя тисками. Сварочную мастерскую оборудовали столом и приборами для ацетиленовой сварки и резки. В столярной мастерской установили ленточную и циркулярную пилы, фуговально-строгальный, фрезерный, выпиловочный, сверлильный и токарный станки, два точила и четыре верстака. Кузнечную мастерскую снабдили горном с вентиляторным наддувом. Кроме того, оборудовали литейную мастерскую, две сушильные камеры — обыкновенную и для склейки деревянных деталей, камеру для распарки досок. Оборудование мастерских позволяло выполнять средний ремонт самолетов, в частности, обтяжку полотном несущих плоскостей. </w:t>
      </w:r>
    </w:p>
    <w:p w14:paraId="50CAB04C" w14:textId="77777777" w:rsidR="004B4E35" w:rsidRPr="00405303" w:rsidRDefault="009E6F82" w:rsidP="00C15251">
      <w:pPr>
        <w:jc w:val="both"/>
        <w:rPr>
          <w:bCs/>
          <w:color w:val="002060"/>
          <w:sz w:val="16"/>
          <w:szCs w:val="16"/>
        </w:rPr>
      </w:pPr>
      <w:r w:rsidRPr="00405303">
        <w:rPr>
          <w:bCs/>
          <w:color w:val="002060"/>
          <w:sz w:val="16"/>
          <w:szCs w:val="16"/>
        </w:rPr>
        <w:t xml:space="preserve">В дополнение к штатной динамо-машине (в машинном отделении) рядом с мастерскими установили керосинодинамо-машину мощностью около 25 кВт и напряжением 110В, все помещения оборудовали электроосвещением. В мастерских и жилых помещениях провели систему парового отопления. Для естественного освещения и вентиляции в бортах установили 40 иллюминаторов. </w:t>
      </w:r>
    </w:p>
    <w:p w14:paraId="0ADA3731" w14:textId="77777777" w:rsidR="004B4E35" w:rsidRPr="00405303" w:rsidRDefault="009E6F82" w:rsidP="00C15251">
      <w:pPr>
        <w:jc w:val="both"/>
        <w:rPr>
          <w:bCs/>
          <w:color w:val="002060"/>
          <w:sz w:val="16"/>
          <w:szCs w:val="16"/>
        </w:rPr>
      </w:pPr>
      <w:r w:rsidRPr="00405303">
        <w:rPr>
          <w:bCs/>
          <w:color w:val="002060"/>
          <w:sz w:val="16"/>
          <w:szCs w:val="16"/>
        </w:rPr>
        <w:t xml:space="preserve">В трюмах устроили два патронных погреба на 2500 75-мм патронов, а также один бомбовый погреб на 200 12,4-кг авиабомб. Сделали выгородку для хранения пятого самолета в разобранном виде. Оборудовали две пожаробезопасные цистерны для авиабензина по 3,28 т каждая и две для керосина (по 4.92 т), а также кладовые для смазочного масла и авиационного имущества. Бензин по трубопроводам под давлением подавался в сборочную мастерскую и к гидросамолетам, а керосин — к катерам и в чаны сборочной мастерской. На крыше ходовой рубки и легком настиле у гакаборта установили два 75-см прожектора. </w:t>
      </w:r>
    </w:p>
    <w:p w14:paraId="708415A2" w14:textId="77777777" w:rsidR="004B4E35" w:rsidRPr="00405303" w:rsidRDefault="009E6F82" w:rsidP="00C15251">
      <w:pPr>
        <w:jc w:val="both"/>
        <w:rPr>
          <w:bCs/>
          <w:color w:val="002060"/>
          <w:sz w:val="16"/>
          <w:szCs w:val="16"/>
        </w:rPr>
      </w:pPr>
      <w:r w:rsidRPr="00405303">
        <w:rPr>
          <w:bCs/>
          <w:color w:val="002060"/>
          <w:sz w:val="16"/>
          <w:szCs w:val="16"/>
        </w:rPr>
        <w:t>Специалисты Путиловской верфи выполнили ремонт обоих главных котлов и вспомогательных механизмов. Подкрепили поперечные переборки, три из них довели до верхней палубы. Оборудовали кладовые — провизионные и для хранения больших и малых матросских чемоданов. Переделали существующие трапы, некоторые перенесли на другие места, установили ряд новых. Между мачтами смонтировали радиоантенну, фока-реи оборудовали для производства флажной сигнализации. Бронирование не предусматривалось, но над машинным и котельным отделениями растянули противосамолетную сеть для срабатывания взрывателей авиабомб и их взрыва над надстройками (11333).</w:t>
      </w:r>
    </w:p>
    <w:p w14:paraId="163EE8F5" w14:textId="77777777" w:rsidR="004B4E35" w:rsidRPr="00405303" w:rsidRDefault="004B4E35" w:rsidP="00C15251">
      <w:pPr>
        <w:shd w:val="clear" w:color="auto" w:fill="FFFFFF"/>
        <w:jc w:val="both"/>
        <w:rPr>
          <w:bCs/>
          <w:i/>
          <w:color w:val="002060"/>
          <w:sz w:val="16"/>
          <w:szCs w:val="16"/>
        </w:rPr>
      </w:pPr>
    </w:p>
    <w:p w14:paraId="6C16E032" w14:textId="498EB703" w:rsidR="00977D3E" w:rsidRPr="00405303" w:rsidRDefault="00977D3E" w:rsidP="00C15251">
      <w:pPr>
        <w:pStyle w:val="a5"/>
        <w:rPr>
          <w:bCs/>
          <w:color w:val="002060"/>
          <w:sz w:val="16"/>
          <w:szCs w:val="16"/>
          <w:lang w:val="ru-RU"/>
        </w:rPr>
      </w:pPr>
      <w:r w:rsidRPr="00405303">
        <w:rPr>
          <w:bCs/>
          <w:color w:val="002060"/>
          <w:sz w:val="16"/>
          <w:szCs w:val="16"/>
          <w:lang w:val="ru-RU"/>
        </w:rPr>
        <w:t xml:space="preserve">7 </w:t>
      </w:r>
      <w:r w:rsidR="00185B77" w:rsidRPr="00405303">
        <w:rPr>
          <w:bCs/>
          <w:color w:val="002060"/>
          <w:sz w:val="16"/>
          <w:szCs w:val="16"/>
          <w:lang w:val="ru-RU"/>
        </w:rPr>
        <w:t xml:space="preserve">(20) </w:t>
      </w:r>
      <w:r w:rsidRPr="00405303">
        <w:rPr>
          <w:bCs/>
          <w:color w:val="002060"/>
          <w:sz w:val="16"/>
          <w:szCs w:val="16"/>
          <w:lang w:val="ru-RU"/>
        </w:rPr>
        <w:t xml:space="preserve">февраля 1915 г. </w:t>
      </w:r>
      <w:r w:rsidR="00185B77" w:rsidRPr="00405303">
        <w:rPr>
          <w:bCs/>
          <w:color w:val="002060"/>
          <w:sz w:val="16"/>
          <w:szCs w:val="16"/>
          <w:lang w:val="ru-RU"/>
        </w:rPr>
        <w:t xml:space="preserve">Приказом по флоту и морскому ведомству за № 43 </w:t>
      </w:r>
      <w:r w:rsidRPr="00405303">
        <w:rPr>
          <w:bCs/>
          <w:color w:val="002060"/>
          <w:sz w:val="16"/>
          <w:szCs w:val="16"/>
          <w:lang w:val="ru-RU"/>
        </w:rPr>
        <w:t xml:space="preserve">император Николай </w:t>
      </w:r>
      <w:r w:rsidRPr="00405303">
        <w:rPr>
          <w:bCs/>
          <w:color w:val="002060"/>
          <w:sz w:val="16"/>
          <w:szCs w:val="16"/>
        </w:rPr>
        <w:t>II</w:t>
      </w:r>
      <w:r w:rsidRPr="00405303">
        <w:rPr>
          <w:bCs/>
          <w:color w:val="002060"/>
          <w:sz w:val="16"/>
          <w:szCs w:val="16"/>
          <w:lang w:val="ru-RU"/>
        </w:rPr>
        <w:t xml:space="preserve"> пове</w:t>
      </w:r>
      <w:r w:rsidRPr="00405303">
        <w:rPr>
          <w:bCs/>
          <w:color w:val="002060"/>
          <w:sz w:val="16"/>
          <w:szCs w:val="16"/>
          <w:lang w:val="ru-RU"/>
        </w:rPr>
        <w:softHyphen/>
        <w:t>лел зачислить пароход в класс учеб</w:t>
      </w:r>
      <w:r w:rsidRPr="00405303">
        <w:rPr>
          <w:bCs/>
          <w:color w:val="002060"/>
          <w:sz w:val="16"/>
          <w:szCs w:val="16"/>
          <w:lang w:val="ru-RU"/>
        </w:rPr>
        <w:softHyphen/>
        <w:t>ных судов и присвоить ему наиме</w:t>
      </w:r>
      <w:r w:rsidRPr="00405303">
        <w:rPr>
          <w:bCs/>
          <w:color w:val="002060"/>
          <w:sz w:val="16"/>
          <w:szCs w:val="16"/>
          <w:lang w:val="ru-RU"/>
        </w:rPr>
        <w:softHyphen/>
        <w:t>нование «Орлица». В документах «Орлицу» называли авиационной базой, авиационным судном, авиа</w:t>
      </w:r>
      <w:r w:rsidRPr="00405303">
        <w:rPr>
          <w:bCs/>
          <w:color w:val="002060"/>
          <w:sz w:val="16"/>
          <w:szCs w:val="16"/>
          <w:lang w:val="ru-RU"/>
        </w:rPr>
        <w:softHyphen/>
        <w:t>транспортом. Согласно боевому расписанию 1915 г. «Орлицу» пред</w:t>
      </w:r>
      <w:r w:rsidRPr="00405303">
        <w:rPr>
          <w:bCs/>
          <w:color w:val="002060"/>
          <w:sz w:val="16"/>
          <w:szCs w:val="16"/>
          <w:lang w:val="ru-RU"/>
        </w:rPr>
        <w:softHyphen/>
        <w:t>полагалось использовать «при Службе связи» Балтийского моря. Судно должно было нести четыре гидросамолета в готовом к спуску виде и четыре запасных в состоя</w:t>
      </w:r>
      <w:r w:rsidRPr="00405303">
        <w:rPr>
          <w:bCs/>
          <w:color w:val="002060"/>
          <w:sz w:val="16"/>
          <w:szCs w:val="16"/>
          <w:lang w:val="ru-RU"/>
        </w:rPr>
        <w:softHyphen/>
        <w:t>нии четырехчасовой готовности.</w:t>
      </w:r>
    </w:p>
    <w:p w14:paraId="44A3CCC2" w14:textId="77777777" w:rsidR="00977D3E" w:rsidRPr="00405303" w:rsidRDefault="00977D3E" w:rsidP="00C15251">
      <w:pPr>
        <w:pStyle w:val="a5"/>
        <w:rPr>
          <w:bCs/>
          <w:color w:val="002060"/>
          <w:sz w:val="16"/>
          <w:szCs w:val="16"/>
          <w:lang w:val="ru-RU"/>
        </w:rPr>
      </w:pPr>
      <w:r w:rsidRPr="00405303">
        <w:rPr>
          <w:bCs/>
          <w:color w:val="002060"/>
          <w:sz w:val="16"/>
          <w:szCs w:val="16"/>
          <w:lang w:val="ru-RU"/>
        </w:rPr>
        <w:t>В процессе переоборудования на «Орлице» смонтировали четы</w:t>
      </w:r>
      <w:r w:rsidRPr="00405303">
        <w:rPr>
          <w:bCs/>
          <w:color w:val="002060"/>
          <w:sz w:val="16"/>
          <w:szCs w:val="16"/>
          <w:lang w:val="ru-RU"/>
        </w:rPr>
        <w:softHyphen/>
        <w:t>ре облегчённые поворотные стре</w:t>
      </w:r>
      <w:r w:rsidRPr="00405303">
        <w:rPr>
          <w:bCs/>
          <w:color w:val="002060"/>
          <w:sz w:val="16"/>
          <w:szCs w:val="16"/>
          <w:lang w:val="ru-RU"/>
        </w:rPr>
        <w:softHyphen/>
        <w:t>лы для подъёма и спуска самолё</w:t>
      </w:r>
      <w:r w:rsidRPr="00405303">
        <w:rPr>
          <w:bCs/>
          <w:color w:val="002060"/>
          <w:sz w:val="16"/>
          <w:szCs w:val="16"/>
          <w:lang w:val="ru-RU"/>
        </w:rPr>
        <w:softHyphen/>
        <w:t>тов, кильблоки (подставка для уста</w:t>
      </w:r>
      <w:r w:rsidRPr="00405303">
        <w:rPr>
          <w:bCs/>
          <w:color w:val="002060"/>
          <w:sz w:val="16"/>
          <w:szCs w:val="16"/>
          <w:lang w:val="ru-RU"/>
        </w:rPr>
        <w:softHyphen/>
        <w:t>новки гидросамолёта), импровизи</w:t>
      </w:r>
      <w:r w:rsidRPr="00405303">
        <w:rPr>
          <w:bCs/>
          <w:color w:val="002060"/>
          <w:sz w:val="16"/>
          <w:szCs w:val="16"/>
          <w:lang w:val="ru-RU"/>
        </w:rPr>
        <w:softHyphen/>
        <w:t>рованные носовой и кормовой ангары на два гидросамолета (типа ФБА) каждый, прикрытые с бортов брезентовыми обвесами. Для извле</w:t>
      </w:r>
      <w:r w:rsidRPr="00405303">
        <w:rPr>
          <w:bCs/>
          <w:color w:val="002060"/>
          <w:sz w:val="16"/>
          <w:szCs w:val="16"/>
          <w:lang w:val="ru-RU"/>
        </w:rPr>
        <w:softHyphen/>
        <w:t>чения самолета из ангара брезент закатывался кверху, стойки завали</w:t>
      </w:r>
      <w:r w:rsidRPr="00405303">
        <w:rPr>
          <w:bCs/>
          <w:color w:val="002060"/>
          <w:sz w:val="16"/>
          <w:szCs w:val="16"/>
          <w:lang w:val="ru-RU"/>
        </w:rPr>
        <w:softHyphen/>
        <w:t>вались. Четыре гидросамолета под</w:t>
      </w:r>
      <w:r w:rsidRPr="00405303">
        <w:rPr>
          <w:bCs/>
          <w:color w:val="002060"/>
          <w:sz w:val="16"/>
          <w:szCs w:val="16"/>
          <w:lang w:val="ru-RU"/>
        </w:rPr>
        <w:softHyphen/>
        <w:t>нимались на борт за 20 мин, спуск занимал 12 мин. В конструкцию верхней палубы и полубака ввели подкрепления для установки орудий. Кроме того, было смонтировано оборудование и верстак для ремон</w:t>
      </w:r>
      <w:r w:rsidRPr="00405303">
        <w:rPr>
          <w:bCs/>
          <w:color w:val="002060"/>
          <w:sz w:val="16"/>
          <w:szCs w:val="16"/>
          <w:lang w:val="ru-RU"/>
        </w:rPr>
        <w:softHyphen/>
        <w:t>та авиамоторов, установили два токарных, револьверный, фрезер</w:t>
      </w:r>
      <w:r w:rsidRPr="00405303">
        <w:rPr>
          <w:bCs/>
          <w:color w:val="002060"/>
          <w:sz w:val="16"/>
          <w:szCs w:val="16"/>
          <w:lang w:val="ru-RU"/>
        </w:rPr>
        <w:softHyphen/>
        <w:t>ный, два сверлильных станка и дру</w:t>
      </w:r>
      <w:r w:rsidRPr="00405303">
        <w:rPr>
          <w:bCs/>
          <w:color w:val="002060"/>
          <w:sz w:val="16"/>
          <w:szCs w:val="16"/>
          <w:lang w:val="ru-RU"/>
        </w:rPr>
        <w:softHyphen/>
        <w:t>гое оборудование для ремонта самолётов. В трюмах устроили два артиллерийских погреба для сна</w:t>
      </w:r>
      <w:r w:rsidRPr="00405303">
        <w:rPr>
          <w:bCs/>
          <w:color w:val="002060"/>
          <w:sz w:val="16"/>
          <w:szCs w:val="16"/>
          <w:lang w:val="ru-RU"/>
        </w:rPr>
        <w:softHyphen/>
        <w:t>рядов, авиабомб калибра 12,4-кг, две цистерны для бензина по 3,28 т (бензин по трубопроводам под дав</w:t>
      </w:r>
      <w:r w:rsidRPr="00405303">
        <w:rPr>
          <w:bCs/>
          <w:color w:val="002060"/>
          <w:sz w:val="16"/>
          <w:szCs w:val="16"/>
          <w:lang w:val="ru-RU"/>
        </w:rPr>
        <w:softHyphen/>
        <w:t>лением подавался в сборочную мастерскую и к гидросамолетам), кладовые для авиационного масла и другого имущества. На крыше ходовой рубки и легком настиле у гакаборта установили два 75-см прожектора. Вооружение «Орлицы» состояло из шести орудий калибра 75 мм и четырёх пулеметов.</w:t>
      </w:r>
    </w:p>
    <w:p w14:paraId="5AF30C36" w14:textId="77777777" w:rsidR="00977D3E" w:rsidRPr="00405303" w:rsidRDefault="00977D3E" w:rsidP="00C15251">
      <w:pPr>
        <w:pStyle w:val="a5"/>
        <w:rPr>
          <w:bCs/>
          <w:color w:val="002060"/>
          <w:sz w:val="16"/>
          <w:szCs w:val="16"/>
          <w:lang w:val="ru-RU"/>
        </w:rPr>
      </w:pPr>
      <w:r w:rsidRPr="00405303">
        <w:rPr>
          <w:bCs/>
          <w:color w:val="002060"/>
          <w:sz w:val="16"/>
          <w:szCs w:val="16"/>
          <w:lang w:val="ru-RU"/>
        </w:rPr>
        <w:t>20 апреля 1915 года судно офи</w:t>
      </w:r>
      <w:r w:rsidRPr="00405303">
        <w:rPr>
          <w:bCs/>
          <w:color w:val="002060"/>
          <w:sz w:val="16"/>
          <w:szCs w:val="16"/>
          <w:lang w:val="ru-RU"/>
        </w:rPr>
        <w:softHyphen/>
        <w:t>циально зачислили в состав Служ</w:t>
      </w:r>
      <w:r w:rsidRPr="00405303">
        <w:rPr>
          <w:bCs/>
          <w:color w:val="002060"/>
          <w:sz w:val="16"/>
          <w:szCs w:val="16"/>
          <w:lang w:val="ru-RU"/>
        </w:rPr>
        <w:softHyphen/>
        <w:t>бы связи Балтийского моря, и 15 мая оно начало кампанию. Одна</w:t>
      </w:r>
      <w:r w:rsidRPr="00405303">
        <w:rPr>
          <w:bCs/>
          <w:color w:val="002060"/>
          <w:sz w:val="16"/>
          <w:szCs w:val="16"/>
          <w:lang w:val="ru-RU"/>
        </w:rPr>
        <w:softHyphen/>
        <w:t>ко мелкие работы на «Орлице» вы</w:t>
      </w:r>
      <w:r w:rsidRPr="00405303">
        <w:rPr>
          <w:bCs/>
          <w:color w:val="002060"/>
          <w:sz w:val="16"/>
          <w:szCs w:val="16"/>
          <w:lang w:val="ru-RU"/>
        </w:rPr>
        <w:softHyphen/>
        <w:t>полнялись вплоть до ноября 1915 г., даже в период ее участия в боевых действиях.</w:t>
      </w:r>
    </w:p>
    <w:p w14:paraId="39285660" w14:textId="77777777" w:rsidR="00977D3E" w:rsidRPr="00405303" w:rsidRDefault="00977D3E" w:rsidP="00C15251">
      <w:pPr>
        <w:pStyle w:val="a5"/>
        <w:rPr>
          <w:bCs/>
          <w:color w:val="002060"/>
          <w:sz w:val="16"/>
          <w:szCs w:val="16"/>
          <w:lang w:val="ru-RU"/>
        </w:rPr>
      </w:pPr>
      <w:r w:rsidRPr="00405303">
        <w:rPr>
          <w:bCs/>
          <w:color w:val="002060"/>
          <w:sz w:val="16"/>
          <w:szCs w:val="16"/>
          <w:lang w:val="ru-RU"/>
        </w:rPr>
        <w:t>Несколько расширенное описа</w:t>
      </w:r>
      <w:r w:rsidRPr="00405303">
        <w:rPr>
          <w:bCs/>
          <w:color w:val="002060"/>
          <w:sz w:val="16"/>
          <w:szCs w:val="16"/>
          <w:lang w:val="ru-RU"/>
        </w:rPr>
        <w:softHyphen/>
        <w:t>ние авиационного оборудования приведено, чтобы показать слож</w:t>
      </w:r>
      <w:r w:rsidRPr="00405303">
        <w:rPr>
          <w:bCs/>
          <w:color w:val="002060"/>
          <w:sz w:val="16"/>
          <w:szCs w:val="16"/>
          <w:lang w:val="ru-RU"/>
        </w:rPr>
        <w:softHyphen/>
        <w:t>ность работ. Уже первый опыт по</w:t>
      </w:r>
      <w:r w:rsidRPr="00405303">
        <w:rPr>
          <w:bCs/>
          <w:color w:val="002060"/>
          <w:sz w:val="16"/>
          <w:szCs w:val="16"/>
          <w:lang w:val="ru-RU"/>
        </w:rPr>
        <w:softHyphen/>
        <w:t>казал, что ангары «Орлицы» нуж</w:t>
      </w:r>
      <w:r w:rsidRPr="00405303">
        <w:rPr>
          <w:bCs/>
          <w:color w:val="002060"/>
          <w:sz w:val="16"/>
          <w:szCs w:val="16"/>
          <w:lang w:val="ru-RU"/>
        </w:rPr>
        <w:softHyphen/>
        <w:t>даются в доработке и в конце фев</w:t>
      </w:r>
      <w:r w:rsidRPr="00405303">
        <w:rPr>
          <w:bCs/>
          <w:color w:val="002060"/>
          <w:sz w:val="16"/>
          <w:szCs w:val="16"/>
          <w:lang w:val="ru-RU"/>
        </w:rPr>
        <w:softHyphen/>
        <w:t>раля 1916 г. их произвели на заво</w:t>
      </w:r>
      <w:r w:rsidRPr="00405303">
        <w:rPr>
          <w:bCs/>
          <w:color w:val="002060"/>
          <w:sz w:val="16"/>
          <w:szCs w:val="16"/>
          <w:lang w:val="ru-RU"/>
        </w:rPr>
        <w:softHyphen/>
        <w:t>де в Гельсингфорсе. С 23 мая по 2 июня 1916 года, во время захода «Орлицы» под командованием ка</w:t>
      </w:r>
      <w:r w:rsidRPr="00405303">
        <w:rPr>
          <w:bCs/>
          <w:color w:val="002060"/>
          <w:sz w:val="16"/>
          <w:szCs w:val="16"/>
          <w:lang w:val="ru-RU"/>
        </w:rPr>
        <w:softHyphen/>
        <w:t>питана 2-го ранга Н.Н.Ромашева в Петроград, были выполнены рабо</w:t>
      </w:r>
      <w:r w:rsidRPr="00405303">
        <w:rPr>
          <w:bCs/>
          <w:color w:val="002060"/>
          <w:sz w:val="16"/>
          <w:szCs w:val="16"/>
          <w:lang w:val="ru-RU"/>
        </w:rPr>
        <w:softHyphen/>
        <w:t>ты, чтобы обеспечить базирование гидросамолетов М-9. Наблюдение за работами осуществлял полков</w:t>
      </w:r>
      <w:r w:rsidRPr="00405303">
        <w:rPr>
          <w:bCs/>
          <w:color w:val="002060"/>
          <w:sz w:val="16"/>
          <w:szCs w:val="16"/>
          <w:lang w:val="ru-RU"/>
        </w:rPr>
        <w:softHyphen/>
        <w:t>ник корпуса корабельных инжене</w:t>
      </w:r>
      <w:r w:rsidRPr="00405303">
        <w:rPr>
          <w:bCs/>
          <w:color w:val="002060"/>
          <w:sz w:val="16"/>
          <w:szCs w:val="16"/>
          <w:lang w:val="ru-RU"/>
        </w:rPr>
        <w:softHyphen/>
        <w:t>ров И.Е.Храповицкий. Специалисты Путиловской верфи установили новые кильблоки для М-9 и устрой</w:t>
      </w:r>
      <w:r w:rsidRPr="00405303">
        <w:rPr>
          <w:bCs/>
          <w:color w:val="002060"/>
          <w:sz w:val="16"/>
          <w:szCs w:val="16"/>
          <w:lang w:val="ru-RU"/>
        </w:rPr>
        <w:softHyphen/>
        <w:t>ства для их крепления по-походно</w:t>
      </w:r>
      <w:r w:rsidRPr="00405303">
        <w:rPr>
          <w:bCs/>
          <w:color w:val="002060"/>
          <w:sz w:val="16"/>
          <w:szCs w:val="16"/>
          <w:lang w:val="ru-RU"/>
        </w:rPr>
        <w:softHyphen/>
        <w:t>му. Гаки с карабинами для спуска и подъема гидросамолетов заменили более мощными. «Орлица» прини</w:t>
      </w:r>
      <w:r w:rsidRPr="00405303">
        <w:rPr>
          <w:bCs/>
          <w:color w:val="002060"/>
          <w:sz w:val="16"/>
          <w:szCs w:val="16"/>
          <w:lang w:val="ru-RU"/>
        </w:rPr>
        <w:softHyphen/>
        <w:t>мала участие в боевых действиях, а в апреле 1918 г. в составе одно</w:t>
      </w:r>
      <w:r w:rsidRPr="00405303">
        <w:rPr>
          <w:bCs/>
          <w:color w:val="002060"/>
          <w:sz w:val="16"/>
          <w:szCs w:val="16"/>
          <w:lang w:val="ru-RU"/>
        </w:rPr>
        <w:softHyphen/>
        <w:t>го из эшелонов Ледового похода перешла в Кронштадт. В начале августа 1918 г. «Орлицу» разору</w:t>
      </w:r>
      <w:r w:rsidRPr="00405303">
        <w:rPr>
          <w:bCs/>
          <w:color w:val="002060"/>
          <w:sz w:val="16"/>
          <w:szCs w:val="16"/>
          <w:lang w:val="ru-RU"/>
        </w:rPr>
        <w:softHyphen/>
        <w:t>жили, передали Главному управле</w:t>
      </w:r>
      <w:r w:rsidRPr="00405303">
        <w:rPr>
          <w:bCs/>
          <w:color w:val="002060"/>
          <w:sz w:val="16"/>
          <w:szCs w:val="16"/>
          <w:lang w:val="ru-RU"/>
        </w:rPr>
        <w:softHyphen/>
        <w:t>нию водного транспорта Народно</w:t>
      </w:r>
      <w:r w:rsidRPr="00405303">
        <w:rPr>
          <w:bCs/>
          <w:color w:val="002060"/>
          <w:sz w:val="16"/>
          <w:szCs w:val="16"/>
          <w:lang w:val="ru-RU"/>
        </w:rPr>
        <w:softHyphen/>
        <w:t>го комиссариата путей сообщения и переименовали в «Совет». Паро</w:t>
      </w:r>
      <w:r w:rsidRPr="00405303">
        <w:rPr>
          <w:bCs/>
          <w:color w:val="002060"/>
          <w:sz w:val="16"/>
          <w:szCs w:val="16"/>
          <w:lang w:val="ru-RU"/>
        </w:rPr>
        <w:softHyphen/>
        <w:t>ход выполнял грузо-пассажирские перевозки, числясь в Балтийском морском пароходстве. В 1930 г. «Со</w:t>
      </w:r>
      <w:r w:rsidRPr="00405303">
        <w:rPr>
          <w:bCs/>
          <w:color w:val="002060"/>
          <w:sz w:val="16"/>
          <w:szCs w:val="16"/>
          <w:lang w:val="ru-RU"/>
        </w:rPr>
        <w:softHyphen/>
        <w:t>вет» перешел с Балтики во Влади</w:t>
      </w:r>
      <w:r w:rsidRPr="00405303">
        <w:rPr>
          <w:bCs/>
          <w:color w:val="002060"/>
          <w:sz w:val="16"/>
          <w:szCs w:val="16"/>
          <w:lang w:val="ru-RU"/>
        </w:rPr>
        <w:softHyphen/>
        <w:t>восток и вошел в состав Дальнево</w:t>
      </w:r>
      <w:r w:rsidRPr="00405303">
        <w:rPr>
          <w:bCs/>
          <w:color w:val="002060"/>
          <w:sz w:val="16"/>
          <w:szCs w:val="16"/>
          <w:lang w:val="ru-RU"/>
        </w:rPr>
        <w:softHyphen/>
        <w:t>сточного морского пароходства. Судно обслуживало экспрессную линию Владивосток — Совгавань — Александровск, а также перевози</w:t>
      </w:r>
      <w:r w:rsidRPr="00405303">
        <w:rPr>
          <w:bCs/>
          <w:color w:val="002060"/>
          <w:sz w:val="16"/>
          <w:szCs w:val="16"/>
          <w:lang w:val="ru-RU"/>
        </w:rPr>
        <w:softHyphen/>
        <w:t>ло людей и грузы на линиях Влади</w:t>
      </w:r>
      <w:r w:rsidRPr="00405303">
        <w:rPr>
          <w:bCs/>
          <w:color w:val="002060"/>
          <w:sz w:val="16"/>
          <w:szCs w:val="16"/>
          <w:lang w:val="ru-RU"/>
        </w:rPr>
        <w:softHyphen/>
        <w:t>восток — Нагаево и Владивосток — Петропавловск. В феврале 1934 г. «Совет» под командованием капи</w:t>
      </w:r>
      <w:r w:rsidRPr="00405303">
        <w:rPr>
          <w:bCs/>
          <w:color w:val="002060"/>
          <w:sz w:val="16"/>
          <w:szCs w:val="16"/>
          <w:lang w:val="ru-RU"/>
        </w:rPr>
        <w:softHyphen/>
        <w:t>тана В.П.Сиднева с дирижаблями на борту вышел к берегам Чукотки для участия в операции по спасе</w:t>
      </w:r>
      <w:r w:rsidRPr="00405303">
        <w:rPr>
          <w:bCs/>
          <w:color w:val="002060"/>
          <w:sz w:val="16"/>
          <w:szCs w:val="16"/>
          <w:lang w:val="ru-RU"/>
        </w:rPr>
        <w:softHyphen/>
        <w:t>нию пассажиров и экипажа паро</w:t>
      </w:r>
      <w:r w:rsidRPr="00405303">
        <w:rPr>
          <w:bCs/>
          <w:color w:val="002060"/>
          <w:sz w:val="16"/>
          <w:szCs w:val="16"/>
          <w:lang w:val="ru-RU"/>
        </w:rPr>
        <w:softHyphen/>
        <w:t>хода «Челюскин». В Охотском море обнаружились неполадки в силовой установке, и «Совет» зашел в Пет</w:t>
      </w:r>
      <w:r w:rsidRPr="00405303">
        <w:rPr>
          <w:bCs/>
          <w:color w:val="002060"/>
          <w:sz w:val="16"/>
          <w:szCs w:val="16"/>
          <w:lang w:val="ru-RU"/>
        </w:rPr>
        <w:softHyphen/>
        <w:t>ропавловск-Камчатский, где сдал груз, после чего судно поставили на длительный ремонт. В конце июля 1938 г., во время советско-японско</w:t>
      </w:r>
      <w:r w:rsidRPr="00405303">
        <w:rPr>
          <w:bCs/>
          <w:color w:val="002060"/>
          <w:sz w:val="16"/>
          <w:szCs w:val="16"/>
          <w:lang w:val="ru-RU"/>
        </w:rPr>
        <w:softHyphen/>
        <w:t>го вооруженного конфликта у озе</w:t>
      </w:r>
      <w:r w:rsidRPr="00405303">
        <w:rPr>
          <w:bCs/>
          <w:color w:val="002060"/>
          <w:sz w:val="16"/>
          <w:szCs w:val="16"/>
          <w:lang w:val="ru-RU"/>
        </w:rPr>
        <w:softHyphen/>
        <w:t>ра Хасан, пароход занимался пе</w:t>
      </w:r>
      <w:r w:rsidRPr="00405303">
        <w:rPr>
          <w:bCs/>
          <w:color w:val="002060"/>
          <w:sz w:val="16"/>
          <w:szCs w:val="16"/>
          <w:lang w:val="ru-RU"/>
        </w:rPr>
        <w:softHyphen/>
        <w:t>ревозкой войск, оружия, боеприпа</w:t>
      </w:r>
      <w:r w:rsidRPr="00405303">
        <w:rPr>
          <w:bCs/>
          <w:color w:val="002060"/>
          <w:sz w:val="16"/>
          <w:szCs w:val="16"/>
          <w:lang w:val="ru-RU"/>
        </w:rPr>
        <w:softHyphen/>
        <w:t>сов и военной техники. В годы Ве</w:t>
      </w:r>
      <w:r w:rsidRPr="00405303">
        <w:rPr>
          <w:bCs/>
          <w:color w:val="002060"/>
          <w:sz w:val="16"/>
          <w:szCs w:val="16"/>
          <w:lang w:val="ru-RU"/>
        </w:rPr>
        <w:softHyphen/>
        <w:t>ликой Отечественной войны судно, по-видимому, не совершало даль</w:t>
      </w:r>
      <w:r w:rsidRPr="00405303">
        <w:rPr>
          <w:bCs/>
          <w:color w:val="002060"/>
          <w:sz w:val="16"/>
          <w:szCs w:val="16"/>
          <w:lang w:val="ru-RU"/>
        </w:rPr>
        <w:softHyphen/>
        <w:t>них плаваний. Его списали на ме</w:t>
      </w:r>
      <w:r w:rsidRPr="00405303">
        <w:rPr>
          <w:bCs/>
          <w:color w:val="002060"/>
          <w:sz w:val="16"/>
          <w:szCs w:val="16"/>
          <w:lang w:val="ru-RU"/>
        </w:rPr>
        <w:softHyphen/>
        <w:t>таллолом в 1964 г. (напомним, что построен пароход был в 1903 г.) (11925).</w:t>
      </w:r>
    </w:p>
    <w:p w14:paraId="5B8663C9" w14:textId="77777777" w:rsidR="00977D3E" w:rsidRPr="00405303" w:rsidRDefault="00977D3E" w:rsidP="00C15251">
      <w:pPr>
        <w:pStyle w:val="a5"/>
        <w:rPr>
          <w:bCs/>
          <w:color w:val="002060"/>
          <w:sz w:val="16"/>
          <w:szCs w:val="16"/>
          <w:lang w:val="ru-RU"/>
        </w:rPr>
      </w:pPr>
    </w:p>
    <w:p w14:paraId="4DAEF7BA" w14:textId="336DD0DB"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7 (20) февраля 1915 года </w:t>
      </w:r>
      <w:r w:rsidR="00185B77" w:rsidRPr="00405303">
        <w:rPr>
          <w:bCs/>
          <w:color w:val="002060"/>
          <w:sz w:val="16"/>
          <w:szCs w:val="16"/>
        </w:rPr>
        <w:t xml:space="preserve">приказом по Флоту и Морскому ведомству № 73 </w:t>
      </w:r>
      <w:r w:rsidRPr="00405303">
        <w:rPr>
          <w:bCs/>
          <w:color w:val="002060"/>
          <w:sz w:val="16"/>
          <w:szCs w:val="16"/>
        </w:rPr>
        <w:t>объявлялось о введении нагрудного знака «Морской летчик» и установлении определенного денежного вознаграждения. Знаком награждались обер-офицеры, окончив</w:t>
      </w:r>
      <w:r w:rsidRPr="00405303">
        <w:rPr>
          <w:bCs/>
          <w:color w:val="002060"/>
          <w:sz w:val="16"/>
          <w:szCs w:val="16"/>
        </w:rPr>
        <w:softHyphen/>
        <w:t>шие теоретический курс и практическую школу, после сдачи экзаменов. Заметим, что несколько раньше появился нагруд</w:t>
      </w:r>
      <w:r w:rsidRPr="00405303">
        <w:rPr>
          <w:bCs/>
          <w:color w:val="002060"/>
          <w:sz w:val="16"/>
          <w:szCs w:val="16"/>
        </w:rPr>
        <w:softHyphen/>
        <w:t>ный знак «Военный летчик», который получили пилоты ар</w:t>
      </w:r>
      <w:r w:rsidRPr="00405303">
        <w:rPr>
          <w:bCs/>
          <w:color w:val="002060"/>
          <w:sz w:val="16"/>
          <w:szCs w:val="16"/>
        </w:rPr>
        <w:softHyphen/>
        <w:t>мейской авиации (11283).</w:t>
      </w:r>
    </w:p>
    <w:p w14:paraId="4C626F04" w14:textId="77777777" w:rsidR="004B4E35" w:rsidRPr="00405303" w:rsidRDefault="004B4E35" w:rsidP="00C15251">
      <w:pPr>
        <w:shd w:val="clear" w:color="auto" w:fill="FFFFFF"/>
        <w:jc w:val="both"/>
        <w:rPr>
          <w:bCs/>
          <w:color w:val="002060"/>
          <w:sz w:val="16"/>
          <w:szCs w:val="16"/>
        </w:rPr>
      </w:pPr>
    </w:p>
    <w:p w14:paraId="0A6510AC" w14:textId="625B6E42" w:rsidR="00C949AE" w:rsidRPr="00405303" w:rsidRDefault="00C949AE" w:rsidP="00C15251">
      <w:pPr>
        <w:jc w:val="both"/>
        <w:rPr>
          <w:bCs/>
          <w:color w:val="002060"/>
          <w:sz w:val="16"/>
          <w:szCs w:val="16"/>
        </w:rPr>
      </w:pPr>
      <w:r w:rsidRPr="00405303">
        <w:rPr>
          <w:bCs/>
          <w:color w:val="002060"/>
          <w:sz w:val="16"/>
          <w:szCs w:val="16"/>
          <w:lang w:bidi="en-US"/>
        </w:rPr>
        <w:t>7 (20) февраля 1915 г. в состав Балтийского флота вошел российский гидроавианосец «Орлица». Он мог нести до четырех гидросамолетов (23525).</w:t>
      </w:r>
    </w:p>
    <w:p w14:paraId="623D441D" w14:textId="77777777" w:rsidR="00C949AE" w:rsidRPr="00405303" w:rsidRDefault="00C949AE" w:rsidP="00C15251">
      <w:pPr>
        <w:jc w:val="both"/>
        <w:rPr>
          <w:bCs/>
          <w:color w:val="002060"/>
          <w:sz w:val="16"/>
          <w:szCs w:val="16"/>
          <w:lang w:bidi="en-US"/>
        </w:rPr>
      </w:pPr>
    </w:p>
    <w:p w14:paraId="3C067BCA" w14:textId="77777777" w:rsidR="006603C8" w:rsidRPr="00405303" w:rsidRDefault="006603C8" w:rsidP="006603C8">
      <w:pPr>
        <w:jc w:val="both"/>
        <w:rPr>
          <w:color w:val="0070C0"/>
          <w:sz w:val="16"/>
          <w:szCs w:val="16"/>
        </w:rPr>
      </w:pPr>
      <w:r w:rsidRPr="00405303">
        <w:rPr>
          <w:color w:val="0070C0"/>
          <w:sz w:val="16"/>
          <w:szCs w:val="16"/>
        </w:rPr>
        <w:t>7 (20) февраля 1915 года Офицерская школа авиации Отдела воздушного флота в соответствии с поступившим приказом командующего Черноморским флотом была введена в состав гарнизона Севастопольской крепости. Уже через несколько дней, а именно 25 февраля, Великий князь провел в Севастополе совещание, на котором было принято решение о создании на Южном фронте двух корпусных авиационных отрядов — 31-го и 32-го.</w:t>
      </w:r>
    </w:p>
    <w:p w14:paraId="5FC7CC46" w14:textId="77777777" w:rsidR="006603C8" w:rsidRPr="00405303" w:rsidRDefault="006603C8" w:rsidP="006603C8">
      <w:pPr>
        <w:jc w:val="both"/>
        <w:rPr>
          <w:color w:val="0070C0"/>
          <w:sz w:val="16"/>
          <w:szCs w:val="16"/>
        </w:rPr>
      </w:pPr>
      <w:r w:rsidRPr="00405303">
        <w:rPr>
          <w:color w:val="0070C0"/>
          <w:sz w:val="16"/>
          <w:szCs w:val="16"/>
        </w:rPr>
        <w:t>31-й корпусной авиационный отряд состоял на тот момент из четырех бипланов «Вуазен» и перебазировался в Севастополь в середине марта 1915 года. В конце месяца пилоты отряда приступили к совершению полетов, используя в качестве взлетно-посадочных полос — Куликово поле и устье реки Бельбек. Тяжелая обстановка и усиление противника на Юго-западном фронте вынудило верховное командование перебросить туда часть сил с южного направления, в том числе 31-й и 32-й корпусные авиационные отряды, которые 1 мая 1915 года начали перебазироваться во Львов (25155).</w:t>
      </w:r>
    </w:p>
    <w:p w14:paraId="0EF475BF" w14:textId="77777777" w:rsidR="006603C8" w:rsidRPr="00405303" w:rsidRDefault="006603C8" w:rsidP="006603C8">
      <w:pPr>
        <w:jc w:val="both"/>
        <w:rPr>
          <w:color w:val="0070C0"/>
          <w:sz w:val="16"/>
          <w:szCs w:val="16"/>
        </w:rPr>
      </w:pPr>
    </w:p>
    <w:p w14:paraId="7749BB20" w14:textId="77777777" w:rsidR="004B4E35" w:rsidRPr="00405303" w:rsidRDefault="009E6F82" w:rsidP="00C15251">
      <w:pPr>
        <w:jc w:val="both"/>
        <w:rPr>
          <w:bCs/>
          <w:i/>
          <w:color w:val="002060"/>
          <w:sz w:val="16"/>
          <w:szCs w:val="16"/>
        </w:rPr>
      </w:pPr>
      <w:r w:rsidRPr="00405303">
        <w:rPr>
          <w:bCs/>
          <w:i/>
          <w:color w:val="002060"/>
          <w:sz w:val="16"/>
          <w:szCs w:val="16"/>
        </w:rPr>
        <w:t>За рубежом:</w:t>
      </w:r>
    </w:p>
    <w:p w14:paraId="629CB030" w14:textId="77777777" w:rsidR="004B4E35" w:rsidRPr="00405303" w:rsidRDefault="004B4E35" w:rsidP="00C15251">
      <w:pPr>
        <w:jc w:val="both"/>
        <w:rPr>
          <w:bCs/>
          <w:i/>
          <w:color w:val="002060"/>
          <w:sz w:val="16"/>
          <w:szCs w:val="16"/>
        </w:rPr>
      </w:pPr>
    </w:p>
    <w:p w14:paraId="301FFB21" w14:textId="410FE89F" w:rsidR="004B4E35" w:rsidRPr="00405303" w:rsidRDefault="009E6F82" w:rsidP="00C15251">
      <w:pPr>
        <w:jc w:val="both"/>
        <w:rPr>
          <w:bCs/>
          <w:color w:val="002060"/>
          <w:sz w:val="16"/>
          <w:szCs w:val="16"/>
        </w:rPr>
      </w:pPr>
      <w:r w:rsidRPr="00405303">
        <w:rPr>
          <w:bCs/>
          <w:color w:val="002060"/>
          <w:sz w:val="16"/>
          <w:szCs w:val="16"/>
        </w:rPr>
        <w:t>7 (20)</w:t>
      </w:r>
      <w:r w:rsidR="00185B77" w:rsidRPr="00405303">
        <w:rPr>
          <w:bCs/>
          <w:color w:val="002060"/>
          <w:sz w:val="16"/>
          <w:szCs w:val="16"/>
        </w:rPr>
        <w:t xml:space="preserve"> февраля </w:t>
      </w:r>
      <w:r w:rsidRPr="00405303">
        <w:rPr>
          <w:bCs/>
          <w:color w:val="002060"/>
          <w:sz w:val="16"/>
          <w:szCs w:val="16"/>
        </w:rPr>
        <w:t xml:space="preserve">1915 года </w:t>
      </w:r>
      <w:r w:rsidR="00185B77" w:rsidRPr="00405303">
        <w:rPr>
          <w:bCs/>
          <w:color w:val="002060"/>
          <w:sz w:val="16"/>
          <w:szCs w:val="16"/>
        </w:rPr>
        <w:t xml:space="preserve">Черчилль принимает </w:t>
      </w:r>
      <w:r w:rsidRPr="00405303">
        <w:rPr>
          <w:bCs/>
          <w:color w:val="002060"/>
          <w:sz w:val="16"/>
          <w:szCs w:val="16"/>
        </w:rPr>
        <w:t xml:space="preserve">историческое решение — учреждает «Комитет сухопутных кораблей» (L.S.C.) во главе с директором департамента кораблестроения Юстасом Теннисом д'Эйнкоуртом, ведущим английским кораблестроителем. Секретарём Комитета назначается Альберт Стерн, превосходивший по своим пробивным способностям, пожалуй, машины, которые L.S.C. предстояло проектировать. Так британский флот, вписавший массу золотых страниц во всемирную историю, стал осваивать сушу, в чём ключевую роль сыграл первый лорд Адмиралтейства Уинстон Черчилль. Ярый враг коммунизма в таком качестве в </w:t>
      </w:r>
      <w:r w:rsidRPr="00405303">
        <w:rPr>
          <w:bCs/>
          <w:color w:val="002060"/>
          <w:sz w:val="16"/>
          <w:szCs w:val="16"/>
        </w:rPr>
        <w:lastRenderedPageBreak/>
        <w:t xml:space="preserve">советскую литературу не укладывался, и сказания о «безвредном» Свинтоне были идеологически вполне разумны. Многие английские источники на этот счёт гораздо более объективны. </w:t>
      </w:r>
    </w:p>
    <w:p w14:paraId="55F1E4B9" w14:textId="77777777" w:rsidR="004B4E35" w:rsidRPr="00405303" w:rsidRDefault="009E6F82" w:rsidP="00C15251">
      <w:pPr>
        <w:jc w:val="both"/>
        <w:rPr>
          <w:bCs/>
          <w:color w:val="002060"/>
          <w:sz w:val="16"/>
          <w:szCs w:val="16"/>
        </w:rPr>
      </w:pPr>
      <w:r w:rsidRPr="00405303">
        <w:rPr>
          <w:bCs/>
          <w:color w:val="002060"/>
          <w:sz w:val="16"/>
          <w:szCs w:val="16"/>
        </w:rPr>
        <w:t xml:space="preserve">В июле 1915 года премьер-министр Асквит предложил Свинтону должность секретаря Военного комитета, и уже в этом качестве тот узнал о существовании и усилиях L.S.C. Свинтон вызвал Стерна, и вот фрагмент (почти анекдот) их исторического диалога: </w:t>
      </w:r>
    </w:p>
    <w:p w14:paraId="3BE06ED7" w14:textId="77777777" w:rsidR="004B4E35" w:rsidRPr="00405303" w:rsidRDefault="009E6F82" w:rsidP="00C15251">
      <w:pPr>
        <w:jc w:val="both"/>
        <w:rPr>
          <w:bCs/>
          <w:color w:val="002060"/>
          <w:sz w:val="16"/>
          <w:szCs w:val="16"/>
        </w:rPr>
      </w:pPr>
      <w:proofErr w:type="gramStart"/>
      <w:r w:rsidRPr="00405303">
        <w:rPr>
          <w:bCs/>
          <w:color w:val="002060"/>
          <w:sz w:val="16"/>
          <w:szCs w:val="16"/>
        </w:rPr>
        <w:t>« —</w:t>
      </w:r>
      <w:proofErr w:type="gramEnd"/>
      <w:r w:rsidRPr="00405303">
        <w:rPr>
          <w:bCs/>
          <w:color w:val="002060"/>
          <w:sz w:val="16"/>
          <w:szCs w:val="16"/>
        </w:rPr>
        <w:t xml:space="preserve"> Лейтенант Стерн, это самое экстраординарное дело, с которым я встречался. Директор департамента кораблестроения, кажется, делает сухопутные боевые корабли для армии, которая о них никого не просила и ничего не делала, чтобы помочь. Всё, чем Вы располагаете, сделано моряками. Чем занимались Вы? Вы механик или шофёр? </w:t>
      </w:r>
    </w:p>
    <w:p w14:paraId="2C08FB95" w14:textId="77777777" w:rsidR="004B4E35" w:rsidRPr="00405303" w:rsidRDefault="009E6F82" w:rsidP="00C15251">
      <w:pPr>
        <w:jc w:val="both"/>
        <w:rPr>
          <w:bCs/>
          <w:color w:val="002060"/>
          <w:sz w:val="16"/>
          <w:szCs w:val="16"/>
        </w:rPr>
      </w:pPr>
      <w:r w:rsidRPr="00405303">
        <w:rPr>
          <w:bCs/>
          <w:color w:val="002060"/>
          <w:sz w:val="16"/>
          <w:szCs w:val="16"/>
        </w:rPr>
        <w:t xml:space="preserve">— Я банкир. </w:t>
      </w:r>
    </w:p>
    <w:p w14:paraId="6FA855EC" w14:textId="77777777" w:rsidR="004B4E35" w:rsidRPr="00405303" w:rsidRDefault="009E6F82" w:rsidP="00C15251">
      <w:pPr>
        <w:jc w:val="both"/>
        <w:rPr>
          <w:bCs/>
          <w:color w:val="002060"/>
          <w:sz w:val="16"/>
          <w:szCs w:val="16"/>
        </w:rPr>
      </w:pPr>
      <w:r w:rsidRPr="00405303">
        <w:rPr>
          <w:bCs/>
          <w:color w:val="002060"/>
          <w:sz w:val="16"/>
          <w:szCs w:val="16"/>
        </w:rPr>
        <w:t xml:space="preserve">— Это делает всё ещё более таинственным». </w:t>
      </w:r>
    </w:p>
    <w:p w14:paraId="27F533ED" w14:textId="77777777" w:rsidR="004B4E35" w:rsidRPr="00405303" w:rsidRDefault="009E6F82" w:rsidP="00C15251">
      <w:pPr>
        <w:jc w:val="both"/>
        <w:rPr>
          <w:bCs/>
          <w:color w:val="002060"/>
          <w:sz w:val="16"/>
          <w:szCs w:val="16"/>
        </w:rPr>
      </w:pPr>
      <w:r w:rsidRPr="00405303">
        <w:rPr>
          <w:bCs/>
          <w:color w:val="002060"/>
          <w:sz w:val="16"/>
          <w:szCs w:val="16"/>
        </w:rPr>
        <w:t xml:space="preserve">Деятельность L.S.C. — прекрасная иллюстрация результативности командного (5) мышления техногенной нации, для которой паровая машина Джеймса Уатта, конвертор Бессемера, «Дредноут» Нарбета, паровоз Стивенсона столь же прекрасны (если не более), чем полотна Томаса Гейнсборо или поэзия Джона Китса. </w:t>
      </w:r>
    </w:p>
    <w:p w14:paraId="04D5C1E0" w14:textId="77777777" w:rsidR="004B4E35" w:rsidRPr="00405303" w:rsidRDefault="009E6F82" w:rsidP="00C15251">
      <w:pPr>
        <w:jc w:val="both"/>
        <w:rPr>
          <w:bCs/>
          <w:color w:val="002060"/>
          <w:sz w:val="16"/>
          <w:szCs w:val="16"/>
        </w:rPr>
      </w:pPr>
      <w:r w:rsidRPr="00405303">
        <w:rPr>
          <w:bCs/>
          <w:color w:val="002060"/>
          <w:sz w:val="16"/>
          <w:szCs w:val="16"/>
        </w:rPr>
        <w:t xml:space="preserve">Подход к делу, продемонстрированный англичанами (6) — пионерами создания танкостроительной отрасли, идущими в авангарде процесса, когда нет аналогий, невозможно что-либо с чем-либо сопоставить, критически оценить, развить или заимствовать, в конечном счете, подражать или копировать, радикально отличается от французского, немецкого и американского: это не просто иной подход или уровень более высокого порядка, это качественно иной уровень. Обратим внимание на некоторые присущие ему черты, они хорошо просматриваются в картине хаоса, пограничного состояния, обеспечивающего свободный поиск устойчивой жизнеспособной комбинации. Эти черты характеризуют не только британскую машиностроительную традицию, но и Британию в целом, как техногенный феномен. Одним из методологических </w:t>
      </w:r>
      <w:proofErr w:type="gramStart"/>
      <w:r w:rsidRPr="00405303">
        <w:rPr>
          <w:bCs/>
          <w:color w:val="002060"/>
          <w:sz w:val="16"/>
          <w:szCs w:val="16"/>
        </w:rPr>
        <w:t>способов может быть</w:t>
      </w:r>
      <w:proofErr w:type="gramEnd"/>
      <w:r w:rsidRPr="00405303">
        <w:rPr>
          <w:bCs/>
          <w:color w:val="002060"/>
          <w:sz w:val="16"/>
          <w:szCs w:val="16"/>
        </w:rPr>
        <w:t xml:space="preserve"> построение таблицы визуальных образов (см. схему 3) для сравнительного анализа, базирующегося на том, что в технике форма объекта неизменно так или иначе отражает его сущность (известная фраза капитана Фербера «Красивый самолёт летает хорошо...» или житейское «Бог шельму метит»). Между прочим, проекция категории «ёмкость — бак» («tank») на БМ Триттона-Вильсона в некотором смысле оправдана. Здесь, правда, необходимо: 1) с любопытством, более чем обычным, посмотреть на корпус «Lincoln Machine» № 1 и его преемников; 2) абстрагироваться от деградировавших, но ещё проповедуемых компоновочных норм, сложившихся в процессе длительной эволюции, поскольку смысла в них в период Первой мировой войны не больше, чем во флэшке и 3) познакомиться с общими принципами компоновки и теорией формообразования машин. </w:t>
      </w:r>
    </w:p>
    <w:p w14:paraId="177B5963" w14:textId="77777777" w:rsidR="004B4E35" w:rsidRPr="00405303" w:rsidRDefault="009E6F82" w:rsidP="00C15251">
      <w:pPr>
        <w:jc w:val="both"/>
        <w:rPr>
          <w:bCs/>
          <w:color w:val="002060"/>
          <w:sz w:val="16"/>
          <w:szCs w:val="16"/>
        </w:rPr>
      </w:pPr>
      <w:r w:rsidRPr="00405303">
        <w:rPr>
          <w:bCs/>
          <w:color w:val="002060"/>
          <w:sz w:val="16"/>
          <w:szCs w:val="16"/>
        </w:rPr>
        <w:t xml:space="preserve">Англичане блестяще провели системный поэтапный концептуальный поиск, каждое последующее решение органично вытекало из предыдущего, практически никаких шараханий. Прагматизм осознанной ответственности, отработанная методика формирования обоснованных, реально выполнимых скоординированных решений, личный энтузиазм и решительность первопроходцев. И практически запланированное всем ходом событий попадание в «10» — момент выхода на «Lincoln Machine» № 1 — «Little Willy» и следом специализированный тип «движителя» (Mother) — в серии компактная, технологичная, соответствующая условиям применения машина с большим потенциалом по модернизации и модификации. </w:t>
      </w:r>
    </w:p>
    <w:p w14:paraId="7220E87A" w14:textId="77777777" w:rsidR="004B4E35" w:rsidRPr="00405303" w:rsidRDefault="009E6F82" w:rsidP="00C15251">
      <w:pPr>
        <w:jc w:val="both"/>
        <w:rPr>
          <w:bCs/>
          <w:color w:val="002060"/>
          <w:sz w:val="16"/>
          <w:szCs w:val="16"/>
        </w:rPr>
      </w:pPr>
      <w:r w:rsidRPr="00405303">
        <w:rPr>
          <w:bCs/>
          <w:color w:val="002060"/>
          <w:sz w:val="16"/>
          <w:szCs w:val="16"/>
        </w:rPr>
        <w:t xml:space="preserve">У первого английского танка нет определённого автора, это продукт коллективного труда. Здесь можно говорить о структуре функций, их распределении (проектировщики, конечно же, Триттон и Вильсон), организации и методике работы. Взаимопонимание и согласованность, как в атакующей волчьей стае, каждый интуитивно чувствует свой манёвр (генерирующий, исполняющий, реализующий). И это главное, в чём отличие происходившего там от происходившего в России. Надо отдавать себе отчёт, что мы имеем дело с иной ментальностью (здесь неплохо обратиться к работе Макса Вебера «Протестантская этика и дух капитализма»). </w:t>
      </w:r>
    </w:p>
    <w:p w14:paraId="73839564" w14:textId="77777777" w:rsidR="004B4E35" w:rsidRPr="00405303" w:rsidRDefault="009E6F82" w:rsidP="00C15251">
      <w:pPr>
        <w:jc w:val="both"/>
        <w:rPr>
          <w:bCs/>
          <w:color w:val="002060"/>
          <w:sz w:val="16"/>
          <w:szCs w:val="16"/>
        </w:rPr>
      </w:pPr>
      <w:r w:rsidRPr="00405303">
        <w:rPr>
          <w:bCs/>
          <w:color w:val="002060"/>
          <w:sz w:val="16"/>
          <w:szCs w:val="16"/>
        </w:rPr>
        <w:t>Сегодня изучение деятельности англичан в области БТТ и БТВ периода Первой мировой войны должно начинаться не с разговора о том, кто первым «изобрёл» то или иное, а с интереса к уровню английской науки, промышленности в целом и машиностроения в частности, вопросам организации производства и каналам его финансирования, проектно-</w:t>
      </w:r>
      <w:proofErr w:type="gramStart"/>
      <w:r w:rsidRPr="00405303">
        <w:rPr>
          <w:bCs/>
          <w:color w:val="002060"/>
          <w:sz w:val="16"/>
          <w:szCs w:val="16"/>
        </w:rPr>
        <w:t>конструк-торского</w:t>
      </w:r>
      <w:proofErr w:type="gramEnd"/>
      <w:r w:rsidRPr="00405303">
        <w:rPr>
          <w:bCs/>
          <w:color w:val="002060"/>
          <w:sz w:val="16"/>
          <w:szCs w:val="16"/>
        </w:rPr>
        <w:t xml:space="preserve"> и технологического искусства, стандартизации и кооперации. Английский танковый феномен в годы Первой мировой войны лежит, прежде всего, в этой плоскости. Только находясь в такой системе координат, можно подходить к оценке, на что были способны (или не способны) другие (12111).</w:t>
      </w:r>
    </w:p>
    <w:p w14:paraId="1A070DF3" w14:textId="77777777" w:rsidR="004B4E35" w:rsidRPr="00405303" w:rsidRDefault="004B4E35" w:rsidP="00C15251">
      <w:pPr>
        <w:jc w:val="both"/>
        <w:rPr>
          <w:bCs/>
          <w:color w:val="002060"/>
          <w:sz w:val="16"/>
          <w:szCs w:val="16"/>
        </w:rPr>
      </w:pPr>
    </w:p>
    <w:p w14:paraId="1BAED70E" w14:textId="77777777" w:rsidR="000B6056" w:rsidRPr="00405303" w:rsidRDefault="000B6056" w:rsidP="00C15251">
      <w:pPr>
        <w:shd w:val="clear" w:color="auto" w:fill="FFFFFF"/>
        <w:jc w:val="both"/>
        <w:rPr>
          <w:bCs/>
          <w:i/>
          <w:color w:val="002060"/>
          <w:sz w:val="16"/>
          <w:szCs w:val="16"/>
        </w:rPr>
      </w:pPr>
      <w:r w:rsidRPr="00405303">
        <w:rPr>
          <w:bCs/>
          <w:i/>
          <w:color w:val="002060"/>
          <w:sz w:val="16"/>
          <w:szCs w:val="16"/>
        </w:rPr>
        <w:t>Самолетостроение:</w:t>
      </w:r>
    </w:p>
    <w:p w14:paraId="1D7CFB45" w14:textId="77777777" w:rsidR="000B6056" w:rsidRPr="00405303" w:rsidRDefault="000B6056" w:rsidP="00C15251">
      <w:pPr>
        <w:shd w:val="clear" w:color="auto" w:fill="FFFFFF"/>
        <w:jc w:val="both"/>
        <w:rPr>
          <w:bCs/>
          <w:i/>
          <w:color w:val="002060"/>
          <w:sz w:val="16"/>
          <w:szCs w:val="16"/>
        </w:rPr>
      </w:pPr>
    </w:p>
    <w:p w14:paraId="0951CDC0" w14:textId="2B2DC676" w:rsidR="000B6056" w:rsidRPr="00405303" w:rsidRDefault="00185B77" w:rsidP="00C15251">
      <w:pPr>
        <w:jc w:val="both"/>
        <w:rPr>
          <w:bCs/>
          <w:color w:val="002060"/>
          <w:sz w:val="16"/>
          <w:szCs w:val="16"/>
        </w:rPr>
      </w:pPr>
      <w:r w:rsidRPr="00405303">
        <w:rPr>
          <w:bCs/>
          <w:color w:val="002060"/>
          <w:sz w:val="16"/>
          <w:szCs w:val="16"/>
        </w:rPr>
        <w:t>В</w:t>
      </w:r>
      <w:r w:rsidR="000B6056" w:rsidRPr="00405303">
        <w:rPr>
          <w:bCs/>
          <w:color w:val="002060"/>
          <w:sz w:val="16"/>
          <w:szCs w:val="16"/>
        </w:rPr>
        <w:t xml:space="preserve"> начале февраля 1915 г. </w:t>
      </w:r>
      <w:r w:rsidRPr="00405303">
        <w:rPr>
          <w:bCs/>
          <w:color w:val="002060"/>
          <w:sz w:val="16"/>
          <w:szCs w:val="16"/>
        </w:rPr>
        <w:t xml:space="preserve">несмотря на трудности доводки М-2, первую такую лодку </w:t>
      </w:r>
      <w:r w:rsidR="000B6056" w:rsidRPr="00405303">
        <w:rPr>
          <w:bCs/>
          <w:color w:val="002060"/>
          <w:sz w:val="16"/>
          <w:szCs w:val="16"/>
        </w:rPr>
        <w:t>удалось испытать. Доработанные по ее опыту детали и узлы заново изготовили на заводе Щетинина, доставили в Ревель и установили на второй экземпляр. По причине изменений конструкции, он получил новое обозначение - М-3. Сдаточные испытания закончились в марте 1915 г., затем М-2 и М-3 зачислили в состав Службы связи Балтийского моря под обозначением Щ-2 и Щ-3 (12083).</w:t>
      </w:r>
    </w:p>
    <w:p w14:paraId="224EF6A6" w14:textId="77777777" w:rsidR="000B6056" w:rsidRPr="00405303" w:rsidRDefault="000B6056" w:rsidP="00C15251">
      <w:pPr>
        <w:jc w:val="both"/>
        <w:rPr>
          <w:bCs/>
          <w:color w:val="002060"/>
          <w:sz w:val="16"/>
          <w:szCs w:val="16"/>
        </w:rPr>
      </w:pPr>
      <w:r w:rsidRPr="00405303">
        <w:rPr>
          <w:bCs/>
          <w:color w:val="002060"/>
          <w:sz w:val="16"/>
          <w:szCs w:val="16"/>
        </w:rPr>
        <w:t>Между тем, затянувшаяся сдача этих первых летающих лодок отечественного производства негативно повлияла на отношение к ним со стороны морского ведомства. В середине января 1915 г. штаб заведующего авиацией при Службе связи Балтийского моря принял решение о заказе большой партии летающих лодок ФБА для оснащения отрядов и станций на Балтике. Впрочем, реализация этого решения поначалу сдерживалась тем обстоятельством, что производственные мощности французской фирмы до предела были загружены заказами собственного флота. Начались переговоры о лицензионном соглашении.</w:t>
      </w:r>
    </w:p>
    <w:p w14:paraId="4A59051D" w14:textId="77777777" w:rsidR="000B6056" w:rsidRPr="00405303" w:rsidRDefault="000B6056" w:rsidP="00C15251">
      <w:pPr>
        <w:jc w:val="both"/>
        <w:rPr>
          <w:bCs/>
          <w:color w:val="002060"/>
          <w:sz w:val="16"/>
          <w:szCs w:val="16"/>
        </w:rPr>
      </w:pPr>
      <w:r w:rsidRPr="00405303">
        <w:rPr>
          <w:bCs/>
          <w:color w:val="002060"/>
          <w:sz w:val="16"/>
          <w:szCs w:val="16"/>
        </w:rPr>
        <w:t>2 февраля 1915 г. было получено сообщение, что фирма ФБА готова продать комплект чертежей своей летающей лодки России за 13000 рублей и, кроме того, фирма пожелала получать по 1300 рублей за каждый построенный такой самолет на русских заводах. После подписания лицензионного соглашения от приемки двух оставшихся лодок Щетинина отказались, выплатив заводу лишь небольшую неустойку. А французские ФБА в довольно большом числе экземпляров начал строить в Петрограде завод В.А. Лебедева.</w:t>
      </w:r>
    </w:p>
    <w:p w14:paraId="5425F5F6" w14:textId="77777777" w:rsidR="000B6056" w:rsidRPr="00405303" w:rsidRDefault="000B6056" w:rsidP="00C15251">
      <w:pPr>
        <w:jc w:val="both"/>
        <w:rPr>
          <w:bCs/>
          <w:color w:val="002060"/>
          <w:sz w:val="16"/>
          <w:szCs w:val="16"/>
        </w:rPr>
      </w:pPr>
      <w:r w:rsidRPr="00405303">
        <w:rPr>
          <w:bCs/>
          <w:color w:val="002060"/>
          <w:sz w:val="16"/>
          <w:szCs w:val="16"/>
        </w:rPr>
        <w:t>Принятые флотом М-2 (Щ-2) и М-3 (Щ-3) использовались на 3-й станции в качестве учебных машин. Летом 1915 г. почти одновременно они получили при жесткой посадке довольно серьезные повреждения конструкции и до октября находились в долговременном ремонте. В ноябре того же года их списали.</w:t>
      </w:r>
    </w:p>
    <w:p w14:paraId="4F59C2B2" w14:textId="77777777" w:rsidR="000B6056" w:rsidRPr="00405303" w:rsidRDefault="000B6056" w:rsidP="00C15251">
      <w:pPr>
        <w:jc w:val="both"/>
        <w:rPr>
          <w:bCs/>
          <w:color w:val="002060"/>
          <w:sz w:val="16"/>
          <w:szCs w:val="16"/>
        </w:rPr>
      </w:pPr>
      <w:r w:rsidRPr="00405303">
        <w:rPr>
          <w:bCs/>
          <w:color w:val="002060"/>
          <w:sz w:val="16"/>
          <w:szCs w:val="16"/>
        </w:rPr>
        <w:t>На Черном море летом 1914 г. еще царила довольно благодушная обстановка. Казалось, война далеко, а время для реорганизаций еще есть. В сентябре морская авиация Черноморского флота насчитывала всего шесть боевых машин. По-ложение резко изменилось в октябре, когда после набега немецких крейсеров "Гебен"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418F08D2" w14:textId="77777777" w:rsidR="000B6056" w:rsidRPr="00405303" w:rsidRDefault="000B6056" w:rsidP="00C15251">
      <w:pPr>
        <w:jc w:val="both"/>
        <w:rPr>
          <w:bCs/>
          <w:color w:val="002060"/>
          <w:sz w:val="16"/>
          <w:szCs w:val="16"/>
        </w:rPr>
      </w:pPr>
      <w:r w:rsidRPr="00405303">
        <w:rPr>
          <w:bCs/>
          <w:color w:val="002060"/>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2752382F" w14:textId="77777777" w:rsidR="000B6056" w:rsidRPr="00405303" w:rsidRDefault="000B6056" w:rsidP="00C15251">
      <w:pPr>
        <w:jc w:val="both"/>
        <w:rPr>
          <w:bCs/>
          <w:color w:val="002060"/>
          <w:sz w:val="16"/>
          <w:szCs w:val="16"/>
        </w:rPr>
      </w:pPr>
      <w:r w:rsidRPr="00405303">
        <w:rPr>
          <w:bCs/>
          <w:color w:val="002060"/>
          <w:sz w:val="16"/>
          <w:szCs w:val="16"/>
        </w:rPr>
        <w:t xml:space="preserve">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"Кер- тисс" (СигН$$)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w:t>
      </w:r>
      <w:proofErr w:type="gramStart"/>
      <w:r w:rsidRPr="00405303">
        <w:rPr>
          <w:bCs/>
          <w:color w:val="002060"/>
          <w:sz w:val="16"/>
          <w:szCs w:val="16"/>
        </w:rPr>
        <w:t>ис-пользовании</w:t>
      </w:r>
      <w:proofErr w:type="gramEnd"/>
      <w:r w:rsidRPr="00405303">
        <w:rPr>
          <w:bCs/>
          <w:color w:val="002060"/>
          <w:sz w:val="16"/>
          <w:szCs w:val="16"/>
        </w:rPr>
        <w:t xml:space="preserve"> летающих лодок Щетинина-Григоровича, позволило вполне уверенно продолжать строительство следующих гидросамолетов (12083).</w:t>
      </w:r>
    </w:p>
    <w:p w14:paraId="18421906" w14:textId="77777777" w:rsidR="000B6056" w:rsidRPr="00405303" w:rsidRDefault="000B6056" w:rsidP="00C15251">
      <w:pPr>
        <w:jc w:val="both"/>
        <w:rPr>
          <w:bCs/>
          <w:color w:val="002060"/>
          <w:sz w:val="16"/>
          <w:szCs w:val="16"/>
        </w:rPr>
      </w:pPr>
    </w:p>
    <w:p w14:paraId="11995956" w14:textId="77777777" w:rsidR="002B682D" w:rsidRPr="00405303" w:rsidRDefault="002B682D" w:rsidP="00C15251">
      <w:pPr>
        <w:jc w:val="both"/>
        <w:rPr>
          <w:bCs/>
          <w:color w:val="002060"/>
          <w:sz w:val="16"/>
          <w:szCs w:val="16"/>
        </w:rPr>
      </w:pPr>
      <w:r w:rsidRPr="00405303">
        <w:rPr>
          <w:bCs/>
          <w:color w:val="002060"/>
          <w:sz w:val="16"/>
          <w:szCs w:val="16"/>
        </w:rPr>
        <w:t>В начале февраля 1915 г. первый «Муромец» типа «В» был готов к ве</w:t>
      </w:r>
      <w:r w:rsidRPr="00405303">
        <w:rPr>
          <w:bCs/>
          <w:color w:val="002060"/>
          <w:sz w:val="16"/>
          <w:szCs w:val="16"/>
        </w:rPr>
        <w:softHyphen/>
        <w:t>дению боевых действий. 13 февра</w:t>
      </w:r>
      <w:r w:rsidRPr="00405303">
        <w:rPr>
          <w:bCs/>
          <w:color w:val="002060"/>
          <w:sz w:val="16"/>
          <w:szCs w:val="16"/>
        </w:rPr>
        <w:softHyphen/>
        <w:t>ля капитан Горшков совершил по</w:t>
      </w:r>
      <w:r w:rsidRPr="00405303">
        <w:rPr>
          <w:bCs/>
          <w:color w:val="002060"/>
          <w:sz w:val="16"/>
          <w:szCs w:val="16"/>
        </w:rPr>
        <w:softHyphen/>
        <w:t>следний тренировочный полёт, и на 14 февраля был назначен боевой вылет. «Киевский» медленно на</w:t>
      </w:r>
      <w:r w:rsidRPr="00405303">
        <w:rPr>
          <w:bCs/>
          <w:color w:val="002060"/>
          <w:sz w:val="16"/>
          <w:szCs w:val="16"/>
        </w:rPr>
        <w:softHyphen/>
        <w:t>брал высоту 1800 м. Было облачно, но тихо. Самолёт углубился в тыл противника. Прошли две станции, сфотографировали поезд, но ко</w:t>
      </w:r>
      <w:r w:rsidRPr="00405303">
        <w:rPr>
          <w:bCs/>
          <w:color w:val="002060"/>
          <w:sz w:val="16"/>
          <w:szCs w:val="16"/>
        </w:rPr>
        <w:softHyphen/>
        <w:t>нечного пункта маршрута - Вил- ленберга - не нашли, заблудились в облаках. Неудовлетворённый ре</w:t>
      </w:r>
      <w:r w:rsidRPr="00405303">
        <w:rPr>
          <w:bCs/>
          <w:color w:val="002060"/>
          <w:sz w:val="16"/>
          <w:szCs w:val="16"/>
        </w:rPr>
        <w:softHyphen/>
        <w:t>зультатами вылета, Горшков решил повторить вылет прямо на следую</w:t>
      </w:r>
      <w:r w:rsidRPr="00405303">
        <w:rPr>
          <w:bCs/>
          <w:color w:val="002060"/>
          <w:sz w:val="16"/>
          <w:szCs w:val="16"/>
        </w:rPr>
        <w:softHyphen/>
        <w:t>щий день. Уже по знакомому марш</w:t>
      </w:r>
      <w:r w:rsidRPr="00405303">
        <w:rPr>
          <w:bCs/>
          <w:color w:val="002060"/>
          <w:sz w:val="16"/>
          <w:szCs w:val="16"/>
        </w:rPr>
        <w:softHyphen/>
        <w:t xml:space="preserve">руту точно вышли на Вилленберг и сделали три захода - на первом пристрелка, на втором сбросили серию из пяти бомб, на третьем сфотографировали станцию, уже окутанную дымом. Попадания были точными, прямо среди подвижного состава. </w:t>
      </w:r>
      <w:r w:rsidRPr="00405303">
        <w:rPr>
          <w:bCs/>
          <w:color w:val="002060"/>
          <w:sz w:val="16"/>
          <w:szCs w:val="16"/>
        </w:rPr>
        <w:lastRenderedPageBreak/>
        <w:t>Этими двумя полётами и началась - боевая работа Эскадры. За ними последовали новые. Горш</w:t>
      </w:r>
      <w:r w:rsidRPr="00405303">
        <w:rPr>
          <w:bCs/>
          <w:color w:val="002060"/>
          <w:sz w:val="16"/>
          <w:szCs w:val="16"/>
        </w:rPr>
        <w:softHyphen/>
        <w:t>ков, Башко и Наумов были награж</w:t>
      </w:r>
      <w:r w:rsidRPr="00405303">
        <w:rPr>
          <w:bCs/>
          <w:color w:val="002060"/>
          <w:sz w:val="16"/>
          <w:szCs w:val="16"/>
        </w:rPr>
        <w:softHyphen/>
        <w:t>дены Георгиевским оружием. Кроме того, Горшков получил должность и.о. старшего офицера Эскадры, а штабс-капитан Башко стал коман</w:t>
      </w:r>
      <w:r w:rsidRPr="00405303">
        <w:rPr>
          <w:bCs/>
          <w:color w:val="002060"/>
          <w:sz w:val="16"/>
          <w:szCs w:val="16"/>
        </w:rPr>
        <w:softHyphen/>
        <w:t>диром корабля «Киевский» (23469).</w:t>
      </w:r>
    </w:p>
    <w:p w14:paraId="4304E918" w14:textId="77777777" w:rsidR="002B682D" w:rsidRPr="00405303" w:rsidRDefault="002B682D" w:rsidP="00C15251">
      <w:pPr>
        <w:jc w:val="both"/>
        <w:rPr>
          <w:bCs/>
          <w:color w:val="002060"/>
          <w:sz w:val="16"/>
          <w:szCs w:val="16"/>
        </w:rPr>
      </w:pPr>
    </w:p>
    <w:p w14:paraId="2E6F280B" w14:textId="77777777" w:rsidR="002B682D" w:rsidRPr="00405303" w:rsidRDefault="002B682D" w:rsidP="00C15251">
      <w:pPr>
        <w:jc w:val="both"/>
        <w:rPr>
          <w:bCs/>
          <w:color w:val="002060"/>
          <w:sz w:val="16"/>
          <w:szCs w:val="16"/>
        </w:rPr>
      </w:pPr>
      <w:r w:rsidRPr="00405303">
        <w:rPr>
          <w:bCs/>
          <w:color w:val="002060"/>
          <w:sz w:val="16"/>
          <w:szCs w:val="16"/>
        </w:rPr>
        <w:t>В начале февраля 1915 г. несколько кораблей было готово к ведению боевых действий (24177).</w:t>
      </w:r>
    </w:p>
    <w:p w14:paraId="795FFE2B" w14:textId="77777777" w:rsidR="002B682D" w:rsidRPr="00405303" w:rsidRDefault="002B682D" w:rsidP="00C15251">
      <w:pPr>
        <w:jc w:val="both"/>
        <w:rPr>
          <w:bCs/>
          <w:color w:val="002060"/>
          <w:sz w:val="16"/>
          <w:szCs w:val="16"/>
        </w:rPr>
      </w:pPr>
    </w:p>
    <w:p w14:paraId="1F31B245" w14:textId="77777777" w:rsidR="007D393D" w:rsidRPr="00405303" w:rsidRDefault="007D393D" w:rsidP="00C15251">
      <w:pPr>
        <w:jc w:val="both"/>
        <w:rPr>
          <w:bCs/>
          <w:i/>
          <w:color w:val="002060"/>
          <w:sz w:val="16"/>
          <w:szCs w:val="16"/>
        </w:rPr>
      </w:pPr>
      <w:r w:rsidRPr="00405303">
        <w:rPr>
          <w:bCs/>
          <w:i/>
          <w:color w:val="002060"/>
          <w:sz w:val="16"/>
          <w:szCs w:val="16"/>
        </w:rPr>
        <w:t>Армия:</w:t>
      </w:r>
    </w:p>
    <w:p w14:paraId="5090B4C4" w14:textId="77777777" w:rsidR="007D393D" w:rsidRPr="00405303" w:rsidRDefault="007D393D" w:rsidP="00C15251">
      <w:pPr>
        <w:jc w:val="both"/>
        <w:rPr>
          <w:bCs/>
          <w:i/>
          <w:color w:val="002060"/>
          <w:sz w:val="16"/>
          <w:szCs w:val="16"/>
        </w:rPr>
      </w:pPr>
    </w:p>
    <w:p w14:paraId="5A73A9C7" w14:textId="77777777" w:rsidR="007D393D" w:rsidRPr="00405303" w:rsidRDefault="007D393D" w:rsidP="00C15251">
      <w:pPr>
        <w:pStyle w:val="ae"/>
        <w:spacing w:before="0" w:beforeAutospacing="0" w:after="0" w:afterAutospacing="0"/>
        <w:jc w:val="both"/>
        <w:rPr>
          <w:bCs/>
          <w:color w:val="002060"/>
          <w:sz w:val="16"/>
          <w:szCs w:val="16"/>
        </w:rPr>
      </w:pPr>
      <w:r w:rsidRPr="00405303">
        <w:rPr>
          <w:bCs/>
          <w:color w:val="002060"/>
          <w:sz w:val="16"/>
          <w:szCs w:val="16"/>
        </w:rPr>
        <w:t>В начале февраля 1915 г. началось в</w:t>
      </w:r>
      <w:r w:rsidRPr="00405303">
        <w:rPr>
          <w:rStyle w:val="af"/>
          <w:rFonts w:eastAsia="Segoe UI"/>
          <w:bCs/>
          <w:color w:val="002060"/>
          <w:sz w:val="16"/>
          <w:szCs w:val="16"/>
        </w:rPr>
        <w:t>торое наступление</w:t>
      </w:r>
      <w:r w:rsidRPr="00405303">
        <w:rPr>
          <w:bCs/>
          <w:color w:val="002060"/>
          <w:sz w:val="16"/>
          <w:szCs w:val="16"/>
        </w:rPr>
        <w:t xml:space="preserve"> на Осовец. После пятидневных тяжелых боев русские войска были вынуждены отойти с первой линии обороны. С 13 февраля немцы начали обстрел фортов крепости с применением осадных орудий калибра от 100 до 420 мм. Только по форту № 1 было выпущено свыше 100 снарядов калибра от 210 мм, из них было 60 попаданий одних 420-мм бомб. Несмотря на жестокий урон и пожары внутри крепости, русские укрепления выстояли. Германские войска перешли к позиционной войне, которая продолжалась около трех месяцев. Немцам так и не удалось окружить Осовец со всех сторон (20246).</w:t>
      </w:r>
    </w:p>
    <w:p w14:paraId="22452AAF" w14:textId="77777777" w:rsidR="007D393D" w:rsidRPr="00405303" w:rsidRDefault="007D393D" w:rsidP="00C15251">
      <w:pPr>
        <w:pStyle w:val="ae"/>
        <w:spacing w:before="0" w:beforeAutospacing="0" w:after="0" w:afterAutospacing="0"/>
        <w:jc w:val="both"/>
        <w:rPr>
          <w:bCs/>
          <w:color w:val="002060"/>
          <w:sz w:val="16"/>
          <w:szCs w:val="16"/>
        </w:rPr>
      </w:pPr>
    </w:p>
    <w:p w14:paraId="3AC6CCA1" w14:textId="77777777" w:rsidR="000B6056" w:rsidRPr="00405303" w:rsidRDefault="000B6056" w:rsidP="00C15251">
      <w:pPr>
        <w:shd w:val="clear" w:color="auto" w:fill="FFFFFF"/>
        <w:jc w:val="both"/>
        <w:rPr>
          <w:bCs/>
          <w:i/>
          <w:color w:val="002060"/>
          <w:sz w:val="16"/>
          <w:szCs w:val="16"/>
        </w:rPr>
      </w:pPr>
      <w:r w:rsidRPr="00405303">
        <w:rPr>
          <w:bCs/>
          <w:i/>
          <w:color w:val="002060"/>
          <w:sz w:val="16"/>
          <w:szCs w:val="16"/>
        </w:rPr>
        <w:t>Авиация:</w:t>
      </w:r>
    </w:p>
    <w:p w14:paraId="77A500F8" w14:textId="77777777" w:rsidR="000B6056" w:rsidRPr="00405303" w:rsidRDefault="000B6056" w:rsidP="00C15251">
      <w:pPr>
        <w:shd w:val="clear" w:color="auto" w:fill="FFFFFF"/>
        <w:jc w:val="both"/>
        <w:rPr>
          <w:bCs/>
          <w:i/>
          <w:color w:val="002060"/>
          <w:sz w:val="16"/>
          <w:szCs w:val="16"/>
        </w:rPr>
      </w:pPr>
    </w:p>
    <w:p w14:paraId="10232B0C" w14:textId="3BD8620B" w:rsidR="000B6056" w:rsidRPr="00405303" w:rsidRDefault="000B6056" w:rsidP="00C15251">
      <w:pPr>
        <w:jc w:val="both"/>
        <w:rPr>
          <w:bCs/>
          <w:color w:val="002060"/>
          <w:sz w:val="16"/>
          <w:szCs w:val="16"/>
        </w:rPr>
      </w:pPr>
      <w:r w:rsidRPr="00405303">
        <w:rPr>
          <w:bCs/>
          <w:color w:val="002060"/>
          <w:sz w:val="16"/>
          <w:szCs w:val="16"/>
        </w:rPr>
        <w:t xml:space="preserve">В начале февраля 1915 г. несколько кораблей </w:t>
      </w:r>
      <w:r w:rsidR="00185B77" w:rsidRPr="00405303">
        <w:rPr>
          <w:bCs/>
          <w:color w:val="002060"/>
          <w:sz w:val="16"/>
          <w:szCs w:val="16"/>
        </w:rPr>
        <w:t xml:space="preserve">ИМ </w:t>
      </w:r>
      <w:r w:rsidRPr="00405303">
        <w:rPr>
          <w:bCs/>
          <w:color w:val="002060"/>
          <w:sz w:val="16"/>
          <w:szCs w:val="16"/>
        </w:rPr>
        <w:t>было Готово к ведению боевых действий. 19 февраля капитан Горшков совершил последний тренировочный полет, и на 21 февраля был назначён боевой вылет. Он держался в секрете, и корабль провожали только генерал Шидловский, его адъютант и Сикорский. После вылета экипажа Горшкова личному составу было объявлено о начале боевой работы (11230).</w:t>
      </w:r>
    </w:p>
    <w:p w14:paraId="30373610" w14:textId="77777777" w:rsidR="000B6056" w:rsidRPr="00405303" w:rsidRDefault="000B6056" w:rsidP="00C15251">
      <w:pPr>
        <w:jc w:val="both"/>
        <w:rPr>
          <w:bCs/>
          <w:color w:val="002060"/>
          <w:sz w:val="16"/>
          <w:szCs w:val="16"/>
        </w:rPr>
      </w:pPr>
      <w:r w:rsidRPr="00405303">
        <w:rPr>
          <w:bCs/>
          <w:color w:val="002060"/>
          <w:sz w:val="16"/>
          <w:szCs w:val="16"/>
        </w:rPr>
        <w:t>"Муромец" медленно набирал высоту. Командир сделал над аэродромом два круга и на высоте 1800 м лег на курс. Было ясно и тихо. Ни ветерка. Корабль, кажется, стоял в недвижном воздухе. Ровно гудели моторы, все выло в порядке. Каждый молча занимался своим делом, каждый был углублен в себя. Все-таки первый боевой вылет. Как поведет себя противник, как машина, ведь она ничем не защищена снизу. В косых лучах утреннего солнца четко просматривались неприятельские окопы. Наумов работал с картой, сверяя ее с местностью, Башко был наготове рядом с командиром. Но нес было тихо. Зенитки не стреляли, истребителей не видно. Самолет углубился в тыл противника. Моторист Чучелов, уставший ждать неприятеля, покинул свой пост и сходил проверил двигатели. Все было в порядке. Полет протекал нормально. Прошли две станции, сфотографировали поезд, а конечного пункта маршрута Пилленберга все не было. Горшков грозно посматривал штурмана, тот нервничал. Стало ясно - заблудились. Горшков повернул назад. При проходе линии фронта у всех опять засосало под ложечкой, но все было спокойно. Уже на снижении вспомнили о бомбах, но делать нечего, пришлось с ними садиться. Что ж, пер вый блин комом. С горечью пришлось доложить генералу о неполном выполнении боевого задания. Тем не менее первый боевой опыт уже был. Тщательно осмотрели корабль - ни единой царапины. Неудовлетворенный результатами вылета. Горшков решил повторить вылет прямо на следующий день. Уже по знакомому маршруту точно вышли на Вилленберг и сделали три захода - на первом пристрелка, на втором сбросили серию из пяти бомб, на третьем сфотографировали станцию, уже окутанную дымом. Попадания были точными, прямо среди подвижного состава. На обратном пути "Муромца" с земли дважды обстреляли из пулеметов, и опять ни одной пробоины. Опыта стрельбы по таким мишеням у неприятеля пока еще не было. Этими двумя полетами и началась боевая работа эскадры (11230).</w:t>
      </w:r>
    </w:p>
    <w:p w14:paraId="5121E153" w14:textId="77777777" w:rsidR="000B6056" w:rsidRPr="00405303" w:rsidRDefault="000B6056" w:rsidP="00C15251">
      <w:pPr>
        <w:jc w:val="both"/>
        <w:rPr>
          <w:bCs/>
          <w:color w:val="002060"/>
          <w:sz w:val="16"/>
          <w:szCs w:val="16"/>
        </w:rPr>
      </w:pPr>
    </w:p>
    <w:p w14:paraId="1BCDFB01" w14:textId="77777777" w:rsidR="000B6056" w:rsidRPr="00405303" w:rsidRDefault="000B6056" w:rsidP="00C15251">
      <w:pPr>
        <w:jc w:val="both"/>
        <w:rPr>
          <w:bCs/>
          <w:i/>
          <w:color w:val="002060"/>
          <w:sz w:val="16"/>
          <w:szCs w:val="16"/>
        </w:rPr>
      </w:pPr>
      <w:r w:rsidRPr="00405303">
        <w:rPr>
          <w:bCs/>
          <w:i/>
          <w:color w:val="002060"/>
          <w:sz w:val="16"/>
          <w:szCs w:val="16"/>
        </w:rPr>
        <w:t>За рубежом:</w:t>
      </w:r>
    </w:p>
    <w:p w14:paraId="482324A3" w14:textId="77777777" w:rsidR="000B6056" w:rsidRPr="00405303" w:rsidRDefault="000B6056" w:rsidP="00C15251">
      <w:pPr>
        <w:jc w:val="both"/>
        <w:rPr>
          <w:bCs/>
          <w:i/>
          <w:color w:val="002060"/>
          <w:sz w:val="16"/>
          <w:szCs w:val="16"/>
        </w:rPr>
      </w:pPr>
    </w:p>
    <w:p w14:paraId="074161CD" w14:textId="77360886" w:rsidR="000B6056" w:rsidRPr="00405303" w:rsidRDefault="000B6056" w:rsidP="00C15251">
      <w:pPr>
        <w:jc w:val="both"/>
        <w:rPr>
          <w:bCs/>
          <w:color w:val="002060"/>
          <w:sz w:val="16"/>
          <w:szCs w:val="16"/>
        </w:rPr>
      </w:pPr>
      <w:r w:rsidRPr="00405303">
        <w:rPr>
          <w:bCs/>
          <w:color w:val="002060"/>
          <w:sz w:val="16"/>
          <w:szCs w:val="16"/>
        </w:rPr>
        <w:t xml:space="preserve">В начале февраля 1915 года в Мюррей Клубе (Murray's Club) беседовали майор R.N.A.S. Хезерингтон, лейтенант R.N.A.S. Стерн, гоночный моторист Джеймс Редли. Двух первых из этой компании, рассуждавшей о том, как преодолеть Рейн, охарактеризуем особо Томас Дж. Хезерингтон — 28 лет, вместо университета работал три года в качестве ученика на механических заводах Модсли, служил в 18-м гусарском полку, представлял Великобританию на конных скачках в Сан-Себастьяне, Брюсселе, Нью-Йорке, Чикаго, летал с 1911 года, имел сертификат авиатора за № 25, один из основателей авиабатальона Королевского инженерного корпуса, в 1912 году получил сертификат пилота-воздухоплавателя. </w:t>
      </w:r>
    </w:p>
    <w:p w14:paraId="7251AE1E" w14:textId="77777777" w:rsidR="000B6056" w:rsidRPr="00405303" w:rsidRDefault="000B6056" w:rsidP="00C15251">
      <w:pPr>
        <w:jc w:val="both"/>
        <w:rPr>
          <w:bCs/>
          <w:color w:val="002060"/>
          <w:sz w:val="16"/>
          <w:szCs w:val="16"/>
        </w:rPr>
      </w:pPr>
      <w:r w:rsidRPr="00405303">
        <w:rPr>
          <w:bCs/>
          <w:color w:val="002060"/>
          <w:sz w:val="16"/>
          <w:szCs w:val="16"/>
        </w:rPr>
        <w:t>Альберт Джеральд Стерн. Секретарь «Комитета сухопутных кораблей» (L.S.C.). Человек колоссальных пробивных способностей. Сын Джеймса Стерна, основавшего в 1807 году во Франкфурте банкирский дом «Братья Стерн» (подобно Ротшильдам, три независимых отделения во Франкфурте, Париже, Лондоне), после Оксфорда изучал банковское дело во Франкфурте и Нью-Йорке, в 25 лет был принят в партнёры.</w:t>
      </w:r>
    </w:p>
    <w:p w14:paraId="42919B07" w14:textId="77777777" w:rsidR="000B6056" w:rsidRPr="00405303" w:rsidRDefault="000B6056" w:rsidP="00C15251">
      <w:pPr>
        <w:jc w:val="both"/>
        <w:rPr>
          <w:bCs/>
          <w:color w:val="002060"/>
          <w:sz w:val="16"/>
          <w:szCs w:val="16"/>
        </w:rPr>
      </w:pPr>
      <w:r w:rsidRPr="00405303">
        <w:rPr>
          <w:bCs/>
          <w:color w:val="002060"/>
          <w:sz w:val="16"/>
          <w:szCs w:val="16"/>
        </w:rPr>
        <w:t xml:space="preserve">В тот день Хезерингтон был в ударе, много говорил и в основном о хорошо известном аттракционе «Большое колесо». Его сознание преломляло эту штуку в громадный трёхколёсный «сухопутный линкор». Идея впечатляла. Герцог Вэстминстерский — 35-летний офицер R.N.A.S. (в марте 2-му бронедивизиону под его командой предстояло направиться во Францию) согласился устроить званый обед с участием Черчилля. Он состоялся 17 февраля. От R.N.A.S. присутствовали Суэтер, Хезерингтон, Стерн, Бригс. Абсурдность видений Хезерингтона, демонстрировавшего богатейшее воображение, не смутила Первого лорда даже при последующем обсуждении с адмиралом Джоном Фишером, не оставившем от них камня на камне. Вскоре будет ясно сколь здраво поступил Черчилль. Никто не понимал всю широту задачи так, как он, ибо волей судьбы владел всей полнотой информации, а именно: </w:t>
      </w:r>
    </w:p>
    <w:p w14:paraId="66F52532" w14:textId="77777777" w:rsidR="000B6056" w:rsidRPr="00405303" w:rsidRDefault="000B6056" w:rsidP="00C15251">
      <w:pPr>
        <w:jc w:val="both"/>
        <w:rPr>
          <w:bCs/>
          <w:color w:val="002060"/>
          <w:sz w:val="16"/>
          <w:szCs w:val="16"/>
        </w:rPr>
      </w:pPr>
      <w:r w:rsidRPr="00405303">
        <w:rPr>
          <w:bCs/>
          <w:color w:val="002060"/>
          <w:sz w:val="16"/>
          <w:szCs w:val="16"/>
        </w:rPr>
        <w:t xml:space="preserve">I. Успехи автобронеслужбы R.N.A.S. для Первого лорда Адмиралтейства не секрет, как не секрет, что траншеи для бронеавтомобилей непреодолимы. Однако ещё в ноябре 1914 года капитан Туллок, управлявший Пороховой компанией в Чильворте, сообщил свои мысли Морису Хэнки на счёт создания бронированного «сухопутного крейсера», способного добраться до неприятельских пушечных и гаубичных позиций, а позже довёл их и до Черчилля. </w:t>
      </w:r>
    </w:p>
    <w:p w14:paraId="65A0DE35" w14:textId="77777777" w:rsidR="000B6056" w:rsidRPr="00405303" w:rsidRDefault="000B6056" w:rsidP="00C15251">
      <w:pPr>
        <w:jc w:val="both"/>
        <w:rPr>
          <w:bCs/>
          <w:color w:val="002060"/>
          <w:sz w:val="16"/>
          <w:szCs w:val="16"/>
        </w:rPr>
      </w:pPr>
      <w:r w:rsidRPr="00405303">
        <w:rPr>
          <w:bCs/>
          <w:color w:val="002060"/>
          <w:sz w:val="16"/>
          <w:szCs w:val="16"/>
        </w:rPr>
        <w:t xml:space="preserve">II. Только что Свинтона постигла неудача — армия вынесла отрицательный вердикт по «Holt». Содержание меморандума Хэнки Черчиллю было хорошо известно, в январе 1915 он сам направил развёрнутое письмо в его поддержку на имя Премьера Асквита. В данном случае всего днём раньше, 16. 02. 1915 года на параде Конной Гвардии он лично встал между оглоблями одногусеничной (вспомним «Вездеход») прицепки «Pedrail» и выяснил, что может без труда буксировать 2 тонны. Инженер Брахам Диплок, владелец «Diplock» Caterpillar Tractor Company из Фулхэма заявил о существовании этой коммерческой тележки на конной тяге 14. 11. 1914 года, рекомендовал использовать для перевозки тяжёлых орудий и снаряжения по тяжёлым грунтам. Лорд Китченер ничего дельного в ней не нашёл, Черчилль решил осмотреть. Организация осмотра, кстати, не обошлась без участия Суэте-ра и Хезерингтона. </w:t>
      </w:r>
    </w:p>
    <w:p w14:paraId="6779786F" w14:textId="77777777" w:rsidR="000B6056" w:rsidRPr="00405303" w:rsidRDefault="000B6056" w:rsidP="00C15251">
      <w:pPr>
        <w:jc w:val="both"/>
        <w:rPr>
          <w:bCs/>
          <w:color w:val="002060"/>
          <w:sz w:val="16"/>
          <w:szCs w:val="16"/>
        </w:rPr>
      </w:pPr>
      <w:r w:rsidRPr="00405303">
        <w:rPr>
          <w:bCs/>
          <w:color w:val="002060"/>
          <w:sz w:val="16"/>
          <w:szCs w:val="16"/>
        </w:rPr>
        <w:t>III. 13.02.1915 года Черчилль выдал заказ на 30 тракторов тягачей «Daimler-Foster» R.M.A. (Royal Marine Artillery — Королевская Морская Артиллерия) — средство буксировки 15-дм гаубиц адмирала Бэкона (Артзаводы Ковентри). Приобретение орудий планировалось при условии комплектации подходящими тягачами. По заказу Бэкона тягач спроектировал Уильям Триттон, исполнительный директор «Lincolnengineers William Foster &amp; ОД». 01.11.1914 года первый образец вышел на испытания. Его большие ведущие колёса имели в диаметре 8 футов (какой ни есть, а Хезерингтону бальзам на душу) (12111).</w:t>
      </w:r>
    </w:p>
    <w:p w14:paraId="3A0E2AB8" w14:textId="77777777" w:rsidR="000B6056" w:rsidRPr="00405303" w:rsidRDefault="000B6056" w:rsidP="00C15251">
      <w:pPr>
        <w:jc w:val="both"/>
        <w:rPr>
          <w:bCs/>
          <w:color w:val="002060"/>
          <w:sz w:val="16"/>
          <w:szCs w:val="16"/>
        </w:rPr>
      </w:pPr>
    </w:p>
    <w:p w14:paraId="17446D7A" w14:textId="77777777" w:rsidR="007D393D" w:rsidRPr="00405303" w:rsidRDefault="007D393D" w:rsidP="00C15251">
      <w:pPr>
        <w:jc w:val="both"/>
        <w:rPr>
          <w:bCs/>
          <w:i/>
          <w:color w:val="002060"/>
          <w:sz w:val="16"/>
          <w:szCs w:val="16"/>
        </w:rPr>
      </w:pPr>
      <w:r w:rsidRPr="00405303">
        <w:rPr>
          <w:bCs/>
          <w:i/>
          <w:color w:val="002060"/>
          <w:sz w:val="16"/>
          <w:szCs w:val="16"/>
        </w:rPr>
        <w:t>Аэростатостроение:</w:t>
      </w:r>
    </w:p>
    <w:p w14:paraId="37289565" w14:textId="77777777" w:rsidR="007D393D" w:rsidRPr="00405303" w:rsidRDefault="007D393D" w:rsidP="00C15251">
      <w:pPr>
        <w:jc w:val="both"/>
        <w:rPr>
          <w:bCs/>
          <w:i/>
          <w:color w:val="002060"/>
          <w:sz w:val="16"/>
          <w:szCs w:val="16"/>
        </w:rPr>
      </w:pPr>
    </w:p>
    <w:p w14:paraId="3F95E110" w14:textId="54E60871" w:rsidR="007D393D" w:rsidRPr="00405303" w:rsidRDefault="007D393D" w:rsidP="00C15251">
      <w:pPr>
        <w:jc w:val="both"/>
        <w:rPr>
          <w:bCs/>
          <w:color w:val="002060"/>
          <w:sz w:val="16"/>
          <w:szCs w:val="16"/>
        </w:rPr>
      </w:pPr>
      <w:r w:rsidRPr="00405303">
        <w:rPr>
          <w:rStyle w:val="42"/>
          <w:rFonts w:ascii="Times New Roman" w:hAnsi="Times New Roman" w:cs="Times New Roman"/>
          <w:bCs/>
          <w:color w:val="002060"/>
          <w:w w:val="100"/>
          <w:sz w:val="16"/>
          <w:szCs w:val="16"/>
        </w:rPr>
        <w:t xml:space="preserve">9 (22) февраля 1915 г. </w:t>
      </w:r>
      <w:r w:rsidR="00185B77" w:rsidRPr="00405303">
        <w:rPr>
          <w:rStyle w:val="42"/>
          <w:rFonts w:ascii="Times New Roman" w:hAnsi="Times New Roman" w:cs="Times New Roman"/>
          <w:bCs/>
          <w:color w:val="002060"/>
          <w:w w:val="100"/>
          <w:sz w:val="16"/>
          <w:szCs w:val="16"/>
        </w:rPr>
        <w:t xml:space="preserve">в эллинге в д. Сализи Гигант собрали. Только </w:t>
      </w:r>
      <w:r w:rsidRPr="00405303">
        <w:rPr>
          <w:rStyle w:val="42"/>
          <w:rFonts w:ascii="Times New Roman" w:hAnsi="Times New Roman" w:cs="Times New Roman"/>
          <w:bCs/>
          <w:color w:val="002060"/>
          <w:w w:val="100"/>
          <w:sz w:val="16"/>
          <w:szCs w:val="16"/>
        </w:rPr>
        <w:t>Оболочку дирижабля объёмом 20 500 м3 (длина 114 м, мак</w:t>
      </w:r>
      <w:r w:rsidRPr="00405303">
        <w:rPr>
          <w:rStyle w:val="42"/>
          <w:rFonts w:ascii="Times New Roman" w:hAnsi="Times New Roman" w:cs="Times New Roman"/>
          <w:bCs/>
          <w:color w:val="002060"/>
          <w:w w:val="100"/>
          <w:sz w:val="16"/>
          <w:szCs w:val="16"/>
        </w:rPr>
        <w:softHyphen/>
        <w:t>симальный диаметр — 17 м) выполнили из шёл</w:t>
      </w:r>
      <w:r w:rsidRPr="00405303">
        <w:rPr>
          <w:rStyle w:val="42"/>
          <w:rFonts w:ascii="Times New Roman" w:hAnsi="Times New Roman" w:cs="Times New Roman"/>
          <w:bCs/>
          <w:color w:val="002060"/>
          <w:w w:val="100"/>
          <w:sz w:val="16"/>
          <w:szCs w:val="16"/>
        </w:rPr>
        <w:softHyphen/>
        <w:t>ковой прорезиненной ткани, изготовленной во Франции. Давление в трёх баллонетах дирижа</w:t>
      </w:r>
      <w:r w:rsidRPr="00405303">
        <w:rPr>
          <w:rStyle w:val="42"/>
          <w:rFonts w:ascii="Times New Roman" w:hAnsi="Times New Roman" w:cs="Times New Roman"/>
          <w:bCs/>
          <w:color w:val="002060"/>
          <w:w w:val="100"/>
          <w:sz w:val="16"/>
          <w:szCs w:val="16"/>
        </w:rPr>
        <w:softHyphen/>
        <w:t>бля (по 1800 м3) поддерживалось вентиляторами системы «Сирокко», работавшими от отдельных бензиновых двигателей. Жёсткая килевая ферма «Гиганта» из цельнотянутых стальных труб рас</w:t>
      </w:r>
      <w:r w:rsidRPr="00405303">
        <w:rPr>
          <w:rStyle w:val="42"/>
          <w:rFonts w:ascii="Times New Roman" w:hAnsi="Times New Roman" w:cs="Times New Roman"/>
          <w:bCs/>
          <w:color w:val="002060"/>
          <w:w w:val="100"/>
          <w:sz w:val="16"/>
          <w:szCs w:val="16"/>
        </w:rPr>
        <w:softHyphen/>
        <w:t>полагалась внутри оболочки в её нижней трети. С килевой фермой жёстко соединялась длинная гондола, также выполненная из стальных труб. Затянутая тканью гондола составляла одно целое с оболочкой дирижабля (20120).</w:t>
      </w:r>
    </w:p>
    <w:p w14:paraId="73E8032B" w14:textId="77777777" w:rsidR="007D393D" w:rsidRPr="00405303" w:rsidRDefault="007D393D" w:rsidP="00C15251">
      <w:pPr>
        <w:jc w:val="both"/>
        <w:rPr>
          <w:bCs/>
          <w:color w:val="002060"/>
          <w:sz w:val="16"/>
          <w:szCs w:val="16"/>
        </w:rPr>
      </w:pPr>
    </w:p>
    <w:p w14:paraId="0B29B36E" w14:textId="3B994864" w:rsidR="002B682D" w:rsidRPr="00405303" w:rsidRDefault="002B682D" w:rsidP="00C15251">
      <w:pPr>
        <w:jc w:val="both"/>
        <w:rPr>
          <w:bCs/>
          <w:i/>
          <w:color w:val="002060"/>
          <w:sz w:val="16"/>
          <w:szCs w:val="16"/>
        </w:rPr>
      </w:pPr>
      <w:r w:rsidRPr="00405303">
        <w:rPr>
          <w:bCs/>
          <w:i/>
          <w:color w:val="002060"/>
          <w:sz w:val="16"/>
          <w:szCs w:val="16"/>
        </w:rPr>
        <w:t>Другие оборонные отрасли:</w:t>
      </w:r>
    </w:p>
    <w:p w14:paraId="6434513F" w14:textId="77777777" w:rsidR="002B682D" w:rsidRPr="00405303" w:rsidRDefault="002B682D" w:rsidP="00C15251">
      <w:pPr>
        <w:jc w:val="both"/>
        <w:rPr>
          <w:bCs/>
          <w:i/>
          <w:color w:val="002060"/>
          <w:sz w:val="16"/>
          <w:szCs w:val="16"/>
        </w:rPr>
      </w:pPr>
    </w:p>
    <w:p w14:paraId="461DBACC" w14:textId="6B91C672" w:rsidR="002B682D" w:rsidRPr="00405303" w:rsidRDefault="002B682D"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9 (22) февраля 1915 г. правление РАОАЗ пересмотрело условия по оружейному заводу: речь шла о заказе уже не менее 3 млн винтовок; завод должен был выпускать 500 тысяч винтовок в год, число рабочих намечалось в 10 тысяч.). 6 февраля это заявле</w:t>
      </w:r>
      <w:r w:rsidRPr="00405303">
        <w:rPr>
          <w:rFonts w:ascii="Times New Roman" w:hAnsi="Times New Roman" w:cs="Times New Roman"/>
          <w:bCs/>
          <w:color w:val="002060"/>
          <w:sz w:val="16"/>
          <w:szCs w:val="16"/>
        </w:rPr>
        <w:softHyphen/>
        <w:t>ние было подкреплено телеграммой одного из директоров компании «Виккерс» Ф. Баркера о готовности продать обо</w:t>
      </w:r>
      <w:r w:rsidRPr="00405303">
        <w:rPr>
          <w:rFonts w:ascii="Times New Roman" w:hAnsi="Times New Roman" w:cs="Times New Roman"/>
          <w:bCs/>
          <w:color w:val="002060"/>
          <w:sz w:val="16"/>
          <w:szCs w:val="16"/>
        </w:rPr>
        <w:softHyphen/>
        <w:t>рудование для производства 375 тысяч винтовок в год (при работе 3 тысяч рабочих в одну смену; при двухсменной ра</w:t>
      </w:r>
      <w:r w:rsidRPr="00405303">
        <w:rPr>
          <w:rFonts w:ascii="Times New Roman" w:hAnsi="Times New Roman" w:cs="Times New Roman"/>
          <w:bCs/>
          <w:color w:val="002060"/>
          <w:sz w:val="16"/>
          <w:szCs w:val="16"/>
        </w:rPr>
        <w:softHyphen/>
        <w:t>боте они изготовляли бы 650 тысяч в год). Ответ требовал</w:t>
      </w:r>
      <w:r w:rsidRPr="00405303">
        <w:rPr>
          <w:rFonts w:ascii="Times New Roman" w:hAnsi="Times New Roman" w:cs="Times New Roman"/>
          <w:bCs/>
          <w:color w:val="002060"/>
          <w:sz w:val="16"/>
          <w:szCs w:val="16"/>
        </w:rPr>
        <w:softHyphen/>
        <w:t>ся в течение шести дней. Сухомлинов показал телеграмму Николаю II, и царь распорядился: «Не упускайте завода» и «повелел рассмотреть этот вопрос спешно в Совете мини</w:t>
      </w:r>
      <w:r w:rsidRPr="00405303">
        <w:rPr>
          <w:rFonts w:ascii="Times New Roman" w:hAnsi="Times New Roman" w:cs="Times New Roman"/>
          <w:bCs/>
          <w:color w:val="002060"/>
          <w:sz w:val="16"/>
          <w:szCs w:val="16"/>
        </w:rPr>
        <w:softHyphen/>
        <w:t>стров» (23452).</w:t>
      </w:r>
    </w:p>
    <w:p w14:paraId="7D9406F0" w14:textId="77777777" w:rsidR="002B682D" w:rsidRPr="00405303" w:rsidRDefault="002B682D" w:rsidP="00C15251">
      <w:pPr>
        <w:jc w:val="both"/>
        <w:rPr>
          <w:bCs/>
          <w:color w:val="002060"/>
          <w:sz w:val="16"/>
          <w:szCs w:val="16"/>
          <w:lang w:bidi="ru-RU"/>
        </w:rPr>
      </w:pPr>
    </w:p>
    <w:p w14:paraId="4C899A01" w14:textId="59D53A8E" w:rsidR="004B4E35" w:rsidRPr="00405303" w:rsidRDefault="009E6F82" w:rsidP="00C15251">
      <w:pPr>
        <w:jc w:val="both"/>
        <w:rPr>
          <w:bCs/>
          <w:i/>
          <w:color w:val="002060"/>
          <w:sz w:val="16"/>
          <w:szCs w:val="16"/>
        </w:rPr>
      </w:pPr>
      <w:r w:rsidRPr="00405303">
        <w:rPr>
          <w:bCs/>
          <w:i/>
          <w:color w:val="002060"/>
          <w:sz w:val="16"/>
          <w:szCs w:val="16"/>
        </w:rPr>
        <w:t>Аэростатостроение:</w:t>
      </w:r>
    </w:p>
    <w:p w14:paraId="55E5E4F0" w14:textId="77777777" w:rsidR="004B4E35" w:rsidRPr="00405303" w:rsidRDefault="004B4E35" w:rsidP="00C15251">
      <w:pPr>
        <w:jc w:val="both"/>
        <w:rPr>
          <w:bCs/>
          <w:i/>
          <w:color w:val="002060"/>
          <w:sz w:val="16"/>
          <w:szCs w:val="16"/>
        </w:rPr>
      </w:pPr>
    </w:p>
    <w:p w14:paraId="6F8CBD7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 (23) февраля 1915 в деревне Сализи близ Гатчины состоялся испы-гательный полёт самого большого в России дирижабля "Гигант" конструкции А.И.Шабского и А.М.Кованько. Дирижабль - полужест-юй системы объемом 18000 м</w:t>
      </w:r>
      <w:r w:rsidRPr="00405303">
        <w:rPr>
          <w:bCs/>
          <w:color w:val="002060"/>
          <w:sz w:val="16"/>
          <w:szCs w:val="16"/>
          <w:vertAlign w:val="superscript"/>
        </w:rPr>
        <w:t>3</w:t>
      </w:r>
      <w:r w:rsidRPr="00405303">
        <w:rPr>
          <w:bCs/>
          <w:color w:val="002060"/>
          <w:sz w:val="16"/>
          <w:szCs w:val="16"/>
        </w:rPr>
        <w:t>, с двумя двигателями по 150 л.с. Запас горючего был рассчитан на 20 часов полета.Испытывал юручик ЛД.Липгошг. Вследствие конструктивных недостатков цирижаблъ прогнулся в середине и упал на деревья. Дирижабль был признан негодным к ремонту, и его разобрали. Это был последний дирижабль, построенный в дореволюционной России. (ЦГВИА. ф.2008, оп.1, д. 598, л. 174).</w:t>
      </w:r>
    </w:p>
    <w:p w14:paraId="054CE50F" w14:textId="77777777" w:rsidR="004B4E35" w:rsidRPr="00405303" w:rsidRDefault="004B4E35" w:rsidP="00C15251">
      <w:pPr>
        <w:shd w:val="clear" w:color="auto" w:fill="FFFFFF"/>
        <w:jc w:val="both"/>
        <w:rPr>
          <w:bCs/>
          <w:color w:val="002060"/>
          <w:sz w:val="16"/>
          <w:szCs w:val="16"/>
        </w:rPr>
      </w:pPr>
    </w:p>
    <w:p w14:paraId="70CD0ED6" w14:textId="5E78AB8A" w:rsidR="004B4E35" w:rsidRPr="00405303" w:rsidRDefault="009E6F82" w:rsidP="00C15251">
      <w:pPr>
        <w:jc w:val="both"/>
        <w:rPr>
          <w:bCs/>
          <w:color w:val="002060"/>
          <w:sz w:val="16"/>
          <w:szCs w:val="16"/>
        </w:rPr>
      </w:pPr>
      <w:r w:rsidRPr="00405303">
        <w:rPr>
          <w:bCs/>
          <w:color w:val="002060"/>
          <w:sz w:val="16"/>
          <w:szCs w:val="16"/>
        </w:rPr>
        <w:t>10 (23) февраля 1915 года</w:t>
      </w:r>
      <w:r w:rsidR="00185B77" w:rsidRPr="00405303">
        <w:rPr>
          <w:bCs/>
          <w:color w:val="002060"/>
          <w:sz w:val="16"/>
          <w:szCs w:val="16"/>
        </w:rPr>
        <w:t xml:space="preserve"> Гигант совершил свой первый (и, как оказалось, последний) полет</w:t>
      </w:r>
      <w:r w:rsidRPr="00405303">
        <w:rPr>
          <w:bCs/>
          <w:color w:val="002060"/>
          <w:sz w:val="16"/>
          <w:szCs w:val="16"/>
        </w:rPr>
        <w:t xml:space="preserve">. При сборке было допущено не предусмотренное проектом смещение двигателей в центральную часть корпуса, и каркас дирижабля в первом же полете, не выдержав нагрузки, прогнулся в средней части. Один из пропеллеров ударил по тросовой расчалке, и корабль, сложившись пополам, плавно опустился на лес. Пострадавших при этом не было. </w:t>
      </w:r>
    </w:p>
    <w:p w14:paraId="05BF1CDC" w14:textId="77777777" w:rsidR="004B4E35" w:rsidRPr="00405303" w:rsidRDefault="009E6F82" w:rsidP="00C15251">
      <w:pPr>
        <w:jc w:val="both"/>
        <w:rPr>
          <w:bCs/>
          <w:color w:val="002060"/>
          <w:sz w:val="16"/>
          <w:szCs w:val="16"/>
        </w:rPr>
      </w:pPr>
      <w:r w:rsidRPr="00405303">
        <w:rPr>
          <w:bCs/>
          <w:color w:val="002060"/>
          <w:sz w:val="16"/>
          <w:szCs w:val="16"/>
        </w:rPr>
        <w:t>Столь серьезная авария потребовала полной переделки «Гиганта», закончившейся лишь к концу 1915 года. Испытания дирижабля откладывались с месяца на месяц, так как великий князь Александр Михайлович, шеф Главного военно-технического управления, под различными предлогами отказывал в выделении водорода для заполнения оболочки. Реальные причины отказов состояли в следующем. Во-первых, воздухоплавательные роты действующей армии испытывали недостаток в газе для змейковых аэростатов. Во-вторых, характеристики «Гиганта» уже уступали его боевым современникам. Но самое главное — два года мировой войны окончательно решили спор между дирижаблями и самолетами за место в воздухе (11324).</w:t>
      </w:r>
    </w:p>
    <w:p w14:paraId="0FC2D3CE" w14:textId="77777777" w:rsidR="004B4E35" w:rsidRPr="00405303" w:rsidRDefault="004B4E35" w:rsidP="00C15251">
      <w:pPr>
        <w:pStyle w:val="a3"/>
        <w:jc w:val="both"/>
        <w:rPr>
          <w:bCs/>
          <w:color w:val="002060"/>
          <w:spacing w:val="0"/>
          <w:kern w:val="0"/>
          <w:position w:val="0"/>
          <w:sz w:val="16"/>
          <w:szCs w:val="16"/>
        </w:rPr>
      </w:pPr>
    </w:p>
    <w:p w14:paraId="7FE989AA" w14:textId="77777777" w:rsidR="00C02BCF" w:rsidRPr="00405303" w:rsidRDefault="00C02BCF" w:rsidP="00C15251">
      <w:pPr>
        <w:jc w:val="both"/>
        <w:rPr>
          <w:bCs/>
          <w:color w:val="002060"/>
          <w:sz w:val="16"/>
          <w:szCs w:val="16"/>
        </w:rPr>
      </w:pPr>
      <w:r w:rsidRPr="00405303">
        <w:rPr>
          <w:rStyle w:val="42"/>
          <w:rFonts w:ascii="Times New Roman" w:hAnsi="Times New Roman" w:cs="Times New Roman"/>
          <w:bCs/>
          <w:color w:val="002060"/>
          <w:w w:val="100"/>
          <w:sz w:val="16"/>
          <w:szCs w:val="16"/>
        </w:rPr>
        <w:t>10 (23) февраля 1915 г. в 15.20 «Гигант» вышел в свой первый полёт. Сразу же после подъёма стало видно, что оболочка вследствие нарушения центровки теряет жёсткость. Через 10-15 минут полёта на высоте 250 м над лесом около Егерской слободки левый винт задел лопастью провисший от изгиба оболочки трос, поддерживавший гон</w:t>
      </w:r>
      <w:r w:rsidRPr="00405303">
        <w:rPr>
          <w:rStyle w:val="42"/>
          <w:rFonts w:ascii="Times New Roman" w:hAnsi="Times New Roman" w:cs="Times New Roman"/>
          <w:bCs/>
          <w:color w:val="002060"/>
          <w:w w:val="100"/>
          <w:sz w:val="16"/>
          <w:szCs w:val="16"/>
        </w:rPr>
        <w:softHyphen/>
        <w:t>долу. Находившийся на борту дирижабля меха</w:t>
      </w:r>
      <w:r w:rsidRPr="00405303">
        <w:rPr>
          <w:rStyle w:val="42"/>
          <w:rFonts w:ascii="Times New Roman" w:hAnsi="Times New Roman" w:cs="Times New Roman"/>
          <w:bCs/>
          <w:color w:val="002060"/>
          <w:w w:val="100"/>
          <w:sz w:val="16"/>
          <w:szCs w:val="16"/>
        </w:rPr>
        <w:softHyphen/>
        <w:t>ник Балтийского завода Куприян Сирота почув</w:t>
      </w:r>
      <w:r w:rsidRPr="00405303">
        <w:rPr>
          <w:rStyle w:val="42"/>
          <w:rFonts w:ascii="Times New Roman" w:hAnsi="Times New Roman" w:cs="Times New Roman"/>
          <w:bCs/>
          <w:color w:val="002060"/>
          <w:w w:val="100"/>
          <w:sz w:val="16"/>
          <w:szCs w:val="16"/>
        </w:rPr>
        <w:softHyphen/>
        <w:t>ствовал, как вдруг задрожала гондола, пол под нею стал трещать, а мотор — выбрасывать огонь из выхлопной трубы. «Выглянув из кабины, — вспоминал Сирота, — я увидел, что на валу нет пропеллера». Его лопасти разлетелись в щепы от ударов о металлический трос. Осколки винта про</w:t>
      </w:r>
      <w:r w:rsidRPr="00405303">
        <w:rPr>
          <w:rStyle w:val="42"/>
          <w:rFonts w:ascii="Times New Roman" w:hAnsi="Times New Roman" w:cs="Times New Roman"/>
          <w:bCs/>
          <w:color w:val="002060"/>
          <w:w w:val="100"/>
          <w:sz w:val="16"/>
          <w:szCs w:val="16"/>
        </w:rPr>
        <w:softHyphen/>
        <w:t>били оболочку, и дирижабль стал спускаться68.</w:t>
      </w:r>
    </w:p>
    <w:p w14:paraId="3D53470E" w14:textId="77777777" w:rsidR="00C02BCF" w:rsidRPr="00405303" w:rsidRDefault="00C02BCF" w:rsidP="00C15251">
      <w:pPr>
        <w:jc w:val="both"/>
        <w:rPr>
          <w:bCs/>
          <w:color w:val="002060"/>
          <w:sz w:val="16"/>
          <w:szCs w:val="16"/>
        </w:rPr>
      </w:pPr>
      <w:r w:rsidRPr="00405303">
        <w:rPr>
          <w:rStyle w:val="42"/>
          <w:rFonts w:ascii="Times New Roman" w:hAnsi="Times New Roman" w:cs="Times New Roman"/>
          <w:bCs/>
          <w:color w:val="002060"/>
          <w:w w:val="100"/>
          <w:sz w:val="16"/>
          <w:szCs w:val="16"/>
        </w:rPr>
        <w:t>Вследствие падения сверхдавления оболочка стала складываться пополам. Не имевшая доста</w:t>
      </w:r>
      <w:r w:rsidRPr="00405303">
        <w:rPr>
          <w:rStyle w:val="42"/>
          <w:rFonts w:ascii="Times New Roman" w:hAnsi="Times New Roman" w:cs="Times New Roman"/>
          <w:bCs/>
          <w:color w:val="002060"/>
          <w:w w:val="100"/>
          <w:sz w:val="16"/>
          <w:szCs w:val="16"/>
        </w:rPr>
        <w:softHyphen/>
        <w:t>точной прочности гондола на высоте 40 м над</w:t>
      </w:r>
      <w:r w:rsidRPr="00405303">
        <w:rPr>
          <w:rStyle w:val="42"/>
          <w:rFonts w:ascii="Times New Roman" w:hAnsi="Times New Roman" w:cs="Times New Roman"/>
          <w:bCs/>
          <w:color w:val="002060"/>
          <w:w w:val="100"/>
          <w:sz w:val="16"/>
          <w:szCs w:val="16"/>
        </w:rPr>
        <w:softHyphen/>
        <w:t>ломилась в средней части. Всё произошло точно так, как за сутки до полёта и предполагал Дени</w:t>
      </w:r>
      <w:r w:rsidRPr="00405303">
        <w:rPr>
          <w:rStyle w:val="42"/>
          <w:rFonts w:ascii="Times New Roman" w:hAnsi="Times New Roman" w:cs="Times New Roman"/>
          <w:bCs/>
          <w:color w:val="002060"/>
          <w:w w:val="100"/>
          <w:sz w:val="16"/>
          <w:szCs w:val="16"/>
        </w:rPr>
        <w:softHyphen/>
        <w:t>сов. Снизившись ещё, «Гигант» уравновесился над вершинами деревьев. Экипаж сняла с помо</w:t>
      </w:r>
      <w:r w:rsidRPr="00405303">
        <w:rPr>
          <w:rStyle w:val="42"/>
          <w:rFonts w:ascii="Times New Roman" w:hAnsi="Times New Roman" w:cs="Times New Roman"/>
          <w:bCs/>
          <w:color w:val="002060"/>
          <w:w w:val="100"/>
          <w:sz w:val="16"/>
          <w:szCs w:val="16"/>
        </w:rPr>
        <w:softHyphen/>
        <w:t>щью канатов подоспевшая стартовая команда. После вскрытия разрывного полотнища и выхо</w:t>
      </w:r>
      <w:r w:rsidRPr="00405303">
        <w:rPr>
          <w:rStyle w:val="42"/>
          <w:rFonts w:ascii="Times New Roman" w:hAnsi="Times New Roman" w:cs="Times New Roman"/>
          <w:bCs/>
          <w:color w:val="002060"/>
          <w:w w:val="100"/>
          <w:sz w:val="16"/>
          <w:szCs w:val="16"/>
        </w:rPr>
        <w:softHyphen/>
        <w:t>да газа оболочка с гондолой рухнула на землю.</w:t>
      </w:r>
    </w:p>
    <w:p w14:paraId="3ED9A726" w14:textId="77777777" w:rsidR="00C02BCF" w:rsidRPr="00405303" w:rsidRDefault="00C02BCF" w:rsidP="00C15251">
      <w:pPr>
        <w:jc w:val="both"/>
        <w:rPr>
          <w:bCs/>
          <w:color w:val="002060"/>
          <w:sz w:val="16"/>
          <w:szCs w:val="16"/>
        </w:rPr>
      </w:pPr>
      <w:r w:rsidRPr="00405303">
        <w:rPr>
          <w:rStyle w:val="42"/>
          <w:rFonts w:ascii="Times New Roman" w:hAnsi="Times New Roman" w:cs="Times New Roman"/>
          <w:bCs/>
          <w:color w:val="002060"/>
          <w:w w:val="100"/>
          <w:sz w:val="16"/>
          <w:szCs w:val="16"/>
        </w:rPr>
        <w:t>Авария «Гиганта» произвела удручающее впе</w:t>
      </w:r>
      <w:r w:rsidRPr="00405303">
        <w:rPr>
          <w:rStyle w:val="42"/>
          <w:rFonts w:ascii="Times New Roman" w:hAnsi="Times New Roman" w:cs="Times New Roman"/>
          <w:bCs/>
          <w:color w:val="002060"/>
          <w:w w:val="100"/>
          <w:sz w:val="16"/>
          <w:szCs w:val="16"/>
        </w:rPr>
        <w:softHyphen/>
        <w:t>чатление на 12-ю воздухоплавательную роту, о чём свидетельствует письмо группы солдат роты своему любимому командиру Е.Д. Кара- мышеву (см. с. 504). В этом трогательном, напи</w:t>
      </w:r>
      <w:r w:rsidRPr="00405303">
        <w:rPr>
          <w:rStyle w:val="42"/>
          <w:rFonts w:ascii="Times New Roman" w:hAnsi="Times New Roman" w:cs="Times New Roman"/>
          <w:bCs/>
          <w:color w:val="002060"/>
          <w:w w:val="100"/>
          <w:sz w:val="16"/>
          <w:szCs w:val="16"/>
        </w:rPr>
        <w:softHyphen/>
        <w:t>санном не очень грамотным рядовым Василием Лапкиным послании, которое Евгений Дмитри</w:t>
      </w:r>
      <w:r w:rsidRPr="00405303">
        <w:rPr>
          <w:rStyle w:val="42"/>
          <w:rFonts w:ascii="Times New Roman" w:hAnsi="Times New Roman" w:cs="Times New Roman"/>
          <w:bCs/>
          <w:color w:val="002060"/>
          <w:w w:val="100"/>
          <w:sz w:val="16"/>
          <w:szCs w:val="16"/>
        </w:rPr>
        <w:softHyphen/>
        <w:t>евич хранил всю свою жизнь, нашло отражение патриотическое чувство солдат, тяготившихся своим пребыванием в тылу в то время, когда их товарищи сражаются на фронте. Они опасались, что война закончится без них, не представляя, че</w:t>
      </w:r>
      <w:r w:rsidRPr="00405303">
        <w:rPr>
          <w:rStyle w:val="42"/>
          <w:rFonts w:ascii="Times New Roman" w:hAnsi="Times New Roman" w:cs="Times New Roman"/>
          <w:bCs/>
          <w:color w:val="002060"/>
          <w:w w:val="100"/>
          <w:sz w:val="16"/>
          <w:szCs w:val="16"/>
        </w:rPr>
        <w:softHyphen/>
        <w:t>рез какие испытания им ещё предстоит пройти (20120).</w:t>
      </w:r>
    </w:p>
    <w:p w14:paraId="3EEE2616" w14:textId="77777777" w:rsidR="00C02BCF" w:rsidRPr="00405303" w:rsidRDefault="00C02BCF" w:rsidP="00C15251">
      <w:pPr>
        <w:jc w:val="both"/>
        <w:rPr>
          <w:bCs/>
          <w:color w:val="002060"/>
          <w:sz w:val="16"/>
          <w:szCs w:val="16"/>
        </w:rPr>
      </w:pPr>
    </w:p>
    <w:p w14:paraId="5137E632" w14:textId="09CD4D13" w:rsidR="00C02BCF" w:rsidRPr="00405303" w:rsidRDefault="00C02BCF" w:rsidP="00C15251">
      <w:pPr>
        <w:pStyle w:val="book"/>
        <w:spacing w:before="0" w:beforeAutospacing="0" w:after="0" w:afterAutospacing="0"/>
        <w:jc w:val="both"/>
        <w:rPr>
          <w:bCs/>
          <w:color w:val="002060"/>
          <w:sz w:val="16"/>
          <w:szCs w:val="16"/>
        </w:rPr>
      </w:pPr>
      <w:r w:rsidRPr="00405303">
        <w:rPr>
          <w:bCs/>
          <w:color w:val="002060"/>
          <w:sz w:val="16"/>
          <w:szCs w:val="16"/>
        </w:rPr>
        <w:t>10 (23) февраля 1915</w:t>
      </w:r>
      <w:r w:rsidR="00DB4D64" w:rsidRPr="00405303">
        <w:rPr>
          <w:bCs/>
          <w:color w:val="002060"/>
          <w:sz w:val="16"/>
          <w:szCs w:val="16"/>
        </w:rPr>
        <w:t xml:space="preserve"> </w:t>
      </w:r>
      <w:r w:rsidRPr="00405303">
        <w:rPr>
          <w:bCs/>
          <w:color w:val="002060"/>
          <w:sz w:val="16"/>
          <w:szCs w:val="16"/>
        </w:rPr>
        <w:t xml:space="preserve">г. состоялся первый испытательный полет дирижабля Гигант. Он окончился серьезной аварией из-за перемещения двигателей, не предусмотренного проектом и сделанного в отсутствие главного конструктора. Дирижабль прогнулся в средней части, вследствие чего один из пропеллеров ударил по тросовой расчалке, и корабль, перегнувшись пополам, опустился в небольшом лесу. Завод приступил к полной переделке дирижабля. </w:t>
      </w:r>
      <w:bookmarkStart w:id="44" w:name="_Hlk50630555"/>
      <w:r w:rsidRPr="00405303">
        <w:rPr>
          <w:bCs/>
          <w:color w:val="002060"/>
          <w:sz w:val="16"/>
          <w:szCs w:val="16"/>
        </w:rPr>
        <w:t>27 октября 1915</w:t>
      </w:r>
      <w:r w:rsidR="00DB4D64" w:rsidRPr="00405303">
        <w:rPr>
          <w:bCs/>
          <w:color w:val="002060"/>
          <w:sz w:val="16"/>
          <w:szCs w:val="16"/>
        </w:rPr>
        <w:t xml:space="preserve"> </w:t>
      </w:r>
      <w:r w:rsidRPr="00405303">
        <w:rPr>
          <w:bCs/>
          <w:color w:val="002060"/>
          <w:sz w:val="16"/>
          <w:szCs w:val="16"/>
        </w:rPr>
        <w:t>г. дирекция завода обратилась в Главное военно-техническое управление с просьбой предоставить для сборки "Гиганта" необходимую команду и 600 труб со сжатым водородом, что составляло 30</w:t>
      </w:r>
      <w:r w:rsidR="00DB4D64" w:rsidRPr="00405303">
        <w:rPr>
          <w:bCs/>
          <w:color w:val="002060"/>
          <w:sz w:val="16"/>
          <w:szCs w:val="16"/>
        </w:rPr>
        <w:t xml:space="preserve"> </w:t>
      </w:r>
      <w:r w:rsidRPr="00405303">
        <w:rPr>
          <w:bCs/>
          <w:color w:val="002060"/>
          <w:sz w:val="16"/>
          <w:szCs w:val="16"/>
        </w:rPr>
        <w:t>тыс. м3</w:t>
      </w:r>
      <w:r w:rsidR="00DB4D64" w:rsidRPr="00405303">
        <w:rPr>
          <w:bCs/>
          <w:color w:val="002060"/>
          <w:sz w:val="16"/>
          <w:szCs w:val="16"/>
        </w:rPr>
        <w:t xml:space="preserve"> </w:t>
      </w:r>
      <w:r w:rsidRPr="00405303">
        <w:rPr>
          <w:bCs/>
          <w:color w:val="002060"/>
          <w:sz w:val="16"/>
          <w:szCs w:val="16"/>
        </w:rPr>
        <w:t>газа. ГВТУ обратилось по этому вопросу к великому князю Александру Михайловичу, в распоряжении которого находились все запасы химических материалов для добывания водорода. 11 декабря был получен ответ, в котором говорилось, что "его императорское высочество признал необходимым отложить наполнение аэростата до более благоприятного в смысле атмосферных условий времени на март-апрель месяцы 1916</w:t>
      </w:r>
      <w:r w:rsidR="00DB4D64" w:rsidRPr="00405303">
        <w:rPr>
          <w:bCs/>
          <w:color w:val="002060"/>
          <w:sz w:val="16"/>
          <w:szCs w:val="16"/>
        </w:rPr>
        <w:t xml:space="preserve"> </w:t>
      </w:r>
      <w:r w:rsidRPr="00405303">
        <w:rPr>
          <w:bCs/>
          <w:color w:val="002060"/>
          <w:sz w:val="16"/>
          <w:szCs w:val="16"/>
        </w:rPr>
        <w:t>г."</w:t>
      </w:r>
      <w:bookmarkStart w:id="45" w:name="r270"/>
      <w:bookmarkEnd w:id="45"/>
      <w:r w:rsidRPr="00405303">
        <w:rPr>
          <w:bCs/>
          <w:color w:val="002060"/>
          <w:sz w:val="16"/>
          <w:szCs w:val="16"/>
        </w:rPr>
        <w:fldChar w:fldCharType="begin"/>
      </w:r>
      <w:r w:rsidRPr="00405303">
        <w:rPr>
          <w:bCs/>
          <w:color w:val="002060"/>
          <w:sz w:val="16"/>
          <w:szCs w:val="16"/>
        </w:rPr>
        <w:instrText xml:space="preserve"> HYPERLINK "https://coollib.net/b/351080/read" \l "n_266" \o "" </w:instrText>
      </w:r>
      <w:r w:rsidRPr="00405303">
        <w:rPr>
          <w:bCs/>
          <w:color w:val="002060"/>
          <w:sz w:val="16"/>
          <w:szCs w:val="16"/>
        </w:rPr>
      </w:r>
      <w:r w:rsidRPr="00405303">
        <w:rPr>
          <w:bCs/>
          <w:color w:val="002060"/>
          <w:sz w:val="16"/>
          <w:szCs w:val="16"/>
        </w:rPr>
        <w:fldChar w:fldCharType="separate"/>
      </w:r>
      <w:r w:rsidRPr="00405303">
        <w:rPr>
          <w:rStyle w:val="ad"/>
          <w:rFonts w:eastAsiaTheme="majorEastAsia"/>
          <w:bCs/>
          <w:color w:val="002060"/>
          <w:sz w:val="16"/>
          <w:szCs w:val="16"/>
        </w:rPr>
        <w:t>[266]</w:t>
      </w:r>
      <w:r w:rsidRPr="00405303">
        <w:rPr>
          <w:bCs/>
          <w:color w:val="002060"/>
          <w:sz w:val="16"/>
          <w:szCs w:val="16"/>
        </w:rPr>
        <w:fldChar w:fldCharType="end"/>
      </w:r>
      <w:r w:rsidRPr="00405303">
        <w:rPr>
          <w:bCs/>
          <w:color w:val="002060"/>
          <w:sz w:val="16"/>
          <w:szCs w:val="16"/>
        </w:rPr>
        <w:t xml:space="preserve">. </w:t>
      </w:r>
      <w:bookmarkEnd w:id="44"/>
      <w:r w:rsidRPr="00405303">
        <w:rPr>
          <w:bCs/>
          <w:color w:val="002060"/>
          <w:sz w:val="16"/>
          <w:szCs w:val="16"/>
        </w:rPr>
        <w:t>Ссылка великого князя на неблагоприятные "атмосферные условия" была, конечно, только предлогом для отказа. На самом деле командование отказалось предоставить сжатый водород из-за его крайней необходимости для обслуживания воздухоплавательных рот действующей армии. Нужное для наполнения "Гиганта" количество водорода составляло месячную потребность восьми наблюдательных станций со змейковыми аэростатами. Была реальная возможность выделить заводу селиколевый газодобывательный аппарат, находившийся в Сализи, но начальник Управления военно-воздушного флота в письме от 8 июня 1916</w:t>
      </w:r>
      <w:r w:rsidR="00DB4D64" w:rsidRPr="00405303">
        <w:rPr>
          <w:bCs/>
          <w:color w:val="002060"/>
          <w:sz w:val="16"/>
          <w:szCs w:val="16"/>
        </w:rPr>
        <w:t xml:space="preserve"> </w:t>
      </w:r>
      <w:r w:rsidRPr="00405303">
        <w:rPr>
          <w:bCs/>
          <w:color w:val="002060"/>
          <w:sz w:val="16"/>
          <w:szCs w:val="16"/>
        </w:rPr>
        <w:t>г. писал, что по распоряжению его императорского высочества и этот аппарат передан в Севастополь морскому ведомству, вследствие чего эллинг в деревне Сализи остался без всяких средств для газодобывания.</w:t>
      </w:r>
    </w:p>
    <w:p w14:paraId="6886DB96" w14:textId="77777777" w:rsidR="00C02BCF" w:rsidRPr="00405303" w:rsidRDefault="00C02BCF" w:rsidP="00C15251">
      <w:pPr>
        <w:jc w:val="both"/>
        <w:rPr>
          <w:rStyle w:val="42"/>
          <w:rFonts w:ascii="Times New Roman" w:hAnsi="Times New Roman" w:cs="Times New Roman"/>
          <w:bCs/>
          <w:color w:val="002060"/>
          <w:w w:val="100"/>
          <w:sz w:val="16"/>
          <w:szCs w:val="16"/>
        </w:rPr>
      </w:pPr>
    </w:p>
    <w:p w14:paraId="59A3C140" w14:textId="77777777" w:rsidR="002B776E" w:rsidRPr="00405303" w:rsidRDefault="002B776E" w:rsidP="00C15251">
      <w:pPr>
        <w:jc w:val="both"/>
        <w:rPr>
          <w:bCs/>
          <w:color w:val="002060"/>
          <w:sz w:val="16"/>
          <w:szCs w:val="16"/>
        </w:rPr>
      </w:pPr>
      <w:r w:rsidRPr="00405303">
        <w:rPr>
          <w:bCs/>
          <w:color w:val="002060"/>
          <w:sz w:val="16"/>
          <w:szCs w:val="16"/>
        </w:rPr>
        <w:t>10 (23) февраля 1915 г. в дер. Сализи близ Гатчины состоялся испытательный полет самого большого в России дирижабля "Гигант" конструкции А.И.Шабского и А.М.Кованько. Дирижабль - полужесткой системы объемом 18000 м3, с двумя моторами по 150 л.с. Гондола составляла одно целое с оболочкой, запас горючего был рассчитан на 20 часов полета. Испытывал поручик Л.А.Липпинг. Вследствие конструктивных недоста</w:t>
      </w:r>
      <w:r w:rsidRPr="00405303">
        <w:rPr>
          <w:bCs/>
          <w:color w:val="002060"/>
          <w:sz w:val="16"/>
          <w:szCs w:val="16"/>
        </w:rPr>
        <w:softHyphen/>
        <w:t>тков дирижабль прогнулся в середине и упал на деревья. Дирижабль был признан негодным к ремонту, и его разобрали. Это был последний дирижабль, построенный в дореволюционной России.</w:t>
      </w:r>
    </w:p>
    <w:p w14:paraId="7A39A803" w14:textId="77777777" w:rsidR="002B776E" w:rsidRPr="00405303" w:rsidRDefault="002B776E" w:rsidP="00C15251">
      <w:pPr>
        <w:jc w:val="both"/>
        <w:rPr>
          <w:bCs/>
          <w:color w:val="002060"/>
          <w:sz w:val="16"/>
          <w:szCs w:val="16"/>
        </w:rPr>
      </w:pPr>
      <w:r w:rsidRPr="00405303">
        <w:rPr>
          <w:bCs/>
          <w:color w:val="002060"/>
          <w:sz w:val="16"/>
          <w:szCs w:val="16"/>
        </w:rPr>
        <w:t>/ЦГВИА, ф. 2008, оп. 1, д. 598, л. 1?4/ (23320).</w:t>
      </w:r>
    </w:p>
    <w:p w14:paraId="10EF6D49" w14:textId="77777777" w:rsidR="002B776E" w:rsidRPr="00405303" w:rsidRDefault="002B776E" w:rsidP="00C15251">
      <w:pPr>
        <w:jc w:val="both"/>
        <w:rPr>
          <w:bCs/>
          <w:color w:val="002060"/>
          <w:sz w:val="16"/>
          <w:szCs w:val="16"/>
        </w:rPr>
      </w:pPr>
    </w:p>
    <w:p w14:paraId="40443BEF" w14:textId="77777777" w:rsidR="000B6056" w:rsidRPr="00405303" w:rsidRDefault="000B6056" w:rsidP="00C15251">
      <w:pPr>
        <w:jc w:val="both"/>
        <w:rPr>
          <w:bCs/>
          <w:i/>
          <w:color w:val="002060"/>
          <w:sz w:val="16"/>
          <w:szCs w:val="16"/>
        </w:rPr>
      </w:pPr>
      <w:r w:rsidRPr="00405303">
        <w:rPr>
          <w:bCs/>
          <w:i/>
          <w:color w:val="002060"/>
          <w:sz w:val="16"/>
          <w:szCs w:val="16"/>
        </w:rPr>
        <w:t>Другие оборонные отрасли:</w:t>
      </w:r>
    </w:p>
    <w:p w14:paraId="14BC1F36" w14:textId="77777777" w:rsidR="000B6056" w:rsidRPr="00405303" w:rsidRDefault="000B6056" w:rsidP="00C15251">
      <w:pPr>
        <w:jc w:val="both"/>
        <w:rPr>
          <w:bCs/>
          <w:i/>
          <w:color w:val="002060"/>
          <w:sz w:val="16"/>
          <w:szCs w:val="16"/>
        </w:rPr>
      </w:pPr>
    </w:p>
    <w:p w14:paraId="100616DD" w14:textId="05BE8DFA" w:rsidR="000B6056" w:rsidRPr="00405303" w:rsidRDefault="000B6056" w:rsidP="00C15251">
      <w:pPr>
        <w:pStyle w:val="p1"/>
        <w:spacing w:before="0" w:beforeAutospacing="0" w:after="0" w:afterAutospacing="0"/>
        <w:jc w:val="both"/>
        <w:rPr>
          <w:bCs/>
          <w:color w:val="002060"/>
          <w:sz w:val="16"/>
          <w:szCs w:val="16"/>
        </w:rPr>
      </w:pPr>
      <w:r w:rsidRPr="00405303">
        <w:rPr>
          <w:bCs/>
          <w:color w:val="002060"/>
          <w:sz w:val="16"/>
          <w:szCs w:val="16"/>
        </w:rPr>
        <w:t xml:space="preserve">10 </w:t>
      </w:r>
      <w:r w:rsidR="00185B77" w:rsidRPr="00405303">
        <w:rPr>
          <w:bCs/>
          <w:color w:val="002060"/>
          <w:sz w:val="16"/>
          <w:szCs w:val="16"/>
        </w:rPr>
        <w:t xml:space="preserve">(23) </w:t>
      </w:r>
      <w:r w:rsidRPr="00405303">
        <w:rPr>
          <w:bCs/>
          <w:color w:val="002060"/>
          <w:sz w:val="16"/>
          <w:szCs w:val="16"/>
        </w:rPr>
        <w:t>февраля 1915 г. Совет министров в силу состоявшегося «высочайшего повеления» «в существе» одобрил этот замысел, но одновременно утвердил мнение министра финансов Барка, который настаивал на том, чтобы Военное министерство начинало переговоры с РАОАЗ не раньше, чем получит через Англо-русский комитет (великий князь Михаил Михайлович) разрешение английского правительства разместить в Англии заказ на станки для нового завода, а также одобрение со стороны Барка. Тем не менее 12 февраля, когда истекал срок для ответа, Сухомлинов предложил фирме «приступить немедленно к выдаче за границей заказов на полное оборудование завода… а равно… к возведению в России всех необходимых для заводов сооружений». Торопясь закрепить согласие военного министра на заключение договора, РАОАЗ 26 февраля сообщило, что заказало оборудование и приступило к постройке (18409).</w:t>
      </w:r>
    </w:p>
    <w:p w14:paraId="54A7D142" w14:textId="77777777" w:rsidR="000B6056" w:rsidRPr="00405303" w:rsidRDefault="000B6056" w:rsidP="00C15251">
      <w:pPr>
        <w:pStyle w:val="p1"/>
        <w:spacing w:before="0" w:beforeAutospacing="0" w:after="0" w:afterAutospacing="0"/>
        <w:jc w:val="both"/>
        <w:rPr>
          <w:bCs/>
          <w:color w:val="002060"/>
          <w:sz w:val="16"/>
          <w:szCs w:val="16"/>
        </w:rPr>
      </w:pPr>
    </w:p>
    <w:p w14:paraId="5A478093" w14:textId="20ABBCC7" w:rsidR="002B682D" w:rsidRPr="00405303" w:rsidRDefault="002B682D" w:rsidP="00C15251">
      <w:pPr>
        <w:jc w:val="both"/>
        <w:rPr>
          <w:bCs/>
          <w:color w:val="002060"/>
          <w:sz w:val="16"/>
          <w:szCs w:val="16"/>
        </w:rPr>
      </w:pPr>
      <w:r w:rsidRPr="00405303">
        <w:rPr>
          <w:bCs/>
          <w:color w:val="002060"/>
          <w:sz w:val="16"/>
          <w:szCs w:val="16"/>
        </w:rPr>
        <w:t>10 (23) февраля 1915 г. Совет министров в силу состоявше</w:t>
      </w:r>
      <w:r w:rsidRPr="00405303">
        <w:rPr>
          <w:bCs/>
          <w:color w:val="002060"/>
          <w:sz w:val="16"/>
          <w:szCs w:val="16"/>
        </w:rPr>
        <w:softHyphen/>
        <w:t>гося «высочайшего повеления» «в существе» одобрил замысел РАОАЗ по частному оружейному заводу на 3 млн винтовок, но, одновременно, утвердил мнение министра фи</w:t>
      </w:r>
      <w:r w:rsidRPr="00405303">
        <w:rPr>
          <w:bCs/>
          <w:color w:val="002060"/>
          <w:sz w:val="16"/>
          <w:szCs w:val="16"/>
        </w:rPr>
        <w:softHyphen/>
        <w:t>нансов Барка, который настаивал на том, чтобы Военное министерство начинало переговоры с РАО АЗ не раньше, чем получит через Англо-русский комитет (великий князь Михаил Михайлович) разрешение английского правитель</w:t>
      </w:r>
      <w:r w:rsidRPr="00405303">
        <w:rPr>
          <w:bCs/>
          <w:color w:val="002060"/>
          <w:sz w:val="16"/>
          <w:szCs w:val="16"/>
        </w:rPr>
        <w:softHyphen/>
        <w:t>ства разместить в Англии заказ на станки для нового за</w:t>
      </w:r>
      <w:r w:rsidRPr="00405303">
        <w:rPr>
          <w:bCs/>
          <w:color w:val="002060"/>
          <w:sz w:val="16"/>
          <w:szCs w:val="16"/>
        </w:rPr>
        <w:softHyphen/>
        <w:t>вода, а также одобрение со стороны Барка. Тем не менее 12 февраля, когда истекал срок для ответа, Сухомлинов предложил фирме «приступить немедленно к выдаче за гра</w:t>
      </w:r>
      <w:r w:rsidRPr="00405303">
        <w:rPr>
          <w:bCs/>
          <w:color w:val="002060"/>
          <w:sz w:val="16"/>
          <w:szCs w:val="16"/>
        </w:rPr>
        <w:softHyphen/>
        <w:t>ницей заказов на полное оборудование завода... а равно... к возведению в России всех необходимых для заводов со</w:t>
      </w:r>
      <w:r w:rsidRPr="00405303">
        <w:rPr>
          <w:bCs/>
          <w:color w:val="002060"/>
          <w:sz w:val="16"/>
          <w:szCs w:val="16"/>
        </w:rPr>
        <w:softHyphen/>
        <w:t>оружений». Торопясь закрепить согласие военного мини</w:t>
      </w:r>
      <w:r w:rsidRPr="00405303">
        <w:rPr>
          <w:bCs/>
          <w:color w:val="002060"/>
          <w:sz w:val="16"/>
          <w:szCs w:val="16"/>
        </w:rPr>
        <w:softHyphen/>
        <w:t>стра на заключение договора, РАОАЗ 26 февраля сообщило, что заказало оборудование и приступило к постройке.</w:t>
      </w:r>
    </w:p>
    <w:p w14:paraId="041C72DA" w14:textId="77777777" w:rsidR="002B682D" w:rsidRPr="00405303" w:rsidRDefault="002B682D" w:rsidP="00C15251">
      <w:pPr>
        <w:jc w:val="both"/>
        <w:rPr>
          <w:bCs/>
          <w:color w:val="002060"/>
          <w:sz w:val="16"/>
          <w:szCs w:val="16"/>
        </w:rPr>
      </w:pPr>
      <w:r w:rsidRPr="00405303">
        <w:rPr>
          <w:bCs/>
          <w:color w:val="002060"/>
          <w:sz w:val="16"/>
          <w:szCs w:val="16"/>
        </w:rPr>
        <w:lastRenderedPageBreak/>
        <w:t>На другой день начальник Канцелярии Военного мини</w:t>
      </w:r>
      <w:r w:rsidRPr="00405303">
        <w:rPr>
          <w:bCs/>
          <w:color w:val="002060"/>
          <w:sz w:val="16"/>
          <w:szCs w:val="16"/>
        </w:rPr>
        <w:softHyphen/>
        <w:t>стерства Лукомский доложил помощнику министра Вернан- деру, что возникло «недоразумение», поскольку вопрос не решен окончательно и «подлежит еще обсуждению в Совете министров, между тем, как видно из настоящего заявления, обществом приняты уже меры по оборудованию». Вернандер приказал «сегодня же поставить правление [РАОАЗ] в над</w:t>
      </w:r>
      <w:r w:rsidRPr="00405303">
        <w:rPr>
          <w:bCs/>
          <w:color w:val="002060"/>
          <w:sz w:val="16"/>
          <w:szCs w:val="16"/>
        </w:rPr>
        <w:softHyphen/>
        <w:t>лежащую позицию».</w:t>
      </w:r>
    </w:p>
    <w:p w14:paraId="526EDACE" w14:textId="77777777" w:rsidR="002B682D" w:rsidRPr="00405303" w:rsidRDefault="002B682D" w:rsidP="00C15251">
      <w:pPr>
        <w:jc w:val="both"/>
        <w:rPr>
          <w:bCs/>
          <w:color w:val="002060"/>
          <w:sz w:val="16"/>
          <w:szCs w:val="16"/>
        </w:rPr>
      </w:pPr>
      <w:r w:rsidRPr="00405303">
        <w:rPr>
          <w:bCs/>
          <w:color w:val="002060"/>
          <w:sz w:val="16"/>
          <w:szCs w:val="16"/>
        </w:rPr>
        <w:t>Члены правления РАОАЗ посетили ГАУ, где начальник хозяйственного отдела Е.К. Смысловский, зная, что вели</w:t>
      </w:r>
      <w:r w:rsidRPr="00405303">
        <w:rPr>
          <w:bCs/>
          <w:color w:val="002060"/>
          <w:sz w:val="16"/>
          <w:szCs w:val="16"/>
        </w:rPr>
        <w:softHyphen/>
        <w:t>кий князь Сергей Михайлович не допустит положительно</w:t>
      </w:r>
      <w:r w:rsidRPr="00405303">
        <w:rPr>
          <w:bCs/>
          <w:color w:val="002060"/>
          <w:sz w:val="16"/>
          <w:szCs w:val="16"/>
        </w:rPr>
        <w:softHyphen/>
        <w:t>го исхода дела, подтвердил им, что «вопрос... нельзя счи</w:t>
      </w:r>
      <w:r w:rsidRPr="00405303">
        <w:rPr>
          <w:bCs/>
          <w:color w:val="002060"/>
          <w:sz w:val="16"/>
          <w:szCs w:val="16"/>
        </w:rPr>
        <w:softHyphen/>
        <w:t>тать еще предрешенным», и даже «все данные за то, что заказ им дан не будет». Тогда представители РАОАЗ по</w:t>
      </w:r>
      <w:r w:rsidRPr="00405303">
        <w:rPr>
          <w:bCs/>
          <w:color w:val="002060"/>
          <w:sz w:val="16"/>
          <w:szCs w:val="16"/>
        </w:rPr>
        <w:softHyphen/>
        <w:t>бывали у Сухомлинова, и тот на заседании Совета ми</w:t>
      </w:r>
      <w:r w:rsidRPr="00405303">
        <w:rPr>
          <w:bCs/>
          <w:color w:val="002060"/>
          <w:sz w:val="16"/>
          <w:szCs w:val="16"/>
        </w:rPr>
        <w:softHyphen/>
        <w:t>нистров 6 марта попросил управляющего делами И.Н. Ло- дыженского принять и выслушать представителя РАОАЗ П.И. Балинского, чтобы устранить «недоразумение». Ни беседа с Лодыженским (ей предшествовал телефонный зво</w:t>
      </w:r>
      <w:r w:rsidRPr="00405303">
        <w:rPr>
          <w:bCs/>
          <w:color w:val="002060"/>
          <w:sz w:val="16"/>
          <w:szCs w:val="16"/>
        </w:rPr>
        <w:softHyphen/>
        <w:t>нок ему от великого князя Сергея Михайловича: Балинский «доверия не внушает», с ним надо держать себя осторожно - РГВИА. Ф. 962. Оп. 2. Д. 136. Л. 57—59. Лодыженский это учел и вел беседу в присутствии чиновника своей канцелярии), ни визит Балинского к председателю Совета министров И.Л. Горемыкину не дали результата (23452).</w:t>
      </w:r>
    </w:p>
    <w:p w14:paraId="01CCE0DD" w14:textId="77777777" w:rsidR="002B682D" w:rsidRPr="00405303" w:rsidRDefault="002B682D" w:rsidP="00C15251">
      <w:pPr>
        <w:jc w:val="both"/>
        <w:rPr>
          <w:bCs/>
          <w:color w:val="002060"/>
          <w:sz w:val="16"/>
          <w:szCs w:val="16"/>
          <w:lang w:bidi="ru-RU"/>
        </w:rPr>
      </w:pPr>
    </w:p>
    <w:p w14:paraId="4513BAED"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20F6E9CB" w14:textId="77777777" w:rsidR="004B4E35" w:rsidRPr="00405303" w:rsidRDefault="004B4E35" w:rsidP="00C15251">
      <w:pPr>
        <w:jc w:val="both"/>
        <w:rPr>
          <w:bCs/>
          <w:i/>
          <w:color w:val="002060"/>
          <w:sz w:val="16"/>
          <w:szCs w:val="16"/>
        </w:rPr>
      </w:pPr>
    </w:p>
    <w:p w14:paraId="3B73E67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11 (24) февраля 1915 при временном отступлении наших войск гарнизон города Прасныша оказался в окружении противника. Для поддержания стойкости гарнизона был послан самолет с грузом листовок, в которых говорилось: "Славные защитники Прасныша! Гордостъ наша, герои! Держитесь крепко. Выручка близка. К вам отовсюду идет помощь. Враг будет сам окружен". Листовки выполнили свое назначение. Это был первый случай использования у нас самолета в агитационных целях.</w:t>
      </w:r>
    </w:p>
    <w:p w14:paraId="685D3546" w14:textId="77777777" w:rsidR="004B4E35" w:rsidRPr="00405303" w:rsidRDefault="004B4E35" w:rsidP="00C15251">
      <w:pPr>
        <w:shd w:val="clear" w:color="auto" w:fill="FFFFFF"/>
        <w:jc w:val="both"/>
        <w:rPr>
          <w:bCs/>
          <w:color w:val="002060"/>
          <w:sz w:val="16"/>
          <w:szCs w:val="16"/>
        </w:rPr>
      </w:pPr>
    </w:p>
    <w:p w14:paraId="0FF406A6" w14:textId="77777777" w:rsidR="003E0DD5" w:rsidRPr="00405303" w:rsidRDefault="003E0DD5" w:rsidP="00C15251">
      <w:pPr>
        <w:jc w:val="both"/>
        <w:rPr>
          <w:bCs/>
          <w:color w:val="002060"/>
          <w:sz w:val="16"/>
          <w:szCs w:val="16"/>
        </w:rPr>
      </w:pPr>
      <w:r w:rsidRPr="00405303">
        <w:rPr>
          <w:bCs/>
          <w:color w:val="002060"/>
          <w:sz w:val="16"/>
          <w:szCs w:val="16"/>
        </w:rPr>
        <w:t>11 (24) февраля 1915 г. при отступлении наших войск гарнизон г.Прасныша оказался в окружении противника. Для поддержания стойкости гарни</w:t>
      </w:r>
      <w:r w:rsidRPr="00405303">
        <w:rPr>
          <w:bCs/>
          <w:color w:val="002060"/>
          <w:sz w:val="16"/>
          <w:szCs w:val="16"/>
        </w:rPr>
        <w:softHyphen/>
        <w:t>зона был послан самолет с грузом листовок, в которых говорилось: "Славные защитники Прасныша!, гордость наша, герои. Держитесь креп</w:t>
      </w:r>
      <w:r w:rsidRPr="00405303">
        <w:rPr>
          <w:bCs/>
          <w:color w:val="002060"/>
          <w:sz w:val="16"/>
          <w:szCs w:val="16"/>
        </w:rPr>
        <w:softHyphen/>
        <w:t>ко. выручка близка. К вам отовсюду идет помощь. Враг будет сам окружен». Листовки выполнили свое назначение. Это был первый случай использования у нас самолета в агитационных целях (23320).</w:t>
      </w:r>
    </w:p>
    <w:p w14:paraId="1FAFCA79" w14:textId="77777777" w:rsidR="003E0DD5" w:rsidRPr="00405303" w:rsidRDefault="003E0DD5" w:rsidP="00C15251">
      <w:pPr>
        <w:jc w:val="both"/>
        <w:rPr>
          <w:bCs/>
          <w:color w:val="002060"/>
          <w:sz w:val="16"/>
          <w:szCs w:val="16"/>
        </w:rPr>
      </w:pPr>
    </w:p>
    <w:p w14:paraId="0A41ADF8" w14:textId="77777777" w:rsidR="003E0DD5" w:rsidRPr="00405303" w:rsidRDefault="003E0DD5" w:rsidP="00C15251">
      <w:pPr>
        <w:jc w:val="both"/>
        <w:rPr>
          <w:bCs/>
          <w:color w:val="002060"/>
          <w:sz w:val="16"/>
          <w:szCs w:val="16"/>
        </w:rPr>
      </w:pPr>
      <w:r w:rsidRPr="00405303">
        <w:rPr>
          <w:bCs/>
          <w:color w:val="002060"/>
          <w:sz w:val="16"/>
          <w:szCs w:val="16"/>
        </w:rPr>
        <w:t>11-15 (24-28) февраля 1915 г. прапорщик 24 КАО Борис Иванович Мейер, летая над Перемшплем, снижался до 750 м и под сильным обстрелом сфотографи</w:t>
      </w:r>
      <w:r w:rsidRPr="00405303">
        <w:rPr>
          <w:bCs/>
          <w:color w:val="002060"/>
          <w:sz w:val="16"/>
          <w:szCs w:val="16"/>
        </w:rPr>
        <w:softHyphen/>
        <w:t>ровал неприятельские укрепления и проходы, обнаружил при этом ряд новых укреплений.</w:t>
      </w:r>
    </w:p>
    <w:p w14:paraId="14BBC1BD" w14:textId="77777777" w:rsidR="003E0DD5" w:rsidRPr="00405303" w:rsidRDefault="003E0DD5" w:rsidP="00C15251">
      <w:pPr>
        <w:jc w:val="both"/>
        <w:rPr>
          <w:bCs/>
          <w:color w:val="002060"/>
          <w:sz w:val="16"/>
          <w:szCs w:val="16"/>
        </w:rPr>
      </w:pPr>
      <w:r w:rsidRPr="00405303">
        <w:rPr>
          <w:bCs/>
          <w:color w:val="002060"/>
          <w:sz w:val="16"/>
          <w:szCs w:val="16"/>
        </w:rPr>
        <w:t>/Приказ по армиям Ю-3 Фронта от 27.10.15 № 1433/ (23320).</w:t>
      </w:r>
    </w:p>
    <w:p w14:paraId="02041D72" w14:textId="77777777" w:rsidR="003E0DD5" w:rsidRPr="00405303" w:rsidRDefault="003E0DD5" w:rsidP="00C15251">
      <w:pPr>
        <w:jc w:val="both"/>
        <w:rPr>
          <w:bCs/>
          <w:color w:val="002060"/>
          <w:sz w:val="16"/>
          <w:szCs w:val="16"/>
        </w:rPr>
      </w:pPr>
    </w:p>
    <w:p w14:paraId="4E0FD4AE" w14:textId="329F0FE6" w:rsidR="00D465B0" w:rsidRPr="00405303" w:rsidRDefault="00D465B0" w:rsidP="00C15251">
      <w:pPr>
        <w:jc w:val="both"/>
        <w:rPr>
          <w:bCs/>
          <w:i/>
          <w:color w:val="002060"/>
          <w:sz w:val="16"/>
          <w:szCs w:val="16"/>
        </w:rPr>
      </w:pPr>
      <w:r w:rsidRPr="00405303">
        <w:rPr>
          <w:bCs/>
          <w:i/>
          <w:color w:val="002060"/>
          <w:sz w:val="16"/>
          <w:szCs w:val="16"/>
        </w:rPr>
        <w:t>Армия:</w:t>
      </w:r>
    </w:p>
    <w:p w14:paraId="505EE4E9" w14:textId="77777777" w:rsidR="00D465B0" w:rsidRPr="00405303" w:rsidRDefault="00D465B0" w:rsidP="00C15251">
      <w:pPr>
        <w:jc w:val="both"/>
        <w:rPr>
          <w:bCs/>
          <w:i/>
          <w:color w:val="002060"/>
          <w:sz w:val="16"/>
          <w:szCs w:val="16"/>
        </w:rPr>
      </w:pPr>
    </w:p>
    <w:p w14:paraId="62C5B630" w14:textId="513AB82E" w:rsidR="00D465B0" w:rsidRPr="00405303" w:rsidRDefault="00D465B0" w:rsidP="00C15251">
      <w:pPr>
        <w:shd w:val="clear" w:color="auto" w:fill="FFFFFF"/>
        <w:jc w:val="both"/>
        <w:rPr>
          <w:bCs/>
          <w:color w:val="002060"/>
          <w:sz w:val="16"/>
          <w:szCs w:val="16"/>
        </w:rPr>
      </w:pPr>
      <w:r w:rsidRPr="00405303">
        <w:rPr>
          <w:bCs/>
          <w:color w:val="002060"/>
          <w:sz w:val="16"/>
          <w:szCs w:val="16"/>
        </w:rPr>
        <w:t xml:space="preserve">11 (24) февраля 1915 г. </w:t>
      </w:r>
      <w:r w:rsidR="00185B77" w:rsidRPr="00405303">
        <w:rPr>
          <w:bCs/>
          <w:color w:val="002060"/>
          <w:sz w:val="16"/>
          <w:szCs w:val="16"/>
        </w:rPr>
        <w:t>п</w:t>
      </w:r>
      <w:r w:rsidRPr="00405303">
        <w:rPr>
          <w:bCs/>
          <w:color w:val="002060"/>
          <w:sz w:val="16"/>
          <w:szCs w:val="16"/>
        </w:rPr>
        <w:t>риказом Верховного Главнокомандующего № 7 была введена “Инструкция для боевого применения бронированных автомобилей”, знание которой было “обязательно для всех старших начальников до командиров полков включительно”. В Инструкции указывались основные свойства бронеавтомобилей, задачи и способы действий в наступлении, обороне, преследовании, разведке, на марше, при встречных столкновениях. Но признавалась и “зависимость быстроты передвижения от рода и качества дорог” и возможность действий "только по шоссированным путям, при хорошем их состоянии”. Вскоре потребность в бронеавтомобилях повышенной проходимости стала совершенно очевидна (20250).</w:t>
      </w:r>
    </w:p>
    <w:p w14:paraId="55EB3C02" w14:textId="77777777" w:rsidR="00D465B0" w:rsidRPr="00405303" w:rsidRDefault="00D465B0" w:rsidP="00C15251">
      <w:pPr>
        <w:shd w:val="clear" w:color="auto" w:fill="FFFFFF"/>
        <w:jc w:val="both"/>
        <w:rPr>
          <w:bCs/>
          <w:color w:val="002060"/>
          <w:sz w:val="16"/>
          <w:szCs w:val="16"/>
        </w:rPr>
      </w:pPr>
    </w:p>
    <w:p w14:paraId="3E681B0F" w14:textId="77777777" w:rsidR="00D465B0" w:rsidRPr="00405303" w:rsidRDefault="00D465B0" w:rsidP="00C15251">
      <w:pPr>
        <w:jc w:val="both"/>
        <w:rPr>
          <w:bCs/>
          <w:i/>
          <w:color w:val="002060"/>
          <w:sz w:val="16"/>
          <w:szCs w:val="16"/>
        </w:rPr>
      </w:pPr>
      <w:r w:rsidRPr="00405303">
        <w:rPr>
          <w:bCs/>
          <w:i/>
          <w:color w:val="002060"/>
          <w:sz w:val="16"/>
          <w:szCs w:val="16"/>
        </w:rPr>
        <w:t>Другие оборонные отрасли:</w:t>
      </w:r>
    </w:p>
    <w:p w14:paraId="3AE2DB2D" w14:textId="77777777" w:rsidR="00D465B0" w:rsidRPr="00405303" w:rsidRDefault="00D465B0" w:rsidP="00C15251">
      <w:pPr>
        <w:jc w:val="both"/>
        <w:rPr>
          <w:bCs/>
          <w:i/>
          <w:color w:val="002060"/>
          <w:sz w:val="16"/>
          <w:szCs w:val="16"/>
        </w:rPr>
      </w:pPr>
    </w:p>
    <w:p w14:paraId="2BFF2730" w14:textId="47F3F80A" w:rsidR="00D465B0" w:rsidRPr="00405303" w:rsidRDefault="00D465B0" w:rsidP="00C15251">
      <w:pPr>
        <w:pStyle w:val="p1"/>
        <w:spacing w:before="0" w:beforeAutospacing="0" w:after="0" w:afterAutospacing="0"/>
        <w:jc w:val="both"/>
        <w:rPr>
          <w:bCs/>
          <w:color w:val="002060"/>
          <w:sz w:val="16"/>
          <w:szCs w:val="16"/>
        </w:rPr>
      </w:pPr>
      <w:r w:rsidRPr="00405303">
        <w:rPr>
          <w:bCs/>
          <w:color w:val="002060"/>
          <w:sz w:val="16"/>
          <w:szCs w:val="16"/>
        </w:rPr>
        <w:t xml:space="preserve">12 </w:t>
      </w:r>
      <w:r w:rsidR="00185B77" w:rsidRPr="00405303">
        <w:rPr>
          <w:bCs/>
          <w:color w:val="002060"/>
          <w:sz w:val="16"/>
          <w:szCs w:val="16"/>
        </w:rPr>
        <w:t xml:space="preserve">(25) </w:t>
      </w:r>
      <w:r w:rsidRPr="00405303">
        <w:rPr>
          <w:bCs/>
          <w:color w:val="002060"/>
          <w:sz w:val="16"/>
          <w:szCs w:val="16"/>
        </w:rPr>
        <w:t>февраля 1915, когда истекал срок для ответа РОАЗ, Сухомлинов предложил фирме «приступить немедленно к выдаче за границей заказов на полное оборудование завода… а равно… к возведению в России всех необходимых для заводов сооружений». Торопясь закрепить согласие военного министра на заключение договора, РАОАЗ 26 февраля сообщило, что заказало оборудование и приступило к постройке (18409).</w:t>
      </w:r>
    </w:p>
    <w:p w14:paraId="768F2E1B" w14:textId="425E3195" w:rsidR="00D465B0" w:rsidRPr="00405303" w:rsidRDefault="00D465B0" w:rsidP="00C15251">
      <w:pPr>
        <w:pStyle w:val="p1"/>
        <w:spacing w:before="0" w:beforeAutospacing="0" w:after="0" w:afterAutospacing="0"/>
        <w:jc w:val="both"/>
        <w:rPr>
          <w:bCs/>
          <w:color w:val="002060"/>
          <w:sz w:val="16"/>
          <w:szCs w:val="16"/>
        </w:rPr>
      </w:pPr>
    </w:p>
    <w:p w14:paraId="1345B816" w14:textId="77777777" w:rsidR="002B682D" w:rsidRPr="00405303" w:rsidRDefault="002B682D" w:rsidP="00C15251">
      <w:pPr>
        <w:jc w:val="both"/>
        <w:rPr>
          <w:bCs/>
          <w:color w:val="002060"/>
          <w:sz w:val="16"/>
          <w:szCs w:val="16"/>
        </w:rPr>
      </w:pPr>
      <w:r w:rsidRPr="00405303">
        <w:rPr>
          <w:bCs/>
          <w:color w:val="002060"/>
          <w:sz w:val="16"/>
          <w:szCs w:val="16"/>
        </w:rPr>
        <w:t>12 февраля 1915 г, когда истекал срок для ответа РАОАЗ, Сухомлинов предложил фирме «приступить немедленно к выдаче за гра</w:t>
      </w:r>
      <w:r w:rsidRPr="00405303">
        <w:rPr>
          <w:bCs/>
          <w:color w:val="002060"/>
          <w:sz w:val="16"/>
          <w:szCs w:val="16"/>
        </w:rPr>
        <w:softHyphen/>
        <w:t>ницей заказов на полное оборудование завода... а равно... к возведению в России всех необходимых для заводов со</w:t>
      </w:r>
      <w:r w:rsidRPr="00405303">
        <w:rPr>
          <w:bCs/>
          <w:color w:val="002060"/>
          <w:sz w:val="16"/>
          <w:szCs w:val="16"/>
        </w:rPr>
        <w:softHyphen/>
        <w:t>оружений». Торопясь закрепить согласие военного мини</w:t>
      </w:r>
      <w:r w:rsidRPr="00405303">
        <w:rPr>
          <w:bCs/>
          <w:color w:val="002060"/>
          <w:sz w:val="16"/>
          <w:szCs w:val="16"/>
        </w:rPr>
        <w:softHyphen/>
        <w:t>стра на заключение договора, РАОАЗ 26 февраля сообщило, что заказало оборудование и приступило к постройке.</w:t>
      </w:r>
    </w:p>
    <w:p w14:paraId="74B3E866" w14:textId="77777777" w:rsidR="002B682D" w:rsidRPr="00405303" w:rsidRDefault="002B682D" w:rsidP="00C15251">
      <w:pPr>
        <w:jc w:val="both"/>
        <w:rPr>
          <w:bCs/>
          <w:color w:val="002060"/>
          <w:sz w:val="16"/>
          <w:szCs w:val="16"/>
        </w:rPr>
      </w:pPr>
      <w:r w:rsidRPr="00405303">
        <w:rPr>
          <w:bCs/>
          <w:color w:val="002060"/>
          <w:sz w:val="16"/>
          <w:szCs w:val="16"/>
        </w:rPr>
        <w:t>На другой день начальник Канцелярии Военного мини</w:t>
      </w:r>
      <w:r w:rsidRPr="00405303">
        <w:rPr>
          <w:bCs/>
          <w:color w:val="002060"/>
          <w:sz w:val="16"/>
          <w:szCs w:val="16"/>
        </w:rPr>
        <w:softHyphen/>
        <w:t>стерства Лукомский доложил помощнику министра Вернандеру, что возникло «недоразумение», поскольку вопрос не решен окончательно и «подлежит еще обсуждению в Совете министров, между тем, как видно из настоящего заявления, обществом приняты уже меры по оборудованию». Вернандер приказал «сегодня же поставить правление [РАОАЗ] в над</w:t>
      </w:r>
      <w:r w:rsidRPr="00405303">
        <w:rPr>
          <w:bCs/>
          <w:color w:val="002060"/>
          <w:sz w:val="16"/>
          <w:szCs w:val="16"/>
        </w:rPr>
        <w:softHyphen/>
        <w:t>лежащую позицию».</w:t>
      </w:r>
    </w:p>
    <w:p w14:paraId="34E78B0A" w14:textId="77777777" w:rsidR="002B682D" w:rsidRPr="00405303" w:rsidRDefault="002B682D" w:rsidP="00C15251">
      <w:pPr>
        <w:jc w:val="both"/>
        <w:rPr>
          <w:bCs/>
          <w:color w:val="002060"/>
          <w:sz w:val="16"/>
          <w:szCs w:val="16"/>
        </w:rPr>
      </w:pPr>
      <w:r w:rsidRPr="00405303">
        <w:rPr>
          <w:bCs/>
          <w:color w:val="002060"/>
          <w:sz w:val="16"/>
          <w:szCs w:val="16"/>
        </w:rPr>
        <w:t>Члены правления РАОАЗ посетили ГАУ, где начальник хозяйственного отдела Е.К. Смысловский, зная, что вели</w:t>
      </w:r>
      <w:r w:rsidRPr="00405303">
        <w:rPr>
          <w:bCs/>
          <w:color w:val="002060"/>
          <w:sz w:val="16"/>
          <w:szCs w:val="16"/>
        </w:rPr>
        <w:softHyphen/>
        <w:t>кий князь Сергей Михайлович не допустит положительно</w:t>
      </w:r>
      <w:r w:rsidRPr="00405303">
        <w:rPr>
          <w:bCs/>
          <w:color w:val="002060"/>
          <w:sz w:val="16"/>
          <w:szCs w:val="16"/>
        </w:rPr>
        <w:softHyphen/>
        <w:t>го исхода дела, подтвердил им, что «вопрос... нельзя счи</w:t>
      </w:r>
      <w:r w:rsidRPr="00405303">
        <w:rPr>
          <w:bCs/>
          <w:color w:val="002060"/>
          <w:sz w:val="16"/>
          <w:szCs w:val="16"/>
        </w:rPr>
        <w:softHyphen/>
        <w:t>тать еще предрешенным», и даже «все данные за то, что заказ им дан не будет». Тогда представители РАОАЗ по</w:t>
      </w:r>
      <w:r w:rsidRPr="00405303">
        <w:rPr>
          <w:bCs/>
          <w:color w:val="002060"/>
          <w:sz w:val="16"/>
          <w:szCs w:val="16"/>
        </w:rPr>
        <w:softHyphen/>
        <w:t>бывали у Сухомлинова, и тот на заседании Совета ми</w:t>
      </w:r>
      <w:r w:rsidRPr="00405303">
        <w:rPr>
          <w:bCs/>
          <w:color w:val="002060"/>
          <w:sz w:val="16"/>
          <w:szCs w:val="16"/>
        </w:rPr>
        <w:softHyphen/>
        <w:t>нистров 6 марта попросил управляющего делами И.Н. Ло- дыженского принять и выслушать представителя РАОАЗ П.И. Балинского, чтобы устранить «недоразумение». Ни беседа с Лодыженским (ей предшествовал телефонный зво</w:t>
      </w:r>
      <w:r w:rsidRPr="00405303">
        <w:rPr>
          <w:bCs/>
          <w:color w:val="002060"/>
          <w:sz w:val="16"/>
          <w:szCs w:val="16"/>
        </w:rPr>
        <w:softHyphen/>
        <w:t>нок ему от великого князя Сергея Михайловича: Балинский «доверия не внушает», с ним надо держать себя осторожно - РГВИА. Ф. 962. Оп. 2. Д. 136. Л. 57—59. Лодыженский это учел и вел беседу в присутствии чиновника своей канцелярии), ни визит Балинского к председателю Совета министров И.Л. Горемыкину не дали результата (23452).</w:t>
      </w:r>
    </w:p>
    <w:p w14:paraId="31CDCD62" w14:textId="77777777" w:rsidR="002B682D" w:rsidRPr="00405303" w:rsidRDefault="002B682D" w:rsidP="00C15251">
      <w:pPr>
        <w:jc w:val="both"/>
        <w:rPr>
          <w:bCs/>
          <w:color w:val="002060"/>
          <w:sz w:val="16"/>
          <w:szCs w:val="16"/>
          <w:lang w:bidi="ru-RU"/>
        </w:rPr>
      </w:pPr>
    </w:p>
    <w:p w14:paraId="32A0EC48" w14:textId="36D37D5A" w:rsidR="006A74DD" w:rsidRPr="00405303" w:rsidRDefault="006A74DD" w:rsidP="00C15251">
      <w:pPr>
        <w:pStyle w:val="p1"/>
        <w:spacing w:before="0" w:beforeAutospacing="0" w:after="0" w:afterAutospacing="0"/>
        <w:jc w:val="both"/>
        <w:rPr>
          <w:bCs/>
          <w:i/>
          <w:iCs/>
          <w:color w:val="002060"/>
          <w:sz w:val="16"/>
          <w:szCs w:val="16"/>
        </w:rPr>
      </w:pPr>
      <w:r w:rsidRPr="00405303">
        <w:rPr>
          <w:bCs/>
          <w:i/>
          <w:iCs/>
          <w:color w:val="002060"/>
          <w:sz w:val="16"/>
          <w:szCs w:val="16"/>
        </w:rPr>
        <w:t>Авиация:</w:t>
      </w:r>
    </w:p>
    <w:p w14:paraId="18A19F06" w14:textId="77777777" w:rsidR="006A74DD" w:rsidRPr="00405303" w:rsidRDefault="006A74DD" w:rsidP="00C15251">
      <w:pPr>
        <w:pStyle w:val="p1"/>
        <w:spacing w:before="0" w:beforeAutospacing="0" w:after="0" w:afterAutospacing="0"/>
        <w:jc w:val="both"/>
        <w:rPr>
          <w:bCs/>
          <w:i/>
          <w:iCs/>
          <w:color w:val="002060"/>
          <w:sz w:val="16"/>
          <w:szCs w:val="16"/>
        </w:rPr>
      </w:pPr>
    </w:p>
    <w:p w14:paraId="22C9963F" w14:textId="77777777" w:rsidR="006603C8" w:rsidRPr="00405303" w:rsidRDefault="006603C8" w:rsidP="006603C8">
      <w:pPr>
        <w:jc w:val="both"/>
        <w:rPr>
          <w:color w:val="0070C0"/>
          <w:sz w:val="16"/>
          <w:szCs w:val="16"/>
        </w:rPr>
      </w:pPr>
      <w:r w:rsidRPr="00405303">
        <w:rPr>
          <w:color w:val="0070C0"/>
          <w:sz w:val="16"/>
          <w:szCs w:val="16"/>
        </w:rPr>
        <w:t>12 (25) февраля 1915 г. Великий князь провел в Севастополе совещание, на котором было принято решение о создании на Южном фронте двух корпусных авиационных отрядов — 31-го и 32-го.</w:t>
      </w:r>
    </w:p>
    <w:p w14:paraId="2A95B924" w14:textId="77777777" w:rsidR="006603C8" w:rsidRPr="00405303" w:rsidRDefault="006603C8" w:rsidP="006603C8">
      <w:pPr>
        <w:jc w:val="both"/>
        <w:rPr>
          <w:color w:val="0070C0"/>
          <w:sz w:val="16"/>
          <w:szCs w:val="16"/>
        </w:rPr>
      </w:pPr>
      <w:r w:rsidRPr="00405303">
        <w:rPr>
          <w:color w:val="0070C0"/>
          <w:sz w:val="16"/>
          <w:szCs w:val="16"/>
        </w:rPr>
        <w:t>31-й корпусной авиационный отряд состоял на тот момент из четырех бипланов «Вуазен» и перебазировался в Севастополь в середине марта 1915 года. В конце месяца пилоты отряда приступили к совершению полетов, используя в качестве взлетно-посадочных полос — Куликово поле и устье реки Бельбек. Тяжелая обстановка и усиление противника на Юго-западном фронте вынудило верховное командование перебросить туда часть сил с южного направления, в том числе 31-й и 32-й корпусные авиационные отряды, которые 1 мая 1915 года начали перебазироваться во Львов.</w:t>
      </w:r>
    </w:p>
    <w:p w14:paraId="4CEC7424" w14:textId="77777777" w:rsidR="006603C8" w:rsidRPr="00405303" w:rsidRDefault="006603C8" w:rsidP="006603C8">
      <w:pPr>
        <w:jc w:val="both"/>
        <w:rPr>
          <w:color w:val="0070C0"/>
          <w:sz w:val="16"/>
          <w:szCs w:val="16"/>
        </w:rPr>
      </w:pPr>
    </w:p>
    <w:p w14:paraId="26306FA8" w14:textId="77777777" w:rsidR="006603C8" w:rsidRPr="00405303" w:rsidRDefault="006603C8" w:rsidP="006603C8">
      <w:pPr>
        <w:jc w:val="both"/>
        <w:rPr>
          <w:color w:val="0070C0"/>
          <w:sz w:val="16"/>
          <w:szCs w:val="16"/>
        </w:rPr>
      </w:pPr>
      <w:r w:rsidRPr="00405303">
        <w:rPr>
          <w:color w:val="0070C0"/>
          <w:sz w:val="16"/>
          <w:szCs w:val="16"/>
        </w:rPr>
        <w:t>12 (25) февраля 1914 г. воздушный налет на город-крепость Гродно повторился. «Около 4-х часов дня над [городом] летало два немецких аэроплана, из коих с одного сброшены две бомбы: первая попала во двор военного госпиталя, со стороны берега Немана и, видимо, предназначалась для Петровско-Николаевского моста; от взрыва бомбы во всех окнах госпиталя выбиты стекла, на одном из углов отбита штукатурка и легко ранен в щеку находившийся во дворе нижний чин – сапожник. Вторая бомба упала на Банковской улице во дворе дома Волянского, невдалеке от телеграфной станции, для которой она, видимо, и предназначалась. Этой бомбой выбиты в доме все окна и ранено две лошади, находившиеся около двух войсковых повозок» (25135).</w:t>
      </w:r>
    </w:p>
    <w:p w14:paraId="2B384D0F" w14:textId="77777777" w:rsidR="006603C8" w:rsidRPr="00405303" w:rsidRDefault="006603C8" w:rsidP="006603C8">
      <w:pPr>
        <w:jc w:val="both"/>
        <w:rPr>
          <w:color w:val="0070C0"/>
          <w:sz w:val="16"/>
          <w:szCs w:val="16"/>
        </w:rPr>
      </w:pPr>
    </w:p>
    <w:p w14:paraId="58D31EEB" w14:textId="79668DF6" w:rsidR="006A74DD" w:rsidRPr="00405303" w:rsidRDefault="006A74DD" w:rsidP="00C15251">
      <w:pPr>
        <w:jc w:val="both"/>
        <w:rPr>
          <w:bCs/>
          <w:color w:val="002060"/>
          <w:sz w:val="16"/>
          <w:szCs w:val="16"/>
        </w:rPr>
      </w:pPr>
      <w:r w:rsidRPr="00405303">
        <w:rPr>
          <w:bCs/>
          <w:color w:val="002060"/>
          <w:sz w:val="16"/>
          <w:szCs w:val="16"/>
        </w:rPr>
        <w:t xml:space="preserve">12 </w:t>
      </w:r>
      <w:r w:rsidR="00C949AE" w:rsidRPr="00405303">
        <w:rPr>
          <w:bCs/>
          <w:color w:val="002060"/>
          <w:sz w:val="16"/>
          <w:szCs w:val="16"/>
        </w:rPr>
        <w:t xml:space="preserve">(25) </w:t>
      </w:r>
      <w:r w:rsidRPr="00405303">
        <w:rPr>
          <w:bCs/>
          <w:color w:val="002060"/>
          <w:sz w:val="16"/>
          <w:szCs w:val="16"/>
        </w:rPr>
        <w:t>февраля 1915 г. летчик 28 КАО шт.-капитан Николай Федорович Компанейцев во время разведки района Гродно обнаружил нахождение ба</w:t>
      </w:r>
      <w:r w:rsidRPr="00405303">
        <w:rPr>
          <w:bCs/>
          <w:color w:val="002060"/>
          <w:sz w:val="16"/>
          <w:szCs w:val="16"/>
        </w:rPr>
        <w:softHyphen/>
        <w:t>тареи противника, наносившей большие потери нашей пехоте. Благо да</w:t>
      </w:r>
      <w:r w:rsidRPr="00405303">
        <w:rPr>
          <w:bCs/>
          <w:color w:val="002060"/>
          <w:sz w:val="16"/>
          <w:szCs w:val="16"/>
        </w:rPr>
        <w:softHyphen/>
        <w:t>ря этой разведке крепостная артиллерия по давила огонь неприятельской батареи. Летчик был награжден георгиевским оружием.</w:t>
      </w:r>
    </w:p>
    <w:p w14:paraId="36560D9D" w14:textId="77777777" w:rsidR="006A74DD" w:rsidRPr="00405303" w:rsidRDefault="006A74DD" w:rsidP="00C15251">
      <w:pPr>
        <w:jc w:val="both"/>
        <w:rPr>
          <w:bCs/>
          <w:color w:val="002060"/>
          <w:sz w:val="16"/>
          <w:szCs w:val="16"/>
        </w:rPr>
      </w:pPr>
      <w:proofErr w:type="gramStart"/>
      <w:r w:rsidRPr="00405303">
        <w:rPr>
          <w:bCs/>
          <w:color w:val="002060"/>
          <w:sz w:val="16"/>
          <w:szCs w:val="16"/>
        </w:rPr>
        <w:lastRenderedPageBreak/>
        <w:t>/«</w:t>
      </w:r>
      <w:proofErr w:type="gramEnd"/>
      <w:r w:rsidRPr="00405303">
        <w:rPr>
          <w:bCs/>
          <w:color w:val="002060"/>
          <w:sz w:val="16"/>
          <w:szCs w:val="16"/>
        </w:rPr>
        <w:t>Русский инвалид» за 28 июня 1915/ (23320).</w:t>
      </w:r>
    </w:p>
    <w:p w14:paraId="1E551D9F" w14:textId="77777777" w:rsidR="006A74DD" w:rsidRPr="00405303" w:rsidRDefault="006A74DD" w:rsidP="00C15251">
      <w:pPr>
        <w:jc w:val="both"/>
        <w:rPr>
          <w:bCs/>
          <w:color w:val="002060"/>
          <w:sz w:val="16"/>
          <w:szCs w:val="16"/>
        </w:rPr>
      </w:pPr>
    </w:p>
    <w:p w14:paraId="5AD1BAA9"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3AF2C561" w14:textId="77777777" w:rsidR="004B4E35" w:rsidRPr="00405303" w:rsidRDefault="004B4E35" w:rsidP="00C15251">
      <w:pPr>
        <w:jc w:val="both"/>
        <w:rPr>
          <w:bCs/>
          <w:i/>
          <w:color w:val="002060"/>
          <w:sz w:val="16"/>
          <w:szCs w:val="16"/>
        </w:rPr>
      </w:pPr>
    </w:p>
    <w:p w14:paraId="0E8AE7DE" w14:textId="17C89F45" w:rsidR="004B4E35" w:rsidRPr="00405303" w:rsidRDefault="009E6F82" w:rsidP="00C15251">
      <w:pPr>
        <w:jc w:val="both"/>
        <w:rPr>
          <w:bCs/>
          <w:color w:val="002060"/>
          <w:sz w:val="16"/>
          <w:szCs w:val="16"/>
        </w:rPr>
      </w:pPr>
      <w:r w:rsidRPr="00405303">
        <w:rPr>
          <w:bCs/>
          <w:color w:val="002060"/>
          <w:sz w:val="16"/>
          <w:szCs w:val="16"/>
        </w:rPr>
        <w:t xml:space="preserve">12 </w:t>
      </w:r>
      <w:r w:rsidR="00185B77" w:rsidRPr="00405303">
        <w:rPr>
          <w:bCs/>
          <w:color w:val="002060"/>
          <w:sz w:val="16"/>
          <w:szCs w:val="16"/>
        </w:rPr>
        <w:t xml:space="preserve">(25) </w:t>
      </w:r>
      <w:r w:rsidRPr="00405303">
        <w:rPr>
          <w:bCs/>
          <w:color w:val="002060"/>
          <w:sz w:val="16"/>
          <w:szCs w:val="16"/>
        </w:rPr>
        <w:t xml:space="preserve">февраля </w:t>
      </w:r>
      <w:r w:rsidR="00185B77" w:rsidRPr="00405303">
        <w:rPr>
          <w:bCs/>
          <w:color w:val="002060"/>
          <w:sz w:val="16"/>
          <w:szCs w:val="16"/>
        </w:rPr>
        <w:t xml:space="preserve">1915 г. Адмиралтейств-Совет своим постановлением </w:t>
      </w:r>
      <w:r w:rsidRPr="00405303">
        <w:rPr>
          <w:bCs/>
          <w:color w:val="002060"/>
          <w:sz w:val="16"/>
          <w:szCs w:val="16"/>
        </w:rPr>
        <w:t xml:space="preserve">присвоил </w:t>
      </w:r>
      <w:r w:rsidR="00BF0061" w:rsidRPr="00405303">
        <w:rPr>
          <w:bCs/>
          <w:color w:val="002060"/>
          <w:sz w:val="16"/>
          <w:szCs w:val="16"/>
        </w:rPr>
        <w:t>«Орлице»</w:t>
      </w:r>
      <w:r w:rsidRPr="00405303">
        <w:rPr>
          <w:bCs/>
          <w:color w:val="002060"/>
          <w:sz w:val="16"/>
          <w:szCs w:val="16"/>
        </w:rPr>
        <w:t xml:space="preserve"> II ранг судов флота. Можно предположить, что в класс учебных судов «Орлицу» зачислили скорее ради маскировки ее истинного назначения. В документах «Орлицу» называли авиационной базой, авиационным судном, авиатранспортом и даже авиационной баржей. </w:t>
      </w:r>
    </w:p>
    <w:p w14:paraId="01EDEA06" w14:textId="77777777" w:rsidR="004B4E35" w:rsidRPr="00405303" w:rsidRDefault="009E6F82" w:rsidP="00C15251">
      <w:pPr>
        <w:jc w:val="both"/>
        <w:rPr>
          <w:bCs/>
          <w:color w:val="002060"/>
          <w:sz w:val="16"/>
          <w:szCs w:val="16"/>
        </w:rPr>
      </w:pPr>
      <w:r w:rsidRPr="00405303">
        <w:rPr>
          <w:bCs/>
          <w:color w:val="002060"/>
          <w:sz w:val="16"/>
          <w:szCs w:val="16"/>
        </w:rPr>
        <w:t xml:space="preserve">Согласно боевому расписанию 1915 года «Орлицу» предполагалось использовать «при Службе связи» Балтийского моря. Судно должно было нести четыре гидросамолета в готовом к спуску виде и четыре запасных — в состоянии четырехчасовой готовности. </w:t>
      </w:r>
    </w:p>
    <w:p w14:paraId="1F378867" w14:textId="77777777" w:rsidR="004B4E35" w:rsidRPr="00405303" w:rsidRDefault="009E6F82" w:rsidP="00C15251">
      <w:pPr>
        <w:jc w:val="both"/>
        <w:rPr>
          <w:bCs/>
          <w:color w:val="002060"/>
          <w:sz w:val="16"/>
          <w:szCs w:val="16"/>
        </w:rPr>
      </w:pPr>
      <w:r w:rsidRPr="00405303">
        <w:rPr>
          <w:bCs/>
          <w:color w:val="002060"/>
          <w:sz w:val="16"/>
          <w:szCs w:val="16"/>
        </w:rPr>
        <w:t xml:space="preserve">Работы по переоборудованию судна под «авиационную базу» заключались в следующем. Изготовили новую ходовую рубку с закрытым штурвалом, помещением для карт и штурманской каютой. Установили главный и второй путевой компасы и второй штурвал, крылья мостика передвинули в корму на 3,5 м. Укоротили командирскую рубку, оставив в ней два салона. Лобовую стенку носовой надстройки и носовую часть шлюпочной палубы сдвинули в корму на 4,8 м, промежуток между носовой и средней надстройками (8,8 м) сверху и с бортов зашили стальными листами. На шлюпочной палубе установили рубку для радиотелеграфа (системы морского ведомства образца 1913 года), четыре шлюпбалки для двух 10,7-метровых моторных катеров, подкрепления под четыре 75-мм орудия Канэ. </w:t>
      </w:r>
    </w:p>
    <w:p w14:paraId="30788EF2" w14:textId="77777777" w:rsidR="004B4E35" w:rsidRPr="00405303" w:rsidRDefault="009E6F82" w:rsidP="00C15251">
      <w:pPr>
        <w:jc w:val="both"/>
        <w:rPr>
          <w:bCs/>
          <w:color w:val="002060"/>
          <w:sz w:val="16"/>
          <w:szCs w:val="16"/>
        </w:rPr>
      </w:pPr>
      <w:r w:rsidRPr="00405303">
        <w:rPr>
          <w:bCs/>
          <w:color w:val="002060"/>
          <w:sz w:val="16"/>
          <w:szCs w:val="16"/>
        </w:rPr>
        <w:t xml:space="preserve">В новой обширной средней надстройке смонтировали шахты для погрузки угля и провизии, разместили каюты для 11 офицеров, кают-компанию с буфетной и две канцелярии. Все комингсы грузовых люков на верхней палубе срезали до высоты 0,3 м; второй грузовой люк удлинили на пять шпаций. Снесли кормовую рубку, установили легкую палубу площадью около 320 м2, поддерживаемую пиллерсами. Для спуска и подъема гидросамолетов смонтировали четыре облегченные поворотные стрелы с передвигающимися по ним тельферными тележками грузоподъемностью 1,5 т каждая, для хранения машин на верхней палубе установили кильблоки. Импровизированные носовой и кормовой ангары (на два гидросамолета типа FBA каждый) с бортов прикрыли брезентовыми стенами. Для извлечения самолета из ангара брезент закатывался кверху, стойки убирались, а поручни клались на палубу. Самолет поднимался горденем доверху, а затем тележка с подъемным блоком, через который проходил гордень, передвигалась по стреле для установки машины на кильблоки; спуск на воду выполнялся в обратном порядке. Все четыре гидросамолета поднимались на борт за 20 мин, спуск занимал 12 мин. </w:t>
      </w:r>
    </w:p>
    <w:p w14:paraId="1C1094E3" w14:textId="77777777" w:rsidR="004B4E35" w:rsidRPr="00405303" w:rsidRDefault="009E6F82" w:rsidP="00C15251">
      <w:pPr>
        <w:jc w:val="both"/>
        <w:rPr>
          <w:bCs/>
          <w:color w:val="002060"/>
          <w:sz w:val="16"/>
          <w:szCs w:val="16"/>
        </w:rPr>
      </w:pPr>
      <w:r w:rsidRPr="00405303">
        <w:rPr>
          <w:bCs/>
          <w:color w:val="002060"/>
          <w:sz w:val="16"/>
          <w:szCs w:val="16"/>
        </w:rPr>
        <w:t xml:space="preserve">В конструкцию верхней палубы и полубака ввели подкрепления для установки четырех 75-мм орудий. Под палубой полубака устроили помещения для десяти кондукторов с кают-компанией, камбуз, хлебопекарню, умывальник и гальюны для команды. В твиндеке оборудовали жилые помещения для 132 матросов, баню и прачечную. В бывших каютах 1 -го класса снесли все переборки и устроили лазарет в составе общей палаты на шесть коек, изолятора (две койки), операционной, ванной, аптеки и каюты фельдшера. Там же разместили каюты для доктора, священника, инженера и фотолабораторию. </w:t>
      </w:r>
    </w:p>
    <w:p w14:paraId="432C7A11" w14:textId="77777777" w:rsidR="004B4E35" w:rsidRPr="00405303" w:rsidRDefault="009E6F82" w:rsidP="00C15251">
      <w:pPr>
        <w:jc w:val="both"/>
        <w:rPr>
          <w:bCs/>
          <w:color w:val="002060"/>
          <w:sz w:val="16"/>
          <w:szCs w:val="16"/>
        </w:rPr>
      </w:pPr>
      <w:r w:rsidRPr="00405303">
        <w:rPr>
          <w:bCs/>
          <w:color w:val="002060"/>
          <w:sz w:val="16"/>
          <w:szCs w:val="16"/>
        </w:rPr>
        <w:t xml:space="preserve">На главной палубе деревянные переборки заменили металлическими и оборудовали мастерские. В сборочной и пригоночной мастерских смонтировали оборудование для ремонта авиамоторов (два сборочных стола, два чана для промывки деталей и слесарный верстак с четырьмя тисками). В слесарной мастерской установили два токарных, револьверный, фрезерный, два сверлильных станка, правильную доску, точило и верстак с четырьмя тисками. Сварочную мастерскую оборудовали столом и приборами для ацетиленовой сварки и резки. В столярной мастерской установили ленточную и циркулярную пилы, фуговально-строгальный, фрезерный, выпиловочный, сверлильный и токарный станки, два точила и четыре верстака. Кузнечную мастерскую снабдили горном с вентиляторным наддувом. Кроме того, оборудовали литейную мастерскую, две сушильные камеры — обыкновенную и для склейки деревянных деталей, камеру для распарки досок. Оборудование мастерских позволяло выполнять средний ремонт самолетов, в частности, обтяжку полотном несущих плоскостей. </w:t>
      </w:r>
    </w:p>
    <w:p w14:paraId="1C53C175" w14:textId="77777777" w:rsidR="004B4E35" w:rsidRPr="00405303" w:rsidRDefault="009E6F82" w:rsidP="00C15251">
      <w:pPr>
        <w:jc w:val="both"/>
        <w:rPr>
          <w:bCs/>
          <w:color w:val="002060"/>
          <w:sz w:val="16"/>
          <w:szCs w:val="16"/>
        </w:rPr>
      </w:pPr>
      <w:r w:rsidRPr="00405303">
        <w:rPr>
          <w:bCs/>
          <w:color w:val="002060"/>
          <w:sz w:val="16"/>
          <w:szCs w:val="16"/>
        </w:rPr>
        <w:t xml:space="preserve">В дополнение к штатной динамо-машине (в машинном отделении) рядом с мастерскими установили керосинодинамо-машину мощностью около 25 кВт и напряжением 110В, все помещения оборудовали электроосвещением. В мастерских и жилых помещениях провели систему парового отопления. Для естественного освещения и вентиляции в бортах установили 40 иллюминаторов. </w:t>
      </w:r>
    </w:p>
    <w:p w14:paraId="543172D4" w14:textId="77777777" w:rsidR="004B4E35" w:rsidRPr="00405303" w:rsidRDefault="009E6F82" w:rsidP="00C15251">
      <w:pPr>
        <w:jc w:val="both"/>
        <w:rPr>
          <w:bCs/>
          <w:color w:val="002060"/>
          <w:sz w:val="16"/>
          <w:szCs w:val="16"/>
        </w:rPr>
      </w:pPr>
      <w:r w:rsidRPr="00405303">
        <w:rPr>
          <w:bCs/>
          <w:color w:val="002060"/>
          <w:sz w:val="16"/>
          <w:szCs w:val="16"/>
        </w:rPr>
        <w:t xml:space="preserve">В трюмах устроили два патронных погреба на 2500 75-мм патронов, а также один бомбовый погреб на 200 12,4-кг авиабомб. Сделали выгородку для хранения пятого самолета в разобранном виде. Оборудовали две пожаробезопасные цистерны для авиабензина по 3,28 т каждая и две для керосина (по 4.92 т), а также кладовые для смазочного масла и авиационного имущества. Бензин по трубопроводам под давлением подавался в сборочную мастерскую и к гидросамолетам, а керосин — к катерам и в чаны сборочной мастерской. На крыше ходовой рубки и легком настиле у гакаборта установили два 75-см прожектора. </w:t>
      </w:r>
    </w:p>
    <w:p w14:paraId="080F1A3E" w14:textId="77777777" w:rsidR="004B4E35" w:rsidRPr="00405303" w:rsidRDefault="009E6F82" w:rsidP="00C15251">
      <w:pPr>
        <w:jc w:val="both"/>
        <w:rPr>
          <w:bCs/>
          <w:color w:val="002060"/>
          <w:sz w:val="16"/>
          <w:szCs w:val="16"/>
        </w:rPr>
      </w:pPr>
      <w:r w:rsidRPr="00405303">
        <w:rPr>
          <w:bCs/>
          <w:color w:val="002060"/>
          <w:sz w:val="16"/>
          <w:szCs w:val="16"/>
        </w:rPr>
        <w:t>Специалисты Путиловской верфи выполнили ремонт обоих главных котлов и вспомогательных механизмов. Подкрепили поперечные переборки, три из них довели до верхней палубы. Оборудовали кладовые — провизионные и для хранения больших и малых матросских чемоданов. Переделали существующие трапы, некоторые перенесли на другие места, установили ряд новых. Между мачтами смонтировали радиоантенну, фока-реи оборудовали для производства флажной сигнализации. Бронирование не предусматривалось, но над машинным и котельным отделениями растянули противосамолетную сеть для срабатывания взрывателей авиабомб и их взрыва над надстройками (11333).</w:t>
      </w:r>
    </w:p>
    <w:p w14:paraId="466E6D3A" w14:textId="77777777" w:rsidR="004B4E35" w:rsidRPr="00405303" w:rsidRDefault="004B4E35" w:rsidP="00C15251">
      <w:pPr>
        <w:shd w:val="clear" w:color="auto" w:fill="FFFFFF"/>
        <w:jc w:val="both"/>
        <w:rPr>
          <w:bCs/>
          <w:i/>
          <w:color w:val="002060"/>
          <w:sz w:val="16"/>
          <w:szCs w:val="16"/>
        </w:rPr>
      </w:pPr>
    </w:p>
    <w:p w14:paraId="5511F977" w14:textId="77777777" w:rsidR="00076032" w:rsidRPr="00405303" w:rsidRDefault="00076032" w:rsidP="00C15251">
      <w:pPr>
        <w:jc w:val="both"/>
        <w:rPr>
          <w:bCs/>
          <w:i/>
          <w:color w:val="002060"/>
          <w:sz w:val="16"/>
          <w:szCs w:val="16"/>
        </w:rPr>
      </w:pPr>
      <w:r w:rsidRPr="00405303">
        <w:rPr>
          <w:bCs/>
          <w:i/>
          <w:color w:val="002060"/>
          <w:sz w:val="16"/>
          <w:szCs w:val="16"/>
        </w:rPr>
        <w:t>Армия:</w:t>
      </w:r>
    </w:p>
    <w:p w14:paraId="2D9C3288" w14:textId="77777777" w:rsidR="00076032" w:rsidRPr="00405303" w:rsidRDefault="00076032" w:rsidP="00C15251">
      <w:pPr>
        <w:jc w:val="both"/>
        <w:rPr>
          <w:bCs/>
          <w:i/>
          <w:color w:val="002060"/>
          <w:sz w:val="16"/>
          <w:szCs w:val="16"/>
        </w:rPr>
      </w:pPr>
    </w:p>
    <w:p w14:paraId="5C4B5F40" w14:textId="50F8D57A" w:rsidR="00076032" w:rsidRPr="00405303" w:rsidRDefault="00076032" w:rsidP="00C15251">
      <w:pPr>
        <w:jc w:val="both"/>
        <w:rPr>
          <w:bCs/>
          <w:color w:val="002060"/>
          <w:sz w:val="16"/>
          <w:szCs w:val="16"/>
        </w:rPr>
      </w:pPr>
      <w:r w:rsidRPr="00405303">
        <w:rPr>
          <w:bCs/>
          <w:color w:val="002060"/>
          <w:sz w:val="16"/>
          <w:szCs w:val="16"/>
        </w:rPr>
        <w:t xml:space="preserve">12 </w:t>
      </w:r>
      <w:r w:rsidR="00BF0061" w:rsidRPr="00405303">
        <w:rPr>
          <w:bCs/>
          <w:color w:val="002060"/>
          <w:sz w:val="16"/>
          <w:szCs w:val="16"/>
        </w:rPr>
        <w:t xml:space="preserve">(25) </w:t>
      </w:r>
      <w:r w:rsidRPr="00405303">
        <w:rPr>
          <w:bCs/>
          <w:color w:val="002060"/>
          <w:sz w:val="16"/>
          <w:szCs w:val="16"/>
        </w:rPr>
        <w:t>февраля в 1915 году части германской 8 армии осадили русскую крепость Осовец (15038).</w:t>
      </w:r>
    </w:p>
    <w:p w14:paraId="5291FDE7" w14:textId="77777777" w:rsidR="00076032" w:rsidRPr="00405303" w:rsidRDefault="00076032" w:rsidP="00C15251">
      <w:pPr>
        <w:jc w:val="both"/>
        <w:rPr>
          <w:bCs/>
          <w:color w:val="002060"/>
          <w:sz w:val="16"/>
          <w:szCs w:val="16"/>
        </w:rPr>
      </w:pPr>
    </w:p>
    <w:p w14:paraId="3B77E757" w14:textId="77777777" w:rsidR="00D465B0" w:rsidRPr="00405303" w:rsidRDefault="00D465B0" w:rsidP="00C15251">
      <w:pPr>
        <w:jc w:val="both"/>
        <w:rPr>
          <w:bCs/>
          <w:color w:val="002060"/>
          <w:sz w:val="16"/>
          <w:szCs w:val="16"/>
        </w:rPr>
      </w:pPr>
      <w:r w:rsidRPr="00405303">
        <w:rPr>
          <w:bCs/>
          <w:color w:val="002060"/>
          <w:sz w:val="16"/>
          <w:szCs w:val="16"/>
        </w:rPr>
        <w:t>12 (25) февраля 1915 противник начал обстрел кре</w:t>
      </w:r>
      <w:r w:rsidRPr="00405303">
        <w:rPr>
          <w:bCs/>
          <w:color w:val="002060"/>
          <w:sz w:val="16"/>
          <w:szCs w:val="16"/>
        </w:rPr>
        <w:softHyphen/>
        <w:t>пости Осовец, через день довёл его до ураганного и под</w:t>
      </w:r>
      <w:r w:rsidRPr="00405303">
        <w:rPr>
          <w:bCs/>
          <w:color w:val="002060"/>
          <w:sz w:val="16"/>
          <w:szCs w:val="16"/>
        </w:rPr>
        <w:softHyphen/>
        <w:t>держивал такой огонь до 18 февраля (3 марта). Особенно опасным был огонь 420-мм орудий, который казематированные постройки крепости выдержать не могли. Положение усугублялось ещё тем, что осадная артиллерия немцев находи</w:t>
      </w:r>
      <w:r w:rsidRPr="00405303">
        <w:rPr>
          <w:bCs/>
          <w:color w:val="002060"/>
          <w:sz w:val="16"/>
          <w:szCs w:val="16"/>
        </w:rPr>
        <w:softHyphen/>
        <w:t>лась вне досягаемости 150-мм орудий крепости, которые поэтому ограничивались заградитель</w:t>
      </w:r>
      <w:r w:rsidRPr="00405303">
        <w:rPr>
          <w:bCs/>
          <w:color w:val="002060"/>
          <w:sz w:val="16"/>
          <w:szCs w:val="16"/>
        </w:rPr>
        <w:softHyphen/>
        <w:t>ным огнём перед своими позициями. Немцы небрежно отнеслись к маскировке своих гигант</w:t>
      </w:r>
      <w:r w:rsidRPr="00405303">
        <w:rPr>
          <w:bCs/>
          <w:color w:val="002060"/>
          <w:sz w:val="16"/>
          <w:szCs w:val="16"/>
        </w:rPr>
        <w:softHyphen/>
        <w:t>ских орудий, предполагая, что они находятся вне всякой опасности от огня крепостной артилле</w:t>
      </w:r>
      <w:r w:rsidRPr="00405303">
        <w:rPr>
          <w:bCs/>
          <w:color w:val="002060"/>
          <w:sz w:val="16"/>
          <w:szCs w:val="16"/>
        </w:rPr>
        <w:softHyphen/>
        <w:t>рии. Воздушная разведка крепости с аэростата обнаружила батарею 420-мм гаубиц противника вблизи железнодорожного полустанка Подлесок, и после подтверждения этих сведений агентур</w:t>
      </w:r>
      <w:r w:rsidRPr="00405303">
        <w:rPr>
          <w:bCs/>
          <w:color w:val="002060"/>
          <w:sz w:val="16"/>
          <w:szCs w:val="16"/>
        </w:rPr>
        <w:softHyphen/>
        <w:t>ной разведкой 15 (28) февраля их вместе со скла</w:t>
      </w:r>
      <w:r w:rsidRPr="00405303">
        <w:rPr>
          <w:bCs/>
          <w:color w:val="002060"/>
          <w:sz w:val="16"/>
          <w:szCs w:val="16"/>
        </w:rPr>
        <w:softHyphen/>
        <w:t>дом боеприпасов уничтожила батарея из двух 150-мм орудий Кане, доставленных из Крон</w:t>
      </w:r>
      <w:r w:rsidRPr="00405303">
        <w:rPr>
          <w:bCs/>
          <w:color w:val="002060"/>
          <w:sz w:val="16"/>
          <w:szCs w:val="16"/>
        </w:rPr>
        <w:softHyphen/>
        <w:t>штадта и установленных на плацдарме вбли</w:t>
      </w:r>
      <w:r w:rsidRPr="00405303">
        <w:rPr>
          <w:bCs/>
          <w:color w:val="002060"/>
          <w:sz w:val="16"/>
          <w:szCs w:val="16"/>
        </w:rPr>
        <w:softHyphen/>
        <w:t>зи батареи № 9. Оставшиеся два 420-мм орудия немцы отвели в тыл, и они стрельбу по крепости больше не возобновляли (20120).</w:t>
      </w:r>
    </w:p>
    <w:p w14:paraId="01F2BCC4" w14:textId="77777777" w:rsidR="00D465B0" w:rsidRPr="00405303" w:rsidRDefault="00D465B0" w:rsidP="00C15251">
      <w:pPr>
        <w:jc w:val="both"/>
        <w:rPr>
          <w:bCs/>
          <w:color w:val="002060"/>
          <w:sz w:val="16"/>
          <w:szCs w:val="16"/>
        </w:rPr>
      </w:pPr>
    </w:p>
    <w:p w14:paraId="45C67716" w14:textId="77777777" w:rsidR="00076032" w:rsidRPr="00405303" w:rsidRDefault="00076032" w:rsidP="00C15251">
      <w:pPr>
        <w:jc w:val="both"/>
        <w:rPr>
          <w:bCs/>
          <w:i/>
          <w:color w:val="002060"/>
          <w:sz w:val="16"/>
          <w:szCs w:val="16"/>
        </w:rPr>
      </w:pPr>
      <w:r w:rsidRPr="00405303">
        <w:rPr>
          <w:bCs/>
          <w:i/>
          <w:color w:val="002060"/>
          <w:sz w:val="16"/>
          <w:szCs w:val="16"/>
        </w:rPr>
        <w:t>За рубежом:</w:t>
      </w:r>
    </w:p>
    <w:p w14:paraId="69D35D9B" w14:textId="77777777" w:rsidR="00076032" w:rsidRPr="00405303" w:rsidRDefault="00076032" w:rsidP="00C15251">
      <w:pPr>
        <w:jc w:val="both"/>
        <w:rPr>
          <w:bCs/>
          <w:color w:val="002060"/>
          <w:sz w:val="16"/>
          <w:szCs w:val="16"/>
        </w:rPr>
      </w:pPr>
    </w:p>
    <w:p w14:paraId="6CBB029C" w14:textId="77777777" w:rsidR="00076032" w:rsidRPr="00405303" w:rsidRDefault="00076032" w:rsidP="00C15251">
      <w:pPr>
        <w:jc w:val="both"/>
        <w:rPr>
          <w:bCs/>
          <w:color w:val="002060"/>
          <w:sz w:val="16"/>
          <w:szCs w:val="16"/>
        </w:rPr>
      </w:pPr>
      <w:r w:rsidRPr="00405303">
        <w:rPr>
          <w:bCs/>
          <w:color w:val="002060"/>
          <w:sz w:val="16"/>
          <w:szCs w:val="16"/>
        </w:rPr>
        <w:t>12 (25) февраля в 1915 году 7 линкоров англо-французской эскадры адмирала Кардена вновь подвергли обстрелу форты Седдюльбахир и Кумкале. Подавив 5 турецких батарей, 3 линкора пытались вслед за эсминцами-тральщиками прорваться в Дарданеллы, однако под огнем турецких промежуточных батарей были вынуждены отойти (15051).</w:t>
      </w:r>
    </w:p>
    <w:p w14:paraId="5D600BD0" w14:textId="77777777" w:rsidR="00076032" w:rsidRPr="00405303" w:rsidRDefault="00076032" w:rsidP="00C15251">
      <w:pPr>
        <w:jc w:val="both"/>
        <w:rPr>
          <w:bCs/>
          <w:color w:val="002060"/>
          <w:sz w:val="16"/>
          <w:szCs w:val="16"/>
        </w:rPr>
      </w:pPr>
    </w:p>
    <w:p w14:paraId="1B8F491A" w14:textId="6A2E2CD4" w:rsidR="00C949AE" w:rsidRPr="00405303" w:rsidRDefault="00C949AE" w:rsidP="00C15251">
      <w:pPr>
        <w:jc w:val="both"/>
        <w:rPr>
          <w:bCs/>
          <w:i/>
          <w:color w:val="002060"/>
          <w:sz w:val="16"/>
          <w:szCs w:val="16"/>
        </w:rPr>
      </w:pPr>
      <w:r w:rsidRPr="00405303">
        <w:rPr>
          <w:bCs/>
          <w:i/>
          <w:color w:val="002060"/>
          <w:sz w:val="16"/>
          <w:szCs w:val="16"/>
        </w:rPr>
        <w:t>Самолетостроение:</w:t>
      </w:r>
    </w:p>
    <w:p w14:paraId="4C492018" w14:textId="77777777" w:rsidR="00C949AE" w:rsidRPr="00405303" w:rsidRDefault="00C949AE" w:rsidP="00C15251">
      <w:pPr>
        <w:jc w:val="both"/>
        <w:rPr>
          <w:bCs/>
          <w:i/>
          <w:color w:val="002060"/>
          <w:sz w:val="16"/>
          <w:szCs w:val="16"/>
        </w:rPr>
      </w:pPr>
    </w:p>
    <w:p w14:paraId="2C610A9E" w14:textId="005BBF0A" w:rsidR="00C949AE" w:rsidRPr="00405303" w:rsidRDefault="00C949AE" w:rsidP="00C15251">
      <w:pPr>
        <w:jc w:val="both"/>
        <w:rPr>
          <w:bCs/>
          <w:color w:val="002060"/>
          <w:sz w:val="16"/>
          <w:szCs w:val="16"/>
        </w:rPr>
      </w:pPr>
      <w:r w:rsidRPr="00405303">
        <w:rPr>
          <w:bCs/>
          <w:color w:val="002060"/>
          <w:sz w:val="16"/>
          <w:szCs w:val="16"/>
          <w:lang w:bidi="en-US"/>
        </w:rPr>
        <w:t>13 (26) февраля 1915 г. разбился двухмоторный ИМ-</w:t>
      </w:r>
      <w:r w:rsidRPr="00405303">
        <w:rPr>
          <w:bCs/>
          <w:color w:val="002060"/>
          <w:sz w:val="16"/>
          <w:szCs w:val="16"/>
          <w:lang w:val="en-US" w:bidi="en-US"/>
        </w:rPr>
        <w:t>VI</w:t>
      </w:r>
      <w:r w:rsidRPr="00405303">
        <w:rPr>
          <w:bCs/>
          <w:color w:val="002060"/>
          <w:sz w:val="16"/>
          <w:szCs w:val="16"/>
          <w:lang w:bidi="en-US"/>
        </w:rPr>
        <w:t xml:space="preserve">; 13 мая был поврежден </w:t>
      </w:r>
      <w:r w:rsidRPr="00405303">
        <w:rPr>
          <w:bCs/>
          <w:color w:val="002060"/>
          <w:sz w:val="16"/>
          <w:szCs w:val="16"/>
          <w:lang w:val="en-US" w:bidi="en-US"/>
        </w:rPr>
        <w:t>III</w:t>
      </w:r>
      <w:r w:rsidRPr="00405303">
        <w:rPr>
          <w:bCs/>
          <w:color w:val="002060"/>
          <w:sz w:val="16"/>
          <w:szCs w:val="16"/>
          <w:lang w:bidi="en-US"/>
        </w:rPr>
        <w:t>; к концу мая ИМ-</w:t>
      </w:r>
      <w:r w:rsidRPr="00405303">
        <w:rPr>
          <w:bCs/>
          <w:color w:val="002060"/>
          <w:sz w:val="16"/>
          <w:szCs w:val="16"/>
          <w:lang w:val="en-US" w:bidi="en-US"/>
        </w:rPr>
        <w:t>I</w:t>
      </w:r>
      <w:r w:rsidRPr="00405303">
        <w:rPr>
          <w:bCs/>
          <w:color w:val="002060"/>
          <w:sz w:val="16"/>
          <w:szCs w:val="16"/>
          <w:lang w:bidi="en-US"/>
        </w:rPr>
        <w:t>, ИМ-</w:t>
      </w:r>
      <w:r w:rsidRPr="00405303">
        <w:rPr>
          <w:bCs/>
          <w:color w:val="002060"/>
          <w:sz w:val="16"/>
          <w:szCs w:val="16"/>
          <w:lang w:val="en-US" w:bidi="en-US"/>
        </w:rPr>
        <w:t>II</w:t>
      </w:r>
      <w:r w:rsidRPr="00405303">
        <w:rPr>
          <w:bCs/>
          <w:color w:val="002060"/>
          <w:sz w:val="16"/>
          <w:szCs w:val="16"/>
          <w:lang w:bidi="en-US"/>
        </w:rPr>
        <w:t>, ИМ-</w:t>
      </w:r>
      <w:r w:rsidRPr="00405303">
        <w:rPr>
          <w:bCs/>
          <w:color w:val="002060"/>
          <w:sz w:val="16"/>
          <w:szCs w:val="16"/>
          <w:lang w:val="en-US" w:bidi="en-US"/>
        </w:rPr>
        <w:t>III</w:t>
      </w:r>
      <w:r w:rsidRPr="00405303">
        <w:rPr>
          <w:bCs/>
          <w:color w:val="002060"/>
          <w:sz w:val="16"/>
          <w:szCs w:val="16"/>
          <w:lang w:bidi="en-US"/>
        </w:rPr>
        <w:t>, ИМ-</w:t>
      </w:r>
      <w:r w:rsidRPr="00405303">
        <w:rPr>
          <w:bCs/>
          <w:color w:val="002060"/>
          <w:sz w:val="16"/>
          <w:szCs w:val="16"/>
          <w:lang w:val="en-US" w:bidi="en-US"/>
        </w:rPr>
        <w:t>V</w:t>
      </w:r>
      <w:r w:rsidRPr="00405303">
        <w:rPr>
          <w:bCs/>
          <w:color w:val="002060"/>
          <w:sz w:val="16"/>
          <w:szCs w:val="16"/>
          <w:lang w:bidi="en-US"/>
        </w:rPr>
        <w:t xml:space="preserve"> и ИМ-</w:t>
      </w:r>
      <w:r w:rsidRPr="00405303">
        <w:rPr>
          <w:bCs/>
          <w:color w:val="002060"/>
          <w:sz w:val="16"/>
          <w:szCs w:val="16"/>
          <w:lang w:val="en-US" w:bidi="en-US"/>
        </w:rPr>
        <w:t>VI</w:t>
      </w:r>
      <w:r w:rsidRPr="00405303">
        <w:rPr>
          <w:bCs/>
          <w:color w:val="002060"/>
          <w:sz w:val="16"/>
          <w:szCs w:val="16"/>
          <w:lang w:bidi="en-US"/>
        </w:rPr>
        <w:t xml:space="preserve"> были списаны из-за сильного износа и не годились даже в качестве учебных (23525)</w:t>
      </w:r>
    </w:p>
    <w:p w14:paraId="21E11755" w14:textId="77777777" w:rsidR="00C949AE" w:rsidRPr="00405303" w:rsidRDefault="00C949AE" w:rsidP="00C15251">
      <w:pPr>
        <w:jc w:val="both"/>
        <w:rPr>
          <w:bCs/>
          <w:color w:val="002060"/>
          <w:sz w:val="16"/>
          <w:szCs w:val="16"/>
          <w:lang w:bidi="en-US"/>
        </w:rPr>
      </w:pPr>
    </w:p>
    <w:p w14:paraId="4A9B7B17" w14:textId="691FF660" w:rsidR="006603C8" w:rsidRPr="00405303" w:rsidRDefault="006603C8" w:rsidP="006603C8">
      <w:pPr>
        <w:jc w:val="both"/>
        <w:rPr>
          <w:bCs/>
          <w:i/>
          <w:color w:val="002060"/>
          <w:sz w:val="16"/>
          <w:szCs w:val="16"/>
        </w:rPr>
      </w:pPr>
      <w:r w:rsidRPr="00405303">
        <w:rPr>
          <w:bCs/>
          <w:i/>
          <w:color w:val="002060"/>
          <w:sz w:val="16"/>
          <w:szCs w:val="16"/>
        </w:rPr>
        <w:t>Другие оборонные отрасли:</w:t>
      </w:r>
    </w:p>
    <w:p w14:paraId="49CDF4FA" w14:textId="77777777" w:rsidR="006603C8" w:rsidRPr="00405303" w:rsidRDefault="006603C8" w:rsidP="006603C8">
      <w:pPr>
        <w:jc w:val="both"/>
        <w:rPr>
          <w:bCs/>
          <w:i/>
          <w:color w:val="002060"/>
          <w:sz w:val="16"/>
          <w:szCs w:val="16"/>
        </w:rPr>
      </w:pPr>
    </w:p>
    <w:p w14:paraId="00F1A200" w14:textId="77777777" w:rsidR="006603C8" w:rsidRPr="00405303" w:rsidRDefault="006603C8" w:rsidP="006603C8">
      <w:pPr>
        <w:jc w:val="both"/>
        <w:rPr>
          <w:color w:val="0070C0"/>
          <w:sz w:val="16"/>
          <w:szCs w:val="16"/>
        </w:rPr>
      </w:pPr>
      <w:r w:rsidRPr="00405303">
        <w:rPr>
          <w:color w:val="0070C0"/>
          <w:sz w:val="16"/>
          <w:szCs w:val="16"/>
        </w:rPr>
        <w:lastRenderedPageBreak/>
        <w:t>13 (26) февраля 1915 года Военный Совет раз</w:t>
      </w:r>
      <w:r w:rsidRPr="00405303">
        <w:rPr>
          <w:color w:val="0070C0"/>
          <w:sz w:val="16"/>
          <w:szCs w:val="16"/>
        </w:rPr>
        <w:softHyphen/>
        <w:t>решил ГВТУ сделать заказ в Америке 3.511 автомобилей и заключить соответствующие контракты с Гастойом и бан</w:t>
      </w:r>
      <w:r w:rsidRPr="00405303">
        <w:rPr>
          <w:color w:val="0070C0"/>
          <w:sz w:val="16"/>
          <w:szCs w:val="16"/>
        </w:rPr>
        <w:softHyphen/>
        <w:t>кирским домом «Маврикий Нелькен». Таким образом, почти вся рассматриваемая заготовка (разрешено было заготовить всего 3.938 автомобилей) осуществлена была путем заказа машин двум упомянутым посредникам (24923).</w:t>
      </w:r>
    </w:p>
    <w:p w14:paraId="50E08109" w14:textId="77777777" w:rsidR="006603C8" w:rsidRPr="00405303" w:rsidRDefault="006603C8" w:rsidP="006603C8">
      <w:pPr>
        <w:jc w:val="both"/>
        <w:rPr>
          <w:color w:val="0070C0"/>
          <w:sz w:val="16"/>
          <w:szCs w:val="16"/>
        </w:rPr>
      </w:pPr>
    </w:p>
    <w:p w14:paraId="48B20F31" w14:textId="62F42C01" w:rsidR="004B4E35" w:rsidRPr="00405303" w:rsidRDefault="009E6F82" w:rsidP="00C15251">
      <w:pPr>
        <w:jc w:val="both"/>
        <w:rPr>
          <w:bCs/>
          <w:i/>
          <w:color w:val="002060"/>
          <w:sz w:val="16"/>
          <w:szCs w:val="16"/>
        </w:rPr>
      </w:pPr>
      <w:r w:rsidRPr="00405303">
        <w:rPr>
          <w:bCs/>
          <w:i/>
          <w:color w:val="002060"/>
          <w:sz w:val="16"/>
          <w:szCs w:val="16"/>
        </w:rPr>
        <w:t>Авиация:</w:t>
      </w:r>
    </w:p>
    <w:p w14:paraId="71FDA277" w14:textId="77777777" w:rsidR="004B4E35" w:rsidRPr="00405303" w:rsidRDefault="004B4E35" w:rsidP="00C15251">
      <w:pPr>
        <w:jc w:val="both"/>
        <w:rPr>
          <w:bCs/>
          <w:i/>
          <w:color w:val="002060"/>
          <w:sz w:val="16"/>
          <w:szCs w:val="16"/>
        </w:rPr>
      </w:pPr>
    </w:p>
    <w:p w14:paraId="11632FCF" w14:textId="30BD33FE" w:rsidR="0072423A" w:rsidRPr="00405303" w:rsidRDefault="0072423A" w:rsidP="00C15251">
      <w:pPr>
        <w:jc w:val="both"/>
        <w:rPr>
          <w:bCs/>
          <w:color w:val="002060"/>
          <w:sz w:val="16"/>
          <w:szCs w:val="16"/>
        </w:rPr>
      </w:pPr>
      <w:r w:rsidRPr="00405303">
        <w:rPr>
          <w:bCs/>
          <w:color w:val="002060"/>
          <w:sz w:val="16"/>
          <w:szCs w:val="16"/>
        </w:rPr>
        <w:t>13 (26) февра</w:t>
      </w:r>
      <w:r w:rsidRPr="00405303">
        <w:rPr>
          <w:bCs/>
          <w:color w:val="002060"/>
          <w:sz w:val="16"/>
          <w:szCs w:val="16"/>
        </w:rPr>
        <w:softHyphen/>
        <w:t>ля 1915 г. капитан Горшков совершил по</w:t>
      </w:r>
      <w:r w:rsidRPr="00405303">
        <w:rPr>
          <w:bCs/>
          <w:color w:val="002060"/>
          <w:sz w:val="16"/>
          <w:szCs w:val="16"/>
        </w:rPr>
        <w:softHyphen/>
        <w:t>следний тренировочный полёт, и на 14 февраля был назначен боевой вылет. «Киевский» медленно на</w:t>
      </w:r>
      <w:r w:rsidRPr="00405303">
        <w:rPr>
          <w:bCs/>
          <w:color w:val="002060"/>
          <w:sz w:val="16"/>
          <w:szCs w:val="16"/>
        </w:rPr>
        <w:softHyphen/>
        <w:t>брал высоту 1800 м. Было облачно, но тихо. Самолёт углубился в тыл противника. Прошли две станции, сфотографировали поезд, но ко</w:t>
      </w:r>
      <w:r w:rsidRPr="00405303">
        <w:rPr>
          <w:bCs/>
          <w:color w:val="002060"/>
          <w:sz w:val="16"/>
          <w:szCs w:val="16"/>
        </w:rPr>
        <w:softHyphen/>
        <w:t>нечного пункта маршрута - Вилленберга - не нашли, заблудились в облаках. Неудовлетворённый ре</w:t>
      </w:r>
      <w:r w:rsidRPr="00405303">
        <w:rPr>
          <w:bCs/>
          <w:color w:val="002060"/>
          <w:sz w:val="16"/>
          <w:szCs w:val="16"/>
        </w:rPr>
        <w:softHyphen/>
        <w:t>зультатами вылета, Горшков решил повторить вылет прямо на следую</w:t>
      </w:r>
      <w:r w:rsidRPr="00405303">
        <w:rPr>
          <w:bCs/>
          <w:color w:val="002060"/>
          <w:sz w:val="16"/>
          <w:szCs w:val="16"/>
        </w:rPr>
        <w:softHyphen/>
        <w:t>щий день. Уже по знакомому марш</w:t>
      </w:r>
      <w:r w:rsidRPr="00405303">
        <w:rPr>
          <w:bCs/>
          <w:color w:val="002060"/>
          <w:sz w:val="16"/>
          <w:szCs w:val="16"/>
        </w:rPr>
        <w:softHyphen/>
        <w:t>руту точно вышли на Вилленберг и сделали три захода - на первом пристрелка, на втором сбросили серию из пяти бомб, на третьем сфотографировали станцию, уже окутанную дымом. Попадания были точными, прямо среди подвижного состава. Этими двумя полётами и началась - боевая работа Эскадры. За ними последовали новые. Горш</w:t>
      </w:r>
      <w:r w:rsidRPr="00405303">
        <w:rPr>
          <w:bCs/>
          <w:color w:val="002060"/>
          <w:sz w:val="16"/>
          <w:szCs w:val="16"/>
        </w:rPr>
        <w:softHyphen/>
        <w:t>ков, Башко и Наумов были награж</w:t>
      </w:r>
      <w:r w:rsidRPr="00405303">
        <w:rPr>
          <w:bCs/>
          <w:color w:val="002060"/>
          <w:sz w:val="16"/>
          <w:szCs w:val="16"/>
        </w:rPr>
        <w:softHyphen/>
        <w:t>дены Георгиевским оружием. Кроме того, Горшков получил должность и.о. старшего офицера Эскадры, а штабс-капитан Башко стал коман</w:t>
      </w:r>
      <w:r w:rsidRPr="00405303">
        <w:rPr>
          <w:bCs/>
          <w:color w:val="002060"/>
          <w:sz w:val="16"/>
          <w:szCs w:val="16"/>
        </w:rPr>
        <w:softHyphen/>
        <w:t>диром корабля «Киевский» (23469).</w:t>
      </w:r>
    </w:p>
    <w:p w14:paraId="033A7826" w14:textId="77777777" w:rsidR="0072423A" w:rsidRPr="00405303" w:rsidRDefault="0072423A" w:rsidP="00C15251">
      <w:pPr>
        <w:jc w:val="both"/>
        <w:rPr>
          <w:bCs/>
          <w:color w:val="002060"/>
          <w:sz w:val="16"/>
          <w:szCs w:val="16"/>
        </w:rPr>
      </w:pPr>
    </w:p>
    <w:p w14:paraId="2A4E9D01" w14:textId="7C166C02" w:rsidR="004B4E35" w:rsidRPr="00405303" w:rsidRDefault="009E6F82" w:rsidP="00C15251">
      <w:pPr>
        <w:jc w:val="both"/>
        <w:rPr>
          <w:bCs/>
          <w:color w:val="002060"/>
          <w:sz w:val="16"/>
          <w:szCs w:val="16"/>
        </w:rPr>
      </w:pPr>
      <w:r w:rsidRPr="00405303">
        <w:rPr>
          <w:bCs/>
          <w:color w:val="002060"/>
          <w:sz w:val="16"/>
          <w:szCs w:val="16"/>
        </w:rPr>
        <w:t xml:space="preserve">13 </w:t>
      </w:r>
      <w:r w:rsidR="00BF0061" w:rsidRPr="00405303">
        <w:rPr>
          <w:bCs/>
          <w:color w:val="002060"/>
          <w:sz w:val="16"/>
          <w:szCs w:val="16"/>
        </w:rPr>
        <w:t xml:space="preserve">(26) </w:t>
      </w:r>
      <w:r w:rsidRPr="00405303">
        <w:rPr>
          <w:bCs/>
          <w:color w:val="002060"/>
          <w:sz w:val="16"/>
          <w:szCs w:val="16"/>
        </w:rPr>
        <w:t xml:space="preserve">февраля 1915 г. </w:t>
      </w:r>
      <w:r w:rsidR="00BF0061" w:rsidRPr="00405303">
        <w:rPr>
          <w:bCs/>
          <w:color w:val="002060"/>
          <w:sz w:val="16"/>
          <w:szCs w:val="16"/>
        </w:rPr>
        <w:t xml:space="preserve">произошла первая серьезная авария в Эскадре с выводом из строя "Муромца". </w:t>
      </w:r>
      <w:r w:rsidRPr="00405303">
        <w:rPr>
          <w:bCs/>
          <w:color w:val="002060"/>
          <w:sz w:val="16"/>
          <w:szCs w:val="16"/>
        </w:rPr>
        <w:t>"Воздушный Корабль VI-й" штабс-капитан Фирсова вследствие неправильного маневра, потерял скорость и на вираже с высоты около 30 метров упал и разбился. К счастью, все остались живы: командир получил сильные ушибы и сотрясение мозга. Другая авария случилась 30 апреля, когда поручик Головин при посадке сильно разбил учебный корабль типа Б №137, который после этого уже не подлежал ремонту (12038).</w:t>
      </w:r>
    </w:p>
    <w:p w14:paraId="24E9E6E3" w14:textId="77777777" w:rsidR="004B4E35" w:rsidRPr="00405303" w:rsidRDefault="004B4E35" w:rsidP="00C15251">
      <w:pPr>
        <w:jc w:val="both"/>
        <w:rPr>
          <w:bCs/>
          <w:color w:val="002060"/>
          <w:sz w:val="16"/>
          <w:szCs w:val="16"/>
        </w:rPr>
      </w:pPr>
    </w:p>
    <w:p w14:paraId="3C4B5CCB" w14:textId="46961D5A" w:rsidR="004B4E35" w:rsidRPr="00405303" w:rsidRDefault="009E6F82" w:rsidP="00C15251">
      <w:pPr>
        <w:jc w:val="both"/>
        <w:rPr>
          <w:bCs/>
          <w:color w:val="002060"/>
          <w:sz w:val="16"/>
          <w:szCs w:val="16"/>
        </w:rPr>
      </w:pPr>
      <w:r w:rsidRPr="00405303">
        <w:rPr>
          <w:bCs/>
          <w:color w:val="002060"/>
          <w:sz w:val="16"/>
          <w:szCs w:val="16"/>
        </w:rPr>
        <w:t xml:space="preserve">13 </w:t>
      </w:r>
      <w:r w:rsidR="00BF0061" w:rsidRPr="00405303">
        <w:rPr>
          <w:bCs/>
          <w:color w:val="002060"/>
          <w:sz w:val="16"/>
          <w:szCs w:val="16"/>
        </w:rPr>
        <w:t xml:space="preserve">(26) </w:t>
      </w:r>
      <w:r w:rsidRPr="00405303">
        <w:rPr>
          <w:bCs/>
          <w:color w:val="002060"/>
          <w:sz w:val="16"/>
          <w:szCs w:val="16"/>
        </w:rPr>
        <w:t xml:space="preserve">февраля </w:t>
      </w:r>
      <w:r w:rsidR="00BF0061" w:rsidRPr="00405303">
        <w:rPr>
          <w:bCs/>
          <w:color w:val="002060"/>
          <w:sz w:val="16"/>
          <w:szCs w:val="16"/>
        </w:rPr>
        <w:t xml:space="preserve">г. </w:t>
      </w:r>
      <w:r w:rsidRPr="00405303">
        <w:rPr>
          <w:bCs/>
          <w:color w:val="002060"/>
          <w:sz w:val="16"/>
          <w:szCs w:val="16"/>
        </w:rPr>
        <w:t xml:space="preserve">из-за неправильного маневра при полёте VI потерял скорость и с высоты 30 метров упал и разбился. Надо отметить, что на этом самолёте не устанавливались дополнительные рули направления. Возможно, что Сикорский хотел проверить достаточность использования только основного руля, установленного по оси симметрии фюзеляжа. Больше всех в аварии пострадал штабс-капитан Б.Н. Фирсов, который получил сотрясение мозга, значительные ушибы и был госпитализирован. Позднее Фирсов подал рапорт о переводе из Эскадры. "Муромец" пришёл в полную негодность. В марте с уже выработавшего свой ресурс старого I корабля (№ 135) были сняты дефицитные моторы "Аргус" и переданы штабс-капитану Бродовичудля нового корабля типа В (№ 151), получившему наименование "Илья Муромец III". На бывший аппарат Бродовича типа Б (№ 137) был назначен новый командир - поручик С.Н. Головин, а самолёт был переименован в VI корабль. </w:t>
      </w:r>
    </w:p>
    <w:p w14:paraId="3233B8C8" w14:textId="77777777" w:rsidR="004B4E35" w:rsidRPr="00405303" w:rsidRDefault="009E6F82" w:rsidP="00C15251">
      <w:pPr>
        <w:jc w:val="both"/>
        <w:rPr>
          <w:bCs/>
          <w:color w:val="002060"/>
          <w:sz w:val="16"/>
          <w:szCs w:val="16"/>
        </w:rPr>
      </w:pPr>
      <w:r w:rsidRPr="00405303">
        <w:rPr>
          <w:bCs/>
          <w:color w:val="002060"/>
          <w:sz w:val="16"/>
          <w:szCs w:val="16"/>
        </w:rPr>
        <w:t>Активная подготовительная работа не могла отвлечь от выполнения основной задачи - полётов в тыл противника. Капитан тип В с N° 150 Г.Г. Горшков и его помощник поручик И.С.</w:t>
      </w:r>
    </w:p>
    <w:p w14:paraId="05448CC1" w14:textId="77777777" w:rsidR="004B4E35" w:rsidRPr="00405303" w:rsidRDefault="009E6F82" w:rsidP="00C15251">
      <w:pPr>
        <w:jc w:val="both"/>
        <w:rPr>
          <w:bCs/>
          <w:color w:val="002060"/>
          <w:sz w:val="16"/>
          <w:szCs w:val="16"/>
        </w:rPr>
      </w:pPr>
      <w:r w:rsidRPr="00405303">
        <w:rPr>
          <w:bCs/>
          <w:color w:val="002060"/>
          <w:sz w:val="16"/>
          <w:szCs w:val="16"/>
        </w:rPr>
        <w:t>Башко времени не теряли и вскоре корабль VII "Киевский" (№ 150) типа В с моторами "Аргус" был готов к их выполнению (12041).</w:t>
      </w:r>
    </w:p>
    <w:p w14:paraId="31D86F27" w14:textId="77777777" w:rsidR="004B4E35" w:rsidRPr="00405303" w:rsidRDefault="004B4E35" w:rsidP="00C15251">
      <w:pPr>
        <w:jc w:val="both"/>
        <w:rPr>
          <w:bCs/>
          <w:color w:val="002060"/>
          <w:sz w:val="16"/>
          <w:szCs w:val="16"/>
        </w:rPr>
      </w:pPr>
    </w:p>
    <w:p w14:paraId="4F0235E4" w14:textId="058C8F6B" w:rsidR="00BF0061" w:rsidRPr="00405303" w:rsidRDefault="00BF0061" w:rsidP="00C15251">
      <w:pPr>
        <w:jc w:val="both"/>
        <w:rPr>
          <w:bCs/>
          <w:i/>
          <w:color w:val="002060"/>
          <w:sz w:val="16"/>
          <w:szCs w:val="16"/>
        </w:rPr>
      </w:pPr>
      <w:r w:rsidRPr="00405303">
        <w:rPr>
          <w:bCs/>
          <w:i/>
          <w:color w:val="002060"/>
          <w:sz w:val="16"/>
          <w:szCs w:val="16"/>
        </w:rPr>
        <w:t>Армия:</w:t>
      </w:r>
    </w:p>
    <w:p w14:paraId="2C89CD75" w14:textId="77777777" w:rsidR="00BF0061" w:rsidRPr="00405303" w:rsidRDefault="00BF0061" w:rsidP="00C15251">
      <w:pPr>
        <w:jc w:val="both"/>
        <w:rPr>
          <w:bCs/>
          <w:i/>
          <w:color w:val="002060"/>
          <w:sz w:val="16"/>
          <w:szCs w:val="16"/>
        </w:rPr>
      </w:pPr>
    </w:p>
    <w:p w14:paraId="6F7473E0" w14:textId="77777777" w:rsidR="00BF0061" w:rsidRPr="00405303" w:rsidRDefault="00BF0061" w:rsidP="00C15251">
      <w:pPr>
        <w:jc w:val="both"/>
        <w:rPr>
          <w:bCs/>
          <w:color w:val="002060"/>
          <w:sz w:val="16"/>
          <w:szCs w:val="16"/>
        </w:rPr>
      </w:pPr>
      <w:r w:rsidRPr="00405303">
        <w:rPr>
          <w:bCs/>
          <w:color w:val="002060"/>
          <w:sz w:val="16"/>
          <w:szCs w:val="16"/>
        </w:rPr>
        <w:t>13 (26) февраля в 1915 году началась оборона крепости Осовец (Польша) в ходе Первой мировой войны. Русские войска вплоть до 22 августа успешно отражали многократные атаки германских частей (15039).</w:t>
      </w:r>
    </w:p>
    <w:p w14:paraId="618E4A0A" w14:textId="77777777" w:rsidR="00BF0061" w:rsidRPr="00405303" w:rsidRDefault="00BF0061" w:rsidP="00C15251">
      <w:pPr>
        <w:jc w:val="both"/>
        <w:rPr>
          <w:bCs/>
          <w:color w:val="002060"/>
          <w:sz w:val="16"/>
          <w:szCs w:val="16"/>
        </w:rPr>
      </w:pPr>
    </w:p>
    <w:p w14:paraId="47C99663" w14:textId="22DA5208" w:rsidR="00336767" w:rsidRPr="00405303" w:rsidRDefault="00336767" w:rsidP="00C15251">
      <w:pPr>
        <w:jc w:val="both"/>
        <w:rPr>
          <w:bCs/>
          <w:i/>
          <w:color w:val="002060"/>
          <w:sz w:val="16"/>
          <w:szCs w:val="16"/>
        </w:rPr>
      </w:pPr>
      <w:r w:rsidRPr="00405303">
        <w:rPr>
          <w:bCs/>
          <w:i/>
          <w:color w:val="002060"/>
          <w:sz w:val="16"/>
          <w:szCs w:val="16"/>
        </w:rPr>
        <w:t>Авиация и воздухоплавание Германии:</w:t>
      </w:r>
    </w:p>
    <w:p w14:paraId="1B9B3107" w14:textId="77777777" w:rsidR="00336767" w:rsidRPr="00405303" w:rsidRDefault="00336767" w:rsidP="00C15251">
      <w:pPr>
        <w:jc w:val="both"/>
        <w:rPr>
          <w:bCs/>
          <w:i/>
          <w:color w:val="002060"/>
          <w:sz w:val="16"/>
          <w:szCs w:val="16"/>
        </w:rPr>
      </w:pPr>
    </w:p>
    <w:p w14:paraId="52A4E2D7" w14:textId="77777777" w:rsidR="00336767" w:rsidRPr="00405303" w:rsidRDefault="00336767" w:rsidP="00C15251">
      <w:pPr>
        <w:jc w:val="both"/>
        <w:rPr>
          <w:bCs/>
          <w:color w:val="002060"/>
          <w:sz w:val="16"/>
          <w:szCs w:val="16"/>
        </w:rPr>
      </w:pPr>
      <w:r w:rsidRPr="00405303">
        <w:rPr>
          <w:bCs/>
          <w:color w:val="002060"/>
          <w:sz w:val="16"/>
          <w:szCs w:val="16"/>
        </w:rPr>
        <w:t>13 (26) февраля 1915 вторая попытка Германии бомбить Соединенное Королевство терпит неудачу, когда сильный встречный ветер вынуждает немецкий флотский Zeppelin L-8, отправленный в атаку в одиночку, отказаться от своей попытки и приземлиться в лагере имперской немецкой армии в оккупированной немцами Бельгии (20338).</w:t>
      </w:r>
    </w:p>
    <w:p w14:paraId="1A9F4340" w14:textId="28EDA96A" w:rsidR="00336767" w:rsidRPr="00405303" w:rsidRDefault="00336767" w:rsidP="00C15251">
      <w:pPr>
        <w:jc w:val="both"/>
        <w:rPr>
          <w:bCs/>
          <w:color w:val="002060"/>
          <w:sz w:val="16"/>
          <w:szCs w:val="16"/>
        </w:rPr>
      </w:pPr>
    </w:p>
    <w:p w14:paraId="4088FD88" w14:textId="21FCBC89" w:rsidR="00BF0061" w:rsidRPr="00405303" w:rsidRDefault="00BF0061" w:rsidP="00C15251">
      <w:pPr>
        <w:jc w:val="both"/>
        <w:rPr>
          <w:bCs/>
          <w:i/>
          <w:iCs/>
          <w:color w:val="002060"/>
          <w:sz w:val="16"/>
          <w:szCs w:val="16"/>
        </w:rPr>
      </w:pPr>
      <w:r w:rsidRPr="00405303">
        <w:rPr>
          <w:bCs/>
          <w:i/>
          <w:iCs/>
          <w:color w:val="002060"/>
          <w:sz w:val="16"/>
          <w:szCs w:val="16"/>
        </w:rPr>
        <w:t>За рубежом:</w:t>
      </w:r>
    </w:p>
    <w:p w14:paraId="760BB903" w14:textId="77777777" w:rsidR="00BF0061" w:rsidRPr="00405303" w:rsidRDefault="00BF0061" w:rsidP="00C15251">
      <w:pPr>
        <w:jc w:val="both"/>
        <w:rPr>
          <w:bCs/>
          <w:i/>
          <w:iCs/>
          <w:color w:val="002060"/>
          <w:sz w:val="16"/>
          <w:szCs w:val="16"/>
        </w:rPr>
      </w:pPr>
    </w:p>
    <w:p w14:paraId="5396390B" w14:textId="03944478" w:rsidR="00BF0061" w:rsidRPr="00405303" w:rsidRDefault="00BF0061" w:rsidP="00C15251">
      <w:pPr>
        <w:jc w:val="both"/>
        <w:rPr>
          <w:rFonts w:eastAsia="Times-Roman"/>
          <w:bCs/>
          <w:color w:val="002060"/>
          <w:sz w:val="16"/>
          <w:szCs w:val="16"/>
        </w:rPr>
      </w:pPr>
      <w:r w:rsidRPr="00405303">
        <w:rPr>
          <w:bCs/>
          <w:color w:val="002060"/>
          <w:sz w:val="16"/>
          <w:szCs w:val="16"/>
          <w:shd w:val="clear" w:color="auto" w:fill="FFFFFF"/>
        </w:rPr>
        <w:t>13 (26) февраля 1915 года во время</w:t>
      </w:r>
      <w:r w:rsidR="00DB4D64" w:rsidRPr="00405303">
        <w:rPr>
          <w:bCs/>
          <w:color w:val="002060"/>
          <w:sz w:val="16"/>
          <w:szCs w:val="16"/>
          <w:shd w:val="clear" w:color="auto" w:fill="FFFFFF"/>
        </w:rPr>
        <w:t xml:space="preserve"> </w:t>
      </w:r>
      <w:r w:rsidRPr="00405303">
        <w:rPr>
          <w:bCs/>
          <w:color w:val="002060"/>
          <w:sz w:val="16"/>
          <w:szCs w:val="16"/>
          <w:shd w:val="clear" w:color="auto" w:fill="FFFFFF"/>
        </w:rPr>
        <w:t>Первой</w:t>
      </w:r>
      <w:r w:rsidR="00DB4D64" w:rsidRPr="00405303">
        <w:rPr>
          <w:bCs/>
          <w:color w:val="002060"/>
          <w:sz w:val="16"/>
          <w:szCs w:val="16"/>
          <w:shd w:val="clear" w:color="auto" w:fill="FFFFFF"/>
        </w:rPr>
        <w:t xml:space="preserve"> </w:t>
      </w:r>
      <w:r w:rsidRPr="00405303">
        <w:rPr>
          <w:bCs/>
          <w:color w:val="002060"/>
          <w:sz w:val="16"/>
          <w:szCs w:val="16"/>
          <w:shd w:val="clear" w:color="auto" w:fill="FFFFFF"/>
        </w:rPr>
        <w:t>мировой</w:t>
      </w:r>
      <w:r w:rsidR="00DB4D64" w:rsidRPr="00405303">
        <w:rPr>
          <w:bCs/>
          <w:color w:val="002060"/>
          <w:sz w:val="16"/>
          <w:szCs w:val="16"/>
          <w:shd w:val="clear" w:color="auto" w:fill="FFFFFF"/>
        </w:rPr>
        <w:t xml:space="preserve"> </w:t>
      </w:r>
      <w:r w:rsidRPr="00405303">
        <w:rPr>
          <w:bCs/>
          <w:color w:val="002060"/>
          <w:sz w:val="16"/>
          <w:szCs w:val="16"/>
          <w:shd w:val="clear" w:color="auto" w:fill="FFFFFF"/>
        </w:rPr>
        <w:t>состоялось первое</w:t>
      </w:r>
      <w:r w:rsidR="00DB4D64" w:rsidRPr="00405303">
        <w:rPr>
          <w:bCs/>
          <w:color w:val="002060"/>
          <w:sz w:val="16"/>
          <w:szCs w:val="16"/>
          <w:shd w:val="clear" w:color="auto" w:fill="FFFFFF"/>
        </w:rPr>
        <w:t xml:space="preserve"> </w:t>
      </w:r>
      <w:r w:rsidRPr="00405303">
        <w:rPr>
          <w:bCs/>
          <w:color w:val="002060"/>
          <w:sz w:val="16"/>
          <w:szCs w:val="16"/>
          <w:shd w:val="clear" w:color="auto" w:fill="FFFFFF"/>
        </w:rPr>
        <w:t>боевое</w:t>
      </w:r>
      <w:r w:rsidR="00DB4D64" w:rsidRPr="00405303">
        <w:rPr>
          <w:bCs/>
          <w:color w:val="002060"/>
          <w:sz w:val="16"/>
          <w:szCs w:val="16"/>
          <w:shd w:val="clear" w:color="auto" w:fill="FFFFFF"/>
        </w:rPr>
        <w:t xml:space="preserve"> </w:t>
      </w:r>
      <w:r w:rsidRPr="00405303">
        <w:rPr>
          <w:bCs/>
          <w:color w:val="002060"/>
          <w:sz w:val="16"/>
          <w:szCs w:val="16"/>
          <w:shd w:val="clear" w:color="auto" w:fill="FFFFFF"/>
        </w:rPr>
        <w:t>применение</w:t>
      </w:r>
      <w:r w:rsidR="00DB4D64" w:rsidRPr="00405303">
        <w:rPr>
          <w:bCs/>
          <w:color w:val="002060"/>
          <w:sz w:val="16"/>
          <w:szCs w:val="16"/>
          <w:shd w:val="clear" w:color="auto" w:fill="FFFFFF"/>
        </w:rPr>
        <w:t xml:space="preserve"> </w:t>
      </w:r>
      <w:r w:rsidRPr="00405303">
        <w:rPr>
          <w:bCs/>
          <w:color w:val="002060"/>
          <w:sz w:val="16"/>
          <w:szCs w:val="16"/>
          <w:shd w:val="clear" w:color="auto" w:fill="FFFFFF"/>
        </w:rPr>
        <w:t>огнемета против французских солдат под Верденом. Полезность оружия была ограничена его малой дальностью</w:t>
      </w:r>
      <w:r w:rsidR="00DB4D64" w:rsidRPr="00405303">
        <w:rPr>
          <w:bCs/>
          <w:color w:val="002060"/>
          <w:sz w:val="16"/>
          <w:szCs w:val="16"/>
          <w:shd w:val="clear" w:color="auto" w:fill="FFFFFF"/>
        </w:rPr>
        <w:t xml:space="preserve"> </w:t>
      </w:r>
      <w:r w:rsidRPr="00405303">
        <w:rPr>
          <w:bCs/>
          <w:color w:val="002060"/>
          <w:sz w:val="16"/>
          <w:szCs w:val="16"/>
          <w:shd w:val="clear" w:color="auto" w:fill="FFFFFF"/>
        </w:rPr>
        <w:t>применения</w:t>
      </w:r>
      <w:r w:rsidR="00DB4D64" w:rsidRPr="00405303">
        <w:rPr>
          <w:bCs/>
          <w:color w:val="002060"/>
          <w:sz w:val="16"/>
          <w:szCs w:val="16"/>
          <w:shd w:val="clear" w:color="auto" w:fill="FFFFFF"/>
        </w:rPr>
        <w:t xml:space="preserve"> </w:t>
      </w:r>
      <w:r w:rsidRPr="00405303">
        <w:rPr>
          <w:bCs/>
          <w:color w:val="002060"/>
          <w:sz w:val="16"/>
          <w:szCs w:val="16"/>
          <w:shd w:val="clear" w:color="auto" w:fill="FFFFFF"/>
        </w:rPr>
        <w:t>и ограниченной подвижностью. 30 июля 1915 года</w:t>
      </w:r>
      <w:r w:rsidR="00DB4D64" w:rsidRPr="00405303">
        <w:rPr>
          <w:bCs/>
          <w:color w:val="002060"/>
          <w:sz w:val="16"/>
          <w:szCs w:val="16"/>
          <w:shd w:val="clear" w:color="auto" w:fill="FFFFFF"/>
        </w:rPr>
        <w:t xml:space="preserve"> </w:t>
      </w:r>
      <w:r w:rsidRPr="00405303">
        <w:rPr>
          <w:bCs/>
          <w:color w:val="002060"/>
          <w:sz w:val="16"/>
          <w:szCs w:val="16"/>
          <w:shd w:val="clear" w:color="auto" w:fill="FFFFFF"/>
        </w:rPr>
        <w:t>огнеметы</w:t>
      </w:r>
      <w:r w:rsidR="00DB4D64" w:rsidRPr="00405303">
        <w:rPr>
          <w:bCs/>
          <w:color w:val="002060"/>
          <w:sz w:val="16"/>
          <w:szCs w:val="16"/>
          <w:shd w:val="clear" w:color="auto" w:fill="FFFFFF"/>
        </w:rPr>
        <w:t xml:space="preserve"> </w:t>
      </w:r>
      <w:r w:rsidRPr="00405303">
        <w:rPr>
          <w:bCs/>
          <w:color w:val="002060"/>
          <w:sz w:val="16"/>
          <w:szCs w:val="16"/>
          <w:shd w:val="clear" w:color="auto" w:fill="FFFFFF"/>
        </w:rPr>
        <w:t>эффективно использовали против британских позиций, чтобы ‘выбить’ солдат из окопов на открытую поверхность (20241).</w:t>
      </w:r>
    </w:p>
    <w:p w14:paraId="45174638" w14:textId="77777777" w:rsidR="00BF0061" w:rsidRPr="00405303" w:rsidRDefault="00BF0061" w:rsidP="00C15251">
      <w:pPr>
        <w:jc w:val="both"/>
        <w:rPr>
          <w:bCs/>
          <w:color w:val="002060"/>
          <w:sz w:val="16"/>
          <w:szCs w:val="16"/>
          <w:shd w:val="clear" w:color="auto" w:fill="FFFFFF"/>
        </w:rPr>
      </w:pPr>
    </w:p>
    <w:p w14:paraId="2B1DB7A7" w14:textId="68FCEF2B" w:rsidR="0072423A" w:rsidRPr="00405303" w:rsidRDefault="0072423A" w:rsidP="00C15251">
      <w:pPr>
        <w:jc w:val="both"/>
        <w:rPr>
          <w:bCs/>
          <w:i/>
          <w:color w:val="002060"/>
          <w:sz w:val="16"/>
          <w:szCs w:val="16"/>
        </w:rPr>
      </w:pPr>
      <w:r w:rsidRPr="00405303">
        <w:rPr>
          <w:bCs/>
          <w:i/>
          <w:color w:val="002060"/>
          <w:sz w:val="16"/>
          <w:szCs w:val="16"/>
        </w:rPr>
        <w:t>Самолетостроение:</w:t>
      </w:r>
    </w:p>
    <w:p w14:paraId="66AA08E7" w14:textId="77777777" w:rsidR="0072423A" w:rsidRPr="00405303" w:rsidRDefault="0072423A" w:rsidP="00C15251">
      <w:pPr>
        <w:jc w:val="both"/>
        <w:rPr>
          <w:bCs/>
          <w:i/>
          <w:color w:val="002060"/>
          <w:sz w:val="16"/>
          <w:szCs w:val="16"/>
        </w:rPr>
      </w:pPr>
    </w:p>
    <w:p w14:paraId="4A702C65" w14:textId="7223A3BB" w:rsidR="0072423A" w:rsidRPr="00405303" w:rsidRDefault="0072423A" w:rsidP="00C15251">
      <w:pPr>
        <w:jc w:val="both"/>
        <w:rPr>
          <w:bCs/>
          <w:color w:val="002060"/>
          <w:sz w:val="16"/>
          <w:szCs w:val="16"/>
        </w:rPr>
      </w:pPr>
      <w:r w:rsidRPr="00405303">
        <w:rPr>
          <w:bCs/>
          <w:color w:val="002060"/>
          <w:sz w:val="16"/>
          <w:szCs w:val="16"/>
        </w:rPr>
        <w:t>14 (27) февраля 1915 г. корабль «Илья Муромец» В-9 (ИМ В-9 № 150 «Корабль Киевский» «остроносый», борт № VI) экз. № 9, стратегический разведчик, тяжелый бомбардировщик совершил первый в ЭВК боевой вылет с аэродрома Яблона, но из-за плохой погоды задание выполнено не было.</w:t>
      </w:r>
    </w:p>
    <w:p w14:paraId="4C640E7C" w14:textId="77777777" w:rsidR="0072423A" w:rsidRPr="00405303" w:rsidRDefault="0072423A" w:rsidP="00C15251">
      <w:pPr>
        <w:jc w:val="both"/>
        <w:rPr>
          <w:bCs/>
          <w:color w:val="002060"/>
          <w:sz w:val="16"/>
          <w:szCs w:val="16"/>
        </w:rPr>
      </w:pPr>
      <w:r w:rsidRPr="00405303">
        <w:rPr>
          <w:bCs/>
          <w:color w:val="002060"/>
          <w:sz w:val="16"/>
          <w:szCs w:val="16"/>
        </w:rPr>
        <w:t>15 февраля 1915 г. по заданию штаба 1-й Армии СЗФ (в то время – под начальством генерала от кавалерии Литвинова) корабль совершил первый боевой вылет на разведку и бомбардировку переправ противника через Вислу у Плоцка (Płock, ныне – Мазовия, центральная часть Польши). Переправ не найдено, бомбы сброшены в тылу противника.</w:t>
      </w:r>
    </w:p>
    <w:p w14:paraId="358C8530" w14:textId="77777777" w:rsidR="0072423A" w:rsidRPr="00405303" w:rsidRDefault="0072423A" w:rsidP="00C15251">
      <w:pPr>
        <w:jc w:val="both"/>
        <w:rPr>
          <w:bCs/>
          <w:color w:val="002060"/>
          <w:sz w:val="16"/>
          <w:szCs w:val="16"/>
        </w:rPr>
      </w:pPr>
      <w:r w:rsidRPr="00405303">
        <w:rPr>
          <w:bCs/>
          <w:color w:val="002060"/>
          <w:sz w:val="16"/>
          <w:szCs w:val="16"/>
        </w:rPr>
        <w:t>24 февраля 1915 г. корабль по заданию штаба 1-й Армии СЗФ совершил полет продолжительностью 3,5 ч над Восточной Пруссией. Экипаж сфотографировал позиции при пересечении линии фронта и собрал подробные сведения о передвижениях противника вплоть до Млавы на севере Польши, затем, сделав два круга над г. Вилленбург, сбросил 17 бомб весом от 16 до 32 кг на местную железнодорожную станцию, пакгаузы у нее и скопившиеся там конные повозки.</w:t>
      </w:r>
    </w:p>
    <w:p w14:paraId="6ADE499E" w14:textId="77777777" w:rsidR="0072423A" w:rsidRPr="00405303" w:rsidRDefault="0072423A" w:rsidP="00C15251">
      <w:pPr>
        <w:jc w:val="both"/>
        <w:rPr>
          <w:bCs/>
          <w:color w:val="002060"/>
          <w:sz w:val="16"/>
          <w:szCs w:val="16"/>
        </w:rPr>
      </w:pPr>
      <w:r w:rsidRPr="00405303">
        <w:rPr>
          <w:bCs/>
          <w:color w:val="002060"/>
          <w:sz w:val="16"/>
          <w:szCs w:val="16"/>
        </w:rPr>
        <w:t>25 февраля 1915 г. корабль выполнил бомбовый удар по станции Вилленбург, сбросив 35 малых и 10 пудовых бомб, разрушив железнодорожные пути, стоявший на них подвижной состав и здание станции. Погибло два немецких офицера и 17 нижних чинов, а начальник станции был ранен. Согласно донесению разведки, полученному позже штабом Первой армии, налет вызвал сильную панику.</w:t>
      </w:r>
    </w:p>
    <w:p w14:paraId="6CBB21AA" w14:textId="77777777" w:rsidR="0072423A" w:rsidRPr="00405303" w:rsidRDefault="0072423A" w:rsidP="00C15251">
      <w:pPr>
        <w:jc w:val="both"/>
        <w:rPr>
          <w:bCs/>
          <w:color w:val="002060"/>
          <w:sz w:val="16"/>
          <w:szCs w:val="16"/>
        </w:rPr>
      </w:pPr>
      <w:r w:rsidRPr="00405303">
        <w:rPr>
          <w:bCs/>
          <w:color w:val="002060"/>
          <w:sz w:val="16"/>
          <w:szCs w:val="16"/>
        </w:rPr>
        <w:t>В мае 1915 г. корабль командирован на аэродром Лемберг (ныне Львов, Западная Украина) в распоряжение штаба 3-й Армии.</w:t>
      </w:r>
    </w:p>
    <w:p w14:paraId="62076CEB" w14:textId="77777777" w:rsidR="0072423A" w:rsidRPr="00405303" w:rsidRDefault="0072423A" w:rsidP="00C15251">
      <w:pPr>
        <w:jc w:val="both"/>
        <w:rPr>
          <w:bCs/>
          <w:color w:val="002060"/>
          <w:sz w:val="16"/>
          <w:szCs w:val="16"/>
        </w:rPr>
      </w:pPr>
      <w:r w:rsidRPr="00405303">
        <w:rPr>
          <w:bCs/>
          <w:color w:val="002060"/>
          <w:sz w:val="16"/>
          <w:szCs w:val="16"/>
        </w:rPr>
        <w:t>28 мая 1915 г. новым командиром корабля назначен поручик И.С. Башко.</w:t>
      </w:r>
    </w:p>
    <w:p w14:paraId="51EA5E71" w14:textId="77777777" w:rsidR="0072423A" w:rsidRPr="00405303" w:rsidRDefault="0072423A" w:rsidP="00C15251">
      <w:pPr>
        <w:jc w:val="both"/>
        <w:rPr>
          <w:bCs/>
          <w:color w:val="002060"/>
          <w:sz w:val="16"/>
          <w:szCs w:val="16"/>
        </w:rPr>
      </w:pPr>
      <w:r w:rsidRPr="00405303">
        <w:rPr>
          <w:bCs/>
          <w:color w:val="002060"/>
          <w:sz w:val="16"/>
          <w:szCs w:val="16"/>
        </w:rPr>
        <w:t>В июне 1915 г. корабль был перебазирован в Люблин (Lublin, ныне – восток Польши), а затем в том же месяце – в Влодаву (Włodawa, также восток Польши).</w:t>
      </w:r>
    </w:p>
    <w:p w14:paraId="2736048C" w14:textId="77777777" w:rsidR="0072423A" w:rsidRPr="00405303" w:rsidRDefault="0072423A" w:rsidP="00C15251">
      <w:pPr>
        <w:jc w:val="both"/>
        <w:rPr>
          <w:bCs/>
          <w:color w:val="002060"/>
          <w:sz w:val="16"/>
          <w:szCs w:val="16"/>
        </w:rPr>
      </w:pPr>
      <w:r w:rsidRPr="00405303">
        <w:rPr>
          <w:bCs/>
          <w:color w:val="002060"/>
          <w:sz w:val="16"/>
          <w:szCs w:val="16"/>
        </w:rPr>
        <w:t>14 июня 1915 г. корабль выполнил удачную бомбардировку станции Пржеворск (Przeworsk, ныне Подкарпатское воеводство на востоке Польши) в которой впервые была применена тяжелая бомба калибра 80 кг (5 пудов) вместе с другими. Для облегчения самолета были сняты внешние топливные баки. Удар получился чрезвычайно удачным – попадание одной бомбы калибра 16 кг в вагон с боеприпасами вызвало последовательную детонацию 30000 снарядов во всем стоящем на ее путях эшелоне. Результат был подтвержден аэрофотоснимком и данными агентурной разведки.</w:t>
      </w:r>
    </w:p>
    <w:p w14:paraId="5E592D20" w14:textId="77777777" w:rsidR="0072423A" w:rsidRPr="00405303" w:rsidRDefault="0072423A" w:rsidP="00C15251">
      <w:pPr>
        <w:jc w:val="both"/>
        <w:rPr>
          <w:bCs/>
          <w:color w:val="002060"/>
          <w:sz w:val="16"/>
          <w:szCs w:val="16"/>
        </w:rPr>
      </w:pPr>
      <w:r w:rsidRPr="00405303">
        <w:rPr>
          <w:bCs/>
          <w:color w:val="002060"/>
          <w:sz w:val="16"/>
          <w:szCs w:val="16"/>
        </w:rPr>
        <w:t>5 июля 1915 г. (18.07.15 г. по н.ст.) корабль под управлением поручика И.С. Башко (помощник командира поручик М.В. Смирнов, артиллерийский офицер штабс-капитан А.А. Наумов, моторист вольноопределяющийся младший унтер-офицер А.М. Лавров) вылетел на разведку и бомбометание, имея на борту 10 бомб калибра 16 кг, 25 – калибра 11 кг, 12 зажигательных снарядов, один пулемет системы Мадсена обр. 1904 г. и карабин с общим боезапасом 260 патронов.</w:t>
      </w:r>
    </w:p>
    <w:p w14:paraId="1E24FC4B" w14:textId="77777777" w:rsidR="0072423A" w:rsidRPr="00405303" w:rsidRDefault="0072423A" w:rsidP="00C15251">
      <w:pPr>
        <w:jc w:val="both"/>
        <w:rPr>
          <w:bCs/>
          <w:color w:val="002060"/>
          <w:sz w:val="16"/>
          <w:szCs w:val="16"/>
        </w:rPr>
      </w:pPr>
      <w:r w:rsidRPr="00405303">
        <w:rPr>
          <w:bCs/>
          <w:color w:val="002060"/>
          <w:sz w:val="16"/>
          <w:szCs w:val="16"/>
        </w:rPr>
        <w:lastRenderedPageBreak/>
        <w:t>Над г. Шербжешин (Польша) в 40 км от линии фронта на высоте 3200…3500 м снизу был атакован немецким самолетом. Огонь по противнику был открыт своевременно, но был не точен, а после 35 выстрелов пулемет заклинил.</w:t>
      </w:r>
    </w:p>
    <w:p w14:paraId="0BEF90A8" w14:textId="77777777" w:rsidR="0072423A" w:rsidRPr="00405303" w:rsidRDefault="0072423A" w:rsidP="00C15251">
      <w:pPr>
        <w:jc w:val="both"/>
        <w:rPr>
          <w:bCs/>
          <w:color w:val="002060"/>
          <w:sz w:val="16"/>
          <w:szCs w:val="16"/>
        </w:rPr>
      </w:pPr>
      <w:r w:rsidRPr="00405303">
        <w:rPr>
          <w:bCs/>
          <w:color w:val="002060"/>
          <w:sz w:val="16"/>
          <w:szCs w:val="16"/>
        </w:rPr>
        <w:t xml:space="preserve">Противник в первой же атаке смог повредить два верхних топливных бака, бензопроводы левой группы моторов, бензиновый фильтр правой группы моторов, радиатор охлаждения мотора №2. Левая группа моторов была отключена. Одновременно были пробиты передние стекла кабины по правому борту и был ранен в ногу и в голову командир корабля Башко – после атаки его временно сменил Смирнов, после перевязки Башко вернулся к управлению самолетом, а Смирнов и Лавров руками пытались закрывать пробоину в топливном фильтре, через которую вытекал бензин. Вторая атака этого самолета противника была отбита </w:t>
      </w:r>
      <w:proofErr w:type="gramStart"/>
      <w:r w:rsidRPr="00405303">
        <w:rPr>
          <w:bCs/>
          <w:color w:val="002060"/>
          <w:sz w:val="16"/>
          <w:szCs w:val="16"/>
        </w:rPr>
        <w:t>ружейным огнем</w:t>
      </w:r>
      <w:proofErr w:type="gramEnd"/>
      <w:r w:rsidRPr="00405303">
        <w:rPr>
          <w:bCs/>
          <w:color w:val="002060"/>
          <w:sz w:val="16"/>
          <w:szCs w:val="16"/>
        </w:rPr>
        <w:t xml:space="preserve"> и он отошел. Корабль развернулся на маршрут возвращения.</w:t>
      </w:r>
    </w:p>
    <w:p w14:paraId="008D347B" w14:textId="77777777" w:rsidR="0072423A" w:rsidRPr="00405303" w:rsidRDefault="0072423A" w:rsidP="00C15251">
      <w:pPr>
        <w:jc w:val="both"/>
        <w:rPr>
          <w:bCs/>
          <w:color w:val="002060"/>
          <w:sz w:val="16"/>
          <w:szCs w:val="16"/>
        </w:rPr>
      </w:pPr>
      <w:r w:rsidRPr="00405303">
        <w:rPr>
          <w:bCs/>
          <w:color w:val="002060"/>
          <w:sz w:val="16"/>
          <w:szCs w:val="16"/>
        </w:rPr>
        <w:t xml:space="preserve">Сразу за первым появился второй самолет противника, который своим огнем пробил маслобак мотора № 2, но его повторная атака </w:t>
      </w:r>
      <w:proofErr w:type="gramStart"/>
      <w:r w:rsidRPr="00405303">
        <w:rPr>
          <w:bCs/>
          <w:color w:val="002060"/>
          <w:sz w:val="16"/>
          <w:szCs w:val="16"/>
        </w:rPr>
        <w:t>была отбита</w:t>
      </w:r>
      <w:proofErr w:type="gramEnd"/>
      <w:r w:rsidRPr="00405303">
        <w:rPr>
          <w:bCs/>
          <w:color w:val="002060"/>
          <w:sz w:val="16"/>
          <w:szCs w:val="16"/>
        </w:rPr>
        <w:t xml:space="preserve"> и он также отвалил.</w:t>
      </w:r>
    </w:p>
    <w:p w14:paraId="4423160B" w14:textId="77777777" w:rsidR="0072423A" w:rsidRPr="00405303" w:rsidRDefault="0072423A" w:rsidP="00C15251">
      <w:pPr>
        <w:jc w:val="both"/>
        <w:rPr>
          <w:bCs/>
          <w:color w:val="002060"/>
          <w:sz w:val="16"/>
          <w:szCs w:val="16"/>
        </w:rPr>
      </w:pPr>
      <w:r w:rsidRPr="00405303">
        <w:rPr>
          <w:bCs/>
          <w:color w:val="002060"/>
          <w:sz w:val="16"/>
          <w:szCs w:val="16"/>
        </w:rPr>
        <w:t>Над линией фронта в полете со снижением на высоте 1400…1500 м корабль был атакован третьим самолетом противника и обстрелян артиллерией с земли. На подлете к г. Холм (Chełm, ныне – Люблинское воеводство, восток Польши) на высоте около 700 м по причине вытекания бензина все моторы остановились. На планировании экипаж не только смог пересечь линию фронта, но и найти аэродром 24-го АО у дер. Городище, где произвел экстренную посадку. Но летное поле на заболоченном лугу оказалось не приспособленным для тяжелого самолета – шасси увязли в грунте и были сломаны в левой части основных опор, разрушились винт мотора № 2, несколько нервюр и 4 стойки бипланной коробки возле него, треснул задний лонжерон среднего отсека нижнего правого полукрыла. При осмотре нашли не выявленные ранее пулевые пробоины:</w:t>
      </w:r>
    </w:p>
    <w:p w14:paraId="11118927" w14:textId="77777777" w:rsidR="0072423A" w:rsidRPr="00405303" w:rsidRDefault="0072423A" w:rsidP="00C15251">
      <w:pPr>
        <w:jc w:val="both"/>
        <w:rPr>
          <w:bCs/>
          <w:color w:val="002060"/>
          <w:sz w:val="16"/>
          <w:szCs w:val="16"/>
        </w:rPr>
      </w:pPr>
      <w:r w:rsidRPr="00405303">
        <w:rPr>
          <w:bCs/>
          <w:color w:val="002060"/>
          <w:sz w:val="16"/>
          <w:szCs w:val="16"/>
        </w:rPr>
        <w:t>- 2 в винте, 1 в подкосе рамы мотора № 3;</w:t>
      </w:r>
    </w:p>
    <w:p w14:paraId="68C76459" w14:textId="77777777" w:rsidR="0072423A" w:rsidRPr="00405303" w:rsidRDefault="0072423A" w:rsidP="00C15251">
      <w:pPr>
        <w:jc w:val="both"/>
        <w:rPr>
          <w:bCs/>
          <w:color w:val="002060"/>
          <w:sz w:val="16"/>
          <w:szCs w:val="16"/>
        </w:rPr>
      </w:pPr>
      <w:r w:rsidRPr="00405303">
        <w:rPr>
          <w:bCs/>
          <w:color w:val="002060"/>
          <w:sz w:val="16"/>
          <w:szCs w:val="16"/>
        </w:rPr>
        <w:t>- в грузовой раме и в магнето мотора № 2;</w:t>
      </w:r>
    </w:p>
    <w:p w14:paraId="4461999A" w14:textId="77777777" w:rsidR="0072423A" w:rsidRPr="00405303" w:rsidRDefault="0072423A" w:rsidP="00C15251">
      <w:pPr>
        <w:jc w:val="both"/>
        <w:rPr>
          <w:bCs/>
          <w:color w:val="002060"/>
          <w:sz w:val="16"/>
          <w:szCs w:val="16"/>
        </w:rPr>
      </w:pPr>
      <w:r w:rsidRPr="00405303">
        <w:rPr>
          <w:bCs/>
          <w:color w:val="002060"/>
          <w:sz w:val="16"/>
          <w:szCs w:val="16"/>
        </w:rPr>
        <w:t>- в стойке бипланной коробки за мотором № 1;</w:t>
      </w:r>
    </w:p>
    <w:p w14:paraId="6F4E78AB" w14:textId="77777777" w:rsidR="0072423A" w:rsidRPr="00405303" w:rsidRDefault="0072423A" w:rsidP="00C15251">
      <w:pPr>
        <w:jc w:val="both"/>
        <w:rPr>
          <w:bCs/>
          <w:color w:val="002060"/>
          <w:sz w:val="16"/>
          <w:szCs w:val="16"/>
        </w:rPr>
      </w:pPr>
      <w:r w:rsidRPr="00405303">
        <w:rPr>
          <w:bCs/>
          <w:color w:val="002060"/>
          <w:sz w:val="16"/>
          <w:szCs w:val="16"/>
        </w:rPr>
        <w:t>- несколько в обшивке;</w:t>
      </w:r>
    </w:p>
    <w:p w14:paraId="30781C27" w14:textId="77777777" w:rsidR="0072423A" w:rsidRPr="00405303" w:rsidRDefault="0072423A" w:rsidP="00C15251">
      <w:pPr>
        <w:jc w:val="both"/>
        <w:rPr>
          <w:bCs/>
          <w:color w:val="002060"/>
          <w:sz w:val="16"/>
          <w:szCs w:val="16"/>
        </w:rPr>
      </w:pPr>
      <w:r w:rsidRPr="00405303">
        <w:rPr>
          <w:bCs/>
          <w:color w:val="002060"/>
          <w:sz w:val="16"/>
          <w:szCs w:val="16"/>
        </w:rPr>
        <w:t>- 1 покрышке колеса шасси.</w:t>
      </w:r>
    </w:p>
    <w:p w14:paraId="0ADCCA87" w14:textId="77777777" w:rsidR="0072423A" w:rsidRPr="00405303" w:rsidRDefault="0072423A" w:rsidP="00C15251">
      <w:pPr>
        <w:jc w:val="both"/>
        <w:rPr>
          <w:bCs/>
          <w:color w:val="002060"/>
          <w:sz w:val="16"/>
          <w:szCs w:val="16"/>
        </w:rPr>
      </w:pPr>
      <w:r w:rsidRPr="00405303">
        <w:rPr>
          <w:bCs/>
          <w:color w:val="002060"/>
          <w:sz w:val="16"/>
          <w:szCs w:val="16"/>
        </w:rPr>
        <w:t>В этом бою безвозвратных потерь в экипаже нет, Башко, продолживший управление кораблем после ранения, награжден орденом Св. Георгия IV ст.</w:t>
      </w:r>
    </w:p>
    <w:p w14:paraId="53526606" w14:textId="77777777" w:rsidR="0072423A" w:rsidRPr="00405303" w:rsidRDefault="0072423A" w:rsidP="00C15251">
      <w:pPr>
        <w:jc w:val="both"/>
        <w:rPr>
          <w:bCs/>
          <w:color w:val="002060"/>
          <w:sz w:val="16"/>
          <w:szCs w:val="16"/>
        </w:rPr>
      </w:pPr>
      <w:r w:rsidRPr="00405303">
        <w:rPr>
          <w:bCs/>
          <w:color w:val="002060"/>
          <w:sz w:val="16"/>
          <w:szCs w:val="16"/>
        </w:rPr>
        <w:t>Корабль был более боевых вылетов не совершал и видимо был после этого полета был отправлен на РБВЗ для возможного ремонта. Но восстановить его не удалось и аэроплан был списан.</w:t>
      </w:r>
    </w:p>
    <w:p w14:paraId="1B20CAE0" w14:textId="77777777" w:rsidR="0072423A" w:rsidRPr="00405303" w:rsidRDefault="0072423A" w:rsidP="00C15251">
      <w:pPr>
        <w:jc w:val="both"/>
        <w:rPr>
          <w:bCs/>
          <w:color w:val="002060"/>
          <w:sz w:val="16"/>
          <w:szCs w:val="16"/>
        </w:rPr>
      </w:pPr>
      <w:r w:rsidRPr="00405303">
        <w:rPr>
          <w:bCs/>
          <w:color w:val="002060"/>
          <w:sz w:val="16"/>
          <w:szCs w:val="16"/>
        </w:rPr>
        <w:t>Корабль совершил 27 боевых вылетов и сбросил до 5760 кг (360 пудов) бомб (23563).</w:t>
      </w:r>
    </w:p>
    <w:p w14:paraId="5413ACEB" w14:textId="77777777" w:rsidR="0072423A" w:rsidRPr="00405303" w:rsidRDefault="0072423A" w:rsidP="00C15251">
      <w:pPr>
        <w:jc w:val="both"/>
        <w:rPr>
          <w:bCs/>
          <w:color w:val="002060"/>
          <w:sz w:val="16"/>
          <w:szCs w:val="16"/>
          <w:lang w:bidi="ru-RU"/>
        </w:rPr>
      </w:pPr>
    </w:p>
    <w:p w14:paraId="3DEE9BE4" w14:textId="2E1B416F" w:rsidR="004B4E35" w:rsidRPr="00405303" w:rsidRDefault="009E6F82" w:rsidP="00C15251">
      <w:pPr>
        <w:jc w:val="both"/>
        <w:rPr>
          <w:bCs/>
          <w:i/>
          <w:color w:val="002060"/>
          <w:sz w:val="16"/>
          <w:szCs w:val="16"/>
        </w:rPr>
      </w:pPr>
      <w:r w:rsidRPr="00405303">
        <w:rPr>
          <w:bCs/>
          <w:i/>
          <w:color w:val="002060"/>
          <w:sz w:val="16"/>
          <w:szCs w:val="16"/>
        </w:rPr>
        <w:t>Авиация:</w:t>
      </w:r>
    </w:p>
    <w:p w14:paraId="05DF4EE0" w14:textId="77777777" w:rsidR="004B4E35" w:rsidRPr="00405303" w:rsidRDefault="004B4E35" w:rsidP="00C15251">
      <w:pPr>
        <w:jc w:val="both"/>
        <w:rPr>
          <w:bCs/>
          <w:i/>
          <w:color w:val="002060"/>
          <w:sz w:val="16"/>
          <w:szCs w:val="16"/>
        </w:rPr>
      </w:pPr>
    </w:p>
    <w:p w14:paraId="62E1A11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14 (27) февраля 1915 г. в свой первый боевой полет поднялся воздушный корабль "Илья Муромец" — аппарат "Киевский" типа В №150. Сильная облачность помешала выполнить задание, и он вернулся через 1 час 51 минуту. Так было положено начало боевого применения "Муромцев". Уже 15 февраля "Киевский" совершил успешный боевой полет по заданию штаба 1-й армии Северо-Западного фронта. Была поставлена задача «выяснить существование переправ у Плоцка на реке Висла и разрушить их». Переправу обнаружено не было, но в тылу у противника было сброшено несколько бомб. 24 и 25 февраля "Киевский" вылетал из Яблонны для бомбардировки станции Вилленберг, на которую было сброшено свыше 160 пудов бомб. По донесению разведки «Муромец» произвел в городе и на станции следующие разрушения: «...разрушено станционное здание и пакгауз, 6 товарных вагонов и вагон коменданта, причем комендант ранен, в городе разрушено несколько домов, убито 2 офицера и 17 нижних чинов, 7 лошадей. В городе паника, жители в ясную погоду прячутся в погребах». </w:t>
      </w:r>
      <w:proofErr w:type="gramStart"/>
      <w:r w:rsidRPr="00405303">
        <w:rPr>
          <w:bCs/>
          <w:i w:val="0"/>
          <w:color w:val="002060"/>
          <w:spacing w:val="0"/>
          <w:kern w:val="0"/>
          <w:position w:val="0"/>
          <w:sz w:val="16"/>
          <w:szCs w:val="16"/>
        </w:rPr>
        <w:t>Итак</w:t>
      </w:r>
      <w:proofErr w:type="gramEnd"/>
      <w:r w:rsidRPr="00405303">
        <w:rPr>
          <w:bCs/>
          <w:i w:val="0"/>
          <w:color w:val="002060"/>
          <w:spacing w:val="0"/>
          <w:kern w:val="0"/>
          <w:position w:val="0"/>
          <w:sz w:val="16"/>
          <w:szCs w:val="16"/>
        </w:rPr>
        <w:t xml:space="preserve"> на деле было доказано выдающиеся качества воздушных кораблей: которые в умелых руках оказались мощным оружием. Способ­ные проникать вглубь вражеской территории, "Муромцы" несли значительный бомбовый груз, вооружение и могли довольно точно с большой высоты поражать наземные цели (11277).</w:t>
      </w:r>
    </w:p>
    <w:p w14:paraId="04ED0423" w14:textId="77777777" w:rsidR="004B4E35" w:rsidRPr="00405303" w:rsidRDefault="004B4E35" w:rsidP="00C15251">
      <w:pPr>
        <w:pStyle w:val="a3"/>
        <w:jc w:val="both"/>
        <w:rPr>
          <w:bCs/>
          <w:i w:val="0"/>
          <w:color w:val="002060"/>
          <w:spacing w:val="0"/>
          <w:kern w:val="0"/>
          <w:position w:val="0"/>
          <w:sz w:val="16"/>
          <w:szCs w:val="16"/>
        </w:rPr>
      </w:pPr>
    </w:p>
    <w:p w14:paraId="13C468F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14 (27) февраля 1915 состоялся первый боевой полет самолета "Илья Муромец", положивший начало боевой деятельности эскадры воздуш</w:t>
      </w:r>
      <w:r w:rsidRPr="00405303">
        <w:rPr>
          <w:bCs/>
          <w:color w:val="002060"/>
          <w:sz w:val="16"/>
          <w:szCs w:val="16"/>
        </w:rPr>
        <w:softHyphen/>
        <w:t>ных кораблей. С аэродрома Яблонна (под Варшавой) летчик Г.Г.Горшков совершил полет в Восточную Пруссию на бомбардировку железнодорожных узлов и станций. Полет продолжался I час 15 минут на высоте 2800 м и скорее был разведывательным, чем бомбардировочным. Не найдя подходящей цели, летчик вернулоя с бомбами. На следующий день тот же экипаж совершил полет на станцию Вилленберг и сбросил на нее 42 бомбы, в результате чего были разрушены железнодорожный путь и станционные постройки. Характерно, что, когда у немцев распространились слухи о появлении русских самолетов-гигантов, сбрасывающих бомбы с не</w:t>
      </w:r>
      <w:r w:rsidRPr="00405303">
        <w:rPr>
          <w:bCs/>
          <w:color w:val="002060"/>
          <w:sz w:val="16"/>
          <w:szCs w:val="16"/>
        </w:rPr>
        <w:softHyphen/>
        <w:t>виданной до тех пор точностью, немецкое командование издало спе</w:t>
      </w:r>
      <w:r w:rsidRPr="00405303">
        <w:rPr>
          <w:bCs/>
          <w:color w:val="002060"/>
          <w:sz w:val="16"/>
          <w:szCs w:val="16"/>
        </w:rPr>
        <w:softHyphen/>
        <w:t>циальный приказ - не верить этим слухам, т. к. "подобных самолетов существует". (ЦГВИА. ф. 493, оп 4, д. 425, л.71; "Русский инвалид", 1915 г.,18 ноября).</w:t>
      </w:r>
    </w:p>
    <w:p w14:paraId="70FB92AF" w14:textId="77777777" w:rsidR="004B4E35" w:rsidRPr="00405303" w:rsidRDefault="004B4E35" w:rsidP="00C15251">
      <w:pPr>
        <w:shd w:val="clear" w:color="auto" w:fill="FFFFFF"/>
        <w:jc w:val="both"/>
        <w:rPr>
          <w:bCs/>
          <w:color w:val="002060"/>
          <w:sz w:val="16"/>
          <w:szCs w:val="16"/>
        </w:rPr>
      </w:pPr>
    </w:p>
    <w:p w14:paraId="119780CC" w14:textId="77777777" w:rsidR="006A74DD" w:rsidRPr="00405303" w:rsidRDefault="006A74DD" w:rsidP="00C15251">
      <w:pPr>
        <w:jc w:val="both"/>
        <w:rPr>
          <w:bCs/>
          <w:color w:val="002060"/>
          <w:sz w:val="16"/>
          <w:szCs w:val="16"/>
        </w:rPr>
      </w:pPr>
      <w:r w:rsidRPr="00405303">
        <w:rPr>
          <w:bCs/>
          <w:color w:val="002060"/>
          <w:sz w:val="16"/>
          <w:szCs w:val="16"/>
        </w:rPr>
        <w:t>14 (27) февраля 1915 г. состоялся первый боевой полет самолета "Илья Муро</w:t>
      </w:r>
      <w:r w:rsidRPr="00405303">
        <w:rPr>
          <w:bCs/>
          <w:color w:val="002060"/>
          <w:sz w:val="16"/>
          <w:szCs w:val="16"/>
        </w:rPr>
        <w:softHyphen/>
        <w:t>мец”, положившей начало боевой деятельности эскадры воздушных ко</w:t>
      </w:r>
      <w:r w:rsidRPr="00405303">
        <w:rPr>
          <w:bCs/>
          <w:color w:val="002060"/>
          <w:sz w:val="16"/>
          <w:szCs w:val="16"/>
        </w:rPr>
        <w:softHyphen/>
        <w:t>раблей с аэродрома Яблонна /под Варшавой/. Летчик Г.Г.Горшков со</w:t>
      </w:r>
      <w:r w:rsidRPr="00405303">
        <w:rPr>
          <w:bCs/>
          <w:color w:val="002060"/>
          <w:sz w:val="16"/>
          <w:szCs w:val="16"/>
        </w:rPr>
        <w:softHyphen/>
        <w:t>вершил полет в восточную Пруссию на бомбардировку железнодорожных узлов и станций. Полет продолжался 1 чао 15 минут на высоте 2800 м и скорее был разведывательным, чем бомбардировочным. Не най</w:t>
      </w:r>
      <w:r w:rsidRPr="00405303">
        <w:rPr>
          <w:bCs/>
          <w:color w:val="002060"/>
          <w:sz w:val="16"/>
          <w:szCs w:val="16"/>
        </w:rPr>
        <w:softHyphen/>
        <w:t>дя подходящей цели, летчик вернулся с бомбами .Над следующий день тот же экипаж совершил полет на ст. Вилленберг и сбросил на нее весь бомбовой груз - 42 бомбы, в результате чего были разрушены железнодорожный путь и станционные по стройки. Характерно, что когда у немцев распространились слухи о появлении русских самолетов-гигантов, сбрасывающих бомбы с невиданной до тех пор точностью, немецкое командование издало специальный приказ - не верить этим слухам, т.к. «подобных самолетов не существует».</w:t>
      </w:r>
    </w:p>
    <w:p w14:paraId="7C34D385" w14:textId="77777777" w:rsidR="006A74DD" w:rsidRPr="00405303" w:rsidRDefault="006A74DD" w:rsidP="00C15251">
      <w:pPr>
        <w:jc w:val="both"/>
        <w:rPr>
          <w:bCs/>
          <w:color w:val="002060"/>
          <w:sz w:val="16"/>
          <w:szCs w:val="16"/>
        </w:rPr>
      </w:pPr>
      <w:r w:rsidRPr="00405303">
        <w:rPr>
          <w:bCs/>
          <w:color w:val="002060"/>
          <w:sz w:val="16"/>
          <w:szCs w:val="16"/>
        </w:rPr>
        <w:t>/ЦГВИА, ф. 493, оп. 4, д. 425, л. 71; "Русский инвалид" за 18 ноября 1915/ (23320).</w:t>
      </w:r>
    </w:p>
    <w:p w14:paraId="11A39C1E" w14:textId="77777777" w:rsidR="006A74DD" w:rsidRPr="00405303" w:rsidRDefault="006A74DD" w:rsidP="00C15251">
      <w:pPr>
        <w:jc w:val="both"/>
        <w:rPr>
          <w:bCs/>
          <w:color w:val="002060"/>
          <w:sz w:val="16"/>
          <w:szCs w:val="16"/>
        </w:rPr>
      </w:pPr>
    </w:p>
    <w:p w14:paraId="5B5A2D3D" w14:textId="6D65300A" w:rsidR="0072423A" w:rsidRPr="00405303" w:rsidRDefault="0072423A" w:rsidP="00C15251">
      <w:pPr>
        <w:jc w:val="both"/>
        <w:rPr>
          <w:bCs/>
          <w:color w:val="002060"/>
          <w:sz w:val="16"/>
          <w:szCs w:val="16"/>
        </w:rPr>
      </w:pPr>
      <w:r w:rsidRPr="00405303">
        <w:rPr>
          <w:bCs/>
          <w:color w:val="002060"/>
          <w:sz w:val="16"/>
          <w:szCs w:val="16"/>
          <w:lang w:bidi="ru-RU"/>
        </w:rPr>
        <w:t>14 (27) февраля 1915 г. первый боевой вылет совершил «ИМ» №150 – тип В. В марте в строй вошел «ИМ» №151 — таким образом, до на</w:t>
      </w:r>
      <w:r w:rsidRPr="00405303">
        <w:rPr>
          <w:bCs/>
          <w:color w:val="002060"/>
          <w:sz w:val="16"/>
          <w:szCs w:val="16"/>
          <w:lang w:bidi="ru-RU"/>
        </w:rPr>
        <w:softHyphen/>
        <w:t>ступления лета 1915 г. в интересах Северо</w:t>
      </w:r>
      <w:r w:rsidRPr="00405303">
        <w:rPr>
          <w:bCs/>
          <w:color w:val="002060"/>
          <w:sz w:val="16"/>
          <w:szCs w:val="16"/>
          <w:lang w:bidi="ru-RU"/>
        </w:rPr>
        <w:softHyphen/>
        <w:t>Западного фронта использовалось два та</w:t>
      </w:r>
      <w:r w:rsidRPr="00405303">
        <w:rPr>
          <w:bCs/>
          <w:color w:val="002060"/>
          <w:sz w:val="16"/>
          <w:szCs w:val="16"/>
          <w:lang w:bidi="ru-RU"/>
        </w:rPr>
        <w:softHyphen/>
        <w:t>ких воздушных корабля. В начале июля ко</w:t>
      </w:r>
      <w:r w:rsidRPr="00405303">
        <w:rPr>
          <w:bCs/>
          <w:color w:val="002060"/>
          <w:sz w:val="16"/>
          <w:szCs w:val="16"/>
          <w:lang w:bidi="ru-RU"/>
        </w:rPr>
        <w:softHyphen/>
        <w:t>личество боеспособных «Муромцев» увеличилось до пяти единиц. В этот период Эскадра воздушных кораблей перебазиро</w:t>
      </w:r>
      <w:r w:rsidRPr="00405303">
        <w:rPr>
          <w:bCs/>
          <w:color w:val="002060"/>
          <w:sz w:val="16"/>
          <w:szCs w:val="16"/>
          <w:lang w:bidi="ru-RU"/>
        </w:rPr>
        <w:softHyphen/>
        <w:t>валась в район города Лида, затем в район Пскова. В октябре 1915 г. из состава эскад</w:t>
      </w:r>
      <w:r w:rsidRPr="00405303">
        <w:rPr>
          <w:bCs/>
          <w:color w:val="002060"/>
          <w:sz w:val="16"/>
          <w:szCs w:val="16"/>
          <w:lang w:bidi="ru-RU"/>
        </w:rPr>
        <w:softHyphen/>
        <w:t>ры выделили боевой отряд в количестве 5-6 машин, которые до конца года базирова</w:t>
      </w:r>
      <w:r w:rsidRPr="00405303">
        <w:rPr>
          <w:bCs/>
          <w:color w:val="002060"/>
          <w:sz w:val="16"/>
          <w:szCs w:val="16"/>
          <w:lang w:bidi="ru-RU"/>
        </w:rPr>
        <w:softHyphen/>
        <w:t>лись под Ригой (станция Зегевольд) и дей</w:t>
      </w:r>
      <w:r w:rsidRPr="00405303">
        <w:rPr>
          <w:bCs/>
          <w:color w:val="002060"/>
          <w:sz w:val="16"/>
          <w:szCs w:val="16"/>
          <w:lang w:bidi="ru-RU"/>
        </w:rPr>
        <w:softHyphen/>
        <w:t>ствовали в интересах Северного фронта. Две машины отправили на Юго-Западный фронт с базированием в Колодзиевке (23374).</w:t>
      </w:r>
    </w:p>
    <w:p w14:paraId="2D865654" w14:textId="77777777" w:rsidR="0072423A" w:rsidRPr="00405303" w:rsidRDefault="0072423A" w:rsidP="00C15251">
      <w:pPr>
        <w:jc w:val="both"/>
        <w:rPr>
          <w:bCs/>
          <w:color w:val="002060"/>
          <w:sz w:val="16"/>
          <w:szCs w:val="16"/>
        </w:rPr>
      </w:pPr>
    </w:p>
    <w:p w14:paraId="15AA8DD7" w14:textId="13636EBD" w:rsidR="0072423A" w:rsidRPr="00405303" w:rsidRDefault="0072423A" w:rsidP="00C15251">
      <w:pPr>
        <w:jc w:val="both"/>
        <w:rPr>
          <w:bCs/>
          <w:color w:val="002060"/>
          <w:sz w:val="16"/>
          <w:szCs w:val="16"/>
        </w:rPr>
      </w:pPr>
      <w:r w:rsidRPr="00405303">
        <w:rPr>
          <w:bCs/>
          <w:color w:val="002060"/>
          <w:sz w:val="16"/>
          <w:szCs w:val="16"/>
        </w:rPr>
        <w:t>14 (27) февраля 1915 г. был назначен боевой вылет. «Киевский» медленно на</w:t>
      </w:r>
      <w:r w:rsidRPr="00405303">
        <w:rPr>
          <w:bCs/>
          <w:color w:val="002060"/>
          <w:sz w:val="16"/>
          <w:szCs w:val="16"/>
        </w:rPr>
        <w:softHyphen/>
        <w:t>брал высоту 1800 м. Было облачно, но тихо. Самолёт углубился в тыл противника. Прошли две станции, сфотографировали поезд, но ко</w:t>
      </w:r>
      <w:r w:rsidRPr="00405303">
        <w:rPr>
          <w:bCs/>
          <w:color w:val="002060"/>
          <w:sz w:val="16"/>
          <w:szCs w:val="16"/>
        </w:rPr>
        <w:softHyphen/>
        <w:t>нечного пункта маршрута - Вилленберга - не нашли, заблудились в облаках. Неудовлетворённый ре</w:t>
      </w:r>
      <w:r w:rsidRPr="00405303">
        <w:rPr>
          <w:bCs/>
          <w:color w:val="002060"/>
          <w:sz w:val="16"/>
          <w:szCs w:val="16"/>
        </w:rPr>
        <w:softHyphen/>
        <w:t>зультатами вылета, Горшков решил повторить вылет прямо на следую</w:t>
      </w:r>
      <w:r w:rsidRPr="00405303">
        <w:rPr>
          <w:bCs/>
          <w:color w:val="002060"/>
          <w:sz w:val="16"/>
          <w:szCs w:val="16"/>
        </w:rPr>
        <w:softHyphen/>
        <w:t>щий день. Уже по знакомому марш</w:t>
      </w:r>
      <w:r w:rsidRPr="00405303">
        <w:rPr>
          <w:bCs/>
          <w:color w:val="002060"/>
          <w:sz w:val="16"/>
          <w:szCs w:val="16"/>
        </w:rPr>
        <w:softHyphen/>
        <w:t>руту точно вышли на Вилленберг и сделали три захода - на первом пристрелка, на втором сбросили серию из пяти бомб, на третьем сфотографировали станцию, уже окутанную дымом. Попадания были точными, прямо среди подвижного состава. Этими двумя полётами и началась - боевая работа Эскадры. За ними последовали новые. Горш</w:t>
      </w:r>
      <w:r w:rsidRPr="00405303">
        <w:rPr>
          <w:bCs/>
          <w:color w:val="002060"/>
          <w:sz w:val="16"/>
          <w:szCs w:val="16"/>
        </w:rPr>
        <w:softHyphen/>
        <w:t>ков, Башко и Наумов были награж</w:t>
      </w:r>
      <w:r w:rsidRPr="00405303">
        <w:rPr>
          <w:bCs/>
          <w:color w:val="002060"/>
          <w:sz w:val="16"/>
          <w:szCs w:val="16"/>
        </w:rPr>
        <w:softHyphen/>
        <w:t>дены Георгиевским оружием. Кроме того, Горшков получил должность и.о. старшего офицера Эскадры, а штабс-капитан Башко стал коман</w:t>
      </w:r>
      <w:r w:rsidRPr="00405303">
        <w:rPr>
          <w:bCs/>
          <w:color w:val="002060"/>
          <w:sz w:val="16"/>
          <w:szCs w:val="16"/>
        </w:rPr>
        <w:softHyphen/>
        <w:t>диром корабля «Киевский» (23469).</w:t>
      </w:r>
    </w:p>
    <w:p w14:paraId="4B1022DC" w14:textId="77777777" w:rsidR="0072423A" w:rsidRPr="00405303" w:rsidRDefault="0072423A" w:rsidP="00C15251">
      <w:pPr>
        <w:jc w:val="both"/>
        <w:rPr>
          <w:bCs/>
          <w:color w:val="002060"/>
          <w:sz w:val="16"/>
          <w:szCs w:val="16"/>
        </w:rPr>
      </w:pPr>
    </w:p>
    <w:p w14:paraId="29441A36" w14:textId="613BA4BC" w:rsidR="004B4E35" w:rsidRPr="00405303" w:rsidRDefault="009E6F82" w:rsidP="00C15251">
      <w:pPr>
        <w:jc w:val="both"/>
        <w:rPr>
          <w:bCs/>
          <w:color w:val="002060"/>
          <w:sz w:val="16"/>
          <w:szCs w:val="16"/>
        </w:rPr>
      </w:pPr>
      <w:r w:rsidRPr="00405303">
        <w:rPr>
          <w:bCs/>
          <w:color w:val="002060"/>
          <w:sz w:val="16"/>
          <w:szCs w:val="16"/>
        </w:rPr>
        <w:t xml:space="preserve">14 </w:t>
      </w:r>
      <w:r w:rsidR="00BF0061" w:rsidRPr="00405303">
        <w:rPr>
          <w:bCs/>
          <w:color w:val="002060"/>
          <w:sz w:val="16"/>
          <w:szCs w:val="16"/>
        </w:rPr>
        <w:t xml:space="preserve">(27) </w:t>
      </w:r>
      <w:r w:rsidRPr="00405303">
        <w:rPr>
          <w:bCs/>
          <w:color w:val="002060"/>
          <w:sz w:val="16"/>
          <w:szCs w:val="16"/>
        </w:rPr>
        <w:t xml:space="preserve">февраля 1915 г. в свой первый боевой полет поднялся воздушный корабль "Илья Муромец" — аппарат "Киевский" типа В №150. Сильная облачность помешала выполнить задание, и он вернулся через 1 час 51 минуту. Так было положено начало боевого применения "Муромцев". Уже 15 февраля "Киевский" совершил успешный боевой полет по заданию штаба 1-й армии Северо-Западного фронта. Была поставлена задача «выяснить существование переправ у Плоцка на реке Висла и разрушить их». Переправу обнаружено не было, но в тылу у противника было сброшено несколько бомб. 24 и 25 февраля "Киевский" вылетал из Яблонны для бомбардировки станции Вилленберг, на которую было сброшено свыше 160 пудов бомб. По донесению разведки «Муромец» произвел в городе и на станции </w:t>
      </w:r>
      <w:r w:rsidRPr="00405303">
        <w:rPr>
          <w:bCs/>
          <w:color w:val="002060"/>
          <w:sz w:val="16"/>
          <w:szCs w:val="16"/>
        </w:rPr>
        <w:lastRenderedPageBreak/>
        <w:t xml:space="preserve">следующие разрушения: «...разрушено станционное здание и пакгауз, 6 товарных вагонов и вагон коменданта, причем комендант ранен, в городе разрушено несколько домов, убито 2 офицера и 17 нижних чинов, 7 лошадей. В городе паника, жители в ясную погоду прячутся в погребах». </w:t>
      </w:r>
      <w:proofErr w:type="gramStart"/>
      <w:r w:rsidRPr="00405303">
        <w:rPr>
          <w:bCs/>
          <w:color w:val="002060"/>
          <w:sz w:val="16"/>
          <w:szCs w:val="16"/>
        </w:rPr>
        <w:t>Итак</w:t>
      </w:r>
      <w:proofErr w:type="gramEnd"/>
      <w:r w:rsidRPr="00405303">
        <w:rPr>
          <w:bCs/>
          <w:color w:val="002060"/>
          <w:sz w:val="16"/>
          <w:szCs w:val="16"/>
        </w:rPr>
        <w:t xml:space="preserve"> на деле было доказано выдающиеся качества воздушных кораблей: которые в умелых руках оказались мощным оружием. Способ­ные проникать вглубь вражеской территории, "Муромцы" несли значительный бомбовый груз, вооружение и могли довольно точно с большой высоты поражать наземные цели. </w:t>
      </w:r>
    </w:p>
    <w:p w14:paraId="34AE542C" w14:textId="77777777" w:rsidR="004B4E35" w:rsidRPr="00405303" w:rsidRDefault="009E6F82" w:rsidP="00C15251">
      <w:pPr>
        <w:jc w:val="both"/>
        <w:rPr>
          <w:bCs/>
          <w:color w:val="002060"/>
          <w:sz w:val="16"/>
          <w:szCs w:val="16"/>
        </w:rPr>
      </w:pPr>
      <w:r w:rsidRPr="00405303">
        <w:rPr>
          <w:bCs/>
          <w:color w:val="002060"/>
          <w:sz w:val="16"/>
          <w:szCs w:val="16"/>
        </w:rPr>
        <w:t xml:space="preserve">В марте был готов новый корабль типа В №151 штабс-капитана С.М.Бродовича. 111-му кораблю поставили "Аргусы" с машины Руднева, которая была уже списана из-за ветхости. </w:t>
      </w:r>
    </w:p>
    <w:p w14:paraId="1EDFEB90" w14:textId="77777777" w:rsidR="004B4E35" w:rsidRPr="00405303" w:rsidRDefault="009E6F82" w:rsidP="00C15251">
      <w:pPr>
        <w:jc w:val="both"/>
        <w:rPr>
          <w:bCs/>
          <w:color w:val="002060"/>
          <w:sz w:val="16"/>
          <w:szCs w:val="16"/>
        </w:rPr>
      </w:pPr>
      <w:r w:rsidRPr="00405303">
        <w:rPr>
          <w:bCs/>
          <w:color w:val="002060"/>
          <w:sz w:val="16"/>
          <w:szCs w:val="16"/>
        </w:rPr>
        <w:t xml:space="preserve">"Киевский" и 111-й корабль "натворили" немало великих дел в 1915 году, тем самым завоевав славу "Муромцам" на полях сражений. С апреля 111-й корабль стал работать вместе с "Киевским". </w:t>
      </w:r>
    </w:p>
    <w:p w14:paraId="0F5CA30C" w14:textId="77777777" w:rsidR="004B4E35" w:rsidRPr="00405303" w:rsidRDefault="009E6F82" w:rsidP="00C15251">
      <w:pPr>
        <w:jc w:val="both"/>
        <w:rPr>
          <w:bCs/>
          <w:color w:val="002060"/>
          <w:sz w:val="16"/>
          <w:szCs w:val="16"/>
        </w:rPr>
      </w:pPr>
      <w:r w:rsidRPr="00405303">
        <w:rPr>
          <w:bCs/>
          <w:color w:val="002060"/>
          <w:sz w:val="16"/>
          <w:szCs w:val="16"/>
        </w:rPr>
        <w:t xml:space="preserve">В мае 1915 г. два единственных, совершающих боевые полеты корабля — 111-й и "Киевский" были командированы во Львов на фронт 3-й армии. 28 мая поручик И.С.Башко был назначен командиром "Киевского", а командиром 111-го стал поручик Д.А.Озерский (штабс-капитан С.М.Бродович подал рапорт о переводе в легкую авиацию). В июне оба корабля перелетели в Люблин, затем во Влодаву. 14 июня "Киевский" совершил удачный налет на станцию Пржеворск, где метким попаданием пудовой бомбы уничтожил состав с боеприпасами (30.000 снарядов!). </w:t>
      </w:r>
    </w:p>
    <w:p w14:paraId="6FE7AB85" w14:textId="77777777" w:rsidR="004B4E35" w:rsidRPr="00405303" w:rsidRDefault="009E6F82" w:rsidP="00C15251">
      <w:pPr>
        <w:jc w:val="both"/>
        <w:rPr>
          <w:bCs/>
          <w:color w:val="002060"/>
          <w:sz w:val="16"/>
          <w:szCs w:val="16"/>
        </w:rPr>
      </w:pPr>
      <w:r w:rsidRPr="00405303">
        <w:rPr>
          <w:bCs/>
          <w:color w:val="002060"/>
          <w:sz w:val="16"/>
          <w:szCs w:val="16"/>
        </w:rPr>
        <w:t xml:space="preserve">Тем временем в Яблонну стали прибывать "Муромцы" типа В с английскими моторами "Санбим". После сборки и испытаний новые корабли (1-й, 11-й и V-й) в начале июля выполнили по 2 боевых задания. Обычно в полет члены экипажа брали один карабин, одно ружье-пулемет Мадсена с 250 патронами и 12-15 пудов бомб. Встреч с немецкими аэропланами практически не было, и потому на борт предпочитали брать больше бомб и горючего, нежели пулеметов, что чуть не привело к потере корабля. Надо отметить, что "Киевский" иногда "таскал" с собой 2 пулемета (Мадсен с Льюисом или Максимом). О первом воздушном бое стоит рассказать поподробнее. </w:t>
      </w:r>
    </w:p>
    <w:p w14:paraId="25ABF4F2" w14:textId="77777777" w:rsidR="004B4E35" w:rsidRPr="00405303" w:rsidRDefault="009E6F82" w:rsidP="00C15251">
      <w:pPr>
        <w:jc w:val="both"/>
        <w:rPr>
          <w:bCs/>
          <w:color w:val="002060"/>
          <w:sz w:val="16"/>
          <w:szCs w:val="16"/>
        </w:rPr>
      </w:pPr>
      <w:r w:rsidRPr="00405303">
        <w:rPr>
          <w:bCs/>
          <w:color w:val="002060"/>
          <w:sz w:val="16"/>
          <w:szCs w:val="16"/>
        </w:rPr>
        <w:t xml:space="preserve">5 июля 1915 г. "Илья Муромец Киевский" №150 с экипажем в составе поручика И.С.Башко, помощника командира поручика Смирнова М.В., артофицера штабс-капитана Наумова А.А. и моториста </w:t>
      </w:r>
      <w:proofErr w:type="gramStart"/>
      <w:r w:rsidRPr="00405303">
        <w:rPr>
          <w:bCs/>
          <w:color w:val="002060"/>
          <w:sz w:val="16"/>
          <w:szCs w:val="16"/>
        </w:rPr>
        <w:t>мл.унтер</w:t>
      </w:r>
      <w:proofErr w:type="gramEnd"/>
      <w:r w:rsidRPr="00405303">
        <w:rPr>
          <w:bCs/>
          <w:color w:val="002060"/>
          <w:sz w:val="16"/>
          <w:szCs w:val="16"/>
        </w:rPr>
        <w:t xml:space="preserve">-офицера Лаврова А.М. вылетел на разведку и бомбометание. С собой взяли 10 пудовых и 5 25-ти фунтовых бомб, 12 зажигательных снарядов; один Мадсен и один карабин (общий запас патронов — 260 штук). Что было дальше, мы узнаем из боевого донесения: </w:t>
      </w:r>
    </w:p>
    <w:p w14:paraId="50E0A37B" w14:textId="77777777" w:rsidR="004B4E35" w:rsidRPr="00405303" w:rsidRDefault="009E6F82" w:rsidP="00C15251">
      <w:pPr>
        <w:jc w:val="both"/>
        <w:rPr>
          <w:bCs/>
          <w:color w:val="002060"/>
          <w:sz w:val="16"/>
          <w:szCs w:val="16"/>
        </w:rPr>
      </w:pPr>
      <w:r w:rsidRPr="00405303">
        <w:rPr>
          <w:bCs/>
          <w:color w:val="002060"/>
          <w:sz w:val="16"/>
          <w:szCs w:val="16"/>
        </w:rPr>
        <w:t xml:space="preserve">"...В полете на высоте около 3200-3500 м, Корабль был атакован тремя немецкими аппа­ратами. Первый из них был замечен в нижний люк, причем он был метров на 50 ниже Корабля. Корабль в это же время находился над Шебржешиным, верстах в 40 от передовых позиций под управлением поручика Смирнова. Тотчас же поручик Смирнов был сменен поручиком Башко. Немецкий аппарат, обладая большей скоростью и запасом мощности быст­ро обогнал Корабль и оказался метров на 50 выше с правой стороны спереди, открыв пуле­метный огонь по Кораблю. В гондоле Корабля в это время работа чинов экипажа распреде­лялась следующим образом: поручик Смирнов находился возле Командира, штабс-Капитан Наумов открыл огонь из ружья-пулемета и вольноопределяющийся Лавров из карабина. При первой атаке пулеметным огнем с неприятельского аппарата были пробиты оба верхних бака с бензином, фильтр правой группы моторов, радиатор 2-го мотора, перебиты обе бензинопроводные трубки левой группы моторов, стекла передних окон правой стороны и ранен в голову и ногу Командир Корабля поручик Башко. Так как бензинопроводы к левым моторам оказались перебиты, то тотчас же левые краники от бензиновых баков были закрыты и выключен левый бак. Дальше полет Корабля был на двух правых моторах. </w:t>
      </w:r>
    </w:p>
    <w:p w14:paraId="54EC8F08" w14:textId="77777777" w:rsidR="004B4E35" w:rsidRPr="00405303" w:rsidRDefault="009E6F82" w:rsidP="00C15251">
      <w:pPr>
        <w:jc w:val="both"/>
        <w:rPr>
          <w:bCs/>
          <w:color w:val="002060"/>
          <w:sz w:val="16"/>
          <w:szCs w:val="16"/>
        </w:rPr>
      </w:pPr>
      <w:r w:rsidRPr="00405303">
        <w:rPr>
          <w:bCs/>
          <w:color w:val="002060"/>
          <w:sz w:val="16"/>
          <w:szCs w:val="16"/>
        </w:rPr>
        <w:t xml:space="preserve">Немецкий аппарат после </w:t>
      </w:r>
      <w:proofErr w:type="gramStart"/>
      <w:r w:rsidRPr="00405303">
        <w:rPr>
          <w:bCs/>
          <w:color w:val="002060"/>
          <w:sz w:val="16"/>
          <w:szCs w:val="16"/>
        </w:rPr>
        <w:t>того</w:t>
      </w:r>
      <w:proofErr w:type="gramEnd"/>
      <w:r w:rsidRPr="00405303">
        <w:rPr>
          <w:bCs/>
          <w:color w:val="002060"/>
          <w:sz w:val="16"/>
          <w:szCs w:val="16"/>
        </w:rPr>
        <w:t xml:space="preserve"> как первый раз пересек дорогу Кораблю пытался вторично атаковать Корабль с левой стороны, но встреченный пулеметным и ружейным огнем с Корабля, резко повернул направо и с громадным креном пошел на снижение по направлению к Замостью. После отбития атаки поручик Смирнов заменил </w:t>
      </w:r>
      <w:proofErr w:type="gramStart"/>
      <w:r w:rsidRPr="00405303">
        <w:rPr>
          <w:bCs/>
          <w:color w:val="002060"/>
          <w:sz w:val="16"/>
          <w:szCs w:val="16"/>
        </w:rPr>
        <w:t>Командира поручика Башко</w:t>
      </w:r>
      <w:proofErr w:type="gramEnd"/>
      <w:r w:rsidRPr="00405303">
        <w:rPr>
          <w:bCs/>
          <w:color w:val="002060"/>
          <w:sz w:val="16"/>
          <w:szCs w:val="16"/>
        </w:rPr>
        <w:t xml:space="preserve"> которому вольноопределяющимся Лавровым была сделана перевязка. После перевязки поручик Башко опять стал управлять Кораблем, поручик Смирнов и вольноопределяющийся Лавров по очереди закрывали руками отверстия фильтра правой группы и принимали все­возможные меры к сохранению оставшегося бензина в баках для продолжения полета. При отражении атаки первого аппарата из ружья-пулемета была выпущена полностью кассета в 25 штук, из второй кассеты удалось выпустить всего 15 штук, затем внутри магазина закли­нило патрон и дальнейшая стрельба из него была совершенно невозможна. </w:t>
      </w:r>
    </w:p>
    <w:p w14:paraId="12380E96" w14:textId="77777777" w:rsidR="004B4E35" w:rsidRPr="00405303" w:rsidRDefault="009E6F82" w:rsidP="00C15251">
      <w:pPr>
        <w:jc w:val="both"/>
        <w:rPr>
          <w:bCs/>
          <w:color w:val="002060"/>
          <w:sz w:val="16"/>
          <w:szCs w:val="16"/>
        </w:rPr>
      </w:pPr>
      <w:r w:rsidRPr="00405303">
        <w:rPr>
          <w:bCs/>
          <w:color w:val="002060"/>
          <w:sz w:val="16"/>
          <w:szCs w:val="16"/>
        </w:rPr>
        <w:t xml:space="preserve">Вслед за первым аппаратом тотчас же появился следующий немецкий аппарат, который пролетел только один раз выше Корабля слева и обстрелял его из пулемета, причем был пробит маслянный бак второго мотора. По этому аппарату открыл огонь из карабина Поручик Смирнов, вольноопределяющийся Лавров находился в передней каюте у фильтра, а Штабе -Капитан Наумов ремонтировал ружье-пулемет. Так как ружье-пулемет совершенно отказало в действии, то поручик Смирнов передал карабин Наумову, а сам сменил вольноопределяю­щегося Лаврова, принимая меры к сохранению бензина, т.к. вольноопределяющийся Лавров поморозил обе кисти рук. Второй аппарат более Корабля не атаковал. </w:t>
      </w:r>
    </w:p>
    <w:p w14:paraId="0B943A75" w14:textId="77777777" w:rsidR="004B4E35" w:rsidRPr="00405303" w:rsidRDefault="009E6F82" w:rsidP="00C15251">
      <w:pPr>
        <w:jc w:val="both"/>
        <w:rPr>
          <w:bCs/>
          <w:color w:val="002060"/>
          <w:sz w:val="16"/>
          <w:szCs w:val="16"/>
        </w:rPr>
      </w:pPr>
      <w:r w:rsidRPr="00405303">
        <w:rPr>
          <w:bCs/>
          <w:color w:val="002060"/>
          <w:sz w:val="16"/>
          <w:szCs w:val="16"/>
        </w:rPr>
        <w:t xml:space="preserve">На линии передовых позиций, Корабль был обстрелян из пулемета третьим немецким аппаратом, шедшим на большом отдалении слева и выше Корабля. В то же время по Кораблю стреляла и артиллерия. Высота в это время была около 1400-1500 м. При подходе к г.Холму на высоте 700 м остановились и правые моторы, т.к. вышел весь запас бензина, поэтому пришлось произвести вынужденный спуск. Последний был сделан в 4-5 верстах от г.Холма око­ло д.Городище, возле аэродрома 24-го авиационного отряда на болотистом лугу. При этом колеса шасси увязли до лыж и поломаны: левая половина шасси, 4 стойки, винт второго мо­тора, несколько нервюр и надтреснул правый задний нижний лонжерон среднего отсека. При осмотре Корабля после посадки обнаружены кроме вышеуказанных следующие повреждения от пулеметного огня: пробит в двух местах винт 3-го мотора, перебит железный подкос у того же мотора, пробита покрышка, повреждено магнето второго мотора, пробита грузовая рама того же мотора, пробита стойка сзади первого мотора, передняя стойка у вто­рого мотора и несколько пробоин в поверхности Корабля. Спуск произвел Командир Корабля Поручик Башко лично не смотря на ранения." </w:t>
      </w:r>
    </w:p>
    <w:p w14:paraId="50934330" w14:textId="77777777" w:rsidR="004B4E35" w:rsidRPr="00405303" w:rsidRDefault="009E6F82" w:rsidP="00C15251">
      <w:pPr>
        <w:jc w:val="both"/>
        <w:rPr>
          <w:bCs/>
          <w:color w:val="002060"/>
          <w:sz w:val="16"/>
          <w:szCs w:val="16"/>
        </w:rPr>
      </w:pPr>
      <w:r w:rsidRPr="00405303">
        <w:rPr>
          <w:bCs/>
          <w:color w:val="002060"/>
          <w:sz w:val="16"/>
          <w:szCs w:val="16"/>
        </w:rPr>
        <w:t xml:space="preserve">За проявленное мужество экипаж "Киевского" получил награды, а Башко присвоили чин штабс-капитана и наградили его орденом Св.Георгия 4-й степени. </w:t>
      </w:r>
    </w:p>
    <w:p w14:paraId="3C857A7B" w14:textId="77777777" w:rsidR="004B4E35" w:rsidRPr="00405303" w:rsidRDefault="009E6F82" w:rsidP="00C15251">
      <w:pPr>
        <w:jc w:val="both"/>
        <w:rPr>
          <w:bCs/>
          <w:color w:val="002060"/>
          <w:sz w:val="16"/>
          <w:szCs w:val="16"/>
        </w:rPr>
      </w:pPr>
      <w:r w:rsidRPr="00405303">
        <w:rPr>
          <w:bCs/>
          <w:color w:val="002060"/>
          <w:sz w:val="16"/>
          <w:szCs w:val="16"/>
        </w:rPr>
        <w:t xml:space="preserve">Оставшийся в июле-августе единственный боеспособный на фронте 111-й корабль тогоже полка и "Киевский" поначалу брал 2 пулемета, затем только Мадсен с 75 патронами. После случая нападения на корабль своего товарища на борту 111-го корабля взяли за правило брать с собой 3 пулемета: «Мадсен», «Максим» и «Льюис» со 150, 500 и 280 патронами соответственно. Этот корабль совершил с мая по октябрь 1915 г. более 30 полетов, часто проникая на п-рриторию врага на глубину до 190 верст. 2 ноября 1915 г. был потерян один из лучших кораблей Эскадры. Штабс-капитан Озерский, желая увеличить скорость "Муромца", приказал снять добавочные рули, чем уменьшил устойчивость аппарата. Это и стало причиной гибели экипажа. "Муромцы" этого отряда совершили до типа 1915 г. на Северном фронте 25 боевых вылетов. Зa весь 1915 год воздушные корабли выполнили около 100 боевых полетов, сбросив на противника до 1220 пудов бомб. </w:t>
      </w:r>
    </w:p>
    <w:p w14:paraId="67B885B1" w14:textId="77777777" w:rsidR="004B4E35" w:rsidRPr="00405303" w:rsidRDefault="004B4E35" w:rsidP="00C15251">
      <w:pPr>
        <w:jc w:val="both"/>
        <w:rPr>
          <w:bCs/>
          <w:color w:val="002060"/>
          <w:sz w:val="16"/>
          <w:szCs w:val="16"/>
        </w:rPr>
      </w:pPr>
    </w:p>
    <w:p w14:paraId="2CEDBC4E" w14:textId="77777777" w:rsidR="004B4E35" w:rsidRPr="00405303" w:rsidRDefault="009E6F82" w:rsidP="00C15251">
      <w:pPr>
        <w:jc w:val="both"/>
        <w:rPr>
          <w:bCs/>
          <w:color w:val="002060"/>
          <w:sz w:val="16"/>
          <w:szCs w:val="16"/>
        </w:rPr>
      </w:pPr>
      <w:r w:rsidRPr="00405303">
        <w:rPr>
          <w:bCs/>
          <w:color w:val="002060"/>
          <w:sz w:val="16"/>
          <w:szCs w:val="16"/>
        </w:rPr>
        <w:t>14 (27) февраля 1915 начала свою боевую деятельность ЭВК. В 8 часов утра после предварительных экспериментов и тренировочных полетов "ИМ-Киевский" отправился в свой первый боевой вылет. Ему была поставлена задача выяснить наличие переправ на участке Вислы до Добржан и в случае обнаружения разрушить их. Он имел бензина на 3,5 часа полета и груз бомб 246 кг. Экипаж включал пилота, капитана Г.Г. Горшкова, его заместителя лейтенанта И.С. Башко, артиллерийского офицера штабс-капитана А.А. Наумова и одного авиамеханика. Боевой вылет продолжался 1 час 51 мин. "ИМ-Киевский" летел на высоте 2800 м, достигнув этой крейсерской высоты за 40 мин. Из-за сплошной облачности воздушное судно долетело только до Плоцка и вернулось на свой аэродром.</w:t>
      </w:r>
    </w:p>
    <w:p w14:paraId="375DD07B" w14:textId="77777777" w:rsidR="004B4E35" w:rsidRPr="00405303" w:rsidRDefault="009E6F82" w:rsidP="00C15251">
      <w:pPr>
        <w:jc w:val="both"/>
        <w:rPr>
          <w:bCs/>
          <w:color w:val="002060"/>
          <w:sz w:val="16"/>
          <w:szCs w:val="16"/>
        </w:rPr>
      </w:pPr>
      <w:r w:rsidRPr="00405303">
        <w:rPr>
          <w:bCs/>
          <w:color w:val="002060"/>
          <w:sz w:val="16"/>
          <w:szCs w:val="16"/>
        </w:rPr>
        <w:t>По-настоящему развернуть боевую работу с начала этого года ЭВК смогла только благодаря проведенной подготовке летного состава, организации аэродромной службы и сборочных мастерских. Эскадра базировалась в это время на аэродроме у деревни Старая Яблонна в полосе действий 1 -й армии Северо-Западного фронта. Перед ней были поставлены задачи вести усиленную воздушную разведку, особо обращая внимание на все изменения боевой обстановки, всеми силами мешать противнику осуществлять переброску войск на этот участок фронта, воздействуя на ж/д узлы, станции и аэродромы в городах Нейденбург, Сольдау, Вилленбург, Плоцк, Млава, а также помочь войскам фронта в форсировании Вислы.</w:t>
      </w:r>
    </w:p>
    <w:p w14:paraId="2513D7DA" w14:textId="77777777" w:rsidR="004B4E35" w:rsidRPr="00405303" w:rsidRDefault="009E6F82" w:rsidP="00C15251">
      <w:pPr>
        <w:jc w:val="both"/>
        <w:rPr>
          <w:bCs/>
          <w:color w:val="002060"/>
          <w:sz w:val="16"/>
          <w:szCs w:val="16"/>
        </w:rPr>
      </w:pPr>
      <w:r w:rsidRPr="00405303">
        <w:rPr>
          <w:bCs/>
          <w:color w:val="002060"/>
          <w:sz w:val="16"/>
          <w:szCs w:val="16"/>
        </w:rPr>
        <w:t>По странной иронии судьбы русские военные, единственные в этот период войны располагавшие тяжелыми многомоторными самолетами, способными брать на борт большой груз, использовали их в качестве разведчиков, даже не предполагая возможности создания специальной бомбардировочной авиации, в то врем как французское и германское командование создали бомбардировочные отряды из самолетов, гораздо в большей степени пригодных для разведки и воздушного боя.</w:t>
      </w:r>
    </w:p>
    <w:p w14:paraId="054C7F85" w14:textId="77777777" w:rsidR="004B4E35" w:rsidRPr="00405303" w:rsidRDefault="009E6F82" w:rsidP="00C15251">
      <w:pPr>
        <w:jc w:val="both"/>
        <w:rPr>
          <w:bCs/>
          <w:color w:val="002060"/>
          <w:sz w:val="16"/>
          <w:szCs w:val="16"/>
        </w:rPr>
      </w:pPr>
      <w:r w:rsidRPr="00405303">
        <w:rPr>
          <w:bCs/>
          <w:color w:val="002060"/>
          <w:sz w:val="16"/>
          <w:szCs w:val="16"/>
        </w:rPr>
        <w:t xml:space="preserve">Журнал "Техника воздухоплавания": "Никто не уяснил себе, что "Ильи Муромцы" должны заменить не маленькие и быстроходные "Мораны" и "Ныопоры", а большие и требующие грандиозных эллингов цеппелины, "Парсевали", "Клеман-Баяры" и прочие. Если бы на изобретение И. И. Сикорского сразу смотрели бы с этой точки </w:t>
      </w:r>
      <w:r w:rsidRPr="00405303">
        <w:rPr>
          <w:bCs/>
          <w:color w:val="002060"/>
          <w:sz w:val="16"/>
          <w:szCs w:val="16"/>
        </w:rPr>
        <w:lastRenderedPageBreak/>
        <w:t xml:space="preserve">зрения, никогда не могло бы получиться такого взгляда на "ИМ", который получился на самом </w:t>
      </w:r>
      <w:proofErr w:type="gramStart"/>
      <w:r w:rsidRPr="00405303">
        <w:rPr>
          <w:bCs/>
          <w:color w:val="002060"/>
          <w:sz w:val="16"/>
          <w:szCs w:val="16"/>
        </w:rPr>
        <w:t>деле .</w:t>
      </w:r>
      <w:proofErr w:type="gramEnd"/>
      <w:r w:rsidRPr="00405303">
        <w:rPr>
          <w:bCs/>
          <w:color w:val="002060"/>
          <w:sz w:val="16"/>
          <w:szCs w:val="16"/>
        </w:rPr>
        <w:t xml:space="preserve"> Двух мнений после недавних успехов "ИМ" быть не может - будущность принадлежит большим аэропланам, а отнюдь не грандиозным дирижаблям" (11999).</w:t>
      </w:r>
    </w:p>
    <w:p w14:paraId="62C4C311" w14:textId="77777777" w:rsidR="004B4E35" w:rsidRPr="00405303" w:rsidRDefault="004B4E35" w:rsidP="00C15251">
      <w:pPr>
        <w:jc w:val="both"/>
        <w:rPr>
          <w:bCs/>
          <w:color w:val="002060"/>
          <w:sz w:val="16"/>
          <w:szCs w:val="16"/>
        </w:rPr>
      </w:pPr>
    </w:p>
    <w:p w14:paraId="317C5465" w14:textId="33368866" w:rsidR="004B4E35" w:rsidRPr="00405303" w:rsidRDefault="009E6F82" w:rsidP="00C15251">
      <w:pPr>
        <w:jc w:val="both"/>
        <w:rPr>
          <w:bCs/>
          <w:color w:val="002060"/>
          <w:sz w:val="16"/>
          <w:szCs w:val="16"/>
        </w:rPr>
      </w:pPr>
      <w:r w:rsidRPr="00405303">
        <w:rPr>
          <w:bCs/>
          <w:color w:val="002060"/>
          <w:sz w:val="16"/>
          <w:szCs w:val="16"/>
        </w:rPr>
        <w:t xml:space="preserve">14 </w:t>
      </w:r>
      <w:r w:rsidR="00BF0061" w:rsidRPr="00405303">
        <w:rPr>
          <w:bCs/>
          <w:color w:val="002060"/>
          <w:sz w:val="16"/>
          <w:szCs w:val="16"/>
        </w:rPr>
        <w:t xml:space="preserve">(27) </w:t>
      </w:r>
      <w:r w:rsidRPr="00405303">
        <w:rPr>
          <w:bCs/>
          <w:color w:val="002060"/>
          <w:sz w:val="16"/>
          <w:szCs w:val="16"/>
        </w:rPr>
        <w:t>феврапя 1915 года</w:t>
      </w:r>
      <w:r w:rsidR="00BF0061" w:rsidRPr="00405303">
        <w:rPr>
          <w:bCs/>
          <w:color w:val="002060"/>
          <w:sz w:val="16"/>
          <w:szCs w:val="16"/>
        </w:rPr>
        <w:t xml:space="preserve"> в свой первый боевой полёт "Киевский" отправился</w:t>
      </w:r>
      <w:r w:rsidRPr="00405303">
        <w:rPr>
          <w:bCs/>
          <w:color w:val="002060"/>
          <w:sz w:val="16"/>
          <w:szCs w:val="16"/>
        </w:rPr>
        <w:t xml:space="preserve">, имея задание штаба 1-й армии "выяснить существование переправ у Плойка на реке Висла и разрушить их", но через 1 час 52 минуты вернулся обратно, не обнаружив целей из-за сплошной облачности. </w:t>
      </w:r>
    </w:p>
    <w:p w14:paraId="09BE6BC7" w14:textId="77777777" w:rsidR="004B4E35" w:rsidRPr="00405303" w:rsidRDefault="009E6F82" w:rsidP="00C15251">
      <w:pPr>
        <w:jc w:val="both"/>
        <w:rPr>
          <w:bCs/>
          <w:color w:val="002060"/>
          <w:sz w:val="16"/>
          <w:szCs w:val="16"/>
        </w:rPr>
      </w:pPr>
      <w:r w:rsidRPr="00405303">
        <w:rPr>
          <w:bCs/>
          <w:color w:val="002060"/>
          <w:sz w:val="16"/>
          <w:szCs w:val="16"/>
        </w:rPr>
        <w:t>На следующий день вновь вылетели с тем же заданием. В тылу противника "Киевский" переправ не обнаружил, но сбросил первые бомбы (две пудовые бомбы сброшены на батареи и три - на обоз). 24 и 25 февраля экипаж Горшкова летал бомбить станцию Вилленберг, на которую было сброшено свыше 30 пудов (480 кг) бомб. С собой в полёт брали, как правило, 15 или 16 пудов (246 или 262 кг) бомб ^пудовые и 25-фунтовые). Корабль с полезной нагрузкой легко набирал высоту в 3000-3200 метров, оставаясь недосягаемым для зенитного огня. Высота никак не сказывалась на точности бомбометания. Результаты этих бомбардировок стали известны благодаря донесению из штаба армии: "за три полёта "Муромец" произвёл в городе и на станции Вилленберг следующие разрушения: разрушено станционное здание и пакгауз, шесть товарных вагонов и вагон коменданта, причем комендант ранен, в городе разрушено несколько домов, убито два офицера и 17 нижних чинов, семь лошадей. В городе паника, жители в ясную погоду прячутся в погребах".</w:t>
      </w:r>
    </w:p>
    <w:p w14:paraId="693976E6" w14:textId="77777777" w:rsidR="004B4E35" w:rsidRPr="00405303" w:rsidRDefault="009E6F82" w:rsidP="00C15251">
      <w:pPr>
        <w:jc w:val="both"/>
        <w:rPr>
          <w:bCs/>
          <w:color w:val="002060"/>
          <w:sz w:val="16"/>
          <w:szCs w:val="16"/>
        </w:rPr>
      </w:pPr>
      <w:r w:rsidRPr="00405303">
        <w:rPr>
          <w:bCs/>
          <w:color w:val="002060"/>
          <w:sz w:val="16"/>
          <w:szCs w:val="16"/>
        </w:rPr>
        <w:t>Таким образом, на деле были доказаны отличные качества воздушных кораблей, которые в умелых руках оказались грозным оружием. Способные проникать вглубь вражеской территории, "Муромцы" несли значительный бомбовый груз, вооружение и могли довольно точно с большой высоты поражать наземные цели. Репутация аэропланов типа "Илья Муромец" как полноценных боевых самолётов была восстановлена.</w:t>
      </w:r>
    </w:p>
    <w:p w14:paraId="5C934BF1" w14:textId="77777777" w:rsidR="004B4E35" w:rsidRPr="00405303" w:rsidRDefault="009E6F82" w:rsidP="00C15251">
      <w:pPr>
        <w:jc w:val="both"/>
        <w:rPr>
          <w:bCs/>
          <w:color w:val="002060"/>
          <w:sz w:val="16"/>
          <w:szCs w:val="16"/>
        </w:rPr>
      </w:pPr>
      <w:r w:rsidRPr="00405303">
        <w:rPr>
          <w:bCs/>
          <w:color w:val="002060"/>
          <w:sz w:val="16"/>
          <w:szCs w:val="16"/>
        </w:rPr>
        <w:t>В марте 1915 года "Киевский" совершил по заданию штаба 1-й армии ещё четыре боевых полёта. Обычно на борт брали от 10 до 15 пудов (от 160 до 240 кг) бомб, ружьё-пуле- мёт "Мадсен", пулемёт "Льюис" и один карабин.</w:t>
      </w:r>
    </w:p>
    <w:p w14:paraId="19D53618" w14:textId="77777777" w:rsidR="004B4E35" w:rsidRPr="00405303" w:rsidRDefault="009E6F82" w:rsidP="00C15251">
      <w:pPr>
        <w:jc w:val="both"/>
        <w:rPr>
          <w:bCs/>
          <w:color w:val="002060"/>
          <w:sz w:val="16"/>
          <w:szCs w:val="16"/>
        </w:rPr>
      </w:pPr>
      <w:r w:rsidRPr="00405303">
        <w:rPr>
          <w:bCs/>
          <w:color w:val="002060"/>
          <w:sz w:val="16"/>
          <w:szCs w:val="16"/>
        </w:rPr>
        <w:t>В апреле Головин разбил последний корабль типа Б (VI, № 137), при этом сам чудом остался в живых. Незадолго до этой аварии "прихлопнул" при посадке свой V корабль (№ 143) штабс-капитан Алехнович. Надо отметить, что многочисленные поломки и аварии на заключительной фазе полёта были связаны с манерой посадки, которую практиковал Сикорский и которой он обучил летчиков "Муромцев". Самолёт снижал скорость с периодическим отключением и включением двигателей ("на контакте"), выравнивался на высоте 5-6 метров, максимально снижал скорость, а потом двигатели отключались и аппарат "плюхался" с этой высоты. Иногда ломались стойки шасси, но чаще самолёт делал прыжок (давал "козла") и вновь касался земли. И так - несколько раз. Подобная методика была приемлема на лёгких самолётах, но на гиганте "Муромце" так сажать без аварий могли только очень опытные пилоты. Командир II корабля Панкратьев использовал другую методику - сажал самолёт на "три точки", т.е. снижал высоту и скорость почти до самой земли, при этом двигатели отключались только в момент касания земли колёсами и хвостовой опорой (12041).</w:t>
      </w:r>
    </w:p>
    <w:p w14:paraId="2388EC85" w14:textId="77777777" w:rsidR="004B4E35" w:rsidRPr="00405303" w:rsidRDefault="004B4E35" w:rsidP="00C15251">
      <w:pPr>
        <w:jc w:val="both"/>
        <w:rPr>
          <w:bCs/>
          <w:color w:val="002060"/>
          <w:sz w:val="16"/>
          <w:szCs w:val="16"/>
        </w:rPr>
      </w:pPr>
    </w:p>
    <w:p w14:paraId="160FB3F6" w14:textId="1FE443FA" w:rsidR="004B4E35" w:rsidRPr="00405303" w:rsidRDefault="009E6F82" w:rsidP="00C15251">
      <w:pPr>
        <w:jc w:val="both"/>
        <w:rPr>
          <w:bCs/>
          <w:color w:val="002060"/>
          <w:sz w:val="16"/>
          <w:szCs w:val="16"/>
        </w:rPr>
      </w:pPr>
      <w:r w:rsidRPr="00405303">
        <w:rPr>
          <w:bCs/>
          <w:color w:val="002060"/>
          <w:sz w:val="16"/>
          <w:szCs w:val="16"/>
        </w:rPr>
        <w:t xml:space="preserve">14 (27) февраля 1915 г. </w:t>
      </w:r>
      <w:r w:rsidR="00BF0061" w:rsidRPr="00405303">
        <w:rPr>
          <w:bCs/>
          <w:color w:val="002060"/>
          <w:sz w:val="16"/>
          <w:szCs w:val="16"/>
        </w:rPr>
        <w:t xml:space="preserve">ИМ совершил первый боевой вылет. </w:t>
      </w:r>
      <w:r w:rsidRPr="00405303">
        <w:rPr>
          <w:bCs/>
          <w:color w:val="002060"/>
          <w:sz w:val="16"/>
          <w:szCs w:val="16"/>
        </w:rPr>
        <w:t>Но экипаж не нашел предписанную ему цель. Лишь на следующий день "Муромец" Г.Г. Горшкова отбомбился по железнодорожной станции Вилленберг в Восточной Пруссии. С этого момента самолеты эскадры начали летать на бомбометание и фотографирование (12036).</w:t>
      </w:r>
    </w:p>
    <w:p w14:paraId="73779764" w14:textId="77777777" w:rsidR="004B4E35" w:rsidRPr="00405303" w:rsidRDefault="004B4E35" w:rsidP="00C15251">
      <w:pPr>
        <w:jc w:val="both"/>
        <w:rPr>
          <w:bCs/>
          <w:color w:val="002060"/>
          <w:sz w:val="16"/>
          <w:szCs w:val="16"/>
        </w:rPr>
      </w:pPr>
    </w:p>
    <w:p w14:paraId="4DF7CBEB" w14:textId="5F0083FB" w:rsidR="00E933EE" w:rsidRPr="00405303" w:rsidRDefault="00E933EE" w:rsidP="00C15251">
      <w:pPr>
        <w:jc w:val="both"/>
        <w:rPr>
          <w:bCs/>
          <w:color w:val="002060"/>
          <w:sz w:val="16"/>
          <w:szCs w:val="16"/>
        </w:rPr>
      </w:pPr>
      <w:r w:rsidRPr="00405303">
        <w:rPr>
          <w:bCs/>
          <w:color w:val="002060"/>
          <w:sz w:val="16"/>
          <w:szCs w:val="16"/>
        </w:rPr>
        <w:t xml:space="preserve">14 </w:t>
      </w:r>
      <w:r w:rsidR="00BF0061" w:rsidRPr="00405303">
        <w:rPr>
          <w:bCs/>
          <w:color w:val="002060"/>
          <w:sz w:val="16"/>
          <w:szCs w:val="16"/>
        </w:rPr>
        <w:t xml:space="preserve">(27) </w:t>
      </w:r>
      <w:r w:rsidRPr="00405303">
        <w:rPr>
          <w:bCs/>
          <w:color w:val="002060"/>
          <w:sz w:val="16"/>
          <w:szCs w:val="16"/>
        </w:rPr>
        <w:t>февраля в 1915 году в свой первый боевой полет поднялся воздушный корабль "Илья Муромец" - аппарат "Киевский" типа В №150. Сильная облачность помешала выполнить задание, и он вернулся через 1 час 51 минуту. Так было положено начало боевого применения "Муромцев" (15040).</w:t>
      </w:r>
    </w:p>
    <w:p w14:paraId="3656C220" w14:textId="77777777" w:rsidR="00E933EE" w:rsidRPr="00405303" w:rsidRDefault="00E933EE" w:rsidP="00C15251">
      <w:pPr>
        <w:jc w:val="both"/>
        <w:rPr>
          <w:bCs/>
          <w:color w:val="002060"/>
          <w:sz w:val="16"/>
          <w:szCs w:val="16"/>
        </w:rPr>
      </w:pPr>
    </w:p>
    <w:p w14:paraId="3962119A" w14:textId="2AD773B8" w:rsidR="00E933EE" w:rsidRPr="00405303" w:rsidRDefault="00E933EE" w:rsidP="00C15251">
      <w:pPr>
        <w:pStyle w:val="rtejustify"/>
        <w:shd w:val="clear" w:color="auto" w:fill="FFFFFF"/>
        <w:spacing w:before="0" w:beforeAutospacing="0" w:after="0" w:afterAutospacing="0"/>
        <w:jc w:val="both"/>
        <w:rPr>
          <w:bCs/>
          <w:color w:val="002060"/>
          <w:sz w:val="16"/>
          <w:szCs w:val="16"/>
        </w:rPr>
      </w:pPr>
      <w:r w:rsidRPr="00405303">
        <w:rPr>
          <w:bCs/>
          <w:color w:val="002060"/>
          <w:sz w:val="16"/>
          <w:szCs w:val="16"/>
        </w:rPr>
        <w:t xml:space="preserve">14 </w:t>
      </w:r>
      <w:r w:rsidR="00BF0061" w:rsidRPr="00405303">
        <w:rPr>
          <w:bCs/>
          <w:color w:val="002060"/>
          <w:sz w:val="16"/>
          <w:szCs w:val="16"/>
        </w:rPr>
        <w:t xml:space="preserve">(27) </w:t>
      </w:r>
      <w:r w:rsidRPr="00405303">
        <w:rPr>
          <w:bCs/>
          <w:color w:val="002060"/>
          <w:sz w:val="16"/>
          <w:szCs w:val="16"/>
        </w:rPr>
        <w:t xml:space="preserve">февраля 1915 г. </w:t>
      </w:r>
      <w:r w:rsidR="00BF0061" w:rsidRPr="00405303">
        <w:rPr>
          <w:bCs/>
          <w:color w:val="002060"/>
          <w:sz w:val="16"/>
          <w:szCs w:val="16"/>
        </w:rPr>
        <w:t xml:space="preserve">в первый боевой полет четырехмоторный гигант отправился. </w:t>
      </w:r>
      <w:r w:rsidRPr="00405303">
        <w:rPr>
          <w:bCs/>
          <w:color w:val="002060"/>
          <w:sz w:val="16"/>
          <w:szCs w:val="16"/>
        </w:rPr>
        <w:t>Однако сильная облачность помешала выполнить задание, и он вернулся через 1 ч 51 мин. Но уже на следующий день самолет совершил успешный боевой полет по заданию штаба 1-й армии Северо-Западного фронта. Перед экипажем была поставлена задача выяснить существование переправы на реке Висла и разрушить ее. Переправа обнаружена не была, но в тылу у противника было сброшено несколько бомб. 24 и 25 февраля «Илья Муромец» вылетал для бомбардировки станции Вилленберг, на которую было сброшено свыше 2 тонн бомб.</w:t>
      </w:r>
    </w:p>
    <w:p w14:paraId="024A21D5" w14:textId="77777777" w:rsidR="00E933EE" w:rsidRPr="00405303" w:rsidRDefault="00E933EE" w:rsidP="00C15251">
      <w:pPr>
        <w:pStyle w:val="rtejustify"/>
        <w:shd w:val="clear" w:color="auto" w:fill="FFFFFF"/>
        <w:spacing w:before="0" w:beforeAutospacing="0" w:after="0" w:afterAutospacing="0"/>
        <w:jc w:val="both"/>
        <w:rPr>
          <w:bCs/>
          <w:color w:val="002060"/>
          <w:sz w:val="16"/>
          <w:szCs w:val="16"/>
        </w:rPr>
      </w:pPr>
      <w:r w:rsidRPr="00405303">
        <w:rPr>
          <w:bCs/>
          <w:color w:val="002060"/>
          <w:sz w:val="16"/>
          <w:szCs w:val="16"/>
        </w:rPr>
        <w:t>Обычно в полет члены экипажа брали один карабин, одно ружье-пулемет и около 200 кг бомб. Встреч с немецкими аэропланами практически не было, и потому на борт предпочитали брать больше бомб и горючего, нежели пулеметов.</w:t>
      </w:r>
    </w:p>
    <w:p w14:paraId="71009688" w14:textId="77777777" w:rsidR="00E933EE" w:rsidRPr="00405303" w:rsidRDefault="00E933EE" w:rsidP="00C15251">
      <w:pPr>
        <w:jc w:val="both"/>
        <w:rPr>
          <w:bCs/>
          <w:color w:val="002060"/>
          <w:sz w:val="16"/>
          <w:szCs w:val="16"/>
        </w:rPr>
      </w:pPr>
      <w:r w:rsidRPr="00405303">
        <w:rPr>
          <w:bCs/>
          <w:color w:val="002060"/>
          <w:sz w:val="16"/>
          <w:szCs w:val="16"/>
        </w:rPr>
        <w:t>14 февраля в 1915 году части 10-й германской армии взяли город Сувалки (15040).</w:t>
      </w:r>
    </w:p>
    <w:p w14:paraId="3E9BDB6A" w14:textId="77777777" w:rsidR="00E933EE" w:rsidRPr="00405303" w:rsidRDefault="00E933EE" w:rsidP="00C15251">
      <w:pPr>
        <w:jc w:val="both"/>
        <w:rPr>
          <w:bCs/>
          <w:color w:val="002060"/>
          <w:sz w:val="16"/>
          <w:szCs w:val="16"/>
        </w:rPr>
      </w:pPr>
    </w:p>
    <w:p w14:paraId="7C3D5396" w14:textId="1C3871F1" w:rsidR="004B4E35" w:rsidRPr="00405303" w:rsidRDefault="009E6F82" w:rsidP="00C15251">
      <w:pPr>
        <w:jc w:val="both"/>
        <w:rPr>
          <w:bCs/>
          <w:color w:val="002060"/>
          <w:sz w:val="16"/>
          <w:szCs w:val="16"/>
        </w:rPr>
      </w:pPr>
      <w:r w:rsidRPr="00405303">
        <w:rPr>
          <w:bCs/>
          <w:color w:val="002060"/>
          <w:sz w:val="16"/>
          <w:szCs w:val="16"/>
        </w:rPr>
        <w:t xml:space="preserve">14 </w:t>
      </w:r>
      <w:r w:rsidR="00BF0061" w:rsidRPr="00405303">
        <w:rPr>
          <w:bCs/>
          <w:color w:val="002060"/>
          <w:sz w:val="16"/>
          <w:szCs w:val="16"/>
        </w:rPr>
        <w:t xml:space="preserve">(27) </w:t>
      </w:r>
      <w:r w:rsidRPr="00405303">
        <w:rPr>
          <w:bCs/>
          <w:color w:val="002060"/>
          <w:sz w:val="16"/>
          <w:szCs w:val="16"/>
        </w:rPr>
        <w:t xml:space="preserve">февраля 1915 г. в свой первый боевой полет поднялся воздушный корабль "Илья Муромец" - аппарат "Киевский" типа В №150. Сильная облачность помешала выполнить задание, и он вернулся через 1 час 51 минуту. Так было положено начало боевого применения "Муромцев". Уже 15 февраля "Киевский" совершил успешный боевой полет по заданию штаба 1-й армии Северо-Западного фронта. Была поставлена задача "выяснить существование переправ у Плоцка на реке Висла и разрушить их". Переправ обнаружено не было, но в тылу у противника было сброшено несколько бомб. 24 и 25 февраля "Киевский" вылетал из Яблонны для бомбардировки станции Вилленберг, на которую было сброшено свыше 30 пудов бомб. По донесению разведки "Муромец" произвел в городе и на станции следующие разрушения: "...разрушено станционное здание и пакгауз, 6 товарных вагонов и вагон коменданта, причем комендант ранен, в городе разрушено несколько домов, убито 2 офицера и 17 нижних чинов, 7 лошадей. В городе паника, жители в ясную погоду прячутся в погребах". </w:t>
      </w:r>
      <w:proofErr w:type="gramStart"/>
      <w:r w:rsidRPr="00405303">
        <w:rPr>
          <w:bCs/>
          <w:color w:val="002060"/>
          <w:sz w:val="16"/>
          <w:szCs w:val="16"/>
        </w:rPr>
        <w:t>Итак</w:t>
      </w:r>
      <w:proofErr w:type="gramEnd"/>
      <w:r w:rsidRPr="00405303">
        <w:rPr>
          <w:bCs/>
          <w:color w:val="002060"/>
          <w:sz w:val="16"/>
          <w:szCs w:val="16"/>
        </w:rPr>
        <w:t xml:space="preserve"> на деле было доказано выдающиеся качества воздушных кораблей: которые в умелых руках оказались мощным оружием. Способные проникать вглубь вражеской территории, "Муромцы" несли значительный бомбовый груз, вооружение и могли довольно точно с большой высоты поражать наземные цели.</w:t>
      </w:r>
    </w:p>
    <w:p w14:paraId="57BC98C7" w14:textId="77777777" w:rsidR="004B4E35" w:rsidRPr="00405303" w:rsidRDefault="009E6F82" w:rsidP="00C15251">
      <w:pPr>
        <w:jc w:val="both"/>
        <w:rPr>
          <w:bCs/>
          <w:color w:val="002060"/>
          <w:sz w:val="16"/>
          <w:szCs w:val="16"/>
        </w:rPr>
      </w:pPr>
      <w:r w:rsidRPr="00405303">
        <w:rPr>
          <w:bCs/>
          <w:color w:val="002060"/>
          <w:sz w:val="16"/>
          <w:szCs w:val="16"/>
        </w:rPr>
        <w:t>В марте был готов новый корабль типа В №151 штабс-капитана С.М.Бродовича. Ш-му кораблю поставили "Аргусы" с машины Руднева, которая была уже списана из-за ветхости.</w:t>
      </w:r>
    </w:p>
    <w:p w14:paraId="793DEAB9" w14:textId="77777777" w:rsidR="004B4E35" w:rsidRPr="00405303" w:rsidRDefault="009E6F82" w:rsidP="00C15251">
      <w:pPr>
        <w:jc w:val="both"/>
        <w:rPr>
          <w:bCs/>
          <w:color w:val="002060"/>
          <w:sz w:val="16"/>
          <w:szCs w:val="16"/>
        </w:rPr>
      </w:pPr>
      <w:r w:rsidRPr="00405303">
        <w:rPr>
          <w:bCs/>
          <w:color w:val="002060"/>
          <w:sz w:val="16"/>
          <w:szCs w:val="16"/>
        </w:rPr>
        <w:t>"Киевский" и Ш-й корабль "натворили" немало великих дел в 1915 году, тем самым завоевав славу "Муромцам" на полях сражений. С апреля Ш-й корабль стал работать вместе с "Киевским" (12038).</w:t>
      </w:r>
    </w:p>
    <w:p w14:paraId="5762B2A4" w14:textId="77777777" w:rsidR="004B4E35" w:rsidRPr="00405303" w:rsidRDefault="004B4E35" w:rsidP="00C15251">
      <w:pPr>
        <w:jc w:val="both"/>
        <w:rPr>
          <w:bCs/>
          <w:color w:val="002060"/>
          <w:sz w:val="16"/>
          <w:szCs w:val="16"/>
        </w:rPr>
      </w:pPr>
    </w:p>
    <w:p w14:paraId="006C2C1A"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50E491D9" w14:textId="77777777" w:rsidR="004B4E35" w:rsidRPr="00405303" w:rsidRDefault="004B4E35" w:rsidP="00C15251">
      <w:pPr>
        <w:shd w:val="clear" w:color="auto" w:fill="FFFFFF"/>
        <w:jc w:val="both"/>
        <w:rPr>
          <w:bCs/>
          <w:i/>
          <w:color w:val="002060"/>
          <w:sz w:val="16"/>
          <w:szCs w:val="16"/>
        </w:rPr>
      </w:pPr>
    </w:p>
    <w:p w14:paraId="2A0CCC1F" w14:textId="345B80E5"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15 </w:t>
      </w:r>
      <w:r w:rsidR="00BF0061" w:rsidRPr="00405303">
        <w:rPr>
          <w:bCs/>
          <w:i w:val="0"/>
          <w:color w:val="002060"/>
          <w:spacing w:val="0"/>
          <w:kern w:val="0"/>
          <w:position w:val="0"/>
          <w:sz w:val="16"/>
          <w:szCs w:val="16"/>
        </w:rPr>
        <w:t xml:space="preserve">(28) </w:t>
      </w:r>
      <w:r w:rsidRPr="00405303">
        <w:rPr>
          <w:bCs/>
          <w:i w:val="0"/>
          <w:color w:val="002060"/>
          <w:spacing w:val="0"/>
          <w:kern w:val="0"/>
          <w:position w:val="0"/>
          <w:sz w:val="16"/>
          <w:szCs w:val="16"/>
        </w:rPr>
        <w:t>февраля 1915 г.</w:t>
      </w:r>
      <w:r w:rsidR="00BF0061" w:rsidRPr="00405303">
        <w:rPr>
          <w:bCs/>
          <w:i w:val="0"/>
          <w:color w:val="002060"/>
          <w:spacing w:val="0"/>
          <w:kern w:val="0"/>
          <w:position w:val="0"/>
          <w:sz w:val="16"/>
          <w:szCs w:val="16"/>
        </w:rPr>
        <w:t xml:space="preserve"> было утверждено</w:t>
      </w:r>
      <w:r w:rsidR="007C46B4" w:rsidRPr="00405303">
        <w:rPr>
          <w:bCs/>
          <w:i w:val="0"/>
          <w:color w:val="002060"/>
          <w:spacing w:val="0"/>
          <w:kern w:val="0"/>
          <w:position w:val="0"/>
          <w:sz w:val="16"/>
          <w:szCs w:val="16"/>
        </w:rPr>
        <w:t xml:space="preserve"> Положение об «Особой распорядительной комиссии по артиллерийской части»</w:t>
      </w:r>
      <w:r w:rsidRPr="00405303">
        <w:rPr>
          <w:bCs/>
          <w:i w:val="0"/>
          <w:color w:val="002060"/>
          <w:spacing w:val="0"/>
          <w:kern w:val="0"/>
          <w:position w:val="0"/>
          <w:sz w:val="16"/>
          <w:szCs w:val="16"/>
        </w:rPr>
        <w:t xml:space="preserve">, причем в § 1 Положения было указано, что "образование означенной комиссии не изменяет установленного законом порядка направления всех заготовительных вопросов через Военный совет". </w:t>
      </w:r>
    </w:p>
    <w:p w14:paraId="47FF782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Нa комиссию возлагалась обязанность "всеми мерами способствовать обеспечению действующей армии предметами артиллерийского снабжения, почему ее наблюдению и контролю подлежат все действия довольствующих учреждений". </w:t>
      </w:r>
    </w:p>
    <w:p w14:paraId="2EB2826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Комиссия обязана была наблюдать и проверять деятельность как ГАУ и подведомственных ему органов и лиц, так и всех причастных к заказам ГАУ частных и казенных учреждений и. заведений других ведомств в отношении всего, касающегося снабжения и своевременной доставки в действующую армию и т. д. </w:t>
      </w:r>
    </w:p>
    <w:p w14:paraId="1140C53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На председателя комиссии возлагались обязанности: а) предъявлять ГАУ и подведомственным ему органам требования армии по части артиллерийского снабжения и настойчиво добиваться скорейшего их осуществления; б) требовать от подлежащих органов сведения о нуждах действующей армии по артиллерийскому снабжению; в) своевременно принимать меры к тому, чтобы артиллерийское снабжение велось вполне успешно, "указывая все средства как внутри империи, так и за границей и применяя все способы к незамедлительному удовлетворению этой потребности". </w:t>
      </w:r>
    </w:p>
    <w:p w14:paraId="7CDB949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Председателю комиссии предоставлялось право лично, через его помощника или через членов комиссии: а) проверять работы всех, управлений, учреждений и заведений, ведающих изготовлением, приобретением или доставкою в армию предметов артиллерийского снабжения; б) осматривать и контролировать работы на заводах, в мастерских, на складах и т. п., принадлежащих как частным лицам, так и другим казенным ведомствам, получивших заказы от ГАУ для действующей </w:t>
      </w:r>
      <w:r w:rsidRPr="00405303">
        <w:rPr>
          <w:bCs/>
          <w:i w:val="0"/>
          <w:color w:val="002060"/>
          <w:spacing w:val="0"/>
          <w:kern w:val="0"/>
          <w:position w:val="0"/>
          <w:sz w:val="16"/>
          <w:szCs w:val="16"/>
        </w:rPr>
        <w:lastRenderedPageBreak/>
        <w:t xml:space="preserve">армии. Но в § 8 Положения была сделана оговорка, что "контроль, и вообще отношение к частным и казенным заводам и фабрикам пе должны выходить из рамок действующих законоположений, высочайше утвержденных постановлений совета министров и междуведомственных соглашений". </w:t>
      </w:r>
    </w:p>
    <w:p w14:paraId="0EE15AF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Оговорки в § 1 и 8 Положения в значительной мере связывали свободу деятельности комиссии. </w:t>
      </w:r>
    </w:p>
    <w:p w14:paraId="766BD9B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Большинство обязанностей Особой распорядительной комиссии являлось по существу дублированием обязанностей ГАУ. Поэтому и по другим соображениям, о которых будет сказано ниже, с назначением ген. Поливанова военным министром деятельность комиссии была признана излишней; комиссия была упразднена к июлю 1915 г. </w:t>
      </w:r>
    </w:p>
    <w:p w14:paraId="228D65A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Несмотря на краткость своего существования - около 0,5 года - ей все же удалось достигнуть весьма значительных результатов. Комиссия предприняла ряд мер, сильно поднявших производство. предметов боевого снабжения в России; ею были исчерпаны почти все возможности единовременных покупок и исполнимых контрактов на те же предметы за границей. </w:t>
      </w:r>
    </w:p>
    <w:p w14:paraId="2582904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Члены комиссии путем объездов и личных посещений ознакомились с действительными нуждами русских заводов и учредили фактический контроль над их деятельностью. </w:t>
      </w:r>
    </w:p>
    <w:p w14:paraId="1CE5423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Рассмотрев заграничные заказы, председатель комиссии пришел к выводу, что заключенные с заграничными фирмами контракты совершенно невыполнимы в обусловленные сроки, которые он считал "обманными". По донесениям приемщиков, большинство иностранных заводов ко времени учреждения комиссии не начинало производства, "но только приступало к оборудованию новых заводов". Союзные же правительства, несмотря на свои заявления, что они принимают все меры к добросовестному выполнению их заводами русских контрактов, "не только не способствовали нам, но даже косвенно препятствовали заводам в исполнении ими своих работ, заботясь, конечно, главным образом, о снабжении своих армий". </w:t>
      </w:r>
    </w:p>
    <w:p w14:paraId="2229223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действительности большие опоздания в изготовлении заграничными заводами заказанных им предметов для русской армии превзошли все самые пессимистические ожидания. </w:t>
      </w:r>
    </w:p>
    <w:p w14:paraId="1F11D48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Комиссией выработан был план осуществления общих мер к увеличению производительности русских заводов, работающих на оборону: в отношении обеспечения их топливом, личным техническим составом и рабочими; в отношении технических облегчений и усовершенствований, имевших целью увеличение выхода изделий; по изготовлению химических и взрывчатых веществ; по заготовлению траншейных орудий с огнеприпасами к ним и пр. Комиссия стремилась к объединению разрозненной деятельности военного и морского ведомств по заготовлению и распределению предметов боевого снабжения, в особенности пороха и взрывчатых веществ. </w:t>
      </w:r>
    </w:p>
    <w:p w14:paraId="0A13C66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Кроме того, председатель комиссии руководил делом формирования новых батарей (в том числе зенитных), производившегося вне театра военных действий, распределением орудий, требующихся па фронт из крепостей, и т. д. </w:t>
      </w:r>
    </w:p>
    <w:p w14:paraId="33AFBC41" w14:textId="4CA8D5AF"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15 (28) февраля 1915 г. главковерх телеграфировал председателю Распорядительной комиссии, что "все дальнейшие неудачи безусловно будут последствием недостатка пушечных патронов и винтовок". На это последний ответил, что, "вполне сознавая то критическое положение, в котором находится армия...", однако, обследовав вопросы артснабжения, он пришел к убеждению, что все мероприятия к ускорению артснабжения "смогут дать благоприятные результаты только в будущем". Обследование ген. Маниковского показало, например, что производительность наших оружейных заводов может быть поднята не раньше, как через шесть месяцев. </w:t>
      </w:r>
    </w:p>
    <w:p w14:paraId="77D5EB1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22 февраля (7 марта) того же года главковерх вновь телеграфировал председателю Распорядительной комиссии: "Положение очень серьезно, недостаток пушечных патронов критический; подача замедлена, фронты нервно настроены, возможна серьезная неудача от недостатка патронов; между тем успех во многих местах вполне возможен; нужны сверх-меры". </w:t>
      </w:r>
    </w:p>
    <w:p w14:paraId="64A8DD9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 распоряжению председателя комиссии собраны были со всех заводов готовые снаряды, не дожидаясь требуемых испытаний, и в течение второй половины февраля было отправлено в армию 212.000 пушечных 76-мм патронов. </w:t>
      </w:r>
    </w:p>
    <w:p w14:paraId="3D4AF7C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 весне 1915 г. недостаток боевых припасов в действующей армии достиг крайнего предела, о чем главковерх непрестанно телеграфировал председателю Распорядительной комиссии. Признано было необходимым поставить во главе ГАУ нового начальника. 25 мая (7 июня) 1915 г. начальником ГАУ был назначен ген. Маниковский. </w:t>
      </w:r>
    </w:p>
    <w:p w14:paraId="0011418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При Маниковском колоссальные многообразные требования войны осложнили деятельность ГАУ свыше всяких предположений. По мере увеличения или возникновения новых требований видоизменялась организация ГАУ, штаты его непрерывно расширялись без определенного, заранее предусмотренного плана. К концу мировой войны, в мае 1917 г., когда ген. Маниковского, назначенного помощником военного министра по снабжению, заменил ген. Лехович, ГАУ представляло чрезвычайно сложный и громоздкий организм, как это видно на прилагаемой схеме 2 (приложение 2) (11483).</w:t>
      </w:r>
    </w:p>
    <w:p w14:paraId="310C7C0A" w14:textId="77777777" w:rsidR="004B4E35" w:rsidRPr="00405303" w:rsidRDefault="004B4E35" w:rsidP="00C15251">
      <w:pPr>
        <w:pStyle w:val="a3"/>
        <w:jc w:val="both"/>
        <w:rPr>
          <w:bCs/>
          <w:i w:val="0"/>
          <w:color w:val="002060"/>
          <w:spacing w:val="0"/>
          <w:kern w:val="0"/>
          <w:position w:val="0"/>
          <w:sz w:val="16"/>
          <w:szCs w:val="16"/>
        </w:rPr>
      </w:pPr>
    </w:p>
    <w:p w14:paraId="46FF5FDA"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4E0D1BF7" w14:textId="77777777" w:rsidR="004B4E35" w:rsidRPr="00405303" w:rsidRDefault="004B4E35" w:rsidP="00C15251">
      <w:pPr>
        <w:jc w:val="both"/>
        <w:rPr>
          <w:bCs/>
          <w:i/>
          <w:color w:val="002060"/>
          <w:sz w:val="16"/>
          <w:szCs w:val="16"/>
        </w:rPr>
      </w:pPr>
    </w:p>
    <w:p w14:paraId="7DDF87DA" w14:textId="6B729034"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15 (28) февраля 1915 "Киевский" совершил </w:t>
      </w:r>
      <w:r w:rsidR="007C46B4" w:rsidRPr="00405303">
        <w:rPr>
          <w:bCs/>
          <w:i w:val="0"/>
          <w:color w:val="002060"/>
          <w:spacing w:val="0"/>
          <w:kern w:val="0"/>
          <w:position w:val="0"/>
          <w:sz w:val="16"/>
          <w:szCs w:val="16"/>
        </w:rPr>
        <w:t xml:space="preserve">первый </w:t>
      </w:r>
      <w:r w:rsidRPr="00405303">
        <w:rPr>
          <w:bCs/>
          <w:i w:val="0"/>
          <w:color w:val="002060"/>
          <w:spacing w:val="0"/>
          <w:kern w:val="0"/>
          <w:position w:val="0"/>
          <w:sz w:val="16"/>
          <w:szCs w:val="16"/>
        </w:rPr>
        <w:t xml:space="preserve">успешный боевой полет по заданию штаба 1-й армии Северо-Западного фронта. Была поставлена задача «выяснить существование переправ у Плоцка на реке Висла и разрушить их». Переправу обнаружено не было, но в тылу у противника было сброшено несколько бомб. 24 и 25 февраля "Киевский" вылетал из Яблонны для бомбардировки станции Вилленберг, на которую было сброшено свыше 160 пудов бомб. По донесению разведки «Муромец» произвел в городе и на станции следующие разрушения: «...разрушено станционное здание и пакгауз, 6 товарных вагонов и вагон коменданта, причем комендант ранен, в городе разрушено несколько домов, убито 2 офицера и 17 нижних чинов, 7 лошадей. В городе паника, жители в ясную погоду прячутся в погребах». </w:t>
      </w:r>
      <w:proofErr w:type="gramStart"/>
      <w:r w:rsidRPr="00405303">
        <w:rPr>
          <w:bCs/>
          <w:i w:val="0"/>
          <w:color w:val="002060"/>
          <w:spacing w:val="0"/>
          <w:kern w:val="0"/>
          <w:position w:val="0"/>
          <w:sz w:val="16"/>
          <w:szCs w:val="16"/>
        </w:rPr>
        <w:t>Итак</w:t>
      </w:r>
      <w:proofErr w:type="gramEnd"/>
      <w:r w:rsidRPr="00405303">
        <w:rPr>
          <w:bCs/>
          <w:i w:val="0"/>
          <w:color w:val="002060"/>
          <w:spacing w:val="0"/>
          <w:kern w:val="0"/>
          <w:position w:val="0"/>
          <w:sz w:val="16"/>
          <w:szCs w:val="16"/>
        </w:rPr>
        <w:t xml:space="preserve"> на деле было доказано выдающиеся качества воздушных кораблей: которые в умелых руках оказались мощным оружием. Способ­ные проникать вглубь вражеской территории, "Муромцы" несли значительный бомбовый груз, вооружение и могли довольно точно с большой высоты поражать наземные цели (11277).</w:t>
      </w:r>
    </w:p>
    <w:p w14:paraId="036BC1B7" w14:textId="77777777" w:rsidR="004B4E35" w:rsidRPr="00405303" w:rsidRDefault="004B4E35" w:rsidP="00C15251">
      <w:pPr>
        <w:pStyle w:val="a3"/>
        <w:jc w:val="both"/>
        <w:rPr>
          <w:bCs/>
          <w:i w:val="0"/>
          <w:color w:val="002060"/>
          <w:spacing w:val="0"/>
          <w:kern w:val="0"/>
          <w:position w:val="0"/>
          <w:sz w:val="16"/>
          <w:szCs w:val="16"/>
        </w:rPr>
      </w:pPr>
    </w:p>
    <w:p w14:paraId="57F34559" w14:textId="4581357E" w:rsidR="004B4E35" w:rsidRPr="00405303" w:rsidRDefault="009E6F82" w:rsidP="00C15251">
      <w:pPr>
        <w:jc w:val="both"/>
        <w:rPr>
          <w:bCs/>
          <w:color w:val="002060"/>
          <w:sz w:val="16"/>
          <w:szCs w:val="16"/>
        </w:rPr>
      </w:pPr>
      <w:r w:rsidRPr="00405303">
        <w:rPr>
          <w:bCs/>
          <w:color w:val="002060"/>
          <w:sz w:val="16"/>
          <w:szCs w:val="16"/>
        </w:rPr>
        <w:t xml:space="preserve">15 </w:t>
      </w:r>
      <w:r w:rsidR="007C46B4" w:rsidRPr="00405303">
        <w:rPr>
          <w:bCs/>
          <w:color w:val="002060"/>
          <w:sz w:val="16"/>
          <w:szCs w:val="16"/>
        </w:rPr>
        <w:t xml:space="preserve">(28) </w:t>
      </w:r>
      <w:r w:rsidRPr="00405303">
        <w:rPr>
          <w:bCs/>
          <w:color w:val="002060"/>
          <w:sz w:val="16"/>
          <w:szCs w:val="16"/>
        </w:rPr>
        <w:t>февраля</w:t>
      </w:r>
      <w:r w:rsidR="007C46B4" w:rsidRPr="00405303">
        <w:rPr>
          <w:bCs/>
          <w:color w:val="002060"/>
          <w:sz w:val="16"/>
          <w:szCs w:val="16"/>
        </w:rPr>
        <w:t xml:space="preserve"> 1915 г.</w:t>
      </w:r>
      <w:r w:rsidRPr="00405303">
        <w:rPr>
          <w:bCs/>
          <w:color w:val="002060"/>
          <w:sz w:val="16"/>
          <w:szCs w:val="16"/>
        </w:rPr>
        <w:t xml:space="preserve"> "Киевский" совершил успешный боевой полет по заданию штаба 1-й армии Северо-Западного фронта. Была поставлена задача "выяснить существование переправ у Плоцка на реке Висла и разрушить их". Переправ обнаружено не было, но в тылу у противника было сброшено несколько бомб. 24 и 25 февраля "Киевский" вылетал из Яблонны для бомбардировки станции Вилленберг, на которую было сброшено свыше 30 пудов бомб. По донесению разведки "Муромец" произвел в городе и на станции следующие разрушения: "...разрушено станционное здание и пакгауз, 6 товарных вагонов и вагон коменданта, причем комендант ранен, в городе разрушено несколько домов, убито 2 офицера и 17 нижних чинов, 7 лошадей. В городе паника, жители в ясную погоду прячутся в погребах". </w:t>
      </w:r>
      <w:proofErr w:type="gramStart"/>
      <w:r w:rsidRPr="00405303">
        <w:rPr>
          <w:bCs/>
          <w:color w:val="002060"/>
          <w:sz w:val="16"/>
          <w:szCs w:val="16"/>
        </w:rPr>
        <w:t>Итак</w:t>
      </w:r>
      <w:proofErr w:type="gramEnd"/>
      <w:r w:rsidRPr="00405303">
        <w:rPr>
          <w:bCs/>
          <w:color w:val="002060"/>
          <w:sz w:val="16"/>
          <w:szCs w:val="16"/>
        </w:rPr>
        <w:t xml:space="preserve"> на деле было доказано выдающиеся качества воздушных кораблей: которые в умелых руках оказались мощным оружием. Способные проникать вглубь вражеской территории, "Муромцы" несли значительный бомбовый груз, вооружение и могли довольно точно с большой высоты поражать наземные цели.</w:t>
      </w:r>
    </w:p>
    <w:p w14:paraId="2AB84631" w14:textId="77777777" w:rsidR="004B4E35" w:rsidRPr="00405303" w:rsidRDefault="009E6F82" w:rsidP="00C15251">
      <w:pPr>
        <w:jc w:val="both"/>
        <w:rPr>
          <w:bCs/>
          <w:color w:val="002060"/>
          <w:sz w:val="16"/>
          <w:szCs w:val="16"/>
        </w:rPr>
      </w:pPr>
      <w:r w:rsidRPr="00405303">
        <w:rPr>
          <w:bCs/>
          <w:color w:val="002060"/>
          <w:sz w:val="16"/>
          <w:szCs w:val="16"/>
        </w:rPr>
        <w:t>В марте был готов новый корабль типа В №151 штабс-капитана С.М.Бродовича. Ш-му кораблю поставили "Аргусы" с машины Руднева, которая была уже списана из-за ветхости.</w:t>
      </w:r>
    </w:p>
    <w:p w14:paraId="7A699DFD" w14:textId="77777777" w:rsidR="004B4E35" w:rsidRPr="00405303" w:rsidRDefault="009E6F82" w:rsidP="00C15251">
      <w:pPr>
        <w:jc w:val="both"/>
        <w:rPr>
          <w:bCs/>
          <w:color w:val="002060"/>
          <w:sz w:val="16"/>
          <w:szCs w:val="16"/>
        </w:rPr>
      </w:pPr>
      <w:r w:rsidRPr="00405303">
        <w:rPr>
          <w:bCs/>
          <w:color w:val="002060"/>
          <w:sz w:val="16"/>
          <w:szCs w:val="16"/>
        </w:rPr>
        <w:t>"Киевский" и Ш-й корабль "натворили" немало великих дел в 1915 году, тем самым завоевав славу "Муромцам" на полях сражений. С апреля Ш-й корабль стал работать вместе с "Киевским" (12038).</w:t>
      </w:r>
    </w:p>
    <w:p w14:paraId="40DEEB18" w14:textId="77777777" w:rsidR="004B4E35" w:rsidRPr="00405303" w:rsidRDefault="004B4E35" w:rsidP="00C15251">
      <w:pPr>
        <w:jc w:val="both"/>
        <w:rPr>
          <w:bCs/>
          <w:color w:val="002060"/>
          <w:sz w:val="16"/>
          <w:szCs w:val="16"/>
        </w:rPr>
      </w:pPr>
    </w:p>
    <w:p w14:paraId="42EDDF0C" w14:textId="7B17CC6D" w:rsidR="004B4E35" w:rsidRPr="00405303" w:rsidRDefault="009E6F82" w:rsidP="00C15251">
      <w:pPr>
        <w:jc w:val="both"/>
        <w:rPr>
          <w:bCs/>
          <w:color w:val="002060"/>
          <w:sz w:val="16"/>
          <w:szCs w:val="16"/>
        </w:rPr>
      </w:pPr>
      <w:r w:rsidRPr="00405303">
        <w:rPr>
          <w:bCs/>
          <w:color w:val="002060"/>
          <w:sz w:val="16"/>
          <w:szCs w:val="16"/>
        </w:rPr>
        <w:t xml:space="preserve">15 </w:t>
      </w:r>
      <w:r w:rsidR="007C46B4" w:rsidRPr="00405303">
        <w:rPr>
          <w:bCs/>
          <w:color w:val="002060"/>
          <w:sz w:val="16"/>
          <w:szCs w:val="16"/>
        </w:rPr>
        <w:t xml:space="preserve">(28) </w:t>
      </w:r>
      <w:r w:rsidRPr="00405303">
        <w:rPr>
          <w:bCs/>
          <w:color w:val="002060"/>
          <w:sz w:val="16"/>
          <w:szCs w:val="16"/>
        </w:rPr>
        <w:t xml:space="preserve">февраля </w:t>
      </w:r>
      <w:r w:rsidR="007C46B4" w:rsidRPr="00405303">
        <w:rPr>
          <w:bCs/>
          <w:color w:val="002060"/>
          <w:sz w:val="16"/>
          <w:szCs w:val="16"/>
        </w:rPr>
        <w:t xml:space="preserve">1915 г. </w:t>
      </w:r>
      <w:r w:rsidRPr="00405303">
        <w:rPr>
          <w:bCs/>
          <w:color w:val="002060"/>
          <w:sz w:val="16"/>
          <w:szCs w:val="16"/>
        </w:rPr>
        <w:t xml:space="preserve">"Киевский" совершил успешный боевой полет по заданию штаба 1-й армии Северо-Западного фронта. Была поставлена задача «выяснить существование переправ у Плоцка на реке Висла и разрушить их». Переправу обнаружено не было, но в тылу у противника было сброшено несколько бомб. 24 и 25 февраля "Киевский" вылетал из Яблонны для бомбардировки станции Вилленберг, на которую было сброшено свыше 160 пудов бомб. По донесению разведки «Муромец» произвел в городе и на станции следующие разрушения: «...разрушено станционное здание и пакгауз, 6 товарных вагонов и вагон коменданта, причем комендант ранен, в городе разрушено несколько домов, убито 2 офицера и 17 нижних чинов, 7 лошадей. В городе паника, жители в ясную погоду прячутся в погребах». </w:t>
      </w:r>
      <w:proofErr w:type="gramStart"/>
      <w:r w:rsidRPr="00405303">
        <w:rPr>
          <w:bCs/>
          <w:color w:val="002060"/>
          <w:sz w:val="16"/>
          <w:szCs w:val="16"/>
        </w:rPr>
        <w:lastRenderedPageBreak/>
        <w:t>Итак</w:t>
      </w:r>
      <w:proofErr w:type="gramEnd"/>
      <w:r w:rsidRPr="00405303">
        <w:rPr>
          <w:bCs/>
          <w:color w:val="002060"/>
          <w:sz w:val="16"/>
          <w:szCs w:val="16"/>
        </w:rPr>
        <w:t xml:space="preserve"> на деле было доказано выдающиеся качества воздушных кораблей: которые в умелых руках оказались мощным оружием. Способ­ные проникать вглубь вражеской территории, "Муромцы" несли значительный бомбовый груз, вооружение и могли довольно точно с большой высоты поражать наземные цели. </w:t>
      </w:r>
    </w:p>
    <w:p w14:paraId="3A929558" w14:textId="77777777" w:rsidR="004B4E35" w:rsidRPr="00405303" w:rsidRDefault="009E6F82" w:rsidP="00C15251">
      <w:pPr>
        <w:jc w:val="both"/>
        <w:rPr>
          <w:bCs/>
          <w:color w:val="002060"/>
          <w:sz w:val="16"/>
          <w:szCs w:val="16"/>
        </w:rPr>
      </w:pPr>
      <w:r w:rsidRPr="00405303">
        <w:rPr>
          <w:bCs/>
          <w:color w:val="002060"/>
          <w:sz w:val="16"/>
          <w:szCs w:val="16"/>
        </w:rPr>
        <w:t xml:space="preserve">В марте был готов новый корабль типа В №151 штабс-капитана С.М.Бродовича. 111-му кораблю поставили "Аргусы" с машины Руднева, которая была уже списана из-за ветхости. </w:t>
      </w:r>
    </w:p>
    <w:p w14:paraId="24781D79" w14:textId="77777777" w:rsidR="004B4E35" w:rsidRPr="00405303" w:rsidRDefault="009E6F82" w:rsidP="00C15251">
      <w:pPr>
        <w:jc w:val="both"/>
        <w:rPr>
          <w:bCs/>
          <w:color w:val="002060"/>
          <w:sz w:val="16"/>
          <w:szCs w:val="16"/>
        </w:rPr>
      </w:pPr>
      <w:r w:rsidRPr="00405303">
        <w:rPr>
          <w:bCs/>
          <w:color w:val="002060"/>
          <w:sz w:val="16"/>
          <w:szCs w:val="16"/>
        </w:rPr>
        <w:t xml:space="preserve">"Киевский" и 111-й корабль "натворили" немало великих дел в 1915 году, тем самым завоевав славу "Муромцам" на полях сражений. С апреля 111-й корабль стал работать вместе с "Киевским". </w:t>
      </w:r>
    </w:p>
    <w:p w14:paraId="2F0F6FE4" w14:textId="77777777" w:rsidR="004B4E35" w:rsidRPr="00405303" w:rsidRDefault="009E6F82" w:rsidP="00C15251">
      <w:pPr>
        <w:jc w:val="both"/>
        <w:rPr>
          <w:bCs/>
          <w:color w:val="002060"/>
          <w:sz w:val="16"/>
          <w:szCs w:val="16"/>
        </w:rPr>
      </w:pPr>
      <w:r w:rsidRPr="00405303">
        <w:rPr>
          <w:bCs/>
          <w:color w:val="002060"/>
          <w:sz w:val="16"/>
          <w:szCs w:val="16"/>
        </w:rPr>
        <w:t xml:space="preserve">В мае 1915 г. два единственных, совершающих боевые полеты корабля — 111-й и "Киевский" были командированы во Львов на фронт 3-й армии. 28 мая поручик И.С.Башко был назначен командиром "Киевского", а командиром 111-го стал поручик Д.А.Озерский (штабс-капитан С.М.Бродович подал рапорт о переводе в легкую авиацию). В июне оба корабля перелетели в Люблин, затем во Влодаву. 14 июня "Киевский" совершил удачный налет на станцию Пржеворск, где метким попаданием пудовой бомбы уничтожил состав с боеприпасами (30.000 снарядов!). </w:t>
      </w:r>
    </w:p>
    <w:p w14:paraId="7E445BDC" w14:textId="77777777" w:rsidR="004B4E35" w:rsidRPr="00405303" w:rsidRDefault="009E6F82" w:rsidP="00C15251">
      <w:pPr>
        <w:jc w:val="both"/>
        <w:rPr>
          <w:bCs/>
          <w:color w:val="002060"/>
          <w:sz w:val="16"/>
          <w:szCs w:val="16"/>
        </w:rPr>
      </w:pPr>
      <w:r w:rsidRPr="00405303">
        <w:rPr>
          <w:bCs/>
          <w:color w:val="002060"/>
          <w:sz w:val="16"/>
          <w:szCs w:val="16"/>
        </w:rPr>
        <w:t xml:space="preserve">Тем временем в Яблонну стали прибывать "Муромцы" типа В с английскими моторами "Санбим". После сборки и испытаний новые корабли (1-й, 11-й и V-й) в начале июля выполнили по 2 боевых задания. Обычно в полет члены экипажа брали один карабин, одно ружье-пулемет Мадсена с 250 патронами и 12-15 пудов бомб. Встреч с немецкими аэропланами практически не было, и потому на борт предпочитали брать больше бомб и горючего, нежели пулеметов, что чуть не привело к потере корабля. Надо отметить, что "Киевский" иногда "таскал" с собой 2 пулемета (Мадсен с Льюисом или Максимом). О первом воздушном бое стоит рассказать поподробнее. </w:t>
      </w:r>
    </w:p>
    <w:p w14:paraId="1F85058E" w14:textId="77777777" w:rsidR="004B4E35" w:rsidRPr="00405303" w:rsidRDefault="009E6F82" w:rsidP="00C15251">
      <w:pPr>
        <w:jc w:val="both"/>
        <w:rPr>
          <w:bCs/>
          <w:color w:val="002060"/>
          <w:sz w:val="16"/>
          <w:szCs w:val="16"/>
        </w:rPr>
      </w:pPr>
      <w:r w:rsidRPr="00405303">
        <w:rPr>
          <w:bCs/>
          <w:color w:val="002060"/>
          <w:sz w:val="16"/>
          <w:szCs w:val="16"/>
        </w:rPr>
        <w:t xml:space="preserve">5 июля 1915 г. "Илья Муромец Киевский" №150 с экипажем в составе поручика И.С.Башко, помощника командира поручика Смирнова М.В., артофицера штабс-капитана Наумова А.А. и моториста </w:t>
      </w:r>
      <w:proofErr w:type="gramStart"/>
      <w:r w:rsidRPr="00405303">
        <w:rPr>
          <w:bCs/>
          <w:color w:val="002060"/>
          <w:sz w:val="16"/>
          <w:szCs w:val="16"/>
        </w:rPr>
        <w:t>мл.унтер</w:t>
      </w:r>
      <w:proofErr w:type="gramEnd"/>
      <w:r w:rsidRPr="00405303">
        <w:rPr>
          <w:bCs/>
          <w:color w:val="002060"/>
          <w:sz w:val="16"/>
          <w:szCs w:val="16"/>
        </w:rPr>
        <w:t xml:space="preserve">-офицера Лаврова А.М. вылетел на разведку и бомбометание. С собой взяли 10 пудовых и 5 25-ти фунтовых бомб, 12 зажигательных снарядов; один Мадсен и один карабин (общий запас патронов — 260 штук). Что было дальше, мы узнаем из боевого донесения: </w:t>
      </w:r>
    </w:p>
    <w:p w14:paraId="4D32CB29" w14:textId="77777777" w:rsidR="004B4E35" w:rsidRPr="00405303" w:rsidRDefault="009E6F82" w:rsidP="00C15251">
      <w:pPr>
        <w:jc w:val="both"/>
        <w:rPr>
          <w:bCs/>
          <w:color w:val="002060"/>
          <w:sz w:val="16"/>
          <w:szCs w:val="16"/>
        </w:rPr>
      </w:pPr>
      <w:r w:rsidRPr="00405303">
        <w:rPr>
          <w:bCs/>
          <w:color w:val="002060"/>
          <w:sz w:val="16"/>
          <w:szCs w:val="16"/>
        </w:rPr>
        <w:t xml:space="preserve">"...В полете на высоте около 3200-3500 м, Корабль был атакован тремя немецкими аппа­ратами. Первый из них был замечен в нижний люк, причем он был метров на 50 ниже Корабля. Корабль в это же время находился над Шебржешиным, верстах в 40 от передовых позиций под управлением поручика Смирнова. Тотчас же поручик Смирнов был сменен поручиком Башко. Немецкий аппарат, обладая большей скоростью и запасом мощности быст­ро обогнал Корабль и оказался метров на 50 выше с правой стороны спереди, открыв пуле­метный огонь по Кораблю. В гондоле Корабля в это время работа чинов экипажа распреде­лялась следующим образом: поручик Смирнов находился возле Командира, штабс-Капитан Наумов открыл огонь из ружья-пулемета и вольноопределяющийся Лавров из карабина. При первой атаке пулеметным огнем с неприятельского аппарата были пробиты оба верхних бака с бензином, фильтр правой группы моторов, радиатор 2-го мотора, перебиты обе бензинопроводные трубки левой группы моторов, стекла передних окон правой стороны и ранен в голову и ногу Командир Корабля поручик Башко. Так как бензинопроводы к левым моторам оказались перебиты, то тотчас же левые краники от бензиновых баков были закрыты и выключен левый бак. Дальше полет Корабля был на двух правых моторах. </w:t>
      </w:r>
    </w:p>
    <w:p w14:paraId="30A8D50A" w14:textId="77777777" w:rsidR="004B4E35" w:rsidRPr="00405303" w:rsidRDefault="009E6F82" w:rsidP="00C15251">
      <w:pPr>
        <w:jc w:val="both"/>
        <w:rPr>
          <w:bCs/>
          <w:color w:val="002060"/>
          <w:sz w:val="16"/>
          <w:szCs w:val="16"/>
        </w:rPr>
      </w:pPr>
      <w:r w:rsidRPr="00405303">
        <w:rPr>
          <w:bCs/>
          <w:color w:val="002060"/>
          <w:sz w:val="16"/>
          <w:szCs w:val="16"/>
        </w:rPr>
        <w:t xml:space="preserve">Немецкий аппарат после </w:t>
      </w:r>
      <w:proofErr w:type="gramStart"/>
      <w:r w:rsidRPr="00405303">
        <w:rPr>
          <w:bCs/>
          <w:color w:val="002060"/>
          <w:sz w:val="16"/>
          <w:szCs w:val="16"/>
        </w:rPr>
        <w:t>того</w:t>
      </w:r>
      <w:proofErr w:type="gramEnd"/>
      <w:r w:rsidRPr="00405303">
        <w:rPr>
          <w:bCs/>
          <w:color w:val="002060"/>
          <w:sz w:val="16"/>
          <w:szCs w:val="16"/>
        </w:rPr>
        <w:t xml:space="preserve"> как первый раз пересек дорогу Кораблю пытался вторично атаковать Корабль с левой стороны, но встреченный пулеметным и ружейным огнем с Корабля, резко повернул направо и с громадным креном пошел на снижение по направлению к Замостью. После отбития атаки поручик Смирнов заменил </w:t>
      </w:r>
      <w:proofErr w:type="gramStart"/>
      <w:r w:rsidRPr="00405303">
        <w:rPr>
          <w:bCs/>
          <w:color w:val="002060"/>
          <w:sz w:val="16"/>
          <w:szCs w:val="16"/>
        </w:rPr>
        <w:t>Командира поручика Башко</w:t>
      </w:r>
      <w:proofErr w:type="gramEnd"/>
      <w:r w:rsidRPr="00405303">
        <w:rPr>
          <w:bCs/>
          <w:color w:val="002060"/>
          <w:sz w:val="16"/>
          <w:szCs w:val="16"/>
        </w:rPr>
        <w:t xml:space="preserve"> которому вольноопределяющимся Лавровым была сделана перевязка. После перевязки поручик Башко опять стал управлять Кораблем, поручик Смирнов и вольноопределяющийся Лавров по очереди закрывали руками отверстия фильтра правой группы и принимали все­возможные меры к сохранению оставшегося бензина в баках для продолжения полета. При отражении атаки первого аппарата из ружья-пулемета была выпущена полностью кассета в 25 штук, из второй кассеты удалось выпустить всего 15 штук, затем внутри магазина закли­нило патрон и дальнейшая стрельба из него была совершенно невозможна. </w:t>
      </w:r>
    </w:p>
    <w:p w14:paraId="58019EBF" w14:textId="77777777" w:rsidR="004B4E35" w:rsidRPr="00405303" w:rsidRDefault="009E6F82" w:rsidP="00C15251">
      <w:pPr>
        <w:jc w:val="both"/>
        <w:rPr>
          <w:bCs/>
          <w:color w:val="002060"/>
          <w:sz w:val="16"/>
          <w:szCs w:val="16"/>
        </w:rPr>
      </w:pPr>
      <w:r w:rsidRPr="00405303">
        <w:rPr>
          <w:bCs/>
          <w:color w:val="002060"/>
          <w:sz w:val="16"/>
          <w:szCs w:val="16"/>
        </w:rPr>
        <w:t xml:space="preserve">Вслед за первым аппаратом тотчас же появился следующий немецкий аппарат, который пролетел только один раз выше Корабля слева и обстрелял его из пулемета, причем был пробит маслянный бак второго мотора. По этому аппарату открыл огонь из карабина Поручик Смирнов, вольноопределяющийся Лавров находился в передней каюте у фильтра, а Штабе -Капитан Наумов ремонтировал ружье-пулемет. Так как ружье-пулемет совершенно отказало в действии, то поручик Смирнов передал карабин Наумову, а сам сменил вольноопределяю­щегося Лаврова, принимая меры к сохранению бензина, т.к. вольноопределяющийся Лавров поморозил обе кисти рук. Второй аппарат более Корабля не атаковал. </w:t>
      </w:r>
    </w:p>
    <w:p w14:paraId="5133F57B" w14:textId="77777777" w:rsidR="004B4E35" w:rsidRPr="00405303" w:rsidRDefault="009E6F82" w:rsidP="00C15251">
      <w:pPr>
        <w:jc w:val="both"/>
        <w:rPr>
          <w:bCs/>
          <w:color w:val="002060"/>
          <w:sz w:val="16"/>
          <w:szCs w:val="16"/>
        </w:rPr>
      </w:pPr>
      <w:r w:rsidRPr="00405303">
        <w:rPr>
          <w:bCs/>
          <w:color w:val="002060"/>
          <w:sz w:val="16"/>
          <w:szCs w:val="16"/>
        </w:rPr>
        <w:t xml:space="preserve">На линии передовых позиций, Корабль был обстрелян из пулемета третьим немецким аппаратом, шедшим на большом отдалении слева и выше Корабля. В то же время по Кораблю стреляла и артиллерия. Высота в это время была около 1400-1500 м. При подходе к г.Холму на высоте 700 м остановились и правые моторы, т.к. вышел весь запас бензина, поэтому пришлось произвести вынужденный спуск. Последний был сделан в 4-5 верстах от г.Холма око­ло д.Городище, возле аэродрома 24-го авиационного отряда на болотистом лугу. При этом колеса шасси увязли до лыж и поломаны: левая половина шасси, 4 стойки, винт второго мо­тора, несколько нервюр и надтреснул правый задний нижний лонжерон среднего отсека. При осмотре Корабля после посадки обнаружены кроме вышеуказанных следующие повреждения от пулеметного огня: пробит в двух местах винт 3-го мотора, перебит железный подкос у того же мотора, пробита покрышка, повреждено магнето второго мотора, пробита грузовая рама того же мотора, пробита стойка сзади первого мотора, передняя стойка у вто­рого мотора и несколько пробоин в поверхности Корабля. Спуск произвел Командир Корабля Поручик Башко лично не смотря на ранения." </w:t>
      </w:r>
    </w:p>
    <w:p w14:paraId="515D3F55" w14:textId="77777777" w:rsidR="004B4E35" w:rsidRPr="00405303" w:rsidRDefault="009E6F82" w:rsidP="00C15251">
      <w:pPr>
        <w:jc w:val="both"/>
        <w:rPr>
          <w:bCs/>
          <w:color w:val="002060"/>
          <w:sz w:val="16"/>
          <w:szCs w:val="16"/>
        </w:rPr>
      </w:pPr>
      <w:r w:rsidRPr="00405303">
        <w:rPr>
          <w:bCs/>
          <w:color w:val="002060"/>
          <w:sz w:val="16"/>
          <w:szCs w:val="16"/>
        </w:rPr>
        <w:t xml:space="preserve">За проявленное мужество экипаж "Киевского" получил награды, а Башко присвоили чин штабс-капитана и наградили его орденом Св.Георгия 4-й степени. </w:t>
      </w:r>
    </w:p>
    <w:p w14:paraId="01537CF2" w14:textId="77777777" w:rsidR="004B4E35" w:rsidRPr="00405303" w:rsidRDefault="009E6F82" w:rsidP="00C15251">
      <w:pPr>
        <w:jc w:val="both"/>
        <w:rPr>
          <w:bCs/>
          <w:color w:val="002060"/>
          <w:sz w:val="16"/>
          <w:szCs w:val="16"/>
        </w:rPr>
      </w:pPr>
      <w:r w:rsidRPr="00405303">
        <w:rPr>
          <w:bCs/>
          <w:color w:val="002060"/>
          <w:sz w:val="16"/>
          <w:szCs w:val="16"/>
        </w:rPr>
        <w:t xml:space="preserve">Оставшийся в июле-августе единственный боеспособный на фронте 111-й корабль тогоже полка и "Киевский" поначалу брал 2 пулемета, затем только Мадсен с 75 патронами. После случая нападения на корабль своего товарища на борту 111-го корабля взяли за правило брать с собой 3 пулемета: «Мадсен», «Максим» и «Льюис» со 150, 500 и 280 патронами соответственно. Этот корабль совершил с мая по октябрь 1915 г. более 30 полетов, часто проникая на п-рриторию врага на глубину до 190 верст. 2 ноября 1915 г. был потерян один из лучших кораблей Эскадры. Штабс-капитан Озерский, желая увеличить скорость "Муромца", приказал снять добавочные рули, чем уменьшил устойчивость аппарата. Это и стало причиной гибели экипажа. "Муромцы" этого отряда совершили до типа 1915 г. на Северном фронте 25 боевых вылетов. Зa весь 1915 год воздушные корабли выполнили около 100 боевых полетов, сбросив на противника до 1220 пудов бомб. </w:t>
      </w:r>
    </w:p>
    <w:p w14:paraId="7AECF3F4" w14:textId="77777777" w:rsidR="004B4E35" w:rsidRPr="00405303" w:rsidRDefault="004B4E35" w:rsidP="00C15251">
      <w:pPr>
        <w:jc w:val="both"/>
        <w:rPr>
          <w:bCs/>
          <w:color w:val="002060"/>
          <w:sz w:val="16"/>
          <w:szCs w:val="16"/>
        </w:rPr>
      </w:pPr>
    </w:p>
    <w:p w14:paraId="6F57BFA4" w14:textId="50AB7813" w:rsidR="004B4E35" w:rsidRPr="00405303" w:rsidRDefault="009E6F82" w:rsidP="00C15251">
      <w:pPr>
        <w:jc w:val="both"/>
        <w:rPr>
          <w:bCs/>
          <w:color w:val="002060"/>
          <w:sz w:val="16"/>
          <w:szCs w:val="16"/>
        </w:rPr>
      </w:pPr>
      <w:r w:rsidRPr="00405303">
        <w:rPr>
          <w:bCs/>
          <w:color w:val="002060"/>
          <w:sz w:val="16"/>
          <w:szCs w:val="16"/>
        </w:rPr>
        <w:t xml:space="preserve">15 (28) февраля 1915 </w:t>
      </w:r>
      <w:r w:rsidR="007C46B4" w:rsidRPr="00405303">
        <w:rPr>
          <w:bCs/>
          <w:color w:val="002060"/>
          <w:sz w:val="16"/>
          <w:szCs w:val="16"/>
        </w:rPr>
        <w:t xml:space="preserve">г. </w:t>
      </w:r>
      <w:r w:rsidRPr="00405303">
        <w:rPr>
          <w:bCs/>
          <w:color w:val="002060"/>
          <w:sz w:val="16"/>
          <w:szCs w:val="16"/>
        </w:rPr>
        <w:t>во время второго вылета состоялось крещение огнем</w:t>
      </w:r>
      <w:r w:rsidR="007C46B4" w:rsidRPr="00405303">
        <w:rPr>
          <w:bCs/>
          <w:color w:val="002060"/>
          <w:sz w:val="16"/>
          <w:szCs w:val="16"/>
        </w:rPr>
        <w:t xml:space="preserve"> для "ИМ-Киевского"</w:t>
      </w:r>
      <w:r w:rsidRPr="00405303">
        <w:rPr>
          <w:bCs/>
          <w:color w:val="002060"/>
          <w:sz w:val="16"/>
          <w:szCs w:val="16"/>
        </w:rPr>
        <w:t>; с тем же экипажем самолет пролетел над вражеской территорией и бомбил траншеи противника. Во время этого полета, который продолжался 2 час. 30 мин., было обнаружено, что через Вислу в районе Плоцка не было переброшено ни одного моста.</w:t>
      </w:r>
    </w:p>
    <w:p w14:paraId="145FE074" w14:textId="77777777" w:rsidR="004B4E35" w:rsidRPr="00405303" w:rsidRDefault="009E6F82" w:rsidP="00C15251">
      <w:pPr>
        <w:jc w:val="both"/>
        <w:rPr>
          <w:bCs/>
          <w:color w:val="002060"/>
          <w:sz w:val="16"/>
          <w:szCs w:val="16"/>
        </w:rPr>
      </w:pPr>
      <w:r w:rsidRPr="00405303">
        <w:rPr>
          <w:bCs/>
          <w:color w:val="002060"/>
          <w:sz w:val="16"/>
          <w:szCs w:val="16"/>
        </w:rPr>
        <w:t>Этот полет "ИМ-Киевского" заставил немцев обратить внимание на аэродром Муромцев. Немецкие самолеты начали появляться над Яблонной. Они сбросили бомбы на аэродром через три часа после того, как "ИМ-Киевский" вернулся из своего второго боевого вылета. Эти бомбы, сброшенные с вражеских самолетов, не нанесли Муромцам никакого вреда, но в самом городе Яблонна несколько человек было убито и ранено (11999).</w:t>
      </w:r>
    </w:p>
    <w:p w14:paraId="3D328EF1" w14:textId="77777777" w:rsidR="004B4E35" w:rsidRPr="00405303" w:rsidRDefault="004B4E35" w:rsidP="00C15251">
      <w:pPr>
        <w:jc w:val="both"/>
        <w:rPr>
          <w:bCs/>
          <w:color w:val="002060"/>
          <w:sz w:val="16"/>
          <w:szCs w:val="16"/>
        </w:rPr>
      </w:pPr>
    </w:p>
    <w:p w14:paraId="13225AFA" w14:textId="0299D178" w:rsidR="004B4E35" w:rsidRPr="00405303" w:rsidRDefault="009E6F82" w:rsidP="00C15251">
      <w:pPr>
        <w:jc w:val="both"/>
        <w:rPr>
          <w:bCs/>
          <w:color w:val="002060"/>
          <w:sz w:val="16"/>
          <w:szCs w:val="16"/>
        </w:rPr>
      </w:pPr>
      <w:r w:rsidRPr="00405303">
        <w:rPr>
          <w:bCs/>
          <w:color w:val="002060"/>
          <w:sz w:val="16"/>
          <w:szCs w:val="16"/>
        </w:rPr>
        <w:t xml:space="preserve">15 </w:t>
      </w:r>
      <w:r w:rsidR="007C46B4" w:rsidRPr="00405303">
        <w:rPr>
          <w:bCs/>
          <w:color w:val="002060"/>
          <w:sz w:val="16"/>
          <w:szCs w:val="16"/>
        </w:rPr>
        <w:t xml:space="preserve">(28) </w:t>
      </w:r>
      <w:r w:rsidRPr="00405303">
        <w:rPr>
          <w:bCs/>
          <w:color w:val="002060"/>
          <w:sz w:val="16"/>
          <w:szCs w:val="16"/>
        </w:rPr>
        <w:t xml:space="preserve">февраля </w:t>
      </w:r>
      <w:r w:rsidR="007C46B4" w:rsidRPr="00405303">
        <w:rPr>
          <w:bCs/>
          <w:color w:val="002060"/>
          <w:sz w:val="16"/>
          <w:szCs w:val="16"/>
        </w:rPr>
        <w:t xml:space="preserve">1915 г. ИМ Уиевский </w:t>
      </w:r>
      <w:r w:rsidRPr="00405303">
        <w:rPr>
          <w:bCs/>
          <w:color w:val="002060"/>
          <w:sz w:val="16"/>
          <w:szCs w:val="16"/>
        </w:rPr>
        <w:t>вновь вылетели с тем же заданием. В тылу противника "Киевский" переправ не обнаружил, но сбросил первые бомбы (две пудовые бомбы сброшены на батареи и три - на обоз). 24 и 25 февраля экипаж Горшкова летал бомбить станцию Вилленберг, на которую было сброшено свыше 30 пудов (480 кг) бомб. С собой в полёт брали, как правило, 15 или 16 пудов (246 или 262 кг) бомб ^пудовые и 25-фунтовые). Корабль с полезной нагрузкой легко набирал высоту в 3000-3200 метров, оставаясь недосягаемым для зенитного огня. Высота никак не сказывалась на точности бомбометания. Результаты этих бомбардировок стали известны благодаря донесению из штаба армии: "за три полёта "Муромец" произвёл в городе и на станции Вилленберг следующие разрушения: разрушено станционное здание и пакгауз, шесть товарных вагонов и вагон коменданта, причем комендант ранен, в городе разрушено несколько домов, убито два офицера и 17 нижних чинов, семь лошадей. В городе паника, жители в ясную погоду прячутся в погребах".</w:t>
      </w:r>
    </w:p>
    <w:p w14:paraId="2808DC39" w14:textId="77777777" w:rsidR="004B4E35" w:rsidRPr="00405303" w:rsidRDefault="009E6F82" w:rsidP="00C15251">
      <w:pPr>
        <w:jc w:val="both"/>
        <w:rPr>
          <w:bCs/>
          <w:color w:val="002060"/>
          <w:sz w:val="16"/>
          <w:szCs w:val="16"/>
        </w:rPr>
      </w:pPr>
      <w:r w:rsidRPr="00405303">
        <w:rPr>
          <w:bCs/>
          <w:color w:val="002060"/>
          <w:sz w:val="16"/>
          <w:szCs w:val="16"/>
        </w:rPr>
        <w:t>Таким образом, на деле были доказаны отличные качества воздушных кораблей, которые в умелых руках оказались грозным оружием. Способные проникать вглубь вражеской территории, "Муромцы" несли значительный бомбовый груз, вооружение и могли довольно точно с большой высоты поражать наземные цели. Репутация аэропланов типа "Илья Муромец" как полноценных боевых самолётов была восстановлена.</w:t>
      </w:r>
    </w:p>
    <w:p w14:paraId="76F54168" w14:textId="77777777" w:rsidR="004B4E35" w:rsidRPr="00405303" w:rsidRDefault="009E6F82" w:rsidP="00C15251">
      <w:pPr>
        <w:jc w:val="both"/>
        <w:rPr>
          <w:bCs/>
          <w:color w:val="002060"/>
          <w:sz w:val="16"/>
          <w:szCs w:val="16"/>
        </w:rPr>
      </w:pPr>
      <w:r w:rsidRPr="00405303">
        <w:rPr>
          <w:bCs/>
          <w:color w:val="002060"/>
          <w:sz w:val="16"/>
          <w:szCs w:val="16"/>
        </w:rPr>
        <w:lastRenderedPageBreak/>
        <w:t>В марте 1915 года "Киевский" совершил по заданию штаба 1-й армии ещё четыре боевых полёта. Обычно на борт брали от 10 до 15 пудов (от 160 до 240 кг) бомб, ружьё-пуле- мёт "Мадсен", пулемёт "Льюис" и один карабин.</w:t>
      </w:r>
    </w:p>
    <w:p w14:paraId="39DB36A8" w14:textId="77777777" w:rsidR="004B4E35" w:rsidRPr="00405303" w:rsidRDefault="009E6F82" w:rsidP="00C15251">
      <w:pPr>
        <w:jc w:val="both"/>
        <w:rPr>
          <w:bCs/>
          <w:color w:val="002060"/>
          <w:sz w:val="16"/>
          <w:szCs w:val="16"/>
        </w:rPr>
      </w:pPr>
      <w:r w:rsidRPr="00405303">
        <w:rPr>
          <w:bCs/>
          <w:color w:val="002060"/>
          <w:sz w:val="16"/>
          <w:szCs w:val="16"/>
        </w:rPr>
        <w:t>В апреле Головин разбил последний корабль типа Б (VI, № 137), при этом сам чудом остался в живых. Незадолго до этой аварии "прихлопнул" при посадке свой V корабль (№ 143) штабс-капитан Алехнович. Надо отметить, что многочисленные поломки и аварии на заключительной фазе полёта были связаны с манерой посадки, которую практиковал Сикорский и которой он обучил летчиков "Муромцев". Самолёт снижал скорость с периодическим отключением и включением двигателей ("на контакте"), выравнивался на высоте 5-6 метров, максимально снижал скорость, а потом двигатели отключались и аппарат "плюхался" с этой высоты. Иногда ломались стойки шасси, но чаще самолёт делал прыжок (давал "козла") и вновь касался земли. И так - несколько раз. Подобная методика была приемлема на лёгких самолётах, но на гиганте "Муромце" так сажать без аварий могли только очень опытные пилоты. Командир II корабля Панкратьев использовал другую методику - сажал самолёт на "три точки", т.е. снижал высоту и скорость почти до самой земли, при этом двигатели отключались только в момент касания земли колёсами и хвостовой опорой (12041).</w:t>
      </w:r>
    </w:p>
    <w:p w14:paraId="29CC98E2" w14:textId="77777777" w:rsidR="004B4E35" w:rsidRPr="00405303" w:rsidRDefault="004B4E35" w:rsidP="00C15251">
      <w:pPr>
        <w:jc w:val="both"/>
        <w:rPr>
          <w:bCs/>
          <w:color w:val="002060"/>
          <w:sz w:val="16"/>
          <w:szCs w:val="16"/>
        </w:rPr>
      </w:pPr>
    </w:p>
    <w:p w14:paraId="2911E561" w14:textId="4CA55EE5" w:rsidR="004B4E35" w:rsidRPr="00405303" w:rsidRDefault="009E6F82" w:rsidP="00C15251">
      <w:pPr>
        <w:jc w:val="both"/>
        <w:rPr>
          <w:bCs/>
          <w:color w:val="002060"/>
          <w:sz w:val="16"/>
          <w:szCs w:val="16"/>
        </w:rPr>
      </w:pPr>
      <w:r w:rsidRPr="00405303">
        <w:rPr>
          <w:bCs/>
          <w:color w:val="002060"/>
          <w:sz w:val="16"/>
          <w:szCs w:val="16"/>
        </w:rPr>
        <w:t xml:space="preserve">15 </w:t>
      </w:r>
      <w:r w:rsidR="007C46B4" w:rsidRPr="00405303">
        <w:rPr>
          <w:bCs/>
          <w:color w:val="002060"/>
          <w:sz w:val="16"/>
          <w:szCs w:val="16"/>
        </w:rPr>
        <w:t xml:space="preserve">(28) </w:t>
      </w:r>
      <w:r w:rsidRPr="00405303">
        <w:rPr>
          <w:bCs/>
          <w:color w:val="002060"/>
          <w:sz w:val="16"/>
          <w:szCs w:val="16"/>
        </w:rPr>
        <w:t>февраля 1915 г. экипаж Горшкова впервые в мире совершил боевой вылет на разведку и бомбардировку, открыв тем самым историю мировой и российской тяжелой бомбардировочной авиации.</w:t>
      </w:r>
    </w:p>
    <w:p w14:paraId="2E997475" w14:textId="77777777" w:rsidR="004B4E35" w:rsidRPr="00405303" w:rsidRDefault="009E6F82" w:rsidP="00C15251">
      <w:pPr>
        <w:jc w:val="both"/>
        <w:rPr>
          <w:bCs/>
          <w:color w:val="002060"/>
          <w:sz w:val="16"/>
          <w:szCs w:val="16"/>
        </w:rPr>
      </w:pPr>
      <w:r w:rsidRPr="00405303">
        <w:rPr>
          <w:bCs/>
          <w:color w:val="002060"/>
          <w:sz w:val="16"/>
          <w:szCs w:val="16"/>
        </w:rPr>
        <w:t xml:space="preserve">Г.Г.Горшков родился 10 мая (ст.ст.) 1881 г. в семье казака Чижинской станицы есаула (войскового старшины) Георгия Игнатьевича Горшкова. Окончил Оренбургский Неплюевский кадетский корпус и Николаевское инженерное училище. Подпоручик-сапер Горшков – участник русско-японской войны. </w:t>
      </w:r>
    </w:p>
    <w:p w14:paraId="50158B83" w14:textId="77777777" w:rsidR="004B4E35" w:rsidRPr="00405303" w:rsidRDefault="009E6F82" w:rsidP="00C15251">
      <w:pPr>
        <w:jc w:val="both"/>
        <w:rPr>
          <w:bCs/>
          <w:color w:val="002060"/>
          <w:sz w:val="16"/>
          <w:szCs w:val="16"/>
        </w:rPr>
      </w:pPr>
      <w:r w:rsidRPr="00405303">
        <w:rPr>
          <w:bCs/>
          <w:color w:val="002060"/>
          <w:sz w:val="16"/>
          <w:szCs w:val="16"/>
        </w:rPr>
        <w:t>После войны Г.Г.Горшков переводится в Учебный воздухоплавательный парк, а в 1907 г. – поступает в Офицерскую воздухоплавательную школу в Санкт-Петербурге. Осенью 1907 г. поручик Горшков совершил рекордный для того времени перелет (1150 км.) на воздушном шаре из Петербурга в Борисоглебск. После успешного окончания воздухоплавательной школы в 1908 г. Горшков продолжает службу во временном авиационном отделе. С апреля 1910 г. – штабс-капитан Горшков является начальником первого в России военного аэродрома в Гатчине. В России он – третий по времени начала полетов военный летчик и первый летчик-инструктор. 3 сентября 1910 г. совершил первый в России дальний полет. С октября 1910 г. Горшков начинает участвовать в подготовке кадров пилотов для русской военной авиации.</w:t>
      </w:r>
    </w:p>
    <w:p w14:paraId="659606B7" w14:textId="77777777" w:rsidR="004B4E35" w:rsidRPr="00405303" w:rsidRDefault="009E6F82" w:rsidP="00C15251">
      <w:pPr>
        <w:jc w:val="both"/>
        <w:rPr>
          <w:bCs/>
          <w:color w:val="002060"/>
          <w:sz w:val="16"/>
          <w:szCs w:val="16"/>
        </w:rPr>
      </w:pPr>
      <w:r w:rsidRPr="00405303">
        <w:rPr>
          <w:bCs/>
          <w:color w:val="002060"/>
          <w:sz w:val="16"/>
          <w:szCs w:val="16"/>
        </w:rPr>
        <w:t>Осенью 1911 г. проходит стажировку во Франции у Л.Блерио, где получает международный диплом пилота-авиатора. В 1912 г. испытывает в Гатчине первый в мире парашют Котельникова. Помощник начальника временного авиационного отдела, начальник отделения в Варшаве, помощник начальника Гатчинской авиационной школы.</w:t>
      </w:r>
    </w:p>
    <w:p w14:paraId="478C8A6C" w14:textId="77777777" w:rsidR="004B4E35" w:rsidRPr="00405303" w:rsidRDefault="009E6F82" w:rsidP="00C15251">
      <w:pPr>
        <w:jc w:val="both"/>
        <w:rPr>
          <w:bCs/>
          <w:color w:val="002060"/>
          <w:sz w:val="16"/>
          <w:szCs w:val="16"/>
        </w:rPr>
      </w:pPr>
      <w:r w:rsidRPr="00405303">
        <w:rPr>
          <w:bCs/>
          <w:color w:val="002060"/>
          <w:sz w:val="16"/>
          <w:szCs w:val="16"/>
        </w:rPr>
        <w:t>Участник первой мировой войны. С ее начала – занимается испытаниями четырехмоторных воздушных кораблей «Илья Муромец» и обучением для них пилотов. С декабря 1914 г. – командир «Илья Муромец Киевский». Всего за мировую войну совершил более 30 боевых вылетов (из 400, совершенных всеми пилотами на машинах данного типа).</w:t>
      </w:r>
    </w:p>
    <w:p w14:paraId="75A7394F" w14:textId="77777777" w:rsidR="004B4E35" w:rsidRPr="00405303" w:rsidRDefault="009E6F82" w:rsidP="00C15251">
      <w:pPr>
        <w:jc w:val="both"/>
        <w:rPr>
          <w:bCs/>
          <w:color w:val="002060"/>
          <w:sz w:val="16"/>
          <w:szCs w:val="16"/>
        </w:rPr>
      </w:pPr>
      <w:r w:rsidRPr="00405303">
        <w:rPr>
          <w:bCs/>
          <w:color w:val="002060"/>
          <w:sz w:val="16"/>
          <w:szCs w:val="16"/>
        </w:rPr>
        <w:t>В феврале 1916 г. назначен начальником Гатчинской авиашколы. В мае 1917 г. – произведен в полковники и назначен командиром Эскадры кораблей «Илья Муромец». Кавалер орденов Святой Анны 3-й и 2-й степеней с мечами, Святого Станислава 3-й и 2-й степеней, Святого Владимира 4-й степени с мечами и бантом, Георгиевского Золотого оружия.</w:t>
      </w:r>
    </w:p>
    <w:p w14:paraId="2B4E7101" w14:textId="77777777" w:rsidR="004B4E35" w:rsidRPr="00405303" w:rsidRDefault="009E6F82" w:rsidP="00C15251">
      <w:pPr>
        <w:jc w:val="both"/>
        <w:rPr>
          <w:bCs/>
          <w:color w:val="002060"/>
          <w:sz w:val="16"/>
          <w:szCs w:val="16"/>
        </w:rPr>
      </w:pPr>
      <w:r w:rsidRPr="00405303">
        <w:rPr>
          <w:bCs/>
          <w:color w:val="002060"/>
          <w:sz w:val="16"/>
          <w:szCs w:val="16"/>
        </w:rPr>
        <w:t>Родной брат Г.Г.Горшкова – Владимир Георгиевич Горшков – стал одним из видных деятелей уральского казачества в гражданскую войну. Окончил Санкт-Петербургский Императорский университет. Вышел на льготу и занимался предпринимательством. Являлся членом Правления Уральского Торгово-Промышленного Общества. Участник первой мировой войны. Постановлением Экстренного Войскового Съезда от 9 марта 1919 г. № 616 подъесаул В.Г.Горшков за отличие в боях в июне 1918 г. и за деятельность по наведению в тылу порядка произвели в чин войскового старшины. Далее он последовательно командовал различными частями, в 1919 г. сформировал добровольческий 2-й Партизанский полк, отличившийся в боях 11-12 мая под Рахмановкой, и июня 1919 г. у Зеленого. 28 июля В.Г.Горшков был произведен за отличие в полковники. С 5 сентября 1919 г. полковник В.Г.Горшков стал начальником 6-й Уральской казачьей дивизии. В январе 1920 г. попал в плен и расстрелян (12056).</w:t>
      </w:r>
    </w:p>
    <w:p w14:paraId="7B51FD04" w14:textId="77777777" w:rsidR="004B4E35" w:rsidRPr="00405303" w:rsidRDefault="004B4E35" w:rsidP="00C15251">
      <w:pPr>
        <w:jc w:val="both"/>
        <w:rPr>
          <w:bCs/>
          <w:color w:val="002060"/>
          <w:sz w:val="16"/>
          <w:szCs w:val="16"/>
        </w:rPr>
      </w:pPr>
    </w:p>
    <w:p w14:paraId="1DD80DE9" w14:textId="77777777" w:rsidR="00336767" w:rsidRPr="00405303" w:rsidRDefault="00336767" w:rsidP="00C15251">
      <w:pPr>
        <w:jc w:val="both"/>
        <w:rPr>
          <w:bCs/>
          <w:color w:val="002060"/>
          <w:sz w:val="16"/>
          <w:szCs w:val="16"/>
        </w:rPr>
      </w:pPr>
      <w:r w:rsidRPr="00405303">
        <w:rPr>
          <w:bCs/>
          <w:color w:val="002060"/>
          <w:sz w:val="16"/>
          <w:szCs w:val="16"/>
        </w:rPr>
        <w:t>15 (28) февраля 1915 российские бомбардировщики «Сикорский Илья Муромец » атакуют район Вислы-Добржаны в Польше - первая бомбардировка Ильи Муромца (20338).</w:t>
      </w:r>
    </w:p>
    <w:p w14:paraId="049A5FD1" w14:textId="77777777" w:rsidR="00336767" w:rsidRPr="00405303" w:rsidRDefault="00336767" w:rsidP="00C15251">
      <w:pPr>
        <w:jc w:val="both"/>
        <w:rPr>
          <w:bCs/>
          <w:color w:val="002060"/>
          <w:sz w:val="16"/>
          <w:szCs w:val="16"/>
        </w:rPr>
      </w:pPr>
    </w:p>
    <w:p w14:paraId="4F16279C" w14:textId="77777777" w:rsidR="007C46B4" w:rsidRPr="00405303" w:rsidRDefault="007C46B4" w:rsidP="00C15251">
      <w:pPr>
        <w:jc w:val="both"/>
        <w:rPr>
          <w:bCs/>
          <w:color w:val="002060"/>
          <w:sz w:val="16"/>
          <w:szCs w:val="16"/>
        </w:rPr>
      </w:pPr>
      <w:r w:rsidRPr="00405303">
        <w:rPr>
          <w:bCs/>
          <w:color w:val="002060"/>
          <w:sz w:val="16"/>
          <w:szCs w:val="16"/>
        </w:rPr>
        <w:t>15 (28) февраля в 1915 году бомбардировщик «Илья Муромец» «Киевский» совершил успешный боевой полет по заданию штаба 1-й армии Северо-Западного фронта. Была поставлена задача "выяснить существование переправ у Плоцка на реке Висла и разрушить их". Переправу обнаружено не было, но в тылу у противника было сброшено несколько бомб (15041).</w:t>
      </w:r>
    </w:p>
    <w:p w14:paraId="1FFA7947" w14:textId="77777777" w:rsidR="007C46B4" w:rsidRPr="00405303" w:rsidRDefault="007C46B4" w:rsidP="00C15251">
      <w:pPr>
        <w:jc w:val="both"/>
        <w:rPr>
          <w:bCs/>
          <w:color w:val="002060"/>
          <w:sz w:val="16"/>
          <w:szCs w:val="16"/>
        </w:rPr>
      </w:pPr>
    </w:p>
    <w:p w14:paraId="04500AF0" w14:textId="22C7791C" w:rsidR="006A74DD" w:rsidRPr="00405303" w:rsidRDefault="006A74DD" w:rsidP="00C15251">
      <w:pPr>
        <w:jc w:val="both"/>
        <w:rPr>
          <w:bCs/>
          <w:color w:val="002060"/>
          <w:sz w:val="16"/>
          <w:szCs w:val="16"/>
        </w:rPr>
      </w:pPr>
      <w:r w:rsidRPr="00405303">
        <w:rPr>
          <w:bCs/>
          <w:color w:val="002060"/>
          <w:sz w:val="16"/>
          <w:szCs w:val="16"/>
        </w:rPr>
        <w:t>15 (28) февраля в 1915 году экипаж летчика Г.Г.Горшкова совершил на ИМ полет на ст. Вилленберг и сбросил на нее весь бомбовой груз - 42 бомбы, в результате чего были разрушены железнодорожный путь и станционные по стройки. Характерно, что когда у немцев распространились слухи о появлении русских самолетов-гигантов, сбрасывающих бомбы с невиданной до тех пор точностью, немецкое командование издало специальный приказ - не верить этим слухам, т.к. «подобных самолетов не существует».</w:t>
      </w:r>
    </w:p>
    <w:p w14:paraId="0DC03BF5" w14:textId="77777777" w:rsidR="006A74DD" w:rsidRPr="00405303" w:rsidRDefault="006A74DD" w:rsidP="00C15251">
      <w:pPr>
        <w:jc w:val="both"/>
        <w:rPr>
          <w:bCs/>
          <w:color w:val="002060"/>
          <w:sz w:val="16"/>
          <w:szCs w:val="16"/>
        </w:rPr>
      </w:pPr>
      <w:r w:rsidRPr="00405303">
        <w:rPr>
          <w:bCs/>
          <w:color w:val="002060"/>
          <w:sz w:val="16"/>
          <w:szCs w:val="16"/>
        </w:rPr>
        <w:t>/ЦГВИА, ф. 493, оп. 4, д. 425, л. 71; "Русский инвалид" за 18 ноября 1915/ (23320).</w:t>
      </w:r>
    </w:p>
    <w:p w14:paraId="22C8E445" w14:textId="77777777" w:rsidR="006A74DD" w:rsidRPr="00405303" w:rsidRDefault="006A74DD" w:rsidP="00C15251">
      <w:pPr>
        <w:jc w:val="both"/>
        <w:rPr>
          <w:bCs/>
          <w:color w:val="002060"/>
          <w:sz w:val="16"/>
          <w:szCs w:val="16"/>
        </w:rPr>
      </w:pPr>
    </w:p>
    <w:p w14:paraId="7D04455E" w14:textId="7A4D401F" w:rsidR="0072423A" w:rsidRPr="00405303" w:rsidRDefault="0072423A" w:rsidP="00C15251">
      <w:pPr>
        <w:jc w:val="both"/>
        <w:rPr>
          <w:bCs/>
          <w:color w:val="002060"/>
          <w:sz w:val="16"/>
          <w:szCs w:val="16"/>
        </w:rPr>
      </w:pPr>
      <w:r w:rsidRPr="00405303">
        <w:rPr>
          <w:bCs/>
          <w:color w:val="002060"/>
          <w:sz w:val="16"/>
          <w:szCs w:val="16"/>
        </w:rPr>
        <w:t>15 (28) февраля 1915 г. по заданию штаба 1-й Армии СЗФ (в то время – под начальством генерала от кавалерии Литвинова) корабль «Илья Муромец» В-9 (ИМ В-9 № 150 «Корабль Киевский» «остроносый», борт № VI) экз. № 9, стратегический разведчик, тяжелый бомбардировщик совершил первый боевой вылет на разведку и бомбардировку переправ противника через Вислу у Плоцка (Płock, ныне – Мазовия, центральная часть Польши). Переправ не найдено, бомбы сброшены в тылу противника.</w:t>
      </w:r>
    </w:p>
    <w:p w14:paraId="27E63238" w14:textId="77777777" w:rsidR="0072423A" w:rsidRPr="00405303" w:rsidRDefault="0072423A" w:rsidP="00C15251">
      <w:pPr>
        <w:jc w:val="both"/>
        <w:rPr>
          <w:bCs/>
          <w:color w:val="002060"/>
          <w:sz w:val="16"/>
          <w:szCs w:val="16"/>
        </w:rPr>
      </w:pPr>
      <w:r w:rsidRPr="00405303">
        <w:rPr>
          <w:bCs/>
          <w:color w:val="002060"/>
          <w:sz w:val="16"/>
          <w:szCs w:val="16"/>
        </w:rPr>
        <w:t>24 февраля 1915 г. корабль по заданию штаба 1-й Армии СЗФ совершил полет продолжительностью 3,5 ч над Восточной Пруссией. Экипаж сфотографировал позиции при пересечении линии фронта и собрал подробные сведения о передвижениях противника вплоть до Млавы на севере Польши, затем, сделав два круга над г. Вилленбург, сбросил 17 бомб весом от 16 до 32 кг на местную железнодорожную станцию, пакгаузы у нее и скопившиеся там конные повозки.</w:t>
      </w:r>
    </w:p>
    <w:p w14:paraId="4521469D" w14:textId="77777777" w:rsidR="0072423A" w:rsidRPr="00405303" w:rsidRDefault="0072423A" w:rsidP="00C15251">
      <w:pPr>
        <w:jc w:val="both"/>
        <w:rPr>
          <w:bCs/>
          <w:color w:val="002060"/>
          <w:sz w:val="16"/>
          <w:szCs w:val="16"/>
        </w:rPr>
      </w:pPr>
      <w:r w:rsidRPr="00405303">
        <w:rPr>
          <w:bCs/>
          <w:color w:val="002060"/>
          <w:sz w:val="16"/>
          <w:szCs w:val="16"/>
        </w:rPr>
        <w:t>25 февраля 1915 г. корабль выполнил бомбовый удар по станции Вилленбург, сбросив 35 малых и 10 пудовых бомб, разрушив железнодорожные пути, стоявший на них подвижной состав и здание станции. Погибло два немецких офицера и 17 нижних чинов, а начальник станции был ранен. Согласно донесению разведки, полученному позже штабом Первой армии, налет вызвал сильную панику.</w:t>
      </w:r>
    </w:p>
    <w:p w14:paraId="289EDEB0" w14:textId="77777777" w:rsidR="0072423A" w:rsidRPr="00405303" w:rsidRDefault="0072423A" w:rsidP="00C15251">
      <w:pPr>
        <w:jc w:val="both"/>
        <w:rPr>
          <w:bCs/>
          <w:color w:val="002060"/>
          <w:sz w:val="16"/>
          <w:szCs w:val="16"/>
        </w:rPr>
      </w:pPr>
      <w:r w:rsidRPr="00405303">
        <w:rPr>
          <w:bCs/>
          <w:color w:val="002060"/>
          <w:sz w:val="16"/>
          <w:szCs w:val="16"/>
        </w:rPr>
        <w:t>В мае 1915 г. корабль командирован на аэродром Лемберг (ныне Львов, Западная Украина) в распоряжение штаба 3-й Армии.</w:t>
      </w:r>
    </w:p>
    <w:p w14:paraId="71D1BDC2" w14:textId="77777777" w:rsidR="0072423A" w:rsidRPr="00405303" w:rsidRDefault="0072423A" w:rsidP="00C15251">
      <w:pPr>
        <w:jc w:val="both"/>
        <w:rPr>
          <w:bCs/>
          <w:color w:val="002060"/>
          <w:sz w:val="16"/>
          <w:szCs w:val="16"/>
        </w:rPr>
      </w:pPr>
      <w:r w:rsidRPr="00405303">
        <w:rPr>
          <w:bCs/>
          <w:color w:val="002060"/>
          <w:sz w:val="16"/>
          <w:szCs w:val="16"/>
        </w:rPr>
        <w:t>28 мая 1915 г. новым командиром корабля назначен поручик И.С. Башко.</w:t>
      </w:r>
    </w:p>
    <w:p w14:paraId="1669A1AE" w14:textId="77777777" w:rsidR="0072423A" w:rsidRPr="00405303" w:rsidRDefault="0072423A" w:rsidP="00C15251">
      <w:pPr>
        <w:jc w:val="both"/>
        <w:rPr>
          <w:bCs/>
          <w:color w:val="002060"/>
          <w:sz w:val="16"/>
          <w:szCs w:val="16"/>
        </w:rPr>
      </w:pPr>
      <w:r w:rsidRPr="00405303">
        <w:rPr>
          <w:bCs/>
          <w:color w:val="002060"/>
          <w:sz w:val="16"/>
          <w:szCs w:val="16"/>
        </w:rPr>
        <w:t>В июне 1915 г. корабль был перебазирован в Люблин (Lublin, ныне – восток Польши), а затем в том же месяце – в Влодаву (Włodawa, также восток Польши).</w:t>
      </w:r>
    </w:p>
    <w:p w14:paraId="6D6C60C2" w14:textId="77777777" w:rsidR="0072423A" w:rsidRPr="00405303" w:rsidRDefault="0072423A" w:rsidP="00C15251">
      <w:pPr>
        <w:jc w:val="both"/>
        <w:rPr>
          <w:bCs/>
          <w:color w:val="002060"/>
          <w:sz w:val="16"/>
          <w:szCs w:val="16"/>
        </w:rPr>
      </w:pPr>
      <w:r w:rsidRPr="00405303">
        <w:rPr>
          <w:bCs/>
          <w:color w:val="002060"/>
          <w:sz w:val="16"/>
          <w:szCs w:val="16"/>
        </w:rPr>
        <w:t>14 июня 1915 г. корабль выполнил удачную бомбардировку станции Пржеворск (Przeworsk, ныне Подкарпатское воеводство на востоке Польши) в которой впервые была применена тяжелая бомба калибра 80 кг (5 пудов) вместе с другими. Для облегчения самолета были сняты внешние топливные баки. Удар получился чрезвычайно удачным – попадание одной бомбы калибра 16 кг в вагон с боеприпасами вызвало последовательную детонацию 30000 снарядов во всем стоящем на ее путях эшелоне. Результат был подтвержден аэрофотоснимком и данными агентурной разведки.</w:t>
      </w:r>
    </w:p>
    <w:p w14:paraId="71C8D66E" w14:textId="77777777" w:rsidR="0072423A" w:rsidRPr="00405303" w:rsidRDefault="0072423A" w:rsidP="00C15251">
      <w:pPr>
        <w:jc w:val="both"/>
        <w:rPr>
          <w:bCs/>
          <w:color w:val="002060"/>
          <w:sz w:val="16"/>
          <w:szCs w:val="16"/>
        </w:rPr>
      </w:pPr>
      <w:r w:rsidRPr="00405303">
        <w:rPr>
          <w:bCs/>
          <w:color w:val="002060"/>
          <w:sz w:val="16"/>
          <w:szCs w:val="16"/>
        </w:rPr>
        <w:t>5 июля 1915 г. (18.07.15 г. по н.ст.) корабль под управлением поручика И.С. Башко (помощник командира поручик М.В. Смирнов, артиллерийский офицер штабс-капитан А.А. Наумов, моторист вольноопределяющийся младший унтер-офицер А.М. Лавров) вылетел на разведку и бомбометание, имея на борту 10 бомб калибра 16 кг, 25 – калибра 11 кг, 12 зажигательных снарядов, один пулемет системы Мадсена обр. 1904 г. и карабин с общим боезапасом 260 патронов.</w:t>
      </w:r>
    </w:p>
    <w:p w14:paraId="40D71FCA" w14:textId="77777777" w:rsidR="0072423A" w:rsidRPr="00405303" w:rsidRDefault="0072423A" w:rsidP="00C15251">
      <w:pPr>
        <w:jc w:val="both"/>
        <w:rPr>
          <w:bCs/>
          <w:color w:val="002060"/>
          <w:sz w:val="16"/>
          <w:szCs w:val="16"/>
        </w:rPr>
      </w:pPr>
      <w:r w:rsidRPr="00405303">
        <w:rPr>
          <w:bCs/>
          <w:color w:val="002060"/>
          <w:sz w:val="16"/>
          <w:szCs w:val="16"/>
        </w:rPr>
        <w:lastRenderedPageBreak/>
        <w:t>Над г. Шербжешин (Польша) в 40 км от линии фронта на высоте 3200…3500 м снизу был атакован немецким самолетом. Огонь по противнику был открыт своевременно, но был не точен, а после 35 выстрелов пулемет заклинил.</w:t>
      </w:r>
    </w:p>
    <w:p w14:paraId="17EB5C88" w14:textId="77777777" w:rsidR="0072423A" w:rsidRPr="00405303" w:rsidRDefault="0072423A" w:rsidP="00C15251">
      <w:pPr>
        <w:jc w:val="both"/>
        <w:rPr>
          <w:bCs/>
          <w:color w:val="002060"/>
          <w:sz w:val="16"/>
          <w:szCs w:val="16"/>
        </w:rPr>
      </w:pPr>
      <w:r w:rsidRPr="00405303">
        <w:rPr>
          <w:bCs/>
          <w:color w:val="002060"/>
          <w:sz w:val="16"/>
          <w:szCs w:val="16"/>
        </w:rPr>
        <w:t xml:space="preserve">Противник в первой же атаке смог повредить два верхних топливных бака, бензопроводы левой группы моторов, бензиновый фильтр правой группы моторов, радиатор охлаждения мотора №2. Левая группа моторов была отключена. Одновременно были пробиты передние стекла кабины по правому борту и был ранен в ногу и в голову командир корабля Башко – после атаки его временно сменил Смирнов, после перевязки Башко вернулся к управлению самолетом, а Смирнов и Лавров руками пытались закрывать пробоину в топливном фильтре, через которую вытекал бензин. Вторая атака этого самолета противника была отбита </w:t>
      </w:r>
      <w:proofErr w:type="gramStart"/>
      <w:r w:rsidRPr="00405303">
        <w:rPr>
          <w:bCs/>
          <w:color w:val="002060"/>
          <w:sz w:val="16"/>
          <w:szCs w:val="16"/>
        </w:rPr>
        <w:t>ружейным огнем</w:t>
      </w:r>
      <w:proofErr w:type="gramEnd"/>
      <w:r w:rsidRPr="00405303">
        <w:rPr>
          <w:bCs/>
          <w:color w:val="002060"/>
          <w:sz w:val="16"/>
          <w:szCs w:val="16"/>
        </w:rPr>
        <w:t xml:space="preserve"> и он отошел. Корабль развернулся на маршрут возвращения.</w:t>
      </w:r>
    </w:p>
    <w:p w14:paraId="3B498035" w14:textId="77777777" w:rsidR="0072423A" w:rsidRPr="00405303" w:rsidRDefault="0072423A" w:rsidP="00C15251">
      <w:pPr>
        <w:jc w:val="both"/>
        <w:rPr>
          <w:bCs/>
          <w:color w:val="002060"/>
          <w:sz w:val="16"/>
          <w:szCs w:val="16"/>
        </w:rPr>
      </w:pPr>
      <w:r w:rsidRPr="00405303">
        <w:rPr>
          <w:bCs/>
          <w:color w:val="002060"/>
          <w:sz w:val="16"/>
          <w:szCs w:val="16"/>
        </w:rPr>
        <w:t xml:space="preserve">Сразу за первым появился второй самолет противника, который своим огнем пробил маслобак мотора № 2, но его повторная атака </w:t>
      </w:r>
      <w:proofErr w:type="gramStart"/>
      <w:r w:rsidRPr="00405303">
        <w:rPr>
          <w:bCs/>
          <w:color w:val="002060"/>
          <w:sz w:val="16"/>
          <w:szCs w:val="16"/>
        </w:rPr>
        <w:t>была отбита</w:t>
      </w:r>
      <w:proofErr w:type="gramEnd"/>
      <w:r w:rsidRPr="00405303">
        <w:rPr>
          <w:bCs/>
          <w:color w:val="002060"/>
          <w:sz w:val="16"/>
          <w:szCs w:val="16"/>
        </w:rPr>
        <w:t xml:space="preserve"> и он также отвалил.</w:t>
      </w:r>
    </w:p>
    <w:p w14:paraId="0DC850F1" w14:textId="77777777" w:rsidR="0072423A" w:rsidRPr="00405303" w:rsidRDefault="0072423A" w:rsidP="00C15251">
      <w:pPr>
        <w:jc w:val="both"/>
        <w:rPr>
          <w:bCs/>
          <w:color w:val="002060"/>
          <w:sz w:val="16"/>
          <w:szCs w:val="16"/>
        </w:rPr>
      </w:pPr>
      <w:r w:rsidRPr="00405303">
        <w:rPr>
          <w:bCs/>
          <w:color w:val="002060"/>
          <w:sz w:val="16"/>
          <w:szCs w:val="16"/>
        </w:rPr>
        <w:t>Над линией фронта в полете со снижением на высоте 1400…1500 м корабль был атакован третьим самолетом противника и обстрелян артиллерией с земли. На подлете к г. Холм (Chełm, ныне – Люблинское воеводство, восток Польши) на высоте около 700 м по причине вытекания бензина все моторы остановились. На планировании экипаж не только смог пересечь линию фронта, но и найти аэродром 24-го АО у дер. Городище, где произвел экстренную посадку. Но летное поле на заболоченном лугу оказалось не приспособленным для тяжелого самолета – шасси увязли в грунте и были сломаны в левой части основных опор, разрушились винт мотора № 2, несколько нервюр и 4 стойки бипланной коробки возле него, треснул задний лонжерон среднего отсека нижнего правого полукрыла. При осмотре нашли не выявленные ранее пулевые пробоины:</w:t>
      </w:r>
    </w:p>
    <w:p w14:paraId="58D5DF4D" w14:textId="77777777" w:rsidR="0072423A" w:rsidRPr="00405303" w:rsidRDefault="0072423A" w:rsidP="00C15251">
      <w:pPr>
        <w:jc w:val="both"/>
        <w:rPr>
          <w:bCs/>
          <w:color w:val="002060"/>
          <w:sz w:val="16"/>
          <w:szCs w:val="16"/>
        </w:rPr>
      </w:pPr>
      <w:r w:rsidRPr="00405303">
        <w:rPr>
          <w:bCs/>
          <w:color w:val="002060"/>
          <w:sz w:val="16"/>
          <w:szCs w:val="16"/>
        </w:rPr>
        <w:t>- 2 в винте, 1 в подкосе рамы мотора № 3;</w:t>
      </w:r>
    </w:p>
    <w:p w14:paraId="1FE47E31" w14:textId="77777777" w:rsidR="0072423A" w:rsidRPr="00405303" w:rsidRDefault="0072423A" w:rsidP="00C15251">
      <w:pPr>
        <w:jc w:val="both"/>
        <w:rPr>
          <w:bCs/>
          <w:color w:val="002060"/>
          <w:sz w:val="16"/>
          <w:szCs w:val="16"/>
        </w:rPr>
      </w:pPr>
      <w:r w:rsidRPr="00405303">
        <w:rPr>
          <w:bCs/>
          <w:color w:val="002060"/>
          <w:sz w:val="16"/>
          <w:szCs w:val="16"/>
        </w:rPr>
        <w:t>- в грузовой раме и в магнето мотора № 2;</w:t>
      </w:r>
    </w:p>
    <w:p w14:paraId="1BC9E2E3" w14:textId="77777777" w:rsidR="0072423A" w:rsidRPr="00405303" w:rsidRDefault="0072423A" w:rsidP="00C15251">
      <w:pPr>
        <w:jc w:val="both"/>
        <w:rPr>
          <w:bCs/>
          <w:color w:val="002060"/>
          <w:sz w:val="16"/>
          <w:szCs w:val="16"/>
        </w:rPr>
      </w:pPr>
      <w:r w:rsidRPr="00405303">
        <w:rPr>
          <w:bCs/>
          <w:color w:val="002060"/>
          <w:sz w:val="16"/>
          <w:szCs w:val="16"/>
        </w:rPr>
        <w:t>- в стойке бипланной коробки за мотором № 1;</w:t>
      </w:r>
    </w:p>
    <w:p w14:paraId="2B11E413" w14:textId="77777777" w:rsidR="0072423A" w:rsidRPr="00405303" w:rsidRDefault="0072423A" w:rsidP="00C15251">
      <w:pPr>
        <w:jc w:val="both"/>
        <w:rPr>
          <w:bCs/>
          <w:color w:val="002060"/>
          <w:sz w:val="16"/>
          <w:szCs w:val="16"/>
        </w:rPr>
      </w:pPr>
      <w:r w:rsidRPr="00405303">
        <w:rPr>
          <w:bCs/>
          <w:color w:val="002060"/>
          <w:sz w:val="16"/>
          <w:szCs w:val="16"/>
        </w:rPr>
        <w:t>- несколько в обшивке;</w:t>
      </w:r>
    </w:p>
    <w:p w14:paraId="68677CEC" w14:textId="77777777" w:rsidR="0072423A" w:rsidRPr="00405303" w:rsidRDefault="0072423A" w:rsidP="00C15251">
      <w:pPr>
        <w:jc w:val="both"/>
        <w:rPr>
          <w:bCs/>
          <w:color w:val="002060"/>
          <w:sz w:val="16"/>
          <w:szCs w:val="16"/>
        </w:rPr>
      </w:pPr>
      <w:r w:rsidRPr="00405303">
        <w:rPr>
          <w:bCs/>
          <w:color w:val="002060"/>
          <w:sz w:val="16"/>
          <w:szCs w:val="16"/>
        </w:rPr>
        <w:t>- 1 покрышке колеса шасси.</w:t>
      </w:r>
    </w:p>
    <w:p w14:paraId="653069A3" w14:textId="77777777" w:rsidR="0072423A" w:rsidRPr="00405303" w:rsidRDefault="0072423A" w:rsidP="00C15251">
      <w:pPr>
        <w:jc w:val="both"/>
        <w:rPr>
          <w:bCs/>
          <w:color w:val="002060"/>
          <w:sz w:val="16"/>
          <w:szCs w:val="16"/>
        </w:rPr>
      </w:pPr>
      <w:r w:rsidRPr="00405303">
        <w:rPr>
          <w:bCs/>
          <w:color w:val="002060"/>
          <w:sz w:val="16"/>
          <w:szCs w:val="16"/>
        </w:rPr>
        <w:t>В этом бою безвозвратных потерь в экипаже нет, Башко, продолживший управление кораблем после ранения, награжден орденом Св. Георгия IV ст.</w:t>
      </w:r>
    </w:p>
    <w:p w14:paraId="0D516E61" w14:textId="77777777" w:rsidR="0072423A" w:rsidRPr="00405303" w:rsidRDefault="0072423A" w:rsidP="00C15251">
      <w:pPr>
        <w:jc w:val="both"/>
        <w:rPr>
          <w:bCs/>
          <w:color w:val="002060"/>
          <w:sz w:val="16"/>
          <w:szCs w:val="16"/>
        </w:rPr>
      </w:pPr>
      <w:r w:rsidRPr="00405303">
        <w:rPr>
          <w:bCs/>
          <w:color w:val="002060"/>
          <w:sz w:val="16"/>
          <w:szCs w:val="16"/>
        </w:rPr>
        <w:t>Корабль был более боевых вылетов не совершал и видимо был после этого полета был отправлен на РБВЗ для возможного ремонта. Но восстановить его не удалось и аэроплан был списан.</w:t>
      </w:r>
    </w:p>
    <w:p w14:paraId="080442C1" w14:textId="77777777" w:rsidR="0072423A" w:rsidRPr="00405303" w:rsidRDefault="0072423A" w:rsidP="00C15251">
      <w:pPr>
        <w:jc w:val="both"/>
        <w:rPr>
          <w:bCs/>
          <w:color w:val="002060"/>
          <w:sz w:val="16"/>
          <w:szCs w:val="16"/>
        </w:rPr>
      </w:pPr>
      <w:r w:rsidRPr="00405303">
        <w:rPr>
          <w:bCs/>
          <w:color w:val="002060"/>
          <w:sz w:val="16"/>
          <w:szCs w:val="16"/>
        </w:rPr>
        <w:t>Корабль совершил 27 боевых вылетов и сбросил до 5760 кг (360 пудов) бомб (23563).</w:t>
      </w:r>
    </w:p>
    <w:p w14:paraId="26818C7A" w14:textId="77777777" w:rsidR="0072423A" w:rsidRPr="00405303" w:rsidRDefault="0072423A" w:rsidP="00C15251">
      <w:pPr>
        <w:jc w:val="both"/>
        <w:rPr>
          <w:bCs/>
          <w:color w:val="002060"/>
          <w:sz w:val="16"/>
          <w:szCs w:val="16"/>
          <w:lang w:bidi="ru-RU"/>
        </w:rPr>
      </w:pPr>
    </w:p>
    <w:p w14:paraId="52F6FE29" w14:textId="405F4685" w:rsidR="0072423A" w:rsidRPr="00405303" w:rsidRDefault="0072423A" w:rsidP="00C15251">
      <w:pPr>
        <w:jc w:val="both"/>
        <w:rPr>
          <w:bCs/>
          <w:color w:val="002060"/>
          <w:sz w:val="16"/>
          <w:szCs w:val="16"/>
        </w:rPr>
      </w:pPr>
      <w:r w:rsidRPr="00405303">
        <w:rPr>
          <w:bCs/>
          <w:color w:val="002060"/>
          <w:sz w:val="16"/>
          <w:szCs w:val="16"/>
        </w:rPr>
        <w:t>15 (28) февраля 1915 г, через три часа после возвращения „Муромца“ [Киевского] из его первого боевого полета», в результате бомбардировки пострадали мирные жители д. Яблонна. С целью пресечения таких налетов на аэродроме было установлено дежурство одного из воздушных кораблей.</w:t>
      </w:r>
    </w:p>
    <w:p w14:paraId="68813C90" w14:textId="77777777" w:rsidR="0072423A" w:rsidRPr="00405303" w:rsidRDefault="0072423A" w:rsidP="00C15251">
      <w:pPr>
        <w:jc w:val="both"/>
        <w:rPr>
          <w:bCs/>
          <w:color w:val="002060"/>
          <w:sz w:val="16"/>
          <w:szCs w:val="16"/>
        </w:rPr>
      </w:pPr>
      <w:bookmarkStart w:id="46" w:name="bookmark89"/>
      <w:bookmarkStart w:id="47" w:name="bookmark90"/>
      <w:r w:rsidRPr="00405303">
        <w:rPr>
          <w:bCs/>
          <w:color w:val="002060"/>
          <w:sz w:val="16"/>
          <w:szCs w:val="16"/>
        </w:rPr>
        <w:t>Во время очередного рейда германских самолетов 18 марта от осколков сброшенных бомб едва не пострадал конструктор воздушных клораблей И.И. Сикорский. Помимо бомбового запаса неприятельские пилоты использовали оружие нового типа - флешетты (специальные металлические стрелы-дротики, размером не превышающие обыкновенный карандаш). Они обладали значительной пробивной способностью. Полученные экземпляры стрел руководством Управления Эскадры были отправлены в Варшаву (с просьбой изготовить 1000 шт.) и в Главное артиллерийское управление (с целью изучения и последующего налаживания производства)</w:t>
      </w:r>
      <w:hyperlink w:anchor="bookmark1155" w:tooltip="Current Document">
        <w:r w:rsidRPr="00405303">
          <w:rPr>
            <w:rStyle w:val="ad"/>
            <w:bCs/>
            <w:color w:val="002060"/>
            <w:sz w:val="16"/>
            <w:szCs w:val="16"/>
          </w:rPr>
          <w:t>!</w:t>
        </w:r>
      </w:hyperlink>
      <w:r w:rsidRPr="00405303">
        <w:rPr>
          <w:bCs/>
          <w:color w:val="002060"/>
          <w:sz w:val="16"/>
          <w:szCs w:val="16"/>
        </w:rPr>
        <w:t>. Вскоре был получен варшавский заказ, и, выдав на три воздушных корабля («Киевский», II и III) по 250 стрел, отвезли их на станции Вилленберг, Нейденбург и Сольдау.</w:t>
      </w:r>
      <w:bookmarkEnd w:id="46"/>
      <w:bookmarkEnd w:id="47"/>
    </w:p>
    <w:p w14:paraId="40FD6011" w14:textId="77777777" w:rsidR="0072423A" w:rsidRPr="00405303" w:rsidRDefault="0072423A" w:rsidP="00C15251">
      <w:pPr>
        <w:jc w:val="both"/>
        <w:rPr>
          <w:bCs/>
          <w:color w:val="002060"/>
          <w:sz w:val="16"/>
          <w:szCs w:val="16"/>
        </w:rPr>
      </w:pPr>
      <w:r w:rsidRPr="00405303">
        <w:rPr>
          <w:bCs/>
          <w:color w:val="002060"/>
          <w:sz w:val="16"/>
          <w:szCs w:val="16"/>
        </w:rPr>
        <w:t xml:space="preserve">В результате воздушного налета серьезное ранение получил младший механик мастерских РБВЗ Иван Арай. В докладе об этом инциденте, в частности, отмечалось: «Будучи тяжело раненным осколками бомбы, мужественно перенес страдания, пока неприятельский аэроплан не скрылся с горизонта, и после </w:t>
      </w:r>
      <w:bookmarkStart w:id="48" w:name="bookmark91"/>
      <w:bookmarkStart w:id="49" w:name="bookmark92"/>
      <w:r w:rsidRPr="00405303">
        <w:rPr>
          <w:bCs/>
          <w:color w:val="002060"/>
          <w:sz w:val="16"/>
          <w:szCs w:val="16"/>
        </w:rPr>
        <w:t>произведенной ему операции по удалению правого глаза, зашития слепой кишки и отчасти раны плеча отказался от предложенной ему эвакуации и заявил, что по выздоровлению желает продолжить работу в ЭВК». За этот подвиг приказом по войскам 1-й армии от 7 июня 1915 г. И. Арай был награжден Георгиевской медалью IV степени. Это награждение стало первым в Эскадре воздушных кораблей (ЭВК) (23405).</w:t>
      </w:r>
      <w:bookmarkEnd w:id="48"/>
      <w:bookmarkEnd w:id="49"/>
    </w:p>
    <w:p w14:paraId="535B3A66" w14:textId="77777777" w:rsidR="0072423A" w:rsidRPr="00405303" w:rsidRDefault="0072423A" w:rsidP="00C15251">
      <w:pPr>
        <w:jc w:val="both"/>
        <w:rPr>
          <w:bCs/>
          <w:color w:val="002060"/>
          <w:sz w:val="16"/>
          <w:szCs w:val="16"/>
        </w:rPr>
      </w:pPr>
    </w:p>
    <w:p w14:paraId="69EAEC58" w14:textId="77777777" w:rsidR="006603C8" w:rsidRPr="00405303" w:rsidRDefault="006603C8" w:rsidP="006603C8">
      <w:pPr>
        <w:jc w:val="both"/>
        <w:rPr>
          <w:color w:val="0070C0"/>
          <w:sz w:val="16"/>
          <w:szCs w:val="16"/>
        </w:rPr>
      </w:pPr>
      <w:r w:rsidRPr="00405303">
        <w:rPr>
          <w:color w:val="0070C0"/>
          <w:sz w:val="16"/>
          <w:szCs w:val="16"/>
        </w:rPr>
        <w:t>15 (28) февраля 1915 г. рано утром в небе над Гродно вновь появились два германских аэроплана. «Один из них спускался довольно низко и около 12 часов дня сбросил две бомбы, из коих одна, предназначенная для добровольного госпиталя генеральши Кайгородовой, упала в 100 саженях от названного госпиталя, в сад при доме почтово-телеграфного чиновника Патрека, находящегося на Полевой улице; бомба эта разорвалась, но вреда никакого не причинила, а вторая упала на Полицейской улице, во двор дома мещанина Либы Гершуни, на крышу каменного флигеля, часть которого: сени и коридор разрушены, в жилом помещении выбиты стекла и осколком стекла легко ранен в голову сын квартирующей в названном флигеле крестьянки Сувалковской губернии Паулины Бобковой – Александр, 2-х лет»</w:t>
      </w:r>
      <w:hyperlink r:id="rId10" w:anchor="idm139863441384528" w:history="1">
        <w:r w:rsidRPr="00405303">
          <w:rPr>
            <w:rStyle w:val="ad"/>
            <w:color w:val="0070C0"/>
            <w:sz w:val="16"/>
            <w:szCs w:val="16"/>
            <w:vertAlign w:val="superscript"/>
          </w:rPr>
          <w:t>77</w:t>
        </w:r>
      </w:hyperlink>
      <w:r w:rsidRPr="00405303">
        <w:rPr>
          <w:color w:val="0070C0"/>
          <w:sz w:val="16"/>
          <w:szCs w:val="16"/>
        </w:rPr>
        <w:t>. Зенитным огнем один из германских аэропланов был подстрелен, его экипаж взят в плен (25135).</w:t>
      </w:r>
    </w:p>
    <w:p w14:paraId="7479EABF" w14:textId="77777777" w:rsidR="006603C8" w:rsidRPr="00405303" w:rsidRDefault="006603C8" w:rsidP="006603C8">
      <w:pPr>
        <w:jc w:val="both"/>
        <w:rPr>
          <w:color w:val="0070C0"/>
          <w:sz w:val="16"/>
          <w:szCs w:val="16"/>
        </w:rPr>
      </w:pPr>
    </w:p>
    <w:p w14:paraId="642B9CFB" w14:textId="77777777" w:rsidR="007C46B4" w:rsidRPr="00405303" w:rsidRDefault="007C46B4" w:rsidP="00C15251">
      <w:pPr>
        <w:jc w:val="both"/>
        <w:rPr>
          <w:bCs/>
          <w:i/>
          <w:color w:val="002060"/>
          <w:sz w:val="16"/>
          <w:szCs w:val="16"/>
        </w:rPr>
      </w:pPr>
      <w:r w:rsidRPr="00405303">
        <w:rPr>
          <w:bCs/>
          <w:i/>
          <w:color w:val="002060"/>
          <w:sz w:val="16"/>
          <w:szCs w:val="16"/>
        </w:rPr>
        <w:t>Армия:</w:t>
      </w:r>
    </w:p>
    <w:p w14:paraId="783230E2" w14:textId="77777777" w:rsidR="007C46B4" w:rsidRPr="00405303" w:rsidRDefault="007C46B4" w:rsidP="00C15251">
      <w:pPr>
        <w:jc w:val="both"/>
        <w:rPr>
          <w:bCs/>
          <w:i/>
          <w:color w:val="002060"/>
          <w:sz w:val="16"/>
          <w:szCs w:val="16"/>
        </w:rPr>
      </w:pPr>
    </w:p>
    <w:p w14:paraId="388A36ED" w14:textId="77777777" w:rsidR="007C46B4" w:rsidRPr="00405303" w:rsidRDefault="007C46B4" w:rsidP="00C15251">
      <w:pPr>
        <w:jc w:val="both"/>
        <w:rPr>
          <w:bCs/>
          <w:color w:val="002060"/>
          <w:sz w:val="16"/>
          <w:szCs w:val="16"/>
        </w:rPr>
      </w:pPr>
      <w:r w:rsidRPr="00405303">
        <w:rPr>
          <w:bCs/>
          <w:color w:val="002060"/>
          <w:sz w:val="16"/>
          <w:szCs w:val="16"/>
        </w:rPr>
        <w:t>15 (28) февраля в 1915 году части 10-й германской армии взяли город Августов (15041).</w:t>
      </w:r>
    </w:p>
    <w:p w14:paraId="296A006F" w14:textId="01C0EBD2" w:rsidR="007C46B4" w:rsidRPr="00405303" w:rsidRDefault="007C46B4" w:rsidP="00C15251">
      <w:pPr>
        <w:jc w:val="both"/>
        <w:rPr>
          <w:bCs/>
          <w:color w:val="002060"/>
          <w:sz w:val="16"/>
          <w:szCs w:val="16"/>
        </w:rPr>
      </w:pPr>
    </w:p>
    <w:p w14:paraId="6123764F" w14:textId="670CF1B4" w:rsidR="000C134D" w:rsidRPr="00405303" w:rsidRDefault="000C134D" w:rsidP="00C15251">
      <w:pPr>
        <w:jc w:val="both"/>
        <w:rPr>
          <w:bCs/>
          <w:i/>
          <w:iCs/>
          <w:color w:val="002060"/>
          <w:sz w:val="16"/>
          <w:szCs w:val="16"/>
        </w:rPr>
      </w:pPr>
      <w:r w:rsidRPr="00405303">
        <w:rPr>
          <w:bCs/>
          <w:i/>
          <w:iCs/>
          <w:color w:val="002060"/>
          <w:sz w:val="16"/>
          <w:szCs w:val="16"/>
        </w:rPr>
        <w:t>Самолетостроение:</w:t>
      </w:r>
    </w:p>
    <w:p w14:paraId="1B545F9E" w14:textId="77777777" w:rsidR="000C134D" w:rsidRPr="00405303" w:rsidRDefault="000C134D" w:rsidP="00C15251">
      <w:pPr>
        <w:jc w:val="both"/>
        <w:rPr>
          <w:bCs/>
          <w:i/>
          <w:iCs/>
          <w:color w:val="002060"/>
          <w:sz w:val="16"/>
          <w:szCs w:val="16"/>
        </w:rPr>
      </w:pPr>
    </w:p>
    <w:p w14:paraId="67D5D768" w14:textId="1B792868" w:rsidR="000C134D" w:rsidRPr="00405303" w:rsidRDefault="000C134D" w:rsidP="00C15251">
      <w:pPr>
        <w:shd w:val="clear" w:color="auto" w:fill="FFFFFF"/>
        <w:jc w:val="both"/>
        <w:rPr>
          <w:bCs/>
          <w:color w:val="002060"/>
          <w:sz w:val="16"/>
          <w:szCs w:val="16"/>
        </w:rPr>
      </w:pPr>
      <w:r w:rsidRPr="00405303">
        <w:rPr>
          <w:bCs/>
          <w:color w:val="002060"/>
          <w:sz w:val="16"/>
          <w:szCs w:val="16"/>
        </w:rPr>
        <w:t>В середине февраля 1915 г. было достигнуто устное соглашение между флотом и Лебедевым. Еще 4 февраля Авиационный комитет Черноморского флота одобрил это предложение Лебедева от 19 января 1915 г. и рекомендовал дать Лебедеву официальный контракт. Не</w:t>
      </w:r>
      <w:r w:rsidRPr="00405303">
        <w:rPr>
          <w:bCs/>
          <w:color w:val="002060"/>
          <w:sz w:val="16"/>
          <w:szCs w:val="16"/>
        </w:rPr>
        <w:softHyphen/>
        <w:t>ожиданно на следующий день компания представила в МГШ несколько измененный план строительства "Альбатросов", каждый из которых должен был теперь оснащаться двигателем "Санбим" 150 л.с. и стоить 16.450 руб., включая цену пропеллера, моторной установки и испытаний в Севастополе, плюс 8.890 руб. за комплект запасных частей и поплавков. Из</w:t>
      </w:r>
      <w:r w:rsidRPr="00405303">
        <w:rPr>
          <w:bCs/>
          <w:color w:val="002060"/>
          <w:sz w:val="16"/>
          <w:szCs w:val="16"/>
        </w:rPr>
        <w:softHyphen/>
        <w:t>готовление должно было занять 9 недель, а 150-сильные "Санбимы" поставлялись бы заказ</w:t>
      </w:r>
      <w:r w:rsidRPr="00405303">
        <w:rPr>
          <w:bCs/>
          <w:color w:val="002060"/>
          <w:sz w:val="16"/>
          <w:szCs w:val="16"/>
        </w:rPr>
        <w:softHyphen/>
        <w:t>чиком (2843).</w:t>
      </w:r>
    </w:p>
    <w:p w14:paraId="11B5AD2A" w14:textId="77777777" w:rsidR="000C134D" w:rsidRPr="00405303" w:rsidRDefault="000C134D" w:rsidP="00C15251">
      <w:pPr>
        <w:shd w:val="clear" w:color="auto" w:fill="FFFFFF"/>
        <w:jc w:val="both"/>
        <w:rPr>
          <w:bCs/>
          <w:color w:val="002060"/>
          <w:sz w:val="16"/>
          <w:szCs w:val="16"/>
        </w:rPr>
      </w:pPr>
    </w:p>
    <w:p w14:paraId="2236FF02" w14:textId="4FD9A121" w:rsidR="0072423A" w:rsidRPr="00405303" w:rsidRDefault="0072423A" w:rsidP="00C15251">
      <w:pPr>
        <w:pStyle w:val="a3"/>
        <w:jc w:val="both"/>
        <w:rPr>
          <w:bCs/>
          <w:color w:val="002060"/>
          <w:spacing w:val="0"/>
          <w:kern w:val="0"/>
          <w:position w:val="0"/>
          <w:sz w:val="16"/>
          <w:szCs w:val="16"/>
        </w:rPr>
      </w:pPr>
      <w:r w:rsidRPr="00405303">
        <w:rPr>
          <w:bCs/>
          <w:color w:val="002060"/>
          <w:spacing w:val="0"/>
          <w:kern w:val="0"/>
          <w:position w:val="0"/>
          <w:sz w:val="16"/>
          <w:szCs w:val="16"/>
        </w:rPr>
        <w:t>Другие оборонные отрасли:</w:t>
      </w:r>
    </w:p>
    <w:p w14:paraId="19F61D40" w14:textId="77777777" w:rsidR="0072423A" w:rsidRPr="00405303" w:rsidRDefault="0072423A" w:rsidP="00C15251">
      <w:pPr>
        <w:pStyle w:val="a3"/>
        <w:jc w:val="both"/>
        <w:rPr>
          <w:bCs/>
          <w:color w:val="002060"/>
          <w:spacing w:val="0"/>
          <w:kern w:val="0"/>
          <w:position w:val="0"/>
          <w:sz w:val="16"/>
          <w:szCs w:val="16"/>
        </w:rPr>
      </w:pPr>
    </w:p>
    <w:p w14:paraId="11CCCEC9" w14:textId="77777777" w:rsidR="0072423A" w:rsidRPr="00405303" w:rsidRDefault="0072423A" w:rsidP="00C15251">
      <w:pPr>
        <w:jc w:val="both"/>
        <w:rPr>
          <w:bCs/>
          <w:color w:val="002060"/>
          <w:sz w:val="16"/>
          <w:szCs w:val="16"/>
        </w:rPr>
      </w:pPr>
      <w:r w:rsidRPr="00405303">
        <w:rPr>
          <w:bCs/>
          <w:color w:val="002060"/>
          <w:sz w:val="16"/>
          <w:szCs w:val="16"/>
        </w:rPr>
        <w:t>В середине февраля 1915 г. Ставка определяла потреб</w:t>
      </w:r>
      <w:r w:rsidRPr="00405303">
        <w:rPr>
          <w:bCs/>
          <w:color w:val="002060"/>
          <w:sz w:val="16"/>
          <w:szCs w:val="16"/>
        </w:rPr>
        <w:softHyphen/>
        <w:t>ность фронта в размере 1 млн ружей немедленно, единов</w:t>
      </w:r>
      <w:r w:rsidRPr="00405303">
        <w:rPr>
          <w:bCs/>
          <w:color w:val="002060"/>
          <w:sz w:val="16"/>
          <w:szCs w:val="16"/>
        </w:rPr>
        <w:softHyphen/>
        <w:t>ременно и затем по 100 тысяч ежемесячно. 23 мая 1915 г. ежемесячная потребность была установлена уже в 200 ты</w:t>
      </w:r>
      <w:r w:rsidRPr="00405303">
        <w:rPr>
          <w:bCs/>
          <w:color w:val="002060"/>
          <w:sz w:val="16"/>
          <w:szCs w:val="16"/>
        </w:rPr>
        <w:softHyphen/>
        <w:t>сяч, то есть 2,4 млн в год, и на этом уровне исчислялась и далее. Как заявило в Думе 30 марта 1916 г. Военное мини</w:t>
      </w:r>
      <w:r w:rsidRPr="00405303">
        <w:rPr>
          <w:bCs/>
          <w:color w:val="002060"/>
          <w:sz w:val="16"/>
          <w:szCs w:val="16"/>
        </w:rPr>
        <w:softHyphen/>
        <w:t xml:space="preserve">стерство, необходимо «придерживаться уже выяснившейся на основании опыта текущей войны потребности в выпуске ежемесячно по 200 тысяч винтовок» (Там же. Оп. 2. Д. 1733. Л. 10; Ф. 29. Оп. 3. Д. 731. Л. 97; Ф. 1. </w:t>
      </w:r>
      <w:r w:rsidRPr="00405303">
        <w:rPr>
          <w:bCs/>
          <w:color w:val="002060"/>
          <w:sz w:val="16"/>
          <w:szCs w:val="16"/>
          <w:lang w:val="en-US" w:bidi="en-US"/>
        </w:rPr>
        <w:t>On</w:t>
      </w:r>
      <w:r w:rsidRPr="00405303">
        <w:rPr>
          <w:bCs/>
          <w:color w:val="002060"/>
          <w:sz w:val="16"/>
          <w:szCs w:val="16"/>
          <w:lang w:bidi="en-US"/>
        </w:rPr>
        <w:t xml:space="preserve">. </w:t>
      </w:r>
      <w:r w:rsidRPr="00405303">
        <w:rPr>
          <w:bCs/>
          <w:color w:val="002060"/>
          <w:sz w:val="16"/>
          <w:szCs w:val="16"/>
        </w:rPr>
        <w:t>1. Т. 46. Д. 1125. Л. 76.) (23452).</w:t>
      </w:r>
    </w:p>
    <w:p w14:paraId="7925A0C6" w14:textId="77777777" w:rsidR="0072423A" w:rsidRPr="00405303" w:rsidRDefault="0072423A" w:rsidP="00C15251">
      <w:pPr>
        <w:jc w:val="both"/>
        <w:rPr>
          <w:bCs/>
          <w:color w:val="002060"/>
          <w:sz w:val="16"/>
          <w:szCs w:val="16"/>
        </w:rPr>
      </w:pPr>
    </w:p>
    <w:p w14:paraId="1129C57B" w14:textId="77777777" w:rsidR="006603C8" w:rsidRPr="00405303" w:rsidRDefault="006603C8" w:rsidP="006603C8">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0A89A72D" w14:textId="77777777" w:rsidR="006603C8" w:rsidRPr="00405303" w:rsidRDefault="006603C8" w:rsidP="006603C8">
      <w:pPr>
        <w:pStyle w:val="a3"/>
        <w:jc w:val="both"/>
        <w:rPr>
          <w:bCs/>
          <w:color w:val="002060"/>
          <w:spacing w:val="0"/>
          <w:kern w:val="0"/>
          <w:position w:val="0"/>
          <w:sz w:val="16"/>
          <w:szCs w:val="16"/>
        </w:rPr>
      </w:pPr>
    </w:p>
    <w:p w14:paraId="0670E223" w14:textId="77777777" w:rsidR="006603C8" w:rsidRPr="00405303" w:rsidRDefault="006603C8" w:rsidP="006603C8">
      <w:pPr>
        <w:jc w:val="both"/>
        <w:rPr>
          <w:color w:val="0070C0"/>
          <w:sz w:val="16"/>
          <w:szCs w:val="16"/>
        </w:rPr>
      </w:pPr>
      <w:r w:rsidRPr="00405303">
        <w:rPr>
          <w:color w:val="0070C0"/>
          <w:sz w:val="16"/>
          <w:szCs w:val="16"/>
        </w:rPr>
        <w:t>В середине февраля 1915 г. в одном из полетов поручик Ефграф Крутень и наблюдатель Александр Чехутов вылетели на разведку района Сохачев-Неборов-Гермново. Позже Чехутов докладывал: «Пролетев Болилов, я заметил неприятельский аэроплан системы «Таубе». Он поднимался со стороны Неборова. Когда он был под нами в 500-600 метрах, я открыл огонь из винтовки, сделал 4 выстрела, после этого он стал удаляться в направлении на Лович» (25147).</w:t>
      </w:r>
    </w:p>
    <w:p w14:paraId="33A012B6" w14:textId="77777777" w:rsidR="006603C8" w:rsidRPr="00405303" w:rsidRDefault="006603C8" w:rsidP="006603C8">
      <w:pPr>
        <w:jc w:val="both"/>
        <w:rPr>
          <w:color w:val="0070C0"/>
          <w:sz w:val="16"/>
          <w:szCs w:val="16"/>
        </w:rPr>
      </w:pPr>
    </w:p>
    <w:p w14:paraId="13647180" w14:textId="32E1C2AC"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0F62F679" w14:textId="77777777" w:rsidR="004B4E35" w:rsidRPr="00405303" w:rsidRDefault="004B4E35" w:rsidP="00C15251">
      <w:pPr>
        <w:pStyle w:val="a3"/>
        <w:jc w:val="both"/>
        <w:rPr>
          <w:bCs/>
          <w:color w:val="002060"/>
          <w:spacing w:val="0"/>
          <w:kern w:val="0"/>
          <w:position w:val="0"/>
          <w:sz w:val="16"/>
          <w:szCs w:val="16"/>
        </w:rPr>
      </w:pPr>
    </w:p>
    <w:p w14:paraId="36F81E3B" w14:textId="72B1E405" w:rsidR="004B4E35" w:rsidRPr="00405303" w:rsidRDefault="009E6F82" w:rsidP="00C15251">
      <w:pPr>
        <w:jc w:val="both"/>
        <w:rPr>
          <w:bCs/>
          <w:color w:val="002060"/>
          <w:sz w:val="16"/>
          <w:szCs w:val="16"/>
        </w:rPr>
      </w:pPr>
      <w:r w:rsidRPr="00405303">
        <w:rPr>
          <w:bCs/>
          <w:color w:val="002060"/>
          <w:sz w:val="16"/>
          <w:szCs w:val="16"/>
        </w:rPr>
        <w:t xml:space="preserve">16 февраля </w:t>
      </w:r>
      <w:r w:rsidR="007C46B4" w:rsidRPr="00405303">
        <w:rPr>
          <w:bCs/>
          <w:color w:val="002060"/>
          <w:sz w:val="16"/>
          <w:szCs w:val="16"/>
        </w:rPr>
        <w:t xml:space="preserve">(1 марта) </w:t>
      </w:r>
      <w:r w:rsidRPr="00405303">
        <w:rPr>
          <w:bCs/>
          <w:color w:val="002060"/>
          <w:sz w:val="16"/>
          <w:szCs w:val="16"/>
        </w:rPr>
        <w:t xml:space="preserve">1915 года </w:t>
      </w:r>
      <w:r w:rsidR="007C46B4" w:rsidRPr="00405303">
        <w:rPr>
          <w:bCs/>
          <w:color w:val="002060"/>
          <w:sz w:val="16"/>
          <w:szCs w:val="16"/>
        </w:rPr>
        <w:t xml:space="preserve">злополучный аэроплан ИМ № 135, который 25 ноября Руднев за 5 часов перегнал из Белостока во Львов, </w:t>
      </w:r>
      <w:r w:rsidRPr="00405303">
        <w:rPr>
          <w:bCs/>
          <w:color w:val="002060"/>
          <w:sz w:val="16"/>
          <w:szCs w:val="16"/>
        </w:rPr>
        <w:t>был доставлен по железной дороге в Яблонну, где был вновь собран и отрегулирован, а моторы разобраны и прочищены.</w:t>
      </w:r>
    </w:p>
    <w:p w14:paraId="67AC8AC2" w14:textId="77777777" w:rsidR="004B4E35" w:rsidRPr="00405303" w:rsidRDefault="009E6F82" w:rsidP="00C15251">
      <w:pPr>
        <w:jc w:val="both"/>
        <w:rPr>
          <w:bCs/>
          <w:color w:val="002060"/>
          <w:sz w:val="16"/>
          <w:szCs w:val="16"/>
        </w:rPr>
      </w:pPr>
      <w:r w:rsidRPr="00405303">
        <w:rPr>
          <w:bCs/>
          <w:color w:val="002060"/>
          <w:sz w:val="16"/>
          <w:szCs w:val="16"/>
        </w:rPr>
        <w:t>Семимесячная служба корабля, перелет Пе- трограл-Белосток-Лыюв и ряд перенесённых аварий снизили аэродинамические качества машины. Наружный осмотр показал, что поверхности сильно деформировались, лакировка во многих местах облезла, многие нервюры поломаны, обшивка обвисла и местами порвана (12041).</w:t>
      </w:r>
    </w:p>
    <w:p w14:paraId="61541FB2" w14:textId="77777777" w:rsidR="004B4E35" w:rsidRPr="00405303" w:rsidRDefault="004B4E35" w:rsidP="00C15251">
      <w:pPr>
        <w:jc w:val="both"/>
        <w:rPr>
          <w:bCs/>
          <w:color w:val="002060"/>
          <w:sz w:val="16"/>
          <w:szCs w:val="16"/>
        </w:rPr>
      </w:pPr>
    </w:p>
    <w:p w14:paraId="532FBD29" w14:textId="4B7FC7D5" w:rsidR="0072423A" w:rsidRPr="00405303" w:rsidRDefault="0072423A" w:rsidP="00C15251">
      <w:pPr>
        <w:jc w:val="both"/>
        <w:rPr>
          <w:bCs/>
          <w:color w:val="002060"/>
          <w:sz w:val="16"/>
          <w:szCs w:val="16"/>
        </w:rPr>
      </w:pPr>
      <w:r w:rsidRPr="00405303">
        <w:rPr>
          <w:bCs/>
          <w:color w:val="002060"/>
          <w:sz w:val="16"/>
          <w:szCs w:val="16"/>
        </w:rPr>
        <w:t>16 февраля (1 марта) 1915</w:t>
      </w:r>
      <w:r w:rsidR="000F5756">
        <w:rPr>
          <w:bCs/>
          <w:color w:val="002060"/>
          <w:sz w:val="16"/>
          <w:szCs w:val="16"/>
        </w:rPr>
        <w:t xml:space="preserve"> </w:t>
      </w:r>
      <w:r w:rsidRPr="00405303">
        <w:rPr>
          <w:bCs/>
          <w:color w:val="002060"/>
          <w:sz w:val="16"/>
          <w:szCs w:val="16"/>
        </w:rPr>
        <w:t>г. противник в течение одного дня потерял сразу два своих летательных аппарата. На Ужокском направлении в Карпатах русские войска подбили германский аэроплан. В плен попали три члена его экипажа, с изъятием большого количества прокламаций и взрывчатых веществ. Также был захвачен сбитый австрийский самолет, направлявшийся из Перемышля в свой глубокий тыл (23405).</w:t>
      </w:r>
    </w:p>
    <w:p w14:paraId="6978BCF0" w14:textId="77777777" w:rsidR="0072423A" w:rsidRPr="00405303" w:rsidRDefault="0072423A" w:rsidP="00C15251">
      <w:pPr>
        <w:jc w:val="both"/>
        <w:rPr>
          <w:bCs/>
          <w:color w:val="002060"/>
          <w:sz w:val="16"/>
          <w:szCs w:val="16"/>
          <w:lang w:bidi="ru-RU"/>
        </w:rPr>
      </w:pPr>
    </w:p>
    <w:p w14:paraId="5721E7F3" w14:textId="45AB8DC2" w:rsidR="00336767" w:rsidRPr="00405303" w:rsidRDefault="00336767" w:rsidP="00C15251">
      <w:pPr>
        <w:jc w:val="both"/>
        <w:rPr>
          <w:bCs/>
          <w:i/>
          <w:color w:val="002060"/>
          <w:sz w:val="16"/>
          <w:szCs w:val="16"/>
        </w:rPr>
      </w:pPr>
      <w:r w:rsidRPr="00405303">
        <w:rPr>
          <w:bCs/>
          <w:i/>
          <w:color w:val="002060"/>
          <w:sz w:val="16"/>
          <w:szCs w:val="16"/>
        </w:rPr>
        <w:t>Аэростатостроение:</w:t>
      </w:r>
    </w:p>
    <w:p w14:paraId="4ACC3E1A" w14:textId="77777777" w:rsidR="00336767" w:rsidRPr="00405303" w:rsidRDefault="00336767" w:rsidP="00C15251">
      <w:pPr>
        <w:jc w:val="both"/>
        <w:rPr>
          <w:bCs/>
          <w:i/>
          <w:color w:val="002060"/>
          <w:sz w:val="16"/>
          <w:szCs w:val="16"/>
        </w:rPr>
      </w:pPr>
    </w:p>
    <w:p w14:paraId="4D62EDF6" w14:textId="6ECCA0FA" w:rsidR="00336767" w:rsidRPr="00405303" w:rsidRDefault="00336767" w:rsidP="00C15251">
      <w:pPr>
        <w:jc w:val="both"/>
        <w:rPr>
          <w:bCs/>
          <w:color w:val="002060"/>
          <w:sz w:val="16"/>
          <w:szCs w:val="16"/>
        </w:rPr>
      </w:pPr>
      <w:r w:rsidRPr="00405303">
        <w:rPr>
          <w:rStyle w:val="42"/>
          <w:rFonts w:ascii="Times New Roman" w:hAnsi="Times New Roman" w:cs="Times New Roman"/>
          <w:bCs/>
          <w:color w:val="002060"/>
          <w:w w:val="100"/>
          <w:sz w:val="16"/>
          <w:szCs w:val="16"/>
        </w:rPr>
        <w:t xml:space="preserve">16 февраля </w:t>
      </w:r>
      <w:r w:rsidR="00C517EA" w:rsidRPr="00405303">
        <w:rPr>
          <w:rStyle w:val="42"/>
          <w:rFonts w:ascii="Times New Roman" w:hAnsi="Times New Roman" w:cs="Times New Roman"/>
          <w:bCs/>
          <w:color w:val="002060"/>
          <w:w w:val="100"/>
          <w:sz w:val="16"/>
          <w:szCs w:val="16"/>
        </w:rPr>
        <w:t xml:space="preserve">(1 марта) </w:t>
      </w:r>
      <w:r w:rsidRPr="00405303">
        <w:rPr>
          <w:rStyle w:val="42"/>
          <w:rFonts w:ascii="Times New Roman" w:hAnsi="Times New Roman" w:cs="Times New Roman"/>
          <w:bCs/>
          <w:color w:val="002060"/>
          <w:w w:val="100"/>
          <w:sz w:val="16"/>
          <w:szCs w:val="16"/>
        </w:rPr>
        <w:t>1915 г. после ремонта «Астру» на</w:t>
      </w:r>
      <w:r w:rsidRPr="00405303">
        <w:rPr>
          <w:rStyle w:val="42"/>
          <w:rFonts w:ascii="Times New Roman" w:hAnsi="Times New Roman" w:cs="Times New Roman"/>
          <w:bCs/>
          <w:color w:val="002060"/>
          <w:w w:val="100"/>
          <w:sz w:val="16"/>
          <w:szCs w:val="16"/>
        </w:rPr>
        <w:softHyphen/>
        <w:t>полнили в г. Лиде. К началу марта дирижабль собрали с некоторыми переделками, а 14 марта он выполнил полуторачасовой пробный полёт.</w:t>
      </w:r>
    </w:p>
    <w:p w14:paraId="674FC843" w14:textId="77777777" w:rsidR="00336767" w:rsidRPr="00405303" w:rsidRDefault="00336767" w:rsidP="00C15251">
      <w:pPr>
        <w:jc w:val="both"/>
        <w:rPr>
          <w:bCs/>
          <w:color w:val="002060"/>
          <w:sz w:val="16"/>
          <w:szCs w:val="16"/>
        </w:rPr>
      </w:pPr>
      <w:r w:rsidRPr="00405303">
        <w:rPr>
          <w:rStyle w:val="42"/>
          <w:rFonts w:ascii="Times New Roman" w:hAnsi="Times New Roman" w:cs="Times New Roman"/>
          <w:bCs/>
          <w:color w:val="002060"/>
          <w:w w:val="100"/>
          <w:sz w:val="16"/>
          <w:szCs w:val="16"/>
        </w:rPr>
        <w:t>27 марта в командование дирижаблем вступил Р.Л. Нижевский. Он провёл технические испыта</w:t>
      </w:r>
      <w:r w:rsidRPr="00405303">
        <w:rPr>
          <w:rStyle w:val="42"/>
          <w:rFonts w:ascii="Times New Roman" w:hAnsi="Times New Roman" w:cs="Times New Roman"/>
          <w:bCs/>
          <w:color w:val="002060"/>
          <w:w w:val="100"/>
          <w:sz w:val="16"/>
          <w:szCs w:val="16"/>
        </w:rPr>
        <w:softHyphen/>
        <w:t>ния дирижабля, которые показали, что его наи</w:t>
      </w:r>
      <w:r w:rsidRPr="00405303">
        <w:rPr>
          <w:rStyle w:val="42"/>
          <w:rFonts w:ascii="Times New Roman" w:hAnsi="Times New Roman" w:cs="Times New Roman"/>
          <w:bCs/>
          <w:color w:val="002060"/>
          <w:w w:val="100"/>
          <w:sz w:val="16"/>
          <w:szCs w:val="16"/>
        </w:rPr>
        <w:softHyphen/>
        <w:t>большая скорость составляет 12,5 м/с, а наиболь</w:t>
      </w:r>
      <w:r w:rsidRPr="00405303">
        <w:rPr>
          <w:rStyle w:val="42"/>
          <w:rFonts w:ascii="Times New Roman" w:hAnsi="Times New Roman" w:cs="Times New Roman"/>
          <w:bCs/>
          <w:color w:val="002060"/>
          <w:w w:val="100"/>
          <w:sz w:val="16"/>
          <w:szCs w:val="16"/>
        </w:rPr>
        <w:softHyphen/>
        <w:t>шая высота полёта до сбрасывания бомб не более 1500 м. Масса бомб, пулемёта и патронов состав</w:t>
      </w:r>
      <w:r w:rsidRPr="00405303">
        <w:rPr>
          <w:rStyle w:val="42"/>
          <w:rFonts w:ascii="Times New Roman" w:hAnsi="Times New Roman" w:cs="Times New Roman"/>
          <w:bCs/>
          <w:color w:val="002060"/>
          <w:w w:val="100"/>
          <w:sz w:val="16"/>
          <w:szCs w:val="16"/>
        </w:rPr>
        <w:softHyphen/>
        <w:t>ляла примерно 0,3 т, а балласта — 1,68 т.</w:t>
      </w:r>
    </w:p>
    <w:p w14:paraId="7AC2A0A2" w14:textId="77777777" w:rsidR="00336767" w:rsidRPr="00405303" w:rsidRDefault="00336767" w:rsidP="00C15251">
      <w:pPr>
        <w:jc w:val="both"/>
        <w:rPr>
          <w:bCs/>
          <w:color w:val="002060"/>
          <w:sz w:val="16"/>
          <w:szCs w:val="16"/>
        </w:rPr>
      </w:pPr>
      <w:r w:rsidRPr="00405303">
        <w:rPr>
          <w:rStyle w:val="42"/>
          <w:rFonts w:ascii="Times New Roman" w:hAnsi="Times New Roman" w:cs="Times New Roman"/>
          <w:bCs/>
          <w:color w:val="002060"/>
          <w:w w:val="100"/>
          <w:sz w:val="16"/>
          <w:szCs w:val="16"/>
        </w:rPr>
        <w:t>После нескольких испытательных полётов «Астра» вновь получила приказ перелететь в Бе</w:t>
      </w:r>
      <w:r w:rsidRPr="00405303">
        <w:rPr>
          <w:rStyle w:val="42"/>
          <w:rFonts w:ascii="Times New Roman" w:hAnsi="Times New Roman" w:cs="Times New Roman"/>
          <w:bCs/>
          <w:color w:val="002060"/>
          <w:w w:val="100"/>
          <w:sz w:val="16"/>
          <w:szCs w:val="16"/>
        </w:rPr>
        <w:softHyphen/>
        <w:t>лосток (20120).</w:t>
      </w:r>
    </w:p>
    <w:p w14:paraId="17994F14" w14:textId="77777777" w:rsidR="00336767" w:rsidRPr="00405303" w:rsidRDefault="00336767" w:rsidP="00C15251">
      <w:pPr>
        <w:jc w:val="both"/>
        <w:rPr>
          <w:bCs/>
          <w:color w:val="002060"/>
          <w:sz w:val="16"/>
          <w:szCs w:val="16"/>
        </w:rPr>
      </w:pPr>
    </w:p>
    <w:p w14:paraId="21502CC7" w14:textId="77777777" w:rsidR="00E933EE" w:rsidRPr="00405303" w:rsidRDefault="00E933EE" w:rsidP="00C15251">
      <w:pPr>
        <w:jc w:val="both"/>
        <w:rPr>
          <w:bCs/>
          <w:i/>
          <w:color w:val="002060"/>
          <w:sz w:val="16"/>
          <w:szCs w:val="16"/>
        </w:rPr>
      </w:pPr>
      <w:r w:rsidRPr="00405303">
        <w:rPr>
          <w:bCs/>
          <w:i/>
          <w:color w:val="002060"/>
          <w:sz w:val="16"/>
          <w:szCs w:val="16"/>
        </w:rPr>
        <w:t>Другие оборонные отрасли:</w:t>
      </w:r>
    </w:p>
    <w:p w14:paraId="1BD289B7" w14:textId="77777777" w:rsidR="00E933EE" w:rsidRPr="00405303" w:rsidRDefault="00E933EE" w:rsidP="00C15251">
      <w:pPr>
        <w:jc w:val="both"/>
        <w:rPr>
          <w:bCs/>
          <w:i/>
          <w:color w:val="002060"/>
          <w:sz w:val="16"/>
          <w:szCs w:val="16"/>
        </w:rPr>
      </w:pPr>
    </w:p>
    <w:p w14:paraId="76F9E687" w14:textId="10F7850D" w:rsidR="00E933EE" w:rsidRPr="00405303" w:rsidRDefault="00E933EE" w:rsidP="00C15251">
      <w:pPr>
        <w:pStyle w:val="p1"/>
        <w:spacing w:before="0" w:beforeAutospacing="0" w:after="0" w:afterAutospacing="0"/>
        <w:jc w:val="both"/>
        <w:rPr>
          <w:bCs/>
          <w:color w:val="002060"/>
          <w:sz w:val="16"/>
          <w:szCs w:val="16"/>
        </w:rPr>
      </w:pPr>
      <w:r w:rsidRPr="00405303">
        <w:rPr>
          <w:bCs/>
          <w:color w:val="002060"/>
          <w:sz w:val="16"/>
          <w:szCs w:val="16"/>
        </w:rPr>
        <w:t xml:space="preserve">17 февраля </w:t>
      </w:r>
      <w:r w:rsidR="00C517EA" w:rsidRPr="00405303">
        <w:rPr>
          <w:bCs/>
          <w:color w:val="002060"/>
          <w:sz w:val="16"/>
          <w:szCs w:val="16"/>
        </w:rPr>
        <w:t xml:space="preserve">(2 марта) </w:t>
      </w:r>
      <w:r w:rsidRPr="00405303">
        <w:rPr>
          <w:bCs/>
          <w:color w:val="002060"/>
          <w:sz w:val="16"/>
          <w:szCs w:val="16"/>
        </w:rPr>
        <w:t xml:space="preserve">1915 </w:t>
      </w:r>
      <w:r w:rsidR="00C517EA" w:rsidRPr="00405303">
        <w:rPr>
          <w:bCs/>
          <w:color w:val="002060"/>
          <w:sz w:val="16"/>
          <w:szCs w:val="16"/>
        </w:rPr>
        <w:t xml:space="preserve">г. </w:t>
      </w:r>
      <w:r w:rsidRPr="00405303">
        <w:rPr>
          <w:bCs/>
          <w:color w:val="002060"/>
          <w:sz w:val="16"/>
          <w:szCs w:val="16"/>
        </w:rPr>
        <w:t>начальник Канцелярии Военного министерства Лукомский доложил помощнику министра Вернандеру, что возникло «недоразумение», поскольку вопрос не решен окончательно и «подлежит еще обсуждению в Совете министров, между тем, как видно из настоящего заявления, обществом приняты уже меры по оборудованию». Вернандер приказал «сегодня же поставить правление [РАОАЗ] в надлежащую позицию».</w:t>
      </w:r>
    </w:p>
    <w:p w14:paraId="6C0DB9F5" w14:textId="77777777" w:rsidR="00E933EE" w:rsidRPr="00405303" w:rsidRDefault="00E933EE" w:rsidP="00C15251">
      <w:pPr>
        <w:pStyle w:val="p1"/>
        <w:spacing w:before="0" w:beforeAutospacing="0" w:after="0" w:afterAutospacing="0"/>
        <w:jc w:val="both"/>
        <w:rPr>
          <w:bCs/>
          <w:color w:val="002060"/>
          <w:sz w:val="16"/>
          <w:szCs w:val="16"/>
        </w:rPr>
      </w:pPr>
      <w:r w:rsidRPr="00405303">
        <w:rPr>
          <w:bCs/>
          <w:color w:val="002060"/>
          <w:sz w:val="16"/>
          <w:szCs w:val="16"/>
        </w:rPr>
        <w:t>Члены правления РАОАЗ посетили ГАУ, где начальник хозяйственного отдела Е.К. Смысловский, зная, что великий князь Сергей Михайлович не допустит положительного исхода дела, подтвердил им, что «вопрос… нельзя считать еще предрешенным», и даже «все данные за то, что заказ им дан не будет». Тогда представители РАОАЗ побывали у Сухомлинова, и тот на заседании Совета министров 6 марта попросил управляющего делами И.Н. Лодыженского принять и выслушать представителя РАОАЗ П.И. Балинского, чтобы устранить «недоразумение». Ни беседа с Лодыженским (ей предшествовал телефонный звонок ему от великого князя Сергея Михайловича: Балинский «доверия не внушает», с ним надо держать себя осторожно, ни визит Балинского к председателю Совета министров И.Л. Горемыкину не дали результата (18409).</w:t>
      </w:r>
    </w:p>
    <w:p w14:paraId="65A3E204" w14:textId="77777777" w:rsidR="00E933EE" w:rsidRPr="00405303" w:rsidRDefault="00E933EE" w:rsidP="00C15251">
      <w:pPr>
        <w:pStyle w:val="p1"/>
        <w:spacing w:before="0" w:beforeAutospacing="0" w:after="0" w:afterAutospacing="0"/>
        <w:jc w:val="both"/>
        <w:rPr>
          <w:bCs/>
          <w:color w:val="002060"/>
          <w:sz w:val="16"/>
          <w:szCs w:val="16"/>
        </w:rPr>
      </w:pPr>
    </w:p>
    <w:p w14:paraId="5B229096"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5811C23A" w14:textId="77777777" w:rsidR="004B4E35" w:rsidRPr="00405303" w:rsidRDefault="004B4E35" w:rsidP="00C15251">
      <w:pPr>
        <w:pStyle w:val="a3"/>
        <w:jc w:val="both"/>
        <w:rPr>
          <w:bCs/>
          <w:color w:val="002060"/>
          <w:spacing w:val="0"/>
          <w:kern w:val="0"/>
          <w:position w:val="0"/>
          <w:sz w:val="16"/>
          <w:szCs w:val="16"/>
        </w:rPr>
      </w:pPr>
    </w:p>
    <w:p w14:paraId="3C550EF3" w14:textId="236ED096" w:rsidR="004B4E35" w:rsidRPr="00405303" w:rsidRDefault="009E6F82" w:rsidP="00C15251">
      <w:pPr>
        <w:jc w:val="both"/>
        <w:rPr>
          <w:bCs/>
          <w:color w:val="002060"/>
          <w:sz w:val="16"/>
          <w:szCs w:val="16"/>
        </w:rPr>
      </w:pPr>
      <w:r w:rsidRPr="00405303">
        <w:rPr>
          <w:bCs/>
          <w:color w:val="002060"/>
          <w:sz w:val="16"/>
          <w:szCs w:val="16"/>
        </w:rPr>
        <w:t xml:space="preserve">17 февраля (2 марта) 1915 года </w:t>
      </w:r>
      <w:r w:rsidR="00C517EA" w:rsidRPr="00405303">
        <w:rPr>
          <w:bCs/>
          <w:color w:val="002060"/>
          <w:sz w:val="16"/>
          <w:szCs w:val="16"/>
        </w:rPr>
        <w:t xml:space="preserve">специальное положение </w:t>
      </w:r>
      <w:r w:rsidRPr="00405303">
        <w:rPr>
          <w:bCs/>
          <w:color w:val="002060"/>
          <w:sz w:val="16"/>
          <w:szCs w:val="16"/>
        </w:rPr>
        <w:t>предоставило командующим войсками военных округов право запрещать по согласованию с местными губернаторами вывоз за пределы производящих губерний нужных для армии припасов, устанавливать на них цены, реквизировать продовольственные и фуражные продукты в случае уклонения их владельцев от реализации (Кондратьев Н.Д. Рынок хлебов и его регулирование во время войны и революции. М.: Изд-во Наркомзёма «Новая деревня», 1922. С. 102—105.).</w:t>
      </w:r>
    </w:p>
    <w:p w14:paraId="262B5EFD" w14:textId="77777777" w:rsidR="004B4E35" w:rsidRPr="00405303" w:rsidRDefault="009E6F82" w:rsidP="00C15251">
      <w:pPr>
        <w:jc w:val="both"/>
        <w:rPr>
          <w:bCs/>
          <w:color w:val="002060"/>
          <w:sz w:val="16"/>
          <w:szCs w:val="16"/>
        </w:rPr>
      </w:pPr>
      <w:r w:rsidRPr="00405303">
        <w:rPr>
          <w:bCs/>
          <w:color w:val="002060"/>
          <w:sz w:val="16"/>
          <w:szCs w:val="16"/>
        </w:rPr>
        <w:t>Военные не преминули воспользоваться этим правом. Чтобы обеспечить интендантствам возможность закупки сельскохозяйственных товаров по низким ценам в условиях набирающей силу инфляции и обесценивания денег, было запрещено вывозить зерно из хлебных губерний, скот и мясо — из скотоводческих районов, лен — из районов льноводства, овес — из тех районов, где его возделывали. Позднее, в 1915—1916 гг., на эти и некоторые другие товары установили твердые цены, которые возникли первоначально в форме местных такс, а затем превратились в общероссийские (11177).</w:t>
      </w:r>
    </w:p>
    <w:p w14:paraId="68E7DA29" w14:textId="77777777" w:rsidR="004B4E35" w:rsidRPr="00405303" w:rsidRDefault="004B4E35" w:rsidP="00C15251">
      <w:pPr>
        <w:jc w:val="both"/>
        <w:rPr>
          <w:bCs/>
          <w:color w:val="002060"/>
          <w:sz w:val="16"/>
          <w:szCs w:val="16"/>
        </w:rPr>
      </w:pPr>
    </w:p>
    <w:p w14:paraId="21A95753" w14:textId="77777777" w:rsidR="00E933EE" w:rsidRPr="00405303" w:rsidRDefault="00E933EE" w:rsidP="00C15251">
      <w:pPr>
        <w:jc w:val="both"/>
        <w:rPr>
          <w:bCs/>
          <w:i/>
          <w:color w:val="002060"/>
          <w:sz w:val="16"/>
          <w:szCs w:val="16"/>
        </w:rPr>
      </w:pPr>
      <w:r w:rsidRPr="00405303">
        <w:rPr>
          <w:bCs/>
          <w:i/>
          <w:color w:val="002060"/>
          <w:sz w:val="16"/>
          <w:szCs w:val="16"/>
        </w:rPr>
        <w:t>Армия:</w:t>
      </w:r>
    </w:p>
    <w:p w14:paraId="7887CB5D" w14:textId="77777777" w:rsidR="00E933EE" w:rsidRPr="00405303" w:rsidRDefault="00E933EE" w:rsidP="00C15251">
      <w:pPr>
        <w:jc w:val="both"/>
        <w:rPr>
          <w:bCs/>
          <w:i/>
          <w:color w:val="002060"/>
          <w:sz w:val="16"/>
          <w:szCs w:val="16"/>
        </w:rPr>
      </w:pPr>
    </w:p>
    <w:p w14:paraId="0C91A22E" w14:textId="6C781D0E" w:rsidR="00E933EE" w:rsidRPr="00405303" w:rsidRDefault="00E933EE" w:rsidP="00C15251">
      <w:pPr>
        <w:jc w:val="both"/>
        <w:rPr>
          <w:bCs/>
          <w:color w:val="002060"/>
          <w:sz w:val="16"/>
          <w:szCs w:val="16"/>
        </w:rPr>
      </w:pPr>
      <w:r w:rsidRPr="00405303">
        <w:rPr>
          <w:bCs/>
          <w:color w:val="002060"/>
          <w:sz w:val="16"/>
          <w:szCs w:val="16"/>
        </w:rPr>
        <w:t xml:space="preserve">17 февраля </w:t>
      </w:r>
      <w:r w:rsidR="00C517EA" w:rsidRPr="00405303">
        <w:rPr>
          <w:bCs/>
          <w:color w:val="002060"/>
          <w:sz w:val="16"/>
          <w:szCs w:val="16"/>
        </w:rPr>
        <w:t xml:space="preserve">(2 марта) </w:t>
      </w:r>
      <w:r w:rsidRPr="00405303">
        <w:rPr>
          <w:bCs/>
          <w:color w:val="002060"/>
          <w:sz w:val="16"/>
          <w:szCs w:val="16"/>
        </w:rPr>
        <w:t>в 1915 году части 10-й германской армии взяли Мемель. Австрийские войска генерала Пфланцера взяли Черновцы (15043).</w:t>
      </w:r>
    </w:p>
    <w:p w14:paraId="4A0767B2" w14:textId="77777777" w:rsidR="00E933EE" w:rsidRPr="00405303" w:rsidRDefault="00E933EE" w:rsidP="00C15251">
      <w:pPr>
        <w:jc w:val="both"/>
        <w:rPr>
          <w:bCs/>
          <w:color w:val="002060"/>
          <w:sz w:val="16"/>
          <w:szCs w:val="16"/>
        </w:rPr>
      </w:pPr>
    </w:p>
    <w:p w14:paraId="1921FF38"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4848BBDE" w14:textId="77777777" w:rsidR="004B4E35" w:rsidRPr="00405303" w:rsidRDefault="004B4E35" w:rsidP="00C15251">
      <w:pPr>
        <w:jc w:val="both"/>
        <w:rPr>
          <w:bCs/>
          <w:i/>
          <w:color w:val="002060"/>
          <w:sz w:val="16"/>
          <w:szCs w:val="16"/>
        </w:rPr>
      </w:pPr>
    </w:p>
    <w:p w14:paraId="2CDED94D" w14:textId="31354261" w:rsidR="004B4E35" w:rsidRPr="00405303" w:rsidRDefault="009E6F82" w:rsidP="00C15251">
      <w:pPr>
        <w:jc w:val="both"/>
        <w:rPr>
          <w:bCs/>
          <w:color w:val="002060"/>
          <w:sz w:val="16"/>
          <w:szCs w:val="16"/>
        </w:rPr>
      </w:pPr>
      <w:r w:rsidRPr="00405303">
        <w:rPr>
          <w:bCs/>
          <w:color w:val="002060"/>
          <w:sz w:val="16"/>
          <w:szCs w:val="16"/>
        </w:rPr>
        <w:t xml:space="preserve">18 февраля </w:t>
      </w:r>
      <w:r w:rsidR="009D37E3" w:rsidRPr="00405303">
        <w:rPr>
          <w:bCs/>
          <w:color w:val="002060"/>
          <w:sz w:val="16"/>
          <w:szCs w:val="16"/>
        </w:rPr>
        <w:t xml:space="preserve">(3 марта) </w:t>
      </w:r>
      <w:r w:rsidRPr="00405303">
        <w:rPr>
          <w:bCs/>
          <w:color w:val="002060"/>
          <w:sz w:val="16"/>
          <w:szCs w:val="16"/>
        </w:rPr>
        <w:t>1915</w:t>
      </w:r>
      <w:r w:rsidR="009D37E3" w:rsidRPr="00405303">
        <w:rPr>
          <w:bCs/>
          <w:color w:val="002060"/>
          <w:sz w:val="16"/>
          <w:szCs w:val="16"/>
        </w:rPr>
        <w:t xml:space="preserve"> </w:t>
      </w:r>
      <w:r w:rsidRPr="00405303">
        <w:rPr>
          <w:bCs/>
          <w:color w:val="002060"/>
          <w:sz w:val="16"/>
          <w:szCs w:val="16"/>
        </w:rPr>
        <w:t>г. в Ставку Верховного Главнокомандующего поступила телеграмма, где говорилось: «Что расчеты на получение аппаратов и моторов из-за границы не оправдались, и когда будут получены неизвестно». В телеграмме испрашивалось разрешение по заказу новых самолетов и моторов на отечественных заводах. В связи с этим военное ведомство дополнительно заказало на рижском заводе «Мотор» еще 30 моторов, а на заводе «Гном и Рон» в Москве – 40. Так, неумение царского правительства распорядиться творческими силами отечественных конструкторов и имеющихся, пусть небольшого числа, заводов поставило в военные годы русский воздушный флот в тяжелейшее положение. А ведь еще в апреле 1913г. комиссия Главного инженерного управления, обследовавшая производственные мощности завода «Мотор», пришла к выводу, что этот рижский завод способен выпускать в год более 500 авиационных двигателей, что вполне обеспечило бы нужды авиации России. Не были использованы и производственные мощности крупнейшего рижского завода РБВЗ, где проводились работы по изготовлению двигателей водяного охлаждения мощностью до 166 л.с. типа РБВЗ-6 («Аргус») (11698).</w:t>
      </w:r>
    </w:p>
    <w:p w14:paraId="7C432387" w14:textId="77777777" w:rsidR="004B4E35" w:rsidRPr="00405303" w:rsidRDefault="004B4E35" w:rsidP="00C15251">
      <w:pPr>
        <w:jc w:val="both"/>
        <w:rPr>
          <w:bCs/>
          <w:color w:val="002060"/>
          <w:sz w:val="16"/>
          <w:szCs w:val="16"/>
        </w:rPr>
      </w:pPr>
    </w:p>
    <w:p w14:paraId="36B6F9F7"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24A03F64" w14:textId="77777777" w:rsidR="004B4E35" w:rsidRPr="00405303" w:rsidRDefault="004B4E35" w:rsidP="00C15251">
      <w:pPr>
        <w:jc w:val="both"/>
        <w:rPr>
          <w:bCs/>
          <w:i/>
          <w:color w:val="002060"/>
          <w:sz w:val="16"/>
          <w:szCs w:val="16"/>
        </w:rPr>
      </w:pPr>
    </w:p>
    <w:p w14:paraId="32AC9DD2" w14:textId="6F50E3E6" w:rsidR="00E933EE" w:rsidRPr="00405303" w:rsidRDefault="00E933EE" w:rsidP="00C15251">
      <w:pPr>
        <w:pStyle w:val="p1"/>
        <w:spacing w:before="0" w:beforeAutospacing="0" w:after="0" w:afterAutospacing="0"/>
        <w:jc w:val="both"/>
        <w:rPr>
          <w:bCs/>
          <w:color w:val="002060"/>
          <w:sz w:val="16"/>
          <w:szCs w:val="16"/>
        </w:rPr>
      </w:pPr>
      <w:r w:rsidRPr="00405303">
        <w:rPr>
          <w:bCs/>
          <w:color w:val="002060"/>
          <w:sz w:val="16"/>
          <w:szCs w:val="16"/>
        </w:rPr>
        <w:t xml:space="preserve">18 февраля </w:t>
      </w:r>
      <w:r w:rsidR="009D37E3" w:rsidRPr="00405303">
        <w:rPr>
          <w:bCs/>
          <w:color w:val="002060"/>
          <w:sz w:val="16"/>
          <w:szCs w:val="16"/>
        </w:rPr>
        <w:t xml:space="preserve">(3 марта) </w:t>
      </w:r>
      <w:r w:rsidRPr="00405303">
        <w:rPr>
          <w:bCs/>
          <w:color w:val="002060"/>
          <w:sz w:val="16"/>
          <w:szCs w:val="16"/>
        </w:rPr>
        <w:t>1915 г. на совещании у великого князя Сергея Михайловича по вопросу об увеличении выпуска трубок Волосатов указал на задержки при расширении заводов, вызываемые обязательным для них представлением на утверждение ГАУ планов, проектов, и 20 февраля «верховный артиллерист» «сделал распоряжение по телеграфу об отмене этих формальностей».</w:t>
      </w:r>
    </w:p>
    <w:p w14:paraId="232F4780" w14:textId="77777777" w:rsidR="00E933EE" w:rsidRPr="00405303" w:rsidRDefault="00E933EE" w:rsidP="00C15251">
      <w:pPr>
        <w:pStyle w:val="p1"/>
        <w:spacing w:before="0" w:beforeAutospacing="0" w:after="0" w:afterAutospacing="0"/>
        <w:jc w:val="both"/>
        <w:rPr>
          <w:bCs/>
          <w:color w:val="002060"/>
          <w:sz w:val="16"/>
          <w:szCs w:val="16"/>
        </w:rPr>
      </w:pPr>
      <w:r w:rsidRPr="00405303">
        <w:rPr>
          <w:bCs/>
          <w:color w:val="002060"/>
          <w:sz w:val="16"/>
          <w:szCs w:val="16"/>
        </w:rPr>
        <w:t xml:space="preserve">На это свое распоряжение великий князь Сергей Михайлович ссылался в показаниях по делу Сухомлинова. Как угодливо подчеркивала в своем заключении Верховная следственная комиссия, «благодаря предписанным телеграммою великого князя мерам» завод, «по удостоверению Его Императорского Высочества… значительно расширил свою производительность». В Москве, Риге, на Юге эмиссары великого князя собирали сведения, «где в настоящее время можно найти нужные станки». В результате его директивы реквизиция оборудования на частных заводах приняла характер «бессистемной охоты за станками». «Происходит нечто неописуемое. Идет реквизиционная борьба чиновников с заводами, — восклицал на заседании Московского ВПК 22 июня 1915 г. Ю.И. Поплавский. — Артиллерийское ведомство вместо того, чтобы самому заботиться раньше о себе, отнимает у других, с уже налаженных заводов снимает станки». При этом Поплавский в принципе был не против реквизиции, но смотря против кого она обращена: «Пусть бы обратились в Ригу… в Риге 448 заводов…» (Совет запоздал: там уже орудовали ГАУ и Морское министерство.) Последствия циркуляра оказались настолько вредоносными, что 14 июля Военное министерство было вынуждено другим циркуляром распорядиться об «упорядочении этого дела», с тем чтобы начальники управлений, усмотрев «необходимость где-либо произвести реквизицию станков», прежде сообщали в </w:t>
      </w:r>
      <w:r w:rsidRPr="00405303">
        <w:rPr>
          <w:bCs/>
          <w:color w:val="002060"/>
          <w:sz w:val="16"/>
          <w:szCs w:val="16"/>
        </w:rPr>
        <w:lastRenderedPageBreak/>
        <w:t>комиссию по реквизиции станков при ГАУ. Практической пользы от грозного распоряжения великого князя, по отзывам Маниковского и Залюбовского, не произошло «даже временно» (18409).</w:t>
      </w:r>
    </w:p>
    <w:p w14:paraId="67D6B48B" w14:textId="77777777" w:rsidR="00E933EE" w:rsidRPr="00405303" w:rsidRDefault="00E933EE" w:rsidP="00C15251">
      <w:pPr>
        <w:pStyle w:val="p1"/>
        <w:spacing w:before="0" w:beforeAutospacing="0" w:after="0" w:afterAutospacing="0"/>
        <w:jc w:val="both"/>
        <w:rPr>
          <w:bCs/>
          <w:color w:val="002060"/>
          <w:sz w:val="16"/>
          <w:szCs w:val="16"/>
        </w:rPr>
      </w:pPr>
    </w:p>
    <w:p w14:paraId="257E79E9" w14:textId="2F0F1E42" w:rsidR="0072423A" w:rsidRPr="00405303" w:rsidRDefault="0072423A" w:rsidP="00C15251">
      <w:pPr>
        <w:jc w:val="both"/>
        <w:rPr>
          <w:bCs/>
          <w:color w:val="002060"/>
          <w:sz w:val="16"/>
          <w:szCs w:val="16"/>
        </w:rPr>
      </w:pPr>
      <w:r w:rsidRPr="00405303">
        <w:rPr>
          <w:bCs/>
          <w:color w:val="002060"/>
          <w:sz w:val="16"/>
          <w:szCs w:val="16"/>
        </w:rPr>
        <w:t xml:space="preserve">18 февраля </w:t>
      </w:r>
      <w:r w:rsidR="008A24A3" w:rsidRPr="00405303">
        <w:rPr>
          <w:bCs/>
          <w:color w:val="002060"/>
          <w:sz w:val="16"/>
          <w:szCs w:val="16"/>
        </w:rPr>
        <w:t xml:space="preserve">(3 марта) </w:t>
      </w:r>
      <w:r w:rsidRPr="00405303">
        <w:rPr>
          <w:bCs/>
          <w:color w:val="002060"/>
          <w:sz w:val="16"/>
          <w:szCs w:val="16"/>
        </w:rPr>
        <w:t>1915 г. на совещании у великого кня</w:t>
      </w:r>
      <w:r w:rsidRPr="00405303">
        <w:rPr>
          <w:bCs/>
          <w:color w:val="002060"/>
          <w:sz w:val="16"/>
          <w:szCs w:val="16"/>
        </w:rPr>
        <w:softHyphen/>
        <w:t>зя Сергея Михайловича по вопросу об увеличении выпуска трубок Волосатов указал на задержки при расширении за</w:t>
      </w:r>
      <w:r w:rsidRPr="00405303">
        <w:rPr>
          <w:bCs/>
          <w:color w:val="002060"/>
          <w:sz w:val="16"/>
          <w:szCs w:val="16"/>
        </w:rPr>
        <w:softHyphen/>
        <w:t>водов, вызываемые обязательным для них представлением на утверждение ГАУ планов, проектов, и 20 февраля «вер</w:t>
      </w:r>
      <w:r w:rsidRPr="00405303">
        <w:rPr>
          <w:bCs/>
          <w:color w:val="002060"/>
          <w:sz w:val="16"/>
          <w:szCs w:val="16"/>
        </w:rPr>
        <w:softHyphen/>
        <w:t>ховный артиллерист» «сделал распоряжение по телеграфу об отмене этих формальностей».</w:t>
      </w:r>
    </w:p>
    <w:p w14:paraId="0017B2E5" w14:textId="77777777" w:rsidR="0072423A" w:rsidRPr="00405303" w:rsidRDefault="0072423A"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На это свое распоряжение великий князь Сергей Михай</w:t>
      </w:r>
      <w:r w:rsidRPr="00405303">
        <w:rPr>
          <w:rFonts w:ascii="Times New Roman" w:hAnsi="Times New Roman" w:cs="Times New Roman"/>
          <w:bCs/>
          <w:color w:val="002060"/>
          <w:sz w:val="16"/>
          <w:szCs w:val="16"/>
        </w:rPr>
        <w:softHyphen/>
        <w:t>лович ссылался в показаниях по делу Сухомлинова. Как угод</w:t>
      </w:r>
      <w:r w:rsidRPr="00405303">
        <w:rPr>
          <w:rFonts w:ascii="Times New Roman" w:hAnsi="Times New Roman" w:cs="Times New Roman"/>
          <w:bCs/>
          <w:color w:val="002060"/>
          <w:sz w:val="16"/>
          <w:szCs w:val="16"/>
        </w:rPr>
        <w:softHyphen/>
        <w:t>ливо подчеркивала в своем заключении Верховная следст</w:t>
      </w:r>
      <w:r w:rsidRPr="00405303">
        <w:rPr>
          <w:rFonts w:ascii="Times New Roman" w:hAnsi="Times New Roman" w:cs="Times New Roman"/>
          <w:bCs/>
          <w:color w:val="002060"/>
          <w:sz w:val="16"/>
          <w:szCs w:val="16"/>
        </w:rPr>
        <w:softHyphen/>
        <w:t>венная комиссия, «благодаря предписанным телеграммою великого князя мерам» завод, «по удостоверению Его Импе</w:t>
      </w:r>
      <w:r w:rsidRPr="00405303">
        <w:rPr>
          <w:rFonts w:ascii="Times New Roman" w:hAnsi="Times New Roman" w:cs="Times New Roman"/>
          <w:bCs/>
          <w:color w:val="002060"/>
          <w:sz w:val="16"/>
          <w:szCs w:val="16"/>
        </w:rPr>
        <w:softHyphen/>
        <w:t>раторского Высочества... значительно расширил свою произ</w:t>
      </w:r>
      <w:r w:rsidRPr="00405303">
        <w:rPr>
          <w:rFonts w:ascii="Times New Roman" w:hAnsi="Times New Roman" w:cs="Times New Roman"/>
          <w:bCs/>
          <w:color w:val="002060"/>
          <w:sz w:val="16"/>
          <w:szCs w:val="16"/>
        </w:rPr>
        <w:softHyphen/>
        <w:t>водительность» (Рдултовский В. И. Исторический очерк развития трубок и взрыва</w:t>
      </w:r>
      <w:r w:rsidRPr="00405303">
        <w:rPr>
          <w:rFonts w:ascii="Times New Roman" w:hAnsi="Times New Roman" w:cs="Times New Roman"/>
          <w:bCs/>
          <w:color w:val="002060"/>
          <w:sz w:val="16"/>
          <w:szCs w:val="16"/>
        </w:rPr>
        <w:softHyphen/>
        <w:t>телей. М„ 1940. С. 207; ВПР. С. 723). В Москве, Риге, на Юге эмиссары великого князя собирали сведения, «где в настоящее время можно най</w:t>
      </w:r>
      <w:r w:rsidRPr="00405303">
        <w:rPr>
          <w:rFonts w:ascii="Times New Roman" w:hAnsi="Times New Roman" w:cs="Times New Roman"/>
          <w:bCs/>
          <w:color w:val="002060"/>
          <w:sz w:val="16"/>
          <w:szCs w:val="16"/>
        </w:rPr>
        <w:softHyphen/>
        <w:t>ти нужные станки» (РГВИА. Ф. 962. Оп. 2. Д. 30. Л. 185; Д. 78. Л. 6. С.М. Романов - Сухомлинову, 15 и 19.11.1915). В результате его директивы реквизиция оборудования на частных заводах приняла характер «бессис</w:t>
      </w:r>
      <w:r w:rsidRPr="00405303">
        <w:rPr>
          <w:rFonts w:ascii="Times New Roman" w:hAnsi="Times New Roman" w:cs="Times New Roman"/>
          <w:bCs/>
          <w:color w:val="002060"/>
          <w:sz w:val="16"/>
          <w:szCs w:val="16"/>
        </w:rPr>
        <w:softHyphen/>
        <w:t>темной охоты за станками». «Происходит нечто неописуемое. Идет реквизиционная борьба чиновников с заводами, — вос</w:t>
      </w:r>
      <w:r w:rsidRPr="00405303">
        <w:rPr>
          <w:rFonts w:ascii="Times New Roman" w:hAnsi="Times New Roman" w:cs="Times New Roman"/>
          <w:bCs/>
          <w:color w:val="002060"/>
          <w:sz w:val="16"/>
          <w:szCs w:val="16"/>
        </w:rPr>
        <w:softHyphen/>
        <w:t>клицал на заседании Московского ВПК 22 июня 1915 г. Ю.И. Поплавский. — Артиллерийское ведомство вместо того, чтобы самому заботиться раньше о себе, отнимает у других, с уже налаженных заводов снимает станки». При этом Поплав</w:t>
      </w:r>
      <w:r w:rsidRPr="00405303">
        <w:rPr>
          <w:rFonts w:ascii="Times New Roman" w:hAnsi="Times New Roman" w:cs="Times New Roman"/>
          <w:bCs/>
          <w:color w:val="002060"/>
          <w:sz w:val="16"/>
          <w:szCs w:val="16"/>
        </w:rPr>
        <w:softHyphen/>
        <w:t>ский в принципе был не против реквизиции, но смотря про</w:t>
      </w:r>
      <w:r w:rsidRPr="00405303">
        <w:rPr>
          <w:rFonts w:ascii="Times New Roman" w:hAnsi="Times New Roman" w:cs="Times New Roman"/>
          <w:bCs/>
          <w:color w:val="002060"/>
          <w:sz w:val="16"/>
          <w:szCs w:val="16"/>
        </w:rPr>
        <w:softHyphen/>
        <w:t>тив кого она обращена: «Пусть бы обратились в Ригу... в Риге 448 заводов...»1 (Совет запоздал: там уже орудовали ГАУ и Морское министерство.) Последствия циркуляра оказались настолько вредоносными, что 14 июля Военное министерство было вынуждено другим циркуляром распорядиться об «упо</w:t>
      </w:r>
      <w:r w:rsidRPr="00405303">
        <w:rPr>
          <w:rFonts w:ascii="Times New Roman" w:hAnsi="Times New Roman" w:cs="Times New Roman"/>
          <w:bCs/>
          <w:color w:val="002060"/>
          <w:sz w:val="16"/>
          <w:szCs w:val="16"/>
        </w:rPr>
        <w:softHyphen/>
        <w:t>рядочении этого дела», с тем чтобы начальники управлений, усмотрев «необходимость где-либо произвести реквизицию станков», прежде сообщали в комиссию по реквизиции стан</w:t>
      </w:r>
      <w:r w:rsidRPr="00405303">
        <w:rPr>
          <w:rFonts w:ascii="Times New Roman" w:hAnsi="Times New Roman" w:cs="Times New Roman"/>
          <w:bCs/>
          <w:color w:val="002060"/>
          <w:sz w:val="16"/>
          <w:szCs w:val="16"/>
        </w:rPr>
        <w:softHyphen/>
        <w:t>ков при ГАУ. Практической пользы от грозного распоряже</w:t>
      </w:r>
      <w:r w:rsidRPr="00405303">
        <w:rPr>
          <w:rFonts w:ascii="Times New Roman" w:hAnsi="Times New Roman" w:cs="Times New Roman"/>
          <w:bCs/>
          <w:color w:val="002060"/>
          <w:sz w:val="16"/>
          <w:szCs w:val="16"/>
        </w:rPr>
        <w:softHyphen/>
        <w:t>ния великого князя, по отзывам Маниковского и Залюбов- ского, не произошло «даже временно» (Буржуазия накануне Февральской революции. М.; Л., 1927. С. 9-10; ЖОСО 1915. С. 122; Залюбовский А.П. Указ. соч. С. 50—51) (23452).</w:t>
      </w:r>
    </w:p>
    <w:p w14:paraId="2836A71A" w14:textId="77777777" w:rsidR="0072423A" w:rsidRPr="00405303" w:rsidRDefault="0072423A" w:rsidP="00C15251">
      <w:pPr>
        <w:jc w:val="both"/>
        <w:rPr>
          <w:bCs/>
          <w:color w:val="002060"/>
          <w:sz w:val="16"/>
          <w:szCs w:val="16"/>
          <w:lang w:bidi="ru-RU"/>
        </w:rPr>
      </w:pPr>
    </w:p>
    <w:p w14:paraId="212F75F2" w14:textId="5764A981" w:rsidR="008A24A3" w:rsidRPr="00405303" w:rsidRDefault="008A24A3" w:rsidP="00C15251">
      <w:pPr>
        <w:jc w:val="both"/>
        <w:rPr>
          <w:bCs/>
          <w:color w:val="002060"/>
          <w:sz w:val="16"/>
          <w:szCs w:val="16"/>
        </w:rPr>
      </w:pPr>
      <w:r w:rsidRPr="00405303">
        <w:rPr>
          <w:bCs/>
          <w:color w:val="002060"/>
          <w:sz w:val="16"/>
          <w:szCs w:val="16"/>
        </w:rPr>
        <w:t>18 февраля (3 марта) 1915 г. на совещании у по вопросу об увеличении выпуска трубок Волосатов указал на задержки (23452)</w:t>
      </w:r>
    </w:p>
    <w:p w14:paraId="34CC9191" w14:textId="77777777" w:rsidR="008A24A3" w:rsidRPr="00405303" w:rsidRDefault="008A24A3" w:rsidP="00C15251">
      <w:pPr>
        <w:jc w:val="both"/>
        <w:rPr>
          <w:bCs/>
          <w:color w:val="002060"/>
          <w:sz w:val="16"/>
          <w:szCs w:val="16"/>
        </w:rPr>
      </w:pPr>
    </w:p>
    <w:p w14:paraId="42661600" w14:textId="13BA1F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18 февраля (3 марта) 1915 г. отвечено было Рубану, что ввиду постоянных боев, требующих большого расхода боевых припасов, не представляется возможным определить с достаточной точностью наличие имеющихся снарядов, что поставки в России, постепенно возрастая, достигнут к июню 1915 г. 1.800.000 снарядов в месяц. </w:t>
      </w:r>
    </w:p>
    <w:p w14:paraId="6166DC5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Руководствуясь этими данными, английское военное министерство разработало целый ряд предложений поставок пушечных патронов. </w:t>
      </w:r>
    </w:p>
    <w:p w14:paraId="421F9D0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Телеграммою 26 января (8 февраля) 1915 г. ген. Рубан донес, что лорд Китченер предлагает заказать через канадское правительство 5 млн. пушечных патронов. </w:t>
      </w:r>
    </w:p>
    <w:p w14:paraId="51D7911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13 марта того же года лорд Китченер предложил председателю Особой распорядительной комиссии заказать в Америке еще 5 млн. снарядов; на это председатель ответил, что давать заказы на снаряды за границей более не предполагается, ибо общее количество заказанных снарядов уже достигло 10 млн. </w:t>
      </w:r>
    </w:p>
    <w:p w14:paraId="55E736F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Лорд Китченер, ожидая со стороны поставщиков больших запозданий в сдачах, считал эти заказы недостаточными и настаивал на возможно скором принятии предложений, о чем телеграфировал и в Ставку верховного главнокомандующего. Вследствие этого председатель комиссии отправил в Ставку телеграмму следующего содержания: </w:t>
      </w:r>
    </w:p>
    <w:p w14:paraId="2234805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"Телеграмма Китченера мне была доставлена майором Ноксом три дня назад. Ответ дан в тот же день отрицательный, так как решил прекратить дальнейшие заказы на пушечные патроны за границей, которых уже дано на 9.800.000. Все эти заказы в срок сданы не будут, что уже доказали Виккерс и Шнейдер. Американские фирмы также все просрочили. Если еще дать заказы в Америке, то выполнения их можно ожидать не ранее как через восемь-двенадцать месяцев. Из перехваченных военной цензурой телеграмм мне известно, что американские заводы настолько завалены заказами с континента, что они не в состоянии что-либо выполнить ранее 1916 г. </w:t>
      </w:r>
    </w:p>
    <w:p w14:paraId="532D596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Во всех контрактах обусловлено наше право в случае надобности продолжить их на новое количество. Указание лорда Китченера на медленную работу машин и затруднения с рабочими неточно. По донесению нашего приемщика, месяц назад еще половина зданий не была готова, и оборудование машинами не поставлено". </w:t>
      </w:r>
    </w:p>
    <w:p w14:paraId="0DCCD58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Указывая затем на несколько неисполненных таким образом контрактов, председатель обращал внимание наштаверха на то, "как заманчиво обусловливают все фирмы свои поставки при даче заказов и как эти заказы выполняются после закрепления за ними денег". </w:t>
      </w:r>
    </w:p>
    <w:p w14:paraId="0627C26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Председатель комиссии просил доложить обо всем изложенном главковерху и заключал телеграмму следующими словами: "Если верховный главнокомандующий найдет мое решение, неправильным, то испрашиваю повеления на продолжение заграничных заказов". </w:t>
      </w:r>
    </w:p>
    <w:p w14:paraId="3E5AC68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Ген. Янушкевич ответил: </w:t>
      </w:r>
    </w:p>
    <w:p w14:paraId="3B7E4D2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"Верховный главнокомандующий повелел передать вам, что он вполне одобряет ваше решение относительно дачи дальнейших заказов заграничным фирмам". </w:t>
      </w:r>
    </w:p>
    <w:p w14:paraId="7763C36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Получив такой ответ, председатель комиссии окончательно отклонил навязываемый нам английскими властями заказ. </w:t>
      </w:r>
    </w:p>
    <w:p w14:paraId="494B997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связи с этим отказом председатель комиссии получил 11 апреля следующую телеграмму от почетного председателя англо-русского комитета:</w:t>
      </w:r>
    </w:p>
    <w:p w14:paraId="744B1E4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"Ввиду того что, несмотря на три энергичных предложения лорда Китченера приобрести пять миллионов шрапнелей в Америке, ему было отказано, предупреждаю самым серьезным образом, что хотя в данную минуту может быть нет нужды, но если позднее нужда в них появится, то их более невозможно будет приобрести, так как они на днях будут все приобретены другими государствами. Считаю моим святым долгом об этом предупредить и убедительно советую немедленно решиться на их приобретение, даже если другие люди будут это отсоветывать". </w:t>
      </w:r>
    </w:p>
    <w:p w14:paraId="00D6796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Того же 11 (24) апреля председатель комиссии ответил на это: </w:t>
      </w:r>
    </w:p>
    <w:p w14:paraId="3EFBD04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"Вновь категорически повторяю, что кроме уже заказанных за границей пушечных патронов более новым фирмам заказывать не будем. Все снабжение точно рассчитано. В случае новой потребности в патронах будем продолжать заказы тем же фирмам, которые их выполняют ныне. </w:t>
      </w:r>
    </w:p>
    <w:p w14:paraId="5D71798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контрактах это право нами выговорено. С вашей стороны прошу энергично настаивать, чтобы английское правительство приняло все меры, дабы канадская фирма выполнила свой контракт в срок, так как эта фирма нам была рекомендована через британское посольство. Виккерс по всем контрактам уже бессовестно обманул". </w:t>
      </w:r>
    </w:p>
    <w:p w14:paraId="654EFCA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Между тем вопрос о снарядах был, повидимому, предметом дальнейшей переписки между верховным главнокомандующим и лордом Китченером, так как 6 (19) мая председатель Особой распорядительной комиссии получил от начальника Штаба главковерха следующую телеграмму: </w:t>
      </w:r>
    </w:p>
    <w:p w14:paraId="223FE57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"Докладываю, что ввиду категорического обещания, данного генералом Китченером верховному главнокомандующему, оказать усиленное содействие по снабжению, и просьбы, лично к его высочеству обращенной, сообщить действительные единовременную и ежемесячную потребности в предметах артиллерийского снабжения, была послана телеграмма с указанием, что для активности армии и возможности вновь перейти в наступление необходимо пополнить комплекты пушечных патронов до 1 тысячи на орудие, что потребует сразу 3 миллиона, а для спокойной и действительной силы надо ежемесячно по 1,5 миллиона. Таким образом, ввиду настоящей просьбы Китченера указать ему потребности, таковые указаны в цифрах, считая, что если бы это удовлетворить, то это нисколько не уменьшает потребности русского производства. Избытка не будет, но только при условии, что поступления начнутся уже в июне" (11483).</w:t>
      </w:r>
    </w:p>
    <w:p w14:paraId="0851F82C" w14:textId="77777777" w:rsidR="004B4E35" w:rsidRPr="00405303" w:rsidRDefault="004B4E35" w:rsidP="00C15251">
      <w:pPr>
        <w:pStyle w:val="a3"/>
        <w:jc w:val="both"/>
        <w:rPr>
          <w:bCs/>
          <w:i w:val="0"/>
          <w:color w:val="002060"/>
          <w:spacing w:val="0"/>
          <w:kern w:val="0"/>
          <w:position w:val="0"/>
          <w:sz w:val="16"/>
          <w:szCs w:val="16"/>
        </w:rPr>
      </w:pPr>
    </w:p>
    <w:p w14:paraId="4BAA547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Чтобы еще рельефнее охарактеризовать сложность, трудность и своеобразие "военной промышленности", ниже приводится несколько примеров из практики заграничных заказов во Франции, Англии и Америке, где промышленность, конечно, не чета прежней русской и где не было тех пут и оков, в которых задыхалась русская промышленность, только начавшая развиваться. </w:t>
      </w:r>
    </w:p>
    <w:p w14:paraId="6077916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Когда в самом начале войны выяснился большой недостаток предметов боевого снабжения (особенно винтовок с патронами и выстрелов к 3-дм. пушкам) и полная невозможность быстро получить все это на внутреннем рынке, было решено прибегнуть к рынкам заграничным, сперва союзников - Франции, Англии и Японии, а затем Америки. Прежде всего речь зашла о винтовках. На просьбы уступить из наличных запасов готовые винтовки все ответили категорическим отказом, и лишь после больших усилии удалось купить в Японии небольшую партию в 300.000 винтовок. Тогда мы обратились с просьбою разместить заказы на винтовки на возможно </w:t>
      </w:r>
      <w:r w:rsidRPr="00405303">
        <w:rPr>
          <w:bCs/>
          <w:i w:val="0"/>
          <w:color w:val="002060"/>
          <w:spacing w:val="0"/>
          <w:kern w:val="0"/>
          <w:position w:val="0"/>
          <w:sz w:val="16"/>
          <w:szCs w:val="16"/>
        </w:rPr>
        <w:lastRenderedPageBreak/>
        <w:t xml:space="preserve">короткие сроки. Франция, Англия и Япония решительно отказались ввиду невозможности уделить хотя часть производительности своих оружейных заводов; приспособлять же для этой цели какие-либо другие заводы, а тем более возводить новые, там считали делом явно безнадежным, о чем так прямо и заявили. Тогда все надежды были устремлены на рынок Америки, о гигантском развитии промышленности которой, особенно за последнее время, у нас рассказывали положительно чудеса. При содействии Англии нам удалось в самом начале заказать первоклассным и всемирно известным заводам Америки - Ремингтону и Вестингаузу - 3 млн. винтовок, а не менее известным и исключительно мощным заводам "Канадской компании" - 12 млн. патронов к 76-мм пушкам. И вот результаты работ этих выдающихся представителей препрославленной американской промышленности: ни один из них с этими заказами не справился, и пришлось для налаживания дела командировать туда под видом "приемщиков" русских инженеров и техников, специалистов по данным отраслям военной промышленности, и только под их ближайшим руководством удалось, наконец, направить как следует исполнение заказов. Причина неудач и здесь была совершенно та же, что и в России, - эти заводы, хотя и привыкшие к массовому производству более или менее точных изделий, раньше вовсе не вырабатывали предметов военного снаряжения, производство которых имеет массу своеобразных особенностей, практическое ознакомление с которыми требует даже от солидного предприятия большого промежутка времени. </w:t>
      </w:r>
    </w:p>
    <w:p w14:paraId="6612086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Наконец, прямо поразительный пример: всемирно известный завод Шнейдера еще дольше, чем американцы, не мог справиться с изготовлением наших 22-сек. трубок, хотя он же их готовил 12 лет назад (в японскую войну). </w:t>
      </w:r>
    </w:p>
    <w:p w14:paraId="5CD8B45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И если в неуспехах американских заводов нельзя отрицать известной доли немецкого влияния, то завод Шнейдера заподозрить в этом уж трудно. В конце концов дело наладилось лишь после того, как его инструктировал по части наших 22-сек. трубок, согласно просьбе самого французского министерства снабжений, находившийся в то время в Лондоне председатель заготовительного комитета г.-л. Гермониус (бывший начальник трубочного завода) и был командирован туда русский специалист по трубкам полковник Плазовский. Этот пример в высшей степени характерен, и его следует твердо запомнить: он указывает, как легко забывается и расстраивается даже хорошо налаженное производство мощного завода, работающего к тому же все время на военный рынок, и как любое производство может быть сведено почти на нет, если оно было прекращено без оставления хотя бы небольших кадровых мастерских, где производство продолжалось бы все время даже в малом размере. Поэтому было бы грубой ошибкой считать, что налаженное с такими великими трудностями производство военных припасов в промышленности будет сохранено и для более или менее отдаленного будущего, если ей не давать заказов и в мирное время, предоставив ее самой себе. </w:t>
      </w:r>
    </w:p>
    <w:p w14:paraId="008BBA3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С полной уверенностью можно утверждать, что в этом случае ее постигнет участь Шнейдера с тою лишь разницей, что у нее производство забудется гораздо скорее и восстанавливать его придется с еще большими трудностями, т. е. что называется с "азов". </w:t>
      </w:r>
    </w:p>
    <w:p w14:paraId="0B746BF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Но так как всю мобилизованную во время войны промышленность, даже сколько-нибудь значительную часть ее, нельзя будет питать казенными заказами и в мирное время, то ей предстоит по окончании войны неизбежная "демобилизация" и возвращение к обычным производствам мирного времени. Поэтому, чтобы не пропали столь трудно давшиеся наука и опыт войны, на соответствующих заводах должны быть сохранены "ячейки" военных производств под непосредственным наблюдением и контролем того управления, на обязанности которого лежит боевое снабжение армии. </w:t>
      </w:r>
    </w:p>
    <w:p w14:paraId="0C5E7FE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Из приведенного ясно, как необходимо было заранее составить строго обдуманный план мобилизации всей промыш-ленности для военных целей, положив в основу этой мобилизации твердый костяк казенных заводов, на котором можно было бы впоследствии развить какую угодно мускулатуру частной промышленности; при таких условиях можно было бы рассчитывать на быструю и продуктивную мобилизацию всей промышленности. И если бы такой план был выработан и осуществлен своевременно, то, конечно, не пришлось бы переживать самых тяжелых дней мировой войны. </w:t>
      </w:r>
    </w:p>
    <w:p w14:paraId="205CB2F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Но этого сделано не было. Напротив, в последнее перед мировой войной десятилетие и даже в начале ее делалось многое не в пользу, а во вред подготовке к войне русской промышленности вообще, и в частности военной, не исключая даже специальных военных казенных заводов. </w:t>
      </w:r>
    </w:p>
    <w:p w14:paraId="1F4A963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 Ничтожными нарядами последних перед войной лет было почти совсем заглушено с большим трудом развившееся производство на многих военных заводах, особенно на оружейных: разбрелись и распылились не только люди, но и станки, инструмент, лекала и самое главное - навыки... </w:t>
      </w:r>
    </w:p>
    <w:p w14:paraId="0B71B46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900-х годах, по окончании перевооружения армии 3-лин. вийтовками и 3-дм. скорострельными пушками, некоторые казенные артиллерийские заводы, особенно оружейные, и отчасти даже арсеналы, испытали тяжелое время безработицы. Приходилось распускать рабочих и прекращать производство. </w:t>
      </w:r>
    </w:p>
    <w:p w14:paraId="2423A62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Все доводы ГАУ о необходимости поддерживать установленное специальное производство разбивалось о несогласие министерства финансов на отпуск требуемых денежных средств. Директор департамента государственного казначейства неизменно заявлял, что, изыскивая средства для доведения боевых запасов до установленных норм, министерство финансов решительно протестует против проповедуемого артиллерийским ведомством принципа питания завода работой для охранения его готовности к широкой производительности или </w:t>
      </w:r>
      <w:proofErr w:type="gramStart"/>
      <w:r w:rsidRPr="00405303">
        <w:rPr>
          <w:bCs/>
          <w:i w:val="0"/>
          <w:color w:val="002060"/>
          <w:spacing w:val="0"/>
          <w:kern w:val="0"/>
          <w:position w:val="0"/>
          <w:sz w:val="16"/>
          <w:szCs w:val="16"/>
        </w:rPr>
        <w:t>для поддержания</w:t>
      </w:r>
      <w:proofErr w:type="gramEnd"/>
      <w:r w:rsidRPr="00405303">
        <w:rPr>
          <w:bCs/>
          <w:i w:val="0"/>
          <w:color w:val="002060"/>
          <w:spacing w:val="0"/>
          <w:kern w:val="0"/>
          <w:position w:val="0"/>
          <w:sz w:val="16"/>
          <w:szCs w:val="16"/>
        </w:rPr>
        <w:t xml:space="preserve"> призванного на время минувшей войны с Японией значительного числа рабочих. </w:t>
      </w:r>
    </w:p>
    <w:p w14:paraId="06A9311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 Мобилизационная готовность казенных заводов, а также частных, работавших на оборону, по отношению к людскому составу была совершенно не охранена. </w:t>
      </w:r>
    </w:p>
    <w:p w14:paraId="23CD338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Вследствие прекращения или сокращения некоторых производств и роспуска рабочих сильно оскудел рынок рабочих-специалистов, особенно после того, как целым рядом мобилизаций забирались в запасные батальоны, а отттуда на фронт не только заурядные рабочие-оружейники, но и квалифицированные специалисты. Все протесты ГАУ оставались без внимания. Между тем производство военных изделий настолько сложно и тонко, что успешное его ведение под силу только особым специалистам, вырабатывающимся не скоро. Например, на лучших оружейных заводах это ремесло обращается в наследственное, преемственно передающееся из поколения в поколение. Так именно было в Туле, в Ижевске и в Сестрорецке - этих гнездах настоящих оружейников, на которых лежало и совершенствовалось наше ружейное дело. И когда значительная часть их без разбора была взята в войска, - на заводах настал кризис, справиться с которым было трудно, так как освобождение от строевой службы специалистов-рабочих, служащих в рядах войск в качестве нижних чинов, вызывало на практике большие осложнения, ибо в этом вопросе сталкивались различные государственные интересы. </w:t>
      </w:r>
    </w:p>
    <w:p w14:paraId="123EC76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С одной стороны, не могло быть никакого сомнения в том, что все рабочие-специалисты, служащие в рядах войск или могущие быть призванными, были безусловно необходимы заводам, особенно при увеличении ими производства</w:t>
      </w:r>
      <w:proofErr w:type="gramStart"/>
      <w:r w:rsidRPr="00405303">
        <w:rPr>
          <w:bCs/>
          <w:i w:val="0"/>
          <w:color w:val="002060"/>
          <w:spacing w:val="0"/>
          <w:kern w:val="0"/>
          <w:position w:val="0"/>
          <w:sz w:val="16"/>
          <w:szCs w:val="16"/>
        </w:rPr>
        <w:t>, С другой стороны</w:t>
      </w:r>
      <w:proofErr w:type="gramEnd"/>
      <w:r w:rsidRPr="00405303">
        <w:rPr>
          <w:bCs/>
          <w:i w:val="0"/>
          <w:color w:val="002060"/>
          <w:spacing w:val="0"/>
          <w:kern w:val="0"/>
          <w:position w:val="0"/>
          <w:sz w:val="16"/>
          <w:szCs w:val="16"/>
        </w:rPr>
        <w:t>, освобождение всех без исключения рабочих-специалистов признавалось невозможным по причинам якобы столь же чрезвычайного государственного характера.</w:t>
      </w:r>
    </w:p>
    <w:p w14:paraId="20CC851A" w14:textId="77777777" w:rsidR="009D37E3" w:rsidRPr="00405303" w:rsidRDefault="009D37E3" w:rsidP="00C15251">
      <w:pPr>
        <w:pStyle w:val="a3"/>
        <w:jc w:val="both"/>
        <w:rPr>
          <w:bCs/>
          <w:i w:val="0"/>
          <w:color w:val="002060"/>
          <w:spacing w:val="0"/>
          <w:kern w:val="0"/>
          <w:position w:val="0"/>
          <w:sz w:val="16"/>
          <w:szCs w:val="16"/>
        </w:rPr>
      </w:pPr>
    </w:p>
    <w:p w14:paraId="6900B4B8" w14:textId="7B52567A"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18 февраля (3 марта) 1915 г.</w:t>
      </w:r>
      <w:proofErr w:type="gramStart"/>
      <w:r w:rsidRPr="00405303">
        <w:rPr>
          <w:bCs/>
          <w:i w:val="0"/>
          <w:color w:val="002060"/>
          <w:spacing w:val="0"/>
          <w:kern w:val="0"/>
          <w:position w:val="0"/>
          <w:sz w:val="16"/>
          <w:szCs w:val="16"/>
        </w:rPr>
        <w:t xml:space="preserve">, </w:t>
      </w:r>
      <w:r w:rsidR="009D37E3" w:rsidRPr="00405303">
        <w:rPr>
          <w:bCs/>
          <w:i w:val="0"/>
          <w:color w:val="002060"/>
          <w:spacing w:val="0"/>
          <w:kern w:val="0"/>
          <w:position w:val="0"/>
          <w:sz w:val="16"/>
          <w:szCs w:val="16"/>
        </w:rPr>
        <w:t>Как</w:t>
      </w:r>
      <w:proofErr w:type="gramEnd"/>
      <w:r w:rsidR="009D37E3" w:rsidRPr="00405303">
        <w:rPr>
          <w:bCs/>
          <w:i w:val="0"/>
          <w:color w:val="002060"/>
          <w:spacing w:val="0"/>
          <w:kern w:val="0"/>
          <w:position w:val="0"/>
          <w:sz w:val="16"/>
          <w:szCs w:val="16"/>
        </w:rPr>
        <w:t xml:space="preserve"> видно из письма начальника Главного штаба начальнику ГАУ, </w:t>
      </w:r>
      <w:r w:rsidRPr="00405303">
        <w:rPr>
          <w:bCs/>
          <w:i w:val="0"/>
          <w:color w:val="002060"/>
          <w:spacing w:val="0"/>
          <w:kern w:val="0"/>
          <w:position w:val="0"/>
          <w:sz w:val="16"/>
          <w:szCs w:val="16"/>
        </w:rPr>
        <w:t xml:space="preserve">Главный штаб считал освобождение новобранцев недопустимым потому, что молодые люди являлись в высшей степени желательным элементом для пополнения рядов войск и вряд ли могли обладать значительным опытом и быть незаменимыми специалистами па заводах. </w:t>
      </w:r>
    </w:p>
    <w:p w14:paraId="5B21DDE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Начальник ГАУ не мог, однако, согласиться с этим мнением, так как именно молодые люди, поступая на заводы задолго до призывного возраста, приобретали все необходимые навыки и являлись ко времени их призыва вполне опытными рабочими, подыскать же взамен их новый контингент рабочих, при настоящем положении вещей чрезвычайно трудно. Поэтому начальник ГАУ предполагал дать всем рабочим, занятым выполнением заказов военного ведомства, отсрочку хотя до 1 октября 1915 г., на что последовало согласие военного министра. В дальнейшем таких отсрочек уже больше не давалось. </w:t>
      </w:r>
    </w:p>
    <w:p w14:paraId="3D4AF46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Что касается усиления администрации заводов, то по мере надобности удавалось, хотя и очень </w:t>
      </w:r>
      <w:proofErr w:type="gramStart"/>
      <w:r w:rsidRPr="00405303">
        <w:rPr>
          <w:bCs/>
          <w:i w:val="0"/>
          <w:color w:val="002060"/>
          <w:spacing w:val="0"/>
          <w:kern w:val="0"/>
          <w:position w:val="0"/>
          <w:sz w:val="16"/>
          <w:szCs w:val="16"/>
        </w:rPr>
        <w:t>не легко</w:t>
      </w:r>
      <w:proofErr w:type="gramEnd"/>
      <w:r w:rsidRPr="00405303">
        <w:rPr>
          <w:bCs/>
          <w:i w:val="0"/>
          <w:color w:val="002060"/>
          <w:spacing w:val="0"/>
          <w:kern w:val="0"/>
          <w:position w:val="0"/>
          <w:sz w:val="16"/>
          <w:szCs w:val="16"/>
        </w:rPr>
        <w:t xml:space="preserve">, вызывать из строевых частей войск через ГУГШ прапорщиков из лиц, получивших высшее техническое образование, и прикомандировывать их к различным заводам. </w:t>
      </w:r>
    </w:p>
    <w:p w14:paraId="7F8E2B0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3. Но кроме рабочих-специалистов, т. е. квалифицированных, заводам в горячее военное время нехватало даже простых рабочих, особенно в некоторые периоды, например летом, когда из-за отлива рабочих на полевые работы приходилось умышленно сокращать производство. </w:t>
      </w:r>
    </w:p>
    <w:p w14:paraId="0C161DD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Вскоре после начала войны ГАУ внесло в Совет министров проект приведения казенных заводов на особое положение, считая их как бы мобилизованными. Проект этот рассматривал работу на заводах, изготовляющих предметы государственной обороны, как особую форму отбывания воинской повинности, предусматривал прикрепление рабочих к их заводам (во избежание крайне вредного факта сманивания рабочих другими заводами и оставления ими работ по политическим причинам и для полевых работ) и устанавливал повышенную наказуемость за правонарушения промышленной жизни как в отношении рабочих, так и заводской администрации. </w:t>
      </w:r>
    </w:p>
    <w:p w14:paraId="47846B3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Совет министров признал этот проект несвоевременным. </w:t>
      </w:r>
    </w:p>
    <w:p w14:paraId="3E13200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Между тем были неоднократные случаи внезапного ухода рабочих с казенных заводов. </w:t>
      </w:r>
    </w:p>
    <w:p w14:paraId="7EC1C6EC" w14:textId="77777777" w:rsidR="004B4E35" w:rsidRPr="00405303" w:rsidRDefault="009E6F82" w:rsidP="00C15251">
      <w:pPr>
        <w:pStyle w:val="a3"/>
        <w:jc w:val="both"/>
        <w:rPr>
          <w:bCs/>
          <w:i w:val="0"/>
          <w:color w:val="002060"/>
          <w:spacing w:val="0"/>
          <w:kern w:val="0"/>
          <w:position w:val="0"/>
          <w:sz w:val="16"/>
          <w:szCs w:val="16"/>
        </w:rPr>
      </w:pPr>
      <w:bookmarkStart w:id="50" w:name="_Hlk117503221"/>
      <w:r w:rsidRPr="00405303">
        <w:rPr>
          <w:bCs/>
          <w:i w:val="0"/>
          <w:color w:val="002060"/>
          <w:spacing w:val="0"/>
          <w:kern w:val="0"/>
          <w:position w:val="0"/>
          <w:sz w:val="16"/>
          <w:szCs w:val="16"/>
        </w:rPr>
        <w:lastRenderedPageBreak/>
        <w:t>22 февраля (7 марта) 1915 г. Совет министров, как видно из письма председателя Совета министров к военному министру от 19 февраля (4 марта), "считаясь с вполне лойяльным и в общем спокойным настроением фабрично-заводского населения и опасаясь дать повод к нежелательным толкам и волнениям", окончательно отклонил это предложение.</w:t>
      </w:r>
    </w:p>
    <w:p w14:paraId="6AF9460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Попрежнему оставались такие факты, как, например, уход сразу 3.000 человек (в летнее время) с одного из оружейных заводов, единственного в России, изготовляющего ствольные и коробочные болванки (для всех оружейных заводов), 1.000 человек - с Сормовского завода, 700 человек - с завода Посселя и т. д. </w:t>
      </w:r>
    </w:p>
    <w:p w14:paraId="77FFF21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4. Мобилизационная готовность заводов не была охранена и в техническом отношении. В то время, как в течение целого десятилетия перед войной морили заводы мизерными нарядами, как бы умышленно ограничивая их возможность к дальнейшему усовершенствованию и вытравляя из них все навыки их трудной специальности, - в это же время из-за неразумно понимаемой экономии загромождали эти заводы производствами, для которых следовало иметь самостоятельные заводы: станки механические (особый отдел); пулеметы, станки для них; револьверы, шрапнели, пружины накатника для полевых орудий, взрыватели, патронные обоймы, вьючные приспособления, пики для кавале-рии и т. п. Все эти предметы с началом войны оказались также в самом срочном спросе и притом в максимальном количестве, поэтому выбросить их прямо с заводов оказалось невозможным, ибо для производства их нигде не было заготовлено самостоятельных мастерских, и их пришлось оставить на оружейных заводах в явный ущерб прямому делу. </w:t>
      </w:r>
    </w:p>
    <w:p w14:paraId="30F6AF0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Вот неизбежное и логическое последствие той мудрой "экономической" политики, по которой, например, оружейные заводы получали, чтобы не даром шли деньги на их содержание, всякие наряды, кроме тех, для которых они специально назначены... Здесь интересно отметить факт, что начальство и технический персонал заводов не только не противились такому "изнасилованию" их, а напротив, сами шли навстречу этому - лишь бы завод хотя таким способом получил какую-нибудь работу. </w:t>
      </w:r>
    </w:p>
    <w:p w14:paraId="02A5573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Сокращая в мирное время производство казенных военных заводов, царское правительство своевременно не обеспечило заводы ни соответствующим оборудованием, ни даже запасами необходимых материалов и топлива на случай войны и закрытия границ (11483).</w:t>
      </w:r>
    </w:p>
    <w:p w14:paraId="1C0FB140" w14:textId="77777777" w:rsidR="004B4E35" w:rsidRPr="00405303" w:rsidRDefault="004B4E35" w:rsidP="00C15251">
      <w:pPr>
        <w:pStyle w:val="a3"/>
        <w:jc w:val="both"/>
        <w:rPr>
          <w:bCs/>
          <w:i w:val="0"/>
          <w:color w:val="002060"/>
          <w:spacing w:val="0"/>
          <w:kern w:val="0"/>
          <w:position w:val="0"/>
          <w:sz w:val="16"/>
          <w:szCs w:val="16"/>
        </w:rPr>
      </w:pPr>
    </w:p>
    <w:bookmarkEnd w:id="50"/>
    <w:p w14:paraId="40192A60" w14:textId="17433E99" w:rsidR="004B4E35" w:rsidRPr="00405303" w:rsidRDefault="009E6F82" w:rsidP="00C15251">
      <w:pPr>
        <w:jc w:val="both"/>
        <w:rPr>
          <w:bCs/>
          <w:color w:val="002060"/>
          <w:sz w:val="16"/>
          <w:szCs w:val="16"/>
        </w:rPr>
      </w:pPr>
      <w:r w:rsidRPr="00405303">
        <w:rPr>
          <w:bCs/>
          <w:color w:val="002060"/>
          <w:sz w:val="16"/>
          <w:szCs w:val="16"/>
        </w:rPr>
        <w:t>18 февраля</w:t>
      </w:r>
      <w:r w:rsidR="009D37E3" w:rsidRPr="00405303">
        <w:rPr>
          <w:bCs/>
          <w:color w:val="002060"/>
          <w:sz w:val="16"/>
          <w:szCs w:val="16"/>
        </w:rPr>
        <w:t xml:space="preserve"> (</w:t>
      </w:r>
      <w:r w:rsidRPr="00405303">
        <w:rPr>
          <w:bCs/>
          <w:color w:val="002060"/>
          <w:sz w:val="16"/>
          <w:szCs w:val="16"/>
        </w:rPr>
        <w:t>3 марта</w:t>
      </w:r>
      <w:r w:rsidR="009D37E3" w:rsidRPr="00405303">
        <w:rPr>
          <w:bCs/>
          <w:color w:val="002060"/>
          <w:sz w:val="16"/>
          <w:szCs w:val="16"/>
        </w:rPr>
        <w:t>)</w:t>
      </w:r>
      <w:r w:rsidRPr="00405303">
        <w:rPr>
          <w:bCs/>
          <w:color w:val="002060"/>
          <w:sz w:val="16"/>
          <w:szCs w:val="16"/>
        </w:rPr>
        <w:t xml:space="preserve"> 1915 г., </w:t>
      </w:r>
      <w:r w:rsidR="009D37E3" w:rsidRPr="00405303">
        <w:rPr>
          <w:bCs/>
          <w:color w:val="002060"/>
          <w:sz w:val="16"/>
          <w:szCs w:val="16"/>
        </w:rPr>
        <w:t xml:space="preserve">как видно из письма начальника Главного штаба начальнику Главного артиллерийского управления </w:t>
      </w:r>
      <w:r w:rsidRPr="00405303">
        <w:rPr>
          <w:bCs/>
          <w:color w:val="002060"/>
          <w:sz w:val="16"/>
          <w:szCs w:val="16"/>
        </w:rPr>
        <w:t xml:space="preserve">Главный штаб полагал освобождение новобранцев недопустимым ввиду того, что молодые люди являлись в высшей степени желательным элементом для пополнения рядов войск; вместе с этим Главный штаб считал, что вряд ли эти молодые люди могли обладать значительным рабочим опытом и быть незаменимыми специалистами на заводах. </w:t>
      </w:r>
    </w:p>
    <w:p w14:paraId="207B7594" w14:textId="77777777" w:rsidR="004B4E35" w:rsidRPr="00405303" w:rsidRDefault="009E6F82" w:rsidP="00C15251">
      <w:pPr>
        <w:jc w:val="both"/>
        <w:rPr>
          <w:bCs/>
          <w:color w:val="002060"/>
          <w:sz w:val="16"/>
          <w:szCs w:val="16"/>
        </w:rPr>
      </w:pPr>
      <w:r w:rsidRPr="00405303">
        <w:rPr>
          <w:bCs/>
          <w:color w:val="002060"/>
          <w:sz w:val="16"/>
          <w:szCs w:val="16"/>
        </w:rPr>
        <w:t xml:space="preserve">Начальник Главного артиллерийского управления протестовал против этой точки зрения, ибо именно молодые люди, поступая на заводы далеко до призывного возраста, приобретали все необходимые навыки и являлись ко времени их призыва вполне опытными рабочими. Подыскать же взамен их новый контингент рабочих при существовавшей во время войны обстановке было чрезвычайно трудно. </w:t>
      </w:r>
    </w:p>
    <w:p w14:paraId="3B5A5F65" w14:textId="77777777" w:rsidR="004B4E35" w:rsidRPr="00405303" w:rsidRDefault="009E6F82" w:rsidP="00C15251">
      <w:pPr>
        <w:jc w:val="both"/>
        <w:rPr>
          <w:bCs/>
          <w:color w:val="002060"/>
          <w:sz w:val="16"/>
          <w:szCs w:val="16"/>
        </w:rPr>
      </w:pPr>
      <w:r w:rsidRPr="00405303">
        <w:rPr>
          <w:bCs/>
          <w:color w:val="002060"/>
          <w:sz w:val="16"/>
          <w:szCs w:val="16"/>
        </w:rPr>
        <w:t xml:space="preserve">Прошло более года войны, пока вопрос этот был урегулирован. </w:t>
      </w:r>
    </w:p>
    <w:p w14:paraId="150A7B1D" w14:textId="77777777" w:rsidR="004B4E35" w:rsidRPr="00405303" w:rsidRDefault="009E6F82" w:rsidP="00C15251">
      <w:pPr>
        <w:jc w:val="both"/>
        <w:rPr>
          <w:bCs/>
          <w:color w:val="002060"/>
          <w:sz w:val="16"/>
          <w:szCs w:val="16"/>
        </w:rPr>
      </w:pPr>
      <w:r w:rsidRPr="00405303">
        <w:rPr>
          <w:bCs/>
          <w:color w:val="002060"/>
          <w:sz w:val="16"/>
          <w:szCs w:val="16"/>
        </w:rPr>
        <w:t xml:space="preserve">Но, кроме квалифицированных рабочих, всем казенным заводам в это горячее время не хватало и простых рабочих. Это сказывалось особенно сильно в некоторые периоды. Например, летом, когда из-за отлива рабочих на полевые работы сокращалось производство. Главное артиллерийское управление отдавало себе ясный отчет в той опасности, какою угрожает боевому снабжению Армии такое положение вещей. И вскоре после начала войны внесло в Совет министров проект перевода казенных заводов на особое положение, считая их как бы мобилизованными. Проект этот совершенно правильно рассматривал работу на заводах, изготовляющих предметы государственной обороны как особую форму отбывания воинской повинности, предусматривал прикрепление рабочих к их заводам и устанавливал повышенную наказуемость по правонарушениям промышленной жизни как в отношении рабочих, так и заводской администрации. </w:t>
      </w:r>
    </w:p>
    <w:p w14:paraId="4E21BDB5" w14:textId="77777777" w:rsidR="004B4E35" w:rsidRPr="00405303" w:rsidRDefault="009E6F82" w:rsidP="00C15251">
      <w:pPr>
        <w:jc w:val="both"/>
        <w:rPr>
          <w:bCs/>
          <w:color w:val="002060"/>
          <w:sz w:val="16"/>
          <w:szCs w:val="16"/>
        </w:rPr>
      </w:pPr>
      <w:r w:rsidRPr="00405303">
        <w:rPr>
          <w:bCs/>
          <w:color w:val="002060"/>
          <w:sz w:val="16"/>
          <w:szCs w:val="16"/>
        </w:rPr>
        <w:t xml:space="preserve">Однако Совет министров признал этот проект несвоевременным. </w:t>
      </w:r>
    </w:p>
    <w:p w14:paraId="7F77AF1A" w14:textId="77777777" w:rsidR="004B4E35" w:rsidRPr="00405303" w:rsidRDefault="009E6F82" w:rsidP="00C15251">
      <w:pPr>
        <w:jc w:val="both"/>
        <w:rPr>
          <w:bCs/>
          <w:color w:val="002060"/>
          <w:sz w:val="16"/>
          <w:szCs w:val="16"/>
        </w:rPr>
      </w:pPr>
      <w:r w:rsidRPr="00405303">
        <w:rPr>
          <w:bCs/>
          <w:color w:val="002060"/>
          <w:sz w:val="16"/>
          <w:szCs w:val="16"/>
        </w:rPr>
        <w:t xml:space="preserve">В декабре 1914 г. этот проект был вновь внесен на рассмотрение Совета министров и вновь отклонен. </w:t>
      </w:r>
    </w:p>
    <w:p w14:paraId="2D857D4B" w14:textId="77777777" w:rsidR="004B4E35" w:rsidRPr="00405303" w:rsidRDefault="009E6F82" w:rsidP="00C15251">
      <w:pPr>
        <w:jc w:val="both"/>
        <w:rPr>
          <w:bCs/>
          <w:color w:val="002060"/>
          <w:sz w:val="16"/>
          <w:szCs w:val="16"/>
        </w:rPr>
      </w:pPr>
      <w:r w:rsidRPr="00405303">
        <w:rPr>
          <w:bCs/>
          <w:color w:val="002060"/>
          <w:sz w:val="16"/>
          <w:szCs w:val="16"/>
        </w:rPr>
        <w:t xml:space="preserve">Между тем вредные последствия действия законоположений мирного времени давали себя чувствовать в неоднократных случаях внезапного ухода рабочих с казенных заводов. Вследствие этого упомянутое выше представление Главного артиллерийского управления было внесено в Совет министров в третий раз 22 февраля/7 марта 1915 г. Однако Совет министров, как видно из письма председателя Совета министров к военному министру, «считаясь с вполне лояльным и, в общем, спокойным настроением фабрично-заводского населения и опасаясь дать повод к нежелательным толкам и волнениям», окончательно отклонил это предложение. </w:t>
      </w:r>
    </w:p>
    <w:p w14:paraId="75248208" w14:textId="77777777" w:rsidR="004B4E35" w:rsidRPr="00405303" w:rsidRDefault="009E6F82" w:rsidP="00C15251">
      <w:pPr>
        <w:jc w:val="both"/>
        <w:rPr>
          <w:bCs/>
          <w:color w:val="002060"/>
          <w:sz w:val="16"/>
          <w:szCs w:val="16"/>
        </w:rPr>
      </w:pPr>
      <w:r w:rsidRPr="00405303">
        <w:rPr>
          <w:bCs/>
          <w:color w:val="002060"/>
          <w:sz w:val="16"/>
          <w:szCs w:val="16"/>
        </w:rPr>
        <w:t xml:space="preserve">Таким образом, мобилизационная готовность казенных заводов в отношении людского состава была совершенно не охранена; заводы оставались бессильными перед такими фактами, как, например, уход сразу 3000 человек (в летнюю уволку) с Ижевского завода, единственного в России, изготовлявшего ствольные и коробочные болванки (для всех оружейных заводов); подобные одновременные уходы имели место и на других заводах (1000 человек с Сормовского завода, 700 человек с завода Посселя и т.д.). </w:t>
      </w:r>
    </w:p>
    <w:p w14:paraId="149D5A4E" w14:textId="77777777" w:rsidR="004B4E35" w:rsidRPr="00405303" w:rsidRDefault="004B4E35" w:rsidP="00C15251">
      <w:pPr>
        <w:jc w:val="both"/>
        <w:rPr>
          <w:bCs/>
          <w:color w:val="002060"/>
          <w:sz w:val="16"/>
          <w:szCs w:val="16"/>
        </w:rPr>
      </w:pPr>
    </w:p>
    <w:p w14:paraId="4176BB3B" w14:textId="6247225C" w:rsidR="008A24A3" w:rsidRPr="00405303" w:rsidRDefault="008A24A3" w:rsidP="00C15251">
      <w:pPr>
        <w:jc w:val="both"/>
        <w:rPr>
          <w:bCs/>
          <w:i/>
          <w:color w:val="002060"/>
          <w:sz w:val="16"/>
          <w:szCs w:val="16"/>
        </w:rPr>
      </w:pPr>
      <w:bookmarkStart w:id="51" w:name="bookmark141"/>
      <w:r w:rsidRPr="00405303">
        <w:rPr>
          <w:bCs/>
          <w:i/>
          <w:color w:val="002060"/>
          <w:sz w:val="16"/>
          <w:szCs w:val="16"/>
        </w:rPr>
        <w:t>Авиация:</w:t>
      </w:r>
    </w:p>
    <w:p w14:paraId="3C4D1D33" w14:textId="77777777" w:rsidR="008A24A3" w:rsidRPr="00405303" w:rsidRDefault="008A24A3" w:rsidP="00C15251">
      <w:pPr>
        <w:jc w:val="both"/>
        <w:rPr>
          <w:bCs/>
          <w:i/>
          <w:color w:val="002060"/>
          <w:sz w:val="16"/>
          <w:szCs w:val="16"/>
        </w:rPr>
      </w:pPr>
    </w:p>
    <w:p w14:paraId="7565FBC0" w14:textId="04BE8FEC" w:rsidR="008A24A3" w:rsidRPr="00405303" w:rsidRDefault="008A24A3" w:rsidP="00C15251">
      <w:pPr>
        <w:jc w:val="both"/>
        <w:rPr>
          <w:bCs/>
          <w:color w:val="002060"/>
          <w:sz w:val="16"/>
          <w:szCs w:val="16"/>
        </w:rPr>
      </w:pPr>
      <w:r w:rsidRPr="00405303">
        <w:rPr>
          <w:bCs/>
          <w:color w:val="002060"/>
          <w:sz w:val="16"/>
          <w:szCs w:val="16"/>
        </w:rPr>
        <w:t>18 февраля (2 марта) 1915 г. немецкая авиация совершила на него групповой налет на город-крепость Гродно. Через неделю воздушный налет повторился. «Около 4-х часов дня над [городом] летало два немецких аэроплана, из коих с одного сброшены две бомбы: первая попала во двор военного госпиталя, со стороны берега Немана и, видимо, предназначалась для Петровско-Николаевского моста; от взрыва бомбы во всех окнах госпиталя выбиты стекла, на одном из углов отбита штукатурка и легко ранен в щеку находившийся во дворе нижний чин - сапожник. Вторая бомба упала на Банковской улице во дворе дома Волянского, невдалеке от телеграфной станции, для которой она, видимо, и предназначалась. Этой бомбой выбиты в доме все окна и ранено две лошади, находившиеся около двух войсковых повозок» (23405).</w:t>
      </w:r>
    </w:p>
    <w:p w14:paraId="6477FDDE" w14:textId="77777777" w:rsidR="008A24A3" w:rsidRPr="00405303" w:rsidRDefault="008A24A3" w:rsidP="00C15251">
      <w:pPr>
        <w:jc w:val="both"/>
        <w:rPr>
          <w:bCs/>
          <w:color w:val="002060"/>
          <w:sz w:val="16"/>
          <w:szCs w:val="16"/>
        </w:rPr>
      </w:pPr>
    </w:p>
    <w:p w14:paraId="645A743A" w14:textId="02F9981C" w:rsidR="00336767" w:rsidRPr="00405303" w:rsidRDefault="00336767" w:rsidP="00C15251">
      <w:pPr>
        <w:jc w:val="both"/>
        <w:rPr>
          <w:bCs/>
          <w:i/>
          <w:color w:val="002060"/>
          <w:sz w:val="16"/>
          <w:szCs w:val="16"/>
        </w:rPr>
      </w:pPr>
      <w:r w:rsidRPr="00405303">
        <w:rPr>
          <w:bCs/>
          <w:i/>
          <w:color w:val="002060"/>
          <w:sz w:val="16"/>
          <w:szCs w:val="16"/>
        </w:rPr>
        <w:t>Воздухоплавание:</w:t>
      </w:r>
    </w:p>
    <w:p w14:paraId="7D29B50D" w14:textId="77777777" w:rsidR="00336767" w:rsidRPr="00405303" w:rsidRDefault="00336767" w:rsidP="00C15251">
      <w:pPr>
        <w:jc w:val="both"/>
        <w:rPr>
          <w:bCs/>
          <w:i/>
          <w:color w:val="002060"/>
          <w:sz w:val="16"/>
          <w:szCs w:val="16"/>
        </w:rPr>
      </w:pPr>
    </w:p>
    <w:p w14:paraId="4413A7B6" w14:textId="77777777" w:rsidR="00336767" w:rsidRPr="00405303" w:rsidRDefault="00336767" w:rsidP="00C15251">
      <w:pPr>
        <w:jc w:val="both"/>
        <w:rPr>
          <w:bCs/>
          <w:color w:val="002060"/>
          <w:sz w:val="16"/>
          <w:szCs w:val="16"/>
        </w:rPr>
      </w:pPr>
      <w:r w:rsidRPr="00405303">
        <w:rPr>
          <w:bCs/>
          <w:color w:val="002060"/>
          <w:sz w:val="16"/>
          <w:szCs w:val="16"/>
        </w:rPr>
        <w:t>18 февраля (3 марта) 1915 г.</w:t>
      </w:r>
    </w:p>
    <w:p w14:paraId="4115D1DA" w14:textId="77777777" w:rsidR="00336767" w:rsidRPr="00405303" w:rsidRDefault="00336767" w:rsidP="00C15251">
      <w:pPr>
        <w:jc w:val="both"/>
        <w:rPr>
          <w:bCs/>
          <w:color w:val="002060"/>
          <w:sz w:val="16"/>
          <w:szCs w:val="16"/>
        </w:rPr>
      </w:pPr>
      <w:r w:rsidRPr="00405303">
        <w:rPr>
          <w:bCs/>
          <w:color w:val="002060"/>
          <w:sz w:val="16"/>
          <w:szCs w:val="16"/>
        </w:rPr>
        <w:t>Письмо солдат 12-й воздухоплавательной роты Е.Д. Карамышеву 18 февраля 1915 г.,</w:t>
      </w:r>
      <w:bookmarkEnd w:id="51"/>
    </w:p>
    <w:p w14:paraId="7D205EC6" w14:textId="77777777" w:rsidR="00336767" w:rsidRPr="00405303" w:rsidRDefault="00336767" w:rsidP="00C15251">
      <w:pPr>
        <w:jc w:val="both"/>
        <w:rPr>
          <w:bCs/>
          <w:color w:val="002060"/>
          <w:sz w:val="16"/>
          <w:szCs w:val="16"/>
        </w:rPr>
      </w:pPr>
      <w:bookmarkStart w:id="52" w:name="bookmark142"/>
      <w:r w:rsidRPr="00405303">
        <w:rPr>
          <w:bCs/>
          <w:color w:val="002060"/>
          <w:sz w:val="16"/>
          <w:szCs w:val="16"/>
        </w:rPr>
        <w:t>дер. Сализи</w:t>
      </w:r>
      <w:bookmarkEnd w:id="52"/>
    </w:p>
    <w:p w14:paraId="5DE0D62D" w14:textId="77777777" w:rsidR="00336767" w:rsidRPr="00405303" w:rsidRDefault="00336767" w:rsidP="00C15251">
      <w:pPr>
        <w:jc w:val="both"/>
        <w:rPr>
          <w:bCs/>
          <w:color w:val="002060"/>
          <w:sz w:val="16"/>
          <w:szCs w:val="16"/>
        </w:rPr>
      </w:pPr>
      <w:r w:rsidRPr="00405303">
        <w:rPr>
          <w:bCs/>
          <w:color w:val="002060"/>
          <w:sz w:val="16"/>
          <w:szCs w:val="16"/>
        </w:rPr>
        <w:t>Ваше Высоко благородие письмо мы ваше получили 14 го февраля закоторос Покорнейше Вас благодарим все ваши подчинённые 914 года. Ваше Высоко Благородие мы очень рады что получили от вас письмо и пишу я вам ответ Ряд. В. Лапкин.</w:t>
      </w:r>
    </w:p>
    <w:p w14:paraId="15856D1E" w14:textId="77777777" w:rsidR="00336767" w:rsidRPr="00405303" w:rsidRDefault="00336767" w:rsidP="00C15251">
      <w:pPr>
        <w:jc w:val="both"/>
        <w:rPr>
          <w:bCs/>
          <w:color w:val="002060"/>
          <w:sz w:val="16"/>
          <w:szCs w:val="16"/>
        </w:rPr>
      </w:pPr>
      <w:r w:rsidRPr="00405303">
        <w:rPr>
          <w:bCs/>
          <w:color w:val="002060"/>
          <w:sz w:val="16"/>
          <w:szCs w:val="16"/>
        </w:rPr>
        <w:t xml:space="preserve">Ваше Высоко </w:t>
      </w:r>
      <w:proofErr w:type="gramStart"/>
      <w:r w:rsidRPr="00405303">
        <w:rPr>
          <w:bCs/>
          <w:color w:val="002060"/>
          <w:sz w:val="16"/>
          <w:szCs w:val="16"/>
        </w:rPr>
        <w:t>Благородие</w:t>
      </w:r>
      <w:proofErr w:type="gramEnd"/>
      <w:r w:rsidRPr="00405303">
        <w:rPr>
          <w:bCs/>
          <w:color w:val="002060"/>
          <w:sz w:val="16"/>
          <w:szCs w:val="16"/>
        </w:rPr>
        <w:t xml:space="preserve"> Просим вас нельзя ли нас взять к вам в роту хотя несколько че</w:t>
      </w:r>
      <w:r w:rsidRPr="00405303">
        <w:rPr>
          <w:bCs/>
          <w:color w:val="002060"/>
          <w:sz w:val="16"/>
          <w:szCs w:val="16"/>
        </w:rPr>
        <w:softHyphen/>
        <w:t xml:space="preserve">ловек 14 го года т.е. </w:t>
      </w:r>
      <w:proofErr w:type="gramStart"/>
      <w:r w:rsidRPr="00405303">
        <w:rPr>
          <w:bCs/>
          <w:color w:val="002060"/>
          <w:sz w:val="16"/>
          <w:szCs w:val="16"/>
        </w:rPr>
        <w:t>ваших подчинённых</w:t>
      </w:r>
      <w:proofErr w:type="gramEnd"/>
      <w:r w:rsidRPr="00405303">
        <w:rPr>
          <w:bCs/>
          <w:color w:val="002060"/>
          <w:sz w:val="16"/>
          <w:szCs w:val="16"/>
        </w:rPr>
        <w:t xml:space="preserve"> которых Вы обучали.</w:t>
      </w:r>
    </w:p>
    <w:p w14:paraId="3AB7D989" w14:textId="77777777" w:rsidR="00336767" w:rsidRPr="00405303" w:rsidRDefault="00336767" w:rsidP="00C15251">
      <w:pPr>
        <w:jc w:val="both"/>
        <w:rPr>
          <w:bCs/>
          <w:color w:val="002060"/>
          <w:sz w:val="16"/>
          <w:szCs w:val="16"/>
        </w:rPr>
      </w:pPr>
      <w:r w:rsidRPr="00405303">
        <w:rPr>
          <w:bCs/>
          <w:color w:val="002060"/>
          <w:sz w:val="16"/>
          <w:szCs w:val="16"/>
        </w:rPr>
        <w:t>Мы очень желаем идти с Вами вместе в бой неужели быть в дер. Сализях потому что 14 й год давно уже все на войне только мы ещё не попали все сидим в Сализях, если Вы не возьмёте нас Ваше Высоко благородие тогда нам и вовсе не придётся быть на войне потому что у нас аэростат Гигант потерпел большую Аварию при первом полете, упал в лесу недале</w:t>
      </w:r>
      <w:r w:rsidRPr="00405303">
        <w:rPr>
          <w:bCs/>
          <w:color w:val="002060"/>
          <w:sz w:val="16"/>
          <w:szCs w:val="16"/>
        </w:rPr>
        <w:softHyphen/>
        <w:t>ко от поворота где ходим в Мариенбург теперь опять долго его не собрать потому что обо</w:t>
      </w:r>
      <w:r w:rsidRPr="00405303">
        <w:rPr>
          <w:bCs/>
          <w:color w:val="002060"/>
          <w:sz w:val="16"/>
          <w:szCs w:val="16"/>
        </w:rPr>
        <w:softHyphen/>
        <w:t>лочку отправят на фабрику расставлять, Мы радовались что вот Гигант готов скоро поедем на войну да и не привёл нам Господь быть с Гигантом на войне.</w:t>
      </w:r>
    </w:p>
    <w:p w14:paraId="3A213B1B" w14:textId="77777777" w:rsidR="00336767" w:rsidRPr="00405303" w:rsidRDefault="00336767" w:rsidP="00C15251">
      <w:pPr>
        <w:jc w:val="both"/>
        <w:rPr>
          <w:bCs/>
          <w:color w:val="002060"/>
          <w:sz w:val="16"/>
          <w:szCs w:val="16"/>
        </w:rPr>
      </w:pPr>
      <w:r w:rsidRPr="00405303">
        <w:rPr>
          <w:bCs/>
          <w:color w:val="002060"/>
          <w:sz w:val="16"/>
          <w:szCs w:val="16"/>
        </w:rPr>
        <w:t>Мы опять будем проситься к вам Ваше Высоко благородие не оставте нашей прозьбы на</w:t>
      </w:r>
      <w:r w:rsidRPr="00405303">
        <w:rPr>
          <w:bCs/>
          <w:color w:val="002060"/>
          <w:sz w:val="16"/>
          <w:szCs w:val="16"/>
        </w:rPr>
        <w:softHyphen/>
        <w:t xml:space="preserve">шего 14 го </w:t>
      </w:r>
      <w:proofErr w:type="gramStart"/>
      <w:r w:rsidRPr="00405303">
        <w:rPr>
          <w:bCs/>
          <w:color w:val="002060"/>
          <w:sz w:val="16"/>
          <w:szCs w:val="16"/>
        </w:rPr>
        <w:t>года</w:t>
      </w:r>
      <w:proofErr w:type="gramEnd"/>
      <w:r w:rsidRPr="00405303">
        <w:rPr>
          <w:bCs/>
          <w:color w:val="002060"/>
          <w:sz w:val="16"/>
          <w:szCs w:val="16"/>
        </w:rPr>
        <w:t xml:space="preserve"> Хотя человек 5 или сколько вы желаете желающие идти с вами в бой.</w:t>
      </w:r>
    </w:p>
    <w:p w14:paraId="27E54896" w14:textId="77777777" w:rsidR="00336767" w:rsidRPr="00405303" w:rsidRDefault="00336767" w:rsidP="00C15251">
      <w:pPr>
        <w:jc w:val="both"/>
        <w:rPr>
          <w:bCs/>
          <w:color w:val="002060"/>
          <w:sz w:val="16"/>
          <w:szCs w:val="16"/>
        </w:rPr>
      </w:pPr>
      <w:r w:rsidRPr="00405303">
        <w:rPr>
          <w:bCs/>
          <w:color w:val="002060"/>
          <w:sz w:val="16"/>
          <w:szCs w:val="16"/>
        </w:rPr>
        <w:t>Ряд. В. Лапкин, Ф. Филатов, Г. Фролов, А. Кузьмин, В. Каюков, Н. Смолин, С. Рыбкин, Н. Богданов, Г. Журавлев, А. 3абродин, И. Богданов</w:t>
      </w:r>
    </w:p>
    <w:p w14:paraId="221E6ACD" w14:textId="77777777" w:rsidR="00336767" w:rsidRPr="00405303" w:rsidRDefault="00336767" w:rsidP="00C15251">
      <w:pPr>
        <w:jc w:val="both"/>
        <w:rPr>
          <w:bCs/>
          <w:color w:val="002060"/>
          <w:sz w:val="16"/>
          <w:szCs w:val="16"/>
        </w:rPr>
      </w:pPr>
      <w:r w:rsidRPr="00405303">
        <w:rPr>
          <w:bCs/>
          <w:color w:val="002060"/>
          <w:sz w:val="16"/>
          <w:szCs w:val="16"/>
        </w:rPr>
        <w:t xml:space="preserve">Ваше Высоко Благородие письмо вам прислал без подписи Рыбкин он </w:t>
      </w:r>
      <w:proofErr w:type="gramStart"/>
      <w:r w:rsidRPr="00405303">
        <w:rPr>
          <w:bCs/>
          <w:color w:val="002060"/>
          <w:sz w:val="16"/>
          <w:szCs w:val="16"/>
        </w:rPr>
        <w:t>думал</w:t>
      </w:r>
      <w:proofErr w:type="gramEnd"/>
      <w:r w:rsidRPr="00405303">
        <w:rPr>
          <w:bCs/>
          <w:color w:val="002060"/>
          <w:sz w:val="16"/>
          <w:szCs w:val="16"/>
        </w:rPr>
        <w:t xml:space="preserve"> что подписал и опустил из виду.</w:t>
      </w:r>
    </w:p>
    <w:p w14:paraId="03F3F8D1" w14:textId="77777777" w:rsidR="00336767" w:rsidRPr="00405303" w:rsidRDefault="00336767" w:rsidP="00C15251">
      <w:pPr>
        <w:jc w:val="both"/>
        <w:rPr>
          <w:bCs/>
          <w:color w:val="002060"/>
          <w:sz w:val="16"/>
          <w:szCs w:val="16"/>
        </w:rPr>
      </w:pPr>
      <w:r w:rsidRPr="00405303">
        <w:rPr>
          <w:bCs/>
          <w:color w:val="002060"/>
          <w:sz w:val="16"/>
          <w:szCs w:val="16"/>
        </w:rPr>
        <w:t>Прошу вас Ваше Высоко Благородие неоставте нашей прозьбы постарайтесь похлопотать за 14 й год.</w:t>
      </w:r>
    </w:p>
    <w:p w14:paraId="419D2232" w14:textId="77777777" w:rsidR="00336767" w:rsidRPr="00405303" w:rsidRDefault="00336767" w:rsidP="00C15251">
      <w:pPr>
        <w:jc w:val="both"/>
        <w:rPr>
          <w:bCs/>
          <w:color w:val="002060"/>
          <w:sz w:val="16"/>
          <w:szCs w:val="16"/>
        </w:rPr>
      </w:pPr>
      <w:r w:rsidRPr="00405303">
        <w:rPr>
          <w:bCs/>
          <w:color w:val="002060"/>
          <w:sz w:val="16"/>
          <w:szCs w:val="16"/>
        </w:rPr>
        <w:t>Подписал</w:t>
      </w:r>
    </w:p>
    <w:p w14:paraId="4435C1D0" w14:textId="77777777" w:rsidR="00336767" w:rsidRPr="00405303" w:rsidRDefault="00336767" w:rsidP="00C15251">
      <w:pPr>
        <w:jc w:val="both"/>
        <w:rPr>
          <w:bCs/>
          <w:color w:val="002060"/>
          <w:sz w:val="16"/>
          <w:szCs w:val="16"/>
        </w:rPr>
      </w:pPr>
      <w:r w:rsidRPr="00405303">
        <w:rPr>
          <w:bCs/>
          <w:color w:val="002060"/>
          <w:sz w:val="16"/>
          <w:szCs w:val="16"/>
        </w:rPr>
        <w:t>Ряд. Василий Лапкин 12 й Воздухоп. роты.</w:t>
      </w:r>
    </w:p>
    <w:p w14:paraId="5D5926BF" w14:textId="77777777" w:rsidR="00336767" w:rsidRPr="00405303" w:rsidRDefault="00336767" w:rsidP="00C15251">
      <w:pPr>
        <w:jc w:val="both"/>
        <w:rPr>
          <w:bCs/>
          <w:color w:val="002060"/>
          <w:sz w:val="16"/>
          <w:szCs w:val="16"/>
        </w:rPr>
      </w:pPr>
      <w:r w:rsidRPr="00405303">
        <w:rPr>
          <w:bCs/>
          <w:color w:val="002060"/>
          <w:sz w:val="16"/>
          <w:szCs w:val="16"/>
        </w:rPr>
        <w:lastRenderedPageBreak/>
        <w:t>Из личного архива Е.Д. Карамышева. Орфография документа сохранена (20120).</w:t>
      </w:r>
    </w:p>
    <w:p w14:paraId="40305397" w14:textId="77777777" w:rsidR="00336767" w:rsidRPr="00405303" w:rsidRDefault="00336767" w:rsidP="00C15251">
      <w:pPr>
        <w:jc w:val="both"/>
        <w:rPr>
          <w:bCs/>
          <w:color w:val="002060"/>
          <w:sz w:val="16"/>
          <w:szCs w:val="16"/>
        </w:rPr>
      </w:pPr>
    </w:p>
    <w:p w14:paraId="0C7B9358" w14:textId="7E4B73A2" w:rsidR="006603C8" w:rsidRPr="00405303" w:rsidRDefault="006603C8" w:rsidP="006603C8">
      <w:pPr>
        <w:jc w:val="both"/>
        <w:rPr>
          <w:bCs/>
          <w:i/>
          <w:color w:val="002060"/>
          <w:sz w:val="16"/>
          <w:szCs w:val="16"/>
        </w:rPr>
      </w:pPr>
      <w:r w:rsidRPr="00405303">
        <w:rPr>
          <w:bCs/>
          <w:i/>
          <w:color w:val="002060"/>
          <w:sz w:val="16"/>
          <w:szCs w:val="16"/>
        </w:rPr>
        <w:t>Армия:</w:t>
      </w:r>
    </w:p>
    <w:p w14:paraId="7BD04B57" w14:textId="77777777" w:rsidR="006603C8" w:rsidRPr="00405303" w:rsidRDefault="006603C8" w:rsidP="006603C8">
      <w:pPr>
        <w:jc w:val="both"/>
        <w:rPr>
          <w:bCs/>
          <w:i/>
          <w:color w:val="002060"/>
          <w:sz w:val="16"/>
          <w:szCs w:val="16"/>
        </w:rPr>
      </w:pPr>
    </w:p>
    <w:p w14:paraId="7D0CC073" w14:textId="77777777" w:rsidR="006603C8" w:rsidRPr="00405303" w:rsidRDefault="006603C8" w:rsidP="006603C8">
      <w:pPr>
        <w:jc w:val="both"/>
        <w:rPr>
          <w:color w:val="0070C0"/>
          <w:sz w:val="16"/>
          <w:szCs w:val="16"/>
        </w:rPr>
      </w:pPr>
      <w:r w:rsidRPr="00405303">
        <w:rPr>
          <w:color w:val="0070C0"/>
          <w:sz w:val="16"/>
          <w:szCs w:val="16"/>
        </w:rPr>
        <w:t>18 февраля (3 марта) 1915 года генерал-квартирмейстер штаба Северо-Западного фронта докладывал дежурному генералу при Верховном Главно</w:t>
      </w:r>
      <w:r w:rsidRPr="00405303">
        <w:rPr>
          <w:color w:val="0070C0"/>
          <w:sz w:val="16"/>
          <w:szCs w:val="16"/>
        </w:rPr>
        <w:softHyphen/>
        <w:t>командующем о применении автопулеметных взводов на «остинах» в 12-й армии сле</w:t>
      </w:r>
      <w:r w:rsidRPr="00405303">
        <w:rPr>
          <w:color w:val="0070C0"/>
          <w:sz w:val="16"/>
          <w:szCs w:val="16"/>
        </w:rPr>
        <w:softHyphen/>
        <w:t>дующее:</w:t>
      </w:r>
    </w:p>
    <w:p w14:paraId="6D3FF47C" w14:textId="77777777" w:rsidR="006603C8" w:rsidRPr="00405303" w:rsidRDefault="006603C8" w:rsidP="006603C8">
      <w:pPr>
        <w:jc w:val="both"/>
        <w:rPr>
          <w:color w:val="0070C0"/>
          <w:sz w:val="16"/>
          <w:szCs w:val="16"/>
        </w:rPr>
      </w:pPr>
      <w:r w:rsidRPr="00405303">
        <w:rPr>
          <w:color w:val="0070C0"/>
          <w:sz w:val="16"/>
          <w:szCs w:val="16"/>
        </w:rPr>
        <w:t>«22 февраля после проведенной разведки было решено направить автомобили для со</w:t>
      </w:r>
      <w:r w:rsidRPr="00405303">
        <w:rPr>
          <w:color w:val="0070C0"/>
          <w:sz w:val="16"/>
          <w:szCs w:val="16"/>
        </w:rPr>
        <w:softHyphen/>
        <w:t>действия атаке по дороге в направлении промежутка между Сестржанкой и Моцарже, и затем через лес по дороге на местеч</w:t>
      </w:r>
      <w:r w:rsidRPr="00405303">
        <w:rPr>
          <w:color w:val="0070C0"/>
          <w:sz w:val="16"/>
          <w:szCs w:val="16"/>
        </w:rPr>
        <w:softHyphen/>
        <w:t>ко Дзюбели.</w:t>
      </w:r>
    </w:p>
    <w:p w14:paraId="49932ADD" w14:textId="77777777" w:rsidR="006603C8" w:rsidRPr="00405303" w:rsidRDefault="006603C8" w:rsidP="006603C8">
      <w:pPr>
        <w:jc w:val="both"/>
        <w:rPr>
          <w:color w:val="0070C0"/>
          <w:sz w:val="16"/>
          <w:szCs w:val="16"/>
        </w:rPr>
      </w:pPr>
      <w:r w:rsidRPr="00405303">
        <w:rPr>
          <w:color w:val="0070C0"/>
          <w:sz w:val="16"/>
          <w:szCs w:val="16"/>
        </w:rPr>
        <w:t>Выйдя в 7 часов утра, автомобили подошли к противнику на 900 шагов и открыли огонь. Противник немедленно открыл пулеметный огонь, которым броня автомобилей была пробита в нескольких местах. На автомобиле «Сильный» был убит поручик Рубец и ранен шофер, после чего автомобиль ушел. На ав</w:t>
      </w:r>
      <w:r w:rsidRPr="00405303">
        <w:rPr>
          <w:color w:val="0070C0"/>
          <w:sz w:val="16"/>
          <w:szCs w:val="16"/>
        </w:rPr>
        <w:softHyphen/>
        <w:t>томобиле «Славный» двумя пулями ранен шофер, убит подпоручик Иогансон и ранен штабс-капитан Цорн. Ввиду остановки ма</w:t>
      </w:r>
      <w:r w:rsidRPr="00405303">
        <w:rPr>
          <w:color w:val="0070C0"/>
          <w:sz w:val="16"/>
          <w:szCs w:val="16"/>
        </w:rPr>
        <w:softHyphen/>
        <w:t>шины штабс-капитан Цорн лично пробрался до наших окопов, и с наступлением темноты «Славный» был вывезен из-под огня.</w:t>
      </w:r>
    </w:p>
    <w:p w14:paraId="2DE036D4" w14:textId="77777777" w:rsidR="006603C8" w:rsidRPr="00405303" w:rsidRDefault="006603C8" w:rsidP="006603C8">
      <w:pPr>
        <w:jc w:val="both"/>
        <w:rPr>
          <w:color w:val="0070C0"/>
          <w:sz w:val="16"/>
          <w:szCs w:val="16"/>
        </w:rPr>
      </w:pPr>
      <w:r w:rsidRPr="00405303">
        <w:rPr>
          <w:color w:val="0070C0"/>
          <w:sz w:val="16"/>
          <w:szCs w:val="16"/>
        </w:rPr>
        <w:t>Существенной пользы автомобили не при</w:t>
      </w:r>
      <w:r w:rsidRPr="00405303">
        <w:rPr>
          <w:color w:val="0070C0"/>
          <w:sz w:val="16"/>
          <w:szCs w:val="16"/>
        </w:rPr>
        <w:softHyphen/>
        <w:t>несли, так как действовали против укрепленной позиции противника с несоответству</w:t>
      </w:r>
      <w:r w:rsidRPr="00405303">
        <w:rPr>
          <w:color w:val="0070C0"/>
          <w:sz w:val="16"/>
          <w:szCs w:val="16"/>
        </w:rPr>
        <w:softHyphen/>
        <w:t>ющими для них целями: по редким цепям и изготовившимся к стрельбе пулеметам. Потери: убиты поручики Иогансон и Рубец, ранены штабс-капитан Цорн и четыре ниж</w:t>
      </w:r>
      <w:r w:rsidRPr="00405303">
        <w:rPr>
          <w:color w:val="0070C0"/>
          <w:sz w:val="16"/>
          <w:szCs w:val="16"/>
        </w:rPr>
        <w:softHyphen/>
        <w:t>них чина».</w:t>
      </w:r>
    </w:p>
    <w:p w14:paraId="0DA434FE" w14:textId="77777777" w:rsidR="006603C8" w:rsidRPr="00405303" w:rsidRDefault="006603C8" w:rsidP="006603C8">
      <w:pPr>
        <w:jc w:val="both"/>
        <w:rPr>
          <w:color w:val="0070C0"/>
          <w:sz w:val="16"/>
          <w:szCs w:val="16"/>
        </w:rPr>
      </w:pPr>
      <w:r w:rsidRPr="00405303">
        <w:rPr>
          <w:color w:val="0070C0"/>
          <w:sz w:val="16"/>
          <w:szCs w:val="16"/>
        </w:rPr>
        <w:t>Это печальный опыт послужил толчком для перебронировки всех прибывших из Ан</w:t>
      </w:r>
      <w:r w:rsidRPr="00405303">
        <w:rPr>
          <w:color w:val="0070C0"/>
          <w:sz w:val="16"/>
          <w:szCs w:val="16"/>
        </w:rPr>
        <w:softHyphen/>
        <w:t>глии «остинов» более толстой броней (25008).</w:t>
      </w:r>
    </w:p>
    <w:p w14:paraId="6F919CCF" w14:textId="77777777" w:rsidR="006603C8" w:rsidRPr="00405303" w:rsidRDefault="006603C8" w:rsidP="006603C8">
      <w:pPr>
        <w:jc w:val="both"/>
        <w:rPr>
          <w:color w:val="0070C0"/>
          <w:sz w:val="16"/>
          <w:szCs w:val="16"/>
        </w:rPr>
      </w:pPr>
    </w:p>
    <w:p w14:paraId="739E1D4D" w14:textId="77777777" w:rsidR="00337A06" w:rsidRPr="00405303" w:rsidRDefault="00337A06" w:rsidP="00C15251">
      <w:pPr>
        <w:jc w:val="both"/>
        <w:rPr>
          <w:bCs/>
          <w:i/>
          <w:color w:val="002060"/>
          <w:sz w:val="16"/>
          <w:szCs w:val="16"/>
        </w:rPr>
      </w:pPr>
      <w:r w:rsidRPr="00405303">
        <w:rPr>
          <w:bCs/>
          <w:i/>
          <w:color w:val="002060"/>
          <w:sz w:val="16"/>
          <w:szCs w:val="16"/>
        </w:rPr>
        <w:t>Авиация и воздухоплавание за рубежом:</w:t>
      </w:r>
    </w:p>
    <w:p w14:paraId="13D7114E" w14:textId="77777777" w:rsidR="00337A06" w:rsidRPr="00405303" w:rsidRDefault="00337A06" w:rsidP="00C15251">
      <w:pPr>
        <w:jc w:val="both"/>
        <w:rPr>
          <w:bCs/>
          <w:i/>
          <w:color w:val="002060"/>
          <w:sz w:val="16"/>
          <w:szCs w:val="16"/>
        </w:rPr>
      </w:pPr>
    </w:p>
    <w:p w14:paraId="3CBF9A67" w14:textId="075D8EFD" w:rsidR="00337A06" w:rsidRPr="00405303" w:rsidRDefault="009D37E3" w:rsidP="00C15251">
      <w:pPr>
        <w:shd w:val="clear" w:color="auto" w:fill="FFFFFF"/>
        <w:jc w:val="both"/>
        <w:rPr>
          <w:bCs/>
          <w:color w:val="002060"/>
          <w:sz w:val="16"/>
          <w:szCs w:val="16"/>
        </w:rPr>
      </w:pPr>
      <w:r w:rsidRPr="00405303">
        <w:rPr>
          <w:bCs/>
          <w:color w:val="002060"/>
          <w:sz w:val="16"/>
          <w:szCs w:val="16"/>
        </w:rPr>
        <w:t>18 февраля (</w:t>
      </w:r>
      <w:r w:rsidR="00337A06" w:rsidRPr="00405303">
        <w:rPr>
          <w:bCs/>
          <w:color w:val="002060"/>
          <w:sz w:val="16"/>
          <w:szCs w:val="16"/>
        </w:rPr>
        <w:t>3) марта 1915 В США основан NACA, предшественник NASA (1137).</w:t>
      </w:r>
    </w:p>
    <w:p w14:paraId="1D933CAF" w14:textId="77777777" w:rsidR="00337A06" w:rsidRPr="00405303" w:rsidRDefault="00337A06" w:rsidP="00C15251">
      <w:pPr>
        <w:shd w:val="clear" w:color="auto" w:fill="FFFFFF"/>
        <w:jc w:val="both"/>
        <w:rPr>
          <w:bCs/>
          <w:color w:val="002060"/>
          <w:sz w:val="16"/>
          <w:szCs w:val="16"/>
        </w:rPr>
      </w:pPr>
    </w:p>
    <w:p w14:paraId="348BC231" w14:textId="77777777" w:rsidR="00337A06" w:rsidRPr="00405303" w:rsidRDefault="00337A06" w:rsidP="00C15251">
      <w:pPr>
        <w:jc w:val="both"/>
        <w:rPr>
          <w:bCs/>
          <w:color w:val="002060"/>
          <w:sz w:val="16"/>
          <w:szCs w:val="16"/>
        </w:rPr>
      </w:pPr>
      <w:r w:rsidRPr="00405303">
        <w:rPr>
          <w:bCs/>
          <w:color w:val="002060"/>
          <w:sz w:val="16"/>
          <w:szCs w:val="16"/>
        </w:rPr>
        <w:t>18 февраля (3 марта) в 1915 году в США основан Национальный консультативный комитет по аэронавтике (National Advisory Committee for Aeronautics, сокращённо - NACA). С 1 октября 1958 - Национальное управление по аэронавтике и исследованию космического пространства - NASA) (15057).</w:t>
      </w:r>
    </w:p>
    <w:p w14:paraId="70A5A99D" w14:textId="77777777" w:rsidR="00337A06" w:rsidRPr="00405303" w:rsidRDefault="00337A06" w:rsidP="00C15251">
      <w:pPr>
        <w:jc w:val="both"/>
        <w:rPr>
          <w:bCs/>
          <w:color w:val="002060"/>
          <w:sz w:val="16"/>
          <w:szCs w:val="16"/>
        </w:rPr>
      </w:pPr>
    </w:p>
    <w:p w14:paraId="680E681D" w14:textId="77777777" w:rsidR="00B15685" w:rsidRPr="00405303" w:rsidRDefault="00B15685" w:rsidP="00C15251">
      <w:pPr>
        <w:jc w:val="both"/>
        <w:rPr>
          <w:bCs/>
          <w:color w:val="002060"/>
          <w:sz w:val="16"/>
          <w:szCs w:val="16"/>
        </w:rPr>
      </w:pPr>
      <w:r w:rsidRPr="00405303">
        <w:rPr>
          <w:bCs/>
          <w:color w:val="002060"/>
          <w:sz w:val="16"/>
          <w:szCs w:val="16"/>
        </w:rPr>
        <w:t>18 февраля (3 марта) 1915 в Соединенных Штатах актом Конгресса создается Национальный консультативный комитет по аэронавтике (NACA). Будет работать до 1 октября 1958 года, когда его заменит Национальное управление по аэронавтике и исследованию космического пространства (НАСА) (20338).</w:t>
      </w:r>
    </w:p>
    <w:p w14:paraId="0BBD0A7D" w14:textId="77777777" w:rsidR="00B15685" w:rsidRPr="00405303" w:rsidRDefault="00B15685" w:rsidP="00C15251">
      <w:pPr>
        <w:jc w:val="both"/>
        <w:rPr>
          <w:bCs/>
          <w:color w:val="002060"/>
          <w:sz w:val="16"/>
          <w:szCs w:val="16"/>
        </w:rPr>
      </w:pPr>
    </w:p>
    <w:p w14:paraId="1E68E7BF"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398F39AB" w14:textId="77777777" w:rsidR="004B4E35" w:rsidRPr="00405303" w:rsidRDefault="004B4E35" w:rsidP="00C15251">
      <w:pPr>
        <w:jc w:val="both"/>
        <w:rPr>
          <w:bCs/>
          <w:i/>
          <w:color w:val="002060"/>
          <w:sz w:val="16"/>
          <w:szCs w:val="16"/>
        </w:rPr>
      </w:pPr>
    </w:p>
    <w:p w14:paraId="46A42033" w14:textId="37CE3F57" w:rsidR="00E933EE" w:rsidRPr="00405303" w:rsidRDefault="00E933EE" w:rsidP="00C15251">
      <w:pPr>
        <w:jc w:val="both"/>
        <w:rPr>
          <w:bCs/>
          <w:color w:val="002060"/>
          <w:sz w:val="16"/>
          <w:szCs w:val="16"/>
        </w:rPr>
      </w:pPr>
      <w:r w:rsidRPr="00405303">
        <w:rPr>
          <w:bCs/>
          <w:color w:val="002060"/>
          <w:sz w:val="16"/>
          <w:szCs w:val="16"/>
        </w:rPr>
        <w:t xml:space="preserve">19 февраля </w:t>
      </w:r>
      <w:r w:rsidR="00797C5F" w:rsidRPr="00405303">
        <w:rPr>
          <w:bCs/>
          <w:color w:val="002060"/>
          <w:sz w:val="16"/>
          <w:szCs w:val="16"/>
        </w:rPr>
        <w:t xml:space="preserve">(4 марта) </w:t>
      </w:r>
      <w:r w:rsidRPr="00405303">
        <w:rPr>
          <w:bCs/>
          <w:color w:val="002060"/>
          <w:sz w:val="16"/>
          <w:szCs w:val="16"/>
        </w:rPr>
        <w:t>в 1915 году на Путиловский завод для копирования доставлена трофейная германская 170-мм мортира. На ее основе была создана 6-дюймовая окопная мортира образца 1915 г. (выпущено около 60 штук) (15045).</w:t>
      </w:r>
    </w:p>
    <w:p w14:paraId="21741E85" w14:textId="77777777" w:rsidR="00E933EE" w:rsidRPr="00405303" w:rsidRDefault="00E933EE" w:rsidP="00C15251">
      <w:pPr>
        <w:jc w:val="both"/>
        <w:rPr>
          <w:bCs/>
          <w:color w:val="002060"/>
          <w:sz w:val="16"/>
          <w:szCs w:val="16"/>
        </w:rPr>
      </w:pPr>
    </w:p>
    <w:p w14:paraId="7C19E4A3" w14:textId="7C13A7DB"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19 февраля (4 марта)</w:t>
      </w:r>
      <w:r w:rsidR="00797C5F" w:rsidRPr="00405303">
        <w:rPr>
          <w:bCs/>
          <w:i w:val="0"/>
          <w:color w:val="002060"/>
          <w:spacing w:val="0"/>
          <w:kern w:val="0"/>
          <w:position w:val="0"/>
          <w:sz w:val="16"/>
          <w:szCs w:val="16"/>
        </w:rPr>
        <w:t xml:space="preserve"> 1915 г., как видно из письма председателя Совета министров к военному министру</w:t>
      </w:r>
      <w:r w:rsidRPr="00405303">
        <w:rPr>
          <w:bCs/>
          <w:i w:val="0"/>
          <w:color w:val="002060"/>
          <w:spacing w:val="0"/>
          <w:kern w:val="0"/>
          <w:position w:val="0"/>
          <w:sz w:val="16"/>
          <w:szCs w:val="16"/>
        </w:rPr>
        <w:t>, "считаясь с вполне лойяльным и в общем спокойным настроением фабрично-заводского населения и опасаясь дать повод к нежелательным толкам и волнениям", окончательно отклонил это предложение.</w:t>
      </w:r>
    </w:p>
    <w:p w14:paraId="08652A0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Попрежнему оставались такие факты, как, например, уход сразу 3.000 человек (в летнее время) с одного из оружейных заводов, единственного в России, изготовляющего ствольные и коробочные болванки (для всех оружейных заводов), 1.000 человек - с Сормовского завода, 700 человек - с завода Посселя и т. д. </w:t>
      </w:r>
    </w:p>
    <w:p w14:paraId="2C0A9FF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4. Мобилизационная готовность заводов не была охранена и в техническом отношении. В то время, как в течение целого десятилетия перед войной морили заводы мизерными нарядами, как бы умышленно ограничивая их возможность к дальнейшему усовершенствованию и вытравляя из них все навыки их трудной специальности, - в это же время из-за неразумно понимаемой экономии загромождали эти заводы производствами, для которых следовало иметь самостоятельные заводы: станки механические (особый отдел); пулеметы, станки для них; револьверы, шрапнели, пружины накатника для полевых орудий, взрыватели, патронные обоймы, вьючные приспособления, пики для кавале-рии и т. п. Все эти предметы с началом войны оказались также в самом срочном спросе и притом в максимальном количестве, поэтому выбросить их прямо с заводов оказалось невозможным, ибо для производства их нигде не было заготовлено самостоятельных мастерских, и их пришлось оставить на оружейных заводах в явный ущерб прямому делу. </w:t>
      </w:r>
    </w:p>
    <w:p w14:paraId="2EA7BAD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Вот неизбежное и логическое последствие той мудрой "экономической" политики, по которой, например, оружейные заводы получали, чтобы не даром шли деньги на их содержание, всякие наряды, кроме тех, для которых они специально назначены... Здесь интересно отметить факт, что начальство и технический персонал заводов не только не противились такому "изнасилованию" их, а напротив, сами шли навстречу этому - лишь бы завод хотя таким способом получил какую-нибудь работу. </w:t>
      </w:r>
    </w:p>
    <w:p w14:paraId="73B8C55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Сокращая в мирное время производство казенных военных заводов, царское правительство своевременно не обеспечило заводы ни соответствующим оборудованием, ни даже запасами необходимых материалов и топлива на случай войны и закрытия границ (11483).</w:t>
      </w:r>
    </w:p>
    <w:p w14:paraId="12769922" w14:textId="77777777" w:rsidR="004B4E35" w:rsidRPr="00405303" w:rsidRDefault="004B4E35" w:rsidP="00C15251">
      <w:pPr>
        <w:pStyle w:val="a3"/>
        <w:jc w:val="both"/>
        <w:rPr>
          <w:bCs/>
          <w:i w:val="0"/>
          <w:color w:val="002060"/>
          <w:spacing w:val="0"/>
          <w:kern w:val="0"/>
          <w:position w:val="0"/>
          <w:sz w:val="16"/>
          <w:szCs w:val="16"/>
        </w:rPr>
      </w:pPr>
    </w:p>
    <w:p w14:paraId="6ADD659F"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4A906E69" w14:textId="77777777" w:rsidR="004B4E35" w:rsidRPr="00405303" w:rsidRDefault="004B4E35" w:rsidP="00C15251">
      <w:pPr>
        <w:jc w:val="both"/>
        <w:rPr>
          <w:bCs/>
          <w:i/>
          <w:color w:val="002060"/>
          <w:sz w:val="16"/>
          <w:szCs w:val="16"/>
        </w:rPr>
      </w:pPr>
    </w:p>
    <w:p w14:paraId="21E8907B" w14:textId="191B84C8" w:rsidR="004B4E35" w:rsidRPr="00405303" w:rsidRDefault="009E6F82" w:rsidP="00C15251">
      <w:pPr>
        <w:jc w:val="both"/>
        <w:rPr>
          <w:bCs/>
          <w:color w:val="002060"/>
          <w:sz w:val="16"/>
          <w:szCs w:val="16"/>
        </w:rPr>
      </w:pPr>
      <w:r w:rsidRPr="00405303">
        <w:rPr>
          <w:bCs/>
          <w:color w:val="002060"/>
          <w:sz w:val="16"/>
          <w:szCs w:val="16"/>
        </w:rPr>
        <w:t>19 февраля (4 марта) 1915 капитан Горшков совершил последний тренировочный полет, и на 21 февраля был назначён боевой вылет. Он держался в секрете, и корабль провожали только генерал Шидловский, его адъютант и Сикорский. После вылета экипажа Горшкова личному составу было объявлено о начале боевой работы (11230).</w:t>
      </w:r>
    </w:p>
    <w:p w14:paraId="71FB8C75" w14:textId="77777777" w:rsidR="004B4E35" w:rsidRPr="00405303" w:rsidRDefault="009E6F82" w:rsidP="00C15251">
      <w:pPr>
        <w:jc w:val="both"/>
        <w:rPr>
          <w:bCs/>
          <w:color w:val="002060"/>
          <w:sz w:val="16"/>
          <w:szCs w:val="16"/>
        </w:rPr>
      </w:pPr>
      <w:r w:rsidRPr="00405303">
        <w:rPr>
          <w:bCs/>
          <w:color w:val="002060"/>
          <w:sz w:val="16"/>
          <w:szCs w:val="16"/>
        </w:rPr>
        <w:t>"Муромец" медленно набирал высоту. Командир сделал над аэродромом два круга и на высоте 1800 м лег на курс. Было ясно и тихо. Ни ветерка. Корабль, кажется, стоял в недвижном воздухе. Ровно гудели моторы, все выло в порядке. Каждый молча занимался своим делом, каждый был углублен в себя. Все-таки первый боевой вылет. Как поведет себя противник, как машина, ведь она ничем не защищена снизу. В косых лучах утреннего солнца четко просматривались неприятельские окопы. Наумов работал с картой, сверяя ее с местностью, Башко был наготове рядом с командиром. Но нес было тихо. Зенитки не стреляли, истребителей не видно. Самолет углубился в тыл противника. Моторист Чучелов, уставший ждать неприятеля, покинул свой пост и сходил проверил двигатели. Все было в порядке. Полет протекал нормально. Прошли две станции, сфотографировали поезд, а конечного пункта маршрута Пилленберга все не было. Горшков грозно посматривал штурмана, тот нервничал. Стало ясно - заблудились. Горшков повернул назад. При проходе линии фронта у всех опять засосало под ложечкой, но все было спокойно. Уже на снижении вспомнили о бомбах, но делать нечего, пришлось с ними садиться. Что ж, пер вый блин комом. С горечью пришлось доложить генералу о неполном выполнении боевого задания. Тем не менее первый боевой опыт уже был. Тщательно осмотрели корабль - ни единой царапины. Неудовлетворенный результатами вылета. Горшков решил повторить вылет прямо на следующий день. Уже по знакомому маршруту точно вышли на Вилленберг и сделали три захода - на первом пристрелка, на втором сбросили серию из пяти бомб, на третьем сфотографировали станцию, уже окутанную дымом. Попадания были точными, прямо среди подвижного состава. На обратном пути "Муромца" с земли дважды обстреляли из пулеметов, и опять ни одной пробоины. Опыта стрельбы по таким мишеням у неприятеля пока еще не было. Этими двумя полетами и началась боевая работа эскадры (11230).</w:t>
      </w:r>
    </w:p>
    <w:p w14:paraId="5A48532C" w14:textId="77777777" w:rsidR="004B4E35" w:rsidRPr="00405303" w:rsidRDefault="004B4E35" w:rsidP="00C15251">
      <w:pPr>
        <w:jc w:val="both"/>
        <w:rPr>
          <w:bCs/>
          <w:color w:val="002060"/>
          <w:sz w:val="16"/>
          <w:szCs w:val="16"/>
        </w:rPr>
      </w:pPr>
    </w:p>
    <w:p w14:paraId="45DB8223" w14:textId="37F3CCDF" w:rsidR="008A24A3" w:rsidRPr="00405303" w:rsidRDefault="008A24A3" w:rsidP="00C15251">
      <w:pPr>
        <w:jc w:val="both"/>
        <w:rPr>
          <w:bCs/>
          <w:color w:val="002060"/>
          <w:sz w:val="16"/>
          <w:szCs w:val="16"/>
        </w:rPr>
      </w:pPr>
      <w:r w:rsidRPr="00405303">
        <w:rPr>
          <w:bCs/>
          <w:color w:val="002060"/>
          <w:sz w:val="16"/>
          <w:szCs w:val="16"/>
        </w:rPr>
        <w:t>19 февраля (4 марта) 1915 г. капитан Горшков совершил последний тренировочный полет на ИМ, и на 21 февраля был назначен боевой вылет. Он держался в секрете, и корабль провожали только генерал Шидловский, его адъютант и Сикорский. После вылета эки</w:t>
      </w:r>
      <w:r w:rsidRPr="00405303">
        <w:rPr>
          <w:bCs/>
          <w:color w:val="002060"/>
          <w:sz w:val="16"/>
          <w:szCs w:val="16"/>
        </w:rPr>
        <w:softHyphen/>
        <w:t>пажа Горшкова личному составу было объявлено о на</w:t>
      </w:r>
      <w:r w:rsidRPr="00405303">
        <w:rPr>
          <w:bCs/>
          <w:color w:val="002060"/>
          <w:sz w:val="16"/>
          <w:szCs w:val="16"/>
        </w:rPr>
        <w:softHyphen/>
        <w:t>чале боевой работы (24177).</w:t>
      </w:r>
    </w:p>
    <w:p w14:paraId="6FFFE4E9" w14:textId="77777777" w:rsidR="008A24A3" w:rsidRPr="00405303" w:rsidRDefault="008A24A3" w:rsidP="00C15251">
      <w:pPr>
        <w:jc w:val="both"/>
        <w:rPr>
          <w:bCs/>
          <w:color w:val="002060"/>
          <w:sz w:val="16"/>
          <w:szCs w:val="16"/>
        </w:rPr>
      </w:pPr>
    </w:p>
    <w:p w14:paraId="23ABA3C4" w14:textId="35ED69C8" w:rsidR="004B4E35" w:rsidRPr="00405303" w:rsidRDefault="009E6F82" w:rsidP="00C15251">
      <w:pPr>
        <w:jc w:val="both"/>
        <w:rPr>
          <w:bCs/>
          <w:color w:val="002060"/>
          <w:sz w:val="16"/>
          <w:szCs w:val="16"/>
        </w:rPr>
      </w:pPr>
      <w:r w:rsidRPr="00405303">
        <w:rPr>
          <w:bCs/>
          <w:color w:val="002060"/>
          <w:sz w:val="16"/>
          <w:szCs w:val="16"/>
        </w:rPr>
        <w:lastRenderedPageBreak/>
        <w:t>19 февраля</w:t>
      </w:r>
      <w:r w:rsidR="00797C5F" w:rsidRPr="00405303">
        <w:rPr>
          <w:bCs/>
          <w:color w:val="002060"/>
          <w:sz w:val="16"/>
          <w:szCs w:val="16"/>
        </w:rPr>
        <w:t xml:space="preserve"> (4 марта</w:t>
      </w:r>
      <w:r w:rsidRPr="00405303">
        <w:rPr>
          <w:bCs/>
          <w:color w:val="002060"/>
          <w:sz w:val="16"/>
          <w:szCs w:val="16"/>
        </w:rPr>
        <w:t xml:space="preserve">) 1915 г. </w:t>
      </w:r>
      <w:r w:rsidR="00797C5F" w:rsidRPr="00405303">
        <w:rPr>
          <w:bCs/>
          <w:color w:val="002060"/>
          <w:sz w:val="16"/>
          <w:szCs w:val="16"/>
        </w:rPr>
        <w:t xml:space="preserve">приказом ВГК №117 </w:t>
      </w:r>
      <w:r w:rsidRPr="00405303">
        <w:rPr>
          <w:bCs/>
          <w:color w:val="002060"/>
          <w:sz w:val="16"/>
          <w:szCs w:val="16"/>
        </w:rPr>
        <w:t>на бывшего неофициального "шефа авиации" великого князя Александра Михайловича было возложено "заведывание организацией авиационного дела вообще" (11999).</w:t>
      </w:r>
    </w:p>
    <w:p w14:paraId="0AB65572" w14:textId="77777777" w:rsidR="004B4E35" w:rsidRPr="00405303" w:rsidRDefault="004B4E35" w:rsidP="00C15251">
      <w:pPr>
        <w:jc w:val="both"/>
        <w:rPr>
          <w:bCs/>
          <w:color w:val="002060"/>
          <w:sz w:val="16"/>
          <w:szCs w:val="16"/>
        </w:rPr>
      </w:pPr>
    </w:p>
    <w:p w14:paraId="3BDE91C0" w14:textId="50F75A18" w:rsidR="00B15685" w:rsidRPr="00405303" w:rsidRDefault="00B15685" w:rsidP="00C15251">
      <w:pPr>
        <w:jc w:val="both"/>
        <w:rPr>
          <w:bCs/>
          <w:i/>
          <w:color w:val="002060"/>
          <w:sz w:val="16"/>
          <w:szCs w:val="16"/>
        </w:rPr>
      </w:pPr>
      <w:r w:rsidRPr="00405303">
        <w:rPr>
          <w:bCs/>
          <w:i/>
          <w:color w:val="002060"/>
          <w:sz w:val="16"/>
          <w:szCs w:val="16"/>
        </w:rPr>
        <w:t>Авиация и воздухоплавание Германии:</w:t>
      </w:r>
    </w:p>
    <w:p w14:paraId="648A3955" w14:textId="77777777" w:rsidR="00B15685" w:rsidRPr="00405303" w:rsidRDefault="00B15685" w:rsidP="00C15251">
      <w:pPr>
        <w:jc w:val="both"/>
        <w:rPr>
          <w:bCs/>
          <w:i/>
          <w:color w:val="002060"/>
          <w:sz w:val="16"/>
          <w:szCs w:val="16"/>
        </w:rPr>
      </w:pPr>
    </w:p>
    <w:p w14:paraId="56B07B12" w14:textId="77777777" w:rsidR="00B15685" w:rsidRPr="00405303" w:rsidRDefault="00B15685" w:rsidP="00C15251">
      <w:pPr>
        <w:jc w:val="both"/>
        <w:rPr>
          <w:bCs/>
          <w:color w:val="002060"/>
          <w:sz w:val="16"/>
          <w:szCs w:val="16"/>
        </w:rPr>
      </w:pPr>
      <w:r w:rsidRPr="00405303">
        <w:rPr>
          <w:bCs/>
          <w:color w:val="002060"/>
          <w:sz w:val="16"/>
          <w:szCs w:val="16"/>
        </w:rPr>
        <w:t>19 февраля (4 марта) 1915 третья попытка Германии бомбить Соединенное Королевство проваливается, когда морской Цеппелин L-8, отправленный для атаки в одиночку, встречает шторм над Северным морем и выходит из-под контроля над Ньивпуртом, Бельгия , где бельгийские зенитчики сбивают его (20338).</w:t>
      </w:r>
    </w:p>
    <w:p w14:paraId="4B6E3768" w14:textId="77777777" w:rsidR="00B15685" w:rsidRPr="00405303" w:rsidRDefault="00B15685" w:rsidP="00C15251">
      <w:pPr>
        <w:jc w:val="both"/>
        <w:rPr>
          <w:bCs/>
          <w:color w:val="002060"/>
          <w:sz w:val="16"/>
          <w:szCs w:val="16"/>
        </w:rPr>
      </w:pPr>
    </w:p>
    <w:p w14:paraId="0FF8B595"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535ACD53" w14:textId="77777777" w:rsidR="004B4E35" w:rsidRPr="00405303" w:rsidRDefault="004B4E35" w:rsidP="00C15251">
      <w:pPr>
        <w:jc w:val="both"/>
        <w:rPr>
          <w:bCs/>
          <w:i/>
          <w:color w:val="002060"/>
          <w:sz w:val="16"/>
          <w:szCs w:val="16"/>
        </w:rPr>
      </w:pPr>
    </w:p>
    <w:p w14:paraId="5D83CBD5" w14:textId="772229D1" w:rsidR="00E933EE" w:rsidRPr="00405303" w:rsidRDefault="00E933EE" w:rsidP="00C15251">
      <w:pPr>
        <w:pStyle w:val="p1"/>
        <w:spacing w:before="0" w:beforeAutospacing="0" w:after="0" w:afterAutospacing="0"/>
        <w:jc w:val="both"/>
        <w:rPr>
          <w:bCs/>
          <w:color w:val="002060"/>
          <w:sz w:val="16"/>
          <w:szCs w:val="16"/>
        </w:rPr>
      </w:pPr>
      <w:r w:rsidRPr="00405303">
        <w:rPr>
          <w:bCs/>
          <w:color w:val="002060"/>
          <w:sz w:val="16"/>
          <w:szCs w:val="16"/>
        </w:rPr>
        <w:t xml:space="preserve">20 февраля </w:t>
      </w:r>
      <w:r w:rsidR="00797C5F" w:rsidRPr="00405303">
        <w:rPr>
          <w:bCs/>
          <w:color w:val="002060"/>
          <w:sz w:val="16"/>
          <w:szCs w:val="16"/>
        </w:rPr>
        <w:t xml:space="preserve">(5 марта) </w:t>
      </w:r>
      <w:r w:rsidRPr="00405303">
        <w:rPr>
          <w:bCs/>
          <w:color w:val="002060"/>
          <w:sz w:val="16"/>
          <w:szCs w:val="16"/>
        </w:rPr>
        <w:t>1915 «верховный артиллерист» великого князя Сергея Михайловича «сделал распоряжение по телеграфу об отмене этих формальностей» (обязательным для заводов представлением на утверждение ГАУ планов, проектов).</w:t>
      </w:r>
    </w:p>
    <w:p w14:paraId="242F8CB0" w14:textId="77777777" w:rsidR="00E933EE" w:rsidRPr="00405303" w:rsidRDefault="00E933EE" w:rsidP="00C15251">
      <w:pPr>
        <w:pStyle w:val="p1"/>
        <w:spacing w:before="0" w:beforeAutospacing="0" w:after="0" w:afterAutospacing="0"/>
        <w:jc w:val="both"/>
        <w:rPr>
          <w:bCs/>
          <w:color w:val="002060"/>
          <w:sz w:val="16"/>
          <w:szCs w:val="16"/>
        </w:rPr>
      </w:pPr>
      <w:r w:rsidRPr="00405303">
        <w:rPr>
          <w:bCs/>
          <w:color w:val="002060"/>
          <w:sz w:val="16"/>
          <w:szCs w:val="16"/>
        </w:rPr>
        <w:t>На это свое распоряжение великий князь Сергей Михайлович ссылался в показаниях по делу Сухомлинова. Как угодливо подчеркивала в своем заключении Верховная следственная комиссия, «благодаря предписанным телеграммою великого князя мерам» завод, «по удостоверению Его Императорского Высочества… значительно расширил свою производительность». В Москве, Риге, на Юге эмиссары великого князя собирали сведения, «где в настоящее время можно найти нужные станки». В результате его директивы реквизиция оборудования на частных заводах приняла характер «бессистемной охоты за станками». «Происходит нечто неописуемое. Идет реквизиционная борьба чиновников с заводами, — восклицал на заседании Московского ВПК 22 июня 1915 г. Ю.И. Поплавский. — Артиллерийское ведомство вместо того, чтобы самому заботиться раньше о себе, отнимает у других, с уже налаженных заводов снимает станки». При этом Поплавский в принципе был не против реквизиции, но смотря против кого она обращена: «Пусть бы обратились в Ригу… в Риге 448 заводов…» (Совет запоздал: там уже орудовали ГАУ и Морское министерство.) Последствия циркуляра оказались настолько вредоносными, что 14 июля Военное министерство было вынуждено другим циркуляром распорядиться об «упорядочении этого дела», с тем чтобы начальники управлений, усмотрев «необходимость где-либо произвести реквизицию станков», прежде сообщали в комиссию по реквизиции станков при ГАУ. Практической пользы от грозного распоряжения великого князя, по отзывам Маниковского и Залюбовского, не произошло «даже временно» (18409).</w:t>
      </w:r>
    </w:p>
    <w:p w14:paraId="4F34FB67" w14:textId="77777777" w:rsidR="00E933EE" w:rsidRPr="00405303" w:rsidRDefault="00E933EE" w:rsidP="00C15251">
      <w:pPr>
        <w:pStyle w:val="p1"/>
        <w:spacing w:before="0" w:beforeAutospacing="0" w:after="0" w:afterAutospacing="0"/>
        <w:jc w:val="both"/>
        <w:rPr>
          <w:bCs/>
          <w:color w:val="002060"/>
          <w:sz w:val="16"/>
          <w:szCs w:val="16"/>
        </w:rPr>
      </w:pPr>
    </w:p>
    <w:p w14:paraId="7525432A" w14:textId="3A76B759"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20 февраля (5 марта) 1915 г. </w:t>
      </w:r>
      <w:r w:rsidR="00797C5F" w:rsidRPr="00405303">
        <w:rPr>
          <w:bCs/>
          <w:i w:val="0"/>
          <w:color w:val="002060"/>
          <w:spacing w:val="0"/>
          <w:kern w:val="0"/>
          <w:position w:val="0"/>
          <w:sz w:val="16"/>
          <w:szCs w:val="16"/>
        </w:rPr>
        <w:t xml:space="preserve">председатель Особой распорядительной комиссии, стремясь фактически как можно скорее поставить работу заводов на боевую ногу, решился взять на себя ответственность и развязать руки, начальникам технических артиллерийских заведений </w:t>
      </w:r>
      <w:r w:rsidRPr="00405303">
        <w:rPr>
          <w:bCs/>
          <w:i w:val="0"/>
          <w:color w:val="002060"/>
          <w:spacing w:val="0"/>
          <w:kern w:val="0"/>
          <w:position w:val="0"/>
          <w:sz w:val="16"/>
          <w:szCs w:val="16"/>
        </w:rPr>
        <w:t xml:space="preserve">телеграмму следующего содержания: </w:t>
      </w:r>
    </w:p>
    <w:p w14:paraId="318EA25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"Ознакомившись с постановкой производства на некоторых заводах артиллерийского ведомства, я усматриваю, что на многих заводах производительность далеко не достигла той величины, которая могла бы быть достигнута за семь месяцев войны. Приписываю этот печальный факт во многих случаях недостаточной энергии и личной инициативе как начальников заводов, так и председателей хозяйственных комитетов. Впредь предписываю прекратить все приемы мирного времени, как-то: торги, представление планов, проектов и т. п. формальностей. Вы обязаны принимать все меры к усилению производительности вверенного вам завода путем наличной покупки как материалов, так и станков, не спрашивая разрешения ни Главного артиллерийского управления, ни окружных военных советов. По всем выполненным мероприятиям испрашивайте утверждения уже сделанных распоряжений. Если дальнейшая ваша деятельность не даст необходимых результатов, вы будете в самый кратчайший срок уволены со службы. Если среди чинов как хозяйственной, так и технической части есть лица, тормозящие ваши мероприятия, предписываю беззамедлительно представить к увольнению с немедленным устранением от должности. Уверен, что все чины технической службы проникнутся поставленными требованиями, и мне не придется прибегнуть к выполнению угрозы". </w:t>
      </w:r>
    </w:p>
    <w:p w14:paraId="47F59AD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Телеграмма эта освобождала казенные заводы от исполнения многих хлопотливых формальностей, сильно задерживавших их производство в течение первых 7 месяцев войны. Меры, предложенные телеграммой, представляли серьезное отступление от обычно применяемых правил, требуемых законом. Поэтому приходится отметить, что преследуемая этой телеграммой цель достигнута не была, так как, несмотря на тогдашний высокий авторитет пославшего ее, поверяющие ведомства (министерства финансов и государственного контроля) считали ее недостаточной для изменения действовавших законоположений, что очень скоро почувствовала и администрация заводов, которая, ожегшись на первых же случаях применения своих новых прав, пользовалась в дальнейшем ими далеко не в полном объеме и то лишь с очень большой осторожностью. Намеченное телеграммой расширение прав, совершенно необходимое при чрезвычайных обстоятельствах войны, должно было быть осуществлено военным министром, но он нисколько об этом не позаботился. </w:t>
      </w:r>
    </w:p>
    <w:p w14:paraId="3443459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 поводу заготовления предметов артснабжения в частной промышленности приведем следующие слова бывшего помощника начальника ГАУ ген. Смысловского из его показаний Верховной следственной комиссии: </w:t>
      </w:r>
    </w:p>
    <w:p w14:paraId="13D2616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"Весь строй торговых отношений ГАУ с поставщиками, обусловленный существующими законоположениями, и вся формальная сторона их, порождавшая целый ряд затруднений и в мирное время, совершенно не соответствовали условиям заготовлений в военное время и при том для такой важнейшей цели, как оборона страны. </w:t>
      </w:r>
    </w:p>
    <w:p w14:paraId="08EF0C8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этих законоположениях красною нитью проходило, во-первых, свободное предложение со стороны поставщиков, а во-вторых, полное недоверие к обеим сторонам со стороны закона. При первых же выстрелах законы эти само собой, отчасти рухнули. Так, вместо уменьшения задатков, требуемых на военное время по закону, наоборот, по положению Совета министров они были увеличены до 65%, а условия, получения их облегчены. По указанию помощника военного министра ГАУ начало заключать спешные сделки и давать заказы без тех формальностей, которые требуются законом, входя только затем в Военный совет с представлением об утверждении сделанных распоряжений. </w:t>
      </w:r>
    </w:p>
    <w:p w14:paraId="55BF55C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Тем не менее от прежнего порядка к новому перейти было весьма трудно. Десятками лет поставщики были приучены к свободным поставкам и все мои личные усилия обратить на военное время эти поставки в повинность, обязательную для заводчиков в такой же мере, как и воинская, не увенчались успехом". </w:t>
      </w:r>
    </w:p>
    <w:p w14:paraId="284B885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На той же идее неоднократно настаивал и начальник ГАУ, но почти так же безрезультатно: к отдельным заводам, особенно проштрафившимся, удавалось применять эту меру и то после упорнейшей борьбы в Особом совещании по обороне, но, как общая мера, она так и не была проведена в жизнь до самого конца </w:t>
      </w:r>
      <w:proofErr w:type="gramStart"/>
      <w:r w:rsidRPr="00405303">
        <w:rPr>
          <w:bCs/>
          <w:i w:val="0"/>
          <w:color w:val="002060"/>
          <w:spacing w:val="0"/>
          <w:kern w:val="0"/>
          <w:position w:val="0"/>
          <w:sz w:val="16"/>
          <w:szCs w:val="16"/>
        </w:rPr>
        <w:t>войны, несмотря на то, что</w:t>
      </w:r>
      <w:proofErr w:type="gramEnd"/>
      <w:r w:rsidRPr="00405303">
        <w:rPr>
          <w:bCs/>
          <w:i w:val="0"/>
          <w:color w:val="002060"/>
          <w:spacing w:val="0"/>
          <w:kern w:val="0"/>
          <w:position w:val="0"/>
          <w:sz w:val="16"/>
          <w:szCs w:val="16"/>
        </w:rPr>
        <w:t xml:space="preserve"> пример Франции был перед глазами. </w:t>
      </w:r>
    </w:p>
    <w:p w14:paraId="74BB516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Почти с самого начала войны, отчасти под влиянием угрозы "снарядного голода" и связанных с ним неудач на фронте, отчасти из желания разного рода дельцов и спекулянток "половить рыбку в мутной воде", началось вмешательство к дела боевого снабжения "общественных деятелей", особенно членов Государственной думы, особых совещаний военно-промышленных комитетов, земгоров и прочих организаций, в большом числе возникших во время войны. </w:t>
      </w:r>
    </w:p>
    <w:p w14:paraId="512E61F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Все эти "болевшие за родину" лица считали своим долгом время от времени совершать паломничество на фронт с целью выяснения действительных нужд его и степени их удовлетворения, а также для контроля за деятельностью как органов снабжения, так даже и командного состава армии. В условиях тогдашней действительности эти "осведомители", давая нередко обильный материал разного рода шпионам, вносили немало путаницы и без того в не очень ясное дело снабжения армии. </w:t>
      </w:r>
    </w:p>
    <w:p w14:paraId="7B71054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ГАУ предполагало организовать мощные центры производства снарядов, и это был единственный правильный путь "мобилизации" нашей промышленности, сразу вступив ни который мы смогли бы стать действительными ее хозяевами и извлечь из нее все то многое, что она могла дать. </w:t>
      </w:r>
    </w:p>
    <w:p w14:paraId="39E4C97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ГАУ настаивало также и на проведении закона о всеобщей промышленной повинности. </w:t>
      </w:r>
    </w:p>
    <w:p w14:paraId="1910BAB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Но даже оставляя в стороне такую "решительную" меру, можно было и получить гораздо больше снарядов и выгадать по времени в цене, в техническом и рабочем персонале, в топливе, в металле, в транспорте, - словом, положительно во всем том, в чем мы испытывали колоссальные затруднения с самого начала войны, если бы просто, отбросив всю промышленную мелюзгу, распределить заказы только между действительно мощными и способными к дальнейшему развитию заводами и установить за ними действительный контроль ГАУ, введя в правления этих заводов правительственных директоров. </w:t>
      </w:r>
    </w:p>
    <w:p w14:paraId="31D7969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lastRenderedPageBreak/>
        <w:t xml:space="preserve">То же нужно было проделать и всем возникшим во время войны организациям, объединившим вокруг себя более или менее значительное количество заводов, как, например, организациям ген. Ванкова, Земгора, Центрального и областных военно-промышленных комитетов. </w:t>
      </w:r>
    </w:p>
    <w:p w14:paraId="36B9A4E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Но при первых же известиях о крайнем недостатке боевого снабжения на фронте и возможности вследствие этого "хорошо заработать" на предметах столь острой нужды "известную" часть общества бывшей царской России охватил беспримерный ажиотаж. </w:t>
      </w:r>
    </w:p>
    <w:p w14:paraId="0AF72D2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Именно 76-мм (3-дм.) снаряд и был тем первым лакомым куском, на который оскалились зубы всех шакалов, жаждущих только легкой наживы и у которых оказывалось подчас немало сильных покровителей... </w:t>
      </w:r>
    </w:p>
    <w:p w14:paraId="478BC36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Под давлением крайне возбужденного общественного мнения, требовавшего усиления артиллерийских заказов без всяких рассуждений, ГАУ пришлось отступить от намеченной программы и заказывать снаряды не только совершенно ничтожным заводам, но иногда даже не заслуживающим доверия аферистам, обещавшим быстро оборудовать новые предприятия. </w:t>
      </w:r>
    </w:p>
    <w:p w14:paraId="57D3190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Конечно, при таких условиях заводское оборудование, которое можно было достать, главным образом, за границей, и притом в очень ограниченном количестве, перекупалось по бешеным ценам спекулянтами и вырывалось у солидных заводов; точно так же переманивался личный состав, по части которого заводы бедствовали с самого начала войны; наконец, началась злостная спекуляция с валютой, бороться с чем было очень трудно и военному ведомству, и Кредитной канцелярии министерства финансов. </w:t>
      </w:r>
    </w:p>
    <w:p w14:paraId="58743BF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Словом, началась та бешеная спекуляция на снарядах, подобной которой еще не видел свет и в результате которой расплодилась масса мелких, немощных в техническом отношении и просто дутых предприятий, поглощающих с поразительной прожорливостью и с ничтожной производительностью всякого рода оборудование, инструментальную сталь, металлы, топливо, транспорт, рабочие руки и технические силы, а также валюту. </w:t>
      </w:r>
    </w:p>
    <w:p w14:paraId="7E2D80C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Таким образом, вместо разумного и наиболее продуктивного концентрирования всех средств производства - их как будто нарочно распыляли по мелочам, вследствие чего почти все действительпо солидные и мощные предприятия оказались лишенными возможности получить все им необходимое, а потому и вынуждены были значительно замедлить темп своего развития (11483).</w:t>
      </w:r>
    </w:p>
    <w:p w14:paraId="32B2D492" w14:textId="77777777" w:rsidR="004B4E35" w:rsidRPr="00405303" w:rsidRDefault="004B4E35" w:rsidP="00C15251">
      <w:pPr>
        <w:pStyle w:val="a3"/>
        <w:jc w:val="both"/>
        <w:rPr>
          <w:bCs/>
          <w:i w:val="0"/>
          <w:color w:val="002060"/>
          <w:spacing w:val="0"/>
          <w:kern w:val="0"/>
          <w:position w:val="0"/>
          <w:sz w:val="16"/>
          <w:szCs w:val="16"/>
        </w:rPr>
      </w:pPr>
    </w:p>
    <w:p w14:paraId="02C3CFE9" w14:textId="1342B885" w:rsidR="008A24A3" w:rsidRPr="00405303" w:rsidRDefault="008A24A3" w:rsidP="00C15251">
      <w:pPr>
        <w:jc w:val="both"/>
        <w:rPr>
          <w:bCs/>
          <w:color w:val="002060"/>
          <w:sz w:val="16"/>
          <w:szCs w:val="16"/>
        </w:rPr>
      </w:pPr>
      <w:r w:rsidRPr="00405303">
        <w:rPr>
          <w:bCs/>
          <w:color w:val="002060"/>
          <w:sz w:val="16"/>
          <w:szCs w:val="16"/>
        </w:rPr>
        <w:t>20 февраля (5 марта) 1915 г. «вер</w:t>
      </w:r>
      <w:r w:rsidRPr="00405303">
        <w:rPr>
          <w:bCs/>
          <w:color w:val="002060"/>
          <w:sz w:val="16"/>
          <w:szCs w:val="16"/>
        </w:rPr>
        <w:softHyphen/>
        <w:t>ховный артиллерист» великий кня</w:t>
      </w:r>
      <w:r w:rsidRPr="00405303">
        <w:rPr>
          <w:bCs/>
          <w:color w:val="002060"/>
          <w:sz w:val="16"/>
          <w:szCs w:val="16"/>
        </w:rPr>
        <w:softHyphen/>
        <w:t>зь Сергея Михайловича «сделал распоряжение по телеграфу об отмене этих формальностей» (обязательное представление на утверждение ГАУ планов, проектов при расширении за</w:t>
      </w:r>
      <w:r w:rsidRPr="00405303">
        <w:rPr>
          <w:bCs/>
          <w:color w:val="002060"/>
          <w:sz w:val="16"/>
          <w:szCs w:val="16"/>
        </w:rPr>
        <w:softHyphen/>
        <w:t>водов).</w:t>
      </w:r>
    </w:p>
    <w:p w14:paraId="2D0BC762" w14:textId="77777777" w:rsidR="008A24A3" w:rsidRPr="00405303" w:rsidRDefault="008A24A3"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На это свое распоряжение великий князь Сергей Михай</w:t>
      </w:r>
      <w:r w:rsidRPr="00405303">
        <w:rPr>
          <w:rFonts w:ascii="Times New Roman" w:hAnsi="Times New Roman" w:cs="Times New Roman"/>
          <w:bCs/>
          <w:color w:val="002060"/>
          <w:sz w:val="16"/>
          <w:szCs w:val="16"/>
        </w:rPr>
        <w:softHyphen/>
        <w:t>лович ссылался в показаниях по делу Сухомлинова. Как угод</w:t>
      </w:r>
      <w:r w:rsidRPr="00405303">
        <w:rPr>
          <w:rFonts w:ascii="Times New Roman" w:hAnsi="Times New Roman" w:cs="Times New Roman"/>
          <w:bCs/>
          <w:color w:val="002060"/>
          <w:sz w:val="16"/>
          <w:szCs w:val="16"/>
        </w:rPr>
        <w:softHyphen/>
        <w:t>ливо подчеркивала в своем заключении Верховная следст</w:t>
      </w:r>
      <w:r w:rsidRPr="00405303">
        <w:rPr>
          <w:rFonts w:ascii="Times New Roman" w:hAnsi="Times New Roman" w:cs="Times New Roman"/>
          <w:bCs/>
          <w:color w:val="002060"/>
          <w:sz w:val="16"/>
          <w:szCs w:val="16"/>
        </w:rPr>
        <w:softHyphen/>
        <w:t>венная комиссия, «благодаря предписанным телеграммою великого князя мерам» завод, «по удостоверению Его Импе</w:t>
      </w:r>
      <w:r w:rsidRPr="00405303">
        <w:rPr>
          <w:rFonts w:ascii="Times New Roman" w:hAnsi="Times New Roman" w:cs="Times New Roman"/>
          <w:bCs/>
          <w:color w:val="002060"/>
          <w:sz w:val="16"/>
          <w:szCs w:val="16"/>
        </w:rPr>
        <w:softHyphen/>
        <w:t>раторского Высочества... значительно расширил свою произ</w:t>
      </w:r>
      <w:r w:rsidRPr="00405303">
        <w:rPr>
          <w:rFonts w:ascii="Times New Roman" w:hAnsi="Times New Roman" w:cs="Times New Roman"/>
          <w:bCs/>
          <w:color w:val="002060"/>
          <w:sz w:val="16"/>
          <w:szCs w:val="16"/>
        </w:rPr>
        <w:softHyphen/>
        <w:t>водительность» (Рдултовский В. И. Исторический очерк развития трубок и взрыва</w:t>
      </w:r>
      <w:r w:rsidRPr="00405303">
        <w:rPr>
          <w:rFonts w:ascii="Times New Roman" w:hAnsi="Times New Roman" w:cs="Times New Roman"/>
          <w:bCs/>
          <w:color w:val="002060"/>
          <w:sz w:val="16"/>
          <w:szCs w:val="16"/>
        </w:rPr>
        <w:softHyphen/>
        <w:t>телей. М„ 1940. С. 207; ВПР. С. 723). В Москве, Риге, на Юге эмиссары великого князя собирали сведения, «где в настоящее время можно най</w:t>
      </w:r>
      <w:r w:rsidRPr="00405303">
        <w:rPr>
          <w:rFonts w:ascii="Times New Roman" w:hAnsi="Times New Roman" w:cs="Times New Roman"/>
          <w:bCs/>
          <w:color w:val="002060"/>
          <w:sz w:val="16"/>
          <w:szCs w:val="16"/>
        </w:rPr>
        <w:softHyphen/>
        <w:t>ти нужные станки» (РГВИА. Ф. 962. Оп. 2. Д. 30. Л. 185; Д. 78. Л. 6. С.М. Романов - Сухомлинову, 15 и 19.11.1915). В результате его директивы реквизиция оборудования на частных заводах приняла характер «бессис</w:t>
      </w:r>
      <w:r w:rsidRPr="00405303">
        <w:rPr>
          <w:rFonts w:ascii="Times New Roman" w:hAnsi="Times New Roman" w:cs="Times New Roman"/>
          <w:bCs/>
          <w:color w:val="002060"/>
          <w:sz w:val="16"/>
          <w:szCs w:val="16"/>
        </w:rPr>
        <w:softHyphen/>
        <w:t>темной охоты за станками». «Происходит нечто неописуемое. Идет реквизиционная борьба чиновников с заводами, — вос</w:t>
      </w:r>
      <w:r w:rsidRPr="00405303">
        <w:rPr>
          <w:rFonts w:ascii="Times New Roman" w:hAnsi="Times New Roman" w:cs="Times New Roman"/>
          <w:bCs/>
          <w:color w:val="002060"/>
          <w:sz w:val="16"/>
          <w:szCs w:val="16"/>
        </w:rPr>
        <w:softHyphen/>
        <w:t>клицал на заседании Московского ВПК 22 июня 1915 г. Ю.И. Поплавский. — Артиллерийское ведомство вместо того, чтобы самому заботиться раньше о себе, отнимает у других, с уже налаженных заводов снимает станки». При этом Поплав</w:t>
      </w:r>
      <w:r w:rsidRPr="00405303">
        <w:rPr>
          <w:rFonts w:ascii="Times New Roman" w:hAnsi="Times New Roman" w:cs="Times New Roman"/>
          <w:bCs/>
          <w:color w:val="002060"/>
          <w:sz w:val="16"/>
          <w:szCs w:val="16"/>
        </w:rPr>
        <w:softHyphen/>
        <w:t>ский в принципе был не против реквизиции, но смотря про</w:t>
      </w:r>
      <w:r w:rsidRPr="00405303">
        <w:rPr>
          <w:rFonts w:ascii="Times New Roman" w:hAnsi="Times New Roman" w:cs="Times New Roman"/>
          <w:bCs/>
          <w:color w:val="002060"/>
          <w:sz w:val="16"/>
          <w:szCs w:val="16"/>
        </w:rPr>
        <w:softHyphen/>
        <w:t>тив кого она обращена: «Пусть бы обратились в Ригу... в Риге 448 заводов...»1 (Совет запоздал: там уже орудовали ГАУ и Морское министерство.) Последствия циркуляра оказались настолько вредоносными, что 14 июля Военное министерство было вынуждено другим циркуляром распорядиться об «упо</w:t>
      </w:r>
      <w:r w:rsidRPr="00405303">
        <w:rPr>
          <w:rFonts w:ascii="Times New Roman" w:hAnsi="Times New Roman" w:cs="Times New Roman"/>
          <w:bCs/>
          <w:color w:val="002060"/>
          <w:sz w:val="16"/>
          <w:szCs w:val="16"/>
        </w:rPr>
        <w:softHyphen/>
        <w:t>рядочении этого дела», с тем чтобы начальники управлений, усмотрев «необходимость где-либо произвести реквизицию станков», прежде сообщали в комиссию по реквизиции стан</w:t>
      </w:r>
      <w:r w:rsidRPr="00405303">
        <w:rPr>
          <w:rFonts w:ascii="Times New Roman" w:hAnsi="Times New Roman" w:cs="Times New Roman"/>
          <w:bCs/>
          <w:color w:val="002060"/>
          <w:sz w:val="16"/>
          <w:szCs w:val="16"/>
        </w:rPr>
        <w:softHyphen/>
        <w:t>ков при ГАУ. Практической пользы от грозного распоряже</w:t>
      </w:r>
      <w:r w:rsidRPr="00405303">
        <w:rPr>
          <w:rFonts w:ascii="Times New Roman" w:hAnsi="Times New Roman" w:cs="Times New Roman"/>
          <w:bCs/>
          <w:color w:val="002060"/>
          <w:sz w:val="16"/>
          <w:szCs w:val="16"/>
        </w:rPr>
        <w:softHyphen/>
        <w:t>ния великого князя, по отзывам Маниковского и Залюбов- ского, не произошло «даже временно» (Буржуазия накануне Февральской революции. М.; Л., 1927. С. 9-10; ЖОСО 1915. С. 122; Залюбовский А.П. Указ. соч. С. 50—51) (23452).</w:t>
      </w:r>
    </w:p>
    <w:p w14:paraId="6D15056D" w14:textId="77777777" w:rsidR="008A24A3" w:rsidRPr="00405303" w:rsidRDefault="008A24A3" w:rsidP="00C15251">
      <w:pPr>
        <w:jc w:val="both"/>
        <w:rPr>
          <w:bCs/>
          <w:i/>
          <w:color w:val="002060"/>
          <w:sz w:val="16"/>
          <w:szCs w:val="16"/>
        </w:rPr>
      </w:pPr>
    </w:p>
    <w:p w14:paraId="02512B11" w14:textId="77777777" w:rsidR="00B442E5" w:rsidRPr="00405303" w:rsidRDefault="00B442E5" w:rsidP="00B442E5">
      <w:pPr>
        <w:jc w:val="both"/>
        <w:rPr>
          <w:color w:val="0070C0"/>
          <w:sz w:val="16"/>
          <w:szCs w:val="16"/>
        </w:rPr>
      </w:pPr>
      <w:r w:rsidRPr="00405303">
        <w:rPr>
          <w:color w:val="0070C0"/>
          <w:sz w:val="16"/>
          <w:szCs w:val="16"/>
        </w:rPr>
        <w:t>20 февраля (5 марта) 1915 года ГВТУ вошло в Военный Совет с новым представлением за № 875/822, в ко</w:t>
      </w:r>
      <w:r w:rsidRPr="00405303">
        <w:rPr>
          <w:color w:val="0070C0"/>
          <w:sz w:val="16"/>
          <w:szCs w:val="16"/>
        </w:rPr>
        <w:softHyphen/>
        <w:t>тором, приводя'^ доказательство выгодности предложений Гастона и банкирского дома «Маврикий Нелькен» прибли</w:t>
      </w:r>
      <w:r w:rsidRPr="00405303">
        <w:rPr>
          <w:color w:val="0070C0"/>
          <w:sz w:val="16"/>
          <w:szCs w:val="16"/>
        </w:rPr>
        <w:softHyphen/>
        <w:t>зительно те же соображения, которые были изложены в представлении от 21 января 1915 года за № 317/298, хо</w:t>
      </w:r>
      <w:r w:rsidRPr="00405303">
        <w:rPr>
          <w:color w:val="0070C0"/>
          <w:sz w:val="16"/>
          <w:szCs w:val="16"/>
        </w:rPr>
        <w:softHyphen/>
        <w:t>датайствовало о разрешении заказать в счет рассматривае</w:t>
      </w:r>
      <w:r w:rsidRPr="00405303">
        <w:rPr>
          <w:color w:val="0070C0"/>
          <w:sz w:val="16"/>
          <w:szCs w:val="16"/>
        </w:rPr>
        <w:softHyphen/>
        <w:t>мой заготовки первому посреднику 1,626 автомобилей, на сумму 7.311.750 долларов, а второму — 1.885 автомобилей, на сумму 8.793.480 долларов, а следовательно, обоим — 3.511 автомобилей, на сумму свыше 40.000.000 рублей. Относи</w:t>
      </w:r>
      <w:r w:rsidRPr="00405303">
        <w:rPr>
          <w:color w:val="0070C0"/>
          <w:sz w:val="16"/>
          <w:szCs w:val="16"/>
        </w:rPr>
        <w:softHyphen/>
        <w:t>тельно упомянутого, оставшегося без утверждения, заказа 1.000 автомобилей банкирскому дому «Маврикий Нелькен», начальник ГВТУ ген. Ропп в представлении об'яспил сле</w:t>
      </w:r>
      <w:r w:rsidRPr="00405303">
        <w:rPr>
          <w:color w:val="0070C0"/>
          <w:sz w:val="16"/>
          <w:szCs w:val="16"/>
        </w:rPr>
        <w:softHyphen/>
        <w:t>дующее: «Обстоятельства, изложенные в представлении моем за № 317/298, а также и необходимость обеспечить равно</w:t>
      </w:r>
      <w:r w:rsidRPr="00405303">
        <w:rPr>
          <w:color w:val="0070C0"/>
          <w:sz w:val="16"/>
          <w:szCs w:val="16"/>
        </w:rPr>
        <w:softHyphen/>
        <w:t>мерную поставку грузовых автомобилей в промежуток вре</w:t>
      </w:r>
      <w:r w:rsidRPr="00405303">
        <w:rPr>
          <w:color w:val="0070C0"/>
          <w:sz w:val="16"/>
          <w:szCs w:val="16"/>
        </w:rPr>
        <w:softHyphen/>
        <w:t>мени до заключения всех контрактов, побудили ГВТУ вы</w:t>
      </w:r>
      <w:r w:rsidRPr="00405303">
        <w:rPr>
          <w:color w:val="0070C0"/>
          <w:sz w:val="16"/>
          <w:szCs w:val="16"/>
        </w:rPr>
        <w:softHyphen/>
        <w:t>дать наряд банкирскому дому «Маврикий Нелькен» без утверждения за ним поставки Военным Советом. Это мое распоряжение я прошу принять во внимание при разре</w:t>
      </w:r>
      <w:r w:rsidRPr="00405303">
        <w:rPr>
          <w:color w:val="0070C0"/>
          <w:sz w:val="16"/>
          <w:szCs w:val="16"/>
        </w:rPr>
        <w:softHyphen/>
        <w:t>шении Военным Советом вопроса о настоящем заказе» (24923).</w:t>
      </w:r>
    </w:p>
    <w:p w14:paraId="7EEDD92E" w14:textId="77777777" w:rsidR="00B442E5" w:rsidRPr="00405303" w:rsidRDefault="00B442E5" w:rsidP="00B442E5">
      <w:pPr>
        <w:jc w:val="both"/>
        <w:rPr>
          <w:color w:val="0070C0"/>
          <w:sz w:val="16"/>
          <w:szCs w:val="16"/>
        </w:rPr>
      </w:pPr>
    </w:p>
    <w:p w14:paraId="2FC14A67" w14:textId="60D54C72" w:rsidR="00B442E5" w:rsidRPr="00405303" w:rsidRDefault="00B442E5" w:rsidP="00B442E5">
      <w:pPr>
        <w:jc w:val="both"/>
        <w:rPr>
          <w:bCs/>
          <w:i/>
          <w:color w:val="002060"/>
          <w:sz w:val="16"/>
          <w:szCs w:val="16"/>
        </w:rPr>
      </w:pPr>
      <w:r w:rsidRPr="00405303">
        <w:rPr>
          <w:bCs/>
          <w:i/>
          <w:color w:val="002060"/>
          <w:sz w:val="16"/>
          <w:szCs w:val="16"/>
        </w:rPr>
        <w:t>Авиация:</w:t>
      </w:r>
    </w:p>
    <w:p w14:paraId="08AB53FA" w14:textId="77777777" w:rsidR="00B442E5" w:rsidRPr="00405303" w:rsidRDefault="00B442E5" w:rsidP="00B442E5">
      <w:pPr>
        <w:jc w:val="both"/>
        <w:rPr>
          <w:color w:val="0070C0"/>
          <w:sz w:val="16"/>
          <w:szCs w:val="16"/>
        </w:rPr>
      </w:pPr>
    </w:p>
    <w:p w14:paraId="5DAA8316" w14:textId="77777777" w:rsidR="00B442E5" w:rsidRPr="00405303" w:rsidRDefault="00B442E5" w:rsidP="00B442E5">
      <w:pPr>
        <w:jc w:val="both"/>
        <w:rPr>
          <w:color w:val="0070C0"/>
          <w:sz w:val="16"/>
          <w:szCs w:val="16"/>
        </w:rPr>
      </w:pPr>
      <w:r w:rsidRPr="00405303">
        <w:rPr>
          <w:color w:val="0070C0"/>
          <w:sz w:val="16"/>
          <w:szCs w:val="16"/>
        </w:rPr>
        <w:t>20 февраля (5 марта) 1915 г. противник на русско-германском фронте потерял очередной свой летательный аппарат. Вблизи ст. Сокола (царство Польское) нашими передовыми частями был сбит германский «Альбатрос», летчики попали в плен. Позднее нашим трофеем стал неприятельский самолет, совершивший вынужденную посадку в расположении русских войск (25135).</w:t>
      </w:r>
    </w:p>
    <w:p w14:paraId="7173DB1A" w14:textId="77777777" w:rsidR="00B442E5" w:rsidRPr="00405303" w:rsidRDefault="00B442E5" w:rsidP="00B442E5">
      <w:pPr>
        <w:jc w:val="both"/>
        <w:rPr>
          <w:color w:val="0070C0"/>
          <w:sz w:val="16"/>
          <w:szCs w:val="16"/>
        </w:rPr>
      </w:pPr>
    </w:p>
    <w:p w14:paraId="1191C360" w14:textId="5B086B9B"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200107A7" w14:textId="77777777" w:rsidR="004B4E35" w:rsidRPr="00405303" w:rsidRDefault="004B4E35" w:rsidP="00C15251">
      <w:pPr>
        <w:jc w:val="both"/>
        <w:rPr>
          <w:bCs/>
          <w:i/>
          <w:color w:val="002060"/>
          <w:sz w:val="16"/>
          <w:szCs w:val="16"/>
        </w:rPr>
      </w:pPr>
    </w:p>
    <w:p w14:paraId="628F59F9" w14:textId="3CB48B8D" w:rsidR="004B4E35" w:rsidRPr="00405303" w:rsidRDefault="009E6F82" w:rsidP="00C15251">
      <w:pPr>
        <w:jc w:val="both"/>
        <w:rPr>
          <w:bCs/>
          <w:color w:val="002060"/>
          <w:sz w:val="16"/>
          <w:szCs w:val="16"/>
        </w:rPr>
      </w:pPr>
      <w:r w:rsidRPr="00405303">
        <w:rPr>
          <w:bCs/>
          <w:color w:val="002060"/>
          <w:sz w:val="16"/>
          <w:szCs w:val="16"/>
        </w:rPr>
        <w:t xml:space="preserve">20 февраля (5 марта) 1915 дирижабль L-8, возвращавшийся с бомбардировки Лондона, был подбит зенитным огнем в районе Ньюпорта и упал на бельгийском побережье. Экипаж успел уничтожить свой корабль буквально перед носом французских солдат, пытавшихся его захватить, и сдался в плен. </w:t>
      </w:r>
    </w:p>
    <w:p w14:paraId="307B8A29" w14:textId="77777777" w:rsidR="004B4E35" w:rsidRPr="00405303" w:rsidRDefault="009E6F82" w:rsidP="00C15251">
      <w:pPr>
        <w:jc w:val="both"/>
        <w:rPr>
          <w:bCs/>
          <w:color w:val="002060"/>
          <w:sz w:val="16"/>
          <w:szCs w:val="16"/>
        </w:rPr>
      </w:pPr>
      <w:r w:rsidRPr="00405303">
        <w:rPr>
          <w:bCs/>
          <w:color w:val="002060"/>
          <w:sz w:val="16"/>
          <w:szCs w:val="16"/>
        </w:rPr>
        <w:t xml:space="preserve">Понятно, что потеря трех боевых единиц подряд не могла обрадовать Петера Штрассера, который планировал широкомасштабное воздушное наступление на Англию. Но машина тотальной войны была уже запущена. 6 марта ряды Дивизиона воздушных кораблей пополнились дирижаблем L-9, за которым через неделю последовали L-10 и L-11. Вместе с L-9 в апреле 1915 года заводы Цеппелина построили армейский LZ-39 объемом 24 900 куб. м. В апреле появился и армейский LZ-38 объемом 31 900 куб. м, на котором были установлены еще три мотора МС-Х. Остальные дирижабли этой серии оснащались четырьмя моторами. Таких дирижаблей, так называемой серии «р», было построено еще 19, от LZ-40 до LZ-58 включительно. К их производству подключились новые заводы в Ловентхалле, Штаакене и мастерские ДЕЛАГ в Поступиме. Воздухоплавательные заводы Цеппелина работали с максимальным напряжением. Дирижабли этой серии могли поднять полезный груз весом 13 950 кг на высоту 4300 м и развивали скорость до 97,2 км/ч. В армейском воздухоплавании эти корабли получили буквенное обозначение «LZ» и цифровое на 30 больше, чем заводской номер. Зачем это было сделано — мы расскажем позже. </w:t>
      </w:r>
    </w:p>
    <w:p w14:paraId="0E702588" w14:textId="77777777" w:rsidR="004B4E35" w:rsidRPr="00405303" w:rsidRDefault="009E6F82" w:rsidP="00C15251">
      <w:pPr>
        <w:jc w:val="both"/>
        <w:rPr>
          <w:bCs/>
          <w:color w:val="002060"/>
          <w:sz w:val="16"/>
          <w:szCs w:val="16"/>
        </w:rPr>
      </w:pPr>
      <w:r w:rsidRPr="00405303">
        <w:rPr>
          <w:bCs/>
          <w:color w:val="002060"/>
          <w:sz w:val="16"/>
          <w:szCs w:val="16"/>
        </w:rPr>
        <w:t xml:space="preserve">Одна из труднейших задач отряда морского управляемого воздухоплавания состояла в обучении запасных экипажей. Немедленно после мобилизации была открыта специальная школа, которую обеспечили непригодными для несения боевой службы старыми кораблями. Подготовкой аэронавтов руководил сам Хуго Эккенер, любимец старого графа, президент авиакомпании ДЕЛАГ, человек, в жизни которого была только одна любовь — дирижабли. Взяв обучение в свои руки, он быстро подготовил для фронта более пятидесяти экипажей, каждый в среднем по 20 человек. В обязанности Эккенера также входил надзор за постройкой эллингов для кораблей [113] дивизиона во Франкфурте, Дюссельдорфе, Лейпциге, Потсдаме и Гамбурге. Его познания в области конструирования, постройки, эксплуатации и применения дирижаблей были столь исчерпывающими, а опыт воздухоплавателя столь бесценным, что кайзер особым приказом запретил Хуго Эккенеру участвовать в боевых вылетах цеппелинов. </w:t>
      </w:r>
    </w:p>
    <w:p w14:paraId="7F5C95B0"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Неудивительно, что два таких фанатика дирижаблей, как Штрассер и Эккенер, прониклись взаимной симпатией, переросшей впоследствии в настоящую дружбу. Ганс фон Шиллер, один из самых опытных командиров дивизиона, так писал о взаимоотношениях Петера и Хуго: «Они были очень дружны. Эккенер всегда помогал Штрассеру советом, поддерживал своим авторитетом все его начинания. Между собой наши моряки называли своего командира «Господь Бог». Эккенер же получил прозвище «папа римский», потому что лучше него никто не понимал Петера Штрассера. Кроме того, Хуго Эккенер был нашим экспертом по метеорологии и эксплуатации воздушных кораблей. </w:t>
      </w:r>
    </w:p>
    <w:p w14:paraId="1DE7857D" w14:textId="77777777" w:rsidR="004B4E35" w:rsidRPr="00405303" w:rsidRDefault="009E6F82" w:rsidP="00C15251">
      <w:pPr>
        <w:jc w:val="both"/>
        <w:rPr>
          <w:bCs/>
          <w:color w:val="002060"/>
          <w:sz w:val="16"/>
          <w:szCs w:val="16"/>
        </w:rPr>
      </w:pPr>
      <w:r w:rsidRPr="00405303">
        <w:rPr>
          <w:bCs/>
          <w:color w:val="002060"/>
          <w:sz w:val="16"/>
          <w:szCs w:val="16"/>
        </w:rPr>
        <w:t>Их четырехлетнее сотрудничество оказало решающее влияние на послевоенное развитие дирижаблестроения. Без Штрассера мы бы не смогли построить целый флот боевых цеппелинов во время войны, а без Эккенера мы не имели бы ни «Графа Цеппелина», ни «Гинденбурга». Используя опыт, накопленный Штрассером за годы Первой мировой войны, доктор Эккенер сумел вдохнуть [114] новую жизнь в угасшую было идею безопасного воздушного сообщения с помощью дирижаблей» (11324).</w:t>
      </w:r>
    </w:p>
    <w:p w14:paraId="55F8CC53" w14:textId="77777777" w:rsidR="004B4E35" w:rsidRPr="00405303" w:rsidRDefault="004B4E35" w:rsidP="00C15251">
      <w:pPr>
        <w:jc w:val="both"/>
        <w:rPr>
          <w:bCs/>
          <w:i/>
          <w:color w:val="002060"/>
          <w:sz w:val="16"/>
          <w:szCs w:val="16"/>
        </w:rPr>
      </w:pPr>
    </w:p>
    <w:p w14:paraId="44C363AB" w14:textId="77777777" w:rsidR="00DE7C39" w:rsidRPr="00405303" w:rsidRDefault="00DE7C39" w:rsidP="00C15251">
      <w:pPr>
        <w:jc w:val="both"/>
        <w:rPr>
          <w:bCs/>
          <w:color w:val="002060"/>
          <w:sz w:val="16"/>
          <w:szCs w:val="16"/>
        </w:rPr>
      </w:pPr>
      <w:r w:rsidRPr="00405303">
        <w:rPr>
          <w:bCs/>
          <w:color w:val="002060"/>
          <w:sz w:val="16"/>
          <w:szCs w:val="16"/>
        </w:rPr>
        <w:t>20 февраля (5 марта) в 1915 году впервые дирижабль - германский "цеппелин" «L-8», возвращавшийся после бомбардировки Англии, - был подбит зенитным артиллерийским огнем в районе Ньюпорта и упал на бельгийском побережье (15059).</w:t>
      </w:r>
    </w:p>
    <w:p w14:paraId="16D376F5" w14:textId="77777777" w:rsidR="00DE7C39" w:rsidRPr="00405303" w:rsidRDefault="00DE7C39" w:rsidP="00C15251">
      <w:pPr>
        <w:jc w:val="both"/>
        <w:rPr>
          <w:bCs/>
          <w:color w:val="002060"/>
          <w:sz w:val="16"/>
          <w:szCs w:val="16"/>
        </w:rPr>
      </w:pPr>
    </w:p>
    <w:p w14:paraId="498754B1" w14:textId="77777777" w:rsidR="00DE7C39" w:rsidRPr="00405303" w:rsidRDefault="00DE7C39" w:rsidP="00C15251">
      <w:pPr>
        <w:jc w:val="both"/>
        <w:rPr>
          <w:bCs/>
          <w:i/>
          <w:color w:val="002060"/>
          <w:sz w:val="16"/>
          <w:szCs w:val="16"/>
        </w:rPr>
      </w:pPr>
      <w:r w:rsidRPr="00405303">
        <w:rPr>
          <w:bCs/>
          <w:i/>
          <w:color w:val="002060"/>
          <w:sz w:val="16"/>
          <w:szCs w:val="16"/>
        </w:rPr>
        <w:t>За рубежом:</w:t>
      </w:r>
    </w:p>
    <w:p w14:paraId="67C8F346" w14:textId="77777777" w:rsidR="00DE7C39" w:rsidRPr="00405303" w:rsidRDefault="00DE7C39" w:rsidP="00C15251">
      <w:pPr>
        <w:jc w:val="both"/>
        <w:rPr>
          <w:bCs/>
          <w:color w:val="002060"/>
          <w:sz w:val="16"/>
          <w:szCs w:val="16"/>
        </w:rPr>
      </w:pPr>
    </w:p>
    <w:p w14:paraId="2329B0A1" w14:textId="77777777" w:rsidR="00DE7C39" w:rsidRPr="00405303" w:rsidRDefault="00DE7C39" w:rsidP="00C15251">
      <w:pPr>
        <w:jc w:val="both"/>
        <w:rPr>
          <w:bCs/>
          <w:color w:val="002060"/>
          <w:sz w:val="16"/>
          <w:szCs w:val="16"/>
        </w:rPr>
      </w:pPr>
      <w:r w:rsidRPr="00405303">
        <w:rPr>
          <w:bCs/>
          <w:color w:val="002060"/>
          <w:sz w:val="16"/>
          <w:szCs w:val="16"/>
        </w:rPr>
        <w:t>20 февраля (5 марта) в 1915 году английский линкор "Куин Элизабет", прибывший из порта Мудрос (Греция), встав на рейде у мыса Кабатепе (полуостров Галлиполи) начал обстрел турецких фортов Румели, Хамидие и Намазгях в районе посёлка Килидюльбахир (15059).</w:t>
      </w:r>
    </w:p>
    <w:p w14:paraId="1169CF0E" w14:textId="77777777" w:rsidR="00DE7C39" w:rsidRPr="00405303" w:rsidRDefault="00DE7C39" w:rsidP="00C15251">
      <w:pPr>
        <w:jc w:val="both"/>
        <w:rPr>
          <w:bCs/>
          <w:color w:val="002060"/>
          <w:sz w:val="16"/>
          <w:szCs w:val="16"/>
        </w:rPr>
      </w:pPr>
    </w:p>
    <w:p w14:paraId="521144F5" w14:textId="60139CB0" w:rsidR="00B15685" w:rsidRPr="00405303" w:rsidRDefault="00B15685" w:rsidP="00C15251">
      <w:pPr>
        <w:jc w:val="both"/>
        <w:rPr>
          <w:bCs/>
          <w:i/>
          <w:color w:val="002060"/>
          <w:sz w:val="16"/>
          <w:szCs w:val="16"/>
        </w:rPr>
      </w:pPr>
      <w:r w:rsidRPr="00405303">
        <w:rPr>
          <w:bCs/>
          <w:i/>
          <w:color w:val="002060"/>
          <w:sz w:val="16"/>
          <w:szCs w:val="16"/>
        </w:rPr>
        <w:t>Аэростатостроение:</w:t>
      </w:r>
    </w:p>
    <w:p w14:paraId="7B8F5AA5" w14:textId="77777777" w:rsidR="00B15685" w:rsidRPr="00405303" w:rsidRDefault="00B15685" w:rsidP="00C15251">
      <w:pPr>
        <w:jc w:val="both"/>
        <w:rPr>
          <w:bCs/>
          <w:i/>
          <w:color w:val="002060"/>
          <w:sz w:val="16"/>
          <w:szCs w:val="16"/>
        </w:rPr>
      </w:pPr>
    </w:p>
    <w:p w14:paraId="5ABF1BDE" w14:textId="77777777" w:rsidR="00B15685" w:rsidRPr="00405303" w:rsidRDefault="00B15685" w:rsidP="00C15251">
      <w:pPr>
        <w:jc w:val="both"/>
        <w:rPr>
          <w:bCs/>
          <w:color w:val="002060"/>
          <w:sz w:val="16"/>
          <w:szCs w:val="16"/>
        </w:rPr>
      </w:pPr>
      <w:r w:rsidRPr="00405303">
        <w:rPr>
          <w:bCs/>
          <w:color w:val="002060"/>
          <w:sz w:val="16"/>
          <w:szCs w:val="16"/>
        </w:rPr>
        <w:t>21 фев</w:t>
      </w:r>
      <w:r w:rsidRPr="00405303">
        <w:rPr>
          <w:bCs/>
          <w:color w:val="002060"/>
          <w:sz w:val="16"/>
          <w:szCs w:val="16"/>
        </w:rPr>
        <w:softHyphen/>
        <w:t>раля (6 марта) 1915 г. было высочайше утверждено положение Совета министров об огра</w:t>
      </w:r>
      <w:r w:rsidRPr="00405303">
        <w:rPr>
          <w:bCs/>
          <w:color w:val="002060"/>
          <w:sz w:val="16"/>
          <w:szCs w:val="16"/>
        </w:rPr>
        <w:softHyphen/>
        <w:t>ничении прав подданных воюющих с Россией держав по привилегиям на изобретения (послед</w:t>
      </w:r>
      <w:r w:rsidRPr="00405303">
        <w:rPr>
          <w:bCs/>
          <w:color w:val="002060"/>
          <w:sz w:val="16"/>
          <w:szCs w:val="16"/>
        </w:rPr>
        <w:softHyphen/>
        <w:t>ние объявили «свободными» для всеобщего поль</w:t>
      </w:r>
      <w:r w:rsidRPr="00405303">
        <w:rPr>
          <w:bCs/>
          <w:color w:val="002060"/>
          <w:sz w:val="16"/>
          <w:szCs w:val="16"/>
        </w:rPr>
        <w:softHyphen/>
        <w:t>зования), действие патента фирмы «Ридингер» на змейковый аэростат было прекращено и производство змейковых аэростатов наладил завод «Треугольник» ТРАРМ. Высокое качество выпускавшейся заводом прорезинен</w:t>
      </w:r>
      <w:r w:rsidRPr="00405303">
        <w:rPr>
          <w:bCs/>
          <w:color w:val="002060"/>
          <w:sz w:val="16"/>
          <w:szCs w:val="16"/>
        </w:rPr>
        <w:softHyphen/>
        <w:t>ной аэростатной материи позволило и десятиле</w:t>
      </w:r>
      <w:r w:rsidRPr="00405303">
        <w:rPr>
          <w:bCs/>
          <w:color w:val="002060"/>
          <w:sz w:val="16"/>
          <w:szCs w:val="16"/>
        </w:rPr>
        <w:softHyphen/>
        <w:t>тие спустя после изготовления использовать её для шитья оболочек дирижаблей «VI Октябрь» и «Комсомольская правда». Срок службы аэроста</w:t>
      </w:r>
      <w:r w:rsidRPr="00405303">
        <w:rPr>
          <w:bCs/>
          <w:color w:val="002060"/>
          <w:sz w:val="16"/>
          <w:szCs w:val="16"/>
        </w:rPr>
        <w:softHyphen/>
        <w:t>та составлял 1200 часов. Выпускались аэростаты объёмом 750, 850 и 1000 м3, но по опыту войны в русской армии нормальными считались змейко</w:t>
      </w:r>
      <w:r w:rsidRPr="00405303">
        <w:rPr>
          <w:bCs/>
          <w:color w:val="002060"/>
          <w:sz w:val="16"/>
          <w:szCs w:val="16"/>
        </w:rPr>
        <w:softHyphen/>
        <w:t>вые аэростаты объёмом 850 и 1000 м3. Аэростаты объёмом 1000 м3 признавались предпочтительны</w:t>
      </w:r>
      <w:r w:rsidRPr="00405303">
        <w:rPr>
          <w:bCs/>
          <w:color w:val="002060"/>
          <w:sz w:val="16"/>
          <w:szCs w:val="16"/>
        </w:rPr>
        <w:softHyphen/>
        <w:t>ми при обучении (позволяли поднимать в корзине инструктора и как минимум двоих обучающихся), и в тех случаях, когда их большой объём компен</w:t>
      </w:r>
      <w:r w:rsidRPr="00405303">
        <w:rPr>
          <w:bCs/>
          <w:color w:val="002060"/>
          <w:sz w:val="16"/>
          <w:szCs w:val="16"/>
        </w:rPr>
        <w:softHyphen/>
        <w:t>сировал падение подъёмной силы на высокой местности и у моря. У аэростатов объёмом 750 м3 подъёмная сила при «постоявшем» газе зачастую оказывалась недостаточной для подъёма даже од</w:t>
      </w:r>
      <w:r w:rsidRPr="00405303">
        <w:rPr>
          <w:bCs/>
          <w:color w:val="002060"/>
          <w:sz w:val="16"/>
          <w:szCs w:val="16"/>
        </w:rPr>
        <w:softHyphen/>
        <w:t>ного наблюдателя. Тогда наблюдателя приходи</w:t>
      </w:r>
      <w:r w:rsidRPr="00405303">
        <w:rPr>
          <w:bCs/>
          <w:color w:val="002060"/>
          <w:sz w:val="16"/>
          <w:szCs w:val="16"/>
        </w:rPr>
        <w:softHyphen/>
        <w:t>лось поднимать без корзины на трапеции.</w:t>
      </w:r>
    </w:p>
    <w:p w14:paraId="709CF67A" w14:textId="77777777" w:rsidR="00B15685" w:rsidRPr="00405303" w:rsidRDefault="00B15685" w:rsidP="00C15251">
      <w:pPr>
        <w:jc w:val="both"/>
        <w:rPr>
          <w:bCs/>
          <w:color w:val="002060"/>
          <w:sz w:val="16"/>
          <w:szCs w:val="16"/>
        </w:rPr>
      </w:pPr>
      <w:r w:rsidRPr="00405303">
        <w:rPr>
          <w:bCs/>
          <w:color w:val="002060"/>
          <w:sz w:val="16"/>
          <w:szCs w:val="16"/>
        </w:rPr>
        <w:t>Аэростат в целом удовлетворял воздухопла</w:t>
      </w:r>
      <w:r w:rsidRPr="00405303">
        <w:rPr>
          <w:bCs/>
          <w:color w:val="002060"/>
          <w:sz w:val="16"/>
          <w:szCs w:val="16"/>
        </w:rPr>
        <w:softHyphen/>
        <w:t>вателей, а И.Л. Когутов даже считал: «Аэростат в настоящем его виде является снарядом настоль</w:t>
      </w:r>
      <w:r w:rsidRPr="00405303">
        <w:rPr>
          <w:bCs/>
          <w:color w:val="002060"/>
          <w:sz w:val="16"/>
          <w:szCs w:val="16"/>
        </w:rPr>
        <w:softHyphen/>
        <w:t>ко обдуманным и законченным, что изменени</w:t>
      </w:r>
      <w:r w:rsidRPr="00405303">
        <w:rPr>
          <w:bCs/>
          <w:color w:val="002060"/>
          <w:sz w:val="16"/>
          <w:szCs w:val="16"/>
        </w:rPr>
        <w:softHyphen/>
        <w:t>ем его формы, устранением существующих ор</w:t>
      </w:r>
      <w:r w:rsidRPr="00405303">
        <w:rPr>
          <w:bCs/>
          <w:color w:val="002060"/>
          <w:sz w:val="16"/>
          <w:szCs w:val="16"/>
        </w:rPr>
        <w:softHyphen/>
        <w:t>ганов и введением новых в целях ли улучшения устойчивости или других [качеств], можно ско</w:t>
      </w:r>
      <w:r w:rsidRPr="00405303">
        <w:rPr>
          <w:bCs/>
          <w:color w:val="002060"/>
          <w:sz w:val="16"/>
          <w:szCs w:val="16"/>
        </w:rPr>
        <w:softHyphen/>
        <w:t>рее повредить ему, чём усовершенствовать его»4. В 1914 г. принятый в России змейковый аэростат, безусловно, представлял собой более совершен</w:t>
      </w:r>
      <w:r w:rsidRPr="00405303">
        <w:rPr>
          <w:bCs/>
          <w:color w:val="002060"/>
          <w:sz w:val="16"/>
          <w:szCs w:val="16"/>
        </w:rPr>
        <w:softHyphen/>
        <w:t>ный тип привязного аэростата, чём французские и британские сферические воздушные шары (бри</w:t>
      </w:r>
      <w:r w:rsidRPr="00405303">
        <w:rPr>
          <w:bCs/>
          <w:color w:val="002060"/>
          <w:sz w:val="16"/>
          <w:szCs w:val="16"/>
        </w:rPr>
        <w:softHyphen/>
        <w:t>танские к тому же изготавливались из бодрюша5). Однако в 1916 г. на вооружение французской и британской армий поступил аэродинамически более совершенный привязной аэростат «Како». Немцы, захватив такой аэростат в июле 1916 г. в ходе боёв на Сомме и убедившись в превосход</w:t>
      </w:r>
      <w:r w:rsidRPr="00405303">
        <w:rPr>
          <w:bCs/>
          <w:color w:val="002060"/>
          <w:sz w:val="16"/>
          <w:szCs w:val="16"/>
        </w:rPr>
        <w:softHyphen/>
        <w:t>стве его над змейковым, осенью того же года при</w:t>
      </w:r>
      <w:r w:rsidRPr="00405303">
        <w:rPr>
          <w:bCs/>
          <w:color w:val="002060"/>
          <w:sz w:val="16"/>
          <w:szCs w:val="16"/>
        </w:rPr>
        <w:softHyphen/>
        <w:t>няли на вооружение его копию под маркой «</w:t>
      </w:r>
      <w:r w:rsidRPr="00405303">
        <w:rPr>
          <w:bCs/>
          <w:color w:val="002060"/>
          <w:sz w:val="16"/>
          <w:szCs w:val="16"/>
          <w:lang w:val="en-US"/>
        </w:rPr>
        <w:t>AE</w:t>
      </w:r>
      <w:r w:rsidRPr="00405303">
        <w:rPr>
          <w:bCs/>
          <w:color w:val="002060"/>
          <w:sz w:val="16"/>
          <w:szCs w:val="16"/>
        </w:rPr>
        <w:t>» (20120)</w:t>
      </w:r>
    </w:p>
    <w:p w14:paraId="50A89690" w14:textId="77777777" w:rsidR="00B15685" w:rsidRPr="00405303" w:rsidRDefault="00B15685" w:rsidP="00C15251">
      <w:pPr>
        <w:shd w:val="clear" w:color="auto" w:fill="FFFFFF"/>
        <w:jc w:val="both"/>
        <w:rPr>
          <w:bCs/>
          <w:color w:val="002060"/>
          <w:sz w:val="16"/>
          <w:szCs w:val="16"/>
        </w:rPr>
      </w:pPr>
    </w:p>
    <w:p w14:paraId="23391944"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608AFCA0" w14:textId="77777777" w:rsidR="004B4E35" w:rsidRPr="00405303" w:rsidRDefault="004B4E35" w:rsidP="00C15251">
      <w:pPr>
        <w:jc w:val="both"/>
        <w:rPr>
          <w:bCs/>
          <w:i/>
          <w:color w:val="002060"/>
          <w:sz w:val="16"/>
          <w:szCs w:val="16"/>
        </w:rPr>
      </w:pPr>
    </w:p>
    <w:p w14:paraId="4F0A656F" w14:textId="70BEFF44" w:rsidR="004B4E35" w:rsidRPr="00405303" w:rsidRDefault="00797C5F" w:rsidP="00C15251">
      <w:pPr>
        <w:jc w:val="both"/>
        <w:rPr>
          <w:bCs/>
          <w:color w:val="002060"/>
          <w:sz w:val="16"/>
          <w:szCs w:val="16"/>
        </w:rPr>
      </w:pPr>
      <w:r w:rsidRPr="00405303">
        <w:rPr>
          <w:bCs/>
          <w:color w:val="002060"/>
          <w:sz w:val="16"/>
          <w:szCs w:val="16"/>
        </w:rPr>
        <w:t>Н</w:t>
      </w:r>
      <w:r w:rsidR="009E6F82" w:rsidRPr="00405303">
        <w:rPr>
          <w:bCs/>
          <w:color w:val="002060"/>
          <w:sz w:val="16"/>
          <w:szCs w:val="16"/>
        </w:rPr>
        <w:t>а 21 февраля (6 марта) 1915 был назначён боевой вылет</w:t>
      </w:r>
      <w:r w:rsidRPr="00405303">
        <w:rPr>
          <w:bCs/>
          <w:color w:val="002060"/>
          <w:sz w:val="16"/>
          <w:szCs w:val="16"/>
        </w:rPr>
        <w:t xml:space="preserve"> капитана Горшкова</w:t>
      </w:r>
      <w:r w:rsidR="009E6F82" w:rsidRPr="00405303">
        <w:rPr>
          <w:bCs/>
          <w:color w:val="002060"/>
          <w:sz w:val="16"/>
          <w:szCs w:val="16"/>
        </w:rPr>
        <w:t>. Он держался в секрете, и корабль провожали только генерал Шидловский, его адъютант и Сикорский. После вылета экипажа Горшкова личному составу было объявлено о начале боевой работы (11230). "Муромец" медленно набирал высоту. Командир сделал над аэродромом два круга и на высоте 1800 м лег на курс. Было ясно и тихо. Ни ветерка. Корабль, кажется, стоял в недвижном воздухе. Ровно гудели моторы, все выло в порядке. Каждый молча занимался своим делом, каждый был углублен в себя. Все-таки первый боевой вылет. Как поведет себя противник, как машина, ведь она ничем не защищена снизу. В косых лучах утреннего солнца четко просматривались неприятельские окопы. Наумов работал с картой, сверяя ее с местностью, Башко был наготове рядом с командиром. Но нес было тихо. Зенитки не стреляли, истребителей не видно. Самолет углубился в тыл противника. Моторист Чучелов, уставший ждать неприятеля, покинул свой пост и сходил проверил двигатели. Все было в порядке. Полет протекал нормально. Прошли две станции, сфотографировали поезд, а конечного пункта маршрута Пилленберга все не было. Горшков грозно посматривал штурмана, тот нервничал. Стало ясно - заблудились. Горшков повернул назад. При проходе линии фронта у всех опять засосало под ложечкой, но все было спокойно. Уже на снижении вспомнили о бомбах, но делать нечего, пришлось с ними садиться. Что ж, пер вый блин комом. С горечью пришлось доложить генералу о неполном выполнении боевого задания. Тем не менее первый боевой опыт уже был. Тщательно осмотрели корабль - ни единой царапины. Неудовлетворенный результатами вылета. Горшков решил повторить вылет прямо на следующий день. Уже по знакомому маршруту точно вышли на Вилленберг и сделали три захода - на первом пристрелка, на втором сбросили серию из пяти бомб, на третьем сфотографировали станцию, уже окутанную дымом. Попадания были точными, прямо среди подвижного состава. На обратном пути "Муромца" с земли дважды обстреляли из пулеметов, и опять ни одной пробоины. Опыта стрельбы по таким мишеням у неприятеля пока еще не было. Этими двумя полетами и началась боевая работа эскадры (11230).</w:t>
      </w:r>
    </w:p>
    <w:p w14:paraId="5CE22EF6" w14:textId="77777777" w:rsidR="004B4E35" w:rsidRPr="00405303" w:rsidRDefault="004B4E35" w:rsidP="00C15251">
      <w:pPr>
        <w:jc w:val="both"/>
        <w:rPr>
          <w:bCs/>
          <w:color w:val="002060"/>
          <w:sz w:val="16"/>
          <w:szCs w:val="16"/>
        </w:rPr>
      </w:pPr>
    </w:p>
    <w:p w14:paraId="1677D7D5" w14:textId="2CDF2FCD" w:rsidR="008A24A3" w:rsidRPr="00405303" w:rsidRDefault="008A24A3" w:rsidP="00C15251">
      <w:pPr>
        <w:jc w:val="both"/>
        <w:rPr>
          <w:bCs/>
          <w:color w:val="002060"/>
          <w:sz w:val="16"/>
          <w:szCs w:val="16"/>
        </w:rPr>
      </w:pPr>
      <w:r w:rsidRPr="00405303">
        <w:rPr>
          <w:bCs/>
          <w:color w:val="002060"/>
          <w:sz w:val="16"/>
          <w:szCs w:val="16"/>
        </w:rPr>
        <w:t>На 21 февраля (6 марта) 1915 г. был назначен боевой вылет ИМ эскадры воздушных кораблей. Он держался в секрете, и корабль провожали только генерал Шидловский, его адъютант и Сикорский. После вылета эки</w:t>
      </w:r>
      <w:r w:rsidRPr="00405303">
        <w:rPr>
          <w:bCs/>
          <w:color w:val="002060"/>
          <w:sz w:val="16"/>
          <w:szCs w:val="16"/>
        </w:rPr>
        <w:softHyphen/>
        <w:t>пажа Горшкова личному составу было объявлено о на</w:t>
      </w:r>
      <w:r w:rsidRPr="00405303">
        <w:rPr>
          <w:bCs/>
          <w:color w:val="002060"/>
          <w:sz w:val="16"/>
          <w:szCs w:val="16"/>
        </w:rPr>
        <w:softHyphen/>
        <w:t>чале боевой работы. (24177).</w:t>
      </w:r>
    </w:p>
    <w:p w14:paraId="0E9FB2F7" w14:textId="77777777" w:rsidR="008A24A3" w:rsidRPr="00405303" w:rsidRDefault="008A24A3" w:rsidP="00C15251">
      <w:pPr>
        <w:jc w:val="both"/>
        <w:rPr>
          <w:bCs/>
          <w:color w:val="002060"/>
          <w:sz w:val="16"/>
          <w:szCs w:val="16"/>
        </w:rPr>
      </w:pPr>
      <w:r w:rsidRPr="00405303">
        <w:rPr>
          <w:bCs/>
          <w:color w:val="002060"/>
          <w:sz w:val="16"/>
          <w:szCs w:val="16"/>
        </w:rPr>
        <w:t>«Муромец» медленно набирал высоту. Командир сде</w:t>
      </w:r>
      <w:r w:rsidRPr="00405303">
        <w:rPr>
          <w:bCs/>
          <w:color w:val="002060"/>
          <w:sz w:val="16"/>
          <w:szCs w:val="16"/>
        </w:rPr>
        <w:softHyphen/>
        <w:t>лал над аэродромом два круга и на высоте 1800 м лег на курс. Было ясно и тихо. Ни ветерка. Корабль, кажется, стоял в недвижном воздухе. Ровно гудели моторы, все было в порядке. Каждый молча занимался своим де</w:t>
      </w:r>
      <w:r w:rsidRPr="00405303">
        <w:rPr>
          <w:bCs/>
          <w:color w:val="002060"/>
          <w:sz w:val="16"/>
          <w:szCs w:val="16"/>
        </w:rPr>
        <w:softHyphen/>
        <w:t>лом, каждый был углублен в себя. Все-таки первый бо</w:t>
      </w:r>
      <w:r w:rsidRPr="00405303">
        <w:rPr>
          <w:bCs/>
          <w:color w:val="002060"/>
          <w:sz w:val="16"/>
          <w:szCs w:val="16"/>
        </w:rPr>
        <w:softHyphen/>
        <w:t>евой вылет. Как поведет себя противник, как машина, ведь она ничем не защищена снизу. В косых лучах ут</w:t>
      </w:r>
      <w:r w:rsidRPr="00405303">
        <w:rPr>
          <w:bCs/>
          <w:color w:val="002060"/>
          <w:sz w:val="16"/>
          <w:szCs w:val="16"/>
        </w:rPr>
        <w:softHyphen/>
        <w:t>реннего солнца четко просматривались неприятель</w:t>
      </w:r>
      <w:r w:rsidRPr="00405303">
        <w:rPr>
          <w:bCs/>
          <w:color w:val="002060"/>
          <w:sz w:val="16"/>
          <w:szCs w:val="16"/>
        </w:rPr>
        <w:softHyphen/>
        <w:t>ские окопы. Наумов работал с картой, сверяя ее с мест</w:t>
      </w:r>
      <w:r w:rsidRPr="00405303">
        <w:rPr>
          <w:bCs/>
          <w:color w:val="002060"/>
          <w:sz w:val="16"/>
          <w:szCs w:val="16"/>
        </w:rPr>
        <w:softHyphen/>
        <w:t>ностью, Башко был наготове рядом с командиром. Но все было тихо. Зенитки не стреляли, истребителей не видно. Самолет углубился в тыл противника. Моторист Чучелов, уставший ждать неприятеля, покинул свой пост и сходил проверил двигатели. Все было в порядке. Полет протекал нормально. Прошли две станции, сфо</w:t>
      </w:r>
      <w:r w:rsidRPr="00405303">
        <w:rPr>
          <w:bCs/>
          <w:color w:val="002060"/>
          <w:sz w:val="16"/>
          <w:szCs w:val="16"/>
        </w:rPr>
        <w:softHyphen/>
        <w:t>тографировали поезд, а конечно.» пункта маршрута Вилленберга все не было. Горшков грозно посматривал на штурмана, тот нервничал. Стало ясно — заблуди</w:t>
      </w:r>
      <w:r w:rsidRPr="00405303">
        <w:rPr>
          <w:bCs/>
          <w:color w:val="002060"/>
          <w:sz w:val="16"/>
          <w:szCs w:val="16"/>
        </w:rPr>
        <w:softHyphen/>
        <w:t>лись. Горшков повернул назад. При проходе линии фронта у всех опять засосало под ложечкой, но все было спокойно. Уже на снижении вспомнили о бомбах, но делать нечего, пришлось с ними садиться. Что ж, пер</w:t>
      </w:r>
      <w:r w:rsidRPr="00405303">
        <w:rPr>
          <w:bCs/>
          <w:color w:val="002060"/>
          <w:sz w:val="16"/>
          <w:szCs w:val="16"/>
        </w:rPr>
        <w:softHyphen/>
        <w:t>вый блин комом. С горечью пришлось доложить генера</w:t>
      </w:r>
      <w:r w:rsidRPr="00405303">
        <w:rPr>
          <w:bCs/>
          <w:color w:val="002060"/>
          <w:sz w:val="16"/>
          <w:szCs w:val="16"/>
        </w:rPr>
        <w:softHyphen/>
        <w:t>лу о неполном выполнении боевого задания. Тем не ме</w:t>
      </w:r>
      <w:r w:rsidRPr="00405303">
        <w:rPr>
          <w:bCs/>
          <w:color w:val="002060"/>
          <w:sz w:val="16"/>
          <w:szCs w:val="16"/>
        </w:rPr>
        <w:softHyphen/>
        <w:t>нее первый боевой опыт уже был. Тщательно осмотрели корабль — ни единой царапины. Неудовлетворенный результатами вылета, Горшков решил повторить вылет прямо на следующий день. Уже по знакомому маршру</w:t>
      </w:r>
      <w:r w:rsidRPr="00405303">
        <w:rPr>
          <w:bCs/>
          <w:color w:val="002060"/>
          <w:sz w:val="16"/>
          <w:szCs w:val="16"/>
        </w:rPr>
        <w:softHyphen/>
        <w:t>ту точно вышли на Вилленберг и сделали три захода — на первом пристрелка, на втором сбросили серию из пя</w:t>
      </w:r>
      <w:r w:rsidRPr="00405303">
        <w:rPr>
          <w:bCs/>
          <w:color w:val="002060"/>
          <w:sz w:val="16"/>
          <w:szCs w:val="16"/>
        </w:rPr>
        <w:softHyphen/>
        <w:t>ти бомб, на третьем сфотографировали станцию, уже окутанную дымом. Попадания были точными, прямо среди подвижного состава. На обратном пути «Муром</w:t>
      </w:r>
      <w:r w:rsidRPr="00405303">
        <w:rPr>
          <w:bCs/>
          <w:color w:val="002060"/>
          <w:sz w:val="16"/>
          <w:szCs w:val="16"/>
        </w:rPr>
        <w:softHyphen/>
        <w:t>ца» с земли дважды обстреляли из пулеметов, и опять ни одной пробоины. Опыта стрельбы по таким мише</w:t>
      </w:r>
      <w:r w:rsidRPr="00405303">
        <w:rPr>
          <w:bCs/>
          <w:color w:val="002060"/>
          <w:sz w:val="16"/>
          <w:szCs w:val="16"/>
        </w:rPr>
        <w:softHyphen/>
        <w:t>ням у неприятеля пока еще не было. Этими двумя поле</w:t>
      </w:r>
      <w:r w:rsidRPr="00405303">
        <w:rPr>
          <w:bCs/>
          <w:color w:val="002060"/>
          <w:sz w:val="16"/>
          <w:szCs w:val="16"/>
        </w:rPr>
        <w:softHyphen/>
        <w:t>тами и началась боевая работа эскадры (24177).</w:t>
      </w:r>
    </w:p>
    <w:p w14:paraId="1FA16421" w14:textId="77777777" w:rsidR="008A24A3" w:rsidRPr="00405303" w:rsidRDefault="008A24A3" w:rsidP="00C15251">
      <w:pPr>
        <w:jc w:val="both"/>
        <w:rPr>
          <w:bCs/>
          <w:color w:val="002060"/>
          <w:sz w:val="16"/>
          <w:szCs w:val="16"/>
        </w:rPr>
      </w:pPr>
    </w:p>
    <w:p w14:paraId="6C3072D3" w14:textId="03607362"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lastRenderedPageBreak/>
        <w:t xml:space="preserve">21-го февраля (6 марта) 1915 г. </w:t>
      </w:r>
      <w:r w:rsidR="005F5FDA" w:rsidRPr="00405303">
        <w:rPr>
          <w:bCs/>
          <w:i w:val="0"/>
          <w:color w:val="002060"/>
          <w:spacing w:val="0"/>
          <w:kern w:val="0"/>
          <w:position w:val="0"/>
          <w:sz w:val="16"/>
          <w:szCs w:val="16"/>
        </w:rPr>
        <w:t xml:space="preserve">начальник 19-го КАО поручик Владимир Ягелло, производя воздушную разведку </w:t>
      </w:r>
      <w:r w:rsidRPr="00405303">
        <w:rPr>
          <w:bCs/>
          <w:i w:val="0"/>
          <w:color w:val="002060"/>
          <w:spacing w:val="0"/>
          <w:kern w:val="0"/>
          <w:position w:val="0"/>
          <w:sz w:val="16"/>
          <w:szCs w:val="16"/>
        </w:rPr>
        <w:t>района расположения противника в направлении на Рожкову-Волю, Томашев и Раву, будучи обстрелян артиллерией противника..., добыл сведения особой важности относительно движения противника к левому флангу нашей армии, которые своевременно доставил в штаб армии, что дало возможность принять меры и с успехом парализовать намерения противника (11278).</w:t>
      </w:r>
    </w:p>
    <w:p w14:paraId="19B1F23B" w14:textId="77777777" w:rsidR="004B4E35" w:rsidRPr="00405303" w:rsidRDefault="004B4E35" w:rsidP="00C15251">
      <w:pPr>
        <w:pStyle w:val="a3"/>
        <w:jc w:val="both"/>
        <w:rPr>
          <w:bCs/>
          <w:i w:val="0"/>
          <w:color w:val="002060"/>
          <w:spacing w:val="0"/>
          <w:kern w:val="0"/>
          <w:position w:val="0"/>
          <w:sz w:val="16"/>
          <w:szCs w:val="16"/>
        </w:rPr>
      </w:pPr>
    </w:p>
    <w:p w14:paraId="5AA6725C" w14:textId="5D69DFB6" w:rsidR="004B4E35" w:rsidRPr="00405303" w:rsidRDefault="009E6F82" w:rsidP="00C15251">
      <w:pPr>
        <w:jc w:val="both"/>
        <w:rPr>
          <w:bCs/>
          <w:color w:val="002060"/>
          <w:sz w:val="16"/>
          <w:szCs w:val="16"/>
        </w:rPr>
      </w:pPr>
      <w:r w:rsidRPr="00405303">
        <w:rPr>
          <w:bCs/>
          <w:color w:val="002060"/>
          <w:sz w:val="16"/>
          <w:szCs w:val="16"/>
        </w:rPr>
        <w:t xml:space="preserve">21-го февраля (6 марта) 1915 г. </w:t>
      </w:r>
      <w:r w:rsidR="005F5FDA" w:rsidRPr="00405303">
        <w:rPr>
          <w:bCs/>
          <w:color w:val="002060"/>
          <w:sz w:val="16"/>
          <w:szCs w:val="16"/>
        </w:rPr>
        <w:t xml:space="preserve">поручик Владимир Ягелло, производя воздушную разведку </w:t>
      </w:r>
      <w:r w:rsidRPr="00405303">
        <w:rPr>
          <w:bCs/>
          <w:color w:val="002060"/>
          <w:sz w:val="16"/>
          <w:szCs w:val="16"/>
        </w:rPr>
        <w:t>района расположения противника в направлении на Рожкову-Волю, Томашев и Раву, будучи обстрелян артиллерией противника..., добыл сведения особой важности относительно движения противника к левому флангу нашей армии, которые своевременно доставил в штаб армии, что дало возможность принять меры и с успехом парализовать намерения противника&gt;. Георгиевскими кавалерами стали поручик Смольянинов из 24-го КАО, подпоручик Иван Орлов и др. Не все герои получили боевые награды: 16-го сентября во время воздушной разведки лейтенант Маркович, "исправляя во время полета пробитый пулей бензиновый бак, был убит, геройской смертью запечатлев содеянный им подвиг". Умер от ран, полученных при падении во время воздушной разведки, начальник 2-го Сибирского КАО штабскапитан И. И. Александрович... Не отставали от кадровых офицеров и летчики-добровольцы, научившиеся полетам на аэропланах в частных школах или аэроклубах еще перед войной. Вот один из примеров. &lt;12 мая во время выполнения разведки летнабом 19-го КАО подпоручиком Рудовичем в моторе аппарата произошел взрыв. До линии фронта оставалось 8 верст. Летчик-охотник ефрейтор Лауниц не растерялся и стал планировать под сильным пулеметным и артиллерийским огнем. Ему удалось вывести аппарат из расположения противника и опуститься вблизи наших боевых позиций. Он спас самолет от захвата противником и офицера от плена. Во время планирования ефрейтор Лауниц был ранен в руку с раздроблением кости, но несмотря на это посадил самолет.&gt; Приказом по войскам 5-й армии от 25.05.1915 г. Владимир Лауниц был награжден солдатским Георгиевским крестом 4-й степени. В конце 1915 г. война на восточном фронте приняла позиционный характер. Кавалерия лишилась возможности проводить разведку. Только самолеты позволяли проникнуть в глубину расположения войск противника, чтобы собрать необходимые для командования сведения. При этом задачи воздушной разведки изменились: если в условиях маневренной войны на нее прежде всего возлагалось наблюдение за крупными силами неприятеля и направлением их движения, то теперь от авиаторов главным образом требовалось тщательно изучать систему обороны противника и наблюдать за ее состоянием и развитием. Привлекалась авиация и для выполнения других задач. Летом в Польше на Северо-Западном фронте германские войска окружили пограничную крепость Новогеоргиевск. В начале августа командование русского гарнизона ввиду опасности скорой капитуляции решило воспользоваться услугами летчиков Новогеоргиевского крепостного авиаотряда. Его начальник капитан Иван Массальский организовал отлет всех исправных самолетов, предварительно уничтожив авиационное имущество, которое нельзя было вывезти. Летчики поручик Константин Вакуловский, штабс-ротмистр Ливотов, капитан Массальский и другие по приказу коменданта крепости вылетели в непогоду под сильным обстрелом противника. Прорвавшись, они вывезли штандарты, Георгиевские кресты и секретные документы. Пролетев 4- 5 часов на небольшой высоте, авиаторы благополучно опустились в расположении своих войск. За этот подвиг они были награждены орденами Св. Георгия 4-й степени и Георгиевским оружием. В 1915 г. воздушные бои оставались редкостью. В большинстве случаев экипажи отправлялись на задания, располагая только карабинами и пистолетами, но и с таким оружием некоторые летчики добивались воздушных побед. Так, 25 февраля летчик°доброволец француз Пуаре с наблюдателем поручиком Шебалиным вылетели на трофейном "Эйлере" на разведку района Лович-Неборов-Болилов. Над своими позициями между Камионом и Сулишевым они атаковали немецкий аппарат. С дистанции 40-50 м по нему было произведено 5 выстрелов из карабина. Согласно донесению летчиков 2-го армейского авиаотряда, "после третьего выстрела самолет противника пошел с поворотом книзу и опустился под Скверневицами". 15-го июля во время разведки к востоку от Золотой Липы летчики 2-го Сибирского КАО поручик Покровский и корнет Плонский заметили неприятельский аэроплан. Из оружия у них были только пистолеты 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7-й... авиароты.&gt; Оба русских героя были награждены орденами Св. Георгия 4-й степени. Кстати, &lt;Авиатик&gt;, как и большийство других самолетов того времени, был весьма слабой машиной. Об этом свидетельствует следующий факт: 27 ноября австрийские летчики Дример и Хубнер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Недостаток вооружения во многом компенсировался храбростью русских авиаторов. 18-го марта одержал свою первую победу летчик 4-го КАО поручик А. А. 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В 1915 г. на русских аэропланах появились пулеметы. Для их применения наиболее пригодным оказался биплан Вуазен, на который часто устанавливался пулемет Кольт. Такой самолет становился грозным оружием, 24-го июня летчик прапорщик Иванов и наблюдатель поручик Алексеев из 26-го КАО атаковали в районе Тарнополя австрийский Альбатрос (бортовой номер 21-01) из 1-й авиароты,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Тлусте,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3E7E24B7" w14:textId="77777777" w:rsidR="004B4E35" w:rsidRPr="00405303" w:rsidRDefault="004B4E35" w:rsidP="00C15251">
      <w:pPr>
        <w:jc w:val="both"/>
        <w:rPr>
          <w:bCs/>
          <w:color w:val="002060"/>
          <w:sz w:val="16"/>
          <w:szCs w:val="16"/>
        </w:rPr>
      </w:pPr>
    </w:p>
    <w:p w14:paraId="6E689E1B" w14:textId="77777777" w:rsidR="00B442E5" w:rsidRPr="00405303" w:rsidRDefault="00B442E5" w:rsidP="00B442E5">
      <w:pPr>
        <w:jc w:val="both"/>
        <w:rPr>
          <w:color w:val="0070C0"/>
          <w:sz w:val="16"/>
          <w:szCs w:val="16"/>
        </w:rPr>
      </w:pPr>
      <w:r w:rsidRPr="00405303">
        <w:rPr>
          <w:color w:val="0070C0"/>
          <w:sz w:val="16"/>
          <w:szCs w:val="16"/>
        </w:rPr>
        <w:t>21-го февраля (6 марта) 1915 г. начальник 19-го КАО поручик Владимир Ягелло «за то, что, производя воздушную разведку района расположения противника в направлении на Рожкову-Волю, Томашев и Раву, будучи обстрелян артиллерией противника…, добыл сведения особой важности относительно движения противника к левому флангу нашей армии, которые своевременно доставил в штаб армии, что дало возможность принять меры и с успехом парализовать намерения противника» был награжден орденом Св.Георгия 4-й степени (25151). </w:t>
      </w:r>
    </w:p>
    <w:p w14:paraId="3E865996" w14:textId="77777777" w:rsidR="00B442E5" w:rsidRPr="00405303" w:rsidRDefault="00B442E5" w:rsidP="00B442E5">
      <w:pPr>
        <w:jc w:val="both"/>
        <w:rPr>
          <w:color w:val="0070C0"/>
          <w:sz w:val="16"/>
          <w:szCs w:val="16"/>
        </w:rPr>
      </w:pPr>
    </w:p>
    <w:p w14:paraId="08534C89" w14:textId="77777777" w:rsidR="00E933EE" w:rsidRPr="00405303" w:rsidRDefault="00E933EE" w:rsidP="00C15251">
      <w:pPr>
        <w:jc w:val="both"/>
        <w:rPr>
          <w:bCs/>
          <w:i/>
          <w:color w:val="002060"/>
          <w:sz w:val="16"/>
          <w:szCs w:val="16"/>
        </w:rPr>
      </w:pPr>
      <w:r w:rsidRPr="00405303">
        <w:rPr>
          <w:bCs/>
          <w:i/>
          <w:color w:val="002060"/>
          <w:sz w:val="16"/>
          <w:szCs w:val="16"/>
        </w:rPr>
        <w:t>Армия:</w:t>
      </w:r>
    </w:p>
    <w:p w14:paraId="7EABE541" w14:textId="77777777" w:rsidR="00E933EE" w:rsidRPr="00405303" w:rsidRDefault="00E933EE" w:rsidP="00C15251">
      <w:pPr>
        <w:jc w:val="both"/>
        <w:rPr>
          <w:bCs/>
          <w:i/>
          <w:color w:val="002060"/>
          <w:sz w:val="16"/>
          <w:szCs w:val="16"/>
        </w:rPr>
      </w:pPr>
    </w:p>
    <w:p w14:paraId="2386E560" w14:textId="7242584B" w:rsidR="00E933EE" w:rsidRPr="00405303" w:rsidRDefault="00E933EE" w:rsidP="00C15251">
      <w:pPr>
        <w:jc w:val="both"/>
        <w:rPr>
          <w:bCs/>
          <w:color w:val="002060"/>
          <w:sz w:val="16"/>
          <w:szCs w:val="16"/>
        </w:rPr>
      </w:pPr>
      <w:r w:rsidRPr="00405303">
        <w:rPr>
          <w:bCs/>
          <w:color w:val="002060"/>
          <w:sz w:val="16"/>
          <w:szCs w:val="16"/>
        </w:rPr>
        <w:t xml:space="preserve">21 февраля </w:t>
      </w:r>
      <w:r w:rsidR="005F5FDA" w:rsidRPr="00405303">
        <w:rPr>
          <w:bCs/>
          <w:color w:val="002060"/>
          <w:sz w:val="16"/>
          <w:szCs w:val="16"/>
        </w:rPr>
        <w:t xml:space="preserve">(6 марта) </w:t>
      </w:r>
      <w:r w:rsidRPr="00405303">
        <w:rPr>
          <w:bCs/>
          <w:color w:val="002060"/>
          <w:sz w:val="16"/>
          <w:szCs w:val="16"/>
        </w:rPr>
        <w:t>в 1915 году из района Гродно 10-я русская армия перешла в наступление на позиции 10-й германской армии с целью деблокировать 20-й армейский корпус, окруженный в Августовских лесах (15047).</w:t>
      </w:r>
    </w:p>
    <w:p w14:paraId="091A69F9" w14:textId="77777777" w:rsidR="00E933EE" w:rsidRPr="00405303" w:rsidRDefault="00E933EE" w:rsidP="00C15251">
      <w:pPr>
        <w:jc w:val="both"/>
        <w:rPr>
          <w:bCs/>
          <w:color w:val="002060"/>
          <w:sz w:val="16"/>
          <w:szCs w:val="16"/>
        </w:rPr>
      </w:pPr>
    </w:p>
    <w:p w14:paraId="55601D9E"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635D1E06" w14:textId="77777777" w:rsidR="004B4E35" w:rsidRPr="00405303" w:rsidRDefault="004B4E35" w:rsidP="00C15251">
      <w:pPr>
        <w:jc w:val="both"/>
        <w:rPr>
          <w:bCs/>
          <w:i/>
          <w:color w:val="002060"/>
          <w:sz w:val="16"/>
          <w:szCs w:val="16"/>
        </w:rPr>
      </w:pPr>
    </w:p>
    <w:p w14:paraId="200271A7" w14:textId="66DE9EF9" w:rsidR="004B4E35" w:rsidRPr="00405303" w:rsidRDefault="009E6F82" w:rsidP="00C15251">
      <w:pPr>
        <w:jc w:val="both"/>
        <w:rPr>
          <w:bCs/>
          <w:color w:val="002060"/>
          <w:sz w:val="16"/>
          <w:szCs w:val="16"/>
        </w:rPr>
      </w:pPr>
      <w:r w:rsidRPr="00405303">
        <w:rPr>
          <w:bCs/>
          <w:color w:val="002060"/>
          <w:sz w:val="16"/>
          <w:szCs w:val="16"/>
        </w:rPr>
        <w:t xml:space="preserve">21 февраля (6 марта) 1915 ряды Дивизиона воздушных кораблей пополнились дирижаблем L-9, за которым через неделю последовали L-10 и L-11. Вместе с L-9 в апреле 1915 года заводы Цеппелина построили армейский LZ-39 объемом 24 900 куб. м. В апреле появился и армейский LZ-38 объемом 31 900 куб. м, на котором </w:t>
      </w:r>
      <w:r w:rsidRPr="00405303">
        <w:rPr>
          <w:bCs/>
          <w:color w:val="002060"/>
          <w:sz w:val="16"/>
          <w:szCs w:val="16"/>
        </w:rPr>
        <w:lastRenderedPageBreak/>
        <w:t xml:space="preserve">были установлены еще три мотора МС-Х. Остальные дирижабли этой серии оснащались четырьмя моторами. Таких дирижаблей, так называемой серии «р», было построено еще 19, от LZ-40 до LZ-58 включительно. К их производству подключились новые заводы в Ловентхалле, Штаакене и мастерские ДЕЛАГ в Поступиме. Воздухоплавательные заводы Цеппелина работали с максимальным напряжением. Дирижабли этой серии могли поднять полезный груз весом 13 950 кг на высоту 4300 м и развивали скорость до 97,2 км/ч. В армейском воздухоплавании эти корабли получили буквенное обозначение «LZ» и цифровое на 30 больше, чем заводской номер. Зачем это было сделано — мы расскажем позже. </w:t>
      </w:r>
    </w:p>
    <w:p w14:paraId="18CEDA1A" w14:textId="77777777" w:rsidR="004B4E35" w:rsidRPr="00405303" w:rsidRDefault="009E6F82" w:rsidP="00C15251">
      <w:pPr>
        <w:jc w:val="both"/>
        <w:rPr>
          <w:bCs/>
          <w:color w:val="002060"/>
          <w:sz w:val="16"/>
          <w:szCs w:val="16"/>
        </w:rPr>
      </w:pPr>
      <w:r w:rsidRPr="00405303">
        <w:rPr>
          <w:bCs/>
          <w:color w:val="002060"/>
          <w:sz w:val="16"/>
          <w:szCs w:val="16"/>
        </w:rPr>
        <w:t xml:space="preserve">Одна из труднейших задач отряда морского управляемого воздухоплавания состояла в обучении запасных экипажей. Немедленно после мобилизации была открыта специальная школа, которую обеспечили непригодными для несения боевой службы старыми кораблями. Подготовкой аэронавтов руководил сам Хуго Эккенер, любимец старого графа, президент авиакомпании ДЕЛАГ, человек, в жизни которого была только одна любовь — дирижабли. Взяв обучение в свои руки, он быстро подготовил для фронта более пятидесяти экипажей, каждый в среднем по 20 человек. В обязанности Эккенера также входил надзор за постройкой эллингов для кораблей [113] дивизиона во Франкфурте, Дюссельдорфе, Лейпциге, Потсдаме и Гамбурге. Его познания в области конструирования, постройки, эксплуатации и применения дирижаблей были столь исчерпывающими, а опыт воздухоплавателя столь бесценным, что кайзер особым приказом запретил Хуго Эккенеру участвовать в боевых вылетах цеппелинов. </w:t>
      </w:r>
    </w:p>
    <w:p w14:paraId="5291E765" w14:textId="77777777" w:rsidR="004B4E35" w:rsidRPr="00405303" w:rsidRDefault="009E6F82" w:rsidP="00C15251">
      <w:pPr>
        <w:jc w:val="both"/>
        <w:rPr>
          <w:bCs/>
          <w:color w:val="002060"/>
          <w:sz w:val="16"/>
          <w:szCs w:val="16"/>
        </w:rPr>
      </w:pPr>
      <w:r w:rsidRPr="00405303">
        <w:rPr>
          <w:bCs/>
          <w:color w:val="002060"/>
          <w:sz w:val="16"/>
          <w:szCs w:val="16"/>
        </w:rPr>
        <w:t xml:space="preserve">Неудивительно, что два таких фанатика дирижаблей, как Штрассер и Эккенер, прониклись взаимной симпатией, переросшей впоследствии в настоящую дружбу. Ганс фон Шиллер, один из самых опытных командиров дивизиона, так писал о взаимоотношениях Петера и Хуго: «Они были очень дружны. Эккенер всегда помогал Штрассеру советом, поддерживал своим авторитетом все его начинания. Между собой наши моряки называли своего командира «Господь Бог». Эккенер же получил прозвище «папа римский», потому что лучше него никто не понимал Петера Штрассера. Кроме того, Хуго Эккенер был нашим экспертом по метеорологии и эксплуатации воздушных кораблей. </w:t>
      </w:r>
    </w:p>
    <w:p w14:paraId="4266E043" w14:textId="77777777" w:rsidR="004B4E35" w:rsidRPr="00405303" w:rsidRDefault="009E6F82" w:rsidP="00C15251">
      <w:pPr>
        <w:jc w:val="both"/>
        <w:rPr>
          <w:bCs/>
          <w:color w:val="002060"/>
          <w:sz w:val="16"/>
          <w:szCs w:val="16"/>
        </w:rPr>
      </w:pPr>
      <w:r w:rsidRPr="00405303">
        <w:rPr>
          <w:bCs/>
          <w:color w:val="002060"/>
          <w:sz w:val="16"/>
          <w:szCs w:val="16"/>
        </w:rPr>
        <w:t>Их четырехлетнее сотрудничество оказало решающее влияние на послевоенное развитие дирижаблестроения. Без Штрассера мы бы не смогли построить целый флот боевых цеппелинов во время войны, а без Эккенера мы не имели бы ни «Графа Цеппелина», ни «Гинденбурга». Используя опыт, накопленный Штрассером за годы Первой мировой войны, доктор Эккенер сумел вдохнуть [114] новую жизнь в угасшую было идею безопасного воздушного сообщения с помощью дирижаблей» (11324).</w:t>
      </w:r>
    </w:p>
    <w:p w14:paraId="7FB64A9E" w14:textId="77777777" w:rsidR="004B4E35" w:rsidRPr="00405303" w:rsidRDefault="004B4E35" w:rsidP="00C15251">
      <w:pPr>
        <w:jc w:val="both"/>
        <w:rPr>
          <w:bCs/>
          <w:i/>
          <w:color w:val="002060"/>
          <w:sz w:val="16"/>
          <w:szCs w:val="16"/>
        </w:rPr>
      </w:pPr>
    </w:p>
    <w:p w14:paraId="7EE6A717" w14:textId="68425850" w:rsidR="00B442E5" w:rsidRPr="00405303" w:rsidRDefault="00B442E5" w:rsidP="00B442E5">
      <w:pPr>
        <w:jc w:val="both"/>
        <w:rPr>
          <w:bCs/>
          <w:i/>
          <w:color w:val="002060"/>
          <w:sz w:val="16"/>
          <w:szCs w:val="16"/>
        </w:rPr>
      </w:pPr>
      <w:r w:rsidRPr="00405303">
        <w:rPr>
          <w:bCs/>
          <w:i/>
          <w:color w:val="002060"/>
          <w:sz w:val="16"/>
          <w:szCs w:val="16"/>
        </w:rPr>
        <w:t>Самолетостроение:</w:t>
      </w:r>
    </w:p>
    <w:p w14:paraId="71A506C7" w14:textId="77777777" w:rsidR="00B442E5" w:rsidRPr="00405303" w:rsidRDefault="00B442E5" w:rsidP="00B442E5">
      <w:pPr>
        <w:jc w:val="both"/>
        <w:rPr>
          <w:bCs/>
          <w:i/>
          <w:color w:val="002060"/>
          <w:sz w:val="16"/>
          <w:szCs w:val="16"/>
        </w:rPr>
      </w:pPr>
    </w:p>
    <w:p w14:paraId="7EE1F8C7" w14:textId="77777777" w:rsidR="00B442E5" w:rsidRPr="00405303" w:rsidRDefault="00B442E5" w:rsidP="00B442E5">
      <w:pPr>
        <w:jc w:val="both"/>
        <w:rPr>
          <w:color w:val="0070C0"/>
          <w:sz w:val="16"/>
          <w:szCs w:val="16"/>
        </w:rPr>
      </w:pPr>
      <w:r w:rsidRPr="00405303">
        <w:rPr>
          <w:color w:val="0070C0"/>
          <w:sz w:val="16"/>
          <w:szCs w:val="16"/>
        </w:rPr>
        <w:t>22 февраля (7 марта) 1915 г. под председательством Александра Михайловича: в Москве, в Холме в июле, месяце, в Петрограде 17 сентября и в Смоленске 21 и 22 ноября на особых со</w:t>
      </w:r>
      <w:r w:rsidRPr="00405303">
        <w:rPr>
          <w:color w:val="0070C0"/>
          <w:sz w:val="16"/>
          <w:szCs w:val="16"/>
        </w:rPr>
        <w:softHyphen/>
        <w:t>вещаниях определялась потребность в аэропланах.</w:t>
      </w:r>
    </w:p>
    <w:p w14:paraId="3E11D584" w14:textId="77777777" w:rsidR="00B442E5" w:rsidRPr="00405303" w:rsidRDefault="00B442E5" w:rsidP="00B442E5">
      <w:pPr>
        <w:jc w:val="both"/>
        <w:rPr>
          <w:color w:val="0070C0"/>
          <w:sz w:val="16"/>
          <w:szCs w:val="16"/>
        </w:rPr>
      </w:pPr>
      <w:r w:rsidRPr="00405303">
        <w:rPr>
          <w:color w:val="0070C0"/>
          <w:sz w:val="16"/>
          <w:szCs w:val="16"/>
        </w:rPr>
        <w:t>В соответствии с выяснившейся на этих совещаниях потребностью, ГВТУ сделаны в 1915 году следующие пред</w:t>
      </w:r>
      <w:r w:rsidRPr="00405303">
        <w:rPr>
          <w:color w:val="0070C0"/>
          <w:sz w:val="16"/>
          <w:szCs w:val="16"/>
        </w:rPr>
        <w:softHyphen/>
        <w:t>ставления в Военный Совет: 6 января — о заготовке 270 аэропланов, 18 марта — о заготовке 335 аэропланов и 5 августе — о заготовке 900 аэропланов. По первому представлению, наряды даны были заводам 10 и 24 января; по второму, заказ заводам состоялся 27 марта, и наконец, по третьему представлению, контракты с заводами на заго</w:t>
      </w:r>
      <w:r w:rsidRPr="00405303">
        <w:rPr>
          <w:color w:val="0070C0"/>
          <w:sz w:val="16"/>
          <w:szCs w:val="16"/>
        </w:rPr>
        <w:softHyphen/>
        <w:t>товку аэропланов были заключены 12 августа (24933).</w:t>
      </w:r>
    </w:p>
    <w:p w14:paraId="4D390018" w14:textId="77777777" w:rsidR="00B442E5" w:rsidRPr="00405303" w:rsidRDefault="00B442E5" w:rsidP="00B442E5">
      <w:pPr>
        <w:jc w:val="both"/>
        <w:rPr>
          <w:color w:val="0070C0"/>
          <w:sz w:val="16"/>
          <w:szCs w:val="16"/>
        </w:rPr>
      </w:pPr>
    </w:p>
    <w:p w14:paraId="0F599F44"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7C3F9D96" w14:textId="77777777" w:rsidR="004B4E35" w:rsidRPr="00405303" w:rsidRDefault="004B4E35" w:rsidP="00C15251">
      <w:pPr>
        <w:jc w:val="both"/>
        <w:rPr>
          <w:bCs/>
          <w:i/>
          <w:color w:val="002060"/>
          <w:sz w:val="16"/>
          <w:szCs w:val="16"/>
        </w:rPr>
      </w:pPr>
    </w:p>
    <w:p w14:paraId="79671BF5" w14:textId="1E0BB179"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22 февраля (7 марта) </w:t>
      </w:r>
      <w:r w:rsidR="005F5FDA" w:rsidRPr="00405303">
        <w:rPr>
          <w:bCs/>
          <w:i w:val="0"/>
          <w:color w:val="002060"/>
          <w:spacing w:val="0"/>
          <w:kern w:val="0"/>
          <w:position w:val="0"/>
          <w:sz w:val="16"/>
          <w:szCs w:val="16"/>
        </w:rPr>
        <w:t xml:space="preserve">1915 </w:t>
      </w:r>
      <w:r w:rsidRPr="00405303">
        <w:rPr>
          <w:bCs/>
          <w:i w:val="0"/>
          <w:color w:val="002060"/>
          <w:spacing w:val="0"/>
          <w:kern w:val="0"/>
          <w:position w:val="0"/>
          <w:sz w:val="16"/>
          <w:szCs w:val="16"/>
        </w:rPr>
        <w:t xml:space="preserve">года главковерх вновь телеграфировал председателю Распорядительной комиссии: "Положение очень серьезно, недостаток пушечных патронов критический; подача замедлена, фронты нервно настроены, возможна серьезная неудача от недостатка патронов; между тем успех во многих местах вполне возможен; нужны сверх-меры". </w:t>
      </w:r>
    </w:p>
    <w:p w14:paraId="03A87F8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 распоряжению председателя комиссии собраны были со всех заводов готовые снаряды, не дожидаясь требуемых испытаний, и в течение второй половины февраля было отправлено в армию 212.000 пушечных 76-мм патронов. </w:t>
      </w:r>
    </w:p>
    <w:p w14:paraId="72319C9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 весне 1915 г. недостаток боевых припасов в действующей армии достиг крайнего предела, о чем главковерх непрестанно телеграфировал председателю Распорядительной комиссии. Признано было необходимым поставить во главе ГАУ нового начальника. 25 мая (7 июня) 1915 г. начальником ГАУ был назначен ген. Маниковский. </w:t>
      </w:r>
    </w:p>
    <w:p w14:paraId="7450FCF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При Маниковском колоссальные многообразные требования войны осложнили деятельность ГАУ свыше всяких предположений. По мере увеличения или возникновения новых требований видоизменялась организация ГАУ, штаты его непрерывно расширялись без определенного, заранее предусмотренного плана. К концу мировой войны, в мае 1917 г., когда ген. Маниковского, назначенного помощником военного министра по снабжению, заменил ген. Лехович, ГАУ представляло чрезвычайно сложный и громоздкий организм, как это видно на прилагаемой схеме 2 (приложение 2) (11483).</w:t>
      </w:r>
    </w:p>
    <w:p w14:paraId="62053485" w14:textId="77777777" w:rsidR="004B4E35" w:rsidRPr="00405303" w:rsidRDefault="004B4E35" w:rsidP="00C15251">
      <w:pPr>
        <w:pStyle w:val="a3"/>
        <w:jc w:val="both"/>
        <w:rPr>
          <w:bCs/>
          <w:i w:val="0"/>
          <w:color w:val="002060"/>
          <w:spacing w:val="0"/>
          <w:kern w:val="0"/>
          <w:position w:val="0"/>
          <w:sz w:val="16"/>
          <w:szCs w:val="16"/>
        </w:rPr>
      </w:pPr>
    </w:p>
    <w:p w14:paraId="237DA0EC" w14:textId="6697B27D"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22 февраля (7 марта) 1915 г., </w:t>
      </w:r>
      <w:r w:rsidR="005F5FDA" w:rsidRPr="00405303">
        <w:rPr>
          <w:bCs/>
          <w:i w:val="0"/>
          <w:color w:val="002060"/>
          <w:spacing w:val="0"/>
          <w:kern w:val="0"/>
          <w:position w:val="0"/>
          <w:sz w:val="16"/>
          <w:szCs w:val="16"/>
        </w:rPr>
        <w:t xml:space="preserve">как видно из доклада начальника Генерального штаба ген. Беляева, </w:t>
      </w:r>
      <w:r w:rsidRPr="00405303">
        <w:rPr>
          <w:bCs/>
          <w:i w:val="0"/>
          <w:color w:val="002060"/>
          <w:spacing w:val="0"/>
          <w:kern w:val="0"/>
          <w:position w:val="0"/>
          <w:sz w:val="16"/>
          <w:szCs w:val="16"/>
        </w:rPr>
        <w:t xml:space="preserve">военное ведомство решительно не допускало возвращения на заводы и фабрики тех рабочих, нижних чинов, которые уже попали в регулярные части войск. Мотивом к этому выставлялось якобы то "удручающее моральное впечатление, которое производило такое возвращение на товарищей этих нижних чинов, остающихся в строю". </w:t>
      </w:r>
    </w:p>
    <w:p w14:paraId="25934EE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И лишь в чрезвычайных случаях было решено делать исключения из этого правила, но тогда заводы, ходатайствующие о возвращении им рабочего, нижнего чина, должны были сами указать ту войсковую часть, в которой он служит. На практике же заводы большею частью сообщали только о том, куда направил воинский начальник данного рабочего, и не могли указать, в какой войсковой части служит лицо, о котором они ходатайствуют. Поэтому удовлетворение таких ходатайств, естественно, являлось редким исключением. </w:t>
      </w:r>
    </w:p>
    <w:p w14:paraId="1F46031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Другой категорией военнообязанных рабочих, освобождение которых oт военной службы вызвало осложнение, - были новобранцы. Как видно из письма начальника Главного штаба начальнику ГАУ от 18 февраля (3 марта) 1915 г., Главный штаб считал освобождение новобранцев недопустимым потому, что молодые люди являлись в высшей степени желательным элементом для пополнения рядов войск и вряд ли могли обладать значительным опытом и быть незаменимыми специалистами па заводах. </w:t>
      </w:r>
    </w:p>
    <w:p w14:paraId="5BF0DAF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Начальник ГАУ не мог, однако, согласиться с этим мнением, так как именно молодые люди, поступая на заводы задолго до призывного возраста, приобретали все необходимые навыки и являлись ко времени их призыва вполне опытными рабочими, подыскать же взамен их новый контингент рабочих, при настоящем положении вещей чрезвычайно трудно. Поэтому начальник ГАУ предполагал дать всем рабочим, занятым выполнением заказов военного ведомства, отсрочку хотя до 1 октября 1915 г., на что последовало согласие военного министра. В дальнейшем таких отсрочек уже больше не давалось. </w:t>
      </w:r>
    </w:p>
    <w:p w14:paraId="420D71F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Что касается усиления администрации заводов, то по мере надобности удавалось, хотя и очень </w:t>
      </w:r>
      <w:proofErr w:type="gramStart"/>
      <w:r w:rsidRPr="00405303">
        <w:rPr>
          <w:bCs/>
          <w:i w:val="0"/>
          <w:color w:val="002060"/>
          <w:spacing w:val="0"/>
          <w:kern w:val="0"/>
          <w:position w:val="0"/>
          <w:sz w:val="16"/>
          <w:szCs w:val="16"/>
        </w:rPr>
        <w:t>не легко</w:t>
      </w:r>
      <w:proofErr w:type="gramEnd"/>
      <w:r w:rsidRPr="00405303">
        <w:rPr>
          <w:bCs/>
          <w:i w:val="0"/>
          <w:color w:val="002060"/>
          <w:spacing w:val="0"/>
          <w:kern w:val="0"/>
          <w:position w:val="0"/>
          <w:sz w:val="16"/>
          <w:szCs w:val="16"/>
        </w:rPr>
        <w:t xml:space="preserve">, вызывать из строевых частей войск через ГУГШ прапорщиков из лиц, получивших высшее техническое образование, и прикомандировывать их к различным заводам. </w:t>
      </w:r>
    </w:p>
    <w:p w14:paraId="18D95BE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3. Но кроме рабочих-специалистов, т. е. квалифицированных, заводам в горячее военное время нехватало даже простых рабочих, особенно в некоторые периоды, например летом, когда из-за отлива рабочих на полевые работы приходилось умышленно сокращать производство. </w:t>
      </w:r>
    </w:p>
    <w:p w14:paraId="65A7AAF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Вскоре после начала войны ГАУ внесло в Совет министров проект приведения казенных заводов на особое положение, считая их как бы мобилизованными. Проект этот рассматривал работу на заводах, изготовляющих предметы государственной обороны, как особую форму отбывания воинской повинности, предусматривал прикрепление рабочих к их заводам (во избежание крайне вредного факта сманивания рабочих другими заводами и оставления ими работ по политическим причинам и для полевых работ) и устанавливал повышенную наказуемость за правонарушения промышленной жизни как в отношении рабочих, так и заводской администрации. </w:t>
      </w:r>
    </w:p>
    <w:p w14:paraId="6C55F3A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Совет министров признал этот проект несвоевременным. </w:t>
      </w:r>
    </w:p>
    <w:p w14:paraId="38725E6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Между тем были неоднократные случаи внезапного ухода рабочих с казенных заводов. </w:t>
      </w:r>
    </w:p>
    <w:p w14:paraId="169BBF5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lastRenderedPageBreak/>
        <w:t>22 февраля (7 марта) 1915 г. Совет министров, как видно из письма председателя Совета министров к военному министру от 19 февраля (4 марта), "считаясь с вполне лойяльным и в общем спокойным настроением фабрично-заводского населения и опасаясь дать повод к нежелательным толкам и волнениям", окончательно отклонил это предложение.</w:t>
      </w:r>
    </w:p>
    <w:p w14:paraId="7007B84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Попрежнему оставались такие факты, как, например, уход сразу 3.000 человек (в летнее время) с одного из оружейных заводов, единственного в России, изготовляющего ствольные и коробочные болванки (для всех оружейных заводов), 1.000 человек - с Сормовского завода, 700 человек - с завода Посселя и т. д. </w:t>
      </w:r>
    </w:p>
    <w:p w14:paraId="73366A6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4. Мобилизационная готовность заводов не была охранена и в техническом отношении. В то время, как в течение целого десятилетия перед войной морили заводы мизерными нарядами, как бы умышленно ограничивая их возможность к дальнейшему усовершенствованию и вытравляя из них все навыки их трудной специальности, - в это же время из-за неразумно понимаемой экономии загромождали эти заводы производствами, для которых следовало иметь самостоятельные заводы: станки механические (особый отдел); пулеметы, станки для них; револьверы, шрапнели, пружины накатника для полевых орудий, взрыватели, патронные обоймы, вьючные приспособления, пики для кавале-рии и т. п. Все эти предметы с началом войны оказались также в самом срочном спросе и притом в максимальном количестве, поэтому выбросить их прямо с заводов оказалось невозможным, ибо для производства их нигде не было заготовлено самостоятельных мастерских, и их пришлось оставить на оружейных заводах в явный ущерб прямому делу. </w:t>
      </w:r>
    </w:p>
    <w:p w14:paraId="099D5BD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Вот неизбежное и логическое последствие той мудрой "экономической" политики, по которой, например, оружейные заводы получали, чтобы не даром шли деньги на их содержание, всякие наряды, кроме тех, для которых они специально назначены... Здесь интересно отметить факт, что начальство и технический персонал заводов не только не противились такому "изнасилованию" их, а напротив, сами шли навстречу этому - лишь бы завод хотя таким способом получил какую-нибудь работу. </w:t>
      </w:r>
    </w:p>
    <w:p w14:paraId="74DA3B1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Сокращая в мирное время производство казенных военных заводов, царское правительство своевременно не обеспечило заводы ни соответствующим оборудованием, ни даже запасами необходимых материалов и топлива на случай войны и закрытия границ (11483).</w:t>
      </w:r>
    </w:p>
    <w:p w14:paraId="731B0E8B" w14:textId="77777777" w:rsidR="004B4E35" w:rsidRPr="00405303" w:rsidRDefault="004B4E35" w:rsidP="00C15251">
      <w:pPr>
        <w:pStyle w:val="a3"/>
        <w:jc w:val="both"/>
        <w:rPr>
          <w:bCs/>
          <w:i w:val="0"/>
          <w:color w:val="002060"/>
          <w:spacing w:val="0"/>
          <w:kern w:val="0"/>
          <w:position w:val="0"/>
          <w:sz w:val="16"/>
          <w:szCs w:val="16"/>
        </w:rPr>
      </w:pPr>
    </w:p>
    <w:p w14:paraId="5007A4EB" w14:textId="45CE1271" w:rsidR="00E25151" w:rsidRPr="00405303" w:rsidRDefault="00E25151" w:rsidP="00C15251">
      <w:pPr>
        <w:jc w:val="both"/>
        <w:rPr>
          <w:bCs/>
          <w:i/>
          <w:color w:val="002060"/>
          <w:sz w:val="16"/>
          <w:szCs w:val="16"/>
        </w:rPr>
      </w:pPr>
      <w:r w:rsidRPr="00405303">
        <w:rPr>
          <w:bCs/>
          <w:i/>
          <w:color w:val="002060"/>
          <w:sz w:val="16"/>
          <w:szCs w:val="16"/>
        </w:rPr>
        <w:t>Авиация:</w:t>
      </w:r>
    </w:p>
    <w:p w14:paraId="72674E55" w14:textId="77777777" w:rsidR="00E25151" w:rsidRPr="00405303" w:rsidRDefault="00E25151" w:rsidP="00C15251">
      <w:pPr>
        <w:jc w:val="both"/>
        <w:rPr>
          <w:bCs/>
          <w:i/>
          <w:color w:val="002060"/>
          <w:sz w:val="16"/>
          <w:szCs w:val="16"/>
        </w:rPr>
      </w:pPr>
    </w:p>
    <w:p w14:paraId="00350539" w14:textId="461800FA" w:rsidR="00E25151" w:rsidRPr="00405303" w:rsidRDefault="00E25151" w:rsidP="00C15251">
      <w:pPr>
        <w:jc w:val="both"/>
        <w:rPr>
          <w:bCs/>
          <w:color w:val="002060"/>
          <w:sz w:val="16"/>
          <w:szCs w:val="16"/>
        </w:rPr>
      </w:pPr>
      <w:r w:rsidRPr="00405303">
        <w:rPr>
          <w:bCs/>
          <w:color w:val="002060"/>
          <w:sz w:val="16"/>
          <w:szCs w:val="16"/>
        </w:rPr>
        <w:t>22 февраля (7 марта) 1915 г., на следующий день, Горшков решил повторить боевой вылет на ИМ. Уже по знакомому маршру</w:t>
      </w:r>
      <w:r w:rsidRPr="00405303">
        <w:rPr>
          <w:bCs/>
          <w:color w:val="002060"/>
          <w:sz w:val="16"/>
          <w:szCs w:val="16"/>
        </w:rPr>
        <w:softHyphen/>
        <w:t>ту точно вышли на Вилленберг и сделали три захода — на первом пристрелка, на втором сбросили серию из пя</w:t>
      </w:r>
      <w:r w:rsidRPr="00405303">
        <w:rPr>
          <w:bCs/>
          <w:color w:val="002060"/>
          <w:sz w:val="16"/>
          <w:szCs w:val="16"/>
        </w:rPr>
        <w:softHyphen/>
        <w:t>ти бомб, на третьем сфотографировали станцию, уже окутанную дымом. Попадания были точными, прямо среди подвижного состава. На обратном пути «Муром</w:t>
      </w:r>
      <w:r w:rsidRPr="00405303">
        <w:rPr>
          <w:bCs/>
          <w:color w:val="002060"/>
          <w:sz w:val="16"/>
          <w:szCs w:val="16"/>
        </w:rPr>
        <w:softHyphen/>
        <w:t>ца» с земли дважды обстреляли из пулеметов, и опять ни одной пробоины. Опыта стрельбы по таким мише</w:t>
      </w:r>
      <w:r w:rsidRPr="00405303">
        <w:rPr>
          <w:bCs/>
          <w:color w:val="002060"/>
          <w:sz w:val="16"/>
          <w:szCs w:val="16"/>
        </w:rPr>
        <w:softHyphen/>
        <w:t>ням у неприятеля пока еще не было. Этими двумя поле</w:t>
      </w:r>
      <w:r w:rsidRPr="00405303">
        <w:rPr>
          <w:bCs/>
          <w:color w:val="002060"/>
          <w:sz w:val="16"/>
          <w:szCs w:val="16"/>
        </w:rPr>
        <w:softHyphen/>
        <w:t>тами и началась боевая работа эскадры (24177).</w:t>
      </w:r>
    </w:p>
    <w:p w14:paraId="0D161661" w14:textId="77777777" w:rsidR="00E25151" w:rsidRPr="00405303" w:rsidRDefault="00E25151" w:rsidP="00C15251">
      <w:pPr>
        <w:jc w:val="both"/>
        <w:rPr>
          <w:bCs/>
          <w:color w:val="002060"/>
          <w:sz w:val="16"/>
          <w:szCs w:val="16"/>
        </w:rPr>
      </w:pPr>
    </w:p>
    <w:p w14:paraId="0DFAE33C" w14:textId="504E9998" w:rsidR="003744F8" w:rsidRPr="00405303" w:rsidRDefault="003744F8" w:rsidP="00C15251">
      <w:pPr>
        <w:jc w:val="both"/>
        <w:rPr>
          <w:bCs/>
          <w:i/>
          <w:color w:val="002060"/>
          <w:sz w:val="16"/>
          <w:szCs w:val="16"/>
        </w:rPr>
      </w:pPr>
      <w:r w:rsidRPr="00405303">
        <w:rPr>
          <w:bCs/>
          <w:i/>
          <w:color w:val="002060"/>
          <w:sz w:val="16"/>
          <w:szCs w:val="16"/>
        </w:rPr>
        <w:t>Авиация и воздухоплавание в Англии:</w:t>
      </w:r>
    </w:p>
    <w:p w14:paraId="6CEC3143" w14:textId="77777777" w:rsidR="003744F8" w:rsidRPr="00405303" w:rsidRDefault="003744F8" w:rsidP="00C15251">
      <w:pPr>
        <w:jc w:val="both"/>
        <w:rPr>
          <w:bCs/>
          <w:color w:val="002060"/>
          <w:sz w:val="16"/>
          <w:szCs w:val="16"/>
        </w:rPr>
      </w:pPr>
    </w:p>
    <w:p w14:paraId="3C2AC795" w14:textId="54B114EE" w:rsidR="003744F8" w:rsidRPr="00405303" w:rsidRDefault="003744F8" w:rsidP="00C15251">
      <w:pPr>
        <w:jc w:val="both"/>
        <w:rPr>
          <w:bCs/>
          <w:color w:val="002060"/>
          <w:sz w:val="16"/>
          <w:szCs w:val="16"/>
        </w:rPr>
      </w:pPr>
      <w:r w:rsidRPr="00405303">
        <w:rPr>
          <w:bCs/>
          <w:color w:val="002060"/>
          <w:sz w:val="16"/>
          <w:szCs w:val="16"/>
        </w:rPr>
        <w:t xml:space="preserve">22 февраля (7 марта) 1915 </w:t>
      </w:r>
      <w:r w:rsidR="005F5FDA" w:rsidRPr="00405303">
        <w:rPr>
          <w:bCs/>
          <w:color w:val="002060"/>
          <w:sz w:val="16"/>
          <w:szCs w:val="16"/>
        </w:rPr>
        <w:t xml:space="preserve">состоялись </w:t>
      </w:r>
      <w:r w:rsidRPr="00405303">
        <w:rPr>
          <w:bCs/>
          <w:color w:val="002060"/>
          <w:sz w:val="16"/>
          <w:szCs w:val="16"/>
        </w:rPr>
        <w:t>первые тактические бомбардировки британцами в поддержку наземных войск в Менине и Куртае (20338).</w:t>
      </w:r>
    </w:p>
    <w:p w14:paraId="50377CDD" w14:textId="77777777" w:rsidR="003744F8" w:rsidRPr="00405303" w:rsidRDefault="003744F8" w:rsidP="00C15251">
      <w:pPr>
        <w:jc w:val="both"/>
        <w:rPr>
          <w:bCs/>
          <w:color w:val="002060"/>
          <w:sz w:val="16"/>
          <w:szCs w:val="16"/>
        </w:rPr>
      </w:pPr>
    </w:p>
    <w:p w14:paraId="7BBE0D0A" w14:textId="77777777" w:rsidR="003744F8" w:rsidRPr="00405303" w:rsidRDefault="003744F8" w:rsidP="00C15251">
      <w:pPr>
        <w:jc w:val="both"/>
        <w:rPr>
          <w:bCs/>
          <w:i/>
          <w:color w:val="002060"/>
          <w:sz w:val="16"/>
          <w:szCs w:val="16"/>
        </w:rPr>
      </w:pPr>
      <w:r w:rsidRPr="00405303">
        <w:rPr>
          <w:bCs/>
          <w:i/>
          <w:color w:val="002060"/>
          <w:sz w:val="16"/>
          <w:szCs w:val="16"/>
        </w:rPr>
        <w:t>За рубежом:</w:t>
      </w:r>
    </w:p>
    <w:p w14:paraId="450721E8" w14:textId="77777777" w:rsidR="003744F8" w:rsidRPr="00405303" w:rsidRDefault="003744F8" w:rsidP="00C15251">
      <w:pPr>
        <w:jc w:val="both"/>
        <w:rPr>
          <w:bCs/>
          <w:color w:val="002060"/>
          <w:sz w:val="16"/>
          <w:szCs w:val="16"/>
        </w:rPr>
      </w:pPr>
    </w:p>
    <w:p w14:paraId="3DACA310" w14:textId="77777777" w:rsidR="003744F8" w:rsidRPr="00405303" w:rsidRDefault="003744F8" w:rsidP="00C15251">
      <w:pPr>
        <w:jc w:val="both"/>
        <w:rPr>
          <w:bCs/>
          <w:color w:val="002060"/>
          <w:sz w:val="16"/>
          <w:szCs w:val="16"/>
        </w:rPr>
      </w:pPr>
      <w:r w:rsidRPr="00405303">
        <w:rPr>
          <w:bCs/>
          <w:color w:val="002060"/>
          <w:sz w:val="16"/>
          <w:szCs w:val="16"/>
        </w:rPr>
        <w:t>22 февраля (7 марта) в 1915 году после 35-минутной артподготовки из 343 орудий, части Индийского корпуса и 4-го армейского корпуса 1-й британской армии атаковали позиции 6-й германской армии юго-западнее города Лилль и заняли деревню Нев-Шапель; дальнейшее их продвижение было остановлено немцами на второй оборонительной позиции (15061).</w:t>
      </w:r>
    </w:p>
    <w:p w14:paraId="22F8783A" w14:textId="77777777" w:rsidR="003744F8" w:rsidRPr="00405303" w:rsidRDefault="003744F8" w:rsidP="00C15251">
      <w:pPr>
        <w:jc w:val="both"/>
        <w:rPr>
          <w:bCs/>
          <w:color w:val="002060"/>
          <w:sz w:val="16"/>
          <w:szCs w:val="16"/>
        </w:rPr>
      </w:pPr>
    </w:p>
    <w:p w14:paraId="0622CDDD" w14:textId="057E3088" w:rsidR="004B4E35" w:rsidRPr="00405303" w:rsidRDefault="005F5FDA" w:rsidP="00C15251">
      <w:pPr>
        <w:jc w:val="both"/>
        <w:rPr>
          <w:bCs/>
          <w:i/>
          <w:color w:val="002060"/>
          <w:sz w:val="16"/>
          <w:szCs w:val="16"/>
        </w:rPr>
      </w:pPr>
      <w:r w:rsidRPr="00405303">
        <w:rPr>
          <w:bCs/>
          <w:i/>
          <w:color w:val="002060"/>
          <w:sz w:val="16"/>
          <w:szCs w:val="16"/>
        </w:rPr>
        <w:t>Другие оборонные отрасли:</w:t>
      </w:r>
    </w:p>
    <w:p w14:paraId="00403C61" w14:textId="77777777" w:rsidR="004B4E35" w:rsidRPr="00405303" w:rsidRDefault="004B4E35" w:rsidP="00C15251">
      <w:pPr>
        <w:jc w:val="both"/>
        <w:rPr>
          <w:bCs/>
          <w:i/>
          <w:color w:val="002060"/>
          <w:sz w:val="16"/>
          <w:szCs w:val="16"/>
        </w:rPr>
      </w:pPr>
    </w:p>
    <w:p w14:paraId="3B590558" w14:textId="04BE4C0C"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23 февраля 1915 г.</w:t>
      </w:r>
      <w:r w:rsidR="005F5FDA" w:rsidRPr="00405303">
        <w:rPr>
          <w:bCs/>
          <w:i w:val="0"/>
          <w:color w:val="002060"/>
          <w:spacing w:val="0"/>
          <w:kern w:val="0"/>
          <w:position w:val="0"/>
          <w:sz w:val="16"/>
          <w:szCs w:val="16"/>
        </w:rPr>
        <w:t xml:space="preserve"> на Северо-западном фронте, где приказом главнокомандующего</w:t>
      </w:r>
      <w:r w:rsidRPr="00405303">
        <w:rPr>
          <w:bCs/>
          <w:i w:val="0"/>
          <w:color w:val="002060"/>
          <w:spacing w:val="0"/>
          <w:kern w:val="0"/>
          <w:position w:val="0"/>
          <w:sz w:val="16"/>
          <w:szCs w:val="16"/>
        </w:rPr>
        <w:t xml:space="preserve">, № 691 были объявлены два Наставления: 1) По сбору на полях сражений ручного оружия, огнестрельных припасов и прочих предметов вооружения и 2) Наставление штаб-офицеру для заведывания в армии сбором и исправлением оружия согласно приказу верховного главнокомандующего 1914 г., № 169. </w:t>
      </w:r>
    </w:p>
    <w:p w14:paraId="612ECBF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первом Наставлении прежде всего обращалось внимание на то, что "за истекший период войны войсковыми частями было утеряно весьма значительное количество винтовок, причем в будущем в случае непринятия соответствующих мер в отношении правильного сбора оружия нельзя будет рассчитывать на надлежащее пополнение утери и т. д.". Затем определялось следующее: </w:t>
      </w:r>
    </w:p>
    <w:p w14:paraId="5B53F0D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 Ответственность за надлежащий сбор оружия возлагалась на начальников дивизий (командиров стрелковых бригад), в изменение п. 536 Положения о полевом управлении, которым задача эта возлагалась на инспекторов артиллерии в корпусах. </w:t>
      </w:r>
    </w:p>
    <w:p w14:paraId="3E4C2D3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 Для непосредственного наблюдения и организации сбора в полках дивизии (бригадах) назначался особый офицер, который исполнял эти обязанности постоянно, так как частая смена заведующих сбором имела следствием недостаточную их опытность. </w:t>
      </w:r>
    </w:p>
    <w:p w14:paraId="0B6F9C8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Распоряжением штаба дивизии после боя, если сбор оружия по обстоятельствам мог быть произведен, в распоряжение заведующего сборам назначалось: а) по взводу от каждого полка для наблюдения за рабочими .из местных жителей; б) от дивизии - 1 верховая лошадь, 5 конных стражников (их обязанность - сбор подвод и рабочих от местных жителей), по 10-15 солдат при полковых перевязочных пунктах для выноса винтовок после убитых и тяжело раненых, 1 унтер-офицер при полковом перевязочном пункте для приема, учета и сохранения оружия легко раненых, 2 пароконных подводы для вывоза оружия. </w:t>
      </w:r>
    </w:p>
    <w:p w14:paraId="53D3CE9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Заведующий сбором подчинялся корпусному коменданту, от которого получал указания, объединяющие дело сбора во всем корпусе, рабочих из местных жителей и денежный аванс для немедленной оплаты рабочих и подвод. </w:t>
      </w:r>
    </w:p>
    <w:p w14:paraId="7FA8520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3. Обязанности заведующего сбором: а) организация сбора и наблюдение за ним, б) осмотр винтовок, в) наблюдение за сбором на перевязочных пунктах, г) вывоз, д) охрана, е) составление ведомостей годного и негодного для корпусного коменданта и начальника дивизии и ж) уплата за сбор. </w:t>
      </w:r>
    </w:p>
    <w:p w14:paraId="775F25E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4. Корпусной комендант обязан был озаботиться приемом и представлением сведений в штаб корпуса. </w:t>
      </w:r>
    </w:p>
    <w:p w14:paraId="183E605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5. Корпусной комендант, если требовалось обстановкой, самостоятельно должен был организовать сбор оружия при содействии полиции. </w:t>
      </w:r>
    </w:p>
    <w:p w14:paraId="2C02DDD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6. Сбор местными жителями мог производиться после окончания сбора войсками. </w:t>
      </w:r>
    </w:p>
    <w:p w14:paraId="0504909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7. Коменданты головных этапов обязаны были принимать все сдаваемое оружие и отравлять в тыл, вычистив его, для чего могли требовать до 25 солдат из числа безоружных. </w:t>
      </w:r>
    </w:p>
    <w:p w14:paraId="1B2AC4E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8. К "сбору" этапный комендант мог привлекать этапные войска. </w:t>
      </w:r>
    </w:p>
    <w:p w14:paraId="52D0643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9. Оружие этапами направлялось в передовые мастерские армий. </w:t>
      </w:r>
    </w:p>
    <w:p w14:paraId="1FA0DEA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10. Собирались не только винтовки, но и вообще вооружение. </w:t>
      </w:r>
    </w:p>
    <w:p w14:paraId="798A9C9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Наставлением определялись взыскания за утерю винтовок. Легко раненые за принесенную винтовку получали 50 коп. </w:t>
      </w:r>
    </w:p>
    <w:p w14:paraId="55A6F4B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Местным жителям за подобранные винтовки уплачивалось 6 руб. за русскую и 5 руб. за иностранную винтовку. </w:t>
      </w:r>
    </w:p>
    <w:p w14:paraId="010828C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Это Наставление, в сущности, являлось первой более или менее серьезной попыткой упорядочить дело сбора оружия путем конкретизации обязанностей различных должностных лиц. </w:t>
      </w:r>
    </w:p>
    <w:p w14:paraId="3110B7D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Перенесение основных обязанностей по обору оружия с инспекторов артиллерии, сравнительно далеко отстоящих от войск, на начальника дивизии надо признать вполне рациональной мерой. Следует (отметить и попытку стабилизовать кадр заведующих сбором оружия в дивизиях. Недоставало лишь последнего звена - штатных постоянных команд для сбора; в этой части опять базировались на местных жителях и полиции. Между прочим, приказом 13 сентября 1915 г. № 18 по XII армии, </w:t>
      </w:r>
      <w:r w:rsidRPr="00405303">
        <w:rPr>
          <w:bCs/>
          <w:i w:val="0"/>
          <w:color w:val="002060"/>
          <w:spacing w:val="0"/>
          <w:kern w:val="0"/>
          <w:position w:val="0"/>
          <w:sz w:val="16"/>
          <w:szCs w:val="16"/>
        </w:rPr>
        <w:lastRenderedPageBreak/>
        <w:t>входившей в тот же Северо-западный фронт, сформированы были в каждом полку, дивизии, корпусе и в тылу армии особые команды для сбора оружия из безоружных солдат, и рекомендовалось перевозку в полках производить на нештатных повозках, отпущенных им из корпусов.</w:t>
      </w:r>
    </w:p>
    <w:p w14:paraId="6969049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Штаб-офицеру для заведывания обором и исправлением оружия в армии, согласно специальному для него Наставлению, вверялось наблюдение за установленной в армии организацией по сбору с полей сражений оружия, огнеприпасов как наших, так и неприятельских (11483).</w:t>
      </w:r>
    </w:p>
    <w:p w14:paraId="7CE16875" w14:textId="77777777" w:rsidR="004B4E35" w:rsidRPr="00405303" w:rsidRDefault="004B4E35" w:rsidP="00C15251">
      <w:pPr>
        <w:pStyle w:val="a3"/>
        <w:jc w:val="both"/>
        <w:rPr>
          <w:bCs/>
          <w:i w:val="0"/>
          <w:color w:val="002060"/>
          <w:spacing w:val="0"/>
          <w:kern w:val="0"/>
          <w:position w:val="0"/>
          <w:sz w:val="16"/>
          <w:szCs w:val="16"/>
        </w:rPr>
      </w:pPr>
    </w:p>
    <w:p w14:paraId="47308BD5" w14:textId="77777777" w:rsidR="00B442E5" w:rsidRPr="00405303" w:rsidRDefault="00B442E5" w:rsidP="00B442E5">
      <w:pPr>
        <w:jc w:val="both"/>
        <w:rPr>
          <w:bCs/>
          <w:i/>
          <w:color w:val="002060"/>
          <w:sz w:val="16"/>
          <w:szCs w:val="16"/>
        </w:rPr>
      </w:pPr>
      <w:r w:rsidRPr="00405303">
        <w:rPr>
          <w:bCs/>
          <w:i/>
          <w:color w:val="002060"/>
          <w:sz w:val="16"/>
          <w:szCs w:val="16"/>
        </w:rPr>
        <w:t>Авиация:</w:t>
      </w:r>
    </w:p>
    <w:p w14:paraId="427615D6" w14:textId="77777777" w:rsidR="00B442E5" w:rsidRPr="00405303" w:rsidRDefault="00B442E5" w:rsidP="00C15251">
      <w:pPr>
        <w:pStyle w:val="a3"/>
        <w:jc w:val="both"/>
        <w:rPr>
          <w:bCs/>
          <w:i w:val="0"/>
          <w:color w:val="002060"/>
          <w:spacing w:val="0"/>
          <w:kern w:val="0"/>
          <w:position w:val="0"/>
          <w:sz w:val="16"/>
          <w:szCs w:val="16"/>
        </w:rPr>
      </w:pPr>
    </w:p>
    <w:p w14:paraId="4358DB22" w14:textId="77777777" w:rsidR="00B442E5" w:rsidRPr="00405303" w:rsidRDefault="00B442E5" w:rsidP="00B442E5">
      <w:pPr>
        <w:jc w:val="both"/>
        <w:rPr>
          <w:color w:val="0070C0"/>
          <w:sz w:val="16"/>
          <w:szCs w:val="16"/>
        </w:rPr>
      </w:pPr>
      <w:r w:rsidRPr="00405303">
        <w:rPr>
          <w:color w:val="0070C0"/>
          <w:sz w:val="16"/>
          <w:szCs w:val="16"/>
        </w:rPr>
        <w:t>23 февраля (8 марта) 1915 г. германский самолет сбросил бомбу над г. Белосток. Позднее немецкая авиация совершила налет на крепость Осовец (сброшено 20 бомб, без существенного вреда для ее гарнизона) (25135).</w:t>
      </w:r>
    </w:p>
    <w:p w14:paraId="42DB8E87" w14:textId="77777777" w:rsidR="00B442E5" w:rsidRPr="00405303" w:rsidRDefault="00B442E5" w:rsidP="00B442E5">
      <w:pPr>
        <w:jc w:val="both"/>
        <w:rPr>
          <w:color w:val="0070C0"/>
          <w:sz w:val="16"/>
          <w:szCs w:val="16"/>
        </w:rPr>
      </w:pPr>
    </w:p>
    <w:p w14:paraId="1FB8ACFE" w14:textId="32B35C29" w:rsidR="003744F8" w:rsidRPr="00405303" w:rsidRDefault="003744F8" w:rsidP="00C15251">
      <w:pPr>
        <w:jc w:val="both"/>
        <w:rPr>
          <w:bCs/>
          <w:i/>
          <w:color w:val="002060"/>
          <w:sz w:val="16"/>
          <w:szCs w:val="16"/>
        </w:rPr>
      </w:pPr>
      <w:r w:rsidRPr="00405303">
        <w:rPr>
          <w:bCs/>
          <w:i/>
          <w:color w:val="002060"/>
          <w:sz w:val="16"/>
          <w:szCs w:val="16"/>
        </w:rPr>
        <w:t>Авиация и воздухоплавание в Англии:</w:t>
      </w:r>
    </w:p>
    <w:p w14:paraId="0AD16165" w14:textId="77777777" w:rsidR="003744F8" w:rsidRPr="00405303" w:rsidRDefault="003744F8" w:rsidP="00C15251">
      <w:pPr>
        <w:jc w:val="both"/>
        <w:rPr>
          <w:bCs/>
          <w:i/>
          <w:color w:val="002060"/>
          <w:sz w:val="16"/>
          <w:szCs w:val="16"/>
        </w:rPr>
      </w:pPr>
    </w:p>
    <w:p w14:paraId="06A19920" w14:textId="77777777" w:rsidR="003744F8" w:rsidRPr="00405303" w:rsidRDefault="003744F8" w:rsidP="00C15251">
      <w:pPr>
        <w:jc w:val="both"/>
        <w:rPr>
          <w:bCs/>
          <w:color w:val="002060"/>
          <w:sz w:val="16"/>
          <w:szCs w:val="16"/>
        </w:rPr>
      </w:pPr>
      <w:r w:rsidRPr="00405303">
        <w:rPr>
          <w:bCs/>
          <w:color w:val="002060"/>
          <w:sz w:val="16"/>
          <w:szCs w:val="16"/>
        </w:rPr>
        <w:t xml:space="preserve">23 февраля (8 марта) 1915 первый пролет </w:t>
      </w:r>
      <w:r w:rsidRPr="00405303">
        <w:rPr>
          <w:bCs/>
          <w:color w:val="002060"/>
          <w:sz w:val="16"/>
          <w:szCs w:val="16"/>
          <w:lang w:val="en-US"/>
        </w:rPr>
        <w:t>White</w:t>
      </w:r>
      <w:r w:rsidRPr="00405303">
        <w:rPr>
          <w:bCs/>
          <w:color w:val="002060"/>
          <w:sz w:val="16"/>
          <w:szCs w:val="16"/>
        </w:rPr>
        <w:t xml:space="preserve"> &amp; </w:t>
      </w:r>
      <w:r w:rsidRPr="00405303">
        <w:rPr>
          <w:bCs/>
          <w:color w:val="002060"/>
          <w:sz w:val="16"/>
          <w:szCs w:val="16"/>
          <w:lang w:val="en-US"/>
        </w:rPr>
        <w:t>Thompson</w:t>
      </w:r>
      <w:r w:rsidRPr="00405303">
        <w:rPr>
          <w:bCs/>
          <w:color w:val="002060"/>
          <w:sz w:val="16"/>
          <w:szCs w:val="16"/>
        </w:rPr>
        <w:t xml:space="preserve"> </w:t>
      </w:r>
      <w:r w:rsidRPr="00405303">
        <w:rPr>
          <w:bCs/>
          <w:color w:val="002060"/>
          <w:sz w:val="16"/>
          <w:szCs w:val="16"/>
          <w:lang w:val="en-US"/>
        </w:rPr>
        <w:t>Bognor</w:t>
      </w:r>
      <w:r w:rsidRPr="00405303">
        <w:rPr>
          <w:bCs/>
          <w:color w:val="002060"/>
          <w:sz w:val="16"/>
          <w:szCs w:val="16"/>
        </w:rPr>
        <w:t xml:space="preserve"> </w:t>
      </w:r>
      <w:r w:rsidRPr="00405303">
        <w:rPr>
          <w:bCs/>
          <w:color w:val="002060"/>
          <w:sz w:val="16"/>
          <w:szCs w:val="16"/>
          <w:lang w:val="en-US"/>
        </w:rPr>
        <w:t>Bloater</w:t>
      </w:r>
      <w:r w:rsidRPr="00405303">
        <w:rPr>
          <w:bCs/>
          <w:color w:val="002060"/>
          <w:sz w:val="16"/>
          <w:szCs w:val="16"/>
        </w:rPr>
        <w:t xml:space="preserve"> (20338).</w:t>
      </w:r>
    </w:p>
    <w:p w14:paraId="007C08CA" w14:textId="77777777" w:rsidR="003744F8" w:rsidRPr="00405303" w:rsidRDefault="003744F8" w:rsidP="00C15251">
      <w:pPr>
        <w:jc w:val="both"/>
        <w:rPr>
          <w:bCs/>
          <w:color w:val="002060"/>
          <w:sz w:val="16"/>
          <w:szCs w:val="16"/>
        </w:rPr>
      </w:pPr>
    </w:p>
    <w:p w14:paraId="6E714BFC"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0B7CE994" w14:textId="77777777" w:rsidR="004B4E35" w:rsidRPr="00405303" w:rsidRDefault="004B4E35" w:rsidP="00C15251">
      <w:pPr>
        <w:jc w:val="both"/>
        <w:rPr>
          <w:bCs/>
          <w:i/>
          <w:color w:val="002060"/>
          <w:sz w:val="16"/>
          <w:szCs w:val="16"/>
        </w:rPr>
      </w:pPr>
    </w:p>
    <w:p w14:paraId="52197CF3" w14:textId="0BC9D523"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24 февраля (9 марта) 1915 Заведующий авиацией действующей армией великий князъ Александр Михайлович доносил царю: "За семь месяцев войны </w:t>
      </w:r>
      <w:r w:rsidR="00EF196E" w:rsidRPr="00405303">
        <w:rPr>
          <w:bCs/>
          <w:color w:val="002060"/>
          <w:sz w:val="16"/>
          <w:szCs w:val="16"/>
        </w:rPr>
        <w:t>выясн</w:t>
      </w:r>
      <w:r w:rsidRPr="00405303">
        <w:rPr>
          <w:bCs/>
          <w:color w:val="002060"/>
          <w:sz w:val="16"/>
          <w:szCs w:val="16"/>
        </w:rPr>
        <w:t>илось: I)</w:t>
      </w:r>
      <w:r w:rsidR="00EF196E" w:rsidRPr="00405303">
        <w:rPr>
          <w:bCs/>
          <w:color w:val="002060"/>
          <w:sz w:val="16"/>
          <w:szCs w:val="16"/>
        </w:rPr>
        <w:t xml:space="preserve"> </w:t>
      </w:r>
      <w:r w:rsidRPr="00405303">
        <w:rPr>
          <w:bCs/>
          <w:color w:val="002060"/>
          <w:sz w:val="16"/>
          <w:szCs w:val="16"/>
        </w:rPr>
        <w:t xml:space="preserve">аппараты и моторы медленно и в недостаточном количестве поступают в отряды; 2) нет запасных частей; 3) нет автомобилей; 4) поступающие аппараты тяжелее, чем следует, и вследствие этого долго берут высоту и не могут брать наблюдателя, </w:t>
      </w:r>
      <w:r w:rsidR="00EF196E" w:rsidRPr="00405303">
        <w:rPr>
          <w:bCs/>
          <w:color w:val="002060"/>
          <w:sz w:val="16"/>
          <w:szCs w:val="16"/>
        </w:rPr>
        <w:t>ос</w:t>
      </w:r>
      <w:r w:rsidRPr="00405303">
        <w:rPr>
          <w:bCs/>
          <w:color w:val="002060"/>
          <w:sz w:val="16"/>
          <w:szCs w:val="16"/>
        </w:rPr>
        <w:t>обенно этим отличается "Фарман-16" завода Щетинина; 5) моторы Гном русского производства не дают той силы, которая требуется, подвергаются частой порче;. 6) не имеется пулеметов для установки на Вуазенах... Аппараты присылались без приспособлений для бомбометания. Нет прицелов. Некоторые штабы не разрешали Летчикам бросать бомбы, т.к. это вызывало ответное бомбометаниие со стороны противника". (ЦГВИА, ф.2003, оп.2, д.617, л.233).</w:t>
      </w:r>
    </w:p>
    <w:p w14:paraId="36DB5A3C" w14:textId="77777777" w:rsidR="004B4E35" w:rsidRPr="00405303" w:rsidRDefault="004B4E35" w:rsidP="00C15251">
      <w:pPr>
        <w:shd w:val="clear" w:color="auto" w:fill="FFFFFF"/>
        <w:jc w:val="both"/>
        <w:rPr>
          <w:bCs/>
          <w:color w:val="002060"/>
          <w:sz w:val="16"/>
          <w:szCs w:val="16"/>
        </w:rPr>
      </w:pPr>
    </w:p>
    <w:p w14:paraId="502E7731" w14:textId="77777777" w:rsidR="00853D4F" w:rsidRPr="00405303" w:rsidRDefault="00853D4F" w:rsidP="00C15251">
      <w:pPr>
        <w:jc w:val="both"/>
        <w:rPr>
          <w:bCs/>
          <w:color w:val="002060"/>
          <w:sz w:val="16"/>
          <w:szCs w:val="16"/>
        </w:rPr>
      </w:pPr>
      <w:r w:rsidRPr="00405303">
        <w:rPr>
          <w:bCs/>
          <w:color w:val="002060"/>
          <w:sz w:val="16"/>
          <w:szCs w:val="16"/>
        </w:rPr>
        <w:t>24 февраля (9 марта) 1915 г. заведующий авиацией действующей армией в .к .Алек</w:t>
      </w:r>
      <w:r w:rsidRPr="00405303">
        <w:rPr>
          <w:bCs/>
          <w:color w:val="002060"/>
          <w:sz w:val="16"/>
          <w:szCs w:val="16"/>
        </w:rPr>
        <w:softHyphen/>
        <w:t>сандр Михайлович доносил царю: "За семь месяцев войны выяснилось: 1/ аппараты и моторы медленно и в недостаточном количестве посту</w:t>
      </w:r>
      <w:r w:rsidRPr="00405303">
        <w:rPr>
          <w:bCs/>
          <w:color w:val="002060"/>
          <w:sz w:val="16"/>
          <w:szCs w:val="16"/>
        </w:rPr>
        <w:softHyphen/>
        <w:t>пают в отряды; 2/ нет запасных частей; 3/ нет автомабилей; 4/ посту</w:t>
      </w:r>
      <w:r w:rsidRPr="00405303">
        <w:rPr>
          <w:bCs/>
          <w:color w:val="002060"/>
          <w:sz w:val="16"/>
          <w:szCs w:val="16"/>
        </w:rPr>
        <w:softHyphen/>
        <w:t>пающие аппараты тяжелее, чем следует, и вследствие этого долго бе</w:t>
      </w:r>
      <w:r w:rsidRPr="00405303">
        <w:rPr>
          <w:bCs/>
          <w:color w:val="002060"/>
          <w:sz w:val="16"/>
          <w:szCs w:val="16"/>
        </w:rPr>
        <w:softHyphen/>
        <w:t xml:space="preserve">рут высоту и не могут брать наблюдателя, особенно этим отличается Фарман-15 завода Щетинина; 5/ моторы Гном русского производства не дают той силы, которая требуется, и подвергаются частой порче; </w:t>
      </w:r>
    </w:p>
    <w:p w14:paraId="219F75EF" w14:textId="77777777" w:rsidR="00853D4F" w:rsidRPr="00405303" w:rsidRDefault="00853D4F" w:rsidP="00C15251">
      <w:pPr>
        <w:jc w:val="both"/>
        <w:rPr>
          <w:bCs/>
          <w:color w:val="002060"/>
          <w:sz w:val="16"/>
          <w:szCs w:val="16"/>
        </w:rPr>
      </w:pPr>
      <w:r w:rsidRPr="00405303">
        <w:rPr>
          <w:bCs/>
          <w:color w:val="002060"/>
          <w:sz w:val="16"/>
          <w:szCs w:val="16"/>
        </w:rPr>
        <w:t>6/ не имеется пулеметов для установки на Вуазенах…«Аппараты присылались без приспособлений для бомбометания. Нет прицелов. Некоторые штабы не разрешали летчикам бросать бомбы, т.</w:t>
      </w:r>
      <w:proofErr w:type="gramStart"/>
      <w:r w:rsidRPr="00405303">
        <w:rPr>
          <w:bCs/>
          <w:color w:val="002060"/>
          <w:sz w:val="16"/>
          <w:szCs w:val="16"/>
        </w:rPr>
        <w:t>к.это</w:t>
      </w:r>
      <w:proofErr w:type="gramEnd"/>
      <w:r w:rsidRPr="00405303">
        <w:rPr>
          <w:bCs/>
          <w:color w:val="002060"/>
          <w:sz w:val="16"/>
          <w:szCs w:val="16"/>
        </w:rPr>
        <w:t xml:space="preserve"> вызывало ответное бомбометание со стороны противника".</w:t>
      </w:r>
    </w:p>
    <w:p w14:paraId="7D7C1136" w14:textId="77777777" w:rsidR="00853D4F" w:rsidRPr="00405303" w:rsidRDefault="00853D4F" w:rsidP="00C15251">
      <w:pPr>
        <w:jc w:val="both"/>
        <w:rPr>
          <w:bCs/>
          <w:color w:val="002060"/>
          <w:sz w:val="16"/>
          <w:szCs w:val="16"/>
        </w:rPr>
      </w:pPr>
      <w:r w:rsidRPr="00405303">
        <w:rPr>
          <w:bCs/>
          <w:color w:val="002060"/>
          <w:sz w:val="16"/>
          <w:szCs w:val="16"/>
        </w:rPr>
        <w:t>/ЦГВИА, ф. 2003, оп. 2, д. б17, л. 233/ (23320).</w:t>
      </w:r>
    </w:p>
    <w:p w14:paraId="1BAD3816" w14:textId="77777777" w:rsidR="00853D4F" w:rsidRPr="00405303" w:rsidRDefault="00853D4F" w:rsidP="00C15251">
      <w:pPr>
        <w:jc w:val="both"/>
        <w:rPr>
          <w:bCs/>
          <w:color w:val="002060"/>
          <w:sz w:val="16"/>
          <w:szCs w:val="16"/>
        </w:rPr>
      </w:pPr>
    </w:p>
    <w:p w14:paraId="37479A06" w14:textId="75AF5A2A"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24 и 25 февраля</w:t>
      </w:r>
      <w:r w:rsidR="00EF196E" w:rsidRPr="00405303">
        <w:rPr>
          <w:bCs/>
          <w:i w:val="0"/>
          <w:color w:val="002060"/>
          <w:spacing w:val="0"/>
          <w:kern w:val="0"/>
          <w:position w:val="0"/>
          <w:sz w:val="16"/>
          <w:szCs w:val="16"/>
        </w:rPr>
        <w:t xml:space="preserve"> </w:t>
      </w:r>
      <w:r w:rsidRPr="00405303">
        <w:rPr>
          <w:bCs/>
          <w:i w:val="0"/>
          <w:color w:val="002060"/>
          <w:spacing w:val="0"/>
          <w:kern w:val="0"/>
          <w:position w:val="0"/>
          <w:sz w:val="16"/>
          <w:szCs w:val="16"/>
        </w:rPr>
        <w:t>(9 и 10 марта) 1915</w:t>
      </w:r>
      <w:r w:rsidR="00EF196E" w:rsidRPr="00405303">
        <w:rPr>
          <w:bCs/>
          <w:i w:val="0"/>
          <w:color w:val="002060"/>
          <w:spacing w:val="0"/>
          <w:kern w:val="0"/>
          <w:position w:val="0"/>
          <w:sz w:val="16"/>
          <w:szCs w:val="16"/>
        </w:rPr>
        <w:t xml:space="preserve"> г.</w:t>
      </w:r>
      <w:r w:rsidRPr="00405303">
        <w:rPr>
          <w:bCs/>
          <w:i w:val="0"/>
          <w:color w:val="002060"/>
          <w:spacing w:val="0"/>
          <w:kern w:val="0"/>
          <w:position w:val="0"/>
          <w:sz w:val="16"/>
          <w:szCs w:val="16"/>
        </w:rPr>
        <w:t xml:space="preserve"> "Киевский" вылетал из Яблонны для бомбардировки станции Вилленберг, на которую было сброшено свыше 160 пудов бомб. По донесению разведки «Муромец» произвел в городе и на станции следующие разрушения: «...разрушено станционное здание и пакгауз, 6 товарных вагонов и вагон коменданта, причем комендант ранен, в городе разрушено несколько домов, убито 2 офицера и 17 нижних чинов, 7 лошадей. В городе паника, жители в ясную погоду прячутся в погребах». </w:t>
      </w:r>
      <w:proofErr w:type="gramStart"/>
      <w:r w:rsidRPr="00405303">
        <w:rPr>
          <w:bCs/>
          <w:i w:val="0"/>
          <w:color w:val="002060"/>
          <w:spacing w:val="0"/>
          <w:kern w:val="0"/>
          <w:position w:val="0"/>
          <w:sz w:val="16"/>
          <w:szCs w:val="16"/>
        </w:rPr>
        <w:t>Итак</w:t>
      </w:r>
      <w:proofErr w:type="gramEnd"/>
      <w:r w:rsidRPr="00405303">
        <w:rPr>
          <w:bCs/>
          <w:i w:val="0"/>
          <w:color w:val="002060"/>
          <w:spacing w:val="0"/>
          <w:kern w:val="0"/>
          <w:position w:val="0"/>
          <w:sz w:val="16"/>
          <w:szCs w:val="16"/>
        </w:rPr>
        <w:t xml:space="preserve"> на деле было доказано выдающиеся качества воздушных кораблей: которые в умелых руках оказались мощным оружием. Способ­ные проникать вглубь вражеской территории, "Муромцы" несли значительный бомбовый груз, вооружение и могли довольно точно с большой высоты поражать наземные цели (11277).</w:t>
      </w:r>
    </w:p>
    <w:p w14:paraId="50ECB730" w14:textId="77777777" w:rsidR="004B4E35" w:rsidRPr="00405303" w:rsidRDefault="004B4E35" w:rsidP="00C15251">
      <w:pPr>
        <w:jc w:val="both"/>
        <w:rPr>
          <w:bCs/>
          <w:color w:val="002060"/>
          <w:sz w:val="16"/>
          <w:szCs w:val="16"/>
        </w:rPr>
      </w:pPr>
    </w:p>
    <w:p w14:paraId="4302DBC5" w14:textId="1BB23E15" w:rsidR="00A70B58" w:rsidRPr="00405303" w:rsidRDefault="00A70B58" w:rsidP="00C15251">
      <w:pPr>
        <w:jc w:val="both"/>
        <w:rPr>
          <w:bCs/>
          <w:color w:val="002060"/>
          <w:sz w:val="16"/>
          <w:szCs w:val="16"/>
        </w:rPr>
      </w:pPr>
      <w:r w:rsidRPr="00405303">
        <w:rPr>
          <w:bCs/>
          <w:color w:val="002060"/>
          <w:sz w:val="16"/>
          <w:szCs w:val="16"/>
        </w:rPr>
        <w:t>24 февраля (9 марта) 1915 г. корабль «Илья Муромец» В-9 (ИМ В-9 № 150 «Корабль Киевский» «остроносый», борт № VI) экз. № 9, стратегический разведчик, тяжелый бомбардировщик по заданию штаба 1-й Армии СЗФ совершил полет продолжительностью 3,5 ч над Восточной Пруссией. Экипаж сфотографировал позиции при пересечении линии фронта и собрал подробные сведения о передвижениях противника вплоть до Млавы на севере Польши, затем, сделав два круга над г. Вилленбург, сбросил 17 бомб весом от 16 до 32 кг на местную железнодорожную станцию, пакгаузы у нее и скопившиеся там конные повозки.</w:t>
      </w:r>
    </w:p>
    <w:p w14:paraId="5FB5E3EA" w14:textId="77777777" w:rsidR="00A70B58" w:rsidRPr="00405303" w:rsidRDefault="00A70B58" w:rsidP="00C15251">
      <w:pPr>
        <w:jc w:val="both"/>
        <w:rPr>
          <w:bCs/>
          <w:color w:val="002060"/>
          <w:sz w:val="16"/>
          <w:szCs w:val="16"/>
        </w:rPr>
      </w:pPr>
      <w:r w:rsidRPr="00405303">
        <w:rPr>
          <w:bCs/>
          <w:color w:val="002060"/>
          <w:sz w:val="16"/>
          <w:szCs w:val="16"/>
        </w:rPr>
        <w:t>25 февраля 1915 г. корабль выполнил бомбовый удар по станции Вилленбург, сбросив 35 малых и 10 пудовых бомб, разрушив железнодорожные пути, стоявший на них подвижной состав и здание станции. Погибло два немецких офицера и 17 нижних чинов, а начальник станции был ранен. Согласно донесению разведки, полученному позже штабом Первой армии, налет вызвал сильную панику.</w:t>
      </w:r>
    </w:p>
    <w:p w14:paraId="5FF56F8F" w14:textId="77777777" w:rsidR="00A70B58" w:rsidRPr="00405303" w:rsidRDefault="00A70B58" w:rsidP="00C15251">
      <w:pPr>
        <w:jc w:val="both"/>
        <w:rPr>
          <w:bCs/>
          <w:color w:val="002060"/>
          <w:sz w:val="16"/>
          <w:szCs w:val="16"/>
        </w:rPr>
      </w:pPr>
      <w:r w:rsidRPr="00405303">
        <w:rPr>
          <w:bCs/>
          <w:color w:val="002060"/>
          <w:sz w:val="16"/>
          <w:szCs w:val="16"/>
        </w:rPr>
        <w:t>В мае 1915 г. корабль командирован на аэродром Лемберг (ныне Львов, Западная Украина) в распоряжение штаба 3-й Армии.</w:t>
      </w:r>
    </w:p>
    <w:p w14:paraId="65C59BD6" w14:textId="77777777" w:rsidR="00A70B58" w:rsidRPr="00405303" w:rsidRDefault="00A70B58" w:rsidP="00C15251">
      <w:pPr>
        <w:jc w:val="both"/>
        <w:rPr>
          <w:bCs/>
          <w:color w:val="002060"/>
          <w:sz w:val="16"/>
          <w:szCs w:val="16"/>
        </w:rPr>
      </w:pPr>
      <w:r w:rsidRPr="00405303">
        <w:rPr>
          <w:bCs/>
          <w:color w:val="002060"/>
          <w:sz w:val="16"/>
          <w:szCs w:val="16"/>
        </w:rPr>
        <w:t>28 мая 1915 г. новым командиром корабля назначен поручик И.С. Башко.</w:t>
      </w:r>
    </w:p>
    <w:p w14:paraId="68F8473E" w14:textId="77777777" w:rsidR="00A70B58" w:rsidRPr="00405303" w:rsidRDefault="00A70B58" w:rsidP="00C15251">
      <w:pPr>
        <w:jc w:val="both"/>
        <w:rPr>
          <w:bCs/>
          <w:color w:val="002060"/>
          <w:sz w:val="16"/>
          <w:szCs w:val="16"/>
        </w:rPr>
      </w:pPr>
      <w:r w:rsidRPr="00405303">
        <w:rPr>
          <w:bCs/>
          <w:color w:val="002060"/>
          <w:sz w:val="16"/>
          <w:szCs w:val="16"/>
        </w:rPr>
        <w:t>В июне 1915 г. корабль был перебазирован в Люблин (Lublin, ныне – восток Польши), а затем в том же месяце – в Влодаву (Włodawa, также восток Польши).</w:t>
      </w:r>
    </w:p>
    <w:p w14:paraId="17D201F3" w14:textId="77777777" w:rsidR="00A70B58" w:rsidRPr="00405303" w:rsidRDefault="00A70B58" w:rsidP="00C15251">
      <w:pPr>
        <w:jc w:val="both"/>
        <w:rPr>
          <w:bCs/>
          <w:color w:val="002060"/>
          <w:sz w:val="16"/>
          <w:szCs w:val="16"/>
        </w:rPr>
      </w:pPr>
      <w:r w:rsidRPr="00405303">
        <w:rPr>
          <w:bCs/>
          <w:color w:val="002060"/>
          <w:sz w:val="16"/>
          <w:szCs w:val="16"/>
        </w:rPr>
        <w:t>14 июня 1915 г. корабль выполнил удачную бомбардировку станции Пржеворск (Przeworsk, ныне Подкарпатское воеводство на востоке Польши) в которой впервые была применена тяжелая бомба калибра 80 кг (5 пудов) вместе с другими. Для облегчения самолета были сняты внешние топливные баки. Удар получился чрезвычайно удачным – попадание одной бомбы калибра 16 кг в вагон с боеприпасами вызвало последовательную детонацию 30000 снарядов во всем стоящем на ее путях эшелоне. Результат был подтвержден аэрофотоснимком и данными агентурной разведки.</w:t>
      </w:r>
    </w:p>
    <w:p w14:paraId="6EA17462" w14:textId="77777777" w:rsidR="00A70B58" w:rsidRPr="00405303" w:rsidRDefault="00A70B58" w:rsidP="00C15251">
      <w:pPr>
        <w:jc w:val="both"/>
        <w:rPr>
          <w:bCs/>
          <w:color w:val="002060"/>
          <w:sz w:val="16"/>
          <w:szCs w:val="16"/>
        </w:rPr>
      </w:pPr>
      <w:r w:rsidRPr="00405303">
        <w:rPr>
          <w:bCs/>
          <w:color w:val="002060"/>
          <w:sz w:val="16"/>
          <w:szCs w:val="16"/>
        </w:rPr>
        <w:t>5 июля 1915 г. (18.07.15 г. по н.ст.) корабль под управлением поручика И.С. Башко (помощник командира поручик М.В. Смирнов, артиллерийский офицер штабс-капитан А.А. Наумов, моторист вольноопределяющийся младший унтер-офицер А.М. Лавров) вылетел на разведку и бомбометание, имея на борту 10 бомб калибра 16 кг, 25 – калибра 11 кг, 12 зажигательных снарядов, один пулемет системы Мадсена обр. 1904 г. и карабин с общим боезапасом 260 патронов.</w:t>
      </w:r>
    </w:p>
    <w:p w14:paraId="42FABAC7" w14:textId="77777777" w:rsidR="00A70B58" w:rsidRPr="00405303" w:rsidRDefault="00A70B58" w:rsidP="00C15251">
      <w:pPr>
        <w:jc w:val="both"/>
        <w:rPr>
          <w:bCs/>
          <w:color w:val="002060"/>
          <w:sz w:val="16"/>
          <w:szCs w:val="16"/>
        </w:rPr>
      </w:pPr>
      <w:r w:rsidRPr="00405303">
        <w:rPr>
          <w:bCs/>
          <w:color w:val="002060"/>
          <w:sz w:val="16"/>
          <w:szCs w:val="16"/>
        </w:rPr>
        <w:t>Над г. Шербжешин (Польша) в 40 км от линии фронта на высоте 3200…3500 м снизу был атакован немецким самолетом. Огонь по противнику был открыт своевременно, но был не точен, а после 35 выстрелов пулемет заклинил.</w:t>
      </w:r>
    </w:p>
    <w:p w14:paraId="27DC42C8" w14:textId="77777777" w:rsidR="00A70B58" w:rsidRPr="00405303" w:rsidRDefault="00A70B58" w:rsidP="00C15251">
      <w:pPr>
        <w:jc w:val="both"/>
        <w:rPr>
          <w:bCs/>
          <w:color w:val="002060"/>
          <w:sz w:val="16"/>
          <w:szCs w:val="16"/>
        </w:rPr>
      </w:pPr>
      <w:r w:rsidRPr="00405303">
        <w:rPr>
          <w:bCs/>
          <w:color w:val="002060"/>
          <w:sz w:val="16"/>
          <w:szCs w:val="16"/>
        </w:rPr>
        <w:t xml:space="preserve">Противник в первой же атаке смог повредить два верхних топливных бака, бензопроводы левой группы моторов, бензиновый фильтр правой группы моторов, радиатор охлаждения мотора №2. Левая группа моторов была отключена. Одновременно были пробиты передние стекла кабины по правому борту и был ранен в ногу и в голову командир корабля Башко – после атаки его временно сменил Смирнов, после перевязки Башко вернулся к управлению самолетом, а Смирнов и Лавров руками пытались закрывать пробоину в топливном фильтре, через которую вытекал бензин. Вторая атака этого самолета противника была отбита </w:t>
      </w:r>
      <w:proofErr w:type="gramStart"/>
      <w:r w:rsidRPr="00405303">
        <w:rPr>
          <w:bCs/>
          <w:color w:val="002060"/>
          <w:sz w:val="16"/>
          <w:szCs w:val="16"/>
        </w:rPr>
        <w:t>ружейным огнем</w:t>
      </w:r>
      <w:proofErr w:type="gramEnd"/>
      <w:r w:rsidRPr="00405303">
        <w:rPr>
          <w:bCs/>
          <w:color w:val="002060"/>
          <w:sz w:val="16"/>
          <w:szCs w:val="16"/>
        </w:rPr>
        <w:t xml:space="preserve"> и он отошел. Корабль развернулся на маршрут возвращения.</w:t>
      </w:r>
    </w:p>
    <w:p w14:paraId="47FAA801" w14:textId="77777777" w:rsidR="00A70B58" w:rsidRPr="00405303" w:rsidRDefault="00A70B58" w:rsidP="00C15251">
      <w:pPr>
        <w:jc w:val="both"/>
        <w:rPr>
          <w:bCs/>
          <w:color w:val="002060"/>
          <w:sz w:val="16"/>
          <w:szCs w:val="16"/>
        </w:rPr>
      </w:pPr>
      <w:r w:rsidRPr="00405303">
        <w:rPr>
          <w:bCs/>
          <w:color w:val="002060"/>
          <w:sz w:val="16"/>
          <w:szCs w:val="16"/>
        </w:rPr>
        <w:t xml:space="preserve">Сразу за первым появился второй самолет противника, который своим огнем пробил маслобак мотора № 2, но его повторная атака </w:t>
      </w:r>
      <w:proofErr w:type="gramStart"/>
      <w:r w:rsidRPr="00405303">
        <w:rPr>
          <w:bCs/>
          <w:color w:val="002060"/>
          <w:sz w:val="16"/>
          <w:szCs w:val="16"/>
        </w:rPr>
        <w:t>была отбита</w:t>
      </w:r>
      <w:proofErr w:type="gramEnd"/>
      <w:r w:rsidRPr="00405303">
        <w:rPr>
          <w:bCs/>
          <w:color w:val="002060"/>
          <w:sz w:val="16"/>
          <w:szCs w:val="16"/>
        </w:rPr>
        <w:t xml:space="preserve"> и он также отвалил.</w:t>
      </w:r>
    </w:p>
    <w:p w14:paraId="760C14CA" w14:textId="77777777" w:rsidR="00A70B58" w:rsidRPr="00405303" w:rsidRDefault="00A70B58" w:rsidP="00C15251">
      <w:pPr>
        <w:jc w:val="both"/>
        <w:rPr>
          <w:bCs/>
          <w:color w:val="002060"/>
          <w:sz w:val="16"/>
          <w:szCs w:val="16"/>
        </w:rPr>
      </w:pPr>
      <w:r w:rsidRPr="00405303">
        <w:rPr>
          <w:bCs/>
          <w:color w:val="002060"/>
          <w:sz w:val="16"/>
          <w:szCs w:val="16"/>
        </w:rPr>
        <w:t>Над линией фронта в полете со снижением на высоте 1400…1500 м корабль был атакован третьим самолетом противника и обстрелян артиллерией с земли. На подлете к г. Холм (Chełm, ныне – Люблинское воеводство, восток Польши) на высоте около 700 м по причине вытекания бензина все моторы остановились. На планировании экипаж не только смог пересечь линию фронта, но и найти аэродром 24-го АО у дер. Городище, где произвел экстренную посадку. Но летное поле на заболоченном лугу оказалось не приспособленным для тяжелого самолета – шасси увязли в грунте и были сломаны в левой части основных опор, разрушились винт мотора № 2, несколько нервюр и 4 стойки бипланной коробки возле него, треснул задний лонжерон среднего отсека нижнего правого полукрыла. При осмотре нашли не выявленные ранее пулевые пробоины:</w:t>
      </w:r>
    </w:p>
    <w:p w14:paraId="48866ED6" w14:textId="77777777" w:rsidR="00A70B58" w:rsidRPr="00405303" w:rsidRDefault="00A70B58" w:rsidP="00C15251">
      <w:pPr>
        <w:jc w:val="both"/>
        <w:rPr>
          <w:bCs/>
          <w:color w:val="002060"/>
          <w:sz w:val="16"/>
          <w:szCs w:val="16"/>
        </w:rPr>
      </w:pPr>
      <w:r w:rsidRPr="00405303">
        <w:rPr>
          <w:bCs/>
          <w:color w:val="002060"/>
          <w:sz w:val="16"/>
          <w:szCs w:val="16"/>
        </w:rPr>
        <w:t>- 2 в винте, 1 в подкосе рамы мотора № 3;</w:t>
      </w:r>
    </w:p>
    <w:p w14:paraId="6856DF7B" w14:textId="77777777" w:rsidR="00A70B58" w:rsidRPr="00405303" w:rsidRDefault="00A70B58" w:rsidP="00C15251">
      <w:pPr>
        <w:jc w:val="both"/>
        <w:rPr>
          <w:bCs/>
          <w:color w:val="002060"/>
          <w:sz w:val="16"/>
          <w:szCs w:val="16"/>
        </w:rPr>
      </w:pPr>
      <w:r w:rsidRPr="00405303">
        <w:rPr>
          <w:bCs/>
          <w:color w:val="002060"/>
          <w:sz w:val="16"/>
          <w:szCs w:val="16"/>
        </w:rPr>
        <w:t>- в грузовой раме и в магнето мотора № 2;</w:t>
      </w:r>
    </w:p>
    <w:p w14:paraId="67C8666B" w14:textId="77777777" w:rsidR="00A70B58" w:rsidRPr="00405303" w:rsidRDefault="00A70B58" w:rsidP="00C15251">
      <w:pPr>
        <w:jc w:val="both"/>
        <w:rPr>
          <w:bCs/>
          <w:color w:val="002060"/>
          <w:sz w:val="16"/>
          <w:szCs w:val="16"/>
        </w:rPr>
      </w:pPr>
      <w:r w:rsidRPr="00405303">
        <w:rPr>
          <w:bCs/>
          <w:color w:val="002060"/>
          <w:sz w:val="16"/>
          <w:szCs w:val="16"/>
        </w:rPr>
        <w:lastRenderedPageBreak/>
        <w:t>- в стойке бипланной коробки за мотором № 1;</w:t>
      </w:r>
    </w:p>
    <w:p w14:paraId="0E0E16ED" w14:textId="77777777" w:rsidR="00A70B58" w:rsidRPr="00405303" w:rsidRDefault="00A70B58" w:rsidP="00C15251">
      <w:pPr>
        <w:jc w:val="both"/>
        <w:rPr>
          <w:bCs/>
          <w:color w:val="002060"/>
          <w:sz w:val="16"/>
          <w:szCs w:val="16"/>
        </w:rPr>
      </w:pPr>
      <w:r w:rsidRPr="00405303">
        <w:rPr>
          <w:bCs/>
          <w:color w:val="002060"/>
          <w:sz w:val="16"/>
          <w:szCs w:val="16"/>
        </w:rPr>
        <w:t>- несколько в обшивке;</w:t>
      </w:r>
    </w:p>
    <w:p w14:paraId="4D9245D5" w14:textId="77777777" w:rsidR="00A70B58" w:rsidRPr="00405303" w:rsidRDefault="00A70B58" w:rsidP="00C15251">
      <w:pPr>
        <w:jc w:val="both"/>
        <w:rPr>
          <w:bCs/>
          <w:color w:val="002060"/>
          <w:sz w:val="16"/>
          <w:szCs w:val="16"/>
        </w:rPr>
      </w:pPr>
      <w:r w:rsidRPr="00405303">
        <w:rPr>
          <w:bCs/>
          <w:color w:val="002060"/>
          <w:sz w:val="16"/>
          <w:szCs w:val="16"/>
        </w:rPr>
        <w:t>- 1 покрышке колеса шасси.</w:t>
      </w:r>
    </w:p>
    <w:p w14:paraId="7F8DDE02" w14:textId="77777777" w:rsidR="00A70B58" w:rsidRPr="00405303" w:rsidRDefault="00A70B58" w:rsidP="00C15251">
      <w:pPr>
        <w:jc w:val="both"/>
        <w:rPr>
          <w:bCs/>
          <w:color w:val="002060"/>
          <w:sz w:val="16"/>
          <w:szCs w:val="16"/>
        </w:rPr>
      </w:pPr>
      <w:r w:rsidRPr="00405303">
        <w:rPr>
          <w:bCs/>
          <w:color w:val="002060"/>
          <w:sz w:val="16"/>
          <w:szCs w:val="16"/>
        </w:rPr>
        <w:t>В этом бою безвозвратных потерь в экипаже нет, Башко, продолживший управление кораблем после ранения, награжден орденом Св. Георгия IV ст.</w:t>
      </w:r>
    </w:p>
    <w:p w14:paraId="008AE692" w14:textId="77777777" w:rsidR="00A70B58" w:rsidRPr="00405303" w:rsidRDefault="00A70B58" w:rsidP="00C15251">
      <w:pPr>
        <w:jc w:val="both"/>
        <w:rPr>
          <w:bCs/>
          <w:color w:val="002060"/>
          <w:sz w:val="16"/>
          <w:szCs w:val="16"/>
        </w:rPr>
      </w:pPr>
      <w:r w:rsidRPr="00405303">
        <w:rPr>
          <w:bCs/>
          <w:color w:val="002060"/>
          <w:sz w:val="16"/>
          <w:szCs w:val="16"/>
        </w:rPr>
        <w:t>Корабль был более боевых вылетов не совершал и видимо был после этого полета был отправлен на РБВЗ для возможного ремонта. Но восстановить его не удалось и аэроплан был списан.</w:t>
      </w:r>
    </w:p>
    <w:p w14:paraId="6BBC1B9E" w14:textId="77777777" w:rsidR="00A70B58" w:rsidRPr="00405303" w:rsidRDefault="00A70B58" w:rsidP="00C15251">
      <w:pPr>
        <w:jc w:val="both"/>
        <w:rPr>
          <w:bCs/>
          <w:color w:val="002060"/>
          <w:sz w:val="16"/>
          <w:szCs w:val="16"/>
        </w:rPr>
      </w:pPr>
      <w:r w:rsidRPr="00405303">
        <w:rPr>
          <w:bCs/>
          <w:color w:val="002060"/>
          <w:sz w:val="16"/>
          <w:szCs w:val="16"/>
        </w:rPr>
        <w:t>Корабль совершил 27 боевых вылетов и сбросил до 5760 кг (360 пудов) бомб (23563).</w:t>
      </w:r>
    </w:p>
    <w:p w14:paraId="2A7C7F87" w14:textId="77777777" w:rsidR="00A70B58" w:rsidRPr="00405303" w:rsidRDefault="00A70B58" w:rsidP="00C15251">
      <w:pPr>
        <w:jc w:val="both"/>
        <w:rPr>
          <w:bCs/>
          <w:color w:val="002060"/>
          <w:sz w:val="16"/>
          <w:szCs w:val="16"/>
          <w:lang w:bidi="ru-RU"/>
        </w:rPr>
      </w:pPr>
    </w:p>
    <w:p w14:paraId="243C9291" w14:textId="46EB22F0" w:rsidR="004B4E35" w:rsidRPr="00405303" w:rsidRDefault="009E6F82" w:rsidP="00C15251">
      <w:pPr>
        <w:shd w:val="clear" w:color="auto" w:fill="FFFFFF"/>
        <w:jc w:val="both"/>
        <w:rPr>
          <w:bCs/>
          <w:i/>
          <w:color w:val="002060"/>
          <w:sz w:val="16"/>
          <w:szCs w:val="16"/>
        </w:rPr>
      </w:pPr>
      <w:r w:rsidRPr="00405303">
        <w:rPr>
          <w:bCs/>
          <w:color w:val="002060"/>
          <w:sz w:val="16"/>
          <w:szCs w:val="16"/>
        </w:rPr>
        <w:t>24-25 февраля (9-10 марта) 1915</w:t>
      </w:r>
      <w:r w:rsidR="00EF196E" w:rsidRPr="00405303">
        <w:rPr>
          <w:bCs/>
          <w:color w:val="002060"/>
          <w:sz w:val="16"/>
          <w:szCs w:val="16"/>
        </w:rPr>
        <w:t xml:space="preserve"> г.</w:t>
      </w:r>
      <w:r w:rsidRPr="00405303">
        <w:rPr>
          <w:bCs/>
          <w:color w:val="002060"/>
          <w:sz w:val="16"/>
          <w:szCs w:val="16"/>
        </w:rPr>
        <w:t xml:space="preserve"> в Восточной Пруссии воздушные корабли “Илья Муромец" продолжали свою боевую деятельность. Так,</w:t>
      </w:r>
      <w:r w:rsidR="00EF196E" w:rsidRPr="00405303">
        <w:rPr>
          <w:bCs/>
          <w:color w:val="002060"/>
          <w:sz w:val="16"/>
          <w:szCs w:val="16"/>
        </w:rPr>
        <w:t xml:space="preserve"> </w:t>
      </w:r>
      <w:r w:rsidRPr="00405303">
        <w:rPr>
          <w:bCs/>
          <w:color w:val="002060"/>
          <w:sz w:val="16"/>
          <w:szCs w:val="16"/>
        </w:rPr>
        <w:t>например, “Илья Муромец Киевский" (командир И.С.Башко) за два дня сбросил в районе Вилленберга свыше 60 бомб, вызвав там разрушение зоенных объектов. После этих полетов, получивших лестные отзывы штаба 1-й армии, другие фронты стали просить верховное коман</w:t>
      </w:r>
      <w:r w:rsidRPr="00405303">
        <w:rPr>
          <w:bCs/>
          <w:color w:val="002060"/>
          <w:sz w:val="16"/>
          <w:szCs w:val="16"/>
        </w:rPr>
        <w:softHyphen/>
        <w:t xml:space="preserve">дование о придаче им отрядов тяжелых кораблей. </w:t>
      </w:r>
      <w:r w:rsidRPr="00405303">
        <w:rPr>
          <w:bCs/>
          <w:i/>
          <w:color w:val="002060"/>
          <w:sz w:val="16"/>
          <w:szCs w:val="16"/>
        </w:rPr>
        <w:t>(Воздушный справочник, 1916, стр.</w:t>
      </w:r>
      <w:proofErr w:type="gramStart"/>
      <w:r w:rsidRPr="00405303">
        <w:rPr>
          <w:bCs/>
          <w:i/>
          <w:color w:val="002060"/>
          <w:sz w:val="16"/>
          <w:szCs w:val="16"/>
        </w:rPr>
        <w:t>30;.</w:t>
      </w:r>
      <w:proofErr w:type="gramEnd"/>
      <w:r w:rsidRPr="00405303">
        <w:rPr>
          <w:bCs/>
          <w:i/>
          <w:color w:val="002060"/>
          <w:sz w:val="16"/>
          <w:szCs w:val="16"/>
        </w:rPr>
        <w:t xml:space="preserve"> личный архив А.В.Шиукова).</w:t>
      </w:r>
    </w:p>
    <w:p w14:paraId="42CF8E41" w14:textId="77777777" w:rsidR="004B4E35" w:rsidRPr="00405303" w:rsidRDefault="004B4E35" w:rsidP="00C15251">
      <w:pPr>
        <w:shd w:val="clear" w:color="auto" w:fill="FFFFFF"/>
        <w:jc w:val="both"/>
        <w:rPr>
          <w:bCs/>
          <w:i/>
          <w:color w:val="002060"/>
          <w:sz w:val="16"/>
          <w:szCs w:val="16"/>
        </w:rPr>
      </w:pPr>
    </w:p>
    <w:p w14:paraId="15D9476E" w14:textId="77777777" w:rsidR="00023F36" w:rsidRPr="00405303" w:rsidRDefault="00023F36" w:rsidP="00C15251">
      <w:pPr>
        <w:jc w:val="both"/>
        <w:rPr>
          <w:bCs/>
          <w:color w:val="002060"/>
          <w:sz w:val="16"/>
          <w:szCs w:val="16"/>
        </w:rPr>
      </w:pPr>
      <w:r w:rsidRPr="00405303">
        <w:rPr>
          <w:bCs/>
          <w:color w:val="002060"/>
          <w:sz w:val="16"/>
          <w:szCs w:val="16"/>
        </w:rPr>
        <w:t>24-25 февраля 1915 г. в Восточной Пруссии воздушные корабли «Илья Муромец» продолжали свою боевую деятельность. Так, напр., «Илья муромец Киевский" /командир И.С.Башко/ за два дня сбросил в районе Виллен- рерга свыше 60 бомб, вызвав там разрушение военных обиектов, а боль</w:t>
      </w:r>
      <w:r w:rsidRPr="00405303">
        <w:rPr>
          <w:bCs/>
          <w:color w:val="002060"/>
          <w:sz w:val="16"/>
          <w:szCs w:val="16"/>
        </w:rPr>
        <w:softHyphen/>
        <w:t>на всего – панику. После этих полетов, получивших лестные отзывы штаба 1-й армии, другие фронты стали просить верховное командова</w:t>
      </w:r>
      <w:r w:rsidRPr="00405303">
        <w:rPr>
          <w:bCs/>
          <w:color w:val="002060"/>
          <w:sz w:val="16"/>
          <w:szCs w:val="16"/>
        </w:rPr>
        <w:softHyphen/>
        <w:t>ние о придаче им отрядов тяжелых кораблей.</w:t>
      </w:r>
    </w:p>
    <w:p w14:paraId="4B96011B" w14:textId="77777777" w:rsidR="00023F36" w:rsidRPr="00405303" w:rsidRDefault="00023F36" w:rsidP="00C15251">
      <w:pPr>
        <w:jc w:val="both"/>
        <w:rPr>
          <w:bCs/>
          <w:color w:val="002060"/>
          <w:sz w:val="16"/>
          <w:szCs w:val="16"/>
        </w:rPr>
      </w:pPr>
      <w:r w:rsidRPr="00405303">
        <w:rPr>
          <w:bCs/>
          <w:color w:val="002060"/>
          <w:sz w:val="16"/>
          <w:szCs w:val="16"/>
        </w:rPr>
        <w:t>/Воздушный справочник, 1916, стр.30; личный архив А.В.Шиукова/ (23320).</w:t>
      </w:r>
    </w:p>
    <w:p w14:paraId="54B540D9" w14:textId="77777777" w:rsidR="00023F36" w:rsidRPr="00405303" w:rsidRDefault="00023F36" w:rsidP="00C15251">
      <w:pPr>
        <w:jc w:val="both"/>
        <w:rPr>
          <w:bCs/>
          <w:color w:val="002060"/>
          <w:sz w:val="16"/>
          <w:szCs w:val="16"/>
        </w:rPr>
      </w:pPr>
    </w:p>
    <w:p w14:paraId="2F913BB1" w14:textId="044A243F" w:rsidR="004B4E35" w:rsidRPr="00405303" w:rsidRDefault="009E6F82" w:rsidP="00C15251">
      <w:pPr>
        <w:jc w:val="both"/>
        <w:rPr>
          <w:bCs/>
          <w:color w:val="002060"/>
          <w:sz w:val="16"/>
          <w:szCs w:val="16"/>
        </w:rPr>
      </w:pPr>
      <w:r w:rsidRPr="00405303">
        <w:rPr>
          <w:bCs/>
          <w:color w:val="002060"/>
          <w:sz w:val="16"/>
          <w:szCs w:val="16"/>
        </w:rPr>
        <w:t>24 февраля (9 марта) 1915</w:t>
      </w:r>
      <w:r w:rsidR="00EF196E" w:rsidRPr="00405303">
        <w:rPr>
          <w:bCs/>
          <w:color w:val="002060"/>
          <w:sz w:val="16"/>
          <w:szCs w:val="16"/>
        </w:rPr>
        <w:t xml:space="preserve"> г.</w:t>
      </w:r>
      <w:r w:rsidRPr="00405303">
        <w:rPr>
          <w:bCs/>
          <w:color w:val="002060"/>
          <w:sz w:val="16"/>
          <w:szCs w:val="16"/>
        </w:rPr>
        <w:t xml:space="preserve"> "ИМ-Киевский" воспользовался благоприятной погодой и совершил 3 1/2 часовой полет над Восточной Пруссией с целью разведки района Сурово - Круко- во - Зарембы - Вилленбург - Хоржеле и бомбардировки Вилленбурга. Сделав два круга над Вилленбургом, одним из тех мест, где погибла армия генерала Самсонова, "ИМ- Киевский" сбросил 17 бомб - от 16 до 32 кг каждая - на железнодорожную станцию, ангары и конные повозки. Он также провел тщательную разведку этого района с целью собрать информацию о передвижении немецких войск в районе Млавы. Наконец, самолет сделал фотографии некоторых вражеских позиций и благополучно вернулся на аэродром (11999).</w:t>
      </w:r>
    </w:p>
    <w:p w14:paraId="71ABB43D" w14:textId="77777777" w:rsidR="004B4E35" w:rsidRPr="00405303" w:rsidRDefault="004B4E35" w:rsidP="00C15251">
      <w:pPr>
        <w:jc w:val="both"/>
        <w:rPr>
          <w:bCs/>
          <w:color w:val="002060"/>
          <w:sz w:val="16"/>
          <w:szCs w:val="16"/>
        </w:rPr>
      </w:pPr>
    </w:p>
    <w:p w14:paraId="08C54578" w14:textId="68C3AF6B" w:rsidR="004B4E35" w:rsidRPr="00405303" w:rsidRDefault="009E6F82" w:rsidP="00C15251">
      <w:pPr>
        <w:jc w:val="both"/>
        <w:rPr>
          <w:bCs/>
          <w:color w:val="002060"/>
          <w:sz w:val="16"/>
          <w:szCs w:val="16"/>
        </w:rPr>
      </w:pPr>
      <w:r w:rsidRPr="00405303">
        <w:rPr>
          <w:bCs/>
          <w:color w:val="002060"/>
          <w:sz w:val="16"/>
          <w:szCs w:val="16"/>
        </w:rPr>
        <w:t>24 и 25 февраля</w:t>
      </w:r>
      <w:r w:rsidR="00EF196E" w:rsidRPr="00405303">
        <w:rPr>
          <w:bCs/>
          <w:color w:val="002060"/>
          <w:sz w:val="16"/>
          <w:szCs w:val="16"/>
        </w:rPr>
        <w:t xml:space="preserve"> (9-10 марта) 1915 г.</w:t>
      </w:r>
      <w:r w:rsidRPr="00405303">
        <w:rPr>
          <w:bCs/>
          <w:color w:val="002060"/>
          <w:sz w:val="16"/>
          <w:szCs w:val="16"/>
        </w:rPr>
        <w:t xml:space="preserve"> экипаж Горшкова летал бомбить станцию Вилленберг, на которую было сброшено свыше 30 пудов (480 кг) бомб. С собой в полёт брали, как правило, 15 или 16 пудов (246 или 262 кг) бомб ^пудовые и 25-фунтовые). Корабль с полезной нагрузкой легко набирал высоту в 3000-3200 метров, оставаясь недосягаемым для зенитного огня. Высота никак не сказывалась на точности бомбометания. Результаты этих бомбардировок стали известны благодаря донесению из штаба армии: "за три полёта "Муромец" произвёл в городе и на станции Вилленберг следующие разрушения: разрушено станционное здание и пакгауз, шесть товарных вагонов и вагон коменданта, причем комендант ранен, в городе разрушено несколько домов, убито два офицера и 17 нижних чинов, семь лошадей. В городе паника, жители в ясную погоду прячутся в погребах".</w:t>
      </w:r>
    </w:p>
    <w:p w14:paraId="1306CE62" w14:textId="77777777" w:rsidR="004B4E35" w:rsidRPr="00405303" w:rsidRDefault="009E6F82" w:rsidP="00C15251">
      <w:pPr>
        <w:jc w:val="both"/>
        <w:rPr>
          <w:bCs/>
          <w:color w:val="002060"/>
          <w:sz w:val="16"/>
          <w:szCs w:val="16"/>
        </w:rPr>
      </w:pPr>
      <w:r w:rsidRPr="00405303">
        <w:rPr>
          <w:bCs/>
          <w:color w:val="002060"/>
          <w:sz w:val="16"/>
          <w:szCs w:val="16"/>
        </w:rPr>
        <w:t>Таким образом, на деле были доказаны отличные качества воздушных кораблей, которые в умелых руках оказались грозным оружием. Способные проникать вглубь вражеской территории, "Муромцы" несли значительный бомбовый груз, вооружение и могли довольно точно с большой высоты поражать наземные цели. Репутация аэропланов типа "Илья Муромец" как полноценных боевых самолётов была восстановлена.</w:t>
      </w:r>
    </w:p>
    <w:p w14:paraId="07284B83" w14:textId="77777777" w:rsidR="004B4E35" w:rsidRPr="00405303" w:rsidRDefault="009E6F82" w:rsidP="00C15251">
      <w:pPr>
        <w:jc w:val="both"/>
        <w:rPr>
          <w:bCs/>
          <w:color w:val="002060"/>
          <w:sz w:val="16"/>
          <w:szCs w:val="16"/>
        </w:rPr>
      </w:pPr>
      <w:r w:rsidRPr="00405303">
        <w:rPr>
          <w:bCs/>
          <w:color w:val="002060"/>
          <w:sz w:val="16"/>
          <w:szCs w:val="16"/>
        </w:rPr>
        <w:t>В марте 1915 года "Киевский" совершил по заданию штаба 1-й армии ещё четыре боевых полёта. Обычно на борт брали от 10 до 15 пудов (от 160 до 240 кг) бомб, ружьё-пуле- мёт "Мадсен", пулемёт "Льюис" и один карабин.</w:t>
      </w:r>
    </w:p>
    <w:p w14:paraId="2FE5A620" w14:textId="77777777" w:rsidR="004B4E35" w:rsidRPr="00405303" w:rsidRDefault="009E6F82" w:rsidP="00C15251">
      <w:pPr>
        <w:jc w:val="both"/>
        <w:rPr>
          <w:bCs/>
          <w:color w:val="002060"/>
          <w:sz w:val="16"/>
          <w:szCs w:val="16"/>
        </w:rPr>
      </w:pPr>
      <w:r w:rsidRPr="00405303">
        <w:rPr>
          <w:bCs/>
          <w:color w:val="002060"/>
          <w:sz w:val="16"/>
          <w:szCs w:val="16"/>
        </w:rPr>
        <w:t>В апреле Головин разбил последний корабль типа Б (VI, № 137), при этом сам чудом остался в живых. Незадолго до этой аварии "прихлопнул" при посадке свой V корабль (№ 143) штабс-капитан Алехнович. Надо отметить, что многочисленные поломки и аварии на заключительной фазе полёта были связаны с манерой посадки, которую практиковал Сикорский и которой он обучил летчиков "Муромцев". Самолёт снижал скорость с периодическим отключением и включением двигателей ("на контакте"), выравнивался на высоте 5-6 метров, максимально снижал скорость, а потом двигатели отключались и аппарат "плюхался" с этой высоты. Иногда ломались стойки шасси, но чаще самолёт делал прыжок (давал "козла") и вновь касался земли. И так - несколько раз. Подобная методика была приемлема на лёгких самолётах, но на гиганте "Муромце" так сажать без аварий могли только очень опытные пилоты. Командир II корабля Панкратьев использовал другую методику - сажал самолёт на "три точки", т.е. снижал высоту и скорость почти до самой земли, при этом двигатели отключались только в момент касания земли колёсами и хвостовой опорой (12041).</w:t>
      </w:r>
    </w:p>
    <w:p w14:paraId="1822E2AF" w14:textId="77777777" w:rsidR="004B4E35" w:rsidRPr="00405303" w:rsidRDefault="004B4E35" w:rsidP="00C15251">
      <w:pPr>
        <w:jc w:val="both"/>
        <w:rPr>
          <w:bCs/>
          <w:color w:val="002060"/>
          <w:sz w:val="16"/>
          <w:szCs w:val="16"/>
        </w:rPr>
      </w:pPr>
    </w:p>
    <w:p w14:paraId="0D5F0AE0"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1230E8CD" w14:textId="77777777" w:rsidR="004B4E35" w:rsidRPr="00405303" w:rsidRDefault="004B4E35" w:rsidP="00C15251">
      <w:pPr>
        <w:pStyle w:val="a3"/>
        <w:jc w:val="both"/>
        <w:rPr>
          <w:bCs/>
          <w:color w:val="002060"/>
          <w:spacing w:val="0"/>
          <w:kern w:val="0"/>
          <w:position w:val="0"/>
          <w:sz w:val="16"/>
          <w:szCs w:val="16"/>
        </w:rPr>
      </w:pPr>
    </w:p>
    <w:p w14:paraId="795FC780" w14:textId="65FC477D"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25 февраля (10 марта) 1915 г. </w:t>
      </w:r>
      <w:r w:rsidR="00EF196E" w:rsidRPr="00405303">
        <w:rPr>
          <w:bCs/>
          <w:color w:val="002060"/>
          <w:sz w:val="16"/>
          <w:szCs w:val="16"/>
        </w:rPr>
        <w:t xml:space="preserve">был подписан третий, и последний договор на поставку одного гидроаэроплана С-10 с двигателем "Аргус" 115 л.с. </w:t>
      </w:r>
      <w:r w:rsidRPr="00405303">
        <w:rPr>
          <w:bCs/>
          <w:color w:val="002060"/>
          <w:sz w:val="16"/>
          <w:szCs w:val="16"/>
        </w:rPr>
        <w:t xml:space="preserve">Из этих пяти </w:t>
      </w:r>
      <w:r w:rsidR="00EF196E" w:rsidRPr="00405303">
        <w:rPr>
          <w:bCs/>
          <w:color w:val="002060"/>
          <w:sz w:val="16"/>
          <w:szCs w:val="16"/>
        </w:rPr>
        <w:t xml:space="preserve">машин по контрактам от 24 июля – 2 и 22 сентября – 2 </w:t>
      </w:r>
      <w:r w:rsidRPr="00405303">
        <w:rPr>
          <w:bCs/>
          <w:color w:val="002060"/>
          <w:sz w:val="16"/>
          <w:szCs w:val="16"/>
        </w:rPr>
        <w:t>только две машины были в конце концов приняты Морским ведомством, а от прочих отказа</w:t>
      </w:r>
      <w:r w:rsidRPr="00405303">
        <w:rPr>
          <w:bCs/>
          <w:color w:val="002060"/>
          <w:sz w:val="16"/>
          <w:szCs w:val="16"/>
        </w:rPr>
        <w:softHyphen/>
        <w:t>лись из-за срыва сроков поставки и невыполнения технических условий (2843).</w:t>
      </w:r>
    </w:p>
    <w:p w14:paraId="6A758131" w14:textId="77777777" w:rsidR="004B4E35" w:rsidRPr="00405303" w:rsidRDefault="004B4E35" w:rsidP="00C15251">
      <w:pPr>
        <w:shd w:val="clear" w:color="auto" w:fill="FFFFFF"/>
        <w:jc w:val="both"/>
        <w:rPr>
          <w:bCs/>
          <w:color w:val="002060"/>
          <w:sz w:val="16"/>
          <w:szCs w:val="16"/>
        </w:rPr>
      </w:pPr>
    </w:p>
    <w:p w14:paraId="38EA3335"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0BBB3C24" w14:textId="77777777" w:rsidR="004B4E35" w:rsidRPr="00405303" w:rsidRDefault="004B4E35" w:rsidP="00C15251">
      <w:pPr>
        <w:shd w:val="clear" w:color="auto" w:fill="FFFFFF"/>
        <w:jc w:val="both"/>
        <w:rPr>
          <w:bCs/>
          <w:i/>
          <w:color w:val="002060"/>
          <w:sz w:val="16"/>
          <w:szCs w:val="16"/>
        </w:rPr>
      </w:pPr>
    </w:p>
    <w:p w14:paraId="58D487C1" w14:textId="213705C4"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25 февраля </w:t>
      </w:r>
      <w:r w:rsidR="00EF196E" w:rsidRPr="00405303">
        <w:rPr>
          <w:bCs/>
          <w:i w:val="0"/>
          <w:color w:val="002060"/>
          <w:spacing w:val="0"/>
          <w:kern w:val="0"/>
          <w:position w:val="0"/>
          <w:sz w:val="16"/>
          <w:szCs w:val="16"/>
        </w:rPr>
        <w:t xml:space="preserve">(10 марта) 1915 г. </w:t>
      </w:r>
      <w:r w:rsidRPr="00405303">
        <w:rPr>
          <w:bCs/>
          <w:i w:val="0"/>
          <w:color w:val="002060"/>
          <w:spacing w:val="0"/>
          <w:kern w:val="0"/>
          <w:position w:val="0"/>
          <w:sz w:val="16"/>
          <w:szCs w:val="16"/>
        </w:rPr>
        <w:t xml:space="preserve">ген. Рубан уведомил, что американская фирма Вифлеемских стальных заводов предлагает через фирму Моргана и английского военного министра поставку в 5 млн. патронов (шрапнелей и гранат) по 22 доллара за штуку, со сдачей в течение всего 1916 г. Одновременно предлагалось изготовить орудия. </w:t>
      </w:r>
    </w:p>
    <w:p w14:paraId="6C68CAA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На это председатель комиссии ответил 1 (14) марта, что все "предложения, сделанные через Моргана, ни по ценам, ни по срокам безусловно неприемлемы". </w:t>
      </w:r>
    </w:p>
    <w:p w14:paraId="0B337D2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Это отрицательное отношение председателя комиссии к посредничеству фирмы Моргана нашло себе подтверждение в телеграммах ген. Сапожникова от 30 мая и 12 июня 1915 г. </w:t>
      </w:r>
    </w:p>
    <w:p w14:paraId="515601C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Исследовав на месте вопрос о возможности давать артиллерийские заказы непосредственно поставщикам при посредстве Моргана, ген. Сапожников донес, что "постоянный захват банкирским домом Моргана монополии на заказы союзных правительств несомненно есть в высшей степени прискорбное явление. При передаче военных заказов Моргану военно-торговые интересы страдают весьма сильно, что подтверждается неоднократно выражавшимся в английском парламенте негодованием на деятельность этой фирмы и современным печальным состоянием снабжения английской армии на театре войны. Дальнейшее развитие этой монополии, несомненно, может отразиться неблагоприятно и на наших будущих заказах, так как отвлечет в группу Моргана многих крупных поставщиков, заинтересованных преувеличенной прибылью. Насколько мне известно, финансирование наших заказов в Америке и в настоящее время уже находится исключительно в руках группы Моргана, что, несомненно, даст ей громадное влияние на рынок. </w:t>
      </w:r>
    </w:p>
    <w:p w14:paraId="6B8F5F1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Обезвредить Моргана с нашей стороны можно было бы путем отнятия у него такой монополии нашего финансирования в Америке и обращения к другим банкирам". </w:t>
      </w:r>
    </w:p>
    <w:p w14:paraId="763F3AA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Далее ген. Сапожников приводил целый ряд примеров заказов, которые могли бы быть даны американским фирмам непосредственно, но благодаря посредничеству Моргана или не были даны совсем или были даны так, что являлись гораздо более выгодными Моргану и американским фабрикантам, чем русским интересам. Так, заказ на прессованный пироксилин был дан заводу, у которого не было прессов; пулеметы Браунинга-Кольта предполагалось покупать и заказывать у несуществующего завода и т. п. </w:t>
      </w:r>
    </w:p>
    <w:p w14:paraId="72BB433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результате, замечает ген. Сапожников, "ни по одному контракту, заключенному через Моргана и генерала Рубана, приемщики не могут получить своевременно копий контрактов". </w:t>
      </w:r>
    </w:p>
    <w:p w14:paraId="150F31C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lastRenderedPageBreak/>
        <w:t xml:space="preserve">В другой телеграмме, датированной тем же числом, ген. Сапожников указывает на то, что "Морган совершенно не считается с присутствием в Америке русской приемной комиссии" и отказывается выдать ему копии контрактов, мотивируя это тем, что контракты заключены им не с русским, а с английским правительством. </w:t>
      </w:r>
    </w:p>
    <w:p w14:paraId="02F5AF8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Одновременно с телеграммой ген. Сапожникова председатель комиссии получил телеграмму ген. Гермониуса, в которой он сообщает, что лорд Китченер сообщил ему о данном полномочии заказывать для России боевые припасы и пригласил его участвовать в комиссии, образованной при английском военном министерстве для распределения русских заказов, и что в первом же заседании этой комиссии был возбужден вопрос о заказе 9,5 млн. патронов для полевых пушек. При этом ген. Гермониус просил объяснить ему на чем же собственно основываются английские власти, регулируя будущее снабжение русской армии. </w:t>
      </w:r>
    </w:p>
    <w:p w14:paraId="265BC12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Цифра 9,5 млн. была непонятна, ибо еще два месяца тому назад лорд Китченер предлагал нам заказать только 5 млн. </w:t>
      </w:r>
    </w:p>
    <w:p w14:paraId="290D0F3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Председатель Особой распорядительной комиссии, видя, что цело снабжения армии, полностью порученное ему, является предметом самостоятельных забот иностранных властей, некомпетентных в наших потребностях и действующих под сильным влиянием коммерческих учреждений (например Моргана), отправил наштаверху ген. Янушкевичу телеграмму следующего содержания: </w:t>
      </w:r>
    </w:p>
    <w:p w14:paraId="750CB37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бытность мою в Ставке вы мне выяснили, что предложения Китченера на заказы в случае поздних сроков будут отклонены. Из телеграммы Гермониуса видно, что Китченер уполномочен заказывать что угодно в неограниченном, количестве и даже на семнадцатый год. Имея в виду обе телеграммы Саложникова и тот факт, что все заказы Китченера будут даваться тому же Моргану, следует ожидать, что все нами ранее заказанное непосредственно в Америке будет парализовано Морганом, и вместо ускорения подачи заказов будет только замедление. Прошу мне указать, какую инструкцию я должен дать Гермониусу, и поставить меня в известность, какие полномочия даны Китченеру. Меня также тревожит вопрос, кто впоследствии будет ответственен перед контролем и законодательными учреждениями за длительные заграничные заказы, в которых никакой нужды нет, раз они будут даваться хотя союзным, но иностранным, правительством". </w:t>
      </w:r>
    </w:p>
    <w:p w14:paraId="034E1FA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6 (19) июня начальник Штаба верховного главнокомандующего ответил председателю комиссии, что "ориентировка Петрограда о возможных надеждах на усиленный приток снабжения и политические условия привели к необходимости принять предложение лорда Китченера, обещавшего полную гарантию исполнения заказов при 25-процентном задатке. </w:t>
      </w:r>
    </w:p>
    <w:p w14:paraId="6720CBF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Вся ответственность переходит на Штаб верховного главнокомандующего при согласии с необходимостью заказа совещания военного министра, в котором участвуют председатель и члены Думы". </w:t>
      </w:r>
    </w:p>
    <w:p w14:paraId="703E9AF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одном из следующих заседаний английской комиссии количество 76-мм патронов 9,5 млн. было заменено уже 12 млн., причем единственной предоставляемой гарантией являлось право отказа в случае несвоевременного исполнения контракта. </w:t>
      </w:r>
    </w:p>
    <w:p w14:paraId="2CCB5EA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26 июня ген. Гермониус донес, что в пятом заседании комиссии вновь обсуждался вопрос о распределении русских заказов между американскими заводами, причем существенную роль в разрешении вопросов играли представители Моргана. При этом председатель английской комиссии предложил спросить верховного главнокомандующего, нужно ли еще заказывать снаряды сверх тех, о которых уже было условлено. Ген. Гермониус высказался, что подобное предложение не должно исходить от комиссии, так как ничего похожего на попечительство о русском снабжении не должно исходить от английского военного министерства. Тогда председатель заявил, что телеграмма будет послана от имени лорда Китченера. </w:t>
      </w:r>
    </w:p>
    <w:p w14:paraId="10FB089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Таким образом, лорд Китченер окончательно сделал это дело своей монополией, отстранив от обсуждения вопроса даже ген. Гермониуса и сносясь только со Ставкой верховного главнокомандующего. </w:t>
      </w:r>
    </w:p>
    <w:p w14:paraId="0985F74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дальнейшем против этой опеки Англии старалось бороться и Особое совещание по обороне государства, но толку из этого вышло также мало, ибо, очутившись в положении бедной приживалки у богатых родственников, царская Россия могла только делать вид протестующей, на самом же деле с нею считались очень мало. </w:t>
      </w:r>
    </w:p>
    <w:p w14:paraId="736C37E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Вскоре по делам "несостоятельной" России образовался целый "опекунский совет" союзниц, который и выделил в январе 1917 г. своих представителей на Межсоюзную конференцию в Петрограде, чтобы окончательно решить, как обойтись с назойливыми просьбами русских властей о разного рода "вспомоществованиях". Результаты этой конференции помещены в особом отчете, о котором неоднократно будет упоминаться. </w:t>
      </w:r>
    </w:p>
    <w:p w14:paraId="19A8B1D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Странное поведение Ставки в 1915 г. в отношении заказов боевых припасов за границей возможно объяснить, с одной стороны, политическими соображениями Ставки, всячески заискивавшей у "союзников", с другой стороны, растерянностью Ставки и боязнью проиграть войну из-за недостатка снарядов (11483).</w:t>
      </w:r>
    </w:p>
    <w:p w14:paraId="77BA7B29" w14:textId="77777777" w:rsidR="004B4E35" w:rsidRPr="00405303" w:rsidRDefault="004B4E35" w:rsidP="00C15251">
      <w:pPr>
        <w:pStyle w:val="a3"/>
        <w:jc w:val="both"/>
        <w:rPr>
          <w:bCs/>
          <w:i w:val="0"/>
          <w:color w:val="002060"/>
          <w:spacing w:val="0"/>
          <w:kern w:val="0"/>
          <w:position w:val="0"/>
          <w:sz w:val="16"/>
          <w:szCs w:val="16"/>
        </w:rPr>
      </w:pPr>
    </w:p>
    <w:p w14:paraId="4813C4BD"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396F4F6B" w14:textId="77777777" w:rsidR="004B4E35" w:rsidRPr="00405303" w:rsidRDefault="004B4E35" w:rsidP="00C15251">
      <w:pPr>
        <w:jc w:val="both"/>
        <w:rPr>
          <w:bCs/>
          <w:i/>
          <w:color w:val="002060"/>
          <w:sz w:val="16"/>
          <w:szCs w:val="16"/>
        </w:rPr>
      </w:pPr>
    </w:p>
    <w:p w14:paraId="7E467DA8" w14:textId="26EF96C3" w:rsidR="004B4E35" w:rsidRPr="00405303" w:rsidRDefault="009E6F82" w:rsidP="00C15251">
      <w:pPr>
        <w:jc w:val="both"/>
        <w:rPr>
          <w:bCs/>
          <w:color w:val="002060"/>
          <w:sz w:val="16"/>
          <w:szCs w:val="16"/>
        </w:rPr>
      </w:pPr>
      <w:r w:rsidRPr="00405303">
        <w:rPr>
          <w:bCs/>
          <w:color w:val="002060"/>
          <w:sz w:val="16"/>
          <w:szCs w:val="16"/>
        </w:rPr>
        <w:t>25 февраля (10 марта) 1915 г. был сделан третий боевой вылет</w:t>
      </w:r>
      <w:r w:rsidR="00EF196E" w:rsidRPr="00405303">
        <w:rPr>
          <w:bCs/>
          <w:color w:val="002060"/>
          <w:sz w:val="16"/>
          <w:szCs w:val="16"/>
        </w:rPr>
        <w:t xml:space="preserve"> ИМ</w:t>
      </w:r>
      <w:r w:rsidRPr="00405303">
        <w:rPr>
          <w:bCs/>
          <w:color w:val="002060"/>
          <w:sz w:val="16"/>
          <w:szCs w:val="16"/>
        </w:rPr>
        <w:t>, теперь уже через Вилленберг до Найденбурга. Противник опять не стрелял по кораблю. Правда, снова, в третий раз, несмотря на предупреждения, палили свои из Новогеоргиевской крепости. Там никак не могли взял в толк, что такие воздушные корабли могут быть российскими машинами (11230).</w:t>
      </w:r>
    </w:p>
    <w:p w14:paraId="714F824D" w14:textId="77777777" w:rsidR="004B4E35" w:rsidRPr="00405303" w:rsidRDefault="004B4E35" w:rsidP="00C15251">
      <w:pPr>
        <w:jc w:val="both"/>
        <w:rPr>
          <w:bCs/>
          <w:color w:val="002060"/>
          <w:sz w:val="16"/>
          <w:szCs w:val="16"/>
        </w:rPr>
      </w:pPr>
    </w:p>
    <w:p w14:paraId="1246AFF3" w14:textId="77777777" w:rsidR="004B4E35" w:rsidRPr="00405303" w:rsidRDefault="009E6F82" w:rsidP="00C15251">
      <w:pPr>
        <w:jc w:val="both"/>
        <w:rPr>
          <w:bCs/>
          <w:color w:val="002060"/>
          <w:sz w:val="16"/>
          <w:szCs w:val="16"/>
        </w:rPr>
      </w:pPr>
      <w:r w:rsidRPr="00405303">
        <w:rPr>
          <w:bCs/>
          <w:color w:val="002060"/>
          <w:sz w:val="16"/>
          <w:szCs w:val="16"/>
        </w:rPr>
        <w:t>25 февраля (10 марта) 1915 - "ИМ-Киевский" повторил вылет. На этот раз он сбросил 45 бомб на Вилленбург, 10 из которых были 16-кг. В результате железнодорожная станция и подвижной состав были уничтожены. Согласно информации, полученной позднее штабом 1-й русской армии, рейд вызвал сильную панику. Кроме разрушения железнодорожной станции, поездов и складов, было убито два германских офицера и семнадцать нижних чинов. Был ранен также начальник станции. В одной немецкой газете, полученной в Петрограде, сообщалось, что русские имеют специальные аэропланы, которые вызывают большой ущерб и оказались неуязвимыми для артиллерии (11999).</w:t>
      </w:r>
    </w:p>
    <w:p w14:paraId="3CD8A703" w14:textId="77777777" w:rsidR="004B4E35" w:rsidRPr="00405303" w:rsidRDefault="004B4E35" w:rsidP="00C15251">
      <w:pPr>
        <w:jc w:val="both"/>
        <w:rPr>
          <w:bCs/>
          <w:color w:val="002060"/>
          <w:sz w:val="16"/>
          <w:szCs w:val="16"/>
        </w:rPr>
      </w:pPr>
    </w:p>
    <w:p w14:paraId="14932CA9" w14:textId="21BA539A" w:rsidR="00A70B58" w:rsidRPr="00405303" w:rsidRDefault="00A70B58" w:rsidP="00C15251">
      <w:pPr>
        <w:jc w:val="both"/>
        <w:rPr>
          <w:bCs/>
          <w:color w:val="002060"/>
          <w:sz w:val="16"/>
          <w:szCs w:val="16"/>
        </w:rPr>
      </w:pPr>
      <w:r w:rsidRPr="00405303">
        <w:rPr>
          <w:bCs/>
          <w:color w:val="002060"/>
          <w:sz w:val="16"/>
          <w:szCs w:val="16"/>
        </w:rPr>
        <w:t>25 февраля (10 марта) 1915 г. корабль «Илья Муромец» В-9 (ИМ В-9 № 150 «Корабль Киевский» «остроносый», борт № VI) экз. № 9, стратегический разведчик, тяжелый бомбардировщик выполнил бомбовый удар по станции Вилленбург, сбросив 35 малых и 10 пудовых бомб, разрушив железнодорожные пути, стоявший на них подвижной состав и здание станции. Погибло два немецких офицера и 17 нижних чинов, а начальник станции был ранен. Согласно донесению разведки, полученному позже штабом Первой армии, налет вызвал сильную панику.</w:t>
      </w:r>
    </w:p>
    <w:p w14:paraId="6D250DA8" w14:textId="77777777" w:rsidR="00A70B58" w:rsidRPr="00405303" w:rsidRDefault="00A70B58" w:rsidP="00C15251">
      <w:pPr>
        <w:jc w:val="both"/>
        <w:rPr>
          <w:bCs/>
          <w:color w:val="002060"/>
          <w:sz w:val="16"/>
          <w:szCs w:val="16"/>
        </w:rPr>
      </w:pPr>
      <w:r w:rsidRPr="00405303">
        <w:rPr>
          <w:bCs/>
          <w:color w:val="002060"/>
          <w:sz w:val="16"/>
          <w:szCs w:val="16"/>
        </w:rPr>
        <w:t>В мае 1915 г. корабль командирован на аэродром Лемберг (ныне Львов, Западная Украина) в распоряжение штаба 3-й Армии.</w:t>
      </w:r>
    </w:p>
    <w:p w14:paraId="4189E410" w14:textId="77777777" w:rsidR="00A70B58" w:rsidRPr="00405303" w:rsidRDefault="00A70B58" w:rsidP="00C15251">
      <w:pPr>
        <w:jc w:val="both"/>
        <w:rPr>
          <w:bCs/>
          <w:color w:val="002060"/>
          <w:sz w:val="16"/>
          <w:szCs w:val="16"/>
        </w:rPr>
      </w:pPr>
      <w:r w:rsidRPr="00405303">
        <w:rPr>
          <w:bCs/>
          <w:color w:val="002060"/>
          <w:sz w:val="16"/>
          <w:szCs w:val="16"/>
        </w:rPr>
        <w:t>28 мая 1915 г. новым командиром корабля назначен поручик И.С. Башко.</w:t>
      </w:r>
    </w:p>
    <w:p w14:paraId="61FF015E" w14:textId="77777777" w:rsidR="00A70B58" w:rsidRPr="00405303" w:rsidRDefault="00A70B58" w:rsidP="00C15251">
      <w:pPr>
        <w:jc w:val="both"/>
        <w:rPr>
          <w:bCs/>
          <w:color w:val="002060"/>
          <w:sz w:val="16"/>
          <w:szCs w:val="16"/>
        </w:rPr>
      </w:pPr>
      <w:r w:rsidRPr="00405303">
        <w:rPr>
          <w:bCs/>
          <w:color w:val="002060"/>
          <w:sz w:val="16"/>
          <w:szCs w:val="16"/>
        </w:rPr>
        <w:t>В июне 1915 г. корабль был перебазирован в Люблин (Lublin, ныне – восток Польши), а затем в том же месяце – в Влодаву (Włodawa, также восток Польши).</w:t>
      </w:r>
    </w:p>
    <w:p w14:paraId="0EE45EE6" w14:textId="77777777" w:rsidR="00A70B58" w:rsidRPr="00405303" w:rsidRDefault="00A70B58" w:rsidP="00C15251">
      <w:pPr>
        <w:jc w:val="both"/>
        <w:rPr>
          <w:bCs/>
          <w:color w:val="002060"/>
          <w:sz w:val="16"/>
          <w:szCs w:val="16"/>
        </w:rPr>
      </w:pPr>
      <w:r w:rsidRPr="00405303">
        <w:rPr>
          <w:bCs/>
          <w:color w:val="002060"/>
          <w:sz w:val="16"/>
          <w:szCs w:val="16"/>
        </w:rPr>
        <w:t>14 июня 1915 г. корабль выполнил удачную бомбардировку станции Пржеворск (Przeworsk, ныне Подкарпатское воеводство на востоке Польши) в которой впервые была применена тяжелая бомба калибра 80 кг (5 пудов) вместе с другими. Для облегчения самолета были сняты внешние топливные баки. Удар получился чрезвычайно удачным – попадание одной бомбы калибра 16 кг в вагон с боеприпасами вызвало последовательную детонацию 30000 снарядов во всем стоящем на ее путях эшелоне. Результат был подтвержден аэрофотоснимком и данными агентурной разведки.</w:t>
      </w:r>
    </w:p>
    <w:p w14:paraId="6A1958AC" w14:textId="77777777" w:rsidR="00A70B58" w:rsidRPr="00405303" w:rsidRDefault="00A70B58" w:rsidP="00C15251">
      <w:pPr>
        <w:jc w:val="both"/>
        <w:rPr>
          <w:bCs/>
          <w:color w:val="002060"/>
          <w:sz w:val="16"/>
          <w:szCs w:val="16"/>
        </w:rPr>
      </w:pPr>
      <w:r w:rsidRPr="00405303">
        <w:rPr>
          <w:bCs/>
          <w:color w:val="002060"/>
          <w:sz w:val="16"/>
          <w:szCs w:val="16"/>
        </w:rPr>
        <w:t>5 июля 1915 г. (18.07.15 г. по н.ст.) корабль под управлением поручика И.С. Башко (помощник командира поручик М.В. Смирнов, артиллерийский офицер штабс-капитан А.А. Наумов, моторист вольноопределяющийся младший унтер-офицер А.М. Лавров) вылетел на разведку и бомбометание, имея на борту 10 бомб калибра 16 кг, 25 – калибра 11 кг, 12 зажигательных снарядов, один пулемет системы Мадсена обр. 1904 г. и карабин с общим боезапасом 260 патронов.</w:t>
      </w:r>
    </w:p>
    <w:p w14:paraId="696BA462" w14:textId="77777777" w:rsidR="00A70B58" w:rsidRPr="00405303" w:rsidRDefault="00A70B58" w:rsidP="00C15251">
      <w:pPr>
        <w:jc w:val="both"/>
        <w:rPr>
          <w:bCs/>
          <w:color w:val="002060"/>
          <w:sz w:val="16"/>
          <w:szCs w:val="16"/>
        </w:rPr>
      </w:pPr>
      <w:r w:rsidRPr="00405303">
        <w:rPr>
          <w:bCs/>
          <w:color w:val="002060"/>
          <w:sz w:val="16"/>
          <w:szCs w:val="16"/>
        </w:rPr>
        <w:t>Над г. Шербжешин (Польша) в 40 км от линии фронта на высоте 3200…3500 м снизу был атакован немецким самолетом. Огонь по противнику был открыт своевременно, но был не точен, а после 35 выстрелов пулемет заклинил.</w:t>
      </w:r>
    </w:p>
    <w:p w14:paraId="618E4500" w14:textId="77777777" w:rsidR="00A70B58" w:rsidRPr="00405303" w:rsidRDefault="00A70B58" w:rsidP="00C15251">
      <w:pPr>
        <w:jc w:val="both"/>
        <w:rPr>
          <w:bCs/>
          <w:color w:val="002060"/>
          <w:sz w:val="16"/>
          <w:szCs w:val="16"/>
        </w:rPr>
      </w:pPr>
      <w:r w:rsidRPr="00405303">
        <w:rPr>
          <w:bCs/>
          <w:color w:val="002060"/>
          <w:sz w:val="16"/>
          <w:szCs w:val="16"/>
        </w:rPr>
        <w:t xml:space="preserve">Противник в первой же атаке смог повредить два верхних топливных бака, бензопроводы левой группы моторов, бензиновый фильтр правой группы моторов, радиатор охлаждения мотора №2. Левая группа моторов была отключена. Одновременно были пробиты передние стекла кабины по правому борту и был ранен в ногу и в голову командир корабля Башко – после атаки его временно сменил Смирнов, после перевязки Башко вернулся к управлению самолетом, а Смирнов и Лавров руками пытались закрывать пробоину в топливном фильтре, через которую вытекал бензин. Вторая атака этого самолета противника была отбита </w:t>
      </w:r>
      <w:proofErr w:type="gramStart"/>
      <w:r w:rsidRPr="00405303">
        <w:rPr>
          <w:bCs/>
          <w:color w:val="002060"/>
          <w:sz w:val="16"/>
          <w:szCs w:val="16"/>
        </w:rPr>
        <w:t>ружейным огнем</w:t>
      </w:r>
      <w:proofErr w:type="gramEnd"/>
      <w:r w:rsidRPr="00405303">
        <w:rPr>
          <w:bCs/>
          <w:color w:val="002060"/>
          <w:sz w:val="16"/>
          <w:szCs w:val="16"/>
        </w:rPr>
        <w:t xml:space="preserve"> и он отошел. Корабль развернулся на маршрут возвращения.</w:t>
      </w:r>
    </w:p>
    <w:p w14:paraId="29FA0571" w14:textId="77777777" w:rsidR="00A70B58" w:rsidRPr="00405303" w:rsidRDefault="00A70B58" w:rsidP="00C15251">
      <w:pPr>
        <w:jc w:val="both"/>
        <w:rPr>
          <w:bCs/>
          <w:color w:val="002060"/>
          <w:sz w:val="16"/>
          <w:szCs w:val="16"/>
        </w:rPr>
      </w:pPr>
      <w:r w:rsidRPr="00405303">
        <w:rPr>
          <w:bCs/>
          <w:color w:val="002060"/>
          <w:sz w:val="16"/>
          <w:szCs w:val="16"/>
        </w:rPr>
        <w:lastRenderedPageBreak/>
        <w:t xml:space="preserve">Сразу за первым появился второй самолет противника, который своим огнем пробил маслобак мотора № 2, но его повторная атака </w:t>
      </w:r>
      <w:proofErr w:type="gramStart"/>
      <w:r w:rsidRPr="00405303">
        <w:rPr>
          <w:bCs/>
          <w:color w:val="002060"/>
          <w:sz w:val="16"/>
          <w:szCs w:val="16"/>
        </w:rPr>
        <w:t>была отбита</w:t>
      </w:r>
      <w:proofErr w:type="gramEnd"/>
      <w:r w:rsidRPr="00405303">
        <w:rPr>
          <w:bCs/>
          <w:color w:val="002060"/>
          <w:sz w:val="16"/>
          <w:szCs w:val="16"/>
        </w:rPr>
        <w:t xml:space="preserve"> и он также отвалил.</w:t>
      </w:r>
    </w:p>
    <w:p w14:paraId="77AF7DDD" w14:textId="77777777" w:rsidR="00A70B58" w:rsidRPr="00405303" w:rsidRDefault="00A70B58" w:rsidP="00C15251">
      <w:pPr>
        <w:jc w:val="both"/>
        <w:rPr>
          <w:bCs/>
          <w:color w:val="002060"/>
          <w:sz w:val="16"/>
          <w:szCs w:val="16"/>
        </w:rPr>
      </w:pPr>
      <w:r w:rsidRPr="00405303">
        <w:rPr>
          <w:bCs/>
          <w:color w:val="002060"/>
          <w:sz w:val="16"/>
          <w:szCs w:val="16"/>
        </w:rPr>
        <w:t>Над линией фронта в полете со снижением на высоте 1400…1500 м корабль был атакован третьим самолетом противника и обстрелян артиллерией с земли. На подлете к г. Холм (Chełm, ныне – Люблинское воеводство, восток Польши) на высоте около 700 м по причине вытекания бензина все моторы остановились. На планировании экипаж не только смог пересечь линию фронта, но и найти аэродром 24-го АО у дер. Городище, где произвел экстренную посадку. Но летное поле на заболоченном лугу оказалось не приспособленным для тяжелого самолета – шасси увязли в грунте и были сломаны в левой части основных опор, разрушились винт мотора № 2, несколько нервюр и 4 стойки бипланной коробки возле него, треснул задний лонжерон среднего отсека нижнего правого полукрыла. При осмотре нашли не выявленные ранее пулевые пробоины:</w:t>
      </w:r>
    </w:p>
    <w:p w14:paraId="227C81DF" w14:textId="77777777" w:rsidR="00A70B58" w:rsidRPr="00405303" w:rsidRDefault="00A70B58" w:rsidP="00C15251">
      <w:pPr>
        <w:jc w:val="both"/>
        <w:rPr>
          <w:bCs/>
          <w:color w:val="002060"/>
          <w:sz w:val="16"/>
          <w:szCs w:val="16"/>
        </w:rPr>
      </w:pPr>
      <w:r w:rsidRPr="00405303">
        <w:rPr>
          <w:bCs/>
          <w:color w:val="002060"/>
          <w:sz w:val="16"/>
          <w:szCs w:val="16"/>
        </w:rPr>
        <w:t>- 2 в винте, 1 в подкосе рамы мотора № 3;</w:t>
      </w:r>
    </w:p>
    <w:p w14:paraId="1D8F01C9" w14:textId="77777777" w:rsidR="00A70B58" w:rsidRPr="00405303" w:rsidRDefault="00A70B58" w:rsidP="00C15251">
      <w:pPr>
        <w:jc w:val="both"/>
        <w:rPr>
          <w:bCs/>
          <w:color w:val="002060"/>
          <w:sz w:val="16"/>
          <w:szCs w:val="16"/>
        </w:rPr>
      </w:pPr>
      <w:r w:rsidRPr="00405303">
        <w:rPr>
          <w:bCs/>
          <w:color w:val="002060"/>
          <w:sz w:val="16"/>
          <w:szCs w:val="16"/>
        </w:rPr>
        <w:t>- в грузовой раме и в магнето мотора № 2;</w:t>
      </w:r>
    </w:p>
    <w:p w14:paraId="12443139" w14:textId="77777777" w:rsidR="00A70B58" w:rsidRPr="00405303" w:rsidRDefault="00A70B58" w:rsidP="00C15251">
      <w:pPr>
        <w:jc w:val="both"/>
        <w:rPr>
          <w:bCs/>
          <w:color w:val="002060"/>
          <w:sz w:val="16"/>
          <w:szCs w:val="16"/>
        </w:rPr>
      </w:pPr>
      <w:r w:rsidRPr="00405303">
        <w:rPr>
          <w:bCs/>
          <w:color w:val="002060"/>
          <w:sz w:val="16"/>
          <w:szCs w:val="16"/>
        </w:rPr>
        <w:t>- в стойке бипланной коробки за мотором № 1;</w:t>
      </w:r>
    </w:p>
    <w:p w14:paraId="5D2109D5" w14:textId="77777777" w:rsidR="00A70B58" w:rsidRPr="00405303" w:rsidRDefault="00A70B58" w:rsidP="00C15251">
      <w:pPr>
        <w:jc w:val="both"/>
        <w:rPr>
          <w:bCs/>
          <w:color w:val="002060"/>
          <w:sz w:val="16"/>
          <w:szCs w:val="16"/>
        </w:rPr>
      </w:pPr>
      <w:r w:rsidRPr="00405303">
        <w:rPr>
          <w:bCs/>
          <w:color w:val="002060"/>
          <w:sz w:val="16"/>
          <w:szCs w:val="16"/>
        </w:rPr>
        <w:t>- несколько в обшивке;</w:t>
      </w:r>
    </w:p>
    <w:p w14:paraId="57831E13" w14:textId="77777777" w:rsidR="00A70B58" w:rsidRPr="00405303" w:rsidRDefault="00A70B58" w:rsidP="00C15251">
      <w:pPr>
        <w:jc w:val="both"/>
        <w:rPr>
          <w:bCs/>
          <w:color w:val="002060"/>
          <w:sz w:val="16"/>
          <w:szCs w:val="16"/>
        </w:rPr>
      </w:pPr>
      <w:r w:rsidRPr="00405303">
        <w:rPr>
          <w:bCs/>
          <w:color w:val="002060"/>
          <w:sz w:val="16"/>
          <w:szCs w:val="16"/>
        </w:rPr>
        <w:t>- 1 покрышке колеса шасси.</w:t>
      </w:r>
    </w:p>
    <w:p w14:paraId="5C2595BE" w14:textId="77777777" w:rsidR="00A70B58" w:rsidRPr="00405303" w:rsidRDefault="00A70B58" w:rsidP="00C15251">
      <w:pPr>
        <w:jc w:val="both"/>
        <w:rPr>
          <w:bCs/>
          <w:color w:val="002060"/>
          <w:sz w:val="16"/>
          <w:szCs w:val="16"/>
        </w:rPr>
      </w:pPr>
      <w:r w:rsidRPr="00405303">
        <w:rPr>
          <w:bCs/>
          <w:color w:val="002060"/>
          <w:sz w:val="16"/>
          <w:szCs w:val="16"/>
        </w:rPr>
        <w:t>В этом бою безвозвратных потерь в экипаже нет, Башко, продолживший управление кораблем после ранения, награжден орденом Св. Георгия IV ст.</w:t>
      </w:r>
    </w:p>
    <w:p w14:paraId="28EE87DF" w14:textId="77777777" w:rsidR="00A70B58" w:rsidRPr="00405303" w:rsidRDefault="00A70B58" w:rsidP="00C15251">
      <w:pPr>
        <w:jc w:val="both"/>
        <w:rPr>
          <w:bCs/>
          <w:color w:val="002060"/>
          <w:sz w:val="16"/>
          <w:szCs w:val="16"/>
        </w:rPr>
      </w:pPr>
      <w:r w:rsidRPr="00405303">
        <w:rPr>
          <w:bCs/>
          <w:color w:val="002060"/>
          <w:sz w:val="16"/>
          <w:szCs w:val="16"/>
        </w:rPr>
        <w:t>Корабль был более боевых вылетов не совершал и видимо был после этого полета был отправлен на РБВЗ для возможного ремонта. Но восстановить его не удалось и аэроплан был списан.</w:t>
      </w:r>
    </w:p>
    <w:p w14:paraId="61DF346D" w14:textId="77777777" w:rsidR="00A70B58" w:rsidRPr="00405303" w:rsidRDefault="00A70B58" w:rsidP="00C15251">
      <w:pPr>
        <w:jc w:val="both"/>
        <w:rPr>
          <w:bCs/>
          <w:color w:val="002060"/>
          <w:sz w:val="16"/>
          <w:szCs w:val="16"/>
        </w:rPr>
      </w:pPr>
      <w:r w:rsidRPr="00405303">
        <w:rPr>
          <w:bCs/>
          <w:color w:val="002060"/>
          <w:sz w:val="16"/>
          <w:szCs w:val="16"/>
        </w:rPr>
        <w:t>Корабль совершил 27 боевых вылетов и сбросил до 5760 кг (360 пудов) бомб (23563).</w:t>
      </w:r>
    </w:p>
    <w:p w14:paraId="4AEB1F33" w14:textId="77777777" w:rsidR="00A70B58" w:rsidRPr="00405303" w:rsidRDefault="00A70B58" w:rsidP="00C15251">
      <w:pPr>
        <w:jc w:val="both"/>
        <w:rPr>
          <w:bCs/>
          <w:color w:val="002060"/>
          <w:sz w:val="16"/>
          <w:szCs w:val="16"/>
          <w:lang w:bidi="ru-RU"/>
        </w:rPr>
      </w:pPr>
    </w:p>
    <w:p w14:paraId="3918CD0E" w14:textId="0A883754" w:rsidR="00A70B58" w:rsidRPr="00405303" w:rsidRDefault="00A70B58" w:rsidP="00C15251">
      <w:pPr>
        <w:jc w:val="both"/>
        <w:rPr>
          <w:bCs/>
          <w:color w:val="002060"/>
          <w:sz w:val="16"/>
          <w:szCs w:val="16"/>
        </w:rPr>
      </w:pPr>
      <w:r w:rsidRPr="00405303">
        <w:rPr>
          <w:bCs/>
          <w:color w:val="002060"/>
          <w:sz w:val="16"/>
          <w:szCs w:val="16"/>
        </w:rPr>
        <w:t>25 февраля (10 марта) 1915 г. был сделан третий боевой вылет ИМ, теперь уже через Вилленберг до Найденбурга. Против</w:t>
      </w:r>
      <w:r w:rsidRPr="00405303">
        <w:rPr>
          <w:bCs/>
          <w:color w:val="002060"/>
          <w:sz w:val="16"/>
          <w:szCs w:val="16"/>
        </w:rPr>
        <w:softHyphen/>
        <w:t>ник опять не стрелял по кораблю. Правда, снова, в тре</w:t>
      </w:r>
      <w:r w:rsidRPr="00405303">
        <w:rPr>
          <w:bCs/>
          <w:color w:val="002060"/>
          <w:sz w:val="16"/>
          <w:szCs w:val="16"/>
        </w:rPr>
        <w:softHyphen/>
        <w:t>тий раз, несмотря на предупреждения, палили свои из Новогеоргиевской крепости. Там никак не могли взять в толк, что такие воздушные корабли могут быть российскими машинами (24177).</w:t>
      </w:r>
    </w:p>
    <w:p w14:paraId="077F70A6" w14:textId="77777777" w:rsidR="00A70B58" w:rsidRPr="00405303" w:rsidRDefault="00A70B58" w:rsidP="00C15251">
      <w:pPr>
        <w:jc w:val="both"/>
        <w:rPr>
          <w:bCs/>
          <w:color w:val="002060"/>
          <w:sz w:val="16"/>
          <w:szCs w:val="16"/>
          <w:lang w:bidi="ru-RU"/>
        </w:rPr>
      </w:pPr>
    </w:p>
    <w:p w14:paraId="0F744D74" w14:textId="77777777" w:rsidR="00B442E5" w:rsidRPr="00405303" w:rsidRDefault="00B442E5" w:rsidP="00B442E5">
      <w:pPr>
        <w:jc w:val="both"/>
        <w:rPr>
          <w:color w:val="0070C0"/>
          <w:sz w:val="16"/>
          <w:szCs w:val="16"/>
        </w:rPr>
      </w:pPr>
      <w:r w:rsidRPr="00405303">
        <w:rPr>
          <w:color w:val="0070C0"/>
          <w:sz w:val="16"/>
          <w:szCs w:val="16"/>
        </w:rPr>
        <w:t>25 февраля (10 марта) 1916 г. французский летчик Пуаре и наблюдатель поручик Шебалин из 2-го армейского авиаотряда, летевшие на трофейном немецком самолете на разведку района Лович-Неборов-Болилов, атаковали противника над нашими позициями. «По немцу произвели пять выстрелов из карабина с дистанции 40-50 м, после третьего выстрела самолет противника пошел с поворотом вниз и опустился под Керневицами» (25147).</w:t>
      </w:r>
    </w:p>
    <w:p w14:paraId="7BCC24B8" w14:textId="77777777" w:rsidR="00B442E5" w:rsidRPr="00405303" w:rsidRDefault="00B442E5" w:rsidP="00B442E5">
      <w:pPr>
        <w:jc w:val="both"/>
        <w:rPr>
          <w:color w:val="0070C0"/>
          <w:sz w:val="16"/>
          <w:szCs w:val="16"/>
        </w:rPr>
      </w:pPr>
    </w:p>
    <w:p w14:paraId="61A98EEB" w14:textId="77777777" w:rsidR="00B442E5" w:rsidRPr="00405303" w:rsidRDefault="00B442E5" w:rsidP="00B442E5">
      <w:pPr>
        <w:jc w:val="both"/>
        <w:rPr>
          <w:color w:val="0070C0"/>
          <w:sz w:val="16"/>
          <w:szCs w:val="16"/>
        </w:rPr>
      </w:pPr>
      <w:r w:rsidRPr="00405303">
        <w:rPr>
          <w:color w:val="0070C0"/>
          <w:sz w:val="16"/>
          <w:szCs w:val="16"/>
        </w:rPr>
        <w:t>25 февраля (10 марта) 1916 г. летчик-доброволец француз Пуаре с наблюдателем поручиком Шебалиным вылетели на трофейном «Эйлере» на разведку района Лович-Неборов-Болилов.</w:t>
      </w:r>
    </w:p>
    <w:p w14:paraId="40DCB2C0" w14:textId="77777777" w:rsidR="00B442E5" w:rsidRPr="00405303" w:rsidRDefault="00B442E5" w:rsidP="00B442E5">
      <w:pPr>
        <w:jc w:val="both"/>
        <w:rPr>
          <w:color w:val="0070C0"/>
          <w:sz w:val="16"/>
          <w:szCs w:val="16"/>
        </w:rPr>
      </w:pPr>
      <w:r w:rsidRPr="00405303">
        <w:rPr>
          <w:color w:val="0070C0"/>
          <w:sz w:val="16"/>
          <w:szCs w:val="16"/>
        </w:rPr>
        <w:t>Над своими позициями между Камионом и Сулишевым они атаковали немецкий аппарат. С дистанции 40-50 м по нему было произведено 5 выстрелов из карабина. Согласно донесению летчиков 2-го армейского авиаотряда, «после третьего выстрела самолет противника пошел с поворотом книзу и опустился под Скверневицами». 15-го июля во время разведки к востоку от Золотой Липы летчики 2-го Сибирского КАО поручик Покровский и корнет Плонский заметили неприятельский аэроплан. Из оружия у них были только пистолеты «Маузер».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7-й… авиароты.» Оба русских героя были награждены орденами Св.Георгия 4-й степени. Кстати, «Авиатик», как и большийство других самолетов того времени, был весьма слабой машиной (25151).</w:t>
      </w:r>
    </w:p>
    <w:p w14:paraId="6DC2405F" w14:textId="77777777" w:rsidR="00B442E5" w:rsidRPr="00405303" w:rsidRDefault="00B442E5" w:rsidP="00B442E5">
      <w:pPr>
        <w:jc w:val="both"/>
        <w:rPr>
          <w:color w:val="0070C0"/>
          <w:sz w:val="16"/>
          <w:szCs w:val="16"/>
        </w:rPr>
      </w:pPr>
    </w:p>
    <w:p w14:paraId="3A319DC7" w14:textId="5077800B" w:rsidR="005A7EAF" w:rsidRPr="00405303" w:rsidRDefault="005A7EAF" w:rsidP="00C15251">
      <w:pPr>
        <w:jc w:val="both"/>
        <w:rPr>
          <w:bCs/>
          <w:color w:val="002060"/>
          <w:sz w:val="16"/>
          <w:szCs w:val="16"/>
        </w:rPr>
      </w:pPr>
      <w:r w:rsidRPr="00405303">
        <w:rPr>
          <w:bCs/>
          <w:color w:val="002060"/>
          <w:sz w:val="16"/>
          <w:szCs w:val="16"/>
        </w:rPr>
        <w:t>25 февраля (10 марта) 1915 летчик°доброволец француз Пуаре с наблюдателем поручиком Шебалиным вылетели на трофейном "Эйлере" на разведку района Лович-Неборов-Болилов. Над своими позициями между Камионом и Сулишевым они атаковали немецкий аппарат. С дистанции 40-50 м по нему было произведено 5 выстрелов из карабина. Согласно донесению летчиков 2-го армейского авиаотряда, "после третьего выстрела самолет противника пошел с поворотом книзу и опустился под Скверневицами". 15-го июля во время разведки к востоку от Золотой Липы летчики 2-го Сибирского КАО поручик Покровский и корнет Плонский заметили неприятельский аэроплан. Из оружия у них были только пистолеты 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7-й... авиароты.&gt; Оба русских героя были награждены орденами Св. Георгия 4-й степени. Кстати, &lt;Авиатик&gt;, как и большийство других самолетов того времени, был весьма слабой машиной. Об этом свидетельствует следующий факт: 27 ноября австрийские летчики Дример и Хубнер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Недостаток вооружения во многом компенсировался храбростью русских авиаторов. 18-го марта одержал свою первую победу летчик 4-го КАО поручик А. А. 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В 1915 г. на русских аэропланах появились пулеметы. Для их применения наиболее пригодным оказался биплан Вуазен, на который часто устанавливался пулемет Кольт. Такой самолет становился грозным оружием, 24-го июня летчик прапорщик Иванов и наблюдатель поручик Алексеев из 26-го КАО атаковали в районе Тарнополя австрийский Альбатрос (бортовой номер 21-01) из 1-й авиароты,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Тлусте,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1C7EA673" w14:textId="77777777" w:rsidR="005A7EAF" w:rsidRPr="00405303" w:rsidRDefault="005A7EAF" w:rsidP="00C15251">
      <w:pPr>
        <w:jc w:val="both"/>
        <w:rPr>
          <w:bCs/>
          <w:color w:val="002060"/>
          <w:sz w:val="16"/>
          <w:szCs w:val="16"/>
        </w:rPr>
      </w:pPr>
    </w:p>
    <w:p w14:paraId="41C4445F" w14:textId="13781199" w:rsidR="005A7EAF" w:rsidRPr="00405303" w:rsidRDefault="005A7EAF"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25 февраля (10 марта) 1915 летчик°доброволец француз Пуаре с наблюдателем поручиком Шебалиным вылетели на трофейном "Эйлере" на разведку района Лович-Неборов-Болилов. Над своими позициями между Камионом и Сулишевым они атаковали немецкий аппарат. С дистанции 40-50 м по нему было произведено 5 выстрелов из карабина. Согласно донесению летчиков 2-го армейского авиаотряда, "после третьего выстрела самолет противника пошел с поворотом книзу и опустился под Скверневицами". 15-го июля во время разведки к востоку or Золотой Липы летчики 2-го Сибирского КАО поручик Покровский и корнет Плонский заметили неприятельский аэроплан. Из оружия у них были только пистолеты 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w:t>
      </w:r>
      <w:r w:rsidRPr="00405303">
        <w:rPr>
          <w:bCs/>
          <w:i w:val="0"/>
          <w:color w:val="002060"/>
          <w:spacing w:val="0"/>
          <w:kern w:val="0"/>
          <w:position w:val="0"/>
          <w:sz w:val="16"/>
          <w:szCs w:val="16"/>
        </w:rPr>
        <w:lastRenderedPageBreak/>
        <w:t>двумя летчиками из 7-й... авиароты.&gt; Оба русских героя были награждены орденами Св.Георгия 4-й степени. Кстати, &lt;Авиатик&gt;, как и большийство других самолетов того времени, был весьма слабой машиной. Об этом свидетельствует следующий факт: 27 ноября австрийские летчики Дример и Хубнер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(11278).</w:t>
      </w:r>
    </w:p>
    <w:p w14:paraId="3EC1ED86" w14:textId="77777777" w:rsidR="005A7EAF" w:rsidRPr="00405303" w:rsidRDefault="005A7EAF" w:rsidP="00C15251">
      <w:pPr>
        <w:jc w:val="both"/>
        <w:rPr>
          <w:bCs/>
          <w:i/>
          <w:iCs/>
          <w:color w:val="002060"/>
          <w:sz w:val="16"/>
          <w:szCs w:val="16"/>
        </w:rPr>
      </w:pPr>
    </w:p>
    <w:p w14:paraId="2F4CE54C" w14:textId="5A668330" w:rsidR="004B4E35" w:rsidRPr="00405303" w:rsidRDefault="005A7EAF" w:rsidP="00C15251">
      <w:pPr>
        <w:pStyle w:val="a3"/>
        <w:jc w:val="both"/>
        <w:rPr>
          <w:bCs/>
          <w:iCs/>
          <w:color w:val="002060"/>
          <w:spacing w:val="0"/>
          <w:kern w:val="0"/>
          <w:position w:val="0"/>
          <w:sz w:val="16"/>
          <w:szCs w:val="16"/>
        </w:rPr>
      </w:pPr>
      <w:r w:rsidRPr="00405303">
        <w:rPr>
          <w:bCs/>
          <w:iCs/>
          <w:color w:val="002060"/>
          <w:spacing w:val="0"/>
          <w:kern w:val="0"/>
          <w:position w:val="0"/>
          <w:sz w:val="16"/>
          <w:szCs w:val="16"/>
        </w:rPr>
        <w:t>Авиация и воздухоплавание Германии</w:t>
      </w:r>
      <w:r w:rsidR="002F68F4" w:rsidRPr="00405303">
        <w:rPr>
          <w:bCs/>
          <w:iCs/>
          <w:color w:val="002060"/>
          <w:spacing w:val="0"/>
          <w:kern w:val="0"/>
          <w:position w:val="0"/>
          <w:sz w:val="16"/>
          <w:szCs w:val="16"/>
        </w:rPr>
        <w:t>:</w:t>
      </w:r>
    </w:p>
    <w:p w14:paraId="29C3B1CA" w14:textId="77777777" w:rsidR="002F68F4" w:rsidRPr="00405303" w:rsidRDefault="002F68F4" w:rsidP="00C15251">
      <w:pPr>
        <w:pStyle w:val="a3"/>
        <w:jc w:val="both"/>
        <w:rPr>
          <w:bCs/>
          <w:iCs/>
          <w:color w:val="002060"/>
          <w:spacing w:val="0"/>
          <w:kern w:val="0"/>
          <w:position w:val="0"/>
          <w:sz w:val="16"/>
          <w:szCs w:val="16"/>
        </w:rPr>
      </w:pPr>
    </w:p>
    <w:p w14:paraId="340559D8" w14:textId="77777777" w:rsidR="004B4E35" w:rsidRPr="00405303" w:rsidRDefault="009E6F82" w:rsidP="00C15251">
      <w:pPr>
        <w:jc w:val="both"/>
        <w:rPr>
          <w:bCs/>
          <w:color w:val="002060"/>
          <w:sz w:val="16"/>
          <w:szCs w:val="16"/>
        </w:rPr>
      </w:pPr>
      <w:r w:rsidRPr="00405303">
        <w:rPr>
          <w:bCs/>
          <w:color w:val="002060"/>
          <w:sz w:val="16"/>
          <w:szCs w:val="16"/>
        </w:rPr>
        <w:t>25-26 февраля (10-11 марта) 1915 и 15-16 апреля 1915 года LZ-34 (базировался в Лигнице) и Z-XI (Позен) предприняли ряд атак на Варшаву, но ни одна из них не была доведена до логического конца из-за плохих метеоусловий над городом. Затем они бомбили Гродно, Ковно и другие крепости. LZ-34 был сбит русской армией в мае над Ковно (11324).</w:t>
      </w:r>
    </w:p>
    <w:p w14:paraId="4C548703" w14:textId="54794D26" w:rsidR="004B4E35" w:rsidRPr="00405303" w:rsidRDefault="004B4E35" w:rsidP="00C15251">
      <w:pPr>
        <w:pStyle w:val="a3"/>
        <w:jc w:val="both"/>
        <w:rPr>
          <w:bCs/>
          <w:color w:val="002060"/>
          <w:spacing w:val="0"/>
          <w:kern w:val="0"/>
          <w:position w:val="0"/>
          <w:sz w:val="16"/>
          <w:szCs w:val="16"/>
        </w:rPr>
      </w:pPr>
    </w:p>
    <w:p w14:paraId="1D927E7F" w14:textId="77777777" w:rsidR="00612B0B" w:rsidRPr="00405303" w:rsidRDefault="00612B0B" w:rsidP="00C15251">
      <w:pPr>
        <w:jc w:val="both"/>
        <w:rPr>
          <w:bCs/>
          <w:color w:val="002060"/>
          <w:sz w:val="16"/>
          <w:szCs w:val="16"/>
          <w:lang w:bidi="en-US"/>
        </w:rPr>
      </w:pPr>
      <w:r w:rsidRPr="00405303">
        <w:rPr>
          <w:bCs/>
          <w:color w:val="002060"/>
          <w:sz w:val="16"/>
          <w:szCs w:val="16"/>
          <w:lang w:bidi="en-US"/>
        </w:rPr>
        <w:t xml:space="preserve">25/26 фквраля (10/11 марта) 1915 г. дирижабль немецкой армии </w:t>
      </w:r>
      <w:r w:rsidRPr="00405303">
        <w:rPr>
          <w:bCs/>
          <w:color w:val="002060"/>
          <w:sz w:val="16"/>
          <w:szCs w:val="16"/>
          <w:lang w:val="en-US" w:bidi="en-US"/>
        </w:rPr>
        <w:t>Z</w:t>
      </w:r>
      <w:r w:rsidRPr="00405303">
        <w:rPr>
          <w:bCs/>
          <w:color w:val="002060"/>
          <w:sz w:val="16"/>
          <w:szCs w:val="16"/>
          <w:lang w:bidi="en-US"/>
        </w:rPr>
        <w:t>.</w:t>
      </w:r>
      <w:r w:rsidRPr="00405303">
        <w:rPr>
          <w:bCs/>
          <w:color w:val="002060"/>
          <w:sz w:val="16"/>
          <w:szCs w:val="16"/>
          <w:lang w:val="en-US" w:bidi="en-US"/>
        </w:rPr>
        <w:t>XI</w:t>
      </w:r>
      <w:r w:rsidRPr="00405303">
        <w:rPr>
          <w:bCs/>
          <w:color w:val="002060"/>
          <w:sz w:val="16"/>
          <w:szCs w:val="16"/>
          <w:lang w:bidi="en-US"/>
        </w:rPr>
        <w:t xml:space="preserve"> (</w:t>
      </w:r>
      <w:r w:rsidRPr="00405303">
        <w:rPr>
          <w:bCs/>
          <w:color w:val="002060"/>
          <w:sz w:val="16"/>
          <w:szCs w:val="16"/>
          <w:lang w:val="en-US" w:bidi="en-US"/>
        </w:rPr>
        <w:t>LZ</w:t>
      </w:r>
      <w:r w:rsidRPr="00405303">
        <w:rPr>
          <w:bCs/>
          <w:color w:val="002060"/>
          <w:sz w:val="16"/>
          <w:szCs w:val="16"/>
          <w:lang w:bidi="en-US"/>
        </w:rPr>
        <w:t xml:space="preserve">.30), базировавшийся в </w:t>
      </w:r>
      <w:proofErr w:type="gramStart"/>
      <w:r w:rsidRPr="00405303">
        <w:rPr>
          <w:bCs/>
          <w:color w:val="002060"/>
          <w:sz w:val="16"/>
          <w:szCs w:val="16"/>
          <w:lang w:bidi="en-US"/>
        </w:rPr>
        <w:t xml:space="preserve">Познани </w:t>
      </w:r>
      <w:r w:rsidRPr="00405303">
        <w:rPr>
          <w:bCs/>
          <w:color w:val="002060"/>
          <w:sz w:val="16"/>
          <w:szCs w:val="16"/>
          <w:lang w:bidi="ru-RU"/>
        </w:rPr>
        <w:t>,</w:t>
      </w:r>
      <w:proofErr w:type="gramEnd"/>
      <w:r w:rsidRPr="00405303">
        <w:rPr>
          <w:bCs/>
          <w:color w:val="002060"/>
          <w:sz w:val="16"/>
          <w:szCs w:val="16"/>
          <w:lang w:bidi="ru-RU"/>
        </w:rPr>
        <w:t xml:space="preserve"> </w:t>
      </w:r>
      <w:r w:rsidRPr="00405303">
        <w:rPr>
          <w:bCs/>
          <w:color w:val="002060"/>
          <w:sz w:val="16"/>
          <w:szCs w:val="16"/>
          <w:lang w:bidi="en-US"/>
        </w:rPr>
        <w:t>нанес бомбовый удар по Варшаве. 20-го числа его унесло ветром из сарая, и он был сильно поврежден. Позже он был сожжен и разобран (23525).</w:t>
      </w:r>
    </w:p>
    <w:p w14:paraId="180B916D" w14:textId="77777777" w:rsidR="00612B0B" w:rsidRPr="00405303" w:rsidRDefault="00612B0B" w:rsidP="00C15251">
      <w:pPr>
        <w:jc w:val="both"/>
        <w:rPr>
          <w:bCs/>
          <w:color w:val="002060"/>
          <w:sz w:val="16"/>
          <w:szCs w:val="16"/>
        </w:rPr>
      </w:pPr>
    </w:p>
    <w:p w14:paraId="4ECED0DB" w14:textId="4DEA2174" w:rsidR="00612B0B" w:rsidRPr="00405303" w:rsidRDefault="00612B0B" w:rsidP="00C15251">
      <w:pPr>
        <w:jc w:val="both"/>
        <w:rPr>
          <w:bCs/>
          <w:color w:val="002060"/>
          <w:sz w:val="16"/>
          <w:szCs w:val="16"/>
          <w:lang w:bidi="en-US"/>
        </w:rPr>
      </w:pPr>
      <w:r w:rsidRPr="00405303">
        <w:rPr>
          <w:bCs/>
          <w:color w:val="002060"/>
          <w:sz w:val="16"/>
          <w:szCs w:val="16"/>
          <w:lang w:bidi="en-US"/>
        </w:rPr>
        <w:t xml:space="preserve">25 февраля (10 марта) 1915 г. немецкая </w:t>
      </w:r>
      <w:r w:rsidRPr="00405303">
        <w:rPr>
          <w:bCs/>
          <w:color w:val="002060"/>
          <w:sz w:val="16"/>
          <w:szCs w:val="16"/>
          <w:lang w:val="en-US" w:bidi="en-US"/>
        </w:rPr>
        <w:t>Brieftaubenabteilung</w:t>
      </w:r>
      <w:r w:rsidRPr="00405303">
        <w:rPr>
          <w:bCs/>
          <w:color w:val="002060"/>
          <w:sz w:val="16"/>
          <w:szCs w:val="16"/>
          <w:lang w:bidi="en-US"/>
        </w:rPr>
        <w:t xml:space="preserve"> </w:t>
      </w:r>
      <w:r w:rsidRPr="00405303">
        <w:rPr>
          <w:bCs/>
          <w:color w:val="002060"/>
          <w:sz w:val="16"/>
          <w:szCs w:val="16"/>
          <w:lang w:val="en-US" w:bidi="en-US"/>
        </w:rPr>
        <w:t>Ostende</w:t>
      </w:r>
      <w:r w:rsidRPr="00405303">
        <w:rPr>
          <w:bCs/>
          <w:color w:val="002060"/>
          <w:sz w:val="16"/>
          <w:szCs w:val="16"/>
          <w:lang w:bidi="en-US"/>
        </w:rPr>
        <w:t xml:space="preserve"> (</w:t>
      </w:r>
      <w:r w:rsidRPr="00405303">
        <w:rPr>
          <w:bCs/>
          <w:color w:val="002060"/>
          <w:sz w:val="16"/>
          <w:szCs w:val="16"/>
          <w:lang w:val="en-US" w:bidi="en-US"/>
        </w:rPr>
        <w:t>BAO</w:t>
      </w:r>
      <w:r w:rsidRPr="00405303">
        <w:rPr>
          <w:bCs/>
          <w:color w:val="002060"/>
          <w:sz w:val="16"/>
          <w:szCs w:val="16"/>
          <w:lang w:bidi="en-US"/>
        </w:rPr>
        <w:t xml:space="preserve">), бомбардировочная часть с </w:t>
      </w:r>
      <w:r w:rsidRPr="00405303">
        <w:rPr>
          <w:bCs/>
          <w:color w:val="002060"/>
          <w:sz w:val="16"/>
          <w:szCs w:val="16"/>
          <w:lang w:val="en-US" w:bidi="en-US"/>
        </w:rPr>
        <w:t>Aviatik</w:t>
      </w:r>
      <w:r w:rsidRPr="00405303">
        <w:rPr>
          <w:bCs/>
          <w:color w:val="002060"/>
          <w:sz w:val="16"/>
          <w:szCs w:val="16"/>
          <w:lang w:bidi="en-US"/>
        </w:rPr>
        <w:t xml:space="preserve"> </w:t>
      </w:r>
      <w:r w:rsidRPr="00405303">
        <w:rPr>
          <w:bCs/>
          <w:color w:val="002060"/>
          <w:sz w:val="16"/>
          <w:szCs w:val="16"/>
          <w:lang w:bidi="ru-RU"/>
        </w:rPr>
        <w:t xml:space="preserve">В. </w:t>
      </w:r>
      <w:r w:rsidRPr="00405303">
        <w:rPr>
          <w:bCs/>
          <w:color w:val="002060"/>
          <w:sz w:val="16"/>
          <w:szCs w:val="16"/>
          <w:lang w:bidi="en-US"/>
        </w:rPr>
        <w:t xml:space="preserve">и ЛВГ </w:t>
      </w:r>
      <w:r w:rsidRPr="00405303">
        <w:rPr>
          <w:bCs/>
          <w:color w:val="002060"/>
          <w:sz w:val="16"/>
          <w:szCs w:val="16"/>
          <w:lang w:bidi="ru-RU"/>
        </w:rPr>
        <w:t xml:space="preserve">В </w:t>
      </w:r>
      <w:r w:rsidRPr="00405303">
        <w:rPr>
          <w:bCs/>
          <w:color w:val="002060"/>
          <w:sz w:val="16"/>
          <w:szCs w:val="16"/>
          <w:lang w:bidi="en-US"/>
        </w:rPr>
        <w:t xml:space="preserve">тип самолета, прибыл в Дойтен в Восточной Пруссии для службы в 8-й армии. В середине-конце апреля часть была переброшена в Галисию для работы с недавно сформированной </w:t>
      </w:r>
      <w:r w:rsidRPr="00405303">
        <w:rPr>
          <w:bCs/>
          <w:color w:val="002060"/>
          <w:sz w:val="16"/>
          <w:szCs w:val="16"/>
          <w:lang w:val="en-US" w:bidi="en-US"/>
        </w:rPr>
        <w:t>ll</w:t>
      </w:r>
      <w:r w:rsidRPr="00405303">
        <w:rPr>
          <w:bCs/>
          <w:color w:val="002060"/>
          <w:sz w:val="16"/>
          <w:szCs w:val="16"/>
          <w:lang w:bidi="en-US"/>
        </w:rPr>
        <w:t>.</w:t>
      </w:r>
      <w:r w:rsidRPr="00405303">
        <w:rPr>
          <w:bCs/>
          <w:color w:val="002060"/>
          <w:sz w:val="16"/>
          <w:szCs w:val="16"/>
          <w:lang w:val="en-US" w:bidi="en-US"/>
        </w:rPr>
        <w:t>Armee</w:t>
      </w:r>
      <w:r w:rsidRPr="00405303">
        <w:rPr>
          <w:bCs/>
          <w:color w:val="002060"/>
          <w:sz w:val="16"/>
          <w:szCs w:val="16"/>
          <w:lang w:bidi="en-US"/>
        </w:rPr>
        <w:t xml:space="preserve"> фон Макензена, а затем готовилась к удару у Горлице-Тарнов в мае. В мае и начале июня элементы БАО сформировали две новые части, </w:t>
      </w:r>
      <w:r w:rsidRPr="00405303">
        <w:rPr>
          <w:bCs/>
          <w:color w:val="002060"/>
          <w:sz w:val="16"/>
          <w:szCs w:val="16"/>
          <w:lang w:val="en-US" w:bidi="en-US"/>
        </w:rPr>
        <w:t>FFA</w:t>
      </w:r>
      <w:r w:rsidRPr="00405303">
        <w:rPr>
          <w:bCs/>
          <w:color w:val="002060"/>
          <w:sz w:val="16"/>
          <w:szCs w:val="16"/>
          <w:lang w:bidi="en-US"/>
        </w:rPr>
        <w:t xml:space="preserve"> 66 и 69 в Рава-Руске. 23 июня остальная часть БАО была переведена в Берлин (23525).</w:t>
      </w:r>
    </w:p>
    <w:p w14:paraId="6F2F4B81" w14:textId="77777777" w:rsidR="00612B0B" w:rsidRPr="00405303" w:rsidRDefault="00612B0B" w:rsidP="00C15251">
      <w:pPr>
        <w:jc w:val="both"/>
        <w:rPr>
          <w:bCs/>
          <w:color w:val="002060"/>
          <w:sz w:val="16"/>
          <w:szCs w:val="16"/>
        </w:rPr>
      </w:pPr>
    </w:p>
    <w:p w14:paraId="4C9183F8" w14:textId="6B80E6D4" w:rsidR="005A7EAF" w:rsidRPr="00405303" w:rsidRDefault="005A7EAF"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32A4CA69" w14:textId="77777777" w:rsidR="005A7EAF" w:rsidRPr="00405303" w:rsidRDefault="005A7EAF" w:rsidP="00C15251">
      <w:pPr>
        <w:pStyle w:val="a3"/>
        <w:jc w:val="both"/>
        <w:rPr>
          <w:bCs/>
          <w:color w:val="002060"/>
          <w:spacing w:val="0"/>
          <w:kern w:val="0"/>
          <w:position w:val="0"/>
          <w:sz w:val="16"/>
          <w:szCs w:val="16"/>
        </w:rPr>
      </w:pPr>
    </w:p>
    <w:p w14:paraId="1A02ADF4" w14:textId="77777777" w:rsidR="005A7EAF" w:rsidRPr="00405303" w:rsidRDefault="005A7EAF" w:rsidP="00C15251">
      <w:pPr>
        <w:shd w:val="clear" w:color="auto" w:fill="FFFFFF"/>
        <w:jc w:val="both"/>
        <w:rPr>
          <w:bCs/>
          <w:color w:val="002060"/>
          <w:sz w:val="16"/>
          <w:szCs w:val="16"/>
          <w:shd w:val="clear" w:color="auto" w:fill="FFFFFF"/>
        </w:rPr>
      </w:pPr>
      <w:r w:rsidRPr="00405303">
        <w:rPr>
          <w:bCs/>
          <w:color w:val="002060"/>
          <w:sz w:val="16"/>
          <w:szCs w:val="16"/>
          <w:shd w:val="clear" w:color="auto" w:fill="FFFFFF"/>
        </w:rPr>
        <w:t>26 февраля (11 марта) 1915 г. Пороховщиков, получив субсидию в 6 тыс. руб. от Великого князя для работы по созданию двигателя для бронеавтомобиля. Благодаря целевому финансированию и отсутствию посредников он смог уже за три месяца выполнить половину заказов. Столь же оперативно Мыслиным был построен завод по производству шестеренок-зубчаток (детали для аэропланов и автомобилей). Организация делопроизводства в канцелярии была упрошенной, и количество документов сведено к минимуму. Инженеры или предприниматели, бравшиеся за исполнение каких-либо работ, уже самостоятельно договаривались с организациями-смежниками и обращались за помощью в канцелярию штаба лишь для получения выездных документов. Это подтверждают отчеты, справки и переписка этих лиц с Полевым управлением авиации и воздухоплавания, сосредоточенные в РГВИА (ф. 2008) (19949).</w:t>
      </w:r>
    </w:p>
    <w:p w14:paraId="73D82595" w14:textId="03C1273E" w:rsidR="005A7EAF" w:rsidRPr="00405303" w:rsidRDefault="005A7EAF" w:rsidP="00C15251">
      <w:pPr>
        <w:shd w:val="clear" w:color="auto" w:fill="FFFFFF"/>
        <w:jc w:val="both"/>
        <w:rPr>
          <w:bCs/>
          <w:color w:val="002060"/>
          <w:sz w:val="16"/>
          <w:szCs w:val="16"/>
          <w:shd w:val="clear" w:color="auto" w:fill="FFFFFF"/>
        </w:rPr>
      </w:pPr>
      <w:r w:rsidRPr="00405303">
        <w:rPr>
          <w:bCs/>
          <w:color w:val="002060"/>
          <w:sz w:val="16"/>
          <w:szCs w:val="16"/>
          <w:shd w:val="clear" w:color="auto" w:fill="FFFFFF"/>
        </w:rPr>
        <w:t>Решению многих проблем помогало и то, что великий князь имел право прямого сношения с военным и военно-морским агентом во Франции, что позволяло оперативно отслеживать наиболее важные изобретения в области самолетостроения. В частности, канцелярия имела постоянную переписку и с военным агентом в Париже графом А. А. Игнатьевым, и с Морской авиационной комиссией при военно-морском агенте, которая постоянно решала вопросы</w:t>
      </w:r>
      <w:r w:rsidR="00DB4D64" w:rsidRPr="00405303">
        <w:rPr>
          <w:bCs/>
          <w:color w:val="002060"/>
          <w:sz w:val="16"/>
          <w:szCs w:val="16"/>
          <w:shd w:val="clear" w:color="auto" w:fill="FFFFFF"/>
        </w:rPr>
        <w:t xml:space="preserve"> </w:t>
      </w:r>
      <w:r w:rsidRPr="00405303">
        <w:rPr>
          <w:bCs/>
          <w:color w:val="002060"/>
          <w:sz w:val="16"/>
          <w:szCs w:val="16"/>
          <w:bdr w:val="none" w:sz="0" w:space="0" w:color="auto" w:frame="1"/>
          <w:shd w:val="clear" w:color="auto" w:fill="FFFFFF"/>
        </w:rPr>
        <w:t xml:space="preserve">«приобретения образцов всех интересных изобретений по авиации и </w:t>
      </w:r>
      <w:proofErr w:type="gramStart"/>
      <w:r w:rsidRPr="00405303">
        <w:rPr>
          <w:bCs/>
          <w:color w:val="002060"/>
          <w:sz w:val="16"/>
          <w:szCs w:val="16"/>
          <w:bdr w:val="none" w:sz="0" w:space="0" w:color="auto" w:frame="1"/>
          <w:shd w:val="clear" w:color="auto" w:fill="FFFFFF"/>
        </w:rPr>
        <w:t>аэропланостроению»{</w:t>
      </w:r>
      <w:proofErr w:type="gramEnd"/>
      <w:r w:rsidRPr="00405303">
        <w:rPr>
          <w:bCs/>
          <w:color w:val="002060"/>
          <w:sz w:val="16"/>
          <w:szCs w:val="16"/>
          <w:shd w:val="clear" w:color="auto" w:fill="FFFFFF"/>
        </w:rPr>
        <w:t xml:space="preserve"> ГАРФ. Ф. р-5903. Oп. 1. Д. 61. Л. 40.</w:t>
      </w:r>
      <w:r w:rsidRPr="00405303">
        <w:rPr>
          <w:bCs/>
          <w:color w:val="002060"/>
          <w:sz w:val="16"/>
          <w:szCs w:val="16"/>
          <w:bdr w:val="none" w:sz="0" w:space="0" w:color="auto" w:frame="1"/>
          <w:shd w:val="clear" w:color="auto" w:fill="FFFFFF"/>
        </w:rPr>
        <w:t>} (19949)</w:t>
      </w:r>
      <w:r w:rsidRPr="00405303">
        <w:rPr>
          <w:bCs/>
          <w:color w:val="002060"/>
          <w:sz w:val="16"/>
          <w:szCs w:val="16"/>
          <w:shd w:val="clear" w:color="auto" w:fill="FFFFFF"/>
        </w:rPr>
        <w:t>.</w:t>
      </w:r>
    </w:p>
    <w:p w14:paraId="4626AAF5" w14:textId="77777777" w:rsidR="005A7EAF" w:rsidRPr="00405303" w:rsidRDefault="005A7EAF" w:rsidP="00C15251">
      <w:pPr>
        <w:shd w:val="clear" w:color="auto" w:fill="FFFFFF"/>
        <w:jc w:val="both"/>
        <w:rPr>
          <w:bCs/>
          <w:color w:val="002060"/>
          <w:sz w:val="16"/>
          <w:szCs w:val="16"/>
          <w:shd w:val="clear" w:color="auto" w:fill="FFFFFF"/>
        </w:rPr>
      </w:pPr>
    </w:p>
    <w:p w14:paraId="22A4CDD0" w14:textId="4ED7AEC0" w:rsidR="00A72F81" w:rsidRPr="00405303" w:rsidRDefault="00A72F81" w:rsidP="00C15251">
      <w:pPr>
        <w:pStyle w:val="a3"/>
        <w:jc w:val="both"/>
        <w:rPr>
          <w:bCs/>
          <w:color w:val="002060"/>
          <w:spacing w:val="0"/>
          <w:kern w:val="0"/>
          <w:position w:val="0"/>
          <w:sz w:val="16"/>
          <w:szCs w:val="16"/>
        </w:rPr>
      </w:pPr>
      <w:r w:rsidRPr="00405303">
        <w:rPr>
          <w:bCs/>
          <w:color w:val="002060"/>
          <w:spacing w:val="0"/>
          <w:kern w:val="0"/>
          <w:position w:val="0"/>
          <w:sz w:val="16"/>
          <w:szCs w:val="16"/>
        </w:rPr>
        <w:t>Жругие оборонные отрасли:</w:t>
      </w:r>
    </w:p>
    <w:p w14:paraId="52965E1C" w14:textId="77777777" w:rsidR="00A72F81" w:rsidRPr="00405303" w:rsidRDefault="00A72F81" w:rsidP="00C15251">
      <w:pPr>
        <w:pStyle w:val="a3"/>
        <w:jc w:val="both"/>
        <w:rPr>
          <w:bCs/>
          <w:color w:val="002060"/>
          <w:spacing w:val="0"/>
          <w:kern w:val="0"/>
          <w:position w:val="0"/>
          <w:sz w:val="16"/>
          <w:szCs w:val="16"/>
        </w:rPr>
      </w:pPr>
    </w:p>
    <w:p w14:paraId="6DA53634" w14:textId="77777777" w:rsidR="00A72F81" w:rsidRPr="00405303" w:rsidRDefault="00A72F81" w:rsidP="00C15251">
      <w:pPr>
        <w:jc w:val="both"/>
        <w:rPr>
          <w:bCs/>
          <w:color w:val="002060"/>
          <w:sz w:val="16"/>
          <w:szCs w:val="16"/>
        </w:rPr>
      </w:pPr>
      <w:r w:rsidRPr="00405303">
        <w:rPr>
          <w:bCs/>
          <w:color w:val="002060"/>
          <w:sz w:val="16"/>
          <w:szCs w:val="16"/>
        </w:rPr>
        <w:t>26 февраля 1915 г., торопясь закрепить согласие военного мини</w:t>
      </w:r>
      <w:r w:rsidRPr="00405303">
        <w:rPr>
          <w:bCs/>
          <w:color w:val="002060"/>
          <w:sz w:val="16"/>
          <w:szCs w:val="16"/>
        </w:rPr>
        <w:softHyphen/>
        <w:t>стра на заключение договора, РАОАЗ сообщило, что заказало оборудование и приступило к постройке оружейного завода.</w:t>
      </w:r>
    </w:p>
    <w:p w14:paraId="761D6784" w14:textId="77777777" w:rsidR="00A72F81" w:rsidRPr="00405303" w:rsidRDefault="00A72F81" w:rsidP="00C15251">
      <w:pPr>
        <w:jc w:val="both"/>
        <w:rPr>
          <w:bCs/>
          <w:color w:val="002060"/>
          <w:sz w:val="16"/>
          <w:szCs w:val="16"/>
        </w:rPr>
      </w:pPr>
      <w:r w:rsidRPr="00405303">
        <w:rPr>
          <w:bCs/>
          <w:color w:val="002060"/>
          <w:sz w:val="16"/>
          <w:szCs w:val="16"/>
        </w:rPr>
        <w:t>На другой день начальник Канцелярии Военного мини</w:t>
      </w:r>
      <w:r w:rsidRPr="00405303">
        <w:rPr>
          <w:bCs/>
          <w:color w:val="002060"/>
          <w:sz w:val="16"/>
          <w:szCs w:val="16"/>
        </w:rPr>
        <w:softHyphen/>
        <w:t>стерства Лукомский доложил помощнику министра Вернандеру, что возникло «недоразумение», поскольку вопрос не решен окончательно и «подлежит еще обсуждению в Совете министров, между тем, как видно из настоящего заявления, обществом приняты уже меры по оборудованию». Вернандер приказал «сегодня же поставить правление [РАОАЗ] в над</w:t>
      </w:r>
      <w:r w:rsidRPr="00405303">
        <w:rPr>
          <w:bCs/>
          <w:color w:val="002060"/>
          <w:sz w:val="16"/>
          <w:szCs w:val="16"/>
        </w:rPr>
        <w:softHyphen/>
        <w:t>лежащую позицию».</w:t>
      </w:r>
    </w:p>
    <w:p w14:paraId="61193241" w14:textId="77777777" w:rsidR="00A72F81" w:rsidRPr="00405303" w:rsidRDefault="00A72F81" w:rsidP="00C15251">
      <w:pPr>
        <w:jc w:val="both"/>
        <w:rPr>
          <w:bCs/>
          <w:color w:val="002060"/>
          <w:sz w:val="16"/>
          <w:szCs w:val="16"/>
        </w:rPr>
      </w:pPr>
      <w:r w:rsidRPr="00405303">
        <w:rPr>
          <w:bCs/>
          <w:color w:val="002060"/>
          <w:sz w:val="16"/>
          <w:szCs w:val="16"/>
        </w:rPr>
        <w:t>Члены правления РАОАЗ посетили ГАУ, где начальник хозяйственного отдела Е.К. Смысловский, зная, что вели</w:t>
      </w:r>
      <w:r w:rsidRPr="00405303">
        <w:rPr>
          <w:bCs/>
          <w:color w:val="002060"/>
          <w:sz w:val="16"/>
          <w:szCs w:val="16"/>
        </w:rPr>
        <w:softHyphen/>
        <w:t>кий князь Сергей Михайлович не допустит положительно</w:t>
      </w:r>
      <w:r w:rsidRPr="00405303">
        <w:rPr>
          <w:bCs/>
          <w:color w:val="002060"/>
          <w:sz w:val="16"/>
          <w:szCs w:val="16"/>
        </w:rPr>
        <w:softHyphen/>
        <w:t>го исхода дела, подтвердил им, что «вопрос... нельзя счи</w:t>
      </w:r>
      <w:r w:rsidRPr="00405303">
        <w:rPr>
          <w:bCs/>
          <w:color w:val="002060"/>
          <w:sz w:val="16"/>
          <w:szCs w:val="16"/>
        </w:rPr>
        <w:softHyphen/>
        <w:t>тать еще предрешенным», и даже «все данные за то, что заказ им дан не будет». Тогда представители РАОАЗ по</w:t>
      </w:r>
      <w:r w:rsidRPr="00405303">
        <w:rPr>
          <w:bCs/>
          <w:color w:val="002060"/>
          <w:sz w:val="16"/>
          <w:szCs w:val="16"/>
        </w:rPr>
        <w:softHyphen/>
        <w:t>бывали у Сухомлинова, и тот на заседании Совета ми</w:t>
      </w:r>
      <w:r w:rsidRPr="00405303">
        <w:rPr>
          <w:bCs/>
          <w:color w:val="002060"/>
          <w:sz w:val="16"/>
          <w:szCs w:val="16"/>
        </w:rPr>
        <w:softHyphen/>
        <w:t>нистров 6 марта попросил управляющего делами И.Н. Ло- дыженского принять и выслушать представителя РАОАЗ П.И. Балинского, чтобы устранить «недоразумение». Ни беседа с Лодыженским (ей предшествовал телефонный зво</w:t>
      </w:r>
      <w:r w:rsidRPr="00405303">
        <w:rPr>
          <w:bCs/>
          <w:color w:val="002060"/>
          <w:sz w:val="16"/>
          <w:szCs w:val="16"/>
        </w:rPr>
        <w:softHyphen/>
        <w:t>нок ему от великого князя Сергея Михайловича: Балинский «доверия не внушает», с ним надо держать себя осторожно), ни визит Балинского к председателю Совета министров И.Л. Горемыкину не дали результата.</w:t>
      </w:r>
    </w:p>
    <w:p w14:paraId="1EA9D8D5" w14:textId="77777777" w:rsidR="00A72F81" w:rsidRPr="00405303" w:rsidRDefault="00A72F81" w:rsidP="00C15251">
      <w:pPr>
        <w:jc w:val="both"/>
        <w:rPr>
          <w:bCs/>
          <w:color w:val="002060"/>
          <w:sz w:val="16"/>
          <w:szCs w:val="16"/>
        </w:rPr>
      </w:pPr>
      <w:r w:rsidRPr="00405303">
        <w:rPr>
          <w:bCs/>
          <w:color w:val="002060"/>
          <w:sz w:val="16"/>
          <w:szCs w:val="16"/>
        </w:rPr>
        <w:t>Не больше успеха имели и другие предложения частных предпринимателей (к тому времени поступили предложе</w:t>
      </w:r>
      <w:r w:rsidRPr="00405303">
        <w:rPr>
          <w:bCs/>
          <w:color w:val="002060"/>
          <w:sz w:val="16"/>
          <w:szCs w:val="16"/>
        </w:rPr>
        <w:softHyphen/>
        <w:t>ния от а. о. «Пулемет», группы Русско-Азиатского банка и ряд других). «Главным мотивом» отказа великий князь вы</w:t>
      </w:r>
      <w:r w:rsidRPr="00405303">
        <w:rPr>
          <w:bCs/>
          <w:color w:val="002060"/>
          <w:sz w:val="16"/>
          <w:szCs w:val="16"/>
        </w:rPr>
        <w:softHyphen/>
        <w:t>двигал тот факт, что срок готовности заводов слишком от</w:t>
      </w:r>
      <w:r w:rsidRPr="00405303">
        <w:rPr>
          <w:bCs/>
          <w:color w:val="002060"/>
          <w:sz w:val="16"/>
          <w:szCs w:val="16"/>
        </w:rPr>
        <w:softHyphen/>
        <w:t>дален и «в нынешнюю войну эти заводы никакой пользы принести не могут», тогда как «цены у всех предпринима</w:t>
      </w:r>
      <w:r w:rsidRPr="00405303">
        <w:rPr>
          <w:bCs/>
          <w:color w:val="002060"/>
          <w:sz w:val="16"/>
          <w:szCs w:val="16"/>
        </w:rPr>
        <w:softHyphen/>
        <w:t>телей поставлены военного времени»; они хотят путем кон</w:t>
      </w:r>
      <w:r w:rsidRPr="00405303">
        <w:rPr>
          <w:bCs/>
          <w:color w:val="002060"/>
          <w:sz w:val="16"/>
          <w:szCs w:val="16"/>
        </w:rPr>
        <w:softHyphen/>
        <w:t>тракта закрепить эти повышенные цены на долгое вре</w:t>
      </w:r>
      <w:r w:rsidRPr="00405303">
        <w:rPr>
          <w:bCs/>
          <w:color w:val="002060"/>
          <w:sz w:val="16"/>
          <w:szCs w:val="16"/>
        </w:rPr>
        <w:softHyphen/>
        <w:t>мя, так как «прекрасно сознают, что по окончании первого заказа им придется либо закрыть завод, либо довольство</w:t>
      </w:r>
      <w:r w:rsidRPr="00405303">
        <w:rPr>
          <w:bCs/>
          <w:color w:val="002060"/>
          <w:sz w:val="16"/>
          <w:szCs w:val="16"/>
        </w:rPr>
        <w:softHyphen/>
        <w:t>ваться самыми ничтожными заказами». «Еще аргумент, го</w:t>
      </w:r>
      <w:r w:rsidRPr="00405303">
        <w:rPr>
          <w:bCs/>
          <w:color w:val="002060"/>
          <w:sz w:val="16"/>
          <w:szCs w:val="16"/>
        </w:rPr>
        <w:softHyphen/>
        <w:t>ворящий против допущения постройки частного завода»: частный завод, не имея своего подготовленного техниче</w:t>
      </w:r>
      <w:r w:rsidRPr="00405303">
        <w:rPr>
          <w:bCs/>
          <w:color w:val="002060"/>
          <w:sz w:val="16"/>
          <w:szCs w:val="16"/>
        </w:rPr>
        <w:softHyphen/>
        <w:t>ского персонала, будет переманивать инженеров и хороших мастеров «из наших заводов».</w:t>
      </w:r>
    </w:p>
    <w:p w14:paraId="74F02876" w14:textId="77777777" w:rsidR="00A72F81" w:rsidRPr="00405303" w:rsidRDefault="00A72F81" w:rsidP="00C15251">
      <w:pPr>
        <w:jc w:val="both"/>
        <w:rPr>
          <w:bCs/>
          <w:color w:val="002060"/>
          <w:sz w:val="16"/>
          <w:szCs w:val="16"/>
        </w:rPr>
      </w:pPr>
      <w:r w:rsidRPr="00405303">
        <w:rPr>
          <w:bCs/>
          <w:color w:val="002060"/>
          <w:sz w:val="16"/>
          <w:szCs w:val="16"/>
        </w:rPr>
        <w:t>Общее заключение великого князя сводилось к тому, что «все внесенные предложения следует отклонить» и надлежит «ассигновать теперь же достаточные кредиты на развитие существующих заводов до производительности 1500 тысяч винтовок в год»; «немедленно приступить к постройке и оборудованию нового сталелитейного завода для отливки ствольных болванок»; купить в Америке оборудование и построить четвертый казенный ружейный завод. «Обладая такими мощными заводами, мы совершенно освободимся в ружейном деле от частной промышленности и загранич</w:t>
      </w:r>
      <w:r w:rsidRPr="00405303">
        <w:rPr>
          <w:bCs/>
          <w:color w:val="002060"/>
          <w:sz w:val="16"/>
          <w:szCs w:val="16"/>
        </w:rPr>
        <w:softHyphen/>
        <w:t>ных заказов» (23452).</w:t>
      </w:r>
    </w:p>
    <w:p w14:paraId="3C4D22D7" w14:textId="77777777" w:rsidR="00A72F81" w:rsidRPr="00405303" w:rsidRDefault="00A72F81" w:rsidP="00C15251">
      <w:pPr>
        <w:jc w:val="both"/>
        <w:rPr>
          <w:bCs/>
          <w:color w:val="002060"/>
          <w:sz w:val="16"/>
          <w:szCs w:val="16"/>
          <w:lang w:bidi="ru-RU"/>
        </w:rPr>
      </w:pPr>
    </w:p>
    <w:p w14:paraId="61CC6C3C" w14:textId="27787111"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Морская авиация:</w:t>
      </w:r>
    </w:p>
    <w:p w14:paraId="7A611415" w14:textId="77777777" w:rsidR="004B4E35" w:rsidRPr="00405303" w:rsidRDefault="004B4E35" w:rsidP="00C15251">
      <w:pPr>
        <w:pStyle w:val="a3"/>
        <w:jc w:val="both"/>
        <w:rPr>
          <w:bCs/>
          <w:color w:val="002060"/>
          <w:spacing w:val="0"/>
          <w:kern w:val="0"/>
          <w:position w:val="0"/>
          <w:sz w:val="16"/>
          <w:szCs w:val="16"/>
        </w:rPr>
      </w:pPr>
    </w:p>
    <w:p w14:paraId="794C651C" w14:textId="77777777" w:rsidR="004B4E35" w:rsidRPr="00405303" w:rsidRDefault="009E6F82" w:rsidP="00C15251">
      <w:pPr>
        <w:jc w:val="both"/>
        <w:rPr>
          <w:bCs/>
          <w:color w:val="002060"/>
          <w:sz w:val="16"/>
          <w:szCs w:val="16"/>
        </w:rPr>
      </w:pPr>
      <w:r w:rsidRPr="00405303">
        <w:rPr>
          <w:bCs/>
          <w:color w:val="002060"/>
          <w:sz w:val="16"/>
          <w:szCs w:val="16"/>
        </w:rPr>
        <w:t>26 февраля (11 марта) 1915 года впервые к действиям у берегов противника в состав отряда боевых кораблей (ОБК) флота Черного моря был включен авианесущий корабль «Император Николай I» (11166).</w:t>
      </w:r>
    </w:p>
    <w:p w14:paraId="02CFCA34" w14:textId="77777777" w:rsidR="004B4E35" w:rsidRPr="00405303" w:rsidRDefault="004B4E35" w:rsidP="00C15251">
      <w:pPr>
        <w:jc w:val="both"/>
        <w:rPr>
          <w:bCs/>
          <w:color w:val="002060"/>
          <w:sz w:val="16"/>
          <w:szCs w:val="16"/>
        </w:rPr>
      </w:pPr>
    </w:p>
    <w:p w14:paraId="788CD712" w14:textId="77777777" w:rsidR="004A1645" w:rsidRPr="00405303" w:rsidRDefault="004A1645" w:rsidP="00C15251">
      <w:pPr>
        <w:jc w:val="both"/>
        <w:rPr>
          <w:bCs/>
          <w:i/>
          <w:color w:val="002060"/>
          <w:sz w:val="16"/>
          <w:szCs w:val="16"/>
        </w:rPr>
      </w:pPr>
      <w:r w:rsidRPr="00405303">
        <w:rPr>
          <w:bCs/>
          <w:i/>
          <w:color w:val="002060"/>
          <w:sz w:val="16"/>
          <w:szCs w:val="16"/>
        </w:rPr>
        <w:t>Армия:</w:t>
      </w:r>
    </w:p>
    <w:p w14:paraId="4E23D7DC" w14:textId="77777777" w:rsidR="004A1645" w:rsidRPr="00405303" w:rsidRDefault="004A1645" w:rsidP="00C15251">
      <w:pPr>
        <w:jc w:val="both"/>
        <w:rPr>
          <w:bCs/>
          <w:i/>
          <w:color w:val="002060"/>
          <w:sz w:val="16"/>
          <w:szCs w:val="16"/>
        </w:rPr>
      </w:pPr>
    </w:p>
    <w:p w14:paraId="501CE950" w14:textId="6CBA4A28" w:rsidR="004A1645" w:rsidRPr="00405303" w:rsidRDefault="004A1645" w:rsidP="00C15251">
      <w:pPr>
        <w:jc w:val="both"/>
        <w:rPr>
          <w:bCs/>
          <w:color w:val="002060"/>
          <w:sz w:val="16"/>
          <w:szCs w:val="16"/>
        </w:rPr>
      </w:pPr>
      <w:r w:rsidRPr="00405303">
        <w:rPr>
          <w:bCs/>
          <w:color w:val="002060"/>
          <w:sz w:val="16"/>
          <w:szCs w:val="16"/>
        </w:rPr>
        <w:t xml:space="preserve">26 февраля </w:t>
      </w:r>
      <w:r w:rsidR="00EF196E" w:rsidRPr="00405303">
        <w:rPr>
          <w:bCs/>
          <w:color w:val="002060"/>
          <w:sz w:val="16"/>
          <w:szCs w:val="16"/>
        </w:rPr>
        <w:t xml:space="preserve">(11 марта) </w:t>
      </w:r>
      <w:r w:rsidRPr="00405303">
        <w:rPr>
          <w:bCs/>
          <w:color w:val="002060"/>
          <w:sz w:val="16"/>
          <w:szCs w:val="16"/>
        </w:rPr>
        <w:t>в 1915 году остатки 20-го русского корпуса генерала Булгакова в Августовых лесах (у Восточной Пруссии) после десятидневных боев капитулируют немцам (15052).</w:t>
      </w:r>
    </w:p>
    <w:p w14:paraId="002F8C77" w14:textId="77777777" w:rsidR="004A1645" w:rsidRPr="00405303" w:rsidRDefault="004A1645" w:rsidP="00C15251">
      <w:pPr>
        <w:jc w:val="both"/>
        <w:rPr>
          <w:bCs/>
          <w:color w:val="002060"/>
          <w:sz w:val="16"/>
          <w:szCs w:val="16"/>
        </w:rPr>
      </w:pPr>
    </w:p>
    <w:p w14:paraId="3B2C6202"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30B8CA16" w14:textId="77777777" w:rsidR="004B4E35" w:rsidRPr="00405303" w:rsidRDefault="004B4E35" w:rsidP="00C15251">
      <w:pPr>
        <w:jc w:val="both"/>
        <w:rPr>
          <w:bCs/>
          <w:i/>
          <w:color w:val="002060"/>
          <w:sz w:val="16"/>
          <w:szCs w:val="16"/>
        </w:rPr>
      </w:pPr>
    </w:p>
    <w:p w14:paraId="3C2D6A4F" w14:textId="10082DD2" w:rsidR="004B4E35" w:rsidRPr="00405303" w:rsidRDefault="009E6F82" w:rsidP="00C15251">
      <w:pPr>
        <w:jc w:val="both"/>
        <w:rPr>
          <w:bCs/>
          <w:color w:val="002060"/>
          <w:sz w:val="16"/>
          <w:szCs w:val="16"/>
        </w:rPr>
      </w:pPr>
      <w:r w:rsidRPr="00405303">
        <w:rPr>
          <w:bCs/>
          <w:color w:val="002060"/>
          <w:sz w:val="16"/>
          <w:szCs w:val="16"/>
        </w:rPr>
        <w:t xml:space="preserve">26 февраля (11 марта) 1915 года </w:t>
      </w:r>
      <w:r w:rsidR="003E40CC" w:rsidRPr="00405303">
        <w:rPr>
          <w:bCs/>
          <w:color w:val="002060"/>
          <w:sz w:val="16"/>
          <w:szCs w:val="16"/>
        </w:rPr>
        <w:t xml:space="preserve">императорским приказом </w:t>
      </w:r>
      <w:r w:rsidRPr="00405303">
        <w:rPr>
          <w:bCs/>
          <w:color w:val="002060"/>
          <w:sz w:val="16"/>
          <w:szCs w:val="16"/>
        </w:rPr>
        <w:t>предписывалось: B</w:t>
      </w:r>
      <w:r w:rsidR="003E40CC" w:rsidRPr="00405303">
        <w:rPr>
          <w:bCs/>
          <w:color w:val="002060"/>
          <w:sz w:val="16"/>
          <w:szCs w:val="16"/>
        </w:rPr>
        <w:t>о</w:t>
      </w:r>
      <w:r w:rsidRPr="00405303">
        <w:rPr>
          <w:bCs/>
          <w:color w:val="002060"/>
          <w:sz w:val="16"/>
          <w:szCs w:val="16"/>
        </w:rPr>
        <w:t xml:space="preserve"> главе авиации и воздухоплавания поставить начальника полевого воздушного флота. Последнему была подчинена также сухопутная метеорологическая служба. Этим приказом порывалась злосчастная связь с управлением военных сообщений и открывался путь к быстрому развитию (11282).</w:t>
      </w:r>
    </w:p>
    <w:p w14:paraId="35543B02" w14:textId="77777777" w:rsidR="004B4E35" w:rsidRPr="00405303" w:rsidRDefault="004B4E35" w:rsidP="00C15251">
      <w:pPr>
        <w:jc w:val="both"/>
        <w:rPr>
          <w:bCs/>
          <w:color w:val="002060"/>
          <w:sz w:val="16"/>
          <w:szCs w:val="16"/>
        </w:rPr>
      </w:pPr>
    </w:p>
    <w:p w14:paraId="7B687B30" w14:textId="77777777" w:rsidR="004B4E35" w:rsidRPr="00405303" w:rsidRDefault="009E6F82" w:rsidP="00C15251">
      <w:pPr>
        <w:jc w:val="both"/>
        <w:rPr>
          <w:bCs/>
          <w:color w:val="002060"/>
          <w:sz w:val="16"/>
          <w:szCs w:val="16"/>
        </w:rPr>
      </w:pPr>
      <w:r w:rsidRPr="00405303">
        <w:rPr>
          <w:bCs/>
          <w:color w:val="002060"/>
          <w:sz w:val="16"/>
          <w:szCs w:val="16"/>
        </w:rPr>
        <w:t xml:space="preserve">26 февраля (11 марта) 1915 года в Германии императорским приказом от предписывалось: </w:t>
      </w:r>
      <w:r w:rsidRPr="00405303">
        <w:rPr>
          <w:rFonts w:eastAsia="Times-Roman"/>
          <w:bCs/>
          <w:color w:val="002060"/>
          <w:sz w:val="16"/>
          <w:szCs w:val="16"/>
        </w:rPr>
        <w:t>ｫ</w:t>
      </w:r>
      <w:r w:rsidRPr="00405303">
        <w:rPr>
          <w:bCs/>
          <w:color w:val="002060"/>
          <w:sz w:val="16"/>
          <w:szCs w:val="16"/>
        </w:rPr>
        <w:t>B главе авиации и воздухоплавания поставить начальника полевого воздушного флота</w:t>
      </w:r>
      <w:r w:rsidRPr="00405303">
        <w:rPr>
          <w:rFonts w:eastAsia="Times-Roman"/>
          <w:bCs/>
          <w:color w:val="002060"/>
          <w:sz w:val="16"/>
          <w:szCs w:val="16"/>
        </w:rPr>
        <w:t>ｻ</w:t>
      </w:r>
      <w:r w:rsidRPr="00405303">
        <w:rPr>
          <w:bCs/>
          <w:color w:val="002060"/>
          <w:sz w:val="16"/>
          <w:szCs w:val="16"/>
        </w:rPr>
        <w:t xml:space="preserve">. Последнему была подчинена также сухопутная метеорологическая служба. Этим приказом порывалась злосчастная связь с управлением военных сообщений и открывался путь к быстрому развитию. Начальником полевого воздушного флота был назначен майор Томсен. Еще в мирное время он имел дело с летательными аппаратами и был глубоко убежден в важном значении и громадных возможностях развития воздушного флота. Меры, признаваемые им необходимыми, он проводил в жизнь с необычайной энергией. </w:t>
      </w:r>
      <w:r w:rsidRPr="00405303">
        <w:rPr>
          <w:rFonts w:eastAsia="Times-Roman"/>
          <w:bCs/>
          <w:color w:val="002060"/>
          <w:sz w:val="16"/>
          <w:szCs w:val="16"/>
        </w:rPr>
        <w:t>ｫ・</w:t>
      </w:r>
      <w:r w:rsidRPr="00405303">
        <w:rPr>
          <w:bCs/>
          <w:color w:val="002060"/>
          <w:sz w:val="16"/>
          <w:szCs w:val="16"/>
        </w:rPr>
        <w:t xml:space="preserve"> авиации он оставил по себе незабываемую память</w:t>
      </w:r>
      <w:r w:rsidRPr="00405303">
        <w:rPr>
          <w:rFonts w:eastAsia="Times-Roman"/>
          <w:bCs/>
          <w:color w:val="002060"/>
          <w:sz w:val="16"/>
          <w:szCs w:val="16"/>
        </w:rPr>
        <w:t>ｻ</w:t>
      </w:r>
      <w:r w:rsidRPr="00405303">
        <w:rPr>
          <w:bCs/>
          <w:color w:val="002060"/>
          <w:sz w:val="16"/>
          <w:szCs w:val="16"/>
        </w:rPr>
        <w:t xml:space="preserve"> — так оценивает генерал фон Фалькенгайн деятельность этой незаурядной личности.</w:t>
      </w:r>
    </w:p>
    <w:p w14:paraId="724ADADE" w14:textId="77777777" w:rsidR="004B4E35" w:rsidRPr="00405303" w:rsidRDefault="009E6F82" w:rsidP="00C15251">
      <w:pPr>
        <w:jc w:val="both"/>
        <w:rPr>
          <w:bCs/>
          <w:color w:val="002060"/>
          <w:sz w:val="16"/>
          <w:szCs w:val="16"/>
        </w:rPr>
      </w:pPr>
      <w:r w:rsidRPr="00405303">
        <w:rPr>
          <w:bCs/>
          <w:color w:val="002060"/>
          <w:sz w:val="16"/>
          <w:szCs w:val="16"/>
        </w:rPr>
        <w:t xml:space="preserve">Первоочередная задача начальника полевого воздушного флота заключалась в переоснащении усовершенствованными самолетами фронтовых авиасоединений, вынужденных упорно бороться с противником за свое существование. С бессистемной работой каждого отдельного завода нужно было покончить, </w:t>
      </w:r>
      <w:proofErr w:type="gramStart"/>
      <w:r w:rsidRPr="00405303">
        <w:rPr>
          <w:bCs/>
          <w:color w:val="002060"/>
          <w:sz w:val="16"/>
          <w:szCs w:val="16"/>
        </w:rPr>
        <w:t>требовалось</w:t>
      </w:r>
      <w:proofErr w:type="gramEnd"/>
      <w:r w:rsidRPr="00405303">
        <w:rPr>
          <w:bCs/>
          <w:color w:val="002060"/>
          <w:sz w:val="16"/>
          <w:szCs w:val="16"/>
        </w:rPr>
        <w:t xml:space="preserve"> чтобы все германское самолетостроение действовало по единому плану с максимальным напряжением сил.</w:t>
      </w:r>
    </w:p>
    <w:p w14:paraId="3CBB6F5C" w14:textId="77777777" w:rsidR="004B4E35" w:rsidRPr="00405303" w:rsidRDefault="009E6F82" w:rsidP="00C15251">
      <w:pPr>
        <w:jc w:val="both"/>
        <w:rPr>
          <w:bCs/>
          <w:color w:val="002060"/>
          <w:sz w:val="16"/>
          <w:szCs w:val="16"/>
        </w:rPr>
      </w:pPr>
      <w:r w:rsidRPr="00405303">
        <w:rPr>
          <w:bCs/>
          <w:color w:val="002060"/>
          <w:sz w:val="16"/>
          <w:szCs w:val="16"/>
        </w:rPr>
        <w:t>Готовые самолеты были реквизированы государством; на отдельные предприятия были посланыприемочные комиссии из компетентных офицеров. Новые заводы и другие были привлечены к выполнению военных заказов; на старые предприятия были возвращены из армии опытные рабочие и технические специалисты. Был собран и использован богатый технический опыт, приобретенный авиаотрядами при ремонте и усовершенствовании самолетов. Благодаря оживленному обмену мнений между тылом и фронтом, выявились те задачи, которые следовало поставить перед авиапромышленностью; в распоряжение Инспекции авиации временно откомандировывались самые опытные летчики для решения наиболее жгучих вопросов вооружения. Неоднократно начальник полевого воздушного флота, находившийся при главной штаб-квартире, обеспечивал содействие тыловым органам со стороны высших военных властей действующей армии.</w:t>
      </w:r>
    </w:p>
    <w:p w14:paraId="7DABE7DF" w14:textId="77777777" w:rsidR="004B4E35" w:rsidRPr="00405303" w:rsidRDefault="009E6F82" w:rsidP="00C15251">
      <w:pPr>
        <w:jc w:val="both"/>
        <w:rPr>
          <w:bCs/>
          <w:color w:val="002060"/>
          <w:sz w:val="16"/>
          <w:szCs w:val="16"/>
        </w:rPr>
      </w:pPr>
      <w:r w:rsidRPr="00405303">
        <w:rPr>
          <w:bCs/>
          <w:color w:val="002060"/>
          <w:sz w:val="16"/>
          <w:szCs w:val="16"/>
        </w:rPr>
        <w:t>Были изданы строгие предписания в целях урегулирования снабжения авиачастей имуществом, фронтовым соединениям было запрещено непосредственно заказывать что-либо на заводах; авиаотрядам стоило большого труда примириться с потерей прежней, почти неограниченной свободы в деле приобретения авиаимущества, но недостаток сырья требовал соблюдения максимальной тщательности при контроле каждого заказа.</w:t>
      </w:r>
    </w:p>
    <w:p w14:paraId="46EB52D8" w14:textId="77777777" w:rsidR="004B4E35" w:rsidRPr="00405303" w:rsidRDefault="009E6F82" w:rsidP="00C15251">
      <w:pPr>
        <w:jc w:val="both"/>
        <w:rPr>
          <w:bCs/>
          <w:color w:val="002060"/>
          <w:sz w:val="16"/>
          <w:szCs w:val="16"/>
        </w:rPr>
      </w:pPr>
      <w:r w:rsidRPr="00405303">
        <w:rPr>
          <w:bCs/>
          <w:color w:val="002060"/>
          <w:sz w:val="16"/>
          <w:szCs w:val="16"/>
        </w:rPr>
        <w:t>В целях обеспечения пополнения фронтовых формирований и подготовки специалистов в тылу было создано пять новых резервных авиаотрядов. Однако для подготовки необходимого числа летчиков их было недостаточно — пришлось при авиазаводах открывать авиационные школы, находившиеся под надзором военных органов.</w:t>
      </w:r>
    </w:p>
    <w:p w14:paraId="4CD5F39F" w14:textId="77777777" w:rsidR="004B4E35" w:rsidRPr="00405303" w:rsidRDefault="009E6F82" w:rsidP="00C15251">
      <w:pPr>
        <w:jc w:val="both"/>
        <w:rPr>
          <w:bCs/>
          <w:color w:val="002060"/>
          <w:sz w:val="16"/>
          <w:szCs w:val="16"/>
        </w:rPr>
      </w:pPr>
      <w:r w:rsidRPr="00405303">
        <w:rPr>
          <w:bCs/>
          <w:color w:val="002060"/>
          <w:sz w:val="16"/>
          <w:szCs w:val="16"/>
        </w:rPr>
        <w:t>В Гундсфельде была учреждена единственная чисто военная авиационная школа. Непрерывно увеличивалось число унтер-офицеров и солдат, обучаемых пилотажу, но летчиками-наблюдателями по-прежнему служили только офицеры. Благодаря привлечению к работе раненых офицеров, не имевших по состоянию здоровья возможности вернуться в строй в свои части, удалось ликвидировать огромную нехватку офицерского личного состава, вредно отражавшуюся на работе авиации.</w:t>
      </w:r>
    </w:p>
    <w:p w14:paraId="46EFFBB8" w14:textId="77777777" w:rsidR="004B4E35" w:rsidRPr="00405303" w:rsidRDefault="009E6F82" w:rsidP="00C15251">
      <w:pPr>
        <w:jc w:val="both"/>
        <w:rPr>
          <w:bCs/>
          <w:color w:val="002060"/>
          <w:sz w:val="16"/>
          <w:szCs w:val="16"/>
        </w:rPr>
      </w:pPr>
      <w:r w:rsidRPr="00405303">
        <w:rPr>
          <w:bCs/>
          <w:color w:val="002060"/>
          <w:sz w:val="16"/>
          <w:szCs w:val="16"/>
        </w:rPr>
        <w:t>При стремлении начальника полевого воздушного флота довести до высшего напряжения работу по усилению воздушныхсил казалось естественным подчинить ему и все те тыловые органы, которые ведали пополнением фронтовых авиачастей и подготовкой личного состава, а также материальным снабжением, то есть прежде всего — Инспекцию авиации и воздухоплавания с ее резервными отрядами. Подобное изъятие тыловых органов и частей из ведения Военного министерства было новшеством; ему противодействовала лишь высшая администрация Пруссии, опасавшаяся, что начальник полевого воздушного флота не сможет удержать фронтовых летчиков, неистово стремящихся в бой.</w:t>
      </w:r>
    </w:p>
    <w:p w14:paraId="7F989D54" w14:textId="77777777" w:rsidR="004B4E35" w:rsidRPr="00405303" w:rsidRDefault="009E6F82" w:rsidP="00C15251">
      <w:pPr>
        <w:jc w:val="both"/>
        <w:rPr>
          <w:bCs/>
          <w:color w:val="002060"/>
          <w:sz w:val="16"/>
          <w:szCs w:val="16"/>
        </w:rPr>
      </w:pPr>
      <w:r w:rsidRPr="00405303">
        <w:rPr>
          <w:bCs/>
          <w:color w:val="002060"/>
          <w:sz w:val="16"/>
          <w:szCs w:val="16"/>
        </w:rPr>
        <w:t>Изрядные затруднения обусловливались федеративным характером германского государства. Так, например, баварские резервные отряды подчинялись не Инспекции авиации, а баварской Инженерной инспекции; то есть начальник полевого воздушного флота не имел над ними власти. Правда, на третий год войны удалось подчинить баварские соединения в том, что касалось снабжения авиаимуществом, Инспекции авиации и обеспечить таким образом единообразное снабжение всех германских фронтовых частей; однако в отношении подготовки личного состава и пополнения самостоятельность Баварии была сохранена. Лишь после долгих переговоров между общегерманским и баварским военными министерствами было достигнуто соглашение.</w:t>
      </w:r>
    </w:p>
    <w:p w14:paraId="1CD89767" w14:textId="77777777" w:rsidR="004B4E35" w:rsidRPr="00405303" w:rsidRDefault="009E6F82" w:rsidP="00C15251">
      <w:pPr>
        <w:jc w:val="both"/>
        <w:rPr>
          <w:bCs/>
          <w:color w:val="002060"/>
          <w:sz w:val="16"/>
          <w:szCs w:val="16"/>
        </w:rPr>
      </w:pPr>
      <w:r w:rsidRPr="00405303">
        <w:rPr>
          <w:bCs/>
          <w:color w:val="002060"/>
          <w:sz w:val="16"/>
          <w:szCs w:val="16"/>
        </w:rPr>
        <w:t>Другие государства германского союза также проявляли стремление к самостоятельности. Некоторые из них претендовали на исключительное пользование теми техническими учреждениями, которые, хотя и принадлежали им, были нужны всей германской авиапромышленности. Вюртемберг имел, благодаря высоко развитой моторостроительной промышленности (заводы Даймлер, Бенц), избыток технически подготовленного персонала, но этот последний нельзя было использовать вне вюртембергских авиачастей. Ничего, кроме громадной бесполезной затраты сил, не принесло сведение в 1917 году в особые национальные соединения уроженцев Саксонии, Вюртемберга и Бадена, рассеянных по всем германским авиачастям.</w:t>
      </w:r>
    </w:p>
    <w:p w14:paraId="3C3515DF" w14:textId="77777777" w:rsidR="004B4E35" w:rsidRPr="00405303" w:rsidRDefault="009E6F82" w:rsidP="00C15251">
      <w:pPr>
        <w:jc w:val="both"/>
        <w:rPr>
          <w:bCs/>
          <w:color w:val="002060"/>
          <w:sz w:val="16"/>
          <w:szCs w:val="16"/>
        </w:rPr>
      </w:pPr>
      <w:r w:rsidRPr="00405303">
        <w:rPr>
          <w:bCs/>
          <w:color w:val="002060"/>
          <w:sz w:val="16"/>
          <w:szCs w:val="16"/>
        </w:rPr>
        <w:t>Усиление морского воздушного флота повышало нагрузку на отечественную промышленность, и без того уже работавшую на пределе возможностей (11282).</w:t>
      </w:r>
    </w:p>
    <w:p w14:paraId="5B94E27A" w14:textId="77777777" w:rsidR="004B4E35" w:rsidRPr="00405303" w:rsidRDefault="004B4E35" w:rsidP="00C15251">
      <w:pPr>
        <w:jc w:val="both"/>
        <w:rPr>
          <w:bCs/>
          <w:color w:val="002060"/>
          <w:sz w:val="16"/>
          <w:szCs w:val="16"/>
        </w:rPr>
      </w:pPr>
    </w:p>
    <w:p w14:paraId="79C153AF" w14:textId="34AA1377" w:rsidR="004B4E35" w:rsidRPr="00405303" w:rsidRDefault="009E6F82" w:rsidP="00C15251">
      <w:pPr>
        <w:jc w:val="both"/>
        <w:rPr>
          <w:bCs/>
          <w:color w:val="002060"/>
          <w:sz w:val="16"/>
          <w:szCs w:val="16"/>
        </w:rPr>
      </w:pPr>
      <w:r w:rsidRPr="00405303">
        <w:rPr>
          <w:bCs/>
          <w:color w:val="002060"/>
          <w:sz w:val="16"/>
          <w:szCs w:val="16"/>
        </w:rPr>
        <w:t>26 февраля (11 марта) 1915</w:t>
      </w:r>
      <w:r w:rsidR="000F5756">
        <w:rPr>
          <w:bCs/>
          <w:color w:val="002060"/>
          <w:sz w:val="16"/>
          <w:szCs w:val="16"/>
        </w:rPr>
        <w:t xml:space="preserve"> </w:t>
      </w:r>
      <w:r w:rsidR="003E40CC" w:rsidRPr="00405303">
        <w:rPr>
          <w:bCs/>
          <w:color w:val="002060"/>
          <w:sz w:val="16"/>
          <w:szCs w:val="16"/>
        </w:rPr>
        <w:t>в</w:t>
      </w:r>
      <w:r w:rsidRPr="00405303">
        <w:rPr>
          <w:bCs/>
          <w:color w:val="002060"/>
          <w:sz w:val="16"/>
          <w:szCs w:val="16"/>
        </w:rPr>
        <w:t xml:space="preserve"> Германии в начале 1915 г. высшее военное командование предложило военному министерству реорганизовать воздушные силы, а также снабжение и организацию тыла. Во главе кайзеровских воздушных сил "Полевой авиации" был поставлен майор Германн Томсен, которому теперь были подчинены все воздушные силы и тыловые (резервные) ведомства за исключением Flugab- wehrformationen (ВВС ПВО). Армиям отныне выпали на долю полевые авиаотряды, и у каждой армии был свой офицер штаба летчиков, имевший в высшем командовании армии с летной стороны совещательный голос и в то же время отвечавший за снабжение (11999).</w:t>
      </w:r>
    </w:p>
    <w:p w14:paraId="08B459F6" w14:textId="77777777" w:rsidR="004B4E35" w:rsidRPr="00405303" w:rsidRDefault="004B4E35" w:rsidP="00C15251">
      <w:pPr>
        <w:jc w:val="both"/>
        <w:rPr>
          <w:bCs/>
          <w:color w:val="002060"/>
          <w:sz w:val="16"/>
          <w:szCs w:val="16"/>
        </w:rPr>
      </w:pPr>
    </w:p>
    <w:p w14:paraId="497B1E80" w14:textId="6616D882" w:rsidR="002F68F4" w:rsidRPr="00405303" w:rsidRDefault="002F68F4" w:rsidP="00C15251">
      <w:pPr>
        <w:jc w:val="both"/>
        <w:rPr>
          <w:bCs/>
          <w:i/>
          <w:color w:val="002060"/>
          <w:sz w:val="16"/>
          <w:szCs w:val="16"/>
        </w:rPr>
      </w:pPr>
      <w:r w:rsidRPr="00405303">
        <w:rPr>
          <w:bCs/>
          <w:i/>
          <w:color w:val="002060"/>
          <w:sz w:val="16"/>
          <w:szCs w:val="16"/>
        </w:rPr>
        <w:t>Авиация и воздухоплавание Англии:</w:t>
      </w:r>
    </w:p>
    <w:p w14:paraId="134DEE44" w14:textId="77777777" w:rsidR="002F68F4" w:rsidRPr="00405303" w:rsidRDefault="002F68F4" w:rsidP="00C15251">
      <w:pPr>
        <w:jc w:val="both"/>
        <w:rPr>
          <w:bCs/>
          <w:i/>
          <w:color w:val="002060"/>
          <w:sz w:val="16"/>
          <w:szCs w:val="16"/>
        </w:rPr>
      </w:pPr>
    </w:p>
    <w:p w14:paraId="4B7BB112" w14:textId="368D6413" w:rsidR="002F68F4" w:rsidRPr="00405303" w:rsidRDefault="002F68F4" w:rsidP="00C15251">
      <w:pPr>
        <w:jc w:val="both"/>
        <w:rPr>
          <w:bCs/>
          <w:color w:val="002060"/>
          <w:sz w:val="16"/>
          <w:szCs w:val="16"/>
        </w:rPr>
      </w:pPr>
      <w:r w:rsidRPr="00405303">
        <w:rPr>
          <w:bCs/>
          <w:color w:val="002060"/>
          <w:sz w:val="16"/>
          <w:szCs w:val="16"/>
        </w:rPr>
        <w:t>26 февраля (11 марта) 1915 The Royal Navy получает грузовое судно SS Manica для переоборудования его в первое британское судно для воздушного шара - HMS Manica. Королевский флот станет единственным военно-морским флотом во время Первой мировой войны, который будет управлять воздушными шарами, специализированными кораблями, предназначенными для работы с воздушными шарами наблюдения в качестве единственной функции (20338).</w:t>
      </w:r>
    </w:p>
    <w:p w14:paraId="6344D747" w14:textId="77777777" w:rsidR="002F68F4" w:rsidRPr="00405303" w:rsidRDefault="002F68F4" w:rsidP="00C15251">
      <w:pPr>
        <w:jc w:val="both"/>
        <w:rPr>
          <w:bCs/>
          <w:color w:val="002060"/>
          <w:sz w:val="16"/>
          <w:szCs w:val="16"/>
        </w:rPr>
      </w:pPr>
    </w:p>
    <w:p w14:paraId="6303B388" w14:textId="5B111818" w:rsidR="002F68F4" w:rsidRPr="00405303" w:rsidRDefault="002F68F4" w:rsidP="00C15251">
      <w:pPr>
        <w:jc w:val="both"/>
        <w:rPr>
          <w:bCs/>
          <w:color w:val="002060"/>
          <w:sz w:val="16"/>
          <w:szCs w:val="16"/>
        </w:rPr>
      </w:pPr>
      <w:r w:rsidRPr="00405303">
        <w:rPr>
          <w:bCs/>
          <w:color w:val="002060"/>
          <w:sz w:val="16"/>
          <w:szCs w:val="16"/>
        </w:rPr>
        <w:t>26 февраля (11 марта) 1915</w:t>
      </w:r>
      <w:r w:rsidR="00DB4D64" w:rsidRPr="00405303">
        <w:rPr>
          <w:bCs/>
          <w:color w:val="002060"/>
          <w:sz w:val="16"/>
          <w:szCs w:val="16"/>
        </w:rPr>
        <w:t xml:space="preserve"> </w:t>
      </w:r>
      <w:r w:rsidRPr="00405303">
        <w:rPr>
          <w:bCs/>
          <w:color w:val="002060"/>
          <w:sz w:val="16"/>
          <w:szCs w:val="16"/>
        </w:rPr>
        <w:t>- Самолет Burgess H biplane (No. 28) устанавливает мировой рекорд длительности полета для пилота и двух пассажиров, оставаясь в воздухе в течение 7 часов 5 минут (22571).</w:t>
      </w:r>
    </w:p>
    <w:p w14:paraId="200B4219" w14:textId="77777777" w:rsidR="002F68F4" w:rsidRPr="00405303" w:rsidRDefault="002F68F4" w:rsidP="00C15251">
      <w:pPr>
        <w:jc w:val="both"/>
        <w:rPr>
          <w:bCs/>
          <w:color w:val="002060"/>
          <w:sz w:val="16"/>
          <w:szCs w:val="16"/>
        </w:rPr>
      </w:pPr>
    </w:p>
    <w:p w14:paraId="09EBEFBD"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3B58D012" w14:textId="77777777" w:rsidR="004B4E35" w:rsidRPr="00405303" w:rsidRDefault="004B4E35" w:rsidP="00C15251">
      <w:pPr>
        <w:jc w:val="both"/>
        <w:rPr>
          <w:bCs/>
          <w:i/>
          <w:color w:val="002060"/>
          <w:sz w:val="16"/>
          <w:szCs w:val="16"/>
        </w:rPr>
      </w:pPr>
    </w:p>
    <w:p w14:paraId="59331509" w14:textId="51094E1A" w:rsidR="004B4E35" w:rsidRPr="00405303" w:rsidRDefault="009E6F82" w:rsidP="00C15251">
      <w:pPr>
        <w:jc w:val="both"/>
        <w:rPr>
          <w:bCs/>
          <w:color w:val="002060"/>
          <w:sz w:val="16"/>
          <w:szCs w:val="16"/>
        </w:rPr>
      </w:pPr>
      <w:r w:rsidRPr="00405303">
        <w:rPr>
          <w:bCs/>
          <w:color w:val="002060"/>
          <w:sz w:val="16"/>
          <w:szCs w:val="16"/>
        </w:rPr>
        <w:t xml:space="preserve">27 февраля (12 марта) 1915 </w:t>
      </w:r>
      <w:r w:rsidR="003E40CC" w:rsidRPr="00405303">
        <w:rPr>
          <w:bCs/>
          <w:color w:val="002060"/>
          <w:sz w:val="16"/>
          <w:szCs w:val="16"/>
        </w:rPr>
        <w:t>был</w:t>
      </w:r>
      <w:r w:rsidRPr="00405303">
        <w:rPr>
          <w:bCs/>
          <w:color w:val="002060"/>
          <w:sz w:val="16"/>
          <w:szCs w:val="16"/>
        </w:rPr>
        <w:t xml:space="preserve"> утвержден устав Московского Общества Мотористов, объединявшего в своих рядах мотоциклистов Первопрестольной (11275).</w:t>
      </w:r>
    </w:p>
    <w:p w14:paraId="17BAD396" w14:textId="77777777" w:rsidR="004B4E35" w:rsidRPr="00405303" w:rsidRDefault="004B4E35" w:rsidP="00C15251">
      <w:pPr>
        <w:jc w:val="both"/>
        <w:rPr>
          <w:bCs/>
          <w:color w:val="002060"/>
          <w:sz w:val="16"/>
          <w:szCs w:val="16"/>
        </w:rPr>
      </w:pPr>
    </w:p>
    <w:p w14:paraId="77C0D0F2" w14:textId="01C1A814" w:rsidR="00A72F81" w:rsidRPr="00405303" w:rsidRDefault="00A72F81" w:rsidP="00C15251">
      <w:pPr>
        <w:jc w:val="both"/>
        <w:rPr>
          <w:bCs/>
          <w:i/>
          <w:color w:val="002060"/>
          <w:sz w:val="16"/>
          <w:szCs w:val="16"/>
        </w:rPr>
      </w:pPr>
      <w:r w:rsidRPr="00405303">
        <w:rPr>
          <w:bCs/>
          <w:i/>
          <w:color w:val="002060"/>
          <w:sz w:val="16"/>
          <w:szCs w:val="16"/>
        </w:rPr>
        <w:t>Авиация:</w:t>
      </w:r>
    </w:p>
    <w:p w14:paraId="5D66C49B" w14:textId="77777777" w:rsidR="00A72F81" w:rsidRPr="00405303" w:rsidRDefault="00A72F81" w:rsidP="00C15251">
      <w:pPr>
        <w:jc w:val="both"/>
        <w:rPr>
          <w:bCs/>
          <w:i/>
          <w:color w:val="002060"/>
          <w:sz w:val="16"/>
          <w:szCs w:val="16"/>
        </w:rPr>
      </w:pPr>
    </w:p>
    <w:p w14:paraId="7D59AE60" w14:textId="191E143D" w:rsidR="00A72F81" w:rsidRPr="00405303" w:rsidRDefault="00A72F81" w:rsidP="00C15251">
      <w:pPr>
        <w:jc w:val="both"/>
        <w:rPr>
          <w:bCs/>
          <w:color w:val="002060"/>
          <w:sz w:val="16"/>
          <w:szCs w:val="16"/>
          <w:lang w:bidi="ru-RU"/>
        </w:rPr>
      </w:pPr>
      <w:r w:rsidRPr="00405303">
        <w:rPr>
          <w:bCs/>
          <w:color w:val="002060"/>
          <w:sz w:val="16"/>
          <w:szCs w:val="16"/>
          <w:shd w:val="clear" w:color="auto" w:fill="FFFFFF"/>
        </w:rPr>
        <w:t>27 февраля (12 марта) 1915 г. после предварительных экспериментов и тренировочных полетов ИМ-Киевский начал свой первый боевой вылет в восемь часов утра Он имел бензина на три с половиной часа полета и груз бомб 246 кг. Экипаж включал пилота, капитана Г. Г. Горшкова, его заместителя лейтенанта И. С. Башко, артиллерийского офицера штабс-капитана А. А. Наумова и одного авиамеханика. Боевой вылет продолжался 1 час 51 минуту. ИМ-Киевский летел на высоте 2800 метров, достигнув этой крейсерской высоты за 40 минут. Из-за сплошной облачности воздушное судно долетело только до Плоцка и вернулось на свой аэродром (23470).</w:t>
      </w:r>
    </w:p>
    <w:p w14:paraId="74839209" w14:textId="77777777" w:rsidR="00A72F81" w:rsidRPr="00405303" w:rsidRDefault="00A72F81" w:rsidP="00C15251">
      <w:pPr>
        <w:jc w:val="both"/>
        <w:rPr>
          <w:bCs/>
          <w:color w:val="002060"/>
          <w:sz w:val="16"/>
          <w:szCs w:val="16"/>
          <w:lang w:bidi="ru-RU"/>
        </w:rPr>
      </w:pPr>
    </w:p>
    <w:p w14:paraId="7553E8BF" w14:textId="3B1CDD68" w:rsidR="004B4E35" w:rsidRPr="00405303" w:rsidRDefault="009E6F82" w:rsidP="00C15251">
      <w:pPr>
        <w:jc w:val="both"/>
        <w:rPr>
          <w:bCs/>
          <w:i/>
          <w:color w:val="002060"/>
          <w:sz w:val="16"/>
          <w:szCs w:val="16"/>
        </w:rPr>
      </w:pPr>
      <w:r w:rsidRPr="00405303">
        <w:rPr>
          <w:bCs/>
          <w:i/>
          <w:iCs/>
          <w:color w:val="002060"/>
          <w:sz w:val="16"/>
          <w:szCs w:val="16"/>
        </w:rPr>
        <w:t>Морская</w:t>
      </w:r>
      <w:r w:rsidRPr="00405303">
        <w:rPr>
          <w:bCs/>
          <w:i/>
          <w:color w:val="002060"/>
          <w:sz w:val="16"/>
          <w:szCs w:val="16"/>
        </w:rPr>
        <w:t xml:space="preserve"> авиация:</w:t>
      </w:r>
    </w:p>
    <w:p w14:paraId="2F14DDA0" w14:textId="77777777" w:rsidR="004B4E35" w:rsidRPr="00405303" w:rsidRDefault="004B4E35" w:rsidP="00C15251">
      <w:pPr>
        <w:jc w:val="both"/>
        <w:rPr>
          <w:bCs/>
          <w:i/>
          <w:color w:val="002060"/>
          <w:sz w:val="16"/>
          <w:szCs w:val="16"/>
        </w:rPr>
      </w:pPr>
    </w:p>
    <w:p w14:paraId="4E870EE0" w14:textId="19D434AC" w:rsidR="004B4E35" w:rsidRPr="00405303" w:rsidRDefault="009E6F82" w:rsidP="00C15251">
      <w:pPr>
        <w:shd w:val="clear" w:color="auto" w:fill="FFFFFF"/>
        <w:jc w:val="both"/>
        <w:rPr>
          <w:bCs/>
          <w:color w:val="002060"/>
          <w:sz w:val="16"/>
          <w:szCs w:val="16"/>
        </w:rPr>
      </w:pPr>
      <w:r w:rsidRPr="00405303">
        <w:rPr>
          <w:bCs/>
          <w:color w:val="002060"/>
          <w:sz w:val="16"/>
          <w:szCs w:val="16"/>
        </w:rPr>
        <w:t>27 февраля (1</w:t>
      </w:r>
      <w:r w:rsidR="003E40CC" w:rsidRPr="00405303">
        <w:rPr>
          <w:bCs/>
          <w:color w:val="002060"/>
          <w:sz w:val="16"/>
          <w:szCs w:val="16"/>
        </w:rPr>
        <w:t>2</w:t>
      </w:r>
      <w:r w:rsidRPr="00405303">
        <w:rPr>
          <w:bCs/>
          <w:color w:val="002060"/>
          <w:sz w:val="16"/>
          <w:szCs w:val="16"/>
        </w:rPr>
        <w:t xml:space="preserve"> марта)</w:t>
      </w:r>
      <w:r w:rsidR="003E40CC" w:rsidRPr="00405303">
        <w:rPr>
          <w:bCs/>
          <w:color w:val="002060"/>
          <w:sz w:val="16"/>
          <w:szCs w:val="16"/>
        </w:rPr>
        <w:t xml:space="preserve"> первого и</w:t>
      </w:r>
      <w:r w:rsidRPr="00405303">
        <w:rPr>
          <w:bCs/>
          <w:color w:val="002060"/>
          <w:sz w:val="16"/>
          <w:szCs w:val="16"/>
        </w:rPr>
        <w:t xml:space="preserve"> второго - с 25 апреля (</w:t>
      </w:r>
      <w:r w:rsidR="003E40CC" w:rsidRPr="00405303">
        <w:rPr>
          <w:bCs/>
          <w:color w:val="002060"/>
          <w:sz w:val="16"/>
          <w:szCs w:val="16"/>
        </w:rPr>
        <w:t>8</w:t>
      </w:r>
      <w:r w:rsidRPr="00405303">
        <w:rPr>
          <w:bCs/>
          <w:color w:val="002060"/>
          <w:sz w:val="16"/>
          <w:szCs w:val="16"/>
        </w:rPr>
        <w:t xml:space="preserve"> мая) </w:t>
      </w:r>
      <w:r w:rsidR="003E40CC" w:rsidRPr="00405303">
        <w:rPr>
          <w:bCs/>
          <w:color w:val="002060"/>
          <w:sz w:val="16"/>
          <w:szCs w:val="16"/>
        </w:rPr>
        <w:t>1915 г. началось боевое применение включаемых поочередно в состав эскад</w:t>
      </w:r>
      <w:r w:rsidR="003E40CC" w:rsidRPr="00405303">
        <w:rPr>
          <w:bCs/>
          <w:color w:val="002060"/>
          <w:sz w:val="16"/>
          <w:szCs w:val="16"/>
        </w:rPr>
        <w:softHyphen/>
        <w:t>ры авиатранспортов (посыльных судов)</w:t>
      </w:r>
      <w:r w:rsidRPr="00405303">
        <w:rPr>
          <w:bCs/>
          <w:color w:val="002060"/>
          <w:sz w:val="16"/>
          <w:szCs w:val="16"/>
        </w:rPr>
        <w:t>. Эскадра регулярно совершала походы к Румелийскому и Анатолийскому побережьм про</w:t>
      </w:r>
      <w:r w:rsidRPr="00405303">
        <w:rPr>
          <w:bCs/>
          <w:color w:val="002060"/>
          <w:sz w:val="16"/>
          <w:szCs w:val="16"/>
        </w:rPr>
        <w:softHyphen/>
        <w:t>тивника с целями обстрела его береговых укреплений и нару</w:t>
      </w:r>
      <w:r w:rsidRPr="00405303">
        <w:rPr>
          <w:bCs/>
          <w:color w:val="002060"/>
          <w:sz w:val="16"/>
          <w:szCs w:val="16"/>
        </w:rPr>
        <w:softHyphen/>
        <w:t>шения морских коммуникаций.</w:t>
      </w:r>
    </w:p>
    <w:p w14:paraId="2E5299B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Тогда впервые посыльное судно «Император Николай I» от</w:t>
      </w:r>
      <w:r w:rsidRPr="00405303">
        <w:rPr>
          <w:bCs/>
          <w:color w:val="002060"/>
          <w:sz w:val="16"/>
          <w:szCs w:val="16"/>
        </w:rPr>
        <w:softHyphen/>
        <w:t>правило 4 летающие лодки «Кертисс-Д» в разведку района Инеболу перед началом обстрела береговых укреплений и пор</w:t>
      </w:r>
      <w:r w:rsidRPr="00405303">
        <w:rPr>
          <w:bCs/>
          <w:color w:val="002060"/>
          <w:sz w:val="16"/>
          <w:szCs w:val="16"/>
        </w:rPr>
        <w:softHyphen/>
        <w:t>товых сооружений крупнокалиберной артиллерией линкоров. В ходе разведки воздушные аппараты дважды попадали под пушечный и ружейный огонь противника, но сбросили свой бомбовый груз на турецкие береговые батареи (11283).</w:t>
      </w:r>
    </w:p>
    <w:p w14:paraId="31DFE25D" w14:textId="77777777" w:rsidR="004B4E35" w:rsidRPr="00405303" w:rsidRDefault="004B4E35" w:rsidP="00C15251">
      <w:pPr>
        <w:shd w:val="clear" w:color="auto" w:fill="FFFFFF"/>
        <w:jc w:val="both"/>
        <w:rPr>
          <w:bCs/>
          <w:color w:val="002060"/>
          <w:sz w:val="16"/>
          <w:szCs w:val="16"/>
        </w:rPr>
      </w:pPr>
    </w:p>
    <w:p w14:paraId="74FBDE4D" w14:textId="6DA0C6D6" w:rsidR="00977D3E" w:rsidRPr="00405303" w:rsidRDefault="003E40CC" w:rsidP="00C15251">
      <w:pPr>
        <w:pStyle w:val="a5"/>
        <w:rPr>
          <w:bCs/>
          <w:color w:val="002060"/>
          <w:sz w:val="16"/>
          <w:szCs w:val="16"/>
          <w:lang w:val="ru-RU"/>
        </w:rPr>
      </w:pPr>
      <w:r w:rsidRPr="00405303">
        <w:rPr>
          <w:bCs/>
          <w:color w:val="002060"/>
          <w:sz w:val="16"/>
          <w:szCs w:val="16"/>
          <w:lang w:val="ru-RU"/>
        </w:rPr>
        <w:t>27 февраля (12 марта) первого и второго - с 25 апреля (8 мая) 1915 г. началось б</w:t>
      </w:r>
      <w:r w:rsidR="00977D3E" w:rsidRPr="00405303">
        <w:rPr>
          <w:bCs/>
          <w:color w:val="002060"/>
          <w:sz w:val="16"/>
          <w:szCs w:val="16"/>
          <w:lang w:val="ru-RU"/>
        </w:rPr>
        <w:t>оевое приме</w:t>
      </w:r>
      <w:r w:rsidR="00977D3E" w:rsidRPr="00405303">
        <w:rPr>
          <w:bCs/>
          <w:color w:val="002060"/>
          <w:sz w:val="16"/>
          <w:szCs w:val="16"/>
          <w:lang w:val="ru-RU"/>
        </w:rPr>
        <w:softHyphen/>
        <w:t>нение включаемых в состав эскад</w:t>
      </w:r>
      <w:r w:rsidR="00977D3E" w:rsidRPr="00405303">
        <w:rPr>
          <w:bCs/>
          <w:color w:val="002060"/>
          <w:sz w:val="16"/>
          <w:szCs w:val="16"/>
          <w:lang w:val="ru-RU"/>
        </w:rPr>
        <w:softHyphen/>
        <w:t>ры авиатранспортов</w:t>
      </w:r>
      <w:r w:rsidRPr="00405303">
        <w:rPr>
          <w:bCs/>
          <w:color w:val="002060"/>
          <w:sz w:val="16"/>
          <w:szCs w:val="16"/>
          <w:lang w:val="ru-RU"/>
        </w:rPr>
        <w:t>.</w:t>
      </w:r>
      <w:r w:rsidR="00977D3E" w:rsidRPr="00405303">
        <w:rPr>
          <w:bCs/>
          <w:color w:val="002060"/>
          <w:sz w:val="16"/>
          <w:szCs w:val="16"/>
          <w:lang w:val="ru-RU"/>
        </w:rPr>
        <w:t xml:space="preserve"> </w:t>
      </w:r>
      <w:r w:rsidRPr="00405303">
        <w:rPr>
          <w:bCs/>
          <w:color w:val="002060"/>
          <w:sz w:val="16"/>
          <w:szCs w:val="16"/>
          <w:lang w:val="ru-RU"/>
        </w:rPr>
        <w:t>Самолёты доставлялись на корабли на время похода и опе</w:t>
      </w:r>
      <w:r w:rsidRPr="00405303">
        <w:rPr>
          <w:bCs/>
          <w:color w:val="002060"/>
          <w:sz w:val="16"/>
          <w:szCs w:val="16"/>
          <w:lang w:val="ru-RU"/>
        </w:rPr>
        <w:softHyphen/>
        <w:t>раций. Лейтенанта Р.Ф. Эссена назначили начальником первого корабельного отряда, а вторым командовал лейтенант Е. Е. Коведяев (впоследствии его сменил лей</w:t>
      </w:r>
      <w:r w:rsidRPr="00405303">
        <w:rPr>
          <w:bCs/>
          <w:color w:val="002060"/>
          <w:sz w:val="16"/>
          <w:szCs w:val="16"/>
          <w:lang w:val="ru-RU"/>
        </w:rPr>
        <w:softHyphen/>
        <w:t xml:space="preserve">тенант А.К. Юнкер) </w:t>
      </w:r>
      <w:r w:rsidR="00977D3E" w:rsidRPr="00405303">
        <w:rPr>
          <w:bCs/>
          <w:color w:val="002060"/>
          <w:sz w:val="16"/>
          <w:szCs w:val="16"/>
          <w:lang w:val="ru-RU"/>
        </w:rPr>
        <w:t>(11925).</w:t>
      </w:r>
    </w:p>
    <w:p w14:paraId="7D8C2BFA" w14:textId="77777777" w:rsidR="00977D3E" w:rsidRPr="00405303" w:rsidRDefault="00977D3E" w:rsidP="00C15251">
      <w:pPr>
        <w:pStyle w:val="a5"/>
        <w:rPr>
          <w:bCs/>
          <w:color w:val="002060"/>
          <w:sz w:val="16"/>
          <w:szCs w:val="16"/>
          <w:lang w:val="ru-RU"/>
        </w:rPr>
      </w:pPr>
    </w:p>
    <w:p w14:paraId="563C12E2" w14:textId="28CACC52" w:rsidR="004B4E35" w:rsidRPr="00405303" w:rsidRDefault="009E6F82" w:rsidP="00C15251">
      <w:pPr>
        <w:jc w:val="both"/>
        <w:rPr>
          <w:bCs/>
          <w:color w:val="002060"/>
          <w:sz w:val="16"/>
          <w:szCs w:val="16"/>
        </w:rPr>
      </w:pPr>
      <w:r w:rsidRPr="00405303">
        <w:rPr>
          <w:bCs/>
          <w:color w:val="002060"/>
          <w:sz w:val="16"/>
          <w:szCs w:val="16"/>
        </w:rPr>
        <w:t>27 февраля (1</w:t>
      </w:r>
      <w:r w:rsidR="003E40CC" w:rsidRPr="00405303">
        <w:rPr>
          <w:bCs/>
          <w:color w:val="002060"/>
          <w:sz w:val="16"/>
          <w:szCs w:val="16"/>
        </w:rPr>
        <w:t>2</w:t>
      </w:r>
      <w:r w:rsidRPr="00405303">
        <w:rPr>
          <w:bCs/>
          <w:color w:val="002060"/>
          <w:sz w:val="16"/>
          <w:szCs w:val="16"/>
        </w:rPr>
        <w:t xml:space="preserve"> марта) 1915 г. авиатранспорт (по документом он именуется также посыльным судном) "Император Николай I" с четырьмя летающими лодками "Кертис-Д" впервые последовал с эскадрой, имея задачей разведать район Инеболу перед его обстрелом кораблями. Второй авиатранспорт "Александр I" отправился 7 мая 1915 г. В процессе выполнения задания самолёты подверглись обстрелу. Но и в этих условиях они применяли имевшиеся бомбы.</w:t>
      </w:r>
    </w:p>
    <w:p w14:paraId="59AD5BDD" w14:textId="77777777" w:rsidR="004B4E35" w:rsidRPr="00405303" w:rsidRDefault="009E6F82" w:rsidP="00C15251">
      <w:pPr>
        <w:jc w:val="both"/>
        <w:rPr>
          <w:bCs/>
          <w:color w:val="002060"/>
          <w:sz w:val="16"/>
          <w:szCs w:val="16"/>
        </w:rPr>
      </w:pPr>
      <w:r w:rsidRPr="00405303">
        <w:rPr>
          <w:bCs/>
          <w:color w:val="002060"/>
          <w:sz w:val="16"/>
          <w:szCs w:val="16"/>
        </w:rPr>
        <w:t>В следующий поход к Босфору и Зонгулдакскому порту на авиатранспорте и вспомогательном крейсере "Алмаз" отправилось уже шесть летающих лодок. В 7 ч. 10 мин. 28 марта авиатранспорт и крейсер на удалении 10 миль от пролива Босфор застопорили машины и начали спуск самолётов на воду. Вылетавшие экипажи наблюдали за результатами обстрела. Затем эскадра перешла в район Эрегли-Зон- гулдак для обстрела промышленных объектов и портовых сооружениё. Экипажи самолётов вели разведку, фотографировали береговые объекты и по возможности применяли бомбы по береговым объектам. В 10 ч.ЗО мин. линейный корабль "Ростислав" открыл огонь по береговым целям в районе Эльмас, Ана- толи-Фенер и Фенераки, затем по Румелийскому берегу. Воздушная разведка показала, что в Босфоре крупных кораблей противника нет. Одновременно с выполнением разведки самолёты сбросили несколько бомб по батареям. На следующий день гидросамолёты впервые производили корректировку огня корабельной артиллерии.</w:t>
      </w:r>
    </w:p>
    <w:p w14:paraId="6AAA1F79" w14:textId="77777777" w:rsidR="004B4E35" w:rsidRPr="00405303" w:rsidRDefault="009E6F82" w:rsidP="00C15251">
      <w:pPr>
        <w:jc w:val="both"/>
        <w:rPr>
          <w:bCs/>
          <w:color w:val="002060"/>
          <w:sz w:val="16"/>
          <w:szCs w:val="16"/>
        </w:rPr>
      </w:pPr>
      <w:r w:rsidRPr="00405303">
        <w:rPr>
          <w:bCs/>
          <w:color w:val="002060"/>
          <w:sz w:val="16"/>
          <w:szCs w:val="16"/>
        </w:rPr>
        <w:t>Очередной авиатранспорт "Память Меркурия" в свой первый поход отправился 20 апреля 1915 г., но его служба была недолгой.</w:t>
      </w:r>
    </w:p>
    <w:p w14:paraId="1B865E45" w14:textId="77777777" w:rsidR="004B4E35" w:rsidRPr="00405303" w:rsidRDefault="009E6F82" w:rsidP="00C15251">
      <w:pPr>
        <w:jc w:val="both"/>
        <w:rPr>
          <w:bCs/>
          <w:color w:val="002060"/>
          <w:sz w:val="16"/>
          <w:szCs w:val="16"/>
        </w:rPr>
      </w:pPr>
      <w:r w:rsidRPr="00405303">
        <w:rPr>
          <w:bCs/>
          <w:color w:val="002060"/>
          <w:sz w:val="16"/>
          <w:szCs w:val="16"/>
        </w:rPr>
        <w:t>Отчёты начальников авиационных отрядов позволяют охарактеризовать обстановку, в которой приходилось действовать черноморским лётчикам и относиться к ним с должным уважением.</w:t>
      </w:r>
    </w:p>
    <w:p w14:paraId="0CDB3378" w14:textId="77777777" w:rsidR="004B4E35" w:rsidRPr="00405303" w:rsidRDefault="009E6F82" w:rsidP="00C15251">
      <w:pPr>
        <w:jc w:val="both"/>
        <w:rPr>
          <w:bCs/>
          <w:color w:val="002060"/>
          <w:sz w:val="16"/>
          <w:szCs w:val="16"/>
        </w:rPr>
      </w:pPr>
      <w:r w:rsidRPr="00405303">
        <w:rPr>
          <w:bCs/>
          <w:color w:val="002060"/>
          <w:sz w:val="16"/>
          <w:szCs w:val="16"/>
        </w:rPr>
        <w:t>Из отчёта начальника авиационного отряда Б-2 лейтенанта В.В.Утгофа*: "19 апреля отряд,, состоявший из четырёх лётоющих лодок "Кертисса", имел зодочу наблюдения за Босфором. Рано утром флот пришёл в точку Аз у Босфора, ив 7 ч 10 мин с "Евстафия" последовал сигналo"спустить гидро". В 7 ч 23 мин взлетел лейтенант Коведяев с наблюдателем моторным унтер- офицером Бабиным-Волынским и отправился на разведку к Босфору". Экипаж обнаружил подводную лодку, пароход в виде тральщика, судно, буксировавшее большую баржу с пассажирами и несколько парусников. Вылетевший через час лейтенант Лучанинов с наблюдателем моторным унтер-офицером Семёновым, доложил, что пролив свободен. В 9 ч 15мин на разведку вылетел лейтенант Утгоф с наблюдателем моторным унтер-офицером Аристовым. Вернувшись в11 ч 25 мин, он доложил об отсутствии кораблей в проливе и на походах к нему. Наблюдая стрельбу 2-й бригады, он видел столбы дыма и пыли на мысу Эльмас, дым около батареи Пайрес, несколько 12-ти дюймовых снарядов, упавших в воду. Когда 2-я бригада начала поворачивать направо, она открыла стрельбу из орудий мелкого калибра и пулемётов. Полагая, что там усмотрена подводная лодка, лейтенант Утгоф тщательно осмотрел обследуемый район и сообщил, что нигде вблизи подводных лодок нет. В 11.01 на разведку вылетел лейтенант Рагозин, но через 15 мин. сел на воду из-за порчи мотора и был прибуксирован к вспомогательному крейсеру "Император Николай I" быстроходным катером.</w:t>
      </w:r>
    </w:p>
    <w:p w14:paraId="50523120" w14:textId="77777777" w:rsidR="004B4E35" w:rsidRPr="00405303" w:rsidRDefault="009E6F82" w:rsidP="00C15251">
      <w:pPr>
        <w:jc w:val="both"/>
        <w:rPr>
          <w:bCs/>
          <w:color w:val="002060"/>
          <w:sz w:val="16"/>
          <w:szCs w:val="16"/>
        </w:rPr>
      </w:pPr>
      <w:r w:rsidRPr="00405303">
        <w:rPr>
          <w:bCs/>
          <w:color w:val="002060"/>
          <w:sz w:val="16"/>
          <w:szCs w:val="16"/>
        </w:rPr>
        <w:t>В этот день на разведку вылетали ещё два самолёта, пока в 13 часов с "Евстафия" не передали семафором "гидро больше не поднимать" (11930).</w:t>
      </w:r>
    </w:p>
    <w:p w14:paraId="7C336ABE" w14:textId="77777777" w:rsidR="004B4E35" w:rsidRPr="00405303" w:rsidRDefault="004B4E35" w:rsidP="00C15251">
      <w:pPr>
        <w:jc w:val="both"/>
        <w:rPr>
          <w:bCs/>
          <w:color w:val="002060"/>
          <w:sz w:val="16"/>
          <w:szCs w:val="16"/>
        </w:rPr>
      </w:pPr>
    </w:p>
    <w:p w14:paraId="5B92FE39" w14:textId="77777777" w:rsidR="004A1645" w:rsidRPr="00405303" w:rsidRDefault="004A1645" w:rsidP="00C15251">
      <w:pPr>
        <w:jc w:val="both"/>
        <w:rPr>
          <w:bCs/>
          <w:i/>
          <w:color w:val="002060"/>
          <w:sz w:val="16"/>
          <w:szCs w:val="16"/>
        </w:rPr>
      </w:pPr>
      <w:r w:rsidRPr="00405303">
        <w:rPr>
          <w:bCs/>
          <w:i/>
          <w:color w:val="002060"/>
          <w:sz w:val="16"/>
          <w:szCs w:val="16"/>
        </w:rPr>
        <w:t>Армия:</w:t>
      </w:r>
    </w:p>
    <w:p w14:paraId="312FACA5" w14:textId="77777777" w:rsidR="004A1645" w:rsidRPr="00405303" w:rsidRDefault="004A1645" w:rsidP="00C15251">
      <w:pPr>
        <w:jc w:val="both"/>
        <w:rPr>
          <w:bCs/>
          <w:i/>
          <w:color w:val="002060"/>
          <w:sz w:val="16"/>
          <w:szCs w:val="16"/>
        </w:rPr>
      </w:pPr>
    </w:p>
    <w:p w14:paraId="0CFF0AEA" w14:textId="1F6C1666" w:rsidR="004A1645" w:rsidRPr="00405303" w:rsidRDefault="004A1645" w:rsidP="00C15251">
      <w:pPr>
        <w:jc w:val="both"/>
        <w:rPr>
          <w:bCs/>
          <w:color w:val="002060"/>
          <w:sz w:val="16"/>
          <w:szCs w:val="16"/>
        </w:rPr>
      </w:pPr>
      <w:r w:rsidRPr="00405303">
        <w:rPr>
          <w:bCs/>
          <w:color w:val="002060"/>
          <w:sz w:val="16"/>
          <w:szCs w:val="16"/>
        </w:rPr>
        <w:t xml:space="preserve">27 февраля </w:t>
      </w:r>
      <w:r w:rsidR="003E40CC" w:rsidRPr="00405303">
        <w:rPr>
          <w:bCs/>
          <w:color w:val="002060"/>
          <w:sz w:val="16"/>
          <w:szCs w:val="16"/>
        </w:rPr>
        <w:t xml:space="preserve">(12 марта) </w:t>
      </w:r>
      <w:r w:rsidRPr="00405303">
        <w:rPr>
          <w:bCs/>
          <w:color w:val="002060"/>
          <w:sz w:val="16"/>
          <w:szCs w:val="16"/>
        </w:rPr>
        <w:t>в 1915 году 1-й и 2-й Сибирские корпуса нанесли поражение немецкой армейской группе генерала Гальвица, отбили город Прасныш и отбросили противника в Восточную Пруссию, захватив 10 тыс. пленных (15053).</w:t>
      </w:r>
    </w:p>
    <w:p w14:paraId="2F5265BC" w14:textId="77777777" w:rsidR="004A1645" w:rsidRPr="00405303" w:rsidRDefault="004A1645" w:rsidP="00C15251">
      <w:pPr>
        <w:jc w:val="both"/>
        <w:rPr>
          <w:bCs/>
          <w:color w:val="002060"/>
          <w:sz w:val="16"/>
          <w:szCs w:val="16"/>
        </w:rPr>
      </w:pPr>
    </w:p>
    <w:p w14:paraId="0715B604" w14:textId="77777777" w:rsidR="00DE7C39" w:rsidRPr="00405303" w:rsidRDefault="00DE7C39" w:rsidP="00C15251">
      <w:pPr>
        <w:jc w:val="both"/>
        <w:rPr>
          <w:bCs/>
          <w:i/>
          <w:color w:val="002060"/>
          <w:sz w:val="16"/>
          <w:szCs w:val="16"/>
        </w:rPr>
      </w:pPr>
      <w:r w:rsidRPr="00405303">
        <w:rPr>
          <w:bCs/>
          <w:i/>
          <w:color w:val="002060"/>
          <w:sz w:val="16"/>
          <w:szCs w:val="16"/>
        </w:rPr>
        <w:t>Внешняя политика:</w:t>
      </w:r>
    </w:p>
    <w:p w14:paraId="66F46D53" w14:textId="77777777" w:rsidR="00DE7C39" w:rsidRPr="00405303" w:rsidRDefault="00DE7C39" w:rsidP="00C15251">
      <w:pPr>
        <w:jc w:val="both"/>
        <w:rPr>
          <w:bCs/>
          <w:i/>
          <w:color w:val="002060"/>
          <w:sz w:val="16"/>
          <w:szCs w:val="16"/>
        </w:rPr>
      </w:pPr>
    </w:p>
    <w:p w14:paraId="4A12F9FE" w14:textId="77777777" w:rsidR="00DE7C39" w:rsidRPr="00405303" w:rsidRDefault="00DE7C39" w:rsidP="00C15251">
      <w:pPr>
        <w:jc w:val="both"/>
        <w:rPr>
          <w:bCs/>
          <w:color w:val="002060"/>
          <w:sz w:val="16"/>
          <w:szCs w:val="16"/>
        </w:rPr>
      </w:pPr>
      <w:r w:rsidRPr="00405303">
        <w:rPr>
          <w:bCs/>
          <w:color w:val="002060"/>
          <w:sz w:val="16"/>
          <w:szCs w:val="16"/>
        </w:rPr>
        <w:t>27 февраля (12 марта) в 1915 году британское правительство дает принципиальное согласие на аннексию Константинополя Россией (15066).</w:t>
      </w:r>
    </w:p>
    <w:p w14:paraId="550D743E" w14:textId="0A317D29" w:rsidR="00DE7C39" w:rsidRPr="00405303" w:rsidRDefault="00DE7C39" w:rsidP="00C15251">
      <w:pPr>
        <w:jc w:val="both"/>
        <w:rPr>
          <w:bCs/>
          <w:color w:val="002060"/>
          <w:sz w:val="16"/>
          <w:szCs w:val="16"/>
        </w:rPr>
      </w:pPr>
    </w:p>
    <w:p w14:paraId="279B4EDC" w14:textId="0AF27B51" w:rsidR="002F68F4" w:rsidRPr="00405303" w:rsidRDefault="002F68F4" w:rsidP="00C15251">
      <w:pPr>
        <w:jc w:val="both"/>
        <w:rPr>
          <w:bCs/>
          <w:i/>
          <w:iCs/>
          <w:color w:val="002060"/>
          <w:sz w:val="16"/>
          <w:szCs w:val="16"/>
        </w:rPr>
      </w:pPr>
      <w:r w:rsidRPr="00405303">
        <w:rPr>
          <w:bCs/>
          <w:i/>
          <w:iCs/>
          <w:color w:val="002060"/>
          <w:sz w:val="16"/>
          <w:szCs w:val="16"/>
        </w:rPr>
        <w:t>Авиация и воздухоплавание за рубежом:</w:t>
      </w:r>
    </w:p>
    <w:p w14:paraId="386177C9" w14:textId="77777777" w:rsidR="002F68F4" w:rsidRPr="00405303" w:rsidRDefault="002F68F4" w:rsidP="00C15251">
      <w:pPr>
        <w:jc w:val="both"/>
        <w:rPr>
          <w:bCs/>
          <w:i/>
          <w:iCs/>
          <w:color w:val="002060"/>
          <w:sz w:val="16"/>
          <w:szCs w:val="16"/>
        </w:rPr>
      </w:pPr>
    </w:p>
    <w:p w14:paraId="37060FC1" w14:textId="6925965E" w:rsidR="002F68F4" w:rsidRPr="00405303" w:rsidRDefault="002F68F4" w:rsidP="00C15251">
      <w:pPr>
        <w:jc w:val="both"/>
        <w:rPr>
          <w:bCs/>
          <w:color w:val="002060"/>
          <w:sz w:val="16"/>
          <w:szCs w:val="16"/>
        </w:rPr>
      </w:pPr>
      <w:r w:rsidRPr="00405303">
        <w:rPr>
          <w:bCs/>
          <w:color w:val="002060"/>
          <w:sz w:val="16"/>
          <w:szCs w:val="16"/>
        </w:rPr>
        <w:t>27 февраля (12 марта) 1915</w:t>
      </w:r>
      <w:r w:rsidR="00DB4D64" w:rsidRPr="00405303">
        <w:rPr>
          <w:bCs/>
          <w:color w:val="002060"/>
          <w:sz w:val="16"/>
          <w:szCs w:val="16"/>
        </w:rPr>
        <w:t xml:space="preserve"> </w:t>
      </w:r>
      <w:r w:rsidRPr="00405303">
        <w:rPr>
          <w:bCs/>
          <w:color w:val="002060"/>
          <w:sz w:val="16"/>
          <w:szCs w:val="16"/>
        </w:rPr>
        <w:t>- Мировой рекорд продолжительности полета установлен в Сан-Диего (США) на биплане Burgess H с экипажем из пилота и двух пассажиров - 7 часов 5 минут (22570).</w:t>
      </w:r>
    </w:p>
    <w:p w14:paraId="7E97374D" w14:textId="77777777" w:rsidR="002F68F4" w:rsidRPr="00405303" w:rsidRDefault="002F68F4" w:rsidP="00C15251">
      <w:pPr>
        <w:shd w:val="clear" w:color="auto" w:fill="FFFFFF"/>
        <w:jc w:val="both"/>
        <w:rPr>
          <w:bCs/>
          <w:color w:val="002060"/>
          <w:sz w:val="16"/>
          <w:szCs w:val="16"/>
          <w:shd w:val="clear" w:color="auto" w:fill="FFFFFF"/>
        </w:rPr>
      </w:pPr>
    </w:p>
    <w:p w14:paraId="003148BE"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7DC048CF" w14:textId="77777777" w:rsidR="004B4E35" w:rsidRPr="00405303" w:rsidRDefault="004B4E35" w:rsidP="00C15251">
      <w:pPr>
        <w:jc w:val="both"/>
        <w:rPr>
          <w:bCs/>
          <w:i/>
          <w:color w:val="002060"/>
          <w:sz w:val="16"/>
          <w:szCs w:val="16"/>
        </w:rPr>
      </w:pPr>
    </w:p>
    <w:p w14:paraId="54B61859" w14:textId="77777777" w:rsidR="004B4E35" w:rsidRPr="00405303" w:rsidRDefault="009E6F82" w:rsidP="00C15251">
      <w:pPr>
        <w:jc w:val="both"/>
        <w:rPr>
          <w:bCs/>
          <w:color w:val="002060"/>
          <w:sz w:val="16"/>
          <w:szCs w:val="16"/>
        </w:rPr>
      </w:pPr>
      <w:r w:rsidRPr="00405303">
        <w:rPr>
          <w:bCs/>
          <w:color w:val="002060"/>
          <w:sz w:val="16"/>
          <w:szCs w:val="16"/>
        </w:rPr>
        <w:t>28 февраля (13 марта) 1915 г. на заседании Комиссии по заготовке взрывчатых веществ было предложено для лучшего обеспечения снабжения заводов серной кислотой осуществить реквизицию колчеданов на месте их добычи, улучшить подъездные пути к рудникам и вообще принять "самые энергичные меры для предотвращения грозящей остановки всей химической промышленности". Также предлагалось произвести учет всех наличных запасов уже добытого колчедана, имеющегося на заводах, и расходовать их централизованно, имея в виду в первую очередь потребность военного ведомства (РГВИА, ф. 507, оп. 2, д. 72, л. 30.) (11781).</w:t>
      </w:r>
    </w:p>
    <w:p w14:paraId="68D0ECD0" w14:textId="77777777" w:rsidR="004B4E35" w:rsidRPr="00405303" w:rsidRDefault="004B4E35" w:rsidP="00C15251">
      <w:pPr>
        <w:jc w:val="both"/>
        <w:rPr>
          <w:bCs/>
          <w:color w:val="002060"/>
          <w:sz w:val="16"/>
          <w:szCs w:val="16"/>
        </w:rPr>
      </w:pPr>
    </w:p>
    <w:p w14:paraId="3219E9A4" w14:textId="77777777" w:rsidR="004A1645" w:rsidRPr="00405303" w:rsidRDefault="004A1645" w:rsidP="00C15251">
      <w:pPr>
        <w:shd w:val="clear" w:color="auto" w:fill="FFFFFF"/>
        <w:jc w:val="both"/>
        <w:rPr>
          <w:bCs/>
          <w:i/>
          <w:color w:val="002060"/>
          <w:sz w:val="16"/>
          <w:szCs w:val="16"/>
        </w:rPr>
      </w:pPr>
      <w:r w:rsidRPr="00405303">
        <w:rPr>
          <w:bCs/>
          <w:i/>
          <w:color w:val="002060"/>
          <w:sz w:val="16"/>
          <w:szCs w:val="16"/>
        </w:rPr>
        <w:t>Авиация:</w:t>
      </w:r>
    </w:p>
    <w:p w14:paraId="2724F8A5" w14:textId="77777777" w:rsidR="004A1645" w:rsidRPr="00405303" w:rsidRDefault="004A1645" w:rsidP="00C15251">
      <w:pPr>
        <w:shd w:val="clear" w:color="auto" w:fill="FFFFFF"/>
        <w:jc w:val="both"/>
        <w:rPr>
          <w:bCs/>
          <w:i/>
          <w:color w:val="002060"/>
          <w:sz w:val="16"/>
          <w:szCs w:val="16"/>
        </w:rPr>
      </w:pPr>
    </w:p>
    <w:p w14:paraId="50639108" w14:textId="0931876F" w:rsidR="004A1645" w:rsidRPr="00405303" w:rsidRDefault="004A1645" w:rsidP="00C15251">
      <w:pPr>
        <w:jc w:val="both"/>
        <w:rPr>
          <w:bCs/>
          <w:color w:val="002060"/>
          <w:sz w:val="16"/>
          <w:szCs w:val="16"/>
        </w:rPr>
      </w:pPr>
      <w:r w:rsidRPr="00405303">
        <w:rPr>
          <w:bCs/>
          <w:color w:val="002060"/>
          <w:sz w:val="16"/>
          <w:szCs w:val="16"/>
        </w:rPr>
        <w:t xml:space="preserve">28 февраля </w:t>
      </w:r>
      <w:r w:rsidR="003E40CC" w:rsidRPr="00405303">
        <w:rPr>
          <w:bCs/>
          <w:color w:val="002060"/>
          <w:sz w:val="16"/>
          <w:szCs w:val="16"/>
        </w:rPr>
        <w:t xml:space="preserve">(13 марта) </w:t>
      </w:r>
      <w:r w:rsidRPr="00405303">
        <w:rPr>
          <w:bCs/>
          <w:color w:val="002060"/>
          <w:sz w:val="16"/>
          <w:szCs w:val="16"/>
        </w:rPr>
        <w:t>1915 г. Начальник штаба ВГК, обращаясь к Начальнику ГШ в письме, посетовал, что подготовка летчиков оставляет желать лучшего. В результате обмена мнениями было решено переработать программы обучения в соответствии с опытом войны во всех летных школах (19566).</w:t>
      </w:r>
    </w:p>
    <w:p w14:paraId="16BFB780" w14:textId="77777777" w:rsidR="004A1645" w:rsidRPr="00405303" w:rsidRDefault="004A1645" w:rsidP="00C15251">
      <w:pPr>
        <w:jc w:val="both"/>
        <w:rPr>
          <w:bCs/>
          <w:color w:val="002060"/>
          <w:sz w:val="16"/>
          <w:szCs w:val="16"/>
        </w:rPr>
      </w:pPr>
    </w:p>
    <w:p w14:paraId="177D7DDC" w14:textId="64BD7124" w:rsidR="003C09C3" w:rsidRPr="00405303" w:rsidRDefault="003C09C3" w:rsidP="00C15251">
      <w:pPr>
        <w:jc w:val="both"/>
        <w:rPr>
          <w:bCs/>
          <w:color w:val="002060"/>
          <w:sz w:val="16"/>
          <w:szCs w:val="16"/>
          <w:lang w:bidi="en-US"/>
        </w:rPr>
      </w:pPr>
      <w:r w:rsidRPr="00405303">
        <w:rPr>
          <w:bCs/>
          <w:color w:val="002060"/>
          <w:sz w:val="16"/>
          <w:szCs w:val="16"/>
          <w:lang w:bidi="en-US"/>
        </w:rPr>
        <w:t>28 февраля (13 марта) 1915 г. были сформированы следующие части: 26-й КАО (бывший АО «Брест-Литовская крепость»), 27-й КАО (бывший АО «Ковенская крепость»), 28-й КАО (бывший АО «Гродненская крепость»), 29-й КАО (бывший АО «Осовецкая крепость») и 30-й КАО (бывший АО «Осовецкая крепость»). бывшая Севастопольская крепость АО) (23525).</w:t>
      </w:r>
    </w:p>
    <w:p w14:paraId="44522063" w14:textId="77777777" w:rsidR="003C09C3" w:rsidRPr="00405303" w:rsidRDefault="003C09C3" w:rsidP="00C15251">
      <w:pPr>
        <w:jc w:val="both"/>
        <w:rPr>
          <w:bCs/>
          <w:i/>
          <w:iCs/>
          <w:color w:val="002060"/>
          <w:sz w:val="16"/>
          <w:szCs w:val="16"/>
        </w:rPr>
      </w:pPr>
    </w:p>
    <w:p w14:paraId="46ABE2AE" w14:textId="77777777" w:rsidR="00023F36" w:rsidRPr="00405303" w:rsidRDefault="00023F36" w:rsidP="00C15251">
      <w:pPr>
        <w:jc w:val="both"/>
        <w:rPr>
          <w:bCs/>
          <w:color w:val="002060"/>
          <w:sz w:val="16"/>
          <w:szCs w:val="16"/>
        </w:rPr>
      </w:pPr>
      <w:r w:rsidRPr="00405303">
        <w:rPr>
          <w:bCs/>
          <w:color w:val="002060"/>
          <w:sz w:val="16"/>
          <w:szCs w:val="16"/>
        </w:rPr>
        <w:t>28 февраля (13 марта) 1915 г. в целях увеличения авиационных средств действующей армии четыре из восьми крепостных авиаотрядов /Ковенский, Гродненский, Осовецкий и севастопольский/ переформированы по штатам корпусных авиаотрядов с присвоением им порядковых номеров соответствен</w:t>
      </w:r>
      <w:r w:rsidRPr="00405303">
        <w:rPr>
          <w:bCs/>
          <w:color w:val="002060"/>
          <w:sz w:val="16"/>
          <w:szCs w:val="16"/>
        </w:rPr>
        <w:softHyphen/>
        <w:t>но 27, 28, 29 и 30-й. Первые два отряда были переданы Х-й армии, тре</w:t>
      </w:r>
      <w:r w:rsidRPr="00405303">
        <w:rPr>
          <w:bCs/>
          <w:color w:val="002060"/>
          <w:sz w:val="16"/>
          <w:szCs w:val="16"/>
        </w:rPr>
        <w:softHyphen/>
        <w:t>ний - 1-й и последний - IX армии.</w:t>
      </w:r>
    </w:p>
    <w:p w14:paraId="4B24010E" w14:textId="77777777" w:rsidR="00023F36" w:rsidRPr="00405303" w:rsidRDefault="00023F36" w:rsidP="00C15251">
      <w:pPr>
        <w:jc w:val="both"/>
        <w:rPr>
          <w:bCs/>
          <w:color w:val="002060"/>
          <w:sz w:val="16"/>
          <w:szCs w:val="16"/>
        </w:rPr>
      </w:pPr>
      <w:r w:rsidRPr="00405303">
        <w:rPr>
          <w:bCs/>
          <w:color w:val="002060"/>
          <w:sz w:val="16"/>
          <w:szCs w:val="16"/>
        </w:rPr>
        <w:t>/Приказ ВКК от 28 февраля 1915 г.№ 144/ (23320).</w:t>
      </w:r>
    </w:p>
    <w:p w14:paraId="3F4959BE" w14:textId="77777777" w:rsidR="00023F36" w:rsidRPr="00405303" w:rsidRDefault="00023F36" w:rsidP="00C15251">
      <w:pPr>
        <w:jc w:val="both"/>
        <w:rPr>
          <w:bCs/>
          <w:color w:val="002060"/>
          <w:sz w:val="16"/>
          <w:szCs w:val="16"/>
        </w:rPr>
      </w:pPr>
    </w:p>
    <w:p w14:paraId="6FAAD9E0" w14:textId="77777777" w:rsidR="00B442E5" w:rsidRPr="00405303" w:rsidRDefault="00B442E5" w:rsidP="00B442E5">
      <w:pPr>
        <w:jc w:val="both"/>
        <w:rPr>
          <w:color w:val="0070C0"/>
          <w:sz w:val="16"/>
          <w:szCs w:val="16"/>
        </w:rPr>
      </w:pPr>
      <w:r w:rsidRPr="00405303">
        <w:rPr>
          <w:color w:val="0070C0"/>
          <w:sz w:val="16"/>
          <w:szCs w:val="16"/>
        </w:rPr>
        <w:t>28 февраля (13 марта) 1915 г. бомбардировки аэродрома Эскадры заставили русское командование принять экстренные меры по его защите и в частности, руководство УЭВК издало специальный приказ № 59 (п. 5), согласно которому из состава 23-й роты Новогеоргиевской крепостной артиллерии был откомандирован зенитный артиллерийский отряд (2 орудия) под командованием прапорщика Б.Н. Юрьева (будущего известного советского специалиста в области аэродинамики и вертолетостроения). Ранее туда же прибыла батарея в составе двух гаубиц. Также задачу по противовоздушному прикрытию аэродрома тяжелых бомбардировщиков осуществляла зенитная батарея из состава Офицерской артиллерийской школы (командир – штабс-капитан де Б.Б. Поллини, 2 орудия) (25135).</w:t>
      </w:r>
    </w:p>
    <w:p w14:paraId="08754803" w14:textId="77777777" w:rsidR="00B442E5" w:rsidRPr="00405303" w:rsidRDefault="00B442E5" w:rsidP="00B442E5">
      <w:pPr>
        <w:jc w:val="both"/>
        <w:rPr>
          <w:color w:val="0070C0"/>
          <w:sz w:val="16"/>
          <w:szCs w:val="16"/>
        </w:rPr>
      </w:pPr>
    </w:p>
    <w:p w14:paraId="31FB32CB" w14:textId="0948B810" w:rsidR="00A72F81" w:rsidRPr="00405303" w:rsidRDefault="00A72F81" w:rsidP="00C15251">
      <w:pPr>
        <w:jc w:val="both"/>
        <w:rPr>
          <w:bCs/>
          <w:color w:val="002060"/>
          <w:sz w:val="16"/>
          <w:szCs w:val="16"/>
        </w:rPr>
      </w:pPr>
      <w:r w:rsidRPr="00405303">
        <w:rPr>
          <w:bCs/>
          <w:color w:val="002060"/>
          <w:sz w:val="16"/>
          <w:szCs w:val="16"/>
          <w:lang w:bidi="en-US"/>
        </w:rPr>
        <w:t>28 февраля (13 марта) 1915 г. ИМ-Киевский (ИМ-</w:t>
      </w:r>
      <w:r w:rsidRPr="00405303">
        <w:rPr>
          <w:bCs/>
          <w:color w:val="002060"/>
          <w:sz w:val="16"/>
          <w:szCs w:val="16"/>
          <w:lang w:val="en-US" w:bidi="en-US"/>
        </w:rPr>
        <w:t>VII</w:t>
      </w:r>
      <w:r w:rsidRPr="00405303">
        <w:rPr>
          <w:bCs/>
          <w:color w:val="002060"/>
          <w:sz w:val="16"/>
          <w:szCs w:val="16"/>
          <w:lang w:bidi="en-US"/>
        </w:rPr>
        <w:t xml:space="preserve">) под командованием капитана Г.Г. Горшкова, базировавшийся в Яблонне под Варшавой, совершил свой первый разведывательный вылет вдоль реки Вислы. Им не удалось обнаружить переправы противника, и они сбросили 262 кг бомб на немецкие позиции. Другим </w:t>
      </w:r>
      <w:r w:rsidRPr="00405303">
        <w:rPr>
          <w:bCs/>
          <w:color w:val="002060"/>
          <w:sz w:val="16"/>
          <w:szCs w:val="16"/>
          <w:lang w:val="en-US" w:bidi="en-US"/>
        </w:rPr>
        <w:t>EVK</w:t>
      </w:r>
      <w:r w:rsidRPr="00405303">
        <w:rPr>
          <w:bCs/>
          <w:color w:val="002060"/>
          <w:sz w:val="16"/>
          <w:szCs w:val="16"/>
          <w:lang w:bidi="en-US"/>
        </w:rPr>
        <w:t xml:space="preserve"> </w:t>
      </w:r>
      <w:r w:rsidRPr="00405303">
        <w:rPr>
          <w:bCs/>
          <w:color w:val="002060"/>
          <w:sz w:val="16"/>
          <w:szCs w:val="16"/>
          <w:lang w:val="en-US" w:bidi="en-US"/>
        </w:rPr>
        <w:t>IM</w:t>
      </w:r>
      <w:r w:rsidRPr="00405303">
        <w:rPr>
          <w:bCs/>
          <w:color w:val="002060"/>
          <w:sz w:val="16"/>
          <w:szCs w:val="16"/>
          <w:lang w:bidi="en-US"/>
        </w:rPr>
        <w:t xml:space="preserve"> повезло меньше: </w:t>
      </w:r>
      <w:r w:rsidRPr="00405303">
        <w:rPr>
          <w:bCs/>
          <w:color w:val="002060"/>
          <w:sz w:val="16"/>
          <w:szCs w:val="16"/>
          <w:lang w:bidi="en-US"/>
        </w:rPr>
        <w:softHyphen/>
        <w:t>26 февраля разбился двухмоторный ИМ-</w:t>
      </w:r>
      <w:r w:rsidRPr="00405303">
        <w:rPr>
          <w:bCs/>
          <w:color w:val="002060"/>
          <w:sz w:val="16"/>
          <w:szCs w:val="16"/>
          <w:lang w:val="en-US" w:bidi="en-US"/>
        </w:rPr>
        <w:t>VI</w:t>
      </w:r>
      <w:r w:rsidRPr="00405303">
        <w:rPr>
          <w:bCs/>
          <w:color w:val="002060"/>
          <w:sz w:val="16"/>
          <w:szCs w:val="16"/>
          <w:lang w:bidi="en-US"/>
        </w:rPr>
        <w:t>; 13 мая был поврежден ИМ-</w:t>
      </w:r>
      <w:r w:rsidRPr="00405303">
        <w:rPr>
          <w:bCs/>
          <w:color w:val="002060"/>
          <w:sz w:val="16"/>
          <w:szCs w:val="16"/>
          <w:lang w:val="en-US" w:bidi="en-US"/>
        </w:rPr>
        <w:t>III</w:t>
      </w:r>
      <w:r w:rsidRPr="00405303">
        <w:rPr>
          <w:bCs/>
          <w:color w:val="002060"/>
          <w:sz w:val="16"/>
          <w:szCs w:val="16"/>
          <w:lang w:bidi="en-US"/>
        </w:rPr>
        <w:t>; к концу мая ИМ-</w:t>
      </w:r>
      <w:r w:rsidRPr="00405303">
        <w:rPr>
          <w:bCs/>
          <w:color w:val="002060"/>
          <w:sz w:val="16"/>
          <w:szCs w:val="16"/>
          <w:lang w:val="en-US" w:bidi="en-US"/>
        </w:rPr>
        <w:t>I</w:t>
      </w:r>
      <w:r w:rsidRPr="00405303">
        <w:rPr>
          <w:bCs/>
          <w:color w:val="002060"/>
          <w:sz w:val="16"/>
          <w:szCs w:val="16"/>
          <w:lang w:bidi="en-US"/>
        </w:rPr>
        <w:t>, ИМ-</w:t>
      </w:r>
      <w:r w:rsidRPr="00405303">
        <w:rPr>
          <w:bCs/>
          <w:color w:val="002060"/>
          <w:sz w:val="16"/>
          <w:szCs w:val="16"/>
          <w:lang w:val="en-US" w:bidi="en-US"/>
        </w:rPr>
        <w:t>II</w:t>
      </w:r>
      <w:r w:rsidRPr="00405303">
        <w:rPr>
          <w:bCs/>
          <w:color w:val="002060"/>
          <w:sz w:val="16"/>
          <w:szCs w:val="16"/>
          <w:lang w:bidi="en-US"/>
        </w:rPr>
        <w:t>, ИМ-</w:t>
      </w:r>
      <w:r w:rsidRPr="00405303">
        <w:rPr>
          <w:bCs/>
          <w:color w:val="002060"/>
          <w:sz w:val="16"/>
          <w:szCs w:val="16"/>
          <w:lang w:val="en-US" w:bidi="en-US"/>
        </w:rPr>
        <w:t>III</w:t>
      </w:r>
      <w:r w:rsidRPr="00405303">
        <w:rPr>
          <w:bCs/>
          <w:color w:val="002060"/>
          <w:sz w:val="16"/>
          <w:szCs w:val="16"/>
          <w:lang w:bidi="en-US"/>
        </w:rPr>
        <w:t>, ИМ-</w:t>
      </w:r>
      <w:r w:rsidRPr="00405303">
        <w:rPr>
          <w:bCs/>
          <w:color w:val="002060"/>
          <w:sz w:val="16"/>
          <w:szCs w:val="16"/>
          <w:lang w:val="en-US" w:bidi="en-US"/>
        </w:rPr>
        <w:t>V</w:t>
      </w:r>
      <w:r w:rsidRPr="00405303">
        <w:rPr>
          <w:bCs/>
          <w:color w:val="002060"/>
          <w:sz w:val="16"/>
          <w:szCs w:val="16"/>
          <w:lang w:bidi="en-US"/>
        </w:rPr>
        <w:t xml:space="preserve"> и ИМ-</w:t>
      </w:r>
      <w:r w:rsidRPr="00405303">
        <w:rPr>
          <w:bCs/>
          <w:color w:val="002060"/>
          <w:sz w:val="16"/>
          <w:szCs w:val="16"/>
          <w:lang w:val="en-US" w:bidi="en-US"/>
        </w:rPr>
        <w:t>VI</w:t>
      </w:r>
      <w:r w:rsidRPr="00405303">
        <w:rPr>
          <w:bCs/>
          <w:color w:val="002060"/>
          <w:sz w:val="16"/>
          <w:szCs w:val="16"/>
          <w:lang w:bidi="en-US"/>
        </w:rPr>
        <w:t xml:space="preserve"> были списаны из-за сильного износа и не годились даже в качестве учебных (23525)</w:t>
      </w:r>
    </w:p>
    <w:p w14:paraId="0CD85CEE" w14:textId="77777777" w:rsidR="00A72F81" w:rsidRPr="00405303" w:rsidRDefault="00A72F81" w:rsidP="00C15251">
      <w:pPr>
        <w:jc w:val="both"/>
        <w:rPr>
          <w:bCs/>
          <w:color w:val="002060"/>
          <w:sz w:val="16"/>
          <w:szCs w:val="16"/>
        </w:rPr>
      </w:pPr>
    </w:p>
    <w:p w14:paraId="6371DF5D" w14:textId="6EE7194D" w:rsidR="00A72F81" w:rsidRPr="00405303" w:rsidRDefault="00A72F81" w:rsidP="00C15251">
      <w:pPr>
        <w:jc w:val="both"/>
        <w:rPr>
          <w:bCs/>
          <w:color w:val="002060"/>
          <w:sz w:val="16"/>
          <w:szCs w:val="16"/>
        </w:rPr>
      </w:pPr>
      <w:r w:rsidRPr="00405303">
        <w:rPr>
          <w:bCs/>
          <w:color w:val="002060"/>
          <w:sz w:val="16"/>
          <w:szCs w:val="16"/>
        </w:rPr>
        <w:t xml:space="preserve">28 февраля </w:t>
      </w:r>
      <w:r w:rsidRPr="00405303">
        <w:rPr>
          <w:bCs/>
          <w:color w:val="002060"/>
          <w:sz w:val="16"/>
          <w:szCs w:val="16"/>
          <w:lang w:bidi="en-US"/>
        </w:rPr>
        <w:t xml:space="preserve">(13 марта) </w:t>
      </w:r>
      <w:r w:rsidRPr="00405303">
        <w:rPr>
          <w:bCs/>
          <w:color w:val="002060"/>
          <w:sz w:val="16"/>
          <w:szCs w:val="16"/>
        </w:rPr>
        <w:t>1915 г. рано утром в небе над Гродно вновь появились два германских аэроплана. «Один из них спускался довольно низко и около 12 часов дня сбросил две бомбы, из коих одна, предназначенная для добровольного госпиталя генеральши Кайгородовой, упала в 100 саженях от названного госпиталя, в сад при доме почтово</w:t>
      </w:r>
      <w:r w:rsidRPr="00405303">
        <w:rPr>
          <w:bCs/>
          <w:color w:val="002060"/>
          <w:sz w:val="16"/>
          <w:szCs w:val="16"/>
        </w:rPr>
        <w:softHyphen/>
        <w:t>телеграфного чиновника Патрека, находящегося на Полевой улице; бомба эта разорвалась, но вреда никакого не причинила, а вторая упала на Полицейской улице, во двор дома мещанина Либы Гершуни, на крышу каменного флигеля, часть которого: сени и коридор разрушены, в жилом помещении выбиты стекла и осколком стекла легко ранен в голову сын квартирующей в названном флигеле крестьянки Сувалковской губернии Паулины Бобковой - Александр, 2-х лет».</w:t>
      </w:r>
    </w:p>
    <w:p w14:paraId="2292E8E0" w14:textId="77777777" w:rsidR="00A72F81" w:rsidRPr="00405303" w:rsidRDefault="00A72F81" w:rsidP="00C15251">
      <w:pPr>
        <w:jc w:val="both"/>
        <w:rPr>
          <w:bCs/>
          <w:color w:val="002060"/>
          <w:sz w:val="16"/>
          <w:szCs w:val="16"/>
        </w:rPr>
      </w:pPr>
      <w:r w:rsidRPr="00405303">
        <w:rPr>
          <w:bCs/>
          <w:color w:val="002060"/>
          <w:sz w:val="16"/>
          <w:szCs w:val="16"/>
        </w:rPr>
        <w:t>Зенитным огнем один из германских аэропланов был подстрелен, его экипаж взят в плен (23405).</w:t>
      </w:r>
    </w:p>
    <w:p w14:paraId="78FC970A" w14:textId="77777777" w:rsidR="00A72F81" w:rsidRPr="00405303" w:rsidRDefault="00A72F81" w:rsidP="00C15251">
      <w:pPr>
        <w:jc w:val="both"/>
        <w:rPr>
          <w:bCs/>
          <w:color w:val="002060"/>
          <w:sz w:val="16"/>
          <w:szCs w:val="16"/>
        </w:rPr>
      </w:pPr>
    </w:p>
    <w:p w14:paraId="0D3B4748" w14:textId="32C2A326" w:rsidR="00A72F81" w:rsidRPr="00405303" w:rsidRDefault="00A72F81" w:rsidP="00C15251">
      <w:pPr>
        <w:jc w:val="both"/>
        <w:rPr>
          <w:bCs/>
          <w:color w:val="002060"/>
          <w:sz w:val="16"/>
          <w:szCs w:val="16"/>
        </w:rPr>
      </w:pPr>
      <w:r w:rsidRPr="00405303">
        <w:rPr>
          <w:bCs/>
          <w:color w:val="002060"/>
          <w:sz w:val="16"/>
          <w:szCs w:val="16"/>
        </w:rPr>
        <w:t xml:space="preserve">28 февраля </w:t>
      </w:r>
      <w:r w:rsidRPr="00405303">
        <w:rPr>
          <w:bCs/>
          <w:color w:val="002060"/>
          <w:sz w:val="16"/>
          <w:szCs w:val="16"/>
          <w:lang w:bidi="en-US"/>
        </w:rPr>
        <w:t xml:space="preserve">(13 марта) </w:t>
      </w:r>
      <w:r w:rsidRPr="00405303">
        <w:rPr>
          <w:bCs/>
          <w:color w:val="002060"/>
          <w:sz w:val="16"/>
          <w:szCs w:val="16"/>
        </w:rPr>
        <w:t>1915 г. ИМ время второго вылета с тем же экипажем самолет пролетел над вражеской территорией и бомбил траншеи противника. Во время этого полета, который продолжался 2 часа 30 минут было обнаружено, что через Вислу в районе Плоцка не было переброшено ни одного моста.</w:t>
      </w:r>
    </w:p>
    <w:p w14:paraId="362A5752" w14:textId="77777777" w:rsidR="00A72F81" w:rsidRPr="00405303" w:rsidRDefault="00A72F81" w:rsidP="00C15251">
      <w:pPr>
        <w:jc w:val="both"/>
        <w:rPr>
          <w:bCs/>
          <w:color w:val="002060"/>
          <w:sz w:val="16"/>
          <w:szCs w:val="16"/>
        </w:rPr>
      </w:pPr>
      <w:r w:rsidRPr="00405303">
        <w:rPr>
          <w:bCs/>
          <w:color w:val="002060"/>
          <w:sz w:val="16"/>
          <w:szCs w:val="16"/>
        </w:rPr>
        <w:t>Вероятно, именно этот полет ИМ-Киевского заставил немцев обратить внимание на аэродром Муромцев. Немецкие самолеты начали появляться над Яблонной регулярно, дважды в день. Они сбросили бомбы на аэродром 28 февраля, через три часа после того, как ИМ-Киевский вернулся из своего первого боевого вылета. В большинстве случаев эти бомбы, сброшенные с вражеских самолетов, не нанесли Муромцам никакого вреда, но в самом городе Яблонна несколько человек было убито и ранено (23470).</w:t>
      </w:r>
    </w:p>
    <w:p w14:paraId="1164A72E" w14:textId="77777777" w:rsidR="00A72F81" w:rsidRPr="00405303" w:rsidRDefault="00A72F81" w:rsidP="00C15251">
      <w:pPr>
        <w:jc w:val="both"/>
        <w:rPr>
          <w:bCs/>
          <w:color w:val="002060"/>
          <w:sz w:val="16"/>
          <w:szCs w:val="16"/>
        </w:rPr>
      </w:pPr>
    </w:p>
    <w:p w14:paraId="2B2BD822" w14:textId="3CFB0050" w:rsidR="003C09C3" w:rsidRPr="00405303" w:rsidRDefault="003C09C3" w:rsidP="00C15251">
      <w:pPr>
        <w:jc w:val="both"/>
        <w:rPr>
          <w:bCs/>
          <w:i/>
          <w:color w:val="002060"/>
          <w:sz w:val="16"/>
          <w:szCs w:val="16"/>
        </w:rPr>
      </w:pPr>
      <w:r w:rsidRPr="00405303">
        <w:rPr>
          <w:bCs/>
          <w:i/>
          <w:color w:val="002060"/>
          <w:sz w:val="16"/>
          <w:szCs w:val="16"/>
        </w:rPr>
        <w:t>Морская авиация:</w:t>
      </w:r>
    </w:p>
    <w:p w14:paraId="02A0F70F" w14:textId="77777777" w:rsidR="003C09C3" w:rsidRPr="00405303" w:rsidRDefault="003C09C3" w:rsidP="00C15251">
      <w:pPr>
        <w:jc w:val="both"/>
        <w:rPr>
          <w:bCs/>
          <w:i/>
          <w:color w:val="002060"/>
          <w:sz w:val="16"/>
          <w:szCs w:val="16"/>
        </w:rPr>
      </w:pPr>
    </w:p>
    <w:p w14:paraId="7432B531" w14:textId="2156855D" w:rsidR="003C09C3" w:rsidRPr="00405303" w:rsidRDefault="00B442E5" w:rsidP="00C15251">
      <w:pPr>
        <w:jc w:val="both"/>
        <w:rPr>
          <w:bCs/>
          <w:color w:val="002060"/>
          <w:sz w:val="16"/>
          <w:szCs w:val="16"/>
        </w:rPr>
      </w:pPr>
      <w:r w:rsidRPr="00405303">
        <w:rPr>
          <w:bCs/>
          <w:color w:val="002060"/>
          <w:sz w:val="16"/>
          <w:szCs w:val="16"/>
        </w:rPr>
        <w:t>28 февраля (</w:t>
      </w:r>
      <w:r w:rsidR="003C09C3" w:rsidRPr="00405303">
        <w:rPr>
          <w:bCs/>
          <w:color w:val="002060"/>
          <w:sz w:val="16"/>
          <w:szCs w:val="16"/>
          <w:lang w:bidi="en-US"/>
        </w:rPr>
        <w:t>13 марта</w:t>
      </w:r>
      <w:r w:rsidRPr="00405303">
        <w:rPr>
          <w:bCs/>
          <w:color w:val="002060"/>
          <w:sz w:val="16"/>
          <w:szCs w:val="16"/>
          <w:lang w:bidi="en-US"/>
        </w:rPr>
        <w:t>)</w:t>
      </w:r>
      <w:r w:rsidR="003C09C3" w:rsidRPr="00405303">
        <w:rPr>
          <w:bCs/>
          <w:color w:val="002060"/>
          <w:sz w:val="16"/>
          <w:szCs w:val="16"/>
          <w:lang w:bidi="en-US"/>
        </w:rPr>
        <w:t xml:space="preserve"> 1915 г. в Черном море впервые совершил боевой выход русский гидроавианосец «Император Николай </w:t>
      </w:r>
      <w:r w:rsidR="003C09C3" w:rsidRPr="00405303">
        <w:rPr>
          <w:bCs/>
          <w:color w:val="002060"/>
          <w:sz w:val="16"/>
          <w:szCs w:val="16"/>
          <w:lang w:val="en-US" w:bidi="en-US"/>
        </w:rPr>
        <w:t>I</w:t>
      </w:r>
      <w:r w:rsidR="003C09C3" w:rsidRPr="00405303">
        <w:rPr>
          <w:bCs/>
          <w:color w:val="002060"/>
          <w:sz w:val="16"/>
          <w:szCs w:val="16"/>
          <w:lang w:bidi="en-US"/>
        </w:rPr>
        <w:t>» в составе 6-8 летающих лодок, проводивших операции у турецкого румельского побережья (23525).</w:t>
      </w:r>
    </w:p>
    <w:p w14:paraId="585E023A" w14:textId="77777777" w:rsidR="003C09C3" w:rsidRPr="00405303" w:rsidRDefault="003C09C3" w:rsidP="00C15251">
      <w:pPr>
        <w:jc w:val="both"/>
        <w:rPr>
          <w:bCs/>
          <w:color w:val="002060"/>
          <w:sz w:val="16"/>
          <w:szCs w:val="16"/>
        </w:rPr>
      </w:pPr>
    </w:p>
    <w:p w14:paraId="53EF69F0" w14:textId="4C0F50F0"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22BFFE1F" w14:textId="77777777" w:rsidR="004B4E35" w:rsidRPr="00405303" w:rsidRDefault="004B4E35" w:rsidP="00C15251">
      <w:pPr>
        <w:jc w:val="both"/>
        <w:rPr>
          <w:bCs/>
          <w:i/>
          <w:color w:val="002060"/>
          <w:sz w:val="16"/>
          <w:szCs w:val="16"/>
        </w:rPr>
      </w:pPr>
    </w:p>
    <w:p w14:paraId="0F1D8F91" w14:textId="0A17E58C" w:rsidR="004B4E35" w:rsidRPr="00405303" w:rsidRDefault="00705AC4" w:rsidP="00C15251">
      <w:pPr>
        <w:jc w:val="both"/>
        <w:rPr>
          <w:bCs/>
          <w:color w:val="002060"/>
          <w:sz w:val="16"/>
          <w:szCs w:val="16"/>
        </w:rPr>
      </w:pPr>
      <w:r w:rsidRPr="00405303">
        <w:rPr>
          <w:bCs/>
          <w:color w:val="002060"/>
          <w:sz w:val="16"/>
          <w:szCs w:val="16"/>
        </w:rPr>
        <w:t>2</w:t>
      </w:r>
      <w:r w:rsidR="009E6F82" w:rsidRPr="00405303">
        <w:rPr>
          <w:bCs/>
          <w:color w:val="002060"/>
          <w:sz w:val="16"/>
          <w:szCs w:val="16"/>
        </w:rPr>
        <w:t>8 февраля (13 марта) австрийский аэроплан сбросил 7 бомб на рынке в Подгорице, убив 22 человека и ранив 62" (11999).</w:t>
      </w:r>
    </w:p>
    <w:p w14:paraId="7C1957A2" w14:textId="77777777" w:rsidR="004B4E35" w:rsidRPr="00405303" w:rsidRDefault="004B4E35" w:rsidP="00C15251">
      <w:pPr>
        <w:jc w:val="both"/>
        <w:rPr>
          <w:bCs/>
          <w:color w:val="002060"/>
          <w:sz w:val="16"/>
          <w:szCs w:val="16"/>
        </w:rPr>
      </w:pPr>
    </w:p>
    <w:p w14:paraId="52469CD2" w14:textId="6C56ADF9" w:rsidR="00FE4E88" w:rsidRPr="00405303" w:rsidRDefault="00FE4E88" w:rsidP="00C15251">
      <w:pPr>
        <w:jc w:val="both"/>
        <w:rPr>
          <w:bCs/>
          <w:i/>
          <w:color w:val="002060"/>
          <w:sz w:val="16"/>
          <w:szCs w:val="16"/>
        </w:rPr>
      </w:pPr>
      <w:r w:rsidRPr="00405303">
        <w:rPr>
          <w:bCs/>
          <w:i/>
          <w:color w:val="002060"/>
          <w:sz w:val="16"/>
          <w:szCs w:val="16"/>
        </w:rPr>
        <w:t>Самолетостроение:</w:t>
      </w:r>
    </w:p>
    <w:p w14:paraId="3074E150" w14:textId="77777777" w:rsidR="00FE4E88" w:rsidRPr="00405303" w:rsidRDefault="00FE4E88" w:rsidP="00C15251">
      <w:pPr>
        <w:jc w:val="both"/>
        <w:rPr>
          <w:bCs/>
          <w:i/>
          <w:color w:val="002060"/>
          <w:sz w:val="16"/>
          <w:szCs w:val="16"/>
        </w:rPr>
      </w:pPr>
    </w:p>
    <w:p w14:paraId="0EF47FD3" w14:textId="77777777" w:rsidR="00FE4E88" w:rsidRPr="00405303" w:rsidRDefault="00FE4E88" w:rsidP="00C15251">
      <w:pPr>
        <w:jc w:val="both"/>
        <w:rPr>
          <w:bCs/>
          <w:color w:val="002060"/>
          <w:sz w:val="16"/>
          <w:szCs w:val="16"/>
        </w:rPr>
      </w:pPr>
      <w:r w:rsidRPr="00405303">
        <w:rPr>
          <w:bCs/>
          <w:color w:val="002060"/>
          <w:sz w:val="16"/>
          <w:szCs w:val="16"/>
        </w:rPr>
        <w:t>В конце февраля 1915 г. в Севастополь прибыли ящики с первыми «Кертисса</w:t>
      </w:r>
      <w:r w:rsidRPr="00405303">
        <w:rPr>
          <w:bCs/>
          <w:color w:val="002060"/>
          <w:sz w:val="16"/>
          <w:szCs w:val="16"/>
        </w:rPr>
        <w:softHyphen/>
        <w:t>ми». Российские морские летчики с нетерпением ждали самолеты, споря между собой, кому первому должна достаться лодка Кертисса. Было решено сразу собрать всю партию самолетов, чтобы затем отправить их для боевых действий в район Босфора.</w:t>
      </w:r>
    </w:p>
    <w:p w14:paraId="54D87940" w14:textId="77777777" w:rsidR="00FE4E88" w:rsidRPr="00405303" w:rsidRDefault="00FE4E88" w:rsidP="00C15251">
      <w:pPr>
        <w:jc w:val="both"/>
        <w:rPr>
          <w:bCs/>
          <w:color w:val="002060"/>
          <w:sz w:val="16"/>
          <w:szCs w:val="16"/>
        </w:rPr>
      </w:pPr>
      <w:r w:rsidRPr="00405303">
        <w:rPr>
          <w:bCs/>
          <w:color w:val="002060"/>
          <w:sz w:val="16"/>
          <w:szCs w:val="16"/>
        </w:rPr>
        <w:t>Вскоре, однако, радужные планы сменились разоча</w:t>
      </w:r>
      <w:r w:rsidRPr="00405303">
        <w:rPr>
          <w:bCs/>
          <w:color w:val="002060"/>
          <w:sz w:val="16"/>
          <w:szCs w:val="16"/>
        </w:rPr>
        <w:softHyphen/>
        <w:t>рованием. Как показали испытания, у «F» оказалось слабое днище, которое нередко проламывалось при по</w:t>
      </w:r>
      <w:r w:rsidRPr="00405303">
        <w:rPr>
          <w:bCs/>
          <w:color w:val="002060"/>
          <w:sz w:val="16"/>
          <w:szCs w:val="16"/>
        </w:rPr>
        <w:softHyphen/>
        <w:t>садке на волны. «Ахиллесовой пятой» лодки «К» был двигатель. Он сильно вибрировал и поглощал масло в таких количествах, 'что 20-литровый маслобак опусто</w:t>
      </w:r>
      <w:r w:rsidRPr="00405303">
        <w:rPr>
          <w:bCs/>
          <w:color w:val="002060"/>
          <w:sz w:val="16"/>
          <w:szCs w:val="16"/>
        </w:rPr>
        <w:softHyphen/>
        <w:t>шался за несколько десятков минут. Часто случались поломки коленчатого вала, бензо- и маслопроводов, ло</w:t>
      </w:r>
      <w:r w:rsidRPr="00405303">
        <w:rPr>
          <w:bCs/>
          <w:color w:val="002060"/>
          <w:sz w:val="16"/>
          <w:szCs w:val="16"/>
        </w:rPr>
        <w:softHyphen/>
        <w:t>мались болты крепления пропеллера.</w:t>
      </w:r>
    </w:p>
    <w:p w14:paraId="0FB05D8D" w14:textId="77777777" w:rsidR="00FE4E88" w:rsidRPr="00405303" w:rsidRDefault="00FE4E88" w:rsidP="00C15251">
      <w:pPr>
        <w:jc w:val="both"/>
        <w:rPr>
          <w:bCs/>
          <w:color w:val="002060"/>
          <w:sz w:val="16"/>
          <w:szCs w:val="16"/>
        </w:rPr>
      </w:pPr>
      <w:r w:rsidRPr="00405303">
        <w:rPr>
          <w:bCs/>
          <w:color w:val="002060"/>
          <w:sz w:val="16"/>
          <w:szCs w:val="16"/>
        </w:rPr>
        <w:t>Прибывшие на помощь Уитмеру летчики У.Джонсон, Э.Джаннус и целый штат американских механиков, не</w:t>
      </w:r>
      <w:r w:rsidRPr="00405303">
        <w:rPr>
          <w:bCs/>
          <w:color w:val="002060"/>
          <w:sz w:val="16"/>
          <w:szCs w:val="16"/>
        </w:rPr>
        <w:softHyphen/>
        <w:t>смотря на все усилия—сверление дополнительных от</w:t>
      </w:r>
      <w:r w:rsidRPr="00405303">
        <w:rPr>
          <w:bCs/>
          <w:color w:val="002060"/>
          <w:sz w:val="16"/>
          <w:szCs w:val="16"/>
        </w:rPr>
        <w:softHyphen/>
        <w:t>верстий для смазки коленвала, применение пружин для подвески двигателя и т.д., не смогли исправить ситуа</w:t>
      </w:r>
      <w:r w:rsidRPr="00405303">
        <w:rPr>
          <w:bCs/>
          <w:color w:val="002060"/>
          <w:sz w:val="16"/>
          <w:szCs w:val="16"/>
        </w:rPr>
        <w:softHyphen/>
        <w:t>цию. В конце 1915 года работы пришлось остановить, так как замерзший порт Архангельска сделал невозмож</w:t>
      </w:r>
      <w:r w:rsidRPr="00405303">
        <w:rPr>
          <w:bCs/>
          <w:color w:val="002060"/>
          <w:sz w:val="16"/>
          <w:szCs w:val="16"/>
        </w:rPr>
        <w:softHyphen/>
        <w:t>ной доставку из США необходимых запчастей. В резуль</w:t>
      </w:r>
      <w:r w:rsidRPr="00405303">
        <w:rPr>
          <w:bCs/>
          <w:color w:val="002060"/>
          <w:sz w:val="16"/>
          <w:szCs w:val="16"/>
        </w:rPr>
        <w:softHyphen/>
        <w:t>тате Черноморский флот согласился принять не более трети из 25 полученных в 1915 году лодок Кертисса.</w:t>
      </w:r>
    </w:p>
    <w:p w14:paraId="7C01A0C4" w14:textId="77777777" w:rsidR="00FE4E88" w:rsidRPr="00405303" w:rsidRDefault="00FE4E88" w:rsidP="00C15251">
      <w:pPr>
        <w:jc w:val="both"/>
        <w:rPr>
          <w:bCs/>
          <w:color w:val="002060"/>
          <w:sz w:val="16"/>
          <w:szCs w:val="16"/>
        </w:rPr>
      </w:pPr>
      <w:r w:rsidRPr="00405303">
        <w:rPr>
          <w:bCs/>
          <w:color w:val="002060"/>
          <w:sz w:val="16"/>
          <w:szCs w:val="16"/>
        </w:rPr>
        <w:t>По мере того, как все попытки доработать летающие лодки оканчивались неудачей, отношения между амери</w:t>
      </w:r>
      <w:r w:rsidRPr="00405303">
        <w:rPr>
          <w:bCs/>
          <w:color w:val="002060"/>
          <w:sz w:val="16"/>
          <w:szCs w:val="16"/>
        </w:rPr>
        <w:softHyphen/>
        <w:t>канцами и российскими моряками становились все бо</w:t>
      </w:r>
      <w:r w:rsidRPr="00405303">
        <w:rPr>
          <w:bCs/>
          <w:color w:val="002060"/>
          <w:sz w:val="16"/>
          <w:szCs w:val="16"/>
        </w:rPr>
        <w:softHyphen/>
        <w:t>лее натянутыми. Поползли слухи о преднамеренном желании сдать негодную продукцию. Уолтер Джонсон пишет: «Вначале дружественно настроенные к нам рус</w:t>
      </w:r>
      <w:r w:rsidRPr="00405303">
        <w:rPr>
          <w:bCs/>
          <w:color w:val="002060"/>
          <w:sz w:val="16"/>
          <w:szCs w:val="16"/>
        </w:rPr>
        <w:softHyphen/>
        <w:t>ские офицеры постепенно стали сторониться нас и не проявляли желания помочь в доводке самолетов до ра</w:t>
      </w:r>
      <w:r w:rsidRPr="00405303">
        <w:rPr>
          <w:bCs/>
          <w:color w:val="002060"/>
          <w:sz w:val="16"/>
          <w:szCs w:val="16"/>
        </w:rPr>
        <w:softHyphen/>
        <w:t>ботоспособного состояния. Когда лейтенант Утгоф был в Севастополе, он всячески содействовал нам, но после его отъезда в Америку (Утгофа командировали в США в августе 1915 года для контроля за производством за</w:t>
      </w:r>
      <w:r w:rsidRPr="00405303">
        <w:rPr>
          <w:bCs/>
          <w:color w:val="002060"/>
          <w:sz w:val="16"/>
          <w:szCs w:val="16"/>
        </w:rPr>
        <w:softHyphen/>
        <w:t>казанных «лодок») мы потеряли единственного друга. С этого момента ни один из офицеров не про явил к нам расположения и не предложил какой-либо помощи. Мы остались предоставлены самим себе со всеми нашими проблемами».</w:t>
      </w:r>
    </w:p>
    <w:p w14:paraId="65818865" w14:textId="77777777" w:rsidR="00FE4E88" w:rsidRPr="00405303" w:rsidRDefault="00FE4E88" w:rsidP="00C15251">
      <w:pPr>
        <w:jc w:val="both"/>
        <w:rPr>
          <w:bCs/>
          <w:color w:val="002060"/>
          <w:sz w:val="16"/>
          <w:szCs w:val="16"/>
        </w:rPr>
      </w:pPr>
      <w:r w:rsidRPr="00405303">
        <w:rPr>
          <w:bCs/>
          <w:color w:val="002060"/>
          <w:sz w:val="16"/>
          <w:szCs w:val="16"/>
        </w:rPr>
        <w:t>Апогеем антагонизма между русскими и американца</w:t>
      </w:r>
      <w:r w:rsidRPr="00405303">
        <w:rPr>
          <w:bCs/>
          <w:color w:val="002060"/>
          <w:sz w:val="16"/>
          <w:szCs w:val="16"/>
        </w:rPr>
        <w:softHyphen/>
        <w:t>ми стал арест в Севастополе представителя фирмы «Кертисс» в России П.Окса. Его обвинили в шпионаже в пользу Германии и Австро-Венгрии, мотивируя это тем, что до войны Окс работал сотрудником Кертисса в Берлине и Вене. Он провел в тюрьме несколько недель, прежде чем сумел доказать свою невиновность.</w:t>
      </w:r>
    </w:p>
    <w:p w14:paraId="355A7B03" w14:textId="77777777" w:rsidR="00FE4E88" w:rsidRPr="00405303" w:rsidRDefault="00FE4E88" w:rsidP="00C15251">
      <w:pPr>
        <w:jc w:val="both"/>
        <w:rPr>
          <w:bCs/>
          <w:color w:val="002060"/>
          <w:sz w:val="16"/>
          <w:szCs w:val="16"/>
        </w:rPr>
      </w:pPr>
      <w:r w:rsidRPr="00405303">
        <w:rPr>
          <w:bCs/>
          <w:color w:val="002060"/>
          <w:sz w:val="16"/>
          <w:szCs w:val="16"/>
        </w:rPr>
        <w:t>В ответ на телеграммы Морского генерального шта</w:t>
      </w:r>
      <w:r w:rsidRPr="00405303">
        <w:rPr>
          <w:bCs/>
          <w:color w:val="002060"/>
          <w:sz w:val="16"/>
          <w:szCs w:val="16"/>
        </w:rPr>
        <w:softHyphen/>
        <w:t>ба о недостатках летающих лодок Г.Кертисс слал депе</w:t>
      </w:r>
      <w:r w:rsidRPr="00405303">
        <w:rPr>
          <w:bCs/>
          <w:color w:val="002060"/>
          <w:sz w:val="16"/>
          <w:szCs w:val="16"/>
        </w:rPr>
        <w:softHyphen/>
        <w:t>ши с заверениями, что с открытием навигации в 1916 году в Россию доставят новые усовершенствованные двигатели и все проблемы будут решены. Однако в на</w:t>
      </w:r>
      <w:r w:rsidRPr="00405303">
        <w:rPr>
          <w:bCs/>
          <w:color w:val="002060"/>
          <w:sz w:val="16"/>
          <w:szCs w:val="16"/>
        </w:rPr>
        <w:softHyphen/>
        <w:t>чале года на вооружение флота начали поступать лета</w:t>
      </w:r>
      <w:r w:rsidRPr="00405303">
        <w:rPr>
          <w:bCs/>
          <w:color w:val="002060"/>
          <w:sz w:val="16"/>
          <w:szCs w:val="16"/>
        </w:rPr>
        <w:softHyphen/>
        <w:t>ющие лодки Д.П.Григоровича М-5 и М-9, оказавшиеся несравненно лучше «Кертиссов». В связи с этим стало назревать решение об отказе от новых контактов с Кер</w:t>
      </w:r>
      <w:r w:rsidRPr="00405303">
        <w:rPr>
          <w:bCs/>
          <w:color w:val="002060"/>
          <w:sz w:val="16"/>
          <w:szCs w:val="16"/>
        </w:rPr>
        <w:softHyphen/>
        <w:t>тиссом и перевооружении авиации флота на отечест</w:t>
      </w:r>
      <w:r w:rsidRPr="00405303">
        <w:rPr>
          <w:bCs/>
          <w:color w:val="002060"/>
          <w:sz w:val="16"/>
          <w:szCs w:val="16"/>
        </w:rPr>
        <w:softHyphen/>
        <w:t>венные самолеты. В феврале 1916 года Тучков сообщил российскому военно-морскому атташе в Нью-Йорке о возможном разрыве контракта, так как принятые «Кер</w:t>
      </w:r>
      <w:r w:rsidRPr="00405303">
        <w:rPr>
          <w:bCs/>
          <w:color w:val="002060"/>
          <w:sz w:val="16"/>
          <w:szCs w:val="16"/>
        </w:rPr>
        <w:softHyphen/>
        <w:t>тиссы» практически не используются из-за отсутствия запасных частей к двигателям.</w:t>
      </w:r>
    </w:p>
    <w:p w14:paraId="6B2DE047" w14:textId="77777777" w:rsidR="00FE4E88" w:rsidRPr="00405303" w:rsidRDefault="00FE4E88" w:rsidP="00C15251">
      <w:pPr>
        <w:jc w:val="both"/>
        <w:rPr>
          <w:bCs/>
          <w:color w:val="002060"/>
          <w:sz w:val="16"/>
          <w:szCs w:val="16"/>
        </w:rPr>
      </w:pPr>
      <w:r w:rsidRPr="00405303">
        <w:rPr>
          <w:bCs/>
          <w:color w:val="002060"/>
          <w:sz w:val="16"/>
          <w:szCs w:val="16"/>
        </w:rPr>
        <w:t>«Последней каплей» явилась поломка валов двигате</w:t>
      </w:r>
      <w:r w:rsidRPr="00405303">
        <w:rPr>
          <w:bCs/>
          <w:color w:val="002060"/>
          <w:sz w:val="16"/>
          <w:szCs w:val="16"/>
        </w:rPr>
        <w:softHyphen/>
        <w:t>лей двух новых «Кертисс К» во время их испытаний весной 1916 года В резолюции, подготовленной на за</w:t>
      </w:r>
      <w:r w:rsidRPr="00405303">
        <w:rPr>
          <w:bCs/>
          <w:color w:val="002060"/>
          <w:sz w:val="16"/>
          <w:szCs w:val="16"/>
        </w:rPr>
        <w:softHyphen/>
        <w:t>седании Авиационного комитета Черноморского флота отмечалось, что из-за недостатков в конструкции лодок «К» они абсолютно бесполезны для военных целей и не могут использоваться даже для обучения пилотов, так как полеты на них опасны для жизни.</w:t>
      </w:r>
    </w:p>
    <w:p w14:paraId="5A01FADA" w14:textId="77777777" w:rsidR="00FE4E88" w:rsidRPr="00405303" w:rsidRDefault="00FE4E88" w:rsidP="00C15251">
      <w:pPr>
        <w:jc w:val="both"/>
        <w:rPr>
          <w:bCs/>
          <w:color w:val="002060"/>
          <w:sz w:val="16"/>
          <w:szCs w:val="16"/>
        </w:rPr>
      </w:pPr>
      <w:r w:rsidRPr="00405303">
        <w:rPr>
          <w:bCs/>
          <w:color w:val="002060"/>
          <w:sz w:val="16"/>
          <w:szCs w:val="16"/>
        </w:rPr>
        <w:t>Этого же мнения придерживался и В.В.Утгоф. «Ле</w:t>
      </w:r>
      <w:r w:rsidRPr="00405303">
        <w:rPr>
          <w:bCs/>
          <w:color w:val="002060"/>
          <w:sz w:val="16"/>
          <w:szCs w:val="16"/>
        </w:rPr>
        <w:softHyphen/>
        <w:t>тающие лодки типа «К» оказались настолько неудачны</w:t>
      </w:r>
      <w:r w:rsidRPr="00405303">
        <w:rPr>
          <w:bCs/>
          <w:color w:val="002060"/>
          <w:sz w:val="16"/>
          <w:szCs w:val="16"/>
        </w:rPr>
        <w:softHyphen/>
        <w:t>ми, что продолжительные усилия многих людей до сих пор оказываются бесплодными в смысле приведения аэ</w:t>
      </w:r>
      <w:r w:rsidRPr="00405303">
        <w:rPr>
          <w:bCs/>
          <w:color w:val="002060"/>
          <w:sz w:val="16"/>
          <w:szCs w:val="16"/>
        </w:rPr>
        <w:softHyphen/>
        <w:t>ропланов Кертисса в готовность»,—писал он по возвра</w:t>
      </w:r>
      <w:r w:rsidRPr="00405303">
        <w:rPr>
          <w:bCs/>
          <w:color w:val="002060"/>
          <w:sz w:val="16"/>
          <w:szCs w:val="16"/>
        </w:rPr>
        <w:softHyphen/>
        <w:t>щении из США в апреле 1916 года.</w:t>
      </w:r>
    </w:p>
    <w:p w14:paraId="19016F2A" w14:textId="77777777" w:rsidR="00FE4E88" w:rsidRPr="00405303" w:rsidRDefault="00FE4E88" w:rsidP="00C15251">
      <w:pPr>
        <w:jc w:val="both"/>
        <w:rPr>
          <w:bCs/>
          <w:color w:val="002060"/>
          <w:sz w:val="16"/>
          <w:szCs w:val="16"/>
        </w:rPr>
      </w:pPr>
      <w:r w:rsidRPr="00405303">
        <w:rPr>
          <w:bCs/>
          <w:color w:val="002060"/>
          <w:sz w:val="16"/>
          <w:szCs w:val="16"/>
        </w:rPr>
        <w:t>16 апреля 1916 года представители Г.Кертисса были уведомлены о прекращении всяких работ в Севастополе и необходимости забрать оттуда летающие лодки и все другое имущество фирмы. Пытаясь спасти положение, Джаннус и Окс предложили организовать сборку и ис</w:t>
      </w:r>
      <w:r w:rsidRPr="00405303">
        <w:rPr>
          <w:bCs/>
          <w:color w:val="002060"/>
          <w:sz w:val="16"/>
          <w:szCs w:val="16"/>
        </w:rPr>
        <w:softHyphen/>
        <w:t>пытания поступающих в Россию через Архангельск ле</w:t>
      </w:r>
      <w:r w:rsidRPr="00405303">
        <w:rPr>
          <w:bCs/>
          <w:color w:val="002060"/>
          <w:sz w:val="16"/>
          <w:szCs w:val="16"/>
        </w:rPr>
        <w:softHyphen/>
        <w:t>тающих лодок в Петрограде, для использования их в дальнейшем на Балтике. Они начали переговоры с ди</w:t>
      </w:r>
      <w:r w:rsidRPr="00405303">
        <w:rPr>
          <w:bCs/>
          <w:color w:val="002060"/>
          <w:sz w:val="16"/>
          <w:szCs w:val="16"/>
        </w:rPr>
        <w:softHyphen/>
        <w:t>ректором петроградского завода пневматических инстру</w:t>
      </w:r>
      <w:r w:rsidRPr="00405303">
        <w:rPr>
          <w:bCs/>
          <w:color w:val="002060"/>
          <w:sz w:val="16"/>
          <w:szCs w:val="16"/>
        </w:rPr>
        <w:softHyphen/>
        <w:t>ментов о сотрудничестве в доводке и ремонте двигате</w:t>
      </w:r>
      <w:r w:rsidRPr="00405303">
        <w:rPr>
          <w:bCs/>
          <w:color w:val="002060"/>
          <w:sz w:val="16"/>
          <w:szCs w:val="16"/>
        </w:rPr>
        <w:softHyphen/>
        <w:t>лей, а также предложили привезти в Россию в качестве компенсации 50 новых авиамоторов Кертисс VX мощ</w:t>
      </w:r>
      <w:r w:rsidRPr="00405303">
        <w:rPr>
          <w:bCs/>
          <w:color w:val="002060"/>
          <w:sz w:val="16"/>
          <w:szCs w:val="16"/>
        </w:rPr>
        <w:softHyphen/>
        <w:t>ностью 160 л.с., но эти замыслы не имели успеха—за</w:t>
      </w:r>
      <w:r w:rsidRPr="00405303">
        <w:rPr>
          <w:bCs/>
          <w:color w:val="002060"/>
          <w:sz w:val="16"/>
          <w:szCs w:val="16"/>
        </w:rPr>
        <w:softHyphen/>
        <w:t>пас доверия Кертиссу был исчерпан (23545).</w:t>
      </w:r>
    </w:p>
    <w:p w14:paraId="67125C4C" w14:textId="77777777" w:rsidR="00FE4E88" w:rsidRPr="00405303" w:rsidRDefault="00FE4E88" w:rsidP="00C15251">
      <w:pPr>
        <w:pStyle w:val="af6"/>
        <w:spacing w:line="240" w:lineRule="auto"/>
        <w:jc w:val="both"/>
        <w:rPr>
          <w:rFonts w:ascii="Times New Roman" w:hAnsi="Times New Roman" w:cs="Times New Roman"/>
          <w:bCs/>
          <w:color w:val="002060"/>
          <w:sz w:val="16"/>
          <w:szCs w:val="16"/>
        </w:rPr>
      </w:pPr>
    </w:p>
    <w:p w14:paraId="7343D743" w14:textId="79FB1581" w:rsidR="004A1645" w:rsidRPr="00405303" w:rsidRDefault="004A1645" w:rsidP="00C15251">
      <w:pPr>
        <w:jc w:val="both"/>
        <w:rPr>
          <w:bCs/>
          <w:i/>
          <w:color w:val="002060"/>
          <w:sz w:val="16"/>
          <w:szCs w:val="16"/>
        </w:rPr>
      </w:pPr>
      <w:r w:rsidRPr="00405303">
        <w:rPr>
          <w:bCs/>
          <w:i/>
          <w:color w:val="002060"/>
          <w:sz w:val="16"/>
          <w:szCs w:val="16"/>
        </w:rPr>
        <w:lastRenderedPageBreak/>
        <w:t>Другие оборонные отрасли:</w:t>
      </w:r>
    </w:p>
    <w:p w14:paraId="0CA61776" w14:textId="77777777" w:rsidR="004A1645" w:rsidRPr="00405303" w:rsidRDefault="004A1645" w:rsidP="00C15251">
      <w:pPr>
        <w:jc w:val="both"/>
        <w:rPr>
          <w:bCs/>
          <w:i/>
          <w:color w:val="002060"/>
          <w:sz w:val="16"/>
          <w:szCs w:val="16"/>
        </w:rPr>
      </w:pPr>
    </w:p>
    <w:p w14:paraId="5ADEAF8E" w14:textId="77777777" w:rsidR="004A1645" w:rsidRPr="00405303" w:rsidRDefault="004A1645" w:rsidP="00C15251">
      <w:pPr>
        <w:pStyle w:val="ae"/>
        <w:spacing w:before="0" w:beforeAutospacing="0" w:after="0" w:afterAutospacing="0"/>
        <w:jc w:val="both"/>
        <w:rPr>
          <w:bCs/>
          <w:color w:val="002060"/>
          <w:sz w:val="16"/>
          <w:szCs w:val="16"/>
        </w:rPr>
      </w:pPr>
      <w:r w:rsidRPr="00405303">
        <w:rPr>
          <w:bCs/>
          <w:color w:val="002060"/>
          <w:sz w:val="16"/>
          <w:szCs w:val="16"/>
        </w:rPr>
        <w:t>В конце февраля 1915 г. удалось усилить отгрузку снарядов на фронт. Со всех заводов были собраны готовые снаряды и без испытания отправлены в армию. Их набралось 112 тыс. Из Кронштадта было взято 22 тыс. гранат. За проявленное усердие вел. кн. Сергей Михайлович получил благодарность от другого вел. кн. Николая Николаевича. Вместе с благодарностью главнокомандующий выражал твердую надежду, что поставки снарядов и впредь пойдут столь же интенсивно. Этим надеждам не суждено было оправдаться (18524).</w:t>
      </w:r>
    </w:p>
    <w:p w14:paraId="2C01C270" w14:textId="77777777" w:rsidR="004A1645" w:rsidRPr="00405303" w:rsidRDefault="004A1645" w:rsidP="00C15251">
      <w:pPr>
        <w:pStyle w:val="ae"/>
        <w:spacing w:before="0" w:beforeAutospacing="0" w:after="0" w:afterAutospacing="0"/>
        <w:jc w:val="both"/>
        <w:rPr>
          <w:bCs/>
          <w:color w:val="002060"/>
          <w:sz w:val="16"/>
          <w:szCs w:val="16"/>
        </w:rPr>
      </w:pPr>
    </w:p>
    <w:p w14:paraId="5A8D1316"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71220902" w14:textId="77777777" w:rsidR="004B4E35" w:rsidRPr="00405303" w:rsidRDefault="004B4E35" w:rsidP="00C15251">
      <w:pPr>
        <w:jc w:val="both"/>
        <w:rPr>
          <w:bCs/>
          <w:i/>
          <w:color w:val="002060"/>
          <w:sz w:val="16"/>
          <w:szCs w:val="16"/>
        </w:rPr>
      </w:pPr>
    </w:p>
    <w:p w14:paraId="41C07FA6" w14:textId="5DE4B4B9" w:rsidR="004B4E35" w:rsidRPr="00405303" w:rsidRDefault="009E6F82" w:rsidP="00C15251">
      <w:pPr>
        <w:jc w:val="both"/>
        <w:rPr>
          <w:bCs/>
          <w:color w:val="002060"/>
          <w:sz w:val="16"/>
          <w:szCs w:val="16"/>
        </w:rPr>
      </w:pPr>
      <w:r w:rsidRPr="00405303">
        <w:rPr>
          <w:bCs/>
          <w:color w:val="002060"/>
          <w:sz w:val="16"/>
          <w:szCs w:val="16"/>
        </w:rPr>
        <w:t xml:space="preserve">Конец февраля и март </w:t>
      </w:r>
      <w:r w:rsidR="003E40CC" w:rsidRPr="00405303">
        <w:rPr>
          <w:bCs/>
          <w:color w:val="002060"/>
          <w:sz w:val="16"/>
          <w:szCs w:val="16"/>
        </w:rPr>
        <w:t xml:space="preserve">1915 г. </w:t>
      </w:r>
      <w:r w:rsidRPr="00405303">
        <w:rPr>
          <w:bCs/>
          <w:color w:val="002060"/>
          <w:sz w:val="16"/>
          <w:szCs w:val="16"/>
        </w:rPr>
        <w:t xml:space="preserve">простояла неблагоприятнпл погода, однако экипаж Горшкова сделал еще три боевых вылета. По результатам бомбардировки из штаба армии информировали: "Прибывший агент из Виллецберга показал, что за 3 полета "Илья Муромец" в городе и на станции произвел следующие разрушения: paзрушено станционное здание и пакгауз, 6 товарных вагонов и вагон коменданта, причем комендант ранен, в городе разрушено несколько домов, убито 2 офицера, 17 нижних чинов, 7 лошадей, в городе паника, жители в ясную погоду прячутся в погребах". [* ЦГВИА, ф. 2008, on. 3, д. 207, л. 71.] </w:t>
      </w:r>
    </w:p>
    <w:p w14:paraId="10EDC8C4" w14:textId="77777777" w:rsidR="004B4E35" w:rsidRPr="00405303" w:rsidRDefault="004B4E35" w:rsidP="00C15251">
      <w:pPr>
        <w:jc w:val="both"/>
        <w:rPr>
          <w:bCs/>
          <w:color w:val="002060"/>
          <w:sz w:val="16"/>
          <w:szCs w:val="16"/>
        </w:rPr>
      </w:pPr>
    </w:p>
    <w:p w14:paraId="7A985D5E" w14:textId="77777777" w:rsidR="00FE4E88" w:rsidRPr="00405303" w:rsidRDefault="00FE4E88" w:rsidP="00C15251">
      <w:pPr>
        <w:jc w:val="both"/>
        <w:rPr>
          <w:bCs/>
          <w:color w:val="002060"/>
          <w:sz w:val="16"/>
          <w:szCs w:val="16"/>
        </w:rPr>
      </w:pPr>
      <w:r w:rsidRPr="00405303">
        <w:rPr>
          <w:bCs/>
          <w:color w:val="002060"/>
          <w:sz w:val="16"/>
          <w:szCs w:val="16"/>
        </w:rPr>
        <w:t>Конец февраля и март 1915 г. простояла неблагоприятная погода, однако экипаж Горшкова сделал еще три бое</w:t>
      </w:r>
      <w:r w:rsidRPr="00405303">
        <w:rPr>
          <w:bCs/>
          <w:color w:val="002060"/>
          <w:sz w:val="16"/>
          <w:szCs w:val="16"/>
        </w:rPr>
        <w:softHyphen/>
        <w:t>вых вылета на ИМ. По результатам бомбардировки из штаба армии информировали: «Прибывший агент из Вилленберга показал, что за 3 полета «Илья Муромец» в горо</w:t>
      </w:r>
      <w:r w:rsidRPr="00405303">
        <w:rPr>
          <w:bCs/>
          <w:color w:val="002060"/>
          <w:sz w:val="16"/>
          <w:szCs w:val="16"/>
        </w:rPr>
        <w:softHyphen/>
        <w:t>де и на станции произвел следующие разрушения: раз</w:t>
      </w:r>
      <w:r w:rsidRPr="00405303">
        <w:rPr>
          <w:bCs/>
          <w:color w:val="002060"/>
          <w:sz w:val="16"/>
          <w:szCs w:val="16"/>
        </w:rPr>
        <w:softHyphen/>
        <w:t>рушено станционное здание и пакгауз, 6 товарных вагонов и вагон коменданта, причем комендант ранен, в городе разрушено несколько домов, убито 2 офицера, 17 нижних чинов, 7 лошадей, в городе паника, жители в ясную погоду прячутся в погребах» (24177).</w:t>
      </w:r>
    </w:p>
    <w:p w14:paraId="4242D9E2" w14:textId="77777777" w:rsidR="00FE4E88" w:rsidRPr="00405303" w:rsidRDefault="00FE4E88" w:rsidP="00C15251">
      <w:pPr>
        <w:jc w:val="both"/>
        <w:rPr>
          <w:bCs/>
          <w:color w:val="002060"/>
          <w:sz w:val="16"/>
          <w:szCs w:val="16"/>
        </w:rPr>
      </w:pPr>
    </w:p>
    <w:p w14:paraId="19AD7AF6" w14:textId="77777777" w:rsidR="00FE4E88" w:rsidRPr="00405303" w:rsidRDefault="00FE4E88" w:rsidP="00C15251">
      <w:pPr>
        <w:jc w:val="both"/>
        <w:rPr>
          <w:bCs/>
          <w:color w:val="002060"/>
          <w:sz w:val="16"/>
          <w:szCs w:val="16"/>
        </w:rPr>
      </w:pPr>
      <w:r w:rsidRPr="00405303">
        <w:rPr>
          <w:bCs/>
          <w:color w:val="002060"/>
          <w:sz w:val="16"/>
          <w:szCs w:val="16"/>
        </w:rPr>
        <w:t>В конце февраля или в первых числах марта 1915 г., когда стало ясно, что Морская авиация ИМ эксплуатировать не будет, было решено передать самолет С-16 сформированной в декабре 1914 г. Эскадре воздушных кораблей «Илья Муромец» (ЭВК) и вместе с ним в ЭВК был переведен летчик-испытатель Г.И. Лавров. Самолет отправлен на базу ЭВК Старая Яблона (по-польски Stara Jablon, в то время – Царство Польское, ныне Яблона или Яблонь, севернее Варшавы у Новогеоргиевкой крепости, возможно в то время на некоторых картах и в документах название было написано как Яблонна) наземным транспортом без мотора, возвращенного Авиации ВМФ. Ранее в ЭВК убыли Председатель правления АО РБВЗ М.В. Шидловский, назначенный командиром ЭВК, и Главный инженер РБВЗ И.И. Сикорский – для проведения показательных полетов, устранения дефектов самолетов «Илья Муромец» (ИМ) и сопровождения их эксплуатации.</w:t>
      </w:r>
    </w:p>
    <w:p w14:paraId="2F52EA43" w14:textId="77777777" w:rsidR="00FE4E88" w:rsidRPr="00405303" w:rsidRDefault="00FE4E88" w:rsidP="00C15251">
      <w:pPr>
        <w:jc w:val="both"/>
        <w:rPr>
          <w:bCs/>
          <w:color w:val="002060"/>
          <w:sz w:val="16"/>
          <w:szCs w:val="16"/>
        </w:rPr>
      </w:pPr>
      <w:r w:rsidRPr="00405303">
        <w:rPr>
          <w:bCs/>
          <w:color w:val="002060"/>
          <w:sz w:val="16"/>
          <w:szCs w:val="16"/>
        </w:rPr>
        <w:t>При этом приложенный к самолету двигатель был возвращен на склад Морского министерства (23557).</w:t>
      </w:r>
    </w:p>
    <w:p w14:paraId="1AF1DD57" w14:textId="77777777" w:rsidR="00FE4E88" w:rsidRPr="00405303" w:rsidRDefault="00FE4E88" w:rsidP="00C15251">
      <w:pPr>
        <w:jc w:val="both"/>
        <w:rPr>
          <w:bCs/>
          <w:color w:val="002060"/>
          <w:sz w:val="16"/>
          <w:szCs w:val="16"/>
          <w:lang w:bidi="ru-RU"/>
        </w:rPr>
      </w:pPr>
    </w:p>
    <w:p w14:paraId="63D6E4D1" w14:textId="4BE603A6" w:rsidR="00B442E5" w:rsidRPr="00405303" w:rsidRDefault="00B442E5" w:rsidP="00B442E5">
      <w:pPr>
        <w:jc w:val="both"/>
        <w:rPr>
          <w:bCs/>
          <w:i/>
          <w:color w:val="002060"/>
          <w:sz w:val="16"/>
          <w:szCs w:val="16"/>
        </w:rPr>
      </w:pPr>
      <w:r w:rsidRPr="00405303">
        <w:rPr>
          <w:bCs/>
          <w:i/>
          <w:color w:val="002060"/>
          <w:sz w:val="16"/>
          <w:szCs w:val="16"/>
        </w:rPr>
        <w:t>Армия:</w:t>
      </w:r>
    </w:p>
    <w:p w14:paraId="461504DC" w14:textId="77777777" w:rsidR="00B442E5" w:rsidRPr="00405303" w:rsidRDefault="00B442E5" w:rsidP="00B442E5">
      <w:pPr>
        <w:jc w:val="both"/>
        <w:rPr>
          <w:bCs/>
          <w:i/>
          <w:color w:val="002060"/>
          <w:sz w:val="16"/>
          <w:szCs w:val="16"/>
        </w:rPr>
      </w:pPr>
    </w:p>
    <w:p w14:paraId="37F6A3F2" w14:textId="77777777" w:rsidR="00B442E5" w:rsidRPr="00405303" w:rsidRDefault="00B442E5" w:rsidP="00B442E5">
      <w:pPr>
        <w:jc w:val="both"/>
        <w:rPr>
          <w:color w:val="0070C0"/>
          <w:sz w:val="16"/>
          <w:szCs w:val="16"/>
        </w:rPr>
      </w:pPr>
      <w:r w:rsidRPr="00405303">
        <w:rPr>
          <w:color w:val="0070C0"/>
          <w:sz w:val="16"/>
          <w:szCs w:val="16"/>
        </w:rPr>
        <w:t>С конца февраля 1915 года немецкие войска использовали при обороне на Восточном фронте огнеметы про</w:t>
      </w:r>
      <w:r w:rsidRPr="00405303">
        <w:rPr>
          <w:color w:val="0070C0"/>
          <w:sz w:val="16"/>
          <w:szCs w:val="16"/>
        </w:rPr>
        <w:softHyphen/>
        <w:t>тив русских войск. Кроме того, их также применяли и австро-венгры, особенно во время боев в Карпатах в мае 1915 года (25021).</w:t>
      </w:r>
    </w:p>
    <w:p w14:paraId="0BFC57E7" w14:textId="77777777" w:rsidR="00B442E5" w:rsidRPr="00405303" w:rsidRDefault="00B442E5" w:rsidP="00B442E5">
      <w:pPr>
        <w:jc w:val="both"/>
        <w:rPr>
          <w:color w:val="0070C0"/>
          <w:sz w:val="16"/>
          <w:szCs w:val="16"/>
        </w:rPr>
      </w:pPr>
    </w:p>
    <w:p w14:paraId="0D3BC94B"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49A5FDAA" w14:textId="77777777" w:rsidR="004B4E35" w:rsidRPr="00405303" w:rsidRDefault="004B4E35" w:rsidP="00C15251">
      <w:pPr>
        <w:jc w:val="both"/>
        <w:rPr>
          <w:bCs/>
          <w:i/>
          <w:color w:val="002060"/>
          <w:sz w:val="16"/>
          <w:szCs w:val="16"/>
        </w:rPr>
      </w:pPr>
    </w:p>
    <w:p w14:paraId="00013E2D" w14:textId="4E067205" w:rsidR="004B4E35" w:rsidRPr="00405303" w:rsidRDefault="003E40CC" w:rsidP="00C15251">
      <w:pPr>
        <w:jc w:val="both"/>
        <w:rPr>
          <w:bCs/>
          <w:color w:val="002060"/>
          <w:sz w:val="16"/>
          <w:szCs w:val="16"/>
        </w:rPr>
      </w:pPr>
      <w:r w:rsidRPr="00405303">
        <w:rPr>
          <w:bCs/>
          <w:color w:val="002060"/>
          <w:sz w:val="16"/>
          <w:szCs w:val="16"/>
        </w:rPr>
        <w:t>С</w:t>
      </w:r>
      <w:r w:rsidR="009E6F82" w:rsidRPr="00405303">
        <w:rPr>
          <w:bCs/>
          <w:color w:val="002060"/>
          <w:sz w:val="16"/>
          <w:szCs w:val="16"/>
        </w:rPr>
        <w:t xml:space="preserve"> февраля 1915</w:t>
      </w:r>
      <w:r w:rsidRPr="00405303">
        <w:rPr>
          <w:bCs/>
          <w:color w:val="002060"/>
          <w:sz w:val="16"/>
          <w:szCs w:val="16"/>
        </w:rPr>
        <w:t xml:space="preserve"> г</w:t>
      </w:r>
      <w:r w:rsidR="009E6F82" w:rsidRPr="00405303">
        <w:rPr>
          <w:bCs/>
          <w:color w:val="002060"/>
          <w:sz w:val="16"/>
          <w:szCs w:val="16"/>
        </w:rPr>
        <w:t xml:space="preserve">. </w:t>
      </w:r>
      <w:r w:rsidRPr="00405303">
        <w:rPr>
          <w:bCs/>
          <w:color w:val="002060"/>
          <w:sz w:val="16"/>
          <w:szCs w:val="16"/>
        </w:rPr>
        <w:t xml:space="preserve">на заводе Лебедева велась сборка </w:t>
      </w:r>
      <w:r w:rsidR="006A4BA6" w:rsidRPr="00405303">
        <w:rPr>
          <w:bCs/>
          <w:color w:val="002060"/>
          <w:sz w:val="16"/>
          <w:szCs w:val="16"/>
        </w:rPr>
        <w:t>"Альбатросов". Задержка явилась следствием того, что моторы "Санбим", заказан</w:t>
      </w:r>
      <w:r w:rsidR="006A4BA6" w:rsidRPr="00405303">
        <w:rPr>
          <w:bCs/>
          <w:color w:val="002060"/>
          <w:sz w:val="16"/>
          <w:szCs w:val="16"/>
        </w:rPr>
        <w:softHyphen/>
        <w:t>ные в Англии, все еще не прибыли. Поэтому в качестве запасного варианта предполагалось использовать два из 160-сильных двигателей Ксртисса, запас которых имелся в Севастополе (через несколько месяцев окончательно выяснилось, что надежды на них были совершенно напрасны — эти двигатели имели ряд серьезных и трудноустранимых дефектов). Злополуч</w:t>
      </w:r>
      <w:r w:rsidR="006A4BA6" w:rsidRPr="00405303">
        <w:rPr>
          <w:bCs/>
          <w:color w:val="002060"/>
          <w:sz w:val="16"/>
          <w:szCs w:val="16"/>
        </w:rPr>
        <w:softHyphen/>
        <w:t>ные "Санбимы" так и не поступили ко дню заключения формального соглашения о строи</w:t>
      </w:r>
      <w:r w:rsidR="006A4BA6" w:rsidRPr="00405303">
        <w:rPr>
          <w:bCs/>
          <w:color w:val="002060"/>
          <w:sz w:val="16"/>
          <w:szCs w:val="16"/>
        </w:rPr>
        <w:softHyphen/>
        <w:t xml:space="preserve">тельстве двух, т.е. к 9 апреля. </w:t>
      </w:r>
      <w:r w:rsidR="009E6F82" w:rsidRPr="00405303">
        <w:rPr>
          <w:bCs/>
          <w:color w:val="002060"/>
          <w:sz w:val="16"/>
          <w:szCs w:val="16"/>
        </w:rPr>
        <w:t xml:space="preserve">Во время сдаточных испытаний каждому из них предстояло выполнить 30-минутный полет с подъемом на высоту 500 м за 12 минут, имея </w:t>
      </w:r>
      <w:proofErr w:type="gramStart"/>
      <w:r w:rsidR="009E6F82" w:rsidRPr="00405303">
        <w:rPr>
          <w:bCs/>
          <w:color w:val="002060"/>
          <w:sz w:val="16"/>
          <w:szCs w:val="16"/>
        </w:rPr>
        <w:t>при том</w:t>
      </w:r>
      <w:proofErr w:type="gramEnd"/>
      <w:r w:rsidR="009E6F82" w:rsidRPr="00405303">
        <w:rPr>
          <w:bCs/>
          <w:color w:val="002060"/>
          <w:sz w:val="16"/>
          <w:szCs w:val="16"/>
        </w:rPr>
        <w:t xml:space="preserve"> запас топлива на 6 часов. Общая стоимость одного аппарата со всеми принадлежностями исчислялась в 26.070 руб. Дело, однако, застопорилось: двигатели "Санбим" находились в пути и 16 мая представители заказчика решили было затребовать в столицу 2 мотора Кертисса. Но и компания не выдержала сроков и 30 мая ее руководство заявило, что самолеты не могут быть предъявлены ранее, чем через месяц, т.к. необходимо внести некоторые из</w:t>
      </w:r>
      <w:r w:rsidR="009E6F82" w:rsidRPr="00405303">
        <w:rPr>
          <w:bCs/>
          <w:color w:val="002060"/>
          <w:sz w:val="16"/>
          <w:szCs w:val="16"/>
        </w:rPr>
        <w:softHyphen/>
        <w:t>менения в конструкцию фюзеляжа и шасси. В объяснительном письме от 27 мая В.А. Ле</w:t>
      </w:r>
      <w:r w:rsidR="009E6F82" w:rsidRPr="00405303">
        <w:rPr>
          <w:bCs/>
          <w:color w:val="002060"/>
          <w:sz w:val="16"/>
          <w:szCs w:val="16"/>
        </w:rPr>
        <w:softHyphen/>
        <w:t>бедев впервые назвал эти "Альбатросы" именем "Лебедь Морской" (ЛМ) (2843).</w:t>
      </w:r>
    </w:p>
    <w:p w14:paraId="4ABAE88A" w14:textId="3E9A7216" w:rsidR="004B4E35" w:rsidRPr="00405303" w:rsidRDefault="004B4E35" w:rsidP="00C15251">
      <w:pPr>
        <w:jc w:val="both"/>
        <w:rPr>
          <w:bCs/>
          <w:color w:val="002060"/>
          <w:sz w:val="16"/>
          <w:szCs w:val="16"/>
        </w:rPr>
      </w:pPr>
    </w:p>
    <w:p w14:paraId="34BFC04F" w14:textId="77777777" w:rsidR="00E066BC" w:rsidRPr="00405303" w:rsidRDefault="00E066BC" w:rsidP="00C15251">
      <w:pPr>
        <w:jc w:val="both"/>
        <w:rPr>
          <w:bCs/>
          <w:color w:val="002060"/>
          <w:sz w:val="16"/>
          <w:szCs w:val="16"/>
        </w:rPr>
      </w:pPr>
      <w:r w:rsidRPr="00405303">
        <w:rPr>
          <w:bCs/>
          <w:color w:val="002060"/>
          <w:sz w:val="16"/>
          <w:szCs w:val="16"/>
        </w:rPr>
        <w:t>В феврале 1915 г. первый С-16 был доставлен для проведения испытаний в Ревель (ныне Таллинн) к месту службы летчика-приемщика Г.И. Лаврова, но начать испытания не удалось, т.к. аэродром был занесен снегом, самолет был установлен на колесное шасси, а лыжи завод не приложил в комплект (23557).</w:t>
      </w:r>
    </w:p>
    <w:p w14:paraId="3B4161C7" w14:textId="77777777" w:rsidR="00E066BC" w:rsidRPr="00405303" w:rsidRDefault="00E066BC" w:rsidP="00C15251">
      <w:pPr>
        <w:jc w:val="both"/>
        <w:rPr>
          <w:bCs/>
          <w:color w:val="002060"/>
          <w:sz w:val="16"/>
          <w:szCs w:val="16"/>
          <w:lang w:bidi="ru-RU"/>
        </w:rPr>
      </w:pPr>
    </w:p>
    <w:p w14:paraId="22311E71" w14:textId="77777777" w:rsidR="00E20F08" w:rsidRPr="00405303" w:rsidRDefault="00E20F08" w:rsidP="00C15251">
      <w:pPr>
        <w:jc w:val="both"/>
        <w:rPr>
          <w:bCs/>
          <w:color w:val="002060"/>
          <w:sz w:val="16"/>
          <w:szCs w:val="16"/>
        </w:rPr>
      </w:pPr>
      <w:r w:rsidRPr="00405303">
        <w:rPr>
          <w:bCs/>
          <w:color w:val="002060"/>
          <w:sz w:val="16"/>
          <w:szCs w:val="16"/>
          <w:lang w:bidi="en-US"/>
        </w:rPr>
        <w:t xml:space="preserve">В течение февраля 1915 года с Р-БВЗ было доставлено семь </w:t>
      </w:r>
      <w:r w:rsidRPr="00405303">
        <w:rPr>
          <w:bCs/>
          <w:color w:val="002060"/>
          <w:sz w:val="16"/>
          <w:szCs w:val="16"/>
          <w:lang w:val="en-US" w:bidi="en-US"/>
        </w:rPr>
        <w:t>Sikorsky</w:t>
      </w:r>
      <w:r w:rsidRPr="00405303">
        <w:rPr>
          <w:bCs/>
          <w:color w:val="002060"/>
          <w:sz w:val="16"/>
          <w:szCs w:val="16"/>
          <w:lang w:bidi="en-US"/>
        </w:rPr>
        <w:t xml:space="preserve"> </w:t>
      </w:r>
      <w:r w:rsidRPr="00405303">
        <w:rPr>
          <w:bCs/>
          <w:color w:val="002060"/>
          <w:sz w:val="16"/>
          <w:szCs w:val="16"/>
          <w:lang w:val="en-US" w:bidi="en-US"/>
        </w:rPr>
        <w:t>S</w:t>
      </w:r>
      <w:r w:rsidRPr="00405303">
        <w:rPr>
          <w:bCs/>
          <w:color w:val="002060"/>
          <w:sz w:val="16"/>
          <w:szCs w:val="16"/>
          <w:lang w:bidi="en-US"/>
        </w:rPr>
        <w:t>-10 с момента начала производства в апреле 1913 года (23525).</w:t>
      </w:r>
    </w:p>
    <w:p w14:paraId="5169944A" w14:textId="77777777" w:rsidR="00E20F08" w:rsidRPr="00405303" w:rsidRDefault="00E20F08" w:rsidP="00C15251">
      <w:pPr>
        <w:jc w:val="both"/>
        <w:rPr>
          <w:bCs/>
          <w:color w:val="002060"/>
          <w:sz w:val="16"/>
          <w:szCs w:val="16"/>
          <w:lang w:bidi="en-US"/>
        </w:rPr>
      </w:pPr>
    </w:p>
    <w:p w14:paraId="4617978C" w14:textId="58F638D0" w:rsidR="00D85901" w:rsidRPr="00405303" w:rsidRDefault="00D85901" w:rsidP="00C15251">
      <w:pPr>
        <w:jc w:val="both"/>
        <w:rPr>
          <w:bCs/>
          <w:i/>
          <w:iCs/>
          <w:color w:val="002060"/>
          <w:sz w:val="16"/>
          <w:szCs w:val="16"/>
        </w:rPr>
      </w:pPr>
      <w:r w:rsidRPr="00405303">
        <w:rPr>
          <w:bCs/>
          <w:i/>
          <w:iCs/>
          <w:color w:val="002060"/>
          <w:sz w:val="16"/>
          <w:szCs w:val="16"/>
        </w:rPr>
        <w:t>Аэростатостроение:</w:t>
      </w:r>
    </w:p>
    <w:p w14:paraId="1AC456DA" w14:textId="77777777" w:rsidR="00D85901" w:rsidRPr="00405303" w:rsidRDefault="00D85901" w:rsidP="00C15251">
      <w:pPr>
        <w:jc w:val="both"/>
        <w:rPr>
          <w:bCs/>
          <w:i/>
          <w:iCs/>
          <w:color w:val="002060"/>
          <w:sz w:val="16"/>
          <w:szCs w:val="16"/>
        </w:rPr>
      </w:pPr>
    </w:p>
    <w:p w14:paraId="1A559C1B" w14:textId="77777777" w:rsidR="00D85901" w:rsidRPr="00405303" w:rsidRDefault="00D85901" w:rsidP="00C15251">
      <w:pPr>
        <w:tabs>
          <w:tab w:val="left" w:pos="519"/>
        </w:tabs>
        <w:jc w:val="both"/>
        <w:rPr>
          <w:bCs/>
          <w:color w:val="002060"/>
          <w:sz w:val="16"/>
          <w:szCs w:val="16"/>
        </w:rPr>
      </w:pPr>
      <w:r w:rsidRPr="00405303">
        <w:rPr>
          <w:rStyle w:val="42"/>
          <w:rFonts w:ascii="Times New Roman" w:hAnsi="Times New Roman" w:cs="Times New Roman"/>
          <w:bCs/>
          <w:color w:val="002060"/>
          <w:w w:val="100"/>
          <w:sz w:val="16"/>
          <w:szCs w:val="16"/>
        </w:rPr>
        <w:t>В феврале 1915 г. отремонтированный «Кондор» снова наполнили газом в Брест-Литовске. Он вы</w:t>
      </w:r>
      <w:r w:rsidRPr="00405303">
        <w:rPr>
          <w:rStyle w:val="42"/>
          <w:rFonts w:ascii="Times New Roman" w:hAnsi="Times New Roman" w:cs="Times New Roman"/>
          <w:bCs/>
          <w:color w:val="002060"/>
          <w:w w:val="100"/>
          <w:sz w:val="16"/>
          <w:szCs w:val="16"/>
        </w:rPr>
        <w:softHyphen/>
        <w:t>полнил несколько учебных полётов, но попытка лететь на фронт из-за тумана закончилась неу</w:t>
      </w:r>
      <w:r w:rsidRPr="00405303">
        <w:rPr>
          <w:rStyle w:val="42"/>
          <w:rFonts w:ascii="Times New Roman" w:hAnsi="Times New Roman" w:cs="Times New Roman"/>
          <w:bCs/>
          <w:color w:val="002060"/>
          <w:w w:val="100"/>
          <w:sz w:val="16"/>
          <w:szCs w:val="16"/>
        </w:rPr>
        <w:softHyphen/>
        <w:t>дачей. Из Брест-Литовска «Кондор» перелетел в Бердичев, затратив на это 14 часов, после чего его разоружили (20120).</w:t>
      </w:r>
    </w:p>
    <w:p w14:paraId="615287FB" w14:textId="77777777" w:rsidR="00D85901" w:rsidRPr="00405303" w:rsidRDefault="00D85901" w:rsidP="00C15251">
      <w:pPr>
        <w:jc w:val="both"/>
        <w:rPr>
          <w:bCs/>
          <w:color w:val="002060"/>
          <w:sz w:val="16"/>
          <w:szCs w:val="16"/>
        </w:rPr>
      </w:pPr>
    </w:p>
    <w:p w14:paraId="36378FA9" w14:textId="77777777" w:rsidR="00D85901" w:rsidRPr="00405303" w:rsidRDefault="00D85901" w:rsidP="00C15251">
      <w:pPr>
        <w:tabs>
          <w:tab w:val="left" w:pos="519"/>
        </w:tabs>
        <w:jc w:val="both"/>
        <w:rPr>
          <w:bCs/>
          <w:color w:val="002060"/>
          <w:sz w:val="16"/>
          <w:szCs w:val="16"/>
        </w:rPr>
      </w:pPr>
      <w:r w:rsidRPr="00405303">
        <w:rPr>
          <w:rStyle w:val="42"/>
          <w:rFonts w:ascii="Times New Roman" w:hAnsi="Times New Roman" w:cs="Times New Roman"/>
          <w:bCs/>
          <w:color w:val="002060"/>
          <w:w w:val="100"/>
          <w:sz w:val="16"/>
          <w:szCs w:val="16"/>
        </w:rPr>
        <w:t>В феврале 1915 г. отремонтированный «Кондор» снова наполнили газом в Брест-Литовске. Он вы</w:t>
      </w:r>
      <w:r w:rsidRPr="00405303">
        <w:rPr>
          <w:rStyle w:val="42"/>
          <w:rFonts w:ascii="Times New Roman" w:hAnsi="Times New Roman" w:cs="Times New Roman"/>
          <w:bCs/>
          <w:color w:val="002060"/>
          <w:w w:val="100"/>
          <w:sz w:val="16"/>
          <w:szCs w:val="16"/>
        </w:rPr>
        <w:softHyphen/>
        <w:t>полнил несколько учебных полётов, но попытка лететь на фронт из-за тумана закончилась неу</w:t>
      </w:r>
      <w:r w:rsidRPr="00405303">
        <w:rPr>
          <w:rStyle w:val="42"/>
          <w:rFonts w:ascii="Times New Roman" w:hAnsi="Times New Roman" w:cs="Times New Roman"/>
          <w:bCs/>
          <w:color w:val="002060"/>
          <w:w w:val="100"/>
          <w:sz w:val="16"/>
          <w:szCs w:val="16"/>
        </w:rPr>
        <w:softHyphen/>
        <w:t>дачей. Из Брест-Литовска «Кондор» перелетел в Бердичев, затратив на это 14 часов, после чего его разоружили.</w:t>
      </w:r>
    </w:p>
    <w:p w14:paraId="0C8F1A51" w14:textId="77777777" w:rsidR="00D85901" w:rsidRPr="00405303" w:rsidRDefault="00D85901" w:rsidP="00C15251">
      <w:pPr>
        <w:jc w:val="both"/>
        <w:rPr>
          <w:bCs/>
          <w:color w:val="002060"/>
          <w:sz w:val="16"/>
          <w:szCs w:val="16"/>
        </w:rPr>
      </w:pPr>
      <w:r w:rsidRPr="00405303">
        <w:rPr>
          <w:rStyle w:val="42"/>
          <w:rFonts w:ascii="Times New Roman" w:hAnsi="Times New Roman" w:cs="Times New Roman"/>
          <w:bCs/>
          <w:color w:val="002060"/>
          <w:w w:val="100"/>
          <w:sz w:val="16"/>
          <w:szCs w:val="16"/>
        </w:rPr>
        <w:t>Одновременно для стоянки «Кондора» из Луцка во Львов перевезли разборный эллинг. Перенос эллинга на новое место осуществлялся с большими трудностями. Работы по его разбор</w:t>
      </w:r>
      <w:r w:rsidRPr="00405303">
        <w:rPr>
          <w:rStyle w:val="42"/>
          <w:rFonts w:ascii="Times New Roman" w:hAnsi="Times New Roman" w:cs="Times New Roman"/>
          <w:bCs/>
          <w:color w:val="002060"/>
          <w:w w:val="100"/>
          <w:sz w:val="16"/>
          <w:szCs w:val="16"/>
        </w:rPr>
        <w:softHyphen/>
        <w:t>ке 2-я воздухоплавательная рота начала 3 ноя</w:t>
      </w:r>
      <w:r w:rsidRPr="00405303">
        <w:rPr>
          <w:rStyle w:val="42"/>
          <w:rFonts w:ascii="Times New Roman" w:hAnsi="Times New Roman" w:cs="Times New Roman"/>
          <w:bCs/>
          <w:color w:val="002060"/>
          <w:w w:val="100"/>
          <w:sz w:val="16"/>
          <w:szCs w:val="16"/>
        </w:rPr>
        <w:softHyphen/>
        <w:t>бря 1914 г. Вследствие сильных морозов металл стал хрупким. От этого сломался крюк стяжного домкрата, и эллинг обрушился. При этом погиб рядовой Целинский, а трое солдат и двое рабо</w:t>
      </w:r>
      <w:r w:rsidRPr="00405303">
        <w:rPr>
          <w:rStyle w:val="42"/>
          <w:rFonts w:ascii="Times New Roman" w:hAnsi="Times New Roman" w:cs="Times New Roman"/>
          <w:bCs/>
          <w:color w:val="002060"/>
          <w:w w:val="100"/>
          <w:sz w:val="16"/>
          <w:szCs w:val="16"/>
        </w:rPr>
        <w:softHyphen/>
        <w:t>чих получили ушибы. Значительная часть (40%) металлоконструкций эллинга была повреждена.</w:t>
      </w:r>
    </w:p>
    <w:p w14:paraId="68F159AF" w14:textId="77777777" w:rsidR="00D85901" w:rsidRPr="00405303" w:rsidRDefault="00D85901" w:rsidP="00C15251">
      <w:pPr>
        <w:jc w:val="both"/>
        <w:rPr>
          <w:rStyle w:val="42"/>
          <w:rFonts w:ascii="Times New Roman" w:hAnsi="Times New Roman" w:cs="Times New Roman"/>
          <w:bCs/>
          <w:color w:val="002060"/>
          <w:w w:val="100"/>
          <w:sz w:val="16"/>
          <w:szCs w:val="16"/>
        </w:rPr>
      </w:pPr>
      <w:r w:rsidRPr="00405303">
        <w:rPr>
          <w:rStyle w:val="42"/>
          <w:rFonts w:ascii="Times New Roman" w:hAnsi="Times New Roman" w:cs="Times New Roman"/>
          <w:bCs/>
          <w:color w:val="002060"/>
          <w:w w:val="100"/>
          <w:sz w:val="16"/>
          <w:szCs w:val="16"/>
        </w:rPr>
        <w:t>24 декабря все части эллинга доставили во Львов, а 1 января 1915 г. началась его установка на уже готовый фундамент. Командир 2-й воздухоплавательной роты подполковник М.В. Агапов докладывал Авиаканцу: «Снежные заносы, обледенелость железных ферм и недостаточное коли</w:t>
      </w:r>
      <w:r w:rsidRPr="00405303">
        <w:rPr>
          <w:rStyle w:val="42"/>
          <w:rFonts w:ascii="Times New Roman" w:hAnsi="Times New Roman" w:cs="Times New Roman"/>
          <w:bCs/>
          <w:color w:val="002060"/>
          <w:w w:val="100"/>
          <w:sz w:val="16"/>
          <w:szCs w:val="16"/>
        </w:rPr>
        <w:softHyphen/>
        <w:t>чество опытных специалистов-рабочих крайне задерживает быстрое проведение работ. Все за</w:t>
      </w:r>
      <w:r w:rsidRPr="00405303">
        <w:rPr>
          <w:rStyle w:val="42"/>
          <w:rFonts w:ascii="Times New Roman" w:hAnsi="Times New Roman" w:cs="Times New Roman"/>
          <w:bCs/>
          <w:color w:val="002060"/>
          <w:w w:val="100"/>
          <w:sz w:val="16"/>
          <w:szCs w:val="16"/>
        </w:rPr>
        <w:softHyphen/>
        <w:t>висящие меры принимаются»62. Повреждённые фермы отремонтировали в железнодорожных мастерских Львова, и к лету эллинг установили. Но при эвакуации Львова 9 июня 1915 г. эллинг пришлось взорвать (20120).</w:t>
      </w:r>
    </w:p>
    <w:p w14:paraId="0E0A7AA0" w14:textId="77777777" w:rsidR="00D85901" w:rsidRPr="00405303" w:rsidRDefault="00D85901" w:rsidP="00C15251">
      <w:pPr>
        <w:jc w:val="both"/>
        <w:rPr>
          <w:bCs/>
          <w:color w:val="002060"/>
          <w:sz w:val="16"/>
          <w:szCs w:val="16"/>
        </w:rPr>
      </w:pPr>
    </w:p>
    <w:p w14:paraId="7F77C5B4"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30E894B6" w14:textId="77777777" w:rsidR="004B4E35" w:rsidRPr="00405303" w:rsidRDefault="004B4E35" w:rsidP="00C15251">
      <w:pPr>
        <w:jc w:val="both"/>
        <w:rPr>
          <w:bCs/>
          <w:i/>
          <w:color w:val="002060"/>
          <w:sz w:val="16"/>
          <w:szCs w:val="16"/>
        </w:rPr>
      </w:pPr>
    </w:p>
    <w:p w14:paraId="659DC994" w14:textId="77777777" w:rsidR="000E717F" w:rsidRPr="00405303" w:rsidRDefault="000E717F" w:rsidP="00C15251">
      <w:pPr>
        <w:pStyle w:val="p1"/>
        <w:spacing w:before="0" w:beforeAutospacing="0" w:after="0" w:afterAutospacing="0"/>
        <w:jc w:val="both"/>
        <w:rPr>
          <w:bCs/>
          <w:color w:val="002060"/>
          <w:sz w:val="16"/>
          <w:szCs w:val="16"/>
        </w:rPr>
      </w:pPr>
      <w:r w:rsidRPr="00405303">
        <w:rPr>
          <w:bCs/>
          <w:color w:val="002060"/>
          <w:sz w:val="16"/>
          <w:szCs w:val="16"/>
        </w:rPr>
        <w:t>В феврале 1915 г. было решено было взять у «Русско-Балтийского завода» все, что он сможет дать, а остальное заказать за границей. Учитывалось, что цены, запрошенные этим заводом, «по сравнению с ценами английского и американского рынков непомерно высоки, и если могут быть признаны приемлемыми, то лишь в целях поддержания производительности единственного русского автомобильного завода при настоящих трудных для него условиях».</w:t>
      </w:r>
    </w:p>
    <w:p w14:paraId="714B2D32" w14:textId="77777777" w:rsidR="000E717F" w:rsidRPr="00405303" w:rsidRDefault="000E717F" w:rsidP="00C15251">
      <w:pPr>
        <w:pStyle w:val="p1"/>
        <w:spacing w:before="0" w:beforeAutospacing="0" w:after="0" w:afterAutospacing="0"/>
        <w:jc w:val="both"/>
        <w:rPr>
          <w:bCs/>
          <w:color w:val="002060"/>
          <w:sz w:val="16"/>
          <w:szCs w:val="16"/>
        </w:rPr>
      </w:pPr>
      <w:r w:rsidRPr="00405303">
        <w:rPr>
          <w:bCs/>
          <w:color w:val="002060"/>
          <w:sz w:val="16"/>
          <w:szCs w:val="16"/>
        </w:rPr>
        <w:lastRenderedPageBreak/>
        <w:t xml:space="preserve">Опираясь на сообщение журнала «Автомобилист» 1913г., Н.П. Ионичев указывает, что автомобильный отдел «Русско-Балтийского завода» выпускал «до 200 автомобилей в год» — «грузовые и легковые автомобили», якобы «целиком из узлов своего производства». По данным Воронковой, завод был рассчитан на годовой выпуск даже 250 </w:t>
      </w:r>
      <w:proofErr w:type="gramStart"/>
      <w:r w:rsidRPr="00405303">
        <w:rPr>
          <w:bCs/>
          <w:color w:val="002060"/>
          <w:sz w:val="16"/>
          <w:szCs w:val="16"/>
        </w:rPr>
        <w:t>машин[</w:t>
      </w:r>
      <w:proofErr w:type="gramEnd"/>
      <w:r w:rsidRPr="00405303">
        <w:rPr>
          <w:bCs/>
          <w:color w:val="002060"/>
          <w:sz w:val="16"/>
          <w:szCs w:val="16"/>
        </w:rPr>
        <w:t xml:space="preserve">147], но «не смог достичь расчетной производительности… встретившись с непреодолимыми трудностями»: из-за высоких пошлин ввоз используемых материалов и частей обходился дорого. Всего «Русско-Балтийский завод» выпустил, по одним сведениям, 451 машину за 1910–1915 гг., то есть в среднем не по 200–250, а по 75 в год. По другим, более полным и надежным сведениям, выпуск достиг 623 шт. за 1909–1918 гг., то есть в среднем свыше 60 машин в </w:t>
      </w:r>
      <w:proofErr w:type="gramStart"/>
      <w:r w:rsidRPr="00405303">
        <w:rPr>
          <w:bCs/>
          <w:color w:val="002060"/>
          <w:sz w:val="16"/>
          <w:szCs w:val="16"/>
        </w:rPr>
        <w:t>год</w:t>
      </w:r>
      <w:r w:rsidRPr="00405303">
        <w:rPr>
          <w:bCs/>
          <w:color w:val="002060"/>
          <w:sz w:val="16"/>
          <w:szCs w:val="16"/>
          <w:vertAlign w:val="superscript"/>
        </w:rPr>
        <w:t>{</w:t>
      </w:r>
      <w:proofErr w:type="gramEnd"/>
      <w:r w:rsidRPr="00405303">
        <w:rPr>
          <w:bCs/>
          <w:color w:val="002060"/>
          <w:sz w:val="16"/>
          <w:szCs w:val="16"/>
          <w:vertAlign w:val="superscript"/>
        </w:rPr>
        <w:t>595}</w:t>
      </w:r>
      <w:r w:rsidRPr="00405303">
        <w:rPr>
          <w:bCs/>
          <w:color w:val="002060"/>
          <w:sz w:val="16"/>
          <w:szCs w:val="16"/>
        </w:rPr>
        <w:t>.[148] В 1916 г. «Русско-Балтийский завод» не делал все у себя, а получал из-за границы (через Стокгольм) необходимые для производства автомобилей сталь, шарикоподшипники, свечи, насосы, покрышки и камеры, карбюраторы, магнето, колеса, масленки, приборы, валы, тросы, шурупы, винты, болты, различные материалы. С конца 1914 г. завод овладел искусством изготовления радиаторов, а затем и конических шестерен. Это и есть та автомобильная промышленность, какой реально располагала Россия в 1914–1917 гг.: по оценке Шугурова, «единственный, пусть небольшой, автомобильный завод» (18366).</w:t>
      </w:r>
    </w:p>
    <w:p w14:paraId="6C11CFB9" w14:textId="77777777" w:rsidR="000E717F" w:rsidRPr="00405303" w:rsidRDefault="000E717F" w:rsidP="00C15251">
      <w:pPr>
        <w:pStyle w:val="p1"/>
        <w:spacing w:before="0" w:beforeAutospacing="0" w:after="0" w:afterAutospacing="0"/>
        <w:jc w:val="both"/>
        <w:rPr>
          <w:bCs/>
          <w:color w:val="002060"/>
          <w:sz w:val="16"/>
          <w:szCs w:val="16"/>
        </w:rPr>
      </w:pPr>
    </w:p>
    <w:p w14:paraId="025AD017" w14:textId="77777777" w:rsidR="000E717F" w:rsidRPr="00405303" w:rsidRDefault="000E717F" w:rsidP="00C15251">
      <w:pPr>
        <w:pStyle w:val="p1"/>
        <w:spacing w:before="0" w:beforeAutospacing="0" w:after="0" w:afterAutospacing="0"/>
        <w:jc w:val="both"/>
        <w:rPr>
          <w:bCs/>
          <w:color w:val="002060"/>
          <w:sz w:val="16"/>
          <w:szCs w:val="16"/>
        </w:rPr>
      </w:pPr>
      <w:r w:rsidRPr="00405303">
        <w:rPr>
          <w:bCs/>
          <w:color w:val="002060"/>
          <w:sz w:val="16"/>
          <w:szCs w:val="16"/>
        </w:rPr>
        <w:t>В феврале 1915 г. решено было взять у «Русско-Балтийского завода» все, что он сможет дать, а остальное заказать за границей. Учитывалось, что цены, запрошенные этим заводом, «по сравнению с ценами английского и американского рынков непомерно высоки, и если могут быть признаны приемлемыми, то лишь в целях поддержания производительности единственного русского автомобильного завода при настоящих трудных для него условиях» (18409).</w:t>
      </w:r>
    </w:p>
    <w:p w14:paraId="70EDBAC6" w14:textId="77777777" w:rsidR="000E717F" w:rsidRPr="00405303" w:rsidRDefault="000E717F" w:rsidP="00C15251">
      <w:pPr>
        <w:pStyle w:val="p1"/>
        <w:spacing w:before="0" w:beforeAutospacing="0" w:after="0" w:afterAutospacing="0"/>
        <w:jc w:val="both"/>
        <w:rPr>
          <w:bCs/>
          <w:color w:val="002060"/>
          <w:sz w:val="16"/>
          <w:szCs w:val="16"/>
        </w:rPr>
      </w:pPr>
    </w:p>
    <w:p w14:paraId="6B233584" w14:textId="77777777" w:rsidR="000E717F" w:rsidRPr="00405303" w:rsidRDefault="000E717F" w:rsidP="00C15251">
      <w:pPr>
        <w:pStyle w:val="p1"/>
        <w:spacing w:before="0" w:beforeAutospacing="0" w:after="0" w:afterAutospacing="0"/>
        <w:jc w:val="both"/>
        <w:rPr>
          <w:bCs/>
          <w:color w:val="002060"/>
          <w:sz w:val="16"/>
          <w:szCs w:val="16"/>
        </w:rPr>
      </w:pPr>
      <w:r w:rsidRPr="00405303">
        <w:rPr>
          <w:bCs/>
          <w:color w:val="002060"/>
          <w:sz w:val="16"/>
          <w:szCs w:val="16"/>
        </w:rPr>
        <w:t>В феврале 1915 г. Генеральный штаб в Петрограде получил телеграмму из США от военного агента Н.Л. Голеевского. Тот предлагал «принципиально решить, безопасно ли ко времени заключения мира иметь пополнение наших боевых припасов в руках Англии». Но его совет запоздал: Военное министерство уже было занято исполнением повеления царя привести в порядок боевые припасы «ко дню заключения мира». Повеление было сообщено военному министру 15 декабря 1914 г. и рассматривалось «как общее предуказание».</w:t>
      </w:r>
    </w:p>
    <w:p w14:paraId="40C8F5F9" w14:textId="77777777" w:rsidR="000E717F" w:rsidRPr="00405303" w:rsidRDefault="000E717F" w:rsidP="00C15251">
      <w:pPr>
        <w:pStyle w:val="p1"/>
        <w:spacing w:before="0" w:beforeAutospacing="0" w:after="0" w:afterAutospacing="0"/>
        <w:jc w:val="both"/>
        <w:rPr>
          <w:bCs/>
          <w:color w:val="002060"/>
          <w:sz w:val="16"/>
          <w:szCs w:val="16"/>
        </w:rPr>
      </w:pPr>
      <w:r w:rsidRPr="00405303">
        <w:rPr>
          <w:bCs/>
          <w:color w:val="002060"/>
          <w:sz w:val="16"/>
          <w:szCs w:val="16"/>
        </w:rPr>
        <w:t>Известны обстоятельства, вызвавшие столь важное повеление Николая II. Союзническим военным представителям в Ставке было заявлено, что действия русских войск застопорились из-за нехватки винтовок и снарядов. 4 (17) декабря и французскому послу Верховный главнокомандующий «с горем» сообщил, что вынужден приостановить операции вследствие того, что израсходованы все запасы снарядов. Николаю II, прибывшему в Ставку 13 декабря после поездки по фронтам, английский военный представитель X. Вильяме нажаловался на медлительность ГАУ в переговорах с группой канадских предпринимателей, готовых поставлять снаряды, и царь вызвал для объяснений Смысловского. Явившись в Барановичи 15 декабря, Смысловский доложил, что «интересующий Ставку контракт уже заключен 12 декабря». «Попутно» же «я указал генералу Янушкевичу, — рассказывал Смысловский на следствии, — на необходимость получения хотя каких бы то ни было определенных предначертаний о том количестве патронов, какое подлежало впредь заготовлению. Результатом этого доклада и было сообщенное по телеграфу высочайшее предуказание» заготовить к концу военных действий по 2000 снарядов на орудие.</w:t>
      </w:r>
    </w:p>
    <w:p w14:paraId="78913662" w14:textId="77777777" w:rsidR="000E717F" w:rsidRPr="00405303" w:rsidRDefault="000E717F" w:rsidP="00C15251">
      <w:pPr>
        <w:pStyle w:val="p1"/>
        <w:spacing w:before="0" w:beforeAutospacing="0" w:after="0" w:afterAutospacing="0"/>
        <w:jc w:val="both"/>
        <w:rPr>
          <w:bCs/>
          <w:color w:val="002060"/>
          <w:sz w:val="16"/>
          <w:szCs w:val="16"/>
        </w:rPr>
      </w:pPr>
      <w:r w:rsidRPr="00405303">
        <w:rPr>
          <w:bCs/>
          <w:color w:val="002060"/>
          <w:sz w:val="16"/>
          <w:szCs w:val="16"/>
        </w:rPr>
        <w:t>На это «предначертание» всемерно готовить боевое снабжение к моменту ожидаемого — после разгрома Германии — нового военного противостояния, с бывшими союзниками, опирался Военный совет в журнале от 13 мая 1915 г. (журнал служил материалом к заседанию Совета министров 29 мая для рассмотрения вопроса о постройке 4-го оружейного и 2-го сталелитейного казенных заводов) (18409).</w:t>
      </w:r>
    </w:p>
    <w:p w14:paraId="75E04123" w14:textId="77777777" w:rsidR="000E717F" w:rsidRPr="00405303" w:rsidRDefault="000E717F" w:rsidP="00C15251">
      <w:pPr>
        <w:pStyle w:val="p1"/>
        <w:spacing w:before="0" w:beforeAutospacing="0" w:after="0" w:afterAutospacing="0"/>
        <w:jc w:val="both"/>
        <w:rPr>
          <w:bCs/>
          <w:color w:val="002060"/>
          <w:sz w:val="16"/>
          <w:szCs w:val="16"/>
        </w:rPr>
      </w:pPr>
    </w:p>
    <w:p w14:paraId="372FDF84" w14:textId="77777777" w:rsidR="000E717F" w:rsidRPr="00405303" w:rsidRDefault="000E717F" w:rsidP="00C15251">
      <w:pPr>
        <w:pStyle w:val="20"/>
        <w:shd w:val="clear" w:color="auto" w:fill="auto"/>
        <w:spacing w:after="0" w:line="240" w:lineRule="auto"/>
        <w:ind w:firstLine="0"/>
        <w:jc w:val="both"/>
        <w:rPr>
          <w:rFonts w:ascii="Times New Roman" w:hAnsi="Times New Roman"/>
          <w:bCs/>
          <w:color w:val="002060"/>
          <w:spacing w:val="0"/>
          <w:sz w:val="16"/>
          <w:szCs w:val="16"/>
        </w:rPr>
      </w:pPr>
      <w:r w:rsidRPr="00405303">
        <w:rPr>
          <w:rFonts w:ascii="Times New Roman" w:hAnsi="Times New Roman"/>
          <w:bCs/>
          <w:color w:val="002060"/>
          <w:spacing w:val="0"/>
          <w:sz w:val="16"/>
          <w:szCs w:val="16"/>
        </w:rPr>
        <w:t>В феврале 1915 года начальник снабжений Северо-Западного фронта стал бить тревогу по поводу незначительности поставок винтовочного боезапаса и просил военное ведомство высылать на фронт «не менее 75 млн винтовочных патронов в месяц (или не менее 19 млн в неделю) – ввиду того, что количество войск возросло и расход боезапаса возрастает» (15230).</w:t>
      </w:r>
    </w:p>
    <w:p w14:paraId="429E91E9" w14:textId="77777777" w:rsidR="000E717F" w:rsidRPr="00405303" w:rsidRDefault="000E717F" w:rsidP="00C15251">
      <w:pPr>
        <w:pStyle w:val="20"/>
        <w:shd w:val="clear" w:color="auto" w:fill="auto"/>
        <w:spacing w:after="0" w:line="240" w:lineRule="auto"/>
        <w:ind w:firstLine="0"/>
        <w:jc w:val="both"/>
        <w:rPr>
          <w:rFonts w:ascii="Times New Roman" w:hAnsi="Times New Roman"/>
          <w:bCs/>
          <w:color w:val="002060"/>
          <w:spacing w:val="0"/>
          <w:sz w:val="16"/>
          <w:szCs w:val="16"/>
        </w:rPr>
      </w:pPr>
    </w:p>
    <w:p w14:paraId="58507202" w14:textId="77777777" w:rsidR="000E717F" w:rsidRPr="00405303" w:rsidRDefault="000E717F" w:rsidP="00C15251">
      <w:pPr>
        <w:pStyle w:val="p1"/>
        <w:spacing w:before="0" w:beforeAutospacing="0" w:after="0" w:afterAutospacing="0"/>
        <w:jc w:val="both"/>
        <w:rPr>
          <w:bCs/>
          <w:color w:val="002060"/>
          <w:sz w:val="16"/>
          <w:szCs w:val="16"/>
        </w:rPr>
      </w:pPr>
      <w:r w:rsidRPr="00405303">
        <w:rPr>
          <w:bCs/>
          <w:color w:val="002060"/>
          <w:sz w:val="16"/>
          <w:szCs w:val="16"/>
        </w:rPr>
        <w:t>В феврале 1915 г. Ижевский завод выпускал 1500 винтовок в сутки, и было решено довести выпуск до 3500, добавив 318 станков, но к осени удалось получить только небольшую часть их, и усиление выпуска достигалось увеличением интенсивности труда рабочих, при этом десятки американских станков простаивали, оказавшись слишком сложными для ижевцев.</w:t>
      </w:r>
    </w:p>
    <w:p w14:paraId="213292D1" w14:textId="77777777" w:rsidR="000E717F" w:rsidRPr="00405303" w:rsidRDefault="000E717F" w:rsidP="00C15251">
      <w:pPr>
        <w:pStyle w:val="p1"/>
        <w:spacing w:before="0" w:beforeAutospacing="0" w:after="0" w:afterAutospacing="0"/>
        <w:jc w:val="both"/>
        <w:rPr>
          <w:bCs/>
          <w:color w:val="002060"/>
          <w:sz w:val="16"/>
          <w:szCs w:val="16"/>
        </w:rPr>
      </w:pPr>
      <w:r w:rsidRPr="00405303">
        <w:rPr>
          <w:bCs/>
          <w:color w:val="002060"/>
          <w:sz w:val="16"/>
          <w:szCs w:val="16"/>
        </w:rPr>
        <w:t>Ижевский комбинат, состоявший из ружейного и сталелитейного заводов с двумя лесничествами, являлся крупнейшим предприятием в империи с числом рабочих в конечном счете свыше 30 тысяч человек.</w:t>
      </w:r>
    </w:p>
    <w:p w14:paraId="2C371878" w14:textId="77777777" w:rsidR="000E717F" w:rsidRPr="00405303" w:rsidRDefault="000E717F" w:rsidP="00C15251">
      <w:pPr>
        <w:pStyle w:val="p1"/>
        <w:spacing w:before="0" w:beforeAutospacing="0" w:after="0" w:afterAutospacing="0"/>
        <w:jc w:val="both"/>
        <w:rPr>
          <w:bCs/>
          <w:color w:val="002060"/>
          <w:sz w:val="16"/>
          <w:szCs w:val="16"/>
        </w:rPr>
      </w:pPr>
      <w:r w:rsidRPr="00405303">
        <w:rPr>
          <w:bCs/>
          <w:color w:val="002060"/>
          <w:sz w:val="16"/>
          <w:szCs w:val="16"/>
        </w:rPr>
        <w:t>В июле 1915 г. завод выпускал 2500 винтовок в день, в ноябре — свыше 3000. Одновременно продолжалось выполнение «плана коренного переустройства Ижевских заводов» (постройка новых зданий, расширение листопрокатной мастерской, оборудование прокатных станов) (18409).</w:t>
      </w:r>
    </w:p>
    <w:p w14:paraId="58B28471" w14:textId="77777777" w:rsidR="000E717F" w:rsidRPr="00405303" w:rsidRDefault="000E717F" w:rsidP="00C15251">
      <w:pPr>
        <w:pStyle w:val="p1"/>
        <w:spacing w:before="0" w:beforeAutospacing="0" w:after="0" w:afterAutospacing="0"/>
        <w:jc w:val="both"/>
        <w:rPr>
          <w:bCs/>
          <w:color w:val="002060"/>
          <w:sz w:val="16"/>
          <w:szCs w:val="16"/>
        </w:rPr>
      </w:pPr>
    </w:p>
    <w:p w14:paraId="538FBC84" w14:textId="77777777" w:rsidR="000E717F" w:rsidRPr="00405303" w:rsidRDefault="000E717F" w:rsidP="00C15251">
      <w:pPr>
        <w:pStyle w:val="ae"/>
        <w:spacing w:before="0" w:beforeAutospacing="0" w:after="0" w:afterAutospacing="0"/>
        <w:jc w:val="both"/>
        <w:rPr>
          <w:bCs/>
          <w:color w:val="002060"/>
          <w:sz w:val="16"/>
          <w:szCs w:val="16"/>
        </w:rPr>
      </w:pPr>
      <w:r w:rsidRPr="00405303">
        <w:rPr>
          <w:bCs/>
          <w:color w:val="002060"/>
          <w:sz w:val="16"/>
          <w:szCs w:val="16"/>
        </w:rPr>
        <w:t>В феврале 1915 г. были всего 1 частный и 2 казенных завода взрывчатых веществ, то в марте 1916 г. насчитывалось уже 10 частных, дававших совместно с 2 казенными предприятиями (141 тыс. пуд.) почти 800 тыс. пудов взрывчатых веществ (18369).</w:t>
      </w:r>
    </w:p>
    <w:p w14:paraId="4C3FE925" w14:textId="77777777" w:rsidR="000E717F" w:rsidRPr="00405303" w:rsidRDefault="000E717F" w:rsidP="00C15251">
      <w:pPr>
        <w:pStyle w:val="ae"/>
        <w:spacing w:before="0" w:beforeAutospacing="0" w:after="0" w:afterAutospacing="0"/>
        <w:jc w:val="both"/>
        <w:rPr>
          <w:bCs/>
          <w:color w:val="002060"/>
          <w:sz w:val="16"/>
          <w:szCs w:val="16"/>
        </w:rPr>
      </w:pPr>
    </w:p>
    <w:p w14:paraId="4AE01E70" w14:textId="77777777" w:rsidR="000E717F" w:rsidRPr="00405303" w:rsidRDefault="000E717F" w:rsidP="00C15251">
      <w:pPr>
        <w:pStyle w:val="p1"/>
        <w:spacing w:before="0" w:beforeAutospacing="0" w:after="0" w:afterAutospacing="0"/>
        <w:jc w:val="both"/>
        <w:rPr>
          <w:bCs/>
          <w:color w:val="002060"/>
          <w:sz w:val="16"/>
          <w:szCs w:val="16"/>
        </w:rPr>
      </w:pPr>
      <w:r w:rsidRPr="00405303">
        <w:rPr>
          <w:bCs/>
          <w:color w:val="002060"/>
          <w:sz w:val="16"/>
          <w:szCs w:val="16"/>
        </w:rPr>
        <w:t xml:space="preserve">До февраля 1915 г. предел подачи снарядов зависел от заводов, изготовлявших корпуса, стаканы, а с весны на первый план выступила нехватка дистанционных трубок для шрапнелей (с марта) и взрывателей для фугасных снарядов (к лету). По словам </w:t>
      </w:r>
      <w:proofErr w:type="gramStart"/>
      <w:r w:rsidRPr="00405303">
        <w:rPr>
          <w:bCs/>
          <w:color w:val="002060"/>
          <w:sz w:val="16"/>
          <w:szCs w:val="16"/>
        </w:rPr>
        <w:t>председатель »</w:t>
      </w:r>
      <w:proofErr w:type="gramEnd"/>
      <w:r w:rsidRPr="00405303">
        <w:rPr>
          <w:bCs/>
          <w:color w:val="002060"/>
          <w:sz w:val="16"/>
          <w:szCs w:val="16"/>
        </w:rPr>
        <w:t>, Верховной следственной комиссии Н.П. Петрова, лишь тогда критическое значение приобрело количество не корпусов снарядов, а трубок и взрывателей. Поначалу «число выстрелов… определялось не численностью сдававшихся трубок, а числом изготовлявшихся снарядов», оно отставало от числа трубок. Иначе представлялся ход дела составителю «Свода» о порохе и взрывчатых веществах С.Т. Варун-Секрету. По его мнению, наоборот, недопоставка корпусов стала сдерживать выпуск снарядов «только в последнее время», то есть к концу 1915 г., а до лета 1915 г. «главным тормозом снаряжательных работ», «главной помехой» являлся «не недостаток корпусов снарядов, присылаемых для снаряжения», а «недостаток взрывчатых веществ».</w:t>
      </w:r>
    </w:p>
    <w:p w14:paraId="12FC7B0B" w14:textId="77777777" w:rsidR="000E717F" w:rsidRPr="00405303" w:rsidRDefault="000E717F" w:rsidP="00C15251">
      <w:pPr>
        <w:pStyle w:val="p1"/>
        <w:spacing w:before="0" w:beforeAutospacing="0" w:after="0" w:afterAutospacing="0"/>
        <w:jc w:val="both"/>
        <w:rPr>
          <w:bCs/>
          <w:color w:val="002060"/>
          <w:sz w:val="16"/>
          <w:szCs w:val="16"/>
        </w:rPr>
      </w:pPr>
      <w:r w:rsidRPr="00405303">
        <w:rPr>
          <w:bCs/>
          <w:color w:val="002060"/>
          <w:sz w:val="16"/>
          <w:szCs w:val="16"/>
        </w:rPr>
        <w:t>В другом докладе Варун-Секрет сделал иное сопоставление — количества поступавших для снаряжения дистанционных трубок, корпусов и пороха, и теперь уже у него получилось, что «причиной неподачи» снарядов в нужном фронту количестве был «не недостаток пушечного пороха, а недостаток дистанционных трубок и корпусов снарядов (шрапнелей и гранат)». Разноголосицу суждений в Верховной комиссии разъясняют доклады Маниковского и Мышлаевского: металлопромышленность была не в состоянии дать требующееся количество корпусов снарядов ни в начале войны, ни во все остальное время; это не отменяет того факта, что сказывалась также нехватка и взрывчатых веществ, и пороха, и трубок, и взрывателей (18409).</w:t>
      </w:r>
    </w:p>
    <w:p w14:paraId="7B090BFD" w14:textId="77777777" w:rsidR="000E717F" w:rsidRPr="00405303" w:rsidRDefault="000E717F" w:rsidP="00C15251">
      <w:pPr>
        <w:pStyle w:val="p1"/>
        <w:spacing w:before="0" w:beforeAutospacing="0" w:after="0" w:afterAutospacing="0"/>
        <w:jc w:val="both"/>
        <w:rPr>
          <w:bCs/>
          <w:color w:val="002060"/>
          <w:sz w:val="16"/>
          <w:szCs w:val="16"/>
        </w:rPr>
      </w:pPr>
    </w:p>
    <w:p w14:paraId="775AB194" w14:textId="77777777" w:rsidR="00B442E5" w:rsidRPr="00405303" w:rsidRDefault="00B442E5" w:rsidP="00B442E5">
      <w:pPr>
        <w:jc w:val="both"/>
        <w:rPr>
          <w:color w:val="0070C0"/>
          <w:sz w:val="16"/>
          <w:szCs w:val="16"/>
        </w:rPr>
      </w:pPr>
      <w:r w:rsidRPr="00405303">
        <w:rPr>
          <w:rStyle w:val="aa"/>
          <w:rFonts w:ascii="Times New Roman" w:hAnsi="Times New Roman"/>
          <w:color w:val="0070C0"/>
          <w:spacing w:val="0"/>
          <w:sz w:val="16"/>
          <w:szCs w:val="16"/>
        </w:rPr>
        <w:t>В феврале 1915 г. ГАУ выдало заказ петербургскому моторостроительному, механическо</w:t>
      </w:r>
      <w:r w:rsidRPr="00405303">
        <w:rPr>
          <w:rStyle w:val="aa"/>
          <w:rFonts w:ascii="Times New Roman" w:hAnsi="Times New Roman"/>
          <w:color w:val="0070C0"/>
          <w:spacing w:val="0"/>
          <w:sz w:val="16"/>
          <w:szCs w:val="16"/>
        </w:rPr>
        <w:softHyphen/>
        <w:t>му и литейному заводу М. Шкилина и Я. Гирша на 50... 6</w:t>
      </w:r>
      <w:r w:rsidRPr="00405303">
        <w:rPr>
          <w:rStyle w:val="aa"/>
          <w:rFonts w:ascii="Times New Roman" w:hAnsi="Times New Roman"/>
          <w:color w:val="0070C0"/>
          <w:spacing w:val="0"/>
          <w:sz w:val="16"/>
          <w:szCs w:val="16"/>
        </w:rPr>
        <w:softHyphen/>
        <w:t xml:space="preserve">фунтовых мортирок Кегорна. Причем все, как и положено в </w:t>
      </w:r>
      <w:r w:rsidRPr="00405303">
        <w:rPr>
          <w:rStyle w:val="aa"/>
          <w:rFonts w:ascii="Times New Roman" w:hAnsi="Times New Roman"/>
          <w:color w:val="0070C0"/>
          <w:spacing w:val="0"/>
          <w:sz w:val="16"/>
          <w:szCs w:val="16"/>
          <w:lang w:val="en-US"/>
        </w:rPr>
        <w:t>XVII</w:t>
      </w:r>
      <w:r w:rsidRPr="00405303">
        <w:rPr>
          <w:rStyle w:val="aa"/>
          <w:rFonts w:ascii="Times New Roman" w:hAnsi="Times New Roman"/>
          <w:color w:val="0070C0"/>
          <w:spacing w:val="0"/>
          <w:sz w:val="16"/>
          <w:szCs w:val="16"/>
        </w:rPr>
        <w:t xml:space="preserve"> веке, — основание деревянное, бомбы шарообраз</w:t>
      </w:r>
      <w:r w:rsidRPr="00405303">
        <w:rPr>
          <w:rStyle w:val="aa"/>
          <w:rFonts w:ascii="Times New Roman" w:hAnsi="Times New Roman"/>
          <w:color w:val="0070C0"/>
          <w:spacing w:val="0"/>
          <w:sz w:val="16"/>
          <w:szCs w:val="16"/>
        </w:rPr>
        <w:softHyphen/>
        <w:t>ные с деревянными дистанционными трубками. Для 6-фун</w:t>
      </w:r>
      <w:r w:rsidRPr="00405303">
        <w:rPr>
          <w:rStyle w:val="aa"/>
          <w:rFonts w:ascii="Times New Roman" w:hAnsi="Times New Roman"/>
          <w:color w:val="0070C0"/>
          <w:spacing w:val="0"/>
          <w:sz w:val="16"/>
          <w:szCs w:val="16"/>
        </w:rPr>
        <w:softHyphen/>
        <w:t>товой мортиры была специально составлена и в ста экзем</w:t>
      </w:r>
      <w:r w:rsidRPr="00405303">
        <w:rPr>
          <w:rStyle w:val="aa"/>
          <w:rFonts w:ascii="Times New Roman" w:hAnsi="Times New Roman"/>
          <w:color w:val="0070C0"/>
          <w:spacing w:val="0"/>
          <w:sz w:val="16"/>
          <w:szCs w:val="16"/>
        </w:rPr>
        <w:softHyphen/>
        <w:t>плярах отпечатана таблица стрельбы, по которой предель</w:t>
      </w:r>
      <w:r w:rsidRPr="00405303">
        <w:rPr>
          <w:rStyle w:val="aa"/>
          <w:rFonts w:ascii="Times New Roman" w:hAnsi="Times New Roman"/>
          <w:color w:val="0070C0"/>
          <w:spacing w:val="0"/>
          <w:sz w:val="16"/>
          <w:szCs w:val="16"/>
        </w:rPr>
        <w:softHyphen/>
        <w:t>ная дальность 6-фунтовой (2,46-кг) гранаты составляла 334 м. Граната содержала 200 г черного пороха и давала при разрыве до 70 осколков, из которых примерно 44 были убойными.</w:t>
      </w:r>
    </w:p>
    <w:p w14:paraId="6D5B82C2" w14:textId="77777777" w:rsidR="00B442E5" w:rsidRPr="00405303" w:rsidRDefault="00B442E5" w:rsidP="00B442E5">
      <w:pPr>
        <w:jc w:val="both"/>
        <w:rPr>
          <w:color w:val="0070C0"/>
          <w:sz w:val="16"/>
          <w:szCs w:val="16"/>
        </w:rPr>
      </w:pPr>
      <w:r w:rsidRPr="00405303">
        <w:rPr>
          <w:rStyle w:val="aa"/>
          <w:rFonts w:ascii="Times New Roman" w:hAnsi="Times New Roman"/>
          <w:color w:val="0070C0"/>
          <w:spacing w:val="0"/>
          <w:sz w:val="16"/>
          <w:szCs w:val="16"/>
        </w:rPr>
        <w:t>В июне 1915 г. на Главном артиллерийском полигоне начались испытания новых мортир. Но, увы, Шкилкин и Гирш схалтурили. При стрельбе основания разлетались, а одну мортиру разорвало. В конце концов, ГАУ решило мор</w:t>
      </w:r>
      <w:r w:rsidRPr="00405303">
        <w:rPr>
          <w:rStyle w:val="aa"/>
          <w:rFonts w:ascii="Times New Roman" w:hAnsi="Times New Roman"/>
          <w:color w:val="0070C0"/>
          <w:spacing w:val="0"/>
          <w:sz w:val="16"/>
          <w:szCs w:val="16"/>
        </w:rPr>
        <w:softHyphen/>
        <w:t>тиры Кегорна в массовое производство не запускать (25437).</w:t>
      </w:r>
    </w:p>
    <w:p w14:paraId="6AB44063" w14:textId="77777777" w:rsidR="00B442E5" w:rsidRPr="00405303" w:rsidRDefault="00B442E5" w:rsidP="00B442E5">
      <w:pPr>
        <w:jc w:val="both"/>
        <w:rPr>
          <w:color w:val="0070C0"/>
          <w:sz w:val="16"/>
          <w:szCs w:val="16"/>
        </w:rPr>
      </w:pPr>
    </w:p>
    <w:p w14:paraId="2017162B" w14:textId="77777777" w:rsidR="00B442E5" w:rsidRPr="00405303" w:rsidRDefault="00B442E5" w:rsidP="00B442E5">
      <w:pPr>
        <w:jc w:val="both"/>
        <w:rPr>
          <w:color w:val="0070C0"/>
          <w:sz w:val="16"/>
          <w:szCs w:val="16"/>
        </w:rPr>
      </w:pPr>
      <w:r w:rsidRPr="00405303">
        <w:rPr>
          <w:color w:val="0070C0"/>
          <w:sz w:val="16"/>
          <w:szCs w:val="16"/>
        </w:rPr>
        <w:t>В феврале 1915 года Ставка телеграммой сообщила ГУГШ о необходимости, кроме намеченных ранее к форми</w:t>
      </w:r>
      <w:r w:rsidRPr="00405303">
        <w:rPr>
          <w:color w:val="0070C0"/>
          <w:sz w:val="16"/>
          <w:szCs w:val="16"/>
        </w:rPr>
        <w:softHyphen/>
        <w:t>рованию- пятнадцати автомобильных санитарных транспор</w:t>
      </w:r>
      <w:r w:rsidRPr="00405303">
        <w:rPr>
          <w:color w:val="0070C0"/>
          <w:sz w:val="16"/>
          <w:szCs w:val="16"/>
        </w:rPr>
        <w:softHyphen/>
        <w:t>тов, отправить в действующую армию еще пятнадцать та</w:t>
      </w:r>
      <w:r w:rsidRPr="00405303">
        <w:rPr>
          <w:color w:val="0070C0"/>
          <w:sz w:val="16"/>
          <w:szCs w:val="16"/>
        </w:rPr>
        <w:softHyphen/>
        <w:t>ковых же транспортов, а также устроить тыловые мастер</w:t>
      </w:r>
      <w:r w:rsidRPr="00405303">
        <w:rPr>
          <w:color w:val="0070C0"/>
          <w:sz w:val="16"/>
          <w:szCs w:val="16"/>
        </w:rPr>
        <w:softHyphen/>
        <w:t>ские в Бресте, Вильне и Бердичеве.</w:t>
      </w:r>
    </w:p>
    <w:p w14:paraId="30BA414B" w14:textId="77777777" w:rsidR="00B442E5" w:rsidRPr="00405303" w:rsidRDefault="00B442E5" w:rsidP="00B442E5">
      <w:pPr>
        <w:jc w:val="both"/>
        <w:rPr>
          <w:color w:val="0070C0"/>
          <w:sz w:val="16"/>
          <w:szCs w:val="16"/>
        </w:rPr>
      </w:pPr>
      <w:r w:rsidRPr="00405303">
        <w:rPr>
          <w:color w:val="0070C0"/>
          <w:sz w:val="16"/>
          <w:szCs w:val="16"/>
        </w:rPr>
        <w:t>Затем, в сношениях от 2 и 6 марта 1915 г. за № 1721 и 1880, ГУГШ указало ГВТУ на необходимость заказать 3.000 мотоциклетов, а также 150 бронированных автомоби</w:t>
      </w:r>
      <w:r w:rsidRPr="00405303">
        <w:rPr>
          <w:color w:val="0070C0"/>
          <w:sz w:val="16"/>
          <w:szCs w:val="16"/>
        </w:rPr>
        <w:softHyphen/>
        <w:t>лей сверх тех 60, которые подлежали заготовлению, согласно представлению ГВТУ в Военный Совет от 21 января 1915 г. за № 317/298.</w:t>
      </w:r>
    </w:p>
    <w:p w14:paraId="7467B3A2" w14:textId="77777777" w:rsidR="00B442E5" w:rsidRPr="00405303" w:rsidRDefault="00B442E5" w:rsidP="00B442E5">
      <w:pPr>
        <w:jc w:val="both"/>
        <w:rPr>
          <w:color w:val="0070C0"/>
          <w:sz w:val="16"/>
          <w:szCs w:val="16"/>
        </w:rPr>
      </w:pPr>
      <w:r w:rsidRPr="00405303">
        <w:rPr>
          <w:color w:val="0070C0"/>
          <w:sz w:val="16"/>
          <w:szCs w:val="16"/>
        </w:rPr>
        <w:t>Далее, начальник Генерального Штаба, Беляев, (2 апреля 1915 года за № 2659) сообщил начальнику ГВТУ, что в виду требований с фронта на автомобили для авиационных, воз</w:t>
      </w:r>
      <w:r w:rsidRPr="00405303">
        <w:rPr>
          <w:color w:val="0070C0"/>
          <w:sz w:val="16"/>
          <w:szCs w:val="16"/>
        </w:rPr>
        <w:softHyphen/>
        <w:t>духоплавательных, тяжелых артиллерийских, броневых и разных других частей, а также необходимости замены при</w:t>
      </w:r>
      <w:r w:rsidRPr="00405303">
        <w:rPr>
          <w:color w:val="0070C0"/>
          <w:sz w:val="16"/>
          <w:szCs w:val="16"/>
        </w:rPr>
        <w:softHyphen/>
        <w:t xml:space="preserve">шедших в негодность и даже </w:t>
      </w:r>
      <w:r w:rsidRPr="00405303">
        <w:rPr>
          <w:color w:val="0070C0"/>
          <w:sz w:val="16"/>
          <w:szCs w:val="16"/>
        </w:rPr>
        <w:lastRenderedPageBreak/>
        <w:t>уничтоженных машин, необ</w:t>
      </w:r>
      <w:r w:rsidRPr="00405303">
        <w:rPr>
          <w:color w:val="0070C0"/>
          <w:sz w:val="16"/>
          <w:szCs w:val="16"/>
        </w:rPr>
        <w:softHyphen/>
        <w:t>ходимо спешно, не делая нового представления о заказе автомобилей, воспользоваться правом военного ведомства увеличить данный уже каждой отдельной фирме заказ за счет обусловленной в контрактах процентной нормы (около 25%).</w:t>
      </w:r>
    </w:p>
    <w:p w14:paraId="49634271" w14:textId="77777777" w:rsidR="00B442E5" w:rsidRPr="00405303" w:rsidRDefault="00B442E5" w:rsidP="00B442E5">
      <w:pPr>
        <w:jc w:val="both"/>
        <w:rPr>
          <w:color w:val="0070C0"/>
          <w:sz w:val="16"/>
          <w:szCs w:val="16"/>
        </w:rPr>
      </w:pPr>
      <w:r w:rsidRPr="00405303">
        <w:rPr>
          <w:color w:val="0070C0"/>
          <w:sz w:val="16"/>
          <w:szCs w:val="16"/>
        </w:rPr>
        <w:t>В предыдущую заготовку заказано было 3.938 автомобилей (из них 3.511 Гастону и банкирскому дому «Маврикий Нелькен»), и, таким образом, осуществление указанного г. Беляевым права увеличения данных уже заказов давало возможность военному ведом</w:t>
      </w:r>
      <w:r w:rsidRPr="00405303">
        <w:rPr>
          <w:color w:val="0070C0"/>
          <w:sz w:val="16"/>
          <w:szCs w:val="16"/>
        </w:rPr>
        <w:softHyphen/>
        <w:t>ству вновь заготовить только около 1.000 автомобилей (пу</w:t>
      </w:r>
      <w:r w:rsidRPr="00405303">
        <w:rPr>
          <w:color w:val="0070C0"/>
          <w:sz w:val="16"/>
          <w:szCs w:val="16"/>
        </w:rPr>
        <w:softHyphen/>
        <w:t>тем заказа г. Гастону и банкирскому дому «Маврикий Нель</w:t>
      </w:r>
      <w:r w:rsidRPr="00405303">
        <w:rPr>
          <w:color w:val="0070C0"/>
          <w:sz w:val="16"/>
          <w:szCs w:val="16"/>
        </w:rPr>
        <w:softHyphen/>
        <w:t>кен»— около 900) (24923).</w:t>
      </w:r>
    </w:p>
    <w:p w14:paraId="7FF8B4CD" w14:textId="77777777" w:rsidR="00B442E5" w:rsidRPr="00405303" w:rsidRDefault="00B442E5" w:rsidP="00B442E5">
      <w:pPr>
        <w:jc w:val="both"/>
        <w:rPr>
          <w:color w:val="0070C0"/>
          <w:sz w:val="16"/>
          <w:szCs w:val="16"/>
        </w:rPr>
      </w:pPr>
    </w:p>
    <w:p w14:paraId="251DF58D" w14:textId="77777777" w:rsidR="000E717F" w:rsidRPr="00405303" w:rsidRDefault="000E717F" w:rsidP="00C15251">
      <w:pPr>
        <w:jc w:val="both"/>
        <w:rPr>
          <w:bCs/>
          <w:color w:val="002060"/>
          <w:sz w:val="16"/>
          <w:szCs w:val="16"/>
        </w:rPr>
      </w:pPr>
      <w:r w:rsidRPr="00405303">
        <w:rPr>
          <w:bCs/>
          <w:color w:val="002060"/>
          <w:sz w:val="16"/>
          <w:szCs w:val="16"/>
        </w:rPr>
        <w:t>В феврале 1915 г. при обсуждении вопросов расширения производственных площадей Радиотелеграфного завода речь шла о необходимости поставок для флота судовых передатчиков мощностью в 25 кВт, за годы войны предприятие так и не смогло освоить серийное производство радиоустановок мощностью более 10 кВт. (18297)</w:t>
      </w:r>
    </w:p>
    <w:p w14:paraId="0961F9D1" w14:textId="77777777" w:rsidR="000E717F" w:rsidRPr="00405303" w:rsidRDefault="000E717F" w:rsidP="00C15251">
      <w:pPr>
        <w:jc w:val="both"/>
        <w:rPr>
          <w:bCs/>
          <w:color w:val="002060"/>
          <w:sz w:val="16"/>
          <w:szCs w:val="16"/>
        </w:rPr>
      </w:pPr>
    </w:p>
    <w:p w14:paraId="0EB9875E" w14:textId="394D0C62" w:rsidR="004B4E35" w:rsidRPr="00405303" w:rsidRDefault="006A4BA6" w:rsidP="00C15251">
      <w:pPr>
        <w:shd w:val="clear" w:color="auto" w:fill="FFFFFF"/>
        <w:jc w:val="both"/>
        <w:rPr>
          <w:bCs/>
          <w:color w:val="002060"/>
          <w:sz w:val="16"/>
          <w:szCs w:val="16"/>
        </w:rPr>
      </w:pPr>
      <w:r w:rsidRPr="00405303">
        <w:rPr>
          <w:bCs/>
          <w:color w:val="002060"/>
          <w:sz w:val="16"/>
          <w:szCs w:val="16"/>
        </w:rPr>
        <w:t>З</w:t>
      </w:r>
      <w:r w:rsidR="009E6F82" w:rsidRPr="00405303">
        <w:rPr>
          <w:bCs/>
          <w:color w:val="002060"/>
          <w:sz w:val="16"/>
          <w:szCs w:val="16"/>
        </w:rPr>
        <w:t>а февраль—июль 1915 г. были приняты реше</w:t>
      </w:r>
      <w:r w:rsidR="009E6F82" w:rsidRPr="00405303">
        <w:rPr>
          <w:bCs/>
          <w:color w:val="002060"/>
          <w:sz w:val="16"/>
          <w:szCs w:val="16"/>
        </w:rPr>
        <w:softHyphen/>
        <w:t>ния, предусматривавшие увеличение производства пороха более чем в 3 раза по сравнению с довоенным уровнем — от 290 до 910 тыс. пу</w:t>
      </w:r>
      <w:r w:rsidR="009E6F82" w:rsidRPr="00405303">
        <w:rPr>
          <w:bCs/>
          <w:color w:val="002060"/>
          <w:sz w:val="16"/>
          <w:szCs w:val="16"/>
        </w:rPr>
        <w:softHyphen/>
        <w:t>дов, в том числе на Охтинском заводе — до 210 тыс., на Казанском и Шосткинском — до 350 тыс. пудов на каждом [42, с. 442] (5484).</w:t>
      </w:r>
    </w:p>
    <w:p w14:paraId="7E8ADCB7" w14:textId="77777777" w:rsidR="004B4E35" w:rsidRPr="00405303" w:rsidRDefault="004B4E35" w:rsidP="00C15251">
      <w:pPr>
        <w:shd w:val="clear" w:color="auto" w:fill="FFFFFF"/>
        <w:jc w:val="both"/>
        <w:rPr>
          <w:bCs/>
          <w:color w:val="002060"/>
          <w:sz w:val="16"/>
          <w:szCs w:val="16"/>
        </w:rPr>
      </w:pPr>
    </w:p>
    <w:p w14:paraId="3CD052CA" w14:textId="198B05D3" w:rsidR="006A4BA6" w:rsidRPr="00405303" w:rsidRDefault="006A4BA6" w:rsidP="00C15251">
      <w:pPr>
        <w:jc w:val="both"/>
        <w:rPr>
          <w:bCs/>
          <w:color w:val="002060"/>
          <w:sz w:val="16"/>
          <w:szCs w:val="16"/>
        </w:rPr>
      </w:pPr>
      <w:r w:rsidRPr="00405303">
        <w:rPr>
          <w:bCs/>
          <w:color w:val="002060"/>
          <w:sz w:val="16"/>
          <w:szCs w:val="16"/>
        </w:rPr>
        <w:t>В феврале 1915 года была разрешена постройка Кадиевского бензольного и ректификационного завода. В 1916 г. завод открыл работы по производству.</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64"/>
        <w:gridCol w:w="1356"/>
      </w:tblGrid>
      <w:tr w:rsidR="004B4E35" w:rsidRPr="00405303" w14:paraId="579FF51B" w14:textId="77777777">
        <w:tc>
          <w:tcPr>
            <w:tcW w:w="3264" w:type="dxa"/>
          </w:tcPr>
          <w:p w14:paraId="78E44AD6" w14:textId="77777777" w:rsidR="004B4E35" w:rsidRPr="00405303" w:rsidRDefault="009E6F82" w:rsidP="00C15251">
            <w:pPr>
              <w:jc w:val="both"/>
              <w:rPr>
                <w:bCs/>
                <w:color w:val="002060"/>
                <w:sz w:val="16"/>
                <w:szCs w:val="16"/>
              </w:rPr>
            </w:pPr>
            <w:r w:rsidRPr="00405303">
              <w:rPr>
                <w:bCs/>
                <w:color w:val="002060"/>
                <w:sz w:val="16"/>
                <w:szCs w:val="16"/>
              </w:rPr>
              <w:t>получение сырого бензола</w:t>
            </w:r>
          </w:p>
        </w:tc>
        <w:tc>
          <w:tcPr>
            <w:tcW w:w="1356" w:type="dxa"/>
          </w:tcPr>
          <w:p w14:paraId="6917F85D" w14:textId="77777777" w:rsidR="004B4E35" w:rsidRPr="00405303" w:rsidRDefault="009E6F82" w:rsidP="00C15251">
            <w:pPr>
              <w:jc w:val="both"/>
              <w:rPr>
                <w:bCs/>
                <w:color w:val="002060"/>
                <w:sz w:val="16"/>
                <w:szCs w:val="16"/>
              </w:rPr>
            </w:pPr>
            <w:r w:rsidRPr="00405303">
              <w:rPr>
                <w:bCs/>
                <w:color w:val="002060"/>
                <w:sz w:val="16"/>
                <w:szCs w:val="16"/>
              </w:rPr>
              <w:t xml:space="preserve">150 000 </w:t>
            </w:r>
          </w:p>
        </w:tc>
      </w:tr>
      <w:tr w:rsidR="004B4E35" w:rsidRPr="00405303" w14:paraId="44F31872" w14:textId="77777777">
        <w:tc>
          <w:tcPr>
            <w:tcW w:w="3264" w:type="dxa"/>
          </w:tcPr>
          <w:p w14:paraId="2E8AE72C" w14:textId="77777777" w:rsidR="004B4E35" w:rsidRPr="00405303" w:rsidRDefault="009E6F82" w:rsidP="00C15251">
            <w:pPr>
              <w:jc w:val="both"/>
              <w:rPr>
                <w:bCs/>
                <w:color w:val="002060"/>
                <w:sz w:val="16"/>
                <w:szCs w:val="16"/>
              </w:rPr>
            </w:pPr>
            <w:r w:rsidRPr="00405303">
              <w:rPr>
                <w:bCs/>
                <w:color w:val="002060"/>
                <w:sz w:val="16"/>
                <w:szCs w:val="16"/>
              </w:rPr>
              <w:t>очистка сырого бензола</w:t>
            </w:r>
          </w:p>
        </w:tc>
        <w:tc>
          <w:tcPr>
            <w:tcW w:w="1356" w:type="dxa"/>
          </w:tcPr>
          <w:p w14:paraId="21D35F13" w14:textId="77777777" w:rsidR="004B4E35" w:rsidRPr="00405303" w:rsidRDefault="009E6F82" w:rsidP="00C15251">
            <w:pPr>
              <w:jc w:val="both"/>
              <w:rPr>
                <w:bCs/>
                <w:color w:val="002060"/>
                <w:sz w:val="16"/>
                <w:szCs w:val="16"/>
              </w:rPr>
            </w:pPr>
            <w:r w:rsidRPr="00405303">
              <w:rPr>
                <w:bCs/>
                <w:color w:val="002060"/>
                <w:sz w:val="16"/>
                <w:szCs w:val="16"/>
              </w:rPr>
              <w:t xml:space="preserve">400 000 </w:t>
            </w:r>
          </w:p>
        </w:tc>
      </w:tr>
      <w:tr w:rsidR="004B4E35" w:rsidRPr="00405303" w14:paraId="5AF53907" w14:textId="77777777">
        <w:tc>
          <w:tcPr>
            <w:tcW w:w="3264" w:type="dxa"/>
          </w:tcPr>
          <w:p w14:paraId="3CFD9E43" w14:textId="77777777" w:rsidR="004B4E35" w:rsidRPr="00405303" w:rsidRDefault="009E6F82" w:rsidP="00C15251">
            <w:pPr>
              <w:jc w:val="both"/>
              <w:rPr>
                <w:bCs/>
                <w:color w:val="002060"/>
                <w:sz w:val="16"/>
                <w:szCs w:val="16"/>
              </w:rPr>
            </w:pPr>
            <w:r w:rsidRPr="00405303">
              <w:rPr>
                <w:bCs/>
                <w:color w:val="002060"/>
                <w:sz w:val="16"/>
                <w:szCs w:val="16"/>
              </w:rPr>
              <w:t>очистка нафталина</w:t>
            </w:r>
          </w:p>
        </w:tc>
        <w:tc>
          <w:tcPr>
            <w:tcW w:w="1356" w:type="dxa"/>
          </w:tcPr>
          <w:p w14:paraId="68AD49CD" w14:textId="77777777" w:rsidR="004B4E35" w:rsidRPr="00405303" w:rsidRDefault="009E6F82" w:rsidP="00C15251">
            <w:pPr>
              <w:jc w:val="both"/>
              <w:rPr>
                <w:bCs/>
                <w:color w:val="002060"/>
                <w:sz w:val="16"/>
                <w:szCs w:val="16"/>
              </w:rPr>
            </w:pPr>
            <w:r w:rsidRPr="00405303">
              <w:rPr>
                <w:bCs/>
                <w:color w:val="002060"/>
                <w:sz w:val="16"/>
                <w:szCs w:val="16"/>
              </w:rPr>
              <w:t xml:space="preserve">200 000. </w:t>
            </w:r>
          </w:p>
        </w:tc>
      </w:tr>
    </w:tbl>
    <w:p w14:paraId="0C99AF8B" w14:textId="22B83CC2" w:rsidR="004B4E35" w:rsidRPr="00405303" w:rsidRDefault="009E6F82" w:rsidP="00C15251">
      <w:pPr>
        <w:jc w:val="both"/>
        <w:rPr>
          <w:bCs/>
          <w:color w:val="002060"/>
          <w:sz w:val="16"/>
          <w:szCs w:val="16"/>
        </w:rPr>
      </w:pPr>
      <w:r w:rsidRPr="00405303">
        <w:rPr>
          <w:bCs/>
          <w:color w:val="002060"/>
          <w:sz w:val="16"/>
          <w:szCs w:val="16"/>
        </w:rPr>
        <w:t xml:space="preserve">Стоимость завода 1,3 млн руб. (по 1915 г.) (11329). </w:t>
      </w:r>
    </w:p>
    <w:p w14:paraId="7EF00D7B" w14:textId="77777777" w:rsidR="004B4E35" w:rsidRPr="00405303" w:rsidRDefault="004B4E35" w:rsidP="00C15251">
      <w:pPr>
        <w:jc w:val="both"/>
        <w:rPr>
          <w:bCs/>
          <w:color w:val="002060"/>
          <w:sz w:val="16"/>
          <w:szCs w:val="16"/>
        </w:rPr>
      </w:pPr>
    </w:p>
    <w:p w14:paraId="5A422B68" w14:textId="3A943C30" w:rsidR="004B4E35" w:rsidRPr="00405303" w:rsidRDefault="006A4BA6"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феврале 1915 г. было изготовлено 6.3 тыс. пуд. взрывчатых веществ, то в январе 1917 г. – 130,8 тыс. пуд. Если в феврале 1915 г. взрывчатые вещества производились только на четырех заводах, то в январе 1917 г. этих заводов было 28. Производство сырого каменноугольного бензола выросло с 15,6 тыс. пуд. в феврале 1915 г. до 61,8 тыс. пуд. в январе 1917 г. (11781).</w:t>
      </w:r>
    </w:p>
    <w:p w14:paraId="37881B36" w14:textId="77777777" w:rsidR="004B4E35" w:rsidRPr="00405303" w:rsidRDefault="004B4E35" w:rsidP="00C15251">
      <w:pPr>
        <w:jc w:val="both"/>
        <w:rPr>
          <w:bCs/>
          <w:color w:val="002060"/>
          <w:sz w:val="16"/>
          <w:szCs w:val="16"/>
        </w:rPr>
      </w:pPr>
    </w:p>
    <w:p w14:paraId="7B88A5B4" w14:textId="44586535" w:rsidR="004B4E35" w:rsidRPr="00405303" w:rsidRDefault="009E6F82" w:rsidP="00C15251">
      <w:pPr>
        <w:jc w:val="both"/>
        <w:rPr>
          <w:bCs/>
          <w:color w:val="002060"/>
          <w:sz w:val="16"/>
          <w:szCs w:val="16"/>
        </w:rPr>
      </w:pPr>
      <w:r w:rsidRPr="00405303">
        <w:rPr>
          <w:bCs/>
          <w:color w:val="002060"/>
          <w:sz w:val="16"/>
          <w:szCs w:val="16"/>
        </w:rPr>
        <w:t>В феврале 1915 г. Военное Ведомство утвердило план</w:t>
      </w:r>
      <w:r w:rsidR="006A4BA6" w:rsidRPr="00405303">
        <w:rPr>
          <w:bCs/>
          <w:color w:val="002060"/>
          <w:sz w:val="16"/>
          <w:szCs w:val="16"/>
        </w:rPr>
        <w:t xml:space="preserve"> строительства близ станции Алмазная в Кадиевке, где существовали коксовые печи, которые могли бы давать до 200000 пудов (3276 т) сырого бензола в год, нового завода. Южно-Днепровское общество безвозмездно уступило казне участок земли на 3 года. Был</w:t>
      </w:r>
      <w:r w:rsidRPr="00405303">
        <w:rPr>
          <w:bCs/>
          <w:color w:val="002060"/>
          <w:sz w:val="16"/>
          <w:szCs w:val="16"/>
        </w:rPr>
        <w:t xml:space="preserve"> откры</w:t>
      </w:r>
      <w:r w:rsidR="006A4BA6" w:rsidRPr="00405303">
        <w:rPr>
          <w:bCs/>
          <w:color w:val="002060"/>
          <w:sz w:val="16"/>
          <w:szCs w:val="16"/>
        </w:rPr>
        <w:t>т</w:t>
      </w:r>
      <w:r w:rsidRPr="00405303">
        <w:rPr>
          <w:bCs/>
          <w:color w:val="002060"/>
          <w:sz w:val="16"/>
          <w:szCs w:val="16"/>
        </w:rPr>
        <w:t xml:space="preserve"> кредит в размере 425000 рублей и </w:t>
      </w:r>
      <w:r w:rsidR="006A4BA6" w:rsidRPr="00405303">
        <w:rPr>
          <w:bCs/>
          <w:color w:val="002060"/>
          <w:sz w:val="16"/>
          <w:szCs w:val="16"/>
        </w:rPr>
        <w:t xml:space="preserve">комиссии Ипатьева </w:t>
      </w:r>
      <w:r w:rsidRPr="00405303">
        <w:rPr>
          <w:bCs/>
          <w:color w:val="002060"/>
          <w:sz w:val="16"/>
          <w:szCs w:val="16"/>
        </w:rPr>
        <w:t>поруч</w:t>
      </w:r>
      <w:r w:rsidR="006A4BA6" w:rsidRPr="00405303">
        <w:rPr>
          <w:bCs/>
          <w:color w:val="002060"/>
          <w:sz w:val="16"/>
          <w:szCs w:val="16"/>
        </w:rPr>
        <w:t>ено</w:t>
      </w:r>
      <w:r w:rsidRPr="00405303">
        <w:rPr>
          <w:bCs/>
          <w:color w:val="002060"/>
          <w:sz w:val="16"/>
          <w:szCs w:val="16"/>
        </w:rPr>
        <w:t xml:space="preserve"> строительство завода. Он был готов к 20 августа 1915 г. Пуск первого казенного бензолового завода пробил брешь в инертности частных каменноугольных промышленников и в конце 1915 г. началось строительство около 20 бензоловых заводов в Донбассе и в Сибири. Но еще в июне комиссию Ипатьева обязали увеличить производство бензола до 3 млн. пудов (4900 т) в год </w:t>
      </w:r>
      <w:proofErr w:type="gramStart"/>
      <w:r w:rsidRPr="00405303">
        <w:rPr>
          <w:bCs/>
          <w:color w:val="002060"/>
          <w:sz w:val="16"/>
          <w:szCs w:val="16"/>
        </w:rPr>
        <w:t>( в</w:t>
      </w:r>
      <w:proofErr w:type="gramEnd"/>
      <w:r w:rsidRPr="00405303">
        <w:rPr>
          <w:bCs/>
          <w:color w:val="002060"/>
          <w:sz w:val="16"/>
          <w:szCs w:val="16"/>
        </w:rPr>
        <w:t xml:space="preserve"> 4 раза!) и в кратчайшие сроки. Было решено, что 2 млн пудов (32760 т) сырого бензола можно получить от коксования угля, а 1 миллион — за счет разложения нефти. Комиссия командировала Н.Ф.Дитмара в Донбасс для выяснения, возможно ли в годичный срок построить новые коксовые печи и бензольные заводы. Через месяц он сообщил, что в короткое время увеличить производство сырого бензола в Донбассе затруднительно в связи с нехваткой материалов и рабочих рук. Кстати, было предложение за 10-11 месяцев построить в Донбассе 2000 коксовых печей с улавливанием побочных продуктов. Его признали утопическими, хотя и трудно было доказать это. Комиссия по заготовке взрывчатых веществ обратила внимание на получение толуола через пирогенетическое разложение нефти. Опытное производство наладили в Казани. Проблему дефицита серной кислоты решили, построив сернокислотные заводы на местах разработки колчеданов.</w:t>
      </w:r>
    </w:p>
    <w:p w14:paraId="4449E858" w14:textId="77777777" w:rsidR="004B4E35" w:rsidRPr="00405303" w:rsidRDefault="004B4E35" w:rsidP="00C15251">
      <w:pPr>
        <w:jc w:val="both"/>
        <w:rPr>
          <w:bCs/>
          <w:color w:val="002060"/>
          <w:sz w:val="16"/>
          <w:szCs w:val="16"/>
        </w:rPr>
      </w:pPr>
    </w:p>
    <w:p w14:paraId="0E2CA6A2" w14:textId="6B77D12D" w:rsidR="004B4E35" w:rsidRPr="00405303" w:rsidRDefault="006A4BA6"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феврале 1915 г. </w:t>
      </w:r>
      <w:r w:rsidRPr="00405303">
        <w:rPr>
          <w:bCs/>
          <w:color w:val="002060"/>
          <w:sz w:val="16"/>
          <w:szCs w:val="16"/>
        </w:rPr>
        <w:t xml:space="preserve">фирма Оливье Пьетт (бельгийская, в Макеевке) </w:t>
      </w:r>
      <w:r w:rsidR="009E6F82" w:rsidRPr="00405303">
        <w:rPr>
          <w:bCs/>
          <w:color w:val="002060"/>
          <w:sz w:val="16"/>
          <w:szCs w:val="16"/>
        </w:rPr>
        <w:t>еще до утверждения договора с ней</w:t>
      </w:r>
      <w:r w:rsidRPr="00405303">
        <w:rPr>
          <w:bCs/>
          <w:color w:val="002060"/>
          <w:sz w:val="16"/>
          <w:szCs w:val="16"/>
        </w:rPr>
        <w:t xml:space="preserve"> начала постройку установки для улавливания сырого бензола, а также ректификационный завод для фракционирования бензола, как своего, так и того, который будет доставляться с других заводов</w:t>
      </w:r>
      <w:r w:rsidR="009E6F82" w:rsidRPr="00405303">
        <w:rPr>
          <w:bCs/>
          <w:color w:val="002060"/>
          <w:sz w:val="16"/>
          <w:szCs w:val="16"/>
        </w:rPr>
        <w:t xml:space="preserve">. Цена на ректификацию бензола была калькулирована 50 коп. за пуд вместо 9 руб., которые платили в мирное время за то же Тентелевскому заводу. </w:t>
      </w:r>
    </w:p>
    <w:p w14:paraId="62014867" w14:textId="77777777" w:rsidR="004B4E35" w:rsidRPr="00405303" w:rsidRDefault="009E6F82" w:rsidP="00C15251">
      <w:pPr>
        <w:jc w:val="both"/>
        <w:rPr>
          <w:bCs/>
          <w:color w:val="002060"/>
          <w:sz w:val="16"/>
          <w:szCs w:val="16"/>
        </w:rPr>
      </w:pPr>
      <w:r w:rsidRPr="00405303">
        <w:rPr>
          <w:bCs/>
          <w:color w:val="002060"/>
          <w:sz w:val="16"/>
          <w:szCs w:val="16"/>
        </w:rPr>
        <w:t xml:space="preserve">Вслед за этим Комиссия вступила в переговоры с Южно-Днепровским обществом в Кадиевке о постройке установок для улавливания сырого бензола. Но Общество отказалось взять на себя постройку, так как было связано с одной германской фирмой десятилетним контрактом, согласно коего этой фирме принадлежало право использования всех продуктов коксования кадиевских печей. </w:t>
      </w:r>
    </w:p>
    <w:p w14:paraId="6643700E" w14:textId="77777777" w:rsidR="004B4E35" w:rsidRPr="00405303" w:rsidRDefault="009E6F82" w:rsidP="00C15251">
      <w:pPr>
        <w:jc w:val="both"/>
        <w:rPr>
          <w:bCs/>
          <w:color w:val="002060"/>
          <w:sz w:val="16"/>
          <w:szCs w:val="16"/>
        </w:rPr>
      </w:pPr>
      <w:r w:rsidRPr="00405303">
        <w:rPr>
          <w:bCs/>
          <w:color w:val="002060"/>
          <w:sz w:val="16"/>
          <w:szCs w:val="16"/>
        </w:rPr>
        <w:t xml:space="preserve">Ввиду этого ГАУ признало необходимым самостоятельно предпринять постройку казенного бензолового завода при кадиевских коксовых печах, из продукции которых можно было бы получать до 200 тыс. [пудов в год] сырого бензола. После долгих колебаний Военное министерство дало, наконец, в феврале 1915 г. согласие на постройку завода. </w:t>
      </w:r>
    </w:p>
    <w:p w14:paraId="442EC4B8" w14:textId="77777777" w:rsidR="004B4E35" w:rsidRPr="00405303" w:rsidRDefault="009E6F82" w:rsidP="00C15251">
      <w:pPr>
        <w:jc w:val="both"/>
        <w:rPr>
          <w:bCs/>
          <w:color w:val="002060"/>
          <w:sz w:val="16"/>
          <w:szCs w:val="16"/>
        </w:rPr>
      </w:pPr>
      <w:r w:rsidRPr="00405303">
        <w:rPr>
          <w:bCs/>
          <w:color w:val="002060"/>
          <w:sz w:val="16"/>
          <w:szCs w:val="16"/>
        </w:rPr>
        <w:t xml:space="preserve">Постройка велась строительной комиссией под председательством В.Н. Ипатьева. Южно-Днепровское Общество оказывало работе Комиссии деятельную помощь. Завод был готов 20 августа 1915 г., на полтора месяца ранее назначенного срока. Завод тотчас был пущен в ход и давал бензол по ценам, которые не превосходили цен мирного времени на германских бензоловых заводах, и, таким образом, расходы на сооружение завода должны были быстро окупиться. </w:t>
      </w:r>
    </w:p>
    <w:p w14:paraId="513D9571" w14:textId="77777777" w:rsidR="004B4E35" w:rsidRPr="00405303" w:rsidRDefault="009E6F82" w:rsidP="00C15251">
      <w:pPr>
        <w:jc w:val="both"/>
        <w:rPr>
          <w:bCs/>
          <w:color w:val="002060"/>
          <w:sz w:val="16"/>
          <w:szCs w:val="16"/>
        </w:rPr>
      </w:pPr>
      <w:r w:rsidRPr="00405303">
        <w:rPr>
          <w:bCs/>
          <w:color w:val="002060"/>
          <w:sz w:val="16"/>
          <w:szCs w:val="16"/>
        </w:rPr>
        <w:t xml:space="preserve">Постройка Макеевского и в особенности Кадиевского казенного завода сыграла огромную роль в деле насаждения на Юге коксобензольной промышленности. Как только выяснилось, что постройка этих заводов идет успешно, частные предприниматели нашли в себе, наконец, решимость взяться за дело, и в ГАУ стали поступать от них предложения на поставку бензола и толуола, при условии выдачи авансов на постройку заводов. </w:t>
      </w:r>
    </w:p>
    <w:p w14:paraId="429AFEA5" w14:textId="77777777" w:rsidR="004B4E35" w:rsidRPr="00405303" w:rsidRDefault="009E6F82" w:rsidP="00C15251">
      <w:pPr>
        <w:jc w:val="both"/>
        <w:rPr>
          <w:bCs/>
          <w:color w:val="002060"/>
          <w:sz w:val="16"/>
          <w:szCs w:val="16"/>
        </w:rPr>
      </w:pPr>
      <w:r w:rsidRPr="00405303">
        <w:rPr>
          <w:bCs/>
          <w:color w:val="002060"/>
          <w:sz w:val="16"/>
          <w:szCs w:val="16"/>
        </w:rPr>
        <w:t xml:space="preserve">В дальнейшем таким порядком предпринята была постройка до 20 бензольных заводов не только в Донецком бассейне, но и в Сибири, в Кузнецком бассейне. </w:t>
      </w:r>
    </w:p>
    <w:p w14:paraId="4F27DDAD" w14:textId="77777777" w:rsidR="004B4E35" w:rsidRPr="00405303" w:rsidRDefault="009E6F82" w:rsidP="00C15251">
      <w:pPr>
        <w:jc w:val="both"/>
        <w:rPr>
          <w:bCs/>
          <w:color w:val="002060"/>
          <w:sz w:val="16"/>
          <w:szCs w:val="16"/>
        </w:rPr>
      </w:pPr>
      <w:r w:rsidRPr="00405303">
        <w:rPr>
          <w:bCs/>
          <w:color w:val="002060"/>
          <w:sz w:val="16"/>
          <w:szCs w:val="16"/>
        </w:rPr>
        <w:t xml:space="preserve">Фактический рост за время войны бензольных заводов в Донецком бассейне виден из следующей таблицы, где цифры указывают общее наличие заводов к означенным датам: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684"/>
      </w:tblGrid>
      <w:tr w:rsidR="004B4E35" w:rsidRPr="00405303" w14:paraId="0F71070E" w14:textId="77777777">
        <w:tc>
          <w:tcPr>
            <w:tcW w:w="1788" w:type="dxa"/>
          </w:tcPr>
          <w:p w14:paraId="4770189A" w14:textId="77777777" w:rsidR="004B4E35" w:rsidRPr="00405303" w:rsidRDefault="009E6F82" w:rsidP="00C15251">
            <w:pPr>
              <w:jc w:val="both"/>
              <w:rPr>
                <w:bCs/>
                <w:color w:val="002060"/>
                <w:sz w:val="16"/>
                <w:szCs w:val="16"/>
              </w:rPr>
            </w:pPr>
            <w:r w:rsidRPr="00405303">
              <w:rPr>
                <w:bCs/>
                <w:color w:val="002060"/>
                <w:sz w:val="16"/>
                <w:szCs w:val="16"/>
              </w:rPr>
              <w:t xml:space="preserve">1915 г.: </w:t>
            </w:r>
          </w:p>
        </w:tc>
        <w:tc>
          <w:tcPr>
            <w:tcW w:w="684" w:type="dxa"/>
          </w:tcPr>
          <w:p w14:paraId="326CB539" w14:textId="2F680A09" w:rsidR="004B4E35" w:rsidRPr="00405303" w:rsidRDefault="00DB4D64" w:rsidP="00C15251">
            <w:pPr>
              <w:jc w:val="both"/>
              <w:rPr>
                <w:bCs/>
                <w:color w:val="002060"/>
                <w:sz w:val="16"/>
                <w:szCs w:val="16"/>
              </w:rPr>
            </w:pPr>
            <w:r w:rsidRPr="00405303">
              <w:rPr>
                <w:bCs/>
                <w:color w:val="002060"/>
                <w:sz w:val="16"/>
                <w:szCs w:val="16"/>
              </w:rPr>
              <w:t xml:space="preserve"> </w:t>
            </w:r>
          </w:p>
        </w:tc>
      </w:tr>
      <w:tr w:rsidR="004B4E35" w:rsidRPr="00405303" w14:paraId="4CC8D4F5" w14:textId="77777777">
        <w:tc>
          <w:tcPr>
            <w:tcW w:w="1788" w:type="dxa"/>
          </w:tcPr>
          <w:p w14:paraId="7E28522A" w14:textId="77777777" w:rsidR="004B4E35" w:rsidRPr="00405303" w:rsidRDefault="009E6F82" w:rsidP="00C15251">
            <w:pPr>
              <w:jc w:val="both"/>
              <w:rPr>
                <w:bCs/>
                <w:color w:val="002060"/>
                <w:sz w:val="16"/>
                <w:szCs w:val="16"/>
              </w:rPr>
            </w:pPr>
            <w:r w:rsidRPr="00405303">
              <w:rPr>
                <w:bCs/>
                <w:color w:val="002060"/>
                <w:sz w:val="16"/>
                <w:szCs w:val="16"/>
              </w:rPr>
              <w:t>Февраль</w:t>
            </w:r>
          </w:p>
        </w:tc>
        <w:tc>
          <w:tcPr>
            <w:tcW w:w="684" w:type="dxa"/>
          </w:tcPr>
          <w:p w14:paraId="6BE50A4B" w14:textId="77777777" w:rsidR="004B4E35" w:rsidRPr="00405303" w:rsidRDefault="009E6F82" w:rsidP="00C15251">
            <w:pPr>
              <w:jc w:val="both"/>
              <w:rPr>
                <w:bCs/>
                <w:color w:val="002060"/>
                <w:sz w:val="16"/>
                <w:szCs w:val="16"/>
              </w:rPr>
            </w:pPr>
            <w:r w:rsidRPr="00405303">
              <w:rPr>
                <w:bCs/>
                <w:color w:val="002060"/>
                <w:sz w:val="16"/>
                <w:szCs w:val="16"/>
              </w:rPr>
              <w:t xml:space="preserve">3 </w:t>
            </w:r>
          </w:p>
        </w:tc>
      </w:tr>
      <w:tr w:rsidR="004B4E35" w:rsidRPr="00405303" w14:paraId="74FEFE59" w14:textId="77777777">
        <w:tc>
          <w:tcPr>
            <w:tcW w:w="1788" w:type="dxa"/>
          </w:tcPr>
          <w:p w14:paraId="4F9EA2A1" w14:textId="77777777" w:rsidR="004B4E35" w:rsidRPr="00405303" w:rsidRDefault="009E6F82" w:rsidP="00C15251">
            <w:pPr>
              <w:jc w:val="both"/>
              <w:rPr>
                <w:bCs/>
                <w:color w:val="002060"/>
                <w:sz w:val="16"/>
                <w:szCs w:val="16"/>
              </w:rPr>
            </w:pPr>
            <w:r w:rsidRPr="00405303">
              <w:rPr>
                <w:bCs/>
                <w:color w:val="002060"/>
                <w:sz w:val="16"/>
                <w:szCs w:val="16"/>
              </w:rPr>
              <w:t>Июнь</w:t>
            </w:r>
          </w:p>
        </w:tc>
        <w:tc>
          <w:tcPr>
            <w:tcW w:w="684" w:type="dxa"/>
          </w:tcPr>
          <w:p w14:paraId="13D1DC59" w14:textId="77777777" w:rsidR="004B4E35" w:rsidRPr="00405303" w:rsidRDefault="009E6F82" w:rsidP="00C15251">
            <w:pPr>
              <w:jc w:val="both"/>
              <w:rPr>
                <w:bCs/>
                <w:color w:val="002060"/>
                <w:sz w:val="16"/>
                <w:szCs w:val="16"/>
              </w:rPr>
            </w:pPr>
            <w:r w:rsidRPr="00405303">
              <w:rPr>
                <w:bCs/>
                <w:color w:val="002060"/>
                <w:sz w:val="16"/>
                <w:szCs w:val="16"/>
              </w:rPr>
              <w:t xml:space="preserve">4 </w:t>
            </w:r>
          </w:p>
        </w:tc>
      </w:tr>
      <w:tr w:rsidR="004B4E35" w:rsidRPr="00405303" w14:paraId="14CA77D6" w14:textId="77777777">
        <w:tc>
          <w:tcPr>
            <w:tcW w:w="1788" w:type="dxa"/>
          </w:tcPr>
          <w:p w14:paraId="75708920" w14:textId="77777777" w:rsidR="004B4E35" w:rsidRPr="00405303" w:rsidRDefault="009E6F82" w:rsidP="00C15251">
            <w:pPr>
              <w:jc w:val="both"/>
              <w:rPr>
                <w:bCs/>
                <w:color w:val="002060"/>
                <w:sz w:val="16"/>
                <w:szCs w:val="16"/>
              </w:rPr>
            </w:pPr>
            <w:r w:rsidRPr="00405303">
              <w:rPr>
                <w:bCs/>
                <w:color w:val="002060"/>
                <w:sz w:val="16"/>
                <w:szCs w:val="16"/>
              </w:rPr>
              <w:t>Июль</w:t>
            </w:r>
          </w:p>
        </w:tc>
        <w:tc>
          <w:tcPr>
            <w:tcW w:w="684" w:type="dxa"/>
          </w:tcPr>
          <w:p w14:paraId="794986EF" w14:textId="77777777" w:rsidR="004B4E35" w:rsidRPr="00405303" w:rsidRDefault="009E6F82" w:rsidP="00C15251">
            <w:pPr>
              <w:jc w:val="both"/>
              <w:rPr>
                <w:bCs/>
                <w:color w:val="002060"/>
                <w:sz w:val="16"/>
                <w:szCs w:val="16"/>
              </w:rPr>
            </w:pPr>
            <w:r w:rsidRPr="00405303">
              <w:rPr>
                <w:bCs/>
                <w:color w:val="002060"/>
                <w:sz w:val="16"/>
                <w:szCs w:val="16"/>
              </w:rPr>
              <w:t xml:space="preserve">5 </w:t>
            </w:r>
          </w:p>
        </w:tc>
      </w:tr>
      <w:tr w:rsidR="004B4E35" w:rsidRPr="00405303" w14:paraId="29CC852A" w14:textId="77777777">
        <w:tc>
          <w:tcPr>
            <w:tcW w:w="1788" w:type="dxa"/>
          </w:tcPr>
          <w:p w14:paraId="36640DB5" w14:textId="77777777" w:rsidR="004B4E35" w:rsidRPr="00405303" w:rsidRDefault="009E6F82" w:rsidP="00C15251">
            <w:pPr>
              <w:jc w:val="both"/>
              <w:rPr>
                <w:bCs/>
                <w:color w:val="002060"/>
                <w:sz w:val="16"/>
                <w:szCs w:val="16"/>
              </w:rPr>
            </w:pPr>
            <w:r w:rsidRPr="00405303">
              <w:rPr>
                <w:bCs/>
                <w:color w:val="002060"/>
                <w:sz w:val="16"/>
                <w:szCs w:val="16"/>
              </w:rPr>
              <w:t>Сентябрь</w:t>
            </w:r>
          </w:p>
        </w:tc>
        <w:tc>
          <w:tcPr>
            <w:tcW w:w="684" w:type="dxa"/>
          </w:tcPr>
          <w:p w14:paraId="376E9EBD" w14:textId="77777777" w:rsidR="004B4E35" w:rsidRPr="00405303" w:rsidRDefault="009E6F82" w:rsidP="00C15251">
            <w:pPr>
              <w:jc w:val="both"/>
              <w:rPr>
                <w:bCs/>
                <w:color w:val="002060"/>
                <w:sz w:val="16"/>
                <w:szCs w:val="16"/>
              </w:rPr>
            </w:pPr>
            <w:r w:rsidRPr="00405303">
              <w:rPr>
                <w:bCs/>
                <w:color w:val="002060"/>
                <w:sz w:val="16"/>
                <w:szCs w:val="16"/>
              </w:rPr>
              <w:t xml:space="preserve">7 </w:t>
            </w:r>
          </w:p>
        </w:tc>
      </w:tr>
      <w:tr w:rsidR="004B4E35" w:rsidRPr="00405303" w14:paraId="6E105401" w14:textId="77777777">
        <w:tc>
          <w:tcPr>
            <w:tcW w:w="1788" w:type="dxa"/>
          </w:tcPr>
          <w:p w14:paraId="261D6132"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684" w:type="dxa"/>
          </w:tcPr>
          <w:p w14:paraId="502672D6" w14:textId="77777777" w:rsidR="004B4E35" w:rsidRPr="00405303" w:rsidRDefault="009E6F82" w:rsidP="00C15251">
            <w:pPr>
              <w:jc w:val="both"/>
              <w:rPr>
                <w:bCs/>
                <w:color w:val="002060"/>
                <w:sz w:val="16"/>
                <w:szCs w:val="16"/>
              </w:rPr>
            </w:pPr>
            <w:r w:rsidRPr="00405303">
              <w:rPr>
                <w:bCs/>
                <w:color w:val="002060"/>
                <w:sz w:val="16"/>
                <w:szCs w:val="16"/>
              </w:rPr>
              <w:t xml:space="preserve">8 </w:t>
            </w:r>
          </w:p>
        </w:tc>
      </w:tr>
      <w:tr w:rsidR="004B4E35" w:rsidRPr="00405303" w14:paraId="7FEA9B1F" w14:textId="77777777">
        <w:tc>
          <w:tcPr>
            <w:tcW w:w="1788" w:type="dxa"/>
          </w:tcPr>
          <w:p w14:paraId="0373A985" w14:textId="77777777" w:rsidR="004B4E35" w:rsidRPr="00405303" w:rsidRDefault="009E6F82" w:rsidP="00C15251">
            <w:pPr>
              <w:jc w:val="both"/>
              <w:rPr>
                <w:bCs/>
                <w:color w:val="002060"/>
                <w:sz w:val="16"/>
                <w:szCs w:val="16"/>
              </w:rPr>
            </w:pPr>
            <w:r w:rsidRPr="00405303">
              <w:rPr>
                <w:bCs/>
                <w:color w:val="002060"/>
                <w:sz w:val="16"/>
                <w:szCs w:val="16"/>
              </w:rPr>
              <w:t xml:space="preserve">1916 г.: </w:t>
            </w:r>
          </w:p>
        </w:tc>
        <w:tc>
          <w:tcPr>
            <w:tcW w:w="684" w:type="dxa"/>
          </w:tcPr>
          <w:p w14:paraId="073B103D" w14:textId="06D51C41" w:rsidR="004B4E35" w:rsidRPr="00405303" w:rsidRDefault="00DB4D64" w:rsidP="00C15251">
            <w:pPr>
              <w:jc w:val="both"/>
              <w:rPr>
                <w:bCs/>
                <w:color w:val="002060"/>
                <w:sz w:val="16"/>
                <w:szCs w:val="16"/>
              </w:rPr>
            </w:pPr>
            <w:r w:rsidRPr="00405303">
              <w:rPr>
                <w:bCs/>
                <w:color w:val="002060"/>
                <w:sz w:val="16"/>
                <w:szCs w:val="16"/>
              </w:rPr>
              <w:t xml:space="preserve"> </w:t>
            </w:r>
          </w:p>
        </w:tc>
      </w:tr>
      <w:tr w:rsidR="004B4E35" w:rsidRPr="00405303" w14:paraId="514D67CB" w14:textId="77777777">
        <w:tc>
          <w:tcPr>
            <w:tcW w:w="1788" w:type="dxa"/>
          </w:tcPr>
          <w:p w14:paraId="664DDF7B" w14:textId="77777777" w:rsidR="004B4E35" w:rsidRPr="00405303" w:rsidRDefault="009E6F82" w:rsidP="00C15251">
            <w:pPr>
              <w:jc w:val="both"/>
              <w:rPr>
                <w:bCs/>
                <w:color w:val="002060"/>
                <w:sz w:val="16"/>
                <w:szCs w:val="16"/>
              </w:rPr>
            </w:pPr>
            <w:r w:rsidRPr="00405303">
              <w:rPr>
                <w:bCs/>
                <w:color w:val="002060"/>
                <w:sz w:val="16"/>
                <w:szCs w:val="16"/>
              </w:rPr>
              <w:t>Август</w:t>
            </w:r>
          </w:p>
        </w:tc>
        <w:tc>
          <w:tcPr>
            <w:tcW w:w="684" w:type="dxa"/>
          </w:tcPr>
          <w:p w14:paraId="54836F30" w14:textId="77777777" w:rsidR="004B4E35" w:rsidRPr="00405303" w:rsidRDefault="009E6F82" w:rsidP="00C15251">
            <w:pPr>
              <w:jc w:val="both"/>
              <w:rPr>
                <w:bCs/>
                <w:color w:val="002060"/>
                <w:sz w:val="16"/>
                <w:szCs w:val="16"/>
              </w:rPr>
            </w:pPr>
            <w:r w:rsidRPr="00405303">
              <w:rPr>
                <w:bCs/>
                <w:color w:val="002060"/>
                <w:sz w:val="16"/>
                <w:szCs w:val="16"/>
              </w:rPr>
              <w:t xml:space="preserve">10 </w:t>
            </w:r>
          </w:p>
        </w:tc>
      </w:tr>
      <w:tr w:rsidR="004B4E35" w:rsidRPr="00405303" w14:paraId="09B854BE" w14:textId="77777777">
        <w:tc>
          <w:tcPr>
            <w:tcW w:w="1788" w:type="dxa"/>
          </w:tcPr>
          <w:p w14:paraId="2193AB0B" w14:textId="77777777" w:rsidR="004B4E35" w:rsidRPr="00405303" w:rsidRDefault="009E6F82" w:rsidP="00C15251">
            <w:pPr>
              <w:jc w:val="both"/>
              <w:rPr>
                <w:bCs/>
                <w:color w:val="002060"/>
                <w:sz w:val="16"/>
                <w:szCs w:val="16"/>
              </w:rPr>
            </w:pPr>
            <w:r w:rsidRPr="00405303">
              <w:rPr>
                <w:bCs/>
                <w:color w:val="002060"/>
                <w:sz w:val="16"/>
                <w:szCs w:val="16"/>
              </w:rPr>
              <w:t>Сентябрь</w:t>
            </w:r>
          </w:p>
        </w:tc>
        <w:tc>
          <w:tcPr>
            <w:tcW w:w="684" w:type="dxa"/>
          </w:tcPr>
          <w:p w14:paraId="391585BC" w14:textId="77777777" w:rsidR="004B4E35" w:rsidRPr="00405303" w:rsidRDefault="009E6F82" w:rsidP="00C15251">
            <w:pPr>
              <w:jc w:val="both"/>
              <w:rPr>
                <w:bCs/>
                <w:color w:val="002060"/>
                <w:sz w:val="16"/>
                <w:szCs w:val="16"/>
              </w:rPr>
            </w:pPr>
            <w:r w:rsidRPr="00405303">
              <w:rPr>
                <w:bCs/>
                <w:color w:val="002060"/>
                <w:sz w:val="16"/>
                <w:szCs w:val="16"/>
              </w:rPr>
              <w:t xml:space="preserve">11 </w:t>
            </w:r>
          </w:p>
        </w:tc>
      </w:tr>
      <w:tr w:rsidR="004B4E35" w:rsidRPr="00405303" w14:paraId="172940DF" w14:textId="77777777">
        <w:tc>
          <w:tcPr>
            <w:tcW w:w="1788" w:type="dxa"/>
          </w:tcPr>
          <w:p w14:paraId="7F97AF86"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684" w:type="dxa"/>
          </w:tcPr>
          <w:p w14:paraId="793591DA" w14:textId="77777777" w:rsidR="004B4E35" w:rsidRPr="00405303" w:rsidRDefault="009E6F82" w:rsidP="00C15251">
            <w:pPr>
              <w:jc w:val="both"/>
              <w:rPr>
                <w:bCs/>
                <w:color w:val="002060"/>
                <w:sz w:val="16"/>
                <w:szCs w:val="16"/>
              </w:rPr>
            </w:pPr>
            <w:r w:rsidRPr="00405303">
              <w:rPr>
                <w:bCs/>
                <w:color w:val="002060"/>
                <w:sz w:val="16"/>
                <w:szCs w:val="16"/>
              </w:rPr>
              <w:t xml:space="preserve">12 </w:t>
            </w:r>
          </w:p>
        </w:tc>
      </w:tr>
      <w:tr w:rsidR="004B4E35" w:rsidRPr="00405303" w14:paraId="1DC9AFD1" w14:textId="77777777">
        <w:tc>
          <w:tcPr>
            <w:tcW w:w="1788" w:type="dxa"/>
          </w:tcPr>
          <w:p w14:paraId="24AA7B69"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684" w:type="dxa"/>
          </w:tcPr>
          <w:p w14:paraId="3B4D412A" w14:textId="77777777" w:rsidR="004B4E35" w:rsidRPr="00405303" w:rsidRDefault="009E6F82" w:rsidP="00C15251">
            <w:pPr>
              <w:jc w:val="both"/>
              <w:rPr>
                <w:bCs/>
                <w:color w:val="002060"/>
                <w:sz w:val="16"/>
                <w:szCs w:val="16"/>
              </w:rPr>
            </w:pPr>
            <w:r w:rsidRPr="00405303">
              <w:rPr>
                <w:bCs/>
                <w:color w:val="002060"/>
                <w:sz w:val="16"/>
                <w:szCs w:val="16"/>
              </w:rPr>
              <w:t xml:space="preserve">14 </w:t>
            </w:r>
          </w:p>
        </w:tc>
      </w:tr>
      <w:tr w:rsidR="004B4E35" w:rsidRPr="00405303" w14:paraId="0CA01C9E" w14:textId="77777777">
        <w:tc>
          <w:tcPr>
            <w:tcW w:w="1788" w:type="dxa"/>
          </w:tcPr>
          <w:p w14:paraId="5D6AAA4F" w14:textId="77777777" w:rsidR="004B4E35" w:rsidRPr="00405303" w:rsidRDefault="009E6F82" w:rsidP="00C15251">
            <w:pPr>
              <w:jc w:val="both"/>
              <w:rPr>
                <w:bCs/>
                <w:color w:val="002060"/>
                <w:sz w:val="16"/>
                <w:szCs w:val="16"/>
              </w:rPr>
            </w:pPr>
            <w:r w:rsidRPr="00405303">
              <w:rPr>
                <w:bCs/>
                <w:color w:val="002060"/>
                <w:sz w:val="16"/>
                <w:szCs w:val="16"/>
              </w:rPr>
              <w:t xml:space="preserve">1917 г.: </w:t>
            </w:r>
          </w:p>
        </w:tc>
        <w:tc>
          <w:tcPr>
            <w:tcW w:w="684" w:type="dxa"/>
          </w:tcPr>
          <w:p w14:paraId="60147A2E" w14:textId="60779072" w:rsidR="004B4E35" w:rsidRPr="00405303" w:rsidRDefault="00DB4D64" w:rsidP="00C15251">
            <w:pPr>
              <w:jc w:val="both"/>
              <w:rPr>
                <w:bCs/>
                <w:color w:val="002060"/>
                <w:sz w:val="16"/>
                <w:szCs w:val="16"/>
              </w:rPr>
            </w:pPr>
            <w:r w:rsidRPr="00405303">
              <w:rPr>
                <w:bCs/>
                <w:color w:val="002060"/>
                <w:sz w:val="16"/>
                <w:szCs w:val="16"/>
              </w:rPr>
              <w:t xml:space="preserve"> </w:t>
            </w:r>
          </w:p>
        </w:tc>
      </w:tr>
      <w:tr w:rsidR="004B4E35" w:rsidRPr="00405303" w14:paraId="75712725" w14:textId="77777777">
        <w:tc>
          <w:tcPr>
            <w:tcW w:w="1788" w:type="dxa"/>
          </w:tcPr>
          <w:p w14:paraId="75768E12" w14:textId="77777777" w:rsidR="004B4E35" w:rsidRPr="00405303" w:rsidRDefault="009E6F82" w:rsidP="00C15251">
            <w:pPr>
              <w:jc w:val="both"/>
              <w:rPr>
                <w:bCs/>
                <w:color w:val="002060"/>
                <w:sz w:val="16"/>
                <w:szCs w:val="16"/>
              </w:rPr>
            </w:pPr>
            <w:r w:rsidRPr="00405303">
              <w:rPr>
                <w:bCs/>
                <w:color w:val="002060"/>
                <w:sz w:val="16"/>
                <w:szCs w:val="16"/>
              </w:rPr>
              <w:t>Январь</w:t>
            </w:r>
          </w:p>
        </w:tc>
        <w:tc>
          <w:tcPr>
            <w:tcW w:w="684" w:type="dxa"/>
          </w:tcPr>
          <w:p w14:paraId="60353CFA" w14:textId="77777777" w:rsidR="004B4E35" w:rsidRPr="00405303" w:rsidRDefault="009E6F82" w:rsidP="00C15251">
            <w:pPr>
              <w:jc w:val="both"/>
              <w:rPr>
                <w:bCs/>
                <w:color w:val="002060"/>
                <w:sz w:val="16"/>
                <w:szCs w:val="16"/>
              </w:rPr>
            </w:pPr>
            <w:r w:rsidRPr="00405303">
              <w:rPr>
                <w:bCs/>
                <w:color w:val="002060"/>
                <w:sz w:val="16"/>
                <w:szCs w:val="16"/>
              </w:rPr>
              <w:t xml:space="preserve">15 </w:t>
            </w:r>
          </w:p>
        </w:tc>
      </w:tr>
    </w:tbl>
    <w:p w14:paraId="10F7BEF7" w14:textId="77777777" w:rsidR="004B4E35" w:rsidRPr="00405303" w:rsidRDefault="009E6F82" w:rsidP="00C15251">
      <w:pPr>
        <w:jc w:val="both"/>
        <w:rPr>
          <w:bCs/>
          <w:color w:val="002060"/>
          <w:sz w:val="16"/>
          <w:szCs w:val="16"/>
        </w:rPr>
      </w:pPr>
      <w:r w:rsidRPr="00405303">
        <w:rPr>
          <w:bCs/>
          <w:color w:val="002060"/>
          <w:sz w:val="16"/>
          <w:szCs w:val="16"/>
        </w:rPr>
        <w:t xml:space="preserve">Добывание бензола, толуола и др. побочных продуктов коксования каменного угля явилось совершенно новой у нас отраслью промышленности. До войны этим путем добывались исключительно сернокислый аммоний, нашатырный спирт, каменноугольная смола и др. Более ценные продукты — бензол, толуол, антрацен и др. получались лишь в весьма незначительном количестве на трех заводах: в Енакиеве, Байраке и Щербинском. </w:t>
      </w:r>
    </w:p>
    <w:p w14:paraId="0B65BB69" w14:textId="77777777" w:rsidR="004B4E35" w:rsidRPr="00405303" w:rsidRDefault="009E6F82" w:rsidP="00C15251">
      <w:pPr>
        <w:jc w:val="both"/>
        <w:rPr>
          <w:bCs/>
          <w:color w:val="002060"/>
          <w:sz w:val="16"/>
          <w:szCs w:val="16"/>
        </w:rPr>
      </w:pPr>
      <w:r w:rsidRPr="00405303">
        <w:rPr>
          <w:bCs/>
          <w:color w:val="002060"/>
          <w:sz w:val="16"/>
          <w:szCs w:val="16"/>
        </w:rPr>
        <w:lastRenderedPageBreak/>
        <w:t>Бензоловые заводы представляют подлинную здоровую базу для питания необходимыми материалами важнейшей отрасли военной промышленности, вырабатывающей взрывчатые вещества. В то же время эти заводы нужны были и мирной промышленности для красящих веществ, фармацевтических средств, медицинских препаратов и т.д. Эти последние отрасли ранее черпали всегда сырье из Германии, и широкое развитие коксобензольной промышленности освободило бы всю нашу химическую промышленность, как военную, так и гражданскую, от иностранной зависимости.</w:t>
      </w:r>
    </w:p>
    <w:p w14:paraId="58D36F07" w14:textId="77777777" w:rsidR="004B4E35" w:rsidRPr="00405303" w:rsidRDefault="009E6F82" w:rsidP="00C15251">
      <w:pPr>
        <w:jc w:val="both"/>
        <w:rPr>
          <w:bCs/>
          <w:color w:val="002060"/>
          <w:sz w:val="16"/>
          <w:szCs w:val="16"/>
        </w:rPr>
      </w:pPr>
      <w:r w:rsidRPr="00405303">
        <w:rPr>
          <w:bCs/>
          <w:color w:val="002060"/>
          <w:sz w:val="16"/>
          <w:szCs w:val="16"/>
        </w:rPr>
        <w:t xml:space="preserve">В 1914 г. в Донецком бассейне существовало 6150 коксовальных печей. Из них только 1268, при 13 коксовых заводах, были приспособлены к частичному улавливанию побочных продуктов коксования: 10 заводов (910 печей) улавливали дешевые и тяжелые продукты, и только упомянутые выше три завода — Енакиевский, Байракский и Щербиновский (358 печей) улавливали сырой бензол. </w:t>
      </w:r>
    </w:p>
    <w:p w14:paraId="42574F1D" w14:textId="77777777" w:rsidR="004B4E35" w:rsidRPr="00405303" w:rsidRDefault="009E6F82" w:rsidP="00C15251">
      <w:pPr>
        <w:jc w:val="both"/>
        <w:rPr>
          <w:bCs/>
          <w:color w:val="002060"/>
          <w:sz w:val="16"/>
          <w:szCs w:val="16"/>
        </w:rPr>
      </w:pPr>
      <w:r w:rsidRPr="00405303">
        <w:rPr>
          <w:bCs/>
          <w:color w:val="002060"/>
          <w:sz w:val="16"/>
          <w:szCs w:val="16"/>
        </w:rPr>
        <w:t xml:space="preserve">В первую очередь комиссия Ипатьева занялась постройкой бензоловых заводов при указанных 13 предприятиях. Затем в 1915 и 1916 гг. была предпринята постройка еще 13 заводов с расчетом на обслуживание 1200 печей, из которых часть печей возводилась заново. Намечен был, таким образом, план создать 26 бензольных заводов с 2400 печами. Осуществить постройку всех 26 заводов не удалось по разным причинам — расстройство транспорта, недостаток материалов и пр. Из строившихся 20 заводов часть была пущена в ход в 1915 и 1916 гг., часть была в 1917 г. еще не достроена. </w:t>
      </w:r>
    </w:p>
    <w:p w14:paraId="2A82D0C5" w14:textId="77777777" w:rsidR="004B4E35" w:rsidRPr="00405303" w:rsidRDefault="009E6F82" w:rsidP="00C15251">
      <w:pPr>
        <w:jc w:val="both"/>
        <w:rPr>
          <w:bCs/>
          <w:color w:val="002060"/>
          <w:sz w:val="16"/>
          <w:szCs w:val="16"/>
        </w:rPr>
      </w:pPr>
      <w:r w:rsidRPr="00405303">
        <w:rPr>
          <w:bCs/>
          <w:color w:val="002060"/>
          <w:sz w:val="16"/>
          <w:szCs w:val="16"/>
        </w:rPr>
        <w:t xml:space="preserve">Производство сырого бензола в 1915 и 1916 гг. по отдельным заводам показано в следующей таблице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68"/>
        <w:gridCol w:w="792"/>
        <w:gridCol w:w="684"/>
      </w:tblGrid>
      <w:tr w:rsidR="004B4E35" w:rsidRPr="00405303" w14:paraId="3CB99757" w14:textId="77777777">
        <w:tc>
          <w:tcPr>
            <w:tcW w:w="2268" w:type="dxa"/>
          </w:tcPr>
          <w:p w14:paraId="778FE91C" w14:textId="77777777" w:rsidR="004B4E35" w:rsidRPr="00405303" w:rsidRDefault="009E6F82" w:rsidP="00C15251">
            <w:pPr>
              <w:jc w:val="both"/>
              <w:rPr>
                <w:bCs/>
                <w:color w:val="002060"/>
                <w:sz w:val="16"/>
                <w:szCs w:val="16"/>
              </w:rPr>
            </w:pPr>
            <w:r w:rsidRPr="00405303">
              <w:rPr>
                <w:bCs/>
                <w:color w:val="002060"/>
                <w:sz w:val="16"/>
                <w:szCs w:val="16"/>
              </w:rPr>
              <w:t>Заводы</w:t>
            </w:r>
          </w:p>
        </w:tc>
        <w:tc>
          <w:tcPr>
            <w:tcW w:w="792" w:type="dxa"/>
          </w:tcPr>
          <w:p w14:paraId="66EEC550" w14:textId="77777777" w:rsidR="004B4E35" w:rsidRPr="00405303" w:rsidRDefault="009E6F82" w:rsidP="00C15251">
            <w:pPr>
              <w:jc w:val="both"/>
              <w:rPr>
                <w:bCs/>
                <w:color w:val="002060"/>
                <w:sz w:val="16"/>
                <w:szCs w:val="16"/>
              </w:rPr>
            </w:pPr>
            <w:r w:rsidRPr="00405303">
              <w:rPr>
                <w:bCs/>
                <w:color w:val="002060"/>
                <w:sz w:val="16"/>
                <w:szCs w:val="16"/>
              </w:rPr>
              <w:t>1915 г.</w:t>
            </w:r>
          </w:p>
        </w:tc>
        <w:tc>
          <w:tcPr>
            <w:tcW w:w="684" w:type="dxa"/>
          </w:tcPr>
          <w:p w14:paraId="71148EDD" w14:textId="77777777" w:rsidR="004B4E35" w:rsidRPr="00405303" w:rsidRDefault="009E6F82" w:rsidP="00C15251">
            <w:pPr>
              <w:jc w:val="both"/>
              <w:rPr>
                <w:bCs/>
                <w:color w:val="002060"/>
                <w:sz w:val="16"/>
                <w:szCs w:val="16"/>
              </w:rPr>
            </w:pPr>
            <w:r w:rsidRPr="00405303">
              <w:rPr>
                <w:bCs/>
                <w:color w:val="002060"/>
                <w:sz w:val="16"/>
                <w:szCs w:val="16"/>
              </w:rPr>
              <w:t>1916 г.</w:t>
            </w:r>
          </w:p>
        </w:tc>
      </w:tr>
      <w:tr w:rsidR="004B4E35" w:rsidRPr="00405303" w14:paraId="65E0519D" w14:textId="77777777">
        <w:tc>
          <w:tcPr>
            <w:tcW w:w="2268" w:type="dxa"/>
          </w:tcPr>
          <w:p w14:paraId="36EFC38A" w14:textId="77777777" w:rsidR="004B4E35" w:rsidRPr="00405303" w:rsidRDefault="009E6F82" w:rsidP="00C15251">
            <w:pPr>
              <w:jc w:val="both"/>
              <w:rPr>
                <w:bCs/>
                <w:color w:val="002060"/>
                <w:sz w:val="16"/>
                <w:szCs w:val="16"/>
              </w:rPr>
            </w:pPr>
            <w:r w:rsidRPr="00405303">
              <w:rPr>
                <w:bCs/>
                <w:color w:val="002060"/>
                <w:sz w:val="16"/>
                <w:szCs w:val="16"/>
              </w:rPr>
              <w:t>Э. Коппе, ст. Енакиево</w:t>
            </w:r>
          </w:p>
        </w:tc>
        <w:tc>
          <w:tcPr>
            <w:tcW w:w="792" w:type="dxa"/>
          </w:tcPr>
          <w:p w14:paraId="272D644B" w14:textId="77777777" w:rsidR="004B4E35" w:rsidRPr="00405303" w:rsidRDefault="009E6F82" w:rsidP="00C15251">
            <w:pPr>
              <w:jc w:val="both"/>
              <w:rPr>
                <w:bCs/>
                <w:color w:val="002060"/>
                <w:sz w:val="16"/>
                <w:szCs w:val="16"/>
              </w:rPr>
            </w:pPr>
            <w:r w:rsidRPr="00405303">
              <w:rPr>
                <w:bCs/>
                <w:color w:val="002060"/>
                <w:sz w:val="16"/>
                <w:szCs w:val="16"/>
              </w:rPr>
              <w:t>117,9</w:t>
            </w:r>
          </w:p>
        </w:tc>
        <w:tc>
          <w:tcPr>
            <w:tcW w:w="684" w:type="dxa"/>
          </w:tcPr>
          <w:p w14:paraId="136D5EF3" w14:textId="77777777" w:rsidR="004B4E35" w:rsidRPr="00405303" w:rsidRDefault="009E6F82" w:rsidP="00C15251">
            <w:pPr>
              <w:jc w:val="both"/>
              <w:rPr>
                <w:bCs/>
                <w:color w:val="002060"/>
                <w:sz w:val="16"/>
                <w:szCs w:val="16"/>
              </w:rPr>
            </w:pPr>
            <w:r w:rsidRPr="00405303">
              <w:rPr>
                <w:bCs/>
                <w:color w:val="002060"/>
                <w:sz w:val="16"/>
                <w:szCs w:val="16"/>
              </w:rPr>
              <w:t>131,1</w:t>
            </w:r>
          </w:p>
        </w:tc>
      </w:tr>
      <w:tr w:rsidR="004B4E35" w:rsidRPr="00405303" w14:paraId="4289E987" w14:textId="77777777">
        <w:tc>
          <w:tcPr>
            <w:tcW w:w="2268" w:type="dxa"/>
          </w:tcPr>
          <w:p w14:paraId="69A7DCDC" w14:textId="77777777" w:rsidR="004B4E35" w:rsidRPr="00405303" w:rsidRDefault="009E6F82" w:rsidP="00C15251">
            <w:pPr>
              <w:jc w:val="both"/>
              <w:rPr>
                <w:bCs/>
                <w:color w:val="002060"/>
                <w:sz w:val="16"/>
                <w:szCs w:val="16"/>
              </w:rPr>
            </w:pPr>
            <w:r w:rsidRPr="00405303">
              <w:rPr>
                <w:bCs/>
                <w:color w:val="002060"/>
                <w:sz w:val="16"/>
                <w:szCs w:val="16"/>
              </w:rPr>
              <w:t>Э. Коппк, ст. Юзовка</w:t>
            </w:r>
          </w:p>
        </w:tc>
        <w:tc>
          <w:tcPr>
            <w:tcW w:w="792" w:type="dxa"/>
          </w:tcPr>
          <w:p w14:paraId="67D0C22E" w14:textId="77777777" w:rsidR="004B4E35" w:rsidRPr="00405303" w:rsidRDefault="009E6F82" w:rsidP="00C15251">
            <w:pPr>
              <w:jc w:val="both"/>
              <w:rPr>
                <w:bCs/>
                <w:color w:val="002060"/>
                <w:sz w:val="16"/>
                <w:szCs w:val="16"/>
              </w:rPr>
            </w:pPr>
            <w:r w:rsidRPr="00405303">
              <w:rPr>
                <w:bCs/>
                <w:color w:val="002060"/>
                <w:sz w:val="16"/>
                <w:szCs w:val="16"/>
              </w:rPr>
              <w:t>46,6</w:t>
            </w:r>
          </w:p>
        </w:tc>
        <w:tc>
          <w:tcPr>
            <w:tcW w:w="684" w:type="dxa"/>
          </w:tcPr>
          <w:p w14:paraId="4EB64BE2" w14:textId="77777777" w:rsidR="004B4E35" w:rsidRPr="00405303" w:rsidRDefault="009E6F82" w:rsidP="00C15251">
            <w:pPr>
              <w:jc w:val="both"/>
              <w:rPr>
                <w:bCs/>
                <w:color w:val="002060"/>
                <w:sz w:val="16"/>
                <w:szCs w:val="16"/>
              </w:rPr>
            </w:pPr>
            <w:r w:rsidRPr="00405303">
              <w:rPr>
                <w:bCs/>
                <w:color w:val="002060"/>
                <w:sz w:val="16"/>
                <w:szCs w:val="16"/>
              </w:rPr>
              <w:t>90,1</w:t>
            </w:r>
          </w:p>
        </w:tc>
      </w:tr>
      <w:tr w:rsidR="004B4E35" w:rsidRPr="00405303" w14:paraId="417B4967" w14:textId="77777777">
        <w:tc>
          <w:tcPr>
            <w:tcW w:w="2268" w:type="dxa"/>
          </w:tcPr>
          <w:p w14:paraId="3FD0C45F" w14:textId="77777777" w:rsidR="004B4E35" w:rsidRPr="00405303" w:rsidRDefault="009E6F82" w:rsidP="00C15251">
            <w:pPr>
              <w:jc w:val="both"/>
              <w:rPr>
                <w:bCs/>
                <w:color w:val="002060"/>
                <w:sz w:val="16"/>
                <w:szCs w:val="16"/>
              </w:rPr>
            </w:pPr>
            <w:r w:rsidRPr="00405303">
              <w:rPr>
                <w:bCs/>
                <w:color w:val="002060"/>
                <w:sz w:val="16"/>
                <w:szCs w:val="16"/>
              </w:rPr>
              <w:t>Э. Коппе, ст. Байрак</w:t>
            </w:r>
          </w:p>
        </w:tc>
        <w:tc>
          <w:tcPr>
            <w:tcW w:w="792" w:type="dxa"/>
          </w:tcPr>
          <w:p w14:paraId="470A52AB" w14:textId="77777777" w:rsidR="004B4E35" w:rsidRPr="00405303" w:rsidRDefault="009E6F82" w:rsidP="00C15251">
            <w:pPr>
              <w:jc w:val="both"/>
              <w:rPr>
                <w:bCs/>
                <w:color w:val="002060"/>
                <w:sz w:val="16"/>
                <w:szCs w:val="16"/>
              </w:rPr>
            </w:pPr>
            <w:r w:rsidRPr="00405303">
              <w:rPr>
                <w:bCs/>
                <w:color w:val="002060"/>
                <w:sz w:val="16"/>
                <w:szCs w:val="16"/>
              </w:rPr>
              <w:t>31,2</w:t>
            </w:r>
          </w:p>
        </w:tc>
        <w:tc>
          <w:tcPr>
            <w:tcW w:w="684" w:type="dxa"/>
          </w:tcPr>
          <w:p w14:paraId="72124202" w14:textId="77777777" w:rsidR="004B4E35" w:rsidRPr="00405303" w:rsidRDefault="009E6F82" w:rsidP="00C15251">
            <w:pPr>
              <w:jc w:val="both"/>
              <w:rPr>
                <w:bCs/>
                <w:color w:val="002060"/>
                <w:sz w:val="16"/>
                <w:szCs w:val="16"/>
              </w:rPr>
            </w:pPr>
            <w:r w:rsidRPr="00405303">
              <w:rPr>
                <w:bCs/>
                <w:color w:val="002060"/>
                <w:sz w:val="16"/>
                <w:szCs w:val="16"/>
              </w:rPr>
              <w:t>26,9</w:t>
            </w:r>
          </w:p>
        </w:tc>
      </w:tr>
      <w:tr w:rsidR="004B4E35" w:rsidRPr="00405303" w14:paraId="2EFEBC2E" w14:textId="77777777">
        <w:tc>
          <w:tcPr>
            <w:tcW w:w="2268" w:type="dxa"/>
          </w:tcPr>
          <w:p w14:paraId="31BBC5DE" w14:textId="77777777" w:rsidR="004B4E35" w:rsidRPr="00405303" w:rsidRDefault="009E6F82" w:rsidP="00C15251">
            <w:pPr>
              <w:jc w:val="both"/>
              <w:rPr>
                <w:bCs/>
                <w:color w:val="002060"/>
                <w:sz w:val="16"/>
                <w:szCs w:val="16"/>
              </w:rPr>
            </w:pPr>
            <w:r w:rsidRPr="00405303">
              <w:rPr>
                <w:bCs/>
                <w:color w:val="002060"/>
                <w:sz w:val="16"/>
                <w:szCs w:val="16"/>
              </w:rPr>
              <w:t>Э. Коппе, ст. Веровка</w:t>
            </w:r>
          </w:p>
        </w:tc>
        <w:tc>
          <w:tcPr>
            <w:tcW w:w="792" w:type="dxa"/>
          </w:tcPr>
          <w:p w14:paraId="0BA29A23" w14:textId="77777777" w:rsidR="004B4E35" w:rsidRPr="00405303" w:rsidRDefault="009E6F82" w:rsidP="00C15251">
            <w:pPr>
              <w:jc w:val="both"/>
              <w:rPr>
                <w:bCs/>
                <w:color w:val="002060"/>
                <w:sz w:val="16"/>
                <w:szCs w:val="16"/>
              </w:rPr>
            </w:pPr>
            <w:r w:rsidRPr="00405303">
              <w:rPr>
                <w:bCs/>
                <w:color w:val="002060"/>
                <w:sz w:val="16"/>
                <w:szCs w:val="16"/>
              </w:rPr>
              <w:t>11,5</w:t>
            </w:r>
          </w:p>
        </w:tc>
        <w:tc>
          <w:tcPr>
            <w:tcW w:w="684" w:type="dxa"/>
          </w:tcPr>
          <w:p w14:paraId="77FFE4F0" w14:textId="77777777" w:rsidR="004B4E35" w:rsidRPr="00405303" w:rsidRDefault="009E6F82" w:rsidP="00C15251">
            <w:pPr>
              <w:jc w:val="both"/>
              <w:rPr>
                <w:bCs/>
                <w:color w:val="002060"/>
                <w:sz w:val="16"/>
                <w:szCs w:val="16"/>
              </w:rPr>
            </w:pPr>
            <w:r w:rsidRPr="00405303">
              <w:rPr>
                <w:bCs/>
                <w:color w:val="002060"/>
                <w:sz w:val="16"/>
                <w:szCs w:val="16"/>
              </w:rPr>
              <w:t>19,3</w:t>
            </w:r>
          </w:p>
        </w:tc>
      </w:tr>
      <w:tr w:rsidR="004B4E35" w:rsidRPr="00405303" w14:paraId="3F288F2D" w14:textId="77777777">
        <w:tc>
          <w:tcPr>
            <w:tcW w:w="2268" w:type="dxa"/>
          </w:tcPr>
          <w:p w14:paraId="7D860740" w14:textId="77777777" w:rsidR="004B4E35" w:rsidRPr="00405303" w:rsidRDefault="009E6F82" w:rsidP="00C15251">
            <w:pPr>
              <w:jc w:val="both"/>
              <w:rPr>
                <w:bCs/>
                <w:color w:val="002060"/>
                <w:sz w:val="16"/>
                <w:szCs w:val="16"/>
              </w:rPr>
            </w:pPr>
            <w:r w:rsidRPr="00405303">
              <w:rPr>
                <w:bCs/>
                <w:color w:val="002060"/>
                <w:sz w:val="16"/>
                <w:szCs w:val="16"/>
              </w:rPr>
              <w:t>Э. Коппе, ст. Сартана</w:t>
            </w:r>
          </w:p>
        </w:tc>
        <w:tc>
          <w:tcPr>
            <w:tcW w:w="792" w:type="dxa"/>
          </w:tcPr>
          <w:p w14:paraId="19D11A96" w14:textId="77777777" w:rsidR="004B4E35" w:rsidRPr="00405303" w:rsidRDefault="009E6F82" w:rsidP="00C15251">
            <w:pPr>
              <w:jc w:val="both"/>
              <w:rPr>
                <w:bCs/>
                <w:color w:val="002060"/>
                <w:sz w:val="16"/>
                <w:szCs w:val="16"/>
              </w:rPr>
            </w:pPr>
            <w:r w:rsidRPr="00405303">
              <w:rPr>
                <w:bCs/>
                <w:color w:val="002060"/>
                <w:sz w:val="16"/>
                <w:szCs w:val="16"/>
              </w:rPr>
              <w:t>2.5</w:t>
            </w:r>
          </w:p>
        </w:tc>
        <w:tc>
          <w:tcPr>
            <w:tcW w:w="684" w:type="dxa"/>
          </w:tcPr>
          <w:p w14:paraId="05F5BB8C" w14:textId="77777777" w:rsidR="004B4E35" w:rsidRPr="00405303" w:rsidRDefault="009E6F82" w:rsidP="00C15251">
            <w:pPr>
              <w:jc w:val="both"/>
              <w:rPr>
                <w:bCs/>
                <w:color w:val="002060"/>
                <w:sz w:val="16"/>
                <w:szCs w:val="16"/>
              </w:rPr>
            </w:pPr>
            <w:r w:rsidRPr="00405303">
              <w:rPr>
                <w:bCs/>
                <w:color w:val="002060"/>
                <w:sz w:val="16"/>
                <w:szCs w:val="16"/>
              </w:rPr>
              <w:t>15,7</w:t>
            </w:r>
          </w:p>
        </w:tc>
      </w:tr>
      <w:tr w:rsidR="004B4E35" w:rsidRPr="00405303" w14:paraId="08CB5B2C" w14:textId="77777777">
        <w:tc>
          <w:tcPr>
            <w:tcW w:w="2268" w:type="dxa"/>
          </w:tcPr>
          <w:p w14:paraId="1209765C" w14:textId="77777777" w:rsidR="004B4E35" w:rsidRPr="00405303" w:rsidRDefault="009E6F82" w:rsidP="00C15251">
            <w:pPr>
              <w:jc w:val="both"/>
              <w:rPr>
                <w:bCs/>
                <w:color w:val="002060"/>
                <w:sz w:val="16"/>
                <w:szCs w:val="16"/>
              </w:rPr>
            </w:pPr>
            <w:r w:rsidRPr="00405303">
              <w:rPr>
                <w:bCs/>
                <w:color w:val="002060"/>
                <w:sz w:val="16"/>
                <w:szCs w:val="16"/>
              </w:rPr>
              <w:t>О. Пьетт, ст. Макеевка</w:t>
            </w:r>
          </w:p>
        </w:tc>
        <w:tc>
          <w:tcPr>
            <w:tcW w:w="792" w:type="dxa"/>
          </w:tcPr>
          <w:p w14:paraId="100E6611" w14:textId="77777777" w:rsidR="004B4E35" w:rsidRPr="00405303" w:rsidRDefault="009E6F82" w:rsidP="00C15251">
            <w:pPr>
              <w:jc w:val="both"/>
              <w:rPr>
                <w:bCs/>
                <w:color w:val="002060"/>
                <w:sz w:val="16"/>
                <w:szCs w:val="16"/>
              </w:rPr>
            </w:pPr>
            <w:r w:rsidRPr="00405303">
              <w:rPr>
                <w:bCs/>
                <w:color w:val="002060"/>
                <w:sz w:val="16"/>
                <w:szCs w:val="16"/>
              </w:rPr>
              <w:t>62,6</w:t>
            </w:r>
          </w:p>
        </w:tc>
        <w:tc>
          <w:tcPr>
            <w:tcW w:w="684" w:type="dxa"/>
          </w:tcPr>
          <w:p w14:paraId="136E47F6" w14:textId="77777777" w:rsidR="004B4E35" w:rsidRPr="00405303" w:rsidRDefault="009E6F82" w:rsidP="00C15251">
            <w:pPr>
              <w:jc w:val="both"/>
              <w:rPr>
                <w:bCs/>
                <w:color w:val="002060"/>
                <w:sz w:val="16"/>
                <w:szCs w:val="16"/>
              </w:rPr>
            </w:pPr>
            <w:r w:rsidRPr="00405303">
              <w:rPr>
                <w:bCs/>
                <w:color w:val="002060"/>
                <w:sz w:val="16"/>
                <w:szCs w:val="16"/>
              </w:rPr>
              <w:t>125,9</w:t>
            </w:r>
          </w:p>
        </w:tc>
      </w:tr>
      <w:tr w:rsidR="004B4E35" w:rsidRPr="00405303" w14:paraId="0BA69FB9" w14:textId="77777777">
        <w:tc>
          <w:tcPr>
            <w:tcW w:w="2268" w:type="dxa"/>
          </w:tcPr>
          <w:p w14:paraId="7C75604D" w14:textId="77777777" w:rsidR="004B4E35" w:rsidRPr="00405303" w:rsidRDefault="009E6F82" w:rsidP="00C15251">
            <w:pPr>
              <w:jc w:val="both"/>
              <w:rPr>
                <w:bCs/>
                <w:color w:val="002060"/>
                <w:sz w:val="16"/>
                <w:szCs w:val="16"/>
              </w:rPr>
            </w:pPr>
            <w:r w:rsidRPr="00405303">
              <w:rPr>
                <w:bCs/>
                <w:color w:val="002060"/>
                <w:sz w:val="16"/>
                <w:szCs w:val="16"/>
              </w:rPr>
              <w:t>Кадиевский казенный завод</w:t>
            </w:r>
          </w:p>
        </w:tc>
        <w:tc>
          <w:tcPr>
            <w:tcW w:w="792" w:type="dxa"/>
          </w:tcPr>
          <w:p w14:paraId="3DFC6874" w14:textId="77777777" w:rsidR="004B4E35" w:rsidRPr="00405303" w:rsidRDefault="009E6F82" w:rsidP="00C15251">
            <w:pPr>
              <w:jc w:val="both"/>
              <w:rPr>
                <w:bCs/>
                <w:color w:val="002060"/>
                <w:sz w:val="16"/>
                <w:szCs w:val="16"/>
              </w:rPr>
            </w:pPr>
            <w:r w:rsidRPr="00405303">
              <w:rPr>
                <w:bCs/>
                <w:color w:val="002060"/>
                <w:sz w:val="16"/>
                <w:szCs w:val="16"/>
              </w:rPr>
              <w:t>62,3</w:t>
            </w:r>
          </w:p>
        </w:tc>
        <w:tc>
          <w:tcPr>
            <w:tcW w:w="684" w:type="dxa"/>
          </w:tcPr>
          <w:p w14:paraId="173FF4FF" w14:textId="77777777" w:rsidR="004B4E35" w:rsidRPr="00405303" w:rsidRDefault="009E6F82" w:rsidP="00C15251">
            <w:pPr>
              <w:jc w:val="both"/>
              <w:rPr>
                <w:bCs/>
                <w:color w:val="002060"/>
                <w:sz w:val="16"/>
                <w:szCs w:val="16"/>
              </w:rPr>
            </w:pPr>
            <w:r w:rsidRPr="00405303">
              <w:rPr>
                <w:bCs/>
                <w:color w:val="002060"/>
                <w:sz w:val="16"/>
                <w:szCs w:val="16"/>
              </w:rPr>
              <w:t>167,1</w:t>
            </w:r>
          </w:p>
        </w:tc>
      </w:tr>
      <w:tr w:rsidR="004B4E35" w:rsidRPr="00405303" w14:paraId="4641B316" w14:textId="77777777">
        <w:tc>
          <w:tcPr>
            <w:tcW w:w="2268" w:type="dxa"/>
          </w:tcPr>
          <w:p w14:paraId="124A41D2" w14:textId="77777777" w:rsidR="004B4E35" w:rsidRPr="00405303" w:rsidRDefault="009E6F82" w:rsidP="00C15251">
            <w:pPr>
              <w:jc w:val="both"/>
              <w:rPr>
                <w:bCs/>
                <w:color w:val="002060"/>
                <w:sz w:val="16"/>
                <w:szCs w:val="16"/>
              </w:rPr>
            </w:pPr>
            <w:r w:rsidRPr="00405303">
              <w:rPr>
                <w:bCs/>
                <w:color w:val="002060"/>
                <w:sz w:val="16"/>
                <w:szCs w:val="16"/>
              </w:rPr>
              <w:t>Щербиновский завод</w:t>
            </w:r>
          </w:p>
        </w:tc>
        <w:tc>
          <w:tcPr>
            <w:tcW w:w="792" w:type="dxa"/>
          </w:tcPr>
          <w:p w14:paraId="45CBBEF3" w14:textId="77777777" w:rsidR="004B4E35" w:rsidRPr="00405303" w:rsidRDefault="009E6F82" w:rsidP="00C15251">
            <w:pPr>
              <w:jc w:val="both"/>
              <w:rPr>
                <w:bCs/>
                <w:color w:val="002060"/>
                <w:sz w:val="16"/>
                <w:szCs w:val="16"/>
              </w:rPr>
            </w:pPr>
            <w:r w:rsidRPr="00405303">
              <w:rPr>
                <w:bCs/>
                <w:color w:val="002060"/>
                <w:sz w:val="16"/>
                <w:szCs w:val="16"/>
              </w:rPr>
              <w:t>29,7</w:t>
            </w:r>
          </w:p>
        </w:tc>
        <w:tc>
          <w:tcPr>
            <w:tcW w:w="684" w:type="dxa"/>
          </w:tcPr>
          <w:p w14:paraId="346949D1" w14:textId="77777777" w:rsidR="004B4E35" w:rsidRPr="00405303" w:rsidRDefault="009E6F82" w:rsidP="00C15251">
            <w:pPr>
              <w:jc w:val="both"/>
              <w:rPr>
                <w:bCs/>
                <w:color w:val="002060"/>
                <w:sz w:val="16"/>
                <w:szCs w:val="16"/>
              </w:rPr>
            </w:pPr>
            <w:r w:rsidRPr="00405303">
              <w:rPr>
                <w:bCs/>
                <w:color w:val="002060"/>
                <w:sz w:val="16"/>
                <w:szCs w:val="16"/>
              </w:rPr>
              <w:t>36,9</w:t>
            </w:r>
          </w:p>
        </w:tc>
      </w:tr>
      <w:tr w:rsidR="004B4E35" w:rsidRPr="00405303" w14:paraId="120E8F28" w14:textId="77777777">
        <w:tc>
          <w:tcPr>
            <w:tcW w:w="2268" w:type="dxa"/>
          </w:tcPr>
          <w:p w14:paraId="61803CDD" w14:textId="77777777" w:rsidR="004B4E35" w:rsidRPr="00405303" w:rsidRDefault="009E6F82" w:rsidP="00C15251">
            <w:pPr>
              <w:jc w:val="both"/>
              <w:rPr>
                <w:bCs/>
                <w:color w:val="002060"/>
                <w:sz w:val="16"/>
                <w:szCs w:val="16"/>
              </w:rPr>
            </w:pPr>
            <w:r w:rsidRPr="00405303">
              <w:rPr>
                <w:bCs/>
                <w:color w:val="002060"/>
                <w:sz w:val="16"/>
                <w:szCs w:val="16"/>
              </w:rPr>
              <w:t>Общество Карбонизоми (Горловка)</w:t>
            </w:r>
          </w:p>
        </w:tc>
        <w:tc>
          <w:tcPr>
            <w:tcW w:w="792" w:type="dxa"/>
          </w:tcPr>
          <w:p w14:paraId="0FABDD61" w14:textId="77777777" w:rsidR="004B4E35" w:rsidRPr="00405303" w:rsidRDefault="009E6F82" w:rsidP="00C15251">
            <w:pPr>
              <w:jc w:val="both"/>
              <w:rPr>
                <w:bCs/>
                <w:color w:val="002060"/>
                <w:sz w:val="16"/>
                <w:szCs w:val="16"/>
              </w:rPr>
            </w:pPr>
            <w:r w:rsidRPr="00405303">
              <w:rPr>
                <w:bCs/>
                <w:color w:val="002060"/>
                <w:sz w:val="16"/>
                <w:szCs w:val="16"/>
              </w:rPr>
              <w:t>—</w:t>
            </w:r>
          </w:p>
        </w:tc>
        <w:tc>
          <w:tcPr>
            <w:tcW w:w="684" w:type="dxa"/>
          </w:tcPr>
          <w:p w14:paraId="4F5885B7" w14:textId="77777777" w:rsidR="004B4E35" w:rsidRPr="00405303" w:rsidRDefault="009E6F82" w:rsidP="00C15251">
            <w:pPr>
              <w:jc w:val="both"/>
              <w:rPr>
                <w:bCs/>
                <w:color w:val="002060"/>
                <w:sz w:val="16"/>
                <w:szCs w:val="16"/>
              </w:rPr>
            </w:pPr>
            <w:r w:rsidRPr="00405303">
              <w:rPr>
                <w:bCs/>
                <w:color w:val="002060"/>
                <w:sz w:val="16"/>
                <w:szCs w:val="16"/>
              </w:rPr>
              <w:t>12,4</w:t>
            </w:r>
          </w:p>
        </w:tc>
      </w:tr>
      <w:tr w:rsidR="004B4E35" w:rsidRPr="00405303" w14:paraId="2DE4236D" w14:textId="77777777">
        <w:tc>
          <w:tcPr>
            <w:tcW w:w="2268" w:type="dxa"/>
          </w:tcPr>
          <w:p w14:paraId="5396A48E" w14:textId="77777777" w:rsidR="004B4E35" w:rsidRPr="00405303" w:rsidRDefault="009E6F82" w:rsidP="00C15251">
            <w:pPr>
              <w:jc w:val="both"/>
              <w:rPr>
                <w:bCs/>
                <w:color w:val="002060"/>
                <w:sz w:val="16"/>
                <w:szCs w:val="16"/>
              </w:rPr>
            </w:pPr>
            <w:r w:rsidRPr="00405303">
              <w:rPr>
                <w:bCs/>
                <w:color w:val="002060"/>
                <w:sz w:val="16"/>
                <w:szCs w:val="16"/>
              </w:rPr>
              <w:t>О. Пьетт (Дружковка)</w:t>
            </w:r>
          </w:p>
        </w:tc>
        <w:tc>
          <w:tcPr>
            <w:tcW w:w="792" w:type="dxa"/>
          </w:tcPr>
          <w:p w14:paraId="5533D02C" w14:textId="77777777" w:rsidR="004B4E35" w:rsidRPr="00405303" w:rsidRDefault="009E6F82" w:rsidP="00C15251">
            <w:pPr>
              <w:jc w:val="both"/>
              <w:rPr>
                <w:bCs/>
                <w:color w:val="002060"/>
                <w:sz w:val="16"/>
                <w:szCs w:val="16"/>
              </w:rPr>
            </w:pPr>
            <w:r w:rsidRPr="00405303">
              <w:rPr>
                <w:bCs/>
                <w:color w:val="002060"/>
                <w:sz w:val="16"/>
                <w:szCs w:val="16"/>
              </w:rPr>
              <w:t>—</w:t>
            </w:r>
          </w:p>
        </w:tc>
        <w:tc>
          <w:tcPr>
            <w:tcW w:w="684" w:type="dxa"/>
          </w:tcPr>
          <w:p w14:paraId="3FC61A1A" w14:textId="77777777" w:rsidR="004B4E35" w:rsidRPr="00405303" w:rsidRDefault="009E6F82" w:rsidP="00C15251">
            <w:pPr>
              <w:jc w:val="both"/>
              <w:rPr>
                <w:bCs/>
                <w:color w:val="002060"/>
                <w:sz w:val="16"/>
                <w:szCs w:val="16"/>
              </w:rPr>
            </w:pPr>
            <w:r w:rsidRPr="00405303">
              <w:rPr>
                <w:bCs/>
                <w:color w:val="002060"/>
                <w:sz w:val="16"/>
                <w:szCs w:val="16"/>
              </w:rPr>
              <w:t>23,1</w:t>
            </w:r>
          </w:p>
        </w:tc>
      </w:tr>
      <w:tr w:rsidR="004B4E35" w:rsidRPr="00405303" w14:paraId="42D94708" w14:textId="77777777">
        <w:tc>
          <w:tcPr>
            <w:tcW w:w="2268" w:type="dxa"/>
          </w:tcPr>
          <w:p w14:paraId="242FC71E" w14:textId="77777777" w:rsidR="004B4E35" w:rsidRPr="00405303" w:rsidRDefault="009E6F82" w:rsidP="00C15251">
            <w:pPr>
              <w:jc w:val="both"/>
              <w:rPr>
                <w:bCs/>
                <w:color w:val="002060"/>
                <w:sz w:val="16"/>
                <w:szCs w:val="16"/>
              </w:rPr>
            </w:pPr>
            <w:r w:rsidRPr="00405303">
              <w:rPr>
                <w:bCs/>
                <w:color w:val="002060"/>
                <w:sz w:val="16"/>
                <w:szCs w:val="16"/>
              </w:rPr>
              <w:t>Э. Коппе (Константиновка)</w:t>
            </w:r>
          </w:p>
        </w:tc>
        <w:tc>
          <w:tcPr>
            <w:tcW w:w="792" w:type="dxa"/>
          </w:tcPr>
          <w:p w14:paraId="57F69E6B" w14:textId="77777777" w:rsidR="004B4E35" w:rsidRPr="00405303" w:rsidRDefault="009E6F82" w:rsidP="00C15251">
            <w:pPr>
              <w:jc w:val="both"/>
              <w:rPr>
                <w:bCs/>
                <w:color w:val="002060"/>
                <w:sz w:val="16"/>
                <w:szCs w:val="16"/>
              </w:rPr>
            </w:pPr>
            <w:r w:rsidRPr="00405303">
              <w:rPr>
                <w:bCs/>
                <w:color w:val="002060"/>
                <w:sz w:val="16"/>
                <w:szCs w:val="16"/>
              </w:rPr>
              <w:t>—</w:t>
            </w:r>
          </w:p>
        </w:tc>
        <w:tc>
          <w:tcPr>
            <w:tcW w:w="684" w:type="dxa"/>
          </w:tcPr>
          <w:p w14:paraId="2B284484" w14:textId="77777777" w:rsidR="004B4E35" w:rsidRPr="00405303" w:rsidRDefault="009E6F82" w:rsidP="00C15251">
            <w:pPr>
              <w:jc w:val="both"/>
              <w:rPr>
                <w:bCs/>
                <w:color w:val="002060"/>
                <w:sz w:val="16"/>
                <w:szCs w:val="16"/>
              </w:rPr>
            </w:pPr>
            <w:r w:rsidRPr="00405303">
              <w:rPr>
                <w:bCs/>
                <w:color w:val="002060"/>
                <w:sz w:val="16"/>
                <w:szCs w:val="16"/>
              </w:rPr>
              <w:t>8,2</w:t>
            </w:r>
          </w:p>
        </w:tc>
      </w:tr>
      <w:tr w:rsidR="004B4E35" w:rsidRPr="00405303" w14:paraId="32624ABD" w14:textId="77777777">
        <w:tc>
          <w:tcPr>
            <w:tcW w:w="2268" w:type="dxa"/>
          </w:tcPr>
          <w:p w14:paraId="2486D7E6" w14:textId="77777777" w:rsidR="004B4E35" w:rsidRPr="00405303" w:rsidRDefault="009E6F82" w:rsidP="00C15251">
            <w:pPr>
              <w:jc w:val="both"/>
              <w:rPr>
                <w:bCs/>
                <w:color w:val="002060"/>
                <w:sz w:val="16"/>
                <w:szCs w:val="16"/>
              </w:rPr>
            </w:pPr>
            <w:r w:rsidRPr="00405303">
              <w:rPr>
                <w:bCs/>
                <w:color w:val="002060"/>
                <w:sz w:val="16"/>
                <w:szCs w:val="16"/>
              </w:rPr>
              <w:t>Всего</w:t>
            </w:r>
          </w:p>
        </w:tc>
        <w:tc>
          <w:tcPr>
            <w:tcW w:w="792" w:type="dxa"/>
          </w:tcPr>
          <w:p w14:paraId="64154BCC" w14:textId="77777777" w:rsidR="004B4E35" w:rsidRPr="00405303" w:rsidRDefault="009E6F82" w:rsidP="00C15251">
            <w:pPr>
              <w:jc w:val="both"/>
              <w:rPr>
                <w:bCs/>
                <w:color w:val="002060"/>
                <w:sz w:val="16"/>
                <w:szCs w:val="16"/>
              </w:rPr>
            </w:pPr>
            <w:r w:rsidRPr="00405303">
              <w:rPr>
                <w:bCs/>
                <w:color w:val="002060"/>
                <w:sz w:val="16"/>
                <w:szCs w:val="16"/>
              </w:rPr>
              <w:t>364,3</w:t>
            </w:r>
          </w:p>
        </w:tc>
        <w:tc>
          <w:tcPr>
            <w:tcW w:w="684" w:type="dxa"/>
          </w:tcPr>
          <w:p w14:paraId="2009C89F" w14:textId="77777777" w:rsidR="004B4E35" w:rsidRPr="00405303" w:rsidRDefault="009E6F82" w:rsidP="00C15251">
            <w:pPr>
              <w:jc w:val="both"/>
              <w:rPr>
                <w:bCs/>
                <w:color w:val="002060"/>
                <w:sz w:val="16"/>
                <w:szCs w:val="16"/>
              </w:rPr>
            </w:pPr>
            <w:r w:rsidRPr="00405303">
              <w:rPr>
                <w:bCs/>
                <w:color w:val="002060"/>
                <w:sz w:val="16"/>
                <w:szCs w:val="16"/>
              </w:rPr>
              <w:t>656,7</w:t>
            </w:r>
          </w:p>
        </w:tc>
      </w:tr>
    </w:tbl>
    <w:p w14:paraId="7FD9F95E" w14:textId="77777777" w:rsidR="004B4E35" w:rsidRPr="00405303" w:rsidRDefault="009E6F82" w:rsidP="00C15251">
      <w:pPr>
        <w:jc w:val="both"/>
        <w:rPr>
          <w:bCs/>
          <w:color w:val="002060"/>
          <w:sz w:val="16"/>
          <w:szCs w:val="16"/>
        </w:rPr>
      </w:pPr>
      <w:r w:rsidRPr="00405303">
        <w:rPr>
          <w:bCs/>
          <w:color w:val="002060"/>
          <w:sz w:val="16"/>
          <w:szCs w:val="16"/>
        </w:rPr>
        <w:t xml:space="preserve">Надо отметить, что заводы не всегда могли работать на полную свою мощность, так как сплошь и рядом каменный уголь для коксования доставлялся не по адресу, а именно: на печи без улавливания продуктов коксования, а печи с улавливанием месяцами стояли, не имея что коксовать. </w:t>
      </w:r>
    </w:p>
    <w:p w14:paraId="68407AA4" w14:textId="77777777" w:rsidR="004B4E35" w:rsidRPr="00405303" w:rsidRDefault="009E6F82" w:rsidP="00C15251">
      <w:pPr>
        <w:jc w:val="both"/>
        <w:rPr>
          <w:bCs/>
          <w:color w:val="002060"/>
          <w:sz w:val="16"/>
          <w:szCs w:val="16"/>
        </w:rPr>
      </w:pPr>
      <w:r w:rsidRPr="00405303">
        <w:rPr>
          <w:bCs/>
          <w:color w:val="002060"/>
          <w:sz w:val="16"/>
          <w:szCs w:val="16"/>
        </w:rPr>
        <w:t xml:space="preserve">В итоге мероприятий по развитию коксобензольного дела удалось в 7-8 раз увеличить количество печей, могущих давать полностью все продукты сухой перегонки каменного угля. </w:t>
      </w:r>
    </w:p>
    <w:p w14:paraId="0CADCA36" w14:textId="77777777" w:rsidR="004B4E35" w:rsidRPr="00405303" w:rsidRDefault="009E6F82" w:rsidP="00C15251">
      <w:pPr>
        <w:jc w:val="both"/>
        <w:rPr>
          <w:bCs/>
          <w:color w:val="002060"/>
          <w:sz w:val="16"/>
          <w:szCs w:val="16"/>
        </w:rPr>
      </w:pPr>
      <w:r w:rsidRPr="00405303">
        <w:rPr>
          <w:bCs/>
          <w:color w:val="002060"/>
          <w:sz w:val="16"/>
          <w:szCs w:val="16"/>
        </w:rPr>
        <w:t xml:space="preserve">Затем, Комиссией Ипатьева были произведены крупные работы по организации заводов для ректификации продуктов коксования угля. </w:t>
      </w:r>
    </w:p>
    <w:p w14:paraId="02332AED" w14:textId="77777777" w:rsidR="004B4E35" w:rsidRPr="00405303" w:rsidRDefault="009E6F82" w:rsidP="00C15251">
      <w:pPr>
        <w:jc w:val="both"/>
        <w:rPr>
          <w:bCs/>
          <w:color w:val="002060"/>
          <w:sz w:val="16"/>
          <w:szCs w:val="16"/>
        </w:rPr>
      </w:pPr>
      <w:r w:rsidRPr="00405303">
        <w:rPr>
          <w:bCs/>
          <w:color w:val="002060"/>
          <w:sz w:val="16"/>
          <w:szCs w:val="16"/>
        </w:rPr>
        <w:t xml:space="preserve">До войны, получаемые на Юге небольшие количества сырого бензола фракционировалось на 90%-ный бензол, 50%-ный бензол и сольвентнафта, без выделения чистых продуктов — бензола, толуола и ксилола. Между тем для фабрикации взрывчатых веществ требовались именно эти продукты. </w:t>
      </w:r>
    </w:p>
    <w:p w14:paraId="00026725" w14:textId="77777777" w:rsidR="004B4E35" w:rsidRPr="00405303" w:rsidRDefault="009E6F82" w:rsidP="00C15251">
      <w:pPr>
        <w:jc w:val="both"/>
        <w:rPr>
          <w:bCs/>
          <w:color w:val="002060"/>
          <w:sz w:val="16"/>
          <w:szCs w:val="16"/>
        </w:rPr>
      </w:pPr>
      <w:r w:rsidRPr="00405303">
        <w:rPr>
          <w:bCs/>
          <w:color w:val="002060"/>
          <w:sz w:val="16"/>
          <w:szCs w:val="16"/>
        </w:rPr>
        <w:t xml:space="preserve">В начале деятельности Химического комитета сырой бензол, получаемый в Донбассе, направлялся в Петроград для фракционировки на Тентелевском химическом заводе, после чего полученный чистый толуол отправлялся для нитрования в Самарский завод взрывчатых веществ, а чистый бензол — обратно на Юг для выработки пикриновой кислоты, на завод Сольвей. </w:t>
      </w:r>
    </w:p>
    <w:p w14:paraId="773BADE3" w14:textId="77777777" w:rsidR="004B4E35" w:rsidRPr="00405303" w:rsidRDefault="009E6F82" w:rsidP="00C15251">
      <w:pPr>
        <w:jc w:val="both"/>
        <w:rPr>
          <w:bCs/>
          <w:color w:val="002060"/>
          <w:sz w:val="16"/>
          <w:szCs w:val="16"/>
        </w:rPr>
      </w:pPr>
      <w:r w:rsidRPr="00405303">
        <w:rPr>
          <w:bCs/>
          <w:color w:val="002060"/>
          <w:sz w:val="16"/>
          <w:szCs w:val="16"/>
        </w:rPr>
        <w:t xml:space="preserve">Так как Тентелевский завод не справлялся с фракционировкой, за малой производительностью аппаратов, то было произведено переоборудование Гутуевского спиртоочистительного завода для фракционировки бензола. </w:t>
      </w:r>
    </w:p>
    <w:p w14:paraId="478ADE30" w14:textId="77777777" w:rsidR="004B4E35" w:rsidRPr="00405303" w:rsidRDefault="009E6F82" w:rsidP="00C15251">
      <w:pPr>
        <w:jc w:val="both"/>
        <w:rPr>
          <w:bCs/>
          <w:color w:val="002060"/>
          <w:sz w:val="16"/>
          <w:szCs w:val="16"/>
        </w:rPr>
      </w:pPr>
      <w:r w:rsidRPr="00405303">
        <w:rPr>
          <w:bCs/>
          <w:color w:val="002060"/>
          <w:sz w:val="16"/>
          <w:szCs w:val="16"/>
        </w:rPr>
        <w:t xml:space="preserve">Ввиду указанных обстоятельств для фракционирования бензола Комиссией по заготовке взрывчатых веществ была предпринята постройка казенного ректификационного завода в Кадиевке с производительностью 500 000 пудов в год, считая на сырой бензол. </w:t>
      </w:r>
    </w:p>
    <w:p w14:paraId="357AA2BE" w14:textId="77777777" w:rsidR="004B4E35" w:rsidRPr="00405303" w:rsidRDefault="009E6F82" w:rsidP="00C15251">
      <w:pPr>
        <w:jc w:val="both"/>
        <w:rPr>
          <w:bCs/>
          <w:color w:val="002060"/>
          <w:sz w:val="16"/>
          <w:szCs w:val="16"/>
        </w:rPr>
      </w:pPr>
      <w:r w:rsidRPr="00405303">
        <w:rPr>
          <w:bCs/>
          <w:color w:val="002060"/>
          <w:sz w:val="16"/>
          <w:szCs w:val="16"/>
        </w:rPr>
        <w:t xml:space="preserve">Независимо от этого, по поручению Комиссии профессора Ипатьева были поставлены ректификационные оборудования частными фирмами — Оливье Пьетт в Макеевке, Эванс Коппе при Новосмоляниновском руднике в Юзовке, Брянским обществом в Орловской губернии и Обществом Коксобензол при ст. Рубежной (начато постройкой). </w:t>
      </w:r>
    </w:p>
    <w:p w14:paraId="3CC21B8E" w14:textId="77777777" w:rsidR="004B4E35" w:rsidRPr="00405303" w:rsidRDefault="009E6F82" w:rsidP="00C15251">
      <w:pPr>
        <w:jc w:val="both"/>
        <w:rPr>
          <w:bCs/>
          <w:color w:val="002060"/>
          <w:sz w:val="16"/>
          <w:szCs w:val="16"/>
        </w:rPr>
      </w:pPr>
      <w:r w:rsidRPr="00405303">
        <w:rPr>
          <w:bCs/>
          <w:color w:val="002060"/>
          <w:sz w:val="16"/>
          <w:szCs w:val="16"/>
        </w:rPr>
        <w:t xml:space="preserve">Ввиду того, что производство каменноугольного толуола в Донецком бассейне не могло быстро развернуться в таком масштабе, чтобы покрывать всю потребность войны, Комиссия Ипатьева озаботилась изысканием других источников получения толуола. Было обращено внимание на бензины, содержащие большой процент толуола. </w:t>
      </w:r>
    </w:p>
    <w:p w14:paraId="7DA7E9D4" w14:textId="77777777" w:rsidR="004B4E35" w:rsidRPr="00405303" w:rsidRDefault="009E6F82" w:rsidP="00C15251">
      <w:pPr>
        <w:jc w:val="both"/>
        <w:rPr>
          <w:bCs/>
          <w:color w:val="002060"/>
          <w:sz w:val="16"/>
          <w:szCs w:val="16"/>
        </w:rPr>
      </w:pPr>
      <w:r w:rsidRPr="00405303">
        <w:rPr>
          <w:bCs/>
          <w:color w:val="002060"/>
          <w:sz w:val="16"/>
          <w:szCs w:val="16"/>
        </w:rPr>
        <w:t xml:space="preserve">Большие и ценные в научном отношении работы по этому вопросу сделаны были химиком Центральной научно-технической лаборатории военного ведомства Н.П. Андреевым. Предположено было первоначально добывать толуол из галицийской нефти, где процент его очень высок. Отступление русских войск из Галиции в 1915 г. не позволило сделать этого. Тогда были произведены исследования бензинов Майкопских и Грозненских месторождений, давшие вполне благоприятные результаты. После этого было решено строить заводы для извлечения толуола из бензинов. Дело было поручено строительной Комиссии под председательством В.Н. Ипатьева. </w:t>
      </w:r>
    </w:p>
    <w:p w14:paraId="2DC262A7" w14:textId="77777777" w:rsidR="004B4E35" w:rsidRPr="00405303" w:rsidRDefault="009E6F82" w:rsidP="00C15251">
      <w:pPr>
        <w:jc w:val="both"/>
        <w:rPr>
          <w:bCs/>
          <w:color w:val="002060"/>
          <w:sz w:val="16"/>
          <w:szCs w:val="16"/>
        </w:rPr>
      </w:pPr>
      <w:r w:rsidRPr="00405303">
        <w:rPr>
          <w:bCs/>
          <w:color w:val="002060"/>
          <w:sz w:val="16"/>
          <w:szCs w:val="16"/>
        </w:rPr>
        <w:t xml:space="preserve">Первый такой завод построен был в Екатеринодаре, около Майкопских нефтеперегонных заводов. В 1916 г. он давал уже до 2000 пудов в месяц монотринитротолуола, получаемого обработкой нитрующей смесью фракции бензина, содержащей 15-20% толуола. Монопродукт отправлялся для донитрования в Самарский завод взрывчатых веществ. </w:t>
      </w:r>
    </w:p>
    <w:p w14:paraId="154F653B" w14:textId="77777777" w:rsidR="004B4E35" w:rsidRPr="00405303" w:rsidRDefault="009E6F82" w:rsidP="00C15251">
      <w:pPr>
        <w:jc w:val="both"/>
        <w:rPr>
          <w:bCs/>
          <w:color w:val="002060"/>
          <w:sz w:val="16"/>
          <w:szCs w:val="16"/>
        </w:rPr>
      </w:pPr>
      <w:r w:rsidRPr="00405303">
        <w:rPr>
          <w:bCs/>
          <w:color w:val="002060"/>
          <w:sz w:val="16"/>
          <w:szCs w:val="16"/>
        </w:rPr>
        <w:t xml:space="preserve">В Грозном на заводах "Русский Стандарт" и Ахвердова были сделаны крупные ректификационные установки для получения толуола из лигроина, с производительностью до 4000 пудов в месяц. Производство было начато в начале 1917 года. </w:t>
      </w:r>
    </w:p>
    <w:p w14:paraId="21EB43A1" w14:textId="77777777" w:rsidR="004B4E35" w:rsidRPr="00405303" w:rsidRDefault="009E6F82" w:rsidP="00C15251">
      <w:pPr>
        <w:jc w:val="both"/>
        <w:rPr>
          <w:bCs/>
          <w:color w:val="002060"/>
          <w:sz w:val="16"/>
          <w:szCs w:val="16"/>
        </w:rPr>
      </w:pPr>
      <w:r w:rsidRPr="00405303">
        <w:rPr>
          <w:bCs/>
          <w:color w:val="002060"/>
          <w:sz w:val="16"/>
          <w:szCs w:val="16"/>
        </w:rPr>
        <w:t xml:space="preserve">Независимо от получения толуола указанным путем, с начала 1915 г. велись деятельные опыты над разложением нефти при высоких температурах по методам, предложенным химиком Никифоровым. Опыты велись проф. Тихвинским, Зелинским и Лебедевым, а также в Научно-технической лаборатории военного ведомства. К концу 1915 г. имелось уже достаточно материалов, чтобы ставить заводское производство. Первые заводские опыты были поставлены Комиссией Ипатьева на газовом заводе казанской городской управы и там же было поставлено первое валовое производство ароматических углеводородов на небольшую производительность — около 1000 пудов в месяц. </w:t>
      </w:r>
    </w:p>
    <w:p w14:paraId="598E3DFF" w14:textId="77777777" w:rsidR="004B4E35" w:rsidRPr="00405303" w:rsidRDefault="009E6F82" w:rsidP="00C15251">
      <w:pPr>
        <w:jc w:val="both"/>
        <w:rPr>
          <w:bCs/>
          <w:color w:val="002060"/>
          <w:sz w:val="16"/>
          <w:szCs w:val="16"/>
        </w:rPr>
      </w:pPr>
      <w:r w:rsidRPr="00405303">
        <w:rPr>
          <w:bCs/>
          <w:color w:val="002060"/>
          <w:sz w:val="16"/>
          <w:szCs w:val="16"/>
        </w:rPr>
        <w:t xml:space="preserve">Вопросом получения толуола из нефти пирогенетическим путем занимался деятельно и Военно-промышленный комитет. Бакинский ВПК взял на себя постройку для этой цели завода в Баку. Предварительный проект был составлен проф. П. Кошицем, Смоленским и Громаном. Завод был рассчитан на производство 4000 пудов и к осени 1916 г. был пущен уже в ход. </w:t>
      </w:r>
    </w:p>
    <w:p w14:paraId="40ED368E" w14:textId="77777777" w:rsidR="004B4E35" w:rsidRPr="00405303" w:rsidRDefault="009E6F82" w:rsidP="00C15251">
      <w:pPr>
        <w:jc w:val="both"/>
        <w:rPr>
          <w:bCs/>
          <w:color w:val="002060"/>
          <w:sz w:val="16"/>
          <w:szCs w:val="16"/>
        </w:rPr>
      </w:pPr>
      <w:r w:rsidRPr="00405303">
        <w:rPr>
          <w:bCs/>
          <w:color w:val="002060"/>
          <w:sz w:val="16"/>
          <w:szCs w:val="16"/>
        </w:rPr>
        <w:t xml:space="preserve">Одновременно с бакинским ВПК была начата постройка трех заводов для получения ароматических углеводородов из нефти фирмами: Бр. Нобель, Бенкендорф и Нефтегаз. Из них только первая выполнила задачу вовремя. Другие две закончили постройку к самому концу войны. </w:t>
      </w:r>
    </w:p>
    <w:p w14:paraId="6752B409" w14:textId="77777777" w:rsidR="004B4E35" w:rsidRPr="00405303" w:rsidRDefault="009E6F82" w:rsidP="00C15251">
      <w:pPr>
        <w:jc w:val="both"/>
        <w:rPr>
          <w:bCs/>
          <w:color w:val="002060"/>
          <w:sz w:val="16"/>
          <w:szCs w:val="16"/>
        </w:rPr>
      </w:pPr>
      <w:r w:rsidRPr="00405303">
        <w:rPr>
          <w:bCs/>
          <w:color w:val="002060"/>
          <w:sz w:val="16"/>
          <w:szCs w:val="16"/>
        </w:rPr>
        <w:t xml:space="preserve">В итоге за время войны было изготовлено пирогенетического толуола до 150 000 пудов и была создана таким образом новая отрасль химической промышленности. </w:t>
      </w:r>
    </w:p>
    <w:p w14:paraId="6AD19DED" w14:textId="77777777" w:rsidR="004B4E35" w:rsidRPr="00405303" w:rsidRDefault="009E6F82" w:rsidP="00C15251">
      <w:pPr>
        <w:jc w:val="both"/>
        <w:rPr>
          <w:bCs/>
          <w:color w:val="002060"/>
          <w:sz w:val="16"/>
          <w:szCs w:val="16"/>
        </w:rPr>
      </w:pPr>
      <w:r w:rsidRPr="00405303">
        <w:rPr>
          <w:bCs/>
          <w:color w:val="002060"/>
          <w:sz w:val="16"/>
          <w:szCs w:val="16"/>
        </w:rPr>
        <w:t xml:space="preserve">Суммарное получение чистого бензола и [чистого] толуола всеми перечисленными методами (каменноугольного и нефтяного) выражается в следующих цифрах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837"/>
        <w:gridCol w:w="636"/>
        <w:gridCol w:w="641"/>
        <w:gridCol w:w="636"/>
        <w:gridCol w:w="641"/>
      </w:tblGrid>
      <w:tr w:rsidR="004B4E35" w:rsidRPr="00405303" w14:paraId="042FE908" w14:textId="77777777">
        <w:tc>
          <w:tcPr>
            <w:tcW w:w="837" w:type="dxa"/>
          </w:tcPr>
          <w:p w14:paraId="06A47314" w14:textId="5B0D81DC" w:rsidR="004B4E35" w:rsidRPr="00405303" w:rsidRDefault="00DB4D64" w:rsidP="00C15251">
            <w:pPr>
              <w:jc w:val="both"/>
              <w:rPr>
                <w:bCs/>
                <w:color w:val="002060"/>
                <w:sz w:val="16"/>
                <w:szCs w:val="16"/>
              </w:rPr>
            </w:pPr>
            <w:r w:rsidRPr="00405303">
              <w:rPr>
                <w:bCs/>
                <w:color w:val="002060"/>
                <w:sz w:val="16"/>
                <w:szCs w:val="16"/>
              </w:rPr>
              <w:lastRenderedPageBreak/>
              <w:t xml:space="preserve"> </w:t>
            </w:r>
          </w:p>
        </w:tc>
        <w:tc>
          <w:tcPr>
            <w:tcW w:w="1277" w:type="dxa"/>
            <w:gridSpan w:val="2"/>
          </w:tcPr>
          <w:p w14:paraId="6DDF81FB" w14:textId="77777777" w:rsidR="004B4E35" w:rsidRPr="00405303" w:rsidRDefault="009E6F82" w:rsidP="00C15251">
            <w:pPr>
              <w:jc w:val="both"/>
              <w:rPr>
                <w:bCs/>
                <w:color w:val="002060"/>
                <w:sz w:val="16"/>
                <w:szCs w:val="16"/>
              </w:rPr>
            </w:pPr>
            <w:r w:rsidRPr="00405303">
              <w:rPr>
                <w:bCs/>
                <w:color w:val="002060"/>
                <w:sz w:val="16"/>
                <w:szCs w:val="16"/>
              </w:rPr>
              <w:t>1916 год</w:t>
            </w:r>
          </w:p>
        </w:tc>
        <w:tc>
          <w:tcPr>
            <w:tcW w:w="1277" w:type="dxa"/>
            <w:gridSpan w:val="2"/>
          </w:tcPr>
          <w:p w14:paraId="328A7178" w14:textId="77777777" w:rsidR="004B4E35" w:rsidRPr="00405303" w:rsidRDefault="009E6F82" w:rsidP="00C15251">
            <w:pPr>
              <w:jc w:val="both"/>
              <w:rPr>
                <w:bCs/>
                <w:color w:val="002060"/>
                <w:sz w:val="16"/>
                <w:szCs w:val="16"/>
              </w:rPr>
            </w:pPr>
            <w:r w:rsidRPr="00405303">
              <w:rPr>
                <w:bCs/>
                <w:color w:val="002060"/>
                <w:sz w:val="16"/>
                <w:szCs w:val="16"/>
              </w:rPr>
              <w:t>1917 год</w:t>
            </w:r>
          </w:p>
        </w:tc>
      </w:tr>
      <w:tr w:rsidR="004B4E35" w:rsidRPr="00405303" w14:paraId="634762AD" w14:textId="77777777">
        <w:tc>
          <w:tcPr>
            <w:tcW w:w="837" w:type="dxa"/>
          </w:tcPr>
          <w:p w14:paraId="3D0B829E" w14:textId="77777777" w:rsidR="004B4E35" w:rsidRPr="00405303" w:rsidRDefault="009E6F82" w:rsidP="00C15251">
            <w:pPr>
              <w:jc w:val="both"/>
              <w:rPr>
                <w:bCs/>
                <w:color w:val="002060"/>
                <w:sz w:val="16"/>
                <w:szCs w:val="16"/>
              </w:rPr>
            </w:pPr>
            <w:r w:rsidRPr="00405303">
              <w:rPr>
                <w:bCs/>
                <w:color w:val="002060"/>
                <w:sz w:val="16"/>
                <w:szCs w:val="16"/>
              </w:rPr>
              <w:t>Месяцы</w:t>
            </w:r>
          </w:p>
        </w:tc>
        <w:tc>
          <w:tcPr>
            <w:tcW w:w="636" w:type="dxa"/>
          </w:tcPr>
          <w:p w14:paraId="7D9EAF67" w14:textId="77777777" w:rsidR="004B4E35" w:rsidRPr="00405303" w:rsidRDefault="009E6F82" w:rsidP="00C15251">
            <w:pPr>
              <w:jc w:val="both"/>
              <w:rPr>
                <w:bCs/>
                <w:color w:val="002060"/>
                <w:sz w:val="16"/>
                <w:szCs w:val="16"/>
              </w:rPr>
            </w:pPr>
            <w:r w:rsidRPr="00405303">
              <w:rPr>
                <w:bCs/>
                <w:color w:val="002060"/>
                <w:sz w:val="16"/>
                <w:szCs w:val="16"/>
              </w:rPr>
              <w:t>Бензол</w:t>
            </w:r>
          </w:p>
        </w:tc>
        <w:tc>
          <w:tcPr>
            <w:tcW w:w="641" w:type="dxa"/>
          </w:tcPr>
          <w:p w14:paraId="4BBBF19C" w14:textId="77777777" w:rsidR="004B4E35" w:rsidRPr="00405303" w:rsidRDefault="009E6F82" w:rsidP="00C15251">
            <w:pPr>
              <w:jc w:val="both"/>
              <w:rPr>
                <w:bCs/>
                <w:color w:val="002060"/>
                <w:sz w:val="16"/>
                <w:szCs w:val="16"/>
              </w:rPr>
            </w:pPr>
            <w:r w:rsidRPr="00405303">
              <w:rPr>
                <w:bCs/>
                <w:color w:val="002060"/>
                <w:sz w:val="16"/>
                <w:szCs w:val="16"/>
              </w:rPr>
              <w:t>Толуол</w:t>
            </w:r>
          </w:p>
        </w:tc>
        <w:tc>
          <w:tcPr>
            <w:tcW w:w="636" w:type="dxa"/>
          </w:tcPr>
          <w:p w14:paraId="0430DCCB" w14:textId="77777777" w:rsidR="004B4E35" w:rsidRPr="00405303" w:rsidRDefault="009E6F82" w:rsidP="00C15251">
            <w:pPr>
              <w:jc w:val="both"/>
              <w:rPr>
                <w:bCs/>
                <w:color w:val="002060"/>
                <w:sz w:val="16"/>
                <w:szCs w:val="16"/>
              </w:rPr>
            </w:pPr>
            <w:r w:rsidRPr="00405303">
              <w:rPr>
                <w:bCs/>
                <w:color w:val="002060"/>
                <w:sz w:val="16"/>
                <w:szCs w:val="16"/>
              </w:rPr>
              <w:t xml:space="preserve">Бензол </w:t>
            </w:r>
          </w:p>
        </w:tc>
        <w:tc>
          <w:tcPr>
            <w:tcW w:w="641" w:type="dxa"/>
          </w:tcPr>
          <w:p w14:paraId="61931988" w14:textId="77777777" w:rsidR="004B4E35" w:rsidRPr="00405303" w:rsidRDefault="009E6F82" w:rsidP="00C15251">
            <w:pPr>
              <w:jc w:val="both"/>
              <w:rPr>
                <w:bCs/>
                <w:color w:val="002060"/>
                <w:sz w:val="16"/>
                <w:szCs w:val="16"/>
              </w:rPr>
            </w:pPr>
            <w:r w:rsidRPr="00405303">
              <w:rPr>
                <w:bCs/>
                <w:color w:val="002060"/>
                <w:sz w:val="16"/>
                <w:szCs w:val="16"/>
              </w:rPr>
              <w:t>Толуол</w:t>
            </w:r>
          </w:p>
        </w:tc>
      </w:tr>
      <w:tr w:rsidR="004B4E35" w:rsidRPr="00405303" w14:paraId="7B60809B" w14:textId="77777777">
        <w:tc>
          <w:tcPr>
            <w:tcW w:w="837" w:type="dxa"/>
          </w:tcPr>
          <w:p w14:paraId="44A172BF" w14:textId="77777777" w:rsidR="004B4E35" w:rsidRPr="00405303" w:rsidRDefault="009E6F82" w:rsidP="00C15251">
            <w:pPr>
              <w:jc w:val="both"/>
              <w:rPr>
                <w:bCs/>
                <w:color w:val="002060"/>
                <w:sz w:val="16"/>
                <w:szCs w:val="16"/>
              </w:rPr>
            </w:pPr>
            <w:r w:rsidRPr="00405303">
              <w:rPr>
                <w:bCs/>
                <w:color w:val="002060"/>
                <w:sz w:val="16"/>
                <w:szCs w:val="16"/>
              </w:rPr>
              <w:t>Январь</w:t>
            </w:r>
          </w:p>
        </w:tc>
        <w:tc>
          <w:tcPr>
            <w:tcW w:w="636" w:type="dxa"/>
          </w:tcPr>
          <w:p w14:paraId="00BBD272" w14:textId="77777777" w:rsidR="004B4E35" w:rsidRPr="00405303" w:rsidRDefault="009E6F82" w:rsidP="00C15251">
            <w:pPr>
              <w:jc w:val="both"/>
              <w:rPr>
                <w:bCs/>
                <w:color w:val="002060"/>
                <w:sz w:val="16"/>
                <w:szCs w:val="16"/>
              </w:rPr>
            </w:pPr>
            <w:r w:rsidRPr="00405303">
              <w:rPr>
                <w:bCs/>
                <w:color w:val="002060"/>
                <w:sz w:val="16"/>
                <w:szCs w:val="16"/>
              </w:rPr>
              <w:t>13,6</w:t>
            </w:r>
          </w:p>
        </w:tc>
        <w:tc>
          <w:tcPr>
            <w:tcW w:w="641" w:type="dxa"/>
          </w:tcPr>
          <w:p w14:paraId="408516B6" w14:textId="77777777" w:rsidR="004B4E35" w:rsidRPr="00405303" w:rsidRDefault="009E6F82" w:rsidP="00C15251">
            <w:pPr>
              <w:jc w:val="both"/>
              <w:rPr>
                <w:bCs/>
                <w:color w:val="002060"/>
                <w:sz w:val="16"/>
                <w:szCs w:val="16"/>
              </w:rPr>
            </w:pPr>
            <w:r w:rsidRPr="00405303">
              <w:rPr>
                <w:bCs/>
                <w:color w:val="002060"/>
                <w:sz w:val="16"/>
                <w:szCs w:val="16"/>
              </w:rPr>
              <w:t>10,9</w:t>
            </w:r>
          </w:p>
        </w:tc>
        <w:tc>
          <w:tcPr>
            <w:tcW w:w="636" w:type="dxa"/>
          </w:tcPr>
          <w:p w14:paraId="4CC51FE8" w14:textId="77777777" w:rsidR="004B4E35" w:rsidRPr="00405303" w:rsidRDefault="009E6F82" w:rsidP="00C15251">
            <w:pPr>
              <w:jc w:val="both"/>
              <w:rPr>
                <w:bCs/>
                <w:color w:val="002060"/>
                <w:sz w:val="16"/>
                <w:szCs w:val="16"/>
              </w:rPr>
            </w:pPr>
            <w:r w:rsidRPr="00405303">
              <w:rPr>
                <w:bCs/>
                <w:color w:val="002060"/>
                <w:sz w:val="16"/>
                <w:szCs w:val="16"/>
              </w:rPr>
              <w:t xml:space="preserve">20,0 </w:t>
            </w:r>
          </w:p>
        </w:tc>
        <w:tc>
          <w:tcPr>
            <w:tcW w:w="641" w:type="dxa"/>
          </w:tcPr>
          <w:p w14:paraId="4165D9C7" w14:textId="77777777" w:rsidR="004B4E35" w:rsidRPr="00405303" w:rsidRDefault="009E6F82" w:rsidP="00C15251">
            <w:pPr>
              <w:jc w:val="both"/>
              <w:rPr>
                <w:bCs/>
                <w:color w:val="002060"/>
                <w:sz w:val="16"/>
                <w:szCs w:val="16"/>
              </w:rPr>
            </w:pPr>
            <w:r w:rsidRPr="00405303">
              <w:rPr>
                <w:bCs/>
                <w:color w:val="002060"/>
                <w:sz w:val="16"/>
                <w:szCs w:val="16"/>
              </w:rPr>
              <w:t>16,8</w:t>
            </w:r>
          </w:p>
        </w:tc>
      </w:tr>
      <w:tr w:rsidR="004B4E35" w:rsidRPr="00405303" w14:paraId="5571AEA2" w14:textId="77777777">
        <w:tc>
          <w:tcPr>
            <w:tcW w:w="837" w:type="dxa"/>
          </w:tcPr>
          <w:p w14:paraId="4032A7EE" w14:textId="77777777" w:rsidR="004B4E35" w:rsidRPr="00405303" w:rsidRDefault="009E6F82" w:rsidP="00C15251">
            <w:pPr>
              <w:jc w:val="both"/>
              <w:rPr>
                <w:bCs/>
                <w:color w:val="002060"/>
                <w:sz w:val="16"/>
                <w:szCs w:val="16"/>
              </w:rPr>
            </w:pPr>
            <w:r w:rsidRPr="00405303">
              <w:rPr>
                <w:bCs/>
                <w:color w:val="002060"/>
                <w:sz w:val="16"/>
                <w:szCs w:val="16"/>
              </w:rPr>
              <w:t>Февраль</w:t>
            </w:r>
          </w:p>
        </w:tc>
        <w:tc>
          <w:tcPr>
            <w:tcW w:w="636" w:type="dxa"/>
          </w:tcPr>
          <w:p w14:paraId="72612568" w14:textId="77777777" w:rsidR="004B4E35" w:rsidRPr="00405303" w:rsidRDefault="009E6F82" w:rsidP="00C15251">
            <w:pPr>
              <w:jc w:val="both"/>
              <w:rPr>
                <w:bCs/>
                <w:color w:val="002060"/>
                <w:sz w:val="16"/>
                <w:szCs w:val="16"/>
              </w:rPr>
            </w:pPr>
            <w:r w:rsidRPr="00405303">
              <w:rPr>
                <w:bCs/>
                <w:color w:val="002060"/>
                <w:sz w:val="16"/>
                <w:szCs w:val="16"/>
              </w:rPr>
              <w:t>13,3</w:t>
            </w:r>
          </w:p>
        </w:tc>
        <w:tc>
          <w:tcPr>
            <w:tcW w:w="641" w:type="dxa"/>
          </w:tcPr>
          <w:p w14:paraId="13E4FFB8" w14:textId="77777777" w:rsidR="004B4E35" w:rsidRPr="00405303" w:rsidRDefault="009E6F82" w:rsidP="00C15251">
            <w:pPr>
              <w:jc w:val="both"/>
              <w:rPr>
                <w:bCs/>
                <w:color w:val="002060"/>
                <w:sz w:val="16"/>
                <w:szCs w:val="16"/>
              </w:rPr>
            </w:pPr>
            <w:r w:rsidRPr="00405303">
              <w:rPr>
                <w:bCs/>
                <w:color w:val="002060"/>
                <w:sz w:val="16"/>
                <w:szCs w:val="16"/>
              </w:rPr>
              <w:t>10,5</w:t>
            </w:r>
          </w:p>
        </w:tc>
        <w:tc>
          <w:tcPr>
            <w:tcW w:w="636" w:type="dxa"/>
          </w:tcPr>
          <w:p w14:paraId="5332EFEA" w14:textId="77777777" w:rsidR="004B4E35" w:rsidRPr="00405303" w:rsidRDefault="009E6F82" w:rsidP="00C15251">
            <w:pPr>
              <w:jc w:val="both"/>
              <w:rPr>
                <w:bCs/>
                <w:color w:val="002060"/>
                <w:sz w:val="16"/>
                <w:szCs w:val="16"/>
              </w:rPr>
            </w:pPr>
            <w:r w:rsidRPr="00405303">
              <w:rPr>
                <w:bCs/>
                <w:color w:val="002060"/>
                <w:sz w:val="16"/>
                <w:szCs w:val="16"/>
              </w:rPr>
              <w:t xml:space="preserve">23,5 </w:t>
            </w:r>
          </w:p>
        </w:tc>
        <w:tc>
          <w:tcPr>
            <w:tcW w:w="641" w:type="dxa"/>
          </w:tcPr>
          <w:p w14:paraId="642AB514" w14:textId="77777777" w:rsidR="004B4E35" w:rsidRPr="00405303" w:rsidRDefault="009E6F82" w:rsidP="00C15251">
            <w:pPr>
              <w:jc w:val="both"/>
              <w:rPr>
                <w:bCs/>
                <w:color w:val="002060"/>
                <w:sz w:val="16"/>
                <w:szCs w:val="16"/>
              </w:rPr>
            </w:pPr>
            <w:r w:rsidRPr="00405303">
              <w:rPr>
                <w:bCs/>
                <w:color w:val="002060"/>
                <w:sz w:val="16"/>
                <w:szCs w:val="16"/>
              </w:rPr>
              <w:t>19,1</w:t>
            </w:r>
          </w:p>
        </w:tc>
      </w:tr>
      <w:tr w:rsidR="004B4E35" w:rsidRPr="00405303" w14:paraId="215DAF35" w14:textId="77777777">
        <w:tc>
          <w:tcPr>
            <w:tcW w:w="837" w:type="dxa"/>
          </w:tcPr>
          <w:p w14:paraId="05456C0D" w14:textId="77777777" w:rsidR="004B4E35" w:rsidRPr="00405303" w:rsidRDefault="009E6F82" w:rsidP="00C15251">
            <w:pPr>
              <w:jc w:val="both"/>
              <w:rPr>
                <w:bCs/>
                <w:color w:val="002060"/>
                <w:sz w:val="16"/>
                <w:szCs w:val="16"/>
              </w:rPr>
            </w:pPr>
            <w:r w:rsidRPr="00405303">
              <w:rPr>
                <w:bCs/>
                <w:color w:val="002060"/>
                <w:sz w:val="16"/>
                <w:szCs w:val="16"/>
              </w:rPr>
              <w:t>Март</w:t>
            </w:r>
          </w:p>
        </w:tc>
        <w:tc>
          <w:tcPr>
            <w:tcW w:w="636" w:type="dxa"/>
          </w:tcPr>
          <w:p w14:paraId="534ED11D" w14:textId="77777777" w:rsidR="004B4E35" w:rsidRPr="00405303" w:rsidRDefault="009E6F82" w:rsidP="00C15251">
            <w:pPr>
              <w:jc w:val="both"/>
              <w:rPr>
                <w:bCs/>
                <w:color w:val="002060"/>
                <w:sz w:val="16"/>
                <w:szCs w:val="16"/>
              </w:rPr>
            </w:pPr>
            <w:r w:rsidRPr="00405303">
              <w:rPr>
                <w:bCs/>
                <w:color w:val="002060"/>
                <w:sz w:val="16"/>
                <w:szCs w:val="16"/>
              </w:rPr>
              <w:t>14,2</w:t>
            </w:r>
          </w:p>
        </w:tc>
        <w:tc>
          <w:tcPr>
            <w:tcW w:w="641" w:type="dxa"/>
          </w:tcPr>
          <w:p w14:paraId="11B92DB0" w14:textId="77777777" w:rsidR="004B4E35" w:rsidRPr="00405303" w:rsidRDefault="009E6F82" w:rsidP="00C15251">
            <w:pPr>
              <w:jc w:val="both"/>
              <w:rPr>
                <w:bCs/>
                <w:color w:val="002060"/>
                <w:sz w:val="16"/>
                <w:szCs w:val="16"/>
              </w:rPr>
            </w:pPr>
            <w:r w:rsidRPr="00405303">
              <w:rPr>
                <w:bCs/>
                <w:color w:val="002060"/>
                <w:sz w:val="16"/>
                <w:szCs w:val="16"/>
              </w:rPr>
              <w:t>11,4</w:t>
            </w:r>
          </w:p>
        </w:tc>
        <w:tc>
          <w:tcPr>
            <w:tcW w:w="636" w:type="dxa"/>
          </w:tcPr>
          <w:p w14:paraId="081A7ED9" w14:textId="77777777" w:rsidR="004B4E35" w:rsidRPr="00405303" w:rsidRDefault="009E6F82" w:rsidP="00C15251">
            <w:pPr>
              <w:jc w:val="both"/>
              <w:rPr>
                <w:bCs/>
                <w:color w:val="002060"/>
                <w:sz w:val="16"/>
                <w:szCs w:val="16"/>
              </w:rPr>
            </w:pPr>
            <w:r w:rsidRPr="00405303">
              <w:rPr>
                <w:bCs/>
                <w:color w:val="002060"/>
                <w:sz w:val="16"/>
                <w:szCs w:val="16"/>
              </w:rPr>
              <w:t xml:space="preserve">26,3 </w:t>
            </w:r>
          </w:p>
        </w:tc>
        <w:tc>
          <w:tcPr>
            <w:tcW w:w="641" w:type="dxa"/>
          </w:tcPr>
          <w:p w14:paraId="7B81105D" w14:textId="77777777" w:rsidR="004B4E35" w:rsidRPr="00405303" w:rsidRDefault="009E6F82" w:rsidP="00C15251">
            <w:pPr>
              <w:jc w:val="both"/>
              <w:rPr>
                <w:bCs/>
                <w:color w:val="002060"/>
                <w:sz w:val="16"/>
                <w:szCs w:val="16"/>
              </w:rPr>
            </w:pPr>
            <w:r w:rsidRPr="00405303">
              <w:rPr>
                <w:bCs/>
                <w:color w:val="002060"/>
                <w:sz w:val="16"/>
                <w:szCs w:val="16"/>
              </w:rPr>
              <w:t>21,6</w:t>
            </w:r>
          </w:p>
        </w:tc>
      </w:tr>
      <w:tr w:rsidR="004B4E35" w:rsidRPr="00405303" w14:paraId="78EDE227" w14:textId="77777777">
        <w:tc>
          <w:tcPr>
            <w:tcW w:w="837" w:type="dxa"/>
          </w:tcPr>
          <w:p w14:paraId="22173BA1" w14:textId="77777777" w:rsidR="004B4E35" w:rsidRPr="00405303" w:rsidRDefault="009E6F82" w:rsidP="00C15251">
            <w:pPr>
              <w:jc w:val="both"/>
              <w:rPr>
                <w:bCs/>
                <w:color w:val="002060"/>
                <w:sz w:val="16"/>
                <w:szCs w:val="16"/>
              </w:rPr>
            </w:pPr>
            <w:r w:rsidRPr="00405303">
              <w:rPr>
                <w:bCs/>
                <w:color w:val="002060"/>
                <w:sz w:val="16"/>
                <w:szCs w:val="16"/>
              </w:rPr>
              <w:t>Апрель</w:t>
            </w:r>
          </w:p>
        </w:tc>
        <w:tc>
          <w:tcPr>
            <w:tcW w:w="636" w:type="dxa"/>
          </w:tcPr>
          <w:p w14:paraId="70574BE1" w14:textId="77777777" w:rsidR="004B4E35" w:rsidRPr="00405303" w:rsidRDefault="009E6F82" w:rsidP="00C15251">
            <w:pPr>
              <w:jc w:val="both"/>
              <w:rPr>
                <w:bCs/>
                <w:color w:val="002060"/>
                <w:sz w:val="16"/>
                <w:szCs w:val="16"/>
              </w:rPr>
            </w:pPr>
            <w:r w:rsidRPr="00405303">
              <w:rPr>
                <w:bCs/>
                <w:color w:val="002060"/>
                <w:sz w:val="16"/>
                <w:szCs w:val="16"/>
              </w:rPr>
              <w:t>13.5</w:t>
            </w:r>
          </w:p>
        </w:tc>
        <w:tc>
          <w:tcPr>
            <w:tcW w:w="641" w:type="dxa"/>
          </w:tcPr>
          <w:p w14:paraId="6006E003" w14:textId="77777777" w:rsidR="004B4E35" w:rsidRPr="00405303" w:rsidRDefault="009E6F82" w:rsidP="00C15251">
            <w:pPr>
              <w:jc w:val="both"/>
              <w:rPr>
                <w:bCs/>
                <w:color w:val="002060"/>
                <w:sz w:val="16"/>
                <w:szCs w:val="16"/>
              </w:rPr>
            </w:pPr>
            <w:r w:rsidRPr="00405303">
              <w:rPr>
                <w:bCs/>
                <w:color w:val="002060"/>
                <w:sz w:val="16"/>
                <w:szCs w:val="16"/>
              </w:rPr>
              <w:t>9,5</w:t>
            </w:r>
          </w:p>
        </w:tc>
        <w:tc>
          <w:tcPr>
            <w:tcW w:w="636" w:type="dxa"/>
          </w:tcPr>
          <w:p w14:paraId="02CCB4E0" w14:textId="77777777" w:rsidR="004B4E35" w:rsidRPr="00405303" w:rsidRDefault="009E6F82" w:rsidP="00C15251">
            <w:pPr>
              <w:jc w:val="both"/>
              <w:rPr>
                <w:bCs/>
                <w:color w:val="002060"/>
                <w:sz w:val="16"/>
                <w:szCs w:val="16"/>
              </w:rPr>
            </w:pPr>
            <w:r w:rsidRPr="00405303">
              <w:rPr>
                <w:bCs/>
                <w:color w:val="002060"/>
                <w:sz w:val="16"/>
                <w:szCs w:val="16"/>
              </w:rPr>
              <w:t>31,5</w:t>
            </w:r>
          </w:p>
        </w:tc>
        <w:tc>
          <w:tcPr>
            <w:tcW w:w="641" w:type="dxa"/>
          </w:tcPr>
          <w:p w14:paraId="0243AA6E" w14:textId="77777777" w:rsidR="004B4E35" w:rsidRPr="00405303" w:rsidRDefault="009E6F82" w:rsidP="00C15251">
            <w:pPr>
              <w:jc w:val="both"/>
              <w:rPr>
                <w:bCs/>
                <w:color w:val="002060"/>
                <w:sz w:val="16"/>
                <w:szCs w:val="16"/>
              </w:rPr>
            </w:pPr>
            <w:r w:rsidRPr="00405303">
              <w:rPr>
                <w:bCs/>
                <w:color w:val="002060"/>
                <w:sz w:val="16"/>
                <w:szCs w:val="16"/>
              </w:rPr>
              <w:t>26,3</w:t>
            </w:r>
          </w:p>
        </w:tc>
      </w:tr>
      <w:tr w:rsidR="004B4E35" w:rsidRPr="00405303" w14:paraId="5D62E3A0" w14:textId="77777777">
        <w:tc>
          <w:tcPr>
            <w:tcW w:w="837" w:type="dxa"/>
          </w:tcPr>
          <w:p w14:paraId="5909D8BD" w14:textId="77777777" w:rsidR="004B4E35" w:rsidRPr="00405303" w:rsidRDefault="009E6F82" w:rsidP="00C15251">
            <w:pPr>
              <w:jc w:val="both"/>
              <w:rPr>
                <w:bCs/>
                <w:color w:val="002060"/>
                <w:sz w:val="16"/>
                <w:szCs w:val="16"/>
              </w:rPr>
            </w:pPr>
            <w:r w:rsidRPr="00405303">
              <w:rPr>
                <w:bCs/>
                <w:color w:val="002060"/>
                <w:sz w:val="16"/>
                <w:szCs w:val="16"/>
              </w:rPr>
              <w:t>Май</w:t>
            </w:r>
          </w:p>
        </w:tc>
        <w:tc>
          <w:tcPr>
            <w:tcW w:w="636" w:type="dxa"/>
          </w:tcPr>
          <w:p w14:paraId="69CCB67B" w14:textId="77777777" w:rsidR="004B4E35" w:rsidRPr="00405303" w:rsidRDefault="009E6F82" w:rsidP="00C15251">
            <w:pPr>
              <w:jc w:val="both"/>
              <w:rPr>
                <w:bCs/>
                <w:color w:val="002060"/>
                <w:sz w:val="16"/>
                <w:szCs w:val="16"/>
              </w:rPr>
            </w:pPr>
            <w:r w:rsidRPr="00405303">
              <w:rPr>
                <w:bCs/>
                <w:color w:val="002060"/>
                <w:sz w:val="16"/>
                <w:szCs w:val="16"/>
              </w:rPr>
              <w:t>14,5</w:t>
            </w:r>
          </w:p>
        </w:tc>
        <w:tc>
          <w:tcPr>
            <w:tcW w:w="641" w:type="dxa"/>
          </w:tcPr>
          <w:p w14:paraId="6D817522" w14:textId="77777777" w:rsidR="004B4E35" w:rsidRPr="00405303" w:rsidRDefault="009E6F82" w:rsidP="00C15251">
            <w:pPr>
              <w:jc w:val="both"/>
              <w:rPr>
                <w:bCs/>
                <w:color w:val="002060"/>
                <w:sz w:val="16"/>
                <w:szCs w:val="16"/>
              </w:rPr>
            </w:pPr>
            <w:r w:rsidRPr="00405303">
              <w:rPr>
                <w:bCs/>
                <w:color w:val="002060"/>
                <w:sz w:val="16"/>
                <w:szCs w:val="16"/>
              </w:rPr>
              <w:t>9,5</w:t>
            </w:r>
          </w:p>
        </w:tc>
        <w:tc>
          <w:tcPr>
            <w:tcW w:w="636" w:type="dxa"/>
          </w:tcPr>
          <w:p w14:paraId="1A777B23" w14:textId="77777777" w:rsidR="004B4E35" w:rsidRPr="00405303" w:rsidRDefault="009E6F82" w:rsidP="00C15251">
            <w:pPr>
              <w:jc w:val="both"/>
              <w:rPr>
                <w:bCs/>
                <w:color w:val="002060"/>
                <w:sz w:val="16"/>
                <w:szCs w:val="16"/>
              </w:rPr>
            </w:pPr>
            <w:r w:rsidRPr="00405303">
              <w:rPr>
                <w:bCs/>
                <w:color w:val="002060"/>
                <w:sz w:val="16"/>
                <w:szCs w:val="16"/>
              </w:rPr>
              <w:t xml:space="preserve">33,7 </w:t>
            </w:r>
          </w:p>
        </w:tc>
        <w:tc>
          <w:tcPr>
            <w:tcW w:w="641" w:type="dxa"/>
          </w:tcPr>
          <w:p w14:paraId="74BBA2D6" w14:textId="77777777" w:rsidR="004B4E35" w:rsidRPr="00405303" w:rsidRDefault="009E6F82" w:rsidP="00C15251">
            <w:pPr>
              <w:jc w:val="both"/>
              <w:rPr>
                <w:bCs/>
                <w:color w:val="002060"/>
                <w:sz w:val="16"/>
                <w:szCs w:val="16"/>
              </w:rPr>
            </w:pPr>
            <w:r w:rsidRPr="00405303">
              <w:rPr>
                <w:bCs/>
                <w:color w:val="002060"/>
                <w:sz w:val="16"/>
                <w:szCs w:val="16"/>
              </w:rPr>
              <w:t>28,0</w:t>
            </w:r>
          </w:p>
        </w:tc>
      </w:tr>
      <w:tr w:rsidR="004B4E35" w:rsidRPr="00405303" w14:paraId="38EB61CF" w14:textId="77777777">
        <w:tc>
          <w:tcPr>
            <w:tcW w:w="837" w:type="dxa"/>
          </w:tcPr>
          <w:p w14:paraId="35C362F1" w14:textId="77777777" w:rsidR="004B4E35" w:rsidRPr="00405303" w:rsidRDefault="009E6F82" w:rsidP="00C15251">
            <w:pPr>
              <w:jc w:val="both"/>
              <w:rPr>
                <w:bCs/>
                <w:color w:val="002060"/>
                <w:sz w:val="16"/>
                <w:szCs w:val="16"/>
              </w:rPr>
            </w:pPr>
            <w:r w:rsidRPr="00405303">
              <w:rPr>
                <w:bCs/>
                <w:color w:val="002060"/>
                <w:sz w:val="16"/>
                <w:szCs w:val="16"/>
              </w:rPr>
              <w:t>Июнь</w:t>
            </w:r>
          </w:p>
        </w:tc>
        <w:tc>
          <w:tcPr>
            <w:tcW w:w="636" w:type="dxa"/>
          </w:tcPr>
          <w:p w14:paraId="23B78E05" w14:textId="77777777" w:rsidR="004B4E35" w:rsidRPr="00405303" w:rsidRDefault="009E6F82" w:rsidP="00C15251">
            <w:pPr>
              <w:jc w:val="both"/>
              <w:rPr>
                <w:bCs/>
                <w:color w:val="002060"/>
                <w:sz w:val="16"/>
                <w:szCs w:val="16"/>
              </w:rPr>
            </w:pPr>
            <w:r w:rsidRPr="00405303">
              <w:rPr>
                <w:bCs/>
                <w:color w:val="002060"/>
                <w:sz w:val="16"/>
                <w:szCs w:val="16"/>
              </w:rPr>
              <w:t>116,5</w:t>
            </w:r>
          </w:p>
        </w:tc>
        <w:tc>
          <w:tcPr>
            <w:tcW w:w="641" w:type="dxa"/>
          </w:tcPr>
          <w:p w14:paraId="53D020D2" w14:textId="77777777" w:rsidR="004B4E35" w:rsidRPr="00405303" w:rsidRDefault="009E6F82" w:rsidP="00C15251">
            <w:pPr>
              <w:jc w:val="both"/>
              <w:rPr>
                <w:bCs/>
                <w:color w:val="002060"/>
                <w:sz w:val="16"/>
                <w:szCs w:val="16"/>
              </w:rPr>
            </w:pPr>
            <w:r w:rsidRPr="00405303">
              <w:rPr>
                <w:bCs/>
                <w:color w:val="002060"/>
                <w:sz w:val="16"/>
                <w:szCs w:val="16"/>
              </w:rPr>
              <w:t>12,8</w:t>
            </w:r>
          </w:p>
        </w:tc>
        <w:tc>
          <w:tcPr>
            <w:tcW w:w="636" w:type="dxa"/>
          </w:tcPr>
          <w:p w14:paraId="7287EB4F" w14:textId="77777777" w:rsidR="004B4E35" w:rsidRPr="00405303" w:rsidRDefault="009E6F82" w:rsidP="00C15251">
            <w:pPr>
              <w:jc w:val="both"/>
              <w:rPr>
                <w:bCs/>
                <w:color w:val="002060"/>
                <w:sz w:val="16"/>
                <w:szCs w:val="16"/>
              </w:rPr>
            </w:pPr>
            <w:r w:rsidRPr="00405303">
              <w:rPr>
                <w:bCs/>
                <w:color w:val="002060"/>
                <w:sz w:val="16"/>
                <w:szCs w:val="16"/>
              </w:rPr>
              <w:t xml:space="preserve">33,7 </w:t>
            </w:r>
          </w:p>
        </w:tc>
        <w:tc>
          <w:tcPr>
            <w:tcW w:w="641" w:type="dxa"/>
          </w:tcPr>
          <w:p w14:paraId="635B196D" w14:textId="77777777" w:rsidR="004B4E35" w:rsidRPr="00405303" w:rsidRDefault="009E6F82" w:rsidP="00C15251">
            <w:pPr>
              <w:jc w:val="both"/>
              <w:rPr>
                <w:bCs/>
                <w:color w:val="002060"/>
                <w:sz w:val="16"/>
                <w:szCs w:val="16"/>
              </w:rPr>
            </w:pPr>
            <w:r w:rsidRPr="00405303">
              <w:rPr>
                <w:bCs/>
                <w:color w:val="002060"/>
                <w:sz w:val="16"/>
                <w:szCs w:val="16"/>
              </w:rPr>
              <w:t>28,0</w:t>
            </w:r>
          </w:p>
        </w:tc>
      </w:tr>
      <w:tr w:rsidR="004B4E35" w:rsidRPr="00405303" w14:paraId="2860D39A" w14:textId="77777777">
        <w:tc>
          <w:tcPr>
            <w:tcW w:w="837" w:type="dxa"/>
          </w:tcPr>
          <w:p w14:paraId="39141BAA" w14:textId="77777777" w:rsidR="004B4E35" w:rsidRPr="00405303" w:rsidRDefault="009E6F82" w:rsidP="00C15251">
            <w:pPr>
              <w:jc w:val="both"/>
              <w:rPr>
                <w:bCs/>
                <w:color w:val="002060"/>
                <w:sz w:val="16"/>
                <w:szCs w:val="16"/>
              </w:rPr>
            </w:pPr>
            <w:r w:rsidRPr="00405303">
              <w:rPr>
                <w:bCs/>
                <w:color w:val="002060"/>
                <w:sz w:val="16"/>
                <w:szCs w:val="16"/>
              </w:rPr>
              <w:t>Июль</w:t>
            </w:r>
          </w:p>
        </w:tc>
        <w:tc>
          <w:tcPr>
            <w:tcW w:w="636" w:type="dxa"/>
          </w:tcPr>
          <w:p w14:paraId="53761DF3" w14:textId="77777777" w:rsidR="004B4E35" w:rsidRPr="00405303" w:rsidRDefault="009E6F82" w:rsidP="00C15251">
            <w:pPr>
              <w:jc w:val="both"/>
              <w:rPr>
                <w:bCs/>
                <w:color w:val="002060"/>
                <w:sz w:val="16"/>
                <w:szCs w:val="16"/>
              </w:rPr>
            </w:pPr>
            <w:r w:rsidRPr="00405303">
              <w:rPr>
                <w:bCs/>
                <w:color w:val="002060"/>
                <w:sz w:val="16"/>
                <w:szCs w:val="16"/>
              </w:rPr>
              <w:t>126,7</w:t>
            </w:r>
          </w:p>
        </w:tc>
        <w:tc>
          <w:tcPr>
            <w:tcW w:w="641" w:type="dxa"/>
          </w:tcPr>
          <w:p w14:paraId="7567E145" w14:textId="77777777" w:rsidR="004B4E35" w:rsidRPr="00405303" w:rsidRDefault="009E6F82" w:rsidP="00C15251">
            <w:pPr>
              <w:jc w:val="both"/>
              <w:rPr>
                <w:bCs/>
                <w:color w:val="002060"/>
                <w:sz w:val="16"/>
                <w:szCs w:val="16"/>
              </w:rPr>
            </w:pPr>
            <w:r w:rsidRPr="00405303">
              <w:rPr>
                <w:bCs/>
                <w:color w:val="002060"/>
                <w:sz w:val="16"/>
                <w:szCs w:val="16"/>
              </w:rPr>
              <w:t>12,5</w:t>
            </w:r>
          </w:p>
        </w:tc>
        <w:tc>
          <w:tcPr>
            <w:tcW w:w="636" w:type="dxa"/>
          </w:tcPr>
          <w:p w14:paraId="2D3A06C8"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26230418"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7166D521" w14:textId="77777777">
        <w:tc>
          <w:tcPr>
            <w:tcW w:w="837" w:type="dxa"/>
          </w:tcPr>
          <w:p w14:paraId="25A28E58" w14:textId="77777777" w:rsidR="004B4E35" w:rsidRPr="00405303" w:rsidRDefault="009E6F82" w:rsidP="00C15251">
            <w:pPr>
              <w:jc w:val="both"/>
              <w:rPr>
                <w:bCs/>
                <w:color w:val="002060"/>
                <w:sz w:val="16"/>
                <w:szCs w:val="16"/>
              </w:rPr>
            </w:pPr>
            <w:r w:rsidRPr="00405303">
              <w:rPr>
                <w:bCs/>
                <w:color w:val="002060"/>
                <w:sz w:val="16"/>
                <w:szCs w:val="16"/>
              </w:rPr>
              <w:t>Август</w:t>
            </w:r>
          </w:p>
        </w:tc>
        <w:tc>
          <w:tcPr>
            <w:tcW w:w="636" w:type="dxa"/>
          </w:tcPr>
          <w:p w14:paraId="683B7FD0" w14:textId="77777777" w:rsidR="004B4E35" w:rsidRPr="00405303" w:rsidRDefault="009E6F82" w:rsidP="00C15251">
            <w:pPr>
              <w:jc w:val="both"/>
              <w:rPr>
                <w:bCs/>
                <w:color w:val="002060"/>
                <w:sz w:val="16"/>
                <w:szCs w:val="16"/>
              </w:rPr>
            </w:pPr>
            <w:r w:rsidRPr="00405303">
              <w:rPr>
                <w:bCs/>
                <w:color w:val="002060"/>
                <w:sz w:val="16"/>
                <w:szCs w:val="16"/>
              </w:rPr>
              <w:t>15,1</w:t>
            </w:r>
          </w:p>
        </w:tc>
        <w:tc>
          <w:tcPr>
            <w:tcW w:w="641" w:type="dxa"/>
          </w:tcPr>
          <w:p w14:paraId="4DA33118" w14:textId="77777777" w:rsidR="004B4E35" w:rsidRPr="00405303" w:rsidRDefault="009E6F82" w:rsidP="00C15251">
            <w:pPr>
              <w:jc w:val="both"/>
              <w:rPr>
                <w:bCs/>
                <w:color w:val="002060"/>
                <w:sz w:val="16"/>
                <w:szCs w:val="16"/>
              </w:rPr>
            </w:pPr>
            <w:r w:rsidRPr="00405303">
              <w:rPr>
                <w:bCs/>
                <w:color w:val="002060"/>
                <w:sz w:val="16"/>
                <w:szCs w:val="16"/>
              </w:rPr>
              <w:t>12,4</w:t>
            </w:r>
          </w:p>
        </w:tc>
        <w:tc>
          <w:tcPr>
            <w:tcW w:w="636" w:type="dxa"/>
          </w:tcPr>
          <w:p w14:paraId="089F3A17"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5F844C0F"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12398945" w14:textId="77777777">
        <w:tc>
          <w:tcPr>
            <w:tcW w:w="837" w:type="dxa"/>
          </w:tcPr>
          <w:p w14:paraId="110B5298" w14:textId="77777777" w:rsidR="004B4E35" w:rsidRPr="00405303" w:rsidRDefault="009E6F82" w:rsidP="00C15251">
            <w:pPr>
              <w:jc w:val="both"/>
              <w:rPr>
                <w:bCs/>
                <w:color w:val="002060"/>
                <w:sz w:val="16"/>
                <w:szCs w:val="16"/>
              </w:rPr>
            </w:pPr>
            <w:r w:rsidRPr="00405303">
              <w:rPr>
                <w:bCs/>
                <w:color w:val="002060"/>
                <w:sz w:val="16"/>
                <w:szCs w:val="16"/>
              </w:rPr>
              <w:t>Сентябрь</w:t>
            </w:r>
          </w:p>
        </w:tc>
        <w:tc>
          <w:tcPr>
            <w:tcW w:w="636" w:type="dxa"/>
          </w:tcPr>
          <w:p w14:paraId="7A6C5194" w14:textId="77777777" w:rsidR="004B4E35" w:rsidRPr="00405303" w:rsidRDefault="009E6F82" w:rsidP="00C15251">
            <w:pPr>
              <w:jc w:val="both"/>
              <w:rPr>
                <w:bCs/>
                <w:color w:val="002060"/>
                <w:sz w:val="16"/>
                <w:szCs w:val="16"/>
              </w:rPr>
            </w:pPr>
            <w:r w:rsidRPr="00405303">
              <w:rPr>
                <w:bCs/>
                <w:color w:val="002060"/>
                <w:sz w:val="16"/>
                <w:szCs w:val="16"/>
              </w:rPr>
              <w:t>18,3</w:t>
            </w:r>
          </w:p>
        </w:tc>
        <w:tc>
          <w:tcPr>
            <w:tcW w:w="641" w:type="dxa"/>
          </w:tcPr>
          <w:p w14:paraId="28829C18" w14:textId="77777777" w:rsidR="004B4E35" w:rsidRPr="00405303" w:rsidRDefault="009E6F82" w:rsidP="00C15251">
            <w:pPr>
              <w:jc w:val="both"/>
              <w:rPr>
                <w:bCs/>
                <w:color w:val="002060"/>
                <w:sz w:val="16"/>
                <w:szCs w:val="16"/>
              </w:rPr>
            </w:pPr>
            <w:r w:rsidRPr="00405303">
              <w:rPr>
                <w:bCs/>
                <w:color w:val="002060"/>
                <w:sz w:val="16"/>
                <w:szCs w:val="16"/>
              </w:rPr>
              <w:t>14,3</w:t>
            </w:r>
          </w:p>
        </w:tc>
        <w:tc>
          <w:tcPr>
            <w:tcW w:w="636" w:type="dxa"/>
          </w:tcPr>
          <w:p w14:paraId="35AB0BFA"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7DF745B1"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2F904967" w14:textId="77777777">
        <w:tc>
          <w:tcPr>
            <w:tcW w:w="837" w:type="dxa"/>
          </w:tcPr>
          <w:p w14:paraId="4453DA2F" w14:textId="77777777" w:rsidR="004B4E35" w:rsidRPr="00405303" w:rsidRDefault="009E6F82" w:rsidP="00C15251">
            <w:pPr>
              <w:jc w:val="both"/>
              <w:rPr>
                <w:bCs/>
                <w:color w:val="002060"/>
                <w:sz w:val="16"/>
                <w:szCs w:val="16"/>
              </w:rPr>
            </w:pPr>
            <w:r w:rsidRPr="00405303">
              <w:rPr>
                <w:bCs/>
                <w:color w:val="002060"/>
                <w:sz w:val="16"/>
                <w:szCs w:val="16"/>
              </w:rPr>
              <w:t>Октябрь</w:t>
            </w:r>
          </w:p>
        </w:tc>
        <w:tc>
          <w:tcPr>
            <w:tcW w:w="636" w:type="dxa"/>
          </w:tcPr>
          <w:p w14:paraId="5FE606CD" w14:textId="77777777" w:rsidR="004B4E35" w:rsidRPr="00405303" w:rsidRDefault="009E6F82" w:rsidP="00C15251">
            <w:pPr>
              <w:jc w:val="both"/>
              <w:rPr>
                <w:bCs/>
                <w:color w:val="002060"/>
                <w:sz w:val="16"/>
                <w:szCs w:val="16"/>
              </w:rPr>
            </w:pPr>
            <w:r w:rsidRPr="00405303">
              <w:rPr>
                <w:bCs/>
                <w:color w:val="002060"/>
                <w:sz w:val="16"/>
                <w:szCs w:val="16"/>
              </w:rPr>
              <w:t>22,3</w:t>
            </w:r>
          </w:p>
        </w:tc>
        <w:tc>
          <w:tcPr>
            <w:tcW w:w="641" w:type="dxa"/>
          </w:tcPr>
          <w:p w14:paraId="169FDC7D" w14:textId="77777777" w:rsidR="004B4E35" w:rsidRPr="00405303" w:rsidRDefault="009E6F82" w:rsidP="00C15251">
            <w:pPr>
              <w:jc w:val="both"/>
              <w:rPr>
                <w:bCs/>
                <w:color w:val="002060"/>
                <w:sz w:val="16"/>
                <w:szCs w:val="16"/>
              </w:rPr>
            </w:pPr>
            <w:r w:rsidRPr="00405303">
              <w:rPr>
                <w:bCs/>
                <w:color w:val="002060"/>
                <w:sz w:val="16"/>
                <w:szCs w:val="16"/>
              </w:rPr>
              <w:t>16,7</w:t>
            </w:r>
          </w:p>
        </w:tc>
        <w:tc>
          <w:tcPr>
            <w:tcW w:w="636" w:type="dxa"/>
          </w:tcPr>
          <w:p w14:paraId="0DDA5E1C"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0D592294"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7CD97861" w14:textId="77777777">
        <w:tc>
          <w:tcPr>
            <w:tcW w:w="837" w:type="dxa"/>
          </w:tcPr>
          <w:p w14:paraId="4D5CD2C1"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636" w:type="dxa"/>
          </w:tcPr>
          <w:p w14:paraId="7D0E03E3" w14:textId="77777777" w:rsidR="004B4E35" w:rsidRPr="00405303" w:rsidRDefault="009E6F82" w:rsidP="00C15251">
            <w:pPr>
              <w:jc w:val="both"/>
              <w:rPr>
                <w:bCs/>
                <w:color w:val="002060"/>
                <w:sz w:val="16"/>
                <w:szCs w:val="16"/>
              </w:rPr>
            </w:pPr>
            <w:r w:rsidRPr="00405303">
              <w:rPr>
                <w:bCs/>
                <w:color w:val="002060"/>
                <w:sz w:val="16"/>
                <w:szCs w:val="16"/>
              </w:rPr>
              <w:t>19,7</w:t>
            </w:r>
          </w:p>
        </w:tc>
        <w:tc>
          <w:tcPr>
            <w:tcW w:w="641" w:type="dxa"/>
          </w:tcPr>
          <w:p w14:paraId="1DB80A23" w14:textId="77777777" w:rsidR="004B4E35" w:rsidRPr="00405303" w:rsidRDefault="009E6F82" w:rsidP="00C15251">
            <w:pPr>
              <w:jc w:val="both"/>
              <w:rPr>
                <w:bCs/>
                <w:color w:val="002060"/>
                <w:sz w:val="16"/>
                <w:szCs w:val="16"/>
              </w:rPr>
            </w:pPr>
            <w:r w:rsidRPr="00405303">
              <w:rPr>
                <w:bCs/>
                <w:color w:val="002060"/>
                <w:sz w:val="16"/>
                <w:szCs w:val="16"/>
              </w:rPr>
              <w:t>15,4</w:t>
            </w:r>
          </w:p>
        </w:tc>
        <w:tc>
          <w:tcPr>
            <w:tcW w:w="636" w:type="dxa"/>
          </w:tcPr>
          <w:p w14:paraId="38699F22"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470A9A97"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63C00C76" w14:textId="77777777">
        <w:tc>
          <w:tcPr>
            <w:tcW w:w="837" w:type="dxa"/>
          </w:tcPr>
          <w:p w14:paraId="3DEC2629"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636" w:type="dxa"/>
          </w:tcPr>
          <w:p w14:paraId="2780D5BA" w14:textId="77777777" w:rsidR="004B4E35" w:rsidRPr="00405303" w:rsidRDefault="009E6F82" w:rsidP="00C15251">
            <w:pPr>
              <w:jc w:val="both"/>
              <w:rPr>
                <w:bCs/>
                <w:color w:val="002060"/>
                <w:sz w:val="16"/>
                <w:szCs w:val="16"/>
              </w:rPr>
            </w:pPr>
            <w:r w:rsidRPr="00405303">
              <w:rPr>
                <w:bCs/>
                <w:color w:val="002060"/>
                <w:sz w:val="16"/>
                <w:szCs w:val="16"/>
              </w:rPr>
              <w:t>26,7</w:t>
            </w:r>
          </w:p>
        </w:tc>
        <w:tc>
          <w:tcPr>
            <w:tcW w:w="641" w:type="dxa"/>
          </w:tcPr>
          <w:p w14:paraId="14940A74" w14:textId="77777777" w:rsidR="004B4E35" w:rsidRPr="00405303" w:rsidRDefault="009E6F82" w:rsidP="00C15251">
            <w:pPr>
              <w:jc w:val="both"/>
              <w:rPr>
                <w:bCs/>
                <w:color w:val="002060"/>
                <w:sz w:val="16"/>
                <w:szCs w:val="16"/>
              </w:rPr>
            </w:pPr>
            <w:r w:rsidRPr="00405303">
              <w:rPr>
                <w:bCs/>
                <w:color w:val="002060"/>
                <w:sz w:val="16"/>
                <w:szCs w:val="16"/>
              </w:rPr>
              <w:t>18,7</w:t>
            </w:r>
          </w:p>
        </w:tc>
        <w:tc>
          <w:tcPr>
            <w:tcW w:w="636" w:type="dxa"/>
          </w:tcPr>
          <w:p w14:paraId="0E61BB5E"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565DB39A"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267F7E52" w14:textId="77777777">
        <w:tc>
          <w:tcPr>
            <w:tcW w:w="837" w:type="dxa"/>
          </w:tcPr>
          <w:p w14:paraId="59AAEBD3" w14:textId="77777777" w:rsidR="004B4E35" w:rsidRPr="00405303" w:rsidRDefault="009E6F82" w:rsidP="00C15251">
            <w:pPr>
              <w:jc w:val="both"/>
              <w:rPr>
                <w:bCs/>
                <w:color w:val="002060"/>
                <w:sz w:val="16"/>
                <w:szCs w:val="16"/>
              </w:rPr>
            </w:pPr>
            <w:r w:rsidRPr="00405303">
              <w:rPr>
                <w:bCs/>
                <w:color w:val="002060"/>
                <w:sz w:val="16"/>
                <w:szCs w:val="16"/>
              </w:rPr>
              <w:t>[Всего]</w:t>
            </w:r>
          </w:p>
        </w:tc>
        <w:tc>
          <w:tcPr>
            <w:tcW w:w="636" w:type="dxa"/>
          </w:tcPr>
          <w:p w14:paraId="0D25D925" w14:textId="77777777" w:rsidR="004B4E35" w:rsidRPr="00405303" w:rsidRDefault="009E6F82" w:rsidP="00C15251">
            <w:pPr>
              <w:jc w:val="both"/>
              <w:rPr>
                <w:bCs/>
                <w:color w:val="002060"/>
                <w:sz w:val="16"/>
                <w:szCs w:val="16"/>
              </w:rPr>
            </w:pPr>
            <w:r w:rsidRPr="00405303">
              <w:rPr>
                <w:bCs/>
                <w:color w:val="002060"/>
                <w:sz w:val="16"/>
                <w:szCs w:val="16"/>
              </w:rPr>
              <w:t>414,4</w:t>
            </w:r>
          </w:p>
        </w:tc>
        <w:tc>
          <w:tcPr>
            <w:tcW w:w="641" w:type="dxa"/>
          </w:tcPr>
          <w:p w14:paraId="00080B9B" w14:textId="77777777" w:rsidR="004B4E35" w:rsidRPr="00405303" w:rsidRDefault="009E6F82" w:rsidP="00C15251">
            <w:pPr>
              <w:jc w:val="both"/>
              <w:rPr>
                <w:bCs/>
                <w:color w:val="002060"/>
                <w:sz w:val="16"/>
                <w:szCs w:val="16"/>
              </w:rPr>
            </w:pPr>
            <w:r w:rsidRPr="00405303">
              <w:rPr>
                <w:bCs/>
                <w:color w:val="002060"/>
                <w:sz w:val="16"/>
                <w:szCs w:val="16"/>
              </w:rPr>
              <w:t>154,6</w:t>
            </w:r>
          </w:p>
        </w:tc>
        <w:tc>
          <w:tcPr>
            <w:tcW w:w="636" w:type="dxa"/>
          </w:tcPr>
          <w:p w14:paraId="4FB1DE66" w14:textId="77777777" w:rsidR="004B4E35" w:rsidRPr="00405303" w:rsidRDefault="009E6F82" w:rsidP="00C15251">
            <w:pPr>
              <w:jc w:val="both"/>
              <w:rPr>
                <w:bCs/>
                <w:color w:val="002060"/>
                <w:sz w:val="16"/>
                <w:szCs w:val="16"/>
              </w:rPr>
            </w:pPr>
            <w:r w:rsidRPr="00405303">
              <w:rPr>
                <w:bCs/>
                <w:color w:val="002060"/>
                <w:sz w:val="16"/>
                <w:szCs w:val="16"/>
              </w:rPr>
              <w:t>168,7</w:t>
            </w:r>
          </w:p>
        </w:tc>
        <w:tc>
          <w:tcPr>
            <w:tcW w:w="641" w:type="dxa"/>
          </w:tcPr>
          <w:p w14:paraId="75ADC585" w14:textId="77777777" w:rsidR="004B4E35" w:rsidRPr="00405303" w:rsidRDefault="009E6F82" w:rsidP="00C15251">
            <w:pPr>
              <w:jc w:val="both"/>
              <w:rPr>
                <w:bCs/>
                <w:color w:val="002060"/>
                <w:sz w:val="16"/>
                <w:szCs w:val="16"/>
              </w:rPr>
            </w:pPr>
            <w:r w:rsidRPr="00405303">
              <w:rPr>
                <w:bCs/>
                <w:color w:val="002060"/>
                <w:sz w:val="16"/>
                <w:szCs w:val="16"/>
              </w:rPr>
              <w:t>139,8</w:t>
            </w:r>
          </w:p>
        </w:tc>
      </w:tr>
    </w:tbl>
    <w:p w14:paraId="041DE523" w14:textId="77777777" w:rsidR="004B4E35" w:rsidRPr="00405303" w:rsidRDefault="009E6F82" w:rsidP="00C15251">
      <w:pPr>
        <w:jc w:val="both"/>
        <w:rPr>
          <w:bCs/>
          <w:color w:val="002060"/>
          <w:sz w:val="16"/>
          <w:szCs w:val="16"/>
        </w:rPr>
      </w:pPr>
      <w:r w:rsidRPr="00405303">
        <w:rPr>
          <w:bCs/>
          <w:color w:val="002060"/>
          <w:sz w:val="16"/>
          <w:szCs w:val="16"/>
        </w:rPr>
        <w:t xml:space="preserve">Цифры 1916 года показывают фактический выход продуктов. Для 1917 г. показан выход, предполагавшийся соответственно мощности заводов. Цифры выражают суммарный выход бензола и толуола, как нефтяного, так и каменноугольного. </w:t>
      </w:r>
    </w:p>
    <w:p w14:paraId="09EC1EEC" w14:textId="77777777" w:rsidR="004B4E35" w:rsidRPr="00405303" w:rsidRDefault="009E6F82" w:rsidP="00C15251">
      <w:pPr>
        <w:jc w:val="both"/>
        <w:rPr>
          <w:bCs/>
          <w:color w:val="002060"/>
          <w:sz w:val="16"/>
          <w:szCs w:val="16"/>
        </w:rPr>
      </w:pPr>
      <w:r w:rsidRPr="00405303">
        <w:rPr>
          <w:bCs/>
          <w:color w:val="002060"/>
          <w:sz w:val="16"/>
          <w:szCs w:val="16"/>
        </w:rPr>
        <w:t xml:space="preserve">Количество каменноугольного продукта составляет от общего количества следующий процент: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792"/>
      </w:tblGrid>
      <w:tr w:rsidR="004B4E35" w:rsidRPr="00405303" w14:paraId="14AD5801" w14:textId="77777777">
        <w:tc>
          <w:tcPr>
            <w:tcW w:w="1896" w:type="dxa"/>
          </w:tcPr>
          <w:p w14:paraId="426B07D8" w14:textId="77777777" w:rsidR="004B4E35" w:rsidRPr="00405303" w:rsidRDefault="009E6F82" w:rsidP="00C15251">
            <w:pPr>
              <w:jc w:val="both"/>
              <w:rPr>
                <w:bCs/>
                <w:color w:val="002060"/>
                <w:sz w:val="16"/>
                <w:szCs w:val="16"/>
              </w:rPr>
            </w:pPr>
            <w:r w:rsidRPr="00405303">
              <w:rPr>
                <w:bCs/>
                <w:color w:val="002060"/>
                <w:sz w:val="16"/>
                <w:szCs w:val="16"/>
              </w:rPr>
              <w:t>В январе 1916 г.</w:t>
            </w:r>
          </w:p>
        </w:tc>
        <w:tc>
          <w:tcPr>
            <w:tcW w:w="792" w:type="dxa"/>
          </w:tcPr>
          <w:p w14:paraId="1F18C795" w14:textId="77777777" w:rsidR="004B4E35" w:rsidRPr="00405303" w:rsidRDefault="009E6F82" w:rsidP="00C15251">
            <w:pPr>
              <w:jc w:val="both"/>
              <w:rPr>
                <w:bCs/>
                <w:color w:val="002060"/>
                <w:sz w:val="16"/>
                <w:szCs w:val="16"/>
              </w:rPr>
            </w:pPr>
            <w:r w:rsidRPr="00405303">
              <w:rPr>
                <w:bCs/>
                <w:color w:val="002060"/>
                <w:sz w:val="16"/>
                <w:szCs w:val="16"/>
              </w:rPr>
              <w:t xml:space="preserve">100% </w:t>
            </w:r>
          </w:p>
        </w:tc>
      </w:tr>
      <w:tr w:rsidR="004B4E35" w:rsidRPr="00405303" w14:paraId="6D507F39" w14:textId="77777777">
        <w:tc>
          <w:tcPr>
            <w:tcW w:w="1896" w:type="dxa"/>
          </w:tcPr>
          <w:p w14:paraId="5915CCAB" w14:textId="77777777" w:rsidR="004B4E35" w:rsidRPr="00405303" w:rsidRDefault="009E6F82" w:rsidP="00C15251">
            <w:pPr>
              <w:jc w:val="both"/>
              <w:rPr>
                <w:bCs/>
                <w:color w:val="002060"/>
                <w:sz w:val="16"/>
                <w:szCs w:val="16"/>
              </w:rPr>
            </w:pPr>
            <w:r w:rsidRPr="00405303">
              <w:rPr>
                <w:bCs/>
                <w:color w:val="002060"/>
                <w:sz w:val="16"/>
                <w:szCs w:val="16"/>
              </w:rPr>
              <w:t>В январе 1917 г.</w:t>
            </w:r>
          </w:p>
        </w:tc>
        <w:tc>
          <w:tcPr>
            <w:tcW w:w="792" w:type="dxa"/>
          </w:tcPr>
          <w:p w14:paraId="34599FB4" w14:textId="77777777" w:rsidR="004B4E35" w:rsidRPr="00405303" w:rsidRDefault="009E6F82" w:rsidP="00C15251">
            <w:pPr>
              <w:jc w:val="both"/>
              <w:rPr>
                <w:bCs/>
                <w:color w:val="002060"/>
                <w:sz w:val="16"/>
                <w:szCs w:val="16"/>
              </w:rPr>
            </w:pPr>
            <w:r w:rsidRPr="00405303">
              <w:rPr>
                <w:bCs/>
                <w:color w:val="002060"/>
                <w:sz w:val="16"/>
                <w:szCs w:val="16"/>
              </w:rPr>
              <w:t xml:space="preserve">70% </w:t>
            </w:r>
          </w:p>
        </w:tc>
      </w:tr>
    </w:tbl>
    <w:p w14:paraId="442DAECF" w14:textId="77777777" w:rsidR="004B4E35" w:rsidRPr="00405303" w:rsidRDefault="009E6F82" w:rsidP="00C15251">
      <w:pPr>
        <w:jc w:val="both"/>
        <w:rPr>
          <w:bCs/>
          <w:color w:val="002060"/>
          <w:sz w:val="16"/>
          <w:szCs w:val="16"/>
        </w:rPr>
      </w:pPr>
      <w:r w:rsidRPr="00405303">
        <w:rPr>
          <w:bCs/>
          <w:color w:val="002060"/>
          <w:sz w:val="16"/>
          <w:szCs w:val="16"/>
        </w:rPr>
        <w:t xml:space="preserve">С 1909 г. для снаряжения фугасных снарядов был принят в армии и флоте тротил. Однако заводы взрывчатых веществ, изготовлявшие тротил, Самарский казенный и Шлиссельбургский частный, по состоянию их мощности на 1917 г. далеко не могли покрыть той потребности во взрывчатых веществах для снарядов, которая была заявлена военным ведомством уже в первый, а в особенности во второй год войны. </w:t>
      </w:r>
    </w:p>
    <w:p w14:paraId="279813D7" w14:textId="77777777" w:rsidR="004B4E35" w:rsidRPr="00405303" w:rsidRDefault="009E6F82" w:rsidP="00C15251">
      <w:pPr>
        <w:jc w:val="both"/>
        <w:rPr>
          <w:bCs/>
          <w:color w:val="002060"/>
          <w:sz w:val="16"/>
          <w:szCs w:val="16"/>
        </w:rPr>
      </w:pPr>
      <w:r w:rsidRPr="00405303">
        <w:rPr>
          <w:bCs/>
          <w:color w:val="002060"/>
          <w:sz w:val="16"/>
          <w:szCs w:val="16"/>
        </w:rPr>
        <w:t xml:space="preserve">Поэтому Комиссия Ипатьева наряду с другими задачами поставила себе целью развивать производство как тротила, так и других взрывчатых веществ, пригодных для военных целей. Среди них главное место занимала пикриновая кислота, которая до тротила около 15 лет применялась в русской армии как вещество для снаряжения фугасных и бризантных снарядов и была хорошо изучена. </w:t>
      </w:r>
    </w:p>
    <w:p w14:paraId="103DF461" w14:textId="77777777" w:rsidR="004B4E35" w:rsidRPr="00405303" w:rsidRDefault="009E6F82" w:rsidP="00C15251">
      <w:pPr>
        <w:jc w:val="both"/>
        <w:rPr>
          <w:bCs/>
          <w:color w:val="002060"/>
          <w:sz w:val="16"/>
          <w:szCs w:val="16"/>
        </w:rPr>
      </w:pPr>
      <w:r w:rsidRPr="00405303">
        <w:rPr>
          <w:bCs/>
          <w:color w:val="002060"/>
          <w:sz w:val="16"/>
          <w:szCs w:val="16"/>
        </w:rPr>
        <w:t xml:space="preserve">Натуральный фенол, получаемый из каменноугольной смолы, из которого ранее фабриковалась пикриновая кислота, в России почти не вырабатывался. Поэтому проф. Ипатьев озаботился прежде всего поставить производство синтетического фенола через сульфацию бензола и получение из него пикриновой кислоты. Ранее других это производство было организовано на заводе Фарбверке в Москве. Начав производство в мае 1915 г., завод в декабре мог давать уже до 6000 пудов в месяц. Затем были устроены заводы синтетического фенола: у ст. Рубежной, при заводе "Русско-Краска", и у ст. Шахтной Донецкой области при заводе Парамонова. </w:t>
      </w:r>
    </w:p>
    <w:p w14:paraId="33D4D57A" w14:textId="77777777" w:rsidR="004B4E35" w:rsidRPr="00405303" w:rsidRDefault="009E6F82" w:rsidP="00C15251">
      <w:pPr>
        <w:jc w:val="both"/>
        <w:rPr>
          <w:bCs/>
          <w:color w:val="002060"/>
          <w:sz w:val="16"/>
          <w:szCs w:val="16"/>
        </w:rPr>
      </w:pPr>
      <w:r w:rsidRPr="00405303">
        <w:rPr>
          <w:bCs/>
          <w:color w:val="002060"/>
          <w:sz w:val="16"/>
          <w:szCs w:val="16"/>
        </w:rPr>
        <w:t xml:space="preserve">Так как производство синтетического фенола в нормальных условиях спроса не может выдерживать конкуренцию с фенолом натуральным, то Химический комитет, заботясь о нормальном развитии химической промышленности в дальнейшем, когда кончится война, организовал также получение карболовой кислоты и крезолов из тяжелой каменноугольной смолы и очистку этих продуктов. С этой целью был Львовым построен завод при ст. Железной Екатеринославской железной дороги. </w:t>
      </w:r>
    </w:p>
    <w:p w14:paraId="070E718E" w14:textId="77777777" w:rsidR="004B4E35" w:rsidRPr="00405303" w:rsidRDefault="009E6F82" w:rsidP="00C15251">
      <w:pPr>
        <w:jc w:val="both"/>
        <w:rPr>
          <w:bCs/>
          <w:color w:val="002060"/>
          <w:sz w:val="16"/>
          <w:szCs w:val="16"/>
        </w:rPr>
      </w:pPr>
      <w:r w:rsidRPr="00405303">
        <w:rPr>
          <w:bCs/>
          <w:color w:val="002060"/>
          <w:sz w:val="16"/>
          <w:szCs w:val="16"/>
        </w:rPr>
        <w:t xml:space="preserve">Выработка синтетического фенола в 1916 г. выражается в следующих цифрах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08"/>
        <w:gridCol w:w="792"/>
      </w:tblGrid>
      <w:tr w:rsidR="004B4E35" w:rsidRPr="00405303" w14:paraId="4FAB33C0" w14:textId="77777777">
        <w:tc>
          <w:tcPr>
            <w:tcW w:w="2808" w:type="dxa"/>
          </w:tcPr>
          <w:p w14:paraId="50270BF5" w14:textId="77777777" w:rsidR="004B4E35" w:rsidRPr="00405303" w:rsidRDefault="009E6F82" w:rsidP="00C15251">
            <w:pPr>
              <w:jc w:val="both"/>
              <w:rPr>
                <w:bCs/>
                <w:color w:val="002060"/>
                <w:sz w:val="16"/>
                <w:szCs w:val="16"/>
              </w:rPr>
            </w:pPr>
            <w:r w:rsidRPr="00405303">
              <w:rPr>
                <w:bCs/>
                <w:color w:val="002060"/>
                <w:sz w:val="16"/>
                <w:szCs w:val="16"/>
              </w:rPr>
              <w:t>Первое полугодие 1916 г.</w:t>
            </w:r>
          </w:p>
        </w:tc>
        <w:tc>
          <w:tcPr>
            <w:tcW w:w="792" w:type="dxa"/>
          </w:tcPr>
          <w:p w14:paraId="050298C3" w14:textId="77777777" w:rsidR="004B4E35" w:rsidRPr="00405303" w:rsidRDefault="009E6F82" w:rsidP="00C15251">
            <w:pPr>
              <w:jc w:val="both"/>
              <w:rPr>
                <w:bCs/>
                <w:color w:val="002060"/>
                <w:sz w:val="16"/>
                <w:szCs w:val="16"/>
              </w:rPr>
            </w:pPr>
            <w:r w:rsidRPr="00405303">
              <w:rPr>
                <w:bCs/>
                <w:color w:val="002060"/>
                <w:sz w:val="16"/>
                <w:szCs w:val="16"/>
              </w:rPr>
              <w:t xml:space="preserve">51.8 </w:t>
            </w:r>
          </w:p>
        </w:tc>
      </w:tr>
      <w:tr w:rsidR="004B4E35" w:rsidRPr="00405303" w14:paraId="7B0FC306" w14:textId="77777777">
        <w:tc>
          <w:tcPr>
            <w:tcW w:w="2808" w:type="dxa"/>
          </w:tcPr>
          <w:p w14:paraId="75ED2E74" w14:textId="77777777" w:rsidR="004B4E35" w:rsidRPr="00405303" w:rsidRDefault="009E6F82" w:rsidP="00C15251">
            <w:pPr>
              <w:jc w:val="both"/>
              <w:rPr>
                <w:bCs/>
                <w:color w:val="002060"/>
                <w:sz w:val="16"/>
                <w:szCs w:val="16"/>
              </w:rPr>
            </w:pPr>
            <w:r w:rsidRPr="00405303">
              <w:rPr>
                <w:bCs/>
                <w:color w:val="002060"/>
                <w:sz w:val="16"/>
                <w:szCs w:val="16"/>
              </w:rPr>
              <w:t>Второе полугодие 1916 г.</w:t>
            </w:r>
          </w:p>
        </w:tc>
        <w:tc>
          <w:tcPr>
            <w:tcW w:w="792" w:type="dxa"/>
          </w:tcPr>
          <w:p w14:paraId="271C12F3" w14:textId="77777777" w:rsidR="004B4E35" w:rsidRPr="00405303" w:rsidRDefault="009E6F82" w:rsidP="00C15251">
            <w:pPr>
              <w:jc w:val="both"/>
              <w:rPr>
                <w:bCs/>
                <w:color w:val="002060"/>
                <w:sz w:val="16"/>
                <w:szCs w:val="16"/>
              </w:rPr>
            </w:pPr>
            <w:r w:rsidRPr="00405303">
              <w:rPr>
                <w:bCs/>
                <w:color w:val="002060"/>
                <w:sz w:val="16"/>
                <w:szCs w:val="16"/>
              </w:rPr>
              <w:t xml:space="preserve">73.1 </w:t>
            </w:r>
          </w:p>
        </w:tc>
      </w:tr>
      <w:tr w:rsidR="004B4E35" w:rsidRPr="00405303" w14:paraId="792513EA" w14:textId="77777777">
        <w:tc>
          <w:tcPr>
            <w:tcW w:w="2808" w:type="dxa"/>
          </w:tcPr>
          <w:p w14:paraId="26B9B9B6" w14:textId="77777777" w:rsidR="004B4E35" w:rsidRPr="00405303" w:rsidRDefault="009E6F82" w:rsidP="00C15251">
            <w:pPr>
              <w:jc w:val="both"/>
              <w:rPr>
                <w:bCs/>
                <w:color w:val="002060"/>
                <w:sz w:val="16"/>
                <w:szCs w:val="16"/>
              </w:rPr>
            </w:pPr>
            <w:r w:rsidRPr="00405303">
              <w:rPr>
                <w:bCs/>
                <w:color w:val="002060"/>
                <w:sz w:val="16"/>
                <w:szCs w:val="16"/>
              </w:rPr>
              <w:t>Всего за 1916 г.</w:t>
            </w:r>
          </w:p>
        </w:tc>
        <w:tc>
          <w:tcPr>
            <w:tcW w:w="792" w:type="dxa"/>
          </w:tcPr>
          <w:p w14:paraId="3E1650C3" w14:textId="77777777" w:rsidR="004B4E35" w:rsidRPr="00405303" w:rsidRDefault="009E6F82" w:rsidP="00C15251">
            <w:pPr>
              <w:jc w:val="both"/>
              <w:rPr>
                <w:bCs/>
                <w:color w:val="002060"/>
                <w:sz w:val="16"/>
                <w:szCs w:val="16"/>
              </w:rPr>
            </w:pPr>
            <w:r w:rsidRPr="00405303">
              <w:rPr>
                <w:bCs/>
                <w:color w:val="002060"/>
                <w:sz w:val="16"/>
                <w:szCs w:val="16"/>
              </w:rPr>
              <w:t>124.9.</w:t>
            </w:r>
          </w:p>
        </w:tc>
      </w:tr>
    </w:tbl>
    <w:p w14:paraId="1E79F85D" w14:textId="77777777" w:rsidR="004B4E35" w:rsidRPr="00405303" w:rsidRDefault="009E6F82" w:rsidP="00C15251">
      <w:pPr>
        <w:jc w:val="both"/>
        <w:rPr>
          <w:bCs/>
          <w:color w:val="002060"/>
          <w:sz w:val="16"/>
          <w:szCs w:val="16"/>
        </w:rPr>
      </w:pPr>
      <w:r w:rsidRPr="00405303">
        <w:rPr>
          <w:bCs/>
          <w:color w:val="002060"/>
          <w:sz w:val="16"/>
          <w:szCs w:val="16"/>
        </w:rPr>
        <w:t xml:space="preserve">До войны серная кислота вырабатывалась в России в количестве до 1,25 млн пудов в месяц. Колчедан, необходимый для этой цели, в четверть добывался на Урале, остальные же три четверти привозились из-за границы. </w:t>
      </w:r>
    </w:p>
    <w:p w14:paraId="4839C11B" w14:textId="77777777" w:rsidR="004B4E35" w:rsidRPr="00405303" w:rsidRDefault="009E6F82" w:rsidP="00C15251">
      <w:pPr>
        <w:jc w:val="both"/>
        <w:rPr>
          <w:bCs/>
          <w:color w:val="002060"/>
          <w:sz w:val="16"/>
          <w:szCs w:val="16"/>
        </w:rPr>
      </w:pPr>
      <w:r w:rsidRPr="00405303">
        <w:rPr>
          <w:bCs/>
          <w:color w:val="002060"/>
          <w:sz w:val="16"/>
          <w:szCs w:val="16"/>
        </w:rPr>
        <w:t xml:space="preserve">В связи с военными операциями на Западном фронте сернокислотные заводы Прибалтики и Царства Польского прекратили работы, благодаря чему с общего счета нужно было скинуть 0,5 млн пудов месячной производительности. </w:t>
      </w:r>
    </w:p>
    <w:p w14:paraId="6AB200EC" w14:textId="77777777" w:rsidR="004B4E35" w:rsidRPr="00405303" w:rsidRDefault="009E6F82" w:rsidP="00C15251">
      <w:pPr>
        <w:jc w:val="both"/>
        <w:rPr>
          <w:bCs/>
          <w:color w:val="002060"/>
          <w:sz w:val="16"/>
          <w:szCs w:val="16"/>
        </w:rPr>
      </w:pPr>
      <w:r w:rsidRPr="00405303">
        <w:rPr>
          <w:bCs/>
          <w:color w:val="002060"/>
          <w:sz w:val="16"/>
          <w:szCs w:val="16"/>
        </w:rPr>
        <w:t xml:space="preserve">Такое положение с серной кислотой являлось угрозой делу производства порохов и взрывчатых веществ, которые вместе с ростом производства основных материалов — толуола, бензола и пр. — должны были и дальше сильно расти, соответственно с заданиями высшего командования. Поэтому требовались энергичные мероприятия со стороны Комиссии Ипатьева по восстановлению и развитию сернокислотного дела и исходных материалов для него. </w:t>
      </w:r>
    </w:p>
    <w:p w14:paraId="49DA4EF3" w14:textId="77777777" w:rsidR="004B4E35" w:rsidRPr="00405303" w:rsidRDefault="009E6F82" w:rsidP="00C15251">
      <w:pPr>
        <w:jc w:val="both"/>
        <w:rPr>
          <w:bCs/>
          <w:color w:val="002060"/>
          <w:sz w:val="16"/>
          <w:szCs w:val="16"/>
        </w:rPr>
      </w:pPr>
      <w:r w:rsidRPr="00405303">
        <w:rPr>
          <w:bCs/>
          <w:color w:val="002060"/>
          <w:sz w:val="16"/>
          <w:szCs w:val="16"/>
        </w:rPr>
        <w:t xml:space="preserve">С целью выяснить вопрос о возможности постройки новых сернокислотных заводов и развития старых, а также усиления добычи колчедана, в июне 1915 г. был собран съезд кислотозаводчиков и представителей серноколчеданных рудников. На съезде была выработала детальная программа развития сернокислотного и колчеданного дела, и, по утверждении ее Особым совещанием по обороне, с лета 1915 г. было приступлено к осуществлению ее. </w:t>
      </w:r>
    </w:p>
    <w:p w14:paraId="5713ABB9" w14:textId="77777777" w:rsidR="004B4E35" w:rsidRPr="00405303" w:rsidRDefault="009E6F82" w:rsidP="00C15251">
      <w:pPr>
        <w:jc w:val="both"/>
        <w:rPr>
          <w:bCs/>
          <w:color w:val="002060"/>
          <w:sz w:val="16"/>
          <w:szCs w:val="16"/>
        </w:rPr>
      </w:pPr>
      <w:proofErr w:type="gramStart"/>
      <w:r w:rsidRPr="00405303">
        <w:rPr>
          <w:bCs/>
          <w:color w:val="002060"/>
          <w:sz w:val="16"/>
          <w:szCs w:val="16"/>
        </w:rPr>
        <w:t>Согласно программы</w:t>
      </w:r>
      <w:proofErr w:type="gramEnd"/>
      <w:r w:rsidRPr="00405303">
        <w:rPr>
          <w:bCs/>
          <w:color w:val="002060"/>
          <w:sz w:val="16"/>
          <w:szCs w:val="16"/>
        </w:rPr>
        <w:t xml:space="preserve">, намечена была постройка с лета 1915 г. до 20 заводов серной кислоты, которые должны были увеличить вдвое выработку кислоты. Часть этих заводов предположена была к оборудованию контактными системами. </w:t>
      </w:r>
    </w:p>
    <w:p w14:paraId="28AFC42E" w14:textId="77777777" w:rsidR="004B4E35" w:rsidRPr="00405303" w:rsidRDefault="009E6F82" w:rsidP="00C15251">
      <w:pPr>
        <w:jc w:val="both"/>
        <w:rPr>
          <w:bCs/>
          <w:color w:val="002060"/>
          <w:sz w:val="16"/>
          <w:szCs w:val="16"/>
        </w:rPr>
      </w:pPr>
      <w:r w:rsidRPr="00405303">
        <w:rPr>
          <w:bCs/>
          <w:color w:val="002060"/>
          <w:sz w:val="16"/>
          <w:szCs w:val="16"/>
        </w:rPr>
        <w:t xml:space="preserve">Для наблюдения на местах за производством кислоты и правильного распределения ее между заводами военной и частной промышленности, а также для наблюдения за строительством, Комиссией по заготовлению взрывчатых веществ были организованы районные бюро. Районов было установлено шесть: Петроградский, Московский, Верхневолжский, Казанский, Уральский, Южный и Кавказский. </w:t>
      </w:r>
    </w:p>
    <w:p w14:paraId="7A05E8BB" w14:textId="77777777" w:rsidR="004B4E35" w:rsidRPr="00405303" w:rsidRDefault="009E6F82" w:rsidP="00C15251">
      <w:pPr>
        <w:jc w:val="both"/>
        <w:rPr>
          <w:bCs/>
          <w:color w:val="002060"/>
          <w:sz w:val="16"/>
          <w:szCs w:val="16"/>
        </w:rPr>
      </w:pPr>
      <w:r w:rsidRPr="00405303">
        <w:rPr>
          <w:bCs/>
          <w:color w:val="002060"/>
          <w:sz w:val="16"/>
          <w:szCs w:val="16"/>
        </w:rPr>
        <w:t xml:space="preserve">Весьма серьезным вопросом являлось правильное распределение кислоты между потребителями частной промышленности, так как в связи с кислотным кризисом на рынке началась спекуляция и искусственное вздутие цен на этот материал. </w:t>
      </w:r>
    </w:p>
    <w:p w14:paraId="4FBE4DD6" w14:textId="77777777" w:rsidR="004B4E35" w:rsidRPr="00405303" w:rsidRDefault="009E6F82" w:rsidP="00C15251">
      <w:pPr>
        <w:jc w:val="both"/>
        <w:rPr>
          <w:bCs/>
          <w:color w:val="002060"/>
          <w:sz w:val="16"/>
          <w:szCs w:val="16"/>
        </w:rPr>
      </w:pPr>
      <w:r w:rsidRPr="00405303">
        <w:rPr>
          <w:bCs/>
          <w:color w:val="002060"/>
          <w:sz w:val="16"/>
          <w:szCs w:val="16"/>
        </w:rPr>
        <w:t xml:space="preserve">Ниже приводится таблица, в которой по месяцам указаны: 1) программа работы по производству серной кислоты заводов, существовавших к осени 1915 г., 2) число вновь организованных заводов, вступивших в работу, 3) программа, работы последних и 4) суммарный выпуск серной кислоты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1503"/>
        <w:gridCol w:w="1092"/>
        <w:gridCol w:w="1792"/>
        <w:gridCol w:w="972"/>
      </w:tblGrid>
      <w:tr w:rsidR="004B4E35" w:rsidRPr="00405303" w14:paraId="6D275BF3" w14:textId="77777777">
        <w:tc>
          <w:tcPr>
            <w:tcW w:w="1248" w:type="dxa"/>
          </w:tcPr>
          <w:p w14:paraId="52BCE6FA" w14:textId="7EA9099E" w:rsidR="004B4E35" w:rsidRPr="00405303" w:rsidRDefault="00DB4D64" w:rsidP="00C15251">
            <w:pPr>
              <w:jc w:val="both"/>
              <w:rPr>
                <w:bCs/>
                <w:color w:val="002060"/>
                <w:sz w:val="16"/>
                <w:szCs w:val="16"/>
              </w:rPr>
            </w:pPr>
            <w:r w:rsidRPr="00405303">
              <w:rPr>
                <w:bCs/>
                <w:color w:val="002060"/>
                <w:sz w:val="16"/>
                <w:szCs w:val="16"/>
              </w:rPr>
              <w:t xml:space="preserve"> </w:t>
            </w:r>
          </w:p>
        </w:tc>
        <w:tc>
          <w:tcPr>
            <w:tcW w:w="1503" w:type="dxa"/>
          </w:tcPr>
          <w:p w14:paraId="33F5F5AA" w14:textId="77777777" w:rsidR="004B4E35" w:rsidRPr="00405303" w:rsidRDefault="009E6F82" w:rsidP="00C15251">
            <w:pPr>
              <w:jc w:val="both"/>
              <w:rPr>
                <w:bCs/>
                <w:color w:val="002060"/>
                <w:sz w:val="16"/>
                <w:szCs w:val="16"/>
              </w:rPr>
            </w:pPr>
            <w:r w:rsidRPr="00405303">
              <w:rPr>
                <w:bCs/>
                <w:color w:val="002060"/>
                <w:sz w:val="16"/>
                <w:szCs w:val="16"/>
              </w:rPr>
              <w:t>Существовавшие к осени 1915 г. заводы</w:t>
            </w:r>
          </w:p>
        </w:tc>
        <w:tc>
          <w:tcPr>
            <w:tcW w:w="1092" w:type="dxa"/>
          </w:tcPr>
          <w:p w14:paraId="7DDE435C" w14:textId="77777777" w:rsidR="004B4E35" w:rsidRPr="00405303" w:rsidRDefault="009E6F82" w:rsidP="00C15251">
            <w:pPr>
              <w:jc w:val="both"/>
              <w:rPr>
                <w:bCs/>
                <w:color w:val="002060"/>
                <w:sz w:val="16"/>
                <w:szCs w:val="16"/>
              </w:rPr>
            </w:pPr>
            <w:r w:rsidRPr="00405303">
              <w:rPr>
                <w:bCs/>
                <w:color w:val="002060"/>
                <w:sz w:val="16"/>
                <w:szCs w:val="16"/>
              </w:rPr>
              <w:t>Число новых заводов</w:t>
            </w:r>
          </w:p>
        </w:tc>
        <w:tc>
          <w:tcPr>
            <w:tcW w:w="1792" w:type="dxa"/>
          </w:tcPr>
          <w:p w14:paraId="52CB20FF" w14:textId="77777777" w:rsidR="004B4E35" w:rsidRPr="00405303" w:rsidRDefault="009E6F82" w:rsidP="00C15251">
            <w:pPr>
              <w:jc w:val="both"/>
              <w:rPr>
                <w:bCs/>
                <w:color w:val="002060"/>
                <w:sz w:val="16"/>
                <w:szCs w:val="16"/>
              </w:rPr>
            </w:pPr>
            <w:r w:rsidRPr="00405303">
              <w:rPr>
                <w:bCs/>
                <w:color w:val="002060"/>
                <w:sz w:val="16"/>
                <w:szCs w:val="16"/>
              </w:rPr>
              <w:t>Производительность новых заводов</w:t>
            </w:r>
          </w:p>
        </w:tc>
        <w:tc>
          <w:tcPr>
            <w:tcW w:w="972" w:type="dxa"/>
          </w:tcPr>
          <w:p w14:paraId="55BDCB26" w14:textId="77777777" w:rsidR="004B4E35" w:rsidRPr="00405303" w:rsidRDefault="009E6F82" w:rsidP="00C15251">
            <w:pPr>
              <w:jc w:val="both"/>
              <w:rPr>
                <w:bCs/>
                <w:color w:val="002060"/>
                <w:sz w:val="16"/>
                <w:szCs w:val="16"/>
              </w:rPr>
            </w:pPr>
            <w:r w:rsidRPr="00405303">
              <w:rPr>
                <w:bCs/>
                <w:color w:val="002060"/>
                <w:sz w:val="16"/>
                <w:szCs w:val="16"/>
              </w:rPr>
              <w:t xml:space="preserve">Итого старые и новые </w:t>
            </w:r>
          </w:p>
        </w:tc>
      </w:tr>
      <w:tr w:rsidR="004B4E35" w:rsidRPr="00405303" w14:paraId="14F96289" w14:textId="77777777">
        <w:tc>
          <w:tcPr>
            <w:tcW w:w="1248" w:type="dxa"/>
          </w:tcPr>
          <w:p w14:paraId="19FF6FBE" w14:textId="5E5C7172" w:rsidR="004B4E35" w:rsidRPr="00405303" w:rsidRDefault="00DB4D64" w:rsidP="00C15251">
            <w:pPr>
              <w:jc w:val="both"/>
              <w:rPr>
                <w:bCs/>
                <w:color w:val="002060"/>
                <w:sz w:val="16"/>
                <w:szCs w:val="16"/>
              </w:rPr>
            </w:pPr>
            <w:r w:rsidRPr="00405303">
              <w:rPr>
                <w:bCs/>
                <w:color w:val="002060"/>
                <w:sz w:val="16"/>
                <w:szCs w:val="16"/>
              </w:rPr>
              <w:t xml:space="preserve"> </w:t>
            </w:r>
          </w:p>
        </w:tc>
        <w:tc>
          <w:tcPr>
            <w:tcW w:w="4387" w:type="dxa"/>
            <w:gridSpan w:val="3"/>
          </w:tcPr>
          <w:p w14:paraId="776E863D" w14:textId="77777777" w:rsidR="004B4E35" w:rsidRPr="00405303" w:rsidRDefault="009E6F82" w:rsidP="00C15251">
            <w:pPr>
              <w:jc w:val="both"/>
              <w:rPr>
                <w:bCs/>
                <w:color w:val="002060"/>
                <w:sz w:val="16"/>
                <w:szCs w:val="16"/>
              </w:rPr>
            </w:pPr>
            <w:r w:rsidRPr="00405303">
              <w:rPr>
                <w:bCs/>
                <w:color w:val="002060"/>
                <w:sz w:val="16"/>
                <w:szCs w:val="16"/>
              </w:rPr>
              <w:t>Программа</w:t>
            </w:r>
          </w:p>
        </w:tc>
        <w:tc>
          <w:tcPr>
            <w:tcW w:w="972" w:type="dxa"/>
          </w:tcPr>
          <w:p w14:paraId="6620D788" w14:textId="0FBF09C2" w:rsidR="004B4E35" w:rsidRPr="00405303" w:rsidRDefault="00DB4D64" w:rsidP="00C15251">
            <w:pPr>
              <w:jc w:val="both"/>
              <w:rPr>
                <w:bCs/>
                <w:color w:val="002060"/>
                <w:sz w:val="16"/>
                <w:szCs w:val="16"/>
              </w:rPr>
            </w:pPr>
            <w:r w:rsidRPr="00405303">
              <w:rPr>
                <w:bCs/>
                <w:color w:val="002060"/>
                <w:sz w:val="16"/>
                <w:szCs w:val="16"/>
              </w:rPr>
              <w:t xml:space="preserve"> </w:t>
            </w:r>
          </w:p>
        </w:tc>
      </w:tr>
      <w:tr w:rsidR="004B4E35" w:rsidRPr="00405303" w14:paraId="2A45BDBB" w14:textId="77777777">
        <w:tc>
          <w:tcPr>
            <w:tcW w:w="1248" w:type="dxa"/>
          </w:tcPr>
          <w:p w14:paraId="3E45EB59" w14:textId="77777777" w:rsidR="004B4E35" w:rsidRPr="00405303" w:rsidRDefault="009E6F82" w:rsidP="00C15251">
            <w:pPr>
              <w:jc w:val="both"/>
              <w:rPr>
                <w:bCs/>
                <w:color w:val="002060"/>
                <w:sz w:val="16"/>
                <w:szCs w:val="16"/>
              </w:rPr>
            </w:pPr>
            <w:r w:rsidRPr="00405303">
              <w:rPr>
                <w:bCs/>
                <w:color w:val="002060"/>
                <w:sz w:val="16"/>
                <w:szCs w:val="16"/>
              </w:rPr>
              <w:t>Декабрь 1915 г.</w:t>
            </w:r>
          </w:p>
        </w:tc>
        <w:tc>
          <w:tcPr>
            <w:tcW w:w="1503" w:type="dxa"/>
          </w:tcPr>
          <w:p w14:paraId="1B629D69"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313D8416" w14:textId="77777777" w:rsidR="004B4E35" w:rsidRPr="00405303" w:rsidRDefault="009E6F82" w:rsidP="00C15251">
            <w:pPr>
              <w:jc w:val="both"/>
              <w:rPr>
                <w:bCs/>
                <w:color w:val="002060"/>
                <w:sz w:val="16"/>
                <w:szCs w:val="16"/>
              </w:rPr>
            </w:pPr>
            <w:r w:rsidRPr="00405303">
              <w:rPr>
                <w:bCs/>
                <w:color w:val="002060"/>
                <w:sz w:val="16"/>
                <w:szCs w:val="16"/>
              </w:rPr>
              <w:t>2</w:t>
            </w:r>
          </w:p>
        </w:tc>
        <w:tc>
          <w:tcPr>
            <w:tcW w:w="1792" w:type="dxa"/>
          </w:tcPr>
          <w:p w14:paraId="200109A6" w14:textId="77777777" w:rsidR="004B4E35" w:rsidRPr="00405303" w:rsidRDefault="009E6F82" w:rsidP="00C15251">
            <w:pPr>
              <w:jc w:val="both"/>
              <w:rPr>
                <w:bCs/>
                <w:color w:val="002060"/>
                <w:sz w:val="16"/>
                <w:szCs w:val="16"/>
              </w:rPr>
            </w:pPr>
            <w:r w:rsidRPr="00405303">
              <w:rPr>
                <w:bCs/>
                <w:color w:val="002060"/>
                <w:sz w:val="16"/>
                <w:szCs w:val="16"/>
              </w:rPr>
              <w:t>75</w:t>
            </w:r>
          </w:p>
        </w:tc>
        <w:tc>
          <w:tcPr>
            <w:tcW w:w="972" w:type="dxa"/>
          </w:tcPr>
          <w:p w14:paraId="62DBEDFC" w14:textId="77777777" w:rsidR="004B4E35" w:rsidRPr="00405303" w:rsidRDefault="009E6F82" w:rsidP="00C15251">
            <w:pPr>
              <w:jc w:val="both"/>
              <w:rPr>
                <w:bCs/>
                <w:color w:val="002060"/>
                <w:sz w:val="16"/>
                <w:szCs w:val="16"/>
              </w:rPr>
            </w:pPr>
            <w:r w:rsidRPr="00405303">
              <w:rPr>
                <w:bCs/>
                <w:color w:val="002060"/>
                <w:sz w:val="16"/>
                <w:szCs w:val="16"/>
              </w:rPr>
              <w:t>875</w:t>
            </w:r>
          </w:p>
        </w:tc>
      </w:tr>
      <w:tr w:rsidR="004B4E35" w:rsidRPr="00405303" w14:paraId="3432D70D" w14:textId="77777777">
        <w:tc>
          <w:tcPr>
            <w:tcW w:w="1248" w:type="dxa"/>
          </w:tcPr>
          <w:p w14:paraId="508C78F6" w14:textId="77777777" w:rsidR="004B4E35" w:rsidRPr="00405303" w:rsidRDefault="009E6F82" w:rsidP="00C15251">
            <w:pPr>
              <w:jc w:val="both"/>
              <w:rPr>
                <w:bCs/>
                <w:color w:val="002060"/>
                <w:sz w:val="16"/>
                <w:szCs w:val="16"/>
              </w:rPr>
            </w:pPr>
            <w:r w:rsidRPr="00405303">
              <w:rPr>
                <w:bCs/>
                <w:color w:val="002060"/>
                <w:sz w:val="16"/>
                <w:szCs w:val="16"/>
              </w:rPr>
              <w:t>Январь 1916 г.</w:t>
            </w:r>
          </w:p>
        </w:tc>
        <w:tc>
          <w:tcPr>
            <w:tcW w:w="1503" w:type="dxa"/>
          </w:tcPr>
          <w:p w14:paraId="380960E4"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5AD6D767" w14:textId="77777777" w:rsidR="004B4E35" w:rsidRPr="00405303" w:rsidRDefault="009E6F82" w:rsidP="00C15251">
            <w:pPr>
              <w:jc w:val="both"/>
              <w:rPr>
                <w:bCs/>
                <w:color w:val="002060"/>
                <w:sz w:val="16"/>
                <w:szCs w:val="16"/>
              </w:rPr>
            </w:pPr>
            <w:r w:rsidRPr="00405303">
              <w:rPr>
                <w:bCs/>
                <w:color w:val="002060"/>
                <w:sz w:val="16"/>
                <w:szCs w:val="16"/>
              </w:rPr>
              <w:t>6</w:t>
            </w:r>
          </w:p>
        </w:tc>
        <w:tc>
          <w:tcPr>
            <w:tcW w:w="1792" w:type="dxa"/>
          </w:tcPr>
          <w:p w14:paraId="7F127CAE" w14:textId="77777777" w:rsidR="004B4E35" w:rsidRPr="00405303" w:rsidRDefault="009E6F82" w:rsidP="00C15251">
            <w:pPr>
              <w:jc w:val="both"/>
              <w:rPr>
                <w:bCs/>
                <w:color w:val="002060"/>
                <w:sz w:val="16"/>
                <w:szCs w:val="16"/>
              </w:rPr>
            </w:pPr>
            <w:r w:rsidRPr="00405303">
              <w:rPr>
                <w:bCs/>
                <w:color w:val="002060"/>
                <w:sz w:val="16"/>
                <w:szCs w:val="16"/>
              </w:rPr>
              <w:t>249,1</w:t>
            </w:r>
          </w:p>
        </w:tc>
        <w:tc>
          <w:tcPr>
            <w:tcW w:w="972" w:type="dxa"/>
          </w:tcPr>
          <w:p w14:paraId="03461F7E" w14:textId="77777777" w:rsidR="004B4E35" w:rsidRPr="00405303" w:rsidRDefault="009E6F82" w:rsidP="00C15251">
            <w:pPr>
              <w:jc w:val="both"/>
              <w:rPr>
                <w:bCs/>
                <w:color w:val="002060"/>
                <w:sz w:val="16"/>
                <w:szCs w:val="16"/>
              </w:rPr>
            </w:pPr>
            <w:r w:rsidRPr="00405303">
              <w:rPr>
                <w:bCs/>
                <w:color w:val="002060"/>
                <w:sz w:val="16"/>
                <w:szCs w:val="16"/>
              </w:rPr>
              <w:t>1.049,1</w:t>
            </w:r>
          </w:p>
        </w:tc>
      </w:tr>
      <w:tr w:rsidR="004B4E35" w:rsidRPr="00405303" w14:paraId="2F546A4F" w14:textId="77777777">
        <w:tc>
          <w:tcPr>
            <w:tcW w:w="1248" w:type="dxa"/>
          </w:tcPr>
          <w:p w14:paraId="1D70E2FF" w14:textId="77777777" w:rsidR="004B4E35" w:rsidRPr="00405303" w:rsidRDefault="009E6F82" w:rsidP="00C15251">
            <w:pPr>
              <w:jc w:val="both"/>
              <w:rPr>
                <w:bCs/>
                <w:color w:val="002060"/>
                <w:sz w:val="16"/>
                <w:szCs w:val="16"/>
              </w:rPr>
            </w:pPr>
            <w:r w:rsidRPr="00405303">
              <w:rPr>
                <w:bCs/>
                <w:color w:val="002060"/>
                <w:sz w:val="16"/>
                <w:szCs w:val="16"/>
              </w:rPr>
              <w:t>Февраль</w:t>
            </w:r>
          </w:p>
        </w:tc>
        <w:tc>
          <w:tcPr>
            <w:tcW w:w="1503" w:type="dxa"/>
          </w:tcPr>
          <w:p w14:paraId="0EC10FE1"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1F8AE9E8" w14:textId="77777777" w:rsidR="004B4E35" w:rsidRPr="00405303" w:rsidRDefault="009E6F82" w:rsidP="00C15251">
            <w:pPr>
              <w:jc w:val="both"/>
              <w:rPr>
                <w:bCs/>
                <w:color w:val="002060"/>
                <w:sz w:val="16"/>
                <w:szCs w:val="16"/>
              </w:rPr>
            </w:pPr>
            <w:r w:rsidRPr="00405303">
              <w:rPr>
                <w:bCs/>
                <w:color w:val="002060"/>
                <w:sz w:val="16"/>
                <w:szCs w:val="16"/>
              </w:rPr>
              <w:t>8</w:t>
            </w:r>
          </w:p>
        </w:tc>
        <w:tc>
          <w:tcPr>
            <w:tcW w:w="1792" w:type="dxa"/>
          </w:tcPr>
          <w:p w14:paraId="2F3C217B" w14:textId="77777777" w:rsidR="004B4E35" w:rsidRPr="00405303" w:rsidRDefault="009E6F82" w:rsidP="00C15251">
            <w:pPr>
              <w:jc w:val="both"/>
              <w:rPr>
                <w:bCs/>
                <w:color w:val="002060"/>
                <w:sz w:val="16"/>
                <w:szCs w:val="16"/>
              </w:rPr>
            </w:pPr>
            <w:r w:rsidRPr="00405303">
              <w:rPr>
                <w:bCs/>
                <w:color w:val="002060"/>
                <w:sz w:val="16"/>
                <w:szCs w:val="16"/>
              </w:rPr>
              <w:t>342,6</w:t>
            </w:r>
          </w:p>
        </w:tc>
        <w:tc>
          <w:tcPr>
            <w:tcW w:w="972" w:type="dxa"/>
          </w:tcPr>
          <w:p w14:paraId="30DD2801" w14:textId="77777777" w:rsidR="004B4E35" w:rsidRPr="00405303" w:rsidRDefault="009E6F82" w:rsidP="00C15251">
            <w:pPr>
              <w:jc w:val="both"/>
              <w:rPr>
                <w:bCs/>
                <w:color w:val="002060"/>
                <w:sz w:val="16"/>
                <w:szCs w:val="16"/>
              </w:rPr>
            </w:pPr>
            <w:r w:rsidRPr="00405303">
              <w:rPr>
                <w:bCs/>
                <w:color w:val="002060"/>
                <w:sz w:val="16"/>
                <w:szCs w:val="16"/>
              </w:rPr>
              <w:t>1.142,6</w:t>
            </w:r>
          </w:p>
        </w:tc>
      </w:tr>
      <w:tr w:rsidR="004B4E35" w:rsidRPr="00405303" w14:paraId="576B17C5" w14:textId="77777777">
        <w:tc>
          <w:tcPr>
            <w:tcW w:w="1248" w:type="dxa"/>
          </w:tcPr>
          <w:p w14:paraId="547F182A" w14:textId="77777777" w:rsidR="004B4E35" w:rsidRPr="00405303" w:rsidRDefault="009E6F82" w:rsidP="00C15251">
            <w:pPr>
              <w:jc w:val="both"/>
              <w:rPr>
                <w:bCs/>
                <w:color w:val="002060"/>
                <w:sz w:val="16"/>
                <w:szCs w:val="16"/>
              </w:rPr>
            </w:pPr>
            <w:r w:rsidRPr="00405303">
              <w:rPr>
                <w:bCs/>
                <w:color w:val="002060"/>
                <w:sz w:val="16"/>
                <w:szCs w:val="16"/>
              </w:rPr>
              <w:t>М«рт</w:t>
            </w:r>
          </w:p>
        </w:tc>
        <w:tc>
          <w:tcPr>
            <w:tcW w:w="1503" w:type="dxa"/>
          </w:tcPr>
          <w:p w14:paraId="2ACED754"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5C2783B6" w14:textId="77777777" w:rsidR="004B4E35" w:rsidRPr="00405303" w:rsidRDefault="009E6F82" w:rsidP="00C15251">
            <w:pPr>
              <w:jc w:val="both"/>
              <w:rPr>
                <w:bCs/>
                <w:color w:val="002060"/>
                <w:sz w:val="16"/>
                <w:szCs w:val="16"/>
              </w:rPr>
            </w:pPr>
            <w:r w:rsidRPr="00405303">
              <w:rPr>
                <w:bCs/>
                <w:color w:val="002060"/>
                <w:sz w:val="16"/>
                <w:szCs w:val="16"/>
              </w:rPr>
              <w:t>11</w:t>
            </w:r>
          </w:p>
        </w:tc>
        <w:tc>
          <w:tcPr>
            <w:tcW w:w="1792" w:type="dxa"/>
          </w:tcPr>
          <w:p w14:paraId="72F4C0EB" w14:textId="77777777" w:rsidR="004B4E35" w:rsidRPr="00405303" w:rsidRDefault="009E6F82" w:rsidP="00C15251">
            <w:pPr>
              <w:jc w:val="both"/>
              <w:rPr>
                <w:bCs/>
                <w:color w:val="002060"/>
                <w:sz w:val="16"/>
                <w:szCs w:val="16"/>
              </w:rPr>
            </w:pPr>
            <w:r w:rsidRPr="00405303">
              <w:rPr>
                <w:bCs/>
                <w:color w:val="002060"/>
                <w:sz w:val="16"/>
                <w:szCs w:val="16"/>
              </w:rPr>
              <w:t>479,9</w:t>
            </w:r>
          </w:p>
        </w:tc>
        <w:tc>
          <w:tcPr>
            <w:tcW w:w="972" w:type="dxa"/>
          </w:tcPr>
          <w:p w14:paraId="3299F57A" w14:textId="77777777" w:rsidR="004B4E35" w:rsidRPr="00405303" w:rsidRDefault="009E6F82" w:rsidP="00C15251">
            <w:pPr>
              <w:jc w:val="both"/>
              <w:rPr>
                <w:bCs/>
                <w:color w:val="002060"/>
                <w:sz w:val="16"/>
                <w:szCs w:val="16"/>
              </w:rPr>
            </w:pPr>
            <w:r w:rsidRPr="00405303">
              <w:rPr>
                <w:bCs/>
                <w:color w:val="002060"/>
                <w:sz w:val="16"/>
                <w:szCs w:val="16"/>
              </w:rPr>
              <w:t>1.279,9</w:t>
            </w:r>
          </w:p>
        </w:tc>
      </w:tr>
      <w:tr w:rsidR="004B4E35" w:rsidRPr="00405303" w14:paraId="1DD5AFED" w14:textId="77777777">
        <w:tc>
          <w:tcPr>
            <w:tcW w:w="1248" w:type="dxa"/>
          </w:tcPr>
          <w:p w14:paraId="427BC139" w14:textId="77777777" w:rsidR="004B4E35" w:rsidRPr="00405303" w:rsidRDefault="009E6F82" w:rsidP="00C15251">
            <w:pPr>
              <w:jc w:val="both"/>
              <w:rPr>
                <w:bCs/>
                <w:color w:val="002060"/>
                <w:sz w:val="16"/>
                <w:szCs w:val="16"/>
              </w:rPr>
            </w:pPr>
            <w:r w:rsidRPr="00405303">
              <w:rPr>
                <w:bCs/>
                <w:color w:val="002060"/>
                <w:sz w:val="16"/>
                <w:szCs w:val="16"/>
              </w:rPr>
              <w:t>Апрель</w:t>
            </w:r>
          </w:p>
        </w:tc>
        <w:tc>
          <w:tcPr>
            <w:tcW w:w="1503" w:type="dxa"/>
          </w:tcPr>
          <w:p w14:paraId="20B08DB0"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30385495" w14:textId="77777777" w:rsidR="004B4E35" w:rsidRPr="00405303" w:rsidRDefault="009E6F82" w:rsidP="00C15251">
            <w:pPr>
              <w:jc w:val="both"/>
              <w:rPr>
                <w:bCs/>
                <w:color w:val="002060"/>
                <w:sz w:val="16"/>
                <w:szCs w:val="16"/>
              </w:rPr>
            </w:pPr>
            <w:r w:rsidRPr="00405303">
              <w:rPr>
                <w:bCs/>
                <w:color w:val="002060"/>
                <w:sz w:val="16"/>
                <w:szCs w:val="16"/>
              </w:rPr>
              <w:t>15</w:t>
            </w:r>
          </w:p>
        </w:tc>
        <w:tc>
          <w:tcPr>
            <w:tcW w:w="1792" w:type="dxa"/>
          </w:tcPr>
          <w:p w14:paraId="7C11A214" w14:textId="77777777" w:rsidR="004B4E35" w:rsidRPr="00405303" w:rsidRDefault="009E6F82" w:rsidP="00C15251">
            <w:pPr>
              <w:jc w:val="both"/>
              <w:rPr>
                <w:bCs/>
                <w:color w:val="002060"/>
                <w:sz w:val="16"/>
                <w:szCs w:val="16"/>
              </w:rPr>
            </w:pPr>
            <w:r w:rsidRPr="00405303">
              <w:rPr>
                <w:bCs/>
                <w:color w:val="002060"/>
                <w:sz w:val="16"/>
                <w:szCs w:val="16"/>
              </w:rPr>
              <w:t>632,1</w:t>
            </w:r>
          </w:p>
        </w:tc>
        <w:tc>
          <w:tcPr>
            <w:tcW w:w="972" w:type="dxa"/>
          </w:tcPr>
          <w:p w14:paraId="4B83E42F" w14:textId="77777777" w:rsidR="004B4E35" w:rsidRPr="00405303" w:rsidRDefault="009E6F82" w:rsidP="00C15251">
            <w:pPr>
              <w:jc w:val="both"/>
              <w:rPr>
                <w:bCs/>
                <w:color w:val="002060"/>
                <w:sz w:val="16"/>
                <w:szCs w:val="16"/>
              </w:rPr>
            </w:pPr>
            <w:r w:rsidRPr="00405303">
              <w:rPr>
                <w:bCs/>
                <w:color w:val="002060"/>
                <w:sz w:val="16"/>
                <w:szCs w:val="16"/>
              </w:rPr>
              <w:t>1.432,1</w:t>
            </w:r>
          </w:p>
        </w:tc>
      </w:tr>
      <w:tr w:rsidR="004B4E35" w:rsidRPr="00405303" w14:paraId="13C82491" w14:textId="77777777">
        <w:tc>
          <w:tcPr>
            <w:tcW w:w="1248" w:type="dxa"/>
          </w:tcPr>
          <w:p w14:paraId="29CACA33" w14:textId="77777777" w:rsidR="004B4E35" w:rsidRPr="00405303" w:rsidRDefault="009E6F82" w:rsidP="00C15251">
            <w:pPr>
              <w:jc w:val="both"/>
              <w:rPr>
                <w:bCs/>
                <w:color w:val="002060"/>
                <w:sz w:val="16"/>
                <w:szCs w:val="16"/>
              </w:rPr>
            </w:pPr>
            <w:r w:rsidRPr="00405303">
              <w:rPr>
                <w:bCs/>
                <w:color w:val="002060"/>
                <w:sz w:val="16"/>
                <w:szCs w:val="16"/>
              </w:rPr>
              <w:t>Май</w:t>
            </w:r>
          </w:p>
        </w:tc>
        <w:tc>
          <w:tcPr>
            <w:tcW w:w="1503" w:type="dxa"/>
          </w:tcPr>
          <w:p w14:paraId="63BBDBB8"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38E90FD7" w14:textId="77777777" w:rsidR="004B4E35" w:rsidRPr="00405303" w:rsidRDefault="009E6F82" w:rsidP="00C15251">
            <w:pPr>
              <w:jc w:val="both"/>
              <w:rPr>
                <w:bCs/>
                <w:color w:val="002060"/>
                <w:sz w:val="16"/>
                <w:szCs w:val="16"/>
              </w:rPr>
            </w:pPr>
            <w:r w:rsidRPr="00405303">
              <w:rPr>
                <w:bCs/>
                <w:color w:val="002060"/>
                <w:sz w:val="16"/>
                <w:szCs w:val="16"/>
              </w:rPr>
              <w:t>18</w:t>
            </w:r>
          </w:p>
        </w:tc>
        <w:tc>
          <w:tcPr>
            <w:tcW w:w="1792" w:type="dxa"/>
          </w:tcPr>
          <w:p w14:paraId="60117775" w14:textId="77777777" w:rsidR="004B4E35" w:rsidRPr="00405303" w:rsidRDefault="009E6F82" w:rsidP="00C15251">
            <w:pPr>
              <w:jc w:val="both"/>
              <w:rPr>
                <w:bCs/>
                <w:color w:val="002060"/>
                <w:sz w:val="16"/>
                <w:szCs w:val="16"/>
              </w:rPr>
            </w:pPr>
            <w:r w:rsidRPr="00405303">
              <w:rPr>
                <w:bCs/>
                <w:color w:val="002060"/>
                <w:sz w:val="16"/>
                <w:szCs w:val="16"/>
              </w:rPr>
              <w:t>739,8</w:t>
            </w:r>
          </w:p>
        </w:tc>
        <w:tc>
          <w:tcPr>
            <w:tcW w:w="972" w:type="dxa"/>
          </w:tcPr>
          <w:p w14:paraId="1920A0DE" w14:textId="77777777" w:rsidR="004B4E35" w:rsidRPr="00405303" w:rsidRDefault="009E6F82" w:rsidP="00C15251">
            <w:pPr>
              <w:jc w:val="both"/>
              <w:rPr>
                <w:bCs/>
                <w:color w:val="002060"/>
                <w:sz w:val="16"/>
                <w:szCs w:val="16"/>
              </w:rPr>
            </w:pPr>
            <w:r w:rsidRPr="00405303">
              <w:rPr>
                <w:bCs/>
                <w:color w:val="002060"/>
                <w:sz w:val="16"/>
                <w:szCs w:val="16"/>
              </w:rPr>
              <w:t>1.539,8</w:t>
            </w:r>
          </w:p>
        </w:tc>
      </w:tr>
      <w:tr w:rsidR="004B4E35" w:rsidRPr="00405303" w14:paraId="3ADB6805" w14:textId="77777777">
        <w:tc>
          <w:tcPr>
            <w:tcW w:w="1248" w:type="dxa"/>
          </w:tcPr>
          <w:p w14:paraId="002F7FD5" w14:textId="77777777" w:rsidR="004B4E35" w:rsidRPr="00405303" w:rsidRDefault="009E6F82" w:rsidP="00C15251">
            <w:pPr>
              <w:jc w:val="both"/>
              <w:rPr>
                <w:bCs/>
                <w:color w:val="002060"/>
                <w:sz w:val="16"/>
                <w:szCs w:val="16"/>
              </w:rPr>
            </w:pPr>
            <w:r w:rsidRPr="00405303">
              <w:rPr>
                <w:bCs/>
                <w:color w:val="002060"/>
                <w:sz w:val="16"/>
                <w:szCs w:val="16"/>
              </w:rPr>
              <w:t>Июнь</w:t>
            </w:r>
          </w:p>
        </w:tc>
        <w:tc>
          <w:tcPr>
            <w:tcW w:w="1503" w:type="dxa"/>
          </w:tcPr>
          <w:p w14:paraId="3947C7DA"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11CAB5E4" w14:textId="77777777" w:rsidR="004B4E35" w:rsidRPr="00405303" w:rsidRDefault="009E6F82" w:rsidP="00C15251">
            <w:pPr>
              <w:jc w:val="both"/>
              <w:rPr>
                <w:bCs/>
                <w:color w:val="002060"/>
                <w:sz w:val="16"/>
                <w:szCs w:val="16"/>
              </w:rPr>
            </w:pPr>
            <w:r w:rsidRPr="00405303">
              <w:rPr>
                <w:bCs/>
                <w:color w:val="002060"/>
                <w:sz w:val="16"/>
                <w:szCs w:val="16"/>
              </w:rPr>
              <w:t>18</w:t>
            </w:r>
          </w:p>
        </w:tc>
        <w:tc>
          <w:tcPr>
            <w:tcW w:w="1792" w:type="dxa"/>
          </w:tcPr>
          <w:p w14:paraId="28B09677" w14:textId="77777777" w:rsidR="004B4E35" w:rsidRPr="00405303" w:rsidRDefault="009E6F82" w:rsidP="00C15251">
            <w:pPr>
              <w:jc w:val="both"/>
              <w:rPr>
                <w:bCs/>
                <w:color w:val="002060"/>
                <w:sz w:val="16"/>
                <w:szCs w:val="16"/>
              </w:rPr>
            </w:pPr>
            <w:r w:rsidRPr="00405303">
              <w:rPr>
                <w:bCs/>
                <w:color w:val="002060"/>
                <w:sz w:val="16"/>
                <w:szCs w:val="16"/>
              </w:rPr>
              <w:t>739,8</w:t>
            </w:r>
          </w:p>
        </w:tc>
        <w:tc>
          <w:tcPr>
            <w:tcW w:w="972" w:type="dxa"/>
          </w:tcPr>
          <w:p w14:paraId="19891445" w14:textId="77777777" w:rsidR="004B4E35" w:rsidRPr="00405303" w:rsidRDefault="009E6F82" w:rsidP="00C15251">
            <w:pPr>
              <w:jc w:val="both"/>
              <w:rPr>
                <w:bCs/>
                <w:color w:val="002060"/>
                <w:sz w:val="16"/>
                <w:szCs w:val="16"/>
              </w:rPr>
            </w:pPr>
            <w:r w:rsidRPr="00405303">
              <w:rPr>
                <w:bCs/>
                <w:color w:val="002060"/>
                <w:sz w:val="16"/>
                <w:szCs w:val="16"/>
              </w:rPr>
              <w:t>1.539,8</w:t>
            </w:r>
          </w:p>
        </w:tc>
      </w:tr>
      <w:tr w:rsidR="004B4E35" w:rsidRPr="00405303" w14:paraId="24D7B835" w14:textId="77777777">
        <w:tc>
          <w:tcPr>
            <w:tcW w:w="1248" w:type="dxa"/>
          </w:tcPr>
          <w:p w14:paraId="0E325033" w14:textId="77777777" w:rsidR="004B4E35" w:rsidRPr="00405303" w:rsidRDefault="009E6F82" w:rsidP="00C15251">
            <w:pPr>
              <w:jc w:val="both"/>
              <w:rPr>
                <w:bCs/>
                <w:color w:val="002060"/>
                <w:sz w:val="16"/>
                <w:szCs w:val="16"/>
              </w:rPr>
            </w:pPr>
            <w:r w:rsidRPr="00405303">
              <w:rPr>
                <w:bCs/>
                <w:color w:val="002060"/>
                <w:sz w:val="16"/>
                <w:szCs w:val="16"/>
              </w:rPr>
              <w:t>Июль</w:t>
            </w:r>
          </w:p>
        </w:tc>
        <w:tc>
          <w:tcPr>
            <w:tcW w:w="1503" w:type="dxa"/>
          </w:tcPr>
          <w:p w14:paraId="3B3B79D6"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73BDE141" w14:textId="77777777" w:rsidR="004B4E35" w:rsidRPr="00405303" w:rsidRDefault="009E6F82" w:rsidP="00C15251">
            <w:pPr>
              <w:jc w:val="both"/>
              <w:rPr>
                <w:bCs/>
                <w:color w:val="002060"/>
                <w:sz w:val="16"/>
                <w:szCs w:val="16"/>
              </w:rPr>
            </w:pPr>
            <w:r w:rsidRPr="00405303">
              <w:rPr>
                <w:bCs/>
                <w:color w:val="002060"/>
                <w:sz w:val="16"/>
                <w:szCs w:val="16"/>
              </w:rPr>
              <w:t>23</w:t>
            </w:r>
          </w:p>
        </w:tc>
        <w:tc>
          <w:tcPr>
            <w:tcW w:w="1792" w:type="dxa"/>
          </w:tcPr>
          <w:p w14:paraId="567764A3" w14:textId="77777777" w:rsidR="004B4E35" w:rsidRPr="00405303" w:rsidRDefault="009E6F82" w:rsidP="00C15251">
            <w:pPr>
              <w:jc w:val="both"/>
              <w:rPr>
                <w:bCs/>
                <w:color w:val="002060"/>
                <w:sz w:val="16"/>
                <w:szCs w:val="16"/>
              </w:rPr>
            </w:pPr>
            <w:r w:rsidRPr="00405303">
              <w:rPr>
                <w:bCs/>
                <w:color w:val="002060"/>
                <w:sz w:val="16"/>
                <w:szCs w:val="16"/>
              </w:rPr>
              <w:t>932,4</w:t>
            </w:r>
          </w:p>
        </w:tc>
        <w:tc>
          <w:tcPr>
            <w:tcW w:w="972" w:type="dxa"/>
          </w:tcPr>
          <w:p w14:paraId="3D5C9BF4" w14:textId="77777777" w:rsidR="004B4E35" w:rsidRPr="00405303" w:rsidRDefault="009E6F82" w:rsidP="00C15251">
            <w:pPr>
              <w:jc w:val="both"/>
              <w:rPr>
                <w:bCs/>
                <w:color w:val="002060"/>
                <w:sz w:val="16"/>
                <w:szCs w:val="16"/>
              </w:rPr>
            </w:pPr>
            <w:r w:rsidRPr="00405303">
              <w:rPr>
                <w:bCs/>
                <w:color w:val="002060"/>
                <w:sz w:val="16"/>
                <w:szCs w:val="16"/>
              </w:rPr>
              <w:t>1.732,4</w:t>
            </w:r>
          </w:p>
        </w:tc>
      </w:tr>
      <w:tr w:rsidR="004B4E35" w:rsidRPr="00405303" w14:paraId="7E8F4F10" w14:textId="77777777">
        <w:tc>
          <w:tcPr>
            <w:tcW w:w="1248" w:type="dxa"/>
          </w:tcPr>
          <w:p w14:paraId="02C2978F" w14:textId="77777777" w:rsidR="004B4E35" w:rsidRPr="00405303" w:rsidRDefault="009E6F82" w:rsidP="00C15251">
            <w:pPr>
              <w:jc w:val="both"/>
              <w:rPr>
                <w:bCs/>
                <w:color w:val="002060"/>
                <w:sz w:val="16"/>
                <w:szCs w:val="16"/>
              </w:rPr>
            </w:pPr>
            <w:r w:rsidRPr="00405303">
              <w:rPr>
                <w:bCs/>
                <w:color w:val="002060"/>
                <w:sz w:val="16"/>
                <w:szCs w:val="16"/>
              </w:rPr>
              <w:lastRenderedPageBreak/>
              <w:t>Август</w:t>
            </w:r>
          </w:p>
        </w:tc>
        <w:tc>
          <w:tcPr>
            <w:tcW w:w="1503" w:type="dxa"/>
          </w:tcPr>
          <w:p w14:paraId="7E3CF54E"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039B9F90" w14:textId="77777777" w:rsidR="004B4E35" w:rsidRPr="00405303" w:rsidRDefault="009E6F82" w:rsidP="00C15251">
            <w:pPr>
              <w:jc w:val="both"/>
              <w:rPr>
                <w:bCs/>
                <w:color w:val="002060"/>
                <w:sz w:val="16"/>
                <w:szCs w:val="16"/>
              </w:rPr>
            </w:pPr>
            <w:r w:rsidRPr="00405303">
              <w:rPr>
                <w:bCs/>
                <w:color w:val="002060"/>
                <w:sz w:val="16"/>
                <w:szCs w:val="16"/>
              </w:rPr>
              <w:t>23</w:t>
            </w:r>
          </w:p>
        </w:tc>
        <w:tc>
          <w:tcPr>
            <w:tcW w:w="1792" w:type="dxa"/>
          </w:tcPr>
          <w:p w14:paraId="044502DA" w14:textId="77777777" w:rsidR="004B4E35" w:rsidRPr="00405303" w:rsidRDefault="009E6F82" w:rsidP="00C15251">
            <w:pPr>
              <w:jc w:val="both"/>
              <w:rPr>
                <w:bCs/>
                <w:color w:val="002060"/>
                <w:sz w:val="16"/>
                <w:szCs w:val="16"/>
              </w:rPr>
            </w:pPr>
            <w:r w:rsidRPr="00405303">
              <w:rPr>
                <w:bCs/>
                <w:color w:val="002060"/>
                <w:sz w:val="16"/>
                <w:szCs w:val="16"/>
              </w:rPr>
              <w:t>932,4</w:t>
            </w:r>
          </w:p>
        </w:tc>
        <w:tc>
          <w:tcPr>
            <w:tcW w:w="972" w:type="dxa"/>
          </w:tcPr>
          <w:p w14:paraId="668B06C3" w14:textId="77777777" w:rsidR="004B4E35" w:rsidRPr="00405303" w:rsidRDefault="009E6F82" w:rsidP="00C15251">
            <w:pPr>
              <w:jc w:val="both"/>
              <w:rPr>
                <w:bCs/>
                <w:color w:val="002060"/>
                <w:sz w:val="16"/>
                <w:szCs w:val="16"/>
              </w:rPr>
            </w:pPr>
            <w:r w:rsidRPr="00405303">
              <w:rPr>
                <w:bCs/>
                <w:color w:val="002060"/>
                <w:sz w:val="16"/>
                <w:szCs w:val="16"/>
              </w:rPr>
              <w:t>1.732,4</w:t>
            </w:r>
          </w:p>
        </w:tc>
      </w:tr>
      <w:tr w:rsidR="004B4E35" w:rsidRPr="00405303" w14:paraId="0B9585A3" w14:textId="77777777">
        <w:tc>
          <w:tcPr>
            <w:tcW w:w="1248" w:type="dxa"/>
          </w:tcPr>
          <w:p w14:paraId="5AD90C0D" w14:textId="77777777" w:rsidR="004B4E35" w:rsidRPr="00405303" w:rsidRDefault="009E6F82" w:rsidP="00C15251">
            <w:pPr>
              <w:jc w:val="both"/>
              <w:rPr>
                <w:bCs/>
                <w:color w:val="002060"/>
                <w:sz w:val="16"/>
                <w:szCs w:val="16"/>
              </w:rPr>
            </w:pPr>
            <w:r w:rsidRPr="00405303">
              <w:rPr>
                <w:bCs/>
                <w:color w:val="002060"/>
                <w:sz w:val="16"/>
                <w:szCs w:val="16"/>
              </w:rPr>
              <w:t>Сентябрь</w:t>
            </w:r>
          </w:p>
        </w:tc>
        <w:tc>
          <w:tcPr>
            <w:tcW w:w="1503" w:type="dxa"/>
          </w:tcPr>
          <w:p w14:paraId="53B036A6"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2A2D55AC" w14:textId="77777777" w:rsidR="004B4E35" w:rsidRPr="00405303" w:rsidRDefault="009E6F82" w:rsidP="00C15251">
            <w:pPr>
              <w:jc w:val="both"/>
              <w:rPr>
                <w:bCs/>
                <w:color w:val="002060"/>
                <w:sz w:val="16"/>
                <w:szCs w:val="16"/>
              </w:rPr>
            </w:pPr>
            <w:r w:rsidRPr="00405303">
              <w:rPr>
                <w:bCs/>
                <w:color w:val="002060"/>
                <w:sz w:val="16"/>
                <w:szCs w:val="16"/>
              </w:rPr>
              <w:t>28</w:t>
            </w:r>
          </w:p>
        </w:tc>
        <w:tc>
          <w:tcPr>
            <w:tcW w:w="1792" w:type="dxa"/>
          </w:tcPr>
          <w:p w14:paraId="283C7962" w14:textId="77777777" w:rsidR="004B4E35" w:rsidRPr="00405303" w:rsidRDefault="009E6F82" w:rsidP="00C15251">
            <w:pPr>
              <w:jc w:val="both"/>
              <w:rPr>
                <w:bCs/>
                <w:color w:val="002060"/>
                <w:sz w:val="16"/>
                <w:szCs w:val="16"/>
              </w:rPr>
            </w:pPr>
            <w:r w:rsidRPr="00405303">
              <w:rPr>
                <w:bCs/>
                <w:color w:val="002060"/>
                <w:sz w:val="16"/>
                <w:szCs w:val="16"/>
              </w:rPr>
              <w:t>1.064,7</w:t>
            </w:r>
          </w:p>
        </w:tc>
        <w:tc>
          <w:tcPr>
            <w:tcW w:w="972" w:type="dxa"/>
          </w:tcPr>
          <w:p w14:paraId="33096C89" w14:textId="77777777" w:rsidR="004B4E35" w:rsidRPr="00405303" w:rsidRDefault="009E6F82" w:rsidP="00C15251">
            <w:pPr>
              <w:jc w:val="both"/>
              <w:rPr>
                <w:bCs/>
                <w:color w:val="002060"/>
                <w:sz w:val="16"/>
                <w:szCs w:val="16"/>
              </w:rPr>
            </w:pPr>
            <w:r w:rsidRPr="00405303">
              <w:rPr>
                <w:bCs/>
                <w:color w:val="002060"/>
                <w:sz w:val="16"/>
                <w:szCs w:val="16"/>
              </w:rPr>
              <w:t>1.864,7</w:t>
            </w:r>
          </w:p>
        </w:tc>
      </w:tr>
      <w:tr w:rsidR="004B4E35" w:rsidRPr="00405303" w14:paraId="740AF77C" w14:textId="77777777">
        <w:tc>
          <w:tcPr>
            <w:tcW w:w="1248" w:type="dxa"/>
          </w:tcPr>
          <w:p w14:paraId="023464BB" w14:textId="77777777" w:rsidR="004B4E35" w:rsidRPr="00405303" w:rsidRDefault="009E6F82" w:rsidP="00C15251">
            <w:pPr>
              <w:jc w:val="both"/>
              <w:rPr>
                <w:bCs/>
                <w:color w:val="002060"/>
                <w:sz w:val="16"/>
                <w:szCs w:val="16"/>
              </w:rPr>
            </w:pPr>
            <w:r w:rsidRPr="00405303">
              <w:rPr>
                <w:bCs/>
                <w:color w:val="002060"/>
                <w:sz w:val="16"/>
                <w:szCs w:val="16"/>
              </w:rPr>
              <w:t>Октябрь</w:t>
            </w:r>
          </w:p>
        </w:tc>
        <w:tc>
          <w:tcPr>
            <w:tcW w:w="1503" w:type="dxa"/>
          </w:tcPr>
          <w:p w14:paraId="2F091B59"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0B6AEEC5" w14:textId="77777777" w:rsidR="004B4E35" w:rsidRPr="00405303" w:rsidRDefault="009E6F82" w:rsidP="00C15251">
            <w:pPr>
              <w:jc w:val="both"/>
              <w:rPr>
                <w:bCs/>
                <w:color w:val="002060"/>
                <w:sz w:val="16"/>
                <w:szCs w:val="16"/>
              </w:rPr>
            </w:pPr>
            <w:r w:rsidRPr="00405303">
              <w:rPr>
                <w:bCs/>
                <w:color w:val="002060"/>
                <w:sz w:val="16"/>
                <w:szCs w:val="16"/>
              </w:rPr>
              <w:t>28</w:t>
            </w:r>
          </w:p>
        </w:tc>
        <w:tc>
          <w:tcPr>
            <w:tcW w:w="1792" w:type="dxa"/>
          </w:tcPr>
          <w:p w14:paraId="20569FFC" w14:textId="77777777" w:rsidR="004B4E35" w:rsidRPr="00405303" w:rsidRDefault="009E6F82" w:rsidP="00C15251">
            <w:pPr>
              <w:jc w:val="both"/>
              <w:rPr>
                <w:bCs/>
                <w:color w:val="002060"/>
                <w:sz w:val="16"/>
                <w:szCs w:val="16"/>
              </w:rPr>
            </w:pPr>
            <w:r w:rsidRPr="00405303">
              <w:rPr>
                <w:bCs/>
                <w:color w:val="002060"/>
                <w:sz w:val="16"/>
                <w:szCs w:val="16"/>
              </w:rPr>
              <w:t>1.064,7</w:t>
            </w:r>
          </w:p>
        </w:tc>
        <w:tc>
          <w:tcPr>
            <w:tcW w:w="972" w:type="dxa"/>
          </w:tcPr>
          <w:p w14:paraId="364444AA" w14:textId="77777777" w:rsidR="004B4E35" w:rsidRPr="00405303" w:rsidRDefault="009E6F82" w:rsidP="00C15251">
            <w:pPr>
              <w:jc w:val="both"/>
              <w:rPr>
                <w:bCs/>
                <w:color w:val="002060"/>
                <w:sz w:val="16"/>
                <w:szCs w:val="16"/>
              </w:rPr>
            </w:pPr>
            <w:r w:rsidRPr="00405303">
              <w:rPr>
                <w:bCs/>
                <w:color w:val="002060"/>
                <w:sz w:val="16"/>
                <w:szCs w:val="16"/>
              </w:rPr>
              <w:t>1.864,7</w:t>
            </w:r>
          </w:p>
        </w:tc>
      </w:tr>
      <w:tr w:rsidR="004B4E35" w:rsidRPr="00405303" w14:paraId="7DC38C58" w14:textId="77777777">
        <w:tc>
          <w:tcPr>
            <w:tcW w:w="1248" w:type="dxa"/>
          </w:tcPr>
          <w:p w14:paraId="63C5460F"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1503" w:type="dxa"/>
          </w:tcPr>
          <w:p w14:paraId="221D8A96"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625A6DDD" w14:textId="77777777" w:rsidR="004B4E35" w:rsidRPr="00405303" w:rsidRDefault="009E6F82" w:rsidP="00C15251">
            <w:pPr>
              <w:jc w:val="both"/>
              <w:rPr>
                <w:bCs/>
                <w:color w:val="002060"/>
                <w:sz w:val="16"/>
                <w:szCs w:val="16"/>
              </w:rPr>
            </w:pPr>
            <w:r w:rsidRPr="00405303">
              <w:rPr>
                <w:bCs/>
                <w:color w:val="002060"/>
                <w:sz w:val="16"/>
                <w:szCs w:val="16"/>
              </w:rPr>
              <w:t>28</w:t>
            </w:r>
          </w:p>
        </w:tc>
        <w:tc>
          <w:tcPr>
            <w:tcW w:w="1792" w:type="dxa"/>
          </w:tcPr>
          <w:p w14:paraId="42359B2A" w14:textId="77777777" w:rsidR="004B4E35" w:rsidRPr="00405303" w:rsidRDefault="009E6F82" w:rsidP="00C15251">
            <w:pPr>
              <w:jc w:val="both"/>
              <w:rPr>
                <w:bCs/>
                <w:color w:val="002060"/>
                <w:sz w:val="16"/>
                <w:szCs w:val="16"/>
              </w:rPr>
            </w:pPr>
            <w:r w:rsidRPr="00405303">
              <w:rPr>
                <w:bCs/>
                <w:color w:val="002060"/>
                <w:sz w:val="16"/>
                <w:szCs w:val="16"/>
              </w:rPr>
              <w:t>1.064,7</w:t>
            </w:r>
          </w:p>
        </w:tc>
        <w:tc>
          <w:tcPr>
            <w:tcW w:w="972" w:type="dxa"/>
          </w:tcPr>
          <w:p w14:paraId="1D8E78F8" w14:textId="77777777" w:rsidR="004B4E35" w:rsidRPr="00405303" w:rsidRDefault="009E6F82" w:rsidP="00C15251">
            <w:pPr>
              <w:jc w:val="both"/>
              <w:rPr>
                <w:bCs/>
                <w:color w:val="002060"/>
                <w:sz w:val="16"/>
                <w:szCs w:val="16"/>
              </w:rPr>
            </w:pPr>
            <w:r w:rsidRPr="00405303">
              <w:rPr>
                <w:bCs/>
                <w:color w:val="002060"/>
                <w:sz w:val="16"/>
                <w:szCs w:val="16"/>
              </w:rPr>
              <w:t>1.864,7</w:t>
            </w:r>
          </w:p>
        </w:tc>
      </w:tr>
      <w:tr w:rsidR="004B4E35" w:rsidRPr="00405303" w14:paraId="66300132" w14:textId="77777777">
        <w:tc>
          <w:tcPr>
            <w:tcW w:w="1248" w:type="dxa"/>
          </w:tcPr>
          <w:p w14:paraId="51EC0C65"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1503" w:type="dxa"/>
          </w:tcPr>
          <w:p w14:paraId="67A4656A"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28D394D6" w14:textId="77777777" w:rsidR="004B4E35" w:rsidRPr="00405303" w:rsidRDefault="009E6F82" w:rsidP="00C15251">
            <w:pPr>
              <w:jc w:val="both"/>
              <w:rPr>
                <w:bCs/>
                <w:color w:val="002060"/>
                <w:sz w:val="16"/>
                <w:szCs w:val="16"/>
              </w:rPr>
            </w:pPr>
            <w:r w:rsidRPr="00405303">
              <w:rPr>
                <w:bCs/>
                <w:color w:val="002060"/>
                <w:sz w:val="16"/>
                <w:szCs w:val="16"/>
              </w:rPr>
              <w:t>28</w:t>
            </w:r>
          </w:p>
        </w:tc>
        <w:tc>
          <w:tcPr>
            <w:tcW w:w="1792" w:type="dxa"/>
          </w:tcPr>
          <w:p w14:paraId="58019CD9" w14:textId="77777777" w:rsidR="004B4E35" w:rsidRPr="00405303" w:rsidRDefault="009E6F82" w:rsidP="00C15251">
            <w:pPr>
              <w:jc w:val="both"/>
              <w:rPr>
                <w:bCs/>
                <w:color w:val="002060"/>
                <w:sz w:val="16"/>
                <w:szCs w:val="16"/>
              </w:rPr>
            </w:pPr>
            <w:r w:rsidRPr="00405303">
              <w:rPr>
                <w:bCs/>
                <w:color w:val="002060"/>
                <w:sz w:val="16"/>
                <w:szCs w:val="16"/>
              </w:rPr>
              <w:t>1.064,7</w:t>
            </w:r>
          </w:p>
        </w:tc>
        <w:tc>
          <w:tcPr>
            <w:tcW w:w="972" w:type="dxa"/>
          </w:tcPr>
          <w:p w14:paraId="50EB1922" w14:textId="77777777" w:rsidR="004B4E35" w:rsidRPr="00405303" w:rsidRDefault="009E6F82" w:rsidP="00C15251">
            <w:pPr>
              <w:jc w:val="both"/>
              <w:rPr>
                <w:bCs/>
                <w:color w:val="002060"/>
                <w:sz w:val="16"/>
                <w:szCs w:val="16"/>
              </w:rPr>
            </w:pPr>
            <w:r w:rsidRPr="00405303">
              <w:rPr>
                <w:bCs/>
                <w:color w:val="002060"/>
                <w:sz w:val="16"/>
                <w:szCs w:val="16"/>
              </w:rPr>
              <w:t>1.864,7</w:t>
            </w:r>
          </w:p>
        </w:tc>
      </w:tr>
    </w:tbl>
    <w:p w14:paraId="5AAABED1" w14:textId="77777777" w:rsidR="004B4E35" w:rsidRPr="00405303" w:rsidRDefault="009E6F82" w:rsidP="00C15251">
      <w:pPr>
        <w:jc w:val="both"/>
        <w:rPr>
          <w:bCs/>
          <w:color w:val="002060"/>
          <w:sz w:val="16"/>
          <w:szCs w:val="16"/>
        </w:rPr>
      </w:pPr>
      <w:r w:rsidRPr="00405303">
        <w:rPr>
          <w:bCs/>
          <w:color w:val="002060"/>
          <w:sz w:val="16"/>
          <w:szCs w:val="16"/>
        </w:rPr>
        <w:t>Фактически эта программа выполнялась на 80%.</w:t>
      </w:r>
    </w:p>
    <w:p w14:paraId="63674817" w14:textId="495BEE87" w:rsidR="004B4E35" w:rsidRPr="00405303" w:rsidRDefault="00DB4D64" w:rsidP="00C15251">
      <w:pPr>
        <w:jc w:val="both"/>
        <w:rPr>
          <w:bCs/>
          <w:color w:val="002060"/>
          <w:sz w:val="16"/>
          <w:szCs w:val="16"/>
        </w:rPr>
      </w:pPr>
      <w:r w:rsidRPr="00405303">
        <w:rPr>
          <w:bCs/>
          <w:color w:val="002060"/>
          <w:sz w:val="16"/>
          <w:szCs w:val="16"/>
        </w:rPr>
        <w:t xml:space="preserve"> </w:t>
      </w:r>
      <w:r w:rsidR="009E6F82" w:rsidRPr="00405303">
        <w:rPr>
          <w:bCs/>
          <w:color w:val="002060"/>
          <w:sz w:val="16"/>
          <w:szCs w:val="16"/>
        </w:rPr>
        <w:t xml:space="preserve">Что касается добычи колчедана, то в связи с программой сернокислотных заводов программа по колчедану была намечена следующая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52"/>
        <w:gridCol w:w="612"/>
        <w:gridCol w:w="650"/>
        <w:gridCol w:w="636"/>
        <w:gridCol w:w="728"/>
      </w:tblGrid>
      <w:tr w:rsidR="004B4E35" w:rsidRPr="00405303" w14:paraId="0A54B25D" w14:textId="77777777">
        <w:tc>
          <w:tcPr>
            <w:tcW w:w="2652" w:type="dxa"/>
          </w:tcPr>
          <w:p w14:paraId="0C459757" w14:textId="6BC95258" w:rsidR="004B4E35" w:rsidRPr="00405303" w:rsidRDefault="00DB4D64" w:rsidP="00C15251">
            <w:pPr>
              <w:jc w:val="both"/>
              <w:rPr>
                <w:bCs/>
                <w:color w:val="002060"/>
                <w:sz w:val="16"/>
                <w:szCs w:val="16"/>
              </w:rPr>
            </w:pPr>
            <w:r w:rsidRPr="00405303">
              <w:rPr>
                <w:bCs/>
                <w:color w:val="002060"/>
                <w:sz w:val="16"/>
                <w:szCs w:val="16"/>
              </w:rPr>
              <w:t xml:space="preserve"> </w:t>
            </w:r>
          </w:p>
        </w:tc>
        <w:tc>
          <w:tcPr>
            <w:tcW w:w="612" w:type="dxa"/>
          </w:tcPr>
          <w:p w14:paraId="64CB972E" w14:textId="77777777" w:rsidR="004B4E35" w:rsidRPr="00405303" w:rsidRDefault="009E6F82" w:rsidP="00C15251">
            <w:pPr>
              <w:jc w:val="both"/>
              <w:rPr>
                <w:bCs/>
                <w:color w:val="002060"/>
                <w:sz w:val="16"/>
                <w:szCs w:val="16"/>
              </w:rPr>
            </w:pPr>
            <w:r w:rsidRPr="00405303">
              <w:rPr>
                <w:bCs/>
                <w:color w:val="002060"/>
                <w:sz w:val="16"/>
                <w:szCs w:val="16"/>
              </w:rPr>
              <w:t>Август 1915 г.</w:t>
            </w:r>
          </w:p>
        </w:tc>
        <w:tc>
          <w:tcPr>
            <w:tcW w:w="650" w:type="dxa"/>
          </w:tcPr>
          <w:p w14:paraId="7173B0DA" w14:textId="77777777" w:rsidR="004B4E35" w:rsidRPr="00405303" w:rsidRDefault="009E6F82" w:rsidP="00C15251">
            <w:pPr>
              <w:jc w:val="both"/>
              <w:rPr>
                <w:bCs/>
                <w:color w:val="002060"/>
                <w:sz w:val="16"/>
                <w:szCs w:val="16"/>
              </w:rPr>
            </w:pPr>
            <w:r w:rsidRPr="00405303">
              <w:rPr>
                <w:bCs/>
                <w:color w:val="002060"/>
                <w:sz w:val="16"/>
                <w:szCs w:val="16"/>
              </w:rPr>
              <w:t>Январь 1916 г.</w:t>
            </w:r>
          </w:p>
        </w:tc>
        <w:tc>
          <w:tcPr>
            <w:tcW w:w="636" w:type="dxa"/>
          </w:tcPr>
          <w:p w14:paraId="7E547FAC" w14:textId="77777777" w:rsidR="004B4E35" w:rsidRPr="00405303" w:rsidRDefault="009E6F82" w:rsidP="00C15251">
            <w:pPr>
              <w:jc w:val="both"/>
              <w:rPr>
                <w:bCs/>
                <w:color w:val="002060"/>
                <w:sz w:val="16"/>
                <w:szCs w:val="16"/>
              </w:rPr>
            </w:pPr>
            <w:r w:rsidRPr="00405303">
              <w:rPr>
                <w:bCs/>
                <w:color w:val="002060"/>
                <w:sz w:val="16"/>
                <w:szCs w:val="16"/>
              </w:rPr>
              <w:t>Июнь 1916 г.</w:t>
            </w:r>
          </w:p>
        </w:tc>
        <w:tc>
          <w:tcPr>
            <w:tcW w:w="728" w:type="dxa"/>
          </w:tcPr>
          <w:p w14:paraId="0AB2D9A8" w14:textId="77777777" w:rsidR="004B4E35" w:rsidRPr="00405303" w:rsidRDefault="009E6F82" w:rsidP="00C15251">
            <w:pPr>
              <w:jc w:val="both"/>
              <w:rPr>
                <w:bCs/>
                <w:color w:val="002060"/>
                <w:sz w:val="16"/>
                <w:szCs w:val="16"/>
              </w:rPr>
            </w:pPr>
            <w:r w:rsidRPr="00405303">
              <w:rPr>
                <w:bCs/>
                <w:color w:val="002060"/>
                <w:sz w:val="16"/>
                <w:szCs w:val="16"/>
              </w:rPr>
              <w:t>Декабрь 1916 г.</w:t>
            </w:r>
          </w:p>
        </w:tc>
      </w:tr>
      <w:tr w:rsidR="004B4E35" w:rsidRPr="00405303" w14:paraId="38012BA8" w14:textId="77777777">
        <w:tc>
          <w:tcPr>
            <w:tcW w:w="2652" w:type="dxa"/>
          </w:tcPr>
          <w:p w14:paraId="6E4B5354" w14:textId="77777777" w:rsidR="004B4E35" w:rsidRPr="00405303" w:rsidRDefault="009E6F82" w:rsidP="00C15251">
            <w:pPr>
              <w:jc w:val="both"/>
              <w:rPr>
                <w:bCs/>
                <w:color w:val="002060"/>
                <w:sz w:val="16"/>
                <w:szCs w:val="16"/>
              </w:rPr>
            </w:pPr>
            <w:r w:rsidRPr="00405303">
              <w:rPr>
                <w:bCs/>
                <w:color w:val="002060"/>
                <w:sz w:val="16"/>
                <w:szCs w:val="16"/>
              </w:rPr>
              <w:t>Кыштымский горный округ</w:t>
            </w:r>
          </w:p>
        </w:tc>
        <w:tc>
          <w:tcPr>
            <w:tcW w:w="612" w:type="dxa"/>
          </w:tcPr>
          <w:p w14:paraId="5AC8AA89" w14:textId="77777777" w:rsidR="004B4E35" w:rsidRPr="00405303" w:rsidRDefault="009E6F82" w:rsidP="00C15251">
            <w:pPr>
              <w:jc w:val="both"/>
              <w:rPr>
                <w:bCs/>
                <w:color w:val="002060"/>
                <w:sz w:val="16"/>
                <w:szCs w:val="16"/>
              </w:rPr>
            </w:pPr>
            <w:r w:rsidRPr="00405303">
              <w:rPr>
                <w:bCs/>
                <w:color w:val="002060"/>
                <w:sz w:val="16"/>
                <w:szCs w:val="16"/>
              </w:rPr>
              <w:t>225</w:t>
            </w:r>
          </w:p>
        </w:tc>
        <w:tc>
          <w:tcPr>
            <w:tcW w:w="650" w:type="dxa"/>
          </w:tcPr>
          <w:p w14:paraId="5F432EB2"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636" w:type="dxa"/>
          </w:tcPr>
          <w:p w14:paraId="2F635634"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728" w:type="dxa"/>
          </w:tcPr>
          <w:p w14:paraId="10EEE62E" w14:textId="77777777" w:rsidR="004B4E35" w:rsidRPr="00405303" w:rsidRDefault="009E6F82" w:rsidP="00C15251">
            <w:pPr>
              <w:jc w:val="both"/>
              <w:rPr>
                <w:bCs/>
                <w:color w:val="002060"/>
                <w:sz w:val="16"/>
                <w:szCs w:val="16"/>
              </w:rPr>
            </w:pPr>
            <w:r w:rsidRPr="00405303">
              <w:rPr>
                <w:bCs/>
                <w:color w:val="002060"/>
                <w:sz w:val="16"/>
                <w:szCs w:val="16"/>
              </w:rPr>
              <w:t>800</w:t>
            </w:r>
          </w:p>
        </w:tc>
      </w:tr>
      <w:tr w:rsidR="004B4E35" w:rsidRPr="00405303" w14:paraId="42D18E35" w14:textId="77777777">
        <w:tc>
          <w:tcPr>
            <w:tcW w:w="2652" w:type="dxa"/>
          </w:tcPr>
          <w:p w14:paraId="1FF4A7AC" w14:textId="77777777" w:rsidR="004B4E35" w:rsidRPr="00405303" w:rsidRDefault="009E6F82" w:rsidP="00C15251">
            <w:pPr>
              <w:jc w:val="both"/>
              <w:rPr>
                <w:bCs/>
                <w:color w:val="002060"/>
                <w:sz w:val="16"/>
                <w:szCs w:val="16"/>
              </w:rPr>
            </w:pPr>
            <w:r w:rsidRPr="00405303">
              <w:rPr>
                <w:bCs/>
                <w:color w:val="002060"/>
                <w:sz w:val="16"/>
                <w:szCs w:val="16"/>
              </w:rPr>
              <w:t>Верх-Исетский горный округ</w:t>
            </w:r>
          </w:p>
        </w:tc>
        <w:tc>
          <w:tcPr>
            <w:tcW w:w="612" w:type="dxa"/>
          </w:tcPr>
          <w:p w14:paraId="07D12A95" w14:textId="77777777" w:rsidR="004B4E35" w:rsidRPr="00405303" w:rsidRDefault="009E6F82" w:rsidP="00C15251">
            <w:pPr>
              <w:jc w:val="both"/>
              <w:rPr>
                <w:bCs/>
                <w:color w:val="002060"/>
                <w:sz w:val="16"/>
                <w:szCs w:val="16"/>
              </w:rPr>
            </w:pPr>
            <w:r w:rsidRPr="00405303">
              <w:rPr>
                <w:bCs/>
                <w:color w:val="002060"/>
                <w:sz w:val="16"/>
                <w:szCs w:val="16"/>
              </w:rPr>
              <w:t>325</w:t>
            </w:r>
          </w:p>
        </w:tc>
        <w:tc>
          <w:tcPr>
            <w:tcW w:w="650" w:type="dxa"/>
          </w:tcPr>
          <w:p w14:paraId="7E5B5956" w14:textId="77777777" w:rsidR="004B4E35" w:rsidRPr="00405303" w:rsidRDefault="009E6F82" w:rsidP="00C15251">
            <w:pPr>
              <w:jc w:val="both"/>
              <w:rPr>
                <w:bCs/>
                <w:color w:val="002060"/>
                <w:sz w:val="16"/>
                <w:szCs w:val="16"/>
              </w:rPr>
            </w:pPr>
            <w:r w:rsidRPr="00405303">
              <w:rPr>
                <w:bCs/>
                <w:color w:val="002060"/>
                <w:sz w:val="16"/>
                <w:szCs w:val="16"/>
              </w:rPr>
              <w:t>325</w:t>
            </w:r>
          </w:p>
        </w:tc>
        <w:tc>
          <w:tcPr>
            <w:tcW w:w="636" w:type="dxa"/>
          </w:tcPr>
          <w:p w14:paraId="117F35D3" w14:textId="77777777" w:rsidR="004B4E35" w:rsidRPr="00405303" w:rsidRDefault="009E6F82" w:rsidP="00C15251">
            <w:pPr>
              <w:jc w:val="both"/>
              <w:rPr>
                <w:bCs/>
                <w:color w:val="002060"/>
                <w:sz w:val="16"/>
                <w:szCs w:val="16"/>
              </w:rPr>
            </w:pPr>
            <w:r w:rsidRPr="00405303">
              <w:rPr>
                <w:bCs/>
                <w:color w:val="002060"/>
                <w:sz w:val="16"/>
                <w:szCs w:val="16"/>
              </w:rPr>
              <w:t>325</w:t>
            </w:r>
          </w:p>
        </w:tc>
        <w:tc>
          <w:tcPr>
            <w:tcW w:w="728" w:type="dxa"/>
          </w:tcPr>
          <w:p w14:paraId="5840A39C" w14:textId="77777777" w:rsidR="004B4E35" w:rsidRPr="00405303" w:rsidRDefault="009E6F82" w:rsidP="00C15251">
            <w:pPr>
              <w:jc w:val="both"/>
              <w:rPr>
                <w:bCs/>
                <w:color w:val="002060"/>
                <w:sz w:val="16"/>
                <w:szCs w:val="16"/>
              </w:rPr>
            </w:pPr>
            <w:r w:rsidRPr="00405303">
              <w:rPr>
                <w:bCs/>
                <w:color w:val="002060"/>
                <w:sz w:val="16"/>
                <w:szCs w:val="16"/>
              </w:rPr>
              <w:t>325</w:t>
            </w:r>
          </w:p>
        </w:tc>
      </w:tr>
      <w:tr w:rsidR="004B4E35" w:rsidRPr="00405303" w14:paraId="5F9C0932" w14:textId="77777777">
        <w:tc>
          <w:tcPr>
            <w:tcW w:w="2652" w:type="dxa"/>
          </w:tcPr>
          <w:p w14:paraId="7C496EBA" w14:textId="77777777" w:rsidR="004B4E35" w:rsidRPr="00405303" w:rsidRDefault="009E6F82" w:rsidP="00C15251">
            <w:pPr>
              <w:jc w:val="both"/>
              <w:rPr>
                <w:bCs/>
                <w:color w:val="002060"/>
                <w:sz w:val="16"/>
                <w:szCs w:val="16"/>
              </w:rPr>
            </w:pPr>
            <w:r w:rsidRPr="00405303">
              <w:rPr>
                <w:bCs/>
                <w:color w:val="002060"/>
                <w:sz w:val="16"/>
                <w:szCs w:val="16"/>
              </w:rPr>
              <w:t>Сысертский горный округ</w:t>
            </w:r>
          </w:p>
        </w:tc>
        <w:tc>
          <w:tcPr>
            <w:tcW w:w="612" w:type="dxa"/>
          </w:tcPr>
          <w:p w14:paraId="2829CFDB" w14:textId="77777777" w:rsidR="004B4E35" w:rsidRPr="00405303" w:rsidRDefault="009E6F82" w:rsidP="00C15251">
            <w:pPr>
              <w:jc w:val="both"/>
              <w:rPr>
                <w:bCs/>
                <w:color w:val="002060"/>
                <w:sz w:val="16"/>
                <w:szCs w:val="16"/>
              </w:rPr>
            </w:pPr>
            <w:r w:rsidRPr="00405303">
              <w:rPr>
                <w:bCs/>
                <w:color w:val="002060"/>
                <w:sz w:val="16"/>
                <w:szCs w:val="16"/>
              </w:rPr>
              <w:t>—</w:t>
            </w:r>
          </w:p>
        </w:tc>
        <w:tc>
          <w:tcPr>
            <w:tcW w:w="650" w:type="dxa"/>
          </w:tcPr>
          <w:p w14:paraId="6717C8D1" w14:textId="77777777" w:rsidR="004B4E35" w:rsidRPr="00405303" w:rsidRDefault="009E6F82" w:rsidP="00C15251">
            <w:pPr>
              <w:jc w:val="both"/>
              <w:rPr>
                <w:bCs/>
                <w:color w:val="002060"/>
                <w:sz w:val="16"/>
                <w:szCs w:val="16"/>
              </w:rPr>
            </w:pPr>
            <w:r w:rsidRPr="00405303">
              <w:rPr>
                <w:bCs/>
                <w:color w:val="002060"/>
                <w:sz w:val="16"/>
                <w:szCs w:val="16"/>
              </w:rPr>
              <w:t>100</w:t>
            </w:r>
          </w:p>
        </w:tc>
        <w:tc>
          <w:tcPr>
            <w:tcW w:w="636" w:type="dxa"/>
          </w:tcPr>
          <w:p w14:paraId="167FE5FA" w14:textId="77777777" w:rsidR="004B4E35" w:rsidRPr="00405303" w:rsidRDefault="009E6F82" w:rsidP="00C15251">
            <w:pPr>
              <w:jc w:val="both"/>
              <w:rPr>
                <w:bCs/>
                <w:color w:val="002060"/>
                <w:sz w:val="16"/>
                <w:szCs w:val="16"/>
              </w:rPr>
            </w:pPr>
            <w:r w:rsidRPr="00405303">
              <w:rPr>
                <w:bCs/>
                <w:color w:val="002060"/>
                <w:sz w:val="16"/>
                <w:szCs w:val="16"/>
              </w:rPr>
              <w:t>100</w:t>
            </w:r>
          </w:p>
        </w:tc>
        <w:tc>
          <w:tcPr>
            <w:tcW w:w="728" w:type="dxa"/>
          </w:tcPr>
          <w:p w14:paraId="43A65873" w14:textId="77777777" w:rsidR="004B4E35" w:rsidRPr="00405303" w:rsidRDefault="009E6F82" w:rsidP="00C15251">
            <w:pPr>
              <w:jc w:val="both"/>
              <w:rPr>
                <w:bCs/>
                <w:color w:val="002060"/>
                <w:sz w:val="16"/>
                <w:szCs w:val="16"/>
              </w:rPr>
            </w:pPr>
            <w:r w:rsidRPr="00405303">
              <w:rPr>
                <w:bCs/>
                <w:color w:val="002060"/>
                <w:sz w:val="16"/>
                <w:szCs w:val="16"/>
              </w:rPr>
              <w:t>100</w:t>
            </w:r>
          </w:p>
        </w:tc>
      </w:tr>
      <w:tr w:rsidR="004B4E35" w:rsidRPr="00405303" w14:paraId="3EC7056D" w14:textId="77777777">
        <w:tc>
          <w:tcPr>
            <w:tcW w:w="2652" w:type="dxa"/>
          </w:tcPr>
          <w:p w14:paraId="00199FB4" w14:textId="77777777" w:rsidR="004B4E35" w:rsidRPr="00405303" w:rsidRDefault="009E6F82" w:rsidP="00C15251">
            <w:pPr>
              <w:jc w:val="both"/>
              <w:rPr>
                <w:bCs/>
                <w:color w:val="002060"/>
                <w:sz w:val="16"/>
                <w:szCs w:val="16"/>
              </w:rPr>
            </w:pPr>
            <w:r w:rsidRPr="00405303">
              <w:rPr>
                <w:bCs/>
                <w:color w:val="002060"/>
                <w:sz w:val="16"/>
                <w:szCs w:val="16"/>
              </w:rPr>
              <w:t>Ревдинский горный округ</w:t>
            </w:r>
          </w:p>
        </w:tc>
        <w:tc>
          <w:tcPr>
            <w:tcW w:w="612" w:type="dxa"/>
          </w:tcPr>
          <w:p w14:paraId="72107C60" w14:textId="77777777" w:rsidR="004B4E35" w:rsidRPr="00405303" w:rsidRDefault="009E6F82" w:rsidP="00C15251">
            <w:pPr>
              <w:jc w:val="both"/>
              <w:rPr>
                <w:bCs/>
                <w:color w:val="002060"/>
                <w:sz w:val="16"/>
                <w:szCs w:val="16"/>
              </w:rPr>
            </w:pPr>
            <w:r w:rsidRPr="00405303">
              <w:rPr>
                <w:bCs/>
                <w:color w:val="002060"/>
                <w:sz w:val="16"/>
                <w:szCs w:val="16"/>
              </w:rPr>
              <w:t>—</w:t>
            </w:r>
          </w:p>
        </w:tc>
        <w:tc>
          <w:tcPr>
            <w:tcW w:w="650" w:type="dxa"/>
          </w:tcPr>
          <w:p w14:paraId="7D8073B9" w14:textId="77777777" w:rsidR="004B4E35" w:rsidRPr="00405303" w:rsidRDefault="009E6F82" w:rsidP="00C15251">
            <w:pPr>
              <w:jc w:val="both"/>
              <w:rPr>
                <w:bCs/>
                <w:color w:val="002060"/>
                <w:sz w:val="16"/>
                <w:szCs w:val="16"/>
              </w:rPr>
            </w:pPr>
            <w:r w:rsidRPr="00405303">
              <w:rPr>
                <w:bCs/>
                <w:color w:val="002060"/>
                <w:sz w:val="16"/>
                <w:szCs w:val="16"/>
              </w:rPr>
              <w:t>150</w:t>
            </w:r>
          </w:p>
        </w:tc>
        <w:tc>
          <w:tcPr>
            <w:tcW w:w="636" w:type="dxa"/>
          </w:tcPr>
          <w:p w14:paraId="43E469A2" w14:textId="77777777" w:rsidR="004B4E35" w:rsidRPr="00405303" w:rsidRDefault="009E6F82" w:rsidP="00C15251">
            <w:pPr>
              <w:jc w:val="both"/>
              <w:rPr>
                <w:bCs/>
                <w:color w:val="002060"/>
                <w:sz w:val="16"/>
                <w:szCs w:val="16"/>
              </w:rPr>
            </w:pPr>
            <w:r w:rsidRPr="00405303">
              <w:rPr>
                <w:bCs/>
                <w:color w:val="002060"/>
                <w:sz w:val="16"/>
                <w:szCs w:val="16"/>
              </w:rPr>
              <w:t>150</w:t>
            </w:r>
          </w:p>
        </w:tc>
        <w:tc>
          <w:tcPr>
            <w:tcW w:w="728" w:type="dxa"/>
          </w:tcPr>
          <w:p w14:paraId="2CB53535" w14:textId="77777777" w:rsidR="004B4E35" w:rsidRPr="00405303" w:rsidRDefault="009E6F82" w:rsidP="00C15251">
            <w:pPr>
              <w:jc w:val="both"/>
              <w:rPr>
                <w:bCs/>
                <w:color w:val="002060"/>
                <w:sz w:val="16"/>
                <w:szCs w:val="16"/>
              </w:rPr>
            </w:pPr>
            <w:r w:rsidRPr="00405303">
              <w:rPr>
                <w:bCs/>
                <w:color w:val="002060"/>
                <w:sz w:val="16"/>
                <w:szCs w:val="16"/>
              </w:rPr>
              <w:t>150</w:t>
            </w:r>
          </w:p>
        </w:tc>
      </w:tr>
      <w:tr w:rsidR="004B4E35" w:rsidRPr="00405303" w14:paraId="2557E8EB" w14:textId="77777777">
        <w:tc>
          <w:tcPr>
            <w:tcW w:w="2652" w:type="dxa"/>
          </w:tcPr>
          <w:p w14:paraId="7427F1E6" w14:textId="77777777" w:rsidR="004B4E35" w:rsidRPr="00405303" w:rsidRDefault="009E6F82" w:rsidP="00C15251">
            <w:pPr>
              <w:jc w:val="both"/>
              <w:rPr>
                <w:bCs/>
                <w:color w:val="002060"/>
                <w:sz w:val="16"/>
                <w:szCs w:val="16"/>
              </w:rPr>
            </w:pPr>
            <w:r w:rsidRPr="00405303">
              <w:rPr>
                <w:bCs/>
                <w:color w:val="002060"/>
                <w:sz w:val="16"/>
                <w:szCs w:val="16"/>
              </w:rPr>
              <w:t>Рудники Ушакова</w:t>
            </w:r>
          </w:p>
        </w:tc>
        <w:tc>
          <w:tcPr>
            <w:tcW w:w="612" w:type="dxa"/>
          </w:tcPr>
          <w:p w14:paraId="3B77F373" w14:textId="77777777" w:rsidR="004B4E35" w:rsidRPr="00405303" w:rsidRDefault="009E6F82" w:rsidP="00C15251">
            <w:pPr>
              <w:jc w:val="both"/>
              <w:rPr>
                <w:bCs/>
                <w:color w:val="002060"/>
                <w:sz w:val="16"/>
                <w:szCs w:val="16"/>
              </w:rPr>
            </w:pPr>
            <w:r w:rsidRPr="00405303">
              <w:rPr>
                <w:bCs/>
                <w:color w:val="002060"/>
                <w:sz w:val="16"/>
                <w:szCs w:val="16"/>
              </w:rPr>
              <w:t>—</w:t>
            </w:r>
          </w:p>
        </w:tc>
        <w:tc>
          <w:tcPr>
            <w:tcW w:w="650" w:type="dxa"/>
          </w:tcPr>
          <w:p w14:paraId="03C35607" w14:textId="77777777" w:rsidR="004B4E35" w:rsidRPr="00405303" w:rsidRDefault="009E6F82" w:rsidP="00C15251">
            <w:pPr>
              <w:jc w:val="both"/>
              <w:rPr>
                <w:bCs/>
                <w:color w:val="002060"/>
                <w:sz w:val="16"/>
                <w:szCs w:val="16"/>
              </w:rPr>
            </w:pPr>
            <w:r w:rsidRPr="00405303">
              <w:rPr>
                <w:bCs/>
                <w:color w:val="002060"/>
                <w:sz w:val="16"/>
                <w:szCs w:val="16"/>
              </w:rPr>
              <w:t>100</w:t>
            </w:r>
          </w:p>
        </w:tc>
        <w:tc>
          <w:tcPr>
            <w:tcW w:w="636" w:type="dxa"/>
          </w:tcPr>
          <w:p w14:paraId="77C7F673" w14:textId="77777777" w:rsidR="004B4E35" w:rsidRPr="00405303" w:rsidRDefault="009E6F82" w:rsidP="00C15251">
            <w:pPr>
              <w:jc w:val="both"/>
              <w:rPr>
                <w:bCs/>
                <w:color w:val="002060"/>
                <w:sz w:val="16"/>
                <w:szCs w:val="16"/>
              </w:rPr>
            </w:pPr>
            <w:r w:rsidRPr="00405303">
              <w:rPr>
                <w:bCs/>
                <w:color w:val="002060"/>
                <w:sz w:val="16"/>
                <w:szCs w:val="16"/>
              </w:rPr>
              <w:t>100</w:t>
            </w:r>
          </w:p>
        </w:tc>
        <w:tc>
          <w:tcPr>
            <w:tcW w:w="728" w:type="dxa"/>
          </w:tcPr>
          <w:p w14:paraId="4D46848D" w14:textId="77777777" w:rsidR="004B4E35" w:rsidRPr="00405303" w:rsidRDefault="009E6F82" w:rsidP="00C15251">
            <w:pPr>
              <w:jc w:val="both"/>
              <w:rPr>
                <w:bCs/>
                <w:color w:val="002060"/>
                <w:sz w:val="16"/>
                <w:szCs w:val="16"/>
              </w:rPr>
            </w:pPr>
            <w:r w:rsidRPr="00405303">
              <w:rPr>
                <w:bCs/>
                <w:color w:val="002060"/>
                <w:sz w:val="16"/>
                <w:szCs w:val="16"/>
              </w:rPr>
              <w:t>100</w:t>
            </w:r>
          </w:p>
        </w:tc>
      </w:tr>
      <w:tr w:rsidR="004B4E35" w:rsidRPr="00405303" w14:paraId="0EC66053" w14:textId="77777777">
        <w:tc>
          <w:tcPr>
            <w:tcW w:w="2652" w:type="dxa"/>
          </w:tcPr>
          <w:p w14:paraId="388F5517" w14:textId="77777777" w:rsidR="004B4E35" w:rsidRPr="00405303" w:rsidRDefault="009E6F82" w:rsidP="00C15251">
            <w:pPr>
              <w:jc w:val="both"/>
              <w:rPr>
                <w:bCs/>
                <w:color w:val="002060"/>
                <w:sz w:val="16"/>
                <w:szCs w:val="16"/>
              </w:rPr>
            </w:pPr>
            <w:r w:rsidRPr="00405303">
              <w:rPr>
                <w:bCs/>
                <w:color w:val="002060"/>
                <w:sz w:val="16"/>
                <w:szCs w:val="16"/>
              </w:rPr>
              <w:t xml:space="preserve">Прочие мелкие добычи </w:t>
            </w:r>
          </w:p>
          <w:p w14:paraId="6DC02566" w14:textId="77777777" w:rsidR="004B4E35" w:rsidRPr="00405303" w:rsidRDefault="009E6F82" w:rsidP="00C15251">
            <w:pPr>
              <w:jc w:val="both"/>
              <w:rPr>
                <w:bCs/>
                <w:color w:val="002060"/>
                <w:sz w:val="16"/>
                <w:szCs w:val="16"/>
              </w:rPr>
            </w:pPr>
            <w:r w:rsidRPr="00405303">
              <w:rPr>
                <w:bCs/>
                <w:color w:val="002060"/>
                <w:sz w:val="16"/>
                <w:szCs w:val="16"/>
              </w:rPr>
              <w:t>(Кавказские, Донецкие, Подмосковные)</w:t>
            </w:r>
          </w:p>
        </w:tc>
        <w:tc>
          <w:tcPr>
            <w:tcW w:w="612" w:type="dxa"/>
          </w:tcPr>
          <w:p w14:paraId="7F67B648" w14:textId="77777777" w:rsidR="004B4E35" w:rsidRPr="00405303" w:rsidRDefault="009E6F82" w:rsidP="00C15251">
            <w:pPr>
              <w:jc w:val="both"/>
              <w:rPr>
                <w:bCs/>
                <w:color w:val="002060"/>
                <w:sz w:val="16"/>
                <w:szCs w:val="16"/>
              </w:rPr>
            </w:pPr>
            <w:r w:rsidRPr="00405303">
              <w:rPr>
                <w:bCs/>
                <w:color w:val="002060"/>
                <w:sz w:val="16"/>
                <w:szCs w:val="16"/>
              </w:rPr>
              <w:t>105</w:t>
            </w:r>
          </w:p>
        </w:tc>
        <w:tc>
          <w:tcPr>
            <w:tcW w:w="650" w:type="dxa"/>
          </w:tcPr>
          <w:p w14:paraId="48C8EEA7" w14:textId="77777777" w:rsidR="004B4E35" w:rsidRPr="00405303" w:rsidRDefault="009E6F82" w:rsidP="00C15251">
            <w:pPr>
              <w:jc w:val="both"/>
              <w:rPr>
                <w:bCs/>
                <w:color w:val="002060"/>
                <w:sz w:val="16"/>
                <w:szCs w:val="16"/>
              </w:rPr>
            </w:pPr>
            <w:r w:rsidRPr="00405303">
              <w:rPr>
                <w:bCs/>
                <w:color w:val="002060"/>
                <w:sz w:val="16"/>
                <w:szCs w:val="16"/>
              </w:rPr>
              <w:t>110</w:t>
            </w:r>
          </w:p>
        </w:tc>
        <w:tc>
          <w:tcPr>
            <w:tcW w:w="636" w:type="dxa"/>
          </w:tcPr>
          <w:p w14:paraId="5F78584E" w14:textId="77777777" w:rsidR="004B4E35" w:rsidRPr="00405303" w:rsidRDefault="009E6F82" w:rsidP="00C15251">
            <w:pPr>
              <w:jc w:val="both"/>
              <w:rPr>
                <w:bCs/>
                <w:color w:val="002060"/>
                <w:sz w:val="16"/>
                <w:szCs w:val="16"/>
              </w:rPr>
            </w:pPr>
            <w:r w:rsidRPr="00405303">
              <w:rPr>
                <w:bCs/>
                <w:color w:val="002060"/>
                <w:sz w:val="16"/>
                <w:szCs w:val="16"/>
              </w:rPr>
              <w:t>140</w:t>
            </w:r>
          </w:p>
        </w:tc>
        <w:tc>
          <w:tcPr>
            <w:tcW w:w="728" w:type="dxa"/>
          </w:tcPr>
          <w:p w14:paraId="26E087CC" w14:textId="77777777" w:rsidR="004B4E35" w:rsidRPr="00405303" w:rsidRDefault="009E6F82" w:rsidP="00C15251">
            <w:pPr>
              <w:jc w:val="both"/>
              <w:rPr>
                <w:bCs/>
                <w:color w:val="002060"/>
                <w:sz w:val="16"/>
                <w:szCs w:val="16"/>
              </w:rPr>
            </w:pPr>
            <w:r w:rsidRPr="00405303">
              <w:rPr>
                <w:bCs/>
                <w:color w:val="002060"/>
                <w:sz w:val="16"/>
                <w:szCs w:val="16"/>
              </w:rPr>
              <w:t>150</w:t>
            </w:r>
          </w:p>
        </w:tc>
      </w:tr>
    </w:tbl>
    <w:p w14:paraId="6B6A0101" w14:textId="77777777" w:rsidR="004B4E35" w:rsidRPr="00405303" w:rsidRDefault="009E6F82" w:rsidP="00C15251">
      <w:pPr>
        <w:jc w:val="both"/>
        <w:rPr>
          <w:bCs/>
          <w:color w:val="002060"/>
          <w:sz w:val="16"/>
          <w:szCs w:val="16"/>
        </w:rPr>
      </w:pPr>
      <w:r w:rsidRPr="00405303">
        <w:rPr>
          <w:bCs/>
          <w:color w:val="002060"/>
          <w:sz w:val="16"/>
          <w:szCs w:val="16"/>
        </w:rPr>
        <w:t xml:space="preserve">Не менее забот представлял вопрос с азотной кислотой. Для изготовления ее ежегодно в Россию необходимо было ввозить до 6 млн пудов чилийской селитры. Комиссия Ипатьева, а впоследствии Химический комитет взял на себя надзор за провозом и распределением ее. </w:t>
      </w:r>
    </w:p>
    <w:p w14:paraId="5CB56DAF" w14:textId="77777777" w:rsidR="004B4E35" w:rsidRPr="00405303" w:rsidRDefault="009E6F82" w:rsidP="00C15251">
      <w:pPr>
        <w:jc w:val="both"/>
        <w:rPr>
          <w:bCs/>
          <w:color w:val="002060"/>
          <w:sz w:val="16"/>
          <w:szCs w:val="16"/>
        </w:rPr>
      </w:pPr>
      <w:r w:rsidRPr="00405303">
        <w:rPr>
          <w:bCs/>
          <w:color w:val="002060"/>
          <w:sz w:val="16"/>
          <w:szCs w:val="16"/>
        </w:rPr>
        <w:t xml:space="preserve">Комитет занялся также исследованием залежей отечественной селитры, но эти месторождения оказались неблагонадежными. </w:t>
      </w:r>
    </w:p>
    <w:p w14:paraId="373DC930" w14:textId="77777777" w:rsidR="004B4E35" w:rsidRPr="00405303" w:rsidRDefault="009E6F82" w:rsidP="00C15251">
      <w:pPr>
        <w:jc w:val="both"/>
        <w:rPr>
          <w:bCs/>
          <w:color w:val="002060"/>
          <w:sz w:val="16"/>
          <w:szCs w:val="16"/>
        </w:rPr>
      </w:pPr>
      <w:r w:rsidRPr="00405303">
        <w:rPr>
          <w:bCs/>
          <w:color w:val="002060"/>
          <w:sz w:val="16"/>
          <w:szCs w:val="16"/>
        </w:rPr>
        <w:t xml:space="preserve">Имея в виду в будущем освободиться от иностранной зависимости, Химический комитет приступил к разработке вопроса о наилучшем для России методе получения азотной кислоты. </w:t>
      </w:r>
    </w:p>
    <w:p w14:paraId="585BFE84" w14:textId="77777777" w:rsidR="004B4E35" w:rsidRPr="00405303" w:rsidRDefault="009E6F82" w:rsidP="00C15251">
      <w:pPr>
        <w:jc w:val="both"/>
        <w:rPr>
          <w:bCs/>
          <w:color w:val="002060"/>
          <w:sz w:val="16"/>
          <w:szCs w:val="16"/>
        </w:rPr>
      </w:pPr>
      <w:r w:rsidRPr="00405303">
        <w:rPr>
          <w:bCs/>
          <w:color w:val="002060"/>
          <w:sz w:val="16"/>
          <w:szCs w:val="16"/>
        </w:rPr>
        <w:t xml:space="preserve">В связи с установлением улавливания побочных продуктов коксования угля начала быстро расти выработка аммиачных вод. Были привлечены крупные научные силы к разработке практического метода превращения аммиака в азотную кислоту. Лабораторные изыскания и опытная заводская работа дали благоприятные результаты. После этого Химический комитет построил первый казенный завод в Юзовке для получения азотной кислоты переработкой аммиачных вод, производительностью на 50 тыс. пудов селитры в месяц. Этот завод должен был послужить образцом для постройки в дальнейшем таких же заводов. </w:t>
      </w:r>
    </w:p>
    <w:p w14:paraId="5C40041D" w14:textId="77777777" w:rsidR="004B4E35" w:rsidRPr="00405303" w:rsidRDefault="009E6F82" w:rsidP="00C15251">
      <w:pPr>
        <w:jc w:val="both"/>
        <w:rPr>
          <w:bCs/>
          <w:color w:val="002060"/>
          <w:sz w:val="16"/>
          <w:szCs w:val="16"/>
        </w:rPr>
      </w:pPr>
      <w:r w:rsidRPr="00405303">
        <w:rPr>
          <w:bCs/>
          <w:color w:val="002060"/>
          <w:sz w:val="16"/>
          <w:szCs w:val="16"/>
        </w:rPr>
        <w:t xml:space="preserve">В целях разрешения полностью вопроса о связанном азоте Химическим комитетом был осенью 1916 г. разработан проект завода цианамида кальция производительностью на 2 000 000 пудов в год, который предположено было строить на Кавказе, в Грозном. </w:t>
      </w:r>
    </w:p>
    <w:p w14:paraId="1EEAB789" w14:textId="77777777" w:rsidR="004B4E35" w:rsidRPr="00405303" w:rsidRDefault="009E6F82" w:rsidP="00C15251">
      <w:pPr>
        <w:jc w:val="both"/>
        <w:rPr>
          <w:bCs/>
          <w:color w:val="002060"/>
          <w:sz w:val="16"/>
          <w:szCs w:val="16"/>
        </w:rPr>
      </w:pPr>
      <w:r w:rsidRPr="00405303">
        <w:rPr>
          <w:bCs/>
          <w:color w:val="002060"/>
          <w:sz w:val="16"/>
          <w:szCs w:val="16"/>
        </w:rPr>
        <w:t xml:space="preserve">Таким образом, Комиссия Ипатьева, а в дальнейшем Химический комитет, как видно из приведенного очерка, несли на себе все заботы о снабжении казенных и частных заводов пороха и взрывчатых веществ основными материалами для производства. </w:t>
      </w:r>
    </w:p>
    <w:p w14:paraId="2D8FC4EF" w14:textId="77777777" w:rsidR="004B4E35" w:rsidRPr="00405303" w:rsidRDefault="009E6F82" w:rsidP="00C15251">
      <w:pPr>
        <w:jc w:val="both"/>
        <w:rPr>
          <w:bCs/>
          <w:color w:val="002060"/>
          <w:sz w:val="16"/>
          <w:szCs w:val="16"/>
        </w:rPr>
      </w:pPr>
      <w:r w:rsidRPr="00405303">
        <w:rPr>
          <w:bCs/>
          <w:color w:val="002060"/>
          <w:sz w:val="16"/>
          <w:szCs w:val="16"/>
        </w:rPr>
        <w:t xml:space="preserve">Независимо от этого на Химическом комитете лежала обязанность привлечь частную промышленность к изготовлению самых взрывчатых веществ в дополнение к тем, которые изготовлялись казенными заводами. </w:t>
      </w:r>
    </w:p>
    <w:p w14:paraId="7F82C735" w14:textId="77777777" w:rsidR="004B4E35" w:rsidRPr="00405303" w:rsidRDefault="009E6F82" w:rsidP="00C15251">
      <w:pPr>
        <w:jc w:val="both"/>
        <w:rPr>
          <w:bCs/>
          <w:color w:val="002060"/>
          <w:sz w:val="16"/>
          <w:szCs w:val="16"/>
        </w:rPr>
      </w:pPr>
      <w:r w:rsidRPr="00405303">
        <w:rPr>
          <w:bCs/>
          <w:color w:val="002060"/>
          <w:sz w:val="16"/>
          <w:szCs w:val="16"/>
        </w:rPr>
        <w:t xml:space="preserve">Во время войны производство тротила было установлено на нескольких существовавших частных химических заводах (отдельные цеха) и построены новые тротиловые заводы. Общее число частных заводов, готовивших тротил во время войны, достигло восьми. </w:t>
      </w:r>
    </w:p>
    <w:p w14:paraId="572139E8" w14:textId="77777777" w:rsidR="004B4E35" w:rsidRPr="00405303" w:rsidRDefault="009E6F82" w:rsidP="00C15251">
      <w:pPr>
        <w:jc w:val="both"/>
        <w:rPr>
          <w:bCs/>
          <w:color w:val="002060"/>
          <w:sz w:val="16"/>
          <w:szCs w:val="16"/>
        </w:rPr>
      </w:pPr>
      <w:r w:rsidRPr="00405303">
        <w:rPr>
          <w:bCs/>
          <w:color w:val="002060"/>
          <w:sz w:val="16"/>
          <w:szCs w:val="16"/>
        </w:rPr>
        <w:t xml:space="preserve">Пикриновая кислота во время войны готовилась только на частных заводах: на пяти — нитрацией фенола и на двух — синтетическим путем из бензола. До войны ее готовили только два завода по первому способу. Синтетический способ был разработан в России уже во время войны в Центральной научно-технической лаборатории военного ведомства и представляет большой научный интерес. </w:t>
      </w:r>
    </w:p>
    <w:p w14:paraId="30B76AA6" w14:textId="77777777" w:rsidR="004B4E35" w:rsidRPr="00405303" w:rsidRDefault="009E6F82" w:rsidP="00C15251">
      <w:pPr>
        <w:jc w:val="both"/>
        <w:rPr>
          <w:bCs/>
          <w:color w:val="002060"/>
          <w:sz w:val="16"/>
          <w:szCs w:val="16"/>
        </w:rPr>
      </w:pPr>
      <w:r w:rsidRPr="00405303">
        <w:rPr>
          <w:bCs/>
          <w:color w:val="002060"/>
          <w:sz w:val="16"/>
          <w:szCs w:val="16"/>
        </w:rPr>
        <w:t xml:space="preserve">Было установлено Химическим комитетом также производство тринитроксилола и динитронафталина, каждый на двух заводах. </w:t>
      </w:r>
    </w:p>
    <w:p w14:paraId="07833554" w14:textId="77777777" w:rsidR="004B4E35" w:rsidRPr="00405303" w:rsidRDefault="009E6F82" w:rsidP="00C15251">
      <w:pPr>
        <w:jc w:val="both"/>
        <w:rPr>
          <w:bCs/>
          <w:color w:val="002060"/>
          <w:sz w:val="16"/>
          <w:szCs w:val="16"/>
        </w:rPr>
      </w:pPr>
      <w:r w:rsidRPr="00405303">
        <w:rPr>
          <w:bCs/>
          <w:color w:val="002060"/>
          <w:sz w:val="16"/>
          <w:szCs w:val="16"/>
        </w:rPr>
        <w:t xml:space="preserve">Изготовление аммиачной селитры, кроме упомянутого выше Юзовского казенного завода, было организовано Комиссией еще на двух заводах в Донецком бассейне. </w:t>
      </w:r>
    </w:p>
    <w:p w14:paraId="4FA194E2" w14:textId="77777777" w:rsidR="004B4E35" w:rsidRPr="00405303" w:rsidRDefault="009E6F82" w:rsidP="00C15251">
      <w:pPr>
        <w:jc w:val="both"/>
        <w:rPr>
          <w:bCs/>
          <w:color w:val="002060"/>
          <w:sz w:val="16"/>
          <w:szCs w:val="16"/>
        </w:rPr>
      </w:pPr>
      <w:r w:rsidRPr="00405303">
        <w:rPr>
          <w:bCs/>
          <w:color w:val="002060"/>
          <w:sz w:val="16"/>
          <w:szCs w:val="16"/>
        </w:rPr>
        <w:t xml:space="preserve">Фабрикация взрывчатых смесей на основе аммиачной селитры была организована Химическим комитетом в нескольких мастерских и заводах. </w:t>
      </w:r>
    </w:p>
    <w:p w14:paraId="04D972E1" w14:textId="77777777" w:rsidR="004B4E35" w:rsidRPr="00405303" w:rsidRDefault="009E6F82" w:rsidP="00C15251">
      <w:pPr>
        <w:jc w:val="both"/>
        <w:rPr>
          <w:bCs/>
          <w:color w:val="002060"/>
          <w:sz w:val="16"/>
          <w:szCs w:val="16"/>
        </w:rPr>
      </w:pPr>
      <w:r w:rsidRPr="00405303">
        <w:rPr>
          <w:bCs/>
          <w:color w:val="002060"/>
          <w:sz w:val="16"/>
          <w:szCs w:val="16"/>
        </w:rPr>
        <w:t xml:space="preserve">Общее количество заводов, изготовлявших взрывчатые вещества, возросло с февраля 1915 г. по январь 1917 г. с 4 до 28. Общая мощность их по оборудованию в 1917 г. возросла до 218 000 пудов в месяц. Из них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4B4E35" w:rsidRPr="00405303" w14:paraId="3BD206C6" w14:textId="77777777">
        <w:tc>
          <w:tcPr>
            <w:tcW w:w="1788" w:type="dxa"/>
          </w:tcPr>
          <w:p w14:paraId="2518CDDF" w14:textId="77777777" w:rsidR="004B4E35" w:rsidRPr="00405303" w:rsidRDefault="009E6F82" w:rsidP="00C15251">
            <w:pPr>
              <w:jc w:val="both"/>
              <w:rPr>
                <w:bCs/>
                <w:color w:val="002060"/>
                <w:sz w:val="16"/>
                <w:szCs w:val="16"/>
              </w:rPr>
            </w:pPr>
            <w:r w:rsidRPr="00405303">
              <w:rPr>
                <w:bCs/>
                <w:color w:val="002060"/>
                <w:sz w:val="16"/>
                <w:szCs w:val="16"/>
              </w:rPr>
              <w:t>Тротила</w:t>
            </w:r>
          </w:p>
        </w:tc>
        <w:tc>
          <w:tcPr>
            <w:tcW w:w="936" w:type="dxa"/>
          </w:tcPr>
          <w:p w14:paraId="439EBD54" w14:textId="77777777" w:rsidR="004B4E35" w:rsidRPr="00405303" w:rsidRDefault="009E6F82" w:rsidP="00C15251">
            <w:pPr>
              <w:jc w:val="both"/>
              <w:rPr>
                <w:bCs/>
                <w:color w:val="002060"/>
                <w:sz w:val="16"/>
                <w:szCs w:val="16"/>
              </w:rPr>
            </w:pPr>
            <w:r w:rsidRPr="00405303">
              <w:rPr>
                <w:bCs/>
                <w:color w:val="002060"/>
                <w:sz w:val="16"/>
                <w:szCs w:val="16"/>
              </w:rPr>
              <w:t xml:space="preserve">52.000 </w:t>
            </w:r>
          </w:p>
        </w:tc>
      </w:tr>
      <w:tr w:rsidR="004B4E35" w:rsidRPr="00405303" w14:paraId="1D2A2018" w14:textId="77777777">
        <w:tc>
          <w:tcPr>
            <w:tcW w:w="1788" w:type="dxa"/>
          </w:tcPr>
          <w:p w14:paraId="035AA9CF" w14:textId="77777777" w:rsidR="004B4E35" w:rsidRPr="00405303" w:rsidRDefault="009E6F82" w:rsidP="00C15251">
            <w:pPr>
              <w:jc w:val="both"/>
              <w:rPr>
                <w:bCs/>
                <w:color w:val="002060"/>
                <w:sz w:val="16"/>
                <w:szCs w:val="16"/>
              </w:rPr>
            </w:pPr>
            <w:r w:rsidRPr="00405303">
              <w:rPr>
                <w:bCs/>
                <w:color w:val="002060"/>
                <w:sz w:val="16"/>
                <w:szCs w:val="16"/>
              </w:rPr>
              <w:t>Пикриновой кислоты</w:t>
            </w:r>
          </w:p>
        </w:tc>
        <w:tc>
          <w:tcPr>
            <w:tcW w:w="936" w:type="dxa"/>
          </w:tcPr>
          <w:p w14:paraId="48310F70" w14:textId="77777777" w:rsidR="004B4E35" w:rsidRPr="00405303" w:rsidRDefault="009E6F82" w:rsidP="00C15251">
            <w:pPr>
              <w:jc w:val="both"/>
              <w:rPr>
                <w:bCs/>
                <w:color w:val="002060"/>
                <w:sz w:val="16"/>
                <w:szCs w:val="16"/>
              </w:rPr>
            </w:pPr>
            <w:r w:rsidRPr="00405303">
              <w:rPr>
                <w:bCs/>
                <w:color w:val="002060"/>
                <w:sz w:val="16"/>
                <w:szCs w:val="16"/>
              </w:rPr>
              <w:t xml:space="preserve">50.000 </w:t>
            </w:r>
          </w:p>
        </w:tc>
      </w:tr>
      <w:tr w:rsidR="004B4E35" w:rsidRPr="00405303" w14:paraId="2C1E4BFA" w14:textId="77777777">
        <w:tc>
          <w:tcPr>
            <w:tcW w:w="1788" w:type="dxa"/>
          </w:tcPr>
          <w:p w14:paraId="741DFB7A" w14:textId="77777777" w:rsidR="004B4E35" w:rsidRPr="00405303" w:rsidRDefault="009E6F82" w:rsidP="00C15251">
            <w:pPr>
              <w:jc w:val="both"/>
              <w:rPr>
                <w:bCs/>
                <w:color w:val="002060"/>
                <w:sz w:val="16"/>
                <w:szCs w:val="16"/>
              </w:rPr>
            </w:pPr>
            <w:r w:rsidRPr="00405303">
              <w:rPr>
                <w:bCs/>
                <w:color w:val="002060"/>
                <w:sz w:val="16"/>
                <w:szCs w:val="16"/>
              </w:rPr>
              <w:t>Аммиачной селитры</w:t>
            </w:r>
          </w:p>
        </w:tc>
        <w:tc>
          <w:tcPr>
            <w:tcW w:w="936" w:type="dxa"/>
          </w:tcPr>
          <w:p w14:paraId="3D457174" w14:textId="77777777" w:rsidR="004B4E35" w:rsidRPr="00405303" w:rsidRDefault="009E6F82" w:rsidP="00C15251">
            <w:pPr>
              <w:jc w:val="both"/>
              <w:rPr>
                <w:bCs/>
                <w:color w:val="002060"/>
                <w:sz w:val="16"/>
                <w:szCs w:val="16"/>
              </w:rPr>
            </w:pPr>
            <w:r w:rsidRPr="00405303">
              <w:rPr>
                <w:bCs/>
                <w:color w:val="002060"/>
                <w:sz w:val="16"/>
                <w:szCs w:val="16"/>
              </w:rPr>
              <w:t xml:space="preserve">60.000 </w:t>
            </w:r>
          </w:p>
        </w:tc>
      </w:tr>
      <w:tr w:rsidR="004B4E35" w:rsidRPr="00405303" w14:paraId="4A96489D" w14:textId="77777777">
        <w:tc>
          <w:tcPr>
            <w:tcW w:w="1788" w:type="dxa"/>
          </w:tcPr>
          <w:p w14:paraId="215591AF" w14:textId="77777777" w:rsidR="004B4E35" w:rsidRPr="00405303" w:rsidRDefault="009E6F82" w:rsidP="00C15251">
            <w:pPr>
              <w:jc w:val="both"/>
              <w:rPr>
                <w:bCs/>
                <w:color w:val="002060"/>
                <w:sz w:val="16"/>
                <w:szCs w:val="16"/>
              </w:rPr>
            </w:pPr>
            <w:r w:rsidRPr="00405303">
              <w:rPr>
                <w:bCs/>
                <w:color w:val="002060"/>
                <w:sz w:val="16"/>
                <w:szCs w:val="16"/>
              </w:rPr>
              <w:t>Ксилола</w:t>
            </w:r>
          </w:p>
        </w:tc>
        <w:tc>
          <w:tcPr>
            <w:tcW w:w="936" w:type="dxa"/>
          </w:tcPr>
          <w:p w14:paraId="6AC2B493" w14:textId="77777777" w:rsidR="004B4E35" w:rsidRPr="00405303" w:rsidRDefault="009E6F82" w:rsidP="00C15251">
            <w:pPr>
              <w:jc w:val="both"/>
              <w:rPr>
                <w:bCs/>
                <w:color w:val="002060"/>
                <w:sz w:val="16"/>
                <w:szCs w:val="16"/>
              </w:rPr>
            </w:pPr>
            <w:r w:rsidRPr="00405303">
              <w:rPr>
                <w:bCs/>
                <w:color w:val="002060"/>
                <w:sz w:val="16"/>
                <w:szCs w:val="16"/>
              </w:rPr>
              <w:t xml:space="preserve">9.000 </w:t>
            </w:r>
          </w:p>
        </w:tc>
      </w:tr>
      <w:tr w:rsidR="004B4E35" w:rsidRPr="00405303" w14:paraId="3FB91EF0" w14:textId="77777777">
        <w:tc>
          <w:tcPr>
            <w:tcW w:w="1788" w:type="dxa"/>
          </w:tcPr>
          <w:p w14:paraId="026C8761" w14:textId="77777777" w:rsidR="004B4E35" w:rsidRPr="00405303" w:rsidRDefault="009E6F82" w:rsidP="00C15251">
            <w:pPr>
              <w:jc w:val="both"/>
              <w:rPr>
                <w:bCs/>
                <w:color w:val="002060"/>
                <w:sz w:val="16"/>
                <w:szCs w:val="16"/>
              </w:rPr>
            </w:pPr>
            <w:r w:rsidRPr="00405303">
              <w:rPr>
                <w:bCs/>
                <w:color w:val="002060"/>
                <w:sz w:val="16"/>
                <w:szCs w:val="16"/>
              </w:rPr>
              <w:t>Динитронафталина</w:t>
            </w:r>
          </w:p>
        </w:tc>
        <w:tc>
          <w:tcPr>
            <w:tcW w:w="936" w:type="dxa"/>
          </w:tcPr>
          <w:p w14:paraId="18924DA3" w14:textId="77777777" w:rsidR="004B4E35" w:rsidRPr="00405303" w:rsidRDefault="009E6F82" w:rsidP="00C15251">
            <w:pPr>
              <w:jc w:val="both"/>
              <w:rPr>
                <w:bCs/>
                <w:color w:val="002060"/>
                <w:sz w:val="16"/>
                <w:szCs w:val="16"/>
              </w:rPr>
            </w:pPr>
            <w:r w:rsidRPr="00405303">
              <w:rPr>
                <w:bCs/>
                <w:color w:val="002060"/>
                <w:sz w:val="16"/>
                <w:szCs w:val="16"/>
              </w:rPr>
              <w:t xml:space="preserve">12.000 </w:t>
            </w:r>
          </w:p>
        </w:tc>
      </w:tr>
    </w:tbl>
    <w:p w14:paraId="3BE4BAEC" w14:textId="77777777" w:rsidR="004B4E35" w:rsidRPr="00405303" w:rsidRDefault="009E6F82" w:rsidP="00C15251">
      <w:pPr>
        <w:jc w:val="both"/>
        <w:rPr>
          <w:bCs/>
          <w:color w:val="002060"/>
          <w:sz w:val="16"/>
          <w:szCs w:val="16"/>
        </w:rPr>
      </w:pPr>
      <w:r w:rsidRPr="00405303">
        <w:rPr>
          <w:bCs/>
          <w:color w:val="002060"/>
          <w:sz w:val="16"/>
          <w:szCs w:val="16"/>
        </w:rPr>
        <w:t xml:space="preserve">Фактически эта мощность не была использована полностью. </w:t>
      </w:r>
    </w:p>
    <w:p w14:paraId="50E3D27D" w14:textId="77777777" w:rsidR="004B4E35" w:rsidRPr="00405303" w:rsidRDefault="009E6F82" w:rsidP="00C15251">
      <w:pPr>
        <w:jc w:val="both"/>
        <w:rPr>
          <w:bCs/>
          <w:color w:val="002060"/>
          <w:sz w:val="16"/>
          <w:szCs w:val="16"/>
        </w:rPr>
      </w:pPr>
      <w:r w:rsidRPr="00405303">
        <w:rPr>
          <w:bCs/>
          <w:color w:val="002060"/>
          <w:sz w:val="16"/>
          <w:szCs w:val="16"/>
        </w:rPr>
        <w:t xml:space="preserve">Летом 1915 г. определенно выяснилась необходимость организовать производство целого ряда химических продуктов для газовой борьбы с противником. </w:t>
      </w:r>
    </w:p>
    <w:p w14:paraId="4F0EEEAF" w14:textId="77777777" w:rsidR="004B4E35" w:rsidRPr="00405303" w:rsidRDefault="009E6F82" w:rsidP="00C15251">
      <w:pPr>
        <w:jc w:val="both"/>
        <w:rPr>
          <w:bCs/>
          <w:color w:val="002060"/>
          <w:sz w:val="16"/>
          <w:szCs w:val="16"/>
        </w:rPr>
      </w:pPr>
      <w:r w:rsidRPr="00405303">
        <w:rPr>
          <w:bCs/>
          <w:color w:val="002060"/>
          <w:sz w:val="16"/>
          <w:szCs w:val="16"/>
        </w:rPr>
        <w:t xml:space="preserve">Это дело проводилось с большой энергией и успехом, сначала специально для этой цели организованной Комиссией у[душающих] с[редств], а после Химическим комитетом, куда вошла Комиссия УС. Организации заводского производства предшествовал ряд научных изысканий. </w:t>
      </w:r>
    </w:p>
    <w:p w14:paraId="0AE79149" w14:textId="77777777" w:rsidR="004B4E35" w:rsidRPr="00405303" w:rsidRDefault="009E6F82" w:rsidP="00C15251">
      <w:pPr>
        <w:jc w:val="both"/>
        <w:rPr>
          <w:bCs/>
          <w:color w:val="002060"/>
          <w:sz w:val="16"/>
          <w:szCs w:val="16"/>
        </w:rPr>
      </w:pPr>
      <w:r w:rsidRPr="00405303">
        <w:rPr>
          <w:bCs/>
          <w:color w:val="002060"/>
          <w:sz w:val="16"/>
          <w:szCs w:val="16"/>
        </w:rPr>
        <w:t xml:space="preserve">Для выпуска из баллонов принят был сжиженный хлор. Производство было быстро организовано на двух заводах Донецкого бассейна и в период с осени 1915 г. к осени 1916 г. достигло 500-600 пудов в сутки, что вполне покрывало потребность фронта. </w:t>
      </w:r>
    </w:p>
    <w:p w14:paraId="70BD4B99" w14:textId="77777777" w:rsidR="004B4E35" w:rsidRPr="00405303" w:rsidRDefault="009E6F82" w:rsidP="00C15251">
      <w:pPr>
        <w:jc w:val="both"/>
        <w:rPr>
          <w:bCs/>
          <w:color w:val="002060"/>
          <w:sz w:val="16"/>
          <w:szCs w:val="16"/>
        </w:rPr>
      </w:pPr>
      <w:r w:rsidRPr="00405303">
        <w:rPr>
          <w:bCs/>
          <w:color w:val="002060"/>
          <w:sz w:val="16"/>
          <w:szCs w:val="16"/>
        </w:rPr>
        <w:t xml:space="preserve">Второе вещество, необходимое для баллоновой газовой борьбы, фосген, в России ранее вовсе не вырабатывалось. </w:t>
      </w:r>
    </w:p>
    <w:p w14:paraId="290A219F" w14:textId="77777777" w:rsidR="004B4E35" w:rsidRPr="00405303" w:rsidRDefault="009E6F82" w:rsidP="00C15251">
      <w:pPr>
        <w:jc w:val="both"/>
        <w:rPr>
          <w:bCs/>
          <w:color w:val="002060"/>
          <w:sz w:val="16"/>
          <w:szCs w:val="16"/>
        </w:rPr>
      </w:pPr>
      <w:r w:rsidRPr="00405303">
        <w:rPr>
          <w:bCs/>
          <w:color w:val="002060"/>
          <w:sz w:val="16"/>
          <w:szCs w:val="16"/>
        </w:rPr>
        <w:t xml:space="preserve">На это производство оборудовалось пять заводов, из коих один казенный. Из пяти только два своевременно справились с делом. С января по октябрь 1916 г. производство фосгена достигло 600 пудов в месяц. Установка его представляла большие технические трудности. </w:t>
      </w:r>
    </w:p>
    <w:p w14:paraId="04B8A01D" w14:textId="77777777" w:rsidR="004B4E35" w:rsidRPr="00405303" w:rsidRDefault="009E6F82" w:rsidP="00C15251">
      <w:pPr>
        <w:jc w:val="both"/>
        <w:rPr>
          <w:bCs/>
          <w:color w:val="002060"/>
          <w:sz w:val="16"/>
          <w:szCs w:val="16"/>
        </w:rPr>
      </w:pPr>
      <w:r w:rsidRPr="00405303">
        <w:rPr>
          <w:bCs/>
          <w:color w:val="002060"/>
          <w:sz w:val="16"/>
          <w:szCs w:val="16"/>
        </w:rPr>
        <w:t xml:space="preserve">Что касается других удушающих веществ, то Химический комитет поставил следующие производства: </w:t>
      </w:r>
    </w:p>
    <w:p w14:paraId="39E339B9" w14:textId="77777777" w:rsidR="004B4E35" w:rsidRPr="00405303" w:rsidRDefault="009E6F82" w:rsidP="00C15251">
      <w:pPr>
        <w:jc w:val="both"/>
        <w:rPr>
          <w:bCs/>
          <w:color w:val="002060"/>
          <w:sz w:val="16"/>
          <w:szCs w:val="16"/>
        </w:rPr>
      </w:pPr>
      <w:r w:rsidRPr="00405303">
        <w:rPr>
          <w:bCs/>
          <w:color w:val="002060"/>
          <w:sz w:val="16"/>
          <w:szCs w:val="16"/>
        </w:rPr>
        <w:t xml:space="preserve">Хлорпикрин — производство было поставлено на семи заводах. Из них один казенный (Глобинский). По 1 октября 1916 г. изготовлено 21 000 пудов. </w:t>
      </w:r>
    </w:p>
    <w:p w14:paraId="5D2A4918" w14:textId="77777777" w:rsidR="004B4E35" w:rsidRPr="00405303" w:rsidRDefault="009E6F82" w:rsidP="00C15251">
      <w:pPr>
        <w:jc w:val="both"/>
        <w:rPr>
          <w:bCs/>
          <w:color w:val="002060"/>
          <w:sz w:val="16"/>
          <w:szCs w:val="16"/>
        </w:rPr>
      </w:pPr>
      <w:r w:rsidRPr="00405303">
        <w:rPr>
          <w:bCs/>
          <w:color w:val="002060"/>
          <w:sz w:val="16"/>
          <w:szCs w:val="16"/>
        </w:rPr>
        <w:t xml:space="preserve">Хлористый сульфурин и хлористый ангидрид — на одном заводе, до 1 октября 1916 г. выработано: первого 14 000 пудов, а второго 18 000 пудов. </w:t>
      </w:r>
    </w:p>
    <w:p w14:paraId="3A430439" w14:textId="77777777" w:rsidR="004B4E35" w:rsidRPr="00405303" w:rsidRDefault="009E6F82" w:rsidP="00C15251">
      <w:pPr>
        <w:jc w:val="both"/>
        <w:rPr>
          <w:bCs/>
          <w:color w:val="002060"/>
          <w:sz w:val="16"/>
          <w:szCs w:val="16"/>
        </w:rPr>
      </w:pPr>
      <w:r w:rsidRPr="00405303">
        <w:rPr>
          <w:bCs/>
          <w:color w:val="002060"/>
          <w:sz w:val="16"/>
          <w:szCs w:val="16"/>
        </w:rPr>
        <w:t xml:space="preserve">Хлорное олово — на одном заводе, до 1 октября 1916 г. выработано 14 000 пудов. </w:t>
      </w:r>
    </w:p>
    <w:p w14:paraId="3805C4C4" w14:textId="77777777" w:rsidR="004B4E35" w:rsidRPr="00405303" w:rsidRDefault="009E6F82" w:rsidP="00C15251">
      <w:pPr>
        <w:jc w:val="both"/>
        <w:rPr>
          <w:bCs/>
          <w:color w:val="002060"/>
          <w:sz w:val="16"/>
          <w:szCs w:val="16"/>
        </w:rPr>
      </w:pPr>
      <w:r w:rsidRPr="00405303">
        <w:rPr>
          <w:bCs/>
          <w:color w:val="002060"/>
          <w:sz w:val="16"/>
          <w:szCs w:val="16"/>
        </w:rPr>
        <w:t xml:space="preserve">Цианистый калий — на одном заводе, за 1916 г. выработано 100 пудов. </w:t>
      </w:r>
    </w:p>
    <w:p w14:paraId="505A66AC" w14:textId="77777777" w:rsidR="004B4E35" w:rsidRPr="00405303" w:rsidRDefault="009E6F82" w:rsidP="00C15251">
      <w:pPr>
        <w:jc w:val="both"/>
        <w:rPr>
          <w:bCs/>
          <w:color w:val="002060"/>
          <w:sz w:val="16"/>
          <w:szCs w:val="16"/>
        </w:rPr>
      </w:pPr>
      <w:r w:rsidRPr="00405303">
        <w:rPr>
          <w:bCs/>
          <w:color w:val="002060"/>
          <w:sz w:val="16"/>
          <w:szCs w:val="16"/>
        </w:rPr>
        <w:t xml:space="preserve">Хлороформ — на одном заводе, до 1 октября 1916 г. — 300 пудов. </w:t>
      </w:r>
    </w:p>
    <w:p w14:paraId="3721BBA9" w14:textId="77777777" w:rsidR="004B4E35" w:rsidRPr="00405303" w:rsidRDefault="009E6F82" w:rsidP="00C15251">
      <w:pPr>
        <w:jc w:val="both"/>
        <w:rPr>
          <w:bCs/>
          <w:color w:val="002060"/>
          <w:sz w:val="16"/>
          <w:szCs w:val="16"/>
        </w:rPr>
      </w:pPr>
      <w:r w:rsidRPr="00405303">
        <w:rPr>
          <w:bCs/>
          <w:color w:val="002060"/>
          <w:sz w:val="16"/>
          <w:szCs w:val="16"/>
        </w:rPr>
        <w:t xml:space="preserve">Хлористый мышьяк — на одном заводе, до 1 октября 1916 г. — 2000 пудов. </w:t>
      </w:r>
    </w:p>
    <w:p w14:paraId="242920CE" w14:textId="77777777" w:rsidR="004B4E35" w:rsidRPr="00405303" w:rsidRDefault="009E6F82" w:rsidP="00C15251">
      <w:pPr>
        <w:jc w:val="both"/>
        <w:rPr>
          <w:bCs/>
          <w:color w:val="002060"/>
          <w:sz w:val="16"/>
          <w:szCs w:val="16"/>
        </w:rPr>
      </w:pPr>
      <w:r w:rsidRPr="00405303">
        <w:rPr>
          <w:bCs/>
          <w:color w:val="002060"/>
          <w:sz w:val="16"/>
          <w:szCs w:val="16"/>
        </w:rPr>
        <w:t xml:space="preserve">Для производства бромбензола было установлено, впервые в России, производство брома. </w:t>
      </w:r>
    </w:p>
    <w:p w14:paraId="58DC5394" w14:textId="77777777" w:rsidR="004B4E35" w:rsidRPr="00405303" w:rsidRDefault="009E6F82" w:rsidP="00C15251">
      <w:pPr>
        <w:jc w:val="both"/>
        <w:rPr>
          <w:bCs/>
          <w:color w:val="002060"/>
          <w:sz w:val="16"/>
          <w:szCs w:val="16"/>
        </w:rPr>
      </w:pPr>
      <w:r w:rsidRPr="00405303">
        <w:rPr>
          <w:bCs/>
          <w:color w:val="002060"/>
          <w:sz w:val="16"/>
          <w:szCs w:val="16"/>
        </w:rPr>
        <w:t xml:space="preserve">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 </w:t>
      </w:r>
    </w:p>
    <w:p w14:paraId="177F3F51"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 </w:t>
      </w:r>
    </w:p>
    <w:p w14:paraId="07ACC525" w14:textId="77777777" w:rsidR="004B4E35" w:rsidRPr="00405303" w:rsidRDefault="009E6F82" w:rsidP="00C15251">
      <w:pPr>
        <w:jc w:val="both"/>
        <w:rPr>
          <w:bCs/>
          <w:color w:val="002060"/>
          <w:sz w:val="16"/>
          <w:szCs w:val="16"/>
        </w:rPr>
      </w:pPr>
      <w:r w:rsidRPr="00405303">
        <w:rPr>
          <w:bCs/>
          <w:color w:val="002060"/>
          <w:sz w:val="16"/>
          <w:szCs w:val="16"/>
        </w:rPr>
        <w:t xml:space="preserve">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 </w:t>
      </w:r>
    </w:p>
    <w:p w14:paraId="0A13D132" w14:textId="77777777" w:rsidR="004B4E35" w:rsidRPr="00405303" w:rsidRDefault="009E6F82" w:rsidP="00C15251">
      <w:pPr>
        <w:jc w:val="both"/>
        <w:rPr>
          <w:bCs/>
          <w:color w:val="002060"/>
          <w:sz w:val="16"/>
          <w:szCs w:val="16"/>
        </w:rPr>
      </w:pPr>
      <w:r w:rsidRPr="00405303">
        <w:rPr>
          <w:bCs/>
          <w:color w:val="002060"/>
          <w:sz w:val="16"/>
          <w:szCs w:val="16"/>
        </w:rPr>
        <w:t xml:space="preserve">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 </w:t>
      </w:r>
    </w:p>
    <w:p w14:paraId="354D19D8" w14:textId="77777777" w:rsidR="004B4E35" w:rsidRPr="00405303" w:rsidRDefault="009E6F82" w:rsidP="00C15251">
      <w:pPr>
        <w:jc w:val="both"/>
        <w:rPr>
          <w:bCs/>
          <w:color w:val="002060"/>
          <w:sz w:val="16"/>
          <w:szCs w:val="16"/>
        </w:rPr>
      </w:pPr>
      <w:r w:rsidRPr="00405303">
        <w:rPr>
          <w:bCs/>
          <w:color w:val="002060"/>
          <w:sz w:val="16"/>
          <w:szCs w:val="16"/>
        </w:rPr>
        <w:t xml:space="preserve">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 </w:t>
      </w:r>
    </w:p>
    <w:p w14:paraId="69E55386" w14:textId="77777777" w:rsidR="004B4E35" w:rsidRPr="00405303" w:rsidRDefault="009E6F82" w:rsidP="00C15251">
      <w:pPr>
        <w:jc w:val="both"/>
        <w:rPr>
          <w:bCs/>
          <w:color w:val="002060"/>
          <w:sz w:val="16"/>
          <w:szCs w:val="16"/>
        </w:rPr>
      </w:pPr>
      <w:r w:rsidRPr="00405303">
        <w:rPr>
          <w:bCs/>
          <w:color w:val="002060"/>
          <w:sz w:val="16"/>
          <w:szCs w:val="16"/>
        </w:rPr>
        <w:t xml:space="preserve">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w:t>
      </w:r>
    </w:p>
    <w:p w14:paraId="1DC236A4" w14:textId="77777777" w:rsidR="004B4E35" w:rsidRPr="00405303" w:rsidRDefault="009E6F82" w:rsidP="00C15251">
      <w:pPr>
        <w:jc w:val="both"/>
        <w:rPr>
          <w:bCs/>
          <w:color w:val="002060"/>
          <w:sz w:val="16"/>
          <w:szCs w:val="16"/>
        </w:rPr>
      </w:pPr>
      <w:r w:rsidRPr="00405303">
        <w:rPr>
          <w:bCs/>
          <w:color w:val="002060"/>
          <w:sz w:val="16"/>
          <w:szCs w:val="16"/>
        </w:rPr>
        <w:t>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3EB6E7D4" w14:textId="77777777" w:rsidR="004B4E35" w:rsidRPr="00405303" w:rsidRDefault="009E6F82" w:rsidP="00C15251">
      <w:pPr>
        <w:jc w:val="both"/>
        <w:rPr>
          <w:bCs/>
          <w:color w:val="002060"/>
          <w:sz w:val="16"/>
          <w:szCs w:val="16"/>
        </w:rPr>
      </w:pPr>
      <w:r w:rsidRPr="00405303">
        <w:rPr>
          <w:bCs/>
          <w:color w:val="002060"/>
          <w:sz w:val="16"/>
          <w:szCs w:val="16"/>
        </w:rPr>
        <w:t xml:space="preserve">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09E876FA" w14:textId="77777777" w:rsidR="004B4E35" w:rsidRPr="00405303" w:rsidRDefault="009E6F82" w:rsidP="00C15251">
      <w:pPr>
        <w:jc w:val="both"/>
        <w:rPr>
          <w:bCs/>
          <w:color w:val="002060"/>
          <w:sz w:val="16"/>
          <w:szCs w:val="16"/>
        </w:rPr>
      </w:pPr>
      <w:r w:rsidRPr="00405303">
        <w:rPr>
          <w:bCs/>
          <w:color w:val="002060"/>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362908D2" w14:textId="77777777" w:rsidR="004B4E35" w:rsidRPr="00405303" w:rsidRDefault="009E6F82" w:rsidP="00C15251">
      <w:pPr>
        <w:jc w:val="both"/>
        <w:rPr>
          <w:bCs/>
          <w:color w:val="002060"/>
          <w:sz w:val="16"/>
          <w:szCs w:val="16"/>
        </w:rPr>
      </w:pPr>
      <w:r w:rsidRPr="00405303">
        <w:rPr>
          <w:bCs/>
          <w:color w:val="002060"/>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5F443C60" w14:textId="77777777" w:rsidR="004B4E35" w:rsidRPr="00405303" w:rsidRDefault="009E6F82" w:rsidP="00C15251">
      <w:pPr>
        <w:jc w:val="both"/>
        <w:rPr>
          <w:bCs/>
          <w:color w:val="002060"/>
          <w:sz w:val="16"/>
          <w:szCs w:val="16"/>
        </w:rPr>
      </w:pPr>
      <w:r w:rsidRPr="00405303">
        <w:rPr>
          <w:bCs/>
          <w:color w:val="002060"/>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57CD11C7" w14:textId="77777777" w:rsidR="004B4E35" w:rsidRPr="00405303" w:rsidRDefault="004B4E35" w:rsidP="00C15251">
      <w:pPr>
        <w:jc w:val="both"/>
        <w:rPr>
          <w:bCs/>
          <w:i/>
          <w:color w:val="002060"/>
          <w:sz w:val="16"/>
          <w:szCs w:val="16"/>
        </w:rPr>
      </w:pPr>
    </w:p>
    <w:p w14:paraId="28044F4B" w14:textId="77777777" w:rsidR="00AF667C" w:rsidRPr="00405303" w:rsidRDefault="006A4BA6" w:rsidP="00C15251">
      <w:pPr>
        <w:shd w:val="clear" w:color="auto" w:fill="FFFFFF"/>
        <w:jc w:val="both"/>
        <w:rPr>
          <w:bCs/>
          <w:color w:val="002060"/>
          <w:sz w:val="16"/>
          <w:szCs w:val="16"/>
        </w:rPr>
      </w:pPr>
      <w:r w:rsidRPr="00405303">
        <w:rPr>
          <w:bCs/>
          <w:color w:val="002060"/>
          <w:sz w:val="16"/>
          <w:szCs w:val="16"/>
        </w:rPr>
        <w:t>С</w:t>
      </w:r>
      <w:r w:rsidR="009E6F82" w:rsidRPr="00405303">
        <w:rPr>
          <w:bCs/>
          <w:color w:val="002060"/>
          <w:sz w:val="16"/>
          <w:szCs w:val="16"/>
        </w:rPr>
        <w:t xml:space="preserve"> февраля 1915 г. по январь 1917 г. </w:t>
      </w:r>
      <w:r w:rsidRPr="00405303">
        <w:rPr>
          <w:bCs/>
          <w:color w:val="002060"/>
          <w:sz w:val="16"/>
          <w:szCs w:val="16"/>
        </w:rPr>
        <w:t xml:space="preserve">число заводов, изготовлявших взрывчатые вещества, </w:t>
      </w:r>
      <w:r w:rsidR="009E6F82" w:rsidRPr="00405303">
        <w:rPr>
          <w:bCs/>
          <w:color w:val="002060"/>
          <w:sz w:val="16"/>
          <w:szCs w:val="16"/>
        </w:rPr>
        <w:t>увеличилось с 4 до 28. Общее число частных заводов, изготовлявших во время войны тротил, достигло 8.</w:t>
      </w:r>
      <w:r w:rsidR="00AF667C" w:rsidRPr="00405303">
        <w:rPr>
          <w:bCs/>
          <w:color w:val="002060"/>
          <w:sz w:val="16"/>
          <w:szCs w:val="16"/>
        </w:rPr>
        <w:t xml:space="preserve"> С самого начала своей деятельности Комиссия В. Н. Ипатьева составила план при</w:t>
      </w:r>
      <w:r w:rsidR="00AF667C" w:rsidRPr="00405303">
        <w:rPr>
          <w:bCs/>
          <w:color w:val="002060"/>
          <w:sz w:val="16"/>
          <w:szCs w:val="16"/>
        </w:rPr>
        <w:softHyphen/>
        <w:t>влечения частных химических заводов к производству взрывчатых веществ. Была значительно расширена номенклатура взрывчатых веществ за счет использования сплавов тротила с аммиачной селит</w:t>
      </w:r>
      <w:r w:rsidR="00AF667C" w:rsidRPr="00405303">
        <w:rPr>
          <w:bCs/>
          <w:color w:val="002060"/>
          <w:sz w:val="16"/>
          <w:szCs w:val="16"/>
        </w:rPr>
        <w:softHyphen/>
        <w:t>рой, тринитроксилола, динитронафталина и его сплавов с пикрино</w:t>
      </w:r>
      <w:r w:rsidR="00AF667C" w:rsidRPr="00405303">
        <w:rPr>
          <w:bCs/>
          <w:color w:val="002060"/>
          <w:sz w:val="16"/>
          <w:szCs w:val="16"/>
        </w:rPr>
        <w:softHyphen/>
        <w:t>вой кислотой.</w:t>
      </w:r>
    </w:p>
    <w:p w14:paraId="4862BC73" w14:textId="77777777" w:rsidR="00AF667C" w:rsidRPr="00405303" w:rsidRDefault="00AF667C" w:rsidP="00C15251">
      <w:pPr>
        <w:shd w:val="clear" w:color="auto" w:fill="FFFFFF"/>
        <w:jc w:val="both"/>
        <w:rPr>
          <w:bCs/>
          <w:color w:val="002060"/>
          <w:sz w:val="16"/>
          <w:szCs w:val="16"/>
        </w:rPr>
      </w:pPr>
      <w:r w:rsidRPr="00405303">
        <w:rPr>
          <w:bCs/>
          <w:color w:val="002060"/>
          <w:sz w:val="16"/>
          <w:szCs w:val="16"/>
        </w:rPr>
        <w:t>Взрывчатые вещества изготовляли 10 частных заводов: Славян</w:t>
      </w:r>
      <w:r w:rsidRPr="00405303">
        <w:rPr>
          <w:bCs/>
          <w:color w:val="002060"/>
          <w:sz w:val="16"/>
          <w:szCs w:val="16"/>
        </w:rPr>
        <w:softHyphen/>
        <w:t>ский завод Южнорусского общества, завод Акционерного общества Б. И. Виннера, Русского акционерного общества Шеринга, Алагир-ский завод во Владикавказе, Трехгорная пивоваренная мануфактура Н. В. Лепешкина в Дегунино, Шлиссельбурге кий пороховой завод, завод Петроградского общества химических продуктов, Штеровский завод Франко-русского общества химических продуктов и взрывча</w:t>
      </w:r>
      <w:r w:rsidRPr="00405303">
        <w:rPr>
          <w:bCs/>
          <w:color w:val="002060"/>
          <w:sz w:val="16"/>
          <w:szCs w:val="16"/>
        </w:rPr>
        <w:softHyphen/>
        <w:t>тых веществ, завод Любимова и Сольвей, завод Общества химиче</w:t>
      </w:r>
      <w:r w:rsidRPr="00405303">
        <w:rPr>
          <w:bCs/>
          <w:color w:val="002060"/>
          <w:sz w:val="16"/>
          <w:szCs w:val="16"/>
        </w:rPr>
        <w:softHyphen/>
        <w:t>ских заводов (Константиновка) [7, с. 139]. Эти заводы за 1915—</w:t>
      </w:r>
    </w:p>
    <w:p w14:paraId="0EE45734" w14:textId="77777777" w:rsidR="00AF667C" w:rsidRPr="00405303" w:rsidRDefault="00AF667C" w:rsidP="00C15251">
      <w:pPr>
        <w:shd w:val="clear" w:color="auto" w:fill="FFFFFF"/>
        <w:jc w:val="both"/>
        <w:rPr>
          <w:bCs/>
          <w:color w:val="002060"/>
          <w:sz w:val="16"/>
          <w:szCs w:val="16"/>
        </w:rPr>
      </w:pPr>
      <w:r w:rsidRPr="00405303">
        <w:rPr>
          <w:bCs/>
          <w:color w:val="002060"/>
          <w:sz w:val="16"/>
          <w:szCs w:val="16"/>
        </w:rPr>
        <w:t>1917 гг. изготовили 320 тыс. пудов различных взрывчатых веществ.</w:t>
      </w:r>
    </w:p>
    <w:p w14:paraId="68F22E0B" w14:textId="77777777" w:rsidR="00AF667C" w:rsidRPr="00405303" w:rsidRDefault="00AF667C" w:rsidP="00C15251">
      <w:pPr>
        <w:shd w:val="clear" w:color="auto" w:fill="FFFFFF"/>
        <w:jc w:val="both"/>
        <w:rPr>
          <w:bCs/>
          <w:color w:val="002060"/>
          <w:sz w:val="16"/>
          <w:szCs w:val="16"/>
        </w:rPr>
      </w:pPr>
      <w:r w:rsidRPr="00405303">
        <w:rPr>
          <w:bCs/>
          <w:color w:val="002060"/>
          <w:sz w:val="16"/>
          <w:szCs w:val="16"/>
        </w:rPr>
        <w:t>Кроме того, небольшие количества взрывчатых веществ произво</w:t>
      </w:r>
      <w:r w:rsidRPr="00405303">
        <w:rPr>
          <w:bCs/>
          <w:color w:val="002060"/>
          <w:sz w:val="16"/>
          <w:szCs w:val="16"/>
        </w:rPr>
        <w:softHyphen/>
        <w:t>дили заводы Лисичанского общества, завод Серикова, завод П. К. Ушкова близ Самары, Кинешемский бензольно-анилиновый завод, Докторовский химический завод в Кудинове и др. [6, с. ПО; '7, с. 130].</w:t>
      </w:r>
    </w:p>
    <w:p w14:paraId="6468053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Пикриновую кислоту в военные годы производили 7 частных за</w:t>
      </w:r>
      <w:r w:rsidRPr="00405303">
        <w:rPr>
          <w:bCs/>
          <w:color w:val="002060"/>
          <w:sz w:val="16"/>
          <w:szCs w:val="16"/>
        </w:rPr>
        <w:softHyphen/>
        <w:t>водов. Для обеспечения их фенолом Комиссия Ипатьева организо</w:t>
      </w:r>
      <w:r w:rsidRPr="00405303">
        <w:rPr>
          <w:bCs/>
          <w:color w:val="002060"/>
          <w:sz w:val="16"/>
          <w:szCs w:val="16"/>
        </w:rPr>
        <w:softHyphen/>
        <w:t>вала изготовление синтетического фенола из бензола. Выработка синтетического фенола в 1916 г. достигла почти 125 тыс. пудов.</w:t>
      </w:r>
    </w:p>
    <w:p w14:paraId="059CC7D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Кроме того, были организованы также производства по выделе</w:t>
      </w:r>
      <w:r w:rsidRPr="00405303">
        <w:rPr>
          <w:bCs/>
          <w:color w:val="002060"/>
          <w:sz w:val="16"/>
          <w:szCs w:val="16"/>
        </w:rPr>
        <w:softHyphen/>
        <w:t>нию карболовой кислоты и крезолов из тяжелой каменноугольной смолы и по очистке этих продуктов [20, с. 24].</w:t>
      </w:r>
    </w:p>
    <w:p w14:paraId="6AABCADD" w14:textId="77777777" w:rsidR="004B4E35" w:rsidRPr="00405303" w:rsidRDefault="009E6F82" w:rsidP="00C15251">
      <w:pPr>
        <w:jc w:val="both"/>
        <w:rPr>
          <w:bCs/>
          <w:color w:val="002060"/>
          <w:sz w:val="16"/>
          <w:szCs w:val="16"/>
        </w:rPr>
      </w:pPr>
      <w:r w:rsidRPr="00405303">
        <w:rPr>
          <w:bCs/>
          <w:color w:val="002060"/>
          <w:sz w:val="16"/>
          <w:szCs w:val="16"/>
        </w:rPr>
        <w:t>Комиссия по заготовке взрывчатых веществ поручила проф. А. А. Солонине разработать технологию получения из ксилола три</w:t>
      </w:r>
      <w:r w:rsidRPr="00405303">
        <w:rPr>
          <w:bCs/>
          <w:color w:val="002060"/>
          <w:sz w:val="16"/>
          <w:szCs w:val="16"/>
        </w:rPr>
        <w:softHyphen/>
        <w:t>нитроксилола, рассчитывая использовать последний в качестве пол</w:t>
      </w:r>
      <w:r w:rsidRPr="00405303">
        <w:rPr>
          <w:bCs/>
          <w:color w:val="002060"/>
          <w:sz w:val="16"/>
          <w:szCs w:val="16"/>
        </w:rPr>
        <w:softHyphen/>
        <w:t>ноценного заменителя тротила. После получения положительных результатов испытания снарядов, снаряженных тринитроксилолом и его смесями с тротилом и аммиачной селитрой, Комиссия В. Н. Ипатьева организовала производство этого нового взрывчато</w:t>
      </w:r>
      <w:r w:rsidRPr="00405303">
        <w:rPr>
          <w:bCs/>
          <w:color w:val="002060"/>
          <w:sz w:val="16"/>
          <w:szCs w:val="16"/>
        </w:rPr>
        <w:softHyphen/>
        <w:t>го вещества на трех заводах (казенном Охтинском заводе ВВ, на за</w:t>
      </w:r>
      <w:r w:rsidRPr="00405303">
        <w:rPr>
          <w:bCs/>
          <w:color w:val="002060"/>
          <w:sz w:val="16"/>
          <w:szCs w:val="16"/>
        </w:rPr>
        <w:softHyphen/>
        <w:t>воде Кротэ в Петрограде и на Штеровском динамитном заводе) 120, с. 22].</w:t>
      </w:r>
    </w:p>
    <w:p w14:paraId="5B9263D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начальный период работы Комиссии было налажено производ</w:t>
      </w:r>
      <w:r w:rsidRPr="00405303">
        <w:rPr>
          <w:bCs/>
          <w:color w:val="002060"/>
          <w:sz w:val="16"/>
          <w:szCs w:val="16"/>
        </w:rPr>
        <w:softHyphen/>
        <w:t>ство динитронафталина на двух заводах (Трехгорном пивоваренном заводе в Москве и Штервельмана в Екатеринославской губернии). Динитронафталин применяли в сплаве с пикриновой кислотой для снаряжения снарядов.</w:t>
      </w:r>
    </w:p>
    <w:p w14:paraId="1A0DFE7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 заводе Шеринга в Москве было организовано производство тетрила, необходимого для снаряжения взрывателей.</w:t>
      </w:r>
    </w:p>
    <w:p w14:paraId="25E8B5C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Комиссия организовала производство аммиачно-селитренных взрывчатых веществ (смесь тротила с 40—50 % аммиачной селит</w:t>
      </w:r>
      <w:r w:rsidRPr="00405303">
        <w:rPr>
          <w:bCs/>
          <w:color w:val="002060"/>
          <w:sz w:val="16"/>
          <w:szCs w:val="16"/>
        </w:rPr>
        <w:softHyphen/>
        <w:t>ры), используемых для снаряжения гранат [41].</w:t>
      </w:r>
    </w:p>
    <w:p w14:paraId="6B92B89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 трех заводах в Донбассе организовали производство аммиач</w:t>
      </w:r>
      <w:r w:rsidRPr="00405303">
        <w:rPr>
          <w:bCs/>
          <w:color w:val="002060"/>
          <w:sz w:val="16"/>
          <w:szCs w:val="16"/>
        </w:rPr>
        <w:softHyphen/>
        <w:t>ной селитры для этих целей. В 1916 г. ее было произведено 564 тыс. пудов [41].</w:t>
      </w:r>
    </w:p>
    <w:p w14:paraId="76C020C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Общая мощность всех заводов взрывчатых веществ возросла в 1917 г. до 218 тыс. пудов в месяц. Из них: тротила — 52 тыс. пудов в месяц, пикриновой кислоты (мелинита) — 50 тыс. пудов, аммиачной селитры — 60 тыс. пудов, ксилила — 9 тыс. пудов, динитронафтали</w:t>
      </w:r>
      <w:r w:rsidRPr="00405303">
        <w:rPr>
          <w:bCs/>
          <w:color w:val="002060"/>
          <w:sz w:val="16"/>
          <w:szCs w:val="16"/>
        </w:rPr>
        <w:softHyphen/>
        <w:t>на — 12 тыс. пудов в месяц (5484).</w:t>
      </w:r>
    </w:p>
    <w:p w14:paraId="6579A266" w14:textId="5586B2F8" w:rsidR="00AF667C" w:rsidRPr="00405303" w:rsidRDefault="00AF667C" w:rsidP="00C15251">
      <w:pPr>
        <w:shd w:val="clear" w:color="auto" w:fill="FFFFFF"/>
        <w:jc w:val="both"/>
        <w:rPr>
          <w:bCs/>
          <w:color w:val="002060"/>
          <w:sz w:val="16"/>
          <w:szCs w:val="16"/>
        </w:rPr>
      </w:pPr>
    </w:p>
    <w:p w14:paraId="43008BCC" w14:textId="5169F0E9" w:rsidR="004B4E35" w:rsidRPr="00405303" w:rsidRDefault="00AF667C"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феврале 1915 г. </w:t>
      </w:r>
      <w:r w:rsidRPr="00405303">
        <w:rPr>
          <w:bCs/>
          <w:color w:val="002060"/>
          <w:sz w:val="16"/>
          <w:szCs w:val="16"/>
        </w:rPr>
        <w:t xml:space="preserve">ГАУ </w:t>
      </w:r>
      <w:r w:rsidR="009E6F82" w:rsidRPr="00405303">
        <w:rPr>
          <w:bCs/>
          <w:color w:val="002060"/>
          <w:sz w:val="16"/>
          <w:szCs w:val="16"/>
        </w:rPr>
        <w:t>определило на основе заявок фронтов по</w:t>
      </w:r>
      <w:r w:rsidR="009E6F82" w:rsidRPr="00405303">
        <w:rPr>
          <w:bCs/>
          <w:color w:val="002060"/>
          <w:sz w:val="16"/>
          <w:szCs w:val="16"/>
        </w:rPr>
        <w:softHyphen/>
        <w:t>требность в 165 тыс. пудов, а позднее даже 258 тыс. пудов взрывча</w:t>
      </w:r>
      <w:r w:rsidR="009E6F82" w:rsidRPr="00405303">
        <w:rPr>
          <w:bCs/>
          <w:color w:val="002060"/>
          <w:sz w:val="16"/>
          <w:szCs w:val="16"/>
        </w:rPr>
        <w:softHyphen/>
        <w:t>тых веществ в месяц, т. е. в 13—20 раз больше возможностей про</w:t>
      </w:r>
      <w:r w:rsidR="009E6F82" w:rsidRPr="00405303">
        <w:rPr>
          <w:bCs/>
          <w:color w:val="002060"/>
          <w:sz w:val="16"/>
          <w:szCs w:val="16"/>
        </w:rPr>
        <w:softHyphen/>
        <w:t>мышленности [4, с. 302; 42, с. 34].</w:t>
      </w:r>
      <w:r w:rsidRPr="00405303">
        <w:rPr>
          <w:bCs/>
          <w:color w:val="002060"/>
          <w:sz w:val="16"/>
          <w:szCs w:val="16"/>
        </w:rPr>
        <w:t xml:space="preserve"> В1914 г. годовая производственная мощность казен</w:t>
      </w:r>
      <w:r w:rsidRPr="00405303">
        <w:rPr>
          <w:bCs/>
          <w:color w:val="002060"/>
          <w:sz w:val="16"/>
          <w:szCs w:val="16"/>
        </w:rPr>
        <w:softHyphen/>
        <w:t xml:space="preserve">ных заводов по выпуску тротила составляла </w:t>
      </w:r>
      <w:r w:rsidRPr="00405303">
        <w:rPr>
          <w:bCs/>
          <w:color w:val="002060"/>
          <w:sz w:val="16"/>
          <w:szCs w:val="16"/>
        </w:rPr>
        <w:lastRenderedPageBreak/>
        <w:t>75 тыс. пудов (Охтин</w:t>
      </w:r>
      <w:r w:rsidRPr="00405303">
        <w:rPr>
          <w:bCs/>
          <w:color w:val="002060"/>
          <w:sz w:val="16"/>
          <w:szCs w:val="16"/>
        </w:rPr>
        <w:softHyphen/>
        <w:t>ский завод — 15 тыс. пудов и 60 тыс. пудов — Самарский). Она была меньше мощности одного частного Шлиссельбургского завода, ко</w:t>
      </w:r>
      <w:r w:rsidRPr="00405303">
        <w:rPr>
          <w:bCs/>
          <w:color w:val="002060"/>
          <w:sz w:val="16"/>
          <w:szCs w:val="16"/>
        </w:rPr>
        <w:softHyphen/>
        <w:t>торый в довоенное время мог давать до 80 тыс. пудов тротила в год [5, с. 217].</w:t>
      </w:r>
    </w:p>
    <w:p w14:paraId="06FFDE5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Были приняты меры по увеличению выпуска взрывчатых ве</w:t>
      </w:r>
      <w:r w:rsidRPr="00405303">
        <w:rPr>
          <w:bCs/>
          <w:color w:val="002060"/>
          <w:sz w:val="16"/>
          <w:szCs w:val="16"/>
        </w:rPr>
        <w:softHyphen/>
        <w:t>ществ, а также по экономному расходованию их на снаряжение бое</w:t>
      </w:r>
      <w:r w:rsidRPr="00405303">
        <w:rPr>
          <w:bCs/>
          <w:color w:val="002060"/>
          <w:sz w:val="16"/>
          <w:szCs w:val="16"/>
        </w:rPr>
        <w:softHyphen/>
        <w:t>припасов за счет применения заменителей. Было увеличено число работающих, организована круглосуточная работа. Самарский завод в 1914 г. достиг проектной мощности двух очередей по тротилу (60 тыс. пудов). Снаряжательные мастерские выпускали в сутки при трехсменной работе: до 4 тыс. (т. е. около 1,2 млн в год) 3-дюймовых гранат, 700 шт. 6-дюймовых снарядов, 800 ручных гранат и до 2 000 взрывателей.</w:t>
      </w:r>
    </w:p>
    <w:p w14:paraId="210253A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Для снаряжения этих боеприпасов требовалось ежесуточно до 600 пудов тротила, 8 пудов тетрила. В 1914 г. на Самарском заводе изготовляли в сутки 213 пудов тротила, в 1915 г. — до 305 пудов.</w:t>
      </w:r>
    </w:p>
    <w:p w14:paraId="7150EF0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Для увеличения производственной мощности Самарского завода по выпуску тротила и по снаряжению боеприпасов строили новые здания, устанавливали дополнительную аппаратуру. Ввели упрощен</w:t>
      </w:r>
      <w:r w:rsidRPr="00405303">
        <w:rPr>
          <w:bCs/>
          <w:color w:val="002060"/>
          <w:sz w:val="16"/>
          <w:szCs w:val="16"/>
        </w:rPr>
        <w:softHyphen/>
        <w:t>ную технологию изготовления тротила. Увеличили загрузку агрега</w:t>
      </w:r>
      <w:r w:rsidRPr="00405303">
        <w:rPr>
          <w:bCs/>
          <w:color w:val="002060"/>
          <w:sz w:val="16"/>
          <w:szCs w:val="16"/>
        </w:rPr>
        <w:softHyphen/>
        <w:t>тов.</w:t>
      </w:r>
    </w:p>
    <w:p w14:paraId="48EF084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Так как боеприпасы, снаряженные тротилом, долго не храни</w:t>
      </w:r>
      <w:r w:rsidRPr="00405303">
        <w:rPr>
          <w:bCs/>
          <w:color w:val="002060"/>
          <w:sz w:val="16"/>
          <w:szCs w:val="16"/>
        </w:rPr>
        <w:softHyphen/>
        <w:t>лись, а тотчас после изготовления отправлялись на фронт, требова</w:t>
      </w:r>
      <w:r w:rsidRPr="00405303">
        <w:rPr>
          <w:bCs/>
          <w:color w:val="002060"/>
          <w:sz w:val="16"/>
          <w:szCs w:val="16"/>
        </w:rPr>
        <w:softHyphen/>
        <w:t>ния к тротилу в отношении химической стойкости и чистоты по предложению проф. А. А. Солонины были снижены. Стали приме</w:t>
      </w:r>
      <w:r w:rsidRPr="00405303">
        <w:rPr>
          <w:bCs/>
          <w:color w:val="002060"/>
          <w:sz w:val="16"/>
          <w:szCs w:val="16"/>
        </w:rPr>
        <w:softHyphen/>
        <w:t>нять сырой тротил, промытый, но не очищенный. В результате годо</w:t>
      </w:r>
      <w:r w:rsidRPr="00405303">
        <w:rPr>
          <w:bCs/>
          <w:color w:val="002060"/>
          <w:sz w:val="16"/>
          <w:szCs w:val="16"/>
        </w:rPr>
        <w:softHyphen/>
        <w:t>вая мощность Самарского завода увеличилась до 190 тыс. пудов тро</w:t>
      </w:r>
      <w:r w:rsidRPr="00405303">
        <w:rPr>
          <w:bCs/>
          <w:color w:val="002060"/>
          <w:sz w:val="16"/>
          <w:szCs w:val="16"/>
        </w:rPr>
        <w:softHyphen/>
        <w:t>тила и 6—7 тыс. пудов тетрила [5, с. 218]. Всего за годы войны завод произвел более 514 тыс. пудов тротила и около 9 тыс. пудов тетрила.</w:t>
      </w:r>
    </w:p>
    <w:p w14:paraId="151D8E1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Мощности по снаряжению за первые два года войны увеличились в несколько раз. В 1916 г. завод выпускал ежесуточно до 10 тыс. трехдюймовых гранат, до 5 тыс. фугасных снарядов средних калиб</w:t>
      </w:r>
      <w:r w:rsidRPr="00405303">
        <w:rPr>
          <w:bCs/>
          <w:color w:val="002060"/>
          <w:sz w:val="16"/>
          <w:szCs w:val="16"/>
        </w:rPr>
        <w:softHyphen/>
        <w:t>ров, до 10 тыс. гранат и до 15 тыс. взрывателей.</w:t>
      </w:r>
    </w:p>
    <w:p w14:paraId="29E103B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 годы войны Самарский завод снарядил более 6 млн снарядов калибра от 76 до 152 мм и более 3 млн ручных гранат.</w:t>
      </w:r>
    </w:p>
    <w:p w14:paraId="3857500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 Охтинском заводе ВВ в течение лета 1915 г. были восстанов</w:t>
      </w:r>
      <w:r w:rsidRPr="00405303">
        <w:rPr>
          <w:bCs/>
          <w:color w:val="002060"/>
          <w:sz w:val="16"/>
          <w:szCs w:val="16"/>
        </w:rPr>
        <w:softHyphen/>
        <w:t>лены тротиловые мастерские, разрушенные взрывом в апреле 1915 г., и возобновлены работы по производству взрывчатых веществ и сна</w:t>
      </w:r>
      <w:r w:rsidRPr="00405303">
        <w:rPr>
          <w:bCs/>
          <w:color w:val="002060"/>
          <w:sz w:val="16"/>
          <w:szCs w:val="16"/>
        </w:rPr>
        <w:softHyphen/>
        <w:t>ряжению боеприпасов. Так как толуола не было, изготовляли три-нитроксилол (ксилил).</w:t>
      </w:r>
    </w:p>
    <w:p w14:paraId="08A5F54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целях экономии взрывчатых веществ с началом войны снаряды стали наполнять суррогатами из смеси неперекристаллизованного тротила сначала с калиевой селитрой (около 30 %), а затем с селит</w:t>
      </w:r>
      <w:r w:rsidRPr="00405303">
        <w:rPr>
          <w:bCs/>
          <w:color w:val="002060"/>
          <w:sz w:val="16"/>
          <w:szCs w:val="16"/>
        </w:rPr>
        <w:softHyphen/>
        <w:t>рой аммонийной, так называемые амматолы 50/50 и 80/20 (соответ</w:t>
      </w:r>
      <w:r w:rsidRPr="00405303">
        <w:rPr>
          <w:bCs/>
          <w:color w:val="002060"/>
          <w:sz w:val="16"/>
          <w:szCs w:val="16"/>
        </w:rPr>
        <w:softHyphen/>
        <w:t>ственно 50 и 20 % тротила).</w:t>
      </w:r>
    </w:p>
    <w:p w14:paraId="61BEC13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 годы первой мировой войны Охтинский завод ВВ изготовил 22,5 тыс. пудов тротила и снарядил (в млн. шт.): снарядов калибра от 76 мм до 152 мм и более — 3,46; ручных гранат — около 6 и взры</w:t>
      </w:r>
      <w:r w:rsidRPr="00405303">
        <w:rPr>
          <w:bCs/>
          <w:color w:val="002060"/>
          <w:sz w:val="16"/>
          <w:szCs w:val="16"/>
        </w:rPr>
        <w:softHyphen/>
        <w:t>вателей различных марок — почти 8,5.</w:t>
      </w:r>
    </w:p>
    <w:p w14:paraId="6E072575" w14:textId="77777777" w:rsidR="004B4E35" w:rsidRPr="00405303" w:rsidRDefault="009E6F82" w:rsidP="00C15251">
      <w:pPr>
        <w:jc w:val="both"/>
        <w:rPr>
          <w:bCs/>
          <w:color w:val="002060"/>
          <w:sz w:val="16"/>
          <w:szCs w:val="16"/>
        </w:rPr>
      </w:pPr>
      <w:r w:rsidRPr="00405303">
        <w:rPr>
          <w:bCs/>
          <w:color w:val="002060"/>
          <w:sz w:val="16"/>
          <w:szCs w:val="16"/>
        </w:rPr>
        <w:t>Однако, несмотря на все указанные выше меры и непрерывное наращивание выпуска тротила, возможности снаряжательных про</w:t>
      </w:r>
      <w:r w:rsidRPr="00405303">
        <w:rPr>
          <w:bCs/>
          <w:color w:val="002060"/>
          <w:sz w:val="16"/>
          <w:szCs w:val="16"/>
        </w:rPr>
        <w:softHyphen/>
        <w:t>изводств значительно опережали изготовление взрывчатых веществ.</w:t>
      </w:r>
    </w:p>
    <w:p w14:paraId="2334E87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Тротила все время не хватало. Проблема преодоления «тротилового голода» побуждала ГАУ обращаться к закупкам взрывчатых ве</w:t>
      </w:r>
      <w:r w:rsidRPr="00405303">
        <w:rPr>
          <w:bCs/>
          <w:color w:val="002060"/>
          <w:sz w:val="16"/>
          <w:szCs w:val="16"/>
        </w:rPr>
        <w:softHyphen/>
        <w:t>ществ за рубежом, а также к мобилизации гражданской химической промышленности России (5484).</w:t>
      </w:r>
    </w:p>
    <w:p w14:paraId="3FC7443F" w14:textId="77777777" w:rsidR="004B4E35" w:rsidRPr="00405303" w:rsidRDefault="004B4E35" w:rsidP="00C15251">
      <w:pPr>
        <w:shd w:val="clear" w:color="auto" w:fill="FFFFFF"/>
        <w:jc w:val="both"/>
        <w:rPr>
          <w:bCs/>
          <w:color w:val="002060"/>
          <w:sz w:val="16"/>
          <w:szCs w:val="16"/>
        </w:rPr>
      </w:pPr>
    </w:p>
    <w:p w14:paraId="7DAC8642" w14:textId="1AAAC5FF" w:rsidR="004B4E35" w:rsidRPr="00405303" w:rsidRDefault="00AF667C"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феврале 1915 г. </w:t>
      </w:r>
      <w:r w:rsidRPr="00405303">
        <w:rPr>
          <w:bCs/>
          <w:color w:val="002060"/>
          <w:sz w:val="16"/>
          <w:szCs w:val="16"/>
        </w:rPr>
        <w:t>организация Ванкова приступила к работе.</w:t>
      </w:r>
      <w:r w:rsidR="000F5756">
        <w:rPr>
          <w:bCs/>
          <w:color w:val="002060"/>
          <w:sz w:val="16"/>
          <w:szCs w:val="16"/>
        </w:rPr>
        <w:t xml:space="preserve"> </w:t>
      </w:r>
      <w:r w:rsidR="009E6F82" w:rsidRPr="00405303">
        <w:rPr>
          <w:bCs/>
          <w:color w:val="002060"/>
          <w:sz w:val="16"/>
          <w:szCs w:val="16"/>
        </w:rPr>
        <w:t>В апреле организации С. Н. Ванкова были даны первые заказы. Производство корпусов на</w:t>
      </w:r>
      <w:r w:rsidR="009E6F82" w:rsidRPr="00405303">
        <w:rPr>
          <w:bCs/>
          <w:color w:val="002060"/>
          <w:sz w:val="16"/>
          <w:szCs w:val="16"/>
        </w:rPr>
        <w:softHyphen/>
        <w:t>чали через 9 месяцев — в октябре 1915г. Снаряжение началось в ян варе 1916 г., т. е. через 11 месяцев. Максимальной интенсивности производство достигло в декабре 1916 г.</w:t>
      </w:r>
    </w:p>
    <w:p w14:paraId="5EA789A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Итоги работы русских заводов по изготовлению снарядов во время первой мировой войны [5, с. 198|</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98"/>
        <w:gridCol w:w="720"/>
        <w:gridCol w:w="960"/>
        <w:gridCol w:w="1066"/>
        <w:gridCol w:w="1018"/>
        <w:gridCol w:w="1142"/>
      </w:tblGrid>
      <w:tr w:rsidR="004B4E35" w:rsidRPr="00405303" w14:paraId="36FEB884" w14:textId="77777777">
        <w:trPr>
          <w:trHeight w:val="355"/>
        </w:trPr>
        <w:tc>
          <w:tcPr>
            <w:tcW w:w="1498" w:type="dxa"/>
          </w:tcPr>
          <w:p w14:paraId="5C580F3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Название снарядов</w:t>
            </w:r>
          </w:p>
          <w:p w14:paraId="394C0154" w14:textId="77777777" w:rsidR="004B4E35" w:rsidRPr="00405303" w:rsidRDefault="004B4E35" w:rsidP="00C15251">
            <w:pPr>
              <w:shd w:val="clear" w:color="auto" w:fill="FFFFFF"/>
              <w:jc w:val="both"/>
              <w:rPr>
                <w:bCs/>
                <w:color w:val="002060"/>
                <w:sz w:val="16"/>
                <w:szCs w:val="16"/>
              </w:rPr>
            </w:pPr>
          </w:p>
        </w:tc>
        <w:tc>
          <w:tcPr>
            <w:tcW w:w="720" w:type="dxa"/>
          </w:tcPr>
          <w:p w14:paraId="33DBB94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1914</w:t>
            </w:r>
          </w:p>
          <w:p w14:paraId="0F5F9065" w14:textId="77777777" w:rsidR="004B4E35" w:rsidRPr="00405303" w:rsidRDefault="004B4E35" w:rsidP="00C15251">
            <w:pPr>
              <w:shd w:val="clear" w:color="auto" w:fill="FFFFFF"/>
              <w:jc w:val="both"/>
              <w:rPr>
                <w:bCs/>
                <w:color w:val="002060"/>
                <w:sz w:val="16"/>
                <w:szCs w:val="16"/>
              </w:rPr>
            </w:pPr>
          </w:p>
        </w:tc>
        <w:tc>
          <w:tcPr>
            <w:tcW w:w="960" w:type="dxa"/>
          </w:tcPr>
          <w:p w14:paraId="60331DA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1915</w:t>
            </w:r>
          </w:p>
          <w:p w14:paraId="2404600A" w14:textId="77777777" w:rsidR="004B4E35" w:rsidRPr="00405303" w:rsidRDefault="004B4E35" w:rsidP="00C15251">
            <w:pPr>
              <w:shd w:val="clear" w:color="auto" w:fill="FFFFFF"/>
              <w:jc w:val="both"/>
              <w:rPr>
                <w:bCs/>
                <w:color w:val="002060"/>
                <w:sz w:val="16"/>
                <w:szCs w:val="16"/>
              </w:rPr>
            </w:pPr>
          </w:p>
        </w:tc>
        <w:tc>
          <w:tcPr>
            <w:tcW w:w="1066" w:type="dxa"/>
          </w:tcPr>
          <w:p w14:paraId="56E51C1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1916</w:t>
            </w:r>
          </w:p>
          <w:p w14:paraId="2E73DB53" w14:textId="77777777" w:rsidR="004B4E35" w:rsidRPr="00405303" w:rsidRDefault="004B4E35" w:rsidP="00C15251">
            <w:pPr>
              <w:shd w:val="clear" w:color="auto" w:fill="FFFFFF"/>
              <w:jc w:val="both"/>
              <w:rPr>
                <w:bCs/>
                <w:color w:val="002060"/>
                <w:sz w:val="16"/>
                <w:szCs w:val="16"/>
              </w:rPr>
            </w:pPr>
          </w:p>
        </w:tc>
        <w:tc>
          <w:tcPr>
            <w:tcW w:w="1018" w:type="dxa"/>
          </w:tcPr>
          <w:p w14:paraId="2DB1DCB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1917</w:t>
            </w:r>
          </w:p>
          <w:p w14:paraId="1B6E137B" w14:textId="77777777" w:rsidR="004B4E35" w:rsidRPr="00405303" w:rsidRDefault="004B4E35" w:rsidP="00C15251">
            <w:pPr>
              <w:shd w:val="clear" w:color="auto" w:fill="FFFFFF"/>
              <w:jc w:val="both"/>
              <w:rPr>
                <w:bCs/>
                <w:color w:val="002060"/>
                <w:sz w:val="16"/>
                <w:szCs w:val="16"/>
              </w:rPr>
            </w:pPr>
          </w:p>
        </w:tc>
        <w:tc>
          <w:tcPr>
            <w:tcW w:w="1142" w:type="dxa"/>
          </w:tcPr>
          <w:p w14:paraId="68EE20D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Всего</w:t>
            </w:r>
          </w:p>
          <w:p w14:paraId="126E92B4" w14:textId="77777777" w:rsidR="004B4E35" w:rsidRPr="00405303" w:rsidRDefault="004B4E35" w:rsidP="00C15251">
            <w:pPr>
              <w:shd w:val="clear" w:color="auto" w:fill="FFFFFF"/>
              <w:jc w:val="both"/>
              <w:rPr>
                <w:bCs/>
                <w:color w:val="002060"/>
                <w:sz w:val="16"/>
                <w:szCs w:val="16"/>
              </w:rPr>
            </w:pPr>
          </w:p>
        </w:tc>
      </w:tr>
      <w:tr w:rsidR="004B4E35" w:rsidRPr="00405303" w14:paraId="3DB84894" w14:textId="77777777">
        <w:trPr>
          <w:trHeight w:val="605"/>
        </w:trPr>
        <w:tc>
          <w:tcPr>
            <w:tcW w:w="1498" w:type="dxa"/>
          </w:tcPr>
          <w:p w14:paraId="64F9717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76-мм шрапнели 76-мм </w:t>
            </w:r>
            <w:proofErr w:type="gramStart"/>
            <w:r w:rsidRPr="00405303">
              <w:rPr>
                <w:bCs/>
                <w:color w:val="002060"/>
                <w:sz w:val="16"/>
                <w:szCs w:val="16"/>
              </w:rPr>
              <w:t>гранаты</w:t>
            </w:r>
            <w:proofErr w:type="gramEnd"/>
            <w:r w:rsidRPr="00405303">
              <w:rPr>
                <w:bCs/>
                <w:color w:val="002060"/>
                <w:sz w:val="16"/>
                <w:szCs w:val="16"/>
              </w:rPr>
              <w:t xml:space="preserve"> Всего 76-мм</w:t>
            </w:r>
          </w:p>
          <w:p w14:paraId="508320C6" w14:textId="77777777" w:rsidR="004B4E35" w:rsidRPr="00405303" w:rsidRDefault="004B4E35" w:rsidP="00C15251">
            <w:pPr>
              <w:shd w:val="clear" w:color="auto" w:fill="FFFFFF"/>
              <w:jc w:val="both"/>
              <w:rPr>
                <w:bCs/>
                <w:color w:val="002060"/>
                <w:sz w:val="16"/>
                <w:szCs w:val="16"/>
              </w:rPr>
            </w:pPr>
          </w:p>
        </w:tc>
        <w:tc>
          <w:tcPr>
            <w:tcW w:w="720" w:type="dxa"/>
          </w:tcPr>
          <w:p w14:paraId="518D226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78 800 78800</w:t>
            </w:r>
          </w:p>
          <w:p w14:paraId="2E6D6E0F" w14:textId="77777777" w:rsidR="004B4E35" w:rsidRPr="00405303" w:rsidRDefault="004B4E35" w:rsidP="00C15251">
            <w:pPr>
              <w:shd w:val="clear" w:color="auto" w:fill="FFFFFF"/>
              <w:jc w:val="both"/>
              <w:rPr>
                <w:bCs/>
                <w:color w:val="002060"/>
                <w:sz w:val="16"/>
                <w:szCs w:val="16"/>
              </w:rPr>
            </w:pPr>
          </w:p>
        </w:tc>
        <w:tc>
          <w:tcPr>
            <w:tcW w:w="960" w:type="dxa"/>
          </w:tcPr>
          <w:p w14:paraId="3724087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6 807 300 2018500 8 825 800</w:t>
            </w:r>
          </w:p>
          <w:p w14:paraId="7C65C752" w14:textId="77777777" w:rsidR="004B4E35" w:rsidRPr="00405303" w:rsidRDefault="004B4E35" w:rsidP="00C15251">
            <w:pPr>
              <w:shd w:val="clear" w:color="auto" w:fill="FFFFFF"/>
              <w:jc w:val="both"/>
              <w:rPr>
                <w:bCs/>
                <w:color w:val="002060"/>
                <w:sz w:val="16"/>
                <w:szCs w:val="16"/>
              </w:rPr>
            </w:pPr>
          </w:p>
        </w:tc>
        <w:tc>
          <w:tcPr>
            <w:tcW w:w="1066" w:type="dxa"/>
          </w:tcPr>
          <w:p w14:paraId="679C8BE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1 1 377 200 15521 800 26 899 000</w:t>
            </w:r>
          </w:p>
          <w:p w14:paraId="7BB0D5BE" w14:textId="77777777" w:rsidR="004B4E35" w:rsidRPr="00405303" w:rsidRDefault="004B4E35" w:rsidP="00C15251">
            <w:pPr>
              <w:shd w:val="clear" w:color="auto" w:fill="FFFFFF"/>
              <w:jc w:val="both"/>
              <w:rPr>
                <w:bCs/>
                <w:color w:val="002060"/>
                <w:sz w:val="16"/>
                <w:szCs w:val="16"/>
              </w:rPr>
            </w:pPr>
          </w:p>
        </w:tc>
        <w:tc>
          <w:tcPr>
            <w:tcW w:w="1018" w:type="dxa"/>
          </w:tcPr>
          <w:p w14:paraId="4A04C14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7 217 500 10 504 300 17 721 800</w:t>
            </w:r>
          </w:p>
          <w:p w14:paraId="33777FF5" w14:textId="77777777" w:rsidR="004B4E35" w:rsidRPr="00405303" w:rsidRDefault="004B4E35" w:rsidP="00C15251">
            <w:pPr>
              <w:shd w:val="clear" w:color="auto" w:fill="FFFFFF"/>
              <w:jc w:val="both"/>
              <w:rPr>
                <w:bCs/>
                <w:color w:val="002060"/>
                <w:sz w:val="16"/>
                <w:szCs w:val="16"/>
              </w:rPr>
            </w:pPr>
          </w:p>
        </w:tc>
        <w:tc>
          <w:tcPr>
            <w:tcW w:w="1142" w:type="dxa"/>
          </w:tcPr>
          <w:p w14:paraId="0A74B89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25 480 800 28 044 600 53 525 400</w:t>
            </w:r>
          </w:p>
          <w:p w14:paraId="3AD94EFE" w14:textId="77777777" w:rsidR="004B4E35" w:rsidRPr="00405303" w:rsidRDefault="004B4E35" w:rsidP="00C15251">
            <w:pPr>
              <w:shd w:val="clear" w:color="auto" w:fill="FFFFFF"/>
              <w:jc w:val="both"/>
              <w:rPr>
                <w:bCs/>
                <w:color w:val="002060"/>
                <w:sz w:val="16"/>
                <w:szCs w:val="16"/>
              </w:rPr>
            </w:pPr>
          </w:p>
        </w:tc>
      </w:tr>
      <w:tr w:rsidR="004B4E35" w:rsidRPr="00405303" w14:paraId="2BB29D17" w14:textId="77777777">
        <w:trPr>
          <w:trHeight w:val="355"/>
        </w:trPr>
        <w:tc>
          <w:tcPr>
            <w:tcW w:w="1498" w:type="dxa"/>
          </w:tcPr>
          <w:p w14:paraId="61C53B9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снарядов 122-мм гранаты и</w:t>
            </w:r>
          </w:p>
          <w:p w14:paraId="668C0A49" w14:textId="77777777" w:rsidR="004B4E35" w:rsidRPr="00405303" w:rsidRDefault="004B4E35" w:rsidP="00C15251">
            <w:pPr>
              <w:shd w:val="clear" w:color="auto" w:fill="FFFFFF"/>
              <w:jc w:val="both"/>
              <w:rPr>
                <w:bCs/>
                <w:color w:val="002060"/>
                <w:sz w:val="16"/>
                <w:szCs w:val="16"/>
              </w:rPr>
            </w:pPr>
          </w:p>
        </w:tc>
        <w:tc>
          <w:tcPr>
            <w:tcW w:w="720" w:type="dxa"/>
          </w:tcPr>
          <w:p w14:paraId="25738B1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24000</w:t>
            </w:r>
          </w:p>
          <w:p w14:paraId="5CAB6212" w14:textId="77777777" w:rsidR="004B4E35" w:rsidRPr="00405303" w:rsidRDefault="004B4E35" w:rsidP="00C15251">
            <w:pPr>
              <w:shd w:val="clear" w:color="auto" w:fill="FFFFFF"/>
              <w:jc w:val="both"/>
              <w:rPr>
                <w:bCs/>
                <w:color w:val="002060"/>
                <w:sz w:val="16"/>
                <w:szCs w:val="16"/>
              </w:rPr>
            </w:pPr>
          </w:p>
        </w:tc>
        <w:tc>
          <w:tcPr>
            <w:tcW w:w="960" w:type="dxa"/>
          </w:tcPr>
          <w:p w14:paraId="35DE244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358 938</w:t>
            </w:r>
          </w:p>
          <w:p w14:paraId="2622AC88" w14:textId="77777777" w:rsidR="004B4E35" w:rsidRPr="00405303" w:rsidRDefault="004B4E35" w:rsidP="00C15251">
            <w:pPr>
              <w:shd w:val="clear" w:color="auto" w:fill="FFFFFF"/>
              <w:jc w:val="both"/>
              <w:rPr>
                <w:bCs/>
                <w:color w:val="002060"/>
                <w:sz w:val="16"/>
                <w:szCs w:val="16"/>
              </w:rPr>
            </w:pPr>
          </w:p>
        </w:tc>
        <w:tc>
          <w:tcPr>
            <w:tcW w:w="1066" w:type="dxa"/>
          </w:tcPr>
          <w:p w14:paraId="1B41B71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2212512</w:t>
            </w:r>
          </w:p>
          <w:p w14:paraId="4319FDD1" w14:textId="77777777" w:rsidR="004B4E35" w:rsidRPr="00405303" w:rsidRDefault="004B4E35" w:rsidP="00C15251">
            <w:pPr>
              <w:shd w:val="clear" w:color="auto" w:fill="FFFFFF"/>
              <w:jc w:val="both"/>
              <w:rPr>
                <w:bCs/>
                <w:color w:val="002060"/>
                <w:sz w:val="16"/>
                <w:szCs w:val="16"/>
              </w:rPr>
            </w:pPr>
          </w:p>
        </w:tc>
        <w:tc>
          <w:tcPr>
            <w:tcW w:w="1018" w:type="dxa"/>
          </w:tcPr>
          <w:p w14:paraId="572B1C8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3 238 404</w:t>
            </w:r>
          </w:p>
          <w:p w14:paraId="2BF3676D" w14:textId="77777777" w:rsidR="004B4E35" w:rsidRPr="00405303" w:rsidRDefault="004B4E35" w:rsidP="00C15251">
            <w:pPr>
              <w:shd w:val="clear" w:color="auto" w:fill="FFFFFF"/>
              <w:jc w:val="both"/>
              <w:rPr>
                <w:bCs/>
                <w:color w:val="002060"/>
                <w:sz w:val="16"/>
                <w:szCs w:val="16"/>
              </w:rPr>
            </w:pPr>
          </w:p>
        </w:tc>
        <w:tc>
          <w:tcPr>
            <w:tcW w:w="1142" w:type="dxa"/>
          </w:tcPr>
          <w:p w14:paraId="33D3936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5 833 854</w:t>
            </w:r>
          </w:p>
          <w:p w14:paraId="56CA5884" w14:textId="77777777" w:rsidR="004B4E35" w:rsidRPr="00405303" w:rsidRDefault="004B4E35" w:rsidP="00C15251">
            <w:pPr>
              <w:shd w:val="clear" w:color="auto" w:fill="FFFFFF"/>
              <w:jc w:val="both"/>
              <w:rPr>
                <w:bCs/>
                <w:color w:val="002060"/>
                <w:sz w:val="16"/>
                <w:szCs w:val="16"/>
              </w:rPr>
            </w:pPr>
          </w:p>
        </w:tc>
      </w:tr>
      <w:tr w:rsidR="004B4E35" w:rsidRPr="00405303" w14:paraId="55C83D20" w14:textId="77777777">
        <w:trPr>
          <w:trHeight w:val="346"/>
        </w:trPr>
        <w:tc>
          <w:tcPr>
            <w:tcW w:w="1498" w:type="dxa"/>
          </w:tcPr>
          <w:p w14:paraId="7E414CB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шрапнели 107-мм гранаты и</w:t>
            </w:r>
          </w:p>
          <w:p w14:paraId="2A295F74" w14:textId="77777777" w:rsidR="004B4E35" w:rsidRPr="00405303" w:rsidRDefault="004B4E35" w:rsidP="00C15251">
            <w:pPr>
              <w:shd w:val="clear" w:color="auto" w:fill="FFFFFF"/>
              <w:jc w:val="both"/>
              <w:rPr>
                <w:bCs/>
                <w:color w:val="002060"/>
                <w:sz w:val="16"/>
                <w:szCs w:val="16"/>
              </w:rPr>
            </w:pPr>
          </w:p>
        </w:tc>
        <w:tc>
          <w:tcPr>
            <w:tcW w:w="720" w:type="dxa"/>
          </w:tcPr>
          <w:p w14:paraId="103F9D9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_</w:t>
            </w:r>
          </w:p>
          <w:p w14:paraId="738C6E88" w14:textId="77777777" w:rsidR="004B4E35" w:rsidRPr="00405303" w:rsidRDefault="004B4E35" w:rsidP="00C15251">
            <w:pPr>
              <w:shd w:val="clear" w:color="auto" w:fill="FFFFFF"/>
              <w:jc w:val="both"/>
              <w:rPr>
                <w:bCs/>
                <w:color w:val="002060"/>
                <w:sz w:val="16"/>
                <w:szCs w:val="16"/>
              </w:rPr>
            </w:pPr>
          </w:p>
        </w:tc>
        <w:tc>
          <w:tcPr>
            <w:tcW w:w="960" w:type="dxa"/>
          </w:tcPr>
          <w:p w14:paraId="6D7953B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243 589</w:t>
            </w:r>
          </w:p>
          <w:p w14:paraId="628D5424" w14:textId="77777777" w:rsidR="004B4E35" w:rsidRPr="00405303" w:rsidRDefault="004B4E35" w:rsidP="00C15251">
            <w:pPr>
              <w:shd w:val="clear" w:color="auto" w:fill="FFFFFF"/>
              <w:jc w:val="both"/>
              <w:rPr>
                <w:bCs/>
                <w:color w:val="002060"/>
                <w:sz w:val="16"/>
                <w:szCs w:val="16"/>
              </w:rPr>
            </w:pPr>
          </w:p>
        </w:tc>
        <w:tc>
          <w:tcPr>
            <w:tcW w:w="1066" w:type="dxa"/>
          </w:tcPr>
          <w:p w14:paraId="62E1DFF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720812</w:t>
            </w:r>
          </w:p>
          <w:p w14:paraId="0E5AD0DE" w14:textId="77777777" w:rsidR="004B4E35" w:rsidRPr="00405303" w:rsidRDefault="004B4E35" w:rsidP="00C15251">
            <w:pPr>
              <w:shd w:val="clear" w:color="auto" w:fill="FFFFFF"/>
              <w:jc w:val="both"/>
              <w:rPr>
                <w:bCs/>
                <w:color w:val="002060"/>
                <w:sz w:val="16"/>
                <w:szCs w:val="16"/>
              </w:rPr>
            </w:pPr>
          </w:p>
        </w:tc>
        <w:tc>
          <w:tcPr>
            <w:tcW w:w="1018" w:type="dxa"/>
          </w:tcPr>
          <w:p w14:paraId="4D0B93F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759 487</w:t>
            </w:r>
          </w:p>
          <w:p w14:paraId="503830DD" w14:textId="77777777" w:rsidR="004B4E35" w:rsidRPr="00405303" w:rsidRDefault="004B4E35" w:rsidP="00C15251">
            <w:pPr>
              <w:shd w:val="clear" w:color="auto" w:fill="FFFFFF"/>
              <w:jc w:val="both"/>
              <w:rPr>
                <w:bCs/>
                <w:color w:val="002060"/>
                <w:sz w:val="16"/>
                <w:szCs w:val="16"/>
              </w:rPr>
            </w:pPr>
          </w:p>
        </w:tc>
        <w:tc>
          <w:tcPr>
            <w:tcW w:w="1142" w:type="dxa"/>
          </w:tcPr>
          <w:p w14:paraId="16B768B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1 723 888</w:t>
            </w:r>
          </w:p>
          <w:p w14:paraId="15396444" w14:textId="77777777" w:rsidR="004B4E35" w:rsidRPr="00405303" w:rsidRDefault="004B4E35" w:rsidP="00C15251">
            <w:pPr>
              <w:shd w:val="clear" w:color="auto" w:fill="FFFFFF"/>
              <w:jc w:val="both"/>
              <w:rPr>
                <w:bCs/>
                <w:color w:val="002060"/>
                <w:sz w:val="16"/>
                <w:szCs w:val="16"/>
              </w:rPr>
            </w:pPr>
          </w:p>
        </w:tc>
      </w:tr>
      <w:tr w:rsidR="004B4E35" w:rsidRPr="00405303" w14:paraId="4DAC05D1" w14:textId="77777777">
        <w:trPr>
          <w:trHeight w:val="1190"/>
        </w:trPr>
        <w:tc>
          <w:tcPr>
            <w:tcW w:w="1498" w:type="dxa"/>
          </w:tcPr>
          <w:p w14:paraId="7DDDC5D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шрапнели 152-мм гранаты 203-мм фанаты 254-мм гранаты 280-мм гранаты 305-мм гранаты</w:t>
            </w:r>
          </w:p>
          <w:p w14:paraId="3FFBEBC6" w14:textId="77777777" w:rsidR="004B4E35" w:rsidRPr="00405303" w:rsidRDefault="004B4E35" w:rsidP="00C15251">
            <w:pPr>
              <w:shd w:val="clear" w:color="auto" w:fill="FFFFFF"/>
              <w:jc w:val="both"/>
              <w:rPr>
                <w:bCs/>
                <w:color w:val="002060"/>
                <w:sz w:val="16"/>
                <w:szCs w:val="16"/>
              </w:rPr>
            </w:pPr>
          </w:p>
        </w:tc>
        <w:tc>
          <w:tcPr>
            <w:tcW w:w="720" w:type="dxa"/>
          </w:tcPr>
          <w:p w14:paraId="3E90F1F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2100</w:t>
            </w:r>
          </w:p>
          <w:p w14:paraId="599F147A" w14:textId="77777777" w:rsidR="004B4E35" w:rsidRPr="00405303" w:rsidRDefault="004B4E35" w:rsidP="00C15251">
            <w:pPr>
              <w:shd w:val="clear" w:color="auto" w:fill="FFFFFF"/>
              <w:jc w:val="both"/>
              <w:rPr>
                <w:bCs/>
                <w:color w:val="002060"/>
                <w:sz w:val="16"/>
                <w:szCs w:val="16"/>
              </w:rPr>
            </w:pPr>
          </w:p>
        </w:tc>
        <w:tc>
          <w:tcPr>
            <w:tcW w:w="960" w:type="dxa"/>
          </w:tcPr>
          <w:p w14:paraId="46E1694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131 724</w:t>
            </w:r>
          </w:p>
          <w:p w14:paraId="5091BF2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0 237 1 600</w:t>
            </w:r>
          </w:p>
          <w:p w14:paraId="025E677A" w14:textId="77777777" w:rsidR="004B4E35" w:rsidRPr="00405303" w:rsidRDefault="004B4E35" w:rsidP="00C15251">
            <w:pPr>
              <w:shd w:val="clear" w:color="auto" w:fill="FFFFFF"/>
              <w:jc w:val="both"/>
              <w:rPr>
                <w:bCs/>
                <w:color w:val="002060"/>
                <w:sz w:val="16"/>
                <w:szCs w:val="16"/>
              </w:rPr>
            </w:pPr>
          </w:p>
        </w:tc>
        <w:tc>
          <w:tcPr>
            <w:tcW w:w="1066" w:type="dxa"/>
          </w:tcPr>
          <w:p w14:paraId="7AB46AE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1 130433</w:t>
            </w:r>
          </w:p>
          <w:p w14:paraId="76768AA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8590 3 331</w:t>
            </w:r>
          </w:p>
          <w:p w14:paraId="3CB2B609" w14:textId="77777777" w:rsidR="004B4E35" w:rsidRPr="00405303" w:rsidRDefault="004B4E35" w:rsidP="00C15251">
            <w:pPr>
              <w:shd w:val="clear" w:color="auto" w:fill="FFFFFF"/>
              <w:jc w:val="both"/>
              <w:rPr>
                <w:bCs/>
                <w:color w:val="002060"/>
                <w:sz w:val="16"/>
                <w:szCs w:val="16"/>
              </w:rPr>
            </w:pPr>
          </w:p>
        </w:tc>
        <w:tc>
          <w:tcPr>
            <w:tcW w:w="1018" w:type="dxa"/>
          </w:tcPr>
          <w:p w14:paraId="2EFE511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2676 164 3535 270 6520</w:t>
            </w:r>
          </w:p>
          <w:p w14:paraId="6D7A70D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7372</w:t>
            </w:r>
          </w:p>
          <w:p w14:paraId="0D47E7DD" w14:textId="77777777" w:rsidR="004B4E35" w:rsidRPr="00405303" w:rsidRDefault="004B4E35" w:rsidP="00C15251">
            <w:pPr>
              <w:shd w:val="clear" w:color="auto" w:fill="FFFFFF"/>
              <w:jc w:val="both"/>
              <w:rPr>
                <w:bCs/>
                <w:color w:val="002060"/>
                <w:sz w:val="16"/>
                <w:szCs w:val="16"/>
              </w:rPr>
            </w:pPr>
          </w:p>
        </w:tc>
        <w:tc>
          <w:tcPr>
            <w:tcW w:w="1142" w:type="dxa"/>
          </w:tcPr>
          <w:p w14:paraId="1A96B13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3 938 321 3535 270 23447 12 303</w:t>
            </w:r>
          </w:p>
          <w:p w14:paraId="2219AA6E" w14:textId="77777777" w:rsidR="004B4E35" w:rsidRPr="00405303" w:rsidRDefault="004B4E35" w:rsidP="00C15251">
            <w:pPr>
              <w:shd w:val="clear" w:color="auto" w:fill="FFFFFF"/>
              <w:jc w:val="both"/>
              <w:rPr>
                <w:bCs/>
                <w:color w:val="002060"/>
                <w:sz w:val="16"/>
                <w:szCs w:val="16"/>
              </w:rPr>
            </w:pPr>
          </w:p>
        </w:tc>
      </w:tr>
      <w:tr w:rsidR="004B4E35" w:rsidRPr="00405303" w14:paraId="5F55D807" w14:textId="77777777">
        <w:trPr>
          <w:trHeight w:val="442"/>
        </w:trPr>
        <w:tc>
          <w:tcPr>
            <w:tcW w:w="1498" w:type="dxa"/>
          </w:tcPr>
          <w:p w14:paraId="5B68042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Всего</w:t>
            </w:r>
          </w:p>
          <w:p w14:paraId="40755012" w14:textId="77777777" w:rsidR="004B4E35" w:rsidRPr="00405303" w:rsidRDefault="004B4E35" w:rsidP="00C15251">
            <w:pPr>
              <w:shd w:val="clear" w:color="auto" w:fill="FFFFFF"/>
              <w:jc w:val="both"/>
              <w:rPr>
                <w:bCs/>
                <w:color w:val="002060"/>
                <w:sz w:val="16"/>
                <w:szCs w:val="16"/>
              </w:rPr>
            </w:pPr>
          </w:p>
        </w:tc>
        <w:tc>
          <w:tcPr>
            <w:tcW w:w="720" w:type="dxa"/>
          </w:tcPr>
          <w:p w14:paraId="6F8DA9F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104 900</w:t>
            </w:r>
          </w:p>
          <w:p w14:paraId="28BD4F81" w14:textId="77777777" w:rsidR="004B4E35" w:rsidRPr="00405303" w:rsidRDefault="004B4E35" w:rsidP="00C15251">
            <w:pPr>
              <w:shd w:val="clear" w:color="auto" w:fill="FFFFFF"/>
              <w:jc w:val="both"/>
              <w:rPr>
                <w:bCs/>
                <w:color w:val="002060"/>
                <w:sz w:val="16"/>
                <w:szCs w:val="16"/>
              </w:rPr>
            </w:pPr>
          </w:p>
        </w:tc>
        <w:tc>
          <w:tcPr>
            <w:tcW w:w="960" w:type="dxa"/>
          </w:tcPr>
          <w:p w14:paraId="019FD05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9 567 888</w:t>
            </w:r>
          </w:p>
          <w:p w14:paraId="6B07A610" w14:textId="77777777" w:rsidR="004B4E35" w:rsidRPr="00405303" w:rsidRDefault="004B4E35" w:rsidP="00C15251">
            <w:pPr>
              <w:shd w:val="clear" w:color="auto" w:fill="FFFFFF"/>
              <w:jc w:val="both"/>
              <w:rPr>
                <w:bCs/>
                <w:color w:val="002060"/>
                <w:sz w:val="16"/>
                <w:szCs w:val="16"/>
              </w:rPr>
            </w:pPr>
          </w:p>
        </w:tc>
        <w:tc>
          <w:tcPr>
            <w:tcW w:w="1066" w:type="dxa"/>
          </w:tcPr>
          <w:p w14:paraId="1F7AB09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30 974 678</w:t>
            </w:r>
          </w:p>
          <w:p w14:paraId="40D4A0B0" w14:textId="77777777" w:rsidR="004B4E35" w:rsidRPr="00405303" w:rsidRDefault="004B4E35" w:rsidP="00C15251">
            <w:pPr>
              <w:shd w:val="clear" w:color="auto" w:fill="FFFFFF"/>
              <w:jc w:val="both"/>
              <w:rPr>
                <w:bCs/>
                <w:color w:val="002060"/>
                <w:sz w:val="16"/>
                <w:szCs w:val="16"/>
              </w:rPr>
            </w:pPr>
          </w:p>
        </w:tc>
        <w:tc>
          <w:tcPr>
            <w:tcW w:w="1018" w:type="dxa"/>
          </w:tcPr>
          <w:p w14:paraId="38255D0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24 413 552</w:t>
            </w:r>
          </w:p>
          <w:p w14:paraId="0C6D9368" w14:textId="77777777" w:rsidR="004B4E35" w:rsidRPr="00405303" w:rsidRDefault="004B4E35" w:rsidP="00C15251">
            <w:pPr>
              <w:shd w:val="clear" w:color="auto" w:fill="FFFFFF"/>
              <w:jc w:val="both"/>
              <w:rPr>
                <w:bCs/>
                <w:color w:val="002060"/>
                <w:sz w:val="16"/>
                <w:szCs w:val="16"/>
              </w:rPr>
            </w:pPr>
          </w:p>
        </w:tc>
        <w:tc>
          <w:tcPr>
            <w:tcW w:w="1142" w:type="dxa"/>
          </w:tcPr>
          <w:p w14:paraId="62BCBE6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65061 018</w:t>
            </w:r>
          </w:p>
          <w:p w14:paraId="7DE1ED34" w14:textId="77777777" w:rsidR="004B4E35" w:rsidRPr="00405303" w:rsidRDefault="004B4E35" w:rsidP="00C15251">
            <w:pPr>
              <w:shd w:val="clear" w:color="auto" w:fill="FFFFFF"/>
              <w:jc w:val="both"/>
              <w:rPr>
                <w:bCs/>
                <w:color w:val="002060"/>
                <w:sz w:val="16"/>
                <w:szCs w:val="16"/>
              </w:rPr>
            </w:pPr>
          </w:p>
        </w:tc>
      </w:tr>
    </w:tbl>
    <w:p w14:paraId="7B4D735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Организация генерала С. Н. Ванкова сыграла огромную роль в снабжении русской армии боеприпасами в первую мировую войну [5, с. 130, 198].</w:t>
      </w:r>
    </w:p>
    <w:p w14:paraId="654F830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Всего казенные и частные заводы изготовили для нужд армии 65061018 снарядов, из них 76-мм — 53 525 400 (табл. 1.10) [5, с. 198] (5484).</w:t>
      </w:r>
    </w:p>
    <w:p w14:paraId="3663D35B" w14:textId="77777777" w:rsidR="004B4E35" w:rsidRPr="00405303" w:rsidRDefault="004B4E35" w:rsidP="00C15251">
      <w:pPr>
        <w:jc w:val="both"/>
        <w:rPr>
          <w:bCs/>
          <w:i/>
          <w:color w:val="002060"/>
          <w:sz w:val="16"/>
          <w:szCs w:val="16"/>
        </w:rPr>
      </w:pPr>
    </w:p>
    <w:p w14:paraId="2EB01C08" w14:textId="3FD3E119" w:rsidR="004B4E35" w:rsidRPr="00405303" w:rsidRDefault="00AF667C"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w:t>
      </w:r>
      <w:r w:rsidR="009E6F82" w:rsidRPr="00405303">
        <w:rPr>
          <w:bCs/>
          <w:i w:val="0"/>
          <w:color w:val="002060"/>
          <w:spacing w:val="0"/>
          <w:kern w:val="0"/>
          <w:position w:val="0"/>
          <w:sz w:val="16"/>
          <w:szCs w:val="16"/>
        </w:rPr>
        <w:t xml:space="preserve"> феврале 1915 г. </w:t>
      </w:r>
      <w:r w:rsidRPr="00405303">
        <w:rPr>
          <w:bCs/>
          <w:i w:val="0"/>
          <w:color w:val="002060"/>
          <w:spacing w:val="0"/>
          <w:kern w:val="0"/>
          <w:position w:val="0"/>
          <w:sz w:val="16"/>
          <w:szCs w:val="16"/>
        </w:rPr>
        <w:t xml:space="preserve">Земский союз получил заказ на изготовление </w:t>
      </w:r>
      <w:r w:rsidR="009E6F82" w:rsidRPr="00405303">
        <w:rPr>
          <w:bCs/>
          <w:i w:val="0"/>
          <w:color w:val="002060"/>
          <w:spacing w:val="0"/>
          <w:kern w:val="0"/>
          <w:position w:val="0"/>
          <w:sz w:val="16"/>
          <w:szCs w:val="16"/>
        </w:rPr>
        <w:t>17 млн 380 тыс. комплектов</w:t>
      </w:r>
      <w:r w:rsidRPr="00405303">
        <w:rPr>
          <w:bCs/>
          <w:i w:val="0"/>
          <w:color w:val="002060"/>
          <w:spacing w:val="0"/>
          <w:kern w:val="0"/>
          <w:position w:val="0"/>
          <w:sz w:val="16"/>
          <w:szCs w:val="16"/>
        </w:rPr>
        <w:t xml:space="preserve"> белья, в дополнение к 7 млн 500 тыс. комплектов, заказанных в октябре 1914 г.</w:t>
      </w:r>
      <w:r w:rsidR="009E6F82" w:rsidRPr="00405303">
        <w:rPr>
          <w:bCs/>
          <w:i w:val="0"/>
          <w:color w:val="002060"/>
          <w:spacing w:val="0"/>
          <w:kern w:val="0"/>
          <w:position w:val="0"/>
          <w:sz w:val="16"/>
          <w:szCs w:val="16"/>
        </w:rPr>
        <w:t xml:space="preserve"> Из них было с 1 ноября 1914 по 1 января 1916 г. по заказу интендантства заготовлено более 10 млн, а всего закуплено и заготовлено на 3 млн рублей комплектов белья. </w:t>
      </w:r>
      <w:proofErr w:type="gramStart"/>
      <w:r w:rsidR="009E6F82" w:rsidRPr="00405303">
        <w:rPr>
          <w:bCs/>
          <w:i w:val="0"/>
          <w:color w:val="002060"/>
          <w:spacing w:val="0"/>
          <w:kern w:val="0"/>
          <w:position w:val="0"/>
          <w:sz w:val="16"/>
          <w:szCs w:val="16"/>
        </w:rPr>
        <w:t>Кроме этого</w:t>
      </w:r>
      <w:proofErr w:type="gramEnd"/>
      <w:r w:rsidR="009E6F82" w:rsidRPr="00405303">
        <w:rPr>
          <w:bCs/>
          <w:i w:val="0"/>
          <w:color w:val="002060"/>
          <w:spacing w:val="0"/>
          <w:kern w:val="0"/>
          <w:position w:val="0"/>
          <w:sz w:val="16"/>
          <w:szCs w:val="16"/>
        </w:rPr>
        <w:t xml:space="preserve"> через Союз было куплено обуви на 4 млн 700 тыс. рублей. Для хранения и распределения амуниции были созданы склады в Москве, Минске, Бресте, Львове, Петрограде, Тифлисе и других городах.</w:t>
      </w:r>
    </w:p>
    <w:p w14:paraId="35302DC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Кроме этого, Союзом городов сначала на Северо-Западном и Северном фронтах в декабре и январе 1914—1915 гг., а затем и на других фронтах направлялись уполномоченные для посещения военно-питательных отрядов Союза, работающих на этих фронтах. В результате таких поездок выяснялся круг необходимых мероприятий, который в основном сводился к следующему:</w:t>
      </w:r>
    </w:p>
    <w:p w14:paraId="145A1BF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1) устройство на фронтах бань с обменным бельем, прачечных для стирки белья, получаемого из бань, а также белья собственных врачебных учреждений и по возможности войсковых частей; установка дезинфекционных камер для войсковых частей и организация чайных и питательных пунктов;</w:t>
      </w:r>
    </w:p>
    <w:p w14:paraId="5FEEB9C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2) организация предохранительных прививок против тифа, холеры и оспы и устройство химико-бактериологических лабораторий;</w:t>
      </w:r>
    </w:p>
    <w:p w14:paraId="645AD1B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3) организация стационарных и подвижных зубоврачебных кабинетов;</w:t>
      </w:r>
    </w:p>
    <w:p w14:paraId="0B2CA7C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4) непосредственная помощь больным и раненым воинам путем перевозок, эвакуации и размещения их в лазаретах и приемниках;</w:t>
      </w:r>
    </w:p>
    <w:p w14:paraId="4B2C997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5) устройство больниц, лабораторий и фельдшерских пунктов в прифронтовой полосе для борьбы с эпидемиями.</w:t>
      </w:r>
    </w:p>
    <w:p w14:paraId="09092C5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lastRenderedPageBreak/>
        <w:t>Одновременно для обслуживания раненых общественными организациями к 1 декабря 1914 г. стало приобретаться медицинское оборудование: сначала на сумму 1 млн 245 тыс. 780 рублей; к декабрю 1915 г. — на сумму 1 млн 665 тыс. рублей; к 1 января 1916 г. — на 7 млн рублей. Общая стоимость медикаментов, отпущенных со складов Земского союза, составила 3 млн 500 тыс. рублей. Военно-промышленными комитетами для решения этих задач было налажено производство термометров, а санитарному отделу удалось организовать отечественное производство шприцев «Рекорд» и игл к ним. К маю 1917 г. оно было доведено до 100 шприцев в день, причем цены были не выше заграничных (11270).</w:t>
      </w:r>
    </w:p>
    <w:p w14:paraId="3FF7274D" w14:textId="77777777" w:rsidR="004B4E35" w:rsidRPr="00405303" w:rsidRDefault="004B4E35" w:rsidP="00C15251">
      <w:pPr>
        <w:pStyle w:val="a3"/>
        <w:jc w:val="both"/>
        <w:rPr>
          <w:bCs/>
          <w:i w:val="0"/>
          <w:vanish/>
          <w:color w:val="002060"/>
          <w:spacing w:val="0"/>
          <w:kern w:val="0"/>
          <w:position w:val="0"/>
          <w:sz w:val="16"/>
          <w:szCs w:val="16"/>
        </w:rPr>
      </w:pPr>
    </w:p>
    <w:p w14:paraId="5B75D487" w14:textId="77777777" w:rsidR="004B4E35" w:rsidRPr="00405303" w:rsidRDefault="009E6F82" w:rsidP="00C15251">
      <w:pPr>
        <w:jc w:val="both"/>
        <w:rPr>
          <w:bCs/>
          <w:color w:val="002060"/>
          <w:sz w:val="16"/>
          <w:szCs w:val="16"/>
        </w:rPr>
      </w:pPr>
      <w:r w:rsidRPr="00405303">
        <w:rPr>
          <w:bCs/>
          <w:color w:val="002060"/>
          <w:sz w:val="16"/>
          <w:szCs w:val="16"/>
        </w:rPr>
        <w:t xml:space="preserve">В феврале 1915 года в мастерских расквартированного в Риге Нижегородского пехотного полка группа солдат-мастеровых и рабочих приступила к изготовлению опытного образца первого в мире </w:t>
      </w:r>
      <w:proofErr w:type="gramStart"/>
      <w:r w:rsidRPr="00405303">
        <w:rPr>
          <w:bCs/>
          <w:color w:val="002060"/>
          <w:sz w:val="16"/>
          <w:szCs w:val="16"/>
        </w:rPr>
        <w:t>танка ,</w:t>
      </w:r>
      <w:proofErr w:type="gramEnd"/>
      <w:r w:rsidRPr="00405303">
        <w:rPr>
          <w:bCs/>
          <w:color w:val="002060"/>
          <w:sz w:val="16"/>
          <w:szCs w:val="16"/>
        </w:rPr>
        <w:t xml:space="preserve"> разработанного известным летчиком и конструктором Александром Александровичем Пороховщиковым (на фото стоит слева). А 18 мая 1915 года танк </w:t>
      </w:r>
      <w:proofErr w:type="gramStart"/>
      <w:r w:rsidRPr="00405303">
        <w:rPr>
          <w:bCs/>
          <w:color w:val="002060"/>
          <w:sz w:val="16"/>
          <w:szCs w:val="16"/>
        </w:rPr>
        <w:t>Пороховщикова ,</w:t>
      </w:r>
      <w:proofErr w:type="gramEnd"/>
      <w:r w:rsidRPr="00405303">
        <w:rPr>
          <w:bCs/>
          <w:color w:val="002060"/>
          <w:sz w:val="16"/>
          <w:szCs w:val="16"/>
        </w:rPr>
        <w:t xml:space="preserve"> названный “Вездеход” вышел в испытательный пробег. В конструкции этого танка уже были предусмотрены все основные элементы современных боевых машин - броневой корпус вооружение во вращающейся башне, двигатель внутреннего сгорания гусеничный движитель. Несущей конструкцией танка была сварная рама с четырьмя полыми вращающимися барабанами, вокруг которых перематывалась одна широкая гусеничная лента. Натяжение ленты регулировалось с помощью натяжного приспособления и натяжного барабана. Управление машиной осуществлялось с помощью размещенных у бортов двух поворотных рулевых колес. При движении по твердому грунту танк опирался на эти колеса и на ведущий барабан, а на мягком грунте “ложился” на гусеничную ленту. Длина машины составляла 3,6 метра, ширина -2 метра, высота (без башни) – 1,5 метра, окончательный вес предполагался равным 3,5-4,0 тоннам. Танк Пороховщикова “Вездеход” успешно прошел испытания, и только косность царского правительства помешала широкому освоению этой замечательной машины. Первый же опытный английский танк появился лишь полгода спустя – в сентябре 1915 года (11745). </w:t>
      </w:r>
    </w:p>
    <w:p w14:paraId="52671B47" w14:textId="77777777" w:rsidR="004B4E35" w:rsidRPr="00405303" w:rsidRDefault="004B4E35" w:rsidP="00C15251">
      <w:pPr>
        <w:jc w:val="both"/>
        <w:rPr>
          <w:bCs/>
          <w:color w:val="002060"/>
          <w:sz w:val="16"/>
          <w:szCs w:val="16"/>
        </w:rPr>
      </w:pPr>
    </w:p>
    <w:p w14:paraId="241A8BF8" w14:textId="77777777" w:rsidR="00E066BC" w:rsidRPr="00405303" w:rsidRDefault="00E066BC" w:rsidP="00C15251">
      <w:pPr>
        <w:jc w:val="both"/>
        <w:rPr>
          <w:bCs/>
          <w:color w:val="002060"/>
          <w:sz w:val="16"/>
          <w:szCs w:val="16"/>
        </w:rPr>
      </w:pPr>
      <w:r w:rsidRPr="00405303">
        <w:rPr>
          <w:bCs/>
          <w:color w:val="002060"/>
          <w:sz w:val="16"/>
          <w:szCs w:val="16"/>
          <w:lang w:bidi="ru-RU"/>
        </w:rPr>
        <w:t>В феврале 1916 г. проект мины Тихомирова попал в Центральный военно-промышленный комитет, к председателю Отдела изобретений этого комитета профессо</w:t>
      </w:r>
      <w:r w:rsidRPr="00405303">
        <w:rPr>
          <w:bCs/>
          <w:color w:val="002060"/>
          <w:sz w:val="16"/>
          <w:szCs w:val="16"/>
          <w:lang w:bidi="ru-RU"/>
        </w:rPr>
        <w:softHyphen/>
        <w:t>ру Н. Е. Жуковскому, и якобы получил одобрение. Это тоже не</w:t>
      </w:r>
      <w:r w:rsidRPr="00405303">
        <w:rPr>
          <w:bCs/>
          <w:color w:val="002060"/>
          <w:sz w:val="16"/>
          <w:szCs w:val="16"/>
          <w:lang w:bidi="ru-RU"/>
        </w:rPr>
        <w:softHyphen/>
        <w:t>правда. Эксперт от флота капитан 2 ранга А. М. Щастный в марте 1916 г. в своем отзыве подверг проект уничтожающей критике.</w:t>
      </w:r>
    </w:p>
    <w:p w14:paraId="29786929" w14:textId="77777777" w:rsidR="00E066BC" w:rsidRPr="00405303" w:rsidRDefault="00E066BC" w:rsidP="00C15251">
      <w:pPr>
        <w:jc w:val="both"/>
        <w:rPr>
          <w:bCs/>
          <w:color w:val="002060"/>
          <w:sz w:val="16"/>
          <w:szCs w:val="16"/>
        </w:rPr>
      </w:pPr>
      <w:r w:rsidRPr="00405303">
        <w:rPr>
          <w:bCs/>
          <w:color w:val="002060"/>
          <w:sz w:val="16"/>
          <w:szCs w:val="16"/>
          <w:lang w:bidi="ru-RU"/>
        </w:rPr>
        <w:t>А вот решение названного комитета:</w:t>
      </w:r>
    </w:p>
    <w:p w14:paraId="0B6708FD" w14:textId="77777777" w:rsidR="00E066BC" w:rsidRPr="00405303" w:rsidRDefault="00E066BC" w:rsidP="00C15251">
      <w:pPr>
        <w:jc w:val="both"/>
        <w:rPr>
          <w:bCs/>
          <w:color w:val="002060"/>
          <w:sz w:val="16"/>
          <w:szCs w:val="16"/>
        </w:rPr>
      </w:pPr>
      <w:r w:rsidRPr="00405303">
        <w:rPr>
          <w:bCs/>
          <w:color w:val="002060"/>
          <w:sz w:val="16"/>
          <w:szCs w:val="16"/>
          <w:lang w:bidi="ru-RU"/>
        </w:rPr>
        <w:t>Комиссия не имеет возможности высказать определенное за</w:t>
      </w:r>
      <w:r w:rsidRPr="00405303">
        <w:rPr>
          <w:bCs/>
          <w:color w:val="002060"/>
          <w:sz w:val="16"/>
          <w:szCs w:val="16"/>
          <w:lang w:bidi="ru-RU"/>
        </w:rPr>
        <w:softHyphen/>
        <w:t>ключение по поводу приемлемости мины для военно-морского дела... Минный отдел не считает возможным взять на себя от</w:t>
      </w:r>
      <w:r w:rsidRPr="00405303">
        <w:rPr>
          <w:bCs/>
          <w:color w:val="002060"/>
          <w:sz w:val="16"/>
          <w:szCs w:val="16"/>
          <w:lang w:bidi="ru-RU"/>
        </w:rPr>
        <w:softHyphen/>
        <w:t>ветственность наблюдать за такими опытами частного лица на частной квартире (23550).</w:t>
      </w:r>
    </w:p>
    <w:p w14:paraId="0AD08324" w14:textId="77777777" w:rsidR="00E066BC" w:rsidRPr="00405303" w:rsidRDefault="00E066BC" w:rsidP="00C15251">
      <w:pPr>
        <w:pStyle w:val="af6"/>
        <w:spacing w:line="240" w:lineRule="auto"/>
        <w:jc w:val="both"/>
        <w:rPr>
          <w:rFonts w:ascii="Times New Roman" w:hAnsi="Times New Roman" w:cs="Times New Roman"/>
          <w:bCs/>
          <w:color w:val="002060"/>
          <w:sz w:val="16"/>
          <w:szCs w:val="16"/>
        </w:rPr>
      </w:pPr>
    </w:p>
    <w:p w14:paraId="7C43BC83" w14:textId="77777777" w:rsidR="00E066BC" w:rsidRPr="00405303" w:rsidRDefault="00E066BC" w:rsidP="00C15251">
      <w:pPr>
        <w:jc w:val="both"/>
        <w:rPr>
          <w:bCs/>
          <w:color w:val="002060"/>
          <w:sz w:val="16"/>
          <w:szCs w:val="16"/>
        </w:rPr>
      </w:pPr>
      <w:r w:rsidRPr="00405303">
        <w:rPr>
          <w:bCs/>
          <w:color w:val="002060"/>
          <w:sz w:val="16"/>
          <w:szCs w:val="16"/>
        </w:rPr>
        <w:t>В фев</w:t>
      </w:r>
      <w:r w:rsidRPr="00405303">
        <w:rPr>
          <w:bCs/>
          <w:color w:val="002060"/>
          <w:sz w:val="16"/>
          <w:szCs w:val="16"/>
        </w:rPr>
        <w:softHyphen/>
        <w:t>рале 1915 г. было решено построить в Кадиевке бензоловый завод (в августе он уже работал), 28 апреля — Нижегород</w:t>
      </w:r>
      <w:r w:rsidRPr="00405303">
        <w:rPr>
          <w:bCs/>
          <w:color w:val="002060"/>
          <w:sz w:val="16"/>
          <w:szCs w:val="16"/>
        </w:rPr>
        <w:softHyphen/>
        <w:t>ский взрывчатых веществ и т. д. (23452)</w:t>
      </w:r>
    </w:p>
    <w:p w14:paraId="4DA3F5E2" w14:textId="77777777" w:rsidR="00E066BC" w:rsidRPr="00405303" w:rsidRDefault="00E066BC" w:rsidP="00C15251">
      <w:pPr>
        <w:jc w:val="both"/>
        <w:rPr>
          <w:bCs/>
          <w:color w:val="002060"/>
          <w:sz w:val="16"/>
          <w:szCs w:val="16"/>
        </w:rPr>
      </w:pPr>
    </w:p>
    <w:p w14:paraId="261CC887" w14:textId="77777777" w:rsidR="00E066BC" w:rsidRPr="00405303" w:rsidRDefault="00E066BC" w:rsidP="00C15251">
      <w:pPr>
        <w:jc w:val="both"/>
        <w:rPr>
          <w:bCs/>
          <w:color w:val="002060"/>
          <w:sz w:val="16"/>
          <w:szCs w:val="16"/>
        </w:rPr>
      </w:pPr>
      <w:r w:rsidRPr="00405303">
        <w:rPr>
          <w:bCs/>
          <w:color w:val="002060"/>
          <w:sz w:val="16"/>
          <w:szCs w:val="16"/>
        </w:rPr>
        <w:t>В феврале 1915 г. Ижевский завод выпускал 1500 винто</w:t>
      </w:r>
      <w:r w:rsidRPr="00405303">
        <w:rPr>
          <w:bCs/>
          <w:color w:val="002060"/>
          <w:sz w:val="16"/>
          <w:szCs w:val="16"/>
        </w:rPr>
        <w:softHyphen/>
        <w:t>вок в сутки, и было решено довести выпуск до 3500, добавив 318 станков, но к осени удалось получить только небольшую часть их, и усиление выпуска достигалось увеличением ин</w:t>
      </w:r>
      <w:r w:rsidRPr="00405303">
        <w:rPr>
          <w:bCs/>
          <w:color w:val="002060"/>
          <w:sz w:val="16"/>
          <w:szCs w:val="16"/>
        </w:rPr>
        <w:softHyphen/>
        <w:t>тенсивности труда рабочих, при этом десятки американских станков простаивали, оказавшись слишком сложными для ижевцев. В июле 1915 г. завод выпускал 2500 винтовок в день, в ноябре — свыше 3000. Одновременно продолжалось выполнение «плана коренного переустройства Ижевских за</w:t>
      </w:r>
      <w:r w:rsidRPr="00405303">
        <w:rPr>
          <w:bCs/>
          <w:color w:val="002060"/>
          <w:sz w:val="16"/>
          <w:szCs w:val="16"/>
        </w:rPr>
        <w:softHyphen/>
        <w:t>водов» (постройка новых зданий, расширение листопрокат</w:t>
      </w:r>
      <w:r w:rsidRPr="00405303">
        <w:rPr>
          <w:bCs/>
          <w:color w:val="002060"/>
          <w:sz w:val="16"/>
          <w:szCs w:val="16"/>
        </w:rPr>
        <w:softHyphen/>
        <w:t>ной мастерской, оборудование прокатных станов) (Шумилов Е.Ф. Город оружейников. 1807—1917. Два века «Ижмаша». Ижевск, 2002. Т. 1. С. 450; РГВИА. Ф. 29. Оп. 3. Д. 730. Л. 60 об.; Д. 943. Л. 36-37; Ф. 369. Оп. 16. Д. 39. Л. 20 об.) (23452).</w:t>
      </w:r>
    </w:p>
    <w:p w14:paraId="3945AC53" w14:textId="77777777" w:rsidR="00E066BC" w:rsidRPr="00405303" w:rsidRDefault="00E066BC" w:rsidP="00C15251">
      <w:pPr>
        <w:jc w:val="both"/>
        <w:rPr>
          <w:bCs/>
          <w:color w:val="002060"/>
          <w:sz w:val="16"/>
          <w:szCs w:val="16"/>
        </w:rPr>
      </w:pPr>
    </w:p>
    <w:p w14:paraId="40F0B85B" w14:textId="77777777" w:rsidR="00E066BC" w:rsidRPr="00405303" w:rsidRDefault="00E066BC"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В феврале 1915 г. Генеральный штаб в Петрограде полу</w:t>
      </w:r>
      <w:r w:rsidRPr="00405303">
        <w:rPr>
          <w:rFonts w:ascii="Times New Roman" w:hAnsi="Times New Roman" w:cs="Times New Roman"/>
          <w:bCs/>
          <w:color w:val="002060"/>
          <w:sz w:val="16"/>
          <w:szCs w:val="16"/>
        </w:rPr>
        <w:softHyphen/>
        <w:t>чил телеграмму из США от военного агента Н.Л. Голеевского. Тот предлагал «принципиально решить, безопасно ли ко времени заключения мира иметь пополнение наших боевых припасов в руках Англии». Но его совет запоздал: Военное министерство уже было занято исполнением по</w:t>
      </w:r>
      <w:r w:rsidRPr="00405303">
        <w:rPr>
          <w:rFonts w:ascii="Times New Roman" w:hAnsi="Times New Roman" w:cs="Times New Roman"/>
          <w:bCs/>
          <w:color w:val="002060"/>
          <w:sz w:val="16"/>
          <w:szCs w:val="16"/>
        </w:rPr>
        <w:softHyphen/>
        <w:t>веления царя привести в порядок боевые припасы «ко дню заключения мира». Повеление</w:t>
      </w:r>
      <w:r w:rsidRPr="00405303">
        <w:rPr>
          <w:rFonts w:ascii="Times New Roman" w:hAnsi="Times New Roman" w:cs="Times New Roman"/>
          <w:bCs/>
          <w:color w:val="002060"/>
          <w:sz w:val="16"/>
          <w:szCs w:val="16"/>
          <w:lang w:val="en-US"/>
        </w:rPr>
        <w:t xml:space="preserve"> </w:t>
      </w:r>
      <w:r w:rsidRPr="00405303">
        <w:rPr>
          <w:rFonts w:ascii="Times New Roman" w:hAnsi="Times New Roman" w:cs="Times New Roman"/>
          <w:bCs/>
          <w:color w:val="002060"/>
          <w:sz w:val="16"/>
          <w:szCs w:val="16"/>
        </w:rPr>
        <w:t>было</w:t>
      </w:r>
      <w:r w:rsidRPr="00405303">
        <w:rPr>
          <w:rFonts w:ascii="Times New Roman" w:hAnsi="Times New Roman" w:cs="Times New Roman"/>
          <w:bCs/>
          <w:color w:val="002060"/>
          <w:sz w:val="16"/>
          <w:szCs w:val="16"/>
          <w:lang w:val="en-US"/>
        </w:rPr>
        <w:t xml:space="preserve"> </w:t>
      </w:r>
      <w:r w:rsidRPr="00405303">
        <w:rPr>
          <w:rFonts w:ascii="Times New Roman" w:hAnsi="Times New Roman" w:cs="Times New Roman"/>
          <w:bCs/>
          <w:color w:val="002060"/>
          <w:sz w:val="16"/>
          <w:szCs w:val="16"/>
        </w:rPr>
        <w:t>сообщено</w:t>
      </w:r>
      <w:r w:rsidRPr="00405303">
        <w:rPr>
          <w:rFonts w:ascii="Times New Roman" w:hAnsi="Times New Roman" w:cs="Times New Roman"/>
          <w:bCs/>
          <w:color w:val="002060"/>
          <w:sz w:val="16"/>
          <w:szCs w:val="16"/>
          <w:lang w:val="en-US"/>
        </w:rPr>
        <w:t xml:space="preserve"> </w:t>
      </w:r>
      <w:r w:rsidRPr="00405303">
        <w:rPr>
          <w:rFonts w:ascii="Times New Roman" w:hAnsi="Times New Roman" w:cs="Times New Roman"/>
          <w:bCs/>
          <w:color w:val="002060"/>
          <w:sz w:val="16"/>
          <w:szCs w:val="16"/>
        </w:rPr>
        <w:t>военному</w:t>
      </w:r>
      <w:r w:rsidRPr="00405303">
        <w:rPr>
          <w:rFonts w:ascii="Times New Roman" w:hAnsi="Times New Roman" w:cs="Times New Roman"/>
          <w:bCs/>
          <w:color w:val="002060"/>
          <w:sz w:val="16"/>
          <w:szCs w:val="16"/>
          <w:lang w:val="en-US"/>
        </w:rPr>
        <w:t xml:space="preserve"> </w:t>
      </w:r>
      <w:r w:rsidRPr="00405303">
        <w:rPr>
          <w:rFonts w:ascii="Times New Roman" w:hAnsi="Times New Roman" w:cs="Times New Roman"/>
          <w:bCs/>
          <w:color w:val="002060"/>
          <w:sz w:val="16"/>
          <w:szCs w:val="16"/>
        </w:rPr>
        <w:t>министру</w:t>
      </w:r>
      <w:r w:rsidRPr="00405303">
        <w:rPr>
          <w:rFonts w:ascii="Times New Roman" w:hAnsi="Times New Roman" w:cs="Times New Roman"/>
          <w:bCs/>
          <w:color w:val="002060"/>
          <w:sz w:val="16"/>
          <w:szCs w:val="16"/>
          <w:lang w:val="en-US"/>
        </w:rPr>
        <w:t xml:space="preserve"> 15 </w:t>
      </w:r>
      <w:r w:rsidRPr="00405303">
        <w:rPr>
          <w:rFonts w:ascii="Times New Roman" w:hAnsi="Times New Roman" w:cs="Times New Roman"/>
          <w:bCs/>
          <w:color w:val="002060"/>
          <w:sz w:val="16"/>
          <w:szCs w:val="16"/>
        </w:rPr>
        <w:t>декабря</w:t>
      </w:r>
      <w:r w:rsidRPr="00405303">
        <w:rPr>
          <w:rFonts w:ascii="Times New Roman" w:hAnsi="Times New Roman" w:cs="Times New Roman"/>
          <w:bCs/>
          <w:color w:val="002060"/>
          <w:sz w:val="16"/>
          <w:szCs w:val="16"/>
          <w:lang w:val="en-US"/>
        </w:rPr>
        <w:t xml:space="preserve"> 1914 </w:t>
      </w:r>
      <w:r w:rsidRPr="00405303">
        <w:rPr>
          <w:rFonts w:ascii="Times New Roman" w:hAnsi="Times New Roman" w:cs="Times New Roman"/>
          <w:bCs/>
          <w:color w:val="002060"/>
          <w:sz w:val="16"/>
          <w:szCs w:val="16"/>
        </w:rPr>
        <w:t>г</w:t>
      </w:r>
      <w:r w:rsidRPr="00405303">
        <w:rPr>
          <w:rFonts w:ascii="Times New Roman" w:hAnsi="Times New Roman" w:cs="Times New Roman"/>
          <w:bCs/>
          <w:color w:val="002060"/>
          <w:sz w:val="16"/>
          <w:szCs w:val="16"/>
          <w:lang w:val="en-US"/>
        </w:rPr>
        <w:t>. (</w:t>
      </w:r>
      <w:r w:rsidRPr="00405303">
        <w:rPr>
          <w:rFonts w:ascii="Times New Roman" w:hAnsi="Times New Roman" w:cs="Times New Roman"/>
          <w:bCs/>
          <w:color w:val="002060"/>
          <w:sz w:val="16"/>
          <w:szCs w:val="16"/>
        </w:rPr>
        <w:t>Цит</w:t>
      </w:r>
      <w:r w:rsidRPr="00405303">
        <w:rPr>
          <w:rFonts w:ascii="Times New Roman" w:hAnsi="Times New Roman" w:cs="Times New Roman"/>
          <w:bCs/>
          <w:color w:val="002060"/>
          <w:sz w:val="16"/>
          <w:szCs w:val="16"/>
          <w:lang w:val="en-US"/>
        </w:rPr>
        <w:t xml:space="preserve">. </w:t>
      </w:r>
      <w:r w:rsidRPr="00405303">
        <w:rPr>
          <w:rFonts w:ascii="Times New Roman" w:hAnsi="Times New Roman" w:cs="Times New Roman"/>
          <w:bCs/>
          <w:color w:val="002060"/>
          <w:sz w:val="16"/>
          <w:szCs w:val="16"/>
        </w:rPr>
        <w:t>по</w:t>
      </w:r>
      <w:r w:rsidRPr="00405303">
        <w:rPr>
          <w:rFonts w:ascii="Times New Roman" w:hAnsi="Times New Roman" w:cs="Times New Roman"/>
          <w:bCs/>
          <w:color w:val="002060"/>
          <w:sz w:val="16"/>
          <w:szCs w:val="16"/>
          <w:lang w:val="en-US"/>
        </w:rPr>
        <w:t xml:space="preserve">: </w:t>
      </w:r>
      <w:r w:rsidRPr="00405303">
        <w:rPr>
          <w:rFonts w:ascii="Times New Roman" w:hAnsi="Times New Roman" w:cs="Times New Roman"/>
          <w:bCs/>
          <w:color w:val="002060"/>
          <w:sz w:val="16"/>
          <w:szCs w:val="16"/>
          <w:lang w:val="en-US" w:bidi="en-US"/>
        </w:rPr>
        <w:t xml:space="preserve">McMeekin S. The Russian Origins of the First World War. Cambridge (Mass.), 2011. P. 176, 195; Doughty R.A. Pyrrhic Victory. French Strategy and Operations in the Great War. Cambridge (Mass.), 2005. P. 139; Simkins P. Kitchener and the Expansion of the Army </w:t>
      </w:r>
      <w:r w:rsidRPr="00405303">
        <w:rPr>
          <w:rFonts w:ascii="Times New Roman" w:hAnsi="Times New Roman" w:cs="Times New Roman"/>
          <w:bCs/>
          <w:color w:val="002060"/>
          <w:sz w:val="16"/>
          <w:szCs w:val="16"/>
          <w:lang w:val="en-US"/>
        </w:rPr>
        <w:t xml:space="preserve">// </w:t>
      </w:r>
      <w:r w:rsidRPr="00405303">
        <w:rPr>
          <w:rFonts w:ascii="Times New Roman" w:hAnsi="Times New Roman" w:cs="Times New Roman"/>
          <w:bCs/>
          <w:color w:val="002060"/>
          <w:sz w:val="16"/>
          <w:szCs w:val="16"/>
          <w:lang w:val="en-US" w:bidi="en-US"/>
        </w:rPr>
        <w:t xml:space="preserve">Politicians and Defence. Manchester U.P., 1981. P. 97; Neilson K. Strategy and Supply. P. 360; </w:t>
      </w:r>
      <w:r w:rsidRPr="00405303">
        <w:rPr>
          <w:rFonts w:ascii="Times New Roman" w:hAnsi="Times New Roman" w:cs="Times New Roman"/>
          <w:bCs/>
          <w:color w:val="002060"/>
          <w:sz w:val="16"/>
          <w:szCs w:val="16"/>
        </w:rPr>
        <w:t>РГВИА</w:t>
      </w:r>
      <w:r w:rsidRPr="00405303">
        <w:rPr>
          <w:rFonts w:ascii="Times New Roman" w:hAnsi="Times New Roman" w:cs="Times New Roman"/>
          <w:bCs/>
          <w:color w:val="002060"/>
          <w:sz w:val="16"/>
          <w:szCs w:val="16"/>
          <w:lang w:val="en-US"/>
        </w:rPr>
        <w:t xml:space="preserve">. </w:t>
      </w:r>
      <w:r w:rsidRPr="00405303">
        <w:rPr>
          <w:rFonts w:ascii="Times New Roman" w:hAnsi="Times New Roman" w:cs="Times New Roman"/>
          <w:bCs/>
          <w:color w:val="002060"/>
          <w:sz w:val="16"/>
          <w:szCs w:val="16"/>
        </w:rPr>
        <w:t xml:space="preserve">Ф. </w:t>
      </w:r>
      <w:r w:rsidRPr="00405303">
        <w:rPr>
          <w:rFonts w:ascii="Times New Roman" w:hAnsi="Times New Roman" w:cs="Times New Roman"/>
          <w:bCs/>
          <w:color w:val="002060"/>
          <w:sz w:val="16"/>
          <w:szCs w:val="16"/>
          <w:lang w:bidi="en-US"/>
        </w:rPr>
        <w:t xml:space="preserve">2000. </w:t>
      </w:r>
      <w:r w:rsidRPr="00405303">
        <w:rPr>
          <w:rFonts w:ascii="Times New Roman" w:hAnsi="Times New Roman" w:cs="Times New Roman"/>
          <w:bCs/>
          <w:color w:val="002060"/>
          <w:sz w:val="16"/>
          <w:szCs w:val="16"/>
          <w:lang w:val="en-US" w:bidi="en-US"/>
        </w:rPr>
        <w:t>On</w:t>
      </w:r>
      <w:r w:rsidRPr="00405303">
        <w:rPr>
          <w:rFonts w:ascii="Times New Roman" w:hAnsi="Times New Roman" w:cs="Times New Roman"/>
          <w:bCs/>
          <w:color w:val="002060"/>
          <w:sz w:val="16"/>
          <w:szCs w:val="16"/>
          <w:lang w:bidi="en-US"/>
        </w:rPr>
        <w:t xml:space="preserve">. 2. </w:t>
      </w:r>
      <w:r w:rsidRPr="00405303">
        <w:rPr>
          <w:rFonts w:ascii="Times New Roman" w:hAnsi="Times New Roman" w:cs="Times New Roman"/>
          <w:bCs/>
          <w:color w:val="002060"/>
          <w:sz w:val="16"/>
          <w:szCs w:val="16"/>
        </w:rPr>
        <w:t xml:space="preserve">Д. </w:t>
      </w:r>
      <w:r w:rsidRPr="00405303">
        <w:rPr>
          <w:rFonts w:ascii="Times New Roman" w:hAnsi="Times New Roman" w:cs="Times New Roman"/>
          <w:bCs/>
          <w:color w:val="002060"/>
          <w:sz w:val="16"/>
          <w:szCs w:val="16"/>
          <w:lang w:bidi="en-US"/>
        </w:rPr>
        <w:t xml:space="preserve">2284. </w:t>
      </w:r>
      <w:r w:rsidRPr="00405303">
        <w:rPr>
          <w:rFonts w:ascii="Times New Roman" w:hAnsi="Times New Roman" w:cs="Times New Roman"/>
          <w:bCs/>
          <w:color w:val="002060"/>
          <w:sz w:val="16"/>
          <w:szCs w:val="16"/>
        </w:rPr>
        <w:t xml:space="preserve">Л. </w:t>
      </w:r>
      <w:r w:rsidRPr="00405303">
        <w:rPr>
          <w:rFonts w:ascii="Times New Roman" w:hAnsi="Times New Roman" w:cs="Times New Roman"/>
          <w:bCs/>
          <w:color w:val="002060"/>
          <w:sz w:val="16"/>
          <w:szCs w:val="16"/>
          <w:lang w:bidi="en-US"/>
        </w:rPr>
        <w:t xml:space="preserve">92; </w:t>
      </w:r>
      <w:r w:rsidRPr="00405303">
        <w:rPr>
          <w:rFonts w:ascii="Times New Roman" w:hAnsi="Times New Roman" w:cs="Times New Roman"/>
          <w:bCs/>
          <w:color w:val="002060"/>
          <w:sz w:val="16"/>
          <w:szCs w:val="16"/>
        </w:rPr>
        <w:t xml:space="preserve">Ф. </w:t>
      </w:r>
      <w:r w:rsidRPr="00405303">
        <w:rPr>
          <w:rFonts w:ascii="Times New Roman" w:hAnsi="Times New Roman" w:cs="Times New Roman"/>
          <w:bCs/>
          <w:color w:val="002060"/>
          <w:sz w:val="16"/>
          <w:szCs w:val="16"/>
          <w:lang w:bidi="en-US"/>
        </w:rPr>
        <w:t xml:space="preserve">29. </w:t>
      </w:r>
      <w:r w:rsidRPr="00405303">
        <w:rPr>
          <w:rFonts w:ascii="Times New Roman" w:hAnsi="Times New Roman" w:cs="Times New Roman"/>
          <w:bCs/>
          <w:color w:val="002060"/>
          <w:sz w:val="16"/>
          <w:szCs w:val="16"/>
          <w:lang w:val="en-US" w:bidi="en-US"/>
        </w:rPr>
        <w:t>On</w:t>
      </w:r>
      <w:r w:rsidRPr="00405303">
        <w:rPr>
          <w:rFonts w:ascii="Times New Roman" w:hAnsi="Times New Roman" w:cs="Times New Roman"/>
          <w:bCs/>
          <w:color w:val="002060"/>
          <w:sz w:val="16"/>
          <w:szCs w:val="16"/>
          <w:lang w:bidi="en-US"/>
        </w:rPr>
        <w:t xml:space="preserve">. 3. </w:t>
      </w:r>
      <w:r w:rsidRPr="00405303">
        <w:rPr>
          <w:rFonts w:ascii="Times New Roman" w:hAnsi="Times New Roman" w:cs="Times New Roman"/>
          <w:bCs/>
          <w:color w:val="002060"/>
          <w:sz w:val="16"/>
          <w:szCs w:val="16"/>
        </w:rPr>
        <w:t xml:space="preserve">Д. </w:t>
      </w:r>
      <w:r w:rsidRPr="00405303">
        <w:rPr>
          <w:rFonts w:ascii="Times New Roman" w:hAnsi="Times New Roman" w:cs="Times New Roman"/>
          <w:bCs/>
          <w:color w:val="002060"/>
          <w:sz w:val="16"/>
          <w:szCs w:val="16"/>
          <w:lang w:bidi="en-US"/>
        </w:rPr>
        <w:t xml:space="preserve">720. </w:t>
      </w:r>
      <w:r w:rsidRPr="00405303">
        <w:rPr>
          <w:rFonts w:ascii="Times New Roman" w:hAnsi="Times New Roman" w:cs="Times New Roman"/>
          <w:bCs/>
          <w:color w:val="002060"/>
          <w:sz w:val="16"/>
          <w:szCs w:val="16"/>
        </w:rPr>
        <w:t xml:space="preserve">Л. </w:t>
      </w:r>
      <w:r w:rsidRPr="00405303">
        <w:rPr>
          <w:rFonts w:ascii="Times New Roman" w:hAnsi="Times New Roman" w:cs="Times New Roman"/>
          <w:bCs/>
          <w:color w:val="002060"/>
          <w:sz w:val="16"/>
          <w:szCs w:val="16"/>
          <w:lang w:bidi="en-US"/>
        </w:rPr>
        <w:t xml:space="preserve">298; </w:t>
      </w:r>
      <w:r w:rsidRPr="00405303">
        <w:rPr>
          <w:rFonts w:ascii="Times New Roman" w:hAnsi="Times New Roman" w:cs="Times New Roman"/>
          <w:bCs/>
          <w:color w:val="002060"/>
          <w:sz w:val="16"/>
          <w:szCs w:val="16"/>
        </w:rPr>
        <w:t>Сидоров А.Л. Экономическое положение России. С. 22) и рассматривалось «как общее предуказание» (23452).</w:t>
      </w:r>
    </w:p>
    <w:p w14:paraId="6DDD4A7B" w14:textId="77777777" w:rsidR="00E066BC" w:rsidRPr="00405303" w:rsidRDefault="00E066BC" w:rsidP="00C15251">
      <w:pPr>
        <w:jc w:val="both"/>
        <w:rPr>
          <w:bCs/>
          <w:color w:val="002060"/>
          <w:sz w:val="16"/>
          <w:szCs w:val="16"/>
        </w:rPr>
      </w:pPr>
    </w:p>
    <w:p w14:paraId="588E63A2" w14:textId="77777777" w:rsidR="004B4E35" w:rsidRPr="00405303" w:rsidRDefault="009E6F82" w:rsidP="00C15251">
      <w:pPr>
        <w:pStyle w:val="a3"/>
        <w:jc w:val="both"/>
        <w:rPr>
          <w:bCs/>
          <w:vanish/>
          <w:color w:val="002060"/>
          <w:spacing w:val="0"/>
          <w:kern w:val="0"/>
          <w:position w:val="0"/>
          <w:sz w:val="16"/>
          <w:szCs w:val="16"/>
        </w:rPr>
      </w:pPr>
      <w:r w:rsidRPr="00405303">
        <w:rPr>
          <w:bCs/>
          <w:vanish/>
          <w:color w:val="002060"/>
          <w:spacing w:val="0"/>
          <w:kern w:val="0"/>
          <w:position w:val="0"/>
          <w:sz w:val="16"/>
          <w:szCs w:val="16"/>
        </w:rPr>
        <w:t>Авиация:</w:t>
      </w:r>
    </w:p>
    <w:p w14:paraId="69912CD1" w14:textId="77777777" w:rsidR="004B4E35" w:rsidRPr="00405303" w:rsidRDefault="004B4E35" w:rsidP="00C15251">
      <w:pPr>
        <w:pStyle w:val="a3"/>
        <w:jc w:val="both"/>
        <w:rPr>
          <w:bCs/>
          <w:vanish/>
          <w:color w:val="002060"/>
          <w:spacing w:val="0"/>
          <w:kern w:val="0"/>
          <w:position w:val="0"/>
          <w:sz w:val="16"/>
          <w:szCs w:val="16"/>
        </w:rPr>
      </w:pPr>
    </w:p>
    <w:p w14:paraId="01714E82" w14:textId="77777777" w:rsidR="004B4E35" w:rsidRPr="00405303" w:rsidRDefault="009E6F82" w:rsidP="00C15251">
      <w:pPr>
        <w:jc w:val="both"/>
        <w:rPr>
          <w:bCs/>
          <w:color w:val="002060"/>
          <w:sz w:val="16"/>
          <w:szCs w:val="16"/>
        </w:rPr>
      </w:pPr>
      <w:r w:rsidRPr="00405303">
        <w:rPr>
          <w:bCs/>
          <w:color w:val="002060"/>
          <w:sz w:val="16"/>
          <w:szCs w:val="16"/>
        </w:rPr>
        <w:t>С февраля 1915 года началась боевая деятельность Эскадры. В ноябре 1915 года ее перевели на новый штат, который включал школу подготовки летчиков, метеостанцию, фотокабинет, мастерские, гараж, зенитную батарею и три боевых отряда с 20 экапажами. Всего в Эскадре числилось 20 аоздушных кораблей "Илья Муромец" и 24 одномоторных самолета, предназначенных для обеспечения ПВО, эскортирования тяжелых саморолетов и обучения личного состава. По состоянию на 1 ноября 1917 года в Эскадре имелось, в общей сложности, 38 летательных аппаратов. Кроме Россиии, ни одна из воюющих сторон до 1917 года подобными авиационными соединениями не располагала (11184).</w:t>
      </w:r>
    </w:p>
    <w:p w14:paraId="72DD7903" w14:textId="77777777" w:rsidR="004B4E35" w:rsidRPr="00405303" w:rsidRDefault="004B4E35" w:rsidP="00C15251">
      <w:pPr>
        <w:jc w:val="both"/>
        <w:rPr>
          <w:bCs/>
          <w:color w:val="002060"/>
          <w:sz w:val="16"/>
          <w:szCs w:val="16"/>
        </w:rPr>
      </w:pPr>
    </w:p>
    <w:p w14:paraId="3E14200B" w14:textId="77777777" w:rsidR="00E20F08" w:rsidRPr="00405303" w:rsidRDefault="00E20F08" w:rsidP="00C15251">
      <w:pPr>
        <w:jc w:val="both"/>
        <w:rPr>
          <w:bCs/>
          <w:color w:val="002060"/>
          <w:sz w:val="16"/>
          <w:szCs w:val="16"/>
        </w:rPr>
      </w:pPr>
      <w:r w:rsidRPr="00405303">
        <w:rPr>
          <w:bCs/>
          <w:color w:val="002060"/>
          <w:sz w:val="16"/>
          <w:szCs w:val="16"/>
          <w:lang w:bidi="en-US"/>
        </w:rPr>
        <w:t xml:space="preserve">В течение февраля 1915 г. немцы имели на Северо-Западном фронте девять авиационных частей. На Западном фронте дислоцировались два австро-венгерских флика. Теперь на Юго-Западном фронте было семь немецких авиационных частей и пять австро-венгерских фликов. </w:t>
      </w:r>
      <w:r w:rsidRPr="00405303">
        <w:rPr>
          <w:bCs/>
          <w:color w:val="002060"/>
          <w:sz w:val="16"/>
          <w:szCs w:val="16"/>
          <w:lang w:val="en-US" w:bidi="en-US"/>
        </w:rPr>
        <w:t>Flik</w:t>
      </w:r>
      <w:r w:rsidRPr="00405303">
        <w:rPr>
          <w:bCs/>
          <w:color w:val="002060"/>
          <w:sz w:val="16"/>
          <w:szCs w:val="16"/>
          <w:lang w:bidi="en-US"/>
        </w:rPr>
        <w:t xml:space="preserve"> 11 находился в осаде у Перемышля (23525).</w:t>
      </w:r>
    </w:p>
    <w:p w14:paraId="251E157F" w14:textId="77777777" w:rsidR="00E20F08" w:rsidRPr="00405303" w:rsidRDefault="00E20F08" w:rsidP="00C15251">
      <w:pPr>
        <w:jc w:val="both"/>
        <w:rPr>
          <w:bCs/>
          <w:color w:val="002060"/>
          <w:sz w:val="16"/>
          <w:szCs w:val="16"/>
          <w:lang w:bidi="en-US"/>
        </w:rPr>
      </w:pPr>
    </w:p>
    <w:p w14:paraId="0E2B7844" w14:textId="77777777" w:rsidR="00E20F08" w:rsidRPr="00405303" w:rsidRDefault="00E20F08" w:rsidP="00C15251">
      <w:pPr>
        <w:jc w:val="both"/>
        <w:rPr>
          <w:bCs/>
          <w:color w:val="002060"/>
          <w:sz w:val="16"/>
          <w:szCs w:val="16"/>
        </w:rPr>
      </w:pPr>
      <w:r w:rsidRPr="00405303">
        <w:rPr>
          <w:bCs/>
          <w:color w:val="002060"/>
          <w:sz w:val="16"/>
          <w:szCs w:val="16"/>
        </w:rPr>
        <w:t>В феврале 1915 г. проведенные пробные полеты немецкого воздушного корабля P-IV, находившийся в г. Торн (Торунь), наглядно показали слабость конструкции летательного аппарата, и от затеи его боевого применения пришлось отказаться (23405).</w:t>
      </w:r>
    </w:p>
    <w:p w14:paraId="34B174FD" w14:textId="77777777" w:rsidR="00E20F08" w:rsidRPr="00405303" w:rsidRDefault="00E20F08" w:rsidP="00C15251">
      <w:pPr>
        <w:jc w:val="both"/>
        <w:rPr>
          <w:bCs/>
          <w:color w:val="002060"/>
          <w:sz w:val="16"/>
          <w:szCs w:val="16"/>
        </w:rPr>
      </w:pPr>
    </w:p>
    <w:p w14:paraId="3EE5B665" w14:textId="77777777" w:rsidR="00B442E5" w:rsidRPr="00405303" w:rsidRDefault="00B442E5" w:rsidP="00B442E5">
      <w:pPr>
        <w:jc w:val="both"/>
        <w:rPr>
          <w:color w:val="0070C0"/>
          <w:sz w:val="16"/>
          <w:szCs w:val="16"/>
        </w:rPr>
      </w:pPr>
      <w:r w:rsidRPr="00405303">
        <w:rPr>
          <w:color w:val="0070C0"/>
          <w:sz w:val="16"/>
          <w:szCs w:val="16"/>
        </w:rPr>
        <w:t>В феврале 1915 г. пробные полеты воздушного корабля P-IV, находившийся в г. Торн (Торунь), наглядно показали слабость конструкции летательного аппарата, и от затеи его боевого применения пришлось отказаться (25135).</w:t>
      </w:r>
    </w:p>
    <w:p w14:paraId="0D932938" w14:textId="77777777" w:rsidR="00B442E5" w:rsidRPr="00405303" w:rsidRDefault="00B442E5" w:rsidP="00B442E5">
      <w:pPr>
        <w:jc w:val="both"/>
        <w:rPr>
          <w:color w:val="0070C0"/>
          <w:sz w:val="16"/>
          <w:szCs w:val="16"/>
        </w:rPr>
      </w:pPr>
    </w:p>
    <w:p w14:paraId="6F0628F6" w14:textId="77777777" w:rsidR="00B442E5" w:rsidRPr="00405303" w:rsidRDefault="00B442E5" w:rsidP="00B442E5">
      <w:pPr>
        <w:jc w:val="both"/>
        <w:rPr>
          <w:color w:val="0070C0"/>
          <w:sz w:val="16"/>
          <w:szCs w:val="16"/>
        </w:rPr>
      </w:pPr>
      <w:r w:rsidRPr="00405303">
        <w:rPr>
          <w:color w:val="0070C0"/>
          <w:sz w:val="16"/>
          <w:szCs w:val="16"/>
        </w:rPr>
        <w:t xml:space="preserve">В феврале 1915 года, учитывая возросшую активность германских воздушных сил на Балтике, командующий флотом Балтийского моря вице-адмирал Н.О. Эссен отдал распоряжение о создании воздушной обороны столицы Эстляндской губернии – г. Ревель (Таллин). В соответствии с «Наставлением для воздушной обороны Ревеля» для его защиты предполагалось развернуть три зенитные батареи (12 орудий) и 18 пулеметных команд (38 пулеметов). До января 1916 г. удалось сформировать лишь одну зенитную батарею (о. Карлос) и несколько пулеметных взводов в системе артиллерии береговой обороны (25135). </w:t>
      </w:r>
    </w:p>
    <w:p w14:paraId="5A5E5B01" w14:textId="77777777" w:rsidR="00B442E5" w:rsidRPr="00405303" w:rsidRDefault="00B442E5" w:rsidP="00B442E5">
      <w:pPr>
        <w:jc w:val="both"/>
        <w:rPr>
          <w:color w:val="0070C0"/>
          <w:sz w:val="16"/>
          <w:szCs w:val="16"/>
        </w:rPr>
      </w:pPr>
    </w:p>
    <w:p w14:paraId="3578533D"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641E26CC" w14:textId="77777777" w:rsidR="004B4E35" w:rsidRPr="00405303" w:rsidRDefault="004B4E35" w:rsidP="00C15251">
      <w:pPr>
        <w:jc w:val="both"/>
        <w:rPr>
          <w:bCs/>
          <w:i/>
          <w:color w:val="002060"/>
          <w:sz w:val="16"/>
          <w:szCs w:val="16"/>
        </w:rPr>
      </w:pPr>
    </w:p>
    <w:p w14:paraId="2D78AE51" w14:textId="77777777" w:rsidR="00E20F08" w:rsidRPr="00405303" w:rsidRDefault="00E20F08" w:rsidP="00C15251">
      <w:pPr>
        <w:jc w:val="both"/>
        <w:rPr>
          <w:bCs/>
          <w:color w:val="002060"/>
          <w:sz w:val="16"/>
          <w:szCs w:val="16"/>
        </w:rPr>
      </w:pPr>
      <w:r w:rsidRPr="00405303">
        <w:rPr>
          <w:bCs/>
          <w:color w:val="002060"/>
          <w:sz w:val="16"/>
          <w:szCs w:val="16"/>
          <w:lang w:bidi="en-US"/>
        </w:rPr>
        <w:t xml:space="preserve">В феврале 1915 г. немцы создали </w:t>
      </w:r>
      <w:r w:rsidRPr="00405303">
        <w:rPr>
          <w:bCs/>
          <w:color w:val="002060"/>
          <w:sz w:val="16"/>
          <w:szCs w:val="16"/>
          <w:lang w:val="en-US" w:bidi="en-US"/>
        </w:rPr>
        <w:t>Flugzeugstation</w:t>
      </w:r>
      <w:r w:rsidRPr="00405303">
        <w:rPr>
          <w:bCs/>
          <w:color w:val="002060"/>
          <w:sz w:val="16"/>
          <w:szCs w:val="16"/>
          <w:lang w:bidi="en-US"/>
        </w:rPr>
        <w:t xml:space="preserve"> Сан-Стефано (Есилькой) недалеко от Константинополя, которая служила базой для формирования турецких и немецких авиационных частей. Далее упоминаются только те части, которые служили против русских (23525).</w:t>
      </w:r>
    </w:p>
    <w:p w14:paraId="09C41BF7" w14:textId="77777777" w:rsidR="00E20F08" w:rsidRPr="00405303" w:rsidRDefault="00E20F08" w:rsidP="00C15251">
      <w:pPr>
        <w:jc w:val="both"/>
        <w:rPr>
          <w:bCs/>
          <w:color w:val="002060"/>
          <w:sz w:val="16"/>
          <w:szCs w:val="16"/>
        </w:rPr>
      </w:pPr>
    </w:p>
    <w:p w14:paraId="43719198" w14:textId="77777777" w:rsidR="00E20F08" w:rsidRPr="00405303" w:rsidRDefault="00E20F08" w:rsidP="00C15251">
      <w:pPr>
        <w:jc w:val="both"/>
        <w:rPr>
          <w:bCs/>
          <w:color w:val="002060"/>
          <w:sz w:val="16"/>
          <w:szCs w:val="16"/>
        </w:rPr>
      </w:pPr>
      <w:r w:rsidRPr="00405303">
        <w:rPr>
          <w:bCs/>
          <w:color w:val="002060"/>
          <w:sz w:val="16"/>
          <w:szCs w:val="16"/>
        </w:rPr>
        <w:t xml:space="preserve">В феврале 1915 года, учитывая возросшую активность германских воздушных сил на Балтике, командующий флотом Балтийского моря вице-адмирал Н.О. Эссен отдал распоряжение о создании воздушной обороны столицы Эстляндской губернии - г. Ревель (Таллин). В соответствии с «Наставлением для воздушной обороны </w:t>
      </w:r>
      <w:r w:rsidRPr="00405303">
        <w:rPr>
          <w:bCs/>
          <w:color w:val="002060"/>
          <w:sz w:val="16"/>
          <w:szCs w:val="16"/>
        </w:rPr>
        <w:lastRenderedPageBreak/>
        <w:t>Ревеля» для его защиты предполагалось развернуть три зенитные батареи (12 орудий) и 18 пулеметных команд (38 пулеметов). До января 1916 г. удалось сформировать лишь одну зенитную батарею (о. Карлос) и несколько пулеметных взводов в системе артиллерии береговой обороны (23405).</w:t>
      </w:r>
    </w:p>
    <w:p w14:paraId="76EB5D44" w14:textId="77777777" w:rsidR="00E20F08" w:rsidRPr="00405303" w:rsidRDefault="00E20F08" w:rsidP="00C15251">
      <w:pPr>
        <w:jc w:val="both"/>
        <w:rPr>
          <w:bCs/>
          <w:color w:val="002060"/>
          <w:sz w:val="16"/>
          <w:szCs w:val="16"/>
        </w:rPr>
      </w:pPr>
    </w:p>
    <w:p w14:paraId="73C33F91" w14:textId="366890F0" w:rsidR="00977D3E" w:rsidRPr="00405303" w:rsidRDefault="00AF667C" w:rsidP="00C15251">
      <w:pPr>
        <w:pStyle w:val="vR"/>
        <w:rPr>
          <w:bCs/>
          <w:color w:val="002060"/>
          <w:sz w:val="16"/>
          <w:szCs w:val="16"/>
          <w:lang w:val="ru-RU"/>
        </w:rPr>
      </w:pPr>
      <w:r w:rsidRPr="00405303">
        <w:rPr>
          <w:bCs/>
          <w:color w:val="002060"/>
          <w:sz w:val="16"/>
          <w:szCs w:val="16"/>
          <w:lang w:val="ru-RU"/>
        </w:rPr>
        <w:t>В</w:t>
      </w:r>
      <w:r w:rsidR="00977D3E" w:rsidRPr="00405303">
        <w:rPr>
          <w:bCs/>
          <w:color w:val="002060"/>
          <w:sz w:val="16"/>
          <w:szCs w:val="16"/>
          <w:lang w:val="ru-RU"/>
        </w:rPr>
        <w:t xml:space="preserve"> феврале 1915 года</w:t>
      </w:r>
      <w:r w:rsidRPr="00405303">
        <w:rPr>
          <w:bCs/>
          <w:color w:val="002060"/>
          <w:sz w:val="16"/>
          <w:szCs w:val="16"/>
          <w:lang w:val="ru-RU"/>
        </w:rPr>
        <w:t xml:space="preserve"> авиатранспорты всту</w:t>
      </w:r>
      <w:r w:rsidRPr="00405303">
        <w:rPr>
          <w:bCs/>
          <w:color w:val="002060"/>
          <w:sz w:val="16"/>
          <w:szCs w:val="16"/>
          <w:lang w:val="ru-RU"/>
        </w:rPr>
        <w:softHyphen/>
        <w:t>пили в строй</w:t>
      </w:r>
      <w:r w:rsidR="00977D3E" w:rsidRPr="00405303">
        <w:rPr>
          <w:bCs/>
          <w:color w:val="002060"/>
          <w:sz w:val="16"/>
          <w:szCs w:val="16"/>
          <w:lang w:val="ru-RU"/>
        </w:rPr>
        <w:t>. Они предназначались для базиро</w:t>
      </w:r>
      <w:r w:rsidR="00977D3E" w:rsidRPr="00405303">
        <w:rPr>
          <w:bCs/>
          <w:color w:val="002060"/>
          <w:sz w:val="16"/>
          <w:szCs w:val="16"/>
          <w:lang w:val="ru-RU"/>
        </w:rPr>
        <w:softHyphen/>
        <w:t>вания лётающих лодок М-5 («Нико</w:t>
      </w:r>
      <w:r w:rsidR="00977D3E" w:rsidRPr="00405303">
        <w:rPr>
          <w:bCs/>
          <w:color w:val="002060"/>
          <w:sz w:val="16"/>
          <w:szCs w:val="16"/>
          <w:lang w:val="ru-RU"/>
        </w:rPr>
        <w:softHyphen/>
        <w:t xml:space="preserve">лай </w:t>
      </w:r>
      <w:r w:rsidR="00977D3E" w:rsidRPr="00405303">
        <w:rPr>
          <w:bCs/>
          <w:color w:val="002060"/>
          <w:sz w:val="16"/>
          <w:szCs w:val="16"/>
        </w:rPr>
        <w:t>I</w:t>
      </w:r>
      <w:r w:rsidR="00977D3E" w:rsidRPr="00405303">
        <w:rPr>
          <w:bCs/>
          <w:color w:val="002060"/>
          <w:sz w:val="16"/>
          <w:szCs w:val="16"/>
          <w:lang w:val="ru-RU"/>
        </w:rPr>
        <w:t xml:space="preserve">» — семь М-5, «Александр </w:t>
      </w:r>
      <w:r w:rsidR="00977D3E" w:rsidRPr="00405303">
        <w:rPr>
          <w:bCs/>
          <w:color w:val="002060"/>
          <w:sz w:val="16"/>
          <w:szCs w:val="16"/>
        </w:rPr>
        <w:t>I</w:t>
      </w:r>
      <w:r w:rsidR="00977D3E" w:rsidRPr="00405303">
        <w:rPr>
          <w:bCs/>
          <w:color w:val="002060"/>
          <w:sz w:val="16"/>
          <w:szCs w:val="16"/>
          <w:lang w:val="ru-RU"/>
        </w:rPr>
        <w:t>» — восемь М-5). Самолёты доставлялись на корабли на время похода и опе</w:t>
      </w:r>
      <w:r w:rsidR="00977D3E" w:rsidRPr="00405303">
        <w:rPr>
          <w:bCs/>
          <w:color w:val="002060"/>
          <w:sz w:val="16"/>
          <w:szCs w:val="16"/>
          <w:lang w:val="ru-RU"/>
        </w:rPr>
        <w:softHyphen/>
        <w:t>раций. Лейтенанта Р.Ф. Эссена назначили начальником первого корабельного отряда, а вторым командовал лейтенант Е. Е. Коведяев (впоследствии его сменил лей</w:t>
      </w:r>
      <w:r w:rsidR="00977D3E" w:rsidRPr="00405303">
        <w:rPr>
          <w:bCs/>
          <w:color w:val="002060"/>
          <w:sz w:val="16"/>
          <w:szCs w:val="16"/>
          <w:lang w:val="ru-RU"/>
        </w:rPr>
        <w:softHyphen/>
        <w:t>тенант А.К. Юнкер). Боевое приме</w:t>
      </w:r>
      <w:r w:rsidR="00977D3E" w:rsidRPr="00405303">
        <w:rPr>
          <w:bCs/>
          <w:color w:val="002060"/>
          <w:sz w:val="16"/>
          <w:szCs w:val="16"/>
          <w:lang w:val="ru-RU"/>
        </w:rPr>
        <w:softHyphen/>
        <w:t>нение включаемых в состав эскад</w:t>
      </w:r>
      <w:r w:rsidR="00977D3E" w:rsidRPr="00405303">
        <w:rPr>
          <w:bCs/>
          <w:color w:val="002060"/>
          <w:sz w:val="16"/>
          <w:szCs w:val="16"/>
          <w:lang w:val="ru-RU"/>
        </w:rPr>
        <w:softHyphen/>
        <w:t>ры авиатранспортов началось: пер</w:t>
      </w:r>
      <w:r w:rsidR="00977D3E" w:rsidRPr="00405303">
        <w:rPr>
          <w:bCs/>
          <w:color w:val="002060"/>
          <w:sz w:val="16"/>
          <w:szCs w:val="16"/>
          <w:lang w:val="ru-RU"/>
        </w:rPr>
        <w:softHyphen/>
        <w:t>вого с 27 февраля (11 марта), вто</w:t>
      </w:r>
      <w:r w:rsidR="00977D3E" w:rsidRPr="00405303">
        <w:rPr>
          <w:bCs/>
          <w:color w:val="002060"/>
          <w:sz w:val="16"/>
          <w:szCs w:val="16"/>
          <w:lang w:val="ru-RU"/>
        </w:rPr>
        <w:softHyphen/>
        <w:t>рого с 25 апреля (7 мая) 1915 г.</w:t>
      </w:r>
    </w:p>
    <w:p w14:paraId="246A8740" w14:textId="77777777" w:rsidR="00977D3E" w:rsidRPr="00405303" w:rsidRDefault="00977D3E" w:rsidP="00C15251">
      <w:pPr>
        <w:pStyle w:val="vR"/>
        <w:rPr>
          <w:bCs/>
          <w:color w:val="002060"/>
          <w:sz w:val="16"/>
          <w:szCs w:val="16"/>
          <w:lang w:val="ru-RU"/>
        </w:rPr>
      </w:pPr>
    </w:p>
    <w:p w14:paraId="25D3798B" w14:textId="77777777" w:rsidR="004B4E35" w:rsidRPr="00405303" w:rsidRDefault="009E6F82" w:rsidP="00C15251">
      <w:pPr>
        <w:jc w:val="both"/>
        <w:rPr>
          <w:bCs/>
          <w:color w:val="002060"/>
          <w:sz w:val="16"/>
          <w:szCs w:val="16"/>
        </w:rPr>
      </w:pPr>
      <w:r w:rsidRPr="00405303">
        <w:rPr>
          <w:bCs/>
          <w:color w:val="002060"/>
          <w:sz w:val="16"/>
          <w:szCs w:val="16"/>
        </w:rPr>
        <w:t>В феврале 1915 г. Ставка Верховного главнокомандования поставила в известность руководство Черноморского флота, что планируются совместные действия англофранцузского флота с участием их десанта в районе Дарданелл, а флоту предлагалось оказать содействие в виде демонстрации у проливов, до занятия Босфора совместно с союзниками.</w:t>
      </w:r>
    </w:p>
    <w:p w14:paraId="3CEA946D" w14:textId="77777777" w:rsidR="004B4E35" w:rsidRPr="00405303" w:rsidRDefault="009E6F82" w:rsidP="00C15251">
      <w:pPr>
        <w:jc w:val="both"/>
        <w:rPr>
          <w:bCs/>
          <w:color w:val="002060"/>
          <w:sz w:val="16"/>
          <w:szCs w:val="16"/>
        </w:rPr>
      </w:pPr>
      <w:r w:rsidRPr="00405303">
        <w:rPr>
          <w:bCs/>
          <w:color w:val="002060"/>
          <w:sz w:val="16"/>
          <w:szCs w:val="16"/>
        </w:rPr>
        <w:t>Эскадра кораблей начала действовать в районе Румелийского и Анатолийского побережья.</w:t>
      </w:r>
    </w:p>
    <w:p w14:paraId="0E4CE5A7" w14:textId="77777777" w:rsidR="004B4E35" w:rsidRPr="00405303" w:rsidRDefault="009E6F82" w:rsidP="00C15251">
      <w:pPr>
        <w:jc w:val="both"/>
        <w:rPr>
          <w:bCs/>
          <w:color w:val="002060"/>
          <w:sz w:val="16"/>
          <w:szCs w:val="16"/>
        </w:rPr>
      </w:pPr>
      <w:r w:rsidRPr="00405303">
        <w:rPr>
          <w:bCs/>
          <w:color w:val="002060"/>
          <w:sz w:val="16"/>
          <w:szCs w:val="16"/>
        </w:rPr>
        <w:t>27 февраля (11 марта) 1915 г. авиатранспорт (по документом он именуется также посыльным судном) "Император Николай I" с четырьмя летающими лодками "Кертис-Д" впервые последовал с эскадрой, имея задачей разведать район Инеболу перед его обстрелом кораблями. Второй авиатранспорт "Александр I" отправился 7 мая 1915 г. В процессе выполнения задания самолёты подверглись обстрелу. Но и в этих условиях они применяли имевшиеся бомбы.</w:t>
      </w:r>
    </w:p>
    <w:p w14:paraId="3712F928" w14:textId="77777777" w:rsidR="004B4E35" w:rsidRPr="00405303" w:rsidRDefault="009E6F82" w:rsidP="00C15251">
      <w:pPr>
        <w:jc w:val="both"/>
        <w:rPr>
          <w:bCs/>
          <w:color w:val="002060"/>
          <w:sz w:val="16"/>
          <w:szCs w:val="16"/>
        </w:rPr>
      </w:pPr>
      <w:r w:rsidRPr="00405303">
        <w:rPr>
          <w:bCs/>
          <w:color w:val="002060"/>
          <w:sz w:val="16"/>
          <w:szCs w:val="16"/>
        </w:rPr>
        <w:t>В следующий поход к Босфору и Зонгулдакскому порту на авиатранспорте и вспомогательном крейсере "Алмаз" отправилось уже шесть летающих лодок. В 7 ч. 10 мин. 28 марта авиатранспорт и крейсер на удалении 10 миль от пролива Босфор застопорили машины и начали спуск самолётов на воду. Вылетавшие экипажи наблюдали за результатами обстрела. Затем эскадра перешла в район Эрегли-Зон- гулдак для обстрела промышленных объектов и портовых сооружениё. Экипажи самолётов вели разведку, фотографировали береговые объекты и по возможности применяли бомбы по береговым объектам. В 10 ч.ЗО мин. линейный корабль "Ростислав" открыл огонь по береговым целям в районе Эльмас, Ана- толи-Фенер и Фенераки, затем по Румелийскому берегу. Воздушная разведка показала, что в Босфоре крупных кораблей противника нет. Одновременно с выполнением разведки самолёты сбросили несколько бомб по батареям. На следующий день гидросамолёты впервые производили корректировку огня корабельной артиллерии.</w:t>
      </w:r>
    </w:p>
    <w:p w14:paraId="6DED43ED" w14:textId="77777777" w:rsidR="004B4E35" w:rsidRPr="00405303" w:rsidRDefault="009E6F82" w:rsidP="00C15251">
      <w:pPr>
        <w:jc w:val="both"/>
        <w:rPr>
          <w:bCs/>
          <w:color w:val="002060"/>
          <w:sz w:val="16"/>
          <w:szCs w:val="16"/>
        </w:rPr>
      </w:pPr>
      <w:r w:rsidRPr="00405303">
        <w:rPr>
          <w:bCs/>
          <w:color w:val="002060"/>
          <w:sz w:val="16"/>
          <w:szCs w:val="16"/>
        </w:rPr>
        <w:t>Очередной авиатранспорт "Память Меркурия" в свой первый поход отправился 20 апреля 1915 г., но его служба была недолгой.</w:t>
      </w:r>
    </w:p>
    <w:p w14:paraId="4253D77B" w14:textId="77777777" w:rsidR="004B4E35" w:rsidRPr="00405303" w:rsidRDefault="009E6F82" w:rsidP="00C15251">
      <w:pPr>
        <w:jc w:val="both"/>
        <w:rPr>
          <w:bCs/>
          <w:color w:val="002060"/>
          <w:sz w:val="16"/>
          <w:szCs w:val="16"/>
        </w:rPr>
      </w:pPr>
      <w:r w:rsidRPr="00405303">
        <w:rPr>
          <w:bCs/>
          <w:color w:val="002060"/>
          <w:sz w:val="16"/>
          <w:szCs w:val="16"/>
        </w:rPr>
        <w:t>Отчёты начальников авиационных отрядов позволяют охарактеризовать обстановку, в которой приходилось действовать черноморским лётчикам и относиться к ним с должным уважением.</w:t>
      </w:r>
    </w:p>
    <w:p w14:paraId="257E513E" w14:textId="77777777" w:rsidR="004B4E35" w:rsidRPr="00405303" w:rsidRDefault="009E6F82" w:rsidP="00C15251">
      <w:pPr>
        <w:jc w:val="both"/>
        <w:rPr>
          <w:bCs/>
          <w:color w:val="002060"/>
          <w:sz w:val="16"/>
          <w:szCs w:val="16"/>
        </w:rPr>
      </w:pPr>
      <w:r w:rsidRPr="00405303">
        <w:rPr>
          <w:bCs/>
          <w:color w:val="002060"/>
          <w:sz w:val="16"/>
          <w:szCs w:val="16"/>
        </w:rPr>
        <w:t>Из отчёта начальника авиационного отряда Б-2 лейтенанта В.В.Утгофа*: "19 апреля отряд,, состоявший из четырёх лётоющих лодок "Кертисса", имел зодочу наблюдения за Босфором. Рано утром флот пришёл в точку Аз у Босфора, ив 7 ч 10 мин с "Евстафия" последовал сигналo"спустить гидро". В 7 ч 23 мин взлетел лейтенант Коведяев с наблюдателем моторным унтер- офицером Бабиным-Волынским и отправился на разведку к Босфору". Экипаж обнаружил подводную лодку, пароход в виде тральщика, судно, буксировавшее большую баржу с пассажирами и несколько парусников. Вылетевший через час лейтенант Лучанинов с наблюдателем моторным унтер-офицером Семёновым, доложил, что пролив свободен. В 9 ч 15мин на разведку вылетел лейтенант Утгоф с наблюдателем моторным унтер-офицером Аристовым. Вернувшись в11 ч 25 мин, он доложил об отсутствии кораблей в проливе и на походах к нему. Наблюдая стрельбу 2-й бригады, он видел столбы дыма и пыли на мысу Эльмас, дым около батареи Пайрес, несколько 12-ти дюймовых снарядов, упавших в воду. Когда 2-я бригада начала поворачивать направо, она открыла стрельбу из орудий мелкого калибра и пулемётов. Полагая, что там усмотрена подводная лодка, лейтенант Утгоф тщательно осмотрел обследуемый район и сообщил, что нигде вблизи подводных лодок нет. В 11.01 на разведку вылетел лейтенант Рагозин, но через 15 мин. сел на воду из-за порчи мотора и был прибуксирован к вспомогательному крейсеру "Император Николай I" быстроходным катером.</w:t>
      </w:r>
    </w:p>
    <w:p w14:paraId="79FF7CE7" w14:textId="77777777" w:rsidR="004B4E35" w:rsidRPr="00405303" w:rsidRDefault="009E6F82" w:rsidP="00C15251">
      <w:pPr>
        <w:jc w:val="both"/>
        <w:rPr>
          <w:bCs/>
          <w:color w:val="002060"/>
          <w:sz w:val="16"/>
          <w:szCs w:val="16"/>
        </w:rPr>
      </w:pPr>
      <w:r w:rsidRPr="00405303">
        <w:rPr>
          <w:bCs/>
          <w:color w:val="002060"/>
          <w:sz w:val="16"/>
          <w:szCs w:val="16"/>
        </w:rPr>
        <w:t>В этот день на разведку вылетали ещё два самолёта, пока в 13 часов с "Евстафия" не передали семафором "гидро больше не поднимать" (11930).</w:t>
      </w:r>
    </w:p>
    <w:p w14:paraId="5967B1C3" w14:textId="77777777" w:rsidR="004B4E35" w:rsidRPr="00405303" w:rsidRDefault="004B4E35" w:rsidP="00C15251">
      <w:pPr>
        <w:jc w:val="both"/>
        <w:rPr>
          <w:bCs/>
          <w:color w:val="002060"/>
          <w:sz w:val="16"/>
          <w:szCs w:val="16"/>
        </w:rPr>
      </w:pPr>
    </w:p>
    <w:p w14:paraId="7A1B6BD0" w14:textId="77777777" w:rsidR="004B4E35" w:rsidRPr="00405303" w:rsidRDefault="009E6F82" w:rsidP="00C15251">
      <w:pPr>
        <w:jc w:val="both"/>
        <w:rPr>
          <w:bCs/>
          <w:i/>
          <w:color w:val="002060"/>
          <w:sz w:val="16"/>
          <w:szCs w:val="16"/>
        </w:rPr>
      </w:pPr>
      <w:r w:rsidRPr="00405303">
        <w:rPr>
          <w:bCs/>
          <w:i/>
          <w:color w:val="002060"/>
          <w:sz w:val="16"/>
          <w:szCs w:val="16"/>
        </w:rPr>
        <w:t>Внешняя политика:</w:t>
      </w:r>
    </w:p>
    <w:p w14:paraId="090412F0" w14:textId="77777777" w:rsidR="004B4E35" w:rsidRPr="00405303" w:rsidRDefault="004B4E35" w:rsidP="00C15251">
      <w:pPr>
        <w:jc w:val="both"/>
        <w:rPr>
          <w:bCs/>
          <w:i/>
          <w:color w:val="002060"/>
          <w:sz w:val="16"/>
          <w:szCs w:val="16"/>
        </w:rPr>
      </w:pPr>
    </w:p>
    <w:p w14:paraId="7C5724C6"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В феврале 1915 г. состоялась первая финансовая конференция союзных правительств Великобритании, Франции и России, и 5 февраля 1915 г. было подписано соглашение, содержащее условия взаимной финансовой помощи названных трех держав и условия поддержки малых союзных государств, а именно Сербии, Бельгии, Черногории ит. д., ссуды которым ложились поровну на каждую из трех великих союзных держав.</w:t>
      </w:r>
    </w:p>
    <w:p w14:paraId="362ACAD9"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Необходимая России финансовая помощь была установлена в 100 млн [ф. ст.], из которых половина должна была предоставляться Францией. Выполняя названное соглашение, английское казначейство ссудило 25 млн ф. ст. в июне и еще 2і&gt; млн ф. ст. в июле 1915 г.</w:t>
      </w:r>
    </w:p>
    <w:p w14:paraId="22B4B7AF"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В сентябре 1915 г. открытые ранее английским казначейством кредиты были полностью исчерпаны, и на состоявшемся в Лондоне новом совещании было подписано (30 сентября 1915 г.) новое финансовое соглашение на следующих основах:</w:t>
      </w:r>
    </w:p>
    <w:p w14:paraId="09F767AE"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1. На срок в один год (до 1 октября 1916 г.) английское правительство открывает России кредит в 25 млн ф. ст. ежемесячно, реализуемый учетом облигаций русского казначейства. Этот кредит предназначается для закупок военных материалов в Великобритании и других странах, за исключением Франции. Все заказы на военные материалы и их оплата предварительно утверждаются английским правительством. Русское правительство обязалось поставлять золото по просьбе английского правительства с тем, чтобы последнее могло производить платежи в Соединенных Штатах на сумму до 40 млн ф, ст.</w:t>
      </w:r>
      <w:hyperlink r:id="rId11" w:anchor="_ftn3" w:history="1">
        <w:r w:rsidRPr="00405303">
          <w:rPr>
            <w:rStyle w:val="ad"/>
            <w:rFonts w:eastAsiaTheme="majorEastAsia"/>
            <w:bCs/>
            <w:color w:val="002060"/>
            <w:sz w:val="16"/>
            <w:szCs w:val="16"/>
          </w:rPr>
          <w:t>[3]</w:t>
        </w:r>
      </w:hyperlink>
      <w:r w:rsidRPr="00405303">
        <w:rPr>
          <w:bCs/>
          <w:color w:val="002060"/>
          <w:sz w:val="16"/>
          <w:szCs w:val="16"/>
        </w:rPr>
        <w:t xml:space="preserve"> при условии, что английское казначейство выдаст за это золото казначейские векселя, оплачиваемые в золоте по истечении 3—5 лет. С целью удовлетворения нужд российской торговли английским банком был открыт специальный кредит для облегчения учета векселей, полученных русскими банками и индоссированных Государственным банком России (сумма названного кредита позднее зафиксирована в 7.5 млн ф. ст.).</w:t>
      </w:r>
    </w:p>
    <w:p w14:paraId="73512D0A"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Ранее выпущенные обязательства русского казначейства должны были переучиваться по ставке на 1% выше официальной учетной ставки английского банка.</w:t>
      </w:r>
      <w:hyperlink r:id="rId12" w:anchor="_ftn4" w:history="1">
        <w:r w:rsidRPr="00405303">
          <w:rPr>
            <w:rStyle w:val="ad"/>
            <w:rFonts w:eastAsiaTheme="majorEastAsia"/>
            <w:bCs/>
            <w:color w:val="002060"/>
            <w:sz w:val="16"/>
            <w:szCs w:val="16"/>
          </w:rPr>
          <w:t>[4]</w:t>
        </w:r>
      </w:hyperlink>
    </w:p>
    <w:p w14:paraId="0C39C6A2"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В течение нескольких месяцев, последовавших за заключением вышеупомянутого соглашения, английское правительство, принимая во внимание трудности, возникшие в связи с необходимостью информировать казначейство о каждой выплате из английских кредитов, дало согласие о переводе на счет русского правительства в его полное распоряжение ежемесячно суммы в 2 млн из ежемесячного кредита в 25 млнф. ст. Названная сумма затрачивается на покупку сырья, продовольствия и товаров коммерческого значения, личные и благотворительные платежи и т. д., за исключением всех тех контрактов для закупки металлов, заводского оборудования, лекарств и каучука, которые могут быть централизованы в Лондоне.</w:t>
      </w:r>
    </w:p>
    <w:p w14:paraId="1F85DAD8"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В июле 1916 г. представители союзных правительств созвали в Лондоне другую конференцию, результаты которой были соответственным образом отражены в подписанном 27 октября 1916 г. финансовом соглашении, содержащем следующие условия:</w:t>
      </w:r>
    </w:p>
    <w:p w14:paraId="6D294777"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1. Ежемесячные кредиты в 25 млн ф. ст. были предоставлены на новый срок в 6 месяцев (с октября 1916 г. по март 1917 г.) на тех же условиях, что и предыдущие, за исключением того, что обязательства русского казначейства должны были учитываться по официальной учетной ставке английского банка, если названная ставка превышала 5%.</w:t>
      </w:r>
    </w:p>
    <w:p w14:paraId="63A78681" w14:textId="46A8A349"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В счет названных кредитов должны были быть даны новые заказы</w:t>
      </w:r>
      <w:hyperlink r:id="rId13" w:anchor="_ftn5" w:history="1">
        <w:r w:rsidRPr="00405303">
          <w:rPr>
            <w:rStyle w:val="ad"/>
            <w:rFonts w:eastAsiaTheme="majorEastAsia"/>
            <w:bCs/>
            <w:color w:val="002060"/>
            <w:sz w:val="16"/>
            <w:szCs w:val="16"/>
          </w:rPr>
          <w:t>[5]</w:t>
        </w:r>
      </w:hyperlink>
      <w:r w:rsidRPr="00405303">
        <w:rPr>
          <w:bCs/>
          <w:color w:val="002060"/>
          <w:sz w:val="16"/>
          <w:szCs w:val="16"/>
        </w:rPr>
        <w:t xml:space="preserve"> русского правительства в Великобритании и других странах</w:t>
      </w:r>
      <w:hyperlink r:id="rId14" w:anchor="_ftn6" w:history="1">
        <w:r w:rsidRPr="00405303">
          <w:rPr>
            <w:rStyle w:val="ad"/>
            <w:rFonts w:eastAsiaTheme="majorEastAsia"/>
            <w:bCs/>
            <w:color w:val="002060"/>
            <w:sz w:val="16"/>
            <w:szCs w:val="16"/>
          </w:rPr>
          <w:t>[6]</w:t>
        </w:r>
      </w:hyperlink>
      <w:r w:rsidR="00DB4D64" w:rsidRPr="00405303">
        <w:rPr>
          <w:bCs/>
          <w:color w:val="002060"/>
          <w:sz w:val="16"/>
          <w:szCs w:val="16"/>
        </w:rPr>
        <w:t xml:space="preserve"> </w:t>
      </w:r>
      <w:r w:rsidRPr="00405303">
        <w:rPr>
          <w:bCs/>
          <w:color w:val="002060"/>
          <w:sz w:val="16"/>
          <w:szCs w:val="16"/>
        </w:rPr>
        <w:t>(за исключением Франции), и выплаты по займу. Из той же ежемесячной суммы в 4 млн ф. ст. в свободное распоряжение русского правительства давалось 2.5 млн ф. ст. на приобретение сырья, продовольствия и товаров, за исключением централизованных закупок металлов, заводского оборудования, лекарств и каучука для покрытия личных, также благотворительных платежей и т. д., и 1.5 млн ф. ст. для поддержания курса рубля под контролем Министерства финансов. Все обязательства, учтенные согласно этому и предшествующим соглашениям, должны были быть возобновлены по истечении одного года после заключения мира, и английское правительство обещало облегчить выпуск консолидационного займа для их окончательного погашения.</w:t>
      </w:r>
    </w:p>
    <w:p w14:paraId="2CE000D2" w14:textId="145A0280"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lastRenderedPageBreak/>
        <w:t>Со своей стороны русское правительство обязалось отправить 20 млн ф. ст. золотом</w:t>
      </w:r>
      <w:hyperlink r:id="rId15" w:anchor="_ftn7" w:history="1">
        <w:r w:rsidRPr="00405303">
          <w:rPr>
            <w:rStyle w:val="ad"/>
            <w:rFonts w:eastAsiaTheme="majorEastAsia"/>
            <w:bCs/>
            <w:color w:val="002060"/>
            <w:sz w:val="16"/>
            <w:szCs w:val="16"/>
          </w:rPr>
          <w:t>[7]</w:t>
        </w:r>
      </w:hyperlink>
      <w:r w:rsidR="00DB4D64" w:rsidRPr="00405303">
        <w:rPr>
          <w:bCs/>
          <w:color w:val="002060"/>
          <w:sz w:val="16"/>
          <w:szCs w:val="16"/>
        </w:rPr>
        <w:t xml:space="preserve"> </w:t>
      </w:r>
      <w:r w:rsidRPr="00405303">
        <w:rPr>
          <w:bCs/>
          <w:color w:val="002060"/>
          <w:sz w:val="16"/>
          <w:szCs w:val="16"/>
        </w:rPr>
        <w:t>в случае, если английский золотой запас английского банка и текущего денежного счета падет ниже 85 млн ф. ст.</w:t>
      </w:r>
    </w:p>
    <w:p w14:paraId="288C38BB"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Ввиду истечения срока вышеназванного соглашения в январе 1917 г. в Петрограде состоялась новая конференция, и финансовые нужды российского правительства были отражены в подписанном 7/20 февраля 1917 г. меморандуме, который английские делегаты по своему возвращению в Англию представили своему правительству. Его основное содержание состоит в следующем:</w:t>
      </w:r>
    </w:p>
    <w:p w14:paraId="26691981"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1. Товарные поставки военных материалов должны оплачиваться простыми взносами обязательств российского казначейства (следуя прецеденту, установленному для тяжелой артиллерии).</w:t>
      </w:r>
    </w:p>
    <w:p w14:paraId="29042CDA"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2. Новые закупки и заказы на военные материалы в Европе и Америке, ограниченные программой, рассмотренной подкомиссией по вопросам снабжения этой конференции, должны быть оплачены за счет английских кредитов.</w:t>
      </w:r>
    </w:p>
    <w:p w14:paraId="20396982"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3. Должно быть выработано положение о платежах по русскому внешнему долгу в 1917 г. и об учете и переучете обязательств русского казначейства в течение этого же периода.</w:t>
      </w:r>
    </w:p>
    <w:p w14:paraId="5591708C"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4. Свободный кредит для гражданских нужд должен быть увеличен с 2.5 млн ф. ст. до 5.5 млн ф. ст. ежемесячно.</w:t>
      </w:r>
    </w:p>
    <w:p w14:paraId="4797A046"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5. Кредит для поддержания курса рубля за границей должен быть увеличен с 1.5 млн ф. ст. ежемесячно до 12 млн ф. ст. (на три месяца, начиная с 1 апреля 1917 г.).</w:t>
      </w:r>
    </w:p>
    <w:p w14:paraId="1EEC691C"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6. Должна быть предоставлена сумма в 4 млн ф. ст. для закупки серебра на нужды русских экспедиционных сил в Персии.</w:t>
      </w:r>
    </w:p>
    <w:p w14:paraId="6E891C2E"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7. Была принята во внимание возможность совместного займа Великобритании, Франции и Японии.</w:t>
      </w:r>
    </w:p>
    <w:p w14:paraId="1D0AF5B7"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Последующие политические события послужили причиной того, что окончательное и официальное соглашение в соответствии с названными выше пожеланиями не было подписано, и с 1 апреля 1917 г. предоставление ежемесячных кредитов прекратилось.</w:t>
      </w:r>
    </w:p>
    <w:p w14:paraId="488141A0"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В апреле этого года английское правительство определило оставшуюся сумму кредитов, не ассигнованных на частные заказы, в 10—15 млн ф. ст. Эта сумма осталась неиспользованной благодаря тому, что английское правительство не всегда санкционировало наши запланированные заказы в той мере, в какой мы этого требовали. В счет этой суммы и сумм, оставшихся от еще неоплаченных заказов, английское правительство открыло нам дополнительные кредиты для платежей по ранее размещенным заказам и авансировало в течение апреля, мая и июня 1917 г. ежемесячную сумму в 4 млн ф. ст. в наше полное распоряжение («сотріе сіеих»).</w:t>
      </w:r>
    </w:p>
    <w:p w14:paraId="21BF704B"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В этих условиях и благодаря размещенным в Англии с апреля нескольким новым небольшим заказам вся наша наличность английской валюты к началу июля была исчерпана.</w:t>
      </w:r>
    </w:p>
    <w:p w14:paraId="4843A691"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 xml:space="preserve">С другой стороны, в то же самое время возникли значительные трудности в отношении оплаты по заказам в Америке, принимая во внимание, что со времени объявления Америкой войны Германии и открытия названной страной кредитов союзным державам английское правительство настояло на передаче федеральному правительству платежей по размещенным в Соединенных Штатах русским заказам, которые производились ранее из английских кредитов. В числе прочих английское казначейство прекратило оплачивать русские заказы, практически размещенные через Д. П. Моргана </w:t>
      </w:r>
      <w:proofErr w:type="gramStart"/>
      <w:r w:rsidRPr="00405303">
        <w:rPr>
          <w:bCs/>
          <w:color w:val="002060"/>
          <w:sz w:val="16"/>
          <w:szCs w:val="16"/>
        </w:rPr>
        <w:t>и Ко</w:t>
      </w:r>
      <w:proofErr w:type="gramEnd"/>
      <w:r w:rsidRPr="00405303">
        <w:rPr>
          <w:bCs/>
          <w:color w:val="002060"/>
          <w:sz w:val="16"/>
          <w:szCs w:val="16"/>
        </w:rPr>
        <w:t>, контракты по которым не были, однако, подписаны ввиду значительной потери времени из-за установленных английским правительством формальностей при размещении русских заказов.</w:t>
      </w:r>
    </w:p>
    <w:p w14:paraId="6659E0CA"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Совсем недавно английское казначейство категорически отказалось производить для нас какие-либо платежи в Америке, ссылаясь на отсутствие в его распоряжении американской валюты.</w:t>
      </w:r>
    </w:p>
    <w:p w14:paraId="2111969A"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Прекращение наших платежей в Америке сделало наше положение весьма затруднительным, так как американское правительство предоставило нам всего 100 млн дол. для платежей по заказам, которые будут размещены через названное правительство. Вывоз золота в Америку не мог быть осуществлен, принимая во внимание, что мы уже предоставили в распоряжение английского правительства на 60 млн ф. ст. золота для облегчения производства британским казначейством платежей в иностранной валюте за наш счет.</w:t>
      </w:r>
    </w:p>
    <w:p w14:paraId="3ACB5708"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При таких обстоятельствах мы считаем себя обязанными повторить английскому правительств}» нашу самую настоятельную просьбу о предоставлении 25 млн ф. ст. на июль до того, как будет подписано новое соглашение на условиях, выработанных на состоявшейся в январе конференции, и предоставлены новые кредиты.</w:t>
      </w:r>
    </w:p>
    <w:p w14:paraId="25D69384"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 xml:space="preserve">Открытие подобного кредита не было бы тяжелым бременем для английского казначейства, принимая во внимание, что после отнесения оплаты наших американских заказов на американские кредиты — о чем принципиальная договоренность уже достигнута, а окончательно урегулировано это будет только после возвращения в США американской делегации, которая это </w:t>
      </w:r>
      <w:proofErr w:type="gramStart"/>
      <w:r w:rsidRPr="00405303">
        <w:rPr>
          <w:bCs/>
          <w:color w:val="002060"/>
          <w:sz w:val="16"/>
          <w:szCs w:val="16"/>
        </w:rPr>
        <w:t>рекомендовала,—</w:t>
      </w:r>
      <w:proofErr w:type="gramEnd"/>
      <w:r w:rsidRPr="00405303">
        <w:rPr>
          <w:bCs/>
          <w:color w:val="002060"/>
          <w:sz w:val="16"/>
          <w:szCs w:val="16"/>
        </w:rPr>
        <w:t xml:space="preserve"> английское казначейство сэкономит около 40 млн. ф. ст.</w:t>
      </w:r>
    </w:p>
    <w:p w14:paraId="33E5FEFA"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В требуемую сумму в 25 млн. ф. ст. включены 4 млн. ф. ст., которые должны быть предоставлены в наше полное распоряжение, из коих 3 млн. ф. ст. за июль 1917 г. уже предоставлены.</w:t>
      </w:r>
    </w:p>
    <w:p w14:paraId="1973965D"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Что касается расходования упомянутого кредита в 25 млн. ф. ст., мы считаем нужным указать, что было бы необходимо в какой-то степени увеличить кредит, открытый английским казначейством для оплаты заказов в Скандинавии. В течение последних нескольких месяцев мы не полностью расходовали 275 тыс. ф. ст., предоставляемых ежемесячно в наше распоряжение для платежей в этих странах, так как сумма свободных кредитов в нашем распоряжении была настолько незначительной, что мы были вынуждены использовать их для других целей и начать закупку крон, платя за них американской валютой, которая была в нашем свободном распоряжении, а в настоящее время исчерпана.</w:t>
      </w:r>
    </w:p>
    <w:p w14:paraId="025C2396"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В дальнейшем для нас было бы абсолютно необходимым получить за счет английских кредитов сумму для платежей в Японии, так как для наиболее важных платежей в названной стране требуется примерно 20 млн иен, а возможности для размещения займа в Японии в ближайшем будущем не существует.</w:t>
      </w:r>
    </w:p>
    <w:p w14:paraId="23CDF501"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Что касается наших общих потребностей в английской валюте, то было бы необходимо отметить следующее.</w:t>
      </w:r>
    </w:p>
    <w:p w14:paraId="2F3CF418"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По сравнению с представленной конференции в январе информацией положение несколько изменилось. Ввиду возросших трудностей с тоннажем мы уменьшили наши заказы в Англии по сравнению с ранее предполагавшимися, и ввиду получения новых американских кредитов часть их была перенесена на американский рынок.</w:t>
      </w:r>
    </w:p>
    <w:p w14:paraId="506D0732"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Поэтому мы проектируем очень мало новых заказов и просим главным образом суммы для оплаты заказов, необеспеченных английскими кредитами.</w:t>
      </w:r>
    </w:p>
    <w:p w14:paraId="01B9F823"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 xml:space="preserve">Что касается кредита для поддержания курса рубля на Лондонской бирже, который был ранее установлен в 4 млн. ф. ст. ежемесячно, то необходимо учесть, что он может быть уменьшен в </w:t>
      </w:r>
      <w:proofErr w:type="gramStart"/>
      <w:r w:rsidRPr="00405303">
        <w:rPr>
          <w:bCs/>
          <w:color w:val="002060"/>
          <w:sz w:val="16"/>
          <w:szCs w:val="16"/>
        </w:rPr>
        <w:t>с.чучае</w:t>
      </w:r>
      <w:proofErr w:type="gramEnd"/>
      <w:r w:rsidRPr="00405303">
        <w:rPr>
          <w:bCs/>
          <w:color w:val="002060"/>
          <w:sz w:val="16"/>
          <w:szCs w:val="16"/>
        </w:rPr>
        <w:t xml:space="preserve"> предоставления подобного кредита Америкой.</w:t>
      </w:r>
    </w:p>
    <w:p w14:paraId="56710A90"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Рекомендованные последней конференцией в Петрограде меры по поддержания курса рубля уже предприняты — дано предписание ограничить выпуск рублей н иностранные рынки и импорт товаров из-за границы.</w:t>
      </w:r>
    </w:p>
    <w:p w14:paraId="49AF2AD4" w14:textId="77777777" w:rsidR="000E717F" w:rsidRPr="00405303" w:rsidRDefault="000E717F" w:rsidP="00C15251">
      <w:pPr>
        <w:pStyle w:val="rtejustify"/>
        <w:spacing w:before="0" w:beforeAutospacing="0" w:after="0" w:afterAutospacing="0"/>
        <w:jc w:val="both"/>
        <w:rPr>
          <w:bCs/>
          <w:color w:val="002060"/>
          <w:sz w:val="16"/>
          <w:szCs w:val="16"/>
        </w:rPr>
      </w:pPr>
      <w:r w:rsidRPr="00405303">
        <w:rPr>
          <w:bCs/>
          <w:color w:val="002060"/>
          <w:sz w:val="16"/>
          <w:szCs w:val="16"/>
        </w:rPr>
        <w:t>Программа наших потребностей в английских кредитах и производимых в соответствии с ней платежей прилагается.</w:t>
      </w:r>
      <w:hyperlink r:id="rId16" w:anchor="_ftn8" w:history="1">
        <w:r w:rsidRPr="00405303">
          <w:rPr>
            <w:rStyle w:val="ad"/>
            <w:rFonts w:eastAsiaTheme="majorEastAsia"/>
            <w:bCs/>
            <w:color w:val="002060"/>
            <w:sz w:val="16"/>
            <w:szCs w:val="16"/>
          </w:rPr>
          <w:t>[8]</w:t>
        </w:r>
      </w:hyperlink>
    </w:p>
    <w:p w14:paraId="600AE2CD" w14:textId="77777777" w:rsidR="000E717F" w:rsidRPr="00405303" w:rsidRDefault="000E717F" w:rsidP="00C15251">
      <w:pPr>
        <w:pStyle w:val="rtejustify"/>
        <w:spacing w:before="0" w:beforeAutospacing="0" w:after="0" w:afterAutospacing="0"/>
        <w:jc w:val="both"/>
        <w:rPr>
          <w:bCs/>
          <w:color w:val="002060"/>
          <w:sz w:val="16"/>
          <w:szCs w:val="16"/>
        </w:rPr>
      </w:pPr>
      <w:hyperlink r:id="rId17" w:anchor="_ftnref1" w:history="1">
        <w:r w:rsidRPr="00405303">
          <w:rPr>
            <w:rStyle w:val="ad"/>
            <w:rFonts w:eastAsiaTheme="majorEastAsia"/>
            <w:bCs/>
            <w:color w:val="002060"/>
            <w:sz w:val="16"/>
            <w:szCs w:val="16"/>
          </w:rPr>
          <w:t>[1]</w:t>
        </w:r>
      </w:hyperlink>
      <w:r w:rsidRPr="00405303">
        <w:rPr>
          <w:bCs/>
          <w:color w:val="002060"/>
          <w:sz w:val="16"/>
          <w:szCs w:val="16"/>
        </w:rPr>
        <w:t xml:space="preserve"> Датируется по док. № 660 "</w:t>
      </w:r>
      <w:hyperlink r:id="rId18" w:history="1">
        <w:r w:rsidRPr="00405303">
          <w:rPr>
            <w:rStyle w:val="ad"/>
            <w:rFonts w:eastAsiaTheme="majorEastAsia"/>
            <w:bCs/>
            <w:color w:val="002060"/>
            <w:sz w:val="16"/>
            <w:szCs w:val="16"/>
          </w:rPr>
          <w:t>Памятная записка английского посольства Министерству иностранных дел с изложением ответа английских министров иностранных дел и финансов на записку Временного правительства от 22 июня 1917 г.</w:t>
        </w:r>
      </w:hyperlink>
      <w:r w:rsidRPr="00405303">
        <w:rPr>
          <w:bCs/>
          <w:color w:val="002060"/>
          <w:sz w:val="16"/>
          <w:szCs w:val="16"/>
        </w:rPr>
        <w:t xml:space="preserve">" и 663 </w:t>
      </w:r>
      <w:hyperlink r:id="rId19" w:history="1">
        <w:r w:rsidRPr="00405303">
          <w:rPr>
            <w:rStyle w:val="ad"/>
            <w:rFonts w:eastAsiaTheme="majorEastAsia"/>
            <w:bCs/>
            <w:color w:val="002060"/>
            <w:sz w:val="16"/>
            <w:szCs w:val="16"/>
          </w:rPr>
          <w:t>"Записка товарища министра иностранных дел А. М. Петряева английскому послу в Петрограде Д. Бьюкенену с изложением ответа на памятную записку от 7 июля 1917 г."</w:t>
        </w:r>
      </w:hyperlink>
    </w:p>
    <w:p w14:paraId="1CABBFDF" w14:textId="77777777" w:rsidR="000E717F" w:rsidRPr="00405303" w:rsidRDefault="000E717F" w:rsidP="00C15251">
      <w:pPr>
        <w:pStyle w:val="rtejustify"/>
        <w:spacing w:before="0" w:beforeAutospacing="0" w:after="0" w:afterAutospacing="0"/>
        <w:jc w:val="both"/>
        <w:rPr>
          <w:bCs/>
          <w:color w:val="002060"/>
          <w:sz w:val="16"/>
          <w:szCs w:val="16"/>
        </w:rPr>
      </w:pPr>
      <w:hyperlink r:id="rId20" w:anchor="_ftnref2" w:history="1">
        <w:r w:rsidRPr="00405303">
          <w:rPr>
            <w:rStyle w:val="ad"/>
            <w:rFonts w:eastAsiaTheme="majorEastAsia"/>
            <w:bCs/>
            <w:color w:val="002060"/>
            <w:sz w:val="16"/>
            <w:szCs w:val="16"/>
          </w:rPr>
          <w:t>[2]</w:t>
        </w:r>
      </w:hyperlink>
      <w:r w:rsidRPr="00405303">
        <w:rPr>
          <w:bCs/>
          <w:color w:val="002060"/>
          <w:sz w:val="16"/>
          <w:szCs w:val="16"/>
        </w:rPr>
        <w:t xml:space="preserve"> Последующая сумма в 10 млн. ф. ст. была получена в феврале 1915 г. путем выпуска обязательств казначейства через английский банк, и в мае 1915 г. названный банк учел еще на 10 млн. ф. ст. облигаций российского казначейства, предназначенных для выкупа русских облигаций, принадлежащих английскому банку и представляющих довоенную задолженность русских фирм английским кредиторам. (Прим. док.).</w:t>
      </w:r>
    </w:p>
    <w:p w14:paraId="03EC88FC" w14:textId="77777777" w:rsidR="000E717F" w:rsidRPr="00405303" w:rsidRDefault="000E717F" w:rsidP="00C15251">
      <w:pPr>
        <w:pStyle w:val="rtejustify"/>
        <w:spacing w:before="0" w:beforeAutospacing="0" w:after="0" w:afterAutospacing="0"/>
        <w:jc w:val="both"/>
        <w:rPr>
          <w:bCs/>
          <w:color w:val="002060"/>
          <w:sz w:val="16"/>
          <w:szCs w:val="16"/>
        </w:rPr>
      </w:pPr>
      <w:hyperlink r:id="rId21" w:anchor="_ftnref3" w:history="1">
        <w:r w:rsidRPr="00405303">
          <w:rPr>
            <w:rStyle w:val="ad"/>
            <w:rFonts w:eastAsiaTheme="majorEastAsia"/>
            <w:bCs/>
            <w:color w:val="002060"/>
            <w:sz w:val="16"/>
            <w:szCs w:val="16"/>
          </w:rPr>
          <w:t>[3]</w:t>
        </w:r>
      </w:hyperlink>
      <w:r w:rsidRPr="00405303">
        <w:rPr>
          <w:bCs/>
          <w:color w:val="002060"/>
          <w:sz w:val="16"/>
          <w:szCs w:val="16"/>
        </w:rPr>
        <w:t xml:space="preserve"> 10 млн ф. ст. переправлены в декабре 1915, 10 млн ф. ст. — в июне 1916 </w:t>
      </w:r>
      <w:proofErr w:type="gramStart"/>
      <w:r w:rsidRPr="00405303">
        <w:rPr>
          <w:bCs/>
          <w:color w:val="002060"/>
          <w:sz w:val="16"/>
          <w:szCs w:val="16"/>
        </w:rPr>
        <w:t>г..</w:t>
      </w:r>
      <w:proofErr w:type="gramEnd"/>
      <w:r w:rsidRPr="00405303">
        <w:rPr>
          <w:bCs/>
          <w:color w:val="002060"/>
          <w:sz w:val="16"/>
          <w:szCs w:val="16"/>
        </w:rPr>
        <w:t xml:space="preserve"> 20 млн ф. ст. — в ноябре 1916 г. (Прим. док.).</w:t>
      </w:r>
    </w:p>
    <w:p w14:paraId="244FDD27" w14:textId="77777777" w:rsidR="000E717F" w:rsidRPr="00405303" w:rsidRDefault="000E717F" w:rsidP="00C15251">
      <w:pPr>
        <w:pStyle w:val="rtejustify"/>
        <w:spacing w:before="0" w:beforeAutospacing="0" w:after="0" w:afterAutospacing="0"/>
        <w:jc w:val="both"/>
        <w:rPr>
          <w:bCs/>
          <w:color w:val="002060"/>
          <w:sz w:val="16"/>
          <w:szCs w:val="16"/>
        </w:rPr>
      </w:pPr>
      <w:hyperlink r:id="rId22" w:anchor="_ftnref4" w:history="1">
        <w:r w:rsidRPr="00405303">
          <w:rPr>
            <w:rStyle w:val="ad"/>
            <w:rFonts w:eastAsiaTheme="majorEastAsia"/>
            <w:bCs/>
            <w:color w:val="002060"/>
            <w:sz w:val="16"/>
            <w:szCs w:val="16"/>
          </w:rPr>
          <w:t>[4]</w:t>
        </w:r>
      </w:hyperlink>
      <w:r w:rsidRPr="00405303">
        <w:rPr>
          <w:bCs/>
          <w:color w:val="002060"/>
          <w:sz w:val="16"/>
          <w:szCs w:val="16"/>
        </w:rPr>
        <w:t xml:space="preserve"> В соглашении далее содержалась специальная договоренность об облегчении выпуска банковских билетов русского Государственного банка, в соответствии с которой английское казначейство открывало специальный беспроцентный счет в 200 млн. ф. ст., который должен быть закрыт через год после заключения мира. (Прим. док.).</w:t>
      </w:r>
    </w:p>
    <w:p w14:paraId="26E3DE16" w14:textId="77777777" w:rsidR="000E717F" w:rsidRPr="00405303" w:rsidRDefault="000E717F" w:rsidP="00C15251">
      <w:pPr>
        <w:pStyle w:val="rtejustify"/>
        <w:spacing w:before="0" w:beforeAutospacing="0" w:after="0" w:afterAutospacing="0"/>
        <w:jc w:val="both"/>
        <w:rPr>
          <w:bCs/>
          <w:color w:val="002060"/>
          <w:sz w:val="16"/>
          <w:szCs w:val="16"/>
        </w:rPr>
      </w:pPr>
      <w:hyperlink r:id="rId23" w:anchor="_ftnref5" w:history="1">
        <w:r w:rsidRPr="00405303">
          <w:rPr>
            <w:rStyle w:val="ad"/>
            <w:rFonts w:eastAsiaTheme="majorEastAsia"/>
            <w:bCs/>
            <w:color w:val="002060"/>
            <w:sz w:val="16"/>
            <w:szCs w:val="16"/>
          </w:rPr>
          <w:t>[5]</w:t>
        </w:r>
      </w:hyperlink>
      <w:r w:rsidRPr="00405303">
        <w:rPr>
          <w:bCs/>
          <w:color w:val="002060"/>
          <w:sz w:val="16"/>
          <w:szCs w:val="16"/>
        </w:rPr>
        <w:t xml:space="preserve"> За исключением платы за тяжелую артиллерию и снаряды, поставляемые английским Военным министерством, которые должны быть оплачиваемы из депозита обязательств российского казначейства на сумму до 30 млн. ф. ст. (Прим. док.).</w:t>
      </w:r>
    </w:p>
    <w:p w14:paraId="0ECBBF52" w14:textId="77777777" w:rsidR="000E717F" w:rsidRPr="00405303" w:rsidRDefault="000E717F" w:rsidP="00C15251">
      <w:pPr>
        <w:pStyle w:val="rtejustify"/>
        <w:spacing w:before="0" w:beforeAutospacing="0" w:after="0" w:afterAutospacing="0"/>
        <w:jc w:val="both"/>
        <w:rPr>
          <w:bCs/>
          <w:color w:val="002060"/>
          <w:sz w:val="16"/>
          <w:szCs w:val="16"/>
        </w:rPr>
      </w:pPr>
      <w:hyperlink r:id="rId24" w:anchor="_ftnref6" w:history="1">
        <w:r w:rsidRPr="00405303">
          <w:rPr>
            <w:rStyle w:val="ad"/>
            <w:rFonts w:eastAsiaTheme="majorEastAsia"/>
            <w:bCs/>
            <w:color w:val="002060"/>
            <w:sz w:val="16"/>
            <w:szCs w:val="16"/>
          </w:rPr>
          <w:t>[6]</w:t>
        </w:r>
      </w:hyperlink>
      <w:r w:rsidRPr="00405303">
        <w:rPr>
          <w:bCs/>
          <w:color w:val="002060"/>
          <w:sz w:val="16"/>
          <w:szCs w:val="16"/>
        </w:rPr>
        <w:t xml:space="preserve"> Ежемесячно 275 тыс. за заказы в Скандинавии. (Прим. док.).</w:t>
      </w:r>
    </w:p>
    <w:p w14:paraId="397771A6" w14:textId="77777777" w:rsidR="000E717F" w:rsidRPr="00405303" w:rsidRDefault="000E717F" w:rsidP="00C15251">
      <w:pPr>
        <w:pStyle w:val="rtejustify"/>
        <w:spacing w:before="0" w:beforeAutospacing="0" w:after="0" w:afterAutospacing="0"/>
        <w:jc w:val="both"/>
        <w:rPr>
          <w:bCs/>
          <w:color w:val="002060"/>
          <w:sz w:val="16"/>
          <w:szCs w:val="16"/>
        </w:rPr>
      </w:pPr>
      <w:hyperlink r:id="rId25" w:anchor="_ftnref7" w:history="1">
        <w:r w:rsidRPr="00405303">
          <w:rPr>
            <w:rStyle w:val="ad"/>
            <w:rFonts w:eastAsiaTheme="majorEastAsia"/>
            <w:bCs/>
            <w:color w:val="002060"/>
            <w:sz w:val="16"/>
            <w:szCs w:val="16"/>
          </w:rPr>
          <w:t>[7]</w:t>
        </w:r>
      </w:hyperlink>
      <w:r w:rsidRPr="00405303">
        <w:rPr>
          <w:bCs/>
          <w:color w:val="002060"/>
          <w:sz w:val="16"/>
          <w:szCs w:val="16"/>
        </w:rPr>
        <w:t xml:space="preserve"> Отправлено в феврале 1917 г. Соответственно общее количество золота, присланное Россией по требованию Великобритании с начала войны, достигает 68 млн ф. ст. (Прим. док.).</w:t>
      </w:r>
    </w:p>
    <w:p w14:paraId="364FC45F" w14:textId="77777777" w:rsidR="000E717F" w:rsidRPr="00405303" w:rsidRDefault="000E717F" w:rsidP="00C15251">
      <w:pPr>
        <w:shd w:val="clear" w:color="auto" w:fill="FFFFFF"/>
        <w:jc w:val="both"/>
        <w:rPr>
          <w:bCs/>
          <w:color w:val="002060"/>
          <w:sz w:val="16"/>
          <w:szCs w:val="16"/>
        </w:rPr>
      </w:pPr>
      <w:hyperlink r:id="rId26" w:anchor="_ftnref8" w:history="1">
        <w:r w:rsidRPr="00405303">
          <w:rPr>
            <w:rStyle w:val="ad"/>
            <w:bCs/>
            <w:color w:val="002060"/>
            <w:sz w:val="16"/>
            <w:szCs w:val="16"/>
          </w:rPr>
          <w:t>[8]</w:t>
        </w:r>
      </w:hyperlink>
      <w:r w:rsidRPr="00405303">
        <w:rPr>
          <w:bCs/>
          <w:color w:val="002060"/>
          <w:sz w:val="16"/>
          <w:szCs w:val="16"/>
        </w:rPr>
        <w:t xml:space="preserve"> В деле не имеется (15181).</w:t>
      </w:r>
    </w:p>
    <w:p w14:paraId="2D2D4CE6" w14:textId="77777777" w:rsidR="000E717F" w:rsidRPr="00405303" w:rsidRDefault="000E717F" w:rsidP="00C15251">
      <w:pPr>
        <w:shd w:val="clear" w:color="auto" w:fill="FFFFFF"/>
        <w:jc w:val="both"/>
        <w:rPr>
          <w:bCs/>
          <w:color w:val="002060"/>
          <w:sz w:val="16"/>
          <w:szCs w:val="16"/>
        </w:rPr>
      </w:pPr>
    </w:p>
    <w:p w14:paraId="3DEBEBF8" w14:textId="77777777" w:rsidR="004B4E35" w:rsidRPr="00405303" w:rsidRDefault="009E6F82" w:rsidP="00C15251">
      <w:pPr>
        <w:jc w:val="both"/>
        <w:rPr>
          <w:bCs/>
          <w:color w:val="002060"/>
          <w:sz w:val="16"/>
          <w:szCs w:val="16"/>
        </w:rPr>
      </w:pPr>
      <w:r w:rsidRPr="00405303">
        <w:rPr>
          <w:bCs/>
          <w:color w:val="002060"/>
          <w:sz w:val="16"/>
          <w:szCs w:val="16"/>
        </w:rPr>
        <w:t xml:space="preserve">В феврале 1915 г. с Канадской компанией был заключен договор на поставку следующих припасов. </w:t>
      </w:r>
    </w:p>
    <w:p w14:paraId="1EC86FD3" w14:textId="77777777" w:rsidR="004B4E35" w:rsidRPr="00405303" w:rsidRDefault="009E6F82" w:rsidP="00C15251">
      <w:pPr>
        <w:jc w:val="both"/>
        <w:rPr>
          <w:bCs/>
          <w:color w:val="002060"/>
          <w:sz w:val="16"/>
          <w:szCs w:val="16"/>
        </w:rPr>
      </w:pPr>
      <w:r w:rsidRPr="00405303">
        <w:rPr>
          <w:bCs/>
          <w:color w:val="002060"/>
          <w:sz w:val="16"/>
          <w:szCs w:val="16"/>
        </w:rPr>
        <w:t xml:space="preserve">3-дм гранатные патроны — 4.500.000, 3-дм шрапнельные патроны — 5.000.000 по цене за патрон 16 дол. 97 ц. и часть по 15 дол. 85 центов. </w:t>
      </w:r>
    </w:p>
    <w:p w14:paraId="0A76A641" w14:textId="77777777" w:rsidR="004B4E35" w:rsidRPr="00405303" w:rsidRDefault="009E6F82" w:rsidP="00C15251">
      <w:pPr>
        <w:jc w:val="both"/>
        <w:rPr>
          <w:bCs/>
          <w:color w:val="002060"/>
          <w:sz w:val="16"/>
          <w:szCs w:val="16"/>
        </w:rPr>
      </w:pPr>
      <w:r w:rsidRPr="00405303">
        <w:rPr>
          <w:bCs/>
          <w:color w:val="002060"/>
          <w:sz w:val="16"/>
          <w:szCs w:val="16"/>
        </w:rPr>
        <w:t xml:space="preserve">Контрактами предусмотрены были следующие сроки: начало сдачи в апреле 1915 г. и конец в январе 1916 года. За заказчиками оговорено право: за три месяца до окончания срока потребовать продолжение заказа в размере еще 3.000.000 патронов по той же цене. </w:t>
      </w:r>
    </w:p>
    <w:p w14:paraId="04D4D2B9" w14:textId="77777777" w:rsidR="004B4E35" w:rsidRPr="00405303" w:rsidRDefault="009E6F82" w:rsidP="00C15251">
      <w:pPr>
        <w:jc w:val="both"/>
        <w:rPr>
          <w:bCs/>
          <w:color w:val="002060"/>
          <w:sz w:val="16"/>
          <w:szCs w:val="16"/>
        </w:rPr>
      </w:pPr>
      <w:r w:rsidRPr="00405303">
        <w:rPr>
          <w:bCs/>
          <w:color w:val="002060"/>
          <w:sz w:val="16"/>
          <w:szCs w:val="16"/>
        </w:rPr>
        <w:t xml:space="preserve">Патрон состоял из следующих частей: корпус снаряда, орудийная гильза, бездымный порох, дистанционная трубка или взрыватель, взрывчатое вещество и капсюльная втулка. К кругу производственных работ, помимо изготовления указанных частей, относились снаряжательные работы. </w:t>
      </w:r>
    </w:p>
    <w:p w14:paraId="73A4C524" w14:textId="77777777" w:rsidR="004B4E35" w:rsidRPr="00405303" w:rsidRDefault="009E6F82" w:rsidP="00C15251">
      <w:pPr>
        <w:jc w:val="both"/>
        <w:rPr>
          <w:bCs/>
          <w:color w:val="002060"/>
          <w:sz w:val="16"/>
          <w:szCs w:val="16"/>
        </w:rPr>
      </w:pPr>
      <w:r w:rsidRPr="00405303">
        <w:rPr>
          <w:bCs/>
          <w:color w:val="002060"/>
          <w:sz w:val="16"/>
          <w:szCs w:val="16"/>
        </w:rPr>
        <w:t xml:space="preserve">Военное ведомство, заключая этот контракт, рассчитывало при помощи американского рынка в кратчайший срок восполнить острый недостаток в патронах полевой артиллерии, обнаружившийся уже в конце 1914 года. </w:t>
      </w:r>
    </w:p>
    <w:p w14:paraId="132BF04A" w14:textId="77777777" w:rsidR="004B4E35" w:rsidRPr="00405303" w:rsidRDefault="009E6F82" w:rsidP="00C15251">
      <w:pPr>
        <w:jc w:val="both"/>
        <w:rPr>
          <w:bCs/>
          <w:color w:val="002060"/>
          <w:sz w:val="16"/>
          <w:szCs w:val="16"/>
        </w:rPr>
      </w:pPr>
      <w:r w:rsidRPr="00405303">
        <w:rPr>
          <w:bCs/>
          <w:color w:val="002060"/>
          <w:sz w:val="16"/>
          <w:szCs w:val="16"/>
        </w:rPr>
        <w:t xml:space="preserve">Однако с первых же шагов пришлось убедиться в том, что эти надежды не имеют под собой достаточной почвы. </w:t>
      </w:r>
    </w:p>
    <w:p w14:paraId="17AE0440" w14:textId="77777777" w:rsidR="004B4E35" w:rsidRPr="00405303" w:rsidRDefault="009E6F82" w:rsidP="00C15251">
      <w:pPr>
        <w:jc w:val="both"/>
        <w:rPr>
          <w:bCs/>
          <w:color w:val="002060"/>
          <w:sz w:val="16"/>
          <w:szCs w:val="16"/>
        </w:rPr>
      </w:pPr>
      <w:r w:rsidRPr="00405303">
        <w:rPr>
          <w:bCs/>
          <w:color w:val="002060"/>
          <w:sz w:val="16"/>
          <w:szCs w:val="16"/>
        </w:rPr>
        <w:t xml:space="preserve">Как указано было выше, сдача патронов должна была начаться в апреле 1915 г., между тем в мае Канадская компания еще не приступила к производству этой работы, прежде всего ввиду финансовых затруднений. Компания не могла получить банковских гарантий в обеспечение выданных авансов, предусмотренных контрактом. Это было неудивительно, так как, беря заказ на 80 млн долларов, Компания располагала собственным капиталом всего лишь в 3 млн долларов. </w:t>
      </w:r>
    </w:p>
    <w:p w14:paraId="09E5DC07" w14:textId="77777777" w:rsidR="004B4E35" w:rsidRPr="00405303" w:rsidRDefault="009E6F82" w:rsidP="00C15251">
      <w:pPr>
        <w:jc w:val="both"/>
        <w:rPr>
          <w:bCs/>
          <w:color w:val="002060"/>
          <w:sz w:val="16"/>
          <w:szCs w:val="16"/>
        </w:rPr>
      </w:pPr>
      <w:r w:rsidRPr="00405303">
        <w:rPr>
          <w:bCs/>
          <w:color w:val="002060"/>
          <w:sz w:val="16"/>
          <w:szCs w:val="16"/>
        </w:rPr>
        <w:t xml:space="preserve">Ввиду указанных обстоятельств ГАУ вынуждено было пойти на уступки в вопросе об обеспечении авансов и даже соглашалось в крайнем случае не требовать никакого обеспечения, лишь бы не задерживать работу. Забегая несколько вперед, нужно указать, что дело с авансами продолжалось в таком роде и дальше, и через год Компания получила уже около 20 млн долларов ссуд, причем из них свыше 50% оставалось не покрытыми никакими обеспечениями, а остальная часть была покрыта обеспечениями сомнительного характера. При этих обстоятельствах Заготовительному комитету, понятно, приходилось уделять очень много внимания и финансовой стороне дела. </w:t>
      </w:r>
    </w:p>
    <w:p w14:paraId="5236A4AD" w14:textId="77777777" w:rsidR="004B4E35" w:rsidRPr="00405303" w:rsidRDefault="009E6F82" w:rsidP="00C15251">
      <w:pPr>
        <w:jc w:val="both"/>
        <w:rPr>
          <w:bCs/>
          <w:color w:val="002060"/>
          <w:sz w:val="16"/>
          <w:szCs w:val="16"/>
        </w:rPr>
      </w:pPr>
      <w:r w:rsidRPr="00405303">
        <w:rPr>
          <w:bCs/>
          <w:color w:val="002060"/>
          <w:sz w:val="16"/>
          <w:szCs w:val="16"/>
        </w:rPr>
        <w:t xml:space="preserve">Помимо задач и затруднений финансового характера, перед Заготовительным комитетом встал скоро длинный ряд вопросов технического и организационного характера. Для осуществления ближайшего и активного надзора за исполнением заказа, в Заготовительном комитете было учреждено Агентство Канадской компании. </w:t>
      </w:r>
    </w:p>
    <w:p w14:paraId="15585A2A" w14:textId="77777777" w:rsidR="004B4E35" w:rsidRPr="00405303" w:rsidRDefault="009E6F82" w:rsidP="00C15251">
      <w:pPr>
        <w:jc w:val="both"/>
        <w:rPr>
          <w:bCs/>
          <w:color w:val="002060"/>
          <w:sz w:val="16"/>
          <w:szCs w:val="16"/>
        </w:rPr>
      </w:pPr>
      <w:r w:rsidRPr="00405303">
        <w:rPr>
          <w:bCs/>
          <w:color w:val="002060"/>
          <w:sz w:val="16"/>
          <w:szCs w:val="16"/>
        </w:rPr>
        <w:t xml:space="preserve">Дело выполнения заказа на 3-лин. патроны Канадская компания организовала весьма сложным образом. Она объединяла группу численностью в 75 заводов, между которыми и было распределено исполнение отдельных частей патрона, то есть гильзы, корпуса, заряды, взрыватели, трубки и т. д. При этом одноименные части изготовлялись на нескольких заводах одновременно, так, например, гильзы — на шести заводах, снаряды — на 40 и т.д. Все эти заводы были разбросаны на большом пространстве по всей территории Канады и Соединенных Штатов. </w:t>
      </w:r>
    </w:p>
    <w:p w14:paraId="7987C483" w14:textId="77777777" w:rsidR="004B4E35" w:rsidRPr="00405303" w:rsidRDefault="009E6F82" w:rsidP="00C15251">
      <w:pPr>
        <w:jc w:val="both"/>
        <w:rPr>
          <w:bCs/>
          <w:color w:val="002060"/>
          <w:sz w:val="16"/>
          <w:szCs w:val="16"/>
        </w:rPr>
      </w:pPr>
      <w:r w:rsidRPr="00405303">
        <w:rPr>
          <w:bCs/>
          <w:color w:val="002060"/>
          <w:sz w:val="16"/>
          <w:szCs w:val="16"/>
        </w:rPr>
        <w:t xml:space="preserve">Состав субконтракторов был весьма пестрый. Обследование этой группы заводов, начатое в апреле 1915 г. русскими приемщиками, выяснило весьма печальную картину. Наряду с небольшим числом хорошо оборудованных заводов, большинство имело поношенное и мало подходящее для дела оборудование, а некоторых заводов, находящихся в списке субконтракторов, не оказалось вовсе, так как они находились либо в стадии постройки, либо существовали только в виде бумажных проектов. </w:t>
      </w:r>
    </w:p>
    <w:p w14:paraId="688ACBD3" w14:textId="77777777" w:rsidR="004B4E35" w:rsidRPr="00405303" w:rsidRDefault="009E6F82" w:rsidP="00C15251">
      <w:pPr>
        <w:jc w:val="both"/>
        <w:rPr>
          <w:bCs/>
          <w:color w:val="002060"/>
          <w:sz w:val="16"/>
          <w:szCs w:val="16"/>
        </w:rPr>
      </w:pPr>
      <w:r w:rsidRPr="00405303">
        <w:rPr>
          <w:bCs/>
          <w:color w:val="002060"/>
          <w:sz w:val="16"/>
          <w:szCs w:val="16"/>
        </w:rPr>
        <w:t xml:space="preserve">Но если не все заводы были равноценны по качеству оборудования, зато все были в одинаковой мере совершенно не подготовлены к выполнению тех технических задач, которые ставил им русский заказ. И хуже всего то, что многие заводы даже не были в состоянии понять серьезность и сложность этих задач. Благодаря всему этому с самого начала работы на большинстве заводов был сделан длинный ряд технических и административных ошибок, которые должны были неизбежно повлечь за собой самые тяжелые последствия как для заказчика, так и для контрагентов. </w:t>
      </w:r>
    </w:p>
    <w:p w14:paraId="2FBA4FC5" w14:textId="77777777" w:rsidR="004B4E35" w:rsidRPr="00405303" w:rsidRDefault="009E6F82" w:rsidP="00C15251">
      <w:pPr>
        <w:jc w:val="both"/>
        <w:rPr>
          <w:bCs/>
          <w:color w:val="002060"/>
          <w:sz w:val="16"/>
          <w:szCs w:val="16"/>
        </w:rPr>
      </w:pPr>
      <w:r w:rsidRPr="00405303">
        <w:rPr>
          <w:bCs/>
          <w:color w:val="002060"/>
          <w:sz w:val="16"/>
          <w:szCs w:val="16"/>
        </w:rPr>
        <w:t xml:space="preserve">К указанным неблагоприятным обстоятельствам необходимо прибавить еще ряд других, лежавших уже вне завода, которые тоже в сильнейшей мере осложняли дело. Сюда надо отнести недостаток на бирже опытных рабочих, в особенности инструментальщиков, недостаток инженеров, опытных в военном производстве, затруднения в получении на рынке некоторых патронных металлов и т.д. </w:t>
      </w:r>
    </w:p>
    <w:p w14:paraId="1993048C" w14:textId="77777777" w:rsidR="004B4E35" w:rsidRPr="00405303" w:rsidRDefault="009E6F82" w:rsidP="00C15251">
      <w:pPr>
        <w:jc w:val="both"/>
        <w:rPr>
          <w:bCs/>
          <w:color w:val="002060"/>
          <w:sz w:val="16"/>
          <w:szCs w:val="16"/>
        </w:rPr>
      </w:pPr>
      <w:r w:rsidRPr="00405303">
        <w:rPr>
          <w:bCs/>
          <w:color w:val="002060"/>
          <w:sz w:val="16"/>
          <w:szCs w:val="16"/>
        </w:rPr>
        <w:t xml:space="preserve">Таким образом, по всему фронту канадских заказов дело начиналось под знаком весьма неблагоприятных ауспиций. </w:t>
      </w:r>
    </w:p>
    <w:p w14:paraId="38222961" w14:textId="77777777" w:rsidR="004B4E35" w:rsidRPr="00405303" w:rsidRDefault="009E6F82" w:rsidP="00C15251">
      <w:pPr>
        <w:jc w:val="both"/>
        <w:rPr>
          <w:bCs/>
          <w:color w:val="002060"/>
          <w:sz w:val="16"/>
          <w:szCs w:val="16"/>
        </w:rPr>
      </w:pPr>
      <w:r w:rsidRPr="00405303">
        <w:rPr>
          <w:bCs/>
          <w:color w:val="002060"/>
          <w:sz w:val="16"/>
          <w:szCs w:val="16"/>
        </w:rPr>
        <w:t xml:space="preserve">Выше было указано, что сдача изделий должна была начаться в апреле 1915 года. Но к этому сроку ни один завод не начал производства и выпуска изделий. Больше того, ряд заводов не начал фабрикации даже к концу 1915 г., когда заказы по контракту уже должны были быть совершенно закончены. Так, например, пять заводов, имевших суммарно заказ в 2 800 000 гильз, то есть 50% всего заказа, не выпустили в 1915 г. ни одной гильзы. </w:t>
      </w:r>
    </w:p>
    <w:p w14:paraId="119A42C3" w14:textId="77777777" w:rsidR="004B4E35" w:rsidRPr="00405303" w:rsidRDefault="009E6F82" w:rsidP="00C15251">
      <w:pPr>
        <w:jc w:val="both"/>
        <w:rPr>
          <w:bCs/>
          <w:color w:val="002060"/>
          <w:sz w:val="16"/>
          <w:szCs w:val="16"/>
        </w:rPr>
      </w:pPr>
      <w:r w:rsidRPr="00405303">
        <w:rPr>
          <w:bCs/>
          <w:color w:val="002060"/>
          <w:sz w:val="16"/>
          <w:szCs w:val="16"/>
        </w:rPr>
        <w:t xml:space="preserve">Но среди всех деталей патронов наибольшую трудность вызвала установка производства дистанционных трубок. И это было самое больное место всего дела, где была скрыта постоянная угроза полного срыва всего заказа. </w:t>
      </w:r>
    </w:p>
    <w:p w14:paraId="65FFE21E" w14:textId="77777777" w:rsidR="004B4E35" w:rsidRPr="00405303" w:rsidRDefault="009E6F82" w:rsidP="00C15251">
      <w:pPr>
        <w:jc w:val="both"/>
        <w:rPr>
          <w:bCs/>
          <w:color w:val="002060"/>
          <w:sz w:val="16"/>
          <w:szCs w:val="16"/>
        </w:rPr>
      </w:pPr>
      <w:r w:rsidRPr="00405303">
        <w:rPr>
          <w:bCs/>
          <w:color w:val="002060"/>
          <w:sz w:val="16"/>
          <w:szCs w:val="16"/>
        </w:rPr>
        <w:t xml:space="preserve">По истечении некоторого времени Заготовительный комитет вынужден был потребовать от Канадской компании исключить из ее состава некоторых наиболее неисправных субконтракторов и заменить их новыми. </w:t>
      </w:r>
    </w:p>
    <w:p w14:paraId="24928A58" w14:textId="77777777" w:rsidR="004B4E35" w:rsidRPr="00405303" w:rsidRDefault="009E6F82" w:rsidP="00C15251">
      <w:pPr>
        <w:jc w:val="both"/>
        <w:rPr>
          <w:bCs/>
          <w:color w:val="002060"/>
          <w:sz w:val="16"/>
          <w:szCs w:val="16"/>
        </w:rPr>
      </w:pPr>
      <w:r w:rsidRPr="00405303">
        <w:rPr>
          <w:bCs/>
          <w:color w:val="002060"/>
          <w:sz w:val="16"/>
          <w:szCs w:val="16"/>
        </w:rPr>
        <w:t xml:space="preserve">Нужно отметить, что русские приемщики приложили самые отчаянные усилия, чтобы спасти дело, и непрерывно помогали заводам своими советами и хорошим знанием дела. Приемная инспекция имела в своем составе больше опытных специалистов в области боеприпасов, чем оружейников. В отчете о деятельности Заготовительного комитета это обстоятельство отмечено в следующей весьма категорической форме: "Можно без преувеличения сказать, что производство у субконтракторов Канадской компании было целиком поставлено русскими приемщиками, и, как это ни кажется парадоксальным, русские техники явились учителями американских". </w:t>
      </w:r>
    </w:p>
    <w:p w14:paraId="24D20599" w14:textId="77777777" w:rsidR="004B4E35" w:rsidRPr="00405303" w:rsidRDefault="009E6F82" w:rsidP="00C15251">
      <w:pPr>
        <w:jc w:val="both"/>
        <w:rPr>
          <w:bCs/>
          <w:color w:val="002060"/>
          <w:sz w:val="16"/>
          <w:szCs w:val="16"/>
        </w:rPr>
      </w:pPr>
      <w:r w:rsidRPr="00405303">
        <w:rPr>
          <w:bCs/>
          <w:color w:val="002060"/>
          <w:sz w:val="16"/>
          <w:szCs w:val="16"/>
        </w:rPr>
        <w:t xml:space="preserve">Это обстоятельство не мешало, впрочем, Канадской компании первое время относиться к русским приемщикам самым враждебным образом. Такое отношение в значительной мере объясняется тем, что американские заводы сразу встретили со стороны русских приемщиков определенные и настойчивые требования в отношении качества изделий, в то время как контрагенты рассчитывали, что можно будет по русским заказам сдавать что попало. Все свои неудачи в производстве американцы неизменно объясняли жесткостью и повышенностью требований русской инспекции и недостаточностью ее компетенции. </w:t>
      </w:r>
    </w:p>
    <w:p w14:paraId="282D77D4" w14:textId="77777777" w:rsidR="004B4E35" w:rsidRPr="00405303" w:rsidRDefault="009E6F82" w:rsidP="00C15251">
      <w:pPr>
        <w:jc w:val="both"/>
        <w:rPr>
          <w:bCs/>
          <w:color w:val="002060"/>
          <w:sz w:val="16"/>
          <w:szCs w:val="16"/>
        </w:rPr>
      </w:pPr>
      <w:r w:rsidRPr="00405303">
        <w:rPr>
          <w:bCs/>
          <w:color w:val="002060"/>
          <w:sz w:val="16"/>
          <w:szCs w:val="16"/>
        </w:rPr>
        <w:t xml:space="preserve">В то же время нужно определенно сказать, что требования, предъявляемые к американским изделиям, были в значительной мере ослаблены против тех, которые обычно предъявлялись в России к ее отечественной военной продукции. В подтверждение этого можно привести ту инструкцию, которую получил от начальника Главного артиллерийского управления председатель Заготовительного комитета: "Обстоятельства настоящей войны требуют совершенно иных, чем в мирное время, оснований для приема готовых изделий, и поэтому предписываю: 1) при приеме изделий предъявлять к ним только такие требования, которые вытекают из их боевого назначения; 2) принимать меры к устранению задержек и замедлений в приеме и испытаниях предметов заказа, давая соответствующие указания приемщикам и не стесняя их в деталях, а лишь направляя их деятельность к конечной цели — получить нужные для ведения войны предметы; 3) не добиваться усовершенствований в удовлетворительных в боевом отношении изделиях в ущерб быстроте их заготовления. Для успешности выполнения поручений рекомендую также: а) установить обмен мнений между приемщиками в целях совместной выработки мероприятий, способствующих успеху дела и клонящихся к устранению задержек и упрощению приема; б) широко использовать право отступать от инструкции мирного времени при получении уверенности в боевой пригодности изделий, предъявляя лишь такие требования, при несоблюдении которых изделия теряют служебную ценность". </w:t>
      </w:r>
    </w:p>
    <w:p w14:paraId="735AD129" w14:textId="77777777" w:rsidR="004B4E35" w:rsidRPr="00405303" w:rsidRDefault="009E6F82" w:rsidP="00C15251">
      <w:pPr>
        <w:jc w:val="both"/>
        <w:rPr>
          <w:bCs/>
          <w:color w:val="002060"/>
          <w:sz w:val="16"/>
          <w:szCs w:val="16"/>
        </w:rPr>
      </w:pPr>
      <w:r w:rsidRPr="00405303">
        <w:rPr>
          <w:bCs/>
          <w:color w:val="002060"/>
          <w:sz w:val="16"/>
          <w:szCs w:val="16"/>
        </w:rPr>
        <w:t xml:space="preserve">Эта инструкция умышленно не была оглашена американцам, дабы не вводить их в соблазн еще более понижать и без того низкое качество изделий. </w:t>
      </w:r>
    </w:p>
    <w:p w14:paraId="7E17073B" w14:textId="77777777" w:rsidR="004B4E35" w:rsidRPr="00405303" w:rsidRDefault="009E6F82" w:rsidP="00C15251">
      <w:pPr>
        <w:jc w:val="both"/>
        <w:rPr>
          <w:bCs/>
          <w:color w:val="002060"/>
          <w:sz w:val="16"/>
          <w:szCs w:val="16"/>
        </w:rPr>
      </w:pPr>
      <w:r w:rsidRPr="00405303">
        <w:rPr>
          <w:bCs/>
          <w:color w:val="002060"/>
          <w:sz w:val="16"/>
          <w:szCs w:val="16"/>
        </w:rPr>
        <w:t xml:space="preserve">Что поражает в контрактах, заключенных военным ведомством с Канадской компанией, это исключительная краткость сроков, назначенных для постановки целого ряда трудных и сложных производств — трубочного, снарядного, гильзового, порохового и пр. Так, например, для Канадской компании было дано на установку производств всего лишь три месяца. </w:t>
      </w:r>
    </w:p>
    <w:p w14:paraId="547D4DA8" w14:textId="77777777" w:rsidR="004B4E35" w:rsidRPr="00405303" w:rsidRDefault="009E6F82" w:rsidP="00C15251">
      <w:pPr>
        <w:jc w:val="both"/>
        <w:rPr>
          <w:bCs/>
          <w:color w:val="002060"/>
          <w:sz w:val="16"/>
          <w:szCs w:val="16"/>
        </w:rPr>
      </w:pPr>
      <w:r w:rsidRPr="00405303">
        <w:rPr>
          <w:bCs/>
          <w:color w:val="002060"/>
          <w:sz w:val="16"/>
          <w:szCs w:val="16"/>
        </w:rPr>
        <w:t xml:space="preserve">Здесь, без сомнения, имело место колоссальное заблуждение обеих договаривающихся сторон, поскольку одна давала такие сроки, а другая их принимала. Поэтому нет ничего удивительного в том, что выполнение заказов с места стало сильнейшим образом затягиваться. </w:t>
      </w:r>
    </w:p>
    <w:p w14:paraId="6618FD2C"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К началу 1916 г. опоздание было настолько сильно, что у Комитета возник вопрос, не прекратить ли работу Компании, аннулировав контракт. Канадская компания отнюдь не была склонна к этому, и, чтобы улучшить ход дела, признано было своевременным в качестве чрезвычайной меры учредить в январе 1916 г. Агентство Канадской компании. Это Агентство не уничтожало самой Компании, но учреждалось в качестве вспомогательного органа, при посредстве которого Комитет имел возможность с большим успехом осуществлять контроль над деятельностью Канадской компании. Вместе с тем Заготовительный комитет потребовал, чтобы директор Компании был заменен новым. </w:t>
      </w:r>
    </w:p>
    <w:p w14:paraId="67B56456" w14:textId="77777777" w:rsidR="004B4E35" w:rsidRPr="00405303" w:rsidRDefault="009E6F82" w:rsidP="00C15251">
      <w:pPr>
        <w:jc w:val="both"/>
        <w:rPr>
          <w:bCs/>
          <w:color w:val="002060"/>
          <w:sz w:val="16"/>
          <w:szCs w:val="16"/>
        </w:rPr>
      </w:pPr>
      <w:r w:rsidRPr="00405303">
        <w:rPr>
          <w:bCs/>
          <w:color w:val="002060"/>
          <w:sz w:val="16"/>
          <w:szCs w:val="16"/>
        </w:rPr>
        <w:t xml:space="preserve">8 марта 1916 г. с Канадской компанией был заключен дополнительный контракт, вносивший некоторые изменения в основной контракт. Конечно, прежде всего существовавшие контрактные сроки были заменены нижеследующими новыми, причем начальный срок сдачи заказа был отодвинут на 8 месяцев, а финальный на 9 месяцев. </w:t>
      </w:r>
    </w:p>
    <w:p w14:paraId="34D731E7" w14:textId="77777777" w:rsidR="004B4E35" w:rsidRPr="00405303" w:rsidRDefault="009E6F82" w:rsidP="00C15251">
      <w:pPr>
        <w:jc w:val="both"/>
        <w:rPr>
          <w:bCs/>
          <w:color w:val="002060"/>
          <w:sz w:val="16"/>
          <w:szCs w:val="16"/>
        </w:rPr>
      </w:pPr>
      <w:r w:rsidRPr="00405303">
        <w:rPr>
          <w:bCs/>
          <w:color w:val="002060"/>
          <w:sz w:val="16"/>
          <w:szCs w:val="16"/>
        </w:rPr>
        <w:t xml:space="preserve">Изменение сроков являлось со стороны Заготовительного комитета, конечно, вполне вынужденным, так как подобного рода передвижка сроков в корне нарушала все расчеты русского военного ведомства в отношении развития военных действий. Действительно, заказанные 5 млн выстрелов ожидались в России к весне 1916 г. с тем, чтобы использовать их в летнюю кампанию этого года. Но при новых сроках к весне могла попасть в Россию лишь небольшая часть заказа. Главная масса его изготовлялась лишь к осени и в Россию могла попасть лишь весной 1917 года. </w:t>
      </w:r>
    </w:p>
    <w:p w14:paraId="3EA22BA8" w14:textId="77777777" w:rsidR="004B4E35" w:rsidRPr="00405303" w:rsidRDefault="009E6F82" w:rsidP="00C15251">
      <w:pPr>
        <w:jc w:val="both"/>
        <w:rPr>
          <w:bCs/>
          <w:color w:val="002060"/>
          <w:sz w:val="16"/>
          <w:szCs w:val="16"/>
        </w:rPr>
      </w:pPr>
      <w:r w:rsidRPr="00405303">
        <w:rPr>
          <w:bCs/>
          <w:color w:val="002060"/>
          <w:sz w:val="16"/>
          <w:szCs w:val="16"/>
        </w:rPr>
        <w:t xml:space="preserve">Однако и новые сроки, удлиненные почти на год, судя по ходу работ на заводах, не внушали серьезного доверия, </w:t>
      </w:r>
      <w:proofErr w:type="gramStart"/>
      <w:r w:rsidRPr="00405303">
        <w:rPr>
          <w:bCs/>
          <w:color w:val="002060"/>
          <w:sz w:val="16"/>
          <w:szCs w:val="16"/>
        </w:rPr>
        <w:t>хотя согласно новому контракту</w:t>
      </w:r>
      <w:proofErr w:type="gramEnd"/>
      <w:r w:rsidRPr="00405303">
        <w:rPr>
          <w:bCs/>
          <w:color w:val="002060"/>
          <w:sz w:val="16"/>
          <w:szCs w:val="16"/>
        </w:rPr>
        <w:t xml:space="preserve"> были установлены суровые неустойки за опоздание. Канцелировать же заказ по целому ряду причин представлялось невозможным: во-первых, война затягивалась и острая потребность в снарядах продолжала оставаться в силе. Во-вторых, прекращение контрактов равносильно было бы банкротству Канадской компании, при коем, естественно, страдало бы в сильнейшей мере русское правительство, выдавшее крупные авансы без достаточного обеспечения. </w:t>
      </w:r>
    </w:p>
    <w:p w14:paraId="6E71A378" w14:textId="77777777" w:rsidR="004B4E35" w:rsidRPr="00405303" w:rsidRDefault="009E6F82" w:rsidP="00C15251">
      <w:pPr>
        <w:jc w:val="both"/>
        <w:rPr>
          <w:bCs/>
          <w:color w:val="002060"/>
          <w:sz w:val="16"/>
          <w:szCs w:val="16"/>
        </w:rPr>
      </w:pPr>
      <w:r w:rsidRPr="00405303">
        <w:rPr>
          <w:bCs/>
          <w:color w:val="002060"/>
          <w:sz w:val="16"/>
          <w:szCs w:val="16"/>
        </w:rPr>
        <w:t xml:space="preserve">Независимо от сказанного, британское правительство, с своей стороны, самым энергичным образом протестовало против всяких попыток не только канцеляции заказа, но даже и просто энергичного нажима на Компанию. Во всех спорах британское правительство всегда становилось на сторону Канадской компании. Это происходило, с одной стороны, потому, что в случае краха Компании британское правительство также рисковало большими потерями. С другой — оно имело в виду поддерживать наилучшие отношения с американскими фирмами, которые выполнили громадные заказы для самой Англии. </w:t>
      </w:r>
    </w:p>
    <w:p w14:paraId="189931D3" w14:textId="77777777" w:rsidR="004B4E35" w:rsidRPr="00405303" w:rsidRDefault="009E6F82" w:rsidP="00C15251">
      <w:pPr>
        <w:jc w:val="both"/>
        <w:rPr>
          <w:bCs/>
          <w:color w:val="002060"/>
          <w:sz w:val="16"/>
          <w:szCs w:val="16"/>
        </w:rPr>
      </w:pPr>
      <w:r w:rsidRPr="00405303">
        <w:rPr>
          <w:bCs/>
          <w:color w:val="002060"/>
          <w:sz w:val="16"/>
          <w:szCs w:val="16"/>
        </w:rPr>
        <w:t xml:space="preserve">Смена технического директора Компании не внесла ожидаемого улучшения в дела, которые шли по-прежнему весьма малоуспешно. В марте 1916 г. председатель Заготовительного комитета доносил военному ведомству, что на выполнение удлиненных сроков также нет никакой надежды. Атмосфера, создавшаяся во всем деле, была исключительно тяжелой. У Компании шла непрерывная распря с русской инспекцией. Компания сознавала свою техническую несостоятельность и, не желая признаться в ней, всяческим образом пыталась все свои неудачи свалить на строгость и придирчивость инспекции. Комитет в этом деле оказался в весьма беспомощном положении, так как взять сколько-нибудь строгий курс по отношению к Компании, по причинам, изложенным выше, он был лишен возможности. </w:t>
      </w:r>
    </w:p>
    <w:p w14:paraId="48192F9D" w14:textId="77777777" w:rsidR="004B4E35" w:rsidRPr="00405303" w:rsidRDefault="009E6F82" w:rsidP="00C15251">
      <w:pPr>
        <w:jc w:val="both"/>
        <w:rPr>
          <w:bCs/>
          <w:color w:val="002060"/>
          <w:sz w:val="16"/>
          <w:szCs w:val="16"/>
        </w:rPr>
      </w:pPr>
      <w:r w:rsidRPr="00405303">
        <w:rPr>
          <w:bCs/>
          <w:color w:val="002060"/>
          <w:sz w:val="16"/>
          <w:szCs w:val="16"/>
        </w:rPr>
        <w:t xml:space="preserve">Между там время уходило, производство налаживалось медленно, и летом 1916 г. стало ясно, что и новые удлиненные сроки выполнены не будут. Вновь встал вопрос, как же быть дальше. Одно время возникла мысль передать ведение всем делом исключительно в ведение британского правительства, подобно тому, как это имело место по отношению к моргановским заказам. Но эта мысль осуществлена не была. </w:t>
      </w:r>
    </w:p>
    <w:p w14:paraId="09446A36" w14:textId="77777777" w:rsidR="004B4E35" w:rsidRPr="00405303" w:rsidRDefault="009E6F82" w:rsidP="00C15251">
      <w:pPr>
        <w:jc w:val="both"/>
        <w:rPr>
          <w:bCs/>
          <w:color w:val="002060"/>
          <w:sz w:val="16"/>
          <w:szCs w:val="16"/>
        </w:rPr>
      </w:pPr>
      <w:r w:rsidRPr="00405303">
        <w:rPr>
          <w:bCs/>
          <w:color w:val="002060"/>
          <w:sz w:val="16"/>
          <w:szCs w:val="16"/>
        </w:rPr>
        <w:t xml:space="preserve">В итоге долгих переговоров и обсуждений был, наконец, заключен с Компанией второй дополнительный контракт от 1 августа 1916 года. Вся сущность нового контракта сводилась к дальнейшей отсрочке заказов, а затем был введен еще новый принцип сдачи заказа не в форме комплектных патронов, а отдельных деталей патронов. </w:t>
      </w:r>
    </w:p>
    <w:p w14:paraId="20AB5ABB" w14:textId="77777777" w:rsidR="004B4E35" w:rsidRPr="00405303" w:rsidRDefault="009E6F82" w:rsidP="00C15251">
      <w:pPr>
        <w:jc w:val="both"/>
        <w:rPr>
          <w:bCs/>
          <w:color w:val="002060"/>
          <w:sz w:val="16"/>
          <w:szCs w:val="16"/>
        </w:rPr>
      </w:pPr>
      <w:r w:rsidRPr="00405303">
        <w:rPr>
          <w:bCs/>
          <w:color w:val="002060"/>
          <w:sz w:val="16"/>
          <w:szCs w:val="16"/>
        </w:rPr>
        <w:t xml:space="preserve">Новыми сроками назначены были следующие: сдача шрапнельных патронов по частям должна была быть закончена к 1 ноября 1916 г., а сборка этих патронов — к 1 декабря того же года. Гранатные же патроны должны были быть собраны к 1 января 1917 года. </w:t>
      </w:r>
    </w:p>
    <w:p w14:paraId="68C48BDA" w14:textId="77777777" w:rsidR="004B4E35" w:rsidRPr="00405303" w:rsidRDefault="009E6F82" w:rsidP="00C15251">
      <w:pPr>
        <w:jc w:val="both"/>
        <w:rPr>
          <w:bCs/>
          <w:color w:val="002060"/>
          <w:sz w:val="16"/>
          <w:szCs w:val="16"/>
        </w:rPr>
      </w:pPr>
      <w:r w:rsidRPr="00405303">
        <w:rPr>
          <w:bCs/>
          <w:color w:val="002060"/>
          <w:sz w:val="16"/>
          <w:szCs w:val="16"/>
        </w:rPr>
        <w:t xml:space="preserve">Заказ по-прежнему продолжал протекать под знаком трений с инспекцией, непрерывных обращений за ссудами и неполадок, технических и административных, в работе Компании. </w:t>
      </w:r>
    </w:p>
    <w:p w14:paraId="573614D1" w14:textId="77777777" w:rsidR="004B4E35" w:rsidRPr="00405303" w:rsidRDefault="009E6F82" w:rsidP="00C15251">
      <w:pPr>
        <w:jc w:val="both"/>
        <w:rPr>
          <w:bCs/>
          <w:color w:val="002060"/>
          <w:sz w:val="16"/>
          <w:szCs w:val="16"/>
        </w:rPr>
      </w:pPr>
      <w:r w:rsidRPr="00405303">
        <w:rPr>
          <w:bCs/>
          <w:color w:val="002060"/>
          <w:sz w:val="16"/>
          <w:szCs w:val="16"/>
        </w:rPr>
        <w:t xml:space="preserve">К 1 января 1917 г., наконец, все количество контрактных изделий было закончено, за исключением небольшой партии дистанционных трубок, забракованных при приеме. </w:t>
      </w:r>
    </w:p>
    <w:p w14:paraId="50C981F9" w14:textId="77777777" w:rsidR="004B4E35" w:rsidRPr="00405303" w:rsidRDefault="009E6F82" w:rsidP="00C15251">
      <w:pPr>
        <w:jc w:val="both"/>
        <w:rPr>
          <w:bCs/>
          <w:color w:val="002060"/>
          <w:sz w:val="16"/>
          <w:szCs w:val="16"/>
        </w:rPr>
      </w:pPr>
      <w:r w:rsidRPr="00405303">
        <w:rPr>
          <w:bCs/>
          <w:color w:val="002060"/>
          <w:sz w:val="16"/>
          <w:szCs w:val="16"/>
        </w:rPr>
        <w:t xml:space="preserve">Вместе с тем было приступлено к выработке условий ликвидации заказов. Соглашение относительно ликвидации состоялось 3 января 1917 года. </w:t>
      </w:r>
    </w:p>
    <w:p w14:paraId="5D8C0473" w14:textId="77777777" w:rsidR="004B4E35" w:rsidRPr="00405303" w:rsidRDefault="009E6F82" w:rsidP="00C15251">
      <w:pPr>
        <w:jc w:val="both"/>
        <w:rPr>
          <w:bCs/>
          <w:color w:val="002060"/>
          <w:sz w:val="16"/>
          <w:szCs w:val="16"/>
        </w:rPr>
      </w:pPr>
      <w:r w:rsidRPr="00405303">
        <w:rPr>
          <w:bCs/>
          <w:color w:val="002060"/>
          <w:sz w:val="16"/>
          <w:szCs w:val="16"/>
        </w:rPr>
        <w:t xml:space="preserve">Между тем в 1916 г., ввиду колоссальной отправки военных грузов из Америки по различным адресам возникло серьезное затруднение с транспортом. Во второй половине 1916 г. уже стало весьма затруднительно получать необходимый тоннаж, а заводы к этому времени развернули свою работу и выпускали уже в весьма крупном количестве изделия. Таким образом стало скопляться большое количество заказанных изделий, хранение коих вызывало большие затруднения, тем более что изделия эти были огнеопасные. Чтобы организовать надлежащее хранение, Заготовительный комитет летом 1916 г. заарендовал у Канадской компании завод в Кингсленде, каковой и обратил в склад. </w:t>
      </w:r>
    </w:p>
    <w:p w14:paraId="5F938532" w14:textId="77777777" w:rsidR="004B4E35" w:rsidRPr="00405303" w:rsidRDefault="009E6F82" w:rsidP="00C15251">
      <w:pPr>
        <w:jc w:val="both"/>
        <w:rPr>
          <w:bCs/>
          <w:color w:val="002060"/>
          <w:sz w:val="16"/>
          <w:szCs w:val="16"/>
        </w:rPr>
      </w:pPr>
      <w:r w:rsidRPr="00405303">
        <w:rPr>
          <w:bCs/>
          <w:color w:val="002060"/>
          <w:sz w:val="16"/>
          <w:szCs w:val="16"/>
        </w:rPr>
        <w:t xml:space="preserve">Указанное выше ликвидационное соглашение было разработано после длительных и жестоких споров, и в итоге Заготовительному комитету представлялась возможность благополучно завершить дело, столь сложное и запутанное в смысле финансовых и экономических взаимоотношений сторон, каким был канадский заказ. </w:t>
      </w:r>
    </w:p>
    <w:p w14:paraId="3969ABB4" w14:textId="77777777" w:rsidR="004B4E35" w:rsidRPr="00405303" w:rsidRDefault="009E6F82" w:rsidP="00C15251">
      <w:pPr>
        <w:jc w:val="both"/>
        <w:rPr>
          <w:bCs/>
          <w:color w:val="002060"/>
          <w:sz w:val="16"/>
          <w:szCs w:val="16"/>
        </w:rPr>
      </w:pPr>
      <w:r w:rsidRPr="00405303">
        <w:rPr>
          <w:bCs/>
          <w:color w:val="002060"/>
          <w:sz w:val="16"/>
          <w:szCs w:val="16"/>
        </w:rPr>
        <w:t xml:space="preserve">Однако этому благополучию не суждено было осуществиться: 11 января 1917 г. на заводе Кингсленд произошел страшный взрыв, разрушивший до основания завод, причем погибло большое количество имущества. К большому удивлению, этот взрыв, разрушивший завод, обошелся без человеческих жертв, зато погибло большое количество имущества. Договорные условия устанавливали ответственность за сохранность имущества в течение первых двух недель за Обществом, а на дальнейшее время за Заготовительным комитетом. </w:t>
      </w:r>
    </w:p>
    <w:p w14:paraId="25ECD862" w14:textId="77777777" w:rsidR="004B4E35" w:rsidRPr="00405303" w:rsidRDefault="009E6F82" w:rsidP="00C15251">
      <w:pPr>
        <w:jc w:val="both"/>
        <w:rPr>
          <w:bCs/>
          <w:color w:val="002060"/>
          <w:sz w:val="16"/>
          <w:szCs w:val="16"/>
        </w:rPr>
      </w:pPr>
      <w:r w:rsidRPr="00405303">
        <w:rPr>
          <w:bCs/>
          <w:color w:val="002060"/>
          <w:sz w:val="16"/>
          <w:szCs w:val="16"/>
        </w:rPr>
        <w:t xml:space="preserve">Из имущества, которое лежало на ответственности Комитета, погибло на сумму 5 230 000 долларов, а именно: 225 000 снаряженных гранат, 52 000 взрывателей, 225 000 гильз, 440 000 дистанционных трубок и большое количество разных мелких изделий. Частей, находящихся на ответственности Канадской компании, погибло на 4 800 000 долларов. Таким образом, погибло боевых припасов на сумму до 10 млн долларов. </w:t>
      </w:r>
    </w:p>
    <w:p w14:paraId="0A35DFBA" w14:textId="77777777" w:rsidR="004B4E35" w:rsidRPr="00405303" w:rsidRDefault="009E6F82" w:rsidP="00C15251">
      <w:pPr>
        <w:jc w:val="both"/>
        <w:rPr>
          <w:bCs/>
          <w:color w:val="002060"/>
          <w:sz w:val="16"/>
          <w:szCs w:val="16"/>
        </w:rPr>
      </w:pPr>
      <w:r w:rsidRPr="00405303">
        <w:rPr>
          <w:bCs/>
          <w:color w:val="002060"/>
          <w:sz w:val="16"/>
          <w:szCs w:val="16"/>
        </w:rPr>
        <w:t xml:space="preserve">Взрыв внес новые осложнения во взаимоотношения сторон, почему возникла необходимость вновь пересмотреть ликвидационное соглашение, что и было сделано к 25 января. </w:t>
      </w:r>
    </w:p>
    <w:p w14:paraId="4FD497EB" w14:textId="77777777" w:rsidR="004B4E35" w:rsidRPr="00405303" w:rsidRDefault="009E6F82" w:rsidP="00C15251">
      <w:pPr>
        <w:jc w:val="both"/>
        <w:rPr>
          <w:bCs/>
          <w:color w:val="002060"/>
          <w:sz w:val="16"/>
          <w:szCs w:val="16"/>
        </w:rPr>
      </w:pPr>
      <w:r w:rsidRPr="00405303">
        <w:rPr>
          <w:bCs/>
          <w:color w:val="002060"/>
          <w:sz w:val="16"/>
          <w:szCs w:val="16"/>
        </w:rPr>
        <w:t>В итоге всех необычайно сложных расчетов между Канадской компанией и Заготовительным комитетом России, канадский заказ был закончен с финальным убытком в 6 846 000 долларов и с опозданием сдачи заказа более чем на год против первоначальных сроков (11329).</w:t>
      </w:r>
    </w:p>
    <w:p w14:paraId="29D4F8CD" w14:textId="77777777" w:rsidR="004B4E35" w:rsidRPr="00405303" w:rsidRDefault="004B4E35" w:rsidP="00C15251">
      <w:pPr>
        <w:shd w:val="clear" w:color="auto" w:fill="FFFFFF"/>
        <w:jc w:val="both"/>
        <w:rPr>
          <w:bCs/>
          <w:i/>
          <w:color w:val="002060"/>
          <w:sz w:val="16"/>
          <w:szCs w:val="16"/>
        </w:rPr>
      </w:pPr>
    </w:p>
    <w:p w14:paraId="6A598F8F"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08E55EE8" w14:textId="77777777" w:rsidR="004B4E35" w:rsidRPr="00405303" w:rsidRDefault="004B4E35" w:rsidP="00C15251">
      <w:pPr>
        <w:jc w:val="both"/>
        <w:rPr>
          <w:bCs/>
          <w:i/>
          <w:color w:val="002060"/>
          <w:sz w:val="16"/>
          <w:szCs w:val="16"/>
        </w:rPr>
      </w:pPr>
    </w:p>
    <w:p w14:paraId="6276AAB8" w14:textId="1FE6B5F0" w:rsidR="004B4E35" w:rsidRPr="00405303" w:rsidRDefault="009E6F82" w:rsidP="00C15251">
      <w:pPr>
        <w:jc w:val="both"/>
        <w:rPr>
          <w:bCs/>
          <w:color w:val="002060"/>
          <w:sz w:val="16"/>
          <w:szCs w:val="16"/>
        </w:rPr>
      </w:pPr>
      <w:r w:rsidRPr="00405303">
        <w:rPr>
          <w:bCs/>
          <w:color w:val="002060"/>
          <w:sz w:val="16"/>
          <w:szCs w:val="16"/>
        </w:rPr>
        <w:t xml:space="preserve">В феврале 1915 года с помощью </w:t>
      </w:r>
      <w:r w:rsidR="00AF667C" w:rsidRPr="00405303">
        <w:rPr>
          <w:bCs/>
          <w:color w:val="002060"/>
          <w:sz w:val="16"/>
          <w:szCs w:val="16"/>
        </w:rPr>
        <w:t xml:space="preserve">авиационных передаточных радиостанций </w:t>
      </w:r>
      <w:r w:rsidRPr="00405303">
        <w:rPr>
          <w:bCs/>
          <w:color w:val="002060"/>
          <w:sz w:val="16"/>
          <w:szCs w:val="16"/>
        </w:rPr>
        <w:t>был проведен ряд удачных испытательных стрельб. С этого времени совместная работа авиации с артиллерией стала одной из важнейших задач (11282).</w:t>
      </w:r>
    </w:p>
    <w:p w14:paraId="7D8036C6" w14:textId="77777777" w:rsidR="004B4E35" w:rsidRPr="00405303" w:rsidRDefault="004B4E35" w:rsidP="00C15251">
      <w:pPr>
        <w:jc w:val="both"/>
        <w:rPr>
          <w:bCs/>
          <w:color w:val="002060"/>
          <w:sz w:val="16"/>
          <w:szCs w:val="16"/>
        </w:rPr>
      </w:pPr>
    </w:p>
    <w:p w14:paraId="3AC23348" w14:textId="77777777" w:rsidR="004B4E35" w:rsidRPr="00405303" w:rsidRDefault="009E6F82" w:rsidP="00C15251">
      <w:pPr>
        <w:jc w:val="both"/>
        <w:rPr>
          <w:bCs/>
          <w:color w:val="002060"/>
          <w:sz w:val="16"/>
          <w:szCs w:val="16"/>
        </w:rPr>
      </w:pPr>
      <w:r w:rsidRPr="00405303">
        <w:rPr>
          <w:bCs/>
          <w:color w:val="002060"/>
          <w:sz w:val="16"/>
          <w:szCs w:val="16"/>
        </w:rPr>
        <w:t>В феврале 1915 года у Германии на западном фронте было всего 9 аэростатов, включая сюда и аэростаты крепостных воздухоплавательных частей. Высший наблюдательный орган — Инспекция воздухоплавания находилась постоянно в Берлине и была не в состоянии представлять воздухоплавательные части на фронте, но делала все, что могла, для их технического развития (11282).</w:t>
      </w:r>
    </w:p>
    <w:p w14:paraId="4736139E" w14:textId="77777777" w:rsidR="004B4E35" w:rsidRPr="00405303" w:rsidRDefault="004B4E35" w:rsidP="00C15251">
      <w:pPr>
        <w:jc w:val="both"/>
        <w:rPr>
          <w:bCs/>
          <w:color w:val="002060"/>
          <w:sz w:val="16"/>
          <w:szCs w:val="16"/>
        </w:rPr>
      </w:pPr>
    </w:p>
    <w:p w14:paraId="009B72AA" w14:textId="22842B86" w:rsidR="004B4E35" w:rsidRPr="00405303" w:rsidRDefault="009E6F82" w:rsidP="00C15251">
      <w:pPr>
        <w:jc w:val="both"/>
        <w:rPr>
          <w:bCs/>
          <w:color w:val="002060"/>
          <w:sz w:val="16"/>
          <w:szCs w:val="16"/>
        </w:rPr>
      </w:pPr>
      <w:r w:rsidRPr="00405303">
        <w:rPr>
          <w:bCs/>
          <w:color w:val="002060"/>
          <w:sz w:val="16"/>
          <w:szCs w:val="16"/>
        </w:rPr>
        <w:t>В феврале 1915 года в Константинополь был направлен в качестве начальника турецкого полевого воздушного флота германский капитан.</w:t>
      </w:r>
    </w:p>
    <w:p w14:paraId="668A8433" w14:textId="77777777" w:rsidR="004B4E35" w:rsidRPr="00405303" w:rsidRDefault="009E6F82" w:rsidP="00C15251">
      <w:pPr>
        <w:jc w:val="both"/>
        <w:rPr>
          <w:bCs/>
          <w:color w:val="002060"/>
          <w:sz w:val="16"/>
          <w:szCs w:val="16"/>
        </w:rPr>
      </w:pPr>
      <w:r w:rsidRPr="00405303">
        <w:rPr>
          <w:bCs/>
          <w:color w:val="002060"/>
          <w:sz w:val="16"/>
          <w:szCs w:val="16"/>
        </w:rPr>
        <w:t>Сухопутного сообщения с Турцией не было; время не ждало, поэтому было принято смелое для того времени решение: отправить самолеты своим ходом через неприятельскую территорию. До октября 1915 года нам удалось переправить воздушным путем и без промежуточной посадки 24 германских самолета из Геркумсбада (Венгрия) в Адрианополь. В обороне Дарданелл они приняли самое деятельное участие.</w:t>
      </w:r>
    </w:p>
    <w:p w14:paraId="6AFE8B51" w14:textId="77777777" w:rsidR="004B4E35" w:rsidRPr="00405303" w:rsidRDefault="009E6F82" w:rsidP="00C15251">
      <w:pPr>
        <w:jc w:val="both"/>
        <w:rPr>
          <w:bCs/>
          <w:color w:val="002060"/>
          <w:sz w:val="16"/>
          <w:szCs w:val="16"/>
        </w:rPr>
      </w:pPr>
      <w:r w:rsidRPr="00405303">
        <w:rPr>
          <w:bCs/>
          <w:color w:val="002060"/>
          <w:sz w:val="16"/>
          <w:szCs w:val="16"/>
        </w:rPr>
        <w:lastRenderedPageBreak/>
        <w:t>После ухода англичан из Галлиполи эти самолеты были отправлены в Ирак (Месопотамия). Они прибыли туда как раз вовремя для того, чтобы отнять у англичан, осажденных в Кут-эль-Амара, последнюю возможность связи с внешним миром по воздуху. Своей успешной деятельностью они немало содействовали капитуляции англичан.</w:t>
      </w:r>
    </w:p>
    <w:p w14:paraId="42339238" w14:textId="77777777" w:rsidR="004B4E35" w:rsidRPr="00405303" w:rsidRDefault="009E6F82" w:rsidP="00C15251">
      <w:pPr>
        <w:jc w:val="both"/>
        <w:rPr>
          <w:bCs/>
          <w:color w:val="002060"/>
          <w:sz w:val="16"/>
          <w:szCs w:val="16"/>
        </w:rPr>
      </w:pPr>
      <w:r w:rsidRPr="00405303">
        <w:rPr>
          <w:bCs/>
          <w:color w:val="002060"/>
          <w:sz w:val="16"/>
          <w:szCs w:val="16"/>
        </w:rPr>
        <w:t>Эти германские летчики и обслуживавший их самолеты технический персонал состояли на турецкой службе, тогда как авиаотряды, действовавшие в Палестине и на Синайском фронте, продолжали оставаться германскими частями, откомандированными в Турцию. Первым из них выехал из Германии в феврале 1916 года 300-й авиаотряд. Он был придан германо-турецкому экспедиционному корпусу, оперативной целью которого являлся захват Суэцкого канала.</w:t>
      </w:r>
    </w:p>
    <w:p w14:paraId="4F7D487B" w14:textId="77777777" w:rsidR="004B4E35" w:rsidRPr="00405303" w:rsidRDefault="009E6F82" w:rsidP="00C15251">
      <w:pPr>
        <w:jc w:val="both"/>
        <w:rPr>
          <w:bCs/>
          <w:color w:val="002060"/>
          <w:sz w:val="16"/>
          <w:szCs w:val="16"/>
        </w:rPr>
      </w:pPr>
      <w:r w:rsidRPr="00405303">
        <w:rPr>
          <w:bCs/>
          <w:color w:val="002060"/>
          <w:sz w:val="16"/>
          <w:szCs w:val="16"/>
        </w:rPr>
        <w:t>Мысль применить авиацию в пустыне должна была казаться дерзкой. Многие вообще сомневались в возможности полетов в сильно нагретом разреженном воздухе.</w:t>
      </w:r>
    </w:p>
    <w:p w14:paraId="1452843B" w14:textId="77777777" w:rsidR="004B4E35" w:rsidRPr="00405303" w:rsidRDefault="009E6F82" w:rsidP="00C15251">
      <w:pPr>
        <w:jc w:val="both"/>
        <w:rPr>
          <w:bCs/>
          <w:color w:val="002060"/>
          <w:sz w:val="16"/>
          <w:szCs w:val="16"/>
        </w:rPr>
      </w:pPr>
      <w:r w:rsidRPr="00405303">
        <w:rPr>
          <w:bCs/>
          <w:color w:val="002060"/>
          <w:sz w:val="16"/>
          <w:szCs w:val="16"/>
        </w:rPr>
        <w:t>Сомнительно было также, что удастся обеспечить техническое снабжение этого отряда, пользуясь коммуникационной линией, ведущей из Германии через Константинополь, Малую Азию и Сирию. Благодаря тщательнейшей подготовке удалось преодолеть все эти трудности, и этот отряд воздушной разведкой, бомбометанием и высадками в тылу противника оказал сражающимся на земле войскам неоценимую услугу (11262).</w:t>
      </w:r>
    </w:p>
    <w:p w14:paraId="3CA79457" w14:textId="77777777" w:rsidR="004B4E35" w:rsidRPr="00405303" w:rsidRDefault="004B4E35" w:rsidP="00C15251">
      <w:pPr>
        <w:jc w:val="both"/>
        <w:rPr>
          <w:bCs/>
          <w:color w:val="002060"/>
          <w:sz w:val="16"/>
          <w:szCs w:val="16"/>
        </w:rPr>
      </w:pPr>
    </w:p>
    <w:p w14:paraId="03F29D55" w14:textId="1801E641" w:rsidR="004B4E35" w:rsidRPr="00405303" w:rsidRDefault="009E6F82" w:rsidP="00C15251">
      <w:pPr>
        <w:jc w:val="both"/>
        <w:rPr>
          <w:bCs/>
          <w:color w:val="002060"/>
          <w:sz w:val="16"/>
          <w:szCs w:val="16"/>
        </w:rPr>
      </w:pPr>
      <w:r w:rsidRPr="00405303">
        <w:rPr>
          <w:bCs/>
          <w:color w:val="002060"/>
          <w:sz w:val="16"/>
          <w:szCs w:val="16"/>
        </w:rPr>
        <w:t xml:space="preserve">В феврале 1915 года погибли L-3 и L-4, герои налета на Ярмут. Правда, пали они жертвами стихии, а не неприятельского огня. Во время налета на британские корабли дирижабли были застигнуты сильнейшим [112] снегопадом над территорией Дании. И хотя экипажам удалось совершить вынужденную посадку, штормовой ветер сорвал оба цеппелина со швартовов и унес в открытое море вместе с четырьмя аэронавтами, которые остались на борту L-4. Их следы навсегда затерялись в волнах Северного моря... </w:t>
      </w:r>
    </w:p>
    <w:p w14:paraId="0D8A838C" w14:textId="77777777" w:rsidR="004B4E35" w:rsidRPr="00405303" w:rsidRDefault="009E6F82" w:rsidP="00C15251">
      <w:pPr>
        <w:jc w:val="both"/>
        <w:rPr>
          <w:bCs/>
          <w:color w:val="002060"/>
          <w:sz w:val="16"/>
          <w:szCs w:val="16"/>
        </w:rPr>
      </w:pPr>
      <w:r w:rsidRPr="00405303">
        <w:rPr>
          <w:bCs/>
          <w:color w:val="002060"/>
          <w:sz w:val="16"/>
          <w:szCs w:val="16"/>
        </w:rPr>
        <w:t>С этого времени цеппелины стали частенько появляться над Англией, добираясь даже до Лондона. Тогда еще не существовало обыкновения затемнять окна в городах, но падающие бомбы быстро научили англичан использовать этот вид защиты, по крайней мере в тех районах, где существовала угроза бомбардировок (11324).</w:t>
      </w:r>
    </w:p>
    <w:p w14:paraId="15E55825" w14:textId="77777777" w:rsidR="004B4E35" w:rsidRPr="00405303" w:rsidRDefault="004B4E35" w:rsidP="00C15251">
      <w:pPr>
        <w:jc w:val="both"/>
        <w:rPr>
          <w:bCs/>
          <w:i/>
          <w:color w:val="002060"/>
          <w:sz w:val="16"/>
          <w:szCs w:val="16"/>
        </w:rPr>
      </w:pPr>
    </w:p>
    <w:p w14:paraId="34BE2E27" w14:textId="77777777" w:rsidR="00327C41" w:rsidRPr="00405303" w:rsidRDefault="00327C41" w:rsidP="00C15251">
      <w:pPr>
        <w:jc w:val="both"/>
        <w:rPr>
          <w:bCs/>
          <w:color w:val="002060"/>
          <w:sz w:val="16"/>
          <w:szCs w:val="16"/>
        </w:rPr>
      </w:pPr>
      <w:r w:rsidRPr="00405303">
        <w:rPr>
          <w:bCs/>
          <w:color w:val="002060"/>
          <w:sz w:val="16"/>
          <w:szCs w:val="16"/>
        </w:rPr>
        <w:t>В феврале 1915 г. немецкий Государственный комитет по делам флота (Reichsmarineamt) через Инспекцию Кайзеровских Воздушных войск Германии (Inspektion der Fliegertruppen, сокращенно Idflieg, она оформляла заказы и на морские самолеты) выдал задание фирме «Гота» на проектирование морского разведчика и патрульного самолета, который мог бы действовать в Ла-Манше, Северном море и на Балтике. Задание считалось сложным, и на постройку опытного образца был отпущен целый год – довольно много для нового проекта аэроплана в то время (23074).</w:t>
      </w:r>
    </w:p>
    <w:p w14:paraId="7EFD57E5" w14:textId="77777777" w:rsidR="00327C41" w:rsidRPr="00405303" w:rsidRDefault="00327C41" w:rsidP="00C15251">
      <w:pPr>
        <w:jc w:val="both"/>
        <w:rPr>
          <w:bCs/>
          <w:color w:val="002060"/>
          <w:sz w:val="16"/>
          <w:szCs w:val="16"/>
        </w:rPr>
      </w:pPr>
    </w:p>
    <w:p w14:paraId="1A734575"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Франции:</w:t>
      </w:r>
    </w:p>
    <w:p w14:paraId="533C4DF4" w14:textId="77777777" w:rsidR="004B4E35" w:rsidRPr="00405303" w:rsidRDefault="004B4E35" w:rsidP="00C15251">
      <w:pPr>
        <w:jc w:val="both"/>
        <w:rPr>
          <w:bCs/>
          <w:i/>
          <w:color w:val="002060"/>
          <w:sz w:val="16"/>
          <w:szCs w:val="16"/>
        </w:rPr>
      </w:pPr>
    </w:p>
    <w:p w14:paraId="4B87692C" w14:textId="43232988" w:rsidR="004B4E35" w:rsidRPr="00405303" w:rsidRDefault="009E6F82" w:rsidP="00C15251">
      <w:pPr>
        <w:jc w:val="both"/>
        <w:rPr>
          <w:bCs/>
          <w:color w:val="002060"/>
          <w:sz w:val="16"/>
          <w:szCs w:val="16"/>
        </w:rPr>
      </w:pPr>
      <w:r w:rsidRPr="00405303">
        <w:rPr>
          <w:bCs/>
          <w:color w:val="002060"/>
          <w:sz w:val="16"/>
          <w:szCs w:val="16"/>
        </w:rPr>
        <w:t>В феврале 1915 г. французский летчик Гарро применил специальный отклонитель</w:t>
      </w:r>
      <w:r w:rsidR="00AF667C" w:rsidRPr="00405303">
        <w:rPr>
          <w:bCs/>
          <w:color w:val="002060"/>
          <w:sz w:val="16"/>
          <w:szCs w:val="16"/>
        </w:rPr>
        <w:t xml:space="preserve"> для пуль</w:t>
      </w:r>
      <w:r w:rsidRPr="00405303">
        <w:rPr>
          <w:bCs/>
          <w:color w:val="002060"/>
          <w:sz w:val="16"/>
          <w:szCs w:val="16"/>
        </w:rPr>
        <w:t>. Это незначительное на первый взгляд событие привело к качественному изменению воздушной войны.</w:t>
      </w:r>
    </w:p>
    <w:p w14:paraId="24DAAD87" w14:textId="77777777" w:rsidR="004B4E35" w:rsidRPr="00405303" w:rsidRDefault="009E6F82" w:rsidP="00C15251">
      <w:pPr>
        <w:jc w:val="both"/>
        <w:rPr>
          <w:bCs/>
          <w:color w:val="002060"/>
          <w:sz w:val="16"/>
          <w:szCs w:val="16"/>
        </w:rPr>
      </w:pPr>
      <w:r w:rsidRPr="00405303">
        <w:rPr>
          <w:bCs/>
          <w:color w:val="002060"/>
          <w:sz w:val="16"/>
          <w:szCs w:val="16"/>
        </w:rPr>
        <w:t>Фирма "Моран-Сольнье" незамедлительно приступила к постройке самолетов, оборудованных приспособлением Гарро. Стрельба с безобидного до этого самолета "Мо- ран" из неподвижно закрепленного пулемета через винт была неожиданной для немцев, и в короткий срок Гарро и Жильбер сбили 3 немецких самолета.</w:t>
      </w:r>
    </w:p>
    <w:p w14:paraId="743FE723" w14:textId="77777777" w:rsidR="004B4E35" w:rsidRPr="00405303" w:rsidRDefault="009E6F82" w:rsidP="00C15251">
      <w:pPr>
        <w:jc w:val="both"/>
        <w:rPr>
          <w:bCs/>
          <w:color w:val="002060"/>
          <w:sz w:val="16"/>
          <w:szCs w:val="16"/>
        </w:rPr>
      </w:pPr>
      <w:r w:rsidRPr="00405303">
        <w:rPr>
          <w:bCs/>
          <w:color w:val="002060"/>
          <w:sz w:val="16"/>
          <w:szCs w:val="16"/>
        </w:rPr>
        <w:t>I французское отделение бомбардировщиков атаковало Карлсруэ (11999).</w:t>
      </w:r>
    </w:p>
    <w:p w14:paraId="52931469" w14:textId="77777777" w:rsidR="004B4E35" w:rsidRPr="00405303" w:rsidRDefault="004B4E35" w:rsidP="00C15251">
      <w:pPr>
        <w:jc w:val="both"/>
        <w:rPr>
          <w:bCs/>
          <w:color w:val="002060"/>
          <w:sz w:val="16"/>
          <w:szCs w:val="16"/>
        </w:rPr>
      </w:pPr>
    </w:p>
    <w:p w14:paraId="278AF379" w14:textId="77777777" w:rsidR="0042518F" w:rsidRPr="00405303" w:rsidRDefault="0042518F" w:rsidP="0042518F">
      <w:pPr>
        <w:jc w:val="both"/>
        <w:rPr>
          <w:color w:val="0070C0"/>
          <w:sz w:val="16"/>
          <w:szCs w:val="16"/>
        </w:rPr>
      </w:pPr>
      <w:r w:rsidRPr="00405303">
        <w:rPr>
          <w:color w:val="0070C0"/>
          <w:sz w:val="16"/>
          <w:szCs w:val="16"/>
        </w:rPr>
        <w:t>В феврале 1915 года предложение Гарро по установке винта с пулеотсекателем было реализовано, и на фронте появился истребитель, вооруженный одним пулеметом, стреляющим через винт. В апреле Гарро сбивает три самолета противника не понятным для немцев способом. Стрельба через винт считалась невозможной, поэтому атакующих точно в самолет не опасались, поскольку оружие было установлено под углом к оси самолета. Сама атака производилась под углом к самолету противника (25100).</w:t>
      </w:r>
    </w:p>
    <w:p w14:paraId="18AB3337" w14:textId="77777777" w:rsidR="0042518F" w:rsidRPr="00405303" w:rsidRDefault="0042518F" w:rsidP="0042518F">
      <w:pPr>
        <w:jc w:val="both"/>
        <w:rPr>
          <w:color w:val="0070C0"/>
          <w:sz w:val="16"/>
          <w:szCs w:val="16"/>
        </w:rPr>
      </w:pPr>
    </w:p>
    <w:p w14:paraId="6F82F328"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Англии:</w:t>
      </w:r>
    </w:p>
    <w:p w14:paraId="0DB73EC5" w14:textId="77777777" w:rsidR="004B4E35" w:rsidRPr="00405303" w:rsidRDefault="004B4E35" w:rsidP="00C15251">
      <w:pPr>
        <w:jc w:val="both"/>
        <w:rPr>
          <w:bCs/>
          <w:i/>
          <w:color w:val="002060"/>
          <w:sz w:val="16"/>
          <w:szCs w:val="16"/>
        </w:rPr>
      </w:pPr>
    </w:p>
    <w:p w14:paraId="49EFBB25" w14:textId="7C558532" w:rsidR="004B4E35" w:rsidRPr="00405303" w:rsidRDefault="00AF667C"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феврале </w:t>
      </w:r>
      <w:r w:rsidRPr="00405303">
        <w:rPr>
          <w:bCs/>
          <w:color w:val="002060"/>
          <w:sz w:val="16"/>
          <w:szCs w:val="16"/>
        </w:rPr>
        <w:t>1915 г.</w:t>
      </w:r>
      <w:r w:rsidR="009E6F82" w:rsidRPr="00405303">
        <w:rPr>
          <w:bCs/>
          <w:color w:val="002060"/>
          <w:sz w:val="16"/>
          <w:szCs w:val="16"/>
        </w:rPr>
        <w:t xml:space="preserve"> дано разрешение на постройку нового дирижабля Submarine Scout, предназначенного для поиска и уничтожения подводных лодок. До конца года будет построено 27 таких судов. Германская подводная война дорогоначинает обходится Англии (11999).</w:t>
      </w:r>
    </w:p>
    <w:p w14:paraId="0CEB6165" w14:textId="77777777" w:rsidR="004B4E35" w:rsidRPr="00405303" w:rsidRDefault="004B4E35" w:rsidP="00C15251">
      <w:pPr>
        <w:jc w:val="both"/>
        <w:rPr>
          <w:bCs/>
          <w:color w:val="002060"/>
          <w:sz w:val="16"/>
          <w:szCs w:val="16"/>
        </w:rPr>
      </w:pPr>
    </w:p>
    <w:p w14:paraId="3D042932" w14:textId="39E59832" w:rsidR="004B4E35" w:rsidRPr="00405303" w:rsidRDefault="00AF667C" w:rsidP="00C15251">
      <w:pPr>
        <w:jc w:val="both"/>
        <w:rPr>
          <w:bCs/>
          <w:color w:val="002060"/>
          <w:sz w:val="16"/>
          <w:szCs w:val="16"/>
        </w:rPr>
      </w:pPr>
      <w:r w:rsidRPr="00405303">
        <w:rPr>
          <w:bCs/>
          <w:color w:val="002060"/>
          <w:sz w:val="16"/>
          <w:szCs w:val="16"/>
        </w:rPr>
        <w:t>С</w:t>
      </w:r>
      <w:r w:rsidR="009E6F82" w:rsidRPr="00405303">
        <w:rPr>
          <w:bCs/>
          <w:color w:val="002060"/>
          <w:sz w:val="16"/>
          <w:szCs w:val="16"/>
        </w:rPr>
        <w:t xml:space="preserve"> февраля </w:t>
      </w:r>
      <w:r w:rsidRPr="00405303">
        <w:rPr>
          <w:bCs/>
          <w:color w:val="002060"/>
          <w:sz w:val="16"/>
          <w:szCs w:val="16"/>
        </w:rPr>
        <w:t>1915 г</w:t>
      </w:r>
      <w:r w:rsidR="009E6F82" w:rsidRPr="00405303">
        <w:rPr>
          <w:bCs/>
          <w:color w:val="002060"/>
          <w:sz w:val="16"/>
          <w:szCs w:val="16"/>
        </w:rPr>
        <w:t>ода было построено 200 дирижаблей</w:t>
      </w:r>
      <w:r w:rsidRPr="00405303">
        <w:rPr>
          <w:bCs/>
          <w:color w:val="002060"/>
          <w:sz w:val="16"/>
          <w:szCs w:val="16"/>
        </w:rPr>
        <w:t xml:space="preserve"> для борьбы с п/л</w:t>
      </w:r>
      <w:r w:rsidR="009E6F82" w:rsidRPr="00405303">
        <w:rPr>
          <w:bCs/>
          <w:color w:val="002060"/>
          <w:sz w:val="16"/>
          <w:szCs w:val="16"/>
        </w:rPr>
        <w:t xml:space="preserve">. Здесь проводились успешные опыты по применению дирижаблей во взаимодействии с морским флотом для борьбы с подводными лодками противника. Дирижабли конвоировали суда и несли береговую охрану. Обладая большим радиусом </w:t>
      </w:r>
      <w:proofErr w:type="gramStart"/>
      <w:r w:rsidR="009E6F82" w:rsidRPr="00405303">
        <w:rPr>
          <w:bCs/>
          <w:color w:val="002060"/>
          <w:sz w:val="16"/>
          <w:szCs w:val="16"/>
        </w:rPr>
        <w:t>действия</w:t>
      </w:r>
      <w:proofErr w:type="gramEnd"/>
      <w:r w:rsidR="009E6F82" w:rsidRPr="00405303">
        <w:rPr>
          <w:bCs/>
          <w:color w:val="002060"/>
          <w:sz w:val="16"/>
          <w:szCs w:val="16"/>
        </w:rPr>
        <w:t xml:space="preserve"> они оказывали флоту серьезные услуги.</w:t>
      </w:r>
    </w:p>
    <w:p w14:paraId="63AD4445" w14:textId="24A4F4DC" w:rsidR="004B4E35" w:rsidRPr="00405303" w:rsidRDefault="004B4E35" w:rsidP="00C15251">
      <w:pPr>
        <w:jc w:val="both"/>
        <w:rPr>
          <w:bCs/>
          <w:color w:val="002060"/>
          <w:sz w:val="16"/>
          <w:szCs w:val="16"/>
        </w:rPr>
      </w:pPr>
    </w:p>
    <w:p w14:paraId="67526C2B" w14:textId="15122992" w:rsidR="00327C41" w:rsidRPr="00405303" w:rsidRDefault="00327C41" w:rsidP="00C15251">
      <w:pPr>
        <w:jc w:val="both"/>
        <w:rPr>
          <w:bCs/>
          <w:i/>
          <w:iCs/>
          <w:color w:val="002060"/>
          <w:sz w:val="16"/>
          <w:szCs w:val="16"/>
        </w:rPr>
      </w:pPr>
      <w:r w:rsidRPr="00405303">
        <w:rPr>
          <w:bCs/>
          <w:i/>
          <w:iCs/>
          <w:color w:val="002060"/>
          <w:sz w:val="16"/>
          <w:szCs w:val="16"/>
        </w:rPr>
        <w:t>За рубежом:</w:t>
      </w:r>
    </w:p>
    <w:p w14:paraId="5ECC07F9" w14:textId="77777777" w:rsidR="00327C41" w:rsidRPr="00405303" w:rsidRDefault="00327C41" w:rsidP="00C15251">
      <w:pPr>
        <w:jc w:val="both"/>
        <w:rPr>
          <w:bCs/>
          <w:i/>
          <w:iCs/>
          <w:color w:val="002060"/>
          <w:sz w:val="16"/>
          <w:szCs w:val="16"/>
        </w:rPr>
      </w:pPr>
    </w:p>
    <w:p w14:paraId="4319A212" w14:textId="77777777" w:rsidR="00327C41" w:rsidRPr="00405303" w:rsidRDefault="00327C41" w:rsidP="00C15251">
      <w:pPr>
        <w:jc w:val="both"/>
        <w:rPr>
          <w:bCs/>
          <w:color w:val="002060"/>
          <w:sz w:val="16"/>
          <w:szCs w:val="16"/>
        </w:rPr>
      </w:pPr>
      <w:r w:rsidRPr="00405303">
        <w:rPr>
          <w:bCs/>
          <w:color w:val="002060"/>
          <w:sz w:val="16"/>
          <w:szCs w:val="16"/>
        </w:rPr>
        <w:t>В феврале 1915 г. Первый лорд Адмиралтейства Уинстон Черчилль создал Комитет по сухопутным кораблям, выделив из фондов Адмиралтейства 70 тыс. фунтов на разработку и испытания. Согласно техническому заданию, разработанному специалистами Комитета и офицерами штаба командующего британскими силами во Франции, будущей бронированной боевой машине предстояло развивать скорость до 6 км/ч, преодолевать ямы и рвы шириной не менее 2,4 м, взбираться на брустверы высотой до 1,4 м. В качестве вооружения предлагались пулеметы и легкие артиллерийские орудия.</w:t>
      </w:r>
    </w:p>
    <w:p w14:paraId="496B5525" w14:textId="77777777" w:rsidR="00327C41" w:rsidRPr="00405303" w:rsidRDefault="00327C41" w:rsidP="00C15251">
      <w:pPr>
        <w:jc w:val="both"/>
        <w:rPr>
          <w:bCs/>
          <w:color w:val="002060"/>
          <w:sz w:val="16"/>
          <w:szCs w:val="16"/>
        </w:rPr>
      </w:pPr>
      <w:r w:rsidRPr="00405303">
        <w:rPr>
          <w:bCs/>
          <w:color w:val="002060"/>
          <w:sz w:val="16"/>
          <w:szCs w:val="16"/>
        </w:rPr>
        <w:t>К работе над проектом привлекли машиностроительную фирму «Уильям Фостер энд Компани Лимитед» из Линкольна, занимавшуюся гусеничными тракторами. Ей в июле 1915 г. и заказали постройку «сухопутного корабля» на базе американского трактора «Булок».</w:t>
      </w:r>
    </w:p>
    <w:p w14:paraId="35AE46A8" w14:textId="77777777" w:rsidR="00327C41" w:rsidRPr="00405303" w:rsidRDefault="00327C41" w:rsidP="00C15251">
      <w:pPr>
        <w:jc w:val="both"/>
        <w:rPr>
          <w:bCs/>
          <w:color w:val="002060"/>
          <w:sz w:val="16"/>
          <w:szCs w:val="16"/>
        </w:rPr>
      </w:pPr>
      <w:r w:rsidRPr="00405303">
        <w:rPr>
          <w:bCs/>
          <w:color w:val="002060"/>
          <w:sz w:val="16"/>
          <w:szCs w:val="16"/>
        </w:rPr>
        <w:t>Испытания машины, получившей наименование «№ 1 Линкольн», прошли сентябре 1915 г., однако их результат нельзя было назвать удачным. Оказалось, что ходовая часть трактора слаба для таких нагрузок, к тому же при переходе через траншеи нижняя ветвь гусеницы провисала, и она спадала. К концу ноября подготовили к испытаниям новый вариант машины, получившей прозвище «Маленький Вилли» (в честь одного из конструкторов — У. Вилсона). Ходовая часть получила гусеницу с жесткой подвеской. Корпус из листов котельной стали (не броневой) собрали на каркасе из уголков. В лобовой части было сделано крепление для 7,7-мм пулемета «Виккерс», а в бортах — лючки для стрельбы из личного оружия. В крыше было предусмотрено отверстие для установки башни. Карбюраторный двигатель мощностью 105 л. с. обеспечивал 18-тонной машине скорость хода не более 3,2 км/ч. Благодаря наличию колесного хвоста «Маленький Вилли» преодолевал ров шириной до 1,5 м («№ 1 Линкольн» только 1,2 м) (22787).</w:t>
      </w:r>
    </w:p>
    <w:p w14:paraId="79D9692E" w14:textId="77777777" w:rsidR="00327C41" w:rsidRPr="00405303" w:rsidRDefault="00327C41" w:rsidP="00C15251">
      <w:pPr>
        <w:jc w:val="both"/>
        <w:rPr>
          <w:bCs/>
          <w:color w:val="002060"/>
          <w:sz w:val="16"/>
          <w:szCs w:val="16"/>
        </w:rPr>
      </w:pPr>
    </w:p>
    <w:p w14:paraId="6002CEA6" w14:textId="77777777" w:rsidR="0042518F" w:rsidRPr="00405303" w:rsidRDefault="0042518F" w:rsidP="0042518F">
      <w:pPr>
        <w:jc w:val="both"/>
        <w:rPr>
          <w:color w:val="0070C0"/>
          <w:sz w:val="16"/>
          <w:szCs w:val="16"/>
        </w:rPr>
      </w:pPr>
      <w:r w:rsidRPr="00405303">
        <w:rPr>
          <w:color w:val="0070C0"/>
          <w:sz w:val="16"/>
          <w:szCs w:val="16"/>
        </w:rPr>
        <w:t xml:space="preserve">В феврале 1915 года на Западном фронте германские огнеметы (или пламеметы, как тогда говорили) при штурме </w:t>
      </w:r>
      <w:proofErr w:type="gramStart"/>
      <w:r w:rsidRPr="00405303">
        <w:rPr>
          <w:color w:val="0070C0"/>
          <w:sz w:val="16"/>
          <w:szCs w:val="16"/>
        </w:rPr>
        <w:t>форта</w:t>
      </w:r>
      <w:proofErr w:type="gramEnd"/>
      <w:r w:rsidRPr="00405303">
        <w:rPr>
          <w:color w:val="0070C0"/>
          <w:sz w:val="16"/>
          <w:szCs w:val="16"/>
        </w:rPr>
        <w:t xml:space="preserve"> Во под Верденом произвели потрясающее впечатление на францу</w:t>
      </w:r>
      <w:r w:rsidRPr="00405303">
        <w:rPr>
          <w:color w:val="0070C0"/>
          <w:sz w:val="16"/>
          <w:szCs w:val="16"/>
        </w:rPr>
        <w:softHyphen/>
        <w:t>зов — защитников форта Во. В июне 1915 года сол</w:t>
      </w:r>
      <w:r w:rsidRPr="00405303">
        <w:rPr>
          <w:color w:val="0070C0"/>
          <w:sz w:val="16"/>
          <w:szCs w:val="16"/>
        </w:rPr>
        <w:softHyphen/>
        <w:t>даты из команды Реддеманна испытали германский ранцевый огнемет — уже массово — против англи</w:t>
      </w:r>
      <w:r w:rsidRPr="00405303">
        <w:rPr>
          <w:color w:val="0070C0"/>
          <w:sz w:val="16"/>
          <w:szCs w:val="16"/>
        </w:rPr>
        <w:softHyphen/>
        <w:t>чан. В обоих случаях огнемет вызвал панику в рядах вражеской пехоты, немцам удалось занять позиции противника с относительно небольшими потерями. Никто не мог остаться в траншее, когда за бруствер лился огненный поток (25021).</w:t>
      </w:r>
    </w:p>
    <w:p w14:paraId="66BE9DEE" w14:textId="77777777" w:rsidR="0042518F" w:rsidRPr="00405303" w:rsidRDefault="0042518F" w:rsidP="0042518F">
      <w:pPr>
        <w:jc w:val="both"/>
        <w:rPr>
          <w:color w:val="0070C0"/>
          <w:sz w:val="16"/>
          <w:szCs w:val="16"/>
        </w:rPr>
      </w:pPr>
    </w:p>
    <w:p w14:paraId="56D97509" w14:textId="77777777" w:rsidR="00E20F08" w:rsidRPr="00405303" w:rsidRDefault="00E20F08" w:rsidP="00C15251">
      <w:pPr>
        <w:jc w:val="both"/>
        <w:rPr>
          <w:bCs/>
          <w:i/>
          <w:color w:val="002060"/>
          <w:sz w:val="16"/>
          <w:szCs w:val="16"/>
        </w:rPr>
      </w:pPr>
      <w:r w:rsidRPr="00405303">
        <w:rPr>
          <w:bCs/>
          <w:i/>
          <w:color w:val="002060"/>
          <w:sz w:val="16"/>
          <w:szCs w:val="16"/>
        </w:rPr>
        <w:t>Самолетостроение:</w:t>
      </w:r>
    </w:p>
    <w:p w14:paraId="6F6BB60E" w14:textId="77777777" w:rsidR="00E20F08" w:rsidRPr="00405303" w:rsidRDefault="00E20F08" w:rsidP="00C15251">
      <w:pPr>
        <w:jc w:val="both"/>
        <w:rPr>
          <w:bCs/>
          <w:i/>
          <w:color w:val="002060"/>
          <w:sz w:val="16"/>
          <w:szCs w:val="16"/>
        </w:rPr>
      </w:pPr>
    </w:p>
    <w:p w14:paraId="6113F01B" w14:textId="77777777" w:rsidR="00E20F08" w:rsidRPr="00405303" w:rsidRDefault="00E20F08" w:rsidP="00C15251">
      <w:pPr>
        <w:jc w:val="both"/>
        <w:rPr>
          <w:bCs/>
          <w:color w:val="002060"/>
          <w:sz w:val="16"/>
          <w:szCs w:val="16"/>
        </w:rPr>
      </w:pPr>
      <w:r w:rsidRPr="00405303">
        <w:rPr>
          <w:bCs/>
          <w:color w:val="002060"/>
          <w:sz w:val="16"/>
          <w:szCs w:val="16"/>
          <w:lang w:bidi="ru-RU"/>
        </w:rPr>
        <w:t>В феврале-марте 1915 была достигнута окончательная договоренность Оеьедева и Морского ведомства сторон о постройке гидросамолетов для дальней разведки</w:t>
      </w:r>
      <w:proofErr w:type="gramStart"/>
      <w:r w:rsidRPr="00405303">
        <w:rPr>
          <w:bCs/>
          <w:color w:val="002060"/>
          <w:sz w:val="16"/>
          <w:szCs w:val="16"/>
          <w:lang w:bidi="ru-RU"/>
        </w:rPr>
        <w:t>. .</w:t>
      </w:r>
      <w:proofErr w:type="gramEnd"/>
      <w:r w:rsidRPr="00405303">
        <w:rPr>
          <w:bCs/>
          <w:color w:val="002060"/>
          <w:sz w:val="16"/>
          <w:szCs w:val="16"/>
          <w:lang w:bidi="ru-RU"/>
        </w:rPr>
        <w:t xml:space="preserve"> По требованию заказчика, оснащенные по</w:t>
      </w:r>
      <w:r w:rsidRPr="00405303">
        <w:rPr>
          <w:bCs/>
          <w:color w:val="002060"/>
          <w:sz w:val="16"/>
          <w:szCs w:val="16"/>
          <w:lang w:bidi="ru-RU"/>
        </w:rPr>
        <w:softHyphen/>
        <w:t>плавками самолеты предстояло сдать в мае, далее провести сдаточные испытания в Севастополе, после чего доставить их к месту дислокации в Батум.</w:t>
      </w:r>
    </w:p>
    <w:p w14:paraId="54EF2F59" w14:textId="77777777" w:rsidR="00E20F08" w:rsidRPr="00405303" w:rsidRDefault="00E20F08" w:rsidP="00C15251">
      <w:pPr>
        <w:jc w:val="both"/>
        <w:rPr>
          <w:bCs/>
          <w:color w:val="002060"/>
          <w:sz w:val="16"/>
          <w:szCs w:val="16"/>
          <w:lang w:bidi="ru-RU"/>
        </w:rPr>
      </w:pPr>
      <w:r w:rsidRPr="00405303">
        <w:rPr>
          <w:bCs/>
          <w:color w:val="002060"/>
          <w:sz w:val="16"/>
          <w:szCs w:val="16"/>
          <w:lang w:bidi="ru-RU"/>
        </w:rPr>
        <w:lastRenderedPageBreak/>
        <w:t>Машины получили обозначение «Лебедь Морской-1» (ЛМ-1) и представляли собой развитие трехстоечных «Альбатрос Б.1».</w:t>
      </w:r>
    </w:p>
    <w:p w14:paraId="76F8469D" w14:textId="77777777" w:rsidR="00E20F08" w:rsidRPr="00405303" w:rsidRDefault="00E20F08" w:rsidP="00C15251">
      <w:pPr>
        <w:jc w:val="both"/>
        <w:rPr>
          <w:bCs/>
          <w:color w:val="002060"/>
          <w:sz w:val="16"/>
          <w:szCs w:val="16"/>
        </w:rPr>
      </w:pPr>
      <w:r w:rsidRPr="00405303">
        <w:rPr>
          <w:bCs/>
          <w:color w:val="002060"/>
          <w:sz w:val="16"/>
          <w:szCs w:val="16"/>
          <w:lang w:bidi="ru-RU"/>
        </w:rPr>
        <w:t>Морское шасси состояло из двух основных и одного хвостового поплавков с плоскими гранями. Площадь вертикального оперения увеличена с добавлением подкилевого гребня. Поначалу в качестве силовой уста</w:t>
      </w:r>
      <w:r w:rsidRPr="00405303">
        <w:rPr>
          <w:bCs/>
          <w:color w:val="002060"/>
          <w:sz w:val="16"/>
          <w:szCs w:val="16"/>
          <w:lang w:bidi="ru-RU"/>
        </w:rPr>
        <w:softHyphen/>
        <w:t>новки предполагались двигатели «Аргус» или «Австро-Даймлер», затем английские «Санбим» мощностью 150 л.с. Однако «Санбимы» прибыли осенью 1915 г., что определило задержку по срокам сдачи и дальнейшую судьбу аппаратов. В морской авиации к тому моменту все более склоня</w:t>
      </w:r>
      <w:r w:rsidRPr="00405303">
        <w:rPr>
          <w:bCs/>
          <w:color w:val="002060"/>
          <w:sz w:val="16"/>
          <w:szCs w:val="16"/>
          <w:lang w:bidi="ru-RU"/>
        </w:rPr>
        <w:softHyphen/>
        <w:t>лись к комплектованию частей летающими лодками, а не поплавковыми самолетами. Из двух построенных ЛМ-1 один экземпляр (№ 217) сдали на хранение в Школу мор</w:t>
      </w:r>
      <w:r w:rsidRPr="00405303">
        <w:rPr>
          <w:bCs/>
          <w:color w:val="002060"/>
          <w:sz w:val="16"/>
          <w:szCs w:val="16"/>
          <w:lang w:bidi="ru-RU"/>
        </w:rPr>
        <w:softHyphen/>
        <w:t>ской авиации, второй — № 218 — установи</w:t>
      </w:r>
      <w:r w:rsidRPr="00405303">
        <w:rPr>
          <w:bCs/>
          <w:color w:val="002060"/>
          <w:sz w:val="16"/>
          <w:szCs w:val="16"/>
          <w:lang w:bidi="ru-RU"/>
        </w:rPr>
        <w:softHyphen/>
        <w:t>ли на колесное шасси и с января 1917 г. эксплуатировали в авиаотряде Морской крепости Императора Петра Великого (23374)</w:t>
      </w:r>
    </w:p>
    <w:p w14:paraId="2DB9FAB5" w14:textId="77777777" w:rsidR="00E20F08" w:rsidRPr="00405303" w:rsidRDefault="00E20F08" w:rsidP="00C15251">
      <w:pPr>
        <w:jc w:val="both"/>
        <w:rPr>
          <w:bCs/>
          <w:color w:val="002060"/>
          <w:sz w:val="16"/>
          <w:szCs w:val="16"/>
        </w:rPr>
      </w:pPr>
    </w:p>
    <w:p w14:paraId="0920F47F"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50504F0D" w14:textId="77777777" w:rsidR="004B4E35" w:rsidRPr="00405303" w:rsidRDefault="004B4E35" w:rsidP="00C15251">
      <w:pPr>
        <w:jc w:val="both"/>
        <w:rPr>
          <w:bCs/>
          <w:i/>
          <w:color w:val="002060"/>
          <w:sz w:val="16"/>
          <w:szCs w:val="16"/>
        </w:rPr>
      </w:pPr>
    </w:p>
    <w:p w14:paraId="33F5984A" w14:textId="77777777" w:rsidR="004B4E35" w:rsidRPr="00405303" w:rsidRDefault="009E6F82" w:rsidP="00C15251">
      <w:pPr>
        <w:jc w:val="both"/>
        <w:rPr>
          <w:bCs/>
          <w:color w:val="002060"/>
          <w:sz w:val="16"/>
          <w:szCs w:val="16"/>
        </w:rPr>
      </w:pPr>
      <w:r w:rsidRPr="00405303">
        <w:rPr>
          <w:bCs/>
          <w:color w:val="002060"/>
          <w:sz w:val="16"/>
          <w:szCs w:val="16"/>
        </w:rPr>
        <w:t>Зимой 1914-1915 гг. был закончен первый заказ на 10 "Муромцев". Кроме машин типа "Б" (С-22 № 135, 136/143, 137 и 138 ["Илья Муромец" (заводской номер 138) был разбит еще до приемке]) в него вошли и первые образцы типа "В" (С-23 № 149, 150, 151, 157, 160 и 161). Среди "Муромцев" типа "В" три (№ 149, 157 и 161) были довольно необычной модификации. Из-за нехватки двигателей они имели двухмоторную схему. Размах крыльев был на 1 - 1,5 м меньше из-за исключения участков крыльев под внешние двигатели. Мощности силовой установки были явно недостаточно для выполнения боевых заданий, и эти самолеты использовались в эскадре в качестве учебных. Два из них имели двигатели "Сальмсон" по 200 л. с. каждый, а № 161 - "Санбимы" по 225 л. с., причем в последнем случае силовая установка была с толкающими винтами. Специально для них делались вырезы на задней кромке нижнего крыла. Впоследствии Сикорский отказался от этой схемы, и № 161 стал с тянущими винтами (11230).</w:t>
      </w:r>
    </w:p>
    <w:p w14:paraId="6FE01E4E" w14:textId="77777777" w:rsidR="004B4E35" w:rsidRPr="00405303" w:rsidRDefault="004B4E35" w:rsidP="00C15251">
      <w:pPr>
        <w:jc w:val="both"/>
        <w:rPr>
          <w:bCs/>
          <w:color w:val="002060"/>
          <w:sz w:val="16"/>
          <w:szCs w:val="16"/>
        </w:rPr>
      </w:pPr>
    </w:p>
    <w:p w14:paraId="03F784DC" w14:textId="77777777" w:rsidR="004B4E35" w:rsidRPr="00405303" w:rsidRDefault="009E6F82" w:rsidP="00C15251">
      <w:pPr>
        <w:jc w:val="both"/>
        <w:rPr>
          <w:bCs/>
          <w:i/>
          <w:color w:val="002060"/>
          <w:sz w:val="16"/>
          <w:szCs w:val="16"/>
        </w:rPr>
      </w:pPr>
      <w:r w:rsidRPr="00405303">
        <w:rPr>
          <w:bCs/>
          <w:i/>
          <w:color w:val="002060"/>
          <w:sz w:val="16"/>
          <w:szCs w:val="16"/>
        </w:rPr>
        <w:t>Аэростатостроение:</w:t>
      </w:r>
    </w:p>
    <w:p w14:paraId="49B09C66" w14:textId="77777777" w:rsidR="004B4E35" w:rsidRPr="00405303" w:rsidRDefault="004B4E35" w:rsidP="00C15251">
      <w:pPr>
        <w:jc w:val="both"/>
        <w:rPr>
          <w:bCs/>
          <w:i/>
          <w:color w:val="002060"/>
          <w:sz w:val="16"/>
          <w:szCs w:val="16"/>
        </w:rPr>
      </w:pPr>
    </w:p>
    <w:p w14:paraId="176CE2E7" w14:textId="77777777" w:rsidR="00C8672F" w:rsidRPr="00405303" w:rsidRDefault="00C8672F" w:rsidP="00C15251">
      <w:pPr>
        <w:jc w:val="both"/>
        <w:rPr>
          <w:bCs/>
          <w:color w:val="002060"/>
          <w:sz w:val="16"/>
          <w:szCs w:val="16"/>
        </w:rPr>
      </w:pPr>
      <w:r w:rsidRPr="00405303">
        <w:rPr>
          <w:bCs/>
          <w:color w:val="002060"/>
          <w:sz w:val="16"/>
          <w:szCs w:val="16"/>
        </w:rPr>
        <w:t>Зимой 1915 г. было проведено испытание дирижабля Гигант. На небольшой высоте дирижабль сильно прогнулся в средней части. Вследствие этого прогиба пропеллер ударил по одной из тросовых растяжек, поддерживавших консоли моторов, в результате чего дирижабль сложился вдвое в средней части и опустился.</w:t>
      </w:r>
    </w:p>
    <w:p w14:paraId="47497655" w14:textId="1D9A7443" w:rsidR="00C8672F" w:rsidRPr="00405303" w:rsidRDefault="00C8672F" w:rsidP="00C15251">
      <w:pPr>
        <w:jc w:val="both"/>
        <w:rPr>
          <w:bCs/>
          <w:color w:val="002060"/>
          <w:sz w:val="16"/>
          <w:szCs w:val="16"/>
        </w:rPr>
      </w:pPr>
      <w:r w:rsidRPr="00405303">
        <w:rPr>
          <w:bCs/>
          <w:color w:val="002060"/>
          <w:sz w:val="16"/>
          <w:szCs w:val="16"/>
        </w:rPr>
        <w:t>Одновременно с приобретением дирижаблей за границей были заказаны русским заводам дирижабли большого объема. Балтийский завод согласился построить по проекту А. М. Кованько и А. И. Шабского дирижабль с четырьмя двигателями по 80 л.с. Ижорский завод, имевший уже большую практику в дирижаблестроении, взялся построить дирижабль «Воздушный крейсер» объемом около 32 000 м3. Постройка этого дирижабля так и не была закончена. Удалось построить и сдать в эксплуатацию уже в начале войны дирижабль конструкции Шабского «Гигант» объемом около 20</w:t>
      </w:r>
      <w:r w:rsidR="00DB4D64" w:rsidRPr="00405303">
        <w:rPr>
          <w:bCs/>
          <w:color w:val="002060"/>
          <w:sz w:val="16"/>
          <w:szCs w:val="16"/>
        </w:rPr>
        <w:t xml:space="preserve"> </w:t>
      </w:r>
      <w:r w:rsidRPr="00405303">
        <w:rPr>
          <w:bCs/>
          <w:color w:val="002060"/>
          <w:sz w:val="16"/>
          <w:szCs w:val="16"/>
        </w:rPr>
        <w:t>000 м3. Это дирижабль полужесткой конструкции, длиной 150 м. Оболочка его была выполнена из шелковой прорезиненной ткани, изготовленной во Франции. Три баллонета дирижабля были снабжены вентиляторами системы Сирокко, работавшими от отдельных бензиновых двигателей. Жесткий каркас «Гиганта», из цельнотянутых стальных труб располагался внутри оболочки (в нижней ее трети). Длинная гондола, тоже из стальных труб, проходившая вдоль всего дирижабля, была жестко связана с каркасом. Затянутая тканью гондола составляла одно целое с оболочкой дирижабля. По проекту дирижабль должен был иметь четыре восьмицилиндровых V-образных двигателя с диаметром цилиндра 145 мм и ходом поршня 175 мм. При 1200 об/мин эти двигатели развивали мощность по 200—215 л.с.; каждый двигатель весил 750 кг.</w:t>
      </w:r>
    </w:p>
    <w:p w14:paraId="684D807B" w14:textId="77777777" w:rsidR="00C8672F" w:rsidRPr="00405303" w:rsidRDefault="00C8672F" w:rsidP="00C15251">
      <w:pPr>
        <w:jc w:val="both"/>
        <w:rPr>
          <w:bCs/>
          <w:color w:val="002060"/>
          <w:sz w:val="16"/>
          <w:szCs w:val="16"/>
        </w:rPr>
      </w:pPr>
      <w:r w:rsidRPr="00405303">
        <w:rPr>
          <w:bCs/>
          <w:color w:val="002060"/>
          <w:sz w:val="16"/>
          <w:szCs w:val="16"/>
        </w:rPr>
        <w:t>При проектировании «Гиганта» Шабский предусмотрел отдельные двигательные гондолы, что сильно уменьшало лобовое сопротивление дирижабля. Гондолы должны были располагаться по бокам дирижабля — по две с каждой его стороны. Но Шабскому не пришлось самому собирать «Гигант» в связи с начавшейся войной. Дирижабль собирал военный воздухоплаватель Липпинг, который, подсчитав точно вес отдельных частей дирижабля, пришел к выводу, что потолок окажется весьма низким. Решили снять две задние гондолы, а две передние передвинуть ближе к главной статической вертикали, чтобы увеличить высоту.</w:t>
      </w:r>
    </w:p>
    <w:p w14:paraId="0046D437" w14:textId="77777777" w:rsidR="00C8672F" w:rsidRPr="00405303" w:rsidRDefault="00C8672F" w:rsidP="00C15251">
      <w:pPr>
        <w:jc w:val="both"/>
        <w:rPr>
          <w:bCs/>
          <w:color w:val="002060"/>
          <w:sz w:val="16"/>
          <w:szCs w:val="16"/>
        </w:rPr>
      </w:pPr>
      <w:r w:rsidRPr="00405303">
        <w:rPr>
          <w:bCs/>
          <w:color w:val="002060"/>
          <w:sz w:val="16"/>
          <w:szCs w:val="16"/>
        </w:rPr>
        <w:t>Конечно, изгибающие моменты в этом случае стали совсем другими. Двигатели были помещены в обтекаемые капоты с отверстиями для охлаждения во время полета дирижабля. Превосходно была осуществлена электротехническая часть. Впервые применили приборы для графической записи тяги винтов. Для «Гиганта» вы</w:t>
      </w:r>
      <w:r w:rsidRPr="00405303">
        <w:rPr>
          <w:bCs/>
          <w:color w:val="002060"/>
          <w:sz w:val="16"/>
          <w:szCs w:val="16"/>
        </w:rPr>
        <w:softHyphen/>
        <w:t xml:space="preserve">строили временный деревянный эллинг около Гатчины </w:t>
      </w:r>
      <w:bookmarkStart w:id="53" w:name="ftn16"/>
      <w:r w:rsidR="00617EB0" w:rsidRPr="00405303">
        <w:rPr>
          <w:bCs/>
          <w:color w:val="002060"/>
          <w:sz w:val="16"/>
          <w:szCs w:val="16"/>
        </w:rPr>
        <w:fldChar w:fldCharType="begin"/>
      </w:r>
      <w:r w:rsidRPr="00405303">
        <w:rPr>
          <w:bCs/>
          <w:color w:val="002060"/>
          <w:sz w:val="16"/>
          <w:szCs w:val="16"/>
        </w:rPr>
        <w:instrText xml:space="preserve"> HYPERLINK "http://alternathistory.org.ua/pervye-russkie-dirizhabli-v-period-1904-1914-gg" \l "ftnref16" </w:instrText>
      </w:r>
      <w:r w:rsidR="00617EB0" w:rsidRPr="00405303">
        <w:rPr>
          <w:bCs/>
          <w:color w:val="002060"/>
          <w:sz w:val="16"/>
          <w:szCs w:val="16"/>
        </w:rPr>
      </w:r>
      <w:r w:rsidR="00617EB0" w:rsidRPr="00405303">
        <w:rPr>
          <w:bCs/>
          <w:color w:val="002060"/>
          <w:sz w:val="16"/>
          <w:szCs w:val="16"/>
        </w:rPr>
        <w:fldChar w:fldCharType="separate"/>
      </w:r>
      <w:r w:rsidRPr="00405303">
        <w:rPr>
          <w:bCs/>
          <w:color w:val="002060"/>
          <w:sz w:val="16"/>
          <w:szCs w:val="16"/>
        </w:rPr>
        <w:t>[ По материалам Н. И. Утешева, Н. Г. Баратова, командира 12-й воздухо</w:t>
      </w:r>
      <w:r w:rsidRPr="00405303">
        <w:rPr>
          <w:bCs/>
          <w:color w:val="002060"/>
          <w:sz w:val="16"/>
          <w:szCs w:val="16"/>
        </w:rPr>
        <w:softHyphen/>
        <w:t>плавательной роты, для которой предназначался «Гигант», и М. Н. Канищева.]</w:t>
      </w:r>
      <w:r w:rsidR="00617EB0" w:rsidRPr="00405303">
        <w:rPr>
          <w:bCs/>
          <w:color w:val="002060"/>
          <w:sz w:val="16"/>
          <w:szCs w:val="16"/>
        </w:rPr>
        <w:fldChar w:fldCharType="end"/>
      </w:r>
      <w:bookmarkEnd w:id="53"/>
      <w:r w:rsidRPr="00405303">
        <w:rPr>
          <w:bCs/>
          <w:color w:val="002060"/>
          <w:sz w:val="16"/>
          <w:szCs w:val="16"/>
        </w:rPr>
        <w:t>.</w:t>
      </w:r>
    </w:p>
    <w:p w14:paraId="3847FA2D" w14:textId="77777777" w:rsidR="00C8672F" w:rsidRPr="00405303" w:rsidRDefault="00C8672F" w:rsidP="00C15251">
      <w:pPr>
        <w:jc w:val="both"/>
        <w:rPr>
          <w:bCs/>
          <w:color w:val="002060"/>
          <w:sz w:val="16"/>
          <w:szCs w:val="16"/>
        </w:rPr>
      </w:pPr>
      <w:r w:rsidRPr="00405303">
        <w:rPr>
          <w:bCs/>
          <w:color w:val="002060"/>
          <w:sz w:val="16"/>
          <w:szCs w:val="16"/>
        </w:rPr>
        <w:t>Комиссия признала «Гигант» негодным для ремонта. Его разобрали, а оболочку его использовали для постройки сферических аэростатов (15503).</w:t>
      </w:r>
    </w:p>
    <w:p w14:paraId="3C557308" w14:textId="77777777" w:rsidR="00C8672F" w:rsidRPr="00405303" w:rsidRDefault="00C8672F" w:rsidP="00C15251">
      <w:pPr>
        <w:jc w:val="both"/>
        <w:rPr>
          <w:bCs/>
          <w:color w:val="002060"/>
          <w:sz w:val="16"/>
          <w:szCs w:val="16"/>
        </w:rPr>
      </w:pPr>
    </w:p>
    <w:p w14:paraId="2528BC5C" w14:textId="417AF629" w:rsidR="004B4E35" w:rsidRPr="00405303" w:rsidRDefault="00AF667C" w:rsidP="00C15251">
      <w:pPr>
        <w:shd w:val="clear" w:color="auto" w:fill="FFFFFF"/>
        <w:jc w:val="both"/>
        <w:rPr>
          <w:bCs/>
          <w:color w:val="002060"/>
          <w:sz w:val="16"/>
          <w:szCs w:val="16"/>
        </w:rPr>
      </w:pPr>
      <w:r w:rsidRPr="00405303">
        <w:rPr>
          <w:bCs/>
          <w:color w:val="002060"/>
          <w:sz w:val="16"/>
          <w:szCs w:val="16"/>
        </w:rPr>
        <w:t>З</w:t>
      </w:r>
      <w:r w:rsidR="009E6F82" w:rsidRPr="00405303">
        <w:rPr>
          <w:bCs/>
          <w:color w:val="002060"/>
          <w:sz w:val="16"/>
          <w:szCs w:val="16"/>
        </w:rPr>
        <w:t xml:space="preserve">имой 1915 г. </w:t>
      </w:r>
      <w:r w:rsidRPr="00405303">
        <w:rPr>
          <w:bCs/>
          <w:color w:val="002060"/>
          <w:sz w:val="16"/>
          <w:szCs w:val="16"/>
        </w:rPr>
        <w:t xml:space="preserve">было проведено испытание дирижабля Гигант. </w:t>
      </w:r>
      <w:r w:rsidR="009E6F82" w:rsidRPr="00405303">
        <w:rPr>
          <w:bCs/>
          <w:color w:val="002060"/>
          <w:sz w:val="16"/>
          <w:szCs w:val="16"/>
        </w:rPr>
        <w:t>На не</w:t>
      </w:r>
      <w:r w:rsidR="009E6F82" w:rsidRPr="00405303">
        <w:rPr>
          <w:bCs/>
          <w:color w:val="002060"/>
          <w:sz w:val="16"/>
          <w:szCs w:val="16"/>
        </w:rPr>
        <w:softHyphen/>
        <w:t>большой высоте дирижабль сильно прогнулся в средней части. Вследствие этого прогиба пропеллер ударил по одной из тросовых растяжек, поддерживавших консоли моторов, в результате чего ди</w:t>
      </w:r>
      <w:r w:rsidR="009E6F82" w:rsidRPr="00405303">
        <w:rPr>
          <w:bCs/>
          <w:color w:val="002060"/>
          <w:sz w:val="16"/>
          <w:szCs w:val="16"/>
        </w:rPr>
        <w:softHyphen/>
        <w:t>рижабль сложился вдвое в средней части и опустился (11042,163).</w:t>
      </w:r>
    </w:p>
    <w:p w14:paraId="26CEE14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Комиссия признала «Гигант» негодным для ремонта. Его ра</w:t>
      </w:r>
      <w:r w:rsidRPr="00405303">
        <w:rPr>
          <w:bCs/>
          <w:color w:val="002060"/>
          <w:sz w:val="16"/>
          <w:szCs w:val="16"/>
        </w:rPr>
        <w:softHyphen/>
        <w:t>зобрали, а оболочку его использовали для постройки сферических аэростатов (11042,163).</w:t>
      </w:r>
    </w:p>
    <w:p w14:paraId="69A4273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Вскоре после этого на Ижорском заводе конструктором Б. В. Голубовым и инженером Д. С. Сухоржевским был закончен проект дирижабля «Воздушный крейсер» объемом около 32000 м</w:t>
      </w:r>
      <w:r w:rsidRPr="00405303">
        <w:rPr>
          <w:bCs/>
          <w:color w:val="002060"/>
          <w:sz w:val="16"/>
          <w:szCs w:val="16"/>
          <w:vertAlign w:val="superscript"/>
        </w:rPr>
        <w:t>3</w:t>
      </w:r>
      <w:r w:rsidRPr="00405303">
        <w:rPr>
          <w:bCs/>
          <w:color w:val="002060"/>
          <w:sz w:val="16"/>
          <w:szCs w:val="16"/>
        </w:rPr>
        <w:t xml:space="preserve"> (11042,163).</w:t>
      </w:r>
    </w:p>
    <w:p w14:paraId="598085ED" w14:textId="77777777" w:rsidR="004B4E35" w:rsidRPr="00405303" w:rsidRDefault="004B4E35" w:rsidP="00C15251">
      <w:pPr>
        <w:shd w:val="clear" w:color="auto" w:fill="FFFFFF"/>
        <w:jc w:val="both"/>
        <w:rPr>
          <w:bCs/>
          <w:color w:val="002060"/>
          <w:sz w:val="16"/>
          <w:szCs w:val="16"/>
        </w:rPr>
      </w:pPr>
    </w:p>
    <w:p w14:paraId="329EA9FE"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0BEC4766" w14:textId="77777777" w:rsidR="004B4E35" w:rsidRPr="00405303" w:rsidRDefault="004B4E35" w:rsidP="00C15251">
      <w:pPr>
        <w:shd w:val="clear" w:color="auto" w:fill="FFFFFF"/>
        <w:jc w:val="both"/>
        <w:rPr>
          <w:bCs/>
          <w:i/>
          <w:color w:val="002060"/>
          <w:sz w:val="16"/>
          <w:szCs w:val="16"/>
        </w:rPr>
      </w:pPr>
    </w:p>
    <w:p w14:paraId="7C278FDE" w14:textId="3604786F" w:rsidR="004B4E35" w:rsidRPr="00405303" w:rsidRDefault="0013484F"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зиму 1914–1915 гг., многие отряды (эскадрильи) очутились в совершенно критическом положении вследствие полной изношенности аэропланов и моторов. Пришлось эти отряды отвести в тыл для перевооружения аппаратами и для переучивания летчиков полетам на новых системах. Часть отрядов, имевших «ньюпоры», перевооружились «моранами-парасоль». Некоторые отряды получили отремонтированные, захваченные нами немецкие и австрийские аппараты; еще позже появились «вуазены» с 130-сильными моторами. Но все это перевооружение производилось без плана и хаотично. К весне 1915 г. большая часть отрядов была перевооружена и вновь появилась на фронте. Начали работать и авиационные школы, но все снабжение материальной частью по-прежнему было неудовлетворительным: мы получали из Франции только те образцы, которые считались там устарелыми. </w:t>
      </w:r>
    </w:p>
    <w:p w14:paraId="14C73408" w14:textId="77777777" w:rsidR="004B4E35" w:rsidRPr="00405303" w:rsidRDefault="009E6F82" w:rsidP="00C15251">
      <w:pPr>
        <w:jc w:val="both"/>
        <w:rPr>
          <w:bCs/>
          <w:color w:val="002060"/>
          <w:sz w:val="16"/>
          <w:szCs w:val="16"/>
        </w:rPr>
      </w:pPr>
      <w:r w:rsidRPr="00405303">
        <w:rPr>
          <w:bCs/>
          <w:color w:val="002060"/>
          <w:sz w:val="16"/>
          <w:szCs w:val="16"/>
        </w:rPr>
        <w:t xml:space="preserve">Осенью 1915 г. германское наступление на Сербию прервало нашу кратчайшую связь с Францией, и отправленные нам аппараты и моторы оказались отрезанными в Салониках. Пришлось их переслать в Архангельск, куда по причине раннего замерзания они не дошли и остались зимовать в Александровске (на Мурмане). </w:t>
      </w:r>
    </w:p>
    <w:p w14:paraId="3923DE77" w14:textId="77777777" w:rsidR="004B4E35" w:rsidRPr="00405303" w:rsidRDefault="009E6F82" w:rsidP="00C15251">
      <w:pPr>
        <w:jc w:val="both"/>
        <w:rPr>
          <w:bCs/>
          <w:color w:val="002060"/>
          <w:sz w:val="16"/>
          <w:szCs w:val="16"/>
        </w:rPr>
      </w:pPr>
      <w:r w:rsidRPr="00405303">
        <w:rPr>
          <w:bCs/>
          <w:color w:val="002060"/>
          <w:sz w:val="16"/>
          <w:szCs w:val="16"/>
        </w:rPr>
        <w:t xml:space="preserve">Вследствие этого к весне 1916 г. наша авиация вновь оказалась в критическом положении. Выписанные нами французские самолеты лежали частью на Мурмане, частью во Франции; аппараты, выстроенные в России, за неимением к ним моторов загромождали склады и заводы. Когда же в июне месяце 1916 г. прибыли наконец в отряды французские аппараты, то они оказались совершенно устарелыми, и мы оказались не в состоянии бороться в воздухе с неприятелем на равных шансах. Большинство воздушных боев между немецкими «фоккерами» и нашими аппаратами оканчивается не в нашу пользу, и длинный список доблестно погибших наших летчиков растет ежедневно. </w:t>
      </w:r>
    </w:p>
    <w:p w14:paraId="301A409E" w14:textId="77777777" w:rsidR="004B4E35" w:rsidRPr="00405303" w:rsidRDefault="009E6F82" w:rsidP="00C15251">
      <w:pPr>
        <w:jc w:val="both"/>
        <w:rPr>
          <w:bCs/>
          <w:color w:val="002060"/>
          <w:sz w:val="16"/>
          <w:szCs w:val="16"/>
        </w:rPr>
      </w:pPr>
      <w:r w:rsidRPr="00405303">
        <w:rPr>
          <w:bCs/>
          <w:color w:val="002060"/>
          <w:sz w:val="16"/>
          <w:szCs w:val="16"/>
        </w:rPr>
        <w:t xml:space="preserve">К 1 сентября 1916 г. наши воздушные силы достигли следующего состава: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6336"/>
        <w:gridCol w:w="768"/>
      </w:tblGrid>
      <w:tr w:rsidR="004B4E35" w:rsidRPr="00405303" w14:paraId="4A9B6D99" w14:textId="77777777">
        <w:tc>
          <w:tcPr>
            <w:tcW w:w="6336" w:type="dxa"/>
          </w:tcPr>
          <w:p w14:paraId="7A2DA883" w14:textId="77777777" w:rsidR="004B4E35" w:rsidRPr="00405303" w:rsidRDefault="009E6F82" w:rsidP="00C15251">
            <w:pPr>
              <w:jc w:val="both"/>
              <w:rPr>
                <w:bCs/>
                <w:color w:val="002060"/>
                <w:sz w:val="16"/>
                <w:szCs w:val="16"/>
              </w:rPr>
            </w:pPr>
            <w:r w:rsidRPr="00405303">
              <w:rPr>
                <w:bCs/>
                <w:color w:val="002060"/>
                <w:sz w:val="16"/>
                <w:szCs w:val="16"/>
              </w:rPr>
              <w:t xml:space="preserve">Авиационных отрядов (эскадрилий) </w:t>
            </w:r>
          </w:p>
        </w:tc>
        <w:tc>
          <w:tcPr>
            <w:tcW w:w="768" w:type="dxa"/>
          </w:tcPr>
          <w:p w14:paraId="44A6B5DB" w14:textId="77777777" w:rsidR="004B4E35" w:rsidRPr="00405303" w:rsidRDefault="009E6F82" w:rsidP="00C15251">
            <w:pPr>
              <w:jc w:val="both"/>
              <w:rPr>
                <w:bCs/>
                <w:color w:val="002060"/>
                <w:sz w:val="16"/>
                <w:szCs w:val="16"/>
              </w:rPr>
            </w:pPr>
            <w:r w:rsidRPr="00405303">
              <w:rPr>
                <w:bCs/>
                <w:color w:val="002060"/>
                <w:sz w:val="16"/>
                <w:szCs w:val="16"/>
              </w:rPr>
              <w:t xml:space="preserve">75 </w:t>
            </w:r>
          </w:p>
        </w:tc>
      </w:tr>
      <w:tr w:rsidR="004B4E35" w:rsidRPr="00405303" w14:paraId="0CBD0CD7" w14:textId="77777777">
        <w:tc>
          <w:tcPr>
            <w:tcW w:w="6336" w:type="dxa"/>
          </w:tcPr>
          <w:p w14:paraId="47C854A8" w14:textId="77777777" w:rsidR="004B4E35" w:rsidRPr="00405303" w:rsidRDefault="009E6F82" w:rsidP="00C15251">
            <w:pPr>
              <w:jc w:val="both"/>
              <w:rPr>
                <w:bCs/>
                <w:color w:val="002060"/>
                <w:sz w:val="16"/>
                <w:szCs w:val="16"/>
              </w:rPr>
            </w:pPr>
            <w:r w:rsidRPr="00405303">
              <w:rPr>
                <w:bCs/>
                <w:color w:val="002060"/>
                <w:sz w:val="16"/>
                <w:szCs w:val="16"/>
              </w:rPr>
              <w:t xml:space="preserve">Воздухоплавательных рот </w:t>
            </w:r>
          </w:p>
        </w:tc>
        <w:tc>
          <w:tcPr>
            <w:tcW w:w="768" w:type="dxa"/>
          </w:tcPr>
          <w:p w14:paraId="6B649535" w14:textId="77777777" w:rsidR="004B4E35" w:rsidRPr="00405303" w:rsidRDefault="009E6F82" w:rsidP="00C15251">
            <w:pPr>
              <w:jc w:val="both"/>
              <w:rPr>
                <w:bCs/>
                <w:color w:val="002060"/>
                <w:sz w:val="16"/>
                <w:szCs w:val="16"/>
              </w:rPr>
            </w:pPr>
            <w:r w:rsidRPr="00405303">
              <w:rPr>
                <w:bCs/>
                <w:color w:val="002060"/>
                <w:sz w:val="16"/>
                <w:szCs w:val="16"/>
              </w:rPr>
              <w:t xml:space="preserve">36 </w:t>
            </w:r>
          </w:p>
        </w:tc>
      </w:tr>
      <w:tr w:rsidR="004B4E35" w:rsidRPr="00405303" w14:paraId="075D80AE" w14:textId="77777777">
        <w:tc>
          <w:tcPr>
            <w:tcW w:w="6336" w:type="dxa"/>
          </w:tcPr>
          <w:p w14:paraId="4BA24DE0" w14:textId="77777777" w:rsidR="004B4E35" w:rsidRPr="00405303" w:rsidRDefault="009E6F82" w:rsidP="00C15251">
            <w:pPr>
              <w:jc w:val="both"/>
              <w:rPr>
                <w:bCs/>
                <w:color w:val="002060"/>
                <w:sz w:val="16"/>
                <w:szCs w:val="16"/>
              </w:rPr>
            </w:pPr>
            <w:r w:rsidRPr="00405303">
              <w:rPr>
                <w:bCs/>
                <w:color w:val="002060"/>
                <w:sz w:val="16"/>
                <w:szCs w:val="16"/>
              </w:rPr>
              <w:t xml:space="preserve">Самолетов </w:t>
            </w:r>
          </w:p>
        </w:tc>
        <w:tc>
          <w:tcPr>
            <w:tcW w:w="768" w:type="dxa"/>
          </w:tcPr>
          <w:p w14:paraId="2C9265F0" w14:textId="77777777" w:rsidR="004B4E35" w:rsidRPr="00405303" w:rsidRDefault="009E6F82" w:rsidP="00C15251">
            <w:pPr>
              <w:jc w:val="both"/>
              <w:rPr>
                <w:bCs/>
                <w:color w:val="002060"/>
                <w:sz w:val="16"/>
                <w:szCs w:val="16"/>
              </w:rPr>
            </w:pPr>
            <w:r w:rsidRPr="00405303">
              <w:rPr>
                <w:bCs/>
                <w:color w:val="002060"/>
                <w:sz w:val="16"/>
                <w:szCs w:val="16"/>
              </w:rPr>
              <w:t xml:space="preserve">716 </w:t>
            </w:r>
          </w:p>
        </w:tc>
      </w:tr>
      <w:tr w:rsidR="004B4E35" w:rsidRPr="00405303" w14:paraId="4CFD9A16" w14:textId="77777777">
        <w:tc>
          <w:tcPr>
            <w:tcW w:w="6336" w:type="dxa"/>
          </w:tcPr>
          <w:p w14:paraId="291E5A8B" w14:textId="77777777" w:rsidR="004B4E35" w:rsidRPr="00405303" w:rsidRDefault="009E6F82" w:rsidP="00C15251">
            <w:pPr>
              <w:jc w:val="both"/>
              <w:rPr>
                <w:bCs/>
                <w:color w:val="002060"/>
                <w:sz w:val="16"/>
                <w:szCs w:val="16"/>
              </w:rPr>
            </w:pPr>
            <w:r w:rsidRPr="00405303">
              <w:rPr>
                <w:bCs/>
                <w:color w:val="002060"/>
                <w:sz w:val="16"/>
                <w:szCs w:val="16"/>
              </w:rPr>
              <w:t xml:space="preserve">Летчиков </w:t>
            </w:r>
          </w:p>
        </w:tc>
        <w:tc>
          <w:tcPr>
            <w:tcW w:w="768" w:type="dxa"/>
          </w:tcPr>
          <w:p w14:paraId="0C845D57" w14:textId="77777777" w:rsidR="004B4E35" w:rsidRPr="00405303" w:rsidRDefault="009E6F82" w:rsidP="00C15251">
            <w:pPr>
              <w:jc w:val="both"/>
              <w:rPr>
                <w:bCs/>
                <w:color w:val="002060"/>
                <w:sz w:val="16"/>
                <w:szCs w:val="16"/>
              </w:rPr>
            </w:pPr>
            <w:r w:rsidRPr="00405303">
              <w:rPr>
                <w:bCs/>
                <w:color w:val="002060"/>
                <w:sz w:val="16"/>
                <w:szCs w:val="16"/>
              </w:rPr>
              <w:t xml:space="preserve">502 </w:t>
            </w:r>
          </w:p>
        </w:tc>
      </w:tr>
      <w:tr w:rsidR="004B4E35" w:rsidRPr="00405303" w14:paraId="57C7E826" w14:textId="77777777">
        <w:tc>
          <w:tcPr>
            <w:tcW w:w="6336" w:type="dxa"/>
          </w:tcPr>
          <w:p w14:paraId="380D22C6" w14:textId="77777777" w:rsidR="004B4E35" w:rsidRPr="00405303" w:rsidRDefault="009E6F82" w:rsidP="00C15251">
            <w:pPr>
              <w:jc w:val="both"/>
              <w:rPr>
                <w:bCs/>
                <w:color w:val="002060"/>
                <w:sz w:val="16"/>
                <w:szCs w:val="16"/>
              </w:rPr>
            </w:pPr>
            <w:r w:rsidRPr="00405303">
              <w:rPr>
                <w:bCs/>
                <w:color w:val="002060"/>
                <w:sz w:val="16"/>
                <w:szCs w:val="16"/>
              </w:rPr>
              <w:t xml:space="preserve">Наблюдателей </w:t>
            </w:r>
          </w:p>
        </w:tc>
        <w:tc>
          <w:tcPr>
            <w:tcW w:w="768" w:type="dxa"/>
          </w:tcPr>
          <w:p w14:paraId="6AFBC52B" w14:textId="77777777" w:rsidR="004B4E35" w:rsidRPr="00405303" w:rsidRDefault="009E6F82" w:rsidP="00C15251">
            <w:pPr>
              <w:jc w:val="both"/>
              <w:rPr>
                <w:bCs/>
                <w:color w:val="002060"/>
                <w:sz w:val="16"/>
                <w:szCs w:val="16"/>
              </w:rPr>
            </w:pPr>
            <w:r w:rsidRPr="00405303">
              <w:rPr>
                <w:bCs/>
                <w:color w:val="002060"/>
                <w:sz w:val="16"/>
                <w:szCs w:val="16"/>
              </w:rPr>
              <w:t xml:space="preserve">357 </w:t>
            </w:r>
          </w:p>
        </w:tc>
      </w:tr>
    </w:tbl>
    <w:p w14:paraId="2B21D871" w14:textId="77777777" w:rsidR="004B4E35" w:rsidRPr="00405303" w:rsidRDefault="009E6F82" w:rsidP="00C15251">
      <w:pPr>
        <w:jc w:val="both"/>
        <w:rPr>
          <w:bCs/>
          <w:color w:val="002060"/>
          <w:sz w:val="16"/>
          <w:szCs w:val="16"/>
        </w:rPr>
      </w:pPr>
      <w:r w:rsidRPr="00405303">
        <w:rPr>
          <w:bCs/>
          <w:color w:val="002060"/>
          <w:sz w:val="16"/>
          <w:szCs w:val="16"/>
        </w:rPr>
        <w:t xml:space="preserve">Если мы сравним вышенапечатанные цифры с соответствующими данными, приведенными для начала войны, то нельзя не констатировать роста наших воздушных сил. Но такое примитивное сравнение говорит слишком мало. Дело в том, что за тот же период времени возросла и самая численность Русской армии. К 1 сентября </w:t>
      </w:r>
      <w:r w:rsidRPr="00405303">
        <w:rPr>
          <w:bCs/>
          <w:color w:val="002060"/>
          <w:sz w:val="16"/>
          <w:szCs w:val="16"/>
        </w:rPr>
        <w:lastRenderedPageBreak/>
        <w:t xml:space="preserve">1916 г. число пехотных дивизий в Действующей армии по сравнению с началом войны удвоилось. Таким образом, при сравнении сил наших воздушных войск начала войны и конца 1916 г. нужно принять во внимание, что во втором случае эти войска должны были обслуживать в два раза более численную армию. Подойдя к интересующему нас сравнению с такой точки зрения, мы должны прийти к заключению, что в конце 1916 г. Русская армия оказалась оборудованной авиацией лишь очень немногим лучше, нежели в начале войны. Но если принять во внимание то, что за 2,5 года войны германская армия, так </w:t>
      </w:r>
      <w:proofErr w:type="gramStart"/>
      <w:r w:rsidRPr="00405303">
        <w:rPr>
          <w:bCs/>
          <w:color w:val="002060"/>
          <w:sz w:val="16"/>
          <w:szCs w:val="16"/>
        </w:rPr>
        <w:t>же</w:t>
      </w:r>
      <w:proofErr w:type="gramEnd"/>
      <w:r w:rsidRPr="00405303">
        <w:rPr>
          <w:bCs/>
          <w:color w:val="002060"/>
          <w:sz w:val="16"/>
          <w:szCs w:val="16"/>
        </w:rPr>
        <w:t xml:space="preserve"> как и французская и британская, сделала громадные шаги по пути развития своих воздушных сил, то окажется, что к концу 1916 г. Русская армия стала еще беззащитнее в воздухе, чем была в 1914 году. В печатаемой ниже таблице приведены данные о произведенных нашей авиацией полетах с начала войны до 1 сентября 1916 г. </w:t>
      </w:r>
    </w:p>
    <w:p w14:paraId="4C792A56" w14:textId="77777777" w:rsidR="004B4E35" w:rsidRPr="00405303" w:rsidRDefault="009E6F82" w:rsidP="00C15251">
      <w:pPr>
        <w:jc w:val="both"/>
        <w:rPr>
          <w:bCs/>
          <w:color w:val="002060"/>
          <w:sz w:val="16"/>
          <w:szCs w:val="16"/>
        </w:rPr>
      </w:pPr>
      <w:r w:rsidRPr="00405303">
        <w:rPr>
          <w:bCs/>
          <w:color w:val="002060"/>
          <w:sz w:val="16"/>
          <w:szCs w:val="16"/>
        </w:rPr>
        <w:t xml:space="preserve">Число полетов, произведенных русской авиацией с начала войны по 1(14) сентября 1916 г.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893"/>
        <w:gridCol w:w="728"/>
        <w:gridCol w:w="728"/>
        <w:gridCol w:w="728"/>
        <w:gridCol w:w="1031"/>
        <w:gridCol w:w="1031"/>
        <w:gridCol w:w="1031"/>
        <w:gridCol w:w="1062"/>
        <w:gridCol w:w="1062"/>
        <w:gridCol w:w="1062"/>
      </w:tblGrid>
      <w:tr w:rsidR="00946658" w:rsidRPr="00405303" w14:paraId="5A6F5305" w14:textId="77777777" w:rsidTr="00946658">
        <w:tc>
          <w:tcPr>
            <w:tcW w:w="893" w:type="dxa"/>
          </w:tcPr>
          <w:p w14:paraId="5F5A036D" w14:textId="77777777" w:rsidR="004B4E35" w:rsidRPr="00405303" w:rsidRDefault="009E6F82" w:rsidP="00C15251">
            <w:pPr>
              <w:jc w:val="both"/>
              <w:rPr>
                <w:bCs/>
                <w:color w:val="002060"/>
                <w:sz w:val="16"/>
                <w:szCs w:val="16"/>
              </w:rPr>
            </w:pPr>
            <w:r w:rsidRPr="00405303">
              <w:rPr>
                <w:bCs/>
                <w:color w:val="002060"/>
                <w:sz w:val="16"/>
                <w:szCs w:val="16"/>
              </w:rPr>
              <w:t xml:space="preserve">Месяцы </w:t>
            </w:r>
          </w:p>
        </w:tc>
        <w:tc>
          <w:tcPr>
            <w:tcW w:w="8463" w:type="dxa"/>
            <w:gridSpan w:val="9"/>
          </w:tcPr>
          <w:p w14:paraId="1B4252CD" w14:textId="77777777" w:rsidR="004B4E35" w:rsidRPr="00405303" w:rsidRDefault="009E6F82" w:rsidP="00C15251">
            <w:pPr>
              <w:jc w:val="both"/>
              <w:rPr>
                <w:bCs/>
                <w:color w:val="002060"/>
                <w:sz w:val="16"/>
                <w:szCs w:val="16"/>
              </w:rPr>
            </w:pPr>
            <w:r w:rsidRPr="00405303">
              <w:rPr>
                <w:bCs/>
                <w:color w:val="002060"/>
                <w:sz w:val="16"/>
                <w:szCs w:val="16"/>
              </w:rPr>
              <w:t xml:space="preserve">Годы </w:t>
            </w:r>
          </w:p>
        </w:tc>
      </w:tr>
      <w:tr w:rsidR="00946658" w:rsidRPr="00405303" w14:paraId="495D2C8F" w14:textId="77777777" w:rsidTr="00946658">
        <w:tc>
          <w:tcPr>
            <w:tcW w:w="893" w:type="dxa"/>
          </w:tcPr>
          <w:p w14:paraId="7BD0CAC4" w14:textId="77777777" w:rsidR="004B4E35" w:rsidRPr="00405303" w:rsidRDefault="004B4E35" w:rsidP="00C15251">
            <w:pPr>
              <w:jc w:val="both"/>
              <w:rPr>
                <w:bCs/>
                <w:color w:val="002060"/>
                <w:sz w:val="16"/>
                <w:szCs w:val="16"/>
              </w:rPr>
            </w:pPr>
          </w:p>
        </w:tc>
        <w:tc>
          <w:tcPr>
            <w:tcW w:w="2184" w:type="dxa"/>
            <w:gridSpan w:val="3"/>
          </w:tcPr>
          <w:p w14:paraId="13FFCD3F" w14:textId="77777777" w:rsidR="004B4E35" w:rsidRPr="00405303" w:rsidRDefault="009E6F82" w:rsidP="00C15251">
            <w:pPr>
              <w:jc w:val="both"/>
              <w:rPr>
                <w:bCs/>
                <w:color w:val="002060"/>
                <w:sz w:val="16"/>
                <w:szCs w:val="16"/>
              </w:rPr>
            </w:pPr>
            <w:r w:rsidRPr="00405303">
              <w:rPr>
                <w:bCs/>
                <w:color w:val="002060"/>
                <w:sz w:val="16"/>
                <w:szCs w:val="16"/>
              </w:rPr>
              <w:t xml:space="preserve">Летало летчиков </w:t>
            </w:r>
          </w:p>
        </w:tc>
        <w:tc>
          <w:tcPr>
            <w:tcW w:w="3093" w:type="dxa"/>
            <w:gridSpan w:val="3"/>
          </w:tcPr>
          <w:p w14:paraId="5771B018" w14:textId="77777777" w:rsidR="004B4E35" w:rsidRPr="00405303" w:rsidRDefault="009E6F82" w:rsidP="00C15251">
            <w:pPr>
              <w:jc w:val="both"/>
              <w:rPr>
                <w:bCs/>
                <w:color w:val="002060"/>
                <w:sz w:val="16"/>
                <w:szCs w:val="16"/>
              </w:rPr>
            </w:pPr>
            <w:r w:rsidRPr="00405303">
              <w:rPr>
                <w:bCs/>
                <w:color w:val="002060"/>
                <w:sz w:val="16"/>
                <w:szCs w:val="16"/>
              </w:rPr>
              <w:t xml:space="preserve">Совершено всеми летчиками полетов </w:t>
            </w:r>
          </w:p>
        </w:tc>
        <w:tc>
          <w:tcPr>
            <w:tcW w:w="3186" w:type="dxa"/>
            <w:gridSpan w:val="3"/>
          </w:tcPr>
          <w:p w14:paraId="3F7D6A20" w14:textId="77777777" w:rsidR="004B4E35" w:rsidRPr="00405303" w:rsidRDefault="009E6F82" w:rsidP="00C15251">
            <w:pPr>
              <w:jc w:val="both"/>
              <w:rPr>
                <w:bCs/>
                <w:color w:val="002060"/>
                <w:sz w:val="16"/>
                <w:szCs w:val="16"/>
              </w:rPr>
            </w:pPr>
            <w:r w:rsidRPr="00405303">
              <w:rPr>
                <w:bCs/>
                <w:color w:val="002060"/>
                <w:sz w:val="16"/>
                <w:szCs w:val="16"/>
              </w:rPr>
              <w:t xml:space="preserve">Общей продолжительностью (в часах) </w:t>
            </w:r>
          </w:p>
        </w:tc>
      </w:tr>
      <w:tr w:rsidR="004B4E35" w:rsidRPr="00405303" w14:paraId="3DA15D7E" w14:textId="77777777">
        <w:tc>
          <w:tcPr>
            <w:tcW w:w="893" w:type="dxa"/>
          </w:tcPr>
          <w:p w14:paraId="1683491C" w14:textId="77777777" w:rsidR="004B4E35" w:rsidRPr="00405303" w:rsidRDefault="004B4E35" w:rsidP="00C15251">
            <w:pPr>
              <w:jc w:val="both"/>
              <w:rPr>
                <w:bCs/>
                <w:color w:val="002060"/>
                <w:sz w:val="16"/>
                <w:szCs w:val="16"/>
              </w:rPr>
            </w:pPr>
          </w:p>
        </w:tc>
        <w:tc>
          <w:tcPr>
            <w:tcW w:w="728" w:type="dxa"/>
          </w:tcPr>
          <w:p w14:paraId="459884DF" w14:textId="77777777" w:rsidR="004B4E35" w:rsidRPr="00405303" w:rsidRDefault="009E6F82" w:rsidP="00C15251">
            <w:pPr>
              <w:jc w:val="both"/>
              <w:rPr>
                <w:bCs/>
                <w:color w:val="002060"/>
                <w:sz w:val="16"/>
                <w:szCs w:val="16"/>
              </w:rPr>
            </w:pPr>
            <w:r w:rsidRPr="00405303">
              <w:rPr>
                <w:bCs/>
                <w:color w:val="002060"/>
                <w:sz w:val="16"/>
                <w:szCs w:val="16"/>
              </w:rPr>
              <w:t xml:space="preserve">1914 г. </w:t>
            </w:r>
          </w:p>
        </w:tc>
        <w:tc>
          <w:tcPr>
            <w:tcW w:w="728" w:type="dxa"/>
          </w:tcPr>
          <w:p w14:paraId="072E46B7" w14:textId="77777777" w:rsidR="004B4E35" w:rsidRPr="00405303" w:rsidRDefault="009E6F82" w:rsidP="00C15251">
            <w:pPr>
              <w:jc w:val="both"/>
              <w:rPr>
                <w:bCs/>
                <w:color w:val="002060"/>
                <w:sz w:val="16"/>
                <w:szCs w:val="16"/>
              </w:rPr>
            </w:pPr>
            <w:r w:rsidRPr="00405303">
              <w:rPr>
                <w:bCs/>
                <w:color w:val="002060"/>
                <w:sz w:val="16"/>
                <w:szCs w:val="16"/>
              </w:rPr>
              <w:t xml:space="preserve">1915 г. </w:t>
            </w:r>
          </w:p>
        </w:tc>
        <w:tc>
          <w:tcPr>
            <w:tcW w:w="728" w:type="dxa"/>
          </w:tcPr>
          <w:p w14:paraId="155B9CF2" w14:textId="77777777" w:rsidR="004B4E35" w:rsidRPr="00405303" w:rsidRDefault="009E6F82" w:rsidP="00C15251">
            <w:pPr>
              <w:jc w:val="both"/>
              <w:rPr>
                <w:bCs/>
                <w:color w:val="002060"/>
                <w:sz w:val="16"/>
                <w:szCs w:val="16"/>
              </w:rPr>
            </w:pPr>
            <w:r w:rsidRPr="00405303">
              <w:rPr>
                <w:bCs/>
                <w:color w:val="002060"/>
                <w:sz w:val="16"/>
                <w:szCs w:val="16"/>
              </w:rPr>
              <w:t xml:space="preserve">1916 г. </w:t>
            </w:r>
          </w:p>
        </w:tc>
        <w:tc>
          <w:tcPr>
            <w:tcW w:w="1031" w:type="dxa"/>
          </w:tcPr>
          <w:p w14:paraId="76A0A7CF" w14:textId="77777777" w:rsidR="004B4E35" w:rsidRPr="00405303" w:rsidRDefault="009E6F82" w:rsidP="00C15251">
            <w:pPr>
              <w:jc w:val="both"/>
              <w:rPr>
                <w:bCs/>
                <w:color w:val="002060"/>
                <w:sz w:val="16"/>
                <w:szCs w:val="16"/>
              </w:rPr>
            </w:pPr>
            <w:r w:rsidRPr="00405303">
              <w:rPr>
                <w:bCs/>
                <w:color w:val="002060"/>
                <w:sz w:val="16"/>
                <w:szCs w:val="16"/>
              </w:rPr>
              <w:t xml:space="preserve">1914 г. </w:t>
            </w:r>
          </w:p>
        </w:tc>
        <w:tc>
          <w:tcPr>
            <w:tcW w:w="1031" w:type="dxa"/>
          </w:tcPr>
          <w:p w14:paraId="0C529D60" w14:textId="77777777" w:rsidR="004B4E35" w:rsidRPr="00405303" w:rsidRDefault="009E6F82" w:rsidP="00C15251">
            <w:pPr>
              <w:jc w:val="both"/>
              <w:rPr>
                <w:bCs/>
                <w:color w:val="002060"/>
                <w:sz w:val="16"/>
                <w:szCs w:val="16"/>
              </w:rPr>
            </w:pPr>
            <w:r w:rsidRPr="00405303">
              <w:rPr>
                <w:bCs/>
                <w:color w:val="002060"/>
                <w:sz w:val="16"/>
                <w:szCs w:val="16"/>
              </w:rPr>
              <w:t xml:space="preserve">1915 г. </w:t>
            </w:r>
          </w:p>
        </w:tc>
        <w:tc>
          <w:tcPr>
            <w:tcW w:w="1031" w:type="dxa"/>
          </w:tcPr>
          <w:p w14:paraId="586C1203" w14:textId="77777777" w:rsidR="004B4E35" w:rsidRPr="00405303" w:rsidRDefault="009E6F82" w:rsidP="00C15251">
            <w:pPr>
              <w:jc w:val="both"/>
              <w:rPr>
                <w:bCs/>
                <w:color w:val="002060"/>
                <w:sz w:val="16"/>
                <w:szCs w:val="16"/>
              </w:rPr>
            </w:pPr>
            <w:r w:rsidRPr="00405303">
              <w:rPr>
                <w:bCs/>
                <w:color w:val="002060"/>
                <w:sz w:val="16"/>
                <w:szCs w:val="16"/>
              </w:rPr>
              <w:t xml:space="preserve">1916 г. </w:t>
            </w:r>
          </w:p>
        </w:tc>
        <w:tc>
          <w:tcPr>
            <w:tcW w:w="1062" w:type="dxa"/>
          </w:tcPr>
          <w:p w14:paraId="44FBE863" w14:textId="77777777" w:rsidR="004B4E35" w:rsidRPr="00405303" w:rsidRDefault="009E6F82" w:rsidP="00C15251">
            <w:pPr>
              <w:jc w:val="both"/>
              <w:rPr>
                <w:bCs/>
                <w:color w:val="002060"/>
                <w:sz w:val="16"/>
                <w:szCs w:val="16"/>
              </w:rPr>
            </w:pPr>
            <w:r w:rsidRPr="00405303">
              <w:rPr>
                <w:bCs/>
                <w:color w:val="002060"/>
                <w:sz w:val="16"/>
                <w:szCs w:val="16"/>
              </w:rPr>
              <w:t xml:space="preserve">1914 г. </w:t>
            </w:r>
          </w:p>
        </w:tc>
        <w:tc>
          <w:tcPr>
            <w:tcW w:w="1062" w:type="dxa"/>
          </w:tcPr>
          <w:p w14:paraId="0F0EFC01" w14:textId="77777777" w:rsidR="004B4E35" w:rsidRPr="00405303" w:rsidRDefault="009E6F82" w:rsidP="00C15251">
            <w:pPr>
              <w:jc w:val="both"/>
              <w:rPr>
                <w:bCs/>
                <w:color w:val="002060"/>
                <w:sz w:val="16"/>
                <w:szCs w:val="16"/>
              </w:rPr>
            </w:pPr>
            <w:r w:rsidRPr="00405303">
              <w:rPr>
                <w:bCs/>
                <w:color w:val="002060"/>
                <w:sz w:val="16"/>
                <w:szCs w:val="16"/>
              </w:rPr>
              <w:t xml:space="preserve">1915 г. </w:t>
            </w:r>
          </w:p>
        </w:tc>
        <w:tc>
          <w:tcPr>
            <w:tcW w:w="1062" w:type="dxa"/>
          </w:tcPr>
          <w:p w14:paraId="4CE66444" w14:textId="77777777" w:rsidR="004B4E35" w:rsidRPr="00405303" w:rsidRDefault="009E6F82" w:rsidP="00C15251">
            <w:pPr>
              <w:jc w:val="both"/>
              <w:rPr>
                <w:bCs/>
                <w:color w:val="002060"/>
                <w:sz w:val="16"/>
                <w:szCs w:val="16"/>
              </w:rPr>
            </w:pPr>
            <w:r w:rsidRPr="00405303">
              <w:rPr>
                <w:bCs/>
                <w:color w:val="002060"/>
                <w:sz w:val="16"/>
                <w:szCs w:val="16"/>
              </w:rPr>
              <w:t xml:space="preserve">1916 г. </w:t>
            </w:r>
          </w:p>
        </w:tc>
      </w:tr>
      <w:tr w:rsidR="004B4E35" w:rsidRPr="00405303" w14:paraId="722021BD" w14:textId="77777777">
        <w:tc>
          <w:tcPr>
            <w:tcW w:w="893" w:type="dxa"/>
          </w:tcPr>
          <w:p w14:paraId="728C8DFA" w14:textId="77777777" w:rsidR="004B4E35" w:rsidRPr="00405303" w:rsidRDefault="009E6F82" w:rsidP="00C15251">
            <w:pPr>
              <w:jc w:val="both"/>
              <w:rPr>
                <w:bCs/>
                <w:color w:val="002060"/>
                <w:sz w:val="16"/>
                <w:szCs w:val="16"/>
              </w:rPr>
            </w:pPr>
            <w:r w:rsidRPr="00405303">
              <w:rPr>
                <w:bCs/>
                <w:color w:val="002060"/>
                <w:sz w:val="16"/>
                <w:szCs w:val="16"/>
              </w:rPr>
              <w:t xml:space="preserve">Январь </w:t>
            </w:r>
          </w:p>
        </w:tc>
        <w:tc>
          <w:tcPr>
            <w:tcW w:w="728" w:type="dxa"/>
          </w:tcPr>
          <w:p w14:paraId="152F9C8B"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728" w:type="dxa"/>
          </w:tcPr>
          <w:p w14:paraId="5E95498D" w14:textId="77777777" w:rsidR="004B4E35" w:rsidRPr="00405303" w:rsidRDefault="009E6F82" w:rsidP="00C15251">
            <w:pPr>
              <w:jc w:val="both"/>
              <w:rPr>
                <w:bCs/>
                <w:color w:val="002060"/>
                <w:sz w:val="16"/>
                <w:szCs w:val="16"/>
              </w:rPr>
            </w:pPr>
            <w:r w:rsidRPr="00405303">
              <w:rPr>
                <w:bCs/>
                <w:color w:val="002060"/>
                <w:sz w:val="16"/>
                <w:szCs w:val="16"/>
              </w:rPr>
              <w:t xml:space="preserve">148 </w:t>
            </w:r>
          </w:p>
        </w:tc>
        <w:tc>
          <w:tcPr>
            <w:tcW w:w="728" w:type="dxa"/>
          </w:tcPr>
          <w:p w14:paraId="203383E3" w14:textId="77777777" w:rsidR="004B4E35" w:rsidRPr="00405303" w:rsidRDefault="009E6F82" w:rsidP="00C15251">
            <w:pPr>
              <w:jc w:val="both"/>
              <w:rPr>
                <w:bCs/>
                <w:color w:val="002060"/>
                <w:sz w:val="16"/>
                <w:szCs w:val="16"/>
              </w:rPr>
            </w:pPr>
            <w:r w:rsidRPr="00405303">
              <w:rPr>
                <w:bCs/>
                <w:color w:val="002060"/>
                <w:sz w:val="16"/>
                <w:szCs w:val="16"/>
              </w:rPr>
              <w:t xml:space="preserve">196 </w:t>
            </w:r>
          </w:p>
        </w:tc>
        <w:tc>
          <w:tcPr>
            <w:tcW w:w="1031" w:type="dxa"/>
          </w:tcPr>
          <w:p w14:paraId="735750E3"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31" w:type="dxa"/>
          </w:tcPr>
          <w:p w14:paraId="77C701DB" w14:textId="77777777" w:rsidR="004B4E35" w:rsidRPr="00405303" w:rsidRDefault="009E6F82" w:rsidP="00C15251">
            <w:pPr>
              <w:jc w:val="both"/>
              <w:rPr>
                <w:bCs/>
                <w:color w:val="002060"/>
                <w:sz w:val="16"/>
                <w:szCs w:val="16"/>
              </w:rPr>
            </w:pPr>
            <w:r w:rsidRPr="00405303">
              <w:rPr>
                <w:bCs/>
                <w:color w:val="002060"/>
                <w:sz w:val="16"/>
                <w:szCs w:val="16"/>
              </w:rPr>
              <w:t xml:space="preserve">725 </w:t>
            </w:r>
          </w:p>
        </w:tc>
        <w:tc>
          <w:tcPr>
            <w:tcW w:w="1031" w:type="dxa"/>
          </w:tcPr>
          <w:p w14:paraId="289F3641" w14:textId="77777777" w:rsidR="004B4E35" w:rsidRPr="00405303" w:rsidRDefault="009E6F82" w:rsidP="00C15251">
            <w:pPr>
              <w:jc w:val="both"/>
              <w:rPr>
                <w:bCs/>
                <w:color w:val="002060"/>
                <w:sz w:val="16"/>
                <w:szCs w:val="16"/>
              </w:rPr>
            </w:pPr>
            <w:r w:rsidRPr="00405303">
              <w:rPr>
                <w:bCs/>
                <w:color w:val="002060"/>
                <w:sz w:val="16"/>
                <w:szCs w:val="16"/>
              </w:rPr>
              <w:t xml:space="preserve">944 </w:t>
            </w:r>
          </w:p>
        </w:tc>
        <w:tc>
          <w:tcPr>
            <w:tcW w:w="1062" w:type="dxa"/>
          </w:tcPr>
          <w:p w14:paraId="7EF133A7"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62" w:type="dxa"/>
          </w:tcPr>
          <w:p w14:paraId="065777EC" w14:textId="77777777" w:rsidR="004B4E35" w:rsidRPr="00405303" w:rsidRDefault="009E6F82" w:rsidP="00C15251">
            <w:pPr>
              <w:jc w:val="both"/>
              <w:rPr>
                <w:bCs/>
                <w:color w:val="002060"/>
                <w:sz w:val="16"/>
                <w:szCs w:val="16"/>
              </w:rPr>
            </w:pPr>
            <w:r w:rsidRPr="00405303">
              <w:rPr>
                <w:bCs/>
                <w:color w:val="002060"/>
                <w:sz w:val="16"/>
                <w:szCs w:val="16"/>
              </w:rPr>
              <w:t xml:space="preserve">674 </w:t>
            </w:r>
          </w:p>
        </w:tc>
        <w:tc>
          <w:tcPr>
            <w:tcW w:w="1062" w:type="dxa"/>
          </w:tcPr>
          <w:p w14:paraId="64A03BB9" w14:textId="77777777" w:rsidR="004B4E35" w:rsidRPr="00405303" w:rsidRDefault="009E6F82" w:rsidP="00C15251">
            <w:pPr>
              <w:jc w:val="both"/>
              <w:rPr>
                <w:bCs/>
                <w:color w:val="002060"/>
                <w:sz w:val="16"/>
                <w:szCs w:val="16"/>
              </w:rPr>
            </w:pPr>
            <w:r w:rsidRPr="00405303">
              <w:rPr>
                <w:bCs/>
                <w:color w:val="002060"/>
                <w:sz w:val="16"/>
                <w:szCs w:val="16"/>
              </w:rPr>
              <w:t xml:space="preserve">1331 </w:t>
            </w:r>
          </w:p>
        </w:tc>
      </w:tr>
      <w:tr w:rsidR="004B4E35" w:rsidRPr="00405303" w14:paraId="393CB294" w14:textId="77777777">
        <w:tc>
          <w:tcPr>
            <w:tcW w:w="893" w:type="dxa"/>
          </w:tcPr>
          <w:p w14:paraId="55BB4153" w14:textId="77777777" w:rsidR="004B4E35" w:rsidRPr="00405303" w:rsidRDefault="009E6F82" w:rsidP="00C15251">
            <w:pPr>
              <w:jc w:val="both"/>
              <w:rPr>
                <w:bCs/>
                <w:color w:val="002060"/>
                <w:sz w:val="16"/>
                <w:szCs w:val="16"/>
              </w:rPr>
            </w:pPr>
            <w:r w:rsidRPr="00405303">
              <w:rPr>
                <w:bCs/>
                <w:color w:val="002060"/>
                <w:sz w:val="16"/>
                <w:szCs w:val="16"/>
              </w:rPr>
              <w:t xml:space="preserve">Февраль </w:t>
            </w:r>
          </w:p>
        </w:tc>
        <w:tc>
          <w:tcPr>
            <w:tcW w:w="728" w:type="dxa"/>
          </w:tcPr>
          <w:p w14:paraId="0BC5FC20"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728" w:type="dxa"/>
          </w:tcPr>
          <w:p w14:paraId="45660B7A" w14:textId="77777777" w:rsidR="004B4E35" w:rsidRPr="00405303" w:rsidRDefault="009E6F82" w:rsidP="00C15251">
            <w:pPr>
              <w:jc w:val="both"/>
              <w:rPr>
                <w:bCs/>
                <w:color w:val="002060"/>
                <w:sz w:val="16"/>
                <w:szCs w:val="16"/>
              </w:rPr>
            </w:pPr>
            <w:r w:rsidRPr="00405303">
              <w:rPr>
                <w:bCs/>
                <w:color w:val="002060"/>
                <w:sz w:val="16"/>
                <w:szCs w:val="16"/>
              </w:rPr>
              <w:t xml:space="preserve">169 </w:t>
            </w:r>
          </w:p>
        </w:tc>
        <w:tc>
          <w:tcPr>
            <w:tcW w:w="728" w:type="dxa"/>
          </w:tcPr>
          <w:p w14:paraId="76D31578" w14:textId="77777777" w:rsidR="004B4E35" w:rsidRPr="00405303" w:rsidRDefault="009E6F82" w:rsidP="00C15251">
            <w:pPr>
              <w:jc w:val="both"/>
              <w:rPr>
                <w:bCs/>
                <w:color w:val="002060"/>
                <w:sz w:val="16"/>
                <w:szCs w:val="16"/>
              </w:rPr>
            </w:pPr>
            <w:r w:rsidRPr="00405303">
              <w:rPr>
                <w:bCs/>
                <w:color w:val="002060"/>
                <w:sz w:val="16"/>
                <w:szCs w:val="16"/>
              </w:rPr>
              <w:t xml:space="preserve">165 </w:t>
            </w:r>
          </w:p>
        </w:tc>
        <w:tc>
          <w:tcPr>
            <w:tcW w:w="1031" w:type="dxa"/>
          </w:tcPr>
          <w:p w14:paraId="1AEB87BE"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31" w:type="dxa"/>
          </w:tcPr>
          <w:p w14:paraId="58C35445" w14:textId="77777777" w:rsidR="004B4E35" w:rsidRPr="00405303" w:rsidRDefault="009E6F82" w:rsidP="00C15251">
            <w:pPr>
              <w:jc w:val="both"/>
              <w:rPr>
                <w:bCs/>
                <w:color w:val="002060"/>
                <w:sz w:val="16"/>
                <w:szCs w:val="16"/>
              </w:rPr>
            </w:pPr>
            <w:r w:rsidRPr="00405303">
              <w:rPr>
                <w:bCs/>
                <w:color w:val="002060"/>
                <w:sz w:val="16"/>
                <w:szCs w:val="16"/>
              </w:rPr>
              <w:t xml:space="preserve">967 </w:t>
            </w:r>
          </w:p>
        </w:tc>
        <w:tc>
          <w:tcPr>
            <w:tcW w:w="1031" w:type="dxa"/>
          </w:tcPr>
          <w:p w14:paraId="5884C982" w14:textId="77777777" w:rsidR="004B4E35" w:rsidRPr="00405303" w:rsidRDefault="009E6F82" w:rsidP="00C15251">
            <w:pPr>
              <w:jc w:val="both"/>
              <w:rPr>
                <w:bCs/>
                <w:color w:val="002060"/>
                <w:sz w:val="16"/>
                <w:szCs w:val="16"/>
              </w:rPr>
            </w:pPr>
            <w:r w:rsidRPr="00405303">
              <w:rPr>
                <w:bCs/>
                <w:color w:val="002060"/>
                <w:sz w:val="16"/>
                <w:szCs w:val="16"/>
              </w:rPr>
              <w:t xml:space="preserve">728 </w:t>
            </w:r>
          </w:p>
        </w:tc>
        <w:tc>
          <w:tcPr>
            <w:tcW w:w="1062" w:type="dxa"/>
          </w:tcPr>
          <w:p w14:paraId="79337663"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62" w:type="dxa"/>
          </w:tcPr>
          <w:p w14:paraId="46519EF6" w14:textId="77777777" w:rsidR="004B4E35" w:rsidRPr="00405303" w:rsidRDefault="009E6F82" w:rsidP="00C15251">
            <w:pPr>
              <w:jc w:val="both"/>
              <w:rPr>
                <w:bCs/>
                <w:color w:val="002060"/>
                <w:sz w:val="16"/>
                <w:szCs w:val="16"/>
              </w:rPr>
            </w:pPr>
            <w:r w:rsidRPr="00405303">
              <w:rPr>
                <w:bCs/>
                <w:color w:val="002060"/>
                <w:sz w:val="16"/>
                <w:szCs w:val="16"/>
              </w:rPr>
              <w:t xml:space="preserve">965 </w:t>
            </w:r>
          </w:p>
        </w:tc>
        <w:tc>
          <w:tcPr>
            <w:tcW w:w="1062" w:type="dxa"/>
          </w:tcPr>
          <w:p w14:paraId="444C2BE4" w14:textId="77777777" w:rsidR="004B4E35" w:rsidRPr="00405303" w:rsidRDefault="009E6F82" w:rsidP="00C15251">
            <w:pPr>
              <w:jc w:val="both"/>
              <w:rPr>
                <w:bCs/>
                <w:color w:val="002060"/>
                <w:sz w:val="16"/>
                <w:szCs w:val="16"/>
              </w:rPr>
            </w:pPr>
            <w:r w:rsidRPr="00405303">
              <w:rPr>
                <w:bCs/>
                <w:color w:val="002060"/>
                <w:sz w:val="16"/>
                <w:szCs w:val="16"/>
              </w:rPr>
              <w:t xml:space="preserve">882 </w:t>
            </w:r>
          </w:p>
        </w:tc>
      </w:tr>
      <w:tr w:rsidR="004B4E35" w:rsidRPr="00405303" w14:paraId="0260BB7A" w14:textId="77777777">
        <w:tc>
          <w:tcPr>
            <w:tcW w:w="893" w:type="dxa"/>
          </w:tcPr>
          <w:p w14:paraId="689BAF0E" w14:textId="77777777" w:rsidR="004B4E35" w:rsidRPr="00405303" w:rsidRDefault="009E6F82" w:rsidP="00C15251">
            <w:pPr>
              <w:jc w:val="both"/>
              <w:rPr>
                <w:bCs/>
                <w:color w:val="002060"/>
                <w:sz w:val="16"/>
                <w:szCs w:val="16"/>
              </w:rPr>
            </w:pPr>
            <w:r w:rsidRPr="00405303">
              <w:rPr>
                <w:bCs/>
                <w:color w:val="002060"/>
                <w:sz w:val="16"/>
                <w:szCs w:val="16"/>
              </w:rPr>
              <w:t xml:space="preserve">Март </w:t>
            </w:r>
          </w:p>
        </w:tc>
        <w:tc>
          <w:tcPr>
            <w:tcW w:w="728" w:type="dxa"/>
          </w:tcPr>
          <w:p w14:paraId="37979D61"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728" w:type="dxa"/>
          </w:tcPr>
          <w:p w14:paraId="4E7D5E4A" w14:textId="77777777" w:rsidR="004B4E35" w:rsidRPr="00405303" w:rsidRDefault="009E6F82" w:rsidP="00C15251">
            <w:pPr>
              <w:jc w:val="both"/>
              <w:rPr>
                <w:bCs/>
                <w:color w:val="002060"/>
                <w:sz w:val="16"/>
                <w:szCs w:val="16"/>
              </w:rPr>
            </w:pPr>
            <w:r w:rsidRPr="00405303">
              <w:rPr>
                <w:bCs/>
                <w:color w:val="002060"/>
                <w:sz w:val="16"/>
                <w:szCs w:val="16"/>
              </w:rPr>
              <w:t xml:space="preserve">180 </w:t>
            </w:r>
          </w:p>
        </w:tc>
        <w:tc>
          <w:tcPr>
            <w:tcW w:w="728" w:type="dxa"/>
          </w:tcPr>
          <w:p w14:paraId="3A9724BC" w14:textId="77777777" w:rsidR="004B4E35" w:rsidRPr="00405303" w:rsidRDefault="009E6F82" w:rsidP="00C15251">
            <w:pPr>
              <w:jc w:val="both"/>
              <w:rPr>
                <w:bCs/>
                <w:color w:val="002060"/>
                <w:sz w:val="16"/>
                <w:szCs w:val="16"/>
              </w:rPr>
            </w:pPr>
            <w:r w:rsidRPr="00405303">
              <w:rPr>
                <w:bCs/>
                <w:color w:val="002060"/>
                <w:sz w:val="16"/>
                <w:szCs w:val="16"/>
              </w:rPr>
              <w:t xml:space="preserve">201 </w:t>
            </w:r>
          </w:p>
        </w:tc>
        <w:tc>
          <w:tcPr>
            <w:tcW w:w="1031" w:type="dxa"/>
          </w:tcPr>
          <w:p w14:paraId="536910B2"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31" w:type="dxa"/>
          </w:tcPr>
          <w:p w14:paraId="00B252B0" w14:textId="77777777" w:rsidR="004B4E35" w:rsidRPr="00405303" w:rsidRDefault="009E6F82" w:rsidP="00C15251">
            <w:pPr>
              <w:jc w:val="both"/>
              <w:rPr>
                <w:bCs/>
                <w:color w:val="002060"/>
                <w:sz w:val="16"/>
                <w:szCs w:val="16"/>
              </w:rPr>
            </w:pPr>
            <w:r w:rsidRPr="00405303">
              <w:rPr>
                <w:bCs/>
                <w:color w:val="002060"/>
                <w:sz w:val="16"/>
                <w:szCs w:val="16"/>
              </w:rPr>
              <w:t xml:space="preserve">1021 </w:t>
            </w:r>
          </w:p>
        </w:tc>
        <w:tc>
          <w:tcPr>
            <w:tcW w:w="1031" w:type="dxa"/>
          </w:tcPr>
          <w:p w14:paraId="541ACB21" w14:textId="77777777" w:rsidR="004B4E35" w:rsidRPr="00405303" w:rsidRDefault="009E6F82" w:rsidP="00C15251">
            <w:pPr>
              <w:jc w:val="both"/>
              <w:rPr>
                <w:bCs/>
                <w:color w:val="002060"/>
                <w:sz w:val="16"/>
                <w:szCs w:val="16"/>
              </w:rPr>
            </w:pPr>
            <w:r w:rsidRPr="00405303">
              <w:rPr>
                <w:bCs/>
                <w:color w:val="002060"/>
                <w:sz w:val="16"/>
                <w:szCs w:val="16"/>
              </w:rPr>
              <w:t xml:space="preserve">1230 </w:t>
            </w:r>
          </w:p>
        </w:tc>
        <w:tc>
          <w:tcPr>
            <w:tcW w:w="1062" w:type="dxa"/>
          </w:tcPr>
          <w:p w14:paraId="22EF9CBD"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62" w:type="dxa"/>
          </w:tcPr>
          <w:p w14:paraId="5D5CC53E" w14:textId="77777777" w:rsidR="004B4E35" w:rsidRPr="00405303" w:rsidRDefault="009E6F82" w:rsidP="00C15251">
            <w:pPr>
              <w:jc w:val="both"/>
              <w:rPr>
                <w:bCs/>
                <w:color w:val="002060"/>
                <w:sz w:val="16"/>
                <w:szCs w:val="16"/>
              </w:rPr>
            </w:pPr>
            <w:r w:rsidRPr="00405303">
              <w:rPr>
                <w:bCs/>
                <w:color w:val="002060"/>
                <w:sz w:val="16"/>
                <w:szCs w:val="16"/>
              </w:rPr>
              <w:t xml:space="preserve">1123 </w:t>
            </w:r>
          </w:p>
        </w:tc>
        <w:tc>
          <w:tcPr>
            <w:tcW w:w="1062" w:type="dxa"/>
          </w:tcPr>
          <w:p w14:paraId="4B07B969" w14:textId="77777777" w:rsidR="004B4E35" w:rsidRPr="00405303" w:rsidRDefault="009E6F82" w:rsidP="00C15251">
            <w:pPr>
              <w:jc w:val="both"/>
              <w:rPr>
                <w:bCs/>
                <w:color w:val="002060"/>
                <w:sz w:val="16"/>
                <w:szCs w:val="16"/>
              </w:rPr>
            </w:pPr>
            <w:r w:rsidRPr="00405303">
              <w:rPr>
                <w:bCs/>
                <w:color w:val="002060"/>
                <w:sz w:val="16"/>
                <w:szCs w:val="16"/>
              </w:rPr>
              <w:t xml:space="preserve">1816 </w:t>
            </w:r>
          </w:p>
        </w:tc>
      </w:tr>
      <w:tr w:rsidR="004B4E35" w:rsidRPr="00405303" w14:paraId="2064F130" w14:textId="77777777">
        <w:tc>
          <w:tcPr>
            <w:tcW w:w="893" w:type="dxa"/>
          </w:tcPr>
          <w:p w14:paraId="5404F1FD" w14:textId="77777777" w:rsidR="004B4E35" w:rsidRPr="00405303" w:rsidRDefault="009E6F82" w:rsidP="00C15251">
            <w:pPr>
              <w:jc w:val="both"/>
              <w:rPr>
                <w:bCs/>
                <w:color w:val="002060"/>
                <w:sz w:val="16"/>
                <w:szCs w:val="16"/>
              </w:rPr>
            </w:pPr>
            <w:r w:rsidRPr="00405303">
              <w:rPr>
                <w:bCs/>
                <w:color w:val="002060"/>
                <w:sz w:val="16"/>
                <w:szCs w:val="16"/>
              </w:rPr>
              <w:t xml:space="preserve">Апрель </w:t>
            </w:r>
          </w:p>
        </w:tc>
        <w:tc>
          <w:tcPr>
            <w:tcW w:w="728" w:type="dxa"/>
          </w:tcPr>
          <w:p w14:paraId="5CC4595E"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728" w:type="dxa"/>
          </w:tcPr>
          <w:p w14:paraId="73A54F8D" w14:textId="77777777" w:rsidR="004B4E35" w:rsidRPr="00405303" w:rsidRDefault="009E6F82" w:rsidP="00C15251">
            <w:pPr>
              <w:jc w:val="both"/>
              <w:rPr>
                <w:bCs/>
                <w:color w:val="002060"/>
                <w:sz w:val="16"/>
                <w:szCs w:val="16"/>
              </w:rPr>
            </w:pPr>
            <w:r w:rsidRPr="00405303">
              <w:rPr>
                <w:bCs/>
                <w:color w:val="002060"/>
                <w:sz w:val="16"/>
                <w:szCs w:val="16"/>
              </w:rPr>
              <w:t xml:space="preserve">183 </w:t>
            </w:r>
          </w:p>
        </w:tc>
        <w:tc>
          <w:tcPr>
            <w:tcW w:w="728" w:type="dxa"/>
          </w:tcPr>
          <w:p w14:paraId="27E9BD59" w14:textId="77777777" w:rsidR="004B4E35" w:rsidRPr="00405303" w:rsidRDefault="009E6F82" w:rsidP="00C15251">
            <w:pPr>
              <w:jc w:val="both"/>
              <w:rPr>
                <w:bCs/>
                <w:color w:val="002060"/>
                <w:sz w:val="16"/>
                <w:szCs w:val="16"/>
              </w:rPr>
            </w:pPr>
            <w:r w:rsidRPr="00405303">
              <w:rPr>
                <w:bCs/>
                <w:color w:val="002060"/>
                <w:sz w:val="16"/>
                <w:szCs w:val="16"/>
              </w:rPr>
              <w:t xml:space="preserve">231 </w:t>
            </w:r>
          </w:p>
        </w:tc>
        <w:tc>
          <w:tcPr>
            <w:tcW w:w="1031" w:type="dxa"/>
          </w:tcPr>
          <w:p w14:paraId="4D11D32D"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31" w:type="dxa"/>
          </w:tcPr>
          <w:p w14:paraId="3FDF4901" w14:textId="77777777" w:rsidR="004B4E35" w:rsidRPr="00405303" w:rsidRDefault="009E6F82" w:rsidP="00C15251">
            <w:pPr>
              <w:jc w:val="both"/>
              <w:rPr>
                <w:bCs/>
                <w:color w:val="002060"/>
                <w:sz w:val="16"/>
                <w:szCs w:val="16"/>
              </w:rPr>
            </w:pPr>
            <w:r w:rsidRPr="00405303">
              <w:rPr>
                <w:bCs/>
                <w:color w:val="002060"/>
                <w:sz w:val="16"/>
                <w:szCs w:val="16"/>
              </w:rPr>
              <w:t xml:space="preserve">1526 </w:t>
            </w:r>
          </w:p>
        </w:tc>
        <w:tc>
          <w:tcPr>
            <w:tcW w:w="1031" w:type="dxa"/>
          </w:tcPr>
          <w:p w14:paraId="7400752A" w14:textId="77777777" w:rsidR="004B4E35" w:rsidRPr="00405303" w:rsidRDefault="009E6F82" w:rsidP="00C15251">
            <w:pPr>
              <w:jc w:val="both"/>
              <w:rPr>
                <w:bCs/>
                <w:color w:val="002060"/>
                <w:sz w:val="16"/>
                <w:szCs w:val="16"/>
              </w:rPr>
            </w:pPr>
            <w:r w:rsidRPr="00405303">
              <w:rPr>
                <w:bCs/>
                <w:color w:val="002060"/>
                <w:sz w:val="16"/>
                <w:szCs w:val="16"/>
              </w:rPr>
              <w:t xml:space="preserve">1454 </w:t>
            </w:r>
          </w:p>
        </w:tc>
        <w:tc>
          <w:tcPr>
            <w:tcW w:w="1062" w:type="dxa"/>
          </w:tcPr>
          <w:p w14:paraId="509BC93D"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62" w:type="dxa"/>
          </w:tcPr>
          <w:p w14:paraId="0384021B" w14:textId="77777777" w:rsidR="004B4E35" w:rsidRPr="00405303" w:rsidRDefault="009E6F82" w:rsidP="00C15251">
            <w:pPr>
              <w:jc w:val="both"/>
              <w:rPr>
                <w:bCs/>
                <w:color w:val="002060"/>
                <w:sz w:val="16"/>
                <w:szCs w:val="16"/>
              </w:rPr>
            </w:pPr>
            <w:r w:rsidRPr="00405303">
              <w:rPr>
                <w:bCs/>
                <w:color w:val="002060"/>
                <w:sz w:val="16"/>
                <w:szCs w:val="16"/>
              </w:rPr>
              <w:t xml:space="preserve">1912 </w:t>
            </w:r>
          </w:p>
        </w:tc>
        <w:tc>
          <w:tcPr>
            <w:tcW w:w="1062" w:type="dxa"/>
          </w:tcPr>
          <w:p w14:paraId="7A516A38" w14:textId="77777777" w:rsidR="004B4E35" w:rsidRPr="00405303" w:rsidRDefault="009E6F82" w:rsidP="00C15251">
            <w:pPr>
              <w:jc w:val="both"/>
              <w:rPr>
                <w:bCs/>
                <w:color w:val="002060"/>
                <w:sz w:val="16"/>
                <w:szCs w:val="16"/>
              </w:rPr>
            </w:pPr>
            <w:r w:rsidRPr="00405303">
              <w:rPr>
                <w:bCs/>
                <w:color w:val="002060"/>
                <w:sz w:val="16"/>
                <w:szCs w:val="16"/>
              </w:rPr>
              <w:t xml:space="preserve">2059 </w:t>
            </w:r>
          </w:p>
        </w:tc>
      </w:tr>
      <w:tr w:rsidR="004B4E35" w:rsidRPr="00405303" w14:paraId="78C2916C" w14:textId="77777777">
        <w:tc>
          <w:tcPr>
            <w:tcW w:w="893" w:type="dxa"/>
          </w:tcPr>
          <w:p w14:paraId="5B85883E" w14:textId="77777777" w:rsidR="004B4E35" w:rsidRPr="00405303" w:rsidRDefault="009E6F82" w:rsidP="00C15251">
            <w:pPr>
              <w:jc w:val="both"/>
              <w:rPr>
                <w:bCs/>
                <w:color w:val="002060"/>
                <w:sz w:val="16"/>
                <w:szCs w:val="16"/>
              </w:rPr>
            </w:pPr>
            <w:r w:rsidRPr="00405303">
              <w:rPr>
                <w:bCs/>
                <w:color w:val="002060"/>
                <w:sz w:val="16"/>
                <w:szCs w:val="16"/>
              </w:rPr>
              <w:t xml:space="preserve">Май </w:t>
            </w:r>
          </w:p>
        </w:tc>
        <w:tc>
          <w:tcPr>
            <w:tcW w:w="728" w:type="dxa"/>
          </w:tcPr>
          <w:p w14:paraId="2CC88924"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728" w:type="dxa"/>
          </w:tcPr>
          <w:p w14:paraId="24420305" w14:textId="77777777" w:rsidR="004B4E35" w:rsidRPr="00405303" w:rsidRDefault="009E6F82" w:rsidP="00C15251">
            <w:pPr>
              <w:jc w:val="both"/>
              <w:rPr>
                <w:bCs/>
                <w:color w:val="002060"/>
                <w:sz w:val="16"/>
                <w:szCs w:val="16"/>
              </w:rPr>
            </w:pPr>
            <w:r w:rsidRPr="00405303">
              <w:rPr>
                <w:bCs/>
                <w:color w:val="002060"/>
                <w:sz w:val="16"/>
                <w:szCs w:val="16"/>
              </w:rPr>
              <w:t xml:space="preserve">193 </w:t>
            </w:r>
          </w:p>
        </w:tc>
        <w:tc>
          <w:tcPr>
            <w:tcW w:w="728" w:type="dxa"/>
          </w:tcPr>
          <w:p w14:paraId="137AA199" w14:textId="77777777" w:rsidR="004B4E35" w:rsidRPr="00405303" w:rsidRDefault="009E6F82" w:rsidP="00C15251">
            <w:pPr>
              <w:jc w:val="both"/>
              <w:rPr>
                <w:bCs/>
                <w:color w:val="002060"/>
                <w:sz w:val="16"/>
                <w:szCs w:val="16"/>
              </w:rPr>
            </w:pPr>
            <w:r w:rsidRPr="00405303">
              <w:rPr>
                <w:bCs/>
                <w:color w:val="002060"/>
                <w:sz w:val="16"/>
                <w:szCs w:val="16"/>
              </w:rPr>
              <w:t xml:space="preserve">256 </w:t>
            </w:r>
          </w:p>
        </w:tc>
        <w:tc>
          <w:tcPr>
            <w:tcW w:w="1031" w:type="dxa"/>
          </w:tcPr>
          <w:p w14:paraId="629628B2"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31" w:type="dxa"/>
          </w:tcPr>
          <w:p w14:paraId="35A424C2" w14:textId="77777777" w:rsidR="004B4E35" w:rsidRPr="00405303" w:rsidRDefault="009E6F82" w:rsidP="00C15251">
            <w:pPr>
              <w:jc w:val="both"/>
              <w:rPr>
                <w:bCs/>
                <w:color w:val="002060"/>
                <w:sz w:val="16"/>
                <w:szCs w:val="16"/>
              </w:rPr>
            </w:pPr>
            <w:r w:rsidRPr="00405303">
              <w:rPr>
                <w:bCs/>
                <w:color w:val="002060"/>
                <w:sz w:val="16"/>
                <w:szCs w:val="16"/>
              </w:rPr>
              <w:t xml:space="preserve">1713 </w:t>
            </w:r>
          </w:p>
        </w:tc>
        <w:tc>
          <w:tcPr>
            <w:tcW w:w="1031" w:type="dxa"/>
          </w:tcPr>
          <w:p w14:paraId="7522F61F" w14:textId="77777777" w:rsidR="004B4E35" w:rsidRPr="00405303" w:rsidRDefault="009E6F82" w:rsidP="00C15251">
            <w:pPr>
              <w:jc w:val="both"/>
              <w:rPr>
                <w:bCs/>
                <w:color w:val="002060"/>
                <w:sz w:val="16"/>
                <w:szCs w:val="16"/>
              </w:rPr>
            </w:pPr>
            <w:r w:rsidRPr="00405303">
              <w:rPr>
                <w:bCs/>
                <w:color w:val="002060"/>
                <w:sz w:val="16"/>
                <w:szCs w:val="16"/>
              </w:rPr>
              <w:t xml:space="preserve">2234 </w:t>
            </w:r>
          </w:p>
        </w:tc>
        <w:tc>
          <w:tcPr>
            <w:tcW w:w="1062" w:type="dxa"/>
          </w:tcPr>
          <w:p w14:paraId="594906AF"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62" w:type="dxa"/>
          </w:tcPr>
          <w:p w14:paraId="6192587D" w14:textId="77777777" w:rsidR="004B4E35" w:rsidRPr="00405303" w:rsidRDefault="009E6F82" w:rsidP="00C15251">
            <w:pPr>
              <w:jc w:val="both"/>
              <w:rPr>
                <w:bCs/>
                <w:color w:val="002060"/>
                <w:sz w:val="16"/>
                <w:szCs w:val="16"/>
              </w:rPr>
            </w:pPr>
            <w:r w:rsidRPr="00405303">
              <w:rPr>
                <w:bCs/>
                <w:color w:val="002060"/>
                <w:sz w:val="16"/>
                <w:szCs w:val="16"/>
              </w:rPr>
              <w:t xml:space="preserve">1954 </w:t>
            </w:r>
          </w:p>
        </w:tc>
        <w:tc>
          <w:tcPr>
            <w:tcW w:w="1062" w:type="dxa"/>
          </w:tcPr>
          <w:p w14:paraId="4659A959" w14:textId="77777777" w:rsidR="004B4E35" w:rsidRPr="00405303" w:rsidRDefault="009E6F82" w:rsidP="00C15251">
            <w:pPr>
              <w:jc w:val="both"/>
              <w:rPr>
                <w:bCs/>
                <w:color w:val="002060"/>
                <w:sz w:val="16"/>
                <w:szCs w:val="16"/>
              </w:rPr>
            </w:pPr>
            <w:r w:rsidRPr="00405303">
              <w:rPr>
                <w:bCs/>
                <w:color w:val="002060"/>
                <w:sz w:val="16"/>
                <w:szCs w:val="16"/>
              </w:rPr>
              <w:t xml:space="preserve">3101 </w:t>
            </w:r>
          </w:p>
        </w:tc>
      </w:tr>
      <w:tr w:rsidR="004B4E35" w:rsidRPr="00405303" w14:paraId="78B80643" w14:textId="77777777">
        <w:tc>
          <w:tcPr>
            <w:tcW w:w="893" w:type="dxa"/>
          </w:tcPr>
          <w:p w14:paraId="5B51D11F" w14:textId="77777777" w:rsidR="004B4E35" w:rsidRPr="00405303" w:rsidRDefault="009E6F82" w:rsidP="00C15251">
            <w:pPr>
              <w:jc w:val="both"/>
              <w:rPr>
                <w:bCs/>
                <w:color w:val="002060"/>
                <w:sz w:val="16"/>
                <w:szCs w:val="16"/>
              </w:rPr>
            </w:pPr>
            <w:r w:rsidRPr="00405303">
              <w:rPr>
                <w:bCs/>
                <w:color w:val="002060"/>
                <w:sz w:val="16"/>
                <w:szCs w:val="16"/>
              </w:rPr>
              <w:t xml:space="preserve">Июнь </w:t>
            </w:r>
          </w:p>
        </w:tc>
        <w:tc>
          <w:tcPr>
            <w:tcW w:w="728" w:type="dxa"/>
          </w:tcPr>
          <w:p w14:paraId="6CD079E3"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728" w:type="dxa"/>
          </w:tcPr>
          <w:p w14:paraId="14E0DB53" w14:textId="77777777" w:rsidR="004B4E35" w:rsidRPr="00405303" w:rsidRDefault="009E6F82" w:rsidP="00C15251">
            <w:pPr>
              <w:jc w:val="both"/>
              <w:rPr>
                <w:bCs/>
                <w:color w:val="002060"/>
                <w:sz w:val="16"/>
                <w:szCs w:val="16"/>
              </w:rPr>
            </w:pPr>
            <w:r w:rsidRPr="00405303">
              <w:rPr>
                <w:bCs/>
                <w:color w:val="002060"/>
                <w:sz w:val="16"/>
                <w:szCs w:val="16"/>
              </w:rPr>
              <w:t xml:space="preserve">191 </w:t>
            </w:r>
          </w:p>
        </w:tc>
        <w:tc>
          <w:tcPr>
            <w:tcW w:w="728" w:type="dxa"/>
          </w:tcPr>
          <w:p w14:paraId="114ABB53" w14:textId="77777777" w:rsidR="004B4E35" w:rsidRPr="00405303" w:rsidRDefault="009E6F82" w:rsidP="00C15251">
            <w:pPr>
              <w:jc w:val="both"/>
              <w:rPr>
                <w:bCs/>
                <w:color w:val="002060"/>
                <w:sz w:val="16"/>
                <w:szCs w:val="16"/>
              </w:rPr>
            </w:pPr>
            <w:r w:rsidRPr="00405303">
              <w:rPr>
                <w:bCs/>
                <w:color w:val="002060"/>
                <w:sz w:val="16"/>
                <w:szCs w:val="16"/>
              </w:rPr>
              <w:t xml:space="preserve">265 </w:t>
            </w:r>
          </w:p>
        </w:tc>
        <w:tc>
          <w:tcPr>
            <w:tcW w:w="1031" w:type="dxa"/>
          </w:tcPr>
          <w:p w14:paraId="7B010D28"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31" w:type="dxa"/>
          </w:tcPr>
          <w:p w14:paraId="7262A599" w14:textId="77777777" w:rsidR="004B4E35" w:rsidRPr="00405303" w:rsidRDefault="009E6F82" w:rsidP="00C15251">
            <w:pPr>
              <w:jc w:val="both"/>
              <w:rPr>
                <w:bCs/>
                <w:color w:val="002060"/>
                <w:sz w:val="16"/>
                <w:szCs w:val="16"/>
              </w:rPr>
            </w:pPr>
            <w:r w:rsidRPr="00405303">
              <w:rPr>
                <w:bCs/>
                <w:color w:val="002060"/>
                <w:sz w:val="16"/>
                <w:szCs w:val="16"/>
              </w:rPr>
              <w:t xml:space="preserve">1603 </w:t>
            </w:r>
          </w:p>
        </w:tc>
        <w:tc>
          <w:tcPr>
            <w:tcW w:w="1031" w:type="dxa"/>
          </w:tcPr>
          <w:p w14:paraId="4D77D857" w14:textId="77777777" w:rsidR="004B4E35" w:rsidRPr="00405303" w:rsidRDefault="009E6F82" w:rsidP="00C15251">
            <w:pPr>
              <w:jc w:val="both"/>
              <w:rPr>
                <w:bCs/>
                <w:color w:val="002060"/>
                <w:sz w:val="16"/>
                <w:szCs w:val="16"/>
              </w:rPr>
            </w:pPr>
            <w:r w:rsidRPr="00405303">
              <w:rPr>
                <w:bCs/>
                <w:color w:val="002060"/>
                <w:sz w:val="16"/>
                <w:szCs w:val="16"/>
              </w:rPr>
              <w:t xml:space="preserve">1441 </w:t>
            </w:r>
          </w:p>
        </w:tc>
        <w:tc>
          <w:tcPr>
            <w:tcW w:w="1062" w:type="dxa"/>
          </w:tcPr>
          <w:p w14:paraId="09B361E4"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62" w:type="dxa"/>
          </w:tcPr>
          <w:p w14:paraId="41BF2AF7" w14:textId="77777777" w:rsidR="004B4E35" w:rsidRPr="00405303" w:rsidRDefault="009E6F82" w:rsidP="00C15251">
            <w:pPr>
              <w:jc w:val="both"/>
              <w:rPr>
                <w:bCs/>
                <w:color w:val="002060"/>
                <w:sz w:val="16"/>
                <w:szCs w:val="16"/>
              </w:rPr>
            </w:pPr>
            <w:r w:rsidRPr="00405303">
              <w:rPr>
                <w:bCs/>
                <w:color w:val="002060"/>
                <w:sz w:val="16"/>
                <w:szCs w:val="16"/>
              </w:rPr>
              <w:t xml:space="preserve">1728 </w:t>
            </w:r>
          </w:p>
        </w:tc>
        <w:tc>
          <w:tcPr>
            <w:tcW w:w="1062" w:type="dxa"/>
          </w:tcPr>
          <w:p w14:paraId="5DE015FA" w14:textId="77777777" w:rsidR="004B4E35" w:rsidRPr="00405303" w:rsidRDefault="009E6F82" w:rsidP="00C15251">
            <w:pPr>
              <w:jc w:val="both"/>
              <w:rPr>
                <w:bCs/>
                <w:color w:val="002060"/>
                <w:sz w:val="16"/>
                <w:szCs w:val="16"/>
              </w:rPr>
            </w:pPr>
            <w:r w:rsidRPr="00405303">
              <w:rPr>
                <w:bCs/>
                <w:color w:val="002060"/>
                <w:sz w:val="16"/>
                <w:szCs w:val="16"/>
              </w:rPr>
              <w:t xml:space="preserve">2592 </w:t>
            </w:r>
          </w:p>
        </w:tc>
      </w:tr>
      <w:tr w:rsidR="004B4E35" w:rsidRPr="00405303" w14:paraId="5D46A280" w14:textId="77777777">
        <w:tc>
          <w:tcPr>
            <w:tcW w:w="893" w:type="dxa"/>
          </w:tcPr>
          <w:p w14:paraId="46D52E80" w14:textId="77777777" w:rsidR="004B4E35" w:rsidRPr="00405303" w:rsidRDefault="009E6F82" w:rsidP="00C15251">
            <w:pPr>
              <w:jc w:val="both"/>
              <w:rPr>
                <w:bCs/>
                <w:color w:val="002060"/>
                <w:sz w:val="16"/>
                <w:szCs w:val="16"/>
              </w:rPr>
            </w:pPr>
            <w:r w:rsidRPr="00405303">
              <w:rPr>
                <w:bCs/>
                <w:color w:val="002060"/>
                <w:sz w:val="16"/>
                <w:szCs w:val="16"/>
              </w:rPr>
              <w:t xml:space="preserve">Июль </w:t>
            </w:r>
          </w:p>
        </w:tc>
        <w:tc>
          <w:tcPr>
            <w:tcW w:w="728" w:type="dxa"/>
          </w:tcPr>
          <w:p w14:paraId="7B65CF92" w14:textId="77777777" w:rsidR="004B4E35" w:rsidRPr="00405303" w:rsidRDefault="009E6F82" w:rsidP="00C15251">
            <w:pPr>
              <w:jc w:val="both"/>
              <w:rPr>
                <w:bCs/>
                <w:color w:val="002060"/>
                <w:sz w:val="16"/>
                <w:szCs w:val="16"/>
              </w:rPr>
            </w:pPr>
            <w:r w:rsidRPr="00405303">
              <w:rPr>
                <w:bCs/>
                <w:color w:val="002060"/>
                <w:sz w:val="16"/>
                <w:szCs w:val="16"/>
              </w:rPr>
              <w:t xml:space="preserve">129 </w:t>
            </w:r>
          </w:p>
        </w:tc>
        <w:tc>
          <w:tcPr>
            <w:tcW w:w="728" w:type="dxa"/>
          </w:tcPr>
          <w:p w14:paraId="0BD90389" w14:textId="77777777" w:rsidR="004B4E35" w:rsidRPr="00405303" w:rsidRDefault="009E6F82" w:rsidP="00C15251">
            <w:pPr>
              <w:jc w:val="both"/>
              <w:rPr>
                <w:bCs/>
                <w:color w:val="002060"/>
                <w:sz w:val="16"/>
                <w:szCs w:val="16"/>
              </w:rPr>
            </w:pPr>
            <w:r w:rsidRPr="00405303">
              <w:rPr>
                <w:bCs/>
                <w:color w:val="002060"/>
                <w:sz w:val="16"/>
                <w:szCs w:val="16"/>
              </w:rPr>
              <w:t xml:space="preserve">202 </w:t>
            </w:r>
          </w:p>
        </w:tc>
        <w:tc>
          <w:tcPr>
            <w:tcW w:w="728" w:type="dxa"/>
          </w:tcPr>
          <w:p w14:paraId="1F695D0A" w14:textId="77777777" w:rsidR="004B4E35" w:rsidRPr="00405303" w:rsidRDefault="009E6F82" w:rsidP="00C15251">
            <w:pPr>
              <w:jc w:val="both"/>
              <w:rPr>
                <w:bCs/>
                <w:color w:val="002060"/>
                <w:sz w:val="16"/>
                <w:szCs w:val="16"/>
              </w:rPr>
            </w:pPr>
            <w:r w:rsidRPr="00405303">
              <w:rPr>
                <w:bCs/>
                <w:color w:val="002060"/>
                <w:sz w:val="16"/>
                <w:szCs w:val="16"/>
              </w:rPr>
              <w:t xml:space="preserve">299 </w:t>
            </w:r>
          </w:p>
        </w:tc>
        <w:tc>
          <w:tcPr>
            <w:tcW w:w="1031" w:type="dxa"/>
          </w:tcPr>
          <w:p w14:paraId="2822F9F0" w14:textId="77777777" w:rsidR="004B4E35" w:rsidRPr="00405303" w:rsidRDefault="009E6F82" w:rsidP="00C15251">
            <w:pPr>
              <w:jc w:val="both"/>
              <w:rPr>
                <w:bCs/>
                <w:color w:val="002060"/>
                <w:sz w:val="16"/>
                <w:szCs w:val="16"/>
              </w:rPr>
            </w:pPr>
            <w:r w:rsidRPr="00405303">
              <w:rPr>
                <w:bCs/>
                <w:color w:val="002060"/>
                <w:sz w:val="16"/>
                <w:szCs w:val="16"/>
              </w:rPr>
              <w:t xml:space="preserve">1162 </w:t>
            </w:r>
          </w:p>
        </w:tc>
        <w:tc>
          <w:tcPr>
            <w:tcW w:w="1031" w:type="dxa"/>
          </w:tcPr>
          <w:p w14:paraId="60DB3398" w14:textId="77777777" w:rsidR="004B4E35" w:rsidRPr="00405303" w:rsidRDefault="009E6F82" w:rsidP="00C15251">
            <w:pPr>
              <w:jc w:val="both"/>
              <w:rPr>
                <w:bCs/>
                <w:color w:val="002060"/>
                <w:sz w:val="16"/>
                <w:szCs w:val="16"/>
              </w:rPr>
            </w:pPr>
            <w:r w:rsidRPr="00405303">
              <w:rPr>
                <w:bCs/>
                <w:color w:val="002060"/>
                <w:sz w:val="16"/>
                <w:szCs w:val="16"/>
              </w:rPr>
              <w:t xml:space="preserve">1841 </w:t>
            </w:r>
          </w:p>
        </w:tc>
        <w:tc>
          <w:tcPr>
            <w:tcW w:w="1031" w:type="dxa"/>
          </w:tcPr>
          <w:p w14:paraId="54572C07" w14:textId="77777777" w:rsidR="004B4E35" w:rsidRPr="00405303" w:rsidRDefault="009E6F82" w:rsidP="00C15251">
            <w:pPr>
              <w:jc w:val="both"/>
              <w:rPr>
                <w:bCs/>
                <w:color w:val="002060"/>
                <w:sz w:val="16"/>
                <w:szCs w:val="16"/>
              </w:rPr>
            </w:pPr>
            <w:r w:rsidRPr="00405303">
              <w:rPr>
                <w:bCs/>
                <w:color w:val="002060"/>
                <w:sz w:val="16"/>
                <w:szCs w:val="16"/>
              </w:rPr>
              <w:t xml:space="preserve">1347 </w:t>
            </w:r>
          </w:p>
        </w:tc>
        <w:tc>
          <w:tcPr>
            <w:tcW w:w="1062" w:type="dxa"/>
          </w:tcPr>
          <w:p w14:paraId="2F40F245" w14:textId="77777777" w:rsidR="004B4E35" w:rsidRPr="00405303" w:rsidRDefault="009E6F82" w:rsidP="00C15251">
            <w:pPr>
              <w:jc w:val="both"/>
              <w:rPr>
                <w:bCs/>
                <w:color w:val="002060"/>
                <w:sz w:val="16"/>
                <w:szCs w:val="16"/>
              </w:rPr>
            </w:pPr>
            <w:r w:rsidRPr="00405303">
              <w:rPr>
                <w:bCs/>
                <w:color w:val="002060"/>
                <w:sz w:val="16"/>
                <w:szCs w:val="16"/>
              </w:rPr>
              <w:t xml:space="preserve">1151 </w:t>
            </w:r>
          </w:p>
        </w:tc>
        <w:tc>
          <w:tcPr>
            <w:tcW w:w="1062" w:type="dxa"/>
          </w:tcPr>
          <w:p w14:paraId="699AFFDB" w14:textId="77777777" w:rsidR="004B4E35" w:rsidRPr="00405303" w:rsidRDefault="009E6F82" w:rsidP="00C15251">
            <w:pPr>
              <w:jc w:val="both"/>
              <w:rPr>
                <w:bCs/>
                <w:color w:val="002060"/>
                <w:sz w:val="16"/>
                <w:szCs w:val="16"/>
              </w:rPr>
            </w:pPr>
            <w:r w:rsidRPr="00405303">
              <w:rPr>
                <w:bCs/>
                <w:color w:val="002060"/>
                <w:sz w:val="16"/>
                <w:szCs w:val="16"/>
              </w:rPr>
              <w:t xml:space="preserve">2150 </w:t>
            </w:r>
          </w:p>
        </w:tc>
        <w:tc>
          <w:tcPr>
            <w:tcW w:w="1062" w:type="dxa"/>
          </w:tcPr>
          <w:p w14:paraId="7A5656A3" w14:textId="77777777" w:rsidR="004B4E35" w:rsidRPr="00405303" w:rsidRDefault="009E6F82" w:rsidP="00C15251">
            <w:pPr>
              <w:jc w:val="both"/>
              <w:rPr>
                <w:bCs/>
                <w:color w:val="002060"/>
                <w:sz w:val="16"/>
                <w:szCs w:val="16"/>
              </w:rPr>
            </w:pPr>
            <w:r w:rsidRPr="00405303">
              <w:rPr>
                <w:bCs/>
                <w:color w:val="002060"/>
                <w:sz w:val="16"/>
                <w:szCs w:val="16"/>
              </w:rPr>
              <w:t xml:space="preserve">2440 </w:t>
            </w:r>
          </w:p>
        </w:tc>
      </w:tr>
      <w:tr w:rsidR="004B4E35" w:rsidRPr="00405303" w14:paraId="6A80B59A" w14:textId="77777777">
        <w:tc>
          <w:tcPr>
            <w:tcW w:w="893" w:type="dxa"/>
          </w:tcPr>
          <w:p w14:paraId="79D4E8EE" w14:textId="77777777" w:rsidR="004B4E35" w:rsidRPr="00405303" w:rsidRDefault="009E6F82" w:rsidP="00C15251">
            <w:pPr>
              <w:jc w:val="both"/>
              <w:rPr>
                <w:bCs/>
                <w:color w:val="002060"/>
                <w:sz w:val="16"/>
                <w:szCs w:val="16"/>
              </w:rPr>
            </w:pPr>
            <w:r w:rsidRPr="00405303">
              <w:rPr>
                <w:bCs/>
                <w:color w:val="002060"/>
                <w:sz w:val="16"/>
                <w:szCs w:val="16"/>
              </w:rPr>
              <w:t xml:space="preserve">Август </w:t>
            </w:r>
          </w:p>
        </w:tc>
        <w:tc>
          <w:tcPr>
            <w:tcW w:w="728" w:type="dxa"/>
          </w:tcPr>
          <w:p w14:paraId="77F8E9E5"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728" w:type="dxa"/>
          </w:tcPr>
          <w:p w14:paraId="2331E4B6" w14:textId="77777777" w:rsidR="004B4E35" w:rsidRPr="00405303" w:rsidRDefault="009E6F82" w:rsidP="00C15251">
            <w:pPr>
              <w:jc w:val="both"/>
              <w:rPr>
                <w:bCs/>
                <w:color w:val="002060"/>
                <w:sz w:val="16"/>
                <w:szCs w:val="16"/>
              </w:rPr>
            </w:pPr>
            <w:r w:rsidRPr="00405303">
              <w:rPr>
                <w:bCs/>
                <w:color w:val="002060"/>
                <w:sz w:val="16"/>
                <w:szCs w:val="16"/>
              </w:rPr>
              <w:t xml:space="preserve">192 </w:t>
            </w:r>
          </w:p>
        </w:tc>
        <w:tc>
          <w:tcPr>
            <w:tcW w:w="728" w:type="dxa"/>
          </w:tcPr>
          <w:p w14:paraId="4C1FF0F5" w14:textId="77777777" w:rsidR="004B4E35" w:rsidRPr="00405303" w:rsidRDefault="009E6F82" w:rsidP="00C15251">
            <w:pPr>
              <w:jc w:val="both"/>
              <w:rPr>
                <w:bCs/>
                <w:color w:val="002060"/>
                <w:sz w:val="16"/>
                <w:szCs w:val="16"/>
              </w:rPr>
            </w:pPr>
            <w:r w:rsidRPr="00405303">
              <w:rPr>
                <w:bCs/>
                <w:color w:val="002060"/>
                <w:sz w:val="16"/>
                <w:szCs w:val="16"/>
              </w:rPr>
              <w:t xml:space="preserve">369 </w:t>
            </w:r>
          </w:p>
        </w:tc>
        <w:tc>
          <w:tcPr>
            <w:tcW w:w="1031" w:type="dxa"/>
          </w:tcPr>
          <w:p w14:paraId="006BD4DA"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31" w:type="dxa"/>
          </w:tcPr>
          <w:p w14:paraId="43D16D9C" w14:textId="77777777" w:rsidR="004B4E35" w:rsidRPr="00405303" w:rsidRDefault="009E6F82" w:rsidP="00C15251">
            <w:pPr>
              <w:jc w:val="both"/>
              <w:rPr>
                <w:bCs/>
                <w:color w:val="002060"/>
                <w:sz w:val="16"/>
                <w:szCs w:val="16"/>
              </w:rPr>
            </w:pPr>
            <w:r w:rsidRPr="00405303">
              <w:rPr>
                <w:bCs/>
                <w:color w:val="002060"/>
                <w:sz w:val="16"/>
                <w:szCs w:val="16"/>
              </w:rPr>
              <w:t xml:space="preserve">1597 </w:t>
            </w:r>
          </w:p>
        </w:tc>
        <w:tc>
          <w:tcPr>
            <w:tcW w:w="1031" w:type="dxa"/>
          </w:tcPr>
          <w:p w14:paraId="5466DF46" w14:textId="77777777" w:rsidR="004B4E35" w:rsidRPr="00405303" w:rsidRDefault="009E6F82" w:rsidP="00C15251">
            <w:pPr>
              <w:jc w:val="both"/>
              <w:rPr>
                <w:bCs/>
                <w:color w:val="002060"/>
                <w:sz w:val="16"/>
                <w:szCs w:val="16"/>
              </w:rPr>
            </w:pPr>
            <w:r w:rsidRPr="00405303">
              <w:rPr>
                <w:bCs/>
                <w:color w:val="002060"/>
                <w:sz w:val="16"/>
                <w:szCs w:val="16"/>
              </w:rPr>
              <w:t xml:space="preserve">2116 </w:t>
            </w:r>
          </w:p>
        </w:tc>
        <w:tc>
          <w:tcPr>
            <w:tcW w:w="1062" w:type="dxa"/>
          </w:tcPr>
          <w:p w14:paraId="0990716D"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62" w:type="dxa"/>
          </w:tcPr>
          <w:p w14:paraId="055C12C8" w14:textId="77777777" w:rsidR="004B4E35" w:rsidRPr="00405303" w:rsidRDefault="009E6F82" w:rsidP="00C15251">
            <w:pPr>
              <w:jc w:val="both"/>
              <w:rPr>
                <w:bCs/>
                <w:color w:val="002060"/>
                <w:sz w:val="16"/>
                <w:szCs w:val="16"/>
              </w:rPr>
            </w:pPr>
            <w:r w:rsidRPr="00405303">
              <w:rPr>
                <w:bCs/>
                <w:color w:val="002060"/>
                <w:sz w:val="16"/>
                <w:szCs w:val="16"/>
              </w:rPr>
              <w:t xml:space="preserve">1672 </w:t>
            </w:r>
          </w:p>
        </w:tc>
        <w:tc>
          <w:tcPr>
            <w:tcW w:w="1062" w:type="dxa"/>
          </w:tcPr>
          <w:p w14:paraId="38492E44" w14:textId="77777777" w:rsidR="004B4E35" w:rsidRPr="00405303" w:rsidRDefault="009E6F82" w:rsidP="00C15251">
            <w:pPr>
              <w:jc w:val="both"/>
              <w:rPr>
                <w:bCs/>
                <w:color w:val="002060"/>
                <w:sz w:val="16"/>
                <w:szCs w:val="16"/>
              </w:rPr>
            </w:pPr>
            <w:r w:rsidRPr="00405303">
              <w:rPr>
                <w:bCs/>
                <w:color w:val="002060"/>
                <w:sz w:val="16"/>
                <w:szCs w:val="16"/>
              </w:rPr>
              <w:t xml:space="preserve">3444 </w:t>
            </w:r>
          </w:p>
        </w:tc>
      </w:tr>
      <w:tr w:rsidR="004B4E35" w:rsidRPr="00405303" w14:paraId="598D47C7" w14:textId="77777777">
        <w:tc>
          <w:tcPr>
            <w:tcW w:w="893" w:type="dxa"/>
          </w:tcPr>
          <w:p w14:paraId="66C3B90C" w14:textId="77777777" w:rsidR="004B4E35" w:rsidRPr="00405303" w:rsidRDefault="009E6F82" w:rsidP="00C15251">
            <w:pPr>
              <w:jc w:val="both"/>
              <w:rPr>
                <w:bCs/>
                <w:color w:val="002060"/>
                <w:sz w:val="16"/>
                <w:szCs w:val="16"/>
              </w:rPr>
            </w:pPr>
            <w:r w:rsidRPr="00405303">
              <w:rPr>
                <w:bCs/>
                <w:color w:val="002060"/>
                <w:sz w:val="16"/>
                <w:szCs w:val="16"/>
              </w:rPr>
              <w:t xml:space="preserve">Сентябрь </w:t>
            </w:r>
          </w:p>
        </w:tc>
        <w:tc>
          <w:tcPr>
            <w:tcW w:w="728" w:type="dxa"/>
          </w:tcPr>
          <w:p w14:paraId="7D9EF4F8" w14:textId="77777777" w:rsidR="004B4E35" w:rsidRPr="00405303" w:rsidRDefault="009E6F82" w:rsidP="00C15251">
            <w:pPr>
              <w:jc w:val="both"/>
              <w:rPr>
                <w:bCs/>
                <w:color w:val="002060"/>
                <w:sz w:val="16"/>
                <w:szCs w:val="16"/>
              </w:rPr>
            </w:pPr>
            <w:r w:rsidRPr="00405303">
              <w:rPr>
                <w:bCs/>
                <w:color w:val="002060"/>
                <w:sz w:val="16"/>
                <w:szCs w:val="16"/>
              </w:rPr>
              <w:t xml:space="preserve">90 </w:t>
            </w:r>
          </w:p>
        </w:tc>
        <w:tc>
          <w:tcPr>
            <w:tcW w:w="728" w:type="dxa"/>
          </w:tcPr>
          <w:p w14:paraId="5628D8B6" w14:textId="77777777" w:rsidR="004B4E35" w:rsidRPr="00405303" w:rsidRDefault="009E6F82" w:rsidP="00C15251">
            <w:pPr>
              <w:jc w:val="both"/>
              <w:rPr>
                <w:bCs/>
                <w:color w:val="002060"/>
                <w:sz w:val="16"/>
                <w:szCs w:val="16"/>
              </w:rPr>
            </w:pPr>
            <w:r w:rsidRPr="00405303">
              <w:rPr>
                <w:bCs/>
                <w:color w:val="002060"/>
                <w:sz w:val="16"/>
                <w:szCs w:val="16"/>
              </w:rPr>
              <w:t xml:space="preserve">189 </w:t>
            </w:r>
          </w:p>
        </w:tc>
        <w:tc>
          <w:tcPr>
            <w:tcW w:w="728" w:type="dxa"/>
          </w:tcPr>
          <w:p w14:paraId="780E9974"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31" w:type="dxa"/>
          </w:tcPr>
          <w:p w14:paraId="6321E116" w14:textId="77777777" w:rsidR="004B4E35" w:rsidRPr="00405303" w:rsidRDefault="009E6F82" w:rsidP="00C15251">
            <w:pPr>
              <w:jc w:val="both"/>
              <w:rPr>
                <w:bCs/>
                <w:color w:val="002060"/>
                <w:sz w:val="16"/>
                <w:szCs w:val="16"/>
              </w:rPr>
            </w:pPr>
            <w:r w:rsidRPr="00405303">
              <w:rPr>
                <w:bCs/>
                <w:color w:val="002060"/>
                <w:sz w:val="16"/>
                <w:szCs w:val="16"/>
              </w:rPr>
              <w:t xml:space="preserve">369 </w:t>
            </w:r>
          </w:p>
        </w:tc>
        <w:tc>
          <w:tcPr>
            <w:tcW w:w="1031" w:type="dxa"/>
          </w:tcPr>
          <w:p w14:paraId="25C50334" w14:textId="77777777" w:rsidR="004B4E35" w:rsidRPr="00405303" w:rsidRDefault="009E6F82" w:rsidP="00C15251">
            <w:pPr>
              <w:jc w:val="both"/>
              <w:rPr>
                <w:bCs/>
                <w:color w:val="002060"/>
                <w:sz w:val="16"/>
                <w:szCs w:val="16"/>
              </w:rPr>
            </w:pPr>
            <w:r w:rsidRPr="00405303">
              <w:rPr>
                <w:bCs/>
                <w:color w:val="002060"/>
                <w:sz w:val="16"/>
                <w:szCs w:val="16"/>
              </w:rPr>
              <w:t xml:space="preserve">1231 </w:t>
            </w:r>
          </w:p>
        </w:tc>
        <w:tc>
          <w:tcPr>
            <w:tcW w:w="1031" w:type="dxa"/>
          </w:tcPr>
          <w:p w14:paraId="12189F2F"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62" w:type="dxa"/>
          </w:tcPr>
          <w:p w14:paraId="559F97E1" w14:textId="77777777" w:rsidR="004B4E35" w:rsidRPr="00405303" w:rsidRDefault="009E6F82" w:rsidP="00C15251">
            <w:pPr>
              <w:jc w:val="both"/>
              <w:rPr>
                <w:bCs/>
                <w:color w:val="002060"/>
                <w:sz w:val="16"/>
                <w:szCs w:val="16"/>
              </w:rPr>
            </w:pPr>
            <w:r w:rsidRPr="00405303">
              <w:rPr>
                <w:bCs/>
                <w:color w:val="002060"/>
                <w:sz w:val="16"/>
                <w:szCs w:val="16"/>
              </w:rPr>
              <w:t xml:space="preserve">409 </w:t>
            </w:r>
          </w:p>
        </w:tc>
        <w:tc>
          <w:tcPr>
            <w:tcW w:w="1062" w:type="dxa"/>
          </w:tcPr>
          <w:p w14:paraId="6692695A" w14:textId="77777777" w:rsidR="004B4E35" w:rsidRPr="00405303" w:rsidRDefault="009E6F82" w:rsidP="00C15251">
            <w:pPr>
              <w:jc w:val="both"/>
              <w:rPr>
                <w:bCs/>
                <w:color w:val="002060"/>
                <w:sz w:val="16"/>
                <w:szCs w:val="16"/>
              </w:rPr>
            </w:pPr>
            <w:r w:rsidRPr="00405303">
              <w:rPr>
                <w:bCs/>
                <w:color w:val="002060"/>
                <w:sz w:val="16"/>
                <w:szCs w:val="16"/>
              </w:rPr>
              <w:t xml:space="preserve">1762 </w:t>
            </w:r>
          </w:p>
        </w:tc>
        <w:tc>
          <w:tcPr>
            <w:tcW w:w="1062" w:type="dxa"/>
          </w:tcPr>
          <w:p w14:paraId="19E0A100"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r>
      <w:tr w:rsidR="004B4E35" w:rsidRPr="00405303" w14:paraId="3A73CCA8" w14:textId="77777777">
        <w:tc>
          <w:tcPr>
            <w:tcW w:w="893" w:type="dxa"/>
          </w:tcPr>
          <w:p w14:paraId="1C0781C6" w14:textId="77777777" w:rsidR="004B4E35" w:rsidRPr="00405303" w:rsidRDefault="009E6F82" w:rsidP="00C15251">
            <w:pPr>
              <w:jc w:val="both"/>
              <w:rPr>
                <w:bCs/>
                <w:color w:val="002060"/>
                <w:sz w:val="16"/>
                <w:szCs w:val="16"/>
              </w:rPr>
            </w:pPr>
            <w:r w:rsidRPr="00405303">
              <w:rPr>
                <w:bCs/>
                <w:color w:val="002060"/>
                <w:sz w:val="16"/>
                <w:szCs w:val="16"/>
              </w:rPr>
              <w:t xml:space="preserve">Октябрь </w:t>
            </w:r>
          </w:p>
        </w:tc>
        <w:tc>
          <w:tcPr>
            <w:tcW w:w="728" w:type="dxa"/>
          </w:tcPr>
          <w:p w14:paraId="670A52A8" w14:textId="77777777" w:rsidR="004B4E35" w:rsidRPr="00405303" w:rsidRDefault="009E6F82" w:rsidP="00C15251">
            <w:pPr>
              <w:jc w:val="both"/>
              <w:rPr>
                <w:bCs/>
                <w:color w:val="002060"/>
                <w:sz w:val="16"/>
                <w:szCs w:val="16"/>
              </w:rPr>
            </w:pPr>
            <w:r w:rsidRPr="00405303">
              <w:rPr>
                <w:bCs/>
                <w:color w:val="002060"/>
                <w:sz w:val="16"/>
                <w:szCs w:val="16"/>
              </w:rPr>
              <w:t xml:space="preserve">96 </w:t>
            </w:r>
          </w:p>
        </w:tc>
        <w:tc>
          <w:tcPr>
            <w:tcW w:w="728" w:type="dxa"/>
          </w:tcPr>
          <w:p w14:paraId="1211ED0C" w14:textId="77777777" w:rsidR="004B4E35" w:rsidRPr="00405303" w:rsidRDefault="009E6F82" w:rsidP="00C15251">
            <w:pPr>
              <w:jc w:val="both"/>
              <w:rPr>
                <w:bCs/>
                <w:color w:val="002060"/>
                <w:sz w:val="16"/>
                <w:szCs w:val="16"/>
              </w:rPr>
            </w:pPr>
            <w:r w:rsidRPr="00405303">
              <w:rPr>
                <w:bCs/>
                <w:color w:val="002060"/>
                <w:sz w:val="16"/>
                <w:szCs w:val="16"/>
              </w:rPr>
              <w:t xml:space="preserve">181 </w:t>
            </w:r>
          </w:p>
        </w:tc>
        <w:tc>
          <w:tcPr>
            <w:tcW w:w="728" w:type="dxa"/>
          </w:tcPr>
          <w:p w14:paraId="54BF9C0E"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31" w:type="dxa"/>
          </w:tcPr>
          <w:p w14:paraId="55D2B5DA" w14:textId="77777777" w:rsidR="004B4E35" w:rsidRPr="00405303" w:rsidRDefault="009E6F82" w:rsidP="00C15251">
            <w:pPr>
              <w:jc w:val="both"/>
              <w:rPr>
                <w:bCs/>
                <w:color w:val="002060"/>
                <w:sz w:val="16"/>
                <w:szCs w:val="16"/>
              </w:rPr>
            </w:pPr>
            <w:r w:rsidRPr="00405303">
              <w:rPr>
                <w:bCs/>
                <w:color w:val="002060"/>
                <w:sz w:val="16"/>
                <w:szCs w:val="16"/>
              </w:rPr>
              <w:t xml:space="preserve">506 </w:t>
            </w:r>
          </w:p>
        </w:tc>
        <w:tc>
          <w:tcPr>
            <w:tcW w:w="1031" w:type="dxa"/>
          </w:tcPr>
          <w:p w14:paraId="0F975433" w14:textId="77777777" w:rsidR="004B4E35" w:rsidRPr="00405303" w:rsidRDefault="009E6F82" w:rsidP="00C15251">
            <w:pPr>
              <w:jc w:val="both"/>
              <w:rPr>
                <w:bCs/>
                <w:color w:val="002060"/>
                <w:sz w:val="16"/>
                <w:szCs w:val="16"/>
              </w:rPr>
            </w:pPr>
            <w:r w:rsidRPr="00405303">
              <w:rPr>
                <w:bCs/>
                <w:color w:val="002060"/>
                <w:sz w:val="16"/>
                <w:szCs w:val="16"/>
              </w:rPr>
              <w:t xml:space="preserve">1040 </w:t>
            </w:r>
          </w:p>
        </w:tc>
        <w:tc>
          <w:tcPr>
            <w:tcW w:w="1031" w:type="dxa"/>
          </w:tcPr>
          <w:p w14:paraId="3B85E080"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62" w:type="dxa"/>
          </w:tcPr>
          <w:p w14:paraId="1A025C47" w14:textId="77777777" w:rsidR="004B4E35" w:rsidRPr="00405303" w:rsidRDefault="009E6F82" w:rsidP="00C15251">
            <w:pPr>
              <w:jc w:val="both"/>
              <w:rPr>
                <w:bCs/>
                <w:color w:val="002060"/>
                <w:sz w:val="16"/>
                <w:szCs w:val="16"/>
              </w:rPr>
            </w:pPr>
            <w:r w:rsidRPr="00405303">
              <w:rPr>
                <w:bCs/>
                <w:color w:val="002060"/>
                <w:sz w:val="16"/>
                <w:szCs w:val="16"/>
              </w:rPr>
              <w:t xml:space="preserve">521 </w:t>
            </w:r>
          </w:p>
        </w:tc>
        <w:tc>
          <w:tcPr>
            <w:tcW w:w="1062" w:type="dxa"/>
          </w:tcPr>
          <w:p w14:paraId="679AD819" w14:textId="77777777" w:rsidR="004B4E35" w:rsidRPr="00405303" w:rsidRDefault="009E6F82" w:rsidP="00C15251">
            <w:pPr>
              <w:jc w:val="both"/>
              <w:rPr>
                <w:bCs/>
                <w:color w:val="002060"/>
                <w:sz w:val="16"/>
                <w:szCs w:val="16"/>
              </w:rPr>
            </w:pPr>
            <w:r w:rsidRPr="00405303">
              <w:rPr>
                <w:bCs/>
                <w:color w:val="002060"/>
                <w:sz w:val="16"/>
                <w:szCs w:val="16"/>
              </w:rPr>
              <w:t xml:space="preserve">1377 </w:t>
            </w:r>
          </w:p>
        </w:tc>
        <w:tc>
          <w:tcPr>
            <w:tcW w:w="1062" w:type="dxa"/>
          </w:tcPr>
          <w:p w14:paraId="3A611BC9"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r>
      <w:tr w:rsidR="004B4E35" w:rsidRPr="00405303" w14:paraId="23EA9E74" w14:textId="77777777">
        <w:tc>
          <w:tcPr>
            <w:tcW w:w="893" w:type="dxa"/>
          </w:tcPr>
          <w:p w14:paraId="077F0C52" w14:textId="77777777" w:rsidR="004B4E35" w:rsidRPr="00405303" w:rsidRDefault="009E6F82" w:rsidP="00C15251">
            <w:pPr>
              <w:jc w:val="both"/>
              <w:rPr>
                <w:bCs/>
                <w:color w:val="002060"/>
                <w:sz w:val="16"/>
                <w:szCs w:val="16"/>
              </w:rPr>
            </w:pPr>
            <w:r w:rsidRPr="00405303">
              <w:rPr>
                <w:bCs/>
                <w:color w:val="002060"/>
                <w:sz w:val="16"/>
                <w:szCs w:val="16"/>
              </w:rPr>
              <w:t xml:space="preserve">Ноябрь </w:t>
            </w:r>
          </w:p>
        </w:tc>
        <w:tc>
          <w:tcPr>
            <w:tcW w:w="728" w:type="dxa"/>
          </w:tcPr>
          <w:p w14:paraId="30085D9D" w14:textId="77777777" w:rsidR="004B4E35" w:rsidRPr="00405303" w:rsidRDefault="009E6F82" w:rsidP="00C15251">
            <w:pPr>
              <w:jc w:val="both"/>
              <w:rPr>
                <w:bCs/>
                <w:color w:val="002060"/>
                <w:sz w:val="16"/>
                <w:szCs w:val="16"/>
              </w:rPr>
            </w:pPr>
            <w:r w:rsidRPr="00405303">
              <w:rPr>
                <w:bCs/>
                <w:color w:val="002060"/>
                <w:sz w:val="16"/>
                <w:szCs w:val="16"/>
              </w:rPr>
              <w:t xml:space="preserve">117 </w:t>
            </w:r>
          </w:p>
        </w:tc>
        <w:tc>
          <w:tcPr>
            <w:tcW w:w="728" w:type="dxa"/>
          </w:tcPr>
          <w:p w14:paraId="4BFC0FE0" w14:textId="77777777" w:rsidR="004B4E35" w:rsidRPr="00405303" w:rsidRDefault="009E6F82" w:rsidP="00C15251">
            <w:pPr>
              <w:jc w:val="both"/>
              <w:rPr>
                <w:bCs/>
                <w:color w:val="002060"/>
                <w:sz w:val="16"/>
                <w:szCs w:val="16"/>
              </w:rPr>
            </w:pPr>
            <w:r w:rsidRPr="00405303">
              <w:rPr>
                <w:bCs/>
                <w:color w:val="002060"/>
                <w:sz w:val="16"/>
                <w:szCs w:val="16"/>
              </w:rPr>
              <w:t xml:space="preserve">176 </w:t>
            </w:r>
          </w:p>
        </w:tc>
        <w:tc>
          <w:tcPr>
            <w:tcW w:w="728" w:type="dxa"/>
          </w:tcPr>
          <w:p w14:paraId="1FF9D4ED"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31" w:type="dxa"/>
          </w:tcPr>
          <w:p w14:paraId="4E6A45B0" w14:textId="77777777" w:rsidR="004B4E35" w:rsidRPr="00405303" w:rsidRDefault="009E6F82" w:rsidP="00C15251">
            <w:pPr>
              <w:jc w:val="both"/>
              <w:rPr>
                <w:bCs/>
                <w:color w:val="002060"/>
                <w:sz w:val="16"/>
                <w:szCs w:val="16"/>
              </w:rPr>
            </w:pPr>
            <w:r w:rsidRPr="00405303">
              <w:rPr>
                <w:bCs/>
                <w:color w:val="002060"/>
                <w:sz w:val="16"/>
                <w:szCs w:val="16"/>
              </w:rPr>
              <w:t xml:space="preserve">720 </w:t>
            </w:r>
          </w:p>
        </w:tc>
        <w:tc>
          <w:tcPr>
            <w:tcW w:w="1031" w:type="dxa"/>
          </w:tcPr>
          <w:p w14:paraId="5E00569D" w14:textId="77777777" w:rsidR="004B4E35" w:rsidRPr="00405303" w:rsidRDefault="009E6F82" w:rsidP="00C15251">
            <w:pPr>
              <w:jc w:val="both"/>
              <w:rPr>
                <w:bCs/>
                <w:color w:val="002060"/>
                <w:sz w:val="16"/>
                <w:szCs w:val="16"/>
              </w:rPr>
            </w:pPr>
            <w:r w:rsidRPr="00405303">
              <w:rPr>
                <w:bCs/>
                <w:color w:val="002060"/>
                <w:sz w:val="16"/>
                <w:szCs w:val="16"/>
              </w:rPr>
              <w:t xml:space="preserve">842 </w:t>
            </w:r>
          </w:p>
        </w:tc>
        <w:tc>
          <w:tcPr>
            <w:tcW w:w="1031" w:type="dxa"/>
          </w:tcPr>
          <w:p w14:paraId="4E07B188"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62" w:type="dxa"/>
          </w:tcPr>
          <w:p w14:paraId="183288D9" w14:textId="77777777" w:rsidR="004B4E35" w:rsidRPr="00405303" w:rsidRDefault="009E6F82" w:rsidP="00C15251">
            <w:pPr>
              <w:jc w:val="both"/>
              <w:rPr>
                <w:bCs/>
                <w:color w:val="002060"/>
                <w:sz w:val="16"/>
                <w:szCs w:val="16"/>
              </w:rPr>
            </w:pPr>
            <w:r w:rsidRPr="00405303">
              <w:rPr>
                <w:bCs/>
                <w:color w:val="002060"/>
                <w:sz w:val="16"/>
                <w:szCs w:val="16"/>
              </w:rPr>
              <w:t xml:space="preserve">695 </w:t>
            </w:r>
          </w:p>
        </w:tc>
        <w:tc>
          <w:tcPr>
            <w:tcW w:w="1062" w:type="dxa"/>
          </w:tcPr>
          <w:p w14:paraId="65B8A986" w14:textId="77777777" w:rsidR="004B4E35" w:rsidRPr="00405303" w:rsidRDefault="009E6F82" w:rsidP="00C15251">
            <w:pPr>
              <w:jc w:val="both"/>
              <w:rPr>
                <w:bCs/>
                <w:color w:val="002060"/>
                <w:sz w:val="16"/>
                <w:szCs w:val="16"/>
              </w:rPr>
            </w:pPr>
            <w:r w:rsidRPr="00405303">
              <w:rPr>
                <w:bCs/>
                <w:color w:val="002060"/>
                <w:sz w:val="16"/>
                <w:szCs w:val="16"/>
              </w:rPr>
              <w:t xml:space="preserve">975 </w:t>
            </w:r>
          </w:p>
        </w:tc>
        <w:tc>
          <w:tcPr>
            <w:tcW w:w="1062" w:type="dxa"/>
          </w:tcPr>
          <w:p w14:paraId="784C5876"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r>
      <w:tr w:rsidR="004B4E35" w:rsidRPr="00405303" w14:paraId="7E9F7659" w14:textId="77777777">
        <w:tc>
          <w:tcPr>
            <w:tcW w:w="893" w:type="dxa"/>
          </w:tcPr>
          <w:p w14:paraId="7ACD9E15" w14:textId="77777777" w:rsidR="004B4E35" w:rsidRPr="00405303" w:rsidRDefault="009E6F82" w:rsidP="00C15251">
            <w:pPr>
              <w:jc w:val="both"/>
              <w:rPr>
                <w:bCs/>
                <w:color w:val="002060"/>
                <w:sz w:val="16"/>
                <w:szCs w:val="16"/>
              </w:rPr>
            </w:pPr>
            <w:r w:rsidRPr="00405303">
              <w:rPr>
                <w:bCs/>
                <w:color w:val="002060"/>
                <w:sz w:val="16"/>
                <w:szCs w:val="16"/>
              </w:rPr>
              <w:t xml:space="preserve">Декабрь </w:t>
            </w:r>
          </w:p>
        </w:tc>
        <w:tc>
          <w:tcPr>
            <w:tcW w:w="728" w:type="dxa"/>
          </w:tcPr>
          <w:p w14:paraId="3D367295" w14:textId="77777777" w:rsidR="004B4E35" w:rsidRPr="00405303" w:rsidRDefault="009E6F82" w:rsidP="00C15251">
            <w:pPr>
              <w:jc w:val="both"/>
              <w:rPr>
                <w:bCs/>
                <w:color w:val="002060"/>
                <w:sz w:val="16"/>
                <w:szCs w:val="16"/>
              </w:rPr>
            </w:pPr>
            <w:r w:rsidRPr="00405303">
              <w:rPr>
                <w:bCs/>
                <w:color w:val="002060"/>
                <w:sz w:val="16"/>
                <w:szCs w:val="16"/>
              </w:rPr>
              <w:t xml:space="preserve">117 </w:t>
            </w:r>
          </w:p>
        </w:tc>
        <w:tc>
          <w:tcPr>
            <w:tcW w:w="728" w:type="dxa"/>
          </w:tcPr>
          <w:p w14:paraId="6CD687C8" w14:textId="77777777" w:rsidR="004B4E35" w:rsidRPr="00405303" w:rsidRDefault="009E6F82" w:rsidP="00C15251">
            <w:pPr>
              <w:jc w:val="both"/>
              <w:rPr>
                <w:bCs/>
                <w:color w:val="002060"/>
                <w:sz w:val="16"/>
                <w:szCs w:val="16"/>
              </w:rPr>
            </w:pPr>
            <w:r w:rsidRPr="00405303">
              <w:rPr>
                <w:bCs/>
                <w:color w:val="002060"/>
                <w:sz w:val="16"/>
                <w:szCs w:val="16"/>
              </w:rPr>
              <w:t xml:space="preserve">169 </w:t>
            </w:r>
          </w:p>
        </w:tc>
        <w:tc>
          <w:tcPr>
            <w:tcW w:w="728" w:type="dxa"/>
          </w:tcPr>
          <w:p w14:paraId="7D23F2B2"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31" w:type="dxa"/>
          </w:tcPr>
          <w:p w14:paraId="67229E5B" w14:textId="77777777" w:rsidR="004B4E35" w:rsidRPr="00405303" w:rsidRDefault="009E6F82" w:rsidP="00C15251">
            <w:pPr>
              <w:jc w:val="both"/>
              <w:rPr>
                <w:bCs/>
                <w:color w:val="002060"/>
                <w:sz w:val="16"/>
                <w:szCs w:val="16"/>
              </w:rPr>
            </w:pPr>
            <w:r w:rsidRPr="00405303">
              <w:rPr>
                <w:bCs/>
                <w:color w:val="002060"/>
                <w:sz w:val="16"/>
                <w:szCs w:val="16"/>
              </w:rPr>
              <w:t xml:space="preserve">472 </w:t>
            </w:r>
          </w:p>
        </w:tc>
        <w:tc>
          <w:tcPr>
            <w:tcW w:w="1031" w:type="dxa"/>
          </w:tcPr>
          <w:p w14:paraId="36220777" w14:textId="77777777" w:rsidR="004B4E35" w:rsidRPr="00405303" w:rsidRDefault="009E6F82" w:rsidP="00C15251">
            <w:pPr>
              <w:jc w:val="both"/>
              <w:rPr>
                <w:bCs/>
                <w:color w:val="002060"/>
                <w:sz w:val="16"/>
                <w:szCs w:val="16"/>
              </w:rPr>
            </w:pPr>
            <w:r w:rsidRPr="00405303">
              <w:rPr>
                <w:bCs/>
                <w:color w:val="002060"/>
                <w:sz w:val="16"/>
                <w:szCs w:val="16"/>
              </w:rPr>
              <w:t xml:space="preserve">732 </w:t>
            </w:r>
          </w:p>
        </w:tc>
        <w:tc>
          <w:tcPr>
            <w:tcW w:w="1031" w:type="dxa"/>
          </w:tcPr>
          <w:p w14:paraId="5285241D"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62" w:type="dxa"/>
          </w:tcPr>
          <w:p w14:paraId="58C75C1A" w14:textId="77777777" w:rsidR="004B4E35" w:rsidRPr="00405303" w:rsidRDefault="009E6F82" w:rsidP="00C15251">
            <w:pPr>
              <w:jc w:val="both"/>
              <w:rPr>
                <w:bCs/>
                <w:color w:val="002060"/>
                <w:sz w:val="16"/>
                <w:szCs w:val="16"/>
              </w:rPr>
            </w:pPr>
            <w:r w:rsidRPr="00405303">
              <w:rPr>
                <w:bCs/>
                <w:color w:val="002060"/>
                <w:sz w:val="16"/>
                <w:szCs w:val="16"/>
              </w:rPr>
              <w:t xml:space="preserve">412 </w:t>
            </w:r>
          </w:p>
        </w:tc>
        <w:tc>
          <w:tcPr>
            <w:tcW w:w="1062" w:type="dxa"/>
          </w:tcPr>
          <w:p w14:paraId="73253D0A" w14:textId="77777777" w:rsidR="004B4E35" w:rsidRPr="00405303" w:rsidRDefault="009E6F82" w:rsidP="00C15251">
            <w:pPr>
              <w:jc w:val="both"/>
              <w:rPr>
                <w:bCs/>
                <w:color w:val="002060"/>
                <w:sz w:val="16"/>
                <w:szCs w:val="16"/>
              </w:rPr>
            </w:pPr>
            <w:r w:rsidRPr="00405303">
              <w:rPr>
                <w:bCs/>
                <w:color w:val="002060"/>
                <w:sz w:val="16"/>
                <w:szCs w:val="16"/>
              </w:rPr>
              <w:t xml:space="preserve">873 </w:t>
            </w:r>
          </w:p>
        </w:tc>
        <w:tc>
          <w:tcPr>
            <w:tcW w:w="1062" w:type="dxa"/>
          </w:tcPr>
          <w:p w14:paraId="76A3A28A"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r>
      <w:tr w:rsidR="004B4E35" w:rsidRPr="00405303" w14:paraId="7CDE1385" w14:textId="77777777">
        <w:tc>
          <w:tcPr>
            <w:tcW w:w="893" w:type="dxa"/>
          </w:tcPr>
          <w:p w14:paraId="468C3C07" w14:textId="77777777" w:rsidR="004B4E35" w:rsidRPr="00405303" w:rsidRDefault="009E6F82" w:rsidP="00C15251">
            <w:pPr>
              <w:jc w:val="both"/>
              <w:rPr>
                <w:bCs/>
                <w:color w:val="002060"/>
                <w:sz w:val="16"/>
                <w:szCs w:val="16"/>
              </w:rPr>
            </w:pPr>
            <w:r w:rsidRPr="00405303">
              <w:rPr>
                <w:bCs/>
                <w:color w:val="002060"/>
                <w:sz w:val="16"/>
                <w:szCs w:val="16"/>
              </w:rPr>
              <w:t xml:space="preserve">ИТОГО </w:t>
            </w:r>
          </w:p>
        </w:tc>
        <w:tc>
          <w:tcPr>
            <w:tcW w:w="728" w:type="dxa"/>
          </w:tcPr>
          <w:p w14:paraId="0CE7B096" w14:textId="77777777" w:rsidR="004B4E35" w:rsidRPr="00405303" w:rsidRDefault="009E6F82" w:rsidP="00C15251">
            <w:pPr>
              <w:jc w:val="both"/>
              <w:rPr>
                <w:bCs/>
                <w:color w:val="002060"/>
                <w:sz w:val="16"/>
                <w:szCs w:val="16"/>
              </w:rPr>
            </w:pPr>
            <w:r w:rsidRPr="00405303">
              <w:rPr>
                <w:bCs/>
                <w:color w:val="002060"/>
                <w:sz w:val="16"/>
                <w:szCs w:val="16"/>
              </w:rPr>
              <w:t xml:space="preserve">549 </w:t>
            </w:r>
          </w:p>
        </w:tc>
        <w:tc>
          <w:tcPr>
            <w:tcW w:w="728" w:type="dxa"/>
          </w:tcPr>
          <w:p w14:paraId="2F6E2E61" w14:textId="77777777" w:rsidR="004B4E35" w:rsidRPr="00405303" w:rsidRDefault="009E6F82" w:rsidP="00C15251">
            <w:pPr>
              <w:jc w:val="both"/>
              <w:rPr>
                <w:bCs/>
                <w:color w:val="002060"/>
                <w:sz w:val="16"/>
                <w:szCs w:val="16"/>
              </w:rPr>
            </w:pPr>
            <w:r w:rsidRPr="00405303">
              <w:rPr>
                <w:bCs/>
                <w:color w:val="002060"/>
                <w:sz w:val="16"/>
                <w:szCs w:val="16"/>
              </w:rPr>
              <w:t xml:space="preserve">2173 </w:t>
            </w:r>
          </w:p>
        </w:tc>
        <w:tc>
          <w:tcPr>
            <w:tcW w:w="728" w:type="dxa"/>
          </w:tcPr>
          <w:p w14:paraId="30F60872" w14:textId="77777777" w:rsidR="004B4E35" w:rsidRPr="00405303" w:rsidRDefault="009E6F82" w:rsidP="00C15251">
            <w:pPr>
              <w:jc w:val="both"/>
              <w:rPr>
                <w:bCs/>
                <w:color w:val="002060"/>
                <w:sz w:val="16"/>
                <w:szCs w:val="16"/>
              </w:rPr>
            </w:pPr>
            <w:r w:rsidRPr="00405303">
              <w:rPr>
                <w:bCs/>
                <w:color w:val="002060"/>
                <w:sz w:val="16"/>
                <w:szCs w:val="16"/>
              </w:rPr>
              <w:t xml:space="preserve">1982 </w:t>
            </w:r>
          </w:p>
        </w:tc>
        <w:tc>
          <w:tcPr>
            <w:tcW w:w="1031" w:type="dxa"/>
          </w:tcPr>
          <w:p w14:paraId="69AEC2A5" w14:textId="77777777" w:rsidR="004B4E35" w:rsidRPr="00405303" w:rsidRDefault="009E6F82" w:rsidP="00C15251">
            <w:pPr>
              <w:jc w:val="both"/>
              <w:rPr>
                <w:bCs/>
                <w:color w:val="002060"/>
                <w:sz w:val="16"/>
                <w:szCs w:val="16"/>
              </w:rPr>
            </w:pPr>
            <w:r w:rsidRPr="00405303">
              <w:rPr>
                <w:bCs/>
                <w:color w:val="002060"/>
                <w:sz w:val="16"/>
                <w:szCs w:val="16"/>
              </w:rPr>
              <w:t xml:space="preserve">3229 </w:t>
            </w:r>
          </w:p>
        </w:tc>
        <w:tc>
          <w:tcPr>
            <w:tcW w:w="1031" w:type="dxa"/>
          </w:tcPr>
          <w:p w14:paraId="706E2DD9" w14:textId="77777777" w:rsidR="004B4E35" w:rsidRPr="00405303" w:rsidRDefault="009E6F82" w:rsidP="00C15251">
            <w:pPr>
              <w:jc w:val="both"/>
              <w:rPr>
                <w:bCs/>
                <w:color w:val="002060"/>
                <w:sz w:val="16"/>
                <w:szCs w:val="16"/>
              </w:rPr>
            </w:pPr>
            <w:r w:rsidRPr="00405303">
              <w:rPr>
                <w:bCs/>
                <w:color w:val="002060"/>
                <w:sz w:val="16"/>
                <w:szCs w:val="16"/>
              </w:rPr>
              <w:t xml:space="preserve">14838 </w:t>
            </w:r>
          </w:p>
        </w:tc>
        <w:tc>
          <w:tcPr>
            <w:tcW w:w="1031" w:type="dxa"/>
          </w:tcPr>
          <w:p w14:paraId="4DE1CBFA" w14:textId="77777777" w:rsidR="004B4E35" w:rsidRPr="00405303" w:rsidRDefault="009E6F82" w:rsidP="00C15251">
            <w:pPr>
              <w:jc w:val="both"/>
              <w:rPr>
                <w:bCs/>
                <w:color w:val="002060"/>
                <w:sz w:val="16"/>
                <w:szCs w:val="16"/>
              </w:rPr>
            </w:pPr>
            <w:r w:rsidRPr="00405303">
              <w:rPr>
                <w:bCs/>
                <w:color w:val="002060"/>
                <w:sz w:val="16"/>
                <w:szCs w:val="16"/>
              </w:rPr>
              <w:t xml:space="preserve">11 521 </w:t>
            </w:r>
          </w:p>
        </w:tc>
        <w:tc>
          <w:tcPr>
            <w:tcW w:w="1062" w:type="dxa"/>
          </w:tcPr>
          <w:p w14:paraId="6A5B1042" w14:textId="77777777" w:rsidR="004B4E35" w:rsidRPr="00405303" w:rsidRDefault="009E6F82" w:rsidP="00C15251">
            <w:pPr>
              <w:jc w:val="both"/>
              <w:rPr>
                <w:bCs/>
                <w:color w:val="002060"/>
                <w:sz w:val="16"/>
                <w:szCs w:val="16"/>
              </w:rPr>
            </w:pPr>
            <w:r w:rsidRPr="00405303">
              <w:rPr>
                <w:bCs/>
                <w:color w:val="002060"/>
                <w:sz w:val="16"/>
                <w:szCs w:val="16"/>
              </w:rPr>
              <w:t xml:space="preserve">3458 </w:t>
            </w:r>
          </w:p>
        </w:tc>
        <w:tc>
          <w:tcPr>
            <w:tcW w:w="1062" w:type="dxa"/>
          </w:tcPr>
          <w:p w14:paraId="428B9708" w14:textId="77777777" w:rsidR="004B4E35" w:rsidRPr="00405303" w:rsidRDefault="009E6F82" w:rsidP="00C15251">
            <w:pPr>
              <w:jc w:val="both"/>
              <w:rPr>
                <w:bCs/>
                <w:color w:val="002060"/>
                <w:sz w:val="16"/>
                <w:szCs w:val="16"/>
              </w:rPr>
            </w:pPr>
            <w:r w:rsidRPr="00405303">
              <w:rPr>
                <w:bCs/>
                <w:color w:val="002060"/>
                <w:sz w:val="16"/>
                <w:szCs w:val="16"/>
              </w:rPr>
              <w:t xml:space="preserve">17 165 </w:t>
            </w:r>
          </w:p>
        </w:tc>
        <w:tc>
          <w:tcPr>
            <w:tcW w:w="1062" w:type="dxa"/>
          </w:tcPr>
          <w:p w14:paraId="002DECB2" w14:textId="77777777" w:rsidR="004B4E35" w:rsidRPr="00405303" w:rsidRDefault="009E6F82" w:rsidP="00C15251">
            <w:pPr>
              <w:jc w:val="both"/>
              <w:rPr>
                <w:bCs/>
                <w:color w:val="002060"/>
                <w:sz w:val="16"/>
                <w:szCs w:val="16"/>
              </w:rPr>
            </w:pPr>
            <w:r w:rsidRPr="00405303">
              <w:rPr>
                <w:bCs/>
                <w:color w:val="002060"/>
                <w:sz w:val="16"/>
                <w:szCs w:val="16"/>
              </w:rPr>
              <w:t xml:space="preserve">20 315 </w:t>
            </w:r>
          </w:p>
        </w:tc>
      </w:tr>
      <w:tr w:rsidR="00946658" w:rsidRPr="00405303" w14:paraId="3CFD451E" w14:textId="77777777" w:rsidTr="00946658">
        <w:tc>
          <w:tcPr>
            <w:tcW w:w="893" w:type="dxa"/>
          </w:tcPr>
          <w:p w14:paraId="6E9FD19F" w14:textId="77777777" w:rsidR="004B4E35" w:rsidRPr="00405303" w:rsidRDefault="009E6F82" w:rsidP="00C15251">
            <w:pPr>
              <w:jc w:val="both"/>
              <w:rPr>
                <w:bCs/>
                <w:color w:val="002060"/>
                <w:sz w:val="16"/>
                <w:szCs w:val="16"/>
              </w:rPr>
            </w:pPr>
            <w:r w:rsidRPr="00405303">
              <w:rPr>
                <w:bCs/>
                <w:color w:val="002060"/>
                <w:sz w:val="16"/>
                <w:szCs w:val="16"/>
              </w:rPr>
              <w:t xml:space="preserve">ВСЕГО </w:t>
            </w:r>
          </w:p>
        </w:tc>
        <w:tc>
          <w:tcPr>
            <w:tcW w:w="2184" w:type="dxa"/>
            <w:gridSpan w:val="3"/>
          </w:tcPr>
          <w:p w14:paraId="0439B62E" w14:textId="77777777" w:rsidR="004B4E35" w:rsidRPr="00405303" w:rsidRDefault="009E6F82" w:rsidP="00C15251">
            <w:pPr>
              <w:jc w:val="both"/>
              <w:rPr>
                <w:bCs/>
                <w:color w:val="002060"/>
                <w:sz w:val="16"/>
                <w:szCs w:val="16"/>
              </w:rPr>
            </w:pPr>
            <w:r w:rsidRPr="00405303">
              <w:rPr>
                <w:bCs/>
                <w:color w:val="002060"/>
                <w:sz w:val="16"/>
                <w:szCs w:val="16"/>
              </w:rPr>
              <w:t xml:space="preserve">4704 </w:t>
            </w:r>
          </w:p>
        </w:tc>
        <w:tc>
          <w:tcPr>
            <w:tcW w:w="3093" w:type="dxa"/>
            <w:gridSpan w:val="3"/>
          </w:tcPr>
          <w:p w14:paraId="350EA81A" w14:textId="77777777" w:rsidR="004B4E35" w:rsidRPr="00405303" w:rsidRDefault="009E6F82" w:rsidP="00C15251">
            <w:pPr>
              <w:jc w:val="both"/>
              <w:rPr>
                <w:bCs/>
                <w:color w:val="002060"/>
                <w:sz w:val="16"/>
                <w:szCs w:val="16"/>
              </w:rPr>
            </w:pPr>
            <w:r w:rsidRPr="00405303">
              <w:rPr>
                <w:bCs/>
                <w:color w:val="002060"/>
                <w:sz w:val="16"/>
                <w:szCs w:val="16"/>
              </w:rPr>
              <w:t xml:space="preserve">29588 </w:t>
            </w:r>
          </w:p>
        </w:tc>
        <w:tc>
          <w:tcPr>
            <w:tcW w:w="3186" w:type="dxa"/>
            <w:gridSpan w:val="3"/>
          </w:tcPr>
          <w:p w14:paraId="0E53B96D" w14:textId="77777777" w:rsidR="004B4E35" w:rsidRPr="00405303" w:rsidRDefault="009E6F82" w:rsidP="00C15251">
            <w:pPr>
              <w:jc w:val="both"/>
              <w:rPr>
                <w:bCs/>
                <w:color w:val="002060"/>
                <w:sz w:val="16"/>
                <w:szCs w:val="16"/>
              </w:rPr>
            </w:pPr>
            <w:r w:rsidRPr="00405303">
              <w:rPr>
                <w:bCs/>
                <w:color w:val="002060"/>
                <w:sz w:val="16"/>
                <w:szCs w:val="16"/>
              </w:rPr>
              <w:t xml:space="preserve">40938 </w:t>
            </w:r>
          </w:p>
        </w:tc>
      </w:tr>
    </w:tbl>
    <w:p w14:paraId="5B51646B" w14:textId="77777777" w:rsidR="004B4E35" w:rsidRPr="00405303" w:rsidRDefault="009E6F82" w:rsidP="00C15251">
      <w:pPr>
        <w:jc w:val="both"/>
        <w:rPr>
          <w:bCs/>
          <w:color w:val="002060"/>
          <w:sz w:val="16"/>
          <w:szCs w:val="16"/>
        </w:rPr>
      </w:pPr>
      <w:r w:rsidRPr="00405303">
        <w:rPr>
          <w:bCs/>
          <w:color w:val="002060"/>
          <w:sz w:val="16"/>
          <w:szCs w:val="16"/>
        </w:rPr>
        <w:t>Приводимые в этой таблице цифры ярко показывают, насколько незначительной по своим размерам была работа авиации в Русской армии. Возьмем для примера месяц самой интенсивной работы. Это — август 1916 г., в течение которого совершено было 2116 полетов с общей продолжительностью 3444 часа. Это дает в среднем на один день августа 68 полетов с общей продолжительностью в 111 часов. Но в это время Русская Действующая армия состояла из 14 армий (№№ 1–12, Особая и Кавказская) с общим составом более 200 пехотных и 50 кавалерийских дивизий. Протяжение боевой линии, не принимая в расчет Кавказского фронта, превосходит 1000 километров. И для обслуживания таких колоссальных сухопутных сил авиация может производить в день лишь 68 полетов с общей продолжительностью в 111 часов. Чрезвычайная слабость наших воздушных сил отчетливо сознавалась во всех инстанциях русского командования. «Брусилов, Каледин, Сахаров, — записывает в июне месяце в своих воспоминаниях председатель Государственной думы М. В. Родзянко, — просили обратить самое серьезное внимание на авиацию. В то время как немцы летают над нами, как птицы, и забрасывают нас бомбами, мы бессильны с ними бороться...» Отлично сознавала это наша Ставка и потому внесла на Междусоюзническую конференцию, собравшуюся в январе 1917 г., просьбу о присылке Русской армии в ближайшие после 1 января 1917 г. восемнадцать месяцев 5200 самолетов (11292).</w:t>
      </w:r>
    </w:p>
    <w:p w14:paraId="5C863283" w14:textId="77777777" w:rsidR="004B4E35" w:rsidRPr="00405303" w:rsidRDefault="004B4E35" w:rsidP="00C15251">
      <w:pPr>
        <w:jc w:val="both"/>
        <w:rPr>
          <w:bCs/>
          <w:color w:val="002060"/>
          <w:sz w:val="16"/>
          <w:szCs w:val="16"/>
        </w:rPr>
      </w:pPr>
    </w:p>
    <w:p w14:paraId="770E853A" w14:textId="793E5546" w:rsidR="008E0669" w:rsidRPr="00405303" w:rsidRDefault="008E0669" w:rsidP="00C15251">
      <w:pPr>
        <w:shd w:val="clear" w:color="auto" w:fill="FFFFFF"/>
        <w:jc w:val="both"/>
        <w:rPr>
          <w:bCs/>
          <w:color w:val="002060"/>
          <w:sz w:val="16"/>
          <w:szCs w:val="16"/>
        </w:rPr>
      </w:pPr>
      <w:r w:rsidRPr="00405303">
        <w:rPr>
          <w:bCs/>
          <w:color w:val="002060"/>
          <w:sz w:val="16"/>
          <w:szCs w:val="16"/>
        </w:rPr>
        <w:t>В конце зимы 1915 г., доставленные из Владивостока бывшие в упот</w:t>
      </w:r>
      <w:r w:rsidRPr="00405303">
        <w:rPr>
          <w:bCs/>
          <w:color w:val="002060"/>
          <w:sz w:val="16"/>
          <w:szCs w:val="16"/>
        </w:rPr>
        <w:softHyphen/>
        <w:t>реблении поплавковые гидроаэропланы «Кертисс-Ф», а из Ре</w:t>
      </w:r>
      <w:r w:rsidRPr="00405303">
        <w:rPr>
          <w:bCs/>
          <w:color w:val="002060"/>
          <w:sz w:val="16"/>
          <w:szCs w:val="16"/>
        </w:rPr>
        <w:softHyphen/>
        <w:t>веля в начале весны - летающие лодки «ФБА» (прозванные балтийцами неспроста «Фуки-Буки») авиационный комитет флота признал негодными для боевого использования. Даже при слабом волнении моря «они плохо отрывались от воды, а в полете рыскали на курсе и скверно делали виражи» (11283).</w:t>
      </w:r>
    </w:p>
    <w:p w14:paraId="031A09EB" w14:textId="77777777" w:rsidR="008E0669" w:rsidRPr="00405303" w:rsidRDefault="008E0669" w:rsidP="00C15251">
      <w:pPr>
        <w:shd w:val="clear" w:color="auto" w:fill="FFFFFF"/>
        <w:jc w:val="both"/>
        <w:rPr>
          <w:bCs/>
          <w:color w:val="002060"/>
          <w:sz w:val="16"/>
          <w:szCs w:val="16"/>
        </w:rPr>
      </w:pPr>
    </w:p>
    <w:p w14:paraId="234CBD09"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51FCB5E5" w14:textId="77777777" w:rsidR="004B4E35" w:rsidRPr="00405303" w:rsidRDefault="004B4E35" w:rsidP="00C15251">
      <w:pPr>
        <w:shd w:val="clear" w:color="auto" w:fill="FFFFFF"/>
        <w:jc w:val="both"/>
        <w:rPr>
          <w:bCs/>
          <w:i/>
          <w:color w:val="002060"/>
          <w:sz w:val="16"/>
          <w:szCs w:val="16"/>
        </w:rPr>
      </w:pPr>
    </w:p>
    <w:p w14:paraId="66DAF1CC" w14:textId="77777777" w:rsidR="004B4E35" w:rsidRPr="00405303" w:rsidRDefault="009E6F82" w:rsidP="00C15251">
      <w:pPr>
        <w:jc w:val="both"/>
        <w:rPr>
          <w:bCs/>
          <w:color w:val="002060"/>
          <w:sz w:val="16"/>
          <w:szCs w:val="16"/>
        </w:rPr>
      </w:pPr>
      <w:r w:rsidRPr="00405303">
        <w:rPr>
          <w:bCs/>
          <w:color w:val="002060"/>
          <w:sz w:val="16"/>
          <w:szCs w:val="16"/>
        </w:rPr>
        <w:t>Зимой 1915 года в первых крупных операциях в Шампани немецкие летчики не принимали никакого участия; из-за этого осталось незамеченным сосредоточение крупных французских сил перед фронтом 3-й армии. Только по усилившейся деятельности французской авиации, наряду с другими признаками, командование сумело предугадать предстоящее наступление проивника. Таким образом, зимой первого года войны германские авиационные части были безоружными (11282).</w:t>
      </w:r>
    </w:p>
    <w:p w14:paraId="787B169E" w14:textId="77777777" w:rsidR="004B4E35" w:rsidRPr="00405303" w:rsidRDefault="004B4E35" w:rsidP="00C15251">
      <w:pPr>
        <w:jc w:val="both"/>
        <w:rPr>
          <w:bCs/>
          <w:color w:val="002060"/>
          <w:sz w:val="16"/>
          <w:szCs w:val="16"/>
        </w:rPr>
      </w:pPr>
    </w:p>
    <w:p w14:paraId="251FA0BD" w14:textId="648D0C25" w:rsidR="004B4E35" w:rsidRPr="00405303" w:rsidRDefault="009E6F82" w:rsidP="00C15251">
      <w:pPr>
        <w:jc w:val="both"/>
        <w:rPr>
          <w:bCs/>
          <w:color w:val="002060"/>
          <w:sz w:val="16"/>
          <w:szCs w:val="16"/>
        </w:rPr>
      </w:pPr>
      <w:r w:rsidRPr="00405303">
        <w:rPr>
          <w:bCs/>
          <w:color w:val="002060"/>
          <w:sz w:val="16"/>
          <w:szCs w:val="16"/>
        </w:rPr>
        <w:t>Зимой 1915 года французы проиграли битву у города Суассон. В марте объединенная союзная эскадра попыталась блокировать Босфор и Дарданеллы, а также высадить десант для захвата Константинополя, но и эта операция закончилась неудачей. Во время второго сражения на реке Ипр немцы впервые применили боевые отравляющие вещества. 7 мая 1915 года немецкая подводная лодка торпедировала лайнер «Луизитания» — «двоюродную сестру» печально знаменитого «Титаника». Эта трагедия унесла жизни почти двух тысяч человек, главным образом женщин и детей. На Восточном фронте русская армия беспорядочно отступала из Польши, сдав немцам Варшаву и едва избежав окружения. Единственной приятной новостью для союзников в 1915 году стала весть о вступлении Италии в войну на стороне Антанты, однако радость очень скоро сменилась горечью разочарования: итальянская армия была вдребезги разбита австро-венгерскими войсками при Исонзо. Это поражение стало первым звеном в цепи военных неудач нового союзника Англии, Франции и России (11324).</w:t>
      </w:r>
    </w:p>
    <w:p w14:paraId="49663785" w14:textId="77777777" w:rsidR="004B4E35" w:rsidRPr="00405303" w:rsidRDefault="004B4E35" w:rsidP="00C15251">
      <w:pPr>
        <w:jc w:val="both"/>
        <w:rPr>
          <w:bCs/>
          <w:i/>
          <w:color w:val="002060"/>
          <w:sz w:val="16"/>
          <w:szCs w:val="16"/>
        </w:rPr>
      </w:pPr>
    </w:p>
    <w:p w14:paraId="716CC061" w14:textId="395938FB" w:rsidR="004B4E35" w:rsidRPr="00405303" w:rsidRDefault="0013484F"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зимние месяцы 1915 года</w:t>
      </w:r>
      <w:r w:rsidRPr="00405303">
        <w:rPr>
          <w:bCs/>
          <w:color w:val="002060"/>
          <w:sz w:val="16"/>
          <w:szCs w:val="16"/>
        </w:rPr>
        <w:t xml:space="preserve"> в условиях вынужденного бездействие в связи с плохой погодой, что было обычным явлением</w:t>
      </w:r>
      <w:r w:rsidR="009E6F82" w:rsidRPr="00405303">
        <w:rPr>
          <w:bCs/>
          <w:color w:val="002060"/>
          <w:sz w:val="16"/>
          <w:szCs w:val="16"/>
        </w:rPr>
        <w:t xml:space="preserve">, Леман использовал для экспериментов с наблюдательной гондолой. Идея состояла в том, что находящийся в крошечной гондоле наблюдатель являлся слишком малой целью, чтобы быть замеченным вражескими прожекторами, и мог спокойно определять координаты противника, в то время как огромный цеппелин за облаками оставался невидимым. </w:t>
      </w:r>
    </w:p>
    <w:p w14:paraId="741D4BFC" w14:textId="77777777" w:rsidR="004B4E35" w:rsidRPr="00405303" w:rsidRDefault="009E6F82" w:rsidP="00C15251">
      <w:pPr>
        <w:jc w:val="both"/>
        <w:rPr>
          <w:bCs/>
          <w:color w:val="002060"/>
          <w:sz w:val="16"/>
          <w:szCs w:val="16"/>
        </w:rPr>
      </w:pPr>
      <w:r w:rsidRPr="00405303">
        <w:rPr>
          <w:bCs/>
          <w:color w:val="002060"/>
          <w:sz w:val="16"/>
          <w:szCs w:val="16"/>
        </w:rPr>
        <w:t xml:space="preserve">Впервые Эрнест Леман наблюдательную корзину применил во время одного из налетов на Кале. Его гондола была изготовлена из большого масляного бака, снабженного [148] небольшими стабилизирующими плоскостями. В дальнейшем гондолы стали делать обтекаемой формы с рулями, чтобы наблюдатель мог смягчать ее колебания во время полета. Парить в полном одиночестве на большой высоте было не очень приятным делом. Широкое применение наблюдательной гондолы сдерживалось малой грузоподъемностью дирижаблей, и только когда в серию пошли корабли объемом 35 000 куб. м, она стала стандартным техническим средством практически всех армейских цеппелинов. Но Петер Штрассер отверг это нововведение для флотских дирижаблей — и поступил очень мудро, так как будущее доказало практическую бесполезность этого устройства. </w:t>
      </w:r>
    </w:p>
    <w:p w14:paraId="22F90167" w14:textId="77777777" w:rsidR="004B4E35" w:rsidRPr="00405303" w:rsidRDefault="009E6F82" w:rsidP="00C15251">
      <w:pPr>
        <w:jc w:val="both"/>
        <w:rPr>
          <w:bCs/>
          <w:color w:val="002060"/>
          <w:sz w:val="16"/>
          <w:szCs w:val="16"/>
        </w:rPr>
      </w:pPr>
      <w:r w:rsidRPr="00405303">
        <w:rPr>
          <w:bCs/>
          <w:color w:val="002060"/>
          <w:sz w:val="16"/>
          <w:szCs w:val="16"/>
        </w:rPr>
        <w:t>Во-вторых, быстрое развитие радио позволило существенно улучшить ориентацию цеппелинов как ночью, так и во время полета над морем. L-9 стал первым немецким дирижаблем, который в марте 1915 года подключился к радионавигационной системе, созданной измерительными станциями в Нордхольце и Боркуме. Дирижабль посылал сигналы — свои позывные, которые принимались станциями, и после их обработки командиру корабля сообщались данные о его местонахождении. Довольно часто информация изобиловала ошибками, приводившими к тому, что бомбы не попадали в цель. Но все же это был существенный шаг вперед. Система имела еще один недостаток, который [149] вначале не был известен немцам. Англичане научились перехватывать немецкие радиопереговоры и таким образом узнавать о приближении противника (11234).</w:t>
      </w:r>
    </w:p>
    <w:p w14:paraId="45B793D3" w14:textId="3F2F63A9" w:rsidR="004B4E35" w:rsidRPr="00405303" w:rsidRDefault="004B4E35" w:rsidP="00C15251">
      <w:pPr>
        <w:jc w:val="both"/>
        <w:rPr>
          <w:bCs/>
          <w:i/>
          <w:color w:val="002060"/>
          <w:sz w:val="16"/>
          <w:szCs w:val="16"/>
        </w:rPr>
      </w:pPr>
    </w:p>
    <w:p w14:paraId="180F2D9A" w14:textId="5CEC94E4" w:rsidR="00DD418F" w:rsidRPr="00405303" w:rsidRDefault="00DD418F" w:rsidP="00C15251">
      <w:pPr>
        <w:jc w:val="both"/>
        <w:rPr>
          <w:bCs/>
          <w:i/>
          <w:color w:val="002060"/>
          <w:sz w:val="16"/>
          <w:szCs w:val="16"/>
        </w:rPr>
      </w:pPr>
      <w:r w:rsidRPr="00405303">
        <w:rPr>
          <w:bCs/>
          <w:i/>
          <w:color w:val="002060"/>
          <w:sz w:val="16"/>
          <w:szCs w:val="16"/>
        </w:rPr>
        <w:lastRenderedPageBreak/>
        <w:t>Аэростатостроение:</w:t>
      </w:r>
    </w:p>
    <w:p w14:paraId="749E0050" w14:textId="77777777" w:rsidR="00DD418F" w:rsidRPr="00405303" w:rsidRDefault="00DD418F" w:rsidP="00C15251">
      <w:pPr>
        <w:jc w:val="both"/>
        <w:rPr>
          <w:bCs/>
          <w:i/>
          <w:color w:val="002060"/>
          <w:sz w:val="16"/>
          <w:szCs w:val="16"/>
        </w:rPr>
      </w:pPr>
    </w:p>
    <w:p w14:paraId="7D09DE89" w14:textId="77777777" w:rsidR="00DD418F" w:rsidRPr="00405303" w:rsidRDefault="00DD418F" w:rsidP="00C15251">
      <w:pPr>
        <w:jc w:val="both"/>
        <w:rPr>
          <w:bCs/>
          <w:color w:val="002060"/>
          <w:sz w:val="16"/>
          <w:szCs w:val="16"/>
        </w:rPr>
      </w:pPr>
      <w:r w:rsidRPr="00405303">
        <w:rPr>
          <w:rStyle w:val="42"/>
          <w:rFonts w:ascii="Times New Roman" w:hAnsi="Times New Roman" w:cs="Times New Roman"/>
          <w:bCs/>
          <w:color w:val="002060"/>
          <w:w w:val="100"/>
          <w:sz w:val="16"/>
          <w:szCs w:val="16"/>
        </w:rPr>
        <w:t>К весне 1915 г. повреждённый при выводе из эллинга дирижабль Кондор разоружили (20120).</w:t>
      </w:r>
    </w:p>
    <w:p w14:paraId="7EAB365C" w14:textId="77777777" w:rsidR="00DD418F" w:rsidRPr="00405303" w:rsidRDefault="00DD418F" w:rsidP="00C15251">
      <w:pPr>
        <w:jc w:val="both"/>
        <w:rPr>
          <w:rStyle w:val="42"/>
          <w:rFonts w:ascii="Times New Roman" w:hAnsi="Times New Roman" w:cs="Times New Roman"/>
          <w:bCs/>
          <w:color w:val="002060"/>
          <w:w w:val="100"/>
          <w:sz w:val="16"/>
          <w:szCs w:val="16"/>
        </w:rPr>
      </w:pPr>
    </w:p>
    <w:p w14:paraId="2EAEE377"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06590F98" w14:textId="77777777" w:rsidR="004B4E35" w:rsidRPr="00405303" w:rsidRDefault="004B4E35" w:rsidP="00C15251">
      <w:pPr>
        <w:jc w:val="both"/>
        <w:rPr>
          <w:bCs/>
          <w:i/>
          <w:color w:val="002060"/>
          <w:sz w:val="16"/>
          <w:szCs w:val="16"/>
        </w:rPr>
      </w:pPr>
    </w:p>
    <w:p w14:paraId="6B26D2D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 весне 1915 г. недостаток боевых припасов в действующей армии достиг крайнего предела, о чем главковерх непрестанно телеграфировал председателю Распорядительной комиссии. Признано было необходимым поставить во главе ГАУ нового начальника. 25 мая (7 июня) 1915 г. начальником ГАУ был назначен ген. Маниковский. </w:t>
      </w:r>
    </w:p>
    <w:p w14:paraId="4B747D0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При Маниковском колоссальные многообразные требования войны осложнили деятельность ГАУ свыше всяких предположений. По мере увеличения или возникновения новых требований видоизменялась организация ГАУ, штаты его непрерывно расширялись без определенного, заранее предусмотренного плана. К концу мировой войны, в мае 1917 г., когда ген. Маниковского, назначенного помощником военного министра по снабжению, заменил ген. Лехович, ГАУ представляло чрезвычайно сложный и громоздкий организм, как это видно на прилагаемой схеме 2 (приложение 2) (11483).</w:t>
      </w:r>
    </w:p>
    <w:p w14:paraId="4EECF1B9" w14:textId="77777777" w:rsidR="004B4E35" w:rsidRPr="00405303" w:rsidRDefault="004B4E35" w:rsidP="00C15251">
      <w:pPr>
        <w:pStyle w:val="a3"/>
        <w:jc w:val="both"/>
        <w:rPr>
          <w:bCs/>
          <w:i w:val="0"/>
          <w:color w:val="002060"/>
          <w:spacing w:val="0"/>
          <w:kern w:val="0"/>
          <w:position w:val="0"/>
          <w:sz w:val="16"/>
          <w:szCs w:val="16"/>
        </w:rPr>
      </w:pPr>
    </w:p>
    <w:p w14:paraId="730215EE" w14:textId="77777777" w:rsidR="00961206" w:rsidRPr="00405303" w:rsidRDefault="00961206" w:rsidP="00C15251">
      <w:pPr>
        <w:pStyle w:val="ae"/>
        <w:spacing w:before="0" w:beforeAutospacing="0" w:after="0" w:afterAutospacing="0"/>
        <w:jc w:val="both"/>
        <w:rPr>
          <w:bCs/>
          <w:color w:val="002060"/>
          <w:sz w:val="16"/>
          <w:szCs w:val="16"/>
        </w:rPr>
      </w:pPr>
      <w:r w:rsidRPr="00405303">
        <w:rPr>
          <w:bCs/>
          <w:color w:val="002060"/>
          <w:sz w:val="16"/>
          <w:szCs w:val="16"/>
        </w:rPr>
        <w:t>К весне 1915 г. больших улучшений в работе военной промышленности не произошло. Промышленные предприятия не выполнили плана поставок снарядов. Недодел шрапнелей достиг к февралю 1915 г. до 0,5 млн. штук. За декабрь 1914 г. и январь 1915 г. заводы внутри страны должны были поставить 772 тыс. шрапнелей, а поставили всего 205 тыс. штук, или немного более ¼ плана (27%). Крупнейшие промышленные предприятия страны — заводы Сормовский, Ижорский, Обуховский, «Вулкан» — должны были поставить 80 тыс. снарядов</w:t>
      </w:r>
      <w:bookmarkStart w:id="54" w:name="98r"/>
      <w:bookmarkEnd w:id="54"/>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"98p"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98</w:t>
      </w:r>
      <w:r w:rsidR="00617EB0" w:rsidRPr="00405303">
        <w:rPr>
          <w:bCs/>
          <w:color w:val="002060"/>
          <w:sz w:val="16"/>
          <w:szCs w:val="16"/>
          <w:vertAlign w:val="superscript"/>
        </w:rPr>
        <w:fldChar w:fldCharType="end"/>
      </w:r>
      <w:r w:rsidRPr="00405303">
        <w:rPr>
          <w:bCs/>
          <w:color w:val="002060"/>
          <w:sz w:val="16"/>
          <w:szCs w:val="16"/>
        </w:rPr>
        <w:t>, а не поставили ни одной шрапнели, что показывало на трудности освоения частными заводами снарядного производства. В связи с этим катастрофически ухудшилось снабжение фронта снарядами. Вместо 6 млн. снарядов, которые должен был получить фронт с декабря 1914 г. по март 1915 г., в армию было отправлено 1944,5 тыс. снарядов, или менее ⅓ необходимого количества</w:t>
      </w:r>
      <w:bookmarkStart w:id="55" w:name="99r"/>
      <w:bookmarkEnd w:id="55"/>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"99p"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99</w:t>
      </w:r>
      <w:r w:rsidR="00617EB0" w:rsidRPr="00405303">
        <w:rPr>
          <w:bCs/>
          <w:color w:val="002060"/>
          <w:sz w:val="16"/>
          <w:szCs w:val="16"/>
          <w:vertAlign w:val="superscript"/>
        </w:rPr>
        <w:fldChar w:fldCharType="end"/>
      </w:r>
      <w:r w:rsidRPr="00405303">
        <w:rPr>
          <w:bCs/>
          <w:color w:val="002060"/>
          <w:sz w:val="16"/>
          <w:szCs w:val="16"/>
        </w:rPr>
        <w:t>. Это составляло в среднем около двух выстрелов в день на орудие.</w:t>
      </w:r>
    </w:p>
    <w:p w14:paraId="32102F7E" w14:textId="26236C8E" w:rsidR="00961206" w:rsidRPr="00405303" w:rsidRDefault="00961206" w:rsidP="00C15251">
      <w:pPr>
        <w:pStyle w:val="ae"/>
        <w:spacing w:before="0" w:beforeAutospacing="0" w:after="0" w:afterAutospacing="0"/>
        <w:jc w:val="both"/>
        <w:rPr>
          <w:bCs/>
          <w:color w:val="002060"/>
          <w:sz w:val="16"/>
          <w:szCs w:val="16"/>
        </w:rPr>
      </w:pPr>
      <w:r w:rsidRPr="00405303">
        <w:rPr>
          <w:bCs/>
          <w:color w:val="002060"/>
          <w:sz w:val="16"/>
          <w:szCs w:val="16"/>
        </w:rPr>
        <w:t>Производство шрапнелей и гранат за 12 месяцев войны показывают следующие данные</w:t>
      </w:r>
      <w:bookmarkStart w:id="56" w:name="100r"/>
      <w:bookmarkEnd w:id="56"/>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"100p"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100</w:t>
      </w:r>
      <w:r w:rsidR="00617EB0" w:rsidRPr="00405303">
        <w:rPr>
          <w:bCs/>
          <w:color w:val="002060"/>
          <w:sz w:val="16"/>
          <w:szCs w:val="16"/>
          <w:vertAlign w:val="superscript"/>
        </w:rPr>
        <w:fldChar w:fldCharType="end"/>
      </w:r>
      <w:r w:rsidR="00DB4D64" w:rsidRPr="00405303">
        <w:rPr>
          <w:bCs/>
          <w:color w:val="002060"/>
          <w:sz w:val="16"/>
          <w:szCs w:val="16"/>
        </w:rPr>
        <w:t xml:space="preserve"> </w:t>
      </w:r>
      <w:r w:rsidRPr="00405303">
        <w:rPr>
          <w:bCs/>
          <w:color w:val="002060"/>
          <w:sz w:val="16"/>
          <w:szCs w:val="16"/>
        </w:rPr>
        <w:t>(в тыс.):</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972"/>
        <w:gridCol w:w="582"/>
        <w:gridCol w:w="667"/>
        <w:gridCol w:w="610"/>
        <w:gridCol w:w="610"/>
        <w:gridCol w:w="610"/>
        <w:gridCol w:w="484"/>
        <w:gridCol w:w="478"/>
        <w:gridCol w:w="583"/>
      </w:tblGrid>
      <w:tr w:rsidR="00961206" w:rsidRPr="00405303" w14:paraId="76EA2391" w14:textId="77777777" w:rsidTr="007066FE">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noWrap/>
            <w:vAlign w:val="center"/>
            <w:hideMark/>
          </w:tcPr>
          <w:p w14:paraId="31FABB22" w14:textId="77777777" w:rsidR="00961206" w:rsidRPr="00405303" w:rsidRDefault="00961206" w:rsidP="00C15251">
            <w:pPr>
              <w:jc w:val="both"/>
              <w:rPr>
                <w:bCs/>
                <w:color w:val="002060"/>
                <w:sz w:val="16"/>
                <w:szCs w:val="16"/>
              </w:rPr>
            </w:pPr>
            <w:r w:rsidRPr="00405303">
              <w:rPr>
                <w:bCs/>
                <w:color w:val="002060"/>
                <w:sz w:val="16"/>
                <w:szCs w:val="16"/>
              </w:rPr>
              <w:t>Месяцы</w:t>
            </w:r>
          </w:p>
        </w:tc>
        <w:tc>
          <w:tcPr>
            <w:tcW w:w="0" w:type="auto"/>
            <w:gridSpan w:val="8"/>
            <w:tcBorders>
              <w:top w:val="outset" w:sz="6" w:space="0" w:color="auto"/>
              <w:left w:val="outset" w:sz="6" w:space="0" w:color="auto"/>
              <w:bottom w:val="outset" w:sz="6" w:space="0" w:color="auto"/>
              <w:right w:val="outset" w:sz="6" w:space="0" w:color="auto"/>
            </w:tcBorders>
            <w:noWrap/>
            <w:vAlign w:val="center"/>
            <w:hideMark/>
          </w:tcPr>
          <w:p w14:paraId="7AE9D054" w14:textId="77777777" w:rsidR="00961206" w:rsidRPr="00405303" w:rsidRDefault="00961206" w:rsidP="00C15251">
            <w:pPr>
              <w:jc w:val="both"/>
              <w:rPr>
                <w:bCs/>
                <w:color w:val="002060"/>
                <w:sz w:val="16"/>
                <w:szCs w:val="16"/>
              </w:rPr>
            </w:pPr>
            <w:r w:rsidRPr="00405303">
              <w:rPr>
                <w:bCs/>
                <w:color w:val="002060"/>
                <w:sz w:val="16"/>
                <w:szCs w:val="16"/>
              </w:rPr>
              <w:t>1914 г.</w:t>
            </w:r>
          </w:p>
        </w:tc>
      </w:tr>
      <w:tr w:rsidR="00961206" w:rsidRPr="00405303" w14:paraId="635DE400" w14:textId="77777777" w:rsidTr="007066FE">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F637807" w14:textId="77777777" w:rsidR="00961206" w:rsidRPr="00405303" w:rsidRDefault="00961206" w:rsidP="00C15251">
            <w:pPr>
              <w:jc w:val="both"/>
              <w:rPr>
                <w:bCs/>
                <w:color w:val="002060"/>
                <w:sz w:val="16"/>
                <w:szCs w:val="16"/>
              </w:rPr>
            </w:pP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76004BE1" w14:textId="77777777" w:rsidR="00961206" w:rsidRPr="00405303" w:rsidRDefault="00961206" w:rsidP="00C15251">
            <w:pPr>
              <w:jc w:val="both"/>
              <w:rPr>
                <w:bCs/>
                <w:color w:val="002060"/>
                <w:sz w:val="16"/>
                <w:szCs w:val="16"/>
              </w:rPr>
            </w:pPr>
            <w:r w:rsidRPr="00405303">
              <w:rPr>
                <w:bCs/>
                <w:color w:val="002060"/>
                <w:sz w:val="16"/>
                <w:szCs w:val="16"/>
              </w:rPr>
              <w:t>Сентябрь</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046BDE71" w14:textId="77777777" w:rsidR="00961206" w:rsidRPr="00405303" w:rsidRDefault="00961206" w:rsidP="00C15251">
            <w:pPr>
              <w:jc w:val="both"/>
              <w:rPr>
                <w:bCs/>
                <w:color w:val="002060"/>
                <w:sz w:val="16"/>
                <w:szCs w:val="16"/>
              </w:rPr>
            </w:pPr>
            <w:r w:rsidRPr="00405303">
              <w:rPr>
                <w:bCs/>
                <w:color w:val="002060"/>
                <w:sz w:val="16"/>
                <w:szCs w:val="16"/>
              </w:rPr>
              <w:t>Октябрь</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39415783" w14:textId="77777777" w:rsidR="00961206" w:rsidRPr="00405303" w:rsidRDefault="00961206" w:rsidP="00C15251">
            <w:pPr>
              <w:jc w:val="both"/>
              <w:rPr>
                <w:bCs/>
                <w:color w:val="002060"/>
                <w:sz w:val="16"/>
                <w:szCs w:val="16"/>
              </w:rPr>
            </w:pPr>
            <w:r w:rsidRPr="00405303">
              <w:rPr>
                <w:bCs/>
                <w:color w:val="002060"/>
                <w:sz w:val="16"/>
                <w:szCs w:val="16"/>
              </w:rPr>
              <w:t>Ноябрь</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1AC71ADA" w14:textId="77777777" w:rsidR="00961206" w:rsidRPr="00405303" w:rsidRDefault="00961206" w:rsidP="00C15251">
            <w:pPr>
              <w:jc w:val="both"/>
              <w:rPr>
                <w:bCs/>
                <w:color w:val="002060"/>
                <w:sz w:val="16"/>
                <w:szCs w:val="16"/>
              </w:rPr>
            </w:pPr>
            <w:r w:rsidRPr="00405303">
              <w:rPr>
                <w:bCs/>
                <w:color w:val="002060"/>
                <w:sz w:val="16"/>
                <w:szCs w:val="16"/>
              </w:rPr>
              <w:t>Декабрь</w:t>
            </w:r>
          </w:p>
        </w:tc>
      </w:tr>
      <w:tr w:rsidR="00961206" w:rsidRPr="00405303" w14:paraId="1DD0B0C4" w14:textId="77777777" w:rsidTr="007066FE">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2400C6CB" w14:textId="77777777" w:rsidR="00961206" w:rsidRPr="00405303" w:rsidRDefault="00961206" w:rsidP="00C15251">
            <w:pPr>
              <w:jc w:val="both"/>
              <w:rPr>
                <w:bCs/>
                <w:color w:val="002060"/>
                <w:sz w:val="16"/>
                <w:szCs w:val="16"/>
              </w:rPr>
            </w:pPr>
            <w:r w:rsidRPr="00405303">
              <w:rPr>
                <w:bCs/>
                <w:color w:val="002060"/>
                <w:sz w:val="16"/>
                <w:szCs w:val="16"/>
              </w:rPr>
              <w:t>Заказано</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4CD717B6" w14:textId="77777777" w:rsidR="00961206" w:rsidRPr="00405303" w:rsidRDefault="00961206" w:rsidP="00C15251">
            <w:pPr>
              <w:jc w:val="both"/>
              <w:rPr>
                <w:bCs/>
                <w:color w:val="002060"/>
                <w:sz w:val="16"/>
                <w:szCs w:val="16"/>
              </w:rPr>
            </w:pPr>
            <w:r w:rsidRPr="00405303">
              <w:rPr>
                <w:bCs/>
                <w:color w:val="002060"/>
                <w:sz w:val="16"/>
                <w:szCs w:val="16"/>
              </w:rPr>
              <w:t>50</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72B58345" w14:textId="77777777" w:rsidR="00961206" w:rsidRPr="00405303" w:rsidRDefault="00961206" w:rsidP="00C15251">
            <w:pPr>
              <w:jc w:val="both"/>
              <w:rPr>
                <w:bCs/>
                <w:color w:val="002060"/>
                <w:sz w:val="16"/>
                <w:szCs w:val="16"/>
              </w:rPr>
            </w:pPr>
            <w:r w:rsidRPr="00405303">
              <w:rPr>
                <w:bCs/>
                <w:color w:val="002060"/>
                <w:sz w:val="16"/>
                <w:szCs w:val="16"/>
              </w:rPr>
              <w:t>58</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3879EC52" w14:textId="77777777" w:rsidR="00961206" w:rsidRPr="00405303" w:rsidRDefault="00961206" w:rsidP="00C15251">
            <w:pPr>
              <w:jc w:val="both"/>
              <w:rPr>
                <w:bCs/>
                <w:color w:val="002060"/>
                <w:sz w:val="16"/>
                <w:szCs w:val="16"/>
              </w:rPr>
            </w:pPr>
            <w:r w:rsidRPr="00405303">
              <w:rPr>
                <w:bCs/>
                <w:color w:val="002060"/>
                <w:sz w:val="16"/>
                <w:szCs w:val="16"/>
              </w:rPr>
              <w:t>92</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386BE22D" w14:textId="77777777" w:rsidR="00961206" w:rsidRPr="00405303" w:rsidRDefault="00961206" w:rsidP="00C15251">
            <w:pPr>
              <w:jc w:val="both"/>
              <w:rPr>
                <w:bCs/>
                <w:color w:val="002060"/>
                <w:sz w:val="16"/>
                <w:szCs w:val="16"/>
              </w:rPr>
            </w:pPr>
            <w:r w:rsidRPr="00405303">
              <w:rPr>
                <w:bCs/>
                <w:color w:val="002060"/>
                <w:sz w:val="16"/>
                <w:szCs w:val="16"/>
              </w:rPr>
              <w:t>204,5</w:t>
            </w:r>
          </w:p>
        </w:tc>
      </w:tr>
      <w:tr w:rsidR="00961206" w:rsidRPr="00405303" w14:paraId="56612BFF" w14:textId="77777777" w:rsidTr="007066FE">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6A1A0F90" w14:textId="77777777" w:rsidR="00961206" w:rsidRPr="00405303" w:rsidRDefault="00961206" w:rsidP="00C15251">
            <w:pPr>
              <w:jc w:val="both"/>
              <w:rPr>
                <w:bCs/>
                <w:color w:val="002060"/>
                <w:sz w:val="16"/>
                <w:szCs w:val="16"/>
              </w:rPr>
            </w:pPr>
            <w:r w:rsidRPr="00405303">
              <w:rPr>
                <w:bCs/>
                <w:color w:val="002060"/>
                <w:sz w:val="16"/>
                <w:szCs w:val="16"/>
              </w:rPr>
              <w:t>Изготовлено</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04D408A5" w14:textId="77777777" w:rsidR="00961206" w:rsidRPr="00405303" w:rsidRDefault="00961206" w:rsidP="00C15251">
            <w:pPr>
              <w:jc w:val="both"/>
              <w:rPr>
                <w:bCs/>
                <w:color w:val="002060"/>
                <w:sz w:val="16"/>
                <w:szCs w:val="16"/>
              </w:rPr>
            </w:pPr>
            <w:r w:rsidRPr="00405303">
              <w:rPr>
                <w:bCs/>
                <w:color w:val="002060"/>
                <w:sz w:val="16"/>
                <w:szCs w:val="16"/>
              </w:rPr>
              <w:t>71,4</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555C42AF" w14:textId="77777777" w:rsidR="00961206" w:rsidRPr="00405303" w:rsidRDefault="00961206" w:rsidP="00C15251">
            <w:pPr>
              <w:jc w:val="both"/>
              <w:rPr>
                <w:bCs/>
                <w:color w:val="002060"/>
                <w:sz w:val="16"/>
                <w:szCs w:val="16"/>
              </w:rPr>
            </w:pPr>
            <w:r w:rsidRPr="00405303">
              <w:rPr>
                <w:bCs/>
                <w:color w:val="002060"/>
                <w:sz w:val="16"/>
                <w:szCs w:val="16"/>
              </w:rPr>
              <w:t>70</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4F771BE0" w14:textId="77777777" w:rsidR="00961206" w:rsidRPr="00405303" w:rsidRDefault="00961206" w:rsidP="00C15251">
            <w:pPr>
              <w:jc w:val="both"/>
              <w:rPr>
                <w:bCs/>
                <w:color w:val="002060"/>
                <w:sz w:val="16"/>
                <w:szCs w:val="16"/>
              </w:rPr>
            </w:pPr>
            <w:r w:rsidRPr="00405303">
              <w:rPr>
                <w:bCs/>
                <w:color w:val="002060"/>
                <w:sz w:val="16"/>
                <w:szCs w:val="16"/>
              </w:rPr>
              <w:t>109</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27753439" w14:textId="77777777" w:rsidR="00961206" w:rsidRPr="00405303" w:rsidRDefault="00961206" w:rsidP="00C15251">
            <w:pPr>
              <w:jc w:val="both"/>
              <w:rPr>
                <w:bCs/>
                <w:color w:val="002060"/>
                <w:sz w:val="16"/>
                <w:szCs w:val="16"/>
              </w:rPr>
            </w:pPr>
            <w:r w:rsidRPr="00405303">
              <w:rPr>
                <w:bCs/>
                <w:color w:val="002060"/>
                <w:sz w:val="16"/>
                <w:szCs w:val="16"/>
              </w:rPr>
              <w:t>119</w:t>
            </w:r>
          </w:p>
        </w:tc>
      </w:tr>
      <w:tr w:rsidR="00961206" w:rsidRPr="00405303" w14:paraId="3924A2D0" w14:textId="77777777" w:rsidTr="007066FE">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68E1C5CD" w14:textId="77777777" w:rsidR="00961206" w:rsidRPr="00405303" w:rsidRDefault="00961206" w:rsidP="00C15251">
            <w:pPr>
              <w:jc w:val="both"/>
              <w:rPr>
                <w:bCs/>
                <w:color w:val="002060"/>
                <w:sz w:val="16"/>
                <w:szCs w:val="16"/>
              </w:rPr>
            </w:pPr>
            <w:r w:rsidRPr="00405303">
              <w:rPr>
                <w:bCs/>
                <w:color w:val="002060"/>
                <w:sz w:val="16"/>
                <w:szCs w:val="16"/>
              </w:rPr>
              <w:t>Разница</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386E4674" w14:textId="77777777" w:rsidR="00961206" w:rsidRPr="00405303" w:rsidRDefault="00961206" w:rsidP="00C15251">
            <w:pPr>
              <w:jc w:val="both"/>
              <w:rPr>
                <w:bCs/>
                <w:color w:val="002060"/>
                <w:sz w:val="16"/>
                <w:szCs w:val="16"/>
              </w:rPr>
            </w:pPr>
            <w:r w:rsidRPr="00405303">
              <w:rPr>
                <w:bCs/>
                <w:color w:val="002060"/>
                <w:sz w:val="16"/>
                <w:szCs w:val="16"/>
              </w:rPr>
              <w:t>+21,4</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7991A914" w14:textId="77777777" w:rsidR="00961206" w:rsidRPr="00405303" w:rsidRDefault="00961206" w:rsidP="00C15251">
            <w:pPr>
              <w:jc w:val="both"/>
              <w:rPr>
                <w:bCs/>
                <w:color w:val="002060"/>
                <w:sz w:val="16"/>
                <w:szCs w:val="16"/>
              </w:rPr>
            </w:pPr>
            <w:r w:rsidRPr="00405303">
              <w:rPr>
                <w:bCs/>
                <w:color w:val="002060"/>
                <w:sz w:val="16"/>
                <w:szCs w:val="16"/>
              </w:rPr>
              <w:t>+12</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64105568" w14:textId="77777777" w:rsidR="00961206" w:rsidRPr="00405303" w:rsidRDefault="00961206" w:rsidP="00C15251">
            <w:pPr>
              <w:jc w:val="both"/>
              <w:rPr>
                <w:bCs/>
                <w:color w:val="002060"/>
                <w:sz w:val="16"/>
                <w:szCs w:val="16"/>
              </w:rPr>
            </w:pPr>
            <w:r w:rsidRPr="00405303">
              <w:rPr>
                <w:bCs/>
                <w:color w:val="002060"/>
                <w:sz w:val="16"/>
                <w:szCs w:val="16"/>
              </w:rPr>
              <w:t>+17</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61A95B69" w14:textId="77777777" w:rsidR="00961206" w:rsidRPr="00405303" w:rsidRDefault="00961206" w:rsidP="00C15251">
            <w:pPr>
              <w:jc w:val="both"/>
              <w:rPr>
                <w:bCs/>
                <w:color w:val="002060"/>
                <w:sz w:val="16"/>
                <w:szCs w:val="16"/>
              </w:rPr>
            </w:pPr>
            <w:r w:rsidRPr="00405303">
              <w:rPr>
                <w:bCs/>
                <w:color w:val="002060"/>
                <w:sz w:val="16"/>
                <w:szCs w:val="16"/>
              </w:rPr>
              <w:t>—85,5</w:t>
            </w:r>
          </w:p>
        </w:tc>
      </w:tr>
      <w:tr w:rsidR="00961206" w:rsidRPr="00405303" w14:paraId="00D83EA5" w14:textId="77777777" w:rsidTr="007066FE">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noWrap/>
            <w:vAlign w:val="center"/>
            <w:hideMark/>
          </w:tcPr>
          <w:p w14:paraId="4D86CCF8" w14:textId="77777777" w:rsidR="00961206" w:rsidRPr="00405303" w:rsidRDefault="00961206" w:rsidP="00C15251">
            <w:pPr>
              <w:jc w:val="both"/>
              <w:rPr>
                <w:bCs/>
                <w:color w:val="002060"/>
                <w:sz w:val="16"/>
                <w:szCs w:val="16"/>
              </w:rPr>
            </w:pPr>
            <w:r w:rsidRPr="00405303">
              <w:rPr>
                <w:bCs/>
                <w:color w:val="002060"/>
                <w:sz w:val="16"/>
                <w:szCs w:val="16"/>
              </w:rPr>
              <w:t>Месяцы</w:t>
            </w:r>
          </w:p>
        </w:tc>
        <w:tc>
          <w:tcPr>
            <w:tcW w:w="0" w:type="auto"/>
            <w:gridSpan w:val="8"/>
            <w:tcBorders>
              <w:top w:val="outset" w:sz="6" w:space="0" w:color="auto"/>
              <w:left w:val="outset" w:sz="6" w:space="0" w:color="auto"/>
              <w:bottom w:val="outset" w:sz="6" w:space="0" w:color="auto"/>
              <w:right w:val="outset" w:sz="6" w:space="0" w:color="auto"/>
            </w:tcBorders>
            <w:noWrap/>
            <w:vAlign w:val="center"/>
            <w:hideMark/>
          </w:tcPr>
          <w:p w14:paraId="477223E7" w14:textId="77777777" w:rsidR="00961206" w:rsidRPr="00405303" w:rsidRDefault="00961206" w:rsidP="00C15251">
            <w:pPr>
              <w:jc w:val="both"/>
              <w:rPr>
                <w:bCs/>
                <w:color w:val="002060"/>
                <w:sz w:val="16"/>
                <w:szCs w:val="16"/>
              </w:rPr>
            </w:pPr>
            <w:r w:rsidRPr="00405303">
              <w:rPr>
                <w:bCs/>
                <w:color w:val="002060"/>
                <w:sz w:val="16"/>
                <w:szCs w:val="16"/>
              </w:rPr>
              <w:t>1915 г.</w:t>
            </w:r>
          </w:p>
        </w:tc>
      </w:tr>
      <w:tr w:rsidR="00961206" w:rsidRPr="00405303" w14:paraId="37DC805B" w14:textId="77777777" w:rsidTr="007066FE">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2E7FEBC" w14:textId="77777777" w:rsidR="00961206" w:rsidRPr="00405303" w:rsidRDefault="00961206" w:rsidP="00C15251">
            <w:pPr>
              <w:jc w:val="both"/>
              <w:rPr>
                <w:bCs/>
                <w:color w:val="002060"/>
                <w:sz w:val="16"/>
                <w:szCs w:val="16"/>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9242E05" w14:textId="77777777" w:rsidR="00961206" w:rsidRPr="00405303" w:rsidRDefault="00961206" w:rsidP="00C15251">
            <w:pPr>
              <w:jc w:val="both"/>
              <w:rPr>
                <w:bCs/>
                <w:color w:val="002060"/>
                <w:sz w:val="16"/>
                <w:szCs w:val="16"/>
              </w:rPr>
            </w:pPr>
            <w:r w:rsidRPr="00405303">
              <w:rPr>
                <w:bCs/>
                <w:color w:val="002060"/>
                <w:sz w:val="16"/>
                <w:szCs w:val="16"/>
              </w:rPr>
              <w:t>Январь</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C062BE1" w14:textId="77777777" w:rsidR="00961206" w:rsidRPr="00405303" w:rsidRDefault="00961206" w:rsidP="00C15251">
            <w:pPr>
              <w:jc w:val="both"/>
              <w:rPr>
                <w:bCs/>
                <w:color w:val="002060"/>
                <w:sz w:val="16"/>
                <w:szCs w:val="16"/>
              </w:rPr>
            </w:pPr>
            <w:r w:rsidRPr="00405303">
              <w:rPr>
                <w:bCs/>
                <w:color w:val="002060"/>
                <w:sz w:val="16"/>
                <w:szCs w:val="16"/>
              </w:rPr>
              <w:t>Февраль</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3CE0874" w14:textId="77777777" w:rsidR="00961206" w:rsidRPr="00405303" w:rsidRDefault="00961206" w:rsidP="00C15251">
            <w:pPr>
              <w:jc w:val="both"/>
              <w:rPr>
                <w:bCs/>
                <w:color w:val="002060"/>
                <w:sz w:val="16"/>
                <w:szCs w:val="16"/>
              </w:rPr>
            </w:pPr>
            <w:r w:rsidRPr="00405303">
              <w:rPr>
                <w:bCs/>
                <w:color w:val="002060"/>
                <w:sz w:val="16"/>
                <w:szCs w:val="16"/>
              </w:rPr>
              <w:t>Март</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22724B2" w14:textId="77777777" w:rsidR="00961206" w:rsidRPr="00405303" w:rsidRDefault="00961206" w:rsidP="00C15251">
            <w:pPr>
              <w:jc w:val="both"/>
              <w:rPr>
                <w:bCs/>
                <w:color w:val="002060"/>
                <w:sz w:val="16"/>
                <w:szCs w:val="16"/>
              </w:rPr>
            </w:pPr>
            <w:r w:rsidRPr="00405303">
              <w:rPr>
                <w:bCs/>
                <w:color w:val="002060"/>
                <w:sz w:val="16"/>
                <w:szCs w:val="16"/>
              </w:rPr>
              <w:t>Апрель</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2B774A1" w14:textId="77777777" w:rsidR="00961206" w:rsidRPr="00405303" w:rsidRDefault="00961206" w:rsidP="00C15251">
            <w:pPr>
              <w:jc w:val="both"/>
              <w:rPr>
                <w:bCs/>
                <w:color w:val="002060"/>
                <w:sz w:val="16"/>
                <w:szCs w:val="16"/>
              </w:rPr>
            </w:pPr>
            <w:r w:rsidRPr="00405303">
              <w:rPr>
                <w:bCs/>
                <w:color w:val="002060"/>
                <w:sz w:val="16"/>
                <w:szCs w:val="16"/>
              </w:rPr>
              <w:t>Май</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30209E9" w14:textId="77777777" w:rsidR="00961206" w:rsidRPr="00405303" w:rsidRDefault="00961206" w:rsidP="00C15251">
            <w:pPr>
              <w:jc w:val="both"/>
              <w:rPr>
                <w:bCs/>
                <w:color w:val="002060"/>
                <w:sz w:val="16"/>
                <w:szCs w:val="16"/>
              </w:rPr>
            </w:pPr>
            <w:r w:rsidRPr="00405303">
              <w:rPr>
                <w:bCs/>
                <w:color w:val="002060"/>
                <w:sz w:val="16"/>
                <w:szCs w:val="16"/>
              </w:rPr>
              <w:t>Июнь</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043186F" w14:textId="77777777" w:rsidR="00961206" w:rsidRPr="00405303" w:rsidRDefault="00961206" w:rsidP="00C15251">
            <w:pPr>
              <w:jc w:val="both"/>
              <w:rPr>
                <w:bCs/>
                <w:color w:val="002060"/>
                <w:sz w:val="16"/>
                <w:szCs w:val="16"/>
              </w:rPr>
            </w:pPr>
            <w:r w:rsidRPr="00405303">
              <w:rPr>
                <w:bCs/>
                <w:color w:val="002060"/>
                <w:sz w:val="16"/>
                <w:szCs w:val="16"/>
              </w:rPr>
              <w:t>Июль</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90D21F4" w14:textId="77777777" w:rsidR="00961206" w:rsidRPr="00405303" w:rsidRDefault="00961206" w:rsidP="00C15251">
            <w:pPr>
              <w:jc w:val="both"/>
              <w:rPr>
                <w:bCs/>
                <w:color w:val="002060"/>
                <w:sz w:val="16"/>
                <w:szCs w:val="16"/>
              </w:rPr>
            </w:pPr>
            <w:r w:rsidRPr="00405303">
              <w:rPr>
                <w:bCs/>
                <w:color w:val="002060"/>
                <w:sz w:val="16"/>
                <w:szCs w:val="16"/>
              </w:rPr>
              <w:t>Август</w:t>
            </w:r>
          </w:p>
        </w:tc>
      </w:tr>
      <w:tr w:rsidR="00961206" w:rsidRPr="00405303" w14:paraId="79492E3B" w14:textId="77777777" w:rsidTr="007066FE">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2135006C" w14:textId="77777777" w:rsidR="00961206" w:rsidRPr="00405303" w:rsidRDefault="00961206" w:rsidP="00C15251">
            <w:pPr>
              <w:jc w:val="both"/>
              <w:rPr>
                <w:bCs/>
                <w:color w:val="002060"/>
                <w:sz w:val="16"/>
                <w:szCs w:val="16"/>
              </w:rPr>
            </w:pPr>
            <w:r w:rsidRPr="00405303">
              <w:rPr>
                <w:bCs/>
                <w:color w:val="002060"/>
                <w:sz w:val="16"/>
                <w:szCs w:val="16"/>
              </w:rPr>
              <w:t>Заказано</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95DEF27" w14:textId="77777777" w:rsidR="00961206" w:rsidRPr="00405303" w:rsidRDefault="00961206" w:rsidP="00C15251">
            <w:pPr>
              <w:jc w:val="both"/>
              <w:rPr>
                <w:bCs/>
                <w:color w:val="002060"/>
                <w:sz w:val="16"/>
                <w:szCs w:val="16"/>
              </w:rPr>
            </w:pPr>
            <w:r w:rsidRPr="00405303">
              <w:rPr>
                <w:bCs/>
                <w:color w:val="002060"/>
                <w:sz w:val="16"/>
                <w:szCs w:val="16"/>
              </w:rPr>
              <w:t>293</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3AC5C51" w14:textId="77777777" w:rsidR="00961206" w:rsidRPr="00405303" w:rsidRDefault="00961206" w:rsidP="00C15251">
            <w:pPr>
              <w:jc w:val="both"/>
              <w:rPr>
                <w:bCs/>
                <w:color w:val="002060"/>
                <w:sz w:val="16"/>
                <w:szCs w:val="16"/>
              </w:rPr>
            </w:pPr>
            <w:r w:rsidRPr="00405303">
              <w:rPr>
                <w:bCs/>
                <w:color w:val="002060"/>
                <w:sz w:val="16"/>
                <w:szCs w:val="16"/>
              </w:rPr>
              <w:t>394,5</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65E95A0" w14:textId="77777777" w:rsidR="00961206" w:rsidRPr="00405303" w:rsidRDefault="00961206" w:rsidP="00C15251">
            <w:pPr>
              <w:jc w:val="both"/>
              <w:rPr>
                <w:bCs/>
                <w:color w:val="002060"/>
                <w:sz w:val="16"/>
                <w:szCs w:val="16"/>
              </w:rPr>
            </w:pPr>
            <w:r w:rsidRPr="00405303">
              <w:rPr>
                <w:bCs/>
                <w:color w:val="002060"/>
                <w:sz w:val="16"/>
                <w:szCs w:val="16"/>
              </w:rPr>
              <w:t>599,5</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59EDAE3" w14:textId="77777777" w:rsidR="00961206" w:rsidRPr="00405303" w:rsidRDefault="00961206" w:rsidP="00C15251">
            <w:pPr>
              <w:jc w:val="both"/>
              <w:rPr>
                <w:bCs/>
                <w:color w:val="002060"/>
                <w:sz w:val="16"/>
                <w:szCs w:val="16"/>
              </w:rPr>
            </w:pPr>
            <w:r w:rsidRPr="00405303">
              <w:rPr>
                <w:bCs/>
                <w:color w:val="002060"/>
                <w:sz w:val="16"/>
                <w:szCs w:val="16"/>
              </w:rPr>
              <w:t>832</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A402669" w14:textId="77777777" w:rsidR="00961206" w:rsidRPr="00405303" w:rsidRDefault="00961206" w:rsidP="00C15251">
            <w:pPr>
              <w:jc w:val="both"/>
              <w:rPr>
                <w:bCs/>
                <w:color w:val="002060"/>
                <w:sz w:val="16"/>
                <w:szCs w:val="16"/>
              </w:rPr>
            </w:pPr>
            <w:r w:rsidRPr="00405303">
              <w:rPr>
                <w:bCs/>
                <w:color w:val="002060"/>
                <w:sz w:val="16"/>
                <w:szCs w:val="16"/>
              </w:rPr>
              <w:t>914</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A0E4BDC" w14:textId="77777777" w:rsidR="00961206" w:rsidRPr="00405303" w:rsidRDefault="00961206" w:rsidP="00C15251">
            <w:pPr>
              <w:jc w:val="both"/>
              <w:rPr>
                <w:bCs/>
                <w:color w:val="002060"/>
                <w:sz w:val="16"/>
                <w:szCs w:val="16"/>
              </w:rPr>
            </w:pPr>
            <w:r w:rsidRPr="00405303">
              <w:rPr>
                <w:bCs/>
                <w:color w:val="002060"/>
                <w:sz w:val="16"/>
                <w:szCs w:val="16"/>
              </w:rPr>
              <w:t>999</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180F5DE" w14:textId="77777777" w:rsidR="00961206" w:rsidRPr="00405303" w:rsidRDefault="00961206" w:rsidP="00C15251">
            <w:pPr>
              <w:jc w:val="both"/>
              <w:rPr>
                <w:bCs/>
                <w:color w:val="002060"/>
                <w:sz w:val="16"/>
                <w:szCs w:val="16"/>
              </w:rPr>
            </w:pPr>
            <w:r w:rsidRPr="00405303">
              <w:rPr>
                <w:bCs/>
                <w:color w:val="002060"/>
                <w:sz w:val="16"/>
                <w:szCs w:val="16"/>
              </w:rPr>
              <w:t>1039</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B64E8F0" w14:textId="77777777" w:rsidR="00961206" w:rsidRPr="00405303" w:rsidRDefault="00961206" w:rsidP="00C15251">
            <w:pPr>
              <w:jc w:val="both"/>
              <w:rPr>
                <w:bCs/>
                <w:color w:val="002060"/>
                <w:sz w:val="16"/>
                <w:szCs w:val="16"/>
              </w:rPr>
            </w:pPr>
            <w:r w:rsidRPr="00405303">
              <w:rPr>
                <w:bCs/>
                <w:color w:val="002060"/>
                <w:sz w:val="16"/>
                <w:szCs w:val="16"/>
              </w:rPr>
              <w:t>1169</w:t>
            </w:r>
          </w:p>
        </w:tc>
      </w:tr>
      <w:tr w:rsidR="00961206" w:rsidRPr="00405303" w14:paraId="506298C7" w14:textId="77777777" w:rsidTr="007066FE">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077F7A15" w14:textId="77777777" w:rsidR="00961206" w:rsidRPr="00405303" w:rsidRDefault="00961206" w:rsidP="00C15251">
            <w:pPr>
              <w:jc w:val="both"/>
              <w:rPr>
                <w:bCs/>
                <w:color w:val="002060"/>
                <w:sz w:val="16"/>
                <w:szCs w:val="16"/>
              </w:rPr>
            </w:pPr>
            <w:r w:rsidRPr="00405303">
              <w:rPr>
                <w:bCs/>
                <w:color w:val="002060"/>
                <w:sz w:val="16"/>
                <w:szCs w:val="16"/>
              </w:rPr>
              <w:t>Изготовлено</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07B39CA" w14:textId="77777777" w:rsidR="00961206" w:rsidRPr="00405303" w:rsidRDefault="00961206" w:rsidP="00C15251">
            <w:pPr>
              <w:jc w:val="both"/>
              <w:rPr>
                <w:bCs/>
                <w:color w:val="002060"/>
                <w:sz w:val="16"/>
                <w:szCs w:val="16"/>
              </w:rPr>
            </w:pPr>
            <w:r w:rsidRPr="00405303">
              <w:rPr>
                <w:bCs/>
                <w:color w:val="002060"/>
                <w:sz w:val="16"/>
                <w:szCs w:val="16"/>
              </w:rPr>
              <w:t>229,4</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264E322" w14:textId="77777777" w:rsidR="00961206" w:rsidRPr="00405303" w:rsidRDefault="00961206" w:rsidP="00C15251">
            <w:pPr>
              <w:jc w:val="both"/>
              <w:rPr>
                <w:bCs/>
                <w:color w:val="002060"/>
                <w:sz w:val="16"/>
                <w:szCs w:val="16"/>
              </w:rPr>
            </w:pPr>
            <w:r w:rsidRPr="00405303">
              <w:rPr>
                <w:bCs/>
                <w:color w:val="002060"/>
                <w:sz w:val="16"/>
                <w:szCs w:val="16"/>
              </w:rPr>
              <w:t>326</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36A66A6" w14:textId="77777777" w:rsidR="00961206" w:rsidRPr="00405303" w:rsidRDefault="00961206" w:rsidP="00C15251">
            <w:pPr>
              <w:jc w:val="both"/>
              <w:rPr>
                <w:bCs/>
                <w:color w:val="002060"/>
                <w:sz w:val="16"/>
                <w:szCs w:val="16"/>
              </w:rPr>
            </w:pPr>
            <w:r w:rsidRPr="00405303">
              <w:rPr>
                <w:bCs/>
                <w:color w:val="002060"/>
                <w:sz w:val="16"/>
                <w:szCs w:val="16"/>
              </w:rPr>
              <w:t>468,6</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3F092DF" w14:textId="77777777" w:rsidR="00961206" w:rsidRPr="00405303" w:rsidRDefault="00961206" w:rsidP="00C15251">
            <w:pPr>
              <w:jc w:val="both"/>
              <w:rPr>
                <w:bCs/>
                <w:color w:val="002060"/>
                <w:sz w:val="16"/>
                <w:szCs w:val="16"/>
              </w:rPr>
            </w:pPr>
            <w:r w:rsidRPr="00405303">
              <w:rPr>
                <w:bCs/>
                <w:color w:val="002060"/>
                <w:sz w:val="16"/>
                <w:szCs w:val="16"/>
              </w:rPr>
              <w:t>631,4</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F3F4110" w14:textId="77777777" w:rsidR="00961206" w:rsidRPr="00405303" w:rsidRDefault="00961206" w:rsidP="00C15251">
            <w:pPr>
              <w:jc w:val="both"/>
              <w:rPr>
                <w:bCs/>
                <w:color w:val="002060"/>
                <w:sz w:val="16"/>
                <w:szCs w:val="16"/>
              </w:rPr>
            </w:pPr>
            <w:r w:rsidRPr="00405303">
              <w:rPr>
                <w:bCs/>
                <w:color w:val="002060"/>
                <w:sz w:val="16"/>
                <w:szCs w:val="16"/>
              </w:rPr>
              <w:t>785,6</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8AFEAAA" w14:textId="77777777" w:rsidR="00961206" w:rsidRPr="00405303" w:rsidRDefault="00961206" w:rsidP="00C15251">
            <w:pPr>
              <w:jc w:val="both"/>
              <w:rPr>
                <w:bCs/>
                <w:color w:val="002060"/>
                <w:sz w:val="16"/>
                <w:szCs w:val="16"/>
              </w:rPr>
            </w:pPr>
            <w:r w:rsidRPr="00405303">
              <w:rPr>
                <w:bCs/>
                <w:color w:val="002060"/>
                <w:sz w:val="16"/>
                <w:szCs w:val="16"/>
              </w:rPr>
              <w:t>989,6</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FCA4C28" w14:textId="77777777" w:rsidR="00961206" w:rsidRPr="00405303" w:rsidRDefault="00961206" w:rsidP="00C15251">
            <w:pPr>
              <w:jc w:val="both"/>
              <w:rPr>
                <w:bCs/>
                <w:color w:val="002060"/>
                <w:sz w:val="16"/>
                <w:szCs w:val="16"/>
              </w:rPr>
            </w:pPr>
            <w:r w:rsidRPr="00405303">
              <w:rPr>
                <w:bCs/>
                <w:color w:val="002060"/>
                <w:sz w:val="16"/>
                <w:szCs w:val="16"/>
              </w:rPr>
              <w:t>1081</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ED8708C" w14:textId="77777777" w:rsidR="00961206" w:rsidRPr="00405303" w:rsidRDefault="00961206" w:rsidP="00C15251">
            <w:pPr>
              <w:jc w:val="both"/>
              <w:rPr>
                <w:bCs/>
                <w:color w:val="002060"/>
                <w:sz w:val="16"/>
                <w:szCs w:val="16"/>
              </w:rPr>
            </w:pPr>
            <w:r w:rsidRPr="00405303">
              <w:rPr>
                <w:bCs/>
                <w:color w:val="002060"/>
                <w:sz w:val="16"/>
                <w:szCs w:val="16"/>
              </w:rPr>
              <w:t>1159</w:t>
            </w:r>
          </w:p>
        </w:tc>
      </w:tr>
      <w:tr w:rsidR="00961206" w:rsidRPr="00405303" w14:paraId="5C0BB4F6" w14:textId="77777777" w:rsidTr="007066FE">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718BF61D" w14:textId="77777777" w:rsidR="00961206" w:rsidRPr="00405303" w:rsidRDefault="00961206" w:rsidP="00C15251">
            <w:pPr>
              <w:jc w:val="both"/>
              <w:rPr>
                <w:bCs/>
                <w:color w:val="002060"/>
                <w:sz w:val="16"/>
                <w:szCs w:val="16"/>
              </w:rPr>
            </w:pPr>
            <w:r w:rsidRPr="00405303">
              <w:rPr>
                <w:bCs/>
                <w:color w:val="002060"/>
                <w:sz w:val="16"/>
                <w:szCs w:val="16"/>
              </w:rPr>
              <w:t>Разница</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16D9EFD" w14:textId="77777777" w:rsidR="00961206" w:rsidRPr="00405303" w:rsidRDefault="00961206" w:rsidP="00C15251">
            <w:pPr>
              <w:jc w:val="both"/>
              <w:rPr>
                <w:bCs/>
                <w:color w:val="002060"/>
                <w:sz w:val="16"/>
                <w:szCs w:val="16"/>
              </w:rPr>
            </w:pPr>
            <w:r w:rsidRPr="00405303">
              <w:rPr>
                <w:bCs/>
                <w:color w:val="002060"/>
                <w:sz w:val="16"/>
                <w:szCs w:val="16"/>
              </w:rPr>
              <w:t>—63,6</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5790B7B" w14:textId="77777777" w:rsidR="00961206" w:rsidRPr="00405303" w:rsidRDefault="00961206" w:rsidP="00C15251">
            <w:pPr>
              <w:jc w:val="both"/>
              <w:rPr>
                <w:bCs/>
                <w:color w:val="002060"/>
                <w:sz w:val="16"/>
                <w:szCs w:val="16"/>
              </w:rPr>
            </w:pPr>
            <w:r w:rsidRPr="00405303">
              <w:rPr>
                <w:bCs/>
                <w:color w:val="002060"/>
                <w:sz w:val="16"/>
                <w:szCs w:val="16"/>
              </w:rPr>
              <w:t>—68,5</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FBA30AC" w14:textId="77777777" w:rsidR="00961206" w:rsidRPr="00405303" w:rsidRDefault="00961206" w:rsidP="00C15251">
            <w:pPr>
              <w:jc w:val="both"/>
              <w:rPr>
                <w:bCs/>
                <w:color w:val="002060"/>
                <w:sz w:val="16"/>
                <w:szCs w:val="16"/>
              </w:rPr>
            </w:pPr>
            <w:r w:rsidRPr="00405303">
              <w:rPr>
                <w:bCs/>
                <w:color w:val="002060"/>
                <w:sz w:val="16"/>
                <w:szCs w:val="16"/>
              </w:rPr>
              <w:t>—130,9</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4E9F8CB" w14:textId="77777777" w:rsidR="00961206" w:rsidRPr="00405303" w:rsidRDefault="00961206" w:rsidP="00C15251">
            <w:pPr>
              <w:jc w:val="both"/>
              <w:rPr>
                <w:bCs/>
                <w:color w:val="002060"/>
                <w:sz w:val="16"/>
                <w:szCs w:val="16"/>
              </w:rPr>
            </w:pPr>
            <w:r w:rsidRPr="00405303">
              <w:rPr>
                <w:bCs/>
                <w:color w:val="002060"/>
                <w:sz w:val="16"/>
                <w:szCs w:val="16"/>
              </w:rPr>
              <w:t>—200,6</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EFA7A6F" w14:textId="77777777" w:rsidR="00961206" w:rsidRPr="00405303" w:rsidRDefault="00961206" w:rsidP="00C15251">
            <w:pPr>
              <w:jc w:val="both"/>
              <w:rPr>
                <w:bCs/>
                <w:color w:val="002060"/>
                <w:sz w:val="16"/>
                <w:szCs w:val="16"/>
              </w:rPr>
            </w:pPr>
            <w:r w:rsidRPr="00405303">
              <w:rPr>
                <w:bCs/>
                <w:color w:val="002060"/>
                <w:sz w:val="16"/>
                <w:szCs w:val="16"/>
              </w:rPr>
              <w:t>—128,4</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A37C35F" w14:textId="77777777" w:rsidR="00961206" w:rsidRPr="00405303" w:rsidRDefault="00961206" w:rsidP="00C15251">
            <w:pPr>
              <w:jc w:val="both"/>
              <w:rPr>
                <w:bCs/>
                <w:color w:val="002060"/>
                <w:sz w:val="16"/>
                <w:szCs w:val="16"/>
              </w:rPr>
            </w:pPr>
            <w:r w:rsidRPr="00405303">
              <w:rPr>
                <w:bCs/>
                <w:color w:val="002060"/>
                <w:sz w:val="16"/>
                <w:szCs w:val="16"/>
              </w:rPr>
              <w:t>—9,4</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84F058D" w14:textId="77777777" w:rsidR="00961206" w:rsidRPr="00405303" w:rsidRDefault="00961206" w:rsidP="00C15251">
            <w:pPr>
              <w:jc w:val="both"/>
              <w:rPr>
                <w:bCs/>
                <w:color w:val="002060"/>
                <w:sz w:val="16"/>
                <w:szCs w:val="16"/>
              </w:rPr>
            </w:pPr>
            <w:r w:rsidRPr="00405303">
              <w:rPr>
                <w:bCs/>
                <w:color w:val="002060"/>
                <w:sz w:val="16"/>
                <w:szCs w:val="16"/>
              </w:rPr>
              <w:t>+42</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A94DDBF" w14:textId="77777777" w:rsidR="00961206" w:rsidRPr="00405303" w:rsidRDefault="00961206" w:rsidP="00C15251">
            <w:pPr>
              <w:jc w:val="both"/>
              <w:rPr>
                <w:bCs/>
                <w:color w:val="002060"/>
                <w:sz w:val="16"/>
                <w:szCs w:val="16"/>
              </w:rPr>
            </w:pPr>
            <w:r w:rsidRPr="00405303">
              <w:rPr>
                <w:bCs/>
                <w:color w:val="002060"/>
                <w:sz w:val="16"/>
                <w:szCs w:val="16"/>
              </w:rPr>
              <w:t>—10</w:t>
            </w:r>
          </w:p>
        </w:tc>
      </w:tr>
    </w:tbl>
    <w:p w14:paraId="482A33A2" w14:textId="77777777" w:rsidR="00961206" w:rsidRPr="00405303" w:rsidRDefault="00961206" w:rsidP="00C15251">
      <w:pPr>
        <w:pStyle w:val="ae"/>
        <w:spacing w:before="0" w:beforeAutospacing="0" w:after="0" w:afterAutospacing="0"/>
        <w:jc w:val="both"/>
        <w:rPr>
          <w:bCs/>
          <w:color w:val="002060"/>
          <w:sz w:val="16"/>
          <w:szCs w:val="16"/>
        </w:rPr>
      </w:pPr>
      <w:r w:rsidRPr="00405303">
        <w:rPr>
          <w:bCs/>
          <w:color w:val="002060"/>
          <w:sz w:val="16"/>
          <w:szCs w:val="16"/>
        </w:rPr>
        <w:t>Если сравнивать производство снарядов трехдюймовых пушек с заявленной Ставкой потребностью в них (1,2—1,3 млн. штук) еще в начале войны, то очевидно, что внутреннее производство и через год войны не поднялось до уровня требований Ставки. Только начиная с апреля 1915 г. производство снарядов перевалило за 50% заявки, а до этого времени стояло на уровне 10—25%.</w:t>
      </w:r>
    </w:p>
    <w:p w14:paraId="160BA7C5" w14:textId="77777777" w:rsidR="00961206" w:rsidRPr="00405303" w:rsidRDefault="00961206" w:rsidP="00C15251">
      <w:pPr>
        <w:pStyle w:val="ae"/>
        <w:spacing w:before="0" w:beforeAutospacing="0" w:after="0" w:afterAutospacing="0"/>
        <w:jc w:val="both"/>
        <w:rPr>
          <w:bCs/>
          <w:color w:val="002060"/>
          <w:sz w:val="16"/>
          <w:szCs w:val="16"/>
        </w:rPr>
      </w:pPr>
      <w:r w:rsidRPr="00405303">
        <w:rPr>
          <w:bCs/>
          <w:color w:val="002060"/>
          <w:sz w:val="16"/>
          <w:szCs w:val="16"/>
        </w:rPr>
        <w:t>Весь план производства трехдюймовых шрапнелей на год составлял 6644,5 тыс. штук</w:t>
      </w:r>
      <w:bookmarkStart w:id="57" w:name="101r"/>
      <w:bookmarkEnd w:id="57"/>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"101p"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101</w:t>
      </w:r>
      <w:r w:rsidR="00617EB0" w:rsidRPr="00405303">
        <w:rPr>
          <w:bCs/>
          <w:color w:val="002060"/>
          <w:sz w:val="16"/>
          <w:szCs w:val="16"/>
          <w:vertAlign w:val="superscript"/>
        </w:rPr>
        <w:fldChar w:fldCharType="end"/>
      </w:r>
      <w:r w:rsidRPr="00405303">
        <w:rPr>
          <w:bCs/>
          <w:color w:val="002060"/>
          <w:sz w:val="16"/>
          <w:szCs w:val="16"/>
        </w:rPr>
        <w:t>, или около 40% от заявки Ставки, и тот не был выполнен на 10%, что составляло 604,4 тыс. снарядов. В абсолютных цифрах был достигнут значительный рост производства — с 71,4 тыс. штук (сентябрь 1914 г.) до 1159 тыс. штук (август 1915 г.), или в 16 раз, но достигнутый прогресс удовлетворял лишь около ⅓ потребности в снарядах.</w:t>
      </w:r>
    </w:p>
    <w:p w14:paraId="582FE2D8" w14:textId="77777777" w:rsidR="00961206" w:rsidRPr="00405303" w:rsidRDefault="00961206" w:rsidP="00C15251">
      <w:pPr>
        <w:pStyle w:val="ae"/>
        <w:spacing w:before="0" w:beforeAutospacing="0" w:after="0" w:afterAutospacing="0"/>
        <w:jc w:val="both"/>
        <w:rPr>
          <w:bCs/>
          <w:color w:val="002060"/>
          <w:sz w:val="16"/>
          <w:szCs w:val="16"/>
        </w:rPr>
      </w:pPr>
      <w:r w:rsidRPr="00405303">
        <w:rPr>
          <w:bCs/>
          <w:color w:val="002060"/>
          <w:sz w:val="16"/>
          <w:szCs w:val="16"/>
        </w:rPr>
        <w:t>Никакие внешние закупки, какими бы значительными они ни были, не могли возместить недостатков внутреннего производства, они могли лишь несколько смягчить кризис</w:t>
      </w:r>
      <w:bookmarkStart w:id="58" w:name="102r"/>
      <w:bookmarkEnd w:id="58"/>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"102p"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102</w:t>
      </w:r>
      <w:r w:rsidR="00617EB0" w:rsidRPr="00405303">
        <w:rPr>
          <w:bCs/>
          <w:color w:val="002060"/>
          <w:sz w:val="16"/>
          <w:szCs w:val="16"/>
          <w:vertAlign w:val="superscript"/>
        </w:rPr>
        <w:fldChar w:fldCharType="end"/>
      </w:r>
      <w:r w:rsidRPr="00405303">
        <w:rPr>
          <w:bCs/>
          <w:color w:val="002060"/>
          <w:sz w:val="16"/>
          <w:szCs w:val="16"/>
        </w:rPr>
        <w:t>. Огромное количество русского золота, выплаченное Виккерсу в Англии, Канадскому обществу и Бутлеру в США, не дало никакого эффекта, так как поставщики не выполнили своих обязательств. Вместо 9,3 млн. патронов и снарядов, которые должны быть поставлены России за 1915 г.</w:t>
      </w:r>
      <w:bookmarkStart w:id="59" w:name="103r"/>
      <w:bookmarkEnd w:id="59"/>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"103p"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103</w:t>
      </w:r>
      <w:r w:rsidR="00617EB0" w:rsidRPr="00405303">
        <w:rPr>
          <w:bCs/>
          <w:color w:val="002060"/>
          <w:sz w:val="16"/>
          <w:szCs w:val="16"/>
          <w:vertAlign w:val="superscript"/>
        </w:rPr>
        <w:fldChar w:fldCharType="end"/>
      </w:r>
      <w:r w:rsidRPr="00405303">
        <w:rPr>
          <w:bCs/>
          <w:color w:val="002060"/>
          <w:sz w:val="16"/>
          <w:szCs w:val="16"/>
        </w:rPr>
        <w:t>, поступило от Виккерса 299 тыс патронов и от французского правительства (на конец января 1916 г.) 322,4 тыс. гранат</w:t>
      </w:r>
      <w:bookmarkStart w:id="60" w:name="104r"/>
      <w:bookmarkEnd w:id="60"/>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"104p"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104</w:t>
      </w:r>
      <w:r w:rsidR="00617EB0" w:rsidRPr="00405303">
        <w:rPr>
          <w:bCs/>
          <w:color w:val="002060"/>
          <w:sz w:val="16"/>
          <w:szCs w:val="16"/>
          <w:vertAlign w:val="superscript"/>
        </w:rPr>
        <w:fldChar w:fldCharType="end"/>
      </w:r>
      <w:r w:rsidRPr="00405303">
        <w:rPr>
          <w:bCs/>
          <w:color w:val="002060"/>
          <w:sz w:val="16"/>
          <w:szCs w:val="16"/>
        </w:rPr>
        <w:t>.</w:t>
      </w:r>
    </w:p>
    <w:p w14:paraId="401E4DBD" w14:textId="77777777" w:rsidR="00961206" w:rsidRPr="00405303" w:rsidRDefault="00961206" w:rsidP="00C15251">
      <w:pPr>
        <w:pStyle w:val="ae"/>
        <w:spacing w:before="0" w:beforeAutospacing="0" w:after="0" w:afterAutospacing="0"/>
        <w:jc w:val="both"/>
        <w:rPr>
          <w:bCs/>
          <w:color w:val="002060"/>
          <w:sz w:val="16"/>
          <w:szCs w:val="16"/>
        </w:rPr>
      </w:pPr>
      <w:r w:rsidRPr="00405303">
        <w:rPr>
          <w:bCs/>
          <w:color w:val="002060"/>
          <w:sz w:val="16"/>
          <w:szCs w:val="16"/>
        </w:rPr>
        <w:t>Следовательно, выполнение принятых обязательств колеблется в размере 6—7%. Эти цифры должны служить обвинением против бывших союзников царской России и против царского правительства и его безрассудной политики. Не следует забывать, что 1915 г. явился годом тяжелейших испытаний для русской армии. Основные силы австро-германской коалиции были брошены против России. Между тем русская армия начиная с весны 1915 г. фактически оставалась безоружной. В апреле 1915 г. Ставка настойчиво и энергично требовала снарядов, винтовок, патронов, связывая с их получением успех разработанного плана наступательной операции за Карпаты (18524).</w:t>
      </w:r>
    </w:p>
    <w:p w14:paraId="65991A42" w14:textId="77777777" w:rsidR="00961206" w:rsidRPr="00405303" w:rsidRDefault="00961206" w:rsidP="00C15251">
      <w:pPr>
        <w:pStyle w:val="ae"/>
        <w:spacing w:before="0" w:beforeAutospacing="0" w:after="0" w:afterAutospacing="0"/>
        <w:jc w:val="both"/>
        <w:rPr>
          <w:bCs/>
          <w:color w:val="002060"/>
          <w:sz w:val="16"/>
          <w:szCs w:val="16"/>
        </w:rPr>
      </w:pPr>
    </w:p>
    <w:p w14:paraId="3D914492" w14:textId="77777777" w:rsidR="00961206" w:rsidRPr="00405303" w:rsidRDefault="00961206" w:rsidP="00C15251">
      <w:pPr>
        <w:pStyle w:val="ae"/>
        <w:spacing w:before="0" w:beforeAutospacing="0" w:after="0" w:afterAutospacing="0"/>
        <w:jc w:val="both"/>
        <w:rPr>
          <w:bCs/>
          <w:color w:val="002060"/>
          <w:sz w:val="16"/>
          <w:szCs w:val="16"/>
        </w:rPr>
      </w:pPr>
      <w:r w:rsidRPr="00405303">
        <w:rPr>
          <w:bCs/>
          <w:color w:val="002060"/>
          <w:sz w:val="16"/>
          <w:szCs w:val="16"/>
        </w:rPr>
        <w:t>К весне 1915 г. выяснилось отставание производства дистанционных трубок от производства снарядов. Несмотря на принятые меры к увеличению производства трубок на казенных заводах, их не хватало. С разрешения Ставки были пущены в ход старые трубки 1891 и даже 1884 г., запасы которых составляли около 1,4 млн. штук. «Эту меру пришлось принять как самую крайнюю и рискованную, так как трубки 1884 года далеко не безопасны при стрельбе фугасными снарядами»</w:t>
      </w:r>
      <w:bookmarkStart w:id="61" w:name="95r"/>
      <w:bookmarkEnd w:id="61"/>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"95p"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95</w:t>
      </w:r>
      <w:r w:rsidR="00617EB0" w:rsidRPr="00405303">
        <w:rPr>
          <w:bCs/>
          <w:color w:val="002060"/>
          <w:sz w:val="16"/>
          <w:szCs w:val="16"/>
          <w:vertAlign w:val="superscript"/>
        </w:rPr>
        <w:fldChar w:fldCharType="end"/>
      </w:r>
      <w:r w:rsidRPr="00405303">
        <w:rPr>
          <w:bCs/>
          <w:color w:val="002060"/>
          <w:sz w:val="16"/>
          <w:szCs w:val="16"/>
        </w:rPr>
        <w:t>.</w:t>
      </w:r>
    </w:p>
    <w:p w14:paraId="090072C7" w14:textId="77777777" w:rsidR="00961206" w:rsidRPr="00405303" w:rsidRDefault="00961206" w:rsidP="00C15251">
      <w:pPr>
        <w:pStyle w:val="ae"/>
        <w:spacing w:before="0" w:beforeAutospacing="0" w:after="0" w:afterAutospacing="0"/>
        <w:jc w:val="both"/>
        <w:rPr>
          <w:bCs/>
          <w:color w:val="002060"/>
          <w:sz w:val="16"/>
          <w:szCs w:val="16"/>
        </w:rPr>
      </w:pPr>
      <w:r w:rsidRPr="00405303">
        <w:rPr>
          <w:bCs/>
          <w:color w:val="002060"/>
          <w:sz w:val="16"/>
          <w:szCs w:val="16"/>
        </w:rPr>
        <w:t>К осени 1915 г. производство Петроградского и Самарского трубочных заводов было доведено до 7,8 млн. штук, а кроме того, проводились меры к увеличению их производительности: первого — до 7,5 млн., второго — до 6 млн. Приступлено было к строительству трубочного завода в Пензе с производством трубок до 6 млн. штук. Кроме того, еще осенью 1914 г. был сделан заказ на трубки за границей</w:t>
      </w:r>
      <w:bookmarkStart w:id="62" w:name="96r"/>
      <w:bookmarkEnd w:id="62"/>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"96p"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96</w:t>
      </w:r>
      <w:r w:rsidR="00617EB0" w:rsidRPr="00405303">
        <w:rPr>
          <w:bCs/>
          <w:color w:val="002060"/>
          <w:sz w:val="16"/>
          <w:szCs w:val="16"/>
          <w:vertAlign w:val="superscript"/>
        </w:rPr>
        <w:fldChar w:fldCharType="end"/>
      </w:r>
      <w:r w:rsidRPr="00405303">
        <w:rPr>
          <w:bCs/>
          <w:color w:val="002060"/>
          <w:sz w:val="16"/>
          <w:szCs w:val="16"/>
        </w:rPr>
        <w:t>.</w:t>
      </w:r>
    </w:p>
    <w:p w14:paraId="713FF8AF" w14:textId="77777777" w:rsidR="00961206" w:rsidRPr="00405303" w:rsidRDefault="00961206" w:rsidP="00C15251">
      <w:pPr>
        <w:pStyle w:val="ae"/>
        <w:spacing w:before="0" w:beforeAutospacing="0" w:after="0" w:afterAutospacing="0"/>
        <w:jc w:val="both"/>
        <w:rPr>
          <w:bCs/>
          <w:color w:val="002060"/>
          <w:sz w:val="16"/>
          <w:szCs w:val="16"/>
        </w:rPr>
      </w:pPr>
      <w:r w:rsidRPr="00405303">
        <w:rPr>
          <w:bCs/>
          <w:color w:val="002060"/>
          <w:sz w:val="16"/>
          <w:szCs w:val="16"/>
        </w:rPr>
        <w:t>Комиссия решила провести учет станков, нужных для производства снарядов и пушек. На предприятия были посланы специалисты и инженеры Путиловского завода. Но сразу же предприятия подняли «вопль», что их обирают и мешают выполнять план. «Эта мера встретила почти непреодолимые препятствия»</w:t>
      </w:r>
      <w:bookmarkStart w:id="63" w:name="97r"/>
      <w:bookmarkEnd w:id="63"/>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"97p"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97</w:t>
      </w:r>
      <w:r w:rsidR="00617EB0" w:rsidRPr="00405303">
        <w:rPr>
          <w:bCs/>
          <w:color w:val="002060"/>
          <w:sz w:val="16"/>
          <w:szCs w:val="16"/>
          <w:vertAlign w:val="superscript"/>
        </w:rPr>
        <w:fldChar w:fldCharType="end"/>
      </w:r>
      <w:r w:rsidRPr="00405303">
        <w:rPr>
          <w:bCs/>
          <w:color w:val="002060"/>
          <w:sz w:val="16"/>
          <w:szCs w:val="16"/>
        </w:rPr>
        <w:t>. Следовательно, попытка использовать оборудование с целью увеличить производство вооружения встретила сопротивление со стороны буржуазии, расценившей проводимую меру как нарушение ее интересов (18524).</w:t>
      </w:r>
    </w:p>
    <w:p w14:paraId="3E343AD9" w14:textId="77777777" w:rsidR="00961206" w:rsidRPr="00405303" w:rsidRDefault="00961206" w:rsidP="00C15251">
      <w:pPr>
        <w:pStyle w:val="ae"/>
        <w:spacing w:before="0" w:beforeAutospacing="0" w:after="0" w:afterAutospacing="0"/>
        <w:jc w:val="both"/>
        <w:rPr>
          <w:bCs/>
          <w:color w:val="002060"/>
          <w:sz w:val="16"/>
          <w:szCs w:val="16"/>
        </w:rPr>
      </w:pPr>
    </w:p>
    <w:p w14:paraId="75E39721" w14:textId="599AA395" w:rsidR="00AC1B15" w:rsidRPr="00405303" w:rsidRDefault="00AC1B15" w:rsidP="00C15251">
      <w:pPr>
        <w:jc w:val="both"/>
        <w:rPr>
          <w:bCs/>
          <w:i/>
          <w:color w:val="002060"/>
          <w:sz w:val="16"/>
          <w:szCs w:val="16"/>
        </w:rPr>
      </w:pPr>
      <w:r w:rsidRPr="00405303">
        <w:rPr>
          <w:bCs/>
          <w:i/>
          <w:color w:val="002060"/>
          <w:sz w:val="16"/>
          <w:szCs w:val="16"/>
        </w:rPr>
        <w:t>Авиация:</w:t>
      </w:r>
    </w:p>
    <w:p w14:paraId="3729CC98" w14:textId="77777777" w:rsidR="00AC1B15" w:rsidRPr="00405303" w:rsidRDefault="00AC1B15" w:rsidP="00C15251">
      <w:pPr>
        <w:jc w:val="both"/>
        <w:rPr>
          <w:bCs/>
          <w:i/>
          <w:color w:val="002060"/>
          <w:sz w:val="16"/>
          <w:szCs w:val="16"/>
        </w:rPr>
      </w:pPr>
    </w:p>
    <w:p w14:paraId="1613963B" w14:textId="77777777" w:rsidR="00AC1B15" w:rsidRPr="00405303" w:rsidRDefault="00AC1B15" w:rsidP="00C15251">
      <w:pPr>
        <w:jc w:val="both"/>
        <w:rPr>
          <w:rStyle w:val="42"/>
          <w:rFonts w:ascii="Times New Roman" w:hAnsi="Times New Roman" w:cs="Times New Roman"/>
          <w:bCs/>
          <w:color w:val="002060"/>
          <w:w w:val="100"/>
          <w:sz w:val="16"/>
          <w:szCs w:val="16"/>
        </w:rPr>
      </w:pPr>
      <w:r w:rsidRPr="00405303">
        <w:rPr>
          <w:bCs/>
          <w:color w:val="002060"/>
          <w:sz w:val="16"/>
          <w:szCs w:val="16"/>
        </w:rPr>
        <w:t>К весне 1915 г. в ведении Главное управление авиации при Военном министерстве было 193 аэроплана и 374 летчика, сведенные в эскадрильи по типам самолетов (22825).</w:t>
      </w:r>
    </w:p>
    <w:p w14:paraId="08772217" w14:textId="61C14A2F" w:rsidR="00AC1B15" w:rsidRPr="00405303" w:rsidRDefault="00AC1B15" w:rsidP="00C15251">
      <w:pPr>
        <w:jc w:val="both"/>
        <w:rPr>
          <w:rStyle w:val="42"/>
          <w:rFonts w:ascii="Times New Roman" w:hAnsi="Times New Roman" w:cs="Times New Roman"/>
          <w:bCs/>
          <w:color w:val="002060"/>
          <w:w w:val="100"/>
          <w:sz w:val="16"/>
          <w:szCs w:val="16"/>
        </w:rPr>
      </w:pPr>
    </w:p>
    <w:p w14:paraId="7DC6CE3B" w14:textId="3C01AB79" w:rsidR="00E20F08" w:rsidRPr="00405303" w:rsidRDefault="00E20F08" w:rsidP="00C15251">
      <w:pPr>
        <w:jc w:val="both"/>
        <w:rPr>
          <w:rStyle w:val="42"/>
          <w:rFonts w:ascii="Times New Roman" w:hAnsi="Times New Roman" w:cs="Times New Roman"/>
          <w:bCs/>
          <w:i/>
          <w:iCs/>
          <w:color w:val="002060"/>
          <w:w w:val="100"/>
          <w:sz w:val="16"/>
          <w:szCs w:val="16"/>
        </w:rPr>
      </w:pPr>
      <w:r w:rsidRPr="00405303">
        <w:rPr>
          <w:rStyle w:val="42"/>
          <w:rFonts w:ascii="Times New Roman" w:hAnsi="Times New Roman" w:cs="Times New Roman"/>
          <w:bCs/>
          <w:i/>
          <w:iCs/>
          <w:color w:val="002060"/>
          <w:w w:val="100"/>
          <w:sz w:val="16"/>
          <w:szCs w:val="16"/>
        </w:rPr>
        <w:t>Морская авиация:</w:t>
      </w:r>
    </w:p>
    <w:p w14:paraId="6A8AC82E" w14:textId="77777777" w:rsidR="00E20F08" w:rsidRPr="00405303" w:rsidRDefault="00E20F08" w:rsidP="00C15251">
      <w:pPr>
        <w:jc w:val="both"/>
        <w:rPr>
          <w:rStyle w:val="42"/>
          <w:rFonts w:ascii="Times New Roman" w:hAnsi="Times New Roman" w:cs="Times New Roman"/>
          <w:bCs/>
          <w:i/>
          <w:iCs/>
          <w:color w:val="002060"/>
          <w:w w:val="100"/>
          <w:sz w:val="16"/>
          <w:szCs w:val="16"/>
        </w:rPr>
      </w:pPr>
    </w:p>
    <w:p w14:paraId="692E8F62" w14:textId="77777777" w:rsidR="00E20F08" w:rsidRPr="00405303" w:rsidRDefault="00E20F08" w:rsidP="00C15251">
      <w:pPr>
        <w:jc w:val="both"/>
        <w:rPr>
          <w:bCs/>
          <w:color w:val="002060"/>
          <w:sz w:val="16"/>
          <w:szCs w:val="16"/>
        </w:rPr>
      </w:pPr>
      <w:r w:rsidRPr="00405303">
        <w:rPr>
          <w:bCs/>
          <w:color w:val="002060"/>
          <w:sz w:val="16"/>
          <w:szCs w:val="16"/>
        </w:rPr>
        <w:t>К весне 1915 г. немцами в восточной части Балтийского моря была создана специальная группа морской авиации, базировавшаяся на авианесущих кораблях «Ансвальд» и «Глиндер» (г. Мемель (Клайпеда), Литва, позднее - г. Либава, Латвия). В дальнейшем состав авиагруппы усилили за счет плавучей авиабазы «Санта-Елена» (г. Виндава).</w:t>
      </w:r>
    </w:p>
    <w:p w14:paraId="3A3F9A6A" w14:textId="77777777" w:rsidR="00E20F08" w:rsidRPr="00405303" w:rsidRDefault="00E20F08" w:rsidP="00C15251">
      <w:pPr>
        <w:jc w:val="both"/>
        <w:rPr>
          <w:bCs/>
          <w:color w:val="002060"/>
          <w:sz w:val="16"/>
          <w:szCs w:val="16"/>
        </w:rPr>
      </w:pPr>
      <w:bookmarkStart w:id="64" w:name="bookmark109"/>
      <w:r w:rsidRPr="00405303">
        <w:rPr>
          <w:bCs/>
          <w:color w:val="002060"/>
          <w:sz w:val="16"/>
          <w:szCs w:val="16"/>
        </w:rPr>
        <w:t>К лету того же года общее количество гидроаэропланов увеличилось до 15 боевых машин, включая учебные и опытные летательные аппараты, находящиеся в Путциге (Пуцке). К этому времени морская авиация, действовавшая в Балтийском море, базировалась в городах Киль, Росток, Кезлин (Кошалин), Путциг (Германия), Либава, позднее - вблизи оз. Ангерн (Энгурес, Прибалтика). В задачи морской авиации входило наблюдение за русскими портами на Балтийском море, отражение действий русских крейсеров, обстреливавших примыкавший к берегу фланг германской армии, поиск подводных лодок и воздушная бомбардировка портов противника. Деятельность морской авиации достигла максимального напряжения в период захвата германскими войсками г. Рига и о. Эзель (Моонзундский архипелаг) осенью 1917 г. Частично гидроавиация использовалась и на сухопутном театре военных действий. Так, осенью 1915 г. гидроаэропланы привлекались в интересах 37-го авиационного отряда (Гросс-Платоне, южнее г. Митава/Елгава) на правом крыле русского Северного фронта (23405).</w:t>
      </w:r>
      <w:bookmarkEnd w:id="64"/>
    </w:p>
    <w:p w14:paraId="351398FE" w14:textId="77777777" w:rsidR="00E20F08" w:rsidRPr="00405303" w:rsidRDefault="00E20F08" w:rsidP="00C15251">
      <w:pPr>
        <w:jc w:val="both"/>
        <w:rPr>
          <w:bCs/>
          <w:color w:val="002060"/>
          <w:sz w:val="16"/>
          <w:szCs w:val="16"/>
          <w:lang w:bidi="ru-RU"/>
        </w:rPr>
      </w:pPr>
    </w:p>
    <w:p w14:paraId="3BBDF70A" w14:textId="77777777" w:rsidR="004B2761" w:rsidRPr="00405303" w:rsidRDefault="004B2761" w:rsidP="004B2761">
      <w:pPr>
        <w:jc w:val="both"/>
        <w:rPr>
          <w:color w:val="0070C0"/>
          <w:sz w:val="16"/>
          <w:szCs w:val="16"/>
        </w:rPr>
      </w:pPr>
      <w:r w:rsidRPr="00405303">
        <w:rPr>
          <w:color w:val="0070C0"/>
          <w:sz w:val="16"/>
          <w:szCs w:val="16"/>
        </w:rPr>
        <w:t>К весне 1915 г. противником в восточной части Балтийского моря была создана специальная группа морской авиации, базировавшаяся на авианесущих кораблях «Ансвальд» и «Глиндер» (г. Мемель (Клайпеда), Литва, позднее – г. Либава, Латвия). В дальнейшем состав авиагруппы усилили за счет плавучей авиабазы «Санта-Елена» (г. Виндава) (25135).</w:t>
      </w:r>
    </w:p>
    <w:p w14:paraId="01BAFE4C" w14:textId="77777777" w:rsidR="004B2761" w:rsidRPr="00405303" w:rsidRDefault="004B2761" w:rsidP="004B2761">
      <w:pPr>
        <w:jc w:val="both"/>
        <w:rPr>
          <w:color w:val="0070C0"/>
          <w:sz w:val="16"/>
          <w:szCs w:val="16"/>
        </w:rPr>
      </w:pPr>
    </w:p>
    <w:p w14:paraId="7DBA5DE8" w14:textId="77777777" w:rsidR="004B2761" w:rsidRPr="00405303" w:rsidRDefault="004B2761" w:rsidP="004B2761">
      <w:pPr>
        <w:jc w:val="both"/>
        <w:rPr>
          <w:color w:val="0070C0"/>
          <w:sz w:val="16"/>
          <w:szCs w:val="16"/>
        </w:rPr>
      </w:pPr>
      <w:r w:rsidRPr="00405303">
        <w:rPr>
          <w:rStyle w:val="aa"/>
          <w:rFonts w:ascii="Times New Roman" w:hAnsi="Times New Roman"/>
          <w:color w:val="0070C0"/>
          <w:spacing w:val="0"/>
          <w:sz w:val="16"/>
          <w:szCs w:val="16"/>
        </w:rPr>
        <w:t>К весне 1915 года слежечные посты, задействованные в интересах воздушной обороны, структурно были оформлены в две линии (дальнюю и ближнюю). Дальняя линия постов находилась на значительном удалении от Петрограда (до 300 км) в крупных городах Южной Финляндии и Восточной Прибалтики, а также вдоль железнодорожных линий (Балтийского, Псковско-Рижского, Варшавского и Виндавско-Рыбинского направлений) и побережья Финского залива. К решению задач по контролю воздушного пространства в приморской зоне дополнительно задействовались Финляндская пограничная охрана (ФПО; с марта 1915 г.) и Балтийский флот. В сферу ближней линии наблюдения входили окрестности российской столицы, удаленные от городских окраин на 60-80 км, и непосредственно сам город. Для оборудования наблюдательных постов нередко использовались отдельные высотные здания города, в том числе колокольня Исаакиевского собора.</w:t>
      </w:r>
    </w:p>
    <w:p w14:paraId="71B1853E" w14:textId="77777777" w:rsidR="004B2761" w:rsidRPr="00405303" w:rsidRDefault="004B2761" w:rsidP="004B2761">
      <w:pPr>
        <w:jc w:val="both"/>
        <w:rPr>
          <w:color w:val="0070C0"/>
          <w:sz w:val="16"/>
          <w:szCs w:val="16"/>
        </w:rPr>
      </w:pPr>
      <w:r w:rsidRPr="00405303">
        <w:rPr>
          <w:rStyle w:val="aa"/>
          <w:rFonts w:ascii="Times New Roman" w:hAnsi="Times New Roman"/>
          <w:color w:val="0070C0"/>
          <w:spacing w:val="0"/>
          <w:sz w:val="16"/>
          <w:szCs w:val="16"/>
        </w:rPr>
        <w:t>Аналогично строилась и столичная зенитно-артиллерийская оборона. Зимой 1914</w:t>
      </w:r>
      <w:r w:rsidRPr="00405303">
        <w:rPr>
          <w:rStyle w:val="aa"/>
          <w:rFonts w:ascii="Times New Roman" w:hAnsi="Times New Roman"/>
          <w:color w:val="0070C0"/>
          <w:spacing w:val="0"/>
          <w:sz w:val="16"/>
          <w:szCs w:val="16"/>
        </w:rPr>
        <w:softHyphen/>
        <w:t>1915 годов все зенитные батареи укрепрайона были сведены в состав батальона Петроградской крепостной артиллерии с созданием двух колец обороны города. Ближнее кольцо обороны обеспечивало прикрытие наиболее важных городских и пригородных объектов: учреждений государственного и военного управления, аэродромов, заводов оборонной промышленности и пр. Дальнее кольцо обороны столицы и ее окрестностей соответствовало внешней линии позиций Петроградского укрепленного района, имея в своем составе девять зенитных батарей (36 орудий). Позднее к ним добавились еще две батареи, расположенные вблизи железнодорожной станции Лигово и в Гребном порту, а также команды с сигнальными ракетами, приспособленными для стрельбы по военным аэропланам (до высоты 1,1 км).</w:t>
      </w:r>
    </w:p>
    <w:p w14:paraId="425184F3" w14:textId="77777777" w:rsidR="004B2761" w:rsidRPr="00405303" w:rsidRDefault="004B2761" w:rsidP="004B2761">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Воздушная оборона Императорской резиденции в Царском Селе продолжала ограничиваться лишь четырьмя зенитными подразделениями (8 орудий), решавшими задачи самостоятельно от ВоздО Петрограда.</w:t>
      </w:r>
    </w:p>
    <w:p w14:paraId="4C6627A2" w14:textId="77777777" w:rsidR="004B2761" w:rsidRPr="00405303" w:rsidRDefault="004B2761" w:rsidP="004B2761">
      <w:pPr>
        <w:jc w:val="both"/>
        <w:rPr>
          <w:color w:val="0070C0"/>
          <w:sz w:val="16"/>
          <w:szCs w:val="16"/>
        </w:rPr>
      </w:pPr>
      <w:r w:rsidRPr="00405303">
        <w:rPr>
          <w:rStyle w:val="aa"/>
          <w:rFonts w:ascii="Times New Roman" w:hAnsi="Times New Roman"/>
          <w:color w:val="0070C0"/>
          <w:spacing w:val="0"/>
          <w:sz w:val="16"/>
          <w:szCs w:val="16"/>
        </w:rPr>
        <w:t>С возрастанием активности ВВФ противника на Петроградском направлении в интересах столичной воздушной обороны была задействована авиация. На базе Гатчинской военной авиационной школы</w:t>
      </w:r>
      <w:r w:rsidRPr="00405303">
        <w:rPr>
          <w:rStyle w:val="aa"/>
          <w:rFonts w:ascii="Times New Roman" w:hAnsi="Times New Roman"/>
          <w:color w:val="0070C0"/>
          <w:spacing w:val="0"/>
          <w:sz w:val="16"/>
          <w:szCs w:val="16"/>
          <w:vertAlign w:val="superscript"/>
        </w:rPr>
        <w:t>45</w:t>
      </w:r>
      <w:r w:rsidRPr="00405303">
        <w:rPr>
          <w:rStyle w:val="aa"/>
          <w:rFonts w:ascii="Times New Roman" w:hAnsi="Times New Roman"/>
          <w:color w:val="0070C0"/>
          <w:spacing w:val="0"/>
          <w:sz w:val="16"/>
          <w:szCs w:val="16"/>
        </w:rPr>
        <w:t xml:space="preserve"> организовывалось боевое дежурство силами 2-3 самолетов типа «Моран» с опытными экипажами для осуществления перехвата воздушного противника на пути его следования к городу (25166).</w:t>
      </w:r>
    </w:p>
    <w:p w14:paraId="060B4507" w14:textId="77777777" w:rsidR="004B2761" w:rsidRPr="00405303" w:rsidRDefault="004B2761" w:rsidP="004B2761">
      <w:pPr>
        <w:jc w:val="both"/>
        <w:rPr>
          <w:color w:val="0070C0"/>
          <w:sz w:val="16"/>
          <w:szCs w:val="16"/>
        </w:rPr>
      </w:pPr>
    </w:p>
    <w:p w14:paraId="4F47D4C6" w14:textId="4EE2B6C7" w:rsidR="00485C83" w:rsidRPr="00405303" w:rsidRDefault="00485C83" w:rsidP="00C15251">
      <w:pPr>
        <w:jc w:val="both"/>
        <w:rPr>
          <w:rStyle w:val="42"/>
          <w:rFonts w:ascii="Times New Roman" w:hAnsi="Times New Roman" w:cs="Times New Roman"/>
          <w:bCs/>
          <w:i/>
          <w:iCs/>
          <w:color w:val="002060"/>
          <w:w w:val="100"/>
          <w:sz w:val="16"/>
          <w:szCs w:val="16"/>
        </w:rPr>
      </w:pPr>
      <w:r w:rsidRPr="00405303">
        <w:rPr>
          <w:rStyle w:val="42"/>
          <w:rFonts w:ascii="Times New Roman" w:hAnsi="Times New Roman" w:cs="Times New Roman"/>
          <w:bCs/>
          <w:i/>
          <w:iCs/>
          <w:color w:val="002060"/>
          <w:w w:val="100"/>
          <w:sz w:val="16"/>
          <w:szCs w:val="16"/>
        </w:rPr>
        <w:t>Жизнь и внутренняя политика:</w:t>
      </w:r>
    </w:p>
    <w:p w14:paraId="3E830260" w14:textId="77777777" w:rsidR="00485C83" w:rsidRPr="00405303" w:rsidRDefault="00485C83" w:rsidP="00C15251">
      <w:pPr>
        <w:jc w:val="both"/>
        <w:rPr>
          <w:rStyle w:val="42"/>
          <w:rFonts w:ascii="Times New Roman" w:hAnsi="Times New Roman" w:cs="Times New Roman"/>
          <w:bCs/>
          <w:i/>
          <w:iCs/>
          <w:color w:val="002060"/>
          <w:w w:val="100"/>
          <w:sz w:val="16"/>
          <w:szCs w:val="16"/>
        </w:rPr>
      </w:pPr>
    </w:p>
    <w:p w14:paraId="68A82F5F" w14:textId="77777777" w:rsidR="00485C83" w:rsidRPr="00405303" w:rsidRDefault="00485C83"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К весне 1915 г. цены на хлеб были повышены уже на 59%, на промышленные товары на 35%. За второй год войны цены на хлеб возросли на 122%, на промышленные товары — на 145%. Сокращение потребления во время войны влекло за собой понижение жизненного уровня. Рабочий день был везде удлинен обязательными сверхурочными часами для выполнения военных заказов. Было сокращено число дней отдыха. В связи с мобилизацией в промышленности стали широко применять женский и детский труд, хотя и менее квалифицированный, но более дешевый. Доля рабочих-мужчин упала с 61,3% в 1913 г. до 56,6% в 1917 г., а процент женщин-работниц за это время увеличился с 38,7 до 43,4% (11270).</w:t>
      </w:r>
    </w:p>
    <w:p w14:paraId="172E2EAC" w14:textId="77777777" w:rsidR="00485C83" w:rsidRPr="00405303" w:rsidRDefault="00485C83" w:rsidP="00C15251">
      <w:pPr>
        <w:pStyle w:val="a3"/>
        <w:jc w:val="both"/>
        <w:rPr>
          <w:bCs/>
          <w:i w:val="0"/>
          <w:color w:val="002060"/>
          <w:spacing w:val="0"/>
          <w:kern w:val="0"/>
          <w:position w:val="0"/>
          <w:sz w:val="16"/>
          <w:szCs w:val="16"/>
        </w:rPr>
      </w:pPr>
    </w:p>
    <w:p w14:paraId="74C2789C" w14:textId="77777777" w:rsidR="00EB0A99" w:rsidRPr="00405303" w:rsidRDefault="00EB0A99" w:rsidP="00C15251">
      <w:pPr>
        <w:jc w:val="both"/>
        <w:rPr>
          <w:bCs/>
          <w:i/>
          <w:color w:val="002060"/>
          <w:sz w:val="16"/>
          <w:szCs w:val="16"/>
        </w:rPr>
      </w:pPr>
      <w:r w:rsidRPr="00405303">
        <w:rPr>
          <w:bCs/>
          <w:i/>
          <w:color w:val="002060"/>
          <w:sz w:val="16"/>
          <w:szCs w:val="16"/>
        </w:rPr>
        <w:t>Авиация и воздухоплавание Германии:</w:t>
      </w:r>
    </w:p>
    <w:p w14:paraId="6399FA72" w14:textId="77777777" w:rsidR="00EB0A99" w:rsidRPr="00405303" w:rsidRDefault="00EB0A99" w:rsidP="00C15251">
      <w:pPr>
        <w:jc w:val="both"/>
        <w:rPr>
          <w:bCs/>
          <w:i/>
          <w:color w:val="002060"/>
          <w:sz w:val="16"/>
          <w:szCs w:val="16"/>
        </w:rPr>
      </w:pPr>
    </w:p>
    <w:p w14:paraId="2529D855" w14:textId="6DEDA8A8" w:rsidR="00EB0A99" w:rsidRPr="00405303" w:rsidRDefault="00EB0A99" w:rsidP="00C15251">
      <w:pPr>
        <w:pStyle w:val="20"/>
        <w:shd w:val="clear" w:color="auto" w:fill="auto"/>
        <w:spacing w:after="0" w:line="240" w:lineRule="auto"/>
        <w:ind w:firstLine="0"/>
        <w:jc w:val="both"/>
        <w:rPr>
          <w:rFonts w:ascii="Times New Roman" w:hAnsi="Times New Roman"/>
          <w:bCs/>
          <w:color w:val="002060"/>
          <w:spacing w:val="0"/>
          <w:sz w:val="16"/>
          <w:szCs w:val="16"/>
        </w:rPr>
      </w:pPr>
      <w:r w:rsidRPr="00405303">
        <w:rPr>
          <w:rFonts w:ascii="Times New Roman" w:hAnsi="Times New Roman"/>
          <w:bCs/>
          <w:color w:val="002060"/>
          <w:spacing w:val="0"/>
          <w:sz w:val="16"/>
          <w:szCs w:val="16"/>
        </w:rPr>
        <w:t>К</w:t>
      </w:r>
      <w:r w:rsidRPr="00405303">
        <w:rPr>
          <w:rStyle w:val="LucidaSansUnicode8pt0pt"/>
          <w:rFonts w:ascii="Times New Roman" w:hAnsi="Times New Roman" w:cs="Times New Roman"/>
          <w:b w:val="0"/>
          <w:color w:val="002060"/>
          <w:spacing w:val="0"/>
        </w:rPr>
        <w:t xml:space="preserve"> весне</w:t>
      </w:r>
      <w:r w:rsidRPr="00405303">
        <w:rPr>
          <w:rFonts w:ascii="Times New Roman" w:hAnsi="Times New Roman"/>
          <w:bCs/>
          <w:color w:val="002060"/>
          <w:spacing w:val="0"/>
          <w:sz w:val="16"/>
          <w:szCs w:val="16"/>
        </w:rPr>
        <w:t xml:space="preserve"> 1915 г. Сименс-Шукерт построил копию бомбардировщика «Илья</w:t>
      </w:r>
      <w:r w:rsidRPr="00405303">
        <w:rPr>
          <w:rStyle w:val="LucidaSansUnicode8pt0pt"/>
          <w:rFonts w:ascii="Times New Roman" w:hAnsi="Times New Roman" w:cs="Times New Roman"/>
          <w:b w:val="0"/>
          <w:color w:val="002060"/>
          <w:spacing w:val="0"/>
        </w:rPr>
        <w:t xml:space="preserve"> Муромец</w:t>
      </w:r>
      <w:r w:rsidRPr="00405303">
        <w:rPr>
          <w:rFonts w:ascii="Times New Roman" w:hAnsi="Times New Roman"/>
          <w:bCs/>
          <w:color w:val="002060"/>
          <w:spacing w:val="0"/>
          <w:sz w:val="16"/>
          <w:szCs w:val="16"/>
        </w:rPr>
        <w:t>, но хвост получился заметно тяжелее,</w:t>
      </w:r>
      <w:r w:rsidRPr="00405303">
        <w:rPr>
          <w:rStyle w:val="LucidaSansUnicode8pt0pt"/>
          <w:rFonts w:ascii="Times New Roman" w:hAnsi="Times New Roman" w:cs="Times New Roman"/>
          <w:b w:val="0"/>
          <w:color w:val="002060"/>
          <w:spacing w:val="0"/>
        </w:rPr>
        <w:t xml:space="preserve"> чем у прототипа.</w:t>
      </w:r>
      <w:r w:rsidRPr="00405303">
        <w:rPr>
          <w:rFonts w:ascii="Times New Roman" w:hAnsi="Times New Roman"/>
          <w:bCs/>
          <w:color w:val="002060"/>
          <w:spacing w:val="0"/>
          <w:sz w:val="16"/>
          <w:szCs w:val="16"/>
        </w:rPr>
        <w:t xml:space="preserve"> Поэтому самолёт оказался неустойчивым, с большим трудом удавались только</w:t>
      </w:r>
      <w:r w:rsidRPr="00405303">
        <w:rPr>
          <w:rStyle w:val="LucidaSansUnicode8pt0pt"/>
          <w:rFonts w:ascii="Times New Roman" w:hAnsi="Times New Roman" w:cs="Times New Roman"/>
          <w:b w:val="0"/>
          <w:color w:val="002060"/>
          <w:spacing w:val="0"/>
        </w:rPr>
        <w:t xml:space="preserve"> короткие</w:t>
      </w:r>
      <w:r w:rsidRPr="00405303">
        <w:rPr>
          <w:rFonts w:ascii="Times New Roman" w:hAnsi="Times New Roman"/>
          <w:bCs/>
          <w:color w:val="002060"/>
          <w:spacing w:val="0"/>
          <w:sz w:val="16"/>
          <w:szCs w:val="16"/>
        </w:rPr>
        <w:t xml:space="preserve"> подлёты, </w:t>
      </w:r>
      <w:r w:rsidRPr="00405303">
        <w:rPr>
          <w:rStyle w:val="LucidaSansUnicode8pt0pt"/>
          <w:rFonts w:ascii="Times New Roman" w:hAnsi="Times New Roman" w:cs="Times New Roman"/>
          <w:b w:val="0"/>
          <w:color w:val="002060"/>
          <w:spacing w:val="0"/>
        </w:rPr>
        <w:t>и в</w:t>
      </w:r>
      <w:r w:rsidRPr="00405303">
        <w:rPr>
          <w:rFonts w:ascii="Times New Roman" w:hAnsi="Times New Roman"/>
          <w:bCs/>
          <w:color w:val="002060"/>
          <w:spacing w:val="0"/>
          <w:sz w:val="16"/>
          <w:szCs w:val="16"/>
        </w:rPr>
        <w:t xml:space="preserve"> октябре 1915 г. проект прекратили: после очередного облегчения</w:t>
      </w:r>
      <w:r w:rsidRPr="00405303">
        <w:rPr>
          <w:rStyle w:val="LucidaSansUnicode8pt0pt"/>
          <w:rFonts w:ascii="Times New Roman" w:hAnsi="Times New Roman" w:cs="Times New Roman"/>
          <w:b w:val="0"/>
          <w:color w:val="002060"/>
          <w:spacing w:val="0"/>
        </w:rPr>
        <w:t xml:space="preserve"> конструкции</w:t>
      </w:r>
      <w:r w:rsidRPr="00405303">
        <w:rPr>
          <w:rFonts w:ascii="Times New Roman" w:hAnsi="Times New Roman"/>
          <w:bCs/>
          <w:color w:val="002060"/>
          <w:spacing w:val="0"/>
          <w:sz w:val="16"/>
          <w:szCs w:val="16"/>
        </w:rPr>
        <w:t xml:space="preserve"> фюзе</w:t>
      </w:r>
      <w:r w:rsidRPr="00405303">
        <w:rPr>
          <w:rFonts w:ascii="Times New Roman" w:hAnsi="Times New Roman"/>
          <w:bCs/>
          <w:color w:val="002060"/>
          <w:spacing w:val="0"/>
          <w:sz w:val="16"/>
          <w:szCs w:val="16"/>
        </w:rPr>
        <w:softHyphen/>
      </w:r>
      <w:r w:rsidRPr="00405303">
        <w:rPr>
          <w:rStyle w:val="LucidaSansUnicode8pt0pt"/>
          <w:rFonts w:ascii="Times New Roman" w:hAnsi="Times New Roman" w:cs="Times New Roman"/>
          <w:b w:val="0"/>
          <w:color w:val="002060"/>
          <w:spacing w:val="0"/>
        </w:rPr>
        <w:t>ляж</w:t>
      </w:r>
      <w:r w:rsidRPr="00405303">
        <w:rPr>
          <w:rFonts w:ascii="Times New Roman" w:hAnsi="Times New Roman"/>
          <w:bCs/>
          <w:color w:val="002060"/>
          <w:spacing w:val="0"/>
          <w:sz w:val="16"/>
          <w:szCs w:val="16"/>
        </w:rPr>
        <w:t xml:space="preserve"> на земле, во время испытаний двигателей, раскололся пополам (15832).</w:t>
      </w:r>
    </w:p>
    <w:p w14:paraId="515D0474" w14:textId="77777777" w:rsidR="00EB0A99" w:rsidRPr="00405303" w:rsidRDefault="00EB0A99" w:rsidP="00C15251">
      <w:pPr>
        <w:pStyle w:val="20"/>
        <w:shd w:val="clear" w:color="auto" w:fill="auto"/>
        <w:spacing w:after="0" w:line="240" w:lineRule="auto"/>
        <w:ind w:firstLine="0"/>
        <w:jc w:val="both"/>
        <w:rPr>
          <w:rFonts w:ascii="Times New Roman" w:hAnsi="Times New Roman"/>
          <w:bCs/>
          <w:color w:val="002060"/>
          <w:spacing w:val="0"/>
          <w:sz w:val="16"/>
          <w:szCs w:val="16"/>
        </w:rPr>
      </w:pPr>
    </w:p>
    <w:p w14:paraId="7880AC3B" w14:textId="77777777" w:rsidR="00F635F7" w:rsidRPr="00405303" w:rsidRDefault="00F635F7" w:rsidP="00C15251">
      <w:pPr>
        <w:jc w:val="both"/>
        <w:rPr>
          <w:bCs/>
          <w:i/>
          <w:color w:val="002060"/>
          <w:sz w:val="16"/>
          <w:szCs w:val="16"/>
        </w:rPr>
      </w:pPr>
      <w:r w:rsidRPr="00405303">
        <w:rPr>
          <w:bCs/>
          <w:i/>
          <w:color w:val="002060"/>
          <w:sz w:val="16"/>
          <w:szCs w:val="16"/>
        </w:rPr>
        <w:t>Авиация и воздухоплавание Франции:</w:t>
      </w:r>
    </w:p>
    <w:p w14:paraId="7B5C4852" w14:textId="77777777" w:rsidR="00F635F7" w:rsidRPr="00405303" w:rsidRDefault="00F635F7" w:rsidP="00C15251">
      <w:pPr>
        <w:jc w:val="both"/>
        <w:rPr>
          <w:bCs/>
          <w:i/>
          <w:color w:val="002060"/>
          <w:sz w:val="16"/>
          <w:szCs w:val="16"/>
        </w:rPr>
      </w:pPr>
    </w:p>
    <w:p w14:paraId="1E4F596B" w14:textId="77777777" w:rsidR="00F635F7" w:rsidRPr="00405303" w:rsidRDefault="00F635F7" w:rsidP="00C15251">
      <w:pPr>
        <w:pStyle w:val="ae"/>
        <w:shd w:val="clear" w:color="auto" w:fill="FFFFFF"/>
        <w:spacing w:before="0" w:beforeAutospacing="0" w:after="0" w:afterAutospacing="0"/>
        <w:jc w:val="both"/>
        <w:textAlignment w:val="baseline"/>
        <w:rPr>
          <w:bCs/>
          <w:color w:val="002060"/>
          <w:sz w:val="16"/>
          <w:szCs w:val="16"/>
        </w:rPr>
      </w:pPr>
      <w:r w:rsidRPr="00405303">
        <w:rPr>
          <w:bCs/>
          <w:color w:val="002060"/>
          <w:sz w:val="16"/>
          <w:szCs w:val="16"/>
        </w:rPr>
        <w:t>К весне 1915 года во Франции были сформированы бомбардировочные эскадрильи. Составлен список важнейших целей, которые теперь разделяли на тактические и стратегические. Предпочтение отдавалось групповым вылетам. Переход войны в «окопную» фазу породил значительный интерес к авиационным бомбардировочным операциям, возникла даже надежда с помощью стратегических бомбардировок разрушить военную промышленность Германии и принудить её к прекращению войны. Всё испортили немцы: они укрепили ПВО, выделили специальные истребительные эскадрильи, установили на самолётах пулемёты с синхронизаторами. С лета 1915 года французские бомбардировщики стали нести потери и вынуждены были прекратить дальние рейды. В начале 1916 года разделение бомбардировочной авиации на тактическую и стратегическую было узаконено, дальние налёты стали проводить только по ночам (19791).</w:t>
      </w:r>
    </w:p>
    <w:p w14:paraId="65261970" w14:textId="77777777" w:rsidR="00F635F7" w:rsidRPr="00405303" w:rsidRDefault="00F635F7" w:rsidP="00C15251">
      <w:pPr>
        <w:pStyle w:val="ae"/>
        <w:shd w:val="clear" w:color="auto" w:fill="FFFFFF"/>
        <w:spacing w:before="0" w:beforeAutospacing="0" w:after="0" w:afterAutospacing="0"/>
        <w:jc w:val="both"/>
        <w:textAlignment w:val="baseline"/>
        <w:rPr>
          <w:bCs/>
          <w:color w:val="002060"/>
          <w:sz w:val="16"/>
          <w:szCs w:val="16"/>
        </w:rPr>
      </w:pPr>
    </w:p>
    <w:p w14:paraId="01AAC70A" w14:textId="77777777" w:rsidR="00EB0A99" w:rsidRPr="00405303" w:rsidRDefault="00EB0A99" w:rsidP="00C15251">
      <w:pPr>
        <w:jc w:val="both"/>
        <w:rPr>
          <w:bCs/>
          <w:i/>
          <w:color w:val="002060"/>
          <w:sz w:val="16"/>
          <w:szCs w:val="16"/>
        </w:rPr>
      </w:pPr>
      <w:r w:rsidRPr="00405303">
        <w:rPr>
          <w:bCs/>
          <w:i/>
          <w:color w:val="002060"/>
          <w:sz w:val="16"/>
          <w:szCs w:val="16"/>
        </w:rPr>
        <w:t>За рубежом:</w:t>
      </w:r>
    </w:p>
    <w:p w14:paraId="0FA28CF3" w14:textId="77777777" w:rsidR="00EB0A99" w:rsidRPr="00405303" w:rsidRDefault="00EB0A99" w:rsidP="00C15251">
      <w:pPr>
        <w:jc w:val="both"/>
        <w:rPr>
          <w:bCs/>
          <w:color w:val="002060"/>
          <w:sz w:val="16"/>
          <w:szCs w:val="16"/>
        </w:rPr>
      </w:pPr>
    </w:p>
    <w:p w14:paraId="6A05F03D" w14:textId="77777777" w:rsidR="00EB0A99" w:rsidRPr="00405303" w:rsidRDefault="00EB0A99" w:rsidP="00C15251">
      <w:pPr>
        <w:pStyle w:val="20"/>
        <w:shd w:val="clear" w:color="auto" w:fill="auto"/>
        <w:spacing w:after="0" w:line="240" w:lineRule="auto"/>
        <w:ind w:firstLine="0"/>
        <w:jc w:val="both"/>
        <w:rPr>
          <w:rFonts w:ascii="Times New Roman" w:hAnsi="Times New Roman"/>
          <w:bCs/>
          <w:color w:val="002060"/>
          <w:spacing w:val="0"/>
          <w:sz w:val="16"/>
          <w:szCs w:val="16"/>
        </w:rPr>
      </w:pPr>
      <w:r w:rsidRPr="00405303">
        <w:rPr>
          <w:rFonts w:ascii="Times New Roman" w:hAnsi="Times New Roman"/>
          <w:bCs/>
          <w:color w:val="002060"/>
          <w:spacing w:val="0"/>
          <w:sz w:val="16"/>
          <w:szCs w:val="16"/>
        </w:rPr>
        <w:t>К весне 1915 года Генеральный штаб Германии принял решение сосредоточить основные усилия в войне именно на русском фронте (изначально немецкое командование планировало нанести основной удар сначала по Франции — РП). «Пришел момент, — вспоминал начальник полевого Генерального штаба генерал Эрих фон Фалькенхайн, — когда дальше нельзя было уже откладывать решительного наступления на Востоке…». К своему весеннему «натиску на Восток» немецкие генералы подготовились основательно. На участках прорыва на русском фронте немцы и австрийцы создали двойное превосходство в живой силе, тройное — в легкой полевой артиллерии, у них было в 40 (!) раз больше тяжелой артиллерии, в 2,5 раза больше пулеметов, в несколько десятков раз больше снарядов (15230).</w:t>
      </w:r>
    </w:p>
    <w:p w14:paraId="00DE3A37" w14:textId="77777777" w:rsidR="00EB0A99" w:rsidRPr="00405303" w:rsidRDefault="00EB0A99" w:rsidP="00C15251">
      <w:pPr>
        <w:pStyle w:val="20"/>
        <w:shd w:val="clear" w:color="auto" w:fill="auto"/>
        <w:spacing w:after="0" w:line="240" w:lineRule="auto"/>
        <w:ind w:firstLine="0"/>
        <w:jc w:val="both"/>
        <w:rPr>
          <w:rFonts w:ascii="Times New Roman" w:hAnsi="Times New Roman"/>
          <w:bCs/>
          <w:color w:val="002060"/>
          <w:spacing w:val="0"/>
          <w:sz w:val="16"/>
          <w:szCs w:val="16"/>
        </w:rPr>
      </w:pPr>
    </w:p>
    <w:p w14:paraId="686C1297" w14:textId="4B56A022" w:rsidR="00EB0A99" w:rsidRPr="00405303" w:rsidRDefault="00EB0A99" w:rsidP="00C15251">
      <w:pPr>
        <w:jc w:val="both"/>
        <w:rPr>
          <w:bCs/>
          <w:color w:val="002060"/>
          <w:sz w:val="16"/>
          <w:szCs w:val="16"/>
        </w:rPr>
      </w:pPr>
      <w:r w:rsidRPr="00405303">
        <w:rPr>
          <w:bCs/>
          <w:color w:val="002060"/>
          <w:sz w:val="16"/>
          <w:szCs w:val="16"/>
        </w:rPr>
        <w:t>К весне 1915 г. во Франции</w:t>
      </w:r>
      <w:r w:rsidR="000F5756">
        <w:rPr>
          <w:bCs/>
          <w:color w:val="002060"/>
          <w:sz w:val="16"/>
          <w:szCs w:val="16"/>
        </w:rPr>
        <w:t xml:space="preserve"> </w:t>
      </w:r>
      <w:r w:rsidRPr="00405303">
        <w:rPr>
          <w:bCs/>
          <w:color w:val="002060"/>
          <w:sz w:val="16"/>
          <w:szCs w:val="16"/>
        </w:rPr>
        <w:t>работало на войну 25 тыс. различных заводов, фабрик и мастерских, на которых</w:t>
      </w:r>
      <w:r w:rsidR="000F5756">
        <w:rPr>
          <w:bCs/>
          <w:color w:val="002060"/>
          <w:sz w:val="16"/>
          <w:szCs w:val="16"/>
        </w:rPr>
        <w:t xml:space="preserve"> </w:t>
      </w:r>
      <w:r w:rsidRPr="00405303">
        <w:rPr>
          <w:bCs/>
          <w:color w:val="002060"/>
          <w:sz w:val="16"/>
          <w:szCs w:val="16"/>
        </w:rPr>
        <w:t>было занято 2 млн. человек (при этом десять наиболее экономически развитых департаментов на северо-востоке страны были оккупированы немцами и</w:t>
      </w:r>
      <w:r w:rsidR="000F5756">
        <w:rPr>
          <w:bCs/>
          <w:color w:val="002060"/>
          <w:sz w:val="16"/>
          <w:szCs w:val="16"/>
        </w:rPr>
        <w:t xml:space="preserve"> </w:t>
      </w:r>
      <w:r w:rsidRPr="00405303">
        <w:rPr>
          <w:bCs/>
          <w:color w:val="002060"/>
          <w:sz w:val="16"/>
          <w:szCs w:val="16"/>
        </w:rPr>
        <w:t>пришли в полный упадок).</w:t>
      </w:r>
      <w:r w:rsidR="00DB4D64" w:rsidRPr="00405303">
        <w:rPr>
          <w:bCs/>
          <w:color w:val="002060"/>
          <w:sz w:val="16"/>
          <w:szCs w:val="16"/>
        </w:rPr>
        <w:t xml:space="preserve"> </w:t>
      </w:r>
      <w:r w:rsidRPr="00405303">
        <w:rPr>
          <w:bCs/>
          <w:color w:val="002060"/>
          <w:sz w:val="16"/>
          <w:szCs w:val="16"/>
        </w:rPr>
        <w:t>В 1916 г. производство снарядов</w:t>
      </w:r>
      <w:r w:rsidR="000F5756">
        <w:rPr>
          <w:bCs/>
          <w:color w:val="002060"/>
          <w:sz w:val="16"/>
          <w:szCs w:val="16"/>
        </w:rPr>
        <w:t xml:space="preserve"> </w:t>
      </w:r>
      <w:r w:rsidRPr="00405303">
        <w:rPr>
          <w:bCs/>
          <w:color w:val="002060"/>
          <w:sz w:val="16"/>
          <w:szCs w:val="16"/>
        </w:rPr>
        <w:t>выросло</w:t>
      </w:r>
      <w:r w:rsidR="000F5756">
        <w:rPr>
          <w:bCs/>
          <w:color w:val="002060"/>
          <w:sz w:val="16"/>
          <w:szCs w:val="16"/>
        </w:rPr>
        <w:t xml:space="preserve"> </w:t>
      </w:r>
      <w:r w:rsidRPr="00405303">
        <w:rPr>
          <w:bCs/>
          <w:color w:val="002060"/>
          <w:sz w:val="16"/>
          <w:szCs w:val="16"/>
        </w:rPr>
        <w:t>до</w:t>
      </w:r>
      <w:r w:rsidR="00DB4D64" w:rsidRPr="00405303">
        <w:rPr>
          <w:bCs/>
          <w:color w:val="002060"/>
          <w:sz w:val="16"/>
          <w:szCs w:val="16"/>
        </w:rPr>
        <w:t xml:space="preserve"> </w:t>
      </w:r>
      <w:r w:rsidRPr="00405303">
        <w:rPr>
          <w:bCs/>
          <w:color w:val="002060"/>
          <w:sz w:val="16"/>
          <w:szCs w:val="16"/>
        </w:rPr>
        <w:t>100 000 шт. в день, производство взрывчатых веществ</w:t>
      </w:r>
      <w:r w:rsidR="004000A5" w:rsidRPr="00405303">
        <w:rPr>
          <w:bCs/>
          <w:color w:val="002060"/>
          <w:sz w:val="16"/>
          <w:szCs w:val="16"/>
        </w:rPr>
        <w:t xml:space="preserve"> </w:t>
      </w:r>
      <w:r w:rsidRPr="00405303">
        <w:rPr>
          <w:bCs/>
          <w:color w:val="002060"/>
          <w:sz w:val="16"/>
          <w:szCs w:val="16"/>
        </w:rPr>
        <w:t>-</w:t>
      </w:r>
      <w:r w:rsidR="004000A5" w:rsidRPr="00405303">
        <w:rPr>
          <w:bCs/>
          <w:color w:val="002060"/>
          <w:sz w:val="16"/>
          <w:szCs w:val="16"/>
        </w:rPr>
        <w:t xml:space="preserve"> </w:t>
      </w:r>
      <w:r w:rsidRPr="00405303">
        <w:rPr>
          <w:bCs/>
          <w:color w:val="002060"/>
          <w:sz w:val="16"/>
          <w:szCs w:val="16"/>
        </w:rPr>
        <w:t>до 255 тонн в день. Дополнительную рабочую силу для военных заводов даже частично</w:t>
      </w:r>
      <w:r w:rsidR="000F5756">
        <w:rPr>
          <w:bCs/>
          <w:color w:val="002060"/>
          <w:sz w:val="16"/>
          <w:szCs w:val="16"/>
        </w:rPr>
        <w:t xml:space="preserve"> </w:t>
      </w:r>
      <w:r w:rsidRPr="00405303">
        <w:rPr>
          <w:bCs/>
          <w:color w:val="002060"/>
          <w:sz w:val="16"/>
          <w:szCs w:val="16"/>
        </w:rPr>
        <w:t>пришлось</w:t>
      </w:r>
      <w:r w:rsidR="000F5756">
        <w:rPr>
          <w:bCs/>
          <w:color w:val="002060"/>
          <w:sz w:val="16"/>
          <w:szCs w:val="16"/>
        </w:rPr>
        <w:t xml:space="preserve"> </w:t>
      </w:r>
      <w:r w:rsidRPr="00405303">
        <w:rPr>
          <w:bCs/>
          <w:color w:val="002060"/>
          <w:sz w:val="16"/>
          <w:szCs w:val="16"/>
        </w:rPr>
        <w:t>возвращать с фронта (18389).</w:t>
      </w:r>
    </w:p>
    <w:p w14:paraId="1512170E" w14:textId="45D02E0C" w:rsidR="00EB0A99" w:rsidRPr="00405303" w:rsidRDefault="00EB0A99" w:rsidP="00C15251">
      <w:pPr>
        <w:jc w:val="both"/>
        <w:rPr>
          <w:bCs/>
          <w:color w:val="002060"/>
          <w:sz w:val="16"/>
          <w:szCs w:val="16"/>
        </w:rPr>
      </w:pPr>
    </w:p>
    <w:p w14:paraId="6FE45C6C" w14:textId="77777777" w:rsidR="004B2761" w:rsidRPr="00405303" w:rsidRDefault="004B2761" w:rsidP="004B2761">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lastRenderedPageBreak/>
        <w:t>К весне 1915 года флоты Великобритании, Франции, Герма</w:t>
      </w:r>
      <w:r w:rsidRPr="00405303">
        <w:rPr>
          <w:rStyle w:val="aa"/>
          <w:rFonts w:ascii="Times New Roman" w:hAnsi="Times New Roman"/>
          <w:color w:val="0070C0"/>
          <w:spacing w:val="0"/>
          <w:sz w:val="16"/>
          <w:szCs w:val="16"/>
        </w:rPr>
        <w:softHyphen/>
        <w:t>нии, России, Японии уже имели транспортные суда, на которых были размещены гидросамолёты-разведчики. Корабельные кра</w:t>
      </w:r>
      <w:r w:rsidRPr="00405303">
        <w:rPr>
          <w:rStyle w:val="aa"/>
          <w:rFonts w:ascii="Times New Roman" w:hAnsi="Times New Roman"/>
          <w:color w:val="0070C0"/>
          <w:spacing w:val="0"/>
          <w:sz w:val="16"/>
          <w:szCs w:val="16"/>
        </w:rPr>
        <w:softHyphen/>
        <w:t>ны опускали их на воду, а после возвращения из полёта поднима</w:t>
      </w:r>
      <w:r w:rsidRPr="00405303">
        <w:rPr>
          <w:rStyle w:val="aa"/>
          <w:rFonts w:ascii="Times New Roman" w:hAnsi="Times New Roman"/>
          <w:color w:val="0070C0"/>
          <w:spacing w:val="0"/>
          <w:sz w:val="16"/>
          <w:szCs w:val="16"/>
        </w:rPr>
        <w:softHyphen/>
        <w:t>ли с воды на палубу корабля (25079).</w:t>
      </w:r>
    </w:p>
    <w:p w14:paraId="26BA82DD" w14:textId="77777777" w:rsidR="004B2761" w:rsidRPr="00405303" w:rsidRDefault="004B2761" w:rsidP="004B2761">
      <w:pPr>
        <w:jc w:val="both"/>
        <w:rPr>
          <w:color w:val="0070C0"/>
          <w:sz w:val="16"/>
          <w:szCs w:val="16"/>
        </w:rPr>
      </w:pPr>
    </w:p>
    <w:p w14:paraId="5E83572E" w14:textId="03A24B8E" w:rsidR="00F2507F" w:rsidRPr="00405303" w:rsidRDefault="00F2507F" w:rsidP="00C15251">
      <w:pPr>
        <w:jc w:val="both"/>
        <w:rPr>
          <w:bCs/>
          <w:i/>
          <w:iCs/>
          <w:color w:val="002060"/>
          <w:sz w:val="16"/>
          <w:szCs w:val="16"/>
        </w:rPr>
      </w:pPr>
      <w:r w:rsidRPr="00405303">
        <w:rPr>
          <w:bCs/>
          <w:i/>
          <w:iCs/>
          <w:color w:val="002060"/>
          <w:sz w:val="16"/>
          <w:szCs w:val="16"/>
        </w:rPr>
        <w:t>Аэростатостроение:</w:t>
      </w:r>
    </w:p>
    <w:p w14:paraId="761B5989" w14:textId="77777777" w:rsidR="00F2507F" w:rsidRPr="00405303" w:rsidRDefault="00F2507F" w:rsidP="00C15251">
      <w:pPr>
        <w:jc w:val="both"/>
        <w:rPr>
          <w:bCs/>
          <w:i/>
          <w:iCs/>
          <w:color w:val="002060"/>
          <w:sz w:val="16"/>
          <w:szCs w:val="16"/>
        </w:rPr>
      </w:pPr>
    </w:p>
    <w:p w14:paraId="58A7ACBF" w14:textId="77777777" w:rsidR="00F2507F" w:rsidRPr="00405303" w:rsidRDefault="00F2507F" w:rsidP="00C15251">
      <w:pPr>
        <w:jc w:val="both"/>
        <w:rPr>
          <w:bCs/>
          <w:color w:val="002060"/>
          <w:sz w:val="16"/>
          <w:szCs w:val="16"/>
        </w:rPr>
      </w:pPr>
      <w:r w:rsidRPr="00405303">
        <w:rPr>
          <w:rStyle w:val="42"/>
          <w:rFonts w:ascii="Times New Roman" w:hAnsi="Times New Roman" w:cs="Times New Roman"/>
          <w:bCs/>
          <w:color w:val="002060"/>
          <w:w w:val="100"/>
          <w:sz w:val="16"/>
          <w:szCs w:val="16"/>
        </w:rPr>
        <w:t>К началу марта 1915 дирижабль Астра собрали с некоторыми переделками, а 14 марта он выполнил полуторачасовой пробный полёт.</w:t>
      </w:r>
    </w:p>
    <w:p w14:paraId="339AF84D" w14:textId="77777777" w:rsidR="00F2507F" w:rsidRPr="00405303" w:rsidRDefault="00F2507F" w:rsidP="00C15251">
      <w:pPr>
        <w:jc w:val="both"/>
        <w:rPr>
          <w:bCs/>
          <w:color w:val="002060"/>
          <w:sz w:val="16"/>
          <w:szCs w:val="16"/>
        </w:rPr>
      </w:pPr>
      <w:r w:rsidRPr="00405303">
        <w:rPr>
          <w:rStyle w:val="42"/>
          <w:rFonts w:ascii="Times New Roman" w:hAnsi="Times New Roman" w:cs="Times New Roman"/>
          <w:bCs/>
          <w:color w:val="002060"/>
          <w:w w:val="100"/>
          <w:sz w:val="16"/>
          <w:szCs w:val="16"/>
        </w:rPr>
        <w:t>27 марта в командование дирижаблем вступил Р.Л. Нижевский. Он провёл технические испыта</w:t>
      </w:r>
      <w:r w:rsidRPr="00405303">
        <w:rPr>
          <w:rStyle w:val="42"/>
          <w:rFonts w:ascii="Times New Roman" w:hAnsi="Times New Roman" w:cs="Times New Roman"/>
          <w:bCs/>
          <w:color w:val="002060"/>
          <w:w w:val="100"/>
          <w:sz w:val="16"/>
          <w:szCs w:val="16"/>
        </w:rPr>
        <w:softHyphen/>
        <w:t>ния дирижабля, которые показали, что его наи</w:t>
      </w:r>
      <w:r w:rsidRPr="00405303">
        <w:rPr>
          <w:rStyle w:val="42"/>
          <w:rFonts w:ascii="Times New Roman" w:hAnsi="Times New Roman" w:cs="Times New Roman"/>
          <w:bCs/>
          <w:color w:val="002060"/>
          <w:w w:val="100"/>
          <w:sz w:val="16"/>
          <w:szCs w:val="16"/>
        </w:rPr>
        <w:softHyphen/>
        <w:t>большая скорость составляет 12,5 м/с, а наиболь</w:t>
      </w:r>
      <w:r w:rsidRPr="00405303">
        <w:rPr>
          <w:rStyle w:val="42"/>
          <w:rFonts w:ascii="Times New Roman" w:hAnsi="Times New Roman" w:cs="Times New Roman"/>
          <w:bCs/>
          <w:color w:val="002060"/>
          <w:w w:val="100"/>
          <w:sz w:val="16"/>
          <w:szCs w:val="16"/>
        </w:rPr>
        <w:softHyphen/>
        <w:t>шая высота полёта до сбрасывания бомб не более 1500 м. Масса бомб, пулемёта и патронов состав</w:t>
      </w:r>
      <w:r w:rsidRPr="00405303">
        <w:rPr>
          <w:rStyle w:val="42"/>
          <w:rFonts w:ascii="Times New Roman" w:hAnsi="Times New Roman" w:cs="Times New Roman"/>
          <w:bCs/>
          <w:color w:val="002060"/>
          <w:w w:val="100"/>
          <w:sz w:val="16"/>
          <w:szCs w:val="16"/>
        </w:rPr>
        <w:softHyphen/>
        <w:t>ляла примерно 0,3 т, а балласта — 1,68 т.</w:t>
      </w:r>
    </w:p>
    <w:p w14:paraId="5B345E70" w14:textId="77777777" w:rsidR="00F2507F" w:rsidRPr="00405303" w:rsidRDefault="00F2507F" w:rsidP="00C15251">
      <w:pPr>
        <w:jc w:val="both"/>
        <w:rPr>
          <w:bCs/>
          <w:color w:val="002060"/>
          <w:sz w:val="16"/>
          <w:szCs w:val="16"/>
        </w:rPr>
      </w:pPr>
      <w:r w:rsidRPr="00405303">
        <w:rPr>
          <w:rStyle w:val="42"/>
          <w:rFonts w:ascii="Times New Roman" w:hAnsi="Times New Roman" w:cs="Times New Roman"/>
          <w:bCs/>
          <w:color w:val="002060"/>
          <w:w w:val="100"/>
          <w:sz w:val="16"/>
          <w:szCs w:val="16"/>
        </w:rPr>
        <w:t>После нескольких испытательных полётов «Астра» вновь получила приказ перелететь в Бе</w:t>
      </w:r>
      <w:r w:rsidRPr="00405303">
        <w:rPr>
          <w:rStyle w:val="42"/>
          <w:rFonts w:ascii="Times New Roman" w:hAnsi="Times New Roman" w:cs="Times New Roman"/>
          <w:bCs/>
          <w:color w:val="002060"/>
          <w:w w:val="100"/>
          <w:sz w:val="16"/>
          <w:szCs w:val="16"/>
        </w:rPr>
        <w:softHyphen/>
        <w:t>лосток (20120).</w:t>
      </w:r>
    </w:p>
    <w:p w14:paraId="0317DEEF" w14:textId="77777777" w:rsidR="00F2507F" w:rsidRPr="00405303" w:rsidRDefault="00F2507F" w:rsidP="00C15251">
      <w:pPr>
        <w:jc w:val="both"/>
        <w:rPr>
          <w:bCs/>
          <w:color w:val="002060"/>
          <w:sz w:val="16"/>
          <w:szCs w:val="16"/>
        </w:rPr>
      </w:pPr>
    </w:p>
    <w:p w14:paraId="720B3E1D" w14:textId="77777777" w:rsidR="00EB0A99" w:rsidRPr="00405303" w:rsidRDefault="00EB0A99" w:rsidP="00C15251">
      <w:pPr>
        <w:jc w:val="both"/>
        <w:rPr>
          <w:bCs/>
          <w:i/>
          <w:color w:val="002060"/>
          <w:sz w:val="16"/>
          <w:szCs w:val="16"/>
        </w:rPr>
      </w:pPr>
      <w:r w:rsidRPr="00405303">
        <w:rPr>
          <w:bCs/>
          <w:i/>
          <w:color w:val="002060"/>
          <w:sz w:val="16"/>
          <w:szCs w:val="16"/>
        </w:rPr>
        <w:t>Другие оборонные отрасли:</w:t>
      </w:r>
    </w:p>
    <w:p w14:paraId="345ACA0F" w14:textId="77777777" w:rsidR="00EB0A99" w:rsidRPr="00405303" w:rsidRDefault="00EB0A99" w:rsidP="00C15251">
      <w:pPr>
        <w:jc w:val="both"/>
        <w:rPr>
          <w:bCs/>
          <w:i/>
          <w:color w:val="002060"/>
          <w:sz w:val="16"/>
          <w:szCs w:val="16"/>
        </w:rPr>
      </w:pPr>
    </w:p>
    <w:p w14:paraId="1A066E1A" w14:textId="77777777" w:rsidR="00961206" w:rsidRPr="00405303" w:rsidRDefault="00961206" w:rsidP="00C15251">
      <w:pPr>
        <w:jc w:val="both"/>
        <w:rPr>
          <w:bCs/>
          <w:color w:val="002060"/>
          <w:sz w:val="16"/>
          <w:szCs w:val="16"/>
        </w:rPr>
      </w:pPr>
      <w:r w:rsidRPr="00405303">
        <w:rPr>
          <w:bCs/>
          <w:color w:val="002060"/>
          <w:sz w:val="16"/>
          <w:szCs w:val="16"/>
        </w:rPr>
        <w:t>К марту 1915 г. Сименс и Гальске выпускать ежемесячно до 800 аппаратов, а в дальнейшем наращивать производство телефонной продукции.</w:t>
      </w:r>
    </w:p>
    <w:p w14:paraId="03BAAE52" w14:textId="77777777" w:rsidR="00961206" w:rsidRPr="00405303" w:rsidRDefault="00961206" w:rsidP="00C15251">
      <w:pPr>
        <w:jc w:val="both"/>
        <w:rPr>
          <w:bCs/>
          <w:color w:val="002060"/>
          <w:sz w:val="16"/>
          <w:szCs w:val="16"/>
        </w:rPr>
      </w:pPr>
      <w:r w:rsidRPr="00405303">
        <w:rPr>
          <w:bCs/>
          <w:color w:val="002060"/>
          <w:sz w:val="16"/>
          <w:szCs w:val="16"/>
        </w:rPr>
        <w:t>Фирма «Сименс и Гальске» сохранила за собой сильные позиции и в сфере производства военно-полевой радиоаппаратуры. В годы войны она преимущественно специализировалась на выпуске полевых и переносных (аванпостных) радиостанций. Полевые станции фирмы сохранили за собой признанное лидерство благодаря своим достаточно высоким тактико-техническим характеристикам2. В общей сложности их было выпущено петроградским предприятием «Сименс и Гальске» не менее 465 комплектов3. Именно этот тип аппаратуры составил основу парка радиовооружения уже Красной Армии вплоть до конца 1920-х годов, когда ее сменила ламповая техника разработки ленинградской радиопромышленности (18297).</w:t>
      </w:r>
    </w:p>
    <w:p w14:paraId="2BBE2F38" w14:textId="77777777" w:rsidR="00961206" w:rsidRPr="00405303" w:rsidRDefault="00961206" w:rsidP="00C15251">
      <w:pPr>
        <w:jc w:val="both"/>
        <w:rPr>
          <w:bCs/>
          <w:color w:val="002060"/>
          <w:sz w:val="16"/>
          <w:szCs w:val="16"/>
        </w:rPr>
      </w:pPr>
    </w:p>
    <w:p w14:paraId="3A26505C" w14:textId="77777777" w:rsidR="00961206" w:rsidRPr="00405303" w:rsidRDefault="00961206" w:rsidP="00C15251">
      <w:pPr>
        <w:jc w:val="both"/>
        <w:rPr>
          <w:bCs/>
          <w:color w:val="002060"/>
          <w:sz w:val="16"/>
          <w:szCs w:val="16"/>
        </w:rPr>
      </w:pPr>
      <w:r w:rsidRPr="00405303">
        <w:rPr>
          <w:bCs/>
          <w:color w:val="002060"/>
          <w:sz w:val="16"/>
          <w:szCs w:val="16"/>
        </w:rPr>
        <w:t>К марту 1915 г. по сравнению с декабрем 1914 г. цены на изолированный кабель выросли на 26%, на эбонит – на 28%, на дерево – на 30-40%, на латунь – в 2,4 раза. В результате в конце апреля 1915 г. фирма «Л.М. Эриксон» повысило цены на свою телефонную продукцию в среднем на 26% (18297).</w:t>
      </w:r>
    </w:p>
    <w:p w14:paraId="6AE5AB2B" w14:textId="77777777" w:rsidR="00961206" w:rsidRPr="00405303" w:rsidRDefault="00961206" w:rsidP="00C15251">
      <w:pPr>
        <w:jc w:val="both"/>
        <w:rPr>
          <w:bCs/>
          <w:color w:val="002060"/>
          <w:sz w:val="16"/>
          <w:szCs w:val="16"/>
        </w:rPr>
      </w:pPr>
    </w:p>
    <w:p w14:paraId="07E470FC"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61CF1770" w14:textId="77777777" w:rsidR="004B4E35" w:rsidRPr="00405303" w:rsidRDefault="004B4E35" w:rsidP="00C15251">
      <w:pPr>
        <w:jc w:val="both"/>
        <w:rPr>
          <w:bCs/>
          <w:i/>
          <w:color w:val="002060"/>
          <w:sz w:val="16"/>
          <w:szCs w:val="16"/>
        </w:rPr>
      </w:pPr>
    </w:p>
    <w:p w14:paraId="74010C2F" w14:textId="77777777" w:rsidR="00247024" w:rsidRPr="00405303" w:rsidRDefault="00247024" w:rsidP="00247024">
      <w:pPr>
        <w:jc w:val="both"/>
        <w:rPr>
          <w:color w:val="0070C0"/>
          <w:sz w:val="16"/>
          <w:szCs w:val="16"/>
        </w:rPr>
      </w:pPr>
      <w:r w:rsidRPr="00405303">
        <w:rPr>
          <w:color w:val="0070C0"/>
          <w:sz w:val="16"/>
          <w:szCs w:val="16"/>
        </w:rPr>
        <w:t>1 (14) марта 1915 г. в районе Прасныша с борта германского самолета типа «Таубе» в д. Свиняры было сброшено три бомбы. В результате разрушена одна крестьянская изба, тяжелое ранение получили три местных жителя (25125).</w:t>
      </w:r>
    </w:p>
    <w:p w14:paraId="673D663A" w14:textId="77777777" w:rsidR="00247024" w:rsidRPr="00405303" w:rsidRDefault="00247024" w:rsidP="00247024">
      <w:pPr>
        <w:jc w:val="both"/>
        <w:rPr>
          <w:color w:val="0070C0"/>
          <w:sz w:val="16"/>
          <w:szCs w:val="16"/>
        </w:rPr>
      </w:pPr>
    </w:p>
    <w:p w14:paraId="60C2FDC0" w14:textId="478B6E03" w:rsidR="004B4E35" w:rsidRPr="00405303" w:rsidRDefault="0013484F" w:rsidP="00C15251">
      <w:pPr>
        <w:jc w:val="both"/>
        <w:rPr>
          <w:bCs/>
          <w:color w:val="002060"/>
          <w:sz w:val="16"/>
          <w:szCs w:val="16"/>
        </w:rPr>
      </w:pPr>
      <w:r w:rsidRPr="00405303">
        <w:rPr>
          <w:bCs/>
          <w:color w:val="002060"/>
          <w:sz w:val="16"/>
          <w:szCs w:val="16"/>
        </w:rPr>
        <w:t>К</w:t>
      </w:r>
      <w:r w:rsidR="009E6F82" w:rsidRPr="00405303">
        <w:rPr>
          <w:bCs/>
          <w:color w:val="002060"/>
          <w:sz w:val="16"/>
          <w:szCs w:val="16"/>
        </w:rPr>
        <w:t xml:space="preserve"> 1 (14) марта </w:t>
      </w:r>
      <w:r w:rsidRPr="00405303">
        <w:rPr>
          <w:bCs/>
          <w:color w:val="002060"/>
          <w:sz w:val="16"/>
          <w:szCs w:val="16"/>
        </w:rPr>
        <w:t>191</w:t>
      </w:r>
      <w:r w:rsidR="00705AC4" w:rsidRPr="00405303">
        <w:rPr>
          <w:bCs/>
          <w:color w:val="002060"/>
          <w:sz w:val="16"/>
          <w:szCs w:val="16"/>
        </w:rPr>
        <w:t>5</w:t>
      </w:r>
      <w:r w:rsidRPr="00405303">
        <w:rPr>
          <w:bCs/>
          <w:color w:val="002060"/>
          <w:sz w:val="16"/>
          <w:szCs w:val="16"/>
        </w:rPr>
        <w:t xml:space="preserve"> г. </w:t>
      </w:r>
      <w:r w:rsidR="009E6F82" w:rsidRPr="00405303">
        <w:rPr>
          <w:bCs/>
          <w:color w:val="002060"/>
          <w:sz w:val="16"/>
          <w:szCs w:val="16"/>
        </w:rPr>
        <w:t>была закончена позиция для 2-орудийной батареи на станках Розенберга у форта № 3. 14 (27) марта 1915 года в Александровскую цитадель прибыла 1-я автомобильная батарея для стрельбы по воздушному флоту капитана В.В. Тарновского. Она заняла позицию в цитадели (в направлении правобережных вокзалов и железнодорожного моста). Два дня над крепостью велись показательные полеты аэропланов 1-го корпусного авиаотряда для избежания стрельбы по своим. Но уже 20 (2 апреля) марта батарея выступила в Ломжу, не сделав ни выстрела. Возможно, это стало следствием неучастия батареи в отражении налета одиночного аэроплана 16 (29) марта: противнику не удалось сбросить бомбы, но от плотного огня крепостных противовоздушных батарей пострадали 4 здания в городе, в которые случайно попали снаряды.</w:t>
      </w:r>
    </w:p>
    <w:p w14:paraId="338D9554" w14:textId="77777777" w:rsidR="004B4E35" w:rsidRPr="00405303" w:rsidRDefault="004B4E35" w:rsidP="00C15251">
      <w:pPr>
        <w:jc w:val="both"/>
        <w:rPr>
          <w:bCs/>
          <w:i/>
          <w:color w:val="002060"/>
          <w:sz w:val="16"/>
          <w:szCs w:val="16"/>
        </w:rPr>
      </w:pPr>
    </w:p>
    <w:p w14:paraId="59A6848A"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643797D8" w14:textId="77777777" w:rsidR="004B4E35" w:rsidRPr="00405303" w:rsidRDefault="004B4E35" w:rsidP="00C15251">
      <w:pPr>
        <w:jc w:val="both"/>
        <w:rPr>
          <w:bCs/>
          <w:i/>
          <w:color w:val="002060"/>
          <w:sz w:val="16"/>
          <w:szCs w:val="16"/>
        </w:rPr>
      </w:pPr>
    </w:p>
    <w:p w14:paraId="493CBAE4" w14:textId="795D0D6A"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1 (14) марта</w:t>
      </w:r>
      <w:r w:rsidR="00705AC4" w:rsidRPr="00405303">
        <w:rPr>
          <w:bCs/>
          <w:i w:val="0"/>
          <w:color w:val="002060"/>
          <w:spacing w:val="0"/>
          <w:kern w:val="0"/>
          <w:position w:val="0"/>
          <w:sz w:val="16"/>
          <w:szCs w:val="16"/>
        </w:rPr>
        <w:t xml:space="preserve"> 1915 г. председатель комиссии ответил</w:t>
      </w:r>
      <w:r w:rsidRPr="00405303">
        <w:rPr>
          <w:bCs/>
          <w:i w:val="0"/>
          <w:color w:val="002060"/>
          <w:spacing w:val="0"/>
          <w:kern w:val="0"/>
          <w:position w:val="0"/>
          <w:sz w:val="16"/>
          <w:szCs w:val="16"/>
        </w:rPr>
        <w:t xml:space="preserve">, что все "предложения, сделанные через Моргана, ни по ценам, ни по срокам безусловно неприемлемы". </w:t>
      </w:r>
    </w:p>
    <w:p w14:paraId="39DAA94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Это отрицательное отношение председателя комиссии к посредничеству фирмы Моргана нашло себе подтверждение в телеграммах ген. Сапожникова от 30 мая и 12 июня 1915 г. </w:t>
      </w:r>
    </w:p>
    <w:p w14:paraId="149BCFB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Исследовав на месте вопрос о возможности давать артиллерийские заказы непосредственно поставщикам при посредстве Моргана, ген. Сапожников донес, что "постоянный захват банкирским домом Моргана монополии на заказы союзных правительств несомненно есть в высшей степени прискорбное явление. При передаче военных заказов Моргану военно-торговые интересы страдают весьма сильно, что подтверждается неоднократно выражавшимся в английском парламенте негодованием на деятельность этой фирмы и современным печальным состоянием снабжения английской армии на театре войны. Дальнейшее развитие этой монополии, несомненно, может отразиться неблагоприятно и на наших будущих заказах, так как отвлечет в группу Моргана многих крупных поставщиков, заинтересованных преувеличенной прибылью. Насколько мне известно, финансирование наших заказов в Америке и в настоящее время уже находится исключительно в руках группы Моргана, что, несомненно, даст ей громадное влияние на рынок. </w:t>
      </w:r>
    </w:p>
    <w:p w14:paraId="387CAD0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Обезвредить Моргана с нашей стороны можно было бы путем отнятия у него такой монополии нашего финансирования в Америке и обращения к другим банкирам". </w:t>
      </w:r>
    </w:p>
    <w:p w14:paraId="2206773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Далее ген. Сапожников приводил целый ряд примеров заказов, которые могли бы быть даны американским фирмам непосредственно, но благодаря посредничеству Моргана или не были даны совсем или были даны так, что являлись гораздо более выгодными Моргану и американским фабрикантам, чем русским интересам. Так, заказ на прессованный пироксилин был дан заводу, у которого не было прессов; пулеметы Браунинга-Кольта предполагалось покупать и заказывать у несуществующего завода и т. п. </w:t>
      </w:r>
    </w:p>
    <w:p w14:paraId="6D18C0D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результате, замечает ген. Сапожников, "ни по одному контракту, заключенному через Моргана и генерала Рубана, приемщики не могут получить своевременно копий контрактов". </w:t>
      </w:r>
    </w:p>
    <w:p w14:paraId="69A9D61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другой телеграмме, датированной тем же числом, ген. Сапожников указывает на то, что "Морган совершенно не считается с присутствием в Америке русской приемной комиссии" и отказывается выдать ему копии контрактов, мотивируя это тем, что контракты заключены им не с русским, а с английским правительством. </w:t>
      </w:r>
    </w:p>
    <w:p w14:paraId="3387D56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Одновременно с телеграммой ген. Сапожникова председатель комиссии получил телеграмму ген. Гермониуса, в которой он сообщает, что лорд Китченер сообщил ему о данном полномочии заказывать для России боевые припасы и пригласил его участвовать в комиссии, образованной при английском военном министерстве для распределения русских заказов, и что в первом же заседании этой комиссии был возбужден вопрос о заказе 9,5 млн. патронов для полевых пушек. При этом ген. Гермониус просил объяснить ему на чем же собственно основываются английские власти, регулируя будущее снабжение русской армии. </w:t>
      </w:r>
    </w:p>
    <w:p w14:paraId="7D12931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Цифра 9,5 млн. была непонятна, ибо еще два месяца тому назад лорд Китченер предлагал нам заказать только 5 млн. </w:t>
      </w:r>
    </w:p>
    <w:p w14:paraId="4CA23F9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Председатель Особой распорядительной комиссии, видя, что цело снабжения армии, полностью порученное ему, является предметом самостоятельных забот иностранных властей, некомпетентных в наших потребностях и действующих под сильным влиянием коммерческих учреждений (например Моргана), отправил наштаверху ген. Янушкевичу телеграмму следующего содержания: </w:t>
      </w:r>
    </w:p>
    <w:p w14:paraId="076F248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бытность мою в Ставке вы мне выяснили, что предложения Китченера на заказы в случае поздних сроков будут отклонены. Из телеграммы Гермониуса видно, что Китченер уполномочен заказывать что угодно в неограниченном, количестве и даже на семнадцатый год. Имея в виду обе телеграммы Саложникова и тот факт, что все заказы Китченера будут даваться тому же Моргану, следует ожидать, что все нами ранее заказанное непосредственно в Америке будет парализовано Морганом, и вместо ускорения подачи заказов будет только замедление. Прошу мне указать, какую инструкцию я должен дать Гермониусу, и поставить меня в известность, какие полномочия даны Китченеру. Меня также тревожит вопрос, кто впоследствии будет ответственен перед контролем и законодательными учреждениями за длительные заграничные заказы, в которых никакой нужды нет, раз они будут даваться хотя союзным, но иностранным, правительством". </w:t>
      </w:r>
    </w:p>
    <w:p w14:paraId="4DDA301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lastRenderedPageBreak/>
        <w:t xml:space="preserve">6 (19) июня начальник Штаба верховного главнокомандующего ответил председателю комиссии, что "ориентировка Петрограда о возможных надеждах на усиленный приток снабжения и политические условия привели к необходимости принять предложение лорда Китченера, обещавшего полную гарантию исполнения заказов при 25-процентном задатке. </w:t>
      </w:r>
    </w:p>
    <w:p w14:paraId="4674517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Вся ответственность переходит на Штаб верховного главнокомандующего при согласии с необходимостью заказа совещания военного министра, в котором участвуют председатель и члены Думы". </w:t>
      </w:r>
    </w:p>
    <w:p w14:paraId="77659A3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одном из следующих заседаний английской комиссии количество 76-мм патронов 9,5 млн. было заменено уже 12 млн., причем единственной предоставляемой гарантией являлось право отказа в случае несвоевременного исполнения контракта. </w:t>
      </w:r>
    </w:p>
    <w:p w14:paraId="0FDA305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26 июня ген. Гермониус донес, что в пятом заседании комиссии вновь обсуждался вопрос о распределении русских заказов между американскими заводами, причем существенную роль в разрешении вопросов играли представители Моргана. При этом председатель английской комиссии предложил спросить верховного главнокомандующего, нужно ли еще заказывать снаряды сверх тех, о которых уже было условлено. Ген. Гермониус высказался, что подобное предложение не должно исходить от комиссии, так как ничего похожего на попечительство о русском снабжении не должно исходить от английского военного министерства. Тогда председатель заявил, что телеграмма будет послана от имени лорда Китченера. </w:t>
      </w:r>
    </w:p>
    <w:p w14:paraId="407D0C9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Таким образом, лорд Китченер окончательно сделал это дело своей монополией, отстранив от обсуждения вопроса даже ген. Гермониуса и сносясь только со Ставкой верховного главнокомандующего. </w:t>
      </w:r>
    </w:p>
    <w:p w14:paraId="1857C86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дальнейшем против этой опеки Англии старалось бороться и Особое совещание по обороне государства, но толку из этого вышло также мало, ибо, очутившись в положении бедной приживалки у богатых родственников, царская Россия могла только делать вид протестующей, на самом же деле с нею считались очень мало. </w:t>
      </w:r>
    </w:p>
    <w:p w14:paraId="7AB0EED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Вскоре по делам "несостоятельной" России образовался целый "опекунский совет" союзниц, который и выделил в январе 1917 г. своих представителей на Межсоюзную конференцию в Петрограде, чтобы окончательно решить, как обойтись с назойливыми просьбами русских властей о разного рода "вспомоществованиях". Результаты этой конференции помещены в особом отчете, о котором неоднократно будет упоминаться. </w:t>
      </w:r>
    </w:p>
    <w:p w14:paraId="70C68D0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Странное поведение Ставки в 1915 г. в отношении заказов боевых припасов за границей возможно объяснить, с одной стороны, политическими соображениями Ставки, всячески заискивавшей у "союзников", с другой стороны, растерянностью Ставки и боязнью проиграть войну из-за недостатка снарядов (11483).</w:t>
      </w:r>
    </w:p>
    <w:p w14:paraId="0C1C71DA" w14:textId="77777777" w:rsidR="004B4E35" w:rsidRPr="00405303" w:rsidRDefault="004B4E35" w:rsidP="00C15251">
      <w:pPr>
        <w:pStyle w:val="a3"/>
        <w:jc w:val="both"/>
        <w:rPr>
          <w:bCs/>
          <w:i w:val="0"/>
          <w:color w:val="002060"/>
          <w:spacing w:val="0"/>
          <w:kern w:val="0"/>
          <w:position w:val="0"/>
          <w:sz w:val="16"/>
          <w:szCs w:val="16"/>
        </w:rPr>
      </w:pPr>
    </w:p>
    <w:p w14:paraId="5B3853B9" w14:textId="1DAB3AD6" w:rsidR="00E84D7B" w:rsidRPr="00405303" w:rsidRDefault="00E84D7B" w:rsidP="00C15251">
      <w:pPr>
        <w:jc w:val="both"/>
        <w:rPr>
          <w:bCs/>
          <w:i/>
          <w:color w:val="002060"/>
          <w:sz w:val="16"/>
          <w:szCs w:val="16"/>
        </w:rPr>
      </w:pPr>
      <w:r w:rsidRPr="00405303">
        <w:rPr>
          <w:bCs/>
          <w:i/>
          <w:color w:val="002060"/>
          <w:sz w:val="16"/>
          <w:szCs w:val="16"/>
        </w:rPr>
        <w:t>Авиация и воздухоплавание за рубежом:</w:t>
      </w:r>
    </w:p>
    <w:p w14:paraId="1AF0B6D4" w14:textId="77777777" w:rsidR="00E84D7B" w:rsidRPr="00405303" w:rsidRDefault="00E84D7B" w:rsidP="00C15251">
      <w:pPr>
        <w:jc w:val="both"/>
        <w:rPr>
          <w:bCs/>
          <w:color w:val="002060"/>
          <w:sz w:val="16"/>
          <w:szCs w:val="16"/>
        </w:rPr>
      </w:pPr>
    </w:p>
    <w:p w14:paraId="31A7A6C8" w14:textId="77777777" w:rsidR="00E84D7B" w:rsidRPr="00405303" w:rsidRDefault="00E84D7B" w:rsidP="00C15251">
      <w:pPr>
        <w:jc w:val="both"/>
        <w:rPr>
          <w:bCs/>
          <w:color w:val="002060"/>
          <w:sz w:val="16"/>
          <w:szCs w:val="16"/>
        </w:rPr>
      </w:pPr>
      <w:r w:rsidRPr="00405303">
        <w:rPr>
          <w:bCs/>
          <w:color w:val="002060"/>
          <w:sz w:val="16"/>
          <w:szCs w:val="16"/>
        </w:rPr>
        <w:t>1 (14) марта 1915 американский пилот- первопроходец Линкольн Дж. Бичи погиб в результате поломки конструкции его моноплана Бичи-Итон, когда он летел в перевернутом положении перед 250-тысячной толпой на Панамско-Тихоокеанской международной выставке и врезался в воды залива Сан-Франциско (20338).</w:t>
      </w:r>
    </w:p>
    <w:p w14:paraId="07B61F9A" w14:textId="77777777" w:rsidR="00E84D7B" w:rsidRPr="00405303" w:rsidRDefault="00E84D7B" w:rsidP="00C15251">
      <w:pPr>
        <w:jc w:val="both"/>
        <w:rPr>
          <w:bCs/>
          <w:color w:val="002060"/>
          <w:sz w:val="16"/>
          <w:szCs w:val="16"/>
        </w:rPr>
      </w:pPr>
    </w:p>
    <w:p w14:paraId="3A486FDE" w14:textId="77777777" w:rsidR="007704A8" w:rsidRPr="00405303" w:rsidRDefault="007704A8" w:rsidP="00C15251">
      <w:pPr>
        <w:jc w:val="both"/>
        <w:rPr>
          <w:bCs/>
          <w:i/>
          <w:color w:val="002060"/>
          <w:sz w:val="16"/>
          <w:szCs w:val="16"/>
        </w:rPr>
      </w:pPr>
      <w:r w:rsidRPr="00405303">
        <w:rPr>
          <w:bCs/>
          <w:i/>
          <w:color w:val="002060"/>
          <w:sz w:val="16"/>
          <w:szCs w:val="16"/>
        </w:rPr>
        <w:t>За рубежом:</w:t>
      </w:r>
    </w:p>
    <w:p w14:paraId="07F86FEB" w14:textId="77777777" w:rsidR="007704A8" w:rsidRPr="00405303" w:rsidRDefault="007704A8" w:rsidP="00C15251">
      <w:pPr>
        <w:jc w:val="both"/>
        <w:rPr>
          <w:bCs/>
          <w:color w:val="002060"/>
          <w:sz w:val="16"/>
          <w:szCs w:val="16"/>
        </w:rPr>
      </w:pPr>
    </w:p>
    <w:p w14:paraId="60EA3CCC" w14:textId="77777777" w:rsidR="007704A8" w:rsidRPr="00405303" w:rsidRDefault="007704A8" w:rsidP="00C15251">
      <w:pPr>
        <w:jc w:val="both"/>
        <w:rPr>
          <w:bCs/>
          <w:color w:val="002060"/>
          <w:sz w:val="16"/>
          <w:szCs w:val="16"/>
        </w:rPr>
      </w:pPr>
      <w:r w:rsidRPr="00405303">
        <w:rPr>
          <w:bCs/>
          <w:color w:val="002060"/>
          <w:sz w:val="16"/>
          <w:szCs w:val="16"/>
        </w:rPr>
        <w:t>1 (14) марта в 1915 году у побережья Чили английскими ВМС был потоплен немецкий легкий крейсер "Дрезден" - последний корабль из бывшей эскадры адмирала Шпее (15068).</w:t>
      </w:r>
    </w:p>
    <w:p w14:paraId="152B4151" w14:textId="77777777" w:rsidR="007704A8" w:rsidRPr="00405303" w:rsidRDefault="007704A8" w:rsidP="00C15251">
      <w:pPr>
        <w:jc w:val="both"/>
        <w:rPr>
          <w:bCs/>
          <w:color w:val="002060"/>
          <w:sz w:val="16"/>
          <w:szCs w:val="16"/>
        </w:rPr>
      </w:pPr>
    </w:p>
    <w:p w14:paraId="377586C9" w14:textId="77777777" w:rsidR="00A02074" w:rsidRPr="00405303" w:rsidRDefault="00A02074" w:rsidP="00C15251">
      <w:pPr>
        <w:jc w:val="both"/>
        <w:rPr>
          <w:bCs/>
          <w:i/>
          <w:color w:val="002060"/>
          <w:sz w:val="16"/>
          <w:szCs w:val="16"/>
        </w:rPr>
      </w:pPr>
      <w:r w:rsidRPr="00405303">
        <w:rPr>
          <w:bCs/>
          <w:i/>
          <w:color w:val="002060"/>
          <w:sz w:val="16"/>
          <w:szCs w:val="16"/>
        </w:rPr>
        <w:t>Армия:</w:t>
      </w:r>
    </w:p>
    <w:p w14:paraId="32C09600" w14:textId="77777777" w:rsidR="00A02074" w:rsidRPr="00405303" w:rsidRDefault="00A02074" w:rsidP="00C15251">
      <w:pPr>
        <w:jc w:val="both"/>
        <w:rPr>
          <w:bCs/>
          <w:i/>
          <w:color w:val="002060"/>
          <w:sz w:val="16"/>
          <w:szCs w:val="16"/>
        </w:rPr>
      </w:pPr>
    </w:p>
    <w:p w14:paraId="214754B2" w14:textId="23A0D684" w:rsidR="00A02074" w:rsidRPr="00405303" w:rsidRDefault="00A02074" w:rsidP="00C15251">
      <w:pPr>
        <w:jc w:val="both"/>
        <w:rPr>
          <w:bCs/>
          <w:color w:val="002060"/>
          <w:sz w:val="16"/>
          <w:szCs w:val="16"/>
        </w:rPr>
      </w:pPr>
      <w:r w:rsidRPr="00405303">
        <w:rPr>
          <w:bCs/>
          <w:color w:val="002060"/>
          <w:sz w:val="16"/>
          <w:szCs w:val="16"/>
        </w:rPr>
        <w:t xml:space="preserve">2 </w:t>
      </w:r>
      <w:r w:rsidR="00705AC4" w:rsidRPr="00405303">
        <w:rPr>
          <w:bCs/>
          <w:color w:val="002060"/>
          <w:sz w:val="16"/>
          <w:szCs w:val="16"/>
        </w:rPr>
        <w:t xml:space="preserve">(15) </w:t>
      </w:r>
      <w:r w:rsidRPr="00405303">
        <w:rPr>
          <w:bCs/>
          <w:color w:val="002060"/>
          <w:sz w:val="16"/>
          <w:szCs w:val="16"/>
        </w:rPr>
        <w:t>марта в 1915 году 10-я,12-я и 1-я армии Северо-Западного фронта перешли в общее наступление против немецких войск (10-я, 8-я армии и группа генерала Гальвица) в направлении городов Сувалки, Алленштейн и Зольдау (15056).</w:t>
      </w:r>
    </w:p>
    <w:p w14:paraId="4888EA35" w14:textId="77777777" w:rsidR="00A02074" w:rsidRPr="00405303" w:rsidRDefault="00A02074" w:rsidP="00C15251">
      <w:pPr>
        <w:jc w:val="both"/>
        <w:rPr>
          <w:bCs/>
          <w:color w:val="002060"/>
          <w:sz w:val="16"/>
          <w:szCs w:val="16"/>
        </w:rPr>
      </w:pPr>
    </w:p>
    <w:p w14:paraId="478DE046" w14:textId="77777777" w:rsidR="008260CE" w:rsidRPr="00405303" w:rsidRDefault="008260CE" w:rsidP="00C15251">
      <w:pPr>
        <w:jc w:val="both"/>
        <w:rPr>
          <w:bCs/>
          <w:i/>
          <w:color w:val="002060"/>
          <w:sz w:val="16"/>
          <w:szCs w:val="16"/>
        </w:rPr>
      </w:pPr>
      <w:r w:rsidRPr="00405303">
        <w:rPr>
          <w:bCs/>
          <w:i/>
          <w:color w:val="002060"/>
          <w:sz w:val="16"/>
          <w:szCs w:val="16"/>
        </w:rPr>
        <w:t>За рубежом:</w:t>
      </w:r>
    </w:p>
    <w:p w14:paraId="28E1C249" w14:textId="77777777" w:rsidR="008260CE" w:rsidRPr="00405303" w:rsidRDefault="008260CE" w:rsidP="00C15251">
      <w:pPr>
        <w:jc w:val="both"/>
        <w:rPr>
          <w:bCs/>
          <w:color w:val="002060"/>
          <w:sz w:val="16"/>
          <w:szCs w:val="16"/>
        </w:rPr>
      </w:pPr>
    </w:p>
    <w:p w14:paraId="77E730B9" w14:textId="77777777" w:rsidR="008260CE" w:rsidRPr="00405303" w:rsidRDefault="008260CE" w:rsidP="00C15251">
      <w:pPr>
        <w:jc w:val="both"/>
        <w:rPr>
          <w:bCs/>
          <w:color w:val="002060"/>
          <w:sz w:val="16"/>
          <w:szCs w:val="16"/>
        </w:rPr>
      </w:pPr>
      <w:r w:rsidRPr="00405303">
        <w:rPr>
          <w:bCs/>
          <w:color w:val="002060"/>
          <w:sz w:val="16"/>
          <w:szCs w:val="16"/>
        </w:rPr>
        <w:t>2 (15) марта в 1915 году после того, как парой дней раньше турецкий заградитель "Нусрет", водоизмещением всего 365 тонн и длиной 40 м, имевший скорость 15 узлов, не имеющий ни закрытой минной палубы, ни специального оборудования выставил бухте Эренкиой мины, на них подорвались и затонули затонули сразу три линкора (другие данные - броненосцы)- английские "Иррезистебл" и "Оушен" и французский "Бувэ" (15069).</w:t>
      </w:r>
    </w:p>
    <w:p w14:paraId="7B4530F9" w14:textId="77777777" w:rsidR="008260CE" w:rsidRPr="00405303" w:rsidRDefault="008260CE" w:rsidP="00C15251">
      <w:pPr>
        <w:jc w:val="both"/>
        <w:rPr>
          <w:bCs/>
          <w:color w:val="002060"/>
          <w:sz w:val="16"/>
          <w:szCs w:val="16"/>
        </w:rPr>
      </w:pPr>
    </w:p>
    <w:p w14:paraId="2874C5C2"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22D35C59" w14:textId="77777777" w:rsidR="004B4E35" w:rsidRPr="00405303" w:rsidRDefault="004B4E35" w:rsidP="00C15251">
      <w:pPr>
        <w:jc w:val="both"/>
        <w:rPr>
          <w:bCs/>
          <w:i/>
          <w:color w:val="002060"/>
          <w:sz w:val="16"/>
          <w:szCs w:val="16"/>
        </w:rPr>
      </w:pPr>
    </w:p>
    <w:p w14:paraId="5CCFBE94" w14:textId="67C52F81" w:rsidR="004B4E35" w:rsidRPr="00405303" w:rsidRDefault="009E6F82" w:rsidP="00C15251">
      <w:pPr>
        <w:jc w:val="both"/>
        <w:rPr>
          <w:bCs/>
          <w:color w:val="002060"/>
          <w:sz w:val="16"/>
          <w:szCs w:val="16"/>
        </w:rPr>
      </w:pPr>
      <w:r w:rsidRPr="00405303">
        <w:rPr>
          <w:bCs/>
          <w:color w:val="002060"/>
          <w:sz w:val="16"/>
          <w:szCs w:val="16"/>
        </w:rPr>
        <w:t xml:space="preserve">3 (16) марта 1915 г. </w:t>
      </w:r>
      <w:r w:rsidR="00705AC4" w:rsidRPr="00405303">
        <w:rPr>
          <w:bCs/>
          <w:color w:val="002060"/>
          <w:sz w:val="16"/>
          <w:szCs w:val="16"/>
        </w:rPr>
        <w:t>для нового триплана А.А. Безобразова прика</w:t>
      </w:r>
      <w:r w:rsidR="00705AC4" w:rsidRPr="00405303">
        <w:rPr>
          <w:bCs/>
          <w:color w:val="002060"/>
          <w:sz w:val="16"/>
          <w:szCs w:val="16"/>
        </w:rPr>
        <w:softHyphen/>
        <w:t xml:space="preserve">зом № 62 </w:t>
      </w:r>
      <w:r w:rsidRPr="00405303">
        <w:rPr>
          <w:bCs/>
          <w:color w:val="002060"/>
          <w:sz w:val="16"/>
          <w:szCs w:val="16"/>
        </w:rPr>
        <w:t xml:space="preserve">по Офицерской школе авиации Великим князем Александром Михайловичем был выделен двигатель «Ле Рон» 80 </w:t>
      </w:r>
      <w:r w:rsidRPr="00405303">
        <w:rPr>
          <w:bCs/>
          <w:color w:val="002060"/>
          <w:sz w:val="16"/>
          <w:szCs w:val="16"/>
          <w:lang w:val="en-US"/>
        </w:rPr>
        <w:t>HP</w:t>
      </w:r>
      <w:r w:rsidRPr="00405303">
        <w:rPr>
          <w:bCs/>
          <w:color w:val="002060"/>
          <w:sz w:val="16"/>
          <w:szCs w:val="16"/>
        </w:rPr>
        <w:t xml:space="preserve">за номером 84 от 6-й авиационной роты «под расписку прапорщику Безобразову». </w:t>
      </w:r>
      <w:r w:rsidR="00705AC4" w:rsidRPr="00405303">
        <w:rPr>
          <w:bCs/>
          <w:color w:val="002060"/>
          <w:sz w:val="16"/>
          <w:szCs w:val="16"/>
        </w:rPr>
        <w:t xml:space="preserve">Не желая терять </w:t>
      </w:r>
      <w:proofErr w:type="gramStart"/>
      <w:r w:rsidR="00705AC4" w:rsidRPr="00405303">
        <w:rPr>
          <w:bCs/>
          <w:color w:val="002060"/>
          <w:sz w:val="16"/>
          <w:szCs w:val="16"/>
        </w:rPr>
        <w:t>времени</w:t>
      </w:r>
      <w:proofErr w:type="gramEnd"/>
      <w:r w:rsidR="00705AC4" w:rsidRPr="00405303">
        <w:rPr>
          <w:bCs/>
          <w:color w:val="002060"/>
          <w:sz w:val="16"/>
          <w:szCs w:val="16"/>
        </w:rPr>
        <w:t xml:space="preserve"> автор триплана перевез его на территорию Севастопольской авиашколы, ближе к более благоприятной лет</w:t>
      </w:r>
      <w:r w:rsidR="00705AC4" w:rsidRPr="00405303">
        <w:rPr>
          <w:bCs/>
          <w:color w:val="002060"/>
          <w:sz w:val="16"/>
          <w:szCs w:val="16"/>
        </w:rPr>
        <w:softHyphen/>
        <w:t>ной погоде. Здесь, на Александро-Михайловском аэродроме (с. Кача), им были уста</w:t>
      </w:r>
      <w:r w:rsidR="00705AC4" w:rsidRPr="00405303">
        <w:rPr>
          <w:bCs/>
          <w:color w:val="002060"/>
          <w:sz w:val="16"/>
          <w:szCs w:val="16"/>
        </w:rPr>
        <w:softHyphen/>
        <w:t>новлены специально приобретенные два ан</w:t>
      </w:r>
      <w:r w:rsidR="00705AC4" w:rsidRPr="00405303">
        <w:rPr>
          <w:bCs/>
          <w:color w:val="002060"/>
          <w:sz w:val="16"/>
          <w:szCs w:val="16"/>
        </w:rPr>
        <w:softHyphen/>
        <w:t>гара: брезентовый ангар «Бессонно» и стро</w:t>
      </w:r>
      <w:r w:rsidR="00705AC4" w:rsidRPr="00405303">
        <w:rPr>
          <w:bCs/>
          <w:color w:val="002060"/>
          <w:sz w:val="16"/>
          <w:szCs w:val="16"/>
        </w:rPr>
        <w:softHyphen/>
        <w:t xml:space="preserve">пильный «Кебке». В одном дорабатывался первый тип триплана, во втором строился три-моноплан тип 2, особенностью которого было отсутствие стабилизатора и руля глубины на конце фюзеляжа. </w:t>
      </w:r>
      <w:r w:rsidRPr="00405303">
        <w:rPr>
          <w:bCs/>
          <w:color w:val="002060"/>
          <w:sz w:val="16"/>
          <w:szCs w:val="16"/>
        </w:rPr>
        <w:t>Сам Безобразов характеризовал триплан как «разведочный, двухместный». Размах крыльев 13 м., ширина - 0,5 м., пло</w:t>
      </w:r>
      <w:r w:rsidRPr="00405303">
        <w:rPr>
          <w:bCs/>
          <w:color w:val="002060"/>
          <w:sz w:val="16"/>
          <w:szCs w:val="16"/>
        </w:rPr>
        <w:softHyphen/>
        <w:t>щадь несущей поверхности около 18 кв. м. На задней кромке каждого крыла были сделаны особые зубцы «для облегчения стекания» и стабилизации. Вес аппарата без груза состав</w:t>
      </w:r>
      <w:r w:rsidRPr="00405303">
        <w:rPr>
          <w:bCs/>
          <w:color w:val="002060"/>
          <w:sz w:val="16"/>
          <w:szCs w:val="16"/>
        </w:rPr>
        <w:softHyphen/>
        <w:t>лял 27 пудов (432 кг), с максимальной нагруз</w:t>
      </w:r>
      <w:r w:rsidRPr="00405303">
        <w:rPr>
          <w:bCs/>
          <w:color w:val="002060"/>
          <w:sz w:val="16"/>
          <w:szCs w:val="16"/>
        </w:rPr>
        <w:softHyphen/>
        <w:t>кой - 670-680 кг (11972).</w:t>
      </w:r>
    </w:p>
    <w:p w14:paraId="28CF1CF7" w14:textId="77777777" w:rsidR="004B4E35" w:rsidRPr="00405303" w:rsidRDefault="004B4E35" w:rsidP="00C15251">
      <w:pPr>
        <w:jc w:val="both"/>
        <w:rPr>
          <w:bCs/>
          <w:color w:val="002060"/>
          <w:sz w:val="16"/>
          <w:szCs w:val="16"/>
        </w:rPr>
      </w:pPr>
    </w:p>
    <w:p w14:paraId="225DF715" w14:textId="555EBDFE" w:rsidR="000A77E3" w:rsidRPr="00405303" w:rsidRDefault="000A77E3" w:rsidP="00C15251">
      <w:pPr>
        <w:jc w:val="both"/>
        <w:rPr>
          <w:bCs/>
          <w:color w:val="002060"/>
          <w:sz w:val="16"/>
          <w:szCs w:val="16"/>
          <w:lang w:bidi="ru-RU"/>
        </w:rPr>
      </w:pPr>
      <w:r w:rsidRPr="00405303">
        <w:rPr>
          <w:bCs/>
          <w:color w:val="002060"/>
          <w:sz w:val="16"/>
          <w:szCs w:val="16"/>
          <w:lang w:bidi="ru-RU"/>
        </w:rPr>
        <w:t>3 (16) марта 1915 г. при</w:t>
      </w:r>
      <w:r w:rsidRPr="00405303">
        <w:rPr>
          <w:bCs/>
          <w:color w:val="002060"/>
          <w:sz w:val="16"/>
          <w:szCs w:val="16"/>
          <w:lang w:bidi="ru-RU"/>
        </w:rPr>
        <w:softHyphen/>
        <w:t>казом № 62 по Офицер</w:t>
      </w:r>
      <w:r w:rsidRPr="00405303">
        <w:rPr>
          <w:bCs/>
          <w:color w:val="002060"/>
          <w:sz w:val="16"/>
          <w:szCs w:val="16"/>
          <w:lang w:bidi="ru-RU"/>
        </w:rPr>
        <w:softHyphen/>
        <w:t>ской школе авиации Великим князем Алек</w:t>
      </w:r>
      <w:r w:rsidRPr="00405303">
        <w:rPr>
          <w:bCs/>
          <w:color w:val="002060"/>
          <w:sz w:val="16"/>
          <w:szCs w:val="16"/>
          <w:lang w:bidi="ru-RU"/>
        </w:rPr>
        <w:softHyphen/>
        <w:t>сандром Михайловичем для нового тримоноплана Безобразова был выделен дви</w:t>
      </w:r>
      <w:r w:rsidRPr="00405303">
        <w:rPr>
          <w:bCs/>
          <w:color w:val="002060"/>
          <w:sz w:val="16"/>
          <w:szCs w:val="16"/>
          <w:lang w:bidi="ru-RU"/>
        </w:rPr>
        <w:softHyphen/>
        <w:t>гатель «Рон» 80 л.с. за номером 84 от 6-й авиационной роты «под расписку прапор</w:t>
      </w:r>
      <w:r w:rsidRPr="00405303">
        <w:rPr>
          <w:bCs/>
          <w:color w:val="002060"/>
          <w:sz w:val="16"/>
          <w:szCs w:val="16"/>
          <w:lang w:bidi="ru-RU"/>
        </w:rPr>
        <w:softHyphen/>
        <w:t xml:space="preserve">щику Безобразову». </w:t>
      </w:r>
    </w:p>
    <w:p w14:paraId="09DC9528" w14:textId="77777777" w:rsidR="000A77E3" w:rsidRPr="00405303" w:rsidRDefault="000A77E3" w:rsidP="00C15251">
      <w:pPr>
        <w:jc w:val="both"/>
        <w:rPr>
          <w:bCs/>
          <w:color w:val="002060"/>
          <w:sz w:val="16"/>
          <w:szCs w:val="16"/>
          <w:lang w:bidi="ru-RU"/>
        </w:rPr>
      </w:pPr>
      <w:r w:rsidRPr="00405303">
        <w:rPr>
          <w:bCs/>
          <w:color w:val="002060"/>
          <w:sz w:val="16"/>
          <w:szCs w:val="16"/>
          <w:lang w:bidi="ru-RU"/>
        </w:rPr>
        <w:t>Сам Безобразов ха</w:t>
      </w:r>
      <w:r w:rsidRPr="00405303">
        <w:rPr>
          <w:bCs/>
          <w:color w:val="002060"/>
          <w:sz w:val="16"/>
          <w:szCs w:val="16"/>
          <w:lang w:bidi="ru-RU"/>
        </w:rPr>
        <w:softHyphen/>
        <w:t>рактеризовал триплан как «разведочный, двухместный». Размах крыльев более 13 м, ширина — 0,5 м, площадь несущей поверх</w:t>
      </w:r>
      <w:r w:rsidRPr="00405303">
        <w:rPr>
          <w:bCs/>
          <w:color w:val="002060"/>
          <w:sz w:val="16"/>
          <w:szCs w:val="16"/>
          <w:lang w:bidi="ru-RU"/>
        </w:rPr>
        <w:softHyphen/>
        <w:t>ности около 18 кв. м. На задней кромке каждого крыла были сделаны особые зуб</w:t>
      </w:r>
      <w:r w:rsidRPr="00405303">
        <w:rPr>
          <w:bCs/>
          <w:color w:val="002060"/>
          <w:sz w:val="16"/>
          <w:szCs w:val="16"/>
          <w:lang w:bidi="ru-RU"/>
        </w:rPr>
        <w:softHyphen/>
        <w:t>цы «для облегчения стекания» и стабилиза</w:t>
      </w:r>
      <w:r w:rsidRPr="00405303">
        <w:rPr>
          <w:bCs/>
          <w:color w:val="002060"/>
          <w:sz w:val="16"/>
          <w:szCs w:val="16"/>
          <w:lang w:bidi="ru-RU"/>
        </w:rPr>
        <w:softHyphen/>
        <w:t>ции. Вес аппарата без груза составлял 27 пудов (432 кг), вес с максимальной нагруз</w:t>
      </w:r>
      <w:r w:rsidRPr="00405303">
        <w:rPr>
          <w:bCs/>
          <w:color w:val="002060"/>
          <w:sz w:val="16"/>
          <w:szCs w:val="16"/>
          <w:lang w:bidi="ru-RU"/>
        </w:rPr>
        <w:softHyphen/>
        <w:t>кой — 670-680 кг (23374).</w:t>
      </w:r>
    </w:p>
    <w:p w14:paraId="6E52DFAB" w14:textId="77777777" w:rsidR="000A77E3" w:rsidRPr="00405303" w:rsidRDefault="000A77E3" w:rsidP="00C15251">
      <w:pPr>
        <w:jc w:val="both"/>
        <w:rPr>
          <w:bCs/>
          <w:color w:val="002060"/>
          <w:sz w:val="16"/>
          <w:szCs w:val="16"/>
        </w:rPr>
      </w:pPr>
    </w:p>
    <w:p w14:paraId="2C970A78" w14:textId="77777777" w:rsidR="005E4083" w:rsidRPr="00405303" w:rsidRDefault="005E4083" w:rsidP="00C15251">
      <w:pPr>
        <w:jc w:val="both"/>
        <w:rPr>
          <w:bCs/>
          <w:i/>
          <w:color w:val="002060"/>
          <w:sz w:val="16"/>
          <w:szCs w:val="16"/>
        </w:rPr>
      </w:pPr>
      <w:r w:rsidRPr="00405303">
        <w:rPr>
          <w:bCs/>
          <w:i/>
          <w:color w:val="002060"/>
          <w:sz w:val="16"/>
          <w:szCs w:val="16"/>
        </w:rPr>
        <w:t>Другие оборонные отрасли:</w:t>
      </w:r>
    </w:p>
    <w:p w14:paraId="39797629" w14:textId="77777777" w:rsidR="005E4083" w:rsidRPr="00405303" w:rsidRDefault="005E4083" w:rsidP="00C15251">
      <w:pPr>
        <w:jc w:val="both"/>
        <w:rPr>
          <w:bCs/>
          <w:i/>
          <w:color w:val="002060"/>
          <w:sz w:val="16"/>
          <w:szCs w:val="16"/>
        </w:rPr>
      </w:pPr>
    </w:p>
    <w:p w14:paraId="03B6D133" w14:textId="08D29EB8" w:rsidR="005E4083" w:rsidRPr="00405303" w:rsidRDefault="005E4083" w:rsidP="00C15251">
      <w:pPr>
        <w:pStyle w:val="p1"/>
        <w:spacing w:before="0" w:beforeAutospacing="0" w:after="0" w:afterAutospacing="0"/>
        <w:jc w:val="both"/>
        <w:rPr>
          <w:bCs/>
          <w:color w:val="002060"/>
          <w:sz w:val="16"/>
          <w:szCs w:val="16"/>
        </w:rPr>
      </w:pPr>
      <w:r w:rsidRPr="00405303">
        <w:rPr>
          <w:bCs/>
          <w:color w:val="002060"/>
          <w:sz w:val="16"/>
          <w:szCs w:val="16"/>
        </w:rPr>
        <w:t xml:space="preserve">3 </w:t>
      </w:r>
      <w:r w:rsidR="00705AC4" w:rsidRPr="00405303">
        <w:rPr>
          <w:bCs/>
          <w:color w:val="002060"/>
          <w:sz w:val="16"/>
          <w:szCs w:val="16"/>
        </w:rPr>
        <w:t>(</w:t>
      </w:r>
      <w:r w:rsidR="000A77E3" w:rsidRPr="00405303">
        <w:rPr>
          <w:bCs/>
          <w:color w:val="002060"/>
          <w:sz w:val="16"/>
          <w:szCs w:val="16"/>
        </w:rPr>
        <w:t>1</w:t>
      </w:r>
      <w:r w:rsidR="00705AC4" w:rsidRPr="00405303">
        <w:rPr>
          <w:bCs/>
          <w:color w:val="002060"/>
          <w:sz w:val="16"/>
          <w:szCs w:val="16"/>
        </w:rPr>
        <w:t xml:space="preserve">6) </w:t>
      </w:r>
      <w:r w:rsidRPr="00405303">
        <w:rPr>
          <w:bCs/>
          <w:color w:val="002060"/>
          <w:sz w:val="16"/>
          <w:szCs w:val="16"/>
        </w:rPr>
        <w:t>марта 1915 г. междуведомственная комиссия при ГАУ (с участием представителей Министерства путей сообщения и специалистов по гидроэлектрическим и электрохимическим сооружениям) решила, что завод на Суне должен быть казенным; построить электростанцию сможет само ведомство, а чтобы установить производство и обучить русский персонал, придется привлечь иностранную фирму. Поступившие после этого новые предложения отечественной «частной предприимчивости» не встретили отклика (18409).</w:t>
      </w:r>
    </w:p>
    <w:p w14:paraId="17843DE3" w14:textId="77777777" w:rsidR="005E4083" w:rsidRPr="00405303" w:rsidRDefault="005E4083" w:rsidP="00C15251">
      <w:pPr>
        <w:pStyle w:val="p1"/>
        <w:spacing w:before="0" w:beforeAutospacing="0" w:after="0" w:afterAutospacing="0"/>
        <w:jc w:val="both"/>
        <w:rPr>
          <w:bCs/>
          <w:color w:val="002060"/>
          <w:sz w:val="16"/>
          <w:szCs w:val="16"/>
        </w:rPr>
      </w:pPr>
    </w:p>
    <w:p w14:paraId="4746F552" w14:textId="3EFD902A" w:rsidR="005E4083" w:rsidRPr="00405303" w:rsidRDefault="005E4083" w:rsidP="00C15251">
      <w:pPr>
        <w:jc w:val="both"/>
        <w:rPr>
          <w:bCs/>
          <w:color w:val="002060"/>
          <w:sz w:val="16"/>
          <w:szCs w:val="16"/>
        </w:rPr>
      </w:pPr>
      <w:r w:rsidRPr="00405303">
        <w:rPr>
          <w:bCs/>
          <w:color w:val="002060"/>
          <w:sz w:val="16"/>
          <w:szCs w:val="16"/>
        </w:rPr>
        <w:t xml:space="preserve">3 </w:t>
      </w:r>
      <w:r w:rsidR="00705AC4" w:rsidRPr="00405303">
        <w:rPr>
          <w:bCs/>
          <w:color w:val="002060"/>
          <w:sz w:val="16"/>
          <w:szCs w:val="16"/>
        </w:rPr>
        <w:t>(</w:t>
      </w:r>
      <w:r w:rsidR="000A77E3" w:rsidRPr="00405303">
        <w:rPr>
          <w:bCs/>
          <w:color w:val="002060"/>
          <w:sz w:val="16"/>
          <w:szCs w:val="16"/>
        </w:rPr>
        <w:t>1</w:t>
      </w:r>
      <w:r w:rsidR="00705AC4" w:rsidRPr="00405303">
        <w:rPr>
          <w:bCs/>
          <w:color w:val="002060"/>
          <w:sz w:val="16"/>
          <w:szCs w:val="16"/>
        </w:rPr>
        <w:t xml:space="preserve">6) </w:t>
      </w:r>
      <w:r w:rsidRPr="00405303">
        <w:rPr>
          <w:bCs/>
          <w:color w:val="002060"/>
          <w:sz w:val="16"/>
          <w:szCs w:val="16"/>
        </w:rPr>
        <w:t xml:space="preserve">марта 1915 г. вопрос о дальнейшей судьбе фирмы «Сименс и Гальске» был обсужден на заседании межведомственного совещания при Министерстве торговли и промышленности и мнения его участников разделились. Активное вмешательство военного министра В.А. Сухомлинова, морского министра И.К. Григоровича и главнокомандующего 6-й армией К.П. Фан-дер Флита способствовало тому, что Совет министров 5–9 июня 1915 года на основании закона от 16 марта того же года постановил в целях «надлежащего контроля за деятельностью» акционерного общества «Сименс и Гальске» назначить правительственных инспекторов, каковыми </w:t>
      </w:r>
      <w:r w:rsidRPr="00405303">
        <w:rPr>
          <w:bCs/>
          <w:color w:val="002060"/>
          <w:sz w:val="16"/>
          <w:szCs w:val="16"/>
        </w:rPr>
        <w:lastRenderedPageBreak/>
        <w:t>стали статский советник В.В. Иевреинов и действительный статский советник В.Е. Варзар6. Последний 24 июня 1915 г. был дополнительно назначен правительственным инспектором для наблюдения за технической стороной деятельности заводов АО (18297).</w:t>
      </w:r>
    </w:p>
    <w:p w14:paraId="083E2C0D" w14:textId="77777777" w:rsidR="005E4083" w:rsidRPr="00405303" w:rsidRDefault="005E4083" w:rsidP="00C15251">
      <w:pPr>
        <w:jc w:val="both"/>
        <w:rPr>
          <w:bCs/>
          <w:color w:val="002060"/>
          <w:sz w:val="16"/>
          <w:szCs w:val="16"/>
        </w:rPr>
      </w:pPr>
    </w:p>
    <w:p w14:paraId="6CC44C2A" w14:textId="2A2B0861" w:rsidR="000A77E3" w:rsidRPr="00405303" w:rsidRDefault="000A77E3"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3 (16) марта 1915 г. комиссия, инициированная в январе 1915 г. Сухомлиновым (с участием представите</w:t>
      </w:r>
      <w:r w:rsidRPr="00405303">
        <w:rPr>
          <w:rFonts w:ascii="Times New Roman" w:hAnsi="Times New Roman" w:cs="Times New Roman"/>
          <w:bCs/>
          <w:color w:val="002060"/>
          <w:sz w:val="16"/>
          <w:szCs w:val="16"/>
        </w:rPr>
        <w:softHyphen/>
        <w:t>лей Министерства путей сообщения и специалистов по гидроэлектрическим и электрохимическим сооружениям) решила, что завод на Суне должен быть казенным; постро</w:t>
      </w:r>
      <w:r w:rsidRPr="00405303">
        <w:rPr>
          <w:rFonts w:ascii="Times New Roman" w:hAnsi="Times New Roman" w:cs="Times New Roman"/>
          <w:bCs/>
          <w:color w:val="002060"/>
          <w:sz w:val="16"/>
          <w:szCs w:val="16"/>
        </w:rPr>
        <w:softHyphen/>
        <w:t>ить электростанцию сможет само ведомство, а чтобы уста</w:t>
      </w:r>
      <w:r w:rsidRPr="00405303">
        <w:rPr>
          <w:rFonts w:ascii="Times New Roman" w:hAnsi="Times New Roman" w:cs="Times New Roman"/>
          <w:bCs/>
          <w:color w:val="002060"/>
          <w:sz w:val="16"/>
          <w:szCs w:val="16"/>
        </w:rPr>
        <w:softHyphen/>
        <w:t>новить производство и обучить русский персонал, придется привлечь иностранную фирму. Поступившие после этого новые предложения отечественной «частной предприимчи</w:t>
      </w:r>
      <w:r w:rsidRPr="00405303">
        <w:rPr>
          <w:rFonts w:ascii="Times New Roman" w:hAnsi="Times New Roman" w:cs="Times New Roman"/>
          <w:bCs/>
          <w:color w:val="002060"/>
          <w:sz w:val="16"/>
          <w:szCs w:val="16"/>
        </w:rPr>
        <w:softHyphen/>
        <w:t>вости» не встретили отклика (РГВИА. Ф. 29. Оп. 3. Д. 736. Л. 1-2, 30-31; 16 апреля предложило сотрудничество акционерное общество «Се</w:t>
      </w:r>
      <w:r w:rsidRPr="00405303">
        <w:rPr>
          <w:rFonts w:ascii="Times New Roman" w:hAnsi="Times New Roman" w:cs="Times New Roman"/>
          <w:bCs/>
          <w:color w:val="002060"/>
          <w:sz w:val="16"/>
          <w:szCs w:val="16"/>
        </w:rPr>
        <w:softHyphen/>
        <w:t>верный белый уголь» во главе с крупными военно-промышленными и банковскими деятелями А.И. Вышнеградским, Ф.Л. Радловым и В.М. Ива</w:t>
      </w:r>
      <w:r w:rsidRPr="00405303">
        <w:rPr>
          <w:rFonts w:ascii="Times New Roman" w:hAnsi="Times New Roman" w:cs="Times New Roman"/>
          <w:bCs/>
          <w:color w:val="002060"/>
          <w:sz w:val="16"/>
          <w:szCs w:val="16"/>
        </w:rPr>
        <w:softHyphen/>
        <w:t xml:space="preserve">новым, 2 мая — а. о. «Сила вод» (В.П. Басаков, Д.С. Хрулев) (Там же. Ф. 2000. </w:t>
      </w:r>
      <w:r w:rsidRPr="00405303">
        <w:rPr>
          <w:rFonts w:ascii="Times New Roman" w:hAnsi="Times New Roman" w:cs="Times New Roman"/>
          <w:bCs/>
          <w:color w:val="002060"/>
          <w:sz w:val="16"/>
          <w:szCs w:val="16"/>
          <w:lang w:val="en-US" w:bidi="en-US"/>
        </w:rPr>
        <w:t>On</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1. Д. 2262. Л. 134, 139)) (23452).</w:t>
      </w:r>
    </w:p>
    <w:p w14:paraId="41AAC9CA" w14:textId="77777777" w:rsidR="000A77E3" w:rsidRPr="00405303" w:rsidRDefault="000A77E3" w:rsidP="00C15251">
      <w:pPr>
        <w:jc w:val="both"/>
        <w:rPr>
          <w:bCs/>
          <w:color w:val="002060"/>
          <w:sz w:val="16"/>
          <w:szCs w:val="16"/>
        </w:rPr>
      </w:pPr>
    </w:p>
    <w:p w14:paraId="38DA359A" w14:textId="65F0B19C" w:rsidR="00394992" w:rsidRPr="00405303" w:rsidRDefault="00394992" w:rsidP="00394992">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264717E5" w14:textId="77777777" w:rsidR="00394992" w:rsidRPr="00405303" w:rsidRDefault="00394992" w:rsidP="00394992">
      <w:pPr>
        <w:pStyle w:val="a3"/>
        <w:jc w:val="both"/>
        <w:rPr>
          <w:bCs/>
          <w:color w:val="002060"/>
          <w:spacing w:val="0"/>
          <w:kern w:val="0"/>
          <w:position w:val="0"/>
          <w:sz w:val="16"/>
          <w:szCs w:val="16"/>
        </w:rPr>
      </w:pPr>
    </w:p>
    <w:p w14:paraId="4BBB6D14" w14:textId="77777777" w:rsidR="00394992" w:rsidRPr="00405303" w:rsidRDefault="00394992" w:rsidP="00394992">
      <w:pPr>
        <w:jc w:val="both"/>
        <w:rPr>
          <w:color w:val="0070C0"/>
          <w:sz w:val="16"/>
          <w:szCs w:val="16"/>
        </w:rPr>
      </w:pPr>
      <w:r w:rsidRPr="00405303">
        <w:rPr>
          <w:color w:val="0070C0"/>
          <w:sz w:val="16"/>
          <w:szCs w:val="16"/>
        </w:rPr>
        <w:t>3 (15) марта 1915 г. по аэродрому 23-го корпусного авиаотряда (поручик Иванов), действовавшего на Млавско-Праснышском направлении, противником был нанесен воздушный удар. В налете предположительно участвовало от 15 до 20 вражеских летательных аппаратов. По воспоминаниям летчика-наблюдателя авиаотряда П. Крейсона, налет «продолжался в течение одного часа. Большие разрушения материальной части авиационного отряда, два самолета выведены из строя. Мы, весь личный состав и механики, находящийся в тот момент на аэродроме, беспомощно метались по аэродрому во все время бомбардировки». Также воздушной бомбардировке подверглись объекты и войска в Праснышском, Ломжинском и Осовец-Гродненском районах (25135).</w:t>
      </w:r>
    </w:p>
    <w:p w14:paraId="70547FD0" w14:textId="77777777" w:rsidR="00394992" w:rsidRPr="00405303" w:rsidRDefault="00394992" w:rsidP="00394992">
      <w:pPr>
        <w:jc w:val="both"/>
        <w:rPr>
          <w:color w:val="0070C0"/>
          <w:sz w:val="16"/>
          <w:szCs w:val="16"/>
        </w:rPr>
      </w:pPr>
    </w:p>
    <w:p w14:paraId="74B84FD0" w14:textId="77777777" w:rsidR="00394992" w:rsidRPr="00405303" w:rsidRDefault="00394992" w:rsidP="00394992">
      <w:pPr>
        <w:jc w:val="both"/>
        <w:rPr>
          <w:color w:val="0070C0"/>
          <w:sz w:val="16"/>
          <w:szCs w:val="16"/>
        </w:rPr>
      </w:pPr>
      <w:r w:rsidRPr="00405303">
        <w:rPr>
          <w:color w:val="0070C0"/>
          <w:sz w:val="16"/>
          <w:szCs w:val="16"/>
        </w:rPr>
        <w:t>3 (16) марта 1915 г. в болотах бассейна р. Бобр (у н/п Ястржебы) нашими передовыми отрядами был захвачен германский летательный аппарат вместе с экипажем. Через несколько дней вылетевший из осажденной крепости Перемышль австрийский аэроплан был подстрелен в районе Дембицы. В руки русского командования попали документы и почта. Не повезло и экипажам трех австрийских аэростатов, выпущенных из Перемышля с почтой. В результате изменения направления ветра их унесло в сторону российской территории, где они были при посадке захвачены в плен (25135).</w:t>
      </w:r>
    </w:p>
    <w:p w14:paraId="5DDAC523" w14:textId="77777777" w:rsidR="00394992" w:rsidRPr="00405303" w:rsidRDefault="00394992" w:rsidP="00394992">
      <w:pPr>
        <w:jc w:val="both"/>
        <w:rPr>
          <w:color w:val="0070C0"/>
          <w:sz w:val="16"/>
          <w:szCs w:val="16"/>
        </w:rPr>
      </w:pPr>
    </w:p>
    <w:p w14:paraId="7083D770" w14:textId="77777777" w:rsidR="00DB2E37" w:rsidRPr="00405303" w:rsidRDefault="00DB2E37" w:rsidP="00DB2E37">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0CECE6BE" w14:textId="77777777" w:rsidR="00DB2E37" w:rsidRPr="00405303" w:rsidRDefault="00DB2E37" w:rsidP="00DB2E37">
      <w:pPr>
        <w:pStyle w:val="a3"/>
        <w:jc w:val="both"/>
        <w:rPr>
          <w:bCs/>
          <w:color w:val="002060"/>
          <w:spacing w:val="0"/>
          <w:kern w:val="0"/>
          <w:position w:val="0"/>
          <w:sz w:val="16"/>
          <w:szCs w:val="16"/>
        </w:rPr>
      </w:pPr>
    </w:p>
    <w:p w14:paraId="775CAEA8" w14:textId="77777777" w:rsidR="00DB2E37" w:rsidRPr="00405303" w:rsidRDefault="00DB2E37" w:rsidP="00DB2E37">
      <w:pPr>
        <w:jc w:val="both"/>
        <w:rPr>
          <w:bCs/>
          <w:color w:val="002060"/>
          <w:sz w:val="16"/>
          <w:szCs w:val="16"/>
        </w:rPr>
      </w:pPr>
      <w:r w:rsidRPr="00405303">
        <w:rPr>
          <w:bCs/>
          <w:color w:val="002060"/>
          <w:sz w:val="16"/>
          <w:szCs w:val="16"/>
        </w:rPr>
        <w:t>4 (17) марта 19I5 года Сикорский, бывший в то время в Яблонне, взяв с собой на борт ещё семь человек, поднял "Муромца I" в воздух при полной нагрузке в 1125 кг. Первые 500 метров он набрал за 11 минут 50 секунд, на 21 минуте 30 секундах достиг 1000 метров, на 34 минуте - 1500, на 50 минуте - 2000 и на 56 минуте добрался до наибольшей высоты в 2160 метров. Руднев даже при меньшей нагрузке смог достичь высоты только в 1300 метров... И это при том, что Сикорский пилотировал достаточно изношенную машину! (12041).</w:t>
      </w:r>
    </w:p>
    <w:p w14:paraId="39A5669B" w14:textId="77777777" w:rsidR="00DB2E37" w:rsidRPr="00405303" w:rsidRDefault="00DB2E37" w:rsidP="00DB2E37">
      <w:pPr>
        <w:jc w:val="both"/>
        <w:rPr>
          <w:bCs/>
          <w:color w:val="002060"/>
          <w:sz w:val="16"/>
          <w:szCs w:val="16"/>
        </w:rPr>
      </w:pPr>
    </w:p>
    <w:p w14:paraId="195E20A7" w14:textId="77777777" w:rsidR="00DB2E37" w:rsidRPr="00405303" w:rsidRDefault="00DB2E37" w:rsidP="00DB2E37">
      <w:pPr>
        <w:jc w:val="both"/>
        <w:rPr>
          <w:bCs/>
          <w:color w:val="002060"/>
          <w:sz w:val="16"/>
          <w:szCs w:val="16"/>
        </w:rPr>
      </w:pPr>
      <w:bookmarkStart w:id="65" w:name="_Hlk117521257"/>
      <w:r w:rsidRPr="00405303">
        <w:rPr>
          <w:bCs/>
          <w:color w:val="002060"/>
          <w:sz w:val="16"/>
          <w:szCs w:val="16"/>
        </w:rPr>
        <w:t>4 (17) марта на старом рудневском корабле с "Аргусами" достигли почти 2200 метров. Другие корабли с моголами "Сальмсон" набирали высоту ещё медленнее и на 500 метров поднимались за 15 минут, а на 1000 метров - за 26-28 минут. Типу Б на разбеге требовалось не менее 250 шагов (против ветра), а часто и свыше 400 шагов. Хвостовая опора полозкового типа была частой причиной аварий. Капризные моторы "Сальмсон" не работали из-за холода.</w:t>
      </w:r>
    </w:p>
    <w:p w14:paraId="4B176010" w14:textId="77777777" w:rsidR="00DB2E37" w:rsidRPr="00405303" w:rsidRDefault="00DB2E37" w:rsidP="00DB2E37">
      <w:pPr>
        <w:jc w:val="both"/>
        <w:rPr>
          <w:bCs/>
          <w:color w:val="002060"/>
          <w:sz w:val="16"/>
          <w:szCs w:val="16"/>
        </w:rPr>
      </w:pPr>
      <w:r w:rsidRPr="00405303">
        <w:rPr>
          <w:bCs/>
          <w:color w:val="002060"/>
          <w:sz w:val="16"/>
          <w:szCs w:val="16"/>
        </w:rPr>
        <w:t>Новые самолёты модификации В показали себя по-другому. Две лучшие машины (Горшкова и Бродовича), оснащённые дефицитными "Аргусами", смогли подтвердить свои качества и в боевых условиях (12041).</w:t>
      </w:r>
    </w:p>
    <w:p w14:paraId="5ACD24E5" w14:textId="77777777" w:rsidR="00DB2E37" w:rsidRPr="00405303" w:rsidRDefault="00DB2E37" w:rsidP="00DB2E37">
      <w:pPr>
        <w:jc w:val="both"/>
        <w:rPr>
          <w:bCs/>
          <w:color w:val="002060"/>
          <w:sz w:val="16"/>
          <w:szCs w:val="16"/>
        </w:rPr>
      </w:pPr>
    </w:p>
    <w:bookmarkEnd w:id="65"/>
    <w:p w14:paraId="32ED83AA"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5CE0E25A" w14:textId="77777777" w:rsidR="004B4E35" w:rsidRPr="00405303" w:rsidRDefault="004B4E35" w:rsidP="00C15251">
      <w:pPr>
        <w:shd w:val="clear" w:color="auto" w:fill="FFFFFF"/>
        <w:jc w:val="both"/>
        <w:rPr>
          <w:bCs/>
          <w:i/>
          <w:color w:val="002060"/>
          <w:sz w:val="16"/>
          <w:szCs w:val="16"/>
        </w:rPr>
      </w:pPr>
    </w:p>
    <w:p w14:paraId="3A588F7B" w14:textId="28BD76B1" w:rsidR="004B4E35" w:rsidRPr="00405303" w:rsidRDefault="009E6F82" w:rsidP="00C15251">
      <w:pPr>
        <w:jc w:val="both"/>
        <w:rPr>
          <w:bCs/>
          <w:color w:val="002060"/>
          <w:sz w:val="16"/>
          <w:szCs w:val="16"/>
        </w:rPr>
      </w:pPr>
      <w:bookmarkStart w:id="66" w:name="_Hlk117521351"/>
      <w:r w:rsidRPr="00405303">
        <w:rPr>
          <w:bCs/>
          <w:color w:val="002060"/>
          <w:sz w:val="16"/>
          <w:szCs w:val="16"/>
        </w:rPr>
        <w:t>4 (17) марта 1915 года указом императора было объявлено «об объединении в ведении министра путей сообщения мер по обеспечению топливом учреждений армии и флота и путей сообщения, а равно частных учреждений, работающих для целей государственной обороны». Министру предоставлялось право требовать от всех учреждений и лиц сведения, касавшиеся топлива, производить осмотры и передавать топливо от одного потребителя другому. 10 апреля Советом министров было утверждено положение «О некоторых мерах к обеспечению топливом учреждений армии, флота, путей сообщения, а равно частных предприятий, работающих для целей государственной обороны», которым устанавливалось право общих и частных реквизиций, назначения предельных цен и т.д. (11178).</w:t>
      </w:r>
    </w:p>
    <w:p w14:paraId="72853407" w14:textId="77777777" w:rsidR="004B4E35" w:rsidRPr="00405303" w:rsidRDefault="004B4E35" w:rsidP="00C15251">
      <w:pPr>
        <w:jc w:val="both"/>
        <w:rPr>
          <w:bCs/>
          <w:color w:val="002060"/>
          <w:sz w:val="16"/>
          <w:szCs w:val="16"/>
        </w:rPr>
      </w:pPr>
    </w:p>
    <w:bookmarkEnd w:id="66"/>
    <w:p w14:paraId="7B29E248" w14:textId="1FB1289F"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4 (17) марта 1915 г.</w:t>
      </w:r>
      <w:r w:rsidR="00B16A24" w:rsidRPr="00405303">
        <w:rPr>
          <w:bCs/>
          <w:i w:val="0"/>
          <w:color w:val="002060"/>
          <w:spacing w:val="0"/>
          <w:kern w:val="0"/>
          <w:position w:val="0"/>
          <w:sz w:val="16"/>
          <w:szCs w:val="16"/>
        </w:rPr>
        <w:t xml:space="preserve"> был создан Комитет по распределению топлива</w:t>
      </w:r>
      <w:r w:rsidRPr="00405303">
        <w:rPr>
          <w:bCs/>
          <w:i w:val="0"/>
          <w:color w:val="002060"/>
          <w:spacing w:val="0"/>
          <w:kern w:val="0"/>
          <w:position w:val="0"/>
          <w:sz w:val="16"/>
          <w:szCs w:val="16"/>
        </w:rPr>
        <w:t xml:space="preserve">, </w:t>
      </w:r>
      <w:r w:rsidR="00B16A24" w:rsidRPr="00405303">
        <w:rPr>
          <w:bCs/>
          <w:i w:val="0"/>
          <w:color w:val="002060"/>
          <w:spacing w:val="0"/>
          <w:kern w:val="0"/>
          <w:position w:val="0"/>
          <w:sz w:val="16"/>
          <w:szCs w:val="16"/>
        </w:rPr>
        <w:t xml:space="preserve">а затем - </w:t>
      </w:r>
      <w:r w:rsidRPr="00405303">
        <w:rPr>
          <w:bCs/>
          <w:i w:val="0"/>
          <w:color w:val="002060"/>
          <w:spacing w:val="0"/>
          <w:kern w:val="0"/>
          <w:position w:val="0"/>
          <w:sz w:val="16"/>
          <w:szCs w:val="16"/>
        </w:rPr>
        <w:t xml:space="preserve">Главный продовольственный комитет при Министерстве торговли и промышленности (19 мая 1915 г.), Комитет по перевозкам и др. Эти комитеты в основном занимались вопросами распределения, снабжения и перевозок. Работа их сопровождалась чудовищной волокитой, взяточничеством и вела лишь к усилению спекуляции. В тот же период возникает ряд органов военного снабжения, часто совершенно параллельными функциями, дублирующих деятельность правительственных комитетов и совещаний. После поражения на Галицийском фронте весной 1915 г. катастрофа с производством вооружения и со снабжением им армии обнаружилась со всей силой. Стала ясна необходимость создания централизованных государственных органов, ответственных не только за распределение и снабжение армии всеми необходимыми предметами снаряжения и вооружения, но и за всю постановку промышленного производства. По инициативе военного министра Поливанова после шумных дебатов в Государственной Думе было решено образовать четыре </w:t>
      </w:r>
      <w:r w:rsidRPr="00405303">
        <w:rPr>
          <w:bCs/>
          <w:color w:val="002060"/>
          <w:spacing w:val="0"/>
          <w:kern w:val="0"/>
          <w:position w:val="0"/>
          <w:sz w:val="16"/>
          <w:szCs w:val="16"/>
        </w:rPr>
        <w:t>Особых совещания</w:t>
      </w:r>
      <w:r w:rsidRPr="00405303">
        <w:rPr>
          <w:bCs/>
          <w:i w:val="0"/>
          <w:color w:val="002060"/>
          <w:spacing w:val="0"/>
          <w:kern w:val="0"/>
          <w:position w:val="0"/>
          <w:sz w:val="16"/>
          <w:szCs w:val="16"/>
        </w:rPr>
        <w:t>: по обороне, топливу, перевозкам, продовольствию.</w:t>
      </w:r>
    </w:p>
    <w:p w14:paraId="10DADA2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Главную роль среди них играло Особое совещание по обороне, призванное осуществлять высший надзор за деятельностью всех государственных и частных промышленных предприятий, снабжавших армию и флот; содействовать организации новых заводов, распределять заказы и контролировать их исполнение. Совещание имело право требовать от всех предприятий принятия военных заказов и представления ими всяких сведений, характеризующих их деятельность; производить осмотр предприятий и проверять торговые книги и документы, удостоверяющие количество наличного оборудования, материалов и изделий; назначать и смещать в случае надобности членов правлений, директоров и управляющих как казенных, так и частных заводов.</w:t>
      </w:r>
    </w:p>
    <w:p w14:paraId="36F080C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каждое из совещаний должны были входить несколько членов Государственной думы и Государственного совета (в совещание по обороне входил председатель Думы), представители ведомств в преобладающем числе, небольшое число особо приглашаемых представителей общественных организаций. Всего около 40 человек — и почти все являлись представителями ведомств.</w:t>
      </w:r>
    </w:p>
    <w:p w14:paraId="438863D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Во главе Совещаний стоял военный министр — как председатель Особого совещания по обороне. Ему было предоставлено право контролировать деятельность других особых совещаний. Он имел право приостанавливать все распоряжения председателей других особых совещаний. Председатель мог закрывать предприятия, не выполнявшие казенные заказы; требовать выполнения заказов казны ранее других; секвестировать частные предприятия и назначать для управления ими уполномоченных. В случае необходимости он мог устранять от службы и смещать директоров, управляющих, советы предприятий, работающих на оборону, назначать во главу предприятий новых лиц, регулировать заработную плату.</w:t>
      </w:r>
    </w:p>
    <w:p w14:paraId="626B5FB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Представителями председателя особого совещания по обороне на местах являлись районные уполномоченные, действовавшие в крупных промышленных центрах. При районных уполномоченных были образованы заводские совещания, в состав которых входили представители ведомств военного, морского, торговли и промышленности, путей сообщения и земледелия, а также представители местных организаций. С помощью заводских совещаний Особое совещание по обороне должно было контролировать выполнение военных заказов на огромном количестве промышленных предприятий.</w:t>
      </w:r>
    </w:p>
    <w:p w14:paraId="4C43A7D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lastRenderedPageBreak/>
        <w:t>В 1916 г. под их контролем находилось 4872 предприятия. Процесс организационного оформления Особого совещания по обороне продолжался до начала 1916 г. В этот период были созданы следующие комиссии Совещания: подготовительная по общим вопросам; подготовительная по артиллерийским вопросам; наблюдательная; эвакуационная.</w:t>
      </w:r>
    </w:p>
    <w:p w14:paraId="5A8A3A4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Были созданы также комиссии: реквизиционная, по пересмотру норм медицинского и санитарного снабжения армии, по учету и распределению иностранной валюты. Тогда же возникли: Комитет по делам металлургической промышленности, Русский заготовительный комитет в Америке, Русский правительственный комитет в Лондоне и Статистическое бюро при Особом совещании (11270).</w:t>
      </w:r>
    </w:p>
    <w:p w14:paraId="03EA4322" w14:textId="77777777" w:rsidR="004B4E35" w:rsidRPr="00405303" w:rsidRDefault="004B4E35" w:rsidP="00C15251">
      <w:pPr>
        <w:pStyle w:val="a3"/>
        <w:jc w:val="both"/>
        <w:rPr>
          <w:bCs/>
          <w:i w:val="0"/>
          <w:color w:val="002060"/>
          <w:spacing w:val="0"/>
          <w:kern w:val="0"/>
          <w:position w:val="0"/>
          <w:sz w:val="16"/>
          <w:szCs w:val="16"/>
        </w:rPr>
      </w:pPr>
    </w:p>
    <w:p w14:paraId="4D1E2F91" w14:textId="63C64905" w:rsidR="006033D0" w:rsidRPr="00405303" w:rsidRDefault="006033D0" w:rsidP="00C15251">
      <w:pPr>
        <w:pStyle w:val="ae"/>
        <w:spacing w:before="0" w:beforeAutospacing="0" w:after="0" w:afterAutospacing="0"/>
        <w:jc w:val="both"/>
        <w:rPr>
          <w:bCs/>
          <w:color w:val="002060"/>
          <w:sz w:val="16"/>
          <w:szCs w:val="16"/>
        </w:rPr>
      </w:pPr>
      <w:r w:rsidRPr="00405303">
        <w:rPr>
          <w:bCs/>
          <w:color w:val="002060"/>
          <w:sz w:val="16"/>
          <w:szCs w:val="16"/>
        </w:rPr>
        <w:t xml:space="preserve">4 </w:t>
      </w:r>
      <w:r w:rsidR="00B16A24" w:rsidRPr="00405303">
        <w:rPr>
          <w:bCs/>
          <w:color w:val="002060"/>
          <w:sz w:val="16"/>
          <w:szCs w:val="16"/>
        </w:rPr>
        <w:t xml:space="preserve">(17) </w:t>
      </w:r>
      <w:r w:rsidRPr="00405303">
        <w:rPr>
          <w:bCs/>
          <w:color w:val="002060"/>
          <w:sz w:val="16"/>
          <w:szCs w:val="16"/>
        </w:rPr>
        <w:t>марта 1915</w:t>
      </w:r>
      <w:r w:rsidR="00DB4D64" w:rsidRPr="00405303">
        <w:rPr>
          <w:bCs/>
          <w:color w:val="002060"/>
          <w:sz w:val="16"/>
          <w:szCs w:val="16"/>
        </w:rPr>
        <w:t xml:space="preserve"> </w:t>
      </w:r>
      <w:r w:rsidRPr="00405303">
        <w:rPr>
          <w:bCs/>
          <w:color w:val="002060"/>
          <w:sz w:val="16"/>
          <w:szCs w:val="16"/>
        </w:rPr>
        <w:t>г. был создан особый комитет по топдиву, затем главный продовольственный комитет при Министерстве торговли и промышленности (19 мая 1915</w:t>
      </w:r>
      <w:r w:rsidR="00DB4D64" w:rsidRPr="00405303">
        <w:rPr>
          <w:bCs/>
          <w:color w:val="002060"/>
          <w:sz w:val="16"/>
          <w:szCs w:val="16"/>
        </w:rPr>
        <w:t xml:space="preserve"> </w:t>
      </w:r>
      <w:r w:rsidRPr="00405303">
        <w:rPr>
          <w:bCs/>
          <w:color w:val="002060"/>
          <w:sz w:val="16"/>
          <w:szCs w:val="16"/>
        </w:rPr>
        <w:t>г.), комитет по перевозкам и др. Эти комитеты в основном занимались вопросами распределения и снабжения. Первой попыткой учреждения такого органа было образование в июне 1915</w:t>
      </w:r>
      <w:r w:rsidR="00DB4D64" w:rsidRPr="00405303">
        <w:rPr>
          <w:bCs/>
          <w:color w:val="002060"/>
          <w:sz w:val="16"/>
          <w:szCs w:val="16"/>
        </w:rPr>
        <w:t xml:space="preserve"> </w:t>
      </w:r>
      <w:r w:rsidRPr="00405303">
        <w:rPr>
          <w:bCs/>
          <w:color w:val="002060"/>
          <w:sz w:val="16"/>
          <w:szCs w:val="16"/>
        </w:rPr>
        <w:t>г. Особого совещания для объединения мероприятий по обеспечению действующей армии предметами боевого и материального снабжения под председательством военного министра. Во многом его создание было инициировано общественными деятелями, в том числе М.В. Родзянко. По его словам, Особое совещание должно было прекратить хищение государственных денег под прикрытием комиссии великого князя Сергея Михайловича, но оно выполняло лишь функции совещательного органа и было мало осведомлено о практической работе в этой сфере (15736).</w:t>
      </w:r>
    </w:p>
    <w:p w14:paraId="1A139AB4" w14:textId="77777777" w:rsidR="006033D0" w:rsidRPr="00405303" w:rsidRDefault="006033D0" w:rsidP="00C15251">
      <w:pPr>
        <w:pStyle w:val="ae"/>
        <w:spacing w:before="0" w:beforeAutospacing="0" w:after="0" w:afterAutospacing="0"/>
        <w:jc w:val="both"/>
        <w:rPr>
          <w:bCs/>
          <w:color w:val="002060"/>
          <w:sz w:val="16"/>
          <w:szCs w:val="16"/>
        </w:rPr>
      </w:pPr>
    </w:p>
    <w:p w14:paraId="66A49FC7" w14:textId="77777777" w:rsidR="002B5E9B" w:rsidRPr="00405303" w:rsidRDefault="002B5E9B" w:rsidP="00C15251">
      <w:pPr>
        <w:jc w:val="both"/>
        <w:rPr>
          <w:rFonts w:eastAsia="Times-Roman"/>
          <w:bCs/>
          <w:color w:val="002060"/>
          <w:sz w:val="16"/>
          <w:szCs w:val="16"/>
        </w:rPr>
      </w:pPr>
      <w:r w:rsidRPr="00405303">
        <w:rPr>
          <w:rFonts w:eastAsia="Times-Roman"/>
          <w:bCs/>
          <w:color w:val="002060"/>
          <w:sz w:val="16"/>
          <w:szCs w:val="16"/>
        </w:rPr>
        <w:t xml:space="preserve">4 (17) </w:t>
      </w:r>
      <w:r w:rsidRPr="00405303">
        <w:rPr>
          <w:rFonts w:eastAsia="TimesNewRoman"/>
          <w:bCs/>
          <w:color w:val="002060"/>
          <w:sz w:val="16"/>
          <w:szCs w:val="16"/>
        </w:rPr>
        <w:t xml:space="preserve">марта </w:t>
      </w:r>
      <w:r w:rsidRPr="00405303">
        <w:rPr>
          <w:rFonts w:eastAsia="Times-Roman"/>
          <w:bCs/>
          <w:color w:val="002060"/>
          <w:sz w:val="16"/>
          <w:szCs w:val="16"/>
        </w:rPr>
        <w:t xml:space="preserve">1915 </w:t>
      </w:r>
      <w:r w:rsidRPr="00405303">
        <w:rPr>
          <w:rFonts w:eastAsia="TimesNewRoman"/>
          <w:bCs/>
          <w:color w:val="002060"/>
          <w:sz w:val="16"/>
          <w:szCs w:val="16"/>
        </w:rPr>
        <w:t>г</w:t>
      </w:r>
      <w:r w:rsidRPr="00405303">
        <w:rPr>
          <w:rFonts w:eastAsia="Times-Roman"/>
          <w:bCs/>
          <w:color w:val="002060"/>
          <w:sz w:val="16"/>
          <w:szCs w:val="16"/>
        </w:rPr>
        <w:t>. в</w:t>
      </w:r>
      <w:r w:rsidRPr="00405303">
        <w:rPr>
          <w:rFonts w:eastAsia="TimesNewRoman"/>
          <w:bCs/>
          <w:color w:val="002060"/>
          <w:sz w:val="16"/>
          <w:szCs w:val="16"/>
        </w:rPr>
        <w:t>опрос о производстве и применении химического оружия был впервые поставлен Особой распорядительной комиссией по артиллерийской части. Предложение были отклонено Верховным главнокомандующим по этичическим соображениям</w:t>
      </w:r>
      <w:r w:rsidRPr="00405303">
        <w:rPr>
          <w:rFonts w:eastAsia="Times-Roman"/>
          <w:bCs/>
          <w:color w:val="002060"/>
          <w:sz w:val="16"/>
          <w:szCs w:val="16"/>
        </w:rPr>
        <w:t xml:space="preserve">. </w:t>
      </w:r>
      <w:r w:rsidRPr="00405303">
        <w:rPr>
          <w:rFonts w:eastAsia="TimesNewRoman"/>
          <w:bCs/>
          <w:color w:val="002060"/>
          <w:sz w:val="16"/>
          <w:szCs w:val="16"/>
        </w:rPr>
        <w:t>Однако</w:t>
      </w:r>
      <w:r w:rsidRPr="00405303">
        <w:rPr>
          <w:rFonts w:eastAsia="Times-Roman"/>
          <w:bCs/>
          <w:color w:val="002060"/>
          <w:sz w:val="16"/>
          <w:szCs w:val="16"/>
        </w:rPr>
        <w:t xml:space="preserve">, </w:t>
      </w:r>
      <w:r w:rsidRPr="00405303">
        <w:rPr>
          <w:rFonts w:eastAsia="TimesNewRoman"/>
          <w:bCs/>
          <w:color w:val="002060"/>
          <w:sz w:val="16"/>
          <w:szCs w:val="16"/>
        </w:rPr>
        <w:t>успешный опыт применения ОВ германскими войсками заставил пересмотреть эту точку зрения (20240)</w:t>
      </w:r>
      <w:r w:rsidRPr="00405303">
        <w:rPr>
          <w:rFonts w:eastAsia="Times-Roman"/>
          <w:bCs/>
          <w:color w:val="002060"/>
          <w:sz w:val="16"/>
          <w:szCs w:val="16"/>
        </w:rPr>
        <w:t>.</w:t>
      </w:r>
    </w:p>
    <w:p w14:paraId="54927D84" w14:textId="77777777" w:rsidR="002B5E9B" w:rsidRPr="00405303" w:rsidRDefault="002B5E9B" w:rsidP="00C15251">
      <w:pPr>
        <w:jc w:val="both"/>
        <w:rPr>
          <w:rFonts w:eastAsia="Times-Roman"/>
          <w:bCs/>
          <w:color w:val="002060"/>
          <w:sz w:val="16"/>
          <w:szCs w:val="16"/>
        </w:rPr>
      </w:pPr>
    </w:p>
    <w:p w14:paraId="12E62432" w14:textId="77777777" w:rsidR="002B5E9B" w:rsidRPr="00405303" w:rsidRDefault="002B5E9B" w:rsidP="00C15251">
      <w:pPr>
        <w:pStyle w:val="ae"/>
        <w:spacing w:before="0" w:beforeAutospacing="0" w:after="0" w:afterAutospacing="0"/>
        <w:jc w:val="both"/>
        <w:rPr>
          <w:bCs/>
          <w:color w:val="002060"/>
          <w:sz w:val="16"/>
          <w:szCs w:val="16"/>
        </w:rPr>
      </w:pPr>
      <w:r w:rsidRPr="00405303">
        <w:rPr>
          <w:bCs/>
          <w:color w:val="002060"/>
          <w:sz w:val="16"/>
          <w:szCs w:val="16"/>
        </w:rPr>
        <w:t>4 (17) марта 1915 г. председатель Особой распорядительной комиссии по артиллерийской части письмом запросил верховного главнокомандующего Великого князя Николая Николаевича (1856-1929) о том, признает ли он возможным применение снарядов, снаряженных ядовитыми веществами. Через несколько дней начальник штаба главковерха ответил, что «верховный главнокомандующий относится к употреблению снарядов отрицательно». Вскоре под впечатлением газовой атаки, произведенной немцами 22 апреля 1915 г. на французском фронте в районе Ипра, а также в мае на нашем фронте, взгляды верховного командования изменились, но время уже было упущено, инициатива прочно принадлежала германской армии (20246).</w:t>
      </w:r>
    </w:p>
    <w:p w14:paraId="22075394" w14:textId="77777777" w:rsidR="002B5E9B" w:rsidRPr="00405303" w:rsidRDefault="002B5E9B" w:rsidP="00C15251">
      <w:pPr>
        <w:pStyle w:val="ae"/>
        <w:spacing w:before="0" w:beforeAutospacing="0" w:after="0" w:afterAutospacing="0"/>
        <w:jc w:val="both"/>
        <w:rPr>
          <w:bCs/>
          <w:color w:val="002060"/>
          <w:sz w:val="16"/>
          <w:szCs w:val="16"/>
        </w:rPr>
      </w:pPr>
    </w:p>
    <w:p w14:paraId="7D22BABC" w14:textId="77777777" w:rsidR="006033D0" w:rsidRPr="00405303" w:rsidRDefault="006033D0" w:rsidP="00C15251">
      <w:pPr>
        <w:shd w:val="clear" w:color="auto" w:fill="FFFFFF"/>
        <w:jc w:val="both"/>
        <w:rPr>
          <w:bCs/>
          <w:i/>
          <w:color w:val="002060"/>
          <w:sz w:val="16"/>
          <w:szCs w:val="16"/>
        </w:rPr>
      </w:pPr>
      <w:r w:rsidRPr="00405303">
        <w:rPr>
          <w:bCs/>
          <w:i/>
          <w:color w:val="002060"/>
          <w:sz w:val="16"/>
          <w:szCs w:val="16"/>
        </w:rPr>
        <w:t>Авиация:</w:t>
      </w:r>
    </w:p>
    <w:p w14:paraId="3862CC36" w14:textId="77777777" w:rsidR="006033D0" w:rsidRPr="00405303" w:rsidRDefault="006033D0" w:rsidP="00C15251">
      <w:pPr>
        <w:shd w:val="clear" w:color="auto" w:fill="FFFFFF"/>
        <w:jc w:val="both"/>
        <w:rPr>
          <w:bCs/>
          <w:i/>
          <w:color w:val="002060"/>
          <w:sz w:val="16"/>
          <w:szCs w:val="16"/>
        </w:rPr>
      </w:pPr>
    </w:p>
    <w:p w14:paraId="41410EA8" w14:textId="59DAEC03" w:rsidR="006033D0" w:rsidRPr="00405303" w:rsidRDefault="006033D0" w:rsidP="00C15251">
      <w:pPr>
        <w:pStyle w:val="rtejustify"/>
        <w:shd w:val="clear" w:color="auto" w:fill="FFFFFF"/>
        <w:spacing w:before="0" w:beforeAutospacing="0" w:after="0" w:afterAutospacing="0"/>
        <w:jc w:val="both"/>
        <w:rPr>
          <w:bCs/>
          <w:color w:val="002060"/>
          <w:sz w:val="16"/>
          <w:szCs w:val="16"/>
        </w:rPr>
      </w:pPr>
      <w:r w:rsidRPr="00405303">
        <w:rPr>
          <w:bCs/>
          <w:color w:val="002060"/>
          <w:sz w:val="16"/>
          <w:szCs w:val="16"/>
        </w:rPr>
        <w:t xml:space="preserve">4 </w:t>
      </w:r>
      <w:r w:rsidR="00B16A24" w:rsidRPr="00405303">
        <w:rPr>
          <w:bCs/>
          <w:color w:val="002060"/>
          <w:sz w:val="16"/>
          <w:szCs w:val="16"/>
        </w:rPr>
        <w:t xml:space="preserve">(17) </w:t>
      </w:r>
      <w:r w:rsidRPr="00405303">
        <w:rPr>
          <w:bCs/>
          <w:color w:val="002060"/>
          <w:sz w:val="16"/>
          <w:szCs w:val="16"/>
        </w:rPr>
        <w:t xml:space="preserve">марта 1915 г. Приказом начальника </w:t>
      </w:r>
      <w:proofErr w:type="gramStart"/>
      <w:r w:rsidRPr="00405303">
        <w:rPr>
          <w:bCs/>
          <w:color w:val="002060"/>
          <w:sz w:val="16"/>
          <w:szCs w:val="16"/>
        </w:rPr>
        <w:t>штаба</w:t>
      </w:r>
      <w:proofErr w:type="gramEnd"/>
      <w:r w:rsidRPr="00405303">
        <w:rPr>
          <w:bCs/>
          <w:color w:val="002060"/>
          <w:sz w:val="16"/>
          <w:szCs w:val="16"/>
        </w:rPr>
        <w:t xml:space="preserve"> УваРИ № 300 от было объявлено о переводе находившихся в действующей армии корпусных и армейских авиаотрядов (за отдельными исключениями) на общий для всех штат и табели, с сохранением существовавших их наименований и номеров. Объявлялось также о формировании по прилагаемым штату и табелям при армиях 11 авиационных дивизионов. В управлении командира авиадивизиона предусматривалось иметь 5 офицеров, аэропланов со всеми принадлежностями и вооружением — 4 действующих. Авиадивизионы, введенные этим приказом, представляли собой отдельные авиачасти, организационная структура которых позволяла осуществлять управленческие функции по отношению к авиационным отрядам армии.</w:t>
      </w:r>
    </w:p>
    <w:p w14:paraId="77DC111A" w14:textId="77777777" w:rsidR="006033D0" w:rsidRPr="00405303" w:rsidRDefault="006033D0" w:rsidP="00C15251">
      <w:pPr>
        <w:pStyle w:val="rtejustify"/>
        <w:shd w:val="clear" w:color="auto" w:fill="FFFFFF"/>
        <w:spacing w:before="0" w:beforeAutospacing="0" w:after="0" w:afterAutospacing="0"/>
        <w:jc w:val="both"/>
        <w:rPr>
          <w:bCs/>
          <w:color w:val="002060"/>
          <w:sz w:val="16"/>
          <w:szCs w:val="16"/>
        </w:rPr>
      </w:pPr>
      <w:r w:rsidRPr="00405303">
        <w:rPr>
          <w:bCs/>
          <w:color w:val="002060"/>
          <w:sz w:val="16"/>
          <w:szCs w:val="16"/>
        </w:rPr>
        <w:t>Также авиадивизион стал связующим звеном между штабом армии и авиаотрядами в вопросе боевого применения авиации и между авиационными парками и авиаотрядами в вопросах технического обеспечения. Таким образом, весной 1915 г. в структуре авиации действующей армии произошел переход от разрозненных частей корпусной авиации к более крупным формированиям армейского подчинения, имевшим общий тыл — мобильную авиационную базу.</w:t>
      </w:r>
    </w:p>
    <w:p w14:paraId="50891CFD" w14:textId="77777777" w:rsidR="006033D0" w:rsidRPr="00405303" w:rsidRDefault="006033D0" w:rsidP="00C15251">
      <w:pPr>
        <w:pStyle w:val="rtejustify"/>
        <w:shd w:val="clear" w:color="auto" w:fill="FFFFFF"/>
        <w:spacing w:before="0" w:beforeAutospacing="0" w:after="0" w:afterAutospacing="0"/>
        <w:jc w:val="both"/>
        <w:rPr>
          <w:bCs/>
          <w:color w:val="002060"/>
          <w:sz w:val="16"/>
          <w:szCs w:val="16"/>
        </w:rPr>
      </w:pPr>
      <w:r w:rsidRPr="00405303">
        <w:rPr>
          <w:bCs/>
          <w:color w:val="002060"/>
          <w:sz w:val="16"/>
          <w:szCs w:val="16"/>
        </w:rPr>
        <w:t>Авиадивизионы были сформированы при всех армиях, кроме Кавказской, так как в ней, по мнению Ставки ВГ, авиаотряды слишком разбросаны, и авиационным дивизионом их не объединить (17110).</w:t>
      </w:r>
    </w:p>
    <w:p w14:paraId="3729EA35" w14:textId="77777777" w:rsidR="006033D0" w:rsidRPr="00405303" w:rsidRDefault="006033D0" w:rsidP="00C15251">
      <w:pPr>
        <w:pStyle w:val="rtejustify"/>
        <w:shd w:val="clear" w:color="auto" w:fill="FFFFFF"/>
        <w:spacing w:before="0" w:beforeAutospacing="0" w:after="0" w:afterAutospacing="0"/>
        <w:jc w:val="both"/>
        <w:rPr>
          <w:bCs/>
          <w:color w:val="002060"/>
          <w:sz w:val="16"/>
          <w:szCs w:val="16"/>
        </w:rPr>
      </w:pPr>
    </w:p>
    <w:p w14:paraId="39706A55" w14:textId="7E615BFD" w:rsidR="002B5E9B" w:rsidRPr="00405303" w:rsidRDefault="002B5E9B" w:rsidP="00C15251">
      <w:pPr>
        <w:shd w:val="clear" w:color="auto" w:fill="FFFFFF"/>
        <w:jc w:val="both"/>
        <w:rPr>
          <w:bCs/>
          <w:color w:val="002060"/>
          <w:sz w:val="16"/>
          <w:szCs w:val="16"/>
        </w:rPr>
      </w:pPr>
      <w:r w:rsidRPr="00405303">
        <w:rPr>
          <w:bCs/>
          <w:color w:val="002060"/>
          <w:sz w:val="16"/>
          <w:szCs w:val="16"/>
        </w:rPr>
        <w:t>4</w:t>
      </w:r>
      <w:r w:rsidR="00B16A24" w:rsidRPr="00405303">
        <w:rPr>
          <w:bCs/>
          <w:color w:val="002060"/>
          <w:sz w:val="16"/>
          <w:szCs w:val="16"/>
        </w:rPr>
        <w:t xml:space="preserve"> (17)</w:t>
      </w:r>
      <w:r w:rsidRPr="00405303">
        <w:rPr>
          <w:bCs/>
          <w:color w:val="002060"/>
          <w:sz w:val="16"/>
          <w:szCs w:val="16"/>
        </w:rPr>
        <w:t xml:space="preserve"> марта 1915 г. </w:t>
      </w:r>
      <w:r w:rsidR="00B16A24" w:rsidRPr="00405303">
        <w:rPr>
          <w:bCs/>
          <w:color w:val="002060"/>
          <w:sz w:val="16"/>
          <w:szCs w:val="16"/>
        </w:rPr>
        <w:t xml:space="preserve">приказом начальника </w:t>
      </w:r>
      <w:proofErr w:type="gramStart"/>
      <w:r w:rsidR="00B16A24" w:rsidRPr="00405303">
        <w:rPr>
          <w:bCs/>
          <w:color w:val="002060"/>
          <w:sz w:val="16"/>
          <w:szCs w:val="16"/>
        </w:rPr>
        <w:t>штаба</w:t>
      </w:r>
      <w:proofErr w:type="gramEnd"/>
      <w:r w:rsidR="00B16A24" w:rsidRPr="00405303">
        <w:rPr>
          <w:bCs/>
          <w:color w:val="002060"/>
          <w:sz w:val="16"/>
          <w:szCs w:val="16"/>
        </w:rPr>
        <w:t xml:space="preserve"> УваРИ № 300 </w:t>
      </w:r>
      <w:r w:rsidRPr="00405303">
        <w:rPr>
          <w:bCs/>
          <w:color w:val="002060"/>
          <w:sz w:val="16"/>
          <w:szCs w:val="16"/>
        </w:rPr>
        <w:t>было объявлено о переводе находившихся в действующей армии корпусных и армейских авиаотрядов (за отдельными исключениями) на общий для всех штат и табели, с сохранением существовавших их наименований и номеров. Объявлялось также о формировании по прилагаемым штату и табелям при армиях 11 авиационных дивизионов. В управлении командира авиадивизиона предусматривалось иметь 5 офицеров, аэропланов со всеми принадлежностями и вооружением — 4 действующих. Авиадивизионы, введенные этим приказом, представляли собой отдельные авиачасти, организационная структура которых позволяла осуществлять управленческие функции по отношению к авиационным отрядам армии</w:t>
      </w:r>
      <w:r w:rsidRPr="00405303">
        <w:rPr>
          <w:bCs/>
          <w:color w:val="002060"/>
          <w:sz w:val="16"/>
          <w:szCs w:val="16"/>
          <w:shd w:val="clear" w:color="auto" w:fill="FFFFFF"/>
        </w:rPr>
        <w:t xml:space="preserve"> (20200)</w:t>
      </w:r>
      <w:r w:rsidRPr="00405303">
        <w:rPr>
          <w:bCs/>
          <w:color w:val="002060"/>
          <w:sz w:val="16"/>
          <w:szCs w:val="16"/>
        </w:rPr>
        <w:t>.</w:t>
      </w:r>
    </w:p>
    <w:p w14:paraId="28AC2276" w14:textId="77777777" w:rsidR="002B5E9B" w:rsidRPr="00405303" w:rsidRDefault="002B5E9B" w:rsidP="00C15251">
      <w:pPr>
        <w:shd w:val="clear" w:color="auto" w:fill="FFFFFF"/>
        <w:jc w:val="both"/>
        <w:rPr>
          <w:bCs/>
          <w:color w:val="002060"/>
          <w:sz w:val="16"/>
          <w:szCs w:val="16"/>
        </w:rPr>
      </w:pPr>
      <w:r w:rsidRPr="00405303">
        <w:rPr>
          <w:bCs/>
          <w:color w:val="002060"/>
          <w:sz w:val="16"/>
          <w:szCs w:val="16"/>
        </w:rPr>
        <w:t>Также авиадивизион стал связующим звеном между штабом армии и авиаотрядами в вопросе боевого применения авиации и между авиационными парками и авиаотрядами в вопросах технического обеспечения. Таким образом, весной 1915 г. в структуре авиации действующей армии произошел переход от разрозненных частей корпусной авиации к более крупным формированиям армейского подчинения, имевшим общий тыл — мобильную авиационную базу</w:t>
      </w:r>
      <w:r w:rsidRPr="00405303">
        <w:rPr>
          <w:bCs/>
          <w:color w:val="002060"/>
          <w:sz w:val="16"/>
          <w:szCs w:val="16"/>
          <w:shd w:val="clear" w:color="auto" w:fill="FFFFFF"/>
        </w:rPr>
        <w:t xml:space="preserve"> (20200)</w:t>
      </w:r>
      <w:r w:rsidRPr="00405303">
        <w:rPr>
          <w:bCs/>
          <w:color w:val="002060"/>
          <w:sz w:val="16"/>
          <w:szCs w:val="16"/>
        </w:rPr>
        <w:t>.</w:t>
      </w:r>
    </w:p>
    <w:p w14:paraId="6EB2CBB3" w14:textId="77777777" w:rsidR="002B5E9B" w:rsidRPr="00405303" w:rsidRDefault="002B5E9B" w:rsidP="00C15251">
      <w:pPr>
        <w:shd w:val="clear" w:color="auto" w:fill="FFFFFF"/>
        <w:jc w:val="both"/>
        <w:rPr>
          <w:bCs/>
          <w:color w:val="002060"/>
          <w:sz w:val="16"/>
          <w:szCs w:val="16"/>
        </w:rPr>
      </w:pPr>
      <w:r w:rsidRPr="00405303">
        <w:rPr>
          <w:bCs/>
          <w:color w:val="002060"/>
          <w:sz w:val="16"/>
          <w:szCs w:val="16"/>
        </w:rPr>
        <w:t>Авиадивизионы были сформированы при всех армиях, кроме Кавказской, так как в ней, по мнению Ставки ВГ, авиаотряды слишком разбросаны, и авиационным дивизионом их не объединить</w:t>
      </w:r>
      <w:r w:rsidRPr="00405303">
        <w:rPr>
          <w:bCs/>
          <w:color w:val="002060"/>
          <w:sz w:val="16"/>
          <w:szCs w:val="16"/>
          <w:shd w:val="clear" w:color="auto" w:fill="FFFFFF"/>
        </w:rPr>
        <w:t xml:space="preserve"> (20200)</w:t>
      </w:r>
      <w:r w:rsidRPr="00405303">
        <w:rPr>
          <w:bCs/>
          <w:color w:val="002060"/>
          <w:sz w:val="16"/>
          <w:szCs w:val="16"/>
        </w:rPr>
        <w:t>.</w:t>
      </w:r>
    </w:p>
    <w:p w14:paraId="5C3D9321" w14:textId="77777777" w:rsidR="002B5E9B" w:rsidRPr="00405303" w:rsidRDefault="002B5E9B" w:rsidP="00C15251">
      <w:pPr>
        <w:jc w:val="both"/>
        <w:rPr>
          <w:bCs/>
          <w:color w:val="002060"/>
          <w:sz w:val="16"/>
          <w:szCs w:val="16"/>
        </w:rPr>
      </w:pPr>
    </w:p>
    <w:p w14:paraId="37E8AE75" w14:textId="60896E7B" w:rsidR="000A77E3" w:rsidRPr="00405303" w:rsidRDefault="000A77E3" w:rsidP="00C15251">
      <w:pPr>
        <w:pStyle w:val="a3"/>
        <w:jc w:val="both"/>
        <w:rPr>
          <w:bCs/>
          <w:color w:val="002060"/>
          <w:spacing w:val="0"/>
          <w:kern w:val="0"/>
          <w:position w:val="0"/>
          <w:sz w:val="16"/>
          <w:szCs w:val="16"/>
        </w:rPr>
      </w:pPr>
      <w:r w:rsidRPr="00405303">
        <w:rPr>
          <w:bCs/>
          <w:color w:val="002060"/>
          <w:spacing w:val="0"/>
          <w:kern w:val="0"/>
          <w:position w:val="0"/>
          <w:sz w:val="16"/>
          <w:szCs w:val="16"/>
        </w:rPr>
        <w:t>Морская авиация:</w:t>
      </w:r>
    </w:p>
    <w:p w14:paraId="772CA145" w14:textId="77777777" w:rsidR="000A77E3" w:rsidRPr="00405303" w:rsidRDefault="000A77E3" w:rsidP="00C15251">
      <w:pPr>
        <w:pStyle w:val="a3"/>
        <w:jc w:val="both"/>
        <w:rPr>
          <w:bCs/>
          <w:color w:val="002060"/>
          <w:spacing w:val="0"/>
          <w:kern w:val="0"/>
          <w:position w:val="0"/>
          <w:sz w:val="16"/>
          <w:szCs w:val="16"/>
        </w:rPr>
      </w:pPr>
    </w:p>
    <w:p w14:paraId="0633BA7F" w14:textId="6C7DEFB4" w:rsidR="000A77E3" w:rsidRPr="00405303" w:rsidRDefault="000A77E3" w:rsidP="00C15251">
      <w:pPr>
        <w:jc w:val="both"/>
        <w:rPr>
          <w:bCs/>
          <w:color w:val="002060"/>
          <w:sz w:val="16"/>
          <w:szCs w:val="16"/>
          <w:lang w:bidi="en-US"/>
        </w:rPr>
      </w:pPr>
      <w:r w:rsidRPr="00405303">
        <w:rPr>
          <w:bCs/>
          <w:color w:val="002060"/>
          <w:sz w:val="16"/>
          <w:szCs w:val="16"/>
          <w:lang w:bidi="en-US"/>
        </w:rPr>
        <w:t xml:space="preserve">4 (17) марта 1915 г.э в Черном море российский гидроавианосец «Алмаз» (гибридный </w:t>
      </w:r>
      <w:r w:rsidRPr="00405303">
        <w:rPr>
          <w:bCs/>
          <w:color w:val="002060"/>
          <w:sz w:val="16"/>
          <w:szCs w:val="16"/>
          <w:lang w:bidi="en-US"/>
        </w:rPr>
        <w:softHyphen/>
        <w:t>крейсер-яхта) провел свои первые операции у берегов Босфора и турецкого Румелийского побережья (23525).</w:t>
      </w:r>
    </w:p>
    <w:p w14:paraId="0986594E" w14:textId="77777777" w:rsidR="000A77E3" w:rsidRPr="00405303" w:rsidRDefault="000A77E3" w:rsidP="00C15251">
      <w:pPr>
        <w:jc w:val="both"/>
        <w:rPr>
          <w:bCs/>
          <w:color w:val="002060"/>
          <w:sz w:val="16"/>
          <w:szCs w:val="16"/>
        </w:rPr>
      </w:pPr>
    </w:p>
    <w:p w14:paraId="5E0AB3FE" w14:textId="747993EB"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 и воздухоплавание Германии:</w:t>
      </w:r>
    </w:p>
    <w:p w14:paraId="5BA7EEB7" w14:textId="77777777" w:rsidR="004B4E35" w:rsidRPr="00405303" w:rsidRDefault="004B4E35" w:rsidP="00C15251">
      <w:pPr>
        <w:pStyle w:val="a3"/>
        <w:jc w:val="both"/>
        <w:rPr>
          <w:bCs/>
          <w:color w:val="002060"/>
          <w:spacing w:val="0"/>
          <w:kern w:val="0"/>
          <w:position w:val="0"/>
          <w:sz w:val="16"/>
          <w:szCs w:val="16"/>
        </w:rPr>
      </w:pPr>
    </w:p>
    <w:p w14:paraId="547DBB58" w14:textId="77777777" w:rsidR="004B4E35" w:rsidRPr="00405303" w:rsidRDefault="009E6F82" w:rsidP="00C15251">
      <w:pPr>
        <w:jc w:val="both"/>
        <w:rPr>
          <w:bCs/>
          <w:color w:val="002060"/>
          <w:sz w:val="16"/>
          <w:szCs w:val="16"/>
        </w:rPr>
      </w:pPr>
      <w:r w:rsidRPr="00405303">
        <w:rPr>
          <w:bCs/>
          <w:color w:val="002060"/>
          <w:sz w:val="16"/>
          <w:szCs w:val="16"/>
        </w:rPr>
        <w:t xml:space="preserve">В ночь на 4 (17) марта 1915 года с боевым заданием бомбить пригороды английской столицы отправился армейский дирижабль LZ-12. К огромному разочарованию экипажа цель оказалась закрытой плотным слоем тумана, поэтому весь бомбовый запас был сброшен на Кале (11324). </w:t>
      </w:r>
    </w:p>
    <w:p w14:paraId="76890924" w14:textId="77777777" w:rsidR="004B4E35" w:rsidRPr="00405303" w:rsidRDefault="004B4E35" w:rsidP="00C15251">
      <w:pPr>
        <w:pStyle w:val="a3"/>
        <w:jc w:val="both"/>
        <w:rPr>
          <w:bCs/>
          <w:color w:val="002060"/>
          <w:spacing w:val="0"/>
          <w:kern w:val="0"/>
          <w:position w:val="0"/>
          <w:sz w:val="16"/>
          <w:szCs w:val="16"/>
        </w:rPr>
      </w:pPr>
    </w:p>
    <w:p w14:paraId="023092AF" w14:textId="77777777" w:rsidR="004B4E35" w:rsidRPr="00405303" w:rsidRDefault="009E6F82" w:rsidP="00C15251">
      <w:pPr>
        <w:jc w:val="both"/>
        <w:rPr>
          <w:bCs/>
          <w:color w:val="002060"/>
          <w:sz w:val="16"/>
          <w:szCs w:val="16"/>
        </w:rPr>
      </w:pPr>
      <w:r w:rsidRPr="00405303">
        <w:rPr>
          <w:bCs/>
          <w:color w:val="002060"/>
          <w:sz w:val="16"/>
          <w:szCs w:val="16"/>
        </w:rPr>
        <w:t>4 (17) марта 1915 года Z-XIII, совершив длительный перелет, напал на Кале (11324).</w:t>
      </w:r>
    </w:p>
    <w:p w14:paraId="1C77E691" w14:textId="77777777" w:rsidR="004B4E35" w:rsidRPr="00405303" w:rsidRDefault="004B4E35" w:rsidP="00C15251">
      <w:pPr>
        <w:pStyle w:val="a3"/>
        <w:jc w:val="both"/>
        <w:rPr>
          <w:bCs/>
          <w:color w:val="002060"/>
          <w:spacing w:val="0"/>
          <w:kern w:val="0"/>
          <w:position w:val="0"/>
          <w:sz w:val="16"/>
          <w:szCs w:val="16"/>
        </w:rPr>
      </w:pPr>
    </w:p>
    <w:p w14:paraId="1E1A5B14" w14:textId="77777777" w:rsidR="002B5E9B" w:rsidRPr="00405303" w:rsidRDefault="002B5E9B" w:rsidP="00C15251">
      <w:pPr>
        <w:jc w:val="both"/>
        <w:rPr>
          <w:bCs/>
          <w:color w:val="002060"/>
          <w:sz w:val="16"/>
          <w:szCs w:val="16"/>
        </w:rPr>
      </w:pPr>
      <w:r w:rsidRPr="00405303">
        <w:rPr>
          <w:bCs/>
          <w:color w:val="002060"/>
          <w:sz w:val="16"/>
          <w:szCs w:val="16"/>
        </w:rPr>
        <w:t>4 (17) марта 1915 Императорская немецкая армия совершает первый налет дирижаблей на Соединенное Королевство с использованием Zeppelin Z XII. Не имея возможности найти цель через облачный покров, Z XII не сбрасывает бомбы, но над Кале, Франция, по пути домой впервые использует пилотируемую наблюдательную кабину, опускаемую с помощью лебедки, чтобы обеспечить наблюдение, пока дирижабль остается над облачным покровом. Позже ВМС Германии также экспериментируют с такими кабинами, и они становятся стандартным оборудованием на борту дирижаблей ВМС Германии (20338).</w:t>
      </w:r>
    </w:p>
    <w:p w14:paraId="7424D67E" w14:textId="77777777" w:rsidR="002B5E9B" w:rsidRPr="00405303" w:rsidRDefault="002B5E9B" w:rsidP="00C15251">
      <w:pPr>
        <w:jc w:val="both"/>
        <w:rPr>
          <w:bCs/>
          <w:color w:val="002060"/>
          <w:sz w:val="16"/>
          <w:szCs w:val="16"/>
        </w:rPr>
      </w:pPr>
    </w:p>
    <w:p w14:paraId="71F0AC36" w14:textId="77777777" w:rsidR="00DB2E37" w:rsidRPr="00405303" w:rsidRDefault="00DB2E37" w:rsidP="00DB2E37">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390B7D0B" w14:textId="77777777" w:rsidR="00DB2E37" w:rsidRPr="00405303" w:rsidRDefault="00DB2E37" w:rsidP="00DB2E37">
      <w:pPr>
        <w:pStyle w:val="a3"/>
        <w:jc w:val="both"/>
        <w:rPr>
          <w:bCs/>
          <w:color w:val="002060"/>
          <w:spacing w:val="0"/>
          <w:kern w:val="0"/>
          <w:position w:val="0"/>
          <w:sz w:val="16"/>
          <w:szCs w:val="16"/>
        </w:rPr>
      </w:pPr>
    </w:p>
    <w:p w14:paraId="08C8D85B" w14:textId="77777777" w:rsidR="00DB2E37" w:rsidRPr="00405303" w:rsidRDefault="00DB2E37" w:rsidP="00DB2E37">
      <w:pPr>
        <w:jc w:val="both"/>
        <w:rPr>
          <w:color w:val="0070C0"/>
          <w:sz w:val="16"/>
          <w:szCs w:val="16"/>
        </w:rPr>
      </w:pPr>
      <w:r w:rsidRPr="00405303">
        <w:rPr>
          <w:color w:val="0070C0"/>
          <w:sz w:val="16"/>
          <w:szCs w:val="16"/>
        </w:rPr>
        <w:t>5 (18) марта 1915 г. от осколков сброшенных на Яблонну бомб едва не пострадал конструктор воздушных клораблей И.И. Сикорский.</w:t>
      </w:r>
    </w:p>
    <w:p w14:paraId="1C20C7DE" w14:textId="77777777" w:rsidR="00DB2E37" w:rsidRPr="00405303" w:rsidRDefault="00DB2E37" w:rsidP="00DB2E37">
      <w:pPr>
        <w:jc w:val="both"/>
        <w:rPr>
          <w:color w:val="0070C0"/>
          <w:sz w:val="16"/>
          <w:szCs w:val="16"/>
        </w:rPr>
      </w:pPr>
      <w:r w:rsidRPr="00405303">
        <w:rPr>
          <w:color w:val="0070C0"/>
          <w:sz w:val="16"/>
          <w:szCs w:val="16"/>
        </w:rPr>
        <w:t xml:space="preserve">Помимо бомбового запаса неприятельские пилоты использовали оружие нового типа – флешетты (специальные металлические стрелы-дротики, размером не превышающие обыкновенный карандаш). Они обладали значительной пробивной способностью. Полученные экземпляры стрел руководством Управления Эскадры были отправлены в Варшаву (с просьбой изготовить 1000 шт.) и в Главное артиллерийское управление (с целью изучения и последующего налаживания </w:t>
      </w:r>
      <w:r w:rsidRPr="00405303">
        <w:rPr>
          <w:color w:val="0070C0"/>
          <w:sz w:val="16"/>
          <w:szCs w:val="16"/>
        </w:rPr>
        <w:lastRenderedPageBreak/>
        <w:t>производства). Вскоре был получен варшавский заказ, и, выдав на три воздушных корабля («Киевский», II и III) по 250 стрел, отвезли их на станции Вилленберг, Нейденбург и Сольдау (25135).</w:t>
      </w:r>
    </w:p>
    <w:p w14:paraId="30A05AF4" w14:textId="77777777" w:rsidR="00DB2E37" w:rsidRPr="00405303" w:rsidRDefault="00DB2E37" w:rsidP="00DB2E37">
      <w:pPr>
        <w:jc w:val="both"/>
        <w:rPr>
          <w:color w:val="0070C0"/>
          <w:sz w:val="16"/>
          <w:szCs w:val="16"/>
        </w:rPr>
      </w:pPr>
    </w:p>
    <w:p w14:paraId="21AE15AB"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2E820F7F" w14:textId="77777777" w:rsidR="004B4E35" w:rsidRPr="00405303" w:rsidRDefault="004B4E35" w:rsidP="00C15251">
      <w:pPr>
        <w:pStyle w:val="a3"/>
        <w:jc w:val="both"/>
        <w:rPr>
          <w:bCs/>
          <w:color w:val="002060"/>
          <w:spacing w:val="0"/>
          <w:kern w:val="0"/>
          <w:position w:val="0"/>
          <w:sz w:val="16"/>
          <w:szCs w:val="16"/>
        </w:rPr>
      </w:pPr>
    </w:p>
    <w:p w14:paraId="4E9954D3" w14:textId="4D8D20E7" w:rsidR="004B4E35" w:rsidRPr="00405303" w:rsidRDefault="009E6F82" w:rsidP="00C15251">
      <w:pPr>
        <w:jc w:val="both"/>
        <w:rPr>
          <w:bCs/>
          <w:color w:val="002060"/>
          <w:sz w:val="16"/>
          <w:szCs w:val="16"/>
        </w:rPr>
      </w:pPr>
      <w:r w:rsidRPr="00405303">
        <w:rPr>
          <w:bCs/>
          <w:color w:val="002060"/>
          <w:sz w:val="16"/>
          <w:szCs w:val="16"/>
        </w:rPr>
        <w:t xml:space="preserve">5 (18) марта 1915 - </w:t>
      </w:r>
      <w:r w:rsidR="00B04221" w:rsidRPr="00405303">
        <w:rPr>
          <w:bCs/>
          <w:color w:val="002060"/>
          <w:sz w:val="16"/>
          <w:szCs w:val="16"/>
        </w:rPr>
        <w:t>и</w:t>
      </w:r>
      <w:r w:rsidRPr="00405303">
        <w:rPr>
          <w:bCs/>
          <w:color w:val="002060"/>
          <w:sz w:val="16"/>
          <w:szCs w:val="16"/>
        </w:rPr>
        <w:t>з рапорта Начальника штаба 1-й армии генерал-лейтенанта Одешелидзе Начальнику штаба Главнокомандующего армиями Северо-Западного фронта: "В течение февраля месяца сего года аппаратом "Илья Муромец Киевский" по заданию штаба армии выполнены три боевых полета: 1)15 февраля с задачей выяснить, есть ли переправы на реке Висле на участке до Добржина и в случае, если бы таковые оказались, разрушить их; 2) 24 февраля разведать район Сурово - Круково - Зарембы - Вил- ленберг - Хоржеле, произвести разрушение станции Вил- ленберг; 3) 25 февраля - та же задача.</w:t>
      </w:r>
    </w:p>
    <w:p w14:paraId="6B580CC0" w14:textId="77777777" w:rsidR="004B4E35" w:rsidRPr="00405303" w:rsidRDefault="009E6F82" w:rsidP="00C15251">
      <w:pPr>
        <w:jc w:val="both"/>
        <w:rPr>
          <w:bCs/>
          <w:color w:val="002060"/>
          <w:sz w:val="16"/>
          <w:szCs w:val="16"/>
        </w:rPr>
      </w:pPr>
      <w:r w:rsidRPr="00405303">
        <w:rPr>
          <w:bCs/>
          <w:color w:val="002060"/>
          <w:sz w:val="16"/>
          <w:szCs w:val="16"/>
        </w:rPr>
        <w:t>Результаты разведок с фотографическими снимками препровождаются в подлинниках.</w:t>
      </w:r>
    </w:p>
    <w:p w14:paraId="2BEE0362" w14:textId="77777777" w:rsidR="004B4E35" w:rsidRPr="00405303" w:rsidRDefault="009E6F82" w:rsidP="00C15251">
      <w:pPr>
        <w:jc w:val="both"/>
        <w:rPr>
          <w:bCs/>
          <w:color w:val="002060"/>
          <w:sz w:val="16"/>
          <w:szCs w:val="16"/>
        </w:rPr>
      </w:pPr>
      <w:r w:rsidRPr="00405303">
        <w:rPr>
          <w:bCs/>
          <w:color w:val="002060"/>
          <w:sz w:val="16"/>
          <w:szCs w:val="16"/>
        </w:rPr>
        <w:t xml:space="preserve">Полеты эти показали крупное преимущество аппаратов "Илья Муромец" по сравнению с аппаратами других систем. Большая грузоподъемность, удобство наблюдения, возможность взять большую высоту (на последних полетах 3200 м), большой радиус полета, вооружение аппаратов и большая меткость попадания бомбами </w:t>
      </w:r>
      <w:proofErr w:type="gramStart"/>
      <w:r w:rsidRPr="00405303">
        <w:rPr>
          <w:bCs/>
          <w:color w:val="002060"/>
          <w:sz w:val="16"/>
          <w:szCs w:val="16"/>
        </w:rPr>
        <w:t>- все это</w:t>
      </w:r>
      <w:proofErr w:type="gramEnd"/>
      <w:r w:rsidRPr="00405303">
        <w:rPr>
          <w:bCs/>
          <w:color w:val="002060"/>
          <w:sz w:val="16"/>
          <w:szCs w:val="16"/>
        </w:rPr>
        <w:t xml:space="preserve"> составляет чрезвычайно крупное преимущество по сравнению с аппаратами обыкновенного типа. И если аппарат и не успел дать крупных результатов, то только вследствие того, что погода не позволяет производить систематические ежедневные полеты и отсутствуют крупные цели для разрушения.</w:t>
      </w:r>
    </w:p>
    <w:p w14:paraId="65049427" w14:textId="77777777" w:rsidR="004B4E35" w:rsidRPr="00405303" w:rsidRDefault="009E6F82" w:rsidP="00C15251">
      <w:pPr>
        <w:jc w:val="both"/>
        <w:rPr>
          <w:bCs/>
          <w:color w:val="002060"/>
          <w:sz w:val="16"/>
          <w:szCs w:val="16"/>
        </w:rPr>
      </w:pPr>
      <w:r w:rsidRPr="00405303">
        <w:rPr>
          <w:bCs/>
          <w:color w:val="002060"/>
          <w:sz w:val="16"/>
          <w:szCs w:val="16"/>
        </w:rPr>
        <w:t>Большое значение имеет также достоверность результатов разведки, так как каждое наблюдение может свободно фотографироваться.</w:t>
      </w:r>
    </w:p>
    <w:p w14:paraId="7BB475EE" w14:textId="77777777" w:rsidR="004B4E35" w:rsidRPr="00405303" w:rsidRDefault="009E6F82" w:rsidP="00C15251">
      <w:pPr>
        <w:jc w:val="both"/>
        <w:rPr>
          <w:bCs/>
          <w:color w:val="002060"/>
          <w:sz w:val="16"/>
          <w:szCs w:val="16"/>
        </w:rPr>
      </w:pPr>
      <w:r w:rsidRPr="00405303">
        <w:rPr>
          <w:bCs/>
          <w:color w:val="002060"/>
          <w:sz w:val="16"/>
          <w:szCs w:val="16"/>
        </w:rPr>
        <w:t>Произведенные три боевых полета вполне показали, каких крупных результатов можно ожидать от аппаратов типа "Илья Муромец".</w:t>
      </w:r>
    </w:p>
    <w:p w14:paraId="551D1C87" w14:textId="77777777" w:rsidR="004B4E35" w:rsidRPr="00405303" w:rsidRDefault="009E6F82" w:rsidP="00C15251">
      <w:pPr>
        <w:jc w:val="both"/>
        <w:rPr>
          <w:bCs/>
          <w:color w:val="002060"/>
          <w:sz w:val="16"/>
          <w:szCs w:val="16"/>
        </w:rPr>
      </w:pPr>
      <w:r w:rsidRPr="00405303">
        <w:rPr>
          <w:bCs/>
          <w:color w:val="002060"/>
          <w:sz w:val="16"/>
          <w:szCs w:val="16"/>
        </w:rPr>
        <w:t>Взятые у Прасныша немецкие летчики показали, что им известно о существовании у нас больших боевых аппаратов и что в Германии сильно ощущается недостаток такого типа аппаратов. С тех пор как на аэродроме в Яблонне установлено дежурство одного из аппаратов "Илья Муромец", германские аэропланы не смеют появляться в районе аэродрома" (11999).</w:t>
      </w:r>
    </w:p>
    <w:p w14:paraId="58DC44A1" w14:textId="77777777" w:rsidR="004B4E35" w:rsidRPr="00405303" w:rsidRDefault="004B4E35" w:rsidP="00C15251">
      <w:pPr>
        <w:jc w:val="both"/>
        <w:rPr>
          <w:bCs/>
          <w:color w:val="002060"/>
          <w:sz w:val="16"/>
          <w:szCs w:val="16"/>
        </w:rPr>
      </w:pPr>
    </w:p>
    <w:p w14:paraId="6CA8A9F2" w14:textId="37650698" w:rsidR="000A77E3" w:rsidRPr="00405303" w:rsidRDefault="000A77E3" w:rsidP="00C15251">
      <w:pPr>
        <w:jc w:val="both"/>
        <w:rPr>
          <w:bCs/>
          <w:color w:val="002060"/>
          <w:sz w:val="16"/>
          <w:szCs w:val="16"/>
          <w:lang w:bidi="en-US"/>
        </w:rPr>
      </w:pPr>
      <w:r w:rsidRPr="00405303">
        <w:rPr>
          <w:bCs/>
          <w:color w:val="002060"/>
          <w:sz w:val="16"/>
          <w:szCs w:val="16"/>
          <w:lang w:bidi="en-US"/>
        </w:rPr>
        <w:t>5 (18) марта 1915 г. генерал барон А.В. Каульбарс из российского Генерального штаба посетил фельдмаршала сэра Джона Френча, командующего британскими экспедиционными силами на Западном фронте союзников, чтобы узнать больше о французских и британских авиационных системах (23525).</w:t>
      </w:r>
    </w:p>
    <w:p w14:paraId="1D8C8800" w14:textId="77777777" w:rsidR="000A77E3" w:rsidRPr="00405303" w:rsidRDefault="000A77E3" w:rsidP="00C15251">
      <w:pPr>
        <w:jc w:val="both"/>
        <w:rPr>
          <w:bCs/>
          <w:color w:val="002060"/>
          <w:sz w:val="16"/>
          <w:szCs w:val="16"/>
        </w:rPr>
      </w:pPr>
    </w:p>
    <w:p w14:paraId="348E052F" w14:textId="6BAAFDCD" w:rsidR="0020565F" w:rsidRPr="00405303" w:rsidRDefault="0020565F" w:rsidP="00C15251">
      <w:pPr>
        <w:jc w:val="both"/>
        <w:rPr>
          <w:bCs/>
          <w:color w:val="002060"/>
          <w:sz w:val="16"/>
          <w:szCs w:val="16"/>
        </w:rPr>
      </w:pPr>
      <w:bookmarkStart w:id="67" w:name="bookmark94"/>
      <w:bookmarkStart w:id="68" w:name="bookmark95"/>
      <w:r w:rsidRPr="00405303">
        <w:rPr>
          <w:bCs/>
          <w:color w:val="002060"/>
          <w:sz w:val="16"/>
          <w:szCs w:val="16"/>
        </w:rPr>
        <w:t>5 (18) марта 1915 г. противник на русско-германском фронте потерял очередной свой летательный аппарат. Вблизи ст. Сокола (царство Польское) нашими передовыми частями был сбит германский «Альбатрос», летчики попали в плен. Позднее нашим трофеем стал неприятельский самолет, совершивший вынужденную посадку в расположении русских войск (23405).</w:t>
      </w:r>
      <w:bookmarkEnd w:id="67"/>
      <w:bookmarkEnd w:id="68"/>
    </w:p>
    <w:p w14:paraId="4769A3DB" w14:textId="77777777" w:rsidR="0020565F" w:rsidRPr="00405303" w:rsidRDefault="0020565F" w:rsidP="00C15251">
      <w:pPr>
        <w:jc w:val="both"/>
        <w:rPr>
          <w:bCs/>
          <w:color w:val="002060"/>
          <w:sz w:val="16"/>
          <w:szCs w:val="16"/>
        </w:rPr>
      </w:pPr>
    </w:p>
    <w:p w14:paraId="1541A94F" w14:textId="77777777" w:rsidR="008260CE" w:rsidRPr="00405303" w:rsidRDefault="008260CE" w:rsidP="00C15251">
      <w:pPr>
        <w:jc w:val="both"/>
        <w:rPr>
          <w:bCs/>
          <w:i/>
          <w:color w:val="002060"/>
          <w:sz w:val="16"/>
          <w:szCs w:val="16"/>
        </w:rPr>
      </w:pPr>
      <w:r w:rsidRPr="00405303">
        <w:rPr>
          <w:bCs/>
          <w:i/>
          <w:color w:val="002060"/>
          <w:sz w:val="16"/>
          <w:szCs w:val="16"/>
        </w:rPr>
        <w:t>За рубежом:</w:t>
      </w:r>
    </w:p>
    <w:p w14:paraId="130906DB" w14:textId="77777777" w:rsidR="008260CE" w:rsidRPr="00405303" w:rsidRDefault="008260CE" w:rsidP="00C15251">
      <w:pPr>
        <w:jc w:val="both"/>
        <w:rPr>
          <w:bCs/>
          <w:color w:val="002060"/>
          <w:sz w:val="16"/>
          <w:szCs w:val="16"/>
        </w:rPr>
      </w:pPr>
    </w:p>
    <w:p w14:paraId="5C58BA27" w14:textId="77777777" w:rsidR="008260CE" w:rsidRPr="00405303" w:rsidRDefault="008260CE" w:rsidP="00C15251">
      <w:pPr>
        <w:jc w:val="both"/>
        <w:rPr>
          <w:bCs/>
          <w:color w:val="002060"/>
          <w:sz w:val="16"/>
          <w:szCs w:val="16"/>
        </w:rPr>
      </w:pPr>
      <w:r w:rsidRPr="00405303">
        <w:rPr>
          <w:bCs/>
          <w:color w:val="002060"/>
          <w:sz w:val="16"/>
          <w:szCs w:val="16"/>
        </w:rPr>
        <w:t>5 (18) марта в 1915 году англо-французская эскадра вице-адмирала Де-Робека (17 линкоров, 1 брон.крейсер) предприняла попытку прорваться через пролив Дарданеллы в Мраморное море. В ходе боя подорвались на минах, выставленных незадолго до этого одним маленьким турецким минзагом линкоры "Буве" , "Ошен" и "Ирезистибл" , серьезные повреждения получили линкоры "Сюффрен" и "Галуа" , а также крейсер "Инфлексибл". Огнем союзников было уничтожено 8 турецких батарей. Эскадра была вынуждена отойти из пролива (15072).</w:t>
      </w:r>
    </w:p>
    <w:p w14:paraId="52EA45A8" w14:textId="77777777" w:rsidR="008260CE" w:rsidRPr="00405303" w:rsidRDefault="008260CE" w:rsidP="00C15251">
      <w:pPr>
        <w:jc w:val="both"/>
        <w:rPr>
          <w:bCs/>
          <w:color w:val="002060"/>
          <w:sz w:val="16"/>
          <w:szCs w:val="16"/>
        </w:rPr>
      </w:pPr>
    </w:p>
    <w:p w14:paraId="007F0F8F"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2584860A" w14:textId="77777777" w:rsidR="004B4E35" w:rsidRPr="00405303" w:rsidRDefault="004B4E35" w:rsidP="00C15251">
      <w:pPr>
        <w:pStyle w:val="a3"/>
        <w:jc w:val="both"/>
        <w:rPr>
          <w:bCs/>
          <w:color w:val="002060"/>
          <w:spacing w:val="0"/>
          <w:kern w:val="0"/>
          <w:position w:val="0"/>
          <w:sz w:val="16"/>
          <w:szCs w:val="16"/>
        </w:rPr>
      </w:pPr>
    </w:p>
    <w:p w14:paraId="4755D467" w14:textId="03B1C1C4" w:rsidR="00063C82" w:rsidRPr="00405303" w:rsidRDefault="00063C82" w:rsidP="00C15251">
      <w:pPr>
        <w:jc w:val="both"/>
        <w:rPr>
          <w:bCs/>
          <w:color w:val="002060"/>
          <w:sz w:val="16"/>
          <w:szCs w:val="16"/>
        </w:rPr>
      </w:pPr>
      <w:bookmarkStart w:id="69" w:name="_Hlk117521739"/>
      <w:r w:rsidRPr="00405303">
        <w:rPr>
          <w:bCs/>
          <w:color w:val="002060"/>
          <w:sz w:val="16"/>
          <w:szCs w:val="16"/>
        </w:rPr>
        <w:t>6 (19) марта 1915 г. самолет С-16 (C-XVI, зав. № 155) 2-й опытный без мотора был отправлен в распоряжение ЭВК приказом Председателя правления АО РБВЗ – командира ЭВК М.В. Шидловского.</w:t>
      </w:r>
    </w:p>
    <w:p w14:paraId="42C25580" w14:textId="77777777" w:rsidR="00063C82" w:rsidRPr="00405303" w:rsidRDefault="00063C82" w:rsidP="00C15251">
      <w:pPr>
        <w:jc w:val="both"/>
        <w:rPr>
          <w:bCs/>
          <w:color w:val="002060"/>
          <w:sz w:val="16"/>
          <w:szCs w:val="16"/>
        </w:rPr>
      </w:pPr>
      <w:r w:rsidRPr="00405303">
        <w:rPr>
          <w:bCs/>
          <w:color w:val="002060"/>
          <w:sz w:val="16"/>
          <w:szCs w:val="16"/>
        </w:rPr>
        <w:t>Постройка началась Петербургским авиационным отделением РБВЗ в ноябре 1914 г. еще до облета первой машины и ее оплаты.</w:t>
      </w:r>
    </w:p>
    <w:p w14:paraId="3456E06C" w14:textId="77777777" w:rsidR="00063C82" w:rsidRPr="00405303" w:rsidRDefault="00063C82" w:rsidP="00C15251">
      <w:pPr>
        <w:jc w:val="both"/>
        <w:rPr>
          <w:bCs/>
          <w:color w:val="002060"/>
          <w:sz w:val="16"/>
          <w:szCs w:val="16"/>
        </w:rPr>
      </w:pPr>
      <w:r w:rsidRPr="00405303">
        <w:rPr>
          <w:bCs/>
          <w:color w:val="002060"/>
          <w:sz w:val="16"/>
          <w:szCs w:val="16"/>
        </w:rPr>
        <w:t>По сравнению с 1-м опытным самолетом имел ряд намеренных отличий:</w:t>
      </w:r>
    </w:p>
    <w:p w14:paraId="03EC6FAC" w14:textId="77777777" w:rsidR="00063C82" w:rsidRPr="00405303" w:rsidRDefault="00063C82" w:rsidP="00C15251">
      <w:pPr>
        <w:jc w:val="both"/>
        <w:rPr>
          <w:bCs/>
          <w:color w:val="002060"/>
          <w:sz w:val="16"/>
          <w:szCs w:val="16"/>
        </w:rPr>
      </w:pPr>
      <w:r w:rsidRPr="00405303">
        <w:rPr>
          <w:bCs/>
          <w:color w:val="002060"/>
          <w:sz w:val="16"/>
          <w:szCs w:val="16"/>
        </w:rPr>
        <w:t>- сделаны новые крылья без стреловидности;</w:t>
      </w:r>
    </w:p>
    <w:p w14:paraId="2084C432" w14:textId="77777777" w:rsidR="00063C82" w:rsidRPr="00405303" w:rsidRDefault="00063C82" w:rsidP="00C15251">
      <w:pPr>
        <w:jc w:val="both"/>
        <w:rPr>
          <w:bCs/>
          <w:color w:val="002060"/>
          <w:sz w:val="16"/>
          <w:szCs w:val="16"/>
        </w:rPr>
      </w:pPr>
      <w:r w:rsidRPr="00405303">
        <w:rPr>
          <w:bCs/>
          <w:color w:val="002060"/>
          <w:sz w:val="16"/>
          <w:szCs w:val="16"/>
        </w:rPr>
        <w:t>- консоли крыльев установлены со значительным положительным углом поперечного V.</w:t>
      </w:r>
    </w:p>
    <w:p w14:paraId="20677A2C" w14:textId="77777777" w:rsidR="00063C82" w:rsidRPr="00405303" w:rsidRDefault="00063C82" w:rsidP="00C15251">
      <w:pPr>
        <w:jc w:val="both"/>
        <w:rPr>
          <w:bCs/>
          <w:color w:val="002060"/>
          <w:sz w:val="16"/>
          <w:szCs w:val="16"/>
        </w:rPr>
      </w:pPr>
      <w:r w:rsidRPr="00405303">
        <w:rPr>
          <w:bCs/>
          <w:color w:val="002060"/>
          <w:sz w:val="16"/>
          <w:szCs w:val="16"/>
        </w:rPr>
        <w:t>Все три первых самолета были облетаны в ЭВК летом 1915 г. (не известно, который испытали первым).</w:t>
      </w:r>
    </w:p>
    <w:p w14:paraId="3CC6B2D1" w14:textId="77777777" w:rsidR="00063C82" w:rsidRPr="00405303" w:rsidRDefault="00063C82" w:rsidP="00C15251">
      <w:pPr>
        <w:jc w:val="both"/>
        <w:rPr>
          <w:bCs/>
          <w:color w:val="002060"/>
          <w:sz w:val="16"/>
          <w:szCs w:val="16"/>
        </w:rPr>
      </w:pPr>
      <w:r w:rsidRPr="00405303">
        <w:rPr>
          <w:bCs/>
          <w:color w:val="002060"/>
          <w:sz w:val="16"/>
          <w:szCs w:val="16"/>
        </w:rPr>
        <w:t>Самолеты с моторами Гном 9 показали высокие качества скороподъемности и скорости, но с одним летчиком, в то же время их устойчивость и управляемость с двумя летчиками были нормальными, что позволяло их использовать по основному назначению – для тренировки пилотов ЭВК. С формированием Летной школы ЭВК передан в ее состав (к середине января 1916 г. самолет все еще не был принят в казну и оплачен).</w:t>
      </w:r>
    </w:p>
    <w:p w14:paraId="2DC6C4AF" w14:textId="77777777" w:rsidR="00063C82" w:rsidRPr="00405303" w:rsidRDefault="00063C82" w:rsidP="00C15251">
      <w:pPr>
        <w:jc w:val="both"/>
        <w:rPr>
          <w:bCs/>
          <w:color w:val="002060"/>
          <w:sz w:val="16"/>
          <w:szCs w:val="16"/>
        </w:rPr>
      </w:pPr>
      <w:r w:rsidRPr="00405303">
        <w:rPr>
          <w:bCs/>
          <w:color w:val="002060"/>
          <w:sz w:val="16"/>
          <w:szCs w:val="16"/>
        </w:rPr>
        <w:t>В ходе эксплуатации на самолете делались доработки:</w:t>
      </w:r>
    </w:p>
    <w:p w14:paraId="3D742F5D" w14:textId="77777777" w:rsidR="00063C82" w:rsidRPr="00405303" w:rsidRDefault="00063C82" w:rsidP="00C15251">
      <w:pPr>
        <w:jc w:val="both"/>
        <w:rPr>
          <w:bCs/>
          <w:color w:val="002060"/>
          <w:sz w:val="16"/>
          <w:szCs w:val="16"/>
        </w:rPr>
      </w:pPr>
      <w:r w:rsidRPr="00405303">
        <w:rPr>
          <w:bCs/>
          <w:color w:val="002060"/>
          <w:sz w:val="16"/>
          <w:szCs w:val="16"/>
        </w:rPr>
        <w:t>- был установлен 7-цилиндровый ротативный мотор Гном «Моносупап-А», 80 л.с.;</w:t>
      </w:r>
    </w:p>
    <w:p w14:paraId="2D49C8B2" w14:textId="77777777" w:rsidR="00063C82" w:rsidRPr="00405303" w:rsidRDefault="00063C82" w:rsidP="00C15251">
      <w:pPr>
        <w:jc w:val="both"/>
        <w:rPr>
          <w:bCs/>
          <w:color w:val="002060"/>
          <w:sz w:val="16"/>
          <w:szCs w:val="16"/>
        </w:rPr>
      </w:pPr>
      <w:r w:rsidRPr="00405303">
        <w:rPr>
          <w:bCs/>
          <w:color w:val="002060"/>
          <w:sz w:val="16"/>
          <w:szCs w:val="16"/>
        </w:rPr>
        <w:t>- перед кабиной был установлен козырек из целлулоида, а за ней – высокая спинка, с которой инструктору (летнабу) сидеть стало удобнее, но скорость самолета понизилась (23557).</w:t>
      </w:r>
    </w:p>
    <w:p w14:paraId="02A51A34" w14:textId="77777777" w:rsidR="00063C82" w:rsidRPr="00405303" w:rsidRDefault="00063C82" w:rsidP="00C15251">
      <w:pPr>
        <w:jc w:val="both"/>
        <w:rPr>
          <w:bCs/>
          <w:color w:val="002060"/>
          <w:sz w:val="16"/>
          <w:szCs w:val="16"/>
        </w:rPr>
      </w:pPr>
    </w:p>
    <w:p w14:paraId="11A304F2" w14:textId="195CD913" w:rsidR="00F7159E" w:rsidRPr="00405303" w:rsidRDefault="00F7159E" w:rsidP="00F7159E">
      <w:pPr>
        <w:jc w:val="both"/>
        <w:rPr>
          <w:color w:val="0070C0"/>
          <w:sz w:val="16"/>
          <w:szCs w:val="16"/>
        </w:rPr>
      </w:pPr>
      <w:r w:rsidRPr="00405303">
        <w:rPr>
          <w:color w:val="0070C0"/>
          <w:sz w:val="16"/>
          <w:szCs w:val="16"/>
        </w:rPr>
        <w:t>6 (19) марта и 19 марта (2 апреля) 1915 г. вместе с самолетами «Илья Муромец» из РБВЗ были отгружены в Эскадру С-16 с заводскими номерами 155 и 156 соответственно, Прибыли они в Эскадру, как и No. 154, без моторов.</w:t>
      </w:r>
    </w:p>
    <w:p w14:paraId="36016C24" w14:textId="77777777" w:rsidR="00F7159E" w:rsidRPr="00405303" w:rsidRDefault="00F7159E" w:rsidP="00F7159E">
      <w:pPr>
        <w:jc w:val="both"/>
        <w:rPr>
          <w:color w:val="0070C0"/>
          <w:sz w:val="16"/>
          <w:szCs w:val="16"/>
        </w:rPr>
      </w:pPr>
      <w:r w:rsidRPr="00405303">
        <w:rPr>
          <w:color w:val="0070C0"/>
          <w:sz w:val="16"/>
          <w:szCs w:val="16"/>
        </w:rPr>
        <w:t>От первого С-16 No. 154 аппараты No. 155 и 156 отличались конструкцией крыльев. Если у No. 154 они имели небольшую стреловидность, то на двух других аппаратах крылья были прямыми с большим попереч</w:t>
      </w:r>
      <w:r w:rsidRPr="00405303">
        <w:rPr>
          <w:color w:val="0070C0"/>
          <w:sz w:val="16"/>
          <w:szCs w:val="16"/>
        </w:rPr>
        <w:softHyphen/>
        <w:t>ным V. Размах крыльев у всех самолетов был примерно одинаков. Кроме того, капоты их двигателей имели характерные скулы-зализы.</w:t>
      </w:r>
    </w:p>
    <w:p w14:paraId="6F9E6BB4" w14:textId="77777777" w:rsidR="00F7159E" w:rsidRPr="00405303" w:rsidRDefault="00F7159E" w:rsidP="00F7159E">
      <w:pPr>
        <w:jc w:val="both"/>
        <w:rPr>
          <w:color w:val="0070C0"/>
          <w:sz w:val="16"/>
          <w:szCs w:val="16"/>
        </w:rPr>
      </w:pPr>
      <w:r w:rsidRPr="00405303">
        <w:rPr>
          <w:color w:val="0070C0"/>
          <w:sz w:val="16"/>
          <w:szCs w:val="16"/>
        </w:rPr>
        <w:t>Для первых трех С-16 двигатели удалось достать. Их взяли из числа поступивших с центральных складов для учебных «фарманов», присылаемых для школы Эскадры в начале 1915 г. На самолетах No. 154 и 155 были установлены двигатели « Гном-80», а для No. 156 удалось раздобыть один из первых русских авиамоторов «Калеп» мощностью в 60 л.с. Меньшая по сравнению с предполагавшимися к установке «гномами» и «ронами» мощность вызвала необходимость переделки С-16 с заводским No. 156. Верхнее крыло стало существенно больше в размахе (свыше 10 м), в результате чего площадь крыльев возросла более чем на четыре с половиной квадратных метра. Элероны на нижнем крыле были упразднены, а на верхнем увеличены. Так появилась новая модификация С-16, имевшая в отличие от предшественников - «чистых» бипланов - схему полутораплана (25049).</w:t>
      </w:r>
    </w:p>
    <w:p w14:paraId="2B96D54C" w14:textId="77777777" w:rsidR="00F7159E" w:rsidRPr="00405303" w:rsidRDefault="00F7159E" w:rsidP="00F7159E">
      <w:pPr>
        <w:jc w:val="both"/>
        <w:rPr>
          <w:color w:val="0070C0"/>
          <w:sz w:val="16"/>
          <w:szCs w:val="16"/>
        </w:rPr>
      </w:pPr>
    </w:p>
    <w:p w14:paraId="68170419" w14:textId="14367F4E" w:rsidR="004B4E35" w:rsidRPr="00405303" w:rsidRDefault="009E6F82" w:rsidP="00C15251">
      <w:pPr>
        <w:jc w:val="both"/>
        <w:rPr>
          <w:bCs/>
          <w:color w:val="002060"/>
          <w:sz w:val="16"/>
          <w:szCs w:val="16"/>
        </w:rPr>
      </w:pPr>
      <w:r w:rsidRPr="00405303">
        <w:rPr>
          <w:bCs/>
          <w:color w:val="002060"/>
          <w:sz w:val="16"/>
          <w:szCs w:val="16"/>
        </w:rPr>
        <w:t>6 (19) и 19 марта</w:t>
      </w:r>
      <w:r w:rsidR="00063C82" w:rsidRPr="00405303">
        <w:rPr>
          <w:bCs/>
          <w:color w:val="002060"/>
          <w:sz w:val="16"/>
          <w:szCs w:val="16"/>
        </w:rPr>
        <w:t xml:space="preserve"> </w:t>
      </w:r>
      <w:r w:rsidRPr="00405303">
        <w:rPr>
          <w:bCs/>
          <w:color w:val="002060"/>
          <w:sz w:val="16"/>
          <w:szCs w:val="16"/>
        </w:rPr>
        <w:t xml:space="preserve">(2 апреля) 1915 </w:t>
      </w:r>
      <w:r w:rsidR="00B04221" w:rsidRPr="00405303">
        <w:rPr>
          <w:bCs/>
          <w:color w:val="002060"/>
          <w:sz w:val="16"/>
          <w:szCs w:val="16"/>
        </w:rPr>
        <w:t xml:space="preserve">два опытных самолеты С-16 с заводскими номерами 155 и 156 были отгружены в Эскадру </w:t>
      </w:r>
      <w:r w:rsidRPr="00405303">
        <w:rPr>
          <w:bCs/>
          <w:color w:val="002060"/>
          <w:sz w:val="16"/>
          <w:szCs w:val="16"/>
        </w:rPr>
        <w:t>вместе с самолетами «Илья Муромец</w:t>
      </w:r>
      <w:proofErr w:type="gramStart"/>
      <w:r w:rsidRPr="00405303">
        <w:rPr>
          <w:bCs/>
          <w:color w:val="002060"/>
          <w:sz w:val="16"/>
          <w:szCs w:val="16"/>
        </w:rPr>
        <w:t>» ,</w:t>
      </w:r>
      <w:proofErr w:type="gramEnd"/>
      <w:r w:rsidRPr="00405303">
        <w:rPr>
          <w:bCs/>
          <w:color w:val="002060"/>
          <w:sz w:val="16"/>
          <w:szCs w:val="16"/>
        </w:rPr>
        <w:t xml:space="preserve"> С-10 и С-12. Прибыли они в Эскадру, как и Nо. 154, без моторов. От первого С-16 Nо. 154 аппараты Nо. 155 и 156 отличались конструкцией крыльев. Если у Nо. 154 они имели небольшую стреловидность, то на двух других аппаратах крылья были прямыми с большим поперечным Ч. Размах крыльев у всех самолетов был примерно одинаков. </w:t>
      </w:r>
      <w:r w:rsidR="00B42A0C" w:rsidRPr="00405303">
        <w:rPr>
          <w:bCs/>
          <w:color w:val="002060"/>
          <w:sz w:val="16"/>
          <w:szCs w:val="16"/>
        </w:rPr>
        <w:t>К</w:t>
      </w:r>
      <w:r w:rsidRPr="00405303">
        <w:rPr>
          <w:bCs/>
          <w:color w:val="002060"/>
          <w:sz w:val="16"/>
          <w:szCs w:val="16"/>
        </w:rPr>
        <w:t>роме того, капоты их двигателей имели характерные скулы-зализы. «Моторный голод» был неизлечимой болезнью, преследовавшей И, И. Сикорского в его деятельности в течение всей первой мировой войны. Причем если для тяжелых воздушных кораблей проблема с двигателями к концу 1916 г. была в общем решена, то для малых аппаратов Сикорского отсутствие необходимых моторов оказалось неразрешимой проблемой (11188).</w:t>
      </w:r>
    </w:p>
    <w:p w14:paraId="56052FF3" w14:textId="77777777" w:rsidR="004B4E35" w:rsidRPr="00405303" w:rsidRDefault="004B4E35" w:rsidP="00C15251">
      <w:pPr>
        <w:jc w:val="both"/>
        <w:rPr>
          <w:bCs/>
          <w:color w:val="002060"/>
          <w:sz w:val="16"/>
          <w:szCs w:val="16"/>
        </w:rPr>
      </w:pPr>
    </w:p>
    <w:bookmarkEnd w:id="69"/>
    <w:p w14:paraId="200D5EFC" w14:textId="77777777" w:rsidR="00B42A0C" w:rsidRPr="00405303" w:rsidRDefault="00B42A0C" w:rsidP="00C15251">
      <w:pPr>
        <w:jc w:val="both"/>
        <w:rPr>
          <w:bCs/>
          <w:i/>
          <w:color w:val="002060"/>
          <w:sz w:val="16"/>
          <w:szCs w:val="16"/>
        </w:rPr>
      </w:pPr>
      <w:r w:rsidRPr="00405303">
        <w:rPr>
          <w:bCs/>
          <w:i/>
          <w:color w:val="002060"/>
          <w:sz w:val="16"/>
          <w:szCs w:val="16"/>
        </w:rPr>
        <w:t>Другие оборонные отрасли:</w:t>
      </w:r>
    </w:p>
    <w:p w14:paraId="3C01BDFE" w14:textId="77777777" w:rsidR="00B42A0C" w:rsidRPr="00405303" w:rsidRDefault="00B42A0C" w:rsidP="00C15251">
      <w:pPr>
        <w:jc w:val="both"/>
        <w:rPr>
          <w:bCs/>
          <w:i/>
          <w:color w:val="002060"/>
          <w:sz w:val="16"/>
          <w:szCs w:val="16"/>
        </w:rPr>
      </w:pPr>
    </w:p>
    <w:p w14:paraId="29E287F3" w14:textId="27A8F022" w:rsidR="00B42A0C" w:rsidRPr="00405303" w:rsidRDefault="00B42A0C" w:rsidP="00C15251">
      <w:pPr>
        <w:pStyle w:val="p1"/>
        <w:spacing w:before="0" w:beforeAutospacing="0" w:after="0" w:afterAutospacing="0"/>
        <w:jc w:val="both"/>
        <w:rPr>
          <w:bCs/>
          <w:color w:val="002060"/>
          <w:sz w:val="16"/>
          <w:szCs w:val="16"/>
        </w:rPr>
      </w:pPr>
      <w:r w:rsidRPr="00405303">
        <w:rPr>
          <w:bCs/>
          <w:color w:val="002060"/>
          <w:sz w:val="16"/>
          <w:szCs w:val="16"/>
        </w:rPr>
        <w:t xml:space="preserve">6 </w:t>
      </w:r>
      <w:r w:rsidR="00B04221" w:rsidRPr="00405303">
        <w:rPr>
          <w:bCs/>
          <w:color w:val="002060"/>
          <w:sz w:val="16"/>
          <w:szCs w:val="16"/>
        </w:rPr>
        <w:t xml:space="preserve">(19) </w:t>
      </w:r>
      <w:r w:rsidRPr="00405303">
        <w:rPr>
          <w:bCs/>
          <w:color w:val="002060"/>
          <w:sz w:val="16"/>
          <w:szCs w:val="16"/>
        </w:rPr>
        <w:t>марта 1915</w:t>
      </w:r>
      <w:r w:rsidR="00B04221" w:rsidRPr="00405303">
        <w:rPr>
          <w:bCs/>
          <w:color w:val="002060"/>
          <w:sz w:val="16"/>
          <w:szCs w:val="16"/>
        </w:rPr>
        <w:t xml:space="preserve"> г.</w:t>
      </w:r>
      <w:r w:rsidRPr="00405303">
        <w:rPr>
          <w:bCs/>
          <w:color w:val="002060"/>
          <w:sz w:val="16"/>
          <w:szCs w:val="16"/>
        </w:rPr>
        <w:t xml:space="preserve"> Сухомлинов на заседании Совета министров попросил управляющего делами И.Н. Лодыженского принять и выслушать представителя РАОАЗ П.И. Балинского, чтобы устранить «недоразумение». Ни беседа с Лодыженским (ей предшествовал телефонный звонок ему от великого князя Сергея Михайловича: Балинский «доверия не внушает», с ним надо держать себя осторожно, ни визит Балинского к председателю Совета министров И.Л. Горемыкину не дали результата.</w:t>
      </w:r>
    </w:p>
    <w:p w14:paraId="72864479" w14:textId="77777777" w:rsidR="00B42A0C" w:rsidRPr="00405303" w:rsidRDefault="00B42A0C" w:rsidP="00C15251">
      <w:pPr>
        <w:pStyle w:val="p1"/>
        <w:spacing w:before="0" w:beforeAutospacing="0" w:after="0" w:afterAutospacing="0"/>
        <w:jc w:val="both"/>
        <w:rPr>
          <w:bCs/>
          <w:color w:val="002060"/>
          <w:sz w:val="16"/>
          <w:szCs w:val="16"/>
        </w:rPr>
      </w:pPr>
      <w:r w:rsidRPr="00405303">
        <w:rPr>
          <w:bCs/>
          <w:color w:val="002060"/>
          <w:sz w:val="16"/>
          <w:szCs w:val="16"/>
        </w:rPr>
        <w:t>Не больше успеха имели и другие предложения частных предпринимателей (к тому времени поступили предложения от а. о. «Пулемет», группы Русско-Азиатского банка и ряд других). «Главным мотивом» отказа великий князь выдвигал тот факт, что срок готовности заводов слишком отдален и «в нынешнюю войну эти заводы никакой пользы принести не могут», тогда как «цены у всех предпринимателей поставлены военного времени»; они хотят путем контракта закрепить эти повышенные цены на долгое время, так как «прекрасно сознают, что по окончании первого заказа им придется либо закрыть завод, либо довольствоваться самыми ничтожными заказами». «Еще аргумент, говорящий против допущения постройки частного завода»: частный завод, не имея своего подготовленного технического персонала, будет переманивать инженеров и хороших мастеров «из наших заводов».</w:t>
      </w:r>
    </w:p>
    <w:p w14:paraId="23FDD5F0" w14:textId="77777777" w:rsidR="00B42A0C" w:rsidRPr="00405303" w:rsidRDefault="00B42A0C" w:rsidP="00C15251">
      <w:pPr>
        <w:pStyle w:val="p1"/>
        <w:spacing w:before="0" w:beforeAutospacing="0" w:after="0" w:afterAutospacing="0"/>
        <w:jc w:val="both"/>
        <w:rPr>
          <w:bCs/>
          <w:color w:val="002060"/>
          <w:sz w:val="16"/>
          <w:szCs w:val="16"/>
        </w:rPr>
      </w:pPr>
      <w:r w:rsidRPr="00405303">
        <w:rPr>
          <w:bCs/>
          <w:color w:val="002060"/>
          <w:sz w:val="16"/>
          <w:szCs w:val="16"/>
        </w:rPr>
        <w:t>Общее заключение великого князя сводилось к тому, что «все внесенные предложения следует отклонить» и надлежит «ассигновать теперь же достаточные кредиты на развитие существующих заводов до производительности 1500 тысяч винтовок в год»; «немедленно приступить к постройке и оборудованию нового сталелитейного завода для отливки ствольных болванок»; купить в Америке оборудование и построить четвертый казенный ружейный завод. «Обладая такими мощными заводами, мы совершенно освободимся в ружейном деле от частной промышленности и заграничных заказов» (18409).</w:t>
      </w:r>
    </w:p>
    <w:p w14:paraId="5C0514F4" w14:textId="77777777" w:rsidR="00B42A0C" w:rsidRPr="00405303" w:rsidRDefault="00B42A0C" w:rsidP="00C15251">
      <w:pPr>
        <w:pStyle w:val="p1"/>
        <w:spacing w:before="0" w:beforeAutospacing="0" w:after="0" w:afterAutospacing="0"/>
        <w:jc w:val="both"/>
        <w:rPr>
          <w:bCs/>
          <w:color w:val="002060"/>
          <w:sz w:val="16"/>
          <w:szCs w:val="16"/>
        </w:rPr>
      </w:pPr>
    </w:p>
    <w:p w14:paraId="28C18F44" w14:textId="5ED0A4D9" w:rsidR="002B5E9B" w:rsidRPr="00405303" w:rsidRDefault="002B5E9B" w:rsidP="00C15251">
      <w:pPr>
        <w:jc w:val="both"/>
        <w:rPr>
          <w:bCs/>
          <w:color w:val="002060"/>
          <w:sz w:val="16"/>
          <w:szCs w:val="16"/>
          <w:shd w:val="clear" w:color="auto" w:fill="FFFFFF"/>
        </w:rPr>
      </w:pPr>
      <w:r w:rsidRPr="00405303">
        <w:rPr>
          <w:bCs/>
          <w:color w:val="002060"/>
          <w:sz w:val="16"/>
          <w:szCs w:val="16"/>
          <w:shd w:val="clear" w:color="auto" w:fill="FFFFFF"/>
        </w:rPr>
        <w:t>6 (19) марта 1915</w:t>
      </w:r>
      <w:r w:rsidR="00B04221" w:rsidRPr="00405303">
        <w:rPr>
          <w:bCs/>
          <w:color w:val="002060"/>
          <w:sz w:val="16"/>
          <w:szCs w:val="16"/>
          <w:shd w:val="clear" w:color="auto" w:fill="FFFFFF"/>
        </w:rPr>
        <w:t xml:space="preserve"> </w:t>
      </w:r>
      <w:r w:rsidRPr="00405303">
        <w:rPr>
          <w:bCs/>
          <w:color w:val="002060"/>
          <w:sz w:val="16"/>
          <w:szCs w:val="16"/>
          <w:shd w:val="clear" w:color="auto" w:fill="FFFFFF"/>
        </w:rPr>
        <w:t>г. Васильев подал в ГВТУ чертежи и модель невязнущей повозки с описанием и объяснением, что это годно для больших бронеавтомобилей… 17 января 1917 он писал: Случайно прочитав в журнале описание и чертежи английского бронированного автомобиля типа «tanks», я с удивлением заметил поразительное сходство с моим изобретением. Васильев с горечью спрашивал: – Почему изобретение русское остается без результатов, а точно такое у иностранцев производит сенсацию?» Тот же праведный гнев и снова – «точно такое изобретение». Васильев тоже не был однолюбом в технике: в том же марте 1915 г. он предлагал военному ведомству еще и «колесные коньки для солдат», «самодвижущийся фугас», «перископ для ружья и пулемета». Эти изобретения были отвергнуты, но сейчас негодование изобретателя вызвало непризнание именно «невязнущей повозки». Обратимся, однако, к справке Технического Комитета ГВТУ: «Изобретатель Васильев 6 марта 1915 г. представил в Технический Комитет модель колесной повозки, поставленной на бесконечные ведущие ленты с указанием, что такое устройство могло бы найти также применение для аэропланов типа «Илья Муромец» (вспомним гусеницу Пороховщикова для «Би-Кок» – С.Ф.) и автомобиля. Технический Комитет по Журналу от 17 марта 1915 г. за № 203 признал, что предлагаемое приспособление… для передвижения повозок по вязкой почве для военного ведомства неприемлемо… Идею повозки Васильева отнюдь нельзя считать русской, т.к. применение бесконечных ведущих лент к повозке было сделано в Америке лет на 10 раньше г. Васильева. В 1912г. в России уже было в работах несколько десятков тракторов гусеничной системы завода Holt». Относительно давности идеи гусеничного трактора и первенства «Холт» с членами Технического Комитета можно поспорить, но это уже не относится к нашей теме. Упомянем только, что военному ведомству тракторы «Холт» были знакомы еще перед войной – в 1913г. они испытывались на главном артиллерийском полигоне (20250).</w:t>
      </w:r>
    </w:p>
    <w:p w14:paraId="24A1F5D4" w14:textId="77777777" w:rsidR="002B5E9B" w:rsidRPr="00405303" w:rsidRDefault="002B5E9B" w:rsidP="00C15251">
      <w:pPr>
        <w:jc w:val="both"/>
        <w:rPr>
          <w:bCs/>
          <w:color w:val="002060"/>
          <w:sz w:val="16"/>
          <w:szCs w:val="16"/>
          <w:shd w:val="clear" w:color="auto" w:fill="FFFFFF"/>
        </w:rPr>
      </w:pPr>
    </w:p>
    <w:p w14:paraId="74607C7C" w14:textId="77777777" w:rsidR="002B5E9B" w:rsidRPr="00405303" w:rsidRDefault="002B5E9B" w:rsidP="00C15251">
      <w:pPr>
        <w:jc w:val="both"/>
        <w:rPr>
          <w:bCs/>
          <w:color w:val="002060"/>
          <w:sz w:val="16"/>
          <w:szCs w:val="16"/>
          <w:shd w:val="clear" w:color="auto" w:fill="FFFFFF"/>
        </w:rPr>
      </w:pPr>
      <w:r w:rsidRPr="00405303">
        <w:rPr>
          <w:bCs/>
          <w:color w:val="002060"/>
          <w:sz w:val="16"/>
          <w:szCs w:val="16"/>
          <w:shd w:val="clear" w:color="auto" w:fill="FFFFFF"/>
        </w:rPr>
        <w:t>6 (19) марта 1915 г. в справке Технического Комитета ГВТУ говорилосб: «Изобретатель Васильев представил в Технический Комитет модель колесной повозки, поставленной на бесконечные ведущие ленты с указанием, что такое устройство могло бы найти также применение для аэропланов типа «Илья Муромец» (вспомним гусеницу Пороховщикова для «Би-Кок») и автомобиля. Технический Комитет по Журналу от 17 марта 1915 г. за № 203 признал, что предлагаемое приспособление… для передвижения повозок по вязкой почве для военного ведомства неприемлемо… Идею повозки Васильева отнюдь нельзя считать русской, т.к. применение бесконечных ведущих лент к повозке было сделано в Америке лет на 10 раньше г. Васильева. В 1912г. в России уже было в работах несколько десятков тракторов гусеничной системы завода Holt». Относительно давности идеи гусеничного трактора и первенства «Холт» с членами Технического Комитета можно поспорить, но это уже не относится к нашей теме. Упомянем только, что военному ведомству тракторы «Холт» были знакомы еще перед войной – в 1913г. они испытывались на главном артиллерийском полигоне (20250).</w:t>
      </w:r>
    </w:p>
    <w:p w14:paraId="3494A346" w14:textId="77777777" w:rsidR="002B5E9B" w:rsidRPr="00405303" w:rsidRDefault="002B5E9B" w:rsidP="00C15251">
      <w:pPr>
        <w:jc w:val="both"/>
        <w:rPr>
          <w:bCs/>
          <w:color w:val="002060"/>
          <w:sz w:val="16"/>
          <w:szCs w:val="16"/>
          <w:shd w:val="clear" w:color="auto" w:fill="FFFFFF"/>
        </w:rPr>
      </w:pPr>
    </w:p>
    <w:p w14:paraId="2BD696C5" w14:textId="77777777" w:rsidR="00F7159E" w:rsidRPr="00405303" w:rsidRDefault="00F7159E" w:rsidP="00F7159E">
      <w:pPr>
        <w:jc w:val="both"/>
        <w:rPr>
          <w:color w:val="0070C0"/>
          <w:sz w:val="16"/>
          <w:szCs w:val="16"/>
        </w:rPr>
      </w:pPr>
      <w:r w:rsidRPr="00405303">
        <w:rPr>
          <w:color w:val="0070C0"/>
          <w:sz w:val="16"/>
          <w:szCs w:val="16"/>
        </w:rPr>
        <w:t>6 (19) марта 1915 года ГУГШ указало ГВТУ на необходимость, вследствие требования Ставки, заказать 3.000 складных велосипедов (самокатов).</w:t>
      </w:r>
    </w:p>
    <w:p w14:paraId="6262D78F" w14:textId="77777777" w:rsidR="00F7159E" w:rsidRPr="00405303" w:rsidRDefault="00F7159E" w:rsidP="00F7159E">
      <w:pPr>
        <w:jc w:val="both"/>
        <w:rPr>
          <w:color w:val="0070C0"/>
          <w:sz w:val="16"/>
          <w:szCs w:val="16"/>
        </w:rPr>
      </w:pPr>
      <w:r w:rsidRPr="00405303">
        <w:rPr>
          <w:color w:val="0070C0"/>
          <w:sz w:val="16"/>
          <w:szCs w:val="16"/>
        </w:rPr>
        <w:t>В виду всех этих требований и указаний, ГВТУ внесло в Военный Совет представление (15 апреля 1915 года за № 1659/1838), в котором исчислило вновь возникшую по</w:t>
      </w:r>
      <w:r w:rsidRPr="00405303">
        <w:rPr>
          <w:color w:val="0070C0"/>
          <w:sz w:val="16"/>
          <w:szCs w:val="16"/>
        </w:rPr>
        <w:softHyphen/>
        <w:t>требность армии в самодвижущихся повозках в таких циф</w:t>
      </w:r>
      <w:r w:rsidRPr="00405303">
        <w:rPr>
          <w:color w:val="0070C0"/>
          <w:sz w:val="16"/>
          <w:szCs w:val="16"/>
        </w:rPr>
        <w:softHyphen/>
        <w:t>рах: 3.217 автомобилей, 65 тракторов, 3.000 мотоциклетов и 3.000 самокатов.</w:t>
      </w:r>
    </w:p>
    <w:p w14:paraId="04F47A8B" w14:textId="77777777" w:rsidR="00F7159E" w:rsidRPr="00405303" w:rsidRDefault="00F7159E" w:rsidP="00F7159E">
      <w:pPr>
        <w:jc w:val="both"/>
        <w:rPr>
          <w:color w:val="0070C0"/>
          <w:sz w:val="16"/>
          <w:szCs w:val="16"/>
        </w:rPr>
      </w:pPr>
      <w:r w:rsidRPr="00405303">
        <w:rPr>
          <w:color w:val="0070C0"/>
          <w:sz w:val="16"/>
          <w:szCs w:val="16"/>
        </w:rPr>
        <w:t>Относительно способа заготовки этого имущества ГВТУ в представлении высказало мнение, что для получения самодвижущихся повозок к июлю—-августу 1915 года не</w:t>
      </w:r>
      <w:r w:rsidRPr="00405303">
        <w:rPr>
          <w:color w:val="0070C0"/>
          <w:sz w:val="16"/>
          <w:szCs w:val="16"/>
        </w:rPr>
        <w:softHyphen/>
        <w:t>обходимо распределить заказы между заводами Франции, Италии, Швейцарии, Англии, Америки и отчасти Японии и что для заказов в Америке оно считает вполне целесо</w:t>
      </w:r>
      <w:r w:rsidRPr="00405303">
        <w:rPr>
          <w:color w:val="0070C0"/>
          <w:sz w:val="16"/>
          <w:szCs w:val="16"/>
        </w:rPr>
        <w:softHyphen/>
        <w:t>образным использовать право увеличения заказов на 25% по тем контрактам, которые уже заключены с банкирским домом «Маврикий Нелькен» и с Гастоном, (каковым спо</w:t>
      </w:r>
      <w:r w:rsidRPr="00405303">
        <w:rPr>
          <w:color w:val="0070C0"/>
          <w:sz w:val="16"/>
          <w:szCs w:val="16"/>
        </w:rPr>
        <w:softHyphen/>
        <w:t>собом возможно заготовить около 900 автомобилей), так как заготовка через этих посредников желательна и выгодна в смысле соблюдения однотипности машин. Затем, если бы понадобилось сделать какие-либо заказы в Америке, то, по мнению управления, эти заказы можно было бы произ</w:t>
      </w:r>
      <w:r w:rsidRPr="00405303">
        <w:rPr>
          <w:color w:val="0070C0"/>
          <w:sz w:val="16"/>
          <w:szCs w:val="16"/>
        </w:rPr>
        <w:softHyphen/>
        <w:t>вести через посредство лиц, командированных туда для технической приемки на заводах уже заказанных авто</w:t>
      </w:r>
      <w:r w:rsidRPr="00405303">
        <w:rPr>
          <w:color w:val="0070C0"/>
          <w:sz w:val="16"/>
          <w:szCs w:val="16"/>
        </w:rPr>
        <w:softHyphen/>
        <w:t>мобилей (24923).</w:t>
      </w:r>
    </w:p>
    <w:p w14:paraId="320DE80F" w14:textId="77777777" w:rsidR="00F7159E" w:rsidRPr="00405303" w:rsidRDefault="00F7159E" w:rsidP="00F7159E">
      <w:pPr>
        <w:jc w:val="both"/>
        <w:rPr>
          <w:color w:val="0070C0"/>
          <w:sz w:val="16"/>
          <w:szCs w:val="16"/>
        </w:rPr>
      </w:pPr>
    </w:p>
    <w:p w14:paraId="4A01BA65"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3F5881CB" w14:textId="77777777" w:rsidR="004B4E35" w:rsidRPr="00405303" w:rsidRDefault="004B4E35" w:rsidP="00C15251">
      <w:pPr>
        <w:jc w:val="both"/>
        <w:rPr>
          <w:bCs/>
          <w:i/>
          <w:color w:val="002060"/>
          <w:sz w:val="16"/>
          <w:szCs w:val="16"/>
        </w:rPr>
      </w:pPr>
    </w:p>
    <w:p w14:paraId="41781F10" w14:textId="77777777" w:rsidR="004B4E35" w:rsidRPr="00405303" w:rsidRDefault="009E6F82" w:rsidP="00C15251">
      <w:pPr>
        <w:jc w:val="both"/>
        <w:rPr>
          <w:bCs/>
          <w:color w:val="002060"/>
          <w:sz w:val="16"/>
          <w:szCs w:val="16"/>
        </w:rPr>
      </w:pPr>
      <w:r w:rsidRPr="00405303">
        <w:rPr>
          <w:bCs/>
          <w:color w:val="002060"/>
          <w:sz w:val="16"/>
          <w:szCs w:val="16"/>
        </w:rPr>
        <w:t>6 (19) марта 1915 - во время очередного рейда немецких бомбардировщиков И. Сикорский едва не был ранен. Бомба упала близко к тому месту, где находились он и механик, прикомандированный от фабрики РБВЗ. Механик был тяжело ранен осколками разорвавшейся бомбы. Помимо бомб, немцы также бросали флешетты (стрелы с заточенным концом) с надписью "Invention francaise, fabrication allemande" (изобретено во Франции, сделано в Германии). Эти флешетты, которые обладали значительной пробивающей способностью, обычно не приносили большого вреда, но производили неприятное впечатление на тех, кто находился на земле.</w:t>
      </w:r>
    </w:p>
    <w:p w14:paraId="384C8C3E" w14:textId="77777777" w:rsidR="004B4E35" w:rsidRPr="00405303" w:rsidRDefault="009E6F82" w:rsidP="00C15251">
      <w:pPr>
        <w:jc w:val="both"/>
        <w:rPr>
          <w:bCs/>
          <w:color w:val="002060"/>
          <w:sz w:val="16"/>
          <w:szCs w:val="16"/>
        </w:rPr>
      </w:pPr>
      <w:r w:rsidRPr="00405303">
        <w:rPr>
          <w:bCs/>
          <w:color w:val="002060"/>
          <w:sz w:val="16"/>
          <w:szCs w:val="16"/>
        </w:rPr>
        <w:t>Капитан Горшков вылетел на самолете "Илья Муромец" с целью произвести разведку Северного Прасныша, разыскать батареи неприятеля, сфотографировать их и произвести бомбардировку Вилленбурга. Полет продолжался около 4-х часов на высоте 3000 м. На Вилленбург было сброшено 10 бомб, одна из них попала в полотно железной дороги, бомбежке подверглись также аэродром и обозы противника. Из донесения командованию стало ясно, что весь район обследования представляет собой сильно укрепленные германские позиции; разведчики предоставили 17 фотоснимков с указанием артиллерийских точек.</w:t>
      </w:r>
    </w:p>
    <w:p w14:paraId="6BAD01C9" w14:textId="77777777" w:rsidR="004B4E35" w:rsidRPr="00405303" w:rsidRDefault="009E6F82" w:rsidP="00C15251">
      <w:pPr>
        <w:jc w:val="both"/>
        <w:rPr>
          <w:bCs/>
          <w:color w:val="002060"/>
          <w:sz w:val="16"/>
          <w:szCs w:val="16"/>
        </w:rPr>
      </w:pPr>
      <w:r w:rsidRPr="00405303">
        <w:rPr>
          <w:bCs/>
          <w:color w:val="002060"/>
          <w:sz w:val="16"/>
          <w:szCs w:val="16"/>
        </w:rPr>
        <w:t>Телеграмма в штаб армии: "Прибывший агент из Вилленбурга показал, что за три полета "Илья Муромец" в городе и на станции произвел следующие разрушения: разрушёно станционное здание и пакгауз, 6 товарных вагонов и вагон коменданта, причем комендант ранен, в городе разрушено несколько домов, убито 2 офицера, 17 нижних чинов, 7 лошадей, в городе паника, жители в ясную погоду прячутся в погребах".</w:t>
      </w:r>
    </w:p>
    <w:p w14:paraId="672A5EFF" w14:textId="77777777" w:rsidR="004B4E35" w:rsidRPr="00405303" w:rsidRDefault="009E6F82" w:rsidP="00C15251">
      <w:pPr>
        <w:jc w:val="both"/>
        <w:rPr>
          <w:bCs/>
          <w:color w:val="002060"/>
          <w:sz w:val="16"/>
          <w:szCs w:val="16"/>
        </w:rPr>
      </w:pPr>
      <w:r w:rsidRPr="00405303">
        <w:rPr>
          <w:bCs/>
          <w:color w:val="002060"/>
          <w:sz w:val="16"/>
          <w:szCs w:val="16"/>
        </w:rPr>
        <w:t>В эскадрилью Брокара вступил добровольцем военный летчик Ведрин (11999).</w:t>
      </w:r>
    </w:p>
    <w:p w14:paraId="5F8B5AE4" w14:textId="77777777" w:rsidR="004B4E35" w:rsidRPr="00405303" w:rsidRDefault="004B4E35" w:rsidP="00C15251">
      <w:pPr>
        <w:jc w:val="both"/>
        <w:rPr>
          <w:bCs/>
          <w:color w:val="002060"/>
          <w:sz w:val="16"/>
          <w:szCs w:val="16"/>
        </w:rPr>
      </w:pPr>
    </w:p>
    <w:p w14:paraId="336EEB28" w14:textId="77777777" w:rsidR="003B52D0" w:rsidRPr="00405303" w:rsidRDefault="003B52D0" w:rsidP="003B52D0">
      <w:pPr>
        <w:jc w:val="both"/>
        <w:rPr>
          <w:color w:val="0070C0"/>
          <w:sz w:val="16"/>
          <w:szCs w:val="16"/>
        </w:rPr>
      </w:pPr>
      <w:r w:rsidRPr="00405303">
        <w:rPr>
          <w:color w:val="0070C0"/>
          <w:sz w:val="16"/>
          <w:szCs w:val="16"/>
        </w:rPr>
        <w:t>6 (19) марта 1915 г. «около 5 часов пополудни с германского аэроплана, пролетавшего над городом Гродно, сброшено 3 бомбы: первая упала во дворе дома Александровича по Хлебному переулку и повредила угол железной крыши на каменной пристройке дома, сбила штукатурку, выбила все стекла в доме названного Александровича и по несколько стекол в соседних домах; вторая упала в речку Городничанку на Фабричной улице, против дома Новицкого, не причинив никакого вреда, а третья – во двор городской скотобойни; последняя бомба не взорвалась и разряжена штабс-капитаном Гродненской крепостной артиллерии Гораиновым»</w:t>
      </w:r>
      <w:hyperlink r:id="rId27" w:anchor="idm139863441368400" w:history="1">
        <w:r w:rsidRPr="00405303">
          <w:rPr>
            <w:rStyle w:val="ad"/>
            <w:color w:val="0070C0"/>
            <w:sz w:val="16"/>
            <w:szCs w:val="16"/>
            <w:vertAlign w:val="superscript"/>
          </w:rPr>
          <w:t>97</w:t>
        </w:r>
      </w:hyperlink>
      <w:r w:rsidRPr="00405303">
        <w:rPr>
          <w:color w:val="0070C0"/>
          <w:sz w:val="16"/>
          <w:szCs w:val="16"/>
        </w:rPr>
        <w:t>.</w:t>
      </w:r>
    </w:p>
    <w:p w14:paraId="4140393E" w14:textId="77777777" w:rsidR="003B52D0" w:rsidRPr="00405303" w:rsidRDefault="003B52D0" w:rsidP="003B52D0">
      <w:pPr>
        <w:jc w:val="both"/>
        <w:rPr>
          <w:color w:val="0070C0"/>
          <w:sz w:val="16"/>
          <w:szCs w:val="16"/>
        </w:rPr>
      </w:pPr>
      <w:r w:rsidRPr="00405303">
        <w:rPr>
          <w:color w:val="0070C0"/>
          <w:sz w:val="16"/>
          <w:szCs w:val="16"/>
        </w:rPr>
        <w:t>Позднее воздушной бомбардировке вновь подвергся г. Белосток (без видимых разрушений) (25135).</w:t>
      </w:r>
    </w:p>
    <w:p w14:paraId="57E0E5F3" w14:textId="77777777" w:rsidR="003B52D0" w:rsidRPr="00405303" w:rsidRDefault="003B52D0" w:rsidP="003B52D0">
      <w:pPr>
        <w:jc w:val="both"/>
        <w:rPr>
          <w:color w:val="0070C0"/>
          <w:sz w:val="16"/>
          <w:szCs w:val="16"/>
        </w:rPr>
      </w:pPr>
    </w:p>
    <w:p w14:paraId="002AB925" w14:textId="77777777" w:rsidR="004B4E35" w:rsidRPr="00405303" w:rsidRDefault="009E6F82" w:rsidP="00C15251">
      <w:pPr>
        <w:jc w:val="both"/>
        <w:rPr>
          <w:bCs/>
          <w:i/>
          <w:color w:val="002060"/>
          <w:sz w:val="16"/>
          <w:szCs w:val="16"/>
        </w:rPr>
      </w:pPr>
      <w:r w:rsidRPr="00405303">
        <w:rPr>
          <w:bCs/>
          <w:i/>
          <w:color w:val="002060"/>
          <w:sz w:val="16"/>
          <w:szCs w:val="16"/>
        </w:rPr>
        <w:t>Воздухоплавание:</w:t>
      </w:r>
    </w:p>
    <w:p w14:paraId="020D6B87" w14:textId="77777777" w:rsidR="004B4E35" w:rsidRPr="00405303" w:rsidRDefault="004B4E35" w:rsidP="00C15251">
      <w:pPr>
        <w:jc w:val="both"/>
        <w:rPr>
          <w:bCs/>
          <w:i/>
          <w:color w:val="002060"/>
          <w:sz w:val="16"/>
          <w:szCs w:val="16"/>
        </w:rPr>
      </w:pPr>
    </w:p>
    <w:p w14:paraId="57E2DE8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6 (19) марта 1915 перед взятием нашими войсками Перемышля австрийцы выпустили из осажденной крепости три аэростата со знаменами, документами и почтой. Аэростаты были отнесены ветром в район Брест-Литовска, где и взяты в плен нашими войсками с 10 чле-ши экипажей (Воздушный справочник. 1915, стр.31).</w:t>
      </w:r>
    </w:p>
    <w:p w14:paraId="357FCA02" w14:textId="77777777" w:rsidR="004B4E35" w:rsidRPr="00405303" w:rsidRDefault="004B4E35" w:rsidP="00C15251">
      <w:pPr>
        <w:shd w:val="clear" w:color="auto" w:fill="FFFFFF"/>
        <w:jc w:val="both"/>
        <w:rPr>
          <w:bCs/>
          <w:color w:val="002060"/>
          <w:sz w:val="16"/>
          <w:szCs w:val="16"/>
        </w:rPr>
      </w:pPr>
    </w:p>
    <w:p w14:paraId="00B2E1B2" w14:textId="77777777" w:rsidR="00391C87" w:rsidRPr="00405303" w:rsidRDefault="00391C87" w:rsidP="00C15251">
      <w:pPr>
        <w:jc w:val="both"/>
        <w:rPr>
          <w:bCs/>
          <w:color w:val="002060"/>
          <w:sz w:val="16"/>
          <w:szCs w:val="16"/>
        </w:rPr>
      </w:pPr>
      <w:r w:rsidRPr="00405303">
        <w:rPr>
          <w:bCs/>
          <w:color w:val="002060"/>
          <w:sz w:val="16"/>
          <w:szCs w:val="16"/>
        </w:rPr>
        <w:t>6 (19) марта 1915 г. перед взятием нашими войсками Перемышля австрийцы выпу</w:t>
      </w:r>
      <w:r w:rsidRPr="00405303">
        <w:rPr>
          <w:bCs/>
          <w:color w:val="002060"/>
          <w:sz w:val="16"/>
          <w:szCs w:val="16"/>
        </w:rPr>
        <w:softHyphen/>
        <w:t>стили из осажденной крепости три аэростата со знаменами, документами и почтой. Аэростаты были отнесены ветром в район Брест-Литовска, где и взяты в плен нашими войсками с 10 членами экипажей.</w:t>
      </w:r>
    </w:p>
    <w:p w14:paraId="698920BC" w14:textId="77777777" w:rsidR="00391C87" w:rsidRPr="00405303" w:rsidRDefault="00391C87" w:rsidP="00C15251">
      <w:pPr>
        <w:jc w:val="both"/>
        <w:rPr>
          <w:bCs/>
          <w:color w:val="002060"/>
          <w:sz w:val="16"/>
          <w:szCs w:val="16"/>
        </w:rPr>
      </w:pPr>
      <w:r w:rsidRPr="00405303">
        <w:rPr>
          <w:bCs/>
          <w:color w:val="002060"/>
          <w:sz w:val="16"/>
          <w:szCs w:val="16"/>
        </w:rPr>
        <w:t xml:space="preserve">/Воздушный справочник, </w:t>
      </w:r>
      <w:proofErr w:type="gramStart"/>
      <w:r w:rsidRPr="00405303">
        <w:rPr>
          <w:bCs/>
          <w:color w:val="002060"/>
          <w:sz w:val="16"/>
          <w:szCs w:val="16"/>
        </w:rPr>
        <w:t>1915,стр.</w:t>
      </w:r>
      <w:proofErr w:type="gramEnd"/>
      <w:r w:rsidRPr="00405303">
        <w:rPr>
          <w:bCs/>
          <w:color w:val="002060"/>
          <w:sz w:val="16"/>
          <w:szCs w:val="16"/>
        </w:rPr>
        <w:t>31/ (23320).</w:t>
      </w:r>
    </w:p>
    <w:p w14:paraId="4CB9B98B" w14:textId="77777777" w:rsidR="00391C87" w:rsidRPr="00405303" w:rsidRDefault="00391C87" w:rsidP="00C15251">
      <w:pPr>
        <w:jc w:val="both"/>
        <w:rPr>
          <w:bCs/>
          <w:color w:val="002060"/>
          <w:sz w:val="16"/>
          <w:szCs w:val="16"/>
        </w:rPr>
      </w:pPr>
    </w:p>
    <w:p w14:paraId="027574A4"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6F0856BF" w14:textId="77777777" w:rsidR="004B4E35" w:rsidRPr="00405303" w:rsidRDefault="004B4E35" w:rsidP="00C15251">
      <w:pPr>
        <w:shd w:val="clear" w:color="auto" w:fill="FFFFFF"/>
        <w:jc w:val="both"/>
        <w:rPr>
          <w:bCs/>
          <w:i/>
          <w:color w:val="002060"/>
          <w:sz w:val="16"/>
          <w:szCs w:val="16"/>
        </w:rPr>
      </w:pPr>
    </w:p>
    <w:p w14:paraId="2361EF80" w14:textId="44717849" w:rsidR="004B4E35" w:rsidRPr="00405303" w:rsidRDefault="009E6F82" w:rsidP="00C15251">
      <w:pPr>
        <w:jc w:val="both"/>
        <w:rPr>
          <w:bCs/>
          <w:color w:val="002060"/>
          <w:sz w:val="16"/>
          <w:szCs w:val="16"/>
        </w:rPr>
      </w:pPr>
      <w:r w:rsidRPr="00405303">
        <w:rPr>
          <w:bCs/>
          <w:color w:val="002060"/>
          <w:sz w:val="16"/>
          <w:szCs w:val="16"/>
        </w:rPr>
        <w:t xml:space="preserve">6 (19) марта </w:t>
      </w:r>
      <w:r w:rsidR="00257683" w:rsidRPr="00405303">
        <w:rPr>
          <w:bCs/>
          <w:color w:val="002060"/>
          <w:sz w:val="16"/>
          <w:szCs w:val="16"/>
        </w:rPr>
        <w:t>1915 г. н</w:t>
      </w:r>
      <w:r w:rsidR="00B04221" w:rsidRPr="00405303">
        <w:rPr>
          <w:bCs/>
          <w:color w:val="002060"/>
          <w:sz w:val="16"/>
          <w:szCs w:val="16"/>
        </w:rPr>
        <w:t xml:space="preserve">а Балканском полуострове австрийские аэропланы сбросили десяток бомб </w:t>
      </w:r>
      <w:r w:rsidRPr="00405303">
        <w:rPr>
          <w:bCs/>
          <w:color w:val="002060"/>
          <w:sz w:val="16"/>
          <w:szCs w:val="16"/>
        </w:rPr>
        <w:t>над городом Антивари, а 13 марта австрийский аэроплан сбросил 7 бомб на рынке в Подгорице, убив 22 человека и ранив 62" (11999).</w:t>
      </w:r>
    </w:p>
    <w:p w14:paraId="7F2DD438" w14:textId="77777777" w:rsidR="004B4E35" w:rsidRPr="00405303" w:rsidRDefault="004B4E35" w:rsidP="00C15251">
      <w:pPr>
        <w:jc w:val="both"/>
        <w:rPr>
          <w:bCs/>
          <w:color w:val="002060"/>
          <w:sz w:val="16"/>
          <w:szCs w:val="16"/>
        </w:rPr>
      </w:pPr>
    </w:p>
    <w:p w14:paraId="437D8706" w14:textId="3CDC8CA6" w:rsidR="000A77E3" w:rsidRPr="00405303" w:rsidRDefault="000A77E3" w:rsidP="00C15251">
      <w:pPr>
        <w:jc w:val="both"/>
        <w:rPr>
          <w:bCs/>
          <w:i/>
          <w:color w:val="002060"/>
          <w:sz w:val="16"/>
          <w:szCs w:val="16"/>
        </w:rPr>
      </w:pPr>
      <w:r w:rsidRPr="00405303">
        <w:rPr>
          <w:bCs/>
          <w:i/>
          <w:color w:val="002060"/>
          <w:sz w:val="16"/>
          <w:szCs w:val="16"/>
        </w:rPr>
        <w:t>Авиация:</w:t>
      </w:r>
    </w:p>
    <w:p w14:paraId="5E7B3CD4" w14:textId="77777777" w:rsidR="000A77E3" w:rsidRPr="00405303" w:rsidRDefault="000A77E3" w:rsidP="00C15251">
      <w:pPr>
        <w:jc w:val="both"/>
        <w:rPr>
          <w:bCs/>
          <w:i/>
          <w:color w:val="002060"/>
          <w:sz w:val="16"/>
          <w:szCs w:val="16"/>
        </w:rPr>
      </w:pPr>
    </w:p>
    <w:p w14:paraId="38D9842E" w14:textId="7967F873" w:rsidR="000A77E3" w:rsidRPr="00405303" w:rsidRDefault="000A77E3" w:rsidP="00C15251">
      <w:pPr>
        <w:jc w:val="both"/>
        <w:rPr>
          <w:bCs/>
          <w:color w:val="002060"/>
          <w:sz w:val="16"/>
          <w:szCs w:val="16"/>
          <w:lang w:bidi="en-US"/>
        </w:rPr>
      </w:pPr>
      <w:r w:rsidRPr="00405303">
        <w:rPr>
          <w:bCs/>
          <w:color w:val="002060"/>
          <w:sz w:val="16"/>
          <w:szCs w:val="16"/>
          <w:lang w:bidi="en-US"/>
        </w:rPr>
        <w:t xml:space="preserve">7/8 (20/21) марта 1915 г. дирижабль немецкой армии </w:t>
      </w:r>
      <w:r w:rsidRPr="00405303">
        <w:rPr>
          <w:bCs/>
          <w:color w:val="002060"/>
          <w:sz w:val="16"/>
          <w:szCs w:val="16"/>
          <w:lang w:val="en-US" w:bidi="en-US"/>
        </w:rPr>
        <w:t>LZ</w:t>
      </w:r>
      <w:r w:rsidRPr="00405303">
        <w:rPr>
          <w:bCs/>
          <w:color w:val="002060"/>
          <w:sz w:val="16"/>
          <w:szCs w:val="16"/>
          <w:lang w:bidi="en-US"/>
        </w:rPr>
        <w:t xml:space="preserve">.34, базирующийся в Кенигсберге, атаковал военные объекты в Ковно </w:t>
      </w:r>
      <w:r w:rsidRPr="00405303">
        <w:rPr>
          <w:bCs/>
          <w:color w:val="002060"/>
          <w:sz w:val="16"/>
          <w:szCs w:val="16"/>
          <w:lang w:bidi="ru-RU"/>
        </w:rPr>
        <w:t xml:space="preserve">. </w:t>
      </w:r>
      <w:r w:rsidRPr="00405303">
        <w:rPr>
          <w:bCs/>
          <w:color w:val="002060"/>
          <w:sz w:val="16"/>
          <w:szCs w:val="16"/>
          <w:lang w:bidi="en-US"/>
        </w:rPr>
        <w:t>Он был поврежден огнем русской артиллерии и был вынужден приземлиться недалеко от Инстербурга, но был снесен сильным ветром без экипажа и сгорел (23525).</w:t>
      </w:r>
    </w:p>
    <w:p w14:paraId="0BB0B986" w14:textId="77777777" w:rsidR="000A77E3" w:rsidRPr="00405303" w:rsidRDefault="000A77E3" w:rsidP="00C15251">
      <w:pPr>
        <w:jc w:val="both"/>
        <w:rPr>
          <w:bCs/>
          <w:color w:val="002060"/>
          <w:sz w:val="16"/>
          <w:szCs w:val="16"/>
        </w:rPr>
      </w:pPr>
    </w:p>
    <w:p w14:paraId="2D21899D" w14:textId="192A5920" w:rsidR="00063C82" w:rsidRPr="00405303" w:rsidRDefault="00063C82" w:rsidP="00C15251">
      <w:pPr>
        <w:jc w:val="both"/>
        <w:rPr>
          <w:bCs/>
          <w:color w:val="002060"/>
          <w:sz w:val="16"/>
          <w:szCs w:val="16"/>
        </w:rPr>
      </w:pPr>
      <w:r w:rsidRPr="00405303">
        <w:rPr>
          <w:bCs/>
          <w:color w:val="002060"/>
          <w:sz w:val="16"/>
          <w:szCs w:val="16"/>
        </w:rPr>
        <w:t>7 (20) марта 1915 г. германский самолет сбросил бомбу над г. Белосток. Позднее немецкая авиация совершила налет на крепость Осовец (сброшено 20 бомб, без существенного вреда для ее гарнизона). 14 марта в районе Прасныша с борта германского самолета типа «Таубе» в д. Свиняры было сброшено три бомбы. В результате разрушена одна крестьянская изба, тяжелое ранение получили три местных жителя (23405).</w:t>
      </w:r>
    </w:p>
    <w:p w14:paraId="7AA91383" w14:textId="77777777" w:rsidR="00063C82" w:rsidRPr="00405303" w:rsidRDefault="00063C82" w:rsidP="00C15251">
      <w:pPr>
        <w:jc w:val="both"/>
        <w:rPr>
          <w:bCs/>
          <w:color w:val="002060"/>
          <w:sz w:val="16"/>
          <w:szCs w:val="16"/>
          <w:lang w:bidi="ru-RU"/>
        </w:rPr>
      </w:pPr>
    </w:p>
    <w:p w14:paraId="2C9D5A05" w14:textId="77777777" w:rsidR="003B52D0" w:rsidRPr="00405303" w:rsidRDefault="003B52D0" w:rsidP="003B52D0">
      <w:pPr>
        <w:jc w:val="both"/>
        <w:rPr>
          <w:color w:val="0070C0"/>
          <w:sz w:val="16"/>
          <w:szCs w:val="16"/>
        </w:rPr>
      </w:pPr>
      <w:r w:rsidRPr="00405303">
        <w:rPr>
          <w:color w:val="0070C0"/>
          <w:sz w:val="16"/>
          <w:szCs w:val="16"/>
        </w:rPr>
        <w:t>7 (20) марта 1915 г. вблизи г. Ковно (над местечком Кретинген) огнем артиллерии был подбит германский аэроплан с грузом прокламаций, осуществивший до этого бомбометание позиций наших частей (25135).</w:t>
      </w:r>
    </w:p>
    <w:p w14:paraId="2B932CB6" w14:textId="77777777" w:rsidR="003B52D0" w:rsidRPr="00405303" w:rsidRDefault="003B52D0" w:rsidP="003B52D0">
      <w:pPr>
        <w:jc w:val="both"/>
        <w:rPr>
          <w:color w:val="0070C0"/>
          <w:sz w:val="16"/>
          <w:szCs w:val="16"/>
        </w:rPr>
      </w:pPr>
    </w:p>
    <w:p w14:paraId="757FE385" w14:textId="09318FEA" w:rsidR="00063C82" w:rsidRPr="00405303" w:rsidRDefault="00063C82" w:rsidP="00C15251">
      <w:pPr>
        <w:jc w:val="both"/>
        <w:rPr>
          <w:bCs/>
          <w:i/>
          <w:color w:val="002060"/>
          <w:sz w:val="16"/>
          <w:szCs w:val="16"/>
        </w:rPr>
      </w:pPr>
      <w:r w:rsidRPr="00405303">
        <w:rPr>
          <w:bCs/>
          <w:i/>
          <w:color w:val="002060"/>
          <w:sz w:val="16"/>
          <w:szCs w:val="16"/>
        </w:rPr>
        <w:t>Морсакая авиация:</w:t>
      </w:r>
    </w:p>
    <w:p w14:paraId="624052ED" w14:textId="77777777" w:rsidR="00063C82" w:rsidRPr="00405303" w:rsidRDefault="00063C82" w:rsidP="00C15251">
      <w:pPr>
        <w:jc w:val="both"/>
        <w:rPr>
          <w:bCs/>
          <w:i/>
          <w:color w:val="002060"/>
          <w:sz w:val="16"/>
          <w:szCs w:val="16"/>
        </w:rPr>
      </w:pPr>
    </w:p>
    <w:p w14:paraId="4B148521" w14:textId="4B3DB06F" w:rsidR="00063C82" w:rsidRPr="00405303" w:rsidRDefault="00063C82" w:rsidP="00C15251">
      <w:pPr>
        <w:jc w:val="both"/>
        <w:rPr>
          <w:bCs/>
          <w:color w:val="002060"/>
          <w:sz w:val="16"/>
          <w:szCs w:val="16"/>
        </w:rPr>
      </w:pPr>
      <w:r w:rsidRPr="00405303">
        <w:rPr>
          <w:bCs/>
          <w:color w:val="002060"/>
          <w:sz w:val="16"/>
          <w:szCs w:val="16"/>
          <w:lang w:bidi="en-US"/>
        </w:rPr>
        <w:t>7 марта 1915 г. в Черном море авианосец «Алмаз» был поражен 120-мм снарядом с турецких береговых позиций в районе Зонгулдака. Он получил незначительные повреждения (23525).</w:t>
      </w:r>
    </w:p>
    <w:p w14:paraId="6D441B2D" w14:textId="77777777" w:rsidR="00063C82" w:rsidRPr="00405303" w:rsidRDefault="00063C82" w:rsidP="00C15251">
      <w:pPr>
        <w:jc w:val="both"/>
        <w:rPr>
          <w:bCs/>
          <w:color w:val="002060"/>
          <w:sz w:val="16"/>
          <w:szCs w:val="16"/>
          <w:lang w:bidi="en-US"/>
        </w:rPr>
      </w:pPr>
    </w:p>
    <w:p w14:paraId="63DA3DE7" w14:textId="46486465" w:rsidR="004B4E35" w:rsidRPr="00405303" w:rsidRDefault="009E6F82" w:rsidP="00C15251">
      <w:pPr>
        <w:jc w:val="both"/>
        <w:rPr>
          <w:bCs/>
          <w:i/>
          <w:color w:val="002060"/>
          <w:sz w:val="16"/>
          <w:szCs w:val="16"/>
        </w:rPr>
      </w:pPr>
      <w:r w:rsidRPr="00405303">
        <w:rPr>
          <w:bCs/>
          <w:i/>
          <w:color w:val="002060"/>
          <w:sz w:val="16"/>
          <w:szCs w:val="16"/>
        </w:rPr>
        <w:t>Внешняя политика:</w:t>
      </w:r>
    </w:p>
    <w:p w14:paraId="4685B822" w14:textId="77777777" w:rsidR="004B4E35" w:rsidRPr="00405303" w:rsidRDefault="004B4E35" w:rsidP="00C15251">
      <w:pPr>
        <w:jc w:val="both"/>
        <w:rPr>
          <w:bCs/>
          <w:i/>
          <w:color w:val="002060"/>
          <w:sz w:val="16"/>
          <w:szCs w:val="16"/>
        </w:rPr>
      </w:pPr>
    </w:p>
    <w:p w14:paraId="12F5DBCD" w14:textId="77777777" w:rsidR="004B4E35" w:rsidRPr="00405303" w:rsidRDefault="009E6F82" w:rsidP="00C15251">
      <w:pPr>
        <w:jc w:val="both"/>
        <w:rPr>
          <w:bCs/>
          <w:color w:val="002060"/>
          <w:sz w:val="16"/>
          <w:szCs w:val="16"/>
        </w:rPr>
      </w:pPr>
      <w:r w:rsidRPr="00405303">
        <w:rPr>
          <w:bCs/>
          <w:color w:val="002060"/>
          <w:sz w:val="16"/>
          <w:szCs w:val="16"/>
        </w:rPr>
        <w:t>7 (20) марта 1915 - со вступлением Турции в войну, открылись возможности захвата Константинопольских проливов, и вопрос о том, кто впоследствии будет ими владеть, принял актуальный характер. Россия не замедлила предъявить свои претензии английскому и французскому послам в Петрограде. Русское правительство, объявляя войну, намеренно не предупредило об этом англо-французов, желая поставить их перед фактом. Таким образом немцы сыграли на руку русской дипломатии.</w:t>
      </w:r>
    </w:p>
    <w:p w14:paraId="7CFE0D14" w14:textId="77777777" w:rsidR="004B4E35" w:rsidRPr="00405303" w:rsidRDefault="009E6F82" w:rsidP="00C15251">
      <w:pPr>
        <w:jc w:val="both"/>
        <w:rPr>
          <w:bCs/>
          <w:color w:val="002060"/>
          <w:sz w:val="16"/>
          <w:szCs w:val="16"/>
        </w:rPr>
      </w:pPr>
      <w:r w:rsidRPr="00405303">
        <w:rPr>
          <w:bCs/>
          <w:color w:val="002060"/>
          <w:sz w:val="16"/>
          <w:szCs w:val="16"/>
        </w:rPr>
        <w:t>Стремление свалить Турцию и заинтересовать Россию в Дарданеллах в этот момент в представлении англо-французов было столь велико, что секретным договором от 18/20 марта Константинополь передавался России в рамках меморандума от 4 марта, который гласил: "добавляются к русской территории: город Константинополь, западный берег Босфора, Мраморное море и Дарданеллы, Южная Фракия до линии Энос - Мидия, малоазиатский берег между Босфором и побережьем Сакария и один из пунктов залива Измид, который будет определен позже, острова Мраморного моря и острова Имброс и Тенедос" (11999).</w:t>
      </w:r>
    </w:p>
    <w:p w14:paraId="3948AEA7" w14:textId="77777777" w:rsidR="004B4E35" w:rsidRPr="00405303" w:rsidRDefault="004B4E35" w:rsidP="00C15251">
      <w:pPr>
        <w:jc w:val="both"/>
        <w:rPr>
          <w:bCs/>
          <w:color w:val="002060"/>
          <w:sz w:val="16"/>
          <w:szCs w:val="16"/>
        </w:rPr>
      </w:pPr>
    </w:p>
    <w:p w14:paraId="05F7B767" w14:textId="55535711" w:rsidR="00063C82" w:rsidRPr="00405303" w:rsidRDefault="00063C82" w:rsidP="00C15251">
      <w:pPr>
        <w:jc w:val="both"/>
        <w:rPr>
          <w:bCs/>
          <w:color w:val="002060"/>
          <w:sz w:val="16"/>
          <w:szCs w:val="16"/>
          <w:lang w:bidi="en-US"/>
        </w:rPr>
      </w:pPr>
      <w:r w:rsidRPr="00405303">
        <w:rPr>
          <w:bCs/>
          <w:color w:val="002060"/>
          <w:sz w:val="16"/>
          <w:szCs w:val="16"/>
          <w:lang w:bidi="en-US"/>
        </w:rPr>
        <w:t>7 (20) марта 1915 г. в Москве состоялось открытие первой из серии специальных конференций по определению будущих потребностей в самолетах. На совещании под председательством Великого Князя Александра Михайловича присутствовали члены ЦМТД и начальник ОВФ генерал Н. В. Пневский. Вторая такая конференция состоялась в Холме (Холме) в июле, третья в Петрограде 30 сентября и четвертая в Смоленске 9—10 декабря. (Примечание: автору не удалось получить подробности об этих конференциях (23525).</w:t>
      </w:r>
    </w:p>
    <w:p w14:paraId="0B438D90" w14:textId="77777777" w:rsidR="00063C82" w:rsidRPr="00405303" w:rsidRDefault="00063C82" w:rsidP="00C15251">
      <w:pPr>
        <w:jc w:val="both"/>
        <w:rPr>
          <w:bCs/>
          <w:color w:val="002060"/>
          <w:sz w:val="16"/>
          <w:szCs w:val="16"/>
        </w:rPr>
      </w:pPr>
    </w:p>
    <w:p w14:paraId="34611635"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0B9DCB6B" w14:textId="77777777" w:rsidR="004B4E35" w:rsidRPr="00405303" w:rsidRDefault="004B4E35" w:rsidP="00C15251">
      <w:pPr>
        <w:jc w:val="both"/>
        <w:rPr>
          <w:bCs/>
          <w:i/>
          <w:color w:val="002060"/>
          <w:sz w:val="16"/>
          <w:szCs w:val="16"/>
        </w:rPr>
      </w:pPr>
    </w:p>
    <w:p w14:paraId="3BED92DB" w14:textId="77777777" w:rsidR="000A77E3" w:rsidRPr="00405303" w:rsidRDefault="000A77E3" w:rsidP="00C15251">
      <w:pPr>
        <w:jc w:val="both"/>
        <w:rPr>
          <w:bCs/>
          <w:color w:val="002060"/>
          <w:sz w:val="16"/>
          <w:szCs w:val="16"/>
        </w:rPr>
      </w:pPr>
      <w:r w:rsidRPr="00405303">
        <w:rPr>
          <w:bCs/>
          <w:color w:val="002060"/>
          <w:sz w:val="16"/>
          <w:szCs w:val="16"/>
        </w:rPr>
        <w:t>7 (20) марта 1917 г, согласно "Русским запискам" №4 за апрель 1915 г.: «по пути из Компьена в Париж и обратно германские цеппелины сбросили дюжину бомб на столицу и столько же на Компьен. В Париже было ранено 8 человек и властями приняты серьезные меры для того, чтобы предотвратить возможные новые атаки на Париж. Скоро союзные летчики взяли свой реванш. В непосредственно следовавшие за нападением дни французскими воздушными силами было сброшено 20 бомб на немецкий аэродром и на станции Лихтерфельде и Эессон, в Бельгии, на вокзал в Серне и Альткирхе и казармы в Миль- гейме (Эльзас), на казармы и вокзал во Фрейбурге (Баден); и, наконец, в районе Эн, на казармы в Лафер и на здания вокзалов в Анизи, Шони, Тернье и Куси-ле-Шато. С другой стороны 24 марта английские летчики произвели значительные разрушения между германскими подводными лодками, строившимися в Гоболене, близ Антверпена. Подожжены антверпенские морские доки; убито и ранено около 100 немецких рабочих; повреждены дирижабли в Сент-Агате и Гоболене. 27 марта французские летчики снова проникли в Эльзас-Лотарингию и бомбардировали вокзал в Меце и казармы в окрестностях Страсбурга...</w:t>
      </w:r>
    </w:p>
    <w:p w14:paraId="2427B5A0" w14:textId="77777777" w:rsidR="000A77E3" w:rsidRPr="00405303" w:rsidRDefault="000A77E3" w:rsidP="00C15251">
      <w:pPr>
        <w:jc w:val="both"/>
        <w:rPr>
          <w:bCs/>
          <w:color w:val="002060"/>
          <w:sz w:val="16"/>
          <w:szCs w:val="16"/>
        </w:rPr>
      </w:pPr>
    </w:p>
    <w:p w14:paraId="3F918B62" w14:textId="77777777" w:rsidR="004B4E35" w:rsidRPr="00405303" w:rsidRDefault="009E6F82" w:rsidP="00C15251">
      <w:pPr>
        <w:jc w:val="both"/>
        <w:rPr>
          <w:bCs/>
          <w:color w:val="002060"/>
          <w:sz w:val="16"/>
          <w:szCs w:val="16"/>
        </w:rPr>
      </w:pPr>
      <w:r w:rsidRPr="00405303">
        <w:rPr>
          <w:bCs/>
          <w:color w:val="002060"/>
          <w:sz w:val="16"/>
          <w:szCs w:val="16"/>
        </w:rPr>
        <w:t xml:space="preserve">7-8 (20—21) марта 1915 года был предпринят групповой налет на Париж всех дирижаблей, имевшихся на западном фронте: </w:t>
      </w:r>
      <w:r w:rsidRPr="00405303">
        <w:rPr>
          <w:rFonts w:eastAsia="Times-Roman"/>
          <w:bCs/>
          <w:color w:val="002060"/>
          <w:sz w:val="16"/>
          <w:szCs w:val="16"/>
        </w:rPr>
        <w:t>ｫ</w:t>
      </w:r>
      <w:r w:rsidRPr="00405303">
        <w:rPr>
          <w:bCs/>
          <w:color w:val="002060"/>
          <w:sz w:val="16"/>
          <w:szCs w:val="16"/>
        </w:rPr>
        <w:t>SL-2</w:t>
      </w:r>
      <w:r w:rsidRPr="00405303">
        <w:rPr>
          <w:rFonts w:eastAsia="Times-Roman"/>
          <w:bCs/>
          <w:color w:val="002060"/>
          <w:sz w:val="16"/>
          <w:szCs w:val="16"/>
        </w:rPr>
        <w:t>ｻ</w:t>
      </w:r>
      <w:r w:rsidRPr="00405303">
        <w:rPr>
          <w:bCs/>
          <w:color w:val="002060"/>
          <w:sz w:val="16"/>
          <w:szCs w:val="16"/>
        </w:rPr>
        <w:t xml:space="preserve">, </w:t>
      </w:r>
      <w:r w:rsidRPr="00405303">
        <w:rPr>
          <w:rFonts w:eastAsia="Times-Roman"/>
          <w:bCs/>
          <w:color w:val="002060"/>
          <w:sz w:val="16"/>
          <w:szCs w:val="16"/>
        </w:rPr>
        <w:t>ｫ</w:t>
      </w:r>
      <w:r w:rsidRPr="00405303">
        <w:rPr>
          <w:bCs/>
          <w:color w:val="002060"/>
          <w:sz w:val="16"/>
          <w:szCs w:val="16"/>
        </w:rPr>
        <w:t>Z-10</w:t>
      </w:r>
      <w:r w:rsidRPr="00405303">
        <w:rPr>
          <w:rFonts w:eastAsia="Times-Roman"/>
          <w:bCs/>
          <w:color w:val="002060"/>
          <w:sz w:val="16"/>
          <w:szCs w:val="16"/>
        </w:rPr>
        <w:t>ｻ</w:t>
      </w:r>
      <w:r w:rsidRPr="00405303">
        <w:rPr>
          <w:bCs/>
          <w:color w:val="002060"/>
          <w:sz w:val="16"/>
          <w:szCs w:val="16"/>
        </w:rPr>
        <w:t xml:space="preserve"> и </w:t>
      </w:r>
      <w:r w:rsidRPr="00405303">
        <w:rPr>
          <w:rFonts w:eastAsia="Times-Roman"/>
          <w:bCs/>
          <w:color w:val="002060"/>
          <w:sz w:val="16"/>
          <w:szCs w:val="16"/>
        </w:rPr>
        <w:t>ｫ</w:t>
      </w:r>
      <w:r w:rsidRPr="00405303">
        <w:rPr>
          <w:bCs/>
          <w:color w:val="002060"/>
          <w:sz w:val="16"/>
          <w:szCs w:val="16"/>
        </w:rPr>
        <w:t>LZ-35</w:t>
      </w:r>
      <w:r w:rsidRPr="00405303">
        <w:rPr>
          <w:rFonts w:eastAsia="Times-Roman"/>
          <w:bCs/>
          <w:color w:val="002060"/>
          <w:sz w:val="16"/>
          <w:szCs w:val="16"/>
        </w:rPr>
        <w:t>ｻ</w:t>
      </w:r>
      <w:r w:rsidRPr="00405303">
        <w:rPr>
          <w:bCs/>
          <w:color w:val="002060"/>
          <w:sz w:val="16"/>
          <w:szCs w:val="16"/>
        </w:rPr>
        <w:t xml:space="preserve">. Прожекторы указывали дирижаблям путь в темноте над зоной боевых действий от Лилля до Нуайона. При проходе над линией фронта дирижабль </w:t>
      </w:r>
      <w:r w:rsidRPr="00405303">
        <w:rPr>
          <w:rFonts w:eastAsia="Times-Roman"/>
          <w:bCs/>
          <w:color w:val="002060"/>
          <w:sz w:val="16"/>
          <w:szCs w:val="16"/>
        </w:rPr>
        <w:t>ｫ</w:t>
      </w:r>
      <w:r w:rsidRPr="00405303">
        <w:rPr>
          <w:bCs/>
          <w:color w:val="002060"/>
          <w:sz w:val="16"/>
          <w:szCs w:val="16"/>
        </w:rPr>
        <w:t>SL-2</w:t>
      </w:r>
      <w:r w:rsidRPr="00405303">
        <w:rPr>
          <w:rFonts w:eastAsia="Times-Roman"/>
          <w:bCs/>
          <w:color w:val="002060"/>
          <w:sz w:val="16"/>
          <w:szCs w:val="16"/>
        </w:rPr>
        <w:t>ｻ</w:t>
      </w:r>
      <w:r w:rsidRPr="00405303">
        <w:rPr>
          <w:bCs/>
          <w:color w:val="002060"/>
          <w:sz w:val="16"/>
          <w:szCs w:val="16"/>
        </w:rPr>
        <w:t xml:space="preserve"> получил серьезные повреждения и вынужден был ограничиться бомбардировкой Компьена, где находился штаб одной из армий. Дирижабли </w:t>
      </w:r>
      <w:r w:rsidRPr="00405303">
        <w:rPr>
          <w:rFonts w:eastAsia="Times-Roman"/>
          <w:bCs/>
          <w:color w:val="002060"/>
          <w:sz w:val="16"/>
          <w:szCs w:val="16"/>
        </w:rPr>
        <w:t>ｫ</w:t>
      </w:r>
      <w:r w:rsidRPr="00405303">
        <w:rPr>
          <w:bCs/>
          <w:color w:val="002060"/>
          <w:sz w:val="16"/>
          <w:szCs w:val="16"/>
        </w:rPr>
        <w:t>Z-10</w:t>
      </w:r>
      <w:r w:rsidRPr="00405303">
        <w:rPr>
          <w:rFonts w:eastAsia="Times-Roman"/>
          <w:bCs/>
          <w:color w:val="002060"/>
          <w:sz w:val="16"/>
          <w:szCs w:val="16"/>
        </w:rPr>
        <w:t>ｻ</w:t>
      </w:r>
      <w:r w:rsidRPr="00405303">
        <w:rPr>
          <w:bCs/>
          <w:color w:val="002060"/>
          <w:sz w:val="16"/>
          <w:szCs w:val="16"/>
        </w:rPr>
        <w:t xml:space="preserve"> и </w:t>
      </w:r>
      <w:r w:rsidRPr="00405303">
        <w:rPr>
          <w:rFonts w:eastAsia="Times-Roman"/>
          <w:bCs/>
          <w:color w:val="002060"/>
          <w:sz w:val="16"/>
          <w:szCs w:val="16"/>
        </w:rPr>
        <w:t>ｫ</w:t>
      </w:r>
      <w:r w:rsidRPr="00405303">
        <w:rPr>
          <w:bCs/>
          <w:color w:val="002060"/>
          <w:sz w:val="16"/>
          <w:szCs w:val="16"/>
        </w:rPr>
        <w:t>LZ-35</w:t>
      </w:r>
      <w:r w:rsidRPr="00405303">
        <w:rPr>
          <w:rFonts w:eastAsia="Times-Roman"/>
          <w:bCs/>
          <w:color w:val="002060"/>
          <w:sz w:val="16"/>
          <w:szCs w:val="16"/>
        </w:rPr>
        <w:t>ｻ</w:t>
      </w:r>
      <w:r w:rsidRPr="00405303">
        <w:rPr>
          <w:bCs/>
          <w:color w:val="002060"/>
          <w:sz w:val="16"/>
          <w:szCs w:val="16"/>
        </w:rPr>
        <w:t xml:space="preserve"> первыми из германских дирижаблей достигли Парижа. В городе затемнение не соблюдалось полностью; с высоты 2400 м можно было различить линии улиц. Множество прожекторов отыскивали дирижабли, которые, несмотря на сильнейший огонь зенитной артиллерии, сбрасывали бомбы в течение полутора часов. Преследуемые огнем установленных на автомобилях зенитных пушек, дирижабли долетели до линии фронта, где попали под чрезвычайно сильный обстрел. </w:t>
      </w:r>
      <w:r w:rsidRPr="00405303">
        <w:rPr>
          <w:rFonts w:eastAsia="Times-Roman"/>
          <w:bCs/>
          <w:color w:val="002060"/>
          <w:sz w:val="16"/>
          <w:szCs w:val="16"/>
        </w:rPr>
        <w:t>ｫ</w:t>
      </w:r>
      <w:r w:rsidRPr="00405303">
        <w:rPr>
          <w:bCs/>
          <w:color w:val="002060"/>
          <w:sz w:val="16"/>
          <w:szCs w:val="16"/>
        </w:rPr>
        <w:t>Z-10</w:t>
      </w:r>
      <w:r w:rsidRPr="00405303">
        <w:rPr>
          <w:rFonts w:eastAsia="Times-Roman"/>
          <w:bCs/>
          <w:color w:val="002060"/>
          <w:sz w:val="16"/>
          <w:szCs w:val="16"/>
        </w:rPr>
        <w:t>ｻ</w:t>
      </w:r>
      <w:r w:rsidRPr="00405303">
        <w:rPr>
          <w:bCs/>
          <w:color w:val="002060"/>
          <w:sz w:val="16"/>
          <w:szCs w:val="16"/>
        </w:rPr>
        <w:t xml:space="preserve">, сильно поврежденный, вынужден был опуститься на землю у Сен-Кантена. </w:t>
      </w:r>
      <w:r w:rsidRPr="00405303">
        <w:rPr>
          <w:rFonts w:eastAsia="Times-Roman"/>
          <w:bCs/>
          <w:color w:val="002060"/>
          <w:sz w:val="16"/>
          <w:szCs w:val="16"/>
        </w:rPr>
        <w:t>ｫ</w:t>
      </w:r>
      <w:r w:rsidRPr="00405303">
        <w:rPr>
          <w:bCs/>
          <w:color w:val="002060"/>
          <w:sz w:val="16"/>
          <w:szCs w:val="16"/>
        </w:rPr>
        <w:t>LZ-35</w:t>
      </w:r>
      <w:r w:rsidRPr="00405303">
        <w:rPr>
          <w:rFonts w:eastAsia="Times-Roman"/>
          <w:bCs/>
          <w:color w:val="002060"/>
          <w:sz w:val="16"/>
          <w:szCs w:val="16"/>
        </w:rPr>
        <w:t>ｻ</w:t>
      </w:r>
      <w:r w:rsidRPr="00405303">
        <w:rPr>
          <w:bCs/>
          <w:color w:val="002060"/>
          <w:sz w:val="16"/>
          <w:szCs w:val="16"/>
        </w:rPr>
        <w:t xml:space="preserve"> прибыл после 11-часового полета к своему эллингу. Первый крупный налет на центр французской военной промышленности удался. Насколько значительным был его результат, можно было судить по сообщениям неприятельской прессы и дебатам в парламенте (11282).</w:t>
      </w:r>
    </w:p>
    <w:p w14:paraId="4D9CFB54" w14:textId="77777777" w:rsidR="004B4E35" w:rsidRPr="00405303" w:rsidRDefault="004B4E35" w:rsidP="00C15251">
      <w:pPr>
        <w:jc w:val="both"/>
        <w:rPr>
          <w:bCs/>
          <w:color w:val="002060"/>
          <w:sz w:val="16"/>
          <w:szCs w:val="16"/>
        </w:rPr>
      </w:pPr>
    </w:p>
    <w:p w14:paraId="1A629F5B" w14:textId="1BC959AA" w:rsidR="004B4E35" w:rsidRPr="00405303" w:rsidRDefault="009E6F82" w:rsidP="00C15251">
      <w:pPr>
        <w:jc w:val="both"/>
        <w:rPr>
          <w:bCs/>
          <w:color w:val="002060"/>
          <w:sz w:val="16"/>
          <w:szCs w:val="16"/>
        </w:rPr>
      </w:pPr>
      <w:r w:rsidRPr="00405303">
        <w:rPr>
          <w:bCs/>
          <w:color w:val="002060"/>
          <w:sz w:val="16"/>
          <w:szCs w:val="16"/>
        </w:rPr>
        <w:t>7-8 (20 на 21) марта 1915 года</w:t>
      </w:r>
      <w:r w:rsidR="00391C87" w:rsidRPr="00405303">
        <w:rPr>
          <w:bCs/>
          <w:color w:val="002060"/>
          <w:sz w:val="16"/>
          <w:szCs w:val="16"/>
        </w:rPr>
        <w:t xml:space="preserve"> ночью Париж был залит электрическим светом, когда в ночь с</w:t>
      </w:r>
      <w:r w:rsidRPr="00405303">
        <w:rPr>
          <w:bCs/>
          <w:color w:val="002060"/>
          <w:sz w:val="16"/>
          <w:szCs w:val="16"/>
        </w:rPr>
        <w:t xml:space="preserve"> его «навестили» Z-X, LZ-35 и SL-2. Над линией фронта французская зенитная артиллерия добилась нескольких попаданий в дирижабли, при этом SL-2 получил столь серьезные повреждения, что экипаж вынужден был, не долетев до цели, сбросить бомбы на Компьен, где находился штаб одной из армий, и вернуться. Прожекторы указывали дирижаблям путь в темноте над зоной боевых действий от Лилля до Нуайона. В Париже затемнение полностью не соблюдалось; с высоты в 2400 м можно было различить линии улиц. Множество прожекторов отыскивали дирижабли, которые, несмотря на сильнейший огонь зенитной артиллерии, сбросили 1500 кг бомб в течение полуторачасового налета. Непосредственно на город </w:t>
      </w:r>
      <w:r w:rsidRPr="00405303">
        <w:rPr>
          <w:bCs/>
          <w:color w:val="002060"/>
          <w:sz w:val="16"/>
          <w:szCs w:val="16"/>
        </w:rPr>
        <w:lastRenderedPageBreak/>
        <w:t xml:space="preserve">упали 6 зажигательных бомб, остальные — в основном на предместье Батигнолл. Бомбардировка принесла незначительные результаты: ранены 17 человек. Назад после одиннадцатичасового полета вернулся только LZ-35, a Z-X был сбит у Сен-Кантена. </w:t>
      </w:r>
    </w:p>
    <w:p w14:paraId="548837BB" w14:textId="77777777" w:rsidR="004B4E35" w:rsidRPr="00405303" w:rsidRDefault="009E6F82" w:rsidP="00C15251">
      <w:pPr>
        <w:jc w:val="both"/>
        <w:rPr>
          <w:bCs/>
          <w:color w:val="002060"/>
          <w:sz w:val="16"/>
          <w:szCs w:val="16"/>
        </w:rPr>
      </w:pPr>
      <w:r w:rsidRPr="00405303">
        <w:rPr>
          <w:bCs/>
          <w:color w:val="002060"/>
          <w:sz w:val="16"/>
          <w:szCs w:val="16"/>
        </w:rPr>
        <w:t xml:space="preserve">И тем не менее первый крупный налет на центр французской военной промышленности, несмотря на потери, удался. Насколько эффективно оказалось его действие, можно было видеть по паническим настроениям в прессе и дебатам в парламенте. [107] </w:t>
      </w:r>
    </w:p>
    <w:p w14:paraId="08CEDA54" w14:textId="77777777" w:rsidR="004B4E35" w:rsidRPr="00405303" w:rsidRDefault="009E6F82" w:rsidP="00C15251">
      <w:pPr>
        <w:jc w:val="both"/>
        <w:rPr>
          <w:bCs/>
          <w:color w:val="002060"/>
          <w:sz w:val="16"/>
          <w:szCs w:val="16"/>
        </w:rPr>
      </w:pPr>
      <w:r w:rsidRPr="00405303">
        <w:rPr>
          <w:bCs/>
          <w:color w:val="002060"/>
          <w:sz w:val="16"/>
          <w:szCs w:val="16"/>
        </w:rPr>
        <w:t xml:space="preserve">Париж, да и вся территория Франции, являлись для экипажей дирижаблей «тяжелой» целью, ведь им следовало пролететь над районами сильно насыщенной средствами ПВО как прифронтовой полосы, так и самого города. Усиление неприятельской воздушной обороны, в особенности авиации — опаснейшего врага дирижаблей, потребовало повышения их скорости и высоты подъема; оба эти условия привели к увеличению размеров дирижаблей. В апреле был выпущен LZ-38 — первый дирижабль нового типа объемом 31 900 куб. м. Он имел 3 мотора, обладал скоростью 90 км/ч, максимальной высотой полета 2200 м и поднимал 12 750 кг полезного груза. </w:t>
      </w:r>
    </w:p>
    <w:p w14:paraId="029A7062" w14:textId="77777777" w:rsidR="004B4E35" w:rsidRPr="00405303" w:rsidRDefault="009E6F82" w:rsidP="00C15251">
      <w:pPr>
        <w:jc w:val="both"/>
        <w:rPr>
          <w:bCs/>
          <w:color w:val="002060"/>
          <w:sz w:val="16"/>
          <w:szCs w:val="16"/>
        </w:rPr>
      </w:pPr>
      <w:r w:rsidRPr="00405303">
        <w:rPr>
          <w:bCs/>
          <w:color w:val="002060"/>
          <w:sz w:val="16"/>
          <w:szCs w:val="16"/>
        </w:rPr>
        <w:t xml:space="preserve">Успехи Штрассера в деле развития боевого воздухоплавания выглядели просто потрясающими. Даже германская армия, которая вдруг прозрела и поняла, что цеппелины представляют собой весьма перспективный вид оружия, не смогла угнаться за «сумасшедшим лейтенантом». Все, чего смогло добиться армейское командование, это построить полтора десятка разнокалиберных дирижаблей, которые использовались в тактических целях с немногочисленных баз на Восточном фронте и на Балканах. </w:t>
      </w:r>
    </w:p>
    <w:p w14:paraId="79D604FD" w14:textId="77777777" w:rsidR="004B4E35" w:rsidRPr="00405303" w:rsidRDefault="009E6F82" w:rsidP="00C15251">
      <w:pPr>
        <w:jc w:val="both"/>
        <w:rPr>
          <w:bCs/>
          <w:color w:val="002060"/>
          <w:sz w:val="16"/>
          <w:szCs w:val="16"/>
        </w:rPr>
      </w:pPr>
      <w:r w:rsidRPr="00405303">
        <w:rPr>
          <w:bCs/>
          <w:color w:val="002060"/>
          <w:sz w:val="16"/>
          <w:szCs w:val="16"/>
        </w:rPr>
        <w:t>Бомбардировочные операции были эффектными, но вместе с тем почти никогда неэффективными. Между армией и флотом развернулось острое соперничество [108] за достижение большего успеха в налетах на Британские острова. Однако эти операции оказались не такими уж легкими. Ночной полет создавал серьезные проблемы с точной ориентацией воздушного корабля. Радиотелеграф развивался довольно неспешно и служил в большей мере для получения информации о погоде, чем наведению и уточнению местоположения корабля. Кроме того, над головой пилотов находилось огромное количество водорода, который только и ждал малейшего повода к воспламенению. Несмотря на это, полная опасностей служба привлекала и в армию, и во флот все больше добровольцев, из которых и формировали экипажи цеппелинов (11324).</w:t>
      </w:r>
    </w:p>
    <w:p w14:paraId="228A5041" w14:textId="77777777" w:rsidR="004B4E35" w:rsidRPr="00405303" w:rsidRDefault="004B4E35" w:rsidP="00C15251">
      <w:pPr>
        <w:jc w:val="both"/>
        <w:rPr>
          <w:bCs/>
          <w:i/>
          <w:color w:val="002060"/>
          <w:sz w:val="16"/>
          <w:szCs w:val="16"/>
        </w:rPr>
      </w:pPr>
    </w:p>
    <w:p w14:paraId="2F359F36" w14:textId="2338F888" w:rsidR="004B4E35" w:rsidRPr="00405303" w:rsidRDefault="009E6F82" w:rsidP="00C15251">
      <w:pPr>
        <w:jc w:val="both"/>
        <w:rPr>
          <w:bCs/>
          <w:color w:val="002060"/>
          <w:sz w:val="16"/>
          <w:szCs w:val="16"/>
        </w:rPr>
      </w:pPr>
      <w:r w:rsidRPr="00405303">
        <w:rPr>
          <w:bCs/>
          <w:color w:val="002060"/>
          <w:sz w:val="16"/>
          <w:szCs w:val="16"/>
        </w:rPr>
        <w:t xml:space="preserve">7 (20) марта </w:t>
      </w:r>
      <w:r w:rsidR="00391C87" w:rsidRPr="00405303">
        <w:rPr>
          <w:bCs/>
          <w:color w:val="002060"/>
          <w:sz w:val="16"/>
          <w:szCs w:val="16"/>
        </w:rPr>
        <w:t xml:space="preserve">1915 г. </w:t>
      </w:r>
      <w:r w:rsidRPr="00405303">
        <w:rPr>
          <w:bCs/>
          <w:color w:val="002060"/>
          <w:sz w:val="16"/>
          <w:szCs w:val="16"/>
        </w:rPr>
        <w:t>по пути из Компьена в Париж и обратно германские цеппелины сбросили дюжину бомб на столицу и столько же на Компьен. В Париже было ранено 8 человек и властями приняты серьезные меры для того, чтобы предотвратить возможные новые атаки на Париж. Скоро союзные летчики взяли свой реванш. В непосредственно следовавшие за нападением дни французскими воздушными силами было сброшено 20 бомб на немецкий аэродром и на станции Лихтерфельде и Эессон, в Бельгии, на вокзал в Серне и Альткирхе и казармы в Миль- гейме (Эльзас), на казармы и вокзал во Фрейбурге (Баден); и, наконец, в районе Эн, на казармы в Лафер и на здания вокзалов в Анизи, Шони, Тернье и Куси-ле-Шато. С другой стороны 24 марта английские летчики произвели значительные разрушения между германскими подводными лодками, строившимися в Гоболене, близ Антверпена. Подожжены антверпенские морские доки; убито и ранено около 100 немецких рабочих; повреждены дирижабли в Сент-Агате и Гоболене. 27 марта французские летчики снова проникли в Эльзас-Лотарингию и бомбардировали вокзал в Меце и казармы в окрестностях Страсбурга...</w:t>
      </w:r>
    </w:p>
    <w:p w14:paraId="3729AD0A" w14:textId="77777777" w:rsidR="004B4E35" w:rsidRPr="00405303" w:rsidRDefault="009E6F82" w:rsidP="00C15251">
      <w:pPr>
        <w:jc w:val="both"/>
        <w:rPr>
          <w:bCs/>
          <w:color w:val="002060"/>
          <w:sz w:val="16"/>
          <w:szCs w:val="16"/>
        </w:rPr>
      </w:pPr>
      <w:r w:rsidRPr="00405303">
        <w:rPr>
          <w:bCs/>
          <w:color w:val="002060"/>
          <w:sz w:val="16"/>
          <w:szCs w:val="16"/>
        </w:rPr>
        <w:t>На Балканском полуострове австрийские аэропланы сбросили десяток бомб 19 марта над городом Антивари, а 13 марта австрийский аэроплан сбросил 7 бомб на рынке в Подгорице, убив 22 человека и ранив 62" (11999).</w:t>
      </w:r>
    </w:p>
    <w:p w14:paraId="54E02AFA" w14:textId="77777777" w:rsidR="004B4E35" w:rsidRPr="00405303" w:rsidRDefault="004B4E35" w:rsidP="00C15251">
      <w:pPr>
        <w:jc w:val="both"/>
        <w:rPr>
          <w:bCs/>
          <w:color w:val="002060"/>
          <w:sz w:val="16"/>
          <w:szCs w:val="16"/>
        </w:rPr>
      </w:pPr>
    </w:p>
    <w:p w14:paraId="36DDAA90"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Англии:</w:t>
      </w:r>
    </w:p>
    <w:p w14:paraId="70E525CF" w14:textId="77777777" w:rsidR="004B4E35" w:rsidRPr="00405303" w:rsidRDefault="004B4E35" w:rsidP="00C15251">
      <w:pPr>
        <w:jc w:val="both"/>
        <w:rPr>
          <w:bCs/>
          <w:i/>
          <w:color w:val="002060"/>
          <w:sz w:val="16"/>
          <w:szCs w:val="16"/>
        </w:rPr>
      </w:pPr>
    </w:p>
    <w:p w14:paraId="21E86BB0" w14:textId="1CD7FB86" w:rsidR="004B4E35" w:rsidRPr="00405303" w:rsidRDefault="009E6F82" w:rsidP="00C15251">
      <w:pPr>
        <w:jc w:val="both"/>
        <w:rPr>
          <w:bCs/>
          <w:color w:val="002060"/>
          <w:sz w:val="16"/>
          <w:szCs w:val="16"/>
        </w:rPr>
      </w:pPr>
      <w:r w:rsidRPr="00405303">
        <w:rPr>
          <w:bCs/>
          <w:color w:val="002060"/>
          <w:sz w:val="16"/>
          <w:szCs w:val="16"/>
        </w:rPr>
        <w:t xml:space="preserve">7 (20) марта </w:t>
      </w:r>
      <w:r w:rsidR="00391C87" w:rsidRPr="00405303">
        <w:rPr>
          <w:bCs/>
          <w:color w:val="002060"/>
          <w:sz w:val="16"/>
          <w:szCs w:val="16"/>
        </w:rPr>
        <w:t xml:space="preserve">1915 г. </w:t>
      </w:r>
      <w:r w:rsidRPr="00405303">
        <w:rPr>
          <w:bCs/>
          <w:color w:val="002060"/>
          <w:sz w:val="16"/>
          <w:szCs w:val="16"/>
        </w:rPr>
        <w:t xml:space="preserve">на выполнение задания отправилась плавбаза «Эмпресс» в сопровождении нескольких боевых кораблей. Сильная волна не позволила спустить самолеты, и кораблям пришлось вернуться домой. Новая попытка, предпринятая 23 марта, также не удалась — стоял густой туман. 3 мая три плавбазы вышли в море, но и на этот раз шторм заставил Тирвитта отменить задание. Не падая духом из-за преследовавших его неудач, 11 мая Тирвитт опять вывел в море 2 плавбазы. Экспедицию обнаружил цеппелин, который постоянно висел невдалеке от флотилии. Трем гидросамолетам «Шорт» удалось взлететь с воды. Попытка выпустить «сопвич» с помощью палубной платформы не удалась — загорелся двигатель. Налет «шортов» потерпел полное фиаско — поднялся </w:t>
      </w:r>
      <w:proofErr w:type="gramStart"/>
      <w:r w:rsidRPr="00405303">
        <w:rPr>
          <w:bCs/>
          <w:color w:val="002060"/>
          <w:sz w:val="16"/>
          <w:szCs w:val="16"/>
        </w:rPr>
        <w:t>туман</w:t>
      </w:r>
      <w:proofErr w:type="gramEnd"/>
      <w:r w:rsidRPr="00405303">
        <w:rPr>
          <w:bCs/>
          <w:color w:val="002060"/>
          <w:sz w:val="16"/>
          <w:szCs w:val="16"/>
        </w:rPr>
        <w:t xml:space="preserve"> и один пилот вернулся, с трудом найдя флотилию. У второго самолета отказал двигатель, и он разбился на вынужденной посадке. Третий сорвался в штопор и погиб в море (11324).</w:t>
      </w:r>
    </w:p>
    <w:p w14:paraId="6C781195" w14:textId="77777777" w:rsidR="004B4E35" w:rsidRPr="00405303" w:rsidRDefault="004B4E35" w:rsidP="00C15251">
      <w:pPr>
        <w:jc w:val="both"/>
        <w:rPr>
          <w:bCs/>
          <w:i/>
          <w:color w:val="002060"/>
          <w:sz w:val="16"/>
          <w:szCs w:val="16"/>
        </w:rPr>
      </w:pPr>
    </w:p>
    <w:p w14:paraId="72C0DC7C" w14:textId="77777777" w:rsidR="000A77E3" w:rsidRPr="00405303" w:rsidRDefault="000A77E3" w:rsidP="00C15251">
      <w:pPr>
        <w:jc w:val="both"/>
        <w:rPr>
          <w:bCs/>
          <w:i/>
          <w:color w:val="002060"/>
          <w:sz w:val="16"/>
          <w:szCs w:val="16"/>
        </w:rPr>
      </w:pPr>
      <w:r w:rsidRPr="00405303">
        <w:rPr>
          <w:bCs/>
          <w:i/>
          <w:color w:val="002060"/>
          <w:sz w:val="16"/>
          <w:szCs w:val="16"/>
        </w:rPr>
        <w:t>Другие оборонные отрасли:</w:t>
      </w:r>
    </w:p>
    <w:p w14:paraId="6BD76B11" w14:textId="77777777" w:rsidR="000A77E3" w:rsidRPr="00405303" w:rsidRDefault="000A77E3" w:rsidP="00C15251">
      <w:pPr>
        <w:jc w:val="both"/>
        <w:rPr>
          <w:bCs/>
          <w:i/>
          <w:color w:val="002060"/>
          <w:sz w:val="16"/>
          <w:szCs w:val="16"/>
        </w:rPr>
      </w:pPr>
    </w:p>
    <w:p w14:paraId="42336C47" w14:textId="77777777" w:rsidR="000A77E3" w:rsidRPr="00405303" w:rsidRDefault="000A77E3" w:rsidP="00C15251">
      <w:pPr>
        <w:jc w:val="both"/>
        <w:rPr>
          <w:bCs/>
          <w:color w:val="002060"/>
          <w:sz w:val="16"/>
          <w:szCs w:val="16"/>
        </w:rPr>
      </w:pPr>
      <w:r w:rsidRPr="00405303">
        <w:rPr>
          <w:bCs/>
          <w:color w:val="002060"/>
          <w:sz w:val="16"/>
          <w:szCs w:val="16"/>
        </w:rPr>
        <w:t>В начале марта 1915 года генерал-лейтенант А.В. Гулевич с этого же фронта панически телеграфировал в Ставку о «чрезмерно большом расходе ружейных патронов» и необходимости срочного отпуска со складов в среднем 20 миллионов патронов в неделю (15230).</w:t>
      </w:r>
    </w:p>
    <w:p w14:paraId="49CDB86F" w14:textId="77777777" w:rsidR="000A77E3" w:rsidRPr="00405303" w:rsidRDefault="000A77E3" w:rsidP="00C15251">
      <w:pPr>
        <w:jc w:val="both"/>
        <w:rPr>
          <w:bCs/>
          <w:color w:val="002060"/>
          <w:sz w:val="16"/>
          <w:szCs w:val="16"/>
        </w:rPr>
      </w:pPr>
    </w:p>
    <w:p w14:paraId="74294F97" w14:textId="301BA94B" w:rsidR="000A77E3" w:rsidRPr="00405303" w:rsidRDefault="000A77E3" w:rsidP="00C15251">
      <w:pPr>
        <w:jc w:val="both"/>
        <w:rPr>
          <w:bCs/>
          <w:i/>
          <w:color w:val="002060"/>
          <w:sz w:val="16"/>
          <w:szCs w:val="16"/>
        </w:rPr>
      </w:pPr>
      <w:r w:rsidRPr="00405303">
        <w:rPr>
          <w:bCs/>
          <w:i/>
          <w:color w:val="002060"/>
          <w:sz w:val="16"/>
          <w:szCs w:val="16"/>
        </w:rPr>
        <w:t>Морская авиация:</w:t>
      </w:r>
    </w:p>
    <w:p w14:paraId="6FDF48D1" w14:textId="77777777" w:rsidR="000A77E3" w:rsidRPr="00405303" w:rsidRDefault="000A77E3" w:rsidP="00C15251">
      <w:pPr>
        <w:jc w:val="both"/>
        <w:rPr>
          <w:bCs/>
          <w:i/>
          <w:color w:val="002060"/>
          <w:sz w:val="16"/>
          <w:szCs w:val="16"/>
        </w:rPr>
      </w:pPr>
    </w:p>
    <w:p w14:paraId="63F96898" w14:textId="77777777" w:rsidR="000A77E3" w:rsidRPr="00405303" w:rsidRDefault="000A77E3" w:rsidP="00C15251">
      <w:pPr>
        <w:jc w:val="both"/>
        <w:rPr>
          <w:bCs/>
          <w:color w:val="002060"/>
          <w:sz w:val="16"/>
          <w:szCs w:val="16"/>
        </w:rPr>
      </w:pPr>
      <w:r w:rsidRPr="00405303">
        <w:rPr>
          <w:bCs/>
          <w:color w:val="002060"/>
          <w:sz w:val="16"/>
          <w:szCs w:val="16"/>
        </w:rPr>
        <w:t xml:space="preserve">В начале марта 1915 г. в составе Морской Авиации имелось уже 77 самолётов, в том числе, на Балтике — 47, и на Чёрном море — 30 гидроаэропланов. Их обслуживали 78 офицеров и 859 нижних чинов (20015). </w:t>
      </w:r>
    </w:p>
    <w:p w14:paraId="722E73FF" w14:textId="77777777" w:rsidR="000A77E3" w:rsidRPr="00405303" w:rsidRDefault="000A77E3" w:rsidP="00C15251">
      <w:pPr>
        <w:jc w:val="both"/>
        <w:rPr>
          <w:bCs/>
          <w:color w:val="002060"/>
          <w:sz w:val="16"/>
          <w:szCs w:val="16"/>
        </w:rPr>
      </w:pPr>
    </w:p>
    <w:p w14:paraId="7B24E33C" w14:textId="77777777" w:rsidR="000A77E3" w:rsidRPr="00405303" w:rsidRDefault="000A77E3" w:rsidP="00C15251">
      <w:pPr>
        <w:jc w:val="both"/>
        <w:rPr>
          <w:bCs/>
          <w:color w:val="002060"/>
          <w:sz w:val="16"/>
          <w:szCs w:val="16"/>
        </w:rPr>
      </w:pPr>
      <w:r w:rsidRPr="00405303">
        <w:rPr>
          <w:bCs/>
          <w:color w:val="002060"/>
          <w:sz w:val="16"/>
          <w:szCs w:val="16"/>
        </w:rPr>
        <w:t>В начале марта 1915 АВК осуществил свой второй боевой поход в составе эскадры надводных кораблей, а затем и третий (11166).</w:t>
      </w:r>
    </w:p>
    <w:p w14:paraId="512E80B0" w14:textId="77777777" w:rsidR="000A77E3" w:rsidRPr="00405303" w:rsidRDefault="000A77E3" w:rsidP="00C15251">
      <w:pPr>
        <w:jc w:val="both"/>
        <w:rPr>
          <w:bCs/>
          <w:color w:val="002060"/>
          <w:sz w:val="16"/>
          <w:szCs w:val="16"/>
        </w:rPr>
      </w:pPr>
    </w:p>
    <w:p w14:paraId="000BBE93" w14:textId="77777777" w:rsidR="000A77E3" w:rsidRPr="00405303" w:rsidRDefault="000A77E3" w:rsidP="00C15251">
      <w:pPr>
        <w:jc w:val="both"/>
        <w:rPr>
          <w:bCs/>
          <w:i/>
          <w:color w:val="002060"/>
          <w:sz w:val="16"/>
          <w:szCs w:val="16"/>
        </w:rPr>
      </w:pPr>
      <w:r w:rsidRPr="00405303">
        <w:rPr>
          <w:bCs/>
          <w:i/>
          <w:color w:val="002060"/>
          <w:sz w:val="16"/>
          <w:szCs w:val="16"/>
        </w:rPr>
        <w:t>Авиация и воздухоплавание Германии:</w:t>
      </w:r>
    </w:p>
    <w:p w14:paraId="5D9AD0B0" w14:textId="77777777" w:rsidR="000A77E3" w:rsidRPr="00405303" w:rsidRDefault="000A77E3" w:rsidP="00C15251">
      <w:pPr>
        <w:jc w:val="both"/>
        <w:rPr>
          <w:bCs/>
          <w:i/>
          <w:color w:val="002060"/>
          <w:sz w:val="16"/>
          <w:szCs w:val="16"/>
        </w:rPr>
      </w:pPr>
    </w:p>
    <w:p w14:paraId="1744CE20" w14:textId="77777777" w:rsidR="000A77E3" w:rsidRPr="00405303" w:rsidRDefault="000A77E3" w:rsidP="00C15251">
      <w:pPr>
        <w:jc w:val="both"/>
        <w:rPr>
          <w:bCs/>
          <w:color w:val="002060"/>
          <w:sz w:val="16"/>
          <w:szCs w:val="16"/>
        </w:rPr>
      </w:pPr>
      <w:r w:rsidRPr="00405303">
        <w:rPr>
          <w:bCs/>
          <w:color w:val="002060"/>
          <w:sz w:val="16"/>
          <w:szCs w:val="16"/>
        </w:rPr>
        <w:t>В начале марта 1915 германскими воздухоплавателями было предпринято еще несколько попыток добраться на цеппелинах до британского побережья Северного моря. Однако все они были пресечены противовоздушной батареей Ньюпорта (11999).</w:t>
      </w:r>
    </w:p>
    <w:p w14:paraId="45A46F1A" w14:textId="77777777" w:rsidR="000A77E3" w:rsidRPr="00405303" w:rsidRDefault="000A77E3" w:rsidP="00C15251">
      <w:pPr>
        <w:jc w:val="both"/>
        <w:rPr>
          <w:bCs/>
          <w:color w:val="002060"/>
          <w:sz w:val="16"/>
          <w:szCs w:val="16"/>
        </w:rPr>
      </w:pPr>
    </w:p>
    <w:p w14:paraId="4249AC74" w14:textId="03D0B005" w:rsidR="003B52D0" w:rsidRPr="00405303" w:rsidRDefault="003B52D0" w:rsidP="003B52D0">
      <w:pPr>
        <w:jc w:val="both"/>
        <w:rPr>
          <w:bCs/>
          <w:i/>
          <w:color w:val="002060"/>
          <w:sz w:val="16"/>
          <w:szCs w:val="16"/>
        </w:rPr>
      </w:pPr>
      <w:r w:rsidRPr="00405303">
        <w:rPr>
          <w:bCs/>
          <w:i/>
          <w:color w:val="002060"/>
          <w:sz w:val="16"/>
          <w:szCs w:val="16"/>
        </w:rPr>
        <w:t>Авиация:</w:t>
      </w:r>
    </w:p>
    <w:p w14:paraId="1F69BE47" w14:textId="77777777" w:rsidR="003B52D0" w:rsidRPr="00405303" w:rsidRDefault="003B52D0" w:rsidP="003B52D0">
      <w:pPr>
        <w:jc w:val="both"/>
        <w:rPr>
          <w:bCs/>
          <w:i/>
          <w:color w:val="002060"/>
          <w:sz w:val="16"/>
          <w:szCs w:val="16"/>
        </w:rPr>
      </w:pPr>
    </w:p>
    <w:p w14:paraId="0309E211" w14:textId="77777777" w:rsidR="003B52D0" w:rsidRPr="00405303" w:rsidRDefault="003B52D0" w:rsidP="003B52D0">
      <w:pPr>
        <w:jc w:val="both"/>
        <w:rPr>
          <w:color w:val="0070C0"/>
          <w:sz w:val="16"/>
          <w:szCs w:val="16"/>
        </w:rPr>
      </w:pPr>
      <w:r w:rsidRPr="00405303">
        <w:rPr>
          <w:color w:val="0070C0"/>
          <w:sz w:val="16"/>
          <w:szCs w:val="16"/>
        </w:rPr>
        <w:t>8 (21) марта 1915 г. двум неприятельским самолетам удалось покинуть крепость Перемышль при взятии ее русскими войсками и перелететь в г. Краков (Австро-Венгрия) (25135).</w:t>
      </w:r>
    </w:p>
    <w:p w14:paraId="2D3251B6" w14:textId="77777777" w:rsidR="003B52D0" w:rsidRPr="00405303" w:rsidRDefault="003B52D0" w:rsidP="003B52D0">
      <w:pPr>
        <w:jc w:val="both"/>
        <w:rPr>
          <w:color w:val="0070C0"/>
          <w:sz w:val="16"/>
          <w:szCs w:val="16"/>
        </w:rPr>
      </w:pPr>
    </w:p>
    <w:p w14:paraId="3F0F805A" w14:textId="2505358D" w:rsidR="00391C87" w:rsidRPr="00405303" w:rsidRDefault="00391C87" w:rsidP="00C15251">
      <w:pPr>
        <w:jc w:val="both"/>
        <w:rPr>
          <w:bCs/>
          <w:i/>
          <w:color w:val="002060"/>
          <w:sz w:val="16"/>
          <w:szCs w:val="16"/>
        </w:rPr>
      </w:pPr>
      <w:r w:rsidRPr="00405303">
        <w:rPr>
          <w:bCs/>
          <w:i/>
          <w:color w:val="002060"/>
          <w:sz w:val="16"/>
          <w:szCs w:val="16"/>
        </w:rPr>
        <w:t>Морская авиация:</w:t>
      </w:r>
    </w:p>
    <w:p w14:paraId="50BBD0B0" w14:textId="77777777" w:rsidR="00391C87" w:rsidRPr="00405303" w:rsidRDefault="00391C87" w:rsidP="00C15251">
      <w:pPr>
        <w:jc w:val="both"/>
        <w:rPr>
          <w:bCs/>
          <w:i/>
          <w:color w:val="002060"/>
          <w:sz w:val="16"/>
          <w:szCs w:val="16"/>
        </w:rPr>
      </w:pPr>
    </w:p>
    <w:p w14:paraId="40F2D9DE" w14:textId="77777777" w:rsidR="00391C87" w:rsidRPr="00405303" w:rsidRDefault="00391C87" w:rsidP="00C15251">
      <w:pPr>
        <w:jc w:val="both"/>
        <w:rPr>
          <w:bCs/>
          <w:color w:val="002060"/>
          <w:sz w:val="16"/>
          <w:szCs w:val="16"/>
        </w:rPr>
      </w:pPr>
      <w:r w:rsidRPr="00405303">
        <w:rPr>
          <w:bCs/>
          <w:color w:val="002060"/>
          <w:sz w:val="16"/>
          <w:szCs w:val="16"/>
        </w:rPr>
        <w:t>8 (21) марта 1915 г. Приказом ВГК № 159 сформированы два специальных авиаотряда для организации авиационного дела на Черном море. На море отрядам действовать не пришлось. В мае они были направлены на сухопутный фронт и получили наименования 31-й и 32-й корпусных отрядов</w:t>
      </w:r>
    </w:p>
    <w:p w14:paraId="3F9CDFA2" w14:textId="77777777" w:rsidR="00391C87" w:rsidRPr="00405303" w:rsidRDefault="00391C87" w:rsidP="00C15251">
      <w:pPr>
        <w:jc w:val="both"/>
        <w:rPr>
          <w:bCs/>
          <w:color w:val="002060"/>
          <w:sz w:val="16"/>
          <w:szCs w:val="16"/>
        </w:rPr>
      </w:pPr>
      <w:r w:rsidRPr="00405303">
        <w:rPr>
          <w:bCs/>
          <w:color w:val="002060"/>
          <w:sz w:val="16"/>
          <w:szCs w:val="16"/>
        </w:rPr>
        <w:t>/ЦГВИА, ф. 2003, оп. 2, д. 617, л. 80/ (23320).</w:t>
      </w:r>
    </w:p>
    <w:p w14:paraId="003C165C" w14:textId="77777777" w:rsidR="00391C87" w:rsidRPr="00405303" w:rsidRDefault="00391C87" w:rsidP="00C15251">
      <w:pPr>
        <w:jc w:val="both"/>
        <w:rPr>
          <w:bCs/>
          <w:color w:val="002060"/>
          <w:sz w:val="16"/>
          <w:szCs w:val="16"/>
        </w:rPr>
      </w:pPr>
    </w:p>
    <w:p w14:paraId="55476861" w14:textId="77777777" w:rsidR="00B42A0C" w:rsidRPr="00405303" w:rsidRDefault="00B42A0C" w:rsidP="00C15251">
      <w:pPr>
        <w:jc w:val="both"/>
        <w:rPr>
          <w:bCs/>
          <w:i/>
          <w:color w:val="002060"/>
          <w:sz w:val="16"/>
          <w:szCs w:val="16"/>
        </w:rPr>
      </w:pPr>
      <w:r w:rsidRPr="00405303">
        <w:rPr>
          <w:bCs/>
          <w:i/>
          <w:color w:val="002060"/>
          <w:sz w:val="16"/>
          <w:szCs w:val="16"/>
        </w:rPr>
        <w:t>Авиация и воздухоплавание Германии:</w:t>
      </w:r>
    </w:p>
    <w:p w14:paraId="2F7C36C4" w14:textId="77777777" w:rsidR="00B42A0C" w:rsidRPr="00405303" w:rsidRDefault="00B42A0C" w:rsidP="00C15251">
      <w:pPr>
        <w:jc w:val="both"/>
        <w:rPr>
          <w:bCs/>
          <w:i/>
          <w:color w:val="002060"/>
          <w:sz w:val="16"/>
          <w:szCs w:val="16"/>
        </w:rPr>
      </w:pPr>
    </w:p>
    <w:p w14:paraId="4B4DDBC3" w14:textId="77777777" w:rsidR="00B42A0C" w:rsidRPr="00405303" w:rsidRDefault="00B42A0C" w:rsidP="00C15251">
      <w:pPr>
        <w:jc w:val="both"/>
        <w:rPr>
          <w:bCs/>
          <w:color w:val="002060"/>
          <w:sz w:val="16"/>
          <w:szCs w:val="16"/>
        </w:rPr>
      </w:pPr>
      <w:r w:rsidRPr="00405303">
        <w:rPr>
          <w:bCs/>
          <w:color w:val="002060"/>
          <w:sz w:val="16"/>
          <w:szCs w:val="16"/>
        </w:rPr>
        <w:t>8 (21) марта в 1915 году в ходе Первой мировой войны германские дирижабли впервые подвергли бомбардировке Париж (ранено 17 человек) (15075).</w:t>
      </w:r>
    </w:p>
    <w:p w14:paraId="04F4AA86" w14:textId="77777777" w:rsidR="00B42A0C" w:rsidRPr="00405303" w:rsidRDefault="00B42A0C" w:rsidP="00C15251">
      <w:pPr>
        <w:jc w:val="both"/>
        <w:rPr>
          <w:bCs/>
          <w:color w:val="002060"/>
          <w:sz w:val="16"/>
          <w:szCs w:val="16"/>
        </w:rPr>
      </w:pPr>
    </w:p>
    <w:p w14:paraId="393E92A0"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308BC397" w14:textId="77777777" w:rsidR="004B4E35" w:rsidRPr="00405303" w:rsidRDefault="004B4E35" w:rsidP="00C15251">
      <w:pPr>
        <w:jc w:val="both"/>
        <w:rPr>
          <w:bCs/>
          <w:i/>
          <w:color w:val="002060"/>
          <w:sz w:val="16"/>
          <w:szCs w:val="16"/>
        </w:rPr>
      </w:pPr>
    </w:p>
    <w:p w14:paraId="7CDB4BE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 (22) марта 1915 Русские войска взяли австрийскую крепость Переиышлъ. При ее осаде авцация была использована для воздушной разведки и аэрофотосъемки неприятельских укреплений, вскрытия ди-злокации артиллерии и корректирования стрельбы наших батарей. двумя действовавшими там авиаотрядами в составе 13 летчиков было совершено 127 полетов, из них 77-для бомбометания, 23 - для аэрофотосъемки и 27 - по особым заданиям, специально для разведки. Фотоснимки позиций, а их было сделано свыше 200, своевременно передавались в штабы войск, а также в инженерные и ар</w:t>
      </w:r>
      <w:r w:rsidRPr="00405303">
        <w:rPr>
          <w:bCs/>
          <w:color w:val="002060"/>
          <w:sz w:val="16"/>
          <w:szCs w:val="16"/>
        </w:rPr>
        <w:softHyphen/>
        <w:t>тиллерийские части осадной армии. На крепостные сооружения Перемышля было сброшено 234 бомбы общим весом 175 пудов 35 фунтов, из них крупных, весом около трех пудов - 42 бомбы. За время осады нашими наземными войсками было сбито несколько авст</w:t>
      </w:r>
      <w:r w:rsidRPr="00405303">
        <w:rPr>
          <w:bCs/>
          <w:color w:val="002060"/>
          <w:sz w:val="16"/>
          <w:szCs w:val="16"/>
        </w:rPr>
        <w:softHyphen/>
        <w:t>рийских самолетов, пытавшихся поддерживать связь с осажденным [гарнизоном, и захвачено в плен три свободных аэростата (Отчет Авиаканца от 9 апреля 1915 г»;Воздушный-справоч</w:t>
      </w:r>
      <w:r w:rsidRPr="00405303">
        <w:rPr>
          <w:bCs/>
          <w:color w:val="002060"/>
          <w:sz w:val="16"/>
          <w:szCs w:val="16"/>
        </w:rPr>
        <w:softHyphen/>
        <w:t>ник. 1915).</w:t>
      </w:r>
    </w:p>
    <w:p w14:paraId="03FC954C" w14:textId="77777777" w:rsidR="004B4E35" w:rsidRPr="00405303" w:rsidRDefault="004B4E35" w:rsidP="00C15251">
      <w:pPr>
        <w:shd w:val="clear" w:color="auto" w:fill="FFFFFF"/>
        <w:jc w:val="both"/>
        <w:rPr>
          <w:bCs/>
          <w:color w:val="002060"/>
          <w:sz w:val="16"/>
          <w:szCs w:val="16"/>
        </w:rPr>
      </w:pPr>
    </w:p>
    <w:p w14:paraId="0BF84221" w14:textId="77777777" w:rsidR="004B4E35" w:rsidRPr="00405303" w:rsidRDefault="009E6F82" w:rsidP="00C15251">
      <w:pPr>
        <w:jc w:val="both"/>
        <w:rPr>
          <w:bCs/>
          <w:color w:val="002060"/>
          <w:sz w:val="16"/>
          <w:szCs w:val="16"/>
        </w:rPr>
      </w:pPr>
      <w:r w:rsidRPr="00405303">
        <w:rPr>
          <w:bCs/>
          <w:color w:val="002060"/>
          <w:sz w:val="16"/>
          <w:szCs w:val="16"/>
        </w:rPr>
        <w:t>9 (22) марта 1915 - Русские войска заняли крепость Перемышль. Во взятии крепости очень большую роль сыграла русская авиация. За несколько месяцев осады благодаря корректировке с самолетов были подавлены средства сопротивления крепости, а благодаря фотографированию изучена вся система укреплений. Штурм проводился согласно созданным по фотоснимкам планам крепости и предмостных укреплений. Это был первый опыт применения авиации в подготовке взятия укреплений противника.</w:t>
      </w:r>
    </w:p>
    <w:p w14:paraId="4E0DA455" w14:textId="77777777" w:rsidR="004B4E35" w:rsidRPr="00405303" w:rsidRDefault="009E6F82" w:rsidP="00C15251">
      <w:pPr>
        <w:jc w:val="both"/>
        <w:rPr>
          <w:bCs/>
          <w:color w:val="002060"/>
          <w:sz w:val="16"/>
          <w:szCs w:val="16"/>
        </w:rPr>
      </w:pPr>
      <w:r w:rsidRPr="00405303">
        <w:rPr>
          <w:bCs/>
          <w:color w:val="002060"/>
          <w:sz w:val="16"/>
          <w:szCs w:val="16"/>
        </w:rPr>
        <w:t>Русская Ставка изменяет стратегический план и принимает решение перейти всем Северо-Западным фронтом к чисто оборонительным действиям.</w:t>
      </w:r>
    </w:p>
    <w:p w14:paraId="7C66417E" w14:textId="77777777" w:rsidR="004B4E35" w:rsidRPr="00405303" w:rsidRDefault="009E6F82" w:rsidP="00C15251">
      <w:pPr>
        <w:jc w:val="both"/>
        <w:rPr>
          <w:bCs/>
          <w:color w:val="002060"/>
          <w:sz w:val="16"/>
          <w:szCs w:val="16"/>
        </w:rPr>
      </w:pPr>
      <w:r w:rsidRPr="00405303">
        <w:rPr>
          <w:bCs/>
          <w:color w:val="002060"/>
          <w:sz w:val="16"/>
          <w:szCs w:val="16"/>
        </w:rPr>
        <w:t>Следуя заветам Нестерова, русский военный летчик Казаков, летавший на самолете "Моран-Ж", придумал "кошку с лапками". Идея его заключалась в следующем: необходимо было зацепиться "кошкой" за самолет противника, в результате чего должен был произойти взрыв капсюля, детонировавшего пироксилиновую шашку, укрепленную на "кошке". В этот день, летая в районе деревни Гузав, западнее Вислы, он обнаружил германский "Альбатрос" и напал на него. Зацепить кошкой аэроплан не удалось, и Казаков пошел на таран. Он нагнал аэроплан противника, ударил его колесами, и "Альбатрос" полетел камнем вниз. Сам Казаков при этом остался жив.</w:t>
      </w:r>
    </w:p>
    <w:p w14:paraId="79EB7F33" w14:textId="77777777" w:rsidR="004B4E35" w:rsidRPr="00405303" w:rsidRDefault="009E6F82" w:rsidP="00C15251">
      <w:pPr>
        <w:jc w:val="both"/>
        <w:rPr>
          <w:bCs/>
          <w:color w:val="002060"/>
          <w:sz w:val="16"/>
          <w:szCs w:val="16"/>
        </w:rPr>
      </w:pPr>
      <w:r w:rsidRPr="00405303">
        <w:rPr>
          <w:bCs/>
          <w:color w:val="002060"/>
          <w:sz w:val="16"/>
          <w:szCs w:val="16"/>
        </w:rPr>
        <w:t>Казаков: "Что было делать - два фронта, сорок тысяч глаз русских и немецких смотрят на нас из окопов, уйти, не сделав ничего, находясь в нескольких метрах от противника, позор перед этими 20 000 русских глаз... Проклятая кошка зацепилась и болтается под днищем самолета... Тогда я решил ударить "Альбатроса" колесами по его верхней поверхности. Не долго думая, дал руль вниз... Где-то рвануло, толкнуло, засвистело, в локоть ударил кусок от крыла моего "Морана". "Альбатрос" наклонился сначала на один бок, потом сложил крылья и полетел камнем вниз... Я выключил мотор - одной лопасти в моем винте не было. Я начал планировать, потеряв ориентировку, и только по разрывам шрапнелей догадался, где русский фронт. Садился парашютируя, но на земле перевернулся. Оказывается, удар колесами был настолько силен, что шасси было вогнуто под крылья".</w:t>
      </w:r>
    </w:p>
    <w:p w14:paraId="5A7BAE41" w14:textId="77777777" w:rsidR="004B4E35" w:rsidRPr="00405303" w:rsidRDefault="009E6F82" w:rsidP="00C15251">
      <w:pPr>
        <w:jc w:val="both"/>
        <w:rPr>
          <w:bCs/>
          <w:color w:val="002060"/>
          <w:sz w:val="16"/>
          <w:szCs w:val="16"/>
        </w:rPr>
      </w:pPr>
      <w:r w:rsidRPr="00405303">
        <w:rPr>
          <w:bCs/>
          <w:color w:val="002060"/>
          <w:sz w:val="16"/>
          <w:szCs w:val="16"/>
        </w:rPr>
        <w:t>Так Казаков доказал, что расчет Нестерова был абсолютно верным. Замечательно, что поединок в воздухе происходил между теми же типами самолетов. Петру Николаевичу помешало осуществить этот маневр настолько же точно, скорее всего, сильное нервное перенапряжение последних дней. Доказательством этому может также служить и еще один подобный таран, совершенный 19 августа в 1918 г. германским асом Удетом.</w:t>
      </w:r>
    </w:p>
    <w:p w14:paraId="55D8CEA6" w14:textId="77777777" w:rsidR="004B4E35" w:rsidRPr="00405303" w:rsidRDefault="009E6F82" w:rsidP="00C15251">
      <w:pPr>
        <w:jc w:val="both"/>
        <w:rPr>
          <w:bCs/>
          <w:color w:val="002060"/>
          <w:sz w:val="16"/>
          <w:szCs w:val="16"/>
        </w:rPr>
      </w:pPr>
      <w:r w:rsidRPr="00405303">
        <w:rPr>
          <w:bCs/>
          <w:color w:val="002060"/>
          <w:sz w:val="16"/>
          <w:szCs w:val="16"/>
        </w:rPr>
        <w:t>Удет: "Через два дня прибывает моя машина, быстроходный новый Фоккер. Он выглядит элегантно и колоритно, как настоящий ястреб. Стоящий рядом с ним старый " Авиатик I", на котором я летал в 206-й, кажется толстым и неуклюжим как гусь. Половина всех курсантов собирается к моменту моего взлета.</w:t>
      </w:r>
    </w:p>
    <w:p w14:paraId="797CAABD" w14:textId="77777777" w:rsidR="004B4E35" w:rsidRPr="00405303" w:rsidRDefault="009E6F82" w:rsidP="00C15251">
      <w:pPr>
        <w:jc w:val="both"/>
        <w:rPr>
          <w:bCs/>
          <w:color w:val="002060"/>
          <w:sz w:val="16"/>
          <w:szCs w:val="16"/>
        </w:rPr>
      </w:pPr>
      <w:r w:rsidRPr="00405303">
        <w:rPr>
          <w:bCs/>
          <w:color w:val="002060"/>
          <w:sz w:val="16"/>
          <w:szCs w:val="16"/>
        </w:rPr>
        <w:t>- И помните о главном, ребята: как можно больше тренироваться, - кричу я им, махая на прощание рукой.</w:t>
      </w:r>
    </w:p>
    <w:p w14:paraId="3EAF1F34" w14:textId="77777777" w:rsidR="004B4E35" w:rsidRPr="00405303" w:rsidRDefault="009E6F82" w:rsidP="00C15251">
      <w:pPr>
        <w:jc w:val="both"/>
        <w:rPr>
          <w:bCs/>
          <w:color w:val="002060"/>
          <w:sz w:val="16"/>
          <w:szCs w:val="16"/>
        </w:rPr>
      </w:pPr>
      <w:r w:rsidRPr="00405303">
        <w:rPr>
          <w:bCs/>
          <w:color w:val="002060"/>
          <w:sz w:val="16"/>
          <w:szCs w:val="16"/>
        </w:rPr>
        <w:t>Деревянные колодки из-под колес убраны, рычит мотор Гном, и я взлетаю. Машина кренится вправо. Я всего лишь в каком-то метре от земли. Я дергаю ручку влево, налегая на нее изо всей силы. Но ничего не происходит, абсолютно ничего! Ангар несется мне навстречу с головокружительной скоростью. Треск, какие-то обломки летят у меня над головой... Я врезался в ангар! Какое-то время я сижу не двигаясь, как будто парализованный шоком. Затем я встаю, колени мои трясутся, и выбираюсь из кабины. Я невредим, но от самолета осталась куча обломков. Курсанты и механики бегут ко мне через летное поле. Все видели мою аварию. Бегут даже со стороны казарм и штаба. Они стоят вокруг меня большим полукругом, с любопытством разглядывая машину. Несколько человек подходят ко мне с вопросами, на которые я не могу ответить.</w:t>
      </w:r>
    </w:p>
    <w:p w14:paraId="5F4CE22F" w14:textId="77777777" w:rsidR="004B4E35" w:rsidRPr="00405303" w:rsidRDefault="009E6F82" w:rsidP="00C15251">
      <w:pPr>
        <w:jc w:val="both"/>
        <w:rPr>
          <w:bCs/>
          <w:color w:val="002060"/>
          <w:sz w:val="16"/>
          <w:szCs w:val="16"/>
        </w:rPr>
      </w:pPr>
      <w:r w:rsidRPr="00405303">
        <w:rPr>
          <w:bCs/>
          <w:color w:val="002060"/>
          <w:sz w:val="16"/>
          <w:szCs w:val="16"/>
        </w:rPr>
        <w:t>Я стою молча, все во мне трясется. Подходит капитан и долго смотрит на меня.</w:t>
      </w:r>
    </w:p>
    <w:p w14:paraId="238E0C2D" w14:textId="77777777" w:rsidR="004B4E35" w:rsidRPr="00405303" w:rsidRDefault="009E6F82" w:rsidP="00C15251">
      <w:pPr>
        <w:jc w:val="both"/>
        <w:rPr>
          <w:bCs/>
          <w:color w:val="002060"/>
          <w:sz w:val="16"/>
          <w:szCs w:val="16"/>
        </w:rPr>
      </w:pPr>
      <w:r w:rsidRPr="00405303">
        <w:rPr>
          <w:bCs/>
          <w:color w:val="002060"/>
          <w:sz w:val="16"/>
          <w:szCs w:val="16"/>
        </w:rPr>
        <w:t>- Итак, - говорит он, как будто он ждал, что именно так и произойдет.</w:t>
      </w:r>
    </w:p>
    <w:p w14:paraId="1B75F1CB" w14:textId="77777777" w:rsidR="004B4E35" w:rsidRPr="00405303" w:rsidRDefault="009E6F82" w:rsidP="00C15251">
      <w:pPr>
        <w:jc w:val="both"/>
        <w:rPr>
          <w:bCs/>
          <w:color w:val="002060"/>
          <w:sz w:val="16"/>
          <w:szCs w:val="16"/>
        </w:rPr>
      </w:pPr>
      <w:r w:rsidRPr="00405303">
        <w:rPr>
          <w:bCs/>
          <w:color w:val="002060"/>
          <w:sz w:val="16"/>
          <w:szCs w:val="16"/>
        </w:rPr>
        <w:t>Я, запинаясь, бормочу:</w:t>
      </w:r>
    </w:p>
    <w:p w14:paraId="16C9AB40" w14:textId="77777777" w:rsidR="004B4E35" w:rsidRPr="00405303" w:rsidRDefault="009E6F82" w:rsidP="00C15251">
      <w:pPr>
        <w:jc w:val="both"/>
        <w:rPr>
          <w:bCs/>
          <w:color w:val="002060"/>
          <w:sz w:val="16"/>
          <w:szCs w:val="16"/>
        </w:rPr>
      </w:pPr>
      <w:r w:rsidRPr="00405303">
        <w:rPr>
          <w:bCs/>
          <w:color w:val="002060"/>
          <w:sz w:val="16"/>
          <w:szCs w:val="16"/>
        </w:rPr>
        <w:t>- Ручку заклинило, элероны не работали.</w:t>
      </w:r>
    </w:p>
    <w:p w14:paraId="51BB7A0F" w14:textId="77777777" w:rsidR="004B4E35" w:rsidRPr="00405303" w:rsidRDefault="009E6F82" w:rsidP="00C15251">
      <w:pPr>
        <w:jc w:val="both"/>
        <w:rPr>
          <w:bCs/>
          <w:color w:val="002060"/>
          <w:sz w:val="16"/>
          <w:szCs w:val="16"/>
        </w:rPr>
      </w:pPr>
      <w:r w:rsidRPr="00405303">
        <w:rPr>
          <w:bCs/>
          <w:color w:val="002060"/>
          <w:sz w:val="16"/>
          <w:szCs w:val="16"/>
        </w:rPr>
        <w:t>- Разберемся, - говорит он и кивает старшему механику.</w:t>
      </w:r>
    </w:p>
    <w:p w14:paraId="20467A0D" w14:textId="77777777" w:rsidR="004B4E35" w:rsidRPr="00405303" w:rsidRDefault="009E6F82" w:rsidP="00C15251">
      <w:pPr>
        <w:jc w:val="both"/>
        <w:rPr>
          <w:bCs/>
          <w:color w:val="002060"/>
          <w:sz w:val="16"/>
          <w:szCs w:val="16"/>
        </w:rPr>
      </w:pPr>
      <w:r w:rsidRPr="00405303">
        <w:rPr>
          <w:bCs/>
          <w:color w:val="002060"/>
          <w:sz w:val="16"/>
          <w:szCs w:val="16"/>
        </w:rPr>
        <w:t>Я иду в мою комнату и сижу у окна, уставясь в него ничего не видящими глазами, как будто забыв о том, что произошло. Другие из чувства сострадания, оставляют меня в покое. Вечером становятся известны результаты расследования. Привод пулемета перепутался с тягой дроссельной заслонки и тем самым заблокировал ручку управления. Старший механик приносит фотографию кокпита. Я pea- билитирован. Мне дают еще одну машину, но на этот раз это старый "Фоккер". На следующее утро я вылетаю в Хаб- схайм" (11999).</w:t>
      </w:r>
    </w:p>
    <w:p w14:paraId="4AC50E14" w14:textId="77777777" w:rsidR="004B4E35" w:rsidRPr="00405303" w:rsidRDefault="004B4E35" w:rsidP="00C15251">
      <w:pPr>
        <w:jc w:val="both"/>
        <w:rPr>
          <w:bCs/>
          <w:color w:val="002060"/>
          <w:sz w:val="16"/>
          <w:szCs w:val="16"/>
        </w:rPr>
      </w:pPr>
    </w:p>
    <w:p w14:paraId="5E1262A6" w14:textId="77777777" w:rsidR="00391C87" w:rsidRPr="00405303" w:rsidRDefault="00391C87" w:rsidP="00C15251">
      <w:pPr>
        <w:jc w:val="both"/>
        <w:rPr>
          <w:bCs/>
          <w:color w:val="002060"/>
          <w:sz w:val="16"/>
          <w:szCs w:val="16"/>
        </w:rPr>
      </w:pPr>
      <w:r w:rsidRPr="00405303">
        <w:rPr>
          <w:bCs/>
          <w:color w:val="002060"/>
          <w:sz w:val="16"/>
          <w:szCs w:val="16"/>
        </w:rPr>
        <w:t>9 (22) марта 1915 г. русские войска взяли австрийскую крепость Перемышль. В борьбе за нее авиация была использована для воздушной разведки и аэрофотосъемки неприятельских укреплений, вскрытия дислокации артиллерии и корректирования стрельбы наших батарей. Двумя дейст</w:t>
      </w:r>
      <w:r w:rsidRPr="00405303">
        <w:rPr>
          <w:bCs/>
          <w:color w:val="002060"/>
          <w:sz w:val="16"/>
          <w:szCs w:val="16"/>
        </w:rPr>
        <w:softHyphen/>
        <w:t>вовавшими там авиаотрядами в составе 13 летчиков было совершено 127 полетов, из коих 77 для бомбометания, 23 для аэрофотосъемки и 27 - по особым заданиям, специально для разведки. Фотоснимков позиций было сделано свыше 200, они своевременно передавались в шта</w:t>
      </w:r>
      <w:r w:rsidRPr="00405303">
        <w:rPr>
          <w:bCs/>
          <w:color w:val="002060"/>
          <w:sz w:val="16"/>
          <w:szCs w:val="16"/>
        </w:rPr>
        <w:softHyphen/>
        <w:t>бы войск, а также в инженерные и артиллерийские части осадной ар</w:t>
      </w:r>
      <w:r w:rsidRPr="00405303">
        <w:rPr>
          <w:bCs/>
          <w:color w:val="002060"/>
          <w:sz w:val="16"/>
          <w:szCs w:val="16"/>
        </w:rPr>
        <w:softHyphen/>
        <w:t>мии. В крепостные сооружения Перемышля было сброшено 234 бомбы об</w:t>
      </w:r>
      <w:r w:rsidRPr="00405303">
        <w:rPr>
          <w:bCs/>
          <w:color w:val="002060"/>
          <w:sz w:val="16"/>
          <w:szCs w:val="16"/>
        </w:rPr>
        <w:softHyphen/>
        <w:t>щим весом 175 пудов 35 фунт, из них крупных, весом около трех пудов - 42 бомбы. За время осады нашими наземными войсками было сбито не</w:t>
      </w:r>
      <w:r w:rsidRPr="00405303">
        <w:rPr>
          <w:bCs/>
          <w:color w:val="002060"/>
          <w:sz w:val="16"/>
          <w:szCs w:val="16"/>
        </w:rPr>
        <w:softHyphen/>
        <w:t>сколько австрийских самолетов, пытавшихся поддерживать связь с осажденным гарнизоном, и захвачено в плен три свободных аэростата.</w:t>
      </w:r>
    </w:p>
    <w:p w14:paraId="025F6023" w14:textId="77777777" w:rsidR="00391C87" w:rsidRPr="00405303" w:rsidRDefault="00391C87" w:rsidP="00C15251">
      <w:pPr>
        <w:jc w:val="both"/>
        <w:rPr>
          <w:bCs/>
          <w:color w:val="002060"/>
          <w:sz w:val="16"/>
          <w:szCs w:val="16"/>
        </w:rPr>
      </w:pPr>
      <w:r w:rsidRPr="00405303">
        <w:rPr>
          <w:bCs/>
          <w:color w:val="002060"/>
          <w:sz w:val="16"/>
          <w:szCs w:val="16"/>
        </w:rPr>
        <w:t>/Отчет Авиаканца от 9 апреля 1919 г; Воздушный, справочник, 1915/ (23320)</w:t>
      </w:r>
    </w:p>
    <w:p w14:paraId="1FF7CC6C" w14:textId="77777777" w:rsidR="00391C87" w:rsidRPr="00405303" w:rsidRDefault="00391C87" w:rsidP="00C15251">
      <w:pPr>
        <w:jc w:val="both"/>
        <w:rPr>
          <w:bCs/>
          <w:color w:val="002060"/>
          <w:sz w:val="16"/>
          <w:szCs w:val="16"/>
        </w:rPr>
      </w:pPr>
    </w:p>
    <w:p w14:paraId="04B9E871" w14:textId="429809B6" w:rsidR="00C246DC" w:rsidRPr="00405303" w:rsidRDefault="00C246DC" w:rsidP="00C15251">
      <w:pPr>
        <w:jc w:val="both"/>
        <w:rPr>
          <w:bCs/>
          <w:color w:val="002060"/>
          <w:sz w:val="16"/>
          <w:szCs w:val="16"/>
        </w:rPr>
      </w:pPr>
      <w:r w:rsidRPr="00405303">
        <w:rPr>
          <w:bCs/>
          <w:color w:val="002060"/>
          <w:sz w:val="16"/>
          <w:szCs w:val="16"/>
        </w:rPr>
        <w:t xml:space="preserve">9 </w:t>
      </w:r>
      <w:r w:rsidR="00391C87" w:rsidRPr="00405303">
        <w:rPr>
          <w:bCs/>
          <w:color w:val="002060"/>
          <w:sz w:val="16"/>
          <w:szCs w:val="16"/>
        </w:rPr>
        <w:t xml:space="preserve">(22) </w:t>
      </w:r>
      <w:r w:rsidRPr="00405303">
        <w:rPr>
          <w:bCs/>
          <w:color w:val="002060"/>
          <w:sz w:val="16"/>
          <w:szCs w:val="16"/>
        </w:rPr>
        <w:t xml:space="preserve">марта в 1915 году у села Гузов близ Двинска (ныне Даугавпилс) летчик 4-го корпусного авиаотряда штаб-ротмистр Александр Александрович Казаков совершил второй в истории авиации воздушный таран . Русский авиатор таранил противника, ударив колесами по верхней поверхности вражеского аппарата. За этот подвиг бывший кавалерист был награжден Золотым Георгиевским оружием. В гражданскую войну А.А.Казаков - командир Славяно-Британского авиаотряда в Архангельске, майор Королевских воздушных сил, Награждён 3 британскими орденами: "За боевые заслуги", "Военный крест", "За летные боевые заслуги". Вечером 21 июля 1919 года Казаков погиб в </w:t>
      </w:r>
      <w:proofErr w:type="gramStart"/>
      <w:r w:rsidRPr="00405303">
        <w:rPr>
          <w:bCs/>
          <w:color w:val="002060"/>
          <w:sz w:val="16"/>
          <w:szCs w:val="16"/>
        </w:rPr>
        <w:t>авиакатастрофе .</w:t>
      </w:r>
      <w:proofErr w:type="gramEnd"/>
      <w:r w:rsidRPr="00405303">
        <w:rPr>
          <w:bCs/>
          <w:color w:val="002060"/>
          <w:sz w:val="16"/>
          <w:szCs w:val="16"/>
        </w:rPr>
        <w:t xml:space="preserve"> Похоронен в селе Березняки (300 км южнее Архангельска). Неподалеку от тех мест приход Gruppman-а (15063).</w:t>
      </w:r>
    </w:p>
    <w:p w14:paraId="6B16DBFD" w14:textId="77777777" w:rsidR="00C246DC" w:rsidRPr="00405303" w:rsidRDefault="00C246DC" w:rsidP="00C15251">
      <w:pPr>
        <w:jc w:val="both"/>
        <w:rPr>
          <w:bCs/>
          <w:color w:val="002060"/>
          <w:sz w:val="16"/>
          <w:szCs w:val="16"/>
        </w:rPr>
      </w:pPr>
    </w:p>
    <w:p w14:paraId="52B3E155" w14:textId="041A19DD" w:rsidR="00063C82" w:rsidRPr="00405303" w:rsidRDefault="00063C82" w:rsidP="00C15251">
      <w:pPr>
        <w:jc w:val="both"/>
        <w:rPr>
          <w:bCs/>
          <w:color w:val="002060"/>
          <w:sz w:val="16"/>
          <w:szCs w:val="16"/>
        </w:rPr>
      </w:pPr>
      <w:r w:rsidRPr="00405303">
        <w:rPr>
          <w:bCs/>
          <w:color w:val="002060"/>
          <w:sz w:val="16"/>
          <w:szCs w:val="16"/>
        </w:rPr>
        <w:t>9 (22) марта 1915 года ИМ-Киевский воспользовался благоприятной погодой и совершил трех с половиной часовой полет над Восточной Пруссией. В то время воздушное судно было приписано к штабу Первой армии под командованием генерала от кавалерии Литвинова. Сделав два круга над Вилленбургом, одном из тех мест, где погибла армия генерала Самсонова, ИМ-Киевский сбросил 17 бомб — от 16 до 32 кг каждая — на железнодорожную станцию, ангары и конные повозки. Он также провел тщательную разведку этого района с целью собрать информацию о передвижении немецких войск в районе Млавы. Наконец, самолет сделал фотографии некоторых вражеских позиций и благополучно вернулся на аэродром.</w:t>
      </w:r>
    </w:p>
    <w:p w14:paraId="59D85D4F" w14:textId="77777777" w:rsidR="00063C82" w:rsidRPr="00405303" w:rsidRDefault="00063C82" w:rsidP="00C15251">
      <w:pPr>
        <w:jc w:val="both"/>
        <w:rPr>
          <w:bCs/>
          <w:color w:val="002060"/>
          <w:sz w:val="16"/>
          <w:szCs w:val="16"/>
        </w:rPr>
      </w:pPr>
      <w:r w:rsidRPr="00405303">
        <w:rPr>
          <w:bCs/>
          <w:color w:val="002060"/>
          <w:sz w:val="16"/>
          <w:szCs w:val="16"/>
        </w:rPr>
        <w:t xml:space="preserve">На следующий день ИМ-Киевский повторил вылет. На этот раз он сбросил 45 бомб на Вилленбург, 10 из которых были 16–ти килограммовыми. В результате железнодорожная станция и подвижной состав были уничтожены. Согласно информации, полученной позднее штабом первой русской армии, рейд вызвал сильную </w:t>
      </w:r>
      <w:r w:rsidRPr="00405303">
        <w:rPr>
          <w:bCs/>
          <w:color w:val="002060"/>
          <w:sz w:val="16"/>
          <w:szCs w:val="16"/>
        </w:rPr>
        <w:lastRenderedPageBreak/>
        <w:t>панику. Кроме разрушения железнодорожной станции, поездов и складов, было убито два вражеских офицера и семнадцать нижних чинов. Был ранен также начальник станции. В одной немецкой газете, полученной в Петрограде, сообщалось, что русские имеют специальные аэропланы, которые вызвали большой ущерб и оказались неуязвимыми для артиллерии.</w:t>
      </w:r>
    </w:p>
    <w:p w14:paraId="5C807AF6" w14:textId="77777777" w:rsidR="00063C82" w:rsidRPr="00405303" w:rsidRDefault="00063C82" w:rsidP="00C15251">
      <w:pPr>
        <w:jc w:val="both"/>
        <w:rPr>
          <w:bCs/>
          <w:color w:val="002060"/>
          <w:sz w:val="16"/>
          <w:szCs w:val="16"/>
        </w:rPr>
      </w:pPr>
      <w:r w:rsidRPr="00405303">
        <w:rPr>
          <w:bCs/>
          <w:color w:val="002060"/>
          <w:sz w:val="16"/>
          <w:szCs w:val="16"/>
        </w:rPr>
        <w:t>В результате этих успешных вылетов общее отношение к Муромцам резко переменилось. Штаб Северо-западного фронта, например, который ранее отказался использовать ИМ-2, сделал следующий запрос в Ставку: «Настоящим я прошу сообщить нам о возможности предоставить Муромцев типа Киевский в распоряжение Северо-западного фронта (23470).</w:t>
      </w:r>
    </w:p>
    <w:p w14:paraId="47FA1259" w14:textId="77777777" w:rsidR="00063C82" w:rsidRPr="00405303" w:rsidRDefault="00063C82" w:rsidP="00C15251">
      <w:pPr>
        <w:jc w:val="both"/>
        <w:rPr>
          <w:bCs/>
          <w:color w:val="002060"/>
          <w:sz w:val="16"/>
          <w:szCs w:val="16"/>
          <w:lang w:bidi="ru-RU"/>
        </w:rPr>
      </w:pPr>
    </w:p>
    <w:p w14:paraId="5F9EB825" w14:textId="55668334" w:rsidR="00063C82" w:rsidRPr="00405303" w:rsidRDefault="00063C82" w:rsidP="00C15251">
      <w:pPr>
        <w:jc w:val="both"/>
        <w:rPr>
          <w:bCs/>
          <w:color w:val="002060"/>
          <w:sz w:val="16"/>
          <w:szCs w:val="16"/>
        </w:rPr>
      </w:pPr>
      <w:r w:rsidRPr="00405303">
        <w:rPr>
          <w:bCs/>
          <w:color w:val="002060"/>
          <w:sz w:val="16"/>
          <w:szCs w:val="16"/>
          <w:lang w:bidi="en-US"/>
        </w:rPr>
        <w:t>9 (22) и 10 (23) марта 1915 г. И.М.-Киевский вылетел из Яблонны под Варшавой, провел успешную фоторазведку вражеских позиций и бомбил Вилленберг в Восточной Пруссии. Успех «Киевского» в точном поражении целей значительно улучшил имидж ИМ в глазах военачальников (23525).</w:t>
      </w:r>
    </w:p>
    <w:p w14:paraId="670B5F25" w14:textId="77777777" w:rsidR="00063C82" w:rsidRPr="00405303" w:rsidRDefault="00063C82" w:rsidP="00C15251">
      <w:pPr>
        <w:jc w:val="both"/>
        <w:rPr>
          <w:bCs/>
          <w:color w:val="002060"/>
          <w:sz w:val="16"/>
          <w:szCs w:val="16"/>
          <w:lang w:bidi="en-US"/>
        </w:rPr>
      </w:pPr>
    </w:p>
    <w:p w14:paraId="670267CD"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62551D14" w14:textId="77777777" w:rsidR="004B4E35" w:rsidRPr="00405303" w:rsidRDefault="004B4E35" w:rsidP="00C15251">
      <w:pPr>
        <w:jc w:val="both"/>
        <w:rPr>
          <w:bCs/>
          <w:i/>
          <w:color w:val="002060"/>
          <w:sz w:val="16"/>
          <w:szCs w:val="16"/>
        </w:rPr>
      </w:pPr>
    </w:p>
    <w:p w14:paraId="27118436" w14:textId="220090A5"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10 </w:t>
      </w:r>
      <w:r w:rsidR="001B25E8" w:rsidRPr="00405303">
        <w:rPr>
          <w:bCs/>
          <w:color w:val="002060"/>
          <w:sz w:val="16"/>
          <w:szCs w:val="16"/>
        </w:rPr>
        <w:t xml:space="preserve">(23) </w:t>
      </w:r>
      <w:r w:rsidRPr="00405303">
        <w:rPr>
          <w:bCs/>
          <w:color w:val="002060"/>
          <w:sz w:val="16"/>
          <w:szCs w:val="16"/>
        </w:rPr>
        <w:t xml:space="preserve">марта 1915 г. </w:t>
      </w:r>
      <w:r w:rsidR="001B25E8" w:rsidRPr="00405303">
        <w:rPr>
          <w:bCs/>
          <w:color w:val="002060"/>
          <w:sz w:val="16"/>
          <w:szCs w:val="16"/>
        </w:rPr>
        <w:t>по просьбе черноморцев и пос</w:t>
      </w:r>
      <w:r w:rsidR="001B25E8" w:rsidRPr="00405303">
        <w:rPr>
          <w:bCs/>
          <w:color w:val="002060"/>
          <w:sz w:val="16"/>
          <w:szCs w:val="16"/>
        </w:rPr>
        <w:softHyphen/>
        <w:t>ле переговоров с шефом русской авиации великим князем Александ</w:t>
      </w:r>
      <w:r w:rsidR="001B25E8" w:rsidRPr="00405303">
        <w:rPr>
          <w:bCs/>
          <w:color w:val="002060"/>
          <w:sz w:val="16"/>
          <w:szCs w:val="16"/>
        </w:rPr>
        <w:softHyphen/>
        <w:t>ром Михайловичем, две оставшие</w:t>
      </w:r>
      <w:r w:rsidR="001B25E8" w:rsidRPr="00405303">
        <w:rPr>
          <w:bCs/>
          <w:color w:val="002060"/>
          <w:sz w:val="16"/>
          <w:szCs w:val="16"/>
        </w:rPr>
        <w:softHyphen/>
        <w:t xml:space="preserve">ся от контракта лодки Щ-2 и Щ-3 направили </w:t>
      </w:r>
      <w:r w:rsidRPr="00405303">
        <w:rPr>
          <w:bCs/>
          <w:color w:val="002060"/>
          <w:sz w:val="16"/>
          <w:szCs w:val="16"/>
        </w:rPr>
        <w:t>на Чёрное море. По завершении испытаний им при</w:t>
      </w:r>
      <w:r w:rsidRPr="00405303">
        <w:rPr>
          <w:bCs/>
          <w:color w:val="002060"/>
          <w:sz w:val="16"/>
          <w:szCs w:val="16"/>
        </w:rPr>
        <w:softHyphen/>
        <w:t>своили бортовые номера 29 и 30. Первая из них, базируясь на авиатранспорте «Император Нико</w:t>
      </w:r>
      <w:r w:rsidRPr="00405303">
        <w:rPr>
          <w:bCs/>
          <w:color w:val="002060"/>
          <w:sz w:val="16"/>
          <w:szCs w:val="16"/>
        </w:rPr>
        <w:softHyphen/>
        <w:t xml:space="preserve">лай </w:t>
      </w:r>
      <w:r w:rsidRPr="00405303">
        <w:rPr>
          <w:bCs/>
          <w:color w:val="002060"/>
          <w:sz w:val="16"/>
          <w:szCs w:val="16"/>
          <w:lang w:val="en-US"/>
        </w:rPr>
        <w:t>I</w:t>
      </w:r>
      <w:r w:rsidRPr="00405303">
        <w:rPr>
          <w:bCs/>
          <w:color w:val="002060"/>
          <w:sz w:val="16"/>
          <w:szCs w:val="16"/>
        </w:rPr>
        <w:t>» с экипажем: подпоручиком по адмиралтейству А.Е. Жуковым и прапорщиком артиллерии С.Н.Кор</w:t>
      </w:r>
      <w:r w:rsidRPr="00405303">
        <w:rPr>
          <w:bCs/>
          <w:color w:val="002060"/>
          <w:sz w:val="16"/>
          <w:szCs w:val="16"/>
        </w:rPr>
        <w:softHyphen/>
        <w:t>саковым, участвовала в рейде к Босфору 12 апреля 1915 г., и пред</w:t>
      </w:r>
      <w:r w:rsidRPr="00405303">
        <w:rPr>
          <w:bCs/>
          <w:color w:val="002060"/>
          <w:sz w:val="16"/>
          <w:szCs w:val="16"/>
        </w:rPr>
        <w:softHyphen/>
        <w:t>приняла атаку бомбами турецкой канонерской лодки класса «Бурак Рейс».</w:t>
      </w:r>
    </w:p>
    <w:p w14:paraId="6609E16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Журнале заседаний авиаци</w:t>
      </w:r>
      <w:r w:rsidRPr="00405303">
        <w:rPr>
          <w:bCs/>
          <w:color w:val="002060"/>
          <w:sz w:val="16"/>
          <w:szCs w:val="16"/>
        </w:rPr>
        <w:softHyphen/>
        <w:t>онного комитета Службы связи Чёр</w:t>
      </w:r>
      <w:r w:rsidRPr="00405303">
        <w:rPr>
          <w:bCs/>
          <w:color w:val="002060"/>
          <w:sz w:val="16"/>
          <w:szCs w:val="16"/>
        </w:rPr>
        <w:softHyphen/>
        <w:t>ного моря за 24 апреля 1915 г. при</w:t>
      </w:r>
      <w:r w:rsidRPr="00405303">
        <w:rPr>
          <w:bCs/>
          <w:color w:val="002060"/>
          <w:sz w:val="16"/>
          <w:szCs w:val="16"/>
        </w:rPr>
        <w:softHyphen/>
        <w:t>водятся некоторые данные по ре</w:t>
      </w:r>
      <w:r w:rsidRPr="00405303">
        <w:rPr>
          <w:bCs/>
          <w:color w:val="002060"/>
          <w:sz w:val="16"/>
          <w:szCs w:val="16"/>
        </w:rPr>
        <w:softHyphen/>
        <w:t>зультатам испытаний летающей лод</w:t>
      </w:r>
      <w:r w:rsidRPr="00405303">
        <w:rPr>
          <w:bCs/>
          <w:color w:val="002060"/>
          <w:sz w:val="16"/>
          <w:szCs w:val="16"/>
        </w:rPr>
        <w:softHyphen/>
        <w:t>ки М-2: «Испытание лодки завода Щетинимо в открытом море 12 ап</w:t>
      </w:r>
      <w:r w:rsidRPr="00405303">
        <w:rPr>
          <w:bCs/>
          <w:color w:val="002060"/>
          <w:sz w:val="16"/>
          <w:szCs w:val="16"/>
        </w:rPr>
        <w:softHyphen/>
        <w:t>реля но волне дали следующие ре</w:t>
      </w:r>
      <w:r w:rsidRPr="00405303">
        <w:rPr>
          <w:bCs/>
          <w:color w:val="002060"/>
          <w:sz w:val="16"/>
          <w:szCs w:val="16"/>
        </w:rPr>
        <w:softHyphen/>
        <w:t>зультаты: на разбеге её не залива</w:t>
      </w:r>
      <w:r w:rsidRPr="00405303">
        <w:rPr>
          <w:bCs/>
          <w:color w:val="002060"/>
          <w:sz w:val="16"/>
          <w:szCs w:val="16"/>
        </w:rPr>
        <w:softHyphen/>
        <w:t>ло, лодка с полной нагрузкой быс</w:t>
      </w:r>
      <w:r w:rsidRPr="00405303">
        <w:rPr>
          <w:bCs/>
          <w:color w:val="002060"/>
          <w:sz w:val="16"/>
          <w:szCs w:val="16"/>
        </w:rPr>
        <w:softHyphen/>
        <w:t>тро оторвалась, хорошо взяла вы</w:t>
      </w:r>
      <w:r w:rsidRPr="00405303">
        <w:rPr>
          <w:bCs/>
          <w:color w:val="002060"/>
          <w:sz w:val="16"/>
          <w:szCs w:val="16"/>
        </w:rPr>
        <w:softHyphen/>
        <w:t>соту. По осмотре лодки воды в ней не оказалось и лётчиков нисколько не заливало, хотя пришлось прыгать с волны на волну. Считая это испы</w:t>
      </w:r>
      <w:r w:rsidRPr="00405303">
        <w:rPr>
          <w:bCs/>
          <w:color w:val="002060"/>
          <w:sz w:val="16"/>
          <w:szCs w:val="16"/>
        </w:rPr>
        <w:softHyphen/>
        <w:t>тание тяжелым и выполненным от</w:t>
      </w:r>
      <w:r w:rsidRPr="00405303">
        <w:rPr>
          <w:bCs/>
          <w:color w:val="002060"/>
          <w:sz w:val="16"/>
          <w:szCs w:val="16"/>
        </w:rPr>
        <w:softHyphen/>
        <w:t>лично, авиационный комитет при</w:t>
      </w:r>
      <w:r w:rsidRPr="00405303">
        <w:rPr>
          <w:bCs/>
          <w:color w:val="002060"/>
          <w:sz w:val="16"/>
          <w:szCs w:val="16"/>
        </w:rPr>
        <w:softHyphen/>
        <w:t>знаёт лодку Щетинина гораздо луч</w:t>
      </w:r>
      <w:r w:rsidRPr="00405303">
        <w:rPr>
          <w:bCs/>
          <w:color w:val="002060"/>
          <w:sz w:val="16"/>
          <w:szCs w:val="16"/>
        </w:rPr>
        <w:softHyphen/>
        <w:t>ше, нежели лодку ФБА. К недостат</w:t>
      </w:r>
      <w:r w:rsidRPr="00405303">
        <w:rPr>
          <w:bCs/>
          <w:color w:val="002060"/>
          <w:sz w:val="16"/>
          <w:szCs w:val="16"/>
        </w:rPr>
        <w:softHyphen/>
        <w:t>кам этой лодки относится скверный способ обшивки, так как на другой лодке при хорошей посадке отста</w:t>
      </w:r>
      <w:r w:rsidRPr="00405303">
        <w:rPr>
          <w:bCs/>
          <w:color w:val="002060"/>
          <w:sz w:val="16"/>
          <w:szCs w:val="16"/>
        </w:rPr>
        <w:softHyphen/>
        <w:t>ли листы фанеры». Но жизненный цикл этого варианта лодок оказал</w:t>
      </w:r>
      <w:r w:rsidRPr="00405303">
        <w:rPr>
          <w:bCs/>
          <w:color w:val="002060"/>
          <w:sz w:val="16"/>
          <w:szCs w:val="16"/>
        </w:rPr>
        <w:softHyphen/>
        <w:t>ся коротким: лодку №30 списали в октябре; но Балтике Щ-2 и Щ-3 ис</w:t>
      </w:r>
      <w:r w:rsidRPr="00405303">
        <w:rPr>
          <w:bCs/>
          <w:color w:val="002060"/>
          <w:sz w:val="16"/>
          <w:szCs w:val="16"/>
        </w:rPr>
        <w:softHyphen/>
        <w:t>пользовались до зимы 1915-1916 гг. после чего с них сняли двигатели (11759).</w:t>
      </w:r>
    </w:p>
    <w:p w14:paraId="24195229" w14:textId="77777777" w:rsidR="004B4E35" w:rsidRPr="00405303" w:rsidRDefault="004B4E35" w:rsidP="00C15251">
      <w:pPr>
        <w:jc w:val="both"/>
        <w:rPr>
          <w:bCs/>
          <w:i/>
          <w:color w:val="002060"/>
          <w:sz w:val="16"/>
          <w:szCs w:val="16"/>
        </w:rPr>
      </w:pPr>
    </w:p>
    <w:p w14:paraId="4B0B9063" w14:textId="77777777" w:rsidR="0019111B" w:rsidRPr="00405303" w:rsidRDefault="0019111B" w:rsidP="00C15251">
      <w:pPr>
        <w:jc w:val="both"/>
        <w:rPr>
          <w:bCs/>
          <w:color w:val="002060"/>
          <w:sz w:val="16"/>
          <w:szCs w:val="16"/>
        </w:rPr>
      </w:pPr>
      <w:r w:rsidRPr="00405303">
        <w:rPr>
          <w:bCs/>
          <w:color w:val="002060"/>
          <w:sz w:val="16"/>
          <w:szCs w:val="16"/>
        </w:rPr>
        <w:t>10 (23) марта 1915 г. по просьбе черноморских летчиков и после переговоров между шефом русской авиации Великим князем Александром Михайловичем, командующим Балтийским флотом Н. О. фон Эссеном, начальни</w:t>
      </w:r>
      <w:r w:rsidRPr="00405303">
        <w:rPr>
          <w:bCs/>
          <w:color w:val="002060"/>
          <w:sz w:val="16"/>
          <w:szCs w:val="16"/>
        </w:rPr>
        <w:softHyphen/>
        <w:t>ком МГШ А. И. Русиным и начальником Воздухоплавательного отделения МГШ А. А. Тучковым две оставшиеся от контракта летающие лодки Ще были высланы в Севастополь., для укрепле</w:t>
      </w:r>
      <w:r w:rsidRPr="00405303">
        <w:rPr>
          <w:bCs/>
          <w:color w:val="002060"/>
          <w:sz w:val="16"/>
          <w:szCs w:val="16"/>
        </w:rPr>
        <w:softHyphen/>
        <w:t>ния воздушных сил ввиду планировавшихся наступательных операций у Босфора. Через десять дней вслед за аппаратами выехала целая бригада от ПРТВ, в составе инженера А. Н. Седельникова, пилота Я. И. Седова-Серова, двух механиков и двух монтеров. Двадцать четвертого марта ма</w:t>
      </w:r>
      <w:r w:rsidRPr="00405303">
        <w:rPr>
          <w:bCs/>
          <w:color w:val="002060"/>
          <w:sz w:val="16"/>
          <w:szCs w:val="16"/>
        </w:rPr>
        <w:softHyphen/>
        <w:t>шины прибыли на место, а 31-го числа приемная комиссия Севастопольского порта провела их ис</w:t>
      </w:r>
      <w:r w:rsidRPr="00405303">
        <w:rPr>
          <w:bCs/>
          <w:color w:val="002060"/>
          <w:sz w:val="16"/>
          <w:szCs w:val="16"/>
        </w:rPr>
        <w:softHyphen/>
        <w:t>пытания, состоявшие из одного 25- и одного 13-минутного полета, во время которых контрак</w:t>
      </w:r>
      <w:r w:rsidRPr="00405303">
        <w:rPr>
          <w:bCs/>
          <w:color w:val="002060"/>
          <w:sz w:val="16"/>
          <w:szCs w:val="16"/>
        </w:rPr>
        <w:softHyphen/>
        <w:t>тную высоту покорили за 7,5 минут. По зачисле</w:t>
      </w:r>
      <w:r w:rsidRPr="00405303">
        <w:rPr>
          <w:bCs/>
          <w:color w:val="002060"/>
          <w:sz w:val="16"/>
          <w:szCs w:val="16"/>
        </w:rPr>
        <w:softHyphen/>
        <w:t>нии в казну, удостоившись флотских номеров 29 и 30, аппараты пополнили ряды боевых гидроаэ</w:t>
      </w:r>
      <w:r w:rsidRPr="00405303">
        <w:rPr>
          <w:bCs/>
          <w:color w:val="002060"/>
          <w:sz w:val="16"/>
          <w:szCs w:val="16"/>
        </w:rPr>
        <w:softHyphen/>
        <w:t>ропланов Черноморского флота, 8 апреля летчи</w:t>
      </w:r>
      <w:r w:rsidRPr="00405303">
        <w:rPr>
          <w:bCs/>
          <w:color w:val="002060"/>
          <w:sz w:val="16"/>
          <w:szCs w:val="16"/>
        </w:rPr>
        <w:softHyphen/>
        <w:t>ки начали осваивать их и вскоре «29-й» выдер</w:t>
      </w:r>
      <w:r w:rsidRPr="00405303">
        <w:rPr>
          <w:bCs/>
          <w:color w:val="002060"/>
          <w:sz w:val="16"/>
          <w:szCs w:val="16"/>
        </w:rPr>
        <w:softHyphen/>
        <w:t>жал крещение огнем, участвуя в рейде к Босфору 9-13 апреля. Он находился на борту гидрокрейсе</w:t>
      </w:r>
      <w:r w:rsidRPr="00405303">
        <w:rPr>
          <w:bCs/>
          <w:color w:val="002060"/>
          <w:sz w:val="16"/>
          <w:szCs w:val="16"/>
        </w:rPr>
        <w:softHyphen/>
        <w:t>ра «Император Николай I»; ранним утром 12-го числа его спустили на воду, и он взлетел с экипа</w:t>
      </w:r>
      <w:r w:rsidRPr="00405303">
        <w:rPr>
          <w:bCs/>
          <w:color w:val="002060"/>
          <w:sz w:val="16"/>
          <w:szCs w:val="16"/>
        </w:rPr>
        <w:softHyphen/>
        <w:t>жем из подпоручика по Адмиралтейству А. Е. Жукова и прапорщика артиллерии С. Н. Корса</w:t>
      </w:r>
      <w:r w:rsidRPr="00405303">
        <w:rPr>
          <w:bCs/>
          <w:color w:val="002060"/>
          <w:sz w:val="16"/>
          <w:szCs w:val="16"/>
        </w:rPr>
        <w:softHyphen/>
        <w:t>кова. Авиаторы сумели атаковать турецкую ка</w:t>
      </w:r>
      <w:r w:rsidRPr="00405303">
        <w:rPr>
          <w:bCs/>
          <w:color w:val="002060"/>
          <w:sz w:val="16"/>
          <w:szCs w:val="16"/>
        </w:rPr>
        <w:softHyphen/>
        <w:t>нонерскую лодку класса «Бурак Рейс», сбросив на нее бомбу, разорвавшуюся в 70 м за кормой корабля. Однако вылет едва не закончился плачевно: лопнувшая в топливной системе трубка вынудила офицеров приводниться на значительном расстоянии от их плавучей базы, но им все же повезло прирулить к ней по поверхности моря. После осмотра двига</w:t>
      </w:r>
      <w:r w:rsidRPr="00405303">
        <w:rPr>
          <w:bCs/>
          <w:color w:val="002060"/>
          <w:sz w:val="16"/>
          <w:szCs w:val="16"/>
        </w:rPr>
        <w:softHyphen/>
        <w:t>теля выяснилось, что, помимо всего, шатун одного из поршней лопнул и грозил, в принципе, разнести вдребезги всю моторную установку (2807).</w:t>
      </w:r>
    </w:p>
    <w:p w14:paraId="15AEF996" w14:textId="77777777" w:rsidR="0019111B" w:rsidRPr="00405303" w:rsidRDefault="0019111B" w:rsidP="00C15251">
      <w:pPr>
        <w:jc w:val="both"/>
        <w:rPr>
          <w:bCs/>
          <w:color w:val="002060"/>
          <w:sz w:val="16"/>
          <w:szCs w:val="16"/>
        </w:rPr>
      </w:pPr>
    </w:p>
    <w:p w14:paraId="7A71C0A3" w14:textId="56A17AF2" w:rsidR="004B4E35" w:rsidRPr="00405303" w:rsidRDefault="009E6F82" w:rsidP="00C15251">
      <w:pPr>
        <w:jc w:val="both"/>
        <w:rPr>
          <w:bCs/>
          <w:color w:val="002060"/>
          <w:sz w:val="16"/>
          <w:szCs w:val="16"/>
        </w:rPr>
      </w:pPr>
      <w:r w:rsidRPr="00405303">
        <w:rPr>
          <w:bCs/>
          <w:color w:val="002060"/>
          <w:sz w:val="16"/>
          <w:szCs w:val="16"/>
        </w:rPr>
        <w:t xml:space="preserve">С 10 </w:t>
      </w:r>
      <w:r w:rsidR="0019111B" w:rsidRPr="00405303">
        <w:rPr>
          <w:bCs/>
          <w:color w:val="002060"/>
          <w:sz w:val="16"/>
          <w:szCs w:val="16"/>
        </w:rPr>
        <w:t xml:space="preserve">(23) </w:t>
      </w:r>
      <w:r w:rsidRPr="00405303">
        <w:rPr>
          <w:bCs/>
          <w:color w:val="002060"/>
          <w:sz w:val="16"/>
          <w:szCs w:val="16"/>
        </w:rPr>
        <w:t xml:space="preserve">марта 1915 г. по март 1916 г. завод </w:t>
      </w:r>
      <w:r w:rsidR="0019111B" w:rsidRPr="00405303">
        <w:rPr>
          <w:bCs/>
          <w:color w:val="002060"/>
          <w:sz w:val="16"/>
          <w:szCs w:val="16"/>
        </w:rPr>
        <w:t xml:space="preserve">А.А.Анатра </w:t>
      </w:r>
      <w:r w:rsidRPr="00405303">
        <w:rPr>
          <w:bCs/>
          <w:color w:val="002060"/>
          <w:sz w:val="16"/>
          <w:szCs w:val="16"/>
        </w:rPr>
        <w:t>получил заказы на 139 машин"ВИ"</w:t>
      </w:r>
      <w:r w:rsidR="0019111B" w:rsidRPr="00405303">
        <w:rPr>
          <w:bCs/>
          <w:color w:val="002060"/>
          <w:sz w:val="16"/>
          <w:szCs w:val="16"/>
        </w:rPr>
        <w:t>, сконструированных подпоручиком В. Ивановым, - машина типа "Вуазен"</w:t>
      </w:r>
      <w:r w:rsidRPr="00405303">
        <w:rPr>
          <w:bCs/>
          <w:color w:val="002060"/>
          <w:sz w:val="16"/>
          <w:szCs w:val="16"/>
        </w:rPr>
        <w:t xml:space="preserve">. Однако выполнение заказа затянулось. Причина состояла в том, что в серию была спущена недоведенная машина. Она строилась под двигатель "Сальмсон" водяного охлаждения мощностью 150 л. с. Конструктор все свое внимание сосредоточил на повышении скорости и скороподъемности самолета. Ему удалось добиться скорости полета 125 км/ч и скороподъемности на высоту 2000 м - 21 мин и превзойти по этим показателям аналогичные самолеты, строившиеся на заводах "Дукс", Щетинина и Лебедева. Но при этом конструктор пожертвовал поперечной устойчивостью и управляемостью машины. Элероны были сделаны меньше принятых для данного класса самолетов. Кроме того, тросы, идущие от ручки управления к элеронам, в силу чрезмерного трения о стенки гондолы и стойки коробки крыльев действовали очень туго. Комиссия, проводившая испытания, отметила, что "гоширо-вания аппарат слушается вяло и во всяком случае медленнее "Вуазена". Эти явления особенно усиливались на малой скорости полета. Крайне ненадежной оказалась конструкция шасси - облегченные оси прогибались не только при посадке, но и от собственной тяжести самолета при хранении в ангаре, как это произошло в 5-м Сибирском корпусном авиаотряде. Результатом серьезных конструктивных недостатков "ВИ" были частые катастрофы и гибель экипажей при выполнении боевых заданий. Когда инспектор авиации армий Юго-Западного фронта в феврале 1917 г. объезжал авиационные отряды фронта, то летчики повсеместно жаловались ему на плохое качество самолетов завода Анатра. В своем докладе на имя полевого генерал-инспектора военного воздушного флота при верховном главнокомандующем инспектор подчеркнул: "К самолетам "ВИ" летчики относятся с большим недоверием. Боковая устойчивость и управляемость У него хуже "Вуазена". Небольшое превосходство в скорости не увеличивает его способности к бою сравнительно с "Вуазеном" вследствие меньшей управляемости. Случаи катастроф в 26-м корпусном авиационном отряде приписывают неконструктивности "ВИ". Крайне желательно эту систему изъять из вооружения на фронте, иначе на работу артиллерийских отделений в горячий период операций трудно рассчитывать". </w:t>
      </w:r>
      <w:proofErr w:type="gramStart"/>
      <w:r w:rsidRPr="00405303">
        <w:rPr>
          <w:bCs/>
          <w:color w:val="002060"/>
          <w:sz w:val="16"/>
          <w:szCs w:val="16"/>
        </w:rPr>
        <w:t>а</w:t>
      </w:r>
      <w:proofErr w:type="gramEnd"/>
      <w:r w:rsidRPr="00405303">
        <w:rPr>
          <w:bCs/>
          <w:color w:val="002060"/>
          <w:sz w:val="16"/>
          <w:szCs w:val="16"/>
        </w:rPr>
        <w:t xml:space="preserve"> Под давлением военного ведомства В. Иванов пытался исправить недостатки своего самолета, несколько увеличив размер элеронов и усилив добавочными растяжками шасси. В марте 1917 г. в 26-м корпусном авиаотряде были проведены испытания модернизированной машины. Комиссия под председательством командира отряда капитана Антонова после полетов, продемонстрированных самим конструктором, и двух полетов членов комиссии отметила в акте, что машина достигла потолка 2900 м за 38,5 мин; разбег при взлете составил 140 м, при посадке - 170 м. Число оборотов двигателя в полете равнялось 1350 - 1370. Подтвердив, что самолет по-прежнему слабо слушается элеронов, комиссия в то же время пришла к выводу, что он "к работе на фронте годен, но требует большой осторожности, внимания и опытности со стороны летчика". Однако предубеждение против машины было столь сильно, что комиссия не могла не подчеркнуть, что "несколько случаев однотипных поломок, имевших место в отрядах дивизиона, и преждевременная гибель двух летчиков служат ярким и лучшим доказательством несовершенства самолетов этого типа, на что комиссия обращает особое внимание, считая, что производственные испытания не опровергли того, что выяснено путем печального опыта".1 Заводу так и не удалось справиться с дефектами машины, продолжавшей к тому же строиться крайне небрежно. В апреле 1917 г. в 5-м Сибирском корпусном авиаотряде было составлено около 10 актов о дефектах и поломках самолетов "ВИ". В конце концов специально созданная комиссия, разобрав все случаи аварий машины В. Иванова, признала: 1) Самолеты и моторы собраны на заводе крайне небрежно. 2) Ответственные части изготовлены из весьма недоброкачественного материала, что подтверждалось в отряде неоднократно. 3) Некоторые детали конструкции самолета, в особенности шасси, совершенно неправильно рассчитаны. Самолеты "ВИ" завода Анатра для боевой работы совершенно не пригодны". 2 Таким образом, дело заключалось не только в конструктивных недостатках, но и в безответственном отношении к производству техники. Только крайняя нужда в боевых самолетах для корректирования стрельбы артиллерии заставляла командование сохранять "ВИ" на вооружении авиационных отрядов. Помимо "ВИ" завод освоил производство двухместного самолета-разведчика "Анатра-Д". Эта машина строилась по типу "Лебедь-12", но отличалась от него меньшими размерами. Она проектировалась под двигатель "Гном-Моносупап" мощностью 100 л. с., тогда как на "Лебеде-12" стоял двигатель "Сальмсон" в 150 л. с., соответственно и полезная нагрузка самолета составляла только 250-300 кг, а запас бензина рассчитан на 3-3,5 ч полета. "Анатра-Д" уступал "Лебедю-12" и по скорости - 125 км/ч, но обладал лучшей маневренностью и скороподъемностью, составлявшей 16,5 мин на высоту 2000 м. 26 апреля 1916 г. ГВТУ после официальных испытаний заказало заводу 80 машин "Анатра-Д". Первые самолеты этого типа, поступившие на вооружение </w:t>
      </w:r>
      <w:r w:rsidRPr="00405303">
        <w:rPr>
          <w:bCs/>
          <w:color w:val="002060"/>
          <w:sz w:val="16"/>
          <w:szCs w:val="16"/>
        </w:rPr>
        <w:lastRenderedPageBreak/>
        <w:t>военно-воздушных сил, в середине 1916 г. приняли участие в боевых полетах. Летчики жаловались на их слабую управляемость и тенденцию сваливаться на нос во время планирования. Заводские конструкторы приняли меры к ликвидации этих недостатков и одновременно начали проектировать самолет под двигатель "Клерже" мощностью 130л. с. Новая машина впоследствии получила марку "Анатра-Клер". Особое совещание по обороне государства в октябре 1916 года приняло решение заказать 400 самолетов "Анатра-Д" для корпусных авиаотрядов, а также 1OO самолетов-истребителей "Ньюпор-11" и "Ньюпор-14", Предполагалось, что 250 машин "Анатра-Д" выпустят в Одессе и 150 - в Симферополе, где заканчивалось строительство завода с месячной производительностью 50 самолетов. Цена машины устанавливалась в 12 тыс. руб., комплект запасных частей оплачивался в размере 40 % стоимости самолета. Двигатели и винты обеспечивало военное ведомство. Истребители "Ньюпор" с пулеметной установкой предполагалось построить на основном заводе в Одессе по 11 тыс. руб. за машину. Если учесть, что себестоимость указанных самолетов не превышала 7-8 тыс. руб., то станет понятным, какие доходы получал банкир Анатра от их постройки. Превышение стоимости "Ньюпоров" на 800 руб. по сравнению с "Ньюпорами" завода "Дукс" объяснялось тем, что одесское предприятие впервые приступало к постройке аппаратов этого типа. Кроме того, оно обязалось вслед за освоением самолета с несущей поверхностью 12 р перейти к постройке "Ньюпора-14" с двигателем мощностью 150 л. с. и несущей площадью 30 р. А. А. Анатра получил такие же льготы для обеспечения заказа, как и В. А. Лебедев, - освобождение от залога, выдачу иностранной валюты по 3000 руб. на самолет и по 1000 руб. на комплект запасных частей, уплату лицензии за счет государства, выдачу 30 % аванса. Общая сумма заказа составила 8134 тыс. руб. Из них не менее 2 млн руб. должно было остаться в кармане банкира в виде чистой прибыли. Особое совещание утвердило сроки поставок. Одесский завод Должен был выпустить в январе 30, в феврале - мае - по 40, в июне - 60 самолетов "Анатра-Д"; в январе - феврале по 30, в марте - 40 самолетов "Ньюпор"; заводу в Симферополе ставилась задача с января по июнь выпускать по 25 самолетов "Анатра-Д". С начала 1917 г. самолеты начали поступать в действующую армию. Но сроки поставок не выдерживались. Выполнение заказа затянулось до конца 1917 г. 1 Заводу пришлось производить уже не "Ньюпор-11", а "Ньюпор-17". Военное ведомство выдало ему официальное задание на 200 таких самолетов. Крупный заказ получило предприятие также и на летающие лодки. К октябрю 1917 г. завод выпускал ежемесячно 50 самолетов. Симферопольский авиазавод из-за несвоевременной доставки оборудования только в середине 1917 г. начал давать продукцию - 15-20 машин ежемесячно. Это были, главным образом, летающие лодки. Завод располагал большими механическим, сборочным и деревообделочным цехами. На нем было занято около тысячи рабочих и служащих. Качество производившихся самолетов было удовлетворительным, хотя вследствие крайней спешки при выполнении заказов обнаружился ряд дефектов - плохая клейка обшивки крыльев, неудовлетворительное крепление стоек, небрежная сборка. Подполковник Ткачев, инспектируя авиаотряды Юго-Западного фронта, доносил в ставку: "Самолет Анаде 2, по заявлению всех командиров отрядов, вполне удовлетворительный. Большим недостатком сейчас является только неполная тяга мотора в полете, что объясняют слабой вентиляцией в месте помещения мотора, почему возможно всасывание мотором части отработанных и уже выброшенных газов".</w:t>
      </w:r>
      <w:proofErr w:type="gramStart"/>
      <w:r w:rsidRPr="00405303">
        <w:rPr>
          <w:bCs/>
          <w:color w:val="002060"/>
          <w:sz w:val="16"/>
          <w:szCs w:val="16"/>
        </w:rPr>
        <w:t>3 По-видимому</w:t>
      </w:r>
      <w:proofErr w:type="gramEnd"/>
      <w:r w:rsidRPr="00405303">
        <w:rPr>
          <w:bCs/>
          <w:color w:val="002060"/>
          <w:sz w:val="16"/>
          <w:szCs w:val="16"/>
        </w:rPr>
        <w:t>, речь шла о неудачной системе охлаждения двигателя. Самолеты "Анатра-Д" с середины 1916 г. поступали в действующую армию регулярно. В следующем году военное ведомство выдало заводу заказ</w:t>
      </w:r>
      <w:proofErr w:type="gramStart"/>
      <w:r w:rsidRPr="00405303">
        <w:rPr>
          <w:bCs/>
          <w:color w:val="002060"/>
          <w:sz w:val="16"/>
          <w:szCs w:val="16"/>
        </w:rPr>
        <w:t>'.еще</w:t>
      </w:r>
      <w:proofErr w:type="gramEnd"/>
      <w:r w:rsidRPr="00405303">
        <w:rPr>
          <w:bCs/>
          <w:color w:val="002060"/>
          <w:sz w:val="16"/>
          <w:szCs w:val="16"/>
        </w:rPr>
        <w:t xml:space="preserve"> на 300 машин этого тидя. Таким образом, в течение года надлежало сдать 700 самолетов. Между тем, печальный опыт постройки самолетов "ВИ" настолько основательно испортил репутацию одесского предприятия, что летчики и к "Анатре-Д" стали относиться недоверчиво, считая и </w:t>
      </w:r>
      <w:proofErr w:type="gramStart"/>
      <w:r w:rsidRPr="00405303">
        <w:rPr>
          <w:bCs/>
          <w:color w:val="002060"/>
          <w:sz w:val="16"/>
          <w:szCs w:val="16"/>
        </w:rPr>
        <w:t>его "неконструктивным"</w:t>
      </w:r>
      <w:proofErr w:type="gramEnd"/>
      <w:r w:rsidRPr="00405303">
        <w:rPr>
          <w:bCs/>
          <w:color w:val="002060"/>
          <w:sz w:val="16"/>
          <w:szCs w:val="16"/>
        </w:rPr>
        <w:t xml:space="preserve"> и "опасным" в полете. Даже после того, как машина была улучшена и на ней установлен двигатель "Клерже", летчики по-прежнему с опаской пользовались ею. Достаточно сослаться на пример 4-го артиллерийского авиаотряда Юго-Западного фронта. Здесь в июне 1917 г. в течение месяца выбыли из строя шесть только что полученных самолетов, что в значительной степени являлось результатом предубежденности против продукции завода Анатра. Бесспорно, качество самолетов этого предприятия было ниже, чем у "Дукса" или РБВЗ, однако объективно летные качества самолета "Анатра-Д" были удовлетворительными. Запас прочности был тройным. Чтобы рассеять недоверчивое отношение летного состава к машине, командир 11-го армейского авиационного отряда штабс-капитан Макаров решил выполнить на ней фигуры высшего пилотажа. Для этой цели был взят боевой самолет нормальной регулировки "Анатра-Д" с двигателем "Гном-Моносупап" мощностью 100 л. с. с несколько увеличенным углом установки, налетавший в отряде около 60 ч. Вместо пассажира был положен добавочный груз (мешок с песком). Полезная нагрузка составляла 249 кг. 31 мая 1917 г. Макаров, набрав высоту 1800 м, устремил машину вниз и на высоте 1500 м сделал подряд две "мертвые петли" (впоследствии названные "петлями Нестерова"). Наблюдавшие с земли летчики, летчики-наблюдатели и мотористы засвидетельствовали, что и вторая петля была сделана "вполне чисто", отметив в акте, что "кривые петель вполне правильные - без "опрокидывания" самолета, в верхней части их восходящей ветви, видимо, запас инерции "разгона" вполне достаточен. По осмотре самолета после мертвых петель выяснилось, что его регулировка нигде не нарушилась; тросы полукоробок, фюзеляжа, стабилизатора не растянуты; немного ослабли (до двух оборотов тендера) тросы, идущие от полукоробок к капоту". 1 Акт подписали 22 авиатора, к нему приложена фотография летчика и самолета. В истории русской авиации это были первые фигуры высшего пилотажа, сделанные на машине, предназначенной для корпусных авиаотрядов и не рассчитанной на высший пилотаж. Однако не все выпускаемые самолеты этого типа были одинакового качества. В начале 1917 г., когда возникла острая нехватка специальных сортов леса для лонжеронов крыльев, Анатра возбудил ходатайство перед УВВФ разрешить склеивать каждую половину лонжерона из двух частей. Нормальные лонжероны крыльев состояли из двух половин, склеенных между собой по всей длине. Теперь же место склейки каждой половины лонжерона приходилось против осей стоек главной коробки. Длина склейки составляла 300 мм. Место склейки обматывалось полотняной лентой </w:t>
      </w:r>
      <w:proofErr w:type="gramStart"/>
      <w:r w:rsidRPr="00405303">
        <w:rPr>
          <w:bCs/>
          <w:color w:val="002060"/>
          <w:sz w:val="16"/>
          <w:szCs w:val="16"/>
        </w:rPr>
        <w:t>на клею</w:t>
      </w:r>
      <w:proofErr w:type="gramEnd"/>
      <w:r w:rsidRPr="00405303">
        <w:rPr>
          <w:bCs/>
          <w:color w:val="002060"/>
          <w:sz w:val="16"/>
          <w:szCs w:val="16"/>
        </w:rPr>
        <w:t>. Официальные испытания склеенных таким способом лонжеронов показали, что прочность их одинакова с прочностью целых лонжеронов. После того как Технический комитет УВВФ получил положительное заключение профессора С. П. Тимошенко, такая склейка была допущена при изготовлении самолета. Но одно дело испытание специально подготовленной склейки в лабораторных условиях, и другое, - когда ее осуществляют в условиях серийного производства при спешке и слабом техническом контроле. Прочность заводской склейки лонжеронов оказалась недостаточной. Когда пилот завода Анатра лейтенант французской службы Робино с механиком завода Иваном Омелиным, готовясь к авиационной неделе, решили сделать на самолете "Анатра-Д" (мотор Клерже") фигуры высшего пилотажа, эксперимент окончился катастрофой. Как видно из телеграммы в УВВФ от 17 июля 1917 г., летчик сделал "вслед за подъемом с земли рискованную горку, затем на высоте около 1500 метров после двукратного резкого переворачивания через левое крыло (по-видимому, неудавшаяся мертвая петля), выровняв самолет, стал под углом около 45° спускаться вниз с работающим мотором, развив таким образом огромную скорость. В момент резкого перехода на подъем вверх, по-видимому, для совершения мертвой петли, левая нижняя плоскость вследствие создавшихся сильных напряжении частей самолета, вызванных указанными выше ненормальными обстоятельствами, сломалась. Самолет перешел в штопор носом вниз. Пилот и механик разбились насмерть". 1 Можно предполагать, что причиной катастрофы была недостаточная прочность лонжеронов крыла. Глубинными причинами низкого качества продукции завода Анатра являлись оторванность завода от аэродинамических лабораторий Москвы и Петрограда, более низкая квалификация рабочих и технического персонала, безудержная погоня владельца завода за прибылью. Наряду с постройкой серийных машин на Одесском заводе велись и опытные работы. Здесь были построены впервые в мировой практике самолетостроения двухмоторный двухфюзеляжный и трехмоторный самолеты. Военное ведомство оставило без внимания и поддержки эти интересные изобретения. Завод освоил также опытный образец учебного самолета "Кодрон". В октябре 1917 года ему было заказано 10 машин этого типа с двойным управлением. Двигатели и винты для них предоставляло военное ведомство. Стоимость аппарата - 13,5 тыс. руб. Завод рассчитывал сдать самолеты через два месяца партиями по 20 штук, но оформление заказа затянулось, на документе есть пометка: "Решения исполнительной комиссии не последовало". Исполнительная комиссия находилась при военном министре, и от ее решения зависела судьба заказа на самолеты (11861).</w:t>
      </w:r>
    </w:p>
    <w:p w14:paraId="78F833EF" w14:textId="77777777" w:rsidR="004B4E35" w:rsidRPr="00405303" w:rsidRDefault="004B4E35" w:rsidP="00C15251">
      <w:pPr>
        <w:jc w:val="both"/>
        <w:rPr>
          <w:bCs/>
          <w:i/>
          <w:color w:val="002060"/>
          <w:sz w:val="16"/>
          <w:szCs w:val="16"/>
        </w:rPr>
      </w:pPr>
    </w:p>
    <w:p w14:paraId="7C4C141C" w14:textId="57C7A204" w:rsidR="000F08A3" w:rsidRPr="00405303" w:rsidRDefault="0019111B" w:rsidP="00C15251">
      <w:pPr>
        <w:jc w:val="both"/>
        <w:rPr>
          <w:bCs/>
          <w:color w:val="002060"/>
          <w:sz w:val="16"/>
          <w:szCs w:val="16"/>
        </w:rPr>
      </w:pPr>
      <w:r w:rsidRPr="00405303">
        <w:rPr>
          <w:bCs/>
          <w:color w:val="002060"/>
          <w:sz w:val="16"/>
          <w:szCs w:val="16"/>
        </w:rPr>
        <w:t xml:space="preserve">С </w:t>
      </w:r>
      <w:r w:rsidR="000F08A3" w:rsidRPr="00405303">
        <w:rPr>
          <w:bCs/>
          <w:color w:val="002060"/>
          <w:sz w:val="16"/>
          <w:szCs w:val="16"/>
        </w:rPr>
        <w:t xml:space="preserve">10 </w:t>
      </w:r>
      <w:r w:rsidRPr="00405303">
        <w:rPr>
          <w:bCs/>
          <w:color w:val="002060"/>
          <w:sz w:val="16"/>
          <w:szCs w:val="16"/>
        </w:rPr>
        <w:t xml:space="preserve">(23) </w:t>
      </w:r>
      <w:r w:rsidR="000F08A3" w:rsidRPr="00405303">
        <w:rPr>
          <w:bCs/>
          <w:color w:val="002060"/>
          <w:sz w:val="16"/>
          <w:szCs w:val="16"/>
        </w:rPr>
        <w:t>марта 1915 г.</w:t>
      </w:r>
      <w:r w:rsidRPr="00405303">
        <w:rPr>
          <w:bCs/>
          <w:color w:val="002060"/>
          <w:sz w:val="16"/>
          <w:szCs w:val="16"/>
        </w:rPr>
        <w:t xml:space="preserve"> свои первые машины типа «Вуазен» завод «Анатра» должен был строить в соответствии с контрактом № 4995/1785 </w:t>
      </w:r>
      <w:r w:rsidR="000F08A3" w:rsidRPr="00405303">
        <w:rPr>
          <w:bCs/>
          <w:color w:val="002060"/>
          <w:sz w:val="16"/>
          <w:szCs w:val="16"/>
        </w:rPr>
        <w:t>на общую сумму 550 288 руб. Он предусматривал поставку 30 аппаратов модели «Вуазен L» по цене 10000 руб. за единицу (без стоимости двигателей и вооружения, предоставляемых заказчиком), а также комплектов запчастей. К середине февраля 1916 г. удалось подписать еще 2 контракта (№№ 20346 и 18917), предусматривавших выпуск 170 «Вуазенов». Цена одного самолета постепенно возросла до 13500 руб., что считалось стандартом для приобретаемых военным ведомством двухместных аппаратов «корпусного типа», независимо от их модели.</w:t>
      </w:r>
    </w:p>
    <w:p w14:paraId="0DAC7DDF" w14:textId="77777777" w:rsidR="000F08A3" w:rsidRPr="00405303" w:rsidRDefault="000F08A3" w:rsidP="00C15251">
      <w:pPr>
        <w:jc w:val="both"/>
        <w:rPr>
          <w:bCs/>
          <w:color w:val="002060"/>
          <w:sz w:val="16"/>
          <w:szCs w:val="16"/>
        </w:rPr>
      </w:pPr>
      <w:r w:rsidRPr="00405303">
        <w:rPr>
          <w:bCs/>
          <w:color w:val="002060"/>
          <w:sz w:val="16"/>
          <w:szCs w:val="16"/>
        </w:rPr>
        <w:t>Сроки выполнения заказов устанавливались довольно жесткие. Так, первые 8 аэропланов следовало представить военной приемке к 31 августа 1915 г., а изготовление всей партии по контракту № 4995/1785 завершить к 31 декабря. Но сроки оказались безнадежно сорванными — к декабрю ни одна машина сдана не была. Ввиду устарелости заказанной модели 30 декабря в контракт внесли изменения — вместо «Вуазенов LA» фирма должна была изготовить такое же количество аппаратов модели LAS, что также не могло благотворно повлиять на ускорение темпа производства.</w:t>
      </w:r>
    </w:p>
    <w:p w14:paraId="2D6585B1" w14:textId="77777777" w:rsidR="000F08A3" w:rsidRPr="00405303" w:rsidRDefault="000F08A3" w:rsidP="00C15251">
      <w:pPr>
        <w:jc w:val="both"/>
        <w:rPr>
          <w:bCs/>
          <w:color w:val="002060"/>
          <w:sz w:val="16"/>
          <w:szCs w:val="16"/>
        </w:rPr>
      </w:pPr>
      <w:r w:rsidRPr="00405303">
        <w:rPr>
          <w:bCs/>
          <w:color w:val="002060"/>
          <w:sz w:val="16"/>
          <w:szCs w:val="16"/>
        </w:rPr>
        <w:lastRenderedPageBreak/>
        <w:t>Свою лепту в срыв сроков вносила неритмичность поставок комплектующих и полуфабрикатов, многие из которых приходилось заказывать за границей. Например, в течение сентября-декабря 1915 г. «Анатра» приобрела в нейтральной Швеции товаров на 135000 крон — главным образом, колес для «Вуазенов» и «Моранов», а также поковок. Лишь частично удовлетворял потребности одесской фирмы в авиадвигателях московский филиал «Сальмсона», поэтому в ожидании импортных поставок стали практиковать сдачу самолетов, переставляя один мотор с одного аэроплана на другой.</w:t>
      </w:r>
    </w:p>
    <w:p w14:paraId="2AC69B30" w14:textId="77777777" w:rsidR="000F08A3" w:rsidRPr="00405303" w:rsidRDefault="000F08A3" w:rsidP="00C15251">
      <w:pPr>
        <w:jc w:val="both"/>
        <w:rPr>
          <w:bCs/>
          <w:color w:val="002060"/>
          <w:sz w:val="16"/>
          <w:szCs w:val="16"/>
        </w:rPr>
      </w:pPr>
      <w:r w:rsidRPr="00405303">
        <w:rPr>
          <w:bCs/>
          <w:color w:val="002060"/>
          <w:sz w:val="16"/>
          <w:szCs w:val="16"/>
        </w:rPr>
        <w:t>Собственных проблем также хватало. Так, в мае 1916 г. оказалось, что все помещения предприятия заняты более, чем полусотней собираемых самолетов различных моделей, а строительство «казенных» (т.е. финансируемых за счет государственной субсидии, а не контрактных средств) сборочных ангаров лишь начато. Это вынудило просить об очередной отсрочке. В результате к 1 августа 1916 г. военной приемке сдали 100 «Вуазенов» — ровно половину из числа заказанных.</w:t>
      </w:r>
    </w:p>
    <w:p w14:paraId="203C49A5" w14:textId="77777777" w:rsidR="000F08A3" w:rsidRPr="00405303" w:rsidRDefault="000F08A3" w:rsidP="00C15251">
      <w:pPr>
        <w:jc w:val="both"/>
        <w:rPr>
          <w:bCs/>
          <w:color w:val="002060"/>
          <w:sz w:val="16"/>
          <w:szCs w:val="16"/>
        </w:rPr>
      </w:pPr>
      <w:r w:rsidRPr="00405303">
        <w:rPr>
          <w:bCs/>
          <w:color w:val="002060"/>
          <w:sz w:val="16"/>
          <w:szCs w:val="16"/>
        </w:rPr>
        <w:t>После этого «Анатра» приступила к производству модифицированных самолетов, получивших обозначение «Вуазен Иванова», или «В.И.». В их конструкцию внесли ряд изменений, предложенных летчиком 26-го корпусного авиаотряда подпоручиком Петром Ивановым, что несколько улучшило летные данные. В частности, при том же двигателе максимальная скорость увеличилась на 20 км/ч (почти на 20%). Достигнуть такого результата удалось ценой чрезмерного облегчения конструкции, в результате чего пострадала столь необходимая во фронтовых условиях прочность. Но вскрылся этот недостаток позже, а пока 28 августа 1916 г. в Петроград отправили радужный отчет о заводских испытаниях опытного аппарата «В.И.», а сам самолет передали для фронтовых испытаний в 36-й корпусной авиаотряд. 7 октября было утверждено решение выпустить к концу года вместо сотни остававшихся в постройке «Вуазенов LAS» столько же аппаратов «В.И.». Интересно, что это решение приняли задним числом, поскольку первые 5 аэропланов Иванова сдали заказчику еще 27 сентября. Изготовление ста «В.И.» (сер. №№ 527-626) удалось завершить только 17 июня 1917 г. К тому времени они уже считались морально устаревшими и непригодными к боевому применению. Представляет интерес своеобразие финансовых отношений фирмы и заказчика. А. Анатра, ссылаясь на внесенные в конструкцию изменения, требовал увеличения контрактной стоимости самолета «В.И.» на 1000 руб. по сравнению с базовым LAS. Военное ведомство признало факт потери фирмой 720 руб. на каждом «Вуазене Иванова», тем не менее, настояло на сохранении прежней стоимости.</w:t>
      </w:r>
    </w:p>
    <w:p w14:paraId="43E2042D" w14:textId="77777777" w:rsidR="000F08A3" w:rsidRPr="00405303" w:rsidRDefault="000F08A3" w:rsidP="00C15251">
      <w:pPr>
        <w:jc w:val="both"/>
        <w:rPr>
          <w:bCs/>
          <w:color w:val="002060"/>
          <w:sz w:val="16"/>
          <w:szCs w:val="16"/>
        </w:rPr>
      </w:pPr>
      <w:r w:rsidRPr="00405303">
        <w:rPr>
          <w:bCs/>
          <w:color w:val="002060"/>
          <w:sz w:val="16"/>
          <w:szCs w:val="16"/>
        </w:rPr>
        <w:t>«Вуазен» был далеко не единственным французским самолетом, выпускаемым «Анатрой». Например, 6 апреля 1915 г. был подписан контракт, предусматривавший поставку 15 «Фарманов XXII» по 7300 руб. за единицу и 40 «Ньюпоров IV» — по 8000 руб. Все «Фарманы» (сер. №№ 98-112) были сданы, а с «Ньюпорами» дело оказалось сложнее. 20 аппаратов (сер. №№ 161-180) военные приняли до марта 1916 г. Однако бессмысленность продолжения выпуска этих устаревших самолетов стала очевидной, и вместо оставшихся 20 «Ньюпоров» решили построить самолеты «Моран-Парасоль». Но и они произведены не были — в начале весны заказ перевели на новые аэропланы «Анаде». 17 августа 1916 г. было дано официальное распоряжение прекратить производство монопланов «Ньюпор» и «Моран», а изготовленные комплектующие передать как запчасти в авиашколы. Тем не менее, 12 декабря поступил заказ еще на 10 «Моранов G» по 7500 руб. за единицу. Вероятно, эти машины (сер. №№ 708-717) уже находились в готовом состоянии и были лишь выкуплены военными, поскольку сдали их заказчику всего через 3 дня после подписания контракта. Несколько самолетов этого типа все-таки осталось на заводе, но в обстановке нарастающего беспорядка осени 1917 г. А. Анатра сумел сбагрить их военным. 12 октября «наличной покупкой» (т.е. без предварительного заключения контракта) у фирмы было приобретено 5 «Моранов G», которые так и остались на заводе ввиду отсутствия заявок из школ. В общей сложности в течение Первой мировой войны «Анатра» получила заказы на 65 «Моранов G» и, как минимум, 50 «Ньюпоров IV». Интересно отметить, что 25 августа 1916 г. был принят «Ньюпор» сер. № 180, переоборудованный в учебный биплан. К сожалению, более подробных сведений об этом аппарате обнаружить не удалось.</w:t>
      </w:r>
    </w:p>
    <w:p w14:paraId="50C705E4" w14:textId="77777777" w:rsidR="000F08A3" w:rsidRPr="00405303" w:rsidRDefault="000F08A3" w:rsidP="00C15251">
      <w:pPr>
        <w:jc w:val="both"/>
        <w:rPr>
          <w:bCs/>
          <w:color w:val="002060"/>
          <w:sz w:val="16"/>
          <w:szCs w:val="16"/>
        </w:rPr>
      </w:pPr>
      <w:r w:rsidRPr="00405303">
        <w:rPr>
          <w:bCs/>
          <w:color w:val="002060"/>
          <w:sz w:val="16"/>
          <w:szCs w:val="16"/>
        </w:rPr>
        <w:t>В больших объемах выпускали бипланы «Фарман». В общей же сложности, с ноября 1914 г. по февраль 1917 г. «Анатра» получила заказы на 278 самолетов, разработанных этой французской фирмой, из них 138 «Фарманов IV», 15 — «XVI», 95 — «XX» и 30 — «XXII». В некоторых публикациях встречается упоминание о постройке на заводе самолетов «Фарман XXX» — т.н. «Фарсалей». Действительно, в августе 1916 г. А. Анатра получил комплект чертежей этого аппарата, но ввиду налаживания выпуска самолетов собственной конструкции («Анаде», а затем и «Анасаль»), новая модель «Фармана» в производство так и не попала. Зато 3 ноября 1917 г. был подписан контракт № 102322/31215, предусматривавший поставку сорока учебных бипланов «Кодрон», призванных заменить в производстве «Фарманы». Естественно, ни один самолет этого типа так и не был построен.</w:t>
      </w:r>
    </w:p>
    <w:p w14:paraId="7E39E9F8" w14:textId="77777777" w:rsidR="000F08A3" w:rsidRPr="00405303" w:rsidRDefault="000F08A3" w:rsidP="00C15251">
      <w:pPr>
        <w:jc w:val="both"/>
        <w:rPr>
          <w:bCs/>
          <w:color w:val="002060"/>
          <w:sz w:val="16"/>
          <w:szCs w:val="16"/>
        </w:rPr>
      </w:pPr>
      <w:r w:rsidRPr="00405303">
        <w:rPr>
          <w:bCs/>
          <w:color w:val="002060"/>
          <w:sz w:val="16"/>
          <w:szCs w:val="16"/>
        </w:rPr>
        <w:t>Еще одной интересной страницей истории фирмы является попытка наладить сотрудничество с Румынией. 30 октября 1916 г. А. Анатра направил в Управление ВВФ телеграмму, в которой сообщал, что румынское правительство предложило ему наладить ремонт и производство самолетов в своей стране. Реакция УВВФ была молниеносной. Уже на следующий день в ответной телеграмме отмечалось: «...Помешать Вашим сношениям с Румынией, конечно, не можем. Но не лучше ли развивать производство для русской армии?». Взвесив все «за» и «против», Артур Анатра отказался от зарубежного предложения.</w:t>
      </w:r>
    </w:p>
    <w:p w14:paraId="0ED1CFC0" w14:textId="77777777" w:rsidR="000F08A3" w:rsidRPr="00405303" w:rsidRDefault="000F08A3" w:rsidP="00C15251">
      <w:pPr>
        <w:jc w:val="both"/>
        <w:rPr>
          <w:bCs/>
          <w:color w:val="002060"/>
          <w:sz w:val="16"/>
          <w:szCs w:val="16"/>
        </w:rPr>
      </w:pPr>
      <w:r w:rsidRPr="00405303">
        <w:rPr>
          <w:bCs/>
          <w:color w:val="002060"/>
          <w:sz w:val="16"/>
          <w:szCs w:val="16"/>
        </w:rPr>
        <w:t>Изделия Декана</w:t>
      </w:r>
    </w:p>
    <w:p w14:paraId="221BA795" w14:textId="77777777" w:rsidR="000F08A3" w:rsidRPr="00405303" w:rsidRDefault="000F08A3" w:rsidP="00C15251">
      <w:pPr>
        <w:jc w:val="both"/>
        <w:rPr>
          <w:bCs/>
          <w:color w:val="002060"/>
          <w:sz w:val="16"/>
          <w:szCs w:val="16"/>
        </w:rPr>
      </w:pPr>
      <w:r w:rsidRPr="00405303">
        <w:rPr>
          <w:bCs/>
          <w:color w:val="002060"/>
          <w:sz w:val="16"/>
          <w:szCs w:val="16"/>
        </w:rPr>
        <w:t>огическим шагом А. Анатры стала организация конструкторского отдела. Несмотря на наличие собственных инженерных кадров, ставка была сделана на иностранных специалистов. На должность главного конструктора пригласили француза Э.А. Декампа (в России было принято написание «Декан» — именно его будем придерживаться и мы). Вероятно, готовых конструкторских решений он предложить не мог, поэтому для внедрения в производство буквально накануне Первой мировой войны у немецкой фирмы «Авиатик» приобрели проект «легкого кавалерийского самолета» Р20 — одного из немногих германских аэропланов, спроектированных под ротативный двигатель. При адаптации к условиям местного</w:t>
      </w:r>
    </w:p>
    <w:p w14:paraId="19F8C6C3" w14:textId="77777777" w:rsidR="000F08A3" w:rsidRPr="00405303" w:rsidRDefault="000F08A3" w:rsidP="00C15251">
      <w:pPr>
        <w:jc w:val="both"/>
        <w:rPr>
          <w:bCs/>
          <w:color w:val="002060"/>
          <w:sz w:val="16"/>
          <w:szCs w:val="16"/>
        </w:rPr>
      </w:pPr>
      <w:r w:rsidRPr="00405303">
        <w:rPr>
          <w:bCs/>
          <w:color w:val="002060"/>
          <w:sz w:val="16"/>
          <w:szCs w:val="16"/>
        </w:rPr>
        <w:t>производства германский мотор «Оберурсель» заменили французским 100-сильным «Гном-Моносупап». В итоге получился двухместный биплан-разведчик, которому присвоили обозначение «Анатра» Д или «Анаде».</w:t>
      </w:r>
    </w:p>
    <w:p w14:paraId="77EDF330" w14:textId="77777777" w:rsidR="000F08A3" w:rsidRPr="00405303" w:rsidRDefault="000F08A3" w:rsidP="00C15251">
      <w:pPr>
        <w:jc w:val="both"/>
        <w:rPr>
          <w:bCs/>
          <w:color w:val="002060"/>
          <w:sz w:val="16"/>
          <w:szCs w:val="16"/>
        </w:rPr>
      </w:pPr>
      <w:r w:rsidRPr="00405303">
        <w:rPr>
          <w:bCs/>
          <w:color w:val="002060"/>
          <w:sz w:val="16"/>
          <w:szCs w:val="16"/>
        </w:rPr>
        <w:t>Первый полет прототипа «Анаде» состоялся лишь 19 декабря 1915 г., а в серийное производство его запустили весной следующего года. Вероятно, А. Анатра не спешил внедрять самолет собственного КБ, так как был вполне удовлетворен заказами на аппараты французской разработки. В результате такой проволочки машина, вполне современная в начале войны, к 1916 г. оказалась устаревшей. Тем не менее, ничего лучшего российская промышленность предложить не могла, и «Анаде» стали строить в довольно больших количествах. В марте 1916 г. фирма подписала 2 контракта (№№30160, 32793) на производство 300 таких самолетов. К концу июля 1917 г. удалось заключить еще ряд сделок, предусматривавших поставки более четырех с половиной сотен машин. Согласно данным из фондов Российского государственного военного архива, общее количество заказанных «Анаде» достигло 759 единиц. Из них к концу 1917 г. удалось сдать заказчику менее трети — 225. В это число входили и 24 машины, построенные в июле-октябре 1917 г. с более мощными моторами «Клерже» (110 либо 130 л.с), которые получили обозначение «Анаклер». Интересно, что 47 принятых самолетов не проходили сдаточных испытаний из-за задержек с поставками двигателей.</w:t>
      </w:r>
    </w:p>
    <w:p w14:paraId="7E977C28" w14:textId="77777777" w:rsidR="000F08A3" w:rsidRPr="00405303" w:rsidRDefault="000F08A3" w:rsidP="00C15251">
      <w:pPr>
        <w:jc w:val="both"/>
        <w:rPr>
          <w:bCs/>
          <w:color w:val="002060"/>
          <w:sz w:val="16"/>
          <w:szCs w:val="16"/>
        </w:rPr>
      </w:pPr>
      <w:r w:rsidRPr="00405303">
        <w:rPr>
          <w:bCs/>
          <w:color w:val="002060"/>
          <w:sz w:val="16"/>
          <w:szCs w:val="16"/>
        </w:rPr>
        <w:t>Улучшить характеристики самолета позволяло оснащение его существенно более мощным двигателем. Фактически единственным доступным в России в относительно больших количествах мотором был тот же 150-сильный «Сальмсон» жидкостного охлаждения, который стоял и на «Вуазенах». По мощности он превышал «Моносупап» в полтора раза, но при этом был и более тяжелым, что вынудило внести в конструкцию самолета существенные изменения. Прототип аппарата, получившего обозначение «Анатра ДС» или «Анасаль», поднялся в воздух 25 июля 1916 г. Первые 2 контракта (№№ 91178/18776, 91179/9810) на поставку 400 таких самолетов подписали 14 и 15 декабря. Общее же количество заказанных «Анасалей» достигло 700 единиц. Реально заказчик принял только 46 машин по первому контракту, а к выполнению остальных договоров даже не приступали. Лишь несколько таких самолетов попало во фронтовые части, несколько осело в одесском 1-м авиапарке, а еще 28, прошедших военную приемку, по состоянию на 31 декабря 1917 г. оставались на заводе.</w:t>
      </w:r>
    </w:p>
    <w:p w14:paraId="14831753" w14:textId="77777777" w:rsidR="000F08A3" w:rsidRPr="00405303" w:rsidRDefault="000F08A3" w:rsidP="00C15251">
      <w:pPr>
        <w:jc w:val="both"/>
        <w:rPr>
          <w:bCs/>
          <w:color w:val="002060"/>
          <w:sz w:val="16"/>
          <w:szCs w:val="16"/>
        </w:rPr>
      </w:pPr>
      <w:r w:rsidRPr="00405303">
        <w:rPr>
          <w:bCs/>
          <w:color w:val="002060"/>
          <w:sz w:val="16"/>
          <w:szCs w:val="16"/>
        </w:rPr>
        <w:t>Опытные конструкции</w:t>
      </w:r>
    </w:p>
    <w:p w14:paraId="04228A52" w14:textId="77777777" w:rsidR="000F08A3" w:rsidRPr="00405303" w:rsidRDefault="000F08A3" w:rsidP="00C15251">
      <w:pPr>
        <w:jc w:val="both"/>
        <w:rPr>
          <w:bCs/>
          <w:color w:val="002060"/>
          <w:sz w:val="16"/>
          <w:szCs w:val="16"/>
        </w:rPr>
      </w:pPr>
      <w:r w:rsidRPr="00405303">
        <w:rPr>
          <w:bCs/>
          <w:color w:val="002060"/>
          <w:sz w:val="16"/>
          <w:szCs w:val="16"/>
        </w:rPr>
        <w:t>а фирме «Анатра» был спроектирован ряд интересных самолетов, часть из которых осталась в единичных экземплярах, а часть так и не сошла с чертежных досок. Большинство из них представляло собой производные от конструкции «Анатра» Д. В частности, летом 1916 г. на испытания вышел трехмоторный самолет, поначалу фигурировавший в переписке как «большой аппарат», а впоследствии получивший обозначение «Анатра» ДЕ. Он представлял собой достаточно большой биплан с 140-сильным «Сальмсоном» в носовой части фюзеляжа и двумя 80-сильными «Ронами» с толкающими винтами в гондолах, находившихся в межкрыльевом пространстве. Наличие трех стрелковых установок, две из которых располагались в носовых частях гондол, обеспечивало почти круговой обстрел. Но в первом же полете 23 июня «большой аппарат» потерпел аварию и получил серьезные повреждения. Работы по нему решили свернуть.</w:t>
      </w:r>
    </w:p>
    <w:p w14:paraId="3C2123FC" w14:textId="77777777" w:rsidR="000F08A3" w:rsidRPr="00405303" w:rsidRDefault="000F08A3" w:rsidP="00C15251">
      <w:pPr>
        <w:jc w:val="both"/>
        <w:rPr>
          <w:bCs/>
          <w:color w:val="002060"/>
          <w:sz w:val="16"/>
          <w:szCs w:val="16"/>
        </w:rPr>
      </w:pPr>
      <w:r w:rsidRPr="00405303">
        <w:rPr>
          <w:bCs/>
          <w:color w:val="002060"/>
          <w:sz w:val="16"/>
          <w:szCs w:val="16"/>
        </w:rPr>
        <w:lastRenderedPageBreak/>
        <w:t>Практически одновременно с ним на испытания вышел еще один тяжелый самолет — т.н. «Двухвостка Хиони», он же «Анатра» ВХ или «Анадва». Его конструктор В. Хиони соединил два удлиненных фюзеляжа «Анаде» общим центропланом, наверху которого разместил гондолу для стрелка. Мощности двух 100-сильных «Моносупапов» для такого гибрида явно не хватало, и построенный весной 1917 г. второй экземпляр «Двухвостки» с использованием фюзеляжей «Анасалей» оснастили 140-сильными «Сальмсонами».</w:t>
      </w:r>
    </w:p>
    <w:p w14:paraId="5E6E5D3A" w14:textId="77777777" w:rsidR="000F08A3" w:rsidRPr="00405303" w:rsidRDefault="000F08A3" w:rsidP="00C15251">
      <w:pPr>
        <w:jc w:val="both"/>
        <w:rPr>
          <w:bCs/>
          <w:color w:val="002060"/>
          <w:sz w:val="16"/>
          <w:szCs w:val="16"/>
        </w:rPr>
      </w:pPr>
      <w:r w:rsidRPr="00405303">
        <w:rPr>
          <w:bCs/>
          <w:color w:val="002060"/>
          <w:sz w:val="16"/>
          <w:szCs w:val="16"/>
        </w:rPr>
        <w:t>Испытания показали, что в таком виде «Анадва», в принципе, может использоваться в качестве бомбардировщика, но его летные данные уже не отвечают требованиям времени. Тем не менее, ввиду отсутствия перспектив получения более современных бомбовозов, «Анатра» в октябре 1917 г. подписала контракт № 101830/29617 на производство полусотни «Двухвосток» для Эскадры воздушных кораблей, который по понятным причинам выполнить не удалось. Пытаясь заинтересовать своим самолетом Морское ведомство, летом 1917 г. Хиони оборудовал опытный экземпляр поплавковым шасси. Но 11 августа машина, управляемая самим конструктором, потерпела аварию при посадке на воду в районе Одессы, что поставило крест на ее морской карьере.</w:t>
      </w:r>
    </w:p>
    <w:p w14:paraId="4AFB5C60" w14:textId="77777777" w:rsidR="000F08A3" w:rsidRPr="00405303" w:rsidRDefault="000F08A3" w:rsidP="00C15251">
      <w:pPr>
        <w:jc w:val="both"/>
        <w:rPr>
          <w:bCs/>
          <w:color w:val="002060"/>
          <w:sz w:val="16"/>
          <w:szCs w:val="16"/>
        </w:rPr>
      </w:pPr>
      <w:r w:rsidRPr="00405303">
        <w:rPr>
          <w:bCs/>
          <w:color w:val="002060"/>
          <w:sz w:val="16"/>
          <w:szCs w:val="16"/>
        </w:rPr>
        <w:t>Осенью 1916 г. вышел на испытания самолет «Анатра» ДИ или «Анадис», построенный в габаритах «Анасаля», но оборудованный гораздо более прогрессивным, чем «Сальмсон», 8-цилиндровым мотором жидкостного охлаждения «Испано-Сюиза» мощностью 200 л.с. Один из контрактов на поставку «Анасалей» предусматривал возможность комплектации части этих самолетов новыми двигателями, но из-за проблем с выпуском «Испано-Сюиза» в России «Анадис» так и остался в единственном экземпляре. Также не строился серийно одноместный истребитель-моноплан «Анамон» («Анатра» ДМ), опытный образец которого (сер. № 420) прошел испытания в июне 1916 г. Одним из наиболее загадочных аппаратов «Анатры» является трехместный аппарат с двойным управлением «Анарено». Упоминание о работах по его постройке относится к началу 1917 г., но более никаких подробностей об этом самолете обнаружить в архивах не удалось. Рискнем лишь предположить, что «Анарено» представлял собой увеличенный «Анасаль» под 220-сильный мотор «Рено» (наличие именно такого двигателя на заводе «Анатра» установлено доподлинно).</w:t>
      </w:r>
    </w:p>
    <w:p w14:paraId="2813B4B4" w14:textId="77777777" w:rsidR="000F08A3" w:rsidRPr="00405303" w:rsidRDefault="000F08A3" w:rsidP="00C15251">
      <w:pPr>
        <w:jc w:val="both"/>
        <w:rPr>
          <w:bCs/>
          <w:color w:val="002060"/>
          <w:sz w:val="16"/>
          <w:szCs w:val="16"/>
        </w:rPr>
      </w:pPr>
      <w:r w:rsidRPr="00405303">
        <w:rPr>
          <w:bCs/>
          <w:color w:val="002060"/>
          <w:sz w:val="16"/>
          <w:szCs w:val="16"/>
        </w:rPr>
        <w:t>Во многих исследованиях упоминается о сборке на «Анатре» летающих лодок Д. Григоровича, однако в архивах никаких сведений об этом обнаружить не удалось. Вероятнее всего, на предприятии занимались лишь ремонтом гидропланов Черноморского флота. Интересно, что А. Анатра предлагал создать специализированный палубный самолет. По замыслу, он должен был представлять собой небольшой двухместный аппарат с мотором «Гном-Моносупап». В январе 1916 г. А. Анатра посетил Севастополь для уточнения спецификации и согласования деталей, но развития проект не получил.</w:t>
      </w:r>
    </w:p>
    <w:p w14:paraId="17083177" w14:textId="77777777" w:rsidR="000F08A3" w:rsidRPr="00405303" w:rsidRDefault="000F08A3" w:rsidP="00C15251">
      <w:pPr>
        <w:jc w:val="both"/>
        <w:rPr>
          <w:bCs/>
          <w:color w:val="002060"/>
          <w:sz w:val="16"/>
          <w:szCs w:val="16"/>
        </w:rPr>
      </w:pPr>
      <w:r w:rsidRPr="00405303">
        <w:rPr>
          <w:bCs/>
          <w:color w:val="002060"/>
          <w:sz w:val="16"/>
          <w:szCs w:val="16"/>
        </w:rPr>
        <w:t>Симферопольский завод Анатра</w:t>
      </w:r>
    </w:p>
    <w:p w14:paraId="305E4E11" w14:textId="77777777" w:rsidR="000F08A3" w:rsidRPr="00405303" w:rsidRDefault="000F08A3" w:rsidP="00C15251">
      <w:pPr>
        <w:jc w:val="both"/>
        <w:rPr>
          <w:bCs/>
          <w:color w:val="002060"/>
          <w:sz w:val="16"/>
          <w:szCs w:val="16"/>
        </w:rPr>
      </w:pPr>
      <w:r w:rsidRPr="00405303">
        <w:rPr>
          <w:bCs/>
          <w:color w:val="002060"/>
          <w:sz w:val="16"/>
          <w:szCs w:val="16"/>
        </w:rPr>
        <w:t>ля расширения производственных возможностей и удовлетворения возросших потребностей Российского императорского воздушного флота в начале 1916 г. было принято решение о создании т.н. «параллельного отделения» фирмы в Симферополе. 7 марта подписали контракт № 39000, в соответствии с которым «Анатра» обязалась в течение шести месяцев возвести в Симферополе завод со среднемесячной производительностью 20 самолетов. Финансирование частично осуществлялось из госбюджета: было выделено в качестве безвозвратного пособия почти 300 тыс. руб. и еще около 340 тыс. — как беспроцентный кредит. Остальные затраты нес предприниматель.</w:t>
      </w:r>
    </w:p>
    <w:p w14:paraId="2CE59F9E" w14:textId="77777777" w:rsidR="000F08A3" w:rsidRPr="00405303" w:rsidRDefault="000F08A3" w:rsidP="00C15251">
      <w:pPr>
        <w:jc w:val="both"/>
        <w:rPr>
          <w:bCs/>
          <w:color w:val="002060"/>
          <w:sz w:val="16"/>
          <w:szCs w:val="16"/>
        </w:rPr>
      </w:pPr>
      <w:r w:rsidRPr="00405303">
        <w:rPr>
          <w:bCs/>
          <w:color w:val="002060"/>
          <w:sz w:val="16"/>
          <w:szCs w:val="16"/>
        </w:rPr>
        <w:t>К концу сентября 1916 г. строительство завода в основном завершили, и встал вопрос о типе самолета для производства. Поначалу в Симферополе намеревались разместить заказ на 150 «Анасалей», но затем вместо них решили развернуть выпуск 100 истребителей «Ньюпор XI». Однако и эти машины строить не стали, отдав предпочтение более современным «Ньюпорам XVII». Соответствующий контракт № 32504/4682 подписали лишь 30 января 1917 г. В соответствии с ним, сотню истребителей и комплекты запчастей предстояло сдать до конца июня. Цена одного самолета без мотора, винта и вооружения составляла 11000 руб.</w:t>
      </w:r>
    </w:p>
    <w:p w14:paraId="00294825" w14:textId="77777777" w:rsidR="000F08A3" w:rsidRPr="00405303" w:rsidRDefault="000F08A3" w:rsidP="00C15251">
      <w:pPr>
        <w:jc w:val="both"/>
        <w:rPr>
          <w:bCs/>
          <w:color w:val="002060"/>
          <w:sz w:val="16"/>
          <w:szCs w:val="16"/>
        </w:rPr>
      </w:pPr>
      <w:r w:rsidRPr="00405303">
        <w:rPr>
          <w:bCs/>
          <w:color w:val="002060"/>
          <w:sz w:val="16"/>
          <w:szCs w:val="16"/>
        </w:rPr>
        <w:t>Внедрение «Ньюпоров» в производство сильно отставало от намеченных сроков, что было вызвано самыми разными причинами.</w:t>
      </w:r>
    </w:p>
    <w:p w14:paraId="4AC15B74" w14:textId="77777777" w:rsidR="000F08A3" w:rsidRPr="00405303" w:rsidRDefault="000F08A3" w:rsidP="00C15251">
      <w:pPr>
        <w:jc w:val="both"/>
        <w:rPr>
          <w:bCs/>
          <w:color w:val="002060"/>
          <w:sz w:val="16"/>
          <w:szCs w:val="16"/>
        </w:rPr>
      </w:pPr>
      <w:r w:rsidRPr="00405303">
        <w:rPr>
          <w:bCs/>
          <w:color w:val="002060"/>
          <w:sz w:val="16"/>
          <w:szCs w:val="16"/>
        </w:rPr>
        <w:t>Например, вместо техдокументации завод получил разобранный образец истребителя, а на просьбу руководства предприятия предоставить альбом чертежей УВВФ ответило, что таковой в его распоряжении отсутствует. Не справлялось военное ведомство и с поставкой моторов. Оказалось также невозможным выдержать спецификацию по некоторым узлам. Так, в конструкции шасси дюралюминиевые трубы пришлось заменить стальными.</w:t>
      </w:r>
    </w:p>
    <w:p w14:paraId="76DE4AD4" w14:textId="77777777" w:rsidR="000F08A3" w:rsidRPr="00405303" w:rsidRDefault="000F08A3" w:rsidP="00C15251">
      <w:pPr>
        <w:jc w:val="both"/>
        <w:rPr>
          <w:bCs/>
          <w:color w:val="002060"/>
          <w:sz w:val="16"/>
          <w:szCs w:val="16"/>
        </w:rPr>
      </w:pPr>
      <w:r w:rsidRPr="00405303">
        <w:rPr>
          <w:bCs/>
          <w:color w:val="002060"/>
          <w:sz w:val="16"/>
          <w:szCs w:val="16"/>
        </w:rPr>
        <w:t>Состояние дел на предприятии неплохо характеризует акт обследования, проведенного в августе 1917 г. На заводе насчитывалось около 370 рабочих. Производственные постройки общей площадью более 2500 кв. саженей вполне допускали интенсивную работу, но вот обеспеченность оборудованием составляла всего 60%. Насчитывалось только 67 станков и 18 двигателей общей мощностью 85 л.с. Не хватало даже ручного инструмента. Был отмечен недостаточный уровень технической подготовки дирекции, а также плохое состояние подъездных путей. Вопиющим признали привлечение в военное время квалифицированных столяров-авиастроителей к изготовлению... мебели!</w:t>
      </w:r>
    </w:p>
    <w:p w14:paraId="48E99F80" w14:textId="77777777" w:rsidR="000F08A3" w:rsidRPr="00405303" w:rsidRDefault="000F08A3" w:rsidP="00C15251">
      <w:pPr>
        <w:jc w:val="both"/>
        <w:rPr>
          <w:bCs/>
          <w:color w:val="002060"/>
          <w:sz w:val="16"/>
          <w:szCs w:val="16"/>
        </w:rPr>
      </w:pPr>
      <w:r w:rsidRPr="00405303">
        <w:rPr>
          <w:bCs/>
          <w:color w:val="002060"/>
          <w:sz w:val="16"/>
          <w:szCs w:val="16"/>
        </w:rPr>
        <w:t>Находясь под прессингом руководства предприятия, военный приемщик поручик Станюкович 27 сентября 1917 г. выдал удостоверение о приемке первых 50 «Ньюпоров» (сер. №№ 101-150) «по внешнему осмотру» — без испытаний в полете. Подобное решение вызвало гнев УВВФ, потребовавшего отозвать это свидетельство, поскольку «острой нехватки моторов нет». Однако двигатели в Симферополь так и не поступили. Уже после Октябрьского переворота, 5 декабря 1917 г. Станюкович отправил в Петроград рапорт, в котором указал, что принятые 50 «Ньюпоров» в настоящее время собираются (интересно, как он их принимал тремя месяцами ранее — кусками, что ли?), и для проведения летных испытаний просил прислать хотя бы 5 моторов. 19 декабря пришел ответ из УВВФ — на складах моторы «Рон» отсутствуют. 18 января 1918 г. Станюковича обнадежили, обещая прислать в скором времени требуемые двигатели из Архангельска, и 5 февраля он подписал свидетельство о приемке очередных 50 истребителей (сер. №№ 151-200). Таким образом, формально контракт был выполнен, хотя реально ни один (!) самолет не поднялся в воздух. Впоследствии часть остававшихся в Симферополе «Ньюпоров» все-таки получила двигатели, поскольку с января 1919 г., по крайней мере, 10 таких самолетов с анатровскими серийными номерами появились в списках мат-части Добровольческой армии.</w:t>
      </w:r>
    </w:p>
    <w:p w14:paraId="4598CE56" w14:textId="77777777" w:rsidR="000F08A3" w:rsidRPr="00405303" w:rsidRDefault="000F08A3" w:rsidP="00C15251">
      <w:pPr>
        <w:jc w:val="both"/>
        <w:rPr>
          <w:bCs/>
          <w:color w:val="002060"/>
          <w:sz w:val="16"/>
          <w:szCs w:val="16"/>
        </w:rPr>
      </w:pPr>
      <w:r w:rsidRPr="00405303">
        <w:rPr>
          <w:bCs/>
          <w:color w:val="002060"/>
          <w:sz w:val="16"/>
          <w:szCs w:val="16"/>
        </w:rPr>
        <w:t>Для полноты картины отметим, что 17 июля 1917 г. с «Анатрой» был подписан контракт № 39153/20273 на производство второй партии из 200 «Ньюпоров». Вероятно, к его исполнению не приступали.</w:t>
      </w:r>
    </w:p>
    <w:p w14:paraId="1230951B" w14:textId="77777777" w:rsidR="000F08A3" w:rsidRPr="00405303" w:rsidRDefault="000F08A3" w:rsidP="00C15251">
      <w:pPr>
        <w:jc w:val="both"/>
        <w:rPr>
          <w:bCs/>
          <w:color w:val="002060"/>
          <w:sz w:val="16"/>
          <w:szCs w:val="16"/>
        </w:rPr>
      </w:pPr>
      <w:r w:rsidRPr="00405303">
        <w:rPr>
          <w:bCs/>
          <w:color w:val="002060"/>
          <w:sz w:val="16"/>
          <w:szCs w:val="16"/>
        </w:rPr>
        <w:t>Авиамоторное производство</w:t>
      </w:r>
    </w:p>
    <w:p w14:paraId="6CD4FACE" w14:textId="77777777" w:rsidR="000F08A3" w:rsidRPr="00405303" w:rsidRDefault="000F08A3" w:rsidP="00C15251">
      <w:pPr>
        <w:jc w:val="both"/>
        <w:rPr>
          <w:bCs/>
          <w:color w:val="002060"/>
          <w:sz w:val="16"/>
          <w:szCs w:val="16"/>
        </w:rPr>
      </w:pPr>
      <w:r w:rsidRPr="00405303">
        <w:rPr>
          <w:bCs/>
          <w:color w:val="002060"/>
          <w:sz w:val="16"/>
          <w:szCs w:val="16"/>
        </w:rPr>
        <w:t>чень характерный для авиапромышленности России острый «моторный голод» вынуждал искать пути увеличения объемов собственного производства двигателей для снижения зависимости от импорта. С этой целью в 1916 г. начали строительство нескольких предприятий, в т.ч. и завода А. Анатры в Симферополе. 6 июля был подписан контракт № 32009/3367, предусматривавший сооружение и запуск к 1 апреля 1917 г. предприятия расчетной производительностью 300 моторов в год. Для производства выбрали один из наиболее совершенных моторов — 200-сильный «Испано-Сюиза». Цену за экземпляр определили в 20000 руб. Финансирование строительства частично осуществлялось за счет кредита под 5% годовых (400000 руб. сроком на 7 лет). Кроме того, предусматривалась выплата аванса в размере 32,5% от стоимости сразу же заказанных двухсот моторов.</w:t>
      </w:r>
    </w:p>
    <w:p w14:paraId="41A6B469" w14:textId="77777777" w:rsidR="000F08A3" w:rsidRPr="00405303" w:rsidRDefault="000F08A3" w:rsidP="00C15251">
      <w:pPr>
        <w:jc w:val="both"/>
        <w:rPr>
          <w:bCs/>
          <w:color w:val="002060"/>
          <w:sz w:val="16"/>
          <w:szCs w:val="16"/>
        </w:rPr>
      </w:pPr>
      <w:r w:rsidRPr="00405303">
        <w:rPr>
          <w:bCs/>
          <w:color w:val="002060"/>
          <w:sz w:val="16"/>
          <w:szCs w:val="16"/>
        </w:rPr>
        <w:t>Разворачивая подготовку к производству двигателей, 19 октября 1916 г. было принято решение откомандировать во Францию за счет фирмы 50 «нижних чинов» для обучения и последующего использования на новом заводе. За рубежом начали приобретать необходимое оборудование. Кроме того, в Англии заказали стальные поковки, а во Франции — алюминиевые из расчета на первые 100 моторов. В дальнейших планах А. Анатры было строительство на одной площадке с авиамоторным производством автомобильного завода. Но реальность внесла существенные коррективы в эти планы.</w:t>
      </w:r>
    </w:p>
    <w:p w14:paraId="3363F87C" w14:textId="77777777" w:rsidR="000F08A3" w:rsidRPr="00405303" w:rsidRDefault="000F08A3" w:rsidP="00C15251">
      <w:pPr>
        <w:jc w:val="both"/>
        <w:rPr>
          <w:bCs/>
          <w:color w:val="002060"/>
          <w:sz w:val="16"/>
          <w:szCs w:val="16"/>
        </w:rPr>
      </w:pPr>
      <w:r w:rsidRPr="00405303">
        <w:rPr>
          <w:bCs/>
          <w:color w:val="002060"/>
          <w:sz w:val="16"/>
          <w:szCs w:val="16"/>
        </w:rPr>
        <w:t>Прежде всего, возникли трудности с получением заграничного оборудования. В частности, в начале 1917 г. часть уже оплаченных станков (110 единиц на общую сумму 1,2 млн. франков) французское правительство задержало до весны для удовлетворения собственных потребностей. Как докладывал уполномоченный по строительству авиазаводов в Приазовском районе п-к Мезенцев, к 26 апреля 1917 г. на авиамоторное предприятие не поступила ни одна единица оборудования, хотя готовы стены и земляной пол первой и второй очередей корпусов, корпус первой очереди перекрыт, и завершения постройки можно ожидать к июлю месяцу. В мае заказанные во Франции станки были наконец переданы представителю фирмы в Париже. Однако встревоженный политической ситуацией на родине А. Анатра попытался задержать часть ценного оборудования во Франции до стабилизации положения в России. Под предлогом возможной потери станков при доставке морским путем ввиду возросшей активности германских подводных лодок, он предложил организовать в Париже «параллельную мастерскую». Изготовленные в ней детали поступали бы в Симферополь на окончательную сборку. Военные отнеслись к предложению со скептицизмом, заявив, что доставка деталей будет не менее рискованной, чем станков.</w:t>
      </w:r>
    </w:p>
    <w:p w14:paraId="1D408CCF" w14:textId="77777777" w:rsidR="000F08A3" w:rsidRPr="00405303" w:rsidRDefault="000F08A3" w:rsidP="00C15251">
      <w:pPr>
        <w:jc w:val="both"/>
        <w:rPr>
          <w:bCs/>
          <w:color w:val="002060"/>
          <w:sz w:val="16"/>
          <w:szCs w:val="16"/>
        </w:rPr>
      </w:pPr>
      <w:r w:rsidRPr="00405303">
        <w:rPr>
          <w:bCs/>
          <w:color w:val="002060"/>
          <w:sz w:val="16"/>
          <w:szCs w:val="16"/>
        </w:rPr>
        <w:lastRenderedPageBreak/>
        <w:t>В итоге представители А. Анатры стали попросту саботировать отправку оборудования. По состоянию на 13 февраля 1918 г. ни один станок на завод не прибыл. 19 единиц оборудования находились на станции в Симферополе, 54 — в Архангельске, а еще около 300 не покинули пределы Франции. Всю вторую половину 1917 и первые месяцы 1918 гг. между администрацией «Анатры» и УВВФ велась бесконечная переписка по поводу различных отсрочек с выполнением контрактов, последняя из них — на 6 месяцев — была предоставлена 10 апреля 1918 г. Но это уже не имело ровно никакого значения — авиамоторный завод в Симферополе скончался, так и не родившись.</w:t>
      </w:r>
    </w:p>
    <w:p w14:paraId="506699EB" w14:textId="77777777" w:rsidR="000F08A3" w:rsidRPr="00405303" w:rsidRDefault="000F08A3" w:rsidP="00C15251">
      <w:pPr>
        <w:jc w:val="both"/>
        <w:rPr>
          <w:bCs/>
          <w:color w:val="002060"/>
          <w:sz w:val="16"/>
          <w:szCs w:val="16"/>
        </w:rPr>
      </w:pPr>
      <w:r w:rsidRPr="00405303">
        <w:rPr>
          <w:bCs/>
          <w:color w:val="002060"/>
          <w:sz w:val="16"/>
          <w:szCs w:val="16"/>
        </w:rPr>
        <w:t>В огне и буре революции</w:t>
      </w:r>
    </w:p>
    <w:p w14:paraId="0B2BB978" w14:textId="77777777" w:rsidR="000F08A3" w:rsidRPr="00405303" w:rsidRDefault="000F08A3" w:rsidP="00C15251">
      <w:pPr>
        <w:jc w:val="both"/>
        <w:rPr>
          <w:bCs/>
          <w:color w:val="002060"/>
          <w:sz w:val="16"/>
          <w:szCs w:val="16"/>
        </w:rPr>
      </w:pPr>
      <w:r w:rsidRPr="00405303">
        <w:rPr>
          <w:bCs/>
          <w:color w:val="002060"/>
          <w:sz w:val="16"/>
          <w:szCs w:val="16"/>
        </w:rPr>
        <w:t>олитические потрясения осени 1917 г., на первый взгляд, не особенно сказались на деятельности «Анатры». Продолжалась сдача самолетов (правда, довольно вяло), велась переписка с УВВФ о предоставлении кредитов и подписании новых контрактов. Несмотря на провозглашение в ноябре Украинской Народной Республики (УНР), представители фирмы имели сношения лишь с петроградскими властями. Однако подписание перемирия с государствами германского блока и начало мирных переговоров в Бресте вынудило руководство фирмы задуматься о послевоенном будущем. 24 января 1918 г. А. Анатра направил в УВВФ предложение достроить часть находившихся в производстве «Анасалей» в почтовом варианте. Приведенные расчеты показывали, что с полезной нагрузкой 8-10 пудов и одним пилотом самолет сможет преодолеть без посадки 400 км со средней скоростью 130 км/ч. Но 21 марта УВВФ вынесло вердикт: «Ходатайство завода Анатра за несвоевременностью отклонить». Тем не менее, в некоторых советских документах среди самолетов, принятых в 1918 г., фигурируют 4 машины «Анатры» — возможно, в начале года все-таки было сдано несколько «Анасалей».</w:t>
      </w:r>
    </w:p>
    <w:p w14:paraId="2776F60E" w14:textId="77777777" w:rsidR="000F08A3" w:rsidRPr="00405303" w:rsidRDefault="000F08A3" w:rsidP="00C15251">
      <w:pPr>
        <w:jc w:val="both"/>
        <w:rPr>
          <w:bCs/>
          <w:color w:val="002060"/>
          <w:sz w:val="16"/>
          <w:szCs w:val="16"/>
        </w:rPr>
      </w:pPr>
      <w:r w:rsidRPr="00405303">
        <w:rPr>
          <w:bCs/>
          <w:color w:val="002060"/>
          <w:sz w:val="16"/>
          <w:szCs w:val="16"/>
        </w:rPr>
        <w:t>А. Анатра также попытался продать УВВФ остававшиеся на заводе устаревшие «Фарманы» и «Мораны». Однако в начале апреля в Управлении решили отложить проведение такой операции «до выяснения ситуации с эвакуацией предприятия». И все же нельзя исключить, что из 88 «Фарманов», принятых в 1918 г. советской авиацией, часть была выпущена в Одессе.</w:t>
      </w:r>
    </w:p>
    <w:p w14:paraId="19CA392D" w14:textId="77777777" w:rsidR="000F08A3" w:rsidRPr="00405303" w:rsidRDefault="000F08A3" w:rsidP="00C15251">
      <w:pPr>
        <w:jc w:val="both"/>
        <w:rPr>
          <w:bCs/>
          <w:color w:val="002060"/>
          <w:sz w:val="16"/>
          <w:szCs w:val="16"/>
        </w:rPr>
      </w:pPr>
      <w:r w:rsidRPr="00405303">
        <w:rPr>
          <w:bCs/>
          <w:color w:val="002060"/>
          <w:sz w:val="16"/>
          <w:szCs w:val="16"/>
        </w:rPr>
        <w:t>В марте в Одессу вступили австро-венгерские войска. Большевистские власти не сумели организовать эвакуацию «Анатры», чему в немалой степени поспособствовало противодействие рабочих завода. В итоге австрийцы захватили вполне работоспособное предприятие с хранящимися на складах самолетами, среди которых насчитывалось 111 «Анасалей», 63 «Анаде» и 68 «Фарманов» (еще 149 «Анасалей» находились в цехах в разной степени готовности). Австрийцы не допустили к контролю над заводом ни представителей УНР, ни сменившей ее Державы Гетмана П. Скоропадского. Мощности фирмы были обращены на удовлетворение потребностей императорско-королевской авиации. Правда, ни морально устаревшие «Фарманы», ни маломощные «Анаде» интереса не вызвали, а вот «Анасаль» был признан вполне подходящим для использования в качестве учебно-тренировочного самолета. 12 апреля его приняли на вооружение под обозначением «Анатра» C.I, a 5 мая подписали контракт, предусматривавший поставку 200 таких машин.</w:t>
      </w:r>
    </w:p>
    <w:p w14:paraId="7E002EC3" w14:textId="77777777" w:rsidR="000F08A3" w:rsidRPr="00405303" w:rsidRDefault="000F08A3" w:rsidP="00C15251">
      <w:pPr>
        <w:jc w:val="both"/>
        <w:rPr>
          <w:bCs/>
          <w:color w:val="002060"/>
          <w:sz w:val="16"/>
          <w:szCs w:val="16"/>
        </w:rPr>
      </w:pPr>
      <w:r w:rsidRPr="00405303">
        <w:rPr>
          <w:bCs/>
          <w:color w:val="002060"/>
          <w:sz w:val="16"/>
          <w:szCs w:val="16"/>
        </w:rPr>
        <w:t>Выполнение заказа представлялось вполне реальным, поскольку на заводе находилось почти 250 моторов «Сальмсон» (поставки их в Одессу с петроградского и московского авиаскладов продолжались вплоть до декабря 1917 г.). Уже 10 июня новому заказчику сдали первые 42 самолета, а в августе — еще 51. Но и в этом случае в события вмешались анархически настроенные рабочие. Вот что писал в своем приказе командующий австро-венгерскими войсками в Украине генерал-фельдмаршал фон Бельц: «Возникший 28 июня на заводе аэропланов «Анатра» пожар, причинивший Им. и Кор.</w:t>
      </w:r>
      <w:r w:rsidRPr="00405303">
        <w:rPr>
          <w:bCs/>
          <w:color w:val="002060"/>
          <w:sz w:val="16"/>
          <w:szCs w:val="16"/>
          <w:vertAlign w:val="superscript"/>
        </w:rPr>
        <w:t>[2]</w:t>
      </w:r>
      <w:r w:rsidRPr="00405303">
        <w:rPr>
          <w:bCs/>
          <w:color w:val="002060"/>
          <w:sz w:val="16"/>
          <w:szCs w:val="16"/>
        </w:rPr>
        <w:t xml:space="preserve"> казне убыток в сумме около 7 миллионов крон, есть, без сомнения, дело рук рабочих... Утром 29 июня будут подозрительные элементы... на заводе «Анатра» арестованы и безотлагательно преданы полевому суду...» В общей сложности были уничтожены два десятка подготовленных к отправке аэропланов. Всего к 25 октября австрийцам удалось вывезти из Одессы 66 «Анасалей».</w:t>
      </w:r>
    </w:p>
    <w:p w14:paraId="680EF09D" w14:textId="77777777" w:rsidR="000F08A3" w:rsidRPr="00405303" w:rsidRDefault="000F08A3" w:rsidP="00C15251">
      <w:pPr>
        <w:jc w:val="both"/>
        <w:rPr>
          <w:bCs/>
          <w:color w:val="002060"/>
          <w:sz w:val="16"/>
          <w:szCs w:val="16"/>
        </w:rPr>
      </w:pPr>
      <w:r w:rsidRPr="00405303">
        <w:rPr>
          <w:bCs/>
          <w:color w:val="002060"/>
          <w:sz w:val="16"/>
          <w:szCs w:val="16"/>
        </w:rPr>
        <w:t>Когда в ноябре в городе высадились войска Антанты, они обнаружили на предприятии 123 таких самолета, часть из которых позже попала в белогвардейские формирования. В дальнейшем власть в Одессе несколько раз переходила из рук в руки, и всякий раз «Анасали» из заводских запасов пополняли авиацию той или иной армии. Но производственная деятельность на «Анатре» практически замерла.</w:t>
      </w:r>
    </w:p>
    <w:p w14:paraId="2031A7F4" w14:textId="77777777" w:rsidR="000F08A3" w:rsidRPr="00405303" w:rsidRDefault="000F08A3" w:rsidP="00C15251">
      <w:pPr>
        <w:jc w:val="both"/>
        <w:rPr>
          <w:bCs/>
          <w:color w:val="002060"/>
          <w:sz w:val="16"/>
          <w:szCs w:val="16"/>
        </w:rPr>
      </w:pPr>
      <w:r w:rsidRPr="00405303">
        <w:rPr>
          <w:bCs/>
          <w:color w:val="002060"/>
          <w:sz w:val="16"/>
          <w:szCs w:val="16"/>
        </w:rPr>
        <w:t>Власть больше не меняется</w:t>
      </w:r>
    </w:p>
    <w:p w14:paraId="2C050B37" w14:textId="77777777" w:rsidR="000F08A3" w:rsidRPr="00405303" w:rsidRDefault="000F08A3" w:rsidP="00C15251">
      <w:pPr>
        <w:jc w:val="both"/>
        <w:rPr>
          <w:bCs/>
          <w:color w:val="002060"/>
          <w:sz w:val="16"/>
          <w:szCs w:val="16"/>
        </w:rPr>
      </w:pPr>
      <w:r w:rsidRPr="00405303">
        <w:rPr>
          <w:bCs/>
          <w:color w:val="002060"/>
          <w:sz w:val="16"/>
          <w:szCs w:val="16"/>
        </w:rPr>
        <w:t>ольшевистские власти в своем отношении к заводам А. Анатры руководствовались декретом Совнаркома от 26 июня 1918 г., в соответствии с которым все предприятия авиапромышленности подлежали национализации. В полной мере воплотить это решение в жизнь удалось лишь в 1920 г., когда в Одессе окончательно утвердилась советская власть. Для авиазавода это не означало ничего хорошего — самое современное оборудование вывезли в Россию, а часть зданий передали гражданским организациям. Предприятие, получившее название «Государственный авиационный завод № 11» (ГАЗ № 11), вошло в подчинение Главного управления объединенных авиапромышленных заводов (Главкоавиа). Особых надежд на возобновление производства в прежних объемах не было. Тем не менее, группа специалистов во главе с В. Хиони попыталась реанимировать предприятие. В июле 1920 г. удалось получить «добро» на продолжение работ по аэроплану «Анадва», получившему наименование «Хиони № 4». Самолет отремонтировали, оснастили более мощными «Сальмсонами» в 160 л.с, внесли некоторые другие изменения в конструкцию. В 1921-23 гг. машину испытывали в Одессе и Москве, но советские военные признали ее устаревшей, отказавшись от серийного производства.</w:t>
      </w:r>
    </w:p>
    <w:p w14:paraId="588C1312" w14:textId="77777777" w:rsidR="000F08A3" w:rsidRPr="00405303" w:rsidRDefault="000F08A3" w:rsidP="00C15251">
      <w:pPr>
        <w:jc w:val="both"/>
        <w:rPr>
          <w:bCs/>
          <w:color w:val="002060"/>
          <w:sz w:val="16"/>
          <w:szCs w:val="16"/>
        </w:rPr>
      </w:pPr>
      <w:r w:rsidRPr="00405303">
        <w:rPr>
          <w:bCs/>
          <w:color w:val="002060"/>
          <w:sz w:val="16"/>
          <w:szCs w:val="16"/>
        </w:rPr>
        <w:t>Новое руководство предприятия пыталось найти сбыт и другим самолетам. В частности, в июне 1921 г. Управление по снабжению Красного воздушного флота с удивлением отмечало, что в ведомость заказов на текущий год по ГАЗ №11, наряду с ремонтом 30 самолетов и постройкой одного аппарата «Анадва», попала полусотня «Фарманов XX»! В конечном итоге, военным удалось отказаться от этих анахроничных аппаратов, считавшихся устаревшими еще в 1917 г.</w:t>
      </w:r>
    </w:p>
    <w:p w14:paraId="10C48E6E" w14:textId="77777777" w:rsidR="000F08A3" w:rsidRPr="00405303" w:rsidRDefault="000F08A3" w:rsidP="00C15251">
      <w:pPr>
        <w:jc w:val="both"/>
        <w:rPr>
          <w:bCs/>
          <w:color w:val="002060"/>
          <w:sz w:val="16"/>
          <w:szCs w:val="16"/>
        </w:rPr>
      </w:pPr>
      <w:r w:rsidRPr="00405303">
        <w:rPr>
          <w:bCs/>
          <w:color w:val="002060"/>
          <w:sz w:val="16"/>
          <w:szCs w:val="16"/>
        </w:rPr>
        <w:t>Последней попыткой хоть как-то использовать имевшийся на одесском предприятии задел стало создание самолета «Хиони № 5», больше известного под романтичным именем «Конек-Горбунок» и считающегося первым советским серийным аэропланом. Машина, построенная с широким применением узлов от «Анасаля» под рядный мотор «Фиат» мощностью 100 л.с, задумывалась как самолет сопровождения конницы, но в конечном итоге была принята в качестве учебной. В течение 1923-24 хозяйственного года (в те времена хозяйственный, или операционный, год не совпадал с календарным и начинался 1 октября) построили 30 «Хиони № 5». Предприятие в это время уже именовалось «Государственные авиационные мастерские № 7» (ГАМ № 7) и в дальнейшем занималось лишь ремонтом авиатехники. Сохраняет эту специализацию и по сей день его прямой наследник — предприятие Минобороны Украины «Одесавиаремсервис».</w:t>
      </w:r>
    </w:p>
    <w:p w14:paraId="5F98D339" w14:textId="77777777" w:rsidR="000F08A3" w:rsidRPr="00405303" w:rsidRDefault="000F08A3" w:rsidP="00C15251">
      <w:pPr>
        <w:jc w:val="both"/>
        <w:rPr>
          <w:bCs/>
          <w:color w:val="002060"/>
          <w:sz w:val="16"/>
          <w:szCs w:val="16"/>
        </w:rPr>
      </w:pPr>
      <w:r w:rsidRPr="00405303">
        <w:rPr>
          <w:bCs/>
          <w:color w:val="002060"/>
          <w:sz w:val="16"/>
          <w:szCs w:val="16"/>
        </w:rPr>
        <w:t>о гораздо короче оказалась история симферопольского завода Артура Анатры. Просуществовав до 1922 г. под названием ГАЗ № 15, он был закрыт, а на его площадке организовали... кожевенную фабрику! (12252).</w:t>
      </w:r>
    </w:p>
    <w:p w14:paraId="04EC1391" w14:textId="77777777" w:rsidR="000F08A3" w:rsidRPr="00405303" w:rsidRDefault="000F08A3" w:rsidP="00C15251">
      <w:pPr>
        <w:jc w:val="both"/>
        <w:rPr>
          <w:bCs/>
          <w:color w:val="002060"/>
          <w:sz w:val="16"/>
          <w:szCs w:val="16"/>
        </w:rPr>
      </w:pPr>
    </w:p>
    <w:p w14:paraId="5E06DD2B" w14:textId="77777777" w:rsidR="00063C82" w:rsidRPr="00405303" w:rsidRDefault="00063C82" w:rsidP="00C15251">
      <w:pPr>
        <w:jc w:val="both"/>
        <w:rPr>
          <w:bCs/>
          <w:color w:val="002060"/>
          <w:sz w:val="16"/>
          <w:szCs w:val="16"/>
        </w:rPr>
      </w:pPr>
      <w:r w:rsidRPr="00405303">
        <w:rPr>
          <w:bCs/>
          <w:color w:val="002060"/>
          <w:sz w:val="16"/>
          <w:szCs w:val="16"/>
        </w:rPr>
        <w:t>10 марта 1915 г. отправлен с завода сданный авиации Черноморского флота М-2 («Морской второй») экземпляр № 4, морской разведчик – летающая лодка.</w:t>
      </w:r>
    </w:p>
    <w:p w14:paraId="485FB3EE" w14:textId="77777777" w:rsidR="00063C82" w:rsidRPr="00405303" w:rsidRDefault="00063C82" w:rsidP="00C15251">
      <w:pPr>
        <w:jc w:val="both"/>
        <w:rPr>
          <w:bCs/>
          <w:color w:val="002060"/>
          <w:sz w:val="16"/>
          <w:szCs w:val="16"/>
        </w:rPr>
      </w:pPr>
      <w:r w:rsidRPr="00405303">
        <w:rPr>
          <w:bCs/>
          <w:color w:val="002060"/>
          <w:sz w:val="16"/>
          <w:szCs w:val="16"/>
        </w:rPr>
        <w:t>На месте применения самолет получил бортовой номер «29» и использовался в боевых действиях на Черном море на протяжении 1915 г.</w:t>
      </w:r>
    </w:p>
    <w:p w14:paraId="1A868E3A" w14:textId="77777777" w:rsidR="00063C82" w:rsidRPr="00405303" w:rsidRDefault="00063C82" w:rsidP="00C15251">
      <w:pPr>
        <w:jc w:val="both"/>
        <w:rPr>
          <w:bCs/>
          <w:color w:val="002060"/>
          <w:sz w:val="16"/>
          <w:szCs w:val="16"/>
        </w:rPr>
      </w:pPr>
      <w:r w:rsidRPr="00405303">
        <w:rPr>
          <w:bCs/>
          <w:color w:val="002060"/>
          <w:sz w:val="16"/>
          <w:szCs w:val="16"/>
        </w:rPr>
        <w:t>Дальнейшая судьба самолета не известна (23594).</w:t>
      </w:r>
    </w:p>
    <w:p w14:paraId="370AF59A" w14:textId="77777777" w:rsidR="00063C82" w:rsidRPr="00405303" w:rsidRDefault="00063C82" w:rsidP="00C15251">
      <w:pPr>
        <w:jc w:val="both"/>
        <w:rPr>
          <w:bCs/>
          <w:color w:val="002060"/>
          <w:sz w:val="16"/>
          <w:szCs w:val="16"/>
          <w:lang w:bidi="ru-RU"/>
        </w:rPr>
      </w:pPr>
    </w:p>
    <w:p w14:paraId="3A7CE711" w14:textId="77777777" w:rsidR="00063C82" w:rsidRPr="00405303" w:rsidRDefault="00063C82" w:rsidP="00C15251">
      <w:pPr>
        <w:jc w:val="both"/>
        <w:rPr>
          <w:bCs/>
          <w:color w:val="002060"/>
          <w:sz w:val="16"/>
          <w:szCs w:val="16"/>
        </w:rPr>
      </w:pPr>
      <w:r w:rsidRPr="00405303">
        <w:rPr>
          <w:bCs/>
          <w:color w:val="002060"/>
          <w:sz w:val="16"/>
          <w:szCs w:val="16"/>
        </w:rPr>
        <w:t>10 марта 1915 г. отправлен с завода сданный авиации Черноморского флота М-2 («Морской второй») экземпляр № 5, морской разведчик – летающая лодка.</w:t>
      </w:r>
    </w:p>
    <w:p w14:paraId="64B95403" w14:textId="77777777" w:rsidR="00063C82" w:rsidRPr="00405303" w:rsidRDefault="00063C82" w:rsidP="00C15251">
      <w:pPr>
        <w:jc w:val="both"/>
        <w:rPr>
          <w:bCs/>
          <w:color w:val="002060"/>
          <w:sz w:val="16"/>
          <w:szCs w:val="16"/>
        </w:rPr>
      </w:pPr>
      <w:r w:rsidRPr="00405303">
        <w:rPr>
          <w:bCs/>
          <w:color w:val="002060"/>
          <w:sz w:val="16"/>
          <w:szCs w:val="16"/>
        </w:rPr>
        <w:t>На месте применения самолет получил бортовой номер «30» и использовался в боевых действиях на Черном море на протяжении 1915 г.</w:t>
      </w:r>
    </w:p>
    <w:p w14:paraId="34D8D2F4" w14:textId="77777777" w:rsidR="00063C82" w:rsidRPr="00405303" w:rsidRDefault="00063C82" w:rsidP="00C15251">
      <w:pPr>
        <w:jc w:val="both"/>
        <w:rPr>
          <w:bCs/>
          <w:color w:val="002060"/>
          <w:sz w:val="16"/>
          <w:szCs w:val="16"/>
        </w:rPr>
      </w:pPr>
      <w:r w:rsidRPr="00405303">
        <w:rPr>
          <w:bCs/>
          <w:color w:val="002060"/>
          <w:sz w:val="16"/>
          <w:szCs w:val="16"/>
        </w:rPr>
        <w:t>В том же году был передан в Офицерскую летную школу в Севастополе. Далее, видимо, был списан по износу.</w:t>
      </w:r>
    </w:p>
    <w:p w14:paraId="7D21A8A3" w14:textId="77777777" w:rsidR="00063C82" w:rsidRPr="00405303" w:rsidRDefault="00063C82" w:rsidP="00C15251">
      <w:pPr>
        <w:jc w:val="both"/>
        <w:rPr>
          <w:bCs/>
          <w:color w:val="002060"/>
          <w:sz w:val="16"/>
          <w:szCs w:val="16"/>
        </w:rPr>
      </w:pPr>
      <w:r w:rsidRPr="00405303">
        <w:rPr>
          <w:bCs/>
          <w:color w:val="002060"/>
          <w:sz w:val="16"/>
          <w:szCs w:val="16"/>
        </w:rPr>
        <w:t>Всего построено 5 самолетов М-2.</w:t>
      </w:r>
    </w:p>
    <w:p w14:paraId="0F4F78CB" w14:textId="77777777" w:rsidR="00063C82" w:rsidRPr="00405303" w:rsidRDefault="00063C82" w:rsidP="00C15251">
      <w:pPr>
        <w:jc w:val="both"/>
        <w:rPr>
          <w:bCs/>
          <w:color w:val="002060"/>
          <w:sz w:val="16"/>
          <w:szCs w:val="16"/>
        </w:rPr>
      </w:pPr>
      <w:r w:rsidRPr="00405303">
        <w:rPr>
          <w:bCs/>
          <w:color w:val="002060"/>
          <w:sz w:val="16"/>
          <w:szCs w:val="16"/>
        </w:rPr>
        <w:t>Летные данные самолета М-2 для 1915 г., когда началась его строевая эксплуатация, были уже недостаточны – в основном, из-за слабого мотора, но и профиль крыльев не обеспечивал достаточного аэродинамического качества. Также неудовлетворительной оказалась мореходность самолета и его стойкость к климатическим воздействиям, особенно, для условий Балтики.</w:t>
      </w:r>
    </w:p>
    <w:p w14:paraId="76D9B5B8" w14:textId="77777777" w:rsidR="00063C82" w:rsidRPr="00405303" w:rsidRDefault="00063C82" w:rsidP="00C15251">
      <w:pPr>
        <w:jc w:val="both"/>
        <w:rPr>
          <w:bCs/>
          <w:color w:val="002060"/>
          <w:sz w:val="16"/>
          <w:szCs w:val="16"/>
        </w:rPr>
      </w:pPr>
      <w:r w:rsidRPr="00405303">
        <w:rPr>
          <w:bCs/>
          <w:color w:val="002060"/>
          <w:sz w:val="16"/>
          <w:szCs w:val="16"/>
        </w:rPr>
        <w:t>Идея демпфера килевой качки («лопаты») оказалась неудачной.</w:t>
      </w:r>
    </w:p>
    <w:p w14:paraId="191D59F8" w14:textId="77777777" w:rsidR="00063C82" w:rsidRPr="00405303" w:rsidRDefault="00063C82" w:rsidP="00C15251">
      <w:pPr>
        <w:jc w:val="both"/>
        <w:rPr>
          <w:bCs/>
          <w:color w:val="002060"/>
          <w:sz w:val="16"/>
          <w:szCs w:val="16"/>
        </w:rPr>
      </w:pPr>
      <w:r w:rsidRPr="00405303">
        <w:rPr>
          <w:bCs/>
          <w:color w:val="002060"/>
          <w:sz w:val="16"/>
          <w:szCs w:val="16"/>
        </w:rPr>
        <w:t>Установка зимнего лыжного шасси сильно снижала летные данные и оно, по-видимому, широко оно не использовалось, но необходимость в нем была – и не только там, где море замерзало, но и из-за обычного ухудшения погоды, снижения температуры воды и воздуха, делавших такие полеты очень трудными.</w:t>
      </w:r>
    </w:p>
    <w:p w14:paraId="161137F8" w14:textId="77777777" w:rsidR="00063C82" w:rsidRPr="00405303" w:rsidRDefault="00063C82" w:rsidP="00C15251">
      <w:pPr>
        <w:jc w:val="both"/>
        <w:rPr>
          <w:bCs/>
          <w:color w:val="002060"/>
          <w:sz w:val="16"/>
          <w:szCs w:val="16"/>
        </w:rPr>
      </w:pPr>
      <w:r w:rsidRPr="00405303">
        <w:rPr>
          <w:bCs/>
          <w:color w:val="002060"/>
          <w:sz w:val="16"/>
          <w:szCs w:val="16"/>
        </w:rPr>
        <w:t>Основные недостатки конструкции были видны уже в середине 1914 г., когда самолет №1 строился, но было решено их исправлять на новом типе М-3, см. далее.</w:t>
      </w:r>
    </w:p>
    <w:p w14:paraId="2D9CD367" w14:textId="77777777" w:rsidR="00063C82" w:rsidRPr="00405303" w:rsidRDefault="00063C82" w:rsidP="00C15251">
      <w:pPr>
        <w:jc w:val="both"/>
        <w:rPr>
          <w:bCs/>
          <w:color w:val="002060"/>
          <w:sz w:val="16"/>
          <w:szCs w:val="16"/>
        </w:rPr>
      </w:pPr>
      <w:r w:rsidRPr="00405303">
        <w:rPr>
          <w:bCs/>
          <w:color w:val="002060"/>
          <w:sz w:val="16"/>
          <w:szCs w:val="16"/>
        </w:rPr>
        <w:t>Тем не менее, принятые флотом четыре самолета довольно активно летали – сначала как разведчики, а потом как учебные самолеты (23594).</w:t>
      </w:r>
    </w:p>
    <w:p w14:paraId="7466D3A2" w14:textId="77777777" w:rsidR="00063C82" w:rsidRPr="00405303" w:rsidRDefault="00063C82" w:rsidP="00C15251">
      <w:pPr>
        <w:jc w:val="both"/>
        <w:rPr>
          <w:bCs/>
          <w:color w:val="002060"/>
          <w:sz w:val="16"/>
          <w:szCs w:val="16"/>
          <w:lang w:bidi="ru-RU"/>
        </w:rPr>
      </w:pPr>
    </w:p>
    <w:p w14:paraId="72D77E2F" w14:textId="46E878FE" w:rsidR="00063C82" w:rsidRPr="00405303" w:rsidRDefault="00063C82" w:rsidP="00C15251">
      <w:pPr>
        <w:jc w:val="both"/>
        <w:rPr>
          <w:bCs/>
          <w:i/>
          <w:color w:val="002060"/>
          <w:sz w:val="16"/>
          <w:szCs w:val="16"/>
        </w:rPr>
      </w:pPr>
      <w:r w:rsidRPr="00405303">
        <w:rPr>
          <w:bCs/>
          <w:i/>
          <w:color w:val="002060"/>
          <w:sz w:val="16"/>
          <w:szCs w:val="16"/>
        </w:rPr>
        <w:lastRenderedPageBreak/>
        <w:t>Авиация:</w:t>
      </w:r>
    </w:p>
    <w:p w14:paraId="2D8D4152" w14:textId="77777777" w:rsidR="00063C82" w:rsidRPr="00405303" w:rsidRDefault="00063C82" w:rsidP="00C15251">
      <w:pPr>
        <w:jc w:val="both"/>
        <w:rPr>
          <w:bCs/>
          <w:i/>
          <w:color w:val="002060"/>
          <w:sz w:val="16"/>
          <w:szCs w:val="16"/>
        </w:rPr>
      </w:pPr>
    </w:p>
    <w:p w14:paraId="4C6A3BFE" w14:textId="77777777" w:rsidR="00063C82" w:rsidRPr="00405303" w:rsidRDefault="00063C82" w:rsidP="00C15251">
      <w:pPr>
        <w:jc w:val="both"/>
        <w:rPr>
          <w:bCs/>
          <w:color w:val="002060"/>
          <w:sz w:val="16"/>
          <w:szCs w:val="16"/>
        </w:rPr>
      </w:pPr>
      <w:r w:rsidRPr="00405303">
        <w:rPr>
          <w:bCs/>
          <w:color w:val="002060"/>
          <w:sz w:val="16"/>
          <w:szCs w:val="16"/>
        </w:rPr>
        <w:t>10 марта 1915 г. ИМ-Киевский повторил вылет над Восточной Пруссией. На этот раз он сбросил 45 бомб на Вилленбург, 10 из которых были 16–ти килограммовыми. В результате железнодорожная станция и подвижной состав были уничтожены. Согласно информации, полученной позднее штабом первой русской армии, рейд вызвал сильную панику. Кроме разрушения железнодорожной станции, поездов и складов, было убито два вражеских офицера и семнадцать нижних чинов. Был ранен также начальник станции. В одной немецкой газете, полученной в Петрограде, сообщалось, что русские имеют специальные аэропланы, которые вызвали большой ущерб и оказались неуязвимыми для артиллерии.</w:t>
      </w:r>
    </w:p>
    <w:p w14:paraId="228C54C5" w14:textId="77777777" w:rsidR="00063C82" w:rsidRPr="00405303" w:rsidRDefault="00063C82" w:rsidP="00C15251">
      <w:pPr>
        <w:jc w:val="both"/>
        <w:rPr>
          <w:bCs/>
          <w:color w:val="002060"/>
          <w:sz w:val="16"/>
          <w:szCs w:val="16"/>
        </w:rPr>
      </w:pPr>
      <w:r w:rsidRPr="00405303">
        <w:rPr>
          <w:bCs/>
          <w:color w:val="002060"/>
          <w:sz w:val="16"/>
          <w:szCs w:val="16"/>
        </w:rPr>
        <w:t>В результате этих успешных вылетов общее отношение к Муромцам резко переменилось. Штаб Северо-западного фронта, например, который ранее отказался использовать ИМ-2, сделал следующий запрос в Ставку: «Настоящим я прошу сообщить нам о возможности предоставить Муромцев типа Киевский в распоряжение Северо-западного фронта (23470).</w:t>
      </w:r>
    </w:p>
    <w:p w14:paraId="7C9CC6B4" w14:textId="77777777" w:rsidR="00063C82" w:rsidRPr="00405303" w:rsidRDefault="00063C82" w:rsidP="00C15251">
      <w:pPr>
        <w:jc w:val="both"/>
        <w:rPr>
          <w:bCs/>
          <w:color w:val="002060"/>
          <w:sz w:val="16"/>
          <w:szCs w:val="16"/>
          <w:lang w:bidi="ru-RU"/>
        </w:rPr>
      </w:pPr>
    </w:p>
    <w:p w14:paraId="353B52BD" w14:textId="77777777" w:rsidR="002522CB" w:rsidRPr="00405303" w:rsidRDefault="002522CB" w:rsidP="002522CB">
      <w:pPr>
        <w:jc w:val="both"/>
        <w:rPr>
          <w:color w:val="0070C0"/>
          <w:sz w:val="16"/>
          <w:szCs w:val="16"/>
        </w:rPr>
      </w:pPr>
      <w:r w:rsidRPr="00405303">
        <w:rPr>
          <w:color w:val="0070C0"/>
          <w:sz w:val="16"/>
          <w:szCs w:val="16"/>
        </w:rPr>
        <w:t>В течение 10-11 (23–24) марта 1915 г. немецкая авиация бомбила г. Жерардов (без человеческих жертв) (25135).</w:t>
      </w:r>
    </w:p>
    <w:p w14:paraId="3FE1F274" w14:textId="77777777" w:rsidR="002522CB" w:rsidRPr="00405303" w:rsidRDefault="002522CB" w:rsidP="002522CB">
      <w:pPr>
        <w:jc w:val="both"/>
        <w:rPr>
          <w:color w:val="0070C0"/>
          <w:sz w:val="16"/>
          <w:szCs w:val="16"/>
        </w:rPr>
      </w:pPr>
    </w:p>
    <w:p w14:paraId="5A1F2527" w14:textId="77777777" w:rsidR="002522CB" w:rsidRPr="00405303" w:rsidRDefault="002522CB" w:rsidP="002522CB">
      <w:pPr>
        <w:jc w:val="both"/>
        <w:rPr>
          <w:color w:val="0070C0"/>
          <w:sz w:val="16"/>
          <w:szCs w:val="16"/>
        </w:rPr>
      </w:pPr>
      <w:r w:rsidRPr="00405303">
        <w:rPr>
          <w:color w:val="0070C0"/>
          <w:sz w:val="16"/>
          <w:szCs w:val="16"/>
        </w:rPr>
        <w:t>10 (23) марта 1915 г. воздушной атаке подвергся польский город Ломжа. На его кварталы было сброшено 14 бомб, что привело к жертвам среди мирного населения. Ранения получили девять мирных жителей, убита одна лошадь (25135).</w:t>
      </w:r>
    </w:p>
    <w:p w14:paraId="77E14146" w14:textId="77777777" w:rsidR="002522CB" w:rsidRPr="00405303" w:rsidRDefault="002522CB" w:rsidP="002522CB">
      <w:pPr>
        <w:jc w:val="both"/>
        <w:rPr>
          <w:color w:val="0070C0"/>
          <w:sz w:val="16"/>
          <w:szCs w:val="16"/>
        </w:rPr>
      </w:pPr>
    </w:p>
    <w:p w14:paraId="6FB75DB1" w14:textId="5010BF71" w:rsidR="004B4E35" w:rsidRPr="00405303" w:rsidRDefault="009E6F82" w:rsidP="00C15251">
      <w:pPr>
        <w:jc w:val="both"/>
        <w:rPr>
          <w:bCs/>
          <w:i/>
          <w:color w:val="002060"/>
          <w:sz w:val="16"/>
          <w:szCs w:val="16"/>
        </w:rPr>
      </w:pPr>
      <w:r w:rsidRPr="00405303">
        <w:rPr>
          <w:bCs/>
          <w:i/>
          <w:color w:val="002060"/>
          <w:sz w:val="16"/>
          <w:szCs w:val="16"/>
        </w:rPr>
        <w:t>Авиация</w:t>
      </w:r>
      <w:r w:rsidR="007C47BE" w:rsidRPr="00405303">
        <w:rPr>
          <w:bCs/>
          <w:i/>
          <w:color w:val="002060"/>
          <w:sz w:val="16"/>
          <w:szCs w:val="16"/>
        </w:rPr>
        <w:t xml:space="preserve"> и воздухоплавание Англии</w:t>
      </w:r>
      <w:r w:rsidRPr="00405303">
        <w:rPr>
          <w:bCs/>
          <w:i/>
          <w:color w:val="002060"/>
          <w:sz w:val="16"/>
          <w:szCs w:val="16"/>
        </w:rPr>
        <w:t>:</w:t>
      </w:r>
    </w:p>
    <w:p w14:paraId="68923C18" w14:textId="77777777" w:rsidR="004B4E35" w:rsidRPr="00405303" w:rsidRDefault="004B4E35" w:rsidP="00C15251">
      <w:pPr>
        <w:jc w:val="both"/>
        <w:rPr>
          <w:bCs/>
          <w:i/>
          <w:color w:val="002060"/>
          <w:sz w:val="16"/>
          <w:szCs w:val="16"/>
        </w:rPr>
      </w:pPr>
    </w:p>
    <w:p w14:paraId="2A6A9AAA" w14:textId="3D855691" w:rsidR="004B4E35" w:rsidRPr="00405303" w:rsidRDefault="009E6F82" w:rsidP="00C15251">
      <w:pPr>
        <w:jc w:val="both"/>
        <w:rPr>
          <w:bCs/>
          <w:color w:val="002060"/>
          <w:sz w:val="16"/>
          <w:szCs w:val="16"/>
        </w:rPr>
      </w:pPr>
      <w:r w:rsidRPr="00405303">
        <w:rPr>
          <w:bCs/>
          <w:color w:val="002060"/>
          <w:sz w:val="16"/>
          <w:szCs w:val="16"/>
        </w:rPr>
        <w:t>10 (23) марта</w:t>
      </w:r>
      <w:r w:rsidR="007C47BE" w:rsidRPr="00405303">
        <w:rPr>
          <w:bCs/>
          <w:color w:val="002060"/>
          <w:sz w:val="16"/>
          <w:szCs w:val="16"/>
        </w:rPr>
        <w:t xml:space="preserve"> 1915 г. новая попытка рейда на базу дирижаблей в Нордернее, предпринятая</w:t>
      </w:r>
      <w:r w:rsidRPr="00405303">
        <w:rPr>
          <w:bCs/>
          <w:color w:val="002060"/>
          <w:sz w:val="16"/>
          <w:szCs w:val="16"/>
        </w:rPr>
        <w:t xml:space="preserve">, также не удалась — стоял густой туман. 3 мая три плавбазы вышли в море, но и на этот раз шторм заставил Тирвитта отменить задание. Не падая духом из-за преследовавших его неудач, 11 мая Тирвитт опять вывел в море 2 плавбазы. Экспедицию обнаружил цеппелин, который постоянно висел невдалеке от флотилии. Трем гидросамолетам «Шорт» удалось взлететь с воды. Попытка выпустить «сопвич» с помощью палубной платформы не удалась — загорелся двигатель. Налет «шортов» потерпел полное фиаско — поднялся </w:t>
      </w:r>
      <w:proofErr w:type="gramStart"/>
      <w:r w:rsidRPr="00405303">
        <w:rPr>
          <w:bCs/>
          <w:color w:val="002060"/>
          <w:sz w:val="16"/>
          <w:szCs w:val="16"/>
        </w:rPr>
        <w:t>туман</w:t>
      </w:r>
      <w:proofErr w:type="gramEnd"/>
      <w:r w:rsidRPr="00405303">
        <w:rPr>
          <w:bCs/>
          <w:color w:val="002060"/>
          <w:sz w:val="16"/>
          <w:szCs w:val="16"/>
        </w:rPr>
        <w:t xml:space="preserve"> и один пилот вернулся, с трудом найдя флотилию. У второго самолета отказал двигатель, и он разбился на вынужденной посадке. Третий сорвался в штопор и погиб в море (11324).</w:t>
      </w:r>
    </w:p>
    <w:p w14:paraId="56BC33EA" w14:textId="77777777" w:rsidR="004B4E35" w:rsidRPr="00405303" w:rsidRDefault="004B4E35" w:rsidP="00C15251">
      <w:pPr>
        <w:jc w:val="both"/>
        <w:rPr>
          <w:bCs/>
          <w:i/>
          <w:color w:val="002060"/>
          <w:sz w:val="16"/>
          <w:szCs w:val="16"/>
        </w:rPr>
      </w:pPr>
    </w:p>
    <w:p w14:paraId="0D206EC7"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304688CF" w14:textId="77777777" w:rsidR="004B4E35" w:rsidRPr="00405303" w:rsidRDefault="004B4E35" w:rsidP="00C15251">
      <w:pPr>
        <w:jc w:val="both"/>
        <w:rPr>
          <w:bCs/>
          <w:i/>
          <w:color w:val="002060"/>
          <w:sz w:val="16"/>
          <w:szCs w:val="16"/>
        </w:rPr>
      </w:pPr>
    </w:p>
    <w:p w14:paraId="1CFB2FBD" w14:textId="7E925451" w:rsidR="004B4E35" w:rsidRPr="00405303" w:rsidRDefault="009E6F82" w:rsidP="00C15251">
      <w:pPr>
        <w:jc w:val="both"/>
        <w:rPr>
          <w:bCs/>
          <w:color w:val="002060"/>
          <w:sz w:val="16"/>
          <w:szCs w:val="16"/>
        </w:rPr>
      </w:pPr>
      <w:r w:rsidRPr="00405303">
        <w:rPr>
          <w:bCs/>
          <w:color w:val="002060"/>
          <w:sz w:val="16"/>
          <w:szCs w:val="16"/>
        </w:rPr>
        <w:t xml:space="preserve">11 (24) марта 1915 года </w:t>
      </w:r>
      <w:r w:rsidR="007C47BE" w:rsidRPr="00405303">
        <w:rPr>
          <w:bCs/>
          <w:color w:val="002060"/>
          <w:sz w:val="16"/>
          <w:szCs w:val="16"/>
        </w:rPr>
        <w:t xml:space="preserve">биржевые комитеты </w:t>
      </w:r>
      <w:r w:rsidRPr="00405303">
        <w:rPr>
          <w:bCs/>
          <w:color w:val="002060"/>
          <w:sz w:val="16"/>
          <w:szCs w:val="16"/>
        </w:rPr>
        <w:t>— Нижегородский, 12 марта — Рыбинский, 14 марта — Саратовский, 16 марта — Пермский</w:t>
      </w:r>
      <w:r w:rsidR="007C47BE" w:rsidRPr="00405303">
        <w:rPr>
          <w:bCs/>
          <w:color w:val="002060"/>
          <w:sz w:val="16"/>
          <w:szCs w:val="16"/>
        </w:rPr>
        <w:t xml:space="preserve"> требовали введения твердых цен на нефть и нефтепродукты.</w:t>
      </w:r>
      <w:r w:rsidRPr="00405303">
        <w:rPr>
          <w:bCs/>
          <w:color w:val="002060"/>
          <w:sz w:val="16"/>
          <w:szCs w:val="16"/>
        </w:rPr>
        <w:t xml:space="preserve"> 15 апреля состоялось групповое обращение в правительство пяти биржевых комитетов. Однако, несмотря на давление снизу, правительство не решилось на введение в нефтяной отрасли государственной монополии (Там же. Ф. 92. Оп. 1. Д. 623. Л. 276—279.), хотя определенные подвижки произошли — были приняты решительные меры по государственному регулированию всей системы нефтеснабжения. СНАЧАЛОМ войны цены на нефть в России, как ни удивительно, снизились. Всем представлялось, что война будет недолгой: несколько месяцев, в худшем случае — год. Во время войны производство невоенных товаров должно было сократиться, так же как строительство и экспорт, поэтому востребованность нефтяного топлива, по мнению многих, должна была снизиться (11178).</w:t>
      </w:r>
    </w:p>
    <w:p w14:paraId="6B632486" w14:textId="77777777" w:rsidR="004B4E35" w:rsidRPr="00405303" w:rsidRDefault="004B4E35" w:rsidP="00C15251">
      <w:pPr>
        <w:shd w:val="clear" w:color="auto" w:fill="FFFFFF"/>
        <w:jc w:val="both"/>
        <w:rPr>
          <w:bCs/>
          <w:color w:val="002060"/>
          <w:sz w:val="16"/>
          <w:szCs w:val="16"/>
        </w:rPr>
      </w:pPr>
    </w:p>
    <w:p w14:paraId="557D11BA"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Армия:</w:t>
      </w:r>
    </w:p>
    <w:p w14:paraId="3A1DFFE3" w14:textId="77777777" w:rsidR="004B4E35" w:rsidRPr="00405303" w:rsidRDefault="004B4E35" w:rsidP="00C15251">
      <w:pPr>
        <w:shd w:val="clear" w:color="auto" w:fill="FFFFFF"/>
        <w:jc w:val="both"/>
        <w:rPr>
          <w:bCs/>
          <w:i/>
          <w:color w:val="002060"/>
          <w:sz w:val="16"/>
          <w:szCs w:val="16"/>
        </w:rPr>
      </w:pPr>
    </w:p>
    <w:p w14:paraId="2BEE6FD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11 (24) марта 1915 на станции Остроленка близ вокзала немецкие летчики сбросили бомбы над расположением 526 полевого подвижного госпиталя и питательно-перевязочного пункта Красного Креста, обстреляли санитарные поезда. Всего было сброшено около 100 5омб, при этом было убито 12 и ранено около 20 человек. Бомбы вбрасывались с низкой высоты, а госпиталь и перевязочный пункт были обозначены. Немцы нарушили постановление Женевской конвенции 1906 года, запретившей сбрасывать бомбы над госпиталями и учреждениями Красного Креста ("Русский инвалид”, 1915 г., 30 октября).</w:t>
      </w:r>
    </w:p>
    <w:p w14:paraId="75459D23" w14:textId="77777777" w:rsidR="004B4E35" w:rsidRPr="00405303" w:rsidRDefault="004B4E35" w:rsidP="00C15251">
      <w:pPr>
        <w:shd w:val="clear" w:color="auto" w:fill="FFFFFF"/>
        <w:jc w:val="both"/>
        <w:rPr>
          <w:bCs/>
          <w:color w:val="002060"/>
          <w:sz w:val="16"/>
          <w:szCs w:val="16"/>
        </w:rPr>
      </w:pPr>
    </w:p>
    <w:p w14:paraId="61AC87FE" w14:textId="77777777" w:rsidR="006D164A" w:rsidRPr="00405303" w:rsidRDefault="006D164A" w:rsidP="00C15251">
      <w:pPr>
        <w:jc w:val="both"/>
        <w:rPr>
          <w:bCs/>
          <w:color w:val="002060"/>
          <w:sz w:val="16"/>
          <w:szCs w:val="16"/>
        </w:rPr>
      </w:pPr>
      <w:r w:rsidRPr="00405303">
        <w:rPr>
          <w:bCs/>
          <w:color w:val="002060"/>
          <w:sz w:val="16"/>
          <w:szCs w:val="16"/>
        </w:rPr>
        <w:t>11 (24) марта 1915 г на ст. Остроленка близ вокзала немецкие летчики сбро</w:t>
      </w:r>
      <w:r w:rsidRPr="00405303">
        <w:rPr>
          <w:bCs/>
          <w:color w:val="002060"/>
          <w:sz w:val="16"/>
          <w:szCs w:val="16"/>
        </w:rPr>
        <w:softHyphen/>
        <w:t>сили бомбы над расположением 526 полевого подвижного госпиталя и питательно-перевязочного пункта красного Креста, обстреляли сани</w:t>
      </w:r>
      <w:r w:rsidRPr="00405303">
        <w:rPr>
          <w:bCs/>
          <w:color w:val="002060"/>
          <w:sz w:val="16"/>
          <w:szCs w:val="16"/>
        </w:rPr>
        <w:softHyphen/>
        <w:t>тарные поезда. Всего было сброшено около 100 бомб, при этом было уби</w:t>
      </w:r>
      <w:r w:rsidRPr="00405303">
        <w:rPr>
          <w:bCs/>
          <w:color w:val="002060"/>
          <w:sz w:val="16"/>
          <w:szCs w:val="16"/>
        </w:rPr>
        <w:softHyphen/>
        <w:t>то 12 и ранено около 20 человек. Бомбы сбрасывались с низкой высоты, а госпиталь и перевязочный пункт были обозначены. Немцы нарушили постановление женевской конвенции 1906 года, запретившей сбрасывать бомбы над госпиталями и учреждениями Красного Креста.</w:t>
      </w:r>
    </w:p>
    <w:p w14:paraId="32EA12EF" w14:textId="77777777" w:rsidR="006D164A" w:rsidRPr="00405303" w:rsidRDefault="006D164A"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Русский инвалид» за 30 октября 1915/ (23320).</w:t>
      </w:r>
    </w:p>
    <w:p w14:paraId="58E537BC" w14:textId="77777777" w:rsidR="006D164A" w:rsidRPr="00405303" w:rsidRDefault="006D164A" w:rsidP="00C15251">
      <w:pPr>
        <w:jc w:val="both"/>
        <w:rPr>
          <w:bCs/>
          <w:color w:val="002060"/>
          <w:sz w:val="16"/>
          <w:szCs w:val="16"/>
        </w:rPr>
      </w:pPr>
    </w:p>
    <w:p w14:paraId="0AAA4898" w14:textId="77777777" w:rsidR="004B4E35" w:rsidRPr="00405303" w:rsidRDefault="009E6F82" w:rsidP="00C15251">
      <w:pPr>
        <w:jc w:val="both"/>
        <w:rPr>
          <w:bCs/>
          <w:color w:val="002060"/>
          <w:sz w:val="16"/>
          <w:szCs w:val="16"/>
        </w:rPr>
      </w:pPr>
      <w:r w:rsidRPr="00405303">
        <w:rPr>
          <w:bCs/>
          <w:color w:val="002060"/>
          <w:sz w:val="16"/>
          <w:szCs w:val="16"/>
        </w:rPr>
        <w:t xml:space="preserve">11 (24) марта 1915 года, во втором часу дня, в Остроленке, близ железнодорожного вокзала, с неприятельских аэропланов были сброшены бомбы над местом расположения 526 полевого подвижного госпиталя и питательно-перевязочного пункта Красного Креста; тогда же подверглись обстрелу с аэропланов санитарные поезда № 31 и № 121; всего было сброшено около ста бомб, причем при взрывах 12 человек из состава служебного персонала госпиталей были на месте убиты и около 20 человек ранены. </w:t>
      </w:r>
    </w:p>
    <w:p w14:paraId="41AFB2E1" w14:textId="77777777" w:rsidR="004B4E35" w:rsidRPr="00405303" w:rsidRDefault="009E6F82" w:rsidP="00C15251">
      <w:pPr>
        <w:jc w:val="both"/>
        <w:rPr>
          <w:bCs/>
          <w:color w:val="002060"/>
          <w:sz w:val="16"/>
          <w:szCs w:val="16"/>
        </w:rPr>
      </w:pPr>
      <w:r w:rsidRPr="00405303">
        <w:rPr>
          <w:bCs/>
          <w:color w:val="002060"/>
          <w:sz w:val="16"/>
          <w:szCs w:val="16"/>
        </w:rPr>
        <w:t xml:space="preserve">Начиная с указанного выше 11 марта вплоть до 2 апреля обстрел со стороны германских аэропланов русских санитарных учреждений, расположенных в указанном районе, производился ежедневно; с особой систематичностью неприятель сбрасывал бомбы в отведенные в местечке Войцеховыщи под госпитали казармы 32 пехотного Нижегородского полка; за это время неоднократно с аэропланов обстреливались указанный выше 526, а также 527 и 513 полевые подвижные госпитали, Гродненский и Владивостокский подвижные лазареты и лазарет 10 стрелковой дивизии. </w:t>
      </w:r>
    </w:p>
    <w:p w14:paraId="0C6E3C68" w14:textId="77777777" w:rsidR="004B4E35" w:rsidRPr="00405303" w:rsidRDefault="009E6F82" w:rsidP="00C15251">
      <w:pPr>
        <w:jc w:val="both"/>
        <w:rPr>
          <w:bCs/>
          <w:color w:val="002060"/>
          <w:sz w:val="16"/>
          <w:szCs w:val="16"/>
        </w:rPr>
      </w:pPr>
      <w:r w:rsidRPr="00405303">
        <w:rPr>
          <w:bCs/>
          <w:color w:val="002060"/>
          <w:sz w:val="16"/>
          <w:szCs w:val="16"/>
        </w:rPr>
        <w:t xml:space="preserve">По удостоверению очевидцев, неприятельские аэропланы при метании бомб летали на такой высоте, что сбрасывавшие бомбы летчики не могли не видеть флагов и знаков Красного Креста, которые были выставлены над подвергавшимися обстрелу санитарными учреждениями, тем более что некоторые из флагов были умышленно сделаны очень большого размера: так, по словам смотрителя 527 подвижного госпиталя прапорщика Анатолия Долгова, с целью избежания обстрела, на крыше помещения, занимаемого названным госпиталем, был положен флаг с изображением Красного Креста, достигавший размерами своими приблизительно 25 кв. аршин. Однако, не взирая на выставленные на особо видных местах отличительные знаки и флаги; обстрел санитарных учреждений продолжался, причем бывали дни, когда с аэропланов сбрасывалось до 80 бомб... </w:t>
      </w:r>
    </w:p>
    <w:p w14:paraId="7C100D03" w14:textId="77777777" w:rsidR="004B4E35" w:rsidRPr="00405303" w:rsidRDefault="004B4E35" w:rsidP="00C15251">
      <w:pPr>
        <w:shd w:val="clear" w:color="auto" w:fill="FFFFFF"/>
        <w:jc w:val="both"/>
        <w:rPr>
          <w:bCs/>
          <w:i/>
          <w:color w:val="002060"/>
          <w:sz w:val="16"/>
          <w:szCs w:val="16"/>
        </w:rPr>
      </w:pPr>
    </w:p>
    <w:p w14:paraId="6DD1AE5E" w14:textId="77777777" w:rsidR="002522CB" w:rsidRPr="00405303" w:rsidRDefault="002522CB" w:rsidP="002522CB">
      <w:pPr>
        <w:jc w:val="both"/>
        <w:rPr>
          <w:color w:val="0070C0"/>
          <w:sz w:val="16"/>
          <w:szCs w:val="16"/>
        </w:rPr>
      </w:pPr>
      <w:r w:rsidRPr="00405303">
        <w:rPr>
          <w:color w:val="0070C0"/>
          <w:sz w:val="16"/>
          <w:szCs w:val="16"/>
        </w:rPr>
        <w:t>11 (24) марта 1915 г. над крепостью Осовец были замечены немецкие самолеты, которые попали под обстрел русской крепостной артиллерии (25135).</w:t>
      </w:r>
    </w:p>
    <w:p w14:paraId="201B4C6E" w14:textId="77777777" w:rsidR="002522CB" w:rsidRPr="00405303" w:rsidRDefault="002522CB" w:rsidP="002522CB">
      <w:pPr>
        <w:jc w:val="both"/>
        <w:rPr>
          <w:color w:val="0070C0"/>
          <w:sz w:val="16"/>
          <w:szCs w:val="16"/>
        </w:rPr>
      </w:pPr>
    </w:p>
    <w:p w14:paraId="0ED024E1"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Англии:</w:t>
      </w:r>
    </w:p>
    <w:p w14:paraId="622377B8" w14:textId="77777777" w:rsidR="004B4E35" w:rsidRPr="00405303" w:rsidRDefault="004B4E35" w:rsidP="00C15251">
      <w:pPr>
        <w:shd w:val="clear" w:color="auto" w:fill="FFFFFF"/>
        <w:jc w:val="both"/>
        <w:rPr>
          <w:bCs/>
          <w:i/>
          <w:color w:val="002060"/>
          <w:sz w:val="16"/>
          <w:szCs w:val="16"/>
        </w:rPr>
      </w:pPr>
    </w:p>
    <w:p w14:paraId="05B4BF97" w14:textId="1CB635AF" w:rsidR="004B4E35" w:rsidRPr="00405303" w:rsidRDefault="009E6F82" w:rsidP="00C15251">
      <w:pPr>
        <w:jc w:val="both"/>
        <w:rPr>
          <w:bCs/>
          <w:color w:val="002060"/>
          <w:sz w:val="16"/>
          <w:szCs w:val="16"/>
        </w:rPr>
      </w:pPr>
      <w:r w:rsidRPr="00405303">
        <w:rPr>
          <w:bCs/>
          <w:color w:val="002060"/>
          <w:sz w:val="16"/>
          <w:szCs w:val="16"/>
        </w:rPr>
        <w:t xml:space="preserve">11 (24) марта </w:t>
      </w:r>
      <w:r w:rsidR="002255AC" w:rsidRPr="00405303">
        <w:rPr>
          <w:bCs/>
          <w:color w:val="002060"/>
          <w:sz w:val="16"/>
          <w:szCs w:val="16"/>
        </w:rPr>
        <w:t xml:space="preserve">1915 г. </w:t>
      </w:r>
      <w:r w:rsidRPr="00405303">
        <w:rPr>
          <w:bCs/>
          <w:color w:val="002060"/>
          <w:sz w:val="16"/>
          <w:szCs w:val="16"/>
        </w:rPr>
        <w:t>английские летчики произвели значительные разрушения между германскими подводными лодками, строившимися в Гоболене, близ Антверпена. Подожжены антверпенские морские доки; убито и ранено около 100 немецких рабочих; повреждены дирижабли в Сент-Агате и Гоболене. 27 марта французские летчики снова проникли в Эльзас-Лотарингию и бомбардировали вокзал в Меце и казармы в окрестностях Страсбурга...</w:t>
      </w:r>
    </w:p>
    <w:p w14:paraId="0226ACFF" w14:textId="77777777" w:rsidR="004B4E35" w:rsidRPr="00405303" w:rsidRDefault="009E6F82" w:rsidP="00C15251">
      <w:pPr>
        <w:jc w:val="both"/>
        <w:rPr>
          <w:bCs/>
          <w:color w:val="002060"/>
          <w:sz w:val="16"/>
          <w:szCs w:val="16"/>
        </w:rPr>
      </w:pPr>
      <w:r w:rsidRPr="00405303">
        <w:rPr>
          <w:bCs/>
          <w:color w:val="002060"/>
          <w:sz w:val="16"/>
          <w:szCs w:val="16"/>
        </w:rPr>
        <w:t>На Балканском полуострове австрийские аэропланы сбросили десяток бомб 19 марта над городом Антивари, а 13 марта австрийский аэроплан сбросил 7 бомб на рынке в Подгорице, убив 22 человека и ранив 62" (11999).</w:t>
      </w:r>
    </w:p>
    <w:p w14:paraId="20C75B66" w14:textId="77777777" w:rsidR="004B4E35" w:rsidRPr="00405303" w:rsidRDefault="004B4E35" w:rsidP="00C15251">
      <w:pPr>
        <w:jc w:val="both"/>
        <w:rPr>
          <w:bCs/>
          <w:color w:val="002060"/>
          <w:sz w:val="16"/>
          <w:szCs w:val="16"/>
        </w:rPr>
      </w:pPr>
    </w:p>
    <w:p w14:paraId="311FFE34" w14:textId="77777777" w:rsidR="00944087" w:rsidRPr="00405303" w:rsidRDefault="00944087" w:rsidP="00C15251">
      <w:pPr>
        <w:jc w:val="both"/>
        <w:rPr>
          <w:bCs/>
          <w:color w:val="002060"/>
          <w:sz w:val="16"/>
          <w:szCs w:val="16"/>
        </w:rPr>
      </w:pPr>
      <w:r w:rsidRPr="00405303">
        <w:rPr>
          <w:bCs/>
          <w:color w:val="002060"/>
          <w:sz w:val="16"/>
          <w:szCs w:val="16"/>
        </w:rPr>
        <w:t>11 (24) марта 1915 пять самолетов Avro 504 Королевской морской авиации из первой эскадрильи бомбили склад немецких подводных лодок в Хобокене в Антверпене, Бельгия , в результате чего на верфи произошел пожар, в результате которого были уничтожены две немецкие подводные лодки (20338).</w:t>
      </w:r>
    </w:p>
    <w:p w14:paraId="3367ECD4" w14:textId="77777777" w:rsidR="00944087" w:rsidRPr="00405303" w:rsidRDefault="00944087" w:rsidP="00C15251">
      <w:pPr>
        <w:jc w:val="both"/>
        <w:rPr>
          <w:bCs/>
          <w:color w:val="002060"/>
          <w:sz w:val="16"/>
          <w:szCs w:val="16"/>
        </w:rPr>
      </w:pPr>
    </w:p>
    <w:p w14:paraId="6FEFA8CE" w14:textId="53A9AF29" w:rsidR="002522CB" w:rsidRPr="00405303" w:rsidRDefault="002522CB" w:rsidP="00C15251">
      <w:pPr>
        <w:jc w:val="both"/>
        <w:rPr>
          <w:bCs/>
          <w:i/>
          <w:color w:val="002060"/>
          <w:sz w:val="16"/>
          <w:szCs w:val="16"/>
        </w:rPr>
      </w:pPr>
      <w:r w:rsidRPr="00405303">
        <w:rPr>
          <w:bCs/>
          <w:i/>
          <w:color w:val="002060"/>
          <w:sz w:val="16"/>
          <w:szCs w:val="16"/>
        </w:rPr>
        <w:t>Авиация:</w:t>
      </w:r>
    </w:p>
    <w:p w14:paraId="2724B7CE" w14:textId="77777777" w:rsidR="002522CB" w:rsidRPr="00405303" w:rsidRDefault="002522CB" w:rsidP="00C15251">
      <w:pPr>
        <w:jc w:val="both"/>
        <w:rPr>
          <w:bCs/>
          <w:color w:val="002060"/>
          <w:sz w:val="16"/>
          <w:szCs w:val="16"/>
        </w:rPr>
      </w:pPr>
    </w:p>
    <w:p w14:paraId="1281D55B" w14:textId="77777777" w:rsidR="002522CB" w:rsidRPr="00405303" w:rsidRDefault="002522CB" w:rsidP="002522CB">
      <w:pPr>
        <w:jc w:val="both"/>
        <w:rPr>
          <w:color w:val="0070C0"/>
          <w:sz w:val="16"/>
          <w:szCs w:val="16"/>
        </w:rPr>
      </w:pPr>
      <w:r w:rsidRPr="00405303">
        <w:rPr>
          <w:color w:val="0070C0"/>
          <w:sz w:val="16"/>
          <w:szCs w:val="16"/>
        </w:rPr>
        <w:t>12 (25) марта 1915 г. в нарушении Женевской конвенции 1906 г. немецкая авиация подвергла бомбардировке на ст. Остроленка (царство Польское) расположение 526-го полевого госпиталя, развернутого у вокзала, и питательно-перевязочный пункт Красного Креста.</w:t>
      </w:r>
    </w:p>
    <w:p w14:paraId="19E2B06B" w14:textId="77777777" w:rsidR="002522CB" w:rsidRPr="00405303" w:rsidRDefault="002522CB" w:rsidP="002522CB">
      <w:pPr>
        <w:jc w:val="both"/>
        <w:rPr>
          <w:color w:val="0070C0"/>
          <w:sz w:val="16"/>
          <w:szCs w:val="16"/>
        </w:rPr>
      </w:pPr>
      <w:r w:rsidRPr="00405303">
        <w:rPr>
          <w:color w:val="0070C0"/>
          <w:sz w:val="16"/>
          <w:szCs w:val="16"/>
        </w:rPr>
        <w:t xml:space="preserve">Бомбы сбрасывались с малой высоты, несмотря на то обстоятельство, что госпиталь и питательно-перевязочный пункт были обозначены установленными знаками, так </w:t>
      </w:r>
      <w:proofErr w:type="gramStart"/>
      <w:r w:rsidRPr="00405303">
        <w:rPr>
          <w:color w:val="0070C0"/>
          <w:sz w:val="16"/>
          <w:szCs w:val="16"/>
        </w:rPr>
        <w:t>же</w:t>
      </w:r>
      <w:proofErr w:type="gramEnd"/>
      <w:r w:rsidRPr="00405303">
        <w:rPr>
          <w:color w:val="0070C0"/>
          <w:sz w:val="16"/>
          <w:szCs w:val="16"/>
        </w:rPr>
        <w:t xml:space="preserve"> как и санитарные эшелоны, находившиеся на железнодорожных путях у вокзала. Всего было сброшено около 100 мелких бомб, убито 12 и ранено около 20 человек. В тот же день австрийский самолет сбросил две бомбы на территорию русского госпиталя у ст. Воля-Ржзедзиньска (в районе г. Тарнов) (25135).</w:t>
      </w:r>
    </w:p>
    <w:p w14:paraId="2896C0BB" w14:textId="77777777" w:rsidR="002522CB" w:rsidRPr="00405303" w:rsidRDefault="002522CB" w:rsidP="002522CB">
      <w:pPr>
        <w:jc w:val="both"/>
        <w:rPr>
          <w:color w:val="0070C0"/>
          <w:sz w:val="16"/>
          <w:szCs w:val="16"/>
        </w:rPr>
      </w:pPr>
    </w:p>
    <w:p w14:paraId="1B0A2AB5"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70151347" w14:textId="77777777" w:rsidR="004B4E35" w:rsidRPr="00405303" w:rsidRDefault="004B4E35" w:rsidP="00C15251">
      <w:pPr>
        <w:shd w:val="clear" w:color="auto" w:fill="FFFFFF"/>
        <w:jc w:val="both"/>
        <w:rPr>
          <w:bCs/>
          <w:i/>
          <w:color w:val="002060"/>
          <w:sz w:val="16"/>
          <w:szCs w:val="16"/>
        </w:rPr>
      </w:pPr>
    </w:p>
    <w:p w14:paraId="73918D77" w14:textId="2C1E45C3" w:rsidR="004B4E35" w:rsidRPr="00405303" w:rsidRDefault="009E6F82" w:rsidP="00C15251">
      <w:pPr>
        <w:jc w:val="both"/>
        <w:rPr>
          <w:bCs/>
          <w:color w:val="002060"/>
          <w:sz w:val="16"/>
          <w:szCs w:val="16"/>
        </w:rPr>
      </w:pPr>
      <w:r w:rsidRPr="00405303">
        <w:rPr>
          <w:bCs/>
          <w:color w:val="002060"/>
          <w:sz w:val="16"/>
          <w:szCs w:val="16"/>
        </w:rPr>
        <w:t xml:space="preserve">12-го (25) </w:t>
      </w:r>
      <w:r w:rsidR="002255AC" w:rsidRPr="00405303">
        <w:rPr>
          <w:bCs/>
          <w:color w:val="002060"/>
          <w:sz w:val="16"/>
          <w:szCs w:val="16"/>
        </w:rPr>
        <w:t>марта</w:t>
      </w:r>
      <w:r w:rsidRPr="00405303">
        <w:rPr>
          <w:bCs/>
          <w:color w:val="002060"/>
          <w:sz w:val="16"/>
          <w:szCs w:val="16"/>
        </w:rPr>
        <w:t xml:space="preserve"> 1915 г. № 230 ОРГАНИЗАЦИЯ АВИАЦИИ ЧЕРНОМОРСКОГО ФЛОТА Вследствие надписи начальника штаба Верховного главнокомандующего от 20 февраля 1915 года, положенной на приказ Верховного главнокомандующего от 14 августа 1914 года № 14, примечания первого к приказу Верховного главнокомандующего 5 января 1915 года за № 4 и телеграммы его императорского высочества великого князя Александра Михайловича 4 марта 1915 года за № 779-3795 все морские, а также присланные в мое распоряжение сухопутные авиационные отряды на время войны организовываются следующим образом: 1. Все упомянутые отряды сводятся в авиацию Черноморского флота.</w:t>
      </w:r>
    </w:p>
    <w:p w14:paraId="31ED060B" w14:textId="77777777" w:rsidR="004B4E35" w:rsidRPr="00405303" w:rsidRDefault="009E6F82" w:rsidP="00C15251">
      <w:pPr>
        <w:jc w:val="both"/>
        <w:rPr>
          <w:bCs/>
          <w:color w:val="002060"/>
          <w:sz w:val="16"/>
          <w:szCs w:val="16"/>
        </w:rPr>
      </w:pPr>
      <w:r w:rsidRPr="00405303">
        <w:rPr>
          <w:bCs/>
          <w:color w:val="002060"/>
          <w:sz w:val="16"/>
          <w:szCs w:val="16"/>
        </w:rPr>
        <w:t>2. Заведывание организацией авиационного дела во флоте по повелению Верховного главнокомандующего возложено на его императорское высочество великого князя Александра Михайловича.</w:t>
      </w:r>
    </w:p>
    <w:p w14:paraId="6D0D988E" w14:textId="77777777" w:rsidR="004B4E35" w:rsidRPr="00405303" w:rsidRDefault="009E6F82" w:rsidP="00C15251">
      <w:pPr>
        <w:jc w:val="both"/>
        <w:rPr>
          <w:bCs/>
          <w:color w:val="002060"/>
          <w:sz w:val="16"/>
          <w:szCs w:val="16"/>
        </w:rPr>
      </w:pPr>
      <w:r w:rsidRPr="00405303">
        <w:rPr>
          <w:bCs/>
          <w:color w:val="002060"/>
          <w:sz w:val="16"/>
          <w:szCs w:val="16"/>
        </w:rPr>
        <w:t>3. В отношении авиационных частей как морских, так и сухопутных Черноморского флота заведующий организацией авиационного дела во флоте непосредственно подчиняется командующему Черноморским флотом.</w:t>
      </w:r>
    </w:p>
    <w:p w14:paraId="3DA26125" w14:textId="77777777" w:rsidR="004B4E35" w:rsidRPr="00405303" w:rsidRDefault="009E6F82" w:rsidP="00C15251">
      <w:pPr>
        <w:jc w:val="both"/>
        <w:rPr>
          <w:bCs/>
          <w:color w:val="002060"/>
          <w:sz w:val="16"/>
          <w:szCs w:val="16"/>
        </w:rPr>
      </w:pPr>
      <w:r w:rsidRPr="00405303">
        <w:rPr>
          <w:bCs/>
          <w:color w:val="002060"/>
          <w:sz w:val="16"/>
          <w:szCs w:val="16"/>
        </w:rPr>
        <w:t>4. Права заведующего организацией авиационного дела во флоте по отношению к авиационным отрядам Черноморского флота установлены приказом Верховного главнокомандующего 14 августа 1914 года № 14.</w:t>
      </w:r>
    </w:p>
    <w:p w14:paraId="19758F1A" w14:textId="77777777" w:rsidR="004B4E35" w:rsidRPr="00405303" w:rsidRDefault="009E6F82" w:rsidP="00C15251">
      <w:pPr>
        <w:jc w:val="both"/>
        <w:rPr>
          <w:bCs/>
          <w:color w:val="002060"/>
          <w:sz w:val="16"/>
          <w:szCs w:val="16"/>
        </w:rPr>
      </w:pPr>
      <w:r w:rsidRPr="00405303">
        <w:rPr>
          <w:bCs/>
          <w:color w:val="002060"/>
          <w:sz w:val="16"/>
          <w:szCs w:val="16"/>
        </w:rPr>
        <w:t>5. Вся авиация Черноморского флота выделяется из состава службы связи Черного моря.</w:t>
      </w:r>
    </w:p>
    <w:p w14:paraId="4DFF96EF" w14:textId="77777777" w:rsidR="004B4E35" w:rsidRPr="00405303" w:rsidRDefault="009E6F82" w:rsidP="00C15251">
      <w:pPr>
        <w:jc w:val="both"/>
        <w:rPr>
          <w:bCs/>
          <w:color w:val="002060"/>
          <w:sz w:val="16"/>
          <w:szCs w:val="16"/>
        </w:rPr>
      </w:pPr>
      <w:r w:rsidRPr="00405303">
        <w:rPr>
          <w:bCs/>
          <w:color w:val="002060"/>
          <w:sz w:val="16"/>
          <w:szCs w:val="16"/>
        </w:rPr>
        <w:t>6. Заведующим организацией авиационного дела Черноморского флота назначается начальник воздушного района Черного моря лейтенант Стаховский с подчинением ему как всех морских, так и прикомандированных к Черноморскому флоту сухопутных авиационных отрядов со всеми их станциями, учреждениями, личным составом и имуществом.</w:t>
      </w:r>
    </w:p>
    <w:p w14:paraId="614E3B65" w14:textId="77777777" w:rsidR="004B4E35" w:rsidRPr="00405303" w:rsidRDefault="009E6F82" w:rsidP="00C15251">
      <w:pPr>
        <w:jc w:val="both"/>
        <w:rPr>
          <w:bCs/>
          <w:color w:val="002060"/>
          <w:sz w:val="16"/>
          <w:szCs w:val="16"/>
        </w:rPr>
      </w:pPr>
      <w:r w:rsidRPr="00405303">
        <w:rPr>
          <w:bCs/>
          <w:color w:val="002060"/>
          <w:sz w:val="16"/>
          <w:szCs w:val="16"/>
        </w:rPr>
        <w:t>7. Заведующий организацией авиационного дела Черноморского флота, находясь в ведении заведующего организацией авиационного дела во флоте, непосредственно подчиняется начальнику штаба командующего флотом.</w:t>
      </w:r>
    </w:p>
    <w:p w14:paraId="1149731A" w14:textId="77777777" w:rsidR="004B4E35" w:rsidRPr="00405303" w:rsidRDefault="009E6F82" w:rsidP="00C15251">
      <w:pPr>
        <w:jc w:val="both"/>
        <w:rPr>
          <w:bCs/>
          <w:color w:val="002060"/>
          <w:sz w:val="16"/>
          <w:szCs w:val="16"/>
        </w:rPr>
      </w:pPr>
      <w:r w:rsidRPr="00405303">
        <w:rPr>
          <w:bCs/>
          <w:color w:val="002060"/>
          <w:sz w:val="16"/>
          <w:szCs w:val="16"/>
        </w:rPr>
        <w:t>8. В случае выделения отрядов аэропланов на станции службы связи для несения службы на этих станциях выделяются отряды, [которые], оставаясь в техническом и хозяйственном отношении в ведении заведующего организацией авиации Черноморского флота, поступают в подчинение начальника службы связи Черного моря.</w:t>
      </w:r>
    </w:p>
    <w:p w14:paraId="49D16504" w14:textId="77777777" w:rsidR="004B4E35" w:rsidRPr="00405303" w:rsidRDefault="009E6F82" w:rsidP="00C15251">
      <w:pPr>
        <w:jc w:val="both"/>
        <w:rPr>
          <w:bCs/>
          <w:color w:val="002060"/>
          <w:sz w:val="16"/>
          <w:szCs w:val="16"/>
        </w:rPr>
      </w:pPr>
      <w:r w:rsidRPr="00405303">
        <w:rPr>
          <w:bCs/>
          <w:color w:val="002060"/>
          <w:sz w:val="16"/>
          <w:szCs w:val="16"/>
        </w:rPr>
        <w:t>Адмирал А. ЭБЕРГАРД Российский государственный архив Военно-морского флота. Ф. 418. Оп. 1. Д. 1407. Л. 101, 101 об.</w:t>
      </w:r>
    </w:p>
    <w:p w14:paraId="011D299E" w14:textId="77777777" w:rsidR="004B4E35" w:rsidRPr="00405303" w:rsidRDefault="009E6F82" w:rsidP="00C15251">
      <w:pPr>
        <w:jc w:val="both"/>
        <w:rPr>
          <w:bCs/>
          <w:color w:val="002060"/>
          <w:sz w:val="16"/>
          <w:szCs w:val="16"/>
        </w:rPr>
      </w:pPr>
      <w:r w:rsidRPr="00405303">
        <w:rPr>
          <w:bCs/>
          <w:color w:val="002060"/>
          <w:sz w:val="16"/>
          <w:szCs w:val="16"/>
        </w:rPr>
        <w:t>При этом авиация Черноморского флота получила так необходимую ей самостоятельность в вопросах повседневной деятельности. Тем самым адмирал А.А. Эбергард более чем за полтора года до выхода в свет «Положения о службе морской авиации и воздухоплавания Императорского российского флота» (декабрь 1916 года), которое фактически придало морской авиации статус рода сил российского флота, выделил черноморскую авиацию в самостоятельную организационную структуру флота. Здесь он явно оказался прозорливее своих коллег-балтийцев, у которых морская авиация оставалась в подчинении службы связи до декабря 1916 года (11177).</w:t>
      </w:r>
    </w:p>
    <w:p w14:paraId="56D239BC" w14:textId="77777777" w:rsidR="004B4E35" w:rsidRPr="00405303" w:rsidRDefault="004B4E35" w:rsidP="00C15251">
      <w:pPr>
        <w:jc w:val="both"/>
        <w:rPr>
          <w:bCs/>
          <w:color w:val="002060"/>
          <w:sz w:val="16"/>
          <w:szCs w:val="16"/>
        </w:rPr>
      </w:pPr>
    </w:p>
    <w:p w14:paraId="59FDC8F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12 (25) марта 1915 приказом командующего Черноморским флотом вся морская и сухопутная авиация в районе Черного моря сведена в авиацию Черноморского флота. Заведующим организацией авиацион</w:t>
      </w:r>
      <w:r w:rsidRPr="00405303">
        <w:rPr>
          <w:bCs/>
          <w:color w:val="002060"/>
          <w:sz w:val="16"/>
          <w:szCs w:val="16"/>
        </w:rPr>
        <w:softHyphen/>
        <w:t>ного дела. ЧИФ назначен лейтенант Стаховский. Так было поло</w:t>
      </w:r>
      <w:r w:rsidRPr="00405303">
        <w:rPr>
          <w:bCs/>
          <w:color w:val="002060"/>
          <w:sz w:val="16"/>
          <w:szCs w:val="16"/>
        </w:rPr>
        <w:softHyphen/>
        <w:t>жено начало морской авиации Черного моря (ЦГВИА. ф.2008, д.562, Л.26).</w:t>
      </w:r>
    </w:p>
    <w:p w14:paraId="7814D2EC" w14:textId="77777777" w:rsidR="004B4E35" w:rsidRPr="00405303" w:rsidRDefault="004B4E35" w:rsidP="00C15251">
      <w:pPr>
        <w:shd w:val="clear" w:color="auto" w:fill="FFFFFF"/>
        <w:jc w:val="both"/>
        <w:rPr>
          <w:bCs/>
          <w:color w:val="002060"/>
          <w:sz w:val="16"/>
          <w:szCs w:val="16"/>
        </w:rPr>
      </w:pPr>
    </w:p>
    <w:p w14:paraId="51ECA457" w14:textId="7D680E80"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12 (25) марта 1915 года </w:t>
      </w:r>
      <w:r w:rsidR="002255AC" w:rsidRPr="00405303">
        <w:rPr>
          <w:bCs/>
          <w:color w:val="002060"/>
          <w:sz w:val="16"/>
          <w:szCs w:val="16"/>
        </w:rPr>
        <w:t>выделенная из службы связи полностью служба авиации, организуемая согласно приказу ко</w:t>
      </w:r>
      <w:r w:rsidR="002255AC" w:rsidRPr="00405303">
        <w:rPr>
          <w:bCs/>
          <w:color w:val="002060"/>
          <w:sz w:val="16"/>
          <w:szCs w:val="16"/>
        </w:rPr>
        <w:softHyphen/>
        <w:t xml:space="preserve">мандующего Черноморским флотом № 230, </w:t>
      </w:r>
      <w:r w:rsidRPr="00405303">
        <w:rPr>
          <w:bCs/>
          <w:color w:val="002060"/>
          <w:sz w:val="16"/>
          <w:szCs w:val="16"/>
        </w:rPr>
        <w:t>в обособленный род сил, переживала острейший кризис. «Если до 15 мая не будет получено 8 лодок «Кертисс», -телеграфировал в центр начальник штаба флота вице-адмирал К. Плансон, - то придется прекратить воздушную разведку из-за неисправности аппаратов». Через несколько дней, уз</w:t>
      </w:r>
      <w:r w:rsidRPr="00405303">
        <w:rPr>
          <w:bCs/>
          <w:color w:val="002060"/>
          <w:sz w:val="16"/>
          <w:szCs w:val="16"/>
        </w:rPr>
        <w:softHyphen/>
        <w:t>нав о доставке в Архангельск партии таких лодок, он повто</w:t>
      </w:r>
      <w:r w:rsidRPr="00405303">
        <w:rPr>
          <w:bCs/>
          <w:color w:val="002060"/>
          <w:sz w:val="16"/>
          <w:szCs w:val="16"/>
        </w:rPr>
        <w:softHyphen/>
        <w:t xml:space="preserve">рил </w:t>
      </w:r>
      <w:proofErr w:type="gramStart"/>
      <w:r w:rsidRPr="00405303">
        <w:rPr>
          <w:bCs/>
          <w:color w:val="002060"/>
          <w:sz w:val="16"/>
          <w:szCs w:val="16"/>
        </w:rPr>
        <w:t>свою просьбу</w:t>
      </w:r>
      <w:proofErr w:type="gramEnd"/>
      <w:r w:rsidRPr="00405303">
        <w:rPr>
          <w:bCs/>
          <w:color w:val="002060"/>
          <w:sz w:val="16"/>
          <w:szCs w:val="16"/>
        </w:rPr>
        <w:t xml:space="preserve"> и они были привезены в Севастополь. К крайнему огорчению механиков и летчиков, большую часть американских гидроаэропланов ввести в строй не удалось. Более того, привезенные два месяца спустя 12 новых летаю</w:t>
      </w:r>
      <w:r w:rsidRPr="00405303">
        <w:rPr>
          <w:bCs/>
          <w:color w:val="002060"/>
          <w:sz w:val="16"/>
          <w:szCs w:val="16"/>
        </w:rPr>
        <w:softHyphen/>
        <w:t>щих лодок «М-5» не имели моторов, обещанных авиазаводу субподрядчиком (11283).</w:t>
      </w:r>
    </w:p>
    <w:p w14:paraId="7E697A23" w14:textId="77777777" w:rsidR="004B4E35" w:rsidRPr="00405303" w:rsidRDefault="004B4E35" w:rsidP="00C15251">
      <w:pPr>
        <w:shd w:val="clear" w:color="auto" w:fill="FFFFFF"/>
        <w:jc w:val="both"/>
        <w:rPr>
          <w:bCs/>
          <w:color w:val="002060"/>
          <w:sz w:val="16"/>
          <w:szCs w:val="16"/>
        </w:rPr>
      </w:pPr>
    </w:p>
    <w:p w14:paraId="2F7F9D6E" w14:textId="02B9E232" w:rsidR="004B4E35" w:rsidRPr="00405303" w:rsidRDefault="009E6F82" w:rsidP="00C15251">
      <w:pPr>
        <w:shd w:val="clear" w:color="auto" w:fill="FFFFFF"/>
        <w:jc w:val="both"/>
        <w:rPr>
          <w:bCs/>
          <w:color w:val="002060"/>
          <w:sz w:val="16"/>
          <w:szCs w:val="16"/>
        </w:rPr>
      </w:pPr>
      <w:r w:rsidRPr="00405303">
        <w:rPr>
          <w:bCs/>
          <w:color w:val="002060"/>
          <w:sz w:val="16"/>
          <w:szCs w:val="16"/>
        </w:rPr>
        <w:t>12 (25) марта 1915 года</w:t>
      </w:r>
      <w:r w:rsidR="002255AC" w:rsidRPr="00405303">
        <w:rPr>
          <w:bCs/>
          <w:color w:val="002060"/>
          <w:sz w:val="16"/>
          <w:szCs w:val="16"/>
        </w:rPr>
        <w:t xml:space="preserve"> в отличие от черноморской авиации, получившей са</w:t>
      </w:r>
      <w:r w:rsidR="002255AC" w:rsidRPr="00405303">
        <w:rPr>
          <w:bCs/>
          <w:color w:val="002060"/>
          <w:sz w:val="16"/>
          <w:szCs w:val="16"/>
        </w:rPr>
        <w:softHyphen/>
        <w:t>мостоятельность</w:t>
      </w:r>
      <w:r w:rsidRPr="00405303">
        <w:rPr>
          <w:bCs/>
          <w:color w:val="002060"/>
          <w:sz w:val="16"/>
          <w:szCs w:val="16"/>
        </w:rPr>
        <w:t>, балтийская авиация до 28 ноября 1916 года оставалась в подчинении начальника Службы связи Балтийского моря, одновременно являвшегося начальником разведки флота.</w:t>
      </w:r>
    </w:p>
    <w:p w14:paraId="4DC76398" w14:textId="77777777" w:rsidR="004B4E35" w:rsidRPr="00405303" w:rsidRDefault="004B4E35" w:rsidP="00C15251">
      <w:pPr>
        <w:jc w:val="both"/>
        <w:rPr>
          <w:bCs/>
          <w:i/>
          <w:color w:val="002060"/>
          <w:sz w:val="16"/>
          <w:szCs w:val="16"/>
        </w:rPr>
      </w:pPr>
    </w:p>
    <w:p w14:paraId="70CE8F69" w14:textId="77777777" w:rsidR="00E56D58" w:rsidRPr="00405303" w:rsidRDefault="00E56D58" w:rsidP="00C15251">
      <w:pPr>
        <w:jc w:val="both"/>
        <w:rPr>
          <w:bCs/>
          <w:color w:val="002060"/>
          <w:sz w:val="16"/>
          <w:szCs w:val="16"/>
        </w:rPr>
      </w:pPr>
      <w:r w:rsidRPr="00405303">
        <w:rPr>
          <w:bCs/>
          <w:color w:val="002060"/>
          <w:sz w:val="16"/>
          <w:szCs w:val="16"/>
        </w:rPr>
        <w:t>12 (25) марта 1915 г. приказом командующего Черноморским Флотом вся морская с сухопутная авиация в районе Черного моря сведена в авиацию Черноморского флота. Вся авиация ЧФ была выделена ив состава службы связи Заведующим организацией авиационного дела ЧМФ назначен иачальник воздушного района черного моря лейтенант Стаховский. Так было положено начало морокой авиации Черного моря.</w:t>
      </w:r>
    </w:p>
    <w:p w14:paraId="3F60AD2D" w14:textId="77777777" w:rsidR="00E56D58" w:rsidRPr="00405303" w:rsidRDefault="00E56D58" w:rsidP="00C15251">
      <w:pPr>
        <w:jc w:val="both"/>
        <w:rPr>
          <w:bCs/>
          <w:color w:val="002060"/>
          <w:sz w:val="16"/>
          <w:szCs w:val="16"/>
        </w:rPr>
      </w:pPr>
      <w:r w:rsidRPr="00405303">
        <w:rPr>
          <w:bCs/>
          <w:color w:val="002060"/>
          <w:sz w:val="16"/>
          <w:szCs w:val="16"/>
        </w:rPr>
        <w:t>/ЦГВИА, ф. 2008, д. 562, л. 26/ (23320).</w:t>
      </w:r>
    </w:p>
    <w:p w14:paraId="7AE05EE7" w14:textId="77777777" w:rsidR="00E56D58" w:rsidRPr="00405303" w:rsidRDefault="00E56D58" w:rsidP="00C15251">
      <w:pPr>
        <w:jc w:val="both"/>
        <w:rPr>
          <w:bCs/>
          <w:color w:val="002060"/>
          <w:sz w:val="16"/>
          <w:szCs w:val="16"/>
        </w:rPr>
      </w:pPr>
    </w:p>
    <w:p w14:paraId="7544A7DD"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Франции:</w:t>
      </w:r>
    </w:p>
    <w:p w14:paraId="65E8CDD5" w14:textId="77777777" w:rsidR="004B4E35" w:rsidRPr="00405303" w:rsidRDefault="004B4E35" w:rsidP="00C15251">
      <w:pPr>
        <w:jc w:val="both"/>
        <w:rPr>
          <w:bCs/>
          <w:i/>
          <w:color w:val="002060"/>
          <w:sz w:val="16"/>
          <w:szCs w:val="16"/>
        </w:rPr>
      </w:pPr>
    </w:p>
    <w:p w14:paraId="4CBA68B1" w14:textId="21A6ED6A" w:rsidR="004B4E35" w:rsidRPr="00405303" w:rsidRDefault="00C246DC" w:rsidP="00C15251">
      <w:pPr>
        <w:jc w:val="both"/>
        <w:rPr>
          <w:bCs/>
          <w:color w:val="002060"/>
          <w:sz w:val="16"/>
          <w:szCs w:val="16"/>
        </w:rPr>
      </w:pPr>
      <w:r w:rsidRPr="00405303">
        <w:rPr>
          <w:bCs/>
          <w:color w:val="002060"/>
          <w:sz w:val="16"/>
          <w:szCs w:val="16"/>
        </w:rPr>
        <w:t>12 (</w:t>
      </w:r>
      <w:r w:rsidR="009E6F82" w:rsidRPr="00405303">
        <w:rPr>
          <w:bCs/>
          <w:color w:val="002060"/>
          <w:sz w:val="16"/>
          <w:szCs w:val="16"/>
        </w:rPr>
        <w:t>25</w:t>
      </w:r>
      <w:r w:rsidRPr="00405303">
        <w:rPr>
          <w:bCs/>
          <w:color w:val="002060"/>
          <w:sz w:val="16"/>
          <w:szCs w:val="16"/>
        </w:rPr>
        <w:t>)</w:t>
      </w:r>
      <w:r w:rsidR="009E6F82" w:rsidRPr="00405303">
        <w:rPr>
          <w:bCs/>
          <w:color w:val="002060"/>
          <w:sz w:val="16"/>
          <w:szCs w:val="16"/>
        </w:rPr>
        <w:t xml:space="preserve"> марта </w:t>
      </w:r>
      <w:r w:rsidR="002255AC" w:rsidRPr="00405303">
        <w:rPr>
          <w:bCs/>
          <w:color w:val="002060"/>
          <w:sz w:val="16"/>
          <w:szCs w:val="16"/>
        </w:rPr>
        <w:t xml:space="preserve">1915 г. состоялась экспедиция </w:t>
      </w:r>
      <w:r w:rsidR="009E6F82" w:rsidRPr="00405303">
        <w:rPr>
          <w:bCs/>
          <w:color w:val="002060"/>
          <w:sz w:val="16"/>
          <w:szCs w:val="16"/>
        </w:rPr>
        <w:t>французских аэропланов против немецкого лагеря в Матчикове (на Балканах, к юго-западу от Дойранского озера)" (11999).</w:t>
      </w:r>
    </w:p>
    <w:p w14:paraId="264F346E" w14:textId="77777777" w:rsidR="004B4E35" w:rsidRPr="00405303" w:rsidRDefault="004B4E35" w:rsidP="00C15251">
      <w:pPr>
        <w:jc w:val="both"/>
        <w:rPr>
          <w:bCs/>
          <w:color w:val="002060"/>
          <w:sz w:val="16"/>
          <w:szCs w:val="16"/>
        </w:rPr>
      </w:pPr>
    </w:p>
    <w:p w14:paraId="479B298A" w14:textId="77777777" w:rsidR="00C246DC" w:rsidRPr="00405303" w:rsidRDefault="00C246DC" w:rsidP="00C15251">
      <w:pPr>
        <w:jc w:val="both"/>
        <w:rPr>
          <w:bCs/>
          <w:i/>
          <w:color w:val="002060"/>
          <w:sz w:val="16"/>
          <w:szCs w:val="16"/>
        </w:rPr>
      </w:pPr>
      <w:r w:rsidRPr="00405303">
        <w:rPr>
          <w:bCs/>
          <w:i/>
          <w:color w:val="002060"/>
          <w:sz w:val="16"/>
          <w:szCs w:val="16"/>
        </w:rPr>
        <w:t>За рубежом:</w:t>
      </w:r>
    </w:p>
    <w:p w14:paraId="26957B36" w14:textId="77777777" w:rsidR="00C246DC" w:rsidRPr="00405303" w:rsidRDefault="00C246DC" w:rsidP="00C15251">
      <w:pPr>
        <w:jc w:val="both"/>
        <w:rPr>
          <w:bCs/>
          <w:color w:val="002060"/>
          <w:sz w:val="16"/>
          <w:szCs w:val="16"/>
        </w:rPr>
      </w:pPr>
    </w:p>
    <w:p w14:paraId="4FA4858E" w14:textId="6105E412" w:rsidR="00C246DC" w:rsidRPr="00405303" w:rsidRDefault="00C246DC" w:rsidP="00C15251">
      <w:pPr>
        <w:jc w:val="both"/>
        <w:rPr>
          <w:bCs/>
          <w:color w:val="002060"/>
          <w:sz w:val="16"/>
          <w:szCs w:val="16"/>
        </w:rPr>
      </w:pPr>
      <w:r w:rsidRPr="00405303">
        <w:rPr>
          <w:bCs/>
          <w:color w:val="002060"/>
          <w:sz w:val="16"/>
          <w:szCs w:val="16"/>
        </w:rPr>
        <w:t>12 (25) марта в 1915 году в полдень, когда английский флот возвращался на базу, наблюдатель с “Мальборо” сообщил, что видит подводную лодку. Линкор «Дредноут» отвернул с курса и резко увеличил ход. Через несколько секунд его нос сокрушил хрупкий корпус лодки. В волнах мелькнула ее рубка и по номеру “U-29” английские моряки узнали своего давнего противника — подводный корабль германского капитан-лейтенанта Веддигена, который 22 сентября 1914 года один за другим отправил на дно три английских крейсера — “Абукир”, “Крессик” и “Хог” (15079).</w:t>
      </w:r>
    </w:p>
    <w:p w14:paraId="75A4889A" w14:textId="77777777" w:rsidR="00C246DC" w:rsidRPr="00405303" w:rsidRDefault="00C246DC" w:rsidP="00C15251">
      <w:pPr>
        <w:jc w:val="both"/>
        <w:rPr>
          <w:bCs/>
          <w:color w:val="002060"/>
          <w:sz w:val="16"/>
          <w:szCs w:val="16"/>
        </w:rPr>
      </w:pPr>
    </w:p>
    <w:p w14:paraId="44196AFD"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1E2A4D3F" w14:textId="77777777" w:rsidR="004B4E35" w:rsidRPr="00405303" w:rsidRDefault="004B4E35" w:rsidP="00C15251">
      <w:pPr>
        <w:jc w:val="both"/>
        <w:rPr>
          <w:bCs/>
          <w:i/>
          <w:color w:val="002060"/>
          <w:sz w:val="16"/>
          <w:szCs w:val="16"/>
        </w:rPr>
      </w:pPr>
    </w:p>
    <w:p w14:paraId="19E0E360" w14:textId="770587CE"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lastRenderedPageBreak/>
        <w:t>13 (26) марта 1915 г.</w:t>
      </w:r>
      <w:r w:rsidR="001B5E24" w:rsidRPr="00405303">
        <w:rPr>
          <w:bCs/>
          <w:i w:val="0"/>
          <w:color w:val="002060"/>
          <w:spacing w:val="0"/>
          <w:kern w:val="0"/>
          <w:position w:val="0"/>
          <w:sz w:val="16"/>
          <w:szCs w:val="16"/>
        </w:rPr>
        <w:t>, в виду того, что председатель Особой распорядительной комиссии, стоявшей первоначально во главе дела, представил решение вопроса о целесообразности установки у нас способа фабрикации 76-мм гранат на усмотрение главковерха, Г</w:t>
      </w:r>
      <w:r w:rsidRPr="00405303">
        <w:rPr>
          <w:bCs/>
          <w:i w:val="0"/>
          <w:color w:val="002060"/>
          <w:spacing w:val="0"/>
          <w:kern w:val="0"/>
          <w:position w:val="0"/>
          <w:sz w:val="16"/>
          <w:szCs w:val="16"/>
        </w:rPr>
        <w:t xml:space="preserve">главковерх ответил следующее: </w:t>
      </w:r>
    </w:p>
    <w:p w14:paraId="637F99F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"Производительность всех работ артиллерийского ведомства должна быть доведена до максимума в наикратчайший срок. Лишнего нет ничего. Выделывать всеми способами, привлечь французов, </w:t>
      </w:r>
      <w:proofErr w:type="gramStart"/>
      <w:r w:rsidRPr="00405303">
        <w:rPr>
          <w:bCs/>
          <w:i w:val="0"/>
          <w:color w:val="002060"/>
          <w:spacing w:val="0"/>
          <w:kern w:val="0"/>
          <w:position w:val="0"/>
          <w:sz w:val="16"/>
          <w:szCs w:val="16"/>
        </w:rPr>
        <w:t>но</w:t>
      </w:r>
      <w:proofErr w:type="gramEnd"/>
      <w:r w:rsidRPr="00405303">
        <w:rPr>
          <w:bCs/>
          <w:i w:val="0"/>
          <w:color w:val="002060"/>
          <w:spacing w:val="0"/>
          <w:kern w:val="0"/>
          <w:position w:val="0"/>
          <w:sz w:val="16"/>
          <w:szCs w:val="16"/>
        </w:rPr>
        <w:t xml:space="preserve"> чтобы порох был безопасный" (не порох, а взрывчатое вещество). </w:t>
      </w:r>
    </w:p>
    <w:p w14:paraId="314171A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Тогда председатель Особой распорядительной комиссий предложил начальнику ГАУ сделать все необходимые распоряжения по изготовлению гранат по французскому образцу на заводах, которые перед тем уже были осмотрены комиссией с участием французов и начальника Брянского арсенала ген. Ванкова, и просил назначить последнего главным руководителем всего этого дела. </w:t>
      </w:r>
    </w:p>
    <w:p w14:paraId="36B1782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том же месяце Артком, среди членов которого существовала явная оппозиция принятию иностранных образцов, закончил рассмотрение чертежей и технических условий на изготовление всех частей французской гранаты (впоследствии эти чертежи и условия подверглись пересмотру и изменениям по требование заводского производства). </w:t>
      </w:r>
    </w:p>
    <w:p w14:paraId="515BF06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Лишь три месяца спустя по прибытии французской миссии в Россию разрешен был Военным советом первый заказ на изготовление только одного миллиона 76-мм гранат по упрощенному французскому образцу.</w:t>
      </w:r>
    </w:p>
    <w:p w14:paraId="4F23412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Заказ был ограничен этим количеством из осторожности как в отношении безопасности французских гранат, так и потому, что данных уже заказов на снаряды считали достаточными, кроме того, опасались, что для новых снарядов может нехватить пороха и взрывчатых веществ (11483).</w:t>
      </w:r>
    </w:p>
    <w:p w14:paraId="1687D19C" w14:textId="77777777" w:rsidR="004B4E35" w:rsidRPr="00405303" w:rsidRDefault="004B4E35" w:rsidP="00C15251">
      <w:pPr>
        <w:pStyle w:val="a3"/>
        <w:jc w:val="both"/>
        <w:rPr>
          <w:bCs/>
          <w:i w:val="0"/>
          <w:color w:val="002060"/>
          <w:spacing w:val="0"/>
          <w:kern w:val="0"/>
          <w:position w:val="0"/>
          <w:sz w:val="16"/>
          <w:szCs w:val="16"/>
        </w:rPr>
      </w:pPr>
    </w:p>
    <w:p w14:paraId="59FFBE5F" w14:textId="74D53813"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13 </w:t>
      </w:r>
      <w:r w:rsidR="001B5E24" w:rsidRPr="00405303">
        <w:rPr>
          <w:bCs/>
          <w:i w:val="0"/>
          <w:color w:val="002060"/>
          <w:spacing w:val="0"/>
          <w:kern w:val="0"/>
          <w:position w:val="0"/>
          <w:sz w:val="16"/>
          <w:szCs w:val="16"/>
        </w:rPr>
        <w:t xml:space="preserve">(26) </w:t>
      </w:r>
      <w:r w:rsidRPr="00405303">
        <w:rPr>
          <w:bCs/>
          <w:i w:val="0"/>
          <w:color w:val="002060"/>
          <w:spacing w:val="0"/>
          <w:kern w:val="0"/>
          <w:position w:val="0"/>
          <w:sz w:val="16"/>
          <w:szCs w:val="16"/>
        </w:rPr>
        <w:t xml:space="preserve">марта </w:t>
      </w:r>
      <w:r w:rsidR="001B5E24" w:rsidRPr="00405303">
        <w:rPr>
          <w:bCs/>
          <w:i w:val="0"/>
          <w:color w:val="002060"/>
          <w:spacing w:val="0"/>
          <w:kern w:val="0"/>
          <w:position w:val="0"/>
          <w:sz w:val="16"/>
          <w:szCs w:val="16"/>
        </w:rPr>
        <w:t xml:space="preserve">1915 </w:t>
      </w:r>
      <w:r w:rsidRPr="00405303">
        <w:rPr>
          <w:bCs/>
          <w:i w:val="0"/>
          <w:color w:val="002060"/>
          <w:spacing w:val="0"/>
          <w:kern w:val="0"/>
          <w:position w:val="0"/>
          <w:sz w:val="16"/>
          <w:szCs w:val="16"/>
        </w:rPr>
        <w:t xml:space="preserve">года лорд Китченер предложил председателю Особой распорядительной комиссии заказать в Америке еще 5 млн. снарядов; на это председатель ответил, что давать заказы на снаряды за границей более не предполагается, ибо общее количество заказанных снарядов уже достигло 10 млн. </w:t>
      </w:r>
    </w:p>
    <w:p w14:paraId="4337292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Лорд Китченер, ожидая со стороны поставщиков больших запозданий в сдачах, считал эти заказы недостаточными и настаивал на возможно скором принятии предложений, о чем телеграфировал и в Ставку верховного главнокомандующего. Вследствие этого председатель комиссии отправил в Ставку телеграмму следующего содержания: </w:t>
      </w:r>
    </w:p>
    <w:p w14:paraId="3633044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"Телеграмма Китченера мне была доставлена майором Ноксом три дня назад. Ответ дан в тот же день отрицательный, так как решил прекратить дальнейшие заказы на пушечные патроны за границей, которых уже дано на 9.800.000. Все эти заказы в срок сданы не будут, что уже доказали Виккерс и Шнейдер. Американские фирмы также все просрочили. Если еще дать заказы в Америке, то выполнения их можно ожидать не ранее как через восемь-двенадцать месяцев. Из перехваченных военной цензурой телеграмм мне известно, что американские заводы настолько завалены заказами с континента, что они не в состоянии что-либо выполнить ранее 1916 г. </w:t>
      </w:r>
    </w:p>
    <w:p w14:paraId="5E36FCD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Во всех контрактах обусловлено наше право в случае надобности продолжить их на новое количество. Указание лорда Китченера на медленную работу машин и затруднения с рабочими неточно. По донесению нашего приемщика, месяц назад еще половина зданий не была готова, и оборудование машинами не поставлено". </w:t>
      </w:r>
    </w:p>
    <w:p w14:paraId="7E8EAC0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Указывая затем на несколько неисполненных таким образом контрактов, председатель обращал внимание наштаверха на то, "как заманчиво обусловливают все фирмы свои поставки при даче заказов и как эти заказы выполняются после закрепления за ними денег". </w:t>
      </w:r>
    </w:p>
    <w:p w14:paraId="426A864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Председатель комиссии просил доложить обо всем изложенном главковерху и заключал телеграмму следующими словами: "Если верховный главнокомандующий найдет мое решение, неправильным, то испрашиваю повеления на продолжение заграничных заказов". </w:t>
      </w:r>
    </w:p>
    <w:p w14:paraId="0BADFD7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Ген. Янушкевич ответил: </w:t>
      </w:r>
    </w:p>
    <w:p w14:paraId="2CE2073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"Верховный главнокомандующий повелел передать вам, что он вполне одобряет ваше решение относительно дачи дальнейших заказов заграничным фирмам". </w:t>
      </w:r>
    </w:p>
    <w:p w14:paraId="763A9C6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Получив такой ответ, председатель комиссии окончательно отклонил навязываемый нам английскими властями заказ. </w:t>
      </w:r>
    </w:p>
    <w:p w14:paraId="418FA8D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связи с этим отказом председатель комиссии получил 11 апреля следующую телеграмму от почетного председателя англо-русского комитета:</w:t>
      </w:r>
    </w:p>
    <w:p w14:paraId="3F4DE0A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"Ввиду того что, несмотря на три энергичных предложения лорда Китченера приобрести пять миллионов шрапнелей в Америке, ему было отказано, предупреждаю самым серьезным образом, что хотя в данную минуту может быть нет нужды, но если позднее нужда в них появится, то их более невозможно будет приобрести, так как они на днях будут все приобретены другими государствами. Считаю моим святым долгом об этом предупредить и убедительно советую немедленно решиться на их приобретение, даже если другие люди будут это отсоветывать". </w:t>
      </w:r>
    </w:p>
    <w:p w14:paraId="29B0539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Того же 11 (24) апреля председатель комиссии ответил на это: </w:t>
      </w:r>
    </w:p>
    <w:p w14:paraId="6C848BE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"Вновь категорически повторяю, что кроме уже заказанных за границей пушечных патронов более новым фирмам заказывать не будем. Все снабжение точно рассчитано. В случае новой потребности в патронах будем продолжать заказы тем же фирмам, которые их выполняют ныне. </w:t>
      </w:r>
    </w:p>
    <w:p w14:paraId="33F8A71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контрактах это право нами выговорено. С вашей стороны прошу энергично настаивать, чтобы английское правительство приняло все меры, дабы канадская фирма выполнила свой контракт в срок, так как эта фирма нам была рекомендована через британское посольство. Виккерс по всем контрактам уже бессовестно обманул". </w:t>
      </w:r>
    </w:p>
    <w:p w14:paraId="652DF1D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Между тем вопрос о снарядах был, повидимому, предметом дальнейшей переписки между верховным главнокомандующим и лордом Китченером, так как 6 (19) мая председатель Особой распорядительной комиссии получил от начальника Штаба главковерха следующую телеграмму: </w:t>
      </w:r>
    </w:p>
    <w:p w14:paraId="2EA3CDE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"Докладываю, что ввиду категорического обещания, данного генералом Китченером верховному главнокомандующему, оказать усиленное содействие по снабжению, и просьбы, лично к его высочеству обращенной, сообщить действительные единовременную и ежемесячную потребности в предметах артиллерийского снабжения, была послана телеграмма с указанием, что для активности армии и возможности вновь перейти в наступление необходимо пополнить комплекты пушечных патронов до 1 тысячи на орудие, что потребует сразу 3 миллиона, а для спокойной и действительной силы надо ежемесячно по 1,5 миллиона. Таким образом, ввиду настоящей просьбы Китченера указать ему потребности, таковые указаны в цифрах, считая, что если бы это удовлетворить, то это нисколько не уменьшает потребности русского производства. Избытка не будет, но только при условии, что поступления начнутся уже в июне" (11483).</w:t>
      </w:r>
    </w:p>
    <w:p w14:paraId="5D1FCA7F" w14:textId="77777777" w:rsidR="004B4E35" w:rsidRPr="00405303" w:rsidRDefault="004B4E35" w:rsidP="00C15251">
      <w:pPr>
        <w:pStyle w:val="a3"/>
        <w:jc w:val="both"/>
        <w:rPr>
          <w:bCs/>
          <w:i w:val="0"/>
          <w:color w:val="002060"/>
          <w:spacing w:val="0"/>
          <w:kern w:val="0"/>
          <w:position w:val="0"/>
          <w:sz w:val="16"/>
          <w:szCs w:val="16"/>
        </w:rPr>
      </w:pPr>
    </w:p>
    <w:p w14:paraId="4C0BECA1" w14:textId="77777777" w:rsidR="00CC4422" w:rsidRPr="00405303" w:rsidRDefault="00CC4422" w:rsidP="00C15251">
      <w:pPr>
        <w:pStyle w:val="ae"/>
        <w:spacing w:before="0" w:beforeAutospacing="0" w:after="0" w:afterAutospacing="0"/>
        <w:jc w:val="both"/>
        <w:textAlignment w:val="top"/>
        <w:rPr>
          <w:bCs/>
          <w:color w:val="002060"/>
          <w:sz w:val="16"/>
          <w:szCs w:val="16"/>
        </w:rPr>
      </w:pPr>
      <w:r w:rsidRPr="00405303">
        <w:rPr>
          <w:bCs/>
          <w:color w:val="002060"/>
          <w:sz w:val="16"/>
          <w:szCs w:val="16"/>
        </w:rPr>
        <w:t>13 (26) марта 1915 г. Совет министров изменил порядок размещения заказов по Военном ведомству. Если ранее заказ на сумму свыше 10 тыс. руб. требовал согласия Военного министра, свыше 30 тыс. руб. – Военного Совета, а на более крупные суммы – императора, то теперь Военный министр мог утвердить списком заказ на сумму в несколько сотен миллионов при обязательном согласовании с министерствами Финансов и Торговли и промышленности. Основными партнерами России при внешних военных заказах стали Великобритания, США и Япония (18384).</w:t>
      </w:r>
    </w:p>
    <w:p w14:paraId="0081B163" w14:textId="77777777" w:rsidR="00CC4422" w:rsidRPr="00405303" w:rsidRDefault="00CC4422" w:rsidP="00C15251">
      <w:pPr>
        <w:pStyle w:val="ae"/>
        <w:spacing w:before="0" w:beforeAutospacing="0" w:after="0" w:afterAutospacing="0"/>
        <w:jc w:val="both"/>
        <w:textAlignment w:val="top"/>
        <w:rPr>
          <w:bCs/>
          <w:color w:val="002060"/>
          <w:sz w:val="16"/>
          <w:szCs w:val="16"/>
        </w:rPr>
      </w:pPr>
    </w:p>
    <w:p w14:paraId="0C5903B4" w14:textId="77777777" w:rsidR="00204C44" w:rsidRPr="00405303" w:rsidRDefault="00204C44" w:rsidP="00C15251">
      <w:pPr>
        <w:jc w:val="both"/>
        <w:rPr>
          <w:bCs/>
          <w:color w:val="002060"/>
          <w:sz w:val="16"/>
          <w:szCs w:val="16"/>
        </w:rPr>
      </w:pPr>
      <w:r w:rsidRPr="00405303">
        <w:rPr>
          <w:bCs/>
          <w:color w:val="002060"/>
          <w:sz w:val="16"/>
          <w:szCs w:val="16"/>
        </w:rPr>
        <w:t>13 (26) марта 1915 - на льду Невы успешно прошли испытания полугусеничного «Руссо-Балта». Тележку с резиновыми гусеницами для него изобрел Адольф Кегресс, технорук Императорского гаража (11275).</w:t>
      </w:r>
    </w:p>
    <w:p w14:paraId="4DEFC750" w14:textId="4CF530B9" w:rsidR="00204C44" w:rsidRPr="00405303" w:rsidRDefault="00204C44" w:rsidP="00C15251">
      <w:pPr>
        <w:jc w:val="both"/>
        <w:rPr>
          <w:bCs/>
          <w:color w:val="002060"/>
          <w:sz w:val="16"/>
          <w:szCs w:val="16"/>
        </w:rPr>
      </w:pPr>
    </w:p>
    <w:p w14:paraId="755B013F" w14:textId="125164DC" w:rsidR="008E1E96" w:rsidRPr="00405303" w:rsidRDefault="008E1E96" w:rsidP="00C15251">
      <w:pPr>
        <w:jc w:val="both"/>
        <w:rPr>
          <w:bCs/>
          <w:i/>
          <w:iCs/>
          <w:color w:val="002060"/>
          <w:sz w:val="16"/>
          <w:szCs w:val="16"/>
        </w:rPr>
      </w:pPr>
      <w:r w:rsidRPr="00405303">
        <w:rPr>
          <w:bCs/>
          <w:i/>
          <w:iCs/>
          <w:color w:val="002060"/>
          <w:sz w:val="16"/>
          <w:szCs w:val="16"/>
        </w:rPr>
        <w:t>Авиация:</w:t>
      </w:r>
    </w:p>
    <w:p w14:paraId="56E3E012" w14:textId="77777777" w:rsidR="008E1E96" w:rsidRPr="00405303" w:rsidRDefault="008E1E96" w:rsidP="00C15251">
      <w:pPr>
        <w:jc w:val="both"/>
        <w:rPr>
          <w:bCs/>
          <w:i/>
          <w:iCs/>
          <w:color w:val="002060"/>
          <w:sz w:val="16"/>
          <w:szCs w:val="16"/>
        </w:rPr>
      </w:pPr>
    </w:p>
    <w:p w14:paraId="433716DC" w14:textId="77777777" w:rsidR="008E1E96" w:rsidRPr="00405303" w:rsidRDefault="008E1E96" w:rsidP="00C15251">
      <w:pPr>
        <w:jc w:val="both"/>
        <w:rPr>
          <w:bCs/>
          <w:color w:val="002060"/>
          <w:sz w:val="16"/>
          <w:szCs w:val="16"/>
        </w:rPr>
      </w:pPr>
      <w:r w:rsidRPr="00405303">
        <w:rPr>
          <w:bCs/>
          <w:color w:val="002060"/>
          <w:sz w:val="16"/>
          <w:szCs w:val="16"/>
        </w:rPr>
        <w:t>13 (26) марта 1915 г. съезд дворян в Петрограде постановил обратиться на высочайшее имя с ходатайством об увековечении памяти П,Н.Нестерова подобно тому, как увековечена память рядового Архипа Осипова которого каждый день по высочайшему повелению выкликают на утрен</w:t>
      </w:r>
      <w:r w:rsidRPr="00405303">
        <w:rPr>
          <w:bCs/>
          <w:color w:val="002060"/>
          <w:sz w:val="16"/>
          <w:szCs w:val="16"/>
        </w:rPr>
        <w:softHyphen/>
        <w:t>ей и вечерней перекличках, и унтер-офицер его взвода неизменно от</w:t>
      </w:r>
      <w:r w:rsidRPr="00405303">
        <w:rPr>
          <w:bCs/>
          <w:color w:val="002060"/>
          <w:sz w:val="16"/>
          <w:szCs w:val="16"/>
        </w:rPr>
        <w:softHyphen/>
        <w:t>вечает: «Погиб во славу русского оружия».</w:t>
      </w:r>
    </w:p>
    <w:p w14:paraId="3374E112" w14:textId="77777777" w:rsidR="008E1E96" w:rsidRPr="00405303" w:rsidRDefault="008E1E96" w:rsidP="00C15251">
      <w:pPr>
        <w:jc w:val="both"/>
        <w:rPr>
          <w:bCs/>
          <w:color w:val="002060"/>
          <w:sz w:val="16"/>
          <w:szCs w:val="16"/>
        </w:rPr>
      </w:pPr>
      <w:r w:rsidRPr="00405303">
        <w:rPr>
          <w:bCs/>
          <w:color w:val="002060"/>
          <w:sz w:val="16"/>
          <w:szCs w:val="16"/>
        </w:rPr>
        <w:t>/"Утро России" за 14 марта 1915/ (23320).</w:t>
      </w:r>
    </w:p>
    <w:p w14:paraId="25EB3FA4" w14:textId="77777777" w:rsidR="008E1E96" w:rsidRPr="00405303" w:rsidRDefault="008E1E96" w:rsidP="00C15251">
      <w:pPr>
        <w:jc w:val="both"/>
        <w:rPr>
          <w:bCs/>
          <w:color w:val="002060"/>
          <w:sz w:val="16"/>
          <w:szCs w:val="16"/>
        </w:rPr>
      </w:pPr>
    </w:p>
    <w:p w14:paraId="0651271C" w14:textId="77777777" w:rsidR="00063C82" w:rsidRPr="00405303" w:rsidRDefault="00063C82" w:rsidP="00C15251">
      <w:pPr>
        <w:jc w:val="both"/>
        <w:rPr>
          <w:bCs/>
          <w:color w:val="002060"/>
          <w:sz w:val="16"/>
          <w:szCs w:val="16"/>
        </w:rPr>
      </w:pPr>
      <w:r w:rsidRPr="00405303">
        <w:rPr>
          <w:bCs/>
          <w:color w:val="002060"/>
          <w:sz w:val="16"/>
          <w:szCs w:val="16"/>
        </w:rPr>
        <w:t>13 марта 1915 г. руководство УЭВК издало специальный приказ № 59 (п. 5), согласно которому из состава 23-й роты Новогеоргиевской крепостной артиллерии был откомандирован зенитный артиллерийский отряд (2 орудия) под командованием прапорщика Б.Н. Юрьева (будущего известного советского специалиста в области аэродинамики и вертолетостроения). Ранее туда же прибыла батарея в составе двух гаубиц. Также задачу по противовоздушному прикрытию аэродрома тяжелых бомбардировщиков осуществляла зенитная батарея из состава Офицерской артиллерийской школы (командир - штабс-капитан де Б.Б. Поллини, 2 орудия) (23405).</w:t>
      </w:r>
    </w:p>
    <w:p w14:paraId="7C25045E" w14:textId="77777777" w:rsidR="00063C82" w:rsidRPr="00405303" w:rsidRDefault="00063C82" w:rsidP="00C15251">
      <w:pPr>
        <w:shd w:val="clear" w:color="auto" w:fill="FFFFFF"/>
        <w:jc w:val="both"/>
        <w:rPr>
          <w:bCs/>
          <w:i/>
          <w:color w:val="002060"/>
          <w:sz w:val="16"/>
          <w:szCs w:val="16"/>
        </w:rPr>
      </w:pPr>
    </w:p>
    <w:p w14:paraId="28EB1485" w14:textId="304C59FD" w:rsidR="00944087" w:rsidRPr="00405303" w:rsidRDefault="00944087" w:rsidP="00C15251">
      <w:pPr>
        <w:shd w:val="clear" w:color="auto" w:fill="FFFFFF"/>
        <w:jc w:val="both"/>
        <w:rPr>
          <w:bCs/>
          <w:i/>
          <w:color w:val="002060"/>
          <w:sz w:val="16"/>
          <w:szCs w:val="16"/>
        </w:rPr>
      </w:pPr>
      <w:r w:rsidRPr="00405303">
        <w:rPr>
          <w:bCs/>
          <w:i/>
          <w:color w:val="002060"/>
          <w:sz w:val="16"/>
          <w:szCs w:val="16"/>
        </w:rPr>
        <w:t>Аэростатостроение:</w:t>
      </w:r>
    </w:p>
    <w:p w14:paraId="5D7EF4B4" w14:textId="77777777" w:rsidR="00944087" w:rsidRPr="00405303" w:rsidRDefault="00944087" w:rsidP="00C15251">
      <w:pPr>
        <w:shd w:val="clear" w:color="auto" w:fill="FFFFFF"/>
        <w:jc w:val="both"/>
        <w:rPr>
          <w:bCs/>
          <w:i/>
          <w:color w:val="002060"/>
          <w:sz w:val="16"/>
          <w:szCs w:val="16"/>
        </w:rPr>
      </w:pPr>
    </w:p>
    <w:p w14:paraId="363AE982" w14:textId="77777777" w:rsidR="00944087" w:rsidRPr="00405303" w:rsidRDefault="00944087" w:rsidP="00C15251">
      <w:pPr>
        <w:jc w:val="both"/>
        <w:rPr>
          <w:bCs/>
          <w:color w:val="002060"/>
          <w:sz w:val="16"/>
          <w:szCs w:val="16"/>
        </w:rPr>
      </w:pPr>
      <w:r w:rsidRPr="00405303">
        <w:rPr>
          <w:rStyle w:val="42"/>
          <w:rFonts w:ascii="Times New Roman" w:hAnsi="Times New Roman" w:cs="Times New Roman"/>
          <w:bCs/>
          <w:color w:val="002060"/>
          <w:w w:val="100"/>
          <w:sz w:val="16"/>
          <w:szCs w:val="16"/>
        </w:rPr>
        <w:t>14 (27) марта 1915 дирижабль Астра выполнил полуторачасовой пробный полёт.</w:t>
      </w:r>
    </w:p>
    <w:p w14:paraId="0D1CE8D6" w14:textId="77777777" w:rsidR="00944087" w:rsidRPr="00405303" w:rsidRDefault="00944087" w:rsidP="00C15251">
      <w:pPr>
        <w:jc w:val="both"/>
        <w:rPr>
          <w:bCs/>
          <w:color w:val="002060"/>
          <w:sz w:val="16"/>
          <w:szCs w:val="16"/>
        </w:rPr>
      </w:pPr>
      <w:r w:rsidRPr="00405303">
        <w:rPr>
          <w:rStyle w:val="42"/>
          <w:rFonts w:ascii="Times New Roman" w:hAnsi="Times New Roman" w:cs="Times New Roman"/>
          <w:bCs/>
          <w:color w:val="002060"/>
          <w:w w:val="100"/>
          <w:sz w:val="16"/>
          <w:szCs w:val="16"/>
        </w:rPr>
        <w:t>27 марта в командование дирижаблем вступил Р.Л. Нижевский. Он провёл технические испыта</w:t>
      </w:r>
      <w:r w:rsidRPr="00405303">
        <w:rPr>
          <w:rStyle w:val="42"/>
          <w:rFonts w:ascii="Times New Roman" w:hAnsi="Times New Roman" w:cs="Times New Roman"/>
          <w:bCs/>
          <w:color w:val="002060"/>
          <w:w w:val="100"/>
          <w:sz w:val="16"/>
          <w:szCs w:val="16"/>
        </w:rPr>
        <w:softHyphen/>
        <w:t>ния дирижабля, которые показали, что его наи</w:t>
      </w:r>
      <w:r w:rsidRPr="00405303">
        <w:rPr>
          <w:rStyle w:val="42"/>
          <w:rFonts w:ascii="Times New Roman" w:hAnsi="Times New Roman" w:cs="Times New Roman"/>
          <w:bCs/>
          <w:color w:val="002060"/>
          <w:w w:val="100"/>
          <w:sz w:val="16"/>
          <w:szCs w:val="16"/>
        </w:rPr>
        <w:softHyphen/>
        <w:t>большая скорость составляет 12,5 м/с, а наиболь</w:t>
      </w:r>
      <w:r w:rsidRPr="00405303">
        <w:rPr>
          <w:rStyle w:val="42"/>
          <w:rFonts w:ascii="Times New Roman" w:hAnsi="Times New Roman" w:cs="Times New Roman"/>
          <w:bCs/>
          <w:color w:val="002060"/>
          <w:w w:val="100"/>
          <w:sz w:val="16"/>
          <w:szCs w:val="16"/>
        </w:rPr>
        <w:softHyphen/>
        <w:t>шая высота полёта до сбрасывания бомб не более 1500 м. Масса бомб, пулемёта и патронов состав</w:t>
      </w:r>
      <w:r w:rsidRPr="00405303">
        <w:rPr>
          <w:rStyle w:val="42"/>
          <w:rFonts w:ascii="Times New Roman" w:hAnsi="Times New Roman" w:cs="Times New Roman"/>
          <w:bCs/>
          <w:color w:val="002060"/>
          <w:w w:val="100"/>
          <w:sz w:val="16"/>
          <w:szCs w:val="16"/>
        </w:rPr>
        <w:softHyphen/>
        <w:t>ляла примерно 0,3 т, а балласта — 1,68 т.</w:t>
      </w:r>
    </w:p>
    <w:p w14:paraId="291D0D98" w14:textId="77777777" w:rsidR="00944087" w:rsidRPr="00405303" w:rsidRDefault="00944087" w:rsidP="00C15251">
      <w:pPr>
        <w:jc w:val="both"/>
        <w:rPr>
          <w:bCs/>
          <w:color w:val="002060"/>
          <w:sz w:val="16"/>
          <w:szCs w:val="16"/>
        </w:rPr>
      </w:pPr>
      <w:r w:rsidRPr="00405303">
        <w:rPr>
          <w:rStyle w:val="42"/>
          <w:rFonts w:ascii="Times New Roman" w:hAnsi="Times New Roman" w:cs="Times New Roman"/>
          <w:bCs/>
          <w:color w:val="002060"/>
          <w:w w:val="100"/>
          <w:sz w:val="16"/>
          <w:szCs w:val="16"/>
        </w:rPr>
        <w:t>После нескольких испытательных полётов «Астра» вновь получила приказ перелететь в Бе</w:t>
      </w:r>
      <w:r w:rsidRPr="00405303">
        <w:rPr>
          <w:rStyle w:val="42"/>
          <w:rFonts w:ascii="Times New Roman" w:hAnsi="Times New Roman" w:cs="Times New Roman"/>
          <w:bCs/>
          <w:color w:val="002060"/>
          <w:w w:val="100"/>
          <w:sz w:val="16"/>
          <w:szCs w:val="16"/>
        </w:rPr>
        <w:softHyphen/>
        <w:t>лосток (20120).</w:t>
      </w:r>
    </w:p>
    <w:p w14:paraId="5A9F4E5E" w14:textId="77777777" w:rsidR="00944087" w:rsidRPr="00405303" w:rsidRDefault="00944087" w:rsidP="00C15251">
      <w:pPr>
        <w:jc w:val="both"/>
        <w:rPr>
          <w:bCs/>
          <w:color w:val="002060"/>
          <w:sz w:val="16"/>
          <w:szCs w:val="16"/>
        </w:rPr>
      </w:pPr>
    </w:p>
    <w:p w14:paraId="0A7EDA31"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3F853842" w14:textId="77777777" w:rsidR="004B4E35" w:rsidRPr="00405303" w:rsidRDefault="004B4E35" w:rsidP="00C15251">
      <w:pPr>
        <w:shd w:val="clear" w:color="auto" w:fill="FFFFFF"/>
        <w:jc w:val="both"/>
        <w:rPr>
          <w:bCs/>
          <w:i/>
          <w:color w:val="002060"/>
          <w:sz w:val="16"/>
          <w:szCs w:val="16"/>
        </w:rPr>
      </w:pPr>
    </w:p>
    <w:p w14:paraId="74CC12A1" w14:textId="2A620155" w:rsidR="004B4E35" w:rsidRPr="00405303" w:rsidRDefault="009E6F82" w:rsidP="00C15251">
      <w:pPr>
        <w:jc w:val="both"/>
        <w:rPr>
          <w:bCs/>
          <w:color w:val="002060"/>
          <w:sz w:val="16"/>
          <w:szCs w:val="16"/>
        </w:rPr>
      </w:pPr>
      <w:r w:rsidRPr="00405303">
        <w:rPr>
          <w:bCs/>
          <w:color w:val="002060"/>
          <w:sz w:val="16"/>
          <w:szCs w:val="16"/>
        </w:rPr>
        <w:t>14 (27) марта 1915 года в Александровскую цитадель прибыла 1-я автомобильная батарея для стрельбы по воздушному флоту капитана В.В. Тарновского. Она заняла позицию в цитадели (в направлении правобережных вокзалов и железнодорожного моста). Два дня над крепостью велись показательные полеты аэропланов 1-го корпусного авиаотряда для избежания стрельбы по своим. Но уже 20 (2 апреля) марта батарея выступила в Ломжу, не сделав ни выстрела. Возможно, это стало следствием неучастия батареи в отражении налета одиночного аэроплана 16 (29) марта: противнику не удалось сбросить бомбы, но от плотного огня крепостных противовоздушных батарей пострадали 4 здания в городе, в которые случайно попали снаряды.</w:t>
      </w:r>
    </w:p>
    <w:p w14:paraId="53F39A21" w14:textId="77777777" w:rsidR="004B4E35" w:rsidRPr="00405303" w:rsidRDefault="004B4E35" w:rsidP="00C15251">
      <w:pPr>
        <w:jc w:val="both"/>
        <w:rPr>
          <w:bCs/>
          <w:i/>
          <w:color w:val="002060"/>
          <w:sz w:val="16"/>
          <w:szCs w:val="16"/>
        </w:rPr>
      </w:pPr>
    </w:p>
    <w:p w14:paraId="236D3FF1" w14:textId="76D00F40" w:rsidR="00063C82" w:rsidRPr="00405303" w:rsidRDefault="00063C82" w:rsidP="00C15251">
      <w:pPr>
        <w:jc w:val="both"/>
        <w:rPr>
          <w:bCs/>
          <w:color w:val="002060"/>
          <w:sz w:val="16"/>
          <w:szCs w:val="16"/>
        </w:rPr>
      </w:pPr>
      <w:r w:rsidRPr="00405303">
        <w:rPr>
          <w:bCs/>
          <w:color w:val="002060"/>
          <w:sz w:val="16"/>
          <w:szCs w:val="16"/>
        </w:rPr>
        <w:t>14 (27) марта 1915 г. в районе Прасныша с борта германского самолета типа «Таубе» в д. Свиняры было сброшено три бомбы. В результате разрушена одна крестьянская изба, тяжелое ранение получили три местных жителя (23405).</w:t>
      </w:r>
    </w:p>
    <w:p w14:paraId="313AC2DD" w14:textId="77777777" w:rsidR="00063C82" w:rsidRPr="00405303" w:rsidRDefault="00063C82" w:rsidP="00C15251">
      <w:pPr>
        <w:jc w:val="both"/>
        <w:rPr>
          <w:bCs/>
          <w:color w:val="002060"/>
          <w:sz w:val="16"/>
          <w:szCs w:val="16"/>
          <w:lang w:bidi="ru-RU"/>
        </w:rPr>
      </w:pPr>
    </w:p>
    <w:p w14:paraId="436CD6B4"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417594C0" w14:textId="77777777" w:rsidR="004B4E35" w:rsidRPr="00405303" w:rsidRDefault="004B4E35" w:rsidP="00C15251">
      <w:pPr>
        <w:jc w:val="both"/>
        <w:rPr>
          <w:bCs/>
          <w:i/>
          <w:color w:val="002060"/>
          <w:sz w:val="16"/>
          <w:szCs w:val="16"/>
        </w:rPr>
      </w:pPr>
    </w:p>
    <w:p w14:paraId="56D8700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14 (27) марта 1915 г. черноморская эскадра, в составе кото</w:t>
      </w:r>
      <w:r w:rsidRPr="00405303">
        <w:rPr>
          <w:bCs/>
          <w:color w:val="002060"/>
          <w:sz w:val="16"/>
          <w:szCs w:val="16"/>
        </w:rPr>
        <w:softHyphen/>
        <w:t>рой находился авиатранспорт «Император Николай I» с четырьмя самолетами на борту, вышла из Севастополя и направилась к Босфору, имея задачу обстрелять турецкие укрепления и поддержать, таким образом, англо-француз</w:t>
      </w:r>
      <w:r w:rsidRPr="00405303">
        <w:rPr>
          <w:bCs/>
          <w:color w:val="002060"/>
          <w:sz w:val="16"/>
          <w:szCs w:val="16"/>
        </w:rPr>
        <w:softHyphen/>
        <w:t>ский флот в его действиях в районе Дарданелл. Это было первое боевое применение корабельных самолетов, ко</w:t>
      </w:r>
      <w:r w:rsidRPr="00405303">
        <w:rPr>
          <w:bCs/>
          <w:color w:val="002060"/>
          <w:sz w:val="16"/>
          <w:szCs w:val="16"/>
        </w:rPr>
        <w:softHyphen/>
        <w:t>торые использовались для разведки и бомбардировки бе</w:t>
      </w:r>
      <w:r w:rsidRPr="00405303">
        <w:rPr>
          <w:bCs/>
          <w:color w:val="002060"/>
          <w:sz w:val="16"/>
          <w:szCs w:val="16"/>
        </w:rPr>
        <w:softHyphen/>
        <w:t>реговых объектов (11107).</w:t>
      </w:r>
    </w:p>
    <w:p w14:paraId="484E940F" w14:textId="77777777" w:rsidR="004B4E35" w:rsidRPr="00405303" w:rsidRDefault="004B4E35" w:rsidP="00C15251">
      <w:pPr>
        <w:shd w:val="clear" w:color="auto" w:fill="FFFFFF"/>
        <w:jc w:val="both"/>
        <w:rPr>
          <w:bCs/>
          <w:color w:val="002060"/>
          <w:sz w:val="16"/>
          <w:szCs w:val="16"/>
        </w:rPr>
      </w:pPr>
    </w:p>
    <w:p w14:paraId="0992E34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14-15 (27-28) марта 1915 при разведке румынских и болгарских берегов в Составе русской эскадры находился авиатранспорт "Николай I" </w:t>
      </w:r>
      <w:proofErr w:type="gramStart"/>
      <w:r w:rsidRPr="00405303">
        <w:rPr>
          <w:bCs/>
          <w:color w:val="002060"/>
          <w:sz w:val="16"/>
          <w:szCs w:val="16"/>
        </w:rPr>
        <w:t>о гидросамолетами</w:t>
      </w:r>
      <w:proofErr w:type="gramEnd"/>
      <w:r w:rsidRPr="00405303">
        <w:rPr>
          <w:bCs/>
          <w:color w:val="002060"/>
          <w:sz w:val="16"/>
          <w:szCs w:val="16"/>
        </w:rPr>
        <w:t xml:space="preserve"> на борту. Это было первое использование кораб</w:t>
      </w:r>
      <w:r w:rsidRPr="00405303">
        <w:rPr>
          <w:bCs/>
          <w:color w:val="002060"/>
          <w:sz w:val="16"/>
          <w:szCs w:val="16"/>
        </w:rPr>
        <w:softHyphen/>
        <w:t>ля в качестве авианосца на Черном море. Морские летчики дейст</w:t>
      </w:r>
      <w:r w:rsidRPr="00405303">
        <w:rPr>
          <w:bCs/>
          <w:color w:val="002060"/>
          <w:sz w:val="16"/>
          <w:szCs w:val="16"/>
        </w:rPr>
        <w:softHyphen/>
        <w:t>вовали с него над Босфором и побережьем Черного моря в Турции. ("Боевая летопись русского флота". 194-8, стр.399).</w:t>
      </w:r>
    </w:p>
    <w:p w14:paraId="63262735" w14:textId="77777777" w:rsidR="004B4E35" w:rsidRPr="00405303" w:rsidRDefault="004B4E35" w:rsidP="00C15251">
      <w:pPr>
        <w:shd w:val="clear" w:color="auto" w:fill="FFFFFF"/>
        <w:jc w:val="both"/>
        <w:rPr>
          <w:bCs/>
          <w:color w:val="002060"/>
          <w:sz w:val="16"/>
          <w:szCs w:val="16"/>
        </w:rPr>
      </w:pPr>
    </w:p>
    <w:p w14:paraId="54A16C4A" w14:textId="77777777" w:rsidR="008E1E96" w:rsidRPr="00405303" w:rsidRDefault="008E1E96" w:rsidP="00C15251">
      <w:pPr>
        <w:jc w:val="both"/>
        <w:rPr>
          <w:bCs/>
          <w:color w:val="002060"/>
          <w:sz w:val="16"/>
          <w:szCs w:val="16"/>
        </w:rPr>
      </w:pPr>
      <w:r w:rsidRPr="00405303">
        <w:rPr>
          <w:bCs/>
          <w:color w:val="002060"/>
          <w:sz w:val="16"/>
          <w:szCs w:val="16"/>
        </w:rPr>
        <w:t>14-15 (27-28) марта 1915 г. при разведке румынских и болгарских берегов в составе русской эскадры находился авиатранспорт «Николай 1-й» с гидросамолетами на борту. Это было первое использование корабля в каче</w:t>
      </w:r>
      <w:r w:rsidRPr="00405303">
        <w:rPr>
          <w:bCs/>
          <w:color w:val="002060"/>
          <w:sz w:val="16"/>
          <w:szCs w:val="16"/>
        </w:rPr>
        <w:softHyphen/>
        <w:t>стве авианосца на Черном море. Морские летчики действовали с него над Босфором и побережьем Черного моря в Турции.</w:t>
      </w:r>
    </w:p>
    <w:p w14:paraId="4FC43317" w14:textId="77777777" w:rsidR="008E1E96" w:rsidRPr="00405303" w:rsidRDefault="008E1E96"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Боевая летопись русского флота», 1948, стр. 309/ (23320).</w:t>
      </w:r>
    </w:p>
    <w:p w14:paraId="34E8DBE3" w14:textId="77777777" w:rsidR="008E1E96" w:rsidRPr="00405303" w:rsidRDefault="008E1E96" w:rsidP="00C15251">
      <w:pPr>
        <w:jc w:val="both"/>
        <w:rPr>
          <w:bCs/>
          <w:color w:val="002060"/>
          <w:sz w:val="16"/>
          <w:szCs w:val="16"/>
        </w:rPr>
      </w:pPr>
    </w:p>
    <w:p w14:paraId="49BB053A" w14:textId="77777777" w:rsidR="004B4E35" w:rsidRPr="00405303" w:rsidRDefault="009E6F82" w:rsidP="00C15251">
      <w:pPr>
        <w:jc w:val="both"/>
        <w:rPr>
          <w:bCs/>
          <w:color w:val="002060"/>
          <w:sz w:val="16"/>
          <w:szCs w:val="16"/>
        </w:rPr>
      </w:pPr>
      <w:r w:rsidRPr="00405303">
        <w:rPr>
          <w:bCs/>
          <w:color w:val="002060"/>
          <w:sz w:val="16"/>
          <w:szCs w:val="16"/>
        </w:rPr>
        <w:t>14 (27) марта 1915 для обстрела укреплений Босфора и нанесения по ним бомбового удара авиацией корабельного базирования из Севастополя вышли пять линкоров, гидрокрейсер "Император Николай I", имевший на борту пять самолетов, яхта "Алмаз", несшая 1 самолет, 10 эсминцев, 3 заградителя в качестве тральщиков и 2 тральщика (11999).</w:t>
      </w:r>
    </w:p>
    <w:p w14:paraId="26C46E45" w14:textId="77777777" w:rsidR="004B4E35" w:rsidRPr="00405303" w:rsidRDefault="004B4E35" w:rsidP="00C15251">
      <w:pPr>
        <w:jc w:val="both"/>
        <w:rPr>
          <w:bCs/>
          <w:color w:val="002060"/>
          <w:sz w:val="16"/>
          <w:szCs w:val="16"/>
        </w:rPr>
      </w:pPr>
    </w:p>
    <w:p w14:paraId="58C70BA1"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Франции:</w:t>
      </w:r>
    </w:p>
    <w:p w14:paraId="67161307" w14:textId="77777777" w:rsidR="004B4E35" w:rsidRPr="00405303" w:rsidRDefault="004B4E35" w:rsidP="00C15251">
      <w:pPr>
        <w:shd w:val="clear" w:color="auto" w:fill="FFFFFF"/>
        <w:jc w:val="both"/>
        <w:rPr>
          <w:bCs/>
          <w:i/>
          <w:color w:val="002060"/>
          <w:sz w:val="16"/>
          <w:szCs w:val="16"/>
        </w:rPr>
      </w:pPr>
    </w:p>
    <w:p w14:paraId="54E4D0D4" w14:textId="0BFFC7EC" w:rsidR="004B4E35" w:rsidRPr="00405303" w:rsidRDefault="009E6F82" w:rsidP="00C15251">
      <w:pPr>
        <w:jc w:val="both"/>
        <w:rPr>
          <w:bCs/>
          <w:color w:val="002060"/>
          <w:sz w:val="16"/>
          <w:szCs w:val="16"/>
        </w:rPr>
      </w:pPr>
      <w:r w:rsidRPr="00405303">
        <w:rPr>
          <w:bCs/>
          <w:color w:val="002060"/>
          <w:sz w:val="16"/>
          <w:szCs w:val="16"/>
        </w:rPr>
        <w:t xml:space="preserve">14 (27) марта </w:t>
      </w:r>
      <w:r w:rsidR="00912488" w:rsidRPr="00405303">
        <w:rPr>
          <w:bCs/>
          <w:color w:val="002060"/>
          <w:sz w:val="16"/>
          <w:szCs w:val="16"/>
        </w:rPr>
        <w:t xml:space="preserve">1915 г. </w:t>
      </w:r>
      <w:r w:rsidRPr="00405303">
        <w:rPr>
          <w:bCs/>
          <w:color w:val="002060"/>
          <w:sz w:val="16"/>
          <w:szCs w:val="16"/>
        </w:rPr>
        <w:t>французские летчики снова проникли в Эльзас-Лотарингию и бомбардировали вокзал в Меце и казармы в окрестностях Страсбурга...</w:t>
      </w:r>
      <w:r w:rsidR="00912488" w:rsidRPr="00405303">
        <w:rPr>
          <w:bCs/>
          <w:color w:val="002060"/>
          <w:sz w:val="16"/>
          <w:szCs w:val="16"/>
        </w:rPr>
        <w:t>(11999).</w:t>
      </w:r>
    </w:p>
    <w:p w14:paraId="5FE02FCA" w14:textId="77777777" w:rsidR="004B4E35" w:rsidRPr="00405303" w:rsidRDefault="004B4E35" w:rsidP="00C15251">
      <w:pPr>
        <w:jc w:val="both"/>
        <w:rPr>
          <w:bCs/>
          <w:color w:val="002060"/>
          <w:sz w:val="16"/>
          <w:szCs w:val="16"/>
        </w:rPr>
      </w:pPr>
    </w:p>
    <w:p w14:paraId="369637D8" w14:textId="77777777" w:rsidR="00CC4422" w:rsidRPr="00405303" w:rsidRDefault="00CC4422" w:rsidP="00C15251">
      <w:pPr>
        <w:jc w:val="both"/>
        <w:rPr>
          <w:bCs/>
          <w:i/>
          <w:color w:val="002060"/>
          <w:sz w:val="16"/>
          <w:szCs w:val="16"/>
        </w:rPr>
      </w:pPr>
      <w:r w:rsidRPr="00405303">
        <w:rPr>
          <w:bCs/>
          <w:i/>
          <w:color w:val="002060"/>
          <w:sz w:val="16"/>
          <w:szCs w:val="16"/>
        </w:rPr>
        <w:t>Авиация и воздухоплавание Англии:</w:t>
      </w:r>
    </w:p>
    <w:p w14:paraId="3BE91CAE" w14:textId="77777777" w:rsidR="00CC4422" w:rsidRPr="00405303" w:rsidRDefault="00CC4422" w:rsidP="00C15251">
      <w:pPr>
        <w:jc w:val="both"/>
        <w:rPr>
          <w:bCs/>
          <w:i/>
          <w:color w:val="002060"/>
          <w:sz w:val="16"/>
          <w:szCs w:val="16"/>
        </w:rPr>
      </w:pPr>
    </w:p>
    <w:p w14:paraId="78FE166D" w14:textId="77777777" w:rsidR="00CC4422" w:rsidRPr="00405303" w:rsidRDefault="00CC4422" w:rsidP="00C15251">
      <w:pPr>
        <w:jc w:val="both"/>
        <w:rPr>
          <w:bCs/>
          <w:color w:val="002060"/>
          <w:sz w:val="16"/>
          <w:szCs w:val="16"/>
        </w:rPr>
      </w:pPr>
      <w:r w:rsidRPr="00405303">
        <w:rPr>
          <w:bCs/>
          <w:color w:val="002060"/>
          <w:sz w:val="16"/>
          <w:szCs w:val="16"/>
        </w:rPr>
        <w:t xml:space="preserve">14 (27) марта в 1915 году первый полёт прототипа истребителя </w:t>
      </w:r>
      <w:hyperlink r:id="rId28" w:tgtFrame="_blank" w:history="1">
        <w:r w:rsidRPr="00405303">
          <w:rPr>
            <w:bCs/>
            <w:color w:val="002060"/>
            <w:sz w:val="16"/>
            <w:szCs w:val="16"/>
          </w:rPr>
          <w:t xml:space="preserve">«Pup» </w:t>
        </w:r>
      </w:hyperlink>
      <w:r w:rsidRPr="00405303">
        <w:rPr>
          <w:bCs/>
          <w:color w:val="002060"/>
          <w:sz w:val="16"/>
          <w:szCs w:val="16"/>
        </w:rPr>
        <w:t xml:space="preserve">(разработчик: «Sopwith», Великобритания). Название самолёта "Пап" (Pup - щенок) </w:t>
      </w:r>
      <w:proofErr w:type="gramStart"/>
      <w:r w:rsidRPr="00405303">
        <w:rPr>
          <w:bCs/>
          <w:color w:val="002060"/>
          <w:sz w:val="16"/>
          <w:szCs w:val="16"/>
        </w:rPr>
        <w:t>- это</w:t>
      </w:r>
      <w:proofErr w:type="gramEnd"/>
      <w:r w:rsidRPr="00405303">
        <w:rPr>
          <w:bCs/>
          <w:color w:val="002060"/>
          <w:sz w:val="16"/>
          <w:szCs w:val="16"/>
        </w:rPr>
        <w:t xml:space="preserve"> прозвище, данное машине фронтовыми пилотами. Самолёт сохранил форму межкрыльевых подкосов для самолёта «1Ѕ Strutter», но, поскольку он имел уменьшенный на 20% размах крыла, то к нему относились как к "детенышу" ("pup") предыдущих самолётов. Официально оно никогда не было признано, однако прижилось и даже фигурировало в правительственных приказах и рапортах. Он отличался необычайной маневренностью, не терял высоту на крутых виражах, несмотря на слабый двигатель развивал максимальную скорость до 179 км/ч, при </w:t>
      </w:r>
      <w:proofErr w:type="gramStart"/>
      <w:r w:rsidRPr="00405303">
        <w:rPr>
          <w:bCs/>
          <w:color w:val="002060"/>
          <w:sz w:val="16"/>
          <w:szCs w:val="16"/>
        </w:rPr>
        <w:t>том</w:t>
      </w:r>
      <w:proofErr w:type="gramEnd"/>
      <w:r w:rsidRPr="00405303">
        <w:rPr>
          <w:bCs/>
          <w:color w:val="002060"/>
          <w:sz w:val="16"/>
          <w:szCs w:val="16"/>
        </w:rPr>
        <w:t xml:space="preserve"> что посадочная скорость, напротив, была минимальной - всего 45 км/ч (15081).</w:t>
      </w:r>
    </w:p>
    <w:p w14:paraId="46AF3DEC" w14:textId="77777777" w:rsidR="00CC4422" w:rsidRPr="00405303" w:rsidRDefault="00CC4422" w:rsidP="00C15251">
      <w:pPr>
        <w:jc w:val="both"/>
        <w:rPr>
          <w:bCs/>
          <w:color w:val="002060"/>
          <w:sz w:val="16"/>
          <w:szCs w:val="16"/>
        </w:rPr>
      </w:pPr>
    </w:p>
    <w:p w14:paraId="4BE756FB"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0500C9A2" w14:textId="77777777" w:rsidR="004B4E35" w:rsidRPr="00405303" w:rsidRDefault="004B4E35" w:rsidP="00C15251">
      <w:pPr>
        <w:shd w:val="clear" w:color="auto" w:fill="FFFFFF"/>
        <w:jc w:val="both"/>
        <w:rPr>
          <w:bCs/>
          <w:i/>
          <w:color w:val="002060"/>
          <w:sz w:val="16"/>
          <w:szCs w:val="16"/>
        </w:rPr>
      </w:pPr>
    </w:p>
    <w:p w14:paraId="0A43F54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 (28) марта 1915 Летчик II корпавиаотряда подпоручик Борис Василъевич Легат во время разведки обнаружил сосредоточение круп</w:t>
      </w:r>
      <w:r w:rsidRPr="00405303">
        <w:rPr>
          <w:bCs/>
          <w:color w:val="002060"/>
          <w:sz w:val="16"/>
          <w:szCs w:val="16"/>
        </w:rPr>
        <w:softHyphen/>
        <w:t>ных сил противника на фронте Пенжковице-Г</w:t>
      </w:r>
      <w:r w:rsidRPr="00405303">
        <w:rPr>
          <w:bCs/>
          <w:color w:val="002060"/>
          <w:sz w:val="16"/>
          <w:szCs w:val="16"/>
          <w:vertAlign w:val="subscript"/>
        </w:rPr>
        <w:t>0</w:t>
      </w:r>
      <w:r w:rsidRPr="00405303">
        <w:rPr>
          <w:bCs/>
          <w:color w:val="002060"/>
          <w:sz w:val="16"/>
          <w:szCs w:val="16"/>
        </w:rPr>
        <w:t>рлица и своевременно донес об этом командованию 3-й армии, В результате принятых мер ил предотвращен разгром Центральной армии (ЦГВИА. ф.2008, д. 122, л.8).</w:t>
      </w:r>
    </w:p>
    <w:p w14:paraId="6C25DC84" w14:textId="77777777" w:rsidR="004B4E35" w:rsidRPr="00405303" w:rsidRDefault="004B4E35" w:rsidP="00C15251">
      <w:pPr>
        <w:shd w:val="clear" w:color="auto" w:fill="FFFFFF"/>
        <w:jc w:val="both"/>
        <w:rPr>
          <w:bCs/>
          <w:color w:val="002060"/>
          <w:sz w:val="16"/>
          <w:szCs w:val="16"/>
        </w:rPr>
      </w:pPr>
    </w:p>
    <w:p w14:paraId="1C48A888" w14:textId="77777777" w:rsidR="00D21FC2" w:rsidRPr="00405303" w:rsidRDefault="00D21FC2" w:rsidP="00C15251">
      <w:pPr>
        <w:jc w:val="both"/>
        <w:rPr>
          <w:bCs/>
          <w:color w:val="002060"/>
          <w:sz w:val="16"/>
          <w:szCs w:val="16"/>
        </w:rPr>
      </w:pPr>
      <w:r w:rsidRPr="00405303">
        <w:rPr>
          <w:bCs/>
          <w:color w:val="002060"/>
          <w:sz w:val="16"/>
          <w:szCs w:val="16"/>
        </w:rPr>
        <w:t>15 (28) марта 1915 г. летчик 11 КАО подпоручик Борис Васильевич Легат во время разведки обнаружил сосредоточение крупных сил противника на фронте Пенжковице-Горлица и своевременно донес об этом коман</w:t>
      </w:r>
      <w:r w:rsidRPr="00405303">
        <w:rPr>
          <w:bCs/>
          <w:color w:val="002060"/>
          <w:sz w:val="16"/>
          <w:szCs w:val="16"/>
        </w:rPr>
        <w:softHyphen/>
        <w:t>дованию 3-й армии. В результате принятых мер был предотвращен разгром центральной армии.</w:t>
      </w:r>
    </w:p>
    <w:p w14:paraId="2A763A68" w14:textId="77777777" w:rsidR="00D21FC2" w:rsidRPr="00405303" w:rsidRDefault="00D21FC2" w:rsidP="00C15251">
      <w:pPr>
        <w:jc w:val="both"/>
        <w:rPr>
          <w:bCs/>
          <w:color w:val="002060"/>
          <w:sz w:val="16"/>
          <w:szCs w:val="16"/>
        </w:rPr>
      </w:pPr>
      <w:r w:rsidRPr="00405303">
        <w:rPr>
          <w:bCs/>
          <w:color w:val="002060"/>
          <w:sz w:val="16"/>
          <w:szCs w:val="16"/>
        </w:rPr>
        <w:t>/ЦГВИА, ф. 2008, д. 122, л. 8/ (23320).</w:t>
      </w:r>
    </w:p>
    <w:p w14:paraId="14AB68D2" w14:textId="662E2D0B" w:rsidR="00D21FC2" w:rsidRPr="00405303" w:rsidRDefault="00D21FC2" w:rsidP="00C15251">
      <w:pPr>
        <w:jc w:val="both"/>
        <w:rPr>
          <w:bCs/>
          <w:color w:val="002060"/>
          <w:sz w:val="16"/>
          <w:szCs w:val="16"/>
        </w:rPr>
      </w:pPr>
    </w:p>
    <w:p w14:paraId="79FC4436" w14:textId="338FF5AB" w:rsidR="00063C82" w:rsidRPr="00405303" w:rsidRDefault="00063C82" w:rsidP="00C15251">
      <w:pPr>
        <w:jc w:val="both"/>
        <w:rPr>
          <w:bCs/>
          <w:color w:val="002060"/>
          <w:sz w:val="16"/>
          <w:szCs w:val="16"/>
        </w:rPr>
      </w:pPr>
      <w:r w:rsidRPr="00405303">
        <w:rPr>
          <w:bCs/>
          <w:color w:val="002060"/>
          <w:sz w:val="16"/>
          <w:szCs w:val="16"/>
        </w:rPr>
        <w:t>15 (28) марта 1915 г. по аэродрому 23-го корпусного авиаотряда (поручик Иванов), действовавшего на Млавско-Праснышском направлении, противником был нанесен воздушный удар. В налете предположительно участвовало от 15 до 20 вражеских летательных аппаратов. По воспоминаниям летчика-наблюдателя авиаотряда П. Крейсона, налет «продолжался в течение одного часа. Большие разрушения материальной части авиационного отряда, два самолета выведены из строя. Мы, весь личный состав и механики, находящийся в тот момент на аэродроме, беспомощно метались по аэродрому во все время бомбардировки</w:t>
      </w:r>
      <w:hyperlink w:anchor="bookmark1166" w:tooltip="Current Document">
        <w:r w:rsidRPr="00405303">
          <w:rPr>
            <w:rStyle w:val="ad"/>
            <w:bCs/>
            <w:color w:val="002060"/>
            <w:sz w:val="16"/>
            <w:szCs w:val="16"/>
          </w:rPr>
          <w:t>»</w:t>
        </w:r>
      </w:hyperlink>
      <w:r w:rsidRPr="00405303">
        <w:rPr>
          <w:bCs/>
          <w:color w:val="002060"/>
          <w:sz w:val="16"/>
          <w:szCs w:val="16"/>
        </w:rPr>
        <w:t>. Также воздушной бомбардировке подверглись объекты и войска в Праснышском, Ломжинском и Осовец- Гродненском районах. 7 марта германский самолет сбросил бомбу над г. Белосток. Позднее немецкая авиация совершила налет на крепость Осовец (сброшено 20 бомб, без существенного вреда для ее гарнизона). 14 марта в районе Прасныша с борта германского самолета типа «Таубе» в д. Свиняры было сброшено три бомбы. В результате разрушена одна крестьянская изба, тяжелое ранение получили три местных жителя (23405).</w:t>
      </w:r>
    </w:p>
    <w:p w14:paraId="5DD1D7F5" w14:textId="77777777" w:rsidR="00063C82" w:rsidRPr="00405303" w:rsidRDefault="00063C82" w:rsidP="00C15251">
      <w:pPr>
        <w:jc w:val="both"/>
        <w:rPr>
          <w:bCs/>
          <w:color w:val="002060"/>
          <w:sz w:val="16"/>
          <w:szCs w:val="16"/>
          <w:lang w:bidi="ru-RU"/>
        </w:rPr>
      </w:pPr>
    </w:p>
    <w:p w14:paraId="38CB71ED" w14:textId="58601E70" w:rsidR="00063C82" w:rsidRPr="00405303" w:rsidRDefault="00063C82" w:rsidP="00C15251">
      <w:pPr>
        <w:jc w:val="both"/>
        <w:rPr>
          <w:bCs/>
          <w:i/>
          <w:iCs/>
          <w:color w:val="002060"/>
          <w:sz w:val="16"/>
          <w:szCs w:val="16"/>
        </w:rPr>
      </w:pPr>
      <w:r w:rsidRPr="00405303">
        <w:rPr>
          <w:bCs/>
          <w:i/>
          <w:iCs/>
          <w:color w:val="002060"/>
          <w:sz w:val="16"/>
          <w:szCs w:val="16"/>
        </w:rPr>
        <w:t>Морская авиация:</w:t>
      </w:r>
    </w:p>
    <w:p w14:paraId="406365C2" w14:textId="77777777" w:rsidR="00063C82" w:rsidRPr="00405303" w:rsidRDefault="00063C82" w:rsidP="00C15251">
      <w:pPr>
        <w:jc w:val="both"/>
        <w:rPr>
          <w:bCs/>
          <w:i/>
          <w:iCs/>
          <w:color w:val="002060"/>
          <w:sz w:val="16"/>
          <w:szCs w:val="16"/>
        </w:rPr>
      </w:pPr>
    </w:p>
    <w:p w14:paraId="24E9D3C9" w14:textId="738475C7" w:rsidR="00063C82" w:rsidRPr="00405303" w:rsidRDefault="00063C82" w:rsidP="00C15251">
      <w:pPr>
        <w:jc w:val="both"/>
        <w:rPr>
          <w:bCs/>
          <w:color w:val="002060"/>
          <w:sz w:val="16"/>
          <w:szCs w:val="16"/>
        </w:rPr>
      </w:pPr>
      <w:r w:rsidRPr="00405303">
        <w:rPr>
          <w:bCs/>
          <w:color w:val="002060"/>
          <w:sz w:val="16"/>
          <w:szCs w:val="16"/>
        </w:rPr>
        <w:t>15 (28) марта 1915 г. пять «Кертиссов», раз</w:t>
      </w:r>
      <w:r w:rsidRPr="00405303">
        <w:rPr>
          <w:bCs/>
          <w:color w:val="002060"/>
          <w:sz w:val="16"/>
          <w:szCs w:val="16"/>
        </w:rPr>
        <w:softHyphen/>
        <w:t>мещенных на борту авиатранспорта «Император Нико</w:t>
      </w:r>
      <w:r w:rsidRPr="00405303">
        <w:rPr>
          <w:bCs/>
          <w:color w:val="002060"/>
          <w:sz w:val="16"/>
          <w:szCs w:val="16"/>
        </w:rPr>
        <w:softHyphen/>
        <w:t>лай I», выполняли полеты в районе Босфора. В жур</w:t>
      </w:r>
      <w:r w:rsidRPr="00405303">
        <w:rPr>
          <w:bCs/>
          <w:color w:val="002060"/>
          <w:sz w:val="16"/>
          <w:szCs w:val="16"/>
        </w:rPr>
        <w:softHyphen/>
        <w:t>нале «Морской сборник» рассказывается: «На заре 15 марта флот подходил к Босфору для обстрела кора</w:t>
      </w:r>
      <w:r w:rsidRPr="00405303">
        <w:rPr>
          <w:bCs/>
          <w:color w:val="002060"/>
          <w:sz w:val="16"/>
          <w:szCs w:val="16"/>
        </w:rPr>
        <w:softHyphen/>
        <w:t>бельной артиллерией. Летчики произвели «набег» на вражескую территорию. Вернувшись назад, они доло</w:t>
      </w:r>
      <w:r w:rsidRPr="00405303">
        <w:rPr>
          <w:bCs/>
          <w:color w:val="002060"/>
          <w:sz w:val="16"/>
          <w:szCs w:val="16"/>
        </w:rPr>
        <w:softHyphen/>
        <w:t>жили, что снаряды ложились хорошо, но из-за боль</w:t>
      </w:r>
      <w:r w:rsidRPr="00405303">
        <w:rPr>
          <w:bCs/>
          <w:color w:val="002060"/>
          <w:sz w:val="16"/>
          <w:szCs w:val="16"/>
        </w:rPr>
        <w:softHyphen/>
        <w:t>шой высоты подъема и дыма от рвущихся снарядов степень разрушения определить не удалось... Один из гидроаэропланов, атаковав в проливе миноносец, сбро</w:t>
      </w:r>
      <w:r w:rsidRPr="00405303">
        <w:rPr>
          <w:bCs/>
          <w:color w:val="002060"/>
          <w:sz w:val="16"/>
          <w:szCs w:val="16"/>
        </w:rPr>
        <w:softHyphen/>
        <w:t>сил бомбу, которая упала и разорвалась за кормой» (23545).</w:t>
      </w:r>
    </w:p>
    <w:p w14:paraId="396E7AEB" w14:textId="77777777" w:rsidR="00063C82" w:rsidRPr="00405303" w:rsidRDefault="00063C82" w:rsidP="00C15251">
      <w:pPr>
        <w:jc w:val="both"/>
        <w:rPr>
          <w:bCs/>
          <w:color w:val="002060"/>
          <w:sz w:val="16"/>
          <w:szCs w:val="16"/>
        </w:rPr>
      </w:pPr>
    </w:p>
    <w:p w14:paraId="0A1F7D72" w14:textId="77777777" w:rsidR="002522CB" w:rsidRPr="00405303" w:rsidRDefault="002522CB" w:rsidP="002522CB">
      <w:pPr>
        <w:jc w:val="both"/>
        <w:rPr>
          <w:color w:val="0070C0"/>
          <w:sz w:val="16"/>
          <w:szCs w:val="16"/>
        </w:rPr>
      </w:pPr>
      <w:r w:rsidRPr="00405303">
        <w:rPr>
          <w:color w:val="0070C0"/>
          <w:sz w:val="16"/>
          <w:szCs w:val="16"/>
        </w:rPr>
        <w:t>15 (28) марта 1915 г. неприятельская летающая лодка сбросила на город Либава несколько бомб преимущественно в районе мостов. При их разрыве убито двое гражданских лиц, еще двое получили ранение. При этом другой гидроаэроплан, ранее спущенный на воду с борта крейсера, обеспечивал корректировку стрельбы немецкой эскадры по нашим береговым позициям. Вскоре в ходе очередного налета германский гидроаэроплан бросил на Либаву 7 бомб, которые, разорвавшись, причинили повреждения нескольким зданиям. Позднее в небе города появился другой гидроаэроплан, также «бросивший несколько бомб, не причинивших, однако, вреда» (25135).</w:t>
      </w:r>
    </w:p>
    <w:p w14:paraId="751C3F39" w14:textId="77777777" w:rsidR="002522CB" w:rsidRPr="00405303" w:rsidRDefault="002522CB" w:rsidP="002522CB">
      <w:pPr>
        <w:jc w:val="both"/>
        <w:rPr>
          <w:color w:val="0070C0"/>
          <w:sz w:val="16"/>
          <w:szCs w:val="16"/>
        </w:rPr>
      </w:pPr>
    </w:p>
    <w:p w14:paraId="57B2727B" w14:textId="77777777" w:rsidR="002522CB" w:rsidRPr="00405303" w:rsidRDefault="002522CB" w:rsidP="002522CB">
      <w:pPr>
        <w:jc w:val="both"/>
        <w:rPr>
          <w:color w:val="0070C0"/>
          <w:sz w:val="16"/>
          <w:szCs w:val="16"/>
        </w:rPr>
      </w:pPr>
      <w:r w:rsidRPr="00405303">
        <w:rPr>
          <w:rStyle w:val="aa"/>
          <w:rFonts w:ascii="Times New Roman" w:hAnsi="Times New Roman"/>
          <w:color w:val="0070C0"/>
          <w:spacing w:val="0"/>
          <w:sz w:val="16"/>
          <w:szCs w:val="16"/>
        </w:rPr>
        <w:t>15 (28) марта 1915 г. неприятельская летающая лодка сбросила на город несколько бомб, преимущественно в районе мостов. При их разрыве было убито двое гражданских лиц, еще двое получили ранение. Другой гидроплан, ранее спущенный на воду с борта крейсера, обеспечивал корректировку стрельбы немецкой эскадры по нашим береговым позициям. Вскоре в ходе очередного налета немецкие летчики сбросили на Либаву семь бомб, которые разорвавшись, причинили повреждения нескольким зданиям. Позднее в небе города появился очередной самолет, также «бросивший несколько бомб, не причинивших, однако, [никакого] вреда» (25166).</w:t>
      </w:r>
    </w:p>
    <w:p w14:paraId="73DEAD6D" w14:textId="77777777" w:rsidR="002522CB" w:rsidRPr="00405303" w:rsidRDefault="002522CB" w:rsidP="002522CB">
      <w:pPr>
        <w:jc w:val="both"/>
        <w:rPr>
          <w:color w:val="0070C0"/>
          <w:sz w:val="16"/>
          <w:szCs w:val="16"/>
        </w:rPr>
      </w:pPr>
    </w:p>
    <w:p w14:paraId="1482F383" w14:textId="6FDE5B59" w:rsidR="00D43353" w:rsidRPr="00405303" w:rsidRDefault="00D43353" w:rsidP="00C15251">
      <w:pPr>
        <w:jc w:val="both"/>
        <w:rPr>
          <w:bCs/>
          <w:i/>
          <w:iCs/>
          <w:color w:val="002060"/>
          <w:sz w:val="16"/>
          <w:szCs w:val="16"/>
        </w:rPr>
      </w:pPr>
      <w:r w:rsidRPr="00405303">
        <w:rPr>
          <w:bCs/>
          <w:i/>
          <w:iCs/>
          <w:color w:val="002060"/>
          <w:sz w:val="16"/>
          <w:szCs w:val="16"/>
        </w:rPr>
        <w:t>Жизнь и внутренняя политика:</w:t>
      </w:r>
    </w:p>
    <w:p w14:paraId="5A3C0BF9" w14:textId="77777777" w:rsidR="00D43353" w:rsidRPr="00405303" w:rsidRDefault="00D43353" w:rsidP="00C15251">
      <w:pPr>
        <w:jc w:val="both"/>
        <w:rPr>
          <w:bCs/>
          <w:i/>
          <w:iCs/>
          <w:color w:val="002060"/>
          <w:sz w:val="16"/>
          <w:szCs w:val="16"/>
        </w:rPr>
      </w:pPr>
    </w:p>
    <w:p w14:paraId="0FE46959" w14:textId="77777777" w:rsidR="00D43353" w:rsidRPr="00405303" w:rsidRDefault="00D43353" w:rsidP="00C15251">
      <w:pPr>
        <w:jc w:val="both"/>
        <w:rPr>
          <w:bCs/>
          <w:color w:val="002060"/>
          <w:sz w:val="16"/>
          <w:szCs w:val="16"/>
        </w:rPr>
      </w:pPr>
      <w:r w:rsidRPr="00405303">
        <w:rPr>
          <w:bCs/>
          <w:color w:val="002060"/>
          <w:sz w:val="16"/>
          <w:szCs w:val="16"/>
        </w:rPr>
        <w:t xml:space="preserve">15 (28) марта 1915 г. был уволен генерал Поливанова и военным министром назначается генерал Шуваев. Председатель Государственной думы М. В. Родзянко так характеризует генерала Шуваева: «...Честный, хороший человек, но недостаточно подготовлен для такого поста в военное время; его председательствование в Особом совещании делало заседания путаными и утомительными». </w:t>
      </w:r>
    </w:p>
    <w:p w14:paraId="48AA26A4" w14:textId="77777777" w:rsidR="00D43353" w:rsidRPr="00405303" w:rsidRDefault="00D43353" w:rsidP="00C15251">
      <w:pPr>
        <w:jc w:val="both"/>
        <w:rPr>
          <w:bCs/>
          <w:color w:val="002060"/>
          <w:sz w:val="16"/>
          <w:szCs w:val="16"/>
        </w:rPr>
      </w:pPr>
      <w:r w:rsidRPr="00405303">
        <w:rPr>
          <w:bCs/>
          <w:color w:val="002060"/>
          <w:sz w:val="16"/>
          <w:szCs w:val="16"/>
        </w:rPr>
        <w:t>Гораздо строже отзывается о нем французский министр снабжения г-н Тома, присланный французским правительством для ознакомления с нуждами русского военного снабжения. На просьбу председателя Государственной думы откровенно указать наши больные места в организации снабжения французский министр ответил: «Россия должна быть чрезвычайно богата и очень уверена в своих силах, чтобы позволять себе роскошь иметь правительство, подобное вашему, где премьер-министр является бедствием, а военный министр — катастрофой».</w:t>
      </w:r>
    </w:p>
    <w:p w14:paraId="42993AF8" w14:textId="77777777" w:rsidR="00D43353" w:rsidRPr="00405303" w:rsidRDefault="00D43353" w:rsidP="00C15251">
      <w:pPr>
        <w:jc w:val="both"/>
        <w:rPr>
          <w:bCs/>
          <w:color w:val="002060"/>
          <w:sz w:val="16"/>
          <w:szCs w:val="16"/>
        </w:rPr>
      </w:pPr>
      <w:r w:rsidRPr="00405303">
        <w:rPr>
          <w:bCs/>
          <w:color w:val="002060"/>
          <w:sz w:val="16"/>
          <w:szCs w:val="16"/>
        </w:rPr>
        <w:t xml:space="preserve">Отзыв г-на Тома, быть может, слишком жесток. Но несомненно, что генерал Шуваев выше уровня обыкновенного строевого генерала или рядового интенданта подняться не мог. Выбор генерала Шуваева на должность военного министра обусловливался тем, что Верховная власть рассчитывала, что он будет бороться со все более и более усиливающейся ролью общественных сил в деле снабжения армии. «После ухода Поливанова, — пишет М. В. Родзянко, — Великий князь Сергей Михайлович повел агитацию против Особого совещания и убеждал Государя вовсе упразднить его. С Шуваевым на заседаниях происходили постоянные столкновения, и казалось, будто он нарочно вызывал резкости, чтобы иметь причины для ликвидации Совещания». </w:t>
      </w:r>
    </w:p>
    <w:p w14:paraId="0B780A53" w14:textId="77777777" w:rsidR="00D43353" w:rsidRPr="00405303" w:rsidRDefault="00D43353" w:rsidP="00C15251">
      <w:pPr>
        <w:jc w:val="both"/>
        <w:rPr>
          <w:bCs/>
          <w:color w:val="002060"/>
          <w:sz w:val="16"/>
          <w:szCs w:val="16"/>
        </w:rPr>
      </w:pPr>
      <w:r w:rsidRPr="00405303">
        <w:rPr>
          <w:bCs/>
          <w:color w:val="002060"/>
          <w:sz w:val="16"/>
          <w:szCs w:val="16"/>
        </w:rPr>
        <w:t xml:space="preserve">Но генерал Шуваев не оправдал связанных с его назначением политических расчетов. </w:t>
      </w:r>
    </w:p>
    <w:p w14:paraId="1730B78B" w14:textId="77777777" w:rsidR="00D43353" w:rsidRPr="00405303" w:rsidRDefault="00D43353" w:rsidP="00C15251">
      <w:pPr>
        <w:pStyle w:val="Blockquote"/>
        <w:spacing w:before="0" w:after="0"/>
        <w:ind w:left="0" w:right="0"/>
        <w:jc w:val="both"/>
        <w:rPr>
          <w:bCs/>
          <w:color w:val="002060"/>
          <w:sz w:val="16"/>
          <w:szCs w:val="16"/>
        </w:rPr>
      </w:pPr>
      <w:r w:rsidRPr="00405303">
        <w:rPr>
          <w:bCs/>
          <w:color w:val="002060"/>
          <w:sz w:val="16"/>
          <w:szCs w:val="16"/>
        </w:rPr>
        <w:t>«В заседании 5 (18) ноября 1916 случилось событие, которое оставило сильное впечатление не только в Думе, но и в стране. Во время заседания в зале заседаний появились военный министр Шуваев и морской — Григорович. Они обратились к председателю, сообщив о желании сделать заявление. Когда Марков 2-й окончил свою речь, на трибуну поднялся Шуваев и, сильно волнуясь, сказал, что он как старый солдат верит в доблесть Русской армии, что армия снабжена всем необходимым благодаря единодушной поддержке народа и народного представительства. Он привел цифры увеличения поступления боевых припасов в армию со времени учреждения Особого совещания по обороне. Закончил он просьбой и впредь поддерживать его доверием».</w:t>
      </w:r>
    </w:p>
    <w:p w14:paraId="42FE1B79" w14:textId="77777777" w:rsidR="00D43353" w:rsidRPr="00405303" w:rsidRDefault="00D43353" w:rsidP="00C15251">
      <w:pPr>
        <w:jc w:val="both"/>
        <w:rPr>
          <w:bCs/>
          <w:color w:val="002060"/>
          <w:sz w:val="16"/>
          <w:szCs w:val="16"/>
        </w:rPr>
      </w:pPr>
      <w:r w:rsidRPr="00405303">
        <w:rPr>
          <w:bCs/>
          <w:color w:val="002060"/>
          <w:sz w:val="16"/>
          <w:szCs w:val="16"/>
        </w:rPr>
        <w:t xml:space="preserve">Вскоре после этого выступления, а именно в начале января 1917 года, генерал Шуваев был заменен на посту военного министра генералом Беляевым. Назначение последнего состоялось по выбору императрицы Александры Феодоровны как человека, вполне верного принятому курсу самодержавной политики. Генерал Беляев представлял собой тип «военного чиновника». Все свое трудолюбие и большую работоспособность он направлял по «бумажному» руслу. В армии он был очень непопулярен, ибо за ним установилась репутация человека, мертвящего всякое живое дело. За ним даже прочно установилась кличка «Мертвая голова». </w:t>
      </w:r>
    </w:p>
    <w:p w14:paraId="2970D1D7" w14:textId="77777777" w:rsidR="00D43353" w:rsidRPr="00405303" w:rsidRDefault="00D43353" w:rsidP="00C15251">
      <w:pPr>
        <w:jc w:val="both"/>
        <w:rPr>
          <w:bCs/>
          <w:color w:val="002060"/>
          <w:sz w:val="16"/>
          <w:szCs w:val="16"/>
        </w:rPr>
      </w:pPr>
      <w:r w:rsidRPr="00405303">
        <w:rPr>
          <w:bCs/>
          <w:color w:val="002060"/>
          <w:sz w:val="16"/>
          <w:szCs w:val="16"/>
        </w:rPr>
        <w:t xml:space="preserve">Отрицательного влияния на дело снабжения назначение Беляева не могло оказать, так как в начале марта вспыхнула революция. </w:t>
      </w:r>
    </w:p>
    <w:p w14:paraId="682EF99F" w14:textId="77777777" w:rsidR="00D43353" w:rsidRPr="00405303" w:rsidRDefault="00D43353" w:rsidP="00C15251">
      <w:pPr>
        <w:jc w:val="both"/>
        <w:rPr>
          <w:bCs/>
          <w:color w:val="002060"/>
          <w:sz w:val="16"/>
          <w:szCs w:val="16"/>
        </w:rPr>
      </w:pPr>
      <w:r w:rsidRPr="00405303">
        <w:rPr>
          <w:bCs/>
          <w:color w:val="002060"/>
          <w:sz w:val="16"/>
          <w:szCs w:val="16"/>
        </w:rPr>
        <w:t xml:space="preserve">Революция </w:t>
      </w:r>
    </w:p>
    <w:p w14:paraId="6D2B44C4" w14:textId="77777777" w:rsidR="00D43353" w:rsidRPr="00405303" w:rsidRDefault="00D43353" w:rsidP="00C15251">
      <w:pPr>
        <w:jc w:val="both"/>
        <w:rPr>
          <w:bCs/>
          <w:color w:val="002060"/>
          <w:sz w:val="16"/>
          <w:szCs w:val="16"/>
        </w:rPr>
      </w:pPr>
      <w:r w:rsidRPr="00405303">
        <w:rPr>
          <w:bCs/>
          <w:color w:val="002060"/>
          <w:sz w:val="16"/>
          <w:szCs w:val="16"/>
        </w:rPr>
        <w:t xml:space="preserve">В разбушевавшейся революционной стихии сразу же начала падать на заводах и промышленных предприятиях трудовая дисциплина. Технический и административный персонал, который не был изгнан рабочими, не имел возможности руководить делом. Он был терроризован рабочими. В результате — крайняя небрежность в работе и все увеличивающееся падение производительности. Московская металлообрабатывающая промышленность уже в апреле пала на 32%, производительность петроградских фабрик и заводов — на 20–40%, добыча угля и общая производительность Донецкого бассейна к 1 июля — на 30% и т.д. Расстроилась также добыча нефти на бакинских и грозненских промыслах. </w:t>
      </w:r>
    </w:p>
    <w:p w14:paraId="2FFA04A5" w14:textId="77777777" w:rsidR="00D43353" w:rsidRPr="00405303" w:rsidRDefault="00D43353" w:rsidP="00C15251">
      <w:pPr>
        <w:jc w:val="both"/>
        <w:rPr>
          <w:bCs/>
          <w:color w:val="002060"/>
          <w:sz w:val="16"/>
          <w:szCs w:val="16"/>
        </w:rPr>
      </w:pPr>
    </w:p>
    <w:p w14:paraId="43FA2D58" w14:textId="5751726C" w:rsidR="002522CB" w:rsidRPr="00405303" w:rsidRDefault="002522CB" w:rsidP="002522CB">
      <w:pPr>
        <w:shd w:val="clear" w:color="auto" w:fill="FFFFFF"/>
        <w:jc w:val="both"/>
        <w:rPr>
          <w:bCs/>
          <w:i/>
          <w:color w:val="002060"/>
          <w:sz w:val="16"/>
          <w:szCs w:val="16"/>
        </w:rPr>
      </w:pPr>
      <w:r w:rsidRPr="00405303">
        <w:rPr>
          <w:bCs/>
          <w:i/>
          <w:color w:val="002060"/>
          <w:sz w:val="16"/>
          <w:szCs w:val="16"/>
        </w:rPr>
        <w:t>Другие оборонные отрасли:</w:t>
      </w:r>
    </w:p>
    <w:p w14:paraId="6FAA69EC" w14:textId="77777777" w:rsidR="002522CB" w:rsidRPr="00405303" w:rsidRDefault="002522CB" w:rsidP="002522CB">
      <w:pPr>
        <w:shd w:val="clear" w:color="auto" w:fill="FFFFFF"/>
        <w:jc w:val="both"/>
        <w:rPr>
          <w:bCs/>
          <w:i/>
          <w:color w:val="002060"/>
          <w:sz w:val="16"/>
          <w:szCs w:val="16"/>
        </w:rPr>
      </w:pPr>
    </w:p>
    <w:p w14:paraId="4EFF4713" w14:textId="77777777" w:rsidR="002522CB" w:rsidRPr="00405303" w:rsidRDefault="002522CB" w:rsidP="002522CB">
      <w:pPr>
        <w:jc w:val="both"/>
        <w:rPr>
          <w:color w:val="0070C0"/>
          <w:sz w:val="16"/>
          <w:szCs w:val="16"/>
        </w:rPr>
      </w:pPr>
      <w:r w:rsidRPr="00405303">
        <w:rPr>
          <w:color w:val="0070C0"/>
          <w:sz w:val="16"/>
          <w:szCs w:val="16"/>
        </w:rPr>
        <w:t>В середине марта 1915 года начались ра</w:t>
      </w:r>
      <w:r w:rsidRPr="00405303">
        <w:rPr>
          <w:color w:val="0070C0"/>
          <w:sz w:val="16"/>
          <w:szCs w:val="16"/>
        </w:rPr>
        <w:softHyphen/>
        <w:t>боты по перебронировке всех прибывших из Ан</w:t>
      </w:r>
      <w:r w:rsidRPr="00405303">
        <w:rPr>
          <w:color w:val="0070C0"/>
          <w:sz w:val="16"/>
          <w:szCs w:val="16"/>
        </w:rPr>
        <w:softHyphen/>
        <w:t>глии «остинов» более толстой броней. При этом часть машин поступала для пере- бронировки на Ижорский завод, часть пере</w:t>
      </w:r>
      <w:r w:rsidRPr="00405303">
        <w:rPr>
          <w:color w:val="0070C0"/>
          <w:sz w:val="16"/>
          <w:szCs w:val="16"/>
        </w:rPr>
        <w:softHyphen/>
        <w:t>делывалась мастерскими Военной автошко</w:t>
      </w:r>
      <w:r w:rsidRPr="00405303">
        <w:rPr>
          <w:color w:val="0070C0"/>
          <w:sz w:val="16"/>
          <w:szCs w:val="16"/>
        </w:rPr>
        <w:softHyphen/>
        <w:t>лы и Запасной броневой роты, автомастер</w:t>
      </w:r>
      <w:r w:rsidRPr="00405303">
        <w:rPr>
          <w:color w:val="0070C0"/>
          <w:sz w:val="16"/>
          <w:szCs w:val="16"/>
        </w:rPr>
        <w:softHyphen/>
        <w:t>ской в городе Вильно, а также во фронтовых мастерских. В последние пункты броне</w:t>
      </w:r>
      <w:r w:rsidRPr="00405303">
        <w:rPr>
          <w:color w:val="0070C0"/>
          <w:sz w:val="16"/>
          <w:szCs w:val="16"/>
        </w:rPr>
        <w:softHyphen/>
        <w:t>вой лист, башни и цилиндрические подба</w:t>
      </w:r>
      <w:r w:rsidRPr="00405303">
        <w:rPr>
          <w:color w:val="0070C0"/>
          <w:sz w:val="16"/>
          <w:szCs w:val="16"/>
        </w:rPr>
        <w:softHyphen/>
        <w:t>шенные основания доставляли с Ижорско</w:t>
      </w:r>
      <w:r w:rsidRPr="00405303">
        <w:rPr>
          <w:color w:val="0070C0"/>
          <w:sz w:val="16"/>
          <w:szCs w:val="16"/>
        </w:rPr>
        <w:softHyphen/>
        <w:t>го завода (25008).</w:t>
      </w:r>
    </w:p>
    <w:p w14:paraId="32569246" w14:textId="77777777" w:rsidR="002522CB" w:rsidRPr="00405303" w:rsidRDefault="002522CB" w:rsidP="002522CB">
      <w:pPr>
        <w:jc w:val="both"/>
        <w:rPr>
          <w:color w:val="0070C0"/>
          <w:sz w:val="16"/>
          <w:szCs w:val="16"/>
        </w:rPr>
      </w:pPr>
    </w:p>
    <w:p w14:paraId="47B4BF47" w14:textId="45B3DC21" w:rsidR="00E56C85" w:rsidRPr="00405303" w:rsidRDefault="00E56C85" w:rsidP="00C15251">
      <w:pPr>
        <w:shd w:val="clear" w:color="auto" w:fill="FFFFFF"/>
        <w:jc w:val="both"/>
        <w:rPr>
          <w:bCs/>
          <w:i/>
          <w:color w:val="002060"/>
          <w:sz w:val="16"/>
          <w:szCs w:val="16"/>
        </w:rPr>
      </w:pPr>
      <w:r w:rsidRPr="00405303">
        <w:rPr>
          <w:bCs/>
          <w:i/>
          <w:color w:val="002060"/>
          <w:sz w:val="16"/>
          <w:szCs w:val="16"/>
        </w:rPr>
        <w:t>Авиация:</w:t>
      </w:r>
    </w:p>
    <w:p w14:paraId="2E95B39C" w14:textId="77777777" w:rsidR="00E56C85" w:rsidRPr="00405303" w:rsidRDefault="00E56C85" w:rsidP="00C15251">
      <w:pPr>
        <w:shd w:val="clear" w:color="auto" w:fill="FFFFFF"/>
        <w:jc w:val="both"/>
        <w:rPr>
          <w:bCs/>
          <w:i/>
          <w:color w:val="002060"/>
          <w:sz w:val="16"/>
          <w:szCs w:val="16"/>
        </w:rPr>
      </w:pPr>
    </w:p>
    <w:p w14:paraId="40183DEA" w14:textId="77777777" w:rsidR="00E56C85" w:rsidRPr="00405303" w:rsidRDefault="00E56C85" w:rsidP="00C15251">
      <w:pPr>
        <w:jc w:val="both"/>
        <w:rPr>
          <w:bCs/>
          <w:color w:val="002060"/>
          <w:sz w:val="16"/>
          <w:szCs w:val="16"/>
        </w:rPr>
      </w:pPr>
      <w:bookmarkStart w:id="70" w:name="bookmark96"/>
      <w:bookmarkStart w:id="71" w:name="bookmark97"/>
      <w:bookmarkStart w:id="72" w:name="bookmark98"/>
      <w:r w:rsidRPr="00405303">
        <w:rPr>
          <w:bCs/>
          <w:color w:val="002060"/>
          <w:sz w:val="16"/>
          <w:szCs w:val="16"/>
        </w:rPr>
        <w:t>16 марта 1915 г. в Яблонну прибыл из штаба 1-й армии начальник разведотдела капитан Генерального штаба А. А. фон Гоерц с прось</w:t>
      </w:r>
      <w:r w:rsidRPr="00405303">
        <w:rPr>
          <w:bCs/>
          <w:color w:val="002060"/>
          <w:sz w:val="16"/>
          <w:szCs w:val="16"/>
        </w:rPr>
        <w:softHyphen/>
        <w:t>бой командующего провести глубокую разведку немец</w:t>
      </w:r>
      <w:r w:rsidRPr="00405303">
        <w:rPr>
          <w:bCs/>
          <w:color w:val="002060"/>
          <w:sz w:val="16"/>
          <w:szCs w:val="16"/>
        </w:rPr>
        <w:softHyphen/>
        <w:t>ких тылов в предложенном направлении. Там, по некоторым данным, происходила концентрация немецких войск, но что-то в этой информации настораживало ко</w:t>
      </w:r>
      <w:r w:rsidRPr="00405303">
        <w:rPr>
          <w:bCs/>
          <w:color w:val="002060"/>
          <w:sz w:val="16"/>
          <w:szCs w:val="16"/>
        </w:rPr>
        <w:softHyphen/>
        <w:t>мандование, и оно решило ее перепроверить и уточ</w:t>
      </w:r>
      <w:r w:rsidRPr="00405303">
        <w:rPr>
          <w:bCs/>
          <w:color w:val="002060"/>
          <w:sz w:val="16"/>
          <w:szCs w:val="16"/>
        </w:rPr>
        <w:softHyphen/>
        <w:t>нить. Выбор Шидловского опять пал на самый опыт</w:t>
      </w:r>
      <w:r w:rsidRPr="00405303">
        <w:rPr>
          <w:bCs/>
          <w:color w:val="002060"/>
          <w:sz w:val="16"/>
          <w:szCs w:val="16"/>
        </w:rPr>
        <w:softHyphen/>
        <w:t>ный экипаж. 18 марта «Илья Муромец» под командованием гапитана Горева выжил по марш</w:t>
      </w:r>
      <w:r w:rsidRPr="00405303">
        <w:rPr>
          <w:bCs/>
          <w:color w:val="002060"/>
          <w:sz w:val="16"/>
          <w:szCs w:val="16"/>
        </w:rPr>
        <w:softHyphen/>
        <w:t>руту Яблонна — Вилленберг — Наиденбург — Золь- дау — Лаутенбург — Страссбург — Торн — Плоцк — Млава — Яблонна протяженностью в 600 верст. На бор</w:t>
      </w:r>
      <w:r w:rsidRPr="00405303">
        <w:rPr>
          <w:bCs/>
          <w:color w:val="002060"/>
          <w:sz w:val="16"/>
          <w:szCs w:val="16"/>
        </w:rPr>
        <w:softHyphen/>
        <w:t>ту крома шта"ГНОго экипажа был капитаН фон Гоерц. Полет продолжался более пяти часов. Представитель штаба и Наумов тщательно осмотрели все намеченные пункты и сделали около 50 фотоснимков. После обра</w:t>
      </w:r>
      <w:r w:rsidRPr="00405303">
        <w:rPr>
          <w:bCs/>
          <w:color w:val="002060"/>
          <w:sz w:val="16"/>
          <w:szCs w:val="16"/>
        </w:rPr>
        <w:softHyphen/>
        <w:t>ботки и изучения полученных данных выяснилось, что ни о какой концентрации войск противника не может быть и речи. Более того, часть укреплений оголена в связи с переброской войск на другое направление. Ста</w:t>
      </w:r>
      <w:r w:rsidRPr="00405303">
        <w:rPr>
          <w:bCs/>
          <w:color w:val="002060"/>
          <w:sz w:val="16"/>
          <w:szCs w:val="16"/>
        </w:rPr>
        <w:softHyphen/>
        <w:t>ло ясно, что немцы провели активное мероприятие по дезинформации. Русское командование сделало соот</w:t>
      </w:r>
      <w:r w:rsidRPr="00405303">
        <w:rPr>
          <w:bCs/>
          <w:color w:val="002060"/>
          <w:sz w:val="16"/>
          <w:szCs w:val="16"/>
        </w:rPr>
        <w:softHyphen/>
        <w:t>ветствующие выводы. Помощь «Муромца» при этом была неоценима (24177).</w:t>
      </w:r>
    </w:p>
    <w:p w14:paraId="7D0C1677" w14:textId="77777777" w:rsidR="00E56C85" w:rsidRPr="00405303" w:rsidRDefault="00E56C85" w:rsidP="00C15251">
      <w:pPr>
        <w:jc w:val="both"/>
        <w:rPr>
          <w:bCs/>
          <w:color w:val="002060"/>
          <w:sz w:val="16"/>
          <w:szCs w:val="16"/>
        </w:rPr>
      </w:pPr>
    </w:p>
    <w:p w14:paraId="53C6D8FA" w14:textId="77777777" w:rsidR="00E56C85" w:rsidRPr="00405303" w:rsidRDefault="00E56C85" w:rsidP="00C15251">
      <w:pPr>
        <w:jc w:val="both"/>
        <w:rPr>
          <w:bCs/>
          <w:color w:val="002060"/>
          <w:sz w:val="16"/>
          <w:szCs w:val="16"/>
        </w:rPr>
      </w:pPr>
      <w:r w:rsidRPr="00405303">
        <w:rPr>
          <w:bCs/>
          <w:color w:val="002060"/>
          <w:sz w:val="16"/>
          <w:szCs w:val="16"/>
        </w:rPr>
        <w:t xml:space="preserve">16 марта 1915 г. в болотах бассейна р. Бобр (у н/п Ястржебы) нашими передовыми отрядами был захвачен германский летательный аппарат вместе с экипажем. Через несколько дней вылетевший из осажденной крепости Перемышль австрийский аэроплан был подстрелен в районе Дембицы. В руки русского командования попали документы и почта. Не повезло и экипажам трех австрийских аэростатов, выпущенных из Перемышля с почтой. В результате изменения направления ветра их унесло в сторону российской территории, где они были при посадке захвачены в плен. 21 марта двум неприятельским самолетам удалось покинуть крепость при взятии ее </w:t>
      </w:r>
      <w:r w:rsidRPr="00405303">
        <w:rPr>
          <w:bCs/>
          <w:color w:val="002060"/>
          <w:sz w:val="16"/>
          <w:szCs w:val="16"/>
        </w:rPr>
        <w:lastRenderedPageBreak/>
        <w:t>русскими войсками и перелететь в г. Краков (Австро-Венгрия). Днем ранее вблизи г. Ковно (над местечком</w:t>
      </w:r>
      <w:bookmarkEnd w:id="70"/>
      <w:bookmarkEnd w:id="71"/>
      <w:bookmarkEnd w:id="72"/>
      <w:r w:rsidRPr="00405303">
        <w:rPr>
          <w:bCs/>
          <w:color w:val="002060"/>
          <w:sz w:val="16"/>
          <w:szCs w:val="16"/>
        </w:rPr>
        <w:t xml:space="preserve"> </w:t>
      </w:r>
      <w:bookmarkStart w:id="73" w:name="bookmark99"/>
      <w:r w:rsidRPr="00405303">
        <w:rPr>
          <w:bCs/>
          <w:color w:val="002060"/>
          <w:sz w:val="16"/>
          <w:szCs w:val="16"/>
        </w:rPr>
        <w:t>Кретинген) огнем артиллерии был подбит германский аэроплан с грузом прокламаций, осуществивший до этого бомбометание позиций наших частей (23405).</w:t>
      </w:r>
    </w:p>
    <w:bookmarkEnd w:id="73"/>
    <w:p w14:paraId="0E7ED181" w14:textId="77777777" w:rsidR="00E56C85" w:rsidRPr="00405303" w:rsidRDefault="00E56C85" w:rsidP="00C15251">
      <w:pPr>
        <w:jc w:val="both"/>
        <w:rPr>
          <w:bCs/>
          <w:color w:val="002060"/>
          <w:sz w:val="16"/>
          <w:szCs w:val="16"/>
        </w:rPr>
      </w:pPr>
    </w:p>
    <w:p w14:paraId="6CB1F92B" w14:textId="77777777" w:rsidR="002522CB" w:rsidRPr="00405303" w:rsidRDefault="002522CB" w:rsidP="002522CB">
      <w:pPr>
        <w:jc w:val="both"/>
        <w:rPr>
          <w:color w:val="0070C0"/>
          <w:sz w:val="16"/>
          <w:szCs w:val="16"/>
        </w:rPr>
      </w:pPr>
      <w:r w:rsidRPr="00405303">
        <w:rPr>
          <w:rStyle w:val="aa"/>
          <w:rFonts w:ascii="Times New Roman" w:hAnsi="Times New Roman"/>
          <w:color w:val="0070C0"/>
          <w:spacing w:val="0"/>
          <w:sz w:val="16"/>
          <w:szCs w:val="16"/>
        </w:rPr>
        <w:t>16 (29) марта 1915 г. в районе г. Остроленка авиационный отряд противника (до 15 самолетов) осуществил бомбардировку «отдельно стоящий дом; из 100 сброшенных бомб ни одна в цель не попала». Через день аналогичный налет (до 10 аэропланов) немецкая авиация совершила на г. Ломжа. В результате было сброшено до 120 бомб. Одна из них попала в собор, наполненный молящимися людьми. По счастливой случайности обошлось без жертв и разрушений (25135).</w:t>
      </w:r>
    </w:p>
    <w:p w14:paraId="02B0E840" w14:textId="77777777" w:rsidR="002522CB" w:rsidRPr="00405303" w:rsidRDefault="002522CB" w:rsidP="002522CB">
      <w:pPr>
        <w:jc w:val="both"/>
        <w:rPr>
          <w:color w:val="0070C0"/>
          <w:sz w:val="16"/>
          <w:szCs w:val="16"/>
        </w:rPr>
      </w:pPr>
    </w:p>
    <w:p w14:paraId="57CA9C04" w14:textId="77777777" w:rsidR="002522CB" w:rsidRPr="00405303" w:rsidRDefault="002522CB" w:rsidP="002522CB">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16 (29) марта 1915 г. в районе д. Едвабне (Белостокский уезд) огнем русской артиллерии подбит германский аэроплан. При посадке его экипаж (два офицера и механик) взят в плен (25135).</w:t>
      </w:r>
    </w:p>
    <w:p w14:paraId="12D02B36" w14:textId="77777777" w:rsidR="002522CB" w:rsidRPr="00405303" w:rsidRDefault="002522CB" w:rsidP="002522CB">
      <w:pPr>
        <w:jc w:val="both"/>
        <w:rPr>
          <w:rStyle w:val="aa"/>
          <w:rFonts w:ascii="Times New Roman" w:hAnsi="Times New Roman"/>
          <w:color w:val="0070C0"/>
          <w:spacing w:val="0"/>
          <w:sz w:val="16"/>
          <w:szCs w:val="16"/>
        </w:rPr>
      </w:pPr>
    </w:p>
    <w:p w14:paraId="5716745B" w14:textId="161AF65B" w:rsidR="002522CB" w:rsidRPr="00405303" w:rsidRDefault="002522CB" w:rsidP="002522CB">
      <w:pPr>
        <w:jc w:val="both"/>
        <w:rPr>
          <w:color w:val="0070C0"/>
          <w:sz w:val="16"/>
          <w:szCs w:val="16"/>
        </w:rPr>
      </w:pPr>
      <w:r w:rsidRPr="00405303">
        <w:rPr>
          <w:rStyle w:val="aa"/>
          <w:rFonts w:ascii="Times New Roman" w:hAnsi="Times New Roman"/>
          <w:color w:val="0070C0"/>
          <w:spacing w:val="0"/>
          <w:sz w:val="16"/>
          <w:szCs w:val="16"/>
        </w:rPr>
        <w:t>16 (29) марта 1915 г. возле крепости Осовец противник неоднократно пытался поднять в воздух аэростаты в интересах своей осадной артиллерии. Однако</w:t>
      </w:r>
      <w:r w:rsidR="000F5756">
        <w:rPr>
          <w:rStyle w:val="aa"/>
          <w:rFonts w:ascii="Times New Roman" w:hAnsi="Times New Roman"/>
          <w:color w:val="0070C0"/>
          <w:spacing w:val="0"/>
          <w:sz w:val="16"/>
          <w:szCs w:val="16"/>
        </w:rPr>
        <w:t xml:space="preserve"> </w:t>
      </w:r>
      <w:r w:rsidRPr="00405303">
        <w:rPr>
          <w:rStyle w:val="aa"/>
          <w:rFonts w:ascii="Times New Roman" w:hAnsi="Times New Roman"/>
          <w:color w:val="0070C0"/>
          <w:spacing w:val="0"/>
          <w:sz w:val="16"/>
          <w:szCs w:val="16"/>
        </w:rPr>
        <w:t>наши орудийные расчеты точной стрельбой исключили такие попытки (25135).</w:t>
      </w:r>
    </w:p>
    <w:p w14:paraId="137ABAAD" w14:textId="77777777" w:rsidR="002522CB" w:rsidRPr="00405303" w:rsidRDefault="002522CB" w:rsidP="002522CB">
      <w:pPr>
        <w:jc w:val="both"/>
        <w:rPr>
          <w:color w:val="0070C0"/>
          <w:sz w:val="16"/>
          <w:szCs w:val="16"/>
        </w:rPr>
      </w:pPr>
    </w:p>
    <w:p w14:paraId="03899C7B" w14:textId="7C1AE37A"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5144DD25" w14:textId="77777777" w:rsidR="004B4E35" w:rsidRPr="00405303" w:rsidRDefault="004B4E35" w:rsidP="00C15251">
      <w:pPr>
        <w:shd w:val="clear" w:color="auto" w:fill="FFFFFF"/>
        <w:jc w:val="both"/>
        <w:rPr>
          <w:bCs/>
          <w:i/>
          <w:color w:val="002060"/>
          <w:sz w:val="16"/>
          <w:szCs w:val="16"/>
        </w:rPr>
      </w:pPr>
    </w:p>
    <w:p w14:paraId="59E4B2B3" w14:textId="77777777" w:rsidR="004B4E35" w:rsidRPr="00405303" w:rsidRDefault="009E6F82" w:rsidP="00C15251">
      <w:pPr>
        <w:jc w:val="both"/>
        <w:rPr>
          <w:bCs/>
          <w:color w:val="002060"/>
          <w:sz w:val="16"/>
          <w:szCs w:val="16"/>
        </w:rPr>
      </w:pPr>
      <w:r w:rsidRPr="00405303">
        <w:rPr>
          <w:bCs/>
          <w:color w:val="002060"/>
          <w:sz w:val="16"/>
          <w:szCs w:val="16"/>
        </w:rPr>
        <w:t>15 (28) марта 1915 была произведена первая бомбардировка Босфора.</w:t>
      </w:r>
    </w:p>
    <w:p w14:paraId="35A86A33" w14:textId="77777777" w:rsidR="004B4E35" w:rsidRPr="00405303" w:rsidRDefault="009E6F82" w:rsidP="00C15251">
      <w:pPr>
        <w:jc w:val="both"/>
        <w:rPr>
          <w:bCs/>
          <w:color w:val="002060"/>
          <w:sz w:val="16"/>
          <w:szCs w:val="16"/>
        </w:rPr>
      </w:pPr>
      <w:r w:rsidRPr="00405303">
        <w:rPr>
          <w:bCs/>
          <w:color w:val="002060"/>
          <w:sz w:val="16"/>
          <w:szCs w:val="16"/>
        </w:rPr>
        <w:t>Два линкора подошли на расстояние 11 км к берегам Босфора и с 10 час. 30 мин. до 11 часов обстреливали батареи анатолийского берега, а с 11 часов до 12 час. 30 мин. - батареи румелийского берега. Обстрел сопровождался пожарами; один большой турецкий пароход выбросило на берег, и он сгорел. Форты не отвечали из-за дальности расстояния. По наблюдениям с самолетов снаряды ложились хорошо. На следующий день бомбардировка не состоялась из-за спустившегося на побережье густого тумана.</w:t>
      </w:r>
    </w:p>
    <w:p w14:paraId="18FEF2F5" w14:textId="77777777" w:rsidR="004B4E35" w:rsidRPr="00405303" w:rsidRDefault="009E6F82" w:rsidP="00C15251">
      <w:pPr>
        <w:jc w:val="both"/>
        <w:rPr>
          <w:bCs/>
          <w:color w:val="002060"/>
          <w:sz w:val="16"/>
          <w:szCs w:val="16"/>
        </w:rPr>
      </w:pPr>
      <w:r w:rsidRPr="00405303">
        <w:rPr>
          <w:bCs/>
          <w:color w:val="002060"/>
          <w:sz w:val="16"/>
          <w:szCs w:val="16"/>
        </w:rPr>
        <w:t>Авиация становится все более и более неотъемлемой частью не только наземной артиллерии, но и морской (11999).</w:t>
      </w:r>
    </w:p>
    <w:p w14:paraId="07BB5EF9" w14:textId="77777777" w:rsidR="004B4E35" w:rsidRPr="00405303" w:rsidRDefault="004B4E35" w:rsidP="00C15251">
      <w:pPr>
        <w:jc w:val="both"/>
        <w:rPr>
          <w:bCs/>
          <w:color w:val="002060"/>
          <w:sz w:val="16"/>
          <w:szCs w:val="16"/>
        </w:rPr>
      </w:pPr>
    </w:p>
    <w:p w14:paraId="3A373240"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Англии:</w:t>
      </w:r>
    </w:p>
    <w:p w14:paraId="728F9923" w14:textId="77777777" w:rsidR="004B4E35" w:rsidRPr="00405303" w:rsidRDefault="004B4E35" w:rsidP="00C15251">
      <w:pPr>
        <w:shd w:val="clear" w:color="auto" w:fill="FFFFFF"/>
        <w:jc w:val="both"/>
        <w:rPr>
          <w:bCs/>
          <w:i/>
          <w:color w:val="002060"/>
          <w:sz w:val="16"/>
          <w:szCs w:val="16"/>
        </w:rPr>
      </w:pPr>
    </w:p>
    <w:p w14:paraId="09F2D665" w14:textId="10C51353" w:rsidR="004B4E35" w:rsidRPr="00405303" w:rsidRDefault="00244A4D" w:rsidP="00C15251">
      <w:pPr>
        <w:jc w:val="both"/>
        <w:rPr>
          <w:bCs/>
          <w:color w:val="002060"/>
          <w:sz w:val="16"/>
          <w:szCs w:val="16"/>
        </w:rPr>
      </w:pPr>
      <w:r w:rsidRPr="00405303">
        <w:rPr>
          <w:bCs/>
          <w:color w:val="002060"/>
          <w:sz w:val="16"/>
          <w:szCs w:val="16"/>
        </w:rPr>
        <w:t>Д</w:t>
      </w:r>
      <w:r w:rsidR="009E6F82" w:rsidRPr="00405303">
        <w:rPr>
          <w:bCs/>
          <w:color w:val="002060"/>
          <w:sz w:val="16"/>
          <w:szCs w:val="16"/>
        </w:rPr>
        <w:t xml:space="preserve">о 15 </w:t>
      </w:r>
      <w:r w:rsidRPr="00405303">
        <w:rPr>
          <w:bCs/>
          <w:color w:val="002060"/>
          <w:sz w:val="16"/>
          <w:szCs w:val="16"/>
        </w:rPr>
        <w:t xml:space="preserve">(28) </w:t>
      </w:r>
      <w:r w:rsidR="009E6F82" w:rsidRPr="00405303">
        <w:rPr>
          <w:bCs/>
          <w:color w:val="002060"/>
          <w:sz w:val="16"/>
          <w:szCs w:val="16"/>
        </w:rPr>
        <w:t xml:space="preserve">марта 1915 года английский истребитель </w:t>
      </w:r>
      <w:r w:rsidRPr="00405303">
        <w:rPr>
          <w:bCs/>
          <w:color w:val="002060"/>
          <w:sz w:val="16"/>
          <w:szCs w:val="16"/>
        </w:rPr>
        <w:t xml:space="preserve">"Ньюпор", с курсовым пулемётом, установленным над крылом вне диска винта </w:t>
      </w:r>
      <w:r w:rsidR="009E6F82" w:rsidRPr="00405303">
        <w:rPr>
          <w:bCs/>
          <w:color w:val="002060"/>
          <w:sz w:val="16"/>
          <w:szCs w:val="16"/>
        </w:rPr>
        <w:t xml:space="preserve">был лучшим в мире. Дело в том, что основной преградой для курсовой стрельбы самолёта являлся винт. Поэтому и приходилось громоздить курсовой пулемёт либо выше диска винта, либо и вовсе - размещать винт за кабиной. Революцию совершил Ролан Гарро - он попросту установил на лопасти деревянного винта, в зоне прострела пулемёта "пулеотбойники" из 4мм стали. Учитывая, что не более 7% пуль попадали в винт, темп стрельбы падал не резко. "Моран" стал истинным "убийцей немецких аэропланов", вдвое превзойдя "Ньюпор", но его судьба - была стать "Халифом на час". Авиаконструктор Энтони Фоккер использовал идею Гарро, но предложил абсолютно новую инженерную схему - уже 27 апреля в воздух поднялся немецкий "Фокер-Айндеккер" (букв. Фоккер- моноплан). Немецкий истребитель нёс два пулемёта системы Максима с синхронизаторами - устройствами, задерживающими спуск, при прохождении лопасти через зону обстрела. Скоростной моноплан стал косить "Мораны", "Ньюпоры"; а для устаревших "Фарманов" и "Де Хевилендов" - был неуязвим - даже передний турельный пулемёт не спасал их - "Айндеккер" уходил на скорости, и, вскоре, намертво зависал на хвосте, что при отсутствии задней турели было смертным приговором. Моран с пулеотбойником проявил недостатки - на нём нельзя было использовать бронебойные пули, поражающие двигатель, но и с обычными пулями нагрузок часто не выдерживали лопасти и ось редуктора. На три месяца небо Первой Мировой полностью принадлежало немцам, но и смертоносные "Айндеккеры" несли редкие потери - с гибелью над территорией врага первого немецкого истребителя, секрет "Айндеккера" был разгадан и вот - к лету 1915 года все машины воюющих стран - России, Британии, Франции - Германии и Австро-Венгрии с другой стороны несли 1-3 синхронных пулемёта. Но, получилось так, что основным назначением самолёта - было сбить другой самолёт - 60-100кг мелких 5-15кг бомб, сбрасываемых </w:t>
      </w:r>
      <w:proofErr w:type="gramStart"/>
      <w:r w:rsidR="009E6F82" w:rsidRPr="00405303">
        <w:rPr>
          <w:bCs/>
          <w:color w:val="002060"/>
          <w:sz w:val="16"/>
          <w:szCs w:val="16"/>
        </w:rPr>
        <w:t>"на глазок"</w:t>
      </w:r>
      <w:proofErr w:type="gramEnd"/>
      <w:r w:rsidR="009E6F82" w:rsidRPr="00405303">
        <w:rPr>
          <w:bCs/>
          <w:color w:val="002060"/>
          <w:sz w:val="16"/>
          <w:szCs w:val="16"/>
        </w:rPr>
        <w:t xml:space="preserve"> могли наносить только "булавочные уколы" враждующим сторонам - так, считалось большой удачей поразить бомбой один танк или броневик за 5-6 </w:t>
      </w:r>
      <w:proofErr w:type="gramStart"/>
      <w:r w:rsidR="009E6F82" w:rsidRPr="00405303">
        <w:rPr>
          <w:bCs/>
          <w:color w:val="002060"/>
          <w:sz w:val="16"/>
          <w:szCs w:val="16"/>
        </w:rPr>
        <w:t>самолёто-вылетов</w:t>
      </w:r>
      <w:proofErr w:type="gramEnd"/>
      <w:r w:rsidR="009E6F82" w:rsidRPr="00405303">
        <w:rPr>
          <w:bCs/>
          <w:color w:val="002060"/>
          <w:sz w:val="16"/>
          <w:szCs w:val="16"/>
        </w:rPr>
        <w:t>! (11237).</w:t>
      </w:r>
    </w:p>
    <w:p w14:paraId="44178BC6" w14:textId="77777777" w:rsidR="004B4E35" w:rsidRPr="00405303" w:rsidRDefault="004B4E35" w:rsidP="00C15251">
      <w:pPr>
        <w:jc w:val="both"/>
        <w:rPr>
          <w:bCs/>
          <w:color w:val="002060"/>
          <w:sz w:val="16"/>
          <w:szCs w:val="16"/>
        </w:rPr>
      </w:pPr>
    </w:p>
    <w:p w14:paraId="565A15C7" w14:textId="77777777" w:rsidR="00FB001D" w:rsidRPr="00405303" w:rsidRDefault="00FB001D" w:rsidP="00C15251">
      <w:pPr>
        <w:jc w:val="both"/>
        <w:rPr>
          <w:bCs/>
          <w:i/>
          <w:color w:val="002060"/>
          <w:sz w:val="16"/>
          <w:szCs w:val="16"/>
        </w:rPr>
      </w:pPr>
      <w:r w:rsidRPr="00405303">
        <w:rPr>
          <w:bCs/>
          <w:i/>
          <w:color w:val="002060"/>
          <w:sz w:val="16"/>
          <w:szCs w:val="16"/>
        </w:rPr>
        <w:t>За рубежом:</w:t>
      </w:r>
    </w:p>
    <w:p w14:paraId="59024DE1" w14:textId="77777777" w:rsidR="00FB001D" w:rsidRPr="00405303" w:rsidRDefault="00FB001D" w:rsidP="00C15251">
      <w:pPr>
        <w:jc w:val="both"/>
        <w:rPr>
          <w:bCs/>
          <w:color w:val="002060"/>
          <w:sz w:val="16"/>
          <w:szCs w:val="16"/>
        </w:rPr>
      </w:pPr>
    </w:p>
    <w:p w14:paraId="4872A1BB" w14:textId="0B6FA847" w:rsidR="00FB001D" w:rsidRPr="00405303" w:rsidRDefault="00FB001D" w:rsidP="00C15251">
      <w:pPr>
        <w:jc w:val="both"/>
        <w:rPr>
          <w:bCs/>
          <w:color w:val="002060"/>
          <w:sz w:val="16"/>
          <w:szCs w:val="16"/>
        </w:rPr>
      </w:pPr>
      <w:r w:rsidRPr="00405303">
        <w:rPr>
          <w:bCs/>
          <w:color w:val="002060"/>
          <w:sz w:val="16"/>
          <w:szCs w:val="16"/>
        </w:rPr>
        <w:t>15 (28) марта в 1915 году в Ньюкасле</w:t>
      </w:r>
      <w:r w:rsidR="00244A4D" w:rsidRPr="00405303">
        <w:rPr>
          <w:bCs/>
          <w:color w:val="002060"/>
          <w:sz w:val="16"/>
          <w:szCs w:val="16"/>
        </w:rPr>
        <w:t xml:space="preserve"> был заложен</w:t>
      </w:r>
      <w:r w:rsidRPr="00405303">
        <w:rPr>
          <w:bCs/>
          <w:color w:val="002060"/>
          <w:sz w:val="16"/>
          <w:szCs w:val="16"/>
        </w:rPr>
        <w:t xml:space="preserve"> легкий линейный крейсер "Корейджес" (22900 т, 32 узла, 4 381-мм, 18 102-мм орудий). В строю Королевских ВМС с 1917 г., затем был переоборудован в авианосец (авиагруппа - 48 самолетов). 17 сентября 1939 г. был торпедирован германской ПЛ и затонул (15082).</w:t>
      </w:r>
    </w:p>
    <w:p w14:paraId="70B35979" w14:textId="77777777" w:rsidR="00FB001D" w:rsidRPr="00405303" w:rsidRDefault="00FB001D" w:rsidP="00C15251">
      <w:pPr>
        <w:jc w:val="both"/>
        <w:rPr>
          <w:bCs/>
          <w:color w:val="002060"/>
          <w:sz w:val="16"/>
          <w:szCs w:val="16"/>
        </w:rPr>
      </w:pPr>
    </w:p>
    <w:p w14:paraId="2B7C6F4B"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5FC65F4B" w14:textId="77777777" w:rsidR="004B4E35" w:rsidRPr="00405303" w:rsidRDefault="004B4E35" w:rsidP="00C15251">
      <w:pPr>
        <w:jc w:val="both"/>
        <w:rPr>
          <w:bCs/>
          <w:i/>
          <w:color w:val="002060"/>
          <w:sz w:val="16"/>
          <w:szCs w:val="16"/>
        </w:rPr>
      </w:pPr>
    </w:p>
    <w:p w14:paraId="11BE85E5" w14:textId="5B3931F5" w:rsidR="004B4E35" w:rsidRPr="00405303" w:rsidRDefault="00244A4D"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середине марта 1915</w:t>
      </w:r>
      <w:r w:rsidRPr="00405303">
        <w:rPr>
          <w:bCs/>
          <w:color w:val="002060"/>
          <w:sz w:val="16"/>
          <w:szCs w:val="16"/>
        </w:rPr>
        <w:t xml:space="preserve"> закончилось переоборудование «Императора Александра III»</w:t>
      </w:r>
      <w:r w:rsidR="009E6F82" w:rsidRPr="00405303">
        <w:rPr>
          <w:bCs/>
          <w:color w:val="002060"/>
          <w:sz w:val="16"/>
          <w:szCs w:val="16"/>
        </w:rPr>
        <w:t>. Ввиду того, что на николаевском заводе «Руссуд» еще прошлой вес</w:t>
      </w:r>
      <w:r w:rsidR="009E6F82" w:rsidRPr="00405303">
        <w:rPr>
          <w:bCs/>
          <w:color w:val="002060"/>
          <w:sz w:val="16"/>
          <w:szCs w:val="16"/>
        </w:rPr>
        <w:softHyphen/>
        <w:t>ной был спущен со стапеля на воду новый линейный корабль «Император Александр III», получивший ранее такое же наи</w:t>
      </w:r>
      <w:r w:rsidR="009E6F82" w:rsidRPr="00405303">
        <w:rPr>
          <w:bCs/>
          <w:color w:val="002060"/>
          <w:sz w:val="16"/>
          <w:szCs w:val="16"/>
        </w:rPr>
        <w:softHyphen/>
        <w:t>менование авиатранспорт, согласно приказу командующего флотом от 8 января 1915 года, переименовали в «Император Александр I» (11283).</w:t>
      </w:r>
    </w:p>
    <w:p w14:paraId="552360D5" w14:textId="77777777" w:rsidR="004B4E35" w:rsidRPr="00405303" w:rsidRDefault="004B4E35" w:rsidP="00C15251">
      <w:pPr>
        <w:shd w:val="clear" w:color="auto" w:fill="FFFFFF"/>
        <w:jc w:val="both"/>
        <w:rPr>
          <w:bCs/>
          <w:color w:val="002060"/>
          <w:sz w:val="16"/>
          <w:szCs w:val="16"/>
        </w:rPr>
      </w:pPr>
    </w:p>
    <w:p w14:paraId="49469F86"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3562B0D8" w14:textId="3C3E6303" w:rsidR="004B4E35" w:rsidRPr="00405303" w:rsidRDefault="004B4E35" w:rsidP="00C15251">
      <w:pPr>
        <w:jc w:val="both"/>
        <w:rPr>
          <w:bCs/>
          <w:i/>
          <w:color w:val="002060"/>
          <w:sz w:val="16"/>
          <w:szCs w:val="16"/>
        </w:rPr>
      </w:pPr>
    </w:p>
    <w:p w14:paraId="40695038" w14:textId="76910C16" w:rsidR="00244A4D" w:rsidRPr="00405303" w:rsidRDefault="00244A4D" w:rsidP="00C15251">
      <w:pPr>
        <w:jc w:val="both"/>
        <w:rPr>
          <w:bCs/>
          <w:iCs/>
          <w:color w:val="002060"/>
          <w:sz w:val="16"/>
          <w:szCs w:val="16"/>
        </w:rPr>
      </w:pPr>
      <w:r w:rsidRPr="00405303">
        <w:rPr>
          <w:bCs/>
          <w:iCs/>
          <w:color w:val="002060"/>
          <w:sz w:val="16"/>
          <w:szCs w:val="16"/>
        </w:rPr>
        <w:t>16 (29) марта 1915 г.</w:t>
      </w:r>
    </w:p>
    <w:p w14:paraId="26272E27" w14:textId="77777777" w:rsidR="004B4E35" w:rsidRPr="00405303" w:rsidRDefault="009E6F82" w:rsidP="00C15251">
      <w:pPr>
        <w:jc w:val="both"/>
        <w:rPr>
          <w:bCs/>
          <w:color w:val="002060"/>
          <w:sz w:val="16"/>
          <w:szCs w:val="16"/>
        </w:rPr>
      </w:pPr>
      <w:r w:rsidRPr="00405303">
        <w:rPr>
          <w:bCs/>
          <w:color w:val="002060"/>
          <w:sz w:val="16"/>
          <w:szCs w:val="16"/>
        </w:rPr>
        <w:t>ГЛАВНОЕ УПРАВЛЕНИЕ КОРАБЛЕСТРОЕНИЯ</w:t>
      </w:r>
    </w:p>
    <w:p w14:paraId="48226649" w14:textId="77777777" w:rsidR="004B4E35" w:rsidRPr="00405303" w:rsidRDefault="009E6F82" w:rsidP="00C15251">
      <w:pPr>
        <w:jc w:val="both"/>
        <w:rPr>
          <w:bCs/>
          <w:color w:val="002060"/>
          <w:sz w:val="16"/>
          <w:szCs w:val="16"/>
        </w:rPr>
      </w:pPr>
      <w:r w:rsidRPr="00405303">
        <w:rPr>
          <w:bCs/>
          <w:color w:val="002060"/>
          <w:sz w:val="16"/>
          <w:szCs w:val="16"/>
        </w:rPr>
        <w:t>Отдел Общих Дел 16 марта 1915 года № 04765</w:t>
      </w:r>
    </w:p>
    <w:p w14:paraId="6ABAC95F" w14:textId="77777777" w:rsidR="004B4E35" w:rsidRPr="00405303" w:rsidRDefault="009E6F82" w:rsidP="00C15251">
      <w:pPr>
        <w:jc w:val="both"/>
        <w:rPr>
          <w:bCs/>
          <w:color w:val="002060"/>
          <w:sz w:val="16"/>
          <w:szCs w:val="16"/>
        </w:rPr>
      </w:pPr>
      <w:r w:rsidRPr="00405303">
        <w:rPr>
          <w:bCs/>
          <w:color w:val="002060"/>
          <w:sz w:val="16"/>
          <w:szCs w:val="16"/>
        </w:rPr>
        <w:t xml:space="preserve">В Правление Общества Оптического </w:t>
      </w:r>
    </w:p>
    <w:p w14:paraId="1ACC2CF6" w14:textId="77777777" w:rsidR="004B4E35" w:rsidRPr="00405303" w:rsidRDefault="009E6F82" w:rsidP="00C15251">
      <w:pPr>
        <w:jc w:val="both"/>
        <w:rPr>
          <w:bCs/>
          <w:color w:val="002060"/>
          <w:sz w:val="16"/>
          <w:szCs w:val="16"/>
        </w:rPr>
      </w:pPr>
      <w:r w:rsidRPr="00405303">
        <w:rPr>
          <w:bCs/>
          <w:color w:val="002060"/>
          <w:sz w:val="16"/>
          <w:szCs w:val="16"/>
        </w:rPr>
        <w:t>и Механического Производств</w:t>
      </w:r>
    </w:p>
    <w:p w14:paraId="25E59EFA" w14:textId="77777777" w:rsidR="004B4E35" w:rsidRPr="00405303" w:rsidRDefault="009E6F82" w:rsidP="00C15251">
      <w:pPr>
        <w:jc w:val="both"/>
        <w:rPr>
          <w:bCs/>
          <w:color w:val="002060"/>
          <w:sz w:val="16"/>
          <w:szCs w:val="16"/>
        </w:rPr>
      </w:pPr>
      <w:r w:rsidRPr="00405303">
        <w:rPr>
          <w:bCs/>
          <w:color w:val="002060"/>
          <w:sz w:val="16"/>
          <w:szCs w:val="16"/>
        </w:rPr>
        <w:t>Письмом от 19 сего марта Правление подтвердило принятие к исполнению наряда от 13 Марта с.г. за № 4223 на изготовление 18 фут</w:t>
      </w:r>
      <w:proofErr w:type="gramStart"/>
      <w:r w:rsidRPr="00405303">
        <w:rPr>
          <w:bCs/>
          <w:color w:val="002060"/>
          <w:sz w:val="16"/>
          <w:szCs w:val="16"/>
        </w:rPr>
        <w:t>.</w:t>
      </w:r>
      <w:proofErr w:type="gramEnd"/>
      <w:r w:rsidRPr="00405303">
        <w:rPr>
          <w:bCs/>
          <w:color w:val="002060"/>
          <w:sz w:val="16"/>
          <w:szCs w:val="16"/>
        </w:rPr>
        <w:t xml:space="preserve"> и 9 фут. дальномеров.</w:t>
      </w:r>
    </w:p>
    <w:p w14:paraId="7510ACD7" w14:textId="77777777" w:rsidR="004B4E35" w:rsidRPr="00405303" w:rsidRDefault="009E6F82" w:rsidP="00C15251">
      <w:pPr>
        <w:jc w:val="both"/>
        <w:rPr>
          <w:bCs/>
          <w:color w:val="002060"/>
          <w:sz w:val="16"/>
          <w:szCs w:val="16"/>
        </w:rPr>
      </w:pPr>
      <w:r w:rsidRPr="00405303">
        <w:rPr>
          <w:bCs/>
          <w:color w:val="002060"/>
          <w:sz w:val="16"/>
          <w:szCs w:val="16"/>
        </w:rPr>
        <w:t>В виду сего, Отдел Общих Дел предлагает Правлению, незамедлительно, представить квитанцию Петроградского Губернского Казначейства во взнос пропорционального гербового сбора, в сумме 1265 рублей.</w:t>
      </w:r>
    </w:p>
    <w:p w14:paraId="1BC3B403" w14:textId="77777777" w:rsidR="004B4E35" w:rsidRPr="00405303" w:rsidRDefault="009E6F82" w:rsidP="00C15251">
      <w:pPr>
        <w:jc w:val="both"/>
        <w:rPr>
          <w:bCs/>
          <w:color w:val="002060"/>
          <w:sz w:val="16"/>
          <w:szCs w:val="16"/>
        </w:rPr>
      </w:pPr>
      <w:r w:rsidRPr="00405303">
        <w:rPr>
          <w:bCs/>
          <w:color w:val="002060"/>
          <w:sz w:val="16"/>
          <w:szCs w:val="16"/>
        </w:rPr>
        <w:t>Начальник Отдела Общих Дел</w:t>
      </w:r>
    </w:p>
    <w:p w14:paraId="3DDD8CF7" w14:textId="77777777" w:rsidR="004B4E35" w:rsidRPr="00405303" w:rsidRDefault="009E6F82" w:rsidP="00C15251">
      <w:pPr>
        <w:jc w:val="both"/>
        <w:rPr>
          <w:bCs/>
          <w:color w:val="002060"/>
          <w:sz w:val="16"/>
          <w:szCs w:val="16"/>
        </w:rPr>
      </w:pPr>
      <w:r w:rsidRPr="00405303">
        <w:rPr>
          <w:bCs/>
          <w:color w:val="002060"/>
          <w:sz w:val="16"/>
          <w:szCs w:val="16"/>
        </w:rPr>
        <w:t>Генерал-майор (подпись)</w:t>
      </w:r>
    </w:p>
    <w:p w14:paraId="7775AA35" w14:textId="77777777" w:rsidR="004B4E35" w:rsidRPr="00405303" w:rsidRDefault="009E6F82" w:rsidP="00C15251">
      <w:pPr>
        <w:jc w:val="both"/>
        <w:rPr>
          <w:bCs/>
          <w:color w:val="002060"/>
          <w:sz w:val="16"/>
          <w:szCs w:val="16"/>
        </w:rPr>
      </w:pPr>
      <w:r w:rsidRPr="00405303">
        <w:rPr>
          <w:bCs/>
          <w:color w:val="002060"/>
          <w:sz w:val="16"/>
          <w:szCs w:val="16"/>
        </w:rPr>
        <w:t>За Делопроизводителя,</w:t>
      </w:r>
    </w:p>
    <w:p w14:paraId="780FA238" w14:textId="77777777" w:rsidR="004B4E35" w:rsidRPr="00405303" w:rsidRDefault="009E6F82" w:rsidP="00C15251">
      <w:pPr>
        <w:jc w:val="both"/>
        <w:rPr>
          <w:bCs/>
          <w:color w:val="002060"/>
          <w:sz w:val="16"/>
          <w:szCs w:val="16"/>
        </w:rPr>
      </w:pPr>
      <w:r w:rsidRPr="00405303">
        <w:rPr>
          <w:bCs/>
          <w:color w:val="002060"/>
          <w:sz w:val="16"/>
          <w:szCs w:val="16"/>
        </w:rPr>
        <w:t>Коллежский Асессор (подпись) (11869).</w:t>
      </w:r>
    </w:p>
    <w:p w14:paraId="0ACF3F00" w14:textId="77777777" w:rsidR="004B4E35" w:rsidRPr="00405303" w:rsidRDefault="004B4E35" w:rsidP="00C15251">
      <w:pPr>
        <w:jc w:val="both"/>
        <w:rPr>
          <w:bCs/>
          <w:color w:val="002060"/>
          <w:sz w:val="16"/>
          <w:szCs w:val="16"/>
        </w:rPr>
      </w:pPr>
    </w:p>
    <w:p w14:paraId="4BB091D4"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4FD76002" w14:textId="77777777" w:rsidR="004B4E35" w:rsidRPr="00405303" w:rsidRDefault="004B4E35" w:rsidP="00C15251">
      <w:pPr>
        <w:jc w:val="both"/>
        <w:rPr>
          <w:bCs/>
          <w:i/>
          <w:color w:val="002060"/>
          <w:sz w:val="16"/>
          <w:szCs w:val="16"/>
        </w:rPr>
      </w:pPr>
    </w:p>
    <w:p w14:paraId="148B1F72" w14:textId="35898D26" w:rsidR="004B4E35" w:rsidRPr="00405303" w:rsidRDefault="009E6F82" w:rsidP="00C15251">
      <w:pPr>
        <w:jc w:val="both"/>
        <w:rPr>
          <w:bCs/>
          <w:color w:val="002060"/>
          <w:sz w:val="16"/>
          <w:szCs w:val="16"/>
        </w:rPr>
      </w:pPr>
      <w:r w:rsidRPr="00405303">
        <w:rPr>
          <w:bCs/>
          <w:color w:val="002060"/>
          <w:sz w:val="16"/>
          <w:szCs w:val="16"/>
        </w:rPr>
        <w:t xml:space="preserve">16 (29) марта 1915 в Яблонну прибыл из штаба 1-й армии начальник разведотдела капитан Генерального штаба А. А. фон Гоерц с npocьбой командующего провести глубокую разведку немецких тылов в предложенном направлении. Там, по некоторым данным, происходила концентрация немецких поиск, но что-то в этой информации настораживало командование, и оно решило ее перепроверить и уточнить. Выбор Шидловского опять пал на самый опытный экипаж.18 марта 1915 </w:t>
      </w:r>
      <w:r w:rsidRPr="00405303">
        <w:rPr>
          <w:bCs/>
          <w:color w:val="002060"/>
          <w:sz w:val="16"/>
          <w:szCs w:val="16"/>
        </w:rPr>
        <w:lastRenderedPageBreak/>
        <w:t>"Илья Муромец" под командованием капитана Горшкова вылетел по маршруту Яблонна - Вилленберг - Найденбург - Зольдну - Лаутенбург - Страссбург - Тори - Плоцк - Млава - Яблонна протяженностью в 600 верст. На борту кроме штатного экипажа был капитан фон Гоерц. Полет продолжался более пяти часов. Представитель штаба и Наумов тщательно осмотрели все намеченные пункты и сделали около 50 фотоснимков. После обработки и изучения полученных данных выяснилось, что ни о какой концентрации войск противника не может быть и речи. Более того, часть укреплений оголена в связи с переброской войск на другое направление. Стало ясно, что немцы провели активное мероприятие по дезинформации. Русское командование сделало соответствующие выводы. Помощь "Муромца" при этом была неоценима (11230).</w:t>
      </w:r>
    </w:p>
    <w:p w14:paraId="38420F6A" w14:textId="77777777" w:rsidR="004B4E35" w:rsidRPr="00405303" w:rsidRDefault="004B4E35" w:rsidP="00C15251">
      <w:pPr>
        <w:jc w:val="both"/>
        <w:rPr>
          <w:bCs/>
          <w:color w:val="002060"/>
          <w:sz w:val="16"/>
          <w:szCs w:val="16"/>
        </w:rPr>
      </w:pPr>
    </w:p>
    <w:p w14:paraId="5956156C" w14:textId="77777777" w:rsidR="00FB001D" w:rsidRPr="00405303" w:rsidRDefault="00FB001D" w:rsidP="00C15251">
      <w:pPr>
        <w:jc w:val="both"/>
        <w:rPr>
          <w:bCs/>
          <w:i/>
          <w:color w:val="002060"/>
          <w:sz w:val="16"/>
          <w:szCs w:val="16"/>
        </w:rPr>
      </w:pPr>
      <w:r w:rsidRPr="00405303">
        <w:rPr>
          <w:bCs/>
          <w:i/>
          <w:color w:val="002060"/>
          <w:sz w:val="16"/>
          <w:szCs w:val="16"/>
        </w:rPr>
        <w:t>Жизнь и внутренняя политика:</w:t>
      </w:r>
    </w:p>
    <w:p w14:paraId="5680A7C0" w14:textId="77777777" w:rsidR="00FB001D" w:rsidRPr="00405303" w:rsidRDefault="00FB001D" w:rsidP="00C15251">
      <w:pPr>
        <w:jc w:val="both"/>
        <w:rPr>
          <w:bCs/>
          <w:i/>
          <w:color w:val="002060"/>
          <w:sz w:val="16"/>
          <w:szCs w:val="16"/>
        </w:rPr>
      </w:pPr>
    </w:p>
    <w:p w14:paraId="20B05096" w14:textId="6A9F07AA" w:rsidR="00FB001D" w:rsidRPr="00405303" w:rsidRDefault="00FB001D" w:rsidP="00C15251">
      <w:pPr>
        <w:jc w:val="both"/>
        <w:rPr>
          <w:bCs/>
          <w:color w:val="002060"/>
          <w:sz w:val="16"/>
          <w:szCs w:val="16"/>
        </w:rPr>
      </w:pPr>
      <w:r w:rsidRPr="00405303">
        <w:rPr>
          <w:bCs/>
          <w:color w:val="002060"/>
          <w:sz w:val="16"/>
          <w:szCs w:val="16"/>
        </w:rPr>
        <w:t xml:space="preserve">16 </w:t>
      </w:r>
      <w:r w:rsidR="00244A4D" w:rsidRPr="00405303">
        <w:rPr>
          <w:bCs/>
          <w:color w:val="002060"/>
          <w:sz w:val="16"/>
          <w:szCs w:val="16"/>
        </w:rPr>
        <w:t xml:space="preserve">(29) </w:t>
      </w:r>
      <w:r w:rsidRPr="00405303">
        <w:rPr>
          <w:bCs/>
          <w:color w:val="002060"/>
          <w:sz w:val="16"/>
          <w:szCs w:val="16"/>
        </w:rPr>
        <w:t xml:space="preserve">марта в 1915 году распоряжением петроградского градоначальника закрыт артистический подал «Бродячая собака» - пристанище литературной и артистической столичной богемы. Одной из причин стала драка, которую устроил Владимир Маяковский, а также скандал, разразившийся в конце февраля, когда Владимир Маяковский бросил в лицо буржуазной </w:t>
      </w:r>
      <w:proofErr w:type="gramStart"/>
      <w:r w:rsidRPr="00405303">
        <w:rPr>
          <w:bCs/>
          <w:color w:val="002060"/>
          <w:sz w:val="16"/>
          <w:szCs w:val="16"/>
        </w:rPr>
        <w:t>публике:.</w:t>
      </w:r>
      <w:proofErr w:type="gramEnd"/>
    </w:p>
    <w:p w14:paraId="27104A2F" w14:textId="77777777" w:rsidR="00FB001D" w:rsidRPr="00405303" w:rsidRDefault="00FB001D" w:rsidP="00C15251">
      <w:pPr>
        <w:jc w:val="both"/>
        <w:rPr>
          <w:bCs/>
          <w:color w:val="002060"/>
          <w:sz w:val="16"/>
          <w:szCs w:val="16"/>
        </w:rPr>
      </w:pPr>
      <w:r w:rsidRPr="00405303">
        <w:rPr>
          <w:bCs/>
          <w:color w:val="002060"/>
          <w:sz w:val="16"/>
          <w:szCs w:val="16"/>
        </w:rPr>
        <w:t xml:space="preserve">Вам ли, любящим баб да </w:t>
      </w:r>
      <w:proofErr w:type="gramStart"/>
      <w:r w:rsidRPr="00405303">
        <w:rPr>
          <w:bCs/>
          <w:color w:val="002060"/>
          <w:sz w:val="16"/>
          <w:szCs w:val="16"/>
        </w:rPr>
        <w:t>блюда,.</w:t>
      </w:r>
      <w:proofErr w:type="gramEnd"/>
    </w:p>
    <w:p w14:paraId="36FAAFB0" w14:textId="77777777" w:rsidR="00FB001D" w:rsidRPr="00405303" w:rsidRDefault="00FB001D" w:rsidP="00C15251">
      <w:pPr>
        <w:jc w:val="both"/>
        <w:rPr>
          <w:bCs/>
          <w:color w:val="002060"/>
          <w:sz w:val="16"/>
          <w:szCs w:val="16"/>
        </w:rPr>
      </w:pPr>
      <w:r w:rsidRPr="00405303">
        <w:rPr>
          <w:bCs/>
          <w:color w:val="002060"/>
          <w:sz w:val="16"/>
          <w:szCs w:val="16"/>
        </w:rPr>
        <w:t xml:space="preserve">жизнь отдавать в </w:t>
      </w:r>
      <w:proofErr w:type="gramStart"/>
      <w:r w:rsidRPr="00405303">
        <w:rPr>
          <w:bCs/>
          <w:color w:val="002060"/>
          <w:sz w:val="16"/>
          <w:szCs w:val="16"/>
        </w:rPr>
        <w:t>угоду?!.</w:t>
      </w:r>
      <w:proofErr w:type="gramEnd"/>
    </w:p>
    <w:p w14:paraId="4A32B8C5" w14:textId="77777777" w:rsidR="00FB001D" w:rsidRPr="00405303" w:rsidRDefault="00FB001D" w:rsidP="00C15251">
      <w:pPr>
        <w:jc w:val="both"/>
        <w:rPr>
          <w:bCs/>
          <w:color w:val="002060"/>
          <w:sz w:val="16"/>
          <w:szCs w:val="16"/>
        </w:rPr>
      </w:pPr>
      <w:r w:rsidRPr="00405303">
        <w:rPr>
          <w:bCs/>
          <w:color w:val="002060"/>
          <w:sz w:val="16"/>
          <w:szCs w:val="16"/>
        </w:rPr>
        <w:t xml:space="preserve">Я лучше в баре </w:t>
      </w:r>
      <w:proofErr w:type="gramStart"/>
      <w:r w:rsidRPr="00405303">
        <w:rPr>
          <w:bCs/>
          <w:color w:val="002060"/>
          <w:sz w:val="16"/>
          <w:szCs w:val="16"/>
        </w:rPr>
        <w:t>б...</w:t>
      </w:r>
      <w:proofErr w:type="gramEnd"/>
      <w:r w:rsidRPr="00405303">
        <w:rPr>
          <w:bCs/>
          <w:color w:val="002060"/>
          <w:sz w:val="16"/>
          <w:szCs w:val="16"/>
        </w:rPr>
        <w:t xml:space="preserve"> буду.</w:t>
      </w:r>
    </w:p>
    <w:p w14:paraId="16E7427F" w14:textId="77777777" w:rsidR="00FB001D" w:rsidRPr="00405303" w:rsidRDefault="00FB001D" w:rsidP="00C15251">
      <w:pPr>
        <w:jc w:val="both"/>
        <w:rPr>
          <w:bCs/>
          <w:color w:val="002060"/>
          <w:sz w:val="16"/>
          <w:szCs w:val="16"/>
        </w:rPr>
      </w:pPr>
      <w:r w:rsidRPr="00405303">
        <w:rPr>
          <w:bCs/>
          <w:color w:val="002060"/>
          <w:sz w:val="16"/>
          <w:szCs w:val="16"/>
        </w:rPr>
        <w:t>подавать ананасную воду! (15070).</w:t>
      </w:r>
    </w:p>
    <w:p w14:paraId="40EECF50" w14:textId="77777777" w:rsidR="00FB001D" w:rsidRPr="00405303" w:rsidRDefault="00FB001D" w:rsidP="00C15251">
      <w:pPr>
        <w:jc w:val="both"/>
        <w:rPr>
          <w:bCs/>
          <w:color w:val="002060"/>
          <w:sz w:val="16"/>
          <w:szCs w:val="16"/>
        </w:rPr>
      </w:pPr>
    </w:p>
    <w:p w14:paraId="4E93CFBB" w14:textId="6213AF92" w:rsidR="00BE7D40" w:rsidRPr="00405303" w:rsidRDefault="00BE7D40" w:rsidP="00C15251">
      <w:pPr>
        <w:jc w:val="both"/>
        <w:rPr>
          <w:bCs/>
          <w:i/>
          <w:color w:val="002060"/>
          <w:sz w:val="16"/>
          <w:szCs w:val="16"/>
        </w:rPr>
      </w:pPr>
      <w:r w:rsidRPr="00405303">
        <w:rPr>
          <w:bCs/>
          <w:i/>
          <w:color w:val="002060"/>
          <w:sz w:val="16"/>
          <w:szCs w:val="16"/>
        </w:rPr>
        <w:t>Другие оборонные отрасли:</w:t>
      </w:r>
    </w:p>
    <w:p w14:paraId="179513D3" w14:textId="77777777" w:rsidR="00BE7D40" w:rsidRPr="00405303" w:rsidRDefault="00BE7D40" w:rsidP="00C15251">
      <w:pPr>
        <w:jc w:val="both"/>
        <w:rPr>
          <w:bCs/>
          <w:i/>
          <w:color w:val="002060"/>
          <w:sz w:val="16"/>
          <w:szCs w:val="16"/>
        </w:rPr>
      </w:pPr>
    </w:p>
    <w:p w14:paraId="54F80496" w14:textId="77777777" w:rsidR="00BE7D40" w:rsidRPr="00405303" w:rsidRDefault="00BE7D40" w:rsidP="00C15251">
      <w:pPr>
        <w:jc w:val="both"/>
        <w:rPr>
          <w:bCs/>
          <w:color w:val="002060"/>
          <w:sz w:val="16"/>
          <w:szCs w:val="16"/>
          <w:shd w:val="clear" w:color="auto" w:fill="FFFFFF"/>
        </w:rPr>
      </w:pPr>
      <w:r w:rsidRPr="00405303">
        <w:rPr>
          <w:bCs/>
          <w:color w:val="002060"/>
          <w:sz w:val="16"/>
          <w:szCs w:val="16"/>
          <w:shd w:val="clear" w:color="auto" w:fill="FFFFFF"/>
        </w:rPr>
        <w:t>17 (30) марта 1915 г. Технический Комитет по Журналу за № 203 признал, что предлагаемое приспособление… для передвижения повозок по вязкой почве для военного ведомства неприемлемо… Идею повозки Васильева отнюдь нельзя считать русской, т.к. применение бесконечных ведущих лент к повозке было сделано в Америке лет на 10 раньше г. Васильева. В 1912г. в России уже было в работах несколько десятков тракторов гусеничной системы завода Holt». Относительно давности идеи гусеничного трактора и первенства «Холт» с членами Технического Комитета можно поспорить, но это уже не относится к нашей теме. Упомянем только, что военному ведомству тракторы «Холт» были знакомы еще перед войной – в 1913г. они испытывались на главном артиллерийском полигоне (20250).</w:t>
      </w:r>
    </w:p>
    <w:p w14:paraId="49D4D512" w14:textId="77777777" w:rsidR="00BE7D40" w:rsidRPr="00405303" w:rsidRDefault="00BE7D40" w:rsidP="00C15251">
      <w:pPr>
        <w:jc w:val="both"/>
        <w:rPr>
          <w:bCs/>
          <w:color w:val="002060"/>
          <w:sz w:val="16"/>
          <w:szCs w:val="16"/>
          <w:shd w:val="clear" w:color="auto" w:fill="FFFFFF"/>
        </w:rPr>
      </w:pPr>
    </w:p>
    <w:p w14:paraId="0C9D7030" w14:textId="77777777" w:rsidR="002522CB" w:rsidRPr="00405303" w:rsidRDefault="002522CB" w:rsidP="002522CB">
      <w:pPr>
        <w:jc w:val="both"/>
        <w:rPr>
          <w:color w:val="0070C0"/>
          <w:sz w:val="16"/>
          <w:szCs w:val="16"/>
        </w:rPr>
      </w:pPr>
      <w:r w:rsidRPr="00405303">
        <w:rPr>
          <w:color w:val="0070C0"/>
          <w:sz w:val="16"/>
          <w:szCs w:val="16"/>
        </w:rPr>
        <w:t>17 (30) марта 1915 года ГВТУ запросило (за № 1266) штаб верховного главно</w:t>
      </w:r>
      <w:r w:rsidRPr="00405303">
        <w:rPr>
          <w:color w:val="0070C0"/>
          <w:sz w:val="16"/>
          <w:szCs w:val="16"/>
        </w:rPr>
        <w:softHyphen/>
        <w:t>командующего, сколько признается необходимым добавить в табели на время войны микротелефонов и верст телефон</w:t>
      </w:r>
      <w:r w:rsidRPr="00405303">
        <w:rPr>
          <w:color w:val="0070C0"/>
          <w:sz w:val="16"/>
          <w:szCs w:val="16"/>
        </w:rPr>
        <w:softHyphen/>
        <w:t>ного кабеля на каждый пехотный и кавалерийский полк и на каждый штаб дивизии и корпуса. В то же время ГВТУ отметило, что покупки телефонного имущества непо</w:t>
      </w:r>
      <w:r w:rsidRPr="00405303">
        <w:rPr>
          <w:color w:val="0070C0"/>
          <w:sz w:val="16"/>
          <w:szCs w:val="16"/>
        </w:rPr>
        <w:softHyphen/>
        <w:t>средственно частями войск об’ясняются, невидимому, еще и тем, что некоторыми частями войск недостаточно усвоен порядок получения нового телефонного имущества распо</w:t>
      </w:r>
      <w:r w:rsidRPr="00405303">
        <w:rPr>
          <w:color w:val="0070C0"/>
          <w:sz w:val="16"/>
          <w:szCs w:val="16"/>
        </w:rPr>
        <w:softHyphen/>
        <w:t>ряжением начальников инженерных снабжений, и что при</w:t>
      </w:r>
      <w:r w:rsidRPr="00405303">
        <w:rPr>
          <w:color w:val="0070C0"/>
          <w:sz w:val="16"/>
          <w:szCs w:val="16"/>
        </w:rPr>
        <w:softHyphen/>
        <w:t>обретение его путем покупки от фирм, с которыми заклю</w:t>
      </w:r>
      <w:r w:rsidRPr="00405303">
        <w:rPr>
          <w:color w:val="0070C0"/>
          <w:sz w:val="16"/>
          <w:szCs w:val="16"/>
        </w:rPr>
        <w:softHyphen/>
        <w:t>чены ГВТУ контракты, не желательно, так как это затруд</w:t>
      </w:r>
      <w:r w:rsidRPr="00405303">
        <w:rPr>
          <w:color w:val="0070C0"/>
          <w:sz w:val="16"/>
          <w:szCs w:val="16"/>
        </w:rPr>
        <w:softHyphen/>
        <w:t>няет правильное массовое поступление телефонного иму</w:t>
      </w:r>
      <w:r w:rsidRPr="00405303">
        <w:rPr>
          <w:color w:val="0070C0"/>
          <w:sz w:val="16"/>
          <w:szCs w:val="16"/>
        </w:rPr>
        <w:softHyphen/>
        <w:t>щества по заказам Управления и нарушает поэтому правиль</w:t>
      </w:r>
      <w:r w:rsidRPr="00405303">
        <w:rPr>
          <w:color w:val="0070C0"/>
          <w:sz w:val="16"/>
          <w:szCs w:val="16"/>
        </w:rPr>
        <w:softHyphen/>
        <w:t>ное снабжение армии.</w:t>
      </w:r>
    </w:p>
    <w:p w14:paraId="0EE5A926" w14:textId="77777777" w:rsidR="002522CB" w:rsidRPr="00405303" w:rsidRDefault="002522CB" w:rsidP="002522CB">
      <w:pPr>
        <w:jc w:val="both"/>
        <w:rPr>
          <w:color w:val="0070C0"/>
          <w:sz w:val="16"/>
          <w:szCs w:val="16"/>
        </w:rPr>
      </w:pPr>
      <w:r w:rsidRPr="00405303">
        <w:rPr>
          <w:color w:val="0070C0"/>
          <w:sz w:val="16"/>
          <w:szCs w:val="16"/>
        </w:rPr>
        <w:t>В ответ на этот запрос штаб верховного главнокоман</w:t>
      </w:r>
      <w:r w:rsidRPr="00405303">
        <w:rPr>
          <w:color w:val="0070C0"/>
          <w:sz w:val="16"/>
          <w:szCs w:val="16"/>
        </w:rPr>
        <w:softHyphen/>
        <w:t>дующего уведомил 14 июля 1915 года (за № 9854), что же</w:t>
      </w:r>
      <w:r w:rsidRPr="00405303">
        <w:rPr>
          <w:color w:val="0070C0"/>
          <w:sz w:val="16"/>
          <w:szCs w:val="16"/>
        </w:rPr>
        <w:softHyphen/>
        <w:t>лательно добавить -на время войны в табели штабов и вой</w:t>
      </w:r>
      <w:r w:rsidRPr="00405303">
        <w:rPr>
          <w:color w:val="0070C0"/>
          <w:sz w:val="16"/>
          <w:szCs w:val="16"/>
        </w:rPr>
        <w:softHyphen/>
        <w:t>сковых частей телефонное имущество в следующих коли</w:t>
      </w:r>
      <w:r w:rsidRPr="00405303">
        <w:rPr>
          <w:color w:val="0070C0"/>
          <w:sz w:val="16"/>
          <w:szCs w:val="16"/>
        </w:rPr>
        <w:softHyphen/>
        <w:t>чествах:</w:t>
      </w:r>
    </w:p>
    <w:tbl>
      <w:tblPr>
        <w:tblOverlap w:val="never"/>
        <w:tblW w:w="0" w:type="auto"/>
        <w:tblLayout w:type="fixed"/>
        <w:tblCellMar>
          <w:left w:w="10" w:type="dxa"/>
          <w:right w:w="10" w:type="dxa"/>
        </w:tblCellMar>
        <w:tblLook w:val="0000" w:firstRow="0" w:lastRow="0" w:firstColumn="0" w:lastColumn="0" w:noHBand="0" w:noVBand="0"/>
      </w:tblPr>
      <w:tblGrid>
        <w:gridCol w:w="1896"/>
        <w:gridCol w:w="806"/>
        <w:gridCol w:w="811"/>
        <w:gridCol w:w="763"/>
        <w:gridCol w:w="811"/>
        <w:gridCol w:w="811"/>
        <w:gridCol w:w="811"/>
        <w:gridCol w:w="806"/>
      </w:tblGrid>
      <w:tr w:rsidR="002522CB" w:rsidRPr="00405303" w14:paraId="40E198C0" w14:textId="77777777" w:rsidTr="00BD0BCB">
        <w:trPr>
          <w:trHeight w:hRule="exact" w:val="566"/>
        </w:trPr>
        <w:tc>
          <w:tcPr>
            <w:tcW w:w="1896" w:type="dxa"/>
            <w:vMerge w:val="restart"/>
            <w:tcBorders>
              <w:top w:val="single" w:sz="4" w:space="0" w:color="auto"/>
            </w:tcBorders>
            <w:shd w:val="clear" w:color="auto" w:fill="FFFFFF"/>
          </w:tcPr>
          <w:p w14:paraId="1B96C3C4" w14:textId="77777777" w:rsidR="002522CB" w:rsidRPr="00405303" w:rsidRDefault="002522CB" w:rsidP="00BD0BCB">
            <w:pPr>
              <w:rPr>
                <w:color w:val="0070C0"/>
                <w:sz w:val="16"/>
                <w:szCs w:val="16"/>
              </w:rPr>
            </w:pPr>
            <w:r w:rsidRPr="00405303">
              <w:rPr>
                <w:color w:val="0070C0"/>
                <w:sz w:val="16"/>
                <w:szCs w:val="16"/>
              </w:rPr>
              <w:t>Наименование</w:t>
            </w:r>
          </w:p>
          <w:p w14:paraId="01E0E915" w14:textId="77777777" w:rsidR="002522CB" w:rsidRPr="00405303" w:rsidRDefault="002522CB" w:rsidP="00BD0BCB">
            <w:pPr>
              <w:rPr>
                <w:color w:val="0070C0"/>
                <w:sz w:val="16"/>
                <w:szCs w:val="16"/>
              </w:rPr>
            </w:pPr>
            <w:r w:rsidRPr="00405303">
              <w:rPr>
                <w:color w:val="0070C0"/>
                <w:sz w:val="16"/>
                <w:szCs w:val="16"/>
              </w:rPr>
              <w:t>предметов.</w:t>
            </w:r>
          </w:p>
        </w:tc>
        <w:tc>
          <w:tcPr>
            <w:tcW w:w="806" w:type="dxa"/>
            <w:vMerge w:val="restart"/>
            <w:tcBorders>
              <w:top w:val="single" w:sz="4" w:space="0" w:color="auto"/>
              <w:left w:val="single" w:sz="4" w:space="0" w:color="auto"/>
            </w:tcBorders>
            <w:shd w:val="clear" w:color="auto" w:fill="FFFFFF"/>
            <w:textDirection w:val="btLr"/>
          </w:tcPr>
          <w:p w14:paraId="2C5A8AEB" w14:textId="77777777" w:rsidR="002522CB" w:rsidRPr="00405303" w:rsidRDefault="002522CB" w:rsidP="00BD0BCB">
            <w:pPr>
              <w:rPr>
                <w:color w:val="0070C0"/>
                <w:sz w:val="16"/>
                <w:szCs w:val="16"/>
              </w:rPr>
            </w:pPr>
            <w:r w:rsidRPr="00405303">
              <w:rPr>
                <w:color w:val="0070C0"/>
                <w:sz w:val="16"/>
                <w:szCs w:val="16"/>
              </w:rPr>
              <w:t>Пехотному полку.</w:t>
            </w:r>
          </w:p>
        </w:tc>
        <w:tc>
          <w:tcPr>
            <w:tcW w:w="811" w:type="dxa"/>
            <w:vMerge w:val="restart"/>
            <w:tcBorders>
              <w:top w:val="single" w:sz="4" w:space="0" w:color="auto"/>
              <w:left w:val="single" w:sz="4" w:space="0" w:color="auto"/>
            </w:tcBorders>
            <w:shd w:val="clear" w:color="auto" w:fill="FFFFFF"/>
            <w:textDirection w:val="btLr"/>
          </w:tcPr>
          <w:p w14:paraId="28902D5F" w14:textId="77777777" w:rsidR="002522CB" w:rsidRPr="00405303" w:rsidRDefault="002522CB" w:rsidP="00BD0BCB">
            <w:pPr>
              <w:rPr>
                <w:color w:val="0070C0"/>
                <w:sz w:val="16"/>
                <w:szCs w:val="16"/>
              </w:rPr>
            </w:pPr>
            <w:r w:rsidRPr="00405303">
              <w:rPr>
                <w:color w:val="0070C0"/>
                <w:sz w:val="16"/>
                <w:szCs w:val="16"/>
              </w:rPr>
              <w:t>Кавалерийскому полку.</w:t>
            </w:r>
          </w:p>
        </w:tc>
        <w:tc>
          <w:tcPr>
            <w:tcW w:w="1574" w:type="dxa"/>
            <w:gridSpan w:val="2"/>
            <w:tcBorders>
              <w:top w:val="single" w:sz="4" w:space="0" w:color="auto"/>
              <w:left w:val="single" w:sz="4" w:space="0" w:color="auto"/>
            </w:tcBorders>
            <w:shd w:val="clear" w:color="auto" w:fill="FFFFFF"/>
            <w:vAlign w:val="center"/>
          </w:tcPr>
          <w:p w14:paraId="3E295161" w14:textId="77777777" w:rsidR="002522CB" w:rsidRPr="00405303" w:rsidRDefault="002522CB" w:rsidP="00BD0BCB">
            <w:pPr>
              <w:rPr>
                <w:color w:val="0070C0"/>
                <w:sz w:val="16"/>
                <w:szCs w:val="16"/>
              </w:rPr>
            </w:pPr>
            <w:r w:rsidRPr="00405303">
              <w:rPr>
                <w:color w:val="0070C0"/>
                <w:sz w:val="16"/>
                <w:szCs w:val="16"/>
              </w:rPr>
              <w:t>Штабу дивизии.</w:t>
            </w:r>
          </w:p>
        </w:tc>
        <w:tc>
          <w:tcPr>
            <w:tcW w:w="811" w:type="dxa"/>
            <w:vMerge w:val="restart"/>
            <w:tcBorders>
              <w:top w:val="single" w:sz="4" w:space="0" w:color="auto"/>
              <w:left w:val="single" w:sz="4" w:space="0" w:color="auto"/>
            </w:tcBorders>
            <w:shd w:val="clear" w:color="auto" w:fill="FFFFFF"/>
            <w:textDirection w:val="btLr"/>
          </w:tcPr>
          <w:p w14:paraId="5223D519" w14:textId="77777777" w:rsidR="002522CB" w:rsidRPr="00405303" w:rsidRDefault="002522CB" w:rsidP="00BD0BCB">
            <w:pPr>
              <w:rPr>
                <w:color w:val="0070C0"/>
                <w:sz w:val="16"/>
                <w:szCs w:val="16"/>
              </w:rPr>
            </w:pPr>
            <w:r w:rsidRPr="00405303">
              <w:rPr>
                <w:color w:val="0070C0"/>
                <w:sz w:val="16"/>
                <w:szCs w:val="16"/>
              </w:rPr>
              <w:t>Штабу корпуса</w:t>
            </w:r>
          </w:p>
          <w:p w14:paraId="43B2F846" w14:textId="77777777" w:rsidR="002522CB" w:rsidRPr="00405303" w:rsidRDefault="002522CB" w:rsidP="00BD0BCB">
            <w:pPr>
              <w:rPr>
                <w:color w:val="0070C0"/>
                <w:sz w:val="16"/>
                <w:szCs w:val="16"/>
              </w:rPr>
            </w:pPr>
            <w:r w:rsidRPr="00405303">
              <w:rPr>
                <w:color w:val="0070C0"/>
                <w:sz w:val="16"/>
                <w:szCs w:val="16"/>
              </w:rPr>
              <w:t>(кроме кавале</w:t>
            </w:r>
            <w:r w:rsidRPr="00405303">
              <w:rPr>
                <w:color w:val="0070C0"/>
                <w:sz w:val="16"/>
                <w:szCs w:val="16"/>
              </w:rPr>
              <w:softHyphen/>
              <w:t>рийского).</w:t>
            </w:r>
          </w:p>
        </w:tc>
        <w:tc>
          <w:tcPr>
            <w:tcW w:w="811" w:type="dxa"/>
            <w:vMerge w:val="restart"/>
            <w:tcBorders>
              <w:top w:val="single" w:sz="4" w:space="0" w:color="auto"/>
              <w:left w:val="single" w:sz="4" w:space="0" w:color="auto"/>
            </w:tcBorders>
            <w:shd w:val="clear" w:color="auto" w:fill="FFFFFF"/>
            <w:textDirection w:val="btLr"/>
          </w:tcPr>
          <w:p w14:paraId="43EB6740" w14:textId="77777777" w:rsidR="002522CB" w:rsidRPr="00405303" w:rsidRDefault="002522CB" w:rsidP="00BD0BCB">
            <w:pPr>
              <w:rPr>
                <w:color w:val="0070C0"/>
                <w:sz w:val="16"/>
                <w:szCs w:val="16"/>
              </w:rPr>
            </w:pPr>
            <w:r w:rsidRPr="00405303">
              <w:rPr>
                <w:color w:val="0070C0"/>
                <w:sz w:val="16"/>
                <w:szCs w:val="16"/>
              </w:rPr>
              <w:t>Каждой артилле</w:t>
            </w:r>
            <w:r w:rsidRPr="00405303">
              <w:rPr>
                <w:color w:val="0070C0"/>
                <w:sz w:val="16"/>
                <w:szCs w:val="16"/>
              </w:rPr>
              <w:softHyphen/>
              <w:t>рийской бригаде.</w:t>
            </w:r>
          </w:p>
        </w:tc>
        <w:tc>
          <w:tcPr>
            <w:tcW w:w="806" w:type="dxa"/>
            <w:vMerge w:val="restart"/>
            <w:tcBorders>
              <w:top w:val="single" w:sz="4" w:space="0" w:color="auto"/>
              <w:left w:val="single" w:sz="4" w:space="0" w:color="auto"/>
              <w:right w:val="single" w:sz="4" w:space="0" w:color="auto"/>
            </w:tcBorders>
            <w:shd w:val="clear" w:color="auto" w:fill="FFFFFF"/>
            <w:textDirection w:val="btLr"/>
          </w:tcPr>
          <w:p w14:paraId="38E4E994" w14:textId="77777777" w:rsidR="002522CB" w:rsidRPr="00405303" w:rsidRDefault="002522CB" w:rsidP="00BD0BCB">
            <w:pPr>
              <w:rPr>
                <w:color w:val="0070C0"/>
                <w:sz w:val="16"/>
                <w:szCs w:val="16"/>
              </w:rPr>
            </w:pPr>
            <w:r w:rsidRPr="00405303">
              <w:rPr>
                <w:color w:val="0070C0"/>
                <w:sz w:val="16"/>
                <w:szCs w:val="16"/>
              </w:rPr>
              <w:t>Управлению артил</w:t>
            </w:r>
            <w:r w:rsidRPr="00405303">
              <w:rPr>
                <w:color w:val="0070C0"/>
                <w:sz w:val="16"/>
                <w:szCs w:val="16"/>
              </w:rPr>
              <w:softHyphen/>
              <w:t>лерийского диви</w:t>
            </w:r>
            <w:r w:rsidRPr="00405303">
              <w:rPr>
                <w:color w:val="0070C0"/>
                <w:sz w:val="16"/>
                <w:szCs w:val="16"/>
              </w:rPr>
              <w:softHyphen/>
              <w:t>зиона.</w:t>
            </w:r>
          </w:p>
        </w:tc>
      </w:tr>
      <w:tr w:rsidR="002522CB" w:rsidRPr="00405303" w14:paraId="217A4A95" w14:textId="77777777" w:rsidTr="00BD0BCB">
        <w:trPr>
          <w:trHeight w:hRule="exact" w:val="1061"/>
        </w:trPr>
        <w:tc>
          <w:tcPr>
            <w:tcW w:w="1896" w:type="dxa"/>
            <w:vMerge/>
            <w:shd w:val="clear" w:color="auto" w:fill="FFFFFF"/>
          </w:tcPr>
          <w:p w14:paraId="29ADCA41" w14:textId="77777777" w:rsidR="002522CB" w:rsidRPr="00405303" w:rsidRDefault="002522CB" w:rsidP="00BD0BCB">
            <w:pPr>
              <w:rPr>
                <w:color w:val="0070C0"/>
                <w:sz w:val="16"/>
                <w:szCs w:val="16"/>
              </w:rPr>
            </w:pPr>
          </w:p>
        </w:tc>
        <w:tc>
          <w:tcPr>
            <w:tcW w:w="806" w:type="dxa"/>
            <w:vMerge/>
            <w:tcBorders>
              <w:left w:val="single" w:sz="4" w:space="0" w:color="auto"/>
            </w:tcBorders>
            <w:shd w:val="clear" w:color="auto" w:fill="FFFFFF"/>
            <w:textDirection w:val="btLr"/>
          </w:tcPr>
          <w:p w14:paraId="0B34E48D" w14:textId="77777777" w:rsidR="002522CB" w:rsidRPr="00405303" w:rsidRDefault="002522CB" w:rsidP="00BD0BCB">
            <w:pPr>
              <w:rPr>
                <w:color w:val="0070C0"/>
                <w:sz w:val="16"/>
                <w:szCs w:val="16"/>
              </w:rPr>
            </w:pPr>
          </w:p>
        </w:tc>
        <w:tc>
          <w:tcPr>
            <w:tcW w:w="811" w:type="dxa"/>
            <w:vMerge/>
            <w:tcBorders>
              <w:left w:val="single" w:sz="4" w:space="0" w:color="auto"/>
            </w:tcBorders>
            <w:shd w:val="clear" w:color="auto" w:fill="FFFFFF"/>
            <w:textDirection w:val="btLr"/>
          </w:tcPr>
          <w:p w14:paraId="0730ACE6" w14:textId="77777777" w:rsidR="002522CB" w:rsidRPr="00405303" w:rsidRDefault="002522CB" w:rsidP="00BD0BCB">
            <w:pPr>
              <w:rPr>
                <w:color w:val="0070C0"/>
                <w:sz w:val="16"/>
                <w:szCs w:val="16"/>
              </w:rPr>
            </w:pPr>
          </w:p>
        </w:tc>
        <w:tc>
          <w:tcPr>
            <w:tcW w:w="763" w:type="dxa"/>
            <w:tcBorders>
              <w:top w:val="single" w:sz="4" w:space="0" w:color="auto"/>
              <w:left w:val="single" w:sz="4" w:space="0" w:color="auto"/>
            </w:tcBorders>
            <w:shd w:val="clear" w:color="auto" w:fill="FFFFFF"/>
            <w:textDirection w:val="btLr"/>
          </w:tcPr>
          <w:p w14:paraId="7165A574" w14:textId="77777777" w:rsidR="002522CB" w:rsidRPr="00405303" w:rsidRDefault="002522CB" w:rsidP="00BD0BCB">
            <w:pPr>
              <w:rPr>
                <w:color w:val="0070C0"/>
                <w:sz w:val="16"/>
                <w:szCs w:val="16"/>
              </w:rPr>
            </w:pPr>
            <w:r w:rsidRPr="00405303">
              <w:rPr>
                <w:color w:val="0070C0"/>
                <w:sz w:val="16"/>
                <w:szCs w:val="16"/>
              </w:rPr>
              <w:t>Пехотной.</w:t>
            </w:r>
          </w:p>
        </w:tc>
        <w:tc>
          <w:tcPr>
            <w:tcW w:w="811" w:type="dxa"/>
            <w:tcBorders>
              <w:top w:val="single" w:sz="4" w:space="0" w:color="auto"/>
              <w:left w:val="single" w:sz="4" w:space="0" w:color="auto"/>
            </w:tcBorders>
            <w:shd w:val="clear" w:color="auto" w:fill="FFFFFF"/>
            <w:textDirection w:val="btLr"/>
          </w:tcPr>
          <w:p w14:paraId="6389524B" w14:textId="77777777" w:rsidR="002522CB" w:rsidRPr="00405303" w:rsidRDefault="002522CB" w:rsidP="00BD0BCB">
            <w:pPr>
              <w:rPr>
                <w:color w:val="0070C0"/>
                <w:sz w:val="16"/>
                <w:szCs w:val="16"/>
              </w:rPr>
            </w:pPr>
            <w:r w:rsidRPr="00405303">
              <w:rPr>
                <w:color w:val="0070C0"/>
                <w:sz w:val="16"/>
                <w:szCs w:val="16"/>
              </w:rPr>
              <w:t>Кавалерий</w:t>
            </w:r>
            <w:r w:rsidRPr="00405303">
              <w:rPr>
                <w:color w:val="0070C0"/>
                <w:sz w:val="16"/>
                <w:szCs w:val="16"/>
              </w:rPr>
              <w:softHyphen/>
              <w:t>ской.</w:t>
            </w:r>
          </w:p>
        </w:tc>
        <w:tc>
          <w:tcPr>
            <w:tcW w:w="811" w:type="dxa"/>
            <w:vMerge/>
            <w:tcBorders>
              <w:left w:val="single" w:sz="4" w:space="0" w:color="auto"/>
            </w:tcBorders>
            <w:shd w:val="clear" w:color="auto" w:fill="FFFFFF"/>
            <w:textDirection w:val="btLr"/>
          </w:tcPr>
          <w:p w14:paraId="2626EA87" w14:textId="77777777" w:rsidR="002522CB" w:rsidRPr="00405303" w:rsidRDefault="002522CB" w:rsidP="00BD0BCB">
            <w:pPr>
              <w:rPr>
                <w:color w:val="0070C0"/>
                <w:sz w:val="16"/>
                <w:szCs w:val="16"/>
              </w:rPr>
            </w:pPr>
          </w:p>
        </w:tc>
        <w:tc>
          <w:tcPr>
            <w:tcW w:w="811" w:type="dxa"/>
            <w:vMerge/>
            <w:tcBorders>
              <w:left w:val="single" w:sz="4" w:space="0" w:color="auto"/>
            </w:tcBorders>
            <w:shd w:val="clear" w:color="auto" w:fill="FFFFFF"/>
            <w:textDirection w:val="btLr"/>
          </w:tcPr>
          <w:p w14:paraId="3E000A5F" w14:textId="77777777" w:rsidR="002522CB" w:rsidRPr="00405303" w:rsidRDefault="002522CB" w:rsidP="00BD0BCB">
            <w:pPr>
              <w:rPr>
                <w:color w:val="0070C0"/>
                <w:sz w:val="16"/>
                <w:szCs w:val="16"/>
              </w:rPr>
            </w:pPr>
          </w:p>
        </w:tc>
        <w:tc>
          <w:tcPr>
            <w:tcW w:w="806" w:type="dxa"/>
            <w:vMerge/>
            <w:tcBorders>
              <w:left w:val="single" w:sz="4" w:space="0" w:color="auto"/>
              <w:right w:val="single" w:sz="4" w:space="0" w:color="auto"/>
            </w:tcBorders>
            <w:shd w:val="clear" w:color="auto" w:fill="FFFFFF"/>
            <w:textDirection w:val="btLr"/>
          </w:tcPr>
          <w:p w14:paraId="229AA35F" w14:textId="77777777" w:rsidR="002522CB" w:rsidRPr="00405303" w:rsidRDefault="002522CB" w:rsidP="00BD0BCB">
            <w:pPr>
              <w:rPr>
                <w:color w:val="0070C0"/>
                <w:sz w:val="16"/>
                <w:szCs w:val="16"/>
              </w:rPr>
            </w:pPr>
          </w:p>
        </w:tc>
      </w:tr>
      <w:tr w:rsidR="002522CB" w:rsidRPr="00405303" w14:paraId="255BDF58" w14:textId="77777777" w:rsidTr="00BD0BCB">
        <w:trPr>
          <w:trHeight w:hRule="exact" w:val="1978"/>
        </w:trPr>
        <w:tc>
          <w:tcPr>
            <w:tcW w:w="1896" w:type="dxa"/>
            <w:tcBorders>
              <w:top w:val="single" w:sz="4" w:space="0" w:color="auto"/>
            </w:tcBorders>
            <w:shd w:val="clear" w:color="auto" w:fill="FFFFFF"/>
            <w:vAlign w:val="bottom"/>
          </w:tcPr>
          <w:p w14:paraId="6B8BEC26" w14:textId="77777777" w:rsidR="002522CB" w:rsidRPr="00405303" w:rsidRDefault="002522CB" w:rsidP="00BD0BCB">
            <w:pPr>
              <w:rPr>
                <w:color w:val="0070C0"/>
                <w:sz w:val="16"/>
                <w:szCs w:val="16"/>
              </w:rPr>
            </w:pPr>
            <w:r w:rsidRPr="00405303">
              <w:rPr>
                <w:color w:val="0070C0"/>
                <w:sz w:val="16"/>
                <w:szCs w:val="16"/>
              </w:rPr>
              <w:t>Полевых микроте- лефонных аппа</w:t>
            </w:r>
            <w:r w:rsidRPr="00405303">
              <w:rPr>
                <w:color w:val="0070C0"/>
                <w:sz w:val="16"/>
                <w:szCs w:val="16"/>
              </w:rPr>
              <w:softHyphen/>
              <w:t>ратов с фониче</w:t>
            </w:r>
            <w:r w:rsidRPr="00405303">
              <w:rPr>
                <w:color w:val="0070C0"/>
                <w:sz w:val="16"/>
                <w:szCs w:val="16"/>
              </w:rPr>
              <w:softHyphen/>
              <w:t>ским вызовом со всеми принадле</w:t>
            </w:r>
            <w:r w:rsidRPr="00405303">
              <w:rPr>
                <w:color w:val="0070C0"/>
                <w:sz w:val="16"/>
                <w:szCs w:val="16"/>
              </w:rPr>
              <w:softHyphen/>
              <w:t>жностями и эле</w:t>
            </w:r>
            <w:r w:rsidRPr="00405303">
              <w:rPr>
                <w:color w:val="0070C0"/>
                <w:sz w:val="16"/>
                <w:szCs w:val="16"/>
              </w:rPr>
              <w:softHyphen/>
              <w:t>ментами в полу</w:t>
            </w:r>
            <w:r w:rsidRPr="00405303">
              <w:rPr>
                <w:color w:val="0070C0"/>
                <w:sz w:val="16"/>
                <w:szCs w:val="16"/>
              </w:rPr>
              <w:softHyphen/>
              <w:t>собранном виде.</w:t>
            </w:r>
          </w:p>
        </w:tc>
        <w:tc>
          <w:tcPr>
            <w:tcW w:w="806" w:type="dxa"/>
            <w:tcBorders>
              <w:top w:val="single" w:sz="4" w:space="0" w:color="auto"/>
              <w:left w:val="single" w:sz="4" w:space="0" w:color="auto"/>
            </w:tcBorders>
            <w:shd w:val="clear" w:color="auto" w:fill="FFFFFF"/>
            <w:vAlign w:val="bottom"/>
          </w:tcPr>
          <w:p w14:paraId="71EF6C95" w14:textId="77777777" w:rsidR="002522CB" w:rsidRPr="00405303" w:rsidRDefault="002522CB" w:rsidP="00BD0BCB">
            <w:pPr>
              <w:rPr>
                <w:color w:val="0070C0"/>
                <w:sz w:val="16"/>
                <w:szCs w:val="16"/>
              </w:rPr>
            </w:pPr>
            <w:r w:rsidRPr="00405303">
              <w:rPr>
                <w:color w:val="0070C0"/>
                <w:sz w:val="16"/>
                <w:szCs w:val="16"/>
              </w:rPr>
              <w:t>5</w:t>
            </w:r>
          </w:p>
        </w:tc>
        <w:tc>
          <w:tcPr>
            <w:tcW w:w="811" w:type="dxa"/>
            <w:tcBorders>
              <w:top w:val="single" w:sz="4" w:space="0" w:color="auto"/>
              <w:left w:val="single" w:sz="4" w:space="0" w:color="auto"/>
            </w:tcBorders>
            <w:shd w:val="clear" w:color="auto" w:fill="FFFFFF"/>
            <w:vAlign w:val="bottom"/>
          </w:tcPr>
          <w:p w14:paraId="092576DC" w14:textId="77777777" w:rsidR="002522CB" w:rsidRPr="00405303" w:rsidRDefault="002522CB" w:rsidP="00BD0BCB">
            <w:pPr>
              <w:rPr>
                <w:color w:val="0070C0"/>
                <w:sz w:val="16"/>
                <w:szCs w:val="16"/>
              </w:rPr>
            </w:pPr>
            <w:r w:rsidRPr="00405303">
              <w:rPr>
                <w:color w:val="0070C0"/>
                <w:sz w:val="16"/>
                <w:szCs w:val="16"/>
              </w:rPr>
              <w:t>4</w:t>
            </w:r>
          </w:p>
        </w:tc>
        <w:tc>
          <w:tcPr>
            <w:tcW w:w="763" w:type="dxa"/>
            <w:tcBorders>
              <w:top w:val="single" w:sz="4" w:space="0" w:color="auto"/>
              <w:left w:val="single" w:sz="4" w:space="0" w:color="auto"/>
            </w:tcBorders>
            <w:shd w:val="clear" w:color="auto" w:fill="FFFFFF"/>
            <w:vAlign w:val="bottom"/>
          </w:tcPr>
          <w:p w14:paraId="7D4D8A98" w14:textId="77777777" w:rsidR="002522CB" w:rsidRPr="00405303" w:rsidRDefault="002522CB" w:rsidP="00BD0BCB">
            <w:pPr>
              <w:rPr>
                <w:color w:val="0070C0"/>
                <w:sz w:val="16"/>
                <w:szCs w:val="16"/>
              </w:rPr>
            </w:pPr>
            <w:r w:rsidRPr="00405303">
              <w:rPr>
                <w:color w:val="0070C0"/>
                <w:sz w:val="16"/>
                <w:szCs w:val="16"/>
              </w:rPr>
              <w:t>3</w:t>
            </w:r>
          </w:p>
        </w:tc>
        <w:tc>
          <w:tcPr>
            <w:tcW w:w="811" w:type="dxa"/>
            <w:tcBorders>
              <w:top w:val="single" w:sz="4" w:space="0" w:color="auto"/>
              <w:left w:val="single" w:sz="4" w:space="0" w:color="auto"/>
            </w:tcBorders>
            <w:shd w:val="clear" w:color="auto" w:fill="FFFFFF"/>
            <w:vAlign w:val="bottom"/>
          </w:tcPr>
          <w:p w14:paraId="22CADDA9" w14:textId="77777777" w:rsidR="002522CB" w:rsidRPr="00405303" w:rsidRDefault="002522CB" w:rsidP="00BD0BCB">
            <w:pPr>
              <w:rPr>
                <w:color w:val="0070C0"/>
                <w:sz w:val="16"/>
                <w:szCs w:val="16"/>
              </w:rPr>
            </w:pPr>
            <w:r w:rsidRPr="00405303">
              <w:rPr>
                <w:color w:val="0070C0"/>
                <w:sz w:val="16"/>
                <w:szCs w:val="16"/>
              </w:rPr>
              <w:t>3</w:t>
            </w:r>
          </w:p>
        </w:tc>
        <w:tc>
          <w:tcPr>
            <w:tcW w:w="811" w:type="dxa"/>
            <w:tcBorders>
              <w:top w:val="single" w:sz="4" w:space="0" w:color="auto"/>
              <w:left w:val="single" w:sz="4" w:space="0" w:color="auto"/>
            </w:tcBorders>
            <w:shd w:val="clear" w:color="auto" w:fill="FFFFFF"/>
            <w:vAlign w:val="bottom"/>
          </w:tcPr>
          <w:p w14:paraId="5BA65A5C" w14:textId="77777777" w:rsidR="002522CB" w:rsidRPr="00405303" w:rsidRDefault="002522CB" w:rsidP="00BD0BCB">
            <w:pPr>
              <w:rPr>
                <w:color w:val="0070C0"/>
                <w:sz w:val="16"/>
                <w:szCs w:val="16"/>
              </w:rPr>
            </w:pPr>
            <w:r w:rsidRPr="00405303">
              <w:rPr>
                <w:color w:val="0070C0"/>
                <w:sz w:val="16"/>
                <w:szCs w:val="16"/>
              </w:rPr>
              <w:t>5</w:t>
            </w:r>
          </w:p>
        </w:tc>
        <w:tc>
          <w:tcPr>
            <w:tcW w:w="811" w:type="dxa"/>
            <w:tcBorders>
              <w:top w:val="single" w:sz="4" w:space="0" w:color="auto"/>
              <w:left w:val="single" w:sz="4" w:space="0" w:color="auto"/>
            </w:tcBorders>
            <w:shd w:val="clear" w:color="auto" w:fill="FFFFFF"/>
            <w:vAlign w:val="bottom"/>
          </w:tcPr>
          <w:p w14:paraId="17E55D95" w14:textId="77777777" w:rsidR="002522CB" w:rsidRPr="00405303" w:rsidRDefault="002522CB" w:rsidP="00BD0BCB">
            <w:pPr>
              <w:rPr>
                <w:color w:val="0070C0"/>
                <w:sz w:val="16"/>
                <w:szCs w:val="16"/>
              </w:rPr>
            </w:pPr>
            <w:r w:rsidRPr="00405303">
              <w:rPr>
                <w:color w:val="0070C0"/>
                <w:sz w:val="16"/>
                <w:szCs w:val="16"/>
              </w:rPr>
              <w:t>2</w:t>
            </w:r>
          </w:p>
        </w:tc>
        <w:tc>
          <w:tcPr>
            <w:tcW w:w="806" w:type="dxa"/>
            <w:tcBorders>
              <w:top w:val="single" w:sz="4" w:space="0" w:color="auto"/>
              <w:left w:val="single" w:sz="4" w:space="0" w:color="auto"/>
              <w:right w:val="single" w:sz="4" w:space="0" w:color="auto"/>
            </w:tcBorders>
            <w:shd w:val="clear" w:color="auto" w:fill="FFFFFF"/>
            <w:vAlign w:val="bottom"/>
          </w:tcPr>
          <w:p w14:paraId="5543CEA8" w14:textId="77777777" w:rsidR="002522CB" w:rsidRPr="00405303" w:rsidRDefault="002522CB" w:rsidP="00BD0BCB">
            <w:pPr>
              <w:rPr>
                <w:color w:val="0070C0"/>
                <w:sz w:val="16"/>
                <w:szCs w:val="16"/>
              </w:rPr>
            </w:pPr>
            <w:r w:rsidRPr="00405303">
              <w:rPr>
                <w:color w:val="0070C0"/>
                <w:sz w:val="16"/>
                <w:szCs w:val="16"/>
              </w:rPr>
              <w:t>3</w:t>
            </w:r>
          </w:p>
        </w:tc>
      </w:tr>
      <w:tr w:rsidR="002522CB" w:rsidRPr="00405303" w14:paraId="3ED4C508" w14:textId="77777777" w:rsidTr="00BD0BCB">
        <w:trPr>
          <w:trHeight w:hRule="exact" w:val="610"/>
        </w:trPr>
        <w:tc>
          <w:tcPr>
            <w:tcW w:w="1896" w:type="dxa"/>
            <w:shd w:val="clear" w:color="auto" w:fill="FFFFFF"/>
            <w:vAlign w:val="bottom"/>
          </w:tcPr>
          <w:p w14:paraId="5094046A" w14:textId="77777777" w:rsidR="002522CB" w:rsidRPr="00405303" w:rsidRDefault="002522CB" w:rsidP="00BD0BCB">
            <w:pPr>
              <w:jc w:val="both"/>
              <w:rPr>
                <w:color w:val="0070C0"/>
                <w:sz w:val="16"/>
                <w:szCs w:val="16"/>
              </w:rPr>
            </w:pPr>
            <w:r w:rsidRPr="00405303">
              <w:rPr>
                <w:color w:val="0070C0"/>
                <w:sz w:val="16"/>
                <w:szCs w:val="16"/>
              </w:rPr>
              <w:t>Полевого телефон</w:t>
            </w:r>
            <w:r w:rsidRPr="00405303">
              <w:rPr>
                <w:color w:val="0070C0"/>
                <w:sz w:val="16"/>
                <w:szCs w:val="16"/>
              </w:rPr>
              <w:softHyphen/>
              <w:t>ного проводника верст (километр.).</w:t>
            </w:r>
          </w:p>
        </w:tc>
        <w:tc>
          <w:tcPr>
            <w:tcW w:w="806" w:type="dxa"/>
            <w:tcBorders>
              <w:left w:val="single" w:sz="4" w:space="0" w:color="auto"/>
            </w:tcBorders>
            <w:shd w:val="clear" w:color="auto" w:fill="FFFFFF"/>
            <w:vAlign w:val="bottom"/>
          </w:tcPr>
          <w:p w14:paraId="597A415B" w14:textId="77777777" w:rsidR="002522CB" w:rsidRPr="00405303" w:rsidRDefault="002522CB" w:rsidP="00BD0BCB">
            <w:pPr>
              <w:jc w:val="both"/>
              <w:rPr>
                <w:color w:val="0070C0"/>
                <w:sz w:val="16"/>
                <w:szCs w:val="16"/>
              </w:rPr>
            </w:pPr>
            <w:r w:rsidRPr="00405303">
              <w:rPr>
                <w:color w:val="0070C0"/>
                <w:sz w:val="16"/>
                <w:szCs w:val="16"/>
              </w:rPr>
              <w:t>10</w:t>
            </w:r>
          </w:p>
        </w:tc>
        <w:tc>
          <w:tcPr>
            <w:tcW w:w="811" w:type="dxa"/>
            <w:tcBorders>
              <w:left w:val="single" w:sz="4" w:space="0" w:color="auto"/>
            </w:tcBorders>
            <w:shd w:val="clear" w:color="auto" w:fill="FFFFFF"/>
            <w:vAlign w:val="bottom"/>
          </w:tcPr>
          <w:p w14:paraId="422A1AA6" w14:textId="77777777" w:rsidR="002522CB" w:rsidRPr="00405303" w:rsidRDefault="002522CB" w:rsidP="00BD0BCB">
            <w:pPr>
              <w:jc w:val="both"/>
              <w:rPr>
                <w:color w:val="0070C0"/>
                <w:sz w:val="16"/>
                <w:szCs w:val="16"/>
              </w:rPr>
            </w:pPr>
            <w:r w:rsidRPr="00405303">
              <w:rPr>
                <w:color w:val="0070C0"/>
                <w:sz w:val="16"/>
                <w:szCs w:val="16"/>
              </w:rPr>
              <w:t>10</w:t>
            </w:r>
          </w:p>
        </w:tc>
        <w:tc>
          <w:tcPr>
            <w:tcW w:w="763" w:type="dxa"/>
            <w:tcBorders>
              <w:left w:val="single" w:sz="4" w:space="0" w:color="auto"/>
            </w:tcBorders>
            <w:shd w:val="clear" w:color="auto" w:fill="FFFFFF"/>
            <w:vAlign w:val="bottom"/>
          </w:tcPr>
          <w:p w14:paraId="644D1CEE" w14:textId="77777777" w:rsidR="002522CB" w:rsidRPr="00405303" w:rsidRDefault="002522CB" w:rsidP="00BD0BCB">
            <w:pPr>
              <w:jc w:val="both"/>
              <w:rPr>
                <w:color w:val="0070C0"/>
                <w:sz w:val="16"/>
                <w:szCs w:val="16"/>
              </w:rPr>
            </w:pPr>
            <w:r w:rsidRPr="00405303">
              <w:rPr>
                <w:color w:val="0070C0"/>
                <w:sz w:val="16"/>
                <w:szCs w:val="16"/>
              </w:rPr>
              <w:t>6</w:t>
            </w:r>
          </w:p>
        </w:tc>
        <w:tc>
          <w:tcPr>
            <w:tcW w:w="811" w:type="dxa"/>
            <w:tcBorders>
              <w:left w:val="single" w:sz="4" w:space="0" w:color="auto"/>
            </w:tcBorders>
            <w:shd w:val="clear" w:color="auto" w:fill="FFFFFF"/>
            <w:vAlign w:val="bottom"/>
          </w:tcPr>
          <w:p w14:paraId="7D5BD35D" w14:textId="77777777" w:rsidR="002522CB" w:rsidRPr="00405303" w:rsidRDefault="002522CB" w:rsidP="00BD0BCB">
            <w:pPr>
              <w:jc w:val="both"/>
              <w:rPr>
                <w:color w:val="0070C0"/>
                <w:sz w:val="16"/>
                <w:szCs w:val="16"/>
              </w:rPr>
            </w:pPr>
            <w:r w:rsidRPr="00405303">
              <w:rPr>
                <w:color w:val="0070C0"/>
                <w:sz w:val="16"/>
                <w:szCs w:val="16"/>
              </w:rPr>
              <w:t>10</w:t>
            </w:r>
          </w:p>
        </w:tc>
        <w:tc>
          <w:tcPr>
            <w:tcW w:w="811" w:type="dxa"/>
            <w:tcBorders>
              <w:left w:val="single" w:sz="4" w:space="0" w:color="auto"/>
            </w:tcBorders>
            <w:shd w:val="clear" w:color="auto" w:fill="FFFFFF"/>
            <w:vAlign w:val="bottom"/>
          </w:tcPr>
          <w:p w14:paraId="46C88F1F" w14:textId="77777777" w:rsidR="002522CB" w:rsidRPr="00405303" w:rsidRDefault="002522CB" w:rsidP="00BD0BCB">
            <w:pPr>
              <w:jc w:val="both"/>
              <w:rPr>
                <w:color w:val="0070C0"/>
                <w:sz w:val="16"/>
                <w:szCs w:val="16"/>
              </w:rPr>
            </w:pPr>
            <w:r w:rsidRPr="00405303">
              <w:rPr>
                <w:color w:val="0070C0"/>
                <w:sz w:val="16"/>
                <w:szCs w:val="16"/>
              </w:rPr>
              <w:t>10</w:t>
            </w:r>
          </w:p>
        </w:tc>
        <w:tc>
          <w:tcPr>
            <w:tcW w:w="811" w:type="dxa"/>
            <w:tcBorders>
              <w:left w:val="single" w:sz="4" w:space="0" w:color="auto"/>
            </w:tcBorders>
            <w:shd w:val="clear" w:color="auto" w:fill="FFFFFF"/>
            <w:vAlign w:val="bottom"/>
          </w:tcPr>
          <w:p w14:paraId="17276750" w14:textId="77777777" w:rsidR="002522CB" w:rsidRPr="00405303" w:rsidRDefault="002522CB" w:rsidP="00BD0BCB">
            <w:pPr>
              <w:jc w:val="both"/>
              <w:rPr>
                <w:color w:val="0070C0"/>
                <w:sz w:val="16"/>
                <w:szCs w:val="16"/>
              </w:rPr>
            </w:pPr>
            <w:r w:rsidRPr="00405303">
              <w:rPr>
                <w:color w:val="0070C0"/>
                <w:sz w:val="16"/>
                <w:szCs w:val="16"/>
              </w:rPr>
              <w:t>4</w:t>
            </w:r>
          </w:p>
        </w:tc>
        <w:tc>
          <w:tcPr>
            <w:tcW w:w="806" w:type="dxa"/>
            <w:tcBorders>
              <w:left w:val="single" w:sz="4" w:space="0" w:color="auto"/>
              <w:right w:val="single" w:sz="4" w:space="0" w:color="auto"/>
            </w:tcBorders>
            <w:shd w:val="clear" w:color="auto" w:fill="FFFFFF"/>
            <w:vAlign w:val="bottom"/>
          </w:tcPr>
          <w:p w14:paraId="5DB333BD" w14:textId="77777777" w:rsidR="002522CB" w:rsidRPr="00405303" w:rsidRDefault="002522CB" w:rsidP="00BD0BCB">
            <w:pPr>
              <w:jc w:val="both"/>
              <w:rPr>
                <w:color w:val="0070C0"/>
                <w:sz w:val="16"/>
                <w:szCs w:val="16"/>
              </w:rPr>
            </w:pPr>
            <w:r w:rsidRPr="00405303">
              <w:rPr>
                <w:color w:val="0070C0"/>
                <w:sz w:val="16"/>
                <w:szCs w:val="16"/>
              </w:rPr>
              <w:t>8</w:t>
            </w:r>
          </w:p>
        </w:tc>
      </w:tr>
      <w:tr w:rsidR="002522CB" w:rsidRPr="00405303" w14:paraId="54C3673C" w14:textId="77777777" w:rsidTr="00BD0BCB">
        <w:trPr>
          <w:trHeight w:hRule="exact" w:val="682"/>
        </w:trPr>
        <w:tc>
          <w:tcPr>
            <w:tcW w:w="1896" w:type="dxa"/>
            <w:shd w:val="clear" w:color="auto" w:fill="FFFFFF"/>
            <w:vAlign w:val="center"/>
          </w:tcPr>
          <w:p w14:paraId="0397A8EA" w14:textId="77777777" w:rsidR="002522CB" w:rsidRPr="00405303" w:rsidRDefault="002522CB" w:rsidP="00BD0BCB">
            <w:pPr>
              <w:jc w:val="both"/>
              <w:rPr>
                <w:color w:val="0070C0"/>
                <w:sz w:val="16"/>
                <w:szCs w:val="16"/>
              </w:rPr>
            </w:pPr>
          </w:p>
        </w:tc>
        <w:tc>
          <w:tcPr>
            <w:tcW w:w="806" w:type="dxa"/>
            <w:tcBorders>
              <w:left w:val="single" w:sz="4" w:space="0" w:color="auto"/>
            </w:tcBorders>
            <w:shd w:val="clear" w:color="auto" w:fill="FFFFFF"/>
          </w:tcPr>
          <w:p w14:paraId="6C37C6C9" w14:textId="77777777" w:rsidR="002522CB" w:rsidRPr="00405303" w:rsidRDefault="002522CB" w:rsidP="00BD0BCB">
            <w:pPr>
              <w:jc w:val="both"/>
              <w:rPr>
                <w:color w:val="0070C0"/>
                <w:sz w:val="16"/>
                <w:szCs w:val="16"/>
              </w:rPr>
            </w:pPr>
            <w:r w:rsidRPr="00405303">
              <w:rPr>
                <w:color w:val="0070C0"/>
                <w:sz w:val="16"/>
                <w:szCs w:val="16"/>
              </w:rPr>
              <w:t>(10,6 км.).</w:t>
            </w:r>
          </w:p>
        </w:tc>
        <w:tc>
          <w:tcPr>
            <w:tcW w:w="811" w:type="dxa"/>
            <w:tcBorders>
              <w:left w:val="single" w:sz="4" w:space="0" w:color="auto"/>
            </w:tcBorders>
            <w:shd w:val="clear" w:color="auto" w:fill="FFFFFF"/>
          </w:tcPr>
          <w:p w14:paraId="32D20C8C" w14:textId="77777777" w:rsidR="002522CB" w:rsidRPr="00405303" w:rsidRDefault="002522CB" w:rsidP="00BD0BCB">
            <w:pPr>
              <w:jc w:val="both"/>
              <w:rPr>
                <w:color w:val="0070C0"/>
                <w:sz w:val="16"/>
                <w:szCs w:val="16"/>
              </w:rPr>
            </w:pPr>
            <w:r w:rsidRPr="00405303">
              <w:rPr>
                <w:color w:val="0070C0"/>
                <w:sz w:val="16"/>
                <w:szCs w:val="16"/>
              </w:rPr>
              <w:t>(10,6 км.).</w:t>
            </w:r>
          </w:p>
        </w:tc>
        <w:tc>
          <w:tcPr>
            <w:tcW w:w="763" w:type="dxa"/>
            <w:tcBorders>
              <w:left w:val="single" w:sz="4" w:space="0" w:color="auto"/>
            </w:tcBorders>
            <w:shd w:val="clear" w:color="auto" w:fill="FFFFFF"/>
          </w:tcPr>
          <w:p w14:paraId="3F3836B1" w14:textId="77777777" w:rsidR="002522CB" w:rsidRPr="00405303" w:rsidRDefault="002522CB" w:rsidP="00BD0BCB">
            <w:pPr>
              <w:jc w:val="both"/>
              <w:rPr>
                <w:color w:val="0070C0"/>
                <w:sz w:val="16"/>
                <w:szCs w:val="16"/>
              </w:rPr>
            </w:pPr>
            <w:r w:rsidRPr="00405303">
              <w:rPr>
                <w:color w:val="0070C0"/>
                <w:sz w:val="16"/>
                <w:szCs w:val="16"/>
              </w:rPr>
              <w:t>(6,3 км.).</w:t>
            </w:r>
          </w:p>
        </w:tc>
        <w:tc>
          <w:tcPr>
            <w:tcW w:w="811" w:type="dxa"/>
            <w:tcBorders>
              <w:left w:val="single" w:sz="4" w:space="0" w:color="auto"/>
            </w:tcBorders>
            <w:shd w:val="clear" w:color="auto" w:fill="FFFFFF"/>
          </w:tcPr>
          <w:p w14:paraId="6A970A5A" w14:textId="77777777" w:rsidR="002522CB" w:rsidRPr="00405303" w:rsidRDefault="002522CB" w:rsidP="00BD0BCB">
            <w:pPr>
              <w:jc w:val="both"/>
              <w:rPr>
                <w:color w:val="0070C0"/>
                <w:sz w:val="16"/>
                <w:szCs w:val="16"/>
              </w:rPr>
            </w:pPr>
            <w:r w:rsidRPr="00405303">
              <w:rPr>
                <w:color w:val="0070C0"/>
                <w:sz w:val="16"/>
                <w:szCs w:val="16"/>
              </w:rPr>
              <w:t>(10,6 км.).</w:t>
            </w:r>
          </w:p>
        </w:tc>
        <w:tc>
          <w:tcPr>
            <w:tcW w:w="811" w:type="dxa"/>
            <w:tcBorders>
              <w:left w:val="single" w:sz="4" w:space="0" w:color="auto"/>
            </w:tcBorders>
            <w:shd w:val="clear" w:color="auto" w:fill="FFFFFF"/>
          </w:tcPr>
          <w:p w14:paraId="3F7507AC" w14:textId="77777777" w:rsidR="002522CB" w:rsidRPr="00405303" w:rsidRDefault="002522CB" w:rsidP="00BD0BCB">
            <w:pPr>
              <w:jc w:val="both"/>
              <w:rPr>
                <w:color w:val="0070C0"/>
                <w:sz w:val="16"/>
                <w:szCs w:val="16"/>
              </w:rPr>
            </w:pPr>
            <w:r w:rsidRPr="00405303">
              <w:rPr>
                <w:color w:val="0070C0"/>
                <w:sz w:val="16"/>
                <w:szCs w:val="16"/>
              </w:rPr>
              <w:t>(10,6 км.).</w:t>
            </w:r>
          </w:p>
        </w:tc>
        <w:tc>
          <w:tcPr>
            <w:tcW w:w="811" w:type="dxa"/>
            <w:tcBorders>
              <w:left w:val="single" w:sz="4" w:space="0" w:color="auto"/>
            </w:tcBorders>
            <w:shd w:val="clear" w:color="auto" w:fill="FFFFFF"/>
          </w:tcPr>
          <w:p w14:paraId="07B41752" w14:textId="77777777" w:rsidR="002522CB" w:rsidRPr="00405303" w:rsidRDefault="002522CB" w:rsidP="00BD0BCB">
            <w:pPr>
              <w:jc w:val="both"/>
              <w:rPr>
                <w:color w:val="0070C0"/>
                <w:sz w:val="16"/>
                <w:szCs w:val="16"/>
              </w:rPr>
            </w:pPr>
            <w:r w:rsidRPr="00405303">
              <w:rPr>
                <w:color w:val="0070C0"/>
                <w:sz w:val="16"/>
                <w:szCs w:val="16"/>
              </w:rPr>
              <w:t>(4,2 км.).</w:t>
            </w:r>
          </w:p>
        </w:tc>
        <w:tc>
          <w:tcPr>
            <w:tcW w:w="806" w:type="dxa"/>
            <w:tcBorders>
              <w:left w:val="single" w:sz="4" w:space="0" w:color="auto"/>
              <w:right w:val="single" w:sz="4" w:space="0" w:color="auto"/>
            </w:tcBorders>
            <w:shd w:val="clear" w:color="auto" w:fill="FFFFFF"/>
          </w:tcPr>
          <w:p w14:paraId="22EF635B" w14:textId="77777777" w:rsidR="002522CB" w:rsidRPr="00405303" w:rsidRDefault="002522CB" w:rsidP="00BD0BCB">
            <w:pPr>
              <w:jc w:val="both"/>
              <w:rPr>
                <w:color w:val="0070C0"/>
                <w:sz w:val="16"/>
                <w:szCs w:val="16"/>
              </w:rPr>
            </w:pPr>
            <w:r w:rsidRPr="00405303">
              <w:rPr>
                <w:color w:val="0070C0"/>
                <w:sz w:val="16"/>
                <w:szCs w:val="16"/>
              </w:rPr>
              <w:t>(8,4 км.).</w:t>
            </w:r>
          </w:p>
        </w:tc>
      </w:tr>
    </w:tbl>
    <w:p w14:paraId="675C4615" w14:textId="77777777" w:rsidR="002522CB" w:rsidRPr="00405303" w:rsidRDefault="002522CB" w:rsidP="002522CB">
      <w:pPr>
        <w:jc w:val="both"/>
        <w:rPr>
          <w:color w:val="0070C0"/>
          <w:sz w:val="16"/>
          <w:szCs w:val="16"/>
        </w:rPr>
      </w:pPr>
      <w:r w:rsidRPr="00405303">
        <w:rPr>
          <w:color w:val="0070C0"/>
          <w:sz w:val="16"/>
          <w:szCs w:val="16"/>
        </w:rPr>
        <w:t>(24923).</w:t>
      </w:r>
    </w:p>
    <w:p w14:paraId="59F972F0" w14:textId="77777777" w:rsidR="002522CB" w:rsidRPr="00405303" w:rsidRDefault="002522CB" w:rsidP="002522CB">
      <w:pPr>
        <w:jc w:val="both"/>
        <w:rPr>
          <w:color w:val="0070C0"/>
          <w:sz w:val="16"/>
          <w:szCs w:val="16"/>
        </w:rPr>
      </w:pPr>
    </w:p>
    <w:p w14:paraId="24940D5A"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5ED0EEA4" w14:textId="77777777" w:rsidR="004B4E35" w:rsidRPr="00405303" w:rsidRDefault="004B4E35" w:rsidP="00C15251">
      <w:pPr>
        <w:jc w:val="both"/>
        <w:rPr>
          <w:bCs/>
          <w:i/>
          <w:color w:val="002060"/>
          <w:sz w:val="16"/>
          <w:szCs w:val="16"/>
        </w:rPr>
      </w:pPr>
    </w:p>
    <w:p w14:paraId="105FE53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17 (30) марта 1915 Летчик 13 КАО поручик Георгий Александрович Бойша с наблюдателем Владимиром Романовым при развеке района Мариамполъ-Людвинов-Калъвария обнаружил начавшийся отход значителъных сил противника и своевременно сообщил об этом командованию. Эти сведения дали возможность нашим войскам перейти в рещителъное наступление, в результате чего была одержана крупная победа над противником. ("Русский инвалид". 1915 г.,28 июня; • "Военный летчик". 1917 г., № 5).</w:t>
      </w:r>
    </w:p>
    <w:p w14:paraId="49E94E70" w14:textId="77777777" w:rsidR="004B4E35" w:rsidRPr="00405303" w:rsidRDefault="004B4E35" w:rsidP="00C15251">
      <w:pPr>
        <w:shd w:val="clear" w:color="auto" w:fill="FFFFFF"/>
        <w:jc w:val="both"/>
        <w:rPr>
          <w:bCs/>
          <w:color w:val="002060"/>
          <w:sz w:val="16"/>
          <w:szCs w:val="16"/>
        </w:rPr>
      </w:pPr>
    </w:p>
    <w:p w14:paraId="3C6DD8C0" w14:textId="77777777" w:rsidR="002B5AE8" w:rsidRPr="00405303" w:rsidRDefault="002B5AE8" w:rsidP="00C15251">
      <w:pPr>
        <w:jc w:val="both"/>
        <w:rPr>
          <w:bCs/>
          <w:color w:val="002060"/>
          <w:sz w:val="16"/>
          <w:szCs w:val="16"/>
        </w:rPr>
      </w:pPr>
      <w:r w:rsidRPr="00405303">
        <w:rPr>
          <w:bCs/>
          <w:color w:val="002060"/>
          <w:sz w:val="16"/>
          <w:szCs w:val="16"/>
        </w:rPr>
        <w:t xml:space="preserve">17 (30) марта 1915 г. летчик 13 KAO поручик Георгий Александрович Борейша с наблюдателем Владимиром Романовым при разведке района Мариамподь-Людвинов-Кальвария обнаружил начавшийся отход значительных сид противника и своевременно сообщил о том командованию «эти сведения дали возможность нашим </w:t>
      </w:r>
      <w:r w:rsidRPr="00405303">
        <w:rPr>
          <w:bCs/>
          <w:color w:val="002060"/>
          <w:sz w:val="16"/>
          <w:szCs w:val="16"/>
        </w:rPr>
        <w:lastRenderedPageBreak/>
        <w:t>войскам перейти в решительное наступление, в результате чего был одержан крупный успех над противником». Летчики были награждены орденами св. Георгия 4 ст.</w:t>
      </w:r>
    </w:p>
    <w:p w14:paraId="5D2113D7" w14:textId="77777777" w:rsidR="002B5AE8" w:rsidRPr="00405303" w:rsidRDefault="002B5AE8" w:rsidP="00C15251">
      <w:pPr>
        <w:jc w:val="both"/>
        <w:rPr>
          <w:bCs/>
          <w:color w:val="002060"/>
          <w:sz w:val="16"/>
          <w:szCs w:val="16"/>
        </w:rPr>
      </w:pPr>
      <w:r w:rsidRPr="00405303">
        <w:rPr>
          <w:bCs/>
          <w:color w:val="002060"/>
          <w:sz w:val="16"/>
          <w:szCs w:val="16"/>
        </w:rPr>
        <w:t>/"Русский инвалид" за 28 июня 1915; «Военный летчик», 1917, № 5/ (23320).</w:t>
      </w:r>
    </w:p>
    <w:p w14:paraId="590313FE" w14:textId="77777777" w:rsidR="002B5AE8" w:rsidRPr="00405303" w:rsidRDefault="002B5AE8" w:rsidP="00C15251">
      <w:pPr>
        <w:jc w:val="both"/>
        <w:rPr>
          <w:bCs/>
          <w:color w:val="002060"/>
          <w:sz w:val="16"/>
          <w:szCs w:val="16"/>
        </w:rPr>
      </w:pPr>
    </w:p>
    <w:p w14:paraId="16730844"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5610C98E" w14:textId="77777777" w:rsidR="004B4E35" w:rsidRPr="00405303" w:rsidRDefault="004B4E35" w:rsidP="00C15251">
      <w:pPr>
        <w:jc w:val="both"/>
        <w:rPr>
          <w:bCs/>
          <w:i/>
          <w:color w:val="002060"/>
          <w:sz w:val="16"/>
          <w:szCs w:val="16"/>
        </w:rPr>
      </w:pPr>
    </w:p>
    <w:p w14:paraId="5D1136E8" w14:textId="71F5E650" w:rsidR="004B4E35" w:rsidRPr="00405303" w:rsidRDefault="009E6F82" w:rsidP="00C15251">
      <w:pPr>
        <w:jc w:val="both"/>
        <w:rPr>
          <w:bCs/>
          <w:color w:val="002060"/>
          <w:sz w:val="16"/>
          <w:szCs w:val="16"/>
        </w:rPr>
      </w:pPr>
      <w:r w:rsidRPr="00405303">
        <w:rPr>
          <w:bCs/>
          <w:color w:val="002060"/>
          <w:sz w:val="16"/>
          <w:szCs w:val="16"/>
        </w:rPr>
        <w:t>17 (30) марта 1915 года – «Император Николай I» доставил гидросамолеты к Зунгулдаку, которые участвовали в нанесении бомбового удара по порту и береговым сооружениям (11166).</w:t>
      </w:r>
    </w:p>
    <w:p w14:paraId="787458D1" w14:textId="77777777" w:rsidR="004B4E35" w:rsidRPr="00405303" w:rsidRDefault="004B4E35" w:rsidP="00C15251">
      <w:pPr>
        <w:jc w:val="both"/>
        <w:rPr>
          <w:bCs/>
          <w:color w:val="002060"/>
          <w:sz w:val="16"/>
          <w:szCs w:val="16"/>
        </w:rPr>
      </w:pPr>
    </w:p>
    <w:p w14:paraId="22803167"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Франции:</w:t>
      </w:r>
    </w:p>
    <w:p w14:paraId="2AF4106A" w14:textId="77777777" w:rsidR="004B4E35" w:rsidRPr="00405303" w:rsidRDefault="004B4E35" w:rsidP="00C15251">
      <w:pPr>
        <w:jc w:val="both"/>
        <w:rPr>
          <w:bCs/>
          <w:i/>
          <w:color w:val="002060"/>
          <w:sz w:val="16"/>
          <w:szCs w:val="16"/>
        </w:rPr>
      </w:pPr>
    </w:p>
    <w:p w14:paraId="70267DBC" w14:textId="77777777" w:rsidR="004B4E35" w:rsidRPr="00405303" w:rsidRDefault="009E6F82" w:rsidP="00C15251">
      <w:pPr>
        <w:jc w:val="both"/>
        <w:rPr>
          <w:bCs/>
          <w:color w:val="002060"/>
          <w:sz w:val="16"/>
          <w:szCs w:val="16"/>
        </w:rPr>
      </w:pPr>
      <w:r w:rsidRPr="00405303">
        <w:rPr>
          <w:bCs/>
          <w:color w:val="002060"/>
          <w:sz w:val="16"/>
          <w:szCs w:val="16"/>
        </w:rPr>
        <w:t>17 (30) марта 1915 Французы предприняли еще одну попытку прорвать фронт в Вевре, закончившуюся также безрезультатно. Для прорыва глубокой обороны необходимо найти новые средства. В России они уже найдены при осаде и штурме Перемышля. Но для развития успеха у России не хватает экономической мощи. Союзники же на этот год, похоже, совсем перестали следить за тем, что происходит на Восточноевропейском театре военных действий.</w:t>
      </w:r>
    </w:p>
    <w:p w14:paraId="0FB27D3A" w14:textId="77777777" w:rsidR="004B4E35" w:rsidRPr="00405303" w:rsidRDefault="009E6F82" w:rsidP="00C15251">
      <w:pPr>
        <w:jc w:val="both"/>
        <w:rPr>
          <w:bCs/>
          <w:color w:val="002060"/>
          <w:sz w:val="16"/>
          <w:szCs w:val="16"/>
        </w:rPr>
      </w:pPr>
      <w:r w:rsidRPr="00405303">
        <w:rPr>
          <w:bCs/>
          <w:color w:val="002060"/>
          <w:sz w:val="16"/>
          <w:szCs w:val="16"/>
        </w:rPr>
        <w:t>Зато французы придумали еще один способ использования авиации в целях разведки - высаживать шпионов в глубоком тылу. Первая попытка организации полета с целью высадки шпиона в тылу была произведена уже в конце 1914 г. сержантом Гобером. Затем его инициатива была подхвачена другим знаменитым французским летчиком - Ведрином из 23-й эскадрильи "Моранов-Сольнье". Ведрин семь раз доставлял шпионов в глубокий тыл и три раза прилетал для того, чтобы забрать своих пассажиров обратно. Это приходилось делать не каждый раз, так как некоторые из засланных шпионов погибали, а некоторые возвращались сами через Голландию. Обычно такие "гости" брали с собой почтовых голубей.</w:t>
      </w:r>
    </w:p>
    <w:p w14:paraId="4D7ACB26" w14:textId="77777777" w:rsidR="004B4E35" w:rsidRPr="00405303" w:rsidRDefault="009E6F82" w:rsidP="00C15251">
      <w:pPr>
        <w:jc w:val="both"/>
        <w:rPr>
          <w:bCs/>
          <w:color w:val="002060"/>
          <w:sz w:val="16"/>
          <w:szCs w:val="16"/>
        </w:rPr>
      </w:pPr>
      <w:r w:rsidRPr="00405303">
        <w:rPr>
          <w:bCs/>
          <w:color w:val="002060"/>
          <w:sz w:val="16"/>
          <w:szCs w:val="16"/>
        </w:rPr>
        <w:t>Такие полеты принадлежали к разряду особо опасных поручений и назывались "специальными заданиями". Во время войны военная цензура запрещала публиковать в печати даже слабые намеки на подобный род действий авиации.</w:t>
      </w:r>
    </w:p>
    <w:p w14:paraId="7AD049AB" w14:textId="77777777" w:rsidR="004B4E35" w:rsidRPr="00405303" w:rsidRDefault="009E6F82" w:rsidP="00C15251">
      <w:pPr>
        <w:jc w:val="both"/>
        <w:rPr>
          <w:bCs/>
          <w:color w:val="002060"/>
          <w:sz w:val="16"/>
          <w:szCs w:val="16"/>
        </w:rPr>
      </w:pPr>
      <w:r w:rsidRPr="00405303">
        <w:rPr>
          <w:bCs/>
          <w:color w:val="002060"/>
          <w:sz w:val="16"/>
          <w:szCs w:val="16"/>
        </w:rPr>
        <w:t>Наварр: "Это было в марте, когда я выполнил мое первое специальное задание. На моем "Моран-Парасоле" я должен был отвезти одного учителя из захваченной области. Он отправился, конечно, в штатском костюме с котелком на голове. Мне во что бы то ни стало хотелось одеть его в кепи, чтобы было удобнее, но он отказался от этого...</w:t>
      </w:r>
    </w:p>
    <w:p w14:paraId="23A70F4C" w14:textId="77777777" w:rsidR="004B4E35" w:rsidRPr="00405303" w:rsidRDefault="009E6F82" w:rsidP="00C15251">
      <w:pPr>
        <w:jc w:val="both"/>
        <w:rPr>
          <w:bCs/>
          <w:color w:val="002060"/>
          <w:sz w:val="16"/>
          <w:szCs w:val="16"/>
        </w:rPr>
      </w:pPr>
      <w:r w:rsidRPr="00405303">
        <w:rPr>
          <w:bCs/>
          <w:color w:val="002060"/>
          <w:sz w:val="16"/>
          <w:szCs w:val="16"/>
        </w:rPr>
        <w:t xml:space="preserve">Мы отправились в полдень - дурной час для полета, но превосходный для нашей работы. Мы должны были отправиться к одному месту вблизи от Вердена... пересекли линию фронта без приключений, - ни пушек, ни самолетов, - такая удача. Я весь поглощен своим заданием: первое задание невольно производит сильное впечатление, так как не знаешь, чем это кончится. Перспектива смерти, - ничего. Но двенадцать пуль в грудь </w:t>
      </w:r>
      <w:proofErr w:type="gramStart"/>
      <w:r w:rsidRPr="00405303">
        <w:rPr>
          <w:bCs/>
          <w:color w:val="002060"/>
          <w:sz w:val="16"/>
          <w:szCs w:val="16"/>
        </w:rPr>
        <w:t>- это</w:t>
      </w:r>
      <w:proofErr w:type="gramEnd"/>
      <w:r w:rsidRPr="00405303">
        <w:rPr>
          <w:bCs/>
          <w:color w:val="002060"/>
          <w:sz w:val="16"/>
          <w:szCs w:val="16"/>
        </w:rPr>
        <w:t xml:space="preserve"> скверно! </w:t>
      </w:r>
    </w:p>
    <w:p w14:paraId="5B0298EB" w14:textId="77777777" w:rsidR="004B4E35" w:rsidRPr="00405303" w:rsidRDefault="009E6F82" w:rsidP="00C15251">
      <w:pPr>
        <w:jc w:val="both"/>
        <w:rPr>
          <w:bCs/>
          <w:color w:val="002060"/>
          <w:sz w:val="16"/>
          <w:szCs w:val="16"/>
        </w:rPr>
      </w:pPr>
      <w:r w:rsidRPr="00405303">
        <w:rPr>
          <w:bCs/>
          <w:color w:val="002060"/>
          <w:sz w:val="16"/>
          <w:szCs w:val="16"/>
        </w:rPr>
        <w:t>Я спустился с высоты с тяжелым чувством, отыскивая луг для посадки, и закончил спуск целой серией спиральных виражей у самой земли "а la Navarr", как другим было угодно прозвать их...</w:t>
      </w:r>
    </w:p>
    <w:p w14:paraId="0DB16610" w14:textId="77777777" w:rsidR="004B4E35" w:rsidRPr="00405303" w:rsidRDefault="009E6F82" w:rsidP="00C15251">
      <w:pPr>
        <w:jc w:val="both"/>
        <w:rPr>
          <w:bCs/>
          <w:color w:val="002060"/>
          <w:sz w:val="16"/>
          <w:szCs w:val="16"/>
        </w:rPr>
      </w:pPr>
      <w:r w:rsidRPr="00405303">
        <w:rPr>
          <w:bCs/>
          <w:color w:val="002060"/>
          <w:sz w:val="16"/>
          <w:szCs w:val="16"/>
        </w:rPr>
        <w:t>Мой пассажир покинул меня. Я был доволен, что покончил с этим делом...</w:t>
      </w:r>
    </w:p>
    <w:p w14:paraId="69A51C7F" w14:textId="77777777" w:rsidR="004B4E35" w:rsidRPr="00405303" w:rsidRDefault="009E6F82" w:rsidP="00C15251">
      <w:pPr>
        <w:jc w:val="both"/>
        <w:rPr>
          <w:bCs/>
          <w:color w:val="002060"/>
          <w:sz w:val="16"/>
          <w:szCs w:val="16"/>
        </w:rPr>
      </w:pPr>
      <w:r w:rsidRPr="00405303">
        <w:rPr>
          <w:bCs/>
          <w:color w:val="002060"/>
          <w:sz w:val="16"/>
          <w:szCs w:val="16"/>
        </w:rPr>
        <w:t>Бедный учитель, впоследствии оказалось, что он отослал своих трех голубей со сведениями, но через месяц мы узнали, что немцы поймали его и расстреляли..." (11999).</w:t>
      </w:r>
    </w:p>
    <w:p w14:paraId="7E43262D" w14:textId="77777777" w:rsidR="004B4E35" w:rsidRPr="00405303" w:rsidRDefault="004B4E35" w:rsidP="00C15251">
      <w:pPr>
        <w:jc w:val="both"/>
        <w:rPr>
          <w:bCs/>
          <w:color w:val="002060"/>
          <w:sz w:val="16"/>
          <w:szCs w:val="16"/>
        </w:rPr>
      </w:pPr>
    </w:p>
    <w:p w14:paraId="711C77B8"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6C29B2EB" w14:textId="77777777" w:rsidR="004B4E35" w:rsidRPr="00405303" w:rsidRDefault="004B4E35" w:rsidP="00C15251">
      <w:pPr>
        <w:jc w:val="both"/>
        <w:rPr>
          <w:bCs/>
          <w:i/>
          <w:color w:val="002060"/>
          <w:sz w:val="16"/>
          <w:szCs w:val="16"/>
        </w:rPr>
      </w:pPr>
    </w:p>
    <w:p w14:paraId="443B8232" w14:textId="4504F918" w:rsidR="004B4E35" w:rsidRPr="00405303" w:rsidRDefault="009E6F82" w:rsidP="00C15251">
      <w:pPr>
        <w:jc w:val="both"/>
        <w:rPr>
          <w:bCs/>
          <w:color w:val="002060"/>
          <w:sz w:val="16"/>
          <w:szCs w:val="16"/>
        </w:rPr>
      </w:pPr>
      <w:r w:rsidRPr="00405303">
        <w:rPr>
          <w:bCs/>
          <w:color w:val="002060"/>
          <w:sz w:val="16"/>
          <w:szCs w:val="16"/>
        </w:rPr>
        <w:t xml:space="preserve">17 </w:t>
      </w:r>
      <w:r w:rsidR="00244A4D" w:rsidRPr="00405303">
        <w:rPr>
          <w:bCs/>
          <w:color w:val="002060"/>
          <w:sz w:val="16"/>
          <w:szCs w:val="16"/>
        </w:rPr>
        <w:t xml:space="preserve">(30) </w:t>
      </w:r>
      <w:r w:rsidRPr="00405303">
        <w:rPr>
          <w:bCs/>
          <w:color w:val="002060"/>
          <w:sz w:val="16"/>
          <w:szCs w:val="16"/>
        </w:rPr>
        <w:t xml:space="preserve">марта </w:t>
      </w:r>
      <w:r w:rsidR="00244A4D" w:rsidRPr="00405303">
        <w:rPr>
          <w:bCs/>
          <w:color w:val="002060"/>
          <w:sz w:val="16"/>
          <w:szCs w:val="16"/>
        </w:rPr>
        <w:t xml:space="preserve">1915 г. состоялся налет </w:t>
      </w:r>
      <w:r w:rsidRPr="00405303">
        <w:rPr>
          <w:bCs/>
          <w:color w:val="002060"/>
          <w:sz w:val="16"/>
          <w:szCs w:val="16"/>
        </w:rPr>
        <w:t>германских гидропланов на восточные берега Англии, где бомбы были сброшены над Дилем, Рамсгэтом и Маргэтом, и экспедицию 25 марта французских аэропланов против немецкого лагеря в Мат чикове (на Балканах, к юго-западу от Дойранского озера)" (11999).</w:t>
      </w:r>
    </w:p>
    <w:p w14:paraId="39FE8903" w14:textId="77777777" w:rsidR="004B4E35" w:rsidRPr="00405303" w:rsidRDefault="004B4E35" w:rsidP="00C15251">
      <w:pPr>
        <w:jc w:val="both"/>
        <w:rPr>
          <w:bCs/>
          <w:color w:val="002060"/>
          <w:sz w:val="16"/>
          <w:szCs w:val="16"/>
        </w:rPr>
      </w:pPr>
    </w:p>
    <w:p w14:paraId="74DB118D"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133D49C8" w14:textId="77777777" w:rsidR="004B4E35" w:rsidRPr="00405303" w:rsidRDefault="004B4E35" w:rsidP="00C15251">
      <w:pPr>
        <w:jc w:val="both"/>
        <w:rPr>
          <w:bCs/>
          <w:i/>
          <w:color w:val="002060"/>
          <w:sz w:val="16"/>
          <w:szCs w:val="16"/>
        </w:rPr>
      </w:pPr>
    </w:p>
    <w:p w14:paraId="3144455D" w14:textId="296A34EB"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18 (31) марта 1915 </w:t>
      </w:r>
      <w:r w:rsidR="00244A4D" w:rsidRPr="00405303">
        <w:rPr>
          <w:bCs/>
          <w:color w:val="002060"/>
          <w:sz w:val="16"/>
          <w:szCs w:val="16"/>
        </w:rPr>
        <w:t>г. л</w:t>
      </w:r>
      <w:r w:rsidRPr="00405303">
        <w:rPr>
          <w:bCs/>
          <w:color w:val="002060"/>
          <w:sz w:val="16"/>
          <w:szCs w:val="16"/>
        </w:rPr>
        <w:t>етчик 4 КАО штабс-ротмистр Александр Александре-и Козаков повторил таран Нестерова, ударив своим самолетом Моран-Н" по верхней плоскости самолета противника«Перед тара-ом Козаков хотел сбить самолет противника специальным приспоблением - "кошкой</w:t>
      </w:r>
      <w:r w:rsidRPr="00405303">
        <w:rPr>
          <w:bCs/>
          <w:color w:val="002060"/>
          <w:sz w:val="16"/>
          <w:szCs w:val="16"/>
          <w:vertAlign w:val="superscript"/>
        </w:rPr>
        <w:t>11</w:t>
      </w:r>
      <w:r w:rsidRPr="00405303">
        <w:rPr>
          <w:bCs/>
          <w:color w:val="002060"/>
          <w:sz w:val="16"/>
          <w:szCs w:val="16"/>
        </w:rPr>
        <w:t xml:space="preserve"> на длинном тросе, но это ему не удалось и ть не повредило собственный самолет. Тараненный противник с зким снижением вынужденно ушел в расположение своих войск уВоля-Шидловской</w:t>
      </w:r>
      <w:r w:rsidRPr="00405303">
        <w:rPr>
          <w:bCs/>
          <w:smallCaps/>
          <w:color w:val="002060"/>
          <w:sz w:val="16"/>
          <w:szCs w:val="16"/>
        </w:rPr>
        <w:t xml:space="preserve">, </w:t>
      </w:r>
      <w:r w:rsidRPr="00405303">
        <w:rPr>
          <w:bCs/>
          <w:color w:val="002060"/>
          <w:sz w:val="16"/>
          <w:szCs w:val="16"/>
        </w:rPr>
        <w:t>а Козаков с разбитым пропеллером благополучно оизвел посадку. Это был второй таран в истории воздушного боя первый таран с благополучным исходом для нападающего ("Утро России" 1915 г., .27 марта).</w:t>
      </w:r>
    </w:p>
    <w:p w14:paraId="2325D41C" w14:textId="77777777" w:rsidR="004B4E35" w:rsidRPr="00405303" w:rsidRDefault="004B4E35" w:rsidP="00C15251">
      <w:pPr>
        <w:shd w:val="clear" w:color="auto" w:fill="FFFFFF"/>
        <w:jc w:val="both"/>
        <w:rPr>
          <w:bCs/>
          <w:color w:val="002060"/>
          <w:sz w:val="16"/>
          <w:szCs w:val="16"/>
        </w:rPr>
      </w:pPr>
    </w:p>
    <w:p w14:paraId="7D46E90B" w14:textId="1A3EC5C4" w:rsidR="004B4E35" w:rsidRPr="00405303" w:rsidRDefault="009E6F82" w:rsidP="00C15251">
      <w:pPr>
        <w:jc w:val="both"/>
        <w:rPr>
          <w:bCs/>
          <w:color w:val="002060"/>
          <w:sz w:val="16"/>
          <w:szCs w:val="16"/>
        </w:rPr>
      </w:pPr>
      <w:r w:rsidRPr="00405303">
        <w:rPr>
          <w:bCs/>
          <w:color w:val="002060"/>
          <w:sz w:val="16"/>
          <w:szCs w:val="16"/>
        </w:rPr>
        <w:t>18-го (31) марта 1915</w:t>
      </w:r>
      <w:r w:rsidR="00244A4D" w:rsidRPr="00405303">
        <w:rPr>
          <w:bCs/>
          <w:color w:val="002060"/>
          <w:sz w:val="16"/>
          <w:szCs w:val="16"/>
        </w:rPr>
        <w:t xml:space="preserve"> г.</w:t>
      </w:r>
      <w:r w:rsidRPr="00405303">
        <w:rPr>
          <w:bCs/>
          <w:color w:val="002060"/>
          <w:sz w:val="16"/>
          <w:szCs w:val="16"/>
        </w:rPr>
        <w:t xml:space="preserve"> одержал свою первую победу летчик 4-го КАО поручик А. А. 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В 1915 г. на русских аэропланах появились пулеметы. Для их применения наиболее пригодным оказался биплан Вуазен, на который часто устанавливался пулемет Кольт. Такой самолет становился грозным оружием, 24-го июня летчик прапорщик Иванов и наблюдатель поручик Алексеев из 26-го КАО атаковали в районе Тарнополя австрийский Альбатрос (бортовой номер 21-01) из 1-й авиароты,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Тлусте,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24675803" w14:textId="77777777" w:rsidR="004B4E35" w:rsidRPr="00405303" w:rsidRDefault="004B4E35" w:rsidP="00C15251">
      <w:pPr>
        <w:jc w:val="both"/>
        <w:rPr>
          <w:bCs/>
          <w:color w:val="002060"/>
          <w:sz w:val="16"/>
          <w:szCs w:val="16"/>
        </w:rPr>
      </w:pPr>
    </w:p>
    <w:p w14:paraId="2BA83F3C" w14:textId="675A314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18-го (31) марта 1915 </w:t>
      </w:r>
      <w:r w:rsidR="00244A4D" w:rsidRPr="00405303">
        <w:rPr>
          <w:bCs/>
          <w:i w:val="0"/>
          <w:color w:val="002060"/>
          <w:spacing w:val="0"/>
          <w:kern w:val="0"/>
          <w:position w:val="0"/>
          <w:sz w:val="16"/>
          <w:szCs w:val="16"/>
        </w:rPr>
        <w:t xml:space="preserve">г. </w:t>
      </w:r>
      <w:r w:rsidRPr="00405303">
        <w:rPr>
          <w:bCs/>
          <w:i w:val="0"/>
          <w:color w:val="002060"/>
          <w:spacing w:val="0"/>
          <w:kern w:val="0"/>
          <w:position w:val="0"/>
          <w:sz w:val="16"/>
          <w:szCs w:val="16"/>
        </w:rPr>
        <w:t>одержал свою первую победу летчик 4-го КАО поручик А.А.Козаков.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(11278).</w:t>
      </w:r>
    </w:p>
    <w:p w14:paraId="708EB9F5" w14:textId="77777777" w:rsidR="004B4E35" w:rsidRPr="00405303" w:rsidRDefault="004B4E35" w:rsidP="00C15251">
      <w:pPr>
        <w:pStyle w:val="a3"/>
        <w:jc w:val="both"/>
        <w:rPr>
          <w:bCs/>
          <w:i w:val="0"/>
          <w:color w:val="002060"/>
          <w:spacing w:val="0"/>
          <w:kern w:val="0"/>
          <w:position w:val="0"/>
          <w:sz w:val="16"/>
          <w:szCs w:val="16"/>
        </w:rPr>
      </w:pPr>
    </w:p>
    <w:p w14:paraId="4B7A81EB" w14:textId="77777777" w:rsidR="00D7068F" w:rsidRPr="00405303" w:rsidRDefault="00D7068F" w:rsidP="00C15251">
      <w:pPr>
        <w:jc w:val="both"/>
        <w:rPr>
          <w:bCs/>
          <w:color w:val="002060"/>
          <w:sz w:val="16"/>
          <w:szCs w:val="16"/>
        </w:rPr>
      </w:pPr>
      <w:r w:rsidRPr="00405303">
        <w:rPr>
          <w:bCs/>
          <w:color w:val="002060"/>
          <w:sz w:val="16"/>
          <w:szCs w:val="16"/>
        </w:rPr>
        <w:lastRenderedPageBreak/>
        <w:t>18 (31) марта 1915 штабс-капитан Александр Казаков Имперский Русский Air Service использует кошку, чтобы зацепить самолет Albatros, в надежде уничтожить Albatros взрывом небольшой бомбы, прикрепленной к ней. Когда механизм захвата заклинивает, тросс разматывается и он сбивает Альбатрос, тараня его своей ходовой частью (20338).</w:t>
      </w:r>
    </w:p>
    <w:p w14:paraId="35D6E751" w14:textId="77777777" w:rsidR="00D7068F" w:rsidRPr="00405303" w:rsidRDefault="00D7068F" w:rsidP="00C15251">
      <w:pPr>
        <w:jc w:val="both"/>
        <w:rPr>
          <w:bCs/>
          <w:color w:val="002060"/>
          <w:sz w:val="16"/>
          <w:szCs w:val="16"/>
        </w:rPr>
      </w:pPr>
    </w:p>
    <w:p w14:paraId="3E7A8A0E" w14:textId="77777777" w:rsidR="002B5AE8" w:rsidRPr="00405303" w:rsidRDefault="002B5AE8" w:rsidP="00C15251">
      <w:pPr>
        <w:jc w:val="both"/>
        <w:rPr>
          <w:bCs/>
          <w:color w:val="002060"/>
          <w:sz w:val="16"/>
          <w:szCs w:val="16"/>
        </w:rPr>
      </w:pPr>
      <w:r w:rsidRPr="00405303">
        <w:rPr>
          <w:bCs/>
          <w:color w:val="002060"/>
          <w:sz w:val="16"/>
          <w:szCs w:val="16"/>
        </w:rPr>
        <w:t>18 (31) марта 1915 г. летчик 4 КАО шт.-ротмистр Александр Александрович Ка</w:t>
      </w:r>
      <w:r w:rsidRPr="00405303">
        <w:rPr>
          <w:bCs/>
          <w:color w:val="002060"/>
          <w:sz w:val="16"/>
          <w:szCs w:val="16"/>
        </w:rPr>
        <w:softHyphen/>
        <w:t>заков повторил таран Нестерова, ударив своим самолетом Моран-Ж по верхней плоскости самолета противника. Перед тараном Казаков хотел сбить самолет противника специальным приспособлением - «кошкой» на длинном тросе, по это ему не удалось и чуть не повредило собственный самолет. Тараненный противник с резким снижением вынужденно ушел в расположение своих войск у Воля-Шидловской, а Казаков с разбитым пропеллером благополучно произвел посадку. Это был второй таран в истории воздушного боя и первый таран с благополучным входом для нападающего.</w:t>
      </w:r>
    </w:p>
    <w:p w14:paraId="7E0F02B7" w14:textId="77777777" w:rsidR="002B5AE8" w:rsidRPr="00405303" w:rsidRDefault="002B5AE8" w:rsidP="00C15251">
      <w:pPr>
        <w:jc w:val="both"/>
        <w:rPr>
          <w:bCs/>
          <w:color w:val="002060"/>
          <w:sz w:val="16"/>
          <w:szCs w:val="16"/>
        </w:rPr>
      </w:pPr>
      <w:r w:rsidRPr="00405303">
        <w:rPr>
          <w:bCs/>
          <w:color w:val="002060"/>
          <w:sz w:val="16"/>
          <w:szCs w:val="16"/>
        </w:rPr>
        <w:t>/"Утро России" за 27 марта 1915; "Русский инвалид" за 20 марта 1915/ (23320).</w:t>
      </w:r>
    </w:p>
    <w:p w14:paraId="20E81933" w14:textId="77777777" w:rsidR="002B5AE8" w:rsidRPr="00405303" w:rsidRDefault="002B5AE8" w:rsidP="00C15251">
      <w:pPr>
        <w:jc w:val="both"/>
        <w:rPr>
          <w:bCs/>
          <w:color w:val="002060"/>
          <w:sz w:val="16"/>
          <w:szCs w:val="16"/>
        </w:rPr>
      </w:pPr>
    </w:p>
    <w:p w14:paraId="02266B45" w14:textId="25FA1883" w:rsidR="001B00A7" w:rsidRPr="00405303" w:rsidRDefault="001B00A7" w:rsidP="00C15251">
      <w:pPr>
        <w:jc w:val="both"/>
        <w:rPr>
          <w:bCs/>
          <w:color w:val="002060"/>
          <w:sz w:val="16"/>
          <w:szCs w:val="16"/>
        </w:rPr>
      </w:pPr>
      <w:r w:rsidRPr="00405303">
        <w:rPr>
          <w:bCs/>
          <w:color w:val="002060"/>
          <w:sz w:val="16"/>
          <w:szCs w:val="16"/>
        </w:rPr>
        <w:t xml:space="preserve">18 (31) марта в 1915 году </w:t>
      </w:r>
      <w:hyperlink r:id="rId29" w:tgtFrame="_blank" w:history="1">
        <w:r w:rsidRPr="00405303">
          <w:rPr>
            <w:bCs/>
            <w:color w:val="002060"/>
            <w:sz w:val="16"/>
            <w:szCs w:val="16"/>
          </w:rPr>
          <w:t xml:space="preserve">А.А.Казаков </w:t>
        </w:r>
      </w:hyperlink>
      <w:r w:rsidRPr="00405303">
        <w:rPr>
          <w:bCs/>
          <w:color w:val="002060"/>
          <w:sz w:val="16"/>
          <w:szCs w:val="16"/>
        </w:rPr>
        <w:t>повторил воздушный таран П.Н.Нестерова. Летчик Казаков в районе деревни Гузав, западнее Вислы, обнаружил немецкий "Альбатрос" и напал на него. Летчик пошел на таран: ударил "Альбатрос" колесами по верхней поверхности. Немецкий самолет разбился. А.А.Казаков выключил мотор, так как одна лопасть винта оказалась сломана, и начал планировать. Садился парашютируя, но на земле перевернулся. Оказывается, удар колесами был настолько силен, что шасси было вогнуто под крылья. Это был второй таран в истории авиации и первый таран, окончившийся благополучно для таранившего пилота (15085).</w:t>
      </w:r>
    </w:p>
    <w:p w14:paraId="16EDE413" w14:textId="77777777" w:rsidR="001B00A7" w:rsidRPr="00405303" w:rsidRDefault="001B00A7" w:rsidP="00C15251">
      <w:pPr>
        <w:jc w:val="both"/>
        <w:rPr>
          <w:bCs/>
          <w:color w:val="002060"/>
          <w:sz w:val="16"/>
          <w:szCs w:val="16"/>
        </w:rPr>
      </w:pPr>
    </w:p>
    <w:p w14:paraId="443D6F93" w14:textId="77777777" w:rsidR="000E0FEB" w:rsidRPr="00405303" w:rsidRDefault="000E0FEB" w:rsidP="000E0FEB">
      <w:pPr>
        <w:jc w:val="both"/>
        <w:rPr>
          <w:color w:val="0070C0"/>
          <w:sz w:val="16"/>
          <w:szCs w:val="16"/>
        </w:rPr>
      </w:pPr>
      <w:r w:rsidRPr="00405303">
        <w:rPr>
          <w:color w:val="0070C0"/>
          <w:sz w:val="16"/>
          <w:szCs w:val="16"/>
        </w:rPr>
        <w:t>18 (31) марта 1915 г., военный летчик 4-го корпусного АО поручик А.А. Козаков в полосе СЗФ таранным ударом атаковал двухместный «Альбатрос» противника. Поврежденный неприятельский аппарат, снижаясь, сделал над своими окопами несколько кругов, перевернулся в воздухе и камнем упал вблизи леса, к западу от н/п Воли-Шидловский. Оба немецких офицера-летчика разбились насмерть. Самолет оказался совершенно изломанным. Сам русский летчик остался в живых и сохранил в исправности свой аппарат. Высочайшим приказом от 10 августа 1915 г. он был награжден Георгиевским оружием (25135).</w:t>
      </w:r>
    </w:p>
    <w:p w14:paraId="03EE2303" w14:textId="77777777" w:rsidR="000E0FEB" w:rsidRPr="00405303" w:rsidRDefault="000E0FEB" w:rsidP="000E0FEB">
      <w:pPr>
        <w:jc w:val="both"/>
        <w:rPr>
          <w:color w:val="0070C0"/>
          <w:sz w:val="16"/>
          <w:szCs w:val="16"/>
        </w:rPr>
      </w:pPr>
    </w:p>
    <w:p w14:paraId="61C1DDF0" w14:textId="77777777" w:rsidR="000E0FEB" w:rsidRPr="00405303" w:rsidRDefault="000E0FEB" w:rsidP="000E0FEB">
      <w:pPr>
        <w:jc w:val="both"/>
        <w:rPr>
          <w:color w:val="0070C0"/>
          <w:sz w:val="16"/>
          <w:szCs w:val="16"/>
        </w:rPr>
      </w:pPr>
      <w:r w:rsidRPr="00405303">
        <w:rPr>
          <w:color w:val="0070C0"/>
          <w:sz w:val="16"/>
          <w:szCs w:val="16"/>
        </w:rPr>
        <w:t>18 (31) марта 1915 года А.А. Козаков на своем «Моране-Ж» таранил немецкий «Альбатрос» в районе деревни Гузов, что на правом берегу Вислы. Козаков не только уничтожил врага, но и сумел посадить свою поврежденную машину (25147).</w:t>
      </w:r>
    </w:p>
    <w:p w14:paraId="656C34B3" w14:textId="77777777" w:rsidR="000E0FEB" w:rsidRPr="00405303" w:rsidRDefault="000E0FEB" w:rsidP="000E0FEB">
      <w:pPr>
        <w:jc w:val="both"/>
        <w:rPr>
          <w:color w:val="0070C0"/>
          <w:sz w:val="16"/>
          <w:szCs w:val="16"/>
        </w:rPr>
      </w:pPr>
    </w:p>
    <w:p w14:paraId="032EA22E" w14:textId="77777777" w:rsidR="000E0FEB" w:rsidRPr="00405303" w:rsidRDefault="000E0FEB" w:rsidP="000E0FEB">
      <w:pPr>
        <w:jc w:val="both"/>
        <w:rPr>
          <w:color w:val="0070C0"/>
          <w:sz w:val="16"/>
          <w:szCs w:val="16"/>
        </w:rPr>
      </w:pPr>
      <w:r w:rsidRPr="00405303">
        <w:rPr>
          <w:color w:val="0070C0"/>
          <w:sz w:val="16"/>
          <w:szCs w:val="16"/>
        </w:rPr>
        <w:t>18-го (31) марта 1915 г. одержал свою первую победу летчик 4-го КАО поручик А.А.Козаков.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(25151).</w:t>
      </w:r>
    </w:p>
    <w:p w14:paraId="2F106873" w14:textId="77777777" w:rsidR="000E0FEB" w:rsidRPr="00405303" w:rsidRDefault="000E0FEB" w:rsidP="000E0FEB">
      <w:pPr>
        <w:jc w:val="both"/>
        <w:rPr>
          <w:color w:val="0070C0"/>
          <w:sz w:val="16"/>
          <w:szCs w:val="16"/>
        </w:rPr>
      </w:pPr>
    </w:p>
    <w:p w14:paraId="2383BDED" w14:textId="77777777" w:rsidR="000E0FEB" w:rsidRPr="00405303" w:rsidRDefault="000E0FEB" w:rsidP="000E0FEB">
      <w:pPr>
        <w:jc w:val="both"/>
        <w:rPr>
          <w:color w:val="0070C0"/>
          <w:sz w:val="16"/>
          <w:szCs w:val="16"/>
        </w:rPr>
      </w:pPr>
      <w:r w:rsidRPr="00405303">
        <w:rPr>
          <w:color w:val="0070C0"/>
          <w:sz w:val="16"/>
          <w:szCs w:val="16"/>
        </w:rPr>
        <w:t>18 (31) марта 1915 г.</w:t>
      </w:r>
      <w:r w:rsidRPr="00405303">
        <w:rPr>
          <w:rStyle w:val="aa"/>
          <w:rFonts w:ascii="Times New Roman" w:hAnsi="Times New Roman"/>
          <w:color w:val="0070C0"/>
          <w:spacing w:val="0"/>
          <w:sz w:val="16"/>
          <w:szCs w:val="16"/>
        </w:rPr>
        <w:t xml:space="preserve"> немецкая авиация совершила налет (до 10 аэропланов) на г. Ломжа. В результате было сброшено до 120 бомб. Одна из них попала в собор, наполненный молящимися людьми. По счастливой случайности обошлось без жертв и разрушений (25135).</w:t>
      </w:r>
    </w:p>
    <w:p w14:paraId="1019F5C8" w14:textId="77777777" w:rsidR="000E0FEB" w:rsidRPr="00405303" w:rsidRDefault="000E0FEB" w:rsidP="000E0FEB">
      <w:pPr>
        <w:jc w:val="both"/>
        <w:rPr>
          <w:color w:val="0070C0"/>
          <w:sz w:val="16"/>
          <w:szCs w:val="16"/>
        </w:rPr>
      </w:pPr>
    </w:p>
    <w:p w14:paraId="2E80F20D" w14:textId="5E3D9315" w:rsidR="004B4E35" w:rsidRPr="00405303" w:rsidRDefault="009E6F82" w:rsidP="00C15251">
      <w:pPr>
        <w:jc w:val="both"/>
        <w:rPr>
          <w:bCs/>
          <w:color w:val="002060"/>
          <w:sz w:val="16"/>
          <w:szCs w:val="16"/>
        </w:rPr>
      </w:pPr>
      <w:r w:rsidRPr="00405303">
        <w:rPr>
          <w:bCs/>
          <w:color w:val="002060"/>
          <w:sz w:val="16"/>
          <w:szCs w:val="16"/>
        </w:rPr>
        <w:t xml:space="preserve">18 (31) марта 1915 </w:t>
      </w:r>
      <w:r w:rsidR="00D7068F" w:rsidRPr="00405303">
        <w:rPr>
          <w:bCs/>
          <w:color w:val="002060"/>
          <w:sz w:val="16"/>
          <w:szCs w:val="16"/>
        </w:rPr>
        <w:t xml:space="preserve">г. </w:t>
      </w:r>
      <w:r w:rsidRPr="00405303">
        <w:rPr>
          <w:bCs/>
          <w:color w:val="002060"/>
          <w:sz w:val="16"/>
          <w:szCs w:val="16"/>
        </w:rPr>
        <w:t>"Илья Муромец" под командованием капитана Горшкова вылетел по маршруту Яблонна - Вилленберг - Найденбург - Зольдну - Лаутенбург - Страссбург - Тори - Плоцк - Млава - Яблонна протяженностью в 600 верст. На борту кроме штатного экипажа был капитан фон Гоерц. Полет продолжался более пяти часов. Представитель штаба и Наумов тщательно осмотрели все намеченные пункты и сделали около 50 фотоснимков. После обработки и изучения полученных данных выяснилось, что ни о какой концентрации войск противника не может быть и речи. Более того, часть укреплений оголена в связи с переброской войск на другое направление. Стало ясно, что немцы провели активное мероприятие по дезинформации. Русское командование сделало соответствующие выводы. Помощь "Муромца" при этом была неоценима (11230).</w:t>
      </w:r>
    </w:p>
    <w:p w14:paraId="23D2B4EA" w14:textId="77777777" w:rsidR="004B4E35" w:rsidRPr="00405303" w:rsidRDefault="004B4E35" w:rsidP="00C15251">
      <w:pPr>
        <w:jc w:val="both"/>
        <w:rPr>
          <w:bCs/>
          <w:color w:val="002060"/>
          <w:sz w:val="16"/>
          <w:szCs w:val="16"/>
        </w:rPr>
      </w:pPr>
    </w:p>
    <w:p w14:paraId="657346D4" w14:textId="028C5D4D"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18 (31) марта 1915 </w:t>
      </w:r>
      <w:r w:rsidR="00D7068F" w:rsidRPr="00405303">
        <w:rPr>
          <w:bCs/>
          <w:color w:val="002060"/>
          <w:sz w:val="16"/>
          <w:szCs w:val="16"/>
        </w:rPr>
        <w:t>г. в</w:t>
      </w:r>
      <w:r w:rsidRPr="00405303">
        <w:rPr>
          <w:bCs/>
          <w:color w:val="002060"/>
          <w:sz w:val="16"/>
          <w:szCs w:val="16"/>
        </w:rPr>
        <w:t>оздушный корабль "Илья Муромец Киевский" под управлением летчиков Г.Г.Горшкова и И.С.Башко совершил иубокую разведку в Восточной Пруссии дальностью около 500 км и ал весьма важные сведения о положении на фронте Вилленберг-Солъдау-Торн. Полет продолжался 4- часа на высоте 3200 м.Было целано 50 фотоснимков (ЦГВИА, ф.2008, д.1276, лл.1-2).</w:t>
      </w:r>
    </w:p>
    <w:p w14:paraId="12711A58" w14:textId="77777777" w:rsidR="004B4E35" w:rsidRPr="00405303" w:rsidRDefault="004B4E35" w:rsidP="00C15251">
      <w:pPr>
        <w:shd w:val="clear" w:color="auto" w:fill="FFFFFF"/>
        <w:jc w:val="both"/>
        <w:rPr>
          <w:bCs/>
          <w:color w:val="002060"/>
          <w:sz w:val="16"/>
          <w:szCs w:val="16"/>
        </w:rPr>
      </w:pPr>
    </w:p>
    <w:p w14:paraId="640F5A50" w14:textId="77777777" w:rsidR="001C614F" w:rsidRPr="00405303" w:rsidRDefault="001C614F" w:rsidP="00C15251">
      <w:pPr>
        <w:jc w:val="both"/>
        <w:rPr>
          <w:bCs/>
          <w:color w:val="002060"/>
          <w:sz w:val="16"/>
          <w:szCs w:val="16"/>
        </w:rPr>
      </w:pPr>
      <w:r w:rsidRPr="00405303">
        <w:rPr>
          <w:bCs/>
          <w:color w:val="002060"/>
          <w:sz w:val="16"/>
          <w:szCs w:val="16"/>
        </w:rPr>
        <w:t>18 (30) марта 1915 г. воздушный корабль "Илья Муромец киевский" под управлением летчиков Г.Г.Горшкова и И.С.Башко совершил глубокую разведку восточной Прусскии дальностью около 500 км и дали весьма важные ведения о положении на фронте Вилленберг—Рольдау-Страсбург—Тори. Полет продолжался 4 часа на высоте 3200 м. Было сделана 50 фотоснимков.</w:t>
      </w:r>
    </w:p>
    <w:p w14:paraId="3C08A36D" w14:textId="77777777" w:rsidR="001C614F" w:rsidRPr="00405303" w:rsidRDefault="001C614F" w:rsidP="00C15251">
      <w:pPr>
        <w:jc w:val="both"/>
        <w:rPr>
          <w:bCs/>
          <w:color w:val="002060"/>
          <w:sz w:val="16"/>
          <w:szCs w:val="16"/>
        </w:rPr>
      </w:pPr>
      <w:r w:rsidRPr="00405303">
        <w:rPr>
          <w:bCs/>
          <w:color w:val="002060"/>
          <w:sz w:val="16"/>
          <w:szCs w:val="16"/>
        </w:rPr>
        <w:t>/ЦГВИА, ф. 2008, д. 1276, лл. 1-2/ (23320).</w:t>
      </w:r>
    </w:p>
    <w:p w14:paraId="327269CF" w14:textId="77777777" w:rsidR="001C614F" w:rsidRPr="00405303" w:rsidRDefault="001C614F" w:rsidP="00C15251">
      <w:pPr>
        <w:jc w:val="both"/>
        <w:rPr>
          <w:bCs/>
          <w:color w:val="002060"/>
          <w:sz w:val="16"/>
          <w:szCs w:val="16"/>
        </w:rPr>
      </w:pPr>
    </w:p>
    <w:p w14:paraId="180C67F4" w14:textId="7DB7FD1E" w:rsidR="004B4E35" w:rsidRPr="00405303" w:rsidRDefault="009E6F82" w:rsidP="00C15251">
      <w:pPr>
        <w:jc w:val="both"/>
        <w:rPr>
          <w:bCs/>
          <w:color w:val="002060"/>
          <w:sz w:val="16"/>
          <w:szCs w:val="16"/>
        </w:rPr>
      </w:pPr>
      <w:r w:rsidRPr="00405303">
        <w:rPr>
          <w:bCs/>
          <w:color w:val="002060"/>
          <w:sz w:val="16"/>
          <w:szCs w:val="16"/>
        </w:rPr>
        <w:t xml:space="preserve">18 (31) марта 1915 </w:t>
      </w:r>
      <w:r w:rsidR="00D7068F" w:rsidRPr="00405303">
        <w:rPr>
          <w:bCs/>
          <w:color w:val="002060"/>
          <w:sz w:val="16"/>
          <w:szCs w:val="16"/>
        </w:rPr>
        <w:t>г. в</w:t>
      </w:r>
      <w:r w:rsidRPr="00405303">
        <w:rPr>
          <w:bCs/>
          <w:color w:val="002060"/>
          <w:sz w:val="16"/>
          <w:szCs w:val="16"/>
        </w:rPr>
        <w:t xml:space="preserve"> штабе 1-й русской армии получена информация, что в их сектор переброшены значительные германские силы. Встревоженный этим развитием событий, штаб приказал "ИМ-Киевскому" тщательно обследовать вражеские тылы для того, чтобы определить движение и размещение неприятельских сил. Капитан А. А. фон Горст, офицер разведки 1-й армии, вошел в состав экипажа воздушного судна, который включал командира корабля капитана Г. Г. Горшкова, второго пилота лейтенанта И. С. Башко и артиллерийского офицера штабс-капитана А. А. Наумова.</w:t>
      </w:r>
    </w:p>
    <w:p w14:paraId="2EFCC825" w14:textId="77777777" w:rsidR="004B4E35" w:rsidRPr="00405303" w:rsidRDefault="009E6F82" w:rsidP="00C15251">
      <w:pPr>
        <w:jc w:val="both"/>
        <w:rPr>
          <w:bCs/>
          <w:color w:val="002060"/>
          <w:sz w:val="16"/>
          <w:szCs w:val="16"/>
        </w:rPr>
      </w:pPr>
      <w:r w:rsidRPr="00405303">
        <w:rPr>
          <w:bCs/>
          <w:color w:val="002060"/>
          <w:sz w:val="16"/>
          <w:szCs w:val="16"/>
        </w:rPr>
        <w:t>"ИМ-Киевский" нес на борту 524 кг бензина, 98лсг масла, четыре пулемета - два Максима и два Мадсена, и две камеры, Потте и Ульянина. Миссия продолжалась четыре часа, на высоте от 3200 до 3600 м. За это время было покрыто расстояние в 533 км. Район цели для разведывательного полета примерно соответствовал границе с Германией, включая такие географические пункты как Вилленбург, Нейденбург, Сольдау, Лаутенбург, Страсбург, Торн и определенные узловые станции на железных дорогах, по которым перевозились немецкие войска.</w:t>
      </w:r>
    </w:p>
    <w:p w14:paraId="3296F860" w14:textId="77777777" w:rsidR="004B4E35" w:rsidRPr="00405303" w:rsidRDefault="009E6F82" w:rsidP="00C15251">
      <w:pPr>
        <w:jc w:val="both"/>
        <w:rPr>
          <w:bCs/>
          <w:color w:val="002060"/>
          <w:sz w:val="16"/>
          <w:szCs w:val="16"/>
        </w:rPr>
      </w:pPr>
      <w:r w:rsidRPr="00405303">
        <w:rPr>
          <w:bCs/>
          <w:color w:val="002060"/>
          <w:sz w:val="16"/>
          <w:szCs w:val="16"/>
        </w:rPr>
        <w:t>В Торне полет проходил над верхним течением реки Вислы до Плоцка, затем к северу, до Млавы и далее на восток. "Илья Муромец" затем повернул на юг и полетел назад к линии фронта от ее восточного края к западу по направлению к Плоцку. В результате были тщательно разведаны передовые позиции противника. Были сфотографированы наиболее важные пункты и большие города, всего - более 50 фотографий.</w:t>
      </w:r>
    </w:p>
    <w:p w14:paraId="64C358E8" w14:textId="77777777" w:rsidR="004B4E35" w:rsidRPr="00405303" w:rsidRDefault="009E6F82" w:rsidP="00C15251">
      <w:pPr>
        <w:jc w:val="both"/>
        <w:rPr>
          <w:bCs/>
          <w:color w:val="002060"/>
          <w:sz w:val="16"/>
          <w:szCs w:val="16"/>
        </w:rPr>
      </w:pPr>
      <w:r w:rsidRPr="00405303">
        <w:rPr>
          <w:bCs/>
          <w:color w:val="002060"/>
          <w:sz w:val="16"/>
          <w:szCs w:val="16"/>
        </w:rPr>
        <w:t>Стало ясно, что враг не перемещал свои войска в этом районе. Вывод был очевидным. В штаб 1-й армии пришла ложная информация. Разведывательный полет "Ильи Муромца" продемонстрировал, что вражеские силы из этого района были перемещены куда-то в другое место. Копия этого доклада была направлена в Ставку русской армии.</w:t>
      </w:r>
    </w:p>
    <w:p w14:paraId="3536BAE9" w14:textId="77777777" w:rsidR="004B4E35" w:rsidRPr="00405303" w:rsidRDefault="009E6F82" w:rsidP="00C15251">
      <w:pPr>
        <w:jc w:val="both"/>
        <w:rPr>
          <w:bCs/>
          <w:color w:val="002060"/>
          <w:sz w:val="16"/>
          <w:szCs w:val="16"/>
        </w:rPr>
      </w:pPr>
      <w:r w:rsidRPr="00405303">
        <w:rPr>
          <w:bCs/>
          <w:color w:val="002060"/>
          <w:sz w:val="16"/>
          <w:szCs w:val="16"/>
        </w:rPr>
        <w:t>На самом деле Германия концентрировала силы южнее этого района. Задуманная ими новая операция связывалась с прорывом фронта между Верхней Вислой и подножьем Бескидов (в районе Горлице), а не с действиями против одного или двух флангов, как это имело место раньше. На этот удар германский генеральный штаб делал очень большую ставку.</w:t>
      </w:r>
    </w:p>
    <w:p w14:paraId="0FAD5570" w14:textId="27E3ED17" w:rsidR="004B4E35" w:rsidRPr="00405303" w:rsidRDefault="009E6F82" w:rsidP="00C15251">
      <w:pPr>
        <w:jc w:val="both"/>
        <w:rPr>
          <w:bCs/>
          <w:color w:val="002060"/>
          <w:sz w:val="16"/>
          <w:szCs w:val="16"/>
        </w:rPr>
      </w:pPr>
      <w:r w:rsidRPr="00405303">
        <w:rPr>
          <w:bCs/>
          <w:color w:val="002060"/>
          <w:sz w:val="16"/>
          <w:szCs w:val="16"/>
        </w:rPr>
        <w:t>Согласно принятым планам ведения операций на Восточном фронте сводная 11-я армия Макензена</w:t>
      </w:r>
      <w:r w:rsidR="000F5756">
        <w:rPr>
          <w:bCs/>
          <w:color w:val="002060"/>
          <w:sz w:val="16"/>
          <w:szCs w:val="16"/>
        </w:rPr>
        <w:t xml:space="preserve"> </w:t>
      </w:r>
      <w:r w:rsidRPr="00405303">
        <w:rPr>
          <w:bCs/>
          <w:color w:val="002060"/>
          <w:sz w:val="16"/>
          <w:szCs w:val="16"/>
        </w:rPr>
        <w:t>в Галиции была снабжена тремя авиаотрядами №№ 1, 8, 21 и одним бомбардировочным дивизионом Верховного главнокомандования (Отделение голубиной почты в Остенде) - всего в количестве 54 самолетов.</w:t>
      </w:r>
    </w:p>
    <w:p w14:paraId="07B36688" w14:textId="77777777" w:rsidR="004B4E35" w:rsidRPr="00405303" w:rsidRDefault="009E6F82" w:rsidP="00C15251">
      <w:pPr>
        <w:jc w:val="both"/>
        <w:rPr>
          <w:bCs/>
          <w:color w:val="002060"/>
          <w:sz w:val="16"/>
          <w:szCs w:val="16"/>
        </w:rPr>
      </w:pPr>
      <w:r w:rsidRPr="00405303">
        <w:rPr>
          <w:bCs/>
          <w:color w:val="002060"/>
          <w:sz w:val="16"/>
          <w:szCs w:val="16"/>
        </w:rPr>
        <w:t>Зигерт: "В марте 1915 г. после того как за зиму условия ведения воздушной войны на западном фронте сделались для нас невыносимыми, авиакорпус Верховного главнокомандования был переведен также на восток, где ему открылось широкое и благодарное поле деятельности. Базируясь на Алленштейн, он произвел в течение 30 дней 20 воздушных бомбардировок: на Ломжу, Остроленк, Прасныш, Це- ханов, Новгород и Белосток, при средней дистанции походов около 280 км".</w:t>
      </w:r>
    </w:p>
    <w:p w14:paraId="087135C5" w14:textId="77777777" w:rsidR="004B4E35" w:rsidRPr="00405303" w:rsidRDefault="009E6F82" w:rsidP="00C15251">
      <w:pPr>
        <w:jc w:val="both"/>
        <w:rPr>
          <w:bCs/>
          <w:color w:val="002060"/>
          <w:sz w:val="16"/>
          <w:szCs w:val="16"/>
        </w:rPr>
      </w:pPr>
      <w:r w:rsidRPr="00405303">
        <w:rPr>
          <w:bCs/>
          <w:color w:val="002060"/>
          <w:sz w:val="16"/>
          <w:szCs w:val="16"/>
        </w:rPr>
        <w:lastRenderedPageBreak/>
        <w:t>Зигерт: "Весной 1915 г. русские направили против 12-й армии большие воздушные силы, которые делали нападения даже на штабное расположение армии фон Гальвица" (11999).</w:t>
      </w:r>
    </w:p>
    <w:p w14:paraId="7A28692E" w14:textId="77777777" w:rsidR="004B4E35" w:rsidRPr="00405303" w:rsidRDefault="004B4E35" w:rsidP="00C15251">
      <w:pPr>
        <w:jc w:val="both"/>
        <w:rPr>
          <w:bCs/>
          <w:color w:val="002060"/>
          <w:sz w:val="16"/>
          <w:szCs w:val="16"/>
        </w:rPr>
      </w:pPr>
    </w:p>
    <w:p w14:paraId="7B5806C3" w14:textId="14DB9FF8" w:rsidR="004B4E35" w:rsidRPr="00405303" w:rsidRDefault="009E6F82" w:rsidP="00C15251">
      <w:pPr>
        <w:jc w:val="both"/>
        <w:rPr>
          <w:bCs/>
          <w:color w:val="002060"/>
          <w:sz w:val="16"/>
          <w:szCs w:val="16"/>
        </w:rPr>
      </w:pPr>
      <w:r w:rsidRPr="00405303">
        <w:rPr>
          <w:bCs/>
          <w:color w:val="002060"/>
          <w:sz w:val="16"/>
          <w:szCs w:val="16"/>
        </w:rPr>
        <w:t xml:space="preserve">18 </w:t>
      </w:r>
      <w:r w:rsidR="00D7068F" w:rsidRPr="00405303">
        <w:rPr>
          <w:bCs/>
          <w:color w:val="002060"/>
          <w:sz w:val="16"/>
          <w:szCs w:val="16"/>
        </w:rPr>
        <w:t xml:space="preserve">(31) </w:t>
      </w:r>
      <w:r w:rsidRPr="00405303">
        <w:rPr>
          <w:bCs/>
          <w:color w:val="002060"/>
          <w:sz w:val="16"/>
          <w:szCs w:val="16"/>
        </w:rPr>
        <w:t xml:space="preserve">марта 1915 г. экипаж Горшкова провел впервые в истории авиации глубокую (533 км.) стратегическую авиаразведку Восточной Пруссии. Она выявила, что немцы лишь проводят мероприятия по дезинформации русского командования, а главный удар – готовится в другом месте (печально известный Горлицкий прорыв в Галиции). За этот подвиг Горшков был произведен в подполковники и награжден Георгиевским Золотым оружием (Высочайший Приказ от 7 ноября 1915 г.). Хорошо знавший Горшкова лично врач К.Н.Финне позже писал: «Прямой и даже резкий по натуре, не умевший служить и </w:t>
      </w:r>
      <w:proofErr w:type="gramStart"/>
      <w:r w:rsidRPr="00405303">
        <w:rPr>
          <w:bCs/>
          <w:color w:val="002060"/>
          <w:sz w:val="16"/>
          <w:szCs w:val="16"/>
        </w:rPr>
        <w:t>нашим</w:t>
      </w:r>
      <w:proofErr w:type="gramEnd"/>
      <w:r w:rsidRPr="00405303">
        <w:rPr>
          <w:bCs/>
          <w:color w:val="002060"/>
          <w:sz w:val="16"/>
          <w:szCs w:val="16"/>
        </w:rPr>
        <w:t xml:space="preserve"> и вашим, Горшков из-за интриг, явившихся следствием этого антагонизма, в феврале 1916 г. ушел из Эскадры воздушных кораблей». (Финне К.Н. Русские воздушные богатыри И.И.Сикорского. М.2005. С.74) Финне вспоминает, что в 1915 г. начальник штаба одной из армий предложил Горшкову дилетантский и авантюристический план сесть на «Илье Муромце» на германский аэродром Санники, обстрелять из пулеметов охрану и сжечь ангары с самолетами противника. За этот подвиг исполнителю был обещан орден Св. Георгия 4-й ст. «На это предложение капитан Горшков остроумно ответил, что он полетит за Георгиевским крестом, но не прежде, чем кто-нибудь положит на германском аэродроме этот орден» (Финне К.Н. Русские воздушные богатыри И.И.Сикорского. М.2005. С.74).</w:t>
      </w:r>
    </w:p>
    <w:p w14:paraId="7B086D2F" w14:textId="77777777" w:rsidR="004B4E35" w:rsidRPr="00405303" w:rsidRDefault="004B4E35" w:rsidP="00C15251">
      <w:pPr>
        <w:jc w:val="both"/>
        <w:rPr>
          <w:bCs/>
          <w:color w:val="002060"/>
          <w:sz w:val="16"/>
          <w:szCs w:val="16"/>
        </w:rPr>
      </w:pPr>
    </w:p>
    <w:p w14:paraId="2A863FA2" w14:textId="5AF5C479" w:rsidR="00CE2966" w:rsidRPr="00405303" w:rsidRDefault="00CE2966" w:rsidP="00C15251">
      <w:pPr>
        <w:jc w:val="both"/>
        <w:rPr>
          <w:bCs/>
          <w:color w:val="002060"/>
          <w:sz w:val="16"/>
          <w:szCs w:val="16"/>
        </w:rPr>
      </w:pPr>
      <w:r w:rsidRPr="00405303">
        <w:rPr>
          <w:bCs/>
          <w:color w:val="002060"/>
          <w:sz w:val="16"/>
          <w:szCs w:val="16"/>
        </w:rPr>
        <w:t>18 (31) марта 1915 иг. «Илья Муромец» под командованием капитана Горева выполнил полет по марш</w:t>
      </w:r>
      <w:r w:rsidRPr="00405303">
        <w:rPr>
          <w:bCs/>
          <w:color w:val="002060"/>
          <w:sz w:val="16"/>
          <w:szCs w:val="16"/>
        </w:rPr>
        <w:softHyphen/>
        <w:t>руту Яблонна — Вилленберг — Наиденбург — Золь- дау — Лаутенбург — Страссбург — Торн — Плоцк — Млава — Яблонна протяженностью в 600 верст. На бор</w:t>
      </w:r>
      <w:r w:rsidRPr="00405303">
        <w:rPr>
          <w:bCs/>
          <w:color w:val="002060"/>
          <w:sz w:val="16"/>
          <w:szCs w:val="16"/>
        </w:rPr>
        <w:softHyphen/>
        <w:t>ту крома штатного экипажа был капитан Генерального штаба фон Гоерц. Полет продолжался более пяти часов. Представитель штаба и Наумов тщательно осмотрели все намеченные пункты и сделали около 50 фотоснимков. После обра</w:t>
      </w:r>
      <w:r w:rsidRPr="00405303">
        <w:rPr>
          <w:bCs/>
          <w:color w:val="002060"/>
          <w:sz w:val="16"/>
          <w:szCs w:val="16"/>
        </w:rPr>
        <w:softHyphen/>
        <w:t>ботки и изучения полученных данных выяснилось, что ни о какой концентрации войск противника не может быть и речи. Более того, часть укреплений оголена в связи с переброской войск на другое направление. Ста</w:t>
      </w:r>
      <w:r w:rsidRPr="00405303">
        <w:rPr>
          <w:bCs/>
          <w:color w:val="002060"/>
          <w:sz w:val="16"/>
          <w:szCs w:val="16"/>
        </w:rPr>
        <w:softHyphen/>
        <w:t>ло ясно, что немцы провели активное мероприятие по дезинформации. Русское командование сделало соот</w:t>
      </w:r>
      <w:r w:rsidRPr="00405303">
        <w:rPr>
          <w:bCs/>
          <w:color w:val="002060"/>
          <w:sz w:val="16"/>
          <w:szCs w:val="16"/>
        </w:rPr>
        <w:softHyphen/>
        <w:t>ветствующие выводы. Помощь «Муромца» при этом была неоценима (24177).</w:t>
      </w:r>
    </w:p>
    <w:p w14:paraId="7B43EF62" w14:textId="77777777" w:rsidR="00CE2966" w:rsidRPr="00405303" w:rsidRDefault="00CE2966" w:rsidP="00C15251">
      <w:pPr>
        <w:jc w:val="both"/>
        <w:rPr>
          <w:bCs/>
          <w:color w:val="002060"/>
          <w:sz w:val="16"/>
          <w:szCs w:val="16"/>
        </w:rPr>
      </w:pPr>
    </w:p>
    <w:p w14:paraId="78437204" w14:textId="7CAF90A0" w:rsidR="00CE2966" w:rsidRPr="00405303" w:rsidRDefault="00CE2966" w:rsidP="00C15251">
      <w:pPr>
        <w:jc w:val="both"/>
        <w:rPr>
          <w:bCs/>
          <w:color w:val="002060"/>
          <w:sz w:val="16"/>
          <w:szCs w:val="16"/>
        </w:rPr>
      </w:pPr>
      <w:r w:rsidRPr="00405303">
        <w:rPr>
          <w:bCs/>
          <w:color w:val="002060"/>
          <w:sz w:val="16"/>
          <w:szCs w:val="16"/>
        </w:rPr>
        <w:t>18 (31) марта 1915 г. во время очередного рейда германских самолетов на ЭВК в Яблоне от осколков сброшенных бомб едва не пострадал конструктор воздушных кораблей И.И. Сикорский. Помимо бомбового запаса неприятельские пилоты использовали оружие нового типа - флешетты (специальные металлические стрелы-дротики, размером не превышающие обыкновенный карандаш). Они обладали значительной пробивной способностью. Полученные экземпляры стрел руководством Управления Эскадры были отправлены в Варшаву (с просьбой изготовить 1000 шт.) и в Главное артиллерийское управление (с целью изучения и последующего налаживания производства)</w:t>
      </w:r>
      <w:hyperlink w:anchor="bookmark1155" w:tooltip="Current Document">
        <w:r w:rsidRPr="00405303">
          <w:rPr>
            <w:rStyle w:val="ad"/>
            <w:bCs/>
            <w:color w:val="002060"/>
            <w:sz w:val="16"/>
            <w:szCs w:val="16"/>
          </w:rPr>
          <w:t>!</w:t>
        </w:r>
      </w:hyperlink>
      <w:r w:rsidRPr="00405303">
        <w:rPr>
          <w:bCs/>
          <w:color w:val="002060"/>
          <w:sz w:val="16"/>
          <w:szCs w:val="16"/>
        </w:rPr>
        <w:t>. Вскоре был получен варшавский заказ, и, выдав на три воздушных корабля («Киевский», II и III) по 250 стрел, отвезли их на станции Вилленберг, Нейденбург и Сольдау.</w:t>
      </w:r>
    </w:p>
    <w:p w14:paraId="4E7A078D" w14:textId="77777777" w:rsidR="00CE2966" w:rsidRPr="00405303" w:rsidRDefault="00CE2966" w:rsidP="00C15251">
      <w:pPr>
        <w:jc w:val="both"/>
        <w:rPr>
          <w:bCs/>
          <w:color w:val="002060"/>
          <w:sz w:val="16"/>
          <w:szCs w:val="16"/>
        </w:rPr>
      </w:pPr>
      <w:r w:rsidRPr="00405303">
        <w:rPr>
          <w:bCs/>
          <w:color w:val="002060"/>
          <w:sz w:val="16"/>
          <w:szCs w:val="16"/>
        </w:rPr>
        <w:t>В результате воздушного налета серьезное ранение получил младший механик мастерских РБВЗ Иван Арай. В докладе об этом инциденте, в частности, отмечалось: «Будучи тяжело раненным осколками бомбы, мужественно перенес страдания, пока неприятельский аэроплан не скрылся с горизонта, и после произведенной ему операции по удалению правого глаза, зашития слепой кишки и отчасти раны плеча отказался от предложенной ему эвакуации и заявил, что по выздоровлению желает продолжить работу в ЭВК». За этот подвиг приказом по войскам 1-й армии от 7 июня 1915 г. И. Арай был награжден Георгиевской медалью IV степени. Это награждение стало первым в Эскадре воздушных кораблей (ЭВК) (23405).</w:t>
      </w:r>
    </w:p>
    <w:p w14:paraId="3A808F0E" w14:textId="77777777" w:rsidR="00CE2966" w:rsidRPr="00405303" w:rsidRDefault="00CE2966" w:rsidP="00C15251">
      <w:pPr>
        <w:jc w:val="both"/>
        <w:rPr>
          <w:bCs/>
          <w:color w:val="002060"/>
          <w:sz w:val="16"/>
          <w:szCs w:val="16"/>
        </w:rPr>
      </w:pPr>
    </w:p>
    <w:p w14:paraId="0D519824"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Армия:</w:t>
      </w:r>
    </w:p>
    <w:p w14:paraId="0E465E7E" w14:textId="77777777" w:rsidR="004B4E35" w:rsidRPr="00405303" w:rsidRDefault="004B4E35" w:rsidP="00C15251">
      <w:pPr>
        <w:shd w:val="clear" w:color="auto" w:fill="FFFFFF"/>
        <w:jc w:val="both"/>
        <w:rPr>
          <w:bCs/>
          <w:i/>
          <w:color w:val="002060"/>
          <w:sz w:val="16"/>
          <w:szCs w:val="16"/>
        </w:rPr>
      </w:pPr>
    </w:p>
    <w:p w14:paraId="3CA3D13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18 (31) марта 1915 г. Тарновский рапортом до</w:t>
      </w:r>
      <w:r w:rsidRPr="00405303">
        <w:rPr>
          <w:bCs/>
          <w:color w:val="002060"/>
          <w:sz w:val="16"/>
          <w:szCs w:val="16"/>
        </w:rPr>
        <w:softHyphen/>
        <w:t>ложил о сформировании первой в русской армии 4-орудийной «Отдельной автомобиль</w:t>
      </w:r>
      <w:r w:rsidRPr="00405303">
        <w:rPr>
          <w:bCs/>
          <w:color w:val="002060"/>
          <w:sz w:val="16"/>
          <w:szCs w:val="16"/>
        </w:rPr>
        <w:softHyphen/>
        <w:t>ной батареи для стрельбы по воздушному флоту», во главе которой через неделю «вы</w:t>
      </w:r>
      <w:r w:rsidRPr="00405303">
        <w:rPr>
          <w:bCs/>
          <w:color w:val="002060"/>
          <w:sz w:val="16"/>
          <w:szCs w:val="16"/>
        </w:rPr>
        <w:softHyphen/>
        <w:t>ступил на театр войны». В состав батареи входили 4 пушечных автомобиля, 4 авто</w:t>
      </w:r>
      <w:r w:rsidRPr="00405303">
        <w:rPr>
          <w:bCs/>
          <w:color w:val="002060"/>
          <w:sz w:val="16"/>
          <w:szCs w:val="16"/>
        </w:rPr>
        <w:softHyphen/>
        <w:t>мобиля с зарядными ящиками, 3 легковых автомобиля, 4 «мото</w:t>
      </w:r>
      <w:r w:rsidRPr="00405303">
        <w:rPr>
          <w:bCs/>
          <w:color w:val="002060"/>
          <w:sz w:val="16"/>
          <w:szCs w:val="16"/>
        </w:rPr>
        <w:softHyphen/>
        <w:t>циклета» и автомо</w:t>
      </w:r>
      <w:r w:rsidRPr="00405303">
        <w:rPr>
          <w:bCs/>
          <w:color w:val="002060"/>
          <w:sz w:val="16"/>
          <w:szCs w:val="16"/>
        </w:rPr>
        <w:softHyphen/>
        <w:t>биль кухня-цейхгауз; 4 офицерских и классных чинов, 78 нижних чинов и один вольнонаёмный мас</w:t>
      </w:r>
      <w:r w:rsidRPr="00405303">
        <w:rPr>
          <w:bCs/>
          <w:color w:val="002060"/>
          <w:sz w:val="16"/>
          <w:szCs w:val="16"/>
        </w:rPr>
        <w:softHyphen/>
        <w:t>тер. В период форми</w:t>
      </w:r>
      <w:r w:rsidRPr="00405303">
        <w:rPr>
          <w:bCs/>
          <w:color w:val="002060"/>
          <w:sz w:val="16"/>
          <w:szCs w:val="16"/>
        </w:rPr>
        <w:softHyphen/>
        <w:t>рования батареи и в ходе практиче</w:t>
      </w:r>
      <w:r w:rsidRPr="00405303">
        <w:rPr>
          <w:bCs/>
          <w:color w:val="002060"/>
          <w:sz w:val="16"/>
          <w:szCs w:val="16"/>
        </w:rPr>
        <w:softHyphen/>
        <w:t>ской деятельности В.В.Тарновский раз</w:t>
      </w:r>
      <w:r w:rsidRPr="00405303">
        <w:rPr>
          <w:bCs/>
          <w:color w:val="002060"/>
          <w:sz w:val="16"/>
          <w:szCs w:val="16"/>
        </w:rPr>
        <w:softHyphen/>
        <w:t>работал и издал ряд руководящих доку</w:t>
      </w:r>
      <w:r w:rsidRPr="00405303">
        <w:rPr>
          <w:bCs/>
          <w:color w:val="002060"/>
          <w:sz w:val="16"/>
          <w:szCs w:val="16"/>
        </w:rPr>
        <w:softHyphen/>
        <w:t>ментов: «Устав бата</w:t>
      </w:r>
      <w:r w:rsidRPr="00405303">
        <w:rPr>
          <w:bCs/>
          <w:color w:val="002060"/>
          <w:sz w:val="16"/>
          <w:szCs w:val="16"/>
        </w:rPr>
        <w:softHyphen/>
        <w:t>рейного учения», «Правила стрельбы автомобильной бата</w:t>
      </w:r>
      <w:r w:rsidRPr="00405303">
        <w:rPr>
          <w:bCs/>
          <w:color w:val="002060"/>
          <w:sz w:val="16"/>
          <w:szCs w:val="16"/>
        </w:rPr>
        <w:softHyphen/>
        <w:t>реи для стрельбы по воздушному флоту» и «Полевые таблицы стрельбы» (март 1915г.).</w:t>
      </w:r>
    </w:p>
    <w:p w14:paraId="739D920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Первым испыта</w:t>
      </w:r>
      <w:r w:rsidRPr="00405303">
        <w:rPr>
          <w:bCs/>
          <w:color w:val="002060"/>
          <w:sz w:val="16"/>
          <w:szCs w:val="16"/>
        </w:rPr>
        <w:softHyphen/>
        <w:t>тельным полигоном зенитной батареи стало Польское кня</w:t>
      </w:r>
      <w:r w:rsidRPr="00405303">
        <w:rPr>
          <w:bCs/>
          <w:color w:val="002060"/>
          <w:sz w:val="16"/>
          <w:szCs w:val="16"/>
        </w:rPr>
        <w:softHyphen/>
        <w:t>жество, где развора</w:t>
      </w:r>
      <w:r w:rsidRPr="00405303">
        <w:rPr>
          <w:bCs/>
          <w:color w:val="002060"/>
          <w:sz w:val="16"/>
          <w:szCs w:val="16"/>
        </w:rPr>
        <w:softHyphen/>
        <w:t>чивались главные со</w:t>
      </w:r>
      <w:r w:rsidRPr="00405303">
        <w:rPr>
          <w:bCs/>
          <w:color w:val="002060"/>
          <w:sz w:val="16"/>
          <w:szCs w:val="16"/>
        </w:rPr>
        <w:softHyphen/>
        <w:t>бытия на всём рус</w:t>
      </w:r>
      <w:r w:rsidRPr="00405303">
        <w:rPr>
          <w:bCs/>
          <w:color w:val="002060"/>
          <w:sz w:val="16"/>
          <w:szCs w:val="16"/>
        </w:rPr>
        <w:softHyphen/>
        <w:t>ско-германском фронте. К весне 1915 г. армии Северо-Западного фронта (СЗФ), обескровив германскую армей</w:t>
      </w:r>
      <w:r w:rsidRPr="00405303">
        <w:rPr>
          <w:bCs/>
          <w:color w:val="002060"/>
          <w:sz w:val="16"/>
          <w:szCs w:val="16"/>
        </w:rPr>
        <w:softHyphen/>
        <w:t>скую группу генерала М.Гальвица, отброси</w:t>
      </w:r>
      <w:r w:rsidRPr="00405303">
        <w:rPr>
          <w:bCs/>
          <w:color w:val="002060"/>
          <w:sz w:val="16"/>
          <w:szCs w:val="16"/>
        </w:rPr>
        <w:softHyphen/>
        <w:t>ли её к границам Во</w:t>
      </w:r>
      <w:r w:rsidRPr="00405303">
        <w:rPr>
          <w:bCs/>
          <w:color w:val="002060"/>
          <w:sz w:val="16"/>
          <w:szCs w:val="16"/>
        </w:rPr>
        <w:softHyphen/>
        <w:t>сточной Пруссии. Ис</w:t>
      </w:r>
      <w:r w:rsidRPr="00405303">
        <w:rPr>
          <w:bCs/>
          <w:color w:val="002060"/>
          <w:sz w:val="16"/>
          <w:szCs w:val="16"/>
        </w:rPr>
        <w:softHyphen/>
        <w:t>пытывая временные трудности на земле, противник активизировал свою деятельность в воздухе. Объек</w:t>
      </w:r>
      <w:r w:rsidRPr="00405303">
        <w:rPr>
          <w:bCs/>
          <w:color w:val="002060"/>
          <w:sz w:val="16"/>
          <w:szCs w:val="16"/>
        </w:rPr>
        <w:softHyphen/>
        <w:t>тами его воздушных налетов всё чаще ста</w:t>
      </w:r>
      <w:r w:rsidRPr="00405303">
        <w:rPr>
          <w:bCs/>
          <w:color w:val="002060"/>
          <w:sz w:val="16"/>
          <w:szCs w:val="16"/>
        </w:rPr>
        <w:softHyphen/>
        <w:t>новились незащищённые прифронтовые на</w:t>
      </w:r>
      <w:r w:rsidRPr="00405303">
        <w:rPr>
          <w:bCs/>
          <w:color w:val="002060"/>
          <w:sz w:val="16"/>
          <w:szCs w:val="16"/>
        </w:rPr>
        <w:softHyphen/>
        <w:t>селённые пункты. Именно их частичное про</w:t>
      </w:r>
      <w:r w:rsidRPr="00405303">
        <w:rPr>
          <w:bCs/>
          <w:color w:val="002060"/>
          <w:sz w:val="16"/>
          <w:szCs w:val="16"/>
        </w:rPr>
        <w:softHyphen/>
        <w:t>тивовоздушное прикрытие было поручено батарее Тарновского (11391).</w:t>
      </w:r>
    </w:p>
    <w:p w14:paraId="7EF80416" w14:textId="77777777" w:rsidR="004B4E35" w:rsidRPr="00405303" w:rsidRDefault="004B4E35" w:rsidP="00C15251">
      <w:pPr>
        <w:shd w:val="clear" w:color="auto" w:fill="FFFFFF"/>
        <w:jc w:val="both"/>
        <w:rPr>
          <w:bCs/>
          <w:color w:val="002060"/>
          <w:sz w:val="16"/>
          <w:szCs w:val="16"/>
        </w:rPr>
      </w:pPr>
    </w:p>
    <w:p w14:paraId="0BC1AF6A" w14:textId="77777777" w:rsidR="004B4E35" w:rsidRPr="00405303" w:rsidRDefault="009E6F82" w:rsidP="00C15251">
      <w:pPr>
        <w:jc w:val="both"/>
        <w:rPr>
          <w:bCs/>
          <w:color w:val="002060"/>
          <w:sz w:val="16"/>
          <w:szCs w:val="16"/>
        </w:rPr>
      </w:pPr>
      <w:r w:rsidRPr="00405303">
        <w:rPr>
          <w:bCs/>
          <w:color w:val="002060"/>
          <w:sz w:val="16"/>
          <w:szCs w:val="16"/>
        </w:rPr>
        <w:t>18 (31) марта 1915 при Офицерской школе была сформирована первая специальная артиллерийская батарея для стрельбы по воздушным целям под командованием штабс-капитана Тарновского. Батарея была вооружена четырьмя орудиями, установленными на специально приспособленных бронированных автомобилях; те же автомобили служили одновременно и зарядными ящиками (в каждом автомобиле помещалось по 64 патрона). Кроме того, в батарее состояло: 4 бронированных автомобиля — зарядных ящика, в каждом из них возилось по 96 патронов, по 20 пуд. (около 330 кг) бензина и масла; 3 легковых автомобиля для офицеров и команды связи (прочие солдаты размещались на орудийных автомобилях — по 6 орудийных номеров и по 2 шофера и на автомобилях-зарядных ящиках — по 3 солдата и по 2 шофера); 4 мотоциклета для разведчиков и 1 автомобиль — кухня-цейхгауз. Бронировка автомобилей состояла из щитовой стали 3-мм толщины, предохраняющей шоферов, прислугу и жизненные части машины от шрапнельного и дальнего ружейного огня.</w:t>
      </w:r>
    </w:p>
    <w:p w14:paraId="20732CE2" w14:textId="77777777" w:rsidR="004B4E35" w:rsidRPr="00405303" w:rsidRDefault="004B4E35" w:rsidP="00C15251">
      <w:pPr>
        <w:jc w:val="both"/>
        <w:rPr>
          <w:bCs/>
          <w:i/>
          <w:color w:val="002060"/>
          <w:sz w:val="16"/>
          <w:szCs w:val="16"/>
        </w:rPr>
      </w:pPr>
    </w:p>
    <w:p w14:paraId="7D8D967E" w14:textId="4FBDA855" w:rsidR="00FB001D" w:rsidRPr="00405303" w:rsidRDefault="00FB001D" w:rsidP="00C15251">
      <w:pPr>
        <w:jc w:val="both"/>
        <w:rPr>
          <w:bCs/>
          <w:color w:val="002060"/>
          <w:sz w:val="16"/>
          <w:szCs w:val="16"/>
        </w:rPr>
      </w:pPr>
      <w:r w:rsidRPr="00405303">
        <w:rPr>
          <w:bCs/>
          <w:color w:val="002060"/>
          <w:sz w:val="16"/>
          <w:szCs w:val="16"/>
        </w:rPr>
        <w:t xml:space="preserve">18 </w:t>
      </w:r>
      <w:r w:rsidR="00F64039" w:rsidRPr="00405303">
        <w:rPr>
          <w:bCs/>
          <w:color w:val="002060"/>
          <w:sz w:val="16"/>
          <w:szCs w:val="16"/>
        </w:rPr>
        <w:t xml:space="preserve">(31) </w:t>
      </w:r>
      <w:r w:rsidRPr="00405303">
        <w:rPr>
          <w:bCs/>
          <w:color w:val="002060"/>
          <w:sz w:val="16"/>
          <w:szCs w:val="16"/>
        </w:rPr>
        <w:t xml:space="preserve">марта в 1915 году сформирована первая в истории русской «специальная автомобильная батарея для стрельбы по воздушным целям», вооруженная специальными зенитными орудиями конструкции Ф.Ф.Лендера (зенитная батарея). Батарея формировалась при Офицерской артиллерийской школе в Царском Селе. Командиром назначен гвардии штабс-капитан В.В.Тарновский. 25 марта батарея была отправлена на Северный фронт, формирование батареи дало толчок развитию отечественной войсковой противовоздушной обороны. Всего за 1914 - 1917 г.г. были сформированы 251 зенитная батарея, но из них только 30 были оснащены зенитными пушками образца 1914 года. Сама пушка была разработана на Путиловском заводе инженером Ф.Ф.Лендером и капитаном В.В.Тарновским. Это было первое орудие, оснащенное полуавтоматическим клиновым затвором с инерционной полуавтоматикой. Первоначально угол возвышения орудия был 65 градусов. В 1915 году Путиловский завод начал выпуск улучшенной </w:t>
      </w:r>
      <w:hyperlink r:id="rId30" w:tgtFrame="_blank" w:history="1">
        <w:r w:rsidRPr="00405303">
          <w:rPr>
            <w:bCs/>
            <w:color w:val="002060"/>
            <w:sz w:val="16"/>
            <w:szCs w:val="16"/>
          </w:rPr>
          <w:t xml:space="preserve">76-мм зенитной пушки </w:t>
        </w:r>
      </w:hyperlink>
      <w:r w:rsidRPr="00405303">
        <w:rPr>
          <w:bCs/>
          <w:color w:val="002060"/>
          <w:sz w:val="16"/>
          <w:szCs w:val="16"/>
        </w:rPr>
        <w:t>образца 1914/1915 года с углом возвышения 75 градусов.</w:t>
      </w:r>
    </w:p>
    <w:p w14:paraId="3BD3490C" w14:textId="77777777" w:rsidR="00FB001D" w:rsidRPr="00405303" w:rsidRDefault="00FB001D" w:rsidP="00C15251">
      <w:pPr>
        <w:jc w:val="both"/>
        <w:rPr>
          <w:bCs/>
          <w:color w:val="002060"/>
          <w:sz w:val="16"/>
          <w:szCs w:val="16"/>
        </w:rPr>
      </w:pPr>
      <w:r w:rsidRPr="00405303">
        <w:rPr>
          <w:bCs/>
          <w:color w:val="002060"/>
          <w:sz w:val="16"/>
          <w:szCs w:val="16"/>
        </w:rPr>
        <w:t>В советское время пушка выпускалась до 1934 года на заводе №8. Лафет пушки представлял собой тумбовую установку, которая болтами закреплялась на неподвижной плите или площадке повозки. Пушка устанавливалась на боевых кораблях, автомобилях, специальных повозках и на стационарных зенитных батареях. В 1928 году пушка прошла модернизацию, которая заключалась в увеличении длины ствола до 55 калибров, увеличении начальной скорости до 730 м/сек и досягаемости по высоте до 8000 м. Пушка могла стрелять всеми выстрелами от 76-мм дивизионных пушек. К ней был разработан ряд специальных снарядов, содержащих в качестве поражающих элементов не только шаровые пули, но и стержни различной формы и веса. В части снарядов такие элементы были попарно соединены стальным тросом, что позволяло увеличить степень поражения самолета. Пушка приняла участие в Великой Отечественной войне (15072).</w:t>
      </w:r>
    </w:p>
    <w:p w14:paraId="33A63324" w14:textId="77777777" w:rsidR="00FB001D" w:rsidRPr="00405303" w:rsidRDefault="00FB001D" w:rsidP="00C15251">
      <w:pPr>
        <w:jc w:val="both"/>
        <w:rPr>
          <w:bCs/>
          <w:color w:val="002060"/>
          <w:sz w:val="16"/>
          <w:szCs w:val="16"/>
        </w:rPr>
      </w:pPr>
    </w:p>
    <w:p w14:paraId="0A04C77F" w14:textId="77777777" w:rsidR="00FB001D" w:rsidRPr="00405303" w:rsidRDefault="00FB001D" w:rsidP="00C15251">
      <w:pPr>
        <w:jc w:val="both"/>
        <w:rPr>
          <w:bCs/>
          <w:i/>
          <w:color w:val="002060"/>
          <w:sz w:val="16"/>
          <w:szCs w:val="16"/>
        </w:rPr>
      </w:pPr>
      <w:r w:rsidRPr="00405303">
        <w:rPr>
          <w:bCs/>
          <w:i/>
          <w:color w:val="002060"/>
          <w:sz w:val="16"/>
          <w:szCs w:val="16"/>
        </w:rPr>
        <w:t>Авиация и воздухоплавание Франции:</w:t>
      </w:r>
    </w:p>
    <w:p w14:paraId="7465F753" w14:textId="77777777" w:rsidR="00FB001D" w:rsidRPr="00405303" w:rsidRDefault="00FB001D" w:rsidP="00C15251">
      <w:pPr>
        <w:jc w:val="both"/>
        <w:rPr>
          <w:bCs/>
          <w:i/>
          <w:color w:val="002060"/>
          <w:sz w:val="16"/>
          <w:szCs w:val="16"/>
        </w:rPr>
      </w:pPr>
    </w:p>
    <w:p w14:paraId="06CE2118" w14:textId="77777777" w:rsidR="00FB001D" w:rsidRPr="00405303" w:rsidRDefault="00FB001D" w:rsidP="00C15251">
      <w:pPr>
        <w:jc w:val="both"/>
        <w:rPr>
          <w:bCs/>
          <w:color w:val="002060"/>
          <w:sz w:val="16"/>
          <w:szCs w:val="16"/>
        </w:rPr>
      </w:pPr>
      <w:r w:rsidRPr="00405303">
        <w:rPr>
          <w:bCs/>
          <w:color w:val="002060"/>
          <w:sz w:val="16"/>
          <w:szCs w:val="16"/>
        </w:rPr>
        <w:t xml:space="preserve">18 (31) марта в 1915 году во время испытаний, проводившихся на озере Серсей затонул вертолет французев Папена и Руйи. Он был первым вертолетом, взлетавшим во время испытаний с воды. Его отличала необычная компоновка 80-сильного мотора «Ле Рои», приводившего в действие вентилятор, создававший воздушный поток, который, выходя из отверстия в единственной полой лопасти несущего винта, заставлял ее вращаться, тогда как остаточный воздух должен был, по замыслу </w:t>
      </w:r>
      <w:r w:rsidRPr="00405303">
        <w:rPr>
          <w:bCs/>
          <w:color w:val="002060"/>
          <w:sz w:val="16"/>
          <w:szCs w:val="16"/>
        </w:rPr>
        <w:lastRenderedPageBreak/>
        <w:t>изобретателей, обеспечить путевое управление. Во время испытаний, проводившихся на озере Серсей 31 марта 1915 г, вертолет оказался неустойчивым и затонул (15085).</w:t>
      </w:r>
    </w:p>
    <w:p w14:paraId="2CD84599" w14:textId="77777777" w:rsidR="00FB001D" w:rsidRPr="00405303" w:rsidRDefault="00FB001D" w:rsidP="00C15251">
      <w:pPr>
        <w:jc w:val="both"/>
        <w:rPr>
          <w:bCs/>
          <w:color w:val="002060"/>
          <w:sz w:val="16"/>
          <w:szCs w:val="16"/>
        </w:rPr>
      </w:pPr>
    </w:p>
    <w:p w14:paraId="01CDEB7C" w14:textId="26D8D9B5" w:rsidR="004339A6" w:rsidRPr="00405303" w:rsidRDefault="004339A6" w:rsidP="00C15251">
      <w:pPr>
        <w:jc w:val="both"/>
        <w:rPr>
          <w:bCs/>
          <w:i/>
          <w:color w:val="002060"/>
          <w:sz w:val="16"/>
          <w:szCs w:val="16"/>
        </w:rPr>
      </w:pPr>
      <w:r w:rsidRPr="00405303">
        <w:rPr>
          <w:bCs/>
          <w:i/>
          <w:color w:val="002060"/>
          <w:sz w:val="16"/>
          <w:szCs w:val="16"/>
        </w:rPr>
        <w:t>Авиация и воздухоплавание за рубежом:</w:t>
      </w:r>
    </w:p>
    <w:p w14:paraId="53CF9C0F" w14:textId="77777777" w:rsidR="004339A6" w:rsidRPr="00405303" w:rsidRDefault="004339A6" w:rsidP="00C15251">
      <w:pPr>
        <w:jc w:val="both"/>
        <w:rPr>
          <w:bCs/>
          <w:i/>
          <w:color w:val="002060"/>
          <w:sz w:val="16"/>
          <w:szCs w:val="16"/>
        </w:rPr>
      </w:pPr>
    </w:p>
    <w:p w14:paraId="23FED837" w14:textId="27215088" w:rsidR="004339A6" w:rsidRPr="00405303" w:rsidRDefault="004339A6" w:rsidP="00C15251">
      <w:pPr>
        <w:jc w:val="both"/>
        <w:rPr>
          <w:bCs/>
          <w:color w:val="002060"/>
          <w:sz w:val="16"/>
          <w:szCs w:val="16"/>
        </w:rPr>
      </w:pPr>
      <w:r w:rsidRPr="00405303">
        <w:rPr>
          <w:bCs/>
          <w:color w:val="002060"/>
          <w:sz w:val="16"/>
          <w:szCs w:val="16"/>
        </w:rPr>
        <w:t xml:space="preserve">18 (31) марта 1915 года </w:t>
      </w:r>
      <w:r w:rsidR="00F64039" w:rsidRPr="00405303">
        <w:rPr>
          <w:bCs/>
          <w:color w:val="002060"/>
          <w:sz w:val="16"/>
          <w:szCs w:val="16"/>
        </w:rPr>
        <w:t>состоялась</w:t>
      </w:r>
      <w:r w:rsidRPr="00405303">
        <w:rPr>
          <w:bCs/>
          <w:color w:val="002060"/>
          <w:sz w:val="16"/>
          <w:szCs w:val="16"/>
        </w:rPr>
        <w:t xml:space="preserve"> первая попытка взлёта гироптера</w:t>
      </w:r>
      <w:r w:rsidR="00DB4D64" w:rsidRPr="00405303">
        <w:rPr>
          <w:bCs/>
          <w:color w:val="002060"/>
          <w:sz w:val="16"/>
          <w:szCs w:val="16"/>
        </w:rPr>
        <w:t xml:space="preserve"> </w:t>
      </w:r>
      <w:r w:rsidRPr="00405303">
        <w:rPr>
          <w:bCs/>
          <w:color w:val="002060"/>
          <w:sz w:val="16"/>
          <w:szCs w:val="16"/>
        </w:rPr>
        <w:t>Chrysalide.</w:t>
      </w:r>
    </w:p>
    <w:p w14:paraId="02B97560" w14:textId="0CC5A6E0" w:rsidR="004339A6" w:rsidRPr="00405303" w:rsidRDefault="004339A6" w:rsidP="00C15251">
      <w:pPr>
        <w:jc w:val="both"/>
        <w:rPr>
          <w:bCs/>
          <w:color w:val="002060"/>
          <w:sz w:val="16"/>
          <w:szCs w:val="16"/>
        </w:rPr>
      </w:pPr>
      <w:r w:rsidRPr="00405303">
        <w:rPr>
          <w:bCs/>
          <w:color w:val="002060"/>
          <w:sz w:val="16"/>
          <w:szCs w:val="16"/>
        </w:rPr>
        <w:t>Инженеры</w:t>
      </w:r>
      <w:r w:rsidR="00DB4D64" w:rsidRPr="00405303">
        <w:rPr>
          <w:bCs/>
          <w:color w:val="002060"/>
          <w:sz w:val="16"/>
          <w:szCs w:val="16"/>
        </w:rPr>
        <w:t xml:space="preserve"> </w:t>
      </w:r>
      <w:r w:rsidRPr="00405303">
        <w:rPr>
          <w:bCs/>
          <w:color w:val="002060"/>
          <w:sz w:val="16"/>
          <w:szCs w:val="16"/>
        </w:rPr>
        <w:t>Альфонс Папен и Дидье Руилли</w:t>
      </w:r>
      <w:r w:rsidR="00DB4D64" w:rsidRPr="00405303">
        <w:rPr>
          <w:bCs/>
          <w:color w:val="002060"/>
          <w:sz w:val="16"/>
          <w:szCs w:val="16"/>
        </w:rPr>
        <w:t xml:space="preserve"> </w:t>
      </w:r>
      <w:r w:rsidRPr="00405303">
        <w:rPr>
          <w:bCs/>
          <w:color w:val="002060"/>
          <w:sz w:val="16"/>
          <w:szCs w:val="16"/>
        </w:rPr>
        <w:t>задумали воплотить в металле</w:t>
      </w:r>
      <w:r w:rsidR="00DB4D64" w:rsidRPr="00405303">
        <w:rPr>
          <w:bCs/>
          <w:color w:val="002060"/>
          <w:sz w:val="16"/>
          <w:szCs w:val="16"/>
        </w:rPr>
        <w:t xml:space="preserve"> </w:t>
      </w:r>
      <w:r w:rsidRPr="00405303">
        <w:rPr>
          <w:bCs/>
          <w:color w:val="002060"/>
          <w:sz w:val="16"/>
          <w:szCs w:val="16"/>
        </w:rPr>
        <w:t>монокоптер</w:t>
      </w:r>
      <w:r w:rsidR="00DB4D64" w:rsidRPr="00405303">
        <w:rPr>
          <w:bCs/>
          <w:color w:val="002060"/>
          <w:sz w:val="16"/>
          <w:szCs w:val="16"/>
        </w:rPr>
        <w:t xml:space="preserve"> </w:t>
      </w:r>
      <w:r w:rsidRPr="00405303">
        <w:rPr>
          <w:bCs/>
          <w:color w:val="002060"/>
          <w:sz w:val="16"/>
          <w:szCs w:val="16"/>
        </w:rPr>
        <w:t>— вертолёт с одной лопастью.</w:t>
      </w:r>
    </w:p>
    <w:p w14:paraId="1FD88A9D" w14:textId="1F392572" w:rsidR="004339A6" w:rsidRPr="00405303" w:rsidRDefault="004339A6" w:rsidP="00C15251">
      <w:pPr>
        <w:jc w:val="both"/>
        <w:rPr>
          <w:bCs/>
          <w:color w:val="002060"/>
          <w:sz w:val="16"/>
          <w:szCs w:val="16"/>
        </w:rPr>
      </w:pPr>
      <w:r w:rsidRPr="00405303">
        <w:rPr>
          <w:bCs/>
          <w:color w:val="002060"/>
          <w:sz w:val="16"/>
          <w:szCs w:val="16"/>
        </w:rPr>
        <w:t>Chrysalide состоял из трёх частей: силовой установки, «стакана» пилота и полой лопасти длиной</w:t>
      </w:r>
      <w:r w:rsidR="00DB4D64" w:rsidRPr="00405303">
        <w:rPr>
          <w:bCs/>
          <w:color w:val="002060"/>
          <w:sz w:val="16"/>
          <w:szCs w:val="16"/>
        </w:rPr>
        <w:t xml:space="preserve"> </w:t>
      </w:r>
      <w:r w:rsidRPr="00405303">
        <w:rPr>
          <w:bCs/>
          <w:color w:val="002060"/>
          <w:sz w:val="16"/>
          <w:szCs w:val="16"/>
        </w:rPr>
        <w:t>17</w:t>
      </w:r>
      <w:r w:rsidR="00DB4D64" w:rsidRPr="00405303">
        <w:rPr>
          <w:bCs/>
          <w:color w:val="002060"/>
          <w:sz w:val="16"/>
          <w:szCs w:val="16"/>
        </w:rPr>
        <w:t xml:space="preserve"> </w:t>
      </w:r>
      <w:r w:rsidRPr="00405303">
        <w:rPr>
          <w:bCs/>
          <w:color w:val="002060"/>
          <w:sz w:val="16"/>
          <w:szCs w:val="16"/>
        </w:rPr>
        <w:t>метров. Двигатель</w:t>
      </w:r>
      <w:r w:rsidR="00DB4D64" w:rsidRPr="00405303">
        <w:rPr>
          <w:bCs/>
          <w:color w:val="002060"/>
          <w:sz w:val="16"/>
          <w:szCs w:val="16"/>
        </w:rPr>
        <w:t xml:space="preserve"> </w:t>
      </w:r>
      <w:r w:rsidRPr="00405303">
        <w:rPr>
          <w:bCs/>
          <w:color w:val="002060"/>
          <w:sz w:val="16"/>
          <w:szCs w:val="16"/>
        </w:rPr>
        <w:t>Rhone</w:t>
      </w:r>
      <w:r w:rsidR="00DB4D64" w:rsidRPr="00405303">
        <w:rPr>
          <w:bCs/>
          <w:color w:val="002060"/>
          <w:sz w:val="16"/>
          <w:szCs w:val="16"/>
        </w:rPr>
        <w:t xml:space="preserve"> </w:t>
      </w:r>
      <w:r w:rsidRPr="00405303">
        <w:rPr>
          <w:bCs/>
          <w:color w:val="002060"/>
          <w:sz w:val="16"/>
          <w:szCs w:val="16"/>
        </w:rPr>
        <w:t>вращал вентилятор, нагнетавший воздух внутрь лопасти. Струя воздуха, выходившая из раструба на конце лопасти, обеспечивала аппарату вращение. Фактически это был первый вертолёт на реактивной тяге. Управлялся гироптер воздушным рулём — часть воздуха отводилась в Г-образный воздуховод, который пилот мог поворачивать.</w:t>
      </w:r>
    </w:p>
    <w:p w14:paraId="514A7F5B" w14:textId="31669FEA" w:rsidR="004339A6" w:rsidRPr="00405303" w:rsidRDefault="004339A6" w:rsidP="00C15251">
      <w:pPr>
        <w:jc w:val="both"/>
        <w:rPr>
          <w:bCs/>
          <w:color w:val="002060"/>
          <w:sz w:val="16"/>
          <w:szCs w:val="16"/>
        </w:rPr>
      </w:pPr>
      <w:r w:rsidRPr="00405303">
        <w:rPr>
          <w:bCs/>
          <w:color w:val="002060"/>
          <w:sz w:val="16"/>
          <w:szCs w:val="16"/>
        </w:rPr>
        <w:t>Нехватка мощности двигателя, недостаточная балансировка аппарата и перебор по весу</w:t>
      </w:r>
      <w:r w:rsidR="00DB4D64" w:rsidRPr="00405303">
        <w:rPr>
          <w:bCs/>
          <w:color w:val="002060"/>
          <w:sz w:val="16"/>
          <w:szCs w:val="16"/>
        </w:rPr>
        <w:t xml:space="preserve"> </w:t>
      </w:r>
      <w:r w:rsidRPr="00405303">
        <w:rPr>
          <w:bCs/>
          <w:color w:val="002060"/>
          <w:sz w:val="16"/>
          <w:szCs w:val="16"/>
        </w:rPr>
        <w:t>привели к провалу попытки Chrysalide взлететь. Гироптер был повреждён и затонул. Все работы над проектом свернули, а сам аппарат подняли со дна озера и продали на слом (22300).</w:t>
      </w:r>
    </w:p>
    <w:p w14:paraId="32049A21" w14:textId="77777777" w:rsidR="004339A6" w:rsidRPr="00405303" w:rsidRDefault="004339A6" w:rsidP="00C15251">
      <w:pPr>
        <w:jc w:val="both"/>
        <w:rPr>
          <w:bCs/>
          <w:color w:val="002060"/>
          <w:sz w:val="16"/>
          <w:szCs w:val="16"/>
        </w:rPr>
      </w:pPr>
    </w:p>
    <w:p w14:paraId="7FF2DB0A" w14:textId="77777777" w:rsidR="00FB001D" w:rsidRPr="00405303" w:rsidRDefault="00FB001D" w:rsidP="00C15251">
      <w:pPr>
        <w:jc w:val="both"/>
        <w:rPr>
          <w:bCs/>
          <w:i/>
          <w:color w:val="002060"/>
          <w:sz w:val="16"/>
          <w:szCs w:val="16"/>
        </w:rPr>
      </w:pPr>
      <w:r w:rsidRPr="00405303">
        <w:rPr>
          <w:bCs/>
          <w:i/>
          <w:color w:val="002060"/>
          <w:sz w:val="16"/>
          <w:szCs w:val="16"/>
        </w:rPr>
        <w:t>За рубежом:</w:t>
      </w:r>
    </w:p>
    <w:p w14:paraId="22CA1462" w14:textId="77777777" w:rsidR="00FB001D" w:rsidRPr="00405303" w:rsidRDefault="00FB001D" w:rsidP="00C15251">
      <w:pPr>
        <w:jc w:val="both"/>
        <w:rPr>
          <w:bCs/>
          <w:color w:val="002060"/>
          <w:sz w:val="16"/>
          <w:szCs w:val="16"/>
        </w:rPr>
      </w:pPr>
    </w:p>
    <w:p w14:paraId="3D7CAFEB" w14:textId="77777777" w:rsidR="00FB001D" w:rsidRPr="00405303" w:rsidRDefault="00FB001D" w:rsidP="00C15251">
      <w:pPr>
        <w:jc w:val="both"/>
        <w:rPr>
          <w:bCs/>
          <w:color w:val="002060"/>
          <w:sz w:val="16"/>
          <w:szCs w:val="16"/>
        </w:rPr>
      </w:pPr>
      <w:r w:rsidRPr="00405303">
        <w:rPr>
          <w:bCs/>
          <w:color w:val="002060"/>
          <w:sz w:val="16"/>
          <w:szCs w:val="16"/>
        </w:rPr>
        <w:t>18 (31) марта в 1915 году правительство США запретило предоставление займов воюющим странам, однако банкам разрешалось давать кредиты (15085).</w:t>
      </w:r>
    </w:p>
    <w:p w14:paraId="7375ACAD" w14:textId="77777777" w:rsidR="00FB001D" w:rsidRPr="00405303" w:rsidRDefault="00FB001D" w:rsidP="00C15251">
      <w:pPr>
        <w:jc w:val="both"/>
        <w:rPr>
          <w:bCs/>
          <w:color w:val="002060"/>
          <w:sz w:val="16"/>
          <w:szCs w:val="16"/>
        </w:rPr>
      </w:pPr>
    </w:p>
    <w:p w14:paraId="3F5AFF83" w14:textId="07E33D72" w:rsidR="00D85D3A" w:rsidRPr="00405303" w:rsidRDefault="00D85D3A"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73B0ACD9" w14:textId="77777777" w:rsidR="00D85D3A" w:rsidRPr="00405303" w:rsidRDefault="00D85D3A" w:rsidP="00C15251">
      <w:pPr>
        <w:pStyle w:val="a3"/>
        <w:jc w:val="both"/>
        <w:rPr>
          <w:bCs/>
          <w:color w:val="002060"/>
          <w:spacing w:val="0"/>
          <w:kern w:val="0"/>
          <w:position w:val="0"/>
          <w:sz w:val="16"/>
          <w:szCs w:val="16"/>
        </w:rPr>
      </w:pPr>
    </w:p>
    <w:p w14:paraId="5BE3FE8F" w14:textId="77777777" w:rsidR="00D85D3A" w:rsidRPr="00405303" w:rsidRDefault="00D85D3A" w:rsidP="00C15251">
      <w:pPr>
        <w:jc w:val="both"/>
        <w:rPr>
          <w:bCs/>
          <w:color w:val="002060"/>
          <w:sz w:val="16"/>
          <w:szCs w:val="16"/>
        </w:rPr>
      </w:pPr>
      <w:r w:rsidRPr="00405303">
        <w:rPr>
          <w:bCs/>
          <w:color w:val="002060"/>
          <w:sz w:val="16"/>
          <w:szCs w:val="16"/>
        </w:rPr>
        <w:t>19 марта 1915 г. С-16 (C-XVI, зав. № 156) 3-й опытный без мотора по распоряжению Председателя правления АО РБВЗ – командира ЭВК М.В. Шидловского от первых числе марта в распоряжение ЭВК.</w:t>
      </w:r>
    </w:p>
    <w:p w14:paraId="54A9AC5C" w14:textId="77777777" w:rsidR="00D85D3A" w:rsidRPr="00405303" w:rsidRDefault="00D85D3A" w:rsidP="00C15251">
      <w:pPr>
        <w:jc w:val="both"/>
        <w:rPr>
          <w:bCs/>
          <w:color w:val="002060"/>
          <w:sz w:val="16"/>
          <w:szCs w:val="16"/>
        </w:rPr>
      </w:pPr>
      <w:r w:rsidRPr="00405303">
        <w:rPr>
          <w:bCs/>
          <w:color w:val="002060"/>
          <w:sz w:val="16"/>
          <w:szCs w:val="16"/>
        </w:rPr>
        <w:t>Весной 1915 г. на самолет был установлен мотор «Калеп» мощностью 60 л.с. для проверки возможности использования таких авиадвигателей, задел которых был и была возможность выпуска.</w:t>
      </w:r>
    </w:p>
    <w:p w14:paraId="0C461B4B" w14:textId="77777777" w:rsidR="00D85D3A" w:rsidRPr="00405303" w:rsidRDefault="00D85D3A" w:rsidP="00C15251">
      <w:pPr>
        <w:jc w:val="both"/>
        <w:rPr>
          <w:bCs/>
          <w:color w:val="002060"/>
          <w:sz w:val="16"/>
          <w:szCs w:val="16"/>
        </w:rPr>
      </w:pPr>
      <w:r w:rsidRPr="00405303">
        <w:rPr>
          <w:bCs/>
          <w:color w:val="002060"/>
          <w:sz w:val="16"/>
          <w:szCs w:val="16"/>
        </w:rPr>
        <w:t>Для компенсации уменьшения мощности мотора были сделаны другие изменения:</w:t>
      </w:r>
    </w:p>
    <w:p w14:paraId="7891C5DD" w14:textId="77777777" w:rsidR="00D85D3A" w:rsidRPr="00405303" w:rsidRDefault="00D85D3A" w:rsidP="00C15251">
      <w:pPr>
        <w:jc w:val="both"/>
        <w:rPr>
          <w:bCs/>
          <w:color w:val="002060"/>
          <w:sz w:val="16"/>
          <w:szCs w:val="16"/>
        </w:rPr>
      </w:pPr>
      <w:r w:rsidRPr="00405303">
        <w:rPr>
          <w:bCs/>
          <w:color w:val="002060"/>
          <w:sz w:val="16"/>
          <w:szCs w:val="16"/>
        </w:rPr>
        <w:t>- установлено новое верхнее крыло с увеличенным до 10 м размахом и увеличенными элеронами (самолет стал полуторапланом);</w:t>
      </w:r>
    </w:p>
    <w:p w14:paraId="0B60A347" w14:textId="77777777" w:rsidR="00D85D3A" w:rsidRPr="00405303" w:rsidRDefault="00D85D3A" w:rsidP="00C15251">
      <w:pPr>
        <w:jc w:val="both"/>
        <w:rPr>
          <w:bCs/>
          <w:color w:val="002060"/>
          <w:sz w:val="16"/>
          <w:szCs w:val="16"/>
        </w:rPr>
      </w:pPr>
      <w:r w:rsidRPr="00405303">
        <w:rPr>
          <w:bCs/>
          <w:color w:val="002060"/>
          <w:sz w:val="16"/>
          <w:szCs w:val="16"/>
        </w:rPr>
        <w:t>- сделано новое нижнее крыло без элеронов;</w:t>
      </w:r>
    </w:p>
    <w:p w14:paraId="1564952A" w14:textId="77777777" w:rsidR="00D85D3A" w:rsidRPr="00405303" w:rsidRDefault="00D85D3A" w:rsidP="00C15251">
      <w:pPr>
        <w:jc w:val="both"/>
        <w:rPr>
          <w:bCs/>
          <w:color w:val="002060"/>
          <w:sz w:val="16"/>
          <w:szCs w:val="16"/>
        </w:rPr>
      </w:pPr>
      <w:r w:rsidRPr="00405303">
        <w:rPr>
          <w:bCs/>
          <w:color w:val="002060"/>
          <w:sz w:val="16"/>
          <w:szCs w:val="16"/>
        </w:rPr>
        <w:t>- с учетом отсутствия элеронов на нижнем крыле изменена проводка управления по крену.</w:t>
      </w:r>
    </w:p>
    <w:p w14:paraId="4EBB32D7" w14:textId="77777777" w:rsidR="00D85D3A" w:rsidRPr="00405303" w:rsidRDefault="00D85D3A" w:rsidP="00C15251">
      <w:pPr>
        <w:jc w:val="both"/>
        <w:rPr>
          <w:bCs/>
          <w:color w:val="002060"/>
          <w:sz w:val="16"/>
          <w:szCs w:val="16"/>
        </w:rPr>
      </w:pPr>
      <w:r w:rsidRPr="00405303">
        <w:rPr>
          <w:bCs/>
          <w:color w:val="002060"/>
          <w:sz w:val="16"/>
          <w:szCs w:val="16"/>
        </w:rPr>
        <w:t>Все три первых самолета были облетаны в ЭВК летом 1915 г. (не известно, который испытали первым).</w:t>
      </w:r>
    </w:p>
    <w:p w14:paraId="7E9A3FFD" w14:textId="77777777" w:rsidR="00D85D3A" w:rsidRPr="00405303" w:rsidRDefault="00D85D3A" w:rsidP="00C15251">
      <w:pPr>
        <w:jc w:val="both"/>
        <w:rPr>
          <w:bCs/>
          <w:color w:val="002060"/>
          <w:sz w:val="16"/>
          <w:szCs w:val="16"/>
        </w:rPr>
      </w:pPr>
      <w:r w:rsidRPr="00405303">
        <w:rPr>
          <w:bCs/>
          <w:color w:val="002060"/>
          <w:sz w:val="16"/>
          <w:szCs w:val="16"/>
        </w:rPr>
        <w:t>Самолет с заведомо слабым мотором «Калеп» показал худшие качества скороподъемности и скорости, в то же время их устойчивость и управляемость с двумя летчиками были нормальными, что позволяло их использовать по основному назначению – для тренировки пилотов ЭВК. С формированием Летной школы ЭВК передан в ее состав (к середине января 1916 г. самолет все еще не был принят в казну и оплачен).</w:t>
      </w:r>
    </w:p>
    <w:p w14:paraId="7E95BD99" w14:textId="77777777" w:rsidR="00D85D3A" w:rsidRPr="00405303" w:rsidRDefault="00D85D3A" w:rsidP="00C15251">
      <w:pPr>
        <w:jc w:val="both"/>
        <w:rPr>
          <w:bCs/>
          <w:color w:val="002060"/>
          <w:sz w:val="16"/>
          <w:szCs w:val="16"/>
        </w:rPr>
      </w:pPr>
      <w:r w:rsidRPr="00405303">
        <w:rPr>
          <w:bCs/>
          <w:color w:val="002060"/>
          <w:sz w:val="16"/>
          <w:szCs w:val="16"/>
        </w:rPr>
        <w:t>С поступлением трех опытных самолетов С-16 в ЭВК ее командир Шидловский, сохранявший пост Председателя правления АО РБВЗ, развернул рекламную кампанию своих самолетов, приглашая осмотреть их строевых летчиков, войсковых командиров, представителей Ставки ВГК, членов царской семьи и зарубежные делегации (23557).</w:t>
      </w:r>
    </w:p>
    <w:p w14:paraId="51979DFA" w14:textId="77777777" w:rsidR="00D85D3A" w:rsidRPr="00405303" w:rsidRDefault="00D85D3A" w:rsidP="00C15251">
      <w:pPr>
        <w:pStyle w:val="af6"/>
        <w:spacing w:line="240" w:lineRule="auto"/>
        <w:jc w:val="both"/>
        <w:rPr>
          <w:rFonts w:ascii="Times New Roman" w:hAnsi="Times New Roman" w:cs="Times New Roman"/>
          <w:bCs/>
          <w:color w:val="002060"/>
          <w:sz w:val="16"/>
          <w:szCs w:val="16"/>
        </w:rPr>
      </w:pPr>
    </w:p>
    <w:p w14:paraId="046E4EAE" w14:textId="21090FD2"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16CD16FF" w14:textId="77777777" w:rsidR="004B4E35" w:rsidRPr="00405303" w:rsidRDefault="004B4E35" w:rsidP="00C15251">
      <w:pPr>
        <w:pStyle w:val="a3"/>
        <w:jc w:val="both"/>
        <w:rPr>
          <w:bCs/>
          <w:color w:val="002060"/>
          <w:spacing w:val="0"/>
          <w:kern w:val="0"/>
          <w:position w:val="0"/>
          <w:sz w:val="16"/>
          <w:szCs w:val="16"/>
        </w:rPr>
      </w:pPr>
    </w:p>
    <w:p w14:paraId="54F7E770" w14:textId="7D2D44CF" w:rsidR="004B4E35" w:rsidRPr="00405303" w:rsidRDefault="009E6F82" w:rsidP="00C15251">
      <w:pPr>
        <w:jc w:val="both"/>
        <w:rPr>
          <w:bCs/>
          <w:color w:val="002060"/>
          <w:sz w:val="16"/>
          <w:szCs w:val="16"/>
        </w:rPr>
      </w:pPr>
      <w:r w:rsidRPr="00405303">
        <w:rPr>
          <w:bCs/>
          <w:color w:val="002060"/>
          <w:sz w:val="16"/>
          <w:szCs w:val="16"/>
        </w:rPr>
        <w:t xml:space="preserve">6 </w:t>
      </w:r>
      <w:r w:rsidR="00F64039" w:rsidRPr="00405303">
        <w:rPr>
          <w:bCs/>
          <w:color w:val="002060"/>
          <w:sz w:val="16"/>
          <w:szCs w:val="16"/>
        </w:rPr>
        <w:t xml:space="preserve">(19) </w:t>
      </w:r>
      <w:r w:rsidRPr="00405303">
        <w:rPr>
          <w:bCs/>
          <w:color w:val="002060"/>
          <w:sz w:val="16"/>
          <w:szCs w:val="16"/>
        </w:rPr>
        <w:t xml:space="preserve">и 19 марта </w:t>
      </w:r>
      <w:r w:rsidR="00F64039" w:rsidRPr="00405303">
        <w:rPr>
          <w:bCs/>
          <w:color w:val="002060"/>
          <w:sz w:val="16"/>
          <w:szCs w:val="16"/>
        </w:rPr>
        <w:t xml:space="preserve">(1 апреля) 1915 г. по распоряжению М, В. Шидловского Воздухоплавательному отделению АО РБВЗ были отгружены в Эскадру </w:t>
      </w:r>
      <w:r w:rsidRPr="00405303">
        <w:rPr>
          <w:bCs/>
          <w:color w:val="002060"/>
          <w:sz w:val="16"/>
          <w:szCs w:val="16"/>
        </w:rPr>
        <w:t>вместе с самолетами «Илья Муромец</w:t>
      </w:r>
      <w:proofErr w:type="gramStart"/>
      <w:r w:rsidRPr="00405303">
        <w:rPr>
          <w:bCs/>
          <w:color w:val="002060"/>
          <w:sz w:val="16"/>
          <w:szCs w:val="16"/>
        </w:rPr>
        <w:t>» ,</w:t>
      </w:r>
      <w:proofErr w:type="gramEnd"/>
      <w:r w:rsidRPr="00405303">
        <w:rPr>
          <w:bCs/>
          <w:color w:val="002060"/>
          <w:sz w:val="16"/>
          <w:szCs w:val="16"/>
        </w:rPr>
        <w:t xml:space="preserve"> С-10 и С-12</w:t>
      </w:r>
      <w:r w:rsidR="00F64039" w:rsidRPr="00405303">
        <w:rPr>
          <w:bCs/>
          <w:color w:val="002060"/>
          <w:sz w:val="16"/>
          <w:szCs w:val="16"/>
        </w:rPr>
        <w:t xml:space="preserve"> заводскими номерами 155 и 156 соответственно</w:t>
      </w:r>
      <w:r w:rsidRPr="00405303">
        <w:rPr>
          <w:bCs/>
          <w:color w:val="002060"/>
          <w:sz w:val="16"/>
          <w:szCs w:val="16"/>
        </w:rPr>
        <w:t>. Прибыли они в Эскадру, как и Nо. 154, без моторов. От первого С-16 Nо. 154 аппараты Nо. 155 и 156 отличались конструкцией крыльев. Если у Nо. 154 они имели небольшую стреловидность, то на двух других аппаратах крылья были прямыми с большим поперечным Ч. Размах крыльев у всех самолетов был примерно одинаков. 1(роме того, капоты их двигателей имели характерные скулы-зализы. «Моторный голод» был неизлечимой болезнью, преследовавшей И, И. Сикорского в его деятельности в течение всей первой мировой войны. Причем если для тяжелых воздушных кораблей проблема с двигателями к концу 1916 г. была в общем решена, то для малых аппаратов Сикорского отсутствие необходимых моторов оказалось неразрешимой проблемой (11188).</w:t>
      </w:r>
    </w:p>
    <w:p w14:paraId="4576935F" w14:textId="77777777" w:rsidR="004B4E35" w:rsidRPr="00405303" w:rsidRDefault="004B4E35" w:rsidP="00C15251">
      <w:pPr>
        <w:jc w:val="both"/>
        <w:rPr>
          <w:bCs/>
          <w:color w:val="002060"/>
          <w:sz w:val="16"/>
          <w:szCs w:val="16"/>
        </w:rPr>
      </w:pPr>
    </w:p>
    <w:p w14:paraId="70E7C054" w14:textId="4E55BA77" w:rsidR="00D85D3A" w:rsidRPr="00405303" w:rsidRDefault="00D85D3A" w:rsidP="00C15251">
      <w:pPr>
        <w:jc w:val="both"/>
        <w:rPr>
          <w:bCs/>
          <w:color w:val="002060"/>
          <w:sz w:val="16"/>
          <w:szCs w:val="16"/>
        </w:rPr>
      </w:pPr>
      <w:r w:rsidRPr="00405303">
        <w:rPr>
          <w:bCs/>
          <w:color w:val="002060"/>
          <w:sz w:val="16"/>
          <w:szCs w:val="16"/>
          <w:shd w:val="clear" w:color="auto" w:fill="FFFFFF"/>
        </w:rPr>
        <w:t xml:space="preserve">19 марта (1 апреля) 1915 года Игорь Сикорский едва не был ранен. Бомба упала близко к тому месту, где находился он и механик, прикомандированный от фабрики Р-БВЗ. Механик был тяжело ранен осколками разорвавшейся бомбы. Помимо бомб, немцы также бросали флешетты (стрелы с заточенным концом) с надписью «Invention francaise, fabrication allemande» (изобретено во Франции, сделано в Германии). Эти флешетты, которые обладали значительной пробивающей способностью, не принесли большого вреда. Но, </w:t>
      </w:r>
      <w:proofErr w:type="gramStart"/>
      <w:r w:rsidRPr="00405303">
        <w:rPr>
          <w:bCs/>
          <w:color w:val="002060"/>
          <w:sz w:val="16"/>
          <w:szCs w:val="16"/>
          <w:shd w:val="clear" w:color="auto" w:fill="FFFFFF"/>
        </w:rPr>
        <w:t>говоря по правде</w:t>
      </w:r>
      <w:proofErr w:type="gramEnd"/>
      <w:r w:rsidRPr="00405303">
        <w:rPr>
          <w:bCs/>
          <w:color w:val="002060"/>
          <w:sz w:val="16"/>
          <w:szCs w:val="16"/>
          <w:shd w:val="clear" w:color="auto" w:fill="FFFFFF"/>
        </w:rPr>
        <w:t>, они произведи неприятное впечатление на тех, кто находился на земле (23470).</w:t>
      </w:r>
    </w:p>
    <w:p w14:paraId="05CA3E38" w14:textId="77777777" w:rsidR="00D85D3A" w:rsidRPr="00405303" w:rsidRDefault="00D85D3A" w:rsidP="00C15251">
      <w:pPr>
        <w:jc w:val="both"/>
        <w:rPr>
          <w:bCs/>
          <w:color w:val="002060"/>
          <w:sz w:val="16"/>
          <w:szCs w:val="16"/>
        </w:rPr>
      </w:pPr>
    </w:p>
    <w:p w14:paraId="3AC1ACCE" w14:textId="15F4EED5" w:rsidR="00D85D3A" w:rsidRPr="00405303" w:rsidRDefault="00D85D3A" w:rsidP="00C15251">
      <w:pPr>
        <w:jc w:val="both"/>
        <w:rPr>
          <w:bCs/>
          <w:color w:val="002060"/>
          <w:sz w:val="16"/>
          <w:szCs w:val="16"/>
        </w:rPr>
      </w:pPr>
      <w:bookmarkStart w:id="74" w:name="bookmark105"/>
      <w:r w:rsidRPr="00405303">
        <w:rPr>
          <w:bCs/>
          <w:color w:val="002060"/>
          <w:sz w:val="16"/>
          <w:szCs w:val="16"/>
        </w:rPr>
        <w:t>19 марта (1 апреля) 1915 г. «около 5 часов пополудни с германского аэроплана, пролетавшего над городом Гродно, сброшено 3 бомбы: первая упала во дворе дома Александровича по Хлебному переулку и повредила угол железной крыши на каменной пристройке дома, сбила штукатурку, выбила все стекла в доме названного Александровича и по несколько стекол в соседних домах; вторая упала в речку Городничанку на Фабричной улице, против дома Новицкого, не причинив никакого вреда, а третья - во двор городской скотобойни; последняя бомба не взорвалась и разряжена штабс-капитаном Гродненской крепостной артиллерии Гораиновым».</w:t>
      </w:r>
    </w:p>
    <w:p w14:paraId="330F3919" w14:textId="77777777" w:rsidR="00D85D3A" w:rsidRPr="00405303" w:rsidRDefault="00D85D3A" w:rsidP="00C15251">
      <w:pPr>
        <w:jc w:val="both"/>
        <w:rPr>
          <w:bCs/>
          <w:color w:val="002060"/>
          <w:sz w:val="16"/>
          <w:szCs w:val="16"/>
        </w:rPr>
      </w:pPr>
      <w:r w:rsidRPr="00405303">
        <w:rPr>
          <w:bCs/>
          <w:color w:val="002060"/>
          <w:sz w:val="16"/>
          <w:szCs w:val="16"/>
        </w:rPr>
        <w:t>Позднее воздушной бомбардировке вновь подвергся г. Белосток (без видимых разрушений) (23405).</w:t>
      </w:r>
      <w:bookmarkEnd w:id="74"/>
    </w:p>
    <w:p w14:paraId="6A0E3AE3" w14:textId="77777777" w:rsidR="00D85D3A" w:rsidRPr="00405303" w:rsidRDefault="00D85D3A" w:rsidP="00C15251">
      <w:pPr>
        <w:jc w:val="both"/>
        <w:rPr>
          <w:bCs/>
          <w:color w:val="002060"/>
          <w:sz w:val="16"/>
          <w:szCs w:val="16"/>
        </w:rPr>
      </w:pPr>
    </w:p>
    <w:p w14:paraId="71007BA0" w14:textId="77777777" w:rsidR="00FB001D" w:rsidRPr="00405303" w:rsidRDefault="00FB001D" w:rsidP="00C15251">
      <w:pPr>
        <w:jc w:val="both"/>
        <w:rPr>
          <w:bCs/>
          <w:i/>
          <w:color w:val="002060"/>
          <w:sz w:val="16"/>
          <w:szCs w:val="16"/>
        </w:rPr>
      </w:pPr>
      <w:r w:rsidRPr="00405303">
        <w:rPr>
          <w:bCs/>
          <w:i/>
          <w:color w:val="002060"/>
          <w:sz w:val="16"/>
          <w:szCs w:val="16"/>
        </w:rPr>
        <w:t>Армия:</w:t>
      </w:r>
    </w:p>
    <w:p w14:paraId="3A939A58" w14:textId="77777777" w:rsidR="00FB001D" w:rsidRPr="00405303" w:rsidRDefault="00FB001D" w:rsidP="00C15251">
      <w:pPr>
        <w:jc w:val="both"/>
        <w:rPr>
          <w:bCs/>
          <w:i/>
          <w:color w:val="002060"/>
          <w:sz w:val="16"/>
          <w:szCs w:val="16"/>
        </w:rPr>
      </w:pPr>
    </w:p>
    <w:p w14:paraId="4B94E721" w14:textId="02390997" w:rsidR="00FB001D" w:rsidRPr="00405303" w:rsidRDefault="00FB001D" w:rsidP="00C15251">
      <w:pPr>
        <w:jc w:val="both"/>
        <w:rPr>
          <w:bCs/>
          <w:color w:val="002060"/>
          <w:sz w:val="16"/>
          <w:szCs w:val="16"/>
        </w:rPr>
      </w:pPr>
      <w:r w:rsidRPr="00405303">
        <w:rPr>
          <w:bCs/>
          <w:color w:val="002060"/>
          <w:sz w:val="16"/>
          <w:szCs w:val="16"/>
        </w:rPr>
        <w:t xml:space="preserve">19 марта </w:t>
      </w:r>
      <w:r w:rsidR="00F64039" w:rsidRPr="00405303">
        <w:rPr>
          <w:bCs/>
          <w:color w:val="002060"/>
          <w:sz w:val="16"/>
          <w:szCs w:val="16"/>
        </w:rPr>
        <w:t xml:space="preserve">(1 апреля) </w:t>
      </w:r>
      <w:r w:rsidRPr="00405303">
        <w:rPr>
          <w:bCs/>
          <w:color w:val="002060"/>
          <w:sz w:val="16"/>
          <w:szCs w:val="16"/>
        </w:rPr>
        <w:t>в 1915 году войска 3-й русской армии в ходе проведения Карпатской операции взяли перевалы на главном гребне хребта Бескиды (15073).</w:t>
      </w:r>
    </w:p>
    <w:p w14:paraId="2A73A991" w14:textId="77777777" w:rsidR="00FB001D" w:rsidRPr="00405303" w:rsidRDefault="00FB001D" w:rsidP="00C15251">
      <w:pPr>
        <w:jc w:val="both"/>
        <w:rPr>
          <w:bCs/>
          <w:color w:val="002060"/>
          <w:sz w:val="16"/>
          <w:szCs w:val="16"/>
        </w:rPr>
      </w:pPr>
    </w:p>
    <w:p w14:paraId="323CEB94" w14:textId="77777777" w:rsidR="00FB001D" w:rsidRPr="00405303" w:rsidRDefault="00FB001D" w:rsidP="00C15251">
      <w:pPr>
        <w:jc w:val="both"/>
        <w:rPr>
          <w:bCs/>
          <w:i/>
          <w:color w:val="002060"/>
          <w:sz w:val="16"/>
          <w:szCs w:val="16"/>
        </w:rPr>
      </w:pPr>
      <w:r w:rsidRPr="00405303">
        <w:rPr>
          <w:bCs/>
          <w:i/>
          <w:color w:val="002060"/>
          <w:sz w:val="16"/>
          <w:szCs w:val="16"/>
        </w:rPr>
        <w:t>Жизнь и внутренняя политика:</w:t>
      </w:r>
    </w:p>
    <w:p w14:paraId="662666AD" w14:textId="77777777" w:rsidR="00FB001D" w:rsidRPr="00405303" w:rsidRDefault="00FB001D" w:rsidP="00C15251">
      <w:pPr>
        <w:jc w:val="both"/>
        <w:rPr>
          <w:bCs/>
          <w:i/>
          <w:color w:val="002060"/>
          <w:sz w:val="16"/>
          <w:szCs w:val="16"/>
        </w:rPr>
      </w:pPr>
    </w:p>
    <w:p w14:paraId="6A3DF9D9" w14:textId="4F4A9866" w:rsidR="00FB001D" w:rsidRPr="00405303" w:rsidRDefault="00FB001D" w:rsidP="00C15251">
      <w:pPr>
        <w:jc w:val="both"/>
        <w:rPr>
          <w:bCs/>
          <w:color w:val="002060"/>
          <w:sz w:val="16"/>
          <w:szCs w:val="16"/>
        </w:rPr>
      </w:pPr>
      <w:r w:rsidRPr="00405303">
        <w:rPr>
          <w:bCs/>
          <w:color w:val="002060"/>
          <w:sz w:val="16"/>
          <w:szCs w:val="16"/>
        </w:rPr>
        <w:t xml:space="preserve">19 марта </w:t>
      </w:r>
      <w:r w:rsidR="00F64039" w:rsidRPr="00405303">
        <w:rPr>
          <w:bCs/>
          <w:color w:val="002060"/>
          <w:sz w:val="16"/>
          <w:szCs w:val="16"/>
        </w:rPr>
        <w:t xml:space="preserve">(1 апреля) </w:t>
      </w:r>
      <w:r w:rsidRPr="00405303">
        <w:rPr>
          <w:bCs/>
          <w:color w:val="002060"/>
          <w:sz w:val="16"/>
          <w:szCs w:val="16"/>
        </w:rPr>
        <w:t xml:space="preserve">в 1915 году за шпионаж в пользу Германии казнен по приговору суда жандармский офицер Сергея Мясоедова. В годы Первой мировой войны в России набрала нешуточные обороты шпиономания. Истоки не особо удачной деятельности русской армии на фронтах, многие искали в предательстве. В выдаче российских секретов Германии подозревали даже императрицу и военного министра Сухомлинова. А самым громким судебным процессом стало дело жандармского офицера Сергея Мясоедова. Сергея Мясоедов приговорен к смертной казни за шпионаж в пользу Германии. Перед войной он вместе с братьями, Борисом и Давидом Фрейбергами, организовал акционерное общество «Русское Северо-Западное пароходство» для перевозки эмигрантов из Америки в Россию. А в 1914 году после начала Первой мировой войны был зачислен переводчиком в штат 10-й армии. Тут-то ему и аукнулась дружба с Фрейбергами, имеющими связи в немецкой разведке. 10 февраля 1915 года, по сфабрикованным контрразведкой материалам, Мясоедов арестован по обвинению в шпионской деятельности в пользу Германии, предан суду и, несмотря на отсутствие улик, приговорен к смертной казни через повешение. К смертной казни также были приговорены его жена – Клара Мясоедова (урожденная Гольдштейн) и партнер по прежнему бизнесу - Фрейберг, который был повешен. Мясоедовой казнь заменили пожизненной ссылкой в Сибирь. </w:t>
      </w:r>
      <w:r w:rsidRPr="00405303">
        <w:rPr>
          <w:bCs/>
          <w:color w:val="002060"/>
          <w:sz w:val="16"/>
          <w:szCs w:val="16"/>
        </w:rPr>
        <w:lastRenderedPageBreak/>
        <w:t>Шпионский скандал с Мясоедовым сказался и на судьбе военного министра Сухомлинова, который был отстранен от должности, арестован, затравлен в прессе и приговорен к бессрочной каторге (15073).</w:t>
      </w:r>
    </w:p>
    <w:p w14:paraId="66A6F576" w14:textId="77777777" w:rsidR="00FB001D" w:rsidRPr="00405303" w:rsidRDefault="00FB001D" w:rsidP="00C15251">
      <w:pPr>
        <w:jc w:val="both"/>
        <w:rPr>
          <w:bCs/>
          <w:color w:val="002060"/>
          <w:sz w:val="16"/>
          <w:szCs w:val="16"/>
        </w:rPr>
      </w:pPr>
    </w:p>
    <w:p w14:paraId="2E23A4D5"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Франции:</w:t>
      </w:r>
    </w:p>
    <w:p w14:paraId="2877479D" w14:textId="77777777" w:rsidR="004B4E35" w:rsidRPr="00405303" w:rsidRDefault="004B4E35" w:rsidP="00C15251">
      <w:pPr>
        <w:jc w:val="both"/>
        <w:rPr>
          <w:bCs/>
          <w:i/>
          <w:color w:val="002060"/>
          <w:sz w:val="16"/>
          <w:szCs w:val="16"/>
        </w:rPr>
      </w:pPr>
    </w:p>
    <w:p w14:paraId="03030969" w14:textId="13800622"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19 марта (1 апреля) 1915 года</w:t>
      </w:r>
      <w:r w:rsidR="00F64039" w:rsidRPr="00405303">
        <w:rPr>
          <w:bCs/>
          <w:i w:val="0"/>
          <w:color w:val="002060"/>
          <w:spacing w:val="0"/>
          <w:kern w:val="0"/>
          <w:position w:val="0"/>
          <w:sz w:val="16"/>
          <w:szCs w:val="16"/>
        </w:rPr>
        <w:t xml:space="preserve"> Гарро, воевавший тогда в 26-й французской эскадрилье, вылетел </w:t>
      </w:r>
      <w:r w:rsidRPr="00405303">
        <w:rPr>
          <w:bCs/>
          <w:i w:val="0"/>
          <w:color w:val="002060"/>
          <w:spacing w:val="0"/>
          <w:kern w:val="0"/>
          <w:position w:val="0"/>
          <w:sz w:val="16"/>
          <w:szCs w:val="16"/>
        </w:rPr>
        <w:t xml:space="preserve">на переделанном "Моране" L и сбил немецкий биплан. </w:t>
      </w:r>
      <w:r w:rsidR="00BF1725" w:rsidRPr="00405303">
        <w:rPr>
          <w:bCs/>
          <w:i w:val="0"/>
          <w:color w:val="002060"/>
          <w:spacing w:val="0"/>
          <w:kern w:val="0"/>
          <w:position w:val="0"/>
          <w:sz w:val="16"/>
          <w:szCs w:val="16"/>
        </w:rPr>
        <w:t xml:space="preserve">Назревшая необходимость надежно вооружить самолет привела к тому, что летчик Гарро совместно с Солнье развили идею курсового пулемета. Они предложили установить его прямо на фюзеляже, впереди летчика, что значительно облегчало стрельбу, прицеливание и упрощало перезарядку. Для предохранения лопастей винта на них смонтировали специальные отсекатели. </w:t>
      </w:r>
      <w:r w:rsidRPr="00405303">
        <w:rPr>
          <w:bCs/>
          <w:i w:val="0"/>
          <w:color w:val="002060"/>
          <w:spacing w:val="0"/>
          <w:kern w:val="0"/>
          <w:position w:val="0"/>
          <w:sz w:val="16"/>
          <w:szCs w:val="16"/>
        </w:rPr>
        <w:t>Успев одержать еще две победы, Гарро 18 апреля попал под огонь с земли и вынужден был приземлиться на вражеской территории в Восточной Фландрии, французское "чудо-оружие" попало в руки немцев, которые сразу попытались скопировать это изобретение. Но результат оказался весьма плачевным. Дело в том, что немецкие пули имели сердечник из хромистой стали и быстро разбивали уголки отсекателя, разнося винт в щепки. Утяжелять отсекатель было невозможно, так как это резко снижало возможности винта. А вскоре немецкий авиаконструктор Энтони Фоккер предложил изобретенный им пулеметный синхронизатор, но это уже тема для отдельной статьи (11265).</w:t>
      </w:r>
    </w:p>
    <w:p w14:paraId="268CBD8A" w14:textId="77777777" w:rsidR="004B4E35" w:rsidRPr="00405303" w:rsidRDefault="004B4E35" w:rsidP="00C15251">
      <w:pPr>
        <w:pStyle w:val="a3"/>
        <w:jc w:val="both"/>
        <w:rPr>
          <w:bCs/>
          <w:i w:val="0"/>
          <w:color w:val="002060"/>
          <w:spacing w:val="0"/>
          <w:kern w:val="0"/>
          <w:position w:val="0"/>
          <w:sz w:val="16"/>
          <w:szCs w:val="16"/>
        </w:rPr>
      </w:pPr>
    </w:p>
    <w:p w14:paraId="1C0410B5" w14:textId="61781381" w:rsidR="004B4E35" w:rsidRPr="00405303" w:rsidRDefault="009E6F82" w:rsidP="00C15251">
      <w:pPr>
        <w:jc w:val="both"/>
        <w:rPr>
          <w:bCs/>
          <w:color w:val="002060"/>
          <w:sz w:val="16"/>
          <w:szCs w:val="16"/>
        </w:rPr>
      </w:pPr>
      <w:r w:rsidRPr="00405303">
        <w:rPr>
          <w:bCs/>
          <w:color w:val="002060"/>
          <w:sz w:val="16"/>
          <w:szCs w:val="16"/>
        </w:rPr>
        <w:t xml:space="preserve">19 марта (1 апреля) 1915 </w:t>
      </w:r>
      <w:r w:rsidR="00BF1725" w:rsidRPr="00405303">
        <w:rPr>
          <w:bCs/>
          <w:color w:val="002060"/>
          <w:sz w:val="16"/>
          <w:szCs w:val="16"/>
        </w:rPr>
        <w:t>у</w:t>
      </w:r>
      <w:r w:rsidRPr="00405303">
        <w:rPr>
          <w:bCs/>
          <w:color w:val="002060"/>
          <w:sz w:val="16"/>
          <w:szCs w:val="16"/>
        </w:rPr>
        <w:t>становив на свой самолет пулемет, стреляющий сквозь омет винта, и бомбосбрасыватели своей конструкции, Гарро в первый раз отправился испытать свои устройства. По пути к станции Гондзам он заметил на высоте 1700 м "Альбатрос" и обстрелял его из пулемета. "Альбатрос" развернулся и тоже атаковал Гарро. Однако вторая очередь французского летчика оказалась более точной. Германский самолет начал падать и на высоте 1000 м загорелся.</w:t>
      </w:r>
    </w:p>
    <w:p w14:paraId="6301BB22" w14:textId="77777777" w:rsidR="004B4E35" w:rsidRPr="00405303" w:rsidRDefault="009E6F82" w:rsidP="00C15251">
      <w:pPr>
        <w:jc w:val="both"/>
        <w:rPr>
          <w:bCs/>
          <w:color w:val="002060"/>
          <w:sz w:val="16"/>
          <w:szCs w:val="16"/>
        </w:rPr>
      </w:pPr>
      <w:r w:rsidRPr="00405303">
        <w:rPr>
          <w:bCs/>
          <w:color w:val="002060"/>
          <w:sz w:val="16"/>
          <w:szCs w:val="16"/>
        </w:rPr>
        <w:t>2 апреля 1915 - Наварр добивается отправки на новое спецзадание; его направляют с пассажиром в Ретель.</w:t>
      </w:r>
    </w:p>
    <w:p w14:paraId="5474E53C" w14:textId="77777777" w:rsidR="004B4E35" w:rsidRPr="00405303" w:rsidRDefault="009E6F82" w:rsidP="00C15251">
      <w:pPr>
        <w:jc w:val="both"/>
        <w:rPr>
          <w:bCs/>
          <w:color w:val="002060"/>
          <w:sz w:val="16"/>
          <w:szCs w:val="16"/>
        </w:rPr>
      </w:pPr>
      <w:r w:rsidRPr="00405303">
        <w:rPr>
          <w:bCs/>
          <w:color w:val="002060"/>
          <w:sz w:val="16"/>
          <w:szCs w:val="16"/>
        </w:rPr>
        <w:t>Наварр: "...На обратном пути я замечаю Лаонский аэродром немцев. Идея! Не удивить ли мне зрелищем французского "митинга". Я спускаюсь падающим листом на 500 м над ними и начинаю представлять серию всех трюков, какие только знал.</w:t>
      </w:r>
    </w:p>
    <w:p w14:paraId="238B1F7E" w14:textId="77777777" w:rsidR="004B4E35" w:rsidRPr="00405303" w:rsidRDefault="009E6F82" w:rsidP="00C15251">
      <w:pPr>
        <w:jc w:val="both"/>
        <w:rPr>
          <w:bCs/>
          <w:color w:val="002060"/>
          <w:sz w:val="16"/>
          <w:szCs w:val="16"/>
        </w:rPr>
      </w:pPr>
      <w:r w:rsidRPr="00405303">
        <w:rPr>
          <w:bCs/>
          <w:color w:val="002060"/>
          <w:sz w:val="16"/>
          <w:szCs w:val="16"/>
        </w:rPr>
        <w:t>Должно быть, это заинтересовало их, потому что никто и не думал стрелять по мне... Вдруг я слышу ружейные выстрелы, - оборачиваюсь: это старый "Альбатрос" добросовестно обстреливает меня. Глупец, прервал мою программу... я не мог его сбить, потому что на спецзадание отправляют без оружия. Что делать? Мне кажется, что высмеять этого господина - единственное нормальное решение. Я принимаюсь за это: как будто не видя его, я спускаюсь падающим листом до 100 м над аэродромом; немец продолжает свое. В следующий момент я прерываю фигуру, забираюсь круто вверх, и мой "Парасоль" мгновенно производит такое впечатление, точно взлетает к небу, тогда как "Альбатрос" не может и думать следовать за мной. Потом я вновь проделываю мой непогрешимый падающий лист, ошеломляя моего бессильного противника.</w:t>
      </w:r>
    </w:p>
    <w:p w14:paraId="2B43DF72" w14:textId="77777777" w:rsidR="004B4E35" w:rsidRPr="00405303" w:rsidRDefault="009E6F82" w:rsidP="00C15251">
      <w:pPr>
        <w:jc w:val="both"/>
        <w:rPr>
          <w:bCs/>
          <w:color w:val="002060"/>
          <w:sz w:val="16"/>
          <w:szCs w:val="16"/>
        </w:rPr>
      </w:pPr>
      <w:r w:rsidRPr="00405303">
        <w:rPr>
          <w:bCs/>
          <w:color w:val="002060"/>
          <w:sz w:val="16"/>
          <w:szCs w:val="16"/>
        </w:rPr>
        <w:t>Должно быть, смеялись же внизу. Этой мысли достаточно было, чтобы развлечь меня и заставить забыть всякие заботы..."</w:t>
      </w:r>
    </w:p>
    <w:p w14:paraId="65DFD481" w14:textId="77777777" w:rsidR="004B4E35" w:rsidRPr="00405303" w:rsidRDefault="009E6F82" w:rsidP="00C15251">
      <w:pPr>
        <w:jc w:val="both"/>
        <w:rPr>
          <w:bCs/>
          <w:color w:val="002060"/>
          <w:sz w:val="16"/>
          <w:szCs w:val="16"/>
        </w:rPr>
      </w:pPr>
      <w:r w:rsidRPr="00405303">
        <w:rPr>
          <w:bCs/>
          <w:color w:val="002060"/>
          <w:sz w:val="16"/>
          <w:szCs w:val="16"/>
        </w:rPr>
        <w:t xml:space="preserve">Этот случай очень хорошо характеризует не столько самого Наварра, сколько большинство военных летчиков начала войны. Хотя, конечно же, по всем </w:t>
      </w:r>
      <w:proofErr w:type="gramStart"/>
      <w:r w:rsidRPr="00405303">
        <w:rPr>
          <w:bCs/>
          <w:color w:val="002060"/>
          <w:sz w:val="16"/>
          <w:szCs w:val="16"/>
        </w:rPr>
        <w:t>свидетельствам</w:t>
      </w:r>
      <w:proofErr w:type="gramEnd"/>
      <w:r w:rsidRPr="00405303">
        <w:rPr>
          <w:bCs/>
          <w:color w:val="002060"/>
          <w:sz w:val="16"/>
          <w:szCs w:val="16"/>
        </w:rPr>
        <w:t xml:space="preserve"> На- варр был одним из самых недисциплинированных пилотов.</w:t>
      </w:r>
    </w:p>
    <w:p w14:paraId="56E84CA0" w14:textId="77777777" w:rsidR="004B4E35" w:rsidRPr="00405303" w:rsidRDefault="009E6F82" w:rsidP="00C15251">
      <w:pPr>
        <w:jc w:val="both"/>
        <w:rPr>
          <w:bCs/>
          <w:color w:val="002060"/>
          <w:sz w:val="16"/>
          <w:szCs w:val="16"/>
        </w:rPr>
      </w:pPr>
      <w:r w:rsidRPr="00405303">
        <w:rPr>
          <w:bCs/>
          <w:color w:val="002060"/>
          <w:sz w:val="16"/>
          <w:szCs w:val="16"/>
        </w:rPr>
        <w:t>Доставленный на этот раз пассажир Наварра также вскоре погиб. У французского летчика сложилось впечатление, что он приносит несчастье. На третье спецзадание он согласился отправиться только в паре с Ведрином, всегда совершавшим заброс шпионов удачно; и не ошибся (11999).</w:t>
      </w:r>
    </w:p>
    <w:p w14:paraId="28D08851" w14:textId="77777777" w:rsidR="004B4E35" w:rsidRPr="00405303" w:rsidRDefault="004B4E35" w:rsidP="00C15251">
      <w:pPr>
        <w:jc w:val="both"/>
        <w:rPr>
          <w:bCs/>
          <w:color w:val="002060"/>
          <w:sz w:val="16"/>
          <w:szCs w:val="16"/>
        </w:rPr>
      </w:pPr>
    </w:p>
    <w:p w14:paraId="630A5E5F" w14:textId="77777777" w:rsidR="0049022B" w:rsidRPr="00405303" w:rsidRDefault="0049022B" w:rsidP="00C15251">
      <w:pPr>
        <w:jc w:val="both"/>
        <w:rPr>
          <w:bCs/>
          <w:color w:val="002060"/>
          <w:sz w:val="16"/>
          <w:szCs w:val="16"/>
        </w:rPr>
      </w:pPr>
      <w:r w:rsidRPr="00405303">
        <w:rPr>
          <w:bCs/>
          <w:color w:val="002060"/>
          <w:sz w:val="16"/>
          <w:szCs w:val="16"/>
        </w:rPr>
        <w:t>19 марта (1 апреля) в 1915 году знаменитый французский летчик Ролан Гаррос, воевавший тогда в 26-й французской эскадрилье, вылетел на переделанном моноплане «Моране L» и сбил в воздушном бою немецкий биплан. В последующие дни он еще дважды сбивал вражеские самолеты. Казалось бы событие рядовое для военного времени, но революционным было вооружение самолета Гарроса. Ранее в воздушных боях пилоты использовали личное оружие, затем появились двухместные самолеты со стрелком, располагавшимся впереди пилота, и винтом, расположенным позади двигателя, что делало самолет тихоходным и неманевренным. Попытки установить пулеметы, стрелявшие под углом, чтобы не задеть пропеллер, также оказались неэффективными. Гарросу вместе со своим другом инженером Реймоном Солнье удалось создать синхронизирующее устройство, позволявшее вести огонь из пулемета, установленного впереди на фюзеляже самолета, не задевая вращающегося винта. Теперь пилот мог вести огонь просто нацелив свой самолет на противника. Но 19 апреля Гарросу пришлось совершить вынужденную посадку из-за повреждения системы подачи топлива, и он оказался в плену. Самолет Гарросу уничтожить не удалось, и немцы узнали секрет новой системы ведения огня, еще более эффективный вариант которой вскоре создал конструктор Антон Фоккер (15086).</w:t>
      </w:r>
    </w:p>
    <w:p w14:paraId="1FD33F46" w14:textId="77777777" w:rsidR="0049022B" w:rsidRPr="00405303" w:rsidRDefault="0049022B" w:rsidP="00C15251">
      <w:pPr>
        <w:jc w:val="both"/>
        <w:rPr>
          <w:bCs/>
          <w:color w:val="002060"/>
          <w:sz w:val="16"/>
          <w:szCs w:val="16"/>
        </w:rPr>
      </w:pPr>
    </w:p>
    <w:p w14:paraId="5CFBA535" w14:textId="7EE47B7E" w:rsidR="00422BA3" w:rsidRPr="00CF03EC" w:rsidRDefault="00422BA3" w:rsidP="00422BA3">
      <w:pPr>
        <w:jc w:val="both"/>
        <w:rPr>
          <w:color w:val="0070C0"/>
          <w:sz w:val="16"/>
          <w:szCs w:val="16"/>
        </w:rPr>
      </w:pPr>
      <w:r w:rsidRPr="00CF03EC">
        <w:rPr>
          <w:color w:val="0070C0"/>
          <w:sz w:val="16"/>
          <w:szCs w:val="16"/>
        </w:rPr>
        <w:t>19 марта (1 апреля</w:t>
      </w:r>
      <w:r>
        <w:rPr>
          <w:color w:val="0070C0"/>
          <w:sz w:val="16"/>
          <w:szCs w:val="16"/>
        </w:rPr>
        <w:t>)</w:t>
      </w:r>
      <w:r w:rsidRPr="00CF03EC">
        <w:rPr>
          <w:color w:val="0070C0"/>
          <w:sz w:val="16"/>
          <w:szCs w:val="16"/>
        </w:rPr>
        <w:t xml:space="preserve"> 1915 г. Ролан Гарро наконец-то в бою на высоте 1000 м сбил немецкий «Альбатрос». Через неделю, 8 апреля он провел сразу три удачных поединка, каждый раз отгоняя огнем вражеских разведчиков от своих позиций, причем один из них не просто ушел, а «полетел кувырком». Но поскольку никто не видел собственно падения противника, победу не зачли. Зато с земли наблюдали, как 14 апреля Гарро атаковал двух «Авиатиков» и сбил одного из них. Утром 18 апреля он провел еще один бой, увеличив свой счет до трех воздушных побед (25772).</w:t>
      </w:r>
    </w:p>
    <w:p w14:paraId="3CFDBCD8" w14:textId="77777777" w:rsidR="00422BA3" w:rsidRPr="00CF03EC" w:rsidRDefault="00422BA3" w:rsidP="00422BA3">
      <w:pPr>
        <w:jc w:val="both"/>
        <w:rPr>
          <w:color w:val="0070C0"/>
          <w:sz w:val="16"/>
          <w:szCs w:val="16"/>
        </w:rPr>
      </w:pPr>
    </w:p>
    <w:p w14:paraId="02CAD2BD" w14:textId="77777777" w:rsidR="004339A6" w:rsidRPr="00405303" w:rsidRDefault="004339A6" w:rsidP="00C15251">
      <w:pPr>
        <w:jc w:val="both"/>
        <w:rPr>
          <w:bCs/>
          <w:color w:val="002060"/>
          <w:sz w:val="16"/>
          <w:szCs w:val="16"/>
        </w:rPr>
      </w:pPr>
      <w:r w:rsidRPr="00405303">
        <w:rPr>
          <w:bCs/>
          <w:color w:val="002060"/>
          <w:sz w:val="16"/>
          <w:szCs w:val="16"/>
        </w:rPr>
        <w:t>19 марта (1 апреля) 1913 самолете Morane-Saulnier L будущий французский ас Жан Наварр и его наблюдатель / стрелок, младший лейтенант Жан Робер, атакуют немецкий Aviatik BI над Мервалом, Франция. Роберт использует карабин, чтобы повредить его и ранить пилота, заставляя его приземлиться в тылу французов и сдаться. Это первая победа Navarre. Позже в тот же день французский пилот лейтенант Ролан Гаррос засчитывает первую побуду - сбитый выстрелом из пулемета через пропеллер немецкий наблюдательный самолет Albatros. Поскольку для его пулемета еще не было синхронизирующего механизма, он использовал металлические дефлекторные клинья, установленные на винте его истребителя Morane Saulnier L, чтобы пулемет не выстрелил в лопасти его собственного винта. Это также его первая побуда, а еше две победы - 15 и 18 апреля (20338).</w:t>
      </w:r>
    </w:p>
    <w:p w14:paraId="3A0360D8" w14:textId="77777777" w:rsidR="004339A6" w:rsidRPr="00405303" w:rsidRDefault="004339A6" w:rsidP="00C15251">
      <w:pPr>
        <w:jc w:val="both"/>
        <w:rPr>
          <w:bCs/>
          <w:color w:val="002060"/>
          <w:sz w:val="16"/>
          <w:szCs w:val="16"/>
        </w:rPr>
      </w:pPr>
    </w:p>
    <w:p w14:paraId="062F3554"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 и воздухоплавание Германии:</w:t>
      </w:r>
    </w:p>
    <w:p w14:paraId="5C1D8346" w14:textId="77777777" w:rsidR="004B4E35" w:rsidRPr="00405303" w:rsidRDefault="004B4E35" w:rsidP="00C15251">
      <w:pPr>
        <w:pStyle w:val="a3"/>
        <w:jc w:val="both"/>
        <w:rPr>
          <w:bCs/>
          <w:color w:val="002060"/>
          <w:spacing w:val="0"/>
          <w:kern w:val="0"/>
          <w:position w:val="0"/>
          <w:sz w:val="16"/>
          <w:szCs w:val="16"/>
        </w:rPr>
      </w:pPr>
    </w:p>
    <w:p w14:paraId="7341F143" w14:textId="13A79A28" w:rsidR="004B4E35" w:rsidRPr="00405303" w:rsidRDefault="009E6F82" w:rsidP="00C15251">
      <w:pPr>
        <w:jc w:val="both"/>
        <w:rPr>
          <w:bCs/>
          <w:color w:val="002060"/>
          <w:sz w:val="16"/>
          <w:szCs w:val="16"/>
        </w:rPr>
      </w:pPr>
      <w:r w:rsidRPr="00405303">
        <w:rPr>
          <w:bCs/>
          <w:color w:val="002060"/>
          <w:sz w:val="16"/>
          <w:szCs w:val="16"/>
        </w:rPr>
        <w:t xml:space="preserve">19 марта (1 апреля) </w:t>
      </w:r>
      <w:r w:rsidR="00BF1725" w:rsidRPr="00405303">
        <w:rPr>
          <w:bCs/>
          <w:color w:val="002060"/>
          <w:sz w:val="16"/>
          <w:szCs w:val="16"/>
        </w:rPr>
        <w:t xml:space="preserve">1915 г. </w:t>
      </w:r>
      <w:r w:rsidRPr="00405303">
        <w:rPr>
          <w:bCs/>
          <w:color w:val="002060"/>
          <w:sz w:val="16"/>
          <w:szCs w:val="16"/>
        </w:rPr>
        <w:t xml:space="preserve">к берегам Англии подошел L-9. Вот официальное донесение начальника службы ПВО из Ньюкасла: «В 20.00 цеппелин L-9 (в источнике — ZL-9. — </w:t>
      </w:r>
      <w:r w:rsidRPr="00405303">
        <w:rPr>
          <w:bCs/>
          <w:i/>
          <w:color w:val="002060"/>
          <w:sz w:val="16"/>
          <w:szCs w:val="16"/>
        </w:rPr>
        <w:t>Сост.)</w:t>
      </w:r>
      <w:r w:rsidRPr="00405303">
        <w:rPr>
          <w:bCs/>
          <w:color w:val="002060"/>
          <w:sz w:val="16"/>
          <w:szCs w:val="16"/>
        </w:rPr>
        <w:t xml:space="preserve"> появился в окрестностях Ньюкасла, сбрасывая бомбы в угольных районах Блайта, Чепингтона, Бенлингтона, Фремлингтона, Уалсэнда и др. Через 35 минут, пройдя по маршруту около 30 км, цеппелин исчез. Было сброшено около сорока фугасных и зажигательных бомб, в результате чего ранено 3 человека и возникло несколько пожаров. По некоторым сведениям, этот цеппелин вышел из Гельголанда, пройдя за весь путь 1300 км» (11324). </w:t>
      </w:r>
    </w:p>
    <w:p w14:paraId="43D19991" w14:textId="77777777" w:rsidR="004B4E35" w:rsidRPr="00405303" w:rsidRDefault="004B4E35" w:rsidP="00C15251">
      <w:pPr>
        <w:jc w:val="both"/>
        <w:rPr>
          <w:bCs/>
          <w:i/>
          <w:color w:val="002060"/>
          <w:sz w:val="16"/>
          <w:szCs w:val="16"/>
        </w:rPr>
      </w:pPr>
    </w:p>
    <w:p w14:paraId="59F28771" w14:textId="4CCAF16A" w:rsidR="00D85D3A" w:rsidRPr="00405303" w:rsidRDefault="00D85D3A" w:rsidP="00C15251">
      <w:pPr>
        <w:jc w:val="both"/>
        <w:rPr>
          <w:bCs/>
          <w:i/>
          <w:color w:val="002060"/>
          <w:sz w:val="16"/>
          <w:szCs w:val="16"/>
        </w:rPr>
      </w:pPr>
      <w:r w:rsidRPr="00405303">
        <w:rPr>
          <w:bCs/>
          <w:i/>
          <w:color w:val="002060"/>
          <w:sz w:val="16"/>
          <w:szCs w:val="16"/>
        </w:rPr>
        <w:t>Авиация:</w:t>
      </w:r>
    </w:p>
    <w:p w14:paraId="4AC135B8" w14:textId="77777777" w:rsidR="00D85D3A" w:rsidRPr="00405303" w:rsidRDefault="00D85D3A" w:rsidP="00C15251">
      <w:pPr>
        <w:jc w:val="both"/>
        <w:rPr>
          <w:bCs/>
          <w:i/>
          <w:color w:val="002060"/>
          <w:sz w:val="16"/>
          <w:szCs w:val="16"/>
        </w:rPr>
      </w:pPr>
    </w:p>
    <w:p w14:paraId="7136AC2E" w14:textId="340E7522" w:rsidR="00D85D3A" w:rsidRPr="00405303" w:rsidRDefault="00D85D3A" w:rsidP="00C15251">
      <w:pPr>
        <w:jc w:val="both"/>
        <w:rPr>
          <w:bCs/>
          <w:color w:val="002060"/>
          <w:sz w:val="16"/>
          <w:szCs w:val="16"/>
        </w:rPr>
      </w:pPr>
      <w:r w:rsidRPr="00405303">
        <w:rPr>
          <w:bCs/>
          <w:color w:val="002060"/>
          <w:sz w:val="16"/>
          <w:szCs w:val="16"/>
        </w:rPr>
        <w:t>20 марта (2 апреля) 1915 г. вблизи г. Ковно (над местечком Кретинген) огнем артиллерии был подбит германский аэроплан с грузом прокламаций, осуществивший до этого бомбометание позиций наших частей (23405).</w:t>
      </w:r>
    </w:p>
    <w:p w14:paraId="597866D5" w14:textId="77777777" w:rsidR="00D85D3A" w:rsidRPr="00405303" w:rsidRDefault="00D85D3A" w:rsidP="00C15251">
      <w:pPr>
        <w:jc w:val="both"/>
        <w:rPr>
          <w:bCs/>
          <w:color w:val="002060"/>
          <w:sz w:val="16"/>
          <w:szCs w:val="16"/>
        </w:rPr>
      </w:pPr>
    </w:p>
    <w:p w14:paraId="09D3D1F3" w14:textId="77777777" w:rsidR="00A1370A" w:rsidRPr="00405303" w:rsidRDefault="00A1370A" w:rsidP="00A1370A">
      <w:pPr>
        <w:jc w:val="both"/>
        <w:rPr>
          <w:color w:val="0070C0"/>
          <w:sz w:val="16"/>
          <w:szCs w:val="16"/>
        </w:rPr>
      </w:pPr>
      <w:r w:rsidRPr="00405303">
        <w:rPr>
          <w:color w:val="0070C0"/>
          <w:sz w:val="16"/>
          <w:szCs w:val="16"/>
        </w:rPr>
        <w:t>20 марта (2 апреля) 1915 г. объектом нападения австрийской авиации вновь стало медицинское учреждение в районе ст. Ясло (царство Польское) (25135).</w:t>
      </w:r>
    </w:p>
    <w:p w14:paraId="1E29FF5E" w14:textId="77777777" w:rsidR="00A1370A" w:rsidRPr="00405303" w:rsidRDefault="00A1370A" w:rsidP="00A1370A">
      <w:pPr>
        <w:jc w:val="both"/>
        <w:rPr>
          <w:color w:val="0070C0"/>
          <w:sz w:val="16"/>
          <w:szCs w:val="16"/>
        </w:rPr>
      </w:pPr>
    </w:p>
    <w:p w14:paraId="5AFD1DD3" w14:textId="4842EE6A"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Франции:</w:t>
      </w:r>
    </w:p>
    <w:p w14:paraId="3B6E12CD" w14:textId="77777777" w:rsidR="004B4E35" w:rsidRPr="00405303" w:rsidRDefault="004B4E35" w:rsidP="00C15251">
      <w:pPr>
        <w:jc w:val="both"/>
        <w:rPr>
          <w:bCs/>
          <w:i/>
          <w:color w:val="002060"/>
          <w:sz w:val="16"/>
          <w:szCs w:val="16"/>
        </w:rPr>
      </w:pPr>
    </w:p>
    <w:p w14:paraId="0D3411E7" w14:textId="1FD1B984" w:rsidR="004B4E35" w:rsidRPr="00405303" w:rsidRDefault="009E6F82" w:rsidP="00C15251">
      <w:pPr>
        <w:jc w:val="both"/>
        <w:rPr>
          <w:bCs/>
          <w:color w:val="002060"/>
          <w:sz w:val="16"/>
          <w:szCs w:val="16"/>
        </w:rPr>
      </w:pPr>
      <w:r w:rsidRPr="00405303">
        <w:rPr>
          <w:bCs/>
          <w:color w:val="002060"/>
          <w:sz w:val="16"/>
          <w:szCs w:val="16"/>
        </w:rPr>
        <w:t>20 марта (2 апреля) 1915 - Наварр добивается отправки на новое спецзадание; его направляют с пассажиром в Ретель.</w:t>
      </w:r>
    </w:p>
    <w:p w14:paraId="219F8ECE" w14:textId="77777777" w:rsidR="004B4E35" w:rsidRPr="00405303" w:rsidRDefault="009E6F82" w:rsidP="00C15251">
      <w:pPr>
        <w:jc w:val="both"/>
        <w:rPr>
          <w:bCs/>
          <w:color w:val="002060"/>
          <w:sz w:val="16"/>
          <w:szCs w:val="16"/>
        </w:rPr>
      </w:pPr>
      <w:r w:rsidRPr="00405303">
        <w:rPr>
          <w:bCs/>
          <w:color w:val="002060"/>
          <w:sz w:val="16"/>
          <w:szCs w:val="16"/>
        </w:rPr>
        <w:lastRenderedPageBreak/>
        <w:t>Наварр: "...На обратном пути я замечаю Лаонский аэродром немцев. Идея! Не удивить ли мне зрелищем французского "митинга". Я спускаюсь падающим листом на 500 м над ними и начинаю представлять серию всех трюков, какие только знал.</w:t>
      </w:r>
    </w:p>
    <w:p w14:paraId="01363E0C" w14:textId="77777777" w:rsidR="004B4E35" w:rsidRPr="00405303" w:rsidRDefault="009E6F82" w:rsidP="00C15251">
      <w:pPr>
        <w:jc w:val="both"/>
        <w:rPr>
          <w:bCs/>
          <w:color w:val="002060"/>
          <w:sz w:val="16"/>
          <w:szCs w:val="16"/>
        </w:rPr>
      </w:pPr>
      <w:r w:rsidRPr="00405303">
        <w:rPr>
          <w:bCs/>
          <w:color w:val="002060"/>
          <w:sz w:val="16"/>
          <w:szCs w:val="16"/>
        </w:rPr>
        <w:t>Должно быть, это заинтересовало их, потому что никто и не думал стрелять по мне... Вдруг я слышу ружейные выстрелы, - оборачиваюсь: это старый "Альбатрос" добросовестно обстреливает меня. Глупец, прервал мою программу... я не мог его сбить, потому что на спецзадание отправляют без оружия. Что делать? Мне кажется, что высмеять этого господина - единственное нормальное решение. Я принимаюсь за это: как будто не видя его, я спускаюсь падающим листом до 100 м над аэродромом; немец продолжает свое. В следующий момент я прерываю фигуру, забираюсь круто вверх, и мой "Парасоль" мгновенно производит такое впечатление, точно взлетает к небу, тогда как "Альбатрос" не может и думать следовать за мной. Потом я вновь проделываю мой непогрешимый падающий лист, ошеломляя моего бессильного противника.</w:t>
      </w:r>
    </w:p>
    <w:p w14:paraId="18F6F13C" w14:textId="77777777" w:rsidR="004B4E35" w:rsidRPr="00405303" w:rsidRDefault="009E6F82" w:rsidP="00C15251">
      <w:pPr>
        <w:jc w:val="both"/>
        <w:rPr>
          <w:bCs/>
          <w:color w:val="002060"/>
          <w:sz w:val="16"/>
          <w:szCs w:val="16"/>
        </w:rPr>
      </w:pPr>
      <w:r w:rsidRPr="00405303">
        <w:rPr>
          <w:bCs/>
          <w:color w:val="002060"/>
          <w:sz w:val="16"/>
          <w:szCs w:val="16"/>
        </w:rPr>
        <w:t>Должно быть, смеялись же внизу. Этой мысли достаточно было, чтобы развлечь меня и заставить забыть всякие заботы..."</w:t>
      </w:r>
    </w:p>
    <w:p w14:paraId="549137FB" w14:textId="77777777" w:rsidR="004B4E35" w:rsidRPr="00405303" w:rsidRDefault="009E6F82" w:rsidP="00C15251">
      <w:pPr>
        <w:jc w:val="both"/>
        <w:rPr>
          <w:bCs/>
          <w:color w:val="002060"/>
          <w:sz w:val="16"/>
          <w:szCs w:val="16"/>
        </w:rPr>
      </w:pPr>
      <w:r w:rsidRPr="00405303">
        <w:rPr>
          <w:bCs/>
          <w:color w:val="002060"/>
          <w:sz w:val="16"/>
          <w:szCs w:val="16"/>
        </w:rPr>
        <w:t xml:space="preserve">Этот случай очень хорошо характеризует не столько самого Наварра, сколько большинство военных летчиков начала войны. Хотя, конечно же, по всем </w:t>
      </w:r>
      <w:proofErr w:type="gramStart"/>
      <w:r w:rsidRPr="00405303">
        <w:rPr>
          <w:bCs/>
          <w:color w:val="002060"/>
          <w:sz w:val="16"/>
          <w:szCs w:val="16"/>
        </w:rPr>
        <w:t>свидетельствам</w:t>
      </w:r>
      <w:proofErr w:type="gramEnd"/>
      <w:r w:rsidRPr="00405303">
        <w:rPr>
          <w:bCs/>
          <w:color w:val="002060"/>
          <w:sz w:val="16"/>
          <w:szCs w:val="16"/>
        </w:rPr>
        <w:t xml:space="preserve"> На- варр был одним из самых недисциплинированных пилотов.</w:t>
      </w:r>
    </w:p>
    <w:p w14:paraId="621D6B77" w14:textId="77777777" w:rsidR="004B4E35" w:rsidRPr="00405303" w:rsidRDefault="009E6F82" w:rsidP="00C15251">
      <w:pPr>
        <w:jc w:val="both"/>
        <w:rPr>
          <w:bCs/>
          <w:color w:val="002060"/>
          <w:sz w:val="16"/>
          <w:szCs w:val="16"/>
        </w:rPr>
      </w:pPr>
      <w:r w:rsidRPr="00405303">
        <w:rPr>
          <w:bCs/>
          <w:color w:val="002060"/>
          <w:sz w:val="16"/>
          <w:szCs w:val="16"/>
        </w:rPr>
        <w:t>Доставленный на этот раз пассажир Наварра также вскоре погиб. У французского летчика сложилось впечатление, что он приносит несчастье. На третье спецзадание он согласился отправиться только в паре с Ведрином, всегда совершавшим заброс шпионов удачно; и не ошибся (11999).</w:t>
      </w:r>
    </w:p>
    <w:p w14:paraId="1DB09D22" w14:textId="77777777" w:rsidR="004B4E35" w:rsidRPr="00405303" w:rsidRDefault="004B4E35" w:rsidP="00C15251">
      <w:pPr>
        <w:jc w:val="both"/>
        <w:rPr>
          <w:bCs/>
          <w:color w:val="002060"/>
          <w:sz w:val="16"/>
          <w:szCs w:val="16"/>
        </w:rPr>
      </w:pPr>
    </w:p>
    <w:p w14:paraId="03BA6B69" w14:textId="77777777" w:rsidR="009E34B2" w:rsidRPr="00405303" w:rsidRDefault="009E34B2" w:rsidP="00C15251">
      <w:pPr>
        <w:jc w:val="both"/>
        <w:rPr>
          <w:bCs/>
          <w:color w:val="002060"/>
          <w:sz w:val="16"/>
          <w:szCs w:val="16"/>
        </w:rPr>
      </w:pPr>
      <w:r w:rsidRPr="00405303">
        <w:rPr>
          <w:bCs/>
          <w:color w:val="002060"/>
          <w:sz w:val="16"/>
          <w:szCs w:val="16"/>
        </w:rPr>
        <w:t>20 марта (2 апреля) 1915 Пегу провел успешный бой, атаковав два германских аппарата, проводивших разведку в ближнем тылу союзных войск. Первый со снижением ушел на свою территорию, а второй рухнул на нейтральной полосе меж двух линий траншей (22741).</w:t>
      </w:r>
    </w:p>
    <w:p w14:paraId="21B74EC6" w14:textId="77777777" w:rsidR="009E34B2" w:rsidRPr="00405303" w:rsidRDefault="009E34B2" w:rsidP="00C15251">
      <w:pPr>
        <w:jc w:val="both"/>
        <w:rPr>
          <w:bCs/>
          <w:color w:val="002060"/>
          <w:sz w:val="16"/>
          <w:szCs w:val="16"/>
        </w:rPr>
      </w:pPr>
    </w:p>
    <w:p w14:paraId="1B88E038"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6D0E8707" w14:textId="77777777" w:rsidR="004B4E35" w:rsidRPr="00405303" w:rsidRDefault="004B4E35" w:rsidP="00C15251">
      <w:pPr>
        <w:jc w:val="both"/>
        <w:rPr>
          <w:bCs/>
          <w:i/>
          <w:color w:val="002060"/>
          <w:sz w:val="16"/>
          <w:szCs w:val="16"/>
        </w:rPr>
      </w:pPr>
    </w:p>
    <w:p w14:paraId="162AA2A4" w14:textId="1FF28311" w:rsidR="004B4E35" w:rsidRPr="00405303" w:rsidRDefault="009E6F82" w:rsidP="00C15251">
      <w:pPr>
        <w:shd w:val="clear" w:color="auto" w:fill="FFFFFF"/>
        <w:jc w:val="both"/>
        <w:rPr>
          <w:bCs/>
          <w:color w:val="002060"/>
          <w:sz w:val="16"/>
          <w:szCs w:val="16"/>
        </w:rPr>
      </w:pPr>
      <w:r w:rsidRPr="00405303">
        <w:rPr>
          <w:bCs/>
          <w:color w:val="002060"/>
          <w:sz w:val="16"/>
          <w:szCs w:val="16"/>
        </w:rPr>
        <w:t>20 марта (2 апреля) 1915 г. после испытаний стрельбой и пробегом батарея под командованием капитана Тарнавского отправилась на фронт, где ее действия были признаны успешны</w:t>
      </w:r>
      <w:r w:rsidRPr="00405303">
        <w:rPr>
          <w:bCs/>
          <w:color w:val="002060"/>
          <w:sz w:val="16"/>
          <w:szCs w:val="16"/>
        </w:rPr>
        <w:softHyphen/>
        <w:t>ми. Так, только в 1916 г. на счет указанной батареи были от</w:t>
      </w:r>
      <w:r w:rsidRPr="00405303">
        <w:rPr>
          <w:bCs/>
          <w:color w:val="002060"/>
          <w:sz w:val="16"/>
          <w:szCs w:val="16"/>
        </w:rPr>
        <w:softHyphen/>
        <w:t>несены немецкий разведывательный самолет, подбитый 30 мая над г. Пултуск, а также три самолета, подбитых 12 ию</w:t>
      </w:r>
      <w:r w:rsidRPr="00405303">
        <w:rPr>
          <w:bCs/>
          <w:color w:val="002060"/>
          <w:sz w:val="16"/>
          <w:szCs w:val="16"/>
        </w:rPr>
        <w:softHyphen/>
        <w:t>ля 1916 г. над позициями 5-й армии.</w:t>
      </w:r>
    </w:p>
    <w:p w14:paraId="7CAE1BB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Но 76,2-мм Противоаэропланная пушка получилась все же сравнительно дорогой и сложной. Потребности армии в указанном оружии были велики, промышленность же не справлялась с заказами и потому к использованию против самолетов приспосабливали и многие другие орудия, кали</w:t>
      </w:r>
      <w:r w:rsidRPr="00405303">
        <w:rPr>
          <w:bCs/>
          <w:color w:val="002060"/>
          <w:sz w:val="16"/>
          <w:szCs w:val="16"/>
        </w:rPr>
        <w:softHyphen/>
        <w:t>бра от 57 до 75-мм и более (11417).</w:t>
      </w:r>
    </w:p>
    <w:p w14:paraId="3E6AD0F1" w14:textId="77777777" w:rsidR="004B4E35" w:rsidRPr="00405303" w:rsidRDefault="004B4E35" w:rsidP="00C15251">
      <w:pPr>
        <w:shd w:val="clear" w:color="auto" w:fill="FFFFFF"/>
        <w:jc w:val="both"/>
        <w:rPr>
          <w:bCs/>
          <w:color w:val="002060"/>
          <w:sz w:val="16"/>
          <w:szCs w:val="16"/>
        </w:rPr>
      </w:pPr>
    </w:p>
    <w:p w14:paraId="22DE78B5"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4BC97259" w14:textId="77777777" w:rsidR="004B4E35" w:rsidRPr="00405303" w:rsidRDefault="004B4E35" w:rsidP="00C15251">
      <w:pPr>
        <w:jc w:val="both"/>
        <w:rPr>
          <w:bCs/>
          <w:i/>
          <w:color w:val="002060"/>
          <w:sz w:val="16"/>
          <w:szCs w:val="16"/>
        </w:rPr>
      </w:pPr>
    </w:p>
    <w:p w14:paraId="0A349BD3" w14:textId="4F28A767" w:rsidR="004B4E35" w:rsidRPr="00405303" w:rsidRDefault="009E6F82" w:rsidP="00C15251">
      <w:pPr>
        <w:shd w:val="clear" w:color="auto" w:fill="FFFFFF"/>
        <w:jc w:val="both"/>
        <w:rPr>
          <w:bCs/>
          <w:color w:val="002060"/>
          <w:sz w:val="16"/>
          <w:szCs w:val="16"/>
        </w:rPr>
      </w:pPr>
      <w:r w:rsidRPr="00405303">
        <w:rPr>
          <w:bCs/>
          <w:color w:val="002060"/>
          <w:sz w:val="16"/>
          <w:szCs w:val="16"/>
        </w:rPr>
        <w:t>20 марта (2 апреля) 1915 летчик II КАО штаб</w:t>
      </w:r>
      <w:r w:rsidR="00BF1725" w:rsidRPr="00405303">
        <w:rPr>
          <w:bCs/>
          <w:color w:val="002060"/>
          <w:sz w:val="16"/>
          <w:szCs w:val="16"/>
        </w:rPr>
        <w:t>с</w:t>
      </w:r>
      <w:r w:rsidRPr="00405303">
        <w:rPr>
          <w:bCs/>
          <w:color w:val="002060"/>
          <w:sz w:val="16"/>
          <w:szCs w:val="16"/>
        </w:rPr>
        <w:t xml:space="preserve">-ротмистр Вадим Михайлович </w:t>
      </w:r>
      <w:r w:rsidR="00564DD4" w:rsidRPr="00405303">
        <w:rPr>
          <w:bCs/>
          <w:color w:val="002060"/>
          <w:sz w:val="16"/>
          <w:szCs w:val="16"/>
        </w:rPr>
        <w:t>Н</w:t>
      </w:r>
      <w:r w:rsidRPr="00405303">
        <w:rPr>
          <w:bCs/>
          <w:color w:val="002060"/>
          <w:sz w:val="16"/>
          <w:szCs w:val="16"/>
        </w:rPr>
        <w:t xml:space="preserve">адеждин при выполнении разведки в тылу противника был обстре-1ян артиллерией. Несмотря на поврежденный при этом двигатель [пробит один цилиндр), летчик продолжал разведку и обнаружил в Лионе Войничи и на опушке Родловского леса неприятельские укрепления и батареи, а также продвижение обозов. При возвращении, рролетая над неприятельскими позициями на высоте всего лишь рОО м, Надеждин снова подвергся сильному обстрелу, но ценные данные разведки доставил благополучно и вовремя, (ЦГВИА. ф.493, </w:t>
      </w:r>
      <w:proofErr w:type="gramStart"/>
      <w:r w:rsidRPr="00405303">
        <w:rPr>
          <w:bCs/>
          <w:color w:val="002060"/>
          <w:sz w:val="16"/>
          <w:szCs w:val="16"/>
        </w:rPr>
        <w:t>оп.З</w:t>
      </w:r>
      <w:proofErr w:type="gramEnd"/>
      <w:r w:rsidRPr="00405303">
        <w:rPr>
          <w:bCs/>
          <w:color w:val="002060"/>
          <w:sz w:val="16"/>
          <w:szCs w:val="16"/>
        </w:rPr>
        <w:t>, д.129, л. 41).</w:t>
      </w:r>
    </w:p>
    <w:p w14:paraId="1F4A98D0" w14:textId="77777777" w:rsidR="004B4E35" w:rsidRPr="00405303" w:rsidRDefault="004B4E35" w:rsidP="00C15251">
      <w:pPr>
        <w:shd w:val="clear" w:color="auto" w:fill="FFFFFF"/>
        <w:jc w:val="both"/>
        <w:rPr>
          <w:bCs/>
          <w:color w:val="002060"/>
          <w:sz w:val="16"/>
          <w:szCs w:val="16"/>
        </w:rPr>
      </w:pPr>
    </w:p>
    <w:p w14:paraId="5BC61B03" w14:textId="77777777" w:rsidR="00564DD4" w:rsidRPr="00405303" w:rsidRDefault="00564DD4" w:rsidP="00C15251">
      <w:pPr>
        <w:jc w:val="both"/>
        <w:rPr>
          <w:bCs/>
          <w:color w:val="002060"/>
          <w:sz w:val="16"/>
          <w:szCs w:val="16"/>
        </w:rPr>
      </w:pPr>
      <w:r w:rsidRPr="00405303">
        <w:rPr>
          <w:bCs/>
          <w:color w:val="002060"/>
          <w:sz w:val="16"/>
          <w:szCs w:val="16"/>
        </w:rPr>
        <w:t>20 марта (2 апреля) 1915 г. летчик 11 КАО шт.-ротмистр Вадим Михайлович Надеждин при выполнении разведки в тылу противника был обстрелян артиллерией. Несмотря на поврежденный при этом мотор /пробит один цилиндр/ летчик продолжал разведку и обнаружил в районе Войничи и на опушке Редловского леса неприятельские укрепления и батареи, а также продвижение обозов. При возвращении, пролетая над неприятельскими позицями всего лишь на 800 м, Надеждин снова подвергся сильному обстрстрелу, но ценные данные разведки доставил благополучно и вовремя.</w:t>
      </w:r>
    </w:p>
    <w:p w14:paraId="5A072512" w14:textId="77777777" w:rsidR="00564DD4" w:rsidRPr="00405303" w:rsidRDefault="00564DD4" w:rsidP="00C15251">
      <w:pPr>
        <w:jc w:val="both"/>
        <w:rPr>
          <w:bCs/>
          <w:color w:val="002060"/>
          <w:sz w:val="16"/>
          <w:szCs w:val="16"/>
        </w:rPr>
      </w:pPr>
      <w:r w:rsidRPr="00405303">
        <w:rPr>
          <w:bCs/>
          <w:color w:val="002060"/>
          <w:sz w:val="16"/>
          <w:szCs w:val="16"/>
        </w:rPr>
        <w:t>/ЦГВИА, Ф. 493, оп. 3, д. 129, л. 41; "Русский инвалид” за 12 сент.1916/ (23320).</w:t>
      </w:r>
    </w:p>
    <w:p w14:paraId="5F25FB5A" w14:textId="77777777" w:rsidR="00564DD4" w:rsidRPr="00405303" w:rsidRDefault="00564DD4" w:rsidP="00C15251">
      <w:pPr>
        <w:jc w:val="both"/>
        <w:rPr>
          <w:bCs/>
          <w:color w:val="002060"/>
          <w:sz w:val="16"/>
          <w:szCs w:val="16"/>
        </w:rPr>
      </w:pPr>
    </w:p>
    <w:p w14:paraId="0BD52F05"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0C7982ED" w14:textId="77777777" w:rsidR="004B4E35" w:rsidRPr="00405303" w:rsidRDefault="004B4E35" w:rsidP="00C15251">
      <w:pPr>
        <w:jc w:val="both"/>
        <w:rPr>
          <w:bCs/>
          <w:i/>
          <w:color w:val="002060"/>
          <w:sz w:val="16"/>
          <w:szCs w:val="16"/>
        </w:rPr>
      </w:pPr>
    </w:p>
    <w:p w14:paraId="2CA062BD" w14:textId="4B1862E0" w:rsidR="004B4E35" w:rsidRPr="00405303" w:rsidRDefault="009E6F82" w:rsidP="00C15251">
      <w:pPr>
        <w:jc w:val="both"/>
        <w:rPr>
          <w:bCs/>
          <w:color w:val="002060"/>
          <w:sz w:val="16"/>
          <w:szCs w:val="16"/>
        </w:rPr>
      </w:pPr>
      <w:bookmarkStart w:id="75" w:name="_Hlk117528421"/>
      <w:r w:rsidRPr="00405303">
        <w:rPr>
          <w:bCs/>
          <w:color w:val="002060"/>
          <w:sz w:val="16"/>
          <w:szCs w:val="16"/>
        </w:rPr>
        <w:t xml:space="preserve">20 марта (2 апреля) </w:t>
      </w:r>
      <w:r w:rsidR="00B7030F" w:rsidRPr="00405303">
        <w:rPr>
          <w:bCs/>
          <w:color w:val="002060"/>
          <w:sz w:val="16"/>
          <w:szCs w:val="16"/>
        </w:rPr>
        <w:t xml:space="preserve">1915 г. </w:t>
      </w:r>
      <w:r w:rsidRPr="00405303">
        <w:rPr>
          <w:bCs/>
          <w:color w:val="002060"/>
          <w:sz w:val="16"/>
          <w:szCs w:val="16"/>
        </w:rPr>
        <w:t xml:space="preserve">вслед за аппаратами </w:t>
      </w:r>
      <w:r w:rsidR="00BF1725" w:rsidRPr="00405303">
        <w:rPr>
          <w:bCs/>
          <w:color w:val="002060"/>
          <w:sz w:val="16"/>
          <w:szCs w:val="16"/>
        </w:rPr>
        <w:t xml:space="preserve">в Севастополь </w:t>
      </w:r>
      <w:r w:rsidRPr="00405303">
        <w:rPr>
          <w:bCs/>
          <w:color w:val="002060"/>
          <w:sz w:val="16"/>
          <w:szCs w:val="16"/>
        </w:rPr>
        <w:t>выехала целая бригада от ПРТВ, в составе инженера А. Н. Седельникова, пилота Я. И. Седова-Серова, двух механиков и двух монтеров. Двадцать четвертого марта ма</w:t>
      </w:r>
      <w:r w:rsidRPr="00405303">
        <w:rPr>
          <w:bCs/>
          <w:color w:val="002060"/>
          <w:sz w:val="16"/>
          <w:szCs w:val="16"/>
        </w:rPr>
        <w:softHyphen/>
        <w:t>шины прибыли на место, а 31-го числа приемная комиссия Севастопольского порта провела их ис</w:t>
      </w:r>
      <w:r w:rsidRPr="00405303">
        <w:rPr>
          <w:bCs/>
          <w:color w:val="002060"/>
          <w:sz w:val="16"/>
          <w:szCs w:val="16"/>
        </w:rPr>
        <w:softHyphen/>
        <w:t>пытания, состоявшие из одного 25- и одного 13-минутного полета, во время которых контрак</w:t>
      </w:r>
      <w:r w:rsidRPr="00405303">
        <w:rPr>
          <w:bCs/>
          <w:color w:val="002060"/>
          <w:sz w:val="16"/>
          <w:szCs w:val="16"/>
        </w:rPr>
        <w:softHyphen/>
        <w:t>тную высоту покорили за 7,5 минут. По зачисле</w:t>
      </w:r>
      <w:r w:rsidRPr="00405303">
        <w:rPr>
          <w:bCs/>
          <w:color w:val="002060"/>
          <w:sz w:val="16"/>
          <w:szCs w:val="16"/>
        </w:rPr>
        <w:softHyphen/>
        <w:t>нии в казну, удостоившись флотских номеров 29 и 30, аппараты пополнили ряды боевых гидроаэ</w:t>
      </w:r>
      <w:r w:rsidRPr="00405303">
        <w:rPr>
          <w:bCs/>
          <w:color w:val="002060"/>
          <w:sz w:val="16"/>
          <w:szCs w:val="16"/>
        </w:rPr>
        <w:softHyphen/>
        <w:t>ропланов Черноморского флота, 8 апреля летчи</w:t>
      </w:r>
      <w:r w:rsidRPr="00405303">
        <w:rPr>
          <w:bCs/>
          <w:color w:val="002060"/>
          <w:sz w:val="16"/>
          <w:szCs w:val="16"/>
        </w:rPr>
        <w:softHyphen/>
        <w:t>ки начали осваивать их и вскоре «29-й» выдер</w:t>
      </w:r>
      <w:r w:rsidRPr="00405303">
        <w:rPr>
          <w:bCs/>
          <w:color w:val="002060"/>
          <w:sz w:val="16"/>
          <w:szCs w:val="16"/>
        </w:rPr>
        <w:softHyphen/>
        <w:t>жал крещение огнем, участвуя в рейде к Босфору 9-13 апреля. Он находился на борту гидрокрейсе</w:t>
      </w:r>
      <w:r w:rsidRPr="00405303">
        <w:rPr>
          <w:bCs/>
          <w:color w:val="002060"/>
          <w:sz w:val="16"/>
          <w:szCs w:val="16"/>
        </w:rPr>
        <w:softHyphen/>
        <w:t>ра «Император Николай I»; ранним утром 12-го числа его спустили на воду, и он взлетел с экипа</w:t>
      </w:r>
      <w:r w:rsidRPr="00405303">
        <w:rPr>
          <w:bCs/>
          <w:color w:val="002060"/>
          <w:sz w:val="16"/>
          <w:szCs w:val="16"/>
        </w:rPr>
        <w:softHyphen/>
        <w:t>жем из подпоручика по Адмиралтейству А. Е. Жукова и прапорщика артиллерии С. Н. Корса</w:t>
      </w:r>
      <w:r w:rsidRPr="00405303">
        <w:rPr>
          <w:bCs/>
          <w:color w:val="002060"/>
          <w:sz w:val="16"/>
          <w:szCs w:val="16"/>
        </w:rPr>
        <w:softHyphen/>
        <w:t>кова. Авиаторы сумели атаковать турецкую ка</w:t>
      </w:r>
      <w:r w:rsidRPr="00405303">
        <w:rPr>
          <w:bCs/>
          <w:color w:val="002060"/>
          <w:sz w:val="16"/>
          <w:szCs w:val="16"/>
        </w:rPr>
        <w:softHyphen/>
        <w:t>нонерскую лодку класса «Бурак Рейс», сбросив на нее бомбу, разорвавшуюся в 70 м за кормой корабля. Однако вылет едва не закончился плачевно: лопнувшая в топливной системе трубка вынудила офицеров приводниться на значительном расстоянии от их плавучей базы, но им все же повезло прирулить к ней по поверхности моря. После осмотра двига</w:t>
      </w:r>
      <w:r w:rsidRPr="00405303">
        <w:rPr>
          <w:bCs/>
          <w:color w:val="002060"/>
          <w:sz w:val="16"/>
          <w:szCs w:val="16"/>
        </w:rPr>
        <w:softHyphen/>
        <w:t>теля выяснилось, что, помимо всего, шатун одного из поршней лопнул и грозил, в принципе, разнести вдребезги всю моторную установку (2807).</w:t>
      </w:r>
    </w:p>
    <w:p w14:paraId="1FF8BFAF" w14:textId="77777777" w:rsidR="004B4E35" w:rsidRPr="00405303" w:rsidRDefault="004B4E35" w:rsidP="00C15251">
      <w:pPr>
        <w:jc w:val="both"/>
        <w:rPr>
          <w:bCs/>
          <w:color w:val="002060"/>
          <w:sz w:val="16"/>
          <w:szCs w:val="16"/>
        </w:rPr>
      </w:pPr>
    </w:p>
    <w:bookmarkEnd w:id="75"/>
    <w:p w14:paraId="24DE59F1" w14:textId="77777777" w:rsidR="00450DD3" w:rsidRPr="00405303" w:rsidRDefault="00450DD3" w:rsidP="00C15251">
      <w:pPr>
        <w:jc w:val="both"/>
        <w:rPr>
          <w:bCs/>
          <w:i/>
          <w:color w:val="002060"/>
          <w:sz w:val="16"/>
          <w:szCs w:val="16"/>
        </w:rPr>
      </w:pPr>
      <w:r w:rsidRPr="00405303">
        <w:rPr>
          <w:bCs/>
          <w:i/>
          <w:color w:val="002060"/>
          <w:sz w:val="16"/>
          <w:szCs w:val="16"/>
        </w:rPr>
        <w:t>Армия:</w:t>
      </w:r>
    </w:p>
    <w:p w14:paraId="012D4354" w14:textId="77777777" w:rsidR="00450DD3" w:rsidRPr="00405303" w:rsidRDefault="00450DD3" w:rsidP="00C15251">
      <w:pPr>
        <w:jc w:val="both"/>
        <w:rPr>
          <w:bCs/>
          <w:i/>
          <w:color w:val="002060"/>
          <w:sz w:val="16"/>
          <w:szCs w:val="16"/>
        </w:rPr>
      </w:pPr>
    </w:p>
    <w:p w14:paraId="407C99A6" w14:textId="531DFFFF" w:rsidR="00450DD3" w:rsidRPr="00405303" w:rsidRDefault="00450DD3" w:rsidP="00C15251">
      <w:pPr>
        <w:jc w:val="both"/>
        <w:rPr>
          <w:bCs/>
          <w:color w:val="002060"/>
          <w:sz w:val="16"/>
          <w:szCs w:val="16"/>
        </w:rPr>
      </w:pPr>
      <w:r w:rsidRPr="00405303">
        <w:rPr>
          <w:bCs/>
          <w:color w:val="002060"/>
          <w:sz w:val="16"/>
          <w:szCs w:val="16"/>
        </w:rPr>
        <w:t xml:space="preserve">21 марта </w:t>
      </w:r>
      <w:r w:rsidR="00BF1725" w:rsidRPr="00405303">
        <w:rPr>
          <w:bCs/>
          <w:color w:val="002060"/>
          <w:sz w:val="16"/>
          <w:szCs w:val="16"/>
        </w:rPr>
        <w:t xml:space="preserve">(3 апреля) </w:t>
      </w:r>
      <w:r w:rsidRPr="00405303">
        <w:rPr>
          <w:bCs/>
          <w:color w:val="002060"/>
          <w:sz w:val="16"/>
          <w:szCs w:val="16"/>
        </w:rPr>
        <w:t>в 1915 году русские войска захватывают австрийскую крепость Перемышль после 194 дней осады (15075).</w:t>
      </w:r>
    </w:p>
    <w:p w14:paraId="071F4EA0" w14:textId="741D96A6" w:rsidR="00450DD3" w:rsidRPr="00405303" w:rsidRDefault="00450DD3" w:rsidP="00C15251">
      <w:pPr>
        <w:jc w:val="both"/>
        <w:rPr>
          <w:bCs/>
          <w:color w:val="002060"/>
          <w:sz w:val="16"/>
          <w:szCs w:val="16"/>
        </w:rPr>
      </w:pPr>
    </w:p>
    <w:p w14:paraId="6E62F173" w14:textId="5D705F57" w:rsidR="00D85D3A" w:rsidRPr="00405303" w:rsidRDefault="00D85D3A" w:rsidP="00C15251">
      <w:pPr>
        <w:jc w:val="both"/>
        <w:rPr>
          <w:bCs/>
          <w:i/>
          <w:iCs/>
          <w:color w:val="002060"/>
          <w:sz w:val="16"/>
          <w:szCs w:val="16"/>
        </w:rPr>
      </w:pPr>
      <w:r w:rsidRPr="00405303">
        <w:rPr>
          <w:bCs/>
          <w:i/>
          <w:iCs/>
          <w:color w:val="002060"/>
          <w:sz w:val="16"/>
          <w:szCs w:val="16"/>
        </w:rPr>
        <w:t>Авиация:</w:t>
      </w:r>
    </w:p>
    <w:p w14:paraId="74FCE000" w14:textId="77777777" w:rsidR="00D85D3A" w:rsidRPr="00405303" w:rsidRDefault="00D85D3A" w:rsidP="00C15251">
      <w:pPr>
        <w:jc w:val="both"/>
        <w:rPr>
          <w:bCs/>
          <w:i/>
          <w:iCs/>
          <w:color w:val="002060"/>
          <w:sz w:val="16"/>
          <w:szCs w:val="16"/>
        </w:rPr>
      </w:pPr>
    </w:p>
    <w:p w14:paraId="242A495A" w14:textId="5A1F7056" w:rsidR="00D85D3A" w:rsidRPr="00405303" w:rsidRDefault="00D85D3A" w:rsidP="00C15251">
      <w:pPr>
        <w:jc w:val="both"/>
        <w:rPr>
          <w:bCs/>
          <w:color w:val="002060"/>
          <w:sz w:val="16"/>
          <w:szCs w:val="16"/>
        </w:rPr>
      </w:pPr>
      <w:r w:rsidRPr="00405303">
        <w:rPr>
          <w:bCs/>
          <w:color w:val="002060"/>
          <w:sz w:val="16"/>
          <w:szCs w:val="16"/>
        </w:rPr>
        <w:t>21 марта (3 апреля) 1915 г. двум неприятельским самолетам удалось покинуть осажденную крепость Перемышль при взятии ее русскими войсками и перелететь в г. Краков (Австро-Венгрия). Днем ранее вблизи г. Ковно (над местечком Кретинген) огнем артиллерии был подбит германский аэроплан с грузом прокламаций, осуществивший до этого бомбометание позиций наших частей (23405).</w:t>
      </w:r>
    </w:p>
    <w:p w14:paraId="054CC429" w14:textId="77777777" w:rsidR="00D85D3A" w:rsidRPr="00405303" w:rsidRDefault="00D85D3A" w:rsidP="00C15251">
      <w:pPr>
        <w:jc w:val="both"/>
        <w:rPr>
          <w:bCs/>
          <w:color w:val="002060"/>
          <w:sz w:val="16"/>
          <w:szCs w:val="16"/>
        </w:rPr>
      </w:pPr>
    </w:p>
    <w:p w14:paraId="6D0E10CA" w14:textId="6453EF7F" w:rsidR="00D85D3A" w:rsidRPr="00405303" w:rsidRDefault="00D85D3A" w:rsidP="00C15251">
      <w:pPr>
        <w:jc w:val="both"/>
        <w:rPr>
          <w:bCs/>
          <w:color w:val="002060"/>
          <w:sz w:val="16"/>
          <w:szCs w:val="16"/>
          <w:lang w:bidi="en-US"/>
        </w:rPr>
      </w:pPr>
      <w:r w:rsidRPr="00405303">
        <w:rPr>
          <w:bCs/>
          <w:color w:val="002060"/>
          <w:sz w:val="16"/>
          <w:szCs w:val="16"/>
          <w:lang w:bidi="en-US"/>
        </w:rPr>
        <w:t>21 марта (3 апреля) 1915 г. был издан приказ о создании 31-й КАО и 32-й КАО, которые должны были быть отправлены в Севастополь и приданы Черноморскому флоту для запланированных, но брошенных десантных операций на Босфор. В апреле они были отправлены соответственно в 3-ю и 8-ю армии (23525).</w:t>
      </w:r>
    </w:p>
    <w:p w14:paraId="4FA7028D" w14:textId="77777777" w:rsidR="00D85D3A" w:rsidRPr="00405303" w:rsidRDefault="00D85D3A" w:rsidP="00C15251">
      <w:pPr>
        <w:jc w:val="both"/>
        <w:rPr>
          <w:bCs/>
          <w:color w:val="002060"/>
          <w:sz w:val="16"/>
          <w:szCs w:val="16"/>
        </w:rPr>
      </w:pPr>
    </w:p>
    <w:p w14:paraId="2E2944F5" w14:textId="64D5B13A" w:rsidR="00B7030F" w:rsidRPr="00405303" w:rsidRDefault="00B7030F" w:rsidP="00C15251">
      <w:pPr>
        <w:jc w:val="both"/>
        <w:rPr>
          <w:bCs/>
          <w:i/>
          <w:iCs/>
          <w:color w:val="002060"/>
          <w:sz w:val="16"/>
          <w:szCs w:val="16"/>
        </w:rPr>
      </w:pPr>
      <w:r w:rsidRPr="00405303">
        <w:rPr>
          <w:bCs/>
          <w:i/>
          <w:iCs/>
          <w:color w:val="002060"/>
          <w:sz w:val="16"/>
          <w:szCs w:val="16"/>
        </w:rPr>
        <w:t>Морская авиация:</w:t>
      </w:r>
    </w:p>
    <w:p w14:paraId="484E6DF8" w14:textId="77777777" w:rsidR="00B7030F" w:rsidRPr="00405303" w:rsidRDefault="00B7030F" w:rsidP="00C15251">
      <w:pPr>
        <w:jc w:val="both"/>
        <w:rPr>
          <w:bCs/>
          <w:i/>
          <w:iCs/>
          <w:color w:val="002060"/>
          <w:sz w:val="16"/>
          <w:szCs w:val="16"/>
        </w:rPr>
      </w:pPr>
    </w:p>
    <w:p w14:paraId="062A361B" w14:textId="77777777" w:rsidR="00B7030F" w:rsidRPr="00405303" w:rsidRDefault="00B7030F" w:rsidP="00C15251">
      <w:pPr>
        <w:jc w:val="both"/>
        <w:rPr>
          <w:bCs/>
          <w:color w:val="002060"/>
          <w:sz w:val="16"/>
          <w:szCs w:val="16"/>
        </w:rPr>
      </w:pPr>
      <w:r w:rsidRPr="00405303">
        <w:rPr>
          <w:bCs/>
          <w:color w:val="002060"/>
          <w:sz w:val="16"/>
          <w:szCs w:val="16"/>
        </w:rPr>
        <w:t>21 марта (3 апреля) 1915 г три гидросамолета "Кертис", действовавшие с палубы авиа</w:t>
      </w:r>
      <w:r w:rsidRPr="00405303">
        <w:rPr>
          <w:bCs/>
          <w:color w:val="002060"/>
          <w:sz w:val="16"/>
          <w:szCs w:val="16"/>
        </w:rPr>
        <w:softHyphen/>
        <w:t>носца "Николай 1-й” ,произвели разведку на черном море и донесли, что в милях 50-60 от мыса Фиолекта обнаружены неприятельские ко</w:t>
      </w:r>
      <w:r w:rsidRPr="00405303">
        <w:rPr>
          <w:bCs/>
          <w:color w:val="002060"/>
          <w:sz w:val="16"/>
          <w:szCs w:val="16"/>
        </w:rPr>
        <w:softHyphen/>
        <w:t>рабли "Гебен" и "Бреслау" и миноносец, шедший полном ходом курсом 300 гр.</w:t>
      </w:r>
    </w:p>
    <w:p w14:paraId="1C6A4B27" w14:textId="77777777" w:rsidR="00B7030F" w:rsidRPr="00405303" w:rsidRDefault="00B7030F" w:rsidP="00C15251">
      <w:pPr>
        <w:jc w:val="both"/>
        <w:rPr>
          <w:bCs/>
          <w:color w:val="002060"/>
          <w:sz w:val="16"/>
          <w:szCs w:val="16"/>
        </w:rPr>
      </w:pPr>
      <w:r w:rsidRPr="00405303">
        <w:rPr>
          <w:bCs/>
          <w:color w:val="002060"/>
          <w:sz w:val="16"/>
          <w:szCs w:val="16"/>
        </w:rPr>
        <w:t>/ЦГВИА, ф. 2008, д. 183, л. 32/ (23320).</w:t>
      </w:r>
    </w:p>
    <w:p w14:paraId="34D1EA7D" w14:textId="77777777" w:rsidR="00B7030F" w:rsidRPr="00405303" w:rsidRDefault="00B7030F" w:rsidP="00C15251">
      <w:pPr>
        <w:jc w:val="both"/>
        <w:rPr>
          <w:bCs/>
          <w:color w:val="002060"/>
          <w:sz w:val="16"/>
          <w:szCs w:val="16"/>
        </w:rPr>
      </w:pPr>
    </w:p>
    <w:p w14:paraId="0455BF12" w14:textId="77777777" w:rsidR="00D2003F" w:rsidRPr="00405303" w:rsidRDefault="00D2003F" w:rsidP="00C15251">
      <w:pPr>
        <w:jc w:val="both"/>
        <w:rPr>
          <w:bCs/>
          <w:i/>
          <w:color w:val="002060"/>
          <w:sz w:val="16"/>
          <w:szCs w:val="16"/>
        </w:rPr>
      </w:pPr>
      <w:r w:rsidRPr="00405303">
        <w:rPr>
          <w:bCs/>
          <w:i/>
          <w:color w:val="002060"/>
          <w:sz w:val="16"/>
          <w:szCs w:val="16"/>
        </w:rPr>
        <w:t>Авиация и воздухоплавание Франции:</w:t>
      </w:r>
    </w:p>
    <w:p w14:paraId="688FC916" w14:textId="77777777" w:rsidR="00D2003F" w:rsidRPr="00405303" w:rsidRDefault="00D2003F" w:rsidP="00C15251">
      <w:pPr>
        <w:jc w:val="both"/>
        <w:rPr>
          <w:bCs/>
          <w:i/>
          <w:color w:val="002060"/>
          <w:sz w:val="16"/>
          <w:szCs w:val="16"/>
        </w:rPr>
      </w:pPr>
    </w:p>
    <w:p w14:paraId="7A22838D" w14:textId="77777777" w:rsidR="00D2003F" w:rsidRPr="00405303" w:rsidRDefault="00D2003F" w:rsidP="00C15251">
      <w:pPr>
        <w:jc w:val="both"/>
        <w:rPr>
          <w:bCs/>
          <w:color w:val="002060"/>
          <w:sz w:val="16"/>
          <w:szCs w:val="16"/>
        </w:rPr>
      </w:pPr>
      <w:r w:rsidRPr="00405303">
        <w:rPr>
          <w:bCs/>
          <w:color w:val="002060"/>
          <w:sz w:val="16"/>
          <w:szCs w:val="16"/>
        </w:rPr>
        <w:t>21 марта (3 апреля) 1915 французский пилот Адольф Пегу совершает свою пятую воздушную победу и становится первым в истрии асом (20338).</w:t>
      </w:r>
    </w:p>
    <w:p w14:paraId="191DA971" w14:textId="77777777" w:rsidR="00D2003F" w:rsidRPr="00405303" w:rsidRDefault="00D2003F" w:rsidP="00C15251">
      <w:pPr>
        <w:jc w:val="both"/>
        <w:rPr>
          <w:bCs/>
          <w:color w:val="002060"/>
          <w:sz w:val="16"/>
          <w:szCs w:val="16"/>
        </w:rPr>
      </w:pPr>
    </w:p>
    <w:p w14:paraId="2A57EFA7" w14:textId="3BDD5E9D" w:rsidR="00D85D3A" w:rsidRPr="00405303" w:rsidRDefault="00D85D3A" w:rsidP="00C15251">
      <w:pPr>
        <w:jc w:val="both"/>
        <w:rPr>
          <w:bCs/>
          <w:i/>
          <w:color w:val="002060"/>
          <w:sz w:val="16"/>
          <w:szCs w:val="16"/>
        </w:rPr>
      </w:pPr>
      <w:r w:rsidRPr="00405303">
        <w:rPr>
          <w:bCs/>
          <w:i/>
          <w:color w:val="002060"/>
          <w:sz w:val="16"/>
          <w:szCs w:val="16"/>
        </w:rPr>
        <w:t>Армия:</w:t>
      </w:r>
    </w:p>
    <w:p w14:paraId="12EB108A" w14:textId="77777777" w:rsidR="00D85D3A" w:rsidRPr="00405303" w:rsidRDefault="00D85D3A" w:rsidP="00C15251">
      <w:pPr>
        <w:jc w:val="both"/>
        <w:rPr>
          <w:bCs/>
          <w:i/>
          <w:color w:val="002060"/>
          <w:sz w:val="16"/>
          <w:szCs w:val="16"/>
        </w:rPr>
      </w:pPr>
    </w:p>
    <w:p w14:paraId="5EE6391A" w14:textId="77777777" w:rsidR="00D85D3A" w:rsidRPr="00405303" w:rsidRDefault="00D85D3A" w:rsidP="00C15251">
      <w:pPr>
        <w:jc w:val="both"/>
        <w:rPr>
          <w:bCs/>
          <w:color w:val="002060"/>
          <w:sz w:val="16"/>
          <w:szCs w:val="16"/>
        </w:rPr>
      </w:pPr>
      <w:r w:rsidRPr="00405303">
        <w:rPr>
          <w:bCs/>
          <w:color w:val="002060"/>
          <w:sz w:val="16"/>
          <w:szCs w:val="16"/>
          <w:lang w:bidi="en-US"/>
        </w:rPr>
        <w:t xml:space="preserve">22 марта 1915 года русские войска в Галиции наконец захватили вражескую крепость Перемышль, взяв в плен более 100 000 человек, в том числе часть личного состава и технику австро-венгерского </w:t>
      </w:r>
      <w:r w:rsidRPr="00405303">
        <w:rPr>
          <w:bCs/>
          <w:color w:val="002060"/>
          <w:sz w:val="16"/>
          <w:szCs w:val="16"/>
          <w:lang w:val="en-US" w:bidi="en-US"/>
        </w:rPr>
        <w:t>Flik</w:t>
      </w:r>
      <w:r w:rsidRPr="00405303">
        <w:rPr>
          <w:bCs/>
          <w:color w:val="002060"/>
          <w:sz w:val="16"/>
          <w:szCs w:val="16"/>
          <w:lang w:bidi="en-US"/>
        </w:rPr>
        <w:t xml:space="preserve"> 11 (23525).</w:t>
      </w:r>
    </w:p>
    <w:p w14:paraId="41297269" w14:textId="77777777" w:rsidR="00D85D3A" w:rsidRPr="00405303" w:rsidRDefault="00D85D3A" w:rsidP="00C15251">
      <w:pPr>
        <w:jc w:val="both"/>
        <w:rPr>
          <w:bCs/>
          <w:color w:val="002060"/>
          <w:sz w:val="16"/>
          <w:szCs w:val="16"/>
          <w:lang w:bidi="en-US"/>
        </w:rPr>
      </w:pPr>
    </w:p>
    <w:p w14:paraId="5717FC7B" w14:textId="0A91B575" w:rsidR="004B4E35" w:rsidRPr="00405303" w:rsidRDefault="009E6F82" w:rsidP="00C15251">
      <w:pPr>
        <w:jc w:val="both"/>
        <w:rPr>
          <w:bCs/>
          <w:i/>
          <w:color w:val="002060"/>
          <w:sz w:val="16"/>
          <w:szCs w:val="16"/>
        </w:rPr>
      </w:pPr>
      <w:r w:rsidRPr="00405303">
        <w:rPr>
          <w:bCs/>
          <w:i/>
          <w:color w:val="002060"/>
          <w:sz w:val="16"/>
          <w:szCs w:val="16"/>
        </w:rPr>
        <w:t>Авиация:</w:t>
      </w:r>
    </w:p>
    <w:p w14:paraId="4E3DE8E7" w14:textId="77777777" w:rsidR="004B4E35" w:rsidRPr="00405303" w:rsidRDefault="004B4E35" w:rsidP="00C15251">
      <w:pPr>
        <w:jc w:val="both"/>
        <w:rPr>
          <w:bCs/>
          <w:i/>
          <w:color w:val="002060"/>
          <w:sz w:val="16"/>
          <w:szCs w:val="16"/>
        </w:rPr>
      </w:pPr>
    </w:p>
    <w:p w14:paraId="381CC72D" w14:textId="77777777" w:rsidR="004B4E35" w:rsidRPr="00405303" w:rsidRDefault="009E6F82" w:rsidP="00C15251">
      <w:pPr>
        <w:jc w:val="both"/>
        <w:rPr>
          <w:bCs/>
          <w:color w:val="002060"/>
          <w:sz w:val="16"/>
          <w:szCs w:val="16"/>
        </w:rPr>
      </w:pPr>
      <w:r w:rsidRPr="00405303">
        <w:rPr>
          <w:bCs/>
          <w:color w:val="002060"/>
          <w:sz w:val="16"/>
          <w:szCs w:val="16"/>
        </w:rPr>
        <w:t>22 марта (4 апреля) 1915 - Русские авиаторы на "ИМ" обнаружили на Хорженевском направлении большое скопление войск и обозов. Германская артиллерия открыла ураганный огонь по аэроплану.</w:t>
      </w:r>
    </w:p>
    <w:p w14:paraId="4311DA58" w14:textId="77777777" w:rsidR="004B4E35" w:rsidRPr="00405303" w:rsidRDefault="009E6F82" w:rsidP="00C15251">
      <w:pPr>
        <w:jc w:val="both"/>
        <w:rPr>
          <w:bCs/>
          <w:color w:val="002060"/>
          <w:sz w:val="16"/>
          <w:szCs w:val="16"/>
        </w:rPr>
      </w:pPr>
      <w:r w:rsidRPr="00405303">
        <w:rPr>
          <w:bCs/>
          <w:color w:val="002060"/>
          <w:sz w:val="16"/>
          <w:szCs w:val="16"/>
        </w:rPr>
        <w:t>"Илья Муромец" опять подтвердил свою абсолютную надежность; в то время как другим русским летчикам постоянно мешали выполнять их боевую работу всевозможные трудности, в том числе и технического характера, "ИМ" оказывался в любой ситуации безотказным и надежным средством разведки.</w:t>
      </w:r>
    </w:p>
    <w:p w14:paraId="1EF2495F" w14:textId="77777777" w:rsidR="004B4E35" w:rsidRPr="00405303" w:rsidRDefault="009E6F82" w:rsidP="00C15251">
      <w:pPr>
        <w:jc w:val="both"/>
        <w:rPr>
          <w:bCs/>
          <w:color w:val="002060"/>
          <w:sz w:val="16"/>
          <w:szCs w:val="16"/>
        </w:rPr>
      </w:pPr>
      <w:r w:rsidRPr="00405303">
        <w:rPr>
          <w:bCs/>
          <w:color w:val="002060"/>
          <w:sz w:val="16"/>
          <w:szCs w:val="16"/>
        </w:rPr>
        <w:t>Телеграмма генерала М.Д. Бонч-Бруевича в ставку: "Постоянная неисправность моторов в отрядах, особенно в 5-м отряде, мешает разведке, в течение минувшей недели в этом отряде было три случая остановки моторов в расположении противника, сегодня летчик Кононенков вследствие порчи мотора сел недалеко от Плоцка, пользуясь отсутствием противника поблизости, починил мотор, завел машину, на ходу вскочил и полетел, но у Старжебы мотор вторично остановился, удалось спланировать к нашим окопам".</w:t>
      </w:r>
    </w:p>
    <w:p w14:paraId="4FF58E76" w14:textId="77777777" w:rsidR="004B4E35" w:rsidRPr="00405303" w:rsidRDefault="009E6F82" w:rsidP="00C15251">
      <w:pPr>
        <w:jc w:val="both"/>
        <w:rPr>
          <w:bCs/>
          <w:color w:val="002060"/>
          <w:sz w:val="16"/>
          <w:szCs w:val="16"/>
        </w:rPr>
      </w:pPr>
      <w:r w:rsidRPr="00405303">
        <w:rPr>
          <w:bCs/>
          <w:color w:val="002060"/>
          <w:sz w:val="16"/>
          <w:szCs w:val="16"/>
        </w:rPr>
        <w:t>Подобные остановки мотора не всегда заканчивались столь безобидно. Много летчиков при вынужденных посадках погибло, попало в плен или получило увечья.</w:t>
      </w:r>
    </w:p>
    <w:p w14:paraId="1A67339D" w14:textId="77777777" w:rsidR="004B4E35" w:rsidRPr="00405303" w:rsidRDefault="009E6F82" w:rsidP="00C15251">
      <w:pPr>
        <w:jc w:val="both"/>
        <w:rPr>
          <w:bCs/>
          <w:color w:val="002060"/>
          <w:sz w:val="16"/>
          <w:szCs w:val="16"/>
        </w:rPr>
      </w:pPr>
      <w:r w:rsidRPr="00405303">
        <w:rPr>
          <w:bCs/>
          <w:color w:val="002060"/>
          <w:sz w:val="16"/>
          <w:szCs w:val="16"/>
        </w:rPr>
        <w:t xml:space="preserve">Сикорский: "При полетах на малых аэропланах нередко случалось, что летчик бывал вынужден спуститься, не будучи в состоянии почему-либо долететь до места назначения или вернуться на свой аэродром. Очень нередко приходилось слышать, как у кого-нибудь испортился </w:t>
      </w:r>
      <w:proofErr w:type="gramStart"/>
      <w:r w:rsidRPr="00405303">
        <w:rPr>
          <w:bCs/>
          <w:color w:val="002060"/>
          <w:sz w:val="16"/>
          <w:szCs w:val="16"/>
        </w:rPr>
        <w:t>двигатель</w:t>
      </w:r>
      <w:proofErr w:type="gramEnd"/>
      <w:r w:rsidRPr="00405303">
        <w:rPr>
          <w:bCs/>
          <w:color w:val="002060"/>
          <w:sz w:val="16"/>
          <w:szCs w:val="16"/>
        </w:rPr>
        <w:t xml:space="preserve"> и он спустился в огород или в болото и поломал свой аппарат. Мелкая случайная неисправность двигателя всегда возможна. Поэтому на аэроплане с одним двигателем летчик частенько осматривается по сторонам, выбирая местечко, куда бы спуститься, если мотор вдруг остановится. Но на большом воздушном корабле дело обстояло совершенно иначе. Летчики на нем знают, что все моторы сразу не остановятся. А если с каким-нибудь одним случиться какая- нибудь неисправность </w:t>
      </w:r>
      <w:proofErr w:type="gramStart"/>
      <w:r w:rsidRPr="00405303">
        <w:rPr>
          <w:bCs/>
          <w:color w:val="002060"/>
          <w:sz w:val="16"/>
          <w:szCs w:val="16"/>
        </w:rPr>
        <w:t>- это</w:t>
      </w:r>
      <w:proofErr w:type="gramEnd"/>
      <w:r w:rsidRPr="00405303">
        <w:rPr>
          <w:bCs/>
          <w:color w:val="002060"/>
          <w:sz w:val="16"/>
          <w:szCs w:val="16"/>
        </w:rPr>
        <w:t xml:space="preserve"> неважно. Корабль будет свободно продолжать свой путь. Починкой мотора займется механик, а остальные будут спокойно оставаться на своих местах и делать свое дело" (11999).</w:t>
      </w:r>
    </w:p>
    <w:p w14:paraId="0433D359" w14:textId="77777777" w:rsidR="004B4E35" w:rsidRPr="00405303" w:rsidRDefault="004B4E35" w:rsidP="00C15251">
      <w:pPr>
        <w:jc w:val="both"/>
        <w:rPr>
          <w:bCs/>
          <w:i/>
          <w:color w:val="002060"/>
          <w:sz w:val="16"/>
          <w:szCs w:val="16"/>
        </w:rPr>
      </w:pPr>
    </w:p>
    <w:p w14:paraId="093E597D" w14:textId="77777777" w:rsidR="00AC74DB" w:rsidRPr="00405303" w:rsidRDefault="00AC74DB" w:rsidP="00AC74DB">
      <w:pPr>
        <w:jc w:val="both"/>
        <w:rPr>
          <w:color w:val="0070C0"/>
          <w:sz w:val="16"/>
          <w:szCs w:val="16"/>
        </w:rPr>
      </w:pPr>
      <w:r w:rsidRPr="00405303">
        <w:rPr>
          <w:color w:val="0070C0"/>
          <w:sz w:val="16"/>
          <w:szCs w:val="16"/>
        </w:rPr>
        <w:t>22 марта (4 апреля) 1915 г. состоялся налет на лазарет русских войск вблизи ст. Радом (ранение получил один нижний чин).</w:t>
      </w:r>
    </w:p>
    <w:p w14:paraId="37FBBAD2" w14:textId="77777777" w:rsidR="00AC74DB" w:rsidRPr="00405303" w:rsidRDefault="00AC74DB" w:rsidP="00AC74DB">
      <w:pPr>
        <w:jc w:val="both"/>
        <w:rPr>
          <w:color w:val="0070C0"/>
          <w:sz w:val="16"/>
          <w:szCs w:val="16"/>
        </w:rPr>
      </w:pPr>
      <w:r w:rsidRPr="00405303">
        <w:rPr>
          <w:color w:val="0070C0"/>
          <w:sz w:val="16"/>
          <w:szCs w:val="16"/>
        </w:rPr>
        <w:t>Аналогичные действия противник предпринимал и в последующие месяцы, подвергнув бомбардировке русские санитарные поезда и лазареты возле населенных пунктов Макова, Насельска, Вышкова, станций Радом, Ясло (Восточная Галиция) (25135).</w:t>
      </w:r>
    </w:p>
    <w:p w14:paraId="4F3ADCC9" w14:textId="77777777" w:rsidR="00AC74DB" w:rsidRPr="00405303" w:rsidRDefault="00AC74DB" w:rsidP="00AC74DB">
      <w:pPr>
        <w:jc w:val="both"/>
        <w:rPr>
          <w:color w:val="0070C0"/>
          <w:sz w:val="16"/>
          <w:szCs w:val="16"/>
        </w:rPr>
      </w:pPr>
    </w:p>
    <w:p w14:paraId="2034E456" w14:textId="77777777" w:rsidR="00AC74DB" w:rsidRPr="00405303" w:rsidRDefault="00AC74DB" w:rsidP="00AC74DB">
      <w:pPr>
        <w:jc w:val="both"/>
        <w:rPr>
          <w:color w:val="0070C0"/>
          <w:sz w:val="16"/>
          <w:szCs w:val="16"/>
        </w:rPr>
      </w:pPr>
      <w:r w:rsidRPr="00405303">
        <w:rPr>
          <w:color w:val="0070C0"/>
          <w:sz w:val="16"/>
          <w:szCs w:val="16"/>
        </w:rPr>
        <w:t>22 марта (4 апреля 1915 г.) 1915 г. в Галиции летчик 4-го КАО Казаков попытался на самолете «Морже с кошкой» атаковать самолет противника. Самолет противника зацепить «кошкой» не удалось, и Казаков его таранил ударом шасси сверху. При этом шасси было снесено, но Казаков выполнил успешную посадку на фюзеляж (26704).</w:t>
      </w:r>
    </w:p>
    <w:p w14:paraId="28287E80" w14:textId="77777777" w:rsidR="00AC74DB" w:rsidRPr="00405303" w:rsidRDefault="00AC74DB" w:rsidP="00AC74DB">
      <w:pPr>
        <w:jc w:val="both"/>
        <w:rPr>
          <w:color w:val="0070C0"/>
          <w:sz w:val="16"/>
          <w:szCs w:val="16"/>
        </w:rPr>
      </w:pPr>
    </w:p>
    <w:p w14:paraId="533FB17B" w14:textId="77777777" w:rsidR="00450DD3" w:rsidRPr="00405303" w:rsidRDefault="00450DD3" w:rsidP="00C15251">
      <w:pPr>
        <w:jc w:val="both"/>
        <w:rPr>
          <w:bCs/>
          <w:i/>
          <w:color w:val="002060"/>
          <w:sz w:val="16"/>
          <w:szCs w:val="16"/>
        </w:rPr>
      </w:pPr>
      <w:r w:rsidRPr="00405303">
        <w:rPr>
          <w:bCs/>
          <w:i/>
          <w:color w:val="002060"/>
          <w:sz w:val="16"/>
          <w:szCs w:val="16"/>
        </w:rPr>
        <w:t>Армия:</w:t>
      </w:r>
    </w:p>
    <w:p w14:paraId="4D88A5B5" w14:textId="77777777" w:rsidR="00450DD3" w:rsidRPr="00405303" w:rsidRDefault="00450DD3" w:rsidP="00C15251">
      <w:pPr>
        <w:jc w:val="both"/>
        <w:rPr>
          <w:bCs/>
          <w:i/>
          <w:color w:val="002060"/>
          <w:sz w:val="16"/>
          <w:szCs w:val="16"/>
        </w:rPr>
      </w:pPr>
    </w:p>
    <w:p w14:paraId="0E49EB6C" w14:textId="7EEDAA9F" w:rsidR="00450DD3" w:rsidRPr="00405303" w:rsidRDefault="00450DD3" w:rsidP="00C15251">
      <w:pPr>
        <w:jc w:val="both"/>
        <w:rPr>
          <w:bCs/>
          <w:color w:val="002060"/>
          <w:sz w:val="16"/>
          <w:szCs w:val="16"/>
        </w:rPr>
      </w:pPr>
      <w:r w:rsidRPr="00405303">
        <w:rPr>
          <w:bCs/>
          <w:color w:val="002060"/>
          <w:sz w:val="16"/>
          <w:szCs w:val="16"/>
        </w:rPr>
        <w:t xml:space="preserve">22 марта </w:t>
      </w:r>
      <w:r w:rsidR="00BF1725" w:rsidRPr="00405303">
        <w:rPr>
          <w:bCs/>
          <w:color w:val="002060"/>
          <w:sz w:val="16"/>
          <w:szCs w:val="16"/>
        </w:rPr>
        <w:t xml:space="preserve">(4 апреля) </w:t>
      </w:r>
      <w:r w:rsidRPr="00405303">
        <w:rPr>
          <w:bCs/>
          <w:color w:val="002060"/>
          <w:sz w:val="16"/>
          <w:szCs w:val="16"/>
        </w:rPr>
        <w:t>в 1915 году в ходе 1-й мировой войны после 194 дней осады войсками Юго-Западного фронта (генерал артиллерии Н.И.Иванов) взята крепость Перемышль, крупный стратегический центр обороны австро-венгерских войск. Гарнизон (120 тысяч человек и свыше 900 орудий) вынужден был сложить оружие. В плен сдалось 9 генералов и 2500 офицеров (15076).</w:t>
      </w:r>
    </w:p>
    <w:p w14:paraId="44D93978" w14:textId="77777777" w:rsidR="00450DD3" w:rsidRPr="00405303" w:rsidRDefault="00450DD3" w:rsidP="00C15251">
      <w:pPr>
        <w:jc w:val="both"/>
        <w:rPr>
          <w:bCs/>
          <w:color w:val="002060"/>
          <w:sz w:val="16"/>
          <w:szCs w:val="16"/>
        </w:rPr>
      </w:pPr>
    </w:p>
    <w:p w14:paraId="5C7E8303" w14:textId="17557AB4" w:rsidR="00450DD3" w:rsidRPr="00405303" w:rsidRDefault="00450DD3" w:rsidP="00C15251">
      <w:pPr>
        <w:jc w:val="both"/>
        <w:rPr>
          <w:bCs/>
          <w:color w:val="002060"/>
          <w:sz w:val="16"/>
          <w:szCs w:val="16"/>
        </w:rPr>
      </w:pPr>
      <w:r w:rsidRPr="00405303">
        <w:rPr>
          <w:bCs/>
          <w:color w:val="002060"/>
          <w:sz w:val="16"/>
          <w:szCs w:val="16"/>
        </w:rPr>
        <w:t xml:space="preserve">22 марта </w:t>
      </w:r>
      <w:r w:rsidR="00BF1725" w:rsidRPr="00405303">
        <w:rPr>
          <w:bCs/>
          <w:color w:val="002060"/>
          <w:sz w:val="16"/>
          <w:szCs w:val="16"/>
        </w:rPr>
        <w:t xml:space="preserve">(4 апреля) </w:t>
      </w:r>
      <w:r w:rsidRPr="00405303">
        <w:rPr>
          <w:bCs/>
          <w:color w:val="002060"/>
          <w:sz w:val="16"/>
          <w:szCs w:val="16"/>
        </w:rPr>
        <w:t>в 1915 году сдачей Львова завершен Горлицкий прорыв немцами и австрийцами Юго-Западного фронта русской армии. Потери составили около 500 тысяч человек пленными, свыше 300 орудий. Русские войска оставили Нове Място, Горлицы, Кельцы, Сандомир, Перемышль, Стрый, Станислав, Раву-русскую и утратили контроль над Польшей, Литвой и Галицией (15076).</w:t>
      </w:r>
    </w:p>
    <w:p w14:paraId="7C7502CC" w14:textId="77777777" w:rsidR="00450DD3" w:rsidRPr="00405303" w:rsidRDefault="00450DD3" w:rsidP="00C15251">
      <w:pPr>
        <w:jc w:val="both"/>
        <w:rPr>
          <w:bCs/>
          <w:color w:val="002060"/>
          <w:sz w:val="16"/>
          <w:szCs w:val="16"/>
        </w:rPr>
      </w:pPr>
    </w:p>
    <w:p w14:paraId="4E77C909" w14:textId="77777777" w:rsidR="00FE7209" w:rsidRPr="00405303" w:rsidRDefault="00FE7209" w:rsidP="00C15251">
      <w:pPr>
        <w:jc w:val="both"/>
        <w:rPr>
          <w:bCs/>
          <w:i/>
          <w:color w:val="002060"/>
          <w:sz w:val="16"/>
          <w:szCs w:val="16"/>
        </w:rPr>
      </w:pPr>
      <w:r w:rsidRPr="00405303">
        <w:rPr>
          <w:bCs/>
          <w:i/>
          <w:color w:val="002060"/>
          <w:sz w:val="16"/>
          <w:szCs w:val="16"/>
        </w:rPr>
        <w:t>Авиация:</w:t>
      </w:r>
    </w:p>
    <w:p w14:paraId="64684585" w14:textId="77777777" w:rsidR="00FE7209" w:rsidRPr="00405303" w:rsidRDefault="00FE7209" w:rsidP="00C15251">
      <w:pPr>
        <w:jc w:val="both"/>
        <w:rPr>
          <w:bCs/>
          <w:i/>
          <w:color w:val="002060"/>
          <w:sz w:val="16"/>
          <w:szCs w:val="16"/>
        </w:rPr>
      </w:pPr>
    </w:p>
    <w:p w14:paraId="4405AB42" w14:textId="24C9E92D" w:rsidR="00FE7209" w:rsidRPr="00405303" w:rsidRDefault="00FE7209" w:rsidP="00C15251">
      <w:pPr>
        <w:jc w:val="both"/>
        <w:rPr>
          <w:bCs/>
          <w:color w:val="002060"/>
          <w:sz w:val="16"/>
          <w:szCs w:val="16"/>
        </w:rPr>
      </w:pPr>
      <w:r w:rsidRPr="00405303">
        <w:rPr>
          <w:bCs/>
          <w:color w:val="002060"/>
          <w:sz w:val="16"/>
          <w:szCs w:val="16"/>
        </w:rPr>
        <w:t>В течение 23-24 марта (5-6 апреля) 1915 г. немецкая авиация бомбила г. Жерардов (без человеческих жертв) (23405).</w:t>
      </w:r>
    </w:p>
    <w:p w14:paraId="2887D83F" w14:textId="77777777" w:rsidR="00FE7209" w:rsidRPr="00405303" w:rsidRDefault="00FE7209" w:rsidP="00C15251">
      <w:pPr>
        <w:jc w:val="both"/>
        <w:rPr>
          <w:bCs/>
          <w:color w:val="002060"/>
          <w:sz w:val="16"/>
          <w:szCs w:val="16"/>
        </w:rPr>
      </w:pPr>
    </w:p>
    <w:p w14:paraId="7E7FB77C" w14:textId="78A41119" w:rsidR="00FE7209" w:rsidRPr="00405303" w:rsidRDefault="00FE7209" w:rsidP="00C15251">
      <w:pPr>
        <w:jc w:val="both"/>
        <w:rPr>
          <w:bCs/>
          <w:color w:val="002060"/>
          <w:sz w:val="16"/>
          <w:szCs w:val="16"/>
        </w:rPr>
      </w:pPr>
      <w:bookmarkStart w:id="76" w:name="bookmark118"/>
      <w:bookmarkStart w:id="77" w:name="bookmark119"/>
      <w:r w:rsidRPr="00405303">
        <w:rPr>
          <w:bCs/>
          <w:color w:val="002060"/>
          <w:sz w:val="16"/>
          <w:szCs w:val="16"/>
        </w:rPr>
        <w:t>23 марта (5 апреля) 1915 г. воздушной атаке подвергся польский город Ломжа. На его кварталы было сброшено 14 бомб, что привело к жертвам среди мирного населения. Ранения получили девять мирных жителей, убита одна лошадь. На следующий день над крепостью Осовец были замечены немецкие самолеты, которые попали под обстрел русской крепостной артиллерии (23405).</w:t>
      </w:r>
      <w:bookmarkEnd w:id="76"/>
      <w:bookmarkEnd w:id="77"/>
    </w:p>
    <w:p w14:paraId="04AEFEA5" w14:textId="77777777" w:rsidR="00FE7209" w:rsidRPr="00405303" w:rsidRDefault="00FE7209" w:rsidP="00C15251">
      <w:pPr>
        <w:jc w:val="both"/>
        <w:rPr>
          <w:bCs/>
          <w:color w:val="002060"/>
          <w:sz w:val="16"/>
          <w:szCs w:val="16"/>
        </w:rPr>
      </w:pPr>
    </w:p>
    <w:p w14:paraId="5D70D3AA" w14:textId="0984C79F" w:rsidR="00AC74DB" w:rsidRPr="00405303" w:rsidRDefault="00AC74DB" w:rsidP="00AC74DB">
      <w:pPr>
        <w:jc w:val="both"/>
        <w:rPr>
          <w:bCs/>
          <w:i/>
          <w:color w:val="002060"/>
          <w:sz w:val="16"/>
          <w:szCs w:val="16"/>
        </w:rPr>
      </w:pPr>
      <w:r w:rsidRPr="00405303">
        <w:rPr>
          <w:bCs/>
          <w:i/>
          <w:color w:val="002060"/>
          <w:sz w:val="16"/>
          <w:szCs w:val="16"/>
        </w:rPr>
        <w:t>Морская авиация:</w:t>
      </w:r>
    </w:p>
    <w:p w14:paraId="4C750636" w14:textId="77777777" w:rsidR="00AC74DB" w:rsidRPr="00405303" w:rsidRDefault="00AC74DB" w:rsidP="00AC74DB">
      <w:pPr>
        <w:jc w:val="both"/>
        <w:rPr>
          <w:bCs/>
          <w:i/>
          <w:color w:val="002060"/>
          <w:sz w:val="16"/>
          <w:szCs w:val="16"/>
        </w:rPr>
      </w:pPr>
    </w:p>
    <w:p w14:paraId="0BA4ACC8" w14:textId="77777777" w:rsidR="00AC74DB" w:rsidRPr="00405303" w:rsidRDefault="00AC74DB" w:rsidP="00AC74DB">
      <w:pPr>
        <w:jc w:val="both"/>
        <w:rPr>
          <w:color w:val="0070C0"/>
          <w:sz w:val="16"/>
          <w:szCs w:val="16"/>
        </w:rPr>
      </w:pPr>
      <w:r w:rsidRPr="00405303">
        <w:rPr>
          <w:color w:val="0070C0"/>
          <w:sz w:val="16"/>
          <w:szCs w:val="16"/>
        </w:rPr>
        <w:t>23 марта (5 апреля) 1915 г. немецкая морская авиация вновь подвергла бомбардировке территорию города Либава. В ходе налета один из летательных аппаратов упал в воду и затонул. Его экипаж предпринял попытку вплавь добраться до одного из своих морских судов, находившихся вблизи Либавы, но был перехвачен нашими моряками.</w:t>
      </w:r>
    </w:p>
    <w:p w14:paraId="4785201D" w14:textId="77777777" w:rsidR="00AC74DB" w:rsidRPr="00405303" w:rsidRDefault="00AC74DB" w:rsidP="00AC74DB">
      <w:pPr>
        <w:jc w:val="both"/>
        <w:rPr>
          <w:color w:val="0070C0"/>
          <w:sz w:val="16"/>
          <w:szCs w:val="16"/>
        </w:rPr>
      </w:pPr>
      <w:r w:rsidRPr="00405303">
        <w:rPr>
          <w:color w:val="0070C0"/>
          <w:sz w:val="16"/>
          <w:szCs w:val="16"/>
        </w:rPr>
        <w:t>С целью исключения поражения осколками снарядов местного населения при обстреле германских аэропланов или цеппелинов в случае появления их над г. Либава начальник охраны Балтийского побережья генерал-майор Б.П. Бобровский издал соответствующее приказание. В нем рекомендовалось «жителям города и его окрестностей не выходить из домов, а укрыться в зданиях на все время обстрела неприятельских воздухоплавательных аппаратов» (25135).</w:t>
      </w:r>
    </w:p>
    <w:p w14:paraId="592DDFDC" w14:textId="77777777" w:rsidR="00AC74DB" w:rsidRPr="00405303" w:rsidRDefault="00AC74DB" w:rsidP="00AC74DB">
      <w:pPr>
        <w:jc w:val="both"/>
        <w:rPr>
          <w:color w:val="0070C0"/>
          <w:sz w:val="16"/>
          <w:szCs w:val="16"/>
        </w:rPr>
      </w:pPr>
    </w:p>
    <w:p w14:paraId="4FF1E744" w14:textId="77777777" w:rsidR="00AC74DB" w:rsidRPr="00405303" w:rsidRDefault="00AC74DB" w:rsidP="00AC74DB">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23 марта (5 апреля) 1915 г. германская морская авиация вновь подвергла бомбардировке территорию города. В ходе налета один из ЛА упал в воду и затонул. Его экипаж предпринял попытку вплавь добраться до одного из своих морских судов, находившихся вблизи Либавы, но был перехвачен нашими моряками.</w:t>
      </w:r>
    </w:p>
    <w:p w14:paraId="0E420E92" w14:textId="77777777" w:rsidR="00AC74DB" w:rsidRPr="00405303" w:rsidRDefault="00AC74DB" w:rsidP="00AC74DB">
      <w:pPr>
        <w:jc w:val="both"/>
        <w:rPr>
          <w:color w:val="0070C0"/>
          <w:sz w:val="16"/>
          <w:szCs w:val="16"/>
        </w:rPr>
      </w:pPr>
      <w:r w:rsidRPr="00405303">
        <w:rPr>
          <w:rStyle w:val="aa"/>
          <w:rFonts w:ascii="Times New Roman" w:hAnsi="Times New Roman"/>
          <w:color w:val="0070C0"/>
          <w:spacing w:val="0"/>
          <w:sz w:val="16"/>
          <w:szCs w:val="16"/>
        </w:rPr>
        <w:t>В указанный период воздушное обеспечение действий неприятельской морской группы в районе города-порта осуществляли экипажи четырех гидропланов, размещенных на борту авиаматки «Глиндер» («</w:t>
      </w:r>
      <w:r w:rsidRPr="00405303">
        <w:rPr>
          <w:rStyle w:val="aa"/>
          <w:rFonts w:ascii="Times New Roman" w:hAnsi="Times New Roman"/>
          <w:color w:val="0070C0"/>
          <w:spacing w:val="0"/>
          <w:sz w:val="16"/>
          <w:szCs w:val="16"/>
          <w:lang w:val="en-US"/>
        </w:rPr>
        <w:t>Glinder</w:t>
      </w:r>
      <w:r w:rsidRPr="00405303">
        <w:rPr>
          <w:rStyle w:val="aa"/>
          <w:rFonts w:ascii="Times New Roman" w:hAnsi="Times New Roman"/>
          <w:color w:val="0070C0"/>
          <w:spacing w:val="0"/>
          <w:sz w:val="16"/>
          <w:szCs w:val="16"/>
        </w:rPr>
        <w:t>») (25166).</w:t>
      </w:r>
    </w:p>
    <w:p w14:paraId="1735BBFA" w14:textId="77777777" w:rsidR="00AC74DB" w:rsidRPr="00405303" w:rsidRDefault="00AC74DB" w:rsidP="00AC74DB">
      <w:pPr>
        <w:jc w:val="both"/>
        <w:rPr>
          <w:color w:val="0070C0"/>
          <w:sz w:val="16"/>
          <w:szCs w:val="16"/>
        </w:rPr>
      </w:pPr>
    </w:p>
    <w:p w14:paraId="2FF93DDA" w14:textId="15BBA5BD" w:rsidR="004B4E35" w:rsidRPr="00405303" w:rsidRDefault="009E6F82" w:rsidP="00C15251">
      <w:pPr>
        <w:jc w:val="both"/>
        <w:rPr>
          <w:bCs/>
          <w:i/>
          <w:color w:val="002060"/>
          <w:sz w:val="16"/>
          <w:szCs w:val="16"/>
        </w:rPr>
      </w:pPr>
      <w:r w:rsidRPr="00405303">
        <w:rPr>
          <w:bCs/>
          <w:i/>
          <w:color w:val="002060"/>
          <w:sz w:val="16"/>
          <w:szCs w:val="16"/>
        </w:rPr>
        <w:t>Авиация:</w:t>
      </w:r>
    </w:p>
    <w:p w14:paraId="07C6A3D9" w14:textId="77777777" w:rsidR="004B4E35" w:rsidRPr="00405303" w:rsidRDefault="004B4E35" w:rsidP="00C15251">
      <w:pPr>
        <w:jc w:val="both"/>
        <w:rPr>
          <w:bCs/>
          <w:i/>
          <w:color w:val="002060"/>
          <w:sz w:val="16"/>
          <w:szCs w:val="16"/>
        </w:rPr>
      </w:pPr>
    </w:p>
    <w:p w14:paraId="6A887287" w14:textId="03E72E80" w:rsidR="004B4E35" w:rsidRPr="00405303" w:rsidRDefault="009E6F82" w:rsidP="00C15251">
      <w:pPr>
        <w:jc w:val="both"/>
        <w:rPr>
          <w:bCs/>
          <w:color w:val="002060"/>
          <w:sz w:val="16"/>
          <w:szCs w:val="16"/>
        </w:rPr>
      </w:pPr>
      <w:r w:rsidRPr="00405303">
        <w:rPr>
          <w:bCs/>
          <w:color w:val="002060"/>
          <w:sz w:val="16"/>
          <w:szCs w:val="16"/>
        </w:rPr>
        <w:t>24 марта</w:t>
      </w:r>
      <w:r w:rsidR="00BF1725" w:rsidRPr="00405303">
        <w:rPr>
          <w:bCs/>
          <w:color w:val="002060"/>
          <w:sz w:val="16"/>
          <w:szCs w:val="16"/>
        </w:rPr>
        <w:t xml:space="preserve"> (6 апреля)</w:t>
      </w:r>
      <w:r w:rsidRPr="00405303">
        <w:rPr>
          <w:bCs/>
          <w:color w:val="002060"/>
          <w:sz w:val="16"/>
          <w:szCs w:val="16"/>
        </w:rPr>
        <w:t xml:space="preserve"> 1915 года </w:t>
      </w:r>
      <w:r w:rsidR="00BF1725" w:rsidRPr="00405303">
        <w:rPr>
          <w:bCs/>
          <w:color w:val="002060"/>
          <w:sz w:val="16"/>
          <w:szCs w:val="16"/>
        </w:rPr>
        <w:t xml:space="preserve">в связи с переводом 27-го армейского корпуса в Новогеоргиевск были расформированы и два особых авиаотряда, отвечавшие за борьбу с аэропланами противника на подступах к Варшаве </w:t>
      </w:r>
      <w:r w:rsidRPr="00405303">
        <w:rPr>
          <w:bCs/>
          <w:color w:val="002060"/>
          <w:sz w:val="16"/>
          <w:szCs w:val="16"/>
        </w:rPr>
        <w:t xml:space="preserve">Н.С. Воеводский возглавил 5-й армейский авиаотряд, а П.П. Грезо - 2-й армейский авиаотряд. В эти же отряды поступили бывшие под их началом летчики И.Д. Хризосколео, А.Ф. Пуарэ и В.Ф. Станюкович. Летчик-истребитель ГА. Борейша был возвращен в 13-й корпусной </w:t>
      </w:r>
      <w:r w:rsidRPr="00405303">
        <w:rPr>
          <w:bCs/>
          <w:color w:val="002060"/>
          <w:sz w:val="16"/>
          <w:szCs w:val="16"/>
        </w:rPr>
        <w:lastRenderedPageBreak/>
        <w:t>авиаотряд (12 (25) апреля был сбит и попал в плен). 8 (21) апреля 1915 г. одиночный германский аэроплан сбросил четыре зажигательные бомбы на кварталы в центре города, но возникшие пожары были тотчас потушены. В мае противник проявил большую активность в воздухе; появились над городом сравнительно новые типы самолетов - двухместные многоцелевые «Альбатрос С». 20-23 мая (2-5 июня) они ежедневно совершали налеты на Варшаву, но, встреченные огнем батарей, не смогли пробиться к целям.</w:t>
      </w:r>
    </w:p>
    <w:p w14:paraId="0F9E95D0" w14:textId="77777777" w:rsidR="004B4E35" w:rsidRPr="00405303" w:rsidRDefault="004B4E35" w:rsidP="00C15251">
      <w:pPr>
        <w:jc w:val="both"/>
        <w:rPr>
          <w:bCs/>
          <w:i/>
          <w:color w:val="002060"/>
          <w:sz w:val="16"/>
          <w:szCs w:val="16"/>
        </w:rPr>
      </w:pPr>
    </w:p>
    <w:p w14:paraId="51E60E33"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01BB98DE" w14:textId="77777777" w:rsidR="004B4E35" w:rsidRPr="00405303" w:rsidRDefault="004B4E35" w:rsidP="00C15251">
      <w:pPr>
        <w:jc w:val="both"/>
        <w:rPr>
          <w:bCs/>
          <w:i/>
          <w:color w:val="002060"/>
          <w:sz w:val="16"/>
          <w:szCs w:val="16"/>
        </w:rPr>
      </w:pPr>
    </w:p>
    <w:p w14:paraId="14E4241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24 марта (6 апреля) 1915 года авиатранспорты впервые при</w:t>
      </w:r>
      <w:r w:rsidRPr="00405303">
        <w:rPr>
          <w:bCs/>
          <w:color w:val="002060"/>
          <w:sz w:val="16"/>
          <w:szCs w:val="16"/>
        </w:rPr>
        <w:softHyphen/>
        <w:t>няли участие в боевых действиях Черноморской фло</w:t>
      </w:r>
      <w:r w:rsidRPr="00405303">
        <w:rPr>
          <w:bCs/>
          <w:color w:val="002060"/>
          <w:sz w:val="16"/>
          <w:szCs w:val="16"/>
        </w:rPr>
        <w:softHyphen/>
        <w:t>тилии против босфорских укреплений. Гидросамо</w:t>
      </w:r>
      <w:r w:rsidRPr="00405303">
        <w:rPr>
          <w:bCs/>
          <w:color w:val="002060"/>
          <w:sz w:val="16"/>
          <w:szCs w:val="16"/>
        </w:rPr>
        <w:softHyphen/>
        <w:t>леты «Кертис», М-5 и М-9, доставленные авиатранс</w:t>
      </w:r>
      <w:r w:rsidRPr="00405303">
        <w:rPr>
          <w:bCs/>
          <w:color w:val="002060"/>
          <w:sz w:val="16"/>
          <w:szCs w:val="16"/>
        </w:rPr>
        <w:softHyphen/>
        <w:t>портами к берегам Турции, осуществляли воздушную разведку, корректировали стрельбу корабельной ар</w:t>
      </w:r>
      <w:r w:rsidRPr="00405303">
        <w:rPr>
          <w:bCs/>
          <w:color w:val="002060"/>
          <w:sz w:val="16"/>
          <w:szCs w:val="16"/>
        </w:rPr>
        <w:softHyphen/>
        <w:t>тиллерии, наносили бомбовые удары по кораблям и береговым объектам противника, обеспечивали про</w:t>
      </w:r>
      <w:r w:rsidRPr="00405303">
        <w:rPr>
          <w:bCs/>
          <w:color w:val="002060"/>
          <w:sz w:val="16"/>
          <w:szCs w:val="16"/>
        </w:rPr>
        <w:softHyphen/>
        <w:t>тиволодочную оборону кораблей при переходе мо</w:t>
      </w:r>
      <w:r w:rsidRPr="00405303">
        <w:rPr>
          <w:bCs/>
          <w:color w:val="002060"/>
          <w:sz w:val="16"/>
          <w:szCs w:val="16"/>
        </w:rPr>
        <w:softHyphen/>
        <w:t>рем. Эксплуатация гидросамолетов с авиатранспор</w:t>
      </w:r>
      <w:r w:rsidRPr="00405303">
        <w:rPr>
          <w:bCs/>
          <w:color w:val="002060"/>
          <w:sz w:val="16"/>
          <w:szCs w:val="16"/>
        </w:rPr>
        <w:softHyphen/>
        <w:t>тов выявила и существенный недостаток— сложность взлета и посадки в открытом море, особенно при вол</w:t>
      </w:r>
      <w:r w:rsidRPr="00405303">
        <w:rPr>
          <w:bCs/>
          <w:color w:val="002060"/>
          <w:sz w:val="16"/>
          <w:szCs w:val="16"/>
        </w:rPr>
        <w:softHyphen/>
        <w:t>нении. Этот недостаток усугублялся тем, что авиа</w:t>
      </w:r>
      <w:r w:rsidRPr="00405303">
        <w:rPr>
          <w:bCs/>
          <w:color w:val="002060"/>
          <w:sz w:val="16"/>
          <w:szCs w:val="16"/>
        </w:rPr>
        <w:softHyphen/>
        <w:t>транспорты — большей частью переоборудованные ус</w:t>
      </w:r>
      <w:r w:rsidRPr="00405303">
        <w:rPr>
          <w:bCs/>
          <w:color w:val="002060"/>
          <w:sz w:val="16"/>
          <w:szCs w:val="16"/>
        </w:rPr>
        <w:softHyphen/>
        <w:t>таревшие транспортные суда — были тихоходными и не имели серьезной броневой защиты, что делало их уязвимыми. Уже первые месяцы войны показали, что надеж</w:t>
      </w:r>
      <w:r w:rsidRPr="00405303">
        <w:rPr>
          <w:bCs/>
          <w:color w:val="002060"/>
          <w:sz w:val="16"/>
          <w:szCs w:val="16"/>
        </w:rPr>
        <w:softHyphen/>
        <w:t>ды военного руководства на создание морской авиа</w:t>
      </w:r>
      <w:r w:rsidRPr="00405303">
        <w:rPr>
          <w:bCs/>
          <w:color w:val="002060"/>
          <w:sz w:val="16"/>
          <w:szCs w:val="16"/>
        </w:rPr>
        <w:softHyphen/>
        <w:t xml:space="preserve">ции, </w:t>
      </w:r>
      <w:proofErr w:type="gramStart"/>
      <w:r w:rsidRPr="00405303">
        <w:rPr>
          <w:bCs/>
          <w:color w:val="002060"/>
          <w:sz w:val="16"/>
          <w:szCs w:val="16"/>
        </w:rPr>
        <w:t>как впрочем</w:t>
      </w:r>
      <w:proofErr w:type="gramEnd"/>
      <w:r w:rsidRPr="00405303">
        <w:rPr>
          <w:bCs/>
          <w:color w:val="002060"/>
          <w:sz w:val="16"/>
          <w:szCs w:val="16"/>
        </w:rPr>
        <w:t xml:space="preserve"> и всей боевой авиации, за счет само</w:t>
      </w:r>
      <w:r w:rsidRPr="00405303">
        <w:rPr>
          <w:bCs/>
          <w:color w:val="002060"/>
          <w:sz w:val="16"/>
          <w:szCs w:val="16"/>
        </w:rPr>
        <w:softHyphen/>
        <w:t>летов иностранных фирм не оправдались. Союзники России оказались необязательны в поставках качест</w:t>
      </w:r>
      <w:r w:rsidRPr="00405303">
        <w:rPr>
          <w:bCs/>
          <w:color w:val="002060"/>
          <w:sz w:val="16"/>
          <w:szCs w:val="16"/>
        </w:rPr>
        <w:softHyphen/>
        <w:t>венных и современных гидропланов. Ясно встала не</w:t>
      </w:r>
      <w:r w:rsidRPr="00405303">
        <w:rPr>
          <w:bCs/>
          <w:color w:val="002060"/>
          <w:sz w:val="16"/>
          <w:szCs w:val="16"/>
        </w:rPr>
        <w:softHyphen/>
        <w:t>обходимость развития отечественной авиационной промышленности. К этому времени известный конструктор летаю</w:t>
      </w:r>
      <w:r w:rsidRPr="00405303">
        <w:rPr>
          <w:bCs/>
          <w:color w:val="002060"/>
          <w:sz w:val="16"/>
          <w:szCs w:val="16"/>
        </w:rPr>
        <w:softHyphen/>
        <w:t>щих лодок Д.П. Григорович создал ряд машин, одна из которых — М-4 — весной 1915 года была принята морским военным ведомством. Вскоре две такие ма</w:t>
      </w:r>
      <w:r w:rsidRPr="00405303">
        <w:rPr>
          <w:bCs/>
          <w:color w:val="002060"/>
          <w:sz w:val="16"/>
          <w:szCs w:val="16"/>
        </w:rPr>
        <w:softHyphen/>
        <w:t>шины появились в Севастополе (553). Следующая лодка М-5 всеми своими качествами удовлетворяла морских летчиков. Создание М-5 — это первый настоящий успех инженера Д.П.Григорови</w:t>
      </w:r>
      <w:r w:rsidRPr="00405303">
        <w:rPr>
          <w:bCs/>
          <w:color w:val="002060"/>
          <w:sz w:val="16"/>
          <w:szCs w:val="16"/>
        </w:rPr>
        <w:softHyphen/>
        <w:t>ча, который был настолько уверен в этой машине, что одновременно с изготовлением опытного образ</w:t>
      </w:r>
      <w:r w:rsidRPr="00405303">
        <w:rPr>
          <w:bCs/>
          <w:color w:val="002060"/>
          <w:sz w:val="16"/>
          <w:szCs w:val="16"/>
        </w:rPr>
        <w:softHyphen/>
        <w:t>ца на заводе Щетинина готовил самолет для серий</w:t>
      </w:r>
      <w:r w:rsidRPr="00405303">
        <w:rPr>
          <w:bCs/>
          <w:color w:val="002060"/>
          <w:sz w:val="16"/>
          <w:szCs w:val="16"/>
        </w:rPr>
        <w:softHyphen/>
        <w:t>ного производства. Это способствовало быстрому вытеснению из русской гидроавиации зарубежных конструкций. М-5, серийно выпускаемый до 1923 года, на многие годы стал одним из основных типов ле</w:t>
      </w:r>
      <w:r w:rsidRPr="00405303">
        <w:rPr>
          <w:bCs/>
          <w:color w:val="002060"/>
          <w:sz w:val="16"/>
          <w:szCs w:val="16"/>
        </w:rPr>
        <w:softHyphen/>
        <w:t>тающей лодки, состоящей на вооружении отечествен</w:t>
      </w:r>
      <w:r w:rsidRPr="00405303">
        <w:rPr>
          <w:bCs/>
          <w:color w:val="002060"/>
          <w:sz w:val="16"/>
          <w:szCs w:val="16"/>
        </w:rPr>
        <w:softHyphen/>
        <w:t>ного морского флота (553</w:t>
      </w:r>
      <w:proofErr w:type="gramStart"/>
      <w:r w:rsidRPr="00405303">
        <w:rPr>
          <w:bCs/>
          <w:color w:val="002060"/>
          <w:sz w:val="16"/>
          <w:szCs w:val="16"/>
        </w:rPr>
        <w:t>).(</w:t>
      </w:r>
      <w:proofErr w:type="gramEnd"/>
      <w:r w:rsidRPr="00405303">
        <w:rPr>
          <w:bCs/>
          <w:color w:val="002060"/>
          <w:sz w:val="16"/>
          <w:szCs w:val="16"/>
        </w:rPr>
        <w:t>553).</w:t>
      </w:r>
    </w:p>
    <w:p w14:paraId="0F484220" w14:textId="77777777" w:rsidR="004B4E35" w:rsidRPr="00405303" w:rsidRDefault="004B4E35" w:rsidP="00C15251">
      <w:pPr>
        <w:shd w:val="clear" w:color="auto" w:fill="FFFFFF"/>
        <w:jc w:val="both"/>
        <w:rPr>
          <w:bCs/>
          <w:color w:val="002060"/>
          <w:sz w:val="16"/>
          <w:szCs w:val="16"/>
        </w:rPr>
      </w:pPr>
    </w:p>
    <w:p w14:paraId="621D749A"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1F0F33E1" w14:textId="77777777" w:rsidR="004B4E35" w:rsidRPr="00405303" w:rsidRDefault="004B4E35" w:rsidP="00C15251">
      <w:pPr>
        <w:shd w:val="clear" w:color="auto" w:fill="FFFFFF"/>
        <w:jc w:val="both"/>
        <w:rPr>
          <w:bCs/>
          <w:i/>
          <w:color w:val="002060"/>
          <w:sz w:val="16"/>
          <w:szCs w:val="16"/>
        </w:rPr>
      </w:pPr>
    </w:p>
    <w:p w14:paraId="765672E6" w14:textId="75F2DFB9" w:rsidR="00FE7209" w:rsidRPr="00405303" w:rsidRDefault="00FE7209" w:rsidP="00C15251">
      <w:pPr>
        <w:jc w:val="both"/>
        <w:rPr>
          <w:bCs/>
          <w:color w:val="002060"/>
          <w:sz w:val="16"/>
          <w:szCs w:val="16"/>
        </w:rPr>
      </w:pPr>
      <w:r w:rsidRPr="00405303">
        <w:rPr>
          <w:bCs/>
          <w:color w:val="002060"/>
          <w:sz w:val="16"/>
          <w:szCs w:val="16"/>
        </w:rPr>
        <w:t>25 марта (7 апреля) 1915 г. в нарушении Женевской конвенции 1906 г. немецкая авиация подвергла бомбардировке на ст. Остроленка (царство Польское) расположение 526-го полевого госпиталя, развернутого у вокзала, и питательно-перевязочный пункт Красного Креста.</w:t>
      </w:r>
    </w:p>
    <w:p w14:paraId="6D82CC8D" w14:textId="77777777" w:rsidR="00FE7209" w:rsidRPr="00405303" w:rsidRDefault="00FE7209" w:rsidP="00C15251">
      <w:pPr>
        <w:jc w:val="both"/>
        <w:rPr>
          <w:bCs/>
          <w:color w:val="002060"/>
          <w:sz w:val="16"/>
          <w:szCs w:val="16"/>
        </w:rPr>
      </w:pPr>
      <w:bookmarkStart w:id="78" w:name="bookmark110"/>
      <w:bookmarkStart w:id="79" w:name="bookmark111"/>
      <w:r w:rsidRPr="00405303">
        <w:rPr>
          <w:bCs/>
          <w:color w:val="002060"/>
          <w:sz w:val="16"/>
          <w:szCs w:val="16"/>
        </w:rPr>
        <w:t xml:space="preserve">Бомбы сбрасывались с малой высоты, несмотря на то обстоятельство, что госпиталь и питательно-перевязочный пункт были обозначены установленными знаками, так </w:t>
      </w:r>
      <w:proofErr w:type="gramStart"/>
      <w:r w:rsidRPr="00405303">
        <w:rPr>
          <w:bCs/>
          <w:color w:val="002060"/>
          <w:sz w:val="16"/>
          <w:szCs w:val="16"/>
        </w:rPr>
        <w:t>же</w:t>
      </w:r>
      <w:proofErr w:type="gramEnd"/>
      <w:r w:rsidRPr="00405303">
        <w:rPr>
          <w:bCs/>
          <w:color w:val="002060"/>
          <w:sz w:val="16"/>
          <w:szCs w:val="16"/>
        </w:rPr>
        <w:t xml:space="preserve"> как и санитарные эшелоны, находившиеся на железнодорожных путях у вокзала. Всего было сброшено около 100 мелких бомб, убито 12 и ранено около 20 человек. В тот же день австрийский самолет сбросил две бомбы на территорию русского госпиталя у ст. Воля-Ржзедзиньска (в районе г. Тарнов) (23405).</w:t>
      </w:r>
      <w:bookmarkEnd w:id="78"/>
      <w:bookmarkEnd w:id="79"/>
    </w:p>
    <w:p w14:paraId="4DEE25BF" w14:textId="77777777" w:rsidR="00FE7209" w:rsidRPr="00405303" w:rsidRDefault="00FE7209" w:rsidP="00C15251">
      <w:pPr>
        <w:jc w:val="both"/>
        <w:rPr>
          <w:bCs/>
          <w:color w:val="002060"/>
          <w:sz w:val="16"/>
          <w:szCs w:val="16"/>
        </w:rPr>
      </w:pPr>
    </w:p>
    <w:p w14:paraId="254602DA" w14:textId="64045CE0" w:rsidR="004B4E35" w:rsidRPr="00405303" w:rsidRDefault="009E6F82" w:rsidP="00C15251">
      <w:pPr>
        <w:jc w:val="both"/>
        <w:rPr>
          <w:bCs/>
          <w:color w:val="002060"/>
          <w:sz w:val="16"/>
          <w:szCs w:val="16"/>
        </w:rPr>
      </w:pPr>
      <w:r w:rsidRPr="00405303">
        <w:rPr>
          <w:bCs/>
          <w:color w:val="002060"/>
          <w:sz w:val="16"/>
          <w:szCs w:val="16"/>
        </w:rPr>
        <w:t xml:space="preserve">25 марта </w:t>
      </w:r>
      <w:r w:rsidR="00BF1725" w:rsidRPr="00405303">
        <w:rPr>
          <w:bCs/>
          <w:color w:val="002060"/>
          <w:sz w:val="16"/>
          <w:szCs w:val="16"/>
        </w:rPr>
        <w:t xml:space="preserve">(7 апреля) 1915 г. </w:t>
      </w:r>
      <w:r w:rsidRPr="00405303">
        <w:rPr>
          <w:bCs/>
          <w:color w:val="002060"/>
          <w:sz w:val="16"/>
          <w:szCs w:val="16"/>
        </w:rPr>
        <w:t>батарея была отправлена на Северный фронт. 17 июня 1915 года, отражая налет девяти немецких самолетов, зенитчики сбили два из них, открыв счет самолетов противника, уничтоженных отечественной зенитной артиллерией (по другим данным, противосамолетным подразделением Тарновского 2 июня 1915 года был сбит один немецкий аэроплан в районе г. Пултуска (Польша)).</w:t>
      </w:r>
    </w:p>
    <w:p w14:paraId="09E81CF2" w14:textId="77777777" w:rsidR="004B4E35" w:rsidRPr="00405303" w:rsidRDefault="009E6F82" w:rsidP="00C15251">
      <w:pPr>
        <w:jc w:val="both"/>
        <w:rPr>
          <w:bCs/>
          <w:color w:val="002060"/>
          <w:sz w:val="16"/>
          <w:szCs w:val="16"/>
        </w:rPr>
      </w:pPr>
      <w:r w:rsidRPr="00405303">
        <w:rPr>
          <w:bCs/>
          <w:color w:val="002060"/>
          <w:sz w:val="16"/>
          <w:szCs w:val="16"/>
        </w:rPr>
        <w:t>Из 76 пушек поступивших в войска было установлено на автомобили лишь 36 пушек (9 батарей), 20 пушек были назначены на вооружение 10 железнодорожных двухорудийных батарей, которые стали сформировываться уже в 1917 г. (в том числе так называемый «стальной дивизион Путиловского завода»). Причем 6-я, 7-я и 8-я железнодорожные батареи для стрельбы по воздушному флоту были готовы к отправке на фронт лишь 27 ноября (10 декабря) 1917 г., то есть уже после Октябрьской революции, а приказ Ставки о сформировании 9-й и 10-й таких же батарей состоялся лишь 2 (15) декабря 1917, то есть в то время, когда война на русском фронте фактически закончилась. Наконец, 12 зенитных пушек обр. 1914 г. были даны в октябре 1917 г. на вооружение 1-й, 2-й и 3-й так называемых отдельных ездящих батарей для стрельбы по воздушному флоту; орудия в этих батареях были поставлены на подвижные деревянные платформы. По 4 зенитных 76-мм пушки на позиционных установках имели батарея для обороны Царского Села и батарея Офицерской артиллерийской школы.</w:t>
      </w:r>
    </w:p>
    <w:p w14:paraId="28AB28C9" w14:textId="77777777" w:rsidR="004B4E35" w:rsidRPr="00405303" w:rsidRDefault="004B4E35" w:rsidP="00C15251">
      <w:pPr>
        <w:jc w:val="both"/>
        <w:rPr>
          <w:bCs/>
          <w:i/>
          <w:color w:val="002060"/>
          <w:sz w:val="16"/>
          <w:szCs w:val="16"/>
        </w:rPr>
      </w:pPr>
    </w:p>
    <w:p w14:paraId="4EEB82E4" w14:textId="194A5D76" w:rsidR="00FE7209" w:rsidRPr="00405303" w:rsidRDefault="00FE7209" w:rsidP="00C15251">
      <w:pPr>
        <w:jc w:val="both"/>
        <w:rPr>
          <w:bCs/>
          <w:i/>
          <w:color w:val="002060"/>
          <w:sz w:val="16"/>
          <w:szCs w:val="16"/>
        </w:rPr>
      </w:pPr>
      <w:r w:rsidRPr="00405303">
        <w:rPr>
          <w:bCs/>
          <w:i/>
          <w:color w:val="002060"/>
          <w:sz w:val="16"/>
          <w:szCs w:val="16"/>
        </w:rPr>
        <w:t>Морская авиация:</w:t>
      </w:r>
    </w:p>
    <w:p w14:paraId="485A32E8" w14:textId="77777777" w:rsidR="00FE7209" w:rsidRPr="00405303" w:rsidRDefault="00FE7209" w:rsidP="00C15251">
      <w:pPr>
        <w:jc w:val="both"/>
        <w:rPr>
          <w:bCs/>
          <w:i/>
          <w:color w:val="002060"/>
          <w:sz w:val="16"/>
          <w:szCs w:val="16"/>
        </w:rPr>
      </w:pPr>
    </w:p>
    <w:p w14:paraId="5316BCA5" w14:textId="77777777" w:rsidR="00FE7209" w:rsidRPr="00405303" w:rsidRDefault="00FE7209" w:rsidP="00C15251">
      <w:pPr>
        <w:jc w:val="both"/>
        <w:rPr>
          <w:bCs/>
          <w:color w:val="002060"/>
          <w:sz w:val="16"/>
          <w:szCs w:val="16"/>
          <w:lang w:bidi="en-US"/>
        </w:rPr>
      </w:pPr>
      <w:r w:rsidRPr="00405303">
        <w:rPr>
          <w:bCs/>
          <w:color w:val="002060"/>
          <w:sz w:val="16"/>
          <w:szCs w:val="16"/>
          <w:lang w:bidi="en-US"/>
        </w:rPr>
        <w:t>25 марта 1915 г. адмирал А. А. Эбергард приказал вывести авиацию Черноморского флота из состава Службы связи и связи в отдельную службу и передать ее в подчинение Штабу флота. На авиацию Черноморского флота теперь возлагались две функции: действия с трех авианосцев в море и оборонительные действия в районе Севастополя. В бухтах Килен и Круглая в Севастополе и в Батуме действовали базы береговой морской авиации. В отличие от частей армейской авиации, части морской авиации получили лишь временный статус, так как в них не было постоянного состава (23525).</w:t>
      </w:r>
    </w:p>
    <w:p w14:paraId="2A4FDEE2" w14:textId="77777777" w:rsidR="00FE7209" w:rsidRPr="00405303" w:rsidRDefault="00FE7209" w:rsidP="00C15251">
      <w:pPr>
        <w:jc w:val="both"/>
        <w:rPr>
          <w:bCs/>
          <w:color w:val="002060"/>
          <w:sz w:val="16"/>
          <w:szCs w:val="16"/>
        </w:rPr>
      </w:pPr>
    </w:p>
    <w:p w14:paraId="49487BB0" w14:textId="3C09359A"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7CBDF284" w14:textId="77777777" w:rsidR="004B4E35" w:rsidRPr="00405303" w:rsidRDefault="004B4E35" w:rsidP="00C15251">
      <w:pPr>
        <w:jc w:val="both"/>
        <w:rPr>
          <w:bCs/>
          <w:i/>
          <w:color w:val="002060"/>
          <w:sz w:val="16"/>
          <w:szCs w:val="16"/>
        </w:rPr>
      </w:pPr>
    </w:p>
    <w:p w14:paraId="12874AF3" w14:textId="221D090D"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26 марта </w:t>
      </w:r>
      <w:r w:rsidR="00BF1725" w:rsidRPr="00405303">
        <w:rPr>
          <w:bCs/>
          <w:color w:val="002060"/>
          <w:sz w:val="16"/>
          <w:szCs w:val="16"/>
        </w:rPr>
        <w:t xml:space="preserve">(8 апреля) </w:t>
      </w:r>
      <w:r w:rsidRPr="00405303">
        <w:rPr>
          <w:bCs/>
          <w:color w:val="002060"/>
          <w:sz w:val="16"/>
          <w:szCs w:val="16"/>
        </w:rPr>
        <w:t>1915 г. Технический комитет ГВТУ признал желательным определить теоретически необходимые поправки к прицельным прибо</w:t>
      </w:r>
      <w:r w:rsidRPr="00405303">
        <w:rPr>
          <w:bCs/>
          <w:color w:val="002060"/>
          <w:sz w:val="16"/>
          <w:szCs w:val="16"/>
        </w:rPr>
        <w:softHyphen/>
        <w:t>рам Толмачева, Тираспольского и Лебеденко. Профессору Ботезату были отпущены необходимые средства и предложено руководить работами по определению этих поправок. 21 декабря 1915 г. ГА. Ботезат представил Техническому комитету результаты исследований прибора Толмачева, из которых следовало, что пренебрегать сопротивлением воздуха и влияни</w:t>
      </w:r>
      <w:r w:rsidRPr="00405303">
        <w:rPr>
          <w:bCs/>
          <w:color w:val="002060"/>
          <w:sz w:val="16"/>
          <w:szCs w:val="16"/>
        </w:rPr>
        <w:softHyphen/>
        <w:t>ем ветра без большого ущерба для точности бомбометания нельзя. Бо</w:t>
      </w:r>
      <w:r w:rsidRPr="00405303">
        <w:rPr>
          <w:bCs/>
          <w:color w:val="002060"/>
          <w:sz w:val="16"/>
          <w:szCs w:val="16"/>
        </w:rPr>
        <w:softHyphen/>
        <w:t>тезат представил сводку поправок, которые необходимо принимать во внимание при работе с этим прибором.</w:t>
      </w:r>
    </w:p>
    <w:p w14:paraId="6B530C9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 кораблях «Илья Муромец» прицел Толмачева не устанавливался. Командование эскадры отказалось от него, так как его визир не имел ав</w:t>
      </w:r>
      <w:r w:rsidRPr="00405303">
        <w:rPr>
          <w:bCs/>
          <w:color w:val="002060"/>
          <w:sz w:val="16"/>
          <w:szCs w:val="16"/>
        </w:rPr>
        <w:softHyphen/>
        <w:t>томатически устанавливающейся вертикали. Просторная кабина самоле</w:t>
      </w:r>
      <w:r w:rsidRPr="00405303">
        <w:rPr>
          <w:bCs/>
          <w:color w:val="002060"/>
          <w:sz w:val="16"/>
          <w:szCs w:val="16"/>
        </w:rPr>
        <w:softHyphen/>
        <w:t>та «Илья Муромец» позволяла применять приборы с автоматической вер</w:t>
      </w:r>
      <w:r w:rsidRPr="00405303">
        <w:rPr>
          <w:bCs/>
          <w:color w:val="002060"/>
          <w:sz w:val="16"/>
          <w:szCs w:val="16"/>
        </w:rPr>
        <w:softHyphen/>
        <w:t>тикалью. Заслуга создания таких приборов принадлежит членам экипа</w:t>
      </w:r>
      <w:r w:rsidRPr="00405303">
        <w:rPr>
          <w:bCs/>
          <w:color w:val="002060"/>
          <w:sz w:val="16"/>
          <w:szCs w:val="16"/>
        </w:rPr>
        <w:softHyphen/>
        <w:t>жей самолетов «Илья Муромец» А.Н. Журавченко и Н.И. Иванову. В начале войны артиллерийский офицер капитан Иванов, откомандированный в эскадру воздушных кораблей, сконструировал прицел для сбрасывания авиабомб.</w:t>
      </w:r>
    </w:p>
    <w:p w14:paraId="6C15EAA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Он представлял собой рамку в виде усеченной пирамиды, свободно подвешенную на карданном кольце. Основание пирамиды представляло собой курсовую черту, разделенную поперечными делениями через 5°. Вдоль курсовой черты перемещался рычажок с визирной планкой. Угол прицеливания отсчитывался автоматически с помощью маятниковой под</w:t>
      </w:r>
      <w:r w:rsidRPr="00405303">
        <w:rPr>
          <w:bCs/>
          <w:color w:val="002060"/>
          <w:sz w:val="16"/>
          <w:szCs w:val="16"/>
        </w:rPr>
        <w:softHyphen/>
        <w:t>вески прицельной рамки в карданном кольце. Визирование на цель про</w:t>
      </w:r>
      <w:r w:rsidRPr="00405303">
        <w:rPr>
          <w:bCs/>
          <w:color w:val="002060"/>
          <w:sz w:val="16"/>
          <w:szCs w:val="16"/>
        </w:rPr>
        <w:softHyphen/>
        <w:t>изводилась по двум точкам на прицеле: центру карданного кольца и пересечению визирной планки с курсовой чертой. Штурман при подлете к цели сначала визировал любой ориентир под углом 45° и 0° (база пролета равнялась высоте) и засекал время. Зная время и длину базы (по высото</w:t>
      </w:r>
      <w:r w:rsidRPr="00405303">
        <w:rPr>
          <w:bCs/>
          <w:color w:val="002060"/>
          <w:sz w:val="16"/>
          <w:szCs w:val="16"/>
        </w:rPr>
        <w:softHyphen/>
        <w:t>меру), определял путевую скорость (полет, как правило, производился в плоскости ветра). По таблицам Ботезата определял угол прицеливания и устанавливал на этот угол визирную планку прицела. Когда прицельный луч совмещался с целью, сбрасывались бомбы.</w:t>
      </w:r>
    </w:p>
    <w:p w14:paraId="1FD893C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Прицел Иванова существенно повысил эффективность боевого при</w:t>
      </w:r>
      <w:r w:rsidRPr="00405303">
        <w:rPr>
          <w:bCs/>
          <w:color w:val="002060"/>
          <w:sz w:val="16"/>
          <w:szCs w:val="16"/>
        </w:rPr>
        <w:softHyphen/>
        <w:t>менения эскадры тяжелых самолетов (11425).</w:t>
      </w:r>
    </w:p>
    <w:p w14:paraId="52AA74FD" w14:textId="77777777" w:rsidR="004B4E35" w:rsidRPr="00405303" w:rsidRDefault="004B4E35" w:rsidP="00C15251">
      <w:pPr>
        <w:shd w:val="clear" w:color="auto" w:fill="FFFFFF"/>
        <w:jc w:val="both"/>
        <w:rPr>
          <w:bCs/>
          <w:color w:val="002060"/>
          <w:sz w:val="16"/>
          <w:szCs w:val="16"/>
        </w:rPr>
      </w:pPr>
    </w:p>
    <w:p w14:paraId="7056E81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Слабым местом русского авиационного стрелкового вооружения в рас</w:t>
      </w:r>
      <w:r w:rsidRPr="00405303">
        <w:rPr>
          <w:bCs/>
          <w:color w:val="002060"/>
          <w:sz w:val="16"/>
          <w:szCs w:val="16"/>
        </w:rPr>
        <w:softHyphen/>
        <w:t>сматриваемый период были прицелы. Над их созданием и совершенство</w:t>
      </w:r>
      <w:r w:rsidRPr="00405303">
        <w:rPr>
          <w:bCs/>
          <w:color w:val="002060"/>
          <w:sz w:val="16"/>
          <w:szCs w:val="16"/>
        </w:rPr>
        <w:softHyphen/>
        <w:t>ванием трудились полковник С.А. Ульянин, профессор Тираспольский, кон</w:t>
      </w:r>
      <w:r w:rsidRPr="00405303">
        <w:rPr>
          <w:bCs/>
          <w:color w:val="002060"/>
          <w:sz w:val="16"/>
          <w:szCs w:val="16"/>
        </w:rPr>
        <w:softHyphen/>
        <w:t>структоры Лебеденко, В.С. Вахмистров и А.И. Журавченко и другие.</w:t>
      </w:r>
    </w:p>
    <w:p w14:paraId="5113E1C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Вначале летчики при ведении огня пользовались примитивными при</w:t>
      </w:r>
      <w:r w:rsidRPr="00405303">
        <w:rPr>
          <w:bCs/>
          <w:color w:val="002060"/>
          <w:sz w:val="16"/>
          <w:szCs w:val="16"/>
        </w:rPr>
        <w:softHyphen/>
        <w:t>цельными механическими устройствами, представляющими собой два шты</w:t>
      </w:r>
      <w:r w:rsidRPr="00405303">
        <w:rPr>
          <w:bCs/>
          <w:color w:val="002060"/>
          <w:sz w:val="16"/>
          <w:szCs w:val="16"/>
        </w:rPr>
        <w:softHyphen/>
        <w:t xml:space="preserve">ря, установленных вертикально на небольшом расстоянии друг от друга таким образом, чтобы линия визирования по ним была параллельна оси ствола пулемета. Позже появились </w:t>
      </w:r>
      <w:r w:rsidRPr="00405303">
        <w:rPr>
          <w:bCs/>
          <w:color w:val="002060"/>
          <w:sz w:val="16"/>
          <w:szCs w:val="16"/>
        </w:rPr>
        <w:lastRenderedPageBreak/>
        <w:t>кольцевые механические прицелы. Лет</w:t>
      </w:r>
      <w:r w:rsidRPr="00405303">
        <w:rPr>
          <w:bCs/>
          <w:color w:val="002060"/>
          <w:sz w:val="16"/>
          <w:szCs w:val="16"/>
        </w:rPr>
        <w:softHyphen/>
        <w:t>чики визировали цель через кольцо и мушку. Для турельных установок при</w:t>
      </w:r>
      <w:r w:rsidRPr="00405303">
        <w:rPr>
          <w:bCs/>
          <w:color w:val="002060"/>
          <w:sz w:val="16"/>
          <w:szCs w:val="16"/>
        </w:rPr>
        <w:softHyphen/>
        <w:t>менялось кольцо с рассчитанным радиусом для взятия упреждения, и муш</w:t>
      </w:r>
      <w:r w:rsidRPr="00405303">
        <w:rPr>
          <w:bCs/>
          <w:color w:val="002060"/>
          <w:sz w:val="16"/>
          <w:szCs w:val="16"/>
        </w:rPr>
        <w:softHyphen/>
        <w:t>ка-флюгер, которая учитывала собственную скорость самолета.</w:t>
      </w:r>
    </w:p>
    <w:p w14:paraId="02C9542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Следующим шагом было создание оптических телескопических и коллиматорных прицелов. Удачный коллиматорный прицел, позволяющий вести прицельный огонь по противнику, изобрел полковник С. А. Ульянин. Конструктор Шаховский предложил коллиматорный прицел, встроенный в козырек самолета.</w:t>
      </w:r>
    </w:p>
    <w:p w14:paraId="00AE333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Поскольку большинство самолетов, находящихся в строю, не имели хороших прицелов, УВВФ дало указание о приобретении и срочной дос</w:t>
      </w:r>
      <w:r w:rsidRPr="00405303">
        <w:rPr>
          <w:bCs/>
          <w:color w:val="002060"/>
          <w:sz w:val="16"/>
          <w:szCs w:val="16"/>
        </w:rPr>
        <w:softHyphen/>
        <w:t>тавке 600 прицелов из Франции. Своевременно и полностью этот заказ выполнен не был. Первые коллиматорные прицелы, появившиеся на са</w:t>
      </w:r>
      <w:r w:rsidRPr="00405303">
        <w:rPr>
          <w:bCs/>
          <w:color w:val="002060"/>
          <w:sz w:val="16"/>
          <w:szCs w:val="16"/>
        </w:rPr>
        <w:softHyphen/>
        <w:t>молетах иностранных конструкций, имели большие габариты и значитель</w:t>
      </w:r>
      <w:r w:rsidRPr="00405303">
        <w:rPr>
          <w:bCs/>
          <w:color w:val="002060"/>
          <w:sz w:val="16"/>
          <w:szCs w:val="16"/>
        </w:rPr>
        <w:softHyphen/>
        <w:t>ный вес. На отдельных машинах Спад, поступивших из Франции, были ус</w:t>
      </w:r>
      <w:r w:rsidRPr="00405303">
        <w:rPr>
          <w:bCs/>
          <w:color w:val="002060"/>
          <w:sz w:val="16"/>
          <w:szCs w:val="16"/>
        </w:rPr>
        <w:softHyphen/>
        <w:t>тановлены прицелы типа Альдис. Но таких прицелов не хватало.</w:t>
      </w:r>
    </w:p>
    <w:p w14:paraId="35F0613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России прапорщиком Рубинским и лаборантами Ушаковым и Раковским был создан значительно более компактный и легкий коллиматор</w:t>
      </w:r>
      <w:r w:rsidRPr="00405303">
        <w:rPr>
          <w:bCs/>
          <w:color w:val="002060"/>
          <w:sz w:val="16"/>
          <w:szCs w:val="16"/>
        </w:rPr>
        <w:softHyphen/>
        <w:t>ный прицел, чем Альдис. Н. Е. Жуковский дал высокую оценку этому при</w:t>
      </w:r>
      <w:r w:rsidRPr="00405303">
        <w:rPr>
          <w:bCs/>
          <w:color w:val="002060"/>
          <w:sz w:val="16"/>
          <w:szCs w:val="16"/>
        </w:rPr>
        <w:softHyphen/>
        <w:t>целу. Однако русская промышленность не смогла освоить производство этого прицела, и он на вооружение принят не был.</w:t>
      </w:r>
    </w:p>
    <w:p w14:paraId="61CD377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Отсутствие надежных прицелов ставило русских летчиков в нерав</w:t>
      </w:r>
      <w:r w:rsidRPr="00405303">
        <w:rPr>
          <w:bCs/>
          <w:color w:val="002060"/>
          <w:sz w:val="16"/>
          <w:szCs w:val="16"/>
        </w:rPr>
        <w:softHyphen/>
        <w:t>ные условия в борьбе с немецкими истребителями, имевшими хорошие цейсовские оптические прицелы для стрельбы (11425).</w:t>
      </w:r>
    </w:p>
    <w:p w14:paraId="18D680F7" w14:textId="77777777" w:rsidR="004B4E35" w:rsidRPr="00405303" w:rsidRDefault="004B4E35" w:rsidP="00C15251">
      <w:pPr>
        <w:shd w:val="clear" w:color="auto" w:fill="FFFFFF"/>
        <w:jc w:val="both"/>
        <w:rPr>
          <w:bCs/>
          <w:color w:val="002060"/>
          <w:sz w:val="16"/>
          <w:szCs w:val="16"/>
        </w:rPr>
      </w:pPr>
    </w:p>
    <w:p w14:paraId="6CE77B4B" w14:textId="14FEEC2F" w:rsidR="00AC74DB" w:rsidRPr="00405303" w:rsidRDefault="00AC74DB" w:rsidP="00AC74DB">
      <w:pPr>
        <w:jc w:val="both"/>
        <w:rPr>
          <w:bCs/>
          <w:i/>
          <w:color w:val="002060"/>
          <w:sz w:val="16"/>
          <w:szCs w:val="16"/>
        </w:rPr>
      </w:pPr>
      <w:r w:rsidRPr="00405303">
        <w:rPr>
          <w:bCs/>
          <w:i/>
          <w:color w:val="002060"/>
          <w:sz w:val="16"/>
          <w:szCs w:val="16"/>
        </w:rPr>
        <w:t>Другие оборонные отрасли:</w:t>
      </w:r>
    </w:p>
    <w:p w14:paraId="0771CCAF" w14:textId="77777777" w:rsidR="00AC74DB" w:rsidRPr="00405303" w:rsidRDefault="00AC74DB" w:rsidP="00AC74DB">
      <w:pPr>
        <w:jc w:val="both"/>
        <w:rPr>
          <w:bCs/>
          <w:i/>
          <w:color w:val="002060"/>
          <w:sz w:val="16"/>
          <w:szCs w:val="16"/>
        </w:rPr>
      </w:pPr>
    </w:p>
    <w:p w14:paraId="1E241B40" w14:textId="77777777" w:rsidR="00AC74DB" w:rsidRPr="00405303" w:rsidRDefault="00AC74DB" w:rsidP="00AC74DB">
      <w:pPr>
        <w:jc w:val="both"/>
        <w:rPr>
          <w:color w:val="0070C0"/>
          <w:sz w:val="16"/>
          <w:szCs w:val="16"/>
        </w:rPr>
      </w:pPr>
      <w:r w:rsidRPr="00405303">
        <w:rPr>
          <w:color w:val="0070C0"/>
          <w:sz w:val="16"/>
          <w:szCs w:val="16"/>
        </w:rPr>
        <w:t>26 марта (8 апреля) 1915 г. г. Беляев сообщил г. Роппу, что так как по приблизительному подсчету коли</w:t>
      </w:r>
      <w:r w:rsidRPr="00405303">
        <w:rPr>
          <w:color w:val="0070C0"/>
          <w:sz w:val="16"/>
          <w:szCs w:val="16"/>
        </w:rPr>
        <w:softHyphen/>
        <w:t>чество автомобилей, могущих быть заказанными за счет обусловленной в контрактах 25% нормы, далеко не обеспе</w:t>
      </w:r>
      <w:r w:rsidRPr="00405303">
        <w:rPr>
          <w:color w:val="0070C0"/>
          <w:sz w:val="16"/>
          <w:szCs w:val="16"/>
        </w:rPr>
        <w:softHyphen/>
        <w:t>чивает потребности в наиболее необходимых для армии ма</w:t>
      </w:r>
      <w:r w:rsidRPr="00405303">
        <w:rPr>
          <w:color w:val="0070C0"/>
          <w:sz w:val="16"/>
          <w:szCs w:val="16"/>
        </w:rPr>
        <w:softHyphen/>
        <w:t>шинах, а именно в полуторатонных грузовиках, то необхо</w:t>
      </w:r>
      <w:r w:rsidRPr="00405303">
        <w:rPr>
          <w:color w:val="0070C0"/>
          <w:sz w:val="16"/>
          <w:szCs w:val="16"/>
        </w:rPr>
        <w:softHyphen/>
        <w:t>димо, сверх сделанных уже заказов, приобрести не менее 1.000 автомобилей этого тоннажа (24923).</w:t>
      </w:r>
    </w:p>
    <w:p w14:paraId="6A362171" w14:textId="77777777" w:rsidR="00AC74DB" w:rsidRPr="00405303" w:rsidRDefault="00AC74DB" w:rsidP="00AC74DB">
      <w:pPr>
        <w:jc w:val="both"/>
        <w:rPr>
          <w:color w:val="0070C0"/>
          <w:sz w:val="16"/>
          <w:szCs w:val="16"/>
        </w:rPr>
      </w:pPr>
    </w:p>
    <w:p w14:paraId="781E534D" w14:textId="77777777" w:rsidR="00450DD3" w:rsidRPr="00405303" w:rsidRDefault="00450DD3" w:rsidP="00C15251">
      <w:pPr>
        <w:jc w:val="both"/>
        <w:rPr>
          <w:bCs/>
          <w:i/>
          <w:color w:val="002060"/>
          <w:sz w:val="16"/>
          <w:szCs w:val="16"/>
        </w:rPr>
      </w:pPr>
      <w:r w:rsidRPr="00405303">
        <w:rPr>
          <w:bCs/>
          <w:i/>
          <w:color w:val="002060"/>
          <w:sz w:val="16"/>
          <w:szCs w:val="16"/>
        </w:rPr>
        <w:t>Морская авиация:</w:t>
      </w:r>
    </w:p>
    <w:p w14:paraId="3E6EAD6E" w14:textId="77777777" w:rsidR="00450DD3" w:rsidRPr="00405303" w:rsidRDefault="00450DD3" w:rsidP="00C15251">
      <w:pPr>
        <w:jc w:val="both"/>
        <w:rPr>
          <w:bCs/>
          <w:i/>
          <w:color w:val="002060"/>
          <w:sz w:val="16"/>
          <w:szCs w:val="16"/>
        </w:rPr>
      </w:pPr>
    </w:p>
    <w:p w14:paraId="7191F134" w14:textId="2055F06F" w:rsidR="00EF05DA" w:rsidRPr="00405303" w:rsidRDefault="00450DD3" w:rsidP="00C15251">
      <w:pPr>
        <w:jc w:val="both"/>
        <w:rPr>
          <w:bCs/>
          <w:color w:val="002060"/>
          <w:sz w:val="16"/>
          <w:szCs w:val="16"/>
        </w:rPr>
      </w:pPr>
      <w:bookmarkStart w:id="80" w:name="_Hlk117528959"/>
      <w:r w:rsidRPr="00405303">
        <w:rPr>
          <w:bCs/>
          <w:color w:val="002060"/>
          <w:sz w:val="16"/>
          <w:szCs w:val="16"/>
        </w:rPr>
        <w:t>26 марта (8 апреля) 1915</w:t>
      </w:r>
      <w:r w:rsidR="00BF1725" w:rsidRPr="00405303">
        <w:rPr>
          <w:bCs/>
          <w:color w:val="002060"/>
          <w:sz w:val="16"/>
          <w:szCs w:val="16"/>
        </w:rPr>
        <w:t xml:space="preserve"> г.</w:t>
      </w:r>
      <w:r w:rsidRPr="00405303">
        <w:rPr>
          <w:bCs/>
          <w:color w:val="002060"/>
          <w:sz w:val="16"/>
          <w:szCs w:val="16"/>
        </w:rPr>
        <w:t xml:space="preserve"> МГШ просил командира Петроградского порта под</w:t>
      </w:r>
      <w:r w:rsidRPr="00405303">
        <w:rPr>
          <w:bCs/>
          <w:color w:val="002060"/>
          <w:sz w:val="16"/>
          <w:szCs w:val="16"/>
        </w:rPr>
        <w:softHyphen/>
        <w:t>писать договор с фирмой</w:t>
      </w:r>
      <w:r w:rsidR="00BF1725" w:rsidRPr="00405303">
        <w:rPr>
          <w:bCs/>
          <w:color w:val="002060"/>
          <w:sz w:val="16"/>
          <w:szCs w:val="16"/>
        </w:rPr>
        <w:t xml:space="preserve"> Лебедева</w:t>
      </w:r>
      <w:r w:rsidR="00EF05DA" w:rsidRPr="00405303">
        <w:rPr>
          <w:bCs/>
          <w:color w:val="002060"/>
          <w:sz w:val="16"/>
          <w:szCs w:val="16"/>
        </w:rPr>
        <w:t>. 19 января компания В.А. Лебедева заявила, что готова построить два аэроплана типа "Альбатрос" со сменным ко</w:t>
      </w:r>
      <w:r w:rsidR="00EF05DA" w:rsidRPr="00405303">
        <w:rPr>
          <w:bCs/>
          <w:color w:val="002060"/>
          <w:sz w:val="16"/>
          <w:szCs w:val="16"/>
        </w:rPr>
        <w:softHyphen/>
        <w:t>лесным, лыжным или поплавковым шасси и с моторами "Аргус" или "Австро-Даймлер" мощностью 120 л.с. каждый, способных находиться в воздухе в течение 6 часов. Сто</w:t>
      </w:r>
      <w:r w:rsidR="00EF05DA" w:rsidRPr="00405303">
        <w:rPr>
          <w:bCs/>
          <w:color w:val="002060"/>
          <w:sz w:val="16"/>
          <w:szCs w:val="16"/>
        </w:rPr>
        <w:softHyphen/>
        <w:t>имость такой машины расчитывалась следующим образом: 10.000 руб. за сам самолет, плюс 1.100 руб. за крылья увеличенного размаха и топливные баки, 1.500 руб. за ра</w:t>
      </w:r>
      <w:r w:rsidR="00EF05DA" w:rsidRPr="00405303">
        <w:rPr>
          <w:bCs/>
          <w:color w:val="002060"/>
          <w:sz w:val="16"/>
          <w:szCs w:val="16"/>
        </w:rPr>
        <w:softHyphen/>
        <w:t>диаторы и трубопроводы, 3.500 руб. за трехпоплавковое шасси, 210 руб. за воз</w:t>
      </w:r>
      <w:r w:rsidR="00EF05DA" w:rsidRPr="00405303">
        <w:rPr>
          <w:bCs/>
          <w:color w:val="002060"/>
          <w:sz w:val="16"/>
          <w:szCs w:val="16"/>
        </w:rPr>
        <w:softHyphen/>
        <w:t>душный винт диаметром 280 мм, окованный медью, 310 руб. за лыжи и т.д.; общая цена составляла 17.490 руб. Оба "Альбатроса" на колесном шасси могли быть изготовлены за 3 недели, а их испытания — выполнены пилотом фирмы. Также говорилось, что даль</w:t>
      </w:r>
      <w:r w:rsidR="00EF05DA" w:rsidRPr="00405303">
        <w:rPr>
          <w:bCs/>
          <w:color w:val="002060"/>
          <w:sz w:val="16"/>
          <w:szCs w:val="16"/>
        </w:rPr>
        <w:softHyphen/>
        <w:t>ность действия колесного или лыжного варианта самолета равнялась 1200 км, а поплавко</w:t>
      </w:r>
      <w:r w:rsidR="00EF05DA" w:rsidRPr="00405303">
        <w:rPr>
          <w:bCs/>
          <w:color w:val="002060"/>
          <w:sz w:val="16"/>
          <w:szCs w:val="16"/>
        </w:rPr>
        <w:softHyphen/>
        <w:t>вого — только 700 км.</w:t>
      </w:r>
    </w:p>
    <w:p w14:paraId="1B61138C" w14:textId="06DF51BB" w:rsidR="00450DD3" w:rsidRPr="00405303" w:rsidRDefault="00EF05DA" w:rsidP="00C15251">
      <w:pPr>
        <w:shd w:val="clear" w:color="auto" w:fill="FFFFFF"/>
        <w:jc w:val="both"/>
        <w:rPr>
          <w:bCs/>
          <w:color w:val="002060"/>
          <w:sz w:val="16"/>
          <w:szCs w:val="16"/>
        </w:rPr>
      </w:pPr>
      <w:r w:rsidRPr="00405303">
        <w:rPr>
          <w:bCs/>
          <w:color w:val="002060"/>
          <w:sz w:val="16"/>
          <w:szCs w:val="16"/>
        </w:rPr>
        <w:t>В целом проект приняли, но представители Морского ведомства настаивали на том, что</w:t>
      </w:r>
      <w:r w:rsidRPr="00405303">
        <w:rPr>
          <w:bCs/>
          <w:color w:val="002060"/>
          <w:sz w:val="16"/>
          <w:szCs w:val="16"/>
        </w:rPr>
        <w:softHyphen/>
        <w:t>бы компания оснастила аэропланы поплавками, доставила их в Батум и там сдала в казну. Это условие стало камнем преткновения в дальнейших переговорах, т.к. фирма не желала работать в Батуме, соглашаясь, однако, опробовать машины на колесном шасси в Петрог</w:t>
      </w:r>
      <w:r w:rsidRPr="00405303">
        <w:rPr>
          <w:bCs/>
          <w:color w:val="002060"/>
          <w:sz w:val="16"/>
          <w:szCs w:val="16"/>
        </w:rPr>
        <w:softHyphen/>
        <w:t>раде, а на поплавковом — в Севастополе. 4 февраля Авиационный комитет Черноморского флота одобрил это предложение и рекомендовал дать Лебедеву официальный контракт. Не</w:t>
      </w:r>
      <w:r w:rsidRPr="00405303">
        <w:rPr>
          <w:bCs/>
          <w:color w:val="002060"/>
          <w:sz w:val="16"/>
          <w:szCs w:val="16"/>
        </w:rPr>
        <w:softHyphen/>
        <w:t>ожиданно на следующий день компания представила в МГШ несколько измененный план строительства "Альбатросов", каждый из которых должен был теперь оснащаться двигателем "Санбим" 150 л.с. и стоить 16.450 руб., включая цену пропеллера, моторной установки и испытаний в Севастополе, плюс 8.890 руб. за комплект запасных частей и поплавков. Из</w:t>
      </w:r>
      <w:r w:rsidRPr="00405303">
        <w:rPr>
          <w:bCs/>
          <w:color w:val="002060"/>
          <w:sz w:val="16"/>
          <w:szCs w:val="16"/>
        </w:rPr>
        <w:softHyphen/>
        <w:t>готовление должно было занять 9 недель, а 150-сильные "Санбимы" поставлялись бы заказ</w:t>
      </w:r>
      <w:r w:rsidRPr="00405303">
        <w:rPr>
          <w:bCs/>
          <w:color w:val="002060"/>
          <w:sz w:val="16"/>
          <w:szCs w:val="16"/>
        </w:rPr>
        <w:softHyphen/>
        <w:t>чиком. Все эти пункты "прижились" и устное соглашение между партнерами последовало в середине февраля</w:t>
      </w:r>
      <w:r w:rsidR="00450DD3" w:rsidRPr="00405303">
        <w:rPr>
          <w:bCs/>
          <w:color w:val="002060"/>
          <w:sz w:val="16"/>
          <w:szCs w:val="16"/>
        </w:rPr>
        <w:t xml:space="preserve"> (2843).</w:t>
      </w:r>
    </w:p>
    <w:p w14:paraId="7637993A" w14:textId="77777777" w:rsidR="00450DD3" w:rsidRPr="00405303" w:rsidRDefault="00450DD3" w:rsidP="00C15251">
      <w:pPr>
        <w:shd w:val="clear" w:color="auto" w:fill="FFFFFF"/>
        <w:jc w:val="both"/>
        <w:rPr>
          <w:bCs/>
          <w:color w:val="002060"/>
          <w:sz w:val="16"/>
          <w:szCs w:val="16"/>
        </w:rPr>
      </w:pPr>
    </w:p>
    <w:bookmarkEnd w:id="80"/>
    <w:p w14:paraId="29DEBB7C" w14:textId="799A4D78" w:rsidR="00C6450A" w:rsidRPr="00405303" w:rsidRDefault="00C6450A" w:rsidP="00C6450A">
      <w:pPr>
        <w:shd w:val="clear" w:color="auto" w:fill="FFFFFF"/>
        <w:jc w:val="both"/>
        <w:rPr>
          <w:bCs/>
          <w:i/>
          <w:color w:val="002060"/>
          <w:sz w:val="16"/>
          <w:szCs w:val="16"/>
        </w:rPr>
      </w:pPr>
      <w:r>
        <w:rPr>
          <w:bCs/>
          <w:i/>
          <w:color w:val="002060"/>
          <w:sz w:val="16"/>
          <w:szCs w:val="16"/>
        </w:rPr>
        <w:t>Авиация и воздухоплавание Франции</w:t>
      </w:r>
      <w:r w:rsidRPr="00405303">
        <w:rPr>
          <w:bCs/>
          <w:i/>
          <w:color w:val="002060"/>
          <w:sz w:val="16"/>
          <w:szCs w:val="16"/>
        </w:rPr>
        <w:t>:</w:t>
      </w:r>
    </w:p>
    <w:p w14:paraId="60CB3A71" w14:textId="77777777" w:rsidR="00C6450A" w:rsidRPr="00405303" w:rsidRDefault="00C6450A" w:rsidP="00C6450A">
      <w:pPr>
        <w:shd w:val="clear" w:color="auto" w:fill="FFFFFF"/>
        <w:jc w:val="both"/>
        <w:rPr>
          <w:bCs/>
          <w:i/>
          <w:color w:val="002060"/>
          <w:sz w:val="16"/>
          <w:szCs w:val="16"/>
        </w:rPr>
      </w:pPr>
    </w:p>
    <w:p w14:paraId="4C07FEAB" w14:textId="77777777" w:rsidR="00C6450A" w:rsidRPr="00CF03EC" w:rsidRDefault="00C6450A" w:rsidP="00C6450A">
      <w:pPr>
        <w:jc w:val="both"/>
        <w:rPr>
          <w:color w:val="0070C0"/>
          <w:sz w:val="16"/>
          <w:szCs w:val="16"/>
        </w:rPr>
      </w:pPr>
      <w:r w:rsidRPr="00CF03EC">
        <w:rPr>
          <w:color w:val="0070C0"/>
          <w:sz w:val="16"/>
          <w:szCs w:val="16"/>
        </w:rPr>
        <w:t>26 марта (8 апреля) 1915 г.  Ролан Гарро провел сразу три удачных поединка, каждый раз отгоняя огнем вражеских разведчиков от своих позиций, причем один из них не просто ушел, а «полетел кувырком». Но поскольку никто не видел собственно падения противника, победу не зачли. Зато с земли наблюдали, как 14 апреля Гарро атаковал двух «Авиатиков» и сбил одного из них. Утром 18 апреля он провел еще один бой, увеличив свой счет до трех воздушных побед (25772).</w:t>
      </w:r>
    </w:p>
    <w:p w14:paraId="69C1C79A" w14:textId="77777777" w:rsidR="00C6450A" w:rsidRPr="00CF03EC" w:rsidRDefault="00C6450A" w:rsidP="00C6450A">
      <w:pPr>
        <w:jc w:val="both"/>
        <w:rPr>
          <w:color w:val="0070C0"/>
          <w:sz w:val="16"/>
          <w:szCs w:val="16"/>
        </w:rPr>
      </w:pPr>
    </w:p>
    <w:p w14:paraId="34DB6259" w14:textId="72681E08" w:rsidR="00652CA7" w:rsidRPr="00405303" w:rsidRDefault="00652CA7" w:rsidP="00C15251">
      <w:pPr>
        <w:shd w:val="clear" w:color="auto" w:fill="FFFFFF"/>
        <w:jc w:val="both"/>
        <w:rPr>
          <w:bCs/>
          <w:i/>
          <w:color w:val="002060"/>
          <w:sz w:val="16"/>
          <w:szCs w:val="16"/>
        </w:rPr>
      </w:pPr>
      <w:r w:rsidRPr="00405303">
        <w:rPr>
          <w:bCs/>
          <w:i/>
          <w:color w:val="002060"/>
          <w:sz w:val="16"/>
          <w:szCs w:val="16"/>
        </w:rPr>
        <w:t>Самолетостроение:</w:t>
      </w:r>
    </w:p>
    <w:p w14:paraId="6C7909D8" w14:textId="77777777" w:rsidR="00652CA7" w:rsidRPr="00405303" w:rsidRDefault="00652CA7" w:rsidP="00C15251">
      <w:pPr>
        <w:shd w:val="clear" w:color="auto" w:fill="FFFFFF"/>
        <w:jc w:val="both"/>
        <w:rPr>
          <w:bCs/>
          <w:i/>
          <w:color w:val="002060"/>
          <w:sz w:val="16"/>
          <w:szCs w:val="16"/>
        </w:rPr>
      </w:pPr>
    </w:p>
    <w:p w14:paraId="2E6CBEB6" w14:textId="00E0766D" w:rsidR="00652CA7" w:rsidRPr="00405303" w:rsidRDefault="00652CA7" w:rsidP="00C15251">
      <w:pPr>
        <w:jc w:val="both"/>
        <w:rPr>
          <w:bCs/>
          <w:color w:val="002060"/>
          <w:sz w:val="16"/>
          <w:szCs w:val="16"/>
          <w:lang w:bidi="en-US"/>
        </w:rPr>
      </w:pPr>
      <w:r w:rsidRPr="00405303">
        <w:rPr>
          <w:bCs/>
          <w:color w:val="002060"/>
          <w:sz w:val="16"/>
          <w:szCs w:val="16"/>
          <w:lang w:bidi="en-US"/>
        </w:rPr>
        <w:t xml:space="preserve">27 марта (9 апреля) 1915 г. были размещены заказы Главного военно-технического управления заказы на 335 самолетов и выданы Анатре на пятнадцать </w:t>
      </w:r>
      <w:r w:rsidRPr="00405303">
        <w:rPr>
          <w:bCs/>
          <w:color w:val="002060"/>
          <w:sz w:val="16"/>
          <w:szCs w:val="16"/>
          <w:lang w:val="en-US" w:bidi="en-US"/>
        </w:rPr>
        <w:t>Farman</w:t>
      </w:r>
      <w:r w:rsidRPr="00405303">
        <w:rPr>
          <w:bCs/>
          <w:color w:val="002060"/>
          <w:sz w:val="16"/>
          <w:szCs w:val="16"/>
          <w:lang w:bidi="en-US"/>
        </w:rPr>
        <w:t xml:space="preserve"> 22 и сорок </w:t>
      </w:r>
      <w:r w:rsidRPr="00405303">
        <w:rPr>
          <w:bCs/>
          <w:color w:val="002060"/>
          <w:sz w:val="16"/>
          <w:szCs w:val="16"/>
          <w:lang w:val="en-US" w:bidi="en-US"/>
        </w:rPr>
        <w:t>Nieuports</w:t>
      </w:r>
      <w:r w:rsidRPr="00405303">
        <w:rPr>
          <w:bCs/>
          <w:color w:val="002060"/>
          <w:sz w:val="16"/>
          <w:szCs w:val="16"/>
          <w:lang w:bidi="en-US"/>
        </w:rPr>
        <w:t xml:space="preserve">; Щетинину на восемьдесят Ньюпоров; </w:t>
      </w:r>
      <w:r w:rsidRPr="00405303">
        <w:rPr>
          <w:bCs/>
          <w:color w:val="002060"/>
          <w:sz w:val="16"/>
          <w:szCs w:val="16"/>
          <w:lang w:val="en-US" w:bidi="en-US"/>
        </w:rPr>
        <w:t>Duks</w:t>
      </w:r>
      <w:r w:rsidRPr="00405303">
        <w:rPr>
          <w:bCs/>
          <w:color w:val="002060"/>
          <w:sz w:val="16"/>
          <w:szCs w:val="16"/>
          <w:lang w:bidi="en-US"/>
        </w:rPr>
        <w:t xml:space="preserve"> на тринадцать </w:t>
      </w:r>
      <w:r w:rsidRPr="00405303">
        <w:rPr>
          <w:bCs/>
          <w:color w:val="002060"/>
          <w:sz w:val="16"/>
          <w:szCs w:val="16"/>
          <w:lang w:val="en-US" w:bidi="en-US"/>
        </w:rPr>
        <w:t>Morane</w:t>
      </w:r>
      <w:r w:rsidRPr="00405303">
        <w:rPr>
          <w:bCs/>
          <w:color w:val="002060"/>
          <w:sz w:val="16"/>
          <w:szCs w:val="16"/>
          <w:lang w:bidi="en-US"/>
        </w:rPr>
        <w:t xml:space="preserve"> </w:t>
      </w:r>
      <w:r w:rsidRPr="00405303">
        <w:rPr>
          <w:bCs/>
          <w:color w:val="002060"/>
          <w:sz w:val="16"/>
          <w:szCs w:val="16"/>
          <w:lang w:val="en-US" w:bidi="en-US"/>
        </w:rPr>
        <w:t>Saulniers</w:t>
      </w:r>
      <w:r w:rsidRPr="00405303">
        <w:rPr>
          <w:bCs/>
          <w:color w:val="002060"/>
          <w:sz w:val="16"/>
          <w:szCs w:val="16"/>
          <w:lang w:bidi="en-US"/>
        </w:rPr>
        <w:t xml:space="preserve">; Лебедеву за 160 </w:t>
      </w:r>
      <w:r w:rsidRPr="00405303">
        <w:rPr>
          <w:bCs/>
          <w:color w:val="002060"/>
          <w:sz w:val="16"/>
          <w:szCs w:val="16"/>
          <w:lang w:val="en-US" w:bidi="en-US"/>
        </w:rPr>
        <w:t>Morane</w:t>
      </w:r>
      <w:r w:rsidRPr="00405303">
        <w:rPr>
          <w:bCs/>
          <w:color w:val="002060"/>
          <w:sz w:val="16"/>
          <w:szCs w:val="16"/>
          <w:lang w:bidi="en-US"/>
        </w:rPr>
        <w:t xml:space="preserve"> </w:t>
      </w:r>
      <w:r w:rsidRPr="00405303">
        <w:rPr>
          <w:bCs/>
          <w:color w:val="002060"/>
          <w:sz w:val="16"/>
          <w:szCs w:val="16"/>
          <w:lang w:val="en-US" w:bidi="en-US"/>
        </w:rPr>
        <w:t>Saulniers</w:t>
      </w:r>
      <w:r w:rsidRPr="00405303">
        <w:rPr>
          <w:bCs/>
          <w:color w:val="002060"/>
          <w:sz w:val="16"/>
          <w:szCs w:val="16"/>
          <w:lang w:bidi="en-US"/>
        </w:rPr>
        <w:t>; и Слюсаренко за двенадцать Депердюссинов и пятнадцать Фарманов 22 с поставкой в период с 9 июня по 8 октября 1915 г. (23525).</w:t>
      </w:r>
    </w:p>
    <w:p w14:paraId="1CDD29B5" w14:textId="77777777" w:rsidR="00652CA7" w:rsidRPr="00405303" w:rsidRDefault="00652CA7" w:rsidP="00C15251">
      <w:pPr>
        <w:jc w:val="both"/>
        <w:rPr>
          <w:bCs/>
          <w:color w:val="002060"/>
          <w:sz w:val="16"/>
          <w:szCs w:val="16"/>
        </w:rPr>
      </w:pPr>
    </w:p>
    <w:p w14:paraId="3EADB312" w14:textId="77777777" w:rsidR="00AC74DB" w:rsidRPr="00405303" w:rsidRDefault="00AC74DB" w:rsidP="00AC74DB">
      <w:pPr>
        <w:jc w:val="both"/>
        <w:rPr>
          <w:color w:val="0070C0"/>
          <w:sz w:val="16"/>
          <w:szCs w:val="16"/>
        </w:rPr>
      </w:pPr>
      <w:r w:rsidRPr="00405303">
        <w:rPr>
          <w:color w:val="0070C0"/>
          <w:sz w:val="16"/>
          <w:szCs w:val="16"/>
        </w:rPr>
        <w:t>27 марта (9 апреля) 1915 года</w:t>
      </w:r>
      <w:r w:rsidRPr="00405303">
        <w:rPr>
          <w:rFonts w:eastAsia="Cambria"/>
          <w:color w:val="0070C0"/>
          <w:sz w:val="16"/>
          <w:szCs w:val="16"/>
        </w:rPr>
        <w:t xml:space="preserve"> был наряд ГВТУ на аэропланы</w:t>
      </w:r>
      <w:r w:rsidRPr="00405303">
        <w:rPr>
          <w:color w:val="0070C0"/>
          <w:sz w:val="16"/>
          <w:szCs w:val="16"/>
        </w:rPr>
        <w:t>.</w:t>
      </w:r>
    </w:p>
    <w:tbl>
      <w:tblPr>
        <w:tblOverlap w:val="never"/>
        <w:tblW w:w="0" w:type="auto"/>
        <w:tblLayout w:type="fixed"/>
        <w:tblCellMar>
          <w:left w:w="10" w:type="dxa"/>
          <w:right w:w="10" w:type="dxa"/>
        </w:tblCellMar>
        <w:tblLook w:val="0000" w:firstRow="0" w:lastRow="0" w:firstColumn="0" w:lastColumn="0" w:noHBand="0" w:noVBand="0"/>
      </w:tblPr>
      <w:tblGrid>
        <w:gridCol w:w="2606"/>
        <w:gridCol w:w="2506"/>
        <w:gridCol w:w="1056"/>
      </w:tblGrid>
      <w:tr w:rsidR="00AC74DB" w:rsidRPr="00405303" w14:paraId="3B076488" w14:textId="77777777" w:rsidTr="00BD0BCB">
        <w:trPr>
          <w:trHeight w:hRule="exact" w:val="566"/>
        </w:trPr>
        <w:tc>
          <w:tcPr>
            <w:tcW w:w="2606" w:type="dxa"/>
            <w:tcBorders>
              <w:top w:val="single" w:sz="4" w:space="0" w:color="auto"/>
            </w:tcBorders>
            <w:shd w:val="clear" w:color="auto" w:fill="FFFFFF"/>
            <w:vAlign w:val="center"/>
          </w:tcPr>
          <w:p w14:paraId="28BB9F38" w14:textId="77777777" w:rsidR="00AC74DB" w:rsidRPr="00405303" w:rsidRDefault="00AC74DB" w:rsidP="00BD0BCB">
            <w:pPr>
              <w:jc w:val="both"/>
              <w:rPr>
                <w:color w:val="0070C0"/>
                <w:sz w:val="16"/>
                <w:szCs w:val="16"/>
              </w:rPr>
            </w:pPr>
            <w:r w:rsidRPr="00405303">
              <w:rPr>
                <w:color w:val="0070C0"/>
                <w:sz w:val="16"/>
                <w:szCs w:val="16"/>
              </w:rPr>
              <w:t>Завод.</w:t>
            </w:r>
          </w:p>
        </w:tc>
        <w:tc>
          <w:tcPr>
            <w:tcW w:w="2506" w:type="dxa"/>
            <w:tcBorders>
              <w:top w:val="single" w:sz="4" w:space="0" w:color="auto"/>
              <w:left w:val="single" w:sz="4" w:space="0" w:color="auto"/>
            </w:tcBorders>
            <w:shd w:val="clear" w:color="auto" w:fill="FFFFFF"/>
            <w:vAlign w:val="center"/>
          </w:tcPr>
          <w:p w14:paraId="40D7ED7A" w14:textId="77777777" w:rsidR="00AC74DB" w:rsidRPr="00405303" w:rsidRDefault="00AC74DB" w:rsidP="00BD0BCB">
            <w:pPr>
              <w:jc w:val="both"/>
              <w:rPr>
                <w:color w:val="0070C0"/>
                <w:sz w:val="16"/>
                <w:szCs w:val="16"/>
              </w:rPr>
            </w:pPr>
            <w:r w:rsidRPr="00405303">
              <w:rPr>
                <w:color w:val="0070C0"/>
                <w:sz w:val="16"/>
                <w:szCs w:val="16"/>
              </w:rPr>
              <w:t>Система.</w:t>
            </w:r>
          </w:p>
        </w:tc>
        <w:tc>
          <w:tcPr>
            <w:tcW w:w="1056" w:type="dxa"/>
            <w:tcBorders>
              <w:top w:val="single" w:sz="4" w:space="0" w:color="auto"/>
              <w:left w:val="single" w:sz="4" w:space="0" w:color="auto"/>
            </w:tcBorders>
            <w:shd w:val="clear" w:color="auto" w:fill="FFFFFF"/>
            <w:vAlign w:val="center"/>
          </w:tcPr>
          <w:p w14:paraId="36BE3BC2" w14:textId="77777777" w:rsidR="00AC74DB" w:rsidRPr="00405303" w:rsidRDefault="00AC74DB" w:rsidP="00BD0BCB">
            <w:pPr>
              <w:jc w:val="both"/>
              <w:rPr>
                <w:color w:val="0070C0"/>
                <w:sz w:val="16"/>
                <w:szCs w:val="16"/>
              </w:rPr>
            </w:pPr>
            <w:r w:rsidRPr="00405303">
              <w:rPr>
                <w:color w:val="0070C0"/>
                <w:sz w:val="16"/>
                <w:szCs w:val="16"/>
              </w:rPr>
              <w:t>Количество.</w:t>
            </w:r>
          </w:p>
        </w:tc>
      </w:tr>
      <w:tr w:rsidR="00AC74DB" w:rsidRPr="00405303" w14:paraId="09CA1628" w14:textId="77777777" w:rsidTr="00BD0BCB">
        <w:trPr>
          <w:trHeight w:hRule="exact" w:val="691"/>
        </w:trPr>
        <w:tc>
          <w:tcPr>
            <w:tcW w:w="2606" w:type="dxa"/>
            <w:tcBorders>
              <w:top w:val="single" w:sz="4" w:space="0" w:color="auto"/>
            </w:tcBorders>
            <w:shd w:val="clear" w:color="auto" w:fill="FFFFFF"/>
            <w:vAlign w:val="bottom"/>
          </w:tcPr>
          <w:p w14:paraId="25A89431" w14:textId="77777777" w:rsidR="00AC74DB" w:rsidRPr="00405303" w:rsidRDefault="00AC74DB" w:rsidP="00BD0BCB">
            <w:pPr>
              <w:jc w:val="both"/>
              <w:rPr>
                <w:color w:val="0070C0"/>
                <w:sz w:val="16"/>
                <w:szCs w:val="16"/>
              </w:rPr>
            </w:pPr>
            <w:r w:rsidRPr="00405303">
              <w:rPr>
                <w:color w:val="0070C0"/>
                <w:sz w:val="16"/>
                <w:szCs w:val="16"/>
              </w:rPr>
              <w:t xml:space="preserve">Анатра </w:t>
            </w:r>
            <w:r w:rsidRPr="00405303">
              <w:rPr>
                <w:color w:val="0070C0"/>
                <w:sz w:val="16"/>
                <w:szCs w:val="16"/>
              </w:rPr>
              <w:tab/>
            </w:r>
            <w:r w:rsidRPr="00405303">
              <w:rPr>
                <w:color w:val="0070C0"/>
                <w:sz w:val="16"/>
                <w:szCs w:val="16"/>
              </w:rPr>
              <w:tab/>
            </w:r>
          </w:p>
        </w:tc>
        <w:tc>
          <w:tcPr>
            <w:tcW w:w="2506" w:type="dxa"/>
            <w:tcBorders>
              <w:top w:val="single" w:sz="4" w:space="0" w:color="auto"/>
              <w:left w:val="single" w:sz="4" w:space="0" w:color="auto"/>
            </w:tcBorders>
            <w:shd w:val="clear" w:color="auto" w:fill="FFFFFF"/>
            <w:vAlign w:val="bottom"/>
          </w:tcPr>
          <w:p w14:paraId="4F49ED06" w14:textId="77777777" w:rsidR="00AC74DB" w:rsidRPr="00405303" w:rsidRDefault="00AC74DB" w:rsidP="00BD0BCB">
            <w:pPr>
              <w:jc w:val="both"/>
              <w:rPr>
                <w:color w:val="0070C0"/>
                <w:sz w:val="16"/>
                <w:szCs w:val="16"/>
              </w:rPr>
            </w:pPr>
            <w:r w:rsidRPr="00405303">
              <w:rPr>
                <w:color w:val="0070C0"/>
                <w:sz w:val="16"/>
                <w:szCs w:val="16"/>
              </w:rPr>
              <w:t>1 Фарман XXII</w:t>
            </w:r>
            <w:r w:rsidRPr="00405303">
              <w:rPr>
                <w:color w:val="0070C0"/>
                <w:sz w:val="16"/>
                <w:szCs w:val="16"/>
              </w:rPr>
              <w:tab/>
            </w:r>
          </w:p>
          <w:p w14:paraId="6216D51F" w14:textId="77777777" w:rsidR="00AC74DB" w:rsidRPr="00405303" w:rsidRDefault="00AC74DB" w:rsidP="00BD0BCB">
            <w:pPr>
              <w:jc w:val="both"/>
              <w:rPr>
                <w:color w:val="0070C0"/>
                <w:sz w:val="16"/>
                <w:szCs w:val="16"/>
              </w:rPr>
            </w:pPr>
            <w:r w:rsidRPr="00405303">
              <w:rPr>
                <w:color w:val="0070C0"/>
                <w:sz w:val="16"/>
                <w:szCs w:val="16"/>
              </w:rPr>
              <w:t xml:space="preserve">I Ньюпор </w:t>
            </w:r>
            <w:r w:rsidRPr="00405303">
              <w:rPr>
                <w:color w:val="0070C0"/>
                <w:sz w:val="16"/>
                <w:szCs w:val="16"/>
              </w:rPr>
              <w:tab/>
            </w:r>
          </w:p>
        </w:tc>
        <w:tc>
          <w:tcPr>
            <w:tcW w:w="1056" w:type="dxa"/>
            <w:tcBorders>
              <w:top w:val="single" w:sz="4" w:space="0" w:color="auto"/>
              <w:left w:val="single" w:sz="4" w:space="0" w:color="auto"/>
            </w:tcBorders>
            <w:shd w:val="clear" w:color="auto" w:fill="FFFFFF"/>
            <w:vAlign w:val="bottom"/>
          </w:tcPr>
          <w:p w14:paraId="20FAED37" w14:textId="77777777" w:rsidR="00AC74DB" w:rsidRPr="00405303" w:rsidRDefault="00AC74DB" w:rsidP="00BD0BCB">
            <w:pPr>
              <w:jc w:val="both"/>
              <w:rPr>
                <w:color w:val="0070C0"/>
                <w:sz w:val="16"/>
                <w:szCs w:val="16"/>
              </w:rPr>
            </w:pPr>
            <w:r w:rsidRPr="00405303">
              <w:rPr>
                <w:color w:val="0070C0"/>
                <w:sz w:val="16"/>
                <w:szCs w:val="16"/>
              </w:rPr>
              <w:t>15</w:t>
            </w:r>
          </w:p>
          <w:p w14:paraId="556B207C" w14:textId="77777777" w:rsidR="00AC74DB" w:rsidRPr="00405303" w:rsidRDefault="00AC74DB" w:rsidP="00BD0BCB">
            <w:pPr>
              <w:jc w:val="both"/>
              <w:rPr>
                <w:color w:val="0070C0"/>
                <w:sz w:val="16"/>
                <w:szCs w:val="16"/>
              </w:rPr>
            </w:pPr>
            <w:r w:rsidRPr="00405303">
              <w:rPr>
                <w:color w:val="0070C0"/>
                <w:sz w:val="16"/>
                <w:szCs w:val="16"/>
              </w:rPr>
              <w:t>40</w:t>
            </w:r>
          </w:p>
        </w:tc>
      </w:tr>
      <w:tr w:rsidR="00AC74DB" w:rsidRPr="00405303" w14:paraId="031965D2" w14:textId="77777777" w:rsidTr="00BD0BCB">
        <w:trPr>
          <w:trHeight w:hRule="exact" w:val="178"/>
        </w:trPr>
        <w:tc>
          <w:tcPr>
            <w:tcW w:w="2606" w:type="dxa"/>
            <w:shd w:val="clear" w:color="auto" w:fill="FFFFFF"/>
            <w:vAlign w:val="bottom"/>
          </w:tcPr>
          <w:p w14:paraId="28C0BF98" w14:textId="77777777" w:rsidR="00AC74DB" w:rsidRPr="00405303" w:rsidRDefault="00AC74DB" w:rsidP="00BD0BCB">
            <w:pPr>
              <w:jc w:val="both"/>
              <w:rPr>
                <w:color w:val="0070C0"/>
                <w:sz w:val="16"/>
                <w:szCs w:val="16"/>
              </w:rPr>
            </w:pPr>
            <w:r w:rsidRPr="00405303">
              <w:rPr>
                <w:color w:val="0070C0"/>
                <w:sz w:val="16"/>
                <w:szCs w:val="16"/>
              </w:rPr>
              <w:t xml:space="preserve">Щетинин </w:t>
            </w:r>
            <w:r w:rsidRPr="00405303">
              <w:rPr>
                <w:color w:val="0070C0"/>
                <w:sz w:val="16"/>
                <w:szCs w:val="16"/>
              </w:rPr>
              <w:tab/>
            </w:r>
            <w:r w:rsidRPr="00405303">
              <w:rPr>
                <w:color w:val="0070C0"/>
                <w:sz w:val="16"/>
                <w:szCs w:val="16"/>
              </w:rPr>
              <w:tab/>
            </w:r>
          </w:p>
        </w:tc>
        <w:tc>
          <w:tcPr>
            <w:tcW w:w="2506" w:type="dxa"/>
            <w:tcBorders>
              <w:top w:val="single" w:sz="4" w:space="0" w:color="auto"/>
              <w:left w:val="single" w:sz="4" w:space="0" w:color="auto"/>
            </w:tcBorders>
            <w:shd w:val="clear" w:color="auto" w:fill="FFFFFF"/>
            <w:vAlign w:val="bottom"/>
          </w:tcPr>
          <w:p w14:paraId="0582F381" w14:textId="77777777" w:rsidR="00AC74DB" w:rsidRPr="00405303" w:rsidRDefault="00AC74DB" w:rsidP="00BD0BCB">
            <w:pPr>
              <w:jc w:val="both"/>
              <w:rPr>
                <w:color w:val="0070C0"/>
                <w:sz w:val="16"/>
                <w:szCs w:val="16"/>
              </w:rPr>
            </w:pPr>
            <w:r w:rsidRPr="00405303">
              <w:rPr>
                <w:color w:val="0070C0"/>
                <w:sz w:val="16"/>
                <w:szCs w:val="16"/>
              </w:rPr>
              <w:t>Ньюпор</w:t>
            </w:r>
            <w:r w:rsidRPr="00405303">
              <w:rPr>
                <w:color w:val="0070C0"/>
                <w:sz w:val="16"/>
                <w:szCs w:val="16"/>
              </w:rPr>
              <w:tab/>
            </w:r>
          </w:p>
        </w:tc>
        <w:tc>
          <w:tcPr>
            <w:tcW w:w="1056" w:type="dxa"/>
            <w:tcBorders>
              <w:left w:val="single" w:sz="4" w:space="0" w:color="auto"/>
            </w:tcBorders>
            <w:shd w:val="clear" w:color="auto" w:fill="FFFFFF"/>
            <w:vAlign w:val="bottom"/>
          </w:tcPr>
          <w:p w14:paraId="0BC441B5" w14:textId="77777777" w:rsidR="00AC74DB" w:rsidRPr="00405303" w:rsidRDefault="00AC74DB" w:rsidP="00BD0BCB">
            <w:pPr>
              <w:jc w:val="both"/>
              <w:rPr>
                <w:color w:val="0070C0"/>
                <w:sz w:val="16"/>
                <w:szCs w:val="16"/>
              </w:rPr>
            </w:pPr>
            <w:r w:rsidRPr="00405303">
              <w:rPr>
                <w:color w:val="0070C0"/>
                <w:sz w:val="16"/>
                <w:szCs w:val="16"/>
              </w:rPr>
              <w:t>80</w:t>
            </w:r>
          </w:p>
        </w:tc>
      </w:tr>
      <w:tr w:rsidR="00AC74DB" w:rsidRPr="00405303" w14:paraId="7B3DFD3F" w14:textId="77777777" w:rsidTr="00BD0BCB">
        <w:trPr>
          <w:trHeight w:hRule="exact" w:val="168"/>
        </w:trPr>
        <w:tc>
          <w:tcPr>
            <w:tcW w:w="2606" w:type="dxa"/>
            <w:tcBorders>
              <w:top w:val="single" w:sz="4" w:space="0" w:color="auto"/>
            </w:tcBorders>
            <w:shd w:val="clear" w:color="auto" w:fill="FFFFFF"/>
            <w:vAlign w:val="bottom"/>
          </w:tcPr>
          <w:p w14:paraId="0063CB16" w14:textId="77777777" w:rsidR="00AC74DB" w:rsidRPr="00405303" w:rsidRDefault="00AC74DB" w:rsidP="00BD0BCB">
            <w:pPr>
              <w:jc w:val="both"/>
              <w:rPr>
                <w:color w:val="0070C0"/>
                <w:sz w:val="16"/>
                <w:szCs w:val="16"/>
              </w:rPr>
            </w:pPr>
            <w:r w:rsidRPr="00405303">
              <w:rPr>
                <w:color w:val="0070C0"/>
                <w:sz w:val="16"/>
                <w:szCs w:val="16"/>
              </w:rPr>
              <w:t>Дуке</w:t>
            </w:r>
            <w:r w:rsidRPr="00405303">
              <w:rPr>
                <w:color w:val="0070C0"/>
                <w:sz w:val="16"/>
                <w:szCs w:val="16"/>
              </w:rPr>
              <w:tab/>
            </w:r>
          </w:p>
        </w:tc>
        <w:tc>
          <w:tcPr>
            <w:tcW w:w="2506" w:type="dxa"/>
            <w:tcBorders>
              <w:top w:val="single" w:sz="4" w:space="0" w:color="auto"/>
              <w:left w:val="single" w:sz="4" w:space="0" w:color="auto"/>
            </w:tcBorders>
            <w:shd w:val="clear" w:color="auto" w:fill="FFFFFF"/>
            <w:vAlign w:val="bottom"/>
          </w:tcPr>
          <w:p w14:paraId="0F72BB67" w14:textId="77777777" w:rsidR="00AC74DB" w:rsidRPr="00405303" w:rsidRDefault="00AC74DB" w:rsidP="00BD0BCB">
            <w:pPr>
              <w:jc w:val="both"/>
              <w:rPr>
                <w:color w:val="0070C0"/>
                <w:sz w:val="16"/>
                <w:szCs w:val="16"/>
              </w:rPr>
            </w:pPr>
            <w:r w:rsidRPr="00405303">
              <w:rPr>
                <w:color w:val="0070C0"/>
                <w:sz w:val="16"/>
                <w:szCs w:val="16"/>
              </w:rPr>
              <w:t>Моран-Сольнье</w:t>
            </w:r>
            <w:r w:rsidRPr="00405303">
              <w:rPr>
                <w:color w:val="0070C0"/>
                <w:sz w:val="16"/>
                <w:szCs w:val="16"/>
              </w:rPr>
              <w:tab/>
            </w:r>
          </w:p>
        </w:tc>
        <w:tc>
          <w:tcPr>
            <w:tcW w:w="1056" w:type="dxa"/>
            <w:tcBorders>
              <w:left w:val="single" w:sz="4" w:space="0" w:color="auto"/>
            </w:tcBorders>
            <w:shd w:val="clear" w:color="auto" w:fill="FFFFFF"/>
            <w:vAlign w:val="bottom"/>
          </w:tcPr>
          <w:p w14:paraId="3F8C0F91" w14:textId="77777777" w:rsidR="00AC74DB" w:rsidRPr="00405303" w:rsidRDefault="00AC74DB" w:rsidP="00BD0BCB">
            <w:pPr>
              <w:jc w:val="both"/>
              <w:rPr>
                <w:color w:val="0070C0"/>
                <w:sz w:val="16"/>
                <w:szCs w:val="16"/>
              </w:rPr>
            </w:pPr>
            <w:r w:rsidRPr="00405303">
              <w:rPr>
                <w:color w:val="0070C0"/>
                <w:sz w:val="16"/>
                <w:szCs w:val="16"/>
              </w:rPr>
              <w:t>00</w:t>
            </w:r>
          </w:p>
        </w:tc>
      </w:tr>
      <w:tr w:rsidR="00AC74DB" w:rsidRPr="00405303" w14:paraId="27B1B5CE" w14:textId="77777777" w:rsidTr="00BD0BCB">
        <w:trPr>
          <w:trHeight w:hRule="exact" w:val="178"/>
        </w:trPr>
        <w:tc>
          <w:tcPr>
            <w:tcW w:w="2606" w:type="dxa"/>
            <w:tcBorders>
              <w:top w:val="single" w:sz="4" w:space="0" w:color="auto"/>
            </w:tcBorders>
            <w:shd w:val="clear" w:color="auto" w:fill="FFFFFF"/>
          </w:tcPr>
          <w:p w14:paraId="14295658" w14:textId="77777777" w:rsidR="00AC74DB" w:rsidRPr="00405303" w:rsidRDefault="00AC74DB" w:rsidP="00BD0BCB">
            <w:pPr>
              <w:jc w:val="both"/>
              <w:rPr>
                <w:color w:val="0070C0"/>
                <w:sz w:val="16"/>
                <w:szCs w:val="16"/>
              </w:rPr>
            </w:pPr>
            <w:r w:rsidRPr="00405303">
              <w:rPr>
                <w:color w:val="0070C0"/>
                <w:sz w:val="16"/>
                <w:szCs w:val="16"/>
              </w:rPr>
              <w:t>Лебедев</w:t>
            </w:r>
            <w:r w:rsidRPr="00405303">
              <w:rPr>
                <w:color w:val="0070C0"/>
                <w:sz w:val="16"/>
                <w:szCs w:val="16"/>
              </w:rPr>
              <w:tab/>
            </w:r>
            <w:r w:rsidRPr="00405303">
              <w:rPr>
                <w:color w:val="0070C0"/>
                <w:sz w:val="16"/>
                <w:szCs w:val="16"/>
              </w:rPr>
              <w:tab/>
            </w:r>
          </w:p>
        </w:tc>
        <w:tc>
          <w:tcPr>
            <w:tcW w:w="2506" w:type="dxa"/>
            <w:tcBorders>
              <w:top w:val="single" w:sz="4" w:space="0" w:color="auto"/>
              <w:left w:val="single" w:sz="4" w:space="0" w:color="auto"/>
            </w:tcBorders>
            <w:shd w:val="clear" w:color="auto" w:fill="FFFFFF"/>
          </w:tcPr>
          <w:p w14:paraId="10E23C92" w14:textId="77777777" w:rsidR="00AC74DB" w:rsidRPr="00405303" w:rsidRDefault="00AC74DB" w:rsidP="00BD0BCB">
            <w:pPr>
              <w:jc w:val="both"/>
              <w:rPr>
                <w:color w:val="0070C0"/>
                <w:sz w:val="16"/>
                <w:szCs w:val="16"/>
              </w:rPr>
            </w:pPr>
            <w:r w:rsidRPr="00405303">
              <w:rPr>
                <w:color w:val="0070C0"/>
                <w:sz w:val="16"/>
                <w:szCs w:val="16"/>
              </w:rPr>
              <w:t>Моран-Сольнье</w:t>
            </w:r>
            <w:r w:rsidRPr="00405303">
              <w:rPr>
                <w:color w:val="0070C0"/>
                <w:sz w:val="16"/>
                <w:szCs w:val="16"/>
              </w:rPr>
              <w:tab/>
            </w:r>
          </w:p>
        </w:tc>
        <w:tc>
          <w:tcPr>
            <w:tcW w:w="1056" w:type="dxa"/>
            <w:tcBorders>
              <w:left w:val="single" w:sz="4" w:space="0" w:color="auto"/>
            </w:tcBorders>
            <w:shd w:val="clear" w:color="auto" w:fill="FFFFFF"/>
          </w:tcPr>
          <w:p w14:paraId="523A7545" w14:textId="77777777" w:rsidR="00AC74DB" w:rsidRPr="00405303" w:rsidRDefault="00AC74DB" w:rsidP="00BD0BCB">
            <w:pPr>
              <w:jc w:val="both"/>
              <w:rPr>
                <w:color w:val="0070C0"/>
                <w:sz w:val="16"/>
                <w:szCs w:val="16"/>
              </w:rPr>
            </w:pPr>
            <w:r w:rsidRPr="00405303">
              <w:rPr>
                <w:color w:val="0070C0"/>
                <w:sz w:val="16"/>
                <w:szCs w:val="16"/>
              </w:rPr>
              <w:t>160</w:t>
            </w:r>
          </w:p>
        </w:tc>
      </w:tr>
      <w:tr w:rsidR="00AC74DB" w:rsidRPr="00405303" w14:paraId="3A78EFEF" w14:textId="77777777" w:rsidTr="00BD0BCB">
        <w:trPr>
          <w:trHeight w:hRule="exact" w:val="629"/>
        </w:trPr>
        <w:tc>
          <w:tcPr>
            <w:tcW w:w="2606" w:type="dxa"/>
            <w:tcBorders>
              <w:top w:val="single" w:sz="4" w:space="0" w:color="auto"/>
            </w:tcBorders>
            <w:shd w:val="clear" w:color="auto" w:fill="FFFFFF"/>
          </w:tcPr>
          <w:p w14:paraId="67985C3A" w14:textId="77777777" w:rsidR="00AC74DB" w:rsidRPr="00405303" w:rsidRDefault="00AC74DB" w:rsidP="00BD0BCB">
            <w:pPr>
              <w:jc w:val="both"/>
              <w:rPr>
                <w:color w:val="0070C0"/>
                <w:sz w:val="16"/>
                <w:szCs w:val="16"/>
              </w:rPr>
            </w:pPr>
            <w:r w:rsidRPr="00405303">
              <w:rPr>
                <w:color w:val="0070C0"/>
                <w:sz w:val="16"/>
                <w:szCs w:val="16"/>
              </w:rPr>
              <w:t>Сдюсарепко</w:t>
            </w:r>
            <w:r w:rsidRPr="00405303">
              <w:rPr>
                <w:color w:val="0070C0"/>
                <w:sz w:val="16"/>
                <w:szCs w:val="16"/>
              </w:rPr>
              <w:tab/>
            </w:r>
          </w:p>
        </w:tc>
        <w:tc>
          <w:tcPr>
            <w:tcW w:w="2506" w:type="dxa"/>
            <w:tcBorders>
              <w:top w:val="single" w:sz="4" w:space="0" w:color="auto"/>
              <w:left w:val="single" w:sz="4" w:space="0" w:color="auto"/>
            </w:tcBorders>
            <w:shd w:val="clear" w:color="auto" w:fill="FFFFFF"/>
          </w:tcPr>
          <w:p w14:paraId="5B170658" w14:textId="77777777" w:rsidR="00AC74DB" w:rsidRPr="00405303" w:rsidRDefault="00AC74DB" w:rsidP="00BD0BCB">
            <w:pPr>
              <w:jc w:val="both"/>
              <w:rPr>
                <w:color w:val="0070C0"/>
                <w:sz w:val="16"/>
                <w:szCs w:val="16"/>
              </w:rPr>
            </w:pPr>
            <w:r w:rsidRPr="00405303">
              <w:rPr>
                <w:color w:val="0070C0"/>
                <w:sz w:val="16"/>
                <w:szCs w:val="16"/>
              </w:rPr>
              <w:t>1 Депердюссен</w:t>
            </w:r>
            <w:r w:rsidRPr="00405303">
              <w:rPr>
                <w:color w:val="0070C0"/>
                <w:sz w:val="16"/>
                <w:szCs w:val="16"/>
              </w:rPr>
              <w:tab/>
            </w:r>
          </w:p>
          <w:p w14:paraId="1D5B3FAD" w14:textId="77777777" w:rsidR="00AC74DB" w:rsidRPr="00405303" w:rsidRDefault="00AC74DB" w:rsidP="00BD0BCB">
            <w:pPr>
              <w:jc w:val="both"/>
              <w:rPr>
                <w:color w:val="0070C0"/>
                <w:sz w:val="16"/>
                <w:szCs w:val="16"/>
              </w:rPr>
            </w:pPr>
            <w:r w:rsidRPr="00405303">
              <w:rPr>
                <w:color w:val="0070C0"/>
                <w:sz w:val="16"/>
                <w:szCs w:val="16"/>
              </w:rPr>
              <w:t>1 Фарман ХХП</w:t>
            </w:r>
            <w:r w:rsidRPr="00405303">
              <w:rPr>
                <w:color w:val="0070C0"/>
                <w:sz w:val="16"/>
                <w:szCs w:val="16"/>
              </w:rPr>
              <w:tab/>
            </w:r>
            <w:r w:rsidRPr="00405303">
              <w:rPr>
                <w:color w:val="0070C0"/>
                <w:sz w:val="16"/>
                <w:szCs w:val="16"/>
              </w:rPr>
              <w:tab/>
            </w:r>
          </w:p>
        </w:tc>
        <w:tc>
          <w:tcPr>
            <w:tcW w:w="1056" w:type="dxa"/>
            <w:tcBorders>
              <w:left w:val="single" w:sz="4" w:space="0" w:color="auto"/>
            </w:tcBorders>
            <w:shd w:val="clear" w:color="auto" w:fill="FFFFFF"/>
          </w:tcPr>
          <w:p w14:paraId="50A6A44B" w14:textId="77777777" w:rsidR="00AC74DB" w:rsidRPr="00405303" w:rsidRDefault="00AC74DB" w:rsidP="00BD0BCB">
            <w:pPr>
              <w:jc w:val="both"/>
              <w:rPr>
                <w:color w:val="0070C0"/>
                <w:sz w:val="16"/>
                <w:szCs w:val="16"/>
              </w:rPr>
            </w:pPr>
            <w:r w:rsidRPr="00405303">
              <w:rPr>
                <w:color w:val="0070C0"/>
                <w:sz w:val="16"/>
                <w:szCs w:val="16"/>
              </w:rPr>
              <w:t>12</w:t>
            </w:r>
          </w:p>
          <w:p w14:paraId="23F99FEC" w14:textId="77777777" w:rsidR="00AC74DB" w:rsidRPr="00405303" w:rsidRDefault="00AC74DB" w:rsidP="00BD0BCB">
            <w:pPr>
              <w:jc w:val="both"/>
              <w:rPr>
                <w:color w:val="0070C0"/>
                <w:sz w:val="16"/>
                <w:szCs w:val="16"/>
              </w:rPr>
            </w:pPr>
            <w:r w:rsidRPr="00405303">
              <w:rPr>
                <w:color w:val="0070C0"/>
                <w:sz w:val="16"/>
                <w:szCs w:val="16"/>
              </w:rPr>
              <w:t>15</w:t>
            </w:r>
          </w:p>
        </w:tc>
      </w:tr>
    </w:tbl>
    <w:p w14:paraId="4C997D70" w14:textId="77777777" w:rsidR="00AC74DB" w:rsidRPr="00405303" w:rsidRDefault="00AC74DB" w:rsidP="00AC74DB">
      <w:pPr>
        <w:jc w:val="both"/>
        <w:rPr>
          <w:color w:val="0070C0"/>
          <w:sz w:val="16"/>
          <w:szCs w:val="16"/>
        </w:rPr>
      </w:pPr>
      <w:r w:rsidRPr="00405303">
        <w:rPr>
          <w:color w:val="0070C0"/>
          <w:sz w:val="16"/>
          <w:szCs w:val="16"/>
        </w:rPr>
        <w:t>Всего по наряду 27 марта 1915 года заказано была 3^2 (282) аэроплана, при чем для поставки были назначены раз</w:t>
      </w:r>
      <w:r w:rsidRPr="00405303">
        <w:rPr>
          <w:color w:val="0070C0"/>
          <w:sz w:val="16"/>
          <w:szCs w:val="16"/>
        </w:rPr>
        <w:softHyphen/>
        <w:t>личные сроки, с 27 мая по 26 сентября 1915 года (24923).</w:t>
      </w:r>
    </w:p>
    <w:p w14:paraId="376E14D2" w14:textId="77777777" w:rsidR="00AC74DB" w:rsidRPr="00405303" w:rsidRDefault="00AC74DB" w:rsidP="00AC74DB">
      <w:pPr>
        <w:jc w:val="both"/>
        <w:rPr>
          <w:color w:val="0070C0"/>
          <w:sz w:val="16"/>
          <w:szCs w:val="16"/>
        </w:rPr>
      </w:pPr>
    </w:p>
    <w:p w14:paraId="16CCF57E" w14:textId="5F58CB38" w:rsidR="00B7030F" w:rsidRPr="00405303" w:rsidRDefault="00B7030F" w:rsidP="00C15251">
      <w:pPr>
        <w:shd w:val="clear" w:color="auto" w:fill="FFFFFF"/>
        <w:jc w:val="both"/>
        <w:rPr>
          <w:bCs/>
          <w:i/>
          <w:color w:val="002060"/>
          <w:sz w:val="16"/>
          <w:szCs w:val="16"/>
        </w:rPr>
      </w:pPr>
      <w:r w:rsidRPr="00405303">
        <w:rPr>
          <w:bCs/>
          <w:i/>
          <w:color w:val="002060"/>
          <w:sz w:val="16"/>
          <w:szCs w:val="16"/>
        </w:rPr>
        <w:t>Авиация:</w:t>
      </w:r>
    </w:p>
    <w:p w14:paraId="4FF29187" w14:textId="77777777" w:rsidR="00B7030F" w:rsidRPr="00405303" w:rsidRDefault="00B7030F" w:rsidP="00C15251">
      <w:pPr>
        <w:shd w:val="clear" w:color="auto" w:fill="FFFFFF"/>
        <w:jc w:val="both"/>
        <w:rPr>
          <w:bCs/>
          <w:i/>
          <w:color w:val="002060"/>
          <w:sz w:val="16"/>
          <w:szCs w:val="16"/>
        </w:rPr>
      </w:pPr>
    </w:p>
    <w:p w14:paraId="4C405CAD" w14:textId="77777777" w:rsidR="00AC74DB" w:rsidRPr="00405303" w:rsidRDefault="00AC74DB" w:rsidP="00AC74DB">
      <w:pPr>
        <w:jc w:val="both"/>
        <w:rPr>
          <w:color w:val="0070C0"/>
          <w:sz w:val="16"/>
          <w:szCs w:val="16"/>
        </w:rPr>
      </w:pPr>
      <w:r w:rsidRPr="00405303">
        <w:rPr>
          <w:rStyle w:val="aa"/>
          <w:rFonts w:ascii="Times New Roman" w:hAnsi="Times New Roman"/>
          <w:color w:val="0070C0"/>
          <w:spacing w:val="0"/>
          <w:sz w:val="16"/>
          <w:szCs w:val="16"/>
        </w:rPr>
        <w:t>27 марта (9 апреля) 1915 г. несколько германских аэропланов подвергли бомбардировке уездный город Цеханов, сбросив на его объекты около 100 бомб малого калибра. В ночь с 19 на 20 апреля налет на город повторился (25135).</w:t>
      </w:r>
    </w:p>
    <w:p w14:paraId="5C304664" w14:textId="77777777" w:rsidR="00AC74DB" w:rsidRPr="00405303" w:rsidRDefault="00AC74DB" w:rsidP="00AC74DB">
      <w:pPr>
        <w:jc w:val="both"/>
        <w:rPr>
          <w:color w:val="0070C0"/>
          <w:sz w:val="16"/>
          <w:szCs w:val="16"/>
        </w:rPr>
      </w:pPr>
    </w:p>
    <w:p w14:paraId="2E855E26" w14:textId="77777777" w:rsidR="00B7030F" w:rsidRPr="00405303" w:rsidRDefault="00B7030F" w:rsidP="00C15251">
      <w:pPr>
        <w:jc w:val="both"/>
        <w:rPr>
          <w:bCs/>
          <w:color w:val="002060"/>
          <w:sz w:val="16"/>
          <w:szCs w:val="16"/>
        </w:rPr>
      </w:pPr>
      <w:r w:rsidRPr="00405303">
        <w:rPr>
          <w:bCs/>
          <w:color w:val="002060"/>
          <w:sz w:val="16"/>
          <w:szCs w:val="16"/>
        </w:rPr>
        <w:t>27 марта (9 апреля) 1915 г. немецкий самолет вынужденно приземлился между нашими п немецкими позициями. С обеих сторон были высланы конные части, после короткого боя немцы отступили, а наши казаки захватили самолет и его экипаж.</w:t>
      </w:r>
    </w:p>
    <w:p w14:paraId="4D79A102" w14:textId="77777777" w:rsidR="00B7030F" w:rsidRPr="00405303" w:rsidRDefault="00B7030F"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Техника воздухоплавания», 1915, № 3-4, стр. 35/ (23320).</w:t>
      </w:r>
    </w:p>
    <w:p w14:paraId="4E22B553" w14:textId="77777777" w:rsidR="00B7030F" w:rsidRPr="00405303" w:rsidRDefault="00B7030F" w:rsidP="00C15251">
      <w:pPr>
        <w:jc w:val="both"/>
        <w:rPr>
          <w:bCs/>
          <w:color w:val="002060"/>
          <w:sz w:val="16"/>
          <w:szCs w:val="16"/>
        </w:rPr>
      </w:pPr>
    </w:p>
    <w:p w14:paraId="58FD167D" w14:textId="29AF5455" w:rsidR="009F60BD" w:rsidRPr="00405303" w:rsidRDefault="008A3F09" w:rsidP="00C15251">
      <w:pPr>
        <w:jc w:val="both"/>
        <w:rPr>
          <w:bCs/>
          <w:i/>
          <w:color w:val="002060"/>
          <w:sz w:val="16"/>
          <w:szCs w:val="16"/>
        </w:rPr>
      </w:pPr>
      <w:r w:rsidRPr="00405303">
        <w:rPr>
          <w:bCs/>
          <w:i/>
          <w:color w:val="002060"/>
          <w:sz w:val="16"/>
          <w:szCs w:val="16"/>
        </w:rPr>
        <w:t>Воздухоплавание</w:t>
      </w:r>
      <w:r w:rsidR="009F60BD" w:rsidRPr="00405303">
        <w:rPr>
          <w:bCs/>
          <w:i/>
          <w:color w:val="002060"/>
          <w:sz w:val="16"/>
          <w:szCs w:val="16"/>
        </w:rPr>
        <w:t>:</w:t>
      </w:r>
    </w:p>
    <w:p w14:paraId="0054A948" w14:textId="77777777" w:rsidR="009F60BD" w:rsidRPr="00405303" w:rsidRDefault="009F60BD" w:rsidP="00C15251">
      <w:pPr>
        <w:jc w:val="both"/>
        <w:rPr>
          <w:bCs/>
          <w:i/>
          <w:color w:val="002060"/>
          <w:sz w:val="16"/>
          <w:szCs w:val="16"/>
        </w:rPr>
      </w:pPr>
    </w:p>
    <w:p w14:paraId="09A0FB8E" w14:textId="77777777" w:rsidR="009F60BD" w:rsidRPr="00405303" w:rsidRDefault="009F60BD" w:rsidP="00C15251">
      <w:pPr>
        <w:jc w:val="both"/>
        <w:rPr>
          <w:bCs/>
          <w:color w:val="002060"/>
          <w:sz w:val="16"/>
          <w:szCs w:val="16"/>
        </w:rPr>
      </w:pPr>
      <w:r w:rsidRPr="00405303">
        <w:rPr>
          <w:rStyle w:val="42"/>
          <w:rFonts w:ascii="Times New Roman" w:hAnsi="Times New Roman" w:cs="Times New Roman"/>
          <w:bCs/>
          <w:color w:val="002060"/>
          <w:w w:val="100"/>
          <w:sz w:val="16"/>
          <w:szCs w:val="16"/>
        </w:rPr>
        <w:t>27 марта (9 апреля) 1915 в командование дирижаблем Астра вступил Р.Л. Нижевский. Он провёл технические испыта</w:t>
      </w:r>
      <w:r w:rsidRPr="00405303">
        <w:rPr>
          <w:rStyle w:val="42"/>
          <w:rFonts w:ascii="Times New Roman" w:hAnsi="Times New Roman" w:cs="Times New Roman"/>
          <w:bCs/>
          <w:color w:val="002060"/>
          <w:w w:val="100"/>
          <w:sz w:val="16"/>
          <w:szCs w:val="16"/>
        </w:rPr>
        <w:softHyphen/>
        <w:t>ния дирижабля, которые показали, что его наи</w:t>
      </w:r>
      <w:r w:rsidRPr="00405303">
        <w:rPr>
          <w:rStyle w:val="42"/>
          <w:rFonts w:ascii="Times New Roman" w:hAnsi="Times New Roman" w:cs="Times New Roman"/>
          <w:bCs/>
          <w:color w:val="002060"/>
          <w:w w:val="100"/>
          <w:sz w:val="16"/>
          <w:szCs w:val="16"/>
        </w:rPr>
        <w:softHyphen/>
        <w:t>большая скорость составляет 12,5 м/с, а наиболь</w:t>
      </w:r>
      <w:r w:rsidRPr="00405303">
        <w:rPr>
          <w:rStyle w:val="42"/>
          <w:rFonts w:ascii="Times New Roman" w:hAnsi="Times New Roman" w:cs="Times New Roman"/>
          <w:bCs/>
          <w:color w:val="002060"/>
          <w:w w:val="100"/>
          <w:sz w:val="16"/>
          <w:szCs w:val="16"/>
        </w:rPr>
        <w:softHyphen/>
        <w:t>шая высота полёта до сбрасывания бомб не более 1500 м. Масса бомб, пулемёта и патронов состав</w:t>
      </w:r>
      <w:r w:rsidRPr="00405303">
        <w:rPr>
          <w:rStyle w:val="42"/>
          <w:rFonts w:ascii="Times New Roman" w:hAnsi="Times New Roman" w:cs="Times New Roman"/>
          <w:bCs/>
          <w:color w:val="002060"/>
          <w:w w:val="100"/>
          <w:sz w:val="16"/>
          <w:szCs w:val="16"/>
        </w:rPr>
        <w:softHyphen/>
        <w:t>ляла примерно 0,3 т, а балласта — 1,68 т.</w:t>
      </w:r>
    </w:p>
    <w:p w14:paraId="7FDF2869" w14:textId="77777777" w:rsidR="009F60BD" w:rsidRPr="00405303" w:rsidRDefault="009F60BD" w:rsidP="00C15251">
      <w:pPr>
        <w:jc w:val="both"/>
        <w:rPr>
          <w:bCs/>
          <w:color w:val="002060"/>
          <w:sz w:val="16"/>
          <w:szCs w:val="16"/>
        </w:rPr>
      </w:pPr>
      <w:r w:rsidRPr="00405303">
        <w:rPr>
          <w:rStyle w:val="42"/>
          <w:rFonts w:ascii="Times New Roman" w:hAnsi="Times New Roman" w:cs="Times New Roman"/>
          <w:bCs/>
          <w:color w:val="002060"/>
          <w:w w:val="100"/>
          <w:sz w:val="16"/>
          <w:szCs w:val="16"/>
        </w:rPr>
        <w:t>После нескольких испытательных полётов «Астра» вновь получила приказ перелететь в Бе</w:t>
      </w:r>
      <w:r w:rsidRPr="00405303">
        <w:rPr>
          <w:rStyle w:val="42"/>
          <w:rFonts w:ascii="Times New Roman" w:hAnsi="Times New Roman" w:cs="Times New Roman"/>
          <w:bCs/>
          <w:color w:val="002060"/>
          <w:w w:val="100"/>
          <w:sz w:val="16"/>
          <w:szCs w:val="16"/>
        </w:rPr>
        <w:softHyphen/>
        <w:t>лосток (20120).</w:t>
      </w:r>
    </w:p>
    <w:p w14:paraId="2F1E3C55" w14:textId="77777777" w:rsidR="009F60BD" w:rsidRPr="00405303" w:rsidRDefault="009F60BD" w:rsidP="00C15251">
      <w:pPr>
        <w:jc w:val="both"/>
        <w:rPr>
          <w:bCs/>
          <w:color w:val="002060"/>
          <w:sz w:val="16"/>
          <w:szCs w:val="16"/>
        </w:rPr>
      </w:pPr>
    </w:p>
    <w:p w14:paraId="4DFE4F30"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3030CDDD" w14:textId="77777777" w:rsidR="004B4E35" w:rsidRPr="00405303" w:rsidRDefault="004B4E35" w:rsidP="00C15251">
      <w:pPr>
        <w:jc w:val="both"/>
        <w:rPr>
          <w:bCs/>
          <w:i/>
          <w:color w:val="002060"/>
          <w:sz w:val="16"/>
          <w:szCs w:val="16"/>
        </w:rPr>
      </w:pPr>
    </w:p>
    <w:p w14:paraId="5B566090" w14:textId="3D0C52D8" w:rsidR="004B4E35" w:rsidRPr="00405303" w:rsidRDefault="009E6F82" w:rsidP="00C15251">
      <w:pPr>
        <w:jc w:val="both"/>
        <w:rPr>
          <w:bCs/>
          <w:color w:val="002060"/>
          <w:sz w:val="16"/>
          <w:szCs w:val="16"/>
        </w:rPr>
      </w:pPr>
      <w:r w:rsidRPr="00405303">
        <w:rPr>
          <w:bCs/>
          <w:color w:val="002060"/>
          <w:sz w:val="16"/>
          <w:szCs w:val="16"/>
        </w:rPr>
        <w:t>28 марта (</w:t>
      </w:r>
      <w:r w:rsidR="0043463F" w:rsidRPr="00405303">
        <w:rPr>
          <w:bCs/>
          <w:color w:val="002060"/>
          <w:sz w:val="16"/>
          <w:szCs w:val="16"/>
        </w:rPr>
        <w:t>10</w:t>
      </w:r>
      <w:r w:rsidRPr="00405303">
        <w:rPr>
          <w:bCs/>
          <w:color w:val="002060"/>
          <w:sz w:val="16"/>
          <w:szCs w:val="16"/>
        </w:rPr>
        <w:t xml:space="preserve"> апреля) 1915 - Технический комитет ГВТУ в России продолжает напряженную работу по созданию более совершенных бомб и бомбосбрасывателей. В составе авторитетных специалистов комитет признал желательным определить теоретически необходимые поправки к уже использующимся в русских войсках прицельным приборам Толмачева, Ти- распольского и Лебеденко. Профессору Г. А. Ботезату, представившему исследование "О движении снаряда", были отпущены необходимые средства и сделано предложение руководить работами (11999).</w:t>
      </w:r>
    </w:p>
    <w:p w14:paraId="1BC366E1" w14:textId="77777777" w:rsidR="004B4E35" w:rsidRPr="00405303" w:rsidRDefault="004B4E35" w:rsidP="00C15251">
      <w:pPr>
        <w:jc w:val="both"/>
        <w:rPr>
          <w:bCs/>
          <w:color w:val="002060"/>
          <w:sz w:val="16"/>
          <w:szCs w:val="16"/>
        </w:rPr>
      </w:pPr>
    </w:p>
    <w:p w14:paraId="324E952A"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0BBD346B" w14:textId="77777777" w:rsidR="004B4E35" w:rsidRPr="00405303" w:rsidRDefault="004B4E35" w:rsidP="00C15251">
      <w:pPr>
        <w:jc w:val="both"/>
        <w:rPr>
          <w:bCs/>
          <w:i/>
          <w:color w:val="002060"/>
          <w:sz w:val="16"/>
          <w:szCs w:val="16"/>
        </w:rPr>
      </w:pPr>
    </w:p>
    <w:p w14:paraId="74909D46" w14:textId="460C52A7" w:rsidR="004B4E35" w:rsidRPr="00405303" w:rsidRDefault="009E6F82" w:rsidP="00C15251">
      <w:pPr>
        <w:jc w:val="both"/>
        <w:rPr>
          <w:bCs/>
          <w:color w:val="002060"/>
          <w:sz w:val="16"/>
          <w:szCs w:val="16"/>
        </w:rPr>
      </w:pPr>
      <w:r w:rsidRPr="00405303">
        <w:rPr>
          <w:bCs/>
          <w:color w:val="002060"/>
          <w:sz w:val="16"/>
          <w:szCs w:val="16"/>
        </w:rPr>
        <w:t xml:space="preserve">28 марта (10 апреля) 1915 года </w:t>
      </w:r>
      <w:r w:rsidR="00EF05DA" w:rsidRPr="00405303">
        <w:rPr>
          <w:bCs/>
          <w:color w:val="002060"/>
          <w:sz w:val="16"/>
          <w:szCs w:val="16"/>
        </w:rPr>
        <w:t xml:space="preserve">имел место первый случай совместного применения АВК «Император Николай I» (с пятью самолетами на борту) и «Алмаз» (с одним гидросамолетом) </w:t>
      </w:r>
      <w:r w:rsidRPr="00405303">
        <w:rPr>
          <w:bCs/>
          <w:color w:val="002060"/>
          <w:sz w:val="16"/>
          <w:szCs w:val="16"/>
        </w:rPr>
        <w:t>(См.: Флот в первой мировой войне. Т. 1 / Под ред. Н.Б. Павловича. М.: Воениздат, 1964. С. 374.). Необходимо признать, что одной из главных особенностей кампании 1915 года на Черноморском МТВД стало применение в составе нашего флота авианесущих кораблей и гидросамолетов.</w:t>
      </w:r>
    </w:p>
    <w:p w14:paraId="6AEE6D4E" w14:textId="77777777" w:rsidR="004B4E35" w:rsidRPr="00405303" w:rsidRDefault="009E6F82" w:rsidP="00C15251">
      <w:pPr>
        <w:jc w:val="both"/>
        <w:rPr>
          <w:bCs/>
          <w:color w:val="002060"/>
          <w:sz w:val="16"/>
          <w:szCs w:val="16"/>
        </w:rPr>
      </w:pPr>
      <w:r w:rsidRPr="00405303">
        <w:rPr>
          <w:bCs/>
          <w:color w:val="002060"/>
          <w:sz w:val="16"/>
          <w:szCs w:val="16"/>
        </w:rPr>
        <w:t>Именно под руководством адмирала Эбергарда черноморской авиации был придан новый статус — практически из средства прибрежной разведки он сделал ее вооруженной силой открытого моря и ударным средством при действиях Черноморского флота в неприятельских водах. В ходе кампании 1915 года боевая деятельность флота Черного моря была уже немыслима без использования авиационной составляющей — гидроавиации Черноморского флота.</w:t>
      </w:r>
    </w:p>
    <w:p w14:paraId="57E4324F" w14:textId="77777777" w:rsidR="004B4E35" w:rsidRPr="00405303" w:rsidRDefault="009E6F82" w:rsidP="00C15251">
      <w:pPr>
        <w:jc w:val="both"/>
        <w:rPr>
          <w:bCs/>
          <w:color w:val="002060"/>
          <w:sz w:val="16"/>
          <w:szCs w:val="16"/>
        </w:rPr>
      </w:pPr>
      <w:r w:rsidRPr="00405303">
        <w:rPr>
          <w:bCs/>
          <w:color w:val="002060"/>
          <w:sz w:val="16"/>
          <w:szCs w:val="16"/>
        </w:rPr>
        <w:t>Принципиально новым в применении черноморской авиации в кампании 1916 года было то, что под руководством командующего флотом стали более широко использоваться авианесущие корабли, «самолеты которых осуществляли разведку Босфора и портов и наносили бомбовые удары по транспортам в базах» (См.: Флот в первой мировой войне. Т. 1 / Под ред. Н.Б. Павловича. М.: Воениздат, 1964. С. 249.). Были заложены основы тактического взаимодействия с надводными кораблями при решении разведывательных, противолодочных и ударных задач. Разработка и внедрение авиационных средств оповещения об обнаруженном неприятеле в условиях отсутствия технических средств наблюдения и целеуказания при нахождении кораблей в море существенно усилили тактические возможности корабельных сил. Гидросамолеты зачастую являлись самым оперативным в реальном масштабе времени, а иногда и единственным источником информации о противнике. Наглядным подтверждением этому служит авиационный удар по Зунгулдаку в феврале 1916 года (См.: Герасимов В.Л. Авианесущие корабли… С. 26—28.).</w:t>
      </w:r>
    </w:p>
    <w:p w14:paraId="686AECF8" w14:textId="77777777" w:rsidR="004B4E35" w:rsidRPr="00405303" w:rsidRDefault="009E6F82" w:rsidP="00C15251">
      <w:pPr>
        <w:jc w:val="both"/>
        <w:rPr>
          <w:bCs/>
          <w:color w:val="002060"/>
          <w:sz w:val="16"/>
          <w:szCs w:val="16"/>
        </w:rPr>
      </w:pPr>
      <w:r w:rsidRPr="00405303">
        <w:rPr>
          <w:bCs/>
          <w:color w:val="002060"/>
          <w:sz w:val="16"/>
          <w:szCs w:val="16"/>
        </w:rPr>
        <w:t>А.А. Эбергардом предпринимались попытки по созданию на Черноморском флоте сети воздушных районов. Предполагалось, что эта сеть будет включать в себя систему воздушного освещения обстановки на значительной части операционной зоны флота. Каждый из планировавшихся воздушных районов должен был представлять из себя тактическую территориальную часть морской авиации (за исключением одного из районов — Морского воздушного района).</w:t>
      </w:r>
    </w:p>
    <w:p w14:paraId="6911D1FD" w14:textId="77777777" w:rsidR="004B4E35" w:rsidRPr="00405303" w:rsidRDefault="009E6F82" w:rsidP="00C15251">
      <w:pPr>
        <w:jc w:val="both"/>
        <w:rPr>
          <w:bCs/>
          <w:color w:val="002060"/>
          <w:sz w:val="16"/>
          <w:szCs w:val="16"/>
        </w:rPr>
      </w:pPr>
      <w:r w:rsidRPr="00405303">
        <w:rPr>
          <w:bCs/>
          <w:color w:val="002060"/>
          <w:sz w:val="16"/>
          <w:szCs w:val="16"/>
        </w:rPr>
        <w:t>Всего на Черноморском флоте планировалось создать шесть воздушных районов: 1) СевероЗападный (от рукава Дуная до озера Донузлав); 2) Севастопольский (от озера Донузлав до Каисхора); 3) Южнобережный (от Феодосии до лимана Кизил-Таш); 4) Керченский (от лимана КизилТаш до мыса Анакрия); 5) Южный (от мыса Анакрия до мыса Иероса); 6) Морской (корабельная авиация) (РГВИА. Ф. 2008. Оп. 1. Д. 183. Л. 5.). В итоге была создана одна тактическая территориальная часть Южный район, корабельная авиация (по документам того времени Морской воздушный район) и основные элементы в виде воздушных станций 1-го и 2-го разрядов — других планируемых воздушных районов.</w:t>
      </w:r>
    </w:p>
    <w:p w14:paraId="6BB1C654" w14:textId="77777777" w:rsidR="004B4E35" w:rsidRPr="00405303" w:rsidRDefault="009E6F82" w:rsidP="00C15251">
      <w:pPr>
        <w:jc w:val="both"/>
        <w:rPr>
          <w:bCs/>
          <w:color w:val="002060"/>
          <w:sz w:val="16"/>
          <w:szCs w:val="16"/>
        </w:rPr>
      </w:pPr>
      <w:r w:rsidRPr="00405303">
        <w:rPr>
          <w:bCs/>
          <w:color w:val="002060"/>
          <w:sz w:val="16"/>
          <w:szCs w:val="16"/>
        </w:rPr>
        <w:t>Тем не менее применение морской авиации в пределах операционной зоны флота в рамках одного созданного территориального воздушного (Южного) и Морского воздушного районов представляло собой не что иное, как элементы оперативного применения авиации в интересах флота Черного моря.</w:t>
      </w:r>
    </w:p>
    <w:p w14:paraId="1E12622E" w14:textId="77777777" w:rsidR="004B4E35" w:rsidRPr="00405303" w:rsidRDefault="009E6F82" w:rsidP="00C15251">
      <w:pPr>
        <w:jc w:val="both"/>
        <w:rPr>
          <w:bCs/>
          <w:color w:val="002060"/>
          <w:sz w:val="16"/>
          <w:szCs w:val="16"/>
        </w:rPr>
      </w:pPr>
      <w:r w:rsidRPr="00405303">
        <w:rPr>
          <w:bCs/>
          <w:color w:val="002060"/>
          <w:sz w:val="16"/>
          <w:szCs w:val="16"/>
        </w:rPr>
        <w:t>Но самое существенное преобразование в плане совершенствования организации черноморской авиации адмирал А.А. Эбергард предпринял в начале кампании 1915 года. К тому времени ход войны уже продемонстрировал, что объем и масштабы задач, решавшихся авиацией флота, действительно значительно вышли за рамки службы связи Черноморского флота. Приказом за № 230 адмирал А.А. Эбергард выделил морскую авиацию из службы связи Черного моря и непосредственно подчинил ее начальнику штаба флота (см. приложение 1) (11177.</w:t>
      </w:r>
    </w:p>
    <w:p w14:paraId="424D3449" w14:textId="77777777" w:rsidR="004B4E35" w:rsidRPr="00405303" w:rsidRDefault="009E6F82" w:rsidP="00C15251">
      <w:pPr>
        <w:jc w:val="both"/>
        <w:rPr>
          <w:bCs/>
          <w:color w:val="002060"/>
          <w:sz w:val="16"/>
          <w:szCs w:val="16"/>
        </w:rPr>
      </w:pPr>
      <w:r w:rsidRPr="00405303">
        <w:rPr>
          <w:bCs/>
          <w:color w:val="002060"/>
          <w:sz w:val="16"/>
          <w:szCs w:val="16"/>
        </w:rPr>
        <w:t>ПРИЛОЖЕНИЕ 1 ПРИКАЗ КОМАНДУЮЩЕГО ЧЕРНОМОРСКИМ ФЛОТОМ Севастопольский рейд.</w:t>
      </w:r>
    </w:p>
    <w:p w14:paraId="26DBA97D" w14:textId="77777777" w:rsidR="004B4E35" w:rsidRPr="00405303" w:rsidRDefault="009E6F82" w:rsidP="00C15251">
      <w:pPr>
        <w:jc w:val="both"/>
        <w:rPr>
          <w:bCs/>
          <w:color w:val="002060"/>
          <w:sz w:val="16"/>
          <w:szCs w:val="16"/>
        </w:rPr>
      </w:pPr>
      <w:r w:rsidRPr="00405303">
        <w:rPr>
          <w:bCs/>
          <w:color w:val="002060"/>
          <w:sz w:val="16"/>
          <w:szCs w:val="16"/>
        </w:rPr>
        <w:t>Марта 12-го дня 1915 г. № 230 ОРГАНИЗАЦИЯ АВИАЦИИ ЧЕРНОМОРСКОГО ФЛОТА Вследствие надписи начальника штаба Верховного главнокомандующего от 20 февраля 1915 года, положенной на приказ Верховного главнокомандующего от 14 августа 1914 года № 14, примечания первого к приказу Верховного главнокомандующего 5 января 1915 года за № 4 и телеграммы его императорского высочества великого князя Александра Михайловича 4 марта 1915 года за № 779-3795 все морские, а также присланные в мое распоряжение сухопутные авиационные отряды на время войны организовываются следующим образом: 1. Все упомянутые отряды сводятся в авиацию Черноморского флота.</w:t>
      </w:r>
    </w:p>
    <w:p w14:paraId="5401F980" w14:textId="77777777" w:rsidR="004B4E35" w:rsidRPr="00405303" w:rsidRDefault="009E6F82" w:rsidP="00C15251">
      <w:pPr>
        <w:jc w:val="both"/>
        <w:rPr>
          <w:bCs/>
          <w:color w:val="002060"/>
          <w:sz w:val="16"/>
          <w:szCs w:val="16"/>
        </w:rPr>
      </w:pPr>
      <w:r w:rsidRPr="00405303">
        <w:rPr>
          <w:bCs/>
          <w:color w:val="002060"/>
          <w:sz w:val="16"/>
          <w:szCs w:val="16"/>
        </w:rPr>
        <w:t>2. Заведывание организацией авиационного дела во флоте по повелению Верховного главнокомандующего возложено на его императорское высочество великого князя Александра Михайловича.</w:t>
      </w:r>
    </w:p>
    <w:p w14:paraId="6ACD7C36" w14:textId="77777777" w:rsidR="004B4E35" w:rsidRPr="00405303" w:rsidRDefault="009E6F82" w:rsidP="00C15251">
      <w:pPr>
        <w:jc w:val="both"/>
        <w:rPr>
          <w:bCs/>
          <w:color w:val="002060"/>
          <w:sz w:val="16"/>
          <w:szCs w:val="16"/>
        </w:rPr>
      </w:pPr>
      <w:r w:rsidRPr="00405303">
        <w:rPr>
          <w:bCs/>
          <w:color w:val="002060"/>
          <w:sz w:val="16"/>
          <w:szCs w:val="16"/>
        </w:rPr>
        <w:t>3. В отношении авиационных частей как морских, так и сухопутных Черноморского флота заведующий организацией авиационного дела во флоте непосредственно подчиняется командующему Черноморским флотом.</w:t>
      </w:r>
    </w:p>
    <w:p w14:paraId="68232637" w14:textId="77777777" w:rsidR="004B4E35" w:rsidRPr="00405303" w:rsidRDefault="009E6F82" w:rsidP="00C15251">
      <w:pPr>
        <w:jc w:val="both"/>
        <w:rPr>
          <w:bCs/>
          <w:color w:val="002060"/>
          <w:sz w:val="16"/>
          <w:szCs w:val="16"/>
        </w:rPr>
      </w:pPr>
      <w:r w:rsidRPr="00405303">
        <w:rPr>
          <w:bCs/>
          <w:color w:val="002060"/>
          <w:sz w:val="16"/>
          <w:szCs w:val="16"/>
        </w:rPr>
        <w:t>4. Права заведующего организацией авиационного дела во флоте по отношению к авиационным отрядам Черноморского флота установлены приказом Верховного главнокомандующего 14 августа 1914 года № 14.</w:t>
      </w:r>
    </w:p>
    <w:p w14:paraId="277DFCE6" w14:textId="77777777" w:rsidR="004B4E35" w:rsidRPr="00405303" w:rsidRDefault="009E6F82" w:rsidP="00C15251">
      <w:pPr>
        <w:jc w:val="both"/>
        <w:rPr>
          <w:bCs/>
          <w:color w:val="002060"/>
          <w:sz w:val="16"/>
          <w:szCs w:val="16"/>
        </w:rPr>
      </w:pPr>
      <w:r w:rsidRPr="00405303">
        <w:rPr>
          <w:bCs/>
          <w:color w:val="002060"/>
          <w:sz w:val="16"/>
          <w:szCs w:val="16"/>
        </w:rPr>
        <w:t>5. Вся авиация Черноморского флота выделяется из состава службы связи Черного моря.</w:t>
      </w:r>
    </w:p>
    <w:p w14:paraId="275BD321" w14:textId="77777777" w:rsidR="004B4E35" w:rsidRPr="00405303" w:rsidRDefault="009E6F82" w:rsidP="00C15251">
      <w:pPr>
        <w:jc w:val="both"/>
        <w:rPr>
          <w:bCs/>
          <w:color w:val="002060"/>
          <w:sz w:val="16"/>
          <w:szCs w:val="16"/>
        </w:rPr>
      </w:pPr>
      <w:r w:rsidRPr="00405303">
        <w:rPr>
          <w:bCs/>
          <w:color w:val="002060"/>
          <w:sz w:val="16"/>
          <w:szCs w:val="16"/>
        </w:rPr>
        <w:t>6. Заведующим организацией авиационного дела Черноморского флота назначается начальник воздушного района Черного моря лейтенант Стаховский с подчинением ему как всех морских, так и прикомандированных к Черноморскому флоту сухопутных авиационных отрядов со всеми их станциями, учреждениями, личным составом и имуществом.</w:t>
      </w:r>
    </w:p>
    <w:p w14:paraId="08BF6F16" w14:textId="77777777" w:rsidR="004B4E35" w:rsidRPr="00405303" w:rsidRDefault="009E6F82" w:rsidP="00C15251">
      <w:pPr>
        <w:jc w:val="both"/>
        <w:rPr>
          <w:bCs/>
          <w:color w:val="002060"/>
          <w:sz w:val="16"/>
          <w:szCs w:val="16"/>
        </w:rPr>
      </w:pPr>
      <w:r w:rsidRPr="00405303">
        <w:rPr>
          <w:bCs/>
          <w:color w:val="002060"/>
          <w:sz w:val="16"/>
          <w:szCs w:val="16"/>
        </w:rPr>
        <w:t>7. Заведующий организацией авиационного дела Черноморского флота, находясь в ведении заведующего организацией авиационного дела во флоте, непосредственно подчиняется начальнику штаба командующего флотом.</w:t>
      </w:r>
    </w:p>
    <w:p w14:paraId="33154728" w14:textId="77777777" w:rsidR="004B4E35" w:rsidRPr="00405303" w:rsidRDefault="009E6F82" w:rsidP="00C15251">
      <w:pPr>
        <w:jc w:val="both"/>
        <w:rPr>
          <w:bCs/>
          <w:color w:val="002060"/>
          <w:sz w:val="16"/>
          <w:szCs w:val="16"/>
        </w:rPr>
      </w:pPr>
      <w:r w:rsidRPr="00405303">
        <w:rPr>
          <w:bCs/>
          <w:color w:val="002060"/>
          <w:sz w:val="16"/>
          <w:szCs w:val="16"/>
        </w:rPr>
        <w:t>8. В случае выделения отрядов аэропланов на станции службы связи для несения службы на этих станциях выделяются отряды, [которые], оставаясь в техническом и хозяйственном отношении в ведении заведующего организацией авиации Черноморского флота, поступают в подчинение начальника службы связи Черного моря.</w:t>
      </w:r>
    </w:p>
    <w:p w14:paraId="52578ACB" w14:textId="77777777" w:rsidR="004B4E35" w:rsidRPr="00405303" w:rsidRDefault="009E6F82" w:rsidP="00C15251">
      <w:pPr>
        <w:jc w:val="both"/>
        <w:rPr>
          <w:bCs/>
          <w:color w:val="002060"/>
          <w:sz w:val="16"/>
          <w:szCs w:val="16"/>
        </w:rPr>
      </w:pPr>
      <w:r w:rsidRPr="00405303">
        <w:rPr>
          <w:bCs/>
          <w:color w:val="002060"/>
          <w:sz w:val="16"/>
          <w:szCs w:val="16"/>
        </w:rPr>
        <w:t>Адмирал А. ЭБЕРГАРД Российский государственный архив Военно-морского флота. Ф. 418. Оп. 1. Д. 1407. Л. 101, 101 об.</w:t>
      </w:r>
    </w:p>
    <w:p w14:paraId="03746F9B" w14:textId="77777777" w:rsidR="004B4E35" w:rsidRPr="00405303" w:rsidRDefault="009E6F82" w:rsidP="00C15251">
      <w:pPr>
        <w:jc w:val="both"/>
        <w:rPr>
          <w:bCs/>
          <w:color w:val="002060"/>
          <w:sz w:val="16"/>
          <w:szCs w:val="16"/>
        </w:rPr>
      </w:pPr>
      <w:r w:rsidRPr="00405303">
        <w:rPr>
          <w:bCs/>
          <w:color w:val="002060"/>
          <w:sz w:val="16"/>
          <w:szCs w:val="16"/>
        </w:rPr>
        <w:t xml:space="preserve">Необходимо отметить, что элементы новизны в применении черноморской авиации отмечались на протяжении всего периода руководства А.А. Эбергардом Черноморским флотом. Ко времени его командования флотом относится и первый в отечественной военно-морской истории случай корректировки огня корабельной </w:t>
      </w:r>
      <w:r w:rsidRPr="00405303">
        <w:rPr>
          <w:bCs/>
          <w:color w:val="002060"/>
          <w:sz w:val="16"/>
          <w:szCs w:val="16"/>
        </w:rPr>
        <w:lastRenderedPageBreak/>
        <w:t>артиллерии самолетами. 29 марта 1915 года линейные корабли «Три Святителя» и «Ростислав», авианесущие корабли «Император Николай I» и «Алмаз» в сопровождении тральщиков, охранявшиеся миноносцами, осуществили очередную бомбардировку Босфора.</w:t>
      </w:r>
    </w:p>
    <w:p w14:paraId="24EA4954" w14:textId="77777777" w:rsidR="004B4E35" w:rsidRPr="00405303" w:rsidRDefault="009E6F82" w:rsidP="00C15251">
      <w:pPr>
        <w:jc w:val="both"/>
        <w:rPr>
          <w:bCs/>
          <w:color w:val="002060"/>
          <w:sz w:val="16"/>
          <w:szCs w:val="16"/>
        </w:rPr>
      </w:pPr>
      <w:r w:rsidRPr="00405303">
        <w:rPr>
          <w:bCs/>
          <w:color w:val="002060"/>
          <w:sz w:val="16"/>
          <w:szCs w:val="16"/>
        </w:rPr>
        <w:t>Перед самым выполнением задания на АВК «Император Николай I» было передано новое уточняющее задание: «Задача на сегодня: обязательная часть — во-первых, держать Босфор под непрерывным наблюдением; во-вторых, корректировать стрельбу; часть желательная — проверить глубже место «Goeben». Летать только на абсолютно исправных аппаратах и брать на себя только выполнимые задачи» (Новиков Н.В. Операции флота против берега на Черном море в 1914—1917 годах / Комментарии Д.Ю. Козлова. СПб.: Издатель М.А. Леонов, 2003. С. 64.). В тот же день один из летчиков, сообщая на корабли о том, что им обнаружен «Гебен», сигнализировал об этом цветными дымками. Этот факт стал одним из первых примеров практического использования установленных сигналов (в данном случае цветных дымков) для осуществления оперативного обмена информацией между гидроаэропланами и надводными кораблями. В скором времени, в мае 1915 года, Эбергардом был подписан приказ по Черноморскому флоту № 30, который определил сигналы при ведении летательными аппаратами воздушной разведки, корректировки стрельбы корабельной артиллерии и передачи донесений (см. приложение 2) (11177).</w:t>
      </w:r>
    </w:p>
    <w:p w14:paraId="4B0BE1F3" w14:textId="77777777" w:rsidR="004B4E35" w:rsidRPr="00405303" w:rsidRDefault="009E6F82" w:rsidP="00C15251">
      <w:pPr>
        <w:jc w:val="both"/>
        <w:rPr>
          <w:bCs/>
          <w:color w:val="002060"/>
          <w:sz w:val="16"/>
          <w:szCs w:val="16"/>
        </w:rPr>
      </w:pPr>
      <w:r w:rsidRPr="00405303">
        <w:rPr>
          <w:bCs/>
          <w:color w:val="002060"/>
          <w:sz w:val="16"/>
          <w:szCs w:val="16"/>
        </w:rPr>
        <w:t>ПРИЛОЖЕНИЕ 2 ПРИКАЗ КОМАНДУЮЩЕГО ЧЕРНОМОРСКИМ ФЛОТОМ Мая 12 дня 1915 г. № 30 ГИДРОСИГНАЛЫ Для переговоров между судами и гидроаэропланами употреблять следующие сигналы: А. Разведка с гидро[аэроплана]: 1. Цветные дымки и вымпела, бросаемые с гидро[аэропланы]: подводная лодка — белый-красный-белый; «Гебен» — черный-красный-черный; «Тургут» — красный; «Бреслау» или «Гамидие» — зеленый; миноносец — белый; вижу дым — черный; транспорт — вымпел.</w:t>
      </w:r>
    </w:p>
    <w:p w14:paraId="21E7F73A" w14:textId="77777777" w:rsidR="004B4E35" w:rsidRPr="00405303" w:rsidRDefault="009E6F82" w:rsidP="00C15251">
      <w:pPr>
        <w:jc w:val="both"/>
        <w:rPr>
          <w:bCs/>
          <w:color w:val="002060"/>
          <w:sz w:val="16"/>
          <w:szCs w:val="16"/>
        </w:rPr>
      </w:pPr>
      <w:r w:rsidRPr="00405303">
        <w:rPr>
          <w:bCs/>
          <w:color w:val="002060"/>
          <w:sz w:val="16"/>
          <w:szCs w:val="16"/>
        </w:rPr>
        <w:t>2. Множественное число показывается повторением того же сигнала нужное число раз, делая промежутки между отдельными сигналами около минуты.</w:t>
      </w:r>
    </w:p>
    <w:p w14:paraId="5B043EA4" w14:textId="77777777" w:rsidR="004B4E35" w:rsidRPr="00405303" w:rsidRDefault="009E6F82" w:rsidP="00C15251">
      <w:pPr>
        <w:jc w:val="both"/>
        <w:rPr>
          <w:bCs/>
          <w:color w:val="002060"/>
          <w:sz w:val="16"/>
          <w:szCs w:val="16"/>
        </w:rPr>
      </w:pPr>
      <w:r w:rsidRPr="00405303">
        <w:rPr>
          <w:bCs/>
          <w:color w:val="002060"/>
          <w:sz w:val="16"/>
          <w:szCs w:val="16"/>
        </w:rPr>
        <w:t>&lt;...&gt;.</w:t>
      </w:r>
    </w:p>
    <w:p w14:paraId="4CE3F9DC" w14:textId="77777777" w:rsidR="004B4E35" w:rsidRPr="00405303" w:rsidRDefault="009E6F82" w:rsidP="00C15251">
      <w:pPr>
        <w:jc w:val="both"/>
        <w:rPr>
          <w:bCs/>
          <w:color w:val="002060"/>
          <w:sz w:val="16"/>
          <w:szCs w:val="16"/>
        </w:rPr>
      </w:pPr>
      <w:r w:rsidRPr="00405303">
        <w:rPr>
          <w:bCs/>
          <w:color w:val="002060"/>
          <w:sz w:val="16"/>
          <w:szCs w:val="16"/>
        </w:rPr>
        <w:t>4. Чтобы дать направление на показываемое судно, гидро[аэроплан] кружится над ним, если это лодка, а в прочих случаях пролетает над нашими кораблями с кормы на нос и затем поворачивает на неприятеля.</w:t>
      </w:r>
    </w:p>
    <w:p w14:paraId="60F5566B" w14:textId="77777777" w:rsidR="004B4E35" w:rsidRPr="00405303" w:rsidRDefault="009E6F82" w:rsidP="00C15251">
      <w:pPr>
        <w:jc w:val="both"/>
        <w:rPr>
          <w:bCs/>
          <w:color w:val="002060"/>
          <w:sz w:val="16"/>
          <w:szCs w:val="16"/>
        </w:rPr>
      </w:pPr>
      <w:r w:rsidRPr="00405303">
        <w:rPr>
          <w:bCs/>
          <w:color w:val="002060"/>
          <w:sz w:val="16"/>
          <w:szCs w:val="16"/>
        </w:rPr>
        <w:t>5. Если при этом неприятель не идет прямо на нас или от нас, то гидро[аэроплан] летит не прямо на него, а несколько в сторону его движения (как бы указывая курс, которым следует идти, чтобы с ним сойтись).</w:t>
      </w:r>
    </w:p>
    <w:p w14:paraId="3F013D7C" w14:textId="77777777" w:rsidR="004B4E35" w:rsidRPr="00405303" w:rsidRDefault="009E6F82" w:rsidP="00C15251">
      <w:pPr>
        <w:jc w:val="both"/>
        <w:rPr>
          <w:bCs/>
          <w:color w:val="002060"/>
          <w:sz w:val="16"/>
          <w:szCs w:val="16"/>
        </w:rPr>
      </w:pPr>
      <w:r w:rsidRPr="00405303">
        <w:rPr>
          <w:bCs/>
          <w:color w:val="002060"/>
          <w:sz w:val="16"/>
          <w:szCs w:val="16"/>
        </w:rPr>
        <w:t>6. При разведке Босфора перечисленные сигналы делаются только относительно судов или находящихся в Черном море, или стоящих к северу от Стении, или идущих на север по Босфору.</w:t>
      </w:r>
    </w:p>
    <w:p w14:paraId="2DA08621" w14:textId="77777777" w:rsidR="004B4E35" w:rsidRPr="00405303" w:rsidRDefault="009E6F82" w:rsidP="00C15251">
      <w:pPr>
        <w:jc w:val="both"/>
        <w:rPr>
          <w:bCs/>
          <w:color w:val="002060"/>
          <w:sz w:val="16"/>
          <w:szCs w:val="16"/>
        </w:rPr>
      </w:pPr>
      <w:r w:rsidRPr="00405303">
        <w:rPr>
          <w:bCs/>
          <w:color w:val="002060"/>
          <w:sz w:val="16"/>
          <w:szCs w:val="16"/>
        </w:rPr>
        <w:t>О судах, стоящих или в Стении, или южнее нее, или идущих по Босфору на юг, сигналов дымками не делается.</w:t>
      </w:r>
    </w:p>
    <w:p w14:paraId="02466FCA" w14:textId="77777777" w:rsidR="004B4E35" w:rsidRPr="00405303" w:rsidRDefault="009E6F82" w:rsidP="00C15251">
      <w:pPr>
        <w:jc w:val="both"/>
        <w:rPr>
          <w:bCs/>
          <w:color w:val="002060"/>
          <w:sz w:val="16"/>
          <w:szCs w:val="16"/>
        </w:rPr>
      </w:pPr>
      <w:r w:rsidRPr="00405303">
        <w:rPr>
          <w:bCs/>
          <w:color w:val="002060"/>
          <w:sz w:val="16"/>
          <w:szCs w:val="16"/>
        </w:rPr>
        <w:t>О транспортах делаются сигналы вымпелами только в случае их нахождения в Черном море в значительном расстоянии от Босфора.</w:t>
      </w:r>
    </w:p>
    <w:p w14:paraId="633B5D04" w14:textId="77777777" w:rsidR="004B4E35" w:rsidRPr="00405303" w:rsidRDefault="009E6F82" w:rsidP="00C15251">
      <w:pPr>
        <w:jc w:val="both"/>
        <w:rPr>
          <w:bCs/>
          <w:color w:val="002060"/>
          <w:sz w:val="16"/>
          <w:szCs w:val="16"/>
        </w:rPr>
      </w:pPr>
      <w:r w:rsidRPr="00405303">
        <w:rPr>
          <w:bCs/>
          <w:color w:val="002060"/>
          <w:sz w:val="16"/>
          <w:szCs w:val="16"/>
        </w:rPr>
        <w:t>7. Сигналом о бедствии и требовании помощи служит последовательное выбрасывание дымков одного и того же цвета, вымпелов и махание чем можно.</w:t>
      </w:r>
    </w:p>
    <w:p w14:paraId="776C4AFA" w14:textId="77777777" w:rsidR="004B4E35" w:rsidRPr="00405303" w:rsidRDefault="009E6F82" w:rsidP="00C15251">
      <w:pPr>
        <w:jc w:val="both"/>
        <w:rPr>
          <w:bCs/>
          <w:color w:val="002060"/>
          <w:sz w:val="16"/>
          <w:szCs w:val="16"/>
        </w:rPr>
      </w:pPr>
      <w:r w:rsidRPr="00405303">
        <w:rPr>
          <w:bCs/>
          <w:color w:val="002060"/>
          <w:sz w:val="16"/>
          <w:szCs w:val="16"/>
        </w:rPr>
        <w:t>Б. Корректировка стрельбы с гидро[аэроплана] 8. Цветные дымки: перелет — черный; право — два черных; недолет — белый; лево — два белых; щит — черный-белый; не туда стреляете — белый-черный.</w:t>
      </w:r>
    </w:p>
    <w:p w14:paraId="10855894" w14:textId="77777777" w:rsidR="004B4E35" w:rsidRPr="00405303" w:rsidRDefault="009E6F82" w:rsidP="00C15251">
      <w:pPr>
        <w:jc w:val="both"/>
        <w:rPr>
          <w:bCs/>
          <w:color w:val="002060"/>
          <w:sz w:val="16"/>
          <w:szCs w:val="16"/>
        </w:rPr>
      </w:pPr>
      <w:r w:rsidRPr="00405303">
        <w:rPr>
          <w:bCs/>
          <w:color w:val="002060"/>
          <w:sz w:val="16"/>
          <w:szCs w:val="16"/>
        </w:rPr>
        <w:t>&lt;...&gt;.</w:t>
      </w:r>
    </w:p>
    <w:p w14:paraId="66A3CDB3" w14:textId="77777777" w:rsidR="004B4E35" w:rsidRPr="00405303" w:rsidRDefault="009E6F82" w:rsidP="00C15251">
      <w:pPr>
        <w:jc w:val="both"/>
        <w:rPr>
          <w:bCs/>
          <w:color w:val="002060"/>
          <w:sz w:val="16"/>
          <w:szCs w:val="16"/>
        </w:rPr>
      </w:pPr>
      <w:r w:rsidRPr="00405303">
        <w:rPr>
          <w:bCs/>
          <w:color w:val="002060"/>
          <w:sz w:val="16"/>
          <w:szCs w:val="16"/>
        </w:rPr>
        <w:t>Г. Передача донесений гидро[аэропланом] 10. Донесения с помощью сигналов дымками гидро[аэроплан] делает: кораблю командующего флотом, если нет большой разницы в расстоянии от гидро[аэроплана] до разных судов; кораблю, в распоряжение которого он назначен, в случае выделения части флота совместно с гидро[аэропланом]; ближайшему кораблю, имеющему радио, если расстояние до вышеназванных кораблей значительно дальше расстояния до ближайшего.</w:t>
      </w:r>
    </w:p>
    <w:p w14:paraId="3517451D" w14:textId="77777777" w:rsidR="004B4E35" w:rsidRPr="00405303" w:rsidRDefault="009E6F82" w:rsidP="00C15251">
      <w:pPr>
        <w:jc w:val="both"/>
        <w:rPr>
          <w:bCs/>
          <w:color w:val="002060"/>
          <w:sz w:val="16"/>
          <w:szCs w:val="16"/>
        </w:rPr>
      </w:pPr>
      <w:r w:rsidRPr="00405303">
        <w:rPr>
          <w:bCs/>
          <w:color w:val="002060"/>
          <w:sz w:val="16"/>
          <w:szCs w:val="16"/>
        </w:rPr>
        <w:t>11. Получив достаточно данных разведкой в воздухе, гидро[аэроплан] при первой возможности или вернувшись к своей матке садится на воду и передает словами подробности разведки.</w:t>
      </w:r>
    </w:p>
    <w:p w14:paraId="58C33164" w14:textId="77777777" w:rsidR="004B4E35" w:rsidRPr="00405303" w:rsidRDefault="009E6F82" w:rsidP="00C15251">
      <w:pPr>
        <w:jc w:val="both"/>
        <w:rPr>
          <w:bCs/>
          <w:color w:val="002060"/>
          <w:sz w:val="16"/>
          <w:szCs w:val="16"/>
        </w:rPr>
      </w:pPr>
      <w:r w:rsidRPr="00405303">
        <w:rPr>
          <w:bCs/>
          <w:color w:val="002060"/>
          <w:sz w:val="16"/>
          <w:szCs w:val="16"/>
        </w:rPr>
        <w:t>12. Когда это удобно, гидро[аэроплан] садится около корабля командующего флотом, передает словами эти подробности, после чего уже бежит по воде к своей матке.</w:t>
      </w:r>
    </w:p>
    <w:p w14:paraId="534AAA96" w14:textId="77777777" w:rsidR="004B4E35" w:rsidRPr="00405303" w:rsidRDefault="009E6F82" w:rsidP="00C15251">
      <w:pPr>
        <w:jc w:val="both"/>
        <w:rPr>
          <w:bCs/>
          <w:color w:val="002060"/>
          <w:sz w:val="16"/>
          <w:szCs w:val="16"/>
        </w:rPr>
      </w:pPr>
      <w:r w:rsidRPr="00405303">
        <w:rPr>
          <w:bCs/>
          <w:color w:val="002060"/>
          <w:sz w:val="16"/>
          <w:szCs w:val="16"/>
        </w:rPr>
        <w:t>&lt;...&gt;.</w:t>
      </w:r>
    </w:p>
    <w:p w14:paraId="727F0D7D" w14:textId="77777777" w:rsidR="004B4E35" w:rsidRPr="00405303" w:rsidRDefault="009E6F82" w:rsidP="00C15251">
      <w:pPr>
        <w:jc w:val="both"/>
        <w:rPr>
          <w:bCs/>
          <w:color w:val="002060"/>
          <w:sz w:val="16"/>
          <w:szCs w:val="16"/>
        </w:rPr>
      </w:pPr>
      <w:r w:rsidRPr="00405303">
        <w:rPr>
          <w:bCs/>
          <w:color w:val="002060"/>
          <w:sz w:val="16"/>
          <w:szCs w:val="16"/>
        </w:rPr>
        <w:t>Адмирал А. ЭБЕРГАРД Российский государственный архив Военно-морского флота. Ф. 418. Оп. 1. Д. 1407. Л. 117—118.</w:t>
      </w:r>
    </w:p>
    <w:p w14:paraId="0F355BD1" w14:textId="77777777" w:rsidR="004B4E35" w:rsidRPr="00405303" w:rsidRDefault="004B4E35" w:rsidP="00C15251">
      <w:pPr>
        <w:jc w:val="both"/>
        <w:rPr>
          <w:bCs/>
          <w:color w:val="002060"/>
          <w:sz w:val="16"/>
          <w:szCs w:val="16"/>
        </w:rPr>
      </w:pPr>
    </w:p>
    <w:p w14:paraId="0D100784" w14:textId="4B6B190F"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28 марта (10 апреля) 1915 </w:t>
      </w:r>
      <w:r w:rsidR="00EF05DA" w:rsidRPr="00405303">
        <w:rPr>
          <w:bCs/>
          <w:color w:val="002060"/>
          <w:sz w:val="16"/>
          <w:szCs w:val="16"/>
        </w:rPr>
        <w:t xml:space="preserve">г. перед рассветом </w:t>
      </w:r>
      <w:r w:rsidRPr="00405303">
        <w:rPr>
          <w:bCs/>
          <w:color w:val="002060"/>
          <w:sz w:val="16"/>
          <w:szCs w:val="16"/>
        </w:rPr>
        <w:t>линкоры «Три Святителя», «Ростислав», авианесущие суда и эсминцы охранения с группой тральщиков отделились от эскадры. Около 07.00 в десяти милях от входа в Босфор все гидроаэронланы были спущены на воду. До подъе</w:t>
      </w:r>
      <w:r w:rsidRPr="00405303">
        <w:rPr>
          <w:bCs/>
          <w:color w:val="002060"/>
          <w:sz w:val="16"/>
          <w:szCs w:val="16"/>
        </w:rPr>
        <w:softHyphen/>
        <w:t>ма их в воздух с «Евстафия» по радио поступило указание ко</w:t>
      </w:r>
      <w:r w:rsidRPr="00405303">
        <w:rPr>
          <w:bCs/>
          <w:color w:val="002060"/>
          <w:sz w:val="16"/>
          <w:szCs w:val="16"/>
        </w:rPr>
        <w:softHyphen/>
        <w:t>мандующего флотом летчикам: «главное внимание обратить на воздушную разведку и не увлекаться бомбометанием». Выполняя задание, они наблюдали потопление идущего к про</w:t>
      </w:r>
      <w:r w:rsidRPr="00405303">
        <w:rPr>
          <w:bCs/>
          <w:color w:val="002060"/>
          <w:sz w:val="16"/>
          <w:szCs w:val="16"/>
        </w:rPr>
        <w:softHyphen/>
        <w:t>ливу парохода «Саббах» и определяли результаты стрельбы по фортам. Затем летчики сбросили две пудовые бомбы на берего</w:t>
      </w:r>
      <w:r w:rsidRPr="00405303">
        <w:rPr>
          <w:bCs/>
          <w:color w:val="002060"/>
          <w:sz w:val="16"/>
          <w:szCs w:val="16"/>
        </w:rPr>
        <w:softHyphen/>
        <w:t>вую батарею и еще одну - на миноносец, шедший на выручку команды тонущего парохода. Густые туманы, окутавшие устье пролива в следующий день, помешали кораблям ударной группы продолжить выполнение боевой задачи. Они перешли в район Эрегли-Зонгулдак, откуда велись перевозки в Стамбул и Измит каменного угля. Крейсе</w:t>
      </w:r>
      <w:r w:rsidRPr="00405303">
        <w:rPr>
          <w:bCs/>
          <w:color w:val="002060"/>
          <w:sz w:val="16"/>
          <w:szCs w:val="16"/>
        </w:rPr>
        <w:softHyphen/>
        <w:t>ры и эсминцы обстреляли промышленные и портовые соору</w:t>
      </w:r>
      <w:r w:rsidRPr="00405303">
        <w:rPr>
          <w:bCs/>
          <w:color w:val="002060"/>
          <w:sz w:val="16"/>
          <w:szCs w:val="16"/>
        </w:rPr>
        <w:softHyphen/>
        <w:t>жения. Летающие лодки вели разведку, фотографировали объекты береговой обороны и бомбили. Противодействие вра</w:t>
      </w:r>
      <w:r w:rsidRPr="00405303">
        <w:rPr>
          <w:bCs/>
          <w:color w:val="002060"/>
          <w:sz w:val="16"/>
          <w:szCs w:val="16"/>
        </w:rPr>
        <w:softHyphen/>
        <w:t>га было слабым (11283).</w:t>
      </w:r>
    </w:p>
    <w:p w14:paraId="3AFD1B56" w14:textId="77777777" w:rsidR="004B4E35" w:rsidRPr="00405303" w:rsidRDefault="004B4E35" w:rsidP="00C15251">
      <w:pPr>
        <w:shd w:val="clear" w:color="auto" w:fill="FFFFFF"/>
        <w:jc w:val="both"/>
        <w:rPr>
          <w:bCs/>
          <w:color w:val="002060"/>
          <w:sz w:val="16"/>
          <w:szCs w:val="16"/>
        </w:rPr>
      </w:pPr>
    </w:p>
    <w:p w14:paraId="24878874" w14:textId="34C3C882" w:rsidR="004B4E35" w:rsidRPr="00405303" w:rsidRDefault="009E6F82" w:rsidP="00C15251">
      <w:pPr>
        <w:jc w:val="both"/>
        <w:rPr>
          <w:bCs/>
          <w:color w:val="002060"/>
          <w:sz w:val="16"/>
          <w:szCs w:val="16"/>
        </w:rPr>
      </w:pPr>
      <w:r w:rsidRPr="00405303">
        <w:rPr>
          <w:bCs/>
          <w:color w:val="002060"/>
          <w:sz w:val="16"/>
          <w:szCs w:val="16"/>
        </w:rPr>
        <w:t xml:space="preserve">28 марта </w:t>
      </w:r>
      <w:r w:rsidR="00EF05DA" w:rsidRPr="00405303">
        <w:rPr>
          <w:bCs/>
          <w:color w:val="002060"/>
          <w:sz w:val="16"/>
          <w:szCs w:val="16"/>
        </w:rPr>
        <w:t xml:space="preserve">(10 апреля) 1915 г. </w:t>
      </w:r>
      <w:r w:rsidRPr="00405303">
        <w:rPr>
          <w:bCs/>
          <w:color w:val="002060"/>
          <w:sz w:val="16"/>
          <w:szCs w:val="16"/>
        </w:rPr>
        <w:t>авиатранспорт и крейсер на удалении 10 миль от пролива Босфор застопорили машины и начали спуск самолётов на воду. Вылетавшие экипажи наблюдали за результатами обстрела. Затем эскадра перешла в район Эрегли-Зон- гулдак для обстрела промышленных объектов и портовых сооружениё. Экипажи самолётов вели разведку, фотографировали береговые объекты и по возможности применяли бомбы по береговым объектам. В 10 ч.ЗО мин. линейный корабль "Ростислав" открыл огонь по береговым целям в районе Эльмас, Ана- толи-Фенер и Фенераки, затем по Румелийскому берегу. Воздушная разведка показала, что в Босфоре крупных кораблей противника нет. Одновременно с выполнением разведки самолёты сбросили несколько бомб по батареям. На следующий день гидросамолёты впервые производили корректировку огня корабельной артиллерии.</w:t>
      </w:r>
    </w:p>
    <w:p w14:paraId="7E8A9BBC" w14:textId="77777777" w:rsidR="004B4E35" w:rsidRPr="00405303" w:rsidRDefault="009E6F82" w:rsidP="00C15251">
      <w:pPr>
        <w:jc w:val="both"/>
        <w:rPr>
          <w:bCs/>
          <w:color w:val="002060"/>
          <w:sz w:val="16"/>
          <w:szCs w:val="16"/>
        </w:rPr>
      </w:pPr>
      <w:r w:rsidRPr="00405303">
        <w:rPr>
          <w:bCs/>
          <w:color w:val="002060"/>
          <w:sz w:val="16"/>
          <w:szCs w:val="16"/>
        </w:rPr>
        <w:t>Очередной авиатранспорт "Память Меркурия" в свой первый поход отправился 20 апреля 1915 г., но его служба была недолгой.</w:t>
      </w:r>
    </w:p>
    <w:p w14:paraId="26857415" w14:textId="77777777" w:rsidR="004B4E35" w:rsidRPr="00405303" w:rsidRDefault="009E6F82" w:rsidP="00C15251">
      <w:pPr>
        <w:jc w:val="both"/>
        <w:rPr>
          <w:bCs/>
          <w:color w:val="002060"/>
          <w:sz w:val="16"/>
          <w:szCs w:val="16"/>
        </w:rPr>
      </w:pPr>
      <w:r w:rsidRPr="00405303">
        <w:rPr>
          <w:bCs/>
          <w:color w:val="002060"/>
          <w:sz w:val="16"/>
          <w:szCs w:val="16"/>
        </w:rPr>
        <w:t>Отчёты начальников авиационных отрядов позволяют охарактеризовать обстановку, в которой приходилось действовать черноморским лётчикам и относиться к ним с должным уважением.</w:t>
      </w:r>
    </w:p>
    <w:p w14:paraId="68C31BF9" w14:textId="77777777" w:rsidR="004B4E35" w:rsidRPr="00405303" w:rsidRDefault="009E6F82" w:rsidP="00C15251">
      <w:pPr>
        <w:jc w:val="both"/>
        <w:rPr>
          <w:bCs/>
          <w:color w:val="002060"/>
          <w:sz w:val="16"/>
          <w:szCs w:val="16"/>
        </w:rPr>
      </w:pPr>
      <w:r w:rsidRPr="00405303">
        <w:rPr>
          <w:bCs/>
          <w:color w:val="002060"/>
          <w:sz w:val="16"/>
          <w:szCs w:val="16"/>
        </w:rPr>
        <w:t>Из отчёта начальника авиационного отряда Б-2 лейтенанта В.В.Утгофа*: "19 апреля отряд,, состоявший из четырёх лётоющих лодок "Кертисса", имел зодочу наблюдения за Босфором. Рано утром флот пришёл в точку Аз у Босфора, ив 7 ч 10 мин с "Евстафия" последовал сигналo"спустить гидро". В 7 ч 23 мин взлетел лейтенант Коведяев с наблюдателем моторным унтер- офицером Бабиным-Волынским и отправился на разведку к Босфору". Экипаж обнаружил подводную лодку, пароход в виде тральщика, судно, буксировавшее большую баржу с пассажирами и несколько парусников. Вылетевший через час лейтенант Лучанинов с наблюдателем моторным унтер-офицером Семёновым, доложил, что пролив свободен. В 9 ч 15мин на разведку вылетел лейтенант Утгоф с наблюдателем моторным унтер-офицером Аристовым. Вернувшись в11 ч 25 мин, он доложил об отсутствии кораблей в проливе и на походах к нему. Наблюдая стрельбу 2-й бригады, он видел столбы дыма и пыли на мысу Эльмас, дым около батареи Пайрес, несколько 12-ти дюймовых снарядов, упавших в воду. Когда 2-я бригада начала поворачивать направо, она открыла стрельбу из орудий мелкого калибра и пулемётов. Полагая, что там усмотрена подводная лодка, лейтенант Утгоф тщательно осмотрел обследуемый район и сообщил, что нигде вблизи подводных лодок нет. В 11.01 на разведку вылетел лейтенант Рагозин, но через 15 мин. сел на воду из-за порчи мотора и был прибуксирован к вспомогательному крейсеру "Император Николай I" быстроходным катером.</w:t>
      </w:r>
    </w:p>
    <w:p w14:paraId="20151133" w14:textId="77777777" w:rsidR="004B4E35" w:rsidRPr="00405303" w:rsidRDefault="009E6F82" w:rsidP="00C15251">
      <w:pPr>
        <w:jc w:val="both"/>
        <w:rPr>
          <w:bCs/>
          <w:color w:val="002060"/>
          <w:sz w:val="16"/>
          <w:szCs w:val="16"/>
        </w:rPr>
      </w:pPr>
      <w:r w:rsidRPr="00405303">
        <w:rPr>
          <w:bCs/>
          <w:color w:val="002060"/>
          <w:sz w:val="16"/>
          <w:szCs w:val="16"/>
        </w:rPr>
        <w:t>В этот день на разведку вылетали ещё два самолёта, пока в 13 часов с "Евстафия" не передали семафором "гидро больше не поднимать" (11930).</w:t>
      </w:r>
    </w:p>
    <w:p w14:paraId="6341A106" w14:textId="77777777" w:rsidR="004B4E35" w:rsidRPr="00405303" w:rsidRDefault="004B4E35" w:rsidP="00C15251">
      <w:pPr>
        <w:jc w:val="both"/>
        <w:rPr>
          <w:bCs/>
          <w:color w:val="002060"/>
          <w:sz w:val="16"/>
          <w:szCs w:val="16"/>
        </w:rPr>
      </w:pPr>
    </w:p>
    <w:p w14:paraId="5FD025BC" w14:textId="463FA66A" w:rsidR="00FE7209" w:rsidRPr="00405303" w:rsidRDefault="00FE7209" w:rsidP="00C15251">
      <w:pPr>
        <w:jc w:val="both"/>
        <w:rPr>
          <w:bCs/>
          <w:color w:val="002060"/>
          <w:sz w:val="16"/>
          <w:szCs w:val="16"/>
        </w:rPr>
      </w:pPr>
      <w:r w:rsidRPr="00405303">
        <w:rPr>
          <w:bCs/>
          <w:color w:val="002060"/>
          <w:sz w:val="16"/>
          <w:szCs w:val="16"/>
        </w:rPr>
        <w:t xml:space="preserve">28 марта (10 апреля) 1915 г. неприятельская летающая лодка сбросила на город Либава несколько бомб преимущественно в районе мостов. При их разрыве убито двое гражданских лиц, еще двое получили ранение. При этом другой гидроаэроплан, ранее спущенный на воду с борта крейсера, обеспечивал корректировку стрельбы немецкой эскадры по нашим береговым позициям. Вскоре в ходе очередного налета германский гидроаэроплан бросил на Либаву 7 бомб, которые, разорвавшись, </w:t>
      </w:r>
      <w:r w:rsidRPr="00405303">
        <w:rPr>
          <w:bCs/>
          <w:color w:val="002060"/>
          <w:sz w:val="16"/>
          <w:szCs w:val="16"/>
        </w:rPr>
        <w:lastRenderedPageBreak/>
        <w:t>причинили повреждения нескольким зданиям. Позднее в небе города появился другой гидроаэроплан, также «бросивший несколько бомб, не причинивших, однако, вреда» (23405).</w:t>
      </w:r>
    </w:p>
    <w:p w14:paraId="4F447BA2" w14:textId="77777777" w:rsidR="00FE7209" w:rsidRPr="00405303" w:rsidRDefault="00FE7209" w:rsidP="00C15251">
      <w:pPr>
        <w:jc w:val="both"/>
        <w:rPr>
          <w:bCs/>
          <w:color w:val="002060"/>
          <w:sz w:val="16"/>
          <w:szCs w:val="16"/>
          <w:lang w:bidi="ru-RU"/>
        </w:rPr>
      </w:pPr>
    </w:p>
    <w:p w14:paraId="1147C3A1" w14:textId="15E32643" w:rsidR="00FE7209" w:rsidRPr="00405303" w:rsidRDefault="00FE7209" w:rsidP="00C15251">
      <w:pPr>
        <w:jc w:val="both"/>
        <w:rPr>
          <w:bCs/>
          <w:color w:val="002060"/>
          <w:sz w:val="16"/>
          <w:szCs w:val="16"/>
          <w:lang w:bidi="en-US"/>
        </w:rPr>
      </w:pPr>
      <w:r w:rsidRPr="00405303">
        <w:rPr>
          <w:bCs/>
          <w:color w:val="002060"/>
          <w:sz w:val="16"/>
          <w:szCs w:val="16"/>
          <w:lang w:bidi="en-US"/>
        </w:rPr>
        <w:t xml:space="preserve">28 марта </w:t>
      </w:r>
      <w:r w:rsidRPr="00405303">
        <w:rPr>
          <w:bCs/>
          <w:color w:val="002060"/>
          <w:sz w:val="16"/>
          <w:szCs w:val="16"/>
        </w:rPr>
        <w:t xml:space="preserve">(10 апреля) </w:t>
      </w:r>
      <w:r w:rsidRPr="00405303">
        <w:rPr>
          <w:bCs/>
          <w:color w:val="002060"/>
          <w:sz w:val="16"/>
          <w:szCs w:val="16"/>
          <w:lang w:bidi="en-US"/>
        </w:rPr>
        <w:t xml:space="preserve">1915 г. немецкий авианосец </w:t>
      </w:r>
      <w:r w:rsidRPr="00405303">
        <w:rPr>
          <w:bCs/>
          <w:color w:val="002060"/>
          <w:sz w:val="16"/>
          <w:szCs w:val="16"/>
          <w:lang w:val="en-US" w:bidi="en-US"/>
        </w:rPr>
        <w:t>Flugzeugmutterschiff</w:t>
      </w:r>
      <w:r w:rsidRPr="00405303">
        <w:rPr>
          <w:bCs/>
          <w:color w:val="002060"/>
          <w:sz w:val="16"/>
          <w:szCs w:val="16"/>
          <w:lang w:bidi="en-US"/>
        </w:rPr>
        <w:t xml:space="preserve"> </w:t>
      </w:r>
      <w:r w:rsidRPr="00405303">
        <w:rPr>
          <w:bCs/>
          <w:color w:val="002060"/>
          <w:sz w:val="16"/>
          <w:szCs w:val="16"/>
          <w:lang w:val="en-US" w:bidi="en-US"/>
        </w:rPr>
        <w:t>Glyndwr</w:t>
      </w:r>
      <w:r w:rsidRPr="00405303">
        <w:rPr>
          <w:bCs/>
          <w:color w:val="002060"/>
          <w:sz w:val="16"/>
          <w:szCs w:val="16"/>
          <w:lang w:bidi="en-US"/>
        </w:rPr>
        <w:t xml:space="preserve"> с 2-4 гидросамолетами прибыл в Мемель на Балтийском море. 29-го начались операции, которые продлились до 22 мая. Затем она переехала в Либаву. 4 июня подорвался на мине и был поставлен на прикол. 16-18 июня проводил операции в Ирбенском проливе. За авианосцем «Глиндур» последовал «Ансвальд» с 2–6 гидросамолетами, которые выполняли операции из Мемеля с 26 апреля по 9 июля (23525).</w:t>
      </w:r>
    </w:p>
    <w:p w14:paraId="0928BFCC" w14:textId="77777777" w:rsidR="00FE7209" w:rsidRPr="00405303" w:rsidRDefault="00FE7209" w:rsidP="00C15251">
      <w:pPr>
        <w:jc w:val="both"/>
        <w:rPr>
          <w:bCs/>
          <w:color w:val="002060"/>
          <w:sz w:val="16"/>
          <w:szCs w:val="16"/>
        </w:rPr>
      </w:pPr>
    </w:p>
    <w:p w14:paraId="7B52B372" w14:textId="12E014B1" w:rsidR="00FE7209" w:rsidRPr="00405303" w:rsidRDefault="00FE7209" w:rsidP="00C15251">
      <w:pPr>
        <w:jc w:val="both"/>
        <w:rPr>
          <w:bCs/>
          <w:color w:val="002060"/>
          <w:sz w:val="16"/>
          <w:szCs w:val="16"/>
        </w:rPr>
      </w:pPr>
      <w:r w:rsidRPr="00405303">
        <w:rPr>
          <w:bCs/>
          <w:color w:val="002060"/>
          <w:sz w:val="16"/>
          <w:szCs w:val="16"/>
          <w:lang w:bidi="en-US"/>
        </w:rPr>
        <w:t xml:space="preserve">28 марта </w:t>
      </w:r>
      <w:r w:rsidRPr="00405303">
        <w:rPr>
          <w:bCs/>
          <w:color w:val="002060"/>
          <w:sz w:val="16"/>
          <w:szCs w:val="16"/>
        </w:rPr>
        <w:t xml:space="preserve">(10 апреля) </w:t>
      </w:r>
      <w:r w:rsidRPr="00405303">
        <w:rPr>
          <w:bCs/>
          <w:color w:val="002060"/>
          <w:sz w:val="16"/>
          <w:szCs w:val="16"/>
          <w:lang w:bidi="en-US"/>
        </w:rPr>
        <w:t xml:space="preserve">1915 г.корабельный отряд Черноморского флота Б.2 провел первые боевые действия, а авианосцы «Император Николай </w:t>
      </w:r>
      <w:r w:rsidRPr="00405303">
        <w:rPr>
          <w:bCs/>
          <w:color w:val="002060"/>
          <w:sz w:val="16"/>
          <w:szCs w:val="16"/>
          <w:lang w:val="en-US" w:bidi="en-US"/>
        </w:rPr>
        <w:t>I</w:t>
      </w:r>
      <w:r w:rsidRPr="00405303">
        <w:rPr>
          <w:bCs/>
          <w:color w:val="002060"/>
          <w:sz w:val="16"/>
          <w:szCs w:val="16"/>
          <w:lang w:bidi="en-US"/>
        </w:rPr>
        <w:t xml:space="preserve">» (в составе пяти «Кертисс Ф») и «Алмаз» (в составе одного «Кертисс Ф») совершили рейд в устье Босфора. 30-го четыре летающие лодки Императора Николая </w:t>
      </w:r>
      <w:r w:rsidRPr="00405303">
        <w:rPr>
          <w:bCs/>
          <w:color w:val="002060"/>
          <w:sz w:val="16"/>
          <w:szCs w:val="16"/>
          <w:lang w:val="en-US" w:bidi="en-US"/>
        </w:rPr>
        <w:t>I</w:t>
      </w:r>
      <w:r w:rsidRPr="00405303">
        <w:rPr>
          <w:bCs/>
          <w:color w:val="002060"/>
          <w:sz w:val="16"/>
          <w:szCs w:val="16"/>
          <w:lang w:bidi="en-US"/>
        </w:rPr>
        <w:t xml:space="preserve"> атаковали турецкий порт Зонгулдак. Летчик ВМФ лейтенант В.В. Утгоф и его механик Демченко на летающей лодке </w:t>
      </w:r>
      <w:r w:rsidRPr="00405303">
        <w:rPr>
          <w:bCs/>
          <w:color w:val="002060"/>
          <w:sz w:val="16"/>
          <w:szCs w:val="16"/>
          <w:lang w:val="en-US" w:bidi="en-US"/>
        </w:rPr>
        <w:t>Curtiss</w:t>
      </w:r>
      <w:r w:rsidRPr="00405303">
        <w:rPr>
          <w:bCs/>
          <w:color w:val="002060"/>
          <w:sz w:val="16"/>
          <w:szCs w:val="16"/>
          <w:lang w:bidi="en-US"/>
        </w:rPr>
        <w:t xml:space="preserve"> </w:t>
      </w:r>
      <w:r w:rsidRPr="00405303">
        <w:rPr>
          <w:bCs/>
          <w:color w:val="002060"/>
          <w:sz w:val="16"/>
          <w:szCs w:val="16"/>
          <w:lang w:val="en-US" w:bidi="en-US"/>
        </w:rPr>
        <w:t>F</w:t>
      </w:r>
      <w:r w:rsidRPr="00405303">
        <w:rPr>
          <w:bCs/>
          <w:color w:val="002060"/>
          <w:sz w:val="16"/>
          <w:szCs w:val="16"/>
          <w:lang w:bidi="en-US"/>
        </w:rPr>
        <w:t xml:space="preserve"> сбросили бомбу, которая разрушила электростанцию (23525).</w:t>
      </w:r>
    </w:p>
    <w:p w14:paraId="2EBB216A" w14:textId="77777777" w:rsidR="00FE7209" w:rsidRPr="00405303" w:rsidRDefault="00FE7209" w:rsidP="00C15251">
      <w:pPr>
        <w:jc w:val="both"/>
        <w:rPr>
          <w:bCs/>
          <w:color w:val="002060"/>
          <w:sz w:val="16"/>
          <w:szCs w:val="16"/>
          <w:lang w:bidi="en-US"/>
        </w:rPr>
      </w:pPr>
    </w:p>
    <w:p w14:paraId="67CB58AA" w14:textId="77777777" w:rsidR="00450DD3" w:rsidRPr="00405303" w:rsidRDefault="00450DD3" w:rsidP="00C15251">
      <w:pPr>
        <w:jc w:val="both"/>
        <w:rPr>
          <w:bCs/>
          <w:i/>
          <w:color w:val="002060"/>
          <w:sz w:val="16"/>
          <w:szCs w:val="16"/>
        </w:rPr>
      </w:pPr>
      <w:r w:rsidRPr="00405303">
        <w:rPr>
          <w:bCs/>
          <w:i/>
          <w:color w:val="002060"/>
          <w:sz w:val="16"/>
          <w:szCs w:val="16"/>
        </w:rPr>
        <w:t>Армия:</w:t>
      </w:r>
    </w:p>
    <w:p w14:paraId="7F156AC3" w14:textId="77777777" w:rsidR="00450DD3" w:rsidRPr="00405303" w:rsidRDefault="00450DD3" w:rsidP="00C15251">
      <w:pPr>
        <w:jc w:val="both"/>
        <w:rPr>
          <w:bCs/>
          <w:i/>
          <w:color w:val="002060"/>
          <w:sz w:val="16"/>
          <w:szCs w:val="16"/>
        </w:rPr>
      </w:pPr>
    </w:p>
    <w:p w14:paraId="73ADC874" w14:textId="61EB2032" w:rsidR="00450DD3" w:rsidRPr="00405303" w:rsidRDefault="00450DD3" w:rsidP="00C15251">
      <w:pPr>
        <w:jc w:val="both"/>
        <w:rPr>
          <w:bCs/>
          <w:color w:val="002060"/>
          <w:sz w:val="16"/>
          <w:szCs w:val="16"/>
        </w:rPr>
      </w:pPr>
      <w:r w:rsidRPr="00405303">
        <w:rPr>
          <w:bCs/>
          <w:color w:val="002060"/>
          <w:sz w:val="16"/>
          <w:szCs w:val="16"/>
        </w:rPr>
        <w:t xml:space="preserve">28 марта </w:t>
      </w:r>
      <w:r w:rsidR="00EF05DA" w:rsidRPr="00405303">
        <w:rPr>
          <w:bCs/>
          <w:color w:val="002060"/>
          <w:sz w:val="16"/>
          <w:szCs w:val="16"/>
        </w:rPr>
        <w:t xml:space="preserve">(10 апреля) </w:t>
      </w:r>
      <w:r w:rsidRPr="00405303">
        <w:rPr>
          <w:bCs/>
          <w:color w:val="002060"/>
          <w:sz w:val="16"/>
          <w:szCs w:val="16"/>
        </w:rPr>
        <w:t>в 1915 году главные силы русского Черноморского флота (линкоры "Ефстафий", "Иоанн Златоуст", "Святой Пантелеймон", "Три Святителя", "Ростислав"; 3 крейсера, 5 эсминцев) обстреляли входные маяки и дозорные турецкие эсминцы у пролива Босфор. Обстрел не причинил туркам существенных потерь (15082).</w:t>
      </w:r>
    </w:p>
    <w:p w14:paraId="6CEFEFAB" w14:textId="77777777" w:rsidR="00450DD3" w:rsidRPr="00405303" w:rsidRDefault="00450DD3" w:rsidP="00C15251">
      <w:pPr>
        <w:jc w:val="both"/>
        <w:rPr>
          <w:bCs/>
          <w:color w:val="002060"/>
          <w:sz w:val="16"/>
          <w:szCs w:val="16"/>
        </w:rPr>
      </w:pPr>
    </w:p>
    <w:p w14:paraId="4BCA51C1"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2BAF42D7" w14:textId="77777777" w:rsidR="004B4E35" w:rsidRPr="00405303" w:rsidRDefault="004B4E35" w:rsidP="00C15251">
      <w:pPr>
        <w:jc w:val="both"/>
        <w:rPr>
          <w:bCs/>
          <w:i/>
          <w:color w:val="002060"/>
          <w:sz w:val="16"/>
          <w:szCs w:val="16"/>
        </w:rPr>
      </w:pPr>
    </w:p>
    <w:p w14:paraId="7DA3F0E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29 марта (11 апреля) 1915 12 немецких самолетов "Альбатрос" совершили групповой налет на аэродром 15 КАО близ города Седлеца и сбросили на него более 100 бомб, в результате чего были повреждены три "Ньюпора" и две палатки (ЦГВИА. ф.2008, д.350, л.20).</w:t>
      </w:r>
    </w:p>
    <w:p w14:paraId="155D6347" w14:textId="77777777" w:rsidR="004B4E35" w:rsidRPr="00405303" w:rsidRDefault="004B4E35" w:rsidP="00C15251">
      <w:pPr>
        <w:shd w:val="clear" w:color="auto" w:fill="FFFFFF"/>
        <w:jc w:val="both"/>
        <w:rPr>
          <w:bCs/>
          <w:color w:val="002060"/>
          <w:sz w:val="16"/>
          <w:szCs w:val="16"/>
        </w:rPr>
      </w:pPr>
    </w:p>
    <w:p w14:paraId="62C5125D" w14:textId="77777777" w:rsidR="0043463F" w:rsidRPr="00405303" w:rsidRDefault="0043463F" w:rsidP="00C15251">
      <w:pPr>
        <w:jc w:val="both"/>
        <w:rPr>
          <w:bCs/>
          <w:color w:val="002060"/>
          <w:sz w:val="16"/>
          <w:szCs w:val="16"/>
        </w:rPr>
      </w:pPr>
      <w:r w:rsidRPr="00405303">
        <w:rPr>
          <w:bCs/>
          <w:color w:val="002060"/>
          <w:sz w:val="16"/>
          <w:szCs w:val="16"/>
        </w:rPr>
        <w:t>29 марта (11 апреля) 1915 г. 12 неприятельских самолетов "Альбатрос" совершили Групцовой налет на аэродром 15 КАО близ г. Седлеца и сбросили на него более 100 бомб, в результате чего были повреждены три Ньюпора, две палатки.</w:t>
      </w:r>
    </w:p>
    <w:p w14:paraId="3D5E7558" w14:textId="77777777" w:rsidR="0043463F" w:rsidRPr="00405303" w:rsidRDefault="0043463F" w:rsidP="00C15251">
      <w:pPr>
        <w:jc w:val="both"/>
        <w:rPr>
          <w:bCs/>
          <w:color w:val="002060"/>
          <w:sz w:val="16"/>
          <w:szCs w:val="16"/>
        </w:rPr>
      </w:pPr>
      <w:r w:rsidRPr="00405303">
        <w:rPr>
          <w:bCs/>
          <w:color w:val="002060"/>
          <w:sz w:val="16"/>
          <w:szCs w:val="16"/>
        </w:rPr>
        <w:t>/ЦГВИА, ф. 2008, Д. 350, Л. 20/ (23320).</w:t>
      </w:r>
    </w:p>
    <w:p w14:paraId="6BC87899" w14:textId="77777777" w:rsidR="0043463F" w:rsidRPr="00405303" w:rsidRDefault="0043463F" w:rsidP="00C15251">
      <w:pPr>
        <w:jc w:val="both"/>
        <w:rPr>
          <w:bCs/>
          <w:color w:val="002060"/>
          <w:sz w:val="16"/>
          <w:szCs w:val="16"/>
        </w:rPr>
      </w:pPr>
    </w:p>
    <w:p w14:paraId="64F2ED3C" w14:textId="41F98A22" w:rsidR="00FE7209" w:rsidRPr="00405303" w:rsidRDefault="00FE7209" w:rsidP="00C15251">
      <w:pPr>
        <w:jc w:val="both"/>
        <w:rPr>
          <w:bCs/>
          <w:color w:val="002060"/>
          <w:sz w:val="16"/>
          <w:szCs w:val="16"/>
        </w:rPr>
      </w:pPr>
      <w:r w:rsidRPr="00405303">
        <w:rPr>
          <w:bCs/>
          <w:color w:val="002060"/>
          <w:sz w:val="16"/>
          <w:szCs w:val="16"/>
          <w:lang w:bidi="en-US"/>
        </w:rPr>
        <w:t xml:space="preserve">29 марта </w:t>
      </w:r>
      <w:r w:rsidRPr="00405303">
        <w:rPr>
          <w:bCs/>
          <w:color w:val="002060"/>
          <w:sz w:val="16"/>
          <w:szCs w:val="16"/>
        </w:rPr>
        <w:t xml:space="preserve">(11 апреля) </w:t>
      </w:r>
      <w:r w:rsidRPr="00405303">
        <w:rPr>
          <w:bCs/>
          <w:color w:val="002060"/>
          <w:sz w:val="16"/>
          <w:szCs w:val="16"/>
          <w:lang w:bidi="en-US"/>
        </w:rPr>
        <w:t>1915 г. АО «Карская крепость» было приказано переименовать в 1-й Кавказский КАО (23525).</w:t>
      </w:r>
    </w:p>
    <w:p w14:paraId="5683F9A0" w14:textId="77777777" w:rsidR="00FE7209" w:rsidRPr="00405303" w:rsidRDefault="00FE7209" w:rsidP="00C15251">
      <w:pPr>
        <w:jc w:val="both"/>
        <w:rPr>
          <w:bCs/>
          <w:color w:val="002060"/>
          <w:sz w:val="16"/>
          <w:szCs w:val="16"/>
        </w:rPr>
      </w:pPr>
    </w:p>
    <w:p w14:paraId="200C5F5F" w14:textId="1D3518D7" w:rsidR="00FE7209" w:rsidRPr="00405303" w:rsidRDefault="00FE7209" w:rsidP="00C15251">
      <w:pPr>
        <w:jc w:val="both"/>
        <w:rPr>
          <w:bCs/>
          <w:color w:val="002060"/>
          <w:sz w:val="16"/>
          <w:szCs w:val="16"/>
        </w:rPr>
      </w:pPr>
      <w:r w:rsidRPr="00405303">
        <w:rPr>
          <w:bCs/>
          <w:color w:val="002060"/>
          <w:sz w:val="16"/>
          <w:szCs w:val="16"/>
        </w:rPr>
        <w:t>29 марта (11 апреля) 1915 г. в районе г. Остроленка авиационный отряд противника (до 15 самолетов) осуществил бомбардировку «отдельно стоящий дом; из 100 сброшенных бомб ни одна в цель не попала». Через день аналогичный налет (до 10 аэропланов) немецкая авиация совершила на г. Ломжа. В результате было сброшено до 120 бомб. Одна из них попала в собор, наполненный молящимися людьми. По счастливой случайности обошлось без жертв и разрушений (23405).</w:t>
      </w:r>
    </w:p>
    <w:p w14:paraId="15B376BD" w14:textId="77777777" w:rsidR="00FE7209" w:rsidRPr="00405303" w:rsidRDefault="00FE7209" w:rsidP="00C15251">
      <w:pPr>
        <w:jc w:val="both"/>
        <w:rPr>
          <w:bCs/>
          <w:color w:val="002060"/>
          <w:sz w:val="16"/>
          <w:szCs w:val="16"/>
          <w:lang w:bidi="ru-RU"/>
        </w:rPr>
      </w:pPr>
    </w:p>
    <w:p w14:paraId="20DEDF1E" w14:textId="1906A575" w:rsidR="00FE7209" w:rsidRPr="00405303" w:rsidRDefault="00FE7209" w:rsidP="00C15251">
      <w:pPr>
        <w:jc w:val="both"/>
        <w:rPr>
          <w:bCs/>
          <w:color w:val="002060"/>
          <w:sz w:val="16"/>
          <w:szCs w:val="16"/>
        </w:rPr>
      </w:pPr>
      <w:r w:rsidRPr="00405303">
        <w:rPr>
          <w:bCs/>
          <w:color w:val="002060"/>
          <w:sz w:val="16"/>
          <w:szCs w:val="16"/>
        </w:rPr>
        <w:t>29 марта (11 апреля) 1915 г. в районе д. Едвабне (Белостокский уезд) огнем русской артиллерии подбит германский аэроплан. При посадке его экипаж (два офицера и механик) взят в плен. В тот же день возле крепости Осовец противник неоднократно пытался поднять в воздух аэростаты в интересах своей осадной артиллерии. Однако наши орудийные расчеты точной стрельбой исключили такие попытки (23405).</w:t>
      </w:r>
    </w:p>
    <w:p w14:paraId="21224D0E" w14:textId="77777777" w:rsidR="00FE7209" w:rsidRPr="00405303" w:rsidRDefault="00FE7209" w:rsidP="00C15251">
      <w:pPr>
        <w:jc w:val="both"/>
        <w:rPr>
          <w:bCs/>
          <w:color w:val="002060"/>
          <w:sz w:val="16"/>
          <w:szCs w:val="16"/>
        </w:rPr>
      </w:pPr>
    </w:p>
    <w:p w14:paraId="3AB6456E"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7D924DFF" w14:textId="77777777" w:rsidR="004B4E35" w:rsidRPr="00405303" w:rsidRDefault="004B4E35" w:rsidP="00C15251">
      <w:pPr>
        <w:jc w:val="both"/>
        <w:rPr>
          <w:bCs/>
          <w:i/>
          <w:color w:val="002060"/>
          <w:sz w:val="16"/>
          <w:szCs w:val="16"/>
        </w:rPr>
      </w:pPr>
    </w:p>
    <w:p w14:paraId="191CDE0E" w14:textId="676FB253" w:rsidR="008A3F09" w:rsidRPr="00405303" w:rsidRDefault="00EF05DA" w:rsidP="00C15251">
      <w:pPr>
        <w:jc w:val="both"/>
        <w:rPr>
          <w:bCs/>
          <w:color w:val="002060"/>
          <w:sz w:val="16"/>
          <w:szCs w:val="16"/>
        </w:rPr>
      </w:pPr>
      <w:r w:rsidRPr="00405303">
        <w:rPr>
          <w:bCs/>
          <w:color w:val="002060"/>
          <w:sz w:val="16"/>
          <w:szCs w:val="16"/>
        </w:rPr>
        <w:t>29</w:t>
      </w:r>
      <w:r w:rsidR="008A3F09" w:rsidRPr="00405303">
        <w:rPr>
          <w:bCs/>
          <w:color w:val="002060"/>
          <w:sz w:val="16"/>
          <w:szCs w:val="16"/>
        </w:rPr>
        <w:t xml:space="preserve"> марта (11 апреля) 1915 </w:t>
      </w:r>
      <w:r w:rsidRPr="00405303">
        <w:rPr>
          <w:bCs/>
          <w:color w:val="002060"/>
          <w:sz w:val="16"/>
          <w:szCs w:val="16"/>
        </w:rPr>
        <w:t xml:space="preserve">г. состоялся </w:t>
      </w:r>
      <w:r w:rsidR="008A3F09" w:rsidRPr="00405303">
        <w:rPr>
          <w:bCs/>
          <w:color w:val="002060"/>
          <w:sz w:val="16"/>
          <w:szCs w:val="16"/>
        </w:rPr>
        <w:t>первый полет Цеппелин-Стаакен ВГОИ (20338).</w:t>
      </w:r>
    </w:p>
    <w:p w14:paraId="037F897E" w14:textId="77777777" w:rsidR="008A3F09" w:rsidRPr="00405303" w:rsidRDefault="008A3F09" w:rsidP="00C15251">
      <w:pPr>
        <w:jc w:val="both"/>
        <w:rPr>
          <w:bCs/>
          <w:color w:val="002060"/>
          <w:sz w:val="16"/>
          <w:szCs w:val="16"/>
        </w:rPr>
      </w:pPr>
    </w:p>
    <w:p w14:paraId="70C722F3"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Франции:</w:t>
      </w:r>
    </w:p>
    <w:p w14:paraId="2294B319" w14:textId="77777777" w:rsidR="004B4E35" w:rsidRPr="00405303" w:rsidRDefault="004B4E35" w:rsidP="00C15251">
      <w:pPr>
        <w:jc w:val="both"/>
        <w:rPr>
          <w:bCs/>
          <w:i/>
          <w:color w:val="002060"/>
          <w:sz w:val="16"/>
          <w:szCs w:val="16"/>
        </w:rPr>
      </w:pPr>
    </w:p>
    <w:p w14:paraId="3DA7926F" w14:textId="718D1FCE" w:rsidR="004B4E35" w:rsidRPr="00405303" w:rsidRDefault="00EF05DA" w:rsidP="00C15251">
      <w:pPr>
        <w:jc w:val="both"/>
        <w:rPr>
          <w:bCs/>
          <w:color w:val="002060"/>
          <w:sz w:val="16"/>
          <w:szCs w:val="16"/>
        </w:rPr>
      </w:pPr>
      <w:r w:rsidRPr="00405303">
        <w:rPr>
          <w:bCs/>
          <w:color w:val="002060"/>
          <w:sz w:val="16"/>
          <w:szCs w:val="16"/>
        </w:rPr>
        <w:t>30 марта (</w:t>
      </w:r>
      <w:r w:rsidR="009E6F82" w:rsidRPr="00405303">
        <w:rPr>
          <w:bCs/>
          <w:color w:val="002060"/>
          <w:sz w:val="16"/>
          <w:szCs w:val="16"/>
        </w:rPr>
        <w:t>12 апреля</w:t>
      </w:r>
      <w:r w:rsidRPr="00405303">
        <w:rPr>
          <w:bCs/>
          <w:color w:val="002060"/>
          <w:sz w:val="16"/>
          <w:szCs w:val="16"/>
        </w:rPr>
        <w:t>) 1915 г.</w:t>
      </w:r>
      <w:r w:rsidR="009E6F82" w:rsidRPr="00405303">
        <w:rPr>
          <w:bCs/>
          <w:color w:val="002060"/>
          <w:sz w:val="16"/>
          <w:szCs w:val="16"/>
        </w:rPr>
        <w:t xml:space="preserve"> </w:t>
      </w:r>
      <w:r w:rsidRPr="00405303">
        <w:rPr>
          <w:bCs/>
          <w:color w:val="002060"/>
          <w:sz w:val="16"/>
          <w:szCs w:val="16"/>
        </w:rPr>
        <w:t>и</w:t>
      </w:r>
      <w:r w:rsidR="009E6F82" w:rsidRPr="00405303">
        <w:rPr>
          <w:bCs/>
          <w:color w:val="002060"/>
          <w:sz w:val="16"/>
          <w:szCs w:val="16"/>
        </w:rPr>
        <w:t xml:space="preserve"> </w:t>
      </w:r>
      <w:r w:rsidRPr="00405303">
        <w:rPr>
          <w:bCs/>
          <w:color w:val="002060"/>
          <w:sz w:val="16"/>
          <w:szCs w:val="16"/>
        </w:rPr>
        <w:t>1 (</w:t>
      </w:r>
      <w:r w:rsidR="009E6F82" w:rsidRPr="00405303">
        <w:rPr>
          <w:bCs/>
          <w:color w:val="002060"/>
          <w:sz w:val="16"/>
          <w:szCs w:val="16"/>
        </w:rPr>
        <w:t>14</w:t>
      </w:r>
      <w:r w:rsidRPr="00405303">
        <w:rPr>
          <w:bCs/>
          <w:color w:val="002060"/>
          <w:sz w:val="16"/>
          <w:szCs w:val="16"/>
        </w:rPr>
        <w:t>)</w:t>
      </w:r>
      <w:r w:rsidR="009E6F82" w:rsidRPr="00405303">
        <w:rPr>
          <w:bCs/>
          <w:color w:val="002060"/>
          <w:sz w:val="16"/>
          <w:szCs w:val="16"/>
        </w:rPr>
        <w:t xml:space="preserve"> апреля </w:t>
      </w:r>
      <w:r w:rsidR="001B00A7" w:rsidRPr="00405303">
        <w:rPr>
          <w:bCs/>
          <w:color w:val="002060"/>
          <w:sz w:val="16"/>
          <w:szCs w:val="16"/>
        </w:rPr>
        <w:t xml:space="preserve">французские аэропланы </w:t>
      </w:r>
      <w:r w:rsidR="009E6F82" w:rsidRPr="00405303">
        <w:rPr>
          <w:bCs/>
          <w:color w:val="002060"/>
          <w:sz w:val="16"/>
          <w:szCs w:val="16"/>
        </w:rPr>
        <w:t>бомбардировали здание штаба германского императора в Мезьер-Шарлевиль и военные постройки в Остенде. 15 апреля немецкие цеппелины бросали бомбы на юго-восточное побережье Англии, в Мельдоне (Эссекс) и Лоусторе, причинив лишь незначительный ущерб. Впрочем, подробности еще неизвестны" (11999).</w:t>
      </w:r>
    </w:p>
    <w:p w14:paraId="60A989AF" w14:textId="77777777" w:rsidR="004B4E35" w:rsidRPr="00405303" w:rsidRDefault="004B4E35" w:rsidP="00C15251">
      <w:pPr>
        <w:jc w:val="both"/>
        <w:rPr>
          <w:bCs/>
          <w:color w:val="002060"/>
          <w:sz w:val="16"/>
          <w:szCs w:val="16"/>
        </w:rPr>
      </w:pPr>
    </w:p>
    <w:p w14:paraId="6313E4D9"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0D3F56B7" w14:textId="77777777" w:rsidR="004B4E35" w:rsidRPr="00405303" w:rsidRDefault="004B4E35" w:rsidP="00C15251">
      <w:pPr>
        <w:jc w:val="both"/>
        <w:rPr>
          <w:bCs/>
          <w:i/>
          <w:color w:val="002060"/>
          <w:sz w:val="16"/>
          <w:szCs w:val="16"/>
        </w:rPr>
      </w:pPr>
    </w:p>
    <w:p w14:paraId="51EE63F3" w14:textId="5BC32B38" w:rsidR="004B4E35" w:rsidRPr="00405303" w:rsidRDefault="009E6F82" w:rsidP="00C15251">
      <w:pPr>
        <w:jc w:val="both"/>
        <w:rPr>
          <w:bCs/>
          <w:color w:val="002060"/>
          <w:sz w:val="16"/>
          <w:szCs w:val="16"/>
        </w:rPr>
      </w:pPr>
      <w:r w:rsidRPr="00405303">
        <w:rPr>
          <w:bCs/>
          <w:color w:val="002060"/>
          <w:sz w:val="16"/>
          <w:szCs w:val="16"/>
        </w:rPr>
        <w:t xml:space="preserve">31-го </w:t>
      </w:r>
      <w:proofErr w:type="gramStart"/>
      <w:r w:rsidRPr="00405303">
        <w:rPr>
          <w:bCs/>
          <w:color w:val="002060"/>
          <w:sz w:val="16"/>
          <w:szCs w:val="16"/>
        </w:rPr>
        <w:t>числа(</w:t>
      </w:r>
      <w:proofErr w:type="gramEnd"/>
      <w:r w:rsidRPr="00405303">
        <w:rPr>
          <w:bCs/>
          <w:color w:val="002060"/>
          <w:sz w:val="16"/>
          <w:szCs w:val="16"/>
        </w:rPr>
        <w:t xml:space="preserve">13 апреля) 1915 </w:t>
      </w:r>
      <w:r w:rsidR="001B00A7" w:rsidRPr="00405303">
        <w:rPr>
          <w:bCs/>
          <w:color w:val="002060"/>
          <w:sz w:val="16"/>
          <w:szCs w:val="16"/>
        </w:rPr>
        <w:t xml:space="preserve">г. </w:t>
      </w:r>
      <w:r w:rsidRPr="00405303">
        <w:rPr>
          <w:bCs/>
          <w:color w:val="002060"/>
          <w:sz w:val="16"/>
          <w:szCs w:val="16"/>
        </w:rPr>
        <w:t>приемная комиссия Севастопольского порта провела ис</w:t>
      </w:r>
      <w:r w:rsidRPr="00405303">
        <w:rPr>
          <w:bCs/>
          <w:color w:val="002060"/>
          <w:sz w:val="16"/>
          <w:szCs w:val="16"/>
        </w:rPr>
        <w:softHyphen/>
        <w:t>пытания</w:t>
      </w:r>
      <w:r w:rsidR="001B00A7" w:rsidRPr="00405303">
        <w:rPr>
          <w:bCs/>
          <w:color w:val="002060"/>
          <w:sz w:val="16"/>
          <w:szCs w:val="16"/>
        </w:rPr>
        <w:t xml:space="preserve"> летающих лодок ПРТВ в Севастополе</w:t>
      </w:r>
      <w:r w:rsidRPr="00405303">
        <w:rPr>
          <w:bCs/>
          <w:color w:val="002060"/>
          <w:sz w:val="16"/>
          <w:szCs w:val="16"/>
        </w:rPr>
        <w:t>, состоявшие из одного 25- и одного 13-минутного полета, во время которых контрак</w:t>
      </w:r>
      <w:r w:rsidRPr="00405303">
        <w:rPr>
          <w:bCs/>
          <w:color w:val="002060"/>
          <w:sz w:val="16"/>
          <w:szCs w:val="16"/>
        </w:rPr>
        <w:softHyphen/>
        <w:t>тную высоту покорили за 7,5 минут. По зачисле</w:t>
      </w:r>
      <w:r w:rsidRPr="00405303">
        <w:rPr>
          <w:bCs/>
          <w:color w:val="002060"/>
          <w:sz w:val="16"/>
          <w:szCs w:val="16"/>
        </w:rPr>
        <w:softHyphen/>
        <w:t>нии в казну, удостоившись флотских номеров 29 и 30, аппараты пополнили ряды боевых гидроаэ</w:t>
      </w:r>
      <w:r w:rsidRPr="00405303">
        <w:rPr>
          <w:bCs/>
          <w:color w:val="002060"/>
          <w:sz w:val="16"/>
          <w:szCs w:val="16"/>
        </w:rPr>
        <w:softHyphen/>
        <w:t>ропланов Черноморского флота, 8 апреля летчи</w:t>
      </w:r>
      <w:r w:rsidRPr="00405303">
        <w:rPr>
          <w:bCs/>
          <w:color w:val="002060"/>
          <w:sz w:val="16"/>
          <w:szCs w:val="16"/>
        </w:rPr>
        <w:softHyphen/>
        <w:t>ки начали осваивать их и вскоре «29-й» выдер</w:t>
      </w:r>
      <w:r w:rsidRPr="00405303">
        <w:rPr>
          <w:bCs/>
          <w:color w:val="002060"/>
          <w:sz w:val="16"/>
          <w:szCs w:val="16"/>
        </w:rPr>
        <w:softHyphen/>
        <w:t>жал крещение огнем, участвуя в рейде к Босфору 9-13 апреля. Он находился на борту гидрокрейсе</w:t>
      </w:r>
      <w:r w:rsidRPr="00405303">
        <w:rPr>
          <w:bCs/>
          <w:color w:val="002060"/>
          <w:sz w:val="16"/>
          <w:szCs w:val="16"/>
        </w:rPr>
        <w:softHyphen/>
        <w:t>ра «Император Николай I»; ранним утром 12-го числа его спустили на воду, и он взлетел с экипа</w:t>
      </w:r>
      <w:r w:rsidRPr="00405303">
        <w:rPr>
          <w:bCs/>
          <w:color w:val="002060"/>
          <w:sz w:val="16"/>
          <w:szCs w:val="16"/>
        </w:rPr>
        <w:softHyphen/>
        <w:t>жем из подпоручика по Адмиралтейству А. Е. Жукова и прапорщика артиллерии С. Н. Корса</w:t>
      </w:r>
      <w:r w:rsidRPr="00405303">
        <w:rPr>
          <w:bCs/>
          <w:color w:val="002060"/>
          <w:sz w:val="16"/>
          <w:szCs w:val="16"/>
        </w:rPr>
        <w:softHyphen/>
        <w:t>кова. Авиаторы сумели атаковать турецкую ка</w:t>
      </w:r>
      <w:r w:rsidRPr="00405303">
        <w:rPr>
          <w:bCs/>
          <w:color w:val="002060"/>
          <w:sz w:val="16"/>
          <w:szCs w:val="16"/>
        </w:rPr>
        <w:softHyphen/>
        <w:t>нонерскую лодку класса «Бурак Рейс», сбросив на нее бомбу, разорвавшуюся в 70 м за кормой корабля. Однако вылет едва не закончился плачевно: лопнувшая в топливной системе трубка вынудила офицеров приводниться на значительном расстоянии от их плавучей базы, но им все же повезло прирулить к ней по поверхности моря. После осмотра двига</w:t>
      </w:r>
      <w:r w:rsidRPr="00405303">
        <w:rPr>
          <w:bCs/>
          <w:color w:val="002060"/>
          <w:sz w:val="16"/>
          <w:szCs w:val="16"/>
        </w:rPr>
        <w:softHyphen/>
        <w:t>теля выяснилось, что, помимо всего, шатун одного из поршней лопнул и грозил, в принципе, разнести вдребезги всю моторную установку (2807).</w:t>
      </w:r>
    </w:p>
    <w:p w14:paraId="417D4754" w14:textId="77777777" w:rsidR="004B4E35" w:rsidRPr="00405303" w:rsidRDefault="004B4E35" w:rsidP="00C15251">
      <w:pPr>
        <w:jc w:val="both"/>
        <w:rPr>
          <w:bCs/>
          <w:color w:val="002060"/>
          <w:sz w:val="16"/>
          <w:szCs w:val="16"/>
        </w:rPr>
      </w:pPr>
    </w:p>
    <w:p w14:paraId="6404404E" w14:textId="6565ECCD" w:rsidR="00FE7209" w:rsidRPr="00405303" w:rsidRDefault="00FE7209" w:rsidP="00C15251">
      <w:pPr>
        <w:jc w:val="both"/>
        <w:rPr>
          <w:bCs/>
          <w:color w:val="002060"/>
          <w:sz w:val="16"/>
          <w:szCs w:val="16"/>
          <w:lang w:bidi="en-US"/>
        </w:rPr>
      </w:pPr>
      <w:r w:rsidRPr="00405303">
        <w:rPr>
          <w:bCs/>
          <w:color w:val="002060"/>
          <w:sz w:val="16"/>
          <w:szCs w:val="16"/>
          <w:lang w:bidi="en-US"/>
        </w:rPr>
        <w:t xml:space="preserve">31 марта (13 апреля) 1915 г. Главное военно-техническое управление обратилось в Военное министерство с просьбой утвердить заказ на 335 самолетов. Заказы были размещены 9 апреля и отправлены в Анатру на пятнадцать </w:t>
      </w:r>
      <w:r w:rsidRPr="00405303">
        <w:rPr>
          <w:bCs/>
          <w:color w:val="002060"/>
          <w:sz w:val="16"/>
          <w:szCs w:val="16"/>
          <w:lang w:val="en-US" w:bidi="en-US"/>
        </w:rPr>
        <w:t>Farman</w:t>
      </w:r>
      <w:r w:rsidRPr="00405303">
        <w:rPr>
          <w:bCs/>
          <w:color w:val="002060"/>
          <w:sz w:val="16"/>
          <w:szCs w:val="16"/>
          <w:lang w:bidi="en-US"/>
        </w:rPr>
        <w:t xml:space="preserve"> 22 и сорок </w:t>
      </w:r>
      <w:r w:rsidRPr="00405303">
        <w:rPr>
          <w:bCs/>
          <w:color w:val="002060"/>
          <w:sz w:val="16"/>
          <w:szCs w:val="16"/>
          <w:lang w:val="en-US" w:bidi="en-US"/>
        </w:rPr>
        <w:t>Nieuports</w:t>
      </w:r>
      <w:r w:rsidRPr="00405303">
        <w:rPr>
          <w:bCs/>
          <w:color w:val="002060"/>
          <w:sz w:val="16"/>
          <w:szCs w:val="16"/>
          <w:lang w:bidi="en-US"/>
        </w:rPr>
        <w:t xml:space="preserve">; Щетинин за восемьдесят Ньюпоров; </w:t>
      </w:r>
      <w:r w:rsidRPr="00405303">
        <w:rPr>
          <w:bCs/>
          <w:color w:val="002060"/>
          <w:sz w:val="16"/>
          <w:szCs w:val="16"/>
          <w:lang w:val="en-US" w:bidi="en-US"/>
        </w:rPr>
        <w:t>Duks</w:t>
      </w:r>
      <w:r w:rsidRPr="00405303">
        <w:rPr>
          <w:bCs/>
          <w:color w:val="002060"/>
          <w:sz w:val="16"/>
          <w:szCs w:val="16"/>
          <w:lang w:bidi="en-US"/>
        </w:rPr>
        <w:t xml:space="preserve"> для тринадцати </w:t>
      </w:r>
      <w:r w:rsidRPr="00405303">
        <w:rPr>
          <w:bCs/>
          <w:color w:val="002060"/>
          <w:sz w:val="16"/>
          <w:szCs w:val="16"/>
          <w:lang w:val="en-US" w:bidi="en-US"/>
        </w:rPr>
        <w:t>Morane</w:t>
      </w:r>
      <w:r w:rsidRPr="00405303">
        <w:rPr>
          <w:bCs/>
          <w:color w:val="002060"/>
          <w:sz w:val="16"/>
          <w:szCs w:val="16"/>
          <w:lang w:bidi="en-US"/>
        </w:rPr>
        <w:t xml:space="preserve"> </w:t>
      </w:r>
      <w:r w:rsidRPr="00405303">
        <w:rPr>
          <w:bCs/>
          <w:color w:val="002060"/>
          <w:sz w:val="16"/>
          <w:szCs w:val="16"/>
          <w:lang w:val="en-US" w:bidi="en-US"/>
        </w:rPr>
        <w:t>Saulniers</w:t>
      </w:r>
      <w:r w:rsidRPr="00405303">
        <w:rPr>
          <w:bCs/>
          <w:color w:val="002060"/>
          <w:sz w:val="16"/>
          <w:szCs w:val="16"/>
          <w:lang w:bidi="en-US"/>
        </w:rPr>
        <w:t xml:space="preserve">; Лебедева за 160 </w:t>
      </w:r>
      <w:r w:rsidRPr="00405303">
        <w:rPr>
          <w:bCs/>
          <w:color w:val="002060"/>
          <w:sz w:val="16"/>
          <w:szCs w:val="16"/>
          <w:lang w:val="en-US" w:bidi="en-US"/>
        </w:rPr>
        <w:t>Morane</w:t>
      </w:r>
      <w:r w:rsidRPr="00405303">
        <w:rPr>
          <w:bCs/>
          <w:color w:val="002060"/>
          <w:sz w:val="16"/>
          <w:szCs w:val="16"/>
          <w:lang w:bidi="en-US"/>
        </w:rPr>
        <w:t xml:space="preserve"> </w:t>
      </w:r>
      <w:r w:rsidRPr="00405303">
        <w:rPr>
          <w:bCs/>
          <w:color w:val="002060"/>
          <w:sz w:val="16"/>
          <w:szCs w:val="16"/>
          <w:lang w:val="en-US" w:bidi="en-US"/>
        </w:rPr>
        <w:t>Saulniers</w:t>
      </w:r>
      <w:r w:rsidRPr="00405303">
        <w:rPr>
          <w:bCs/>
          <w:color w:val="002060"/>
          <w:sz w:val="16"/>
          <w:szCs w:val="16"/>
          <w:lang w:bidi="en-US"/>
        </w:rPr>
        <w:t>; и Слюсаренко за двенадцать Депердюссинов и пятнадцать Фарманов 22 с поставкой в период с 9 июня по 8 октября 1915 г. (23525).</w:t>
      </w:r>
    </w:p>
    <w:p w14:paraId="1223D7AA" w14:textId="77777777" w:rsidR="00FE7209" w:rsidRPr="00405303" w:rsidRDefault="00FE7209" w:rsidP="00C15251">
      <w:pPr>
        <w:jc w:val="both"/>
        <w:rPr>
          <w:bCs/>
          <w:color w:val="002060"/>
          <w:sz w:val="16"/>
          <w:szCs w:val="16"/>
        </w:rPr>
      </w:pPr>
    </w:p>
    <w:p w14:paraId="5B365187" w14:textId="77777777" w:rsidR="00450DD3" w:rsidRPr="00405303" w:rsidRDefault="00450DD3" w:rsidP="00C15251">
      <w:pPr>
        <w:jc w:val="both"/>
        <w:rPr>
          <w:bCs/>
          <w:i/>
          <w:color w:val="002060"/>
          <w:sz w:val="16"/>
          <w:szCs w:val="16"/>
        </w:rPr>
      </w:pPr>
      <w:r w:rsidRPr="00405303">
        <w:rPr>
          <w:bCs/>
          <w:i/>
          <w:color w:val="002060"/>
          <w:sz w:val="16"/>
          <w:szCs w:val="16"/>
        </w:rPr>
        <w:t>Армия:</w:t>
      </w:r>
    </w:p>
    <w:p w14:paraId="4DE2876D" w14:textId="77777777" w:rsidR="00450DD3" w:rsidRPr="00405303" w:rsidRDefault="00450DD3" w:rsidP="00C15251">
      <w:pPr>
        <w:jc w:val="both"/>
        <w:rPr>
          <w:bCs/>
          <w:i/>
          <w:color w:val="002060"/>
          <w:sz w:val="16"/>
          <w:szCs w:val="16"/>
        </w:rPr>
      </w:pPr>
    </w:p>
    <w:p w14:paraId="06724335" w14:textId="4D60FFAB" w:rsidR="00450DD3" w:rsidRPr="00405303" w:rsidRDefault="00450DD3" w:rsidP="00C15251">
      <w:pPr>
        <w:jc w:val="both"/>
        <w:rPr>
          <w:bCs/>
          <w:color w:val="002060"/>
          <w:sz w:val="16"/>
          <w:szCs w:val="16"/>
        </w:rPr>
      </w:pPr>
      <w:r w:rsidRPr="00405303">
        <w:rPr>
          <w:bCs/>
          <w:color w:val="002060"/>
          <w:sz w:val="16"/>
          <w:szCs w:val="16"/>
        </w:rPr>
        <w:t xml:space="preserve">31 марта </w:t>
      </w:r>
      <w:r w:rsidR="003D28B0" w:rsidRPr="00405303">
        <w:rPr>
          <w:bCs/>
          <w:color w:val="002060"/>
          <w:sz w:val="16"/>
          <w:szCs w:val="16"/>
        </w:rPr>
        <w:t xml:space="preserve">(13 апреля) </w:t>
      </w:r>
      <w:r w:rsidRPr="00405303">
        <w:rPr>
          <w:bCs/>
          <w:color w:val="002060"/>
          <w:sz w:val="16"/>
          <w:szCs w:val="16"/>
        </w:rPr>
        <w:t>в 1915 году в русской армии сформирована первая зенитная батарея (15085).</w:t>
      </w:r>
    </w:p>
    <w:p w14:paraId="6888FD3A" w14:textId="77777777" w:rsidR="00450DD3" w:rsidRPr="00405303" w:rsidRDefault="00450DD3" w:rsidP="00C15251">
      <w:pPr>
        <w:jc w:val="both"/>
        <w:rPr>
          <w:bCs/>
          <w:color w:val="002060"/>
          <w:sz w:val="16"/>
          <w:szCs w:val="16"/>
        </w:rPr>
      </w:pPr>
    </w:p>
    <w:p w14:paraId="10228DD2" w14:textId="178A0BD7" w:rsidR="00FE7209" w:rsidRPr="00405303" w:rsidRDefault="00FE7209" w:rsidP="00C15251">
      <w:pPr>
        <w:jc w:val="both"/>
        <w:rPr>
          <w:bCs/>
          <w:i/>
          <w:color w:val="002060"/>
          <w:sz w:val="16"/>
          <w:szCs w:val="16"/>
        </w:rPr>
      </w:pPr>
      <w:r w:rsidRPr="00405303">
        <w:rPr>
          <w:bCs/>
          <w:i/>
          <w:color w:val="002060"/>
          <w:sz w:val="16"/>
          <w:szCs w:val="16"/>
        </w:rPr>
        <w:t>Авиация:</w:t>
      </w:r>
    </w:p>
    <w:p w14:paraId="6BBCE33F" w14:textId="77777777" w:rsidR="00FE7209" w:rsidRPr="00405303" w:rsidRDefault="00FE7209" w:rsidP="00C15251">
      <w:pPr>
        <w:jc w:val="both"/>
        <w:rPr>
          <w:bCs/>
          <w:i/>
          <w:color w:val="002060"/>
          <w:sz w:val="16"/>
          <w:szCs w:val="16"/>
        </w:rPr>
      </w:pPr>
    </w:p>
    <w:p w14:paraId="25F4F5D3" w14:textId="08842D25" w:rsidR="00FE7209" w:rsidRPr="00405303" w:rsidRDefault="00FE7209" w:rsidP="00C15251">
      <w:pPr>
        <w:jc w:val="both"/>
        <w:rPr>
          <w:bCs/>
          <w:color w:val="002060"/>
          <w:sz w:val="16"/>
          <w:szCs w:val="16"/>
        </w:rPr>
      </w:pPr>
      <w:r w:rsidRPr="00405303">
        <w:rPr>
          <w:bCs/>
          <w:color w:val="002060"/>
          <w:sz w:val="16"/>
          <w:szCs w:val="16"/>
        </w:rPr>
        <w:t xml:space="preserve">31 марта </w:t>
      </w:r>
      <w:r w:rsidRPr="00405303">
        <w:rPr>
          <w:rStyle w:val="42"/>
          <w:rFonts w:ascii="Times New Roman" w:hAnsi="Times New Roman" w:cs="Times New Roman"/>
          <w:bCs/>
          <w:color w:val="002060"/>
          <w:w w:val="100"/>
          <w:sz w:val="16"/>
          <w:szCs w:val="16"/>
        </w:rPr>
        <w:t xml:space="preserve">(13 апреля) </w:t>
      </w:r>
      <w:r w:rsidRPr="00405303">
        <w:rPr>
          <w:bCs/>
          <w:color w:val="002060"/>
          <w:sz w:val="16"/>
          <w:szCs w:val="16"/>
        </w:rPr>
        <w:t>1915 года достоин упоминания, поскольку он обеспечил штаб Первой армии экстраординарной разведывательной информацией. В середине марта австро-германское верховное командование начало концентрировать войска в Галиции. В то время штаб русской Первой армии получил информацию, что в их сектор переброшены значительные германские силы.</w:t>
      </w:r>
    </w:p>
    <w:p w14:paraId="41875467" w14:textId="77777777" w:rsidR="00FE7209" w:rsidRPr="00405303" w:rsidRDefault="00FE7209" w:rsidP="00C15251">
      <w:pPr>
        <w:jc w:val="both"/>
        <w:rPr>
          <w:bCs/>
          <w:color w:val="002060"/>
          <w:sz w:val="16"/>
          <w:szCs w:val="16"/>
        </w:rPr>
      </w:pPr>
      <w:r w:rsidRPr="00405303">
        <w:rPr>
          <w:bCs/>
          <w:color w:val="002060"/>
          <w:sz w:val="16"/>
          <w:szCs w:val="16"/>
        </w:rPr>
        <w:lastRenderedPageBreak/>
        <w:t>Встревоженный этим развитием событий, штаб Первой армии приказал ИМ-Киевскому тщательно обследовать вражеские тылы для того, чтобы определить движение и размещение вражеских сил. Капитан А. А. фон Горст, офицер разведки русской Первой армии, вошел в состав экипажа воздушного судна, который включал командира корабля капитана Г. Г. Горшкова, второго пилота лейтенанта И. С. Башко и штабс-капитана А. А. Наумова, артиллерийского офицера (23470).</w:t>
      </w:r>
    </w:p>
    <w:p w14:paraId="7FBDC875" w14:textId="77777777" w:rsidR="00FE7209" w:rsidRPr="00405303" w:rsidRDefault="00FE7209" w:rsidP="00C15251">
      <w:pPr>
        <w:jc w:val="both"/>
        <w:rPr>
          <w:bCs/>
          <w:color w:val="002060"/>
          <w:sz w:val="16"/>
          <w:szCs w:val="16"/>
        </w:rPr>
      </w:pPr>
    </w:p>
    <w:p w14:paraId="2EC036ED" w14:textId="51C49645" w:rsidR="00FE7209" w:rsidRPr="00405303" w:rsidRDefault="00FE7209" w:rsidP="00C15251">
      <w:pPr>
        <w:jc w:val="both"/>
        <w:rPr>
          <w:bCs/>
          <w:color w:val="002060"/>
          <w:sz w:val="16"/>
          <w:szCs w:val="16"/>
        </w:rPr>
      </w:pPr>
      <w:r w:rsidRPr="00405303">
        <w:rPr>
          <w:bCs/>
          <w:color w:val="002060"/>
          <w:sz w:val="16"/>
          <w:szCs w:val="16"/>
        </w:rPr>
        <w:t xml:space="preserve">31 марта </w:t>
      </w:r>
      <w:r w:rsidRPr="00405303">
        <w:rPr>
          <w:rStyle w:val="42"/>
          <w:rFonts w:ascii="Times New Roman" w:hAnsi="Times New Roman" w:cs="Times New Roman"/>
          <w:bCs/>
          <w:color w:val="002060"/>
          <w:w w:val="100"/>
          <w:sz w:val="16"/>
          <w:szCs w:val="16"/>
        </w:rPr>
        <w:t xml:space="preserve">(13 апреля) </w:t>
      </w:r>
      <w:r w:rsidRPr="00405303">
        <w:rPr>
          <w:bCs/>
          <w:color w:val="002060"/>
          <w:sz w:val="16"/>
          <w:szCs w:val="16"/>
        </w:rPr>
        <w:t>1915 г., военный летчик 4-го корпусного АО поручик А.А. Козаков в полосе СЗФ таранным ударом атаковал двухместный «Альбатрос» противника. Поврежденный неприятельский аппарат, снижаясь, сделал над своими окопами несколько кругов, перевернулся в воздухе и камнем упал вблизи леса, к западу от н/п Воли-Шидловский. Оба немецких офицера-летчика разбились насмерть. Самолет оказался совершенно изломанным. Сам русский летчик остался в живых и сохранил в исправности свой аппарат. Высочайшим приказом от 10 августа 1915 г. он был награжден Георгиевским оружием (23405).</w:t>
      </w:r>
    </w:p>
    <w:p w14:paraId="1F07F6D8" w14:textId="77777777" w:rsidR="00FE7209" w:rsidRPr="00405303" w:rsidRDefault="00FE7209" w:rsidP="00C15251">
      <w:pPr>
        <w:jc w:val="both"/>
        <w:rPr>
          <w:bCs/>
          <w:color w:val="002060"/>
          <w:sz w:val="16"/>
          <w:szCs w:val="16"/>
          <w:lang w:bidi="ru-RU"/>
        </w:rPr>
      </w:pPr>
    </w:p>
    <w:p w14:paraId="0B47C32B" w14:textId="18A77840" w:rsidR="008A3F09" w:rsidRPr="00405303" w:rsidRDefault="008A3F09" w:rsidP="00C15251">
      <w:pPr>
        <w:jc w:val="both"/>
        <w:rPr>
          <w:bCs/>
          <w:i/>
          <w:color w:val="002060"/>
          <w:sz w:val="16"/>
          <w:szCs w:val="16"/>
        </w:rPr>
      </w:pPr>
      <w:r w:rsidRPr="00405303">
        <w:rPr>
          <w:bCs/>
          <w:i/>
          <w:color w:val="002060"/>
          <w:sz w:val="16"/>
          <w:szCs w:val="16"/>
        </w:rPr>
        <w:t>Авиация и воздухоплавание за рубежом:</w:t>
      </w:r>
    </w:p>
    <w:p w14:paraId="5B17040A" w14:textId="77777777" w:rsidR="008A3F09" w:rsidRPr="00405303" w:rsidRDefault="008A3F09" w:rsidP="00C15251">
      <w:pPr>
        <w:jc w:val="both"/>
        <w:rPr>
          <w:bCs/>
          <w:i/>
          <w:color w:val="002060"/>
          <w:sz w:val="16"/>
          <w:szCs w:val="16"/>
        </w:rPr>
      </w:pPr>
    </w:p>
    <w:p w14:paraId="1712D676" w14:textId="77777777" w:rsidR="008A3F09" w:rsidRPr="00405303" w:rsidRDefault="008A3F09" w:rsidP="00C15251">
      <w:pPr>
        <w:jc w:val="both"/>
        <w:rPr>
          <w:bCs/>
          <w:color w:val="002060"/>
          <w:sz w:val="16"/>
          <w:szCs w:val="16"/>
        </w:rPr>
      </w:pPr>
      <w:r w:rsidRPr="00405303">
        <w:rPr>
          <w:rStyle w:val="42"/>
          <w:rFonts w:ascii="Times New Roman" w:hAnsi="Times New Roman" w:cs="Times New Roman"/>
          <w:bCs/>
          <w:color w:val="002060"/>
          <w:w w:val="100"/>
          <w:sz w:val="16"/>
          <w:szCs w:val="16"/>
        </w:rPr>
        <w:t>31 марта (13 апреля) 1915 г. Коста Милетич обратился к командованию с просьбой купить в России в счёт кредитов два змейковых аэростата для организации трёх аэро</w:t>
      </w:r>
      <w:r w:rsidRPr="00405303">
        <w:rPr>
          <w:rStyle w:val="42"/>
          <w:rFonts w:ascii="Times New Roman" w:hAnsi="Times New Roman" w:cs="Times New Roman"/>
          <w:bCs/>
          <w:color w:val="002060"/>
          <w:w w:val="100"/>
          <w:sz w:val="16"/>
          <w:szCs w:val="16"/>
        </w:rPr>
        <w:softHyphen/>
        <w:t>статных станций (включая резервную со старым аэростатом). В начале июля из России прислали два змейковых аэростата производства завода «Треу</w:t>
      </w:r>
      <w:r w:rsidRPr="00405303">
        <w:rPr>
          <w:rStyle w:val="42"/>
          <w:rFonts w:ascii="Times New Roman" w:hAnsi="Times New Roman" w:cs="Times New Roman"/>
          <w:bCs/>
          <w:color w:val="002060"/>
          <w:w w:val="100"/>
          <w:sz w:val="16"/>
          <w:szCs w:val="16"/>
        </w:rPr>
        <w:softHyphen/>
        <w:t>гольник» (объём 750 м3), взятые, вероятно, из запа</w:t>
      </w:r>
      <w:r w:rsidRPr="00405303">
        <w:rPr>
          <w:rStyle w:val="42"/>
          <w:rFonts w:ascii="Times New Roman" w:hAnsi="Times New Roman" w:cs="Times New Roman"/>
          <w:bCs/>
          <w:color w:val="002060"/>
          <w:w w:val="100"/>
          <w:sz w:val="16"/>
          <w:szCs w:val="16"/>
        </w:rPr>
        <w:softHyphen/>
        <w:t>сов Киевского воздухоплавательного парка. После испытания один из них отправили на фронт (20120).</w:t>
      </w:r>
    </w:p>
    <w:p w14:paraId="48BA352C" w14:textId="77777777" w:rsidR="008A3F09" w:rsidRPr="00405303" w:rsidRDefault="008A3F09" w:rsidP="00C15251">
      <w:pPr>
        <w:jc w:val="both"/>
        <w:rPr>
          <w:rStyle w:val="af1"/>
          <w:rFonts w:ascii="Times New Roman" w:eastAsia="Segoe UI" w:hAnsi="Times New Roman" w:cs="Times New Roman"/>
          <w:b w:val="0"/>
          <w:color w:val="002060"/>
          <w:sz w:val="16"/>
          <w:szCs w:val="16"/>
        </w:rPr>
      </w:pPr>
    </w:p>
    <w:p w14:paraId="6A678404"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20408783" w14:textId="77777777" w:rsidR="004B4E35" w:rsidRPr="00405303" w:rsidRDefault="004B4E35" w:rsidP="00C15251">
      <w:pPr>
        <w:jc w:val="both"/>
        <w:rPr>
          <w:bCs/>
          <w:i/>
          <w:color w:val="002060"/>
          <w:sz w:val="16"/>
          <w:szCs w:val="16"/>
        </w:rPr>
      </w:pPr>
    </w:p>
    <w:p w14:paraId="669B824E" w14:textId="77777777" w:rsidR="004B4E35" w:rsidRPr="00405303" w:rsidRDefault="009E6F82" w:rsidP="00C15251">
      <w:pPr>
        <w:jc w:val="both"/>
        <w:rPr>
          <w:bCs/>
          <w:color w:val="002060"/>
          <w:sz w:val="16"/>
          <w:szCs w:val="16"/>
        </w:rPr>
      </w:pPr>
      <w:r w:rsidRPr="00405303">
        <w:rPr>
          <w:bCs/>
          <w:color w:val="002060"/>
          <w:sz w:val="16"/>
          <w:szCs w:val="16"/>
        </w:rPr>
        <w:t>В конце марта 1915 начал свою боевую деятельность в составе различных группировок кораблей Черноморского флота и «Император Александр I» (11166).</w:t>
      </w:r>
    </w:p>
    <w:p w14:paraId="76E2E2BE" w14:textId="77777777" w:rsidR="004B4E35" w:rsidRPr="00405303" w:rsidRDefault="004B4E35" w:rsidP="00C15251">
      <w:pPr>
        <w:jc w:val="both"/>
        <w:rPr>
          <w:bCs/>
          <w:color w:val="002060"/>
          <w:sz w:val="16"/>
          <w:szCs w:val="16"/>
        </w:rPr>
      </w:pPr>
    </w:p>
    <w:p w14:paraId="79218F40" w14:textId="77777777" w:rsidR="004B4E35" w:rsidRPr="00405303" w:rsidRDefault="009E6F82" w:rsidP="00C15251">
      <w:pPr>
        <w:jc w:val="both"/>
        <w:rPr>
          <w:bCs/>
          <w:i/>
          <w:color w:val="002060"/>
          <w:sz w:val="16"/>
          <w:szCs w:val="16"/>
        </w:rPr>
      </w:pPr>
      <w:r w:rsidRPr="00405303">
        <w:rPr>
          <w:bCs/>
          <w:i/>
          <w:color w:val="002060"/>
          <w:sz w:val="16"/>
          <w:szCs w:val="16"/>
        </w:rPr>
        <w:t>Военное воздухоплавание:</w:t>
      </w:r>
    </w:p>
    <w:p w14:paraId="178190C0" w14:textId="77777777" w:rsidR="004B4E35" w:rsidRPr="00405303" w:rsidRDefault="004B4E35" w:rsidP="00C15251">
      <w:pPr>
        <w:jc w:val="both"/>
        <w:rPr>
          <w:bCs/>
          <w:i/>
          <w:color w:val="002060"/>
          <w:sz w:val="16"/>
          <w:szCs w:val="16"/>
        </w:rPr>
      </w:pPr>
    </w:p>
    <w:p w14:paraId="609ACB06" w14:textId="77777777" w:rsidR="004B4E35" w:rsidRPr="00405303" w:rsidRDefault="009E6F82" w:rsidP="00C15251">
      <w:pPr>
        <w:jc w:val="both"/>
        <w:rPr>
          <w:bCs/>
          <w:color w:val="002060"/>
          <w:sz w:val="16"/>
          <w:szCs w:val="16"/>
        </w:rPr>
      </w:pPr>
      <w:r w:rsidRPr="00405303">
        <w:rPr>
          <w:bCs/>
          <w:color w:val="002060"/>
          <w:sz w:val="16"/>
          <w:szCs w:val="16"/>
        </w:rPr>
        <w:t>До конца марта 1915 года дирижабль Астра находился на ремонте, а в апреле его снарядили всем необходимым и наполнили газом. В начале мая были произведены испытательные полеты, во время которых проверена управляемость, максимальная скорость (38 км/ч) и потолок (1500 м) (11324).</w:t>
      </w:r>
    </w:p>
    <w:p w14:paraId="2D6B84A4" w14:textId="77777777" w:rsidR="004B4E35" w:rsidRPr="00405303" w:rsidRDefault="004B4E35" w:rsidP="00C15251">
      <w:pPr>
        <w:jc w:val="both"/>
        <w:rPr>
          <w:bCs/>
          <w:i/>
          <w:color w:val="002060"/>
          <w:sz w:val="16"/>
          <w:szCs w:val="16"/>
        </w:rPr>
      </w:pPr>
    </w:p>
    <w:p w14:paraId="415ACDD9" w14:textId="6069912C" w:rsidR="008A3F09" w:rsidRPr="00405303" w:rsidRDefault="008A3F09" w:rsidP="00C15251">
      <w:pPr>
        <w:jc w:val="both"/>
        <w:rPr>
          <w:bCs/>
          <w:i/>
          <w:color w:val="002060"/>
          <w:sz w:val="16"/>
          <w:szCs w:val="16"/>
        </w:rPr>
      </w:pPr>
      <w:r w:rsidRPr="00405303">
        <w:rPr>
          <w:bCs/>
          <w:i/>
          <w:color w:val="002060"/>
          <w:sz w:val="16"/>
          <w:szCs w:val="16"/>
        </w:rPr>
        <w:t>Авиация и воздухоплавание Франции:</w:t>
      </w:r>
    </w:p>
    <w:p w14:paraId="5397D20D" w14:textId="77777777" w:rsidR="008A3F09" w:rsidRPr="00405303" w:rsidRDefault="008A3F09" w:rsidP="00C15251">
      <w:pPr>
        <w:jc w:val="both"/>
        <w:rPr>
          <w:bCs/>
          <w:i/>
          <w:color w:val="002060"/>
          <w:sz w:val="16"/>
          <w:szCs w:val="16"/>
        </w:rPr>
      </w:pPr>
    </w:p>
    <w:p w14:paraId="7E661414" w14:textId="77777777" w:rsidR="008A3F09" w:rsidRPr="00405303" w:rsidRDefault="008A3F09" w:rsidP="00C15251">
      <w:pPr>
        <w:jc w:val="both"/>
        <w:rPr>
          <w:bCs/>
          <w:color w:val="002060"/>
          <w:sz w:val="16"/>
          <w:szCs w:val="16"/>
        </w:rPr>
      </w:pPr>
      <w:r w:rsidRPr="00405303">
        <w:rPr>
          <w:bCs/>
          <w:color w:val="002060"/>
          <w:sz w:val="16"/>
          <w:szCs w:val="16"/>
        </w:rPr>
        <w:t>В конце марта 1915 года Солнье и Гарро смонтировали на Моране-парасоле Ролана синхронизированный пулемет, и уже 1 апреля Гарро с успехом опробовал синхронизатор в бою, сбив первый вражеский самолет - этот день стал днем рождения истребительной авиации. За три недели апреля 1915 г Гарро уничтожил 5 германских аэропланов (правда, официальными победами командование признало только 3 его жертвы). Успех специализированного истребителя был очевиден. Однако 19 апреля аэроплан Гарро подбили германские пехотинцы и француз был вынужден приземлиться на вражеской территории и сдаться в плен (по другим данным, у Гарро просто заглох мотор). Немцы изучили доставшуюся им новинку, и буквально через 10 дней на германских самолетах появились свои синхронизаторы (20243).</w:t>
      </w:r>
    </w:p>
    <w:p w14:paraId="2D1D32E9" w14:textId="77777777" w:rsidR="008A3F09" w:rsidRPr="00405303" w:rsidRDefault="008A3F09" w:rsidP="00C15251">
      <w:pPr>
        <w:pStyle w:val="ae"/>
        <w:shd w:val="clear" w:color="auto" w:fill="FFFFFF"/>
        <w:spacing w:before="0" w:beforeAutospacing="0" w:after="0" w:afterAutospacing="0"/>
        <w:jc w:val="both"/>
        <w:textAlignment w:val="baseline"/>
        <w:rPr>
          <w:bCs/>
          <w:color w:val="002060"/>
          <w:sz w:val="16"/>
          <w:szCs w:val="16"/>
        </w:rPr>
      </w:pPr>
    </w:p>
    <w:p w14:paraId="10CC4ACB"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085DFE9A" w14:textId="77777777" w:rsidR="004B4E35" w:rsidRPr="00405303" w:rsidRDefault="004B4E35" w:rsidP="00C15251">
      <w:pPr>
        <w:jc w:val="both"/>
        <w:rPr>
          <w:bCs/>
          <w:i/>
          <w:color w:val="002060"/>
          <w:sz w:val="16"/>
          <w:szCs w:val="16"/>
        </w:rPr>
      </w:pPr>
    </w:p>
    <w:p w14:paraId="18FD1DE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марте 1915 был готов новый корабль типа В №151 штабс-капитана С.М.Бродовича. 111-му кораблю поставили "Аргусы" с машины Руднева, которая была уже списана из-за ветхости. "Киевский" и 111-й корабль "натворили" немало великих дел в 1915 году, тем самым завоевав славу "Муромцам" на полях сражений. С апреля 111-й корабль стал работать вместе с "Киевским" (11277).</w:t>
      </w:r>
    </w:p>
    <w:p w14:paraId="41711D74" w14:textId="77777777" w:rsidR="004B4E35" w:rsidRPr="00405303" w:rsidRDefault="004B4E35" w:rsidP="00C15251">
      <w:pPr>
        <w:pStyle w:val="a3"/>
        <w:jc w:val="both"/>
        <w:rPr>
          <w:bCs/>
          <w:i w:val="0"/>
          <w:color w:val="002060"/>
          <w:spacing w:val="0"/>
          <w:kern w:val="0"/>
          <w:position w:val="0"/>
          <w:sz w:val="16"/>
          <w:szCs w:val="16"/>
        </w:rPr>
      </w:pPr>
    </w:p>
    <w:p w14:paraId="2B83D29E" w14:textId="098F97E0" w:rsidR="004B4E35" w:rsidRPr="00405303" w:rsidRDefault="003D28B0"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марте 1915 г. </w:t>
      </w:r>
      <w:r w:rsidRPr="00405303">
        <w:rPr>
          <w:bCs/>
          <w:color w:val="002060"/>
          <w:sz w:val="16"/>
          <w:szCs w:val="16"/>
        </w:rPr>
        <w:t xml:space="preserve">начальник эскадры </w:t>
      </w:r>
      <w:r w:rsidR="009E6F82" w:rsidRPr="00405303">
        <w:rPr>
          <w:bCs/>
          <w:color w:val="002060"/>
          <w:sz w:val="16"/>
          <w:szCs w:val="16"/>
        </w:rPr>
        <w:t>доносил по команде</w:t>
      </w:r>
      <w:r w:rsidRPr="00405303">
        <w:rPr>
          <w:bCs/>
          <w:color w:val="002060"/>
          <w:sz w:val="16"/>
          <w:szCs w:val="16"/>
        </w:rPr>
        <w:t xml:space="preserve"> о возможностях воздушных кораблей, </w:t>
      </w:r>
      <w:proofErr w:type="gramStart"/>
      <w:r w:rsidRPr="00405303">
        <w:rPr>
          <w:bCs/>
          <w:color w:val="002060"/>
          <w:sz w:val="16"/>
          <w:szCs w:val="16"/>
        </w:rPr>
        <w:t>основанных во-первых</w:t>
      </w:r>
      <w:proofErr w:type="gramEnd"/>
      <w:r w:rsidRPr="00405303">
        <w:rPr>
          <w:bCs/>
          <w:color w:val="002060"/>
          <w:sz w:val="16"/>
          <w:szCs w:val="16"/>
        </w:rPr>
        <w:t xml:space="preserve"> результатах боевой работы</w:t>
      </w:r>
      <w:r w:rsidR="009E6F82" w:rsidRPr="00405303">
        <w:rPr>
          <w:bCs/>
          <w:color w:val="002060"/>
          <w:sz w:val="16"/>
          <w:szCs w:val="16"/>
        </w:rPr>
        <w:t>:</w:t>
      </w:r>
    </w:p>
    <w:p w14:paraId="7B33CB51" w14:textId="77777777" w:rsidR="004B4E35" w:rsidRPr="00405303" w:rsidRDefault="009E6F82" w:rsidP="00C15251">
      <w:pPr>
        <w:jc w:val="both"/>
        <w:rPr>
          <w:bCs/>
          <w:color w:val="002060"/>
          <w:sz w:val="16"/>
          <w:szCs w:val="16"/>
        </w:rPr>
      </w:pPr>
      <w:r w:rsidRPr="00405303">
        <w:rPr>
          <w:bCs/>
          <w:color w:val="002060"/>
          <w:sz w:val="16"/>
          <w:szCs w:val="16"/>
        </w:rPr>
        <w:t>1) Грузоподъемность (полезная нагрузка) 85 пудов. При боевых полетах с запасом горючего на 5 часов и при вооружении 2-я пулеметами, карабином, бомб можно брать до 30 пудов при постоянном экипаже ип 3-х человек. Если же вместо бомб взять бензина и масла, то продолжительность полета может быть увеличстся до 9 - 10 часов (11230).</w:t>
      </w:r>
    </w:p>
    <w:p w14:paraId="0D0BCD0D" w14:textId="77777777" w:rsidR="004B4E35" w:rsidRPr="00405303" w:rsidRDefault="009E6F82" w:rsidP="00C15251">
      <w:pPr>
        <w:jc w:val="both"/>
        <w:rPr>
          <w:bCs/>
          <w:color w:val="002060"/>
          <w:sz w:val="16"/>
          <w:szCs w:val="16"/>
        </w:rPr>
      </w:pPr>
      <w:r w:rsidRPr="00405303">
        <w:rPr>
          <w:bCs/>
          <w:color w:val="002060"/>
          <w:sz w:val="16"/>
          <w:szCs w:val="16"/>
        </w:rPr>
        <w:t>2) Скорость подъема корабля при указанной нагрузке на 2500 метров - 45 минут (11230).</w:t>
      </w:r>
    </w:p>
    <w:p w14:paraId="18C6317C" w14:textId="77777777" w:rsidR="004B4E35" w:rsidRPr="00405303" w:rsidRDefault="009E6F82" w:rsidP="00C15251">
      <w:pPr>
        <w:jc w:val="both"/>
        <w:rPr>
          <w:bCs/>
          <w:color w:val="002060"/>
          <w:sz w:val="16"/>
          <w:szCs w:val="16"/>
        </w:rPr>
      </w:pPr>
      <w:r w:rsidRPr="00405303">
        <w:rPr>
          <w:bCs/>
          <w:color w:val="002060"/>
          <w:sz w:val="16"/>
          <w:szCs w:val="16"/>
        </w:rPr>
        <w:t>3) Скорость полета корабля - 100 - 110 километре в час (11230).</w:t>
      </w:r>
    </w:p>
    <w:p w14:paraId="066519A6" w14:textId="77777777" w:rsidR="004B4E35" w:rsidRPr="00405303" w:rsidRDefault="009E6F82" w:rsidP="00C15251">
      <w:pPr>
        <w:jc w:val="both"/>
        <w:rPr>
          <w:bCs/>
          <w:color w:val="002060"/>
          <w:sz w:val="16"/>
          <w:szCs w:val="16"/>
        </w:rPr>
      </w:pPr>
      <w:r w:rsidRPr="00405303">
        <w:rPr>
          <w:bCs/>
          <w:color w:val="002060"/>
          <w:sz w:val="16"/>
          <w:szCs w:val="16"/>
        </w:rPr>
        <w:t>4) Удобство управления (экипаж находится в закры том помещении, и пилоты могут сменять друг друга) (11230).</w:t>
      </w:r>
    </w:p>
    <w:p w14:paraId="6F95A03C" w14:textId="77777777" w:rsidR="004B4E35" w:rsidRPr="00405303" w:rsidRDefault="009E6F82" w:rsidP="00C15251">
      <w:pPr>
        <w:jc w:val="both"/>
        <w:rPr>
          <w:bCs/>
          <w:color w:val="002060"/>
          <w:sz w:val="16"/>
          <w:szCs w:val="16"/>
        </w:rPr>
      </w:pPr>
      <w:r w:rsidRPr="00405303">
        <w:rPr>
          <w:bCs/>
          <w:color w:val="002060"/>
          <w:sz w:val="16"/>
          <w:szCs w:val="16"/>
        </w:rPr>
        <w:t>5) Хороший обзор и удобство наблюдения (бинокли, трубы) (11230).</w:t>
      </w:r>
    </w:p>
    <w:p w14:paraId="5A312112" w14:textId="77777777" w:rsidR="004B4E35" w:rsidRPr="00405303" w:rsidRDefault="009E6F82" w:rsidP="00C15251">
      <w:pPr>
        <w:jc w:val="both"/>
        <w:rPr>
          <w:bCs/>
          <w:color w:val="002060"/>
          <w:sz w:val="16"/>
          <w:szCs w:val="16"/>
        </w:rPr>
      </w:pPr>
      <w:r w:rsidRPr="00405303">
        <w:rPr>
          <w:bCs/>
          <w:color w:val="002060"/>
          <w:sz w:val="16"/>
          <w:szCs w:val="16"/>
        </w:rPr>
        <w:t>6) Удобство фотографирования и бросания бомб (11230).</w:t>
      </w:r>
    </w:p>
    <w:p w14:paraId="29CE925F" w14:textId="77777777" w:rsidR="004B4E35" w:rsidRPr="00405303" w:rsidRDefault="009E6F82" w:rsidP="00C15251">
      <w:pPr>
        <w:jc w:val="both"/>
        <w:rPr>
          <w:bCs/>
          <w:color w:val="002060"/>
          <w:sz w:val="16"/>
          <w:szCs w:val="16"/>
        </w:rPr>
      </w:pPr>
      <w:r w:rsidRPr="00405303">
        <w:rPr>
          <w:bCs/>
          <w:color w:val="002060"/>
          <w:sz w:val="16"/>
          <w:szCs w:val="16"/>
        </w:rPr>
        <w:t>7) В настоящее время в эскадре имеется три боевых корабля типа "Илья Муромец Киевский", но с мотор" ми большой мощности, из них два могут совершать боевые полеты, а один в сборке. К концу апреля эскадра будет иметь шесть кораблей боевого типа, так как моторы на последние четыре уже получены (11230).</w:t>
      </w:r>
    </w:p>
    <w:p w14:paraId="74D21063" w14:textId="49E70F77" w:rsidR="004B4E35" w:rsidRPr="00405303" w:rsidRDefault="009E6F82" w:rsidP="00C15251">
      <w:pPr>
        <w:jc w:val="both"/>
        <w:rPr>
          <w:bCs/>
          <w:color w:val="002060"/>
          <w:sz w:val="16"/>
          <w:szCs w:val="16"/>
        </w:rPr>
      </w:pPr>
      <w:r w:rsidRPr="00405303">
        <w:rPr>
          <w:bCs/>
          <w:color w:val="002060"/>
          <w:sz w:val="16"/>
          <w:szCs w:val="16"/>
        </w:rPr>
        <w:t>Начальник эскадры самолетов (' "Илья Муромец" генерал-майор Шидловский</w:t>
      </w:r>
      <w:proofErr w:type="gramStart"/>
      <w:r w:rsidRPr="00405303">
        <w:rPr>
          <w:bCs/>
          <w:color w:val="002060"/>
          <w:sz w:val="16"/>
          <w:szCs w:val="16"/>
        </w:rPr>
        <w:t>" .</w:t>
      </w:r>
      <w:proofErr w:type="gramEnd"/>
      <w:r w:rsidRPr="00405303">
        <w:rPr>
          <w:bCs/>
          <w:color w:val="002060"/>
          <w:sz w:val="16"/>
          <w:szCs w:val="16"/>
        </w:rPr>
        <w:t xml:space="preserve"> [* ЦГВИА, ф. 2008, on. 1. д. 487, л. 74.]</w:t>
      </w:r>
      <w:r w:rsidR="003D28B0" w:rsidRPr="00405303">
        <w:rPr>
          <w:bCs/>
          <w:color w:val="002060"/>
          <w:sz w:val="16"/>
          <w:szCs w:val="16"/>
        </w:rPr>
        <w:t xml:space="preserve"> (11230).</w:t>
      </w:r>
    </w:p>
    <w:p w14:paraId="39CBA9EA" w14:textId="77777777" w:rsidR="004B4E35" w:rsidRPr="00405303" w:rsidRDefault="004B4E35" w:rsidP="00C15251">
      <w:pPr>
        <w:jc w:val="both"/>
        <w:rPr>
          <w:bCs/>
          <w:color w:val="002060"/>
          <w:sz w:val="16"/>
          <w:szCs w:val="16"/>
        </w:rPr>
      </w:pPr>
    </w:p>
    <w:p w14:paraId="55424AE7" w14:textId="77777777" w:rsidR="004B4E35" w:rsidRPr="00405303" w:rsidRDefault="009E6F82" w:rsidP="00C15251">
      <w:pPr>
        <w:jc w:val="both"/>
        <w:rPr>
          <w:bCs/>
          <w:color w:val="002060"/>
          <w:sz w:val="16"/>
          <w:szCs w:val="16"/>
        </w:rPr>
      </w:pPr>
      <w:r w:rsidRPr="00405303">
        <w:rPr>
          <w:bCs/>
          <w:color w:val="002060"/>
          <w:sz w:val="16"/>
          <w:szCs w:val="16"/>
        </w:rPr>
        <w:t>В марте 1915 г. из морского флота в ЭВК был затребован Г. И. Лавров. Почти одновременно с этим М.В.Шидловский отдал распоряжение Воздухоплавательному отделению АО РБВЗ отправить в Яблону и два других опытных С-16. Самолеты с заводскими номерами 155 и 156 были отгружены в Эскадру соответственно 6 и 19 марта вместе с самолетами «Илья Муромец» , С-10 и С-12. Прибыли они в Эскадру, как и Nо. 154, без моторов. От первого С-16 Nо. 154 аппараты Nо. 155 и 156 отличались конструкцией крыльев. Если у Nо. 154 они имели небольшую стреловидность, то на двух других аппаратах крылья были прямыми с большим поперечным Ч. Размах крыльев у всех самолетов был примерно одинаков. 1(роме того, капоты их двигателей имели характерные скулы-зализы. «Моторный голод» был неизлечимой болезнью, преследовавшей И, И. Сикорского в его деятельности в течение всей первой мировой войны. Причем если для тяжелых воздушных кораблей проблема с двигателями к концу 1916 г. была в общем решена, то для малых аппаратов Сикорского отсутствие необходимых моторов оказалось неразрешимой проблемой. Для первых трех С-16 двигатели удалось достать. Их взяли из числа поступивших с центральных складов для учебных «фарманов</w:t>
      </w:r>
      <w:proofErr w:type="gramStart"/>
      <w:r w:rsidRPr="00405303">
        <w:rPr>
          <w:bCs/>
          <w:color w:val="002060"/>
          <w:sz w:val="16"/>
          <w:szCs w:val="16"/>
        </w:rPr>
        <w:t>» ,</w:t>
      </w:r>
      <w:proofErr w:type="gramEnd"/>
      <w:r w:rsidRPr="00405303">
        <w:rPr>
          <w:bCs/>
          <w:color w:val="002060"/>
          <w:sz w:val="16"/>
          <w:szCs w:val="16"/>
        </w:rPr>
        <w:t xml:space="preserve"> присылаемых для школы Эскадры в начале 1915 г. На самолетах Nо. 154 и 155 были установлены двигатели «Гном-8Ь</w:t>
      </w:r>
      <w:proofErr w:type="gramStart"/>
      <w:r w:rsidRPr="00405303">
        <w:rPr>
          <w:bCs/>
          <w:color w:val="002060"/>
          <w:sz w:val="16"/>
          <w:szCs w:val="16"/>
        </w:rPr>
        <w:t>» ,</w:t>
      </w:r>
      <w:proofErr w:type="gramEnd"/>
      <w:r w:rsidRPr="00405303">
        <w:rPr>
          <w:bCs/>
          <w:color w:val="002060"/>
          <w:sz w:val="16"/>
          <w:szCs w:val="16"/>
        </w:rPr>
        <w:t xml:space="preserve"> а для Nо, 156 удалось раздобыть один из первых русских авиамоторов «Калек» мощностью в 50 л. с. Меньшая по сравнению с предполагавшимися к установке «гномами» и «ронами» мощность вызвала необходимость переделки С-16 с заводским Nо. 156. Верхнее крыло стало существенно больше в размахе (свыше 10 м</w:t>
      </w:r>
      <w:proofErr w:type="gramStart"/>
      <w:r w:rsidRPr="00405303">
        <w:rPr>
          <w:bCs/>
          <w:color w:val="002060"/>
          <w:sz w:val="16"/>
          <w:szCs w:val="16"/>
        </w:rPr>
        <w:t>) ,</w:t>
      </w:r>
      <w:proofErr w:type="gramEnd"/>
      <w:r w:rsidRPr="00405303">
        <w:rPr>
          <w:bCs/>
          <w:color w:val="002060"/>
          <w:sz w:val="16"/>
          <w:szCs w:val="16"/>
        </w:rPr>
        <w:t xml:space="preserve"> в результате чего площадь крыльев возросла более чем на четыре с половиной квадратных метра. Элероны на нижнем крыле были упразднены, а на верхнем увеличены. Так появилась новая модификация С-16, имевшая в отличие от предшественников -- «чисты» «бипланов -- схему полутораплана. Поиск и установка двигателей несколько задержали введение в строй первых С-15. Их эксплуатация началась летом 1915 г. В основном они использовались для тренировки летчиков. В целом отзывы о С-16 были очень хорошие. Самолет был легок в управлении. Его летно-технические характеристики вполне соответствовали требованиям начала 1915 г. Особенно отмечалась хорошая скорость полета -- до 144 км/ч. Вероятно она достигалась при тренировочных полетах с одним летчиком на борту, так как официально считалось, что при полной заявленной нагрузке 225 кг скорость равна 125,5 км/ч. Неплохой признавалась и скороподъемность: 1000 м за 4 мин. Самолет С-16 осматривали летчики других авиационных частей, высшее командование Императорской Русской армии, члены Царской фамилии и многочисленные иностранные делегации, посещавшие ЭВК с целью ознакомления с самолетами И. И. Сикорского. Встал вопрос о приобретении в казну имеющихся С-16 и заказе новых машин того же типа. Предполагавшаяся замена заказа на С-10А </w:t>
      </w:r>
      <w:r w:rsidRPr="00405303">
        <w:rPr>
          <w:bCs/>
          <w:color w:val="002060"/>
          <w:sz w:val="16"/>
          <w:szCs w:val="16"/>
        </w:rPr>
        <w:lastRenderedPageBreak/>
        <w:t>заказом на С-16 не состоялась. Военное ведомство приобрело у АО РБВЗ четыре «муромца» в счет несданных 45 легких самолетов Сикорского. В то же время легкие самолеты требовались для укомплектования ЭВК (11188).</w:t>
      </w:r>
    </w:p>
    <w:p w14:paraId="6B405209" w14:textId="77777777" w:rsidR="004B4E35" w:rsidRPr="00405303" w:rsidRDefault="004B4E35" w:rsidP="00C15251">
      <w:pPr>
        <w:jc w:val="both"/>
        <w:rPr>
          <w:bCs/>
          <w:color w:val="002060"/>
          <w:sz w:val="16"/>
          <w:szCs w:val="16"/>
        </w:rPr>
      </w:pPr>
    </w:p>
    <w:p w14:paraId="1D98267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марте 1915 г. Г.И. Лавров был откомандирован к Эскадре воздушных кораблей (ЭВК) и увез аппарат с собой. К летней компании три аэроплана С-16 с заводскими номерами 154-156 уже находились в составе части и по прошествии недолгого времени заслужили хорошую ре</w:t>
      </w:r>
      <w:r w:rsidRPr="00405303">
        <w:rPr>
          <w:bCs/>
          <w:color w:val="002060"/>
          <w:sz w:val="16"/>
          <w:szCs w:val="16"/>
        </w:rPr>
        <w:softHyphen/>
        <w:t>путацию у пилотов: машины могли развивать скорость от 125 до 144 км/ч и забираться на 1000 м за 4 минуты; к тому же они были легки в управлении. В конце 1915 г. лейтенант Г.И. Лавров испытал свое синхронизирующее устройство, позволявшее вооружать самолеты пе</w:t>
      </w:r>
      <w:r w:rsidRPr="00405303">
        <w:rPr>
          <w:bCs/>
          <w:color w:val="002060"/>
          <w:sz w:val="16"/>
          <w:szCs w:val="16"/>
        </w:rPr>
        <w:softHyphen/>
        <w:t>редним неподвижным пулеметом "Виккерс" и, таким образом, переводить их в разряд истре</w:t>
      </w:r>
      <w:r w:rsidRPr="00405303">
        <w:rPr>
          <w:bCs/>
          <w:color w:val="002060"/>
          <w:sz w:val="16"/>
          <w:szCs w:val="16"/>
        </w:rPr>
        <w:softHyphen/>
        <w:t>бителей, сопровождавших тяжелые разведчики-бомбардировщики типа "Илья Муромец" и ох</w:t>
      </w:r>
      <w:r w:rsidRPr="00405303">
        <w:rPr>
          <w:bCs/>
          <w:color w:val="002060"/>
          <w:sz w:val="16"/>
          <w:szCs w:val="16"/>
        </w:rPr>
        <w:softHyphen/>
        <w:t>ранявших их аэродромы. В начале 1916 г. синхронизатор Лаврова был адаптирован к широко распространенному в армейской авиации пулемету Кольт, а сами С-16, пущенные в серийное производство, служили вплоть до окончательной гибели старой Империи и далее — до 1923 г., применяясь в качестве истребительных, разведывательных, тренировочных и связных аппаратов в ЭВК и других авиационных подразделениях (2843).</w:t>
      </w:r>
    </w:p>
    <w:p w14:paraId="7108A587" w14:textId="77777777" w:rsidR="004B4E35" w:rsidRPr="00405303" w:rsidRDefault="004B4E35" w:rsidP="00C15251">
      <w:pPr>
        <w:shd w:val="clear" w:color="auto" w:fill="FFFFFF"/>
        <w:jc w:val="both"/>
        <w:rPr>
          <w:bCs/>
          <w:color w:val="002060"/>
          <w:sz w:val="16"/>
          <w:szCs w:val="16"/>
        </w:rPr>
      </w:pPr>
    </w:p>
    <w:p w14:paraId="33E023D5" w14:textId="77777777" w:rsidR="00EC0D8E" w:rsidRPr="00405303" w:rsidRDefault="00EC0D8E" w:rsidP="00C15251">
      <w:pPr>
        <w:jc w:val="both"/>
        <w:rPr>
          <w:bCs/>
          <w:color w:val="002060"/>
          <w:sz w:val="16"/>
          <w:szCs w:val="16"/>
        </w:rPr>
      </w:pPr>
      <w:r w:rsidRPr="00405303">
        <w:rPr>
          <w:bCs/>
          <w:color w:val="002060"/>
          <w:sz w:val="16"/>
          <w:szCs w:val="16"/>
        </w:rPr>
        <w:t>В марте 1915 г. из морского флота был затребован Г. И. Лавров. Почти одновременно с этим М, В. Шидловский отдал распоряжение Воздухоплавательному отделению АО РБВЗ отправить в Яблону и два других опытных С-16. Самолеты с заводскими номерами 155 и 156 были отгружены в Эскадру соответственно 6 и 19 марта вместе с самолетами «Илья Муромец» , С-10 и С-12. Прибыли они в Эскадру, как и Nо. 154, без моторов. От первого С-16 Nо. 154 аппараты Nо. 155 и 156 отличались конструкцией крыльев. Если у Nо. 154 они имели небольшую стреловидность, то на двух других аппаратах крылья были прямыми с большим поперечным Ч. Размах крыльев у всех самолетов был примерно одинаков. 1(роме того, капоты их двигателей имели характерные скулы-зализы. «Моторный голод» был неизлечимой болезнью, преследовавшей И, И. Сикорского в его деятельности в течение всей первой мировой войны. Причем если для тяжелых воздушных кораблей проблема с двигателями к концу 1916 г. была в общем решена, то для малых аппаратов Сикорского отсутствие необходимых моторов оказалось неразрешимой проблемой (11188).</w:t>
      </w:r>
    </w:p>
    <w:p w14:paraId="38CB727A" w14:textId="77777777" w:rsidR="00EC0D8E" w:rsidRPr="00405303" w:rsidRDefault="00EC0D8E" w:rsidP="00C15251">
      <w:pPr>
        <w:jc w:val="both"/>
        <w:rPr>
          <w:bCs/>
          <w:color w:val="002060"/>
          <w:sz w:val="16"/>
          <w:szCs w:val="16"/>
        </w:rPr>
      </w:pPr>
    </w:p>
    <w:p w14:paraId="20CA671E" w14:textId="329D5033" w:rsidR="004B4E35" w:rsidRPr="00405303" w:rsidRDefault="003D28B0" w:rsidP="00C15251">
      <w:pPr>
        <w:shd w:val="clear" w:color="auto" w:fill="FFFFFF"/>
        <w:jc w:val="both"/>
        <w:rPr>
          <w:bCs/>
          <w:color w:val="002060"/>
          <w:sz w:val="16"/>
          <w:szCs w:val="16"/>
        </w:rPr>
      </w:pPr>
      <w:r w:rsidRPr="00405303">
        <w:rPr>
          <w:bCs/>
          <w:color w:val="002060"/>
          <w:sz w:val="16"/>
          <w:szCs w:val="16"/>
        </w:rPr>
        <w:t>С</w:t>
      </w:r>
      <w:r w:rsidR="009E6F82" w:rsidRPr="00405303">
        <w:rPr>
          <w:bCs/>
          <w:color w:val="002060"/>
          <w:sz w:val="16"/>
          <w:szCs w:val="16"/>
        </w:rPr>
        <w:t xml:space="preserve"> марта 1915 г.</w:t>
      </w:r>
      <w:r w:rsidRPr="00405303">
        <w:rPr>
          <w:bCs/>
          <w:color w:val="002060"/>
          <w:sz w:val="16"/>
          <w:szCs w:val="16"/>
        </w:rPr>
        <w:t xml:space="preserve"> А.Ю. Виллиш конструировал ВМ—1, то есть Виллиш Морской — 1.</w:t>
      </w:r>
      <w:r w:rsidR="009E6F82" w:rsidRPr="00405303">
        <w:rPr>
          <w:bCs/>
          <w:color w:val="002060"/>
          <w:sz w:val="16"/>
          <w:szCs w:val="16"/>
        </w:rPr>
        <w:t xml:space="preserve"> в то же время нет сомнений в том, что работа была закончена через 4 месяца. Подробная характеристика аппарата, датированная изобретателем 9-м июля, 11 была пред</w:t>
      </w:r>
      <w:r w:rsidR="009E6F82" w:rsidRPr="00405303">
        <w:rPr>
          <w:bCs/>
          <w:color w:val="002060"/>
          <w:sz w:val="16"/>
          <w:szCs w:val="16"/>
        </w:rPr>
        <w:softHyphen/>
        <w:t>ставлена Ф.В. Эбергардом в Морской генеральный штаб (МГШ) вместе с предложением о постройке опытного экземпляра стоимостью 9.500 руб. Производитель обещал изготовить аэроплан в течение 6 недель или около того, а в ходе приемных испытаний машине пред</w:t>
      </w:r>
      <w:r w:rsidR="009E6F82" w:rsidRPr="00405303">
        <w:rPr>
          <w:bCs/>
          <w:color w:val="002060"/>
          <w:sz w:val="16"/>
          <w:szCs w:val="16"/>
        </w:rPr>
        <w:softHyphen/>
        <w:t>стояло показать скорость порядка 100-110 км/час и достигнуть с нагрузкой 350 кг высоты 1000 м за 10 минут. Виллиш и Эбергард рассчитывали на успех в случае доставки Морским ведомством мотора "Гном-Моносупап" 100 л.с., а также просили о назначении офицера, на</w:t>
      </w:r>
      <w:r w:rsidR="009E6F82" w:rsidRPr="00405303">
        <w:rPr>
          <w:bCs/>
          <w:color w:val="002060"/>
          <w:sz w:val="16"/>
          <w:szCs w:val="16"/>
        </w:rPr>
        <w:softHyphen/>
        <w:t>блюдавшего бы за сборкой летающей лодки (2843).</w:t>
      </w:r>
    </w:p>
    <w:p w14:paraId="0FE2AA44" w14:textId="77777777" w:rsidR="004B4E35" w:rsidRPr="00405303" w:rsidRDefault="004B4E35" w:rsidP="00C15251">
      <w:pPr>
        <w:shd w:val="clear" w:color="auto" w:fill="FFFFFF"/>
        <w:jc w:val="both"/>
        <w:rPr>
          <w:bCs/>
          <w:color w:val="002060"/>
          <w:sz w:val="16"/>
          <w:szCs w:val="16"/>
        </w:rPr>
      </w:pPr>
    </w:p>
    <w:p w14:paraId="1DF3315A" w14:textId="0A54F7E8" w:rsidR="004B4E35" w:rsidRPr="00405303" w:rsidRDefault="003D28B0"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марте 1915 года по заказу отдела воздушного плавания Морского генерального штаба с условием оплаты работы лишь в случае удачной постройки и испытаний</w:t>
      </w:r>
      <w:r w:rsidRPr="00405303">
        <w:rPr>
          <w:bCs/>
          <w:color w:val="002060"/>
          <w:sz w:val="16"/>
          <w:szCs w:val="16"/>
        </w:rPr>
        <w:t xml:space="preserve"> было начато проектирование</w:t>
      </w:r>
      <w:r w:rsidR="009E6F82" w:rsidRPr="00405303">
        <w:rPr>
          <w:bCs/>
          <w:color w:val="002060"/>
          <w:sz w:val="16"/>
          <w:szCs w:val="16"/>
        </w:rPr>
        <w:t xml:space="preserve"> </w:t>
      </w:r>
      <w:r w:rsidRPr="00405303">
        <w:rPr>
          <w:bCs/>
          <w:color w:val="002060"/>
          <w:sz w:val="16"/>
          <w:szCs w:val="16"/>
        </w:rPr>
        <w:t>летающей лодки ВМ-1 (Виллиш-морской первый), которая представлял собой довольно небольшой гидросамолет - воистину лодка с ферменным бамбуковым хвостом, поднятым для возвышения киля и стабилизатора над водной поверхностью и бипланной коробкой, меняющей в полете угол установки по воле пилота</w:t>
      </w:r>
      <w:r w:rsidR="009E6F82" w:rsidRPr="00405303">
        <w:rPr>
          <w:bCs/>
          <w:color w:val="002060"/>
          <w:sz w:val="16"/>
          <w:szCs w:val="16"/>
        </w:rPr>
        <w:t>Сборка ВМ-1 закончилась к 1 ноября 1915 года. Первый полет прошел без происшествий. Во время посадки после удавшегося второго полета летчик-испытатель военной приемки не заметил на поверхности моря плавающего бревна, может быть, единственного на всю округу, и гидроплан при парашютировании угодил корпусом именно в него. Получив пробоину, аппарат затонул. Та часть конструкции, которая была выполнена из бамбука, на сей раз не дала аппарату достаточной плавучести, но погрузилась последней... Барограмму полета удалось спасти, и она подтвердила, что полетное задание выполнено успешно. Поскольку летчик Г.А. Фриде был лицом официальным (от военного ведомства), то деньги за построенный (и утонувший) самолет А.Ю. Виллишу были уплачены.</w:t>
      </w:r>
    </w:p>
    <w:p w14:paraId="15B91D8B" w14:textId="77777777" w:rsidR="004B4E35" w:rsidRPr="00405303" w:rsidRDefault="009E6F82" w:rsidP="00C15251">
      <w:pPr>
        <w:jc w:val="both"/>
        <w:rPr>
          <w:bCs/>
          <w:color w:val="002060"/>
          <w:sz w:val="16"/>
          <w:szCs w:val="16"/>
        </w:rPr>
      </w:pPr>
      <w:r w:rsidRPr="00405303">
        <w:rPr>
          <w:bCs/>
          <w:color w:val="002060"/>
          <w:sz w:val="16"/>
          <w:szCs w:val="16"/>
        </w:rPr>
        <w:t>ВМ-2 стал следующим гидропланом А.Ю.Виллиша. Он был оснащен мотором "Гном-Моносупап" в 100 л.с. и строился на тех же условиях морского генштаба, что и ВМ-1. В 1916 году Виллиш обращается к обладателям более мощной производственной базы: Ю.А. Меллеру - владельцу завода "Дукс" и В.А. Лебедеву - владельцу завода "Лебедев" за предоставлением заводской территории и рабочих рук для постройки ВМ-2. Они отказали. Тогда Виллиш пошел на поклон к хозяину мебельной фабрики, некоему Ф. Мельтцеру, который по контрактам с самолетчиками делал разнообразные воздушные винты и имел желание заняться постройкой аэропланов. Ф.Мельтцер согласился и связался в тесном сотрудничестве с прибалтийским авиатором. Постройка ВМ-2 началась в марте 1916 года. Аппарат собирали в течение лета того же года, и к осени он был закончен. Убедившись, что дело пошло должным образом, А.Ю. Виллиш в начале 1917 года закрепился у Ф. Мельтцера в качестве директора-распорядителя, и бывшая "фабрика художественной мебели" стала авиационным заводом того же хозяина. Тут и В.А. Лебедев "прозрел" и, не желая упускать возможность выгоды, договорился с Виллишем о сотрудничестве и также начал строить ВМ-2, но уже не в чистом виде, а усовершенствованную его копию. Переделки конструкции, были учтены, что дало основания Виллишу и Лебедеву считать обновленный аппарат новым типом, и он получил обозначение ВМ-4.</w:t>
      </w:r>
    </w:p>
    <w:p w14:paraId="79AF1AC9" w14:textId="77777777" w:rsidR="004B4E35" w:rsidRPr="00405303" w:rsidRDefault="009E6F82" w:rsidP="00C15251">
      <w:pPr>
        <w:jc w:val="both"/>
        <w:rPr>
          <w:bCs/>
          <w:color w:val="002060"/>
          <w:sz w:val="16"/>
          <w:szCs w:val="16"/>
        </w:rPr>
      </w:pPr>
      <w:r w:rsidRPr="00405303">
        <w:rPr>
          <w:bCs/>
          <w:color w:val="002060"/>
          <w:sz w:val="16"/>
          <w:szCs w:val="16"/>
        </w:rPr>
        <w:t>И прототип, и модификация были летающими лодками с двумя членами экипажа, один управлял самолетом, второй - пулеметом. Они предназначались для воздушной разведки театров военных действий на море. Оба аппарата были добротно построены и хорошо летали, но не на Балтике, а в Бакинской летной школе, бороздя Каспийское море. Этим, в общем-то, неплохим гидропланам перешла (</w:t>
      </w:r>
      <w:proofErr w:type="gramStart"/>
      <w:r w:rsidRPr="00405303">
        <w:rPr>
          <w:bCs/>
          <w:color w:val="002060"/>
          <w:sz w:val="16"/>
          <w:szCs w:val="16"/>
        </w:rPr>
        <w:t>или,если</w:t>
      </w:r>
      <w:proofErr w:type="gramEnd"/>
      <w:r w:rsidRPr="00405303">
        <w:rPr>
          <w:bCs/>
          <w:color w:val="002060"/>
          <w:sz w:val="16"/>
          <w:szCs w:val="16"/>
        </w:rPr>
        <w:t xml:space="preserve"> угодно, переплыла) дорогу более перспективная летающая лодка М-5 конструкции Дмитрия Павловича Григоровича, которая строилась серийно. Надо полагать, что и влияние самого Д.П. Григоровича, фактического монополиста в гидросамолетостроении, также способствовало </w:t>
      </w:r>
      <w:proofErr w:type="gramStart"/>
      <w:r w:rsidRPr="00405303">
        <w:rPr>
          <w:bCs/>
          <w:color w:val="002060"/>
          <w:sz w:val="16"/>
          <w:szCs w:val="16"/>
        </w:rPr>
        <w:t>тому,чтобы</w:t>
      </w:r>
      <w:proofErr w:type="gramEnd"/>
      <w:r w:rsidRPr="00405303">
        <w:rPr>
          <w:bCs/>
          <w:color w:val="002060"/>
          <w:sz w:val="16"/>
          <w:szCs w:val="16"/>
        </w:rPr>
        <w:t xml:space="preserve"> предпочтение Военного ведомства России было обращено к лодке М-5, на основе которой вскоре появилась едва ли не самая лучшая летающая лодка первой мировой войны М-9.</w:t>
      </w:r>
    </w:p>
    <w:p w14:paraId="4DA38130" w14:textId="77777777" w:rsidR="004B4E35" w:rsidRPr="00405303" w:rsidRDefault="009E6F82" w:rsidP="00C15251">
      <w:pPr>
        <w:jc w:val="both"/>
        <w:rPr>
          <w:bCs/>
          <w:color w:val="002060"/>
          <w:sz w:val="16"/>
          <w:szCs w:val="16"/>
        </w:rPr>
      </w:pPr>
      <w:r w:rsidRPr="00405303">
        <w:rPr>
          <w:bCs/>
          <w:color w:val="002060"/>
          <w:sz w:val="16"/>
          <w:szCs w:val="16"/>
        </w:rPr>
        <w:t xml:space="preserve">Для нашей тематики из всех гидросамолетов Виллиша ( а приведены они для того, чтобы хоть как-то ознакомиться с его творчеством и почерком в деле) наиболее подходящим является гидроистребитель ВМ-5. По назначению это был морской одноместный истребитель, вооруженный пулеметов системы Хойрема Максима. Это соответствовало требованиям заказчика в период боевых действий на Балтике 1917 года, когда немцы рвались к Петрограду. На появление ВМ-5 немалой степени оказал влияние выпуск Д.П. Григоровичем одного из первых морских истребителей - </w:t>
      </w:r>
      <w:proofErr w:type="gramStart"/>
      <w:r w:rsidRPr="00405303">
        <w:rPr>
          <w:bCs/>
          <w:color w:val="002060"/>
          <w:sz w:val="16"/>
          <w:szCs w:val="16"/>
        </w:rPr>
        <w:t>М-11</w:t>
      </w:r>
      <w:proofErr w:type="gramEnd"/>
      <w:r w:rsidRPr="00405303">
        <w:rPr>
          <w:bCs/>
          <w:color w:val="002060"/>
          <w:sz w:val="16"/>
          <w:szCs w:val="16"/>
        </w:rPr>
        <w:t xml:space="preserve"> который, как выяснилось в 1916 году, в полной мере себя не оправдал, будучи слишком громоздким и тихоходным (Короче говоря, для истории от него осталось только громкое название -"морской истребитель"). Эта задача - создать полноценный истребитель способный взлетать и садиться на воду так никогда и не была решена полностью. Требования высокой скорости полета всегда были в конфликте с приемлемой мореходностью летающих судов.</w:t>
      </w:r>
    </w:p>
    <w:p w14:paraId="149FE522" w14:textId="77777777" w:rsidR="004B4E35" w:rsidRPr="00405303" w:rsidRDefault="009E6F82" w:rsidP="00C15251">
      <w:pPr>
        <w:jc w:val="both"/>
        <w:rPr>
          <w:bCs/>
          <w:color w:val="002060"/>
          <w:sz w:val="16"/>
          <w:szCs w:val="16"/>
        </w:rPr>
      </w:pPr>
      <w:r w:rsidRPr="00405303">
        <w:rPr>
          <w:bCs/>
          <w:color w:val="002060"/>
          <w:sz w:val="16"/>
          <w:szCs w:val="16"/>
        </w:rPr>
        <w:t>Как бы то ни было, но в период первой мировой войны задача оснащения флота хорошим морским истребителем с рассмотрения не снималась и на ВМ-5 возлагались определенные надежды. Начатый в постройке весной 1917 года и собранный в ноябре того же года, морской истребитель Виллиша был вывезен на гидродром слишком поздно и не испытывался до самой зимы. Для облета в "сухопутном" варианте к нему пристроили лыжи, однако развернувшиеся в стране драматические события привели к тому, что ВМ-5 в лыжной конфигурации доведен не бьл и не испытывался.</w:t>
      </w:r>
    </w:p>
    <w:p w14:paraId="552602E5" w14:textId="77777777" w:rsidR="004B4E35" w:rsidRPr="00405303" w:rsidRDefault="009E6F82" w:rsidP="00C15251">
      <w:pPr>
        <w:jc w:val="both"/>
        <w:rPr>
          <w:bCs/>
          <w:color w:val="002060"/>
          <w:sz w:val="16"/>
          <w:szCs w:val="16"/>
        </w:rPr>
      </w:pPr>
      <w:r w:rsidRPr="00405303">
        <w:rPr>
          <w:bCs/>
          <w:color w:val="002060"/>
          <w:sz w:val="16"/>
          <w:szCs w:val="16"/>
        </w:rPr>
        <w:t xml:space="preserve">На этом, казалось бы, можно и закончить рассказ о деятельности Александра Юстусовича в </w:t>
      </w:r>
      <w:proofErr w:type="gramStart"/>
      <w:r w:rsidRPr="00405303">
        <w:rPr>
          <w:bCs/>
          <w:color w:val="002060"/>
          <w:sz w:val="16"/>
          <w:szCs w:val="16"/>
        </w:rPr>
        <w:t>авиации</w:t>
      </w:r>
      <w:proofErr w:type="gramEnd"/>
      <w:r w:rsidRPr="00405303">
        <w:rPr>
          <w:bCs/>
          <w:color w:val="002060"/>
          <w:sz w:val="16"/>
          <w:szCs w:val="16"/>
        </w:rPr>
        <w:t xml:space="preserve"> Однако еще одним его аппаратом, </w:t>
      </w:r>
      <w:proofErr w:type="gramStart"/>
      <w:r w:rsidRPr="00405303">
        <w:rPr>
          <w:bCs/>
          <w:color w:val="002060"/>
          <w:sz w:val="16"/>
          <w:szCs w:val="16"/>
        </w:rPr>
        <w:t>из за</w:t>
      </w:r>
      <w:proofErr w:type="gramEnd"/>
      <w:r w:rsidRPr="00405303">
        <w:rPr>
          <w:bCs/>
          <w:color w:val="002060"/>
          <w:sz w:val="16"/>
          <w:szCs w:val="16"/>
        </w:rPr>
        <w:t xml:space="preserve"> которого было затеяно всё приведенное выше повествование, был так называемый, "контристребитель"получивший обозначение ВМ-6. В том, что этому оригинальному аэроплану не удалось увидеть ни воды, ни неба, Виллиш не виноват. В 1918 году под давлением обстоятельств, он вынужден бросить все, покинуть Россию и вернуться к себе в тихое поместье на балтийском берегу (потому и остался в живых). Последний самолет его, ВМ-6, задуман и осуществлялся не просто на высоком или, скажем, приемлемом уровне: он стал очень интересным и притом во многих отношения.</w:t>
      </w:r>
    </w:p>
    <w:p w14:paraId="2E49F837" w14:textId="77777777" w:rsidR="004B4E35" w:rsidRPr="00405303" w:rsidRDefault="009E6F82" w:rsidP="00C15251">
      <w:pPr>
        <w:jc w:val="both"/>
        <w:rPr>
          <w:bCs/>
          <w:color w:val="002060"/>
          <w:sz w:val="16"/>
          <w:szCs w:val="16"/>
        </w:rPr>
      </w:pPr>
      <w:r w:rsidRPr="00405303">
        <w:rPr>
          <w:bCs/>
          <w:color w:val="002060"/>
          <w:sz w:val="16"/>
          <w:szCs w:val="16"/>
        </w:rPr>
        <w:t xml:space="preserve">Идея контристребителя появилась в авиаморских кругах России в 1916 году. Автором ее был профессиональный моряк, капитан 2-го ранга B.C. Щербачев. Имея недюжинный ум, природные технические способности и неугомонный характер, он предложил высшему командованию сделать морской самолет, способный базироваться на суше и на палубе крупных судов. Такой аэроплан мог применяться не только против крупных гидросамолетов противника, но и истребителей! Он должен иметь схему обычного сухопутного самолета на колесном шасси с передним расположением двигательной установки и тянущим винтом. Главное отличие новой машины от распространенных аппаратов заключалось в ее способности садиться на воду, и таким уже путем она должна возвращаться на базу. Береговое </w:t>
      </w:r>
      <w:r w:rsidRPr="00405303">
        <w:rPr>
          <w:bCs/>
          <w:color w:val="002060"/>
          <w:sz w:val="16"/>
          <w:szCs w:val="16"/>
        </w:rPr>
        <w:lastRenderedPageBreak/>
        <w:t>аэродромное базирование самолета должно было обеспечивать безопасность крупных баз военно-морского флота и той части кораблей, что стояли на якоре вблизи базы. Преимущество над гидропланами противника обеспечивалось конструкцией контристребителя. Она позволяла иметь более высокие летно-тактические характеристики за счет сбрасываемого после старта колесного шасси, мощной силовой установки, предельно легкой и малогабаритной конструкции частей аэроплана и пулеметного вооружения.</w:t>
      </w:r>
    </w:p>
    <w:p w14:paraId="66C41478" w14:textId="77777777" w:rsidR="004B4E35" w:rsidRPr="00405303" w:rsidRDefault="009E6F82" w:rsidP="00C15251">
      <w:pPr>
        <w:jc w:val="both"/>
        <w:rPr>
          <w:bCs/>
          <w:color w:val="002060"/>
          <w:sz w:val="16"/>
          <w:szCs w:val="16"/>
        </w:rPr>
      </w:pPr>
      <w:r w:rsidRPr="00405303">
        <w:rPr>
          <w:bCs/>
          <w:color w:val="002060"/>
          <w:sz w:val="16"/>
          <w:szCs w:val="16"/>
        </w:rPr>
        <w:t>При фюзеляжной схеме самолета посадка на воду была бы возможной при удалении или изоляции воздушного винта от морской поверхности. Этот вопрос думали решить поворотом оси винта после его остановки и последующей фиксацией в горизонтальном положении над мотором. При этом пропеллер представал собой небольшое двухлопастное крылышко перед кабиной летчика. Пилоту надлежало садиться на воду при таком положении винта и осуществлять послеполетный пробег с рулением на стоянку. Перед стартом ось винта приводилась в нормальное горизонтальное положение и являлась продолжением выходного вала двигателя. Для осуществления эксплуатации такого устройства наиболее подходящим был стационарный мотор водяного охлаждения с рядным расположением цилиндров, каким является двигатель французской фирмы Марка Биркинга "Испано-Сюиза". Он обладал мощностью 200 л.с, чего должно быть вполне достаточно для получения высоких летно-тактических характеристик самолету небольшой размерности. Для " контристребителя" ВМ-6 была выбрана схема аэродинамической компоновки расчалочного высокоплана с крылом площадью в 13,5 м</w:t>
      </w:r>
      <w:r w:rsidRPr="00405303">
        <w:rPr>
          <w:bCs/>
          <w:color w:val="002060"/>
          <w:sz w:val="16"/>
          <w:szCs w:val="16"/>
          <w:vertAlign w:val="superscript"/>
        </w:rPr>
        <w:t>2</w:t>
      </w:r>
      <w:r w:rsidRPr="00405303">
        <w:rPr>
          <w:bCs/>
          <w:color w:val="002060"/>
          <w:sz w:val="16"/>
          <w:szCs w:val="16"/>
        </w:rPr>
        <w:t xml:space="preserve">. Крыло выполнено двухлонжеронным с фанерными нервюрами, расположенными по направлению полета на 65% размаха. В концевых зонах нервюры пустили веером от поточного направления до стреловидного к </w:t>
      </w:r>
      <w:proofErr w:type="gramStart"/>
      <w:r w:rsidRPr="00405303">
        <w:rPr>
          <w:bCs/>
          <w:color w:val="002060"/>
          <w:sz w:val="16"/>
          <w:szCs w:val="16"/>
        </w:rPr>
        <w:t>оконцам,параллельно</w:t>
      </w:r>
      <w:proofErr w:type="gramEnd"/>
      <w:r w:rsidRPr="00405303">
        <w:rPr>
          <w:bCs/>
          <w:color w:val="002060"/>
          <w:sz w:val="16"/>
          <w:szCs w:val="16"/>
        </w:rPr>
        <w:t xml:space="preserve"> передним кромкам законцовок, скошенным на 40 градусов от поперечной оси. Двигатель установили в носовой части корпуса, которая была слегка расширена для обеспечения лучшей мореходности. Корпус имел обводы, близкие к контурам классической шлюпки. Задняя часть заужена к хвосту, отличалась более сильной килеватостью (от средней части) имея почти треугольное сечение вершиной вниз. От носовой части к середине корпуса шли бортовые скулы, плавно соединенные на нет, без редана, поскольку взлет с воды не предусматривался, да был бы и невозможен при низком расположении винта. Хвостовое оперение обычное.</w:t>
      </w:r>
    </w:p>
    <w:p w14:paraId="0B522C2B" w14:textId="77777777" w:rsidR="004B4E35" w:rsidRPr="00405303" w:rsidRDefault="009E6F82" w:rsidP="00C15251">
      <w:pPr>
        <w:jc w:val="both"/>
        <w:rPr>
          <w:bCs/>
          <w:color w:val="002060"/>
          <w:sz w:val="16"/>
          <w:szCs w:val="16"/>
        </w:rPr>
      </w:pPr>
      <w:r w:rsidRPr="00405303">
        <w:rPr>
          <w:bCs/>
          <w:color w:val="002060"/>
          <w:sz w:val="16"/>
          <w:szCs w:val="16"/>
        </w:rPr>
        <w:t xml:space="preserve">Проект ВМ-6 был представлен Управлению Морской авиации (УМА) 13 сентября 1917 года. Поначалу предполагали дать задание на контристребитель Д.П. Григоровичу и конструкторскому бюро АИС, но за дело взялся толькоA.Ю. Виллиш, который при непосредственном участии такого сильного специалиста как И.М. Косткин* (он стал техническим директором фабрики Ф. Мельтцера) обещал справиться с поставленной задачей. Помимо самолета, следовало сделать и вспомогательные стартовые механизмы, состоящие согласно проекту, из направляющих рельсовых дорожек, стартовой тележки, на которой должно установить аэроплан, и агрегатов системы запуска, т.е. стоек, крюков, рычагов, тросов и цилиндра со сжатым воздухом. Все это требовало длительной изолированной отработки, автономной доводки перед испытаниями всего комплекса вместе с истребителем. Все - и катапультная система, и береговые постройки, необходимые для непосредственных пусков -выглядело вполне реальными и осуществимыми, постройка стартовой позиции и самого аэроплана началась осенью 1917 года. Известные политические события и окружающая обстановка вынуждали предпринимателей ускорить работу. На каком-то этапе пришлось прерваться для постройки и опробования в воздухе хотя бы одного только аппарата. Его решили довести до испытаний в сухопутном варианте с обычным положением винта на жестком (не сгибаемом) валу, без отделяемого </w:t>
      </w:r>
      <w:proofErr w:type="gramStart"/>
      <w:r w:rsidRPr="00405303">
        <w:rPr>
          <w:bCs/>
          <w:color w:val="002060"/>
          <w:sz w:val="16"/>
          <w:szCs w:val="16"/>
        </w:rPr>
        <w:t>шасси,но</w:t>
      </w:r>
      <w:proofErr w:type="gramEnd"/>
      <w:r w:rsidRPr="00405303">
        <w:rPr>
          <w:bCs/>
          <w:color w:val="002060"/>
          <w:sz w:val="16"/>
          <w:szCs w:val="16"/>
        </w:rPr>
        <w:t xml:space="preserve"> с "мореходным корпусом" (как это было по проекту). Однако даже в таком виде ВМ-6 на летные испытания не передавался. Грянула революция... Так была заброшена интереснейшая идея боевой амфибии, которая осуществлялась авиаторами России, возможно, впервые в мире. Самолет же построили практически полностью...</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686"/>
        <w:gridCol w:w="4738"/>
      </w:tblGrid>
      <w:tr w:rsidR="00946658" w:rsidRPr="00405303" w14:paraId="2BA5E0B2" w14:textId="77777777" w:rsidTr="00946658">
        <w:tc>
          <w:tcPr>
            <w:tcW w:w="10424" w:type="dxa"/>
            <w:gridSpan w:val="2"/>
          </w:tcPr>
          <w:p w14:paraId="6A7528AA" w14:textId="77777777" w:rsidR="004B4E35" w:rsidRPr="00405303" w:rsidRDefault="009E6F82" w:rsidP="00C15251">
            <w:pPr>
              <w:jc w:val="both"/>
              <w:rPr>
                <w:bCs/>
                <w:color w:val="002060"/>
                <w:sz w:val="16"/>
                <w:szCs w:val="16"/>
              </w:rPr>
            </w:pPr>
            <w:r w:rsidRPr="00405303">
              <w:rPr>
                <w:bCs/>
                <w:color w:val="002060"/>
                <w:sz w:val="16"/>
                <w:szCs w:val="16"/>
              </w:rPr>
              <w:t>Летно-тактические характеристики контристребителя ВМ-6*</w:t>
            </w:r>
          </w:p>
        </w:tc>
      </w:tr>
      <w:tr w:rsidR="004B4E35" w:rsidRPr="00405303" w14:paraId="4F5A5B60" w14:textId="77777777">
        <w:tc>
          <w:tcPr>
            <w:tcW w:w="5686" w:type="dxa"/>
          </w:tcPr>
          <w:p w14:paraId="15A9C576" w14:textId="77777777" w:rsidR="004B4E35" w:rsidRPr="00405303" w:rsidRDefault="009E6F82" w:rsidP="00C15251">
            <w:pPr>
              <w:jc w:val="both"/>
              <w:rPr>
                <w:bCs/>
                <w:color w:val="002060"/>
                <w:sz w:val="16"/>
                <w:szCs w:val="16"/>
              </w:rPr>
            </w:pPr>
            <w:r w:rsidRPr="00405303">
              <w:rPr>
                <w:bCs/>
                <w:color w:val="002060"/>
                <w:sz w:val="16"/>
                <w:szCs w:val="16"/>
              </w:rPr>
              <w:t>Самолет</w:t>
            </w:r>
          </w:p>
        </w:tc>
        <w:tc>
          <w:tcPr>
            <w:tcW w:w="4738" w:type="dxa"/>
          </w:tcPr>
          <w:p w14:paraId="2D090D92" w14:textId="77777777" w:rsidR="004B4E35" w:rsidRPr="00405303" w:rsidRDefault="009E6F82" w:rsidP="00C15251">
            <w:pPr>
              <w:jc w:val="both"/>
              <w:rPr>
                <w:bCs/>
                <w:color w:val="002060"/>
                <w:sz w:val="16"/>
                <w:szCs w:val="16"/>
              </w:rPr>
            </w:pPr>
            <w:r w:rsidRPr="00405303">
              <w:rPr>
                <w:bCs/>
                <w:color w:val="002060"/>
                <w:sz w:val="16"/>
                <w:szCs w:val="16"/>
              </w:rPr>
              <w:t>ВМ-6</w:t>
            </w:r>
          </w:p>
        </w:tc>
      </w:tr>
      <w:tr w:rsidR="004B4E35" w:rsidRPr="00405303" w14:paraId="6571D4B0" w14:textId="77777777">
        <w:tc>
          <w:tcPr>
            <w:tcW w:w="5686" w:type="dxa"/>
          </w:tcPr>
          <w:p w14:paraId="58705AB3" w14:textId="77777777" w:rsidR="004B4E35" w:rsidRPr="00405303" w:rsidRDefault="009E6F82" w:rsidP="00C15251">
            <w:pPr>
              <w:jc w:val="both"/>
              <w:rPr>
                <w:bCs/>
                <w:color w:val="002060"/>
                <w:sz w:val="16"/>
                <w:szCs w:val="16"/>
              </w:rPr>
            </w:pPr>
            <w:r w:rsidRPr="00405303">
              <w:rPr>
                <w:bCs/>
                <w:color w:val="002060"/>
                <w:sz w:val="16"/>
                <w:szCs w:val="16"/>
              </w:rPr>
              <w:t>Год выпуска</w:t>
            </w:r>
          </w:p>
        </w:tc>
        <w:tc>
          <w:tcPr>
            <w:tcW w:w="4738" w:type="dxa"/>
          </w:tcPr>
          <w:p w14:paraId="69546349" w14:textId="77777777" w:rsidR="004B4E35" w:rsidRPr="00405303" w:rsidRDefault="009E6F82" w:rsidP="00C15251">
            <w:pPr>
              <w:jc w:val="both"/>
              <w:rPr>
                <w:bCs/>
                <w:color w:val="002060"/>
                <w:sz w:val="16"/>
                <w:szCs w:val="16"/>
              </w:rPr>
            </w:pPr>
            <w:r w:rsidRPr="00405303">
              <w:rPr>
                <w:bCs/>
                <w:color w:val="002060"/>
                <w:sz w:val="16"/>
                <w:szCs w:val="16"/>
              </w:rPr>
              <w:t>1918</w:t>
            </w:r>
          </w:p>
        </w:tc>
      </w:tr>
      <w:tr w:rsidR="004B4E35" w:rsidRPr="00405303" w14:paraId="3232B6B6" w14:textId="77777777">
        <w:tc>
          <w:tcPr>
            <w:tcW w:w="5686" w:type="dxa"/>
          </w:tcPr>
          <w:p w14:paraId="5AF956BA" w14:textId="77777777" w:rsidR="004B4E35" w:rsidRPr="00405303" w:rsidRDefault="009E6F82" w:rsidP="00C15251">
            <w:pPr>
              <w:jc w:val="both"/>
              <w:rPr>
                <w:bCs/>
                <w:color w:val="002060"/>
                <w:sz w:val="16"/>
                <w:szCs w:val="16"/>
              </w:rPr>
            </w:pPr>
            <w:r w:rsidRPr="00405303">
              <w:rPr>
                <w:bCs/>
                <w:color w:val="002060"/>
                <w:sz w:val="16"/>
                <w:szCs w:val="16"/>
              </w:rPr>
              <w:t>Мотор</w:t>
            </w:r>
          </w:p>
        </w:tc>
        <w:tc>
          <w:tcPr>
            <w:tcW w:w="4738" w:type="dxa"/>
          </w:tcPr>
          <w:p w14:paraId="2A8101E7" w14:textId="77777777" w:rsidR="004B4E35" w:rsidRPr="00405303" w:rsidRDefault="009E6F82" w:rsidP="00C15251">
            <w:pPr>
              <w:jc w:val="both"/>
              <w:rPr>
                <w:bCs/>
                <w:color w:val="002060"/>
                <w:sz w:val="16"/>
                <w:szCs w:val="16"/>
              </w:rPr>
            </w:pPr>
            <w:r w:rsidRPr="00405303">
              <w:rPr>
                <w:bCs/>
                <w:color w:val="002060"/>
                <w:sz w:val="16"/>
                <w:szCs w:val="16"/>
              </w:rPr>
              <w:t>"Испано-Сюиза "</w:t>
            </w:r>
          </w:p>
        </w:tc>
      </w:tr>
      <w:tr w:rsidR="004B4E35" w:rsidRPr="00405303" w14:paraId="50BF5214" w14:textId="77777777">
        <w:tc>
          <w:tcPr>
            <w:tcW w:w="5686" w:type="dxa"/>
          </w:tcPr>
          <w:p w14:paraId="5E983C02" w14:textId="77777777" w:rsidR="004B4E35" w:rsidRPr="00405303" w:rsidRDefault="009E6F82" w:rsidP="00C15251">
            <w:pPr>
              <w:jc w:val="both"/>
              <w:rPr>
                <w:bCs/>
                <w:color w:val="002060"/>
                <w:sz w:val="16"/>
                <w:szCs w:val="16"/>
              </w:rPr>
            </w:pPr>
            <w:r w:rsidRPr="00405303">
              <w:rPr>
                <w:bCs/>
                <w:color w:val="002060"/>
                <w:sz w:val="16"/>
                <w:szCs w:val="16"/>
              </w:rPr>
              <w:t>Мощность максимальная, л.с.</w:t>
            </w:r>
          </w:p>
        </w:tc>
        <w:tc>
          <w:tcPr>
            <w:tcW w:w="4738" w:type="dxa"/>
          </w:tcPr>
          <w:p w14:paraId="1142F50B" w14:textId="77777777" w:rsidR="004B4E35" w:rsidRPr="00405303" w:rsidRDefault="009E6F82" w:rsidP="00C15251">
            <w:pPr>
              <w:jc w:val="both"/>
              <w:rPr>
                <w:bCs/>
                <w:color w:val="002060"/>
                <w:sz w:val="16"/>
                <w:szCs w:val="16"/>
              </w:rPr>
            </w:pPr>
            <w:r w:rsidRPr="00405303">
              <w:rPr>
                <w:bCs/>
                <w:color w:val="002060"/>
                <w:sz w:val="16"/>
                <w:szCs w:val="16"/>
              </w:rPr>
              <w:t>200</w:t>
            </w:r>
          </w:p>
        </w:tc>
      </w:tr>
      <w:tr w:rsidR="004B4E35" w:rsidRPr="00405303" w14:paraId="34F07141" w14:textId="77777777">
        <w:tc>
          <w:tcPr>
            <w:tcW w:w="5686" w:type="dxa"/>
          </w:tcPr>
          <w:p w14:paraId="56BCB41D" w14:textId="77777777" w:rsidR="004B4E35" w:rsidRPr="00405303" w:rsidRDefault="009E6F82" w:rsidP="00C15251">
            <w:pPr>
              <w:jc w:val="both"/>
              <w:rPr>
                <w:bCs/>
                <w:color w:val="002060"/>
                <w:sz w:val="16"/>
                <w:szCs w:val="16"/>
              </w:rPr>
            </w:pPr>
            <w:r w:rsidRPr="00405303">
              <w:rPr>
                <w:bCs/>
                <w:color w:val="002060"/>
                <w:sz w:val="16"/>
                <w:szCs w:val="16"/>
              </w:rPr>
              <w:t>Скорость максимальная, км/ч</w:t>
            </w:r>
          </w:p>
        </w:tc>
        <w:tc>
          <w:tcPr>
            <w:tcW w:w="4738" w:type="dxa"/>
          </w:tcPr>
          <w:p w14:paraId="20569720" w14:textId="77777777" w:rsidR="004B4E35" w:rsidRPr="00405303" w:rsidRDefault="009E6F82" w:rsidP="00C15251">
            <w:pPr>
              <w:jc w:val="both"/>
              <w:rPr>
                <w:bCs/>
                <w:color w:val="002060"/>
                <w:sz w:val="16"/>
                <w:szCs w:val="16"/>
              </w:rPr>
            </w:pPr>
            <w:r w:rsidRPr="00405303">
              <w:rPr>
                <w:bCs/>
                <w:color w:val="002060"/>
                <w:sz w:val="16"/>
                <w:szCs w:val="16"/>
              </w:rPr>
              <w:t>210</w:t>
            </w:r>
          </w:p>
        </w:tc>
      </w:tr>
      <w:tr w:rsidR="004B4E35" w:rsidRPr="00405303" w14:paraId="1BCE1CC4" w14:textId="77777777">
        <w:tc>
          <w:tcPr>
            <w:tcW w:w="5686" w:type="dxa"/>
          </w:tcPr>
          <w:p w14:paraId="0735A129" w14:textId="77777777" w:rsidR="004B4E35" w:rsidRPr="00405303" w:rsidRDefault="009E6F82" w:rsidP="00C15251">
            <w:pPr>
              <w:jc w:val="both"/>
              <w:rPr>
                <w:bCs/>
                <w:color w:val="002060"/>
                <w:sz w:val="16"/>
                <w:szCs w:val="16"/>
              </w:rPr>
            </w:pPr>
            <w:r w:rsidRPr="00405303">
              <w:rPr>
                <w:bCs/>
                <w:color w:val="002060"/>
                <w:sz w:val="16"/>
                <w:szCs w:val="16"/>
              </w:rPr>
              <w:t>Время набора высоты 2000 м, мин</w:t>
            </w:r>
          </w:p>
        </w:tc>
        <w:tc>
          <w:tcPr>
            <w:tcW w:w="4738" w:type="dxa"/>
          </w:tcPr>
          <w:p w14:paraId="2F744D81" w14:textId="77777777" w:rsidR="004B4E35" w:rsidRPr="00405303" w:rsidRDefault="009E6F82" w:rsidP="00C15251">
            <w:pPr>
              <w:jc w:val="both"/>
              <w:rPr>
                <w:bCs/>
                <w:color w:val="002060"/>
                <w:sz w:val="16"/>
                <w:szCs w:val="16"/>
              </w:rPr>
            </w:pPr>
            <w:r w:rsidRPr="00405303">
              <w:rPr>
                <w:bCs/>
                <w:color w:val="002060"/>
                <w:sz w:val="16"/>
                <w:szCs w:val="16"/>
              </w:rPr>
              <w:t>8,0</w:t>
            </w:r>
          </w:p>
        </w:tc>
      </w:tr>
      <w:tr w:rsidR="004B4E35" w:rsidRPr="00405303" w14:paraId="380EE483" w14:textId="77777777">
        <w:tc>
          <w:tcPr>
            <w:tcW w:w="5686" w:type="dxa"/>
          </w:tcPr>
          <w:p w14:paraId="4D3248F2" w14:textId="77777777" w:rsidR="004B4E35" w:rsidRPr="00405303" w:rsidRDefault="009E6F82" w:rsidP="00C15251">
            <w:pPr>
              <w:jc w:val="both"/>
              <w:rPr>
                <w:bCs/>
                <w:color w:val="002060"/>
                <w:sz w:val="16"/>
                <w:szCs w:val="16"/>
              </w:rPr>
            </w:pPr>
            <w:r w:rsidRPr="00405303">
              <w:rPr>
                <w:bCs/>
                <w:color w:val="002060"/>
                <w:sz w:val="16"/>
                <w:szCs w:val="16"/>
              </w:rPr>
              <w:t>Потолок практический, м</w:t>
            </w:r>
          </w:p>
        </w:tc>
        <w:tc>
          <w:tcPr>
            <w:tcW w:w="4738" w:type="dxa"/>
          </w:tcPr>
          <w:p w14:paraId="1D25392B" w14:textId="77777777" w:rsidR="004B4E35" w:rsidRPr="00405303" w:rsidRDefault="009E6F82" w:rsidP="00C15251">
            <w:pPr>
              <w:jc w:val="both"/>
              <w:rPr>
                <w:bCs/>
                <w:color w:val="002060"/>
                <w:sz w:val="16"/>
                <w:szCs w:val="16"/>
              </w:rPr>
            </w:pPr>
            <w:r w:rsidRPr="00405303">
              <w:rPr>
                <w:bCs/>
                <w:color w:val="002060"/>
                <w:sz w:val="16"/>
                <w:szCs w:val="16"/>
              </w:rPr>
              <w:t>6500</w:t>
            </w:r>
          </w:p>
        </w:tc>
      </w:tr>
      <w:tr w:rsidR="004B4E35" w:rsidRPr="00405303" w14:paraId="41E59246" w14:textId="77777777">
        <w:tc>
          <w:tcPr>
            <w:tcW w:w="5686" w:type="dxa"/>
          </w:tcPr>
          <w:p w14:paraId="2E6150C7" w14:textId="77777777" w:rsidR="004B4E35" w:rsidRPr="00405303" w:rsidRDefault="009E6F82" w:rsidP="00C15251">
            <w:pPr>
              <w:jc w:val="both"/>
              <w:rPr>
                <w:bCs/>
                <w:color w:val="002060"/>
                <w:sz w:val="16"/>
                <w:szCs w:val="16"/>
              </w:rPr>
            </w:pPr>
            <w:r w:rsidRPr="00405303">
              <w:rPr>
                <w:bCs/>
                <w:color w:val="002060"/>
                <w:sz w:val="16"/>
                <w:szCs w:val="16"/>
              </w:rPr>
              <w:t>Продолжительность полета, час</w:t>
            </w:r>
          </w:p>
        </w:tc>
        <w:tc>
          <w:tcPr>
            <w:tcW w:w="4738" w:type="dxa"/>
          </w:tcPr>
          <w:p w14:paraId="6664BE4E" w14:textId="77777777" w:rsidR="004B4E35" w:rsidRPr="00405303" w:rsidRDefault="009E6F82" w:rsidP="00C15251">
            <w:pPr>
              <w:jc w:val="both"/>
              <w:rPr>
                <w:bCs/>
                <w:color w:val="002060"/>
                <w:sz w:val="16"/>
                <w:szCs w:val="16"/>
              </w:rPr>
            </w:pPr>
            <w:r w:rsidRPr="00405303">
              <w:rPr>
                <w:bCs/>
                <w:color w:val="002060"/>
                <w:sz w:val="16"/>
                <w:szCs w:val="16"/>
              </w:rPr>
              <w:t>2,0</w:t>
            </w:r>
          </w:p>
        </w:tc>
      </w:tr>
      <w:tr w:rsidR="004B4E35" w:rsidRPr="00405303" w14:paraId="45BBFA28" w14:textId="77777777">
        <w:tc>
          <w:tcPr>
            <w:tcW w:w="5686" w:type="dxa"/>
          </w:tcPr>
          <w:p w14:paraId="1F295C67" w14:textId="77777777" w:rsidR="004B4E35" w:rsidRPr="00405303" w:rsidRDefault="009E6F82" w:rsidP="00C15251">
            <w:pPr>
              <w:jc w:val="both"/>
              <w:rPr>
                <w:bCs/>
                <w:color w:val="002060"/>
                <w:sz w:val="16"/>
                <w:szCs w:val="16"/>
              </w:rPr>
            </w:pPr>
            <w:r w:rsidRPr="00405303">
              <w:rPr>
                <w:bCs/>
                <w:color w:val="002060"/>
                <w:sz w:val="16"/>
                <w:szCs w:val="16"/>
              </w:rPr>
              <w:t>Площадь крыла, м</w:t>
            </w:r>
            <w:r w:rsidRPr="00405303">
              <w:rPr>
                <w:bCs/>
                <w:color w:val="002060"/>
                <w:sz w:val="16"/>
                <w:szCs w:val="16"/>
                <w:vertAlign w:val="superscript"/>
              </w:rPr>
              <w:t>2</w:t>
            </w:r>
          </w:p>
        </w:tc>
        <w:tc>
          <w:tcPr>
            <w:tcW w:w="4738" w:type="dxa"/>
          </w:tcPr>
          <w:p w14:paraId="10CA8E26" w14:textId="77777777" w:rsidR="004B4E35" w:rsidRPr="00405303" w:rsidRDefault="009E6F82" w:rsidP="00C15251">
            <w:pPr>
              <w:jc w:val="both"/>
              <w:rPr>
                <w:bCs/>
                <w:color w:val="002060"/>
                <w:sz w:val="16"/>
                <w:szCs w:val="16"/>
              </w:rPr>
            </w:pPr>
            <w:r w:rsidRPr="00405303">
              <w:rPr>
                <w:bCs/>
                <w:color w:val="002060"/>
                <w:sz w:val="16"/>
                <w:szCs w:val="16"/>
              </w:rPr>
              <w:t>13,5</w:t>
            </w:r>
          </w:p>
        </w:tc>
      </w:tr>
      <w:tr w:rsidR="004B4E35" w:rsidRPr="00405303" w14:paraId="5A08B0F7" w14:textId="77777777">
        <w:tc>
          <w:tcPr>
            <w:tcW w:w="5686" w:type="dxa"/>
          </w:tcPr>
          <w:p w14:paraId="5778ACC4" w14:textId="77777777" w:rsidR="004B4E35" w:rsidRPr="00405303" w:rsidRDefault="009E6F82" w:rsidP="00C15251">
            <w:pPr>
              <w:jc w:val="both"/>
              <w:rPr>
                <w:bCs/>
                <w:color w:val="002060"/>
                <w:sz w:val="16"/>
                <w:szCs w:val="16"/>
              </w:rPr>
            </w:pPr>
            <w:r w:rsidRPr="00405303">
              <w:rPr>
                <w:bCs/>
                <w:color w:val="002060"/>
                <w:sz w:val="16"/>
                <w:szCs w:val="16"/>
              </w:rPr>
              <w:t>Взлетный вес, кг</w:t>
            </w:r>
          </w:p>
        </w:tc>
        <w:tc>
          <w:tcPr>
            <w:tcW w:w="4738" w:type="dxa"/>
          </w:tcPr>
          <w:p w14:paraId="4B88CC0B" w14:textId="77777777" w:rsidR="004B4E35" w:rsidRPr="00405303" w:rsidRDefault="009E6F82" w:rsidP="00C15251">
            <w:pPr>
              <w:jc w:val="both"/>
              <w:rPr>
                <w:bCs/>
                <w:color w:val="002060"/>
                <w:sz w:val="16"/>
                <w:szCs w:val="16"/>
              </w:rPr>
            </w:pPr>
            <w:r w:rsidRPr="00405303">
              <w:rPr>
                <w:bCs/>
                <w:color w:val="002060"/>
                <w:sz w:val="16"/>
                <w:szCs w:val="16"/>
              </w:rPr>
              <w:t>785</w:t>
            </w:r>
          </w:p>
        </w:tc>
      </w:tr>
      <w:tr w:rsidR="004B4E35" w:rsidRPr="00405303" w14:paraId="6D89CFF5" w14:textId="77777777">
        <w:tc>
          <w:tcPr>
            <w:tcW w:w="5686" w:type="dxa"/>
          </w:tcPr>
          <w:p w14:paraId="1A79CDF2" w14:textId="77777777" w:rsidR="004B4E35" w:rsidRPr="00405303" w:rsidRDefault="009E6F82" w:rsidP="00C15251">
            <w:pPr>
              <w:jc w:val="both"/>
              <w:rPr>
                <w:bCs/>
                <w:color w:val="002060"/>
                <w:sz w:val="16"/>
                <w:szCs w:val="16"/>
              </w:rPr>
            </w:pPr>
            <w:r w:rsidRPr="00405303">
              <w:rPr>
                <w:bCs/>
                <w:color w:val="002060"/>
                <w:sz w:val="16"/>
                <w:szCs w:val="16"/>
              </w:rPr>
              <w:t>Вес пустого самолета, кг</w:t>
            </w:r>
          </w:p>
        </w:tc>
        <w:tc>
          <w:tcPr>
            <w:tcW w:w="4738" w:type="dxa"/>
          </w:tcPr>
          <w:p w14:paraId="4DDE8B10" w14:textId="77777777" w:rsidR="004B4E35" w:rsidRPr="00405303" w:rsidRDefault="009E6F82" w:rsidP="00C15251">
            <w:pPr>
              <w:jc w:val="both"/>
              <w:rPr>
                <w:bCs/>
                <w:color w:val="002060"/>
                <w:sz w:val="16"/>
                <w:szCs w:val="16"/>
              </w:rPr>
            </w:pPr>
            <w:r w:rsidRPr="00405303">
              <w:rPr>
                <w:bCs/>
                <w:color w:val="002060"/>
                <w:sz w:val="16"/>
                <w:szCs w:val="16"/>
              </w:rPr>
              <w:t>571</w:t>
            </w:r>
          </w:p>
        </w:tc>
      </w:tr>
      <w:tr w:rsidR="004B4E35" w:rsidRPr="00405303" w14:paraId="0854AB93" w14:textId="77777777">
        <w:tc>
          <w:tcPr>
            <w:tcW w:w="5686" w:type="dxa"/>
          </w:tcPr>
          <w:p w14:paraId="5AFBE077" w14:textId="77777777" w:rsidR="004B4E35" w:rsidRPr="00405303" w:rsidRDefault="009E6F82" w:rsidP="00C15251">
            <w:pPr>
              <w:jc w:val="both"/>
              <w:rPr>
                <w:bCs/>
                <w:color w:val="002060"/>
                <w:sz w:val="16"/>
                <w:szCs w:val="16"/>
              </w:rPr>
            </w:pPr>
            <w:r w:rsidRPr="00405303">
              <w:rPr>
                <w:bCs/>
                <w:color w:val="002060"/>
                <w:sz w:val="16"/>
                <w:szCs w:val="16"/>
              </w:rPr>
              <w:t>Запас топлива, кг</w:t>
            </w:r>
          </w:p>
        </w:tc>
        <w:tc>
          <w:tcPr>
            <w:tcW w:w="4738" w:type="dxa"/>
          </w:tcPr>
          <w:p w14:paraId="0BDF15D1" w14:textId="77777777" w:rsidR="004B4E35" w:rsidRPr="00405303" w:rsidRDefault="009E6F82" w:rsidP="00C15251">
            <w:pPr>
              <w:jc w:val="both"/>
              <w:rPr>
                <w:bCs/>
                <w:color w:val="002060"/>
                <w:sz w:val="16"/>
                <w:szCs w:val="16"/>
              </w:rPr>
            </w:pPr>
            <w:r w:rsidRPr="00405303">
              <w:rPr>
                <w:bCs/>
                <w:color w:val="002060"/>
                <w:sz w:val="16"/>
                <w:szCs w:val="16"/>
              </w:rPr>
              <w:t>95</w:t>
            </w:r>
          </w:p>
        </w:tc>
      </w:tr>
      <w:tr w:rsidR="004B4E35" w:rsidRPr="00405303" w14:paraId="004B919B" w14:textId="77777777">
        <w:tc>
          <w:tcPr>
            <w:tcW w:w="5686" w:type="dxa"/>
          </w:tcPr>
          <w:p w14:paraId="3346E62B" w14:textId="77777777" w:rsidR="004B4E35" w:rsidRPr="00405303" w:rsidRDefault="009E6F82" w:rsidP="00C15251">
            <w:pPr>
              <w:jc w:val="both"/>
              <w:rPr>
                <w:bCs/>
                <w:color w:val="002060"/>
                <w:sz w:val="16"/>
                <w:szCs w:val="16"/>
              </w:rPr>
            </w:pPr>
            <w:r w:rsidRPr="00405303">
              <w:rPr>
                <w:bCs/>
                <w:color w:val="002060"/>
                <w:sz w:val="16"/>
                <w:szCs w:val="16"/>
              </w:rPr>
              <w:t>Уд. нагрузка на крыло, кг/м2</w:t>
            </w:r>
          </w:p>
        </w:tc>
        <w:tc>
          <w:tcPr>
            <w:tcW w:w="4738" w:type="dxa"/>
          </w:tcPr>
          <w:p w14:paraId="41F8C933" w14:textId="77777777" w:rsidR="004B4E35" w:rsidRPr="00405303" w:rsidRDefault="009E6F82" w:rsidP="00C15251">
            <w:pPr>
              <w:jc w:val="both"/>
              <w:rPr>
                <w:bCs/>
                <w:color w:val="002060"/>
                <w:sz w:val="16"/>
                <w:szCs w:val="16"/>
              </w:rPr>
            </w:pPr>
            <w:r w:rsidRPr="00405303">
              <w:rPr>
                <w:bCs/>
                <w:color w:val="002060"/>
                <w:sz w:val="16"/>
                <w:szCs w:val="16"/>
              </w:rPr>
              <w:t>58,2</w:t>
            </w:r>
          </w:p>
        </w:tc>
      </w:tr>
      <w:tr w:rsidR="004B4E35" w:rsidRPr="00405303" w14:paraId="7765D16B" w14:textId="77777777">
        <w:tc>
          <w:tcPr>
            <w:tcW w:w="5686" w:type="dxa"/>
          </w:tcPr>
          <w:p w14:paraId="6E1DA63F" w14:textId="77777777" w:rsidR="004B4E35" w:rsidRPr="00405303" w:rsidRDefault="009E6F82" w:rsidP="00C15251">
            <w:pPr>
              <w:jc w:val="both"/>
              <w:rPr>
                <w:bCs/>
                <w:color w:val="002060"/>
                <w:sz w:val="16"/>
                <w:szCs w:val="16"/>
              </w:rPr>
            </w:pPr>
            <w:r w:rsidRPr="00405303">
              <w:rPr>
                <w:bCs/>
                <w:color w:val="002060"/>
                <w:sz w:val="16"/>
                <w:szCs w:val="16"/>
              </w:rPr>
              <w:t>Уд. нагрузка на мощность, кг/л.с.</w:t>
            </w:r>
          </w:p>
        </w:tc>
        <w:tc>
          <w:tcPr>
            <w:tcW w:w="4738" w:type="dxa"/>
          </w:tcPr>
          <w:p w14:paraId="027FAEE9" w14:textId="77777777" w:rsidR="004B4E35" w:rsidRPr="00405303" w:rsidRDefault="009E6F82" w:rsidP="00C15251">
            <w:pPr>
              <w:jc w:val="both"/>
              <w:rPr>
                <w:bCs/>
                <w:color w:val="002060"/>
                <w:sz w:val="16"/>
                <w:szCs w:val="16"/>
              </w:rPr>
            </w:pPr>
            <w:r w:rsidRPr="00405303">
              <w:rPr>
                <w:bCs/>
                <w:color w:val="002060"/>
                <w:sz w:val="16"/>
                <w:szCs w:val="16"/>
              </w:rPr>
              <w:t>3,9</w:t>
            </w:r>
          </w:p>
        </w:tc>
      </w:tr>
      <w:tr w:rsidR="004B4E35" w:rsidRPr="00405303" w14:paraId="0F29A914" w14:textId="77777777">
        <w:tc>
          <w:tcPr>
            <w:tcW w:w="5686" w:type="dxa"/>
          </w:tcPr>
          <w:p w14:paraId="181FFF98" w14:textId="77777777" w:rsidR="004B4E35" w:rsidRPr="00405303" w:rsidRDefault="009E6F82" w:rsidP="00C15251">
            <w:pPr>
              <w:jc w:val="both"/>
              <w:rPr>
                <w:bCs/>
                <w:color w:val="002060"/>
                <w:sz w:val="16"/>
                <w:szCs w:val="16"/>
              </w:rPr>
            </w:pPr>
            <w:r w:rsidRPr="00405303">
              <w:rPr>
                <w:bCs/>
                <w:color w:val="002060"/>
                <w:sz w:val="16"/>
                <w:szCs w:val="16"/>
              </w:rPr>
              <w:t>Весовая отдача, %</w:t>
            </w:r>
          </w:p>
        </w:tc>
        <w:tc>
          <w:tcPr>
            <w:tcW w:w="4738" w:type="dxa"/>
          </w:tcPr>
          <w:p w14:paraId="1E9D2F3B" w14:textId="77777777" w:rsidR="004B4E35" w:rsidRPr="00405303" w:rsidRDefault="009E6F82" w:rsidP="00C15251">
            <w:pPr>
              <w:jc w:val="both"/>
              <w:rPr>
                <w:bCs/>
                <w:color w:val="002060"/>
                <w:sz w:val="16"/>
                <w:szCs w:val="16"/>
              </w:rPr>
            </w:pPr>
            <w:r w:rsidRPr="00405303">
              <w:rPr>
                <w:bCs/>
                <w:color w:val="002060"/>
                <w:sz w:val="16"/>
                <w:szCs w:val="16"/>
              </w:rPr>
              <w:t>27,3</w:t>
            </w:r>
          </w:p>
        </w:tc>
      </w:tr>
    </w:tbl>
    <w:p w14:paraId="4C48120C" w14:textId="77777777" w:rsidR="004B4E35" w:rsidRPr="00405303" w:rsidRDefault="009E6F82" w:rsidP="00C15251">
      <w:pPr>
        <w:jc w:val="both"/>
        <w:rPr>
          <w:bCs/>
          <w:color w:val="002060"/>
          <w:sz w:val="16"/>
          <w:szCs w:val="16"/>
        </w:rPr>
      </w:pPr>
      <w:r w:rsidRPr="00405303">
        <w:rPr>
          <w:bCs/>
          <w:color w:val="002060"/>
          <w:sz w:val="16"/>
          <w:szCs w:val="16"/>
        </w:rPr>
        <w:t>* - данные расчетные</w:t>
      </w:r>
    </w:p>
    <w:p w14:paraId="03E92F87" w14:textId="77777777" w:rsidR="004B4E35" w:rsidRPr="00405303" w:rsidRDefault="009E6F82" w:rsidP="00C15251">
      <w:pPr>
        <w:jc w:val="both"/>
        <w:rPr>
          <w:bCs/>
          <w:color w:val="002060"/>
          <w:sz w:val="16"/>
          <w:szCs w:val="16"/>
        </w:rPr>
      </w:pPr>
      <w:r w:rsidRPr="00405303">
        <w:rPr>
          <w:bCs/>
          <w:color w:val="002060"/>
          <w:sz w:val="16"/>
          <w:szCs w:val="16"/>
        </w:rPr>
        <w:t>(11918).</w:t>
      </w:r>
    </w:p>
    <w:p w14:paraId="23D1075D" w14:textId="77777777" w:rsidR="004B4E35" w:rsidRPr="00405303" w:rsidRDefault="004B4E35" w:rsidP="00C15251">
      <w:pPr>
        <w:jc w:val="both"/>
        <w:rPr>
          <w:bCs/>
          <w:color w:val="002060"/>
          <w:sz w:val="16"/>
          <w:szCs w:val="16"/>
        </w:rPr>
      </w:pPr>
    </w:p>
    <w:p w14:paraId="251452E7" w14:textId="77777777" w:rsidR="004B4E35" w:rsidRPr="00405303" w:rsidRDefault="009E6F82" w:rsidP="00C15251">
      <w:pPr>
        <w:jc w:val="both"/>
        <w:rPr>
          <w:bCs/>
          <w:color w:val="002060"/>
          <w:sz w:val="16"/>
          <w:szCs w:val="16"/>
        </w:rPr>
      </w:pPr>
      <w:r w:rsidRPr="00405303">
        <w:rPr>
          <w:bCs/>
          <w:color w:val="002060"/>
          <w:sz w:val="16"/>
          <w:szCs w:val="16"/>
        </w:rPr>
        <w:t>В марте 1915 г. тримоноплан тип 2 был ис</w:t>
      </w:r>
      <w:r w:rsidRPr="00405303">
        <w:rPr>
          <w:bCs/>
          <w:color w:val="002060"/>
          <w:sz w:val="16"/>
          <w:szCs w:val="16"/>
        </w:rPr>
        <w:softHyphen/>
        <w:t>пытан летчиком-инструктором севастополь</w:t>
      </w:r>
      <w:r w:rsidRPr="00405303">
        <w:rPr>
          <w:bCs/>
          <w:color w:val="002060"/>
          <w:sz w:val="16"/>
          <w:szCs w:val="16"/>
        </w:rPr>
        <w:softHyphen/>
        <w:t>ской школы Александром Евгеньевичем Раевским на скорость. Полученное значение составило 130 км/ч. «За скорость, превзошед</w:t>
      </w:r>
      <w:r w:rsidRPr="00405303">
        <w:rPr>
          <w:bCs/>
          <w:color w:val="002060"/>
          <w:sz w:val="16"/>
          <w:szCs w:val="16"/>
        </w:rPr>
        <w:softHyphen/>
        <w:t>шую предвиденную», аппарат «был принят Орловым в отряд истребителей на фронт».</w:t>
      </w:r>
    </w:p>
    <w:p w14:paraId="17BD32C6" w14:textId="77777777" w:rsidR="004B4E35" w:rsidRPr="00405303" w:rsidRDefault="009E6F82" w:rsidP="00C15251">
      <w:pPr>
        <w:jc w:val="both"/>
        <w:rPr>
          <w:bCs/>
          <w:color w:val="002060"/>
          <w:sz w:val="16"/>
          <w:szCs w:val="16"/>
        </w:rPr>
      </w:pPr>
      <w:r w:rsidRPr="00405303">
        <w:rPr>
          <w:bCs/>
          <w:color w:val="002060"/>
          <w:sz w:val="16"/>
          <w:szCs w:val="16"/>
        </w:rPr>
        <w:t>На Александро-Михайловском аэродроме дорабатывали и триплан 1-го типа. На него был установлен двигатель «Гном» 80 л. с. и винт «</w:t>
      </w:r>
      <w:r w:rsidRPr="00405303">
        <w:rPr>
          <w:bCs/>
          <w:color w:val="002060"/>
          <w:sz w:val="16"/>
          <w:szCs w:val="16"/>
          <w:lang w:val="en-US"/>
        </w:rPr>
        <w:t>Gremont</w:t>
      </w:r>
      <w:r w:rsidRPr="00405303">
        <w:rPr>
          <w:bCs/>
          <w:color w:val="002060"/>
          <w:sz w:val="16"/>
          <w:szCs w:val="16"/>
        </w:rPr>
        <w:t>» 250x195. В 1915 г. лейтенант Фриде первым из русских летчиков пилоти</w:t>
      </w:r>
      <w:r w:rsidRPr="00405303">
        <w:rPr>
          <w:bCs/>
          <w:color w:val="002060"/>
          <w:sz w:val="16"/>
          <w:szCs w:val="16"/>
        </w:rPr>
        <w:softHyphen/>
        <w:t>ровал триплан тип 1 с двигателями «Гном» 60 и 80 л. с. До середины 1915 г. триплан Безобразова усовершенствовали и испытали, после чего его вновь вернули в Москву. Здесь, 6 августа 1915 г., при попытке взлета летчи</w:t>
      </w:r>
      <w:r w:rsidRPr="00405303">
        <w:rPr>
          <w:bCs/>
          <w:color w:val="002060"/>
          <w:sz w:val="16"/>
          <w:szCs w:val="16"/>
        </w:rPr>
        <w:softHyphen/>
        <w:t>ком И.А. Орловым, самолет потерпел аварию, в результате которой оказался значительно поврежденным. Причиной аварии стала до</w:t>
      </w:r>
      <w:r w:rsidRPr="00405303">
        <w:rPr>
          <w:bCs/>
          <w:color w:val="002060"/>
          <w:sz w:val="16"/>
          <w:szCs w:val="16"/>
        </w:rPr>
        <w:softHyphen/>
        <w:t>вольно типичная для той поры поломка оси колеса шасси. После аварии самолет долго восстанавливался, но не летал, последние упоминания о нем датируются февралем 1917 г.</w:t>
      </w:r>
    </w:p>
    <w:p w14:paraId="50519B03" w14:textId="77777777" w:rsidR="004B4E35" w:rsidRPr="00405303" w:rsidRDefault="009E6F82" w:rsidP="00C15251">
      <w:pPr>
        <w:jc w:val="both"/>
        <w:rPr>
          <w:bCs/>
          <w:color w:val="002060"/>
          <w:sz w:val="16"/>
          <w:szCs w:val="16"/>
        </w:rPr>
      </w:pPr>
      <w:r w:rsidRPr="00405303">
        <w:rPr>
          <w:bCs/>
          <w:color w:val="002060"/>
          <w:sz w:val="16"/>
          <w:szCs w:val="16"/>
        </w:rPr>
        <w:t>Между тем, в 1916 г. графом был основан «Торговый дом А.А. Безобразов, В.А. Понизовкин и Ко” (ТДААБВАП и Ко), на котором разместили заказ от Военного ведомства на самолеты учебного типра “Фарман-4”. Стоимость каждого аппарата составляла 6300 руб. До наступления 1 октября надлежало сдать 15 машин. Для ор</w:t>
      </w:r>
      <w:r w:rsidRPr="00405303">
        <w:rPr>
          <w:bCs/>
          <w:color w:val="002060"/>
          <w:sz w:val="16"/>
          <w:szCs w:val="16"/>
        </w:rPr>
        <w:softHyphen/>
        <w:t>ганизации производства был приобретен участок земли под заводские постройки (стоимостью 30000 руб.) в селе Всехсвятское (западная окраина Ходынки в районе нынеш</w:t>
      </w:r>
      <w:r w:rsidRPr="00405303">
        <w:rPr>
          <w:bCs/>
          <w:color w:val="002060"/>
          <w:sz w:val="16"/>
          <w:szCs w:val="16"/>
        </w:rPr>
        <w:softHyphen/>
        <w:t>него метро «Сокол» в Москве). Авиационное предприятие, именуемое «Заводом аэропла</w:t>
      </w:r>
      <w:r w:rsidRPr="00405303">
        <w:rPr>
          <w:bCs/>
          <w:color w:val="002060"/>
          <w:sz w:val="16"/>
          <w:szCs w:val="16"/>
        </w:rPr>
        <w:softHyphen/>
        <w:t>нов», предполагалось образцовым, так как Безобразов много пишет о генераторах, дви</w:t>
      </w:r>
      <w:r w:rsidRPr="00405303">
        <w:rPr>
          <w:bCs/>
          <w:color w:val="002060"/>
          <w:sz w:val="16"/>
          <w:szCs w:val="16"/>
        </w:rPr>
        <w:softHyphen/>
        <w:t>гателях вырабатывающих постоянный ток, вкопанных резервуарах для охлаждения машин и т. д. Все делалось основательно и за</w:t>
      </w:r>
      <w:r w:rsidRPr="00405303">
        <w:rPr>
          <w:bCs/>
          <w:color w:val="002060"/>
          <w:sz w:val="16"/>
          <w:szCs w:val="16"/>
        </w:rPr>
        <w:softHyphen/>
      </w:r>
    </w:p>
    <w:p w14:paraId="65B4AE0F" w14:textId="77777777" w:rsidR="004B4E35" w:rsidRPr="00405303" w:rsidRDefault="009E6F82" w:rsidP="00C15251">
      <w:pPr>
        <w:jc w:val="both"/>
        <w:rPr>
          <w:bCs/>
          <w:color w:val="002060"/>
          <w:sz w:val="16"/>
          <w:szCs w:val="16"/>
        </w:rPr>
      </w:pPr>
      <w:r w:rsidRPr="00405303">
        <w:rPr>
          <w:bCs/>
          <w:color w:val="002060"/>
          <w:sz w:val="16"/>
          <w:szCs w:val="16"/>
        </w:rPr>
        <w:t>нимало немало времени, достаточно сказать, что сам зачинатель предприятия при завод</w:t>
      </w:r>
      <w:r w:rsidRPr="00405303">
        <w:rPr>
          <w:bCs/>
          <w:color w:val="002060"/>
          <w:sz w:val="16"/>
          <w:szCs w:val="16"/>
        </w:rPr>
        <w:softHyphen/>
        <w:t>ском хозяйстве обосновал летний кабинет и поставил пасеку. В архиве Безобразова со</w:t>
      </w:r>
      <w:r w:rsidRPr="00405303">
        <w:rPr>
          <w:bCs/>
          <w:color w:val="002060"/>
          <w:sz w:val="16"/>
          <w:szCs w:val="16"/>
        </w:rPr>
        <w:softHyphen/>
        <w:t>хранилось прошение от десятка солдат, дати</w:t>
      </w:r>
      <w:r w:rsidRPr="00405303">
        <w:rPr>
          <w:bCs/>
          <w:color w:val="002060"/>
          <w:sz w:val="16"/>
          <w:szCs w:val="16"/>
        </w:rPr>
        <w:softHyphen/>
        <w:t>рованное апрелем 1917 г., которые обраща</w:t>
      </w:r>
      <w:r w:rsidRPr="00405303">
        <w:rPr>
          <w:bCs/>
          <w:color w:val="002060"/>
          <w:sz w:val="16"/>
          <w:szCs w:val="16"/>
        </w:rPr>
        <w:softHyphen/>
        <w:t>лись к графу с ходатайством прикомандиро</w:t>
      </w:r>
      <w:r w:rsidRPr="00405303">
        <w:rPr>
          <w:bCs/>
          <w:color w:val="002060"/>
          <w:sz w:val="16"/>
          <w:szCs w:val="16"/>
        </w:rPr>
        <w:softHyphen/>
        <w:t>вать их к заводу: «...просим Вас установить жалованье по Вашему усмотрению. Порядок для состоящих солдат на учете при заводе, остается прежний, все солдаты решили ис</w:t>
      </w:r>
      <w:r w:rsidRPr="00405303">
        <w:rPr>
          <w:bCs/>
          <w:color w:val="002060"/>
          <w:sz w:val="16"/>
          <w:szCs w:val="16"/>
        </w:rPr>
        <w:softHyphen/>
        <w:t>полнять дисциплину так же, как и раньше, а также работу будем исполнять аккуратно и добросовестно на пользу Вам и нашей доро</w:t>
      </w:r>
      <w:r w:rsidRPr="00405303">
        <w:rPr>
          <w:bCs/>
          <w:color w:val="002060"/>
          <w:sz w:val="16"/>
          <w:szCs w:val="16"/>
        </w:rPr>
        <w:softHyphen/>
        <w:t>гой Родине и всеми силами постараемся за</w:t>
      </w:r>
      <w:r w:rsidRPr="00405303">
        <w:rPr>
          <w:bCs/>
          <w:color w:val="002060"/>
          <w:sz w:val="16"/>
          <w:szCs w:val="16"/>
        </w:rPr>
        <w:softHyphen/>
        <w:t>служить Ваше доверие...» (11972).</w:t>
      </w:r>
    </w:p>
    <w:p w14:paraId="5F866BD6" w14:textId="77777777" w:rsidR="004B4E35" w:rsidRPr="00405303" w:rsidRDefault="004B4E35" w:rsidP="00C15251">
      <w:pPr>
        <w:jc w:val="both"/>
        <w:rPr>
          <w:bCs/>
          <w:color w:val="002060"/>
          <w:sz w:val="16"/>
          <w:szCs w:val="16"/>
        </w:rPr>
      </w:pPr>
    </w:p>
    <w:p w14:paraId="77B0E152" w14:textId="48377692" w:rsidR="004B4E35" w:rsidRPr="00405303" w:rsidRDefault="00A5766F"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марте 1915 г.</w:t>
      </w:r>
      <w:r w:rsidRPr="00405303">
        <w:rPr>
          <w:bCs/>
          <w:color w:val="002060"/>
          <w:sz w:val="16"/>
          <w:szCs w:val="16"/>
        </w:rPr>
        <w:t xml:space="preserve"> закончились сдаточные испытания и</w:t>
      </w:r>
      <w:r w:rsidR="009E6F82" w:rsidRPr="00405303">
        <w:rPr>
          <w:bCs/>
          <w:color w:val="002060"/>
          <w:sz w:val="16"/>
          <w:szCs w:val="16"/>
        </w:rPr>
        <w:t xml:space="preserve"> затем М-2 и М-3 зачислили в состав Службы связи Балтийского моря под обозначением Щ-2 и Щ-3 (12083).</w:t>
      </w:r>
    </w:p>
    <w:p w14:paraId="57C0F72E" w14:textId="77777777" w:rsidR="004B4E35" w:rsidRPr="00405303" w:rsidRDefault="009E6F82" w:rsidP="00C15251">
      <w:pPr>
        <w:jc w:val="both"/>
        <w:rPr>
          <w:bCs/>
          <w:color w:val="002060"/>
          <w:sz w:val="16"/>
          <w:szCs w:val="16"/>
        </w:rPr>
      </w:pPr>
      <w:r w:rsidRPr="00405303">
        <w:rPr>
          <w:bCs/>
          <w:color w:val="002060"/>
          <w:sz w:val="16"/>
          <w:szCs w:val="16"/>
        </w:rPr>
        <w:t xml:space="preserve">Между тем, затянувшаяся сдача этих первых летающих лодок отечественного производства негативно повлияла на отношение к ним со стороны морского ведомства. В середине января 1915 г. штаб заведующего авиацией при Службе связи Балтийского моря принял решение о заказе большой партии летающих лодок ФБА для </w:t>
      </w:r>
      <w:r w:rsidRPr="00405303">
        <w:rPr>
          <w:bCs/>
          <w:color w:val="002060"/>
          <w:sz w:val="16"/>
          <w:szCs w:val="16"/>
        </w:rPr>
        <w:lastRenderedPageBreak/>
        <w:t>оснащения отрядов и станций на Балтике. Впрочем, реализация этого решения поначалу сдерживалась тем обстоятельством, что производственные мощности французской фирмы до предела были загружены заказами собственного флота. Начались переговоры о лицензионном соглашении.</w:t>
      </w:r>
    </w:p>
    <w:p w14:paraId="20D78B3C" w14:textId="77777777" w:rsidR="004B4E35" w:rsidRPr="00405303" w:rsidRDefault="009E6F82" w:rsidP="00C15251">
      <w:pPr>
        <w:jc w:val="both"/>
        <w:rPr>
          <w:bCs/>
          <w:color w:val="002060"/>
          <w:sz w:val="16"/>
          <w:szCs w:val="16"/>
        </w:rPr>
      </w:pPr>
      <w:r w:rsidRPr="00405303">
        <w:rPr>
          <w:bCs/>
          <w:color w:val="002060"/>
          <w:sz w:val="16"/>
          <w:szCs w:val="16"/>
        </w:rPr>
        <w:t>2 февраля 1915 г. было получено сообщение, что фирма ФБА готова продать комплект чертежей своей летающей лодки России за 13000 рублей и, кроме того, фирма пожелала получать по 1300 рублей за каждый построенный такой самолет на русских заводах. После подписания лицензионного соглашения от приемки двух оставшихся лодок Щетинина отказались, выплатив заводу лишь небольшую неустойку. А французские ФБА в довольно большом числе экземпляров начал строить в Петрограде завод В.А. Лебедева.</w:t>
      </w:r>
    </w:p>
    <w:p w14:paraId="08054961" w14:textId="77777777" w:rsidR="004B4E35" w:rsidRPr="00405303" w:rsidRDefault="009E6F82" w:rsidP="00C15251">
      <w:pPr>
        <w:jc w:val="both"/>
        <w:rPr>
          <w:bCs/>
          <w:color w:val="002060"/>
          <w:sz w:val="16"/>
          <w:szCs w:val="16"/>
        </w:rPr>
      </w:pPr>
      <w:r w:rsidRPr="00405303">
        <w:rPr>
          <w:bCs/>
          <w:color w:val="002060"/>
          <w:sz w:val="16"/>
          <w:szCs w:val="16"/>
        </w:rPr>
        <w:t>Принятые флотом М-2 (Щ-2) и М-3 (Щ-3) использовались на 3-й станции в качестве учебных машин. Летом 1915 г. почти одновременно они получили при жесткой посадке довольно серьезные повреждения конструкции и до октября находились в долговременном ремонте. В ноябре того же года их списали.</w:t>
      </w:r>
    </w:p>
    <w:p w14:paraId="4DDCB3C7" w14:textId="77777777" w:rsidR="004B4E35" w:rsidRPr="00405303" w:rsidRDefault="009E6F82" w:rsidP="00C15251">
      <w:pPr>
        <w:jc w:val="both"/>
        <w:rPr>
          <w:bCs/>
          <w:color w:val="002060"/>
          <w:sz w:val="16"/>
          <w:szCs w:val="16"/>
        </w:rPr>
      </w:pPr>
      <w:r w:rsidRPr="00405303">
        <w:rPr>
          <w:bCs/>
          <w:color w:val="002060"/>
          <w:sz w:val="16"/>
          <w:szCs w:val="16"/>
        </w:rPr>
        <w:t>На Черном море летом 1914 г. еще царила довольно благодушная обстановка. Казалось, война далеко, а время для реорганизаций еще есть. В сентябре морская авиация Черноморского флота насчитывала всего шесть боевых машин. По-ложение резко изменилось в октябре, когда после набега немецких крейсеров "Гебен"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26E9B335" w14:textId="77777777" w:rsidR="004B4E35" w:rsidRPr="00405303" w:rsidRDefault="009E6F82" w:rsidP="00C15251">
      <w:pPr>
        <w:jc w:val="both"/>
        <w:rPr>
          <w:bCs/>
          <w:color w:val="002060"/>
          <w:sz w:val="16"/>
          <w:szCs w:val="16"/>
        </w:rPr>
      </w:pPr>
      <w:r w:rsidRPr="00405303">
        <w:rPr>
          <w:bCs/>
          <w:color w:val="002060"/>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6E8CD0E4" w14:textId="77777777" w:rsidR="004B4E35" w:rsidRPr="00405303" w:rsidRDefault="009E6F82" w:rsidP="00C15251">
      <w:pPr>
        <w:jc w:val="both"/>
        <w:rPr>
          <w:bCs/>
          <w:color w:val="002060"/>
          <w:sz w:val="16"/>
          <w:szCs w:val="16"/>
        </w:rPr>
      </w:pPr>
      <w:r w:rsidRPr="00405303">
        <w:rPr>
          <w:bCs/>
          <w:color w:val="002060"/>
          <w:sz w:val="16"/>
          <w:szCs w:val="16"/>
        </w:rPr>
        <w:t xml:space="preserve">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"Кер- тисс" (СигН$$)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w:t>
      </w:r>
      <w:proofErr w:type="gramStart"/>
      <w:r w:rsidRPr="00405303">
        <w:rPr>
          <w:bCs/>
          <w:color w:val="002060"/>
          <w:sz w:val="16"/>
          <w:szCs w:val="16"/>
        </w:rPr>
        <w:t>ис-пользовании</w:t>
      </w:r>
      <w:proofErr w:type="gramEnd"/>
      <w:r w:rsidRPr="00405303">
        <w:rPr>
          <w:bCs/>
          <w:color w:val="002060"/>
          <w:sz w:val="16"/>
          <w:szCs w:val="16"/>
        </w:rPr>
        <w:t xml:space="preserve"> летающих лодок Щетинина-Григоровича, позволило вполне уверенно продолжать строительство следующих гидросамолетов (12083).</w:t>
      </w:r>
    </w:p>
    <w:p w14:paraId="2B36B676" w14:textId="77777777" w:rsidR="004B4E35" w:rsidRPr="00405303" w:rsidRDefault="004B4E35" w:rsidP="00C15251">
      <w:pPr>
        <w:jc w:val="both"/>
        <w:rPr>
          <w:bCs/>
          <w:color w:val="002060"/>
          <w:sz w:val="16"/>
          <w:szCs w:val="16"/>
        </w:rPr>
      </w:pPr>
    </w:p>
    <w:p w14:paraId="6D029B9D" w14:textId="4599FE31" w:rsidR="004B4E35" w:rsidRPr="00405303" w:rsidRDefault="00A5766F" w:rsidP="00C15251">
      <w:pPr>
        <w:jc w:val="both"/>
        <w:rPr>
          <w:bCs/>
          <w:color w:val="002060"/>
          <w:sz w:val="16"/>
          <w:szCs w:val="16"/>
        </w:rPr>
      </w:pPr>
      <w:r w:rsidRPr="00405303">
        <w:rPr>
          <w:bCs/>
          <w:color w:val="002060"/>
          <w:sz w:val="16"/>
          <w:szCs w:val="16"/>
        </w:rPr>
        <w:t>С</w:t>
      </w:r>
      <w:r w:rsidR="009E6F82" w:rsidRPr="00405303">
        <w:rPr>
          <w:bCs/>
          <w:color w:val="002060"/>
          <w:sz w:val="16"/>
          <w:szCs w:val="16"/>
        </w:rPr>
        <w:t xml:space="preserve"> марта 1915 г. </w:t>
      </w:r>
      <w:r w:rsidRPr="00405303">
        <w:rPr>
          <w:bCs/>
          <w:color w:val="002060"/>
          <w:sz w:val="16"/>
          <w:szCs w:val="16"/>
        </w:rPr>
        <w:t xml:space="preserve">в докладе преподавателя Николаевской инженерной академии, военного инженера, полковника Д.В. Яковлева, выполнявшего </w:t>
      </w:r>
      <w:r w:rsidR="009E6F82" w:rsidRPr="00405303">
        <w:rPr>
          <w:bCs/>
          <w:color w:val="002060"/>
          <w:sz w:val="16"/>
          <w:szCs w:val="16"/>
        </w:rPr>
        <w:t>обязанности наблюдающего за авиамоторными предприятиями [Там же. Д. 106. Л. 178.]</w:t>
      </w:r>
      <w:r w:rsidRPr="00405303">
        <w:rPr>
          <w:bCs/>
          <w:color w:val="002060"/>
          <w:sz w:val="16"/>
          <w:szCs w:val="16"/>
        </w:rPr>
        <w:t xml:space="preserve"> было отмечено, что одной из наиболее отстающих областей авиационной промышленности в России было моторостроение, что было обусловлено общей недостаточной развитостью отечественного машиностроения и отсутствием крупных автомобилестроительных предприятий, которые в других странах стали основой авиамоторного производства. Огромные трудности в производстве двигателей на российских предприятиях в годы войны создавало отсутствие значительного контингента квалифицированных кадров как инженерно-технических, так и рабочих; неразвитость цветной металлургии, отсутствие производств качественных сталей, подшипников и т. </w:t>
      </w:r>
      <w:proofErr w:type="gramStart"/>
      <w:r w:rsidRPr="00405303">
        <w:rPr>
          <w:bCs/>
          <w:color w:val="002060"/>
          <w:sz w:val="16"/>
          <w:szCs w:val="16"/>
        </w:rPr>
        <w:t>д.</w:t>
      </w:r>
      <w:r w:rsidR="009E6F82" w:rsidRPr="00405303">
        <w:rPr>
          <w:bCs/>
          <w:color w:val="002060"/>
          <w:sz w:val="16"/>
          <w:szCs w:val="16"/>
        </w:rPr>
        <w:t>.</w:t>
      </w:r>
      <w:proofErr w:type="gramEnd"/>
      <w:r w:rsidR="009E6F82" w:rsidRPr="00405303">
        <w:rPr>
          <w:bCs/>
          <w:color w:val="002060"/>
          <w:sz w:val="16"/>
          <w:szCs w:val="16"/>
        </w:rPr>
        <w:t xml:space="preserve"> И все-таки, несмотря на многочисленные трудности, производство авиамоторов в годы Первой мировой войны сделало известный шаг вперед.</w:t>
      </w:r>
    </w:p>
    <w:p w14:paraId="1818D292" w14:textId="77777777" w:rsidR="004B4E35" w:rsidRPr="00405303" w:rsidRDefault="009E6F82" w:rsidP="00C15251">
      <w:pPr>
        <w:jc w:val="both"/>
        <w:rPr>
          <w:bCs/>
          <w:color w:val="002060"/>
          <w:sz w:val="16"/>
          <w:szCs w:val="16"/>
        </w:rPr>
      </w:pPr>
      <w:r w:rsidRPr="00405303">
        <w:rPr>
          <w:bCs/>
          <w:color w:val="002060"/>
          <w:sz w:val="16"/>
          <w:szCs w:val="16"/>
        </w:rPr>
        <w:t>В этот период значительно расширился первый специализированный в России моторный завод «Гном», учрежденный французской фирмой «Гном-Рон» и начавший производство в Москве в 1912 г. С начала военных действий он получал много заказов военного ведомства - общее количество заказанных двигателей к сентябрю 1915 г. составляло 567 шт. Однако выполнение договорных обязательств заводом было крайне неудовлетворительным, что, по мнению Д.В. Яковлева, было обусловлено нежеланием парижского правления общества иметь сильное моторостроительное отделение в Москве [Там же. Оп. 8. Д. 21. Л. 19-24об.]. Эти обстоятельства вызвали даже обсуждения вопроса о реквизиции предприятия, но на такой шаг не пошли из опасения испортить отношения с французскими предпринимателями, являвшимися главными поставщиками заграничных заказов для русской авиации, и ограничились назначением на завод правительственного инспектора с правами члена правления.</w:t>
      </w:r>
    </w:p>
    <w:p w14:paraId="0B52DA53" w14:textId="77777777" w:rsidR="004B4E35" w:rsidRPr="00405303" w:rsidRDefault="009E6F82" w:rsidP="00C15251">
      <w:pPr>
        <w:jc w:val="both"/>
        <w:rPr>
          <w:bCs/>
          <w:color w:val="002060"/>
          <w:sz w:val="16"/>
          <w:szCs w:val="16"/>
        </w:rPr>
      </w:pPr>
      <w:r w:rsidRPr="00405303">
        <w:rPr>
          <w:bCs/>
          <w:color w:val="002060"/>
          <w:sz w:val="16"/>
          <w:szCs w:val="16"/>
        </w:rPr>
        <w:t>Заслуга в расширении предприятия «Гном», безусловно, принадлежит русским военным учреждениям и военным инженерам. Все работы по развитию завода финансировались военным ведомством. Например, только к октябрю 1915 г. ГВТУ из общей суммы расходов в 200 тыс. руб. на расширение производства приобрело для предприятия станков и инструментов почти на 143 тыс. руб. [Там же. Ф. 493. Оп. 4. Д. 17. Л. 17,8.] Итогом финансовой помощи заводу и содействия в организации работ стало увеличение производительности завода «Гном» до 30 моторов в месяц, освоение более совершенных типов моторов («Рон», «Моносупан»), рост численности рабочих на предприятии до 300 человек [Там же. Ф. 369. Оп. 8. Д. 74. Л. 18об.; Там же. Д. 77. Л. 9-10.].</w:t>
      </w:r>
    </w:p>
    <w:p w14:paraId="048E46DF" w14:textId="77777777" w:rsidR="004B4E35" w:rsidRPr="00405303" w:rsidRDefault="009E6F82" w:rsidP="00C15251">
      <w:pPr>
        <w:jc w:val="both"/>
        <w:rPr>
          <w:bCs/>
          <w:color w:val="002060"/>
          <w:sz w:val="16"/>
          <w:szCs w:val="16"/>
        </w:rPr>
      </w:pPr>
      <w:r w:rsidRPr="00405303">
        <w:rPr>
          <w:bCs/>
          <w:color w:val="002060"/>
          <w:sz w:val="16"/>
          <w:szCs w:val="16"/>
        </w:rPr>
        <w:t>Развил производство на новом месте эвакуированный в Москву из Риги завод «Мотор». Завод был дооборудован 110 станками, закупленными правлением товарищества в Америке, а частью -полученными от военного ведомства из реквизированного оборудования других предприятий. Численность рабочих на заводе в конце 1916 г. составляла свыше 300 человек. Производительность предприятия поднялась с 2 моторов (довоенный уровень) до 15 в месяц [Там же. Ф. 493. Оп. 9. Д. 56. Л. 200; Там же. Ф. 369. Оп. 8. Д. 74. Л. 18об.].</w:t>
      </w:r>
    </w:p>
    <w:p w14:paraId="61418CA3" w14:textId="77777777" w:rsidR="004B4E35" w:rsidRPr="00405303" w:rsidRDefault="009E6F82" w:rsidP="00C15251">
      <w:pPr>
        <w:jc w:val="both"/>
        <w:rPr>
          <w:bCs/>
          <w:color w:val="002060"/>
          <w:sz w:val="16"/>
          <w:szCs w:val="16"/>
        </w:rPr>
      </w:pPr>
      <w:r w:rsidRPr="00405303">
        <w:rPr>
          <w:bCs/>
          <w:color w:val="002060"/>
          <w:sz w:val="16"/>
          <w:szCs w:val="16"/>
        </w:rPr>
        <w:t>По соглашению с военным ведомством в Москве был построен моторный завод французским обществом авиационных двигателей «Сальмсон», пущенный в ход в июле 1915 г. Число рабочих на нем в 1917 г. достигало 500 человек, производительность составляла 50 моторов в месяц [Там же. Оп. 9. Д. 56. Л. 200; Там же. Ф. 369. Оп. 8. Д. 74. Л. 18об.].</w:t>
      </w:r>
    </w:p>
    <w:p w14:paraId="2ABD28D3" w14:textId="77777777" w:rsidR="004B4E35" w:rsidRPr="00405303" w:rsidRDefault="009E6F82" w:rsidP="00C15251">
      <w:pPr>
        <w:jc w:val="both"/>
        <w:rPr>
          <w:bCs/>
          <w:color w:val="002060"/>
          <w:sz w:val="16"/>
          <w:szCs w:val="16"/>
        </w:rPr>
      </w:pPr>
      <w:r w:rsidRPr="00405303">
        <w:rPr>
          <w:bCs/>
          <w:color w:val="002060"/>
          <w:sz w:val="16"/>
          <w:szCs w:val="16"/>
        </w:rPr>
        <w:t>Потенциал трех авиамоторных предприятий продолжал использоваться и после Октябрьской революции. В 1927 г. на базе завода «Гном» (с 1918 г. «Госавиазавод» № 2, с 1922 г. «Икар») все три предприятия были объединены в завод № 24 им. М.В. Фрунзе, который в годы Великой Отечественной войны положил начало Куйбышевскому заводу и одному из крупнейших отечественных авиационных предприятий Московскому авиамоторному № 45 (впоследствии - завод «Салют», теперь - ММПП «Салют»).</w:t>
      </w:r>
    </w:p>
    <w:p w14:paraId="35D3F7CD" w14:textId="77777777" w:rsidR="004B4E35" w:rsidRPr="00405303" w:rsidRDefault="009E6F82" w:rsidP="00C15251">
      <w:pPr>
        <w:jc w:val="both"/>
        <w:rPr>
          <w:bCs/>
          <w:color w:val="002060"/>
          <w:sz w:val="16"/>
          <w:szCs w:val="16"/>
        </w:rPr>
      </w:pPr>
      <w:r w:rsidRPr="00405303">
        <w:rPr>
          <w:bCs/>
          <w:color w:val="002060"/>
          <w:sz w:val="16"/>
          <w:szCs w:val="16"/>
        </w:rPr>
        <w:t>Серьезные сложности с развитием производства испытывал Русско-Балтийский вагонный завод (РБВЗ), эвакуированный из Риги. Самолетостроение поддерживалось в Петроградском отделении предприятия, осуществлявшем выпуск истребителей И.И. Сикорского и тяжелых самолетов «Илья Муромец», «Русский витязь», заказы на которые от военного ведомства поступали весьма нерегулярно и ограниченно [Там же. Ф. 369. Оп. 8. Д. 75. Л. 16-20; Там же. Оп. 2. Д. 6. Л. 247об., 249.].</w:t>
      </w:r>
    </w:p>
    <w:p w14:paraId="1FD64273" w14:textId="77777777" w:rsidR="004B4E35" w:rsidRPr="00405303" w:rsidRDefault="009E6F82" w:rsidP="00C15251">
      <w:pPr>
        <w:jc w:val="both"/>
        <w:rPr>
          <w:bCs/>
          <w:color w:val="002060"/>
          <w:sz w:val="16"/>
          <w:szCs w:val="16"/>
        </w:rPr>
      </w:pPr>
      <w:r w:rsidRPr="00405303">
        <w:rPr>
          <w:bCs/>
          <w:color w:val="002060"/>
          <w:sz w:val="16"/>
          <w:szCs w:val="16"/>
        </w:rPr>
        <w:t>В 1916 г. РБВЗ подписал контракт с УВВФ на поставку 300 авиамоторов собственной конструкции (РБВ-36). По этому договору общество обязалось построить новый моторный завод в Москве. Сооружение предприятия осуществлялось на той же территории в Филях, где располагалась стройка автомобильного завода РБВЗ. Строительство щедро финансировалось военным ведомством, заинтересованном в моторах данного типа. Правлению был выдан аванс в размере 1907,1 тыс. руб., безвозвратное пособие в 100 тыс. руб., беспроцентная ссуда в 600 тыс. руб. и 6 % -ная ссуда на 10 лет без малого в 590 тыс. руб. [Там же. Ф. 493. Оп. 4. Д. 343. Л. 6 -7.] Моторный завод РБВЗ, как и автомобильный, не был достроен, но заложенные мощности в дальнейшем были успешно реализованы. В 1920-е гг. предприятие было предоставлено на концессионных началах фирме «Юнкерс». Впоследствии это известный завод им. Хруничева.</w:t>
      </w:r>
    </w:p>
    <w:p w14:paraId="79BFFA7C" w14:textId="77777777" w:rsidR="004B4E35" w:rsidRPr="00405303" w:rsidRDefault="009E6F82" w:rsidP="00C15251">
      <w:pPr>
        <w:jc w:val="both"/>
        <w:rPr>
          <w:bCs/>
          <w:color w:val="002060"/>
          <w:sz w:val="16"/>
          <w:szCs w:val="16"/>
        </w:rPr>
      </w:pPr>
      <w:r w:rsidRPr="00405303">
        <w:rPr>
          <w:bCs/>
          <w:color w:val="002060"/>
          <w:sz w:val="16"/>
          <w:szCs w:val="16"/>
        </w:rPr>
        <w:t>Акционерное общество электромеханических сооружений (ЭМС), возникшее на базе товарищества «Дюфлон и Константинович», построило в годы войны авиационное отделение в г. Александрове Екатеринославской губернии. Завод, финансируемый военным ведомством, закупил за границей необходимое оборудование и осенью 1916 г. начал производство моторов типа «Мерседес» из русских материалов [Там же. Д. 105. Л. 201-207; Там же. Ф. 369. Оп. 8. Д. 77. Л. 11.].</w:t>
      </w:r>
    </w:p>
    <w:p w14:paraId="54F9568A" w14:textId="77777777" w:rsidR="004B4E35" w:rsidRPr="00405303" w:rsidRDefault="009E6F82" w:rsidP="00C15251">
      <w:pPr>
        <w:jc w:val="both"/>
        <w:rPr>
          <w:bCs/>
          <w:color w:val="002060"/>
          <w:sz w:val="16"/>
          <w:szCs w:val="16"/>
        </w:rPr>
      </w:pPr>
      <w:r w:rsidRPr="00405303">
        <w:rPr>
          <w:bCs/>
          <w:color w:val="002060"/>
          <w:sz w:val="16"/>
          <w:szCs w:val="16"/>
        </w:rPr>
        <w:t>В октябре 1914 г. был утвержден Устав акционерного общества «Русский Рено», учредителями которого выступили член Государственной думы Л.В. Половцев и французский подданный Поль Сико. Целью общества были производство и продажа автомобилей, автомобильных и авиационных двигателей, эксплуатация автомобилей и прочее. В 1914 - 1916 гг. обществом был построен и первоклассно оборудован в Петрограде завод, осуществлявший сборку, испытание авиадвигателей «Рено» и изготовление запасных частей к ним. На заводе действовало и автомобильное отделение. Всего на предприятии размещалось 770 станков. К началу 1917 г. в цехах завода трудилось около 2 тыс. рабочих. Несмотря на эти обстоятельства, производительность предприятия была невелика - всего 10 моторов в месяц [РГВИА. Ф. 493. Оп. 9. Д. 56. Л. 200; РГАЭ. Ф. 4086 (Главное управление металлической промышленности ВСНХ СССР). Оп. 10. Д. 3. Л. 131.].</w:t>
      </w:r>
    </w:p>
    <w:p w14:paraId="7C79D0C2" w14:textId="77777777" w:rsidR="004B4E35" w:rsidRPr="00405303" w:rsidRDefault="009E6F82" w:rsidP="00C15251">
      <w:pPr>
        <w:jc w:val="both"/>
        <w:rPr>
          <w:bCs/>
          <w:color w:val="002060"/>
          <w:sz w:val="16"/>
          <w:szCs w:val="16"/>
        </w:rPr>
      </w:pPr>
      <w:r w:rsidRPr="00405303">
        <w:rPr>
          <w:bCs/>
          <w:color w:val="002060"/>
          <w:sz w:val="16"/>
          <w:szCs w:val="16"/>
        </w:rPr>
        <w:t xml:space="preserve">В ноябре 1915 г. обществом «Русский Рено» был заключен контракт с ГВТУ на поставку 150 моторов типа «Рено», по которому предусматривалось сооружение еще одного моторного завода. Завод начал строиться в Рыбинске, где это же общество строило автомобильный завод. Военное ведомство оказало широкую материальную </w:t>
      </w:r>
      <w:r w:rsidRPr="00405303">
        <w:rPr>
          <w:bCs/>
          <w:color w:val="002060"/>
          <w:sz w:val="16"/>
          <w:szCs w:val="16"/>
        </w:rPr>
        <w:lastRenderedPageBreak/>
        <w:t>помощь обществу в деле постройки авиамоторного завода. Правлению «Русский Рено» был выдан аванс в 1620 тыс. руб. Кроме того, для покупки необходимого оборудования за границей обществу была предоставлена соответствующая валюта [РГИА. Ф. 1525. Оп. 1. Д. 420. Л. 11-12, 8об. 10.]. Хотя значительная часть зданий нового завода была построена, но завершить оборудование его не удалось по причине задержек в поступлении станков и механизмов из-за границы (11863).</w:t>
      </w:r>
    </w:p>
    <w:p w14:paraId="684AA081" w14:textId="77777777" w:rsidR="004B4E35" w:rsidRPr="00405303" w:rsidRDefault="004B4E35" w:rsidP="00C15251">
      <w:pPr>
        <w:jc w:val="both"/>
        <w:rPr>
          <w:bCs/>
          <w:color w:val="002060"/>
          <w:sz w:val="16"/>
          <w:szCs w:val="16"/>
        </w:rPr>
      </w:pPr>
    </w:p>
    <w:p w14:paraId="11FC62C9" w14:textId="77777777" w:rsidR="00450DD3" w:rsidRPr="00405303" w:rsidRDefault="00450DD3" w:rsidP="00C15251">
      <w:pPr>
        <w:pStyle w:val="a00"/>
        <w:spacing w:after="0"/>
        <w:jc w:val="both"/>
        <w:rPr>
          <w:bCs/>
          <w:color w:val="002060"/>
          <w:sz w:val="16"/>
          <w:szCs w:val="16"/>
        </w:rPr>
      </w:pPr>
      <w:r w:rsidRPr="00405303">
        <w:rPr>
          <w:bCs/>
          <w:color w:val="002060"/>
          <w:sz w:val="16"/>
          <w:szCs w:val="16"/>
        </w:rPr>
        <w:t>В марте 1915 года бипланы С-16 поступили на вооружение эскадры воздушных кораблей (Тейлор Майкл, Мандэй Дэвид. Книга Гиннеса об авиации: С. 154.). Для сопровождения бомбардировщиков «Илья Муромец» И.И. Сикорским был разработан специально для воздушного боя двухместный биплан С-16, который появился в январе 1915 года и был оснащен механизмами синхронизации стрельбы (15135).</w:t>
      </w:r>
    </w:p>
    <w:p w14:paraId="1A667E68" w14:textId="77777777" w:rsidR="00450DD3" w:rsidRPr="00405303" w:rsidRDefault="00450DD3" w:rsidP="00C15251">
      <w:pPr>
        <w:pStyle w:val="a00"/>
        <w:spacing w:after="0"/>
        <w:jc w:val="both"/>
        <w:rPr>
          <w:bCs/>
          <w:color w:val="002060"/>
          <w:sz w:val="16"/>
          <w:szCs w:val="16"/>
        </w:rPr>
      </w:pPr>
    </w:p>
    <w:p w14:paraId="690C16E6" w14:textId="77777777" w:rsidR="00450DD3" w:rsidRPr="00405303" w:rsidRDefault="00450DD3" w:rsidP="00C15251">
      <w:pPr>
        <w:jc w:val="both"/>
        <w:rPr>
          <w:bCs/>
          <w:color w:val="002060"/>
          <w:sz w:val="16"/>
          <w:szCs w:val="16"/>
        </w:rPr>
      </w:pPr>
      <w:r w:rsidRPr="00405303">
        <w:rPr>
          <w:bCs/>
          <w:color w:val="002060"/>
          <w:sz w:val="16"/>
          <w:szCs w:val="16"/>
        </w:rPr>
        <w:t>В марте 1915 в эскадру были направлены еще две машины С-16 (№ 155 и 156). В процессе эксплуатации трех опытных машин появилась мысль использовать их в качестве самолетов воздушного боя - сначала как истребителей-перехватчиков для прикрытия мест базирования «Муромцев», а затем и как истребителей сопровождения воздушных кораблей (15127).</w:t>
      </w:r>
    </w:p>
    <w:p w14:paraId="0FD75B76" w14:textId="77777777" w:rsidR="00450DD3" w:rsidRPr="00405303" w:rsidRDefault="00450DD3" w:rsidP="00C15251">
      <w:pPr>
        <w:jc w:val="both"/>
        <w:rPr>
          <w:bCs/>
          <w:color w:val="002060"/>
          <w:sz w:val="16"/>
          <w:szCs w:val="16"/>
        </w:rPr>
      </w:pPr>
    </w:p>
    <w:p w14:paraId="53DC728A" w14:textId="77777777" w:rsidR="00450DD3" w:rsidRPr="00405303" w:rsidRDefault="00450DD3" w:rsidP="00C15251">
      <w:pPr>
        <w:pStyle w:val="2"/>
        <w:spacing w:before="0" w:after="0"/>
        <w:jc w:val="both"/>
        <w:rPr>
          <w:b w:val="0"/>
          <w:bCs/>
          <w:color w:val="002060"/>
          <w:sz w:val="16"/>
          <w:szCs w:val="16"/>
        </w:rPr>
      </w:pPr>
      <w:r w:rsidRPr="00405303">
        <w:rPr>
          <w:b w:val="0"/>
          <w:bCs/>
          <w:color w:val="002060"/>
          <w:sz w:val="16"/>
          <w:szCs w:val="16"/>
        </w:rPr>
        <w:t>В марте 1915 из ГВТУ сообщили, что заводу Дукс «для сдачи в казну изготовляемых аэропланов назначено 6 моторов Гном в 80 HP из числа отремонтированных. Означенные моторы будут Вам выдаваться на заводе Гном офицером по мере приведения их в порядок. По миновании в означенных моторах надобности они должны бьггь приведены в исправность Вашим распоряжением и за Ваш счет и переданы наблюдающему на Вашем заводе офицеру.»</w:t>
      </w:r>
    </w:p>
    <w:p w14:paraId="4B230C92" w14:textId="77777777" w:rsidR="00450DD3" w:rsidRPr="00405303" w:rsidRDefault="00450DD3" w:rsidP="00C15251">
      <w:pPr>
        <w:pStyle w:val="2"/>
        <w:spacing w:before="0" w:after="0"/>
        <w:jc w:val="both"/>
        <w:rPr>
          <w:b w:val="0"/>
          <w:bCs/>
          <w:color w:val="002060"/>
          <w:sz w:val="16"/>
          <w:szCs w:val="16"/>
        </w:rPr>
      </w:pPr>
      <w:r w:rsidRPr="00405303">
        <w:rPr>
          <w:b w:val="0"/>
          <w:bCs/>
          <w:color w:val="002060"/>
          <w:sz w:val="16"/>
          <w:szCs w:val="16"/>
        </w:rPr>
        <w:t>Сразу же в воздухоплавательный отдел ГВТУ с «Дукса» направили просьбу «выдать в наше распоряжение 12 штук моторов Гном по 80НР для сдачи заказываемых нам аппаратов Моран и Ньюпор и по удовлетворении нашего ходатайства не отказать поставить о сем в известность господина наблюдающего на нашем заводе, дабы означенные моторы не отправлялись при аппаратах по назначениям ГВТУ. Со своей стороны, мы берем на себя обязательство по миновании надобности в выданных нам моторах таковые в полном порядке возвратить ГВТУ... Настоящее ходатайство вызвано крайней необходимостью установить правильную и своевременную сдачу аппаратов, так как всякое промедление осложняет нашу работу в этом направлении в дальнейшем.»</w:t>
      </w:r>
    </w:p>
    <w:p w14:paraId="1AA62139" w14:textId="77777777" w:rsidR="00450DD3" w:rsidRPr="00405303" w:rsidRDefault="00450DD3" w:rsidP="00C15251">
      <w:pPr>
        <w:pStyle w:val="2"/>
        <w:spacing w:before="0" w:after="0"/>
        <w:jc w:val="both"/>
        <w:rPr>
          <w:b w:val="0"/>
          <w:bCs/>
          <w:color w:val="002060"/>
          <w:sz w:val="16"/>
          <w:szCs w:val="16"/>
        </w:rPr>
      </w:pPr>
      <w:r w:rsidRPr="00405303">
        <w:rPr>
          <w:b w:val="0"/>
          <w:bCs/>
          <w:color w:val="002060"/>
          <w:sz w:val="16"/>
          <w:szCs w:val="16"/>
        </w:rPr>
        <w:t>Главной в этом прошении являлась даже не просьба вдвое увеличить количество выделенных моторов, как боязнь, чтобы по какому-либо недоразумению они случайно не ушли на фронт вместе с аэропланами.</w:t>
      </w:r>
    </w:p>
    <w:p w14:paraId="7255358F" w14:textId="77777777" w:rsidR="00450DD3" w:rsidRPr="00405303" w:rsidRDefault="00450DD3" w:rsidP="00C15251">
      <w:pPr>
        <w:pStyle w:val="2"/>
        <w:spacing w:before="0" w:after="0"/>
        <w:jc w:val="both"/>
        <w:rPr>
          <w:b w:val="0"/>
          <w:bCs/>
          <w:color w:val="002060"/>
          <w:sz w:val="16"/>
          <w:szCs w:val="16"/>
        </w:rPr>
      </w:pPr>
      <w:r w:rsidRPr="00405303">
        <w:rPr>
          <w:b w:val="0"/>
          <w:bCs/>
          <w:color w:val="002060"/>
          <w:sz w:val="16"/>
          <w:szCs w:val="16"/>
        </w:rPr>
        <w:t xml:space="preserve">21 апреля ГВТУ проинформировало «Дукс», что «по нарядам... от 9 февраля и 4 марта с.г. за №№ 260 и 4533 Вам назначено с завода Гном десять моторов в 80НР из числа отремонтированных. Сношениями от 10-го февраля и 4-го марта за №№ 2725 и 4535 было сообщено, что означенные моторы предоставлены в ваше распоряжение для сдачи в казну аэропланов, изготовляемых заводом по заказам управления и лишь по миновании надобности в означенных моторах таковые подлежат приведению в порядок за Ваш счет и передаче наблюдающему на Вашем заводе офицеру. В виду изложенного ГВТУ [просит] подать Вами 15-го сего апреля заявление и уточнить, указав, </w:t>
      </w:r>
      <w:proofErr w:type="gramStart"/>
      <w:r w:rsidRPr="00405303">
        <w:rPr>
          <w:b w:val="0"/>
          <w:bCs/>
          <w:color w:val="002060"/>
          <w:sz w:val="16"/>
          <w:szCs w:val="16"/>
        </w:rPr>
        <w:t>сколько Всего</w:t>
      </w:r>
      <w:proofErr w:type="gramEnd"/>
      <w:r w:rsidRPr="00405303">
        <w:rPr>
          <w:b w:val="0"/>
          <w:bCs/>
          <w:color w:val="002060"/>
          <w:sz w:val="16"/>
          <w:szCs w:val="16"/>
        </w:rPr>
        <w:t xml:space="preserve"> моторов в счет наряженных получено Вами от наблюдающего офицера с завода Гном.»9 В итоге вместо 12 запрашиваемых моторов в ГВТУ сумели выделить «Дуксу» только 10, причем без всякой уверенности, что завод их все получит (15464).</w:t>
      </w:r>
    </w:p>
    <w:p w14:paraId="49F4B572" w14:textId="77777777" w:rsidR="00450DD3" w:rsidRPr="00405303" w:rsidRDefault="00450DD3" w:rsidP="00C15251">
      <w:pPr>
        <w:pStyle w:val="2"/>
        <w:spacing w:before="0" w:after="0"/>
        <w:jc w:val="both"/>
        <w:rPr>
          <w:b w:val="0"/>
          <w:bCs/>
          <w:color w:val="002060"/>
          <w:sz w:val="16"/>
          <w:szCs w:val="16"/>
        </w:rPr>
      </w:pPr>
    </w:p>
    <w:p w14:paraId="4BE1B20D" w14:textId="77777777" w:rsidR="00450DD3" w:rsidRPr="00405303" w:rsidRDefault="00450DD3" w:rsidP="00C15251">
      <w:pPr>
        <w:pStyle w:val="2"/>
        <w:spacing w:before="0" w:after="0"/>
        <w:jc w:val="both"/>
        <w:rPr>
          <w:b w:val="0"/>
          <w:bCs/>
          <w:color w:val="002060"/>
          <w:sz w:val="16"/>
          <w:szCs w:val="16"/>
        </w:rPr>
      </w:pPr>
      <w:r w:rsidRPr="00405303">
        <w:rPr>
          <w:b w:val="0"/>
          <w:bCs/>
          <w:color w:val="002060"/>
          <w:sz w:val="16"/>
          <w:szCs w:val="16"/>
        </w:rPr>
        <w:t>В марте 1915 ГВТУ направило «наблюдающему за изготовлением авиационного имущества» на заводе «Дукс» капитану Быстрицкому распоряжение: «Выслать... наблюдающему на заводе Лебедева для образца следующее авиационное имущество: 1/ один аэроплан Моран-парасоль без мотора, 2/ один комплект запасных частей и 3/ один дополнительный комплект. Вместе с сим ГВТУ сообщает, что заводу Лебедева разрешается приобрести за свой счет на заводе «Дукс» для образца некоторые части аэроплана Моран-Парасоль.» (15464).</w:t>
      </w:r>
    </w:p>
    <w:p w14:paraId="2C787C2F" w14:textId="77777777" w:rsidR="00450DD3" w:rsidRPr="00405303" w:rsidRDefault="00450DD3" w:rsidP="00C15251">
      <w:pPr>
        <w:pStyle w:val="2"/>
        <w:spacing w:before="0" w:after="0"/>
        <w:jc w:val="both"/>
        <w:rPr>
          <w:b w:val="0"/>
          <w:bCs/>
          <w:color w:val="002060"/>
          <w:sz w:val="16"/>
          <w:szCs w:val="16"/>
        </w:rPr>
      </w:pPr>
    </w:p>
    <w:p w14:paraId="2540DA49" w14:textId="77777777" w:rsidR="00450DD3" w:rsidRPr="00405303" w:rsidRDefault="00450DD3" w:rsidP="00C15251">
      <w:pPr>
        <w:shd w:val="clear" w:color="auto" w:fill="FFFFFF"/>
        <w:jc w:val="both"/>
        <w:rPr>
          <w:bCs/>
          <w:color w:val="002060"/>
          <w:sz w:val="16"/>
          <w:szCs w:val="16"/>
        </w:rPr>
      </w:pPr>
      <w:r w:rsidRPr="00405303">
        <w:rPr>
          <w:bCs/>
          <w:color w:val="002060"/>
          <w:sz w:val="16"/>
          <w:szCs w:val="16"/>
        </w:rPr>
        <w:t>В марте 1915 из ГВТУ сообщили, что заводу «для сдачи в казну изготовляемых аэропланов назначено 6 моторов Гном в 80 HP из числа отремонтированных. Означенные моторы будут Вам выдаваться на заводе Гном офицером по мере приведения их в порядок. По миновании в означенных моторах надобности они должны бьггь приведены в исправность Вашим распоряжением и за Ваш счет и переданы наблюдающему на Вашем заводе офицеру.» Сразу же в воздухоплавательный отдел ГВТУ с «Дукса» направили просьбу «выдать в наше распоряжение 12 штук моторов Гном по 80НР для сдачи заказываемых нам аппаратов Моран и Ньюпор и по удовлетворении нашего ходатайства не отказать поставить о сем в известность господина наблюдающего на нашем заводе, дабы означенные моторы не отправлялись при аппаратах по назначениям ГВТУ. Со своей стороны мы берем на себя обязательство по миновании надобности в выданных нам моторах таковые в полном порядке возвратить ГВТУ... Настоящее ходатайство вызвано крайней необходимостью установить правильную и своевременную сдачу аппаратов, так как всякое промедление осложняет нашу работу в этом направлении в дальнейшем.» Главной в этом прошении являлась даже не просьба вдвое увеличить количество выделенных моторов, как боязнь, чтобы по какому-либо недоразумению они случайно не ушли на фронт вместе с аэропланами (15221).</w:t>
      </w:r>
    </w:p>
    <w:p w14:paraId="4402F9BC" w14:textId="77777777" w:rsidR="00450DD3" w:rsidRPr="00405303" w:rsidRDefault="00450DD3" w:rsidP="00C15251">
      <w:pPr>
        <w:shd w:val="clear" w:color="auto" w:fill="FFFFFF"/>
        <w:jc w:val="both"/>
        <w:rPr>
          <w:bCs/>
          <w:color w:val="002060"/>
          <w:sz w:val="16"/>
          <w:szCs w:val="16"/>
        </w:rPr>
      </w:pPr>
    </w:p>
    <w:p w14:paraId="659D9190" w14:textId="77777777" w:rsidR="00EC0D8E" w:rsidRPr="00405303" w:rsidRDefault="00EC0D8E" w:rsidP="00C15251">
      <w:pPr>
        <w:jc w:val="both"/>
        <w:rPr>
          <w:bCs/>
          <w:color w:val="002060"/>
          <w:sz w:val="16"/>
          <w:szCs w:val="16"/>
        </w:rPr>
      </w:pPr>
      <w:r w:rsidRPr="00405303">
        <w:rPr>
          <w:bCs/>
          <w:color w:val="002060"/>
          <w:sz w:val="16"/>
          <w:szCs w:val="16"/>
        </w:rPr>
        <w:t xml:space="preserve">В марте 1915 г. с уже выработавшего свой ресурс старого I корабля ИМ (№ 135) были сняты дефицитные моторы "Аргус" и переданы штабс-капитану Бродовичудля нового корабля типа В (№ 151), получившему наименование "Илья Муромец III". На бывший аппарат Бродовича типа Б (№ 137) был назначен новый командир - поручик С.Н. Головин, а самолёт был переименован в VI корабль. </w:t>
      </w:r>
    </w:p>
    <w:p w14:paraId="68E63E84" w14:textId="77777777" w:rsidR="00EC0D8E" w:rsidRPr="00405303" w:rsidRDefault="00EC0D8E" w:rsidP="00C15251">
      <w:pPr>
        <w:jc w:val="both"/>
        <w:rPr>
          <w:bCs/>
          <w:color w:val="002060"/>
          <w:sz w:val="16"/>
          <w:szCs w:val="16"/>
        </w:rPr>
      </w:pPr>
      <w:r w:rsidRPr="00405303">
        <w:rPr>
          <w:bCs/>
          <w:color w:val="002060"/>
          <w:sz w:val="16"/>
          <w:szCs w:val="16"/>
        </w:rPr>
        <w:t>Активная подготовительная работа не могла отвлечь от выполнения основной задачи - полётов в тыл противника. Капитан тип В с N° 150 Г.Г. Горшков и его помощник поручик И.С.</w:t>
      </w:r>
    </w:p>
    <w:p w14:paraId="63F93BCC" w14:textId="77777777" w:rsidR="00EC0D8E" w:rsidRPr="00405303" w:rsidRDefault="00EC0D8E" w:rsidP="00C15251">
      <w:pPr>
        <w:jc w:val="both"/>
        <w:rPr>
          <w:bCs/>
          <w:color w:val="002060"/>
          <w:sz w:val="16"/>
          <w:szCs w:val="16"/>
        </w:rPr>
      </w:pPr>
      <w:r w:rsidRPr="00405303">
        <w:rPr>
          <w:bCs/>
          <w:color w:val="002060"/>
          <w:sz w:val="16"/>
          <w:szCs w:val="16"/>
        </w:rPr>
        <w:t>Башко времени не теряли и вскоре корабль VII "Киевский" (№ 150) типа В с моторами "Аргус" был готов к их выполнению (12041).</w:t>
      </w:r>
    </w:p>
    <w:p w14:paraId="6B77E5E3" w14:textId="77777777" w:rsidR="00EC0D8E" w:rsidRPr="00405303" w:rsidRDefault="00EC0D8E" w:rsidP="00C15251">
      <w:pPr>
        <w:jc w:val="both"/>
        <w:rPr>
          <w:bCs/>
          <w:color w:val="002060"/>
          <w:sz w:val="16"/>
          <w:szCs w:val="16"/>
        </w:rPr>
      </w:pPr>
    </w:p>
    <w:p w14:paraId="52AED7F4" w14:textId="77777777" w:rsidR="002E3314" w:rsidRPr="00405303" w:rsidRDefault="002E3314" w:rsidP="00C15251">
      <w:pPr>
        <w:jc w:val="both"/>
        <w:rPr>
          <w:bCs/>
          <w:color w:val="002060"/>
          <w:sz w:val="16"/>
          <w:szCs w:val="16"/>
        </w:rPr>
      </w:pPr>
      <w:r w:rsidRPr="00405303">
        <w:rPr>
          <w:bCs/>
          <w:color w:val="002060"/>
          <w:sz w:val="16"/>
          <w:szCs w:val="16"/>
          <w:lang w:bidi="en-US"/>
        </w:rPr>
        <w:t>В марте УЭВК на Яблонной получил новый ИМ-</w:t>
      </w:r>
      <w:r w:rsidRPr="00405303">
        <w:rPr>
          <w:bCs/>
          <w:color w:val="002060"/>
          <w:sz w:val="16"/>
          <w:szCs w:val="16"/>
          <w:lang w:val="en-US" w:bidi="en-US"/>
        </w:rPr>
        <w:t>III</w:t>
      </w:r>
      <w:r w:rsidRPr="00405303">
        <w:rPr>
          <w:bCs/>
          <w:color w:val="002060"/>
          <w:sz w:val="16"/>
          <w:szCs w:val="16"/>
          <w:lang w:bidi="en-US"/>
        </w:rPr>
        <w:t xml:space="preserve"> (№ 151), которым командовал военный летчик Штабс Капитан Бродович. Корабль вместе с ИМ-Киевским начал совместные полеты 4 апреля, совершив серию налетов на объекты противника в районе Плоцка, Млавы и Солдау, нанеся тяжелые повреждения (23525).</w:t>
      </w:r>
    </w:p>
    <w:p w14:paraId="189F9DFC" w14:textId="77777777" w:rsidR="002E3314" w:rsidRPr="00405303" w:rsidRDefault="002E3314" w:rsidP="00C15251">
      <w:pPr>
        <w:jc w:val="both"/>
        <w:rPr>
          <w:bCs/>
          <w:color w:val="002060"/>
          <w:sz w:val="16"/>
          <w:szCs w:val="16"/>
          <w:lang w:bidi="en-US"/>
        </w:rPr>
      </w:pPr>
    </w:p>
    <w:p w14:paraId="3E7C8711" w14:textId="77777777" w:rsidR="002E3314" w:rsidRPr="00405303" w:rsidRDefault="002E3314" w:rsidP="00C15251">
      <w:pPr>
        <w:jc w:val="both"/>
        <w:rPr>
          <w:bCs/>
          <w:color w:val="002060"/>
          <w:sz w:val="16"/>
          <w:szCs w:val="16"/>
        </w:rPr>
      </w:pPr>
      <w:r w:rsidRPr="00405303">
        <w:rPr>
          <w:bCs/>
          <w:color w:val="002060"/>
          <w:sz w:val="16"/>
          <w:szCs w:val="16"/>
        </w:rPr>
        <w:t>В марте (по др. данным – в январе) 1915 г. отравлен с завода РБВЗ «Илья Муромец» В-10 (ИМ В-10 № 151 «остроносый», борт № III) экз. № 10, стратегический разведчик, тяжелый бомбардировщик, причем на него поставили моторы «Аргус» – все 6-цилиндровые As II по 140 л.с., снятые с самолета «Илья Муромец» Б-3 (ИМ-Б, «Илья Муромец Киевский», зав. № 135, борт № I) экз. № 3, который к тому времени был списан.</w:t>
      </w:r>
    </w:p>
    <w:p w14:paraId="4A566BB2" w14:textId="77777777" w:rsidR="002E3314" w:rsidRPr="00405303" w:rsidRDefault="002E3314" w:rsidP="00C15251">
      <w:pPr>
        <w:jc w:val="both"/>
        <w:rPr>
          <w:bCs/>
          <w:color w:val="002060"/>
          <w:sz w:val="16"/>
          <w:szCs w:val="16"/>
        </w:rPr>
      </w:pPr>
      <w:r w:rsidRPr="00405303">
        <w:rPr>
          <w:bCs/>
          <w:color w:val="002060"/>
          <w:sz w:val="16"/>
          <w:szCs w:val="16"/>
        </w:rPr>
        <w:t>Самолет построен РБВЗ со следующими конструктивными особенностями:</w:t>
      </w:r>
    </w:p>
    <w:p w14:paraId="706E614E" w14:textId="77777777" w:rsidR="002E3314" w:rsidRPr="00405303" w:rsidRDefault="002E3314" w:rsidP="00C15251">
      <w:pPr>
        <w:jc w:val="both"/>
        <w:rPr>
          <w:bCs/>
          <w:color w:val="002060"/>
          <w:sz w:val="16"/>
          <w:szCs w:val="16"/>
        </w:rPr>
      </w:pPr>
      <w:r w:rsidRPr="00405303">
        <w:rPr>
          <w:bCs/>
          <w:color w:val="002060"/>
          <w:sz w:val="16"/>
          <w:szCs w:val="16"/>
        </w:rPr>
        <w:t>- силовая установка с 4 моторами «Аргус» (As II, их поставили уже на базе ЭВК, см. ниже);</w:t>
      </w:r>
    </w:p>
    <w:p w14:paraId="5597DEC7" w14:textId="77777777" w:rsidR="002E3314" w:rsidRPr="00405303" w:rsidRDefault="002E3314" w:rsidP="00C15251">
      <w:pPr>
        <w:jc w:val="both"/>
        <w:rPr>
          <w:bCs/>
          <w:color w:val="002060"/>
          <w:sz w:val="16"/>
          <w:szCs w:val="16"/>
        </w:rPr>
      </w:pPr>
      <w:r w:rsidRPr="00405303">
        <w:rPr>
          <w:bCs/>
          <w:color w:val="002060"/>
          <w:sz w:val="16"/>
          <w:szCs w:val="16"/>
        </w:rPr>
        <w:t>- передние части моторов кроме первых цилиндров закрыты обтекателями, сделанными из алюминиевого листа выколоткой на болване;</w:t>
      </w:r>
    </w:p>
    <w:p w14:paraId="3E4A526F" w14:textId="77777777" w:rsidR="002E3314" w:rsidRPr="00405303" w:rsidRDefault="002E3314" w:rsidP="00C15251">
      <w:pPr>
        <w:jc w:val="both"/>
        <w:rPr>
          <w:bCs/>
          <w:color w:val="002060"/>
          <w:sz w:val="16"/>
          <w:szCs w:val="16"/>
        </w:rPr>
      </w:pPr>
      <w:r w:rsidRPr="00405303">
        <w:rPr>
          <w:bCs/>
          <w:color w:val="002060"/>
          <w:sz w:val="16"/>
          <w:szCs w:val="16"/>
        </w:rPr>
        <w:t>- топливная система с двумя баками под центропланом верхнего крыла;</w:t>
      </w:r>
    </w:p>
    <w:p w14:paraId="44493382" w14:textId="77777777" w:rsidR="002E3314" w:rsidRPr="00405303" w:rsidRDefault="002E3314" w:rsidP="00C15251">
      <w:pPr>
        <w:jc w:val="both"/>
        <w:rPr>
          <w:bCs/>
          <w:color w:val="002060"/>
          <w:sz w:val="16"/>
          <w:szCs w:val="16"/>
        </w:rPr>
      </w:pPr>
      <w:r w:rsidRPr="00405303">
        <w:rPr>
          <w:bCs/>
          <w:color w:val="002060"/>
          <w:sz w:val="16"/>
          <w:szCs w:val="16"/>
        </w:rPr>
        <w:t>- фюзеляж с «остроносой» кабиной летчика с шестью большими боковыми стеклами, полностью остекленными верхними и нижними ее гранями, а также 6 стеклами на нижних боковых «щеках».</w:t>
      </w:r>
    </w:p>
    <w:p w14:paraId="4749CB22" w14:textId="77777777" w:rsidR="002E3314" w:rsidRPr="00405303" w:rsidRDefault="002E3314" w:rsidP="00C15251">
      <w:pPr>
        <w:jc w:val="both"/>
        <w:rPr>
          <w:bCs/>
          <w:color w:val="002060"/>
          <w:sz w:val="16"/>
          <w:szCs w:val="16"/>
        </w:rPr>
      </w:pPr>
      <w:r w:rsidRPr="00405303">
        <w:rPr>
          <w:bCs/>
          <w:color w:val="002060"/>
          <w:sz w:val="16"/>
          <w:szCs w:val="16"/>
        </w:rPr>
        <w:t>7 (20) марта 1915 г. командиром корабля был назначен штабс-капитан С.М. Бродович.</w:t>
      </w:r>
    </w:p>
    <w:p w14:paraId="7502A713" w14:textId="77777777" w:rsidR="002E3314" w:rsidRPr="00405303" w:rsidRDefault="002E3314" w:rsidP="00C15251">
      <w:pPr>
        <w:jc w:val="both"/>
        <w:rPr>
          <w:bCs/>
          <w:color w:val="002060"/>
          <w:sz w:val="16"/>
          <w:szCs w:val="16"/>
        </w:rPr>
      </w:pPr>
      <w:r w:rsidRPr="00405303">
        <w:rPr>
          <w:bCs/>
          <w:color w:val="002060"/>
          <w:sz w:val="16"/>
          <w:szCs w:val="16"/>
        </w:rPr>
        <w:t>В первых числах апреле 1915 г. корабль прибыл на базу ЭВК Яблона и был подготовлен к боевым вылетам, которые совершались с бомбами и двумя пулеметами, а затем с одним Мадсен М.1904 с 75 патронами (3 магазина).</w:t>
      </w:r>
    </w:p>
    <w:p w14:paraId="01D067F0" w14:textId="77777777" w:rsidR="002E3314" w:rsidRPr="00405303" w:rsidRDefault="002E3314" w:rsidP="00C15251">
      <w:pPr>
        <w:jc w:val="both"/>
        <w:rPr>
          <w:bCs/>
          <w:color w:val="002060"/>
          <w:sz w:val="16"/>
          <w:szCs w:val="16"/>
        </w:rPr>
      </w:pPr>
      <w:r w:rsidRPr="00405303">
        <w:rPr>
          <w:bCs/>
          <w:color w:val="002060"/>
          <w:sz w:val="16"/>
          <w:szCs w:val="16"/>
        </w:rPr>
        <w:t>06.04.15 г. (19.05.15 г.) корабль совершил первый боевой вылет.</w:t>
      </w:r>
    </w:p>
    <w:p w14:paraId="3330022F" w14:textId="77777777" w:rsidR="002E3314" w:rsidRPr="00405303" w:rsidRDefault="002E3314" w:rsidP="00C15251">
      <w:pPr>
        <w:jc w:val="both"/>
        <w:rPr>
          <w:bCs/>
          <w:color w:val="002060"/>
          <w:sz w:val="16"/>
          <w:szCs w:val="16"/>
        </w:rPr>
      </w:pPr>
      <w:r w:rsidRPr="00405303">
        <w:rPr>
          <w:bCs/>
          <w:color w:val="002060"/>
          <w:sz w:val="16"/>
          <w:szCs w:val="16"/>
        </w:rPr>
        <w:t>В мае 1915 г. корабль командирован на аэродром Лемберг в распоряжение штаба 3-й Армии.</w:t>
      </w:r>
    </w:p>
    <w:p w14:paraId="53D08E0E" w14:textId="77777777" w:rsidR="002E3314" w:rsidRPr="00405303" w:rsidRDefault="002E3314" w:rsidP="00C15251">
      <w:pPr>
        <w:jc w:val="both"/>
        <w:rPr>
          <w:bCs/>
          <w:color w:val="002060"/>
          <w:sz w:val="16"/>
          <w:szCs w:val="16"/>
        </w:rPr>
      </w:pPr>
      <w:r w:rsidRPr="00405303">
        <w:rPr>
          <w:bCs/>
          <w:color w:val="002060"/>
          <w:sz w:val="16"/>
          <w:szCs w:val="16"/>
        </w:rPr>
        <w:t>28 мая 1915 г. новым командиром корабля назначен поручик Д.А. Озерский, т.к. Бродович подал рапорт о переводе в легкую авиацию.</w:t>
      </w:r>
    </w:p>
    <w:p w14:paraId="02E69CC9" w14:textId="77777777" w:rsidR="002E3314" w:rsidRPr="00405303" w:rsidRDefault="002E3314" w:rsidP="00C15251">
      <w:pPr>
        <w:jc w:val="both"/>
        <w:rPr>
          <w:bCs/>
          <w:color w:val="002060"/>
          <w:sz w:val="16"/>
          <w:szCs w:val="16"/>
        </w:rPr>
      </w:pPr>
      <w:r w:rsidRPr="00405303">
        <w:rPr>
          <w:bCs/>
          <w:color w:val="002060"/>
          <w:sz w:val="16"/>
          <w:szCs w:val="16"/>
        </w:rPr>
        <w:t>В июне 1915 г. корабль был перебазирован в Люблин, а затем в том же месяце – во Влодаву.</w:t>
      </w:r>
    </w:p>
    <w:p w14:paraId="64197B7F" w14:textId="77777777" w:rsidR="002E3314" w:rsidRPr="00405303" w:rsidRDefault="002E3314" w:rsidP="00C15251">
      <w:pPr>
        <w:jc w:val="both"/>
        <w:rPr>
          <w:bCs/>
          <w:color w:val="002060"/>
          <w:sz w:val="16"/>
          <w:szCs w:val="16"/>
        </w:rPr>
      </w:pPr>
      <w:r w:rsidRPr="00405303">
        <w:rPr>
          <w:bCs/>
          <w:color w:val="002060"/>
          <w:sz w:val="16"/>
          <w:szCs w:val="16"/>
        </w:rPr>
        <w:t>По инициативе командира корабля для его облегчения с самолета сняли боковые РН, оставив только центральный (23563).</w:t>
      </w:r>
    </w:p>
    <w:p w14:paraId="40A3A4FC" w14:textId="77777777" w:rsidR="002E3314" w:rsidRPr="00405303" w:rsidRDefault="002E3314" w:rsidP="00C15251">
      <w:pPr>
        <w:jc w:val="both"/>
        <w:rPr>
          <w:bCs/>
          <w:color w:val="002060"/>
          <w:sz w:val="16"/>
          <w:szCs w:val="16"/>
        </w:rPr>
      </w:pPr>
    </w:p>
    <w:p w14:paraId="60FD2CF7" w14:textId="77777777" w:rsidR="002E3314" w:rsidRPr="00405303" w:rsidRDefault="002E3314" w:rsidP="00C15251">
      <w:pPr>
        <w:jc w:val="both"/>
        <w:rPr>
          <w:bCs/>
          <w:color w:val="002060"/>
          <w:sz w:val="16"/>
          <w:szCs w:val="16"/>
        </w:rPr>
      </w:pPr>
      <w:r w:rsidRPr="00405303">
        <w:rPr>
          <w:bCs/>
          <w:color w:val="002060"/>
          <w:sz w:val="16"/>
          <w:szCs w:val="16"/>
        </w:rPr>
        <w:t>В марте 1915 г. на аэродром ЭВК Яблона был отправлен с завода РБВЗ «Илья Муромец» В-11 (ИМ В-11 № 157, борт № IV, VI) экз. № 8, учебный стратегический разведчик и тяжелый бомбардировщик.</w:t>
      </w:r>
    </w:p>
    <w:p w14:paraId="6BB2DC44" w14:textId="77777777" w:rsidR="002E3314" w:rsidRPr="00405303" w:rsidRDefault="002E3314" w:rsidP="00C15251">
      <w:pPr>
        <w:jc w:val="both"/>
        <w:rPr>
          <w:bCs/>
          <w:color w:val="002060"/>
          <w:sz w:val="16"/>
          <w:szCs w:val="16"/>
        </w:rPr>
      </w:pPr>
      <w:r w:rsidRPr="00405303">
        <w:rPr>
          <w:bCs/>
          <w:color w:val="002060"/>
          <w:sz w:val="16"/>
          <w:szCs w:val="16"/>
        </w:rPr>
        <w:t>Построен РБВЗ с двумя двигателями Salmson2M7 по 200 л.с.</w:t>
      </w:r>
    </w:p>
    <w:p w14:paraId="47B9030E" w14:textId="77777777" w:rsidR="002E3314" w:rsidRPr="00405303" w:rsidRDefault="002E3314" w:rsidP="00C15251">
      <w:pPr>
        <w:jc w:val="both"/>
        <w:rPr>
          <w:bCs/>
          <w:color w:val="002060"/>
          <w:sz w:val="16"/>
          <w:szCs w:val="16"/>
        </w:rPr>
      </w:pPr>
      <w:r w:rsidRPr="00405303">
        <w:rPr>
          <w:bCs/>
          <w:color w:val="002060"/>
          <w:sz w:val="16"/>
          <w:szCs w:val="16"/>
        </w:rPr>
        <w:t>06.06.15 г. (19.06.15 г. по н.ст.) принят поручиком Я.Н. Шаровым и получил бортовой № IV.</w:t>
      </w:r>
    </w:p>
    <w:p w14:paraId="1FB70EB9" w14:textId="77777777" w:rsidR="002E3314" w:rsidRPr="00405303" w:rsidRDefault="002E3314" w:rsidP="00C15251">
      <w:pPr>
        <w:jc w:val="both"/>
        <w:rPr>
          <w:bCs/>
          <w:color w:val="002060"/>
          <w:sz w:val="16"/>
          <w:szCs w:val="16"/>
        </w:rPr>
      </w:pPr>
      <w:r w:rsidRPr="00405303">
        <w:rPr>
          <w:bCs/>
          <w:color w:val="002060"/>
          <w:sz w:val="16"/>
          <w:szCs w:val="16"/>
        </w:rPr>
        <w:t>30.06.15 г. (13.07.15 г. по н.ст.) принят новым командиром поручиком Лукинским и получил бортовой № VI.</w:t>
      </w:r>
    </w:p>
    <w:p w14:paraId="4CBC927E" w14:textId="77777777" w:rsidR="002E3314" w:rsidRPr="00405303" w:rsidRDefault="002E3314" w:rsidP="00C15251">
      <w:pPr>
        <w:jc w:val="both"/>
        <w:rPr>
          <w:bCs/>
          <w:color w:val="002060"/>
          <w:sz w:val="16"/>
          <w:szCs w:val="16"/>
        </w:rPr>
      </w:pPr>
      <w:r w:rsidRPr="00405303">
        <w:rPr>
          <w:bCs/>
          <w:color w:val="002060"/>
          <w:sz w:val="16"/>
          <w:szCs w:val="16"/>
        </w:rPr>
        <w:t>Списан по завершении эксплуатации (23563).</w:t>
      </w:r>
    </w:p>
    <w:p w14:paraId="794CC9F5" w14:textId="77777777" w:rsidR="002E3314" w:rsidRPr="00405303" w:rsidRDefault="002E3314" w:rsidP="00C15251">
      <w:pPr>
        <w:jc w:val="both"/>
        <w:rPr>
          <w:bCs/>
          <w:color w:val="002060"/>
          <w:sz w:val="16"/>
          <w:szCs w:val="16"/>
        </w:rPr>
      </w:pPr>
    </w:p>
    <w:p w14:paraId="11ECA236" w14:textId="77777777" w:rsidR="002E3314" w:rsidRPr="00405303" w:rsidRDefault="002E3314" w:rsidP="00C15251">
      <w:pPr>
        <w:jc w:val="both"/>
        <w:rPr>
          <w:bCs/>
          <w:color w:val="002060"/>
          <w:sz w:val="16"/>
          <w:szCs w:val="16"/>
        </w:rPr>
      </w:pPr>
      <w:r w:rsidRPr="00405303">
        <w:rPr>
          <w:bCs/>
          <w:color w:val="002060"/>
          <w:sz w:val="16"/>
          <w:szCs w:val="16"/>
        </w:rPr>
        <w:t>В марте 1915 г. на аэродром ЭВК Яблона был отправлен с завода РБВЗ «Илья Муромец» В-12 (ИМ В-12 № 158, борт № V) экз. № 12, стратегический разведчик, тяжелый бомбардировщик.</w:t>
      </w:r>
    </w:p>
    <w:p w14:paraId="3E179BCD" w14:textId="77777777" w:rsidR="002E3314" w:rsidRPr="00405303" w:rsidRDefault="002E3314" w:rsidP="00C15251">
      <w:pPr>
        <w:jc w:val="both"/>
        <w:rPr>
          <w:bCs/>
          <w:color w:val="002060"/>
          <w:sz w:val="16"/>
          <w:szCs w:val="16"/>
        </w:rPr>
      </w:pPr>
      <w:r w:rsidRPr="00405303">
        <w:rPr>
          <w:bCs/>
          <w:color w:val="002060"/>
          <w:sz w:val="16"/>
          <w:szCs w:val="16"/>
        </w:rPr>
        <w:t>Построен с 4 моторами Sunbeam мощностью 150 л.с. (предположительно, Sunbeam Crusader – V-образный 8-цилиндровый мотор водяного охлаждения).</w:t>
      </w:r>
    </w:p>
    <w:p w14:paraId="2AC0EB6E" w14:textId="77777777" w:rsidR="002E3314" w:rsidRPr="00405303" w:rsidRDefault="002E3314" w:rsidP="00C15251">
      <w:pPr>
        <w:jc w:val="both"/>
        <w:rPr>
          <w:bCs/>
          <w:color w:val="002060"/>
          <w:sz w:val="16"/>
          <w:szCs w:val="16"/>
        </w:rPr>
      </w:pPr>
      <w:r w:rsidRPr="00405303">
        <w:rPr>
          <w:bCs/>
          <w:color w:val="002060"/>
          <w:sz w:val="16"/>
          <w:szCs w:val="16"/>
        </w:rPr>
        <w:t>07.05.15 г. (20.05.15 г. по н.ст.) принят штабс-капитаном Алехновичем и получил бортовой № V.</w:t>
      </w:r>
    </w:p>
    <w:p w14:paraId="46149A46" w14:textId="77777777" w:rsidR="002E3314" w:rsidRPr="00405303" w:rsidRDefault="002E3314" w:rsidP="00C15251">
      <w:pPr>
        <w:jc w:val="both"/>
        <w:rPr>
          <w:bCs/>
          <w:color w:val="002060"/>
          <w:sz w:val="16"/>
          <w:szCs w:val="16"/>
        </w:rPr>
      </w:pPr>
      <w:r w:rsidRPr="00405303">
        <w:rPr>
          <w:bCs/>
          <w:color w:val="002060"/>
          <w:sz w:val="16"/>
          <w:szCs w:val="16"/>
        </w:rPr>
        <w:t>Списан в 1916 г. по завершении эксплуатации (23563).</w:t>
      </w:r>
    </w:p>
    <w:p w14:paraId="1F6F5BEE" w14:textId="77777777" w:rsidR="002E3314" w:rsidRPr="00405303" w:rsidRDefault="002E3314" w:rsidP="00C15251">
      <w:pPr>
        <w:jc w:val="both"/>
        <w:rPr>
          <w:bCs/>
          <w:color w:val="002060"/>
          <w:sz w:val="16"/>
          <w:szCs w:val="16"/>
          <w:lang w:bidi="en-US"/>
        </w:rPr>
      </w:pPr>
    </w:p>
    <w:p w14:paraId="0E266D8A" w14:textId="77777777" w:rsidR="002E3314" w:rsidRPr="00405303" w:rsidRDefault="002E3314" w:rsidP="00C15251">
      <w:pPr>
        <w:jc w:val="both"/>
        <w:rPr>
          <w:bCs/>
          <w:color w:val="002060"/>
          <w:sz w:val="16"/>
          <w:szCs w:val="16"/>
        </w:rPr>
      </w:pPr>
      <w:r w:rsidRPr="00405303">
        <w:rPr>
          <w:bCs/>
          <w:color w:val="002060"/>
          <w:sz w:val="16"/>
          <w:szCs w:val="16"/>
        </w:rPr>
        <w:t>В марте 1915 г. на аэродром ЭВК Яблона был отправлен с завода РБВЗ «Илья Муромец» В-13 (ИМ В-13 № 159 «остроносый», борт № X) экз. № 13, учебный стратегический разведчик и тяжелый бомбардировщик.</w:t>
      </w:r>
    </w:p>
    <w:p w14:paraId="734503D2" w14:textId="77777777" w:rsidR="002E3314" w:rsidRPr="00405303" w:rsidRDefault="002E3314" w:rsidP="00C15251">
      <w:pPr>
        <w:jc w:val="both"/>
        <w:rPr>
          <w:bCs/>
          <w:color w:val="002060"/>
          <w:sz w:val="16"/>
          <w:szCs w:val="16"/>
        </w:rPr>
      </w:pPr>
      <w:r w:rsidRPr="00405303">
        <w:rPr>
          <w:bCs/>
          <w:color w:val="002060"/>
          <w:sz w:val="16"/>
          <w:szCs w:val="16"/>
        </w:rPr>
        <w:t>По данным М. Хайрулина построен с двумя моторами «Санбим» по 255 л.с. Однако В.Б. Шавров утверждает, что на этом самолете были установлены моторы «Санбим» по 225 л.с. В материалах по истории английской фирмы Sunbeam Motor Car Company авиамоторы мощностью 255 или 250 л.с. не значатся, но говорится о моторе Mohawk (Sunbeam 225) – это V-образный 12-цилиндровый мотор водяного охлаждения – развитие мотора «Крусейдер» за счет добавления еще четырех цилиндров. Известно, что серия таких моторов построена, но нет даты сдачи и не ясно, на какие английские самолеты они также шли – возможно, все они поставлены России.</w:t>
      </w:r>
    </w:p>
    <w:p w14:paraId="39B09470" w14:textId="77777777" w:rsidR="002E3314" w:rsidRPr="00405303" w:rsidRDefault="002E3314" w:rsidP="00C15251">
      <w:pPr>
        <w:jc w:val="both"/>
        <w:rPr>
          <w:bCs/>
          <w:color w:val="002060"/>
          <w:sz w:val="16"/>
          <w:szCs w:val="16"/>
        </w:rPr>
      </w:pPr>
      <w:r w:rsidRPr="00405303">
        <w:rPr>
          <w:bCs/>
          <w:color w:val="002060"/>
          <w:sz w:val="16"/>
          <w:szCs w:val="16"/>
        </w:rPr>
        <w:t>Построен со значительными отличиями от предыдущих, точных сведений о его техническом облике при постройке и доработках нет, но наиболее вероятно, что он был построен в следующем виде:</w:t>
      </w:r>
    </w:p>
    <w:p w14:paraId="463B5DFC" w14:textId="77777777" w:rsidR="002E3314" w:rsidRPr="00405303" w:rsidRDefault="002E3314" w:rsidP="00C15251">
      <w:pPr>
        <w:jc w:val="both"/>
        <w:rPr>
          <w:bCs/>
          <w:color w:val="002060"/>
          <w:sz w:val="16"/>
          <w:szCs w:val="16"/>
        </w:rPr>
      </w:pPr>
      <w:r w:rsidRPr="00405303">
        <w:rPr>
          <w:bCs/>
          <w:color w:val="002060"/>
          <w:sz w:val="16"/>
          <w:szCs w:val="16"/>
        </w:rPr>
        <w:t>- силовая установка с 2 моторами Sunbeam (Хайрулин тип не указал, дав мощность 255 л.с., вероятно Mohawk – 225 л.с.) с толкающим воздушными винтами на месте внутренних моторов;</w:t>
      </w:r>
    </w:p>
    <w:p w14:paraId="6E916975" w14:textId="77777777" w:rsidR="002E3314" w:rsidRPr="00405303" w:rsidRDefault="002E3314" w:rsidP="00C15251">
      <w:pPr>
        <w:jc w:val="both"/>
        <w:rPr>
          <w:bCs/>
          <w:color w:val="002060"/>
          <w:sz w:val="16"/>
          <w:szCs w:val="16"/>
        </w:rPr>
      </w:pPr>
      <w:r w:rsidRPr="00405303">
        <w:rPr>
          <w:bCs/>
          <w:color w:val="002060"/>
          <w:sz w:val="16"/>
          <w:szCs w:val="16"/>
        </w:rPr>
        <w:t>- радиаторы охлаждения в виде удлиненных блоков прямоугольного сечения из трубок между расширительными и конденсационными бачками установлены по два на мотор вертикально за передними стойками внутренней «моторной клетки» бипланной коробки;</w:t>
      </w:r>
    </w:p>
    <w:p w14:paraId="5B879055" w14:textId="77777777" w:rsidR="002E3314" w:rsidRPr="00405303" w:rsidRDefault="002E3314" w:rsidP="00C15251">
      <w:pPr>
        <w:jc w:val="both"/>
        <w:rPr>
          <w:bCs/>
          <w:color w:val="002060"/>
          <w:sz w:val="16"/>
          <w:szCs w:val="16"/>
        </w:rPr>
      </w:pPr>
      <w:r w:rsidRPr="00405303">
        <w:rPr>
          <w:bCs/>
          <w:color w:val="002060"/>
          <w:sz w:val="16"/>
          <w:szCs w:val="16"/>
        </w:rPr>
        <w:t>- внешние «моторные клетки» бипланной коробки такие же, как и на предыдущих самолетах, но мотоустановок (включая их рамы) в них нет;</w:t>
      </w:r>
    </w:p>
    <w:p w14:paraId="7AB8FD31" w14:textId="77777777" w:rsidR="002E3314" w:rsidRPr="00405303" w:rsidRDefault="002E3314" w:rsidP="00C15251">
      <w:pPr>
        <w:jc w:val="both"/>
        <w:rPr>
          <w:bCs/>
          <w:color w:val="002060"/>
          <w:sz w:val="16"/>
          <w:szCs w:val="16"/>
        </w:rPr>
      </w:pPr>
      <w:r w:rsidRPr="00405303">
        <w:rPr>
          <w:bCs/>
          <w:color w:val="002060"/>
          <w:sz w:val="16"/>
          <w:szCs w:val="16"/>
        </w:rPr>
        <w:t>- топливная система из двух баков (видимо, уменьшенного объема) цилиндрической формы с заостренными оживальными концами;</w:t>
      </w:r>
    </w:p>
    <w:p w14:paraId="25D64BB8" w14:textId="77777777" w:rsidR="002E3314" w:rsidRPr="00405303" w:rsidRDefault="002E3314" w:rsidP="00C15251">
      <w:pPr>
        <w:jc w:val="both"/>
        <w:rPr>
          <w:bCs/>
          <w:color w:val="002060"/>
          <w:sz w:val="16"/>
          <w:szCs w:val="16"/>
        </w:rPr>
      </w:pPr>
      <w:r w:rsidRPr="00405303">
        <w:rPr>
          <w:bCs/>
          <w:color w:val="002060"/>
          <w:sz w:val="16"/>
          <w:szCs w:val="16"/>
        </w:rPr>
        <w:t>- носовая часть фюзеляжа «остроносая» с 6 большими боковыми стеклами, 9 малыми верхними стеклами и 6 малыми нижними стеклами кабины летчика;</w:t>
      </w:r>
    </w:p>
    <w:p w14:paraId="2923A2B1" w14:textId="77777777" w:rsidR="002E3314" w:rsidRPr="00405303" w:rsidRDefault="002E3314" w:rsidP="00C15251">
      <w:pPr>
        <w:jc w:val="both"/>
        <w:rPr>
          <w:bCs/>
          <w:color w:val="002060"/>
          <w:sz w:val="16"/>
          <w:szCs w:val="16"/>
        </w:rPr>
      </w:pPr>
      <w:r w:rsidRPr="00405303">
        <w:rPr>
          <w:bCs/>
          <w:color w:val="002060"/>
          <w:sz w:val="16"/>
          <w:szCs w:val="16"/>
        </w:rPr>
        <w:t>- в бипланной коробке нет «продольных перегородок» – зашивки между верхними частями предпоследних пар стоек.</w:t>
      </w:r>
    </w:p>
    <w:p w14:paraId="572539C4" w14:textId="77777777" w:rsidR="002E3314" w:rsidRPr="00405303" w:rsidRDefault="002E3314" w:rsidP="00C15251">
      <w:pPr>
        <w:jc w:val="both"/>
        <w:rPr>
          <w:bCs/>
          <w:color w:val="002060"/>
          <w:sz w:val="16"/>
          <w:szCs w:val="16"/>
        </w:rPr>
      </w:pPr>
      <w:r w:rsidRPr="00405303">
        <w:rPr>
          <w:bCs/>
          <w:color w:val="002060"/>
          <w:sz w:val="16"/>
          <w:szCs w:val="16"/>
        </w:rPr>
        <w:t>29.07.15 г. (11.08.15 г. по н.ст.) принят штабс-капитаном Чечулиным и получил бортовой № Х.</w:t>
      </w:r>
    </w:p>
    <w:p w14:paraId="4A25E965" w14:textId="77777777" w:rsidR="002E3314" w:rsidRPr="00405303" w:rsidRDefault="002E3314" w:rsidP="00C15251">
      <w:pPr>
        <w:jc w:val="both"/>
        <w:rPr>
          <w:bCs/>
          <w:color w:val="002060"/>
          <w:sz w:val="16"/>
          <w:szCs w:val="16"/>
        </w:rPr>
      </w:pPr>
      <w:r w:rsidRPr="00405303">
        <w:rPr>
          <w:bCs/>
          <w:color w:val="002060"/>
          <w:sz w:val="16"/>
          <w:szCs w:val="16"/>
        </w:rPr>
        <w:t>Во второй половине 1916 г. по ходу эксплуатации был доработан на базе ЭВК:</w:t>
      </w:r>
    </w:p>
    <w:p w14:paraId="2B77B5B0" w14:textId="77777777" w:rsidR="002E3314" w:rsidRPr="00405303" w:rsidRDefault="002E3314" w:rsidP="00C15251">
      <w:pPr>
        <w:jc w:val="both"/>
        <w:rPr>
          <w:bCs/>
          <w:color w:val="002060"/>
          <w:sz w:val="16"/>
          <w:szCs w:val="16"/>
        </w:rPr>
      </w:pPr>
      <w:r w:rsidRPr="00405303">
        <w:rPr>
          <w:bCs/>
          <w:color w:val="002060"/>
          <w:sz w:val="16"/>
          <w:szCs w:val="16"/>
        </w:rPr>
        <w:t>- моторы развернуты валами вперед, винты стали тянущими;</w:t>
      </w:r>
    </w:p>
    <w:p w14:paraId="2A81ED4B" w14:textId="77777777" w:rsidR="002E3314" w:rsidRPr="00405303" w:rsidRDefault="002E3314" w:rsidP="00C15251">
      <w:pPr>
        <w:jc w:val="both"/>
        <w:rPr>
          <w:bCs/>
          <w:color w:val="002060"/>
          <w:sz w:val="16"/>
          <w:szCs w:val="16"/>
        </w:rPr>
      </w:pPr>
      <w:r w:rsidRPr="00405303">
        <w:rPr>
          <w:bCs/>
          <w:color w:val="002060"/>
          <w:sz w:val="16"/>
          <w:szCs w:val="16"/>
        </w:rPr>
        <w:t>- установлены новые лобовые сотовые радиаторы, состоящие из прямоугольного охлаждающего пакета с бобышкой для прохода вала мотора и расширительным бачком в форме сегмента диска взамен существовавших трубчатых;</w:t>
      </w:r>
    </w:p>
    <w:p w14:paraId="55790D3E" w14:textId="77777777" w:rsidR="002E3314" w:rsidRPr="00405303" w:rsidRDefault="002E3314" w:rsidP="00C15251">
      <w:pPr>
        <w:jc w:val="both"/>
        <w:rPr>
          <w:bCs/>
          <w:color w:val="002060"/>
          <w:sz w:val="16"/>
          <w:szCs w:val="16"/>
        </w:rPr>
      </w:pPr>
      <w:r w:rsidRPr="00405303">
        <w:rPr>
          <w:bCs/>
          <w:color w:val="002060"/>
          <w:sz w:val="16"/>
          <w:szCs w:val="16"/>
        </w:rPr>
        <w:t>- в незадействованных вторых «моторных клетках» бипланной коробки крыльев оставлены вместо двух только она пара стержней с каждой стороны – один передний и один задний.</w:t>
      </w:r>
    </w:p>
    <w:p w14:paraId="1FFDE9CE" w14:textId="77777777" w:rsidR="002E3314" w:rsidRPr="00405303" w:rsidRDefault="002E3314" w:rsidP="00C15251">
      <w:pPr>
        <w:jc w:val="both"/>
        <w:rPr>
          <w:bCs/>
          <w:color w:val="002060"/>
          <w:sz w:val="16"/>
          <w:szCs w:val="16"/>
        </w:rPr>
      </w:pPr>
      <w:r w:rsidRPr="00405303">
        <w:rPr>
          <w:bCs/>
          <w:color w:val="002060"/>
          <w:sz w:val="16"/>
          <w:szCs w:val="16"/>
        </w:rPr>
        <w:t>Списан не ранее конца лета 1916 г. по завершении эксплуатации (23563).</w:t>
      </w:r>
    </w:p>
    <w:p w14:paraId="6AFF34FD" w14:textId="77777777" w:rsidR="002E3314" w:rsidRPr="00405303" w:rsidRDefault="002E3314" w:rsidP="00C15251">
      <w:pPr>
        <w:jc w:val="both"/>
        <w:rPr>
          <w:bCs/>
          <w:color w:val="002060"/>
          <w:sz w:val="16"/>
          <w:szCs w:val="16"/>
          <w:lang w:bidi="en-US"/>
        </w:rPr>
      </w:pPr>
    </w:p>
    <w:p w14:paraId="5BA0ADBE" w14:textId="77777777" w:rsidR="002E3314" w:rsidRPr="00405303" w:rsidRDefault="002E3314" w:rsidP="00C15251">
      <w:pPr>
        <w:jc w:val="both"/>
        <w:rPr>
          <w:bCs/>
          <w:color w:val="002060"/>
          <w:sz w:val="16"/>
          <w:szCs w:val="16"/>
        </w:rPr>
      </w:pPr>
      <w:r w:rsidRPr="00405303">
        <w:rPr>
          <w:bCs/>
          <w:color w:val="002060"/>
          <w:sz w:val="16"/>
          <w:szCs w:val="16"/>
        </w:rPr>
        <w:t>В марте 1915 г. на аэродром ЭВК Яблона Отправлен с завода РБВЗ «Илья Муромец» В-17 (ИМ В-17 № 163, борт № IV, II) экз. № 17, стратегический разведчик, тяжелый бомбардировщик.</w:t>
      </w:r>
    </w:p>
    <w:p w14:paraId="3E363827" w14:textId="77777777" w:rsidR="002E3314" w:rsidRPr="00405303" w:rsidRDefault="002E3314" w:rsidP="00C15251">
      <w:pPr>
        <w:jc w:val="both"/>
        <w:rPr>
          <w:bCs/>
          <w:color w:val="002060"/>
          <w:sz w:val="16"/>
          <w:szCs w:val="16"/>
        </w:rPr>
      </w:pPr>
      <w:r w:rsidRPr="00405303">
        <w:rPr>
          <w:bCs/>
          <w:color w:val="002060"/>
          <w:sz w:val="16"/>
          <w:szCs w:val="16"/>
        </w:rPr>
        <w:t>Построен с 4 двигателями водяного охлаждения Sunbeam Crusader по 150 л.с.</w:t>
      </w:r>
    </w:p>
    <w:p w14:paraId="4114F9BF" w14:textId="77777777" w:rsidR="002E3314" w:rsidRPr="00405303" w:rsidRDefault="002E3314" w:rsidP="00C15251">
      <w:pPr>
        <w:jc w:val="both"/>
        <w:rPr>
          <w:bCs/>
          <w:color w:val="002060"/>
          <w:sz w:val="16"/>
          <w:szCs w:val="16"/>
        </w:rPr>
      </w:pPr>
      <w:r w:rsidRPr="00405303">
        <w:rPr>
          <w:bCs/>
          <w:color w:val="002060"/>
          <w:sz w:val="16"/>
          <w:szCs w:val="16"/>
        </w:rPr>
        <w:t>29.07.15 г. (11.08.15 г. по н.ст.) принят поручиком Я.Н. Шаровым (до того он был командиром ИМ В-18) и получил бортовой № IV.</w:t>
      </w:r>
    </w:p>
    <w:p w14:paraId="5CBDFC76" w14:textId="77777777" w:rsidR="002E3314" w:rsidRPr="00405303" w:rsidRDefault="002E3314" w:rsidP="00C15251">
      <w:pPr>
        <w:jc w:val="both"/>
        <w:rPr>
          <w:bCs/>
          <w:color w:val="002060"/>
          <w:sz w:val="16"/>
          <w:szCs w:val="16"/>
        </w:rPr>
      </w:pPr>
      <w:r w:rsidRPr="00405303">
        <w:rPr>
          <w:bCs/>
          <w:color w:val="002060"/>
          <w:sz w:val="16"/>
          <w:szCs w:val="16"/>
        </w:rPr>
        <w:t>Перебазирован в Псков, переквалифицирован в учебный и получил новый номер II.</w:t>
      </w:r>
    </w:p>
    <w:p w14:paraId="7F8B202B" w14:textId="77777777" w:rsidR="002E3314" w:rsidRPr="00405303" w:rsidRDefault="002E3314" w:rsidP="00C15251">
      <w:pPr>
        <w:jc w:val="both"/>
        <w:rPr>
          <w:bCs/>
          <w:color w:val="002060"/>
          <w:sz w:val="16"/>
          <w:szCs w:val="16"/>
        </w:rPr>
      </w:pPr>
      <w:r w:rsidRPr="00405303">
        <w:rPr>
          <w:bCs/>
          <w:color w:val="002060"/>
          <w:sz w:val="16"/>
          <w:szCs w:val="16"/>
        </w:rPr>
        <w:t>16.05.16 г. (29.06.16 г. по н.ст.) разбит в катастрофе – погибли командир корабля поручик (по др. данным – штабс-капитан) Е.А. Иньков и еще двое, Насонов ранен (возможно – прапорщик А.В. Насонов, будущий командир ИМ № 276 РККВВФ) (23563).</w:t>
      </w:r>
    </w:p>
    <w:p w14:paraId="175E01A4" w14:textId="77777777" w:rsidR="002E3314" w:rsidRPr="00405303" w:rsidRDefault="002E3314" w:rsidP="00C15251">
      <w:pPr>
        <w:jc w:val="both"/>
        <w:rPr>
          <w:bCs/>
          <w:color w:val="002060"/>
          <w:sz w:val="16"/>
          <w:szCs w:val="16"/>
          <w:lang w:bidi="en-US"/>
        </w:rPr>
      </w:pPr>
    </w:p>
    <w:p w14:paraId="0C71B956" w14:textId="77777777" w:rsidR="002E3314" w:rsidRPr="00405303" w:rsidRDefault="002E3314" w:rsidP="00C15251">
      <w:pPr>
        <w:jc w:val="both"/>
        <w:rPr>
          <w:bCs/>
          <w:color w:val="002060"/>
          <w:sz w:val="16"/>
          <w:szCs w:val="16"/>
        </w:rPr>
      </w:pPr>
      <w:r w:rsidRPr="00405303">
        <w:rPr>
          <w:bCs/>
          <w:color w:val="002060"/>
          <w:sz w:val="16"/>
          <w:szCs w:val="16"/>
          <w:lang w:bidi="ru-RU"/>
        </w:rPr>
        <w:t>В марте 1915 в строй вошел «ИМ» №151 — тип. В и, таким образом, до на</w:t>
      </w:r>
      <w:r w:rsidRPr="00405303">
        <w:rPr>
          <w:bCs/>
          <w:color w:val="002060"/>
          <w:sz w:val="16"/>
          <w:szCs w:val="16"/>
          <w:lang w:bidi="ru-RU"/>
        </w:rPr>
        <w:softHyphen/>
        <w:t>ступления лета 1915 г. в интересах Северо</w:t>
      </w:r>
      <w:r w:rsidRPr="00405303">
        <w:rPr>
          <w:bCs/>
          <w:color w:val="002060"/>
          <w:sz w:val="16"/>
          <w:szCs w:val="16"/>
          <w:lang w:bidi="ru-RU"/>
        </w:rPr>
        <w:softHyphen/>
        <w:t>Западного фронта использовалось два та</w:t>
      </w:r>
      <w:r w:rsidRPr="00405303">
        <w:rPr>
          <w:bCs/>
          <w:color w:val="002060"/>
          <w:sz w:val="16"/>
          <w:szCs w:val="16"/>
          <w:lang w:bidi="ru-RU"/>
        </w:rPr>
        <w:softHyphen/>
        <w:t>ких воздушных корабля. В начале июля ко</w:t>
      </w:r>
      <w:r w:rsidRPr="00405303">
        <w:rPr>
          <w:bCs/>
          <w:color w:val="002060"/>
          <w:sz w:val="16"/>
          <w:szCs w:val="16"/>
          <w:lang w:bidi="ru-RU"/>
        </w:rPr>
        <w:softHyphen/>
        <w:t>личество боеспособных «Муромцев» увеличилось до пяти единиц. В этот период Эскадра воздушных кораблей перебазиро</w:t>
      </w:r>
      <w:r w:rsidRPr="00405303">
        <w:rPr>
          <w:bCs/>
          <w:color w:val="002060"/>
          <w:sz w:val="16"/>
          <w:szCs w:val="16"/>
          <w:lang w:bidi="ru-RU"/>
        </w:rPr>
        <w:softHyphen/>
        <w:t>валась в район города Лида, затем в район Пскова. В октябре 1915 г. из состава эскад</w:t>
      </w:r>
      <w:r w:rsidRPr="00405303">
        <w:rPr>
          <w:bCs/>
          <w:color w:val="002060"/>
          <w:sz w:val="16"/>
          <w:szCs w:val="16"/>
          <w:lang w:bidi="ru-RU"/>
        </w:rPr>
        <w:softHyphen/>
        <w:t>ры выделили боевой отряд в количестве 5-6 машин, которые до конца года базирова</w:t>
      </w:r>
      <w:r w:rsidRPr="00405303">
        <w:rPr>
          <w:bCs/>
          <w:color w:val="002060"/>
          <w:sz w:val="16"/>
          <w:szCs w:val="16"/>
          <w:lang w:bidi="ru-RU"/>
        </w:rPr>
        <w:softHyphen/>
        <w:t>лись под Ригой (станция Зегевольд) и дей</w:t>
      </w:r>
      <w:r w:rsidRPr="00405303">
        <w:rPr>
          <w:bCs/>
          <w:color w:val="002060"/>
          <w:sz w:val="16"/>
          <w:szCs w:val="16"/>
          <w:lang w:bidi="ru-RU"/>
        </w:rPr>
        <w:softHyphen/>
        <w:t>ствовали в интересах Северного фронта. Две машины отправили на Юго-Западный фронт с базированием в Колодзиевке (23374).</w:t>
      </w:r>
    </w:p>
    <w:p w14:paraId="01DFDA09" w14:textId="77777777" w:rsidR="002E3314" w:rsidRPr="00405303" w:rsidRDefault="002E3314" w:rsidP="00C15251">
      <w:pPr>
        <w:jc w:val="both"/>
        <w:rPr>
          <w:bCs/>
          <w:color w:val="002060"/>
          <w:sz w:val="16"/>
          <w:szCs w:val="16"/>
        </w:rPr>
      </w:pPr>
    </w:p>
    <w:p w14:paraId="35AD045C" w14:textId="77777777" w:rsidR="002E3314" w:rsidRPr="00405303" w:rsidRDefault="002E3314" w:rsidP="00C15251">
      <w:pPr>
        <w:jc w:val="both"/>
        <w:rPr>
          <w:bCs/>
          <w:color w:val="002060"/>
          <w:sz w:val="16"/>
          <w:szCs w:val="16"/>
        </w:rPr>
      </w:pPr>
      <w:r w:rsidRPr="00405303">
        <w:rPr>
          <w:bCs/>
          <w:color w:val="002060"/>
          <w:sz w:val="16"/>
          <w:szCs w:val="16"/>
          <w:lang w:bidi="ru-RU"/>
        </w:rPr>
        <w:t>В марте 1915 г. «тримоноплан тип 2» был испытан летчиком-инструктором севасто</w:t>
      </w:r>
      <w:r w:rsidRPr="00405303">
        <w:rPr>
          <w:bCs/>
          <w:color w:val="002060"/>
          <w:sz w:val="16"/>
          <w:szCs w:val="16"/>
          <w:lang w:bidi="ru-RU"/>
        </w:rPr>
        <w:softHyphen/>
        <w:t>польской школы Александром Евгеньеви</w:t>
      </w:r>
      <w:r w:rsidRPr="00405303">
        <w:rPr>
          <w:bCs/>
          <w:color w:val="002060"/>
          <w:sz w:val="16"/>
          <w:szCs w:val="16"/>
          <w:lang w:bidi="ru-RU"/>
        </w:rPr>
        <w:softHyphen/>
        <w:t>чем Раевским на скорость. Полученное значение составило 130 км/ч. «За ско</w:t>
      </w:r>
      <w:r w:rsidRPr="00405303">
        <w:rPr>
          <w:bCs/>
          <w:color w:val="002060"/>
          <w:sz w:val="16"/>
          <w:szCs w:val="16"/>
          <w:lang w:bidi="ru-RU"/>
        </w:rPr>
        <w:softHyphen/>
        <w:t>рость, превзошедшую предвиденную», ап</w:t>
      </w:r>
      <w:r w:rsidRPr="00405303">
        <w:rPr>
          <w:bCs/>
          <w:color w:val="002060"/>
          <w:sz w:val="16"/>
          <w:szCs w:val="16"/>
          <w:lang w:bidi="ru-RU"/>
        </w:rPr>
        <w:softHyphen/>
        <w:t>парат «был принят Орловым в отряд истре</w:t>
      </w:r>
      <w:r w:rsidRPr="00405303">
        <w:rPr>
          <w:bCs/>
          <w:color w:val="002060"/>
          <w:sz w:val="16"/>
          <w:szCs w:val="16"/>
          <w:lang w:bidi="ru-RU"/>
        </w:rPr>
        <w:softHyphen/>
        <w:t xml:space="preserve">бителей на фронт». Летом того же года триплан перевезли в Москву. </w:t>
      </w:r>
    </w:p>
    <w:p w14:paraId="498D19A9" w14:textId="77777777" w:rsidR="002E3314" w:rsidRPr="00405303" w:rsidRDefault="002E3314" w:rsidP="00C15251">
      <w:pPr>
        <w:jc w:val="both"/>
        <w:rPr>
          <w:bCs/>
          <w:color w:val="002060"/>
          <w:sz w:val="16"/>
          <w:szCs w:val="16"/>
        </w:rPr>
      </w:pPr>
    </w:p>
    <w:p w14:paraId="451E32E0" w14:textId="77777777" w:rsidR="002E3314" w:rsidRPr="00405303" w:rsidRDefault="002E3314" w:rsidP="00C15251">
      <w:pPr>
        <w:jc w:val="both"/>
        <w:rPr>
          <w:bCs/>
          <w:color w:val="002060"/>
          <w:sz w:val="16"/>
          <w:szCs w:val="16"/>
        </w:rPr>
      </w:pPr>
      <w:r w:rsidRPr="00405303">
        <w:rPr>
          <w:bCs/>
          <w:color w:val="002060"/>
          <w:sz w:val="16"/>
          <w:szCs w:val="16"/>
        </w:rPr>
        <w:t>В марте 1915 г. совершил первый полет М-5 («Морской-5», «Морской пятый», ЩМ-5, «Щетинин М-5») опытный (головной) и показал дальнейшее улучшение устойчивости и управляемости по сравнению с типом М-4 и был принят в эксплуатацию.</w:t>
      </w:r>
    </w:p>
    <w:p w14:paraId="329283FB" w14:textId="77777777" w:rsidR="002E3314" w:rsidRPr="00405303" w:rsidRDefault="002E3314" w:rsidP="00C15251">
      <w:pPr>
        <w:jc w:val="both"/>
        <w:rPr>
          <w:bCs/>
          <w:color w:val="002060"/>
          <w:sz w:val="16"/>
          <w:szCs w:val="16"/>
        </w:rPr>
      </w:pPr>
      <w:r w:rsidRPr="00405303">
        <w:rPr>
          <w:bCs/>
          <w:color w:val="002060"/>
          <w:sz w:val="16"/>
          <w:szCs w:val="16"/>
        </w:rPr>
        <w:t>Самолет был заложен, видимо, как 5-й экземпляр типа М-4, но еще до окончательной сборки его начали переделывать по новым чертежам типа М-5.</w:t>
      </w:r>
    </w:p>
    <w:p w14:paraId="39DE0E66" w14:textId="77777777" w:rsidR="002E3314" w:rsidRPr="00405303" w:rsidRDefault="002E3314" w:rsidP="00C15251">
      <w:pPr>
        <w:jc w:val="both"/>
        <w:rPr>
          <w:bCs/>
          <w:color w:val="002060"/>
          <w:sz w:val="16"/>
          <w:szCs w:val="16"/>
        </w:rPr>
      </w:pPr>
      <w:r w:rsidRPr="00405303">
        <w:rPr>
          <w:bCs/>
          <w:color w:val="002060"/>
          <w:sz w:val="16"/>
          <w:szCs w:val="16"/>
        </w:rPr>
        <w:t xml:space="preserve">Самолет </w:t>
      </w:r>
    </w:p>
    <w:p w14:paraId="16DB2D35" w14:textId="77777777" w:rsidR="002E3314" w:rsidRPr="00405303" w:rsidRDefault="002E3314" w:rsidP="00C15251">
      <w:pPr>
        <w:jc w:val="both"/>
        <w:rPr>
          <w:bCs/>
          <w:color w:val="002060"/>
          <w:sz w:val="16"/>
          <w:szCs w:val="16"/>
        </w:rPr>
      </w:pPr>
      <w:r w:rsidRPr="00405303">
        <w:rPr>
          <w:bCs/>
          <w:color w:val="002060"/>
          <w:sz w:val="16"/>
          <w:szCs w:val="16"/>
        </w:rPr>
        <w:t>12 апреля 1915 г. этот самолет М-5, по-видимому, еще не завершивший испытаний, совершил первый боевой вылет.</w:t>
      </w:r>
    </w:p>
    <w:p w14:paraId="71620F09" w14:textId="77777777" w:rsidR="002E3314" w:rsidRPr="00405303" w:rsidRDefault="002E3314" w:rsidP="00C15251">
      <w:pPr>
        <w:jc w:val="both"/>
        <w:rPr>
          <w:bCs/>
          <w:color w:val="002060"/>
          <w:sz w:val="16"/>
          <w:szCs w:val="16"/>
        </w:rPr>
      </w:pPr>
      <w:r w:rsidRPr="00405303">
        <w:rPr>
          <w:bCs/>
          <w:color w:val="002060"/>
          <w:sz w:val="16"/>
          <w:szCs w:val="16"/>
        </w:rPr>
        <w:t>Самолет М-5 был принят на вооружение Морской Авиации Императорского Флота России в апреле 1915 г. и завод ПРТВ получил заказ на его крупносерийный выпуск.</w:t>
      </w:r>
    </w:p>
    <w:p w14:paraId="59E7C2BB" w14:textId="77777777" w:rsidR="002E3314" w:rsidRPr="00405303" w:rsidRDefault="002E3314" w:rsidP="00C15251">
      <w:pPr>
        <w:jc w:val="both"/>
        <w:rPr>
          <w:bCs/>
          <w:color w:val="002060"/>
          <w:sz w:val="16"/>
          <w:szCs w:val="16"/>
        </w:rPr>
      </w:pPr>
      <w:r w:rsidRPr="00405303">
        <w:rPr>
          <w:bCs/>
          <w:color w:val="002060"/>
          <w:sz w:val="16"/>
          <w:szCs w:val="16"/>
        </w:rPr>
        <w:t>30 июня 1916 г. из Франции и Великобритании с просьбой прислать чертежи и фото самолетов М-5 и М-9 для ознакомления и внедрения сделанных на них усовершенствований в конструкции французских и английских летающих лодок, что и было сделано (23594).</w:t>
      </w:r>
    </w:p>
    <w:p w14:paraId="2B266085" w14:textId="77777777" w:rsidR="002E3314" w:rsidRPr="00405303" w:rsidRDefault="002E3314" w:rsidP="00C15251">
      <w:pPr>
        <w:jc w:val="both"/>
        <w:rPr>
          <w:bCs/>
          <w:color w:val="002060"/>
          <w:sz w:val="16"/>
          <w:szCs w:val="16"/>
        </w:rPr>
      </w:pPr>
    </w:p>
    <w:p w14:paraId="7A5186F5" w14:textId="77777777" w:rsidR="002E3314" w:rsidRPr="00405303" w:rsidRDefault="002E3314" w:rsidP="00C15251">
      <w:pPr>
        <w:jc w:val="both"/>
        <w:rPr>
          <w:bCs/>
          <w:color w:val="002060"/>
          <w:sz w:val="16"/>
          <w:szCs w:val="16"/>
        </w:rPr>
      </w:pPr>
      <w:r w:rsidRPr="00405303">
        <w:rPr>
          <w:bCs/>
          <w:color w:val="002060"/>
          <w:sz w:val="16"/>
          <w:szCs w:val="16"/>
        </w:rPr>
        <w:t>В марте 1915 г. о возможностях воздушных кораблей, основанных на первых результатах боевой работы, начальник эскадры доносил по команде: «...</w:t>
      </w:r>
    </w:p>
    <w:p w14:paraId="24B3717F" w14:textId="77777777" w:rsidR="002E3314" w:rsidRPr="00405303" w:rsidRDefault="002E3314" w:rsidP="00C15251">
      <w:pPr>
        <w:jc w:val="both"/>
        <w:rPr>
          <w:bCs/>
          <w:color w:val="002060"/>
          <w:sz w:val="16"/>
          <w:szCs w:val="16"/>
        </w:rPr>
      </w:pPr>
      <w:r w:rsidRPr="00405303">
        <w:rPr>
          <w:bCs/>
          <w:color w:val="002060"/>
          <w:sz w:val="16"/>
          <w:szCs w:val="16"/>
        </w:rPr>
        <w:lastRenderedPageBreak/>
        <w:t>Грузоподъемность (полезная нагрузка) 85 пудов. При боевых полетах с запасом горючего на 5 часов и при вооружении 2-я пулеметами, карабином, бомб можно брать до 30 пудов при постоянном экипаже из 3</w:t>
      </w:r>
      <w:r w:rsidRPr="00405303">
        <w:rPr>
          <w:bCs/>
          <w:color w:val="002060"/>
          <w:sz w:val="16"/>
          <w:szCs w:val="16"/>
        </w:rPr>
        <w:softHyphen/>
        <w:t>х человек. Если же вместо бомб взять бензина и масла, то продолжительность полета может быть увеличе на до 9 — 10 часов.</w:t>
      </w:r>
    </w:p>
    <w:p w14:paraId="1315DECB" w14:textId="77777777" w:rsidR="002E3314" w:rsidRPr="00405303" w:rsidRDefault="002E3314" w:rsidP="00C15251">
      <w:pPr>
        <w:jc w:val="both"/>
        <w:rPr>
          <w:bCs/>
          <w:color w:val="002060"/>
          <w:sz w:val="16"/>
          <w:szCs w:val="16"/>
        </w:rPr>
      </w:pPr>
      <w:r w:rsidRPr="00405303">
        <w:rPr>
          <w:bCs/>
          <w:color w:val="002060"/>
          <w:sz w:val="16"/>
          <w:szCs w:val="16"/>
        </w:rPr>
        <w:t>Скорость подъема корабля при указанной нагрузке на 2500 метров - 45 минут.</w:t>
      </w:r>
    </w:p>
    <w:p w14:paraId="4910DA6D" w14:textId="77777777" w:rsidR="002E3314" w:rsidRPr="00405303" w:rsidRDefault="002E3314" w:rsidP="00C15251">
      <w:pPr>
        <w:jc w:val="both"/>
        <w:rPr>
          <w:bCs/>
          <w:color w:val="002060"/>
          <w:sz w:val="16"/>
          <w:szCs w:val="16"/>
        </w:rPr>
      </w:pPr>
      <w:r w:rsidRPr="00405303">
        <w:rPr>
          <w:bCs/>
          <w:color w:val="002060"/>
          <w:sz w:val="16"/>
          <w:szCs w:val="16"/>
        </w:rPr>
        <w:t>Скорость полета корабля — 100 — 110 километров в час.</w:t>
      </w:r>
    </w:p>
    <w:p w14:paraId="269868C8" w14:textId="77777777" w:rsidR="002E3314" w:rsidRPr="00405303" w:rsidRDefault="002E3314" w:rsidP="00C15251">
      <w:pPr>
        <w:jc w:val="both"/>
        <w:rPr>
          <w:bCs/>
          <w:color w:val="002060"/>
          <w:sz w:val="16"/>
          <w:szCs w:val="16"/>
        </w:rPr>
      </w:pPr>
      <w:r w:rsidRPr="00405303">
        <w:rPr>
          <w:bCs/>
          <w:color w:val="002060"/>
          <w:sz w:val="16"/>
          <w:szCs w:val="16"/>
        </w:rPr>
        <w:t>Удобство управления (экипаж находится в закры</w:t>
      </w:r>
      <w:r w:rsidRPr="00405303">
        <w:rPr>
          <w:bCs/>
          <w:color w:val="002060"/>
          <w:sz w:val="16"/>
          <w:szCs w:val="16"/>
        </w:rPr>
        <w:softHyphen/>
        <w:t>том помещении, и пилоты могут сменять друг друга).</w:t>
      </w:r>
    </w:p>
    <w:p w14:paraId="3FF88AB0" w14:textId="77777777" w:rsidR="002E3314" w:rsidRPr="00405303" w:rsidRDefault="002E3314" w:rsidP="00C15251">
      <w:pPr>
        <w:jc w:val="both"/>
        <w:rPr>
          <w:bCs/>
          <w:color w:val="002060"/>
          <w:sz w:val="16"/>
          <w:szCs w:val="16"/>
        </w:rPr>
      </w:pPr>
      <w:r w:rsidRPr="00405303">
        <w:rPr>
          <w:bCs/>
          <w:color w:val="002060"/>
          <w:sz w:val="16"/>
          <w:szCs w:val="16"/>
        </w:rPr>
        <w:t>Хороший обзор и удобство наблюдения (бинокли, трубы).</w:t>
      </w:r>
    </w:p>
    <w:p w14:paraId="3CED4719" w14:textId="77777777" w:rsidR="002E3314" w:rsidRPr="00405303" w:rsidRDefault="002E3314" w:rsidP="00C15251">
      <w:pPr>
        <w:jc w:val="both"/>
        <w:rPr>
          <w:bCs/>
          <w:color w:val="002060"/>
          <w:sz w:val="16"/>
          <w:szCs w:val="16"/>
        </w:rPr>
      </w:pPr>
      <w:r w:rsidRPr="00405303">
        <w:rPr>
          <w:bCs/>
          <w:color w:val="002060"/>
          <w:sz w:val="16"/>
          <w:szCs w:val="16"/>
        </w:rPr>
        <w:t>Удобство фотографирования и бросания бомб.</w:t>
      </w:r>
    </w:p>
    <w:p w14:paraId="75CD56A8" w14:textId="77777777" w:rsidR="002E3314" w:rsidRPr="00405303" w:rsidRDefault="002E3314" w:rsidP="00C15251">
      <w:pPr>
        <w:jc w:val="both"/>
        <w:rPr>
          <w:bCs/>
          <w:color w:val="002060"/>
          <w:sz w:val="16"/>
          <w:szCs w:val="16"/>
        </w:rPr>
      </w:pPr>
      <w:r w:rsidRPr="00405303">
        <w:rPr>
          <w:bCs/>
          <w:color w:val="002060"/>
          <w:sz w:val="16"/>
          <w:szCs w:val="16"/>
        </w:rPr>
        <w:t>В настоящее время в эскадре имеется три боевых корабля типа «Илья Муромец Киевский», но с моторами большой мощности, из них два могут совершать боевые полеты, а один в сборке. К концу апреля эскадра будет иметь шесть кораблей боевого типа, так как моторы на последние четыре уже получены.</w:t>
      </w:r>
    </w:p>
    <w:p w14:paraId="61825D4C" w14:textId="77777777" w:rsidR="002E3314" w:rsidRPr="00405303" w:rsidRDefault="002E3314" w:rsidP="00C15251">
      <w:pPr>
        <w:jc w:val="both"/>
        <w:rPr>
          <w:bCs/>
          <w:color w:val="002060"/>
          <w:sz w:val="16"/>
          <w:szCs w:val="16"/>
        </w:rPr>
      </w:pPr>
      <w:r w:rsidRPr="00405303">
        <w:rPr>
          <w:bCs/>
          <w:color w:val="002060"/>
          <w:sz w:val="16"/>
          <w:szCs w:val="16"/>
        </w:rPr>
        <w:t xml:space="preserve">Начальтк эскадры самолетов «Илья Муромец» генерал- майор Шидловский» (ЦГВИА, ф. 2008, </w:t>
      </w:r>
      <w:r w:rsidRPr="00405303">
        <w:rPr>
          <w:bCs/>
          <w:color w:val="002060"/>
          <w:sz w:val="16"/>
          <w:szCs w:val="16"/>
          <w:lang w:val="en-US"/>
        </w:rPr>
        <w:t>on</w:t>
      </w:r>
      <w:r w:rsidRPr="00405303">
        <w:rPr>
          <w:bCs/>
          <w:color w:val="002060"/>
          <w:sz w:val="16"/>
          <w:szCs w:val="16"/>
        </w:rPr>
        <w:t>. 1, д. 487, л. 74ю) (24177).</w:t>
      </w:r>
    </w:p>
    <w:p w14:paraId="61420699" w14:textId="77777777" w:rsidR="002E3314" w:rsidRPr="00405303" w:rsidRDefault="002E3314" w:rsidP="00C15251">
      <w:pPr>
        <w:jc w:val="both"/>
        <w:rPr>
          <w:bCs/>
          <w:color w:val="002060"/>
          <w:sz w:val="16"/>
          <w:szCs w:val="16"/>
        </w:rPr>
      </w:pPr>
    </w:p>
    <w:p w14:paraId="41338B9F"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Аэростатостроение:</w:t>
      </w:r>
    </w:p>
    <w:p w14:paraId="718022EF" w14:textId="77777777" w:rsidR="004B4E35" w:rsidRPr="00405303" w:rsidRDefault="004B4E35" w:rsidP="00C15251">
      <w:pPr>
        <w:shd w:val="clear" w:color="auto" w:fill="FFFFFF"/>
        <w:jc w:val="both"/>
        <w:rPr>
          <w:bCs/>
          <w:i/>
          <w:color w:val="002060"/>
          <w:sz w:val="16"/>
          <w:szCs w:val="16"/>
        </w:rPr>
      </w:pPr>
    </w:p>
    <w:p w14:paraId="5BC9124C" w14:textId="5B200C13" w:rsidR="004B4E35" w:rsidRPr="00405303" w:rsidRDefault="00A5766F"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марте 1915 года </w:t>
      </w:r>
      <w:r w:rsidRPr="00405303">
        <w:rPr>
          <w:bCs/>
          <w:color w:val="002060"/>
          <w:sz w:val="16"/>
          <w:szCs w:val="16"/>
        </w:rPr>
        <w:t xml:space="preserve">дирижабль «Буревестник», который был наполнен газом в первой половине ноября 1914 года и выполнил несколько полетов, признали непригодным к работе в боевой обстановке и </w:t>
      </w:r>
      <w:r w:rsidR="009E6F82" w:rsidRPr="00405303">
        <w:rPr>
          <w:bCs/>
          <w:color w:val="002060"/>
          <w:sz w:val="16"/>
          <w:szCs w:val="16"/>
        </w:rPr>
        <w:t>демонтировали (11324).</w:t>
      </w:r>
    </w:p>
    <w:p w14:paraId="4BCFE7F8" w14:textId="77777777" w:rsidR="004B4E35" w:rsidRPr="00405303" w:rsidRDefault="004B4E35" w:rsidP="00C15251">
      <w:pPr>
        <w:jc w:val="both"/>
        <w:rPr>
          <w:bCs/>
          <w:i/>
          <w:color w:val="002060"/>
          <w:sz w:val="16"/>
          <w:szCs w:val="16"/>
        </w:rPr>
      </w:pPr>
    </w:p>
    <w:p w14:paraId="0202E053"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436491B7" w14:textId="77777777" w:rsidR="004B4E35" w:rsidRPr="00405303" w:rsidRDefault="004B4E35" w:rsidP="00C15251">
      <w:pPr>
        <w:jc w:val="both"/>
        <w:rPr>
          <w:bCs/>
          <w:i/>
          <w:color w:val="002060"/>
          <w:sz w:val="16"/>
          <w:szCs w:val="16"/>
        </w:rPr>
      </w:pPr>
    </w:p>
    <w:p w14:paraId="0436F0DA" w14:textId="77777777" w:rsidR="00F15E78" w:rsidRPr="00405303" w:rsidRDefault="00F15E78" w:rsidP="00C15251">
      <w:pPr>
        <w:pStyle w:val="ae"/>
        <w:spacing w:before="0" w:beforeAutospacing="0" w:after="0" w:afterAutospacing="0"/>
        <w:jc w:val="both"/>
        <w:rPr>
          <w:bCs/>
          <w:color w:val="002060"/>
          <w:sz w:val="16"/>
          <w:szCs w:val="16"/>
        </w:rPr>
      </w:pPr>
      <w:r w:rsidRPr="00405303">
        <w:rPr>
          <w:bCs/>
          <w:color w:val="002060"/>
          <w:sz w:val="16"/>
          <w:szCs w:val="16"/>
        </w:rPr>
        <w:t>С марта 1915 г. наметился острый разрыв между количеством изготовленных снарядов и дистанционных трубок, этот разрыв с каждым месяцем все увеличивался, достиг в июне 324,1 тыс. штук и привел к катастрофе. С марта по июль дистанционных трубок было выработано на 1026 тыс. штук меньше, чем снарядов. То же самое произошло с взрывателями: с февраля по июль взрывателей для гранат было выработано на 405,8 тыс. штук меньше, чем гранат. Все это привело к тому, что количество изготовленных шрапнелей и гранат определялось количеством дистанционных трубок и взрывателей и почти на 1,5 млн. штук сократило и без того небольшое производство снарядов</w:t>
      </w:r>
      <w:bookmarkStart w:id="81" w:name="107r"/>
      <w:bookmarkEnd w:id="81"/>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"107p"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107</w:t>
      </w:r>
      <w:r w:rsidR="00617EB0" w:rsidRPr="00405303">
        <w:rPr>
          <w:bCs/>
          <w:color w:val="002060"/>
          <w:sz w:val="16"/>
          <w:szCs w:val="16"/>
          <w:vertAlign w:val="superscript"/>
        </w:rPr>
        <w:fldChar w:fldCharType="end"/>
      </w:r>
      <w:r w:rsidRPr="00405303">
        <w:rPr>
          <w:bCs/>
          <w:color w:val="002060"/>
          <w:sz w:val="16"/>
          <w:szCs w:val="16"/>
        </w:rPr>
        <w:t>.</w:t>
      </w:r>
    </w:p>
    <w:p w14:paraId="4AC29DBB" w14:textId="77777777" w:rsidR="00F15E78" w:rsidRPr="00405303" w:rsidRDefault="00F15E78" w:rsidP="00C15251">
      <w:pPr>
        <w:pStyle w:val="ae"/>
        <w:spacing w:before="0" w:beforeAutospacing="0" w:after="0" w:afterAutospacing="0"/>
        <w:jc w:val="both"/>
        <w:rPr>
          <w:bCs/>
          <w:color w:val="002060"/>
          <w:sz w:val="16"/>
          <w:szCs w:val="16"/>
        </w:rPr>
      </w:pPr>
      <w:r w:rsidRPr="00405303">
        <w:rPr>
          <w:bCs/>
          <w:color w:val="002060"/>
          <w:sz w:val="16"/>
          <w:szCs w:val="16"/>
        </w:rPr>
        <w:t>Комиссия не могла широко привлечь частную промышленность к работе на армию. Все основные виды боевого снабжения артиллерии, как легкой, так и тяжелой, — снаряды, дистанционные трубки, взрыватели, порох, взрзывчатое вещество и т. д. — по-прежнему выполнялись несколькими десятками крупных заводов, частных и казенных, причем многие из них брали самые разнородные заказы, выполняли более выгодные в первую очередь и откладывали менее выгодные на более поздний срок. Заказы на шрапнели выполнялись с середины 1915 г. лишь 38 предприятиями. Комиссия даже не могла опереться на активную помощь буржуазных организаций; она оказалась не в состоянии ввести и в казенных предприятиях тот режим работы, который считала наиболее целесообразным. Тем более комиссия не смогла разрешить ряд больших принципиальных вопросов — проблему рабочей силы, топлива, металла, которые встали в связи с войной и в значительной мере определяли работу всей военной промышленности.</w:t>
      </w:r>
    </w:p>
    <w:p w14:paraId="2729F42A" w14:textId="77777777" w:rsidR="00F15E78" w:rsidRPr="00405303" w:rsidRDefault="00F15E78" w:rsidP="00C15251">
      <w:pPr>
        <w:pStyle w:val="ae"/>
        <w:spacing w:before="0" w:beforeAutospacing="0" w:after="0" w:afterAutospacing="0"/>
        <w:jc w:val="both"/>
        <w:rPr>
          <w:bCs/>
          <w:color w:val="002060"/>
          <w:sz w:val="16"/>
          <w:szCs w:val="16"/>
        </w:rPr>
      </w:pPr>
      <w:r w:rsidRPr="00405303">
        <w:rPr>
          <w:bCs/>
          <w:color w:val="002060"/>
          <w:sz w:val="16"/>
          <w:szCs w:val="16"/>
        </w:rPr>
        <w:t>Мероприятия комиссии носили такой же бюрократический и узковедомственный характер, что и ГАУ. Конечно, комиссия развила бо́льшую активность, чем ГАУ, но все ее мероприятия узкоделового характера не вносили нового в методы и характер работы Военного министерства. Важнейшие предложения комиссии — прежде всего милитаризация промышленности — отклонялись Советом министров, и ее деятельность неизбежно была обречена на провал.</w:t>
      </w:r>
    </w:p>
    <w:p w14:paraId="0F88B1F3" w14:textId="77777777" w:rsidR="00F15E78" w:rsidRPr="00405303" w:rsidRDefault="00F15E78" w:rsidP="00C15251">
      <w:pPr>
        <w:pStyle w:val="ae"/>
        <w:spacing w:before="0" w:beforeAutospacing="0" w:after="0" w:afterAutospacing="0"/>
        <w:jc w:val="both"/>
        <w:rPr>
          <w:bCs/>
          <w:color w:val="002060"/>
          <w:sz w:val="16"/>
          <w:szCs w:val="16"/>
        </w:rPr>
      </w:pPr>
      <w:r w:rsidRPr="00405303">
        <w:rPr>
          <w:bCs/>
          <w:color w:val="002060"/>
          <w:sz w:val="16"/>
          <w:szCs w:val="16"/>
        </w:rPr>
        <w:t>Впоследствии, отвечая на недоуменный вопрос черносотенца А. А. Бобринского «какие же меры принимал Совет министров всю осень и зиму?», вел. кн. Сергей Михайлович развел руками и вымолвил фразу: «Граф, увольте, на этот вопрос ответа дать не могу. Об этом мне ничего не известно»</w:t>
      </w:r>
      <w:bookmarkStart w:id="82" w:name="108r"/>
      <w:bookmarkEnd w:id="82"/>
      <w:r w:rsidRPr="00405303">
        <w:rPr>
          <w:bCs/>
          <w:color w:val="002060"/>
          <w:sz w:val="16"/>
          <w:szCs w:val="16"/>
        </w:rPr>
        <w:t xml:space="preserve"> (18524).</w:t>
      </w:r>
    </w:p>
    <w:p w14:paraId="0A1F5DB8" w14:textId="77777777" w:rsidR="00F15E78" w:rsidRPr="00405303" w:rsidRDefault="00F15E78" w:rsidP="00C15251">
      <w:pPr>
        <w:pStyle w:val="ae"/>
        <w:spacing w:before="0" w:beforeAutospacing="0" w:after="0" w:afterAutospacing="0"/>
        <w:jc w:val="both"/>
        <w:rPr>
          <w:bCs/>
          <w:color w:val="002060"/>
          <w:sz w:val="16"/>
          <w:szCs w:val="16"/>
        </w:rPr>
      </w:pPr>
    </w:p>
    <w:p w14:paraId="56F06C6F" w14:textId="77777777" w:rsidR="00A5766F" w:rsidRPr="00405303" w:rsidRDefault="00A5766F"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марте 1915 года </w:t>
      </w:r>
      <w:r w:rsidRPr="00405303">
        <w:rPr>
          <w:bCs/>
          <w:color w:val="002060"/>
          <w:sz w:val="16"/>
          <w:szCs w:val="16"/>
        </w:rPr>
        <w:t xml:space="preserve">после подготовки площадки </w:t>
      </w:r>
      <w:r w:rsidR="009E6F82" w:rsidRPr="00405303">
        <w:rPr>
          <w:bCs/>
          <w:color w:val="002060"/>
          <w:sz w:val="16"/>
          <w:szCs w:val="16"/>
        </w:rPr>
        <w:t>были начаты первые строительные работы</w:t>
      </w:r>
      <w:r w:rsidRPr="00405303">
        <w:rPr>
          <w:bCs/>
          <w:color w:val="002060"/>
          <w:sz w:val="16"/>
          <w:szCs w:val="16"/>
        </w:rPr>
        <w:t xml:space="preserve"> по Тамбовскому пороховому заводу</w:t>
      </w:r>
      <w:r w:rsidR="009E6F82" w:rsidRPr="00405303">
        <w:rPr>
          <w:bCs/>
          <w:color w:val="002060"/>
          <w:sz w:val="16"/>
          <w:szCs w:val="16"/>
        </w:rPr>
        <w:t xml:space="preserve">. </w:t>
      </w:r>
    </w:p>
    <w:p w14:paraId="5CD7060F" w14:textId="77777777" w:rsidR="00A5766F" w:rsidRPr="00405303" w:rsidRDefault="00A5766F" w:rsidP="00C15251">
      <w:pPr>
        <w:jc w:val="both"/>
        <w:rPr>
          <w:bCs/>
          <w:color w:val="002060"/>
          <w:sz w:val="16"/>
          <w:szCs w:val="16"/>
        </w:rPr>
      </w:pPr>
      <w:r w:rsidRPr="00405303">
        <w:rPr>
          <w:bCs/>
          <w:color w:val="002060"/>
          <w:sz w:val="16"/>
          <w:szCs w:val="16"/>
        </w:rPr>
        <w:t>В 1914 году от Московской строительно-монтажной фирмы «Инженерное дело» прибыли свыше 600 квалифицированных рабочих во главе с инженером К.П. Хайдуковым. Объявления о наборе на постройку завода инженеров, техников и рабочих печатались в газете «Русское слово». Специалисты приехали из Перми, Москвы, Нижнего Новгорода, Казани. Всего на стройке были заняты 2000 человек. Кредиты на строительство переводились из Главного казначейства в Тамбовскую казенную палату. Первоначально было отпущено 600000 рублей. Всего за три года планировалось освоить 14 миллионов рублей.</w:t>
      </w:r>
    </w:p>
    <w:p w14:paraId="7172E26E" w14:textId="2DBA3D86" w:rsidR="004B4E35" w:rsidRPr="00405303" w:rsidRDefault="009E6F82" w:rsidP="00C15251">
      <w:pPr>
        <w:jc w:val="both"/>
        <w:rPr>
          <w:bCs/>
          <w:color w:val="002060"/>
          <w:sz w:val="16"/>
          <w:szCs w:val="16"/>
        </w:rPr>
      </w:pPr>
      <w:r w:rsidRPr="00405303">
        <w:rPr>
          <w:bCs/>
          <w:color w:val="002060"/>
          <w:sz w:val="16"/>
          <w:szCs w:val="16"/>
        </w:rPr>
        <w:t>Бутовый камень доставлялся из каменоломен Липецка и со станции Грязи.</w:t>
      </w:r>
    </w:p>
    <w:p w14:paraId="5F659629" w14:textId="77777777" w:rsidR="004B4E35" w:rsidRPr="00405303" w:rsidRDefault="009E6F82" w:rsidP="00C15251">
      <w:pPr>
        <w:jc w:val="both"/>
        <w:rPr>
          <w:bCs/>
          <w:color w:val="002060"/>
          <w:sz w:val="16"/>
          <w:szCs w:val="16"/>
        </w:rPr>
      </w:pPr>
      <w:r w:rsidRPr="00405303">
        <w:rPr>
          <w:bCs/>
          <w:color w:val="002060"/>
          <w:sz w:val="16"/>
          <w:szCs w:val="16"/>
        </w:rPr>
        <w:t>Подъездных железнодорожных путей к стройплощадке вначале не было. Для доставки оборудования и материалов была сооружена линия узкой колеи, которая проходила от завода по нынешним улицам Советской, Народной через лес по направлению к макаронной фабрике и до станции Кондауровка по деревянному мосту через Цну. Первыми машинистами узкоколейного локомотива были А.Ф. Покровский, В.Ф. Лудин, А.И. Бурмистров. Железнодорожный мост, давший возможность связать завод с Московско-Рязанской железной дорогой, был построен лишь в 1928 году.</w:t>
      </w:r>
    </w:p>
    <w:p w14:paraId="573E9B01" w14:textId="77777777" w:rsidR="004B4E35" w:rsidRPr="00405303" w:rsidRDefault="009E6F82" w:rsidP="00C15251">
      <w:pPr>
        <w:jc w:val="both"/>
        <w:rPr>
          <w:bCs/>
          <w:color w:val="002060"/>
          <w:sz w:val="16"/>
          <w:szCs w:val="16"/>
        </w:rPr>
      </w:pPr>
      <w:r w:rsidRPr="00405303">
        <w:rPr>
          <w:bCs/>
          <w:color w:val="002060"/>
          <w:sz w:val="16"/>
          <w:szCs w:val="16"/>
        </w:rPr>
        <w:t>На строительстве завода работали люди различных национальностей — русские, татары, латыши, даже военнопленные турки, австрийцы и чехи. На работы принимались и подростки 12 — 14 лет. Они подносили раствор, щебень, копали траншеи. Рабочий день продолжался 12—14 часов.</w:t>
      </w:r>
    </w:p>
    <w:p w14:paraId="17CD55B9" w14:textId="77777777" w:rsidR="004B4E35" w:rsidRPr="00405303" w:rsidRDefault="009E6F82" w:rsidP="00C15251">
      <w:pPr>
        <w:jc w:val="both"/>
        <w:rPr>
          <w:bCs/>
          <w:color w:val="002060"/>
          <w:sz w:val="16"/>
          <w:szCs w:val="16"/>
        </w:rPr>
      </w:pPr>
      <w:r w:rsidRPr="00405303">
        <w:rPr>
          <w:bCs/>
          <w:color w:val="002060"/>
          <w:sz w:val="16"/>
          <w:szCs w:val="16"/>
        </w:rPr>
        <w:t>Строители завода размещались в общих для мужчин и женщин бараках с земляным полом, двухъярусными нарами, где впоследствии также жили и рабочие завода. В амбулатории при хозяйственно-строительной комиссии больных принимал один врач. В окрестных селах свирепствовали инфекционные заболевания.</w:t>
      </w:r>
    </w:p>
    <w:p w14:paraId="3B5E6450" w14:textId="77777777" w:rsidR="004B4E35" w:rsidRPr="00405303" w:rsidRDefault="009E6F82" w:rsidP="00C15251">
      <w:pPr>
        <w:jc w:val="both"/>
        <w:rPr>
          <w:bCs/>
          <w:color w:val="002060"/>
          <w:sz w:val="16"/>
          <w:szCs w:val="16"/>
        </w:rPr>
      </w:pPr>
      <w:r w:rsidRPr="00405303">
        <w:rPr>
          <w:bCs/>
          <w:color w:val="002060"/>
          <w:sz w:val="16"/>
          <w:szCs w:val="16"/>
        </w:rPr>
        <w:t xml:space="preserve">В сентябре 1915 года исполняющий обязанности председателя хозяйственно-строительной комиссии и начальника завода полковник Скосырский приступил к формированию штата инженерно-технических работников и рабочих завода. Временный штат Тамбовского завода </w:t>
      </w:r>
      <w:proofErr w:type="gramStart"/>
      <w:r w:rsidRPr="00405303">
        <w:rPr>
          <w:bCs/>
          <w:color w:val="002060"/>
          <w:sz w:val="16"/>
          <w:szCs w:val="16"/>
        </w:rPr>
        <w:t>был Высочайше</w:t>
      </w:r>
      <w:proofErr w:type="gramEnd"/>
      <w:r w:rsidRPr="00405303">
        <w:rPr>
          <w:bCs/>
          <w:color w:val="002060"/>
          <w:sz w:val="16"/>
          <w:szCs w:val="16"/>
        </w:rPr>
        <w:t xml:space="preserve"> утвержден 3 ноября 1915 года.</w:t>
      </w:r>
    </w:p>
    <w:p w14:paraId="2F3B1D31" w14:textId="77777777" w:rsidR="004B4E35" w:rsidRPr="00405303" w:rsidRDefault="009E6F82" w:rsidP="00C15251">
      <w:pPr>
        <w:jc w:val="both"/>
        <w:rPr>
          <w:bCs/>
          <w:color w:val="002060"/>
          <w:sz w:val="16"/>
          <w:szCs w:val="16"/>
        </w:rPr>
      </w:pPr>
      <w:r w:rsidRPr="00405303">
        <w:rPr>
          <w:bCs/>
          <w:color w:val="002060"/>
          <w:sz w:val="16"/>
          <w:szCs w:val="16"/>
        </w:rPr>
        <w:t>Для обеспечения функционирования завода создаются механический, строительный, хозяйственный, административный отделы, канцелярия, бухгалтерия, чертежная архитектора завода.</w:t>
      </w:r>
    </w:p>
    <w:p w14:paraId="09DBA943" w14:textId="77777777" w:rsidR="004B4E35" w:rsidRPr="00405303" w:rsidRDefault="009E6F82" w:rsidP="00C15251">
      <w:pPr>
        <w:jc w:val="both"/>
        <w:rPr>
          <w:bCs/>
          <w:color w:val="002060"/>
          <w:sz w:val="16"/>
          <w:szCs w:val="16"/>
        </w:rPr>
      </w:pPr>
      <w:r w:rsidRPr="00405303">
        <w:rPr>
          <w:bCs/>
          <w:color w:val="002060"/>
          <w:sz w:val="16"/>
          <w:szCs w:val="16"/>
        </w:rPr>
        <w:t>12 ноября 1915 года первым приказом по заводу было объявле­но о начале его действия.</w:t>
      </w:r>
    </w:p>
    <w:p w14:paraId="4AF91541" w14:textId="77777777" w:rsidR="004B4E35" w:rsidRPr="00405303" w:rsidRDefault="009E6F82" w:rsidP="00C15251">
      <w:pPr>
        <w:jc w:val="both"/>
        <w:rPr>
          <w:bCs/>
          <w:color w:val="002060"/>
          <w:sz w:val="16"/>
          <w:szCs w:val="16"/>
        </w:rPr>
      </w:pPr>
      <w:r w:rsidRPr="00405303">
        <w:rPr>
          <w:bCs/>
          <w:color w:val="002060"/>
          <w:sz w:val="16"/>
          <w:szCs w:val="16"/>
        </w:rPr>
        <w:t>В 1927 году на заводе начинаются организация новых цехов, которые стали базой для основного производства. Годы первой пятилетки характеризуются большим размахом строительства.</w:t>
      </w:r>
    </w:p>
    <w:p w14:paraId="50B13501" w14:textId="77777777" w:rsidR="004B4E35" w:rsidRPr="00405303" w:rsidRDefault="009E6F82" w:rsidP="00C15251">
      <w:pPr>
        <w:jc w:val="both"/>
        <w:rPr>
          <w:bCs/>
          <w:color w:val="002060"/>
          <w:sz w:val="16"/>
          <w:szCs w:val="16"/>
        </w:rPr>
      </w:pPr>
      <w:r w:rsidRPr="00405303">
        <w:rPr>
          <w:bCs/>
          <w:color w:val="002060"/>
          <w:sz w:val="16"/>
          <w:szCs w:val="16"/>
        </w:rPr>
        <w:t>В 1930 году введен в эксплуатацию 1-й цех, в 31-м — сернокислотный, в 32-м — третье производство.</w:t>
      </w:r>
    </w:p>
    <w:p w14:paraId="394B51C3" w14:textId="77777777" w:rsidR="004B4E35" w:rsidRPr="00405303" w:rsidRDefault="009E6F82" w:rsidP="00C15251">
      <w:pPr>
        <w:jc w:val="both"/>
        <w:rPr>
          <w:bCs/>
          <w:color w:val="002060"/>
          <w:sz w:val="16"/>
          <w:szCs w:val="16"/>
        </w:rPr>
      </w:pPr>
      <w:r w:rsidRPr="00405303">
        <w:rPr>
          <w:bCs/>
          <w:color w:val="002060"/>
          <w:sz w:val="16"/>
          <w:szCs w:val="16"/>
        </w:rPr>
        <w:t>Строятся вспомогательные службы — железнодорожные пути, склады, электростанция. Южная часть завода приступает к производству основной продукции на базе смонтированных в 1915—1916 годах фаз. А первый выпуск порохов по полному цик­лу осуществлен в феврале 1932 года.</w:t>
      </w:r>
    </w:p>
    <w:p w14:paraId="198C7CFC" w14:textId="77777777" w:rsidR="004B4E35" w:rsidRPr="00405303" w:rsidRDefault="009E6F82" w:rsidP="00C15251">
      <w:pPr>
        <w:jc w:val="both"/>
        <w:rPr>
          <w:bCs/>
          <w:color w:val="002060"/>
          <w:sz w:val="16"/>
          <w:szCs w:val="16"/>
        </w:rPr>
      </w:pPr>
      <w:r w:rsidRPr="00405303">
        <w:rPr>
          <w:bCs/>
          <w:color w:val="002060"/>
          <w:sz w:val="16"/>
          <w:szCs w:val="16"/>
        </w:rPr>
        <w:t>В апреле 1933 года начато производство целлулоида —триплексного, технического, галантерейного.</w:t>
      </w:r>
    </w:p>
    <w:p w14:paraId="3DA38C8A" w14:textId="77777777" w:rsidR="004B4E35" w:rsidRPr="00405303" w:rsidRDefault="009E6F82" w:rsidP="00C15251">
      <w:pPr>
        <w:jc w:val="both"/>
        <w:rPr>
          <w:bCs/>
          <w:color w:val="002060"/>
          <w:sz w:val="16"/>
          <w:szCs w:val="16"/>
        </w:rPr>
      </w:pPr>
      <w:r w:rsidRPr="00405303">
        <w:rPr>
          <w:bCs/>
          <w:color w:val="002060"/>
          <w:sz w:val="16"/>
          <w:szCs w:val="16"/>
        </w:rPr>
        <w:t>Рост объемов производства с 1931 по 1935 год составил более 160%. Темпы развернувшегося строительства и реконструкции завода потребовали от коллектива большой творческой работы, появилась необходимость в квалифицированных кадрах. Эту задачу тоже пришлось решать заводу. Идет подготовка специалистов в ФЗУ. В 1931 году все учебные заведения завода объединены в учебный комбинат, который в 1933 году реорганизуется в отдел подготовки кадров. Его окончили В. Карлинский, Н. Лободанов, В. Пошухонина, И. Дьячков.</w:t>
      </w:r>
    </w:p>
    <w:p w14:paraId="46535E6D" w14:textId="77777777" w:rsidR="004B4E35" w:rsidRPr="00405303" w:rsidRDefault="009E6F82" w:rsidP="00C15251">
      <w:pPr>
        <w:jc w:val="both"/>
        <w:rPr>
          <w:bCs/>
          <w:color w:val="002060"/>
          <w:sz w:val="16"/>
          <w:szCs w:val="16"/>
        </w:rPr>
      </w:pPr>
      <w:r w:rsidRPr="00405303">
        <w:rPr>
          <w:bCs/>
          <w:color w:val="002060"/>
          <w:sz w:val="16"/>
          <w:szCs w:val="16"/>
        </w:rPr>
        <w:t>С 1927 по 1935 год начальниками завода были М. Моисеев, Ш. Зайденберг, П. Козловский.</w:t>
      </w:r>
    </w:p>
    <w:p w14:paraId="075A62B4" w14:textId="77777777" w:rsidR="004B4E35" w:rsidRPr="00405303" w:rsidRDefault="009E6F82" w:rsidP="00C15251">
      <w:pPr>
        <w:jc w:val="both"/>
        <w:rPr>
          <w:bCs/>
          <w:color w:val="002060"/>
          <w:sz w:val="16"/>
          <w:szCs w:val="16"/>
        </w:rPr>
      </w:pPr>
      <w:r w:rsidRPr="00405303">
        <w:rPr>
          <w:bCs/>
          <w:color w:val="002060"/>
          <w:sz w:val="16"/>
          <w:szCs w:val="16"/>
        </w:rPr>
        <w:t>Приход в Германии к власти фашистов, непрерывно нарастающая угроза войны требовали быстрого развития оборонных отраслей. Основной задачей для коллектива завода в то время было, не снижая объемов текущего производства, создать условия устойчивой и экономичной работы в мобилизационный период, повысить производительность труда. Поэтому вплоть до начала Великой Отечественной войны шла реконструкция отдельных цехов, интенсификация процессов.</w:t>
      </w:r>
    </w:p>
    <w:p w14:paraId="31894478" w14:textId="77777777" w:rsidR="004B4E35" w:rsidRPr="00405303" w:rsidRDefault="009E6F82" w:rsidP="00C15251">
      <w:pPr>
        <w:jc w:val="both"/>
        <w:rPr>
          <w:bCs/>
          <w:color w:val="002060"/>
          <w:sz w:val="16"/>
          <w:szCs w:val="16"/>
        </w:rPr>
      </w:pPr>
      <w:r w:rsidRPr="00405303">
        <w:rPr>
          <w:bCs/>
          <w:color w:val="002060"/>
          <w:sz w:val="16"/>
          <w:szCs w:val="16"/>
        </w:rPr>
        <w:lastRenderedPageBreak/>
        <w:t>Увеличиваются выпуск и освоение новых видов боеприпасов, производство которых к началу войны завод удвоил. В результате мероприятий по реконструкции длительность технологических циклов сократилась в 4 раза. Благодаря внедрению рекуперационной техники снизились расходы на производство.</w:t>
      </w:r>
    </w:p>
    <w:p w14:paraId="7A148875" w14:textId="77777777" w:rsidR="004B4E35" w:rsidRPr="00405303" w:rsidRDefault="009E6F82" w:rsidP="00C15251">
      <w:pPr>
        <w:jc w:val="both"/>
        <w:rPr>
          <w:bCs/>
          <w:color w:val="002060"/>
          <w:sz w:val="16"/>
          <w:szCs w:val="16"/>
        </w:rPr>
      </w:pPr>
      <w:r w:rsidRPr="00405303">
        <w:rPr>
          <w:bCs/>
          <w:color w:val="002060"/>
          <w:sz w:val="16"/>
          <w:szCs w:val="16"/>
        </w:rPr>
        <w:t>В 1936 году начато производство изделий из целлулоида.</w:t>
      </w:r>
    </w:p>
    <w:p w14:paraId="00C3DAAE" w14:textId="77777777" w:rsidR="004B4E35" w:rsidRPr="00405303" w:rsidRDefault="009E6F82" w:rsidP="00C15251">
      <w:pPr>
        <w:jc w:val="both"/>
        <w:rPr>
          <w:bCs/>
          <w:color w:val="002060"/>
          <w:sz w:val="16"/>
          <w:szCs w:val="16"/>
        </w:rPr>
      </w:pPr>
      <w:r w:rsidRPr="00405303">
        <w:rPr>
          <w:bCs/>
          <w:color w:val="002060"/>
          <w:sz w:val="16"/>
          <w:szCs w:val="16"/>
        </w:rPr>
        <w:t>Численность промышленно-производственного персонала доведена до 8000 человек. Выработка на одного рабочего возросла вдвое. Пример в работе показывают Яковцев, Подледников, Гурова. Они довели выполнение норм выработки до 700 процентов.</w:t>
      </w:r>
    </w:p>
    <w:p w14:paraId="74A90785" w14:textId="77777777" w:rsidR="004B4E35" w:rsidRPr="00405303" w:rsidRDefault="009E6F82" w:rsidP="00C15251">
      <w:pPr>
        <w:jc w:val="both"/>
        <w:rPr>
          <w:bCs/>
          <w:color w:val="002060"/>
          <w:sz w:val="16"/>
          <w:szCs w:val="16"/>
        </w:rPr>
      </w:pPr>
      <w:r w:rsidRPr="00405303">
        <w:rPr>
          <w:bCs/>
          <w:color w:val="002060"/>
          <w:sz w:val="16"/>
          <w:szCs w:val="16"/>
        </w:rPr>
        <w:t xml:space="preserve">Больших успехов добивается коллектив завода. Задание правительства выполнено по всем показателям. </w:t>
      </w:r>
    </w:p>
    <w:p w14:paraId="13927002" w14:textId="77777777" w:rsidR="004B4E35" w:rsidRPr="00405303" w:rsidRDefault="009E6F82" w:rsidP="00C15251">
      <w:pPr>
        <w:jc w:val="both"/>
        <w:rPr>
          <w:bCs/>
          <w:color w:val="002060"/>
          <w:sz w:val="16"/>
          <w:szCs w:val="16"/>
        </w:rPr>
      </w:pPr>
      <w:r w:rsidRPr="00405303">
        <w:rPr>
          <w:bCs/>
          <w:color w:val="002060"/>
          <w:sz w:val="16"/>
          <w:szCs w:val="16"/>
        </w:rPr>
        <w:t xml:space="preserve">Указом Президиума Верховного Совета СССР награждены: </w:t>
      </w:r>
    </w:p>
    <w:p w14:paraId="73DFB0F3" w14:textId="77777777" w:rsidR="004B4E35" w:rsidRPr="00405303" w:rsidRDefault="009E6F82" w:rsidP="00C15251">
      <w:pPr>
        <w:jc w:val="both"/>
        <w:rPr>
          <w:bCs/>
          <w:color w:val="002060"/>
          <w:sz w:val="16"/>
          <w:szCs w:val="16"/>
        </w:rPr>
      </w:pPr>
      <w:r w:rsidRPr="00405303">
        <w:rPr>
          <w:bCs/>
          <w:color w:val="002060"/>
          <w:sz w:val="16"/>
          <w:szCs w:val="16"/>
        </w:rPr>
        <w:t xml:space="preserve">орденом Ленина — Фекла Сергеевна Сергеева, </w:t>
      </w:r>
    </w:p>
    <w:p w14:paraId="67944B44" w14:textId="77777777" w:rsidR="004B4E35" w:rsidRPr="00405303" w:rsidRDefault="009E6F82" w:rsidP="00C15251">
      <w:pPr>
        <w:jc w:val="both"/>
        <w:rPr>
          <w:bCs/>
          <w:color w:val="002060"/>
          <w:sz w:val="16"/>
          <w:szCs w:val="16"/>
        </w:rPr>
      </w:pPr>
      <w:r w:rsidRPr="00405303">
        <w:rPr>
          <w:bCs/>
          <w:color w:val="002060"/>
          <w:sz w:val="16"/>
          <w:szCs w:val="16"/>
        </w:rPr>
        <w:t xml:space="preserve">орденами Трудового Красно­го Знамени — А. Абакумов, Г. Балашов, </w:t>
      </w:r>
    </w:p>
    <w:p w14:paraId="3F186C9C" w14:textId="77777777" w:rsidR="004B4E35" w:rsidRPr="00405303" w:rsidRDefault="009E6F82" w:rsidP="00C15251">
      <w:pPr>
        <w:jc w:val="both"/>
        <w:rPr>
          <w:bCs/>
          <w:color w:val="002060"/>
          <w:sz w:val="16"/>
          <w:szCs w:val="16"/>
        </w:rPr>
      </w:pPr>
      <w:r w:rsidRPr="00405303">
        <w:rPr>
          <w:bCs/>
          <w:color w:val="002060"/>
          <w:sz w:val="16"/>
          <w:szCs w:val="16"/>
        </w:rPr>
        <w:t xml:space="preserve">орденом Красной Звезды — Е. Лукьянов. </w:t>
      </w:r>
    </w:p>
    <w:p w14:paraId="270B6EA5" w14:textId="77777777" w:rsidR="004B4E35" w:rsidRPr="00405303" w:rsidRDefault="009E6F82" w:rsidP="00C15251">
      <w:pPr>
        <w:jc w:val="both"/>
        <w:rPr>
          <w:bCs/>
          <w:color w:val="002060"/>
          <w:sz w:val="16"/>
          <w:szCs w:val="16"/>
        </w:rPr>
      </w:pPr>
      <w:r w:rsidRPr="00405303">
        <w:rPr>
          <w:bCs/>
          <w:color w:val="002060"/>
          <w:sz w:val="16"/>
          <w:szCs w:val="16"/>
        </w:rPr>
        <w:t>Многие заводчане награждены медалями.</w:t>
      </w:r>
    </w:p>
    <w:p w14:paraId="7CA07ED6" w14:textId="77777777" w:rsidR="004B4E35" w:rsidRPr="00405303" w:rsidRDefault="009E6F82" w:rsidP="00C15251">
      <w:pPr>
        <w:jc w:val="both"/>
        <w:rPr>
          <w:bCs/>
          <w:color w:val="002060"/>
          <w:sz w:val="16"/>
          <w:szCs w:val="16"/>
        </w:rPr>
      </w:pPr>
      <w:r w:rsidRPr="00405303">
        <w:rPr>
          <w:bCs/>
          <w:color w:val="002060"/>
          <w:sz w:val="16"/>
          <w:szCs w:val="16"/>
        </w:rPr>
        <w:t>Всерьез начинается подготовка собственных кадров. Перед самой войной 20 июня 1941 года на базе завода открывается техникум. Открыто ремесленное училище.</w:t>
      </w:r>
    </w:p>
    <w:p w14:paraId="342EE236" w14:textId="77777777" w:rsidR="004B4E35" w:rsidRPr="00405303" w:rsidRDefault="009E6F82" w:rsidP="00C15251">
      <w:pPr>
        <w:jc w:val="both"/>
        <w:rPr>
          <w:bCs/>
          <w:color w:val="002060"/>
          <w:sz w:val="16"/>
          <w:szCs w:val="16"/>
        </w:rPr>
      </w:pPr>
      <w:r w:rsidRPr="00405303">
        <w:rPr>
          <w:bCs/>
          <w:color w:val="002060"/>
          <w:sz w:val="16"/>
          <w:szCs w:val="16"/>
        </w:rPr>
        <w:t>Улучшились экономические показатели работы завода. Перестает расти себестоимость продукции, с 1936 по 1940 год получена прибыль более 5 миллионов рублей.</w:t>
      </w:r>
    </w:p>
    <w:p w14:paraId="05A8FEDF" w14:textId="77777777" w:rsidR="004B4E35" w:rsidRPr="00405303" w:rsidRDefault="009E6F82" w:rsidP="00C15251">
      <w:pPr>
        <w:jc w:val="both"/>
        <w:rPr>
          <w:bCs/>
          <w:color w:val="002060"/>
          <w:sz w:val="16"/>
          <w:szCs w:val="16"/>
        </w:rPr>
      </w:pPr>
      <w:r w:rsidRPr="00405303">
        <w:rPr>
          <w:bCs/>
          <w:color w:val="002060"/>
          <w:sz w:val="16"/>
          <w:szCs w:val="16"/>
        </w:rPr>
        <w:t>К концу тридцатых годов площадь жилья поселка, который 16 апреля 1940 года становится городом Котовском, увеличивается в 10 раз. Население — более 16 тысяч человек.</w:t>
      </w:r>
    </w:p>
    <w:p w14:paraId="3F466EE7" w14:textId="77777777" w:rsidR="004B4E35" w:rsidRPr="00405303" w:rsidRDefault="009E6F82" w:rsidP="00C15251">
      <w:pPr>
        <w:jc w:val="both"/>
        <w:rPr>
          <w:bCs/>
          <w:color w:val="002060"/>
          <w:sz w:val="16"/>
          <w:szCs w:val="16"/>
        </w:rPr>
      </w:pPr>
      <w:r w:rsidRPr="00405303">
        <w:rPr>
          <w:bCs/>
          <w:color w:val="002060"/>
          <w:sz w:val="16"/>
          <w:szCs w:val="16"/>
        </w:rPr>
        <w:t>Начальники завода в то время — Н. Семенов и М. Дынкин (11831).</w:t>
      </w:r>
    </w:p>
    <w:p w14:paraId="0C196F1C" w14:textId="77777777" w:rsidR="004B4E35" w:rsidRPr="00405303" w:rsidRDefault="004B4E35" w:rsidP="00C15251">
      <w:pPr>
        <w:pStyle w:val="a3"/>
        <w:jc w:val="both"/>
        <w:rPr>
          <w:bCs/>
          <w:i w:val="0"/>
          <w:color w:val="002060"/>
          <w:spacing w:val="0"/>
          <w:kern w:val="0"/>
          <w:position w:val="0"/>
          <w:sz w:val="16"/>
          <w:szCs w:val="16"/>
        </w:rPr>
      </w:pPr>
    </w:p>
    <w:p w14:paraId="0A85663B" w14:textId="42A885A6" w:rsidR="004B4E35" w:rsidRPr="00405303" w:rsidRDefault="00A5766F"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марте 1915 года </w:t>
      </w:r>
      <w:r w:rsidRPr="00405303">
        <w:rPr>
          <w:bCs/>
          <w:color w:val="002060"/>
          <w:sz w:val="16"/>
          <w:szCs w:val="16"/>
        </w:rPr>
        <w:t xml:space="preserve">крупная российская торгово-промышленная буржуазия, напуганная поражениями русской армии на фронте, ростом революционного движения и недовольная общей политикой царского правительства, создала </w:t>
      </w:r>
      <w:r w:rsidR="009E6F82" w:rsidRPr="00405303">
        <w:rPr>
          <w:bCs/>
          <w:color w:val="002060"/>
          <w:sz w:val="16"/>
          <w:szCs w:val="16"/>
        </w:rPr>
        <w:t>свои организации, так называемые военно-промышленные комитеты (ВПК), целью которых являлось объединение промышленников, снабжавших армию боеприпасами, военным снаряжением и другими материальными средствами. Были созданы 33 губернских ВПК, объединивших 220 уездных. ВПК привлекли к обслуживанию армии 1300 средних и мелких промышленных предприятий и создали 120 собственных заводов и мастерских. При Центральном ВПК была образована нефтяная секция, которая занималась вопросами снабжения и доставки нефтепродуктов, участвовала в выработке твердых цен. В нефтяной промышленности следует отметить Бакинский ВПК, который возглавлял А.О. Гукасов — председатель Совета съезда бакинских промышленников и глава «Каспийского товарищества», и Грозненский ВПК во главе с А.М. Коншиным — председателем съезда терских нефтепромышленников.</w:t>
      </w:r>
    </w:p>
    <w:p w14:paraId="3AAF940A" w14:textId="77777777" w:rsidR="004B4E35" w:rsidRPr="00405303" w:rsidRDefault="009E6F82" w:rsidP="00C15251">
      <w:pPr>
        <w:jc w:val="both"/>
        <w:rPr>
          <w:bCs/>
          <w:color w:val="002060"/>
          <w:sz w:val="16"/>
          <w:szCs w:val="16"/>
        </w:rPr>
      </w:pPr>
      <w:r w:rsidRPr="00405303">
        <w:rPr>
          <w:bCs/>
          <w:color w:val="002060"/>
          <w:sz w:val="16"/>
          <w:szCs w:val="16"/>
        </w:rPr>
        <w:t>Военно-промышленные комитеты не являлись органами государственного регулирования. Однако они в какой-то мере пытались противодействовать крупным нефтяным компаниям в их попытках взять на себя полное руководство отраслью, пытались разрешить «керосиновый голод», вскрыв его причины, не связанные, кстати, с недостатком ресурсов, а зависевшие только от перегруженности железных дорог, принимали меры к повышению оборота цистерн и т.д. ВПК заставили обратить внимание на постоянное сокращение буровых работ, предупреждая, что это неминуемо приведет к падению добычи нефти, что на самом деле в конце концов и произошло. Прав и возможностей изменить положение у ВПК не было, да и представляли они в конечном счете самих нефтепромышленников, но деятели ВПК искренне желали помочь русской армии: не будем забывать, что война была империалистической, войной за рынки, и молодая российская буржуазия, естественно, отстаивала в ней свои национальные интересы. Так что следует отдать должное пониманию со стороны ВПК нужд обороны и их серьезные намерения улучшить состояние дел в военном ведомстве. Об этом свидетельствует и резолюция, принятая первым съездом представителей ВПК, состоявшимся 25—27 июля 1915 года под председательством А.И.Гучкова, возглавлявшего тогда Центральный ВПК.</w:t>
      </w:r>
    </w:p>
    <w:p w14:paraId="7CCF1CB8" w14:textId="77777777" w:rsidR="004B4E35" w:rsidRPr="00405303" w:rsidRDefault="009E6F82" w:rsidP="00C15251">
      <w:pPr>
        <w:jc w:val="both"/>
        <w:rPr>
          <w:bCs/>
          <w:color w:val="002060"/>
          <w:sz w:val="16"/>
          <w:szCs w:val="16"/>
        </w:rPr>
      </w:pPr>
      <w:r w:rsidRPr="00405303">
        <w:rPr>
          <w:bCs/>
          <w:color w:val="002060"/>
          <w:sz w:val="16"/>
          <w:szCs w:val="16"/>
        </w:rPr>
        <w:t>«Съезд признает, что при существующем строе хозяйственных учреждений военного ведомства… задача удовлетворительного снабжения армии не может быть достигнута. Необходимо полное обновление всего этого строя и отдельных его органов и приспособление их к нуждам армии и условиям промышленности». Съезд предлагал создать в составе Военного министерства «особое совещание, в состав которого кроме представителей законодательных учреждений и правительственных ведомств должны войти представители военно-промышленных комитетов, всероссийских союзов земств и городов и рабочих… Во главе таковых органов должны быть поставлены представители военного ведомства при непременном участии в них представителей военно-промышленных комитетов и Всероссийского союза земств и городов» (Цит. по журналу «Нива». 1915. № 32. С. 608. Что касается рабочих, представителей которых предлагалось включить в Особое совещание при помощнике министра, то это не более чем риторика, учитывая нараставшее революционное движение на фабриках и заводах, в том числе и в нефтедобывающей отрасли.</w:t>
      </w:r>
    </w:p>
    <w:p w14:paraId="308DBDEC" w14:textId="77777777" w:rsidR="004B4E35" w:rsidRPr="00405303" w:rsidRDefault="009E6F82" w:rsidP="00C15251">
      <w:pPr>
        <w:jc w:val="both"/>
        <w:rPr>
          <w:bCs/>
          <w:color w:val="002060"/>
          <w:sz w:val="16"/>
          <w:szCs w:val="16"/>
        </w:rPr>
      </w:pPr>
      <w:r w:rsidRPr="00405303">
        <w:rPr>
          <w:bCs/>
          <w:color w:val="002060"/>
          <w:sz w:val="16"/>
          <w:szCs w:val="16"/>
        </w:rPr>
        <w:t>Съездом была послана приветственная телеграмма Верховному главнокомандующему, на которую в последний день заседания А.И. Гучков получил следующий ответ: «Очень тронут и сердечно благодарю за выраженные чувства представителями военно-промышленных комитетов империи, собравшимися на съезд. От вашей плодотворной, быстрой, дружной работы зависит наш успех.</w:t>
      </w:r>
    </w:p>
    <w:p w14:paraId="48BBE2F9" w14:textId="77777777" w:rsidR="004B4E35" w:rsidRPr="00405303" w:rsidRDefault="009E6F82" w:rsidP="00C15251">
      <w:pPr>
        <w:jc w:val="both"/>
        <w:rPr>
          <w:bCs/>
          <w:color w:val="002060"/>
          <w:sz w:val="16"/>
          <w:szCs w:val="16"/>
        </w:rPr>
      </w:pPr>
      <w:r w:rsidRPr="00405303">
        <w:rPr>
          <w:bCs/>
          <w:color w:val="002060"/>
          <w:sz w:val="16"/>
          <w:szCs w:val="16"/>
        </w:rPr>
        <w:t>Генерал-адъютант Николай») (11178).</w:t>
      </w:r>
    </w:p>
    <w:p w14:paraId="6AFF34EF" w14:textId="77777777" w:rsidR="004B4E35" w:rsidRPr="00405303" w:rsidRDefault="004B4E35" w:rsidP="00C15251">
      <w:pPr>
        <w:jc w:val="both"/>
        <w:rPr>
          <w:bCs/>
          <w:color w:val="002060"/>
          <w:sz w:val="16"/>
          <w:szCs w:val="16"/>
        </w:rPr>
      </w:pPr>
    </w:p>
    <w:p w14:paraId="010A7570" w14:textId="73A7407F" w:rsidR="004B4E35" w:rsidRPr="00405303" w:rsidRDefault="00EC0D8E"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марте 1915 г. ГАУ извещает </w:t>
      </w:r>
      <w:r w:rsidRPr="00405303">
        <w:rPr>
          <w:bCs/>
          <w:color w:val="002060"/>
          <w:sz w:val="16"/>
          <w:szCs w:val="16"/>
        </w:rPr>
        <w:t xml:space="preserve">Самарский трубочный </w:t>
      </w:r>
      <w:r w:rsidR="009E6F82" w:rsidRPr="00405303">
        <w:rPr>
          <w:bCs/>
          <w:color w:val="002060"/>
          <w:sz w:val="16"/>
          <w:szCs w:val="16"/>
        </w:rPr>
        <w:t xml:space="preserve">завод, что ввиду тяжелых условий добычи и доставки минерального топлива из Донецкого бассейна уголь, антрацит и кокс будут отпускаться заводу в самом ограниченном количестве и что необходимо принимать меры к переходу на другие виды топлива — дерево, торф и т. д. В работу завода это внесло большие осложнения, так как потребность в топливе была весьма велика, в 1916 г. — угля до 3 000 000 пудов в год и нефтяных остатков до 1 200 000 пудов. </w:t>
      </w:r>
    </w:p>
    <w:p w14:paraId="0948033C" w14:textId="77777777" w:rsidR="004B4E35" w:rsidRPr="00405303" w:rsidRDefault="009E6F82" w:rsidP="00C15251">
      <w:pPr>
        <w:jc w:val="both"/>
        <w:rPr>
          <w:bCs/>
          <w:color w:val="002060"/>
          <w:sz w:val="16"/>
          <w:szCs w:val="16"/>
        </w:rPr>
      </w:pPr>
      <w:r w:rsidRPr="00405303">
        <w:rPr>
          <w:bCs/>
          <w:color w:val="002060"/>
          <w:sz w:val="16"/>
          <w:szCs w:val="16"/>
        </w:rPr>
        <w:t xml:space="preserve">Весьма острую нужду терпел завод и в инженерах. Так как специальность производство трубок — чисто военная, то опытных трубочников нигде вне двух трубочных заводов, Петроградского и Самарского, не имелось. При этом надо отметить, что Самарский завод, открывший работы лишь незадолго до начала войны, был комплектован инженерами того же Петроградского трубочного завода. Таким образом, перед самой войной почти единственный трубочный завод был обеднен инженерами. Между тем быстрое и колоссальное по масштабу разворачивание такого тонкого, капризного и ответственного производства требовало значительного усиления технического штата, и пополнять его было некем. </w:t>
      </w:r>
    </w:p>
    <w:p w14:paraId="2AB0DB75" w14:textId="77777777" w:rsidR="004B4E35" w:rsidRPr="00405303" w:rsidRDefault="009E6F82" w:rsidP="00C15251">
      <w:pPr>
        <w:jc w:val="both"/>
        <w:rPr>
          <w:bCs/>
          <w:color w:val="002060"/>
          <w:sz w:val="16"/>
          <w:szCs w:val="16"/>
        </w:rPr>
      </w:pPr>
      <w:r w:rsidRPr="00405303">
        <w:rPr>
          <w:bCs/>
          <w:color w:val="002060"/>
          <w:sz w:val="16"/>
          <w:szCs w:val="16"/>
        </w:rPr>
        <w:t xml:space="preserve">Тяжесть положения усугублялась еще тем, что заводских инженеров приходилось отвлекать от производства и посылать по России и за границу для реквизиции и покупки оборудования. В довершение всего в 1914 г. была предпринята постройка 3-го трубочного завода и туда также пришлось взять с того же Петроградского трубочного завода двух высокоопытных инженеров. </w:t>
      </w:r>
    </w:p>
    <w:p w14:paraId="5DDFE17E" w14:textId="77777777" w:rsidR="004B4E35" w:rsidRPr="00405303" w:rsidRDefault="009E6F82" w:rsidP="00C15251">
      <w:pPr>
        <w:jc w:val="both"/>
        <w:rPr>
          <w:bCs/>
          <w:color w:val="002060"/>
          <w:sz w:val="16"/>
          <w:szCs w:val="16"/>
        </w:rPr>
      </w:pPr>
      <w:r w:rsidRPr="00405303">
        <w:rPr>
          <w:bCs/>
          <w:color w:val="002060"/>
          <w:sz w:val="16"/>
          <w:szCs w:val="16"/>
        </w:rPr>
        <w:t xml:space="preserve">Петроградский трубочный завод обратился в ГАУ и просил командировать в его распоряжение до 10 человек окончивших Артиллерийскую академию. Но эта просьба удовлетворена была в очень скромной мере — дали только двух человек. Поэтому завод вынужден был пополнять технический состав инженерами гражданских специальностей. Между тем большинство военных производств, и трубочное в особенности, требуют от инженера не только знания узкотехнологической стороны дела, но и основательного знакомства с важнейшими артиллерийскими дисциплинами, как-то: баллистикой внутренней и внешней, теорией стрельбы, теорией взрывчатых веществ и пр. Без всего этого багажа знаний инженер может нести в военном заводе лишь работу узкого масштаба, либо на вспомогательных производствах, либо в основном производстве на второстепенных ролях. Ко всему, в трубочном деле еще требуется хорошее знание методики точного массового производства, каковое в гражданской промышленности почти отсутствует или имеет крайне ограниченное применение и ни масштабом, ни сложностью, ни глубиной точности не походит на производства, подобные трубочному, ружейному и др. В итоге Петроградский трубочный завод всю войну переживал острый кризис в отношении технической </w:t>
      </w:r>
      <w:proofErr w:type="gramStart"/>
      <w:r w:rsidRPr="00405303">
        <w:rPr>
          <w:bCs/>
          <w:color w:val="002060"/>
          <w:sz w:val="16"/>
          <w:szCs w:val="16"/>
        </w:rPr>
        <w:t>силы, несмотря на то, что</w:t>
      </w:r>
      <w:proofErr w:type="gramEnd"/>
      <w:r w:rsidRPr="00405303">
        <w:rPr>
          <w:bCs/>
          <w:color w:val="002060"/>
          <w:sz w:val="16"/>
          <w:szCs w:val="16"/>
        </w:rPr>
        <w:t xml:space="preserve"> численно она была велика, так как в течение войны было взято большое число гражданских инженеров. За малым исключением, это была молодежь, имеющая вообще весьма малый стаж инженерной работы. </w:t>
      </w:r>
    </w:p>
    <w:p w14:paraId="70DA99FE" w14:textId="77777777" w:rsidR="004B4E35" w:rsidRPr="00405303" w:rsidRDefault="009E6F82" w:rsidP="00C15251">
      <w:pPr>
        <w:jc w:val="both"/>
        <w:rPr>
          <w:bCs/>
          <w:color w:val="002060"/>
          <w:sz w:val="16"/>
          <w:szCs w:val="16"/>
        </w:rPr>
      </w:pPr>
      <w:r w:rsidRPr="00405303">
        <w:rPr>
          <w:bCs/>
          <w:color w:val="002060"/>
          <w:sz w:val="16"/>
          <w:szCs w:val="16"/>
        </w:rPr>
        <w:t xml:space="preserve">Непрерывное и быстрое разворачивание во время войны работы Петроградского трубочного завода до пределов, многократно превосходящих пропускную способность завода по мирному времени, требовало непрерывного и интенсивного найма рабочих. В связи с этим с первых же дней возникли затруднения с приисканием квалифицированной рабочей силы, слесарей, токарей и особенно слесарей-лекальщиков. Предложений на эти категории на рынке не было. Для выхода </w:t>
      </w:r>
      <w:r w:rsidRPr="00405303">
        <w:rPr>
          <w:bCs/>
          <w:color w:val="002060"/>
          <w:sz w:val="16"/>
          <w:szCs w:val="16"/>
        </w:rPr>
        <w:lastRenderedPageBreak/>
        <w:t xml:space="preserve">из положения завод организовал подготовку рабочих по этим специальностям у себя. Для предотвращения убыли квалифицированной силы в связи с призывом на фронт очередных сроков завод возбудил ходатайство об освобождении от призыва нужных ему рабочих элементов. </w:t>
      </w:r>
    </w:p>
    <w:p w14:paraId="0D528722" w14:textId="77777777" w:rsidR="004B4E35" w:rsidRPr="00405303" w:rsidRDefault="009E6F82" w:rsidP="00C15251">
      <w:pPr>
        <w:jc w:val="both"/>
        <w:rPr>
          <w:bCs/>
          <w:color w:val="002060"/>
          <w:sz w:val="16"/>
          <w:szCs w:val="16"/>
        </w:rPr>
      </w:pPr>
      <w:r w:rsidRPr="00405303">
        <w:rPr>
          <w:bCs/>
          <w:color w:val="002060"/>
          <w:sz w:val="16"/>
          <w:szCs w:val="16"/>
        </w:rPr>
        <w:t>В отношении неквалифицированных рабочих затруднений не было. Завод применял в большом проценте (до 30) труд женщин. На хозяйственных и легких вспомогательных работах ставились подростки, коих было до 3% (11329).</w:t>
      </w:r>
    </w:p>
    <w:p w14:paraId="3216DF85" w14:textId="77777777" w:rsidR="004B4E35" w:rsidRPr="00405303" w:rsidRDefault="004B4E35" w:rsidP="00C15251">
      <w:pPr>
        <w:jc w:val="both"/>
        <w:rPr>
          <w:bCs/>
          <w:i/>
          <w:color w:val="002060"/>
          <w:sz w:val="16"/>
          <w:szCs w:val="16"/>
        </w:rPr>
      </w:pPr>
    </w:p>
    <w:p w14:paraId="0E733831" w14:textId="59A89A66" w:rsidR="004B4E35" w:rsidRPr="00405303" w:rsidRDefault="00EC0D8E"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марте 1915г. ГАУ предложило </w:t>
      </w:r>
      <w:r w:rsidRPr="00405303">
        <w:rPr>
          <w:bCs/>
          <w:color w:val="002060"/>
          <w:sz w:val="16"/>
          <w:szCs w:val="16"/>
        </w:rPr>
        <w:t>Петроградскому тру</w:t>
      </w:r>
      <w:r w:rsidRPr="00405303">
        <w:rPr>
          <w:bCs/>
          <w:color w:val="002060"/>
          <w:sz w:val="16"/>
          <w:szCs w:val="16"/>
        </w:rPr>
        <w:softHyphen/>
        <w:t>бочному заводу</w:t>
      </w:r>
      <w:r w:rsidR="009E6F82" w:rsidRPr="00405303">
        <w:rPr>
          <w:bCs/>
          <w:color w:val="002060"/>
          <w:sz w:val="16"/>
          <w:szCs w:val="16"/>
        </w:rPr>
        <w:t xml:space="preserve"> переходить с угля и нефти на дрова и торф.</w:t>
      </w:r>
    </w:p>
    <w:p w14:paraId="753F73F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Несмотря на все трудности, Петроградский трубочный завод за время войны выпустил до 19,5 млн дистанционных трубок, свыше 26 млн ударных и обтюрирующих запальных трубок, до 2,5 млн взрывателей, около 18,5 млн капсюльных втулок и т. д. [5, с. 2041.</w:t>
      </w:r>
    </w:p>
    <w:p w14:paraId="1E516FA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Сведения о продукции, выпущенной Петроградским трубочным заводом в годы первой мировой войны, приведены в табл. 1.14.</w:t>
      </w:r>
    </w:p>
    <w:p w14:paraId="3534285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1.14. Выпуск продукции Петроградским трубочным заводом в период 1914—1916 гг. (в тыс. шт.)</w:t>
      </w:r>
    </w:p>
    <w:p w14:paraId="2CFB611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Изделие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197"/>
        <w:gridCol w:w="710"/>
        <w:gridCol w:w="778"/>
        <w:gridCol w:w="806"/>
        <w:gridCol w:w="902"/>
      </w:tblGrid>
      <w:tr w:rsidR="004B4E35" w:rsidRPr="00405303" w14:paraId="0AE564AF" w14:textId="77777777">
        <w:trPr>
          <w:trHeight w:val="269"/>
        </w:trPr>
        <w:tc>
          <w:tcPr>
            <w:tcW w:w="3197" w:type="dxa"/>
          </w:tcPr>
          <w:p w14:paraId="42C7F1D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Дистанционные трубки двойного действия:</w:t>
            </w:r>
          </w:p>
          <w:p w14:paraId="0B959A14" w14:textId="77777777" w:rsidR="004B4E35" w:rsidRPr="00405303" w:rsidRDefault="004B4E35" w:rsidP="00C15251">
            <w:pPr>
              <w:shd w:val="clear" w:color="auto" w:fill="FFFFFF"/>
              <w:jc w:val="both"/>
              <w:rPr>
                <w:bCs/>
                <w:color w:val="002060"/>
                <w:sz w:val="16"/>
                <w:szCs w:val="16"/>
              </w:rPr>
            </w:pPr>
          </w:p>
        </w:tc>
        <w:tc>
          <w:tcPr>
            <w:tcW w:w="710" w:type="dxa"/>
          </w:tcPr>
          <w:p w14:paraId="0544A3F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1914</w:t>
            </w:r>
          </w:p>
          <w:p w14:paraId="35541FFD" w14:textId="77777777" w:rsidR="004B4E35" w:rsidRPr="00405303" w:rsidRDefault="004B4E35" w:rsidP="00C15251">
            <w:pPr>
              <w:shd w:val="clear" w:color="auto" w:fill="FFFFFF"/>
              <w:jc w:val="both"/>
              <w:rPr>
                <w:bCs/>
                <w:color w:val="002060"/>
                <w:sz w:val="16"/>
                <w:szCs w:val="16"/>
              </w:rPr>
            </w:pPr>
          </w:p>
        </w:tc>
        <w:tc>
          <w:tcPr>
            <w:tcW w:w="778" w:type="dxa"/>
          </w:tcPr>
          <w:p w14:paraId="775C092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1915</w:t>
            </w:r>
          </w:p>
          <w:p w14:paraId="20D7C149" w14:textId="77777777" w:rsidR="004B4E35" w:rsidRPr="00405303" w:rsidRDefault="004B4E35" w:rsidP="00C15251">
            <w:pPr>
              <w:shd w:val="clear" w:color="auto" w:fill="FFFFFF"/>
              <w:jc w:val="both"/>
              <w:rPr>
                <w:bCs/>
                <w:color w:val="002060"/>
                <w:sz w:val="16"/>
                <w:szCs w:val="16"/>
              </w:rPr>
            </w:pPr>
          </w:p>
        </w:tc>
        <w:tc>
          <w:tcPr>
            <w:tcW w:w="806" w:type="dxa"/>
          </w:tcPr>
          <w:p w14:paraId="101ED64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1916</w:t>
            </w:r>
          </w:p>
          <w:p w14:paraId="0A0F2395" w14:textId="77777777" w:rsidR="004B4E35" w:rsidRPr="00405303" w:rsidRDefault="004B4E35" w:rsidP="00C15251">
            <w:pPr>
              <w:shd w:val="clear" w:color="auto" w:fill="FFFFFF"/>
              <w:jc w:val="both"/>
              <w:rPr>
                <w:bCs/>
                <w:color w:val="002060"/>
                <w:sz w:val="16"/>
                <w:szCs w:val="16"/>
              </w:rPr>
            </w:pPr>
          </w:p>
        </w:tc>
        <w:tc>
          <w:tcPr>
            <w:tcW w:w="902" w:type="dxa"/>
          </w:tcPr>
          <w:p w14:paraId="01D4D10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Всего</w:t>
            </w:r>
          </w:p>
          <w:p w14:paraId="5C64322A" w14:textId="77777777" w:rsidR="004B4E35" w:rsidRPr="00405303" w:rsidRDefault="004B4E35" w:rsidP="00C15251">
            <w:pPr>
              <w:shd w:val="clear" w:color="auto" w:fill="FFFFFF"/>
              <w:jc w:val="both"/>
              <w:rPr>
                <w:bCs/>
                <w:color w:val="002060"/>
                <w:sz w:val="16"/>
                <w:szCs w:val="16"/>
              </w:rPr>
            </w:pPr>
          </w:p>
        </w:tc>
      </w:tr>
      <w:tr w:rsidR="004B4E35" w:rsidRPr="00405303" w14:paraId="7C2C0821" w14:textId="77777777">
        <w:trPr>
          <w:trHeight w:val="173"/>
        </w:trPr>
        <w:tc>
          <w:tcPr>
            <w:tcW w:w="3197" w:type="dxa"/>
          </w:tcPr>
          <w:p w14:paraId="1D54358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22-секундные новые</w:t>
            </w:r>
          </w:p>
          <w:p w14:paraId="4295B550" w14:textId="77777777" w:rsidR="004B4E35" w:rsidRPr="00405303" w:rsidRDefault="004B4E35" w:rsidP="00C15251">
            <w:pPr>
              <w:shd w:val="clear" w:color="auto" w:fill="FFFFFF"/>
              <w:jc w:val="both"/>
              <w:rPr>
                <w:bCs/>
                <w:color w:val="002060"/>
                <w:sz w:val="16"/>
                <w:szCs w:val="16"/>
              </w:rPr>
            </w:pPr>
          </w:p>
        </w:tc>
        <w:tc>
          <w:tcPr>
            <w:tcW w:w="710" w:type="dxa"/>
          </w:tcPr>
          <w:p w14:paraId="045985E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1 024</w:t>
            </w:r>
          </w:p>
          <w:p w14:paraId="797369A0" w14:textId="77777777" w:rsidR="004B4E35" w:rsidRPr="00405303" w:rsidRDefault="004B4E35" w:rsidP="00C15251">
            <w:pPr>
              <w:shd w:val="clear" w:color="auto" w:fill="FFFFFF"/>
              <w:jc w:val="both"/>
              <w:rPr>
                <w:bCs/>
                <w:color w:val="002060"/>
                <w:sz w:val="16"/>
                <w:szCs w:val="16"/>
              </w:rPr>
            </w:pPr>
          </w:p>
        </w:tc>
        <w:tc>
          <w:tcPr>
            <w:tcW w:w="778" w:type="dxa"/>
          </w:tcPr>
          <w:p w14:paraId="5BA8167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4858</w:t>
            </w:r>
          </w:p>
          <w:p w14:paraId="5A737A86" w14:textId="77777777" w:rsidR="004B4E35" w:rsidRPr="00405303" w:rsidRDefault="004B4E35" w:rsidP="00C15251">
            <w:pPr>
              <w:shd w:val="clear" w:color="auto" w:fill="FFFFFF"/>
              <w:jc w:val="both"/>
              <w:rPr>
                <w:bCs/>
                <w:color w:val="002060"/>
                <w:sz w:val="16"/>
                <w:szCs w:val="16"/>
              </w:rPr>
            </w:pPr>
          </w:p>
        </w:tc>
        <w:tc>
          <w:tcPr>
            <w:tcW w:w="806" w:type="dxa"/>
          </w:tcPr>
          <w:p w14:paraId="1B303A9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7223</w:t>
            </w:r>
          </w:p>
          <w:p w14:paraId="2444EA35" w14:textId="77777777" w:rsidR="004B4E35" w:rsidRPr="00405303" w:rsidRDefault="004B4E35" w:rsidP="00C15251">
            <w:pPr>
              <w:shd w:val="clear" w:color="auto" w:fill="FFFFFF"/>
              <w:jc w:val="both"/>
              <w:rPr>
                <w:bCs/>
                <w:color w:val="002060"/>
                <w:sz w:val="16"/>
                <w:szCs w:val="16"/>
              </w:rPr>
            </w:pPr>
          </w:p>
        </w:tc>
        <w:tc>
          <w:tcPr>
            <w:tcW w:w="902" w:type="dxa"/>
          </w:tcPr>
          <w:p w14:paraId="02D9B8F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13 105</w:t>
            </w:r>
          </w:p>
          <w:p w14:paraId="7598A62D" w14:textId="77777777" w:rsidR="004B4E35" w:rsidRPr="00405303" w:rsidRDefault="004B4E35" w:rsidP="00C15251">
            <w:pPr>
              <w:shd w:val="clear" w:color="auto" w:fill="FFFFFF"/>
              <w:jc w:val="both"/>
              <w:rPr>
                <w:bCs/>
                <w:color w:val="002060"/>
                <w:sz w:val="16"/>
                <w:szCs w:val="16"/>
              </w:rPr>
            </w:pPr>
          </w:p>
        </w:tc>
      </w:tr>
      <w:tr w:rsidR="004B4E35" w:rsidRPr="00405303" w14:paraId="449AAF61" w14:textId="77777777">
        <w:trPr>
          <w:trHeight w:val="173"/>
        </w:trPr>
        <w:tc>
          <w:tcPr>
            <w:tcW w:w="3197" w:type="dxa"/>
          </w:tcPr>
          <w:p w14:paraId="4040CD9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22-секундные переделанные</w:t>
            </w:r>
          </w:p>
          <w:p w14:paraId="111C7147" w14:textId="77777777" w:rsidR="004B4E35" w:rsidRPr="00405303" w:rsidRDefault="004B4E35" w:rsidP="00C15251">
            <w:pPr>
              <w:shd w:val="clear" w:color="auto" w:fill="FFFFFF"/>
              <w:jc w:val="both"/>
              <w:rPr>
                <w:bCs/>
                <w:color w:val="002060"/>
                <w:sz w:val="16"/>
                <w:szCs w:val="16"/>
              </w:rPr>
            </w:pPr>
          </w:p>
        </w:tc>
        <w:tc>
          <w:tcPr>
            <w:tcW w:w="710" w:type="dxa"/>
          </w:tcPr>
          <w:p w14:paraId="0B326C9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329</w:t>
            </w:r>
          </w:p>
          <w:p w14:paraId="287C8E63" w14:textId="77777777" w:rsidR="004B4E35" w:rsidRPr="00405303" w:rsidRDefault="004B4E35" w:rsidP="00C15251">
            <w:pPr>
              <w:shd w:val="clear" w:color="auto" w:fill="FFFFFF"/>
              <w:jc w:val="both"/>
              <w:rPr>
                <w:bCs/>
                <w:color w:val="002060"/>
                <w:sz w:val="16"/>
                <w:szCs w:val="16"/>
              </w:rPr>
            </w:pPr>
          </w:p>
        </w:tc>
        <w:tc>
          <w:tcPr>
            <w:tcW w:w="778" w:type="dxa"/>
          </w:tcPr>
          <w:p w14:paraId="4D6F21E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67</w:t>
            </w:r>
          </w:p>
          <w:p w14:paraId="3B74DF75" w14:textId="77777777" w:rsidR="004B4E35" w:rsidRPr="00405303" w:rsidRDefault="004B4E35" w:rsidP="00C15251">
            <w:pPr>
              <w:shd w:val="clear" w:color="auto" w:fill="FFFFFF"/>
              <w:jc w:val="both"/>
              <w:rPr>
                <w:bCs/>
                <w:color w:val="002060"/>
                <w:sz w:val="16"/>
                <w:szCs w:val="16"/>
              </w:rPr>
            </w:pPr>
          </w:p>
        </w:tc>
        <w:tc>
          <w:tcPr>
            <w:tcW w:w="806" w:type="dxa"/>
          </w:tcPr>
          <w:p w14:paraId="0DAD4FF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93</w:t>
            </w:r>
          </w:p>
          <w:p w14:paraId="4CE2777F" w14:textId="77777777" w:rsidR="004B4E35" w:rsidRPr="00405303" w:rsidRDefault="004B4E35" w:rsidP="00C15251">
            <w:pPr>
              <w:shd w:val="clear" w:color="auto" w:fill="FFFFFF"/>
              <w:jc w:val="both"/>
              <w:rPr>
                <w:bCs/>
                <w:color w:val="002060"/>
                <w:sz w:val="16"/>
                <w:szCs w:val="16"/>
              </w:rPr>
            </w:pPr>
          </w:p>
        </w:tc>
        <w:tc>
          <w:tcPr>
            <w:tcW w:w="902" w:type="dxa"/>
          </w:tcPr>
          <w:p w14:paraId="270F342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489</w:t>
            </w:r>
          </w:p>
          <w:p w14:paraId="0D4FAC89" w14:textId="77777777" w:rsidR="004B4E35" w:rsidRPr="00405303" w:rsidRDefault="004B4E35" w:rsidP="00C15251">
            <w:pPr>
              <w:shd w:val="clear" w:color="auto" w:fill="FFFFFF"/>
              <w:jc w:val="both"/>
              <w:rPr>
                <w:bCs/>
                <w:color w:val="002060"/>
                <w:sz w:val="16"/>
                <w:szCs w:val="16"/>
              </w:rPr>
            </w:pPr>
          </w:p>
        </w:tc>
      </w:tr>
      <w:tr w:rsidR="004B4E35" w:rsidRPr="00405303" w14:paraId="0CFC9A1E" w14:textId="77777777">
        <w:trPr>
          <w:trHeight w:val="163"/>
        </w:trPr>
        <w:tc>
          <w:tcPr>
            <w:tcW w:w="3197" w:type="dxa"/>
          </w:tcPr>
          <w:p w14:paraId="7D46EB2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30-секундные</w:t>
            </w:r>
          </w:p>
          <w:p w14:paraId="24B781D2" w14:textId="77777777" w:rsidR="004B4E35" w:rsidRPr="00405303" w:rsidRDefault="004B4E35" w:rsidP="00C15251">
            <w:pPr>
              <w:shd w:val="clear" w:color="auto" w:fill="FFFFFF"/>
              <w:jc w:val="both"/>
              <w:rPr>
                <w:bCs/>
                <w:color w:val="002060"/>
                <w:sz w:val="16"/>
                <w:szCs w:val="16"/>
              </w:rPr>
            </w:pPr>
          </w:p>
        </w:tc>
        <w:tc>
          <w:tcPr>
            <w:tcW w:w="710" w:type="dxa"/>
          </w:tcPr>
          <w:p w14:paraId="2EFC228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110</w:t>
            </w:r>
          </w:p>
          <w:p w14:paraId="19C5EC64" w14:textId="77777777" w:rsidR="004B4E35" w:rsidRPr="00405303" w:rsidRDefault="004B4E35" w:rsidP="00C15251">
            <w:pPr>
              <w:shd w:val="clear" w:color="auto" w:fill="FFFFFF"/>
              <w:jc w:val="both"/>
              <w:rPr>
                <w:bCs/>
                <w:color w:val="002060"/>
                <w:sz w:val="16"/>
                <w:szCs w:val="16"/>
              </w:rPr>
            </w:pPr>
          </w:p>
        </w:tc>
        <w:tc>
          <w:tcPr>
            <w:tcW w:w="778" w:type="dxa"/>
          </w:tcPr>
          <w:p w14:paraId="590A6D2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w:t>
            </w:r>
          </w:p>
          <w:p w14:paraId="000A4D2F" w14:textId="77777777" w:rsidR="004B4E35" w:rsidRPr="00405303" w:rsidRDefault="004B4E35" w:rsidP="00C15251">
            <w:pPr>
              <w:shd w:val="clear" w:color="auto" w:fill="FFFFFF"/>
              <w:jc w:val="both"/>
              <w:rPr>
                <w:bCs/>
                <w:color w:val="002060"/>
                <w:sz w:val="16"/>
                <w:szCs w:val="16"/>
              </w:rPr>
            </w:pPr>
          </w:p>
        </w:tc>
        <w:tc>
          <w:tcPr>
            <w:tcW w:w="806" w:type="dxa"/>
          </w:tcPr>
          <w:p w14:paraId="263FB9A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w:t>
            </w:r>
          </w:p>
          <w:p w14:paraId="75C1EA46" w14:textId="77777777" w:rsidR="004B4E35" w:rsidRPr="00405303" w:rsidRDefault="004B4E35" w:rsidP="00C15251">
            <w:pPr>
              <w:shd w:val="clear" w:color="auto" w:fill="FFFFFF"/>
              <w:jc w:val="both"/>
              <w:rPr>
                <w:bCs/>
                <w:color w:val="002060"/>
                <w:sz w:val="16"/>
                <w:szCs w:val="16"/>
              </w:rPr>
            </w:pPr>
          </w:p>
        </w:tc>
        <w:tc>
          <w:tcPr>
            <w:tcW w:w="902" w:type="dxa"/>
          </w:tcPr>
          <w:p w14:paraId="2B45662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138</w:t>
            </w:r>
          </w:p>
          <w:p w14:paraId="206CE792" w14:textId="77777777" w:rsidR="004B4E35" w:rsidRPr="00405303" w:rsidRDefault="004B4E35" w:rsidP="00C15251">
            <w:pPr>
              <w:shd w:val="clear" w:color="auto" w:fill="FFFFFF"/>
              <w:jc w:val="both"/>
              <w:rPr>
                <w:bCs/>
                <w:color w:val="002060"/>
                <w:sz w:val="16"/>
                <w:szCs w:val="16"/>
              </w:rPr>
            </w:pPr>
          </w:p>
        </w:tc>
      </w:tr>
      <w:tr w:rsidR="004B4E35" w:rsidRPr="00405303" w14:paraId="5E80510F" w14:textId="77777777">
        <w:trPr>
          <w:trHeight w:val="173"/>
        </w:trPr>
        <w:tc>
          <w:tcPr>
            <w:tcW w:w="3197" w:type="dxa"/>
          </w:tcPr>
          <w:p w14:paraId="51B12EB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45-секундные</w:t>
            </w:r>
          </w:p>
          <w:p w14:paraId="1559F6B4" w14:textId="77777777" w:rsidR="004B4E35" w:rsidRPr="00405303" w:rsidRDefault="004B4E35" w:rsidP="00C15251">
            <w:pPr>
              <w:shd w:val="clear" w:color="auto" w:fill="FFFFFF"/>
              <w:jc w:val="both"/>
              <w:rPr>
                <w:bCs/>
                <w:color w:val="002060"/>
                <w:sz w:val="16"/>
                <w:szCs w:val="16"/>
              </w:rPr>
            </w:pPr>
          </w:p>
        </w:tc>
        <w:tc>
          <w:tcPr>
            <w:tcW w:w="710" w:type="dxa"/>
          </w:tcPr>
          <w:p w14:paraId="375A112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314</w:t>
            </w:r>
          </w:p>
          <w:p w14:paraId="15512D76" w14:textId="77777777" w:rsidR="004B4E35" w:rsidRPr="00405303" w:rsidRDefault="004B4E35" w:rsidP="00C15251">
            <w:pPr>
              <w:shd w:val="clear" w:color="auto" w:fill="FFFFFF"/>
              <w:jc w:val="both"/>
              <w:rPr>
                <w:bCs/>
                <w:color w:val="002060"/>
                <w:sz w:val="16"/>
                <w:szCs w:val="16"/>
              </w:rPr>
            </w:pPr>
          </w:p>
        </w:tc>
        <w:tc>
          <w:tcPr>
            <w:tcW w:w="778" w:type="dxa"/>
          </w:tcPr>
          <w:p w14:paraId="6649B9F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759</w:t>
            </w:r>
          </w:p>
          <w:p w14:paraId="357132F8" w14:textId="77777777" w:rsidR="004B4E35" w:rsidRPr="00405303" w:rsidRDefault="004B4E35" w:rsidP="00C15251">
            <w:pPr>
              <w:shd w:val="clear" w:color="auto" w:fill="FFFFFF"/>
              <w:jc w:val="both"/>
              <w:rPr>
                <w:bCs/>
                <w:color w:val="002060"/>
                <w:sz w:val="16"/>
                <w:szCs w:val="16"/>
              </w:rPr>
            </w:pPr>
          </w:p>
        </w:tc>
        <w:tc>
          <w:tcPr>
            <w:tcW w:w="806" w:type="dxa"/>
          </w:tcPr>
          <w:p w14:paraId="52BD2AE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940</w:t>
            </w:r>
          </w:p>
          <w:p w14:paraId="3E2500AB" w14:textId="77777777" w:rsidR="004B4E35" w:rsidRPr="00405303" w:rsidRDefault="004B4E35" w:rsidP="00C15251">
            <w:pPr>
              <w:shd w:val="clear" w:color="auto" w:fill="FFFFFF"/>
              <w:jc w:val="both"/>
              <w:rPr>
                <w:bCs/>
                <w:color w:val="002060"/>
                <w:sz w:val="16"/>
                <w:szCs w:val="16"/>
              </w:rPr>
            </w:pPr>
          </w:p>
        </w:tc>
        <w:tc>
          <w:tcPr>
            <w:tcW w:w="902" w:type="dxa"/>
          </w:tcPr>
          <w:p w14:paraId="2C9784E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2013</w:t>
            </w:r>
          </w:p>
          <w:p w14:paraId="4BD25128" w14:textId="77777777" w:rsidR="004B4E35" w:rsidRPr="00405303" w:rsidRDefault="004B4E35" w:rsidP="00C15251">
            <w:pPr>
              <w:shd w:val="clear" w:color="auto" w:fill="FFFFFF"/>
              <w:jc w:val="both"/>
              <w:rPr>
                <w:bCs/>
                <w:color w:val="002060"/>
                <w:sz w:val="16"/>
                <w:szCs w:val="16"/>
              </w:rPr>
            </w:pPr>
          </w:p>
        </w:tc>
      </w:tr>
      <w:tr w:rsidR="004B4E35" w:rsidRPr="00405303" w14:paraId="6E446A85" w14:textId="77777777">
        <w:trPr>
          <w:trHeight w:val="173"/>
        </w:trPr>
        <w:tc>
          <w:tcPr>
            <w:tcW w:w="3197" w:type="dxa"/>
          </w:tcPr>
          <w:p w14:paraId="7BB28B0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Запальные ударные трубки образца</w:t>
            </w:r>
          </w:p>
          <w:p w14:paraId="0B8BAE69" w14:textId="77777777" w:rsidR="004B4E35" w:rsidRPr="00405303" w:rsidRDefault="004B4E35" w:rsidP="00C15251">
            <w:pPr>
              <w:shd w:val="clear" w:color="auto" w:fill="FFFFFF"/>
              <w:jc w:val="both"/>
              <w:rPr>
                <w:bCs/>
                <w:color w:val="002060"/>
                <w:sz w:val="16"/>
                <w:szCs w:val="16"/>
              </w:rPr>
            </w:pPr>
          </w:p>
        </w:tc>
        <w:tc>
          <w:tcPr>
            <w:tcW w:w="710" w:type="dxa"/>
          </w:tcPr>
          <w:p w14:paraId="08AEAE2A" w14:textId="77777777" w:rsidR="004B4E35" w:rsidRPr="00405303" w:rsidRDefault="004B4E35" w:rsidP="00C15251">
            <w:pPr>
              <w:shd w:val="clear" w:color="auto" w:fill="FFFFFF"/>
              <w:jc w:val="both"/>
              <w:rPr>
                <w:bCs/>
                <w:color w:val="002060"/>
                <w:sz w:val="16"/>
                <w:szCs w:val="16"/>
              </w:rPr>
            </w:pPr>
          </w:p>
          <w:p w14:paraId="305C47B1" w14:textId="77777777" w:rsidR="004B4E35" w:rsidRPr="00405303" w:rsidRDefault="004B4E35" w:rsidP="00C15251">
            <w:pPr>
              <w:shd w:val="clear" w:color="auto" w:fill="FFFFFF"/>
              <w:jc w:val="both"/>
              <w:rPr>
                <w:bCs/>
                <w:color w:val="002060"/>
                <w:sz w:val="16"/>
                <w:szCs w:val="16"/>
              </w:rPr>
            </w:pPr>
          </w:p>
        </w:tc>
        <w:tc>
          <w:tcPr>
            <w:tcW w:w="778" w:type="dxa"/>
          </w:tcPr>
          <w:p w14:paraId="5F37213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610366D2" w14:textId="77777777" w:rsidR="004B4E35" w:rsidRPr="00405303" w:rsidRDefault="004B4E35" w:rsidP="00C15251">
            <w:pPr>
              <w:shd w:val="clear" w:color="auto" w:fill="FFFFFF"/>
              <w:jc w:val="both"/>
              <w:rPr>
                <w:bCs/>
                <w:color w:val="002060"/>
                <w:sz w:val="16"/>
                <w:szCs w:val="16"/>
              </w:rPr>
            </w:pPr>
          </w:p>
        </w:tc>
        <w:tc>
          <w:tcPr>
            <w:tcW w:w="806" w:type="dxa"/>
          </w:tcPr>
          <w:p w14:paraId="5A8C669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699</w:t>
            </w:r>
          </w:p>
          <w:p w14:paraId="5747D889" w14:textId="77777777" w:rsidR="004B4E35" w:rsidRPr="00405303" w:rsidRDefault="004B4E35" w:rsidP="00C15251">
            <w:pPr>
              <w:shd w:val="clear" w:color="auto" w:fill="FFFFFF"/>
              <w:jc w:val="both"/>
              <w:rPr>
                <w:bCs/>
                <w:color w:val="002060"/>
                <w:sz w:val="16"/>
                <w:szCs w:val="16"/>
              </w:rPr>
            </w:pPr>
          </w:p>
        </w:tc>
        <w:tc>
          <w:tcPr>
            <w:tcW w:w="902" w:type="dxa"/>
          </w:tcPr>
          <w:p w14:paraId="7A4AF66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699</w:t>
            </w:r>
          </w:p>
          <w:p w14:paraId="28DAD5AF" w14:textId="77777777" w:rsidR="004B4E35" w:rsidRPr="00405303" w:rsidRDefault="004B4E35" w:rsidP="00C15251">
            <w:pPr>
              <w:shd w:val="clear" w:color="auto" w:fill="FFFFFF"/>
              <w:jc w:val="both"/>
              <w:rPr>
                <w:bCs/>
                <w:color w:val="002060"/>
                <w:sz w:val="16"/>
                <w:szCs w:val="16"/>
              </w:rPr>
            </w:pPr>
          </w:p>
        </w:tc>
      </w:tr>
      <w:tr w:rsidR="004B4E35" w:rsidRPr="00405303" w14:paraId="568A671C" w14:textId="77777777">
        <w:trPr>
          <w:trHeight w:val="173"/>
        </w:trPr>
        <w:tc>
          <w:tcPr>
            <w:tcW w:w="3197" w:type="dxa"/>
          </w:tcPr>
          <w:p w14:paraId="51B7694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1915/1916 гг.</w:t>
            </w:r>
          </w:p>
          <w:p w14:paraId="044D9CB0" w14:textId="77777777" w:rsidR="004B4E35" w:rsidRPr="00405303" w:rsidRDefault="004B4E35" w:rsidP="00C15251">
            <w:pPr>
              <w:shd w:val="clear" w:color="auto" w:fill="FFFFFF"/>
              <w:jc w:val="both"/>
              <w:rPr>
                <w:bCs/>
                <w:color w:val="002060"/>
                <w:sz w:val="16"/>
                <w:szCs w:val="16"/>
              </w:rPr>
            </w:pPr>
          </w:p>
        </w:tc>
        <w:tc>
          <w:tcPr>
            <w:tcW w:w="710" w:type="dxa"/>
          </w:tcPr>
          <w:p w14:paraId="3080B6A6" w14:textId="77777777" w:rsidR="004B4E35" w:rsidRPr="00405303" w:rsidRDefault="004B4E35" w:rsidP="00C15251">
            <w:pPr>
              <w:shd w:val="clear" w:color="auto" w:fill="FFFFFF"/>
              <w:jc w:val="both"/>
              <w:rPr>
                <w:bCs/>
                <w:color w:val="002060"/>
                <w:sz w:val="16"/>
                <w:szCs w:val="16"/>
              </w:rPr>
            </w:pPr>
          </w:p>
          <w:p w14:paraId="54EBC64F" w14:textId="77777777" w:rsidR="004B4E35" w:rsidRPr="00405303" w:rsidRDefault="004B4E35" w:rsidP="00C15251">
            <w:pPr>
              <w:shd w:val="clear" w:color="auto" w:fill="FFFFFF"/>
              <w:jc w:val="both"/>
              <w:rPr>
                <w:bCs/>
                <w:color w:val="002060"/>
                <w:sz w:val="16"/>
                <w:szCs w:val="16"/>
              </w:rPr>
            </w:pPr>
          </w:p>
        </w:tc>
        <w:tc>
          <w:tcPr>
            <w:tcW w:w="778" w:type="dxa"/>
          </w:tcPr>
          <w:p w14:paraId="7423B3E4" w14:textId="77777777" w:rsidR="004B4E35" w:rsidRPr="00405303" w:rsidRDefault="004B4E35" w:rsidP="00C15251">
            <w:pPr>
              <w:shd w:val="clear" w:color="auto" w:fill="FFFFFF"/>
              <w:jc w:val="both"/>
              <w:rPr>
                <w:bCs/>
                <w:color w:val="002060"/>
                <w:sz w:val="16"/>
                <w:szCs w:val="16"/>
              </w:rPr>
            </w:pPr>
          </w:p>
          <w:p w14:paraId="18B920F3" w14:textId="77777777" w:rsidR="004B4E35" w:rsidRPr="00405303" w:rsidRDefault="004B4E35" w:rsidP="00C15251">
            <w:pPr>
              <w:shd w:val="clear" w:color="auto" w:fill="FFFFFF"/>
              <w:jc w:val="both"/>
              <w:rPr>
                <w:bCs/>
                <w:color w:val="002060"/>
                <w:sz w:val="16"/>
                <w:szCs w:val="16"/>
              </w:rPr>
            </w:pPr>
          </w:p>
        </w:tc>
        <w:tc>
          <w:tcPr>
            <w:tcW w:w="806" w:type="dxa"/>
          </w:tcPr>
          <w:p w14:paraId="1131CC24" w14:textId="77777777" w:rsidR="004B4E35" w:rsidRPr="00405303" w:rsidRDefault="004B4E35" w:rsidP="00C15251">
            <w:pPr>
              <w:shd w:val="clear" w:color="auto" w:fill="FFFFFF"/>
              <w:jc w:val="both"/>
              <w:rPr>
                <w:bCs/>
                <w:color w:val="002060"/>
                <w:sz w:val="16"/>
                <w:szCs w:val="16"/>
              </w:rPr>
            </w:pPr>
          </w:p>
          <w:p w14:paraId="3E714DF4" w14:textId="77777777" w:rsidR="004B4E35" w:rsidRPr="00405303" w:rsidRDefault="004B4E35" w:rsidP="00C15251">
            <w:pPr>
              <w:shd w:val="clear" w:color="auto" w:fill="FFFFFF"/>
              <w:jc w:val="both"/>
              <w:rPr>
                <w:bCs/>
                <w:color w:val="002060"/>
                <w:sz w:val="16"/>
                <w:szCs w:val="16"/>
              </w:rPr>
            </w:pPr>
          </w:p>
        </w:tc>
        <w:tc>
          <w:tcPr>
            <w:tcW w:w="902" w:type="dxa"/>
          </w:tcPr>
          <w:p w14:paraId="1BC8716B" w14:textId="77777777" w:rsidR="004B4E35" w:rsidRPr="00405303" w:rsidRDefault="004B4E35" w:rsidP="00C15251">
            <w:pPr>
              <w:shd w:val="clear" w:color="auto" w:fill="FFFFFF"/>
              <w:jc w:val="both"/>
              <w:rPr>
                <w:bCs/>
                <w:color w:val="002060"/>
                <w:sz w:val="16"/>
                <w:szCs w:val="16"/>
              </w:rPr>
            </w:pPr>
          </w:p>
          <w:p w14:paraId="73B3DF4C" w14:textId="77777777" w:rsidR="004B4E35" w:rsidRPr="00405303" w:rsidRDefault="004B4E35" w:rsidP="00C15251">
            <w:pPr>
              <w:shd w:val="clear" w:color="auto" w:fill="FFFFFF"/>
              <w:jc w:val="both"/>
              <w:rPr>
                <w:bCs/>
                <w:color w:val="002060"/>
                <w:sz w:val="16"/>
                <w:szCs w:val="16"/>
              </w:rPr>
            </w:pPr>
          </w:p>
        </w:tc>
      </w:tr>
      <w:tr w:rsidR="004B4E35" w:rsidRPr="00405303" w14:paraId="69AA41FA" w14:textId="77777777">
        <w:trPr>
          <w:trHeight w:val="173"/>
        </w:trPr>
        <w:tc>
          <w:tcPr>
            <w:tcW w:w="3197" w:type="dxa"/>
          </w:tcPr>
          <w:p w14:paraId="16A28AC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Взрыватели:</w:t>
            </w:r>
          </w:p>
          <w:p w14:paraId="74B35D9E" w14:textId="77777777" w:rsidR="004B4E35" w:rsidRPr="00405303" w:rsidRDefault="004B4E35" w:rsidP="00C15251">
            <w:pPr>
              <w:shd w:val="clear" w:color="auto" w:fill="FFFFFF"/>
              <w:jc w:val="both"/>
              <w:rPr>
                <w:bCs/>
                <w:color w:val="002060"/>
                <w:sz w:val="16"/>
                <w:szCs w:val="16"/>
              </w:rPr>
            </w:pPr>
          </w:p>
        </w:tc>
        <w:tc>
          <w:tcPr>
            <w:tcW w:w="710" w:type="dxa"/>
          </w:tcPr>
          <w:p w14:paraId="201B685E" w14:textId="77777777" w:rsidR="004B4E35" w:rsidRPr="00405303" w:rsidRDefault="004B4E35" w:rsidP="00C15251">
            <w:pPr>
              <w:shd w:val="clear" w:color="auto" w:fill="FFFFFF"/>
              <w:jc w:val="both"/>
              <w:rPr>
                <w:bCs/>
                <w:color w:val="002060"/>
                <w:sz w:val="16"/>
                <w:szCs w:val="16"/>
              </w:rPr>
            </w:pPr>
          </w:p>
          <w:p w14:paraId="567F9C43" w14:textId="77777777" w:rsidR="004B4E35" w:rsidRPr="00405303" w:rsidRDefault="004B4E35" w:rsidP="00C15251">
            <w:pPr>
              <w:shd w:val="clear" w:color="auto" w:fill="FFFFFF"/>
              <w:jc w:val="both"/>
              <w:rPr>
                <w:bCs/>
                <w:color w:val="002060"/>
                <w:sz w:val="16"/>
                <w:szCs w:val="16"/>
              </w:rPr>
            </w:pPr>
          </w:p>
        </w:tc>
        <w:tc>
          <w:tcPr>
            <w:tcW w:w="778" w:type="dxa"/>
          </w:tcPr>
          <w:p w14:paraId="789AA66E" w14:textId="77777777" w:rsidR="004B4E35" w:rsidRPr="00405303" w:rsidRDefault="004B4E35" w:rsidP="00C15251">
            <w:pPr>
              <w:shd w:val="clear" w:color="auto" w:fill="FFFFFF"/>
              <w:jc w:val="both"/>
              <w:rPr>
                <w:bCs/>
                <w:color w:val="002060"/>
                <w:sz w:val="16"/>
                <w:szCs w:val="16"/>
              </w:rPr>
            </w:pPr>
          </w:p>
          <w:p w14:paraId="5FEFBFF9" w14:textId="77777777" w:rsidR="004B4E35" w:rsidRPr="00405303" w:rsidRDefault="004B4E35" w:rsidP="00C15251">
            <w:pPr>
              <w:shd w:val="clear" w:color="auto" w:fill="FFFFFF"/>
              <w:jc w:val="both"/>
              <w:rPr>
                <w:bCs/>
                <w:color w:val="002060"/>
                <w:sz w:val="16"/>
                <w:szCs w:val="16"/>
              </w:rPr>
            </w:pPr>
          </w:p>
        </w:tc>
        <w:tc>
          <w:tcPr>
            <w:tcW w:w="806" w:type="dxa"/>
          </w:tcPr>
          <w:p w14:paraId="0BA49099" w14:textId="77777777" w:rsidR="004B4E35" w:rsidRPr="00405303" w:rsidRDefault="004B4E35" w:rsidP="00C15251">
            <w:pPr>
              <w:shd w:val="clear" w:color="auto" w:fill="FFFFFF"/>
              <w:jc w:val="both"/>
              <w:rPr>
                <w:bCs/>
                <w:color w:val="002060"/>
                <w:sz w:val="16"/>
                <w:szCs w:val="16"/>
              </w:rPr>
            </w:pPr>
          </w:p>
          <w:p w14:paraId="434BE897" w14:textId="77777777" w:rsidR="004B4E35" w:rsidRPr="00405303" w:rsidRDefault="004B4E35" w:rsidP="00C15251">
            <w:pPr>
              <w:shd w:val="clear" w:color="auto" w:fill="FFFFFF"/>
              <w:jc w:val="both"/>
              <w:rPr>
                <w:bCs/>
                <w:color w:val="002060"/>
                <w:sz w:val="16"/>
                <w:szCs w:val="16"/>
              </w:rPr>
            </w:pPr>
          </w:p>
        </w:tc>
        <w:tc>
          <w:tcPr>
            <w:tcW w:w="902" w:type="dxa"/>
          </w:tcPr>
          <w:p w14:paraId="5226CCBC" w14:textId="77777777" w:rsidR="004B4E35" w:rsidRPr="00405303" w:rsidRDefault="004B4E35" w:rsidP="00C15251">
            <w:pPr>
              <w:shd w:val="clear" w:color="auto" w:fill="FFFFFF"/>
              <w:jc w:val="both"/>
              <w:rPr>
                <w:bCs/>
                <w:color w:val="002060"/>
                <w:sz w:val="16"/>
                <w:szCs w:val="16"/>
              </w:rPr>
            </w:pPr>
          </w:p>
          <w:p w14:paraId="35892702" w14:textId="77777777" w:rsidR="004B4E35" w:rsidRPr="00405303" w:rsidRDefault="004B4E35" w:rsidP="00C15251">
            <w:pPr>
              <w:shd w:val="clear" w:color="auto" w:fill="FFFFFF"/>
              <w:jc w:val="both"/>
              <w:rPr>
                <w:bCs/>
                <w:color w:val="002060"/>
                <w:sz w:val="16"/>
                <w:szCs w:val="16"/>
              </w:rPr>
            </w:pPr>
          </w:p>
        </w:tc>
      </w:tr>
      <w:tr w:rsidR="004B4E35" w:rsidRPr="00405303" w14:paraId="4CD93E51" w14:textId="77777777">
        <w:trPr>
          <w:trHeight w:val="154"/>
        </w:trPr>
        <w:tc>
          <w:tcPr>
            <w:tcW w:w="3197" w:type="dxa"/>
          </w:tcPr>
          <w:p w14:paraId="43B2143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1ГМ</w:t>
            </w:r>
          </w:p>
          <w:p w14:paraId="21BF9B77" w14:textId="77777777" w:rsidR="004B4E35" w:rsidRPr="00405303" w:rsidRDefault="004B4E35" w:rsidP="00C15251">
            <w:pPr>
              <w:shd w:val="clear" w:color="auto" w:fill="FFFFFF"/>
              <w:jc w:val="both"/>
              <w:rPr>
                <w:bCs/>
                <w:color w:val="002060"/>
                <w:sz w:val="16"/>
                <w:szCs w:val="16"/>
              </w:rPr>
            </w:pPr>
          </w:p>
        </w:tc>
        <w:tc>
          <w:tcPr>
            <w:tcW w:w="710" w:type="dxa"/>
          </w:tcPr>
          <w:p w14:paraId="4EBBF14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w:t>
            </w:r>
          </w:p>
          <w:p w14:paraId="1B234054" w14:textId="77777777" w:rsidR="004B4E35" w:rsidRPr="00405303" w:rsidRDefault="004B4E35" w:rsidP="00C15251">
            <w:pPr>
              <w:shd w:val="clear" w:color="auto" w:fill="FFFFFF"/>
              <w:jc w:val="both"/>
              <w:rPr>
                <w:bCs/>
                <w:color w:val="002060"/>
                <w:sz w:val="16"/>
                <w:szCs w:val="16"/>
              </w:rPr>
            </w:pPr>
          </w:p>
        </w:tc>
        <w:tc>
          <w:tcPr>
            <w:tcW w:w="778" w:type="dxa"/>
          </w:tcPr>
          <w:p w14:paraId="326797B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45</w:t>
            </w:r>
          </w:p>
          <w:p w14:paraId="4B33AF47" w14:textId="77777777" w:rsidR="004B4E35" w:rsidRPr="00405303" w:rsidRDefault="004B4E35" w:rsidP="00C15251">
            <w:pPr>
              <w:shd w:val="clear" w:color="auto" w:fill="FFFFFF"/>
              <w:jc w:val="both"/>
              <w:rPr>
                <w:bCs/>
                <w:color w:val="002060"/>
                <w:sz w:val="16"/>
                <w:szCs w:val="16"/>
              </w:rPr>
            </w:pPr>
          </w:p>
        </w:tc>
        <w:tc>
          <w:tcPr>
            <w:tcW w:w="806" w:type="dxa"/>
          </w:tcPr>
          <w:p w14:paraId="18D81D4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w:t>
            </w:r>
          </w:p>
          <w:p w14:paraId="35E8B2AB" w14:textId="77777777" w:rsidR="004B4E35" w:rsidRPr="00405303" w:rsidRDefault="004B4E35" w:rsidP="00C15251">
            <w:pPr>
              <w:shd w:val="clear" w:color="auto" w:fill="FFFFFF"/>
              <w:jc w:val="both"/>
              <w:rPr>
                <w:bCs/>
                <w:color w:val="002060"/>
                <w:sz w:val="16"/>
                <w:szCs w:val="16"/>
              </w:rPr>
            </w:pPr>
          </w:p>
        </w:tc>
        <w:tc>
          <w:tcPr>
            <w:tcW w:w="902" w:type="dxa"/>
          </w:tcPr>
          <w:p w14:paraId="3B1B1D9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74</w:t>
            </w:r>
          </w:p>
          <w:p w14:paraId="1A4B1109" w14:textId="77777777" w:rsidR="004B4E35" w:rsidRPr="00405303" w:rsidRDefault="004B4E35" w:rsidP="00C15251">
            <w:pPr>
              <w:shd w:val="clear" w:color="auto" w:fill="FFFFFF"/>
              <w:jc w:val="both"/>
              <w:rPr>
                <w:bCs/>
                <w:color w:val="002060"/>
                <w:sz w:val="16"/>
                <w:szCs w:val="16"/>
              </w:rPr>
            </w:pPr>
          </w:p>
        </w:tc>
      </w:tr>
      <w:tr w:rsidR="004B4E35" w:rsidRPr="00405303" w14:paraId="08270950" w14:textId="77777777">
        <w:trPr>
          <w:trHeight w:val="173"/>
        </w:trPr>
        <w:tc>
          <w:tcPr>
            <w:tcW w:w="3197" w:type="dxa"/>
          </w:tcPr>
          <w:p w14:paraId="45387E2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ЗГТ</w:t>
            </w:r>
          </w:p>
          <w:p w14:paraId="234D222C" w14:textId="77777777" w:rsidR="004B4E35" w:rsidRPr="00405303" w:rsidRDefault="004B4E35" w:rsidP="00C15251">
            <w:pPr>
              <w:shd w:val="clear" w:color="auto" w:fill="FFFFFF"/>
              <w:jc w:val="both"/>
              <w:rPr>
                <w:bCs/>
                <w:color w:val="002060"/>
                <w:sz w:val="16"/>
                <w:szCs w:val="16"/>
              </w:rPr>
            </w:pPr>
          </w:p>
        </w:tc>
        <w:tc>
          <w:tcPr>
            <w:tcW w:w="710" w:type="dxa"/>
          </w:tcPr>
          <w:p w14:paraId="6124B0B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167</w:t>
            </w:r>
          </w:p>
          <w:p w14:paraId="579B9E24" w14:textId="77777777" w:rsidR="004B4E35" w:rsidRPr="00405303" w:rsidRDefault="004B4E35" w:rsidP="00C15251">
            <w:pPr>
              <w:shd w:val="clear" w:color="auto" w:fill="FFFFFF"/>
              <w:jc w:val="both"/>
              <w:rPr>
                <w:bCs/>
                <w:color w:val="002060"/>
                <w:sz w:val="16"/>
                <w:szCs w:val="16"/>
              </w:rPr>
            </w:pPr>
          </w:p>
        </w:tc>
        <w:tc>
          <w:tcPr>
            <w:tcW w:w="778" w:type="dxa"/>
          </w:tcPr>
          <w:p w14:paraId="080EA02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450</w:t>
            </w:r>
          </w:p>
          <w:p w14:paraId="3421A552" w14:textId="77777777" w:rsidR="004B4E35" w:rsidRPr="00405303" w:rsidRDefault="004B4E35" w:rsidP="00C15251">
            <w:pPr>
              <w:shd w:val="clear" w:color="auto" w:fill="FFFFFF"/>
              <w:jc w:val="both"/>
              <w:rPr>
                <w:bCs/>
                <w:color w:val="002060"/>
                <w:sz w:val="16"/>
                <w:szCs w:val="16"/>
              </w:rPr>
            </w:pPr>
          </w:p>
        </w:tc>
        <w:tc>
          <w:tcPr>
            <w:tcW w:w="806" w:type="dxa"/>
          </w:tcPr>
          <w:p w14:paraId="09D00F6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540</w:t>
            </w:r>
          </w:p>
          <w:p w14:paraId="0DEAFF37" w14:textId="77777777" w:rsidR="004B4E35" w:rsidRPr="00405303" w:rsidRDefault="004B4E35" w:rsidP="00C15251">
            <w:pPr>
              <w:shd w:val="clear" w:color="auto" w:fill="FFFFFF"/>
              <w:jc w:val="both"/>
              <w:rPr>
                <w:bCs/>
                <w:color w:val="002060"/>
                <w:sz w:val="16"/>
                <w:szCs w:val="16"/>
              </w:rPr>
            </w:pPr>
          </w:p>
        </w:tc>
        <w:tc>
          <w:tcPr>
            <w:tcW w:w="902" w:type="dxa"/>
          </w:tcPr>
          <w:p w14:paraId="0B4DA7F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1 157</w:t>
            </w:r>
          </w:p>
          <w:p w14:paraId="3D307C8D" w14:textId="77777777" w:rsidR="004B4E35" w:rsidRPr="00405303" w:rsidRDefault="004B4E35" w:rsidP="00C15251">
            <w:pPr>
              <w:shd w:val="clear" w:color="auto" w:fill="FFFFFF"/>
              <w:jc w:val="both"/>
              <w:rPr>
                <w:bCs/>
                <w:color w:val="002060"/>
                <w:sz w:val="16"/>
                <w:szCs w:val="16"/>
              </w:rPr>
            </w:pPr>
          </w:p>
        </w:tc>
      </w:tr>
      <w:tr w:rsidR="004B4E35" w:rsidRPr="00405303" w14:paraId="485FD056" w14:textId="77777777">
        <w:trPr>
          <w:trHeight w:val="173"/>
        </w:trPr>
        <w:tc>
          <w:tcPr>
            <w:tcW w:w="3197" w:type="dxa"/>
          </w:tcPr>
          <w:p w14:paraId="5C9CFE9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4ГТ</w:t>
            </w:r>
          </w:p>
          <w:p w14:paraId="0DE05129" w14:textId="77777777" w:rsidR="004B4E35" w:rsidRPr="00405303" w:rsidRDefault="004B4E35" w:rsidP="00C15251">
            <w:pPr>
              <w:shd w:val="clear" w:color="auto" w:fill="FFFFFF"/>
              <w:jc w:val="both"/>
              <w:rPr>
                <w:bCs/>
                <w:color w:val="002060"/>
                <w:sz w:val="16"/>
                <w:szCs w:val="16"/>
              </w:rPr>
            </w:pPr>
          </w:p>
        </w:tc>
        <w:tc>
          <w:tcPr>
            <w:tcW w:w="710" w:type="dxa"/>
          </w:tcPr>
          <w:p w14:paraId="719644F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150</w:t>
            </w:r>
          </w:p>
          <w:p w14:paraId="2CE1BFD5" w14:textId="77777777" w:rsidR="004B4E35" w:rsidRPr="00405303" w:rsidRDefault="004B4E35" w:rsidP="00C15251">
            <w:pPr>
              <w:shd w:val="clear" w:color="auto" w:fill="FFFFFF"/>
              <w:jc w:val="both"/>
              <w:rPr>
                <w:bCs/>
                <w:color w:val="002060"/>
                <w:sz w:val="16"/>
                <w:szCs w:val="16"/>
              </w:rPr>
            </w:pPr>
          </w:p>
        </w:tc>
        <w:tc>
          <w:tcPr>
            <w:tcW w:w="778" w:type="dxa"/>
          </w:tcPr>
          <w:p w14:paraId="6B89161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104</w:t>
            </w:r>
          </w:p>
          <w:p w14:paraId="05211D51" w14:textId="77777777" w:rsidR="004B4E35" w:rsidRPr="00405303" w:rsidRDefault="004B4E35" w:rsidP="00C15251">
            <w:pPr>
              <w:shd w:val="clear" w:color="auto" w:fill="FFFFFF"/>
              <w:jc w:val="both"/>
              <w:rPr>
                <w:bCs/>
                <w:color w:val="002060"/>
                <w:sz w:val="16"/>
                <w:szCs w:val="16"/>
              </w:rPr>
            </w:pPr>
          </w:p>
        </w:tc>
        <w:tc>
          <w:tcPr>
            <w:tcW w:w="806" w:type="dxa"/>
          </w:tcPr>
          <w:p w14:paraId="626E5F4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405</w:t>
            </w:r>
          </w:p>
          <w:p w14:paraId="3F4AF3A0" w14:textId="77777777" w:rsidR="004B4E35" w:rsidRPr="00405303" w:rsidRDefault="004B4E35" w:rsidP="00C15251">
            <w:pPr>
              <w:shd w:val="clear" w:color="auto" w:fill="FFFFFF"/>
              <w:jc w:val="both"/>
              <w:rPr>
                <w:bCs/>
                <w:color w:val="002060"/>
                <w:sz w:val="16"/>
                <w:szCs w:val="16"/>
              </w:rPr>
            </w:pPr>
          </w:p>
        </w:tc>
        <w:tc>
          <w:tcPr>
            <w:tcW w:w="902" w:type="dxa"/>
          </w:tcPr>
          <w:p w14:paraId="3971151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659</w:t>
            </w:r>
          </w:p>
          <w:p w14:paraId="4244117D" w14:textId="77777777" w:rsidR="004B4E35" w:rsidRPr="00405303" w:rsidRDefault="004B4E35" w:rsidP="00C15251">
            <w:pPr>
              <w:shd w:val="clear" w:color="auto" w:fill="FFFFFF"/>
              <w:jc w:val="both"/>
              <w:rPr>
                <w:bCs/>
                <w:color w:val="002060"/>
                <w:sz w:val="16"/>
                <w:szCs w:val="16"/>
              </w:rPr>
            </w:pPr>
          </w:p>
        </w:tc>
      </w:tr>
      <w:tr w:rsidR="004B4E35" w:rsidRPr="00405303" w14:paraId="57CF5E52" w14:textId="77777777">
        <w:trPr>
          <w:trHeight w:val="173"/>
        </w:trPr>
        <w:tc>
          <w:tcPr>
            <w:tcW w:w="3197" w:type="dxa"/>
          </w:tcPr>
          <w:p w14:paraId="1EC84A9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5ДМ</w:t>
            </w:r>
          </w:p>
          <w:p w14:paraId="04E31493" w14:textId="77777777" w:rsidR="004B4E35" w:rsidRPr="00405303" w:rsidRDefault="004B4E35" w:rsidP="00C15251">
            <w:pPr>
              <w:shd w:val="clear" w:color="auto" w:fill="FFFFFF"/>
              <w:jc w:val="both"/>
              <w:rPr>
                <w:bCs/>
                <w:color w:val="002060"/>
                <w:sz w:val="16"/>
                <w:szCs w:val="16"/>
              </w:rPr>
            </w:pPr>
          </w:p>
        </w:tc>
        <w:tc>
          <w:tcPr>
            <w:tcW w:w="710" w:type="dxa"/>
          </w:tcPr>
          <w:p w14:paraId="1698ECF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w:t>
            </w:r>
          </w:p>
          <w:p w14:paraId="03C7CE53" w14:textId="77777777" w:rsidR="004B4E35" w:rsidRPr="00405303" w:rsidRDefault="004B4E35" w:rsidP="00C15251">
            <w:pPr>
              <w:shd w:val="clear" w:color="auto" w:fill="FFFFFF"/>
              <w:jc w:val="both"/>
              <w:rPr>
                <w:bCs/>
                <w:color w:val="002060"/>
                <w:sz w:val="16"/>
                <w:szCs w:val="16"/>
              </w:rPr>
            </w:pPr>
          </w:p>
        </w:tc>
        <w:tc>
          <w:tcPr>
            <w:tcW w:w="778" w:type="dxa"/>
          </w:tcPr>
          <w:p w14:paraId="2342ECA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w:t>
            </w:r>
          </w:p>
          <w:p w14:paraId="597E1D88" w14:textId="77777777" w:rsidR="004B4E35" w:rsidRPr="00405303" w:rsidRDefault="004B4E35" w:rsidP="00C15251">
            <w:pPr>
              <w:shd w:val="clear" w:color="auto" w:fill="FFFFFF"/>
              <w:jc w:val="both"/>
              <w:rPr>
                <w:bCs/>
                <w:color w:val="002060"/>
                <w:sz w:val="16"/>
                <w:szCs w:val="16"/>
              </w:rPr>
            </w:pPr>
          </w:p>
        </w:tc>
        <w:tc>
          <w:tcPr>
            <w:tcW w:w="806" w:type="dxa"/>
          </w:tcPr>
          <w:p w14:paraId="563FDA3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w:t>
            </w:r>
          </w:p>
          <w:p w14:paraId="6AA2B0AA" w14:textId="77777777" w:rsidR="004B4E35" w:rsidRPr="00405303" w:rsidRDefault="004B4E35" w:rsidP="00C15251">
            <w:pPr>
              <w:shd w:val="clear" w:color="auto" w:fill="FFFFFF"/>
              <w:jc w:val="both"/>
              <w:rPr>
                <w:bCs/>
                <w:color w:val="002060"/>
                <w:sz w:val="16"/>
                <w:szCs w:val="16"/>
              </w:rPr>
            </w:pPr>
          </w:p>
        </w:tc>
        <w:tc>
          <w:tcPr>
            <w:tcW w:w="902" w:type="dxa"/>
          </w:tcPr>
          <w:p w14:paraId="7E60574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12</w:t>
            </w:r>
          </w:p>
          <w:p w14:paraId="5102143E" w14:textId="77777777" w:rsidR="004B4E35" w:rsidRPr="00405303" w:rsidRDefault="004B4E35" w:rsidP="00C15251">
            <w:pPr>
              <w:shd w:val="clear" w:color="auto" w:fill="FFFFFF"/>
              <w:jc w:val="both"/>
              <w:rPr>
                <w:bCs/>
                <w:color w:val="002060"/>
                <w:sz w:val="16"/>
                <w:szCs w:val="16"/>
              </w:rPr>
            </w:pPr>
          </w:p>
        </w:tc>
      </w:tr>
      <w:tr w:rsidR="004B4E35" w:rsidRPr="00405303" w14:paraId="215DEF48" w14:textId="77777777">
        <w:trPr>
          <w:trHeight w:val="173"/>
        </w:trPr>
        <w:tc>
          <w:tcPr>
            <w:tcW w:w="3197" w:type="dxa"/>
          </w:tcPr>
          <w:p w14:paraId="49625AC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7ДТ</w:t>
            </w:r>
          </w:p>
          <w:p w14:paraId="5D41B98B" w14:textId="77777777" w:rsidR="004B4E35" w:rsidRPr="00405303" w:rsidRDefault="004B4E35" w:rsidP="00C15251">
            <w:pPr>
              <w:shd w:val="clear" w:color="auto" w:fill="FFFFFF"/>
              <w:jc w:val="both"/>
              <w:rPr>
                <w:bCs/>
                <w:color w:val="002060"/>
                <w:sz w:val="16"/>
                <w:szCs w:val="16"/>
              </w:rPr>
            </w:pPr>
          </w:p>
        </w:tc>
        <w:tc>
          <w:tcPr>
            <w:tcW w:w="710" w:type="dxa"/>
          </w:tcPr>
          <w:p w14:paraId="3D77F23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w:t>
            </w:r>
          </w:p>
          <w:p w14:paraId="3D95322E" w14:textId="77777777" w:rsidR="004B4E35" w:rsidRPr="00405303" w:rsidRDefault="004B4E35" w:rsidP="00C15251">
            <w:pPr>
              <w:shd w:val="clear" w:color="auto" w:fill="FFFFFF"/>
              <w:jc w:val="both"/>
              <w:rPr>
                <w:bCs/>
                <w:color w:val="002060"/>
                <w:sz w:val="16"/>
                <w:szCs w:val="16"/>
              </w:rPr>
            </w:pPr>
          </w:p>
        </w:tc>
        <w:tc>
          <w:tcPr>
            <w:tcW w:w="778" w:type="dxa"/>
          </w:tcPr>
          <w:p w14:paraId="1FB2D9A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w:t>
            </w:r>
          </w:p>
          <w:p w14:paraId="2B5434A2" w14:textId="77777777" w:rsidR="004B4E35" w:rsidRPr="00405303" w:rsidRDefault="004B4E35" w:rsidP="00C15251">
            <w:pPr>
              <w:shd w:val="clear" w:color="auto" w:fill="FFFFFF"/>
              <w:jc w:val="both"/>
              <w:rPr>
                <w:bCs/>
                <w:color w:val="002060"/>
                <w:sz w:val="16"/>
                <w:szCs w:val="16"/>
              </w:rPr>
            </w:pPr>
          </w:p>
        </w:tc>
        <w:tc>
          <w:tcPr>
            <w:tcW w:w="806" w:type="dxa"/>
          </w:tcPr>
          <w:p w14:paraId="5873EC5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16</w:t>
            </w:r>
          </w:p>
          <w:p w14:paraId="723E9600" w14:textId="77777777" w:rsidR="004B4E35" w:rsidRPr="00405303" w:rsidRDefault="004B4E35" w:rsidP="00C15251">
            <w:pPr>
              <w:shd w:val="clear" w:color="auto" w:fill="FFFFFF"/>
              <w:jc w:val="both"/>
              <w:rPr>
                <w:bCs/>
                <w:color w:val="002060"/>
                <w:sz w:val="16"/>
                <w:szCs w:val="16"/>
              </w:rPr>
            </w:pPr>
          </w:p>
        </w:tc>
        <w:tc>
          <w:tcPr>
            <w:tcW w:w="902" w:type="dxa"/>
          </w:tcPr>
          <w:p w14:paraId="660D7A6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34</w:t>
            </w:r>
          </w:p>
          <w:p w14:paraId="2E1CC929" w14:textId="77777777" w:rsidR="004B4E35" w:rsidRPr="00405303" w:rsidRDefault="004B4E35" w:rsidP="00C15251">
            <w:pPr>
              <w:shd w:val="clear" w:color="auto" w:fill="FFFFFF"/>
              <w:jc w:val="both"/>
              <w:rPr>
                <w:bCs/>
                <w:color w:val="002060"/>
                <w:sz w:val="16"/>
                <w:szCs w:val="16"/>
              </w:rPr>
            </w:pPr>
          </w:p>
        </w:tc>
      </w:tr>
      <w:tr w:rsidR="004B4E35" w:rsidRPr="00405303" w14:paraId="648C99E8" w14:textId="77777777">
        <w:trPr>
          <w:trHeight w:val="173"/>
        </w:trPr>
        <w:tc>
          <w:tcPr>
            <w:tcW w:w="3197" w:type="dxa"/>
          </w:tcPr>
          <w:p w14:paraId="2BB1584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8ДТ</w:t>
            </w:r>
          </w:p>
          <w:p w14:paraId="4D945B55" w14:textId="77777777" w:rsidR="004B4E35" w:rsidRPr="00405303" w:rsidRDefault="004B4E35" w:rsidP="00C15251">
            <w:pPr>
              <w:shd w:val="clear" w:color="auto" w:fill="FFFFFF"/>
              <w:jc w:val="both"/>
              <w:rPr>
                <w:bCs/>
                <w:color w:val="002060"/>
                <w:sz w:val="16"/>
                <w:szCs w:val="16"/>
              </w:rPr>
            </w:pPr>
          </w:p>
        </w:tc>
        <w:tc>
          <w:tcPr>
            <w:tcW w:w="710" w:type="dxa"/>
          </w:tcPr>
          <w:p w14:paraId="4F80A6E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w:t>
            </w:r>
          </w:p>
          <w:p w14:paraId="15905373" w14:textId="77777777" w:rsidR="004B4E35" w:rsidRPr="00405303" w:rsidRDefault="004B4E35" w:rsidP="00C15251">
            <w:pPr>
              <w:shd w:val="clear" w:color="auto" w:fill="FFFFFF"/>
              <w:jc w:val="both"/>
              <w:rPr>
                <w:bCs/>
                <w:color w:val="002060"/>
                <w:sz w:val="16"/>
                <w:szCs w:val="16"/>
              </w:rPr>
            </w:pPr>
          </w:p>
        </w:tc>
        <w:tc>
          <w:tcPr>
            <w:tcW w:w="778" w:type="dxa"/>
          </w:tcPr>
          <w:p w14:paraId="5CDE209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w:t>
            </w:r>
          </w:p>
          <w:p w14:paraId="50953B70" w14:textId="77777777" w:rsidR="004B4E35" w:rsidRPr="00405303" w:rsidRDefault="004B4E35" w:rsidP="00C15251">
            <w:pPr>
              <w:shd w:val="clear" w:color="auto" w:fill="FFFFFF"/>
              <w:jc w:val="both"/>
              <w:rPr>
                <w:bCs/>
                <w:color w:val="002060"/>
                <w:sz w:val="16"/>
                <w:szCs w:val="16"/>
              </w:rPr>
            </w:pPr>
          </w:p>
        </w:tc>
        <w:tc>
          <w:tcPr>
            <w:tcW w:w="806" w:type="dxa"/>
          </w:tcPr>
          <w:p w14:paraId="081617D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w:t>
            </w:r>
          </w:p>
          <w:p w14:paraId="529CAEDA" w14:textId="77777777" w:rsidR="004B4E35" w:rsidRPr="00405303" w:rsidRDefault="004B4E35" w:rsidP="00C15251">
            <w:pPr>
              <w:shd w:val="clear" w:color="auto" w:fill="FFFFFF"/>
              <w:jc w:val="both"/>
              <w:rPr>
                <w:bCs/>
                <w:color w:val="002060"/>
                <w:sz w:val="16"/>
                <w:szCs w:val="16"/>
              </w:rPr>
            </w:pPr>
          </w:p>
        </w:tc>
        <w:tc>
          <w:tcPr>
            <w:tcW w:w="902" w:type="dxa"/>
          </w:tcPr>
          <w:p w14:paraId="5FECB9A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w:t>
            </w:r>
          </w:p>
          <w:p w14:paraId="179C5C46" w14:textId="77777777" w:rsidR="004B4E35" w:rsidRPr="00405303" w:rsidRDefault="004B4E35" w:rsidP="00C15251">
            <w:pPr>
              <w:shd w:val="clear" w:color="auto" w:fill="FFFFFF"/>
              <w:jc w:val="both"/>
              <w:rPr>
                <w:bCs/>
                <w:color w:val="002060"/>
                <w:sz w:val="16"/>
                <w:szCs w:val="16"/>
              </w:rPr>
            </w:pPr>
          </w:p>
        </w:tc>
      </w:tr>
      <w:tr w:rsidR="004B4E35" w:rsidRPr="00405303" w14:paraId="626461B7" w14:textId="77777777">
        <w:trPr>
          <w:trHeight w:val="163"/>
        </w:trPr>
        <w:tc>
          <w:tcPr>
            <w:tcW w:w="3197" w:type="dxa"/>
          </w:tcPr>
          <w:p w14:paraId="00F9472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8Г12</w:t>
            </w:r>
          </w:p>
          <w:p w14:paraId="762A7B67" w14:textId="77777777" w:rsidR="004B4E35" w:rsidRPr="00405303" w:rsidRDefault="004B4E35" w:rsidP="00C15251">
            <w:pPr>
              <w:shd w:val="clear" w:color="auto" w:fill="FFFFFF"/>
              <w:jc w:val="both"/>
              <w:rPr>
                <w:bCs/>
                <w:color w:val="002060"/>
                <w:sz w:val="16"/>
                <w:szCs w:val="16"/>
              </w:rPr>
            </w:pPr>
          </w:p>
        </w:tc>
        <w:tc>
          <w:tcPr>
            <w:tcW w:w="710" w:type="dxa"/>
          </w:tcPr>
          <w:p w14:paraId="56CD040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122024E3" w14:textId="77777777" w:rsidR="004B4E35" w:rsidRPr="00405303" w:rsidRDefault="004B4E35" w:rsidP="00C15251">
            <w:pPr>
              <w:shd w:val="clear" w:color="auto" w:fill="FFFFFF"/>
              <w:jc w:val="both"/>
              <w:rPr>
                <w:bCs/>
                <w:color w:val="002060"/>
                <w:sz w:val="16"/>
                <w:szCs w:val="16"/>
              </w:rPr>
            </w:pPr>
          </w:p>
        </w:tc>
        <w:tc>
          <w:tcPr>
            <w:tcW w:w="778" w:type="dxa"/>
          </w:tcPr>
          <w:p w14:paraId="7633CF9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__</w:t>
            </w:r>
          </w:p>
          <w:p w14:paraId="3CB087E3" w14:textId="77777777" w:rsidR="004B4E35" w:rsidRPr="00405303" w:rsidRDefault="004B4E35" w:rsidP="00C15251">
            <w:pPr>
              <w:shd w:val="clear" w:color="auto" w:fill="FFFFFF"/>
              <w:jc w:val="both"/>
              <w:rPr>
                <w:bCs/>
                <w:color w:val="002060"/>
                <w:sz w:val="16"/>
                <w:szCs w:val="16"/>
              </w:rPr>
            </w:pPr>
          </w:p>
        </w:tc>
        <w:tc>
          <w:tcPr>
            <w:tcW w:w="806" w:type="dxa"/>
          </w:tcPr>
          <w:p w14:paraId="5B59DED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w:t>
            </w:r>
          </w:p>
          <w:p w14:paraId="21C5B91E" w14:textId="77777777" w:rsidR="004B4E35" w:rsidRPr="00405303" w:rsidRDefault="004B4E35" w:rsidP="00C15251">
            <w:pPr>
              <w:shd w:val="clear" w:color="auto" w:fill="FFFFFF"/>
              <w:jc w:val="both"/>
              <w:rPr>
                <w:bCs/>
                <w:color w:val="002060"/>
                <w:sz w:val="16"/>
                <w:szCs w:val="16"/>
              </w:rPr>
            </w:pPr>
          </w:p>
        </w:tc>
        <w:tc>
          <w:tcPr>
            <w:tcW w:w="902" w:type="dxa"/>
          </w:tcPr>
          <w:p w14:paraId="395B686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w:t>
            </w:r>
          </w:p>
          <w:p w14:paraId="02C1DDBE" w14:textId="77777777" w:rsidR="004B4E35" w:rsidRPr="00405303" w:rsidRDefault="004B4E35" w:rsidP="00C15251">
            <w:pPr>
              <w:shd w:val="clear" w:color="auto" w:fill="FFFFFF"/>
              <w:jc w:val="both"/>
              <w:rPr>
                <w:bCs/>
                <w:color w:val="002060"/>
                <w:sz w:val="16"/>
                <w:szCs w:val="16"/>
              </w:rPr>
            </w:pPr>
          </w:p>
        </w:tc>
      </w:tr>
      <w:tr w:rsidR="004B4E35" w:rsidRPr="00405303" w14:paraId="57C4F93F" w14:textId="77777777">
        <w:trPr>
          <w:trHeight w:val="182"/>
        </w:trPr>
        <w:tc>
          <w:tcPr>
            <w:tcW w:w="3197" w:type="dxa"/>
          </w:tcPr>
          <w:p w14:paraId="4005A35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9ДТ</w:t>
            </w:r>
          </w:p>
          <w:p w14:paraId="3357323E" w14:textId="77777777" w:rsidR="004B4E35" w:rsidRPr="00405303" w:rsidRDefault="004B4E35" w:rsidP="00C15251">
            <w:pPr>
              <w:shd w:val="clear" w:color="auto" w:fill="FFFFFF"/>
              <w:jc w:val="both"/>
              <w:rPr>
                <w:bCs/>
                <w:color w:val="002060"/>
                <w:sz w:val="16"/>
                <w:szCs w:val="16"/>
              </w:rPr>
            </w:pPr>
          </w:p>
        </w:tc>
        <w:tc>
          <w:tcPr>
            <w:tcW w:w="710" w:type="dxa"/>
          </w:tcPr>
          <w:p w14:paraId="332F49D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28</w:t>
            </w:r>
          </w:p>
          <w:p w14:paraId="38319F38" w14:textId="77777777" w:rsidR="004B4E35" w:rsidRPr="00405303" w:rsidRDefault="004B4E35" w:rsidP="00C15251">
            <w:pPr>
              <w:shd w:val="clear" w:color="auto" w:fill="FFFFFF"/>
              <w:jc w:val="both"/>
              <w:rPr>
                <w:bCs/>
                <w:color w:val="002060"/>
                <w:sz w:val="16"/>
                <w:szCs w:val="16"/>
              </w:rPr>
            </w:pPr>
          </w:p>
        </w:tc>
        <w:tc>
          <w:tcPr>
            <w:tcW w:w="778" w:type="dxa"/>
          </w:tcPr>
          <w:p w14:paraId="62B5EB7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23</w:t>
            </w:r>
          </w:p>
          <w:p w14:paraId="78169F3F" w14:textId="77777777" w:rsidR="004B4E35" w:rsidRPr="00405303" w:rsidRDefault="004B4E35" w:rsidP="00C15251">
            <w:pPr>
              <w:shd w:val="clear" w:color="auto" w:fill="FFFFFF"/>
              <w:jc w:val="both"/>
              <w:rPr>
                <w:bCs/>
                <w:color w:val="002060"/>
                <w:sz w:val="16"/>
                <w:szCs w:val="16"/>
              </w:rPr>
            </w:pPr>
          </w:p>
        </w:tc>
        <w:tc>
          <w:tcPr>
            <w:tcW w:w="806" w:type="dxa"/>
          </w:tcPr>
          <w:p w14:paraId="16E8397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w:t>
            </w:r>
          </w:p>
          <w:p w14:paraId="65F21ECA" w14:textId="77777777" w:rsidR="004B4E35" w:rsidRPr="00405303" w:rsidRDefault="004B4E35" w:rsidP="00C15251">
            <w:pPr>
              <w:shd w:val="clear" w:color="auto" w:fill="FFFFFF"/>
              <w:jc w:val="both"/>
              <w:rPr>
                <w:bCs/>
                <w:color w:val="002060"/>
                <w:sz w:val="16"/>
                <w:szCs w:val="16"/>
              </w:rPr>
            </w:pPr>
          </w:p>
        </w:tc>
        <w:tc>
          <w:tcPr>
            <w:tcW w:w="902" w:type="dxa"/>
          </w:tcPr>
          <w:p w14:paraId="149415E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61</w:t>
            </w:r>
          </w:p>
          <w:p w14:paraId="101A308B" w14:textId="77777777" w:rsidR="004B4E35" w:rsidRPr="00405303" w:rsidRDefault="004B4E35" w:rsidP="00C15251">
            <w:pPr>
              <w:shd w:val="clear" w:color="auto" w:fill="FFFFFF"/>
              <w:jc w:val="both"/>
              <w:rPr>
                <w:bCs/>
                <w:color w:val="002060"/>
                <w:sz w:val="16"/>
                <w:szCs w:val="16"/>
              </w:rPr>
            </w:pPr>
          </w:p>
        </w:tc>
      </w:tr>
      <w:tr w:rsidR="004B4E35" w:rsidRPr="00405303" w14:paraId="49B33BE2" w14:textId="77777777">
        <w:trPr>
          <w:trHeight w:val="173"/>
        </w:trPr>
        <w:tc>
          <w:tcPr>
            <w:tcW w:w="3197" w:type="dxa"/>
          </w:tcPr>
          <w:p w14:paraId="3A9ABAE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10ДТ</w:t>
            </w:r>
          </w:p>
          <w:p w14:paraId="5D021C84" w14:textId="77777777" w:rsidR="004B4E35" w:rsidRPr="00405303" w:rsidRDefault="004B4E35" w:rsidP="00C15251">
            <w:pPr>
              <w:shd w:val="clear" w:color="auto" w:fill="FFFFFF"/>
              <w:jc w:val="both"/>
              <w:rPr>
                <w:bCs/>
                <w:color w:val="002060"/>
                <w:sz w:val="16"/>
                <w:szCs w:val="16"/>
              </w:rPr>
            </w:pPr>
          </w:p>
        </w:tc>
        <w:tc>
          <w:tcPr>
            <w:tcW w:w="710" w:type="dxa"/>
          </w:tcPr>
          <w:p w14:paraId="350CEEE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w:t>
            </w:r>
          </w:p>
          <w:p w14:paraId="4C363D41" w14:textId="77777777" w:rsidR="004B4E35" w:rsidRPr="00405303" w:rsidRDefault="004B4E35" w:rsidP="00C15251">
            <w:pPr>
              <w:shd w:val="clear" w:color="auto" w:fill="FFFFFF"/>
              <w:jc w:val="both"/>
              <w:rPr>
                <w:bCs/>
                <w:color w:val="002060"/>
                <w:sz w:val="16"/>
                <w:szCs w:val="16"/>
              </w:rPr>
            </w:pPr>
          </w:p>
        </w:tc>
        <w:tc>
          <w:tcPr>
            <w:tcW w:w="778" w:type="dxa"/>
          </w:tcPr>
          <w:p w14:paraId="57D8D3E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0,9</w:t>
            </w:r>
          </w:p>
          <w:p w14:paraId="34475230" w14:textId="77777777" w:rsidR="004B4E35" w:rsidRPr="00405303" w:rsidRDefault="004B4E35" w:rsidP="00C15251">
            <w:pPr>
              <w:shd w:val="clear" w:color="auto" w:fill="FFFFFF"/>
              <w:jc w:val="both"/>
              <w:rPr>
                <w:bCs/>
                <w:color w:val="002060"/>
                <w:sz w:val="16"/>
                <w:szCs w:val="16"/>
              </w:rPr>
            </w:pPr>
          </w:p>
        </w:tc>
        <w:tc>
          <w:tcPr>
            <w:tcW w:w="806" w:type="dxa"/>
          </w:tcPr>
          <w:p w14:paraId="2F28D78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w:t>
            </w:r>
          </w:p>
          <w:p w14:paraId="4CE11296" w14:textId="77777777" w:rsidR="004B4E35" w:rsidRPr="00405303" w:rsidRDefault="004B4E35" w:rsidP="00C15251">
            <w:pPr>
              <w:shd w:val="clear" w:color="auto" w:fill="FFFFFF"/>
              <w:jc w:val="both"/>
              <w:rPr>
                <w:bCs/>
                <w:color w:val="002060"/>
                <w:sz w:val="16"/>
                <w:szCs w:val="16"/>
              </w:rPr>
            </w:pPr>
          </w:p>
        </w:tc>
        <w:tc>
          <w:tcPr>
            <w:tcW w:w="902" w:type="dxa"/>
          </w:tcPr>
          <w:p w14:paraId="7192D55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5,9</w:t>
            </w:r>
          </w:p>
          <w:p w14:paraId="290F4412" w14:textId="77777777" w:rsidR="004B4E35" w:rsidRPr="00405303" w:rsidRDefault="004B4E35" w:rsidP="00C15251">
            <w:pPr>
              <w:shd w:val="clear" w:color="auto" w:fill="FFFFFF"/>
              <w:jc w:val="both"/>
              <w:rPr>
                <w:bCs/>
                <w:color w:val="002060"/>
                <w:sz w:val="16"/>
                <w:szCs w:val="16"/>
              </w:rPr>
            </w:pPr>
          </w:p>
        </w:tc>
      </w:tr>
      <w:tr w:rsidR="004B4E35" w:rsidRPr="00405303" w14:paraId="01516B57" w14:textId="77777777">
        <w:trPr>
          <w:trHeight w:val="163"/>
        </w:trPr>
        <w:tc>
          <w:tcPr>
            <w:tcW w:w="3197" w:type="dxa"/>
          </w:tcPr>
          <w:p w14:paraId="7C0D22A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11 ДМ</w:t>
            </w:r>
          </w:p>
          <w:p w14:paraId="1EF7E499" w14:textId="77777777" w:rsidR="004B4E35" w:rsidRPr="00405303" w:rsidRDefault="004B4E35" w:rsidP="00C15251">
            <w:pPr>
              <w:shd w:val="clear" w:color="auto" w:fill="FFFFFF"/>
              <w:jc w:val="both"/>
              <w:rPr>
                <w:bCs/>
                <w:color w:val="002060"/>
                <w:sz w:val="16"/>
                <w:szCs w:val="16"/>
              </w:rPr>
            </w:pPr>
          </w:p>
        </w:tc>
        <w:tc>
          <w:tcPr>
            <w:tcW w:w="710" w:type="dxa"/>
          </w:tcPr>
          <w:p w14:paraId="2709796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w:t>
            </w:r>
          </w:p>
          <w:p w14:paraId="31834A9F" w14:textId="77777777" w:rsidR="004B4E35" w:rsidRPr="00405303" w:rsidRDefault="004B4E35" w:rsidP="00C15251">
            <w:pPr>
              <w:shd w:val="clear" w:color="auto" w:fill="FFFFFF"/>
              <w:jc w:val="both"/>
              <w:rPr>
                <w:bCs/>
                <w:color w:val="002060"/>
                <w:sz w:val="16"/>
                <w:szCs w:val="16"/>
              </w:rPr>
            </w:pPr>
          </w:p>
        </w:tc>
        <w:tc>
          <w:tcPr>
            <w:tcW w:w="778" w:type="dxa"/>
          </w:tcPr>
          <w:p w14:paraId="14D2865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0,1</w:t>
            </w:r>
          </w:p>
          <w:p w14:paraId="6B7768A7" w14:textId="77777777" w:rsidR="004B4E35" w:rsidRPr="00405303" w:rsidRDefault="004B4E35" w:rsidP="00C15251">
            <w:pPr>
              <w:shd w:val="clear" w:color="auto" w:fill="FFFFFF"/>
              <w:jc w:val="both"/>
              <w:rPr>
                <w:bCs/>
                <w:color w:val="002060"/>
                <w:sz w:val="16"/>
                <w:szCs w:val="16"/>
              </w:rPr>
            </w:pPr>
          </w:p>
        </w:tc>
        <w:tc>
          <w:tcPr>
            <w:tcW w:w="806" w:type="dxa"/>
          </w:tcPr>
          <w:p w14:paraId="5EF6B45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w:t>
            </w:r>
          </w:p>
          <w:p w14:paraId="3971808A" w14:textId="77777777" w:rsidR="004B4E35" w:rsidRPr="00405303" w:rsidRDefault="004B4E35" w:rsidP="00C15251">
            <w:pPr>
              <w:shd w:val="clear" w:color="auto" w:fill="FFFFFF"/>
              <w:jc w:val="both"/>
              <w:rPr>
                <w:bCs/>
                <w:color w:val="002060"/>
                <w:sz w:val="16"/>
                <w:szCs w:val="16"/>
              </w:rPr>
            </w:pPr>
          </w:p>
        </w:tc>
        <w:tc>
          <w:tcPr>
            <w:tcW w:w="902" w:type="dxa"/>
          </w:tcPr>
          <w:p w14:paraId="525D0F8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2,1</w:t>
            </w:r>
          </w:p>
          <w:p w14:paraId="572A0011" w14:textId="77777777" w:rsidR="004B4E35" w:rsidRPr="00405303" w:rsidRDefault="004B4E35" w:rsidP="00C15251">
            <w:pPr>
              <w:shd w:val="clear" w:color="auto" w:fill="FFFFFF"/>
              <w:jc w:val="both"/>
              <w:rPr>
                <w:bCs/>
                <w:color w:val="002060"/>
                <w:sz w:val="16"/>
                <w:szCs w:val="16"/>
              </w:rPr>
            </w:pPr>
          </w:p>
        </w:tc>
      </w:tr>
      <w:tr w:rsidR="004B4E35" w:rsidRPr="00405303" w14:paraId="3CEEB48C" w14:textId="77777777">
        <w:trPr>
          <w:trHeight w:val="163"/>
        </w:trPr>
        <w:tc>
          <w:tcPr>
            <w:tcW w:w="3197" w:type="dxa"/>
          </w:tcPr>
          <w:p w14:paraId="2B8F8FF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13ГТ</w:t>
            </w:r>
          </w:p>
          <w:p w14:paraId="3D91F841" w14:textId="77777777" w:rsidR="004B4E35" w:rsidRPr="00405303" w:rsidRDefault="004B4E35" w:rsidP="00C15251">
            <w:pPr>
              <w:shd w:val="clear" w:color="auto" w:fill="FFFFFF"/>
              <w:jc w:val="both"/>
              <w:rPr>
                <w:bCs/>
                <w:color w:val="002060"/>
                <w:sz w:val="16"/>
                <w:szCs w:val="16"/>
              </w:rPr>
            </w:pPr>
          </w:p>
        </w:tc>
        <w:tc>
          <w:tcPr>
            <w:tcW w:w="710" w:type="dxa"/>
          </w:tcPr>
          <w:p w14:paraId="23EDA39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_</w:t>
            </w:r>
          </w:p>
          <w:p w14:paraId="6EA92B58" w14:textId="77777777" w:rsidR="004B4E35" w:rsidRPr="00405303" w:rsidRDefault="004B4E35" w:rsidP="00C15251">
            <w:pPr>
              <w:shd w:val="clear" w:color="auto" w:fill="FFFFFF"/>
              <w:jc w:val="both"/>
              <w:rPr>
                <w:bCs/>
                <w:color w:val="002060"/>
                <w:sz w:val="16"/>
                <w:szCs w:val="16"/>
              </w:rPr>
            </w:pPr>
          </w:p>
        </w:tc>
        <w:tc>
          <w:tcPr>
            <w:tcW w:w="778" w:type="dxa"/>
          </w:tcPr>
          <w:p w14:paraId="6AF0D33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w:t>
            </w:r>
          </w:p>
          <w:p w14:paraId="33E3D5C0" w14:textId="77777777" w:rsidR="004B4E35" w:rsidRPr="00405303" w:rsidRDefault="004B4E35" w:rsidP="00C15251">
            <w:pPr>
              <w:shd w:val="clear" w:color="auto" w:fill="FFFFFF"/>
              <w:jc w:val="both"/>
              <w:rPr>
                <w:bCs/>
                <w:color w:val="002060"/>
                <w:sz w:val="16"/>
                <w:szCs w:val="16"/>
              </w:rPr>
            </w:pPr>
          </w:p>
        </w:tc>
        <w:tc>
          <w:tcPr>
            <w:tcW w:w="806" w:type="dxa"/>
          </w:tcPr>
          <w:p w14:paraId="468BE87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14</w:t>
            </w:r>
          </w:p>
          <w:p w14:paraId="0061DC2D" w14:textId="77777777" w:rsidR="004B4E35" w:rsidRPr="00405303" w:rsidRDefault="004B4E35" w:rsidP="00C15251">
            <w:pPr>
              <w:shd w:val="clear" w:color="auto" w:fill="FFFFFF"/>
              <w:jc w:val="both"/>
              <w:rPr>
                <w:bCs/>
                <w:color w:val="002060"/>
                <w:sz w:val="16"/>
                <w:szCs w:val="16"/>
              </w:rPr>
            </w:pPr>
          </w:p>
        </w:tc>
        <w:tc>
          <w:tcPr>
            <w:tcW w:w="902" w:type="dxa"/>
          </w:tcPr>
          <w:p w14:paraId="45484DA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34</w:t>
            </w:r>
          </w:p>
          <w:p w14:paraId="01D75544" w14:textId="77777777" w:rsidR="004B4E35" w:rsidRPr="00405303" w:rsidRDefault="004B4E35" w:rsidP="00C15251">
            <w:pPr>
              <w:shd w:val="clear" w:color="auto" w:fill="FFFFFF"/>
              <w:jc w:val="both"/>
              <w:rPr>
                <w:bCs/>
                <w:color w:val="002060"/>
                <w:sz w:val="16"/>
                <w:szCs w:val="16"/>
              </w:rPr>
            </w:pPr>
          </w:p>
        </w:tc>
      </w:tr>
      <w:tr w:rsidR="004B4E35" w:rsidRPr="00405303" w14:paraId="530E78FE" w14:textId="77777777">
        <w:trPr>
          <w:trHeight w:val="173"/>
        </w:trPr>
        <w:tc>
          <w:tcPr>
            <w:tcW w:w="3197" w:type="dxa"/>
          </w:tcPr>
          <w:p w14:paraId="2C91241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17ГМ</w:t>
            </w:r>
          </w:p>
          <w:p w14:paraId="57229744" w14:textId="77777777" w:rsidR="004B4E35" w:rsidRPr="00405303" w:rsidRDefault="004B4E35" w:rsidP="00C15251">
            <w:pPr>
              <w:shd w:val="clear" w:color="auto" w:fill="FFFFFF"/>
              <w:jc w:val="both"/>
              <w:rPr>
                <w:bCs/>
                <w:color w:val="002060"/>
                <w:sz w:val="16"/>
                <w:szCs w:val="16"/>
              </w:rPr>
            </w:pPr>
          </w:p>
        </w:tc>
        <w:tc>
          <w:tcPr>
            <w:tcW w:w="710" w:type="dxa"/>
          </w:tcPr>
          <w:p w14:paraId="6511F0C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14</w:t>
            </w:r>
          </w:p>
          <w:p w14:paraId="7C4F03C4" w14:textId="77777777" w:rsidR="004B4E35" w:rsidRPr="00405303" w:rsidRDefault="004B4E35" w:rsidP="00C15251">
            <w:pPr>
              <w:shd w:val="clear" w:color="auto" w:fill="FFFFFF"/>
              <w:jc w:val="both"/>
              <w:rPr>
                <w:bCs/>
                <w:color w:val="002060"/>
                <w:sz w:val="16"/>
                <w:szCs w:val="16"/>
              </w:rPr>
            </w:pPr>
          </w:p>
        </w:tc>
        <w:tc>
          <w:tcPr>
            <w:tcW w:w="778" w:type="dxa"/>
          </w:tcPr>
          <w:p w14:paraId="7E50719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6F234DCD" w14:textId="77777777" w:rsidR="004B4E35" w:rsidRPr="00405303" w:rsidRDefault="004B4E35" w:rsidP="00C15251">
            <w:pPr>
              <w:shd w:val="clear" w:color="auto" w:fill="FFFFFF"/>
              <w:jc w:val="both"/>
              <w:rPr>
                <w:bCs/>
                <w:color w:val="002060"/>
                <w:sz w:val="16"/>
                <w:szCs w:val="16"/>
              </w:rPr>
            </w:pPr>
          </w:p>
        </w:tc>
        <w:tc>
          <w:tcPr>
            <w:tcW w:w="806" w:type="dxa"/>
          </w:tcPr>
          <w:p w14:paraId="386CB37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w:t>
            </w:r>
          </w:p>
          <w:p w14:paraId="3D2E087E" w14:textId="77777777" w:rsidR="004B4E35" w:rsidRPr="00405303" w:rsidRDefault="004B4E35" w:rsidP="00C15251">
            <w:pPr>
              <w:shd w:val="clear" w:color="auto" w:fill="FFFFFF"/>
              <w:jc w:val="both"/>
              <w:rPr>
                <w:bCs/>
                <w:color w:val="002060"/>
                <w:sz w:val="16"/>
                <w:szCs w:val="16"/>
              </w:rPr>
            </w:pPr>
          </w:p>
        </w:tc>
        <w:tc>
          <w:tcPr>
            <w:tcW w:w="902" w:type="dxa"/>
          </w:tcPr>
          <w:p w14:paraId="2A0893F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24</w:t>
            </w:r>
          </w:p>
          <w:p w14:paraId="2620CABD" w14:textId="77777777" w:rsidR="004B4E35" w:rsidRPr="00405303" w:rsidRDefault="004B4E35" w:rsidP="00C15251">
            <w:pPr>
              <w:shd w:val="clear" w:color="auto" w:fill="FFFFFF"/>
              <w:jc w:val="both"/>
              <w:rPr>
                <w:bCs/>
                <w:color w:val="002060"/>
                <w:sz w:val="16"/>
                <w:szCs w:val="16"/>
              </w:rPr>
            </w:pPr>
          </w:p>
        </w:tc>
      </w:tr>
      <w:tr w:rsidR="004B4E35" w:rsidRPr="00405303" w14:paraId="3811D77F" w14:textId="77777777">
        <w:trPr>
          <w:trHeight w:val="192"/>
        </w:trPr>
        <w:tc>
          <w:tcPr>
            <w:tcW w:w="3197" w:type="dxa"/>
          </w:tcPr>
          <w:p w14:paraId="6D449B4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Запалы крупным гранатам № 11, 12, 13 и</w:t>
            </w:r>
          </w:p>
          <w:p w14:paraId="7C0638C0" w14:textId="77777777" w:rsidR="004B4E35" w:rsidRPr="00405303" w:rsidRDefault="004B4E35" w:rsidP="00C15251">
            <w:pPr>
              <w:shd w:val="clear" w:color="auto" w:fill="FFFFFF"/>
              <w:jc w:val="both"/>
              <w:rPr>
                <w:bCs/>
                <w:color w:val="002060"/>
                <w:sz w:val="16"/>
                <w:szCs w:val="16"/>
              </w:rPr>
            </w:pPr>
          </w:p>
        </w:tc>
        <w:tc>
          <w:tcPr>
            <w:tcW w:w="710" w:type="dxa"/>
          </w:tcPr>
          <w:p w14:paraId="15BC1A0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617</w:t>
            </w:r>
          </w:p>
          <w:p w14:paraId="6C40721C" w14:textId="77777777" w:rsidR="004B4E35" w:rsidRPr="00405303" w:rsidRDefault="004B4E35" w:rsidP="00C15251">
            <w:pPr>
              <w:shd w:val="clear" w:color="auto" w:fill="FFFFFF"/>
              <w:jc w:val="both"/>
              <w:rPr>
                <w:bCs/>
                <w:color w:val="002060"/>
                <w:sz w:val="16"/>
                <w:szCs w:val="16"/>
              </w:rPr>
            </w:pPr>
          </w:p>
        </w:tc>
        <w:tc>
          <w:tcPr>
            <w:tcW w:w="778" w:type="dxa"/>
          </w:tcPr>
          <w:p w14:paraId="7F66930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5603</w:t>
            </w:r>
          </w:p>
          <w:p w14:paraId="1D2290DD" w14:textId="77777777" w:rsidR="004B4E35" w:rsidRPr="00405303" w:rsidRDefault="004B4E35" w:rsidP="00C15251">
            <w:pPr>
              <w:shd w:val="clear" w:color="auto" w:fill="FFFFFF"/>
              <w:jc w:val="both"/>
              <w:rPr>
                <w:bCs/>
                <w:color w:val="002060"/>
                <w:sz w:val="16"/>
                <w:szCs w:val="16"/>
              </w:rPr>
            </w:pPr>
          </w:p>
        </w:tc>
        <w:tc>
          <w:tcPr>
            <w:tcW w:w="806" w:type="dxa"/>
          </w:tcPr>
          <w:p w14:paraId="521C3FB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18903</w:t>
            </w:r>
          </w:p>
          <w:p w14:paraId="20C5D3C9" w14:textId="77777777" w:rsidR="004B4E35" w:rsidRPr="00405303" w:rsidRDefault="004B4E35" w:rsidP="00C15251">
            <w:pPr>
              <w:shd w:val="clear" w:color="auto" w:fill="FFFFFF"/>
              <w:jc w:val="both"/>
              <w:rPr>
                <w:bCs/>
                <w:color w:val="002060"/>
                <w:sz w:val="16"/>
                <w:szCs w:val="16"/>
              </w:rPr>
            </w:pPr>
          </w:p>
        </w:tc>
        <w:tc>
          <w:tcPr>
            <w:tcW w:w="902" w:type="dxa"/>
          </w:tcPr>
          <w:p w14:paraId="605A7A3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25 123</w:t>
            </w:r>
          </w:p>
          <w:p w14:paraId="0A108D85" w14:textId="77777777" w:rsidR="004B4E35" w:rsidRPr="00405303" w:rsidRDefault="004B4E35" w:rsidP="00C15251">
            <w:pPr>
              <w:shd w:val="clear" w:color="auto" w:fill="FFFFFF"/>
              <w:jc w:val="both"/>
              <w:rPr>
                <w:bCs/>
                <w:color w:val="002060"/>
                <w:sz w:val="16"/>
                <w:szCs w:val="16"/>
              </w:rPr>
            </w:pPr>
          </w:p>
        </w:tc>
      </w:tr>
      <w:tr w:rsidR="004B4E35" w:rsidRPr="00405303" w14:paraId="4AF7439F" w14:textId="77777777">
        <w:trPr>
          <w:trHeight w:val="163"/>
        </w:trPr>
        <w:tc>
          <w:tcPr>
            <w:tcW w:w="3197" w:type="dxa"/>
          </w:tcPr>
          <w:p w14:paraId="1F84F51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Новицкого</w:t>
            </w:r>
          </w:p>
          <w:p w14:paraId="4ABC0212" w14:textId="77777777" w:rsidR="004B4E35" w:rsidRPr="00405303" w:rsidRDefault="004B4E35" w:rsidP="00C15251">
            <w:pPr>
              <w:shd w:val="clear" w:color="auto" w:fill="FFFFFF"/>
              <w:jc w:val="both"/>
              <w:rPr>
                <w:bCs/>
                <w:color w:val="002060"/>
                <w:sz w:val="16"/>
                <w:szCs w:val="16"/>
              </w:rPr>
            </w:pPr>
          </w:p>
        </w:tc>
        <w:tc>
          <w:tcPr>
            <w:tcW w:w="710" w:type="dxa"/>
          </w:tcPr>
          <w:p w14:paraId="29A850A5" w14:textId="77777777" w:rsidR="004B4E35" w:rsidRPr="00405303" w:rsidRDefault="004B4E35" w:rsidP="00C15251">
            <w:pPr>
              <w:shd w:val="clear" w:color="auto" w:fill="FFFFFF"/>
              <w:jc w:val="both"/>
              <w:rPr>
                <w:bCs/>
                <w:color w:val="002060"/>
                <w:sz w:val="16"/>
                <w:szCs w:val="16"/>
              </w:rPr>
            </w:pPr>
          </w:p>
          <w:p w14:paraId="392A9731" w14:textId="77777777" w:rsidR="004B4E35" w:rsidRPr="00405303" w:rsidRDefault="004B4E35" w:rsidP="00C15251">
            <w:pPr>
              <w:shd w:val="clear" w:color="auto" w:fill="FFFFFF"/>
              <w:jc w:val="both"/>
              <w:rPr>
                <w:bCs/>
                <w:color w:val="002060"/>
                <w:sz w:val="16"/>
                <w:szCs w:val="16"/>
              </w:rPr>
            </w:pPr>
          </w:p>
        </w:tc>
        <w:tc>
          <w:tcPr>
            <w:tcW w:w="778" w:type="dxa"/>
          </w:tcPr>
          <w:p w14:paraId="31F7170E" w14:textId="77777777" w:rsidR="004B4E35" w:rsidRPr="00405303" w:rsidRDefault="004B4E35" w:rsidP="00C15251">
            <w:pPr>
              <w:shd w:val="clear" w:color="auto" w:fill="FFFFFF"/>
              <w:jc w:val="both"/>
              <w:rPr>
                <w:bCs/>
                <w:color w:val="002060"/>
                <w:sz w:val="16"/>
                <w:szCs w:val="16"/>
              </w:rPr>
            </w:pPr>
          </w:p>
          <w:p w14:paraId="6F3C4F45" w14:textId="77777777" w:rsidR="004B4E35" w:rsidRPr="00405303" w:rsidRDefault="004B4E35" w:rsidP="00C15251">
            <w:pPr>
              <w:shd w:val="clear" w:color="auto" w:fill="FFFFFF"/>
              <w:jc w:val="both"/>
              <w:rPr>
                <w:bCs/>
                <w:color w:val="002060"/>
                <w:sz w:val="16"/>
                <w:szCs w:val="16"/>
              </w:rPr>
            </w:pPr>
          </w:p>
        </w:tc>
        <w:tc>
          <w:tcPr>
            <w:tcW w:w="806" w:type="dxa"/>
          </w:tcPr>
          <w:p w14:paraId="77BA0C70" w14:textId="77777777" w:rsidR="004B4E35" w:rsidRPr="00405303" w:rsidRDefault="004B4E35" w:rsidP="00C15251">
            <w:pPr>
              <w:shd w:val="clear" w:color="auto" w:fill="FFFFFF"/>
              <w:jc w:val="both"/>
              <w:rPr>
                <w:bCs/>
                <w:color w:val="002060"/>
                <w:sz w:val="16"/>
                <w:szCs w:val="16"/>
              </w:rPr>
            </w:pPr>
          </w:p>
          <w:p w14:paraId="377C26FD" w14:textId="77777777" w:rsidR="004B4E35" w:rsidRPr="00405303" w:rsidRDefault="004B4E35" w:rsidP="00C15251">
            <w:pPr>
              <w:shd w:val="clear" w:color="auto" w:fill="FFFFFF"/>
              <w:jc w:val="both"/>
              <w:rPr>
                <w:bCs/>
                <w:color w:val="002060"/>
                <w:sz w:val="16"/>
                <w:szCs w:val="16"/>
              </w:rPr>
            </w:pPr>
          </w:p>
        </w:tc>
        <w:tc>
          <w:tcPr>
            <w:tcW w:w="902" w:type="dxa"/>
          </w:tcPr>
          <w:p w14:paraId="30F08CF4" w14:textId="77777777" w:rsidR="004B4E35" w:rsidRPr="00405303" w:rsidRDefault="004B4E35" w:rsidP="00C15251">
            <w:pPr>
              <w:shd w:val="clear" w:color="auto" w:fill="FFFFFF"/>
              <w:jc w:val="both"/>
              <w:rPr>
                <w:bCs/>
                <w:color w:val="002060"/>
                <w:sz w:val="16"/>
                <w:szCs w:val="16"/>
              </w:rPr>
            </w:pPr>
          </w:p>
          <w:p w14:paraId="175C4CB4" w14:textId="77777777" w:rsidR="004B4E35" w:rsidRPr="00405303" w:rsidRDefault="004B4E35" w:rsidP="00C15251">
            <w:pPr>
              <w:shd w:val="clear" w:color="auto" w:fill="FFFFFF"/>
              <w:jc w:val="both"/>
              <w:rPr>
                <w:bCs/>
                <w:color w:val="002060"/>
                <w:sz w:val="16"/>
                <w:szCs w:val="16"/>
              </w:rPr>
            </w:pPr>
          </w:p>
        </w:tc>
      </w:tr>
      <w:tr w:rsidR="004B4E35" w:rsidRPr="00405303" w14:paraId="7B7A1098" w14:textId="77777777">
        <w:trPr>
          <w:trHeight w:val="374"/>
        </w:trPr>
        <w:tc>
          <w:tcPr>
            <w:tcW w:w="3197" w:type="dxa"/>
          </w:tcPr>
          <w:p w14:paraId="0AEA076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Капсюльные втулки</w:t>
            </w:r>
          </w:p>
          <w:p w14:paraId="4F29B4D5" w14:textId="77777777" w:rsidR="004B4E35" w:rsidRPr="00405303" w:rsidRDefault="004B4E35" w:rsidP="00C15251">
            <w:pPr>
              <w:shd w:val="clear" w:color="auto" w:fill="FFFFFF"/>
              <w:jc w:val="both"/>
              <w:rPr>
                <w:bCs/>
                <w:color w:val="002060"/>
                <w:sz w:val="16"/>
                <w:szCs w:val="16"/>
              </w:rPr>
            </w:pPr>
          </w:p>
        </w:tc>
        <w:tc>
          <w:tcPr>
            <w:tcW w:w="710" w:type="dxa"/>
          </w:tcPr>
          <w:p w14:paraId="0E0B29B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625</w:t>
            </w:r>
          </w:p>
          <w:p w14:paraId="5D4D3A1C" w14:textId="77777777" w:rsidR="004B4E35" w:rsidRPr="00405303" w:rsidRDefault="004B4E35" w:rsidP="00C15251">
            <w:pPr>
              <w:shd w:val="clear" w:color="auto" w:fill="FFFFFF"/>
              <w:jc w:val="both"/>
              <w:rPr>
                <w:bCs/>
                <w:color w:val="002060"/>
                <w:sz w:val="16"/>
                <w:szCs w:val="16"/>
              </w:rPr>
            </w:pPr>
          </w:p>
        </w:tc>
        <w:tc>
          <w:tcPr>
            <w:tcW w:w="778" w:type="dxa"/>
          </w:tcPr>
          <w:p w14:paraId="76BB271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5 381</w:t>
            </w:r>
          </w:p>
          <w:p w14:paraId="04D6FB1E" w14:textId="77777777" w:rsidR="004B4E35" w:rsidRPr="00405303" w:rsidRDefault="004B4E35" w:rsidP="00C15251">
            <w:pPr>
              <w:shd w:val="clear" w:color="auto" w:fill="FFFFFF"/>
              <w:jc w:val="both"/>
              <w:rPr>
                <w:bCs/>
                <w:color w:val="002060"/>
                <w:sz w:val="16"/>
                <w:szCs w:val="16"/>
              </w:rPr>
            </w:pPr>
          </w:p>
        </w:tc>
        <w:tc>
          <w:tcPr>
            <w:tcW w:w="806" w:type="dxa"/>
          </w:tcPr>
          <w:p w14:paraId="466C611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6079</w:t>
            </w:r>
          </w:p>
          <w:p w14:paraId="46D4F210" w14:textId="77777777" w:rsidR="004B4E35" w:rsidRPr="00405303" w:rsidRDefault="004B4E35" w:rsidP="00C15251">
            <w:pPr>
              <w:shd w:val="clear" w:color="auto" w:fill="FFFFFF"/>
              <w:jc w:val="both"/>
              <w:rPr>
                <w:bCs/>
                <w:color w:val="002060"/>
                <w:sz w:val="16"/>
                <w:szCs w:val="16"/>
              </w:rPr>
            </w:pPr>
          </w:p>
        </w:tc>
        <w:tc>
          <w:tcPr>
            <w:tcW w:w="902" w:type="dxa"/>
          </w:tcPr>
          <w:p w14:paraId="725739A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12085</w:t>
            </w:r>
          </w:p>
          <w:p w14:paraId="174CE1AB" w14:textId="77777777" w:rsidR="004B4E35" w:rsidRPr="00405303" w:rsidRDefault="004B4E35" w:rsidP="00C15251">
            <w:pPr>
              <w:shd w:val="clear" w:color="auto" w:fill="FFFFFF"/>
              <w:jc w:val="both"/>
              <w:rPr>
                <w:bCs/>
                <w:color w:val="002060"/>
                <w:sz w:val="16"/>
                <w:szCs w:val="16"/>
              </w:rPr>
            </w:pPr>
          </w:p>
        </w:tc>
      </w:tr>
    </w:tbl>
    <w:p w14:paraId="14DB8F4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1.13. Продукция, выпущенная Петроградским трубочным заводом в период 1910—1913 гг. (в тыс. шт.)</w:t>
      </w:r>
    </w:p>
    <w:p w14:paraId="46138A2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Изделие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187"/>
        <w:gridCol w:w="662"/>
        <w:gridCol w:w="806"/>
        <w:gridCol w:w="720"/>
        <w:gridCol w:w="1018"/>
      </w:tblGrid>
      <w:tr w:rsidR="004B4E35" w:rsidRPr="00405303" w14:paraId="793D6178" w14:textId="77777777">
        <w:trPr>
          <w:trHeight w:val="269"/>
        </w:trPr>
        <w:tc>
          <w:tcPr>
            <w:tcW w:w="3187" w:type="dxa"/>
          </w:tcPr>
          <w:p w14:paraId="76A7D65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Дистанционные трубки:</w:t>
            </w:r>
          </w:p>
          <w:p w14:paraId="1FD63E64" w14:textId="77777777" w:rsidR="004B4E35" w:rsidRPr="00405303" w:rsidRDefault="004B4E35" w:rsidP="00C15251">
            <w:pPr>
              <w:shd w:val="clear" w:color="auto" w:fill="FFFFFF"/>
              <w:jc w:val="both"/>
              <w:rPr>
                <w:bCs/>
                <w:color w:val="002060"/>
                <w:sz w:val="16"/>
                <w:szCs w:val="16"/>
              </w:rPr>
            </w:pPr>
          </w:p>
        </w:tc>
        <w:tc>
          <w:tcPr>
            <w:tcW w:w="662" w:type="dxa"/>
          </w:tcPr>
          <w:p w14:paraId="79244F2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1910</w:t>
            </w:r>
          </w:p>
          <w:p w14:paraId="00FC85CD" w14:textId="77777777" w:rsidR="004B4E35" w:rsidRPr="00405303" w:rsidRDefault="004B4E35" w:rsidP="00C15251">
            <w:pPr>
              <w:shd w:val="clear" w:color="auto" w:fill="FFFFFF"/>
              <w:jc w:val="both"/>
              <w:rPr>
                <w:bCs/>
                <w:color w:val="002060"/>
                <w:sz w:val="16"/>
                <w:szCs w:val="16"/>
              </w:rPr>
            </w:pPr>
          </w:p>
        </w:tc>
        <w:tc>
          <w:tcPr>
            <w:tcW w:w="806" w:type="dxa"/>
          </w:tcPr>
          <w:p w14:paraId="72A5B0A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1911</w:t>
            </w:r>
          </w:p>
          <w:p w14:paraId="59771D29" w14:textId="77777777" w:rsidR="004B4E35" w:rsidRPr="00405303" w:rsidRDefault="004B4E35" w:rsidP="00C15251">
            <w:pPr>
              <w:shd w:val="clear" w:color="auto" w:fill="FFFFFF"/>
              <w:jc w:val="both"/>
              <w:rPr>
                <w:bCs/>
                <w:color w:val="002060"/>
                <w:sz w:val="16"/>
                <w:szCs w:val="16"/>
              </w:rPr>
            </w:pPr>
          </w:p>
        </w:tc>
        <w:tc>
          <w:tcPr>
            <w:tcW w:w="720" w:type="dxa"/>
          </w:tcPr>
          <w:p w14:paraId="49A6842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1912</w:t>
            </w:r>
          </w:p>
          <w:p w14:paraId="14280F2E" w14:textId="77777777" w:rsidR="004B4E35" w:rsidRPr="00405303" w:rsidRDefault="004B4E35" w:rsidP="00C15251">
            <w:pPr>
              <w:shd w:val="clear" w:color="auto" w:fill="FFFFFF"/>
              <w:jc w:val="both"/>
              <w:rPr>
                <w:bCs/>
                <w:color w:val="002060"/>
                <w:sz w:val="16"/>
                <w:szCs w:val="16"/>
              </w:rPr>
            </w:pPr>
          </w:p>
        </w:tc>
        <w:tc>
          <w:tcPr>
            <w:tcW w:w="1018" w:type="dxa"/>
          </w:tcPr>
          <w:p w14:paraId="5FDB10B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1913</w:t>
            </w:r>
          </w:p>
          <w:p w14:paraId="721DB889" w14:textId="77777777" w:rsidR="004B4E35" w:rsidRPr="00405303" w:rsidRDefault="004B4E35" w:rsidP="00C15251">
            <w:pPr>
              <w:shd w:val="clear" w:color="auto" w:fill="FFFFFF"/>
              <w:jc w:val="both"/>
              <w:rPr>
                <w:bCs/>
                <w:color w:val="002060"/>
                <w:sz w:val="16"/>
                <w:szCs w:val="16"/>
              </w:rPr>
            </w:pPr>
          </w:p>
        </w:tc>
      </w:tr>
      <w:tr w:rsidR="004B4E35" w:rsidRPr="00405303" w14:paraId="51197703" w14:textId="77777777">
        <w:trPr>
          <w:trHeight w:val="154"/>
        </w:trPr>
        <w:tc>
          <w:tcPr>
            <w:tcW w:w="3187" w:type="dxa"/>
          </w:tcPr>
          <w:p w14:paraId="42D1229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двойного действия</w:t>
            </w:r>
          </w:p>
          <w:p w14:paraId="6C29E222" w14:textId="77777777" w:rsidR="004B4E35" w:rsidRPr="00405303" w:rsidRDefault="004B4E35" w:rsidP="00C15251">
            <w:pPr>
              <w:shd w:val="clear" w:color="auto" w:fill="FFFFFF"/>
              <w:jc w:val="both"/>
              <w:rPr>
                <w:bCs/>
                <w:color w:val="002060"/>
                <w:sz w:val="16"/>
                <w:szCs w:val="16"/>
              </w:rPr>
            </w:pPr>
          </w:p>
        </w:tc>
        <w:tc>
          <w:tcPr>
            <w:tcW w:w="662" w:type="dxa"/>
          </w:tcPr>
          <w:p w14:paraId="1DD53148" w14:textId="77777777" w:rsidR="004B4E35" w:rsidRPr="00405303" w:rsidRDefault="004B4E35" w:rsidP="00C15251">
            <w:pPr>
              <w:shd w:val="clear" w:color="auto" w:fill="FFFFFF"/>
              <w:jc w:val="both"/>
              <w:rPr>
                <w:bCs/>
                <w:color w:val="002060"/>
                <w:sz w:val="16"/>
                <w:szCs w:val="16"/>
              </w:rPr>
            </w:pPr>
          </w:p>
          <w:p w14:paraId="16D0659C" w14:textId="77777777" w:rsidR="004B4E35" w:rsidRPr="00405303" w:rsidRDefault="004B4E35" w:rsidP="00C15251">
            <w:pPr>
              <w:shd w:val="clear" w:color="auto" w:fill="FFFFFF"/>
              <w:jc w:val="both"/>
              <w:rPr>
                <w:bCs/>
                <w:color w:val="002060"/>
                <w:sz w:val="16"/>
                <w:szCs w:val="16"/>
              </w:rPr>
            </w:pPr>
          </w:p>
        </w:tc>
        <w:tc>
          <w:tcPr>
            <w:tcW w:w="806" w:type="dxa"/>
          </w:tcPr>
          <w:p w14:paraId="53D6CBF7" w14:textId="77777777" w:rsidR="004B4E35" w:rsidRPr="00405303" w:rsidRDefault="004B4E35" w:rsidP="00C15251">
            <w:pPr>
              <w:shd w:val="clear" w:color="auto" w:fill="FFFFFF"/>
              <w:jc w:val="both"/>
              <w:rPr>
                <w:bCs/>
                <w:color w:val="002060"/>
                <w:sz w:val="16"/>
                <w:szCs w:val="16"/>
              </w:rPr>
            </w:pPr>
          </w:p>
          <w:p w14:paraId="725BA8B5" w14:textId="77777777" w:rsidR="004B4E35" w:rsidRPr="00405303" w:rsidRDefault="004B4E35" w:rsidP="00C15251">
            <w:pPr>
              <w:shd w:val="clear" w:color="auto" w:fill="FFFFFF"/>
              <w:jc w:val="both"/>
              <w:rPr>
                <w:bCs/>
                <w:color w:val="002060"/>
                <w:sz w:val="16"/>
                <w:szCs w:val="16"/>
              </w:rPr>
            </w:pPr>
          </w:p>
        </w:tc>
        <w:tc>
          <w:tcPr>
            <w:tcW w:w="720" w:type="dxa"/>
          </w:tcPr>
          <w:p w14:paraId="416409C3" w14:textId="77777777" w:rsidR="004B4E35" w:rsidRPr="00405303" w:rsidRDefault="004B4E35" w:rsidP="00C15251">
            <w:pPr>
              <w:shd w:val="clear" w:color="auto" w:fill="FFFFFF"/>
              <w:jc w:val="both"/>
              <w:rPr>
                <w:bCs/>
                <w:color w:val="002060"/>
                <w:sz w:val="16"/>
                <w:szCs w:val="16"/>
              </w:rPr>
            </w:pPr>
          </w:p>
          <w:p w14:paraId="35D747CC" w14:textId="77777777" w:rsidR="004B4E35" w:rsidRPr="00405303" w:rsidRDefault="004B4E35" w:rsidP="00C15251">
            <w:pPr>
              <w:shd w:val="clear" w:color="auto" w:fill="FFFFFF"/>
              <w:jc w:val="both"/>
              <w:rPr>
                <w:bCs/>
                <w:color w:val="002060"/>
                <w:sz w:val="16"/>
                <w:szCs w:val="16"/>
              </w:rPr>
            </w:pPr>
          </w:p>
        </w:tc>
        <w:tc>
          <w:tcPr>
            <w:tcW w:w="1018" w:type="dxa"/>
          </w:tcPr>
          <w:p w14:paraId="1EEA1B4D" w14:textId="77777777" w:rsidR="004B4E35" w:rsidRPr="00405303" w:rsidRDefault="004B4E35" w:rsidP="00C15251">
            <w:pPr>
              <w:shd w:val="clear" w:color="auto" w:fill="FFFFFF"/>
              <w:jc w:val="both"/>
              <w:rPr>
                <w:bCs/>
                <w:color w:val="002060"/>
                <w:sz w:val="16"/>
                <w:szCs w:val="16"/>
              </w:rPr>
            </w:pPr>
          </w:p>
          <w:p w14:paraId="162629AC" w14:textId="77777777" w:rsidR="004B4E35" w:rsidRPr="00405303" w:rsidRDefault="004B4E35" w:rsidP="00C15251">
            <w:pPr>
              <w:shd w:val="clear" w:color="auto" w:fill="FFFFFF"/>
              <w:jc w:val="both"/>
              <w:rPr>
                <w:bCs/>
                <w:color w:val="002060"/>
                <w:sz w:val="16"/>
                <w:szCs w:val="16"/>
              </w:rPr>
            </w:pPr>
          </w:p>
        </w:tc>
      </w:tr>
      <w:tr w:rsidR="004B4E35" w:rsidRPr="00405303" w14:paraId="0121A5C1" w14:textId="77777777">
        <w:trPr>
          <w:trHeight w:val="182"/>
        </w:trPr>
        <w:tc>
          <w:tcPr>
            <w:tcW w:w="3187" w:type="dxa"/>
          </w:tcPr>
          <w:p w14:paraId="58F78B8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22-секундные</w:t>
            </w:r>
          </w:p>
          <w:p w14:paraId="2BB080ED" w14:textId="77777777" w:rsidR="004B4E35" w:rsidRPr="00405303" w:rsidRDefault="004B4E35" w:rsidP="00C15251">
            <w:pPr>
              <w:shd w:val="clear" w:color="auto" w:fill="FFFFFF"/>
              <w:jc w:val="both"/>
              <w:rPr>
                <w:bCs/>
                <w:color w:val="002060"/>
                <w:sz w:val="16"/>
                <w:szCs w:val="16"/>
              </w:rPr>
            </w:pPr>
          </w:p>
        </w:tc>
        <w:tc>
          <w:tcPr>
            <w:tcW w:w="662" w:type="dxa"/>
          </w:tcPr>
          <w:p w14:paraId="2D4ED77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829</w:t>
            </w:r>
          </w:p>
          <w:p w14:paraId="44ADDCFB" w14:textId="77777777" w:rsidR="004B4E35" w:rsidRPr="00405303" w:rsidRDefault="004B4E35" w:rsidP="00C15251">
            <w:pPr>
              <w:shd w:val="clear" w:color="auto" w:fill="FFFFFF"/>
              <w:jc w:val="both"/>
              <w:rPr>
                <w:bCs/>
                <w:color w:val="002060"/>
                <w:sz w:val="16"/>
                <w:szCs w:val="16"/>
              </w:rPr>
            </w:pPr>
          </w:p>
        </w:tc>
        <w:tc>
          <w:tcPr>
            <w:tcW w:w="806" w:type="dxa"/>
          </w:tcPr>
          <w:p w14:paraId="5D036BB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455</w:t>
            </w:r>
          </w:p>
          <w:p w14:paraId="67481FD9" w14:textId="77777777" w:rsidR="004B4E35" w:rsidRPr="00405303" w:rsidRDefault="004B4E35" w:rsidP="00C15251">
            <w:pPr>
              <w:shd w:val="clear" w:color="auto" w:fill="FFFFFF"/>
              <w:jc w:val="both"/>
              <w:rPr>
                <w:bCs/>
                <w:color w:val="002060"/>
                <w:sz w:val="16"/>
                <w:szCs w:val="16"/>
              </w:rPr>
            </w:pPr>
          </w:p>
        </w:tc>
        <w:tc>
          <w:tcPr>
            <w:tcW w:w="720" w:type="dxa"/>
          </w:tcPr>
          <w:p w14:paraId="54FAB5E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227</w:t>
            </w:r>
          </w:p>
          <w:p w14:paraId="3121323D" w14:textId="77777777" w:rsidR="004B4E35" w:rsidRPr="00405303" w:rsidRDefault="004B4E35" w:rsidP="00C15251">
            <w:pPr>
              <w:shd w:val="clear" w:color="auto" w:fill="FFFFFF"/>
              <w:jc w:val="both"/>
              <w:rPr>
                <w:bCs/>
                <w:color w:val="002060"/>
                <w:sz w:val="16"/>
                <w:szCs w:val="16"/>
              </w:rPr>
            </w:pPr>
          </w:p>
        </w:tc>
        <w:tc>
          <w:tcPr>
            <w:tcW w:w="1018" w:type="dxa"/>
          </w:tcPr>
          <w:p w14:paraId="6191276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501</w:t>
            </w:r>
          </w:p>
          <w:p w14:paraId="18A15AB6" w14:textId="77777777" w:rsidR="004B4E35" w:rsidRPr="00405303" w:rsidRDefault="004B4E35" w:rsidP="00C15251">
            <w:pPr>
              <w:shd w:val="clear" w:color="auto" w:fill="FFFFFF"/>
              <w:jc w:val="both"/>
              <w:rPr>
                <w:bCs/>
                <w:color w:val="002060"/>
                <w:sz w:val="16"/>
                <w:szCs w:val="16"/>
              </w:rPr>
            </w:pPr>
          </w:p>
        </w:tc>
      </w:tr>
      <w:tr w:rsidR="004B4E35" w:rsidRPr="00405303" w14:paraId="6B080F87" w14:textId="77777777">
        <w:trPr>
          <w:trHeight w:val="173"/>
        </w:trPr>
        <w:tc>
          <w:tcPr>
            <w:tcW w:w="3187" w:type="dxa"/>
          </w:tcPr>
          <w:p w14:paraId="02E081F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30-секундные</w:t>
            </w:r>
          </w:p>
          <w:p w14:paraId="79E73BBE" w14:textId="77777777" w:rsidR="004B4E35" w:rsidRPr="00405303" w:rsidRDefault="004B4E35" w:rsidP="00C15251">
            <w:pPr>
              <w:shd w:val="clear" w:color="auto" w:fill="FFFFFF"/>
              <w:jc w:val="both"/>
              <w:rPr>
                <w:bCs/>
                <w:color w:val="002060"/>
                <w:sz w:val="16"/>
                <w:szCs w:val="16"/>
              </w:rPr>
            </w:pPr>
          </w:p>
        </w:tc>
        <w:tc>
          <w:tcPr>
            <w:tcW w:w="662" w:type="dxa"/>
          </w:tcPr>
          <w:p w14:paraId="36EBF14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14</w:t>
            </w:r>
          </w:p>
          <w:p w14:paraId="14931445" w14:textId="77777777" w:rsidR="004B4E35" w:rsidRPr="00405303" w:rsidRDefault="004B4E35" w:rsidP="00C15251">
            <w:pPr>
              <w:shd w:val="clear" w:color="auto" w:fill="FFFFFF"/>
              <w:jc w:val="both"/>
              <w:rPr>
                <w:bCs/>
                <w:color w:val="002060"/>
                <w:sz w:val="16"/>
                <w:szCs w:val="16"/>
              </w:rPr>
            </w:pPr>
          </w:p>
        </w:tc>
        <w:tc>
          <w:tcPr>
            <w:tcW w:w="806" w:type="dxa"/>
          </w:tcPr>
          <w:p w14:paraId="697D63B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0,4</w:t>
            </w:r>
          </w:p>
          <w:p w14:paraId="0A687793" w14:textId="77777777" w:rsidR="004B4E35" w:rsidRPr="00405303" w:rsidRDefault="004B4E35" w:rsidP="00C15251">
            <w:pPr>
              <w:shd w:val="clear" w:color="auto" w:fill="FFFFFF"/>
              <w:jc w:val="both"/>
              <w:rPr>
                <w:bCs/>
                <w:color w:val="002060"/>
                <w:sz w:val="16"/>
                <w:szCs w:val="16"/>
              </w:rPr>
            </w:pPr>
          </w:p>
        </w:tc>
        <w:tc>
          <w:tcPr>
            <w:tcW w:w="720" w:type="dxa"/>
          </w:tcPr>
          <w:p w14:paraId="64BFE61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233</w:t>
            </w:r>
          </w:p>
          <w:p w14:paraId="30EA05B3" w14:textId="77777777" w:rsidR="004B4E35" w:rsidRPr="00405303" w:rsidRDefault="004B4E35" w:rsidP="00C15251">
            <w:pPr>
              <w:shd w:val="clear" w:color="auto" w:fill="FFFFFF"/>
              <w:jc w:val="both"/>
              <w:rPr>
                <w:bCs/>
                <w:color w:val="002060"/>
                <w:sz w:val="16"/>
                <w:szCs w:val="16"/>
              </w:rPr>
            </w:pPr>
          </w:p>
        </w:tc>
        <w:tc>
          <w:tcPr>
            <w:tcW w:w="1018" w:type="dxa"/>
          </w:tcPr>
          <w:p w14:paraId="1CE9709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49</w:t>
            </w:r>
          </w:p>
          <w:p w14:paraId="4291B636" w14:textId="77777777" w:rsidR="004B4E35" w:rsidRPr="00405303" w:rsidRDefault="004B4E35" w:rsidP="00C15251">
            <w:pPr>
              <w:shd w:val="clear" w:color="auto" w:fill="FFFFFF"/>
              <w:jc w:val="both"/>
              <w:rPr>
                <w:bCs/>
                <w:color w:val="002060"/>
                <w:sz w:val="16"/>
                <w:szCs w:val="16"/>
              </w:rPr>
            </w:pPr>
          </w:p>
        </w:tc>
      </w:tr>
      <w:tr w:rsidR="004B4E35" w:rsidRPr="00405303" w14:paraId="6C47DC7C" w14:textId="77777777">
        <w:trPr>
          <w:trHeight w:val="163"/>
        </w:trPr>
        <w:tc>
          <w:tcPr>
            <w:tcW w:w="3187" w:type="dxa"/>
          </w:tcPr>
          <w:p w14:paraId="2F48AD0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45-секундные</w:t>
            </w:r>
          </w:p>
          <w:p w14:paraId="12237AB5" w14:textId="77777777" w:rsidR="004B4E35" w:rsidRPr="00405303" w:rsidRDefault="004B4E35" w:rsidP="00C15251">
            <w:pPr>
              <w:shd w:val="clear" w:color="auto" w:fill="FFFFFF"/>
              <w:jc w:val="both"/>
              <w:rPr>
                <w:bCs/>
                <w:color w:val="002060"/>
                <w:sz w:val="16"/>
                <w:szCs w:val="16"/>
              </w:rPr>
            </w:pPr>
          </w:p>
        </w:tc>
        <w:tc>
          <w:tcPr>
            <w:tcW w:w="662" w:type="dxa"/>
          </w:tcPr>
          <w:p w14:paraId="762720F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w:t>
            </w:r>
          </w:p>
          <w:p w14:paraId="5628417A" w14:textId="77777777" w:rsidR="004B4E35" w:rsidRPr="00405303" w:rsidRDefault="004B4E35" w:rsidP="00C15251">
            <w:pPr>
              <w:shd w:val="clear" w:color="auto" w:fill="FFFFFF"/>
              <w:jc w:val="both"/>
              <w:rPr>
                <w:bCs/>
                <w:color w:val="002060"/>
                <w:sz w:val="16"/>
                <w:szCs w:val="16"/>
              </w:rPr>
            </w:pPr>
          </w:p>
        </w:tc>
        <w:tc>
          <w:tcPr>
            <w:tcW w:w="806" w:type="dxa"/>
          </w:tcPr>
          <w:p w14:paraId="6164C38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w:t>
            </w:r>
          </w:p>
          <w:p w14:paraId="71AD1210" w14:textId="77777777" w:rsidR="004B4E35" w:rsidRPr="00405303" w:rsidRDefault="004B4E35" w:rsidP="00C15251">
            <w:pPr>
              <w:shd w:val="clear" w:color="auto" w:fill="FFFFFF"/>
              <w:jc w:val="both"/>
              <w:rPr>
                <w:bCs/>
                <w:color w:val="002060"/>
                <w:sz w:val="16"/>
                <w:szCs w:val="16"/>
              </w:rPr>
            </w:pPr>
          </w:p>
        </w:tc>
        <w:tc>
          <w:tcPr>
            <w:tcW w:w="720" w:type="dxa"/>
          </w:tcPr>
          <w:p w14:paraId="179AE6B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0,4</w:t>
            </w:r>
          </w:p>
          <w:p w14:paraId="2C922B3D" w14:textId="77777777" w:rsidR="004B4E35" w:rsidRPr="00405303" w:rsidRDefault="004B4E35" w:rsidP="00C15251">
            <w:pPr>
              <w:shd w:val="clear" w:color="auto" w:fill="FFFFFF"/>
              <w:jc w:val="both"/>
              <w:rPr>
                <w:bCs/>
                <w:color w:val="002060"/>
                <w:sz w:val="16"/>
                <w:szCs w:val="16"/>
              </w:rPr>
            </w:pPr>
          </w:p>
        </w:tc>
        <w:tc>
          <w:tcPr>
            <w:tcW w:w="1018" w:type="dxa"/>
          </w:tcPr>
          <w:p w14:paraId="7E91897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31</w:t>
            </w:r>
          </w:p>
          <w:p w14:paraId="30529C6D" w14:textId="77777777" w:rsidR="004B4E35" w:rsidRPr="00405303" w:rsidRDefault="004B4E35" w:rsidP="00C15251">
            <w:pPr>
              <w:shd w:val="clear" w:color="auto" w:fill="FFFFFF"/>
              <w:jc w:val="both"/>
              <w:rPr>
                <w:bCs/>
                <w:color w:val="002060"/>
                <w:sz w:val="16"/>
                <w:szCs w:val="16"/>
              </w:rPr>
            </w:pPr>
          </w:p>
        </w:tc>
      </w:tr>
      <w:tr w:rsidR="004B4E35" w:rsidRPr="00405303" w14:paraId="4C0EA459" w14:textId="77777777">
        <w:trPr>
          <w:trHeight w:val="182"/>
        </w:trPr>
        <w:tc>
          <w:tcPr>
            <w:tcW w:w="3187" w:type="dxa"/>
          </w:tcPr>
          <w:p w14:paraId="1BE2678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Переделка 22-секундных трубок</w:t>
            </w:r>
          </w:p>
          <w:p w14:paraId="57AB5248" w14:textId="77777777" w:rsidR="004B4E35" w:rsidRPr="00405303" w:rsidRDefault="004B4E35" w:rsidP="00C15251">
            <w:pPr>
              <w:shd w:val="clear" w:color="auto" w:fill="FFFFFF"/>
              <w:jc w:val="both"/>
              <w:rPr>
                <w:bCs/>
                <w:color w:val="002060"/>
                <w:sz w:val="16"/>
                <w:szCs w:val="16"/>
              </w:rPr>
            </w:pPr>
          </w:p>
        </w:tc>
        <w:tc>
          <w:tcPr>
            <w:tcW w:w="662" w:type="dxa"/>
          </w:tcPr>
          <w:p w14:paraId="628067A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73144C4C" w14:textId="77777777" w:rsidR="004B4E35" w:rsidRPr="00405303" w:rsidRDefault="004B4E35" w:rsidP="00C15251">
            <w:pPr>
              <w:shd w:val="clear" w:color="auto" w:fill="FFFFFF"/>
              <w:jc w:val="both"/>
              <w:rPr>
                <w:bCs/>
                <w:color w:val="002060"/>
                <w:sz w:val="16"/>
                <w:szCs w:val="16"/>
              </w:rPr>
            </w:pPr>
          </w:p>
        </w:tc>
        <w:tc>
          <w:tcPr>
            <w:tcW w:w="806" w:type="dxa"/>
          </w:tcPr>
          <w:p w14:paraId="6CC0046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1D74F859" w14:textId="77777777" w:rsidR="004B4E35" w:rsidRPr="00405303" w:rsidRDefault="004B4E35" w:rsidP="00C15251">
            <w:pPr>
              <w:shd w:val="clear" w:color="auto" w:fill="FFFFFF"/>
              <w:jc w:val="both"/>
              <w:rPr>
                <w:bCs/>
                <w:color w:val="002060"/>
                <w:sz w:val="16"/>
                <w:szCs w:val="16"/>
              </w:rPr>
            </w:pPr>
          </w:p>
        </w:tc>
        <w:tc>
          <w:tcPr>
            <w:tcW w:w="720" w:type="dxa"/>
          </w:tcPr>
          <w:p w14:paraId="2B68329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608</w:t>
            </w:r>
          </w:p>
          <w:p w14:paraId="5769B6E7" w14:textId="77777777" w:rsidR="004B4E35" w:rsidRPr="00405303" w:rsidRDefault="004B4E35" w:rsidP="00C15251">
            <w:pPr>
              <w:shd w:val="clear" w:color="auto" w:fill="FFFFFF"/>
              <w:jc w:val="both"/>
              <w:rPr>
                <w:bCs/>
                <w:color w:val="002060"/>
                <w:sz w:val="16"/>
                <w:szCs w:val="16"/>
              </w:rPr>
            </w:pPr>
          </w:p>
        </w:tc>
        <w:tc>
          <w:tcPr>
            <w:tcW w:w="1018" w:type="dxa"/>
          </w:tcPr>
          <w:p w14:paraId="0D9A92E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4165</w:t>
            </w:r>
          </w:p>
          <w:p w14:paraId="7E02CA0F" w14:textId="77777777" w:rsidR="004B4E35" w:rsidRPr="00405303" w:rsidRDefault="004B4E35" w:rsidP="00C15251">
            <w:pPr>
              <w:shd w:val="clear" w:color="auto" w:fill="FFFFFF"/>
              <w:jc w:val="both"/>
              <w:rPr>
                <w:bCs/>
                <w:color w:val="002060"/>
                <w:sz w:val="16"/>
                <w:szCs w:val="16"/>
              </w:rPr>
            </w:pPr>
          </w:p>
        </w:tc>
      </w:tr>
      <w:tr w:rsidR="004B4E35" w:rsidRPr="00405303" w14:paraId="5315D018" w14:textId="77777777">
        <w:trPr>
          <w:trHeight w:val="163"/>
        </w:trPr>
        <w:tc>
          <w:tcPr>
            <w:tcW w:w="3187" w:type="dxa"/>
          </w:tcPr>
          <w:p w14:paraId="68C3D0C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Взрыватели:</w:t>
            </w:r>
          </w:p>
          <w:p w14:paraId="3B2C87EE" w14:textId="77777777" w:rsidR="004B4E35" w:rsidRPr="00405303" w:rsidRDefault="004B4E35" w:rsidP="00C15251">
            <w:pPr>
              <w:shd w:val="clear" w:color="auto" w:fill="FFFFFF"/>
              <w:jc w:val="both"/>
              <w:rPr>
                <w:bCs/>
                <w:color w:val="002060"/>
                <w:sz w:val="16"/>
                <w:szCs w:val="16"/>
              </w:rPr>
            </w:pPr>
          </w:p>
        </w:tc>
        <w:tc>
          <w:tcPr>
            <w:tcW w:w="662" w:type="dxa"/>
          </w:tcPr>
          <w:p w14:paraId="36678D0E" w14:textId="77777777" w:rsidR="004B4E35" w:rsidRPr="00405303" w:rsidRDefault="004B4E35" w:rsidP="00C15251">
            <w:pPr>
              <w:shd w:val="clear" w:color="auto" w:fill="FFFFFF"/>
              <w:jc w:val="both"/>
              <w:rPr>
                <w:bCs/>
                <w:color w:val="002060"/>
                <w:sz w:val="16"/>
                <w:szCs w:val="16"/>
              </w:rPr>
            </w:pPr>
          </w:p>
          <w:p w14:paraId="3D9B1286" w14:textId="77777777" w:rsidR="004B4E35" w:rsidRPr="00405303" w:rsidRDefault="004B4E35" w:rsidP="00C15251">
            <w:pPr>
              <w:shd w:val="clear" w:color="auto" w:fill="FFFFFF"/>
              <w:jc w:val="both"/>
              <w:rPr>
                <w:bCs/>
                <w:color w:val="002060"/>
                <w:sz w:val="16"/>
                <w:szCs w:val="16"/>
              </w:rPr>
            </w:pPr>
          </w:p>
        </w:tc>
        <w:tc>
          <w:tcPr>
            <w:tcW w:w="806" w:type="dxa"/>
          </w:tcPr>
          <w:p w14:paraId="0122809D" w14:textId="77777777" w:rsidR="004B4E35" w:rsidRPr="00405303" w:rsidRDefault="004B4E35" w:rsidP="00C15251">
            <w:pPr>
              <w:shd w:val="clear" w:color="auto" w:fill="FFFFFF"/>
              <w:jc w:val="both"/>
              <w:rPr>
                <w:bCs/>
                <w:color w:val="002060"/>
                <w:sz w:val="16"/>
                <w:szCs w:val="16"/>
              </w:rPr>
            </w:pPr>
          </w:p>
          <w:p w14:paraId="23ACCA06" w14:textId="77777777" w:rsidR="004B4E35" w:rsidRPr="00405303" w:rsidRDefault="004B4E35" w:rsidP="00C15251">
            <w:pPr>
              <w:shd w:val="clear" w:color="auto" w:fill="FFFFFF"/>
              <w:jc w:val="both"/>
              <w:rPr>
                <w:bCs/>
                <w:color w:val="002060"/>
                <w:sz w:val="16"/>
                <w:szCs w:val="16"/>
              </w:rPr>
            </w:pPr>
          </w:p>
        </w:tc>
        <w:tc>
          <w:tcPr>
            <w:tcW w:w="720" w:type="dxa"/>
          </w:tcPr>
          <w:p w14:paraId="36CF0A7E" w14:textId="77777777" w:rsidR="004B4E35" w:rsidRPr="00405303" w:rsidRDefault="004B4E35" w:rsidP="00C15251">
            <w:pPr>
              <w:shd w:val="clear" w:color="auto" w:fill="FFFFFF"/>
              <w:jc w:val="both"/>
              <w:rPr>
                <w:bCs/>
                <w:color w:val="002060"/>
                <w:sz w:val="16"/>
                <w:szCs w:val="16"/>
              </w:rPr>
            </w:pPr>
          </w:p>
          <w:p w14:paraId="3FD25F99" w14:textId="77777777" w:rsidR="004B4E35" w:rsidRPr="00405303" w:rsidRDefault="004B4E35" w:rsidP="00C15251">
            <w:pPr>
              <w:shd w:val="clear" w:color="auto" w:fill="FFFFFF"/>
              <w:jc w:val="both"/>
              <w:rPr>
                <w:bCs/>
                <w:color w:val="002060"/>
                <w:sz w:val="16"/>
                <w:szCs w:val="16"/>
              </w:rPr>
            </w:pPr>
          </w:p>
        </w:tc>
        <w:tc>
          <w:tcPr>
            <w:tcW w:w="1018" w:type="dxa"/>
          </w:tcPr>
          <w:p w14:paraId="04AA4E3F" w14:textId="77777777" w:rsidR="004B4E35" w:rsidRPr="00405303" w:rsidRDefault="004B4E35" w:rsidP="00C15251">
            <w:pPr>
              <w:shd w:val="clear" w:color="auto" w:fill="FFFFFF"/>
              <w:jc w:val="both"/>
              <w:rPr>
                <w:bCs/>
                <w:color w:val="002060"/>
                <w:sz w:val="16"/>
                <w:szCs w:val="16"/>
              </w:rPr>
            </w:pPr>
          </w:p>
          <w:p w14:paraId="14887C50" w14:textId="77777777" w:rsidR="004B4E35" w:rsidRPr="00405303" w:rsidRDefault="004B4E35" w:rsidP="00C15251">
            <w:pPr>
              <w:shd w:val="clear" w:color="auto" w:fill="FFFFFF"/>
              <w:jc w:val="both"/>
              <w:rPr>
                <w:bCs/>
                <w:color w:val="002060"/>
                <w:sz w:val="16"/>
                <w:szCs w:val="16"/>
              </w:rPr>
            </w:pPr>
          </w:p>
        </w:tc>
      </w:tr>
      <w:tr w:rsidR="004B4E35" w:rsidRPr="00405303" w14:paraId="04ADD942" w14:textId="77777777">
        <w:trPr>
          <w:trHeight w:val="173"/>
        </w:trPr>
        <w:tc>
          <w:tcPr>
            <w:tcW w:w="3187" w:type="dxa"/>
          </w:tcPr>
          <w:p w14:paraId="06DD0A0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1ГМ</w:t>
            </w:r>
          </w:p>
          <w:p w14:paraId="68D76CB0" w14:textId="77777777" w:rsidR="004B4E35" w:rsidRPr="00405303" w:rsidRDefault="004B4E35" w:rsidP="00C15251">
            <w:pPr>
              <w:shd w:val="clear" w:color="auto" w:fill="FFFFFF"/>
              <w:jc w:val="both"/>
              <w:rPr>
                <w:bCs/>
                <w:color w:val="002060"/>
                <w:sz w:val="16"/>
                <w:szCs w:val="16"/>
              </w:rPr>
            </w:pPr>
          </w:p>
        </w:tc>
        <w:tc>
          <w:tcPr>
            <w:tcW w:w="662" w:type="dxa"/>
          </w:tcPr>
          <w:p w14:paraId="2B717F3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0,4</w:t>
            </w:r>
          </w:p>
          <w:p w14:paraId="3C2A54AC" w14:textId="77777777" w:rsidR="004B4E35" w:rsidRPr="00405303" w:rsidRDefault="004B4E35" w:rsidP="00C15251">
            <w:pPr>
              <w:shd w:val="clear" w:color="auto" w:fill="FFFFFF"/>
              <w:jc w:val="both"/>
              <w:rPr>
                <w:bCs/>
                <w:color w:val="002060"/>
                <w:sz w:val="16"/>
                <w:szCs w:val="16"/>
              </w:rPr>
            </w:pPr>
          </w:p>
        </w:tc>
        <w:tc>
          <w:tcPr>
            <w:tcW w:w="806" w:type="dxa"/>
          </w:tcPr>
          <w:p w14:paraId="3EFF0F5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11</w:t>
            </w:r>
          </w:p>
          <w:p w14:paraId="59FC7A09" w14:textId="77777777" w:rsidR="004B4E35" w:rsidRPr="00405303" w:rsidRDefault="004B4E35" w:rsidP="00C15251">
            <w:pPr>
              <w:shd w:val="clear" w:color="auto" w:fill="FFFFFF"/>
              <w:jc w:val="both"/>
              <w:rPr>
                <w:bCs/>
                <w:color w:val="002060"/>
                <w:sz w:val="16"/>
                <w:szCs w:val="16"/>
              </w:rPr>
            </w:pPr>
          </w:p>
        </w:tc>
        <w:tc>
          <w:tcPr>
            <w:tcW w:w="720" w:type="dxa"/>
          </w:tcPr>
          <w:p w14:paraId="45E287A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w:t>
            </w:r>
          </w:p>
          <w:p w14:paraId="1E7B1073" w14:textId="77777777" w:rsidR="004B4E35" w:rsidRPr="00405303" w:rsidRDefault="004B4E35" w:rsidP="00C15251">
            <w:pPr>
              <w:shd w:val="clear" w:color="auto" w:fill="FFFFFF"/>
              <w:jc w:val="both"/>
              <w:rPr>
                <w:bCs/>
                <w:color w:val="002060"/>
                <w:sz w:val="16"/>
                <w:szCs w:val="16"/>
              </w:rPr>
            </w:pPr>
          </w:p>
        </w:tc>
        <w:tc>
          <w:tcPr>
            <w:tcW w:w="1018" w:type="dxa"/>
          </w:tcPr>
          <w:p w14:paraId="7232CC2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21CE5C0B" w14:textId="77777777" w:rsidR="004B4E35" w:rsidRPr="00405303" w:rsidRDefault="004B4E35" w:rsidP="00C15251">
            <w:pPr>
              <w:shd w:val="clear" w:color="auto" w:fill="FFFFFF"/>
              <w:jc w:val="both"/>
              <w:rPr>
                <w:bCs/>
                <w:color w:val="002060"/>
                <w:sz w:val="16"/>
                <w:szCs w:val="16"/>
              </w:rPr>
            </w:pPr>
          </w:p>
        </w:tc>
      </w:tr>
      <w:tr w:rsidR="004B4E35" w:rsidRPr="00405303" w14:paraId="0F552A6A" w14:textId="77777777">
        <w:trPr>
          <w:trHeight w:val="163"/>
        </w:trPr>
        <w:tc>
          <w:tcPr>
            <w:tcW w:w="3187" w:type="dxa"/>
          </w:tcPr>
          <w:p w14:paraId="1C74627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ЗГМ</w:t>
            </w:r>
          </w:p>
          <w:p w14:paraId="37F32103" w14:textId="77777777" w:rsidR="004B4E35" w:rsidRPr="00405303" w:rsidRDefault="004B4E35" w:rsidP="00C15251">
            <w:pPr>
              <w:shd w:val="clear" w:color="auto" w:fill="FFFFFF"/>
              <w:jc w:val="both"/>
              <w:rPr>
                <w:bCs/>
                <w:color w:val="002060"/>
                <w:sz w:val="16"/>
                <w:szCs w:val="16"/>
              </w:rPr>
            </w:pPr>
          </w:p>
        </w:tc>
        <w:tc>
          <w:tcPr>
            <w:tcW w:w="662" w:type="dxa"/>
          </w:tcPr>
          <w:p w14:paraId="0546547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76244EE5" w14:textId="77777777" w:rsidR="004B4E35" w:rsidRPr="00405303" w:rsidRDefault="004B4E35" w:rsidP="00C15251">
            <w:pPr>
              <w:shd w:val="clear" w:color="auto" w:fill="FFFFFF"/>
              <w:jc w:val="both"/>
              <w:rPr>
                <w:bCs/>
                <w:color w:val="002060"/>
                <w:sz w:val="16"/>
                <w:szCs w:val="16"/>
              </w:rPr>
            </w:pPr>
          </w:p>
        </w:tc>
        <w:tc>
          <w:tcPr>
            <w:tcW w:w="806" w:type="dxa"/>
          </w:tcPr>
          <w:p w14:paraId="69F3A15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39</w:t>
            </w:r>
          </w:p>
          <w:p w14:paraId="4280C9FD" w14:textId="77777777" w:rsidR="004B4E35" w:rsidRPr="00405303" w:rsidRDefault="004B4E35" w:rsidP="00C15251">
            <w:pPr>
              <w:shd w:val="clear" w:color="auto" w:fill="FFFFFF"/>
              <w:jc w:val="both"/>
              <w:rPr>
                <w:bCs/>
                <w:color w:val="002060"/>
                <w:sz w:val="16"/>
                <w:szCs w:val="16"/>
              </w:rPr>
            </w:pPr>
          </w:p>
        </w:tc>
        <w:tc>
          <w:tcPr>
            <w:tcW w:w="720" w:type="dxa"/>
          </w:tcPr>
          <w:p w14:paraId="61D1CAC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169</w:t>
            </w:r>
          </w:p>
          <w:p w14:paraId="485CDBEE" w14:textId="77777777" w:rsidR="004B4E35" w:rsidRPr="00405303" w:rsidRDefault="004B4E35" w:rsidP="00C15251">
            <w:pPr>
              <w:shd w:val="clear" w:color="auto" w:fill="FFFFFF"/>
              <w:jc w:val="both"/>
              <w:rPr>
                <w:bCs/>
                <w:color w:val="002060"/>
                <w:sz w:val="16"/>
                <w:szCs w:val="16"/>
              </w:rPr>
            </w:pPr>
          </w:p>
        </w:tc>
        <w:tc>
          <w:tcPr>
            <w:tcW w:w="1018" w:type="dxa"/>
          </w:tcPr>
          <w:p w14:paraId="2D6E16A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194</w:t>
            </w:r>
          </w:p>
          <w:p w14:paraId="73689CD2" w14:textId="77777777" w:rsidR="004B4E35" w:rsidRPr="00405303" w:rsidRDefault="004B4E35" w:rsidP="00C15251">
            <w:pPr>
              <w:shd w:val="clear" w:color="auto" w:fill="FFFFFF"/>
              <w:jc w:val="both"/>
              <w:rPr>
                <w:bCs/>
                <w:color w:val="002060"/>
                <w:sz w:val="16"/>
                <w:szCs w:val="16"/>
              </w:rPr>
            </w:pPr>
          </w:p>
        </w:tc>
      </w:tr>
      <w:tr w:rsidR="004B4E35" w:rsidRPr="00405303" w14:paraId="79F21452" w14:textId="77777777">
        <w:trPr>
          <w:trHeight w:val="173"/>
        </w:trPr>
        <w:tc>
          <w:tcPr>
            <w:tcW w:w="3187" w:type="dxa"/>
          </w:tcPr>
          <w:p w14:paraId="5148DD6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4ГМ</w:t>
            </w:r>
          </w:p>
          <w:p w14:paraId="7361A6E8" w14:textId="77777777" w:rsidR="004B4E35" w:rsidRPr="00405303" w:rsidRDefault="004B4E35" w:rsidP="00C15251">
            <w:pPr>
              <w:shd w:val="clear" w:color="auto" w:fill="FFFFFF"/>
              <w:jc w:val="both"/>
              <w:rPr>
                <w:bCs/>
                <w:color w:val="002060"/>
                <w:sz w:val="16"/>
                <w:szCs w:val="16"/>
              </w:rPr>
            </w:pPr>
          </w:p>
        </w:tc>
        <w:tc>
          <w:tcPr>
            <w:tcW w:w="662" w:type="dxa"/>
          </w:tcPr>
          <w:p w14:paraId="044CF5D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1780E233" w14:textId="77777777" w:rsidR="004B4E35" w:rsidRPr="00405303" w:rsidRDefault="004B4E35" w:rsidP="00C15251">
            <w:pPr>
              <w:shd w:val="clear" w:color="auto" w:fill="FFFFFF"/>
              <w:jc w:val="both"/>
              <w:rPr>
                <w:bCs/>
                <w:color w:val="002060"/>
                <w:sz w:val="16"/>
                <w:szCs w:val="16"/>
              </w:rPr>
            </w:pPr>
          </w:p>
        </w:tc>
        <w:tc>
          <w:tcPr>
            <w:tcW w:w="806" w:type="dxa"/>
          </w:tcPr>
          <w:p w14:paraId="467279D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w:t>
            </w:r>
          </w:p>
          <w:p w14:paraId="30BA3475" w14:textId="77777777" w:rsidR="004B4E35" w:rsidRPr="00405303" w:rsidRDefault="004B4E35" w:rsidP="00C15251">
            <w:pPr>
              <w:shd w:val="clear" w:color="auto" w:fill="FFFFFF"/>
              <w:jc w:val="both"/>
              <w:rPr>
                <w:bCs/>
                <w:color w:val="002060"/>
                <w:sz w:val="16"/>
                <w:szCs w:val="16"/>
              </w:rPr>
            </w:pPr>
          </w:p>
        </w:tc>
        <w:tc>
          <w:tcPr>
            <w:tcW w:w="720" w:type="dxa"/>
          </w:tcPr>
          <w:p w14:paraId="727B3B2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62</w:t>
            </w:r>
          </w:p>
          <w:p w14:paraId="7C9A22E8" w14:textId="77777777" w:rsidR="004B4E35" w:rsidRPr="00405303" w:rsidRDefault="004B4E35" w:rsidP="00C15251">
            <w:pPr>
              <w:shd w:val="clear" w:color="auto" w:fill="FFFFFF"/>
              <w:jc w:val="both"/>
              <w:rPr>
                <w:bCs/>
                <w:color w:val="002060"/>
                <w:sz w:val="16"/>
                <w:szCs w:val="16"/>
              </w:rPr>
            </w:pPr>
          </w:p>
        </w:tc>
        <w:tc>
          <w:tcPr>
            <w:tcW w:w="1018" w:type="dxa"/>
          </w:tcPr>
          <w:p w14:paraId="403A1E5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85</w:t>
            </w:r>
          </w:p>
          <w:p w14:paraId="10AA8D0E" w14:textId="77777777" w:rsidR="004B4E35" w:rsidRPr="00405303" w:rsidRDefault="004B4E35" w:rsidP="00C15251">
            <w:pPr>
              <w:shd w:val="clear" w:color="auto" w:fill="FFFFFF"/>
              <w:jc w:val="both"/>
              <w:rPr>
                <w:bCs/>
                <w:color w:val="002060"/>
                <w:sz w:val="16"/>
                <w:szCs w:val="16"/>
              </w:rPr>
            </w:pPr>
          </w:p>
        </w:tc>
      </w:tr>
      <w:tr w:rsidR="004B4E35" w:rsidRPr="00405303" w14:paraId="3C4C3AE7" w14:textId="77777777">
        <w:trPr>
          <w:trHeight w:val="182"/>
        </w:trPr>
        <w:tc>
          <w:tcPr>
            <w:tcW w:w="3187" w:type="dxa"/>
          </w:tcPr>
          <w:p w14:paraId="57027D8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5ДМ</w:t>
            </w:r>
          </w:p>
          <w:p w14:paraId="1595B77A" w14:textId="77777777" w:rsidR="004B4E35" w:rsidRPr="00405303" w:rsidRDefault="004B4E35" w:rsidP="00C15251">
            <w:pPr>
              <w:shd w:val="clear" w:color="auto" w:fill="FFFFFF"/>
              <w:jc w:val="both"/>
              <w:rPr>
                <w:bCs/>
                <w:color w:val="002060"/>
                <w:sz w:val="16"/>
                <w:szCs w:val="16"/>
              </w:rPr>
            </w:pPr>
          </w:p>
        </w:tc>
        <w:tc>
          <w:tcPr>
            <w:tcW w:w="662" w:type="dxa"/>
          </w:tcPr>
          <w:p w14:paraId="2BAC6F3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1133EED9" w14:textId="77777777" w:rsidR="004B4E35" w:rsidRPr="00405303" w:rsidRDefault="004B4E35" w:rsidP="00C15251">
            <w:pPr>
              <w:shd w:val="clear" w:color="auto" w:fill="FFFFFF"/>
              <w:jc w:val="both"/>
              <w:rPr>
                <w:bCs/>
                <w:color w:val="002060"/>
                <w:sz w:val="16"/>
                <w:szCs w:val="16"/>
              </w:rPr>
            </w:pPr>
          </w:p>
        </w:tc>
        <w:tc>
          <w:tcPr>
            <w:tcW w:w="806" w:type="dxa"/>
          </w:tcPr>
          <w:p w14:paraId="105EA81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1A63491C" w14:textId="77777777" w:rsidR="004B4E35" w:rsidRPr="00405303" w:rsidRDefault="004B4E35" w:rsidP="00C15251">
            <w:pPr>
              <w:shd w:val="clear" w:color="auto" w:fill="FFFFFF"/>
              <w:jc w:val="both"/>
              <w:rPr>
                <w:bCs/>
                <w:color w:val="002060"/>
                <w:sz w:val="16"/>
                <w:szCs w:val="16"/>
              </w:rPr>
            </w:pPr>
          </w:p>
        </w:tc>
        <w:tc>
          <w:tcPr>
            <w:tcW w:w="720" w:type="dxa"/>
          </w:tcPr>
          <w:p w14:paraId="6DF866F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w:t>
            </w:r>
          </w:p>
          <w:p w14:paraId="6D935A50" w14:textId="77777777" w:rsidR="004B4E35" w:rsidRPr="00405303" w:rsidRDefault="004B4E35" w:rsidP="00C15251">
            <w:pPr>
              <w:shd w:val="clear" w:color="auto" w:fill="FFFFFF"/>
              <w:jc w:val="both"/>
              <w:rPr>
                <w:bCs/>
                <w:color w:val="002060"/>
                <w:sz w:val="16"/>
                <w:szCs w:val="16"/>
              </w:rPr>
            </w:pPr>
          </w:p>
        </w:tc>
        <w:tc>
          <w:tcPr>
            <w:tcW w:w="1018" w:type="dxa"/>
          </w:tcPr>
          <w:p w14:paraId="48FC92A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0,5</w:t>
            </w:r>
          </w:p>
          <w:p w14:paraId="1C9286DB" w14:textId="77777777" w:rsidR="004B4E35" w:rsidRPr="00405303" w:rsidRDefault="004B4E35" w:rsidP="00C15251">
            <w:pPr>
              <w:shd w:val="clear" w:color="auto" w:fill="FFFFFF"/>
              <w:jc w:val="both"/>
              <w:rPr>
                <w:bCs/>
                <w:color w:val="002060"/>
                <w:sz w:val="16"/>
                <w:szCs w:val="16"/>
              </w:rPr>
            </w:pPr>
          </w:p>
        </w:tc>
      </w:tr>
      <w:tr w:rsidR="004B4E35" w:rsidRPr="00405303" w14:paraId="0F4995E4" w14:textId="77777777">
        <w:trPr>
          <w:trHeight w:val="163"/>
        </w:trPr>
        <w:tc>
          <w:tcPr>
            <w:tcW w:w="3187" w:type="dxa"/>
          </w:tcPr>
          <w:p w14:paraId="537C845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11 ДМ</w:t>
            </w:r>
          </w:p>
          <w:p w14:paraId="6AEEB275" w14:textId="77777777" w:rsidR="004B4E35" w:rsidRPr="00405303" w:rsidRDefault="004B4E35" w:rsidP="00C15251">
            <w:pPr>
              <w:shd w:val="clear" w:color="auto" w:fill="FFFFFF"/>
              <w:jc w:val="both"/>
              <w:rPr>
                <w:bCs/>
                <w:color w:val="002060"/>
                <w:sz w:val="16"/>
                <w:szCs w:val="16"/>
              </w:rPr>
            </w:pPr>
          </w:p>
        </w:tc>
        <w:tc>
          <w:tcPr>
            <w:tcW w:w="662" w:type="dxa"/>
          </w:tcPr>
          <w:p w14:paraId="6241281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w:t>
            </w:r>
          </w:p>
          <w:p w14:paraId="78AAEDDD" w14:textId="77777777" w:rsidR="004B4E35" w:rsidRPr="00405303" w:rsidRDefault="004B4E35" w:rsidP="00C15251">
            <w:pPr>
              <w:shd w:val="clear" w:color="auto" w:fill="FFFFFF"/>
              <w:jc w:val="both"/>
              <w:rPr>
                <w:bCs/>
                <w:color w:val="002060"/>
                <w:sz w:val="16"/>
                <w:szCs w:val="16"/>
              </w:rPr>
            </w:pPr>
          </w:p>
        </w:tc>
        <w:tc>
          <w:tcPr>
            <w:tcW w:w="806" w:type="dxa"/>
          </w:tcPr>
          <w:p w14:paraId="5074216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w:t>
            </w:r>
          </w:p>
          <w:p w14:paraId="12318E3C" w14:textId="77777777" w:rsidR="004B4E35" w:rsidRPr="00405303" w:rsidRDefault="004B4E35" w:rsidP="00C15251">
            <w:pPr>
              <w:shd w:val="clear" w:color="auto" w:fill="FFFFFF"/>
              <w:jc w:val="both"/>
              <w:rPr>
                <w:bCs/>
                <w:color w:val="002060"/>
                <w:sz w:val="16"/>
                <w:szCs w:val="16"/>
              </w:rPr>
            </w:pPr>
          </w:p>
        </w:tc>
        <w:tc>
          <w:tcPr>
            <w:tcW w:w="720" w:type="dxa"/>
          </w:tcPr>
          <w:p w14:paraId="122A614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11</w:t>
            </w:r>
          </w:p>
          <w:p w14:paraId="7EE28D39" w14:textId="77777777" w:rsidR="004B4E35" w:rsidRPr="00405303" w:rsidRDefault="004B4E35" w:rsidP="00C15251">
            <w:pPr>
              <w:shd w:val="clear" w:color="auto" w:fill="FFFFFF"/>
              <w:jc w:val="both"/>
              <w:rPr>
                <w:bCs/>
                <w:color w:val="002060"/>
                <w:sz w:val="16"/>
                <w:szCs w:val="16"/>
              </w:rPr>
            </w:pPr>
          </w:p>
        </w:tc>
        <w:tc>
          <w:tcPr>
            <w:tcW w:w="1018" w:type="dxa"/>
          </w:tcPr>
          <w:p w14:paraId="5450B8E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w:t>
            </w:r>
          </w:p>
          <w:p w14:paraId="37D20654" w14:textId="77777777" w:rsidR="004B4E35" w:rsidRPr="00405303" w:rsidRDefault="004B4E35" w:rsidP="00C15251">
            <w:pPr>
              <w:shd w:val="clear" w:color="auto" w:fill="FFFFFF"/>
              <w:jc w:val="both"/>
              <w:rPr>
                <w:bCs/>
                <w:color w:val="002060"/>
                <w:sz w:val="16"/>
                <w:szCs w:val="16"/>
              </w:rPr>
            </w:pPr>
          </w:p>
        </w:tc>
      </w:tr>
      <w:tr w:rsidR="004B4E35" w:rsidRPr="00405303" w14:paraId="37970FBB" w14:textId="77777777">
        <w:trPr>
          <w:trHeight w:val="173"/>
        </w:trPr>
        <w:tc>
          <w:tcPr>
            <w:tcW w:w="3187" w:type="dxa"/>
          </w:tcPr>
          <w:p w14:paraId="1508095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9ДТ</w:t>
            </w:r>
          </w:p>
          <w:p w14:paraId="705B53AD" w14:textId="77777777" w:rsidR="004B4E35" w:rsidRPr="00405303" w:rsidRDefault="004B4E35" w:rsidP="00C15251">
            <w:pPr>
              <w:shd w:val="clear" w:color="auto" w:fill="FFFFFF"/>
              <w:jc w:val="both"/>
              <w:rPr>
                <w:bCs/>
                <w:color w:val="002060"/>
                <w:sz w:val="16"/>
                <w:szCs w:val="16"/>
              </w:rPr>
            </w:pPr>
          </w:p>
        </w:tc>
        <w:tc>
          <w:tcPr>
            <w:tcW w:w="662" w:type="dxa"/>
          </w:tcPr>
          <w:p w14:paraId="7AA6047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4E06235E" w14:textId="77777777" w:rsidR="004B4E35" w:rsidRPr="00405303" w:rsidRDefault="004B4E35" w:rsidP="00C15251">
            <w:pPr>
              <w:shd w:val="clear" w:color="auto" w:fill="FFFFFF"/>
              <w:jc w:val="both"/>
              <w:rPr>
                <w:bCs/>
                <w:color w:val="002060"/>
                <w:sz w:val="16"/>
                <w:szCs w:val="16"/>
              </w:rPr>
            </w:pPr>
          </w:p>
        </w:tc>
        <w:tc>
          <w:tcPr>
            <w:tcW w:w="806" w:type="dxa"/>
          </w:tcPr>
          <w:p w14:paraId="5C87BAC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5E14E770" w14:textId="77777777" w:rsidR="004B4E35" w:rsidRPr="00405303" w:rsidRDefault="004B4E35" w:rsidP="00C15251">
            <w:pPr>
              <w:shd w:val="clear" w:color="auto" w:fill="FFFFFF"/>
              <w:jc w:val="both"/>
              <w:rPr>
                <w:bCs/>
                <w:color w:val="002060"/>
                <w:sz w:val="16"/>
                <w:szCs w:val="16"/>
              </w:rPr>
            </w:pPr>
          </w:p>
        </w:tc>
        <w:tc>
          <w:tcPr>
            <w:tcW w:w="720" w:type="dxa"/>
          </w:tcPr>
          <w:p w14:paraId="62FFA5A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0482DC13" w14:textId="77777777" w:rsidR="004B4E35" w:rsidRPr="00405303" w:rsidRDefault="004B4E35" w:rsidP="00C15251">
            <w:pPr>
              <w:shd w:val="clear" w:color="auto" w:fill="FFFFFF"/>
              <w:jc w:val="both"/>
              <w:rPr>
                <w:bCs/>
                <w:color w:val="002060"/>
                <w:sz w:val="16"/>
                <w:szCs w:val="16"/>
              </w:rPr>
            </w:pPr>
          </w:p>
        </w:tc>
        <w:tc>
          <w:tcPr>
            <w:tcW w:w="1018" w:type="dxa"/>
          </w:tcPr>
          <w:p w14:paraId="2B4187A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0,1</w:t>
            </w:r>
          </w:p>
          <w:p w14:paraId="0BFE5888" w14:textId="77777777" w:rsidR="004B4E35" w:rsidRPr="00405303" w:rsidRDefault="004B4E35" w:rsidP="00C15251">
            <w:pPr>
              <w:shd w:val="clear" w:color="auto" w:fill="FFFFFF"/>
              <w:jc w:val="both"/>
              <w:rPr>
                <w:bCs/>
                <w:color w:val="002060"/>
                <w:sz w:val="16"/>
                <w:szCs w:val="16"/>
              </w:rPr>
            </w:pPr>
          </w:p>
        </w:tc>
      </w:tr>
      <w:tr w:rsidR="004B4E35" w:rsidRPr="00405303" w14:paraId="0A602E5B" w14:textId="77777777">
        <w:trPr>
          <w:trHeight w:val="173"/>
        </w:trPr>
        <w:tc>
          <w:tcPr>
            <w:tcW w:w="3187" w:type="dxa"/>
          </w:tcPr>
          <w:p w14:paraId="394346D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Капсюльные втулки</w:t>
            </w:r>
          </w:p>
          <w:p w14:paraId="65023C2A" w14:textId="77777777" w:rsidR="004B4E35" w:rsidRPr="00405303" w:rsidRDefault="004B4E35" w:rsidP="00C15251">
            <w:pPr>
              <w:shd w:val="clear" w:color="auto" w:fill="FFFFFF"/>
              <w:jc w:val="both"/>
              <w:rPr>
                <w:bCs/>
                <w:color w:val="002060"/>
                <w:sz w:val="16"/>
                <w:szCs w:val="16"/>
              </w:rPr>
            </w:pPr>
          </w:p>
        </w:tc>
        <w:tc>
          <w:tcPr>
            <w:tcW w:w="662" w:type="dxa"/>
          </w:tcPr>
          <w:p w14:paraId="21CAF3B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812</w:t>
            </w:r>
          </w:p>
          <w:p w14:paraId="01F4B93B" w14:textId="77777777" w:rsidR="004B4E35" w:rsidRPr="00405303" w:rsidRDefault="004B4E35" w:rsidP="00C15251">
            <w:pPr>
              <w:shd w:val="clear" w:color="auto" w:fill="FFFFFF"/>
              <w:jc w:val="both"/>
              <w:rPr>
                <w:bCs/>
                <w:color w:val="002060"/>
                <w:sz w:val="16"/>
                <w:szCs w:val="16"/>
              </w:rPr>
            </w:pPr>
          </w:p>
        </w:tc>
        <w:tc>
          <w:tcPr>
            <w:tcW w:w="806" w:type="dxa"/>
          </w:tcPr>
          <w:p w14:paraId="2472C8A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1107</w:t>
            </w:r>
          </w:p>
          <w:p w14:paraId="62897030" w14:textId="77777777" w:rsidR="004B4E35" w:rsidRPr="00405303" w:rsidRDefault="004B4E35" w:rsidP="00C15251">
            <w:pPr>
              <w:shd w:val="clear" w:color="auto" w:fill="FFFFFF"/>
              <w:jc w:val="both"/>
              <w:rPr>
                <w:bCs/>
                <w:color w:val="002060"/>
                <w:sz w:val="16"/>
                <w:szCs w:val="16"/>
              </w:rPr>
            </w:pPr>
          </w:p>
        </w:tc>
        <w:tc>
          <w:tcPr>
            <w:tcW w:w="720" w:type="dxa"/>
          </w:tcPr>
          <w:p w14:paraId="4DA1BC0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588</w:t>
            </w:r>
          </w:p>
          <w:p w14:paraId="50B7232C" w14:textId="77777777" w:rsidR="004B4E35" w:rsidRPr="00405303" w:rsidRDefault="004B4E35" w:rsidP="00C15251">
            <w:pPr>
              <w:shd w:val="clear" w:color="auto" w:fill="FFFFFF"/>
              <w:jc w:val="both"/>
              <w:rPr>
                <w:bCs/>
                <w:color w:val="002060"/>
                <w:sz w:val="16"/>
                <w:szCs w:val="16"/>
              </w:rPr>
            </w:pPr>
          </w:p>
        </w:tc>
        <w:tc>
          <w:tcPr>
            <w:tcW w:w="1018" w:type="dxa"/>
          </w:tcPr>
          <w:p w14:paraId="1CCD258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735</w:t>
            </w:r>
          </w:p>
          <w:p w14:paraId="05257E05" w14:textId="77777777" w:rsidR="004B4E35" w:rsidRPr="00405303" w:rsidRDefault="004B4E35" w:rsidP="00C15251">
            <w:pPr>
              <w:shd w:val="clear" w:color="auto" w:fill="FFFFFF"/>
              <w:jc w:val="both"/>
              <w:rPr>
                <w:bCs/>
                <w:color w:val="002060"/>
                <w:sz w:val="16"/>
                <w:szCs w:val="16"/>
              </w:rPr>
            </w:pPr>
          </w:p>
        </w:tc>
      </w:tr>
      <w:tr w:rsidR="004B4E35" w:rsidRPr="00405303" w14:paraId="61D81BDE" w14:textId="77777777">
        <w:trPr>
          <w:trHeight w:val="182"/>
        </w:trPr>
        <w:tc>
          <w:tcPr>
            <w:tcW w:w="3187" w:type="dxa"/>
          </w:tcPr>
          <w:p w14:paraId="26DF16C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Запалы к ручным гранатам № 1 1, 12, 13 и</w:t>
            </w:r>
          </w:p>
          <w:p w14:paraId="577A83B9" w14:textId="77777777" w:rsidR="004B4E35" w:rsidRPr="00405303" w:rsidRDefault="004B4E35" w:rsidP="00C15251">
            <w:pPr>
              <w:shd w:val="clear" w:color="auto" w:fill="FFFFFF"/>
              <w:jc w:val="both"/>
              <w:rPr>
                <w:bCs/>
                <w:color w:val="002060"/>
                <w:sz w:val="16"/>
                <w:szCs w:val="16"/>
              </w:rPr>
            </w:pPr>
          </w:p>
        </w:tc>
        <w:tc>
          <w:tcPr>
            <w:tcW w:w="662" w:type="dxa"/>
          </w:tcPr>
          <w:p w14:paraId="121C347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5F156E0E" w14:textId="77777777" w:rsidR="004B4E35" w:rsidRPr="00405303" w:rsidRDefault="004B4E35" w:rsidP="00C15251">
            <w:pPr>
              <w:shd w:val="clear" w:color="auto" w:fill="FFFFFF"/>
              <w:jc w:val="both"/>
              <w:rPr>
                <w:bCs/>
                <w:color w:val="002060"/>
                <w:sz w:val="16"/>
                <w:szCs w:val="16"/>
              </w:rPr>
            </w:pPr>
          </w:p>
        </w:tc>
        <w:tc>
          <w:tcPr>
            <w:tcW w:w="806" w:type="dxa"/>
          </w:tcPr>
          <w:p w14:paraId="542BEB1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w:t>
            </w:r>
          </w:p>
          <w:p w14:paraId="33E6FA05" w14:textId="77777777" w:rsidR="004B4E35" w:rsidRPr="00405303" w:rsidRDefault="004B4E35" w:rsidP="00C15251">
            <w:pPr>
              <w:shd w:val="clear" w:color="auto" w:fill="FFFFFF"/>
              <w:jc w:val="both"/>
              <w:rPr>
                <w:bCs/>
                <w:color w:val="002060"/>
                <w:sz w:val="16"/>
                <w:szCs w:val="16"/>
              </w:rPr>
            </w:pPr>
          </w:p>
        </w:tc>
        <w:tc>
          <w:tcPr>
            <w:tcW w:w="720" w:type="dxa"/>
          </w:tcPr>
          <w:p w14:paraId="3F1266C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3FFE061C" w14:textId="77777777" w:rsidR="004B4E35" w:rsidRPr="00405303" w:rsidRDefault="004B4E35" w:rsidP="00C15251">
            <w:pPr>
              <w:shd w:val="clear" w:color="auto" w:fill="FFFFFF"/>
              <w:jc w:val="both"/>
              <w:rPr>
                <w:bCs/>
                <w:color w:val="002060"/>
                <w:sz w:val="16"/>
                <w:szCs w:val="16"/>
              </w:rPr>
            </w:pPr>
          </w:p>
        </w:tc>
        <w:tc>
          <w:tcPr>
            <w:tcW w:w="1018" w:type="dxa"/>
          </w:tcPr>
          <w:p w14:paraId="0F3D38E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383</w:t>
            </w:r>
          </w:p>
          <w:p w14:paraId="3ABC38B4" w14:textId="77777777" w:rsidR="004B4E35" w:rsidRPr="00405303" w:rsidRDefault="004B4E35" w:rsidP="00C15251">
            <w:pPr>
              <w:shd w:val="clear" w:color="auto" w:fill="FFFFFF"/>
              <w:jc w:val="both"/>
              <w:rPr>
                <w:bCs/>
                <w:color w:val="002060"/>
                <w:sz w:val="16"/>
                <w:szCs w:val="16"/>
              </w:rPr>
            </w:pPr>
          </w:p>
        </w:tc>
      </w:tr>
      <w:tr w:rsidR="004B4E35" w:rsidRPr="00405303" w14:paraId="5FD365D7" w14:textId="77777777">
        <w:trPr>
          <w:trHeight w:val="365"/>
        </w:trPr>
        <w:tc>
          <w:tcPr>
            <w:tcW w:w="3187" w:type="dxa"/>
          </w:tcPr>
          <w:p w14:paraId="3AB2029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Новицкого</w:t>
            </w:r>
          </w:p>
          <w:p w14:paraId="5A1B419C" w14:textId="77777777" w:rsidR="004B4E35" w:rsidRPr="00405303" w:rsidRDefault="004B4E35" w:rsidP="00C15251">
            <w:pPr>
              <w:shd w:val="clear" w:color="auto" w:fill="FFFFFF"/>
              <w:jc w:val="both"/>
              <w:rPr>
                <w:bCs/>
                <w:color w:val="002060"/>
                <w:sz w:val="16"/>
                <w:szCs w:val="16"/>
              </w:rPr>
            </w:pPr>
          </w:p>
        </w:tc>
        <w:tc>
          <w:tcPr>
            <w:tcW w:w="662" w:type="dxa"/>
          </w:tcPr>
          <w:p w14:paraId="62B0F22F" w14:textId="77777777" w:rsidR="004B4E35" w:rsidRPr="00405303" w:rsidRDefault="004B4E35" w:rsidP="00C15251">
            <w:pPr>
              <w:shd w:val="clear" w:color="auto" w:fill="FFFFFF"/>
              <w:jc w:val="both"/>
              <w:rPr>
                <w:bCs/>
                <w:color w:val="002060"/>
                <w:sz w:val="16"/>
                <w:szCs w:val="16"/>
              </w:rPr>
            </w:pPr>
          </w:p>
          <w:p w14:paraId="3947E039" w14:textId="77777777" w:rsidR="004B4E35" w:rsidRPr="00405303" w:rsidRDefault="004B4E35" w:rsidP="00C15251">
            <w:pPr>
              <w:shd w:val="clear" w:color="auto" w:fill="FFFFFF"/>
              <w:jc w:val="both"/>
              <w:rPr>
                <w:bCs/>
                <w:color w:val="002060"/>
                <w:sz w:val="16"/>
                <w:szCs w:val="16"/>
              </w:rPr>
            </w:pPr>
          </w:p>
        </w:tc>
        <w:tc>
          <w:tcPr>
            <w:tcW w:w="806" w:type="dxa"/>
          </w:tcPr>
          <w:p w14:paraId="1571BACF" w14:textId="77777777" w:rsidR="004B4E35" w:rsidRPr="00405303" w:rsidRDefault="004B4E35" w:rsidP="00C15251">
            <w:pPr>
              <w:shd w:val="clear" w:color="auto" w:fill="FFFFFF"/>
              <w:jc w:val="both"/>
              <w:rPr>
                <w:bCs/>
                <w:color w:val="002060"/>
                <w:sz w:val="16"/>
                <w:szCs w:val="16"/>
              </w:rPr>
            </w:pPr>
          </w:p>
          <w:p w14:paraId="47185158" w14:textId="77777777" w:rsidR="004B4E35" w:rsidRPr="00405303" w:rsidRDefault="004B4E35" w:rsidP="00C15251">
            <w:pPr>
              <w:shd w:val="clear" w:color="auto" w:fill="FFFFFF"/>
              <w:jc w:val="both"/>
              <w:rPr>
                <w:bCs/>
                <w:color w:val="002060"/>
                <w:sz w:val="16"/>
                <w:szCs w:val="16"/>
              </w:rPr>
            </w:pPr>
          </w:p>
        </w:tc>
        <w:tc>
          <w:tcPr>
            <w:tcW w:w="720" w:type="dxa"/>
          </w:tcPr>
          <w:p w14:paraId="0AF57503" w14:textId="77777777" w:rsidR="004B4E35" w:rsidRPr="00405303" w:rsidRDefault="004B4E35" w:rsidP="00C15251">
            <w:pPr>
              <w:shd w:val="clear" w:color="auto" w:fill="FFFFFF"/>
              <w:jc w:val="both"/>
              <w:rPr>
                <w:bCs/>
                <w:color w:val="002060"/>
                <w:sz w:val="16"/>
                <w:szCs w:val="16"/>
              </w:rPr>
            </w:pPr>
          </w:p>
          <w:p w14:paraId="0596B7FB" w14:textId="77777777" w:rsidR="004B4E35" w:rsidRPr="00405303" w:rsidRDefault="004B4E35" w:rsidP="00C15251">
            <w:pPr>
              <w:shd w:val="clear" w:color="auto" w:fill="FFFFFF"/>
              <w:jc w:val="both"/>
              <w:rPr>
                <w:bCs/>
                <w:color w:val="002060"/>
                <w:sz w:val="16"/>
                <w:szCs w:val="16"/>
              </w:rPr>
            </w:pPr>
          </w:p>
        </w:tc>
        <w:tc>
          <w:tcPr>
            <w:tcW w:w="1018" w:type="dxa"/>
          </w:tcPr>
          <w:p w14:paraId="021CBB08" w14:textId="77777777" w:rsidR="004B4E35" w:rsidRPr="00405303" w:rsidRDefault="004B4E35" w:rsidP="00C15251">
            <w:pPr>
              <w:shd w:val="clear" w:color="auto" w:fill="FFFFFF"/>
              <w:jc w:val="both"/>
              <w:rPr>
                <w:bCs/>
                <w:color w:val="002060"/>
                <w:sz w:val="16"/>
                <w:szCs w:val="16"/>
              </w:rPr>
            </w:pPr>
          </w:p>
          <w:p w14:paraId="233FC0C7" w14:textId="77777777" w:rsidR="004B4E35" w:rsidRPr="00405303" w:rsidRDefault="004B4E35" w:rsidP="00C15251">
            <w:pPr>
              <w:shd w:val="clear" w:color="auto" w:fill="FFFFFF"/>
              <w:jc w:val="both"/>
              <w:rPr>
                <w:bCs/>
                <w:color w:val="002060"/>
                <w:sz w:val="16"/>
                <w:szCs w:val="16"/>
              </w:rPr>
            </w:pPr>
          </w:p>
        </w:tc>
      </w:tr>
    </w:tbl>
    <w:p w14:paraId="4BF6C7E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заключение следует сказать, что изделия Петроградского тру</w:t>
      </w:r>
      <w:r w:rsidRPr="00405303">
        <w:rPr>
          <w:bCs/>
          <w:color w:val="002060"/>
          <w:sz w:val="16"/>
          <w:szCs w:val="16"/>
        </w:rPr>
        <w:softHyphen/>
        <w:t>бочного завода отличались высоким качеством и были лучше по на</w:t>
      </w:r>
      <w:r w:rsidRPr="00405303">
        <w:rPr>
          <w:bCs/>
          <w:color w:val="002060"/>
          <w:sz w:val="16"/>
          <w:szCs w:val="16"/>
        </w:rPr>
        <w:softHyphen/>
        <w:t>дежности и единообразию действия по сравнению со всеми зарубеж</w:t>
      </w:r>
      <w:r w:rsidRPr="00405303">
        <w:rPr>
          <w:bCs/>
          <w:color w:val="002060"/>
          <w:sz w:val="16"/>
          <w:szCs w:val="16"/>
        </w:rPr>
        <w:softHyphen/>
        <w:t>ными образцами, полученными в России (5484).</w:t>
      </w:r>
    </w:p>
    <w:p w14:paraId="555F470D" w14:textId="77777777" w:rsidR="004B4E35" w:rsidRPr="00405303" w:rsidRDefault="004B4E35" w:rsidP="00C15251">
      <w:pPr>
        <w:jc w:val="both"/>
        <w:rPr>
          <w:bCs/>
          <w:color w:val="002060"/>
          <w:sz w:val="16"/>
          <w:szCs w:val="16"/>
        </w:rPr>
      </w:pPr>
    </w:p>
    <w:p w14:paraId="7978D22C" w14:textId="77777777" w:rsidR="008A3F09" w:rsidRPr="00405303" w:rsidRDefault="008A3F09" w:rsidP="00C15251">
      <w:pPr>
        <w:jc w:val="both"/>
        <w:rPr>
          <w:bCs/>
          <w:color w:val="002060"/>
          <w:sz w:val="16"/>
          <w:szCs w:val="16"/>
          <w:shd w:val="clear" w:color="auto" w:fill="FFFFFF"/>
        </w:rPr>
      </w:pPr>
      <w:r w:rsidRPr="00405303">
        <w:rPr>
          <w:bCs/>
          <w:color w:val="002060"/>
          <w:sz w:val="16"/>
          <w:szCs w:val="16"/>
          <w:shd w:val="clear" w:color="auto" w:fill="FFFFFF"/>
        </w:rPr>
        <w:t>В марте 1915 г. Васильев предлагал военному ведомству еще и «колесные коньки для солдат», «самодвижущийся фугас», «перископ для ружья и пулемета». Эти изобретения были отвергнуты, но сейчас негодование изобретателя вызвало непризнание именно «невязнущей повозки» (20250).</w:t>
      </w:r>
    </w:p>
    <w:p w14:paraId="2B23D11B" w14:textId="77777777" w:rsidR="008A3F09" w:rsidRPr="00405303" w:rsidRDefault="008A3F09" w:rsidP="00C15251">
      <w:pPr>
        <w:jc w:val="both"/>
        <w:rPr>
          <w:bCs/>
          <w:color w:val="002060"/>
          <w:sz w:val="16"/>
          <w:szCs w:val="16"/>
          <w:shd w:val="clear" w:color="auto" w:fill="FFFFFF"/>
        </w:rPr>
      </w:pPr>
    </w:p>
    <w:p w14:paraId="6ADDBE4C" w14:textId="77777777" w:rsidR="002E3314" w:rsidRPr="00405303" w:rsidRDefault="002E3314" w:rsidP="00C15251">
      <w:pPr>
        <w:jc w:val="both"/>
        <w:rPr>
          <w:bCs/>
          <w:color w:val="002060"/>
          <w:sz w:val="16"/>
          <w:szCs w:val="16"/>
        </w:rPr>
      </w:pPr>
      <w:r w:rsidRPr="00405303">
        <w:rPr>
          <w:bCs/>
          <w:color w:val="002060"/>
          <w:sz w:val="16"/>
          <w:szCs w:val="16"/>
        </w:rPr>
        <w:t>В марте 1915 г. Сухомлинов увидел, что нужно подумать, как теперь ликвидировать дело о ружейном заводе РАОАЗ. Его помощник стал добиваться от Балинского доброволь</w:t>
      </w:r>
      <w:r w:rsidRPr="00405303">
        <w:rPr>
          <w:bCs/>
          <w:color w:val="002060"/>
          <w:sz w:val="16"/>
          <w:szCs w:val="16"/>
        </w:rPr>
        <w:softHyphen/>
        <w:t>ного согласия считать этот заказ несостоявшимся. Не без труда, лишь к осени удалось Лукомскому в частных со</w:t>
      </w:r>
      <w:r w:rsidRPr="00405303">
        <w:rPr>
          <w:bCs/>
          <w:color w:val="002060"/>
          <w:sz w:val="16"/>
          <w:szCs w:val="16"/>
        </w:rPr>
        <w:softHyphen/>
        <w:t>вещаниях с банкиром Я.И. Утиным, одним из директо</w:t>
      </w:r>
      <w:r w:rsidRPr="00405303">
        <w:rPr>
          <w:bCs/>
          <w:color w:val="002060"/>
          <w:sz w:val="16"/>
          <w:szCs w:val="16"/>
        </w:rPr>
        <w:softHyphen/>
        <w:t>ров РАОАЗ, провести, по его словам, «такую комбинацию, в силу коей банки отказывались в пользу казны от зака</w:t>
      </w:r>
      <w:r w:rsidRPr="00405303">
        <w:rPr>
          <w:bCs/>
          <w:color w:val="002060"/>
          <w:sz w:val="16"/>
          <w:szCs w:val="16"/>
        </w:rPr>
        <w:softHyphen/>
        <w:t>занных ими станков для завода, а казна им обязывалась уплатить» за станки «с прибавлением известного коммер</w:t>
      </w:r>
      <w:r w:rsidRPr="00405303">
        <w:rPr>
          <w:bCs/>
          <w:color w:val="002060"/>
          <w:sz w:val="16"/>
          <w:szCs w:val="16"/>
        </w:rPr>
        <w:softHyphen/>
        <w:t>ческого процента». Речь шла, как выяснилось позже, о за</w:t>
      </w:r>
      <w:r w:rsidRPr="00405303">
        <w:rPr>
          <w:bCs/>
          <w:color w:val="002060"/>
          <w:sz w:val="16"/>
          <w:szCs w:val="16"/>
        </w:rPr>
        <w:softHyphen/>
        <w:t>ключенных «Виккерсом» 1—4 июля 1915 г. с фирмой Pratt &amp; Witney (Connecticut) контрактах на 2500 станков с при</w:t>
      </w:r>
      <w:r w:rsidRPr="00405303">
        <w:rPr>
          <w:bCs/>
          <w:color w:val="002060"/>
          <w:sz w:val="16"/>
          <w:szCs w:val="16"/>
        </w:rPr>
        <w:softHyphen/>
        <w:t>способлениями, запасами резцов, комплектами лекал, рас</w:t>
      </w:r>
      <w:r w:rsidRPr="00405303">
        <w:rPr>
          <w:bCs/>
          <w:color w:val="002060"/>
          <w:sz w:val="16"/>
          <w:szCs w:val="16"/>
        </w:rPr>
        <w:softHyphen/>
        <w:t>считанными в конечном счете на изготовление до 1000 вин</w:t>
      </w:r>
      <w:r w:rsidRPr="00405303">
        <w:rPr>
          <w:bCs/>
          <w:color w:val="002060"/>
          <w:sz w:val="16"/>
          <w:szCs w:val="16"/>
        </w:rPr>
        <w:softHyphen/>
        <w:t>товок в 9-часовой рабочий день (23452).</w:t>
      </w:r>
    </w:p>
    <w:p w14:paraId="57DA6B89" w14:textId="77777777" w:rsidR="002E3314" w:rsidRPr="00405303" w:rsidRDefault="002E3314" w:rsidP="00C15251">
      <w:pPr>
        <w:jc w:val="both"/>
        <w:rPr>
          <w:bCs/>
          <w:color w:val="002060"/>
          <w:sz w:val="16"/>
          <w:szCs w:val="16"/>
        </w:rPr>
      </w:pPr>
    </w:p>
    <w:p w14:paraId="59C9FD0C" w14:textId="77777777" w:rsidR="00B47423" w:rsidRPr="00405303" w:rsidRDefault="00B47423" w:rsidP="00B47423">
      <w:pPr>
        <w:jc w:val="both"/>
        <w:rPr>
          <w:color w:val="0070C0"/>
          <w:sz w:val="16"/>
          <w:szCs w:val="16"/>
        </w:rPr>
      </w:pPr>
      <w:r w:rsidRPr="00405303">
        <w:rPr>
          <w:color w:val="0070C0"/>
          <w:sz w:val="16"/>
          <w:szCs w:val="16"/>
        </w:rPr>
        <w:t xml:space="preserve">В марте 1915 года штабс-капитан лейб-гвардии Преображенского полка Мещеренинов получил в свое распоряжение 3 броневика на шасси Руссо-Балт модель С и Рено. Кроме изготовления специальных железнодорожных скатов на броневиках установили механические стартеры, двойные задние колеса, усовершенствовали систему охлаждения пулеметов, по совету генерал-лейтенанта Мгеброва конструкция бронекорпусов была усилена, так как для перемещения по рельсам не было строгих ограничений по массе. Испытания машин проводились на специальном участке </w:t>
      </w:r>
      <w:proofErr w:type="gramStart"/>
      <w:r w:rsidRPr="00405303">
        <w:rPr>
          <w:color w:val="0070C0"/>
          <w:sz w:val="16"/>
          <w:szCs w:val="16"/>
        </w:rPr>
        <w:t>Московско-Казанской железной дороге</w:t>
      </w:r>
      <w:proofErr w:type="gramEnd"/>
      <w:r w:rsidRPr="00405303">
        <w:rPr>
          <w:color w:val="0070C0"/>
          <w:sz w:val="16"/>
          <w:szCs w:val="16"/>
        </w:rPr>
        <w:t xml:space="preserve"> перешитой на </w:t>
      </w:r>
      <w:proofErr w:type="gramStart"/>
      <w:r w:rsidRPr="00405303">
        <w:rPr>
          <w:color w:val="0070C0"/>
          <w:sz w:val="16"/>
          <w:szCs w:val="16"/>
        </w:rPr>
        <w:t>западно-европейский</w:t>
      </w:r>
      <w:proofErr w:type="gramEnd"/>
      <w:r w:rsidRPr="00405303">
        <w:rPr>
          <w:color w:val="0070C0"/>
          <w:sz w:val="16"/>
          <w:szCs w:val="16"/>
        </w:rPr>
        <w:t xml:space="preserve"> размер колеи. Несмотря на удачную подготовку машин к железнодорожному ходу они снова оказались бесполезны — Императорская армия отступала из Галиции. Пришлось броневики еще раз переделывать — уже на российскую колею, оказалось, что с Рено это сделать невозможно, а Руссо-Балты типа С вполне успешно оснастили новыми осями и испытали (25491).</w:t>
      </w:r>
    </w:p>
    <w:p w14:paraId="34FD9FC2" w14:textId="77777777" w:rsidR="00B47423" w:rsidRPr="00405303" w:rsidRDefault="00B47423" w:rsidP="00B47423">
      <w:pPr>
        <w:jc w:val="both"/>
        <w:rPr>
          <w:color w:val="0070C0"/>
          <w:sz w:val="16"/>
          <w:szCs w:val="16"/>
        </w:rPr>
      </w:pPr>
    </w:p>
    <w:p w14:paraId="715C3F68" w14:textId="77777777" w:rsidR="002E3314" w:rsidRPr="00405303" w:rsidRDefault="002E3314" w:rsidP="00C15251">
      <w:pPr>
        <w:jc w:val="both"/>
        <w:rPr>
          <w:bCs/>
          <w:color w:val="002060"/>
          <w:sz w:val="16"/>
          <w:szCs w:val="16"/>
        </w:rPr>
      </w:pPr>
      <w:r w:rsidRPr="00405303">
        <w:rPr>
          <w:bCs/>
          <w:color w:val="002060"/>
          <w:sz w:val="16"/>
          <w:szCs w:val="16"/>
        </w:rPr>
        <w:t>В марте 1915 г. автосани Кегресса успешно испытали в снежных сугро</w:t>
      </w:r>
      <w:r w:rsidRPr="00405303">
        <w:rPr>
          <w:bCs/>
          <w:color w:val="002060"/>
          <w:sz w:val="16"/>
          <w:szCs w:val="16"/>
        </w:rPr>
        <w:softHyphen/>
        <w:t>бах в Царском Селе, на улицах Петрограда и на льду Невы. Вывод гласил: «В теперешнем своем виде снеговой автомобиль господина Кегресса представляет собой вполне закончен</w:t>
      </w:r>
      <w:r w:rsidRPr="00405303">
        <w:rPr>
          <w:bCs/>
          <w:color w:val="002060"/>
          <w:sz w:val="16"/>
          <w:szCs w:val="16"/>
        </w:rPr>
        <w:softHyphen/>
        <w:t>ное, разработанное и в высокой степени по</w:t>
      </w:r>
      <w:r w:rsidRPr="00405303">
        <w:rPr>
          <w:bCs/>
          <w:color w:val="002060"/>
          <w:sz w:val="16"/>
          <w:szCs w:val="16"/>
        </w:rPr>
        <w:softHyphen/>
        <w:t>лезное изобретение, всю широкою будущность которого в настоящее время даже трудно предвидеть» (23481).</w:t>
      </w:r>
    </w:p>
    <w:p w14:paraId="7AF97469" w14:textId="77777777" w:rsidR="002E3314" w:rsidRPr="00405303" w:rsidRDefault="002E3314" w:rsidP="00C15251">
      <w:pPr>
        <w:jc w:val="both"/>
        <w:rPr>
          <w:bCs/>
          <w:color w:val="002060"/>
          <w:sz w:val="16"/>
          <w:szCs w:val="16"/>
        </w:rPr>
      </w:pPr>
    </w:p>
    <w:p w14:paraId="433593AA"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796EC7B5" w14:textId="77777777" w:rsidR="004B4E35" w:rsidRPr="00405303" w:rsidRDefault="004B4E35" w:rsidP="00C15251">
      <w:pPr>
        <w:shd w:val="clear" w:color="auto" w:fill="FFFFFF"/>
        <w:jc w:val="both"/>
        <w:rPr>
          <w:bCs/>
          <w:i/>
          <w:color w:val="002060"/>
          <w:sz w:val="16"/>
          <w:szCs w:val="16"/>
        </w:rPr>
      </w:pPr>
    </w:p>
    <w:p w14:paraId="29F05AA0" w14:textId="77777777" w:rsidR="00250AD8" w:rsidRPr="00405303" w:rsidRDefault="00250AD8" w:rsidP="00C15251">
      <w:pPr>
        <w:jc w:val="both"/>
        <w:rPr>
          <w:bCs/>
          <w:color w:val="002060"/>
          <w:sz w:val="16"/>
          <w:szCs w:val="16"/>
        </w:rPr>
      </w:pPr>
      <w:r w:rsidRPr="00405303">
        <w:rPr>
          <w:bCs/>
          <w:color w:val="002060"/>
          <w:sz w:val="16"/>
          <w:szCs w:val="16"/>
        </w:rPr>
        <w:t>В марте 1915 г. крепостные авиаотряды по дополнительному табелю получили право на обеспечение автомобилями (четыре машины на отряд). В целом, спустя год с начала войны, организационное оформление авиации действующей армии в основном было завершено. Распределение авиаотрядов по армиям и фронтам стало более упорядоченным, штабы объединений и соединений сухопутных войск научились использовать авиацию и управлять ею. В действующей армии состояло 49 авиаотрядов – 1 специальный, 6 армейских, 39 корпусных и 3 корпусных, временно отведенных в тыл. Постепенно улучшалась и организация материально-технического обеспечения авиачастей. Штаты и табели отрядов в основном соответствовали требованиям войны по ведению воздушной разведки с одной стороны, и скромным возможностям снабжения, с другой. Авиаотряды стали представлять собой, по выражению А.А. Леера, «соединения отдельных элементов ... (нижние чины, начальствующий персонал, материальная часть) в прочные и удобоуправляемые единицы» (19566).</w:t>
      </w:r>
    </w:p>
    <w:p w14:paraId="04D166F3" w14:textId="77777777" w:rsidR="00250AD8" w:rsidRPr="00405303" w:rsidRDefault="00250AD8" w:rsidP="00C15251">
      <w:pPr>
        <w:jc w:val="both"/>
        <w:rPr>
          <w:bCs/>
          <w:color w:val="002060"/>
          <w:sz w:val="16"/>
          <w:szCs w:val="16"/>
        </w:rPr>
      </w:pPr>
    </w:p>
    <w:p w14:paraId="70671BF1" w14:textId="77777777" w:rsidR="00250AD8" w:rsidRPr="00405303" w:rsidRDefault="00250AD8" w:rsidP="00C15251">
      <w:pPr>
        <w:jc w:val="both"/>
        <w:rPr>
          <w:bCs/>
          <w:color w:val="002060"/>
          <w:sz w:val="16"/>
          <w:szCs w:val="16"/>
        </w:rPr>
      </w:pPr>
      <w:r w:rsidRPr="00405303">
        <w:rPr>
          <w:bCs/>
          <w:color w:val="002060"/>
          <w:sz w:val="16"/>
          <w:szCs w:val="16"/>
        </w:rPr>
        <w:t xml:space="preserve">В марте 1915 г., поскольку же в ведении ГВТУ находилась только ГВАШ, Начальник инженерного ведомства обратил внимание </w:t>
      </w:r>
      <w:proofErr w:type="gramStart"/>
      <w:r w:rsidRPr="00405303">
        <w:rPr>
          <w:bCs/>
          <w:color w:val="002060"/>
          <w:sz w:val="16"/>
          <w:szCs w:val="16"/>
        </w:rPr>
        <w:t>Александра Михайловича</w:t>
      </w:r>
      <w:proofErr w:type="gramEnd"/>
      <w:r w:rsidRPr="00405303">
        <w:rPr>
          <w:bCs/>
          <w:color w:val="002060"/>
          <w:sz w:val="16"/>
          <w:szCs w:val="16"/>
        </w:rPr>
        <w:t xml:space="preserve"> В феврале 1915 г. после неудачных попыток наступления Ставка пришла к выводу, что война приобрела затяжной характер. Как следствие этого, Заведующий авиацией потребовал от ГВТУ расширения подготовки авиационных кадров и улучшения ее качества, а Начальник штаба ВГК, обращаясь к Начальнику ГШ в письме от 28 февраля 1915 г., посетовал, что подготовка летчиков оставляет желать лучшего. В результате обмена мнениями было решено переработать программы обучения в соответствии с опытом войны во всех летных школах (19566).</w:t>
      </w:r>
    </w:p>
    <w:p w14:paraId="3EA7D813" w14:textId="77777777" w:rsidR="00250AD8" w:rsidRPr="00405303" w:rsidRDefault="00250AD8" w:rsidP="00C15251">
      <w:pPr>
        <w:jc w:val="both"/>
        <w:rPr>
          <w:bCs/>
          <w:color w:val="002060"/>
          <w:sz w:val="16"/>
          <w:szCs w:val="16"/>
        </w:rPr>
      </w:pPr>
    </w:p>
    <w:p w14:paraId="3A6A6E87" w14:textId="320A40B4" w:rsidR="004B4E35" w:rsidRPr="00405303" w:rsidRDefault="009E6F82" w:rsidP="00C15251">
      <w:pPr>
        <w:jc w:val="both"/>
        <w:rPr>
          <w:bCs/>
          <w:color w:val="002060"/>
          <w:sz w:val="16"/>
          <w:szCs w:val="16"/>
        </w:rPr>
      </w:pPr>
      <w:r w:rsidRPr="00405303">
        <w:rPr>
          <w:bCs/>
          <w:color w:val="002060"/>
          <w:sz w:val="16"/>
          <w:szCs w:val="16"/>
        </w:rPr>
        <w:t>В марте 1915 года "Киевский" совершил по заданию штаба 1-й армии ещё четыре боевых полёта. Обычно на борт брали от 10 до 15 пудов (от 160 до 240 кг) бомб, ружьё-пулемёт "Мадсен", пулемёт "Льюис" и один карабин.</w:t>
      </w:r>
    </w:p>
    <w:p w14:paraId="201EF980" w14:textId="77777777" w:rsidR="004B4E35" w:rsidRPr="00405303" w:rsidRDefault="009E6F82" w:rsidP="00C15251">
      <w:pPr>
        <w:jc w:val="both"/>
        <w:rPr>
          <w:bCs/>
          <w:color w:val="002060"/>
          <w:sz w:val="16"/>
          <w:szCs w:val="16"/>
        </w:rPr>
      </w:pPr>
      <w:r w:rsidRPr="00405303">
        <w:rPr>
          <w:bCs/>
          <w:color w:val="002060"/>
          <w:sz w:val="16"/>
          <w:szCs w:val="16"/>
        </w:rPr>
        <w:t xml:space="preserve">В апреле Головин разбил последний корабль типа Б (VI, № 137), при этом сам чудом остался в живых. Незадолго до этой аварии "прихлопнул" при посадке свой V корабль (№ 143) штабс-капитан Алехнович. Надо отметить, что многочисленные поломки и аварии на заключительной фазе полёта были связаны с манерой посадки, которую практиковал Сикорский и которой он обучил летчиков "Муромцев". Самолёт снижал скорость с периодическим отключением и включением двигателей ("на </w:t>
      </w:r>
      <w:r w:rsidRPr="00405303">
        <w:rPr>
          <w:bCs/>
          <w:color w:val="002060"/>
          <w:sz w:val="16"/>
          <w:szCs w:val="16"/>
        </w:rPr>
        <w:lastRenderedPageBreak/>
        <w:t>контакте"), выравнивался на высоте 5-6 метров, максимально снижал скорость, а потом двигатели отключались и аппарат "плюхался" с этой высоты. Иногда ломались стойки шасси, но чаще самолёт делал прыжок (давал "козла") и вновь касался земли. И так - несколько раз. Подобная методика была приемлема на лёгких самолётах, но на гиганте "Муромце" так сажать без аварий могли только очень опытные пилоты. Командир II корабля Панкратьев использовал другую методику - сажал самолёт на "три точки", т.е. снижал высоту и скорость почти до самой земли, при этом двигатели отключались только в момент касания земли колёсами и хвостовой опорой (12041).</w:t>
      </w:r>
    </w:p>
    <w:p w14:paraId="5F566FC7" w14:textId="77777777" w:rsidR="004B4E35" w:rsidRPr="00405303" w:rsidRDefault="004B4E35" w:rsidP="00C15251">
      <w:pPr>
        <w:jc w:val="both"/>
        <w:rPr>
          <w:bCs/>
          <w:color w:val="002060"/>
          <w:sz w:val="16"/>
          <w:szCs w:val="16"/>
        </w:rPr>
      </w:pPr>
    </w:p>
    <w:p w14:paraId="120AFBB0" w14:textId="77777777" w:rsidR="004B4E35" w:rsidRPr="00405303" w:rsidRDefault="009E6F82" w:rsidP="00C15251">
      <w:pPr>
        <w:jc w:val="both"/>
        <w:rPr>
          <w:bCs/>
          <w:color w:val="002060"/>
          <w:sz w:val="16"/>
          <w:szCs w:val="16"/>
        </w:rPr>
      </w:pPr>
      <w:r w:rsidRPr="00405303">
        <w:rPr>
          <w:bCs/>
          <w:color w:val="002060"/>
          <w:sz w:val="16"/>
          <w:szCs w:val="16"/>
        </w:rPr>
        <w:t>В марте 1915 был еще один полет, который стал по тому времени выдающимся событием. 16 марта в Яблонну прибыл из штаба 1-й армии начальник разведотдела капитан Генерального штаба А. А. фон Гоерц с npocьбой командующего провести глубокую разведку немецких тылов в предложенном направлении. Там, по некоторым данным, происходила концентрация немецких поиск, но что-то в этой информации настораживало командование, и оно решило ее перепроверить и уточнить. Выбор Шидловского опять пал на самый опытный экипаж. 18 марта "Илья Муромец" под командованием капитана Горшкова вылетел по маршруту Яблонна - Вилленберг - Найденбург - Зольдну - Лаутенбург - Страссбург - Тори - Плоцк - Млава - Яблонна протяженностью в 600 верст. На борту кроме штатного экипажа был капитан фон Гоерц. Полет продолжался более пяти часов. Представитель штаба и Наумов тщательно осмотрели все намеченные пункты и сделали около 50 фотоснимков. После обработки и изучения полученных данных выяснилось, что ни о какой концентрации войск противника не может быть и речи. Более того, часть укреплений оголена в связи с переброской войск на другое направление. Стало ясно, что немцы провели активное мероприятие по дезинформации. Русское командование сделало соответствующие выводы. Помощь "Муромца" при этом была неоценима (11230).</w:t>
      </w:r>
    </w:p>
    <w:p w14:paraId="4A6652F9" w14:textId="77777777" w:rsidR="004B4E35" w:rsidRPr="00405303" w:rsidRDefault="004B4E35" w:rsidP="00C15251">
      <w:pPr>
        <w:jc w:val="both"/>
        <w:rPr>
          <w:bCs/>
          <w:color w:val="002060"/>
          <w:sz w:val="16"/>
          <w:szCs w:val="16"/>
        </w:rPr>
      </w:pPr>
    </w:p>
    <w:p w14:paraId="69BD0A28" w14:textId="77777777" w:rsidR="00532D6C" w:rsidRPr="00405303" w:rsidRDefault="00532D6C" w:rsidP="00532D6C">
      <w:pPr>
        <w:jc w:val="both"/>
        <w:rPr>
          <w:color w:val="0070C0"/>
          <w:sz w:val="16"/>
          <w:szCs w:val="16"/>
        </w:rPr>
      </w:pPr>
      <w:r w:rsidRPr="00405303">
        <w:rPr>
          <w:color w:val="0070C0"/>
          <w:sz w:val="16"/>
          <w:szCs w:val="16"/>
        </w:rPr>
        <w:t>В марте 1915 г. в ЭВК в Яблону из морского флота был затребован Г.И. Лавров. Вслед за ним из Ревеля был отправлен и С-16, но уже без «рона», возвращенного морскому ведомству.</w:t>
      </w:r>
    </w:p>
    <w:p w14:paraId="143B829E" w14:textId="77777777" w:rsidR="00532D6C" w:rsidRPr="00405303" w:rsidRDefault="00532D6C" w:rsidP="00532D6C">
      <w:pPr>
        <w:jc w:val="both"/>
        <w:rPr>
          <w:color w:val="0070C0"/>
          <w:sz w:val="16"/>
          <w:szCs w:val="16"/>
        </w:rPr>
      </w:pPr>
      <w:r w:rsidRPr="00405303">
        <w:rPr>
          <w:color w:val="0070C0"/>
          <w:sz w:val="16"/>
          <w:szCs w:val="16"/>
        </w:rPr>
        <w:t>Почти одновременно с этим М.В. Шидловский отдал распоряжение Воздухоплавательному отделению АО РБВЗ отправить в Яблону и два других опытных С-16. Самолеты с заводскими номерами 155 и 156 были отгружены в Эскадру соответственно 6 и 19 марта вместе с самолетами «Илья Муромец», С-10 и С-12. Прибыли они в Эскадру, как и No. 154, без моторов (25049).</w:t>
      </w:r>
    </w:p>
    <w:p w14:paraId="4A0E91F5" w14:textId="77777777" w:rsidR="00532D6C" w:rsidRPr="00405303" w:rsidRDefault="00532D6C" w:rsidP="00532D6C">
      <w:pPr>
        <w:jc w:val="both"/>
        <w:rPr>
          <w:color w:val="0070C0"/>
          <w:sz w:val="16"/>
          <w:szCs w:val="16"/>
        </w:rPr>
      </w:pPr>
    </w:p>
    <w:p w14:paraId="2C024470" w14:textId="77777777" w:rsidR="00532D6C" w:rsidRPr="00405303" w:rsidRDefault="00532D6C" w:rsidP="00532D6C">
      <w:pPr>
        <w:jc w:val="both"/>
        <w:rPr>
          <w:color w:val="0070C0"/>
          <w:sz w:val="16"/>
          <w:szCs w:val="16"/>
        </w:rPr>
      </w:pPr>
      <w:r w:rsidRPr="00405303">
        <w:rPr>
          <w:color w:val="0070C0"/>
          <w:sz w:val="16"/>
          <w:szCs w:val="16"/>
        </w:rPr>
        <w:t>В марте 1915 г. боевые вылеты вместе с «Киевским» стал совершать ВК-III под командованием штабс-капитана Бродовича. В ответ на успешные действия «муромцев» немцы совершили в апреле 1915 г. налет на Яблонну. Для защиты аэродрома от атак с воздуха около самолетных стоянок установили стационарные и подвижные самодельные зенитные пулеметные установки, а затем - и «воздухобойную» батарею орудий. Так начала формироваться система ПВО Эскадры (24965).</w:t>
      </w:r>
    </w:p>
    <w:p w14:paraId="6E084DC2" w14:textId="77777777" w:rsidR="00532D6C" w:rsidRPr="00405303" w:rsidRDefault="00532D6C" w:rsidP="00532D6C">
      <w:pPr>
        <w:jc w:val="both"/>
        <w:rPr>
          <w:color w:val="0070C0"/>
          <w:sz w:val="16"/>
          <w:szCs w:val="16"/>
        </w:rPr>
      </w:pPr>
    </w:p>
    <w:p w14:paraId="3C4E947B" w14:textId="4099AE69" w:rsidR="004B4E35" w:rsidRPr="00405303" w:rsidRDefault="009E6F82" w:rsidP="00C15251">
      <w:pPr>
        <w:shd w:val="clear" w:color="auto" w:fill="FFFFFF"/>
        <w:jc w:val="both"/>
        <w:rPr>
          <w:bCs/>
          <w:color w:val="002060"/>
          <w:sz w:val="16"/>
          <w:szCs w:val="16"/>
        </w:rPr>
      </w:pPr>
      <w:r w:rsidRPr="00405303">
        <w:rPr>
          <w:bCs/>
          <w:color w:val="002060"/>
          <w:sz w:val="16"/>
          <w:szCs w:val="16"/>
        </w:rPr>
        <w:t>В марте 1915 г. предпринималась попытка использовать 3 машины, а именно С-4, С-5 и С-6, во время наступательной операции против Мемеля, для чего их установили на лыжи и снабдили бомбодержателями типа Шнейдера и бронированными си</w:t>
      </w:r>
      <w:r w:rsidRPr="00405303">
        <w:rPr>
          <w:bCs/>
          <w:color w:val="002060"/>
          <w:sz w:val="16"/>
          <w:szCs w:val="16"/>
        </w:rPr>
        <w:softHyphen/>
        <w:t>дениями экипажа, изготовленными из 1,5-мм ванадиевой стали. Следуя за продвигавшимися вперед русскими частями, самолетам предстояло выполнять разведывательные задачи и бом</w:t>
      </w:r>
      <w:r w:rsidRPr="00405303">
        <w:rPr>
          <w:bCs/>
          <w:color w:val="002060"/>
          <w:sz w:val="16"/>
          <w:szCs w:val="16"/>
        </w:rPr>
        <w:softHyphen/>
        <w:t>бить порт Мемеля, но из-за плохой погоды они так и не сделали ни одного боевого вылета. Без их вины вся эта операция обернулась поражением, а сами они вернулись к нормальной морской службе. В том же году планировалось прикомандировать один аппарат С-10 к Осо</w:t>
      </w:r>
      <w:r w:rsidRPr="00405303">
        <w:rPr>
          <w:bCs/>
          <w:color w:val="002060"/>
          <w:sz w:val="16"/>
          <w:szCs w:val="16"/>
        </w:rPr>
        <w:softHyphen/>
        <w:t>бой экспедиции на реке Дунай в Сербии, где ему предстояло защищать с воздуха порт Прахово. Однако, скорее всего в последний момент машина Сикорского была заменена "Фарманом". Флотские С-10 заканчивали карьеру в роли тренировочных и связных гидро</w:t>
      </w:r>
      <w:r w:rsidRPr="00405303">
        <w:rPr>
          <w:bCs/>
          <w:color w:val="002060"/>
          <w:sz w:val="16"/>
          <w:szCs w:val="16"/>
        </w:rPr>
        <w:softHyphen/>
        <w:t>аэропланов, -а последним из них стал, по всей видимости, аппарат С.10-4 (или С-4. С-10-4, СА-4), все еще числившийся в списках 3-й станции в Ревеле в декабре 1916 и начале 1917 гг. Его спецификации, данные по архивным документам, заключают этот раздел (2843).</w:t>
      </w:r>
    </w:p>
    <w:p w14:paraId="2DA319C9" w14:textId="77777777" w:rsidR="004B4E35" w:rsidRPr="00405303" w:rsidRDefault="004B4E35" w:rsidP="00C15251">
      <w:pPr>
        <w:shd w:val="clear" w:color="auto" w:fill="FFFFFF"/>
        <w:jc w:val="both"/>
        <w:rPr>
          <w:bCs/>
          <w:color w:val="002060"/>
          <w:sz w:val="16"/>
          <w:szCs w:val="16"/>
        </w:rPr>
      </w:pPr>
    </w:p>
    <w:p w14:paraId="7E5A9E1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марта 1915 г. интенсивность действий германской авиации усилилась. Не ограни</w:t>
      </w:r>
      <w:r w:rsidRPr="00405303">
        <w:rPr>
          <w:bCs/>
          <w:color w:val="002060"/>
          <w:sz w:val="16"/>
          <w:szCs w:val="16"/>
        </w:rPr>
        <w:softHyphen/>
        <w:t>чиваясь только ведением воздушной разведки, немцы приступили к систематическим бомбёжкам кораблей и береговых сооружений Балтийского флота. Либаву сдали 22 апреля, Виндаву — 5 июля. Таким образом, вся Курляндия с хорошо оборудован</w:t>
      </w:r>
      <w:r w:rsidRPr="00405303">
        <w:rPr>
          <w:bCs/>
          <w:color w:val="002060"/>
          <w:sz w:val="16"/>
          <w:szCs w:val="16"/>
        </w:rPr>
        <w:softHyphen/>
        <w:t>ными портами оказалась в руках неприятеля.</w:t>
      </w:r>
    </w:p>
    <w:p w14:paraId="75705A6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то время российская морская авиация имела только две станции (базы): одну в Ре</w:t>
      </w:r>
      <w:r w:rsidRPr="00405303">
        <w:rPr>
          <w:bCs/>
          <w:color w:val="002060"/>
          <w:sz w:val="16"/>
          <w:szCs w:val="16"/>
        </w:rPr>
        <w:softHyphen/>
        <w:t>веле, другую — на острове Эзель (Моонзунд) в Кильконде.</w:t>
      </w:r>
    </w:p>
    <w:p w14:paraId="7249377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Начальник авиации капитан 2-го ранга Дудоров не верил в возможность установки на самолёты пулемётов. Для противодействия противнику по его приказу выдали оружие офицерам. Лётчики получили «маузеры», бортмеханики вооружились карабинами. Только Я.И. Нагурский решился установить пулемёт на свой самолёт «Морис Фарман».</w:t>
      </w:r>
    </w:p>
    <w:p w14:paraId="7DE2FCB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Впрочем, и немцы шли по такому же пути. Командование германской морской авиа</w:t>
      </w:r>
      <w:r w:rsidRPr="00405303">
        <w:rPr>
          <w:bCs/>
          <w:color w:val="002060"/>
          <w:sz w:val="16"/>
          <w:szCs w:val="16"/>
        </w:rPr>
        <w:softHyphen/>
        <w:t>ции приказало снабдить экипажи карабинами.</w:t>
      </w:r>
    </w:p>
    <w:p w14:paraId="0806FDB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наступлением тёплой погоды над Моонзундом все чаще и чаще появлялись герман</w:t>
      </w:r>
      <w:r w:rsidRPr="00405303">
        <w:rPr>
          <w:bCs/>
          <w:color w:val="002060"/>
          <w:sz w:val="16"/>
          <w:szCs w:val="16"/>
        </w:rPr>
        <w:softHyphen/>
        <w:t>ские самолёты. Начиная с 13 апреля 1915 г., почти каждый день хотя бы один немецкий гидроаэроплан с рассветом вылетал на разведку в сторону Моонзунда. Возвращались они вдоль побережья Рижского залива, чтобы вести наблюдение за передвижением рус</w:t>
      </w:r>
      <w:r w:rsidRPr="00405303">
        <w:rPr>
          <w:bCs/>
          <w:color w:val="002060"/>
          <w:sz w:val="16"/>
          <w:szCs w:val="16"/>
        </w:rPr>
        <w:softHyphen/>
        <w:t>ских войск. В мае германская авиация начала бомбить русские корабли и береговые сооружения. Ввиду активных действий немцев приняли решение развернуть еще одну -временную — станцию на острове Эзель вблизи города Аренсбург. На ровном участке побережья устанавливались уходящие в воду деревянные настилы (слипы), по кото</w:t>
      </w:r>
      <w:r w:rsidRPr="00405303">
        <w:rPr>
          <w:bCs/>
          <w:color w:val="002060"/>
          <w:sz w:val="16"/>
          <w:szCs w:val="16"/>
        </w:rPr>
        <w:softHyphen/>
        <w:t>рым гидросамолёты вытаскивали на сушу, а также палатки для размещения экипажей.</w:t>
      </w:r>
    </w:p>
    <w:p w14:paraId="0F40E0C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Утром 21 июля 1915 г. у острова Эзель опять появились немецкие самолёты Фридрих-сгафен (Альбатрос) РР с бортовыми номерами «270» и «292». На этот раз они впервые встретили отпор. Две русские летающие лодки — РВА пилота Лишина с бортовым но</w:t>
      </w:r>
      <w:r w:rsidRPr="00405303">
        <w:rPr>
          <w:bCs/>
          <w:color w:val="002060"/>
          <w:sz w:val="16"/>
          <w:szCs w:val="16"/>
        </w:rPr>
        <w:softHyphen/>
        <w:t>мером «4» и пилота Зверева с бортовым номером «8» — поднялись в воздух на перехват. К сожалению, у Зверева забарахлил мотор, и он вынужденно вернулся обратно. Остав</w:t>
      </w:r>
      <w:r w:rsidRPr="00405303">
        <w:rPr>
          <w:bCs/>
          <w:color w:val="002060"/>
          <w:sz w:val="16"/>
          <w:szCs w:val="16"/>
        </w:rPr>
        <w:softHyphen/>
        <w:t>шись один, Лишин смело пошел на врага.</w:t>
      </w:r>
    </w:p>
    <w:p w14:paraId="46FAFC3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Вряд ли кто может лучше непосредственного участника боя описать увиденное, обо</w:t>
      </w:r>
      <w:r w:rsidRPr="00405303">
        <w:rPr>
          <w:bCs/>
          <w:color w:val="002060"/>
          <w:sz w:val="16"/>
          <w:szCs w:val="16"/>
        </w:rPr>
        <w:softHyphen/>
        <w:t>сновать принятые решения, передать накал и динамику боя. Поэтому для более точно</w:t>
      </w:r>
      <w:r w:rsidRPr="00405303">
        <w:rPr>
          <w:bCs/>
          <w:color w:val="002060"/>
          <w:sz w:val="16"/>
          <w:szCs w:val="16"/>
        </w:rPr>
        <w:softHyphen/>
        <w:t>го изложения происходивших в те далекие времена событий приведу рапорт лейтенанта Лишина, поданный в тот же день капитану 2-го ранга Дудорову (орфография сохраня</w:t>
      </w:r>
      <w:r w:rsidRPr="00405303">
        <w:rPr>
          <w:bCs/>
          <w:color w:val="002060"/>
          <w:sz w:val="16"/>
          <w:szCs w:val="16"/>
        </w:rPr>
        <w:softHyphen/>
        <w:t>ется): «Доношу Вашему высокоблагородию, что сего числа в 5 час 35 мин утра я был около палаток, услышал шум мотора и вслед за тем увидел неприятельский аппарат.</w:t>
      </w:r>
    </w:p>
    <w:p w14:paraId="25AABB5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5 час 40 мин я с унтер-офицером Смолиным поднялся на аппарате РВА, имея при себе 3-линейный карабин и пистолет Маузера.</w:t>
      </w:r>
    </w:p>
    <w:p w14:paraId="21E2185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Поднявшись на высоту 500 м, я заметил еще один аппарат и пошел на них, забирая высоту.</w:t>
      </w:r>
    </w:p>
    <w:p w14:paraId="79CD186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 1050 м я разошелся с одним из аппаратов, обменявшись выстрелами. Механик, унтер-офицер Смолин, стрелял из карабина, я — из пистолета Маузера.</w:t>
      </w:r>
    </w:p>
    <w:p w14:paraId="4C2EDE5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Неприятельский аппарат старался пройти над миноносцем («Московитянин» — прим. авт.), а я ему мешал в этом. Разойдясь, мы развернулись и встретились опять, стре</w:t>
      </w:r>
      <w:r w:rsidRPr="00405303">
        <w:rPr>
          <w:bCs/>
          <w:color w:val="002060"/>
          <w:sz w:val="16"/>
          <w:szCs w:val="16"/>
        </w:rPr>
        <w:softHyphen/>
        <w:t>ляя друг в друга, причем ясно было видно, что стреляют и пилот, и пассажир.</w:t>
      </w:r>
    </w:p>
    <w:p w14:paraId="3D15B52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это время ко мне направился и второй аппарат.</w:t>
      </w:r>
    </w:p>
    <w:p w14:paraId="04D3A6C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После перестрелки неприятельский аппарат повернул круто вправо, качнулся направо и налево несколько раз и, снижаясь немного, пошел к берегу — к маяку «Михайловский», затем вдоль берега, и скрылся со снижением в облаках.</w:t>
      </w:r>
    </w:p>
    <w:p w14:paraId="46B22C0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Я тогда повернул на второго и разошёлся с ним на 30-100 м. После перестрелки ап</w:t>
      </w:r>
      <w:r w:rsidRPr="00405303">
        <w:rPr>
          <w:bCs/>
          <w:color w:val="002060"/>
          <w:sz w:val="16"/>
          <w:szCs w:val="16"/>
        </w:rPr>
        <w:softHyphen/>
        <w:t>парат ушел к берегу, я за ним. Но, дойдя до маяка «Михайловский», пошел назад, так как мотор начал чихать.</w:t>
      </w:r>
    </w:p>
    <w:p w14:paraId="3C5025E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Когда я повернул, неприятель пошел опять ко мне и затем в море; я лег на перемен</w:t>
      </w:r>
      <w:r w:rsidRPr="00405303">
        <w:rPr>
          <w:bCs/>
          <w:color w:val="002060"/>
          <w:sz w:val="16"/>
          <w:szCs w:val="16"/>
        </w:rPr>
        <w:softHyphen/>
        <w:t>ный курс и увидел в море нашу подводную лодку («Аллигатор» — прим. авт.), к которой неприятель повернул тоже.</w:t>
      </w:r>
    </w:p>
    <w:p w14:paraId="69CA86C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Я начал сближаться с ним и, сойдясь, открыл огонь. После короткой стрельбы аппарат пошел на Люзерорт, я за ним. Видя, что его нагнать не могу, пошёл домой, так как мотор опять начал работать хуже. Всего в воздухе был 57 мин, наибольшая высота — 1550 м.</w:t>
      </w:r>
    </w:p>
    <w:p w14:paraId="19A0554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Унтер-офицер Смолин вел себя выше всяких похвал. У аппарата крыло было простре</w:t>
      </w:r>
      <w:r w:rsidRPr="00405303">
        <w:rPr>
          <w:bCs/>
          <w:color w:val="002060"/>
          <w:sz w:val="16"/>
          <w:szCs w:val="16"/>
        </w:rPr>
        <w:softHyphen/>
        <w:t>ляно в 2-х местах и легко тронут винт, но через 1/2 часа прилета аппарат был опять готов к полету».</w:t>
      </w:r>
    </w:p>
    <w:p w14:paraId="36F57E3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Уточню, что маяк «Михайловский» находился по другую сторону Ирбенского проли</w:t>
      </w:r>
      <w:r w:rsidRPr="00405303">
        <w:rPr>
          <w:bCs/>
          <w:color w:val="002060"/>
          <w:sz w:val="16"/>
          <w:szCs w:val="16"/>
        </w:rPr>
        <w:softHyphen/>
        <w:t>ва (вблизи Курляндского побережья), Люзерорт — пункт на побережье по направлению к Виндаве.</w:t>
      </w:r>
    </w:p>
    <w:p w14:paraId="02F78E2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Итак, два немецких самолёта отступили перед одним русским. Интересно, что сохра</w:t>
      </w:r>
      <w:r w:rsidRPr="00405303">
        <w:rPr>
          <w:bCs/>
          <w:color w:val="002060"/>
          <w:sz w:val="16"/>
          <w:szCs w:val="16"/>
        </w:rPr>
        <w:softHyphen/>
        <w:t>нилось донесение немецкого лётчика поплавкового гидросамолёта с бортовым номе</w:t>
      </w:r>
      <w:r w:rsidRPr="00405303">
        <w:rPr>
          <w:bCs/>
          <w:color w:val="002060"/>
          <w:sz w:val="16"/>
          <w:szCs w:val="16"/>
        </w:rPr>
        <w:softHyphen/>
        <w:t>ром «270» об этом бое. Приведу выдержки из него:</w:t>
      </w:r>
    </w:p>
    <w:p w14:paraId="6E15FC6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«...Кертиссовская летающая лодка (Тогда немцы не знали, что в авиации Балтийского флота находятся летающие лодки РВА французской разработки и считали, что это американские летающие лодки «Кертисс», принятые на вооружение на Черном море.) пыталась выиграть высоту и не допускала нас к себе ближе, чем на 2000 м. Самолет «292» вынужден был прекратить преследование ввиду невозможности так быстро забрать высоту. Во время многочисленных встреч лод</w:t>
      </w:r>
      <w:r w:rsidRPr="00405303">
        <w:rPr>
          <w:bCs/>
          <w:color w:val="002060"/>
          <w:sz w:val="16"/>
          <w:szCs w:val="16"/>
        </w:rPr>
        <w:softHyphen/>
        <w:t>ку обстреляли из карабинов.</w:t>
      </w:r>
    </w:p>
    <w:p w14:paraId="5C820EF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5 час 55 мин мне удалось сблизиться с противником до 800 м на высоте 1900 м. Здесь я повернул на юг, чтобы не залетать вглубь Аренсбургской бухты и чтобы исполь</w:t>
      </w:r>
      <w:r w:rsidRPr="00405303">
        <w:rPr>
          <w:bCs/>
          <w:color w:val="002060"/>
          <w:sz w:val="16"/>
          <w:szCs w:val="16"/>
        </w:rPr>
        <w:softHyphen/>
        <w:t>зовать кормовые углы обстрела. Противник держался сзади меня приблизительно на 100 м выше. Мой наблюдатель произвел 20 выстрелов из карабина. По-видимому, с ус</w:t>
      </w:r>
      <w:r w:rsidRPr="00405303">
        <w:rPr>
          <w:bCs/>
          <w:color w:val="002060"/>
          <w:sz w:val="16"/>
          <w:szCs w:val="16"/>
        </w:rPr>
        <w:softHyphen/>
        <w:t>пехом, так как летающая лодка круто повернула и спустилась у Цереля. После этого я проследовал в Виндаву».</w:t>
      </w:r>
    </w:p>
    <w:p w14:paraId="0485B03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И немецкое, и русское командование быстро сделали главные выводы из результа</w:t>
      </w:r>
      <w:r w:rsidRPr="00405303">
        <w:rPr>
          <w:bCs/>
          <w:color w:val="002060"/>
          <w:sz w:val="16"/>
          <w:szCs w:val="16"/>
        </w:rPr>
        <w:softHyphen/>
        <w:t>тов первого воздушного боя. Уже через день для вооружения самолётов были заказа</w:t>
      </w:r>
      <w:r w:rsidRPr="00405303">
        <w:rPr>
          <w:bCs/>
          <w:color w:val="002060"/>
          <w:sz w:val="16"/>
          <w:szCs w:val="16"/>
        </w:rPr>
        <w:softHyphen/>
        <w:t>ны пулемёты. Особенности маневров при атаке, способы ее проведения оперативно учитывались при создании первых рекомендаций по тактике воздушного боя. В этой работе самое активное участие принимал С.Н. Лишин (11696).</w:t>
      </w:r>
    </w:p>
    <w:p w14:paraId="17C6F412" w14:textId="77777777" w:rsidR="004B4E35" w:rsidRPr="00405303" w:rsidRDefault="004B4E35" w:rsidP="00C15251">
      <w:pPr>
        <w:shd w:val="clear" w:color="auto" w:fill="FFFFFF"/>
        <w:jc w:val="both"/>
        <w:rPr>
          <w:bCs/>
          <w:color w:val="002060"/>
          <w:sz w:val="16"/>
          <w:szCs w:val="16"/>
        </w:rPr>
      </w:pPr>
    </w:p>
    <w:p w14:paraId="0A1DAA22" w14:textId="77777777" w:rsidR="00A14E06" w:rsidRPr="00405303" w:rsidRDefault="00A14E06" w:rsidP="00C15251">
      <w:pPr>
        <w:jc w:val="both"/>
        <w:rPr>
          <w:bCs/>
          <w:color w:val="002060"/>
          <w:sz w:val="16"/>
          <w:szCs w:val="16"/>
        </w:rPr>
      </w:pPr>
      <w:r w:rsidRPr="00405303">
        <w:rPr>
          <w:bCs/>
          <w:color w:val="002060"/>
          <w:sz w:val="16"/>
          <w:szCs w:val="16"/>
        </w:rPr>
        <w:t>В марте 1915 г. боевые вылеты вместе с «Киевским» стал совершать ВК-Ш под командованием штабс- капитана Бродовича. Начальник Эс</w:t>
      </w:r>
      <w:r w:rsidRPr="00405303">
        <w:rPr>
          <w:bCs/>
          <w:color w:val="002060"/>
          <w:sz w:val="16"/>
          <w:szCs w:val="16"/>
        </w:rPr>
        <w:softHyphen/>
        <w:t>кадры донёс по команде: «...В насто</w:t>
      </w:r>
      <w:r w:rsidRPr="00405303">
        <w:rPr>
          <w:bCs/>
          <w:color w:val="002060"/>
          <w:sz w:val="16"/>
          <w:szCs w:val="16"/>
        </w:rPr>
        <w:softHyphen/>
        <w:t>ящее время в Эскадре имеется три боевых корабля типа «Илья Муро</w:t>
      </w:r>
      <w:r w:rsidRPr="00405303">
        <w:rPr>
          <w:bCs/>
          <w:color w:val="002060"/>
          <w:sz w:val="16"/>
          <w:szCs w:val="16"/>
        </w:rPr>
        <w:softHyphen/>
        <w:t>мец Киевский», из них два могут со</w:t>
      </w:r>
      <w:r w:rsidRPr="00405303">
        <w:rPr>
          <w:bCs/>
          <w:color w:val="002060"/>
          <w:sz w:val="16"/>
          <w:szCs w:val="16"/>
        </w:rPr>
        <w:softHyphen/>
        <w:t>вершать боевые полёты, а один в сборке. К концу апреля Эскадра будет иметь шесть кораблей боево</w:t>
      </w:r>
      <w:r w:rsidRPr="00405303">
        <w:rPr>
          <w:bCs/>
          <w:color w:val="002060"/>
          <w:sz w:val="16"/>
          <w:szCs w:val="16"/>
        </w:rPr>
        <w:softHyphen/>
        <w:t>го типа...» (23469).</w:t>
      </w:r>
    </w:p>
    <w:p w14:paraId="2F14891C" w14:textId="77777777" w:rsidR="00A14E06" w:rsidRPr="00405303" w:rsidRDefault="00A14E06" w:rsidP="00C15251">
      <w:pPr>
        <w:jc w:val="both"/>
        <w:rPr>
          <w:bCs/>
          <w:color w:val="002060"/>
          <w:sz w:val="16"/>
          <w:szCs w:val="16"/>
        </w:rPr>
      </w:pPr>
    </w:p>
    <w:p w14:paraId="41DCB7D6" w14:textId="77777777" w:rsidR="00A14E06" w:rsidRPr="00405303" w:rsidRDefault="00A14E06" w:rsidP="00C15251">
      <w:pPr>
        <w:jc w:val="both"/>
        <w:rPr>
          <w:bCs/>
          <w:color w:val="002060"/>
          <w:sz w:val="16"/>
          <w:szCs w:val="16"/>
        </w:rPr>
      </w:pPr>
      <w:r w:rsidRPr="00405303">
        <w:rPr>
          <w:bCs/>
          <w:color w:val="002060"/>
          <w:sz w:val="16"/>
          <w:szCs w:val="16"/>
          <w:lang w:bidi="en-US"/>
        </w:rPr>
        <w:t>В марте 1915 г. была сформирована специальная русская зенитная батарея с 76-мм орудиями, установленными на четырех грузовиках белого производства, каждый с экипажем из шести человек, а также машины поддержки. Вела действия в районе Двинск-Рига, обороняла мосты под Варшавой и аэродром ЭВК на Яблонной, позже обороняла Минск. За время войны было сформировано девять автомобильных зенитных батарей, две в 1915 году, пять в 1916 году и еще две в 1917 году (23525).</w:t>
      </w:r>
    </w:p>
    <w:p w14:paraId="4B855D37" w14:textId="77777777" w:rsidR="00A14E06" w:rsidRPr="00405303" w:rsidRDefault="00A14E06" w:rsidP="00C15251">
      <w:pPr>
        <w:jc w:val="both"/>
        <w:rPr>
          <w:bCs/>
          <w:color w:val="002060"/>
          <w:sz w:val="16"/>
          <w:szCs w:val="16"/>
        </w:rPr>
      </w:pPr>
    </w:p>
    <w:p w14:paraId="5655E3F7" w14:textId="77777777" w:rsidR="00A14E06" w:rsidRPr="00405303" w:rsidRDefault="00A14E06" w:rsidP="00C15251">
      <w:pPr>
        <w:jc w:val="both"/>
        <w:rPr>
          <w:bCs/>
          <w:color w:val="002060"/>
          <w:sz w:val="16"/>
          <w:szCs w:val="16"/>
        </w:rPr>
      </w:pPr>
      <w:bookmarkStart w:id="83" w:name="bookmark121"/>
      <w:bookmarkStart w:id="84" w:name="bookmark122"/>
      <w:r w:rsidRPr="00405303">
        <w:rPr>
          <w:bCs/>
          <w:color w:val="002060"/>
          <w:sz w:val="16"/>
          <w:szCs w:val="16"/>
        </w:rPr>
        <w:t xml:space="preserve">В марте 1915 г. в результате сложных метеоусловий дважды не состоялись совместные полеты германских дирижаблей Z-XI и LZ-34 на г. Варшава. В дальнейшем они выполнили несколько боевых рейдов в тылу русских войск (23405). </w:t>
      </w:r>
      <w:bookmarkEnd w:id="83"/>
      <w:bookmarkEnd w:id="84"/>
    </w:p>
    <w:p w14:paraId="38176488" w14:textId="77777777" w:rsidR="00A14E06" w:rsidRPr="00405303" w:rsidRDefault="00A14E06" w:rsidP="00C15251">
      <w:pPr>
        <w:jc w:val="both"/>
        <w:rPr>
          <w:bCs/>
          <w:color w:val="002060"/>
          <w:sz w:val="16"/>
          <w:szCs w:val="16"/>
        </w:rPr>
      </w:pPr>
    </w:p>
    <w:p w14:paraId="468E1D32"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5502EC04" w14:textId="77777777" w:rsidR="004B4E35" w:rsidRPr="00405303" w:rsidRDefault="004B4E35" w:rsidP="00C15251">
      <w:pPr>
        <w:shd w:val="clear" w:color="auto" w:fill="FFFFFF"/>
        <w:jc w:val="both"/>
        <w:rPr>
          <w:bCs/>
          <w:i/>
          <w:color w:val="002060"/>
          <w:sz w:val="16"/>
          <w:szCs w:val="16"/>
        </w:rPr>
      </w:pPr>
    </w:p>
    <w:p w14:paraId="6C254206" w14:textId="7653A015" w:rsidR="004B4E35" w:rsidRPr="00405303" w:rsidRDefault="00EC0D8E"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марте 1915 г. корабельную авиацию ЧФ выделили из Службы связи и подчинили непосредственно командующему флотом) (1085).</w:t>
      </w:r>
    </w:p>
    <w:p w14:paraId="6C62C196" w14:textId="77777777" w:rsidR="004B4E35" w:rsidRPr="00405303" w:rsidRDefault="004B4E35" w:rsidP="00C15251">
      <w:pPr>
        <w:shd w:val="clear" w:color="auto" w:fill="FFFFFF"/>
        <w:jc w:val="both"/>
        <w:rPr>
          <w:bCs/>
          <w:color w:val="002060"/>
          <w:sz w:val="16"/>
          <w:szCs w:val="16"/>
        </w:rPr>
      </w:pPr>
    </w:p>
    <w:p w14:paraId="23A9766E" w14:textId="77777777" w:rsidR="004B4E35" w:rsidRPr="00405303" w:rsidRDefault="009E6F82" w:rsidP="00C15251">
      <w:pPr>
        <w:jc w:val="both"/>
        <w:rPr>
          <w:bCs/>
          <w:color w:val="002060"/>
          <w:sz w:val="16"/>
          <w:szCs w:val="16"/>
        </w:rPr>
      </w:pPr>
      <w:r w:rsidRPr="00405303">
        <w:rPr>
          <w:bCs/>
          <w:color w:val="002060"/>
          <w:sz w:val="16"/>
          <w:szCs w:val="16"/>
        </w:rPr>
        <w:t>В марте 1915 г, чтобы обеспечить армейское командование, планировавшее наступление на Мемель необходимыми данными, был разработан план воздушной разведки. Для его реализации в Либа- ву перегнали два самолёта на лыжных шосси. Перелёт оказался сложным: моторы при низких температурах работали неустойчиво, масло замерзло. Самолёты базировались на льду озера близ Либавы, площадку периодически заметало снегом и приходилось прилагать много усилий, чтобы расчищать её вручную. При отступлении от Мемеля аппараты не смогли подняться из- за непогоды, и их тащили люди (11927).</w:t>
      </w:r>
    </w:p>
    <w:p w14:paraId="373112D5" w14:textId="77777777" w:rsidR="004B4E35" w:rsidRPr="00405303" w:rsidRDefault="004B4E35" w:rsidP="00C15251">
      <w:pPr>
        <w:jc w:val="both"/>
        <w:rPr>
          <w:bCs/>
          <w:color w:val="002060"/>
          <w:sz w:val="16"/>
          <w:szCs w:val="16"/>
        </w:rPr>
      </w:pPr>
    </w:p>
    <w:p w14:paraId="70AC4A0C" w14:textId="77777777" w:rsidR="004B4E35" w:rsidRPr="00405303" w:rsidRDefault="009E6F82" w:rsidP="00C15251">
      <w:pPr>
        <w:jc w:val="both"/>
        <w:rPr>
          <w:bCs/>
          <w:color w:val="002060"/>
          <w:sz w:val="16"/>
          <w:szCs w:val="16"/>
        </w:rPr>
      </w:pPr>
      <w:r w:rsidRPr="00405303">
        <w:rPr>
          <w:bCs/>
          <w:color w:val="002060"/>
          <w:sz w:val="16"/>
          <w:szCs w:val="16"/>
        </w:rPr>
        <w:t>С марта 1915 г. интенсивность действий германской авиации возросла и помимо воздушной разведки, немцы приступили к эпизодическим бомбежкам кораблей и береговых сооружений Балтийского флота. А обстановка на фронте тем временем всё более и более обострялась.</w:t>
      </w:r>
    </w:p>
    <w:p w14:paraId="1CA191F1" w14:textId="77777777" w:rsidR="004B4E35" w:rsidRPr="00405303" w:rsidRDefault="009E6F82" w:rsidP="00C15251">
      <w:pPr>
        <w:jc w:val="both"/>
        <w:rPr>
          <w:bCs/>
          <w:color w:val="002060"/>
          <w:sz w:val="16"/>
          <w:szCs w:val="16"/>
        </w:rPr>
      </w:pPr>
      <w:r w:rsidRPr="00405303">
        <w:rPr>
          <w:bCs/>
          <w:color w:val="002060"/>
          <w:sz w:val="16"/>
          <w:szCs w:val="16"/>
        </w:rPr>
        <w:t xml:space="preserve">При обороне подступов к Ир- бенскому проливу довольно активно действовали лётчики Килькондс- кого авиаотряда, несмотря но наличие только четырех гидросамолётов. Так 18 апреля, выполняя полёт на разведку, поручик </w:t>
      </w:r>
      <w:proofErr w:type="gramStart"/>
      <w:r w:rsidRPr="00405303">
        <w:rPr>
          <w:bCs/>
          <w:color w:val="002060"/>
          <w:sz w:val="16"/>
          <w:szCs w:val="16"/>
        </w:rPr>
        <w:t>Наурский</w:t>
      </w:r>
      <w:proofErr w:type="gramEnd"/>
      <w:r w:rsidRPr="00405303">
        <w:rPr>
          <w:bCs/>
          <w:color w:val="002060"/>
          <w:sz w:val="16"/>
          <w:szCs w:val="16"/>
        </w:rPr>
        <w:t xml:space="preserve"> но "Фармане-11" попытался атаковать немецкий крейсер "Те- сис". Сброшенные бомбы в цель не попали, о мотор самолёта Нагурского был повреждён шрапнелью. Пришлось произвести вынужденную посадку, устранить неисправность. После этого самолёт взлетел и экипаж вернулся на базу. Через неделю Либаву заняли немецкие войска (11927).</w:t>
      </w:r>
    </w:p>
    <w:p w14:paraId="7D688D75" w14:textId="77777777" w:rsidR="004B4E35" w:rsidRPr="00405303" w:rsidRDefault="004B4E35" w:rsidP="00C15251">
      <w:pPr>
        <w:jc w:val="both"/>
        <w:rPr>
          <w:bCs/>
          <w:color w:val="002060"/>
          <w:sz w:val="16"/>
          <w:szCs w:val="16"/>
        </w:rPr>
      </w:pPr>
    </w:p>
    <w:p w14:paraId="2F07C993"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Воздухоплавание:</w:t>
      </w:r>
    </w:p>
    <w:p w14:paraId="58CCE0D8" w14:textId="77777777" w:rsidR="004B4E35" w:rsidRPr="00405303" w:rsidRDefault="004B4E35" w:rsidP="00C15251">
      <w:pPr>
        <w:shd w:val="clear" w:color="auto" w:fill="FFFFFF"/>
        <w:jc w:val="both"/>
        <w:rPr>
          <w:bCs/>
          <w:i/>
          <w:color w:val="002060"/>
          <w:sz w:val="16"/>
          <w:szCs w:val="16"/>
        </w:rPr>
      </w:pPr>
    </w:p>
    <w:p w14:paraId="46DAB382" w14:textId="43E065D1" w:rsidR="004B4E35" w:rsidRPr="00405303" w:rsidRDefault="00EC0D8E"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марте 1915 г. </w:t>
      </w:r>
      <w:r w:rsidRPr="00405303">
        <w:rPr>
          <w:bCs/>
          <w:color w:val="002060"/>
          <w:sz w:val="16"/>
          <w:szCs w:val="16"/>
        </w:rPr>
        <w:t xml:space="preserve">«Буревестник», который был наполнен газом в первой половине ноября 1914 г. и выполнил несколько полетов, после чего его признали непригодным к работе в боевой обстановке и </w:t>
      </w:r>
      <w:r w:rsidR="009E6F82" w:rsidRPr="00405303">
        <w:rPr>
          <w:bCs/>
          <w:color w:val="002060"/>
          <w:sz w:val="16"/>
          <w:szCs w:val="16"/>
        </w:rPr>
        <w:t>демонтировали. Лишь дирижабль «Астра» в мае - июне 1915 г. выполнил три ночных полета с бомбометанием в расположение германских войск. В этих полетах дирижабль получил много повреждений и в дальнейшем почти не эксплуатировался. Во второй половине июня 1915 г. «Астру» демонтировали. Если в 1911 г. отечественные дирижабли были в состоянии конкурировать с отдельными заграничными управляемыми аэростатами, то через три года они уже значительно уступали зарубежным. Например, построенный в 1913 г. «Альбатрос» не превосходил по своим характеристикам французские дирижабли своего класса, появившиеся еще в 1910 г. Кроме того, как уже отмечалось, за рубежом приобретались не лучшие, а иногда даже выходившие из употребления аппараты. Так, купленный «Parseval XIV» значительно уступал построенному в Германии для своей армии дирижаблю «Parseval XVI». Тем не менее, в проектах и конструкциях дирижаблей отечественной постройки того времени было немало оригинальных технических решений, предложенных и реализованных намного раньше, чем на зарубежных управляемых аэростатах, и получивших широкое распространение на дальнейших этапах развития дирижаблестроения.</w:t>
      </w:r>
    </w:p>
    <w:p w14:paraId="4F25516D" w14:textId="77777777" w:rsidR="004B4E35" w:rsidRPr="00405303" w:rsidRDefault="004B4E35" w:rsidP="00C15251">
      <w:pPr>
        <w:jc w:val="both"/>
        <w:rPr>
          <w:bCs/>
          <w:color w:val="002060"/>
          <w:sz w:val="16"/>
          <w:szCs w:val="16"/>
        </w:rPr>
      </w:pPr>
    </w:p>
    <w:p w14:paraId="65B19C36" w14:textId="77777777" w:rsidR="004B4E35" w:rsidRPr="00405303" w:rsidRDefault="009E6F82" w:rsidP="00C15251">
      <w:pPr>
        <w:jc w:val="both"/>
        <w:rPr>
          <w:bCs/>
          <w:i/>
          <w:color w:val="002060"/>
          <w:sz w:val="16"/>
          <w:szCs w:val="16"/>
        </w:rPr>
      </w:pPr>
      <w:r w:rsidRPr="00405303">
        <w:rPr>
          <w:bCs/>
          <w:i/>
          <w:color w:val="002060"/>
          <w:sz w:val="16"/>
          <w:szCs w:val="16"/>
        </w:rPr>
        <w:t>Армия:</w:t>
      </w:r>
    </w:p>
    <w:p w14:paraId="69C2A6BF" w14:textId="77777777" w:rsidR="004B4E35" w:rsidRPr="00405303" w:rsidRDefault="004B4E35" w:rsidP="00C15251">
      <w:pPr>
        <w:jc w:val="both"/>
        <w:rPr>
          <w:bCs/>
          <w:i/>
          <w:color w:val="002060"/>
          <w:sz w:val="16"/>
          <w:szCs w:val="16"/>
        </w:rPr>
      </w:pPr>
    </w:p>
    <w:p w14:paraId="7099563E" w14:textId="77777777" w:rsidR="003D708A" w:rsidRPr="00405303" w:rsidRDefault="003D708A" w:rsidP="003D708A">
      <w:pPr>
        <w:jc w:val="both"/>
        <w:rPr>
          <w:color w:val="0070C0"/>
          <w:sz w:val="16"/>
          <w:szCs w:val="16"/>
        </w:rPr>
      </w:pPr>
      <w:r w:rsidRPr="00405303">
        <w:rPr>
          <w:color w:val="0070C0"/>
          <w:sz w:val="16"/>
          <w:szCs w:val="16"/>
        </w:rPr>
        <w:t>В марте – апреле 1915 г. воздушный корабль «Саксен» (база – г. Алленштейн/Ольштын) провел ряд воздушных налетов на города Цехнов и Белосток, сбрасывая на них за один заход по 0,5 тонны бомб с низкой точностью попадания. Налаженная воздушная оборона этих военно-административных центров исключала снижение на удобную для бомбардировки высоту. Поэтому дирижаблю приходилось работать на высоте свыше 2,4 км и исключить до минимума число полетов в лунные ночи (25135).</w:t>
      </w:r>
    </w:p>
    <w:p w14:paraId="458E70C0" w14:textId="77777777" w:rsidR="003D708A" w:rsidRPr="00405303" w:rsidRDefault="003D708A" w:rsidP="003D708A">
      <w:pPr>
        <w:jc w:val="both"/>
        <w:rPr>
          <w:color w:val="0070C0"/>
          <w:sz w:val="16"/>
          <w:szCs w:val="16"/>
        </w:rPr>
      </w:pPr>
    </w:p>
    <w:p w14:paraId="048842B5" w14:textId="77777777" w:rsidR="003D708A" w:rsidRPr="00405303" w:rsidRDefault="003D708A" w:rsidP="003D708A">
      <w:pPr>
        <w:jc w:val="both"/>
        <w:rPr>
          <w:color w:val="0070C0"/>
          <w:sz w:val="16"/>
          <w:szCs w:val="16"/>
        </w:rPr>
      </w:pPr>
      <w:r w:rsidRPr="00405303">
        <w:rPr>
          <w:rStyle w:val="aa"/>
          <w:rFonts w:ascii="Times New Roman" w:hAnsi="Times New Roman"/>
          <w:color w:val="0070C0"/>
          <w:spacing w:val="0"/>
          <w:sz w:val="16"/>
          <w:szCs w:val="16"/>
        </w:rPr>
        <w:t>В марте – апреле 1915 г. расчеты первой в русской армии автомобильной противосамолетной батареи (капитан В.В. Тарновский), созданная с целью усиления зенитной группировки в полосе СЗФ по распоряжению Ставки ВГК, действовали вблизи Варшавы, Ломжи, Остроленки и других пунктов царства Польского. Позднее батарея переведена на ст. Яблонна для прикрытия ЭВК «Илья Муромец». 8 мая она прибыла в д. Яблонна, развернула боевой порядок и приступила к выполнению поставленной задачи. Ее выполнение осуществлялось почти три месяца, прерываемое отдельными выходами на другие позиции для пресечения действий германской авиации по группировкам войск 1-й армии. Ранее задействованные для организации воздушной обороны аэродрома Управления Эскадры другие зенитные подразделения были возвращены к местам своей постоянной дислокации.</w:t>
      </w:r>
    </w:p>
    <w:p w14:paraId="7A73BBC5" w14:textId="77777777" w:rsidR="003D708A" w:rsidRPr="00405303" w:rsidRDefault="003D708A" w:rsidP="003D708A">
      <w:pPr>
        <w:jc w:val="both"/>
        <w:rPr>
          <w:color w:val="0070C0"/>
          <w:sz w:val="16"/>
          <w:szCs w:val="16"/>
        </w:rPr>
      </w:pPr>
      <w:r w:rsidRPr="00405303">
        <w:rPr>
          <w:rStyle w:val="aa"/>
          <w:rFonts w:ascii="Times New Roman" w:hAnsi="Times New Roman"/>
          <w:color w:val="0070C0"/>
          <w:spacing w:val="0"/>
          <w:sz w:val="16"/>
          <w:szCs w:val="16"/>
        </w:rPr>
        <w:t>Несмотря на принятые русским командованием меры, противник продолжал периодически беспокоить прифронтовую зону наших войск. Воздушным налетам подверглись г. Плонск, Гродно и другие населенные пункты с человеческими жертвами среди местного населения. В середине мая германская авиация неоднократно бомбила г. Белосток (25135).</w:t>
      </w:r>
    </w:p>
    <w:p w14:paraId="44F7603D" w14:textId="77777777" w:rsidR="003D708A" w:rsidRPr="00405303" w:rsidRDefault="003D708A" w:rsidP="003D708A">
      <w:pPr>
        <w:jc w:val="both"/>
        <w:rPr>
          <w:color w:val="0070C0"/>
          <w:sz w:val="16"/>
          <w:szCs w:val="16"/>
        </w:rPr>
      </w:pPr>
    </w:p>
    <w:p w14:paraId="6B83D323" w14:textId="77777777" w:rsidR="004B4E35" w:rsidRPr="00405303" w:rsidRDefault="009E6F82" w:rsidP="00C15251">
      <w:pPr>
        <w:jc w:val="both"/>
        <w:rPr>
          <w:bCs/>
          <w:color w:val="002060"/>
          <w:sz w:val="16"/>
          <w:szCs w:val="16"/>
        </w:rPr>
      </w:pPr>
      <w:r w:rsidRPr="00405303">
        <w:rPr>
          <w:bCs/>
          <w:color w:val="002060"/>
          <w:sz w:val="16"/>
          <w:szCs w:val="16"/>
        </w:rPr>
        <w:lastRenderedPageBreak/>
        <w:t>В марте 1915 г. была сформирована автомобильная батарея для стрельбы по воздушному флоту (командир - капитан В.В. Тарновский), имевшей на вооружении 3-х дм противосамолетные пушки обр. 1914 г., созданные на Путиловском заводе (Петроград). В течение всей войны батарея наводила неподдельный ужас на германских летчиков, получив высокую оценку и признательность со стороны высшего военного руководства Русской армии. Помимо боевой деятельности, батарея Тарновского обеспечивала подготовку кадрового состава для зенитной артиллерии и формировала воздушную оборону важных центров действующей армии (11163).</w:t>
      </w:r>
    </w:p>
    <w:p w14:paraId="3B47D92E" w14:textId="77777777" w:rsidR="004B4E35" w:rsidRPr="00405303" w:rsidRDefault="004B4E35" w:rsidP="00C15251">
      <w:pPr>
        <w:jc w:val="both"/>
        <w:rPr>
          <w:bCs/>
          <w:color w:val="002060"/>
          <w:sz w:val="16"/>
          <w:szCs w:val="16"/>
        </w:rPr>
      </w:pPr>
    </w:p>
    <w:p w14:paraId="4A58126A" w14:textId="731B574A" w:rsidR="003D708A" w:rsidRPr="00405303" w:rsidRDefault="003D708A" w:rsidP="003D708A">
      <w:pPr>
        <w:jc w:val="both"/>
        <w:rPr>
          <w:bCs/>
          <w:i/>
          <w:color w:val="002060"/>
          <w:sz w:val="16"/>
          <w:szCs w:val="16"/>
        </w:rPr>
      </w:pPr>
      <w:r w:rsidRPr="00405303">
        <w:rPr>
          <w:bCs/>
          <w:i/>
          <w:color w:val="002060"/>
          <w:sz w:val="16"/>
          <w:szCs w:val="16"/>
        </w:rPr>
        <w:t>Жизнь и внутреняя политика:</w:t>
      </w:r>
    </w:p>
    <w:p w14:paraId="2FC758A1" w14:textId="77777777" w:rsidR="003D708A" w:rsidRPr="00405303" w:rsidRDefault="003D708A" w:rsidP="003D708A">
      <w:pPr>
        <w:jc w:val="both"/>
        <w:rPr>
          <w:bCs/>
          <w:i/>
          <w:color w:val="002060"/>
          <w:sz w:val="16"/>
          <w:szCs w:val="16"/>
        </w:rPr>
      </w:pPr>
    </w:p>
    <w:p w14:paraId="7CBE8914" w14:textId="77777777" w:rsidR="003D708A" w:rsidRPr="00405303" w:rsidRDefault="003D708A" w:rsidP="003D708A">
      <w:pPr>
        <w:jc w:val="both"/>
        <w:rPr>
          <w:color w:val="0070C0"/>
          <w:sz w:val="16"/>
          <w:szCs w:val="16"/>
        </w:rPr>
      </w:pPr>
      <w:r w:rsidRPr="00405303">
        <w:rPr>
          <w:rStyle w:val="aa"/>
          <w:rFonts w:ascii="Times New Roman" w:hAnsi="Times New Roman"/>
          <w:color w:val="0070C0"/>
          <w:spacing w:val="0"/>
          <w:sz w:val="16"/>
          <w:szCs w:val="16"/>
        </w:rPr>
        <w:t>В марте 1915 г. Д.В. Александров возобновил свою дея</w:t>
      </w:r>
      <w:r w:rsidRPr="00405303">
        <w:rPr>
          <w:rStyle w:val="aa"/>
          <w:rFonts w:ascii="Times New Roman" w:hAnsi="Times New Roman"/>
          <w:color w:val="0070C0"/>
          <w:spacing w:val="0"/>
          <w:sz w:val="16"/>
          <w:szCs w:val="16"/>
        </w:rPr>
        <w:softHyphen/>
        <w:t>тельность. Несмотря на неудачи, он не терял веры в лета</w:t>
      </w:r>
      <w:r w:rsidRPr="00405303">
        <w:rPr>
          <w:rStyle w:val="aa"/>
          <w:rFonts w:ascii="Times New Roman" w:hAnsi="Times New Roman"/>
          <w:color w:val="0070C0"/>
          <w:spacing w:val="0"/>
          <w:sz w:val="16"/>
          <w:szCs w:val="16"/>
        </w:rPr>
        <w:softHyphen/>
        <w:t>тельный аппарат п решил использовать сломанный Фарман хотя бы в каче</w:t>
      </w:r>
      <w:r w:rsidRPr="00405303">
        <w:rPr>
          <w:rStyle w:val="aa"/>
          <w:rFonts w:ascii="Times New Roman" w:hAnsi="Times New Roman"/>
          <w:color w:val="0070C0"/>
          <w:spacing w:val="0"/>
          <w:sz w:val="16"/>
          <w:szCs w:val="16"/>
        </w:rPr>
        <w:softHyphen/>
        <w:t>стве аэросаней во время зимовки экспедиции у побережья Таймырского полуострова. Но и эта попытка окончилась аварией. Машина с трудом пробежала всего несколько де</w:t>
      </w:r>
      <w:r w:rsidRPr="00405303">
        <w:rPr>
          <w:rStyle w:val="aa"/>
          <w:rFonts w:ascii="Times New Roman" w:hAnsi="Times New Roman"/>
          <w:color w:val="0070C0"/>
          <w:spacing w:val="0"/>
          <w:sz w:val="16"/>
          <w:szCs w:val="16"/>
        </w:rPr>
        <w:softHyphen/>
        <w:t>сятков метров н остановилась. У неё сломались две перед</w:t>
      </w:r>
      <w:r w:rsidRPr="00405303">
        <w:rPr>
          <w:rStyle w:val="aa"/>
          <w:rFonts w:ascii="Times New Roman" w:hAnsi="Times New Roman"/>
          <w:color w:val="0070C0"/>
          <w:spacing w:val="0"/>
          <w:sz w:val="16"/>
          <w:szCs w:val="16"/>
        </w:rPr>
        <w:softHyphen/>
        <w:t>ние стойки, соединявшие лыжи с фюзеляжем. Гидроплан отвели обратно в аэропланную палатку. Д.В. Александров был очень огорчён таким исходом эксперимента, но не остановился на этом. Вместе с механиком он снял мотор с аэроплана и смонтировал его на самодельных санях. 11овый агрегат хорошо зарекомендовал себя во время обследования малоизученного залива Гафнера па побережье Таймырского полуострова. I июня туда отправилась описная партия в составе лейтенантов И.И. Евгенова и В.В. Лаврова, а также четырёх матросов. Всё их снаряжение перевезли на аэро</w:t>
      </w:r>
      <w:r w:rsidRPr="00405303">
        <w:rPr>
          <w:rStyle w:val="aa"/>
          <w:rFonts w:ascii="Times New Roman" w:hAnsi="Times New Roman"/>
          <w:color w:val="0070C0"/>
          <w:spacing w:val="0"/>
          <w:sz w:val="16"/>
          <w:szCs w:val="16"/>
        </w:rPr>
        <w:softHyphen/>
        <w:t>санях. По ровному плотному снегу вместе с прицепом они развивали скорость до 20 километров в час (25653).</w:t>
      </w:r>
    </w:p>
    <w:p w14:paraId="349DAC7E" w14:textId="77777777" w:rsidR="003D708A" w:rsidRPr="00405303" w:rsidRDefault="003D708A" w:rsidP="003D708A">
      <w:pPr>
        <w:jc w:val="both"/>
        <w:rPr>
          <w:rStyle w:val="aa"/>
          <w:rFonts w:ascii="Times New Roman" w:hAnsi="Times New Roman"/>
          <w:color w:val="0070C0"/>
          <w:spacing w:val="0"/>
          <w:sz w:val="16"/>
          <w:szCs w:val="16"/>
        </w:rPr>
      </w:pPr>
    </w:p>
    <w:p w14:paraId="4E63901A"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во Франции:</w:t>
      </w:r>
    </w:p>
    <w:p w14:paraId="5C9C1FD8" w14:textId="77777777" w:rsidR="004B4E35" w:rsidRPr="00405303" w:rsidRDefault="004B4E35" w:rsidP="00C15251">
      <w:pPr>
        <w:jc w:val="both"/>
        <w:rPr>
          <w:bCs/>
          <w:i/>
          <w:color w:val="002060"/>
          <w:sz w:val="16"/>
          <w:szCs w:val="16"/>
        </w:rPr>
      </w:pPr>
    </w:p>
    <w:p w14:paraId="6C7E789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марте 1915 года приказом главнокомандующего армейской авиацией генерала Иршоэра во Франции началось формирование истребительной эскадрильи, в задачу которой входила борьба с самолетами противника. Эскадрилью создали с целью компенсировать численное превосходство немецкой авиации. В действительности эта эскадрилья часто привлекалась к выполнению других задач и в группе действовала редко. 17 ноября 1915 года командующий 6-й Армией отдал приказ № 4893 "Следующие пилоты: капитан Брокар, адъютант Вандрен и сержант Гинем, с этого времени не будут участвовать в разведывательных полетах. Их специализацией будет борьба с самолетами противника над нашими оборонительными линиями. На территорию противника они не должны залетать ни под каким предлогом". Так появилась истребительная авиация. Запрет залетать на территорию противника объяснялся тем, что французы опасались раскрыть противнику сенсационное по тому времени изобретение Гарроса: установленные на фюзеляже самолета пулеметы и отражатель пуль на винте. Но в апреле 1916 года сам Гаррос был сбит за линией фронта и его изобретение стало известно немцам. Немецкое командование приказало скопировать французское изобретение, но тут выяснилось, что Германия обладает более технологичным решением проблемы стрельбы через диск винта - синхронизатором пулемета. Синхронизатор разработал Фоккер в Шверине. Конструкция синхронизатора опиралась на патент голландца Франца Шнайдера, выданный в 1913 году. У Фоккера совершенствованием синхронизатора занимался Генрих Люббе. Когда синхронизатор начали применять на самолетах, немцы снова получили преимущество в воздухе. Одновременно, в России синхронизатор изобрели В.П. Поплавко и С. Лавров. Синхронизатор с успехом использовался на истребителе С-16 конструкции Сикорского, но российская промышленность не смогла придать изобретению широкое распространение. С появлением синхронизатора исчезла необходимость создавать самолеты с толкающим винтом, позволяющим вести стрельбу в передней полусфере без каких-либо помех. Тем не менее, некоторые английские фирмы до конца войны предпочитали эту, в общем-то, проигрышную схему. К концу войны появились специальные авиационные скорострельные пулеметы - легкие, с оптическими прицелами, приемниками для стреляных гильз, ленточным питанием и большим боекомплектом. Эти пулеметы вели огонь зажигательными, трассирующими и разрывными пулями. Появились даже авиационные пушки разных калибров вплоть до 50 мм (11262).</w:t>
      </w:r>
    </w:p>
    <w:p w14:paraId="4AE5DC07" w14:textId="77777777" w:rsidR="004B4E35" w:rsidRPr="00405303" w:rsidRDefault="004B4E35" w:rsidP="00C15251">
      <w:pPr>
        <w:pStyle w:val="a3"/>
        <w:jc w:val="both"/>
        <w:rPr>
          <w:bCs/>
          <w:i w:val="0"/>
          <w:color w:val="002060"/>
          <w:spacing w:val="0"/>
          <w:kern w:val="0"/>
          <w:position w:val="0"/>
          <w:sz w:val="16"/>
          <w:szCs w:val="16"/>
        </w:rPr>
      </w:pPr>
    </w:p>
    <w:p w14:paraId="5263E00C" w14:textId="77777777" w:rsidR="00365F65" w:rsidRPr="00CF03EC" w:rsidRDefault="00365F65" w:rsidP="00365F65">
      <w:pPr>
        <w:jc w:val="both"/>
        <w:rPr>
          <w:color w:val="0070C0"/>
          <w:sz w:val="16"/>
          <w:szCs w:val="16"/>
        </w:rPr>
      </w:pPr>
      <w:r w:rsidRPr="00CF03EC">
        <w:rPr>
          <w:color w:val="0070C0"/>
          <w:sz w:val="16"/>
          <w:szCs w:val="16"/>
        </w:rPr>
        <w:t>В марте 1915 г. Гарро выполнил первые вылеты на импровизированном истребителе с пулеотсекателями на винте, а 1 апреля 1915 г. наконец-то в бою на высоте 1000 м сбил немецкий «Альбатрос». Через неделю, 8 апреля он провел сразу три удачных поединка, каждый раз отгоняя огнем вражеских разведчиков от своих позиций, причем один из них не просто ушел, а «полетел кувырком». Но поскольку никто не видел собственно падения противника, победу не зачли. Зато с земли наблюдали, как 14 апреля Гарро атаковал двух «Авиатиков» и сбил одного из них. Утром 18 апреля он провел еще один бой, увеличив свой счет до трех воздушных побед (25772).</w:t>
      </w:r>
    </w:p>
    <w:p w14:paraId="5C96FD48" w14:textId="77777777" w:rsidR="00365F65" w:rsidRPr="00CF03EC" w:rsidRDefault="00365F65" w:rsidP="00365F65">
      <w:pPr>
        <w:jc w:val="both"/>
        <w:rPr>
          <w:color w:val="0070C0"/>
          <w:sz w:val="16"/>
          <w:szCs w:val="16"/>
        </w:rPr>
      </w:pPr>
    </w:p>
    <w:p w14:paraId="68A1E7DA" w14:textId="77777777" w:rsidR="003D708A" w:rsidRPr="00405303" w:rsidRDefault="003D708A" w:rsidP="003D708A">
      <w:pPr>
        <w:jc w:val="both"/>
        <w:rPr>
          <w:rFonts w:eastAsia="Trebuchet MS"/>
          <w:color w:val="0070C0"/>
          <w:sz w:val="16"/>
          <w:szCs w:val="16"/>
          <w:shd w:val="clear" w:color="auto" w:fill="FFFFFF"/>
        </w:rPr>
      </w:pPr>
      <w:r w:rsidRPr="00405303">
        <w:rPr>
          <w:rStyle w:val="aa"/>
          <w:rFonts w:ascii="Times New Roman" w:hAnsi="Times New Roman"/>
          <w:color w:val="0070C0"/>
          <w:spacing w:val="0"/>
          <w:sz w:val="16"/>
          <w:szCs w:val="16"/>
        </w:rPr>
        <w:t xml:space="preserve">В марте 1915 г. </w:t>
      </w:r>
      <w:r w:rsidRPr="00405303">
        <w:rPr>
          <w:rFonts w:eastAsia="Trebuchet MS"/>
          <w:color w:val="0070C0"/>
          <w:sz w:val="16"/>
          <w:szCs w:val="16"/>
          <w:shd w:val="clear" w:color="auto" w:fill="FFFFFF"/>
        </w:rPr>
        <w:t>опытный Кодрон G.IV с двумя двигателями вышел на испытания и сразу же начались его поставки в строевые части Военной авиации Франции. На Западном фронте он стал первым аэропланом с числом моторов более одного, но более важным оказалось не это, а мощное и сравнительно удобное в использовании вооружение. Один пулемет (обычно «Льюис», но на части машин ставились «Гочкиссы», «Виккерсы» или «Кольты») крепился на шкворне в передней части гондолы и летнаб стрелял из него сидя, имея возможность поворачивать, поднимать и опускать оружие на значительные углы. Второй ставился на задний лонжерон верхнего крыла – стрелок вставал и вел огонь назад в верхнюю полусферу. Чтобы не выпасть, он держался левой рукой за стойку «кабана», но и тогда пилоту приходилось воздерживаться от резких маневров.</w:t>
      </w:r>
    </w:p>
    <w:p w14:paraId="26488E02" w14:textId="77777777" w:rsidR="003D708A" w:rsidRPr="00405303" w:rsidRDefault="003D708A" w:rsidP="003D708A">
      <w:pPr>
        <w:jc w:val="both"/>
        <w:rPr>
          <w:rFonts w:eastAsia="Trebuchet MS"/>
          <w:color w:val="0070C0"/>
          <w:sz w:val="16"/>
          <w:szCs w:val="16"/>
          <w:shd w:val="clear" w:color="auto" w:fill="FFFFFF"/>
        </w:rPr>
      </w:pPr>
      <w:r w:rsidRPr="00405303">
        <w:rPr>
          <w:rFonts w:eastAsia="Trebuchet MS"/>
          <w:color w:val="0070C0"/>
          <w:sz w:val="16"/>
          <w:szCs w:val="16"/>
          <w:shd w:val="clear" w:color="auto" w:fill="FFFFFF"/>
        </w:rPr>
        <w:t>Заказы новые аэропланы G.IVА2 росли весь 1915 г. Фирма «Кодрон» построила 1357 серийных двухместных вооруженных разведчиков G.IVA2 и бомбардировщиков G.IVВ2 cусиленной боевой нагрузкой или с бронированием, а также учебных G.IVE2. Еще двенадцать таких самолетов сделал английский филиал фирмы «Бритиш Кодрон» и 51 – итальянский завод AER.</w:t>
      </w:r>
    </w:p>
    <w:p w14:paraId="487CA736" w14:textId="77777777" w:rsidR="003D708A" w:rsidRPr="00405303" w:rsidRDefault="003D708A" w:rsidP="003D708A">
      <w:pPr>
        <w:jc w:val="both"/>
        <w:rPr>
          <w:rStyle w:val="aa"/>
          <w:rFonts w:ascii="Times New Roman" w:hAnsi="Times New Roman"/>
          <w:color w:val="0070C0"/>
          <w:spacing w:val="0"/>
          <w:sz w:val="16"/>
          <w:szCs w:val="16"/>
        </w:rPr>
      </w:pPr>
      <w:r w:rsidRPr="00405303">
        <w:rPr>
          <w:rFonts w:eastAsia="Trebuchet MS"/>
          <w:color w:val="0070C0"/>
          <w:sz w:val="16"/>
          <w:szCs w:val="16"/>
          <w:shd w:val="clear" w:color="auto" w:fill="FFFFFF"/>
        </w:rPr>
        <w:t>Такие аэропланы в годы мировой войны поставлялись для Королевского летного корпуса и Авиационной службы ВМС Великобритании, для армейской авиации Бельгии, итальянской, румынской и американской военной авиации, а также для Императорского Воздушного Флота России – там их называли «Бикодрон», или «Двукодрон» (25758).</w:t>
      </w:r>
    </w:p>
    <w:p w14:paraId="71279D34" w14:textId="77777777" w:rsidR="003D708A" w:rsidRPr="00405303" w:rsidRDefault="003D708A" w:rsidP="003D708A">
      <w:pPr>
        <w:jc w:val="both"/>
        <w:rPr>
          <w:rStyle w:val="aa"/>
          <w:rFonts w:ascii="Times New Roman" w:hAnsi="Times New Roman"/>
          <w:color w:val="0070C0"/>
          <w:spacing w:val="0"/>
          <w:sz w:val="16"/>
          <w:szCs w:val="16"/>
        </w:rPr>
      </w:pPr>
    </w:p>
    <w:p w14:paraId="6F36CCFC"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2462D496" w14:textId="77777777" w:rsidR="004B4E35" w:rsidRPr="00405303" w:rsidRDefault="004B4E35" w:rsidP="00C15251">
      <w:pPr>
        <w:jc w:val="both"/>
        <w:rPr>
          <w:bCs/>
          <w:i/>
          <w:color w:val="002060"/>
          <w:sz w:val="16"/>
          <w:szCs w:val="16"/>
        </w:rPr>
      </w:pPr>
    </w:p>
    <w:p w14:paraId="2B986063" w14:textId="77777777" w:rsidR="00532D6C" w:rsidRPr="00405303" w:rsidRDefault="00532D6C" w:rsidP="00532D6C">
      <w:pPr>
        <w:jc w:val="both"/>
        <w:rPr>
          <w:color w:val="0070C0"/>
          <w:sz w:val="16"/>
          <w:szCs w:val="16"/>
        </w:rPr>
      </w:pPr>
      <w:r w:rsidRPr="00405303">
        <w:rPr>
          <w:rStyle w:val="aa"/>
          <w:rFonts w:ascii="Times New Roman" w:hAnsi="Times New Roman"/>
          <w:color w:val="0070C0"/>
          <w:spacing w:val="0"/>
          <w:sz w:val="16"/>
          <w:szCs w:val="16"/>
        </w:rPr>
        <w:t>В марте 1915 года, когда Ад</w:t>
      </w:r>
      <w:r w:rsidRPr="00405303">
        <w:rPr>
          <w:rStyle w:val="aa"/>
          <w:rFonts w:ascii="Times New Roman" w:hAnsi="Times New Roman"/>
          <w:color w:val="0070C0"/>
          <w:spacing w:val="0"/>
          <w:sz w:val="16"/>
          <w:szCs w:val="16"/>
        </w:rPr>
        <w:softHyphen/>
        <w:t xml:space="preserve">миралтейство заказало производителям исследование о крупных дирижаблях, которые возможно было бы разместить в стандартных ангарах, существовавших в то время на его базах в Северном море, появился проект дирижаблей </w:t>
      </w:r>
      <w:r w:rsidRPr="00405303">
        <w:rPr>
          <w:rStyle w:val="aa"/>
          <w:rFonts w:ascii="Times New Roman" w:hAnsi="Times New Roman"/>
          <w:color w:val="0070C0"/>
          <w:spacing w:val="0"/>
          <w:sz w:val="16"/>
          <w:szCs w:val="16"/>
          <w:lang w:val="en-US"/>
        </w:rPr>
        <w:t>R</w:t>
      </w:r>
      <w:r w:rsidRPr="00405303">
        <w:rPr>
          <w:rStyle w:val="aa"/>
          <w:rFonts w:ascii="Times New Roman" w:hAnsi="Times New Roman"/>
          <w:color w:val="0070C0"/>
          <w:spacing w:val="0"/>
          <w:sz w:val="16"/>
          <w:szCs w:val="16"/>
        </w:rPr>
        <w:t>-класса. Когда все предложения были откло</w:t>
      </w:r>
      <w:r w:rsidRPr="00405303">
        <w:rPr>
          <w:rStyle w:val="aa"/>
          <w:rFonts w:ascii="Times New Roman" w:hAnsi="Times New Roman"/>
          <w:color w:val="0070C0"/>
          <w:spacing w:val="0"/>
          <w:sz w:val="16"/>
          <w:szCs w:val="16"/>
        </w:rPr>
        <w:softHyphen/>
        <w:t>нены, авиационное ведомство флота приняло решение о разработке совершенно нового класса дирижаблей вне зависимости от размера существующих ангаров.</w:t>
      </w:r>
    </w:p>
    <w:p w14:paraId="0FB67189" w14:textId="77777777" w:rsidR="00532D6C" w:rsidRPr="00405303" w:rsidRDefault="00532D6C" w:rsidP="00532D6C">
      <w:pPr>
        <w:jc w:val="both"/>
        <w:rPr>
          <w:color w:val="0070C0"/>
          <w:sz w:val="16"/>
          <w:szCs w:val="16"/>
        </w:rPr>
      </w:pPr>
      <w:r w:rsidRPr="00405303">
        <w:rPr>
          <w:rStyle w:val="aa"/>
          <w:rFonts w:ascii="Times New Roman" w:hAnsi="Times New Roman"/>
          <w:color w:val="0070C0"/>
          <w:spacing w:val="0"/>
          <w:sz w:val="16"/>
          <w:szCs w:val="16"/>
        </w:rPr>
        <w:t xml:space="preserve">Первым дирижаблем </w:t>
      </w:r>
      <w:r w:rsidRPr="00405303">
        <w:rPr>
          <w:rStyle w:val="aa"/>
          <w:rFonts w:ascii="Times New Roman" w:hAnsi="Times New Roman"/>
          <w:color w:val="0070C0"/>
          <w:spacing w:val="0"/>
          <w:sz w:val="16"/>
          <w:szCs w:val="16"/>
          <w:lang w:val="en-US"/>
        </w:rPr>
        <w:t>R</w:t>
      </w:r>
      <w:r w:rsidRPr="00405303">
        <w:rPr>
          <w:rStyle w:val="aa"/>
          <w:rFonts w:ascii="Times New Roman" w:hAnsi="Times New Roman"/>
          <w:color w:val="0070C0"/>
          <w:spacing w:val="0"/>
          <w:sz w:val="16"/>
          <w:szCs w:val="16"/>
        </w:rPr>
        <w:t xml:space="preserve">-класса стал </w:t>
      </w:r>
      <w:r w:rsidRPr="00405303">
        <w:rPr>
          <w:rStyle w:val="aa"/>
          <w:rFonts w:ascii="Times New Roman" w:hAnsi="Times New Roman"/>
          <w:color w:val="0070C0"/>
          <w:spacing w:val="0"/>
          <w:sz w:val="16"/>
          <w:szCs w:val="16"/>
          <w:lang w:val="en-US"/>
        </w:rPr>
        <w:t>L</w:t>
      </w:r>
      <w:r w:rsidRPr="00405303">
        <w:rPr>
          <w:rStyle w:val="aa"/>
          <w:rFonts w:ascii="Times New Roman" w:hAnsi="Times New Roman"/>
          <w:color w:val="0070C0"/>
          <w:spacing w:val="0"/>
          <w:sz w:val="16"/>
          <w:szCs w:val="16"/>
        </w:rPr>
        <w:t xml:space="preserve"> 30 (заводской номер сборки </w:t>
      </w:r>
      <w:r w:rsidRPr="00405303">
        <w:rPr>
          <w:rStyle w:val="aa"/>
          <w:rFonts w:ascii="Times New Roman" w:hAnsi="Times New Roman"/>
          <w:color w:val="0070C0"/>
          <w:spacing w:val="0"/>
          <w:sz w:val="16"/>
          <w:szCs w:val="16"/>
          <w:lang w:val="en-US"/>
        </w:rPr>
        <w:t>LZ</w:t>
      </w:r>
      <w:r w:rsidRPr="00405303">
        <w:rPr>
          <w:rStyle w:val="aa"/>
          <w:rFonts w:ascii="Times New Roman" w:hAnsi="Times New Roman"/>
          <w:color w:val="0070C0"/>
          <w:spacing w:val="0"/>
          <w:sz w:val="16"/>
          <w:szCs w:val="16"/>
        </w:rPr>
        <w:t xml:space="preserve"> 62). Это был самый успешный дирижабль Первой мировой войны, а на момент по</w:t>
      </w:r>
      <w:r w:rsidRPr="00405303">
        <w:rPr>
          <w:rStyle w:val="aa"/>
          <w:rFonts w:ascii="Times New Roman" w:hAnsi="Times New Roman"/>
          <w:color w:val="0070C0"/>
          <w:spacing w:val="0"/>
          <w:sz w:val="16"/>
          <w:szCs w:val="16"/>
        </w:rPr>
        <w:softHyphen/>
        <w:t xml:space="preserve">стройки и самый большой цеппелин в мире. При длине 198 м, диаметре 23,9 м и объёме газа 55 000 </w:t>
      </w:r>
      <w:proofErr w:type="gramStart"/>
      <w:r w:rsidRPr="00405303">
        <w:rPr>
          <w:rStyle w:val="aa"/>
          <w:rFonts w:ascii="Times New Roman" w:hAnsi="Times New Roman"/>
          <w:color w:val="0070C0"/>
          <w:spacing w:val="0"/>
          <w:sz w:val="16"/>
          <w:szCs w:val="16"/>
        </w:rPr>
        <w:t>м</w:t>
      </w:r>
      <w:r w:rsidRPr="00405303">
        <w:rPr>
          <w:rStyle w:val="aa"/>
          <w:rFonts w:ascii="Times New Roman" w:hAnsi="Times New Roman"/>
          <w:color w:val="0070C0"/>
          <w:spacing w:val="0"/>
          <w:sz w:val="16"/>
          <w:szCs w:val="16"/>
          <w:vertAlign w:val="superscript"/>
        </w:rPr>
        <w:t>!</w:t>
      </w:r>
      <w:r w:rsidRPr="00405303">
        <w:rPr>
          <w:rStyle w:val="aa"/>
          <w:rFonts w:ascii="Times New Roman" w:hAnsi="Times New Roman"/>
          <w:color w:val="0070C0"/>
          <w:spacing w:val="0"/>
          <w:sz w:val="16"/>
          <w:szCs w:val="16"/>
        </w:rPr>
        <w:t>,</w:t>
      </w:r>
      <w:proofErr w:type="gramEnd"/>
      <w:r w:rsidRPr="00405303">
        <w:rPr>
          <w:rStyle w:val="aa"/>
          <w:rFonts w:ascii="Times New Roman" w:hAnsi="Times New Roman"/>
          <w:color w:val="0070C0"/>
          <w:spacing w:val="0"/>
          <w:sz w:val="16"/>
          <w:szCs w:val="16"/>
        </w:rPr>
        <w:t xml:space="preserve"> шесть двигателем </w:t>
      </w:r>
      <w:r w:rsidRPr="00405303">
        <w:rPr>
          <w:rStyle w:val="aa"/>
          <w:rFonts w:ascii="Times New Roman" w:hAnsi="Times New Roman"/>
          <w:color w:val="0070C0"/>
          <w:spacing w:val="0"/>
          <w:sz w:val="16"/>
          <w:szCs w:val="16"/>
          <w:lang w:val="en-US"/>
        </w:rPr>
        <w:t>Maybach</w:t>
      </w:r>
      <w:r w:rsidRPr="00405303">
        <w:rPr>
          <w:rStyle w:val="aa"/>
          <w:rFonts w:ascii="Times New Roman" w:hAnsi="Times New Roman"/>
          <w:color w:val="0070C0"/>
          <w:spacing w:val="0"/>
          <w:sz w:val="16"/>
          <w:szCs w:val="16"/>
        </w:rPr>
        <w:t xml:space="preserve"> по 240 л. с. каждый и шесть пропеллеров </w:t>
      </w:r>
      <w:r w:rsidRPr="00405303">
        <w:rPr>
          <w:rStyle w:val="aa"/>
          <w:rFonts w:ascii="Times New Roman" w:hAnsi="Times New Roman"/>
          <w:color w:val="0070C0"/>
          <w:spacing w:val="0"/>
          <w:sz w:val="16"/>
          <w:szCs w:val="16"/>
          <w:lang w:val="en-US"/>
        </w:rPr>
        <w:t>Lorenzen</w:t>
      </w:r>
      <w:r w:rsidRPr="00405303">
        <w:rPr>
          <w:rStyle w:val="aa"/>
          <w:rFonts w:ascii="Times New Roman" w:hAnsi="Times New Roman"/>
          <w:color w:val="0070C0"/>
          <w:spacing w:val="0"/>
          <w:sz w:val="16"/>
          <w:szCs w:val="16"/>
        </w:rPr>
        <w:t xml:space="preserve"> позволяли ему развивать скорость до 103 км/ч, что делало его и ещё самым быстрым цеппелином в мире. Дальность автономного полёта дирижабля достигала 7400 км, потолок 3900 м. Британская разведка прозвала дирижабли </w:t>
      </w:r>
      <w:r w:rsidRPr="00405303">
        <w:rPr>
          <w:rStyle w:val="aa"/>
          <w:rFonts w:ascii="Times New Roman" w:hAnsi="Times New Roman"/>
          <w:color w:val="0070C0"/>
          <w:spacing w:val="0"/>
          <w:sz w:val="16"/>
          <w:szCs w:val="16"/>
          <w:lang w:val="en-US"/>
        </w:rPr>
        <w:t>R</w:t>
      </w:r>
      <w:r w:rsidRPr="00405303">
        <w:rPr>
          <w:rStyle w:val="aa"/>
          <w:rFonts w:ascii="Times New Roman" w:hAnsi="Times New Roman"/>
          <w:color w:val="0070C0"/>
          <w:spacing w:val="0"/>
          <w:sz w:val="16"/>
          <w:szCs w:val="16"/>
        </w:rPr>
        <w:t>-класса «суперцеппелинами».</w:t>
      </w:r>
    </w:p>
    <w:p w14:paraId="652E57C1" w14:textId="77777777" w:rsidR="00532D6C" w:rsidRPr="00405303" w:rsidRDefault="00532D6C" w:rsidP="00532D6C">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Для того, чтобы избежать атак самолётов, цеппелины должны летать на высоте до 6000 м (25618).</w:t>
      </w:r>
    </w:p>
    <w:p w14:paraId="3DE96FCA" w14:textId="77777777" w:rsidR="00532D6C" w:rsidRPr="00405303" w:rsidRDefault="00532D6C" w:rsidP="00532D6C">
      <w:pPr>
        <w:jc w:val="both"/>
        <w:rPr>
          <w:rStyle w:val="aa"/>
          <w:rFonts w:ascii="Times New Roman" w:hAnsi="Times New Roman"/>
          <w:color w:val="0070C0"/>
          <w:spacing w:val="0"/>
          <w:sz w:val="16"/>
          <w:szCs w:val="16"/>
        </w:rPr>
      </w:pPr>
    </w:p>
    <w:p w14:paraId="43FFAB37" w14:textId="368686C3" w:rsidR="004B4E35" w:rsidRPr="00405303" w:rsidRDefault="00EC0D8E"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марте 1915 года </w:t>
      </w:r>
      <w:r w:rsidRPr="00405303">
        <w:rPr>
          <w:bCs/>
          <w:color w:val="002060"/>
          <w:sz w:val="16"/>
          <w:szCs w:val="16"/>
        </w:rPr>
        <w:t xml:space="preserve">L-9 стал первым немецким дирижаблем, который </w:t>
      </w:r>
      <w:r w:rsidR="009E6F82" w:rsidRPr="00405303">
        <w:rPr>
          <w:bCs/>
          <w:color w:val="002060"/>
          <w:sz w:val="16"/>
          <w:szCs w:val="16"/>
        </w:rPr>
        <w:t>подключился к радионавигационной системе, созданной измерительными станциями в Нордхольце и Боркуме. Дирижабль посылал сигналы — свои позывные, которые принимались станциями, и после их обработки командиру корабля сообщались данные о его местонахождении. Довольно часто информация изобиловала ошибками, приводившими к тому, что бомбы не попадали в цель. Но все же это был существенный шаг вперед. Система имела еще один недостаток, который [149] вначале не был известен немцам. Англичане научились перехватывать немецкие радиопереговоры и таким образом узнавать о приближении противника (11234).</w:t>
      </w:r>
    </w:p>
    <w:p w14:paraId="42583133" w14:textId="77777777" w:rsidR="004B4E35" w:rsidRPr="00405303" w:rsidRDefault="004B4E35" w:rsidP="00C15251">
      <w:pPr>
        <w:jc w:val="both"/>
        <w:rPr>
          <w:bCs/>
          <w:i/>
          <w:color w:val="002060"/>
          <w:sz w:val="16"/>
          <w:szCs w:val="16"/>
        </w:rPr>
      </w:pPr>
    </w:p>
    <w:p w14:paraId="54CF4B20" w14:textId="4621E1BE" w:rsidR="00532D6C" w:rsidRPr="00405303" w:rsidRDefault="00532D6C" w:rsidP="00532D6C">
      <w:pPr>
        <w:jc w:val="both"/>
        <w:rPr>
          <w:color w:val="0070C0"/>
          <w:sz w:val="16"/>
          <w:szCs w:val="16"/>
        </w:rPr>
      </w:pPr>
      <w:r w:rsidRPr="00405303">
        <w:rPr>
          <w:color w:val="0070C0"/>
          <w:sz w:val="16"/>
          <w:szCs w:val="16"/>
        </w:rPr>
        <w:lastRenderedPageBreak/>
        <w:t>В марте 1915 г. дважды в результате сложных метеоусловий не состоялись совместные полеты германских дирижаблей Z-XI и LZ-34 на г. Варшава.</w:t>
      </w:r>
      <w:r w:rsidR="000F5756">
        <w:rPr>
          <w:color w:val="0070C0"/>
          <w:sz w:val="16"/>
          <w:szCs w:val="16"/>
        </w:rPr>
        <w:t xml:space="preserve"> </w:t>
      </w:r>
      <w:r w:rsidRPr="00405303">
        <w:rPr>
          <w:color w:val="0070C0"/>
          <w:sz w:val="16"/>
          <w:szCs w:val="16"/>
        </w:rPr>
        <w:t>В дальнейшем они выполнили несколько боевых рейдов в тылу русских войск (25135).</w:t>
      </w:r>
    </w:p>
    <w:p w14:paraId="2F81FFE4" w14:textId="77777777" w:rsidR="00532D6C" w:rsidRPr="00405303" w:rsidRDefault="00532D6C" w:rsidP="00532D6C">
      <w:pPr>
        <w:jc w:val="both"/>
        <w:rPr>
          <w:color w:val="0070C0"/>
          <w:sz w:val="16"/>
          <w:szCs w:val="16"/>
        </w:rPr>
      </w:pPr>
    </w:p>
    <w:p w14:paraId="4C6451A9"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Англии:</w:t>
      </w:r>
    </w:p>
    <w:p w14:paraId="3F9D9BF5" w14:textId="77777777" w:rsidR="004B4E35" w:rsidRPr="00405303" w:rsidRDefault="004B4E35" w:rsidP="00C15251">
      <w:pPr>
        <w:shd w:val="clear" w:color="auto" w:fill="FFFFFF"/>
        <w:jc w:val="both"/>
        <w:rPr>
          <w:bCs/>
          <w:i/>
          <w:color w:val="002060"/>
          <w:sz w:val="16"/>
          <w:szCs w:val="16"/>
        </w:rPr>
      </w:pPr>
    </w:p>
    <w:p w14:paraId="30B7023A" w14:textId="77777777" w:rsidR="00365F65" w:rsidRPr="00405303" w:rsidRDefault="00365F65" w:rsidP="00365F65">
      <w:pPr>
        <w:pStyle w:val="ae"/>
        <w:shd w:val="clear" w:color="auto" w:fill="FFFFFF"/>
        <w:spacing w:before="0" w:beforeAutospacing="0" w:after="0" w:afterAutospacing="0"/>
        <w:jc w:val="both"/>
        <w:textAlignment w:val="baseline"/>
        <w:rPr>
          <w:bCs/>
          <w:color w:val="002060"/>
          <w:sz w:val="16"/>
          <w:szCs w:val="16"/>
        </w:rPr>
      </w:pPr>
      <w:r w:rsidRPr="00405303">
        <w:rPr>
          <w:bCs/>
          <w:color w:val="002060"/>
          <w:sz w:val="16"/>
          <w:szCs w:val="16"/>
        </w:rPr>
        <w:t>В марте 1915 года несколько руководителей крупных авиастроительных и машиностроительных компаний решили организовать «Сообщество британских авиаконструкторов» SABC (или SBAC), чтобы добиться стандартизации в производстве комплектующих и взаимопомощи при передачи проектной документации для субподрядной постройки самолётов.</w:t>
      </w:r>
    </w:p>
    <w:p w14:paraId="77DD3DA3" w14:textId="77777777" w:rsidR="00365F65" w:rsidRPr="00405303" w:rsidRDefault="00365F65" w:rsidP="00365F65">
      <w:pPr>
        <w:pStyle w:val="ae"/>
        <w:shd w:val="clear" w:color="auto" w:fill="FFFFFF"/>
        <w:spacing w:before="0" w:beforeAutospacing="0" w:after="0" w:afterAutospacing="0"/>
        <w:jc w:val="both"/>
        <w:textAlignment w:val="baseline"/>
        <w:rPr>
          <w:bCs/>
          <w:color w:val="002060"/>
          <w:sz w:val="16"/>
          <w:szCs w:val="16"/>
        </w:rPr>
      </w:pPr>
      <w:r w:rsidRPr="00405303">
        <w:rPr>
          <w:bCs/>
          <w:color w:val="002060"/>
          <w:sz w:val="16"/>
          <w:szCs w:val="16"/>
        </w:rPr>
        <w:t>Через год в сообществе числилось около 40 компаний, а в 1917 году SABC пригласило к сотрудничеству американских производителей.</w:t>
      </w:r>
    </w:p>
    <w:p w14:paraId="7D929CDC" w14:textId="77777777" w:rsidR="00365F65" w:rsidRPr="00405303" w:rsidRDefault="00365F65" w:rsidP="00365F65">
      <w:pPr>
        <w:pStyle w:val="ae"/>
        <w:shd w:val="clear" w:color="auto" w:fill="FFFFFF"/>
        <w:spacing w:before="0" w:beforeAutospacing="0" w:after="0" w:afterAutospacing="0"/>
        <w:jc w:val="both"/>
        <w:textAlignment w:val="baseline"/>
        <w:rPr>
          <w:bCs/>
          <w:color w:val="002060"/>
          <w:sz w:val="16"/>
          <w:szCs w:val="16"/>
        </w:rPr>
      </w:pPr>
      <w:r w:rsidRPr="00405303">
        <w:rPr>
          <w:bCs/>
          <w:color w:val="002060"/>
          <w:sz w:val="16"/>
          <w:szCs w:val="16"/>
        </w:rPr>
        <w:t>Была выдвинута идея, привлечь мелкие предприятия с подходящим оборудованием для производства отдельных деталей самолётов и моторов. И в 1915 году было заключено первое соглашение о субподрядном производстве комплектующих, с последующей сборкой самолётов на головном предприятии. В первую очередь соглашения о производстве частей самолётов были подписаны со всеми автомобильными компаниями, имевшими наиболее подходящий станочный парк и опытных работников. Они производили элементы планера и шасси на основе документации авиастроителей. На авиаремонтных предприятиях из самолётов, не подлежащих ремонту, изымались и ремонтировались подходящие элементы и поставлялись на производство. Увеличение производства шло за счёт количественного роста производственных площадей, станочного парка, рабочей силы. В эти годы был внедрён принцип стандартизации и взаимозаменяемости конструктивных элементов для определённой марки самолёта. Приток неквалифицированной рабочей силы заставил разработать соответствующую программу профобучения. К 1918 году в авиапроме работало 268 000 человек, среди них было много женщин, производилось 2700 самолётов в месяц. Этому способствовало и эволюционное развитие авиастроения, при котором новые машины конструктивно не отличались от старых (19945).</w:t>
      </w:r>
    </w:p>
    <w:p w14:paraId="7C988D7E" w14:textId="77777777" w:rsidR="00365F65" w:rsidRPr="00405303" w:rsidRDefault="00365F65" w:rsidP="00365F65">
      <w:pPr>
        <w:pStyle w:val="ae"/>
        <w:shd w:val="clear" w:color="auto" w:fill="FFFFFF"/>
        <w:spacing w:before="0" w:beforeAutospacing="0" w:after="0" w:afterAutospacing="0"/>
        <w:jc w:val="both"/>
        <w:textAlignment w:val="baseline"/>
        <w:rPr>
          <w:bCs/>
          <w:color w:val="002060"/>
          <w:sz w:val="16"/>
          <w:szCs w:val="16"/>
        </w:rPr>
      </w:pPr>
    </w:p>
    <w:p w14:paraId="1C74DE7F" w14:textId="4CD7A8E3" w:rsidR="004B4E35" w:rsidRPr="00405303" w:rsidRDefault="009E6F82" w:rsidP="00C15251">
      <w:pPr>
        <w:jc w:val="both"/>
        <w:rPr>
          <w:bCs/>
          <w:color w:val="002060"/>
          <w:sz w:val="16"/>
          <w:szCs w:val="16"/>
        </w:rPr>
      </w:pPr>
      <w:r w:rsidRPr="00405303">
        <w:rPr>
          <w:bCs/>
          <w:color w:val="002060"/>
          <w:sz w:val="16"/>
          <w:szCs w:val="16"/>
        </w:rPr>
        <w:t>С марта 1915 года было изготовлено 49 «блимпов»</w:t>
      </w:r>
      <w:r w:rsidR="00EC0D8E" w:rsidRPr="00405303">
        <w:rPr>
          <w:bCs/>
          <w:color w:val="002060"/>
          <w:sz w:val="16"/>
          <w:szCs w:val="16"/>
        </w:rPr>
        <w:t xml:space="preserve"> - мягких дирижаблей, состоящий из оболочки дирижабля «Эта», под которой был подвешен фюзеляж разведывательного самолета ВЕ2с без хвостового оперения, но с шасси, мотором «Рено» мощностью 60 л. с., тянущим винтом и кабиной, в которой размещались 2 человека</w:t>
      </w:r>
      <w:r w:rsidRPr="00405303">
        <w:rPr>
          <w:bCs/>
          <w:color w:val="002060"/>
          <w:sz w:val="16"/>
          <w:szCs w:val="16"/>
        </w:rPr>
        <w:t>, из них 36 переданы флоту, где получили официальное обозначение S.S. (Sea Scout — морской разведывательный; иногда S.S. расшифровывают как Submarine Scout — противолодочный разведывательный, но это только вариант, основывающийся на одинаковых начальных буквах). Название серии «блимп» было взято у английского юмористического персонажа, полковника Блимпа, символа твердокаменного упрямства. Серийные дирижабли S.S. имели [274] объем 1840 куб. м и более мощные моторы в 80 л. с. Большинство из них оснащались фюзеляжами ВЕ2с, десять — фюзеляжами самолета Фарман MF.11 с небольшой гондолой, четыре — специальными фюзеляжами фирмы «Армстронг-Уитворт». «Блимпы» хорошо показали себя в деле, легко управлялись, обладали прекрасной маневренностью, без проблем ставились в ангар или укрывались брезентом, к тому же легко транспортировались наземным транспортом. Надо учесть, что «блимпы» могли корректировать стрельбу прибрежных мониторов, их можно было буксировать кораблями береговой охраны. Эти дирижабли обычно находились в воздухе около четырех часов при средней скорости 50 км/ч (11324).</w:t>
      </w:r>
    </w:p>
    <w:p w14:paraId="4A887578" w14:textId="77777777" w:rsidR="004B4E35" w:rsidRPr="00405303" w:rsidRDefault="004B4E35" w:rsidP="00C15251">
      <w:pPr>
        <w:pStyle w:val="a3"/>
        <w:jc w:val="both"/>
        <w:rPr>
          <w:bCs/>
          <w:color w:val="002060"/>
          <w:spacing w:val="0"/>
          <w:kern w:val="0"/>
          <w:position w:val="0"/>
          <w:sz w:val="16"/>
          <w:szCs w:val="16"/>
        </w:rPr>
      </w:pPr>
    </w:p>
    <w:p w14:paraId="1DC05F8A" w14:textId="757DEB16" w:rsidR="008A3F09" w:rsidRPr="00405303" w:rsidRDefault="008A3F09" w:rsidP="00C15251">
      <w:pPr>
        <w:pStyle w:val="a3"/>
        <w:jc w:val="both"/>
        <w:rPr>
          <w:bCs/>
          <w:color w:val="002060"/>
          <w:spacing w:val="0"/>
          <w:kern w:val="0"/>
          <w:position w:val="0"/>
          <w:sz w:val="16"/>
          <w:szCs w:val="16"/>
        </w:rPr>
      </w:pPr>
      <w:r w:rsidRPr="00405303">
        <w:rPr>
          <w:bCs/>
          <w:color w:val="002060"/>
          <w:spacing w:val="0"/>
          <w:kern w:val="0"/>
          <w:position w:val="0"/>
          <w:sz w:val="16"/>
          <w:szCs w:val="16"/>
        </w:rPr>
        <w:t>За рубежом:</w:t>
      </w:r>
    </w:p>
    <w:p w14:paraId="781DE1E8" w14:textId="77777777" w:rsidR="008A3F09" w:rsidRPr="00405303" w:rsidRDefault="008A3F09" w:rsidP="00C15251">
      <w:pPr>
        <w:pStyle w:val="a3"/>
        <w:jc w:val="both"/>
        <w:rPr>
          <w:bCs/>
          <w:color w:val="002060"/>
          <w:spacing w:val="0"/>
          <w:kern w:val="0"/>
          <w:position w:val="0"/>
          <w:sz w:val="16"/>
          <w:szCs w:val="16"/>
        </w:rPr>
      </w:pPr>
    </w:p>
    <w:p w14:paraId="03D942D1" w14:textId="3895815F" w:rsidR="00EC0D8E" w:rsidRPr="00405303" w:rsidRDefault="00EC0D8E" w:rsidP="00C15251">
      <w:pPr>
        <w:jc w:val="both"/>
        <w:rPr>
          <w:bCs/>
          <w:color w:val="002060"/>
          <w:sz w:val="16"/>
          <w:szCs w:val="16"/>
        </w:rPr>
      </w:pPr>
      <w:r w:rsidRPr="00405303">
        <w:rPr>
          <w:bCs/>
          <w:color w:val="002060"/>
          <w:sz w:val="16"/>
          <w:szCs w:val="16"/>
        </w:rPr>
        <w:t>В марте 1915 г. объединенная союзная эскадра попыталась блокировать Босфор и Дарданеллы, а также высадить десант для захвата Константинополя, но и эта операция закончилась неудачей. Во время второго сражения на реке Ипр немцы впервые применили боевые отравляющие вещества. 7 мая 1915 года немецкая подводная лодка торпедировала лайнер «Луизитания» — «двоюродную сестру» печально знаменитого «Титаника». Эта трагедия унесла жизни почти двух тысяч человек, главным образом женщин и детей. На Восточном фронте русская армия беспорядочно отступала из Польши, сдав немцам Варшаву и едва избежав окружения. Единственной приятной новостью для союзников в 1915 году стала весть о вступлении Италии в войну на стороне Антанты, однако радость очень скоро сменилась горечью разочарования: итальянская армия была вдребезги разбита австро-венгерскими войсками при Исонзо. Это поражение стало первым звеном в цепи военных неудач нового союзника Англии, Франции и России (11324).</w:t>
      </w:r>
    </w:p>
    <w:p w14:paraId="40E4F776" w14:textId="77777777" w:rsidR="00EC0D8E" w:rsidRPr="00405303" w:rsidRDefault="00EC0D8E" w:rsidP="00C15251">
      <w:pPr>
        <w:pStyle w:val="a3"/>
        <w:jc w:val="both"/>
        <w:rPr>
          <w:bCs/>
          <w:color w:val="002060"/>
          <w:spacing w:val="0"/>
          <w:kern w:val="0"/>
          <w:position w:val="0"/>
          <w:sz w:val="16"/>
          <w:szCs w:val="16"/>
        </w:rPr>
      </w:pPr>
    </w:p>
    <w:p w14:paraId="2182316C" w14:textId="77777777" w:rsidR="008A3F09" w:rsidRPr="00405303" w:rsidRDefault="008A3F09" w:rsidP="00C15251">
      <w:pPr>
        <w:pStyle w:val="ae"/>
        <w:spacing w:before="0" w:beforeAutospacing="0" w:after="0" w:afterAutospacing="0"/>
        <w:jc w:val="both"/>
        <w:rPr>
          <w:bCs/>
          <w:color w:val="002060"/>
          <w:sz w:val="16"/>
          <w:szCs w:val="16"/>
        </w:rPr>
      </w:pPr>
      <w:r w:rsidRPr="00405303">
        <w:rPr>
          <w:bCs/>
          <w:color w:val="002060"/>
          <w:sz w:val="16"/>
          <w:szCs w:val="16"/>
        </w:rPr>
        <w:t>В марте 1915 г. под Ньюпортом Германцы попытались использовать химический снаряд «Т», однако результаты обстрела оказались неудовлетворительными. Гаубичный снаряд «Т» разработал д-р Ганс фон Таппен. По русским позициям под Болимовым было выпущено 18 тыс. таких снарядов, но наступившие холода сделали этот обстрел неэффективным (10246).</w:t>
      </w:r>
    </w:p>
    <w:p w14:paraId="1AAEB6AE" w14:textId="77777777" w:rsidR="008A3F09" w:rsidRPr="00405303" w:rsidRDefault="008A3F09" w:rsidP="00C15251">
      <w:pPr>
        <w:pStyle w:val="ae"/>
        <w:spacing w:before="0" w:beforeAutospacing="0" w:after="0" w:afterAutospacing="0"/>
        <w:jc w:val="both"/>
        <w:rPr>
          <w:bCs/>
          <w:color w:val="002060"/>
          <w:sz w:val="16"/>
          <w:szCs w:val="16"/>
        </w:rPr>
      </w:pPr>
    </w:p>
    <w:p w14:paraId="70DF0E45" w14:textId="1A6D2CA2" w:rsidR="00A14E06" w:rsidRPr="00405303" w:rsidRDefault="00A14E06" w:rsidP="00C15251">
      <w:pPr>
        <w:pStyle w:val="a3"/>
        <w:jc w:val="both"/>
        <w:rPr>
          <w:bCs/>
          <w:color w:val="002060"/>
          <w:spacing w:val="0"/>
          <w:kern w:val="0"/>
          <w:position w:val="0"/>
          <w:sz w:val="16"/>
          <w:szCs w:val="16"/>
        </w:rPr>
      </w:pPr>
      <w:bookmarkStart w:id="85" w:name="_Hlk50643528"/>
      <w:r w:rsidRPr="00405303">
        <w:rPr>
          <w:bCs/>
          <w:color w:val="002060"/>
          <w:spacing w:val="0"/>
          <w:kern w:val="0"/>
          <w:position w:val="0"/>
          <w:sz w:val="16"/>
          <w:szCs w:val="16"/>
        </w:rPr>
        <w:t>Авиация:</w:t>
      </w:r>
    </w:p>
    <w:p w14:paraId="28301F06" w14:textId="77777777" w:rsidR="00A14E06" w:rsidRPr="00405303" w:rsidRDefault="00A14E06" w:rsidP="00C15251">
      <w:pPr>
        <w:pStyle w:val="a3"/>
        <w:jc w:val="both"/>
        <w:rPr>
          <w:bCs/>
          <w:color w:val="002060"/>
          <w:spacing w:val="0"/>
          <w:kern w:val="0"/>
          <w:position w:val="0"/>
          <w:sz w:val="16"/>
          <w:szCs w:val="16"/>
        </w:rPr>
      </w:pPr>
    </w:p>
    <w:p w14:paraId="5922F8C1" w14:textId="77777777" w:rsidR="00A14E06" w:rsidRPr="00405303" w:rsidRDefault="00A14E06" w:rsidP="00C15251">
      <w:pPr>
        <w:jc w:val="both"/>
        <w:rPr>
          <w:bCs/>
          <w:color w:val="002060"/>
          <w:sz w:val="16"/>
          <w:szCs w:val="16"/>
        </w:rPr>
      </w:pPr>
      <w:bookmarkStart w:id="86" w:name="bookmark117"/>
      <w:r w:rsidRPr="00405303">
        <w:rPr>
          <w:bCs/>
          <w:color w:val="002060"/>
          <w:sz w:val="16"/>
          <w:szCs w:val="16"/>
        </w:rPr>
        <w:t>В марте - апреле 1915 г. воздушный корабль «Саксен» (база - г. Алленштейн/Ольштын) провел ряд воздушных налетов на города Цехнов и Белосток, сбрасывая на них за один заход по 0,5 тонны бомб с низкой точностью попадания. Налаженная воздушная оборона этих военно-административных центров исключала снижение на удобную для бомбардировки высоту. Поэтому дирижаблю приходилось работать на высоте свыше 2,4 км и исключить до минимума число полетов в лунные ночи (23405).</w:t>
      </w:r>
      <w:bookmarkEnd w:id="86"/>
    </w:p>
    <w:p w14:paraId="2DADDA35" w14:textId="77777777" w:rsidR="00A14E06" w:rsidRPr="00405303" w:rsidRDefault="00A14E06" w:rsidP="00C15251">
      <w:pPr>
        <w:jc w:val="both"/>
        <w:rPr>
          <w:bCs/>
          <w:color w:val="002060"/>
          <w:sz w:val="16"/>
          <w:szCs w:val="16"/>
        </w:rPr>
      </w:pPr>
    </w:p>
    <w:p w14:paraId="0198F1C8" w14:textId="77777777" w:rsidR="00A14E06" w:rsidRPr="00405303" w:rsidRDefault="00A14E06" w:rsidP="00C15251">
      <w:pPr>
        <w:jc w:val="both"/>
        <w:rPr>
          <w:bCs/>
          <w:color w:val="002060"/>
          <w:sz w:val="16"/>
          <w:szCs w:val="16"/>
        </w:rPr>
      </w:pPr>
      <w:r w:rsidRPr="00405303">
        <w:rPr>
          <w:bCs/>
          <w:color w:val="002060"/>
          <w:sz w:val="16"/>
          <w:szCs w:val="16"/>
        </w:rPr>
        <w:t>В марте - апреле 1915 г. расчеты первой в русской армии автомобильной противосамолетной батареи (капитан В.В. Тарновский), действовали вблизи Варшавы, Ломжи, Остроленки и других пунктов царства Польского. Позднее батарея переведена на ст. Яблонна для прикрытия ЭВК «Илья Муромец». 8 мая она прибыла в д. Яблонна, развернула боевой порядок и приступила к выполнению поставленной задачи. Ее выполнение осуществлялось почти три месяца, прерываемое отдельными выходами на другие позиции для пресечения действий германской авиации по группировкам войск 1-й армии. Ранее задействованные для организации воздушной обороны аэродрома Управления Эскадры другие зенитные подразделения были возвращены к местам своей постоянной дислокации (23405).</w:t>
      </w:r>
    </w:p>
    <w:p w14:paraId="638046EB" w14:textId="77777777" w:rsidR="00A14E06" w:rsidRPr="00405303" w:rsidRDefault="00A14E06" w:rsidP="00C15251">
      <w:pPr>
        <w:jc w:val="both"/>
        <w:rPr>
          <w:bCs/>
          <w:color w:val="002060"/>
          <w:sz w:val="16"/>
          <w:szCs w:val="16"/>
        </w:rPr>
      </w:pPr>
    </w:p>
    <w:p w14:paraId="7704A247" w14:textId="38336ED8" w:rsidR="008A3F09" w:rsidRPr="00405303" w:rsidRDefault="008A3F09"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07D27263" w14:textId="77777777" w:rsidR="008A3F09" w:rsidRPr="00405303" w:rsidRDefault="008A3F09" w:rsidP="00C15251">
      <w:pPr>
        <w:pStyle w:val="a3"/>
        <w:jc w:val="both"/>
        <w:rPr>
          <w:bCs/>
          <w:color w:val="002060"/>
          <w:spacing w:val="0"/>
          <w:kern w:val="0"/>
          <w:position w:val="0"/>
          <w:sz w:val="16"/>
          <w:szCs w:val="16"/>
        </w:rPr>
      </w:pPr>
    </w:p>
    <w:p w14:paraId="5ACE37BD" w14:textId="77777777" w:rsidR="008A3F09" w:rsidRPr="00405303" w:rsidRDefault="008A3F09" w:rsidP="00C15251">
      <w:pPr>
        <w:jc w:val="both"/>
        <w:rPr>
          <w:bCs/>
          <w:color w:val="002060"/>
          <w:sz w:val="16"/>
          <w:szCs w:val="16"/>
        </w:rPr>
      </w:pPr>
      <w:r w:rsidRPr="00405303">
        <w:rPr>
          <w:bCs/>
          <w:color w:val="002060"/>
          <w:sz w:val="16"/>
          <w:szCs w:val="16"/>
        </w:rPr>
        <w:t>Когда в начале весны 1915 заказ на «Муромцев» был восстановлен, их производство тормозилось из-за отсутствия свободных площадей и необходимости выполнения контракта по легким «Сикорским». Поскольку завод делал ставку на тяжелые машины, Правление РБВЗ вышло в ГВТУ с предложением поставить на ту же сумму контракта вместо легких аппаратов четыре «Муромца» для замены отработавших свой ресурс первых Кораблей (19963).</w:t>
      </w:r>
    </w:p>
    <w:p w14:paraId="343D2614" w14:textId="77777777" w:rsidR="008A3F09" w:rsidRPr="00405303" w:rsidRDefault="008A3F09" w:rsidP="00C15251">
      <w:pPr>
        <w:jc w:val="both"/>
        <w:rPr>
          <w:rStyle w:val="42"/>
          <w:rFonts w:ascii="Times New Roman" w:hAnsi="Times New Roman" w:cs="Times New Roman"/>
          <w:bCs/>
          <w:color w:val="002060"/>
          <w:w w:val="100"/>
          <w:sz w:val="16"/>
          <w:szCs w:val="16"/>
        </w:rPr>
      </w:pPr>
    </w:p>
    <w:bookmarkEnd w:id="85"/>
    <w:p w14:paraId="700F536F"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1700B72C" w14:textId="77777777" w:rsidR="004B4E35" w:rsidRPr="00405303" w:rsidRDefault="004B4E35" w:rsidP="00C15251">
      <w:pPr>
        <w:pStyle w:val="a3"/>
        <w:jc w:val="both"/>
        <w:rPr>
          <w:bCs/>
          <w:color w:val="002060"/>
          <w:spacing w:val="0"/>
          <w:kern w:val="0"/>
          <w:position w:val="0"/>
          <w:sz w:val="16"/>
          <w:szCs w:val="16"/>
        </w:rPr>
      </w:pPr>
    </w:p>
    <w:p w14:paraId="117FD18D" w14:textId="77777777" w:rsidR="004B4E35" w:rsidRPr="00405303" w:rsidRDefault="009E6F82" w:rsidP="00C15251">
      <w:pPr>
        <w:jc w:val="both"/>
        <w:rPr>
          <w:bCs/>
          <w:color w:val="002060"/>
          <w:sz w:val="16"/>
          <w:szCs w:val="16"/>
        </w:rPr>
      </w:pPr>
      <w:r w:rsidRPr="00405303">
        <w:rPr>
          <w:bCs/>
          <w:color w:val="002060"/>
          <w:sz w:val="16"/>
          <w:szCs w:val="16"/>
        </w:rPr>
        <w:t>К апрелю 1915 г. воздушная оборона Петрограда и императорской резиденции в Царском Селе пополнилась новыми силами и средствами. В июле того же года были утверждены: Особая инструкция № 6 для обороны императорской резиденции от нападения воздушного противника и Инструкция № 7 для действия специального авиационного отряда для воздушной обороны императорской резиденции. Этими документами была введена должность заведующего обороной императорской резиденции от воздушного нападения (11164).</w:t>
      </w:r>
    </w:p>
    <w:p w14:paraId="6F96DB65" w14:textId="77777777" w:rsidR="004B4E35" w:rsidRPr="00405303" w:rsidRDefault="004B4E35" w:rsidP="00C15251">
      <w:pPr>
        <w:jc w:val="both"/>
        <w:rPr>
          <w:bCs/>
          <w:color w:val="002060"/>
          <w:sz w:val="16"/>
          <w:szCs w:val="16"/>
        </w:rPr>
      </w:pPr>
    </w:p>
    <w:p w14:paraId="096BB558" w14:textId="77777777" w:rsidR="00F635F7" w:rsidRPr="00405303" w:rsidRDefault="00F635F7" w:rsidP="00C15251">
      <w:pPr>
        <w:pStyle w:val="a3"/>
        <w:jc w:val="both"/>
        <w:rPr>
          <w:bCs/>
          <w:color w:val="002060"/>
          <w:spacing w:val="0"/>
          <w:kern w:val="0"/>
          <w:position w:val="0"/>
          <w:sz w:val="16"/>
          <w:szCs w:val="16"/>
        </w:rPr>
      </w:pPr>
      <w:r w:rsidRPr="00405303">
        <w:rPr>
          <w:bCs/>
          <w:color w:val="002060"/>
          <w:spacing w:val="0"/>
          <w:kern w:val="0"/>
          <w:position w:val="0"/>
          <w:sz w:val="16"/>
          <w:szCs w:val="16"/>
        </w:rPr>
        <w:t>Армия:</w:t>
      </w:r>
    </w:p>
    <w:p w14:paraId="0418A9FE" w14:textId="77777777" w:rsidR="00F635F7" w:rsidRPr="00405303" w:rsidRDefault="00F635F7" w:rsidP="00C15251">
      <w:pPr>
        <w:pStyle w:val="a3"/>
        <w:jc w:val="both"/>
        <w:rPr>
          <w:bCs/>
          <w:color w:val="002060"/>
          <w:spacing w:val="0"/>
          <w:kern w:val="0"/>
          <w:position w:val="0"/>
          <w:sz w:val="16"/>
          <w:szCs w:val="16"/>
        </w:rPr>
      </w:pPr>
    </w:p>
    <w:p w14:paraId="413E3184" w14:textId="77777777" w:rsidR="00F635F7" w:rsidRPr="00405303" w:rsidRDefault="00F635F7" w:rsidP="00C15251">
      <w:pPr>
        <w:jc w:val="both"/>
        <w:rPr>
          <w:bCs/>
          <w:color w:val="002060"/>
          <w:sz w:val="16"/>
          <w:szCs w:val="16"/>
        </w:rPr>
      </w:pPr>
      <w:r w:rsidRPr="00405303">
        <w:rPr>
          <w:bCs/>
          <w:color w:val="002060"/>
          <w:sz w:val="16"/>
          <w:szCs w:val="16"/>
        </w:rPr>
        <w:t>К апрелю 1915 г. мотоциклетные воинские части отправили на фронт, и с мая Главное управление Генерального штаба приняло решение о формировании следующих рот или отделений — с 21-го по 45-е. Удовлетворить потребность военных за счет возможностей отечественной промышленности не представлялось возможным, поэтому подавляющее большинство мотоциклов было импортным. Всего в 1913–1917 гг. для военных нужд было приобретено 16 133 мотоцикла почти шести десятков марок. В общей сложности к началу 1917 г. сформировали и направили в действующую армию 2 мотоциклетные роты, 55 мотоциклетных отделений и 2 мотоциклетных команды. Помимо отдельных мотоциклетных, мотоциклы поступали на снабжение и других частей, и подразделений. Мотоциклы имелись в крепостях, в составе вновь формируемой Тяжелой артиллерии особого назначения (ТАОН), в структуре Всероссийского Земского Союза, у авиационных отрядов, во флоте и др. (19776).</w:t>
      </w:r>
    </w:p>
    <w:p w14:paraId="09FE704B" w14:textId="77777777" w:rsidR="00F635F7" w:rsidRPr="00405303" w:rsidRDefault="00F635F7" w:rsidP="00C15251">
      <w:pPr>
        <w:jc w:val="both"/>
        <w:rPr>
          <w:bCs/>
          <w:color w:val="002060"/>
          <w:sz w:val="16"/>
          <w:szCs w:val="16"/>
        </w:rPr>
      </w:pPr>
    </w:p>
    <w:p w14:paraId="58ECCEE1" w14:textId="7E641E63" w:rsidR="00A76D0D" w:rsidRPr="00405303" w:rsidRDefault="00A76D0D" w:rsidP="00C15251">
      <w:pPr>
        <w:jc w:val="both"/>
        <w:rPr>
          <w:bCs/>
          <w:i/>
          <w:iCs/>
          <w:color w:val="002060"/>
          <w:sz w:val="16"/>
          <w:szCs w:val="16"/>
        </w:rPr>
      </w:pPr>
      <w:r w:rsidRPr="00405303">
        <w:rPr>
          <w:bCs/>
          <w:i/>
          <w:iCs/>
          <w:color w:val="002060"/>
          <w:sz w:val="16"/>
          <w:szCs w:val="16"/>
        </w:rPr>
        <w:t>Самолетостроение:</w:t>
      </w:r>
    </w:p>
    <w:p w14:paraId="40715E14" w14:textId="77777777" w:rsidR="00A76D0D" w:rsidRPr="00405303" w:rsidRDefault="00A76D0D" w:rsidP="00C15251">
      <w:pPr>
        <w:jc w:val="both"/>
        <w:rPr>
          <w:bCs/>
          <w:i/>
          <w:iCs/>
          <w:color w:val="002060"/>
          <w:sz w:val="16"/>
          <w:szCs w:val="16"/>
        </w:rPr>
      </w:pPr>
    </w:p>
    <w:p w14:paraId="781DA4C6" w14:textId="77777777" w:rsidR="00A76D0D" w:rsidRPr="00405303" w:rsidRDefault="00A76D0D" w:rsidP="00A76D0D">
      <w:pPr>
        <w:jc w:val="both"/>
        <w:rPr>
          <w:color w:val="0070C0"/>
          <w:sz w:val="16"/>
          <w:szCs w:val="16"/>
        </w:rPr>
      </w:pPr>
      <w:r w:rsidRPr="00405303">
        <w:rPr>
          <w:color w:val="0070C0"/>
          <w:sz w:val="16"/>
          <w:szCs w:val="16"/>
        </w:rPr>
        <w:t>1 (14) апреля 1915 г. в телеграмме начальника штаба Верховного главнокомандования от в ГВТУ сообщалось: «Верховный главнокомандующий приказал: просить Вас в связи с выяснившимся применением Эскадры воздушных кораблей восстановить действие контракта с РБВЗ на постройку «муромцев», приостановленного на время испытания их боевых свойств, и оказать заводу всякое содействие для скорейшего выполнения этого заказа...». Штаб Верховного главнокомандующего просил военного министра ускорить укомплектование Эскадры до штатного состава и принять самые энергичные меры к постройке новых кораблей (24965).</w:t>
      </w:r>
    </w:p>
    <w:p w14:paraId="24472D67" w14:textId="77777777" w:rsidR="00A76D0D" w:rsidRPr="00405303" w:rsidRDefault="00A76D0D" w:rsidP="00A76D0D">
      <w:pPr>
        <w:jc w:val="both"/>
        <w:rPr>
          <w:color w:val="0070C0"/>
          <w:sz w:val="16"/>
          <w:szCs w:val="16"/>
        </w:rPr>
      </w:pPr>
    </w:p>
    <w:p w14:paraId="0126B0D6"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445AAF13" w14:textId="77777777" w:rsidR="004B4E35" w:rsidRPr="00405303" w:rsidRDefault="004B4E35" w:rsidP="00C15251">
      <w:pPr>
        <w:jc w:val="both"/>
        <w:rPr>
          <w:bCs/>
          <w:i/>
          <w:color w:val="002060"/>
          <w:sz w:val="16"/>
          <w:szCs w:val="16"/>
        </w:rPr>
      </w:pPr>
    </w:p>
    <w:p w14:paraId="65FB419F" w14:textId="7910B29C" w:rsidR="004B4E35" w:rsidRPr="00405303" w:rsidRDefault="009E6F82" w:rsidP="00C15251">
      <w:pPr>
        <w:jc w:val="both"/>
        <w:rPr>
          <w:bCs/>
          <w:color w:val="002060"/>
          <w:sz w:val="16"/>
          <w:szCs w:val="16"/>
        </w:rPr>
      </w:pPr>
      <w:r w:rsidRPr="00405303">
        <w:rPr>
          <w:bCs/>
          <w:color w:val="002060"/>
          <w:sz w:val="16"/>
          <w:szCs w:val="16"/>
        </w:rPr>
        <w:t xml:space="preserve">1 (14) апреля 1915 года в письме председателю Совета министров И.Л. Горемыкину </w:t>
      </w:r>
      <w:r w:rsidR="005705F2" w:rsidRPr="00405303">
        <w:rPr>
          <w:bCs/>
          <w:color w:val="002060"/>
          <w:sz w:val="16"/>
          <w:szCs w:val="16"/>
        </w:rPr>
        <w:t xml:space="preserve">Военный министр генерал от кавалерии В.А. Сухомлинов </w:t>
      </w:r>
      <w:r w:rsidRPr="00405303">
        <w:rPr>
          <w:bCs/>
          <w:color w:val="002060"/>
          <w:sz w:val="16"/>
          <w:szCs w:val="16"/>
        </w:rPr>
        <w:t>высказал серьезные и вполне обоснованные опасения по поводу использования российских нефтепродуктов противником и предложил вопросы об экспорте рассматривать на государственном уровне.</w:t>
      </w:r>
    </w:p>
    <w:p w14:paraId="73114E45" w14:textId="77777777" w:rsidR="004B4E35" w:rsidRPr="00405303" w:rsidRDefault="009E6F82" w:rsidP="00C15251">
      <w:pPr>
        <w:jc w:val="both"/>
        <w:rPr>
          <w:bCs/>
          <w:color w:val="002060"/>
          <w:sz w:val="16"/>
          <w:szCs w:val="16"/>
        </w:rPr>
      </w:pPr>
      <w:r w:rsidRPr="00405303">
        <w:rPr>
          <w:bCs/>
          <w:color w:val="002060"/>
          <w:sz w:val="16"/>
          <w:szCs w:val="16"/>
        </w:rPr>
        <w:t>«СекретноМилостивый государь Иван Логгинович.</w:t>
      </w:r>
    </w:p>
    <w:p w14:paraId="79F4A147" w14:textId="77777777" w:rsidR="004B4E35" w:rsidRPr="00405303" w:rsidRDefault="009E6F82" w:rsidP="00C15251">
      <w:pPr>
        <w:jc w:val="both"/>
        <w:rPr>
          <w:bCs/>
          <w:color w:val="002060"/>
          <w:sz w:val="16"/>
          <w:szCs w:val="16"/>
        </w:rPr>
      </w:pPr>
      <w:r w:rsidRPr="00405303">
        <w:rPr>
          <w:bCs/>
          <w:color w:val="002060"/>
          <w:sz w:val="16"/>
          <w:szCs w:val="16"/>
        </w:rPr>
        <w:t>Как известно вашему высокопревосходительству, постановлением Совета министров от 17 октября 1914 г. т-ву нефтяного производства «Бр. Нобель» было разрешено вывезти в Швецию и Норвегию до 130 тыс. пуд. машинного масла. Затем в феврале текущего года названное товарищество обратилось в [Военное] министерство о разрешении вывоза во Францию и Англию до 800 тыс. пуд. белых вазелиновых, машинного и веретенного масел и в Швецию и Норвегию до 220 тыс. пуд. белых и вазелиновых масел, 50 тыс. пуд. натуральной нефти и до 100 тыс. пуд. керосина.</w:t>
      </w:r>
    </w:p>
    <w:p w14:paraId="38DC1682" w14:textId="77777777" w:rsidR="004B4E35" w:rsidRPr="00405303" w:rsidRDefault="009E6F82" w:rsidP="00C15251">
      <w:pPr>
        <w:jc w:val="both"/>
        <w:rPr>
          <w:bCs/>
          <w:color w:val="002060"/>
          <w:sz w:val="16"/>
          <w:szCs w:val="16"/>
        </w:rPr>
      </w:pPr>
      <w:r w:rsidRPr="00405303">
        <w:rPr>
          <w:bCs/>
          <w:color w:val="002060"/>
          <w:sz w:val="16"/>
          <w:szCs w:val="16"/>
        </w:rPr>
        <w:t>По поводу изложенного ходатайства во вверенном мне министерстве возникли основательные опасения о том, что означенные весьма ценные для отечественных нужд продукты могут попасть в столь значительном количестве в воюющие с нами государства, почему… было высказано пожелание о внесении вопроса на обсуждение в межведомственное совещание, образованное при Департаменте таможенных сборов.</w:t>
      </w:r>
    </w:p>
    <w:p w14:paraId="6E583A7D" w14:textId="77777777" w:rsidR="004B4E35" w:rsidRPr="00405303" w:rsidRDefault="009E6F82" w:rsidP="00C15251">
      <w:pPr>
        <w:jc w:val="both"/>
        <w:rPr>
          <w:bCs/>
          <w:color w:val="002060"/>
          <w:sz w:val="16"/>
          <w:szCs w:val="16"/>
        </w:rPr>
      </w:pPr>
      <w:r w:rsidRPr="00405303">
        <w:rPr>
          <w:bCs/>
          <w:color w:val="002060"/>
          <w:sz w:val="16"/>
          <w:szCs w:val="16"/>
        </w:rPr>
        <w:t>Основанием для вышеозначенных сомнений послужило то обстоятельство, что, согласно полученным секретным путем сведениям, 14 января с.г. на имя Эммануэля Нобеля, главы фирмы, из Стокгольма поступила телеграмма с предложением неограниченного количества аптекарских товаров из Германии в обмен на минеральное масло.</w:t>
      </w:r>
    </w:p>
    <w:p w14:paraId="49C8AF44" w14:textId="77777777" w:rsidR="004B4E35" w:rsidRPr="00405303" w:rsidRDefault="009E6F82" w:rsidP="00C15251">
      <w:pPr>
        <w:jc w:val="both"/>
        <w:rPr>
          <w:bCs/>
          <w:color w:val="002060"/>
          <w:sz w:val="16"/>
          <w:szCs w:val="16"/>
        </w:rPr>
      </w:pPr>
      <w:r w:rsidRPr="00405303">
        <w:rPr>
          <w:bCs/>
          <w:color w:val="002060"/>
          <w:sz w:val="16"/>
          <w:szCs w:val="16"/>
        </w:rPr>
        <w:t>Хотя г. Нобель ответил отказом, тем не менее 6 февраля с.г. он посетил германского посланника в Стокгольме фон Люциуса, с которым находился в дружественной переписке. Возвращаясь в Петроград</w:t>
      </w:r>
      <w:proofErr w:type="gramStart"/>
      <w:r w:rsidRPr="00405303">
        <w:rPr>
          <w:bCs/>
          <w:color w:val="002060"/>
          <w:sz w:val="16"/>
          <w:szCs w:val="16"/>
        </w:rPr>
        <w:t>…</w:t>
      </w:r>
      <w:proofErr w:type="gramEnd"/>
      <w:r w:rsidRPr="00405303">
        <w:rPr>
          <w:bCs/>
          <w:color w:val="002060"/>
          <w:sz w:val="16"/>
          <w:szCs w:val="16"/>
        </w:rPr>
        <w:t xml:space="preserve"> действительный статский советник Нобель заявил, что ездил в Швецию «по поручению правительства». Из поступившего ответа по сему Министерства иностранных дел выяснилось, что... он не был уполномочен… вести от имени его какие-либо переговоры в Швеции… Сообщив ввиду изложенного министру финансов о том, что Военное министерство находит необходимым, оставив на рассмотрение межведомственного совещания вопрос о вывозе означенных продуктов во Францию и Англию, ходатайство т-ва «Бр. Нобель» о дополнительном вывозе в Швецию и Норвегию отклонить, имею честь просить ваше высокопревосходительство не отказать поставить меня в известность, не признаете ли Вы возможным подвергнуть обсуждению в Совете министров вопрос о полном запрещении вывоза нефтяных продуктов, добытых в России, в Швецию» (См.: Монополистический капитал в нефтяной промышленности России. 1914—1917. Л.: Наука, 1973. - С. 38, 39.). ЭТО ПИСЬМО свидетельствовало о том, что Военное министерство России, прекрасно понимая значение для войны нефтепродуктов, с самого начала боевых действий внимательно следило за использованием нефтяных ресурсов и заняло активную позицию в этих вопросах. За кажущейся вежливостью обращения к председателю правительства просматривается весьма жесткая и активная позиция военного министра.</w:t>
      </w:r>
    </w:p>
    <w:p w14:paraId="32F8A63C" w14:textId="77777777" w:rsidR="004B4E35" w:rsidRPr="00405303" w:rsidRDefault="009E6F82" w:rsidP="00C15251">
      <w:pPr>
        <w:jc w:val="both"/>
        <w:rPr>
          <w:bCs/>
          <w:color w:val="002060"/>
          <w:sz w:val="16"/>
          <w:szCs w:val="16"/>
        </w:rPr>
      </w:pPr>
      <w:r w:rsidRPr="00405303">
        <w:rPr>
          <w:bCs/>
          <w:color w:val="002060"/>
          <w:sz w:val="16"/>
          <w:szCs w:val="16"/>
        </w:rPr>
        <w:t>Что касается конкретно поставленного в письме вопроса, то он обсуждался Советом министров уже 7 апреля, и вывоз нефтепродуктов в Норвегию и Швецию был запрещен, несмотря на то, что т-во «Бр. Нобель» гарантировало, что нефтепродукты будут использованы только в этих странах (11178).</w:t>
      </w:r>
    </w:p>
    <w:p w14:paraId="080E202B" w14:textId="77777777" w:rsidR="004B4E35" w:rsidRPr="00405303" w:rsidRDefault="004B4E35" w:rsidP="00C15251">
      <w:pPr>
        <w:jc w:val="both"/>
        <w:rPr>
          <w:bCs/>
          <w:color w:val="002060"/>
          <w:sz w:val="16"/>
          <w:szCs w:val="16"/>
        </w:rPr>
      </w:pPr>
    </w:p>
    <w:p w14:paraId="55804810" w14:textId="0B085F54" w:rsidR="004B4E35" w:rsidRPr="00405303" w:rsidRDefault="005705F2" w:rsidP="00C15251">
      <w:pPr>
        <w:jc w:val="both"/>
        <w:rPr>
          <w:bCs/>
          <w:color w:val="002060"/>
          <w:sz w:val="16"/>
          <w:szCs w:val="16"/>
        </w:rPr>
      </w:pPr>
      <w:r w:rsidRPr="00405303">
        <w:rPr>
          <w:bCs/>
          <w:color w:val="002060"/>
          <w:sz w:val="16"/>
          <w:szCs w:val="16"/>
        </w:rPr>
        <w:t>Н</w:t>
      </w:r>
      <w:r w:rsidR="009E6F82" w:rsidRPr="00405303">
        <w:rPr>
          <w:bCs/>
          <w:color w:val="002060"/>
          <w:sz w:val="16"/>
          <w:szCs w:val="16"/>
        </w:rPr>
        <w:t xml:space="preserve">а 1 </w:t>
      </w:r>
      <w:r w:rsidRPr="00405303">
        <w:rPr>
          <w:bCs/>
          <w:color w:val="002060"/>
          <w:sz w:val="16"/>
          <w:szCs w:val="16"/>
        </w:rPr>
        <w:t xml:space="preserve">(14) </w:t>
      </w:r>
      <w:r w:rsidR="009E6F82" w:rsidRPr="00405303">
        <w:rPr>
          <w:bCs/>
          <w:color w:val="002060"/>
          <w:sz w:val="16"/>
          <w:szCs w:val="16"/>
        </w:rPr>
        <w:t xml:space="preserve">апреля 1915 г. </w:t>
      </w:r>
      <w:r w:rsidRPr="00405303">
        <w:rPr>
          <w:bCs/>
          <w:color w:val="002060"/>
          <w:sz w:val="16"/>
          <w:szCs w:val="16"/>
        </w:rPr>
        <w:t xml:space="preserve">вся производственная деятельность АО Русских электротехнических заводов «Сименс и Гальске» была переориентирована на выполнение военных заказов, стоимость которых </w:t>
      </w:r>
      <w:r w:rsidR="009E6F82" w:rsidRPr="00405303">
        <w:rPr>
          <w:bCs/>
          <w:color w:val="002060"/>
          <w:sz w:val="16"/>
          <w:szCs w:val="16"/>
        </w:rPr>
        <w:t>составила 7250000 руб., из них 1193842 руб. приходилось на ра диотелеграфное оборудование, 2218208 руб. – на телеграфные и телефонные ап параты. В частности, по заказам Военного ведомства радиомастерская Общества поставляла военно-полевые, ранцевые, самолетные, автомобильные радиостан ции, заканчивало строительство мощных станций в Чите, Ташкенте и Кушке (Глущенко А.А. Указ. соч. С. 345, 363.).</w:t>
      </w:r>
    </w:p>
    <w:p w14:paraId="35597178" w14:textId="77777777" w:rsidR="004B4E35" w:rsidRPr="00405303" w:rsidRDefault="009E6F82" w:rsidP="00C15251">
      <w:pPr>
        <w:jc w:val="both"/>
        <w:rPr>
          <w:bCs/>
          <w:color w:val="002060"/>
          <w:sz w:val="16"/>
          <w:szCs w:val="16"/>
        </w:rPr>
      </w:pPr>
      <w:r w:rsidRPr="00405303">
        <w:rPr>
          <w:bCs/>
          <w:color w:val="002060"/>
          <w:sz w:val="16"/>
          <w:szCs w:val="16"/>
        </w:rPr>
        <w:t>В конце 1916 г. деятельность АО «Сименс и Гальске» попала в поле зрения Особого комитета по борьбе с немецким засильем. Согласно решению прави тельства на предприятиях общества было введено Особое правление, а 27 мая 1917 г. был утвержден устав АО «Сименс» (Глущенко А.А. Указ. соч. С. 360.).</w:t>
      </w:r>
    </w:p>
    <w:p w14:paraId="78407576" w14:textId="4A205FE9" w:rsidR="004B4E35" w:rsidRPr="00405303" w:rsidRDefault="009E6F82" w:rsidP="00C15251">
      <w:pPr>
        <w:jc w:val="both"/>
        <w:rPr>
          <w:bCs/>
          <w:color w:val="002060"/>
          <w:sz w:val="16"/>
          <w:szCs w:val="16"/>
        </w:rPr>
      </w:pPr>
      <w:r w:rsidRPr="00405303">
        <w:rPr>
          <w:bCs/>
          <w:color w:val="002060"/>
          <w:sz w:val="16"/>
          <w:szCs w:val="16"/>
        </w:rPr>
        <w:t>После национализации в 1919 г. предприятие АО «Сименс» получило на именование – Петроградский телеграфный завод (Сименс) (Глущенко А.А. Указ. соч. С. 348.) (11870).</w:t>
      </w:r>
    </w:p>
    <w:p w14:paraId="5BE71698" w14:textId="77777777" w:rsidR="004B4E35" w:rsidRPr="00405303" w:rsidRDefault="004B4E35" w:rsidP="00C15251">
      <w:pPr>
        <w:jc w:val="both"/>
        <w:rPr>
          <w:bCs/>
          <w:color w:val="002060"/>
          <w:sz w:val="16"/>
          <w:szCs w:val="16"/>
        </w:rPr>
      </w:pPr>
    </w:p>
    <w:p w14:paraId="4B5AA042" w14:textId="77777777" w:rsidR="004B4E35" w:rsidRPr="00405303" w:rsidRDefault="009E6F82" w:rsidP="00C15251">
      <w:pPr>
        <w:jc w:val="both"/>
        <w:rPr>
          <w:bCs/>
          <w:i/>
          <w:color w:val="002060"/>
          <w:sz w:val="16"/>
          <w:szCs w:val="16"/>
        </w:rPr>
      </w:pPr>
      <w:r w:rsidRPr="00405303">
        <w:rPr>
          <w:bCs/>
          <w:i/>
          <w:color w:val="002060"/>
          <w:sz w:val="16"/>
          <w:szCs w:val="16"/>
        </w:rPr>
        <w:t>Армия:</w:t>
      </w:r>
    </w:p>
    <w:p w14:paraId="6EC2D20D" w14:textId="77777777" w:rsidR="004B4E35" w:rsidRPr="00405303" w:rsidRDefault="004B4E35" w:rsidP="00C15251">
      <w:pPr>
        <w:jc w:val="both"/>
        <w:rPr>
          <w:bCs/>
          <w:i/>
          <w:color w:val="002060"/>
          <w:sz w:val="16"/>
          <w:szCs w:val="16"/>
        </w:rPr>
      </w:pPr>
    </w:p>
    <w:p w14:paraId="430120E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(14) апреля 1915 по сведениям, представленным царю, на 1-е апреля в действующей армии насчитывалось 6 авиационных рот, 47 'авиаотрядов и одна эскадра воздушных кораблей "Илья Муромец”. Отряды распределялись так: на Северо-Западном фронте 25 отрядов и эскадра воздушных кораблей, на Юго-Западном - 16 отрядов, на Кавказском - 3, на Черном море - 2 и в Одессе - один. Во всех авиачастях числилось 258 летчиков, 88 наблюдателей, 193 дей</w:t>
      </w:r>
      <w:r w:rsidRPr="00405303">
        <w:rPr>
          <w:bCs/>
          <w:color w:val="002060"/>
          <w:sz w:val="16"/>
          <w:szCs w:val="16"/>
        </w:rPr>
        <w:softHyphen/>
        <w:t xml:space="preserve">ствующих самолета, 46 - ремонтных и 67 - в ротах (50 запасных и 17 неисправных), 6 кораблей "Илья Муромец". За восемь </w:t>
      </w:r>
      <w:proofErr w:type="gramStart"/>
      <w:r w:rsidRPr="00405303">
        <w:rPr>
          <w:bCs/>
          <w:color w:val="002060"/>
          <w:sz w:val="16"/>
          <w:szCs w:val="16"/>
        </w:rPr>
        <w:t>месяцев :войны</w:t>
      </w:r>
      <w:proofErr w:type="gramEnd"/>
      <w:r w:rsidRPr="00405303">
        <w:rPr>
          <w:bCs/>
          <w:color w:val="002060"/>
          <w:sz w:val="16"/>
          <w:szCs w:val="16"/>
        </w:rPr>
        <w:t xml:space="preserve"> было совершено 5009 боевых полетов общей продолжительно</w:t>
      </w:r>
      <w:r w:rsidRPr="00405303">
        <w:rPr>
          <w:bCs/>
          <w:color w:val="002060"/>
          <w:sz w:val="16"/>
          <w:szCs w:val="16"/>
        </w:rPr>
        <w:softHyphen/>
        <w:t>стью 5742 часа. За совершенные подвиги награждено 165 летчиков-офицеров и 17 летчиков-солдат (из 58). Из воздухоплавательных частей на фронте находились 2,3 и 4-я воздухоплавательные роты с управляемыми аэростатами "Кондор", "Астра", "Альбатрос", и "Парсеваль", 13-я и 14-я воздухоплавательные роты с наблюдатель</w:t>
      </w:r>
      <w:r w:rsidRPr="00405303">
        <w:rPr>
          <w:bCs/>
          <w:color w:val="002060"/>
          <w:sz w:val="16"/>
          <w:szCs w:val="16"/>
        </w:rPr>
        <w:softHyphen/>
        <w:t>ными станциями змейковых аэростатов. В боевых операциях принимали участие также отделения Корейской, Гродненской, Осовецкой и Ново-Георгиевской крепостных воздухоплавательных рот. (Сводка Авиаканца на I апреля 1915 г.).</w:t>
      </w:r>
    </w:p>
    <w:p w14:paraId="1D581237" w14:textId="77777777" w:rsidR="004B4E35" w:rsidRPr="00405303" w:rsidRDefault="004B4E35" w:rsidP="00C15251">
      <w:pPr>
        <w:shd w:val="clear" w:color="auto" w:fill="FFFFFF"/>
        <w:jc w:val="both"/>
        <w:rPr>
          <w:bCs/>
          <w:color w:val="002060"/>
          <w:sz w:val="16"/>
          <w:szCs w:val="16"/>
        </w:rPr>
      </w:pPr>
    </w:p>
    <w:p w14:paraId="3816E742" w14:textId="77777777" w:rsidR="00713AF8" w:rsidRPr="00405303" w:rsidRDefault="00713AF8" w:rsidP="00C15251">
      <w:pPr>
        <w:jc w:val="both"/>
        <w:rPr>
          <w:bCs/>
          <w:color w:val="002060"/>
          <w:sz w:val="16"/>
          <w:szCs w:val="16"/>
        </w:rPr>
      </w:pPr>
      <w:r w:rsidRPr="00405303">
        <w:rPr>
          <w:bCs/>
          <w:color w:val="002060"/>
          <w:sz w:val="16"/>
          <w:szCs w:val="16"/>
        </w:rPr>
        <w:t xml:space="preserve">На 1 (14) апреля 1915 г. в армии насчитывалось 6 авиационных рот, 47 авиаотрядов и эскадра воздушных кораблей "Илья Муромец”. Отряды распределялись так: на северо-западном фронте 25 отрядов и эскадра воздушных кораблей, на юго-западном - 16 отрядов, на кавказском - 3, на море - 2 и в Одессе один. Во всех авиачастях числилось 258 летчиков, 88 наблюдателей, 193 действующих самолета, 46 – резервных и 67 - в ротах /50 запасных и 17 неисправных/, 6 кораблей Илья Муромец. За восемь месяцев войны было совершено 5009 боевых вылетов общей продолжительностью 5742 часа. за совершенные подвига награждено 165 летчиков-офицеров и 17 летчиков-солдат /из 58/. Из воздухоплавательных частей на фронте находились 2, 3 и 4-я воздухоплавательные роты с управляемыми аэростатами "Кондор”,” </w:t>
      </w:r>
      <w:r w:rsidRPr="00405303">
        <w:rPr>
          <w:bCs/>
          <w:color w:val="002060"/>
          <w:sz w:val="16"/>
          <w:szCs w:val="16"/>
        </w:rPr>
        <w:lastRenderedPageBreak/>
        <w:t xml:space="preserve">Астра”, Альбатрос, </w:t>
      </w:r>
      <w:proofErr w:type="gramStart"/>
      <w:r w:rsidRPr="00405303">
        <w:rPr>
          <w:bCs/>
          <w:color w:val="002060"/>
          <w:sz w:val="16"/>
          <w:szCs w:val="16"/>
        </w:rPr>
        <w:t>и ”Парсеваль</w:t>
      </w:r>
      <w:proofErr w:type="gramEnd"/>
      <w:r w:rsidRPr="00405303">
        <w:rPr>
          <w:bCs/>
          <w:color w:val="002060"/>
          <w:sz w:val="16"/>
          <w:szCs w:val="16"/>
        </w:rPr>
        <w:t>”, 13-я и 14-я воздухоплавательные роты с наблюдательными станциями змейковых аэростатов. В боевых операциях принимали участие также отделения Ковенской, Гродненской, Осовецкой и Ново-георгиевской крепостных воздухоплавательных рот.</w:t>
      </w:r>
    </w:p>
    <w:p w14:paraId="61B28DEA" w14:textId="77777777" w:rsidR="00713AF8" w:rsidRPr="00405303" w:rsidRDefault="00713AF8" w:rsidP="00C15251">
      <w:pPr>
        <w:jc w:val="both"/>
        <w:rPr>
          <w:bCs/>
          <w:color w:val="002060"/>
          <w:sz w:val="16"/>
          <w:szCs w:val="16"/>
        </w:rPr>
      </w:pPr>
      <w:r w:rsidRPr="00405303">
        <w:rPr>
          <w:bCs/>
          <w:color w:val="002060"/>
          <w:sz w:val="16"/>
          <w:szCs w:val="16"/>
        </w:rPr>
        <w:t>/Сводка Авиаканца на 1 апреля 1915/ (23320).</w:t>
      </w:r>
    </w:p>
    <w:p w14:paraId="19FB3A07" w14:textId="77777777" w:rsidR="00713AF8" w:rsidRPr="00405303" w:rsidRDefault="00713AF8" w:rsidP="00C15251">
      <w:pPr>
        <w:jc w:val="both"/>
        <w:rPr>
          <w:bCs/>
          <w:color w:val="002060"/>
          <w:sz w:val="16"/>
          <w:szCs w:val="16"/>
        </w:rPr>
      </w:pPr>
    </w:p>
    <w:p w14:paraId="6EBD14F1" w14:textId="77777777" w:rsidR="005705F2" w:rsidRPr="00405303" w:rsidRDefault="005705F2" w:rsidP="00C15251">
      <w:pPr>
        <w:jc w:val="both"/>
        <w:rPr>
          <w:bCs/>
          <w:color w:val="002060"/>
          <w:sz w:val="16"/>
          <w:szCs w:val="16"/>
        </w:rPr>
      </w:pPr>
      <w:r w:rsidRPr="00405303">
        <w:rPr>
          <w:bCs/>
          <w:color w:val="002060"/>
          <w:sz w:val="16"/>
          <w:szCs w:val="16"/>
        </w:rPr>
        <w:t>1 (14) апреля 1915 г. при 6-й авиационной роте учреждена центральная аэрологическая станция, положившая начало метеорологическому обслуживанию полетов. В начале 1916 года станция была переведена в Киев и переформирована по новому штату.</w:t>
      </w:r>
    </w:p>
    <w:p w14:paraId="66D94162" w14:textId="77777777" w:rsidR="005705F2" w:rsidRPr="00405303" w:rsidRDefault="005705F2" w:rsidP="00C15251">
      <w:pPr>
        <w:jc w:val="both"/>
        <w:rPr>
          <w:bCs/>
          <w:color w:val="002060"/>
          <w:sz w:val="16"/>
          <w:szCs w:val="16"/>
        </w:rPr>
      </w:pPr>
      <w:r w:rsidRPr="00405303">
        <w:rPr>
          <w:bCs/>
          <w:color w:val="002060"/>
          <w:sz w:val="16"/>
          <w:szCs w:val="16"/>
        </w:rPr>
        <w:t>/ЦГВИА, ф. 2003, оп. 1, д. 1224/ (23320).</w:t>
      </w:r>
    </w:p>
    <w:p w14:paraId="37AE32BB" w14:textId="77777777" w:rsidR="005705F2" w:rsidRPr="00405303" w:rsidRDefault="005705F2" w:rsidP="00C15251">
      <w:pPr>
        <w:jc w:val="both"/>
        <w:rPr>
          <w:bCs/>
          <w:color w:val="002060"/>
          <w:sz w:val="16"/>
          <w:szCs w:val="16"/>
        </w:rPr>
      </w:pPr>
    </w:p>
    <w:p w14:paraId="56BF88B8"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0CECD24A" w14:textId="77777777" w:rsidR="004B4E35" w:rsidRPr="00405303" w:rsidRDefault="004B4E35" w:rsidP="00C15251">
      <w:pPr>
        <w:shd w:val="clear" w:color="auto" w:fill="FFFFFF"/>
        <w:jc w:val="both"/>
        <w:rPr>
          <w:bCs/>
          <w:i/>
          <w:color w:val="002060"/>
          <w:sz w:val="16"/>
          <w:szCs w:val="16"/>
        </w:rPr>
      </w:pPr>
    </w:p>
    <w:p w14:paraId="744C1362" w14:textId="293CBFE6" w:rsidR="004B4E35" w:rsidRPr="00405303" w:rsidRDefault="00713AF8"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ночь на 1 (14) апреля</w:t>
      </w:r>
      <w:r w:rsidRPr="00405303">
        <w:rPr>
          <w:bCs/>
          <w:color w:val="002060"/>
          <w:sz w:val="16"/>
          <w:szCs w:val="16"/>
        </w:rPr>
        <w:t xml:space="preserve"> 1915 г. состоялся очередной рейд на Англию</w:t>
      </w:r>
      <w:r w:rsidR="009E6F82" w:rsidRPr="00405303">
        <w:rPr>
          <w:bCs/>
          <w:color w:val="002060"/>
          <w:sz w:val="16"/>
          <w:szCs w:val="16"/>
        </w:rPr>
        <w:t>. L-9 должен был опять отбомбиться по промышленной зоне в Ньюкасле на реке Тайн. Без помех сбросив бомбы, на обратном пути корабль подвергся нападению двух самолетов противника. Одному из пилотов удалось обнаружить в ночи дирижабль, но догнать его англичанин не сумел (11324).</w:t>
      </w:r>
    </w:p>
    <w:p w14:paraId="259080C7" w14:textId="77777777" w:rsidR="004B4E35" w:rsidRPr="00405303" w:rsidRDefault="004B4E35" w:rsidP="00C15251">
      <w:pPr>
        <w:jc w:val="both"/>
        <w:rPr>
          <w:bCs/>
          <w:i/>
          <w:color w:val="002060"/>
          <w:sz w:val="16"/>
          <w:szCs w:val="16"/>
        </w:rPr>
      </w:pPr>
    </w:p>
    <w:p w14:paraId="28313E96" w14:textId="77777777" w:rsidR="008A3F09" w:rsidRPr="00405303" w:rsidRDefault="008A3F09" w:rsidP="00C15251">
      <w:pPr>
        <w:jc w:val="both"/>
        <w:rPr>
          <w:bCs/>
          <w:color w:val="002060"/>
          <w:sz w:val="16"/>
          <w:szCs w:val="16"/>
        </w:rPr>
      </w:pPr>
      <w:r w:rsidRPr="00405303">
        <w:rPr>
          <w:bCs/>
          <w:color w:val="002060"/>
          <w:sz w:val="16"/>
          <w:szCs w:val="16"/>
        </w:rPr>
        <w:t>1-2 (14–15) апреля (ночь) 1915 Германия второй раз бомбит Соединенное Королевство, когда немецкий военно Zeppelin L 9 бомбит район Тайнсайд в Англии, убив или ранив женщину и маленького мальчика (20338)</w:t>
      </w:r>
    </w:p>
    <w:p w14:paraId="043ABAF1" w14:textId="77777777" w:rsidR="008A3F09" w:rsidRPr="00405303" w:rsidRDefault="008A3F09" w:rsidP="00C15251">
      <w:pPr>
        <w:jc w:val="both"/>
        <w:rPr>
          <w:bCs/>
          <w:color w:val="002060"/>
          <w:sz w:val="16"/>
          <w:szCs w:val="16"/>
        </w:rPr>
      </w:pPr>
    </w:p>
    <w:p w14:paraId="33A9149B" w14:textId="77777777" w:rsidR="00B477FF" w:rsidRPr="00405303" w:rsidRDefault="00B477FF" w:rsidP="00C15251">
      <w:pPr>
        <w:jc w:val="both"/>
        <w:rPr>
          <w:bCs/>
          <w:color w:val="002060"/>
          <w:sz w:val="16"/>
          <w:szCs w:val="16"/>
        </w:rPr>
      </w:pPr>
      <w:r w:rsidRPr="00405303">
        <w:rPr>
          <w:bCs/>
          <w:color w:val="002060"/>
          <w:sz w:val="16"/>
          <w:szCs w:val="16"/>
        </w:rPr>
        <w:t>1 (14) апреля в 1915 году с формой «Gotha» (Германия) заключен контракт на строительство опытного экземпляра самолета, получившего обозначение «UWD» («Ursinus Wasser Doppeldecker»). Самолет получивший морской регистрационный номер 120 был предназначен для разведки, патрулирования и нанесения бомбовых и торпедных ударов. UWD оснащался двумя двигателями «Mercedes» «D.III» мощностью 160 л.с., Первый полет самолета состоялся уже 5 января следующего года. Испытания UWD продлились до 6 февраля 1916 года. UWD был списан из состава флота 2 октября 1916 года (15099).</w:t>
      </w:r>
    </w:p>
    <w:p w14:paraId="78884EA1" w14:textId="77777777" w:rsidR="00B477FF" w:rsidRPr="00405303" w:rsidRDefault="00B477FF" w:rsidP="00C15251">
      <w:pPr>
        <w:jc w:val="both"/>
        <w:rPr>
          <w:bCs/>
          <w:color w:val="002060"/>
          <w:sz w:val="16"/>
          <w:szCs w:val="16"/>
        </w:rPr>
      </w:pPr>
    </w:p>
    <w:p w14:paraId="203D6BE7"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Франции:</w:t>
      </w:r>
    </w:p>
    <w:p w14:paraId="6F6148AB" w14:textId="77777777" w:rsidR="004B4E35" w:rsidRPr="00405303" w:rsidRDefault="004B4E35" w:rsidP="00C15251">
      <w:pPr>
        <w:jc w:val="both"/>
        <w:rPr>
          <w:bCs/>
          <w:i/>
          <w:color w:val="002060"/>
          <w:sz w:val="16"/>
          <w:szCs w:val="16"/>
        </w:rPr>
      </w:pPr>
    </w:p>
    <w:p w14:paraId="022DBA77" w14:textId="7C57A6D1" w:rsidR="004B4E35" w:rsidRPr="00405303" w:rsidRDefault="008A3F09" w:rsidP="00C15251">
      <w:pPr>
        <w:jc w:val="both"/>
        <w:rPr>
          <w:bCs/>
          <w:color w:val="002060"/>
          <w:sz w:val="16"/>
          <w:szCs w:val="16"/>
        </w:rPr>
      </w:pPr>
      <w:r w:rsidRPr="00405303">
        <w:rPr>
          <w:bCs/>
          <w:color w:val="002060"/>
          <w:sz w:val="16"/>
          <w:szCs w:val="16"/>
        </w:rPr>
        <w:t>1 (</w:t>
      </w:r>
      <w:r w:rsidR="009E6F82" w:rsidRPr="00405303">
        <w:rPr>
          <w:bCs/>
          <w:color w:val="002060"/>
          <w:sz w:val="16"/>
          <w:szCs w:val="16"/>
        </w:rPr>
        <w:t>14</w:t>
      </w:r>
      <w:r w:rsidRPr="00405303">
        <w:rPr>
          <w:bCs/>
          <w:color w:val="002060"/>
          <w:sz w:val="16"/>
          <w:szCs w:val="16"/>
        </w:rPr>
        <w:t>)</w:t>
      </w:r>
      <w:r w:rsidR="009E6F82" w:rsidRPr="00405303">
        <w:rPr>
          <w:bCs/>
          <w:color w:val="002060"/>
          <w:sz w:val="16"/>
          <w:szCs w:val="16"/>
        </w:rPr>
        <w:t xml:space="preserve"> апреля </w:t>
      </w:r>
      <w:r w:rsidR="00713AF8" w:rsidRPr="00405303">
        <w:rPr>
          <w:bCs/>
          <w:color w:val="002060"/>
          <w:sz w:val="16"/>
          <w:szCs w:val="16"/>
        </w:rPr>
        <w:t xml:space="preserve">1915 г. французские аэропланы </w:t>
      </w:r>
      <w:r w:rsidR="009E6F82" w:rsidRPr="00405303">
        <w:rPr>
          <w:bCs/>
          <w:color w:val="002060"/>
          <w:sz w:val="16"/>
          <w:szCs w:val="16"/>
        </w:rPr>
        <w:t>бомбардировали здание штаба германского императора в Мезьер-Шарлевиль и военные постройки в Остенде. 15 апреля немецкие цеппелины бросали бомбы на юго-восточное побережье Англии, в Мельдоне (Эссекс) и Лоусторе, причинив лишь незначительный ущерб. Впрочем, подробности еще неизвестны" (11999).</w:t>
      </w:r>
    </w:p>
    <w:p w14:paraId="2F5721E7" w14:textId="77777777" w:rsidR="004B4E35" w:rsidRPr="00405303" w:rsidRDefault="004B4E35" w:rsidP="00C15251">
      <w:pPr>
        <w:jc w:val="both"/>
        <w:rPr>
          <w:bCs/>
          <w:color w:val="002060"/>
          <w:sz w:val="16"/>
          <w:szCs w:val="16"/>
        </w:rPr>
      </w:pPr>
    </w:p>
    <w:p w14:paraId="7D908319" w14:textId="77777777" w:rsidR="00625FE0" w:rsidRPr="00CF03EC" w:rsidRDefault="00625FE0" w:rsidP="00625FE0">
      <w:pPr>
        <w:jc w:val="both"/>
        <w:rPr>
          <w:color w:val="0070C0"/>
          <w:sz w:val="16"/>
          <w:szCs w:val="16"/>
        </w:rPr>
      </w:pPr>
      <w:r w:rsidRPr="00CF03EC">
        <w:rPr>
          <w:color w:val="0070C0"/>
          <w:sz w:val="16"/>
          <w:szCs w:val="16"/>
        </w:rPr>
        <w:t>1 (14) апреля 1915 г. Гарро атаковал двух «Авиатиков» и сбил одного из них. Утром 18 апреля он провел еще один бой, увеличив свой счет до трех воздушных побед (25772).</w:t>
      </w:r>
    </w:p>
    <w:p w14:paraId="2C024B45" w14:textId="77777777" w:rsidR="00625FE0" w:rsidRPr="00CF03EC" w:rsidRDefault="00625FE0" w:rsidP="00625FE0">
      <w:pPr>
        <w:jc w:val="both"/>
        <w:rPr>
          <w:color w:val="0070C0"/>
          <w:sz w:val="16"/>
          <w:szCs w:val="16"/>
        </w:rPr>
      </w:pPr>
    </w:p>
    <w:p w14:paraId="3CBC5703" w14:textId="77777777" w:rsidR="004B4E35" w:rsidRPr="00405303" w:rsidRDefault="009E6F82" w:rsidP="00C15251">
      <w:pPr>
        <w:jc w:val="both"/>
        <w:rPr>
          <w:bCs/>
          <w:i/>
          <w:color w:val="002060"/>
          <w:sz w:val="16"/>
          <w:szCs w:val="16"/>
        </w:rPr>
      </w:pPr>
      <w:r w:rsidRPr="00405303">
        <w:rPr>
          <w:bCs/>
          <w:i/>
          <w:color w:val="002060"/>
          <w:sz w:val="16"/>
          <w:szCs w:val="16"/>
        </w:rPr>
        <w:t>Армия:</w:t>
      </w:r>
    </w:p>
    <w:p w14:paraId="2062F27F" w14:textId="77777777" w:rsidR="004B4E35" w:rsidRPr="00405303" w:rsidRDefault="004B4E35" w:rsidP="00C15251">
      <w:pPr>
        <w:jc w:val="both"/>
        <w:rPr>
          <w:bCs/>
          <w:i/>
          <w:color w:val="002060"/>
          <w:sz w:val="16"/>
          <w:szCs w:val="16"/>
        </w:rPr>
      </w:pPr>
    </w:p>
    <w:p w14:paraId="0EFDB4E7" w14:textId="77777777" w:rsidR="004B4E35" w:rsidRPr="00405303" w:rsidRDefault="009E6F82" w:rsidP="00C15251">
      <w:pPr>
        <w:jc w:val="both"/>
        <w:rPr>
          <w:bCs/>
          <w:color w:val="002060"/>
          <w:sz w:val="16"/>
          <w:szCs w:val="16"/>
        </w:rPr>
      </w:pPr>
      <w:r w:rsidRPr="00405303">
        <w:rPr>
          <w:bCs/>
          <w:color w:val="002060"/>
          <w:sz w:val="16"/>
          <w:szCs w:val="16"/>
        </w:rPr>
        <w:t>25-26 февраля (10-11 марта) 1915 и 2 - 3 (15-16) апреля 1915 года LZ-34 (базировался в Лигнице) и Z-XI (Позен) предприняли ряд атак на Варшаву, но ни одна из них не была доведена до логического конца из-за плохих метеоусловий над городом. Затем они бомбили Гродно, Ковно и другие крепости. LZ-34 был сбит русской армией в мае над Ковно (11324).</w:t>
      </w:r>
    </w:p>
    <w:p w14:paraId="3611AF53" w14:textId="77777777" w:rsidR="004B4E35" w:rsidRPr="00405303" w:rsidRDefault="004B4E35" w:rsidP="00C15251">
      <w:pPr>
        <w:pStyle w:val="a3"/>
        <w:jc w:val="both"/>
        <w:rPr>
          <w:bCs/>
          <w:color w:val="002060"/>
          <w:spacing w:val="0"/>
          <w:kern w:val="0"/>
          <w:position w:val="0"/>
          <w:sz w:val="16"/>
          <w:szCs w:val="16"/>
        </w:rPr>
      </w:pPr>
    </w:p>
    <w:p w14:paraId="03DB099A" w14:textId="798581D0" w:rsidR="00652CA7" w:rsidRPr="00405303" w:rsidRDefault="00652CA7" w:rsidP="00C15251">
      <w:pPr>
        <w:shd w:val="clear" w:color="auto" w:fill="FFFFFF"/>
        <w:jc w:val="both"/>
        <w:rPr>
          <w:bCs/>
          <w:i/>
          <w:color w:val="002060"/>
          <w:sz w:val="16"/>
          <w:szCs w:val="16"/>
        </w:rPr>
      </w:pPr>
      <w:r w:rsidRPr="00405303">
        <w:rPr>
          <w:bCs/>
          <w:i/>
          <w:color w:val="002060"/>
          <w:sz w:val="16"/>
          <w:szCs w:val="16"/>
        </w:rPr>
        <w:t>Авиация:</w:t>
      </w:r>
    </w:p>
    <w:p w14:paraId="3873B1DC" w14:textId="77777777" w:rsidR="00652CA7" w:rsidRPr="00405303" w:rsidRDefault="00652CA7" w:rsidP="00C15251">
      <w:pPr>
        <w:shd w:val="clear" w:color="auto" w:fill="FFFFFF"/>
        <w:jc w:val="both"/>
        <w:rPr>
          <w:bCs/>
          <w:i/>
          <w:color w:val="002060"/>
          <w:sz w:val="16"/>
          <w:szCs w:val="16"/>
        </w:rPr>
      </w:pPr>
    </w:p>
    <w:p w14:paraId="497B0762" w14:textId="5037EFA9" w:rsidR="00652CA7" w:rsidRPr="00405303" w:rsidRDefault="00652CA7" w:rsidP="00C15251">
      <w:pPr>
        <w:jc w:val="both"/>
        <w:rPr>
          <w:bCs/>
          <w:color w:val="002060"/>
          <w:sz w:val="16"/>
          <w:szCs w:val="16"/>
        </w:rPr>
      </w:pPr>
      <w:bookmarkStart w:id="87" w:name="bookmark112"/>
      <w:bookmarkStart w:id="88" w:name="bookmark113"/>
      <w:bookmarkStart w:id="89" w:name="bookmark114"/>
      <w:bookmarkStart w:id="90" w:name="bookmark115"/>
      <w:r w:rsidRPr="00405303">
        <w:rPr>
          <w:bCs/>
          <w:color w:val="002060"/>
          <w:sz w:val="16"/>
          <w:szCs w:val="16"/>
        </w:rPr>
        <w:t>2 (15) апреля 1915 г. объектом нападения австрийской авиации вновь стало медицинское учреждение в районе ст. Ясло (царство Польское). Через день налет повторился на лазарет русских войск вблизи ст. Радом (ранение получил один нижний чин). Аналогичные действия противник предпринимал и в последующие месяцы, подвергнув бомбардировке русские санитарные поезда и лазареты возле населенных пунктов Макова, Насельска, Вышкова, станций Радом, Ясло (Восточная Галиция) (23405).</w:t>
      </w:r>
      <w:bookmarkEnd w:id="87"/>
      <w:bookmarkEnd w:id="88"/>
      <w:bookmarkEnd w:id="89"/>
      <w:bookmarkEnd w:id="90"/>
    </w:p>
    <w:p w14:paraId="0FD718DD" w14:textId="77777777" w:rsidR="00652CA7" w:rsidRPr="00405303" w:rsidRDefault="00652CA7" w:rsidP="00C15251">
      <w:pPr>
        <w:jc w:val="both"/>
        <w:rPr>
          <w:bCs/>
          <w:color w:val="002060"/>
          <w:sz w:val="16"/>
          <w:szCs w:val="16"/>
        </w:rPr>
      </w:pPr>
    </w:p>
    <w:p w14:paraId="5F7FDFD6" w14:textId="050C0049"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47BB0908" w14:textId="77777777" w:rsidR="004B4E35" w:rsidRPr="00405303" w:rsidRDefault="004B4E35" w:rsidP="00C15251">
      <w:pPr>
        <w:shd w:val="clear" w:color="auto" w:fill="FFFFFF"/>
        <w:jc w:val="both"/>
        <w:rPr>
          <w:bCs/>
          <w:i/>
          <w:color w:val="002060"/>
          <w:sz w:val="16"/>
          <w:szCs w:val="16"/>
        </w:rPr>
      </w:pPr>
    </w:p>
    <w:p w14:paraId="6D564E25" w14:textId="77777777" w:rsidR="004B4E35" w:rsidRPr="00405303" w:rsidRDefault="009E6F82" w:rsidP="00C15251">
      <w:pPr>
        <w:jc w:val="both"/>
        <w:rPr>
          <w:bCs/>
          <w:color w:val="002060"/>
          <w:sz w:val="16"/>
          <w:szCs w:val="16"/>
        </w:rPr>
      </w:pPr>
      <w:r w:rsidRPr="00405303">
        <w:rPr>
          <w:bCs/>
          <w:color w:val="002060"/>
          <w:sz w:val="16"/>
          <w:szCs w:val="16"/>
        </w:rPr>
        <w:t>2 (15) апреля в полет под общим командованием Штрассера отправились три корабля: L-5, L-6 и L-7. Заданием предписывалось сбросить бомбы на промышленные центры Норфолка, Саффолка и Эссекса. Результаты бомбардировки были весьма скромными, но шума цеппелины наделали много. Несмотря на неорганизованный отпор средств противовоздушной обороны, в котором участвовала одна батарея и несколько велосипедных батальонов, все дирижабли получили повреждения. На перехват цеппелинов поднялся один самолет, но не обнаружил их, а на посадке разбился (11324).</w:t>
      </w:r>
    </w:p>
    <w:p w14:paraId="2300E445" w14:textId="77777777" w:rsidR="004B4E35" w:rsidRPr="00405303" w:rsidRDefault="004B4E35" w:rsidP="00C15251">
      <w:pPr>
        <w:jc w:val="both"/>
        <w:rPr>
          <w:bCs/>
          <w:i/>
          <w:color w:val="002060"/>
          <w:sz w:val="16"/>
          <w:szCs w:val="16"/>
        </w:rPr>
      </w:pPr>
    </w:p>
    <w:p w14:paraId="700DA24C" w14:textId="77777777" w:rsidR="008A3F09" w:rsidRPr="00405303" w:rsidRDefault="008A3F09" w:rsidP="00C15251">
      <w:pPr>
        <w:jc w:val="both"/>
        <w:rPr>
          <w:bCs/>
          <w:color w:val="002060"/>
          <w:sz w:val="16"/>
          <w:szCs w:val="16"/>
        </w:rPr>
      </w:pPr>
      <w:r w:rsidRPr="00405303">
        <w:rPr>
          <w:bCs/>
          <w:color w:val="002060"/>
          <w:sz w:val="16"/>
          <w:szCs w:val="16"/>
        </w:rPr>
        <w:t>2-3 (15–16 апреля) (ночь) 1915 Цеппелины ВМС Германии L 5, L 6 и L 7 - последний с Питером Штрассером, командиром немецкой морской дивизии дирижаблей, в качестве наблюдателя - бомбят Англию. Хотя они не встречают сопротивления, кроме огня из винтовок, их бомбы наносят небольшой урон (30338).</w:t>
      </w:r>
    </w:p>
    <w:p w14:paraId="5618417B" w14:textId="77777777" w:rsidR="008A3F09" w:rsidRPr="00405303" w:rsidRDefault="008A3F09" w:rsidP="00C15251">
      <w:pPr>
        <w:jc w:val="both"/>
        <w:rPr>
          <w:bCs/>
          <w:color w:val="002060"/>
          <w:sz w:val="16"/>
          <w:szCs w:val="16"/>
        </w:rPr>
      </w:pPr>
    </w:p>
    <w:p w14:paraId="16C4C34F" w14:textId="77777777" w:rsidR="00713AF8" w:rsidRPr="00405303" w:rsidRDefault="00713AF8" w:rsidP="00C15251">
      <w:pPr>
        <w:jc w:val="both"/>
        <w:rPr>
          <w:bCs/>
          <w:color w:val="002060"/>
          <w:sz w:val="16"/>
          <w:szCs w:val="16"/>
        </w:rPr>
      </w:pPr>
      <w:r w:rsidRPr="00405303">
        <w:rPr>
          <w:bCs/>
          <w:color w:val="002060"/>
          <w:sz w:val="16"/>
          <w:szCs w:val="16"/>
        </w:rPr>
        <w:t>2 (15) апреля 1915 г. немецкие цеппелины бросали бомбы на юго-восточное побережье Англии, в Мельдоне (Эссекс) и Лоусторе, причинив лишь незначительный ущерб. Впрочем, подробности еще неизвестны" (11999).</w:t>
      </w:r>
    </w:p>
    <w:p w14:paraId="15856766" w14:textId="77777777" w:rsidR="00713AF8" w:rsidRPr="00405303" w:rsidRDefault="00713AF8" w:rsidP="00C15251">
      <w:pPr>
        <w:jc w:val="both"/>
        <w:rPr>
          <w:bCs/>
          <w:color w:val="002060"/>
          <w:sz w:val="16"/>
          <w:szCs w:val="16"/>
        </w:rPr>
      </w:pPr>
    </w:p>
    <w:p w14:paraId="7441E43C"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Франции:</w:t>
      </w:r>
    </w:p>
    <w:p w14:paraId="1EDDC257" w14:textId="77777777" w:rsidR="004B4E35" w:rsidRPr="00405303" w:rsidRDefault="004B4E35" w:rsidP="00C15251">
      <w:pPr>
        <w:jc w:val="both"/>
        <w:rPr>
          <w:bCs/>
          <w:i/>
          <w:color w:val="002060"/>
          <w:sz w:val="16"/>
          <w:szCs w:val="16"/>
        </w:rPr>
      </w:pPr>
    </w:p>
    <w:p w14:paraId="3C7556DA" w14:textId="77777777" w:rsidR="004B4E35" w:rsidRPr="00405303" w:rsidRDefault="009E6F82" w:rsidP="00C15251">
      <w:pPr>
        <w:jc w:val="both"/>
        <w:rPr>
          <w:bCs/>
          <w:color w:val="002060"/>
          <w:sz w:val="16"/>
          <w:szCs w:val="16"/>
        </w:rPr>
      </w:pPr>
      <w:r w:rsidRPr="00405303">
        <w:rPr>
          <w:bCs/>
          <w:color w:val="002060"/>
          <w:sz w:val="16"/>
          <w:szCs w:val="16"/>
        </w:rPr>
        <w:t>2 (15) апреля 1915 - Французский летчик Гарро сбивает второй германский самолет (11999).</w:t>
      </w:r>
    </w:p>
    <w:p w14:paraId="7C91BB77" w14:textId="77777777" w:rsidR="004B4E35" w:rsidRPr="00405303" w:rsidRDefault="004B4E35" w:rsidP="00C15251">
      <w:pPr>
        <w:jc w:val="both"/>
        <w:rPr>
          <w:bCs/>
          <w:color w:val="002060"/>
          <w:sz w:val="16"/>
          <w:szCs w:val="16"/>
        </w:rPr>
      </w:pPr>
    </w:p>
    <w:p w14:paraId="7DD1AF00" w14:textId="77777777" w:rsidR="00B477FF" w:rsidRPr="00405303" w:rsidRDefault="00B477FF" w:rsidP="00C15251">
      <w:pPr>
        <w:shd w:val="clear" w:color="auto" w:fill="FFFFFF"/>
        <w:jc w:val="both"/>
        <w:rPr>
          <w:bCs/>
          <w:i/>
          <w:color w:val="002060"/>
          <w:sz w:val="16"/>
          <w:szCs w:val="16"/>
        </w:rPr>
      </w:pPr>
      <w:r w:rsidRPr="00405303">
        <w:rPr>
          <w:bCs/>
          <w:i/>
          <w:color w:val="002060"/>
          <w:sz w:val="16"/>
          <w:szCs w:val="16"/>
        </w:rPr>
        <w:t>Авиация:</w:t>
      </w:r>
    </w:p>
    <w:p w14:paraId="70338D0E" w14:textId="77777777" w:rsidR="00B477FF" w:rsidRPr="00405303" w:rsidRDefault="00B477FF" w:rsidP="00C15251">
      <w:pPr>
        <w:shd w:val="clear" w:color="auto" w:fill="FFFFFF"/>
        <w:jc w:val="both"/>
        <w:rPr>
          <w:bCs/>
          <w:i/>
          <w:color w:val="002060"/>
          <w:sz w:val="16"/>
          <w:szCs w:val="16"/>
        </w:rPr>
      </w:pPr>
    </w:p>
    <w:p w14:paraId="04B74E3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 (16) апреля 1915 два воздушных корабля "Илья Муромец" бомбардировали железнодорожную станцию Сольдау, сбросили 30 бомб и раз</w:t>
      </w:r>
      <w:r w:rsidRPr="00405303">
        <w:rPr>
          <w:bCs/>
          <w:color w:val="002060"/>
          <w:sz w:val="16"/>
          <w:szCs w:val="16"/>
        </w:rPr>
        <w:softHyphen/>
        <w:t>рушили депо. Отмечено также много разрывов на подъездных путях и вблизи вокзала ("Техника воздухоплавания". 1915, № 3-4, ст.139).</w:t>
      </w:r>
    </w:p>
    <w:p w14:paraId="0741799E" w14:textId="77777777" w:rsidR="004B4E35" w:rsidRPr="00405303" w:rsidRDefault="004B4E35" w:rsidP="00C15251">
      <w:pPr>
        <w:shd w:val="clear" w:color="auto" w:fill="FFFFFF"/>
        <w:jc w:val="both"/>
        <w:rPr>
          <w:bCs/>
          <w:color w:val="002060"/>
          <w:sz w:val="16"/>
          <w:szCs w:val="16"/>
        </w:rPr>
      </w:pPr>
    </w:p>
    <w:p w14:paraId="683F15C7" w14:textId="77777777" w:rsidR="005705F2" w:rsidRPr="00405303" w:rsidRDefault="005705F2" w:rsidP="00C15251">
      <w:pPr>
        <w:jc w:val="both"/>
        <w:rPr>
          <w:bCs/>
          <w:color w:val="002060"/>
          <w:sz w:val="16"/>
          <w:szCs w:val="16"/>
        </w:rPr>
      </w:pPr>
      <w:r w:rsidRPr="00405303">
        <w:rPr>
          <w:bCs/>
          <w:color w:val="002060"/>
          <w:sz w:val="16"/>
          <w:szCs w:val="16"/>
        </w:rPr>
        <w:t>3 (16) апреля 1915 г. два воздушных корабля "Илья Муромец” бомбардировали железнодорожную станцию Сольдау, сбросили 30 бомб и разрушили депо. Отмечено также много разрывов на подъездных путях и вблизи вокзала.</w:t>
      </w:r>
    </w:p>
    <w:p w14:paraId="573360D6" w14:textId="77777777" w:rsidR="005705F2" w:rsidRPr="00405303" w:rsidRDefault="005705F2" w:rsidP="00C15251">
      <w:pPr>
        <w:jc w:val="both"/>
        <w:rPr>
          <w:bCs/>
          <w:color w:val="002060"/>
          <w:sz w:val="16"/>
          <w:szCs w:val="16"/>
        </w:rPr>
      </w:pPr>
      <w:r w:rsidRPr="00405303">
        <w:rPr>
          <w:bCs/>
          <w:color w:val="002060"/>
          <w:sz w:val="16"/>
          <w:szCs w:val="16"/>
        </w:rPr>
        <w:t>/"Техника воздухоплавания", 1915, № 3-4, стр. 139/ (23320).</w:t>
      </w:r>
    </w:p>
    <w:p w14:paraId="6916E102" w14:textId="77777777" w:rsidR="005705F2" w:rsidRPr="00405303" w:rsidRDefault="005705F2" w:rsidP="00C15251">
      <w:pPr>
        <w:jc w:val="both"/>
        <w:rPr>
          <w:bCs/>
          <w:color w:val="002060"/>
          <w:sz w:val="16"/>
          <w:szCs w:val="16"/>
        </w:rPr>
      </w:pPr>
    </w:p>
    <w:p w14:paraId="75E354BF" w14:textId="77777777" w:rsidR="00B477FF" w:rsidRPr="00405303" w:rsidRDefault="00B477FF" w:rsidP="00C15251">
      <w:pPr>
        <w:jc w:val="both"/>
        <w:rPr>
          <w:bCs/>
          <w:i/>
          <w:color w:val="002060"/>
          <w:sz w:val="16"/>
          <w:szCs w:val="16"/>
        </w:rPr>
      </w:pPr>
      <w:r w:rsidRPr="00405303">
        <w:rPr>
          <w:bCs/>
          <w:i/>
          <w:color w:val="002060"/>
          <w:sz w:val="16"/>
          <w:szCs w:val="16"/>
        </w:rPr>
        <w:t>Армия:</w:t>
      </w:r>
    </w:p>
    <w:p w14:paraId="2D3725FD" w14:textId="77777777" w:rsidR="00B477FF" w:rsidRPr="00405303" w:rsidRDefault="00B477FF" w:rsidP="00C15251">
      <w:pPr>
        <w:jc w:val="both"/>
        <w:rPr>
          <w:bCs/>
          <w:i/>
          <w:color w:val="002060"/>
          <w:sz w:val="16"/>
          <w:szCs w:val="16"/>
        </w:rPr>
      </w:pPr>
    </w:p>
    <w:p w14:paraId="37B92577" w14:textId="2FF1A8E7" w:rsidR="00B477FF" w:rsidRPr="00405303" w:rsidRDefault="00B477FF" w:rsidP="00C15251">
      <w:pPr>
        <w:jc w:val="both"/>
        <w:rPr>
          <w:bCs/>
          <w:color w:val="002060"/>
          <w:sz w:val="16"/>
          <w:szCs w:val="16"/>
        </w:rPr>
      </w:pPr>
      <w:r w:rsidRPr="00405303">
        <w:rPr>
          <w:bCs/>
          <w:color w:val="002060"/>
          <w:sz w:val="16"/>
          <w:szCs w:val="16"/>
        </w:rPr>
        <w:t xml:space="preserve">3 </w:t>
      </w:r>
      <w:r w:rsidR="00713AF8" w:rsidRPr="00405303">
        <w:rPr>
          <w:bCs/>
          <w:color w:val="002060"/>
          <w:sz w:val="16"/>
          <w:szCs w:val="16"/>
        </w:rPr>
        <w:t xml:space="preserve">(16) </w:t>
      </w:r>
      <w:r w:rsidRPr="00405303">
        <w:rPr>
          <w:bCs/>
          <w:color w:val="002060"/>
          <w:sz w:val="16"/>
          <w:szCs w:val="16"/>
        </w:rPr>
        <w:t>апреля в 1915 году у Одессы подорвался на минах и затонул немецкий крейсер «Меджидие» (15088).</w:t>
      </w:r>
    </w:p>
    <w:p w14:paraId="54DF15CE" w14:textId="77777777" w:rsidR="00B477FF" w:rsidRPr="00405303" w:rsidRDefault="00B477FF" w:rsidP="00C15251">
      <w:pPr>
        <w:jc w:val="both"/>
        <w:rPr>
          <w:bCs/>
          <w:color w:val="002060"/>
          <w:sz w:val="16"/>
          <w:szCs w:val="16"/>
        </w:rPr>
      </w:pPr>
    </w:p>
    <w:p w14:paraId="0D5455EF"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Франции:</w:t>
      </w:r>
    </w:p>
    <w:p w14:paraId="777159FC" w14:textId="77777777" w:rsidR="004B4E35" w:rsidRPr="00405303" w:rsidRDefault="004B4E35" w:rsidP="00C15251">
      <w:pPr>
        <w:shd w:val="clear" w:color="auto" w:fill="FFFFFF"/>
        <w:jc w:val="both"/>
        <w:rPr>
          <w:bCs/>
          <w:i/>
          <w:color w:val="002060"/>
          <w:sz w:val="16"/>
          <w:szCs w:val="16"/>
        </w:rPr>
      </w:pPr>
    </w:p>
    <w:p w14:paraId="5296002C" w14:textId="79122EBA" w:rsidR="004B4E35" w:rsidRPr="00405303" w:rsidRDefault="009E6F82" w:rsidP="00C15251">
      <w:pPr>
        <w:jc w:val="both"/>
        <w:rPr>
          <w:bCs/>
          <w:color w:val="002060"/>
          <w:sz w:val="16"/>
          <w:szCs w:val="16"/>
        </w:rPr>
      </w:pPr>
      <w:r w:rsidRPr="00405303">
        <w:rPr>
          <w:bCs/>
          <w:color w:val="002060"/>
          <w:sz w:val="16"/>
          <w:szCs w:val="16"/>
        </w:rPr>
        <w:t xml:space="preserve">3 (16) апреля </w:t>
      </w:r>
      <w:r w:rsidR="00713AF8" w:rsidRPr="00405303">
        <w:rPr>
          <w:bCs/>
          <w:color w:val="002060"/>
          <w:sz w:val="16"/>
          <w:szCs w:val="16"/>
        </w:rPr>
        <w:t xml:space="preserve">1915 г. </w:t>
      </w:r>
      <w:r w:rsidRPr="00405303">
        <w:rPr>
          <w:bCs/>
          <w:color w:val="002060"/>
          <w:sz w:val="16"/>
          <w:szCs w:val="16"/>
        </w:rPr>
        <w:t xml:space="preserve">стал подарком Германии. В этот день самолет Гарро приземлился из-за повреждения за линией фронта, в расположении немцев. </w:t>
      </w:r>
      <w:proofErr w:type="gramStart"/>
      <w:r w:rsidRPr="00405303">
        <w:rPr>
          <w:bCs/>
          <w:color w:val="002060"/>
          <w:sz w:val="16"/>
          <w:szCs w:val="16"/>
        </w:rPr>
        <w:t>Естественно</w:t>
      </w:r>
      <w:proofErr w:type="gramEnd"/>
      <w:r w:rsidRPr="00405303">
        <w:rPr>
          <w:bCs/>
          <w:color w:val="002060"/>
          <w:sz w:val="16"/>
          <w:szCs w:val="16"/>
        </w:rPr>
        <w:t xml:space="preserve"> машина была захвачена и передана Высшему Германскому командованию. В авиачасти новинка была исследована и опробована, но так как немцы использовали пули со стальными сердечниками, в отличии от медных французских, накладки на пропеллер не выдерживали долгой стрельбы и разрушались вместе с винтом. В воздухе витала идея синхронизатора.</w:t>
      </w:r>
    </w:p>
    <w:p w14:paraId="5F9179EA" w14:textId="77777777" w:rsidR="004B4E35" w:rsidRPr="00405303" w:rsidRDefault="004B4E35" w:rsidP="00C15251">
      <w:pPr>
        <w:jc w:val="both"/>
        <w:rPr>
          <w:bCs/>
          <w:color w:val="002060"/>
          <w:sz w:val="16"/>
          <w:szCs w:val="16"/>
        </w:rPr>
      </w:pPr>
    </w:p>
    <w:p w14:paraId="6AFEEF5B" w14:textId="160807FA" w:rsidR="004B4E35" w:rsidRPr="00405303" w:rsidRDefault="009E6F82" w:rsidP="00C15251">
      <w:pPr>
        <w:jc w:val="both"/>
        <w:rPr>
          <w:bCs/>
          <w:color w:val="002060"/>
          <w:sz w:val="16"/>
          <w:szCs w:val="16"/>
        </w:rPr>
      </w:pPr>
      <w:r w:rsidRPr="00405303">
        <w:rPr>
          <w:bCs/>
          <w:color w:val="002060"/>
          <w:sz w:val="16"/>
          <w:szCs w:val="16"/>
        </w:rPr>
        <w:t xml:space="preserve">3 (16) апреля </w:t>
      </w:r>
      <w:r w:rsidR="00713AF8" w:rsidRPr="00405303">
        <w:rPr>
          <w:bCs/>
          <w:color w:val="002060"/>
          <w:sz w:val="16"/>
          <w:szCs w:val="16"/>
        </w:rPr>
        <w:t xml:space="preserve">1915 г., </w:t>
      </w:r>
      <w:r w:rsidRPr="00405303">
        <w:rPr>
          <w:bCs/>
          <w:color w:val="002060"/>
          <w:sz w:val="16"/>
          <w:szCs w:val="16"/>
        </w:rPr>
        <w:t>повредили центральную электрическую станцию Лизьер-ле-Мец, снабжавшую город Мец и его форты освещением. В ответ на нападение немецких цеппелинов на Нанси 12 апреля, французские аэропланы 14 апреля бомбардировали здание штаба германского императора в Мезьер-Шарлевиль и военные постройки в Остенде. 15 апреля немецкие цеппелины бросали бомбы на юго-восточное побережье Англии, в Мельдоне (Эссекс) и Лоусторе, причинив лишь незначительный ущерб. Впрочем, подробности еще неизвестны" (11999).</w:t>
      </w:r>
    </w:p>
    <w:p w14:paraId="51315EBC" w14:textId="77777777" w:rsidR="004B4E35" w:rsidRPr="00405303" w:rsidRDefault="004B4E35" w:rsidP="00C15251">
      <w:pPr>
        <w:jc w:val="both"/>
        <w:rPr>
          <w:bCs/>
          <w:color w:val="002060"/>
          <w:sz w:val="16"/>
          <w:szCs w:val="16"/>
        </w:rPr>
      </w:pPr>
    </w:p>
    <w:p w14:paraId="6E0C22B1" w14:textId="77777777" w:rsidR="00B477FF" w:rsidRPr="00405303" w:rsidRDefault="00B477FF" w:rsidP="00C15251">
      <w:pPr>
        <w:pStyle w:val="2"/>
        <w:spacing w:before="0" w:after="0"/>
        <w:jc w:val="both"/>
        <w:rPr>
          <w:b w:val="0"/>
          <w:bCs/>
          <w:color w:val="002060"/>
          <w:sz w:val="16"/>
          <w:szCs w:val="16"/>
        </w:rPr>
      </w:pPr>
      <w:r w:rsidRPr="00405303">
        <w:rPr>
          <w:b w:val="0"/>
          <w:bCs/>
          <w:color w:val="002060"/>
          <w:sz w:val="16"/>
          <w:szCs w:val="16"/>
        </w:rPr>
        <w:t>3 (16) апреля 1915 г. «два германских аэроплана — Таубе и Авиатик производили разведочный полет над расположением союзных войск, несмотря на встретивший их шрапнельный огонь. Вдруг они повернули по ветру, намереваясь лететь к себе обратно. Причиной этого было появление французского моноплана Моран-Сольнье, который пилотировал Гарро. Он описывал круги над бипланом, предоставив Таубе спасаться бегством. До земли доносились частые выстрелы из его скорострельной пушки (пулемета), которой изредка отвечали выстрели с Авиатика. Гарро сначала поднялся над врагом, потом резко повернул влево н, очутившись сзади врага, осыпал его пулями. Несмотря на все попытки германца маневрами уйти от Гарро, последний постоянно занимал выгодную позицию вверху и продолжал обстрел. Немец опускался все ниже и ниже. Наблюдатель его был уже убит и его оружие смолкло. Внезапно от выстрелов был пробит на Авиатике бензиновый бак; бензин вспыхнул и пламя охватило аппарат. Раздуваемое быстрым падением оно превратило аэроплан в горящий факел, упавший вскоре на землю.»" (15464).</w:t>
      </w:r>
    </w:p>
    <w:p w14:paraId="629BDCAE" w14:textId="77777777" w:rsidR="00B477FF" w:rsidRPr="00405303" w:rsidRDefault="00B477FF" w:rsidP="00C15251">
      <w:pPr>
        <w:pStyle w:val="2"/>
        <w:spacing w:before="0" w:after="0"/>
        <w:jc w:val="both"/>
        <w:rPr>
          <w:b w:val="0"/>
          <w:bCs/>
          <w:color w:val="002060"/>
          <w:sz w:val="16"/>
          <w:szCs w:val="16"/>
        </w:rPr>
      </w:pPr>
    </w:p>
    <w:p w14:paraId="0B7AAE6E" w14:textId="77777777" w:rsidR="008A3F09" w:rsidRPr="00405303" w:rsidRDefault="008A3F09" w:rsidP="00C15251">
      <w:pPr>
        <w:jc w:val="both"/>
        <w:rPr>
          <w:bCs/>
          <w:color w:val="002060"/>
          <w:sz w:val="16"/>
          <w:szCs w:val="16"/>
        </w:rPr>
      </w:pPr>
      <w:r w:rsidRPr="00405303">
        <w:rPr>
          <w:bCs/>
          <w:color w:val="002060"/>
          <w:sz w:val="16"/>
          <w:szCs w:val="16"/>
        </w:rPr>
        <w:t>3 (16) апреля 1915 г. по инициативе юриста Нормана Прайса была сформирована отдельная эскадрилья — Escadrille N 124, по французской терминологии. Сначала решили назвать ее просто и без изысков — «Американская эскадрилья» (Escadrille Américaine). Однако из-за возможной реакции германского МИД — все-таки США на тот момент еще были нейтральной страной — вскоре она была переименована в эскадрилью «Лафайетт» (по имени французского генерала, который принимал участие в американской Войне за независимость) и под этим названием стала поистине легендарной в американской военной истории. Американские и французские (а все вакансии закрыть американцами не удалось) летчики провоевали до февраля 1918 г., после чего влились в состав ВВС США, став 103-й авиационной эскадрильей. За это время они одержали более 40 побед в воздухе. Однако асом, в европейском понимании этого слова, стал только один летчик — Жервас Рауль Лафбери (22753).</w:t>
      </w:r>
    </w:p>
    <w:p w14:paraId="7C82643C" w14:textId="77777777" w:rsidR="008A3F09" w:rsidRPr="00405303" w:rsidRDefault="008A3F09" w:rsidP="00C15251">
      <w:pPr>
        <w:jc w:val="both"/>
        <w:rPr>
          <w:bCs/>
          <w:color w:val="002060"/>
          <w:sz w:val="16"/>
          <w:szCs w:val="16"/>
        </w:rPr>
      </w:pPr>
    </w:p>
    <w:p w14:paraId="55C1C6A3" w14:textId="389E70CB" w:rsidR="008A3F09" w:rsidRPr="00405303" w:rsidRDefault="008A3F09" w:rsidP="00C15251">
      <w:pPr>
        <w:jc w:val="both"/>
        <w:rPr>
          <w:bCs/>
          <w:i/>
          <w:color w:val="002060"/>
          <w:sz w:val="16"/>
          <w:szCs w:val="16"/>
        </w:rPr>
      </w:pPr>
      <w:r w:rsidRPr="00405303">
        <w:rPr>
          <w:bCs/>
          <w:i/>
          <w:color w:val="002060"/>
          <w:sz w:val="16"/>
          <w:szCs w:val="16"/>
        </w:rPr>
        <w:t>Авиация и воздухоплавание за рубежом:</w:t>
      </w:r>
    </w:p>
    <w:p w14:paraId="05EE3369" w14:textId="77777777" w:rsidR="008A3F09" w:rsidRPr="00405303" w:rsidRDefault="008A3F09" w:rsidP="00C15251">
      <w:pPr>
        <w:jc w:val="both"/>
        <w:rPr>
          <w:bCs/>
          <w:i/>
          <w:color w:val="002060"/>
          <w:sz w:val="16"/>
          <w:szCs w:val="16"/>
        </w:rPr>
      </w:pPr>
    </w:p>
    <w:p w14:paraId="4A897349" w14:textId="77777777" w:rsidR="008A3F09" w:rsidRPr="00405303" w:rsidRDefault="008A3F09" w:rsidP="00C15251">
      <w:pPr>
        <w:jc w:val="both"/>
        <w:rPr>
          <w:bCs/>
          <w:color w:val="002060"/>
          <w:sz w:val="16"/>
          <w:szCs w:val="16"/>
        </w:rPr>
      </w:pPr>
      <w:r w:rsidRPr="00405303">
        <w:rPr>
          <w:bCs/>
          <w:color w:val="002060"/>
          <w:sz w:val="16"/>
          <w:szCs w:val="16"/>
        </w:rPr>
        <w:t>3 (16) апреля 1915 ВМС США проводят первый запуск самолета с плавучей платформы, запустив самолет с угольной баржи № 214 ВМС США с использованием катапульты на военно-морской авиабазе Пенсакола в Пенсаколе , Флорида (20338).</w:t>
      </w:r>
    </w:p>
    <w:p w14:paraId="16188D04" w14:textId="77777777" w:rsidR="008A3F09" w:rsidRPr="00405303" w:rsidRDefault="008A3F09" w:rsidP="00C15251">
      <w:pPr>
        <w:jc w:val="both"/>
        <w:rPr>
          <w:bCs/>
          <w:color w:val="002060"/>
          <w:sz w:val="16"/>
          <w:szCs w:val="16"/>
        </w:rPr>
      </w:pPr>
    </w:p>
    <w:p w14:paraId="482FDD41" w14:textId="6A8CD3E1" w:rsidR="00652CA7" w:rsidRPr="00405303" w:rsidRDefault="00652CA7" w:rsidP="00C15251">
      <w:pPr>
        <w:jc w:val="both"/>
        <w:rPr>
          <w:bCs/>
          <w:i/>
          <w:color w:val="002060"/>
          <w:sz w:val="16"/>
          <w:szCs w:val="16"/>
        </w:rPr>
      </w:pPr>
      <w:r w:rsidRPr="00405303">
        <w:rPr>
          <w:bCs/>
          <w:i/>
          <w:color w:val="002060"/>
          <w:sz w:val="16"/>
          <w:szCs w:val="16"/>
        </w:rPr>
        <w:t>Авиация:</w:t>
      </w:r>
    </w:p>
    <w:p w14:paraId="35439F40" w14:textId="77777777" w:rsidR="00652CA7" w:rsidRPr="00405303" w:rsidRDefault="00652CA7" w:rsidP="00C15251">
      <w:pPr>
        <w:jc w:val="both"/>
        <w:rPr>
          <w:bCs/>
          <w:i/>
          <w:color w:val="002060"/>
          <w:sz w:val="16"/>
          <w:szCs w:val="16"/>
        </w:rPr>
      </w:pPr>
    </w:p>
    <w:p w14:paraId="7E4130A4" w14:textId="04D143A1" w:rsidR="00652CA7" w:rsidRPr="00405303" w:rsidRDefault="00652CA7" w:rsidP="00C15251">
      <w:pPr>
        <w:jc w:val="both"/>
        <w:rPr>
          <w:bCs/>
          <w:color w:val="002060"/>
          <w:sz w:val="16"/>
          <w:szCs w:val="16"/>
          <w:lang w:bidi="en-US"/>
        </w:rPr>
      </w:pPr>
      <w:r w:rsidRPr="00405303">
        <w:rPr>
          <w:bCs/>
          <w:color w:val="002060"/>
          <w:sz w:val="16"/>
          <w:szCs w:val="16"/>
          <w:lang w:bidi="en-US"/>
        </w:rPr>
        <w:t>4 (17) апреля 1915 г. был издан приказ о переименовании АО «Новогеоргиевская крепость» в 33-ю КАО, которая должна была войти в состав 6-й армии на Северо-Западном фронте (23525).</w:t>
      </w:r>
    </w:p>
    <w:p w14:paraId="25F3EDFA" w14:textId="77777777" w:rsidR="00652CA7" w:rsidRPr="00405303" w:rsidRDefault="00652CA7" w:rsidP="00C15251">
      <w:pPr>
        <w:jc w:val="both"/>
        <w:rPr>
          <w:bCs/>
          <w:color w:val="002060"/>
          <w:sz w:val="16"/>
          <w:szCs w:val="16"/>
        </w:rPr>
      </w:pPr>
    </w:p>
    <w:p w14:paraId="3D193E42" w14:textId="77777777" w:rsidR="00652CA7" w:rsidRPr="00405303" w:rsidRDefault="00652CA7" w:rsidP="00C15251">
      <w:pPr>
        <w:jc w:val="both"/>
        <w:rPr>
          <w:bCs/>
          <w:i/>
          <w:color w:val="002060"/>
          <w:sz w:val="16"/>
          <w:szCs w:val="16"/>
        </w:rPr>
      </w:pPr>
      <w:bookmarkStart w:id="91" w:name="bookmark70"/>
      <w:r w:rsidRPr="00405303">
        <w:rPr>
          <w:bCs/>
          <w:i/>
          <w:color w:val="002060"/>
          <w:sz w:val="16"/>
          <w:szCs w:val="16"/>
        </w:rPr>
        <w:t>Авиация:</w:t>
      </w:r>
    </w:p>
    <w:p w14:paraId="0C763DE6" w14:textId="77777777" w:rsidR="00652CA7" w:rsidRPr="00405303" w:rsidRDefault="00652CA7" w:rsidP="00C15251">
      <w:pPr>
        <w:jc w:val="both"/>
        <w:rPr>
          <w:bCs/>
          <w:i/>
          <w:color w:val="002060"/>
          <w:sz w:val="16"/>
          <w:szCs w:val="16"/>
        </w:rPr>
      </w:pPr>
    </w:p>
    <w:p w14:paraId="3511C49F" w14:textId="77777777" w:rsidR="00791F61" w:rsidRPr="00405303" w:rsidRDefault="00791F61" w:rsidP="00791F61">
      <w:pPr>
        <w:jc w:val="both"/>
        <w:rPr>
          <w:color w:val="0070C0"/>
          <w:sz w:val="16"/>
          <w:szCs w:val="16"/>
        </w:rPr>
      </w:pPr>
      <w:r w:rsidRPr="00405303">
        <w:rPr>
          <w:color w:val="0070C0"/>
          <w:sz w:val="16"/>
          <w:szCs w:val="16"/>
        </w:rPr>
        <w:t>5 (18) апреля 1915 г. начальник штаба Верховного главнокомандующего направил начальнику ЭВК следующую телеграмму: «Верховный главнокомандующий повелел мне благодарить Вас и чинов эскадры за достигнутые результаты по созданию и применению Эскадры, которой он придает важное значение. Его Императорское Высочество радуется, что благодаря свойственной Вам энергии, эскадра будет усиливаться с каждым днем, в ее состав будут вступать новые все более мощные боевые корабли и в ближайшем будущем эскадра действительно явится грозным и неотвратимым оружием против упорного врага» (24965).</w:t>
      </w:r>
    </w:p>
    <w:p w14:paraId="05B0CC8D" w14:textId="77777777" w:rsidR="00791F61" w:rsidRPr="00405303" w:rsidRDefault="00791F61" w:rsidP="00791F61">
      <w:pPr>
        <w:jc w:val="both"/>
        <w:rPr>
          <w:color w:val="0070C0"/>
          <w:sz w:val="16"/>
          <w:szCs w:val="16"/>
        </w:rPr>
      </w:pPr>
    </w:p>
    <w:p w14:paraId="077CF7D0" w14:textId="2FAF3378" w:rsidR="00652CA7" w:rsidRPr="00405303" w:rsidRDefault="00652CA7" w:rsidP="00C15251">
      <w:pPr>
        <w:jc w:val="both"/>
        <w:rPr>
          <w:bCs/>
          <w:color w:val="002060"/>
          <w:sz w:val="16"/>
          <w:szCs w:val="16"/>
        </w:rPr>
      </w:pPr>
      <w:r w:rsidRPr="00405303">
        <w:rPr>
          <w:bCs/>
          <w:color w:val="002060"/>
          <w:sz w:val="16"/>
          <w:szCs w:val="16"/>
        </w:rPr>
        <w:t>5 (18) апреля 1915 г. немецкая морская авиация вновь подвергла бомбардировке территорию города Лиава. В ходе налета один из летательных аппаратов упал в воду и затонул. Его экипаж предпринял попытку вплавь добраться до одного из своих морских судов, находившихся вблизи Либавы, но был перехвачен нашими моряками.</w:t>
      </w:r>
      <w:bookmarkEnd w:id="91"/>
    </w:p>
    <w:p w14:paraId="603B8EB9" w14:textId="77777777" w:rsidR="00652CA7" w:rsidRPr="00405303" w:rsidRDefault="00652CA7" w:rsidP="00C15251">
      <w:pPr>
        <w:jc w:val="both"/>
        <w:rPr>
          <w:bCs/>
          <w:color w:val="002060"/>
          <w:sz w:val="16"/>
          <w:szCs w:val="16"/>
        </w:rPr>
      </w:pPr>
      <w:bookmarkStart w:id="92" w:name="bookmark71"/>
      <w:r w:rsidRPr="00405303">
        <w:rPr>
          <w:bCs/>
          <w:color w:val="002060"/>
          <w:sz w:val="16"/>
          <w:szCs w:val="16"/>
        </w:rPr>
        <w:t>С целью исключения поражения осколками снарядов местного населения при обстреле германских аэропланов или цеппелинов в случае появления их над г. Либава начальник охраны Балтийского побережья генерал-майор Б.П. Бобровский издал соответствующее приказание. В нем рекомендовалось «жителям города и его окрестностей не выходить из домов, а укрыться в зданиях на все время обстрела неприятельских воздухоплавательных аппаратов» (23405).</w:t>
      </w:r>
      <w:bookmarkEnd w:id="92"/>
    </w:p>
    <w:p w14:paraId="67DF36D5" w14:textId="77777777" w:rsidR="00652CA7" w:rsidRPr="00405303" w:rsidRDefault="00652CA7" w:rsidP="00C15251">
      <w:pPr>
        <w:jc w:val="both"/>
        <w:rPr>
          <w:bCs/>
          <w:color w:val="002060"/>
          <w:sz w:val="16"/>
          <w:szCs w:val="16"/>
        </w:rPr>
      </w:pPr>
    </w:p>
    <w:p w14:paraId="106DED22" w14:textId="6F47EC5D"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Франции:</w:t>
      </w:r>
    </w:p>
    <w:p w14:paraId="642EF6BC" w14:textId="77777777" w:rsidR="004B4E35" w:rsidRPr="00405303" w:rsidRDefault="004B4E35" w:rsidP="00C15251">
      <w:pPr>
        <w:jc w:val="both"/>
        <w:rPr>
          <w:bCs/>
          <w:i/>
          <w:color w:val="002060"/>
          <w:sz w:val="16"/>
          <w:szCs w:val="16"/>
        </w:rPr>
      </w:pPr>
    </w:p>
    <w:p w14:paraId="78BC6BC7" w14:textId="27A6466C"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5 (18) апреля 1915</w:t>
      </w:r>
      <w:r w:rsidR="005705F2" w:rsidRPr="00405303">
        <w:rPr>
          <w:bCs/>
          <w:i w:val="0"/>
          <w:color w:val="002060"/>
          <w:spacing w:val="0"/>
          <w:kern w:val="0"/>
          <w:position w:val="0"/>
          <w:sz w:val="16"/>
          <w:szCs w:val="16"/>
        </w:rPr>
        <w:t>, успев одержать три победы, Гарро</w:t>
      </w:r>
      <w:r w:rsidRPr="00405303">
        <w:rPr>
          <w:bCs/>
          <w:i w:val="0"/>
          <w:color w:val="002060"/>
          <w:spacing w:val="0"/>
          <w:kern w:val="0"/>
          <w:position w:val="0"/>
          <w:sz w:val="16"/>
          <w:szCs w:val="16"/>
        </w:rPr>
        <w:t xml:space="preserve"> попал под огонь с земли и вынужден был приземлиться на вражеской территории в Восточной Фландрии, французское "чудо-оружие" попало в руки немцев, которые сразу попытались скопировать это изобретение. Но результат оказался весьма плачевным. Дело в том, что немецкие пули имели сердечник из хромистой стали и быстро разбивали уголки отсекателя, разнося винт в щепки. Утяжелять отсекатель было невозможно, так как это резко снижало возможности винта. А вскоре немецкий авиаконструктор Энтони Фоккер предложил изобретенный им пулеметный синхронизатор, но это уже тема для отдельной статьи (11265).</w:t>
      </w:r>
    </w:p>
    <w:p w14:paraId="6F7F9731" w14:textId="77777777" w:rsidR="004B4E35" w:rsidRPr="00405303" w:rsidRDefault="004B4E35" w:rsidP="00C15251">
      <w:pPr>
        <w:pStyle w:val="a3"/>
        <w:jc w:val="both"/>
        <w:rPr>
          <w:bCs/>
          <w:i w:val="0"/>
          <w:color w:val="002060"/>
          <w:spacing w:val="0"/>
          <w:kern w:val="0"/>
          <w:position w:val="0"/>
          <w:sz w:val="16"/>
          <w:szCs w:val="16"/>
        </w:rPr>
      </w:pPr>
    </w:p>
    <w:p w14:paraId="0CD83435" w14:textId="77777777" w:rsidR="004B4E35" w:rsidRPr="00405303" w:rsidRDefault="009E6F82" w:rsidP="00C15251">
      <w:pPr>
        <w:jc w:val="both"/>
        <w:rPr>
          <w:bCs/>
          <w:color w:val="002060"/>
          <w:sz w:val="16"/>
          <w:szCs w:val="16"/>
        </w:rPr>
      </w:pPr>
      <w:r w:rsidRPr="00405303">
        <w:rPr>
          <w:bCs/>
          <w:color w:val="002060"/>
          <w:sz w:val="16"/>
          <w:szCs w:val="16"/>
        </w:rPr>
        <w:t>5 (18) апреля 1915 - Гарро сбивает третий германский самолет и отправляется бомбить станцию Куртре. Германцам наконец-то удается сбить Гарро с земли. Французский летчик- новатор совершает вынужденную посадку на немецкой территории в 10 км от Куртре и попадает в плен, его самолет немедленно доставляют германскому авиаконструктору Фоккеру. С этого дня возможность стрельбы через винт перестала быть секретом для германцев.</w:t>
      </w:r>
    </w:p>
    <w:p w14:paraId="5D577D0A" w14:textId="77777777" w:rsidR="004B4E35" w:rsidRPr="00405303" w:rsidRDefault="009E6F82" w:rsidP="00C15251">
      <w:pPr>
        <w:jc w:val="both"/>
        <w:rPr>
          <w:bCs/>
          <w:color w:val="002060"/>
          <w:sz w:val="16"/>
          <w:szCs w:val="16"/>
        </w:rPr>
      </w:pPr>
      <w:r w:rsidRPr="00405303">
        <w:rPr>
          <w:bCs/>
          <w:color w:val="002060"/>
          <w:sz w:val="16"/>
          <w:szCs w:val="16"/>
        </w:rPr>
        <w:t>Бомбардировочная эскадрилья из 18 "Вуазенов", впоследствии эскадрилья Фонка, бомбит химические склады в Людвигсгафене, доменные печи в Тиссене, центральную электростанцию в Ромба и пороховые погреба в Буссе (11999).</w:t>
      </w:r>
    </w:p>
    <w:p w14:paraId="0064D3C9" w14:textId="77777777" w:rsidR="004B4E35" w:rsidRPr="00405303" w:rsidRDefault="004B4E35" w:rsidP="00C15251">
      <w:pPr>
        <w:jc w:val="both"/>
        <w:rPr>
          <w:bCs/>
          <w:color w:val="002060"/>
          <w:sz w:val="16"/>
          <w:szCs w:val="16"/>
        </w:rPr>
      </w:pPr>
    </w:p>
    <w:p w14:paraId="5FA1D710" w14:textId="77777777" w:rsidR="00604826" w:rsidRPr="00405303" w:rsidRDefault="00604826" w:rsidP="00C15251">
      <w:pPr>
        <w:jc w:val="both"/>
        <w:rPr>
          <w:bCs/>
          <w:color w:val="002060"/>
          <w:sz w:val="16"/>
          <w:szCs w:val="16"/>
        </w:rPr>
      </w:pPr>
      <w:r w:rsidRPr="00405303">
        <w:rPr>
          <w:bCs/>
          <w:color w:val="002060"/>
          <w:sz w:val="16"/>
          <w:szCs w:val="16"/>
        </w:rPr>
        <w:t xml:space="preserve">5 (18) апреля 1915 г. Гарро полетел бомбить железнодорожную станцию. Она была пустой, но на подходе он увидел эшелон. Сбросив первую бомбу, пилот начал обстреливать его из пулемета. Но немцы открыли ответный огонь. И то ли они оказались удачливее, то ли действительно в машине Гарро засорился топливопровод, но мотор ее встал, что вынудило пилота садиться прямо перед собой. Французский летчик успел поджечь самолет, но самое интересное — пулемет и винт с </w:t>
      </w:r>
      <w:r w:rsidRPr="00405303">
        <w:rPr>
          <w:bCs/>
          <w:color w:val="002060"/>
          <w:sz w:val="16"/>
          <w:szCs w:val="16"/>
        </w:rPr>
        <w:lastRenderedPageBreak/>
        <w:t>отсекателями уцелели и попали в руки врага. Доклад о сбитом самолете, который обстреливал поезд, дошел до самого кайзера. Когда ему объяснили, что это и есть тот самый аэроплан, который наделал столько шуму на Французском фронте, он распорядился скопировать машину, дав на это 10 дней (22750).</w:t>
      </w:r>
    </w:p>
    <w:p w14:paraId="5EC459AD" w14:textId="77777777" w:rsidR="00604826" w:rsidRPr="00405303" w:rsidRDefault="00604826" w:rsidP="00C15251">
      <w:pPr>
        <w:jc w:val="both"/>
        <w:rPr>
          <w:bCs/>
          <w:color w:val="002060"/>
          <w:sz w:val="16"/>
          <w:szCs w:val="16"/>
        </w:rPr>
      </w:pPr>
    </w:p>
    <w:p w14:paraId="2D66AB53" w14:textId="77777777" w:rsidR="005203AC" w:rsidRPr="00405303" w:rsidRDefault="005203AC" w:rsidP="00C15251">
      <w:pPr>
        <w:jc w:val="both"/>
        <w:rPr>
          <w:bCs/>
          <w:color w:val="002060"/>
          <w:sz w:val="16"/>
          <w:szCs w:val="16"/>
        </w:rPr>
      </w:pPr>
      <w:r w:rsidRPr="00405303">
        <w:rPr>
          <w:bCs/>
          <w:color w:val="002060"/>
          <w:sz w:val="16"/>
          <w:szCs w:val="16"/>
        </w:rPr>
        <w:t>5 (18) апреля 1915 немецкие войска сбивают Ролан Гаррос и захватывают его плен (20338).</w:t>
      </w:r>
    </w:p>
    <w:p w14:paraId="56C760E6" w14:textId="77777777" w:rsidR="005203AC" w:rsidRPr="00405303" w:rsidRDefault="005203AC" w:rsidP="00C15251">
      <w:pPr>
        <w:jc w:val="both"/>
        <w:rPr>
          <w:bCs/>
          <w:color w:val="002060"/>
          <w:sz w:val="16"/>
          <w:szCs w:val="16"/>
        </w:rPr>
      </w:pPr>
    </w:p>
    <w:p w14:paraId="76B6D61C" w14:textId="5E1586B2" w:rsidR="005203AC" w:rsidRPr="00405303" w:rsidRDefault="005203AC" w:rsidP="00C15251">
      <w:pPr>
        <w:jc w:val="both"/>
        <w:rPr>
          <w:bCs/>
          <w:color w:val="002060"/>
          <w:sz w:val="16"/>
          <w:szCs w:val="16"/>
        </w:rPr>
      </w:pPr>
      <w:r w:rsidRPr="00405303">
        <w:rPr>
          <w:bCs/>
          <w:color w:val="002060"/>
          <w:sz w:val="16"/>
          <w:szCs w:val="16"/>
        </w:rPr>
        <w:t>5 (18) апреля 1915</w:t>
      </w:r>
      <w:r w:rsidR="005705F2" w:rsidRPr="00405303">
        <w:rPr>
          <w:bCs/>
          <w:color w:val="002060"/>
          <w:sz w:val="16"/>
          <w:szCs w:val="16"/>
        </w:rPr>
        <w:t xml:space="preserve"> </w:t>
      </w:r>
      <w:r w:rsidRPr="00405303">
        <w:rPr>
          <w:bCs/>
          <w:color w:val="002060"/>
          <w:sz w:val="16"/>
          <w:szCs w:val="16"/>
        </w:rPr>
        <w:t>французский летчик Ролан Гарро из-за отказа двигателя посадил свой "пулеметный "Моран" на немецкой территории.</w:t>
      </w:r>
    </w:p>
    <w:p w14:paraId="5F40E2A9" w14:textId="77777777" w:rsidR="005203AC" w:rsidRPr="00405303" w:rsidRDefault="005203AC" w:rsidP="00C15251">
      <w:pPr>
        <w:jc w:val="both"/>
        <w:rPr>
          <w:bCs/>
          <w:color w:val="002060"/>
          <w:sz w:val="16"/>
          <w:szCs w:val="16"/>
        </w:rPr>
      </w:pPr>
      <w:r w:rsidRPr="00405303">
        <w:rPr>
          <w:bCs/>
          <w:color w:val="002060"/>
          <w:sz w:val="16"/>
          <w:szCs w:val="16"/>
        </w:rPr>
        <w:t>Ознакомившись со сверхсекретной французской новинкой, немцы поразились ее примитивности. Лопасти винта "Морана" украшали толстые стальные накладки с желобками, призванные отражать бьющие по ним пули и отбрасывать их в сторону. Разумеется, эти "доспехи" отнюдь не повышали и без того довольно низкий КПД пропеллера. К тому же практика показала, что удары пуль по винту передаются на коленвал, расшатывая его и тем самым резко снижая ресурс двигателя. Да и расходование впустую примерно 7% пуль, попадавших при стрельбе в винт, также свидетельствовало не в пользу системы. Тем не менее, даже столь убогое изобретение дало французам возможность за месяц сбить более двух десятков немецких аэропланов.</w:t>
      </w:r>
    </w:p>
    <w:p w14:paraId="57445C36" w14:textId="77777777" w:rsidR="005203AC" w:rsidRPr="00405303" w:rsidRDefault="005203AC" w:rsidP="00C15251">
      <w:pPr>
        <w:jc w:val="both"/>
        <w:rPr>
          <w:bCs/>
          <w:color w:val="002060"/>
          <w:sz w:val="16"/>
          <w:szCs w:val="16"/>
        </w:rPr>
      </w:pPr>
      <w:r w:rsidRPr="00405303">
        <w:rPr>
          <w:bCs/>
          <w:color w:val="002060"/>
          <w:sz w:val="16"/>
          <w:szCs w:val="16"/>
        </w:rPr>
        <w:t>Реакция германского генерального штаба была незамедлительна и прямолинейна: "Скопировать!" Но скопировать не успели.</w:t>
      </w:r>
    </w:p>
    <w:p w14:paraId="74927641" w14:textId="77777777" w:rsidR="005203AC" w:rsidRPr="00405303" w:rsidRDefault="005203AC" w:rsidP="00C15251">
      <w:pPr>
        <w:jc w:val="both"/>
        <w:rPr>
          <w:bCs/>
          <w:color w:val="002060"/>
          <w:sz w:val="16"/>
          <w:szCs w:val="16"/>
        </w:rPr>
      </w:pPr>
      <w:r w:rsidRPr="00405303">
        <w:rPr>
          <w:bCs/>
          <w:color w:val="002060"/>
          <w:sz w:val="16"/>
          <w:szCs w:val="16"/>
        </w:rPr>
        <w:t>Энтони Фоккер предложил немецким ВВС устройство, решающее ту же задачу, что и французские "отсекатели", но лишенное их недостатков. Это устройство, названное "синхронизатором" (22531).</w:t>
      </w:r>
    </w:p>
    <w:p w14:paraId="31CF985F" w14:textId="77777777" w:rsidR="005203AC" w:rsidRPr="00405303" w:rsidRDefault="005203AC" w:rsidP="00C15251">
      <w:pPr>
        <w:jc w:val="both"/>
        <w:rPr>
          <w:bCs/>
          <w:color w:val="002060"/>
          <w:sz w:val="16"/>
          <w:szCs w:val="16"/>
        </w:rPr>
      </w:pPr>
    </w:p>
    <w:p w14:paraId="0342F847" w14:textId="77777777" w:rsidR="00791F61" w:rsidRPr="00405303" w:rsidRDefault="00791F61" w:rsidP="00791F61">
      <w:pPr>
        <w:jc w:val="both"/>
        <w:rPr>
          <w:color w:val="0070C0"/>
          <w:sz w:val="16"/>
          <w:szCs w:val="16"/>
        </w:rPr>
      </w:pPr>
      <w:r w:rsidRPr="00405303">
        <w:rPr>
          <w:color w:val="0070C0"/>
          <w:sz w:val="16"/>
          <w:szCs w:val="16"/>
        </w:rPr>
        <w:t>5 (18) апреля 1915 года самолет Гарро был сбит зенитной артиллерией. Сбитую машину передали конструктору Фоккеру для изучения. Фоккер, спустя 10 дней, представил на испытание аэроплан, вооруженный одним пулеметом, стреляющим через плоскость, ометаемую воздушным винтом, но уже без отсекателей на винте. Эта была синхронная пулеметная установка, подобно ранее предложенной Шнейдером. В мае 1915 года появились на фронте новые машины, вооруженные синхронными пулеметами. Преимущества этих установок были так велики, что германская армия сразу же получила перевес (25100).</w:t>
      </w:r>
    </w:p>
    <w:p w14:paraId="3B3B7AA9" w14:textId="77777777" w:rsidR="00791F61" w:rsidRPr="00405303" w:rsidRDefault="00791F61" w:rsidP="00791F61">
      <w:pPr>
        <w:jc w:val="both"/>
        <w:rPr>
          <w:color w:val="0070C0"/>
          <w:sz w:val="16"/>
          <w:szCs w:val="16"/>
        </w:rPr>
      </w:pPr>
    </w:p>
    <w:p w14:paraId="08C398C0" w14:textId="77777777" w:rsidR="00625FE0" w:rsidRPr="00CF03EC" w:rsidRDefault="00625FE0" w:rsidP="00625FE0">
      <w:pPr>
        <w:jc w:val="both"/>
        <w:rPr>
          <w:color w:val="0070C0"/>
          <w:sz w:val="16"/>
          <w:szCs w:val="16"/>
        </w:rPr>
      </w:pPr>
      <w:r w:rsidRPr="00CF03EC">
        <w:rPr>
          <w:color w:val="0070C0"/>
          <w:sz w:val="16"/>
          <w:szCs w:val="16"/>
        </w:rPr>
        <w:t>5 (18) апреля 1915 г. Гарро провел еще один бой, увеличив свой счет до трех воздушных побед.</w:t>
      </w:r>
    </w:p>
    <w:p w14:paraId="52C7B605" w14:textId="77777777" w:rsidR="00625FE0" w:rsidRPr="00CF03EC" w:rsidRDefault="00625FE0" w:rsidP="00625FE0">
      <w:pPr>
        <w:jc w:val="both"/>
        <w:rPr>
          <w:color w:val="0070C0"/>
          <w:sz w:val="16"/>
          <w:szCs w:val="16"/>
        </w:rPr>
      </w:pPr>
      <w:r w:rsidRPr="00CF03EC">
        <w:rPr>
          <w:color w:val="0070C0"/>
          <w:sz w:val="16"/>
          <w:szCs w:val="16"/>
        </w:rPr>
        <w:t>Вечером так удачно начавшегося дня 18 апреля 1915 г. Гарро полетел бомбить железнодорожную станцию. Она оказалась пустой, но на подходе он увидел эшелон. Сбросив первую бомбу, пилот начал обстреливать его из пулемета. Но и немцы открыли ответный огонь. И то ли они оказались удачливее, то ли действительно у Гарро засорился топливопровод, но мотор его встал, и ему пришлось садиться прямо перед собой. Перед тем как поднять руки, французский пилот успел поджечь свой самолет, но самое интересное – пулемет с его креплениями и винт с отсекателями – уцелели (железо все-таки) и попали в руки врага.</w:t>
      </w:r>
    </w:p>
    <w:p w14:paraId="529EC777" w14:textId="77777777" w:rsidR="00625FE0" w:rsidRPr="00CF03EC" w:rsidRDefault="00625FE0" w:rsidP="00625FE0">
      <w:pPr>
        <w:jc w:val="both"/>
        <w:rPr>
          <w:color w:val="0070C0"/>
          <w:sz w:val="16"/>
          <w:szCs w:val="16"/>
        </w:rPr>
      </w:pPr>
      <w:r w:rsidRPr="00CF03EC">
        <w:rPr>
          <w:color w:val="0070C0"/>
          <w:sz w:val="16"/>
          <w:szCs w:val="16"/>
        </w:rPr>
        <w:t>Доклад о сбитом самолете, который обстреливал поезд, дошел до самого кайзера. Когда ему объяснили, что это и есть тот самый аэроплан, который наделал столько шуму на Французском фронте, он распорядился скопировать машину, дав на это 10 дней (25772).</w:t>
      </w:r>
    </w:p>
    <w:p w14:paraId="3056FE6B" w14:textId="77777777" w:rsidR="00625FE0" w:rsidRPr="00CF03EC" w:rsidRDefault="00625FE0" w:rsidP="00625FE0">
      <w:pPr>
        <w:jc w:val="both"/>
        <w:rPr>
          <w:color w:val="0070C0"/>
          <w:sz w:val="16"/>
          <w:szCs w:val="16"/>
        </w:rPr>
      </w:pPr>
    </w:p>
    <w:p w14:paraId="4307CBB1" w14:textId="77CC0B16" w:rsidR="004A61F3" w:rsidRPr="00405303" w:rsidRDefault="004A61F3" w:rsidP="00C15251">
      <w:pPr>
        <w:jc w:val="both"/>
        <w:rPr>
          <w:bCs/>
          <w:i/>
          <w:color w:val="002060"/>
          <w:sz w:val="16"/>
          <w:szCs w:val="16"/>
        </w:rPr>
      </w:pPr>
      <w:r w:rsidRPr="00405303">
        <w:rPr>
          <w:bCs/>
          <w:i/>
          <w:color w:val="002060"/>
          <w:sz w:val="16"/>
          <w:szCs w:val="16"/>
        </w:rPr>
        <w:t>Авиация и воздухоплавание Англии:</w:t>
      </w:r>
    </w:p>
    <w:p w14:paraId="1D1E2CC7" w14:textId="77777777" w:rsidR="004A61F3" w:rsidRPr="00405303" w:rsidRDefault="004A61F3" w:rsidP="00C15251">
      <w:pPr>
        <w:jc w:val="both"/>
        <w:rPr>
          <w:bCs/>
          <w:i/>
          <w:color w:val="002060"/>
          <w:sz w:val="16"/>
          <w:szCs w:val="16"/>
        </w:rPr>
      </w:pPr>
    </w:p>
    <w:p w14:paraId="039AA9A9" w14:textId="77777777" w:rsidR="004A61F3" w:rsidRPr="00405303" w:rsidRDefault="004A61F3" w:rsidP="00C15251">
      <w:pPr>
        <w:jc w:val="both"/>
        <w:rPr>
          <w:bCs/>
          <w:color w:val="002060"/>
          <w:sz w:val="16"/>
          <w:szCs w:val="16"/>
        </w:rPr>
      </w:pPr>
      <w:r w:rsidRPr="00405303">
        <w:rPr>
          <w:bCs/>
          <w:color w:val="002060"/>
          <w:sz w:val="16"/>
          <w:szCs w:val="16"/>
        </w:rPr>
        <w:t xml:space="preserve">5 (18) апреля 1915 пилот Джордж Хоукер на BE2c, Royal Flying Corps атакует ангары немецкого Цеппелина в </w:t>
      </w:r>
      <w:proofErr w:type="gramStart"/>
      <w:r w:rsidRPr="00405303">
        <w:rPr>
          <w:bCs/>
          <w:color w:val="002060"/>
          <w:sz w:val="16"/>
          <w:szCs w:val="16"/>
        </w:rPr>
        <w:t>Gontrode ,</w:t>
      </w:r>
      <w:proofErr w:type="gramEnd"/>
      <w:r w:rsidRPr="00405303">
        <w:rPr>
          <w:bCs/>
          <w:color w:val="002060"/>
          <w:sz w:val="16"/>
          <w:szCs w:val="16"/>
        </w:rPr>
        <w:t xml:space="preserve"> Бельгия и уничтожает их. За свои действия награжден Орденом </w:t>
      </w:r>
      <w:proofErr w:type="gramStart"/>
      <w:r w:rsidRPr="00405303">
        <w:rPr>
          <w:bCs/>
          <w:color w:val="002060"/>
          <w:sz w:val="16"/>
          <w:szCs w:val="16"/>
        </w:rPr>
        <w:t>« За</w:t>
      </w:r>
      <w:proofErr w:type="gramEnd"/>
      <w:r w:rsidRPr="00405303">
        <w:rPr>
          <w:bCs/>
          <w:color w:val="002060"/>
          <w:sz w:val="16"/>
          <w:szCs w:val="16"/>
        </w:rPr>
        <w:t xml:space="preserve"> выдающиеся заслуги</w:t>
      </w:r>
      <w:proofErr w:type="gramStart"/>
      <w:r w:rsidRPr="00405303">
        <w:rPr>
          <w:bCs/>
          <w:color w:val="002060"/>
          <w:sz w:val="16"/>
          <w:szCs w:val="16"/>
        </w:rPr>
        <w:t>» .</w:t>
      </w:r>
      <w:proofErr w:type="gramEnd"/>
      <w:r w:rsidRPr="00405303">
        <w:rPr>
          <w:bCs/>
          <w:color w:val="002060"/>
          <w:sz w:val="16"/>
          <w:szCs w:val="16"/>
        </w:rPr>
        <w:t xml:space="preserve"> Немцы вскоре перестают использовать Гонтроде как базу дирижаблей (20338).</w:t>
      </w:r>
    </w:p>
    <w:p w14:paraId="5F6B64C0" w14:textId="77777777" w:rsidR="004A61F3" w:rsidRPr="00405303" w:rsidRDefault="004A61F3" w:rsidP="00C15251">
      <w:pPr>
        <w:jc w:val="both"/>
        <w:rPr>
          <w:bCs/>
          <w:color w:val="002060"/>
          <w:sz w:val="16"/>
          <w:szCs w:val="16"/>
        </w:rPr>
      </w:pPr>
    </w:p>
    <w:p w14:paraId="162C628E" w14:textId="3E7CF1EB" w:rsidR="00652CA7" w:rsidRPr="00405303" w:rsidRDefault="00652CA7"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50601001" w14:textId="77777777" w:rsidR="00652CA7" w:rsidRPr="00405303" w:rsidRDefault="00652CA7" w:rsidP="00C15251">
      <w:pPr>
        <w:pStyle w:val="a3"/>
        <w:jc w:val="both"/>
        <w:rPr>
          <w:bCs/>
          <w:color w:val="002060"/>
          <w:spacing w:val="0"/>
          <w:kern w:val="0"/>
          <w:position w:val="0"/>
          <w:sz w:val="16"/>
          <w:szCs w:val="16"/>
        </w:rPr>
      </w:pPr>
    </w:p>
    <w:p w14:paraId="5A598A0E" w14:textId="77777777" w:rsidR="00652CA7" w:rsidRPr="00405303" w:rsidRDefault="00652CA7" w:rsidP="00C15251">
      <w:pPr>
        <w:jc w:val="both"/>
        <w:rPr>
          <w:bCs/>
          <w:color w:val="002060"/>
          <w:sz w:val="16"/>
          <w:szCs w:val="16"/>
        </w:rPr>
      </w:pPr>
      <w:r w:rsidRPr="00405303">
        <w:rPr>
          <w:bCs/>
          <w:color w:val="002060"/>
          <w:sz w:val="16"/>
          <w:szCs w:val="16"/>
        </w:rPr>
        <w:t>6 (19) апреля 1915 г. корабль «Илья Муромец» В-10 (ИМ В-10 № 151 «остроносый», борт № III) экз. № 10, стратегический разведчик, тяжелый бомбардировщик совершил первый боевой вылет.</w:t>
      </w:r>
    </w:p>
    <w:p w14:paraId="38121214" w14:textId="77777777" w:rsidR="00652CA7" w:rsidRPr="00405303" w:rsidRDefault="00652CA7" w:rsidP="00C15251">
      <w:pPr>
        <w:jc w:val="both"/>
        <w:rPr>
          <w:bCs/>
          <w:color w:val="002060"/>
          <w:sz w:val="16"/>
          <w:szCs w:val="16"/>
        </w:rPr>
      </w:pPr>
      <w:r w:rsidRPr="00405303">
        <w:rPr>
          <w:bCs/>
          <w:color w:val="002060"/>
          <w:sz w:val="16"/>
          <w:szCs w:val="16"/>
        </w:rPr>
        <w:t>В мае 1915 г. корабль командирован на аэродром Лемберг в распоряжение штаба 3-й Армии.</w:t>
      </w:r>
    </w:p>
    <w:p w14:paraId="284C5EB0" w14:textId="77777777" w:rsidR="00652CA7" w:rsidRPr="00405303" w:rsidRDefault="00652CA7" w:rsidP="00C15251">
      <w:pPr>
        <w:jc w:val="both"/>
        <w:rPr>
          <w:bCs/>
          <w:color w:val="002060"/>
          <w:sz w:val="16"/>
          <w:szCs w:val="16"/>
        </w:rPr>
      </w:pPr>
      <w:r w:rsidRPr="00405303">
        <w:rPr>
          <w:bCs/>
          <w:color w:val="002060"/>
          <w:sz w:val="16"/>
          <w:szCs w:val="16"/>
        </w:rPr>
        <w:t>28 мая 1915 г. новым командиром корабля назначен поручик Д.А. Озерский, т.к. Бродович подал рапорт о переводе в легкую авиацию.</w:t>
      </w:r>
    </w:p>
    <w:p w14:paraId="14D93C1D" w14:textId="77777777" w:rsidR="00652CA7" w:rsidRPr="00405303" w:rsidRDefault="00652CA7" w:rsidP="00C15251">
      <w:pPr>
        <w:jc w:val="both"/>
        <w:rPr>
          <w:bCs/>
          <w:color w:val="002060"/>
          <w:sz w:val="16"/>
          <w:szCs w:val="16"/>
        </w:rPr>
      </w:pPr>
      <w:r w:rsidRPr="00405303">
        <w:rPr>
          <w:bCs/>
          <w:color w:val="002060"/>
          <w:sz w:val="16"/>
          <w:szCs w:val="16"/>
        </w:rPr>
        <w:t>В июне 1915 г. корабль был перебазирован в Люблин, а затем в том же месяце – во Влодаву.</w:t>
      </w:r>
    </w:p>
    <w:p w14:paraId="6CE3E486" w14:textId="77777777" w:rsidR="00652CA7" w:rsidRPr="00405303" w:rsidRDefault="00652CA7" w:rsidP="00C15251">
      <w:pPr>
        <w:jc w:val="both"/>
        <w:rPr>
          <w:bCs/>
          <w:color w:val="002060"/>
          <w:sz w:val="16"/>
          <w:szCs w:val="16"/>
        </w:rPr>
      </w:pPr>
      <w:r w:rsidRPr="00405303">
        <w:rPr>
          <w:bCs/>
          <w:color w:val="002060"/>
          <w:sz w:val="16"/>
          <w:szCs w:val="16"/>
        </w:rPr>
        <w:t>По инициативе командира корабля для его облегчения с самолета сняли боковые РН, оставив только центральный (23563).</w:t>
      </w:r>
    </w:p>
    <w:p w14:paraId="7DC2C729" w14:textId="77777777" w:rsidR="00652CA7" w:rsidRPr="00405303" w:rsidRDefault="00652CA7" w:rsidP="00C15251">
      <w:pPr>
        <w:jc w:val="both"/>
        <w:rPr>
          <w:bCs/>
          <w:color w:val="002060"/>
          <w:sz w:val="16"/>
          <w:szCs w:val="16"/>
        </w:rPr>
      </w:pPr>
      <w:r w:rsidRPr="00405303">
        <w:rPr>
          <w:bCs/>
          <w:color w:val="002060"/>
          <w:sz w:val="16"/>
          <w:szCs w:val="16"/>
        </w:rPr>
        <w:t>К концу октября 1915 г. корабль сделал 30 полетов на глубину до 200 км в тыл противника.</w:t>
      </w:r>
    </w:p>
    <w:p w14:paraId="345F720C" w14:textId="77777777" w:rsidR="00652CA7" w:rsidRPr="00405303" w:rsidRDefault="00652CA7" w:rsidP="00C15251">
      <w:pPr>
        <w:jc w:val="both"/>
        <w:rPr>
          <w:bCs/>
          <w:color w:val="002060"/>
          <w:sz w:val="16"/>
          <w:szCs w:val="16"/>
        </w:rPr>
      </w:pPr>
      <w:r w:rsidRPr="00405303">
        <w:rPr>
          <w:bCs/>
          <w:color w:val="002060"/>
          <w:sz w:val="16"/>
          <w:szCs w:val="16"/>
        </w:rPr>
        <w:t>2 ноября 1915 г. (15.11.15 г. по н.ст.) корабль был послан на бомбардировку противника. В полете корабль попал под обстрел с земли – осколками снаряда были перебиты тросы управления левого элерона. Командир корабля Озерский в снижении с высоты 2800 м попытался развернуться одним лишь рулем направления, но при этом возник крен на левое крыло, перешедший в скольжение, которое выровнять не удалось (возможно, если бы дополнительные рули не были бы сняты, его удалось бы избежать, но не факт – элероны не действовали). В упавшем самолете погибли штабс-капитан Озерский, подполковник Звегинцев и унтер-офицер Фогт, поручик Спасов выжил, но был тяжело ранен.</w:t>
      </w:r>
    </w:p>
    <w:p w14:paraId="4CA6FD77" w14:textId="77777777" w:rsidR="00652CA7" w:rsidRPr="00405303" w:rsidRDefault="00652CA7" w:rsidP="00C15251">
      <w:pPr>
        <w:jc w:val="both"/>
        <w:rPr>
          <w:bCs/>
          <w:color w:val="002060"/>
          <w:sz w:val="16"/>
          <w:szCs w:val="16"/>
        </w:rPr>
      </w:pPr>
      <w:r w:rsidRPr="00405303">
        <w:rPr>
          <w:bCs/>
          <w:color w:val="002060"/>
          <w:sz w:val="16"/>
          <w:szCs w:val="16"/>
        </w:rPr>
        <w:t>Самолет выполнил 35 боевых вылетов и сбросил свыше 7520 кг (470 пудов) бомб – это был самый результативный корабль «Илья Муромец» (23563).</w:t>
      </w:r>
    </w:p>
    <w:p w14:paraId="3D56A688" w14:textId="77777777" w:rsidR="00652CA7" w:rsidRPr="00405303" w:rsidRDefault="00652CA7" w:rsidP="00C15251">
      <w:pPr>
        <w:jc w:val="both"/>
        <w:rPr>
          <w:bCs/>
          <w:color w:val="002060"/>
          <w:sz w:val="16"/>
          <w:szCs w:val="16"/>
          <w:lang w:bidi="en-US"/>
        </w:rPr>
      </w:pPr>
    </w:p>
    <w:p w14:paraId="371D6FC1" w14:textId="3FCDAC84"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7F551F9E" w14:textId="77777777" w:rsidR="004B4E35" w:rsidRPr="00405303" w:rsidRDefault="004B4E35" w:rsidP="00C15251">
      <w:pPr>
        <w:pStyle w:val="a3"/>
        <w:jc w:val="both"/>
        <w:rPr>
          <w:bCs/>
          <w:color w:val="002060"/>
          <w:spacing w:val="0"/>
          <w:kern w:val="0"/>
          <w:position w:val="0"/>
          <w:sz w:val="16"/>
          <w:szCs w:val="16"/>
        </w:rPr>
      </w:pPr>
    </w:p>
    <w:p w14:paraId="7FAAFD2F" w14:textId="77777777" w:rsidR="004B4E35" w:rsidRPr="00405303" w:rsidRDefault="009E6F82" w:rsidP="00C15251">
      <w:pPr>
        <w:shd w:val="clear" w:color="auto" w:fill="FFFFFF"/>
        <w:jc w:val="both"/>
        <w:rPr>
          <w:bCs/>
          <w:i/>
          <w:color w:val="002060"/>
          <w:sz w:val="16"/>
          <w:szCs w:val="16"/>
        </w:rPr>
      </w:pPr>
      <w:r w:rsidRPr="00405303">
        <w:rPr>
          <w:bCs/>
          <w:color w:val="002060"/>
          <w:sz w:val="16"/>
          <w:szCs w:val="16"/>
        </w:rPr>
        <w:t>6 (19) апреля 1915 Приказом по Военному ведомству № 105 Заведующему авиацией действующей армии дано право представлять на получение звания военного летчика за выдающиеся заслуги летчи</w:t>
      </w:r>
      <w:r w:rsidRPr="00405303">
        <w:rPr>
          <w:bCs/>
          <w:color w:val="002060"/>
          <w:sz w:val="16"/>
          <w:szCs w:val="16"/>
        </w:rPr>
        <w:softHyphen/>
        <w:t xml:space="preserve">ков из "охотников" (добровольцев), произведенных в прапорщики, и летчиков-офицеров, не имеющих звания военного летчика </w:t>
      </w:r>
      <w:r w:rsidRPr="00405303">
        <w:rPr>
          <w:bCs/>
          <w:i/>
          <w:color w:val="002060"/>
          <w:sz w:val="16"/>
          <w:szCs w:val="16"/>
        </w:rPr>
        <w:t>(ЦГВИА. ф.2003, оп.2, д.620, л.115).</w:t>
      </w:r>
    </w:p>
    <w:p w14:paraId="5DBFFFF7" w14:textId="77777777" w:rsidR="004B4E35" w:rsidRPr="00405303" w:rsidRDefault="004B4E35" w:rsidP="00C15251">
      <w:pPr>
        <w:shd w:val="clear" w:color="auto" w:fill="FFFFFF"/>
        <w:jc w:val="both"/>
        <w:rPr>
          <w:bCs/>
          <w:i/>
          <w:color w:val="002060"/>
          <w:sz w:val="16"/>
          <w:szCs w:val="16"/>
        </w:rPr>
      </w:pPr>
    </w:p>
    <w:p w14:paraId="34AA11E0" w14:textId="04A50BB7" w:rsidR="005705F2" w:rsidRPr="00405303" w:rsidRDefault="005705F2" w:rsidP="00C15251">
      <w:pPr>
        <w:jc w:val="both"/>
        <w:rPr>
          <w:bCs/>
          <w:color w:val="002060"/>
          <w:sz w:val="16"/>
          <w:szCs w:val="16"/>
        </w:rPr>
      </w:pPr>
      <w:r w:rsidRPr="00405303">
        <w:rPr>
          <w:bCs/>
          <w:color w:val="002060"/>
          <w:sz w:val="16"/>
          <w:szCs w:val="16"/>
        </w:rPr>
        <w:t>6 (19) апреля 1915 г. приказом по Военному ведовству № 105 Заведующему авиацией действующей армии представлено право представлять на получе</w:t>
      </w:r>
      <w:r w:rsidRPr="00405303">
        <w:rPr>
          <w:bCs/>
          <w:color w:val="002060"/>
          <w:sz w:val="16"/>
          <w:szCs w:val="16"/>
        </w:rPr>
        <w:softHyphen/>
        <w:t>ние звания военного летчика за выдающиеся заслуги летчиков из охотников /добровольцев/, произведенных в прапорщики и летчиков-офицеров, не имеющих звания военного летчика.</w:t>
      </w:r>
    </w:p>
    <w:p w14:paraId="7B7C992F" w14:textId="77777777" w:rsidR="005705F2" w:rsidRPr="00405303" w:rsidRDefault="005705F2" w:rsidP="00C15251">
      <w:pPr>
        <w:jc w:val="both"/>
        <w:rPr>
          <w:bCs/>
          <w:color w:val="002060"/>
          <w:sz w:val="16"/>
          <w:szCs w:val="16"/>
        </w:rPr>
      </w:pPr>
      <w:r w:rsidRPr="00405303">
        <w:rPr>
          <w:bCs/>
          <w:color w:val="002060"/>
          <w:sz w:val="16"/>
          <w:szCs w:val="16"/>
        </w:rPr>
        <w:t>/ЦГВИА, ф. 2003, оп.2, д. 620, л. 115/ (23320).</w:t>
      </w:r>
    </w:p>
    <w:p w14:paraId="760DA5F8" w14:textId="77777777" w:rsidR="005705F2" w:rsidRPr="00405303" w:rsidRDefault="005705F2" w:rsidP="00C15251">
      <w:pPr>
        <w:jc w:val="both"/>
        <w:rPr>
          <w:bCs/>
          <w:color w:val="002060"/>
          <w:sz w:val="16"/>
          <w:szCs w:val="16"/>
        </w:rPr>
      </w:pPr>
    </w:p>
    <w:p w14:paraId="596BC5AA" w14:textId="77777777" w:rsidR="00791F61" w:rsidRPr="00405303" w:rsidRDefault="00791F61" w:rsidP="00791F61">
      <w:pPr>
        <w:jc w:val="both"/>
        <w:rPr>
          <w:color w:val="0070C0"/>
          <w:sz w:val="16"/>
          <w:szCs w:val="16"/>
        </w:rPr>
      </w:pPr>
      <w:r w:rsidRPr="00405303">
        <w:rPr>
          <w:rStyle w:val="aa"/>
          <w:rFonts w:ascii="Times New Roman" w:hAnsi="Times New Roman"/>
          <w:color w:val="0070C0"/>
          <w:spacing w:val="0"/>
          <w:sz w:val="16"/>
          <w:szCs w:val="16"/>
        </w:rPr>
        <w:t>6 (19) апреля 1915 г. противник силами авиаотряда (7 самолетов) совершил налет на г. Ломжа. В ходе бомбометания сброшено 74 авиабомбы (большинство – зажигательные). В результате ранение получил один солдат (бомбардир Панкратов). Две бомбы попали в соборный храм, где совершалось богослужение. При отражении атаки русские артиллеристы подбили один из вражеских летательных аппаратов. Его экипаж был вынужден совершить посадку вблизи г. Замбров (царство Польское). Затем немецкие летчики подожгли аэроплан и попытались скрыться, но вскоре попали в плен</w:t>
      </w:r>
      <w:hyperlink w:anchor="bookmark1210" w:tooltip="Current Document">
        <w:r w:rsidRPr="00405303">
          <w:rPr>
            <w:rStyle w:val="aa"/>
            <w:rFonts w:ascii="Times New Roman" w:hAnsi="Times New Roman"/>
            <w:color w:val="0070C0"/>
            <w:spacing w:val="0"/>
            <w:sz w:val="16"/>
            <w:szCs w:val="16"/>
            <w:u w:val="single"/>
            <w:vertAlign w:val="superscript"/>
          </w:rPr>
          <w:t>[137]</w:t>
        </w:r>
      </w:hyperlink>
      <w:r w:rsidRPr="00405303">
        <w:rPr>
          <w:rStyle w:val="aa"/>
          <w:rFonts w:ascii="Times New Roman" w:hAnsi="Times New Roman"/>
          <w:color w:val="0070C0"/>
          <w:spacing w:val="0"/>
          <w:sz w:val="16"/>
          <w:szCs w:val="16"/>
        </w:rPr>
        <w:t>. Первоначально считалось, что воздушное судно было сбито ружейным огнем, однако при осмотре оказалось, что важные элементы аэроплана (бензиновые баки) повреждены шрапнелью. В результате командир Гренадерского корпуса признал последний трофеем 6-й лейб-гвардейской Донской казачьей Его Величества батареи (полковник А.В. Упорников). При отражении воздушного налета личным составом батареи было выпущено 282 шрапнельных снаряда. В ходе боя несколько вражеских самолетов получили повреждения. В тот же день во время бомбардировки н/п Гехсене немецкий «Альбатрос» трижды был атакован одним из наших «Ньюпоров» (летчик – старший унтер- офицер Воронин). Не выдержав напора русского авиатора, германский пилот был вынужден отказаться от дальнейшего бомбометания и удалился за линию фронта. За этот подвиг Воронин был представлен к награде (25135).</w:t>
      </w:r>
    </w:p>
    <w:p w14:paraId="168ADF94" w14:textId="77777777" w:rsidR="00791F61" w:rsidRPr="00405303" w:rsidRDefault="00791F61" w:rsidP="00791F61">
      <w:pPr>
        <w:jc w:val="both"/>
        <w:rPr>
          <w:color w:val="0070C0"/>
          <w:sz w:val="16"/>
          <w:szCs w:val="16"/>
        </w:rPr>
      </w:pPr>
    </w:p>
    <w:p w14:paraId="68AFFBEB" w14:textId="77777777" w:rsidR="00791F61" w:rsidRPr="00405303" w:rsidRDefault="00791F61" w:rsidP="00791F61">
      <w:pPr>
        <w:jc w:val="both"/>
        <w:rPr>
          <w:color w:val="0070C0"/>
          <w:sz w:val="16"/>
          <w:szCs w:val="16"/>
        </w:rPr>
      </w:pPr>
      <w:r w:rsidRPr="00405303">
        <w:rPr>
          <w:rStyle w:val="aa"/>
          <w:rFonts w:ascii="Times New Roman" w:hAnsi="Times New Roman"/>
          <w:color w:val="0070C0"/>
          <w:spacing w:val="0"/>
          <w:sz w:val="16"/>
          <w:szCs w:val="16"/>
        </w:rPr>
        <w:lastRenderedPageBreak/>
        <w:t>В ночь с 6 на 7 (19 на 20) апреля 1915 г. налет на уездный город Цеханов повторился (25135).</w:t>
      </w:r>
    </w:p>
    <w:p w14:paraId="42604754" w14:textId="77777777" w:rsidR="00791F61" w:rsidRPr="00405303" w:rsidRDefault="00791F61" w:rsidP="00791F61">
      <w:pPr>
        <w:jc w:val="both"/>
        <w:rPr>
          <w:color w:val="0070C0"/>
          <w:sz w:val="16"/>
          <w:szCs w:val="16"/>
        </w:rPr>
      </w:pPr>
    </w:p>
    <w:p w14:paraId="29CB855E" w14:textId="77777777" w:rsidR="004B4E35" w:rsidRPr="00405303" w:rsidRDefault="009E6F82" w:rsidP="00C15251">
      <w:pPr>
        <w:jc w:val="both"/>
        <w:rPr>
          <w:bCs/>
          <w:color w:val="002060"/>
          <w:sz w:val="16"/>
          <w:szCs w:val="16"/>
        </w:rPr>
      </w:pPr>
      <w:r w:rsidRPr="00405303">
        <w:rPr>
          <w:bCs/>
          <w:color w:val="002060"/>
          <w:sz w:val="16"/>
          <w:szCs w:val="16"/>
        </w:rPr>
        <w:t>6 (19) апреля 1915 - "ИМ-Киевский" совершает налет на Млаву, экипаж состоит из командира лейтенанта Башко, его заместителя, лейтенанта М.В. Смирнова и артиллерийского офицера лейтенанта Г. Бойе. Разрушена железнодорожная станция во Млаве. Командир Башко и его экипаж сбросили одиннадцать 16-ти кг и шесть 8-ми кг бомб. "ИМ-3", экипаж которого составляли штабс-капитан Бродович, его заместитель, лейтенант М.П. Спасов и артиллерийский офицер лейтенант Гагуа, пролетел над Плоцком, и обнаружил, что мост через Вислу взорван.</w:t>
      </w:r>
    </w:p>
    <w:p w14:paraId="7FC82A6E" w14:textId="77777777" w:rsidR="004B4E35" w:rsidRPr="00405303" w:rsidRDefault="009E6F82" w:rsidP="00C15251">
      <w:pPr>
        <w:jc w:val="both"/>
        <w:rPr>
          <w:bCs/>
          <w:color w:val="002060"/>
          <w:sz w:val="16"/>
          <w:szCs w:val="16"/>
        </w:rPr>
      </w:pPr>
      <w:r w:rsidRPr="00405303">
        <w:rPr>
          <w:bCs/>
          <w:color w:val="002060"/>
          <w:sz w:val="16"/>
          <w:szCs w:val="16"/>
        </w:rPr>
        <w:t>Кроме того, "ИМ-Киевский" сбросил бомбы на немецкий аэродром в Санниках. Эти бомбы разрушили палаточный ангар и аэроплан. "ИМ-3" над Бзурой напоролся на сильный зенитный огонь, но удачно миновал его (11999).</w:t>
      </w:r>
    </w:p>
    <w:p w14:paraId="3D10C282" w14:textId="77777777" w:rsidR="004B4E35" w:rsidRPr="00405303" w:rsidRDefault="004B4E35" w:rsidP="00C15251">
      <w:pPr>
        <w:jc w:val="both"/>
        <w:rPr>
          <w:bCs/>
          <w:color w:val="002060"/>
          <w:sz w:val="16"/>
          <w:szCs w:val="16"/>
        </w:rPr>
      </w:pPr>
    </w:p>
    <w:p w14:paraId="4702DB81" w14:textId="77777777" w:rsidR="004B4E35" w:rsidRPr="00405303" w:rsidRDefault="009E6F82" w:rsidP="00C15251">
      <w:pPr>
        <w:jc w:val="both"/>
        <w:rPr>
          <w:bCs/>
          <w:color w:val="002060"/>
          <w:sz w:val="16"/>
          <w:szCs w:val="16"/>
        </w:rPr>
      </w:pPr>
      <w:r w:rsidRPr="00405303">
        <w:rPr>
          <w:bCs/>
          <w:color w:val="002060"/>
          <w:sz w:val="16"/>
          <w:szCs w:val="16"/>
        </w:rPr>
        <w:t xml:space="preserve">В начале апреля 1915 года в боевых вылетах к "Киевскому" присоединился III корабль Бродовича. "Близнецов" можно было различить только по передней части кабины: более поздний корабль Бродовича имел увеличенную площадь остекления кабины - на потолочной части сделали 16 круглых "иллюминаторов" вместо двух, дополнительные стёкла были установлены в нижней части боковых стенок. </w:t>
      </w:r>
    </w:p>
    <w:p w14:paraId="53ABBB61" w14:textId="77777777" w:rsidR="004B4E35" w:rsidRPr="00405303" w:rsidRDefault="009E6F82" w:rsidP="00C15251">
      <w:pPr>
        <w:jc w:val="both"/>
        <w:rPr>
          <w:bCs/>
          <w:color w:val="002060"/>
          <w:sz w:val="16"/>
          <w:szCs w:val="16"/>
        </w:rPr>
      </w:pPr>
      <w:r w:rsidRPr="00405303">
        <w:rPr>
          <w:bCs/>
          <w:color w:val="002060"/>
          <w:sz w:val="16"/>
          <w:szCs w:val="16"/>
        </w:rPr>
        <w:t>Почти в каждом полёте "Муромцы" наводили ужас на врага своим точным бомбометанием. Так, 6 апреля "Киевский" задал жару станциям Млава и Млавка, сбросив 17 бомб и попав в пути и железнодорожные сооружения. Было убито шесть солдат и 13 ранено. Пока "Киевский" громил станции. III корабль нанёс визит вежливости на аэродром полевого немецкого отряда (FFA4) в Санниках, который располагался в 80 км западнее Варшавы. Бродович "высыпал" на немцев более двадцати бомб, поразив ангары и открыто стоящие аэропланы. По крайней мере один из аппаратов был повреждён. Через несколько дней, 12 апреля шесть аэропланов этой части в ответ совершили налёт на аэродром Эскадры, попав одной бомбой в сарай с пустыми бочками, осколками мелких бомб был повреждён радиатор одного из новых кораблей и немного пострадала машина Алехновича (12041).</w:t>
      </w:r>
    </w:p>
    <w:p w14:paraId="7E405811" w14:textId="77777777" w:rsidR="004B4E35" w:rsidRPr="00405303" w:rsidRDefault="004B4E35" w:rsidP="00C15251">
      <w:pPr>
        <w:jc w:val="both"/>
        <w:rPr>
          <w:bCs/>
          <w:color w:val="002060"/>
          <w:sz w:val="16"/>
          <w:szCs w:val="16"/>
        </w:rPr>
      </w:pPr>
    </w:p>
    <w:p w14:paraId="4C20C91F" w14:textId="1EC69491" w:rsidR="00652CA7" w:rsidRPr="00405303" w:rsidRDefault="00652CA7" w:rsidP="00C15251">
      <w:pPr>
        <w:jc w:val="both"/>
        <w:rPr>
          <w:bCs/>
          <w:color w:val="002060"/>
          <w:sz w:val="16"/>
          <w:szCs w:val="16"/>
        </w:rPr>
      </w:pPr>
      <w:r w:rsidRPr="00405303">
        <w:rPr>
          <w:bCs/>
          <w:color w:val="002060"/>
          <w:sz w:val="16"/>
          <w:szCs w:val="16"/>
        </w:rPr>
        <w:t>6 (19) апреля 1915 г. вылетом пары Горшкова и Бродовича после вынужденного из-за погодных условий перерыва была возобновлена боевая работа эскадры. Заметного противодейст</w:t>
      </w:r>
      <w:r w:rsidRPr="00405303">
        <w:rPr>
          <w:bCs/>
          <w:color w:val="002060"/>
          <w:sz w:val="16"/>
          <w:szCs w:val="16"/>
        </w:rPr>
        <w:softHyphen/>
        <w:t>вия кораблям опять не было. Это несколько озадачило командование, но потом все прояснилось. Разведка до</w:t>
      </w:r>
      <w:r w:rsidRPr="00405303">
        <w:rPr>
          <w:bCs/>
          <w:color w:val="002060"/>
          <w:sz w:val="16"/>
          <w:szCs w:val="16"/>
        </w:rPr>
        <w:softHyphen/>
        <w:t>несла, что в немецких войсках был отдан приказ, по ко</w:t>
      </w:r>
      <w:r w:rsidRPr="00405303">
        <w:rPr>
          <w:bCs/>
          <w:color w:val="002060"/>
          <w:sz w:val="16"/>
          <w:szCs w:val="16"/>
        </w:rPr>
        <w:softHyphen/>
        <w:t>торому предупреждалось, что доносящий о пролете рус</w:t>
      </w:r>
      <w:r w:rsidRPr="00405303">
        <w:rPr>
          <w:bCs/>
          <w:color w:val="002060"/>
          <w:sz w:val="16"/>
          <w:szCs w:val="16"/>
        </w:rPr>
        <w:softHyphen/>
        <w:t>ских многомоторных самолетов будет отдан под суд за распространение ложных панических слухов. У русских нет и быть не может больших аэропланов (24177).</w:t>
      </w:r>
    </w:p>
    <w:p w14:paraId="20D08920" w14:textId="77777777" w:rsidR="00652CA7" w:rsidRPr="00405303" w:rsidRDefault="00652CA7" w:rsidP="00C15251">
      <w:pPr>
        <w:jc w:val="both"/>
        <w:rPr>
          <w:bCs/>
          <w:color w:val="002060"/>
          <w:sz w:val="16"/>
          <w:szCs w:val="16"/>
          <w:lang w:bidi="en-US"/>
        </w:rPr>
      </w:pPr>
    </w:p>
    <w:p w14:paraId="057F9098"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Морская авиация:</w:t>
      </w:r>
    </w:p>
    <w:p w14:paraId="09DAD9FC" w14:textId="77777777" w:rsidR="004B4E35" w:rsidRPr="00405303" w:rsidRDefault="004B4E35" w:rsidP="00C15251">
      <w:pPr>
        <w:pStyle w:val="a3"/>
        <w:jc w:val="both"/>
        <w:rPr>
          <w:bCs/>
          <w:color w:val="002060"/>
          <w:spacing w:val="0"/>
          <w:kern w:val="0"/>
          <w:position w:val="0"/>
          <w:sz w:val="16"/>
          <w:szCs w:val="16"/>
        </w:rPr>
      </w:pPr>
    </w:p>
    <w:p w14:paraId="2BE945F4" w14:textId="77777777" w:rsidR="004B4E35" w:rsidRPr="00405303" w:rsidRDefault="009E6F82" w:rsidP="00C15251">
      <w:pPr>
        <w:jc w:val="both"/>
        <w:rPr>
          <w:bCs/>
          <w:color w:val="002060"/>
          <w:sz w:val="16"/>
          <w:szCs w:val="16"/>
        </w:rPr>
      </w:pPr>
      <w:r w:rsidRPr="00405303">
        <w:rPr>
          <w:bCs/>
          <w:color w:val="002060"/>
          <w:sz w:val="16"/>
          <w:szCs w:val="16"/>
        </w:rPr>
        <w:t>6 (19) апреля 1915 вылетом пары Горшкова и Бродовича после вынужденного из-за погодных условий перерыва были возобновлена боевая работа. Заметного противодействия кораблям опять не было. Это несколько озадачил" командование, но потом все прояснилось. Разведка до несла, что в немецких войсках был отдан приказ, по которому предупреждалось, что доносящий о пролете русских многомоторных самолетов будет отдан под суд ли распространение ложных панических слухов. У русских нет и быть не может больших аэропланов (11230).</w:t>
      </w:r>
    </w:p>
    <w:p w14:paraId="2F2D7E54" w14:textId="77777777" w:rsidR="004B4E35" w:rsidRPr="00405303" w:rsidRDefault="004B4E35" w:rsidP="00C15251">
      <w:pPr>
        <w:jc w:val="both"/>
        <w:rPr>
          <w:bCs/>
          <w:color w:val="002060"/>
          <w:sz w:val="16"/>
          <w:szCs w:val="16"/>
        </w:rPr>
      </w:pPr>
    </w:p>
    <w:p w14:paraId="7F542A70" w14:textId="77777777" w:rsidR="00C44E2D" w:rsidRPr="00405303" w:rsidRDefault="00C44E2D" w:rsidP="00C15251">
      <w:pPr>
        <w:jc w:val="both"/>
        <w:rPr>
          <w:bCs/>
          <w:i/>
          <w:color w:val="002060"/>
          <w:sz w:val="16"/>
          <w:szCs w:val="16"/>
        </w:rPr>
      </w:pPr>
      <w:r w:rsidRPr="00405303">
        <w:rPr>
          <w:bCs/>
          <w:i/>
          <w:color w:val="002060"/>
          <w:sz w:val="16"/>
          <w:szCs w:val="16"/>
        </w:rPr>
        <w:t>Авиация и воздухоплавание Франции:</w:t>
      </w:r>
    </w:p>
    <w:p w14:paraId="5AED074B" w14:textId="77777777" w:rsidR="00C44E2D" w:rsidRPr="00405303" w:rsidRDefault="00C44E2D" w:rsidP="00C15251">
      <w:pPr>
        <w:jc w:val="both"/>
        <w:rPr>
          <w:bCs/>
          <w:i/>
          <w:color w:val="002060"/>
          <w:sz w:val="16"/>
          <w:szCs w:val="16"/>
        </w:rPr>
      </w:pPr>
    </w:p>
    <w:p w14:paraId="523DA4C8" w14:textId="77777777" w:rsidR="00C44E2D" w:rsidRPr="00405303" w:rsidRDefault="00C44E2D" w:rsidP="00C15251">
      <w:pPr>
        <w:pStyle w:val="2"/>
        <w:spacing w:before="0" w:after="0"/>
        <w:jc w:val="both"/>
        <w:rPr>
          <w:b w:val="0"/>
          <w:bCs/>
          <w:color w:val="002060"/>
          <w:sz w:val="16"/>
          <w:szCs w:val="16"/>
        </w:rPr>
      </w:pPr>
      <w:r w:rsidRPr="00405303">
        <w:rPr>
          <w:b w:val="0"/>
          <w:bCs/>
          <w:color w:val="002060"/>
          <w:sz w:val="16"/>
          <w:szCs w:val="16"/>
        </w:rPr>
        <w:t>6 (19) апреля 1915 из-за вынужденной посадки Гаро попал в плен. Изучив самолет Гарро, работавший в Германии голландец А.Фоккер менее чем за месяц оснастил свой истребитель синхронизатором (15464).</w:t>
      </w:r>
    </w:p>
    <w:p w14:paraId="21E77303" w14:textId="77777777" w:rsidR="00C44E2D" w:rsidRPr="00405303" w:rsidRDefault="00C44E2D" w:rsidP="00C15251">
      <w:pPr>
        <w:pStyle w:val="2"/>
        <w:spacing w:before="0" w:after="0"/>
        <w:jc w:val="both"/>
        <w:rPr>
          <w:b w:val="0"/>
          <w:bCs/>
          <w:color w:val="002060"/>
          <w:sz w:val="16"/>
          <w:szCs w:val="16"/>
        </w:rPr>
      </w:pPr>
    </w:p>
    <w:p w14:paraId="7288CBFE" w14:textId="77777777" w:rsidR="004A61F3" w:rsidRPr="00405303" w:rsidRDefault="004A61F3" w:rsidP="00C15251">
      <w:pPr>
        <w:jc w:val="both"/>
        <w:rPr>
          <w:bCs/>
          <w:i/>
          <w:color w:val="002060"/>
          <w:sz w:val="16"/>
          <w:szCs w:val="16"/>
        </w:rPr>
      </w:pPr>
      <w:r w:rsidRPr="00405303">
        <w:rPr>
          <w:bCs/>
          <w:i/>
          <w:color w:val="002060"/>
          <w:sz w:val="16"/>
          <w:szCs w:val="16"/>
        </w:rPr>
        <w:t>Авиация и воздухоплавание Англии:</w:t>
      </w:r>
    </w:p>
    <w:p w14:paraId="0506B435" w14:textId="77777777" w:rsidR="004A61F3" w:rsidRPr="00405303" w:rsidRDefault="004A61F3" w:rsidP="00C15251">
      <w:pPr>
        <w:jc w:val="both"/>
        <w:rPr>
          <w:bCs/>
          <w:i/>
          <w:color w:val="002060"/>
          <w:sz w:val="16"/>
          <w:szCs w:val="16"/>
        </w:rPr>
      </w:pPr>
    </w:p>
    <w:p w14:paraId="3DBA5EA9" w14:textId="77777777" w:rsidR="004A61F3" w:rsidRPr="00405303" w:rsidRDefault="004A61F3" w:rsidP="00C15251">
      <w:pPr>
        <w:jc w:val="both"/>
        <w:rPr>
          <w:bCs/>
          <w:color w:val="002060"/>
          <w:sz w:val="16"/>
          <w:szCs w:val="16"/>
        </w:rPr>
      </w:pPr>
      <w:r w:rsidRPr="00405303">
        <w:rPr>
          <w:bCs/>
          <w:color w:val="002060"/>
          <w:sz w:val="16"/>
          <w:szCs w:val="16"/>
        </w:rPr>
        <w:t>6 (19) апреля 1915 в ходе кампании Галлиполи королевский флот использует воздушный шар с корабля Manica LOFTS для наблюдение – впервые во время Первой мировой войны. Наблюдатель в воздушном шаре направляет и корректирует огонь по османским позициям для броненосца. Работа Manica во время кампании производит впечвтление на британское Адмиралтейство, достаточное для того, чтобы заказать дополнительные морские шары (20338)</w:t>
      </w:r>
    </w:p>
    <w:p w14:paraId="31CE593B" w14:textId="77777777" w:rsidR="004A61F3" w:rsidRPr="00405303" w:rsidRDefault="004A61F3" w:rsidP="00C15251">
      <w:pPr>
        <w:jc w:val="both"/>
        <w:rPr>
          <w:bCs/>
          <w:color w:val="002060"/>
          <w:sz w:val="16"/>
          <w:szCs w:val="16"/>
        </w:rPr>
      </w:pPr>
    </w:p>
    <w:p w14:paraId="7F5FC8E6" w14:textId="77777777" w:rsidR="005C5C21" w:rsidRPr="00405303" w:rsidRDefault="005C5C21" w:rsidP="00C15251">
      <w:pPr>
        <w:jc w:val="both"/>
        <w:rPr>
          <w:bCs/>
          <w:i/>
          <w:color w:val="002060"/>
          <w:sz w:val="16"/>
          <w:szCs w:val="16"/>
        </w:rPr>
      </w:pPr>
      <w:r w:rsidRPr="00405303">
        <w:rPr>
          <w:bCs/>
          <w:i/>
          <w:color w:val="002060"/>
          <w:sz w:val="16"/>
          <w:szCs w:val="16"/>
        </w:rPr>
        <w:t>Авиация:</w:t>
      </w:r>
    </w:p>
    <w:p w14:paraId="18AB23F5" w14:textId="77777777" w:rsidR="005C5C21" w:rsidRPr="00405303" w:rsidRDefault="005C5C21" w:rsidP="00C15251">
      <w:pPr>
        <w:jc w:val="both"/>
        <w:rPr>
          <w:bCs/>
          <w:i/>
          <w:color w:val="002060"/>
          <w:sz w:val="16"/>
          <w:szCs w:val="16"/>
        </w:rPr>
      </w:pPr>
    </w:p>
    <w:p w14:paraId="788F1FFA" w14:textId="77777777" w:rsidR="005C5C21" w:rsidRPr="00405303" w:rsidRDefault="005C5C21" w:rsidP="00C15251">
      <w:pPr>
        <w:jc w:val="both"/>
        <w:rPr>
          <w:bCs/>
          <w:color w:val="002060"/>
          <w:sz w:val="16"/>
          <w:szCs w:val="16"/>
        </w:rPr>
      </w:pPr>
      <w:r w:rsidRPr="00405303">
        <w:rPr>
          <w:bCs/>
          <w:color w:val="002060"/>
          <w:sz w:val="16"/>
          <w:szCs w:val="16"/>
        </w:rPr>
        <w:t>7 (20) апреля 1915 - "ИМ-Киевский" завершил миссию по разрушению железнодорожной станции Сольдау. Гигант сделал шесть кругов над станцией, на которой стояло 15 поездов, затем начал бомбить железнодорожные составы. Команда сделала фотографии взрыва локомотива, который только что начал двигаться. Во время этого полета штабс- капитан Наумов и прапорщик Андреев вылезали на крыло и чинили маслопровод, вероятно перебитый осколком или пулей.</w:t>
      </w:r>
    </w:p>
    <w:p w14:paraId="25CABFF2" w14:textId="77777777" w:rsidR="005C5C21" w:rsidRPr="00405303" w:rsidRDefault="005C5C21" w:rsidP="00C15251">
      <w:pPr>
        <w:jc w:val="both"/>
        <w:rPr>
          <w:bCs/>
          <w:color w:val="002060"/>
          <w:sz w:val="16"/>
          <w:szCs w:val="16"/>
        </w:rPr>
      </w:pPr>
      <w:r w:rsidRPr="00405303">
        <w:rPr>
          <w:bCs/>
          <w:color w:val="002060"/>
          <w:sz w:val="16"/>
          <w:szCs w:val="16"/>
        </w:rPr>
        <w:t>Через полчаса после полета "ИМ-Киевского" "ИМ-3" под командованием штабс-капитана Бродовича бомбил ту же самую станцию. Этот налет вызвал еще большую панику. Экипаж "ИМ-3" заметил другой локомотив, движущийся от станции на полном ходу, возможно, вследствие паники, вызванной "ИМ-Киевским", который разрушил один из локомотивов во время первого рейда.</w:t>
      </w:r>
    </w:p>
    <w:p w14:paraId="6E325FC8" w14:textId="77777777" w:rsidR="005C5C21" w:rsidRPr="00405303" w:rsidRDefault="005C5C21" w:rsidP="00C15251">
      <w:pPr>
        <w:jc w:val="both"/>
        <w:rPr>
          <w:bCs/>
          <w:color w:val="002060"/>
          <w:sz w:val="16"/>
          <w:szCs w:val="16"/>
        </w:rPr>
      </w:pPr>
      <w:r w:rsidRPr="00405303">
        <w:rPr>
          <w:bCs/>
          <w:color w:val="002060"/>
          <w:sz w:val="16"/>
          <w:szCs w:val="16"/>
        </w:rPr>
        <w:t>Всего оба воздушных судна сбросили 40 бомб, из которых тридцать весили более 16 кг каждая (11999).</w:t>
      </w:r>
    </w:p>
    <w:p w14:paraId="1D9176B1" w14:textId="77777777" w:rsidR="005C5C21" w:rsidRPr="00405303" w:rsidRDefault="005C5C21" w:rsidP="00C15251">
      <w:pPr>
        <w:jc w:val="both"/>
        <w:rPr>
          <w:bCs/>
          <w:color w:val="002060"/>
          <w:sz w:val="16"/>
          <w:szCs w:val="16"/>
        </w:rPr>
      </w:pPr>
    </w:p>
    <w:p w14:paraId="708321AA" w14:textId="77777777" w:rsidR="005C5C21" w:rsidRPr="00405303" w:rsidRDefault="005C5C21" w:rsidP="00C15251">
      <w:pPr>
        <w:jc w:val="both"/>
        <w:rPr>
          <w:bCs/>
          <w:color w:val="002060"/>
          <w:sz w:val="16"/>
          <w:szCs w:val="16"/>
        </w:rPr>
      </w:pPr>
      <w:r w:rsidRPr="00405303">
        <w:rPr>
          <w:bCs/>
          <w:color w:val="002060"/>
          <w:sz w:val="16"/>
          <w:szCs w:val="16"/>
        </w:rPr>
        <w:t>7 (20) апреля 1915 г. "близнецы" с перерывом в один час забросали бомбами станцию Сольдау.</w:t>
      </w:r>
    </w:p>
    <w:p w14:paraId="71AF6DE4" w14:textId="77777777" w:rsidR="005C5C21" w:rsidRPr="00405303" w:rsidRDefault="005C5C21" w:rsidP="00C15251">
      <w:pPr>
        <w:jc w:val="both"/>
        <w:rPr>
          <w:bCs/>
          <w:color w:val="002060"/>
          <w:sz w:val="16"/>
          <w:szCs w:val="16"/>
        </w:rPr>
      </w:pPr>
      <w:r w:rsidRPr="00405303">
        <w:rPr>
          <w:bCs/>
          <w:color w:val="002060"/>
          <w:sz w:val="16"/>
          <w:szCs w:val="16"/>
        </w:rPr>
        <w:t>"Киевский", ведомый поручиком Башко (исполнявшим обязанности командира корабля), первый появился над станцией в7.15 утра и сбросил 20 бомб на Сольдау. железнодорожные пути и прилегающее шоссе. Две бомбы попали в состав, причём одна разбила паровоз, так что с высоты ешё долго был виден огромный столб пара. Как позднее выяснилось из немецкой сводки, русский аэроплан сбросил на вокзал в Сольдау, где стояли два поезда с боеприпасами и один санитарный, 13 бомб. Попавшими бомбами были разрушены несколько вагонов, убито восемь раненых солдат, а 20 были ранены.</w:t>
      </w:r>
    </w:p>
    <w:p w14:paraId="7217BCD6" w14:textId="77777777" w:rsidR="005C5C21" w:rsidRPr="00405303" w:rsidRDefault="005C5C21" w:rsidP="00C15251">
      <w:pPr>
        <w:jc w:val="both"/>
        <w:rPr>
          <w:bCs/>
          <w:color w:val="002060"/>
          <w:sz w:val="16"/>
          <w:szCs w:val="16"/>
        </w:rPr>
      </w:pPr>
      <w:r w:rsidRPr="00405303">
        <w:rPr>
          <w:bCs/>
          <w:color w:val="002060"/>
          <w:sz w:val="16"/>
          <w:szCs w:val="16"/>
        </w:rPr>
        <w:t>Одиннадцатого апреля 1915 года два корабля отправились из Яблонны на бомбардировку станции Нейденбург. С высоты 3000 метров они сбросили свыше 30 пудов (480 кг) бомб, были отмечены попадания в железнодорожные пути, здание вокзала и несколько городских зданий. "Киевский" в этом полёте захватил с собой 5-пудовую (82 кг) бомбу (12041).</w:t>
      </w:r>
    </w:p>
    <w:p w14:paraId="13B44512" w14:textId="77777777" w:rsidR="005C5C21" w:rsidRPr="00405303" w:rsidRDefault="005C5C21" w:rsidP="00C15251">
      <w:pPr>
        <w:jc w:val="both"/>
        <w:rPr>
          <w:bCs/>
          <w:color w:val="002060"/>
          <w:sz w:val="16"/>
          <w:szCs w:val="16"/>
        </w:rPr>
      </w:pPr>
    </w:p>
    <w:p w14:paraId="1F439899" w14:textId="77777777" w:rsidR="007446A6" w:rsidRPr="00405303" w:rsidRDefault="007446A6" w:rsidP="007446A6">
      <w:pPr>
        <w:jc w:val="both"/>
        <w:rPr>
          <w:color w:val="0070C0"/>
          <w:sz w:val="16"/>
          <w:szCs w:val="16"/>
        </w:rPr>
      </w:pPr>
      <w:r w:rsidRPr="00405303">
        <w:rPr>
          <w:color w:val="0070C0"/>
          <w:sz w:val="16"/>
          <w:szCs w:val="16"/>
        </w:rPr>
        <w:t>7 (20) апреля 1915 г. Приказом Верховного главнокомандующего № 291 вводятся Положение об Эскадре, ее штат и табель.</w:t>
      </w:r>
    </w:p>
    <w:p w14:paraId="7F41D90E" w14:textId="77777777" w:rsidR="007446A6" w:rsidRPr="00405303" w:rsidRDefault="007446A6" w:rsidP="007446A6">
      <w:pPr>
        <w:jc w:val="both"/>
        <w:rPr>
          <w:color w:val="0070C0"/>
          <w:sz w:val="16"/>
          <w:szCs w:val="16"/>
        </w:rPr>
      </w:pPr>
      <w:r w:rsidRPr="00405303">
        <w:rPr>
          <w:color w:val="0070C0"/>
          <w:sz w:val="16"/>
          <w:szCs w:val="16"/>
        </w:rPr>
        <w:t>По Положению о ЭВК целями ее создания объявлялось: «выяснение боевых свойств Воздушных Кораблей, выработка соответствующего боевого вооружения их, подготовка командного состава и нанесение большего вреда неприятелю в зависимости от степени боевой готовности кораблей». Деятельность ЭВК подразделялась на подготовительную и боевую:</w:t>
      </w:r>
    </w:p>
    <w:p w14:paraId="1C30E620" w14:textId="77777777" w:rsidR="007446A6" w:rsidRPr="00405303" w:rsidRDefault="007446A6" w:rsidP="007446A6">
      <w:pPr>
        <w:jc w:val="both"/>
        <w:rPr>
          <w:color w:val="0070C0"/>
          <w:sz w:val="16"/>
          <w:szCs w:val="16"/>
        </w:rPr>
      </w:pPr>
      <w:r w:rsidRPr="00405303">
        <w:rPr>
          <w:color w:val="0070C0"/>
          <w:sz w:val="16"/>
          <w:szCs w:val="16"/>
        </w:rPr>
        <w:t>«1. Подготовительная:</w:t>
      </w:r>
    </w:p>
    <w:p w14:paraId="1AF90CCE" w14:textId="77777777" w:rsidR="007446A6" w:rsidRPr="00405303" w:rsidRDefault="007446A6" w:rsidP="007446A6">
      <w:pPr>
        <w:jc w:val="both"/>
        <w:rPr>
          <w:color w:val="0070C0"/>
          <w:sz w:val="16"/>
          <w:szCs w:val="16"/>
        </w:rPr>
      </w:pPr>
      <w:r w:rsidRPr="00405303">
        <w:rPr>
          <w:color w:val="0070C0"/>
          <w:sz w:val="16"/>
          <w:szCs w:val="16"/>
        </w:rPr>
        <w:t xml:space="preserve">испытание и изучение боевых свойств каждого корабля, выработка для него соответствующего оборудования и вооружения и определение тех боевых задач, исполнение </w:t>
      </w:r>
      <w:proofErr w:type="gramStart"/>
      <w:r w:rsidRPr="00405303">
        <w:rPr>
          <w:color w:val="0070C0"/>
          <w:sz w:val="16"/>
          <w:szCs w:val="16"/>
        </w:rPr>
        <w:t>которых может быть</w:t>
      </w:r>
      <w:proofErr w:type="gramEnd"/>
      <w:r w:rsidRPr="00405303">
        <w:rPr>
          <w:color w:val="0070C0"/>
          <w:sz w:val="16"/>
          <w:szCs w:val="16"/>
        </w:rPr>
        <w:t xml:space="preserve"> на него возложено;</w:t>
      </w:r>
    </w:p>
    <w:p w14:paraId="5F6CF0A2" w14:textId="77777777" w:rsidR="007446A6" w:rsidRPr="00405303" w:rsidRDefault="007446A6" w:rsidP="007446A6">
      <w:pPr>
        <w:jc w:val="both"/>
        <w:rPr>
          <w:color w:val="0070C0"/>
          <w:sz w:val="16"/>
          <w:szCs w:val="16"/>
        </w:rPr>
      </w:pPr>
      <w:r w:rsidRPr="00405303">
        <w:rPr>
          <w:color w:val="0070C0"/>
          <w:sz w:val="16"/>
          <w:szCs w:val="16"/>
        </w:rPr>
        <w:t>подготовка личного состава кораблей к обслуживанию и управлению механизмами кораблей и выполнению выработанных для них боевых задач.</w:t>
      </w:r>
    </w:p>
    <w:p w14:paraId="715860B9" w14:textId="77777777" w:rsidR="007446A6" w:rsidRPr="00405303" w:rsidRDefault="007446A6" w:rsidP="007446A6">
      <w:pPr>
        <w:jc w:val="both"/>
        <w:rPr>
          <w:color w:val="0070C0"/>
          <w:sz w:val="16"/>
          <w:szCs w:val="16"/>
        </w:rPr>
      </w:pPr>
      <w:r w:rsidRPr="00405303">
        <w:rPr>
          <w:color w:val="0070C0"/>
          <w:sz w:val="16"/>
          <w:szCs w:val="16"/>
        </w:rPr>
        <w:t>2. Боевая:</w:t>
      </w:r>
    </w:p>
    <w:p w14:paraId="66838C4B" w14:textId="77777777" w:rsidR="007446A6" w:rsidRPr="00405303" w:rsidRDefault="007446A6" w:rsidP="007446A6">
      <w:pPr>
        <w:jc w:val="both"/>
        <w:rPr>
          <w:color w:val="0070C0"/>
          <w:sz w:val="16"/>
          <w:szCs w:val="16"/>
        </w:rPr>
      </w:pPr>
      <w:r w:rsidRPr="00405303">
        <w:rPr>
          <w:color w:val="0070C0"/>
          <w:sz w:val="16"/>
          <w:szCs w:val="16"/>
        </w:rPr>
        <w:lastRenderedPageBreak/>
        <w:t>разрушение при помощи бросания бомб укреплений и сооружений, важных в военном отношении, железнодорожных путей, а также поражение резервов и обозов в тылу неприятельских армий;</w:t>
      </w:r>
    </w:p>
    <w:p w14:paraId="5FAA1972" w14:textId="77777777" w:rsidR="007446A6" w:rsidRPr="00405303" w:rsidRDefault="007446A6" w:rsidP="007446A6">
      <w:pPr>
        <w:jc w:val="both"/>
        <w:rPr>
          <w:color w:val="0070C0"/>
          <w:sz w:val="16"/>
          <w:szCs w:val="16"/>
        </w:rPr>
      </w:pPr>
      <w:r w:rsidRPr="00405303">
        <w:rPr>
          <w:color w:val="0070C0"/>
          <w:sz w:val="16"/>
          <w:szCs w:val="16"/>
        </w:rPr>
        <w:t>поражение ружейным и орудийным огнем неприятельских управляемых аэростатов, воздушных кораблей и аэропланов;</w:t>
      </w:r>
    </w:p>
    <w:p w14:paraId="1B9F2274" w14:textId="77777777" w:rsidR="007446A6" w:rsidRPr="00405303" w:rsidRDefault="007446A6" w:rsidP="007446A6">
      <w:pPr>
        <w:jc w:val="both"/>
        <w:rPr>
          <w:color w:val="0070C0"/>
          <w:sz w:val="16"/>
          <w:szCs w:val="16"/>
        </w:rPr>
      </w:pPr>
      <w:r w:rsidRPr="00405303">
        <w:rPr>
          <w:color w:val="0070C0"/>
          <w:sz w:val="16"/>
          <w:szCs w:val="16"/>
        </w:rPr>
        <w:t>производство разведок и фотографирование неприятельских позиций и укреплений».</w:t>
      </w:r>
    </w:p>
    <w:p w14:paraId="42F96F2B" w14:textId="77777777" w:rsidR="007446A6" w:rsidRPr="00405303" w:rsidRDefault="007446A6" w:rsidP="007446A6">
      <w:pPr>
        <w:jc w:val="both"/>
        <w:rPr>
          <w:color w:val="0070C0"/>
          <w:sz w:val="16"/>
          <w:szCs w:val="16"/>
        </w:rPr>
      </w:pPr>
      <w:r w:rsidRPr="00405303">
        <w:rPr>
          <w:color w:val="0070C0"/>
          <w:sz w:val="16"/>
          <w:szCs w:val="16"/>
        </w:rPr>
        <w:t>По штату в ЭВК полагалось 10 боевых и два учебных «муромца» (24965).</w:t>
      </w:r>
    </w:p>
    <w:p w14:paraId="762A92D8" w14:textId="77777777" w:rsidR="007446A6" w:rsidRPr="00405303" w:rsidRDefault="007446A6" w:rsidP="007446A6">
      <w:pPr>
        <w:jc w:val="both"/>
        <w:rPr>
          <w:color w:val="0070C0"/>
          <w:sz w:val="16"/>
          <w:szCs w:val="16"/>
        </w:rPr>
      </w:pPr>
    </w:p>
    <w:p w14:paraId="5A505A95" w14:textId="77777777" w:rsidR="007446A6" w:rsidRPr="00405303" w:rsidRDefault="007446A6" w:rsidP="007446A6">
      <w:pPr>
        <w:widowControl w:val="0"/>
        <w:tabs>
          <w:tab w:val="left" w:pos="730"/>
        </w:tabs>
        <w:jc w:val="both"/>
        <w:rPr>
          <w:color w:val="0070C0"/>
          <w:sz w:val="16"/>
          <w:szCs w:val="16"/>
        </w:rPr>
      </w:pPr>
      <w:r w:rsidRPr="00405303">
        <w:rPr>
          <w:rStyle w:val="aa"/>
          <w:rFonts w:ascii="Times New Roman" w:hAnsi="Times New Roman"/>
          <w:color w:val="0070C0"/>
          <w:spacing w:val="0"/>
          <w:sz w:val="16"/>
          <w:szCs w:val="16"/>
        </w:rPr>
        <w:t>7 (20) апреля 1915 г. 10 немецких самолетов появились в небе г. Белосток и сбросили более 100 бомб на его кварталы. Вследствие скученности последних среди мирных жителей (еврейской национальности) имелись многочисленные жертвы: 13 человек убитыми и 50 ранеными. Местами возникли пожары. Для перехвата противника в небо были подняты русские самолеты. В результате преследования противника удалось сбить один из неприятельских летательных аппаратов (упал вблизи ж/д ст. Староселиц). Экипаж аэроплана позднее был задержан.</w:t>
      </w:r>
    </w:p>
    <w:p w14:paraId="57AFF88B" w14:textId="77777777" w:rsidR="007446A6" w:rsidRPr="00405303" w:rsidRDefault="007446A6" w:rsidP="007446A6">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По сообщениям корреспондента газеты «Петроградский листок», «под бомбардировку с германских аэропланов в Белостоке попал среди других пассажиров поезда прибывший в этот город из Вильны известный артист-дрессировщик Владимир Дуров [с женой, с благополучным исходом]». Подобной воздушной бомбардировке подверглись тыловые части и объекты в Праснышском, Ломжинском и Осовец-Гродненском районах. Ранее в районе Остроленка – Новгород – Цеханов отмечались групповые полеты неприятельской авиации (до 12–15 аппаратов). В ходе бомбардировок населенных пунктов над ними сбрасывалось одновременно до 180 легких бомб с целью разрушения зданий и сооружений.</w:t>
      </w:r>
    </w:p>
    <w:p w14:paraId="14DED45A" w14:textId="77777777" w:rsidR="007446A6" w:rsidRPr="00405303" w:rsidRDefault="007446A6" w:rsidP="007446A6">
      <w:pPr>
        <w:jc w:val="both"/>
        <w:rPr>
          <w:color w:val="0070C0"/>
          <w:sz w:val="16"/>
          <w:szCs w:val="16"/>
        </w:rPr>
      </w:pPr>
      <w:r w:rsidRPr="00405303">
        <w:rPr>
          <w:rStyle w:val="aa"/>
          <w:rFonts w:ascii="Times New Roman" w:hAnsi="Times New Roman"/>
          <w:color w:val="0070C0"/>
          <w:spacing w:val="0"/>
          <w:sz w:val="16"/>
          <w:szCs w:val="16"/>
        </w:rPr>
        <w:t>Объектами нападения с воздуха также выступала передовая линия обороны русских войск между реками Бобр и Висла, на которую было сброшено большое количество бомб, не причинивших нашей стороне особого вреда (25135).</w:t>
      </w:r>
    </w:p>
    <w:p w14:paraId="43852ABB" w14:textId="77777777" w:rsidR="007446A6" w:rsidRPr="00405303" w:rsidRDefault="007446A6" w:rsidP="007446A6">
      <w:pPr>
        <w:jc w:val="both"/>
        <w:rPr>
          <w:color w:val="0070C0"/>
          <w:sz w:val="16"/>
          <w:szCs w:val="16"/>
        </w:rPr>
      </w:pPr>
    </w:p>
    <w:p w14:paraId="05CA899A" w14:textId="77777777" w:rsidR="005C5C21" w:rsidRPr="00405303" w:rsidRDefault="005C5C21" w:rsidP="00C15251">
      <w:pPr>
        <w:jc w:val="both"/>
        <w:rPr>
          <w:bCs/>
          <w:i/>
          <w:color w:val="002060"/>
          <w:sz w:val="16"/>
          <w:szCs w:val="16"/>
        </w:rPr>
      </w:pPr>
      <w:r w:rsidRPr="00405303">
        <w:rPr>
          <w:bCs/>
          <w:i/>
          <w:color w:val="002060"/>
          <w:sz w:val="16"/>
          <w:szCs w:val="16"/>
        </w:rPr>
        <w:t>Авиация и воздухоплавание за рубежом:</w:t>
      </w:r>
    </w:p>
    <w:p w14:paraId="460D860D" w14:textId="77777777" w:rsidR="005C5C21" w:rsidRPr="00405303" w:rsidRDefault="005C5C21" w:rsidP="00C15251">
      <w:pPr>
        <w:jc w:val="both"/>
        <w:rPr>
          <w:bCs/>
          <w:i/>
          <w:color w:val="002060"/>
          <w:sz w:val="16"/>
          <w:szCs w:val="16"/>
        </w:rPr>
      </w:pPr>
    </w:p>
    <w:p w14:paraId="0FDC87E7" w14:textId="77777777" w:rsidR="005C5C21" w:rsidRPr="00405303" w:rsidRDefault="005C5C21" w:rsidP="00C15251">
      <w:pPr>
        <w:jc w:val="both"/>
        <w:rPr>
          <w:bCs/>
          <w:color w:val="002060"/>
          <w:sz w:val="16"/>
          <w:szCs w:val="16"/>
        </w:rPr>
      </w:pPr>
      <w:r w:rsidRPr="00405303">
        <w:rPr>
          <w:bCs/>
          <w:color w:val="002060"/>
          <w:sz w:val="16"/>
          <w:szCs w:val="16"/>
        </w:rPr>
        <w:t>7 (20) апреля 1915 выполняя разведывательную миссию вдоль границы с Мексикой на биплане Martin T, старший лейтенант Байрон К. Джонс (пилот) и лейтенант Томас Д. Миллинг (наблюдатель) стали первыми авиаторами армии США, попавшими под огонь противника во время когда мексиканские силы открывают по ним огонь из стрелкового оружия и по крайней мере из одного пулемета, когда они находятся над Рио-Гранде в Браунсвилле , штат Техас. Их самолет был сбит, но они не пострадали. Это считается первым боевым вылетом в истории армии США (20338).</w:t>
      </w:r>
    </w:p>
    <w:p w14:paraId="1A5660F8" w14:textId="77777777" w:rsidR="005C5C21" w:rsidRPr="00405303" w:rsidRDefault="005C5C21" w:rsidP="00C15251">
      <w:pPr>
        <w:jc w:val="both"/>
        <w:rPr>
          <w:bCs/>
          <w:color w:val="002060"/>
          <w:sz w:val="16"/>
          <w:szCs w:val="16"/>
        </w:rPr>
      </w:pPr>
    </w:p>
    <w:p w14:paraId="7ED2B879" w14:textId="77777777" w:rsidR="005C5C21" w:rsidRPr="00405303" w:rsidRDefault="005C5C21" w:rsidP="00C15251">
      <w:pPr>
        <w:jc w:val="both"/>
        <w:rPr>
          <w:bCs/>
          <w:i/>
          <w:color w:val="002060"/>
          <w:sz w:val="16"/>
          <w:szCs w:val="16"/>
        </w:rPr>
      </w:pPr>
      <w:r w:rsidRPr="00405303">
        <w:rPr>
          <w:bCs/>
          <w:i/>
          <w:color w:val="002060"/>
          <w:sz w:val="16"/>
          <w:szCs w:val="16"/>
        </w:rPr>
        <w:t>За рубежом:</w:t>
      </w:r>
    </w:p>
    <w:p w14:paraId="74FBE481" w14:textId="77777777" w:rsidR="005C5C21" w:rsidRPr="00405303" w:rsidRDefault="005C5C21" w:rsidP="00C15251">
      <w:pPr>
        <w:jc w:val="both"/>
        <w:rPr>
          <w:bCs/>
          <w:i/>
          <w:color w:val="002060"/>
          <w:sz w:val="16"/>
          <w:szCs w:val="16"/>
        </w:rPr>
      </w:pPr>
    </w:p>
    <w:p w14:paraId="7E7A0E17" w14:textId="77777777" w:rsidR="005C5C21" w:rsidRPr="00405303" w:rsidRDefault="005C5C21" w:rsidP="00C15251">
      <w:pPr>
        <w:pStyle w:val="ae"/>
        <w:spacing w:before="0" w:beforeAutospacing="0" w:after="0" w:afterAutospacing="0"/>
        <w:jc w:val="both"/>
        <w:rPr>
          <w:bCs/>
          <w:color w:val="002060"/>
          <w:sz w:val="16"/>
          <w:szCs w:val="16"/>
        </w:rPr>
      </w:pPr>
      <w:r w:rsidRPr="00405303">
        <w:rPr>
          <w:bCs/>
          <w:color w:val="002060"/>
          <w:sz w:val="16"/>
          <w:szCs w:val="16"/>
        </w:rPr>
        <w:t>7 апреля – 11 мая (20 апреля — 24 мая) 1915 г. была «</w:t>
      </w:r>
      <w:r w:rsidRPr="00405303">
        <w:rPr>
          <w:rStyle w:val="af"/>
          <w:rFonts w:eastAsia="Microsoft Sans Serif"/>
          <w:bCs/>
          <w:color w:val="002060"/>
          <w:sz w:val="16"/>
          <w:szCs w:val="16"/>
        </w:rPr>
        <w:t>Вторая битва под Ипром</w:t>
      </w:r>
      <w:r w:rsidRPr="00405303">
        <w:rPr>
          <w:bCs/>
          <w:color w:val="002060"/>
          <w:sz w:val="16"/>
          <w:szCs w:val="16"/>
        </w:rPr>
        <w:t>» (Ипр — небольшой городок на севере Бельгии).</w:t>
      </w:r>
    </w:p>
    <w:p w14:paraId="2B7B717B" w14:textId="77777777" w:rsidR="005C5C21" w:rsidRPr="00405303" w:rsidRDefault="005C5C21" w:rsidP="00C15251">
      <w:pPr>
        <w:pStyle w:val="ae"/>
        <w:spacing w:before="0" w:beforeAutospacing="0" w:after="0" w:afterAutospacing="0"/>
        <w:jc w:val="both"/>
        <w:rPr>
          <w:bCs/>
          <w:color w:val="002060"/>
          <w:sz w:val="16"/>
          <w:szCs w:val="16"/>
        </w:rPr>
      </w:pPr>
      <w:r w:rsidRPr="00405303">
        <w:rPr>
          <w:bCs/>
          <w:color w:val="002060"/>
          <w:sz w:val="16"/>
          <w:szCs w:val="16"/>
        </w:rPr>
        <w:t>Первые сведения о готовящейся под Ипром газовой атаке поступило в британскую армию благодаря показанию одного немецкого дезертира, который утверждал, что германское командование намеревается отравить своего врага облаком газа и что цилиндры с газом уже установлены в траншеях. Никто не обратил внимания на его рассказ. Такая операция казалась совершенно невозможной. Эта информация появилась в сводке разведок главного штаба, но была причислена к «сведениям, не заслуживающим доверия».</w:t>
      </w:r>
    </w:p>
    <w:p w14:paraId="39BD4F87" w14:textId="77777777" w:rsidR="005C5C21" w:rsidRPr="00405303" w:rsidRDefault="005C5C21" w:rsidP="00C15251">
      <w:pPr>
        <w:pStyle w:val="ae"/>
        <w:spacing w:before="0" w:beforeAutospacing="0" w:after="0" w:afterAutospacing="0"/>
        <w:jc w:val="both"/>
        <w:rPr>
          <w:bCs/>
          <w:color w:val="002060"/>
          <w:sz w:val="16"/>
          <w:szCs w:val="16"/>
        </w:rPr>
      </w:pPr>
      <w:r w:rsidRPr="00405303">
        <w:rPr>
          <w:bCs/>
          <w:color w:val="002060"/>
          <w:sz w:val="16"/>
          <w:szCs w:val="16"/>
        </w:rPr>
        <w:t>Для химической атаки немцами был выбран участок фронта, находившийся в северо-восточной части Ипрского выступа, на том месте, где сходились французский и английский фронты, направляясь к югу, и откуда отходили траншеи от канала близ Безинге (20246).</w:t>
      </w:r>
    </w:p>
    <w:p w14:paraId="2EA0D1B3" w14:textId="77777777" w:rsidR="005C5C21" w:rsidRPr="00405303" w:rsidRDefault="005C5C21" w:rsidP="00C15251">
      <w:pPr>
        <w:pStyle w:val="ae"/>
        <w:spacing w:before="0" w:beforeAutospacing="0" w:after="0" w:afterAutospacing="0"/>
        <w:jc w:val="both"/>
        <w:rPr>
          <w:bCs/>
          <w:color w:val="002060"/>
          <w:sz w:val="16"/>
          <w:szCs w:val="16"/>
        </w:rPr>
      </w:pPr>
    </w:p>
    <w:p w14:paraId="686F328D" w14:textId="49F264B4" w:rsidR="00652CA7" w:rsidRPr="00405303" w:rsidRDefault="00652CA7" w:rsidP="00C15251">
      <w:pPr>
        <w:jc w:val="both"/>
        <w:rPr>
          <w:bCs/>
          <w:i/>
          <w:color w:val="002060"/>
          <w:sz w:val="16"/>
          <w:szCs w:val="16"/>
        </w:rPr>
      </w:pPr>
      <w:r w:rsidRPr="00405303">
        <w:rPr>
          <w:bCs/>
          <w:i/>
          <w:color w:val="002060"/>
          <w:sz w:val="16"/>
          <w:szCs w:val="16"/>
        </w:rPr>
        <w:t>Самолетостроение:</w:t>
      </w:r>
    </w:p>
    <w:p w14:paraId="6B28D735" w14:textId="77777777" w:rsidR="00652CA7" w:rsidRPr="00405303" w:rsidRDefault="00652CA7" w:rsidP="00C15251">
      <w:pPr>
        <w:jc w:val="both"/>
        <w:rPr>
          <w:bCs/>
          <w:i/>
          <w:color w:val="002060"/>
          <w:sz w:val="16"/>
          <w:szCs w:val="16"/>
        </w:rPr>
      </w:pPr>
    </w:p>
    <w:p w14:paraId="18D50EC8" w14:textId="77777777" w:rsidR="00652CA7" w:rsidRPr="00405303" w:rsidRDefault="00652CA7" w:rsidP="00C15251">
      <w:pPr>
        <w:jc w:val="both"/>
        <w:rPr>
          <w:bCs/>
          <w:color w:val="002060"/>
          <w:sz w:val="16"/>
          <w:szCs w:val="16"/>
        </w:rPr>
      </w:pPr>
      <w:r w:rsidRPr="00405303">
        <w:rPr>
          <w:bCs/>
          <w:color w:val="002060"/>
          <w:sz w:val="16"/>
          <w:szCs w:val="16"/>
        </w:rPr>
        <w:t>В первых числах апреле 1915 г. корабль «Илья Муромец» В-10 (ИМ В-10 № 151 «остроносый», борт № III) экз. № 10, стратегический разведчик, тяжелый бомбардировщик прибыл на базу ЭВК Яблона и был подготовлен к боевым вылетам, которые совершались с бомбами и двумя пулеметами, а затем с одним Мадсен М.1904 с 75 патронами (3 магазина).</w:t>
      </w:r>
    </w:p>
    <w:p w14:paraId="40A4D251" w14:textId="77777777" w:rsidR="00652CA7" w:rsidRPr="00405303" w:rsidRDefault="00652CA7" w:rsidP="00C15251">
      <w:pPr>
        <w:jc w:val="both"/>
        <w:rPr>
          <w:bCs/>
          <w:color w:val="002060"/>
          <w:sz w:val="16"/>
          <w:szCs w:val="16"/>
        </w:rPr>
      </w:pPr>
      <w:r w:rsidRPr="00405303">
        <w:rPr>
          <w:bCs/>
          <w:color w:val="002060"/>
          <w:sz w:val="16"/>
          <w:szCs w:val="16"/>
        </w:rPr>
        <w:t>06.04.15 г. (19.05.15 г.) корабль совершил первый боевой вылет.</w:t>
      </w:r>
    </w:p>
    <w:p w14:paraId="0E254818" w14:textId="77777777" w:rsidR="00652CA7" w:rsidRPr="00405303" w:rsidRDefault="00652CA7" w:rsidP="00C15251">
      <w:pPr>
        <w:jc w:val="both"/>
        <w:rPr>
          <w:bCs/>
          <w:color w:val="002060"/>
          <w:sz w:val="16"/>
          <w:szCs w:val="16"/>
        </w:rPr>
      </w:pPr>
      <w:r w:rsidRPr="00405303">
        <w:rPr>
          <w:bCs/>
          <w:color w:val="002060"/>
          <w:sz w:val="16"/>
          <w:szCs w:val="16"/>
        </w:rPr>
        <w:t>В мае 1915 г. корабль командирован на аэродром Лемберг в распоряжение штаба 3-й Армии.</w:t>
      </w:r>
    </w:p>
    <w:p w14:paraId="474B6BF4" w14:textId="77777777" w:rsidR="00652CA7" w:rsidRPr="00405303" w:rsidRDefault="00652CA7" w:rsidP="00C15251">
      <w:pPr>
        <w:jc w:val="both"/>
        <w:rPr>
          <w:bCs/>
          <w:color w:val="002060"/>
          <w:sz w:val="16"/>
          <w:szCs w:val="16"/>
        </w:rPr>
      </w:pPr>
      <w:r w:rsidRPr="00405303">
        <w:rPr>
          <w:bCs/>
          <w:color w:val="002060"/>
          <w:sz w:val="16"/>
          <w:szCs w:val="16"/>
        </w:rPr>
        <w:t>28 мая 1915 г. новым командиром корабля назначен поручик Д.А. Озерский, т.к. Бродович подал рапорт о переводе в легкую авиацию.</w:t>
      </w:r>
    </w:p>
    <w:p w14:paraId="33794210" w14:textId="77777777" w:rsidR="00652CA7" w:rsidRPr="00405303" w:rsidRDefault="00652CA7" w:rsidP="00C15251">
      <w:pPr>
        <w:jc w:val="both"/>
        <w:rPr>
          <w:bCs/>
          <w:color w:val="002060"/>
          <w:sz w:val="16"/>
          <w:szCs w:val="16"/>
        </w:rPr>
      </w:pPr>
      <w:r w:rsidRPr="00405303">
        <w:rPr>
          <w:bCs/>
          <w:color w:val="002060"/>
          <w:sz w:val="16"/>
          <w:szCs w:val="16"/>
        </w:rPr>
        <w:t>В июне 1915 г. корабль был перебазирован в Люблин, а затем в том же месяце – во Влодаву.</w:t>
      </w:r>
    </w:p>
    <w:p w14:paraId="4DE83228" w14:textId="77777777" w:rsidR="00652CA7" w:rsidRPr="00405303" w:rsidRDefault="00652CA7" w:rsidP="00C15251">
      <w:pPr>
        <w:jc w:val="both"/>
        <w:rPr>
          <w:bCs/>
          <w:color w:val="002060"/>
          <w:sz w:val="16"/>
          <w:szCs w:val="16"/>
        </w:rPr>
      </w:pPr>
      <w:r w:rsidRPr="00405303">
        <w:rPr>
          <w:bCs/>
          <w:color w:val="002060"/>
          <w:sz w:val="16"/>
          <w:szCs w:val="16"/>
        </w:rPr>
        <w:t>По инициативе командира корабля для его облегчения с самолета сняли боковые РН, оставив только центральный (23563).</w:t>
      </w:r>
    </w:p>
    <w:p w14:paraId="5FD91A45" w14:textId="77777777" w:rsidR="00652CA7" w:rsidRPr="00405303" w:rsidRDefault="00652CA7" w:rsidP="00C15251">
      <w:pPr>
        <w:jc w:val="both"/>
        <w:rPr>
          <w:bCs/>
          <w:color w:val="002060"/>
          <w:sz w:val="16"/>
          <w:szCs w:val="16"/>
          <w:lang w:bidi="en-US"/>
        </w:rPr>
      </w:pPr>
    </w:p>
    <w:p w14:paraId="4733F236" w14:textId="0CF3419D"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2EDFDD55" w14:textId="77777777" w:rsidR="004B4E35" w:rsidRPr="00405303" w:rsidRDefault="004B4E35" w:rsidP="00C15251">
      <w:pPr>
        <w:jc w:val="both"/>
        <w:rPr>
          <w:bCs/>
          <w:i/>
          <w:color w:val="002060"/>
          <w:sz w:val="16"/>
          <w:szCs w:val="16"/>
        </w:rPr>
      </w:pPr>
    </w:p>
    <w:p w14:paraId="09BEC35A" w14:textId="52B582AD" w:rsidR="004B4E35" w:rsidRPr="00405303" w:rsidRDefault="005C5C21" w:rsidP="00C15251">
      <w:pPr>
        <w:jc w:val="both"/>
        <w:rPr>
          <w:bCs/>
          <w:color w:val="002060"/>
          <w:sz w:val="16"/>
          <w:szCs w:val="16"/>
        </w:rPr>
      </w:pPr>
      <w:r w:rsidRPr="00405303">
        <w:rPr>
          <w:bCs/>
          <w:color w:val="002060"/>
          <w:sz w:val="16"/>
          <w:szCs w:val="16"/>
        </w:rPr>
        <w:t>К н</w:t>
      </w:r>
      <w:r w:rsidR="009E6F82" w:rsidRPr="00405303">
        <w:rPr>
          <w:bCs/>
          <w:color w:val="002060"/>
          <w:sz w:val="16"/>
          <w:szCs w:val="16"/>
        </w:rPr>
        <w:t xml:space="preserve">ачалу апреля 1915 г. </w:t>
      </w:r>
      <w:r w:rsidR="005705F2" w:rsidRPr="00405303">
        <w:rPr>
          <w:bCs/>
          <w:color w:val="002060"/>
          <w:sz w:val="16"/>
          <w:szCs w:val="16"/>
        </w:rPr>
        <w:t xml:space="preserve">по исполнении предварительных работ, а именнл, обследованию заводов Московского и Южного районов, которое выяснило возможность поставить на большинстве заводов валовое производство </w:t>
      </w:r>
      <w:r w:rsidRPr="00405303">
        <w:rPr>
          <w:bCs/>
          <w:color w:val="002060"/>
          <w:sz w:val="16"/>
          <w:szCs w:val="16"/>
        </w:rPr>
        <w:t>76 мм</w:t>
      </w:r>
      <w:r w:rsidR="005705F2" w:rsidRPr="00405303">
        <w:rPr>
          <w:bCs/>
          <w:color w:val="002060"/>
          <w:sz w:val="16"/>
          <w:szCs w:val="16"/>
        </w:rPr>
        <w:t xml:space="preserve"> гранат</w:t>
      </w:r>
      <w:r w:rsidRPr="00405303">
        <w:rPr>
          <w:bCs/>
          <w:color w:val="002060"/>
          <w:sz w:val="16"/>
          <w:szCs w:val="16"/>
        </w:rPr>
        <w:t>, разработке</w:t>
      </w:r>
      <w:r w:rsidR="005705F2" w:rsidRPr="00405303">
        <w:rPr>
          <w:bCs/>
          <w:color w:val="002060"/>
          <w:sz w:val="16"/>
          <w:szCs w:val="16"/>
        </w:rPr>
        <w:t xml:space="preserve"> приблизительн</w:t>
      </w:r>
      <w:r w:rsidRPr="00405303">
        <w:rPr>
          <w:bCs/>
          <w:color w:val="002060"/>
          <w:sz w:val="16"/>
          <w:szCs w:val="16"/>
        </w:rPr>
        <w:t>ого</w:t>
      </w:r>
      <w:r w:rsidR="005705F2" w:rsidRPr="00405303">
        <w:rPr>
          <w:bCs/>
          <w:color w:val="002060"/>
          <w:sz w:val="16"/>
          <w:szCs w:val="16"/>
        </w:rPr>
        <w:t xml:space="preserve"> план</w:t>
      </w:r>
      <w:r w:rsidRPr="00405303">
        <w:rPr>
          <w:bCs/>
          <w:color w:val="002060"/>
          <w:sz w:val="16"/>
          <w:szCs w:val="16"/>
        </w:rPr>
        <w:t>а</w:t>
      </w:r>
      <w:r w:rsidR="005705F2" w:rsidRPr="00405303">
        <w:rPr>
          <w:bCs/>
          <w:color w:val="002060"/>
          <w:sz w:val="16"/>
          <w:szCs w:val="16"/>
        </w:rPr>
        <w:t xml:space="preserve"> организации дела</w:t>
      </w:r>
      <w:r w:rsidRPr="00405303">
        <w:rPr>
          <w:bCs/>
          <w:color w:val="002060"/>
          <w:sz w:val="16"/>
          <w:szCs w:val="16"/>
        </w:rPr>
        <w:t xml:space="preserve"> и к</w:t>
      </w:r>
      <w:r w:rsidR="005705F2" w:rsidRPr="00405303">
        <w:rPr>
          <w:bCs/>
          <w:color w:val="002060"/>
          <w:sz w:val="16"/>
          <w:szCs w:val="16"/>
        </w:rPr>
        <w:t>алькулирован</w:t>
      </w:r>
      <w:r w:rsidRPr="00405303">
        <w:rPr>
          <w:bCs/>
          <w:color w:val="002060"/>
          <w:sz w:val="16"/>
          <w:szCs w:val="16"/>
        </w:rPr>
        <w:t>ия</w:t>
      </w:r>
      <w:r w:rsidR="005705F2" w:rsidRPr="00405303">
        <w:rPr>
          <w:bCs/>
          <w:color w:val="002060"/>
          <w:sz w:val="16"/>
          <w:szCs w:val="16"/>
        </w:rPr>
        <w:t xml:space="preserve"> цены на снаряды, </w:t>
      </w:r>
      <w:r w:rsidR="009E6F82" w:rsidRPr="00405303">
        <w:rPr>
          <w:bCs/>
          <w:color w:val="002060"/>
          <w:sz w:val="16"/>
          <w:szCs w:val="16"/>
        </w:rPr>
        <w:t xml:space="preserve">был дан первый заказ на 1 000 000 гранат со взрывателями и трубками. </w:t>
      </w:r>
    </w:p>
    <w:p w14:paraId="76590D03" w14:textId="77777777" w:rsidR="004B4E35" w:rsidRPr="00405303" w:rsidRDefault="009E6F82" w:rsidP="00C15251">
      <w:pPr>
        <w:jc w:val="both"/>
        <w:rPr>
          <w:bCs/>
          <w:color w:val="002060"/>
          <w:sz w:val="16"/>
          <w:szCs w:val="16"/>
        </w:rPr>
      </w:pPr>
      <w:r w:rsidRPr="00405303">
        <w:rPr>
          <w:bCs/>
          <w:color w:val="002060"/>
          <w:sz w:val="16"/>
          <w:szCs w:val="16"/>
        </w:rPr>
        <w:t xml:space="preserve">Непременным условием было поставлено, чтобы к работе по изготовлению французских гранат приступлено было в таких районах России и на таких фабриках и заводах, которые не работали в то время на Главное артиллерийское управление, чтобы не нарушать производственной программы последнего по снарядам. </w:t>
      </w:r>
    </w:p>
    <w:p w14:paraId="51552A91" w14:textId="77777777" w:rsidR="004B4E35" w:rsidRPr="00405303" w:rsidRDefault="009E6F82" w:rsidP="00C15251">
      <w:pPr>
        <w:jc w:val="both"/>
        <w:rPr>
          <w:bCs/>
          <w:color w:val="002060"/>
          <w:sz w:val="16"/>
          <w:szCs w:val="16"/>
        </w:rPr>
      </w:pPr>
      <w:r w:rsidRPr="00405303">
        <w:rPr>
          <w:bCs/>
          <w:color w:val="002060"/>
          <w:sz w:val="16"/>
          <w:szCs w:val="16"/>
        </w:rPr>
        <w:t xml:space="preserve">Способ заготовления гранат избран был комиссионерский, как более отвечающий обстоятельствам дела по своей гибкости и применяемости к обстановке. </w:t>
      </w:r>
    </w:p>
    <w:p w14:paraId="4B4EEDE4" w14:textId="77777777" w:rsidR="004B4E35" w:rsidRPr="00405303" w:rsidRDefault="009E6F82" w:rsidP="00C15251">
      <w:pPr>
        <w:jc w:val="both"/>
        <w:rPr>
          <w:bCs/>
          <w:color w:val="002060"/>
          <w:sz w:val="16"/>
          <w:szCs w:val="16"/>
        </w:rPr>
      </w:pPr>
      <w:r w:rsidRPr="00405303">
        <w:rPr>
          <w:bCs/>
          <w:color w:val="002060"/>
          <w:sz w:val="16"/>
          <w:szCs w:val="16"/>
        </w:rPr>
        <w:t xml:space="preserve">К маю 1915 г. уже 37 заводов приступили к изготовлению корпусов гранат и три завода — к изготовлению калибров и лекал. </w:t>
      </w:r>
    </w:p>
    <w:p w14:paraId="2E092F47" w14:textId="77777777" w:rsidR="004B4E35" w:rsidRPr="00405303" w:rsidRDefault="009E6F82" w:rsidP="00C15251">
      <w:pPr>
        <w:jc w:val="both"/>
        <w:rPr>
          <w:bCs/>
          <w:color w:val="002060"/>
          <w:sz w:val="16"/>
          <w:szCs w:val="16"/>
        </w:rPr>
      </w:pPr>
      <w:r w:rsidRPr="00405303">
        <w:rPr>
          <w:bCs/>
          <w:color w:val="002060"/>
          <w:sz w:val="16"/>
          <w:szCs w:val="16"/>
        </w:rPr>
        <w:t xml:space="preserve">Одновременно с этим приступлено было к устройству заводов для снаряжения гранат мелинитом. О них будет сказано ниже. </w:t>
      </w:r>
    </w:p>
    <w:p w14:paraId="31677C67" w14:textId="77777777" w:rsidR="004B4E35" w:rsidRPr="00405303" w:rsidRDefault="009E6F82" w:rsidP="00C15251">
      <w:pPr>
        <w:jc w:val="both"/>
        <w:rPr>
          <w:bCs/>
          <w:color w:val="002060"/>
          <w:sz w:val="16"/>
          <w:szCs w:val="16"/>
        </w:rPr>
      </w:pPr>
      <w:r w:rsidRPr="00405303">
        <w:rPr>
          <w:bCs/>
          <w:color w:val="002060"/>
          <w:sz w:val="16"/>
          <w:szCs w:val="16"/>
        </w:rPr>
        <w:t xml:space="preserve">Для управления всем делом заготовления и снаряжения заводов было организовано в Москве Управление уполномоченного ГАУ по изготовлению снарядов французского образца. Управление состояло из технического отдела, отдела распределения материалов, бухгалтерии, хозяйственного отдела, канцелярии и отдела снабжения. При управлении состояла французская техническая миссия. </w:t>
      </w:r>
    </w:p>
    <w:p w14:paraId="6A1C4B70" w14:textId="77777777" w:rsidR="004B4E35" w:rsidRPr="00405303" w:rsidRDefault="009E6F82" w:rsidP="00C15251">
      <w:pPr>
        <w:jc w:val="both"/>
        <w:rPr>
          <w:bCs/>
          <w:color w:val="002060"/>
          <w:sz w:val="16"/>
          <w:szCs w:val="16"/>
        </w:rPr>
      </w:pPr>
      <w:r w:rsidRPr="00405303">
        <w:rPr>
          <w:bCs/>
          <w:color w:val="002060"/>
          <w:sz w:val="16"/>
          <w:szCs w:val="16"/>
        </w:rPr>
        <w:t xml:space="preserve">Заводы, привлеченные к исполнению заказа, были распределены по районам, коих было семь: Южный, Одесский, Киевский, Тамбовский, Петроградский, Ярославский и Московский. На каждом из заводов имелся приемщик от Управления уполномоченного ГАУ. </w:t>
      </w:r>
    </w:p>
    <w:p w14:paraId="5A870797" w14:textId="77777777" w:rsidR="004B4E35" w:rsidRPr="00405303" w:rsidRDefault="009E6F82" w:rsidP="00C15251">
      <w:pPr>
        <w:jc w:val="both"/>
        <w:rPr>
          <w:bCs/>
          <w:color w:val="002060"/>
          <w:sz w:val="16"/>
          <w:szCs w:val="16"/>
        </w:rPr>
      </w:pPr>
      <w:r w:rsidRPr="00405303">
        <w:rPr>
          <w:bCs/>
          <w:color w:val="002060"/>
          <w:sz w:val="16"/>
          <w:szCs w:val="16"/>
        </w:rPr>
        <w:t xml:space="preserve">Районами заведовали отдельные инженеры, на обязанности коих лежало: 1) оказывать заводам, исполняющим заказы, возможно большую помощь техническими указаниями, устраняя дефекты и затруднения в производстве, 2) принимать меры к ускорению хода работ и скорейшей отправке готовых партий по назначению, 3) объединять работу заводов района, 4) входить в нужных случаях в сношения с местными властями на предмет содействия в работе заводов, 5) ближайшим образом руководить работой приемщиков на заводах. </w:t>
      </w:r>
    </w:p>
    <w:p w14:paraId="093B0805" w14:textId="77777777" w:rsidR="004B4E35" w:rsidRPr="00405303" w:rsidRDefault="009E6F82" w:rsidP="00C15251">
      <w:pPr>
        <w:jc w:val="both"/>
        <w:rPr>
          <w:bCs/>
          <w:color w:val="002060"/>
          <w:sz w:val="16"/>
          <w:szCs w:val="16"/>
        </w:rPr>
      </w:pPr>
      <w:r w:rsidRPr="00405303">
        <w:rPr>
          <w:bCs/>
          <w:color w:val="002060"/>
          <w:sz w:val="16"/>
          <w:szCs w:val="16"/>
        </w:rPr>
        <w:t xml:space="preserve">Вслед за первым заказом на 1 000 000 шт. 3-дм гранат последовали один за другим дальнейшие заказы на них: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44"/>
        <w:gridCol w:w="2064"/>
      </w:tblGrid>
      <w:tr w:rsidR="004B4E35" w:rsidRPr="00405303" w14:paraId="10BB1E5E" w14:textId="77777777">
        <w:tc>
          <w:tcPr>
            <w:tcW w:w="2244" w:type="dxa"/>
          </w:tcPr>
          <w:p w14:paraId="38AF6B54" w14:textId="77777777" w:rsidR="004B4E35" w:rsidRPr="00405303" w:rsidRDefault="009E6F82" w:rsidP="00C15251">
            <w:pPr>
              <w:jc w:val="both"/>
              <w:rPr>
                <w:bCs/>
                <w:color w:val="002060"/>
                <w:sz w:val="16"/>
                <w:szCs w:val="16"/>
              </w:rPr>
            </w:pPr>
            <w:r w:rsidRPr="00405303">
              <w:rPr>
                <w:bCs/>
                <w:color w:val="002060"/>
                <w:sz w:val="16"/>
                <w:szCs w:val="16"/>
              </w:rPr>
              <w:t>В 1915 г.</w:t>
            </w:r>
          </w:p>
        </w:tc>
        <w:tc>
          <w:tcPr>
            <w:tcW w:w="2064" w:type="dxa"/>
          </w:tcPr>
          <w:p w14:paraId="3CB5423E" w14:textId="77777777" w:rsidR="004B4E35" w:rsidRPr="00405303" w:rsidRDefault="009E6F82" w:rsidP="00C15251">
            <w:pPr>
              <w:jc w:val="both"/>
              <w:rPr>
                <w:bCs/>
                <w:color w:val="002060"/>
                <w:sz w:val="16"/>
                <w:szCs w:val="16"/>
              </w:rPr>
            </w:pPr>
            <w:r w:rsidRPr="00405303">
              <w:rPr>
                <w:bCs/>
                <w:color w:val="002060"/>
                <w:sz w:val="16"/>
                <w:szCs w:val="16"/>
              </w:rPr>
              <w:t xml:space="preserve">на 3.600.000 гранат </w:t>
            </w:r>
          </w:p>
        </w:tc>
      </w:tr>
      <w:tr w:rsidR="004B4E35" w:rsidRPr="00405303" w14:paraId="3C347B7E" w14:textId="77777777">
        <w:tc>
          <w:tcPr>
            <w:tcW w:w="2244" w:type="dxa"/>
          </w:tcPr>
          <w:p w14:paraId="7588A774" w14:textId="77777777" w:rsidR="004B4E35" w:rsidRPr="00405303" w:rsidRDefault="009E6F82" w:rsidP="00C15251">
            <w:pPr>
              <w:jc w:val="both"/>
              <w:rPr>
                <w:bCs/>
                <w:color w:val="002060"/>
                <w:sz w:val="16"/>
                <w:szCs w:val="16"/>
              </w:rPr>
            </w:pPr>
            <w:r w:rsidRPr="00405303">
              <w:rPr>
                <w:bCs/>
                <w:color w:val="002060"/>
                <w:sz w:val="16"/>
                <w:szCs w:val="16"/>
              </w:rPr>
              <w:t>В 1916 г.</w:t>
            </w:r>
          </w:p>
        </w:tc>
        <w:tc>
          <w:tcPr>
            <w:tcW w:w="2064" w:type="dxa"/>
          </w:tcPr>
          <w:p w14:paraId="168D0CE5" w14:textId="77777777" w:rsidR="004B4E35" w:rsidRPr="00405303" w:rsidRDefault="009E6F82" w:rsidP="00C15251">
            <w:pPr>
              <w:jc w:val="both"/>
              <w:rPr>
                <w:bCs/>
                <w:color w:val="002060"/>
                <w:sz w:val="16"/>
                <w:szCs w:val="16"/>
              </w:rPr>
            </w:pPr>
            <w:r w:rsidRPr="00405303">
              <w:rPr>
                <w:bCs/>
                <w:color w:val="002060"/>
                <w:sz w:val="16"/>
                <w:szCs w:val="16"/>
              </w:rPr>
              <w:t xml:space="preserve">на 5.500.000 </w:t>
            </w:r>
          </w:p>
        </w:tc>
      </w:tr>
      <w:tr w:rsidR="004B4E35" w:rsidRPr="00405303" w14:paraId="3C61DF88" w14:textId="77777777">
        <w:tc>
          <w:tcPr>
            <w:tcW w:w="2244" w:type="dxa"/>
          </w:tcPr>
          <w:p w14:paraId="4472637F" w14:textId="77777777" w:rsidR="004B4E35" w:rsidRPr="00405303" w:rsidRDefault="009E6F82" w:rsidP="00C15251">
            <w:pPr>
              <w:jc w:val="both"/>
              <w:rPr>
                <w:bCs/>
                <w:color w:val="002060"/>
                <w:sz w:val="16"/>
                <w:szCs w:val="16"/>
              </w:rPr>
            </w:pPr>
            <w:r w:rsidRPr="00405303">
              <w:rPr>
                <w:bCs/>
                <w:color w:val="002060"/>
                <w:sz w:val="16"/>
                <w:szCs w:val="16"/>
              </w:rPr>
              <w:t>В 1917 г.</w:t>
            </w:r>
          </w:p>
        </w:tc>
        <w:tc>
          <w:tcPr>
            <w:tcW w:w="2064" w:type="dxa"/>
          </w:tcPr>
          <w:p w14:paraId="735FC6FD" w14:textId="77777777" w:rsidR="004B4E35" w:rsidRPr="00405303" w:rsidRDefault="009E6F82" w:rsidP="00C15251">
            <w:pPr>
              <w:jc w:val="both"/>
              <w:rPr>
                <w:bCs/>
                <w:color w:val="002060"/>
                <w:sz w:val="16"/>
                <w:szCs w:val="16"/>
              </w:rPr>
            </w:pPr>
            <w:r w:rsidRPr="00405303">
              <w:rPr>
                <w:bCs/>
                <w:color w:val="002060"/>
                <w:sz w:val="16"/>
                <w:szCs w:val="16"/>
              </w:rPr>
              <w:t xml:space="preserve">на 4.940.000 </w:t>
            </w:r>
          </w:p>
        </w:tc>
      </w:tr>
      <w:tr w:rsidR="004B4E35" w:rsidRPr="00405303" w14:paraId="13E3F406" w14:textId="77777777">
        <w:tc>
          <w:tcPr>
            <w:tcW w:w="2244" w:type="dxa"/>
          </w:tcPr>
          <w:p w14:paraId="11C9358F" w14:textId="77777777" w:rsidR="004B4E35" w:rsidRPr="00405303" w:rsidRDefault="009E6F82" w:rsidP="00C15251">
            <w:pPr>
              <w:jc w:val="both"/>
              <w:rPr>
                <w:bCs/>
                <w:color w:val="002060"/>
                <w:sz w:val="16"/>
                <w:szCs w:val="16"/>
              </w:rPr>
            </w:pPr>
            <w:r w:rsidRPr="00405303">
              <w:rPr>
                <w:bCs/>
                <w:color w:val="002060"/>
                <w:sz w:val="16"/>
                <w:szCs w:val="16"/>
              </w:rPr>
              <w:t>Всего</w:t>
            </w:r>
          </w:p>
        </w:tc>
        <w:tc>
          <w:tcPr>
            <w:tcW w:w="2064" w:type="dxa"/>
          </w:tcPr>
          <w:p w14:paraId="6F18578F" w14:textId="42BAD85F" w:rsidR="004B4E35" w:rsidRPr="00405303" w:rsidRDefault="00DB4D64" w:rsidP="00C15251">
            <w:pPr>
              <w:jc w:val="both"/>
              <w:rPr>
                <w:bCs/>
                <w:color w:val="002060"/>
                <w:sz w:val="16"/>
                <w:szCs w:val="16"/>
              </w:rPr>
            </w:pPr>
            <w:r w:rsidRPr="00405303">
              <w:rPr>
                <w:bCs/>
                <w:color w:val="002060"/>
                <w:sz w:val="16"/>
                <w:szCs w:val="16"/>
              </w:rPr>
              <w:t xml:space="preserve"> </w:t>
            </w:r>
            <w:r w:rsidR="009E6F82" w:rsidRPr="00405303">
              <w:rPr>
                <w:bCs/>
                <w:color w:val="002060"/>
                <w:sz w:val="16"/>
                <w:szCs w:val="16"/>
              </w:rPr>
              <w:t>на 14.540.000 гранат.</w:t>
            </w:r>
          </w:p>
        </w:tc>
      </w:tr>
    </w:tbl>
    <w:p w14:paraId="2B155363"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И к ним: </w:t>
      </w:r>
    </w:p>
    <w:p w14:paraId="6C2CC232" w14:textId="77777777" w:rsidR="004B4E35" w:rsidRPr="00405303" w:rsidRDefault="009E6F82" w:rsidP="00C15251">
      <w:pPr>
        <w:jc w:val="both"/>
        <w:rPr>
          <w:bCs/>
          <w:color w:val="002060"/>
          <w:sz w:val="16"/>
          <w:szCs w:val="16"/>
        </w:rPr>
      </w:pPr>
      <w:r w:rsidRPr="00405303">
        <w:rPr>
          <w:bCs/>
          <w:color w:val="002060"/>
          <w:sz w:val="16"/>
          <w:szCs w:val="16"/>
        </w:rPr>
        <w:t xml:space="preserve">17.090.000 запальных стаканов, </w:t>
      </w:r>
    </w:p>
    <w:p w14:paraId="0C22F213" w14:textId="77777777" w:rsidR="004B4E35" w:rsidRPr="00405303" w:rsidRDefault="009E6F82" w:rsidP="00C15251">
      <w:pPr>
        <w:jc w:val="both"/>
        <w:rPr>
          <w:bCs/>
          <w:color w:val="002060"/>
          <w:sz w:val="16"/>
          <w:szCs w:val="16"/>
        </w:rPr>
      </w:pPr>
      <w:r w:rsidRPr="00405303">
        <w:rPr>
          <w:bCs/>
          <w:color w:val="002060"/>
          <w:sz w:val="16"/>
          <w:szCs w:val="16"/>
        </w:rPr>
        <w:t>17.540.000 детонаторных трубок.</w:t>
      </w:r>
    </w:p>
    <w:p w14:paraId="33AD8AC2" w14:textId="77777777" w:rsidR="004B4E35" w:rsidRPr="00405303" w:rsidRDefault="009E6F82" w:rsidP="00C15251">
      <w:pPr>
        <w:jc w:val="both"/>
        <w:rPr>
          <w:bCs/>
          <w:color w:val="002060"/>
          <w:sz w:val="16"/>
          <w:szCs w:val="16"/>
        </w:rPr>
      </w:pPr>
      <w:r w:rsidRPr="00405303">
        <w:rPr>
          <w:bCs/>
          <w:color w:val="002060"/>
          <w:sz w:val="16"/>
          <w:szCs w:val="16"/>
        </w:rPr>
        <w:t xml:space="preserve">Из этого числа 1 000 000 был приспособлен для снаряжения удушающими веществами. </w:t>
      </w:r>
    </w:p>
    <w:p w14:paraId="23B115BC" w14:textId="77777777" w:rsidR="004B4E35" w:rsidRPr="00405303" w:rsidRDefault="009E6F82" w:rsidP="00C15251">
      <w:pPr>
        <w:jc w:val="both"/>
        <w:rPr>
          <w:bCs/>
          <w:color w:val="002060"/>
          <w:sz w:val="16"/>
          <w:szCs w:val="16"/>
        </w:rPr>
      </w:pPr>
      <w:r w:rsidRPr="00405303">
        <w:rPr>
          <w:bCs/>
          <w:color w:val="002060"/>
          <w:sz w:val="16"/>
          <w:szCs w:val="16"/>
        </w:rPr>
        <w:t xml:space="preserve">Кроме 3-дм гранат, уполномоченному ГАУ поручено было разновременно в 1916 г. изготовление снарядов средних и больших калибров, а именно: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372"/>
        <w:gridCol w:w="936"/>
      </w:tblGrid>
      <w:tr w:rsidR="004B4E35" w:rsidRPr="00405303" w14:paraId="3B17CF42" w14:textId="77777777">
        <w:tc>
          <w:tcPr>
            <w:tcW w:w="3372" w:type="dxa"/>
          </w:tcPr>
          <w:p w14:paraId="5B9B9E4B" w14:textId="77777777" w:rsidR="004B4E35" w:rsidRPr="00405303" w:rsidRDefault="009E6F82" w:rsidP="00C15251">
            <w:pPr>
              <w:jc w:val="both"/>
              <w:rPr>
                <w:bCs/>
                <w:color w:val="002060"/>
                <w:sz w:val="16"/>
                <w:szCs w:val="16"/>
              </w:rPr>
            </w:pPr>
            <w:r w:rsidRPr="00405303">
              <w:rPr>
                <w:bCs/>
                <w:color w:val="002060"/>
                <w:sz w:val="16"/>
                <w:szCs w:val="16"/>
              </w:rPr>
              <w:t>6-дм бомб</w:t>
            </w:r>
          </w:p>
        </w:tc>
        <w:tc>
          <w:tcPr>
            <w:tcW w:w="936" w:type="dxa"/>
          </w:tcPr>
          <w:p w14:paraId="7C148AA5" w14:textId="77777777" w:rsidR="004B4E35" w:rsidRPr="00405303" w:rsidRDefault="009E6F82" w:rsidP="00C15251">
            <w:pPr>
              <w:jc w:val="both"/>
              <w:rPr>
                <w:bCs/>
                <w:color w:val="002060"/>
                <w:sz w:val="16"/>
                <w:szCs w:val="16"/>
              </w:rPr>
            </w:pPr>
            <w:r w:rsidRPr="00405303">
              <w:rPr>
                <w:bCs/>
                <w:color w:val="002060"/>
                <w:sz w:val="16"/>
                <w:szCs w:val="16"/>
              </w:rPr>
              <w:t xml:space="preserve">740.000 </w:t>
            </w:r>
          </w:p>
        </w:tc>
      </w:tr>
      <w:tr w:rsidR="004B4E35" w:rsidRPr="00405303" w14:paraId="0720F757" w14:textId="77777777">
        <w:tc>
          <w:tcPr>
            <w:tcW w:w="3372" w:type="dxa"/>
          </w:tcPr>
          <w:p w14:paraId="1B76DF6F" w14:textId="77777777" w:rsidR="004B4E35" w:rsidRPr="00405303" w:rsidRDefault="009E6F82" w:rsidP="00C15251">
            <w:pPr>
              <w:jc w:val="both"/>
              <w:rPr>
                <w:bCs/>
                <w:color w:val="002060"/>
                <w:sz w:val="16"/>
                <w:szCs w:val="16"/>
              </w:rPr>
            </w:pPr>
            <w:r w:rsidRPr="00405303">
              <w:rPr>
                <w:bCs/>
                <w:color w:val="002060"/>
                <w:sz w:val="16"/>
                <w:szCs w:val="16"/>
              </w:rPr>
              <w:t>48-лин. бомб</w:t>
            </w:r>
          </w:p>
        </w:tc>
        <w:tc>
          <w:tcPr>
            <w:tcW w:w="936" w:type="dxa"/>
          </w:tcPr>
          <w:p w14:paraId="3A66719A" w14:textId="77777777" w:rsidR="004B4E35" w:rsidRPr="00405303" w:rsidRDefault="009E6F82" w:rsidP="00C15251">
            <w:pPr>
              <w:jc w:val="both"/>
              <w:rPr>
                <w:bCs/>
                <w:color w:val="002060"/>
                <w:sz w:val="16"/>
                <w:szCs w:val="16"/>
              </w:rPr>
            </w:pPr>
            <w:r w:rsidRPr="00405303">
              <w:rPr>
                <w:bCs/>
                <w:color w:val="002060"/>
                <w:sz w:val="16"/>
                <w:szCs w:val="16"/>
              </w:rPr>
              <w:t xml:space="preserve">400.000 </w:t>
            </w:r>
          </w:p>
        </w:tc>
      </w:tr>
      <w:tr w:rsidR="004B4E35" w:rsidRPr="00405303" w14:paraId="45B3C033" w14:textId="77777777">
        <w:tc>
          <w:tcPr>
            <w:tcW w:w="3372" w:type="dxa"/>
          </w:tcPr>
          <w:p w14:paraId="16BD88A5" w14:textId="77777777" w:rsidR="004B4E35" w:rsidRPr="00405303" w:rsidRDefault="009E6F82" w:rsidP="00C15251">
            <w:pPr>
              <w:jc w:val="both"/>
              <w:rPr>
                <w:bCs/>
                <w:color w:val="002060"/>
                <w:sz w:val="16"/>
                <w:szCs w:val="16"/>
              </w:rPr>
            </w:pPr>
            <w:r w:rsidRPr="00405303">
              <w:rPr>
                <w:bCs/>
                <w:color w:val="002060"/>
                <w:sz w:val="16"/>
                <w:szCs w:val="16"/>
              </w:rPr>
              <w:t>57-мм для Румынии</w:t>
            </w:r>
          </w:p>
        </w:tc>
        <w:tc>
          <w:tcPr>
            <w:tcW w:w="936" w:type="dxa"/>
          </w:tcPr>
          <w:p w14:paraId="002FD2B9" w14:textId="77777777" w:rsidR="004B4E35" w:rsidRPr="00405303" w:rsidRDefault="009E6F82" w:rsidP="00C15251">
            <w:pPr>
              <w:jc w:val="both"/>
              <w:rPr>
                <w:bCs/>
                <w:color w:val="002060"/>
                <w:sz w:val="16"/>
                <w:szCs w:val="16"/>
              </w:rPr>
            </w:pPr>
            <w:r w:rsidRPr="00405303">
              <w:rPr>
                <w:bCs/>
                <w:color w:val="002060"/>
                <w:sz w:val="16"/>
                <w:szCs w:val="16"/>
              </w:rPr>
              <w:t xml:space="preserve">360.000 </w:t>
            </w:r>
          </w:p>
        </w:tc>
      </w:tr>
      <w:tr w:rsidR="004B4E35" w:rsidRPr="00405303" w14:paraId="04A935F1" w14:textId="77777777">
        <w:tc>
          <w:tcPr>
            <w:tcW w:w="3372" w:type="dxa"/>
          </w:tcPr>
          <w:p w14:paraId="1BE138D3" w14:textId="77777777" w:rsidR="004B4E35" w:rsidRPr="00405303" w:rsidRDefault="009E6F82" w:rsidP="00C15251">
            <w:pPr>
              <w:jc w:val="both"/>
              <w:rPr>
                <w:bCs/>
                <w:color w:val="002060"/>
                <w:sz w:val="16"/>
                <w:szCs w:val="16"/>
              </w:rPr>
            </w:pPr>
            <w:r w:rsidRPr="00405303">
              <w:rPr>
                <w:bCs/>
                <w:color w:val="002060"/>
                <w:sz w:val="16"/>
                <w:szCs w:val="16"/>
              </w:rPr>
              <w:t>75-мм гранат</w:t>
            </w:r>
          </w:p>
        </w:tc>
        <w:tc>
          <w:tcPr>
            <w:tcW w:w="936" w:type="dxa"/>
          </w:tcPr>
          <w:p w14:paraId="2A4DC5C7" w14:textId="77777777" w:rsidR="004B4E35" w:rsidRPr="00405303" w:rsidRDefault="009E6F82" w:rsidP="00C15251">
            <w:pPr>
              <w:jc w:val="both"/>
              <w:rPr>
                <w:bCs/>
                <w:color w:val="002060"/>
                <w:sz w:val="16"/>
                <w:szCs w:val="16"/>
              </w:rPr>
            </w:pPr>
            <w:r w:rsidRPr="00405303">
              <w:rPr>
                <w:bCs/>
                <w:color w:val="002060"/>
                <w:sz w:val="16"/>
                <w:szCs w:val="16"/>
              </w:rPr>
              <w:t xml:space="preserve">540.000 </w:t>
            </w:r>
          </w:p>
        </w:tc>
      </w:tr>
      <w:tr w:rsidR="004B4E35" w:rsidRPr="00405303" w14:paraId="63A5E9CC" w14:textId="77777777">
        <w:tc>
          <w:tcPr>
            <w:tcW w:w="3372" w:type="dxa"/>
          </w:tcPr>
          <w:p w14:paraId="6A871F70" w14:textId="77777777" w:rsidR="004B4E35" w:rsidRPr="00405303" w:rsidRDefault="009E6F82" w:rsidP="00C15251">
            <w:pPr>
              <w:jc w:val="both"/>
              <w:rPr>
                <w:bCs/>
                <w:color w:val="002060"/>
                <w:sz w:val="16"/>
                <w:szCs w:val="16"/>
              </w:rPr>
            </w:pPr>
            <w:r w:rsidRPr="00405303">
              <w:rPr>
                <w:bCs/>
                <w:color w:val="002060"/>
                <w:sz w:val="16"/>
                <w:szCs w:val="16"/>
              </w:rPr>
              <w:t>105-мм для Румынии</w:t>
            </w:r>
          </w:p>
        </w:tc>
        <w:tc>
          <w:tcPr>
            <w:tcW w:w="936" w:type="dxa"/>
          </w:tcPr>
          <w:p w14:paraId="5CCDF110" w14:textId="77777777" w:rsidR="004B4E35" w:rsidRPr="00405303" w:rsidRDefault="009E6F82" w:rsidP="00C15251">
            <w:pPr>
              <w:jc w:val="both"/>
              <w:rPr>
                <w:bCs/>
                <w:color w:val="002060"/>
                <w:sz w:val="16"/>
                <w:szCs w:val="16"/>
              </w:rPr>
            </w:pPr>
            <w:r w:rsidRPr="00405303">
              <w:rPr>
                <w:bCs/>
                <w:color w:val="002060"/>
                <w:sz w:val="16"/>
                <w:szCs w:val="16"/>
              </w:rPr>
              <w:t xml:space="preserve">90.000 </w:t>
            </w:r>
          </w:p>
        </w:tc>
      </w:tr>
      <w:tr w:rsidR="004B4E35" w:rsidRPr="00405303" w14:paraId="54E791E3" w14:textId="77777777">
        <w:tc>
          <w:tcPr>
            <w:tcW w:w="3372" w:type="dxa"/>
          </w:tcPr>
          <w:p w14:paraId="6F072208" w14:textId="77777777" w:rsidR="004B4E35" w:rsidRPr="00405303" w:rsidRDefault="009E6F82" w:rsidP="00C15251">
            <w:pPr>
              <w:jc w:val="both"/>
              <w:rPr>
                <w:bCs/>
                <w:color w:val="002060"/>
                <w:sz w:val="16"/>
                <w:szCs w:val="16"/>
              </w:rPr>
            </w:pPr>
            <w:r w:rsidRPr="00405303">
              <w:rPr>
                <w:bCs/>
                <w:color w:val="002060"/>
                <w:sz w:val="16"/>
                <w:szCs w:val="16"/>
              </w:rPr>
              <w:t>155-мм стальных гранат</w:t>
            </w:r>
          </w:p>
        </w:tc>
        <w:tc>
          <w:tcPr>
            <w:tcW w:w="936" w:type="dxa"/>
          </w:tcPr>
          <w:p w14:paraId="7FB16E76" w14:textId="77777777" w:rsidR="004B4E35" w:rsidRPr="00405303" w:rsidRDefault="009E6F82" w:rsidP="00C15251">
            <w:pPr>
              <w:jc w:val="both"/>
              <w:rPr>
                <w:bCs/>
                <w:color w:val="002060"/>
                <w:sz w:val="16"/>
                <w:szCs w:val="16"/>
              </w:rPr>
            </w:pPr>
            <w:r w:rsidRPr="00405303">
              <w:rPr>
                <w:bCs/>
                <w:color w:val="002060"/>
                <w:sz w:val="16"/>
                <w:szCs w:val="16"/>
              </w:rPr>
              <w:t xml:space="preserve">200.000 </w:t>
            </w:r>
          </w:p>
        </w:tc>
      </w:tr>
      <w:tr w:rsidR="004B4E35" w:rsidRPr="00405303" w14:paraId="7F75BAEE" w14:textId="77777777">
        <w:tc>
          <w:tcPr>
            <w:tcW w:w="3372" w:type="dxa"/>
          </w:tcPr>
          <w:p w14:paraId="52D49664" w14:textId="77777777" w:rsidR="004B4E35" w:rsidRPr="00405303" w:rsidRDefault="009E6F82" w:rsidP="00C15251">
            <w:pPr>
              <w:jc w:val="both"/>
              <w:rPr>
                <w:bCs/>
                <w:color w:val="002060"/>
                <w:sz w:val="16"/>
                <w:szCs w:val="16"/>
              </w:rPr>
            </w:pPr>
            <w:r w:rsidRPr="00405303">
              <w:rPr>
                <w:bCs/>
                <w:color w:val="002060"/>
                <w:sz w:val="16"/>
                <w:szCs w:val="16"/>
              </w:rPr>
              <w:t>8-дм, 11-дм и 12-дм бомб сталистого чугуна</w:t>
            </w:r>
          </w:p>
        </w:tc>
        <w:tc>
          <w:tcPr>
            <w:tcW w:w="936" w:type="dxa"/>
          </w:tcPr>
          <w:p w14:paraId="409A6DDE" w14:textId="77777777" w:rsidR="004B4E35" w:rsidRPr="00405303" w:rsidRDefault="009E6F82" w:rsidP="00C15251">
            <w:pPr>
              <w:jc w:val="both"/>
              <w:rPr>
                <w:bCs/>
                <w:color w:val="002060"/>
                <w:sz w:val="16"/>
                <w:szCs w:val="16"/>
              </w:rPr>
            </w:pPr>
            <w:r w:rsidRPr="00405303">
              <w:rPr>
                <w:bCs/>
                <w:color w:val="002060"/>
                <w:sz w:val="16"/>
                <w:szCs w:val="16"/>
              </w:rPr>
              <w:t xml:space="preserve">70.000 </w:t>
            </w:r>
          </w:p>
        </w:tc>
      </w:tr>
    </w:tbl>
    <w:p w14:paraId="62914222" w14:textId="77777777" w:rsidR="004B4E35" w:rsidRPr="00405303" w:rsidRDefault="009E6F82" w:rsidP="00C15251">
      <w:pPr>
        <w:jc w:val="both"/>
        <w:rPr>
          <w:bCs/>
          <w:color w:val="002060"/>
          <w:sz w:val="16"/>
          <w:szCs w:val="16"/>
        </w:rPr>
      </w:pPr>
      <w:r w:rsidRPr="00405303">
        <w:rPr>
          <w:bCs/>
          <w:color w:val="002060"/>
          <w:sz w:val="16"/>
          <w:szCs w:val="16"/>
        </w:rPr>
        <w:t xml:space="preserve">Состояние металлообрабатывающий промышленности, в котором застала ее война, мало способствовало успеху дела, возложенного на уполномоченного ГАУ. Заводы с первых же месяцев войны растеряли значительную часть квалифицированных рабочих и технического персонала, призванных на фронт. Последовавшие за тем разрешения возвращать взятых на фронт обратно на заводы реализовались с большим трудом, так как разыскать местонахождение рабочего или инженера на фронте было до крайности трудно, а возвращение сопровождалось длинной канцелярской волокитой. </w:t>
      </w:r>
    </w:p>
    <w:p w14:paraId="79A2EDFC" w14:textId="77777777" w:rsidR="004B4E35" w:rsidRPr="00405303" w:rsidRDefault="009E6F82" w:rsidP="00C15251">
      <w:pPr>
        <w:jc w:val="both"/>
        <w:rPr>
          <w:bCs/>
          <w:color w:val="002060"/>
          <w:sz w:val="16"/>
          <w:szCs w:val="16"/>
        </w:rPr>
      </w:pPr>
      <w:r w:rsidRPr="00405303">
        <w:rPr>
          <w:bCs/>
          <w:color w:val="002060"/>
          <w:sz w:val="16"/>
          <w:szCs w:val="16"/>
        </w:rPr>
        <w:t xml:space="preserve">Затем, заводы металлообрабатывающий промышленности, не исполнявшие военных заказов в мирное время, совершенно не были подготовлены к быстрому налаживанию военных производств. Для этого они не имели в большинстве случаев ни надлежащего оборудования, ни навыков и приемов массового производства, ни привычки к точным работам со строгими допусками. </w:t>
      </w:r>
    </w:p>
    <w:p w14:paraId="7A90E25E" w14:textId="77777777" w:rsidR="004B4E35" w:rsidRPr="00405303" w:rsidRDefault="009E6F82" w:rsidP="00C15251">
      <w:pPr>
        <w:jc w:val="both"/>
        <w:rPr>
          <w:bCs/>
          <w:color w:val="002060"/>
          <w:sz w:val="16"/>
          <w:szCs w:val="16"/>
        </w:rPr>
      </w:pPr>
      <w:r w:rsidRPr="00405303">
        <w:rPr>
          <w:bCs/>
          <w:color w:val="002060"/>
          <w:sz w:val="16"/>
          <w:szCs w:val="16"/>
        </w:rPr>
        <w:t xml:space="preserve">К этому надо добавить, что большинство заводов за убылью рабочих и за сокращением спроса сократило значительно свои работы на мирный рынок, причем не занятое работой оборудование довольно часто реквизировалось и вывозилось с заводов распоряжением различных общественных организаций (Земгор, Военно-промышленный комитет и пр.) и государственных органов, работавших на оборону. </w:t>
      </w:r>
    </w:p>
    <w:p w14:paraId="234919E0" w14:textId="77777777" w:rsidR="004B4E35" w:rsidRPr="00405303" w:rsidRDefault="009E6F82" w:rsidP="00C15251">
      <w:pPr>
        <w:jc w:val="both"/>
        <w:rPr>
          <w:bCs/>
          <w:color w:val="002060"/>
          <w:sz w:val="16"/>
          <w:szCs w:val="16"/>
        </w:rPr>
      </w:pPr>
      <w:r w:rsidRPr="00405303">
        <w:rPr>
          <w:bCs/>
          <w:color w:val="002060"/>
          <w:sz w:val="16"/>
          <w:szCs w:val="16"/>
        </w:rPr>
        <w:t xml:space="preserve">Если прибавить ко всему этому расстройство транспорта, недостаток топлива и нерегулярность снабжения им, недостаток в сырых материалах, недостаток в работах и техническом персонале, то условия, в которых приходилось начать и проводить мобилизацию мирной промышленности на снарядное дело, надо признать в высшей степени неблагоприятными. Поэтому организации С.Н. Ванкова, помимо прямого технического дела, много труда и энергии пришлось расходовать на устранение всевозможных препятствий, стоявших на пути к цели. </w:t>
      </w:r>
    </w:p>
    <w:p w14:paraId="4672653D" w14:textId="77777777" w:rsidR="004B4E35" w:rsidRPr="00405303" w:rsidRDefault="009E6F82" w:rsidP="00C15251">
      <w:pPr>
        <w:jc w:val="both"/>
        <w:rPr>
          <w:bCs/>
          <w:color w:val="002060"/>
          <w:sz w:val="16"/>
          <w:szCs w:val="16"/>
        </w:rPr>
      </w:pPr>
      <w:r w:rsidRPr="00405303">
        <w:rPr>
          <w:bCs/>
          <w:color w:val="002060"/>
          <w:sz w:val="16"/>
          <w:szCs w:val="16"/>
        </w:rPr>
        <w:t xml:space="preserve">Нельзя не отметить, что весьма нередко заводы, привлекаемые С.Н. Ванковым к снарядному делу, упорно уклонялись от него, предпочитая заняться более выгодными для себя и менее ответственными частными заказами. Это приводило к необходимости обследования заводов и принятию соответствующих мер, которые, однако, не шли дальше аннулирования заказа, ибо уполномоченный не имел на этот случай специальных прав. </w:t>
      </w:r>
    </w:p>
    <w:p w14:paraId="2DA2BE36" w14:textId="77777777" w:rsidR="004B4E35" w:rsidRPr="00405303" w:rsidRDefault="009E6F82" w:rsidP="00C15251">
      <w:pPr>
        <w:jc w:val="both"/>
        <w:rPr>
          <w:bCs/>
          <w:color w:val="002060"/>
          <w:sz w:val="16"/>
          <w:szCs w:val="16"/>
        </w:rPr>
      </w:pPr>
      <w:r w:rsidRPr="00405303">
        <w:rPr>
          <w:bCs/>
          <w:color w:val="002060"/>
          <w:sz w:val="16"/>
          <w:szCs w:val="16"/>
        </w:rPr>
        <w:t xml:space="preserve">Необходимо констатировать, что новизна дела в первое время сильно отпугивала заводчиков и нужно было много энергии, чтобы внушить им веру в дело. С другой стороны, большим тормозом дела служило то обстоятельство, что заводы обычно с недоверием относились к инструктированию со стороны техников организации Ванкова и пытались решать все технические вопросы самостоятельно. При отсутствии опыта это часто давало плачевные результаты, и в конце концов приходилось все-таки пользоваться консультацией и руководством организации Ванкова, с потерей, конечно, дорогого времени. Впрочем, организация сравнительно в непродолжительное время сумела завоевать надлежащий авторитет среди работавших на заводах французских снарядов (так в тексте. Очевидно — специалистов. — Ред.). </w:t>
      </w:r>
    </w:p>
    <w:p w14:paraId="5767EA6B" w14:textId="77777777" w:rsidR="004B4E35" w:rsidRPr="00405303" w:rsidRDefault="009E6F82" w:rsidP="00C15251">
      <w:pPr>
        <w:jc w:val="both"/>
        <w:rPr>
          <w:bCs/>
          <w:color w:val="002060"/>
          <w:sz w:val="16"/>
          <w:szCs w:val="16"/>
        </w:rPr>
      </w:pPr>
      <w:r w:rsidRPr="00405303">
        <w:rPr>
          <w:bCs/>
          <w:color w:val="002060"/>
          <w:sz w:val="16"/>
          <w:szCs w:val="16"/>
        </w:rPr>
        <w:t xml:space="preserve">Можно считать, что валовое изготовление 3-дм гранат началось с сентября 1915 г. и </w:t>
      </w:r>
      <w:proofErr w:type="gramStart"/>
      <w:r w:rsidRPr="00405303">
        <w:rPr>
          <w:bCs/>
          <w:color w:val="002060"/>
          <w:sz w:val="16"/>
          <w:szCs w:val="16"/>
        </w:rPr>
        <w:t>шло</w:t>
      </w:r>
      <w:proofErr w:type="gramEnd"/>
      <w:r w:rsidRPr="00405303">
        <w:rPr>
          <w:bCs/>
          <w:color w:val="002060"/>
          <w:sz w:val="16"/>
          <w:szCs w:val="16"/>
        </w:rPr>
        <w:t xml:space="preserve"> постоянно увеличиваясь и достигнув максимума в декабре 1916 года. </w:t>
      </w:r>
    </w:p>
    <w:p w14:paraId="4898EBAE" w14:textId="77777777" w:rsidR="004B4E35" w:rsidRPr="00405303" w:rsidRDefault="009E6F82" w:rsidP="00C15251">
      <w:pPr>
        <w:jc w:val="both"/>
        <w:rPr>
          <w:bCs/>
          <w:color w:val="002060"/>
          <w:sz w:val="16"/>
          <w:szCs w:val="16"/>
        </w:rPr>
      </w:pPr>
      <w:r w:rsidRPr="00405303">
        <w:rPr>
          <w:bCs/>
          <w:color w:val="002060"/>
          <w:sz w:val="16"/>
          <w:szCs w:val="16"/>
        </w:rPr>
        <w:t xml:space="preserve">Рост месячного выпуска снарядов шел следующим темпом (суммарно по всем заводам,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600"/>
      </w:tblGrid>
      <w:tr w:rsidR="004B4E35" w:rsidRPr="00405303" w14:paraId="70930602" w14:textId="77777777">
        <w:tc>
          <w:tcPr>
            <w:tcW w:w="1896" w:type="dxa"/>
          </w:tcPr>
          <w:p w14:paraId="2D963FC3" w14:textId="77777777" w:rsidR="004B4E35" w:rsidRPr="00405303" w:rsidRDefault="009E6F82" w:rsidP="00C15251">
            <w:pPr>
              <w:jc w:val="both"/>
              <w:rPr>
                <w:bCs/>
                <w:color w:val="002060"/>
                <w:sz w:val="16"/>
                <w:szCs w:val="16"/>
              </w:rPr>
            </w:pPr>
            <w:r w:rsidRPr="00405303">
              <w:rPr>
                <w:bCs/>
                <w:color w:val="002060"/>
                <w:sz w:val="16"/>
                <w:szCs w:val="16"/>
              </w:rPr>
              <w:t>1915 г., сентябрь</w:t>
            </w:r>
          </w:p>
        </w:tc>
        <w:tc>
          <w:tcPr>
            <w:tcW w:w="600" w:type="dxa"/>
          </w:tcPr>
          <w:p w14:paraId="7818F59A" w14:textId="77777777" w:rsidR="004B4E35" w:rsidRPr="00405303" w:rsidRDefault="009E6F82" w:rsidP="00C15251">
            <w:pPr>
              <w:jc w:val="both"/>
              <w:rPr>
                <w:bCs/>
                <w:color w:val="002060"/>
                <w:sz w:val="16"/>
                <w:szCs w:val="16"/>
              </w:rPr>
            </w:pPr>
            <w:r w:rsidRPr="00405303">
              <w:rPr>
                <w:bCs/>
                <w:color w:val="002060"/>
                <w:sz w:val="16"/>
                <w:szCs w:val="16"/>
              </w:rPr>
              <w:t xml:space="preserve">66 </w:t>
            </w:r>
          </w:p>
        </w:tc>
      </w:tr>
      <w:tr w:rsidR="004B4E35" w:rsidRPr="00405303" w14:paraId="7BF65624" w14:textId="77777777">
        <w:tc>
          <w:tcPr>
            <w:tcW w:w="1896" w:type="dxa"/>
          </w:tcPr>
          <w:p w14:paraId="535A7EAD" w14:textId="77777777" w:rsidR="004B4E35" w:rsidRPr="00405303" w:rsidRDefault="009E6F82" w:rsidP="00C15251">
            <w:pPr>
              <w:jc w:val="both"/>
              <w:rPr>
                <w:bCs/>
                <w:color w:val="002060"/>
                <w:sz w:val="16"/>
                <w:szCs w:val="16"/>
              </w:rPr>
            </w:pPr>
            <w:r w:rsidRPr="00405303">
              <w:rPr>
                <w:bCs/>
                <w:color w:val="002060"/>
                <w:sz w:val="16"/>
                <w:szCs w:val="16"/>
              </w:rPr>
              <w:t>октябрь</w:t>
            </w:r>
          </w:p>
        </w:tc>
        <w:tc>
          <w:tcPr>
            <w:tcW w:w="600" w:type="dxa"/>
          </w:tcPr>
          <w:p w14:paraId="51BA87BE" w14:textId="77777777" w:rsidR="004B4E35" w:rsidRPr="00405303" w:rsidRDefault="009E6F82" w:rsidP="00C15251">
            <w:pPr>
              <w:jc w:val="both"/>
              <w:rPr>
                <w:bCs/>
                <w:color w:val="002060"/>
                <w:sz w:val="16"/>
                <w:szCs w:val="16"/>
              </w:rPr>
            </w:pPr>
            <w:r w:rsidRPr="00405303">
              <w:rPr>
                <w:bCs/>
                <w:color w:val="002060"/>
                <w:sz w:val="16"/>
                <w:szCs w:val="16"/>
              </w:rPr>
              <w:t xml:space="preserve">127 </w:t>
            </w:r>
          </w:p>
        </w:tc>
      </w:tr>
      <w:tr w:rsidR="004B4E35" w:rsidRPr="00405303" w14:paraId="20C753E8" w14:textId="77777777">
        <w:tc>
          <w:tcPr>
            <w:tcW w:w="1896" w:type="dxa"/>
          </w:tcPr>
          <w:p w14:paraId="3453A647"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600" w:type="dxa"/>
          </w:tcPr>
          <w:p w14:paraId="081ECDBC" w14:textId="77777777" w:rsidR="004B4E35" w:rsidRPr="00405303" w:rsidRDefault="009E6F82" w:rsidP="00C15251">
            <w:pPr>
              <w:jc w:val="both"/>
              <w:rPr>
                <w:bCs/>
                <w:color w:val="002060"/>
                <w:sz w:val="16"/>
                <w:szCs w:val="16"/>
              </w:rPr>
            </w:pPr>
            <w:r w:rsidRPr="00405303">
              <w:rPr>
                <w:bCs/>
                <w:color w:val="002060"/>
                <w:sz w:val="16"/>
                <w:szCs w:val="16"/>
              </w:rPr>
              <w:t xml:space="preserve">185 </w:t>
            </w:r>
          </w:p>
        </w:tc>
      </w:tr>
      <w:tr w:rsidR="004B4E35" w:rsidRPr="00405303" w14:paraId="543E4A49" w14:textId="77777777">
        <w:tc>
          <w:tcPr>
            <w:tcW w:w="1896" w:type="dxa"/>
          </w:tcPr>
          <w:p w14:paraId="19EA9E03"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600" w:type="dxa"/>
          </w:tcPr>
          <w:p w14:paraId="58BC8B71" w14:textId="77777777" w:rsidR="004B4E35" w:rsidRPr="00405303" w:rsidRDefault="009E6F82" w:rsidP="00C15251">
            <w:pPr>
              <w:jc w:val="both"/>
              <w:rPr>
                <w:bCs/>
                <w:color w:val="002060"/>
                <w:sz w:val="16"/>
                <w:szCs w:val="16"/>
              </w:rPr>
            </w:pPr>
            <w:r w:rsidRPr="00405303">
              <w:rPr>
                <w:bCs/>
                <w:color w:val="002060"/>
                <w:sz w:val="16"/>
                <w:szCs w:val="16"/>
              </w:rPr>
              <w:t xml:space="preserve">223 </w:t>
            </w:r>
          </w:p>
        </w:tc>
      </w:tr>
      <w:tr w:rsidR="004B4E35" w:rsidRPr="00405303" w14:paraId="7E04C99D" w14:textId="77777777">
        <w:tc>
          <w:tcPr>
            <w:tcW w:w="1896" w:type="dxa"/>
          </w:tcPr>
          <w:p w14:paraId="74B4C35C" w14:textId="77777777" w:rsidR="004B4E35" w:rsidRPr="00405303" w:rsidRDefault="009E6F82" w:rsidP="00C15251">
            <w:pPr>
              <w:jc w:val="both"/>
              <w:rPr>
                <w:bCs/>
                <w:color w:val="002060"/>
                <w:sz w:val="16"/>
                <w:szCs w:val="16"/>
              </w:rPr>
            </w:pPr>
            <w:r w:rsidRPr="00405303">
              <w:rPr>
                <w:bCs/>
                <w:color w:val="002060"/>
                <w:sz w:val="16"/>
                <w:szCs w:val="16"/>
              </w:rPr>
              <w:t>1916 г., январь</w:t>
            </w:r>
          </w:p>
        </w:tc>
        <w:tc>
          <w:tcPr>
            <w:tcW w:w="600" w:type="dxa"/>
          </w:tcPr>
          <w:p w14:paraId="55B78F64" w14:textId="77777777" w:rsidR="004B4E35" w:rsidRPr="00405303" w:rsidRDefault="009E6F82" w:rsidP="00C15251">
            <w:pPr>
              <w:jc w:val="both"/>
              <w:rPr>
                <w:bCs/>
                <w:color w:val="002060"/>
                <w:sz w:val="16"/>
                <w:szCs w:val="16"/>
              </w:rPr>
            </w:pPr>
            <w:r w:rsidRPr="00405303">
              <w:rPr>
                <w:bCs/>
                <w:color w:val="002060"/>
                <w:sz w:val="16"/>
                <w:szCs w:val="16"/>
              </w:rPr>
              <w:t xml:space="preserve">245 </w:t>
            </w:r>
          </w:p>
        </w:tc>
      </w:tr>
      <w:tr w:rsidR="004B4E35" w:rsidRPr="00405303" w14:paraId="6FA9A2A7" w14:textId="77777777">
        <w:tc>
          <w:tcPr>
            <w:tcW w:w="1896" w:type="dxa"/>
          </w:tcPr>
          <w:p w14:paraId="18B78785" w14:textId="77777777" w:rsidR="004B4E35" w:rsidRPr="00405303" w:rsidRDefault="009E6F82" w:rsidP="00C15251">
            <w:pPr>
              <w:jc w:val="both"/>
              <w:rPr>
                <w:bCs/>
                <w:color w:val="002060"/>
                <w:sz w:val="16"/>
                <w:szCs w:val="16"/>
              </w:rPr>
            </w:pPr>
            <w:r w:rsidRPr="00405303">
              <w:rPr>
                <w:bCs/>
                <w:color w:val="002060"/>
                <w:sz w:val="16"/>
                <w:szCs w:val="16"/>
              </w:rPr>
              <w:t>апрель</w:t>
            </w:r>
          </w:p>
        </w:tc>
        <w:tc>
          <w:tcPr>
            <w:tcW w:w="600" w:type="dxa"/>
          </w:tcPr>
          <w:p w14:paraId="53D6B9FB" w14:textId="77777777" w:rsidR="004B4E35" w:rsidRPr="00405303" w:rsidRDefault="009E6F82" w:rsidP="00C15251">
            <w:pPr>
              <w:jc w:val="both"/>
              <w:rPr>
                <w:bCs/>
                <w:color w:val="002060"/>
                <w:sz w:val="16"/>
                <w:szCs w:val="16"/>
              </w:rPr>
            </w:pPr>
            <w:r w:rsidRPr="00405303">
              <w:rPr>
                <w:bCs/>
                <w:color w:val="002060"/>
                <w:sz w:val="16"/>
                <w:szCs w:val="16"/>
              </w:rPr>
              <w:t xml:space="preserve">422 </w:t>
            </w:r>
          </w:p>
        </w:tc>
      </w:tr>
      <w:tr w:rsidR="004B4E35" w:rsidRPr="00405303" w14:paraId="0793FE3F" w14:textId="77777777">
        <w:tc>
          <w:tcPr>
            <w:tcW w:w="1896" w:type="dxa"/>
          </w:tcPr>
          <w:p w14:paraId="59D1E404" w14:textId="77777777" w:rsidR="004B4E35" w:rsidRPr="00405303" w:rsidRDefault="009E6F82" w:rsidP="00C15251">
            <w:pPr>
              <w:jc w:val="both"/>
              <w:rPr>
                <w:bCs/>
                <w:color w:val="002060"/>
                <w:sz w:val="16"/>
                <w:szCs w:val="16"/>
              </w:rPr>
            </w:pPr>
            <w:r w:rsidRPr="00405303">
              <w:rPr>
                <w:bCs/>
                <w:color w:val="002060"/>
                <w:sz w:val="16"/>
                <w:szCs w:val="16"/>
              </w:rPr>
              <w:t>июль</w:t>
            </w:r>
          </w:p>
        </w:tc>
        <w:tc>
          <w:tcPr>
            <w:tcW w:w="600" w:type="dxa"/>
          </w:tcPr>
          <w:p w14:paraId="64255753" w14:textId="77777777" w:rsidR="004B4E35" w:rsidRPr="00405303" w:rsidRDefault="009E6F82" w:rsidP="00C15251">
            <w:pPr>
              <w:jc w:val="both"/>
              <w:rPr>
                <w:bCs/>
                <w:color w:val="002060"/>
                <w:sz w:val="16"/>
                <w:szCs w:val="16"/>
              </w:rPr>
            </w:pPr>
            <w:r w:rsidRPr="00405303">
              <w:rPr>
                <w:bCs/>
                <w:color w:val="002060"/>
                <w:sz w:val="16"/>
                <w:szCs w:val="16"/>
              </w:rPr>
              <w:t xml:space="preserve">688 </w:t>
            </w:r>
          </w:p>
        </w:tc>
      </w:tr>
      <w:tr w:rsidR="004B4E35" w:rsidRPr="00405303" w14:paraId="03C6B8E6" w14:textId="77777777">
        <w:tc>
          <w:tcPr>
            <w:tcW w:w="1896" w:type="dxa"/>
          </w:tcPr>
          <w:p w14:paraId="538D6A5D" w14:textId="77777777" w:rsidR="004B4E35" w:rsidRPr="00405303" w:rsidRDefault="009E6F82" w:rsidP="00C15251">
            <w:pPr>
              <w:jc w:val="both"/>
              <w:rPr>
                <w:bCs/>
                <w:color w:val="002060"/>
                <w:sz w:val="16"/>
                <w:szCs w:val="16"/>
              </w:rPr>
            </w:pPr>
            <w:r w:rsidRPr="00405303">
              <w:rPr>
                <w:bCs/>
                <w:color w:val="002060"/>
                <w:sz w:val="16"/>
                <w:szCs w:val="16"/>
              </w:rPr>
              <w:t>сентябрь</w:t>
            </w:r>
          </w:p>
        </w:tc>
        <w:tc>
          <w:tcPr>
            <w:tcW w:w="600" w:type="dxa"/>
          </w:tcPr>
          <w:p w14:paraId="73364374" w14:textId="77777777" w:rsidR="004B4E35" w:rsidRPr="00405303" w:rsidRDefault="009E6F82" w:rsidP="00C15251">
            <w:pPr>
              <w:jc w:val="both"/>
              <w:rPr>
                <w:bCs/>
                <w:color w:val="002060"/>
                <w:sz w:val="16"/>
                <w:szCs w:val="16"/>
              </w:rPr>
            </w:pPr>
            <w:r w:rsidRPr="00405303">
              <w:rPr>
                <w:bCs/>
                <w:color w:val="002060"/>
                <w:sz w:val="16"/>
                <w:szCs w:val="16"/>
              </w:rPr>
              <w:t xml:space="preserve">703 </w:t>
            </w:r>
          </w:p>
        </w:tc>
      </w:tr>
      <w:tr w:rsidR="004B4E35" w:rsidRPr="00405303" w14:paraId="67E022FE" w14:textId="77777777">
        <w:tc>
          <w:tcPr>
            <w:tcW w:w="1896" w:type="dxa"/>
          </w:tcPr>
          <w:p w14:paraId="79AFF77D"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600" w:type="dxa"/>
          </w:tcPr>
          <w:p w14:paraId="6EB66F7E" w14:textId="77777777" w:rsidR="004B4E35" w:rsidRPr="00405303" w:rsidRDefault="009E6F82" w:rsidP="00C15251">
            <w:pPr>
              <w:jc w:val="both"/>
              <w:rPr>
                <w:bCs/>
                <w:color w:val="002060"/>
                <w:sz w:val="16"/>
                <w:szCs w:val="16"/>
              </w:rPr>
            </w:pPr>
            <w:r w:rsidRPr="00405303">
              <w:rPr>
                <w:bCs/>
                <w:color w:val="002060"/>
                <w:sz w:val="16"/>
                <w:szCs w:val="16"/>
              </w:rPr>
              <w:t xml:space="preserve">783 </w:t>
            </w:r>
          </w:p>
        </w:tc>
      </w:tr>
      <w:tr w:rsidR="004B4E35" w:rsidRPr="00405303" w14:paraId="3FBACDB6" w14:textId="77777777">
        <w:tc>
          <w:tcPr>
            <w:tcW w:w="1896" w:type="dxa"/>
          </w:tcPr>
          <w:p w14:paraId="1CAB4B9C" w14:textId="77777777" w:rsidR="004B4E35" w:rsidRPr="00405303" w:rsidRDefault="009E6F82" w:rsidP="00C15251">
            <w:pPr>
              <w:jc w:val="both"/>
              <w:rPr>
                <w:bCs/>
                <w:color w:val="002060"/>
                <w:sz w:val="16"/>
                <w:szCs w:val="16"/>
              </w:rPr>
            </w:pPr>
            <w:r w:rsidRPr="00405303">
              <w:rPr>
                <w:bCs/>
                <w:color w:val="002060"/>
                <w:sz w:val="16"/>
                <w:szCs w:val="16"/>
              </w:rPr>
              <w:t>1917 г., январь</w:t>
            </w:r>
          </w:p>
        </w:tc>
        <w:tc>
          <w:tcPr>
            <w:tcW w:w="600" w:type="dxa"/>
          </w:tcPr>
          <w:p w14:paraId="72805146" w14:textId="77777777" w:rsidR="004B4E35" w:rsidRPr="00405303" w:rsidRDefault="009E6F82" w:rsidP="00C15251">
            <w:pPr>
              <w:jc w:val="both"/>
              <w:rPr>
                <w:bCs/>
                <w:color w:val="002060"/>
                <w:sz w:val="16"/>
                <w:szCs w:val="16"/>
              </w:rPr>
            </w:pPr>
            <w:r w:rsidRPr="00405303">
              <w:rPr>
                <w:bCs/>
                <w:color w:val="002060"/>
                <w:sz w:val="16"/>
                <w:szCs w:val="16"/>
              </w:rPr>
              <w:t xml:space="preserve">764 </w:t>
            </w:r>
          </w:p>
        </w:tc>
      </w:tr>
      <w:tr w:rsidR="004B4E35" w:rsidRPr="00405303" w14:paraId="0CDDDC64" w14:textId="77777777">
        <w:tc>
          <w:tcPr>
            <w:tcW w:w="1896" w:type="dxa"/>
          </w:tcPr>
          <w:p w14:paraId="7C728C84" w14:textId="77777777" w:rsidR="004B4E35" w:rsidRPr="00405303" w:rsidRDefault="009E6F82" w:rsidP="00C15251">
            <w:pPr>
              <w:jc w:val="both"/>
              <w:rPr>
                <w:bCs/>
                <w:color w:val="002060"/>
                <w:sz w:val="16"/>
                <w:szCs w:val="16"/>
              </w:rPr>
            </w:pPr>
            <w:r w:rsidRPr="00405303">
              <w:rPr>
                <w:bCs/>
                <w:color w:val="002060"/>
                <w:sz w:val="16"/>
                <w:szCs w:val="16"/>
              </w:rPr>
              <w:t>апрель</w:t>
            </w:r>
          </w:p>
        </w:tc>
        <w:tc>
          <w:tcPr>
            <w:tcW w:w="600" w:type="dxa"/>
          </w:tcPr>
          <w:p w14:paraId="51859625" w14:textId="77777777" w:rsidR="004B4E35" w:rsidRPr="00405303" w:rsidRDefault="009E6F82" w:rsidP="00C15251">
            <w:pPr>
              <w:jc w:val="both"/>
              <w:rPr>
                <w:bCs/>
                <w:color w:val="002060"/>
                <w:sz w:val="16"/>
                <w:szCs w:val="16"/>
              </w:rPr>
            </w:pPr>
            <w:r w:rsidRPr="00405303">
              <w:rPr>
                <w:bCs/>
                <w:color w:val="002060"/>
                <w:sz w:val="16"/>
                <w:szCs w:val="16"/>
              </w:rPr>
              <w:t xml:space="preserve">501 </w:t>
            </w:r>
          </w:p>
        </w:tc>
      </w:tr>
      <w:tr w:rsidR="004B4E35" w:rsidRPr="00405303" w14:paraId="74FE1959" w14:textId="77777777">
        <w:tc>
          <w:tcPr>
            <w:tcW w:w="1896" w:type="dxa"/>
          </w:tcPr>
          <w:p w14:paraId="365C9EBA" w14:textId="77777777" w:rsidR="004B4E35" w:rsidRPr="00405303" w:rsidRDefault="009E6F82" w:rsidP="00C15251">
            <w:pPr>
              <w:jc w:val="both"/>
              <w:rPr>
                <w:bCs/>
                <w:color w:val="002060"/>
                <w:sz w:val="16"/>
                <w:szCs w:val="16"/>
              </w:rPr>
            </w:pPr>
            <w:r w:rsidRPr="00405303">
              <w:rPr>
                <w:bCs/>
                <w:color w:val="002060"/>
                <w:sz w:val="16"/>
                <w:szCs w:val="16"/>
              </w:rPr>
              <w:t>июль</w:t>
            </w:r>
          </w:p>
        </w:tc>
        <w:tc>
          <w:tcPr>
            <w:tcW w:w="600" w:type="dxa"/>
          </w:tcPr>
          <w:p w14:paraId="1A421A77" w14:textId="77777777" w:rsidR="004B4E35" w:rsidRPr="00405303" w:rsidRDefault="009E6F82" w:rsidP="00C15251">
            <w:pPr>
              <w:jc w:val="both"/>
              <w:rPr>
                <w:bCs/>
                <w:color w:val="002060"/>
                <w:sz w:val="16"/>
                <w:szCs w:val="16"/>
              </w:rPr>
            </w:pPr>
            <w:r w:rsidRPr="00405303">
              <w:rPr>
                <w:bCs/>
                <w:color w:val="002060"/>
                <w:sz w:val="16"/>
                <w:szCs w:val="16"/>
              </w:rPr>
              <w:t xml:space="preserve">449 </w:t>
            </w:r>
          </w:p>
        </w:tc>
      </w:tr>
      <w:tr w:rsidR="004B4E35" w:rsidRPr="00405303" w14:paraId="6F1E8BEF" w14:textId="77777777">
        <w:tc>
          <w:tcPr>
            <w:tcW w:w="1896" w:type="dxa"/>
          </w:tcPr>
          <w:p w14:paraId="531F6E88"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600" w:type="dxa"/>
          </w:tcPr>
          <w:p w14:paraId="77E03357" w14:textId="77777777" w:rsidR="004B4E35" w:rsidRPr="00405303" w:rsidRDefault="009E6F82" w:rsidP="00C15251">
            <w:pPr>
              <w:jc w:val="both"/>
              <w:rPr>
                <w:bCs/>
                <w:color w:val="002060"/>
                <w:sz w:val="16"/>
                <w:szCs w:val="16"/>
              </w:rPr>
            </w:pPr>
            <w:r w:rsidRPr="00405303">
              <w:rPr>
                <w:bCs/>
                <w:color w:val="002060"/>
                <w:sz w:val="16"/>
                <w:szCs w:val="16"/>
              </w:rPr>
              <w:t xml:space="preserve">291 </w:t>
            </w:r>
          </w:p>
        </w:tc>
      </w:tr>
    </w:tbl>
    <w:p w14:paraId="01EB4F6E" w14:textId="77777777" w:rsidR="004B4E35" w:rsidRPr="00405303" w:rsidRDefault="009E6F82" w:rsidP="00C15251">
      <w:pPr>
        <w:jc w:val="both"/>
        <w:rPr>
          <w:bCs/>
          <w:color w:val="002060"/>
          <w:sz w:val="16"/>
          <w:szCs w:val="16"/>
        </w:rPr>
      </w:pPr>
      <w:r w:rsidRPr="00405303">
        <w:rPr>
          <w:bCs/>
          <w:color w:val="002060"/>
          <w:sz w:val="16"/>
          <w:szCs w:val="16"/>
        </w:rPr>
        <w:t xml:space="preserve">Всего с сентября 1915 г. по ноябрь 1917 г. выпущено 12 000 000 корпусов 3-дм гранат. С февраля 1917 г. производительность начинает падать и приходит к нулю в конце 1917 года. </w:t>
      </w:r>
    </w:p>
    <w:p w14:paraId="3B52EF53" w14:textId="77777777" w:rsidR="004B4E35" w:rsidRPr="00405303" w:rsidRDefault="009E6F82" w:rsidP="00C15251">
      <w:pPr>
        <w:jc w:val="both"/>
        <w:rPr>
          <w:bCs/>
          <w:color w:val="002060"/>
          <w:sz w:val="16"/>
          <w:szCs w:val="16"/>
        </w:rPr>
      </w:pPr>
      <w:r w:rsidRPr="00405303">
        <w:rPr>
          <w:bCs/>
          <w:color w:val="002060"/>
          <w:sz w:val="16"/>
          <w:szCs w:val="16"/>
        </w:rPr>
        <w:t xml:space="preserve">Сверх 3-дм гранат французского образца, уполномоченному ГАУ в середине 1916 г. было, как указано выше, поручено Главным артиллерийским управлением изготовление стальных снарядов 155-мм, 57-мм и 48-лин. химических, в количествах, указанных выше. </w:t>
      </w:r>
    </w:p>
    <w:p w14:paraId="77B41E1D" w14:textId="77777777" w:rsidR="004B4E35" w:rsidRPr="00405303" w:rsidRDefault="009E6F82" w:rsidP="00C15251">
      <w:pPr>
        <w:jc w:val="both"/>
        <w:rPr>
          <w:bCs/>
          <w:color w:val="002060"/>
          <w:sz w:val="16"/>
          <w:szCs w:val="16"/>
        </w:rPr>
      </w:pPr>
      <w:r w:rsidRPr="00405303">
        <w:rPr>
          <w:bCs/>
          <w:color w:val="002060"/>
          <w:sz w:val="16"/>
          <w:szCs w:val="16"/>
        </w:rPr>
        <w:t xml:space="preserve">Все подготовительные к исполнению заказа работы были выполнены и заказ размещен, но реализовать его не пришлось ввиду ликвидации всего снарядного дела к концу 1917 года. </w:t>
      </w:r>
    </w:p>
    <w:p w14:paraId="53F44302" w14:textId="77777777" w:rsidR="004B4E35" w:rsidRPr="00405303" w:rsidRDefault="009E6F82" w:rsidP="00C15251">
      <w:pPr>
        <w:jc w:val="both"/>
        <w:rPr>
          <w:bCs/>
          <w:color w:val="002060"/>
          <w:sz w:val="16"/>
          <w:szCs w:val="16"/>
        </w:rPr>
      </w:pPr>
      <w:r w:rsidRPr="00405303">
        <w:rPr>
          <w:bCs/>
          <w:color w:val="002060"/>
          <w:sz w:val="16"/>
          <w:szCs w:val="16"/>
        </w:rPr>
        <w:t xml:space="preserve">Уполномоченному ГАУ поручено было также изготовление снарядов средних и больших калибров из сталистого чугуна. Сталистый чугун являлся нововведением в снарядном деле. В технике вообще он появился в 1880—1890-е годы во Франции, под именем "арденского чугуна". Но как материал он не был изучен и производство его не было поставлено на научных началах. Изучению сталистого чугуна было положено начало работами капитана французской службы Праша, произведшего капитальные исследования по этому вопросу. Сталистый чугун, стоящий по своему составу между чугуном и сталью, имеет значительную прочность, обусловливаемую относительной бедностью углеродом и значительным процентом связанного углерода. Одним из препятствий к употреблению сталистого чугуна в артиллерийском деле служила необходимость выплавки его в отражательных печах. Поэтому во Франции были изысканы и разработаны методы получения его в вагранках. Надо заметить, что эти методы в России были найдены ранее, чем во Франции, именно — 40 лет назад проф. Черновым. </w:t>
      </w:r>
    </w:p>
    <w:p w14:paraId="5CBB82F6" w14:textId="77777777" w:rsidR="004B4E35" w:rsidRPr="00405303" w:rsidRDefault="009E6F82" w:rsidP="00C15251">
      <w:pPr>
        <w:jc w:val="both"/>
        <w:rPr>
          <w:bCs/>
          <w:color w:val="002060"/>
          <w:sz w:val="16"/>
          <w:szCs w:val="16"/>
        </w:rPr>
      </w:pPr>
      <w:r w:rsidRPr="00405303">
        <w:rPr>
          <w:bCs/>
          <w:color w:val="002060"/>
          <w:sz w:val="16"/>
          <w:szCs w:val="16"/>
        </w:rPr>
        <w:t xml:space="preserve">Применение сталистого чугуна во Франции во время войны 1914—1917 гг. в результате опытов Праша приняло широкие размеры и способствовало в значительной мере урегулированию снарядного кризиса. Это обстоятельство побудило поставить вопрос об изготовлении снарядов сталистого чугуна в России. После долгих обсуждений вопрос был разрешен в утвердительном смысле. После предварительных опытных работ первый заказ на 6-дм сталистые бомбы был дан в середине 1916 года. Он был размещен на 14 заводах, главным образом южных. Затем последовал заказ на 48-лин. бомбы. </w:t>
      </w:r>
    </w:p>
    <w:p w14:paraId="209BEC0A" w14:textId="77777777" w:rsidR="004B4E35" w:rsidRPr="00405303" w:rsidRDefault="009E6F82" w:rsidP="00C15251">
      <w:pPr>
        <w:jc w:val="both"/>
        <w:rPr>
          <w:bCs/>
          <w:color w:val="002060"/>
          <w:sz w:val="16"/>
          <w:szCs w:val="16"/>
        </w:rPr>
      </w:pPr>
      <w:r w:rsidRPr="00405303">
        <w:rPr>
          <w:bCs/>
          <w:color w:val="002060"/>
          <w:sz w:val="16"/>
          <w:szCs w:val="16"/>
        </w:rPr>
        <w:t xml:space="preserve">Организацией Ванкова были разработаны новые методы приемки сталистых снарядов, отличные от французских. </w:t>
      </w:r>
    </w:p>
    <w:p w14:paraId="18BAF8DA"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Результаты работ по сталистым снарядам, 6-дм и 48-лин, выразились следующими цифрами (тыс. шт.):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60"/>
        <w:gridCol w:w="564"/>
        <w:gridCol w:w="938"/>
      </w:tblGrid>
      <w:tr w:rsidR="004B4E35" w:rsidRPr="00405303" w14:paraId="76532686" w14:textId="77777777">
        <w:tc>
          <w:tcPr>
            <w:tcW w:w="2160" w:type="dxa"/>
          </w:tcPr>
          <w:p w14:paraId="57E98608" w14:textId="77777777" w:rsidR="004B4E35" w:rsidRPr="00405303" w:rsidRDefault="009E6F82" w:rsidP="00C15251">
            <w:pPr>
              <w:jc w:val="both"/>
              <w:rPr>
                <w:bCs/>
                <w:color w:val="002060"/>
                <w:sz w:val="16"/>
                <w:szCs w:val="16"/>
              </w:rPr>
            </w:pPr>
            <w:r w:rsidRPr="00405303">
              <w:rPr>
                <w:bCs/>
                <w:color w:val="002060"/>
                <w:sz w:val="16"/>
                <w:szCs w:val="16"/>
              </w:rPr>
              <w:t>Рост выпуска продукции в 1917 г.</w:t>
            </w:r>
          </w:p>
        </w:tc>
        <w:tc>
          <w:tcPr>
            <w:tcW w:w="564" w:type="dxa"/>
          </w:tcPr>
          <w:p w14:paraId="34C7BBA5" w14:textId="77777777" w:rsidR="004B4E35" w:rsidRPr="00405303" w:rsidRDefault="009E6F82" w:rsidP="00C15251">
            <w:pPr>
              <w:jc w:val="both"/>
              <w:rPr>
                <w:bCs/>
                <w:color w:val="002060"/>
                <w:sz w:val="16"/>
                <w:szCs w:val="16"/>
              </w:rPr>
            </w:pPr>
            <w:r w:rsidRPr="00405303">
              <w:rPr>
                <w:bCs/>
                <w:color w:val="002060"/>
                <w:sz w:val="16"/>
                <w:szCs w:val="16"/>
              </w:rPr>
              <w:t>Литье</w:t>
            </w:r>
          </w:p>
        </w:tc>
        <w:tc>
          <w:tcPr>
            <w:tcW w:w="938" w:type="dxa"/>
          </w:tcPr>
          <w:p w14:paraId="6D768181" w14:textId="77777777" w:rsidR="004B4E35" w:rsidRPr="00405303" w:rsidRDefault="009E6F82" w:rsidP="00C15251">
            <w:pPr>
              <w:jc w:val="both"/>
              <w:rPr>
                <w:bCs/>
                <w:color w:val="002060"/>
                <w:sz w:val="16"/>
                <w:szCs w:val="16"/>
              </w:rPr>
            </w:pPr>
            <w:r w:rsidRPr="00405303">
              <w:rPr>
                <w:bCs/>
                <w:color w:val="002060"/>
                <w:sz w:val="16"/>
                <w:szCs w:val="16"/>
              </w:rPr>
              <w:t>Обработка</w:t>
            </w:r>
          </w:p>
        </w:tc>
      </w:tr>
      <w:tr w:rsidR="004B4E35" w:rsidRPr="00405303" w14:paraId="0AD910B9" w14:textId="77777777">
        <w:tc>
          <w:tcPr>
            <w:tcW w:w="2160" w:type="dxa"/>
          </w:tcPr>
          <w:p w14:paraId="6EF9DBD6" w14:textId="77777777" w:rsidR="004B4E35" w:rsidRPr="00405303" w:rsidRDefault="009E6F82" w:rsidP="00C15251">
            <w:pPr>
              <w:jc w:val="both"/>
              <w:rPr>
                <w:bCs/>
                <w:color w:val="002060"/>
                <w:sz w:val="16"/>
                <w:szCs w:val="16"/>
              </w:rPr>
            </w:pPr>
            <w:r w:rsidRPr="00405303">
              <w:rPr>
                <w:bCs/>
                <w:color w:val="002060"/>
                <w:sz w:val="16"/>
                <w:szCs w:val="16"/>
              </w:rPr>
              <w:t>Январь</w:t>
            </w:r>
          </w:p>
        </w:tc>
        <w:tc>
          <w:tcPr>
            <w:tcW w:w="564" w:type="dxa"/>
          </w:tcPr>
          <w:p w14:paraId="02739602" w14:textId="77777777" w:rsidR="004B4E35" w:rsidRPr="00405303" w:rsidRDefault="009E6F82" w:rsidP="00C15251">
            <w:pPr>
              <w:jc w:val="both"/>
              <w:rPr>
                <w:bCs/>
                <w:color w:val="002060"/>
                <w:sz w:val="16"/>
                <w:szCs w:val="16"/>
              </w:rPr>
            </w:pPr>
            <w:r w:rsidRPr="00405303">
              <w:rPr>
                <w:bCs/>
                <w:color w:val="002060"/>
                <w:sz w:val="16"/>
                <w:szCs w:val="16"/>
              </w:rPr>
              <w:t>236</w:t>
            </w:r>
          </w:p>
        </w:tc>
        <w:tc>
          <w:tcPr>
            <w:tcW w:w="938" w:type="dxa"/>
          </w:tcPr>
          <w:p w14:paraId="274E888B" w14:textId="77777777" w:rsidR="004B4E35" w:rsidRPr="00405303" w:rsidRDefault="009E6F82" w:rsidP="00C15251">
            <w:pPr>
              <w:jc w:val="both"/>
              <w:rPr>
                <w:bCs/>
                <w:color w:val="002060"/>
                <w:sz w:val="16"/>
                <w:szCs w:val="16"/>
              </w:rPr>
            </w:pPr>
            <w:r w:rsidRPr="00405303">
              <w:rPr>
                <w:bCs/>
                <w:color w:val="002060"/>
                <w:sz w:val="16"/>
                <w:szCs w:val="16"/>
              </w:rPr>
              <w:t>118</w:t>
            </w:r>
          </w:p>
        </w:tc>
      </w:tr>
      <w:tr w:rsidR="004B4E35" w:rsidRPr="00405303" w14:paraId="5CB13A7B" w14:textId="77777777">
        <w:tc>
          <w:tcPr>
            <w:tcW w:w="2160" w:type="dxa"/>
          </w:tcPr>
          <w:p w14:paraId="4463339E" w14:textId="77777777" w:rsidR="004B4E35" w:rsidRPr="00405303" w:rsidRDefault="009E6F82" w:rsidP="00C15251">
            <w:pPr>
              <w:jc w:val="both"/>
              <w:rPr>
                <w:bCs/>
                <w:color w:val="002060"/>
                <w:sz w:val="16"/>
                <w:szCs w:val="16"/>
              </w:rPr>
            </w:pPr>
            <w:r w:rsidRPr="00405303">
              <w:rPr>
                <w:bCs/>
                <w:color w:val="002060"/>
                <w:sz w:val="16"/>
                <w:szCs w:val="16"/>
              </w:rPr>
              <w:t>Июнь</w:t>
            </w:r>
          </w:p>
        </w:tc>
        <w:tc>
          <w:tcPr>
            <w:tcW w:w="564" w:type="dxa"/>
          </w:tcPr>
          <w:p w14:paraId="2CC006E5" w14:textId="77777777" w:rsidR="004B4E35" w:rsidRPr="00405303" w:rsidRDefault="009E6F82" w:rsidP="00C15251">
            <w:pPr>
              <w:jc w:val="both"/>
              <w:rPr>
                <w:bCs/>
                <w:color w:val="002060"/>
                <w:sz w:val="16"/>
                <w:szCs w:val="16"/>
              </w:rPr>
            </w:pPr>
            <w:r w:rsidRPr="00405303">
              <w:rPr>
                <w:bCs/>
                <w:color w:val="002060"/>
                <w:sz w:val="16"/>
                <w:szCs w:val="16"/>
              </w:rPr>
              <w:t>666</w:t>
            </w:r>
          </w:p>
        </w:tc>
        <w:tc>
          <w:tcPr>
            <w:tcW w:w="938" w:type="dxa"/>
          </w:tcPr>
          <w:p w14:paraId="5DD55881" w14:textId="77777777" w:rsidR="004B4E35" w:rsidRPr="00405303" w:rsidRDefault="009E6F82" w:rsidP="00C15251">
            <w:pPr>
              <w:jc w:val="both"/>
              <w:rPr>
                <w:bCs/>
                <w:color w:val="002060"/>
                <w:sz w:val="16"/>
                <w:szCs w:val="16"/>
              </w:rPr>
            </w:pPr>
            <w:r w:rsidRPr="00405303">
              <w:rPr>
                <w:bCs/>
                <w:color w:val="002060"/>
                <w:sz w:val="16"/>
                <w:szCs w:val="16"/>
              </w:rPr>
              <w:t>345</w:t>
            </w:r>
          </w:p>
        </w:tc>
      </w:tr>
      <w:tr w:rsidR="004B4E35" w:rsidRPr="00405303" w14:paraId="79E56D10" w14:textId="77777777">
        <w:tc>
          <w:tcPr>
            <w:tcW w:w="2160" w:type="dxa"/>
          </w:tcPr>
          <w:p w14:paraId="161D76EC"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564" w:type="dxa"/>
          </w:tcPr>
          <w:p w14:paraId="03680757" w14:textId="77777777" w:rsidR="004B4E35" w:rsidRPr="00405303" w:rsidRDefault="009E6F82" w:rsidP="00C15251">
            <w:pPr>
              <w:jc w:val="both"/>
              <w:rPr>
                <w:bCs/>
                <w:color w:val="002060"/>
                <w:sz w:val="16"/>
                <w:szCs w:val="16"/>
              </w:rPr>
            </w:pPr>
            <w:r w:rsidRPr="00405303">
              <w:rPr>
                <w:bCs/>
                <w:color w:val="002060"/>
                <w:sz w:val="16"/>
                <w:szCs w:val="16"/>
              </w:rPr>
              <w:t>1024</w:t>
            </w:r>
          </w:p>
        </w:tc>
        <w:tc>
          <w:tcPr>
            <w:tcW w:w="938" w:type="dxa"/>
          </w:tcPr>
          <w:p w14:paraId="48EE52A5" w14:textId="77777777" w:rsidR="004B4E35" w:rsidRPr="00405303" w:rsidRDefault="009E6F82" w:rsidP="00C15251">
            <w:pPr>
              <w:jc w:val="both"/>
              <w:rPr>
                <w:bCs/>
                <w:color w:val="002060"/>
                <w:sz w:val="16"/>
                <w:szCs w:val="16"/>
              </w:rPr>
            </w:pPr>
            <w:r w:rsidRPr="00405303">
              <w:rPr>
                <w:bCs/>
                <w:color w:val="002060"/>
                <w:sz w:val="16"/>
                <w:szCs w:val="16"/>
              </w:rPr>
              <w:t>545</w:t>
            </w:r>
          </w:p>
        </w:tc>
      </w:tr>
    </w:tbl>
    <w:p w14:paraId="7195F8F1" w14:textId="77777777" w:rsidR="004B4E35" w:rsidRPr="00405303" w:rsidRDefault="009E6F82" w:rsidP="00C15251">
      <w:pPr>
        <w:jc w:val="both"/>
        <w:rPr>
          <w:bCs/>
          <w:color w:val="002060"/>
          <w:sz w:val="16"/>
          <w:szCs w:val="16"/>
        </w:rPr>
      </w:pPr>
      <w:r w:rsidRPr="00405303">
        <w:rPr>
          <w:bCs/>
          <w:color w:val="002060"/>
          <w:sz w:val="16"/>
          <w:szCs w:val="16"/>
        </w:rPr>
        <w:t xml:space="preserve">К снарядам необходимо было готовить запальные стаканы и детонаторные трубки французского образца. Наибольшие трудности представляло изготовление трубок, производство коих являлось совершенно новым ввиду полного несходства французского образца трубок с русскими. Производство французских трубок, как и русских, является высокоточным. Число заводов, которые могли бы взяться за эту работу, оказалось сначала четыре, а затем к ним присоединились еще три, всего — семь. Из этих семи заводов сравнительно успешно и быстро справились с делом только четыре, из коих один (Русский Рено) оборудовал отдельный завод, выписав специальное оборудование из-за границы. В результате производство французских трубок не поспевало за производством снарядов и недобор трубок пришлось восполнятъ выпиской из Франции. </w:t>
      </w:r>
    </w:p>
    <w:p w14:paraId="217C38C1" w14:textId="77777777" w:rsidR="004B4E35" w:rsidRPr="00405303" w:rsidRDefault="009E6F82" w:rsidP="00C15251">
      <w:pPr>
        <w:jc w:val="both"/>
        <w:rPr>
          <w:bCs/>
          <w:color w:val="002060"/>
          <w:sz w:val="16"/>
          <w:szCs w:val="16"/>
        </w:rPr>
      </w:pPr>
      <w:r w:rsidRPr="00405303">
        <w:rPr>
          <w:bCs/>
          <w:color w:val="002060"/>
          <w:sz w:val="16"/>
          <w:szCs w:val="16"/>
        </w:rPr>
        <w:t xml:space="preserve">Применение в русской артиллерии французских трубок потребовало ряда опытов для выяснения вопросов, возникавших и в процессе производства этих трубок и при стрельбе ими. В конце концов все эти вопросы были удовлетворительно разрешены. </w:t>
      </w:r>
    </w:p>
    <w:p w14:paraId="3599F9B0" w14:textId="77777777" w:rsidR="004B4E35" w:rsidRPr="00405303" w:rsidRDefault="009E6F82" w:rsidP="00C15251">
      <w:pPr>
        <w:jc w:val="both"/>
        <w:rPr>
          <w:bCs/>
          <w:color w:val="002060"/>
          <w:sz w:val="16"/>
          <w:szCs w:val="16"/>
        </w:rPr>
      </w:pPr>
      <w:r w:rsidRPr="00405303">
        <w:rPr>
          <w:bCs/>
          <w:color w:val="002060"/>
          <w:sz w:val="16"/>
          <w:szCs w:val="16"/>
        </w:rPr>
        <w:t xml:space="preserve">Большие трудности представила установка производства запальных стаканов благодаря требовавшейся от этого изделия большой точности. Во Франции на эту работу, как и на трубки, были использованы имевшиеся в большом количестве арматурные заводы, обладавшие большим числом однотипных станков. В России таких заводов было немного, да и вообще русские заводы, не привыкшие к высокоточной работе, всеми способами уклонялись от нее, тем </w:t>
      </w:r>
      <w:proofErr w:type="gramStart"/>
      <w:r w:rsidRPr="00405303">
        <w:rPr>
          <w:bCs/>
          <w:color w:val="002060"/>
          <w:sz w:val="16"/>
          <w:szCs w:val="16"/>
        </w:rPr>
        <w:t>более</w:t>
      </w:r>
      <w:proofErr w:type="gramEnd"/>
      <w:r w:rsidRPr="00405303">
        <w:rPr>
          <w:bCs/>
          <w:color w:val="002060"/>
          <w:sz w:val="16"/>
          <w:szCs w:val="16"/>
        </w:rPr>
        <w:t xml:space="preserve"> когда вопрос шел о массовом производстве, а с научными принципами массового производства русская гражданская промышленность была до крайности мало знакома. Точные массовые производства были специальностью почти исключительно военно-промышленных заводов. Пришлось ставить производство трубок и станков (стаканов. — Ред.) самым разнообразным способом в смысле применения того или другого оборудования, а также в смысле организации производства и технических приемов работы. </w:t>
      </w:r>
    </w:p>
    <w:p w14:paraId="6F0CA9E7" w14:textId="77777777" w:rsidR="004B4E35" w:rsidRPr="00405303" w:rsidRDefault="009E6F82" w:rsidP="00C15251">
      <w:pPr>
        <w:jc w:val="both"/>
        <w:rPr>
          <w:bCs/>
          <w:color w:val="002060"/>
          <w:sz w:val="16"/>
          <w:szCs w:val="16"/>
        </w:rPr>
      </w:pPr>
      <w:r w:rsidRPr="00405303">
        <w:rPr>
          <w:bCs/>
          <w:color w:val="002060"/>
          <w:sz w:val="16"/>
          <w:szCs w:val="16"/>
        </w:rPr>
        <w:t>Производство стаканов в конце концов наладилось и постепенно догнало производство гранат. Постепенно производительность увеличивается из месяца в месяц, как показано в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060"/>
        <w:gridCol w:w="1248"/>
        <w:gridCol w:w="1246"/>
      </w:tblGrid>
      <w:tr w:rsidR="004B4E35" w:rsidRPr="00405303" w14:paraId="07D0CB13" w14:textId="77777777">
        <w:tc>
          <w:tcPr>
            <w:tcW w:w="3060" w:type="dxa"/>
          </w:tcPr>
          <w:p w14:paraId="53DF025F" w14:textId="77777777" w:rsidR="004B4E35" w:rsidRPr="00405303" w:rsidRDefault="009E6F82" w:rsidP="00C15251">
            <w:pPr>
              <w:jc w:val="both"/>
              <w:rPr>
                <w:bCs/>
                <w:color w:val="002060"/>
                <w:sz w:val="16"/>
                <w:szCs w:val="16"/>
              </w:rPr>
            </w:pPr>
            <w:r w:rsidRPr="00405303">
              <w:rPr>
                <w:bCs/>
                <w:color w:val="002060"/>
                <w:sz w:val="16"/>
                <w:szCs w:val="16"/>
              </w:rPr>
              <w:t>Рост выпуска продукции</w:t>
            </w:r>
          </w:p>
        </w:tc>
        <w:tc>
          <w:tcPr>
            <w:tcW w:w="1248" w:type="dxa"/>
          </w:tcPr>
          <w:p w14:paraId="2D6ACF4E" w14:textId="77777777" w:rsidR="004B4E35" w:rsidRPr="00405303" w:rsidRDefault="009E6F82" w:rsidP="00C15251">
            <w:pPr>
              <w:jc w:val="both"/>
              <w:rPr>
                <w:bCs/>
                <w:color w:val="002060"/>
                <w:sz w:val="16"/>
                <w:szCs w:val="16"/>
              </w:rPr>
            </w:pPr>
            <w:r w:rsidRPr="00405303">
              <w:rPr>
                <w:bCs/>
                <w:color w:val="002060"/>
                <w:sz w:val="16"/>
                <w:szCs w:val="16"/>
              </w:rPr>
              <w:t>Запальные стаканы 6-дм, 3-дм и У.С.</w:t>
            </w:r>
          </w:p>
        </w:tc>
        <w:tc>
          <w:tcPr>
            <w:tcW w:w="1246" w:type="dxa"/>
          </w:tcPr>
          <w:p w14:paraId="759FA02D" w14:textId="77777777" w:rsidR="004B4E35" w:rsidRPr="00405303" w:rsidRDefault="009E6F82" w:rsidP="00C15251">
            <w:pPr>
              <w:jc w:val="both"/>
              <w:rPr>
                <w:bCs/>
                <w:color w:val="002060"/>
                <w:sz w:val="16"/>
                <w:szCs w:val="16"/>
              </w:rPr>
            </w:pPr>
            <w:r w:rsidRPr="00405303">
              <w:rPr>
                <w:bCs/>
                <w:color w:val="002060"/>
                <w:sz w:val="16"/>
                <w:szCs w:val="16"/>
              </w:rPr>
              <w:t>Детонаторные</w:t>
            </w:r>
          </w:p>
        </w:tc>
      </w:tr>
      <w:tr w:rsidR="004B4E35" w:rsidRPr="00405303" w14:paraId="237C0EE5" w14:textId="77777777">
        <w:tc>
          <w:tcPr>
            <w:tcW w:w="3060" w:type="dxa"/>
          </w:tcPr>
          <w:p w14:paraId="700B3A97" w14:textId="77777777" w:rsidR="004B4E35" w:rsidRPr="00405303" w:rsidRDefault="009E6F82" w:rsidP="00C15251">
            <w:pPr>
              <w:jc w:val="both"/>
              <w:rPr>
                <w:bCs/>
                <w:color w:val="002060"/>
                <w:sz w:val="16"/>
                <w:szCs w:val="16"/>
              </w:rPr>
            </w:pPr>
            <w:r w:rsidRPr="00405303">
              <w:rPr>
                <w:bCs/>
                <w:color w:val="002060"/>
                <w:sz w:val="16"/>
                <w:szCs w:val="16"/>
              </w:rPr>
              <w:t>1915 г., сентябрь</w:t>
            </w:r>
          </w:p>
        </w:tc>
        <w:tc>
          <w:tcPr>
            <w:tcW w:w="1248" w:type="dxa"/>
          </w:tcPr>
          <w:p w14:paraId="79D3B6E0" w14:textId="77777777" w:rsidR="004B4E35" w:rsidRPr="00405303" w:rsidRDefault="009E6F82" w:rsidP="00C15251">
            <w:pPr>
              <w:jc w:val="both"/>
              <w:rPr>
                <w:bCs/>
                <w:color w:val="002060"/>
                <w:sz w:val="16"/>
                <w:szCs w:val="16"/>
              </w:rPr>
            </w:pPr>
            <w:r w:rsidRPr="00405303">
              <w:rPr>
                <w:bCs/>
                <w:color w:val="002060"/>
                <w:sz w:val="16"/>
                <w:szCs w:val="16"/>
              </w:rPr>
              <w:t>37.000</w:t>
            </w:r>
          </w:p>
        </w:tc>
        <w:tc>
          <w:tcPr>
            <w:tcW w:w="1246" w:type="dxa"/>
          </w:tcPr>
          <w:p w14:paraId="4A1BB1AD" w14:textId="77777777" w:rsidR="004B4E35" w:rsidRPr="00405303" w:rsidRDefault="009E6F82" w:rsidP="00C15251">
            <w:pPr>
              <w:jc w:val="both"/>
              <w:rPr>
                <w:bCs/>
                <w:color w:val="002060"/>
                <w:sz w:val="16"/>
                <w:szCs w:val="16"/>
              </w:rPr>
            </w:pPr>
            <w:r w:rsidRPr="00405303">
              <w:rPr>
                <w:bCs/>
                <w:color w:val="002060"/>
                <w:sz w:val="16"/>
                <w:szCs w:val="16"/>
              </w:rPr>
              <w:t>2.000</w:t>
            </w:r>
          </w:p>
        </w:tc>
      </w:tr>
      <w:tr w:rsidR="004B4E35" w:rsidRPr="00405303" w14:paraId="2A5659C5" w14:textId="77777777">
        <w:tc>
          <w:tcPr>
            <w:tcW w:w="3060" w:type="dxa"/>
          </w:tcPr>
          <w:p w14:paraId="695420E2" w14:textId="77777777" w:rsidR="004B4E35" w:rsidRPr="00405303" w:rsidRDefault="009E6F82" w:rsidP="00C15251">
            <w:pPr>
              <w:jc w:val="both"/>
              <w:rPr>
                <w:bCs/>
                <w:color w:val="002060"/>
                <w:sz w:val="16"/>
                <w:szCs w:val="16"/>
              </w:rPr>
            </w:pPr>
            <w:r w:rsidRPr="00405303">
              <w:rPr>
                <w:bCs/>
                <w:color w:val="002060"/>
                <w:sz w:val="16"/>
                <w:szCs w:val="16"/>
              </w:rPr>
              <w:t>1916 г., январь</w:t>
            </w:r>
          </w:p>
        </w:tc>
        <w:tc>
          <w:tcPr>
            <w:tcW w:w="1248" w:type="dxa"/>
          </w:tcPr>
          <w:p w14:paraId="5B7E790F" w14:textId="77777777" w:rsidR="004B4E35" w:rsidRPr="00405303" w:rsidRDefault="009E6F82" w:rsidP="00C15251">
            <w:pPr>
              <w:jc w:val="both"/>
              <w:rPr>
                <w:bCs/>
                <w:color w:val="002060"/>
                <w:sz w:val="16"/>
                <w:szCs w:val="16"/>
              </w:rPr>
            </w:pPr>
            <w:r w:rsidRPr="00405303">
              <w:rPr>
                <w:bCs/>
                <w:color w:val="002060"/>
                <w:sz w:val="16"/>
                <w:szCs w:val="16"/>
              </w:rPr>
              <w:t>151.000</w:t>
            </w:r>
          </w:p>
        </w:tc>
        <w:tc>
          <w:tcPr>
            <w:tcW w:w="1246" w:type="dxa"/>
          </w:tcPr>
          <w:p w14:paraId="1DF71110" w14:textId="77777777" w:rsidR="004B4E35" w:rsidRPr="00405303" w:rsidRDefault="009E6F82" w:rsidP="00C15251">
            <w:pPr>
              <w:jc w:val="both"/>
              <w:rPr>
                <w:bCs/>
                <w:color w:val="002060"/>
                <w:sz w:val="16"/>
                <w:szCs w:val="16"/>
              </w:rPr>
            </w:pPr>
            <w:r w:rsidRPr="00405303">
              <w:rPr>
                <w:bCs/>
                <w:color w:val="002060"/>
                <w:sz w:val="16"/>
                <w:szCs w:val="16"/>
              </w:rPr>
              <w:t>228.900</w:t>
            </w:r>
          </w:p>
        </w:tc>
      </w:tr>
      <w:tr w:rsidR="004B4E35" w:rsidRPr="00405303" w14:paraId="00A6330E" w14:textId="77777777">
        <w:tc>
          <w:tcPr>
            <w:tcW w:w="3060" w:type="dxa"/>
          </w:tcPr>
          <w:p w14:paraId="4DBEB4EE" w14:textId="77777777" w:rsidR="004B4E35" w:rsidRPr="00405303" w:rsidRDefault="009E6F82" w:rsidP="00C15251">
            <w:pPr>
              <w:jc w:val="both"/>
              <w:rPr>
                <w:bCs/>
                <w:color w:val="002060"/>
                <w:sz w:val="16"/>
                <w:szCs w:val="16"/>
              </w:rPr>
            </w:pPr>
            <w:r w:rsidRPr="00405303">
              <w:rPr>
                <w:bCs/>
                <w:color w:val="002060"/>
                <w:sz w:val="16"/>
                <w:szCs w:val="16"/>
              </w:rPr>
              <w:t>1916 г., июль</w:t>
            </w:r>
          </w:p>
        </w:tc>
        <w:tc>
          <w:tcPr>
            <w:tcW w:w="1248" w:type="dxa"/>
          </w:tcPr>
          <w:p w14:paraId="282FEA8D" w14:textId="77777777" w:rsidR="004B4E35" w:rsidRPr="00405303" w:rsidRDefault="009E6F82" w:rsidP="00C15251">
            <w:pPr>
              <w:jc w:val="both"/>
              <w:rPr>
                <w:bCs/>
                <w:color w:val="002060"/>
                <w:sz w:val="16"/>
                <w:szCs w:val="16"/>
              </w:rPr>
            </w:pPr>
            <w:r w:rsidRPr="00405303">
              <w:rPr>
                <w:bCs/>
                <w:color w:val="002060"/>
                <w:sz w:val="16"/>
                <w:szCs w:val="16"/>
              </w:rPr>
              <w:t>405.000</w:t>
            </w:r>
          </w:p>
        </w:tc>
        <w:tc>
          <w:tcPr>
            <w:tcW w:w="1246" w:type="dxa"/>
          </w:tcPr>
          <w:p w14:paraId="5145DFC4" w14:textId="77777777" w:rsidR="004B4E35" w:rsidRPr="00405303" w:rsidRDefault="009E6F82" w:rsidP="00C15251">
            <w:pPr>
              <w:jc w:val="both"/>
              <w:rPr>
                <w:bCs/>
                <w:color w:val="002060"/>
                <w:sz w:val="16"/>
                <w:szCs w:val="16"/>
              </w:rPr>
            </w:pPr>
            <w:r w:rsidRPr="00405303">
              <w:rPr>
                <w:bCs/>
                <w:color w:val="002060"/>
                <w:sz w:val="16"/>
                <w:szCs w:val="16"/>
              </w:rPr>
              <w:t>524.000</w:t>
            </w:r>
          </w:p>
        </w:tc>
      </w:tr>
      <w:tr w:rsidR="004B4E35" w:rsidRPr="00405303" w14:paraId="7F67F194" w14:textId="77777777">
        <w:tc>
          <w:tcPr>
            <w:tcW w:w="3060" w:type="dxa"/>
          </w:tcPr>
          <w:p w14:paraId="03015331" w14:textId="77777777" w:rsidR="004B4E35" w:rsidRPr="00405303" w:rsidRDefault="009E6F82" w:rsidP="00C15251">
            <w:pPr>
              <w:jc w:val="both"/>
              <w:rPr>
                <w:bCs/>
                <w:color w:val="002060"/>
                <w:sz w:val="16"/>
                <w:szCs w:val="16"/>
              </w:rPr>
            </w:pPr>
            <w:r w:rsidRPr="00405303">
              <w:rPr>
                <w:bCs/>
                <w:color w:val="002060"/>
                <w:sz w:val="16"/>
                <w:szCs w:val="16"/>
              </w:rPr>
              <w:t>1917 г., январь</w:t>
            </w:r>
          </w:p>
        </w:tc>
        <w:tc>
          <w:tcPr>
            <w:tcW w:w="1248" w:type="dxa"/>
          </w:tcPr>
          <w:p w14:paraId="64E12DA1" w14:textId="77777777" w:rsidR="004B4E35" w:rsidRPr="00405303" w:rsidRDefault="009E6F82" w:rsidP="00C15251">
            <w:pPr>
              <w:jc w:val="both"/>
              <w:rPr>
                <w:bCs/>
                <w:color w:val="002060"/>
                <w:sz w:val="16"/>
                <w:szCs w:val="16"/>
              </w:rPr>
            </w:pPr>
            <w:r w:rsidRPr="00405303">
              <w:rPr>
                <w:bCs/>
                <w:color w:val="002060"/>
                <w:sz w:val="16"/>
                <w:szCs w:val="16"/>
              </w:rPr>
              <w:t>994.000</w:t>
            </w:r>
          </w:p>
        </w:tc>
        <w:tc>
          <w:tcPr>
            <w:tcW w:w="1246" w:type="dxa"/>
          </w:tcPr>
          <w:p w14:paraId="2DA072FC" w14:textId="77777777" w:rsidR="004B4E35" w:rsidRPr="00405303" w:rsidRDefault="009E6F82" w:rsidP="00C15251">
            <w:pPr>
              <w:jc w:val="both"/>
              <w:rPr>
                <w:bCs/>
                <w:color w:val="002060"/>
                <w:sz w:val="16"/>
                <w:szCs w:val="16"/>
              </w:rPr>
            </w:pPr>
            <w:r w:rsidRPr="00405303">
              <w:rPr>
                <w:bCs/>
                <w:color w:val="002060"/>
                <w:sz w:val="16"/>
                <w:szCs w:val="16"/>
              </w:rPr>
              <w:t>607.000</w:t>
            </w:r>
          </w:p>
        </w:tc>
      </w:tr>
      <w:tr w:rsidR="004B4E35" w:rsidRPr="00405303" w14:paraId="4A8CC509" w14:textId="77777777">
        <w:tc>
          <w:tcPr>
            <w:tcW w:w="3060" w:type="dxa"/>
          </w:tcPr>
          <w:p w14:paraId="51ABB845" w14:textId="77777777" w:rsidR="004B4E35" w:rsidRPr="00405303" w:rsidRDefault="009E6F82" w:rsidP="00C15251">
            <w:pPr>
              <w:jc w:val="both"/>
              <w:rPr>
                <w:bCs/>
                <w:color w:val="002060"/>
                <w:sz w:val="16"/>
                <w:szCs w:val="16"/>
              </w:rPr>
            </w:pPr>
            <w:r w:rsidRPr="00405303">
              <w:rPr>
                <w:bCs/>
                <w:color w:val="002060"/>
                <w:sz w:val="16"/>
                <w:szCs w:val="16"/>
              </w:rPr>
              <w:t>1917 г., апрель</w:t>
            </w:r>
          </w:p>
        </w:tc>
        <w:tc>
          <w:tcPr>
            <w:tcW w:w="1248" w:type="dxa"/>
          </w:tcPr>
          <w:p w14:paraId="43C9127F" w14:textId="77777777" w:rsidR="004B4E35" w:rsidRPr="00405303" w:rsidRDefault="009E6F82" w:rsidP="00C15251">
            <w:pPr>
              <w:jc w:val="both"/>
              <w:rPr>
                <w:bCs/>
                <w:color w:val="002060"/>
                <w:sz w:val="16"/>
                <w:szCs w:val="16"/>
              </w:rPr>
            </w:pPr>
            <w:r w:rsidRPr="00405303">
              <w:rPr>
                <w:bCs/>
                <w:color w:val="002060"/>
                <w:sz w:val="16"/>
                <w:szCs w:val="16"/>
              </w:rPr>
              <w:t>1.030.000</w:t>
            </w:r>
          </w:p>
        </w:tc>
        <w:tc>
          <w:tcPr>
            <w:tcW w:w="1246" w:type="dxa"/>
          </w:tcPr>
          <w:p w14:paraId="13D76D67" w14:textId="77777777" w:rsidR="004B4E35" w:rsidRPr="00405303" w:rsidRDefault="009E6F82" w:rsidP="00C15251">
            <w:pPr>
              <w:jc w:val="both"/>
              <w:rPr>
                <w:bCs/>
                <w:color w:val="002060"/>
                <w:sz w:val="16"/>
                <w:szCs w:val="16"/>
              </w:rPr>
            </w:pPr>
            <w:r w:rsidRPr="00405303">
              <w:rPr>
                <w:bCs/>
                <w:color w:val="002060"/>
                <w:sz w:val="16"/>
                <w:szCs w:val="16"/>
              </w:rPr>
              <w:t>270.000</w:t>
            </w:r>
          </w:p>
        </w:tc>
      </w:tr>
      <w:tr w:rsidR="004B4E35" w:rsidRPr="00405303" w14:paraId="2C997AD3" w14:textId="77777777">
        <w:tc>
          <w:tcPr>
            <w:tcW w:w="3060" w:type="dxa"/>
          </w:tcPr>
          <w:p w14:paraId="156FC217" w14:textId="77777777" w:rsidR="004B4E35" w:rsidRPr="00405303" w:rsidRDefault="009E6F82" w:rsidP="00C15251">
            <w:pPr>
              <w:jc w:val="both"/>
              <w:rPr>
                <w:bCs/>
                <w:color w:val="002060"/>
                <w:sz w:val="16"/>
                <w:szCs w:val="16"/>
              </w:rPr>
            </w:pPr>
            <w:r w:rsidRPr="00405303">
              <w:rPr>
                <w:bCs/>
                <w:color w:val="002060"/>
                <w:sz w:val="16"/>
                <w:szCs w:val="16"/>
              </w:rPr>
              <w:t>1917 г., июль</w:t>
            </w:r>
          </w:p>
        </w:tc>
        <w:tc>
          <w:tcPr>
            <w:tcW w:w="1248" w:type="dxa"/>
          </w:tcPr>
          <w:p w14:paraId="7B759B55" w14:textId="77777777" w:rsidR="004B4E35" w:rsidRPr="00405303" w:rsidRDefault="009E6F82" w:rsidP="00C15251">
            <w:pPr>
              <w:jc w:val="both"/>
              <w:rPr>
                <w:bCs/>
                <w:color w:val="002060"/>
                <w:sz w:val="16"/>
                <w:szCs w:val="16"/>
              </w:rPr>
            </w:pPr>
            <w:r w:rsidRPr="00405303">
              <w:rPr>
                <w:bCs/>
                <w:color w:val="002060"/>
                <w:sz w:val="16"/>
                <w:szCs w:val="16"/>
              </w:rPr>
              <w:t>1.609.000</w:t>
            </w:r>
          </w:p>
        </w:tc>
        <w:tc>
          <w:tcPr>
            <w:tcW w:w="1246" w:type="dxa"/>
          </w:tcPr>
          <w:p w14:paraId="69D507CF" w14:textId="77777777" w:rsidR="004B4E35" w:rsidRPr="00405303" w:rsidRDefault="009E6F82" w:rsidP="00C15251">
            <w:pPr>
              <w:jc w:val="both"/>
              <w:rPr>
                <w:bCs/>
                <w:color w:val="002060"/>
                <w:sz w:val="16"/>
                <w:szCs w:val="16"/>
              </w:rPr>
            </w:pPr>
            <w:r w:rsidRPr="00405303">
              <w:rPr>
                <w:bCs/>
                <w:color w:val="002060"/>
                <w:sz w:val="16"/>
                <w:szCs w:val="16"/>
              </w:rPr>
              <w:t>406.000</w:t>
            </w:r>
          </w:p>
        </w:tc>
      </w:tr>
      <w:tr w:rsidR="004B4E35" w:rsidRPr="00405303" w14:paraId="463A5984" w14:textId="77777777">
        <w:tc>
          <w:tcPr>
            <w:tcW w:w="3060" w:type="dxa"/>
          </w:tcPr>
          <w:p w14:paraId="1709B657" w14:textId="77777777" w:rsidR="004B4E35" w:rsidRPr="00405303" w:rsidRDefault="009E6F82" w:rsidP="00C15251">
            <w:pPr>
              <w:jc w:val="both"/>
              <w:rPr>
                <w:bCs/>
                <w:color w:val="002060"/>
                <w:sz w:val="16"/>
                <w:szCs w:val="16"/>
              </w:rPr>
            </w:pPr>
            <w:r w:rsidRPr="00405303">
              <w:rPr>
                <w:bCs/>
                <w:color w:val="002060"/>
                <w:sz w:val="16"/>
                <w:szCs w:val="16"/>
              </w:rPr>
              <w:t xml:space="preserve">1917 г., ноябрь </w:t>
            </w:r>
          </w:p>
        </w:tc>
        <w:tc>
          <w:tcPr>
            <w:tcW w:w="1248" w:type="dxa"/>
          </w:tcPr>
          <w:p w14:paraId="6AA4D83B" w14:textId="77777777" w:rsidR="004B4E35" w:rsidRPr="00405303" w:rsidRDefault="009E6F82" w:rsidP="00C15251">
            <w:pPr>
              <w:jc w:val="both"/>
              <w:rPr>
                <w:bCs/>
                <w:color w:val="002060"/>
                <w:sz w:val="16"/>
                <w:szCs w:val="16"/>
              </w:rPr>
            </w:pPr>
            <w:r w:rsidRPr="00405303">
              <w:rPr>
                <w:bCs/>
                <w:color w:val="002060"/>
                <w:sz w:val="16"/>
                <w:szCs w:val="16"/>
              </w:rPr>
              <w:t>1.891.000</w:t>
            </w:r>
          </w:p>
        </w:tc>
        <w:tc>
          <w:tcPr>
            <w:tcW w:w="1246" w:type="dxa"/>
          </w:tcPr>
          <w:p w14:paraId="51084B37" w14:textId="77777777" w:rsidR="004B4E35" w:rsidRPr="00405303" w:rsidRDefault="009E6F82" w:rsidP="00C15251">
            <w:pPr>
              <w:jc w:val="both"/>
              <w:rPr>
                <w:bCs/>
                <w:color w:val="002060"/>
                <w:sz w:val="16"/>
                <w:szCs w:val="16"/>
              </w:rPr>
            </w:pPr>
            <w:r w:rsidRPr="00405303">
              <w:rPr>
                <w:bCs/>
                <w:color w:val="002060"/>
                <w:sz w:val="16"/>
                <w:szCs w:val="16"/>
              </w:rPr>
              <w:t>347.000</w:t>
            </w:r>
          </w:p>
        </w:tc>
      </w:tr>
      <w:tr w:rsidR="004B4E35" w:rsidRPr="00405303" w14:paraId="50C1F76D" w14:textId="77777777">
        <w:tc>
          <w:tcPr>
            <w:tcW w:w="3060" w:type="dxa"/>
          </w:tcPr>
          <w:p w14:paraId="4789034E" w14:textId="77777777" w:rsidR="004B4E35" w:rsidRPr="00405303" w:rsidRDefault="009E6F82" w:rsidP="00C15251">
            <w:pPr>
              <w:jc w:val="both"/>
              <w:rPr>
                <w:bCs/>
                <w:color w:val="002060"/>
                <w:sz w:val="16"/>
                <w:szCs w:val="16"/>
              </w:rPr>
            </w:pPr>
            <w:r w:rsidRPr="00405303">
              <w:rPr>
                <w:bCs/>
                <w:color w:val="002060"/>
                <w:sz w:val="16"/>
                <w:szCs w:val="16"/>
              </w:rPr>
              <w:t>Всего за время с сентября 1915 по ноябрь выпущено</w:t>
            </w:r>
          </w:p>
        </w:tc>
        <w:tc>
          <w:tcPr>
            <w:tcW w:w="1248" w:type="dxa"/>
          </w:tcPr>
          <w:p w14:paraId="6E50A5D1" w14:textId="77777777" w:rsidR="004B4E35" w:rsidRPr="00405303" w:rsidRDefault="009E6F82" w:rsidP="00C15251">
            <w:pPr>
              <w:jc w:val="both"/>
              <w:rPr>
                <w:bCs/>
                <w:color w:val="002060"/>
                <w:sz w:val="16"/>
                <w:szCs w:val="16"/>
              </w:rPr>
            </w:pPr>
            <w:r w:rsidRPr="00405303">
              <w:rPr>
                <w:bCs/>
                <w:color w:val="002060"/>
                <w:sz w:val="16"/>
                <w:szCs w:val="16"/>
              </w:rPr>
              <w:t>12.037.000</w:t>
            </w:r>
          </w:p>
        </w:tc>
        <w:tc>
          <w:tcPr>
            <w:tcW w:w="1246" w:type="dxa"/>
          </w:tcPr>
          <w:p w14:paraId="26F64501" w14:textId="77777777" w:rsidR="004B4E35" w:rsidRPr="00405303" w:rsidRDefault="009E6F82" w:rsidP="00C15251">
            <w:pPr>
              <w:jc w:val="both"/>
              <w:rPr>
                <w:bCs/>
                <w:color w:val="002060"/>
                <w:sz w:val="16"/>
                <w:szCs w:val="16"/>
              </w:rPr>
            </w:pPr>
            <w:r w:rsidRPr="00405303">
              <w:rPr>
                <w:bCs/>
                <w:color w:val="002060"/>
                <w:sz w:val="16"/>
                <w:szCs w:val="16"/>
              </w:rPr>
              <w:t>8.102.235</w:t>
            </w:r>
          </w:p>
        </w:tc>
      </w:tr>
    </w:tbl>
    <w:p w14:paraId="3C3DF60D" w14:textId="77777777" w:rsidR="004B4E35" w:rsidRPr="00405303" w:rsidRDefault="009E6F82" w:rsidP="00C15251">
      <w:pPr>
        <w:jc w:val="both"/>
        <w:rPr>
          <w:bCs/>
          <w:color w:val="002060"/>
          <w:sz w:val="16"/>
          <w:szCs w:val="16"/>
        </w:rPr>
      </w:pPr>
      <w:r w:rsidRPr="00405303">
        <w:rPr>
          <w:bCs/>
          <w:color w:val="002060"/>
          <w:sz w:val="16"/>
          <w:szCs w:val="16"/>
        </w:rPr>
        <w:t xml:space="preserve">Надо отметить, что для всех перечисленных работ было изготовлено точных поверочных инструментов (единиц):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80"/>
        <w:gridCol w:w="816"/>
      </w:tblGrid>
      <w:tr w:rsidR="004B4E35" w:rsidRPr="00405303" w14:paraId="5C0EDF37" w14:textId="77777777">
        <w:tc>
          <w:tcPr>
            <w:tcW w:w="2580" w:type="dxa"/>
          </w:tcPr>
          <w:p w14:paraId="30152851" w14:textId="77777777" w:rsidR="004B4E35" w:rsidRPr="00405303" w:rsidRDefault="009E6F82" w:rsidP="00C15251">
            <w:pPr>
              <w:jc w:val="both"/>
              <w:rPr>
                <w:bCs/>
                <w:color w:val="002060"/>
                <w:sz w:val="16"/>
                <w:szCs w:val="16"/>
              </w:rPr>
            </w:pPr>
            <w:r w:rsidRPr="00405303">
              <w:rPr>
                <w:bCs/>
                <w:color w:val="002060"/>
                <w:sz w:val="16"/>
                <w:szCs w:val="16"/>
              </w:rPr>
              <w:t>для 3-дм гранат</w:t>
            </w:r>
          </w:p>
        </w:tc>
        <w:tc>
          <w:tcPr>
            <w:tcW w:w="816" w:type="dxa"/>
          </w:tcPr>
          <w:p w14:paraId="36B86BDD" w14:textId="77777777" w:rsidR="004B4E35" w:rsidRPr="00405303" w:rsidRDefault="009E6F82" w:rsidP="00C15251">
            <w:pPr>
              <w:jc w:val="both"/>
              <w:rPr>
                <w:bCs/>
                <w:color w:val="002060"/>
                <w:sz w:val="16"/>
                <w:szCs w:val="16"/>
              </w:rPr>
            </w:pPr>
            <w:r w:rsidRPr="00405303">
              <w:rPr>
                <w:bCs/>
                <w:color w:val="002060"/>
                <w:sz w:val="16"/>
                <w:szCs w:val="16"/>
              </w:rPr>
              <w:t xml:space="preserve">8083 </w:t>
            </w:r>
          </w:p>
        </w:tc>
      </w:tr>
      <w:tr w:rsidR="004B4E35" w:rsidRPr="00405303" w14:paraId="6E1A451F" w14:textId="77777777">
        <w:tc>
          <w:tcPr>
            <w:tcW w:w="2580" w:type="dxa"/>
          </w:tcPr>
          <w:p w14:paraId="41962A54" w14:textId="77777777" w:rsidR="004B4E35" w:rsidRPr="00405303" w:rsidRDefault="009E6F82" w:rsidP="00C15251">
            <w:pPr>
              <w:jc w:val="both"/>
              <w:rPr>
                <w:bCs/>
                <w:color w:val="002060"/>
                <w:sz w:val="16"/>
                <w:szCs w:val="16"/>
              </w:rPr>
            </w:pPr>
            <w:r w:rsidRPr="00405303">
              <w:rPr>
                <w:bCs/>
                <w:color w:val="002060"/>
                <w:sz w:val="16"/>
                <w:szCs w:val="16"/>
              </w:rPr>
              <w:t>для 3-дм запальных стаканов</w:t>
            </w:r>
          </w:p>
        </w:tc>
        <w:tc>
          <w:tcPr>
            <w:tcW w:w="816" w:type="dxa"/>
          </w:tcPr>
          <w:p w14:paraId="38E2C131" w14:textId="77777777" w:rsidR="004B4E35" w:rsidRPr="00405303" w:rsidRDefault="009E6F82" w:rsidP="00C15251">
            <w:pPr>
              <w:jc w:val="both"/>
              <w:rPr>
                <w:bCs/>
                <w:color w:val="002060"/>
                <w:sz w:val="16"/>
                <w:szCs w:val="16"/>
              </w:rPr>
            </w:pPr>
            <w:r w:rsidRPr="00405303">
              <w:rPr>
                <w:bCs/>
                <w:color w:val="002060"/>
                <w:sz w:val="16"/>
                <w:szCs w:val="16"/>
              </w:rPr>
              <w:t xml:space="preserve">6249 </w:t>
            </w:r>
          </w:p>
        </w:tc>
      </w:tr>
      <w:tr w:rsidR="004B4E35" w:rsidRPr="00405303" w14:paraId="6873FAEC" w14:textId="77777777">
        <w:tc>
          <w:tcPr>
            <w:tcW w:w="2580" w:type="dxa"/>
          </w:tcPr>
          <w:p w14:paraId="00DAABAE" w14:textId="77777777" w:rsidR="004B4E35" w:rsidRPr="00405303" w:rsidRDefault="009E6F82" w:rsidP="00C15251">
            <w:pPr>
              <w:jc w:val="both"/>
              <w:rPr>
                <w:bCs/>
                <w:color w:val="002060"/>
                <w:sz w:val="16"/>
                <w:szCs w:val="16"/>
              </w:rPr>
            </w:pPr>
            <w:r w:rsidRPr="00405303">
              <w:rPr>
                <w:bCs/>
                <w:color w:val="002060"/>
                <w:sz w:val="16"/>
                <w:szCs w:val="16"/>
              </w:rPr>
              <w:t>детонаторных трубок и др. изделий</w:t>
            </w:r>
          </w:p>
        </w:tc>
        <w:tc>
          <w:tcPr>
            <w:tcW w:w="816" w:type="dxa"/>
          </w:tcPr>
          <w:p w14:paraId="5FF8D799" w14:textId="77777777" w:rsidR="004B4E35" w:rsidRPr="00405303" w:rsidRDefault="009E6F82" w:rsidP="00C15251">
            <w:pPr>
              <w:jc w:val="both"/>
              <w:rPr>
                <w:bCs/>
                <w:color w:val="002060"/>
                <w:sz w:val="16"/>
                <w:szCs w:val="16"/>
              </w:rPr>
            </w:pPr>
            <w:r w:rsidRPr="00405303">
              <w:rPr>
                <w:bCs/>
                <w:color w:val="002060"/>
                <w:sz w:val="16"/>
                <w:szCs w:val="16"/>
              </w:rPr>
              <w:t xml:space="preserve">5807 </w:t>
            </w:r>
          </w:p>
        </w:tc>
      </w:tr>
    </w:tbl>
    <w:p w14:paraId="446E1C15" w14:textId="77777777" w:rsidR="004B4E35" w:rsidRPr="00405303" w:rsidRDefault="009E6F82" w:rsidP="00C15251">
      <w:pPr>
        <w:jc w:val="both"/>
        <w:rPr>
          <w:bCs/>
          <w:color w:val="002060"/>
          <w:sz w:val="16"/>
          <w:szCs w:val="16"/>
        </w:rPr>
      </w:pPr>
      <w:r w:rsidRPr="00405303">
        <w:rPr>
          <w:bCs/>
          <w:color w:val="002060"/>
          <w:sz w:val="16"/>
          <w:szCs w:val="16"/>
        </w:rPr>
        <w:t xml:space="preserve">Установка производства инструмента также представляла большие трудности и сильно тормозила дело. </w:t>
      </w:r>
    </w:p>
    <w:p w14:paraId="4F381E21" w14:textId="77777777" w:rsidR="004B4E35" w:rsidRPr="00405303" w:rsidRDefault="009E6F82" w:rsidP="00C15251">
      <w:pPr>
        <w:jc w:val="both"/>
        <w:rPr>
          <w:bCs/>
          <w:color w:val="002060"/>
          <w:sz w:val="16"/>
          <w:szCs w:val="16"/>
        </w:rPr>
      </w:pPr>
      <w:r w:rsidRPr="00405303">
        <w:rPr>
          <w:bCs/>
          <w:color w:val="002060"/>
          <w:sz w:val="16"/>
          <w:szCs w:val="16"/>
        </w:rPr>
        <w:t xml:space="preserve">Для снаряжения взрывчатым веществом изготовляемых организацией уполномоченного ГАУ снарядов и детонаторных трубок к ним необходимо было организовать снаряжательные заводы. </w:t>
      </w:r>
    </w:p>
    <w:p w14:paraId="36E8C349" w14:textId="77777777" w:rsidR="004B4E35" w:rsidRPr="00405303" w:rsidRDefault="009E6F82" w:rsidP="00C15251">
      <w:pPr>
        <w:jc w:val="both"/>
        <w:rPr>
          <w:bCs/>
          <w:color w:val="002060"/>
          <w:sz w:val="16"/>
          <w:szCs w:val="16"/>
        </w:rPr>
      </w:pPr>
      <w:r w:rsidRPr="00405303">
        <w:rPr>
          <w:bCs/>
          <w:color w:val="002060"/>
          <w:sz w:val="16"/>
          <w:szCs w:val="16"/>
        </w:rPr>
        <w:t xml:space="preserve">Первый снаряжательный завод был устроен промышленником Н.А. Второвым в бывшей красочной фабрике Байера в Москве, где пришлось вновь выстроить и оборудовать две группы зданий, использовав также и существующие здания фабрики. Мощность завода исчислялась в 750 тыс. гранат в месяц. Постройка первой группы зданий была выполнена в 38 дней, второй — в 4 месяца. </w:t>
      </w:r>
    </w:p>
    <w:p w14:paraId="1A98A58F" w14:textId="77777777" w:rsidR="004B4E35" w:rsidRPr="00405303" w:rsidRDefault="009E6F82" w:rsidP="00C15251">
      <w:pPr>
        <w:jc w:val="both"/>
        <w:rPr>
          <w:bCs/>
          <w:color w:val="002060"/>
          <w:sz w:val="16"/>
          <w:szCs w:val="16"/>
        </w:rPr>
      </w:pPr>
      <w:r w:rsidRPr="00405303">
        <w:rPr>
          <w:bCs/>
          <w:color w:val="002060"/>
          <w:sz w:val="16"/>
          <w:szCs w:val="16"/>
        </w:rPr>
        <w:t xml:space="preserve">Независимо от этого тем же контрагентом была предпринята постройка второго снаряжательного завода близ станции Затишье Богородского уезда. </w:t>
      </w:r>
    </w:p>
    <w:p w14:paraId="6D1410D9" w14:textId="77777777" w:rsidR="004B4E35" w:rsidRPr="00405303" w:rsidRDefault="009E6F82" w:rsidP="00C15251">
      <w:pPr>
        <w:jc w:val="both"/>
        <w:rPr>
          <w:bCs/>
          <w:color w:val="002060"/>
          <w:sz w:val="16"/>
          <w:szCs w:val="16"/>
        </w:rPr>
      </w:pPr>
      <w:r w:rsidRPr="00405303">
        <w:rPr>
          <w:bCs/>
          <w:color w:val="002060"/>
          <w:sz w:val="16"/>
          <w:szCs w:val="16"/>
        </w:rPr>
        <w:t xml:space="preserve">Работа по снаряжению снарядов в Московском заводе началась в сентябре 1915 г., когда было сдано 44 тыс. гранат. В дальнейшем производительность по снаряжению, увеличиваясь из месяца в месяц, показала значительный рост. </w:t>
      </w:r>
    </w:p>
    <w:p w14:paraId="35D753FC" w14:textId="77777777" w:rsidR="004B4E35" w:rsidRPr="00405303" w:rsidRDefault="009E6F82" w:rsidP="00C15251">
      <w:pPr>
        <w:jc w:val="both"/>
        <w:rPr>
          <w:bCs/>
          <w:color w:val="002060"/>
          <w:sz w:val="16"/>
          <w:szCs w:val="16"/>
        </w:rPr>
      </w:pPr>
      <w:r w:rsidRPr="00405303">
        <w:rPr>
          <w:bCs/>
          <w:color w:val="002060"/>
          <w:sz w:val="16"/>
          <w:szCs w:val="16"/>
        </w:rPr>
        <w:t xml:space="preserve">Производительность по снаряжению в месяц, суммарно по всем калибрам снарядов, была следующая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44"/>
        <w:gridCol w:w="684"/>
      </w:tblGrid>
      <w:tr w:rsidR="004B4E35" w:rsidRPr="00405303" w14:paraId="6055F3D4" w14:textId="77777777">
        <w:tc>
          <w:tcPr>
            <w:tcW w:w="2244" w:type="dxa"/>
          </w:tcPr>
          <w:p w14:paraId="20BDCDD4" w14:textId="77777777" w:rsidR="004B4E35" w:rsidRPr="00405303" w:rsidRDefault="009E6F82" w:rsidP="00C15251">
            <w:pPr>
              <w:jc w:val="both"/>
              <w:rPr>
                <w:bCs/>
                <w:color w:val="002060"/>
                <w:sz w:val="16"/>
                <w:szCs w:val="16"/>
              </w:rPr>
            </w:pPr>
            <w:r w:rsidRPr="00405303">
              <w:rPr>
                <w:bCs/>
                <w:color w:val="002060"/>
                <w:sz w:val="16"/>
                <w:szCs w:val="16"/>
              </w:rPr>
              <w:t>1916 г., январь</w:t>
            </w:r>
          </w:p>
        </w:tc>
        <w:tc>
          <w:tcPr>
            <w:tcW w:w="684" w:type="dxa"/>
          </w:tcPr>
          <w:p w14:paraId="2C8E0B58" w14:textId="77777777" w:rsidR="004B4E35" w:rsidRPr="00405303" w:rsidRDefault="009E6F82" w:rsidP="00C15251">
            <w:pPr>
              <w:jc w:val="both"/>
              <w:rPr>
                <w:bCs/>
                <w:color w:val="002060"/>
                <w:sz w:val="16"/>
                <w:szCs w:val="16"/>
              </w:rPr>
            </w:pPr>
            <w:r w:rsidRPr="00405303">
              <w:rPr>
                <w:bCs/>
                <w:color w:val="002060"/>
                <w:sz w:val="16"/>
                <w:szCs w:val="16"/>
              </w:rPr>
              <w:t xml:space="preserve">245 </w:t>
            </w:r>
          </w:p>
        </w:tc>
      </w:tr>
      <w:tr w:rsidR="004B4E35" w:rsidRPr="00405303" w14:paraId="49E266DE" w14:textId="77777777">
        <w:tc>
          <w:tcPr>
            <w:tcW w:w="2244" w:type="dxa"/>
          </w:tcPr>
          <w:p w14:paraId="5C77E315" w14:textId="77777777" w:rsidR="004B4E35" w:rsidRPr="00405303" w:rsidRDefault="009E6F82" w:rsidP="00C15251">
            <w:pPr>
              <w:jc w:val="both"/>
              <w:rPr>
                <w:bCs/>
                <w:color w:val="002060"/>
                <w:sz w:val="16"/>
                <w:szCs w:val="16"/>
              </w:rPr>
            </w:pPr>
            <w:r w:rsidRPr="00405303">
              <w:rPr>
                <w:bCs/>
                <w:color w:val="002060"/>
                <w:sz w:val="16"/>
                <w:szCs w:val="16"/>
              </w:rPr>
              <w:t>апрель</w:t>
            </w:r>
          </w:p>
        </w:tc>
        <w:tc>
          <w:tcPr>
            <w:tcW w:w="684" w:type="dxa"/>
          </w:tcPr>
          <w:p w14:paraId="7E4F7903" w14:textId="77777777" w:rsidR="004B4E35" w:rsidRPr="00405303" w:rsidRDefault="009E6F82" w:rsidP="00C15251">
            <w:pPr>
              <w:jc w:val="both"/>
              <w:rPr>
                <w:bCs/>
                <w:color w:val="002060"/>
                <w:sz w:val="16"/>
                <w:szCs w:val="16"/>
              </w:rPr>
            </w:pPr>
            <w:r w:rsidRPr="00405303">
              <w:rPr>
                <w:bCs/>
                <w:color w:val="002060"/>
                <w:sz w:val="16"/>
                <w:szCs w:val="16"/>
              </w:rPr>
              <w:t xml:space="preserve">347 </w:t>
            </w:r>
          </w:p>
        </w:tc>
      </w:tr>
      <w:tr w:rsidR="004B4E35" w:rsidRPr="00405303" w14:paraId="643AE936" w14:textId="77777777">
        <w:tc>
          <w:tcPr>
            <w:tcW w:w="2244" w:type="dxa"/>
          </w:tcPr>
          <w:p w14:paraId="0D913961" w14:textId="77777777" w:rsidR="004B4E35" w:rsidRPr="00405303" w:rsidRDefault="009E6F82" w:rsidP="00C15251">
            <w:pPr>
              <w:jc w:val="both"/>
              <w:rPr>
                <w:bCs/>
                <w:color w:val="002060"/>
                <w:sz w:val="16"/>
                <w:szCs w:val="16"/>
              </w:rPr>
            </w:pPr>
            <w:r w:rsidRPr="00405303">
              <w:rPr>
                <w:bCs/>
                <w:color w:val="002060"/>
                <w:sz w:val="16"/>
                <w:szCs w:val="16"/>
              </w:rPr>
              <w:t>июль</w:t>
            </w:r>
          </w:p>
        </w:tc>
        <w:tc>
          <w:tcPr>
            <w:tcW w:w="684" w:type="dxa"/>
          </w:tcPr>
          <w:p w14:paraId="1752F2D7" w14:textId="77777777" w:rsidR="004B4E35" w:rsidRPr="00405303" w:rsidRDefault="009E6F82" w:rsidP="00C15251">
            <w:pPr>
              <w:jc w:val="both"/>
              <w:rPr>
                <w:bCs/>
                <w:color w:val="002060"/>
                <w:sz w:val="16"/>
                <w:szCs w:val="16"/>
              </w:rPr>
            </w:pPr>
            <w:r w:rsidRPr="00405303">
              <w:rPr>
                <w:bCs/>
                <w:color w:val="002060"/>
                <w:sz w:val="16"/>
                <w:szCs w:val="16"/>
              </w:rPr>
              <w:t xml:space="preserve">668 </w:t>
            </w:r>
          </w:p>
        </w:tc>
      </w:tr>
      <w:tr w:rsidR="004B4E35" w:rsidRPr="00405303" w14:paraId="2818E4A3" w14:textId="77777777">
        <w:tc>
          <w:tcPr>
            <w:tcW w:w="2244" w:type="dxa"/>
          </w:tcPr>
          <w:p w14:paraId="4311A4EB" w14:textId="77777777" w:rsidR="004B4E35" w:rsidRPr="00405303" w:rsidRDefault="009E6F82" w:rsidP="00C15251">
            <w:pPr>
              <w:jc w:val="both"/>
              <w:rPr>
                <w:bCs/>
                <w:color w:val="002060"/>
                <w:sz w:val="16"/>
                <w:szCs w:val="16"/>
              </w:rPr>
            </w:pPr>
            <w:r w:rsidRPr="00405303">
              <w:rPr>
                <w:bCs/>
                <w:color w:val="002060"/>
                <w:sz w:val="16"/>
                <w:szCs w:val="16"/>
              </w:rPr>
              <w:t>октябрь</w:t>
            </w:r>
          </w:p>
        </w:tc>
        <w:tc>
          <w:tcPr>
            <w:tcW w:w="684" w:type="dxa"/>
          </w:tcPr>
          <w:p w14:paraId="16F09F38" w14:textId="77777777" w:rsidR="004B4E35" w:rsidRPr="00405303" w:rsidRDefault="009E6F82" w:rsidP="00C15251">
            <w:pPr>
              <w:jc w:val="both"/>
              <w:rPr>
                <w:bCs/>
                <w:color w:val="002060"/>
                <w:sz w:val="16"/>
                <w:szCs w:val="16"/>
              </w:rPr>
            </w:pPr>
            <w:r w:rsidRPr="00405303">
              <w:rPr>
                <w:bCs/>
                <w:color w:val="002060"/>
                <w:sz w:val="16"/>
                <w:szCs w:val="16"/>
              </w:rPr>
              <w:t xml:space="preserve">1053 </w:t>
            </w:r>
          </w:p>
        </w:tc>
      </w:tr>
      <w:tr w:rsidR="004B4E35" w:rsidRPr="00405303" w14:paraId="6CC09C43" w14:textId="77777777">
        <w:tc>
          <w:tcPr>
            <w:tcW w:w="2244" w:type="dxa"/>
          </w:tcPr>
          <w:p w14:paraId="5E080B05"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684" w:type="dxa"/>
          </w:tcPr>
          <w:p w14:paraId="759B956E" w14:textId="77777777" w:rsidR="004B4E35" w:rsidRPr="00405303" w:rsidRDefault="009E6F82" w:rsidP="00C15251">
            <w:pPr>
              <w:jc w:val="both"/>
              <w:rPr>
                <w:bCs/>
                <w:color w:val="002060"/>
                <w:sz w:val="16"/>
                <w:szCs w:val="16"/>
              </w:rPr>
            </w:pPr>
            <w:r w:rsidRPr="00405303">
              <w:rPr>
                <w:bCs/>
                <w:color w:val="002060"/>
                <w:sz w:val="16"/>
                <w:szCs w:val="16"/>
              </w:rPr>
              <w:t xml:space="preserve">801 </w:t>
            </w:r>
          </w:p>
        </w:tc>
      </w:tr>
      <w:tr w:rsidR="004B4E35" w:rsidRPr="00405303" w14:paraId="390CA4C0" w14:textId="77777777">
        <w:tc>
          <w:tcPr>
            <w:tcW w:w="2244" w:type="dxa"/>
          </w:tcPr>
          <w:p w14:paraId="3437A78F" w14:textId="77777777" w:rsidR="004B4E35" w:rsidRPr="00405303" w:rsidRDefault="009E6F82" w:rsidP="00C15251">
            <w:pPr>
              <w:jc w:val="both"/>
              <w:rPr>
                <w:bCs/>
                <w:color w:val="002060"/>
                <w:sz w:val="16"/>
                <w:szCs w:val="16"/>
              </w:rPr>
            </w:pPr>
            <w:r w:rsidRPr="00405303">
              <w:rPr>
                <w:bCs/>
                <w:color w:val="002060"/>
                <w:sz w:val="16"/>
                <w:szCs w:val="16"/>
              </w:rPr>
              <w:t>1917 г., январь</w:t>
            </w:r>
          </w:p>
        </w:tc>
        <w:tc>
          <w:tcPr>
            <w:tcW w:w="684" w:type="dxa"/>
          </w:tcPr>
          <w:p w14:paraId="5623DE1B" w14:textId="77777777" w:rsidR="004B4E35" w:rsidRPr="00405303" w:rsidRDefault="009E6F82" w:rsidP="00C15251">
            <w:pPr>
              <w:jc w:val="both"/>
              <w:rPr>
                <w:bCs/>
                <w:color w:val="002060"/>
                <w:sz w:val="16"/>
                <w:szCs w:val="16"/>
              </w:rPr>
            </w:pPr>
            <w:r w:rsidRPr="00405303">
              <w:rPr>
                <w:bCs/>
                <w:color w:val="002060"/>
                <w:sz w:val="16"/>
                <w:szCs w:val="16"/>
              </w:rPr>
              <w:t xml:space="preserve">763 </w:t>
            </w:r>
          </w:p>
        </w:tc>
      </w:tr>
      <w:tr w:rsidR="004B4E35" w:rsidRPr="00405303" w14:paraId="733499C4" w14:textId="77777777">
        <w:tc>
          <w:tcPr>
            <w:tcW w:w="2244" w:type="dxa"/>
          </w:tcPr>
          <w:p w14:paraId="351925A7" w14:textId="77777777" w:rsidR="004B4E35" w:rsidRPr="00405303" w:rsidRDefault="009E6F82" w:rsidP="00C15251">
            <w:pPr>
              <w:jc w:val="both"/>
              <w:rPr>
                <w:bCs/>
                <w:color w:val="002060"/>
                <w:sz w:val="16"/>
                <w:szCs w:val="16"/>
              </w:rPr>
            </w:pPr>
            <w:r w:rsidRPr="00405303">
              <w:rPr>
                <w:bCs/>
                <w:color w:val="002060"/>
                <w:sz w:val="16"/>
                <w:szCs w:val="16"/>
              </w:rPr>
              <w:t>апрель</w:t>
            </w:r>
          </w:p>
        </w:tc>
        <w:tc>
          <w:tcPr>
            <w:tcW w:w="684" w:type="dxa"/>
          </w:tcPr>
          <w:p w14:paraId="20C65196" w14:textId="77777777" w:rsidR="004B4E35" w:rsidRPr="00405303" w:rsidRDefault="009E6F82" w:rsidP="00C15251">
            <w:pPr>
              <w:jc w:val="both"/>
              <w:rPr>
                <w:bCs/>
                <w:color w:val="002060"/>
                <w:sz w:val="16"/>
                <w:szCs w:val="16"/>
              </w:rPr>
            </w:pPr>
            <w:r w:rsidRPr="00405303">
              <w:rPr>
                <w:bCs/>
                <w:color w:val="002060"/>
                <w:sz w:val="16"/>
                <w:szCs w:val="16"/>
              </w:rPr>
              <w:t xml:space="preserve">608 </w:t>
            </w:r>
          </w:p>
        </w:tc>
      </w:tr>
      <w:tr w:rsidR="004B4E35" w:rsidRPr="00405303" w14:paraId="54EEBEF1" w14:textId="77777777">
        <w:tc>
          <w:tcPr>
            <w:tcW w:w="2244" w:type="dxa"/>
          </w:tcPr>
          <w:p w14:paraId="43FBEFD6" w14:textId="77777777" w:rsidR="004B4E35" w:rsidRPr="00405303" w:rsidRDefault="009E6F82" w:rsidP="00C15251">
            <w:pPr>
              <w:jc w:val="both"/>
              <w:rPr>
                <w:bCs/>
                <w:color w:val="002060"/>
                <w:sz w:val="16"/>
                <w:szCs w:val="16"/>
              </w:rPr>
            </w:pPr>
            <w:r w:rsidRPr="00405303">
              <w:rPr>
                <w:bCs/>
                <w:color w:val="002060"/>
                <w:sz w:val="16"/>
                <w:szCs w:val="16"/>
              </w:rPr>
              <w:t>октябрь</w:t>
            </w:r>
          </w:p>
        </w:tc>
        <w:tc>
          <w:tcPr>
            <w:tcW w:w="684" w:type="dxa"/>
          </w:tcPr>
          <w:p w14:paraId="332CB37E" w14:textId="77777777" w:rsidR="004B4E35" w:rsidRPr="00405303" w:rsidRDefault="009E6F82" w:rsidP="00C15251">
            <w:pPr>
              <w:jc w:val="both"/>
              <w:rPr>
                <w:bCs/>
                <w:color w:val="002060"/>
                <w:sz w:val="16"/>
                <w:szCs w:val="16"/>
              </w:rPr>
            </w:pPr>
            <w:r w:rsidRPr="00405303">
              <w:rPr>
                <w:bCs/>
                <w:color w:val="002060"/>
                <w:sz w:val="16"/>
                <w:szCs w:val="16"/>
              </w:rPr>
              <w:t>378</w:t>
            </w:r>
          </w:p>
        </w:tc>
      </w:tr>
      <w:tr w:rsidR="004B4E35" w:rsidRPr="00405303" w14:paraId="28AD56BC" w14:textId="77777777">
        <w:tc>
          <w:tcPr>
            <w:tcW w:w="2244" w:type="dxa"/>
          </w:tcPr>
          <w:p w14:paraId="661FF90B"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684" w:type="dxa"/>
          </w:tcPr>
          <w:p w14:paraId="73A1FE7F" w14:textId="77777777" w:rsidR="004B4E35" w:rsidRPr="00405303" w:rsidRDefault="009E6F82" w:rsidP="00C15251">
            <w:pPr>
              <w:jc w:val="both"/>
              <w:rPr>
                <w:bCs/>
                <w:color w:val="002060"/>
                <w:sz w:val="16"/>
                <w:szCs w:val="16"/>
              </w:rPr>
            </w:pPr>
            <w:r w:rsidRPr="00405303">
              <w:rPr>
                <w:bCs/>
                <w:color w:val="002060"/>
                <w:sz w:val="16"/>
                <w:szCs w:val="16"/>
              </w:rPr>
              <w:t xml:space="preserve">109 </w:t>
            </w:r>
          </w:p>
        </w:tc>
      </w:tr>
      <w:tr w:rsidR="004B4E35" w:rsidRPr="00405303" w14:paraId="0C223BE7" w14:textId="77777777">
        <w:tc>
          <w:tcPr>
            <w:tcW w:w="2244" w:type="dxa"/>
          </w:tcPr>
          <w:p w14:paraId="1CE522DF" w14:textId="77777777" w:rsidR="004B4E35" w:rsidRPr="00405303" w:rsidRDefault="009E6F82" w:rsidP="00C15251">
            <w:pPr>
              <w:jc w:val="both"/>
              <w:rPr>
                <w:bCs/>
                <w:color w:val="002060"/>
                <w:sz w:val="16"/>
                <w:szCs w:val="16"/>
              </w:rPr>
            </w:pPr>
            <w:r w:rsidRPr="00405303">
              <w:rPr>
                <w:bCs/>
                <w:color w:val="002060"/>
                <w:sz w:val="16"/>
                <w:szCs w:val="16"/>
              </w:rPr>
              <w:t>[Всего]</w:t>
            </w:r>
          </w:p>
        </w:tc>
        <w:tc>
          <w:tcPr>
            <w:tcW w:w="684" w:type="dxa"/>
          </w:tcPr>
          <w:p w14:paraId="1D777DCF" w14:textId="77777777" w:rsidR="004B4E35" w:rsidRPr="00405303" w:rsidRDefault="009E6F82" w:rsidP="00C15251">
            <w:pPr>
              <w:jc w:val="both"/>
              <w:rPr>
                <w:bCs/>
                <w:color w:val="002060"/>
                <w:sz w:val="16"/>
                <w:szCs w:val="16"/>
              </w:rPr>
            </w:pPr>
            <w:r w:rsidRPr="00405303">
              <w:rPr>
                <w:bCs/>
                <w:color w:val="002060"/>
                <w:sz w:val="16"/>
                <w:szCs w:val="16"/>
              </w:rPr>
              <w:t xml:space="preserve">4971 </w:t>
            </w:r>
          </w:p>
        </w:tc>
      </w:tr>
    </w:tbl>
    <w:p w14:paraId="1860CE42" w14:textId="77777777" w:rsidR="004B4E35" w:rsidRPr="00405303" w:rsidRDefault="009E6F82" w:rsidP="00C15251">
      <w:pPr>
        <w:jc w:val="both"/>
        <w:rPr>
          <w:bCs/>
          <w:color w:val="002060"/>
          <w:sz w:val="16"/>
          <w:szCs w:val="16"/>
        </w:rPr>
      </w:pPr>
      <w:r w:rsidRPr="00405303">
        <w:rPr>
          <w:bCs/>
          <w:color w:val="002060"/>
          <w:sz w:val="16"/>
          <w:szCs w:val="16"/>
        </w:rPr>
        <w:t xml:space="preserve">Интересно сопоставить количественно работу организации Ванкова с производством снарядов на заводах, выполнявших заказы ГАУ. Сравнение дано в нижеследующей таблице, где цифры указывают, какой процент составляет месячная продукция организации Ванкова от общерусского производства снарядов: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560"/>
        <w:gridCol w:w="936"/>
      </w:tblGrid>
      <w:tr w:rsidR="004B4E35" w:rsidRPr="00405303" w14:paraId="17C4DB16" w14:textId="77777777">
        <w:tc>
          <w:tcPr>
            <w:tcW w:w="1560" w:type="dxa"/>
          </w:tcPr>
          <w:p w14:paraId="54D57C70" w14:textId="77777777" w:rsidR="004B4E35" w:rsidRPr="00405303" w:rsidRDefault="009E6F82" w:rsidP="00C15251">
            <w:pPr>
              <w:jc w:val="both"/>
              <w:rPr>
                <w:bCs/>
                <w:color w:val="002060"/>
                <w:sz w:val="16"/>
                <w:szCs w:val="16"/>
              </w:rPr>
            </w:pPr>
            <w:r w:rsidRPr="00405303">
              <w:rPr>
                <w:bCs/>
                <w:color w:val="002060"/>
                <w:sz w:val="16"/>
                <w:szCs w:val="16"/>
              </w:rPr>
              <w:t>1915 г., октябрь</w:t>
            </w:r>
          </w:p>
        </w:tc>
        <w:tc>
          <w:tcPr>
            <w:tcW w:w="936" w:type="dxa"/>
          </w:tcPr>
          <w:p w14:paraId="1D13B2F3" w14:textId="77777777" w:rsidR="004B4E35" w:rsidRPr="00405303" w:rsidRDefault="009E6F82" w:rsidP="00C15251">
            <w:pPr>
              <w:jc w:val="both"/>
              <w:rPr>
                <w:bCs/>
                <w:color w:val="002060"/>
                <w:sz w:val="16"/>
                <w:szCs w:val="16"/>
              </w:rPr>
            </w:pPr>
            <w:r w:rsidRPr="00405303">
              <w:rPr>
                <w:bCs/>
                <w:color w:val="002060"/>
                <w:sz w:val="16"/>
                <w:szCs w:val="16"/>
              </w:rPr>
              <w:t xml:space="preserve">6,4 </w:t>
            </w:r>
          </w:p>
        </w:tc>
      </w:tr>
      <w:tr w:rsidR="004B4E35" w:rsidRPr="00405303" w14:paraId="0C0FBEC3" w14:textId="77777777">
        <w:tc>
          <w:tcPr>
            <w:tcW w:w="1560" w:type="dxa"/>
          </w:tcPr>
          <w:p w14:paraId="7615A76B"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936" w:type="dxa"/>
          </w:tcPr>
          <w:p w14:paraId="37C49833" w14:textId="77777777" w:rsidR="004B4E35" w:rsidRPr="00405303" w:rsidRDefault="009E6F82" w:rsidP="00C15251">
            <w:pPr>
              <w:jc w:val="both"/>
              <w:rPr>
                <w:bCs/>
                <w:color w:val="002060"/>
                <w:sz w:val="16"/>
                <w:szCs w:val="16"/>
              </w:rPr>
            </w:pPr>
            <w:r w:rsidRPr="00405303">
              <w:rPr>
                <w:bCs/>
                <w:color w:val="002060"/>
                <w:sz w:val="16"/>
                <w:szCs w:val="16"/>
              </w:rPr>
              <w:t xml:space="preserve">12,3 </w:t>
            </w:r>
          </w:p>
        </w:tc>
      </w:tr>
      <w:tr w:rsidR="004B4E35" w:rsidRPr="00405303" w14:paraId="01D25226" w14:textId="77777777">
        <w:tc>
          <w:tcPr>
            <w:tcW w:w="1560" w:type="dxa"/>
          </w:tcPr>
          <w:p w14:paraId="5315F756"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936" w:type="dxa"/>
          </w:tcPr>
          <w:p w14:paraId="0CBE7670" w14:textId="77777777" w:rsidR="004B4E35" w:rsidRPr="00405303" w:rsidRDefault="009E6F82" w:rsidP="00C15251">
            <w:pPr>
              <w:jc w:val="both"/>
              <w:rPr>
                <w:bCs/>
                <w:color w:val="002060"/>
                <w:sz w:val="16"/>
                <w:szCs w:val="16"/>
              </w:rPr>
            </w:pPr>
            <w:r w:rsidRPr="00405303">
              <w:rPr>
                <w:bCs/>
                <w:color w:val="002060"/>
                <w:sz w:val="16"/>
                <w:szCs w:val="16"/>
              </w:rPr>
              <w:t xml:space="preserve">10,2 </w:t>
            </w:r>
          </w:p>
        </w:tc>
      </w:tr>
      <w:tr w:rsidR="004B4E35" w:rsidRPr="00405303" w14:paraId="1D725FCE" w14:textId="77777777">
        <w:tc>
          <w:tcPr>
            <w:tcW w:w="1560" w:type="dxa"/>
          </w:tcPr>
          <w:p w14:paraId="7CA63CC4" w14:textId="77777777" w:rsidR="004B4E35" w:rsidRPr="00405303" w:rsidRDefault="009E6F82" w:rsidP="00C15251">
            <w:pPr>
              <w:jc w:val="both"/>
              <w:rPr>
                <w:bCs/>
                <w:color w:val="002060"/>
                <w:sz w:val="16"/>
                <w:szCs w:val="16"/>
              </w:rPr>
            </w:pPr>
            <w:r w:rsidRPr="00405303">
              <w:rPr>
                <w:bCs/>
                <w:color w:val="002060"/>
                <w:sz w:val="16"/>
                <w:szCs w:val="16"/>
              </w:rPr>
              <w:t>1916 г., январь</w:t>
            </w:r>
          </w:p>
        </w:tc>
        <w:tc>
          <w:tcPr>
            <w:tcW w:w="936" w:type="dxa"/>
          </w:tcPr>
          <w:p w14:paraId="1076178E" w14:textId="77777777" w:rsidR="004B4E35" w:rsidRPr="00405303" w:rsidRDefault="009E6F82" w:rsidP="00C15251">
            <w:pPr>
              <w:jc w:val="both"/>
              <w:rPr>
                <w:bCs/>
                <w:color w:val="002060"/>
                <w:sz w:val="16"/>
                <w:szCs w:val="16"/>
              </w:rPr>
            </w:pPr>
            <w:r w:rsidRPr="00405303">
              <w:rPr>
                <w:bCs/>
                <w:color w:val="002060"/>
                <w:sz w:val="16"/>
                <w:szCs w:val="16"/>
              </w:rPr>
              <w:t>11,6</w:t>
            </w:r>
          </w:p>
        </w:tc>
      </w:tr>
      <w:tr w:rsidR="004B4E35" w:rsidRPr="00405303" w14:paraId="18962446" w14:textId="77777777">
        <w:tc>
          <w:tcPr>
            <w:tcW w:w="1560" w:type="dxa"/>
          </w:tcPr>
          <w:p w14:paraId="47D224AC" w14:textId="77777777" w:rsidR="004B4E35" w:rsidRPr="00405303" w:rsidRDefault="009E6F82" w:rsidP="00C15251">
            <w:pPr>
              <w:jc w:val="both"/>
              <w:rPr>
                <w:bCs/>
                <w:color w:val="002060"/>
                <w:sz w:val="16"/>
                <w:szCs w:val="16"/>
              </w:rPr>
            </w:pPr>
            <w:r w:rsidRPr="00405303">
              <w:rPr>
                <w:bCs/>
                <w:color w:val="002060"/>
                <w:sz w:val="16"/>
                <w:szCs w:val="16"/>
              </w:rPr>
              <w:t>февраль</w:t>
            </w:r>
          </w:p>
        </w:tc>
        <w:tc>
          <w:tcPr>
            <w:tcW w:w="936" w:type="dxa"/>
          </w:tcPr>
          <w:p w14:paraId="63D5B538" w14:textId="77777777" w:rsidR="004B4E35" w:rsidRPr="00405303" w:rsidRDefault="009E6F82" w:rsidP="00C15251">
            <w:pPr>
              <w:jc w:val="both"/>
              <w:rPr>
                <w:bCs/>
                <w:color w:val="002060"/>
                <w:sz w:val="16"/>
                <w:szCs w:val="16"/>
              </w:rPr>
            </w:pPr>
            <w:r w:rsidRPr="00405303">
              <w:rPr>
                <w:bCs/>
                <w:color w:val="002060"/>
                <w:sz w:val="16"/>
                <w:szCs w:val="16"/>
              </w:rPr>
              <w:t xml:space="preserve">18,0 </w:t>
            </w:r>
          </w:p>
        </w:tc>
      </w:tr>
      <w:tr w:rsidR="004B4E35" w:rsidRPr="00405303" w14:paraId="68C403E3" w14:textId="77777777">
        <w:tc>
          <w:tcPr>
            <w:tcW w:w="1560" w:type="dxa"/>
          </w:tcPr>
          <w:p w14:paraId="52FA5FBB" w14:textId="77777777" w:rsidR="004B4E35" w:rsidRPr="00405303" w:rsidRDefault="009E6F82" w:rsidP="00C15251">
            <w:pPr>
              <w:jc w:val="both"/>
              <w:rPr>
                <w:bCs/>
                <w:color w:val="002060"/>
                <w:sz w:val="16"/>
                <w:szCs w:val="16"/>
              </w:rPr>
            </w:pPr>
            <w:r w:rsidRPr="00405303">
              <w:rPr>
                <w:bCs/>
                <w:color w:val="002060"/>
                <w:sz w:val="16"/>
                <w:szCs w:val="16"/>
              </w:rPr>
              <w:t>март</w:t>
            </w:r>
          </w:p>
        </w:tc>
        <w:tc>
          <w:tcPr>
            <w:tcW w:w="936" w:type="dxa"/>
          </w:tcPr>
          <w:p w14:paraId="6A375BA7" w14:textId="77777777" w:rsidR="004B4E35" w:rsidRPr="00405303" w:rsidRDefault="009E6F82" w:rsidP="00C15251">
            <w:pPr>
              <w:jc w:val="both"/>
              <w:rPr>
                <w:bCs/>
                <w:color w:val="002060"/>
                <w:sz w:val="16"/>
                <w:szCs w:val="16"/>
              </w:rPr>
            </w:pPr>
            <w:r w:rsidRPr="00405303">
              <w:rPr>
                <w:bCs/>
                <w:color w:val="002060"/>
                <w:sz w:val="16"/>
                <w:szCs w:val="16"/>
              </w:rPr>
              <w:t xml:space="preserve">28,2 </w:t>
            </w:r>
          </w:p>
        </w:tc>
      </w:tr>
    </w:tbl>
    <w:p w14:paraId="42D5FCB9"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В истории "Организации уполномоченного ГАУ" есть много поучительного. Первое, на чем нужно остановить внимание в работе организации — это элемент времени, сроки. Дело начато было в феврале 1915 года. В апреле даны первые заказы. Производство корпусов началось в октябре 1915 г. (9-й месяц) — выпуск первых валовых партий. До максимума поднялось в декабре 1916 г. (20-й месяц). Снаряжение началось в январе 1916 г. (11-й месяц). </w:t>
      </w:r>
    </w:p>
    <w:p w14:paraId="264D1635" w14:textId="77777777" w:rsidR="004B4E35" w:rsidRPr="00405303" w:rsidRDefault="009E6F82" w:rsidP="00C15251">
      <w:pPr>
        <w:jc w:val="both"/>
        <w:rPr>
          <w:bCs/>
          <w:color w:val="002060"/>
          <w:sz w:val="16"/>
          <w:szCs w:val="16"/>
        </w:rPr>
      </w:pPr>
      <w:r w:rsidRPr="00405303">
        <w:rPr>
          <w:bCs/>
          <w:color w:val="002060"/>
          <w:sz w:val="16"/>
          <w:szCs w:val="16"/>
        </w:rPr>
        <w:t xml:space="preserve">Эти данные относятся не к одному какому-либо заводу, а к сотням их. Следовательно, сроки здесь не носят случайного характера — в них есть определенная закономерность. </w:t>
      </w:r>
    </w:p>
    <w:p w14:paraId="7659B04A" w14:textId="77777777" w:rsidR="004B4E35" w:rsidRPr="00405303" w:rsidRDefault="009E6F82" w:rsidP="00C15251">
      <w:pPr>
        <w:jc w:val="both"/>
        <w:rPr>
          <w:bCs/>
          <w:color w:val="002060"/>
          <w:sz w:val="16"/>
          <w:szCs w:val="16"/>
        </w:rPr>
      </w:pPr>
      <w:r w:rsidRPr="00405303">
        <w:rPr>
          <w:bCs/>
          <w:color w:val="002060"/>
          <w:sz w:val="16"/>
          <w:szCs w:val="16"/>
        </w:rPr>
        <w:t xml:space="preserve">Производство 3-дм снарядов французского образца среди военных изделий относится к числу наименее сложных и точных. Степень точности и сложности работы здесь несравненно ниже, чем в винтовках, трубках и т.д. Относительное число точных обмеров весьма мало, значительное большинство их работается с большими допусками. </w:t>
      </w:r>
    </w:p>
    <w:p w14:paraId="69CCFA32" w14:textId="77777777" w:rsidR="004B4E35" w:rsidRPr="00405303" w:rsidRDefault="009E6F82" w:rsidP="00C15251">
      <w:pPr>
        <w:jc w:val="both"/>
        <w:rPr>
          <w:bCs/>
          <w:color w:val="002060"/>
          <w:sz w:val="16"/>
          <w:szCs w:val="16"/>
        </w:rPr>
      </w:pPr>
      <w:r w:rsidRPr="00405303">
        <w:rPr>
          <w:bCs/>
          <w:color w:val="002060"/>
          <w:sz w:val="16"/>
          <w:szCs w:val="16"/>
        </w:rPr>
        <w:t xml:space="preserve">Затем, организация уполномоченного ГАУ пользовалась обширными хозяйственными правами и все дело поставлено было на правильных коммерческих началах, с изъятием волокиты, казенщины и пр. </w:t>
      </w:r>
    </w:p>
    <w:p w14:paraId="77A73EFB" w14:textId="77777777" w:rsidR="004B4E35" w:rsidRPr="00405303" w:rsidRDefault="009E6F82" w:rsidP="00C15251">
      <w:pPr>
        <w:jc w:val="both"/>
        <w:rPr>
          <w:bCs/>
          <w:color w:val="002060"/>
          <w:sz w:val="16"/>
          <w:szCs w:val="16"/>
        </w:rPr>
      </w:pPr>
      <w:r w:rsidRPr="00405303">
        <w:rPr>
          <w:bCs/>
          <w:color w:val="002060"/>
          <w:sz w:val="16"/>
          <w:szCs w:val="16"/>
        </w:rPr>
        <w:t xml:space="preserve">И тем не менее постановка массового, сравнительно несложного производства в импровизированном порядке, без предварительной подготовки потребовала 9 месяцев, а разворачивание его до максимума — 18 месяцев. </w:t>
      </w:r>
    </w:p>
    <w:p w14:paraId="662815D2" w14:textId="77777777" w:rsidR="004B4E35" w:rsidRPr="00405303" w:rsidRDefault="009E6F82" w:rsidP="00C15251">
      <w:pPr>
        <w:jc w:val="both"/>
        <w:rPr>
          <w:bCs/>
          <w:color w:val="002060"/>
          <w:sz w:val="16"/>
          <w:szCs w:val="16"/>
        </w:rPr>
      </w:pPr>
      <w:r w:rsidRPr="00405303">
        <w:rPr>
          <w:bCs/>
          <w:color w:val="002060"/>
          <w:sz w:val="16"/>
          <w:szCs w:val="16"/>
        </w:rPr>
        <w:t xml:space="preserve">Эти цифры, относящиеся к довольно далекому прошлому, тем не менее полностью сохраняют свою практическую ценность и сейчас, в совершенно иной обстановке. Это подтверждает отчетливо опыт постановки на Златоустовском заводе массового производства снарядов нового чертежа, имевший место в 1924—1925 годах. Здесь работа в отношении сроков результировалась цифрами, совершенно сходными с теми, которые приведены выше. </w:t>
      </w:r>
    </w:p>
    <w:p w14:paraId="2ADA1632" w14:textId="77777777" w:rsidR="004B4E35" w:rsidRPr="00405303" w:rsidRDefault="009E6F82" w:rsidP="00C15251">
      <w:pPr>
        <w:jc w:val="both"/>
        <w:rPr>
          <w:bCs/>
          <w:color w:val="002060"/>
          <w:sz w:val="16"/>
          <w:szCs w:val="16"/>
        </w:rPr>
      </w:pPr>
      <w:r w:rsidRPr="00405303">
        <w:rPr>
          <w:bCs/>
          <w:color w:val="002060"/>
          <w:sz w:val="16"/>
          <w:szCs w:val="16"/>
        </w:rPr>
        <w:t xml:space="preserve">Приведенные выше сроки, как бы они хорошо ни были обоснованы с точки зрения производственной, с точки зрения интересов военного ведомства, само собой разумеется, должны быть признаны неприемлемыми. Единственное средство сократить их — это надлежащая заблаговременная мобилизационная подготовка заводов. При наличии ее получается совершенно другой производственный эффект. </w:t>
      </w:r>
    </w:p>
    <w:p w14:paraId="0B924E24" w14:textId="77777777" w:rsidR="004B4E35" w:rsidRPr="00405303" w:rsidRDefault="009E6F82" w:rsidP="00C15251">
      <w:pPr>
        <w:jc w:val="both"/>
        <w:rPr>
          <w:bCs/>
          <w:color w:val="002060"/>
          <w:sz w:val="16"/>
          <w:szCs w:val="16"/>
        </w:rPr>
      </w:pPr>
      <w:r w:rsidRPr="00405303">
        <w:rPr>
          <w:bCs/>
          <w:color w:val="002060"/>
          <w:sz w:val="16"/>
          <w:szCs w:val="16"/>
        </w:rPr>
        <w:t>Все указанные обстоятельства должны быть тщательно учтены военным ведомством при составлении его мобилизационных планов, с тем чтобы эти планы носили реальный характер. Это особенно важно по отношению к снарядам, так как производство их лежит в большинстве на гражданских заводах, в мирное время стоящих на консервации (так в тексте. — Ред.) (11329).</w:t>
      </w:r>
    </w:p>
    <w:p w14:paraId="06CC639E" w14:textId="77777777" w:rsidR="004B4E35" w:rsidRPr="00405303" w:rsidRDefault="004B4E35" w:rsidP="00C15251">
      <w:pPr>
        <w:jc w:val="both"/>
        <w:rPr>
          <w:bCs/>
          <w:i/>
          <w:color w:val="002060"/>
          <w:sz w:val="16"/>
          <w:szCs w:val="16"/>
        </w:rPr>
      </w:pPr>
    </w:p>
    <w:p w14:paraId="321A715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 началу апреля 1915 г. был выдан первый заказ на изготовление 1 млн гранат французского образца.</w:t>
      </w:r>
    </w:p>
    <w:p w14:paraId="3B7B12B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Вслед за первым заказом последовали другие. С июня 1915 г. по март 1917 г. генерал С. Н. Банков получил 23 заказа, всего на 14 млн 540 тыс. гранат и к ним на 17 млн 90 тыс. запальных стаканов и 17 млн 540 тыс. детонаторных трубок. Из этого числа 1 млн корпусов был приспособлен для снаряжения отравляющими веществами.</w:t>
      </w:r>
    </w:p>
    <w:p w14:paraId="7B88BBF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Кроме 76-мм гранат организации С. Н. Ванкова в разное время было поручено изготовить 2 млн 400 тыс. снарядов среднего и круп</w:t>
      </w:r>
      <w:r w:rsidRPr="00405303">
        <w:rPr>
          <w:bCs/>
          <w:color w:val="002060"/>
          <w:sz w:val="16"/>
          <w:szCs w:val="16"/>
        </w:rPr>
        <w:softHyphen/>
        <w:t>ного калибров (от 105 до 305 мм).</w:t>
      </w:r>
    </w:p>
    <w:p w14:paraId="47A0886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рамках организации С. Н. Ванкова кооперировалось до 500 предприятий, распределенных по семи районам (Южный, Одесский, Киевский, Тамбовский, Петроградский, Ярославский и Москов</w:t>
      </w:r>
      <w:r w:rsidRPr="00405303">
        <w:rPr>
          <w:bCs/>
          <w:color w:val="002060"/>
          <w:sz w:val="16"/>
          <w:szCs w:val="16"/>
        </w:rPr>
        <w:softHyphen/>
        <w:t>ский). В одном Московском районе были объединены около 1000 за</w:t>
      </w:r>
      <w:r w:rsidRPr="00405303">
        <w:rPr>
          <w:bCs/>
          <w:color w:val="002060"/>
          <w:sz w:val="16"/>
          <w:szCs w:val="16"/>
        </w:rPr>
        <w:softHyphen/>
        <w:t>водов, мастерских и комитетов.</w:t>
      </w:r>
    </w:p>
    <w:p w14:paraId="749E2AA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Для лучшей организации производства заводы были подразделе</w:t>
      </w:r>
      <w:r w:rsidRPr="00405303">
        <w:rPr>
          <w:bCs/>
          <w:color w:val="002060"/>
          <w:sz w:val="16"/>
          <w:szCs w:val="16"/>
        </w:rPr>
        <w:softHyphen/>
        <w:t>ны на группы по характеру изготовляемых изделий (подготовка ста</w:t>
      </w:r>
      <w:r w:rsidRPr="00405303">
        <w:rPr>
          <w:bCs/>
          <w:color w:val="002060"/>
          <w:sz w:val="16"/>
          <w:szCs w:val="16"/>
        </w:rPr>
        <w:softHyphen/>
        <w:t>ли, изготовление корпусов гранат, изготовление запальных стаканов, изготовление детонаторных трубок, снаряжение боеприпасов и пр.). Во главе каждой группы стоял головной завод со штатом техниче</w:t>
      </w:r>
      <w:r w:rsidRPr="00405303">
        <w:rPr>
          <w:bCs/>
          <w:color w:val="002060"/>
          <w:sz w:val="16"/>
          <w:szCs w:val="16"/>
        </w:rPr>
        <w:softHyphen/>
        <w:t>ских специалистов для оказания технической и организационной по</w:t>
      </w:r>
      <w:r w:rsidRPr="00405303">
        <w:rPr>
          <w:bCs/>
          <w:color w:val="002060"/>
          <w:sz w:val="16"/>
          <w:szCs w:val="16"/>
        </w:rPr>
        <w:softHyphen/>
        <w:t>мощи скооперированным предприятиям.</w:t>
      </w:r>
    </w:p>
    <w:p w14:paraId="72D6B12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Производство снарядов создавалось заново. Многие заводы с первых же месяцев войны растеряли значительную часть квалифи</w:t>
      </w:r>
      <w:r w:rsidRPr="00405303">
        <w:rPr>
          <w:bCs/>
          <w:color w:val="002060"/>
          <w:sz w:val="16"/>
          <w:szCs w:val="16"/>
        </w:rPr>
        <w:softHyphen/>
        <w:t>цированных рабочих и инженерно-технического персонала, призван</w:t>
      </w:r>
      <w:r w:rsidRPr="00405303">
        <w:rPr>
          <w:bCs/>
          <w:color w:val="002060"/>
          <w:sz w:val="16"/>
          <w:szCs w:val="16"/>
        </w:rPr>
        <w:softHyphen/>
        <w:t>ных на фронт.</w:t>
      </w:r>
    </w:p>
    <w:p w14:paraId="31568AB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Заводы, ранее не имевшие дела с военной продукцией, оказались совершенно неподготовленными к быстрому налаживанию произ</w:t>
      </w:r>
      <w:r w:rsidRPr="00405303">
        <w:rPr>
          <w:bCs/>
          <w:color w:val="002060"/>
          <w:sz w:val="16"/>
          <w:szCs w:val="16"/>
        </w:rPr>
        <w:softHyphen/>
        <w:t>водства корпусов снарядов. В большинстве случаев не было соответ</w:t>
      </w:r>
      <w:r w:rsidRPr="00405303">
        <w:rPr>
          <w:bCs/>
          <w:color w:val="002060"/>
          <w:sz w:val="16"/>
          <w:szCs w:val="16"/>
        </w:rPr>
        <w:softHyphen/>
        <w:t>ствующего оборудования, навыков и приемов массового производст</w:t>
      </w:r>
      <w:r w:rsidRPr="00405303">
        <w:rPr>
          <w:bCs/>
          <w:color w:val="002060"/>
          <w:sz w:val="16"/>
          <w:szCs w:val="16"/>
        </w:rPr>
        <w:softHyphen/>
        <w:t>ва, привычки к точным работам со строгими допусками.</w:t>
      </w:r>
    </w:p>
    <w:p w14:paraId="60148A2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Для снаряжения взрывчатыми веществами снарядов и детонато</w:t>
      </w:r>
      <w:r w:rsidRPr="00405303">
        <w:rPr>
          <w:bCs/>
          <w:color w:val="002060"/>
          <w:sz w:val="16"/>
          <w:szCs w:val="16"/>
        </w:rPr>
        <w:softHyphen/>
        <w:t>рных трубок московский промышленник Н. А. Второе оборудовал на бывшей фабрике красителей Байера в Москве завод, рассчитанный на снаряжение 750 тыс. трехдюймовых гранат в месяц. Работы по снаряжению начались в сентябре 1915 г.</w:t>
      </w:r>
    </w:p>
    <w:p w14:paraId="0F06290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Затем по договору с ГАУ Н. А. Второе начал строительство в Богородском уезде Московской губернии второго снаряжательного завода.</w:t>
      </w:r>
    </w:p>
    <w:p w14:paraId="7A5FF5D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1.8. Сведения о производстве корпусов снарядов (тыс. шт.) на Путиловском заводе в период 1914—1917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66"/>
        <w:gridCol w:w="979"/>
        <w:gridCol w:w="1085"/>
        <w:gridCol w:w="960"/>
        <w:gridCol w:w="1037"/>
      </w:tblGrid>
      <w:tr w:rsidR="004B4E35" w:rsidRPr="00405303" w14:paraId="6F0A6083" w14:textId="77777777">
        <w:trPr>
          <w:trHeight w:val="374"/>
        </w:trPr>
        <w:tc>
          <w:tcPr>
            <w:tcW w:w="2266" w:type="dxa"/>
          </w:tcPr>
          <w:p w14:paraId="4E66F0D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Корпуса снарядов 1914</w:t>
            </w:r>
          </w:p>
          <w:p w14:paraId="5E32BA6D" w14:textId="77777777" w:rsidR="004B4E35" w:rsidRPr="00405303" w:rsidRDefault="004B4E35" w:rsidP="00C15251">
            <w:pPr>
              <w:shd w:val="clear" w:color="auto" w:fill="FFFFFF"/>
              <w:jc w:val="both"/>
              <w:rPr>
                <w:bCs/>
                <w:color w:val="002060"/>
                <w:sz w:val="16"/>
                <w:szCs w:val="16"/>
              </w:rPr>
            </w:pPr>
          </w:p>
        </w:tc>
        <w:tc>
          <w:tcPr>
            <w:tcW w:w="979" w:type="dxa"/>
          </w:tcPr>
          <w:p w14:paraId="5B26E2A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1915</w:t>
            </w:r>
          </w:p>
          <w:p w14:paraId="7DD11E11" w14:textId="77777777" w:rsidR="004B4E35" w:rsidRPr="00405303" w:rsidRDefault="004B4E35" w:rsidP="00C15251">
            <w:pPr>
              <w:shd w:val="clear" w:color="auto" w:fill="FFFFFF"/>
              <w:jc w:val="both"/>
              <w:rPr>
                <w:bCs/>
                <w:color w:val="002060"/>
                <w:sz w:val="16"/>
                <w:szCs w:val="16"/>
              </w:rPr>
            </w:pPr>
          </w:p>
        </w:tc>
        <w:tc>
          <w:tcPr>
            <w:tcW w:w="1085" w:type="dxa"/>
          </w:tcPr>
          <w:p w14:paraId="5A7B5B6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1916</w:t>
            </w:r>
          </w:p>
          <w:p w14:paraId="496D4C9D" w14:textId="77777777" w:rsidR="004B4E35" w:rsidRPr="00405303" w:rsidRDefault="004B4E35" w:rsidP="00C15251">
            <w:pPr>
              <w:shd w:val="clear" w:color="auto" w:fill="FFFFFF"/>
              <w:jc w:val="both"/>
              <w:rPr>
                <w:bCs/>
                <w:color w:val="002060"/>
                <w:sz w:val="16"/>
                <w:szCs w:val="16"/>
              </w:rPr>
            </w:pPr>
          </w:p>
        </w:tc>
        <w:tc>
          <w:tcPr>
            <w:tcW w:w="960" w:type="dxa"/>
          </w:tcPr>
          <w:p w14:paraId="0120FB9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1917</w:t>
            </w:r>
          </w:p>
          <w:p w14:paraId="6961113E" w14:textId="77777777" w:rsidR="004B4E35" w:rsidRPr="00405303" w:rsidRDefault="004B4E35" w:rsidP="00C15251">
            <w:pPr>
              <w:shd w:val="clear" w:color="auto" w:fill="FFFFFF"/>
              <w:jc w:val="both"/>
              <w:rPr>
                <w:bCs/>
                <w:color w:val="002060"/>
                <w:sz w:val="16"/>
                <w:szCs w:val="16"/>
              </w:rPr>
            </w:pPr>
          </w:p>
        </w:tc>
        <w:tc>
          <w:tcPr>
            <w:tcW w:w="1037" w:type="dxa"/>
          </w:tcPr>
          <w:p w14:paraId="4BDF709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Всего</w:t>
            </w:r>
          </w:p>
          <w:p w14:paraId="55EFE3FE" w14:textId="77777777" w:rsidR="004B4E35" w:rsidRPr="00405303" w:rsidRDefault="004B4E35" w:rsidP="00C15251">
            <w:pPr>
              <w:shd w:val="clear" w:color="auto" w:fill="FFFFFF"/>
              <w:jc w:val="both"/>
              <w:rPr>
                <w:bCs/>
                <w:color w:val="002060"/>
                <w:sz w:val="16"/>
                <w:szCs w:val="16"/>
              </w:rPr>
            </w:pPr>
          </w:p>
        </w:tc>
      </w:tr>
      <w:tr w:rsidR="004B4E35" w:rsidRPr="00405303" w14:paraId="387027C1" w14:textId="77777777">
        <w:trPr>
          <w:trHeight w:val="307"/>
        </w:trPr>
        <w:tc>
          <w:tcPr>
            <w:tcW w:w="2266" w:type="dxa"/>
          </w:tcPr>
          <w:p w14:paraId="7C25683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76-мм шрапнелей 75,0</w:t>
            </w:r>
          </w:p>
          <w:p w14:paraId="421CE6AB" w14:textId="77777777" w:rsidR="004B4E35" w:rsidRPr="00405303" w:rsidRDefault="004B4E35" w:rsidP="00C15251">
            <w:pPr>
              <w:shd w:val="clear" w:color="auto" w:fill="FFFFFF"/>
              <w:jc w:val="both"/>
              <w:rPr>
                <w:bCs/>
                <w:color w:val="002060"/>
                <w:sz w:val="16"/>
                <w:szCs w:val="16"/>
              </w:rPr>
            </w:pPr>
          </w:p>
        </w:tc>
        <w:tc>
          <w:tcPr>
            <w:tcW w:w="979" w:type="dxa"/>
          </w:tcPr>
          <w:p w14:paraId="69CA075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2659,0</w:t>
            </w:r>
          </w:p>
          <w:p w14:paraId="06893B14" w14:textId="77777777" w:rsidR="004B4E35" w:rsidRPr="00405303" w:rsidRDefault="004B4E35" w:rsidP="00C15251">
            <w:pPr>
              <w:shd w:val="clear" w:color="auto" w:fill="FFFFFF"/>
              <w:jc w:val="both"/>
              <w:rPr>
                <w:bCs/>
                <w:color w:val="002060"/>
                <w:sz w:val="16"/>
                <w:szCs w:val="16"/>
              </w:rPr>
            </w:pPr>
          </w:p>
        </w:tc>
        <w:tc>
          <w:tcPr>
            <w:tcW w:w="1085" w:type="dxa"/>
          </w:tcPr>
          <w:p w14:paraId="59AC1BE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3124,5</w:t>
            </w:r>
          </w:p>
          <w:p w14:paraId="3AB711C9" w14:textId="77777777" w:rsidR="004B4E35" w:rsidRPr="00405303" w:rsidRDefault="004B4E35" w:rsidP="00C15251">
            <w:pPr>
              <w:shd w:val="clear" w:color="auto" w:fill="FFFFFF"/>
              <w:jc w:val="both"/>
              <w:rPr>
                <w:bCs/>
                <w:color w:val="002060"/>
                <w:sz w:val="16"/>
                <w:szCs w:val="16"/>
              </w:rPr>
            </w:pPr>
          </w:p>
        </w:tc>
        <w:tc>
          <w:tcPr>
            <w:tcW w:w="960" w:type="dxa"/>
          </w:tcPr>
          <w:p w14:paraId="1C320D9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2580,4</w:t>
            </w:r>
          </w:p>
          <w:p w14:paraId="473FE47F" w14:textId="77777777" w:rsidR="004B4E35" w:rsidRPr="00405303" w:rsidRDefault="004B4E35" w:rsidP="00C15251">
            <w:pPr>
              <w:shd w:val="clear" w:color="auto" w:fill="FFFFFF"/>
              <w:jc w:val="both"/>
              <w:rPr>
                <w:bCs/>
                <w:color w:val="002060"/>
                <w:sz w:val="16"/>
                <w:szCs w:val="16"/>
              </w:rPr>
            </w:pPr>
          </w:p>
        </w:tc>
        <w:tc>
          <w:tcPr>
            <w:tcW w:w="1037" w:type="dxa"/>
          </w:tcPr>
          <w:p w14:paraId="792DAE0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8438,9</w:t>
            </w:r>
          </w:p>
          <w:p w14:paraId="687A5733" w14:textId="77777777" w:rsidR="004B4E35" w:rsidRPr="00405303" w:rsidRDefault="004B4E35" w:rsidP="00C15251">
            <w:pPr>
              <w:shd w:val="clear" w:color="auto" w:fill="FFFFFF"/>
              <w:jc w:val="both"/>
              <w:rPr>
                <w:bCs/>
                <w:color w:val="002060"/>
                <w:sz w:val="16"/>
                <w:szCs w:val="16"/>
              </w:rPr>
            </w:pPr>
          </w:p>
        </w:tc>
      </w:tr>
      <w:tr w:rsidR="004B4E35" w:rsidRPr="00405303" w14:paraId="46501AAA" w14:textId="77777777">
        <w:trPr>
          <w:trHeight w:val="154"/>
        </w:trPr>
        <w:tc>
          <w:tcPr>
            <w:tcW w:w="2266" w:type="dxa"/>
          </w:tcPr>
          <w:p w14:paraId="41B1E3F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76-мм </w:t>
            </w:r>
            <w:proofErr w:type="gramStart"/>
            <w:r w:rsidRPr="00405303">
              <w:rPr>
                <w:bCs/>
                <w:color w:val="002060"/>
                <w:sz w:val="16"/>
                <w:szCs w:val="16"/>
              </w:rPr>
              <w:t>гранат .</w:t>
            </w:r>
            <w:proofErr w:type="gramEnd"/>
            <w:r w:rsidRPr="00405303">
              <w:rPr>
                <w:bCs/>
                <w:color w:val="002060"/>
                <w:sz w:val="16"/>
                <w:szCs w:val="16"/>
              </w:rPr>
              <w:t xml:space="preserve"> —</w:t>
            </w:r>
          </w:p>
          <w:p w14:paraId="608448AF" w14:textId="77777777" w:rsidR="004B4E35" w:rsidRPr="00405303" w:rsidRDefault="004B4E35" w:rsidP="00C15251">
            <w:pPr>
              <w:shd w:val="clear" w:color="auto" w:fill="FFFFFF"/>
              <w:jc w:val="both"/>
              <w:rPr>
                <w:bCs/>
                <w:color w:val="002060"/>
                <w:sz w:val="16"/>
                <w:szCs w:val="16"/>
              </w:rPr>
            </w:pPr>
          </w:p>
        </w:tc>
        <w:tc>
          <w:tcPr>
            <w:tcW w:w="979" w:type="dxa"/>
          </w:tcPr>
          <w:p w14:paraId="4DE5515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218,6</w:t>
            </w:r>
          </w:p>
          <w:p w14:paraId="716F5D49" w14:textId="77777777" w:rsidR="004B4E35" w:rsidRPr="00405303" w:rsidRDefault="004B4E35" w:rsidP="00C15251">
            <w:pPr>
              <w:shd w:val="clear" w:color="auto" w:fill="FFFFFF"/>
              <w:jc w:val="both"/>
              <w:rPr>
                <w:bCs/>
                <w:color w:val="002060"/>
                <w:sz w:val="16"/>
                <w:szCs w:val="16"/>
              </w:rPr>
            </w:pPr>
          </w:p>
        </w:tc>
        <w:tc>
          <w:tcPr>
            <w:tcW w:w="1085" w:type="dxa"/>
          </w:tcPr>
          <w:p w14:paraId="585AA71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1996,4</w:t>
            </w:r>
          </w:p>
          <w:p w14:paraId="28C8003C" w14:textId="77777777" w:rsidR="004B4E35" w:rsidRPr="00405303" w:rsidRDefault="004B4E35" w:rsidP="00C15251">
            <w:pPr>
              <w:shd w:val="clear" w:color="auto" w:fill="FFFFFF"/>
              <w:jc w:val="both"/>
              <w:rPr>
                <w:bCs/>
                <w:color w:val="002060"/>
                <w:sz w:val="16"/>
                <w:szCs w:val="16"/>
              </w:rPr>
            </w:pPr>
          </w:p>
        </w:tc>
        <w:tc>
          <w:tcPr>
            <w:tcW w:w="960" w:type="dxa"/>
          </w:tcPr>
          <w:p w14:paraId="1BBDB51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798,5</w:t>
            </w:r>
          </w:p>
          <w:p w14:paraId="57D93581" w14:textId="77777777" w:rsidR="004B4E35" w:rsidRPr="00405303" w:rsidRDefault="004B4E35" w:rsidP="00C15251">
            <w:pPr>
              <w:shd w:val="clear" w:color="auto" w:fill="FFFFFF"/>
              <w:jc w:val="both"/>
              <w:rPr>
                <w:bCs/>
                <w:color w:val="002060"/>
                <w:sz w:val="16"/>
                <w:szCs w:val="16"/>
              </w:rPr>
            </w:pPr>
          </w:p>
        </w:tc>
        <w:tc>
          <w:tcPr>
            <w:tcW w:w="1037" w:type="dxa"/>
          </w:tcPr>
          <w:p w14:paraId="42E6834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3013,5</w:t>
            </w:r>
          </w:p>
          <w:p w14:paraId="20465C50" w14:textId="77777777" w:rsidR="004B4E35" w:rsidRPr="00405303" w:rsidRDefault="004B4E35" w:rsidP="00C15251">
            <w:pPr>
              <w:shd w:val="clear" w:color="auto" w:fill="FFFFFF"/>
              <w:jc w:val="both"/>
              <w:rPr>
                <w:bCs/>
                <w:color w:val="002060"/>
                <w:sz w:val="16"/>
                <w:szCs w:val="16"/>
              </w:rPr>
            </w:pPr>
          </w:p>
        </w:tc>
      </w:tr>
      <w:tr w:rsidR="004B4E35" w:rsidRPr="00405303" w14:paraId="51DEE0D3" w14:textId="77777777">
        <w:trPr>
          <w:trHeight w:val="173"/>
        </w:trPr>
        <w:tc>
          <w:tcPr>
            <w:tcW w:w="2266" w:type="dxa"/>
          </w:tcPr>
          <w:p w14:paraId="0A1BCF0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107-мм шрапнелей —</w:t>
            </w:r>
          </w:p>
          <w:p w14:paraId="67E27FF5" w14:textId="77777777" w:rsidR="004B4E35" w:rsidRPr="00405303" w:rsidRDefault="004B4E35" w:rsidP="00C15251">
            <w:pPr>
              <w:shd w:val="clear" w:color="auto" w:fill="FFFFFF"/>
              <w:jc w:val="both"/>
              <w:rPr>
                <w:bCs/>
                <w:color w:val="002060"/>
                <w:sz w:val="16"/>
                <w:szCs w:val="16"/>
              </w:rPr>
            </w:pPr>
          </w:p>
        </w:tc>
        <w:tc>
          <w:tcPr>
            <w:tcW w:w="979" w:type="dxa"/>
          </w:tcPr>
          <w:p w14:paraId="7753C53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49,43</w:t>
            </w:r>
          </w:p>
          <w:p w14:paraId="63C21923" w14:textId="77777777" w:rsidR="004B4E35" w:rsidRPr="00405303" w:rsidRDefault="004B4E35" w:rsidP="00C15251">
            <w:pPr>
              <w:shd w:val="clear" w:color="auto" w:fill="FFFFFF"/>
              <w:jc w:val="both"/>
              <w:rPr>
                <w:bCs/>
                <w:color w:val="002060"/>
                <w:sz w:val="16"/>
                <w:szCs w:val="16"/>
              </w:rPr>
            </w:pPr>
          </w:p>
        </w:tc>
        <w:tc>
          <w:tcPr>
            <w:tcW w:w="1085" w:type="dxa"/>
          </w:tcPr>
          <w:p w14:paraId="284B304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107,48</w:t>
            </w:r>
          </w:p>
          <w:p w14:paraId="6786ED9A" w14:textId="77777777" w:rsidR="004B4E35" w:rsidRPr="00405303" w:rsidRDefault="004B4E35" w:rsidP="00C15251">
            <w:pPr>
              <w:shd w:val="clear" w:color="auto" w:fill="FFFFFF"/>
              <w:jc w:val="both"/>
              <w:rPr>
                <w:bCs/>
                <w:color w:val="002060"/>
                <w:sz w:val="16"/>
                <w:szCs w:val="16"/>
              </w:rPr>
            </w:pPr>
          </w:p>
        </w:tc>
        <w:tc>
          <w:tcPr>
            <w:tcW w:w="960" w:type="dxa"/>
          </w:tcPr>
          <w:p w14:paraId="3E560B6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62,41</w:t>
            </w:r>
          </w:p>
          <w:p w14:paraId="060156AD" w14:textId="77777777" w:rsidR="004B4E35" w:rsidRPr="00405303" w:rsidRDefault="004B4E35" w:rsidP="00C15251">
            <w:pPr>
              <w:shd w:val="clear" w:color="auto" w:fill="FFFFFF"/>
              <w:jc w:val="both"/>
              <w:rPr>
                <w:bCs/>
                <w:color w:val="002060"/>
                <w:sz w:val="16"/>
                <w:szCs w:val="16"/>
              </w:rPr>
            </w:pPr>
          </w:p>
        </w:tc>
        <w:tc>
          <w:tcPr>
            <w:tcW w:w="1037" w:type="dxa"/>
          </w:tcPr>
          <w:p w14:paraId="7C66EAE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218,32</w:t>
            </w:r>
          </w:p>
          <w:p w14:paraId="134ED21A" w14:textId="77777777" w:rsidR="004B4E35" w:rsidRPr="00405303" w:rsidRDefault="004B4E35" w:rsidP="00C15251">
            <w:pPr>
              <w:shd w:val="clear" w:color="auto" w:fill="FFFFFF"/>
              <w:jc w:val="both"/>
              <w:rPr>
                <w:bCs/>
                <w:color w:val="002060"/>
                <w:sz w:val="16"/>
                <w:szCs w:val="16"/>
              </w:rPr>
            </w:pPr>
          </w:p>
        </w:tc>
      </w:tr>
      <w:tr w:rsidR="004B4E35" w:rsidRPr="00405303" w14:paraId="145DFC84" w14:textId="77777777">
        <w:trPr>
          <w:trHeight w:val="163"/>
        </w:trPr>
        <w:tc>
          <w:tcPr>
            <w:tcW w:w="2266" w:type="dxa"/>
          </w:tcPr>
          <w:p w14:paraId="6E63CD0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107-мм бомб —</w:t>
            </w:r>
          </w:p>
          <w:p w14:paraId="05BD5F3C" w14:textId="77777777" w:rsidR="004B4E35" w:rsidRPr="00405303" w:rsidRDefault="004B4E35" w:rsidP="00C15251">
            <w:pPr>
              <w:shd w:val="clear" w:color="auto" w:fill="FFFFFF"/>
              <w:jc w:val="both"/>
              <w:rPr>
                <w:bCs/>
                <w:color w:val="002060"/>
                <w:sz w:val="16"/>
                <w:szCs w:val="16"/>
              </w:rPr>
            </w:pPr>
          </w:p>
        </w:tc>
        <w:tc>
          <w:tcPr>
            <w:tcW w:w="979" w:type="dxa"/>
          </w:tcPr>
          <w:p w14:paraId="4CFB449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63,25</w:t>
            </w:r>
          </w:p>
          <w:p w14:paraId="5E83D6E8" w14:textId="77777777" w:rsidR="004B4E35" w:rsidRPr="00405303" w:rsidRDefault="004B4E35" w:rsidP="00C15251">
            <w:pPr>
              <w:shd w:val="clear" w:color="auto" w:fill="FFFFFF"/>
              <w:jc w:val="both"/>
              <w:rPr>
                <w:bCs/>
                <w:color w:val="002060"/>
                <w:sz w:val="16"/>
                <w:szCs w:val="16"/>
              </w:rPr>
            </w:pPr>
          </w:p>
        </w:tc>
        <w:tc>
          <w:tcPr>
            <w:tcW w:w="1085" w:type="dxa"/>
          </w:tcPr>
          <w:p w14:paraId="02D8720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148,1</w:t>
            </w:r>
          </w:p>
          <w:p w14:paraId="449A3D2C" w14:textId="77777777" w:rsidR="004B4E35" w:rsidRPr="00405303" w:rsidRDefault="004B4E35" w:rsidP="00C15251">
            <w:pPr>
              <w:shd w:val="clear" w:color="auto" w:fill="FFFFFF"/>
              <w:jc w:val="both"/>
              <w:rPr>
                <w:bCs/>
                <w:color w:val="002060"/>
                <w:sz w:val="16"/>
                <w:szCs w:val="16"/>
              </w:rPr>
            </w:pPr>
          </w:p>
        </w:tc>
        <w:tc>
          <w:tcPr>
            <w:tcW w:w="960" w:type="dxa"/>
          </w:tcPr>
          <w:p w14:paraId="6C298C4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301,38</w:t>
            </w:r>
          </w:p>
          <w:p w14:paraId="10F7D26B" w14:textId="77777777" w:rsidR="004B4E35" w:rsidRPr="00405303" w:rsidRDefault="004B4E35" w:rsidP="00C15251">
            <w:pPr>
              <w:shd w:val="clear" w:color="auto" w:fill="FFFFFF"/>
              <w:jc w:val="both"/>
              <w:rPr>
                <w:bCs/>
                <w:color w:val="002060"/>
                <w:sz w:val="16"/>
                <w:szCs w:val="16"/>
              </w:rPr>
            </w:pPr>
          </w:p>
        </w:tc>
        <w:tc>
          <w:tcPr>
            <w:tcW w:w="1037" w:type="dxa"/>
          </w:tcPr>
          <w:p w14:paraId="0E501D2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512,73</w:t>
            </w:r>
          </w:p>
          <w:p w14:paraId="327A2EB1" w14:textId="77777777" w:rsidR="004B4E35" w:rsidRPr="00405303" w:rsidRDefault="004B4E35" w:rsidP="00C15251">
            <w:pPr>
              <w:shd w:val="clear" w:color="auto" w:fill="FFFFFF"/>
              <w:jc w:val="both"/>
              <w:rPr>
                <w:bCs/>
                <w:color w:val="002060"/>
                <w:sz w:val="16"/>
                <w:szCs w:val="16"/>
              </w:rPr>
            </w:pPr>
          </w:p>
        </w:tc>
      </w:tr>
      <w:tr w:rsidR="004B4E35" w:rsidRPr="00405303" w14:paraId="192178C1" w14:textId="77777777">
        <w:trPr>
          <w:trHeight w:val="192"/>
        </w:trPr>
        <w:tc>
          <w:tcPr>
            <w:tcW w:w="2266" w:type="dxa"/>
          </w:tcPr>
          <w:p w14:paraId="74AD20F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122-мм шрапнелей —</w:t>
            </w:r>
          </w:p>
          <w:p w14:paraId="30D70C89" w14:textId="77777777" w:rsidR="004B4E35" w:rsidRPr="00405303" w:rsidRDefault="004B4E35" w:rsidP="00C15251">
            <w:pPr>
              <w:shd w:val="clear" w:color="auto" w:fill="FFFFFF"/>
              <w:jc w:val="both"/>
              <w:rPr>
                <w:bCs/>
                <w:color w:val="002060"/>
                <w:sz w:val="16"/>
                <w:szCs w:val="16"/>
              </w:rPr>
            </w:pPr>
          </w:p>
        </w:tc>
        <w:tc>
          <w:tcPr>
            <w:tcW w:w="979" w:type="dxa"/>
          </w:tcPr>
          <w:p w14:paraId="4508A50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16,5</w:t>
            </w:r>
          </w:p>
          <w:p w14:paraId="77B005C2" w14:textId="77777777" w:rsidR="004B4E35" w:rsidRPr="00405303" w:rsidRDefault="004B4E35" w:rsidP="00C15251">
            <w:pPr>
              <w:shd w:val="clear" w:color="auto" w:fill="FFFFFF"/>
              <w:jc w:val="both"/>
              <w:rPr>
                <w:bCs/>
                <w:color w:val="002060"/>
                <w:sz w:val="16"/>
                <w:szCs w:val="16"/>
              </w:rPr>
            </w:pPr>
          </w:p>
        </w:tc>
        <w:tc>
          <w:tcPr>
            <w:tcW w:w="1085" w:type="dxa"/>
          </w:tcPr>
          <w:p w14:paraId="36D9EC3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4,7</w:t>
            </w:r>
          </w:p>
          <w:p w14:paraId="61480D36" w14:textId="77777777" w:rsidR="004B4E35" w:rsidRPr="00405303" w:rsidRDefault="004B4E35" w:rsidP="00C15251">
            <w:pPr>
              <w:shd w:val="clear" w:color="auto" w:fill="FFFFFF"/>
              <w:jc w:val="both"/>
              <w:rPr>
                <w:bCs/>
                <w:color w:val="002060"/>
                <w:sz w:val="16"/>
                <w:szCs w:val="16"/>
              </w:rPr>
            </w:pPr>
          </w:p>
        </w:tc>
        <w:tc>
          <w:tcPr>
            <w:tcW w:w="960" w:type="dxa"/>
          </w:tcPr>
          <w:p w14:paraId="242FCDE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58FABF01" w14:textId="77777777" w:rsidR="004B4E35" w:rsidRPr="00405303" w:rsidRDefault="004B4E35" w:rsidP="00C15251">
            <w:pPr>
              <w:shd w:val="clear" w:color="auto" w:fill="FFFFFF"/>
              <w:jc w:val="both"/>
              <w:rPr>
                <w:bCs/>
                <w:color w:val="002060"/>
                <w:sz w:val="16"/>
                <w:szCs w:val="16"/>
              </w:rPr>
            </w:pPr>
          </w:p>
        </w:tc>
        <w:tc>
          <w:tcPr>
            <w:tcW w:w="1037" w:type="dxa"/>
          </w:tcPr>
          <w:p w14:paraId="267E6A0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21,2</w:t>
            </w:r>
          </w:p>
          <w:p w14:paraId="5AB627CB" w14:textId="77777777" w:rsidR="004B4E35" w:rsidRPr="00405303" w:rsidRDefault="004B4E35" w:rsidP="00C15251">
            <w:pPr>
              <w:shd w:val="clear" w:color="auto" w:fill="FFFFFF"/>
              <w:jc w:val="both"/>
              <w:rPr>
                <w:bCs/>
                <w:color w:val="002060"/>
                <w:sz w:val="16"/>
                <w:szCs w:val="16"/>
              </w:rPr>
            </w:pPr>
          </w:p>
        </w:tc>
      </w:tr>
      <w:tr w:rsidR="004B4E35" w:rsidRPr="00405303" w14:paraId="1FB732E9" w14:textId="77777777">
        <w:trPr>
          <w:trHeight w:val="154"/>
        </w:trPr>
        <w:tc>
          <w:tcPr>
            <w:tcW w:w="2266" w:type="dxa"/>
          </w:tcPr>
          <w:p w14:paraId="34224E1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122-мм бомб —</w:t>
            </w:r>
          </w:p>
          <w:p w14:paraId="2319C6BB" w14:textId="77777777" w:rsidR="004B4E35" w:rsidRPr="00405303" w:rsidRDefault="004B4E35" w:rsidP="00C15251">
            <w:pPr>
              <w:shd w:val="clear" w:color="auto" w:fill="FFFFFF"/>
              <w:jc w:val="both"/>
              <w:rPr>
                <w:bCs/>
                <w:color w:val="002060"/>
                <w:sz w:val="16"/>
                <w:szCs w:val="16"/>
              </w:rPr>
            </w:pPr>
          </w:p>
        </w:tc>
        <w:tc>
          <w:tcPr>
            <w:tcW w:w="979" w:type="dxa"/>
          </w:tcPr>
          <w:p w14:paraId="2EE9C4A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1,07</w:t>
            </w:r>
          </w:p>
          <w:p w14:paraId="59294661" w14:textId="77777777" w:rsidR="004B4E35" w:rsidRPr="00405303" w:rsidRDefault="004B4E35" w:rsidP="00C15251">
            <w:pPr>
              <w:shd w:val="clear" w:color="auto" w:fill="FFFFFF"/>
              <w:jc w:val="both"/>
              <w:rPr>
                <w:bCs/>
                <w:color w:val="002060"/>
                <w:sz w:val="16"/>
                <w:szCs w:val="16"/>
              </w:rPr>
            </w:pPr>
          </w:p>
        </w:tc>
        <w:tc>
          <w:tcPr>
            <w:tcW w:w="1085" w:type="dxa"/>
          </w:tcPr>
          <w:p w14:paraId="1F7DD4A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274,38</w:t>
            </w:r>
          </w:p>
          <w:p w14:paraId="3954B7BB" w14:textId="77777777" w:rsidR="004B4E35" w:rsidRPr="00405303" w:rsidRDefault="004B4E35" w:rsidP="00C15251">
            <w:pPr>
              <w:shd w:val="clear" w:color="auto" w:fill="FFFFFF"/>
              <w:jc w:val="both"/>
              <w:rPr>
                <w:bCs/>
                <w:color w:val="002060"/>
                <w:sz w:val="16"/>
                <w:szCs w:val="16"/>
              </w:rPr>
            </w:pPr>
          </w:p>
        </w:tc>
        <w:tc>
          <w:tcPr>
            <w:tcW w:w="960" w:type="dxa"/>
          </w:tcPr>
          <w:p w14:paraId="0219545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324,77</w:t>
            </w:r>
          </w:p>
          <w:p w14:paraId="20C4FABA" w14:textId="77777777" w:rsidR="004B4E35" w:rsidRPr="00405303" w:rsidRDefault="004B4E35" w:rsidP="00C15251">
            <w:pPr>
              <w:shd w:val="clear" w:color="auto" w:fill="FFFFFF"/>
              <w:jc w:val="both"/>
              <w:rPr>
                <w:bCs/>
                <w:color w:val="002060"/>
                <w:sz w:val="16"/>
                <w:szCs w:val="16"/>
              </w:rPr>
            </w:pPr>
          </w:p>
        </w:tc>
        <w:tc>
          <w:tcPr>
            <w:tcW w:w="1037" w:type="dxa"/>
          </w:tcPr>
          <w:p w14:paraId="3FD36DB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600,22</w:t>
            </w:r>
          </w:p>
          <w:p w14:paraId="2D25D709" w14:textId="77777777" w:rsidR="004B4E35" w:rsidRPr="00405303" w:rsidRDefault="004B4E35" w:rsidP="00C15251">
            <w:pPr>
              <w:shd w:val="clear" w:color="auto" w:fill="FFFFFF"/>
              <w:jc w:val="both"/>
              <w:rPr>
                <w:bCs/>
                <w:color w:val="002060"/>
                <w:sz w:val="16"/>
                <w:szCs w:val="16"/>
              </w:rPr>
            </w:pPr>
          </w:p>
        </w:tc>
      </w:tr>
      <w:tr w:rsidR="004B4E35" w:rsidRPr="00405303" w14:paraId="042E633C" w14:textId="77777777">
        <w:trPr>
          <w:trHeight w:val="173"/>
        </w:trPr>
        <w:tc>
          <w:tcPr>
            <w:tcW w:w="2266" w:type="dxa"/>
          </w:tcPr>
          <w:p w14:paraId="5228E8C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152-мм бомб —</w:t>
            </w:r>
          </w:p>
          <w:p w14:paraId="0677668D" w14:textId="77777777" w:rsidR="004B4E35" w:rsidRPr="00405303" w:rsidRDefault="004B4E35" w:rsidP="00C15251">
            <w:pPr>
              <w:shd w:val="clear" w:color="auto" w:fill="FFFFFF"/>
              <w:jc w:val="both"/>
              <w:rPr>
                <w:bCs/>
                <w:color w:val="002060"/>
                <w:sz w:val="16"/>
                <w:szCs w:val="16"/>
              </w:rPr>
            </w:pPr>
          </w:p>
        </w:tc>
        <w:tc>
          <w:tcPr>
            <w:tcW w:w="979" w:type="dxa"/>
          </w:tcPr>
          <w:p w14:paraId="2DA5E88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6,13</w:t>
            </w:r>
          </w:p>
          <w:p w14:paraId="50D6F49C" w14:textId="77777777" w:rsidR="004B4E35" w:rsidRPr="00405303" w:rsidRDefault="004B4E35" w:rsidP="00C15251">
            <w:pPr>
              <w:shd w:val="clear" w:color="auto" w:fill="FFFFFF"/>
              <w:jc w:val="both"/>
              <w:rPr>
                <w:bCs/>
                <w:color w:val="002060"/>
                <w:sz w:val="16"/>
                <w:szCs w:val="16"/>
              </w:rPr>
            </w:pPr>
          </w:p>
        </w:tc>
        <w:tc>
          <w:tcPr>
            <w:tcW w:w="1085" w:type="dxa"/>
          </w:tcPr>
          <w:p w14:paraId="6172F5E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369,69</w:t>
            </w:r>
          </w:p>
          <w:p w14:paraId="124FF0EA" w14:textId="77777777" w:rsidR="004B4E35" w:rsidRPr="00405303" w:rsidRDefault="004B4E35" w:rsidP="00C15251">
            <w:pPr>
              <w:shd w:val="clear" w:color="auto" w:fill="FFFFFF"/>
              <w:jc w:val="both"/>
              <w:rPr>
                <w:bCs/>
                <w:color w:val="002060"/>
                <w:sz w:val="16"/>
                <w:szCs w:val="16"/>
              </w:rPr>
            </w:pPr>
          </w:p>
        </w:tc>
        <w:tc>
          <w:tcPr>
            <w:tcW w:w="960" w:type="dxa"/>
          </w:tcPr>
          <w:p w14:paraId="1FDA069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619,6</w:t>
            </w:r>
          </w:p>
          <w:p w14:paraId="0A3CAB6D" w14:textId="77777777" w:rsidR="004B4E35" w:rsidRPr="00405303" w:rsidRDefault="004B4E35" w:rsidP="00C15251">
            <w:pPr>
              <w:shd w:val="clear" w:color="auto" w:fill="FFFFFF"/>
              <w:jc w:val="both"/>
              <w:rPr>
                <w:bCs/>
                <w:color w:val="002060"/>
                <w:sz w:val="16"/>
                <w:szCs w:val="16"/>
              </w:rPr>
            </w:pPr>
          </w:p>
        </w:tc>
        <w:tc>
          <w:tcPr>
            <w:tcW w:w="1037" w:type="dxa"/>
          </w:tcPr>
          <w:p w14:paraId="548927C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995,5</w:t>
            </w:r>
          </w:p>
          <w:p w14:paraId="2CC7B318" w14:textId="77777777" w:rsidR="004B4E35" w:rsidRPr="00405303" w:rsidRDefault="004B4E35" w:rsidP="00C15251">
            <w:pPr>
              <w:shd w:val="clear" w:color="auto" w:fill="FFFFFF"/>
              <w:jc w:val="both"/>
              <w:rPr>
                <w:bCs/>
                <w:color w:val="002060"/>
                <w:sz w:val="16"/>
                <w:szCs w:val="16"/>
              </w:rPr>
            </w:pPr>
          </w:p>
        </w:tc>
      </w:tr>
      <w:tr w:rsidR="004B4E35" w:rsidRPr="00405303" w14:paraId="27648B32" w14:textId="77777777">
        <w:trPr>
          <w:trHeight w:val="173"/>
        </w:trPr>
        <w:tc>
          <w:tcPr>
            <w:tcW w:w="2266" w:type="dxa"/>
          </w:tcPr>
          <w:p w14:paraId="02A19B2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280-мм бомб —</w:t>
            </w:r>
          </w:p>
          <w:p w14:paraId="0CCA4DBD" w14:textId="77777777" w:rsidR="004B4E35" w:rsidRPr="00405303" w:rsidRDefault="004B4E35" w:rsidP="00C15251">
            <w:pPr>
              <w:shd w:val="clear" w:color="auto" w:fill="FFFFFF"/>
              <w:jc w:val="both"/>
              <w:rPr>
                <w:bCs/>
                <w:color w:val="002060"/>
                <w:sz w:val="16"/>
                <w:szCs w:val="16"/>
              </w:rPr>
            </w:pPr>
          </w:p>
        </w:tc>
        <w:tc>
          <w:tcPr>
            <w:tcW w:w="979" w:type="dxa"/>
          </w:tcPr>
          <w:p w14:paraId="4814F6F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0,818</w:t>
            </w:r>
          </w:p>
          <w:p w14:paraId="6753787A" w14:textId="77777777" w:rsidR="004B4E35" w:rsidRPr="00405303" w:rsidRDefault="004B4E35" w:rsidP="00C15251">
            <w:pPr>
              <w:shd w:val="clear" w:color="auto" w:fill="FFFFFF"/>
              <w:jc w:val="both"/>
              <w:rPr>
                <w:bCs/>
                <w:color w:val="002060"/>
                <w:sz w:val="16"/>
                <w:szCs w:val="16"/>
              </w:rPr>
            </w:pPr>
          </w:p>
        </w:tc>
        <w:tc>
          <w:tcPr>
            <w:tcW w:w="1085" w:type="dxa"/>
          </w:tcPr>
          <w:p w14:paraId="0841BC9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2,252</w:t>
            </w:r>
          </w:p>
          <w:p w14:paraId="5CEB846D" w14:textId="77777777" w:rsidR="004B4E35" w:rsidRPr="00405303" w:rsidRDefault="004B4E35" w:rsidP="00C15251">
            <w:pPr>
              <w:shd w:val="clear" w:color="auto" w:fill="FFFFFF"/>
              <w:jc w:val="both"/>
              <w:rPr>
                <w:bCs/>
                <w:color w:val="002060"/>
                <w:sz w:val="16"/>
                <w:szCs w:val="16"/>
              </w:rPr>
            </w:pPr>
          </w:p>
        </w:tc>
        <w:tc>
          <w:tcPr>
            <w:tcW w:w="960" w:type="dxa"/>
          </w:tcPr>
          <w:p w14:paraId="5244389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3.074</w:t>
            </w:r>
          </w:p>
          <w:p w14:paraId="1E3AECE4" w14:textId="77777777" w:rsidR="004B4E35" w:rsidRPr="00405303" w:rsidRDefault="004B4E35" w:rsidP="00C15251">
            <w:pPr>
              <w:shd w:val="clear" w:color="auto" w:fill="FFFFFF"/>
              <w:jc w:val="both"/>
              <w:rPr>
                <w:bCs/>
                <w:color w:val="002060"/>
                <w:sz w:val="16"/>
                <w:szCs w:val="16"/>
              </w:rPr>
            </w:pPr>
          </w:p>
        </w:tc>
        <w:tc>
          <w:tcPr>
            <w:tcW w:w="1037" w:type="dxa"/>
          </w:tcPr>
          <w:p w14:paraId="559EB4F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6,144</w:t>
            </w:r>
          </w:p>
          <w:p w14:paraId="4491C5F8" w14:textId="77777777" w:rsidR="004B4E35" w:rsidRPr="00405303" w:rsidRDefault="004B4E35" w:rsidP="00C15251">
            <w:pPr>
              <w:shd w:val="clear" w:color="auto" w:fill="FFFFFF"/>
              <w:jc w:val="both"/>
              <w:rPr>
                <w:bCs/>
                <w:color w:val="002060"/>
                <w:sz w:val="16"/>
                <w:szCs w:val="16"/>
              </w:rPr>
            </w:pPr>
          </w:p>
        </w:tc>
      </w:tr>
      <w:tr w:rsidR="004B4E35" w:rsidRPr="00405303" w14:paraId="7984FBAC" w14:textId="77777777">
        <w:trPr>
          <w:trHeight w:val="365"/>
        </w:trPr>
        <w:tc>
          <w:tcPr>
            <w:tcW w:w="2266" w:type="dxa"/>
          </w:tcPr>
          <w:p w14:paraId="573CB74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305-мм бомб —</w:t>
            </w:r>
          </w:p>
          <w:p w14:paraId="4F5129BD" w14:textId="77777777" w:rsidR="004B4E35" w:rsidRPr="00405303" w:rsidRDefault="004B4E35" w:rsidP="00C15251">
            <w:pPr>
              <w:shd w:val="clear" w:color="auto" w:fill="FFFFFF"/>
              <w:jc w:val="both"/>
              <w:rPr>
                <w:bCs/>
                <w:color w:val="002060"/>
                <w:sz w:val="16"/>
                <w:szCs w:val="16"/>
              </w:rPr>
            </w:pPr>
          </w:p>
        </w:tc>
        <w:tc>
          <w:tcPr>
            <w:tcW w:w="979" w:type="dxa"/>
          </w:tcPr>
          <w:p w14:paraId="77BB21E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6110B0D9" w14:textId="77777777" w:rsidR="004B4E35" w:rsidRPr="00405303" w:rsidRDefault="004B4E35" w:rsidP="00C15251">
            <w:pPr>
              <w:shd w:val="clear" w:color="auto" w:fill="FFFFFF"/>
              <w:jc w:val="both"/>
              <w:rPr>
                <w:bCs/>
                <w:color w:val="002060"/>
                <w:sz w:val="16"/>
                <w:szCs w:val="16"/>
              </w:rPr>
            </w:pPr>
          </w:p>
        </w:tc>
        <w:tc>
          <w:tcPr>
            <w:tcW w:w="1085" w:type="dxa"/>
          </w:tcPr>
          <w:p w14:paraId="585D608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0,506</w:t>
            </w:r>
          </w:p>
          <w:p w14:paraId="114C0F61" w14:textId="77777777" w:rsidR="004B4E35" w:rsidRPr="00405303" w:rsidRDefault="004B4E35" w:rsidP="00C15251">
            <w:pPr>
              <w:shd w:val="clear" w:color="auto" w:fill="FFFFFF"/>
              <w:jc w:val="both"/>
              <w:rPr>
                <w:bCs/>
                <w:color w:val="002060"/>
                <w:sz w:val="16"/>
                <w:szCs w:val="16"/>
              </w:rPr>
            </w:pPr>
          </w:p>
        </w:tc>
        <w:tc>
          <w:tcPr>
            <w:tcW w:w="960" w:type="dxa"/>
          </w:tcPr>
          <w:p w14:paraId="2DF6BFE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0,298</w:t>
            </w:r>
          </w:p>
          <w:p w14:paraId="6E2CB537" w14:textId="77777777" w:rsidR="004B4E35" w:rsidRPr="00405303" w:rsidRDefault="004B4E35" w:rsidP="00C15251">
            <w:pPr>
              <w:shd w:val="clear" w:color="auto" w:fill="FFFFFF"/>
              <w:jc w:val="both"/>
              <w:rPr>
                <w:bCs/>
                <w:color w:val="002060"/>
                <w:sz w:val="16"/>
                <w:szCs w:val="16"/>
              </w:rPr>
            </w:pPr>
          </w:p>
        </w:tc>
        <w:tc>
          <w:tcPr>
            <w:tcW w:w="1037" w:type="dxa"/>
          </w:tcPr>
          <w:p w14:paraId="4430F6F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0,804</w:t>
            </w:r>
          </w:p>
          <w:p w14:paraId="257E4E0C" w14:textId="77777777" w:rsidR="004B4E35" w:rsidRPr="00405303" w:rsidRDefault="004B4E35" w:rsidP="00C15251">
            <w:pPr>
              <w:shd w:val="clear" w:color="auto" w:fill="FFFFFF"/>
              <w:jc w:val="both"/>
              <w:rPr>
                <w:bCs/>
                <w:color w:val="002060"/>
                <w:sz w:val="16"/>
                <w:szCs w:val="16"/>
              </w:rPr>
            </w:pPr>
          </w:p>
        </w:tc>
      </w:tr>
    </w:tbl>
    <w:p w14:paraId="7DB7E31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Всего на Московском снаряжательном заводе с января 1916 г. по декабрь 1917 г. было изготовлено 4971 тыс. снарядов разных калиб</w:t>
      </w:r>
      <w:r w:rsidRPr="00405303">
        <w:rPr>
          <w:bCs/>
          <w:color w:val="002060"/>
          <w:sz w:val="16"/>
          <w:szCs w:val="16"/>
        </w:rPr>
        <w:softHyphen/>
        <w:t>ров.</w:t>
      </w:r>
    </w:p>
    <w:p w14:paraId="129052C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мая 1915 г. по январь 1918 г. генерал С. Н. Банков заключил 442 договора с различными предприятиями, включенными в его ор</w:t>
      </w:r>
      <w:r w:rsidRPr="00405303">
        <w:rPr>
          <w:bCs/>
          <w:color w:val="002060"/>
          <w:sz w:val="16"/>
          <w:szCs w:val="16"/>
        </w:rPr>
        <w:softHyphen/>
        <w:t>ганизацию. До конца 1917г. организация С. Н. Ванкова поставила в армию более 14 млн корпусов снарядов, в том числе 13 млн 683 тыс. 76-мм гранат — почти половину всех 76-мм гранат, изготовленных в России за годы войны. Организация С. Н. Ванкова изготовила также около полумиллиона корпусов 152-мм бомб. На фронт было отправ</w:t>
      </w:r>
      <w:r w:rsidRPr="00405303">
        <w:rPr>
          <w:bCs/>
          <w:color w:val="002060"/>
          <w:sz w:val="16"/>
          <w:szCs w:val="16"/>
        </w:rPr>
        <w:softHyphen/>
        <w:t>лено 8399236 шт. окончательно снаряженных 76-мм гранат и 225911 шт. 152-мм бомб (табл. 1.9) [5, с. 197].</w:t>
      </w:r>
    </w:p>
    <w:p w14:paraId="45C3AF1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 Производство снарядов организацией уполномоченного ГАУ С. Н. Ванкова с сентября 1915 г. по декабрь 1917 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014"/>
        <w:gridCol w:w="1277"/>
        <w:gridCol w:w="998"/>
        <w:gridCol w:w="1114"/>
      </w:tblGrid>
      <w:tr w:rsidR="004B4E35" w:rsidRPr="00405303" w14:paraId="7A811FF3" w14:textId="77777777">
        <w:trPr>
          <w:trHeight w:val="355"/>
        </w:trPr>
        <w:tc>
          <w:tcPr>
            <w:tcW w:w="3014" w:type="dxa"/>
          </w:tcPr>
          <w:p w14:paraId="7F221F8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Название изделий</w:t>
            </w:r>
          </w:p>
          <w:p w14:paraId="5B1FC9F7" w14:textId="77777777" w:rsidR="004B4E35" w:rsidRPr="00405303" w:rsidRDefault="004B4E35" w:rsidP="00C15251">
            <w:pPr>
              <w:shd w:val="clear" w:color="auto" w:fill="FFFFFF"/>
              <w:jc w:val="both"/>
              <w:rPr>
                <w:bCs/>
                <w:color w:val="002060"/>
                <w:sz w:val="16"/>
                <w:szCs w:val="16"/>
              </w:rPr>
            </w:pPr>
          </w:p>
        </w:tc>
        <w:tc>
          <w:tcPr>
            <w:tcW w:w="1277" w:type="dxa"/>
          </w:tcPr>
          <w:p w14:paraId="6D93FFC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Всего принято</w:t>
            </w:r>
          </w:p>
          <w:p w14:paraId="61C8DA46" w14:textId="77777777" w:rsidR="004B4E35" w:rsidRPr="00405303" w:rsidRDefault="004B4E35" w:rsidP="00C15251">
            <w:pPr>
              <w:shd w:val="clear" w:color="auto" w:fill="FFFFFF"/>
              <w:jc w:val="both"/>
              <w:rPr>
                <w:bCs/>
                <w:color w:val="002060"/>
                <w:sz w:val="16"/>
                <w:szCs w:val="16"/>
              </w:rPr>
            </w:pPr>
          </w:p>
        </w:tc>
        <w:tc>
          <w:tcPr>
            <w:tcW w:w="2112" w:type="dxa"/>
            <w:gridSpan w:val="2"/>
          </w:tcPr>
          <w:p w14:paraId="716A8CD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Из этого числа</w:t>
            </w:r>
          </w:p>
          <w:p w14:paraId="1FAAE788" w14:textId="77777777" w:rsidR="004B4E35" w:rsidRPr="00405303" w:rsidRDefault="004B4E35" w:rsidP="00C15251">
            <w:pPr>
              <w:shd w:val="clear" w:color="auto" w:fill="FFFFFF"/>
              <w:jc w:val="both"/>
              <w:rPr>
                <w:bCs/>
                <w:color w:val="002060"/>
                <w:sz w:val="16"/>
                <w:szCs w:val="16"/>
              </w:rPr>
            </w:pPr>
          </w:p>
        </w:tc>
      </w:tr>
      <w:tr w:rsidR="004B4E35" w:rsidRPr="00405303" w14:paraId="6BA5313C" w14:textId="77777777">
        <w:trPr>
          <w:trHeight w:val="269"/>
        </w:trPr>
        <w:tc>
          <w:tcPr>
            <w:tcW w:w="3014" w:type="dxa"/>
          </w:tcPr>
          <w:p w14:paraId="46B39B6C" w14:textId="77777777" w:rsidR="004B4E35" w:rsidRPr="00405303" w:rsidRDefault="004B4E35" w:rsidP="00C15251">
            <w:pPr>
              <w:shd w:val="clear" w:color="auto" w:fill="FFFFFF"/>
              <w:jc w:val="both"/>
              <w:rPr>
                <w:bCs/>
                <w:color w:val="002060"/>
                <w:sz w:val="16"/>
                <w:szCs w:val="16"/>
              </w:rPr>
            </w:pPr>
          </w:p>
          <w:p w14:paraId="735E58AC" w14:textId="77777777" w:rsidR="004B4E35" w:rsidRPr="00405303" w:rsidRDefault="004B4E35" w:rsidP="00C15251">
            <w:pPr>
              <w:shd w:val="clear" w:color="auto" w:fill="FFFFFF"/>
              <w:jc w:val="both"/>
              <w:rPr>
                <w:bCs/>
                <w:color w:val="002060"/>
                <w:sz w:val="16"/>
                <w:szCs w:val="16"/>
              </w:rPr>
            </w:pPr>
          </w:p>
        </w:tc>
        <w:tc>
          <w:tcPr>
            <w:tcW w:w="1277" w:type="dxa"/>
          </w:tcPr>
          <w:p w14:paraId="057CA18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заводов до 1 января 1918 г.</w:t>
            </w:r>
          </w:p>
          <w:p w14:paraId="194E0A12" w14:textId="77777777" w:rsidR="004B4E35" w:rsidRPr="00405303" w:rsidRDefault="004B4E35" w:rsidP="00C15251">
            <w:pPr>
              <w:shd w:val="clear" w:color="auto" w:fill="FFFFFF"/>
              <w:jc w:val="both"/>
              <w:rPr>
                <w:bCs/>
                <w:color w:val="002060"/>
                <w:sz w:val="16"/>
                <w:szCs w:val="16"/>
              </w:rPr>
            </w:pPr>
          </w:p>
        </w:tc>
        <w:tc>
          <w:tcPr>
            <w:tcW w:w="998" w:type="dxa"/>
          </w:tcPr>
          <w:p w14:paraId="61E50D5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сдано окон-</w:t>
            </w:r>
          </w:p>
          <w:p w14:paraId="2B3D69F2" w14:textId="77777777" w:rsidR="004B4E35" w:rsidRPr="00405303" w:rsidRDefault="004B4E35" w:rsidP="00C15251">
            <w:pPr>
              <w:shd w:val="clear" w:color="auto" w:fill="FFFFFF"/>
              <w:jc w:val="both"/>
              <w:rPr>
                <w:bCs/>
                <w:color w:val="002060"/>
                <w:sz w:val="16"/>
                <w:szCs w:val="16"/>
              </w:rPr>
            </w:pPr>
          </w:p>
        </w:tc>
        <w:tc>
          <w:tcPr>
            <w:tcW w:w="1114" w:type="dxa"/>
          </w:tcPr>
          <w:p w14:paraId="6E162A4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выдано для</w:t>
            </w:r>
          </w:p>
          <w:p w14:paraId="635FC213" w14:textId="77777777" w:rsidR="004B4E35" w:rsidRPr="00405303" w:rsidRDefault="004B4E35" w:rsidP="00C15251">
            <w:pPr>
              <w:shd w:val="clear" w:color="auto" w:fill="FFFFFF"/>
              <w:jc w:val="both"/>
              <w:rPr>
                <w:bCs/>
                <w:color w:val="002060"/>
                <w:sz w:val="16"/>
                <w:szCs w:val="16"/>
              </w:rPr>
            </w:pPr>
          </w:p>
        </w:tc>
      </w:tr>
      <w:tr w:rsidR="004B4E35" w:rsidRPr="00405303" w14:paraId="04EC8D96" w14:textId="77777777">
        <w:trPr>
          <w:trHeight w:val="154"/>
        </w:trPr>
        <w:tc>
          <w:tcPr>
            <w:tcW w:w="3014" w:type="dxa"/>
          </w:tcPr>
          <w:p w14:paraId="3B5EBEF0" w14:textId="77777777" w:rsidR="004B4E35" w:rsidRPr="00405303" w:rsidRDefault="004B4E35" w:rsidP="00C15251">
            <w:pPr>
              <w:shd w:val="clear" w:color="auto" w:fill="FFFFFF"/>
              <w:jc w:val="both"/>
              <w:rPr>
                <w:bCs/>
                <w:color w:val="002060"/>
                <w:sz w:val="16"/>
                <w:szCs w:val="16"/>
              </w:rPr>
            </w:pPr>
          </w:p>
          <w:p w14:paraId="3CCFC5A5" w14:textId="77777777" w:rsidR="004B4E35" w:rsidRPr="00405303" w:rsidRDefault="004B4E35" w:rsidP="00C15251">
            <w:pPr>
              <w:shd w:val="clear" w:color="auto" w:fill="FFFFFF"/>
              <w:jc w:val="both"/>
              <w:rPr>
                <w:bCs/>
                <w:color w:val="002060"/>
                <w:sz w:val="16"/>
                <w:szCs w:val="16"/>
              </w:rPr>
            </w:pPr>
          </w:p>
        </w:tc>
        <w:tc>
          <w:tcPr>
            <w:tcW w:w="1277" w:type="dxa"/>
          </w:tcPr>
          <w:p w14:paraId="09DE1739" w14:textId="77777777" w:rsidR="004B4E35" w:rsidRPr="00405303" w:rsidRDefault="004B4E35" w:rsidP="00C15251">
            <w:pPr>
              <w:shd w:val="clear" w:color="auto" w:fill="FFFFFF"/>
              <w:jc w:val="both"/>
              <w:rPr>
                <w:bCs/>
                <w:color w:val="002060"/>
                <w:sz w:val="16"/>
                <w:szCs w:val="16"/>
              </w:rPr>
            </w:pPr>
          </w:p>
          <w:p w14:paraId="282D95BD" w14:textId="77777777" w:rsidR="004B4E35" w:rsidRPr="00405303" w:rsidRDefault="004B4E35" w:rsidP="00C15251">
            <w:pPr>
              <w:shd w:val="clear" w:color="auto" w:fill="FFFFFF"/>
              <w:jc w:val="both"/>
              <w:rPr>
                <w:bCs/>
                <w:color w:val="002060"/>
                <w:sz w:val="16"/>
                <w:szCs w:val="16"/>
              </w:rPr>
            </w:pPr>
          </w:p>
        </w:tc>
        <w:tc>
          <w:tcPr>
            <w:tcW w:w="998" w:type="dxa"/>
          </w:tcPr>
          <w:p w14:paraId="77D637B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чательно</w:t>
            </w:r>
          </w:p>
          <w:p w14:paraId="70237ECE" w14:textId="77777777" w:rsidR="004B4E35" w:rsidRPr="00405303" w:rsidRDefault="004B4E35" w:rsidP="00C15251">
            <w:pPr>
              <w:shd w:val="clear" w:color="auto" w:fill="FFFFFF"/>
              <w:jc w:val="both"/>
              <w:rPr>
                <w:bCs/>
                <w:color w:val="002060"/>
                <w:sz w:val="16"/>
                <w:szCs w:val="16"/>
              </w:rPr>
            </w:pPr>
          </w:p>
        </w:tc>
        <w:tc>
          <w:tcPr>
            <w:tcW w:w="1114" w:type="dxa"/>
          </w:tcPr>
          <w:p w14:paraId="1CC4884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снаряжения</w:t>
            </w:r>
          </w:p>
          <w:p w14:paraId="3AAC740B" w14:textId="77777777" w:rsidR="004B4E35" w:rsidRPr="00405303" w:rsidRDefault="004B4E35" w:rsidP="00C15251">
            <w:pPr>
              <w:shd w:val="clear" w:color="auto" w:fill="FFFFFF"/>
              <w:jc w:val="both"/>
              <w:rPr>
                <w:bCs/>
                <w:color w:val="002060"/>
                <w:sz w:val="16"/>
                <w:szCs w:val="16"/>
              </w:rPr>
            </w:pPr>
          </w:p>
        </w:tc>
      </w:tr>
      <w:tr w:rsidR="004B4E35" w:rsidRPr="00405303" w14:paraId="4E8BD123" w14:textId="77777777">
        <w:trPr>
          <w:trHeight w:val="202"/>
        </w:trPr>
        <w:tc>
          <w:tcPr>
            <w:tcW w:w="3014" w:type="dxa"/>
          </w:tcPr>
          <w:p w14:paraId="020060D4" w14:textId="77777777" w:rsidR="004B4E35" w:rsidRPr="00405303" w:rsidRDefault="004B4E35" w:rsidP="00C15251">
            <w:pPr>
              <w:shd w:val="clear" w:color="auto" w:fill="FFFFFF"/>
              <w:jc w:val="both"/>
              <w:rPr>
                <w:bCs/>
                <w:color w:val="002060"/>
                <w:sz w:val="16"/>
                <w:szCs w:val="16"/>
              </w:rPr>
            </w:pPr>
          </w:p>
          <w:p w14:paraId="638F545E" w14:textId="77777777" w:rsidR="004B4E35" w:rsidRPr="00405303" w:rsidRDefault="004B4E35" w:rsidP="00C15251">
            <w:pPr>
              <w:shd w:val="clear" w:color="auto" w:fill="FFFFFF"/>
              <w:jc w:val="both"/>
              <w:rPr>
                <w:bCs/>
                <w:color w:val="002060"/>
                <w:sz w:val="16"/>
                <w:szCs w:val="16"/>
              </w:rPr>
            </w:pPr>
          </w:p>
        </w:tc>
        <w:tc>
          <w:tcPr>
            <w:tcW w:w="1277" w:type="dxa"/>
          </w:tcPr>
          <w:p w14:paraId="0CA49290" w14:textId="77777777" w:rsidR="004B4E35" w:rsidRPr="00405303" w:rsidRDefault="004B4E35" w:rsidP="00C15251">
            <w:pPr>
              <w:shd w:val="clear" w:color="auto" w:fill="FFFFFF"/>
              <w:jc w:val="both"/>
              <w:rPr>
                <w:bCs/>
                <w:color w:val="002060"/>
                <w:sz w:val="16"/>
                <w:szCs w:val="16"/>
              </w:rPr>
            </w:pPr>
          </w:p>
          <w:p w14:paraId="209764D3" w14:textId="77777777" w:rsidR="004B4E35" w:rsidRPr="00405303" w:rsidRDefault="004B4E35" w:rsidP="00C15251">
            <w:pPr>
              <w:shd w:val="clear" w:color="auto" w:fill="FFFFFF"/>
              <w:jc w:val="both"/>
              <w:rPr>
                <w:bCs/>
                <w:color w:val="002060"/>
                <w:sz w:val="16"/>
                <w:szCs w:val="16"/>
              </w:rPr>
            </w:pPr>
          </w:p>
        </w:tc>
        <w:tc>
          <w:tcPr>
            <w:tcW w:w="998" w:type="dxa"/>
          </w:tcPr>
          <w:p w14:paraId="6B03A33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снаряжен-</w:t>
            </w:r>
          </w:p>
          <w:p w14:paraId="0598F6B5" w14:textId="77777777" w:rsidR="004B4E35" w:rsidRPr="00405303" w:rsidRDefault="004B4E35" w:rsidP="00C15251">
            <w:pPr>
              <w:shd w:val="clear" w:color="auto" w:fill="FFFFFF"/>
              <w:jc w:val="both"/>
              <w:rPr>
                <w:bCs/>
                <w:color w:val="002060"/>
                <w:sz w:val="16"/>
                <w:szCs w:val="16"/>
              </w:rPr>
            </w:pPr>
          </w:p>
        </w:tc>
        <w:tc>
          <w:tcPr>
            <w:tcW w:w="1114" w:type="dxa"/>
          </w:tcPr>
          <w:p w14:paraId="583D381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ОВ</w:t>
            </w:r>
          </w:p>
          <w:p w14:paraId="3F9EEA35" w14:textId="77777777" w:rsidR="004B4E35" w:rsidRPr="00405303" w:rsidRDefault="004B4E35" w:rsidP="00C15251">
            <w:pPr>
              <w:shd w:val="clear" w:color="auto" w:fill="FFFFFF"/>
              <w:jc w:val="both"/>
              <w:rPr>
                <w:bCs/>
                <w:color w:val="002060"/>
                <w:sz w:val="16"/>
                <w:szCs w:val="16"/>
              </w:rPr>
            </w:pPr>
          </w:p>
        </w:tc>
      </w:tr>
      <w:tr w:rsidR="004B4E35" w:rsidRPr="00405303" w14:paraId="2F6CB08C" w14:textId="77777777">
        <w:trPr>
          <w:trHeight w:val="240"/>
        </w:trPr>
        <w:tc>
          <w:tcPr>
            <w:tcW w:w="3014" w:type="dxa"/>
          </w:tcPr>
          <w:p w14:paraId="64E31C68" w14:textId="77777777" w:rsidR="004B4E35" w:rsidRPr="00405303" w:rsidRDefault="004B4E35" w:rsidP="00C15251">
            <w:pPr>
              <w:shd w:val="clear" w:color="auto" w:fill="FFFFFF"/>
              <w:jc w:val="both"/>
              <w:rPr>
                <w:bCs/>
                <w:color w:val="002060"/>
                <w:sz w:val="16"/>
                <w:szCs w:val="16"/>
              </w:rPr>
            </w:pPr>
          </w:p>
          <w:p w14:paraId="77C5A2CF" w14:textId="77777777" w:rsidR="004B4E35" w:rsidRPr="00405303" w:rsidRDefault="004B4E35" w:rsidP="00C15251">
            <w:pPr>
              <w:shd w:val="clear" w:color="auto" w:fill="FFFFFF"/>
              <w:jc w:val="both"/>
              <w:rPr>
                <w:bCs/>
                <w:color w:val="002060"/>
                <w:sz w:val="16"/>
                <w:szCs w:val="16"/>
              </w:rPr>
            </w:pPr>
          </w:p>
        </w:tc>
        <w:tc>
          <w:tcPr>
            <w:tcW w:w="1277" w:type="dxa"/>
          </w:tcPr>
          <w:p w14:paraId="7403E804" w14:textId="77777777" w:rsidR="004B4E35" w:rsidRPr="00405303" w:rsidRDefault="004B4E35" w:rsidP="00C15251">
            <w:pPr>
              <w:shd w:val="clear" w:color="auto" w:fill="FFFFFF"/>
              <w:jc w:val="both"/>
              <w:rPr>
                <w:bCs/>
                <w:color w:val="002060"/>
                <w:sz w:val="16"/>
                <w:szCs w:val="16"/>
              </w:rPr>
            </w:pPr>
          </w:p>
          <w:p w14:paraId="54E8D55E" w14:textId="77777777" w:rsidR="004B4E35" w:rsidRPr="00405303" w:rsidRDefault="004B4E35" w:rsidP="00C15251">
            <w:pPr>
              <w:shd w:val="clear" w:color="auto" w:fill="FFFFFF"/>
              <w:jc w:val="both"/>
              <w:rPr>
                <w:bCs/>
                <w:color w:val="002060"/>
                <w:sz w:val="16"/>
                <w:szCs w:val="16"/>
              </w:rPr>
            </w:pPr>
          </w:p>
        </w:tc>
        <w:tc>
          <w:tcPr>
            <w:tcW w:w="998" w:type="dxa"/>
          </w:tcPr>
          <w:p w14:paraId="034E50F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ных</w:t>
            </w:r>
          </w:p>
          <w:p w14:paraId="6E85CB94" w14:textId="77777777" w:rsidR="004B4E35" w:rsidRPr="00405303" w:rsidRDefault="004B4E35" w:rsidP="00C15251">
            <w:pPr>
              <w:shd w:val="clear" w:color="auto" w:fill="FFFFFF"/>
              <w:jc w:val="both"/>
              <w:rPr>
                <w:bCs/>
                <w:color w:val="002060"/>
                <w:sz w:val="16"/>
                <w:szCs w:val="16"/>
              </w:rPr>
            </w:pPr>
          </w:p>
        </w:tc>
        <w:tc>
          <w:tcPr>
            <w:tcW w:w="1114" w:type="dxa"/>
          </w:tcPr>
          <w:p w14:paraId="1DDFEC86" w14:textId="77777777" w:rsidR="004B4E35" w:rsidRPr="00405303" w:rsidRDefault="004B4E35" w:rsidP="00C15251">
            <w:pPr>
              <w:shd w:val="clear" w:color="auto" w:fill="FFFFFF"/>
              <w:jc w:val="both"/>
              <w:rPr>
                <w:bCs/>
                <w:color w:val="002060"/>
                <w:sz w:val="16"/>
                <w:szCs w:val="16"/>
              </w:rPr>
            </w:pPr>
          </w:p>
          <w:p w14:paraId="32818F8C" w14:textId="77777777" w:rsidR="004B4E35" w:rsidRPr="00405303" w:rsidRDefault="004B4E35" w:rsidP="00C15251">
            <w:pPr>
              <w:shd w:val="clear" w:color="auto" w:fill="FFFFFF"/>
              <w:jc w:val="both"/>
              <w:rPr>
                <w:bCs/>
                <w:color w:val="002060"/>
                <w:sz w:val="16"/>
                <w:szCs w:val="16"/>
              </w:rPr>
            </w:pPr>
          </w:p>
        </w:tc>
      </w:tr>
      <w:tr w:rsidR="004B4E35" w:rsidRPr="00405303" w14:paraId="5A71502D" w14:textId="77777777">
        <w:trPr>
          <w:trHeight w:val="259"/>
        </w:trPr>
        <w:tc>
          <w:tcPr>
            <w:tcW w:w="3014" w:type="dxa"/>
          </w:tcPr>
          <w:p w14:paraId="77BDB7A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Корпуса 76-мм гранат</w:t>
            </w:r>
          </w:p>
          <w:p w14:paraId="443BAF34" w14:textId="77777777" w:rsidR="004B4E35" w:rsidRPr="00405303" w:rsidRDefault="004B4E35" w:rsidP="00C15251">
            <w:pPr>
              <w:shd w:val="clear" w:color="auto" w:fill="FFFFFF"/>
              <w:jc w:val="both"/>
              <w:rPr>
                <w:bCs/>
                <w:color w:val="002060"/>
                <w:sz w:val="16"/>
                <w:szCs w:val="16"/>
              </w:rPr>
            </w:pPr>
          </w:p>
        </w:tc>
        <w:tc>
          <w:tcPr>
            <w:tcW w:w="1277" w:type="dxa"/>
          </w:tcPr>
          <w:p w14:paraId="40BD2B7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13 683,334</w:t>
            </w:r>
          </w:p>
          <w:p w14:paraId="343867D1" w14:textId="77777777" w:rsidR="004B4E35" w:rsidRPr="00405303" w:rsidRDefault="004B4E35" w:rsidP="00C15251">
            <w:pPr>
              <w:shd w:val="clear" w:color="auto" w:fill="FFFFFF"/>
              <w:jc w:val="both"/>
              <w:rPr>
                <w:bCs/>
                <w:color w:val="002060"/>
                <w:sz w:val="16"/>
                <w:szCs w:val="16"/>
              </w:rPr>
            </w:pPr>
          </w:p>
        </w:tc>
        <w:tc>
          <w:tcPr>
            <w:tcW w:w="998" w:type="dxa"/>
          </w:tcPr>
          <w:p w14:paraId="72F387A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8 399,236</w:t>
            </w:r>
          </w:p>
          <w:p w14:paraId="03A70901" w14:textId="77777777" w:rsidR="004B4E35" w:rsidRPr="00405303" w:rsidRDefault="004B4E35" w:rsidP="00C15251">
            <w:pPr>
              <w:shd w:val="clear" w:color="auto" w:fill="FFFFFF"/>
              <w:jc w:val="both"/>
              <w:rPr>
                <w:bCs/>
                <w:color w:val="002060"/>
                <w:sz w:val="16"/>
                <w:szCs w:val="16"/>
              </w:rPr>
            </w:pPr>
          </w:p>
        </w:tc>
        <w:tc>
          <w:tcPr>
            <w:tcW w:w="1114" w:type="dxa"/>
          </w:tcPr>
          <w:p w14:paraId="3A1112D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2291,969</w:t>
            </w:r>
          </w:p>
          <w:p w14:paraId="3C0D0478" w14:textId="77777777" w:rsidR="004B4E35" w:rsidRPr="00405303" w:rsidRDefault="004B4E35" w:rsidP="00C15251">
            <w:pPr>
              <w:shd w:val="clear" w:color="auto" w:fill="FFFFFF"/>
              <w:jc w:val="both"/>
              <w:rPr>
                <w:bCs/>
                <w:color w:val="002060"/>
                <w:sz w:val="16"/>
                <w:szCs w:val="16"/>
              </w:rPr>
            </w:pPr>
          </w:p>
        </w:tc>
      </w:tr>
      <w:tr w:rsidR="004B4E35" w:rsidRPr="00405303" w14:paraId="2EF7B1E7" w14:textId="77777777">
        <w:trPr>
          <w:trHeight w:val="163"/>
        </w:trPr>
        <w:tc>
          <w:tcPr>
            <w:tcW w:w="3014" w:type="dxa"/>
          </w:tcPr>
          <w:p w14:paraId="481DAD5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Корпуса 122-мм бомб</w:t>
            </w:r>
          </w:p>
          <w:p w14:paraId="35906230" w14:textId="77777777" w:rsidR="004B4E35" w:rsidRPr="00405303" w:rsidRDefault="004B4E35" w:rsidP="00C15251">
            <w:pPr>
              <w:shd w:val="clear" w:color="auto" w:fill="FFFFFF"/>
              <w:jc w:val="both"/>
              <w:rPr>
                <w:bCs/>
                <w:color w:val="002060"/>
                <w:sz w:val="16"/>
                <w:szCs w:val="16"/>
              </w:rPr>
            </w:pPr>
          </w:p>
        </w:tc>
        <w:tc>
          <w:tcPr>
            <w:tcW w:w="1277" w:type="dxa"/>
          </w:tcPr>
          <w:p w14:paraId="7F13950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104,956</w:t>
            </w:r>
          </w:p>
          <w:p w14:paraId="2D48A288" w14:textId="77777777" w:rsidR="004B4E35" w:rsidRPr="00405303" w:rsidRDefault="004B4E35" w:rsidP="00C15251">
            <w:pPr>
              <w:shd w:val="clear" w:color="auto" w:fill="FFFFFF"/>
              <w:jc w:val="both"/>
              <w:rPr>
                <w:bCs/>
                <w:color w:val="002060"/>
                <w:sz w:val="16"/>
                <w:szCs w:val="16"/>
              </w:rPr>
            </w:pPr>
          </w:p>
        </w:tc>
        <w:tc>
          <w:tcPr>
            <w:tcW w:w="998" w:type="dxa"/>
          </w:tcPr>
          <w:p w14:paraId="568FFA6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6C86D1DB" w14:textId="77777777" w:rsidR="004B4E35" w:rsidRPr="00405303" w:rsidRDefault="004B4E35" w:rsidP="00C15251">
            <w:pPr>
              <w:shd w:val="clear" w:color="auto" w:fill="FFFFFF"/>
              <w:jc w:val="both"/>
              <w:rPr>
                <w:bCs/>
                <w:color w:val="002060"/>
                <w:sz w:val="16"/>
                <w:szCs w:val="16"/>
              </w:rPr>
            </w:pPr>
          </w:p>
        </w:tc>
        <w:tc>
          <w:tcPr>
            <w:tcW w:w="1114" w:type="dxa"/>
          </w:tcPr>
          <w:p w14:paraId="0B2DA97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71CBB550" w14:textId="77777777" w:rsidR="004B4E35" w:rsidRPr="00405303" w:rsidRDefault="004B4E35" w:rsidP="00C15251">
            <w:pPr>
              <w:shd w:val="clear" w:color="auto" w:fill="FFFFFF"/>
              <w:jc w:val="both"/>
              <w:rPr>
                <w:bCs/>
                <w:color w:val="002060"/>
                <w:sz w:val="16"/>
                <w:szCs w:val="16"/>
              </w:rPr>
            </w:pPr>
          </w:p>
        </w:tc>
      </w:tr>
      <w:tr w:rsidR="004B4E35" w:rsidRPr="00405303" w14:paraId="44331D57" w14:textId="77777777">
        <w:trPr>
          <w:trHeight w:val="182"/>
        </w:trPr>
        <w:tc>
          <w:tcPr>
            <w:tcW w:w="3014" w:type="dxa"/>
          </w:tcPr>
          <w:p w14:paraId="6F70BDD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Корпуса 152-мм бомб</w:t>
            </w:r>
          </w:p>
          <w:p w14:paraId="5330A40C" w14:textId="77777777" w:rsidR="004B4E35" w:rsidRPr="00405303" w:rsidRDefault="004B4E35" w:rsidP="00C15251">
            <w:pPr>
              <w:shd w:val="clear" w:color="auto" w:fill="FFFFFF"/>
              <w:jc w:val="both"/>
              <w:rPr>
                <w:bCs/>
                <w:color w:val="002060"/>
                <w:sz w:val="16"/>
                <w:szCs w:val="16"/>
              </w:rPr>
            </w:pPr>
          </w:p>
        </w:tc>
        <w:tc>
          <w:tcPr>
            <w:tcW w:w="1277" w:type="dxa"/>
          </w:tcPr>
          <w:p w14:paraId="0C12356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488,487</w:t>
            </w:r>
          </w:p>
          <w:p w14:paraId="3197907A" w14:textId="77777777" w:rsidR="004B4E35" w:rsidRPr="00405303" w:rsidRDefault="004B4E35" w:rsidP="00C15251">
            <w:pPr>
              <w:shd w:val="clear" w:color="auto" w:fill="FFFFFF"/>
              <w:jc w:val="both"/>
              <w:rPr>
                <w:bCs/>
                <w:color w:val="002060"/>
                <w:sz w:val="16"/>
                <w:szCs w:val="16"/>
              </w:rPr>
            </w:pPr>
          </w:p>
        </w:tc>
        <w:tc>
          <w:tcPr>
            <w:tcW w:w="998" w:type="dxa"/>
          </w:tcPr>
          <w:p w14:paraId="1E8E6CE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225,911</w:t>
            </w:r>
          </w:p>
          <w:p w14:paraId="58F5299E" w14:textId="77777777" w:rsidR="004B4E35" w:rsidRPr="00405303" w:rsidRDefault="004B4E35" w:rsidP="00C15251">
            <w:pPr>
              <w:shd w:val="clear" w:color="auto" w:fill="FFFFFF"/>
              <w:jc w:val="both"/>
              <w:rPr>
                <w:bCs/>
                <w:color w:val="002060"/>
                <w:sz w:val="16"/>
                <w:szCs w:val="16"/>
              </w:rPr>
            </w:pPr>
          </w:p>
        </w:tc>
        <w:tc>
          <w:tcPr>
            <w:tcW w:w="1114" w:type="dxa"/>
          </w:tcPr>
          <w:p w14:paraId="504A7FB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134,692</w:t>
            </w:r>
          </w:p>
          <w:p w14:paraId="55129035" w14:textId="77777777" w:rsidR="004B4E35" w:rsidRPr="00405303" w:rsidRDefault="004B4E35" w:rsidP="00C15251">
            <w:pPr>
              <w:shd w:val="clear" w:color="auto" w:fill="FFFFFF"/>
              <w:jc w:val="both"/>
              <w:rPr>
                <w:bCs/>
                <w:color w:val="002060"/>
                <w:sz w:val="16"/>
                <w:szCs w:val="16"/>
              </w:rPr>
            </w:pPr>
          </w:p>
        </w:tc>
      </w:tr>
      <w:tr w:rsidR="004B4E35" w:rsidRPr="00405303" w14:paraId="3FD8E834" w14:textId="77777777">
        <w:trPr>
          <w:trHeight w:val="173"/>
        </w:trPr>
        <w:tc>
          <w:tcPr>
            <w:tcW w:w="3014" w:type="dxa"/>
          </w:tcPr>
          <w:p w14:paraId="77F9758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Запальные стаканы 76-мм</w:t>
            </w:r>
          </w:p>
          <w:p w14:paraId="381DF370" w14:textId="77777777" w:rsidR="004B4E35" w:rsidRPr="00405303" w:rsidRDefault="004B4E35" w:rsidP="00C15251">
            <w:pPr>
              <w:shd w:val="clear" w:color="auto" w:fill="FFFFFF"/>
              <w:jc w:val="both"/>
              <w:rPr>
                <w:bCs/>
                <w:color w:val="002060"/>
                <w:sz w:val="16"/>
                <w:szCs w:val="16"/>
              </w:rPr>
            </w:pPr>
          </w:p>
        </w:tc>
        <w:tc>
          <w:tcPr>
            <w:tcW w:w="1277" w:type="dxa"/>
          </w:tcPr>
          <w:p w14:paraId="7010E93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12 250,863</w:t>
            </w:r>
          </w:p>
          <w:p w14:paraId="53D0323B" w14:textId="77777777" w:rsidR="004B4E35" w:rsidRPr="00405303" w:rsidRDefault="004B4E35" w:rsidP="00C15251">
            <w:pPr>
              <w:shd w:val="clear" w:color="auto" w:fill="FFFFFF"/>
              <w:jc w:val="both"/>
              <w:rPr>
                <w:bCs/>
                <w:color w:val="002060"/>
                <w:sz w:val="16"/>
                <w:szCs w:val="16"/>
              </w:rPr>
            </w:pPr>
          </w:p>
        </w:tc>
        <w:tc>
          <w:tcPr>
            <w:tcW w:w="998" w:type="dxa"/>
          </w:tcPr>
          <w:p w14:paraId="7523EB7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7E0CC22A" w14:textId="77777777" w:rsidR="004B4E35" w:rsidRPr="00405303" w:rsidRDefault="004B4E35" w:rsidP="00C15251">
            <w:pPr>
              <w:shd w:val="clear" w:color="auto" w:fill="FFFFFF"/>
              <w:jc w:val="both"/>
              <w:rPr>
                <w:bCs/>
                <w:color w:val="002060"/>
                <w:sz w:val="16"/>
                <w:szCs w:val="16"/>
              </w:rPr>
            </w:pPr>
          </w:p>
        </w:tc>
        <w:tc>
          <w:tcPr>
            <w:tcW w:w="1114" w:type="dxa"/>
          </w:tcPr>
          <w:p w14:paraId="4A81BD5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6E4A9F94" w14:textId="77777777" w:rsidR="004B4E35" w:rsidRPr="00405303" w:rsidRDefault="004B4E35" w:rsidP="00C15251">
            <w:pPr>
              <w:shd w:val="clear" w:color="auto" w:fill="FFFFFF"/>
              <w:jc w:val="both"/>
              <w:rPr>
                <w:bCs/>
                <w:color w:val="002060"/>
                <w:sz w:val="16"/>
                <w:szCs w:val="16"/>
              </w:rPr>
            </w:pPr>
          </w:p>
        </w:tc>
      </w:tr>
      <w:tr w:rsidR="004B4E35" w:rsidRPr="00405303" w14:paraId="3A361634" w14:textId="77777777">
        <w:trPr>
          <w:trHeight w:val="154"/>
        </w:trPr>
        <w:tc>
          <w:tcPr>
            <w:tcW w:w="3014" w:type="dxa"/>
          </w:tcPr>
          <w:p w14:paraId="7F50DB0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Запальные стаканы 152-мм</w:t>
            </w:r>
          </w:p>
          <w:p w14:paraId="5BF03220" w14:textId="77777777" w:rsidR="004B4E35" w:rsidRPr="00405303" w:rsidRDefault="004B4E35" w:rsidP="00C15251">
            <w:pPr>
              <w:shd w:val="clear" w:color="auto" w:fill="FFFFFF"/>
              <w:jc w:val="both"/>
              <w:rPr>
                <w:bCs/>
                <w:color w:val="002060"/>
                <w:sz w:val="16"/>
                <w:szCs w:val="16"/>
              </w:rPr>
            </w:pPr>
          </w:p>
        </w:tc>
        <w:tc>
          <w:tcPr>
            <w:tcW w:w="1277" w:type="dxa"/>
          </w:tcPr>
          <w:p w14:paraId="28BFDCA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730,294</w:t>
            </w:r>
          </w:p>
          <w:p w14:paraId="6380C324" w14:textId="77777777" w:rsidR="004B4E35" w:rsidRPr="00405303" w:rsidRDefault="004B4E35" w:rsidP="00C15251">
            <w:pPr>
              <w:shd w:val="clear" w:color="auto" w:fill="FFFFFF"/>
              <w:jc w:val="both"/>
              <w:rPr>
                <w:bCs/>
                <w:color w:val="002060"/>
                <w:sz w:val="16"/>
                <w:szCs w:val="16"/>
              </w:rPr>
            </w:pPr>
          </w:p>
        </w:tc>
        <w:tc>
          <w:tcPr>
            <w:tcW w:w="998" w:type="dxa"/>
          </w:tcPr>
          <w:p w14:paraId="5DCB191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538D649C" w14:textId="77777777" w:rsidR="004B4E35" w:rsidRPr="00405303" w:rsidRDefault="004B4E35" w:rsidP="00C15251">
            <w:pPr>
              <w:shd w:val="clear" w:color="auto" w:fill="FFFFFF"/>
              <w:jc w:val="both"/>
              <w:rPr>
                <w:bCs/>
                <w:color w:val="002060"/>
                <w:sz w:val="16"/>
                <w:szCs w:val="16"/>
              </w:rPr>
            </w:pPr>
          </w:p>
        </w:tc>
        <w:tc>
          <w:tcPr>
            <w:tcW w:w="1114" w:type="dxa"/>
          </w:tcPr>
          <w:p w14:paraId="7259A0C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737A69B4" w14:textId="77777777" w:rsidR="004B4E35" w:rsidRPr="00405303" w:rsidRDefault="004B4E35" w:rsidP="00C15251">
            <w:pPr>
              <w:shd w:val="clear" w:color="auto" w:fill="FFFFFF"/>
              <w:jc w:val="both"/>
              <w:rPr>
                <w:bCs/>
                <w:color w:val="002060"/>
                <w:sz w:val="16"/>
                <w:szCs w:val="16"/>
              </w:rPr>
            </w:pPr>
          </w:p>
        </w:tc>
      </w:tr>
      <w:tr w:rsidR="004B4E35" w:rsidRPr="00405303" w14:paraId="3F70F572" w14:textId="77777777">
        <w:trPr>
          <w:trHeight w:val="173"/>
        </w:trPr>
        <w:tc>
          <w:tcPr>
            <w:tcW w:w="3014" w:type="dxa"/>
          </w:tcPr>
          <w:p w14:paraId="47FE8D7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Запальные стаканы к ОВ</w:t>
            </w:r>
          </w:p>
          <w:p w14:paraId="0B855656" w14:textId="77777777" w:rsidR="004B4E35" w:rsidRPr="00405303" w:rsidRDefault="004B4E35" w:rsidP="00C15251">
            <w:pPr>
              <w:shd w:val="clear" w:color="auto" w:fill="FFFFFF"/>
              <w:jc w:val="both"/>
              <w:rPr>
                <w:bCs/>
                <w:color w:val="002060"/>
                <w:sz w:val="16"/>
                <w:szCs w:val="16"/>
              </w:rPr>
            </w:pPr>
          </w:p>
        </w:tc>
        <w:tc>
          <w:tcPr>
            <w:tcW w:w="1277" w:type="dxa"/>
          </w:tcPr>
          <w:p w14:paraId="154DE7C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646,572</w:t>
            </w:r>
          </w:p>
          <w:p w14:paraId="68C087AA" w14:textId="77777777" w:rsidR="004B4E35" w:rsidRPr="00405303" w:rsidRDefault="004B4E35" w:rsidP="00C15251">
            <w:pPr>
              <w:shd w:val="clear" w:color="auto" w:fill="FFFFFF"/>
              <w:jc w:val="both"/>
              <w:rPr>
                <w:bCs/>
                <w:color w:val="002060"/>
                <w:sz w:val="16"/>
                <w:szCs w:val="16"/>
              </w:rPr>
            </w:pPr>
          </w:p>
        </w:tc>
        <w:tc>
          <w:tcPr>
            <w:tcW w:w="998" w:type="dxa"/>
          </w:tcPr>
          <w:p w14:paraId="3D21799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4841B6B2" w14:textId="77777777" w:rsidR="004B4E35" w:rsidRPr="00405303" w:rsidRDefault="004B4E35" w:rsidP="00C15251">
            <w:pPr>
              <w:shd w:val="clear" w:color="auto" w:fill="FFFFFF"/>
              <w:jc w:val="both"/>
              <w:rPr>
                <w:bCs/>
                <w:color w:val="002060"/>
                <w:sz w:val="16"/>
                <w:szCs w:val="16"/>
              </w:rPr>
            </w:pPr>
          </w:p>
        </w:tc>
        <w:tc>
          <w:tcPr>
            <w:tcW w:w="1114" w:type="dxa"/>
          </w:tcPr>
          <w:p w14:paraId="1C0AB0A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61276595" w14:textId="77777777" w:rsidR="004B4E35" w:rsidRPr="00405303" w:rsidRDefault="004B4E35" w:rsidP="00C15251">
            <w:pPr>
              <w:shd w:val="clear" w:color="auto" w:fill="FFFFFF"/>
              <w:jc w:val="both"/>
              <w:rPr>
                <w:bCs/>
                <w:color w:val="002060"/>
                <w:sz w:val="16"/>
                <w:szCs w:val="16"/>
              </w:rPr>
            </w:pPr>
          </w:p>
        </w:tc>
      </w:tr>
      <w:tr w:rsidR="004B4E35" w:rsidRPr="00405303" w14:paraId="33EED28C" w14:textId="77777777">
        <w:trPr>
          <w:trHeight w:val="173"/>
        </w:trPr>
        <w:tc>
          <w:tcPr>
            <w:tcW w:w="3014" w:type="dxa"/>
          </w:tcPr>
          <w:p w14:paraId="6B84FAF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Детонаторные трубки снаряженные</w:t>
            </w:r>
          </w:p>
          <w:p w14:paraId="679CCCCA" w14:textId="77777777" w:rsidR="004B4E35" w:rsidRPr="00405303" w:rsidRDefault="004B4E35" w:rsidP="00C15251">
            <w:pPr>
              <w:shd w:val="clear" w:color="auto" w:fill="FFFFFF"/>
              <w:jc w:val="both"/>
              <w:rPr>
                <w:bCs/>
                <w:color w:val="002060"/>
                <w:sz w:val="16"/>
                <w:szCs w:val="16"/>
              </w:rPr>
            </w:pPr>
          </w:p>
        </w:tc>
        <w:tc>
          <w:tcPr>
            <w:tcW w:w="1277" w:type="dxa"/>
          </w:tcPr>
          <w:p w14:paraId="0569535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3 521,260</w:t>
            </w:r>
          </w:p>
          <w:p w14:paraId="34AF61BD" w14:textId="77777777" w:rsidR="004B4E35" w:rsidRPr="00405303" w:rsidRDefault="004B4E35" w:rsidP="00C15251">
            <w:pPr>
              <w:shd w:val="clear" w:color="auto" w:fill="FFFFFF"/>
              <w:jc w:val="both"/>
              <w:rPr>
                <w:bCs/>
                <w:color w:val="002060"/>
                <w:sz w:val="16"/>
                <w:szCs w:val="16"/>
              </w:rPr>
            </w:pPr>
          </w:p>
        </w:tc>
        <w:tc>
          <w:tcPr>
            <w:tcW w:w="998" w:type="dxa"/>
          </w:tcPr>
          <w:p w14:paraId="4745526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4977CD01" w14:textId="77777777" w:rsidR="004B4E35" w:rsidRPr="00405303" w:rsidRDefault="004B4E35" w:rsidP="00C15251">
            <w:pPr>
              <w:shd w:val="clear" w:color="auto" w:fill="FFFFFF"/>
              <w:jc w:val="both"/>
              <w:rPr>
                <w:bCs/>
                <w:color w:val="002060"/>
                <w:sz w:val="16"/>
                <w:szCs w:val="16"/>
              </w:rPr>
            </w:pPr>
          </w:p>
        </w:tc>
        <w:tc>
          <w:tcPr>
            <w:tcW w:w="1114" w:type="dxa"/>
          </w:tcPr>
          <w:p w14:paraId="14007C0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71A3CCA5" w14:textId="77777777" w:rsidR="004B4E35" w:rsidRPr="00405303" w:rsidRDefault="004B4E35" w:rsidP="00C15251">
            <w:pPr>
              <w:shd w:val="clear" w:color="auto" w:fill="FFFFFF"/>
              <w:jc w:val="both"/>
              <w:rPr>
                <w:bCs/>
                <w:color w:val="002060"/>
                <w:sz w:val="16"/>
                <w:szCs w:val="16"/>
              </w:rPr>
            </w:pPr>
          </w:p>
        </w:tc>
      </w:tr>
      <w:tr w:rsidR="004B4E35" w:rsidRPr="00405303" w14:paraId="47CB9AC4" w14:textId="77777777">
        <w:trPr>
          <w:trHeight w:val="365"/>
        </w:trPr>
        <w:tc>
          <w:tcPr>
            <w:tcW w:w="3014" w:type="dxa"/>
          </w:tcPr>
          <w:p w14:paraId="6C10216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Детонаторные трубки неснаряженные</w:t>
            </w:r>
          </w:p>
          <w:p w14:paraId="41DE060B" w14:textId="77777777" w:rsidR="004B4E35" w:rsidRPr="00405303" w:rsidRDefault="004B4E35" w:rsidP="00C15251">
            <w:pPr>
              <w:shd w:val="clear" w:color="auto" w:fill="FFFFFF"/>
              <w:jc w:val="both"/>
              <w:rPr>
                <w:bCs/>
                <w:color w:val="002060"/>
                <w:sz w:val="16"/>
                <w:szCs w:val="16"/>
              </w:rPr>
            </w:pPr>
          </w:p>
        </w:tc>
        <w:tc>
          <w:tcPr>
            <w:tcW w:w="1277" w:type="dxa"/>
          </w:tcPr>
          <w:p w14:paraId="7D9AB2A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4 906,975</w:t>
            </w:r>
          </w:p>
          <w:p w14:paraId="32C3B423" w14:textId="77777777" w:rsidR="004B4E35" w:rsidRPr="00405303" w:rsidRDefault="004B4E35" w:rsidP="00C15251">
            <w:pPr>
              <w:shd w:val="clear" w:color="auto" w:fill="FFFFFF"/>
              <w:jc w:val="both"/>
              <w:rPr>
                <w:bCs/>
                <w:color w:val="002060"/>
                <w:sz w:val="16"/>
                <w:szCs w:val="16"/>
              </w:rPr>
            </w:pPr>
          </w:p>
        </w:tc>
        <w:tc>
          <w:tcPr>
            <w:tcW w:w="998" w:type="dxa"/>
          </w:tcPr>
          <w:p w14:paraId="18E2810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447D9D80" w14:textId="77777777" w:rsidR="004B4E35" w:rsidRPr="00405303" w:rsidRDefault="004B4E35" w:rsidP="00C15251">
            <w:pPr>
              <w:shd w:val="clear" w:color="auto" w:fill="FFFFFF"/>
              <w:jc w:val="both"/>
              <w:rPr>
                <w:bCs/>
                <w:color w:val="002060"/>
                <w:sz w:val="16"/>
                <w:szCs w:val="16"/>
              </w:rPr>
            </w:pPr>
          </w:p>
        </w:tc>
        <w:tc>
          <w:tcPr>
            <w:tcW w:w="1114" w:type="dxa"/>
          </w:tcPr>
          <w:p w14:paraId="220FFFC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5AD5668A" w14:textId="77777777" w:rsidR="004B4E35" w:rsidRPr="00405303" w:rsidRDefault="004B4E35" w:rsidP="00C15251">
            <w:pPr>
              <w:shd w:val="clear" w:color="auto" w:fill="FFFFFF"/>
              <w:jc w:val="both"/>
              <w:rPr>
                <w:bCs/>
                <w:color w:val="002060"/>
                <w:sz w:val="16"/>
                <w:szCs w:val="16"/>
              </w:rPr>
            </w:pPr>
          </w:p>
        </w:tc>
      </w:tr>
    </w:tbl>
    <w:p w14:paraId="68FD3AD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Важной заслугой организации С. Н. Ванкова явилось создание производства корпусов 152-мм и 122-мм снарядов из сталистого чугуна [4, с. 310; 9]. Организация разработала и внедрила на 14 заво</w:t>
      </w:r>
      <w:r w:rsidRPr="00405303">
        <w:rPr>
          <w:bCs/>
          <w:color w:val="002060"/>
          <w:sz w:val="16"/>
          <w:szCs w:val="16"/>
        </w:rPr>
        <w:softHyphen/>
        <w:t>дах, главным образом южных, новые методы приемки снарядов из сталистого чугуна, отличные от французских.</w:t>
      </w:r>
    </w:p>
    <w:p w14:paraId="55C79B6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Главным в работе организации С. Н. Ванкова, впоследствии вид</w:t>
      </w:r>
      <w:r w:rsidRPr="00405303">
        <w:rPr>
          <w:bCs/>
          <w:color w:val="002060"/>
          <w:sz w:val="16"/>
          <w:szCs w:val="16"/>
        </w:rPr>
        <w:softHyphen/>
        <w:t>ного ученого, профессора, начальника Отдела металлов ВСНХ РСФСР, было то, что при всех сложностях военного времени удалось без всякой предварительной подготовки в короткие сроки организо</w:t>
      </w:r>
      <w:r w:rsidRPr="00405303">
        <w:rPr>
          <w:bCs/>
          <w:color w:val="002060"/>
          <w:sz w:val="16"/>
          <w:szCs w:val="16"/>
        </w:rPr>
        <w:softHyphen/>
        <w:t>вать согласованную и целенаправленную работу многих сотен пред</w:t>
      </w:r>
      <w:r w:rsidRPr="00405303">
        <w:rPr>
          <w:bCs/>
          <w:color w:val="002060"/>
          <w:sz w:val="16"/>
          <w:szCs w:val="16"/>
        </w:rPr>
        <w:softHyphen/>
        <w:t>приятий. Дело было начато в феврале 1915 г. В апреле организации С. Н. Ванкова были даны первые заказы. Производство корпусов на</w:t>
      </w:r>
      <w:r w:rsidRPr="00405303">
        <w:rPr>
          <w:bCs/>
          <w:color w:val="002060"/>
          <w:sz w:val="16"/>
          <w:szCs w:val="16"/>
        </w:rPr>
        <w:softHyphen/>
        <w:t>чали через 9 месяцев — в октябре 1915г. Снаряжение началось в ян-</w:t>
      </w:r>
    </w:p>
    <w:p w14:paraId="65A0BE7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1.10. Итоги работы русских заводов по изготовлению снарядов во время первой мировой войны [5, с. 198|</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98"/>
        <w:gridCol w:w="720"/>
        <w:gridCol w:w="960"/>
        <w:gridCol w:w="1066"/>
        <w:gridCol w:w="1018"/>
        <w:gridCol w:w="1142"/>
      </w:tblGrid>
      <w:tr w:rsidR="004B4E35" w:rsidRPr="00405303" w14:paraId="1CF02D97" w14:textId="77777777">
        <w:trPr>
          <w:trHeight w:val="355"/>
        </w:trPr>
        <w:tc>
          <w:tcPr>
            <w:tcW w:w="1498" w:type="dxa"/>
          </w:tcPr>
          <w:p w14:paraId="62B6C59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Название снарядов</w:t>
            </w:r>
          </w:p>
          <w:p w14:paraId="18C7628A" w14:textId="77777777" w:rsidR="004B4E35" w:rsidRPr="00405303" w:rsidRDefault="004B4E35" w:rsidP="00C15251">
            <w:pPr>
              <w:shd w:val="clear" w:color="auto" w:fill="FFFFFF"/>
              <w:jc w:val="both"/>
              <w:rPr>
                <w:bCs/>
                <w:color w:val="002060"/>
                <w:sz w:val="16"/>
                <w:szCs w:val="16"/>
              </w:rPr>
            </w:pPr>
          </w:p>
        </w:tc>
        <w:tc>
          <w:tcPr>
            <w:tcW w:w="720" w:type="dxa"/>
          </w:tcPr>
          <w:p w14:paraId="341C077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1914</w:t>
            </w:r>
          </w:p>
          <w:p w14:paraId="32568CE9" w14:textId="77777777" w:rsidR="004B4E35" w:rsidRPr="00405303" w:rsidRDefault="004B4E35" w:rsidP="00C15251">
            <w:pPr>
              <w:shd w:val="clear" w:color="auto" w:fill="FFFFFF"/>
              <w:jc w:val="both"/>
              <w:rPr>
                <w:bCs/>
                <w:color w:val="002060"/>
                <w:sz w:val="16"/>
                <w:szCs w:val="16"/>
              </w:rPr>
            </w:pPr>
          </w:p>
        </w:tc>
        <w:tc>
          <w:tcPr>
            <w:tcW w:w="960" w:type="dxa"/>
          </w:tcPr>
          <w:p w14:paraId="3D68A11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1915</w:t>
            </w:r>
          </w:p>
          <w:p w14:paraId="71F885AE" w14:textId="77777777" w:rsidR="004B4E35" w:rsidRPr="00405303" w:rsidRDefault="004B4E35" w:rsidP="00C15251">
            <w:pPr>
              <w:shd w:val="clear" w:color="auto" w:fill="FFFFFF"/>
              <w:jc w:val="both"/>
              <w:rPr>
                <w:bCs/>
                <w:color w:val="002060"/>
                <w:sz w:val="16"/>
                <w:szCs w:val="16"/>
              </w:rPr>
            </w:pPr>
          </w:p>
        </w:tc>
        <w:tc>
          <w:tcPr>
            <w:tcW w:w="1066" w:type="dxa"/>
          </w:tcPr>
          <w:p w14:paraId="662D695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1916</w:t>
            </w:r>
          </w:p>
          <w:p w14:paraId="772FBFB7" w14:textId="77777777" w:rsidR="004B4E35" w:rsidRPr="00405303" w:rsidRDefault="004B4E35" w:rsidP="00C15251">
            <w:pPr>
              <w:shd w:val="clear" w:color="auto" w:fill="FFFFFF"/>
              <w:jc w:val="both"/>
              <w:rPr>
                <w:bCs/>
                <w:color w:val="002060"/>
                <w:sz w:val="16"/>
                <w:szCs w:val="16"/>
              </w:rPr>
            </w:pPr>
          </w:p>
        </w:tc>
        <w:tc>
          <w:tcPr>
            <w:tcW w:w="1018" w:type="dxa"/>
          </w:tcPr>
          <w:p w14:paraId="7DDAD2C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1917</w:t>
            </w:r>
          </w:p>
          <w:p w14:paraId="4ED418F1" w14:textId="77777777" w:rsidR="004B4E35" w:rsidRPr="00405303" w:rsidRDefault="004B4E35" w:rsidP="00C15251">
            <w:pPr>
              <w:shd w:val="clear" w:color="auto" w:fill="FFFFFF"/>
              <w:jc w:val="both"/>
              <w:rPr>
                <w:bCs/>
                <w:color w:val="002060"/>
                <w:sz w:val="16"/>
                <w:szCs w:val="16"/>
              </w:rPr>
            </w:pPr>
          </w:p>
        </w:tc>
        <w:tc>
          <w:tcPr>
            <w:tcW w:w="1142" w:type="dxa"/>
          </w:tcPr>
          <w:p w14:paraId="39CDC5D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Всего</w:t>
            </w:r>
          </w:p>
          <w:p w14:paraId="262CBA34" w14:textId="77777777" w:rsidR="004B4E35" w:rsidRPr="00405303" w:rsidRDefault="004B4E35" w:rsidP="00C15251">
            <w:pPr>
              <w:shd w:val="clear" w:color="auto" w:fill="FFFFFF"/>
              <w:jc w:val="both"/>
              <w:rPr>
                <w:bCs/>
                <w:color w:val="002060"/>
                <w:sz w:val="16"/>
                <w:szCs w:val="16"/>
              </w:rPr>
            </w:pPr>
          </w:p>
        </w:tc>
      </w:tr>
      <w:tr w:rsidR="004B4E35" w:rsidRPr="00405303" w14:paraId="337DBDBA" w14:textId="77777777">
        <w:trPr>
          <w:trHeight w:val="605"/>
        </w:trPr>
        <w:tc>
          <w:tcPr>
            <w:tcW w:w="1498" w:type="dxa"/>
          </w:tcPr>
          <w:p w14:paraId="4511C56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76-мм шрапнели 76-мм </w:t>
            </w:r>
            <w:proofErr w:type="gramStart"/>
            <w:r w:rsidRPr="00405303">
              <w:rPr>
                <w:bCs/>
                <w:color w:val="002060"/>
                <w:sz w:val="16"/>
                <w:szCs w:val="16"/>
              </w:rPr>
              <w:t>гранаты</w:t>
            </w:r>
            <w:proofErr w:type="gramEnd"/>
            <w:r w:rsidRPr="00405303">
              <w:rPr>
                <w:bCs/>
                <w:color w:val="002060"/>
                <w:sz w:val="16"/>
                <w:szCs w:val="16"/>
              </w:rPr>
              <w:t xml:space="preserve"> Всего 76-мм</w:t>
            </w:r>
          </w:p>
          <w:p w14:paraId="55CE1E09" w14:textId="77777777" w:rsidR="004B4E35" w:rsidRPr="00405303" w:rsidRDefault="004B4E35" w:rsidP="00C15251">
            <w:pPr>
              <w:shd w:val="clear" w:color="auto" w:fill="FFFFFF"/>
              <w:jc w:val="both"/>
              <w:rPr>
                <w:bCs/>
                <w:color w:val="002060"/>
                <w:sz w:val="16"/>
                <w:szCs w:val="16"/>
              </w:rPr>
            </w:pPr>
          </w:p>
        </w:tc>
        <w:tc>
          <w:tcPr>
            <w:tcW w:w="720" w:type="dxa"/>
          </w:tcPr>
          <w:p w14:paraId="5F632C8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78 800 78800</w:t>
            </w:r>
          </w:p>
          <w:p w14:paraId="7AAF9758" w14:textId="77777777" w:rsidR="004B4E35" w:rsidRPr="00405303" w:rsidRDefault="004B4E35" w:rsidP="00C15251">
            <w:pPr>
              <w:shd w:val="clear" w:color="auto" w:fill="FFFFFF"/>
              <w:jc w:val="both"/>
              <w:rPr>
                <w:bCs/>
                <w:color w:val="002060"/>
                <w:sz w:val="16"/>
                <w:szCs w:val="16"/>
              </w:rPr>
            </w:pPr>
          </w:p>
        </w:tc>
        <w:tc>
          <w:tcPr>
            <w:tcW w:w="960" w:type="dxa"/>
          </w:tcPr>
          <w:p w14:paraId="3D4E118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6 807 300 2018500 8 825 800</w:t>
            </w:r>
          </w:p>
          <w:p w14:paraId="7703BDA9" w14:textId="77777777" w:rsidR="004B4E35" w:rsidRPr="00405303" w:rsidRDefault="004B4E35" w:rsidP="00C15251">
            <w:pPr>
              <w:shd w:val="clear" w:color="auto" w:fill="FFFFFF"/>
              <w:jc w:val="both"/>
              <w:rPr>
                <w:bCs/>
                <w:color w:val="002060"/>
                <w:sz w:val="16"/>
                <w:szCs w:val="16"/>
              </w:rPr>
            </w:pPr>
          </w:p>
        </w:tc>
        <w:tc>
          <w:tcPr>
            <w:tcW w:w="1066" w:type="dxa"/>
          </w:tcPr>
          <w:p w14:paraId="658FF72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1 1 377 200 15521 800 26 899 000</w:t>
            </w:r>
          </w:p>
          <w:p w14:paraId="5F0874D8" w14:textId="77777777" w:rsidR="004B4E35" w:rsidRPr="00405303" w:rsidRDefault="004B4E35" w:rsidP="00C15251">
            <w:pPr>
              <w:shd w:val="clear" w:color="auto" w:fill="FFFFFF"/>
              <w:jc w:val="both"/>
              <w:rPr>
                <w:bCs/>
                <w:color w:val="002060"/>
                <w:sz w:val="16"/>
                <w:szCs w:val="16"/>
              </w:rPr>
            </w:pPr>
          </w:p>
        </w:tc>
        <w:tc>
          <w:tcPr>
            <w:tcW w:w="1018" w:type="dxa"/>
          </w:tcPr>
          <w:p w14:paraId="627763B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7 217 500 10 504 300 17 721 800</w:t>
            </w:r>
          </w:p>
          <w:p w14:paraId="1939A792" w14:textId="77777777" w:rsidR="004B4E35" w:rsidRPr="00405303" w:rsidRDefault="004B4E35" w:rsidP="00C15251">
            <w:pPr>
              <w:shd w:val="clear" w:color="auto" w:fill="FFFFFF"/>
              <w:jc w:val="both"/>
              <w:rPr>
                <w:bCs/>
                <w:color w:val="002060"/>
                <w:sz w:val="16"/>
                <w:szCs w:val="16"/>
              </w:rPr>
            </w:pPr>
          </w:p>
        </w:tc>
        <w:tc>
          <w:tcPr>
            <w:tcW w:w="1142" w:type="dxa"/>
          </w:tcPr>
          <w:p w14:paraId="53DE4D1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25 480 800 28 044 600 53 525 400</w:t>
            </w:r>
          </w:p>
          <w:p w14:paraId="123FC538" w14:textId="77777777" w:rsidR="004B4E35" w:rsidRPr="00405303" w:rsidRDefault="004B4E35" w:rsidP="00C15251">
            <w:pPr>
              <w:shd w:val="clear" w:color="auto" w:fill="FFFFFF"/>
              <w:jc w:val="both"/>
              <w:rPr>
                <w:bCs/>
                <w:color w:val="002060"/>
                <w:sz w:val="16"/>
                <w:szCs w:val="16"/>
              </w:rPr>
            </w:pPr>
          </w:p>
        </w:tc>
      </w:tr>
      <w:tr w:rsidR="004B4E35" w:rsidRPr="00405303" w14:paraId="74F3F1EF" w14:textId="77777777">
        <w:trPr>
          <w:trHeight w:val="355"/>
        </w:trPr>
        <w:tc>
          <w:tcPr>
            <w:tcW w:w="1498" w:type="dxa"/>
          </w:tcPr>
          <w:p w14:paraId="79E44DE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снарядов 122-мм гранаты и</w:t>
            </w:r>
          </w:p>
          <w:p w14:paraId="468C8B40" w14:textId="77777777" w:rsidR="004B4E35" w:rsidRPr="00405303" w:rsidRDefault="004B4E35" w:rsidP="00C15251">
            <w:pPr>
              <w:shd w:val="clear" w:color="auto" w:fill="FFFFFF"/>
              <w:jc w:val="both"/>
              <w:rPr>
                <w:bCs/>
                <w:color w:val="002060"/>
                <w:sz w:val="16"/>
                <w:szCs w:val="16"/>
              </w:rPr>
            </w:pPr>
          </w:p>
        </w:tc>
        <w:tc>
          <w:tcPr>
            <w:tcW w:w="720" w:type="dxa"/>
          </w:tcPr>
          <w:p w14:paraId="18C7004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24000</w:t>
            </w:r>
          </w:p>
          <w:p w14:paraId="25625818" w14:textId="77777777" w:rsidR="004B4E35" w:rsidRPr="00405303" w:rsidRDefault="004B4E35" w:rsidP="00C15251">
            <w:pPr>
              <w:shd w:val="clear" w:color="auto" w:fill="FFFFFF"/>
              <w:jc w:val="both"/>
              <w:rPr>
                <w:bCs/>
                <w:color w:val="002060"/>
                <w:sz w:val="16"/>
                <w:szCs w:val="16"/>
              </w:rPr>
            </w:pPr>
          </w:p>
        </w:tc>
        <w:tc>
          <w:tcPr>
            <w:tcW w:w="960" w:type="dxa"/>
          </w:tcPr>
          <w:p w14:paraId="48DA625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358 938</w:t>
            </w:r>
          </w:p>
          <w:p w14:paraId="7CFA8FD8" w14:textId="77777777" w:rsidR="004B4E35" w:rsidRPr="00405303" w:rsidRDefault="004B4E35" w:rsidP="00C15251">
            <w:pPr>
              <w:shd w:val="clear" w:color="auto" w:fill="FFFFFF"/>
              <w:jc w:val="both"/>
              <w:rPr>
                <w:bCs/>
                <w:color w:val="002060"/>
                <w:sz w:val="16"/>
                <w:szCs w:val="16"/>
              </w:rPr>
            </w:pPr>
          </w:p>
        </w:tc>
        <w:tc>
          <w:tcPr>
            <w:tcW w:w="1066" w:type="dxa"/>
          </w:tcPr>
          <w:p w14:paraId="336D4A2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2212512</w:t>
            </w:r>
          </w:p>
          <w:p w14:paraId="02C3922B" w14:textId="77777777" w:rsidR="004B4E35" w:rsidRPr="00405303" w:rsidRDefault="004B4E35" w:rsidP="00C15251">
            <w:pPr>
              <w:shd w:val="clear" w:color="auto" w:fill="FFFFFF"/>
              <w:jc w:val="both"/>
              <w:rPr>
                <w:bCs/>
                <w:color w:val="002060"/>
                <w:sz w:val="16"/>
                <w:szCs w:val="16"/>
              </w:rPr>
            </w:pPr>
          </w:p>
        </w:tc>
        <w:tc>
          <w:tcPr>
            <w:tcW w:w="1018" w:type="dxa"/>
          </w:tcPr>
          <w:p w14:paraId="23CB2BB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3 238 404</w:t>
            </w:r>
          </w:p>
          <w:p w14:paraId="44594993" w14:textId="77777777" w:rsidR="004B4E35" w:rsidRPr="00405303" w:rsidRDefault="004B4E35" w:rsidP="00C15251">
            <w:pPr>
              <w:shd w:val="clear" w:color="auto" w:fill="FFFFFF"/>
              <w:jc w:val="both"/>
              <w:rPr>
                <w:bCs/>
                <w:color w:val="002060"/>
                <w:sz w:val="16"/>
                <w:szCs w:val="16"/>
              </w:rPr>
            </w:pPr>
          </w:p>
        </w:tc>
        <w:tc>
          <w:tcPr>
            <w:tcW w:w="1142" w:type="dxa"/>
          </w:tcPr>
          <w:p w14:paraId="3068766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5 833 854</w:t>
            </w:r>
          </w:p>
          <w:p w14:paraId="32940E43" w14:textId="77777777" w:rsidR="004B4E35" w:rsidRPr="00405303" w:rsidRDefault="004B4E35" w:rsidP="00C15251">
            <w:pPr>
              <w:shd w:val="clear" w:color="auto" w:fill="FFFFFF"/>
              <w:jc w:val="both"/>
              <w:rPr>
                <w:bCs/>
                <w:color w:val="002060"/>
                <w:sz w:val="16"/>
                <w:szCs w:val="16"/>
              </w:rPr>
            </w:pPr>
          </w:p>
        </w:tc>
      </w:tr>
      <w:tr w:rsidR="004B4E35" w:rsidRPr="00405303" w14:paraId="3366C724" w14:textId="77777777">
        <w:trPr>
          <w:trHeight w:val="346"/>
        </w:trPr>
        <w:tc>
          <w:tcPr>
            <w:tcW w:w="1498" w:type="dxa"/>
          </w:tcPr>
          <w:p w14:paraId="4D95569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шрапнели 107-мм гранаты и</w:t>
            </w:r>
          </w:p>
          <w:p w14:paraId="75287104" w14:textId="77777777" w:rsidR="004B4E35" w:rsidRPr="00405303" w:rsidRDefault="004B4E35" w:rsidP="00C15251">
            <w:pPr>
              <w:shd w:val="clear" w:color="auto" w:fill="FFFFFF"/>
              <w:jc w:val="both"/>
              <w:rPr>
                <w:bCs/>
                <w:color w:val="002060"/>
                <w:sz w:val="16"/>
                <w:szCs w:val="16"/>
              </w:rPr>
            </w:pPr>
          </w:p>
        </w:tc>
        <w:tc>
          <w:tcPr>
            <w:tcW w:w="720" w:type="dxa"/>
          </w:tcPr>
          <w:p w14:paraId="2B84983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_</w:t>
            </w:r>
          </w:p>
          <w:p w14:paraId="18CF85D1" w14:textId="77777777" w:rsidR="004B4E35" w:rsidRPr="00405303" w:rsidRDefault="004B4E35" w:rsidP="00C15251">
            <w:pPr>
              <w:shd w:val="clear" w:color="auto" w:fill="FFFFFF"/>
              <w:jc w:val="both"/>
              <w:rPr>
                <w:bCs/>
                <w:color w:val="002060"/>
                <w:sz w:val="16"/>
                <w:szCs w:val="16"/>
              </w:rPr>
            </w:pPr>
          </w:p>
        </w:tc>
        <w:tc>
          <w:tcPr>
            <w:tcW w:w="960" w:type="dxa"/>
          </w:tcPr>
          <w:p w14:paraId="6C4D599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243 589</w:t>
            </w:r>
          </w:p>
          <w:p w14:paraId="6E741987" w14:textId="77777777" w:rsidR="004B4E35" w:rsidRPr="00405303" w:rsidRDefault="004B4E35" w:rsidP="00C15251">
            <w:pPr>
              <w:shd w:val="clear" w:color="auto" w:fill="FFFFFF"/>
              <w:jc w:val="both"/>
              <w:rPr>
                <w:bCs/>
                <w:color w:val="002060"/>
                <w:sz w:val="16"/>
                <w:szCs w:val="16"/>
              </w:rPr>
            </w:pPr>
          </w:p>
        </w:tc>
        <w:tc>
          <w:tcPr>
            <w:tcW w:w="1066" w:type="dxa"/>
          </w:tcPr>
          <w:p w14:paraId="7704381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720812</w:t>
            </w:r>
          </w:p>
          <w:p w14:paraId="77E9BC46" w14:textId="77777777" w:rsidR="004B4E35" w:rsidRPr="00405303" w:rsidRDefault="004B4E35" w:rsidP="00C15251">
            <w:pPr>
              <w:shd w:val="clear" w:color="auto" w:fill="FFFFFF"/>
              <w:jc w:val="both"/>
              <w:rPr>
                <w:bCs/>
                <w:color w:val="002060"/>
                <w:sz w:val="16"/>
                <w:szCs w:val="16"/>
              </w:rPr>
            </w:pPr>
          </w:p>
        </w:tc>
        <w:tc>
          <w:tcPr>
            <w:tcW w:w="1018" w:type="dxa"/>
          </w:tcPr>
          <w:p w14:paraId="5CE8C07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759 487</w:t>
            </w:r>
          </w:p>
          <w:p w14:paraId="682D6D60" w14:textId="77777777" w:rsidR="004B4E35" w:rsidRPr="00405303" w:rsidRDefault="004B4E35" w:rsidP="00C15251">
            <w:pPr>
              <w:shd w:val="clear" w:color="auto" w:fill="FFFFFF"/>
              <w:jc w:val="both"/>
              <w:rPr>
                <w:bCs/>
                <w:color w:val="002060"/>
                <w:sz w:val="16"/>
                <w:szCs w:val="16"/>
              </w:rPr>
            </w:pPr>
          </w:p>
        </w:tc>
        <w:tc>
          <w:tcPr>
            <w:tcW w:w="1142" w:type="dxa"/>
          </w:tcPr>
          <w:p w14:paraId="31C9E04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1 723 888</w:t>
            </w:r>
          </w:p>
          <w:p w14:paraId="28ADECEB" w14:textId="77777777" w:rsidR="004B4E35" w:rsidRPr="00405303" w:rsidRDefault="004B4E35" w:rsidP="00C15251">
            <w:pPr>
              <w:shd w:val="clear" w:color="auto" w:fill="FFFFFF"/>
              <w:jc w:val="both"/>
              <w:rPr>
                <w:bCs/>
                <w:color w:val="002060"/>
                <w:sz w:val="16"/>
                <w:szCs w:val="16"/>
              </w:rPr>
            </w:pPr>
          </w:p>
        </w:tc>
      </w:tr>
      <w:tr w:rsidR="004B4E35" w:rsidRPr="00405303" w14:paraId="69AE70E0" w14:textId="77777777">
        <w:trPr>
          <w:trHeight w:val="1190"/>
        </w:trPr>
        <w:tc>
          <w:tcPr>
            <w:tcW w:w="1498" w:type="dxa"/>
          </w:tcPr>
          <w:p w14:paraId="08F28CC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шрапнели 152-мм гранаты 203-мм фанаты 254-мм гранаты 280-мм гранаты 305-мм гранаты</w:t>
            </w:r>
          </w:p>
          <w:p w14:paraId="5C0F0921" w14:textId="77777777" w:rsidR="004B4E35" w:rsidRPr="00405303" w:rsidRDefault="004B4E35" w:rsidP="00C15251">
            <w:pPr>
              <w:shd w:val="clear" w:color="auto" w:fill="FFFFFF"/>
              <w:jc w:val="both"/>
              <w:rPr>
                <w:bCs/>
                <w:color w:val="002060"/>
                <w:sz w:val="16"/>
                <w:szCs w:val="16"/>
              </w:rPr>
            </w:pPr>
          </w:p>
        </w:tc>
        <w:tc>
          <w:tcPr>
            <w:tcW w:w="720" w:type="dxa"/>
          </w:tcPr>
          <w:p w14:paraId="47DE0D3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2100</w:t>
            </w:r>
          </w:p>
          <w:p w14:paraId="2CAE6CE6" w14:textId="77777777" w:rsidR="004B4E35" w:rsidRPr="00405303" w:rsidRDefault="004B4E35" w:rsidP="00C15251">
            <w:pPr>
              <w:shd w:val="clear" w:color="auto" w:fill="FFFFFF"/>
              <w:jc w:val="both"/>
              <w:rPr>
                <w:bCs/>
                <w:color w:val="002060"/>
                <w:sz w:val="16"/>
                <w:szCs w:val="16"/>
              </w:rPr>
            </w:pPr>
          </w:p>
        </w:tc>
        <w:tc>
          <w:tcPr>
            <w:tcW w:w="960" w:type="dxa"/>
          </w:tcPr>
          <w:p w14:paraId="3A946C9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131 724</w:t>
            </w:r>
          </w:p>
          <w:p w14:paraId="6B16260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0 237 1 600</w:t>
            </w:r>
          </w:p>
          <w:p w14:paraId="4BBCF610" w14:textId="77777777" w:rsidR="004B4E35" w:rsidRPr="00405303" w:rsidRDefault="004B4E35" w:rsidP="00C15251">
            <w:pPr>
              <w:shd w:val="clear" w:color="auto" w:fill="FFFFFF"/>
              <w:jc w:val="both"/>
              <w:rPr>
                <w:bCs/>
                <w:color w:val="002060"/>
                <w:sz w:val="16"/>
                <w:szCs w:val="16"/>
              </w:rPr>
            </w:pPr>
          </w:p>
        </w:tc>
        <w:tc>
          <w:tcPr>
            <w:tcW w:w="1066" w:type="dxa"/>
          </w:tcPr>
          <w:p w14:paraId="2B38ADD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1 130433</w:t>
            </w:r>
          </w:p>
          <w:p w14:paraId="3871C56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8590 3 331</w:t>
            </w:r>
          </w:p>
          <w:p w14:paraId="7FAEF860" w14:textId="77777777" w:rsidR="004B4E35" w:rsidRPr="00405303" w:rsidRDefault="004B4E35" w:rsidP="00C15251">
            <w:pPr>
              <w:shd w:val="clear" w:color="auto" w:fill="FFFFFF"/>
              <w:jc w:val="both"/>
              <w:rPr>
                <w:bCs/>
                <w:color w:val="002060"/>
                <w:sz w:val="16"/>
                <w:szCs w:val="16"/>
              </w:rPr>
            </w:pPr>
          </w:p>
        </w:tc>
        <w:tc>
          <w:tcPr>
            <w:tcW w:w="1018" w:type="dxa"/>
          </w:tcPr>
          <w:p w14:paraId="767B73A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2676 164 3535 270 6520</w:t>
            </w:r>
          </w:p>
          <w:p w14:paraId="7910ECB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7372</w:t>
            </w:r>
          </w:p>
          <w:p w14:paraId="1957007B" w14:textId="77777777" w:rsidR="004B4E35" w:rsidRPr="00405303" w:rsidRDefault="004B4E35" w:rsidP="00C15251">
            <w:pPr>
              <w:shd w:val="clear" w:color="auto" w:fill="FFFFFF"/>
              <w:jc w:val="both"/>
              <w:rPr>
                <w:bCs/>
                <w:color w:val="002060"/>
                <w:sz w:val="16"/>
                <w:szCs w:val="16"/>
              </w:rPr>
            </w:pPr>
          </w:p>
        </w:tc>
        <w:tc>
          <w:tcPr>
            <w:tcW w:w="1142" w:type="dxa"/>
          </w:tcPr>
          <w:p w14:paraId="39BA1ED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3 938 321 3535 270 23447 12 303</w:t>
            </w:r>
          </w:p>
          <w:p w14:paraId="343ED642" w14:textId="77777777" w:rsidR="004B4E35" w:rsidRPr="00405303" w:rsidRDefault="004B4E35" w:rsidP="00C15251">
            <w:pPr>
              <w:shd w:val="clear" w:color="auto" w:fill="FFFFFF"/>
              <w:jc w:val="both"/>
              <w:rPr>
                <w:bCs/>
                <w:color w:val="002060"/>
                <w:sz w:val="16"/>
                <w:szCs w:val="16"/>
              </w:rPr>
            </w:pPr>
          </w:p>
        </w:tc>
      </w:tr>
      <w:tr w:rsidR="004B4E35" w:rsidRPr="00405303" w14:paraId="73633599" w14:textId="77777777">
        <w:trPr>
          <w:trHeight w:val="442"/>
        </w:trPr>
        <w:tc>
          <w:tcPr>
            <w:tcW w:w="1498" w:type="dxa"/>
          </w:tcPr>
          <w:p w14:paraId="642D257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Всего</w:t>
            </w:r>
          </w:p>
          <w:p w14:paraId="3303ACF0" w14:textId="77777777" w:rsidR="004B4E35" w:rsidRPr="00405303" w:rsidRDefault="004B4E35" w:rsidP="00C15251">
            <w:pPr>
              <w:shd w:val="clear" w:color="auto" w:fill="FFFFFF"/>
              <w:jc w:val="both"/>
              <w:rPr>
                <w:bCs/>
                <w:color w:val="002060"/>
                <w:sz w:val="16"/>
                <w:szCs w:val="16"/>
              </w:rPr>
            </w:pPr>
          </w:p>
        </w:tc>
        <w:tc>
          <w:tcPr>
            <w:tcW w:w="720" w:type="dxa"/>
          </w:tcPr>
          <w:p w14:paraId="2F0E311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104 900</w:t>
            </w:r>
          </w:p>
          <w:p w14:paraId="4E7DA774" w14:textId="77777777" w:rsidR="004B4E35" w:rsidRPr="00405303" w:rsidRDefault="004B4E35" w:rsidP="00C15251">
            <w:pPr>
              <w:shd w:val="clear" w:color="auto" w:fill="FFFFFF"/>
              <w:jc w:val="both"/>
              <w:rPr>
                <w:bCs/>
                <w:color w:val="002060"/>
                <w:sz w:val="16"/>
                <w:szCs w:val="16"/>
              </w:rPr>
            </w:pPr>
          </w:p>
        </w:tc>
        <w:tc>
          <w:tcPr>
            <w:tcW w:w="960" w:type="dxa"/>
          </w:tcPr>
          <w:p w14:paraId="458DE92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9 567 888</w:t>
            </w:r>
          </w:p>
          <w:p w14:paraId="7036591A" w14:textId="77777777" w:rsidR="004B4E35" w:rsidRPr="00405303" w:rsidRDefault="004B4E35" w:rsidP="00C15251">
            <w:pPr>
              <w:shd w:val="clear" w:color="auto" w:fill="FFFFFF"/>
              <w:jc w:val="both"/>
              <w:rPr>
                <w:bCs/>
                <w:color w:val="002060"/>
                <w:sz w:val="16"/>
                <w:szCs w:val="16"/>
              </w:rPr>
            </w:pPr>
          </w:p>
        </w:tc>
        <w:tc>
          <w:tcPr>
            <w:tcW w:w="1066" w:type="dxa"/>
          </w:tcPr>
          <w:p w14:paraId="700535C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30 974 678</w:t>
            </w:r>
          </w:p>
          <w:p w14:paraId="12ECEC89" w14:textId="77777777" w:rsidR="004B4E35" w:rsidRPr="00405303" w:rsidRDefault="004B4E35" w:rsidP="00C15251">
            <w:pPr>
              <w:shd w:val="clear" w:color="auto" w:fill="FFFFFF"/>
              <w:jc w:val="both"/>
              <w:rPr>
                <w:bCs/>
                <w:color w:val="002060"/>
                <w:sz w:val="16"/>
                <w:szCs w:val="16"/>
              </w:rPr>
            </w:pPr>
          </w:p>
        </w:tc>
        <w:tc>
          <w:tcPr>
            <w:tcW w:w="1018" w:type="dxa"/>
          </w:tcPr>
          <w:p w14:paraId="263B042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24 413 552</w:t>
            </w:r>
          </w:p>
          <w:p w14:paraId="411A6751" w14:textId="77777777" w:rsidR="004B4E35" w:rsidRPr="00405303" w:rsidRDefault="004B4E35" w:rsidP="00C15251">
            <w:pPr>
              <w:shd w:val="clear" w:color="auto" w:fill="FFFFFF"/>
              <w:jc w:val="both"/>
              <w:rPr>
                <w:bCs/>
                <w:color w:val="002060"/>
                <w:sz w:val="16"/>
                <w:szCs w:val="16"/>
              </w:rPr>
            </w:pPr>
          </w:p>
        </w:tc>
        <w:tc>
          <w:tcPr>
            <w:tcW w:w="1142" w:type="dxa"/>
          </w:tcPr>
          <w:p w14:paraId="2CFA558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65061 018</w:t>
            </w:r>
          </w:p>
          <w:p w14:paraId="1AB02AB6" w14:textId="77777777" w:rsidR="004B4E35" w:rsidRPr="00405303" w:rsidRDefault="004B4E35" w:rsidP="00C15251">
            <w:pPr>
              <w:shd w:val="clear" w:color="auto" w:fill="FFFFFF"/>
              <w:jc w:val="both"/>
              <w:rPr>
                <w:bCs/>
                <w:color w:val="002060"/>
                <w:sz w:val="16"/>
                <w:szCs w:val="16"/>
              </w:rPr>
            </w:pPr>
          </w:p>
        </w:tc>
      </w:tr>
    </w:tbl>
    <w:p w14:paraId="400C123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варе 1916 г., т. е. через 11 месяцев. Максимальной интенсивности производство достигло в декабре 1916 г.</w:t>
      </w:r>
    </w:p>
    <w:p w14:paraId="2A24781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Организация генерала С. Н. Ванкова сыграла огромную роль в снабжении русской армии боеприпасами в первую мировую войну [5, с. 130, 198].</w:t>
      </w:r>
    </w:p>
    <w:p w14:paraId="5420D51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Всего казенные и частные заводы изготовили для нужд армии 65061018 снарядов, из них 76-мм — 53 525 400 (табл. 1.10) [5, с. 198] (5484).</w:t>
      </w:r>
    </w:p>
    <w:p w14:paraId="0A9BA40F" w14:textId="77777777" w:rsidR="004B4E35" w:rsidRPr="00405303" w:rsidRDefault="004B4E35" w:rsidP="00C15251">
      <w:pPr>
        <w:jc w:val="both"/>
        <w:rPr>
          <w:bCs/>
          <w:i/>
          <w:color w:val="002060"/>
          <w:sz w:val="16"/>
          <w:szCs w:val="16"/>
        </w:rPr>
      </w:pPr>
    </w:p>
    <w:p w14:paraId="0FF1789E"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3DACFC79" w14:textId="77777777" w:rsidR="004B4E35" w:rsidRPr="00405303" w:rsidRDefault="004B4E35" w:rsidP="00C15251">
      <w:pPr>
        <w:jc w:val="both"/>
        <w:rPr>
          <w:bCs/>
          <w:i/>
          <w:color w:val="002060"/>
          <w:sz w:val="16"/>
          <w:szCs w:val="16"/>
        </w:rPr>
      </w:pPr>
    </w:p>
    <w:p w14:paraId="305E74D7" w14:textId="77777777" w:rsidR="004B4E35" w:rsidRPr="00405303" w:rsidRDefault="009E6F82" w:rsidP="00C15251">
      <w:pPr>
        <w:jc w:val="both"/>
        <w:rPr>
          <w:bCs/>
          <w:color w:val="002060"/>
          <w:sz w:val="16"/>
          <w:szCs w:val="16"/>
        </w:rPr>
      </w:pPr>
      <w:r w:rsidRPr="00405303">
        <w:rPr>
          <w:bCs/>
          <w:color w:val="002060"/>
          <w:sz w:val="16"/>
          <w:szCs w:val="16"/>
        </w:rPr>
        <w:t xml:space="preserve">В начале апреля 1915 года в боевых вылетах к "Киевскому" присоединился III корабль Бродовича. "Близнецов" можно было различить только по передней части кабины: более поздний корабль Бродовича имел увеличенную площадь остекления кабины - на потолочной части сделали 16 круглых "иллюминаторов" вместо двух, дополнительные стёкла были установлены в нижней части боковых стенок. </w:t>
      </w:r>
    </w:p>
    <w:p w14:paraId="32B52F80" w14:textId="77777777" w:rsidR="004B4E35" w:rsidRPr="00405303" w:rsidRDefault="009E6F82" w:rsidP="00C15251">
      <w:pPr>
        <w:jc w:val="both"/>
        <w:rPr>
          <w:bCs/>
          <w:color w:val="002060"/>
          <w:sz w:val="16"/>
          <w:szCs w:val="16"/>
        </w:rPr>
      </w:pPr>
      <w:r w:rsidRPr="00405303">
        <w:rPr>
          <w:bCs/>
          <w:color w:val="002060"/>
          <w:sz w:val="16"/>
          <w:szCs w:val="16"/>
        </w:rPr>
        <w:t>Почти в каждом полёте "Муромцы" наводили ужас на врага своим точным бомбометанием. Так, 6 апреля "Киевский" задал жару станциям Млава и Млавка, сбросив 17 бомб и попав в пути и железнодорожные сооружения. Было убито шесть солдат и 13 ранено. Пока "Киевский" громил станции. III корабль нанёс визит вежливости на аэродром полевого немецкого отряда (FFA4) в Санниках, который располагался в 80 км западнее Варшавы. Бродович "высыпал" на немцев более двадцати бомб, поразив ангары и открыто стоящие аэропланы. По крайней мере один из аппаратов был повреждён. Через несколько дней, 12 апреля шесть аэропланов этой части в ответ совершили налёт на аэродром Эскадры, попав одной бомбой в сарай с пустыми бочками, осколками мелких бомб был повреждён радиатор одного из новых кораблей и немного пострадала машина Алехновича (12041).</w:t>
      </w:r>
    </w:p>
    <w:p w14:paraId="6BEC21B5" w14:textId="77777777" w:rsidR="004B4E35" w:rsidRPr="00405303" w:rsidRDefault="004B4E35" w:rsidP="00C15251">
      <w:pPr>
        <w:jc w:val="both"/>
        <w:rPr>
          <w:bCs/>
          <w:color w:val="002060"/>
          <w:sz w:val="16"/>
          <w:szCs w:val="16"/>
        </w:rPr>
      </w:pPr>
    </w:p>
    <w:p w14:paraId="5CD5FF48" w14:textId="77777777" w:rsidR="004B4E35" w:rsidRPr="00405303" w:rsidRDefault="009E6F82" w:rsidP="00C15251">
      <w:pPr>
        <w:jc w:val="both"/>
        <w:rPr>
          <w:bCs/>
          <w:color w:val="002060"/>
          <w:sz w:val="16"/>
          <w:szCs w:val="16"/>
        </w:rPr>
      </w:pPr>
      <w:r w:rsidRPr="00405303">
        <w:rPr>
          <w:bCs/>
          <w:color w:val="002060"/>
          <w:sz w:val="16"/>
          <w:szCs w:val="16"/>
        </w:rPr>
        <w:lastRenderedPageBreak/>
        <w:t>В начале апреля 1915 в эскадру поступил приказ из Ставки Верховного Главнокомандования о награждении экипажа за беспримерный полет 18 марта и за образцовое выполнение задания. Командир корабля военный летчик капитан Горшков производился в подполковники и награждался за храбрость Золотым оружием (темляк на Георгиевской ленте и золотой эфес); артиллерийский офицер штабс-капитан Наумов, непосредственно проводивший наблюдение и фотографирование, производился в капитаны и награждался Золотым оружием и Орденом Владимира 4-й степени с Мечами и Бантом. Помощнику командира военному летчику Башко присваивалось звание штабс-капитана. Он также награждался Золотым оружием. Унтер-офицер Лавров производился в прапорщики и награждался Георгиевским Крестом 4-й степени (солдатским). Кроме того, одновременно приказом по эскадре Горшков назначался и. о. старшего офицера эскадры, а штабс-капитан Башко - командиром корабля "Илья Муромец Киевский". Надо ни говорить, какое психологическое значение имел этот приказ (11230).</w:t>
      </w:r>
    </w:p>
    <w:p w14:paraId="18AF67F7" w14:textId="77777777" w:rsidR="004B4E35" w:rsidRPr="00405303" w:rsidRDefault="004B4E35" w:rsidP="00C15251">
      <w:pPr>
        <w:jc w:val="both"/>
        <w:rPr>
          <w:bCs/>
          <w:color w:val="002060"/>
          <w:sz w:val="16"/>
          <w:szCs w:val="16"/>
        </w:rPr>
      </w:pPr>
    </w:p>
    <w:p w14:paraId="6467AFC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Уже в начале апреля 1915 г. она успешно обстреляла неприятель</w:t>
      </w:r>
      <w:r w:rsidRPr="00405303">
        <w:rPr>
          <w:bCs/>
          <w:color w:val="002060"/>
          <w:sz w:val="16"/>
          <w:szCs w:val="16"/>
        </w:rPr>
        <w:softHyphen/>
        <w:t>ский аппарат в районе г.Ломжа, затем в спешном порядке убыла к другому поль</w:t>
      </w:r>
      <w:r w:rsidRPr="00405303">
        <w:rPr>
          <w:bCs/>
          <w:color w:val="002060"/>
          <w:sz w:val="16"/>
          <w:szCs w:val="16"/>
        </w:rPr>
        <w:softHyphen/>
        <w:t>скому городу - Остроленка.</w:t>
      </w:r>
    </w:p>
    <w:p w14:paraId="78D0083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Там подчинённые капитана В.В.Тарновского продолжили совершенствовать такти</w:t>
      </w:r>
      <w:r w:rsidRPr="00405303">
        <w:rPr>
          <w:bCs/>
          <w:color w:val="002060"/>
          <w:sz w:val="16"/>
          <w:szCs w:val="16"/>
        </w:rPr>
        <w:softHyphen/>
        <w:t>ку действий и методы стрельбы. Как прави</w:t>
      </w:r>
      <w:r w:rsidRPr="00405303">
        <w:rPr>
          <w:bCs/>
          <w:color w:val="002060"/>
          <w:sz w:val="16"/>
          <w:szCs w:val="16"/>
        </w:rPr>
        <w:softHyphen/>
        <w:t>ло, по входившему в зону поражения аэро</w:t>
      </w:r>
      <w:r w:rsidRPr="00405303">
        <w:rPr>
          <w:bCs/>
          <w:color w:val="002060"/>
          <w:sz w:val="16"/>
          <w:szCs w:val="16"/>
        </w:rPr>
        <w:softHyphen/>
        <w:t>плану на предельной дальности выполнялся «корректурный выстрел», а потом начинался беглый огнь на поражение. В отдельные дни батарее приходилось расходовать до полу</w:t>
      </w:r>
      <w:r w:rsidRPr="00405303">
        <w:rPr>
          <w:bCs/>
          <w:color w:val="002060"/>
          <w:sz w:val="16"/>
          <w:szCs w:val="16"/>
        </w:rPr>
        <w:softHyphen/>
        <w:t>тора сотен снарядов. Для усиления зенитно-артиллерийской обороны (ЗАО) г.Остроленка по инициативе В.В.Тарновского командова</w:t>
      </w:r>
      <w:r w:rsidRPr="00405303">
        <w:rPr>
          <w:bCs/>
          <w:color w:val="002060"/>
          <w:sz w:val="16"/>
          <w:szCs w:val="16"/>
        </w:rPr>
        <w:softHyphen/>
        <w:t>ние гарнизона выделило в её состав два «поршневых взвода». С их командирами про</w:t>
      </w:r>
      <w:r w:rsidRPr="00405303">
        <w:rPr>
          <w:bCs/>
          <w:color w:val="002060"/>
          <w:sz w:val="16"/>
          <w:szCs w:val="16"/>
        </w:rPr>
        <w:softHyphen/>
        <w:t>вели «установочные занятия» по ведению зенитного огня. В последующем взвода ак</w:t>
      </w:r>
      <w:r w:rsidRPr="00405303">
        <w:rPr>
          <w:bCs/>
          <w:color w:val="002060"/>
          <w:sz w:val="16"/>
          <w:szCs w:val="16"/>
        </w:rPr>
        <w:softHyphen/>
        <w:t>тивно участвовали в боях с воздушным фло</w:t>
      </w:r>
      <w:r w:rsidRPr="00405303">
        <w:rPr>
          <w:bCs/>
          <w:color w:val="002060"/>
          <w:sz w:val="16"/>
          <w:szCs w:val="16"/>
        </w:rPr>
        <w:softHyphen/>
        <w:t>том противника. Тем временем, успешные действия батареи Тарновского вызвали к ней неподдельный интерес у руководяще</w:t>
      </w:r>
      <w:r w:rsidRPr="00405303">
        <w:rPr>
          <w:bCs/>
          <w:color w:val="002060"/>
          <w:sz w:val="16"/>
          <w:szCs w:val="16"/>
        </w:rPr>
        <w:softHyphen/>
        <w:t>го состава армий и корпусов СЗФ. За корот</w:t>
      </w:r>
      <w:r w:rsidRPr="00405303">
        <w:rPr>
          <w:bCs/>
          <w:color w:val="002060"/>
          <w:sz w:val="16"/>
          <w:szCs w:val="16"/>
        </w:rPr>
        <w:softHyphen/>
        <w:t>кий срок со «свойствами ...и предполагае</w:t>
      </w:r>
      <w:r w:rsidRPr="00405303">
        <w:rPr>
          <w:bCs/>
          <w:color w:val="002060"/>
          <w:sz w:val="16"/>
          <w:szCs w:val="16"/>
        </w:rPr>
        <w:softHyphen/>
        <w:t>мыми способами стрельбы» уникального для Русской Армии зенитного подразделе</w:t>
      </w:r>
      <w:r w:rsidRPr="00405303">
        <w:rPr>
          <w:bCs/>
          <w:color w:val="002060"/>
          <w:sz w:val="16"/>
          <w:szCs w:val="16"/>
        </w:rPr>
        <w:softHyphen/>
        <w:t>ния ознакомились представители артилле</w:t>
      </w:r>
      <w:r w:rsidRPr="00405303">
        <w:rPr>
          <w:bCs/>
          <w:color w:val="002060"/>
          <w:sz w:val="16"/>
          <w:szCs w:val="16"/>
        </w:rPr>
        <w:softHyphen/>
        <w:t>рийских и авиационных частей, а также ко</w:t>
      </w:r>
      <w:r w:rsidRPr="00405303">
        <w:rPr>
          <w:bCs/>
          <w:color w:val="002060"/>
          <w:sz w:val="16"/>
          <w:szCs w:val="16"/>
        </w:rPr>
        <w:softHyphen/>
        <w:t>мандование 12-й армии (11391).</w:t>
      </w:r>
    </w:p>
    <w:p w14:paraId="5FD8F1E9" w14:textId="77777777" w:rsidR="004B4E35" w:rsidRPr="00405303" w:rsidRDefault="004B4E35" w:rsidP="00C15251">
      <w:pPr>
        <w:shd w:val="clear" w:color="auto" w:fill="FFFFFF"/>
        <w:jc w:val="both"/>
        <w:rPr>
          <w:bCs/>
          <w:color w:val="002060"/>
          <w:sz w:val="16"/>
          <w:szCs w:val="16"/>
        </w:rPr>
      </w:pPr>
    </w:p>
    <w:p w14:paraId="1F0A30EC" w14:textId="77777777" w:rsidR="00652CA7" w:rsidRPr="00405303" w:rsidRDefault="00652CA7" w:rsidP="00C15251">
      <w:pPr>
        <w:jc w:val="both"/>
        <w:rPr>
          <w:bCs/>
          <w:color w:val="002060"/>
          <w:sz w:val="16"/>
          <w:szCs w:val="16"/>
        </w:rPr>
      </w:pPr>
      <w:r w:rsidRPr="00405303">
        <w:rPr>
          <w:bCs/>
          <w:color w:val="002060"/>
          <w:sz w:val="16"/>
          <w:szCs w:val="16"/>
        </w:rPr>
        <w:t>В начале апреля 1915 г. немецкая авиация совершила групповой налет на ст. Гузов, сбросив на ее объекты «много бомб, убито - 3 человека, и ранено несколько рабочих» (23405).</w:t>
      </w:r>
    </w:p>
    <w:p w14:paraId="65038029" w14:textId="77777777" w:rsidR="00652CA7" w:rsidRPr="00405303" w:rsidRDefault="00652CA7" w:rsidP="00C15251">
      <w:pPr>
        <w:jc w:val="both"/>
        <w:rPr>
          <w:bCs/>
          <w:color w:val="002060"/>
          <w:sz w:val="16"/>
          <w:szCs w:val="16"/>
        </w:rPr>
      </w:pPr>
    </w:p>
    <w:p w14:paraId="29C38B89" w14:textId="77777777" w:rsidR="007446A6" w:rsidRPr="00405303" w:rsidRDefault="007446A6" w:rsidP="007446A6">
      <w:pPr>
        <w:jc w:val="both"/>
        <w:rPr>
          <w:color w:val="0070C0"/>
          <w:sz w:val="16"/>
          <w:szCs w:val="16"/>
        </w:rPr>
      </w:pPr>
      <w:r w:rsidRPr="00405303">
        <w:rPr>
          <w:rStyle w:val="aa"/>
          <w:rFonts w:ascii="Times New Roman" w:hAnsi="Times New Roman"/>
          <w:color w:val="0070C0"/>
          <w:spacing w:val="0"/>
          <w:sz w:val="16"/>
          <w:szCs w:val="16"/>
        </w:rPr>
        <w:t>В начале апреля 1915 г. немецкая авиация совершила групповой налет на ст. Гузов, сбросив на ее объекты «много бомб, убито – 3 человека, и ранено несколько рабочих» (25135).</w:t>
      </w:r>
    </w:p>
    <w:p w14:paraId="4DCCDBAA" w14:textId="77777777" w:rsidR="007446A6" w:rsidRPr="00405303" w:rsidRDefault="007446A6" w:rsidP="007446A6">
      <w:pPr>
        <w:jc w:val="both"/>
        <w:rPr>
          <w:color w:val="0070C0"/>
          <w:sz w:val="16"/>
          <w:szCs w:val="16"/>
        </w:rPr>
      </w:pPr>
    </w:p>
    <w:p w14:paraId="52588819" w14:textId="77777777" w:rsidR="00652CA7" w:rsidRPr="00405303" w:rsidRDefault="00652CA7" w:rsidP="00C15251">
      <w:pPr>
        <w:jc w:val="both"/>
        <w:rPr>
          <w:bCs/>
          <w:color w:val="002060"/>
          <w:sz w:val="16"/>
          <w:szCs w:val="16"/>
        </w:rPr>
      </w:pPr>
      <w:r w:rsidRPr="00405303">
        <w:rPr>
          <w:bCs/>
          <w:color w:val="002060"/>
          <w:sz w:val="16"/>
          <w:szCs w:val="16"/>
        </w:rPr>
        <w:t>В начале апреля 1915 г. в эскадру поступил приказ из Ставки Верховного Главнокомандования о награждении экипажа за беспримерный полет 18 марта и за образцовое вы</w:t>
      </w:r>
      <w:r w:rsidRPr="00405303">
        <w:rPr>
          <w:bCs/>
          <w:color w:val="002060"/>
          <w:sz w:val="16"/>
          <w:szCs w:val="16"/>
        </w:rPr>
        <w:softHyphen/>
        <w:t>полнение задания. Командир корабля военный летчик капитан Горшков производился в подполковники и на</w:t>
      </w:r>
      <w:r w:rsidRPr="00405303">
        <w:rPr>
          <w:bCs/>
          <w:color w:val="002060"/>
          <w:sz w:val="16"/>
          <w:szCs w:val="16"/>
        </w:rPr>
        <w:softHyphen/>
        <w:t>граждался за храбрость Золотым оружием (темляк на Ге</w:t>
      </w:r>
      <w:r w:rsidRPr="00405303">
        <w:rPr>
          <w:bCs/>
          <w:color w:val="002060"/>
          <w:sz w:val="16"/>
          <w:szCs w:val="16"/>
        </w:rPr>
        <w:softHyphen/>
        <w:t>оргиевской ленте и золотой эфес); артиллерийский офи</w:t>
      </w:r>
      <w:r w:rsidRPr="00405303">
        <w:rPr>
          <w:bCs/>
          <w:color w:val="002060"/>
          <w:sz w:val="16"/>
          <w:szCs w:val="16"/>
        </w:rPr>
        <w:softHyphen/>
        <w:t>цер штабс-капитан Наумов, непосредственно проводивший наблюдение и фотографирование, произво</w:t>
      </w:r>
      <w:r w:rsidRPr="00405303">
        <w:rPr>
          <w:bCs/>
          <w:color w:val="002060"/>
          <w:sz w:val="16"/>
          <w:szCs w:val="16"/>
        </w:rPr>
        <w:softHyphen/>
        <w:t>дился в капитаны и награждался Золотым оружием и Ор</w:t>
      </w:r>
      <w:r w:rsidRPr="00405303">
        <w:rPr>
          <w:bCs/>
          <w:color w:val="002060"/>
          <w:sz w:val="16"/>
          <w:szCs w:val="16"/>
        </w:rPr>
        <w:softHyphen/>
        <w:t>деном Владимира 4-й степени с Мечами и Бантом. По</w:t>
      </w:r>
      <w:r w:rsidRPr="00405303">
        <w:rPr>
          <w:bCs/>
          <w:color w:val="002060"/>
          <w:sz w:val="16"/>
          <w:szCs w:val="16"/>
        </w:rPr>
        <w:softHyphen/>
        <w:t>мощнику командира военному летчику Башко присваивалось звание штабс-капитана. Он также на</w:t>
      </w:r>
      <w:r w:rsidRPr="00405303">
        <w:rPr>
          <w:bCs/>
          <w:color w:val="002060"/>
          <w:sz w:val="16"/>
          <w:szCs w:val="16"/>
        </w:rPr>
        <w:softHyphen/>
        <w:t>граждался Золотым оружием. Унтер-офицер Лавров про</w:t>
      </w:r>
      <w:r w:rsidRPr="00405303">
        <w:rPr>
          <w:bCs/>
          <w:color w:val="002060"/>
          <w:sz w:val="16"/>
          <w:szCs w:val="16"/>
        </w:rPr>
        <w:softHyphen/>
        <w:t>изводился в прапорщики и награждался Георгиевским Крестом 4-й степени (солдатским). Кроме того, одновре</w:t>
      </w:r>
      <w:r w:rsidRPr="00405303">
        <w:rPr>
          <w:bCs/>
          <w:color w:val="002060"/>
          <w:sz w:val="16"/>
          <w:szCs w:val="16"/>
        </w:rPr>
        <w:softHyphen/>
        <w:t>менно приказом по эскадре Горшков назначался и.о. старшего офицера эскадры, а Башко - командиром корабля «Илья Муромец Киевский» (24177).</w:t>
      </w:r>
    </w:p>
    <w:p w14:paraId="296A13CE" w14:textId="77777777" w:rsidR="00652CA7" w:rsidRPr="00405303" w:rsidRDefault="00652CA7" w:rsidP="00C15251">
      <w:pPr>
        <w:jc w:val="both"/>
        <w:rPr>
          <w:bCs/>
          <w:color w:val="002060"/>
          <w:sz w:val="16"/>
          <w:szCs w:val="16"/>
        </w:rPr>
      </w:pPr>
    </w:p>
    <w:p w14:paraId="79F23A51" w14:textId="77777777" w:rsidR="00202720" w:rsidRPr="00405303" w:rsidRDefault="00202720" w:rsidP="00C15251">
      <w:pPr>
        <w:jc w:val="both"/>
        <w:rPr>
          <w:bCs/>
          <w:color w:val="002060"/>
          <w:sz w:val="16"/>
          <w:szCs w:val="16"/>
        </w:rPr>
      </w:pPr>
      <w:r w:rsidRPr="00405303">
        <w:rPr>
          <w:bCs/>
          <w:color w:val="002060"/>
          <w:sz w:val="16"/>
          <w:szCs w:val="16"/>
        </w:rPr>
        <w:t>В первых числах апреле 1915 г. корабль прибыл на базу ЭВК Яблона и был подготовлен к боевым вылетам, которые совершались с бомбами и двумя пулеметами, а затем с одним Мадсен М.1904 с 75 патронами (3 магазина).</w:t>
      </w:r>
    </w:p>
    <w:p w14:paraId="5CB43A6C" w14:textId="77777777" w:rsidR="00202720" w:rsidRPr="00405303" w:rsidRDefault="00202720" w:rsidP="00C15251">
      <w:pPr>
        <w:jc w:val="both"/>
        <w:rPr>
          <w:bCs/>
          <w:color w:val="002060"/>
          <w:sz w:val="16"/>
          <w:szCs w:val="16"/>
        </w:rPr>
      </w:pPr>
      <w:r w:rsidRPr="00405303">
        <w:rPr>
          <w:bCs/>
          <w:color w:val="002060"/>
          <w:sz w:val="16"/>
          <w:szCs w:val="16"/>
        </w:rPr>
        <w:t>06.04.15 г. (19.05.15 г.) корабль совершил первый боевой вылет.</w:t>
      </w:r>
    </w:p>
    <w:p w14:paraId="09322AF6" w14:textId="77777777" w:rsidR="00202720" w:rsidRPr="00405303" w:rsidRDefault="00202720" w:rsidP="00C15251">
      <w:pPr>
        <w:jc w:val="both"/>
        <w:rPr>
          <w:bCs/>
          <w:color w:val="002060"/>
          <w:sz w:val="16"/>
          <w:szCs w:val="16"/>
        </w:rPr>
      </w:pPr>
      <w:r w:rsidRPr="00405303">
        <w:rPr>
          <w:bCs/>
          <w:color w:val="002060"/>
          <w:sz w:val="16"/>
          <w:szCs w:val="16"/>
        </w:rPr>
        <w:t>В мае 1915 г. корабль командирован на аэродром Лемберг в распоряжение штаба 3-й Армии.</w:t>
      </w:r>
    </w:p>
    <w:p w14:paraId="64A6DE28" w14:textId="77777777" w:rsidR="00202720" w:rsidRPr="00405303" w:rsidRDefault="00202720" w:rsidP="00C15251">
      <w:pPr>
        <w:jc w:val="both"/>
        <w:rPr>
          <w:bCs/>
          <w:color w:val="002060"/>
          <w:sz w:val="16"/>
          <w:szCs w:val="16"/>
        </w:rPr>
      </w:pPr>
      <w:r w:rsidRPr="00405303">
        <w:rPr>
          <w:bCs/>
          <w:color w:val="002060"/>
          <w:sz w:val="16"/>
          <w:szCs w:val="16"/>
        </w:rPr>
        <w:t>28 мая 1915 г. новым командиром корабля назначен поручик Д.А. Озерский, т.к. Бродович подал рапорт о переводе в легкую авиацию.</w:t>
      </w:r>
    </w:p>
    <w:p w14:paraId="70A5869C" w14:textId="77777777" w:rsidR="00202720" w:rsidRPr="00405303" w:rsidRDefault="00202720" w:rsidP="00C15251">
      <w:pPr>
        <w:jc w:val="both"/>
        <w:rPr>
          <w:bCs/>
          <w:color w:val="002060"/>
          <w:sz w:val="16"/>
          <w:szCs w:val="16"/>
        </w:rPr>
      </w:pPr>
      <w:r w:rsidRPr="00405303">
        <w:rPr>
          <w:bCs/>
          <w:color w:val="002060"/>
          <w:sz w:val="16"/>
          <w:szCs w:val="16"/>
        </w:rPr>
        <w:t>В июне 1915 г. корабль был перебазирован в Люблин, а затем в том же месяце – во Влодаву.</w:t>
      </w:r>
    </w:p>
    <w:p w14:paraId="192A05F6" w14:textId="77777777" w:rsidR="00202720" w:rsidRPr="00405303" w:rsidRDefault="00202720" w:rsidP="00C15251">
      <w:pPr>
        <w:jc w:val="both"/>
        <w:rPr>
          <w:bCs/>
          <w:color w:val="002060"/>
          <w:sz w:val="16"/>
          <w:szCs w:val="16"/>
        </w:rPr>
      </w:pPr>
      <w:r w:rsidRPr="00405303">
        <w:rPr>
          <w:bCs/>
          <w:color w:val="002060"/>
          <w:sz w:val="16"/>
          <w:szCs w:val="16"/>
        </w:rPr>
        <w:t>По инициативе командира корабля для его облегчения с самолета сняли боковые РН, оставив только центральный (23563).</w:t>
      </w:r>
    </w:p>
    <w:p w14:paraId="7C33686F" w14:textId="77777777" w:rsidR="00202720" w:rsidRPr="00405303" w:rsidRDefault="00202720" w:rsidP="00C15251">
      <w:pPr>
        <w:jc w:val="both"/>
        <w:rPr>
          <w:bCs/>
          <w:color w:val="002060"/>
          <w:sz w:val="16"/>
          <w:szCs w:val="16"/>
          <w:lang w:bidi="en-US"/>
        </w:rPr>
      </w:pPr>
    </w:p>
    <w:p w14:paraId="4C8A04CF"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65E75369" w14:textId="77777777" w:rsidR="004B4E35" w:rsidRPr="00405303" w:rsidRDefault="004B4E35" w:rsidP="00C15251">
      <w:pPr>
        <w:jc w:val="both"/>
        <w:rPr>
          <w:bCs/>
          <w:i/>
          <w:color w:val="002060"/>
          <w:sz w:val="16"/>
          <w:szCs w:val="16"/>
        </w:rPr>
      </w:pPr>
    </w:p>
    <w:p w14:paraId="6D6A2474" w14:textId="77777777" w:rsidR="00CB6390" w:rsidRPr="00405303" w:rsidRDefault="009E6F82" w:rsidP="00C15251">
      <w:pPr>
        <w:jc w:val="both"/>
        <w:rPr>
          <w:bCs/>
          <w:color w:val="002060"/>
          <w:sz w:val="16"/>
          <w:szCs w:val="16"/>
        </w:rPr>
      </w:pPr>
      <w:r w:rsidRPr="00405303">
        <w:rPr>
          <w:bCs/>
          <w:color w:val="002060"/>
          <w:sz w:val="16"/>
          <w:szCs w:val="16"/>
        </w:rPr>
        <w:t>8 (21) апреля 1915 г. одиночный германский аэроплан сбросил четыре зажигательные бомбы на кварталы в центре города</w:t>
      </w:r>
      <w:r w:rsidR="00CB6390" w:rsidRPr="00405303">
        <w:rPr>
          <w:bCs/>
          <w:color w:val="002060"/>
          <w:sz w:val="16"/>
          <w:szCs w:val="16"/>
        </w:rPr>
        <w:t xml:space="preserve"> Варшава</w:t>
      </w:r>
      <w:r w:rsidRPr="00405303">
        <w:rPr>
          <w:bCs/>
          <w:color w:val="002060"/>
          <w:sz w:val="16"/>
          <w:szCs w:val="16"/>
        </w:rPr>
        <w:t xml:space="preserve">, но возникшие пожары были тотчас потушены. </w:t>
      </w:r>
    </w:p>
    <w:p w14:paraId="64C9E28B" w14:textId="09EFA312" w:rsidR="00CB6390" w:rsidRPr="00405303" w:rsidRDefault="00CB6390" w:rsidP="00C15251">
      <w:pPr>
        <w:jc w:val="both"/>
        <w:rPr>
          <w:bCs/>
          <w:color w:val="002060"/>
          <w:sz w:val="16"/>
          <w:szCs w:val="16"/>
        </w:rPr>
      </w:pPr>
      <w:r w:rsidRPr="00405303">
        <w:rPr>
          <w:bCs/>
          <w:color w:val="002060"/>
          <w:sz w:val="16"/>
          <w:szCs w:val="16"/>
        </w:rPr>
        <w:t>В связи с переводом 27-го армейского корпуса в Новогеоргиевск были расформированы и два особых авиаотряда, отвечавшие за борьбу с аэропланами противника на подступах к Варшаве. 24 марта (6 апреля) 1915 года Н.С. Воеводский возглавил 5-й армейский авиаотряд, а П.П. Грезо - 2-й армейский авиаотряд. В эти же отряды поступили бывшие под их началом летчики И.Д. Хризосколео, А.Ф. Пуарэ и В.Ф. Станюкович. Летчик-истребитель ГА. Борейша был возвращен в 13-й корпусной авиаотряд (12 (25) апреля был сбит и попал в плен).</w:t>
      </w:r>
    </w:p>
    <w:p w14:paraId="7677D7A8" w14:textId="14A04D80" w:rsidR="004B4E35" w:rsidRPr="00405303" w:rsidRDefault="009E6F82" w:rsidP="00C15251">
      <w:pPr>
        <w:jc w:val="both"/>
        <w:rPr>
          <w:bCs/>
          <w:color w:val="002060"/>
          <w:sz w:val="16"/>
          <w:szCs w:val="16"/>
        </w:rPr>
      </w:pPr>
      <w:r w:rsidRPr="00405303">
        <w:rPr>
          <w:bCs/>
          <w:color w:val="002060"/>
          <w:sz w:val="16"/>
          <w:szCs w:val="16"/>
        </w:rPr>
        <w:t>В мае противник проявил большую активность в воздухе; появились над городом сравнительно новые типы самолетов - двухместные многоцелевые «Альбатрос С». 20-23 мая (2-5 июня) они ежедневно совершали налеты на Варшаву, но, встреченные огнем батарей, не смогли пробиться к целям.</w:t>
      </w:r>
    </w:p>
    <w:p w14:paraId="6E99332D" w14:textId="77777777" w:rsidR="004B4E35" w:rsidRPr="00405303" w:rsidRDefault="004B4E35" w:rsidP="00C15251">
      <w:pPr>
        <w:jc w:val="both"/>
        <w:rPr>
          <w:bCs/>
          <w:i/>
          <w:color w:val="002060"/>
          <w:sz w:val="16"/>
          <w:szCs w:val="16"/>
        </w:rPr>
      </w:pPr>
    </w:p>
    <w:p w14:paraId="064D3BF7"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5C021486" w14:textId="77777777" w:rsidR="004B4E35" w:rsidRPr="00405303" w:rsidRDefault="004B4E35" w:rsidP="00C15251">
      <w:pPr>
        <w:jc w:val="both"/>
        <w:rPr>
          <w:bCs/>
          <w:i/>
          <w:color w:val="002060"/>
          <w:sz w:val="16"/>
          <w:szCs w:val="16"/>
        </w:rPr>
      </w:pPr>
    </w:p>
    <w:p w14:paraId="10867142" w14:textId="768FDFAD" w:rsidR="00CB6390" w:rsidRPr="00405303" w:rsidRDefault="009E6F82" w:rsidP="00C15251">
      <w:pPr>
        <w:jc w:val="both"/>
        <w:rPr>
          <w:bCs/>
          <w:color w:val="002060"/>
          <w:sz w:val="16"/>
          <w:szCs w:val="16"/>
        </w:rPr>
      </w:pPr>
      <w:r w:rsidRPr="00405303">
        <w:rPr>
          <w:bCs/>
          <w:color w:val="002060"/>
          <w:sz w:val="16"/>
          <w:szCs w:val="16"/>
        </w:rPr>
        <w:t>По просьбе черноморских летчиков и после переговоров между шефом русской авиации Великим князем Александром Михайловичем, командующим Балтийским флотом Н. О. фон Эссеном, начальни</w:t>
      </w:r>
      <w:r w:rsidRPr="00405303">
        <w:rPr>
          <w:bCs/>
          <w:color w:val="002060"/>
          <w:sz w:val="16"/>
          <w:szCs w:val="16"/>
        </w:rPr>
        <w:softHyphen/>
        <w:t>ком МГШ А. И. Русиным и начальником Воздухоплавательного отделения МГШ А. А. Тучковым две оставшиеся от контракта летающие лодки были высланы в Севастополь 10 марта 1915г., для укрепле</w:t>
      </w:r>
      <w:r w:rsidRPr="00405303">
        <w:rPr>
          <w:bCs/>
          <w:color w:val="002060"/>
          <w:sz w:val="16"/>
          <w:szCs w:val="16"/>
        </w:rPr>
        <w:softHyphen/>
        <w:t>ния воздушных сил ввиду планировавшихся наступательных операций у Босфора. Через десять дней вслед за аппаратами выехала целая бригада от ПРТВ, в составе инженера А. Н. Седельникова, пилота Я. И. Седова-Серова, двух механиков и двух монтеров. Двадцать четвертого марта ма</w:t>
      </w:r>
      <w:r w:rsidRPr="00405303">
        <w:rPr>
          <w:bCs/>
          <w:color w:val="002060"/>
          <w:sz w:val="16"/>
          <w:szCs w:val="16"/>
        </w:rPr>
        <w:softHyphen/>
        <w:t>шины прибыли на место, а 31-го числа приемная комиссия Севастопольского порта провела их ис</w:t>
      </w:r>
      <w:r w:rsidRPr="00405303">
        <w:rPr>
          <w:bCs/>
          <w:color w:val="002060"/>
          <w:sz w:val="16"/>
          <w:szCs w:val="16"/>
        </w:rPr>
        <w:softHyphen/>
        <w:t>пытания, состоявшие из одного 25- и одного 13-минутного полета, во время которых контрак</w:t>
      </w:r>
      <w:r w:rsidRPr="00405303">
        <w:rPr>
          <w:bCs/>
          <w:color w:val="002060"/>
          <w:sz w:val="16"/>
          <w:szCs w:val="16"/>
        </w:rPr>
        <w:softHyphen/>
        <w:t>тную высоту покорили за 7,5 минут. По зачисле</w:t>
      </w:r>
      <w:r w:rsidRPr="00405303">
        <w:rPr>
          <w:bCs/>
          <w:color w:val="002060"/>
          <w:sz w:val="16"/>
          <w:szCs w:val="16"/>
        </w:rPr>
        <w:softHyphen/>
        <w:t>нии в казну, удостоившись флотских номеров 29 и 30, аппараты пополнили ряды боевых гидроаэ</w:t>
      </w:r>
      <w:r w:rsidRPr="00405303">
        <w:rPr>
          <w:bCs/>
          <w:color w:val="002060"/>
          <w:sz w:val="16"/>
          <w:szCs w:val="16"/>
        </w:rPr>
        <w:softHyphen/>
        <w:t xml:space="preserve">ропланов, </w:t>
      </w:r>
    </w:p>
    <w:p w14:paraId="55F8307A" w14:textId="77777777" w:rsidR="00CB6390" w:rsidRPr="00405303" w:rsidRDefault="00CB6390" w:rsidP="00C15251">
      <w:pPr>
        <w:jc w:val="both"/>
        <w:rPr>
          <w:bCs/>
          <w:color w:val="002060"/>
          <w:sz w:val="16"/>
          <w:szCs w:val="16"/>
        </w:rPr>
      </w:pPr>
    </w:p>
    <w:p w14:paraId="56DA2F72" w14:textId="55117D4F" w:rsidR="004B4E35" w:rsidRPr="00405303" w:rsidRDefault="009E6F82" w:rsidP="00C15251">
      <w:pPr>
        <w:jc w:val="both"/>
        <w:rPr>
          <w:bCs/>
          <w:color w:val="002060"/>
          <w:sz w:val="16"/>
          <w:szCs w:val="16"/>
        </w:rPr>
      </w:pPr>
      <w:r w:rsidRPr="00405303">
        <w:rPr>
          <w:bCs/>
          <w:color w:val="002060"/>
          <w:sz w:val="16"/>
          <w:szCs w:val="16"/>
        </w:rPr>
        <w:t xml:space="preserve">8 (21) апреля </w:t>
      </w:r>
      <w:r w:rsidR="00CB6390" w:rsidRPr="00405303">
        <w:rPr>
          <w:bCs/>
          <w:color w:val="002060"/>
          <w:sz w:val="16"/>
          <w:szCs w:val="16"/>
        </w:rPr>
        <w:t xml:space="preserve">1915 г. </w:t>
      </w:r>
      <w:r w:rsidRPr="00405303">
        <w:rPr>
          <w:bCs/>
          <w:color w:val="002060"/>
          <w:sz w:val="16"/>
          <w:szCs w:val="16"/>
        </w:rPr>
        <w:t>летчи</w:t>
      </w:r>
      <w:r w:rsidRPr="00405303">
        <w:rPr>
          <w:bCs/>
          <w:color w:val="002060"/>
          <w:sz w:val="16"/>
          <w:szCs w:val="16"/>
        </w:rPr>
        <w:softHyphen/>
        <w:t xml:space="preserve">ки </w:t>
      </w:r>
      <w:r w:rsidR="00CB6390" w:rsidRPr="00405303">
        <w:rPr>
          <w:bCs/>
          <w:color w:val="002060"/>
          <w:sz w:val="16"/>
          <w:szCs w:val="16"/>
        </w:rPr>
        <w:t xml:space="preserve">Черноморского флота </w:t>
      </w:r>
      <w:r w:rsidRPr="00405303">
        <w:rPr>
          <w:bCs/>
          <w:color w:val="002060"/>
          <w:sz w:val="16"/>
          <w:szCs w:val="16"/>
        </w:rPr>
        <w:t xml:space="preserve">начали осваивать </w:t>
      </w:r>
      <w:r w:rsidR="00CB6390" w:rsidRPr="00405303">
        <w:rPr>
          <w:bCs/>
          <w:color w:val="002060"/>
          <w:sz w:val="16"/>
          <w:szCs w:val="16"/>
        </w:rPr>
        <w:t>гидропланы ПРТВ</w:t>
      </w:r>
      <w:r w:rsidRPr="00405303">
        <w:rPr>
          <w:bCs/>
          <w:color w:val="002060"/>
          <w:sz w:val="16"/>
          <w:szCs w:val="16"/>
        </w:rPr>
        <w:t xml:space="preserve"> и вскоре «29-й» выдер</w:t>
      </w:r>
      <w:r w:rsidRPr="00405303">
        <w:rPr>
          <w:bCs/>
          <w:color w:val="002060"/>
          <w:sz w:val="16"/>
          <w:szCs w:val="16"/>
        </w:rPr>
        <w:softHyphen/>
        <w:t>жал крещение огнем, участвуя в рейде к Босфору 9-13 апреля. Он находился на борту гидрокрейсе</w:t>
      </w:r>
      <w:r w:rsidRPr="00405303">
        <w:rPr>
          <w:bCs/>
          <w:color w:val="002060"/>
          <w:sz w:val="16"/>
          <w:szCs w:val="16"/>
        </w:rPr>
        <w:softHyphen/>
        <w:t>ра «Император Николай I»; ранним утром 12-го числа его спустили на воду, и он взлетел с экипа</w:t>
      </w:r>
      <w:r w:rsidRPr="00405303">
        <w:rPr>
          <w:bCs/>
          <w:color w:val="002060"/>
          <w:sz w:val="16"/>
          <w:szCs w:val="16"/>
        </w:rPr>
        <w:softHyphen/>
        <w:t>жем из подпоручика по Адмиралтейству А. Е. Жукова и прапорщика артиллерии С. Н. Корса</w:t>
      </w:r>
      <w:r w:rsidRPr="00405303">
        <w:rPr>
          <w:bCs/>
          <w:color w:val="002060"/>
          <w:sz w:val="16"/>
          <w:szCs w:val="16"/>
        </w:rPr>
        <w:softHyphen/>
        <w:t>кова. Авиаторы сумели атаковать турецкую ка</w:t>
      </w:r>
      <w:r w:rsidRPr="00405303">
        <w:rPr>
          <w:bCs/>
          <w:color w:val="002060"/>
          <w:sz w:val="16"/>
          <w:szCs w:val="16"/>
        </w:rPr>
        <w:softHyphen/>
        <w:t>нонерскую лодку класса «Бурак Рейс», сбросив на нее бомбу, разорвавшуюся в 70 м за кормой корабля. Однако вылет едва не закончился плачевно: лопнувшая в топливной системе трубка вынудила офицеров приводниться на значительном расстоянии от их плавучей базы, но им все же повезло прирулить к ней по поверхности моря. После осмотра двига</w:t>
      </w:r>
      <w:r w:rsidRPr="00405303">
        <w:rPr>
          <w:bCs/>
          <w:color w:val="002060"/>
          <w:sz w:val="16"/>
          <w:szCs w:val="16"/>
        </w:rPr>
        <w:softHyphen/>
        <w:t>теля выяснилось, что, помимо всего, шатун одного из поршней лопнул и грозил, в принципе, разнести вдребезги всю моторную установку (2807).</w:t>
      </w:r>
    </w:p>
    <w:p w14:paraId="0B5B0F4B" w14:textId="77777777" w:rsidR="004B4E35" w:rsidRPr="00405303" w:rsidRDefault="004B4E35" w:rsidP="00C15251">
      <w:pPr>
        <w:jc w:val="both"/>
        <w:rPr>
          <w:bCs/>
          <w:color w:val="002060"/>
          <w:sz w:val="16"/>
          <w:szCs w:val="16"/>
        </w:rPr>
      </w:pPr>
    </w:p>
    <w:p w14:paraId="3F6672C8"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584E47E2" w14:textId="1B0116B2" w:rsidR="004B4E35" w:rsidRPr="00405303" w:rsidRDefault="004B4E35" w:rsidP="00C15251">
      <w:pPr>
        <w:jc w:val="both"/>
        <w:rPr>
          <w:bCs/>
          <w:i/>
          <w:color w:val="002060"/>
          <w:sz w:val="16"/>
          <w:szCs w:val="16"/>
        </w:rPr>
      </w:pPr>
    </w:p>
    <w:p w14:paraId="4090A397" w14:textId="4BEB606F" w:rsidR="00CB6390" w:rsidRPr="00405303" w:rsidRDefault="00CB6390" w:rsidP="00C15251">
      <w:pPr>
        <w:jc w:val="both"/>
        <w:rPr>
          <w:bCs/>
          <w:color w:val="002060"/>
          <w:sz w:val="16"/>
          <w:szCs w:val="16"/>
        </w:rPr>
      </w:pPr>
      <w:r w:rsidRPr="00405303">
        <w:rPr>
          <w:bCs/>
          <w:color w:val="002060"/>
          <w:sz w:val="16"/>
          <w:szCs w:val="16"/>
        </w:rPr>
        <w:t>9 (22) апреля 1915 г. был подписан контракт на гидропланы завода Лебедева</w:t>
      </w:r>
    </w:p>
    <w:p w14:paraId="4E289227" w14:textId="3B0EC461" w:rsidR="004B4E35" w:rsidRPr="00405303" w:rsidRDefault="009E6F82" w:rsidP="00C15251">
      <w:pPr>
        <w:jc w:val="both"/>
        <w:rPr>
          <w:bCs/>
          <w:color w:val="002060"/>
          <w:sz w:val="16"/>
          <w:szCs w:val="16"/>
        </w:rPr>
      </w:pPr>
      <w:r w:rsidRPr="00405303">
        <w:rPr>
          <w:bCs/>
          <w:color w:val="002060"/>
          <w:sz w:val="16"/>
          <w:szCs w:val="16"/>
        </w:rPr>
        <w:lastRenderedPageBreak/>
        <w:t>Гидроаэроплан "Альбатрос" тип А.2 был одномоторным двухместным трехстоечным бип</w:t>
      </w:r>
      <w:r w:rsidRPr="00405303">
        <w:rPr>
          <w:bCs/>
          <w:color w:val="002060"/>
          <w:sz w:val="16"/>
          <w:szCs w:val="16"/>
        </w:rPr>
        <w:softHyphen/>
        <w:t>ланом, чья конструкция имела немецкое происхождение. Сделанный из дерева и полотна, самолет не обладал никакими необычными чертами, за исключением четырехлопастного винта, собранного из двух обыкновенных пропеллеров и применявшегося, возможно, только во время заводских испытаний. Тянущий восьмицилиндровый мотор, 150-сильный "Санбим", был весьма непривычной двигательной установкой для русской морской авиации и, по всей видимости, их имелось не более трех, хотя "Санбимы" мощностью 200-225 л.с. были не столь редки. Морское шасси состояло из двух основных поплавков, задние стойки которых снабжались резиновой амортизацией, и вспомогательного хвостового понтона сравнительно малых размеров.</w:t>
      </w:r>
    </w:p>
    <w:p w14:paraId="057BAEF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Сведения о контракте на гидроаэропланы ЛМ-1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4B4E35" w:rsidRPr="00405303" w14:paraId="6C40F46E" w14:textId="77777777">
        <w:tc>
          <w:tcPr>
            <w:tcW w:w="4788" w:type="dxa"/>
            <w:shd w:val="clear" w:color="auto" w:fill="FFFFFF"/>
          </w:tcPr>
          <w:p w14:paraId="74F440E6" w14:textId="77777777" w:rsidR="004B4E35" w:rsidRPr="00405303" w:rsidRDefault="009E6F82" w:rsidP="00C15251">
            <w:pPr>
              <w:jc w:val="both"/>
              <w:rPr>
                <w:bCs/>
                <w:color w:val="002060"/>
                <w:sz w:val="16"/>
                <w:szCs w:val="16"/>
              </w:rPr>
            </w:pPr>
            <w:r w:rsidRPr="00405303">
              <w:rPr>
                <w:bCs/>
                <w:color w:val="002060"/>
                <w:sz w:val="16"/>
                <w:szCs w:val="16"/>
              </w:rPr>
              <w:t>Дата контракта</w:t>
            </w:r>
          </w:p>
        </w:tc>
        <w:tc>
          <w:tcPr>
            <w:tcW w:w="4788" w:type="dxa"/>
            <w:shd w:val="clear" w:color="auto" w:fill="FFFFFF"/>
          </w:tcPr>
          <w:p w14:paraId="596AAB78" w14:textId="77777777" w:rsidR="004B4E35" w:rsidRPr="00405303" w:rsidRDefault="009E6F82" w:rsidP="00C15251">
            <w:pPr>
              <w:jc w:val="both"/>
              <w:rPr>
                <w:bCs/>
                <w:color w:val="002060"/>
                <w:sz w:val="16"/>
                <w:szCs w:val="16"/>
              </w:rPr>
            </w:pPr>
            <w:r w:rsidRPr="00405303">
              <w:rPr>
                <w:bCs/>
                <w:color w:val="002060"/>
                <w:sz w:val="16"/>
                <w:szCs w:val="16"/>
              </w:rPr>
              <w:t>Апрель 9 (22) 1915</w:t>
            </w:r>
          </w:p>
        </w:tc>
      </w:tr>
      <w:tr w:rsidR="004B4E35" w:rsidRPr="00405303" w14:paraId="5DEB7982" w14:textId="77777777">
        <w:tc>
          <w:tcPr>
            <w:tcW w:w="4788" w:type="dxa"/>
            <w:shd w:val="clear" w:color="auto" w:fill="FFFFFF"/>
          </w:tcPr>
          <w:p w14:paraId="12EE1800" w14:textId="77777777" w:rsidR="004B4E35" w:rsidRPr="00405303" w:rsidRDefault="009E6F82" w:rsidP="00C15251">
            <w:pPr>
              <w:jc w:val="both"/>
              <w:rPr>
                <w:bCs/>
                <w:color w:val="002060"/>
                <w:sz w:val="16"/>
                <w:szCs w:val="16"/>
              </w:rPr>
            </w:pPr>
            <w:r w:rsidRPr="00405303">
              <w:rPr>
                <w:bCs/>
                <w:color w:val="002060"/>
                <w:sz w:val="16"/>
                <w:szCs w:val="16"/>
              </w:rPr>
              <w:t>Число заказанных аэропланов</w:t>
            </w:r>
          </w:p>
        </w:tc>
        <w:tc>
          <w:tcPr>
            <w:tcW w:w="4788" w:type="dxa"/>
            <w:shd w:val="clear" w:color="auto" w:fill="FFFFFF"/>
          </w:tcPr>
          <w:p w14:paraId="531B6B2D" w14:textId="77777777" w:rsidR="004B4E35" w:rsidRPr="00405303" w:rsidRDefault="004B4E35" w:rsidP="00C15251">
            <w:pPr>
              <w:jc w:val="both"/>
              <w:rPr>
                <w:bCs/>
                <w:color w:val="002060"/>
                <w:sz w:val="16"/>
                <w:szCs w:val="16"/>
              </w:rPr>
            </w:pPr>
          </w:p>
        </w:tc>
      </w:tr>
      <w:tr w:rsidR="004B4E35" w:rsidRPr="00405303" w14:paraId="03B1C5D4" w14:textId="77777777">
        <w:tc>
          <w:tcPr>
            <w:tcW w:w="4788" w:type="dxa"/>
            <w:shd w:val="clear" w:color="auto" w:fill="FFFFFF"/>
          </w:tcPr>
          <w:p w14:paraId="2DA15A1A" w14:textId="77777777" w:rsidR="004B4E35" w:rsidRPr="00405303" w:rsidRDefault="009E6F82" w:rsidP="00C15251">
            <w:pPr>
              <w:jc w:val="both"/>
              <w:rPr>
                <w:bCs/>
                <w:color w:val="002060"/>
                <w:sz w:val="16"/>
                <w:szCs w:val="16"/>
              </w:rPr>
            </w:pPr>
            <w:r w:rsidRPr="00405303">
              <w:rPr>
                <w:bCs/>
                <w:color w:val="002060"/>
                <w:sz w:val="16"/>
                <w:szCs w:val="16"/>
              </w:rPr>
              <w:t>Заводские номера сданных аэропланов</w:t>
            </w:r>
          </w:p>
        </w:tc>
        <w:tc>
          <w:tcPr>
            <w:tcW w:w="4788" w:type="dxa"/>
            <w:shd w:val="clear" w:color="auto" w:fill="FFFFFF"/>
          </w:tcPr>
          <w:p w14:paraId="220A642D" w14:textId="77777777" w:rsidR="004B4E35" w:rsidRPr="00405303" w:rsidRDefault="009E6F82" w:rsidP="00C15251">
            <w:pPr>
              <w:jc w:val="both"/>
              <w:rPr>
                <w:bCs/>
                <w:color w:val="002060"/>
                <w:sz w:val="16"/>
                <w:szCs w:val="16"/>
              </w:rPr>
            </w:pPr>
            <w:r w:rsidRPr="00405303">
              <w:rPr>
                <w:bCs/>
                <w:color w:val="002060"/>
                <w:sz w:val="16"/>
                <w:szCs w:val="16"/>
              </w:rPr>
              <w:t>217, 218</w:t>
            </w:r>
          </w:p>
        </w:tc>
      </w:tr>
      <w:tr w:rsidR="004B4E35" w:rsidRPr="00405303" w14:paraId="3C1BF0B9" w14:textId="77777777">
        <w:tc>
          <w:tcPr>
            <w:tcW w:w="4788" w:type="dxa"/>
            <w:shd w:val="clear" w:color="auto" w:fill="FFFFFF"/>
          </w:tcPr>
          <w:p w14:paraId="55FF0153" w14:textId="77777777" w:rsidR="004B4E35" w:rsidRPr="00405303" w:rsidRDefault="009E6F82" w:rsidP="00C15251">
            <w:pPr>
              <w:jc w:val="both"/>
              <w:rPr>
                <w:bCs/>
                <w:color w:val="002060"/>
                <w:sz w:val="16"/>
                <w:szCs w:val="16"/>
              </w:rPr>
            </w:pPr>
            <w:r w:rsidRPr="00405303">
              <w:rPr>
                <w:bCs/>
                <w:color w:val="002060"/>
                <w:sz w:val="16"/>
                <w:szCs w:val="16"/>
              </w:rPr>
              <w:t>Условия:</w:t>
            </w:r>
          </w:p>
        </w:tc>
        <w:tc>
          <w:tcPr>
            <w:tcW w:w="4788" w:type="dxa"/>
            <w:shd w:val="clear" w:color="auto" w:fill="FFFFFF"/>
          </w:tcPr>
          <w:p w14:paraId="32E2A68B" w14:textId="77777777" w:rsidR="004B4E35" w:rsidRPr="00405303" w:rsidRDefault="009E6F82" w:rsidP="00C15251">
            <w:pPr>
              <w:jc w:val="both"/>
              <w:rPr>
                <w:bCs/>
                <w:color w:val="002060"/>
                <w:sz w:val="16"/>
                <w:szCs w:val="16"/>
              </w:rPr>
            </w:pPr>
            <w:r w:rsidRPr="00405303">
              <w:rPr>
                <w:bCs/>
                <w:color w:val="002060"/>
                <w:sz w:val="16"/>
                <w:szCs w:val="16"/>
              </w:rPr>
              <w:t>17.180 руб. за аппарат без мотора, плюс 8.890 руб. за комплект запасных частей и поплавков, срок исполнения 15 апреля 1915 г. (выполнен в период с 24 октября 1915 г. по 28 октября 1916 г.) (2843).</w:t>
            </w:r>
          </w:p>
        </w:tc>
      </w:tr>
    </w:tbl>
    <w:p w14:paraId="16EEB4F6" w14:textId="77777777" w:rsidR="004B4E35" w:rsidRPr="00405303" w:rsidRDefault="004B4E35" w:rsidP="00C15251">
      <w:pPr>
        <w:shd w:val="clear" w:color="auto" w:fill="FFFFFF"/>
        <w:jc w:val="both"/>
        <w:rPr>
          <w:bCs/>
          <w:color w:val="002060"/>
          <w:sz w:val="16"/>
          <w:szCs w:val="16"/>
        </w:rPr>
      </w:pPr>
    </w:p>
    <w:p w14:paraId="572485D3" w14:textId="27492C0E" w:rsidR="00CB6390" w:rsidRPr="00405303" w:rsidRDefault="009E6F82" w:rsidP="00C15251">
      <w:pPr>
        <w:jc w:val="both"/>
        <w:rPr>
          <w:bCs/>
          <w:color w:val="002060"/>
          <w:sz w:val="16"/>
          <w:szCs w:val="16"/>
        </w:rPr>
      </w:pPr>
      <w:r w:rsidRPr="00405303">
        <w:rPr>
          <w:bCs/>
          <w:color w:val="002060"/>
          <w:sz w:val="16"/>
          <w:szCs w:val="16"/>
        </w:rPr>
        <w:t>По просьбе черноморских летчиков и после переговоров между шефом русской авиации Великим князем Александром Михайловичем, командующим Балтийским флотом Н. О. фон Эссеном, начальни</w:t>
      </w:r>
      <w:r w:rsidRPr="00405303">
        <w:rPr>
          <w:bCs/>
          <w:color w:val="002060"/>
          <w:sz w:val="16"/>
          <w:szCs w:val="16"/>
        </w:rPr>
        <w:softHyphen/>
        <w:t>ком МГШ А. И. Русиным и начальником Воздухоплавательного отделения МГШ А. А. Тучковым две оставшиеся от контракта летающие лодки были высланы в Севастополь 10 марта 1915г., для укрепле</w:t>
      </w:r>
      <w:r w:rsidRPr="00405303">
        <w:rPr>
          <w:bCs/>
          <w:color w:val="002060"/>
          <w:sz w:val="16"/>
          <w:szCs w:val="16"/>
        </w:rPr>
        <w:softHyphen/>
        <w:t>ния воздушных сил ввиду планировавшихся наступательных операций у Босфора. Через десять дней вслед за аппаратами выехала целая бригада от ПРТВ, в составе инженера А. Н. Седельникова, пилота Я. И. Седова-Серова, двух механиков и двух монтеров. Двадцать четвертого марта ма</w:t>
      </w:r>
      <w:r w:rsidRPr="00405303">
        <w:rPr>
          <w:bCs/>
          <w:color w:val="002060"/>
          <w:sz w:val="16"/>
          <w:szCs w:val="16"/>
        </w:rPr>
        <w:softHyphen/>
        <w:t>шины прибыли на место, а 31-го числа приемная комиссия Севастопольского порта провела их ис</w:t>
      </w:r>
      <w:r w:rsidRPr="00405303">
        <w:rPr>
          <w:bCs/>
          <w:color w:val="002060"/>
          <w:sz w:val="16"/>
          <w:szCs w:val="16"/>
        </w:rPr>
        <w:softHyphen/>
        <w:t>пытания, состоявшие из одного 25- и одного 13-минутного полета, во время которых контрак</w:t>
      </w:r>
      <w:r w:rsidRPr="00405303">
        <w:rPr>
          <w:bCs/>
          <w:color w:val="002060"/>
          <w:sz w:val="16"/>
          <w:szCs w:val="16"/>
        </w:rPr>
        <w:softHyphen/>
        <w:t>тную высоту покорили за 7,5 минут. По зачисле</w:t>
      </w:r>
      <w:r w:rsidRPr="00405303">
        <w:rPr>
          <w:bCs/>
          <w:color w:val="002060"/>
          <w:sz w:val="16"/>
          <w:szCs w:val="16"/>
        </w:rPr>
        <w:softHyphen/>
        <w:t>нии в казну, удостоившись флотских номеров 29 и 30, аппараты пополнили ряды боевых гидроаэ</w:t>
      </w:r>
      <w:r w:rsidRPr="00405303">
        <w:rPr>
          <w:bCs/>
          <w:color w:val="002060"/>
          <w:sz w:val="16"/>
          <w:szCs w:val="16"/>
        </w:rPr>
        <w:softHyphen/>
        <w:t>ропланов Черноморского флота, 8 апреля летчи</w:t>
      </w:r>
      <w:r w:rsidRPr="00405303">
        <w:rPr>
          <w:bCs/>
          <w:color w:val="002060"/>
          <w:sz w:val="16"/>
          <w:szCs w:val="16"/>
        </w:rPr>
        <w:softHyphen/>
        <w:t xml:space="preserve">ки начали осваивать их и вскоре </w:t>
      </w:r>
    </w:p>
    <w:p w14:paraId="33505D4A" w14:textId="77777777" w:rsidR="00CB6390" w:rsidRPr="00405303" w:rsidRDefault="00CB6390" w:rsidP="00C15251">
      <w:pPr>
        <w:jc w:val="both"/>
        <w:rPr>
          <w:bCs/>
          <w:color w:val="002060"/>
          <w:sz w:val="16"/>
          <w:szCs w:val="16"/>
        </w:rPr>
      </w:pPr>
    </w:p>
    <w:p w14:paraId="5EA10D58" w14:textId="060B1639" w:rsidR="004B4E35" w:rsidRPr="00405303" w:rsidRDefault="009E6F82" w:rsidP="00C15251">
      <w:pPr>
        <w:jc w:val="both"/>
        <w:rPr>
          <w:bCs/>
          <w:color w:val="002060"/>
          <w:sz w:val="16"/>
          <w:szCs w:val="16"/>
        </w:rPr>
      </w:pPr>
      <w:r w:rsidRPr="00405303">
        <w:rPr>
          <w:bCs/>
          <w:color w:val="002060"/>
          <w:sz w:val="16"/>
          <w:szCs w:val="16"/>
        </w:rPr>
        <w:t>9-13 (22-25) апреля</w:t>
      </w:r>
      <w:r w:rsidR="00CB6390" w:rsidRPr="00405303">
        <w:rPr>
          <w:bCs/>
          <w:color w:val="002060"/>
          <w:sz w:val="16"/>
          <w:szCs w:val="16"/>
        </w:rPr>
        <w:t xml:space="preserve"> 1915 г. «29-й» Григоровича выдер</w:t>
      </w:r>
      <w:r w:rsidR="00CB6390" w:rsidRPr="00405303">
        <w:rPr>
          <w:bCs/>
          <w:color w:val="002060"/>
          <w:sz w:val="16"/>
          <w:szCs w:val="16"/>
        </w:rPr>
        <w:softHyphen/>
        <w:t xml:space="preserve">жал крещение огнем, участвуя в рейде к Босфору. </w:t>
      </w:r>
      <w:r w:rsidRPr="00405303">
        <w:rPr>
          <w:bCs/>
          <w:color w:val="002060"/>
          <w:sz w:val="16"/>
          <w:szCs w:val="16"/>
        </w:rPr>
        <w:t>Он находился на борту гидрокрейсе</w:t>
      </w:r>
      <w:r w:rsidRPr="00405303">
        <w:rPr>
          <w:bCs/>
          <w:color w:val="002060"/>
          <w:sz w:val="16"/>
          <w:szCs w:val="16"/>
        </w:rPr>
        <w:softHyphen/>
        <w:t>ра «Император Николай I»; ранним утром 12-го числа его спустили на воду, и он взлетел с экипа</w:t>
      </w:r>
      <w:r w:rsidRPr="00405303">
        <w:rPr>
          <w:bCs/>
          <w:color w:val="002060"/>
          <w:sz w:val="16"/>
          <w:szCs w:val="16"/>
        </w:rPr>
        <w:softHyphen/>
        <w:t>жем из подпоручика по Адмиралтейству А. Е. Жукова и прапорщика артиллерии С. Н. Корса</w:t>
      </w:r>
      <w:r w:rsidRPr="00405303">
        <w:rPr>
          <w:bCs/>
          <w:color w:val="002060"/>
          <w:sz w:val="16"/>
          <w:szCs w:val="16"/>
        </w:rPr>
        <w:softHyphen/>
        <w:t>кова. Авиаторы сумели атаковать турецкую ка</w:t>
      </w:r>
      <w:r w:rsidRPr="00405303">
        <w:rPr>
          <w:bCs/>
          <w:color w:val="002060"/>
          <w:sz w:val="16"/>
          <w:szCs w:val="16"/>
        </w:rPr>
        <w:softHyphen/>
        <w:t>нонерскую лодку класса «Бурак Рейс», сбросив на нее бомбу, разорвавшуюся в 70 м за кормой корабля. Однако вылет едва не закончился плачевно: лопнувшая в топливной системе трубка вынудила офицеров приводниться на значительном расстоянии от их плавучей базы, но им все же повезло прирулить к ней по поверхности моря. После осмотра двига</w:t>
      </w:r>
      <w:r w:rsidRPr="00405303">
        <w:rPr>
          <w:bCs/>
          <w:color w:val="002060"/>
          <w:sz w:val="16"/>
          <w:szCs w:val="16"/>
        </w:rPr>
        <w:softHyphen/>
        <w:t>теля выяснилось, что, помимо всего, шатун одного из поршней лопнул и грозил, в принципе, разнести вдребезги всю моторную установку (2807).</w:t>
      </w:r>
    </w:p>
    <w:p w14:paraId="6389C9D9" w14:textId="77777777" w:rsidR="004B4E35" w:rsidRPr="00405303" w:rsidRDefault="004B4E35" w:rsidP="00C15251">
      <w:pPr>
        <w:jc w:val="both"/>
        <w:rPr>
          <w:bCs/>
          <w:color w:val="002060"/>
          <w:sz w:val="16"/>
          <w:szCs w:val="16"/>
        </w:rPr>
      </w:pPr>
    </w:p>
    <w:p w14:paraId="381184B7"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131D3620" w14:textId="77777777" w:rsidR="004B4E35" w:rsidRPr="00405303" w:rsidRDefault="004B4E35" w:rsidP="00C15251">
      <w:pPr>
        <w:jc w:val="both"/>
        <w:rPr>
          <w:bCs/>
          <w:i/>
          <w:color w:val="002060"/>
          <w:sz w:val="16"/>
          <w:szCs w:val="16"/>
        </w:rPr>
      </w:pPr>
    </w:p>
    <w:p w14:paraId="62B234B4" w14:textId="77777777" w:rsidR="004B4E35" w:rsidRPr="00405303" w:rsidRDefault="009E6F82" w:rsidP="00C15251">
      <w:pPr>
        <w:jc w:val="both"/>
        <w:rPr>
          <w:bCs/>
          <w:color w:val="002060"/>
          <w:sz w:val="16"/>
          <w:szCs w:val="16"/>
        </w:rPr>
      </w:pPr>
      <w:r w:rsidRPr="00405303">
        <w:rPr>
          <w:bCs/>
          <w:color w:val="002060"/>
          <w:sz w:val="16"/>
          <w:szCs w:val="16"/>
        </w:rPr>
        <w:t xml:space="preserve">9 (22) апреля 1915 г. на заседании Комиссии по заготовке взрывчатых веществ В.Н. Ипатьев доложил, что вследствие недостатка серной кислоты в Петрограде реквизировано на уральских заводах 80 тыс. пуд. купоросного масла (концентрированной серной кислоты) для немедленного подвоза в столицу. Кроме того, ежемесячно должно было подвозиться около 35 тыс. пуд. серной кислоты с екатеринбургских и Верхне-Исетских заводов (РГВИА, ф. 507, оп. 2, д. 72, л. 30.). 14 мая 1915 г. на заседании Комиссии было высказано предложение всемерно "расширять производство серной кислоты на казенных заводах, а также поощрять устройство новых заводов всеми мерами" (РГВИА, ф. 507, оп. 2, д. 72, л. </w:t>
      </w:r>
      <w:proofErr w:type="gramStart"/>
      <w:r w:rsidRPr="00405303">
        <w:rPr>
          <w:bCs/>
          <w:color w:val="002060"/>
          <w:sz w:val="16"/>
          <w:szCs w:val="16"/>
        </w:rPr>
        <w:t>30..</w:t>
      </w:r>
      <w:proofErr w:type="gramEnd"/>
      <w:r w:rsidRPr="00405303">
        <w:rPr>
          <w:bCs/>
          <w:color w:val="002060"/>
          <w:sz w:val="16"/>
          <w:szCs w:val="16"/>
        </w:rPr>
        <w:t xml:space="preserve"> В своих воспоминаниях В.Н. Ипатьев пишет: "Комиссия всегда держалась того взгляда, что прочным и устойчивым может считаться лишь то производство, для которого все без исключения сырые материалы -148- могут быть разысканы внутри страны, а само производство обслуживается русским техническим персоналом"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Пг., 1921.) (11781).</w:t>
      </w:r>
    </w:p>
    <w:p w14:paraId="699CB761" w14:textId="77777777" w:rsidR="004B4E35" w:rsidRPr="00405303" w:rsidRDefault="004B4E35" w:rsidP="00C15251">
      <w:pPr>
        <w:jc w:val="both"/>
        <w:rPr>
          <w:bCs/>
          <w:color w:val="002060"/>
          <w:sz w:val="16"/>
          <w:szCs w:val="16"/>
        </w:rPr>
      </w:pPr>
    </w:p>
    <w:p w14:paraId="7CFA1370" w14:textId="77777777" w:rsidR="007446A6" w:rsidRPr="00405303" w:rsidRDefault="007446A6" w:rsidP="007446A6">
      <w:pPr>
        <w:jc w:val="both"/>
        <w:rPr>
          <w:color w:val="0070C0"/>
          <w:sz w:val="16"/>
          <w:szCs w:val="16"/>
        </w:rPr>
      </w:pPr>
      <w:r w:rsidRPr="00405303">
        <w:rPr>
          <w:color w:val="0070C0"/>
          <w:sz w:val="16"/>
          <w:szCs w:val="16"/>
        </w:rPr>
        <w:t>9 (22) апреля 1915 года Военный Совет, утвердив мнение начальника ГВТУ, вместе с тем постановил предложить представить отчет о заготовлении автомобильного имуще</w:t>
      </w:r>
      <w:r w:rsidRPr="00405303">
        <w:rPr>
          <w:color w:val="0070C0"/>
          <w:sz w:val="16"/>
          <w:szCs w:val="16"/>
        </w:rPr>
        <w:softHyphen/>
        <w:t>ства как разрешаемого настоящим положением, так и раз</w:t>
      </w:r>
      <w:r w:rsidRPr="00405303">
        <w:rPr>
          <w:color w:val="0070C0"/>
          <w:sz w:val="16"/>
          <w:szCs w:val="16"/>
        </w:rPr>
        <w:softHyphen/>
        <w:t>решенного уже разновременно на сумму 86.000.000 руб. и высказал пожелание, чтобы при заказах сделаны были по</w:t>
      </w:r>
      <w:r w:rsidRPr="00405303">
        <w:rPr>
          <w:color w:val="0070C0"/>
          <w:sz w:val="16"/>
          <w:szCs w:val="16"/>
        </w:rPr>
        <w:softHyphen/>
        <w:t>пытки получить автомобили европейских заводов, в виду превосходства этих автомобилей по сравнению с американ</w:t>
      </w:r>
      <w:r w:rsidRPr="00405303">
        <w:rPr>
          <w:color w:val="0070C0"/>
          <w:sz w:val="16"/>
          <w:szCs w:val="16"/>
        </w:rPr>
        <w:softHyphen/>
        <w:t>скими.</w:t>
      </w:r>
    </w:p>
    <w:p w14:paraId="20C8A135" w14:textId="77777777" w:rsidR="007446A6" w:rsidRPr="00405303" w:rsidRDefault="007446A6" w:rsidP="007446A6">
      <w:pPr>
        <w:jc w:val="both"/>
        <w:rPr>
          <w:color w:val="0070C0"/>
          <w:sz w:val="16"/>
          <w:szCs w:val="16"/>
        </w:rPr>
      </w:pPr>
      <w:r w:rsidRPr="00405303">
        <w:rPr>
          <w:color w:val="0070C0"/>
          <w:sz w:val="16"/>
          <w:szCs w:val="16"/>
        </w:rPr>
        <w:t>Однако, рассматриваемая заготовка, в действительности, была осуществлена не совсем так, как это было указано в представлении ГВТУ, а именно, из числа европейских го</w:t>
      </w:r>
      <w:r w:rsidRPr="00405303">
        <w:rPr>
          <w:color w:val="0070C0"/>
          <w:sz w:val="16"/>
          <w:szCs w:val="16"/>
        </w:rPr>
        <w:softHyphen/>
        <w:t>сударств, упомянутых в представлении, заказы были даны только во Франции и Италии (во Франции фирме «Рено» — 260 грузовиков, 350 санитарных и 85 легковых автомобилей и фирме «Берлие» — 50 четырехтонных грузовиков, в Италии фирме «Фиат» — 300 грузовых автомобилей) и при том только на 1.045 автомобилей, остальная же часть заготовки произведена была ГВТУ, с доклада ген. Сухомлинову, через по</w:t>
      </w:r>
      <w:r w:rsidRPr="00405303">
        <w:rPr>
          <w:color w:val="0070C0"/>
          <w:sz w:val="16"/>
          <w:szCs w:val="16"/>
        </w:rPr>
        <w:softHyphen/>
        <w:t>средство Гастона и банкирского дома «Маврикий Нелькен», которым, вместо 900, заказано было 2.348 автомобилей (Га</w:t>
      </w:r>
      <w:r w:rsidRPr="00405303">
        <w:rPr>
          <w:color w:val="0070C0"/>
          <w:sz w:val="16"/>
          <w:szCs w:val="16"/>
        </w:rPr>
        <w:softHyphen/>
        <w:t>стону—1.163, а Маврикий Нелькен —1.185).</w:t>
      </w:r>
    </w:p>
    <w:p w14:paraId="4BDD28EC" w14:textId="77777777" w:rsidR="007446A6" w:rsidRPr="00405303" w:rsidRDefault="007446A6" w:rsidP="007446A6">
      <w:pPr>
        <w:jc w:val="both"/>
        <w:rPr>
          <w:color w:val="0070C0"/>
          <w:sz w:val="16"/>
          <w:szCs w:val="16"/>
        </w:rPr>
      </w:pPr>
      <w:r w:rsidRPr="00405303">
        <w:rPr>
          <w:color w:val="0070C0"/>
          <w:sz w:val="16"/>
          <w:szCs w:val="16"/>
        </w:rPr>
        <w:t>Что касается тыловых мастерских, то только 9 апреля 1915 г. Военный Совет постановил сформировать мастерские в г.г. Вильне, Бресте и Бердичеве, согласно временным штатам, утвержденным 19 того же апреля (24923).</w:t>
      </w:r>
    </w:p>
    <w:p w14:paraId="7E77C830" w14:textId="77777777" w:rsidR="007446A6" w:rsidRPr="00405303" w:rsidRDefault="007446A6" w:rsidP="007446A6">
      <w:pPr>
        <w:jc w:val="both"/>
        <w:rPr>
          <w:color w:val="0070C0"/>
          <w:sz w:val="16"/>
          <w:szCs w:val="16"/>
        </w:rPr>
      </w:pPr>
    </w:p>
    <w:p w14:paraId="5447CD33" w14:textId="77777777" w:rsidR="007446A6" w:rsidRPr="00405303" w:rsidRDefault="007446A6" w:rsidP="007446A6">
      <w:pPr>
        <w:jc w:val="both"/>
        <w:rPr>
          <w:color w:val="0070C0"/>
          <w:sz w:val="16"/>
          <w:szCs w:val="16"/>
        </w:rPr>
      </w:pPr>
      <w:r w:rsidRPr="00405303">
        <w:rPr>
          <w:color w:val="0070C0"/>
          <w:sz w:val="16"/>
          <w:szCs w:val="16"/>
        </w:rPr>
        <w:t>9 (22) апреля 1915 года был подписан Договор на дополнительные поставки бронеавтомобилей «Остин» со следующи</w:t>
      </w:r>
      <w:r w:rsidRPr="00405303">
        <w:rPr>
          <w:color w:val="0070C0"/>
          <w:sz w:val="16"/>
          <w:szCs w:val="16"/>
        </w:rPr>
        <w:softHyphen/>
        <w:t>ми сроками поставки: первый броневик - к 6 мая, 20 машин - к 14 мая и 29 - к 14 июня. При этом в конструкцию бронеавтомобилей вносились изменения по опыту эксплуата</w:t>
      </w:r>
      <w:r w:rsidRPr="00405303">
        <w:rPr>
          <w:color w:val="0070C0"/>
          <w:sz w:val="16"/>
          <w:szCs w:val="16"/>
        </w:rPr>
        <w:softHyphen/>
        <w:t>ции «остинов» 1-й заготовки: увеличена тол</w:t>
      </w:r>
      <w:r w:rsidRPr="00405303">
        <w:rPr>
          <w:color w:val="0070C0"/>
          <w:sz w:val="16"/>
          <w:szCs w:val="16"/>
        </w:rPr>
        <w:softHyphen/>
        <w:t>щина бронелистов, изменен горизонтальный угол обстрела пулеметов, вносились измене</w:t>
      </w:r>
      <w:r w:rsidRPr="00405303">
        <w:rPr>
          <w:color w:val="0070C0"/>
          <w:sz w:val="16"/>
          <w:szCs w:val="16"/>
        </w:rPr>
        <w:softHyphen/>
        <w:t>ния в шасси.</w:t>
      </w:r>
    </w:p>
    <w:p w14:paraId="61980FCB" w14:textId="77777777" w:rsidR="007446A6" w:rsidRPr="00405303" w:rsidRDefault="007446A6" w:rsidP="007446A6">
      <w:pPr>
        <w:jc w:val="both"/>
        <w:rPr>
          <w:color w:val="0070C0"/>
          <w:sz w:val="16"/>
          <w:szCs w:val="16"/>
        </w:rPr>
      </w:pPr>
      <w:r w:rsidRPr="00405303">
        <w:rPr>
          <w:color w:val="0070C0"/>
          <w:sz w:val="16"/>
          <w:szCs w:val="16"/>
        </w:rPr>
        <w:t>Из-за сильной загрузки фирмы «Остин» военными заказами для английской армии, первые 12 броневиков новой партии отправи</w:t>
      </w:r>
      <w:r w:rsidRPr="00405303">
        <w:rPr>
          <w:color w:val="0070C0"/>
          <w:sz w:val="16"/>
          <w:szCs w:val="16"/>
        </w:rPr>
        <w:softHyphen/>
        <w:t>ли в Россию только в конце июля 1915 года, затем 17 машин в августе, 12 в сентябре, 7 в октябре и 2 в ноябре. Кроме того, в июле с фирмой «Остин» заключили дополнитель</w:t>
      </w:r>
      <w:r w:rsidRPr="00405303">
        <w:rPr>
          <w:color w:val="0070C0"/>
          <w:sz w:val="16"/>
          <w:szCs w:val="16"/>
        </w:rPr>
        <w:softHyphen/>
        <w:t>ное соглашение, по которому заказ увеличи</w:t>
      </w:r>
      <w:r w:rsidRPr="00405303">
        <w:rPr>
          <w:color w:val="0070C0"/>
          <w:sz w:val="16"/>
          <w:szCs w:val="16"/>
        </w:rPr>
        <w:softHyphen/>
        <w:t>вался на десять броневиков. Эти машины от</w:t>
      </w:r>
      <w:r w:rsidRPr="00405303">
        <w:rPr>
          <w:color w:val="0070C0"/>
          <w:sz w:val="16"/>
          <w:szCs w:val="16"/>
        </w:rPr>
        <w:softHyphen/>
        <w:t>правили в Россию в ноябре – декабре (25008).</w:t>
      </w:r>
    </w:p>
    <w:p w14:paraId="21A2B8AA" w14:textId="77777777" w:rsidR="007446A6" w:rsidRPr="00405303" w:rsidRDefault="007446A6" w:rsidP="007446A6">
      <w:pPr>
        <w:jc w:val="both"/>
        <w:rPr>
          <w:color w:val="0070C0"/>
          <w:sz w:val="16"/>
          <w:szCs w:val="16"/>
        </w:rPr>
      </w:pPr>
    </w:p>
    <w:p w14:paraId="3C33E3D9" w14:textId="47C300C0" w:rsidR="00C44E2D" w:rsidRPr="00405303" w:rsidRDefault="00604826" w:rsidP="00C15251">
      <w:pPr>
        <w:jc w:val="both"/>
        <w:rPr>
          <w:bCs/>
          <w:color w:val="002060"/>
          <w:sz w:val="16"/>
          <w:szCs w:val="16"/>
        </w:rPr>
      </w:pPr>
      <w:r w:rsidRPr="00405303">
        <w:rPr>
          <w:bCs/>
          <w:color w:val="002060"/>
          <w:sz w:val="16"/>
          <w:szCs w:val="16"/>
        </w:rPr>
        <w:t xml:space="preserve">С </w:t>
      </w:r>
      <w:r w:rsidR="00C44E2D" w:rsidRPr="00405303">
        <w:rPr>
          <w:bCs/>
          <w:color w:val="002060"/>
          <w:sz w:val="16"/>
          <w:szCs w:val="16"/>
        </w:rPr>
        <w:t xml:space="preserve">9 </w:t>
      </w:r>
      <w:r w:rsidR="00CB6390" w:rsidRPr="00405303">
        <w:rPr>
          <w:bCs/>
          <w:color w:val="002060"/>
          <w:sz w:val="16"/>
          <w:szCs w:val="16"/>
        </w:rPr>
        <w:t xml:space="preserve">(22) </w:t>
      </w:r>
      <w:r w:rsidR="00C44E2D" w:rsidRPr="00405303">
        <w:rPr>
          <w:bCs/>
          <w:color w:val="002060"/>
          <w:sz w:val="16"/>
          <w:szCs w:val="16"/>
        </w:rPr>
        <w:t>апреля 1915 г. после того, как Германия повторно применила газы, но уже с более серьезными последствиями в битве на Ипре, все воюющие державы начали активно использовать ОВ. Россия, разумеется, не могла остаться в стороне. Отечественное военно-химическое производство в то время находилось в зачаточном состоянии — за время войны на российских заводах было произведено всего 3650 т. ОВ, в то время как в Германии — 68 100 т (18263).</w:t>
      </w:r>
    </w:p>
    <w:p w14:paraId="2DB8CCFB" w14:textId="77777777" w:rsidR="00C44E2D" w:rsidRPr="00405303" w:rsidRDefault="00C44E2D" w:rsidP="00C15251">
      <w:pPr>
        <w:jc w:val="both"/>
        <w:rPr>
          <w:bCs/>
          <w:color w:val="002060"/>
          <w:sz w:val="16"/>
          <w:szCs w:val="16"/>
        </w:rPr>
      </w:pPr>
    </w:p>
    <w:p w14:paraId="0C1C4609" w14:textId="10D80B9F" w:rsidR="00604826" w:rsidRPr="00405303" w:rsidRDefault="00604826" w:rsidP="00C15251">
      <w:pPr>
        <w:jc w:val="both"/>
        <w:rPr>
          <w:bCs/>
          <w:i/>
          <w:color w:val="002060"/>
          <w:sz w:val="16"/>
          <w:szCs w:val="16"/>
        </w:rPr>
      </w:pPr>
      <w:r w:rsidRPr="00405303">
        <w:rPr>
          <w:bCs/>
          <w:i/>
          <w:color w:val="002060"/>
          <w:sz w:val="16"/>
          <w:szCs w:val="16"/>
        </w:rPr>
        <w:t>Авиация:</w:t>
      </w:r>
    </w:p>
    <w:p w14:paraId="1EB39CAB" w14:textId="77777777" w:rsidR="00604826" w:rsidRPr="00405303" w:rsidRDefault="00604826" w:rsidP="00C15251">
      <w:pPr>
        <w:jc w:val="both"/>
        <w:rPr>
          <w:bCs/>
          <w:i/>
          <w:color w:val="002060"/>
          <w:sz w:val="16"/>
          <w:szCs w:val="16"/>
        </w:rPr>
      </w:pPr>
    </w:p>
    <w:p w14:paraId="4B429945" w14:textId="77777777" w:rsidR="00604826" w:rsidRPr="00405303" w:rsidRDefault="00604826" w:rsidP="00C15251">
      <w:pPr>
        <w:jc w:val="both"/>
        <w:rPr>
          <w:bCs/>
          <w:color w:val="002060"/>
          <w:sz w:val="16"/>
          <w:szCs w:val="16"/>
        </w:rPr>
      </w:pPr>
      <w:r w:rsidRPr="00405303">
        <w:rPr>
          <w:bCs/>
          <w:color w:val="002060"/>
          <w:sz w:val="16"/>
          <w:szCs w:val="16"/>
        </w:rPr>
        <w:t>9 (22) апреля 1915 г. Военный совет постановил сформировать на время войны 12 воздухоплавательных рот, присвоив им наименования 1,5, б, 7, 8, 9, 10, 11, 15, 16, 17 и 18-я воздухоплавательные роты.</w:t>
      </w:r>
    </w:p>
    <w:p w14:paraId="54FEC2FB" w14:textId="77777777" w:rsidR="00604826" w:rsidRPr="00405303" w:rsidRDefault="00604826" w:rsidP="00C15251">
      <w:pPr>
        <w:jc w:val="both"/>
        <w:rPr>
          <w:bCs/>
          <w:color w:val="002060"/>
          <w:sz w:val="16"/>
          <w:szCs w:val="16"/>
        </w:rPr>
      </w:pPr>
      <w:r w:rsidRPr="00405303">
        <w:rPr>
          <w:bCs/>
          <w:color w:val="002060"/>
          <w:sz w:val="16"/>
          <w:szCs w:val="16"/>
        </w:rPr>
        <w:t>/ЦГВИА, ф. 493, оп. 2, д. 4, д. 280/ (23320).</w:t>
      </w:r>
    </w:p>
    <w:p w14:paraId="4C8B0BFF" w14:textId="77777777" w:rsidR="00604826" w:rsidRPr="00405303" w:rsidRDefault="00604826" w:rsidP="00C15251">
      <w:pPr>
        <w:jc w:val="both"/>
        <w:rPr>
          <w:bCs/>
          <w:color w:val="002060"/>
          <w:sz w:val="16"/>
          <w:szCs w:val="16"/>
        </w:rPr>
      </w:pPr>
    </w:p>
    <w:p w14:paraId="579ECA3F" w14:textId="3ECBB460" w:rsidR="00EA55AE" w:rsidRPr="00405303" w:rsidRDefault="00EA55AE" w:rsidP="00C15251">
      <w:pPr>
        <w:jc w:val="both"/>
        <w:rPr>
          <w:bCs/>
          <w:color w:val="002060"/>
          <w:sz w:val="16"/>
          <w:szCs w:val="16"/>
        </w:rPr>
      </w:pPr>
      <w:bookmarkStart w:id="93" w:name="bookmark130"/>
      <w:bookmarkStart w:id="94" w:name="bookmark131"/>
      <w:r w:rsidRPr="00405303">
        <w:rPr>
          <w:bCs/>
          <w:color w:val="002060"/>
          <w:sz w:val="16"/>
          <w:szCs w:val="16"/>
        </w:rPr>
        <w:lastRenderedPageBreak/>
        <w:t>9 (22) апреля 1915 г. несколько германских аэропланов подвергли бомбардировке уездный город Цеханов, сбросив на его объекты около 100 бомб малого калибра. В ночь с 19 на 20 апреля налет на город повторился (23405).</w:t>
      </w:r>
      <w:bookmarkEnd w:id="93"/>
      <w:bookmarkEnd w:id="94"/>
    </w:p>
    <w:p w14:paraId="01C1AF21" w14:textId="77777777" w:rsidR="00EA55AE" w:rsidRPr="00405303" w:rsidRDefault="00EA55AE" w:rsidP="00C15251">
      <w:pPr>
        <w:jc w:val="both"/>
        <w:rPr>
          <w:bCs/>
          <w:color w:val="002060"/>
          <w:sz w:val="16"/>
          <w:szCs w:val="16"/>
          <w:lang w:bidi="ru-RU"/>
        </w:rPr>
      </w:pPr>
    </w:p>
    <w:p w14:paraId="56A693B7" w14:textId="77777777" w:rsidR="00796C2D" w:rsidRPr="00405303" w:rsidRDefault="00796C2D" w:rsidP="00796C2D">
      <w:pPr>
        <w:jc w:val="both"/>
        <w:rPr>
          <w:color w:val="0070C0"/>
          <w:sz w:val="16"/>
          <w:szCs w:val="16"/>
        </w:rPr>
      </w:pPr>
      <w:r w:rsidRPr="00405303">
        <w:rPr>
          <w:rStyle w:val="aa"/>
          <w:rFonts w:ascii="Times New Roman" w:hAnsi="Times New Roman"/>
          <w:color w:val="0070C0"/>
          <w:spacing w:val="0"/>
          <w:sz w:val="16"/>
          <w:szCs w:val="16"/>
        </w:rPr>
        <w:t>9 (22) апреля 1915 г. в окрестностях Ольштин русская батарея удачно обстреляла немецкий аэроплан, который упал с большой высоты в район противника (25135).</w:t>
      </w:r>
    </w:p>
    <w:p w14:paraId="4F7DB2F0" w14:textId="77777777" w:rsidR="00796C2D" w:rsidRPr="00405303" w:rsidRDefault="00796C2D" w:rsidP="00796C2D">
      <w:pPr>
        <w:jc w:val="both"/>
        <w:rPr>
          <w:rStyle w:val="aa"/>
          <w:rFonts w:ascii="Times New Roman" w:hAnsi="Times New Roman"/>
          <w:color w:val="0070C0"/>
          <w:spacing w:val="0"/>
          <w:sz w:val="16"/>
          <w:szCs w:val="16"/>
        </w:rPr>
      </w:pPr>
    </w:p>
    <w:p w14:paraId="06F5CF8F" w14:textId="33B76BE9" w:rsidR="004B4E35" w:rsidRPr="00405303" w:rsidRDefault="009E6F82" w:rsidP="00C15251">
      <w:pPr>
        <w:jc w:val="both"/>
        <w:rPr>
          <w:bCs/>
          <w:i/>
          <w:color w:val="002060"/>
          <w:sz w:val="16"/>
          <w:szCs w:val="16"/>
        </w:rPr>
      </w:pPr>
      <w:r w:rsidRPr="00405303">
        <w:rPr>
          <w:bCs/>
          <w:i/>
          <w:color w:val="002060"/>
          <w:sz w:val="16"/>
          <w:szCs w:val="16"/>
        </w:rPr>
        <w:t>За рубежом:</w:t>
      </w:r>
    </w:p>
    <w:p w14:paraId="1F28606A" w14:textId="77777777" w:rsidR="004B4E35" w:rsidRPr="00405303" w:rsidRDefault="004B4E35" w:rsidP="00C15251">
      <w:pPr>
        <w:jc w:val="both"/>
        <w:rPr>
          <w:bCs/>
          <w:i/>
          <w:color w:val="002060"/>
          <w:sz w:val="16"/>
          <w:szCs w:val="16"/>
        </w:rPr>
      </w:pPr>
    </w:p>
    <w:p w14:paraId="0CC451B6" w14:textId="77777777" w:rsidR="00604826" w:rsidRPr="00405303" w:rsidRDefault="00604826" w:rsidP="00C15251">
      <w:pPr>
        <w:jc w:val="both"/>
        <w:rPr>
          <w:bCs/>
          <w:color w:val="002060"/>
          <w:sz w:val="16"/>
          <w:szCs w:val="16"/>
        </w:rPr>
      </w:pPr>
      <w:r w:rsidRPr="00405303">
        <w:rPr>
          <w:bCs/>
          <w:color w:val="002060"/>
          <w:sz w:val="16"/>
          <w:szCs w:val="16"/>
        </w:rPr>
        <w:t xml:space="preserve">9 (22) апреля 1915 года Германия провела массивную хлорную атаку, в результате чего 15 тысяч солдат получили поражения, из них 5 тысяч погибли. Немцы на фронте 6 км выпустили хлор из 5730 баллонов. В течение 5-8 минут было выпущено 168 тонн хлора. Это вероломное использование Германией химического оружия было встречено мощной пропагандистской кампанией, обличающей использование отравляющих веществ в военных целях и направленной против Германии, инициатором которой была Британия. Джулиан Пэрри Робинсон исследовал пропагандистские материалы, выпущенные после ипрских событий и привлекшие внимание к описанию потерь союзников, вследствие газовой атаки, </w:t>
      </w:r>
      <w:proofErr w:type="gramStart"/>
      <w:r w:rsidRPr="00405303">
        <w:rPr>
          <w:bCs/>
          <w:color w:val="002060"/>
          <w:sz w:val="16"/>
          <w:szCs w:val="16"/>
        </w:rPr>
        <w:t>на основании информации</w:t>
      </w:r>
      <w:proofErr w:type="gramEnd"/>
      <w:r w:rsidRPr="00405303">
        <w:rPr>
          <w:bCs/>
          <w:color w:val="002060"/>
          <w:sz w:val="16"/>
          <w:szCs w:val="16"/>
        </w:rPr>
        <w:t xml:space="preserve"> представленной источниками, заслуживающими доверия. "Таймс" 17 (30) апреля 1915 года опубликовал статью: "Полная история событий: Новое немецкое оружие". Вот как описывали это событие очевидцы: "Лица, руки людей были, глянцевого серо-черного цвета, рты открыты, глаза покрыты свинцовой глазурью, все вокруг металось, кружилось, борясь за жизнь. Зрелище было пугающим, все эти ужасные почерневшие лица, стенавшие и молящие о помощи… Воздействие газа заключается в заполнении легких водянистой слизистой жидкостью, которая постепенно заполняет все легкие, из-за этого происходит удушение, вследствие, чего люди умирали в течение 1 или 2 дней". Немецкая пропаганда так отвечала своим оппонентам: "Эти снаряды не более опасны, чем ядовитые вещества, применявшихся во время английских волнений (имелись в виду Луддитские взрывы, использовавшие взрывчатые вещества на основе пикриновой кислоты)". Эта первая газовая атака была полной неожиданностью для войск Союзников, но уже 12 (25) сентября 1915 года Британские войска провели свою пробную хлорную атаку. В дальнейших газобаллонных атаках применялись как хлор, так и смеси хлора с фосгеном. Впервые смесь фосгена с хлором была впервые применена как ОВ Германией 18 (31) мая 1915 года, против русских войск. На фронте 12 км - под Болимовом (Польша), из 12 тысяч баллонов было выпущено 264 т этой смеси. Несмотря на отсутствие средств защиты и неожиданность немецкая атака была отбита. В 2 русских дивизиях из строя было выведено почти 9 тысяч человек. С 1917 года воюющими странами стали применяться газомёты (прообраз миномётов). Впервые они были применены англичанами. Мины содержали от 9 до 28 кг отравляющего вещества, стрельба из газомётов производилась в основном фосгеном, жидким дифосгеном и хлорпикрином. Немецкие газомёты были причиной "чуда у Капоретто", когда после обстрела из 912 газомётов минами с фосгеном итальянского батальона, в долине реки Изонцо было уничтожено всё живое. Газомёты были способны внезапно создавать в районе цели высокие концентрации ОВ, поэтому множество итальянцев погибли даже в противогазах. Газомёты дали толчок применению артиллерийских средств, применения отравляющих веществ, с середины 1916 года. Применение артиллерии повысило эффективность газовых атак. Так 22 июня 1916 г. за 7 часов непрерывного обстрела немецкая артиллерия выпустила 125 тыс. снарядов с 100 тыс. л. удушающих ОВ. Масса отравляющих веществ в баллонах составляла 50%, в снарядах лишь 10%. 15 мая 1916 г. французы во время артиллерийского обстрела применили смесь фосгена с четыреххлористым оловом и треххлористым мышьяком, а 1 июля - смесь синильной кислоты с треххлористым мышьяком. 10 июля 1917 года немцами на Западном фронте был впервые применён дифенилхлорарсин, вызывающий сильный кашель даже через противогаз, в те годы имевший плохой противодымный фильтр. Поэтому в дальнейшем для поражения живой силы противника дифенилхлорарсин стали применять вместе с фосгеном или </w:t>
      </w:r>
      <w:proofErr w:type="gramStart"/>
      <w:r w:rsidRPr="00405303">
        <w:rPr>
          <w:bCs/>
          <w:color w:val="002060"/>
          <w:sz w:val="16"/>
          <w:szCs w:val="16"/>
        </w:rPr>
        <w:t>дифосгеном.Новый</w:t>
      </w:r>
      <w:proofErr w:type="gramEnd"/>
      <w:r w:rsidRPr="00405303">
        <w:rPr>
          <w:bCs/>
          <w:color w:val="002060"/>
          <w:sz w:val="16"/>
          <w:szCs w:val="16"/>
        </w:rPr>
        <w:t xml:space="preserve"> этап применения химического оружия начался с применения стойкого отравляющего вещества кожно-нарывного действия (В, В -дихлордиэтилсульфида). Примененного впервые немецкими войсками под бельгийским городом Ипр. 12 июля 1917 года в течение 4 часов по позициям союзников было выпущено 50 тысяч снарядов, содержащих 125 тонн В, В-дихлордиэтилсульфида. Поражения различной степени получили 2490 человек. Французами новое ОВ было названо "ипритом", по месту первого применения, а англичанами "горчичным газом" из-за сильного специфического запаха. </w:t>
      </w:r>
    </w:p>
    <w:p w14:paraId="627F6A56" w14:textId="77777777" w:rsidR="00604826" w:rsidRPr="00405303" w:rsidRDefault="00604826" w:rsidP="00C15251">
      <w:pPr>
        <w:jc w:val="both"/>
        <w:rPr>
          <w:bCs/>
          <w:color w:val="002060"/>
          <w:sz w:val="16"/>
          <w:szCs w:val="16"/>
        </w:rPr>
      </w:pPr>
    </w:p>
    <w:p w14:paraId="6B079693" w14:textId="77777777" w:rsidR="004B4E35" w:rsidRPr="00405303" w:rsidRDefault="009E6F82" w:rsidP="00C15251">
      <w:pPr>
        <w:jc w:val="both"/>
        <w:rPr>
          <w:bCs/>
          <w:color w:val="002060"/>
          <w:sz w:val="16"/>
          <w:szCs w:val="16"/>
        </w:rPr>
      </w:pPr>
      <w:r w:rsidRPr="00405303">
        <w:rPr>
          <w:bCs/>
          <w:color w:val="002060"/>
          <w:sz w:val="16"/>
          <w:szCs w:val="16"/>
        </w:rPr>
        <w:t xml:space="preserve">9 (22) апреля 1915 - Германский штаб испытывает новые средства прорыва обороны в позиционной войне; у Ипра немцами применены против французов химические средства борьбы в виде газа хлора, выпущенного с попутным ветром из </w:t>
      </w:r>
      <w:proofErr w:type="gramStart"/>
      <w:r w:rsidRPr="00405303">
        <w:rPr>
          <w:bCs/>
          <w:color w:val="002060"/>
          <w:sz w:val="16"/>
          <w:szCs w:val="16"/>
        </w:rPr>
        <w:t>баллонов .</w:t>
      </w:r>
      <w:proofErr w:type="gramEnd"/>
      <w:r w:rsidRPr="00405303">
        <w:rPr>
          <w:bCs/>
          <w:color w:val="002060"/>
          <w:sz w:val="16"/>
          <w:szCs w:val="16"/>
        </w:rPr>
        <w:t xml:space="preserve"> Отравились хлором 15 тысяч человек, из них 5 тысяч умерло. Операция была проведена прежде всего с целью скрыть крупномасштабную подготовку германских войск к прорыву русского фронта в Галиции. Перевозка корпусов с Западноевропейского фронта началась 17 апреля. Для обеспечения скрытности войска перевозились кружным путем; германская авиация вела непрерывную воздушную разведку, предоставляя сведения о всех передвижениях русских войск. Приказ на занятие германскими войсками исходного положения был отдан 25 апреля. Смена австрийских частей была завершена к 28 апреля; вся подготовка операции заняла 16 суток (11999).</w:t>
      </w:r>
    </w:p>
    <w:p w14:paraId="1D287DF7" w14:textId="77777777" w:rsidR="004B4E35" w:rsidRPr="00405303" w:rsidRDefault="004B4E35" w:rsidP="00C15251">
      <w:pPr>
        <w:jc w:val="both"/>
        <w:rPr>
          <w:bCs/>
          <w:color w:val="002060"/>
          <w:sz w:val="16"/>
          <w:szCs w:val="16"/>
        </w:rPr>
      </w:pPr>
    </w:p>
    <w:p w14:paraId="35752A3F" w14:textId="70532BD7" w:rsidR="00C44E2D" w:rsidRPr="00405303" w:rsidRDefault="00C44E2D" w:rsidP="00C15251">
      <w:pPr>
        <w:pStyle w:val="100"/>
        <w:spacing w:before="0" w:beforeAutospacing="0" w:after="0" w:afterAutospacing="0"/>
        <w:jc w:val="both"/>
        <w:rPr>
          <w:bCs/>
          <w:color w:val="002060"/>
          <w:sz w:val="16"/>
          <w:szCs w:val="16"/>
        </w:rPr>
      </w:pPr>
      <w:r w:rsidRPr="00405303">
        <w:rPr>
          <w:bCs/>
          <w:color w:val="002060"/>
          <w:sz w:val="16"/>
          <w:szCs w:val="16"/>
        </w:rPr>
        <w:t>9 (22) апреля 1915 г. у бельгийского города Ипр</w:t>
      </w:r>
      <w:r w:rsidR="000F5756">
        <w:rPr>
          <w:bCs/>
          <w:color w:val="002060"/>
          <w:sz w:val="16"/>
          <w:szCs w:val="16"/>
        </w:rPr>
        <w:t xml:space="preserve"> </w:t>
      </w:r>
      <w:r w:rsidRPr="00405303">
        <w:rPr>
          <w:bCs/>
          <w:color w:val="002060"/>
          <w:sz w:val="16"/>
          <w:szCs w:val="16"/>
        </w:rPr>
        <w:t>германская армия распылила перед англо-французскими позициями</w:t>
      </w:r>
      <w:r w:rsidR="000F5756">
        <w:rPr>
          <w:bCs/>
          <w:color w:val="002060"/>
          <w:sz w:val="16"/>
          <w:szCs w:val="16"/>
        </w:rPr>
        <w:t xml:space="preserve"> </w:t>
      </w:r>
      <w:r w:rsidRPr="00405303">
        <w:rPr>
          <w:bCs/>
          <w:color w:val="002060"/>
          <w:sz w:val="16"/>
          <w:szCs w:val="16"/>
        </w:rPr>
        <w:t>168 тонн хлора.</w:t>
      </w:r>
      <w:r w:rsidR="000F5756">
        <w:rPr>
          <w:bCs/>
          <w:color w:val="002060"/>
          <w:sz w:val="16"/>
          <w:szCs w:val="16"/>
        </w:rPr>
        <w:t xml:space="preserve"> </w:t>
      </w:r>
      <w:r w:rsidR="00DB4D64" w:rsidRPr="00405303">
        <w:rPr>
          <w:bCs/>
          <w:color w:val="002060"/>
          <w:sz w:val="16"/>
          <w:szCs w:val="16"/>
        </w:rPr>
        <w:t xml:space="preserve"> </w:t>
      </w:r>
      <w:r w:rsidRPr="00405303">
        <w:rPr>
          <w:bCs/>
          <w:color w:val="002060"/>
          <w:sz w:val="16"/>
          <w:szCs w:val="16"/>
        </w:rPr>
        <w:t>До конца 1-й мировой войны от "бесшумного оружия" массового поражения (хлор, фосген, иприт и других ОВ) пострадали примерно 1,3 млн.</w:t>
      </w:r>
      <w:r w:rsidR="000F5756">
        <w:rPr>
          <w:bCs/>
          <w:color w:val="002060"/>
          <w:sz w:val="16"/>
          <w:szCs w:val="16"/>
        </w:rPr>
        <w:t xml:space="preserve"> </w:t>
      </w:r>
      <w:r w:rsidRPr="00405303">
        <w:rPr>
          <w:bCs/>
          <w:color w:val="002060"/>
          <w:sz w:val="16"/>
          <w:szCs w:val="16"/>
        </w:rPr>
        <w:t>человек. Писатели</w:t>
      </w:r>
      <w:r w:rsidR="00DB4D64" w:rsidRPr="00405303">
        <w:rPr>
          <w:bCs/>
          <w:color w:val="002060"/>
          <w:sz w:val="16"/>
          <w:szCs w:val="16"/>
        </w:rPr>
        <w:t xml:space="preserve"> </w:t>
      </w:r>
      <w:r w:rsidRPr="00405303">
        <w:rPr>
          <w:bCs/>
          <w:color w:val="002060"/>
          <w:sz w:val="16"/>
          <w:szCs w:val="16"/>
        </w:rPr>
        <w:t>Анри Барбюс,</w:t>
      </w:r>
      <w:r w:rsidR="000F5756">
        <w:rPr>
          <w:bCs/>
          <w:color w:val="002060"/>
          <w:sz w:val="16"/>
          <w:szCs w:val="16"/>
        </w:rPr>
        <w:t xml:space="preserve"> </w:t>
      </w:r>
      <w:r w:rsidRPr="00405303">
        <w:rPr>
          <w:bCs/>
          <w:color w:val="002060"/>
          <w:sz w:val="16"/>
          <w:szCs w:val="16"/>
        </w:rPr>
        <w:t>Ричард Олдингтон и</w:t>
      </w:r>
      <w:r w:rsidR="000F5756">
        <w:rPr>
          <w:bCs/>
          <w:color w:val="002060"/>
          <w:sz w:val="16"/>
          <w:szCs w:val="16"/>
        </w:rPr>
        <w:t xml:space="preserve"> </w:t>
      </w:r>
      <w:r w:rsidRPr="00405303">
        <w:rPr>
          <w:bCs/>
          <w:color w:val="002060"/>
          <w:sz w:val="16"/>
          <w:szCs w:val="16"/>
        </w:rPr>
        <w:t>Эрих</w:t>
      </w:r>
      <w:r w:rsidR="000F5756">
        <w:rPr>
          <w:bCs/>
          <w:color w:val="002060"/>
          <w:sz w:val="16"/>
          <w:szCs w:val="16"/>
        </w:rPr>
        <w:t xml:space="preserve"> </w:t>
      </w:r>
      <w:proofErr w:type="gramStart"/>
      <w:r w:rsidRPr="00405303">
        <w:rPr>
          <w:bCs/>
          <w:color w:val="002060"/>
          <w:sz w:val="16"/>
          <w:szCs w:val="16"/>
        </w:rPr>
        <w:t>Ремарк</w:t>
      </w:r>
      <w:r w:rsidR="000F5756">
        <w:rPr>
          <w:bCs/>
          <w:color w:val="002060"/>
          <w:sz w:val="16"/>
          <w:szCs w:val="16"/>
        </w:rPr>
        <w:t xml:space="preserve"> </w:t>
      </w:r>
      <w:r w:rsidR="00DB4D64" w:rsidRPr="00405303">
        <w:rPr>
          <w:bCs/>
          <w:color w:val="002060"/>
          <w:sz w:val="16"/>
          <w:szCs w:val="16"/>
        </w:rPr>
        <w:t xml:space="preserve"> </w:t>
      </w:r>
      <w:r w:rsidRPr="00405303">
        <w:rPr>
          <w:bCs/>
          <w:color w:val="002060"/>
          <w:sz w:val="16"/>
          <w:szCs w:val="16"/>
        </w:rPr>
        <w:t>с</w:t>
      </w:r>
      <w:proofErr w:type="gramEnd"/>
      <w:r w:rsidRPr="00405303">
        <w:rPr>
          <w:bCs/>
          <w:color w:val="002060"/>
          <w:sz w:val="16"/>
          <w:szCs w:val="16"/>
        </w:rPr>
        <w:t xml:space="preserve"> горечью и не без основания писали о том, что</w:t>
      </w:r>
      <w:r w:rsidR="000F5756">
        <w:rPr>
          <w:bCs/>
          <w:color w:val="002060"/>
          <w:sz w:val="16"/>
          <w:szCs w:val="16"/>
        </w:rPr>
        <w:t xml:space="preserve"> </w:t>
      </w:r>
      <w:r w:rsidRPr="00405303">
        <w:rPr>
          <w:bCs/>
          <w:color w:val="002060"/>
          <w:sz w:val="16"/>
          <w:szCs w:val="16"/>
        </w:rPr>
        <w:t>среди трупов безымянных жертв</w:t>
      </w:r>
      <w:r w:rsidR="000F5756">
        <w:rPr>
          <w:bCs/>
          <w:color w:val="002060"/>
          <w:sz w:val="16"/>
          <w:szCs w:val="16"/>
        </w:rPr>
        <w:t xml:space="preserve"> </w:t>
      </w:r>
      <w:r w:rsidRPr="00405303">
        <w:rPr>
          <w:bCs/>
          <w:color w:val="002060"/>
          <w:sz w:val="16"/>
          <w:szCs w:val="16"/>
        </w:rPr>
        <w:t>на Ипре, под Верденом и на Сомме "разложился и сгнил европейский гуманизм" (18389).</w:t>
      </w:r>
    </w:p>
    <w:p w14:paraId="6AE29198" w14:textId="77777777" w:rsidR="00C44E2D" w:rsidRPr="00405303" w:rsidRDefault="00C44E2D" w:rsidP="00C15251">
      <w:pPr>
        <w:pStyle w:val="100"/>
        <w:spacing w:before="0" w:beforeAutospacing="0" w:after="0" w:afterAutospacing="0"/>
        <w:jc w:val="both"/>
        <w:rPr>
          <w:bCs/>
          <w:color w:val="002060"/>
          <w:sz w:val="16"/>
          <w:szCs w:val="16"/>
        </w:rPr>
      </w:pPr>
    </w:p>
    <w:p w14:paraId="10F864D7" w14:textId="77777777" w:rsidR="00C44E2D" w:rsidRPr="00405303" w:rsidRDefault="00C44E2D" w:rsidP="00C15251">
      <w:pPr>
        <w:jc w:val="both"/>
        <w:rPr>
          <w:bCs/>
          <w:color w:val="002060"/>
          <w:sz w:val="16"/>
          <w:szCs w:val="16"/>
        </w:rPr>
      </w:pPr>
      <w:r w:rsidRPr="00405303">
        <w:rPr>
          <w:bCs/>
          <w:color w:val="002060"/>
          <w:sz w:val="16"/>
          <w:szCs w:val="16"/>
        </w:rPr>
        <w:t xml:space="preserve">9 (22) апреля в 1915 году в районе бельгийского города Ипр германский генерал Фалькенхайн отдал приказ о газовой атаке: на фронте протяженностью 6 км немцы в течение 5 минут выпустили из 6 000 баллонов 180 тонн хлора. Результат поначалу обнадеживал: сильно деморализованные союзники отступили, потеряв отравленными 15 тысяч человек, 5 тысяч из которых умерли. Это была первая попытка применения газов на Западном фронте. Но воспользоваться паникой и большими потерями </w:t>
      </w:r>
      <w:proofErr w:type="gramStart"/>
      <w:r w:rsidRPr="00405303">
        <w:rPr>
          <w:bCs/>
          <w:color w:val="002060"/>
          <w:sz w:val="16"/>
          <w:szCs w:val="16"/>
        </w:rPr>
        <w:t>в рядах</w:t>
      </w:r>
      <w:proofErr w:type="gramEnd"/>
      <w:r w:rsidRPr="00405303">
        <w:rPr>
          <w:bCs/>
          <w:color w:val="002060"/>
          <w:sz w:val="16"/>
          <w:szCs w:val="16"/>
        </w:rPr>
        <w:t xml:space="preserve"> оборонявшихся германское командование не сумело. Из-за ошибок в управлении, да и британцы, быстро пришедшие в себя, подтянули резервы и заткнули брешь. Через два года в этом же районе германская армия применила уже горчичный газ, который и получил название по месту боев - иприт (15107).</w:t>
      </w:r>
    </w:p>
    <w:p w14:paraId="24413FE2" w14:textId="77777777" w:rsidR="00C44E2D" w:rsidRPr="00405303" w:rsidRDefault="00C44E2D" w:rsidP="00C15251">
      <w:pPr>
        <w:jc w:val="both"/>
        <w:rPr>
          <w:bCs/>
          <w:color w:val="002060"/>
          <w:sz w:val="16"/>
          <w:szCs w:val="16"/>
        </w:rPr>
      </w:pPr>
    </w:p>
    <w:p w14:paraId="3FE850F8" w14:textId="56ACA298" w:rsidR="00AF4401" w:rsidRPr="00405303" w:rsidRDefault="00AF4401" w:rsidP="00AF4401">
      <w:pPr>
        <w:shd w:val="clear" w:color="auto" w:fill="FFFFFF"/>
        <w:jc w:val="both"/>
        <w:rPr>
          <w:bCs/>
          <w:i/>
          <w:color w:val="002060"/>
          <w:sz w:val="16"/>
          <w:szCs w:val="16"/>
        </w:rPr>
      </w:pPr>
      <w:r w:rsidRPr="00405303">
        <w:rPr>
          <w:bCs/>
          <w:i/>
          <w:color w:val="002060"/>
          <w:sz w:val="16"/>
          <w:szCs w:val="16"/>
        </w:rPr>
        <w:t xml:space="preserve">Авиация и воздухоплавание </w:t>
      </w:r>
      <w:r>
        <w:rPr>
          <w:bCs/>
          <w:i/>
          <w:color w:val="002060"/>
          <w:sz w:val="16"/>
          <w:szCs w:val="16"/>
        </w:rPr>
        <w:t>Германии</w:t>
      </w:r>
      <w:r w:rsidRPr="00405303">
        <w:rPr>
          <w:bCs/>
          <w:i/>
          <w:color w:val="002060"/>
          <w:sz w:val="16"/>
          <w:szCs w:val="16"/>
        </w:rPr>
        <w:t>:</w:t>
      </w:r>
    </w:p>
    <w:p w14:paraId="4E770DA3" w14:textId="77777777" w:rsidR="00AF4401" w:rsidRPr="00405303" w:rsidRDefault="00AF4401" w:rsidP="00AF4401">
      <w:pPr>
        <w:shd w:val="clear" w:color="auto" w:fill="FFFFFF"/>
        <w:jc w:val="both"/>
        <w:rPr>
          <w:bCs/>
          <w:i/>
          <w:color w:val="002060"/>
          <w:sz w:val="16"/>
          <w:szCs w:val="16"/>
        </w:rPr>
      </w:pPr>
    </w:p>
    <w:p w14:paraId="66207277" w14:textId="77777777" w:rsidR="00AF4401" w:rsidRPr="00CF03EC" w:rsidRDefault="00AF4401" w:rsidP="00AF4401">
      <w:pPr>
        <w:jc w:val="both"/>
        <w:rPr>
          <w:color w:val="0070C0"/>
          <w:sz w:val="16"/>
          <w:szCs w:val="16"/>
        </w:rPr>
      </w:pPr>
      <w:r w:rsidRPr="00CF03EC">
        <w:rPr>
          <w:color w:val="0070C0"/>
          <w:sz w:val="16"/>
          <w:szCs w:val="16"/>
        </w:rPr>
        <w:t>9 (23) апреля 1915 г. Антон Фоккер – всего через три дня после получения задания -лично облетал доработанный M.5K №216 с пулеметом с синхронизатором, который прибыл с завода в Геррисе на военный аэродром Йоханнисталь тоже под Берлином. Там на аппарат, обозначенный теперь M.5K/MG (Maschinengewehr, по-немецки пулемет), нанесли новый регистрационный номер А.16/15 как 16-я машина выпуска 1915 г., хотя ее сделали и облетали еще в минувшем 1914-м году (25772).</w:t>
      </w:r>
    </w:p>
    <w:p w14:paraId="05D41E2B" w14:textId="77777777" w:rsidR="00AF4401" w:rsidRPr="00CF03EC" w:rsidRDefault="00AF4401" w:rsidP="00AF4401">
      <w:pPr>
        <w:jc w:val="both"/>
        <w:rPr>
          <w:color w:val="0070C0"/>
          <w:sz w:val="16"/>
          <w:szCs w:val="16"/>
        </w:rPr>
      </w:pPr>
    </w:p>
    <w:p w14:paraId="4BB2C701" w14:textId="7C6DBB42" w:rsidR="004A61F3" w:rsidRPr="00405303" w:rsidRDefault="004A61F3" w:rsidP="00C15251">
      <w:pPr>
        <w:shd w:val="clear" w:color="auto" w:fill="FFFFFF"/>
        <w:jc w:val="both"/>
        <w:rPr>
          <w:bCs/>
          <w:i/>
          <w:color w:val="002060"/>
          <w:sz w:val="16"/>
          <w:szCs w:val="16"/>
        </w:rPr>
      </w:pPr>
      <w:r w:rsidRPr="00405303">
        <w:rPr>
          <w:bCs/>
          <w:i/>
          <w:color w:val="002060"/>
          <w:sz w:val="16"/>
          <w:szCs w:val="16"/>
        </w:rPr>
        <w:t>Авиация и воздухоплавание за рубежом:</w:t>
      </w:r>
    </w:p>
    <w:p w14:paraId="24894BBB" w14:textId="77777777" w:rsidR="004A61F3" w:rsidRPr="00405303" w:rsidRDefault="004A61F3" w:rsidP="00C15251">
      <w:pPr>
        <w:shd w:val="clear" w:color="auto" w:fill="FFFFFF"/>
        <w:jc w:val="both"/>
        <w:rPr>
          <w:bCs/>
          <w:i/>
          <w:color w:val="002060"/>
          <w:sz w:val="16"/>
          <w:szCs w:val="16"/>
        </w:rPr>
      </w:pPr>
    </w:p>
    <w:p w14:paraId="2A4BE03F" w14:textId="183A5EEB" w:rsidR="004A61F3" w:rsidRPr="00405303" w:rsidRDefault="004A61F3" w:rsidP="00C15251">
      <w:pPr>
        <w:jc w:val="both"/>
        <w:rPr>
          <w:bCs/>
          <w:color w:val="002060"/>
          <w:sz w:val="16"/>
          <w:szCs w:val="16"/>
        </w:rPr>
      </w:pPr>
      <w:r w:rsidRPr="00405303">
        <w:rPr>
          <w:bCs/>
          <w:color w:val="002060"/>
          <w:sz w:val="16"/>
          <w:szCs w:val="16"/>
        </w:rPr>
        <w:t>10 (23) апреля 1915</w:t>
      </w:r>
      <w:r w:rsidR="00DB4D64" w:rsidRPr="00405303">
        <w:rPr>
          <w:bCs/>
          <w:color w:val="002060"/>
          <w:sz w:val="16"/>
          <w:szCs w:val="16"/>
        </w:rPr>
        <w:t xml:space="preserve"> </w:t>
      </w:r>
      <w:r w:rsidRPr="00405303">
        <w:rPr>
          <w:bCs/>
          <w:color w:val="002060"/>
          <w:sz w:val="16"/>
          <w:szCs w:val="16"/>
        </w:rPr>
        <w:t>- Лейтенант Патрик Нельсон Беллинджер, ВМС США, на гидросамолете Burgess Dunne AH-10 забрался на высоту 10000 футов (3048 метров) над Пенсакола-Бэй, штат Флорида (22526).</w:t>
      </w:r>
    </w:p>
    <w:p w14:paraId="3BE68D5B" w14:textId="77777777" w:rsidR="004A61F3" w:rsidRPr="00405303" w:rsidRDefault="004A61F3" w:rsidP="00C15251">
      <w:pPr>
        <w:pStyle w:val="ae"/>
        <w:spacing w:before="0" w:beforeAutospacing="0" w:after="0" w:afterAutospacing="0"/>
        <w:jc w:val="both"/>
        <w:rPr>
          <w:bCs/>
          <w:color w:val="002060"/>
          <w:sz w:val="16"/>
          <w:szCs w:val="16"/>
        </w:rPr>
      </w:pPr>
    </w:p>
    <w:p w14:paraId="763C8848"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0B45216E" w14:textId="77777777" w:rsidR="004B4E35" w:rsidRPr="00405303" w:rsidRDefault="004B4E35" w:rsidP="00C15251">
      <w:pPr>
        <w:jc w:val="both"/>
        <w:rPr>
          <w:bCs/>
          <w:i/>
          <w:color w:val="002060"/>
          <w:sz w:val="16"/>
          <w:szCs w:val="16"/>
        </w:rPr>
      </w:pPr>
    </w:p>
    <w:p w14:paraId="3FBDE1BD" w14:textId="589380A9"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11 </w:t>
      </w:r>
      <w:r w:rsidR="00604826" w:rsidRPr="00405303">
        <w:rPr>
          <w:bCs/>
          <w:i w:val="0"/>
          <w:color w:val="002060"/>
          <w:spacing w:val="0"/>
          <w:kern w:val="0"/>
          <w:position w:val="0"/>
          <w:sz w:val="16"/>
          <w:szCs w:val="16"/>
        </w:rPr>
        <w:t xml:space="preserve">(24) </w:t>
      </w:r>
      <w:r w:rsidRPr="00405303">
        <w:rPr>
          <w:bCs/>
          <w:i w:val="0"/>
          <w:color w:val="002060"/>
          <w:spacing w:val="0"/>
          <w:kern w:val="0"/>
          <w:position w:val="0"/>
          <w:sz w:val="16"/>
          <w:szCs w:val="16"/>
        </w:rPr>
        <w:t xml:space="preserve">апреля </w:t>
      </w:r>
      <w:r w:rsidR="00604826" w:rsidRPr="00405303">
        <w:rPr>
          <w:bCs/>
          <w:i w:val="0"/>
          <w:color w:val="002060"/>
          <w:spacing w:val="0"/>
          <w:kern w:val="0"/>
          <w:position w:val="0"/>
          <w:sz w:val="16"/>
          <w:szCs w:val="16"/>
        </w:rPr>
        <w:t xml:space="preserve">1915 г. в связи с отказом от навязываемого нам английскими властями заказом, председатель комиссии получил </w:t>
      </w:r>
      <w:r w:rsidRPr="00405303">
        <w:rPr>
          <w:bCs/>
          <w:i w:val="0"/>
          <w:color w:val="002060"/>
          <w:spacing w:val="0"/>
          <w:kern w:val="0"/>
          <w:position w:val="0"/>
          <w:sz w:val="16"/>
          <w:szCs w:val="16"/>
        </w:rPr>
        <w:t>следующую телеграмму от почетного председателя англо-русского комитета:</w:t>
      </w:r>
    </w:p>
    <w:p w14:paraId="7289EAF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lastRenderedPageBreak/>
        <w:t xml:space="preserve">"Ввиду того что, несмотря на три энергичных предложения лорда Китченера приобрести пять миллионов шрапнелей в Америке, ему было отказано, предупреждаю самым серьезным образом, что хотя в данную минуту может быть нет нужды, но если позднее нужда в них появится, то их более невозможно будет приобрести, так как они на днях будут все приобретены другими государствами. Считаю моим святым долгом об этом предупредить и убедительно советую немедленно решиться на их приобретение, даже если другие люди будут это отсоветывать". </w:t>
      </w:r>
    </w:p>
    <w:p w14:paraId="3009229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Того же 11 (24) апреля председатель комиссии ответил на это: </w:t>
      </w:r>
    </w:p>
    <w:p w14:paraId="6980A85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"Вновь категорически повторяю, что кроме уже заказанных за границей пушечных патронов более новым фирмам заказывать не будем. Все снабжение точно рассчитано. В случае новой потребности в патронах будем продолжать заказы тем же фирмам, которые их выполняют ныне. </w:t>
      </w:r>
    </w:p>
    <w:p w14:paraId="07C6CEE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контрактах это право нами выговорено. С вашей стороны прошу энергично настаивать, чтобы английское правительство приняло все меры, дабы канадская фирма выполнила свой контракт в срок, так как эта фирма нам была рекомендована через британское посольство. Виккерс по всем контрактам уже бессовестно обманул". </w:t>
      </w:r>
    </w:p>
    <w:p w14:paraId="70FC175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Между тем вопрос о снарядах был, повидимому, предметом дальнейшей переписки между верховным главнокомандующим и лордом Китченером, так как 6 (19) мая председатель Особой распорядительной комиссии получил от начальника Штаба главковерха следующую телеграмму: </w:t>
      </w:r>
    </w:p>
    <w:p w14:paraId="1218FB0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"Докладываю, что ввиду категорического обещания, данного генералом Китченером верховному главнокомандующему, оказать усиленное содействие по снабжению, и просьбы, лично к его высочеству обращенной, сообщить действительные единовременную и ежемесячную потребности в предметах артиллерийского снабжения, была послана телеграмма с указанием, что для активности армии и возможности вновь перейти в наступление необходимо пополнить комплекты пушечных патронов до 1 тысячи на орудие, что потребует сразу 3 миллиона, а для спокойной и действительной силы надо ежемесячно по 1,5 миллиона. Таким образом, ввиду настоящей просьбы Китченера указать ему потребности, таковые указаны в цифрах, считая, что если бы это удовлетворить, то это нисколько не уменьшает потребности русского производства. Избытка не будет, но только при условии, что поступления начнутся уже в июне" (11483).</w:t>
      </w:r>
    </w:p>
    <w:p w14:paraId="63638792" w14:textId="77777777" w:rsidR="004B4E35" w:rsidRPr="00405303" w:rsidRDefault="004B4E35" w:rsidP="00C15251">
      <w:pPr>
        <w:pStyle w:val="a3"/>
        <w:jc w:val="both"/>
        <w:rPr>
          <w:bCs/>
          <w:i w:val="0"/>
          <w:color w:val="002060"/>
          <w:spacing w:val="0"/>
          <w:kern w:val="0"/>
          <w:position w:val="0"/>
          <w:sz w:val="16"/>
          <w:szCs w:val="16"/>
        </w:rPr>
      </w:pPr>
    </w:p>
    <w:p w14:paraId="7C54DD2D"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5EB61230" w14:textId="77777777" w:rsidR="004B4E35" w:rsidRPr="00405303" w:rsidRDefault="004B4E35" w:rsidP="00C15251">
      <w:pPr>
        <w:jc w:val="both"/>
        <w:rPr>
          <w:bCs/>
          <w:i/>
          <w:color w:val="002060"/>
          <w:sz w:val="16"/>
          <w:szCs w:val="16"/>
        </w:rPr>
      </w:pPr>
    </w:p>
    <w:p w14:paraId="09E4AB9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11 (24) апреля 1915 воздушный корабль "Илья Муромец Киевский" под управлением поручика Иосифа Станиславовича Башко совершил выдаю</w:t>
      </w:r>
      <w:r w:rsidRPr="00405303">
        <w:rPr>
          <w:bCs/>
          <w:color w:val="002060"/>
          <w:sz w:val="16"/>
          <w:szCs w:val="16"/>
        </w:rPr>
        <w:softHyphen/>
        <w:t>щийся для своего времени боевой полет по маршруту Варшава-Торн-Нейденбург-Варшава, пройдя свыше 600 км над расположением противника. На станцию Нейденбург были сброшены бомбы,причинив</w:t>
      </w:r>
      <w:r w:rsidRPr="00405303">
        <w:rPr>
          <w:bCs/>
          <w:color w:val="002060"/>
          <w:sz w:val="16"/>
          <w:szCs w:val="16"/>
        </w:rPr>
        <w:softHyphen/>
        <w:t>шие большие повреждения железнодорожным постройкам ("Русский инвалид". 1915, № 156).</w:t>
      </w:r>
    </w:p>
    <w:p w14:paraId="24982FED" w14:textId="77777777" w:rsidR="004B4E35" w:rsidRPr="00405303" w:rsidRDefault="004B4E35" w:rsidP="00C15251">
      <w:pPr>
        <w:shd w:val="clear" w:color="auto" w:fill="FFFFFF"/>
        <w:jc w:val="both"/>
        <w:rPr>
          <w:bCs/>
          <w:color w:val="002060"/>
          <w:sz w:val="16"/>
          <w:szCs w:val="16"/>
        </w:rPr>
      </w:pPr>
    </w:p>
    <w:p w14:paraId="755FDC79" w14:textId="77777777" w:rsidR="00604826" w:rsidRPr="00405303" w:rsidRDefault="00604826" w:rsidP="00C15251">
      <w:pPr>
        <w:jc w:val="both"/>
        <w:rPr>
          <w:bCs/>
          <w:color w:val="002060"/>
          <w:sz w:val="16"/>
          <w:szCs w:val="16"/>
        </w:rPr>
      </w:pPr>
      <w:r w:rsidRPr="00405303">
        <w:rPr>
          <w:bCs/>
          <w:color w:val="002060"/>
          <w:sz w:val="16"/>
          <w:szCs w:val="16"/>
        </w:rPr>
        <w:t xml:space="preserve">11 (24) апреля 1915 г. воздушный корабль «Илья муромец киевский» под управлением поручика Иосифа Станиславовича Башко совершил выдающийся _ для своего времени боевой полет по маршруту Варшава-Торн-Нейденбург-Варшава, пройдя свыше 600 км над расположением противника. На станцию Нейденбург были сброшены бомбы, причинившие большие повреждения железнодорожным постройкам. </w:t>
      </w:r>
    </w:p>
    <w:p w14:paraId="7999F6EE" w14:textId="77777777" w:rsidR="00604826" w:rsidRPr="00405303" w:rsidRDefault="00604826" w:rsidP="00C15251">
      <w:pPr>
        <w:jc w:val="both"/>
        <w:rPr>
          <w:bCs/>
          <w:color w:val="002060"/>
          <w:sz w:val="16"/>
          <w:szCs w:val="16"/>
        </w:rPr>
      </w:pPr>
      <w:r w:rsidRPr="00405303">
        <w:rPr>
          <w:bCs/>
          <w:color w:val="002060"/>
          <w:sz w:val="16"/>
          <w:szCs w:val="16"/>
        </w:rPr>
        <w:t>/"Русский инвалид" 1915 № 156/ (23320).</w:t>
      </w:r>
    </w:p>
    <w:p w14:paraId="609395E7" w14:textId="77777777" w:rsidR="00604826" w:rsidRPr="00405303" w:rsidRDefault="00604826" w:rsidP="00C15251">
      <w:pPr>
        <w:jc w:val="both"/>
        <w:rPr>
          <w:bCs/>
          <w:color w:val="002060"/>
          <w:sz w:val="16"/>
          <w:szCs w:val="16"/>
        </w:rPr>
      </w:pPr>
    </w:p>
    <w:p w14:paraId="7D737009" w14:textId="22A2F4BC" w:rsidR="004B4E35" w:rsidRPr="00405303" w:rsidRDefault="009E6F82" w:rsidP="00C15251">
      <w:pPr>
        <w:jc w:val="both"/>
        <w:rPr>
          <w:bCs/>
          <w:color w:val="002060"/>
          <w:sz w:val="16"/>
          <w:szCs w:val="16"/>
        </w:rPr>
      </w:pPr>
      <w:r w:rsidRPr="00405303">
        <w:rPr>
          <w:bCs/>
          <w:color w:val="002060"/>
          <w:sz w:val="16"/>
          <w:szCs w:val="16"/>
        </w:rPr>
        <w:t>11 (24) апреля 1915 - Два "Муромца" совершили полеты над Восточной Пруссией. Во время этого рейда "ИМ-Киевский" сбросил одиннадцать 16-ти кг и одну 82-х кг бомбы на город Нейденбург. Через час "ИМ-3" завершил разрушения. В результате железнодорожная станция была выведена из строя, и пожары, вызванные бомбежкой, свирепствовали всю ночь.</w:t>
      </w:r>
    </w:p>
    <w:p w14:paraId="509DFA69" w14:textId="77777777" w:rsidR="004B4E35" w:rsidRPr="00405303" w:rsidRDefault="009E6F82" w:rsidP="00C15251">
      <w:pPr>
        <w:jc w:val="both"/>
        <w:rPr>
          <w:bCs/>
          <w:color w:val="002060"/>
          <w:sz w:val="16"/>
          <w:szCs w:val="16"/>
        </w:rPr>
      </w:pPr>
      <w:r w:rsidRPr="00405303">
        <w:rPr>
          <w:bCs/>
          <w:color w:val="002060"/>
          <w:sz w:val="16"/>
          <w:szCs w:val="16"/>
        </w:rPr>
        <w:t>Представитель Ставки полковник Гаслер, прибывший на аэродром перед полетами, был вполне удовлетворен результатами бомбардировки (11999).</w:t>
      </w:r>
    </w:p>
    <w:p w14:paraId="579C72C6" w14:textId="77777777" w:rsidR="004B4E35" w:rsidRPr="00405303" w:rsidRDefault="004B4E35" w:rsidP="00C15251">
      <w:pPr>
        <w:jc w:val="both"/>
        <w:rPr>
          <w:bCs/>
          <w:color w:val="002060"/>
          <w:sz w:val="16"/>
          <w:szCs w:val="16"/>
        </w:rPr>
      </w:pPr>
    </w:p>
    <w:p w14:paraId="1D1940B9" w14:textId="6654D88A" w:rsidR="004B4E35" w:rsidRPr="00405303" w:rsidRDefault="00604826" w:rsidP="00C15251">
      <w:pPr>
        <w:jc w:val="both"/>
        <w:rPr>
          <w:bCs/>
          <w:color w:val="002060"/>
          <w:sz w:val="16"/>
          <w:szCs w:val="16"/>
        </w:rPr>
      </w:pPr>
      <w:r w:rsidRPr="00405303">
        <w:rPr>
          <w:bCs/>
          <w:color w:val="002060"/>
          <w:sz w:val="16"/>
          <w:szCs w:val="16"/>
        </w:rPr>
        <w:t xml:space="preserve">11 (24) </w:t>
      </w:r>
      <w:r w:rsidR="009E6F82" w:rsidRPr="00405303">
        <w:rPr>
          <w:bCs/>
          <w:color w:val="002060"/>
          <w:sz w:val="16"/>
          <w:szCs w:val="16"/>
        </w:rPr>
        <w:t>апреля 1915 года два корабля отправились из Яблонны на бомбардировку станции Нейденбург. С высоты 3000 метров они сбросили свыше 30 пудов (480 кг) бомб, были отмечены попадания в железнодорожные пути, здание вокзала и несколько городских зданий. "Киевский" в этом полёте захватил с собой 5-пудовую (82 кг) бомбу (12041).</w:t>
      </w:r>
    </w:p>
    <w:p w14:paraId="6CD4BC91" w14:textId="77777777" w:rsidR="004B4E35" w:rsidRPr="00405303" w:rsidRDefault="004B4E35" w:rsidP="00C15251">
      <w:pPr>
        <w:jc w:val="both"/>
        <w:rPr>
          <w:bCs/>
          <w:color w:val="002060"/>
          <w:sz w:val="16"/>
          <w:szCs w:val="16"/>
        </w:rPr>
      </w:pPr>
    </w:p>
    <w:p w14:paraId="0709A9D7" w14:textId="77777777" w:rsidR="001D07F9" w:rsidRPr="00405303" w:rsidRDefault="001D07F9" w:rsidP="001D07F9">
      <w:pPr>
        <w:jc w:val="both"/>
        <w:rPr>
          <w:color w:val="0070C0"/>
          <w:sz w:val="16"/>
          <w:szCs w:val="16"/>
        </w:rPr>
      </w:pPr>
      <w:r w:rsidRPr="00405303">
        <w:rPr>
          <w:rStyle w:val="aa"/>
          <w:rFonts w:ascii="Times New Roman" w:hAnsi="Times New Roman"/>
          <w:color w:val="0070C0"/>
          <w:spacing w:val="0"/>
          <w:sz w:val="16"/>
          <w:szCs w:val="16"/>
        </w:rPr>
        <w:t>11 (24) апреля 19015 г. огнем нашей артиллерии вблизи н/п Павлов (СЗФ) был подбит неприятельский аэроплан. Снизившись до высоты 500 м, он попал под ружейный огонь русской пехоты. После этого вражеский летательный аппарат рухнул вниз и упал на проволочные заграждения окопов противника. В районе н/п Насельск совершил вынужденную посадку германский аэроплан, оказавшись в зоне стрельбы нашей артиллерии. При приземлении немецкие летчики, отстреливаясь от подбегавших к самолету местных жителей, попытались скрыться в ближайшем лесу. Однако вскоре их задержал передовой разъезд одного из казачьих полков (25135).</w:t>
      </w:r>
    </w:p>
    <w:p w14:paraId="18C5481E" w14:textId="77777777" w:rsidR="001D07F9" w:rsidRPr="00405303" w:rsidRDefault="001D07F9" w:rsidP="001D07F9">
      <w:pPr>
        <w:jc w:val="both"/>
        <w:rPr>
          <w:color w:val="0070C0"/>
          <w:sz w:val="16"/>
          <w:szCs w:val="16"/>
        </w:rPr>
      </w:pPr>
    </w:p>
    <w:p w14:paraId="69B45943" w14:textId="7485CE34" w:rsidR="004A61F3" w:rsidRPr="00405303" w:rsidRDefault="004A61F3" w:rsidP="00C15251">
      <w:pPr>
        <w:jc w:val="both"/>
        <w:rPr>
          <w:bCs/>
          <w:i/>
          <w:color w:val="002060"/>
          <w:sz w:val="16"/>
          <w:szCs w:val="16"/>
        </w:rPr>
      </w:pPr>
      <w:r w:rsidRPr="00405303">
        <w:rPr>
          <w:bCs/>
          <w:i/>
          <w:color w:val="002060"/>
          <w:sz w:val="16"/>
          <w:szCs w:val="16"/>
        </w:rPr>
        <w:t>Воздухоплавание:</w:t>
      </w:r>
    </w:p>
    <w:p w14:paraId="46D1422C" w14:textId="77777777" w:rsidR="004A61F3" w:rsidRPr="00405303" w:rsidRDefault="004A61F3" w:rsidP="00C15251">
      <w:pPr>
        <w:jc w:val="both"/>
        <w:rPr>
          <w:bCs/>
          <w:i/>
          <w:color w:val="002060"/>
          <w:sz w:val="16"/>
          <w:szCs w:val="16"/>
        </w:rPr>
      </w:pPr>
    </w:p>
    <w:p w14:paraId="27EED96D" w14:textId="77777777" w:rsidR="004A61F3" w:rsidRPr="00405303" w:rsidRDefault="004A61F3" w:rsidP="00C15251">
      <w:pPr>
        <w:jc w:val="both"/>
        <w:rPr>
          <w:bCs/>
          <w:color w:val="002060"/>
          <w:sz w:val="16"/>
          <w:szCs w:val="16"/>
        </w:rPr>
      </w:pPr>
      <w:r w:rsidRPr="00405303">
        <w:rPr>
          <w:rStyle w:val="42"/>
          <w:rFonts w:ascii="Times New Roman" w:hAnsi="Times New Roman" w:cs="Times New Roman"/>
          <w:bCs/>
          <w:color w:val="002060"/>
          <w:w w:val="100"/>
          <w:sz w:val="16"/>
          <w:szCs w:val="16"/>
        </w:rPr>
        <w:t>11 (24) апреля 1915 попытка перелета Астры в Белосток окончилась неудачей, но 26 апреля перелёт удался. Вылетев из Лиды в 2.00 и пройдя Волковыск, «Астра» в 6.10, несмо</w:t>
      </w:r>
      <w:r w:rsidRPr="00405303">
        <w:rPr>
          <w:rStyle w:val="42"/>
          <w:rFonts w:ascii="Times New Roman" w:hAnsi="Times New Roman" w:cs="Times New Roman"/>
          <w:bCs/>
          <w:color w:val="002060"/>
          <w:w w:val="100"/>
          <w:sz w:val="16"/>
          <w:szCs w:val="16"/>
        </w:rPr>
        <w:softHyphen/>
        <w:t>тря на сильный туман, опустилась в Белостоке, пройдя за 4 ч 10 мин 200 км (20120).</w:t>
      </w:r>
    </w:p>
    <w:p w14:paraId="1117F634" w14:textId="77777777" w:rsidR="004A61F3" w:rsidRPr="00405303" w:rsidRDefault="004A61F3" w:rsidP="00C15251">
      <w:pPr>
        <w:jc w:val="both"/>
        <w:rPr>
          <w:bCs/>
          <w:color w:val="002060"/>
          <w:sz w:val="16"/>
          <w:szCs w:val="16"/>
        </w:rPr>
      </w:pPr>
    </w:p>
    <w:p w14:paraId="483AAE48" w14:textId="4F7418C8" w:rsidR="004A61F3" w:rsidRPr="00405303" w:rsidRDefault="004A61F3" w:rsidP="00C15251">
      <w:pPr>
        <w:jc w:val="both"/>
        <w:rPr>
          <w:bCs/>
          <w:i/>
          <w:color w:val="002060"/>
          <w:sz w:val="16"/>
          <w:szCs w:val="16"/>
        </w:rPr>
      </w:pPr>
      <w:r w:rsidRPr="00405303">
        <w:rPr>
          <w:bCs/>
          <w:i/>
          <w:color w:val="002060"/>
          <w:sz w:val="16"/>
          <w:szCs w:val="16"/>
        </w:rPr>
        <w:t>За рубежом:</w:t>
      </w:r>
    </w:p>
    <w:p w14:paraId="0E3CCB50" w14:textId="77777777" w:rsidR="004A61F3" w:rsidRPr="00405303" w:rsidRDefault="004A61F3" w:rsidP="00C15251">
      <w:pPr>
        <w:jc w:val="both"/>
        <w:rPr>
          <w:bCs/>
          <w:i/>
          <w:color w:val="002060"/>
          <w:sz w:val="16"/>
          <w:szCs w:val="16"/>
        </w:rPr>
      </w:pPr>
    </w:p>
    <w:p w14:paraId="2C364201" w14:textId="77777777" w:rsidR="004A61F3" w:rsidRPr="00405303" w:rsidRDefault="004A61F3" w:rsidP="00C15251">
      <w:pPr>
        <w:jc w:val="both"/>
        <w:rPr>
          <w:rFonts w:eastAsia="Times-Roman"/>
          <w:bCs/>
          <w:color w:val="002060"/>
          <w:sz w:val="16"/>
          <w:szCs w:val="16"/>
        </w:rPr>
      </w:pPr>
      <w:bookmarkStart w:id="95" w:name="_Hlk117601203"/>
      <w:r w:rsidRPr="00405303">
        <w:rPr>
          <w:rFonts w:eastAsia="Times-Roman"/>
          <w:bCs/>
          <w:color w:val="002060"/>
          <w:sz w:val="16"/>
          <w:szCs w:val="16"/>
        </w:rPr>
        <w:t xml:space="preserve">С 11 (24) </w:t>
      </w:r>
      <w:r w:rsidRPr="00405303">
        <w:rPr>
          <w:rFonts w:eastAsia="TimesNewRoman"/>
          <w:bCs/>
          <w:color w:val="002060"/>
          <w:sz w:val="16"/>
          <w:szCs w:val="16"/>
        </w:rPr>
        <w:t xml:space="preserve">апреля 1915 отравляющие газы были применены Германией против </w:t>
      </w:r>
      <w:r w:rsidRPr="00405303">
        <w:rPr>
          <w:rFonts w:eastAsia="Times-Roman"/>
          <w:bCs/>
          <w:color w:val="002060"/>
          <w:sz w:val="16"/>
          <w:szCs w:val="16"/>
        </w:rPr>
        <w:t>1-</w:t>
      </w:r>
      <w:r w:rsidRPr="00405303">
        <w:rPr>
          <w:rFonts w:eastAsia="TimesNewRoman"/>
          <w:bCs/>
          <w:color w:val="002060"/>
          <w:sz w:val="16"/>
          <w:szCs w:val="16"/>
        </w:rPr>
        <w:t>й канадской дивизии</w:t>
      </w:r>
      <w:r w:rsidRPr="00405303">
        <w:rPr>
          <w:rFonts w:eastAsia="Times-Roman"/>
          <w:bCs/>
          <w:color w:val="002060"/>
          <w:sz w:val="16"/>
          <w:szCs w:val="16"/>
        </w:rPr>
        <w:t xml:space="preserve">, 2 </w:t>
      </w:r>
      <w:r w:rsidRPr="00405303">
        <w:rPr>
          <w:rFonts w:eastAsia="TimesNewRoman"/>
          <w:bCs/>
          <w:color w:val="002060"/>
          <w:sz w:val="16"/>
          <w:szCs w:val="16"/>
        </w:rPr>
        <w:t xml:space="preserve">мая около </w:t>
      </w:r>
      <w:r w:rsidRPr="00405303">
        <w:rPr>
          <w:rFonts w:eastAsia="Times-Roman"/>
          <w:bCs/>
          <w:color w:val="002060"/>
          <w:sz w:val="16"/>
          <w:szCs w:val="16"/>
        </w:rPr>
        <w:t>«</w:t>
      </w:r>
      <w:r w:rsidRPr="00405303">
        <w:rPr>
          <w:rFonts w:eastAsia="TimesNewRoman"/>
          <w:bCs/>
          <w:color w:val="002060"/>
          <w:sz w:val="16"/>
          <w:szCs w:val="16"/>
        </w:rPr>
        <w:t>Фермы</w:t>
      </w:r>
      <w:r w:rsidRPr="00405303">
        <w:rPr>
          <w:rFonts w:eastAsia="Times-Roman"/>
          <w:bCs/>
          <w:color w:val="002060"/>
          <w:sz w:val="16"/>
          <w:szCs w:val="16"/>
        </w:rPr>
        <w:t>-</w:t>
      </w:r>
      <w:r w:rsidRPr="00405303">
        <w:rPr>
          <w:rFonts w:eastAsia="TimesNewRoman"/>
          <w:bCs/>
          <w:color w:val="002060"/>
          <w:sz w:val="16"/>
          <w:szCs w:val="16"/>
        </w:rPr>
        <w:t>мышеловки</w:t>
      </w:r>
      <w:r w:rsidRPr="00405303">
        <w:rPr>
          <w:rFonts w:eastAsia="Times-Roman"/>
          <w:bCs/>
          <w:color w:val="002060"/>
          <w:sz w:val="16"/>
          <w:szCs w:val="16"/>
        </w:rPr>
        <w:t xml:space="preserve">»,5 </w:t>
      </w:r>
      <w:r w:rsidRPr="00405303">
        <w:rPr>
          <w:rFonts w:eastAsia="TimesNewRoman"/>
          <w:bCs/>
          <w:color w:val="002060"/>
          <w:sz w:val="16"/>
          <w:szCs w:val="16"/>
        </w:rPr>
        <w:t xml:space="preserve">мая против британцев и </w:t>
      </w:r>
      <w:r w:rsidRPr="00405303">
        <w:rPr>
          <w:rFonts w:eastAsia="Times-Roman"/>
          <w:bCs/>
          <w:color w:val="002060"/>
          <w:sz w:val="16"/>
          <w:szCs w:val="16"/>
        </w:rPr>
        <w:t xml:space="preserve">6 </w:t>
      </w:r>
      <w:r w:rsidRPr="00405303">
        <w:rPr>
          <w:rFonts w:eastAsia="TimesNewRoman"/>
          <w:bCs/>
          <w:color w:val="002060"/>
          <w:sz w:val="16"/>
          <w:szCs w:val="16"/>
        </w:rPr>
        <w:t>августа против защитников русской крепости Осовец</w:t>
      </w:r>
      <w:r w:rsidRPr="00405303">
        <w:rPr>
          <w:rFonts w:eastAsia="Times-Roman"/>
          <w:bCs/>
          <w:color w:val="002060"/>
          <w:sz w:val="16"/>
          <w:szCs w:val="16"/>
        </w:rPr>
        <w:t xml:space="preserve">. </w:t>
      </w:r>
      <w:r w:rsidRPr="00405303">
        <w:rPr>
          <w:rFonts w:eastAsia="TimesNewRoman"/>
          <w:bCs/>
          <w:color w:val="002060"/>
          <w:sz w:val="16"/>
          <w:szCs w:val="16"/>
        </w:rPr>
        <w:t xml:space="preserve">Сразу </w:t>
      </w:r>
      <w:r w:rsidRPr="00405303">
        <w:rPr>
          <w:rFonts w:eastAsia="Times-Roman"/>
          <w:bCs/>
          <w:color w:val="002060"/>
          <w:sz w:val="16"/>
          <w:szCs w:val="16"/>
        </w:rPr>
        <w:t xml:space="preserve">90 </w:t>
      </w:r>
      <w:r w:rsidRPr="00405303">
        <w:rPr>
          <w:rFonts w:eastAsia="TimesNewRoman"/>
          <w:bCs/>
          <w:color w:val="002060"/>
          <w:sz w:val="16"/>
          <w:szCs w:val="16"/>
        </w:rPr>
        <w:t xml:space="preserve">человек погибло в окопах </w:t>
      </w:r>
      <w:r w:rsidRPr="00405303">
        <w:rPr>
          <w:rFonts w:eastAsia="Times-Roman"/>
          <w:bCs/>
          <w:color w:val="002060"/>
          <w:sz w:val="16"/>
          <w:szCs w:val="16"/>
        </w:rPr>
        <w:t xml:space="preserve">5 </w:t>
      </w:r>
      <w:r w:rsidRPr="00405303">
        <w:rPr>
          <w:rFonts w:eastAsia="TimesNewRoman"/>
          <w:bCs/>
          <w:color w:val="002060"/>
          <w:sz w:val="16"/>
          <w:szCs w:val="16"/>
        </w:rPr>
        <w:t>мая</w:t>
      </w:r>
      <w:r w:rsidRPr="00405303">
        <w:rPr>
          <w:rFonts w:eastAsia="Times-Roman"/>
          <w:bCs/>
          <w:color w:val="002060"/>
          <w:sz w:val="16"/>
          <w:szCs w:val="16"/>
        </w:rPr>
        <w:t xml:space="preserve">; </w:t>
      </w:r>
      <w:r w:rsidRPr="00405303">
        <w:rPr>
          <w:rFonts w:eastAsia="TimesNewRoman"/>
          <w:bCs/>
          <w:color w:val="002060"/>
          <w:sz w:val="16"/>
          <w:szCs w:val="16"/>
        </w:rPr>
        <w:t xml:space="preserve">из </w:t>
      </w:r>
      <w:r w:rsidRPr="00405303">
        <w:rPr>
          <w:rFonts w:eastAsia="Times-Roman"/>
          <w:bCs/>
          <w:color w:val="002060"/>
          <w:sz w:val="16"/>
          <w:szCs w:val="16"/>
        </w:rPr>
        <w:t xml:space="preserve">207 </w:t>
      </w:r>
      <w:r w:rsidRPr="00405303">
        <w:rPr>
          <w:rFonts w:eastAsia="TimesNewRoman"/>
          <w:bCs/>
          <w:color w:val="002060"/>
          <w:sz w:val="16"/>
          <w:szCs w:val="16"/>
        </w:rPr>
        <w:t xml:space="preserve">попавших полевые госпитали </w:t>
      </w:r>
      <w:r w:rsidRPr="00405303">
        <w:rPr>
          <w:rFonts w:eastAsia="Times-Roman"/>
          <w:bCs/>
          <w:color w:val="002060"/>
          <w:sz w:val="16"/>
          <w:szCs w:val="16"/>
        </w:rPr>
        <w:t xml:space="preserve">46 </w:t>
      </w:r>
      <w:r w:rsidRPr="00405303">
        <w:rPr>
          <w:rFonts w:eastAsia="TimesNewRoman"/>
          <w:bCs/>
          <w:color w:val="002060"/>
          <w:sz w:val="16"/>
          <w:szCs w:val="16"/>
        </w:rPr>
        <w:t>умерли в тот же день</w:t>
      </w:r>
      <w:r w:rsidRPr="00405303">
        <w:rPr>
          <w:rFonts w:eastAsia="Times-Roman"/>
          <w:bCs/>
          <w:color w:val="002060"/>
          <w:sz w:val="16"/>
          <w:szCs w:val="16"/>
        </w:rPr>
        <w:t xml:space="preserve">, </w:t>
      </w:r>
      <w:r w:rsidRPr="00405303">
        <w:rPr>
          <w:rFonts w:eastAsia="TimesNewRoman"/>
          <w:bCs/>
          <w:color w:val="002060"/>
          <w:sz w:val="16"/>
          <w:szCs w:val="16"/>
        </w:rPr>
        <w:t xml:space="preserve">а </w:t>
      </w:r>
      <w:r w:rsidRPr="00405303">
        <w:rPr>
          <w:rFonts w:eastAsia="Times-Roman"/>
          <w:bCs/>
          <w:color w:val="002060"/>
          <w:sz w:val="16"/>
          <w:szCs w:val="16"/>
        </w:rPr>
        <w:t xml:space="preserve">12 — </w:t>
      </w:r>
      <w:r w:rsidRPr="00405303">
        <w:rPr>
          <w:rFonts w:eastAsia="TimesNewRoman"/>
          <w:bCs/>
          <w:color w:val="002060"/>
          <w:sz w:val="16"/>
          <w:szCs w:val="16"/>
        </w:rPr>
        <w:t>после продолжительных мучений</w:t>
      </w:r>
      <w:r w:rsidRPr="00405303">
        <w:rPr>
          <w:rFonts w:eastAsia="Times-Roman"/>
          <w:bCs/>
          <w:color w:val="002060"/>
          <w:sz w:val="16"/>
          <w:szCs w:val="16"/>
        </w:rPr>
        <w:t xml:space="preserve">. </w:t>
      </w:r>
      <w:r w:rsidRPr="00405303">
        <w:rPr>
          <w:rFonts w:eastAsia="TimesNewRoman"/>
          <w:bCs/>
          <w:color w:val="002060"/>
          <w:sz w:val="16"/>
          <w:szCs w:val="16"/>
        </w:rPr>
        <w:t>Против русской армии действие газов</w:t>
      </w:r>
      <w:r w:rsidRPr="00405303">
        <w:rPr>
          <w:rFonts w:eastAsia="Times-Roman"/>
          <w:bCs/>
          <w:color w:val="002060"/>
          <w:sz w:val="16"/>
          <w:szCs w:val="16"/>
        </w:rPr>
        <w:t xml:space="preserve">, </w:t>
      </w:r>
      <w:r w:rsidRPr="00405303">
        <w:rPr>
          <w:rFonts w:eastAsia="TimesNewRoman"/>
          <w:bCs/>
          <w:color w:val="002060"/>
          <w:sz w:val="16"/>
          <w:szCs w:val="16"/>
        </w:rPr>
        <w:t>однако</w:t>
      </w:r>
      <w:r w:rsidRPr="00405303">
        <w:rPr>
          <w:rFonts w:eastAsia="Times-Roman"/>
          <w:bCs/>
          <w:color w:val="002060"/>
          <w:sz w:val="16"/>
          <w:szCs w:val="16"/>
        </w:rPr>
        <w:t xml:space="preserve">, </w:t>
      </w:r>
      <w:r w:rsidRPr="00405303">
        <w:rPr>
          <w:rFonts w:eastAsia="TimesNewRoman"/>
          <w:bCs/>
          <w:color w:val="002060"/>
          <w:sz w:val="16"/>
          <w:szCs w:val="16"/>
        </w:rPr>
        <w:t>не оказалось достаточно эффективным</w:t>
      </w:r>
      <w:r w:rsidRPr="00405303">
        <w:rPr>
          <w:rFonts w:eastAsia="Times-Roman"/>
          <w:bCs/>
          <w:color w:val="002060"/>
          <w:sz w:val="16"/>
          <w:szCs w:val="16"/>
        </w:rPr>
        <w:t xml:space="preserve">: </w:t>
      </w:r>
      <w:r w:rsidRPr="00405303">
        <w:rPr>
          <w:rFonts w:eastAsia="TimesNewRoman"/>
          <w:bCs/>
          <w:color w:val="002060"/>
          <w:sz w:val="16"/>
          <w:szCs w:val="16"/>
        </w:rPr>
        <w:t>несмотря на серьёзные потери</w:t>
      </w:r>
      <w:r w:rsidRPr="00405303">
        <w:rPr>
          <w:rFonts w:eastAsia="Times-Roman"/>
          <w:bCs/>
          <w:color w:val="002060"/>
          <w:sz w:val="16"/>
          <w:szCs w:val="16"/>
        </w:rPr>
        <w:t xml:space="preserve">, </w:t>
      </w:r>
      <w:r w:rsidRPr="00405303">
        <w:rPr>
          <w:rFonts w:eastAsia="TimesNewRoman"/>
          <w:bCs/>
          <w:color w:val="002060"/>
          <w:sz w:val="16"/>
          <w:szCs w:val="16"/>
        </w:rPr>
        <w:t>русская армия отбросила немцев от Осовца</w:t>
      </w:r>
      <w:r w:rsidRPr="00405303">
        <w:rPr>
          <w:rFonts w:eastAsia="Times-Roman"/>
          <w:bCs/>
          <w:color w:val="002060"/>
          <w:sz w:val="16"/>
          <w:szCs w:val="16"/>
        </w:rPr>
        <w:t xml:space="preserve">. </w:t>
      </w:r>
      <w:r w:rsidRPr="00405303">
        <w:rPr>
          <w:rFonts w:eastAsia="TimesNewRoman"/>
          <w:bCs/>
          <w:color w:val="002060"/>
          <w:sz w:val="16"/>
          <w:szCs w:val="16"/>
        </w:rPr>
        <w:t xml:space="preserve">Контратака русских войск была названа в европейский историографии как </w:t>
      </w:r>
      <w:r w:rsidRPr="00405303">
        <w:rPr>
          <w:rFonts w:eastAsia="Times-Roman"/>
          <w:bCs/>
          <w:color w:val="002060"/>
          <w:sz w:val="16"/>
          <w:szCs w:val="16"/>
        </w:rPr>
        <w:t>«</w:t>
      </w:r>
      <w:r w:rsidRPr="00405303">
        <w:rPr>
          <w:rFonts w:eastAsia="TimesNewRoman"/>
          <w:bCs/>
          <w:color w:val="002060"/>
          <w:sz w:val="16"/>
          <w:szCs w:val="16"/>
        </w:rPr>
        <w:t>атака мертвецов</w:t>
      </w:r>
      <w:r w:rsidRPr="00405303">
        <w:rPr>
          <w:rFonts w:eastAsia="Times-Roman"/>
          <w:bCs/>
          <w:color w:val="002060"/>
          <w:sz w:val="16"/>
          <w:szCs w:val="16"/>
        </w:rPr>
        <w:t xml:space="preserve">»: </w:t>
      </w:r>
      <w:r w:rsidRPr="00405303">
        <w:rPr>
          <w:rFonts w:eastAsia="TimesNewRoman"/>
          <w:bCs/>
          <w:color w:val="002060"/>
          <w:sz w:val="16"/>
          <w:szCs w:val="16"/>
        </w:rPr>
        <w:t>по словам многих историков и свидетелей тех сражений</w:t>
      </w:r>
      <w:r w:rsidRPr="00405303">
        <w:rPr>
          <w:rFonts w:eastAsia="Times-Roman"/>
          <w:bCs/>
          <w:color w:val="002060"/>
          <w:sz w:val="16"/>
          <w:szCs w:val="16"/>
        </w:rPr>
        <w:t>,</w:t>
      </w:r>
    </w:p>
    <w:p w14:paraId="388EDAF5" w14:textId="77777777" w:rsidR="004A61F3" w:rsidRPr="00405303" w:rsidRDefault="004A61F3" w:rsidP="00C15251">
      <w:pPr>
        <w:jc w:val="both"/>
        <w:rPr>
          <w:rFonts w:eastAsia="Times-Roman"/>
          <w:bCs/>
          <w:color w:val="002060"/>
          <w:sz w:val="16"/>
          <w:szCs w:val="16"/>
        </w:rPr>
      </w:pPr>
      <w:r w:rsidRPr="00405303">
        <w:rPr>
          <w:rFonts w:eastAsia="TimesNewRoman"/>
          <w:bCs/>
          <w:color w:val="002060"/>
          <w:sz w:val="16"/>
          <w:szCs w:val="16"/>
        </w:rPr>
        <w:t xml:space="preserve">русские солдаты одним только своим внешним видом </w:t>
      </w:r>
      <w:r w:rsidRPr="00405303">
        <w:rPr>
          <w:rFonts w:eastAsia="Times-Roman"/>
          <w:bCs/>
          <w:color w:val="002060"/>
          <w:sz w:val="16"/>
          <w:szCs w:val="16"/>
        </w:rPr>
        <w:t>(</w:t>
      </w:r>
      <w:r w:rsidRPr="00405303">
        <w:rPr>
          <w:rFonts w:eastAsia="TimesNewRoman"/>
          <w:bCs/>
          <w:color w:val="002060"/>
          <w:sz w:val="16"/>
          <w:szCs w:val="16"/>
        </w:rPr>
        <w:t>многие были изуродованы после обстрела химическими снарядами</w:t>
      </w:r>
      <w:r w:rsidRPr="00405303">
        <w:rPr>
          <w:rFonts w:eastAsia="Times-Roman"/>
          <w:bCs/>
          <w:color w:val="002060"/>
          <w:sz w:val="16"/>
          <w:szCs w:val="16"/>
        </w:rPr>
        <w:t xml:space="preserve">) </w:t>
      </w:r>
      <w:r w:rsidRPr="00405303">
        <w:rPr>
          <w:rFonts w:eastAsia="TimesNewRoman"/>
          <w:bCs/>
          <w:color w:val="002060"/>
          <w:sz w:val="16"/>
          <w:szCs w:val="16"/>
        </w:rPr>
        <w:t>повергли в шок и тотальную панику германских солдат (20240)</w:t>
      </w:r>
      <w:r w:rsidRPr="00405303">
        <w:rPr>
          <w:rFonts w:eastAsia="Times-Roman"/>
          <w:bCs/>
          <w:color w:val="002060"/>
          <w:sz w:val="16"/>
          <w:szCs w:val="16"/>
        </w:rPr>
        <w:t>.</w:t>
      </w:r>
    </w:p>
    <w:p w14:paraId="5B72C47D" w14:textId="77777777" w:rsidR="004A61F3" w:rsidRPr="00405303" w:rsidRDefault="004A61F3" w:rsidP="00C15251">
      <w:pPr>
        <w:jc w:val="both"/>
        <w:rPr>
          <w:rFonts w:eastAsia="Times-Roman"/>
          <w:bCs/>
          <w:color w:val="002060"/>
          <w:sz w:val="16"/>
          <w:szCs w:val="16"/>
        </w:rPr>
      </w:pPr>
    </w:p>
    <w:bookmarkEnd w:id="95"/>
    <w:p w14:paraId="3852EBD4" w14:textId="77777777" w:rsidR="00C44E2D" w:rsidRPr="00405303" w:rsidRDefault="00C44E2D" w:rsidP="00C15251">
      <w:pPr>
        <w:jc w:val="both"/>
        <w:rPr>
          <w:bCs/>
          <w:i/>
          <w:color w:val="002060"/>
          <w:sz w:val="16"/>
          <w:szCs w:val="16"/>
        </w:rPr>
      </w:pPr>
      <w:r w:rsidRPr="00405303">
        <w:rPr>
          <w:bCs/>
          <w:i/>
          <w:color w:val="002060"/>
          <w:sz w:val="16"/>
          <w:szCs w:val="16"/>
        </w:rPr>
        <w:t>Армия:</w:t>
      </w:r>
    </w:p>
    <w:p w14:paraId="602E063F" w14:textId="77777777" w:rsidR="00C44E2D" w:rsidRPr="00405303" w:rsidRDefault="00C44E2D" w:rsidP="00C15251">
      <w:pPr>
        <w:jc w:val="both"/>
        <w:rPr>
          <w:bCs/>
          <w:i/>
          <w:color w:val="002060"/>
          <w:sz w:val="16"/>
          <w:szCs w:val="16"/>
        </w:rPr>
      </w:pPr>
    </w:p>
    <w:p w14:paraId="60B27DBF" w14:textId="5117F123" w:rsidR="00C44E2D" w:rsidRPr="00405303" w:rsidRDefault="00C44E2D" w:rsidP="00C15251">
      <w:pPr>
        <w:jc w:val="both"/>
        <w:rPr>
          <w:bCs/>
          <w:color w:val="002060"/>
          <w:sz w:val="16"/>
          <w:szCs w:val="16"/>
        </w:rPr>
      </w:pPr>
      <w:r w:rsidRPr="00405303">
        <w:rPr>
          <w:bCs/>
          <w:color w:val="002060"/>
          <w:sz w:val="16"/>
          <w:szCs w:val="16"/>
        </w:rPr>
        <w:t xml:space="preserve">11 </w:t>
      </w:r>
      <w:r w:rsidR="00604826" w:rsidRPr="00405303">
        <w:rPr>
          <w:bCs/>
          <w:color w:val="002060"/>
          <w:sz w:val="16"/>
          <w:szCs w:val="16"/>
        </w:rPr>
        <w:t xml:space="preserve">(24) </w:t>
      </w:r>
      <w:r w:rsidRPr="00405303">
        <w:rPr>
          <w:bCs/>
          <w:color w:val="002060"/>
          <w:sz w:val="16"/>
          <w:szCs w:val="16"/>
        </w:rPr>
        <w:t xml:space="preserve">апреля в 1915 году </w:t>
      </w:r>
      <w:r w:rsidR="0099794F" w:rsidRPr="00405303">
        <w:rPr>
          <w:bCs/>
          <w:color w:val="002060"/>
          <w:sz w:val="16"/>
          <w:szCs w:val="16"/>
        </w:rPr>
        <w:t>з</w:t>
      </w:r>
      <w:r w:rsidRPr="00405303">
        <w:rPr>
          <w:bCs/>
          <w:color w:val="002060"/>
          <w:sz w:val="16"/>
          <w:szCs w:val="16"/>
        </w:rPr>
        <w:t>авершилась Карпатская операция - наступление русского Юго-Западного фронта с целью выхода на Венгерскую равнину. Немцы перебросили в Карпаты 6 дивизий и 10 января контратаковали на Самбор и Стрый. Одновременно в наступление перешла армия Брусилова. Противник пытался прорваться в тыл русских к блокированному Перемышлю (120-тысячный австрийский гарнизон сдался 22 марта). Русские войска продвинулись до Ужгорода, но своих целей операция не достигла, так как русские войска не были обеспечены резервами, артиллерией и припасами. Потери составили до 1 миллиона у русских и до 800 тысяч у неприятеля (15096).</w:t>
      </w:r>
    </w:p>
    <w:p w14:paraId="3A8EE094" w14:textId="77777777" w:rsidR="00C44E2D" w:rsidRPr="00405303" w:rsidRDefault="00C44E2D" w:rsidP="00C15251">
      <w:pPr>
        <w:jc w:val="both"/>
        <w:rPr>
          <w:bCs/>
          <w:color w:val="002060"/>
          <w:sz w:val="16"/>
          <w:szCs w:val="16"/>
        </w:rPr>
      </w:pPr>
    </w:p>
    <w:p w14:paraId="164A5F97" w14:textId="77777777" w:rsidR="00C44E2D" w:rsidRPr="00405303" w:rsidRDefault="00C44E2D" w:rsidP="00C15251">
      <w:pPr>
        <w:jc w:val="both"/>
        <w:rPr>
          <w:bCs/>
          <w:i/>
          <w:color w:val="002060"/>
          <w:sz w:val="16"/>
          <w:szCs w:val="16"/>
        </w:rPr>
      </w:pPr>
      <w:r w:rsidRPr="00405303">
        <w:rPr>
          <w:bCs/>
          <w:i/>
          <w:color w:val="002060"/>
          <w:sz w:val="16"/>
          <w:szCs w:val="16"/>
        </w:rPr>
        <w:t>За рубежом:</w:t>
      </w:r>
    </w:p>
    <w:p w14:paraId="3E41E4D2" w14:textId="77777777" w:rsidR="00C44E2D" w:rsidRPr="00405303" w:rsidRDefault="00C44E2D" w:rsidP="00C15251">
      <w:pPr>
        <w:jc w:val="both"/>
        <w:rPr>
          <w:bCs/>
          <w:color w:val="002060"/>
          <w:sz w:val="16"/>
          <w:szCs w:val="16"/>
        </w:rPr>
      </w:pPr>
    </w:p>
    <w:p w14:paraId="00F41247" w14:textId="44F76944" w:rsidR="00C44E2D" w:rsidRPr="00405303" w:rsidRDefault="00C44E2D" w:rsidP="00C15251">
      <w:pPr>
        <w:jc w:val="both"/>
        <w:rPr>
          <w:bCs/>
          <w:color w:val="002060"/>
          <w:sz w:val="16"/>
          <w:szCs w:val="16"/>
        </w:rPr>
      </w:pPr>
      <w:r w:rsidRPr="00405303">
        <w:rPr>
          <w:bCs/>
          <w:color w:val="002060"/>
          <w:sz w:val="16"/>
          <w:szCs w:val="16"/>
        </w:rPr>
        <w:t xml:space="preserve">11 (24) апреля в 1915 году </w:t>
      </w:r>
      <w:r w:rsidR="0099794F" w:rsidRPr="00405303">
        <w:rPr>
          <w:bCs/>
          <w:color w:val="002060"/>
          <w:sz w:val="16"/>
          <w:szCs w:val="16"/>
        </w:rPr>
        <w:t xml:space="preserve">была </w:t>
      </w:r>
      <w:r w:rsidRPr="00405303">
        <w:rPr>
          <w:bCs/>
          <w:color w:val="002060"/>
          <w:sz w:val="16"/>
          <w:szCs w:val="16"/>
        </w:rPr>
        <w:t xml:space="preserve">массовая резня армян в Турции. Из проживавших в Османской империи армян уничтожаются почти две трети, включая женщин, детей и стариков. Поводом к геноциду стало обвинение османского руководства турецких армян в симпатиях к России. В результате за считанные месяцы было </w:t>
      </w:r>
      <w:r w:rsidRPr="00405303">
        <w:rPr>
          <w:bCs/>
          <w:color w:val="002060"/>
          <w:sz w:val="16"/>
          <w:szCs w:val="16"/>
        </w:rPr>
        <w:lastRenderedPageBreak/>
        <w:t>уничтожено около полутора миллиона армян. Это первый в истории случай массового геноцида. В Армении эта трагическая дата отмечается как День памяти жертв геноцида (15109).</w:t>
      </w:r>
    </w:p>
    <w:p w14:paraId="2E6DD3EF" w14:textId="77777777" w:rsidR="00C44E2D" w:rsidRPr="00405303" w:rsidRDefault="00C44E2D" w:rsidP="00C15251">
      <w:pPr>
        <w:jc w:val="both"/>
        <w:rPr>
          <w:bCs/>
          <w:color w:val="002060"/>
          <w:sz w:val="16"/>
          <w:szCs w:val="16"/>
        </w:rPr>
      </w:pPr>
    </w:p>
    <w:p w14:paraId="46683CC2"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27EFC804" w14:textId="77777777" w:rsidR="004B4E35" w:rsidRPr="00405303" w:rsidRDefault="004B4E35" w:rsidP="00C15251">
      <w:pPr>
        <w:shd w:val="clear" w:color="auto" w:fill="FFFFFF"/>
        <w:jc w:val="both"/>
        <w:rPr>
          <w:bCs/>
          <w:i/>
          <w:color w:val="002060"/>
          <w:sz w:val="16"/>
          <w:szCs w:val="16"/>
        </w:rPr>
      </w:pPr>
    </w:p>
    <w:p w14:paraId="46B4F49B" w14:textId="6CF0211A"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12 (25) апреля. Французская летающая лодка «ФБА» также испытывалась в ходе рейда </w:t>
      </w:r>
      <w:r w:rsidR="0099794F" w:rsidRPr="00405303">
        <w:rPr>
          <w:bCs/>
          <w:color w:val="002060"/>
          <w:sz w:val="16"/>
          <w:szCs w:val="16"/>
        </w:rPr>
        <w:t>на Босфор</w:t>
      </w:r>
      <w:r w:rsidRPr="00405303">
        <w:rPr>
          <w:bCs/>
          <w:color w:val="002060"/>
          <w:sz w:val="16"/>
          <w:szCs w:val="16"/>
        </w:rPr>
        <w:t xml:space="preserve"> (2807).</w:t>
      </w:r>
    </w:p>
    <w:p w14:paraId="2718C7BC" w14:textId="77777777" w:rsidR="004B4E35" w:rsidRPr="00405303" w:rsidRDefault="004B4E35" w:rsidP="00C15251">
      <w:pPr>
        <w:shd w:val="clear" w:color="auto" w:fill="FFFFFF"/>
        <w:jc w:val="both"/>
        <w:rPr>
          <w:bCs/>
          <w:color w:val="002060"/>
          <w:sz w:val="16"/>
          <w:szCs w:val="16"/>
        </w:rPr>
      </w:pPr>
    </w:p>
    <w:p w14:paraId="7CB34093" w14:textId="04D5A177" w:rsidR="004B4E35" w:rsidRPr="00405303" w:rsidRDefault="009E6F82" w:rsidP="00C15251">
      <w:pPr>
        <w:jc w:val="both"/>
        <w:rPr>
          <w:bCs/>
          <w:color w:val="002060"/>
          <w:sz w:val="16"/>
          <w:szCs w:val="16"/>
        </w:rPr>
      </w:pPr>
      <w:r w:rsidRPr="00405303">
        <w:rPr>
          <w:bCs/>
          <w:color w:val="002060"/>
          <w:sz w:val="16"/>
          <w:szCs w:val="16"/>
        </w:rPr>
        <w:t xml:space="preserve">12 (25) апреля 1915 года в Севастополе </w:t>
      </w:r>
      <w:r w:rsidR="00B8046E" w:rsidRPr="00405303">
        <w:rPr>
          <w:bCs/>
          <w:color w:val="002060"/>
          <w:sz w:val="16"/>
          <w:szCs w:val="16"/>
        </w:rPr>
        <w:t xml:space="preserve">М-5 Григоровича или </w:t>
      </w:r>
      <w:r w:rsidRPr="00405303">
        <w:rPr>
          <w:bCs/>
          <w:color w:val="002060"/>
          <w:sz w:val="16"/>
          <w:szCs w:val="16"/>
        </w:rPr>
        <w:t xml:space="preserve">"пятак" (так его называли морские летчики) прошел боевые испытания. Лодка с полной нагрузкой легко оторвалась от воды и набрала высоту. Испытания омрачил отказ мотора, но и это обстоятельство в конечном итоге выявило блестящие гидродинамические качества лодки - после вынужденной посадки она бежала по воде двадцать пять минут. На волне лодка держалась великолепно - летчиков при этом ничуть не заливало. Авиационный комитет Черноморского флота посчитал лодку М-5 лучше зарубежных образцов. Создание "пятака" - первый крупный успех инженера Д. П. Григоровича. Он был настолько уверен в этой машине, что одновременно с изготовлением опытного образца подготовил производство к серийному выпуску гидросамолетов. Так ПРТВ стал единственным заводом, который поставлял продукцию для морской авиации. </w:t>
      </w:r>
    </w:p>
    <w:p w14:paraId="03C139F9" w14:textId="77777777" w:rsidR="004B4E35" w:rsidRPr="00405303" w:rsidRDefault="009E6F82" w:rsidP="00C15251">
      <w:pPr>
        <w:jc w:val="both"/>
        <w:rPr>
          <w:bCs/>
          <w:color w:val="002060"/>
          <w:sz w:val="16"/>
          <w:szCs w:val="16"/>
        </w:rPr>
      </w:pPr>
      <w:r w:rsidRPr="00405303">
        <w:rPr>
          <w:bCs/>
          <w:color w:val="002060"/>
          <w:sz w:val="16"/>
          <w:szCs w:val="16"/>
        </w:rPr>
        <w:t>Лейтенант Г. А. Фриде (первый пролетевший под всеми мостами на Неве), испытывая лодку Григоровича М-5, признал ее "выдающейся". Он отметил, что "пятак" на сдаточных: испытаниях серийного образца превысил данные, записанные в технических условиях. Оказалось, что вместо 275 кг машина принимала 300, положенную высоту вместо десяти минут брала за три с половиной (11239).</w:t>
      </w:r>
    </w:p>
    <w:p w14:paraId="26D9AE98" w14:textId="77777777" w:rsidR="004B4E35" w:rsidRPr="00405303" w:rsidRDefault="004B4E35" w:rsidP="00C15251">
      <w:pPr>
        <w:jc w:val="both"/>
        <w:rPr>
          <w:bCs/>
          <w:color w:val="002060"/>
          <w:sz w:val="16"/>
          <w:szCs w:val="16"/>
        </w:rPr>
      </w:pPr>
    </w:p>
    <w:p w14:paraId="080BCC59" w14:textId="2BB7374C" w:rsidR="004B4E35" w:rsidRPr="00405303" w:rsidRDefault="009E6F82" w:rsidP="00C15251">
      <w:pPr>
        <w:shd w:val="clear" w:color="auto" w:fill="FFFFFF"/>
        <w:jc w:val="both"/>
        <w:rPr>
          <w:bCs/>
          <w:color w:val="002060"/>
          <w:sz w:val="16"/>
          <w:szCs w:val="16"/>
        </w:rPr>
      </w:pPr>
      <w:r w:rsidRPr="00405303">
        <w:rPr>
          <w:bCs/>
          <w:color w:val="002060"/>
          <w:sz w:val="16"/>
          <w:szCs w:val="16"/>
        </w:rPr>
        <w:t>12 (25) апреля 1915 года</w:t>
      </w:r>
      <w:r w:rsidR="00B8046E" w:rsidRPr="00405303">
        <w:rPr>
          <w:bCs/>
          <w:color w:val="002060"/>
          <w:sz w:val="16"/>
          <w:szCs w:val="16"/>
        </w:rPr>
        <w:t>,</w:t>
      </w:r>
      <w:r w:rsidRPr="00405303">
        <w:rPr>
          <w:bCs/>
          <w:color w:val="002060"/>
          <w:sz w:val="16"/>
          <w:szCs w:val="16"/>
        </w:rPr>
        <w:t xml:space="preserve"> </w:t>
      </w:r>
      <w:r w:rsidR="00B8046E" w:rsidRPr="00405303">
        <w:rPr>
          <w:bCs/>
          <w:color w:val="002060"/>
          <w:sz w:val="16"/>
          <w:szCs w:val="16"/>
        </w:rPr>
        <w:t>впервые испытанная в полетах над внешними рейдами Се</w:t>
      </w:r>
      <w:r w:rsidR="00B8046E" w:rsidRPr="00405303">
        <w:rPr>
          <w:bCs/>
          <w:color w:val="002060"/>
          <w:sz w:val="16"/>
          <w:szCs w:val="16"/>
        </w:rPr>
        <w:softHyphen/>
        <w:t xml:space="preserve">вастополя, </w:t>
      </w:r>
      <w:r w:rsidRPr="00405303">
        <w:rPr>
          <w:bCs/>
          <w:color w:val="002060"/>
          <w:sz w:val="16"/>
          <w:szCs w:val="16"/>
        </w:rPr>
        <w:t>летающая лодка «М-5» конст</w:t>
      </w:r>
      <w:r w:rsidRPr="00405303">
        <w:rPr>
          <w:bCs/>
          <w:color w:val="002060"/>
          <w:sz w:val="16"/>
          <w:szCs w:val="16"/>
        </w:rPr>
        <w:softHyphen/>
        <w:t>рукции Д. Григоровича оказалась гораздо надежней прежних моделей. Она представляла собой одномоторный биплан, спо</w:t>
      </w:r>
      <w:r w:rsidRPr="00405303">
        <w:rPr>
          <w:bCs/>
          <w:color w:val="002060"/>
          <w:sz w:val="16"/>
          <w:szCs w:val="16"/>
        </w:rPr>
        <w:softHyphen/>
        <w:t>собный с полезной нагрузкой 300 кг находиться в воздухе до 4 часов. Правда из-за слабости мотора биплан летал со скорос</w:t>
      </w:r>
      <w:r w:rsidRPr="00405303">
        <w:rPr>
          <w:bCs/>
          <w:color w:val="002060"/>
          <w:sz w:val="16"/>
          <w:szCs w:val="16"/>
        </w:rPr>
        <w:softHyphen/>
        <w:t>тью 105 км/час и поднимался на 1000-метровую высоту 10 минут. Его приняли на вооружение и предложили создать бо</w:t>
      </w:r>
      <w:r w:rsidRPr="00405303">
        <w:rPr>
          <w:bCs/>
          <w:color w:val="002060"/>
          <w:sz w:val="16"/>
          <w:szCs w:val="16"/>
        </w:rPr>
        <w:softHyphen/>
        <w:t xml:space="preserve">лее совершенный. </w:t>
      </w:r>
      <w:r w:rsidRPr="00405303">
        <w:rPr>
          <w:bCs/>
          <w:i/>
          <w:color w:val="002060"/>
          <w:sz w:val="16"/>
          <w:szCs w:val="16"/>
        </w:rPr>
        <w:t>Столичный завод Щетинина довольно быстро наладил се</w:t>
      </w:r>
      <w:r w:rsidRPr="00405303">
        <w:rPr>
          <w:bCs/>
          <w:i/>
          <w:color w:val="002060"/>
          <w:sz w:val="16"/>
          <w:szCs w:val="16"/>
        </w:rPr>
        <w:softHyphen/>
        <w:t>рийное производство, заказы на «М-5» к середине лета достиг</w:t>
      </w:r>
      <w:r w:rsidRPr="00405303">
        <w:rPr>
          <w:bCs/>
          <w:i/>
          <w:color w:val="002060"/>
          <w:sz w:val="16"/>
          <w:szCs w:val="16"/>
        </w:rPr>
        <w:softHyphen/>
        <w:t xml:space="preserve">ли 146 единиц! </w:t>
      </w:r>
      <w:r w:rsidRPr="00405303">
        <w:rPr>
          <w:bCs/>
          <w:color w:val="002060"/>
          <w:sz w:val="16"/>
          <w:szCs w:val="16"/>
        </w:rPr>
        <w:t>Из-за перебоев в поставках импортных моторов передача флотам 64 готовых бипланов велась малыми партиями. Дале</w:t>
      </w:r>
      <w:r w:rsidRPr="00405303">
        <w:rPr>
          <w:bCs/>
          <w:color w:val="002060"/>
          <w:sz w:val="16"/>
          <w:szCs w:val="16"/>
        </w:rPr>
        <w:softHyphen/>
        <w:t>ко опережая ход событий, заметим, что в 1915-1923 годах завод изготовил около 300 таких летающих лодок [20]. В последнее время они применялись для обучения морских летчиков (11283).</w:t>
      </w:r>
    </w:p>
    <w:p w14:paraId="47AB1E9D" w14:textId="77777777" w:rsidR="004B4E35" w:rsidRPr="00405303" w:rsidRDefault="004B4E35" w:rsidP="00C15251">
      <w:pPr>
        <w:shd w:val="clear" w:color="auto" w:fill="FFFFFF"/>
        <w:jc w:val="both"/>
        <w:rPr>
          <w:bCs/>
          <w:color w:val="002060"/>
          <w:sz w:val="16"/>
          <w:szCs w:val="16"/>
        </w:rPr>
      </w:pPr>
    </w:p>
    <w:p w14:paraId="0AC2544A" w14:textId="20E5C883" w:rsidR="008279E2" w:rsidRPr="00405303" w:rsidRDefault="008279E2" w:rsidP="00C15251">
      <w:pPr>
        <w:jc w:val="both"/>
        <w:rPr>
          <w:bCs/>
          <w:color w:val="002060"/>
          <w:sz w:val="16"/>
          <w:szCs w:val="16"/>
        </w:rPr>
      </w:pPr>
      <w:r w:rsidRPr="00405303">
        <w:rPr>
          <w:bCs/>
          <w:color w:val="002060"/>
          <w:sz w:val="16"/>
          <w:szCs w:val="16"/>
        </w:rPr>
        <w:t xml:space="preserve">12 </w:t>
      </w:r>
      <w:r w:rsidR="00B8046E" w:rsidRPr="00405303">
        <w:rPr>
          <w:bCs/>
          <w:color w:val="002060"/>
          <w:sz w:val="16"/>
          <w:szCs w:val="16"/>
        </w:rPr>
        <w:t xml:space="preserve">(25) </w:t>
      </w:r>
      <w:r w:rsidRPr="00405303">
        <w:rPr>
          <w:bCs/>
          <w:color w:val="002060"/>
          <w:sz w:val="16"/>
          <w:szCs w:val="16"/>
        </w:rPr>
        <w:t>апреля в 1915 году летающая лодка «М-5» Д.П.Григоровича в Севастополе прошла боевые испытания. Сразу после летных испытаний в апреле 1915 года первый гидросамолет участвовал в боевой операции на Чёрном море. В дальнейшем, вплоть до 1923-го, лодка строилась серийно. Всего выпустили около 300 самолётов этого типа. Григоровичу удалось оптимально соединить в «М-5» высокую мореходность корпуса лодки с великолепными летными данными самолета. Взлетно-посадочной площадкой для аппарата могла стать водная поверхность с высотой волны до 0,5 м. Тщательно спрофилированное днище лодки не "прилипало" к воде и легко отделялось от нее при взлете. Посадочная скорость составляла всего 70 км/ч. Двухместная летающая лодка «М-5» с двигателем "Гном-Моносупап" мощностью в 100 л.с. развивала максимальную скорость у земли 105 км/ч. Практический потолок-3300 м, продолжительность полета - 4 часа. Геометрические данные такие: длина самолета 8,6 м, размах крыльев -13,62 м, площадь крыльев - 37,9 м2. Взлетная масса самолета - 960 кг, полезная нагрузка - 300 кг. «М-5» долго оставался на вооружении: сначала в качестве морского разведчика, а с 1916-го - как учебная машина (15097).</w:t>
      </w:r>
    </w:p>
    <w:p w14:paraId="5C2859E5" w14:textId="77777777" w:rsidR="008279E2" w:rsidRPr="00405303" w:rsidRDefault="008279E2" w:rsidP="00C15251">
      <w:pPr>
        <w:jc w:val="both"/>
        <w:rPr>
          <w:bCs/>
          <w:color w:val="002060"/>
          <w:sz w:val="16"/>
          <w:szCs w:val="16"/>
        </w:rPr>
      </w:pPr>
    </w:p>
    <w:p w14:paraId="130D9D2E" w14:textId="0B1D7CD7" w:rsidR="00ED4978" w:rsidRPr="00405303" w:rsidRDefault="00B8046E" w:rsidP="00C15251">
      <w:pPr>
        <w:jc w:val="both"/>
        <w:rPr>
          <w:bCs/>
          <w:color w:val="002060"/>
          <w:sz w:val="16"/>
          <w:szCs w:val="16"/>
        </w:rPr>
      </w:pPr>
      <w:r w:rsidRPr="00405303">
        <w:rPr>
          <w:bCs/>
          <w:color w:val="002060"/>
          <w:sz w:val="16"/>
          <w:szCs w:val="16"/>
        </w:rPr>
        <w:t>12 (</w:t>
      </w:r>
      <w:r w:rsidR="00ED4978" w:rsidRPr="00405303">
        <w:rPr>
          <w:bCs/>
          <w:color w:val="002060"/>
          <w:sz w:val="16"/>
          <w:szCs w:val="16"/>
        </w:rPr>
        <w:t>25</w:t>
      </w:r>
      <w:r w:rsidRPr="00405303">
        <w:rPr>
          <w:bCs/>
          <w:color w:val="002060"/>
          <w:sz w:val="16"/>
          <w:szCs w:val="16"/>
        </w:rPr>
        <w:t>)</w:t>
      </w:r>
      <w:r w:rsidR="00ED4978" w:rsidRPr="00405303">
        <w:rPr>
          <w:bCs/>
          <w:color w:val="002060"/>
          <w:sz w:val="16"/>
          <w:szCs w:val="16"/>
        </w:rPr>
        <w:t xml:space="preserve"> апреля в 1915 году состоялся первый боевой вылет гидросамолета «М-5» конструкции Д.П.Григоровича. Двухместную летающую лодку «М-5» выпустили весной 1915 года. В дальнейшем, вплоть до 1923 года, лодка строилась серийно. Всего выпустили около 300 самолетов этого типа. Григоровичу удалось оптимально соединить в М-5 высокую мореходность корпуса лодки с великолепными летными данными самолета. Взлетно-посадочной площадкой для аппарата могла стать водная поверхность с высотой волны до 0,5 м. Тщательно спрофилированное днище лодки не "прилипало" к воде и легко отделялось от нее при взлете. Посадочная скорость составляла всего 70 км/ч. Летающая лодка «М-5» с двигателем "Гном-Моносупап" мощностью в 100 л.с. развивала максимальную скорость у земли 105 км/ч. Практический потолок - 3300 м, продолжительность полета - 4 часа. Геометрические данные такие: длина самолета 8,6 м, размах крыльев -13,62 м, площадь крыльев - 37,9 м2. Взлетная масса самолета - 960 кг, полезная нагрузка - 300 кг. «М-5» долго оставался на вооружении: сначала в качестве морского разведчика, а с 1916 года - как учебная машина (15110).</w:t>
      </w:r>
    </w:p>
    <w:p w14:paraId="0C53B246" w14:textId="77777777" w:rsidR="00ED4978" w:rsidRPr="00405303" w:rsidRDefault="00ED4978" w:rsidP="00C15251">
      <w:pPr>
        <w:jc w:val="both"/>
        <w:rPr>
          <w:bCs/>
          <w:color w:val="002060"/>
          <w:sz w:val="16"/>
          <w:szCs w:val="16"/>
        </w:rPr>
      </w:pPr>
    </w:p>
    <w:p w14:paraId="01EAE2A1" w14:textId="3C58ACFD" w:rsidR="00ED4978" w:rsidRPr="00405303" w:rsidRDefault="00B8046E" w:rsidP="00C15251">
      <w:pPr>
        <w:jc w:val="both"/>
        <w:rPr>
          <w:bCs/>
          <w:color w:val="002060"/>
          <w:sz w:val="16"/>
          <w:szCs w:val="16"/>
        </w:rPr>
      </w:pPr>
      <w:r w:rsidRPr="00405303">
        <w:rPr>
          <w:bCs/>
          <w:color w:val="002060"/>
          <w:sz w:val="16"/>
          <w:szCs w:val="16"/>
        </w:rPr>
        <w:t>12 (</w:t>
      </w:r>
      <w:r w:rsidR="00ED4978" w:rsidRPr="00405303">
        <w:rPr>
          <w:bCs/>
          <w:color w:val="002060"/>
          <w:sz w:val="16"/>
          <w:szCs w:val="16"/>
        </w:rPr>
        <w:t>25</w:t>
      </w:r>
      <w:r w:rsidRPr="00405303">
        <w:rPr>
          <w:bCs/>
          <w:color w:val="002060"/>
          <w:sz w:val="16"/>
          <w:szCs w:val="16"/>
        </w:rPr>
        <w:t>)</w:t>
      </w:r>
      <w:r w:rsidR="00ED4978" w:rsidRPr="00405303">
        <w:rPr>
          <w:bCs/>
          <w:color w:val="002060"/>
          <w:sz w:val="16"/>
          <w:szCs w:val="16"/>
        </w:rPr>
        <w:t xml:space="preserve"> апреля в 1915 году </w:t>
      </w:r>
      <w:r w:rsidRPr="00405303">
        <w:rPr>
          <w:bCs/>
          <w:color w:val="002060"/>
          <w:sz w:val="16"/>
          <w:szCs w:val="16"/>
        </w:rPr>
        <w:t xml:space="preserve">состоялся </w:t>
      </w:r>
      <w:r w:rsidR="00ED4978" w:rsidRPr="00405303">
        <w:rPr>
          <w:bCs/>
          <w:color w:val="002060"/>
          <w:sz w:val="16"/>
          <w:szCs w:val="16"/>
        </w:rPr>
        <w:t>первый боевой вылет летающей лодки «М-5» Д.П.Григоровича. Самолет сочетал в себе мощность силовой установки, веса, площади крыльев и оперения, что сделало его удобным для пилотирования, а обтекаемая форма фюзеляжа делала возможным взлет с волны высотой 0,5 м (15110).</w:t>
      </w:r>
    </w:p>
    <w:p w14:paraId="2B04DAA2" w14:textId="77777777" w:rsidR="00ED4978" w:rsidRPr="00405303" w:rsidRDefault="00ED4978" w:rsidP="00C15251">
      <w:pPr>
        <w:jc w:val="both"/>
        <w:rPr>
          <w:bCs/>
          <w:color w:val="002060"/>
          <w:sz w:val="16"/>
          <w:szCs w:val="16"/>
        </w:rPr>
      </w:pPr>
    </w:p>
    <w:p w14:paraId="74444FC5"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7BB51E04" w14:textId="77777777" w:rsidR="004B4E35" w:rsidRPr="00405303" w:rsidRDefault="004B4E35" w:rsidP="00C15251">
      <w:pPr>
        <w:jc w:val="both"/>
        <w:rPr>
          <w:bCs/>
          <w:i/>
          <w:color w:val="002060"/>
          <w:sz w:val="16"/>
          <w:szCs w:val="16"/>
        </w:rPr>
      </w:pPr>
    </w:p>
    <w:p w14:paraId="6E4D7D8E" w14:textId="06E01BC6" w:rsidR="004B4E35" w:rsidRPr="00405303" w:rsidRDefault="009E6F82" w:rsidP="00C15251">
      <w:pPr>
        <w:jc w:val="both"/>
        <w:rPr>
          <w:bCs/>
          <w:color w:val="002060"/>
          <w:sz w:val="16"/>
          <w:szCs w:val="16"/>
        </w:rPr>
      </w:pPr>
      <w:r w:rsidRPr="00405303">
        <w:rPr>
          <w:bCs/>
          <w:color w:val="002060"/>
          <w:sz w:val="16"/>
          <w:szCs w:val="16"/>
        </w:rPr>
        <w:t xml:space="preserve">12 (25) апреля 1915 </w:t>
      </w:r>
      <w:proofErr w:type="gramStart"/>
      <w:r w:rsidRPr="00405303">
        <w:rPr>
          <w:bCs/>
          <w:color w:val="002060"/>
          <w:sz w:val="16"/>
          <w:szCs w:val="16"/>
        </w:rPr>
        <w:t>года</w:t>
      </w:r>
      <w:proofErr w:type="gramEnd"/>
      <w:r w:rsidRPr="00405303">
        <w:rPr>
          <w:bCs/>
          <w:color w:val="002060"/>
          <w:sz w:val="16"/>
          <w:szCs w:val="16"/>
        </w:rPr>
        <w:t xml:space="preserve"> </w:t>
      </w:r>
      <w:r w:rsidR="00B8046E" w:rsidRPr="00405303">
        <w:rPr>
          <w:bCs/>
          <w:color w:val="002060"/>
          <w:sz w:val="16"/>
          <w:szCs w:val="16"/>
        </w:rPr>
        <w:t>В телеграмме представителей казанского дворянства, в большинстве своем представлявшие офицерский корпус России П</w:t>
      </w:r>
      <w:r w:rsidRPr="00405303">
        <w:rPr>
          <w:bCs/>
          <w:color w:val="002060"/>
          <w:sz w:val="16"/>
          <w:szCs w:val="16"/>
        </w:rPr>
        <w:t>редседателю Совета министров И.Л. Горемыкину прямо ставился вопрос о необходимости введения государственной монополии на нефтедобывающую промышленность.</w:t>
      </w:r>
    </w:p>
    <w:p w14:paraId="2DD6A567" w14:textId="77777777" w:rsidR="004B4E35" w:rsidRPr="00405303" w:rsidRDefault="009E6F82" w:rsidP="00C15251">
      <w:pPr>
        <w:jc w:val="both"/>
        <w:rPr>
          <w:bCs/>
          <w:color w:val="002060"/>
          <w:sz w:val="16"/>
          <w:szCs w:val="16"/>
        </w:rPr>
      </w:pPr>
      <w:r w:rsidRPr="00405303">
        <w:rPr>
          <w:bCs/>
          <w:color w:val="002060"/>
          <w:sz w:val="16"/>
          <w:szCs w:val="16"/>
        </w:rPr>
        <w:t>«Казанское дворянство проникнуто непоколебимым убеждением, что только властная правительственная рука сможет посредством государственной монополии обуздать давно существующую фактическую монополию нефтепромышленников, терзающую и тормозящую как развитие всевозможных производств, так даже и развитие собственного дела, потому что боевым кличем нефтяного соглашения является не расширение производства, а сокращение его, не дешевизна, вознаграждаемая количеством, а дороговизна, вызываемая искусственным голодом.</w:t>
      </w:r>
    </w:p>
    <w:p w14:paraId="1E941ACA" w14:textId="77777777" w:rsidR="004B4E35" w:rsidRPr="00405303" w:rsidRDefault="009E6F82" w:rsidP="00C15251">
      <w:pPr>
        <w:jc w:val="both"/>
        <w:rPr>
          <w:bCs/>
          <w:color w:val="002060"/>
          <w:sz w:val="16"/>
          <w:szCs w:val="16"/>
        </w:rPr>
      </w:pPr>
      <w:r w:rsidRPr="00405303">
        <w:rPr>
          <w:bCs/>
          <w:color w:val="002060"/>
          <w:sz w:val="16"/>
          <w:szCs w:val="16"/>
        </w:rPr>
        <w:t>Между тем значение нефти и ее продуктов растет с каждым годом, а потому нельзя допустить, чтобы нефтяная промышленность, от которой зависят как многие отрасли военного дела, так и разнообразные производства, оставалась в руках кучки лиц на правах частной, ничем не ограниченной собственности. Нельзя один из главных источников силы государственной обороны и роста государственного богатства оставлять в частном владении без обеспечения острых нужд политической [и] экономической жизни целого народа. Это соображение сразу ставит нефтяную монополию на первую очередь среди проектов других монополий, принятых правительством к рассмотрению. Наконец, только при государственной монополии начнутся разведки и разработки новых нефтяных месторождений, которые теперь всеми средствами тормозятся.</w:t>
      </w:r>
    </w:p>
    <w:p w14:paraId="32D47DF7" w14:textId="77777777" w:rsidR="004B4E35" w:rsidRPr="00405303" w:rsidRDefault="009E6F82" w:rsidP="00C15251">
      <w:pPr>
        <w:jc w:val="both"/>
        <w:rPr>
          <w:bCs/>
          <w:color w:val="002060"/>
          <w:sz w:val="16"/>
          <w:szCs w:val="16"/>
        </w:rPr>
      </w:pPr>
      <w:r w:rsidRPr="00405303">
        <w:rPr>
          <w:bCs/>
          <w:color w:val="002060"/>
          <w:sz w:val="16"/>
          <w:szCs w:val="16"/>
        </w:rPr>
        <w:t>Ввиду всех этих обстоятельств казанское дворянство просит, чтобы вопрос о нефтяной монополии был поставлен для всестороннего рассмотрения на первую очередь и чтобы к обсуждению его в том учреждении, которому он будет передан, были приглашены представители дворянства, земства и купечества всех тех губерний, которые в свое время высказались за введение нефтяной монополии, а впредь до введения монополии, чтобы [была] неуклонно проведена в жизнь фиксация цен на нефть, необходимость каковой меры правительством уже признана.</w:t>
      </w:r>
    </w:p>
    <w:p w14:paraId="1CF14A9E" w14:textId="77777777" w:rsidR="004B4E35" w:rsidRPr="00405303" w:rsidRDefault="009E6F82" w:rsidP="00C15251">
      <w:pPr>
        <w:jc w:val="both"/>
        <w:rPr>
          <w:bCs/>
          <w:color w:val="002060"/>
          <w:sz w:val="16"/>
          <w:szCs w:val="16"/>
        </w:rPr>
      </w:pPr>
      <w:r w:rsidRPr="00405303">
        <w:rPr>
          <w:bCs/>
          <w:color w:val="002060"/>
          <w:sz w:val="16"/>
          <w:szCs w:val="16"/>
        </w:rPr>
        <w:t>По поручению собрания казанский губернский предводитель дворянства гофмейстер ТОЛСТОЙ-МИЛОСЛАВСКИЙ» (РГИА. Ф. 1276. Оп. 11. Д. 237. Л. 27—30.) (11178).</w:t>
      </w:r>
    </w:p>
    <w:p w14:paraId="6FC859BA" w14:textId="77777777" w:rsidR="004B4E35" w:rsidRPr="00405303" w:rsidRDefault="004B4E35" w:rsidP="00C15251">
      <w:pPr>
        <w:jc w:val="both"/>
        <w:rPr>
          <w:bCs/>
          <w:color w:val="002060"/>
          <w:sz w:val="16"/>
          <w:szCs w:val="16"/>
        </w:rPr>
      </w:pPr>
    </w:p>
    <w:p w14:paraId="74271599"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1A74977B" w14:textId="77777777" w:rsidR="004B4E35" w:rsidRPr="00405303" w:rsidRDefault="004B4E35" w:rsidP="00C15251">
      <w:pPr>
        <w:jc w:val="both"/>
        <w:rPr>
          <w:bCs/>
          <w:i/>
          <w:color w:val="002060"/>
          <w:sz w:val="16"/>
          <w:szCs w:val="16"/>
        </w:rPr>
      </w:pPr>
    </w:p>
    <w:p w14:paraId="05E3F7C5" w14:textId="3F6B1ED4" w:rsidR="004B4E35" w:rsidRPr="00405303" w:rsidRDefault="009E6F82" w:rsidP="00C15251">
      <w:pPr>
        <w:jc w:val="both"/>
        <w:rPr>
          <w:bCs/>
          <w:color w:val="002060"/>
          <w:sz w:val="16"/>
          <w:szCs w:val="16"/>
        </w:rPr>
      </w:pPr>
      <w:r w:rsidRPr="00405303">
        <w:rPr>
          <w:bCs/>
          <w:color w:val="002060"/>
          <w:sz w:val="16"/>
          <w:szCs w:val="16"/>
        </w:rPr>
        <w:t xml:space="preserve">12 (25) апреля 1915 г. </w:t>
      </w:r>
      <w:r w:rsidR="00B8046E" w:rsidRPr="00405303">
        <w:rPr>
          <w:bCs/>
          <w:color w:val="002060"/>
          <w:sz w:val="16"/>
          <w:szCs w:val="16"/>
        </w:rPr>
        <w:t xml:space="preserve">немцами </w:t>
      </w:r>
      <w:r w:rsidRPr="00405303">
        <w:rPr>
          <w:bCs/>
          <w:color w:val="002060"/>
          <w:sz w:val="16"/>
          <w:szCs w:val="16"/>
        </w:rPr>
        <w:t xml:space="preserve">был совершен налет на Яблонну. Пять самолетов сбросили 20 осколочных бомб, которые, впрочем, не причинили особого вреда. Осколком был пробит радиатор старого корабля Алехновича, да одна бомба попала в сарай с пустыми бочками. Но этот налет мог стать роковым для Шидловского и Сикорского, которые в момент бомбежки находились на летном поле, где укрыться было негде. Сикорский первый оценил опасность: "Соблаговолите лечь, Михаил </w:t>
      </w:r>
      <w:r w:rsidRPr="00405303">
        <w:rPr>
          <w:bCs/>
          <w:color w:val="002060"/>
          <w:sz w:val="16"/>
          <w:szCs w:val="16"/>
        </w:rPr>
        <w:lastRenderedPageBreak/>
        <w:t>Владимирович!", но генерал, задрав свою белую бороду кверху, наблюдал за действиями немецких летчиков. Он не хотел выглядеть трусом на глазах у всей эскадры. Вот появилась еще одна точка, она росла на глазах. "Ложитесь же!" - Игорь Иванович бросился на землю. Что-то в его голосе заставило Шидловского подчиниться. Он, бурча под нос, нехотя прилег в своей генеральской шинели, и тут метрах в десяти-пятнадцати ахнул взрыв. Вздрогнула земля. Их подбросило. По спинам заколотили комья земли. Потом тишина. Первым поднялся Сикорский. Он подал руку своему патрону и помог ему подняться. Генерал был по-прежнему невозмутим, но Сикорский прочел у него в глазах некоторое смущение (11230).</w:t>
      </w:r>
    </w:p>
    <w:p w14:paraId="15A4E8E1" w14:textId="77777777" w:rsidR="004B4E35" w:rsidRPr="00405303" w:rsidRDefault="009E6F82" w:rsidP="00C15251">
      <w:pPr>
        <w:jc w:val="both"/>
        <w:rPr>
          <w:bCs/>
          <w:color w:val="002060"/>
          <w:sz w:val="16"/>
          <w:szCs w:val="16"/>
        </w:rPr>
      </w:pPr>
      <w:r w:rsidRPr="00405303">
        <w:rPr>
          <w:bCs/>
          <w:color w:val="002060"/>
          <w:sz w:val="16"/>
          <w:szCs w:val="16"/>
        </w:rPr>
        <w:t>Несмотря на незначительный урон эскадре, были сделаны выводы. Около самолетных палаток вырыли траншеи, установили дежурство пулеметчиков, а из крепости Новогеоргиевск получили батарею орудий, пригодных для стрельбы по воздушным целям, под командованием старого знакомого И. И. Сикорского, московского студента, а теперь прапорщика Б.Н. Юрьева (11230).</w:t>
      </w:r>
    </w:p>
    <w:p w14:paraId="7286CEEF" w14:textId="77777777" w:rsidR="004B4E35" w:rsidRPr="00405303" w:rsidRDefault="009E6F82" w:rsidP="00C15251">
      <w:pPr>
        <w:jc w:val="both"/>
        <w:rPr>
          <w:bCs/>
          <w:color w:val="002060"/>
          <w:sz w:val="16"/>
          <w:szCs w:val="16"/>
        </w:rPr>
      </w:pPr>
      <w:r w:rsidRPr="00405303">
        <w:rPr>
          <w:bCs/>
          <w:color w:val="002060"/>
          <w:sz w:val="16"/>
          <w:szCs w:val="16"/>
        </w:rPr>
        <w:t xml:space="preserve">Этот налет навел на дерзкую мысль - одним коротким решительным ударом покончить с немецкой базой в Санниках. Горячие головы предлагали неожиданно для противника высадить с "Муромцев" на летное поле базы специально подготовленный и хорошо вооруженный десант. Однако командование благоразумно отказалось от этой затеи, сочтя риск слишком большим. Тем не менее вопрос в разных вариантах летчиками обсуждался, и среди личного состава эскадры, который очень ценил мужество и храбрость Горшкова, ходила такая байка, весьма похожая на правду. Один генерал, узнав о налете немцев на аэродром базирования "Муромцев", ехидно обронил старшему офицеру эскадры: "Господин подполковник! Если Вы хотите получить Георгиевский Крест, имейте в виду, он будет лежать в Санниках. Слетайте туда и поднимите этот Крест, он будет Ваш!" Горшков улыбнулся: </w:t>
      </w:r>
    </w:p>
    <w:p w14:paraId="38BDA6CD" w14:textId="77777777" w:rsidR="004B4E35" w:rsidRPr="00405303" w:rsidRDefault="009E6F82" w:rsidP="00C15251">
      <w:pPr>
        <w:jc w:val="both"/>
        <w:rPr>
          <w:bCs/>
          <w:color w:val="002060"/>
          <w:sz w:val="16"/>
          <w:szCs w:val="16"/>
        </w:rPr>
      </w:pPr>
      <w:r w:rsidRPr="00405303">
        <w:rPr>
          <w:bCs/>
          <w:color w:val="002060"/>
          <w:sz w:val="16"/>
          <w:szCs w:val="16"/>
        </w:rPr>
        <w:t>"Непременно, Ваше Превосходительство, если Вы положите его туда лично" (11230).</w:t>
      </w:r>
    </w:p>
    <w:p w14:paraId="5EB4E99A" w14:textId="77777777" w:rsidR="004B4E35" w:rsidRPr="00405303" w:rsidRDefault="004B4E35" w:rsidP="00C15251">
      <w:pPr>
        <w:jc w:val="both"/>
        <w:rPr>
          <w:bCs/>
          <w:color w:val="002060"/>
          <w:sz w:val="16"/>
          <w:szCs w:val="16"/>
        </w:rPr>
      </w:pPr>
    </w:p>
    <w:p w14:paraId="6F421339" w14:textId="1B2C3E7D" w:rsidR="00B44654" w:rsidRPr="00405303" w:rsidRDefault="00B44654" w:rsidP="00C15251">
      <w:pPr>
        <w:jc w:val="both"/>
        <w:rPr>
          <w:bCs/>
          <w:color w:val="002060"/>
          <w:sz w:val="16"/>
          <w:szCs w:val="16"/>
        </w:rPr>
      </w:pPr>
      <w:r w:rsidRPr="00405303">
        <w:rPr>
          <w:bCs/>
          <w:color w:val="002060"/>
          <w:sz w:val="16"/>
          <w:szCs w:val="16"/>
        </w:rPr>
        <w:t>12 (25) апреля 1915 г., чтобы разом по</w:t>
      </w:r>
      <w:r w:rsidRPr="00405303">
        <w:rPr>
          <w:bCs/>
          <w:color w:val="002060"/>
          <w:sz w:val="16"/>
          <w:szCs w:val="16"/>
        </w:rPr>
        <w:softHyphen/>
        <w:t>кончить с воздушными кораблями, был совершен налет на Яблонну. Пять самолетов сбро</w:t>
      </w:r>
      <w:r w:rsidRPr="00405303">
        <w:rPr>
          <w:bCs/>
          <w:color w:val="002060"/>
          <w:sz w:val="16"/>
          <w:szCs w:val="16"/>
        </w:rPr>
        <w:softHyphen/>
        <w:t>сили 20 осколочных бомб, которые, впрочем, не причи</w:t>
      </w:r>
      <w:r w:rsidRPr="00405303">
        <w:rPr>
          <w:bCs/>
          <w:color w:val="002060"/>
          <w:sz w:val="16"/>
          <w:szCs w:val="16"/>
        </w:rPr>
        <w:softHyphen/>
        <w:t>нили особого вреда. Осколком был пробит радиатор ста</w:t>
      </w:r>
      <w:r w:rsidRPr="00405303">
        <w:rPr>
          <w:bCs/>
          <w:color w:val="002060"/>
          <w:sz w:val="16"/>
          <w:szCs w:val="16"/>
        </w:rPr>
        <w:softHyphen/>
        <w:t>рого корабля Алехновича, да одна бомба попала в сарай с пустыми бочками. Но этот налет мог стать роковым для Шидловского и Сикорского, которые в момент бом</w:t>
      </w:r>
      <w:r w:rsidRPr="00405303">
        <w:rPr>
          <w:bCs/>
          <w:color w:val="002060"/>
          <w:sz w:val="16"/>
          <w:szCs w:val="16"/>
        </w:rPr>
        <w:softHyphen/>
        <w:t>бежки находились на летном поле, где укрыться было негде. Сикорский первый оценил опасность: «Соблаго</w:t>
      </w:r>
      <w:r w:rsidRPr="00405303">
        <w:rPr>
          <w:bCs/>
          <w:color w:val="002060"/>
          <w:sz w:val="16"/>
          <w:szCs w:val="16"/>
        </w:rPr>
        <w:softHyphen/>
        <w:t>волите лечь, Михаил Владимирович!», но генерал, за</w:t>
      </w:r>
      <w:r w:rsidRPr="00405303">
        <w:rPr>
          <w:bCs/>
          <w:color w:val="002060"/>
          <w:sz w:val="16"/>
          <w:szCs w:val="16"/>
        </w:rPr>
        <w:softHyphen/>
        <w:t>драв свою белую бороду кверху, наблюдал за действия</w:t>
      </w:r>
      <w:r w:rsidRPr="00405303">
        <w:rPr>
          <w:bCs/>
          <w:color w:val="002060"/>
          <w:sz w:val="16"/>
          <w:szCs w:val="16"/>
        </w:rPr>
        <w:softHyphen/>
        <w:t>ми немецких летчиков. Он не хотел выглядеть трусом на глазах у всей эскадры. Вот появилась еще одна точ</w:t>
      </w:r>
      <w:r w:rsidRPr="00405303">
        <w:rPr>
          <w:bCs/>
          <w:color w:val="002060"/>
          <w:sz w:val="16"/>
          <w:szCs w:val="16"/>
        </w:rPr>
        <w:softHyphen/>
        <w:t>ка, она росла на глазах. «Ложитесь же!» — Игорь Иванович бросился на землю. Что-то в его голосе заставило Шидловского подчиниться. Он, бурча под нос, нехотя прилег в своей генеральской шинели, и тут метрах в де</w:t>
      </w:r>
      <w:r w:rsidRPr="00405303">
        <w:rPr>
          <w:bCs/>
          <w:color w:val="002060"/>
          <w:sz w:val="16"/>
          <w:szCs w:val="16"/>
        </w:rPr>
        <w:softHyphen/>
        <w:t>сяти-пятнадцати ахнул взрыв. Вздрогнула земля. Их подбросило. По спинам заколотили комья земли. По</w:t>
      </w:r>
      <w:r w:rsidRPr="00405303">
        <w:rPr>
          <w:bCs/>
          <w:color w:val="002060"/>
          <w:sz w:val="16"/>
          <w:szCs w:val="16"/>
        </w:rPr>
        <w:softHyphen/>
        <w:t>том тишина. Первым поднялся Сикорский. Он подал руку своему патрону и помог ему подняться. Генерал был по-прежнему невозмутим, но Сикорский прочел у него в глазах некоторое смятение.</w:t>
      </w:r>
    </w:p>
    <w:p w14:paraId="54E85549" w14:textId="77777777" w:rsidR="00B44654" w:rsidRPr="00405303" w:rsidRDefault="00B44654" w:rsidP="00C15251">
      <w:pPr>
        <w:jc w:val="both"/>
        <w:rPr>
          <w:bCs/>
          <w:color w:val="002060"/>
          <w:sz w:val="16"/>
          <w:szCs w:val="16"/>
        </w:rPr>
      </w:pPr>
      <w:r w:rsidRPr="00405303">
        <w:rPr>
          <w:bCs/>
          <w:color w:val="002060"/>
          <w:sz w:val="16"/>
          <w:szCs w:val="16"/>
        </w:rPr>
        <w:t>Несмотря на незначительный урон эскадре, были сделаны выводы. Около самолетных палаток вырыли траншеи, установили дежурство пулеметчиков, а из крепости Новогеоргиевск получили батарею орудий, пригодных для стрельбы по воздушным целям, под командованием старого знакомого Сикорского, московского студента, а теперь прапорщик Б. F. Юрьева.</w:t>
      </w:r>
    </w:p>
    <w:p w14:paraId="701CBACB" w14:textId="77777777" w:rsidR="00B44654" w:rsidRPr="00405303" w:rsidRDefault="00B44654" w:rsidP="00C15251">
      <w:pPr>
        <w:jc w:val="both"/>
        <w:rPr>
          <w:bCs/>
          <w:color w:val="002060"/>
          <w:sz w:val="16"/>
          <w:szCs w:val="16"/>
        </w:rPr>
      </w:pPr>
      <w:r w:rsidRPr="00405303">
        <w:rPr>
          <w:bCs/>
          <w:color w:val="002060"/>
          <w:sz w:val="16"/>
          <w:szCs w:val="16"/>
        </w:rPr>
        <w:t>Этот налет навел на дерзкую мысль — одним коротким решительным ударом покончить с немецкой базой в Сан</w:t>
      </w:r>
      <w:r w:rsidRPr="00405303">
        <w:rPr>
          <w:bCs/>
          <w:color w:val="002060"/>
          <w:sz w:val="16"/>
          <w:szCs w:val="16"/>
        </w:rPr>
        <w:softHyphen/>
        <w:t>циально подготовленный и хорошо вооруженный десант. Однако командование благоразумно отказалось от этой затеи, сочтя риск слишком большим. Тем не менее вопрос в разных вариантах летчиками обсуждался, и среди лич</w:t>
      </w:r>
      <w:r w:rsidRPr="00405303">
        <w:rPr>
          <w:bCs/>
          <w:color w:val="002060"/>
          <w:sz w:val="16"/>
          <w:szCs w:val="16"/>
        </w:rPr>
        <w:softHyphen/>
        <w:t>ного состава эскадры, который очень ценил мужество и храбрость Горшкова, ходила такая байка, весьма похо</w:t>
      </w:r>
      <w:r w:rsidRPr="00405303">
        <w:rPr>
          <w:bCs/>
          <w:color w:val="002060"/>
          <w:sz w:val="16"/>
          <w:szCs w:val="16"/>
        </w:rPr>
        <w:softHyphen/>
        <w:t>жая на правду. Один генерал, узнав о налете немцев на аэродром базирования «Муромцев», ехидно обронил старшему офицеру эскадры: «Господин подполковник! Если Вы хотите получить Георгиевский Крест, имейте в виду, он будет лежать в Санниках. Слетайте туда и подни</w:t>
      </w:r>
      <w:r w:rsidRPr="00405303">
        <w:rPr>
          <w:bCs/>
          <w:color w:val="002060"/>
          <w:sz w:val="16"/>
          <w:szCs w:val="16"/>
        </w:rPr>
        <w:softHyphen/>
        <w:t>мите этот Крест, он будет Ваш!» Горшков улыбнулся: «Непременно, Ваше Превосходительство, если Вы положите его туда лично» (ЦГИА, ф. 24, оп. 28, д. 202, л. 1 — 12) (24177).</w:t>
      </w:r>
    </w:p>
    <w:p w14:paraId="1936DF75" w14:textId="77777777" w:rsidR="00B44654" w:rsidRPr="00405303" w:rsidRDefault="00B44654" w:rsidP="00C15251">
      <w:pPr>
        <w:jc w:val="both"/>
        <w:rPr>
          <w:bCs/>
          <w:color w:val="002060"/>
          <w:sz w:val="16"/>
          <w:szCs w:val="16"/>
          <w:lang w:bidi="ru-RU"/>
        </w:rPr>
      </w:pPr>
    </w:p>
    <w:p w14:paraId="5D729EB2" w14:textId="0E0E939B" w:rsidR="004B4E35" w:rsidRPr="00405303" w:rsidRDefault="009E6F82" w:rsidP="00C15251">
      <w:pPr>
        <w:jc w:val="both"/>
        <w:rPr>
          <w:bCs/>
          <w:color w:val="002060"/>
          <w:sz w:val="16"/>
          <w:szCs w:val="16"/>
        </w:rPr>
      </w:pPr>
      <w:r w:rsidRPr="00405303">
        <w:rPr>
          <w:bCs/>
          <w:color w:val="002060"/>
          <w:sz w:val="16"/>
          <w:szCs w:val="16"/>
        </w:rPr>
        <w:t xml:space="preserve">12 (25) апреля 1915 </w:t>
      </w:r>
      <w:r w:rsidR="00B8046E" w:rsidRPr="00405303">
        <w:rPr>
          <w:bCs/>
          <w:color w:val="002060"/>
          <w:sz w:val="16"/>
          <w:szCs w:val="16"/>
        </w:rPr>
        <w:t>у</w:t>
      </w:r>
      <w:r w:rsidRPr="00405303">
        <w:rPr>
          <w:bCs/>
          <w:color w:val="002060"/>
          <w:sz w:val="16"/>
          <w:szCs w:val="16"/>
        </w:rPr>
        <w:t>тром 6 немецких аэропланов атаковали русскую базу в Яблонне; они сбросили 26 бомб, отчего вылетели стекла в доме управляющего имением графини Потоцкой. Один самолет, "ИМ-5", использовавшийся в основном в учебных целях, был поврежден. Бомба большой силы упала в 30-ти шагах от него; осколки повредили картер двигателя, пропеллеры, радиатор. Жертв не было.</w:t>
      </w:r>
    </w:p>
    <w:p w14:paraId="113F0622" w14:textId="77777777" w:rsidR="004B4E35" w:rsidRPr="00405303" w:rsidRDefault="009E6F82" w:rsidP="00C15251">
      <w:pPr>
        <w:jc w:val="both"/>
        <w:rPr>
          <w:bCs/>
          <w:color w:val="002060"/>
          <w:sz w:val="16"/>
          <w:szCs w:val="16"/>
        </w:rPr>
      </w:pPr>
      <w:r w:rsidRPr="00405303">
        <w:rPr>
          <w:bCs/>
          <w:color w:val="002060"/>
          <w:sz w:val="16"/>
          <w:szCs w:val="16"/>
        </w:rPr>
        <w:t>Этот налет свидетельствует о том, что немцев очень беспокоило наличие в непосредственной близости с намечаемым ими местом прорыва такого эффективного разведывательного и ударного средства. Ведь внезапность нападения является одной из составляющих успеха наступательных операций, нацеленных на прорыв позиционного фронта (11999).</w:t>
      </w:r>
    </w:p>
    <w:p w14:paraId="39DAF64E" w14:textId="77777777" w:rsidR="004B4E35" w:rsidRPr="00405303" w:rsidRDefault="004B4E35" w:rsidP="00C15251">
      <w:pPr>
        <w:jc w:val="both"/>
        <w:rPr>
          <w:bCs/>
          <w:color w:val="002060"/>
          <w:sz w:val="16"/>
          <w:szCs w:val="16"/>
        </w:rPr>
      </w:pPr>
    </w:p>
    <w:p w14:paraId="2027F1C5" w14:textId="77777777" w:rsidR="004B4E35" w:rsidRPr="00405303" w:rsidRDefault="009E6F82" w:rsidP="00C15251">
      <w:pPr>
        <w:jc w:val="both"/>
        <w:rPr>
          <w:bCs/>
          <w:color w:val="002060"/>
          <w:sz w:val="16"/>
          <w:szCs w:val="16"/>
        </w:rPr>
      </w:pPr>
      <w:r w:rsidRPr="00405303">
        <w:rPr>
          <w:bCs/>
          <w:color w:val="002060"/>
          <w:sz w:val="16"/>
          <w:szCs w:val="16"/>
        </w:rPr>
        <w:t xml:space="preserve">В начале апреля 1915 года в боевых вылетах к "Киевскому" присоединился III корабль Бродовича. "Близнецов" можно было различить только по передней части кабины: более поздний корабль Бродовича имел увеличенную площадь остекления кабины - на потолочной части сделали 16 круглых "иллюминаторов" вместо двух, дополнительные стёкла были установлены в нижней части боковых стенок. </w:t>
      </w:r>
    </w:p>
    <w:p w14:paraId="44C33BAD" w14:textId="77777777" w:rsidR="00B8046E" w:rsidRPr="00405303" w:rsidRDefault="009E6F82" w:rsidP="00C15251">
      <w:pPr>
        <w:jc w:val="both"/>
        <w:rPr>
          <w:bCs/>
          <w:color w:val="002060"/>
          <w:sz w:val="16"/>
          <w:szCs w:val="16"/>
        </w:rPr>
      </w:pPr>
      <w:r w:rsidRPr="00405303">
        <w:rPr>
          <w:bCs/>
          <w:color w:val="002060"/>
          <w:sz w:val="16"/>
          <w:szCs w:val="16"/>
        </w:rPr>
        <w:t xml:space="preserve">Почти в каждом полёте "Муромцы" наводили ужас на врага своим точным бомбометанием. Так, 6 апреля "Киевский" задал жару станциям Млава и Млавка, сбросив 17 бомб и попав в пути и железнодорожные сооружения. Было убито шесть солдат и 13 ранено. Пока "Киевский" громил станции. III корабль нанёс визит вежливости на аэродром полевого немецкого отряда (FFA4) в Санниках, который располагался в 80 км западнее Варшавы. Бродович "высыпал" на немцев более двадцати бомб, поразив ангары и открыто стоящие аэропланы. По крайней мере один из аппаратов был повреждён. Через несколько дней, </w:t>
      </w:r>
    </w:p>
    <w:p w14:paraId="5D430093" w14:textId="77777777" w:rsidR="00B8046E" w:rsidRPr="00405303" w:rsidRDefault="00B8046E" w:rsidP="00C15251">
      <w:pPr>
        <w:jc w:val="both"/>
        <w:rPr>
          <w:bCs/>
          <w:color w:val="002060"/>
          <w:sz w:val="16"/>
          <w:szCs w:val="16"/>
        </w:rPr>
      </w:pPr>
    </w:p>
    <w:p w14:paraId="3772C777" w14:textId="114E7ACD" w:rsidR="004B4E35" w:rsidRPr="00405303" w:rsidRDefault="009E6F82" w:rsidP="00C15251">
      <w:pPr>
        <w:jc w:val="both"/>
        <w:rPr>
          <w:bCs/>
          <w:color w:val="002060"/>
          <w:sz w:val="16"/>
          <w:szCs w:val="16"/>
        </w:rPr>
      </w:pPr>
      <w:r w:rsidRPr="00405303">
        <w:rPr>
          <w:bCs/>
          <w:color w:val="002060"/>
          <w:sz w:val="16"/>
          <w:szCs w:val="16"/>
        </w:rPr>
        <w:t xml:space="preserve">12 </w:t>
      </w:r>
      <w:r w:rsidR="00B8046E" w:rsidRPr="00405303">
        <w:rPr>
          <w:bCs/>
          <w:color w:val="002060"/>
          <w:sz w:val="16"/>
          <w:szCs w:val="16"/>
        </w:rPr>
        <w:t xml:space="preserve">(25) </w:t>
      </w:r>
      <w:r w:rsidRPr="00405303">
        <w:rPr>
          <w:bCs/>
          <w:color w:val="002060"/>
          <w:sz w:val="16"/>
          <w:szCs w:val="16"/>
        </w:rPr>
        <w:t xml:space="preserve">апреля </w:t>
      </w:r>
      <w:r w:rsidR="00B8046E" w:rsidRPr="00405303">
        <w:rPr>
          <w:bCs/>
          <w:color w:val="002060"/>
          <w:sz w:val="16"/>
          <w:szCs w:val="16"/>
        </w:rPr>
        <w:t xml:space="preserve">1815 г. </w:t>
      </w:r>
      <w:r w:rsidRPr="00405303">
        <w:rPr>
          <w:bCs/>
          <w:color w:val="002060"/>
          <w:sz w:val="16"/>
          <w:szCs w:val="16"/>
        </w:rPr>
        <w:t>шесть аэропланов этой части в ответ совершили налёт на аэродром Эскадры, попав одной бомбой в сарай с пустыми бочками, осколками мелких бомб был повреждён радиатор одного из новых кораблей и немного пострадала машина Алехновича (12041).</w:t>
      </w:r>
    </w:p>
    <w:p w14:paraId="495B0336" w14:textId="77777777" w:rsidR="004B4E35" w:rsidRPr="00405303" w:rsidRDefault="004B4E35" w:rsidP="00C15251">
      <w:pPr>
        <w:jc w:val="both"/>
        <w:rPr>
          <w:bCs/>
          <w:color w:val="002060"/>
          <w:sz w:val="16"/>
          <w:szCs w:val="16"/>
        </w:rPr>
      </w:pPr>
    </w:p>
    <w:p w14:paraId="06D0F2E4" w14:textId="77777777" w:rsidR="001D07F9" w:rsidRPr="00405303" w:rsidRDefault="001D07F9" w:rsidP="001D07F9">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12 (25) апреля 1915 г. германский аэроплан типа «Таубе» совершил налет на аэродром ЭВК «Илья Муромец» (ст. Яблонна, царство Польское), сбросив на объекты 8 бомб (без какого-либо ущерба для них). Вскоре зенитным огнем он был подбит и опустился вблизи г. Насельск. Экипаж (2 летчика) захвачен в плен, летательный аппарат достался в качестве трофея.</w:t>
      </w:r>
    </w:p>
    <w:p w14:paraId="1902C7C8" w14:textId="77777777" w:rsidR="001D07F9" w:rsidRPr="00405303" w:rsidRDefault="001D07F9" w:rsidP="001D07F9">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В тот же день воздушной бомбардировке со стороны германской авиации подверглись г. Цеханов и Насельск (25135).</w:t>
      </w:r>
    </w:p>
    <w:p w14:paraId="1AB70AEA" w14:textId="77777777" w:rsidR="001D07F9" w:rsidRPr="00405303" w:rsidRDefault="001D07F9" w:rsidP="001D07F9">
      <w:pPr>
        <w:jc w:val="both"/>
        <w:rPr>
          <w:rStyle w:val="aa"/>
          <w:rFonts w:ascii="Times New Roman" w:hAnsi="Times New Roman"/>
          <w:color w:val="0070C0"/>
          <w:spacing w:val="0"/>
          <w:sz w:val="16"/>
          <w:szCs w:val="16"/>
        </w:rPr>
      </w:pPr>
    </w:p>
    <w:p w14:paraId="7B2A82E1" w14:textId="77777777" w:rsidR="001D07F9" w:rsidRPr="00405303" w:rsidRDefault="001D07F9" w:rsidP="001D07F9">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12 (25) апреля 1915 г. воздушным ударам подверглись неприятельский аэродром и железнодорожная станция Циткемен (Восточная Пруссия), на который было сброшено около 40 бомб (25135).</w:t>
      </w:r>
    </w:p>
    <w:p w14:paraId="28EBE3B5" w14:textId="77777777" w:rsidR="001D07F9" w:rsidRPr="00405303" w:rsidRDefault="001D07F9" w:rsidP="001D07F9">
      <w:pPr>
        <w:jc w:val="both"/>
        <w:rPr>
          <w:rStyle w:val="aa"/>
          <w:rFonts w:ascii="Times New Roman" w:hAnsi="Times New Roman"/>
          <w:color w:val="0070C0"/>
          <w:spacing w:val="0"/>
          <w:sz w:val="16"/>
          <w:szCs w:val="16"/>
        </w:rPr>
      </w:pPr>
    </w:p>
    <w:p w14:paraId="4397066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12 (25) апреля 1915 летчики Гренадерского авиаотряда В.Н.Корицкий, М.В.Смирнов, Г.И.Гудков и 28-го КАО А.И.Семенов произвели ноч</w:t>
      </w:r>
      <w:r w:rsidRPr="00405303">
        <w:rPr>
          <w:bCs/>
          <w:color w:val="002060"/>
          <w:sz w:val="16"/>
          <w:szCs w:val="16"/>
        </w:rPr>
        <w:softHyphen/>
        <w:t>ную разведку и налет на аэродром и станцию Циткемен. Было сброшено 39 бомб, вызвавших пожар ангаров, железнодорожных складов и станции. Это был первый, официально зарегистрированный слу</w:t>
      </w:r>
      <w:r w:rsidRPr="00405303">
        <w:rPr>
          <w:bCs/>
          <w:color w:val="002060"/>
          <w:sz w:val="16"/>
          <w:szCs w:val="16"/>
        </w:rPr>
        <w:softHyphen/>
        <w:t>чай ночного налета наших летчиков на тылы немцев (ЦГВИА. ф,2008, д.8, л.15; приказ по Х-й армии № 431 от 15 апреля 1915 г.).</w:t>
      </w:r>
    </w:p>
    <w:p w14:paraId="13DEA5AC" w14:textId="77777777" w:rsidR="004B4E35" w:rsidRPr="00405303" w:rsidRDefault="004B4E35" w:rsidP="00C15251">
      <w:pPr>
        <w:shd w:val="clear" w:color="auto" w:fill="FFFFFF"/>
        <w:jc w:val="both"/>
        <w:rPr>
          <w:bCs/>
          <w:color w:val="002060"/>
          <w:sz w:val="16"/>
          <w:szCs w:val="16"/>
        </w:rPr>
      </w:pPr>
    </w:p>
    <w:p w14:paraId="5F8666B0"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421E5869" w14:textId="77777777" w:rsidR="004B4E35" w:rsidRPr="00405303" w:rsidRDefault="004B4E35" w:rsidP="00C15251">
      <w:pPr>
        <w:shd w:val="clear" w:color="auto" w:fill="FFFFFF"/>
        <w:jc w:val="both"/>
        <w:rPr>
          <w:bCs/>
          <w:i/>
          <w:color w:val="002060"/>
          <w:sz w:val="16"/>
          <w:szCs w:val="16"/>
        </w:rPr>
      </w:pPr>
    </w:p>
    <w:p w14:paraId="21329242" w14:textId="77777777" w:rsidR="004B4E35" w:rsidRPr="00405303" w:rsidRDefault="009E6F82" w:rsidP="00C15251">
      <w:pPr>
        <w:shd w:val="clear" w:color="auto" w:fill="FFFFFF"/>
        <w:jc w:val="both"/>
        <w:rPr>
          <w:bCs/>
          <w:i/>
          <w:color w:val="002060"/>
          <w:sz w:val="16"/>
          <w:szCs w:val="16"/>
        </w:rPr>
      </w:pPr>
      <w:r w:rsidRPr="00405303">
        <w:rPr>
          <w:bCs/>
          <w:color w:val="002060"/>
          <w:sz w:val="16"/>
          <w:szCs w:val="16"/>
        </w:rPr>
        <w:t xml:space="preserve">12 (25) апреля 1915на Черном море состоялся первый боевой разведывателъный полет летающей лодки </w:t>
      </w:r>
      <w:r w:rsidRPr="00405303">
        <w:rPr>
          <w:bCs/>
          <w:color w:val="002060"/>
          <w:sz w:val="16"/>
          <w:szCs w:val="16"/>
          <w:vertAlign w:val="superscript"/>
        </w:rPr>
        <w:t>!!</w:t>
      </w:r>
      <w:r w:rsidRPr="00405303">
        <w:rPr>
          <w:bCs/>
          <w:color w:val="002060"/>
          <w:sz w:val="16"/>
          <w:szCs w:val="16"/>
        </w:rPr>
        <w:t xml:space="preserve">М-5" конструкции инженера Д.П.Григоровича. "М-5" - биплан с двигателем "Гном-Моносупап" в 100 л.с. Вес нагрузки 300 кг, полетный вес 960 кг, скорость 105 км/час. Первые испытания "М-5" проводились в конце декабря 1914 года. Сразу же была построена серия. Как разведчик "М-5" применялся недолго и с 1916 года был заменен летающей лодкой “М-9", но как морской учебный самолет "М-5" применялся очень </w:t>
      </w:r>
      <w:r w:rsidRPr="00405303">
        <w:rPr>
          <w:bCs/>
          <w:i/>
          <w:color w:val="002060"/>
          <w:sz w:val="16"/>
          <w:szCs w:val="16"/>
        </w:rPr>
        <w:t>долго - до 1924 года. Построена их было около 300 экземпляров, (ЦГА ВМФ. ф.843, д.14165).</w:t>
      </w:r>
    </w:p>
    <w:p w14:paraId="2C21A6D9" w14:textId="77777777" w:rsidR="004B4E35" w:rsidRPr="00405303" w:rsidRDefault="004B4E35" w:rsidP="00C15251">
      <w:pPr>
        <w:shd w:val="clear" w:color="auto" w:fill="FFFFFF"/>
        <w:jc w:val="both"/>
        <w:rPr>
          <w:bCs/>
          <w:color w:val="002060"/>
          <w:sz w:val="16"/>
          <w:szCs w:val="16"/>
        </w:rPr>
      </w:pPr>
    </w:p>
    <w:p w14:paraId="78AA6EA8" w14:textId="44A53C81"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 xml:space="preserve">12 </w:t>
      </w:r>
      <w:r w:rsidR="00B8046E" w:rsidRPr="00405303">
        <w:rPr>
          <w:bCs/>
          <w:color w:val="002060"/>
          <w:sz w:val="16"/>
          <w:szCs w:val="16"/>
        </w:rPr>
        <w:t xml:space="preserve">(25) </w:t>
      </w:r>
      <w:r w:rsidRPr="00405303">
        <w:rPr>
          <w:bCs/>
          <w:color w:val="002060"/>
          <w:sz w:val="16"/>
          <w:szCs w:val="16"/>
        </w:rPr>
        <w:t>ап</w:t>
      </w:r>
      <w:r w:rsidRPr="00405303">
        <w:rPr>
          <w:bCs/>
          <w:color w:val="002060"/>
          <w:sz w:val="16"/>
          <w:szCs w:val="16"/>
        </w:rPr>
        <w:softHyphen/>
        <w:t xml:space="preserve">реля </w:t>
      </w:r>
      <w:r w:rsidR="00B8046E" w:rsidRPr="00405303">
        <w:rPr>
          <w:bCs/>
          <w:color w:val="002060"/>
          <w:sz w:val="16"/>
          <w:szCs w:val="16"/>
        </w:rPr>
        <w:t>1915 г., в соответствии с журналом заседаний авиаци</w:t>
      </w:r>
      <w:r w:rsidR="00B8046E" w:rsidRPr="00405303">
        <w:rPr>
          <w:bCs/>
          <w:color w:val="002060"/>
          <w:sz w:val="16"/>
          <w:szCs w:val="16"/>
        </w:rPr>
        <w:softHyphen/>
        <w:t>онного комитета Службы связи Чёр</w:t>
      </w:r>
      <w:r w:rsidR="00B8046E" w:rsidRPr="00405303">
        <w:rPr>
          <w:bCs/>
          <w:color w:val="002060"/>
          <w:sz w:val="16"/>
          <w:szCs w:val="16"/>
        </w:rPr>
        <w:softHyphen/>
        <w:t xml:space="preserve">ного моря за 24 апреля 1915 г.: «Испытание лодки завода Щетинимо в открытом море </w:t>
      </w:r>
      <w:r w:rsidRPr="00405303">
        <w:rPr>
          <w:bCs/>
          <w:color w:val="002060"/>
          <w:sz w:val="16"/>
          <w:szCs w:val="16"/>
        </w:rPr>
        <w:t>но волне дали следующие ре</w:t>
      </w:r>
      <w:r w:rsidRPr="00405303">
        <w:rPr>
          <w:bCs/>
          <w:color w:val="002060"/>
          <w:sz w:val="16"/>
          <w:szCs w:val="16"/>
        </w:rPr>
        <w:softHyphen/>
        <w:t>зультаты: на разбеге её не залива</w:t>
      </w:r>
      <w:r w:rsidRPr="00405303">
        <w:rPr>
          <w:bCs/>
          <w:color w:val="002060"/>
          <w:sz w:val="16"/>
          <w:szCs w:val="16"/>
        </w:rPr>
        <w:softHyphen/>
        <w:t>ло, лодка с полной нагрузкой быс</w:t>
      </w:r>
      <w:r w:rsidRPr="00405303">
        <w:rPr>
          <w:bCs/>
          <w:color w:val="002060"/>
          <w:sz w:val="16"/>
          <w:szCs w:val="16"/>
        </w:rPr>
        <w:softHyphen/>
        <w:t>тро оторвалась, хорошо взяла вы</w:t>
      </w:r>
      <w:r w:rsidRPr="00405303">
        <w:rPr>
          <w:bCs/>
          <w:color w:val="002060"/>
          <w:sz w:val="16"/>
          <w:szCs w:val="16"/>
        </w:rPr>
        <w:softHyphen/>
        <w:t>соту. По осмотре лодки воды в ней не оказалось и лётчиков нисколько не заливало, хотя пришлось прыгать с волны на волну. Считая это испы</w:t>
      </w:r>
      <w:r w:rsidRPr="00405303">
        <w:rPr>
          <w:bCs/>
          <w:color w:val="002060"/>
          <w:sz w:val="16"/>
          <w:szCs w:val="16"/>
        </w:rPr>
        <w:softHyphen/>
        <w:t>тание тяжелым и выполненным от</w:t>
      </w:r>
      <w:r w:rsidRPr="00405303">
        <w:rPr>
          <w:bCs/>
          <w:color w:val="002060"/>
          <w:sz w:val="16"/>
          <w:szCs w:val="16"/>
        </w:rPr>
        <w:softHyphen/>
        <w:t>лично, авиационный комитет при</w:t>
      </w:r>
      <w:r w:rsidRPr="00405303">
        <w:rPr>
          <w:bCs/>
          <w:color w:val="002060"/>
          <w:sz w:val="16"/>
          <w:szCs w:val="16"/>
        </w:rPr>
        <w:softHyphen/>
        <w:t>знаёт лодку Щетинина гораздо луч</w:t>
      </w:r>
      <w:r w:rsidRPr="00405303">
        <w:rPr>
          <w:bCs/>
          <w:color w:val="002060"/>
          <w:sz w:val="16"/>
          <w:szCs w:val="16"/>
        </w:rPr>
        <w:softHyphen/>
        <w:t>ше, нежели лодку ФБА. К недостат</w:t>
      </w:r>
      <w:r w:rsidRPr="00405303">
        <w:rPr>
          <w:bCs/>
          <w:color w:val="002060"/>
          <w:sz w:val="16"/>
          <w:szCs w:val="16"/>
        </w:rPr>
        <w:softHyphen/>
        <w:t>кам этой лодки относится скверный способ обшивки, так как на другой лодке при хорошей посадке отста</w:t>
      </w:r>
      <w:r w:rsidRPr="00405303">
        <w:rPr>
          <w:bCs/>
          <w:color w:val="002060"/>
          <w:sz w:val="16"/>
          <w:szCs w:val="16"/>
        </w:rPr>
        <w:softHyphen/>
        <w:t>ли листы фанеры». Но жизненный цикл этого варианта лодок оказал</w:t>
      </w:r>
      <w:r w:rsidRPr="00405303">
        <w:rPr>
          <w:bCs/>
          <w:color w:val="002060"/>
          <w:sz w:val="16"/>
          <w:szCs w:val="16"/>
        </w:rPr>
        <w:softHyphen/>
        <w:t>ся коротким: лодку №30 списали в октябре; но Балтике Щ-2 и Щ-3 ис</w:t>
      </w:r>
      <w:r w:rsidRPr="00405303">
        <w:rPr>
          <w:bCs/>
          <w:color w:val="002060"/>
          <w:sz w:val="16"/>
          <w:szCs w:val="16"/>
        </w:rPr>
        <w:softHyphen/>
        <w:t>пользовались до зимы 1915-1916 гг. после чего с них сняли двигатели (11759).</w:t>
      </w:r>
    </w:p>
    <w:p w14:paraId="3D6417B2" w14:textId="77777777" w:rsidR="004B4E35" w:rsidRPr="00405303" w:rsidRDefault="004B4E35" w:rsidP="00C15251">
      <w:pPr>
        <w:shd w:val="clear" w:color="auto" w:fill="FFFFFF"/>
        <w:jc w:val="both"/>
        <w:rPr>
          <w:bCs/>
          <w:i/>
          <w:color w:val="002060"/>
          <w:sz w:val="16"/>
          <w:szCs w:val="16"/>
        </w:rPr>
      </w:pPr>
    </w:p>
    <w:p w14:paraId="43EDDA76" w14:textId="44C8452D" w:rsidR="004B4E35" w:rsidRPr="00405303" w:rsidRDefault="009E6F82" w:rsidP="00C15251">
      <w:pPr>
        <w:jc w:val="both"/>
        <w:rPr>
          <w:bCs/>
          <w:color w:val="002060"/>
          <w:sz w:val="16"/>
          <w:szCs w:val="16"/>
        </w:rPr>
      </w:pPr>
      <w:r w:rsidRPr="00405303">
        <w:rPr>
          <w:bCs/>
          <w:color w:val="002060"/>
          <w:sz w:val="16"/>
          <w:szCs w:val="16"/>
        </w:rPr>
        <w:t xml:space="preserve">12 </w:t>
      </w:r>
      <w:r w:rsidR="00B8046E" w:rsidRPr="00405303">
        <w:rPr>
          <w:bCs/>
          <w:color w:val="002060"/>
          <w:sz w:val="16"/>
          <w:szCs w:val="16"/>
        </w:rPr>
        <w:t xml:space="preserve">(25) </w:t>
      </w:r>
      <w:r w:rsidRPr="00405303">
        <w:rPr>
          <w:bCs/>
          <w:color w:val="002060"/>
          <w:sz w:val="16"/>
          <w:szCs w:val="16"/>
        </w:rPr>
        <w:t xml:space="preserve">апреля 1915 г. </w:t>
      </w:r>
      <w:r w:rsidR="00B8046E" w:rsidRPr="00405303">
        <w:rPr>
          <w:bCs/>
          <w:color w:val="002060"/>
          <w:sz w:val="16"/>
          <w:szCs w:val="16"/>
        </w:rPr>
        <w:t>летающая лодка М-4 с бортовым номером "29"</w:t>
      </w:r>
      <w:r w:rsidRPr="00405303">
        <w:rPr>
          <w:bCs/>
          <w:color w:val="002060"/>
          <w:sz w:val="16"/>
          <w:szCs w:val="16"/>
        </w:rPr>
        <w:t xml:space="preserve">, </w:t>
      </w:r>
      <w:r w:rsidR="00B8046E" w:rsidRPr="00405303">
        <w:rPr>
          <w:bCs/>
          <w:color w:val="002060"/>
          <w:sz w:val="16"/>
          <w:szCs w:val="16"/>
        </w:rPr>
        <w:t xml:space="preserve">будучт </w:t>
      </w:r>
      <w:r w:rsidRPr="00405303">
        <w:rPr>
          <w:bCs/>
          <w:color w:val="002060"/>
          <w:sz w:val="16"/>
          <w:szCs w:val="16"/>
        </w:rPr>
        <w:t>спущенн</w:t>
      </w:r>
      <w:r w:rsidR="00B8046E" w:rsidRPr="00405303">
        <w:rPr>
          <w:bCs/>
          <w:color w:val="002060"/>
          <w:sz w:val="16"/>
          <w:szCs w:val="16"/>
        </w:rPr>
        <w:t>ой</w:t>
      </w:r>
      <w:r w:rsidRPr="00405303">
        <w:rPr>
          <w:bCs/>
          <w:color w:val="002060"/>
          <w:sz w:val="16"/>
          <w:szCs w:val="16"/>
        </w:rPr>
        <w:t xml:space="preserve"> с борта гидрокрейсера "Император </w:t>
      </w:r>
      <w:proofErr w:type="gramStart"/>
      <w:r w:rsidRPr="00405303">
        <w:rPr>
          <w:bCs/>
          <w:color w:val="002060"/>
          <w:sz w:val="16"/>
          <w:szCs w:val="16"/>
        </w:rPr>
        <w:t>Николой !</w:t>
      </w:r>
      <w:proofErr w:type="gramEnd"/>
      <w:r w:rsidRPr="00405303">
        <w:rPr>
          <w:bCs/>
          <w:color w:val="002060"/>
          <w:sz w:val="16"/>
          <w:szCs w:val="16"/>
        </w:rPr>
        <w:t>", атаковал в Черном море турецкую канонерскую лодку (12088).</w:t>
      </w:r>
    </w:p>
    <w:p w14:paraId="16E2AFB2" w14:textId="77777777" w:rsidR="004B4E35" w:rsidRPr="00405303" w:rsidRDefault="004B4E35" w:rsidP="00C15251">
      <w:pPr>
        <w:shd w:val="clear" w:color="auto" w:fill="FFFFFF"/>
        <w:jc w:val="both"/>
        <w:rPr>
          <w:bCs/>
          <w:i/>
          <w:color w:val="002060"/>
          <w:sz w:val="16"/>
          <w:szCs w:val="16"/>
        </w:rPr>
      </w:pPr>
    </w:p>
    <w:p w14:paraId="319A47E7" w14:textId="16657892" w:rsidR="00B44654" w:rsidRPr="00405303" w:rsidRDefault="00B44654" w:rsidP="00C15251">
      <w:pPr>
        <w:jc w:val="both"/>
        <w:rPr>
          <w:bCs/>
          <w:color w:val="002060"/>
          <w:sz w:val="16"/>
          <w:szCs w:val="16"/>
        </w:rPr>
      </w:pPr>
      <w:r w:rsidRPr="00405303">
        <w:rPr>
          <w:bCs/>
          <w:color w:val="002060"/>
          <w:sz w:val="16"/>
          <w:szCs w:val="16"/>
          <w:lang w:bidi="ru-RU"/>
        </w:rPr>
        <w:t>12 (25) ап</w:t>
      </w:r>
      <w:r w:rsidRPr="00405303">
        <w:rPr>
          <w:bCs/>
          <w:color w:val="002060"/>
          <w:sz w:val="16"/>
          <w:szCs w:val="16"/>
          <w:lang w:bidi="ru-RU"/>
        </w:rPr>
        <w:softHyphen/>
        <w:t>реля 1915 г. аппарат М-2/М-4 (или М-4) с бортовым номером «29», спущенный с борта крейсера вспомога</w:t>
      </w:r>
      <w:r w:rsidRPr="00405303">
        <w:rPr>
          <w:bCs/>
          <w:color w:val="002060"/>
          <w:sz w:val="16"/>
          <w:szCs w:val="16"/>
          <w:lang w:bidi="ru-RU"/>
        </w:rPr>
        <w:softHyphen/>
        <w:t>тельного «Император Николай 1» в районе Босфора впервые атаковал турецкую кано</w:t>
      </w:r>
      <w:r w:rsidRPr="00405303">
        <w:rPr>
          <w:bCs/>
          <w:color w:val="002060"/>
          <w:sz w:val="16"/>
          <w:szCs w:val="16"/>
          <w:lang w:bidi="ru-RU"/>
        </w:rPr>
        <w:softHyphen/>
        <w:t>нерку.</w:t>
      </w:r>
    </w:p>
    <w:p w14:paraId="06C544EF" w14:textId="77777777" w:rsidR="00B44654" w:rsidRPr="00405303" w:rsidRDefault="00B44654" w:rsidP="00C15251">
      <w:pPr>
        <w:jc w:val="both"/>
        <w:rPr>
          <w:bCs/>
          <w:color w:val="002060"/>
          <w:sz w:val="16"/>
          <w:szCs w:val="16"/>
        </w:rPr>
      </w:pPr>
      <w:r w:rsidRPr="00405303">
        <w:rPr>
          <w:bCs/>
          <w:color w:val="002060"/>
          <w:sz w:val="16"/>
          <w:szCs w:val="16"/>
          <w:lang w:bidi="ru-RU"/>
        </w:rPr>
        <w:t>Отзывы об использовании летающих ло</w:t>
      </w:r>
      <w:r w:rsidRPr="00405303">
        <w:rPr>
          <w:bCs/>
          <w:color w:val="002060"/>
          <w:sz w:val="16"/>
          <w:szCs w:val="16"/>
          <w:lang w:bidi="ru-RU"/>
        </w:rPr>
        <w:softHyphen/>
        <w:t>док Щетинина-Григоровича на Черном мо</w:t>
      </w:r>
      <w:r w:rsidRPr="00405303">
        <w:rPr>
          <w:bCs/>
          <w:color w:val="002060"/>
          <w:sz w:val="16"/>
          <w:szCs w:val="16"/>
          <w:lang w:bidi="ru-RU"/>
        </w:rPr>
        <w:softHyphen/>
        <w:t>ре оказались вполне обнадеживающими, что позволило в ближайшем будущем со</w:t>
      </w:r>
      <w:r w:rsidRPr="00405303">
        <w:rPr>
          <w:bCs/>
          <w:color w:val="002060"/>
          <w:sz w:val="16"/>
          <w:szCs w:val="16"/>
          <w:lang w:bidi="ru-RU"/>
        </w:rPr>
        <w:softHyphen/>
        <w:t>здать новый, еще более совершенный М-5 (23374).</w:t>
      </w:r>
    </w:p>
    <w:p w14:paraId="58F23A66" w14:textId="77777777" w:rsidR="00B44654" w:rsidRPr="00405303" w:rsidRDefault="00B44654" w:rsidP="00C15251">
      <w:pPr>
        <w:jc w:val="both"/>
        <w:rPr>
          <w:bCs/>
          <w:color w:val="002060"/>
          <w:sz w:val="16"/>
          <w:szCs w:val="16"/>
          <w:lang w:bidi="ru-RU"/>
        </w:rPr>
      </w:pPr>
    </w:p>
    <w:p w14:paraId="427CC768" w14:textId="28260BA8" w:rsidR="004B4E35" w:rsidRPr="00405303" w:rsidRDefault="009E6F82" w:rsidP="00C15251">
      <w:pPr>
        <w:jc w:val="both"/>
        <w:rPr>
          <w:bCs/>
          <w:color w:val="002060"/>
          <w:sz w:val="16"/>
          <w:szCs w:val="16"/>
        </w:rPr>
      </w:pPr>
      <w:r w:rsidRPr="00405303">
        <w:rPr>
          <w:bCs/>
          <w:color w:val="002060"/>
          <w:sz w:val="16"/>
          <w:szCs w:val="16"/>
        </w:rPr>
        <w:t xml:space="preserve">12 </w:t>
      </w:r>
      <w:r w:rsidR="0019223D" w:rsidRPr="00405303">
        <w:rPr>
          <w:bCs/>
          <w:color w:val="002060"/>
          <w:sz w:val="16"/>
          <w:szCs w:val="16"/>
        </w:rPr>
        <w:t xml:space="preserve">(25) </w:t>
      </w:r>
      <w:r w:rsidRPr="00405303">
        <w:rPr>
          <w:bCs/>
          <w:color w:val="002060"/>
          <w:sz w:val="16"/>
          <w:szCs w:val="16"/>
        </w:rPr>
        <w:t xml:space="preserve">апреля </w:t>
      </w:r>
      <w:r w:rsidR="0019223D" w:rsidRPr="00405303">
        <w:rPr>
          <w:bCs/>
          <w:color w:val="002060"/>
          <w:sz w:val="16"/>
          <w:szCs w:val="16"/>
        </w:rPr>
        <w:t xml:space="preserve">1915 г. </w:t>
      </w:r>
      <w:r w:rsidRPr="00405303">
        <w:rPr>
          <w:bCs/>
          <w:color w:val="002060"/>
          <w:sz w:val="16"/>
          <w:szCs w:val="16"/>
        </w:rPr>
        <w:t xml:space="preserve">аппарат </w:t>
      </w:r>
      <w:r w:rsidR="0019223D" w:rsidRPr="00405303">
        <w:rPr>
          <w:bCs/>
          <w:color w:val="002060"/>
          <w:sz w:val="16"/>
          <w:szCs w:val="16"/>
        </w:rPr>
        <w:t xml:space="preserve">Григоровича </w:t>
      </w:r>
      <w:r w:rsidRPr="00405303">
        <w:rPr>
          <w:bCs/>
          <w:color w:val="002060"/>
          <w:sz w:val="16"/>
          <w:szCs w:val="16"/>
        </w:rPr>
        <w:t>с бортовым номером "29", спущенный с борта крейсера "Император Николай I", в районе Босфора</w:t>
      </w:r>
      <w:r w:rsidR="0019223D" w:rsidRPr="00405303">
        <w:rPr>
          <w:bCs/>
          <w:color w:val="002060"/>
          <w:sz w:val="16"/>
          <w:szCs w:val="16"/>
        </w:rPr>
        <w:t>,</w:t>
      </w:r>
      <w:r w:rsidRPr="00405303">
        <w:rPr>
          <w:bCs/>
          <w:color w:val="002060"/>
          <w:sz w:val="16"/>
          <w:szCs w:val="16"/>
        </w:rPr>
        <w:t xml:space="preserve"> впервые атаковал турецкую канонерку. Это сообщение, наряду с другими положительными отзывами об </w:t>
      </w:r>
      <w:proofErr w:type="gramStart"/>
      <w:r w:rsidRPr="00405303">
        <w:rPr>
          <w:bCs/>
          <w:color w:val="002060"/>
          <w:sz w:val="16"/>
          <w:szCs w:val="16"/>
        </w:rPr>
        <w:t>ис-пользовании</w:t>
      </w:r>
      <w:proofErr w:type="gramEnd"/>
      <w:r w:rsidRPr="00405303">
        <w:rPr>
          <w:bCs/>
          <w:color w:val="002060"/>
          <w:sz w:val="16"/>
          <w:szCs w:val="16"/>
        </w:rPr>
        <w:t xml:space="preserve"> летающих лодок Щетинина-Григоровича, позволило вполне уверенно продолжать строительство следующих гидросамолетов (12083).</w:t>
      </w:r>
    </w:p>
    <w:p w14:paraId="47FAA737" w14:textId="77777777" w:rsidR="004B4E35" w:rsidRPr="00405303" w:rsidRDefault="004B4E35" w:rsidP="00C15251">
      <w:pPr>
        <w:jc w:val="both"/>
        <w:rPr>
          <w:bCs/>
          <w:color w:val="002060"/>
          <w:sz w:val="16"/>
          <w:szCs w:val="16"/>
        </w:rPr>
      </w:pPr>
    </w:p>
    <w:p w14:paraId="319A6FEE" w14:textId="77777777" w:rsidR="0019223D" w:rsidRPr="00405303" w:rsidRDefault="0019223D" w:rsidP="00C15251">
      <w:pPr>
        <w:jc w:val="both"/>
        <w:rPr>
          <w:bCs/>
          <w:color w:val="002060"/>
          <w:sz w:val="16"/>
          <w:szCs w:val="16"/>
        </w:rPr>
      </w:pPr>
      <w:r w:rsidRPr="00405303">
        <w:rPr>
          <w:bCs/>
          <w:color w:val="002060"/>
          <w:sz w:val="16"/>
          <w:szCs w:val="16"/>
        </w:rPr>
        <w:t>12 (25) апреля 1915 г. на Черном море состоялся первый боевой полет летающей лод</w:t>
      </w:r>
      <w:r w:rsidRPr="00405303">
        <w:rPr>
          <w:bCs/>
          <w:color w:val="002060"/>
          <w:sz w:val="16"/>
          <w:szCs w:val="16"/>
        </w:rPr>
        <w:softHyphen/>
        <w:t>ки М-5 конструкции инженера Д.П. Григоровича. М-5 - биплан с мото</w:t>
      </w:r>
      <w:r w:rsidRPr="00405303">
        <w:rPr>
          <w:bCs/>
          <w:color w:val="002060"/>
          <w:sz w:val="16"/>
          <w:szCs w:val="16"/>
        </w:rPr>
        <w:softHyphen/>
        <w:t>ром Гном-Ммоносупап 100 л.с., грузопод«емностью 300 кг, скоростью 105 км/час.</w:t>
      </w:r>
    </w:p>
    <w:p w14:paraId="0CC4BF07" w14:textId="77777777" w:rsidR="0019223D" w:rsidRPr="00405303" w:rsidRDefault="0019223D" w:rsidP="00C15251">
      <w:pPr>
        <w:jc w:val="both"/>
        <w:rPr>
          <w:bCs/>
          <w:color w:val="002060"/>
          <w:sz w:val="16"/>
          <w:szCs w:val="16"/>
        </w:rPr>
      </w:pPr>
      <w:r w:rsidRPr="00405303">
        <w:rPr>
          <w:bCs/>
          <w:color w:val="002060"/>
          <w:sz w:val="16"/>
          <w:szCs w:val="16"/>
        </w:rPr>
        <w:t>/ЦГА BМФ, ф. 843, д.141об./ (23320).</w:t>
      </w:r>
    </w:p>
    <w:p w14:paraId="72E1208B" w14:textId="77777777" w:rsidR="0019223D" w:rsidRPr="00405303" w:rsidRDefault="0019223D" w:rsidP="00C15251">
      <w:pPr>
        <w:jc w:val="both"/>
        <w:rPr>
          <w:bCs/>
          <w:color w:val="002060"/>
          <w:sz w:val="16"/>
          <w:szCs w:val="16"/>
        </w:rPr>
      </w:pPr>
    </w:p>
    <w:p w14:paraId="75EDB8ED" w14:textId="4111AA14" w:rsidR="004B4E35" w:rsidRPr="00405303" w:rsidRDefault="0019223D" w:rsidP="00C15251">
      <w:pPr>
        <w:shd w:val="clear" w:color="auto" w:fill="FFFFFF"/>
        <w:jc w:val="both"/>
        <w:rPr>
          <w:bCs/>
          <w:i/>
          <w:color w:val="002060"/>
          <w:sz w:val="16"/>
          <w:szCs w:val="16"/>
        </w:rPr>
      </w:pPr>
      <w:r w:rsidRPr="00405303">
        <w:rPr>
          <w:bCs/>
          <w:i/>
          <w:color w:val="002060"/>
          <w:sz w:val="16"/>
          <w:szCs w:val="16"/>
        </w:rPr>
        <w:t>Другие оборонные отрасли</w:t>
      </w:r>
      <w:r w:rsidR="009E6F82" w:rsidRPr="00405303">
        <w:rPr>
          <w:bCs/>
          <w:i/>
          <w:color w:val="002060"/>
          <w:sz w:val="16"/>
          <w:szCs w:val="16"/>
        </w:rPr>
        <w:t>:</w:t>
      </w:r>
    </w:p>
    <w:p w14:paraId="3BDC5508" w14:textId="77777777" w:rsidR="004B4E35" w:rsidRPr="00405303" w:rsidRDefault="004B4E35" w:rsidP="00C15251">
      <w:pPr>
        <w:shd w:val="clear" w:color="auto" w:fill="FFFFFF"/>
        <w:jc w:val="both"/>
        <w:rPr>
          <w:bCs/>
          <w:i/>
          <w:color w:val="002060"/>
          <w:sz w:val="16"/>
          <w:szCs w:val="16"/>
        </w:rPr>
      </w:pPr>
    </w:p>
    <w:p w14:paraId="0EB6F458" w14:textId="6068DC7F"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12 </w:t>
      </w:r>
      <w:r w:rsidR="0019223D" w:rsidRPr="00405303">
        <w:rPr>
          <w:bCs/>
          <w:i w:val="0"/>
          <w:color w:val="002060"/>
          <w:spacing w:val="0"/>
          <w:kern w:val="0"/>
          <w:position w:val="0"/>
          <w:sz w:val="16"/>
          <w:szCs w:val="16"/>
        </w:rPr>
        <w:t xml:space="preserve">(25) </w:t>
      </w:r>
      <w:r w:rsidRPr="00405303">
        <w:rPr>
          <w:bCs/>
          <w:i w:val="0"/>
          <w:color w:val="002060"/>
          <w:spacing w:val="0"/>
          <w:kern w:val="0"/>
          <w:position w:val="0"/>
          <w:sz w:val="16"/>
          <w:szCs w:val="16"/>
        </w:rPr>
        <w:t xml:space="preserve">апреля 1915 г. вышел новый приказ армиям Юго-западного фронта за № 755, в котором на замену всех прежде изданных распоряжений предлагалось принять к неуклонному исполнению следующие правила, разбитые на два раздела - сбор оружия воинскими командами и сбор оружия населением. "Огромное значение для армии быстрого и полного сбора винтовок и патронов требует принятия исключительных мер по организации такого сбора, а потому никакие обстоятельства не могут считаться оправдывающими плохой обор оружия", - говорилось в этом приказе. </w:t>
      </w:r>
    </w:p>
    <w:p w14:paraId="1BC87EA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Сбор оружия и прочих предметов 1-й раздел приказа требовал производить особо назначенными воинскими командами. Команды делились на войсковые и тыловые. Войсковые назначались из состава войсковых частей и должны были производить сбор "незамедлительно по окончании боев". </w:t>
      </w:r>
    </w:p>
    <w:p w14:paraId="75B0A13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Тыловые команды формировались штабами армий и служили для доставки предметов, собранных войсковыми командами, в тыл, а также и для сбора в районах, оставленных войсковыми частями. </w:t>
      </w:r>
    </w:p>
    <w:p w14:paraId="1425AA2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Ближайшие указания о сформировании, численности и деятельности команд делались командующими армиями. </w:t>
      </w:r>
    </w:p>
    <w:p w14:paraId="03FE491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Общее руководство возлагалось на начартснаба фронта и осуществлялось через особо назначенных штаб-офицеров. </w:t>
      </w:r>
      <w:proofErr w:type="gramStart"/>
      <w:r w:rsidRPr="00405303">
        <w:rPr>
          <w:bCs/>
          <w:i w:val="0"/>
          <w:color w:val="002060"/>
          <w:spacing w:val="0"/>
          <w:kern w:val="0"/>
          <w:position w:val="0"/>
          <w:sz w:val="16"/>
          <w:szCs w:val="16"/>
        </w:rPr>
        <w:t>В частности</w:t>
      </w:r>
      <w:proofErr w:type="gramEnd"/>
      <w:r w:rsidRPr="00405303">
        <w:rPr>
          <w:bCs/>
          <w:i w:val="0"/>
          <w:color w:val="002060"/>
          <w:spacing w:val="0"/>
          <w:kern w:val="0"/>
          <w:position w:val="0"/>
          <w:sz w:val="16"/>
          <w:szCs w:val="16"/>
        </w:rPr>
        <w:t xml:space="preserve"> правила приказа № 755 требовали оказания всеми содействия сбору оружия; русские винтовки и патроны должны были немедленно представляться начальству, никакого вознаграждения за них не выдавалось, за утайку требовалось немедленно предавать военно-полевому суду. Для поощрения команд выдавались денежные награды, за исправную неприятельскую винтовку не свыше 1 руб., штык - 10 коп., затвор - 30 коп., русскую пику - 50 коп</w:t>
      </w:r>
      <w:proofErr w:type="gramStart"/>
      <w:r w:rsidRPr="00405303">
        <w:rPr>
          <w:bCs/>
          <w:i w:val="0"/>
          <w:color w:val="002060"/>
          <w:spacing w:val="0"/>
          <w:kern w:val="0"/>
          <w:position w:val="0"/>
          <w:sz w:val="16"/>
          <w:szCs w:val="16"/>
        </w:rPr>
        <w:t>.</w:t>
      </w:r>
      <w:proofErr w:type="gramEnd"/>
      <w:r w:rsidRPr="00405303">
        <w:rPr>
          <w:bCs/>
          <w:i w:val="0"/>
          <w:color w:val="002060"/>
          <w:spacing w:val="0"/>
          <w:kern w:val="0"/>
          <w:position w:val="0"/>
          <w:sz w:val="16"/>
          <w:szCs w:val="16"/>
        </w:rPr>
        <w:t xml:space="preserve"> и т. д.; одиночным нижним чинам, не принадлежащим к составу команд, за исправную неприятельскую винтовку разрешалось выдавать не свыше 6 руб., причем винтовка должна была быть действительно найдена, а не получена незаконным способом. </w:t>
      </w:r>
    </w:p>
    <w:p w14:paraId="4D47529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Разделом приказа № 155 о сборе оружия населением отмечались бесплатность и обязательность сдач русского оружия под угрозой заключения в крепости до 3 месяцев и штрафа до 3.000 руб., сбор оружия населением допускался только после сбора войсковых команд. Запрещалась скупка оружия частными лицами. За исправную иностранную винтовку частные лица получали 6 руб.</w:t>
      </w:r>
    </w:p>
    <w:p w14:paraId="44387D7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Все изложенное по вопросу о сборе оружия указывает на неудовлетворительность разработки этого вопроса. </w:t>
      </w:r>
    </w:p>
    <w:p w14:paraId="4633104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Генерал-инспарт в своем отчете об артснабжении Юго-западного фронта от 16 августа 1915 г. отмечал случайный характер организации сбора оружия и считал необходимым "установить прочную штатную организацию сбора оружия и патронов" (11483).</w:t>
      </w:r>
    </w:p>
    <w:p w14:paraId="30056FC1" w14:textId="77777777" w:rsidR="004B4E35" w:rsidRPr="00405303" w:rsidRDefault="004B4E35" w:rsidP="00C15251">
      <w:pPr>
        <w:pStyle w:val="a3"/>
        <w:jc w:val="both"/>
        <w:rPr>
          <w:bCs/>
          <w:i w:val="0"/>
          <w:color w:val="002060"/>
          <w:spacing w:val="0"/>
          <w:kern w:val="0"/>
          <w:position w:val="0"/>
          <w:sz w:val="16"/>
          <w:szCs w:val="16"/>
        </w:rPr>
      </w:pPr>
    </w:p>
    <w:p w14:paraId="4E04BCEC" w14:textId="3D8CF16E" w:rsidR="0019223D" w:rsidRPr="00405303" w:rsidRDefault="0019223D" w:rsidP="00C15251">
      <w:pPr>
        <w:shd w:val="clear" w:color="auto" w:fill="FFFFFF"/>
        <w:jc w:val="both"/>
        <w:rPr>
          <w:bCs/>
          <w:i/>
          <w:color w:val="002060"/>
          <w:sz w:val="16"/>
          <w:szCs w:val="16"/>
        </w:rPr>
      </w:pPr>
      <w:r w:rsidRPr="00405303">
        <w:rPr>
          <w:bCs/>
          <w:i/>
          <w:color w:val="002060"/>
          <w:sz w:val="16"/>
          <w:szCs w:val="16"/>
        </w:rPr>
        <w:t>Авиация:</w:t>
      </w:r>
    </w:p>
    <w:p w14:paraId="2B1D5001" w14:textId="77777777" w:rsidR="0019223D" w:rsidRPr="00405303" w:rsidRDefault="0019223D" w:rsidP="00C15251">
      <w:pPr>
        <w:shd w:val="clear" w:color="auto" w:fill="FFFFFF"/>
        <w:jc w:val="both"/>
        <w:rPr>
          <w:bCs/>
          <w:i/>
          <w:color w:val="002060"/>
          <w:sz w:val="16"/>
          <w:szCs w:val="16"/>
        </w:rPr>
      </w:pPr>
    </w:p>
    <w:p w14:paraId="6316E499" w14:textId="77777777" w:rsidR="0019223D" w:rsidRPr="00405303" w:rsidRDefault="0019223D" w:rsidP="00C15251">
      <w:pPr>
        <w:jc w:val="both"/>
        <w:rPr>
          <w:bCs/>
          <w:color w:val="002060"/>
          <w:sz w:val="16"/>
          <w:szCs w:val="16"/>
        </w:rPr>
      </w:pPr>
      <w:r w:rsidRPr="00405303">
        <w:rPr>
          <w:bCs/>
          <w:color w:val="002060"/>
          <w:sz w:val="16"/>
          <w:szCs w:val="16"/>
        </w:rPr>
        <w:t>12 (25) апреля 1915 г. летчики гренадерского авиаотряда В.Н.Корицкий, М.В. Смирнов, Г.И.Гудков и 28-го КАО А.И.Семенов произвели ночную раз</w:t>
      </w:r>
      <w:r w:rsidRPr="00405303">
        <w:rPr>
          <w:bCs/>
          <w:color w:val="002060"/>
          <w:sz w:val="16"/>
          <w:szCs w:val="16"/>
        </w:rPr>
        <w:softHyphen/>
        <w:t>ведку и налет на аэродром и станцию Циткемен. Было сброшено 39 бомб, вызвавшие пожар ангаров, железнодорожных складов и станции. Это был Iпервый, официально зарегистрированный, случай ночного полета наших летчиков на тылы немцев.</w:t>
      </w:r>
    </w:p>
    <w:p w14:paraId="004CA10B" w14:textId="77777777" w:rsidR="0019223D" w:rsidRPr="00405303" w:rsidRDefault="0019223D" w:rsidP="00C15251">
      <w:pPr>
        <w:jc w:val="both"/>
        <w:rPr>
          <w:bCs/>
          <w:color w:val="002060"/>
          <w:sz w:val="16"/>
          <w:szCs w:val="16"/>
        </w:rPr>
      </w:pPr>
      <w:r w:rsidRPr="00405303">
        <w:rPr>
          <w:bCs/>
          <w:color w:val="002060"/>
          <w:sz w:val="16"/>
          <w:szCs w:val="16"/>
        </w:rPr>
        <w:t>/ЦГВИА, ф. 2008, д. 8, л. 15; приказ по Х-й армии № 431 от 15 апр.1915/ (23320).</w:t>
      </w:r>
    </w:p>
    <w:p w14:paraId="16CAE636" w14:textId="77777777" w:rsidR="0019223D" w:rsidRPr="00405303" w:rsidRDefault="0019223D" w:rsidP="00C15251">
      <w:pPr>
        <w:jc w:val="both"/>
        <w:rPr>
          <w:bCs/>
          <w:color w:val="002060"/>
          <w:sz w:val="16"/>
          <w:szCs w:val="16"/>
        </w:rPr>
      </w:pPr>
    </w:p>
    <w:p w14:paraId="5B9D1CC6" w14:textId="26D09628"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3565B3B8" w14:textId="77777777" w:rsidR="004B4E35" w:rsidRPr="00405303" w:rsidRDefault="004B4E35" w:rsidP="00C15251">
      <w:pPr>
        <w:shd w:val="clear" w:color="auto" w:fill="FFFFFF"/>
        <w:jc w:val="both"/>
        <w:rPr>
          <w:bCs/>
          <w:i/>
          <w:color w:val="002060"/>
          <w:sz w:val="16"/>
          <w:szCs w:val="16"/>
        </w:rPr>
      </w:pPr>
    </w:p>
    <w:p w14:paraId="050D52B6" w14:textId="01111920" w:rsidR="004B4E35" w:rsidRPr="00405303" w:rsidRDefault="009E6F82" w:rsidP="00C15251">
      <w:pPr>
        <w:jc w:val="both"/>
        <w:rPr>
          <w:bCs/>
          <w:color w:val="002060"/>
          <w:sz w:val="16"/>
          <w:szCs w:val="16"/>
        </w:rPr>
      </w:pPr>
      <w:r w:rsidRPr="00405303">
        <w:rPr>
          <w:bCs/>
          <w:color w:val="002060"/>
          <w:sz w:val="16"/>
          <w:szCs w:val="16"/>
        </w:rPr>
        <w:t>12 (25) апреля 1915 года</w:t>
      </w:r>
      <w:r w:rsidR="0019223D" w:rsidRPr="00405303">
        <w:rPr>
          <w:bCs/>
          <w:color w:val="002060"/>
          <w:sz w:val="16"/>
          <w:szCs w:val="16"/>
        </w:rPr>
        <w:t xml:space="preserve"> дирижабль SL-4 совершил первый полет</w:t>
      </w:r>
      <w:r w:rsidRPr="00405303">
        <w:rPr>
          <w:bCs/>
          <w:color w:val="002060"/>
          <w:sz w:val="16"/>
          <w:szCs w:val="16"/>
        </w:rPr>
        <w:t xml:space="preserve">, </w:t>
      </w:r>
      <w:r w:rsidR="0019223D" w:rsidRPr="00405303">
        <w:rPr>
          <w:bCs/>
          <w:color w:val="002060"/>
          <w:sz w:val="16"/>
          <w:szCs w:val="16"/>
        </w:rPr>
        <w:t>И</w:t>
      </w:r>
      <w:r w:rsidRPr="00405303">
        <w:rPr>
          <w:bCs/>
          <w:color w:val="002060"/>
          <w:sz w:val="16"/>
          <w:szCs w:val="16"/>
        </w:rPr>
        <w:t xml:space="preserve">мел объем 32 410 куб. м. Война подстегнула строительство новых сборочных цехов в других городах — Сандхофрене близ Мангейма, Дармштадте, Лейпциге, Марке. Темпы выпуска дирижаблей нарастали. В 1915 году было заказано 5 дирижаблей, а в 1916-9. </w:t>
      </w:r>
    </w:p>
    <w:p w14:paraId="6B2AC1B8" w14:textId="77777777" w:rsidR="004B4E35" w:rsidRPr="00405303" w:rsidRDefault="009E6F82" w:rsidP="00C15251">
      <w:pPr>
        <w:jc w:val="both"/>
        <w:rPr>
          <w:bCs/>
          <w:color w:val="002060"/>
          <w:sz w:val="16"/>
          <w:szCs w:val="16"/>
        </w:rPr>
      </w:pPr>
      <w:r w:rsidRPr="00405303">
        <w:rPr>
          <w:bCs/>
          <w:color w:val="002060"/>
          <w:sz w:val="16"/>
          <w:szCs w:val="16"/>
        </w:rPr>
        <w:t>Специалисты считали, что только с появлением дирижаблей конструкции Шютте-Ланца немцы могли начать бомбардировки Лондона с высот 8000-9000 м. Именно дирижабль SL-10 в июне 1916 года первым появился над Константинополем и выполнил разведывательные полеты над Черным морем. За дирижаблями SL-6 и SL-7 последовали корабли типа «Е»: с SL-8 по SL-19 (Е-12) объемом от 35 130 до 38 780 куб. м. Последние три с деревянным каркасом, вошедшие в серию «F» (SL-20, SL-21, SL-22) имели объем 56 000 куб. м. Их длина достигала 198,3 м, а диаметр корпуса 22,92 м. При собственном весе 29 300 кг полезная нагрузка составляла 31 200 кг (11324).</w:t>
      </w:r>
    </w:p>
    <w:p w14:paraId="6256931F" w14:textId="77777777" w:rsidR="004B4E35" w:rsidRPr="00405303" w:rsidRDefault="004B4E35" w:rsidP="00C15251">
      <w:pPr>
        <w:shd w:val="clear" w:color="auto" w:fill="FFFFFF"/>
        <w:jc w:val="both"/>
        <w:rPr>
          <w:bCs/>
          <w:i/>
          <w:color w:val="002060"/>
          <w:sz w:val="16"/>
          <w:szCs w:val="16"/>
        </w:rPr>
      </w:pPr>
    </w:p>
    <w:p w14:paraId="2E570007" w14:textId="77777777" w:rsidR="008279E2" w:rsidRPr="00405303" w:rsidRDefault="008279E2" w:rsidP="00C15251">
      <w:pPr>
        <w:jc w:val="both"/>
        <w:rPr>
          <w:bCs/>
          <w:i/>
          <w:color w:val="002060"/>
          <w:sz w:val="16"/>
          <w:szCs w:val="16"/>
        </w:rPr>
      </w:pPr>
      <w:r w:rsidRPr="00405303">
        <w:rPr>
          <w:bCs/>
          <w:i/>
          <w:color w:val="002060"/>
          <w:sz w:val="16"/>
          <w:szCs w:val="16"/>
        </w:rPr>
        <w:t>Авиация и воздухоплавание за рубежом:</w:t>
      </w:r>
    </w:p>
    <w:p w14:paraId="5AA8D85E" w14:textId="77777777" w:rsidR="008279E2" w:rsidRPr="00405303" w:rsidRDefault="008279E2" w:rsidP="00C15251">
      <w:pPr>
        <w:jc w:val="both"/>
        <w:rPr>
          <w:bCs/>
          <w:i/>
          <w:color w:val="002060"/>
          <w:sz w:val="16"/>
          <w:szCs w:val="16"/>
        </w:rPr>
      </w:pPr>
    </w:p>
    <w:p w14:paraId="1A818776" w14:textId="46A9EB9D" w:rsidR="008279E2" w:rsidRPr="00405303" w:rsidRDefault="008279E2" w:rsidP="00C15251">
      <w:pPr>
        <w:jc w:val="both"/>
        <w:rPr>
          <w:bCs/>
          <w:color w:val="002060"/>
          <w:sz w:val="16"/>
          <w:szCs w:val="16"/>
        </w:rPr>
      </w:pPr>
      <w:r w:rsidRPr="00405303">
        <w:rPr>
          <w:bCs/>
          <w:color w:val="002060"/>
          <w:sz w:val="16"/>
          <w:szCs w:val="16"/>
        </w:rPr>
        <w:t xml:space="preserve">12 (25) апреля в 1915 году </w:t>
      </w:r>
      <w:r w:rsidR="0019223D" w:rsidRPr="00405303">
        <w:rPr>
          <w:bCs/>
          <w:color w:val="002060"/>
          <w:sz w:val="16"/>
          <w:szCs w:val="16"/>
        </w:rPr>
        <w:t xml:space="preserve">была </w:t>
      </w:r>
      <w:r w:rsidRPr="00405303">
        <w:rPr>
          <w:bCs/>
          <w:color w:val="002060"/>
          <w:sz w:val="16"/>
          <w:szCs w:val="16"/>
        </w:rPr>
        <w:t>основана фирма «Boeing» (Боинг). В качестве поставщиков и субподрядчиков "Боинга" выступают более 3500 фирм, расположенных в 45 штатах. В 1981 г. в корпорации было занято более 100 тыс. человек. Объем производства составил 9,8 млрд.долл. В 1996 году корпорация Boeing поглотила фирму Макдоннелл-Дуглас (15110).</w:t>
      </w:r>
    </w:p>
    <w:p w14:paraId="76367043" w14:textId="77777777" w:rsidR="008279E2" w:rsidRPr="00405303" w:rsidRDefault="008279E2" w:rsidP="00C15251">
      <w:pPr>
        <w:jc w:val="both"/>
        <w:rPr>
          <w:bCs/>
          <w:color w:val="002060"/>
          <w:sz w:val="16"/>
          <w:szCs w:val="16"/>
        </w:rPr>
      </w:pPr>
    </w:p>
    <w:p w14:paraId="217DB599" w14:textId="77777777" w:rsidR="008279E2" w:rsidRPr="00405303" w:rsidRDefault="008279E2" w:rsidP="00C15251">
      <w:pPr>
        <w:jc w:val="both"/>
        <w:rPr>
          <w:bCs/>
          <w:i/>
          <w:color w:val="002060"/>
          <w:sz w:val="16"/>
          <w:szCs w:val="16"/>
        </w:rPr>
      </w:pPr>
      <w:r w:rsidRPr="00405303">
        <w:rPr>
          <w:bCs/>
          <w:i/>
          <w:color w:val="002060"/>
          <w:sz w:val="16"/>
          <w:szCs w:val="16"/>
        </w:rPr>
        <w:lastRenderedPageBreak/>
        <w:t>За рубежом:</w:t>
      </w:r>
    </w:p>
    <w:p w14:paraId="6EAC80C7" w14:textId="77777777" w:rsidR="008279E2" w:rsidRPr="00405303" w:rsidRDefault="008279E2" w:rsidP="00C15251">
      <w:pPr>
        <w:jc w:val="both"/>
        <w:rPr>
          <w:bCs/>
          <w:color w:val="002060"/>
          <w:sz w:val="16"/>
          <w:szCs w:val="16"/>
        </w:rPr>
      </w:pPr>
    </w:p>
    <w:p w14:paraId="6AD53618" w14:textId="668A752F" w:rsidR="008279E2" w:rsidRPr="00405303" w:rsidRDefault="008279E2" w:rsidP="00C15251">
      <w:pPr>
        <w:jc w:val="both"/>
        <w:rPr>
          <w:bCs/>
          <w:color w:val="002060"/>
          <w:sz w:val="16"/>
          <w:szCs w:val="16"/>
        </w:rPr>
      </w:pPr>
      <w:r w:rsidRPr="00405303">
        <w:rPr>
          <w:bCs/>
          <w:color w:val="002060"/>
          <w:sz w:val="16"/>
          <w:szCs w:val="16"/>
        </w:rPr>
        <w:t xml:space="preserve">12 (25) апреля в 1915 году </w:t>
      </w:r>
      <w:r w:rsidR="0019223D" w:rsidRPr="00405303">
        <w:rPr>
          <w:bCs/>
          <w:color w:val="002060"/>
          <w:sz w:val="16"/>
          <w:szCs w:val="16"/>
        </w:rPr>
        <w:t xml:space="preserve">состоялась </w:t>
      </w:r>
      <w:r w:rsidRPr="00405303">
        <w:rPr>
          <w:bCs/>
          <w:color w:val="002060"/>
          <w:sz w:val="16"/>
          <w:szCs w:val="16"/>
        </w:rPr>
        <w:t>высадка англо-австралийско-новозеландского десанта в Турции, на полуострове Галлиполи. Операция планировалась следующим образом. Предполагалось, что на полуострове нет турецких воинских частей. Высадившийся десант должен был пересечь полуостров (причем весьма гористый) и, используя фактор внезапности, атаковать с тыла и уничтожить турецкие форты, контролировавшие проливы. Уже в момент высадки десант столкнулся с крайне эффективным и хорошо организованным сопротивлением турецкой армии. Для характеристики начавшихся боев больше всего подходил термин "мясорубка".</w:t>
      </w:r>
    </w:p>
    <w:p w14:paraId="108934D4" w14:textId="77777777" w:rsidR="008279E2" w:rsidRPr="00405303" w:rsidRDefault="008279E2" w:rsidP="00C15251">
      <w:pPr>
        <w:jc w:val="both"/>
        <w:rPr>
          <w:bCs/>
          <w:color w:val="002060"/>
          <w:sz w:val="16"/>
          <w:szCs w:val="16"/>
        </w:rPr>
      </w:pPr>
      <w:r w:rsidRPr="00405303">
        <w:rPr>
          <w:bCs/>
          <w:color w:val="002060"/>
          <w:sz w:val="16"/>
          <w:szCs w:val="16"/>
        </w:rPr>
        <w:t>Потери составили - союзные войска 55.000 убитыми, 110.000 пропавшими без вести, 21.000 умершими от болезней. - турки 250.000 убитыми (подробнее не нашел данных). Через восемь месяцев после начала операции остатки десанта были эвакуированы (15110).</w:t>
      </w:r>
    </w:p>
    <w:p w14:paraId="7ABC5119" w14:textId="77777777" w:rsidR="008279E2" w:rsidRPr="00405303" w:rsidRDefault="008279E2" w:rsidP="00C15251">
      <w:pPr>
        <w:jc w:val="both"/>
        <w:rPr>
          <w:bCs/>
          <w:color w:val="002060"/>
          <w:sz w:val="16"/>
          <w:szCs w:val="16"/>
        </w:rPr>
      </w:pPr>
    </w:p>
    <w:p w14:paraId="2580331B"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42355293" w14:textId="77777777" w:rsidR="004B4E35" w:rsidRPr="00405303" w:rsidRDefault="004B4E35" w:rsidP="00C15251">
      <w:pPr>
        <w:shd w:val="clear" w:color="auto" w:fill="FFFFFF"/>
        <w:jc w:val="both"/>
        <w:rPr>
          <w:bCs/>
          <w:i/>
          <w:color w:val="002060"/>
          <w:sz w:val="16"/>
          <w:szCs w:val="16"/>
        </w:rPr>
      </w:pPr>
    </w:p>
    <w:p w14:paraId="12AD9AFC" w14:textId="57100660" w:rsidR="004B4E35" w:rsidRPr="00405303" w:rsidRDefault="009E6F82" w:rsidP="00C15251">
      <w:pPr>
        <w:jc w:val="both"/>
        <w:rPr>
          <w:bCs/>
          <w:color w:val="002060"/>
          <w:sz w:val="16"/>
          <w:szCs w:val="16"/>
        </w:rPr>
      </w:pPr>
      <w:r w:rsidRPr="00405303">
        <w:rPr>
          <w:bCs/>
          <w:color w:val="002060"/>
          <w:sz w:val="16"/>
          <w:szCs w:val="16"/>
        </w:rPr>
        <w:t xml:space="preserve">13 </w:t>
      </w:r>
      <w:r w:rsidR="0019223D" w:rsidRPr="00405303">
        <w:rPr>
          <w:bCs/>
          <w:color w:val="002060"/>
          <w:sz w:val="16"/>
          <w:szCs w:val="16"/>
        </w:rPr>
        <w:t xml:space="preserve">(26) </w:t>
      </w:r>
      <w:r w:rsidRPr="00405303">
        <w:rPr>
          <w:bCs/>
          <w:color w:val="002060"/>
          <w:sz w:val="16"/>
          <w:szCs w:val="16"/>
        </w:rPr>
        <w:t>апреля 1915 г. экипажи штабс-капитана Вродовича, а 14 апреля лейтенанта Лаврова и поручика Панкратьева совершили налет на аэродром в Санниках. Он был успешным, и немцы больше не появлялись над Яблонной.</w:t>
      </w:r>
    </w:p>
    <w:p w14:paraId="291F7743" w14:textId="77777777" w:rsidR="004B4E35" w:rsidRPr="00405303" w:rsidRDefault="009E6F82" w:rsidP="00C15251">
      <w:pPr>
        <w:jc w:val="both"/>
        <w:rPr>
          <w:bCs/>
          <w:color w:val="002060"/>
          <w:sz w:val="16"/>
          <w:szCs w:val="16"/>
        </w:rPr>
      </w:pPr>
      <w:r w:rsidRPr="00405303">
        <w:rPr>
          <w:bCs/>
          <w:color w:val="002060"/>
          <w:sz w:val="16"/>
          <w:szCs w:val="16"/>
        </w:rPr>
        <w:t>В связи с наступлением неприятеля на Галицинском направлении по приказу командования во Львов были направлены два экипажа Башко и Бродовича. Этим было положено начало создания первого боевого отряда эскадры (11230).</w:t>
      </w:r>
    </w:p>
    <w:p w14:paraId="372F0448" w14:textId="77777777" w:rsidR="004B4E35" w:rsidRPr="00405303" w:rsidRDefault="004B4E35" w:rsidP="00C15251">
      <w:pPr>
        <w:jc w:val="both"/>
        <w:rPr>
          <w:bCs/>
          <w:color w:val="002060"/>
          <w:sz w:val="16"/>
          <w:szCs w:val="16"/>
        </w:rPr>
      </w:pPr>
    </w:p>
    <w:p w14:paraId="3E2F45B1" w14:textId="77777777" w:rsidR="001D07F9" w:rsidRPr="00405303" w:rsidRDefault="001D07F9" w:rsidP="001D07F9">
      <w:pPr>
        <w:jc w:val="both"/>
        <w:rPr>
          <w:color w:val="0070C0"/>
          <w:sz w:val="16"/>
          <w:szCs w:val="16"/>
        </w:rPr>
      </w:pPr>
      <w:bookmarkStart w:id="96" w:name="_Hlk117604329"/>
      <w:r w:rsidRPr="00405303">
        <w:rPr>
          <w:rStyle w:val="aa"/>
          <w:rFonts w:ascii="Times New Roman" w:hAnsi="Times New Roman"/>
          <w:color w:val="0070C0"/>
          <w:spacing w:val="0"/>
          <w:sz w:val="16"/>
          <w:szCs w:val="16"/>
        </w:rPr>
        <w:t>13 (26) апреля 1915 г. целью налета ЭВК стал аэродром немецкой авиации в Санниках. Бомбардировку проводил воздушный корабль «Илья Муромец-III» (штабс-капитан С.М. Бродович). В результате бомбардировки были повреждены вражеские ангары и открыто стоявшие на летном поле самолеты (25135).</w:t>
      </w:r>
    </w:p>
    <w:p w14:paraId="3691726A" w14:textId="77777777" w:rsidR="001D07F9" w:rsidRPr="00405303" w:rsidRDefault="001D07F9" w:rsidP="001D07F9">
      <w:pPr>
        <w:jc w:val="both"/>
        <w:rPr>
          <w:color w:val="0070C0"/>
          <w:sz w:val="16"/>
          <w:szCs w:val="16"/>
        </w:rPr>
      </w:pPr>
    </w:p>
    <w:p w14:paraId="04DF218E" w14:textId="77777777" w:rsidR="001D07F9" w:rsidRPr="00405303" w:rsidRDefault="001D07F9" w:rsidP="001D07F9">
      <w:pPr>
        <w:jc w:val="both"/>
        <w:rPr>
          <w:color w:val="0070C0"/>
          <w:sz w:val="16"/>
          <w:szCs w:val="16"/>
        </w:rPr>
      </w:pPr>
      <w:r w:rsidRPr="00405303">
        <w:rPr>
          <w:rStyle w:val="aa"/>
          <w:rFonts w:ascii="Times New Roman" w:hAnsi="Times New Roman"/>
          <w:color w:val="0070C0"/>
          <w:spacing w:val="0"/>
          <w:sz w:val="16"/>
          <w:szCs w:val="16"/>
        </w:rPr>
        <w:t>13 (26) апреля 1915 г. огнем русской артиллерии был подбит австрийский аэроплан, упавший в расположении наших войск у н/п Риманова (Риманува). Летчики (2 офицера, в их числе известный пилот – капитан Риттер Башке) оказались в плену (25135).</w:t>
      </w:r>
    </w:p>
    <w:p w14:paraId="7F16FE47" w14:textId="77777777" w:rsidR="001D07F9" w:rsidRPr="00405303" w:rsidRDefault="001D07F9" w:rsidP="001D07F9">
      <w:pPr>
        <w:jc w:val="both"/>
        <w:rPr>
          <w:color w:val="0070C0"/>
          <w:sz w:val="16"/>
          <w:szCs w:val="16"/>
        </w:rPr>
      </w:pPr>
    </w:p>
    <w:bookmarkEnd w:id="96"/>
    <w:p w14:paraId="2CEBC25D" w14:textId="33C2AD51" w:rsidR="00B44654" w:rsidRPr="00405303" w:rsidRDefault="00B44654" w:rsidP="00C15251">
      <w:pPr>
        <w:jc w:val="both"/>
        <w:rPr>
          <w:bCs/>
          <w:color w:val="002060"/>
          <w:sz w:val="16"/>
          <w:szCs w:val="16"/>
        </w:rPr>
      </w:pPr>
      <w:r w:rsidRPr="00405303">
        <w:rPr>
          <w:bCs/>
          <w:color w:val="002060"/>
          <w:sz w:val="16"/>
          <w:szCs w:val="16"/>
        </w:rPr>
        <w:t>13 (26) апреля 1915 г. экипажи штабс-капитана Бродовича, а 14 апреля лейтенанта Лаврова и поручика Панкратьева совершили на ИМ налет на аэродром в Санниках. Он был успеш</w:t>
      </w:r>
      <w:r w:rsidRPr="00405303">
        <w:rPr>
          <w:bCs/>
          <w:color w:val="002060"/>
          <w:sz w:val="16"/>
          <w:szCs w:val="16"/>
        </w:rPr>
        <w:softHyphen/>
        <w:t>ным, и немцы больше не появлялись над Яблонной (24177).</w:t>
      </w:r>
    </w:p>
    <w:p w14:paraId="05C33598" w14:textId="77777777" w:rsidR="00B44654" w:rsidRPr="00405303" w:rsidRDefault="00B44654" w:rsidP="00C15251">
      <w:pPr>
        <w:jc w:val="both"/>
        <w:rPr>
          <w:bCs/>
          <w:i/>
          <w:color w:val="002060"/>
          <w:sz w:val="16"/>
          <w:szCs w:val="16"/>
        </w:rPr>
      </w:pPr>
    </w:p>
    <w:p w14:paraId="6EF298B4" w14:textId="23EAE796" w:rsidR="00652CA7" w:rsidRPr="00405303" w:rsidRDefault="00652CA7" w:rsidP="00C15251">
      <w:pPr>
        <w:jc w:val="both"/>
        <w:rPr>
          <w:bCs/>
          <w:i/>
          <w:color w:val="002060"/>
          <w:sz w:val="16"/>
          <w:szCs w:val="16"/>
        </w:rPr>
      </w:pPr>
      <w:r w:rsidRPr="00405303">
        <w:rPr>
          <w:bCs/>
          <w:i/>
          <w:color w:val="002060"/>
          <w:sz w:val="16"/>
          <w:szCs w:val="16"/>
        </w:rPr>
        <w:t>Морская авиация:</w:t>
      </w:r>
    </w:p>
    <w:p w14:paraId="02C6EEA2" w14:textId="77777777" w:rsidR="00652CA7" w:rsidRPr="00405303" w:rsidRDefault="00652CA7" w:rsidP="00C15251">
      <w:pPr>
        <w:jc w:val="both"/>
        <w:rPr>
          <w:bCs/>
          <w:i/>
          <w:color w:val="002060"/>
          <w:sz w:val="16"/>
          <w:szCs w:val="16"/>
        </w:rPr>
      </w:pPr>
    </w:p>
    <w:p w14:paraId="598B3534" w14:textId="77777777" w:rsidR="001D07F9" w:rsidRPr="00405303" w:rsidRDefault="001D07F9" w:rsidP="001D07F9">
      <w:pPr>
        <w:shd w:val="clear" w:color="auto" w:fill="FFFFFF"/>
        <w:jc w:val="both"/>
        <w:rPr>
          <w:bCs/>
          <w:color w:val="002060"/>
          <w:sz w:val="16"/>
          <w:szCs w:val="16"/>
        </w:rPr>
      </w:pPr>
      <w:r w:rsidRPr="00405303">
        <w:rPr>
          <w:bCs/>
          <w:color w:val="002060"/>
          <w:sz w:val="16"/>
          <w:szCs w:val="16"/>
        </w:rPr>
        <w:t>Начиная с 13 апреля 1915 г., почти каждый день хотя бы один немецкий гидроаэроплан с рассветом вылетал на разведку в сторону Моонзунда. Возвращались они вдоль побережья Рижского залива, чтобы вести наблюдение за передвижением рус</w:t>
      </w:r>
      <w:r w:rsidRPr="00405303">
        <w:rPr>
          <w:bCs/>
          <w:color w:val="002060"/>
          <w:sz w:val="16"/>
          <w:szCs w:val="16"/>
        </w:rPr>
        <w:softHyphen/>
        <w:t>ских войск. В мае германская авиация начала бомбить русские корабли и береговые сооружения. Ввиду активных действий немцев приняли решение развернуть еще одну -временную — станцию на острове Эзель вблизи города Аренсбург. На ровном участке побережья устанавливались уходящие в воду деревянные настилы (слипы), по кото</w:t>
      </w:r>
      <w:r w:rsidRPr="00405303">
        <w:rPr>
          <w:bCs/>
          <w:color w:val="002060"/>
          <w:sz w:val="16"/>
          <w:szCs w:val="16"/>
        </w:rPr>
        <w:softHyphen/>
        <w:t>рым гидросамолёты вытаскивали на сушу, а также палатки для размещения экипажей.</w:t>
      </w:r>
    </w:p>
    <w:p w14:paraId="4C84F491" w14:textId="77777777" w:rsidR="001D07F9" w:rsidRPr="00405303" w:rsidRDefault="001D07F9" w:rsidP="001D07F9">
      <w:pPr>
        <w:shd w:val="clear" w:color="auto" w:fill="FFFFFF"/>
        <w:jc w:val="both"/>
        <w:rPr>
          <w:bCs/>
          <w:color w:val="002060"/>
          <w:sz w:val="16"/>
          <w:szCs w:val="16"/>
        </w:rPr>
      </w:pPr>
      <w:r w:rsidRPr="00405303">
        <w:rPr>
          <w:bCs/>
          <w:color w:val="002060"/>
          <w:sz w:val="16"/>
          <w:szCs w:val="16"/>
        </w:rPr>
        <w:t>Утром 21 июля 1915 г. у острова Эзель опять появились немецкие самолёты Фридрих-сгафен (Альбатрос) РР с бортовыми номерами «270» и «292». На этот раз они впервые встретили отпор. Две русские летающие лодки — РВА пилота Лишина с бортовым но</w:t>
      </w:r>
      <w:r w:rsidRPr="00405303">
        <w:rPr>
          <w:bCs/>
          <w:color w:val="002060"/>
          <w:sz w:val="16"/>
          <w:szCs w:val="16"/>
        </w:rPr>
        <w:softHyphen/>
        <w:t>мером «4» и пилота Зверева с бортовым номером «8» — поднялись в воздух на перехват. К сожалению, у Зверева забарахлил мотор, и он вынужденно вернулся обратно. Остав</w:t>
      </w:r>
      <w:r w:rsidRPr="00405303">
        <w:rPr>
          <w:bCs/>
          <w:color w:val="002060"/>
          <w:sz w:val="16"/>
          <w:szCs w:val="16"/>
        </w:rPr>
        <w:softHyphen/>
        <w:t>шись один, Лишин смело пошел на врага.</w:t>
      </w:r>
    </w:p>
    <w:p w14:paraId="23A74601" w14:textId="77777777" w:rsidR="001D07F9" w:rsidRPr="00405303" w:rsidRDefault="001D07F9" w:rsidP="001D07F9">
      <w:pPr>
        <w:shd w:val="clear" w:color="auto" w:fill="FFFFFF"/>
        <w:jc w:val="both"/>
        <w:rPr>
          <w:bCs/>
          <w:color w:val="002060"/>
          <w:sz w:val="16"/>
          <w:szCs w:val="16"/>
        </w:rPr>
      </w:pPr>
      <w:r w:rsidRPr="00405303">
        <w:rPr>
          <w:bCs/>
          <w:color w:val="002060"/>
          <w:sz w:val="16"/>
          <w:szCs w:val="16"/>
        </w:rPr>
        <w:t>Вряд ли кто может лучше непосредственного участника боя описать увиденное, обо</w:t>
      </w:r>
      <w:r w:rsidRPr="00405303">
        <w:rPr>
          <w:bCs/>
          <w:color w:val="002060"/>
          <w:sz w:val="16"/>
          <w:szCs w:val="16"/>
        </w:rPr>
        <w:softHyphen/>
        <w:t>сновать принятые решения, передать накал и динамику боя. Поэтому для более точно</w:t>
      </w:r>
      <w:r w:rsidRPr="00405303">
        <w:rPr>
          <w:bCs/>
          <w:color w:val="002060"/>
          <w:sz w:val="16"/>
          <w:szCs w:val="16"/>
        </w:rPr>
        <w:softHyphen/>
        <w:t>го изложения происходивших в те далекие времена событий приведу рапорт лейтенанта Лишина, поданный в тот же день капитану 2-го ранга Дудорову (орфография сохраня</w:t>
      </w:r>
      <w:r w:rsidRPr="00405303">
        <w:rPr>
          <w:bCs/>
          <w:color w:val="002060"/>
          <w:sz w:val="16"/>
          <w:szCs w:val="16"/>
        </w:rPr>
        <w:softHyphen/>
        <w:t>ется): «Доношу Вашему высокоблагородию, что сего числа в 5 час 35 мин утра я был около палаток, услышал шум мотора и вслед за тем увидел неприятельский аппарат.</w:t>
      </w:r>
    </w:p>
    <w:p w14:paraId="63355A58" w14:textId="77777777" w:rsidR="001D07F9" w:rsidRPr="00405303" w:rsidRDefault="001D07F9" w:rsidP="001D07F9">
      <w:pPr>
        <w:shd w:val="clear" w:color="auto" w:fill="FFFFFF"/>
        <w:jc w:val="both"/>
        <w:rPr>
          <w:bCs/>
          <w:color w:val="002060"/>
          <w:sz w:val="16"/>
          <w:szCs w:val="16"/>
        </w:rPr>
      </w:pPr>
      <w:r w:rsidRPr="00405303">
        <w:rPr>
          <w:bCs/>
          <w:color w:val="002060"/>
          <w:sz w:val="16"/>
          <w:szCs w:val="16"/>
        </w:rPr>
        <w:t>В 5 час 40 мин я с унтер-офицером Смолиным поднялся на аппарате РВА, имея при себе 3-линейный карабин и пистолет Маузера.</w:t>
      </w:r>
    </w:p>
    <w:p w14:paraId="10D7D4D6" w14:textId="77777777" w:rsidR="001D07F9" w:rsidRPr="00405303" w:rsidRDefault="001D07F9" w:rsidP="001D07F9">
      <w:pPr>
        <w:shd w:val="clear" w:color="auto" w:fill="FFFFFF"/>
        <w:jc w:val="both"/>
        <w:rPr>
          <w:bCs/>
          <w:color w:val="002060"/>
          <w:sz w:val="16"/>
          <w:szCs w:val="16"/>
        </w:rPr>
      </w:pPr>
      <w:r w:rsidRPr="00405303">
        <w:rPr>
          <w:bCs/>
          <w:color w:val="002060"/>
          <w:sz w:val="16"/>
          <w:szCs w:val="16"/>
        </w:rPr>
        <w:t>Поднявшись на высоту 500 м, я заметил еще один аппарат и пошел на них, забирая высоту.</w:t>
      </w:r>
    </w:p>
    <w:p w14:paraId="430CDAAD" w14:textId="77777777" w:rsidR="001D07F9" w:rsidRPr="00405303" w:rsidRDefault="001D07F9" w:rsidP="001D07F9">
      <w:pPr>
        <w:shd w:val="clear" w:color="auto" w:fill="FFFFFF"/>
        <w:jc w:val="both"/>
        <w:rPr>
          <w:bCs/>
          <w:color w:val="002060"/>
          <w:sz w:val="16"/>
          <w:szCs w:val="16"/>
        </w:rPr>
      </w:pPr>
      <w:r w:rsidRPr="00405303">
        <w:rPr>
          <w:bCs/>
          <w:color w:val="002060"/>
          <w:sz w:val="16"/>
          <w:szCs w:val="16"/>
        </w:rPr>
        <w:t>На 1050 м я разошелся с одним из аппаратов, обменявшись выстрелами. Механик, унтер-офицер Смолин, стрелял из карабина, я — из пистолета Маузера.</w:t>
      </w:r>
    </w:p>
    <w:p w14:paraId="5F2DFCE2" w14:textId="77777777" w:rsidR="001D07F9" w:rsidRPr="00405303" w:rsidRDefault="001D07F9" w:rsidP="001D07F9">
      <w:pPr>
        <w:shd w:val="clear" w:color="auto" w:fill="FFFFFF"/>
        <w:jc w:val="both"/>
        <w:rPr>
          <w:bCs/>
          <w:color w:val="002060"/>
          <w:sz w:val="16"/>
          <w:szCs w:val="16"/>
        </w:rPr>
      </w:pPr>
      <w:r w:rsidRPr="00405303">
        <w:rPr>
          <w:bCs/>
          <w:color w:val="002060"/>
          <w:sz w:val="16"/>
          <w:szCs w:val="16"/>
        </w:rPr>
        <w:t>Неприятельский аппарат старался пройти над миноносцем («Московитянин» — прим. авт.), а я ему мешал в этом. Разойдясь, мы развернулись и встретились опять, стре</w:t>
      </w:r>
      <w:r w:rsidRPr="00405303">
        <w:rPr>
          <w:bCs/>
          <w:color w:val="002060"/>
          <w:sz w:val="16"/>
          <w:szCs w:val="16"/>
        </w:rPr>
        <w:softHyphen/>
        <w:t>ляя друг в друга, причем ясно было видно, что стреляют и пилот, и пассажир.</w:t>
      </w:r>
    </w:p>
    <w:p w14:paraId="024B425F" w14:textId="77777777" w:rsidR="001D07F9" w:rsidRPr="00405303" w:rsidRDefault="001D07F9" w:rsidP="001D07F9">
      <w:pPr>
        <w:shd w:val="clear" w:color="auto" w:fill="FFFFFF"/>
        <w:jc w:val="both"/>
        <w:rPr>
          <w:bCs/>
          <w:color w:val="002060"/>
          <w:sz w:val="16"/>
          <w:szCs w:val="16"/>
        </w:rPr>
      </w:pPr>
      <w:r w:rsidRPr="00405303">
        <w:rPr>
          <w:bCs/>
          <w:color w:val="002060"/>
          <w:sz w:val="16"/>
          <w:szCs w:val="16"/>
        </w:rPr>
        <w:t>В это время ко мне направился и второй аппарат.</w:t>
      </w:r>
    </w:p>
    <w:p w14:paraId="1C3DE8F1" w14:textId="77777777" w:rsidR="001D07F9" w:rsidRPr="00405303" w:rsidRDefault="001D07F9" w:rsidP="001D07F9">
      <w:pPr>
        <w:shd w:val="clear" w:color="auto" w:fill="FFFFFF"/>
        <w:jc w:val="both"/>
        <w:rPr>
          <w:bCs/>
          <w:color w:val="002060"/>
          <w:sz w:val="16"/>
          <w:szCs w:val="16"/>
        </w:rPr>
      </w:pPr>
      <w:r w:rsidRPr="00405303">
        <w:rPr>
          <w:bCs/>
          <w:color w:val="002060"/>
          <w:sz w:val="16"/>
          <w:szCs w:val="16"/>
        </w:rPr>
        <w:t>После перестрелки неприятельский аппарат повернул круто вправо, качнулся направо и налево несколько раз и, снижаясь немного, пошел к берегу — к маяку «Михайловский», затем вдоль берега, и скрылся со снижением в облаках.</w:t>
      </w:r>
    </w:p>
    <w:p w14:paraId="0E1E2266" w14:textId="77777777" w:rsidR="001D07F9" w:rsidRPr="00405303" w:rsidRDefault="001D07F9" w:rsidP="001D07F9">
      <w:pPr>
        <w:shd w:val="clear" w:color="auto" w:fill="FFFFFF"/>
        <w:jc w:val="both"/>
        <w:rPr>
          <w:bCs/>
          <w:color w:val="002060"/>
          <w:sz w:val="16"/>
          <w:szCs w:val="16"/>
        </w:rPr>
      </w:pPr>
      <w:r w:rsidRPr="00405303">
        <w:rPr>
          <w:bCs/>
          <w:color w:val="002060"/>
          <w:sz w:val="16"/>
          <w:szCs w:val="16"/>
        </w:rPr>
        <w:t>Я тогда повернул на второго и разошёлся с ним на 30-100 м. После перестрелки ап</w:t>
      </w:r>
      <w:r w:rsidRPr="00405303">
        <w:rPr>
          <w:bCs/>
          <w:color w:val="002060"/>
          <w:sz w:val="16"/>
          <w:szCs w:val="16"/>
        </w:rPr>
        <w:softHyphen/>
        <w:t>парат ушел к берегу, я за ним. Но, дойдя до маяка «Михайловский», пошел назад, так как мотор начал чихать.</w:t>
      </w:r>
    </w:p>
    <w:p w14:paraId="351A5A0E" w14:textId="77777777" w:rsidR="001D07F9" w:rsidRPr="00405303" w:rsidRDefault="001D07F9" w:rsidP="001D07F9">
      <w:pPr>
        <w:shd w:val="clear" w:color="auto" w:fill="FFFFFF"/>
        <w:jc w:val="both"/>
        <w:rPr>
          <w:bCs/>
          <w:color w:val="002060"/>
          <w:sz w:val="16"/>
          <w:szCs w:val="16"/>
        </w:rPr>
      </w:pPr>
      <w:r w:rsidRPr="00405303">
        <w:rPr>
          <w:bCs/>
          <w:color w:val="002060"/>
          <w:sz w:val="16"/>
          <w:szCs w:val="16"/>
        </w:rPr>
        <w:t>Когда я повернул, неприятель пошел опять ко мне и затем в море; я лег на перемен</w:t>
      </w:r>
      <w:r w:rsidRPr="00405303">
        <w:rPr>
          <w:bCs/>
          <w:color w:val="002060"/>
          <w:sz w:val="16"/>
          <w:szCs w:val="16"/>
        </w:rPr>
        <w:softHyphen/>
        <w:t>ный курс и увидел в море нашу подводную лодку («Аллигатор» — прим. авт.), к которой неприятель повернул тоже.</w:t>
      </w:r>
    </w:p>
    <w:p w14:paraId="4EFD8B00" w14:textId="77777777" w:rsidR="001D07F9" w:rsidRPr="00405303" w:rsidRDefault="001D07F9" w:rsidP="001D07F9">
      <w:pPr>
        <w:shd w:val="clear" w:color="auto" w:fill="FFFFFF"/>
        <w:jc w:val="both"/>
        <w:rPr>
          <w:bCs/>
          <w:color w:val="002060"/>
          <w:sz w:val="16"/>
          <w:szCs w:val="16"/>
        </w:rPr>
      </w:pPr>
      <w:r w:rsidRPr="00405303">
        <w:rPr>
          <w:bCs/>
          <w:color w:val="002060"/>
          <w:sz w:val="16"/>
          <w:szCs w:val="16"/>
        </w:rPr>
        <w:t>Я начал сближаться с ним и, сойдясь, открыл огонь. После короткой стрельбы аппарат пошел на Люзерорт, я за ним. Видя, что его нагнать не могу, пошёл домой, так как мотор опять начал работать хуже. Всего в воздухе был 57 мин, наибольшая высота — 1550 м.</w:t>
      </w:r>
    </w:p>
    <w:p w14:paraId="6FCA5683" w14:textId="77777777" w:rsidR="001D07F9" w:rsidRPr="00405303" w:rsidRDefault="001D07F9" w:rsidP="001D07F9">
      <w:pPr>
        <w:shd w:val="clear" w:color="auto" w:fill="FFFFFF"/>
        <w:jc w:val="both"/>
        <w:rPr>
          <w:bCs/>
          <w:color w:val="002060"/>
          <w:sz w:val="16"/>
          <w:szCs w:val="16"/>
        </w:rPr>
      </w:pPr>
      <w:r w:rsidRPr="00405303">
        <w:rPr>
          <w:bCs/>
          <w:color w:val="002060"/>
          <w:sz w:val="16"/>
          <w:szCs w:val="16"/>
        </w:rPr>
        <w:t>Унтер-офицер Смолин вел себя выше всяких похвал. У аппарата крыло было простре</w:t>
      </w:r>
      <w:r w:rsidRPr="00405303">
        <w:rPr>
          <w:bCs/>
          <w:color w:val="002060"/>
          <w:sz w:val="16"/>
          <w:szCs w:val="16"/>
        </w:rPr>
        <w:softHyphen/>
        <w:t>ляно в 2-х местах и легко тронут винт, но через 1/2 часа прилета аппарат был опять готов к полету».</w:t>
      </w:r>
    </w:p>
    <w:p w14:paraId="4065E5C9" w14:textId="77777777" w:rsidR="001D07F9" w:rsidRPr="00405303" w:rsidRDefault="001D07F9" w:rsidP="001D07F9">
      <w:pPr>
        <w:shd w:val="clear" w:color="auto" w:fill="FFFFFF"/>
        <w:jc w:val="both"/>
        <w:rPr>
          <w:bCs/>
          <w:color w:val="002060"/>
          <w:sz w:val="16"/>
          <w:szCs w:val="16"/>
        </w:rPr>
      </w:pPr>
      <w:r w:rsidRPr="00405303">
        <w:rPr>
          <w:bCs/>
          <w:color w:val="002060"/>
          <w:sz w:val="16"/>
          <w:szCs w:val="16"/>
        </w:rPr>
        <w:t>Уточню, что маяк «Михайловский» находился по другую сторону Ирбенского проли</w:t>
      </w:r>
      <w:r w:rsidRPr="00405303">
        <w:rPr>
          <w:bCs/>
          <w:color w:val="002060"/>
          <w:sz w:val="16"/>
          <w:szCs w:val="16"/>
        </w:rPr>
        <w:softHyphen/>
        <w:t>ва (вблизи Курляндского побережья), Люзерорт — пункт на побережье по направлению к Виндаве.</w:t>
      </w:r>
    </w:p>
    <w:p w14:paraId="202D3626" w14:textId="77777777" w:rsidR="001D07F9" w:rsidRPr="00405303" w:rsidRDefault="001D07F9" w:rsidP="001D07F9">
      <w:pPr>
        <w:shd w:val="clear" w:color="auto" w:fill="FFFFFF"/>
        <w:jc w:val="both"/>
        <w:rPr>
          <w:bCs/>
          <w:color w:val="002060"/>
          <w:sz w:val="16"/>
          <w:szCs w:val="16"/>
        </w:rPr>
      </w:pPr>
      <w:r w:rsidRPr="00405303">
        <w:rPr>
          <w:bCs/>
          <w:color w:val="002060"/>
          <w:sz w:val="16"/>
          <w:szCs w:val="16"/>
        </w:rPr>
        <w:t>Итак, два немецких самолёта отступили перед одним русским. Интересно, что сохра</w:t>
      </w:r>
      <w:r w:rsidRPr="00405303">
        <w:rPr>
          <w:bCs/>
          <w:color w:val="002060"/>
          <w:sz w:val="16"/>
          <w:szCs w:val="16"/>
        </w:rPr>
        <w:softHyphen/>
        <w:t>нилось донесение немецкого лётчика поплавкового гидросамолёта с бортовым номе</w:t>
      </w:r>
      <w:r w:rsidRPr="00405303">
        <w:rPr>
          <w:bCs/>
          <w:color w:val="002060"/>
          <w:sz w:val="16"/>
          <w:szCs w:val="16"/>
        </w:rPr>
        <w:softHyphen/>
        <w:t>ром «270» об этом бое. Приведу выдержки из него:</w:t>
      </w:r>
    </w:p>
    <w:p w14:paraId="01831963" w14:textId="77777777" w:rsidR="001D07F9" w:rsidRPr="00405303" w:rsidRDefault="001D07F9" w:rsidP="001D07F9">
      <w:pPr>
        <w:shd w:val="clear" w:color="auto" w:fill="FFFFFF"/>
        <w:jc w:val="both"/>
        <w:rPr>
          <w:bCs/>
          <w:color w:val="002060"/>
          <w:sz w:val="16"/>
          <w:szCs w:val="16"/>
        </w:rPr>
      </w:pPr>
      <w:r w:rsidRPr="00405303">
        <w:rPr>
          <w:bCs/>
          <w:color w:val="002060"/>
          <w:sz w:val="16"/>
          <w:szCs w:val="16"/>
        </w:rPr>
        <w:t>«...Кертиссовская летающая лодка (Тогда немцы не знали, что в авиации Балтийского флота находятся летающие лодки РВА французской разработки и считали, что это американские летающие лодки «Кертисс», принятые на вооружение на Черном море.) пыталась выиграть высоту и не допускала нас к себе ближе, чем на 2000 м. Самолет «292» вынужден был прекратить преследование ввиду невозможности так быстро забрать высоту. Во время многочисленных встреч лод</w:t>
      </w:r>
      <w:r w:rsidRPr="00405303">
        <w:rPr>
          <w:bCs/>
          <w:color w:val="002060"/>
          <w:sz w:val="16"/>
          <w:szCs w:val="16"/>
        </w:rPr>
        <w:softHyphen/>
        <w:t>ку обстреляли из карабинов.</w:t>
      </w:r>
    </w:p>
    <w:p w14:paraId="1D71ACAE" w14:textId="77777777" w:rsidR="001D07F9" w:rsidRPr="00405303" w:rsidRDefault="001D07F9" w:rsidP="001D07F9">
      <w:pPr>
        <w:shd w:val="clear" w:color="auto" w:fill="FFFFFF"/>
        <w:jc w:val="both"/>
        <w:rPr>
          <w:bCs/>
          <w:color w:val="002060"/>
          <w:sz w:val="16"/>
          <w:szCs w:val="16"/>
        </w:rPr>
      </w:pPr>
      <w:r w:rsidRPr="00405303">
        <w:rPr>
          <w:bCs/>
          <w:color w:val="002060"/>
          <w:sz w:val="16"/>
          <w:szCs w:val="16"/>
        </w:rPr>
        <w:t>В 5 час 55 мин мне удалось сблизиться с противником до 800 м на высоте 1900 м. Здесь я повернул на юг, чтобы не залетать вглубь Аренсбургской бухты и чтобы исполь</w:t>
      </w:r>
      <w:r w:rsidRPr="00405303">
        <w:rPr>
          <w:bCs/>
          <w:color w:val="002060"/>
          <w:sz w:val="16"/>
          <w:szCs w:val="16"/>
        </w:rPr>
        <w:softHyphen/>
        <w:t>зовать кормовые углы обстрела. Противник держался сзади меня приблизительно на 100 м выше. Мой наблюдатель произвел 20 выстрелов из карабина. По-видимому, с ус</w:t>
      </w:r>
      <w:r w:rsidRPr="00405303">
        <w:rPr>
          <w:bCs/>
          <w:color w:val="002060"/>
          <w:sz w:val="16"/>
          <w:szCs w:val="16"/>
        </w:rPr>
        <w:softHyphen/>
        <w:t>пехом, так как летающая лодка круто повернула и спустилась у Цереля. После этого я проследовал в Виндаву».</w:t>
      </w:r>
    </w:p>
    <w:p w14:paraId="2CFA4E27" w14:textId="77777777" w:rsidR="001D07F9" w:rsidRPr="00405303" w:rsidRDefault="001D07F9" w:rsidP="001D07F9">
      <w:pPr>
        <w:shd w:val="clear" w:color="auto" w:fill="FFFFFF"/>
        <w:jc w:val="both"/>
        <w:rPr>
          <w:bCs/>
          <w:color w:val="002060"/>
          <w:sz w:val="16"/>
          <w:szCs w:val="16"/>
        </w:rPr>
      </w:pPr>
      <w:r w:rsidRPr="00405303">
        <w:rPr>
          <w:bCs/>
          <w:color w:val="002060"/>
          <w:sz w:val="16"/>
          <w:szCs w:val="16"/>
        </w:rPr>
        <w:t>И немецкое, и русское командование быстро сделали главные выводы из результа</w:t>
      </w:r>
      <w:r w:rsidRPr="00405303">
        <w:rPr>
          <w:bCs/>
          <w:color w:val="002060"/>
          <w:sz w:val="16"/>
          <w:szCs w:val="16"/>
        </w:rPr>
        <w:softHyphen/>
        <w:t>тов первого воздушного боя. Уже через день для вооружения самолётов были заказа</w:t>
      </w:r>
      <w:r w:rsidRPr="00405303">
        <w:rPr>
          <w:bCs/>
          <w:color w:val="002060"/>
          <w:sz w:val="16"/>
          <w:szCs w:val="16"/>
        </w:rPr>
        <w:softHyphen/>
        <w:t>ны пулемёты. Особенности маневров при атаке, способы ее проведения оперативно учитывались при создании первых рекомендаций по тактике воздушного боя. В этой работе самое активное участие принимал С.Н. Лишин (11696).</w:t>
      </w:r>
    </w:p>
    <w:p w14:paraId="19950354" w14:textId="77777777" w:rsidR="001D07F9" w:rsidRPr="00405303" w:rsidRDefault="001D07F9" w:rsidP="001D07F9">
      <w:pPr>
        <w:shd w:val="clear" w:color="auto" w:fill="FFFFFF"/>
        <w:jc w:val="both"/>
        <w:rPr>
          <w:bCs/>
          <w:color w:val="002060"/>
          <w:sz w:val="16"/>
          <w:szCs w:val="16"/>
        </w:rPr>
      </w:pPr>
    </w:p>
    <w:p w14:paraId="24BD69BC" w14:textId="5A98B0F7" w:rsidR="00652CA7" w:rsidRPr="00405303" w:rsidRDefault="00652CA7" w:rsidP="00C15251">
      <w:pPr>
        <w:jc w:val="both"/>
        <w:rPr>
          <w:bCs/>
          <w:color w:val="002060"/>
          <w:sz w:val="16"/>
          <w:szCs w:val="16"/>
        </w:rPr>
      </w:pPr>
      <w:r w:rsidRPr="00405303">
        <w:rPr>
          <w:bCs/>
          <w:color w:val="002060"/>
          <w:sz w:val="16"/>
          <w:szCs w:val="16"/>
          <w:lang w:bidi="en-US"/>
        </w:rPr>
        <w:lastRenderedPageBreak/>
        <w:t xml:space="preserve">13 (26) апреля 1915 г. в Балтийском море немецкий авианосец </w:t>
      </w:r>
      <w:r w:rsidRPr="00405303">
        <w:rPr>
          <w:bCs/>
          <w:color w:val="002060"/>
          <w:sz w:val="16"/>
          <w:szCs w:val="16"/>
          <w:lang w:val="en-US" w:bidi="en-US"/>
        </w:rPr>
        <w:t>Answald</w:t>
      </w:r>
      <w:r w:rsidRPr="00405303">
        <w:rPr>
          <w:bCs/>
          <w:color w:val="002060"/>
          <w:sz w:val="16"/>
          <w:szCs w:val="16"/>
          <w:lang w:bidi="en-US"/>
        </w:rPr>
        <w:t xml:space="preserve">, базировавшийся в основном в Либаве, с 2-6 гидросамолетами типа </w:t>
      </w:r>
      <w:r w:rsidRPr="00405303">
        <w:rPr>
          <w:bCs/>
          <w:color w:val="002060"/>
          <w:sz w:val="16"/>
          <w:szCs w:val="16"/>
          <w:lang w:val="en-US" w:bidi="en-US"/>
        </w:rPr>
        <w:t>Friedrichshafen</w:t>
      </w:r>
      <w:r w:rsidRPr="00405303">
        <w:rPr>
          <w:bCs/>
          <w:color w:val="002060"/>
          <w:sz w:val="16"/>
          <w:szCs w:val="16"/>
          <w:lang w:bidi="en-US"/>
        </w:rPr>
        <w:t xml:space="preserve"> </w:t>
      </w:r>
      <w:r w:rsidRPr="00405303">
        <w:rPr>
          <w:bCs/>
          <w:color w:val="002060"/>
          <w:sz w:val="16"/>
          <w:szCs w:val="16"/>
          <w:lang w:val="en-US" w:bidi="en-US"/>
        </w:rPr>
        <w:t>FF</w:t>
      </w:r>
      <w:r w:rsidRPr="00405303">
        <w:rPr>
          <w:bCs/>
          <w:color w:val="002060"/>
          <w:sz w:val="16"/>
          <w:szCs w:val="16"/>
          <w:lang w:bidi="en-US"/>
        </w:rPr>
        <w:t xml:space="preserve"> начал операции с плановыми береговыми разведывательными полетами. 9 июля ее перевели в Свиндмюнде в Германии (23525).</w:t>
      </w:r>
    </w:p>
    <w:p w14:paraId="118E2393" w14:textId="77777777" w:rsidR="00652CA7" w:rsidRPr="00405303" w:rsidRDefault="00652CA7" w:rsidP="00C15251">
      <w:pPr>
        <w:jc w:val="both"/>
        <w:rPr>
          <w:bCs/>
          <w:color w:val="002060"/>
          <w:sz w:val="16"/>
          <w:szCs w:val="16"/>
          <w:lang w:bidi="en-US"/>
        </w:rPr>
      </w:pPr>
    </w:p>
    <w:p w14:paraId="6A42ABC7" w14:textId="6BD919FD" w:rsidR="00100B12" w:rsidRPr="00405303" w:rsidRDefault="00100B12" w:rsidP="00C15251">
      <w:pPr>
        <w:jc w:val="both"/>
        <w:rPr>
          <w:bCs/>
          <w:i/>
          <w:color w:val="002060"/>
          <w:sz w:val="16"/>
          <w:szCs w:val="16"/>
        </w:rPr>
      </w:pPr>
      <w:r w:rsidRPr="00405303">
        <w:rPr>
          <w:bCs/>
          <w:i/>
          <w:color w:val="002060"/>
          <w:sz w:val="16"/>
          <w:szCs w:val="16"/>
        </w:rPr>
        <w:t>Авиация и воздухоплавание Англии:</w:t>
      </w:r>
    </w:p>
    <w:p w14:paraId="1AC4CF1B" w14:textId="77777777" w:rsidR="00100B12" w:rsidRPr="00405303" w:rsidRDefault="00100B12" w:rsidP="00C15251">
      <w:pPr>
        <w:jc w:val="both"/>
        <w:rPr>
          <w:bCs/>
          <w:i/>
          <w:color w:val="002060"/>
          <w:sz w:val="16"/>
          <w:szCs w:val="16"/>
        </w:rPr>
      </w:pPr>
    </w:p>
    <w:p w14:paraId="0B4A022C" w14:textId="77777777" w:rsidR="00100B12" w:rsidRPr="00405303" w:rsidRDefault="00100B12" w:rsidP="00C15251">
      <w:pPr>
        <w:jc w:val="both"/>
        <w:rPr>
          <w:bCs/>
          <w:color w:val="002060"/>
          <w:sz w:val="16"/>
          <w:szCs w:val="16"/>
        </w:rPr>
      </w:pPr>
      <w:r w:rsidRPr="00405303">
        <w:rPr>
          <w:bCs/>
          <w:color w:val="002060"/>
          <w:sz w:val="16"/>
          <w:szCs w:val="16"/>
        </w:rPr>
        <w:t>13 (26) апреля в 1915 году У.Б.Роудс Мурхауз первым из английских пилотов награждается крестом Виктории (15111).</w:t>
      </w:r>
    </w:p>
    <w:p w14:paraId="314210C7" w14:textId="77777777" w:rsidR="00100B12" w:rsidRPr="00405303" w:rsidRDefault="00100B12" w:rsidP="00C15251">
      <w:pPr>
        <w:jc w:val="both"/>
        <w:rPr>
          <w:bCs/>
          <w:color w:val="002060"/>
          <w:sz w:val="16"/>
          <w:szCs w:val="16"/>
        </w:rPr>
      </w:pPr>
    </w:p>
    <w:p w14:paraId="457BD356" w14:textId="77777777" w:rsidR="005F71B4" w:rsidRPr="00405303" w:rsidRDefault="005F71B4" w:rsidP="00C15251">
      <w:pPr>
        <w:jc w:val="both"/>
        <w:rPr>
          <w:bCs/>
          <w:color w:val="002060"/>
          <w:sz w:val="16"/>
          <w:szCs w:val="16"/>
        </w:rPr>
      </w:pPr>
      <w:r w:rsidRPr="00405303">
        <w:rPr>
          <w:bCs/>
          <w:color w:val="002060"/>
          <w:sz w:val="16"/>
          <w:szCs w:val="16"/>
        </w:rPr>
        <w:t>13 (26) апреля 1915 второй лейтенант Уильям Родс-Moorhouse из Королевских ВВС, 2 - й эскадрильи был смертельно ранен во время проведения атаки на железнодорожный узел в Кортрейк, Бельгия; он умирает на следующий день. Стал первым летчиком, получившим Крест Виктории (20338).</w:t>
      </w:r>
    </w:p>
    <w:p w14:paraId="3A676DD3" w14:textId="77777777" w:rsidR="005F71B4" w:rsidRPr="00405303" w:rsidRDefault="005F71B4" w:rsidP="00C15251">
      <w:pPr>
        <w:jc w:val="both"/>
        <w:rPr>
          <w:bCs/>
          <w:color w:val="002060"/>
          <w:sz w:val="16"/>
          <w:szCs w:val="16"/>
        </w:rPr>
      </w:pPr>
    </w:p>
    <w:p w14:paraId="4E8A5E03" w14:textId="77777777" w:rsidR="00100B12" w:rsidRPr="00405303" w:rsidRDefault="00100B12" w:rsidP="00C15251">
      <w:pPr>
        <w:jc w:val="both"/>
        <w:rPr>
          <w:bCs/>
          <w:i/>
          <w:color w:val="002060"/>
          <w:sz w:val="16"/>
          <w:szCs w:val="16"/>
        </w:rPr>
      </w:pPr>
      <w:r w:rsidRPr="00405303">
        <w:rPr>
          <w:bCs/>
          <w:i/>
          <w:color w:val="002060"/>
          <w:sz w:val="16"/>
          <w:szCs w:val="16"/>
        </w:rPr>
        <w:t>За рубежом:</w:t>
      </w:r>
    </w:p>
    <w:p w14:paraId="2D456A04" w14:textId="77777777" w:rsidR="00100B12" w:rsidRPr="00405303" w:rsidRDefault="00100B12" w:rsidP="00C15251">
      <w:pPr>
        <w:jc w:val="both"/>
        <w:rPr>
          <w:bCs/>
          <w:color w:val="002060"/>
          <w:sz w:val="16"/>
          <w:szCs w:val="16"/>
        </w:rPr>
      </w:pPr>
    </w:p>
    <w:p w14:paraId="5B00D585" w14:textId="77777777" w:rsidR="00100B12" w:rsidRPr="00405303" w:rsidRDefault="00100B12" w:rsidP="00C15251">
      <w:pPr>
        <w:jc w:val="both"/>
        <w:rPr>
          <w:bCs/>
          <w:color w:val="002060"/>
          <w:sz w:val="16"/>
          <w:szCs w:val="16"/>
        </w:rPr>
      </w:pPr>
      <w:r w:rsidRPr="00405303">
        <w:rPr>
          <w:bCs/>
          <w:color w:val="002060"/>
          <w:sz w:val="16"/>
          <w:szCs w:val="16"/>
        </w:rPr>
        <w:t>13 (26) апреля в 1915 году Лондон. Заключено соглашение между странами Антанты и Италией о вступлении последней в войну на стороне Антанты за приобретение после войны австрийских территорий Трентино, Триест, Далмации а также Албании (15111).</w:t>
      </w:r>
    </w:p>
    <w:p w14:paraId="4A0C46C0" w14:textId="77777777" w:rsidR="00100B12" w:rsidRPr="00405303" w:rsidRDefault="00100B12" w:rsidP="00C15251">
      <w:pPr>
        <w:jc w:val="both"/>
        <w:rPr>
          <w:bCs/>
          <w:color w:val="002060"/>
          <w:sz w:val="16"/>
          <w:szCs w:val="16"/>
        </w:rPr>
      </w:pPr>
    </w:p>
    <w:p w14:paraId="5403221E" w14:textId="77777777" w:rsidR="00100B12" w:rsidRPr="00405303" w:rsidRDefault="00100B12" w:rsidP="00C15251">
      <w:pPr>
        <w:jc w:val="both"/>
        <w:rPr>
          <w:bCs/>
          <w:color w:val="002060"/>
          <w:sz w:val="16"/>
          <w:szCs w:val="16"/>
        </w:rPr>
      </w:pPr>
      <w:r w:rsidRPr="00405303">
        <w:rPr>
          <w:bCs/>
          <w:color w:val="002060"/>
          <w:sz w:val="16"/>
          <w:szCs w:val="16"/>
        </w:rPr>
        <w:t>13 (26) апреля в 1915 году в Адриатике австрийской подлодкой потопляется французский броненосный крейсер "Леон Гамбетта" (15111).</w:t>
      </w:r>
    </w:p>
    <w:p w14:paraId="1740C818" w14:textId="77777777" w:rsidR="00100B12" w:rsidRPr="00405303" w:rsidRDefault="00100B12" w:rsidP="00C15251">
      <w:pPr>
        <w:jc w:val="both"/>
        <w:rPr>
          <w:bCs/>
          <w:color w:val="002060"/>
          <w:sz w:val="16"/>
          <w:szCs w:val="16"/>
        </w:rPr>
      </w:pPr>
    </w:p>
    <w:p w14:paraId="2B49097A"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2BFD4F1C" w14:textId="77777777" w:rsidR="004B4E35" w:rsidRPr="00405303" w:rsidRDefault="004B4E35" w:rsidP="00C15251">
      <w:pPr>
        <w:jc w:val="both"/>
        <w:rPr>
          <w:bCs/>
          <w:i/>
          <w:color w:val="002060"/>
          <w:sz w:val="16"/>
          <w:szCs w:val="16"/>
        </w:rPr>
      </w:pPr>
    </w:p>
    <w:p w14:paraId="2FD0AB15" w14:textId="1FE59E5C" w:rsidR="004B4E35" w:rsidRPr="00405303" w:rsidRDefault="009E6F82" w:rsidP="00C15251">
      <w:pPr>
        <w:jc w:val="both"/>
        <w:rPr>
          <w:bCs/>
          <w:color w:val="002060"/>
          <w:sz w:val="16"/>
          <w:szCs w:val="16"/>
        </w:rPr>
      </w:pPr>
      <w:r w:rsidRPr="00405303">
        <w:rPr>
          <w:bCs/>
          <w:color w:val="002060"/>
          <w:sz w:val="16"/>
          <w:szCs w:val="16"/>
        </w:rPr>
        <w:t xml:space="preserve">14 (27) апреля1915 г. </w:t>
      </w:r>
      <w:r w:rsidR="00F66C21" w:rsidRPr="00405303">
        <w:rPr>
          <w:bCs/>
          <w:color w:val="002060"/>
          <w:sz w:val="16"/>
          <w:szCs w:val="16"/>
        </w:rPr>
        <w:t xml:space="preserve">В телеграмме начальника штаба Верховного Главнокомандования </w:t>
      </w:r>
      <w:r w:rsidRPr="00405303">
        <w:rPr>
          <w:bCs/>
          <w:color w:val="002060"/>
          <w:sz w:val="16"/>
          <w:szCs w:val="16"/>
        </w:rPr>
        <w:t xml:space="preserve">в ГВТУ сообщалось: "Верховный Главнокомандующий приказал: просить Вас в связи с выяснившимся применением эскадры воздушных кораблей восстановить действие контракта с РБВЗ на постройку "Муромцев", приостановленного на время испытания их боевых свойств, и оказать заводу всякое содействие для скорейшего выполнения этого заказа, предоставив в мере возможности необходимые материалы, особенно для выделки винтов, из имеющихся запасов этого имущества, находящегося в складах военного ведомства. Постройка аэропланов должна производиться по последнему вполне оправдавшему себя типу". Штаб Верховного-Главнокомандования просил Военного Министра ускорить укомплектование эскадры новыми кораблями и принять самые энергичные меры к постройке новых кораблей и широкому содействию РБВЗ в получении моторов и изготовлении собственных. Завод должен был в спешном порядке изготовить до 1 мая 1916 г. 32 самолета "Илья Муромец". [ЦГИА, ф. 24, on. 28, д. 202, л. 1 -12.] </w:t>
      </w:r>
    </w:p>
    <w:p w14:paraId="73400A29" w14:textId="77777777" w:rsidR="004B4E35" w:rsidRPr="00405303" w:rsidRDefault="004B4E35" w:rsidP="00C15251">
      <w:pPr>
        <w:jc w:val="both"/>
        <w:rPr>
          <w:bCs/>
          <w:color w:val="002060"/>
          <w:sz w:val="16"/>
          <w:szCs w:val="16"/>
        </w:rPr>
      </w:pPr>
    </w:p>
    <w:p w14:paraId="3146D98F" w14:textId="30669467" w:rsidR="00B44654" w:rsidRPr="00405303" w:rsidRDefault="00B44654" w:rsidP="00C15251">
      <w:pPr>
        <w:jc w:val="both"/>
        <w:rPr>
          <w:bCs/>
          <w:color w:val="002060"/>
          <w:sz w:val="16"/>
          <w:szCs w:val="16"/>
        </w:rPr>
      </w:pPr>
      <w:r w:rsidRPr="00405303">
        <w:rPr>
          <w:bCs/>
          <w:color w:val="002060"/>
          <w:sz w:val="16"/>
          <w:szCs w:val="16"/>
        </w:rPr>
        <w:t>14 (27) апреля 1915 г. в телеграмме на</w:t>
      </w:r>
      <w:r w:rsidRPr="00405303">
        <w:rPr>
          <w:bCs/>
          <w:color w:val="002060"/>
          <w:sz w:val="16"/>
          <w:szCs w:val="16"/>
        </w:rPr>
        <w:softHyphen/>
        <w:t>чальника штаба Верховного Главнокомандования от в ГВТУ сообщалось: «Верхов</w:t>
      </w:r>
      <w:r w:rsidRPr="00405303">
        <w:rPr>
          <w:bCs/>
          <w:color w:val="002060"/>
          <w:sz w:val="16"/>
          <w:szCs w:val="16"/>
        </w:rPr>
        <w:softHyphen/>
        <w:t>ный Главнокомандующий прика</w:t>
      </w:r>
      <w:r w:rsidRPr="00405303">
        <w:rPr>
          <w:bCs/>
          <w:color w:val="002060"/>
          <w:sz w:val="16"/>
          <w:szCs w:val="16"/>
        </w:rPr>
        <w:softHyphen/>
        <w:t>зал: просить Вас в связи с выяснив</w:t>
      </w:r>
      <w:r w:rsidRPr="00405303">
        <w:rPr>
          <w:bCs/>
          <w:color w:val="002060"/>
          <w:sz w:val="16"/>
          <w:szCs w:val="16"/>
        </w:rPr>
        <w:softHyphen/>
        <w:t>шимся применением Эскадры воз</w:t>
      </w:r>
      <w:r w:rsidRPr="00405303">
        <w:rPr>
          <w:bCs/>
          <w:color w:val="002060"/>
          <w:sz w:val="16"/>
          <w:szCs w:val="16"/>
        </w:rPr>
        <w:softHyphen/>
        <w:t>душных кораблей восстановить действие контракта с РБВЗ на пост</w:t>
      </w:r>
      <w:r w:rsidRPr="00405303">
        <w:rPr>
          <w:bCs/>
          <w:color w:val="002060"/>
          <w:sz w:val="16"/>
          <w:szCs w:val="16"/>
        </w:rPr>
        <w:softHyphen/>
        <w:t>ройку «Муромцев», приостановлен</w:t>
      </w:r>
      <w:r w:rsidRPr="00405303">
        <w:rPr>
          <w:bCs/>
          <w:color w:val="002060"/>
          <w:sz w:val="16"/>
          <w:szCs w:val="16"/>
        </w:rPr>
        <w:softHyphen/>
        <w:t>ного на время испытания их бое</w:t>
      </w:r>
      <w:r w:rsidRPr="00405303">
        <w:rPr>
          <w:bCs/>
          <w:color w:val="002060"/>
          <w:sz w:val="16"/>
          <w:szCs w:val="16"/>
        </w:rPr>
        <w:softHyphen/>
        <w:t>вых свойств, и оказать заводу вся</w:t>
      </w:r>
      <w:r w:rsidRPr="00405303">
        <w:rPr>
          <w:bCs/>
          <w:color w:val="002060"/>
          <w:sz w:val="16"/>
          <w:szCs w:val="16"/>
        </w:rPr>
        <w:softHyphen/>
        <w:t>кое содействие для скорейшего вы</w:t>
      </w:r>
      <w:r w:rsidRPr="00405303">
        <w:rPr>
          <w:bCs/>
          <w:color w:val="002060"/>
          <w:sz w:val="16"/>
          <w:szCs w:val="16"/>
        </w:rPr>
        <w:softHyphen/>
        <w:t>полнения этого заказа...». Штаб Вер</w:t>
      </w:r>
      <w:r w:rsidRPr="00405303">
        <w:rPr>
          <w:bCs/>
          <w:color w:val="002060"/>
          <w:sz w:val="16"/>
          <w:szCs w:val="16"/>
        </w:rPr>
        <w:softHyphen/>
        <w:t>ховного Главнокомандующего про</w:t>
      </w:r>
      <w:r w:rsidRPr="00405303">
        <w:rPr>
          <w:bCs/>
          <w:color w:val="002060"/>
          <w:sz w:val="16"/>
          <w:szCs w:val="16"/>
        </w:rPr>
        <w:softHyphen/>
        <w:t>сил военного министра ускорить укомплектование Эскадры до штат</w:t>
      </w:r>
      <w:r w:rsidRPr="00405303">
        <w:rPr>
          <w:bCs/>
          <w:color w:val="002060"/>
          <w:sz w:val="16"/>
          <w:szCs w:val="16"/>
        </w:rPr>
        <w:softHyphen/>
        <w:t>ного состава и принять самые энергичные меры к постройке но</w:t>
      </w:r>
      <w:r w:rsidRPr="00405303">
        <w:rPr>
          <w:bCs/>
          <w:color w:val="002060"/>
          <w:sz w:val="16"/>
          <w:szCs w:val="16"/>
        </w:rPr>
        <w:softHyphen/>
        <w:t>вых кораблей (23469).</w:t>
      </w:r>
    </w:p>
    <w:p w14:paraId="061505F0" w14:textId="77777777" w:rsidR="00B44654" w:rsidRPr="00405303" w:rsidRDefault="00B44654" w:rsidP="00C15251">
      <w:pPr>
        <w:jc w:val="both"/>
        <w:rPr>
          <w:bCs/>
          <w:color w:val="002060"/>
          <w:sz w:val="16"/>
          <w:szCs w:val="16"/>
          <w:lang w:bidi="ru-RU"/>
        </w:rPr>
      </w:pPr>
    </w:p>
    <w:p w14:paraId="3FB09192" w14:textId="77777777" w:rsidR="0020648C" w:rsidRPr="00405303" w:rsidRDefault="0020648C" w:rsidP="0020648C">
      <w:pPr>
        <w:jc w:val="both"/>
        <w:rPr>
          <w:bCs/>
          <w:color w:val="002060"/>
          <w:sz w:val="16"/>
          <w:szCs w:val="16"/>
        </w:rPr>
      </w:pPr>
      <w:r w:rsidRPr="00405303">
        <w:rPr>
          <w:bCs/>
          <w:color w:val="002060"/>
          <w:sz w:val="16"/>
          <w:szCs w:val="16"/>
        </w:rPr>
        <w:t>14 (27) апреля 1915 г. в телеграмме начальника штаба Верхов</w:t>
      </w:r>
      <w:r w:rsidRPr="00405303">
        <w:rPr>
          <w:bCs/>
          <w:color w:val="002060"/>
          <w:sz w:val="16"/>
          <w:szCs w:val="16"/>
        </w:rPr>
        <w:softHyphen/>
        <w:t>ного Главнокомандования в ГВТУ сообщалось: «Верховный Главнокомандующий прика</w:t>
      </w:r>
      <w:r w:rsidRPr="00405303">
        <w:rPr>
          <w:bCs/>
          <w:color w:val="002060"/>
          <w:sz w:val="16"/>
          <w:szCs w:val="16"/>
        </w:rPr>
        <w:softHyphen/>
        <w:t>зал: просить Вас в связи с выяснившимся применением эскадры воздушных кораблей восстановить действие контракта с РБВЗ на постройку «Муромцев», приоста</w:t>
      </w:r>
      <w:r w:rsidRPr="00405303">
        <w:rPr>
          <w:bCs/>
          <w:color w:val="002060"/>
          <w:sz w:val="16"/>
          <w:szCs w:val="16"/>
        </w:rPr>
        <w:softHyphen/>
        <w:t>новленного на время испытания их боевых свойств, и оказать заводу всякое содействие для скорейшего вы</w:t>
      </w:r>
      <w:r w:rsidRPr="00405303">
        <w:rPr>
          <w:bCs/>
          <w:color w:val="002060"/>
          <w:sz w:val="16"/>
          <w:szCs w:val="16"/>
        </w:rPr>
        <w:softHyphen/>
        <w:t>полнения этого заказа, предоставив в мере возможно</w:t>
      </w:r>
      <w:r w:rsidRPr="00405303">
        <w:rPr>
          <w:bCs/>
          <w:color w:val="002060"/>
          <w:sz w:val="16"/>
          <w:szCs w:val="16"/>
        </w:rPr>
        <w:softHyphen/>
        <w:t>сти необходимые материалы, особенно для выделки винтов, из имеющихся запасов этого имущества, нахо</w:t>
      </w:r>
      <w:r w:rsidRPr="00405303">
        <w:rPr>
          <w:bCs/>
          <w:color w:val="002060"/>
          <w:sz w:val="16"/>
          <w:szCs w:val="16"/>
        </w:rPr>
        <w:softHyphen/>
        <w:t>дящегося в складах военного ведомства. Постройка аэропланов должна производиться по последнему впол</w:t>
      </w:r>
      <w:r w:rsidRPr="00405303">
        <w:rPr>
          <w:bCs/>
          <w:color w:val="002060"/>
          <w:sz w:val="16"/>
          <w:szCs w:val="16"/>
        </w:rPr>
        <w:softHyphen/>
        <w:t>не оправдавшему себя типу</w:t>
      </w:r>
      <w:proofErr w:type="gramStart"/>
      <w:r w:rsidRPr="00405303">
        <w:rPr>
          <w:bCs/>
          <w:color w:val="002060"/>
          <w:sz w:val="16"/>
          <w:szCs w:val="16"/>
        </w:rPr>
        <w:t>» .</w:t>
      </w:r>
      <w:proofErr w:type="gramEnd"/>
      <w:r w:rsidRPr="00405303">
        <w:rPr>
          <w:bCs/>
          <w:color w:val="002060"/>
          <w:sz w:val="16"/>
          <w:szCs w:val="16"/>
        </w:rPr>
        <w:t xml:space="preserve"> Штаб Верховного Глав</w:t>
      </w:r>
      <w:r w:rsidRPr="00405303">
        <w:rPr>
          <w:bCs/>
          <w:color w:val="002060"/>
          <w:sz w:val="16"/>
          <w:szCs w:val="16"/>
        </w:rPr>
        <w:softHyphen/>
        <w:t>нокомандования просил Военного Министра ускорить укомплектование эскадры новыми кораблями и при</w:t>
      </w:r>
      <w:r w:rsidRPr="00405303">
        <w:rPr>
          <w:bCs/>
          <w:color w:val="002060"/>
          <w:sz w:val="16"/>
          <w:szCs w:val="16"/>
        </w:rPr>
        <w:softHyphen/>
        <w:t>нять самые энергичные меры к постройке новых кораб</w:t>
      </w:r>
      <w:r w:rsidRPr="00405303">
        <w:rPr>
          <w:bCs/>
          <w:color w:val="002060"/>
          <w:sz w:val="16"/>
          <w:szCs w:val="16"/>
        </w:rPr>
        <w:softHyphen/>
        <w:t>лей и широкому содействию РБВЗ в получении моторов и изготовлении собственных. Завод должен был в спеш</w:t>
      </w:r>
      <w:r w:rsidRPr="00405303">
        <w:rPr>
          <w:bCs/>
          <w:color w:val="002060"/>
          <w:sz w:val="16"/>
          <w:szCs w:val="16"/>
        </w:rPr>
        <w:softHyphen/>
        <w:t>ном порядке изготовить до 1 мая 1916 г. 32 самолета «Илья Муромец» (24177).</w:t>
      </w:r>
    </w:p>
    <w:p w14:paraId="73CD63D4" w14:textId="77777777" w:rsidR="0020648C" w:rsidRPr="00405303" w:rsidRDefault="0020648C" w:rsidP="0020648C">
      <w:pPr>
        <w:jc w:val="both"/>
        <w:rPr>
          <w:bCs/>
          <w:i/>
          <w:color w:val="002060"/>
          <w:sz w:val="16"/>
          <w:szCs w:val="16"/>
        </w:rPr>
      </w:pPr>
    </w:p>
    <w:p w14:paraId="7AD2B64F"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00A8F8CD" w14:textId="77777777" w:rsidR="004B4E35" w:rsidRPr="00405303" w:rsidRDefault="004B4E35" w:rsidP="00C15251">
      <w:pPr>
        <w:jc w:val="both"/>
        <w:rPr>
          <w:bCs/>
          <w:i/>
          <w:color w:val="002060"/>
          <w:sz w:val="16"/>
          <w:szCs w:val="16"/>
        </w:rPr>
      </w:pPr>
    </w:p>
    <w:p w14:paraId="6D5D8CF0" w14:textId="1D64E6ED" w:rsidR="00100B12" w:rsidRPr="00405303" w:rsidRDefault="00100B12" w:rsidP="00C15251">
      <w:pPr>
        <w:pStyle w:val="p1"/>
        <w:spacing w:before="0" w:beforeAutospacing="0" w:after="0" w:afterAutospacing="0"/>
        <w:jc w:val="both"/>
        <w:rPr>
          <w:bCs/>
          <w:color w:val="002060"/>
          <w:sz w:val="16"/>
          <w:szCs w:val="16"/>
        </w:rPr>
      </w:pPr>
      <w:r w:rsidRPr="00405303">
        <w:rPr>
          <w:bCs/>
          <w:color w:val="002060"/>
          <w:sz w:val="16"/>
          <w:szCs w:val="16"/>
        </w:rPr>
        <w:t xml:space="preserve">14 </w:t>
      </w:r>
      <w:r w:rsidR="00F66C21" w:rsidRPr="00405303">
        <w:rPr>
          <w:bCs/>
          <w:color w:val="002060"/>
          <w:sz w:val="16"/>
          <w:szCs w:val="16"/>
        </w:rPr>
        <w:t xml:space="preserve">(27) </w:t>
      </w:r>
      <w:r w:rsidRPr="00405303">
        <w:rPr>
          <w:bCs/>
          <w:color w:val="002060"/>
          <w:sz w:val="16"/>
          <w:szCs w:val="16"/>
        </w:rPr>
        <w:t xml:space="preserve">апреля 1915 г. совещание, созванное под председательством Вернандера приняло позицию великого князя Сергея Михайловича, что «все внесенные предложения следует отклонить» и надлежит «ассигновать теперь же достаточные кредиты на развитие существующих заводов до производительности 1500 тысяч винтовок в год»; «немедленно приступить к постройке и оборудованию нового сталелитейного завода для отливки ствольных болванок»; купить в Америке оборудование и построить четвертый казенный ружейный завод. «Обладая такими мощными заводами, мы совершенно освободимся в ружейном деле от частной промышленности и заграничных заказов». Сравнив с разных сторон выгодность частного и казенного предприятий, совещание высказалось за казенные заводы. При этом представитель Государственного контроля напомнил, что не так давно в Думе «возбудил большие прения и едва не послужил поводом для запроса правительству заказ морским министром орудий Царицынскому заводу РАОАЗ». Против «насаждения новой отрасли частной промышленности» высказался и товарищ министра финансов Кузьминский. Совещание одобрило строительство четвертого казенного ружейного завода стоимостью в 31,2 млн. руб. (на 450 тысяч винтовок в </w:t>
      </w:r>
      <w:proofErr w:type="gramStart"/>
      <w:r w:rsidRPr="00405303">
        <w:rPr>
          <w:bCs/>
          <w:color w:val="002060"/>
          <w:sz w:val="16"/>
          <w:szCs w:val="16"/>
        </w:rPr>
        <w:t>год)[</w:t>
      </w:r>
      <w:proofErr w:type="gramEnd"/>
      <w:r w:rsidRPr="00405303">
        <w:rPr>
          <w:bCs/>
          <w:color w:val="002060"/>
          <w:sz w:val="16"/>
          <w:szCs w:val="16"/>
        </w:rPr>
        <w:t>38] и сталелитейного стоимостью в 39 млн. руб. По оценке Лукомского, в результате совещания выяснилось, что «в ближайшем по крайней мере будущем нет возможности рассчитывать на благоприятное разрешение вопроса о постройке частного ружейного завода» (18409).</w:t>
      </w:r>
    </w:p>
    <w:p w14:paraId="38F4C36F" w14:textId="77777777" w:rsidR="00100B12" w:rsidRPr="00405303" w:rsidRDefault="00100B12" w:rsidP="00C15251">
      <w:pPr>
        <w:pStyle w:val="p1"/>
        <w:spacing w:before="0" w:beforeAutospacing="0" w:after="0" w:afterAutospacing="0"/>
        <w:jc w:val="both"/>
        <w:rPr>
          <w:bCs/>
          <w:color w:val="002060"/>
          <w:sz w:val="16"/>
          <w:szCs w:val="16"/>
        </w:rPr>
      </w:pPr>
    </w:p>
    <w:p w14:paraId="074380B5" w14:textId="77777777" w:rsidR="004B4E35" w:rsidRPr="00405303" w:rsidRDefault="009E6F82" w:rsidP="00C15251">
      <w:pPr>
        <w:jc w:val="both"/>
        <w:rPr>
          <w:bCs/>
          <w:color w:val="002060"/>
          <w:sz w:val="16"/>
          <w:szCs w:val="16"/>
        </w:rPr>
      </w:pPr>
      <w:r w:rsidRPr="00405303">
        <w:rPr>
          <w:bCs/>
          <w:color w:val="002060"/>
          <w:sz w:val="16"/>
          <w:szCs w:val="16"/>
        </w:rPr>
        <w:t xml:space="preserve">14 (27) апреля 1915 г. на Охтенском заводе взрывчатых веществ произошел грандиозный взрыв, которым в несколько мгновений была снесена с лица земли половина завода — весь тротилово-снаряжательный отдел. Вторая половина завода — капсюльный отдел, находившийся в полутора верстах от места взрыва, получила незначительные повреждения. </w:t>
      </w:r>
    </w:p>
    <w:p w14:paraId="43AD4B70" w14:textId="77777777" w:rsidR="004B4E35" w:rsidRPr="00405303" w:rsidRDefault="009E6F82" w:rsidP="00C15251">
      <w:pPr>
        <w:jc w:val="both"/>
        <w:rPr>
          <w:bCs/>
          <w:color w:val="002060"/>
          <w:sz w:val="16"/>
          <w:szCs w:val="16"/>
        </w:rPr>
      </w:pPr>
      <w:r w:rsidRPr="00405303">
        <w:rPr>
          <w:bCs/>
          <w:color w:val="002060"/>
          <w:sz w:val="16"/>
          <w:szCs w:val="16"/>
        </w:rPr>
        <w:t xml:space="preserve">Каким образом произошла катастрофа? В 1915 г. Петроград, как и добрая часть России, был одержим шпиономанией. Поэтому Охтенский взрыв без всяких колебаний общей молвой был приписан работе немецкого шпионажа. Быстро создалась легенда о подкопе, который якобы был сделан под заводом, о заложенной в нем мине с часовым механизмом и т.д. </w:t>
      </w:r>
    </w:p>
    <w:p w14:paraId="6A33DD8E" w14:textId="77777777" w:rsidR="004B4E35" w:rsidRPr="00405303" w:rsidRDefault="009E6F82" w:rsidP="00C15251">
      <w:pPr>
        <w:jc w:val="both"/>
        <w:rPr>
          <w:bCs/>
          <w:color w:val="002060"/>
          <w:sz w:val="16"/>
          <w:szCs w:val="16"/>
        </w:rPr>
      </w:pPr>
      <w:r w:rsidRPr="00405303">
        <w:rPr>
          <w:bCs/>
          <w:color w:val="002060"/>
          <w:sz w:val="16"/>
          <w:szCs w:val="16"/>
        </w:rPr>
        <w:t xml:space="preserve">Однако тщательно произведенное следствие не установило решительно никаких данных и фактов, сколько-нибудь определенно указывающих на наличие шпионажного покушения. В частности, всякие разговоры о подкопе нужно считать совершеннейшей фантазией. В Ленинграде и его окрестностях на аршин с небольшим ниже уровня земли стоит вода, и понятно, что в такой почве вести подкоп в несколько десятков саженей длины под территорией завода, охраняемой часовыми, совершенно невозможно. </w:t>
      </w:r>
    </w:p>
    <w:p w14:paraId="62C77091" w14:textId="77777777" w:rsidR="004B4E35" w:rsidRPr="00405303" w:rsidRDefault="009E6F82" w:rsidP="00C15251">
      <w:pPr>
        <w:jc w:val="both"/>
        <w:rPr>
          <w:bCs/>
          <w:color w:val="002060"/>
          <w:sz w:val="16"/>
          <w:szCs w:val="16"/>
        </w:rPr>
      </w:pPr>
      <w:r w:rsidRPr="00405303">
        <w:rPr>
          <w:bCs/>
          <w:color w:val="002060"/>
          <w:sz w:val="16"/>
          <w:szCs w:val="16"/>
        </w:rPr>
        <w:t xml:space="preserve">Картина катастрофы, постигшей Охтенский завод, по данным следствия достаточно ясно рисуется в следующем виде. Первый взрыв произошел в здании, где расплавлялись взрывчатые вещества для снаряжения ими фугасных снарядов. Расплавка производилась в аппаратах, имеющих емкость на 5 пудов взрывчатого вещества. Аппараты нагревались перегретым паром. В момент взрыва часть аппаратов, коих было всего 13, загружена была динитробензолом, а другая тротилом с примесью калийной селитры. </w:t>
      </w:r>
    </w:p>
    <w:p w14:paraId="18365EAB" w14:textId="77777777" w:rsidR="004B4E35" w:rsidRPr="00405303" w:rsidRDefault="009E6F82" w:rsidP="00C15251">
      <w:pPr>
        <w:jc w:val="both"/>
        <w:rPr>
          <w:bCs/>
          <w:color w:val="002060"/>
          <w:sz w:val="16"/>
          <w:szCs w:val="16"/>
        </w:rPr>
      </w:pPr>
      <w:r w:rsidRPr="00405303">
        <w:rPr>
          <w:bCs/>
          <w:color w:val="002060"/>
          <w:sz w:val="16"/>
          <w:szCs w:val="16"/>
        </w:rPr>
        <w:t xml:space="preserve">Есть основание предполагать, что взрыв произошел в аппарате, загруженном калийной селитрой. Ближайшей причиной взрыва был перегрев расплавляемого вещества. Следствием выяснено, что завод не принял надлежащих мер к предотвращению возможности подобного перегрева. Хотя на паровой линии и стояли редукционный и предохранительный клапаны, но доступ к ним был открыт для каждого рабочего. Помимо этого, паропровод был устроен таким образом, что пар </w:t>
      </w:r>
      <w:r w:rsidRPr="00405303">
        <w:rPr>
          <w:bCs/>
          <w:color w:val="002060"/>
          <w:sz w:val="16"/>
          <w:szCs w:val="16"/>
        </w:rPr>
        <w:lastRenderedPageBreak/>
        <w:t xml:space="preserve">можно было подавать к плавильным аппаратам и помимо указанных клапанов. Между тем сама смесь тротила с калийной селитрой была достаточно чувствительна к высокой температуре, и раньше бывали случаи небольших вспышек этой смеси. </w:t>
      </w:r>
    </w:p>
    <w:p w14:paraId="78DA807D" w14:textId="77777777" w:rsidR="004B4E35" w:rsidRPr="00405303" w:rsidRDefault="009E6F82" w:rsidP="00C15251">
      <w:pPr>
        <w:jc w:val="both"/>
        <w:rPr>
          <w:bCs/>
          <w:color w:val="002060"/>
          <w:sz w:val="16"/>
          <w:szCs w:val="16"/>
        </w:rPr>
      </w:pPr>
      <w:r w:rsidRPr="00405303">
        <w:rPr>
          <w:bCs/>
          <w:color w:val="002060"/>
          <w:sz w:val="16"/>
          <w:szCs w:val="16"/>
        </w:rPr>
        <w:t xml:space="preserve">Однако взрыв одного или даже двух-трех плавильных аппаратов не мог бы причинить особенно серьезных разрушений в заводе. Можно думать, что все дело ограничилось бы одним, двумя зданиями. Но, к несчастию, рядом с зданием плавки тротила в небольшой деревянной пристройке, а также на открытом воздухе было скоплено весьма большое количество взрывчатых веществ, припасенных для расплавки. Здесь находилось около 900 пудов динитробензола, около 300 пудов чистого тротила и 800 пудов отходов, состоящих из тротила с калийной селитрой. В сумме здесь было собрано около 2000 пудов взрывчатых веществ. </w:t>
      </w:r>
    </w:p>
    <w:p w14:paraId="7180285A" w14:textId="77777777" w:rsidR="004B4E35" w:rsidRPr="00405303" w:rsidRDefault="009E6F82" w:rsidP="00C15251">
      <w:pPr>
        <w:jc w:val="both"/>
        <w:rPr>
          <w:bCs/>
          <w:color w:val="002060"/>
          <w:sz w:val="16"/>
          <w:szCs w:val="16"/>
        </w:rPr>
      </w:pPr>
      <w:r w:rsidRPr="00405303">
        <w:rPr>
          <w:bCs/>
          <w:color w:val="002060"/>
          <w:sz w:val="16"/>
          <w:szCs w:val="16"/>
        </w:rPr>
        <w:t xml:space="preserve">Значительная часть этих взрывчатых веществ находилось в кладовушке, прислоненной к стене здания плавки. Поэтому естественно, что после взрыва внутри здания в плавильном аппарате — последовал взрыв всего двухтысячного запаса взрывчатых веществ, собранного около здания. Этим вторым взрывом и был снесен с лица земли весь завод. </w:t>
      </w:r>
    </w:p>
    <w:p w14:paraId="5C990918" w14:textId="77777777" w:rsidR="004B4E35" w:rsidRPr="00405303" w:rsidRDefault="009E6F82" w:rsidP="00C15251">
      <w:pPr>
        <w:jc w:val="both"/>
        <w:rPr>
          <w:bCs/>
          <w:color w:val="002060"/>
          <w:sz w:val="16"/>
          <w:szCs w:val="16"/>
        </w:rPr>
      </w:pPr>
      <w:r w:rsidRPr="00405303">
        <w:rPr>
          <w:bCs/>
          <w:color w:val="002060"/>
          <w:sz w:val="16"/>
          <w:szCs w:val="16"/>
        </w:rPr>
        <w:t xml:space="preserve">Таким образом, совершенно ясно, что если бы в Охтенской катастрофе и имело место шпионажное покушение, то все-таки главным и основным виновником катастрофы является сам завод, создавший все условия для того, чтобы такое покушение имело наибольший успех. Если бы завод вдумчиво относился к мерам предосторожности и соответствующим образом охранял себя, то никакое покушение не могло бы причинить ему большого вреда. </w:t>
      </w:r>
    </w:p>
    <w:p w14:paraId="75FEB60E" w14:textId="77777777" w:rsidR="004B4E35" w:rsidRPr="00405303" w:rsidRDefault="009E6F82" w:rsidP="00C15251">
      <w:pPr>
        <w:jc w:val="both"/>
        <w:rPr>
          <w:bCs/>
          <w:color w:val="002060"/>
          <w:sz w:val="16"/>
          <w:szCs w:val="16"/>
        </w:rPr>
      </w:pPr>
      <w:r w:rsidRPr="00405303">
        <w:rPr>
          <w:bCs/>
          <w:color w:val="002060"/>
          <w:sz w:val="16"/>
          <w:szCs w:val="16"/>
        </w:rPr>
        <w:t xml:space="preserve">Обстоятельства, которые также весьма содействовали размеру разрушений, произведенных взрывом, — это скученность построек, бессистемная распланировка их и отсутствие оградительных валов при опасных зданиях. Завод при первоначальной постройке (1892 г.) был распланирован с недостаточными интервалами между зданиями. В дальнейшем же постепенно подстраивались новые здания, а с началом войны сразу вновь было выстроено большое число мелких зданий, которые расставлялись во всех свободных промежутках между старыми зданиями, и таким образом интервалы в конце концов сократились до 5-10 сажен. Расширить же соответственно росту завода его территорию было нельзя, так как завод расположен в узкой полосе между рекой и широким оврагом. При этом же большей частью здания были деревянные и лишь у незначительного числа были земляные валы. При такой скученности построек волна газов, брошенная взрывом, не имела перед собой простора и валила все, что попадалось на пути, благо здания были непрочны. </w:t>
      </w:r>
    </w:p>
    <w:p w14:paraId="479B3D35" w14:textId="77777777" w:rsidR="004B4E35" w:rsidRPr="00405303" w:rsidRDefault="009E6F82" w:rsidP="00C15251">
      <w:pPr>
        <w:jc w:val="both"/>
        <w:rPr>
          <w:bCs/>
          <w:color w:val="002060"/>
          <w:sz w:val="16"/>
          <w:szCs w:val="16"/>
        </w:rPr>
      </w:pPr>
      <w:r w:rsidRPr="00405303">
        <w:rPr>
          <w:bCs/>
          <w:color w:val="002060"/>
          <w:sz w:val="16"/>
          <w:szCs w:val="16"/>
        </w:rPr>
        <w:t xml:space="preserve">Распланировка фабричного городка, имевшая место на Охтенском заводе, и использование в качестве строительного материала дерева, конечно, совершенно недопустимы с точки зрения техники безопасности. Не только взрыв, но и пожар мог легко уничтожить такой завод. Как на обратный пример — пример рационального в смысле безопасности устройства завода взрывчатых веществ — можно указать на заводы Самарский (ст. Тоцкая) и Нижегородский (ст. Растяпино). У них все фабричные здания — каменные. Многие из них сложены на цементе. Крыши — железные. Дерево совершенно исключено. Расстояния между зданиями — не менее 25 сажен. Опасные здания окружены земляным валом. Более опасные операции изолированы. </w:t>
      </w:r>
    </w:p>
    <w:p w14:paraId="2987F97D" w14:textId="77777777" w:rsidR="004B4E35" w:rsidRPr="00405303" w:rsidRDefault="009E6F82" w:rsidP="00C15251">
      <w:pPr>
        <w:jc w:val="both"/>
        <w:rPr>
          <w:bCs/>
          <w:color w:val="002060"/>
          <w:sz w:val="16"/>
          <w:szCs w:val="16"/>
        </w:rPr>
      </w:pPr>
      <w:r w:rsidRPr="00405303">
        <w:rPr>
          <w:bCs/>
          <w:color w:val="002060"/>
          <w:sz w:val="16"/>
          <w:szCs w:val="16"/>
        </w:rPr>
        <w:t>Такое устройство завода, требующее увеличенных первоначальных затрат при постройке, а затем несколько повышенных затрат при эксплуатации (большая площадь завода и большие расстояния), тем не менее экономически вполне оправдывает себя. Все случаи взрывов, имевших место на Самарском заводе взрывчатых веществ за время его существования (с 1911 г.), обычно локализировались в пределах одного здания. Энергия взрыва в значительной мере поглощалась прочностью здания, а большой простор между зданиями и земляные валы предохраняли соседние здания от серьезных разрушений (11329).</w:t>
      </w:r>
    </w:p>
    <w:p w14:paraId="607B0514" w14:textId="77777777" w:rsidR="004B4E35" w:rsidRPr="00405303" w:rsidRDefault="004B4E35" w:rsidP="00C15251">
      <w:pPr>
        <w:jc w:val="both"/>
        <w:rPr>
          <w:bCs/>
          <w:i/>
          <w:color w:val="002060"/>
          <w:sz w:val="16"/>
          <w:szCs w:val="16"/>
        </w:rPr>
      </w:pPr>
    </w:p>
    <w:p w14:paraId="73CAB628" w14:textId="12F5E6FB" w:rsidR="00B44654" w:rsidRPr="00405303" w:rsidRDefault="00B44654" w:rsidP="00C15251">
      <w:pPr>
        <w:jc w:val="both"/>
        <w:rPr>
          <w:bCs/>
          <w:color w:val="002060"/>
          <w:sz w:val="16"/>
          <w:szCs w:val="16"/>
          <w:lang w:bidi="ru-RU"/>
        </w:rPr>
      </w:pPr>
      <w:r w:rsidRPr="00405303">
        <w:rPr>
          <w:bCs/>
          <w:color w:val="002060"/>
          <w:sz w:val="16"/>
          <w:szCs w:val="16"/>
        </w:rPr>
        <w:t>14 (27) апреля 1915 г. совещание под председательством Вернандера, сравнив с раз</w:t>
      </w:r>
      <w:r w:rsidRPr="00405303">
        <w:rPr>
          <w:bCs/>
          <w:color w:val="002060"/>
          <w:sz w:val="16"/>
          <w:szCs w:val="16"/>
        </w:rPr>
        <w:softHyphen/>
        <w:t>ных сторон выгодность частного и казенного предприятий, совещание высказалось за казенные заводы. При этом пред</w:t>
      </w:r>
      <w:r w:rsidRPr="00405303">
        <w:rPr>
          <w:bCs/>
          <w:color w:val="002060"/>
          <w:sz w:val="16"/>
          <w:szCs w:val="16"/>
        </w:rPr>
        <w:softHyphen/>
        <w:t>ставитель Государственного контроля напомнил, что не так давно в Думе «возбудил большие прения и едва не послу</w:t>
      </w:r>
      <w:r w:rsidRPr="00405303">
        <w:rPr>
          <w:bCs/>
          <w:color w:val="002060"/>
          <w:sz w:val="16"/>
          <w:szCs w:val="16"/>
        </w:rPr>
        <w:softHyphen/>
        <w:t>жил поводом для запроса правительству заказ морским ми</w:t>
      </w:r>
      <w:r w:rsidRPr="00405303">
        <w:rPr>
          <w:bCs/>
          <w:color w:val="002060"/>
          <w:sz w:val="16"/>
          <w:szCs w:val="16"/>
        </w:rPr>
        <w:softHyphen/>
        <w:t>нистром орудий Царицынскому заводу РАО АЗ». Против «насаждения новой отрасли частной промышленности» вы</w:t>
      </w:r>
      <w:r w:rsidRPr="00405303">
        <w:rPr>
          <w:bCs/>
          <w:color w:val="002060"/>
          <w:sz w:val="16"/>
          <w:szCs w:val="16"/>
        </w:rPr>
        <w:softHyphen/>
        <w:t>сказался и товарищ министра финансов Кузьминский. Со</w:t>
      </w:r>
      <w:r w:rsidRPr="00405303">
        <w:rPr>
          <w:bCs/>
          <w:color w:val="002060"/>
          <w:sz w:val="16"/>
          <w:szCs w:val="16"/>
        </w:rPr>
        <w:softHyphen/>
        <w:t>вещание одобрило строительство четвертого казенного ру</w:t>
      </w:r>
      <w:r w:rsidRPr="00405303">
        <w:rPr>
          <w:bCs/>
          <w:color w:val="002060"/>
          <w:sz w:val="16"/>
          <w:szCs w:val="16"/>
        </w:rPr>
        <w:softHyphen/>
        <w:t>жейного завода стоимостью в 31,2 млн руб. (на 450 тысяч винтовок в год) (В дальнейшем ГАУ решило вместо постройки самостоятельного 4-го завода «произвести эквивалентное расширение старого Тульского завода» {Генерал В.С. Михайлов. С. 106).) и сталелитейного стоимостью в 39 млн руб. По оценке Лукомского, в результате совещания выясни</w:t>
      </w:r>
      <w:r w:rsidRPr="00405303">
        <w:rPr>
          <w:bCs/>
          <w:color w:val="002060"/>
          <w:sz w:val="16"/>
          <w:szCs w:val="16"/>
        </w:rPr>
        <w:softHyphen/>
        <w:t>лось, что «в ближайшем по крайней мере будущем нет воз</w:t>
      </w:r>
      <w:r w:rsidRPr="00405303">
        <w:rPr>
          <w:bCs/>
          <w:color w:val="002060"/>
          <w:sz w:val="16"/>
          <w:szCs w:val="16"/>
        </w:rPr>
        <w:softHyphen/>
        <w:t>можности рассчитывать на благоприятное разрешение во</w:t>
      </w:r>
      <w:r w:rsidRPr="00405303">
        <w:rPr>
          <w:bCs/>
          <w:color w:val="002060"/>
          <w:sz w:val="16"/>
          <w:szCs w:val="16"/>
        </w:rPr>
        <w:softHyphen/>
        <w:t>проса о постройке частного ружейного завода» (23452).</w:t>
      </w:r>
    </w:p>
    <w:p w14:paraId="42BB0F66" w14:textId="77777777" w:rsidR="00B44654" w:rsidRPr="00405303" w:rsidRDefault="00B44654" w:rsidP="00C15251">
      <w:pPr>
        <w:jc w:val="both"/>
        <w:rPr>
          <w:bCs/>
          <w:color w:val="002060"/>
          <w:sz w:val="16"/>
          <w:szCs w:val="16"/>
          <w:lang w:bidi="ru-RU"/>
        </w:rPr>
      </w:pPr>
    </w:p>
    <w:p w14:paraId="1D4A8111" w14:textId="15D25038" w:rsidR="00B44654" w:rsidRPr="00405303" w:rsidRDefault="00B44654"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14 (27) апреля 1915 г. на совещании по вопросу о ружейных заводах сообщалось, что совокупную производительность всех трех заводов намечено довести до 950 тысяч в год, «пу</w:t>
      </w:r>
      <w:r w:rsidRPr="00405303">
        <w:rPr>
          <w:rFonts w:ascii="Times New Roman" w:hAnsi="Times New Roman" w:cs="Times New Roman"/>
          <w:bCs/>
          <w:color w:val="002060"/>
          <w:sz w:val="16"/>
          <w:szCs w:val="16"/>
        </w:rPr>
        <w:softHyphen/>
        <w:t>тем их расширения», к 1 января 1916 г. «Дальнейшее же уве</w:t>
      </w:r>
      <w:r w:rsidRPr="00405303">
        <w:rPr>
          <w:rFonts w:ascii="Times New Roman" w:hAnsi="Times New Roman" w:cs="Times New Roman"/>
          <w:bCs/>
          <w:color w:val="002060"/>
          <w:sz w:val="16"/>
          <w:szCs w:val="16"/>
        </w:rPr>
        <w:softHyphen/>
        <w:t>личение производства винтовок в России желательно до</w:t>
      </w:r>
      <w:r w:rsidRPr="00405303">
        <w:rPr>
          <w:rFonts w:ascii="Times New Roman" w:hAnsi="Times New Roman" w:cs="Times New Roman"/>
          <w:bCs/>
          <w:color w:val="002060"/>
          <w:sz w:val="16"/>
          <w:szCs w:val="16"/>
        </w:rPr>
        <w:softHyphen/>
        <w:t>стигнуть устройством новых заводов». Но Беляев указал на недостаточность такого увеличения: «100 тысяч в месяц это минимум. Ежемесячная убыль людей 300 тысяч, 10 тысяч в день. Чтобы иметь 1/3 вооруженными — получилось 100 ты</w:t>
      </w:r>
      <w:r w:rsidRPr="00405303">
        <w:rPr>
          <w:rFonts w:ascii="Times New Roman" w:hAnsi="Times New Roman" w:cs="Times New Roman"/>
          <w:bCs/>
          <w:color w:val="002060"/>
          <w:sz w:val="16"/>
          <w:szCs w:val="16"/>
        </w:rPr>
        <w:softHyphen/>
        <w:t>сяч». Представитель Министерства финансов В.В. Кузь</w:t>
      </w:r>
      <w:r w:rsidRPr="00405303">
        <w:rPr>
          <w:rFonts w:ascii="Times New Roman" w:hAnsi="Times New Roman" w:cs="Times New Roman"/>
          <w:bCs/>
          <w:color w:val="002060"/>
          <w:sz w:val="16"/>
          <w:szCs w:val="16"/>
        </w:rPr>
        <w:softHyphen/>
        <w:t>минский поинтересовался: «Нельзя ли развить дальше су</w:t>
      </w:r>
      <w:r w:rsidRPr="00405303">
        <w:rPr>
          <w:rFonts w:ascii="Times New Roman" w:hAnsi="Times New Roman" w:cs="Times New Roman"/>
          <w:bCs/>
          <w:color w:val="002060"/>
          <w:sz w:val="16"/>
          <w:szCs w:val="16"/>
        </w:rPr>
        <w:softHyphen/>
        <w:t>ществующие заводы?» Начальник Канцелярии Военного министерства А.С. Лукомский ответил: «Дальнейшее раз</w:t>
      </w:r>
      <w:r w:rsidRPr="00405303">
        <w:rPr>
          <w:rFonts w:ascii="Times New Roman" w:hAnsi="Times New Roman" w:cs="Times New Roman"/>
          <w:bCs/>
          <w:color w:val="002060"/>
          <w:sz w:val="16"/>
          <w:szCs w:val="16"/>
        </w:rPr>
        <w:softHyphen/>
        <w:t>витие граничит с новым заводом». Как пояснил представи</w:t>
      </w:r>
      <w:r w:rsidRPr="00405303">
        <w:rPr>
          <w:rFonts w:ascii="Times New Roman" w:hAnsi="Times New Roman" w:cs="Times New Roman"/>
          <w:bCs/>
          <w:color w:val="002060"/>
          <w:sz w:val="16"/>
          <w:szCs w:val="16"/>
        </w:rPr>
        <w:softHyphen/>
        <w:t>тель ГАУ А.А. Якимович, раньше «предполагалось, [что] казенные заводы [дадут до] 500 тысяч. Были отпущены сред</w:t>
      </w:r>
      <w:r w:rsidRPr="00405303">
        <w:rPr>
          <w:rFonts w:ascii="Times New Roman" w:hAnsi="Times New Roman" w:cs="Times New Roman"/>
          <w:bCs/>
          <w:color w:val="002060"/>
          <w:sz w:val="16"/>
          <w:szCs w:val="16"/>
        </w:rPr>
        <w:softHyphen/>
        <w:t>ства на расширение помещения, но пришлось остаться в тесноте... дальше расширять невозможно (территория, управ</w:t>
      </w:r>
      <w:r w:rsidRPr="00405303">
        <w:rPr>
          <w:rFonts w:ascii="Times New Roman" w:hAnsi="Times New Roman" w:cs="Times New Roman"/>
          <w:bCs/>
          <w:color w:val="002060"/>
          <w:sz w:val="16"/>
          <w:szCs w:val="16"/>
        </w:rPr>
        <w:softHyphen/>
        <w:t>ление)». Совещание признало, что «единственным выходом... является безотлагательная постройка нового казенного ру</w:t>
      </w:r>
      <w:r w:rsidRPr="00405303">
        <w:rPr>
          <w:rFonts w:ascii="Times New Roman" w:hAnsi="Times New Roman" w:cs="Times New Roman"/>
          <w:bCs/>
          <w:color w:val="002060"/>
          <w:sz w:val="16"/>
          <w:szCs w:val="16"/>
        </w:rPr>
        <w:softHyphen/>
        <w:t>жейного завода производительностью не менее 450 тысяч винтовок в год с одновременным устройством нового стале</w:t>
      </w:r>
      <w:r w:rsidRPr="00405303">
        <w:rPr>
          <w:rFonts w:ascii="Times New Roman" w:hAnsi="Times New Roman" w:cs="Times New Roman"/>
          <w:bCs/>
          <w:color w:val="002060"/>
          <w:sz w:val="16"/>
          <w:szCs w:val="16"/>
        </w:rPr>
        <w:softHyphen/>
        <w:t>литейного завода для надлежащих отливок, при общей сто</w:t>
      </w:r>
      <w:r w:rsidRPr="00405303">
        <w:rPr>
          <w:rFonts w:ascii="Times New Roman" w:hAnsi="Times New Roman" w:cs="Times New Roman"/>
          <w:bCs/>
          <w:color w:val="002060"/>
          <w:sz w:val="16"/>
          <w:szCs w:val="16"/>
        </w:rPr>
        <w:softHyphen/>
        <w:t>имости таковых [заводов] в 56 млн руб.» Для трех старых ружейных заводов в США был сделан через фирму «Реминг</w:t>
      </w:r>
      <w:r w:rsidRPr="00405303">
        <w:rPr>
          <w:rFonts w:ascii="Times New Roman" w:hAnsi="Times New Roman" w:cs="Times New Roman"/>
          <w:bCs/>
          <w:color w:val="002060"/>
          <w:sz w:val="16"/>
          <w:szCs w:val="16"/>
        </w:rPr>
        <w:softHyphen/>
        <w:t>тон» заказ на новые станки (еще на 1 млн долларов), изго</w:t>
      </w:r>
      <w:r w:rsidRPr="00405303">
        <w:rPr>
          <w:rFonts w:ascii="Times New Roman" w:hAnsi="Times New Roman" w:cs="Times New Roman"/>
          <w:bCs/>
          <w:color w:val="002060"/>
          <w:sz w:val="16"/>
          <w:szCs w:val="16"/>
        </w:rPr>
        <w:softHyphen/>
        <w:t xml:space="preserve">товление их заканчивалось осенью 1916 г. (РГВИА. Ф. 1. </w:t>
      </w:r>
      <w:r w:rsidRPr="00405303">
        <w:rPr>
          <w:rFonts w:ascii="Times New Roman" w:hAnsi="Times New Roman" w:cs="Times New Roman"/>
          <w:bCs/>
          <w:color w:val="002060"/>
          <w:sz w:val="16"/>
          <w:szCs w:val="16"/>
          <w:lang w:val="en-US" w:bidi="en-US"/>
        </w:rPr>
        <w:t>On</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 xml:space="preserve">1. Д. 78771. Л. 3 об., 5, 11; </w:t>
      </w:r>
      <w:r w:rsidRPr="00405303">
        <w:rPr>
          <w:rFonts w:ascii="Times New Roman" w:hAnsi="Times New Roman" w:cs="Times New Roman"/>
          <w:bCs/>
          <w:color w:val="002060"/>
          <w:sz w:val="16"/>
          <w:szCs w:val="16"/>
          <w:lang w:val="en-US" w:bidi="en-US"/>
        </w:rPr>
        <w:t>On</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 xml:space="preserve">1. Т. 46. Д. 1125. Л. 97 и об.; Там же. Ф. 2000. </w:t>
      </w:r>
      <w:r w:rsidRPr="00405303">
        <w:rPr>
          <w:rFonts w:ascii="Times New Roman" w:hAnsi="Times New Roman" w:cs="Times New Roman"/>
          <w:bCs/>
          <w:color w:val="002060"/>
          <w:sz w:val="16"/>
          <w:szCs w:val="16"/>
          <w:lang w:val="en-US" w:bidi="en-US"/>
        </w:rPr>
        <w:t>On</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1. Д. 5583. Л. 185, 200. Телеграммы А.П. Залюбовского и А.Н. Циглера, 18 и 23.Х.1916).</w:t>
      </w:r>
    </w:p>
    <w:p w14:paraId="4E4627D1" w14:textId="77777777" w:rsidR="00B44654" w:rsidRPr="00405303" w:rsidRDefault="00B44654"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На протяжении 1915 г. из-за границы удалось получить 1 316 152 винтовки, русские заводы изготовили и исправи</w:t>
      </w:r>
      <w:r w:rsidRPr="00405303">
        <w:rPr>
          <w:rFonts w:ascii="Times New Roman" w:hAnsi="Times New Roman" w:cs="Times New Roman"/>
          <w:bCs/>
          <w:color w:val="002060"/>
          <w:sz w:val="16"/>
          <w:szCs w:val="16"/>
        </w:rPr>
        <w:softHyphen/>
        <w:t>ли 854 654 штуки. «Отсюда видно, — писал позднее гене</w:t>
      </w:r>
      <w:r w:rsidRPr="00405303">
        <w:rPr>
          <w:rFonts w:ascii="Times New Roman" w:hAnsi="Times New Roman" w:cs="Times New Roman"/>
          <w:bCs/>
          <w:color w:val="002060"/>
          <w:sz w:val="16"/>
          <w:szCs w:val="16"/>
        </w:rPr>
        <w:softHyphen/>
        <w:t>рал-оружейник А.П. Залюбовский, — что в 1915 г. загра</w:t>
      </w:r>
      <w:r w:rsidRPr="00405303">
        <w:rPr>
          <w:rFonts w:ascii="Times New Roman" w:hAnsi="Times New Roman" w:cs="Times New Roman"/>
          <w:bCs/>
          <w:color w:val="002060"/>
          <w:sz w:val="16"/>
          <w:szCs w:val="16"/>
        </w:rPr>
        <w:softHyphen/>
        <w:t>ничный рынок... сыграл существенную роль», так как 60% поступивших ружей были иностранных образцов (Залюбовский А.П. Снабжение русской армии в Великую войну вин</w:t>
      </w:r>
      <w:r w:rsidRPr="00405303">
        <w:rPr>
          <w:rFonts w:ascii="Times New Roman" w:hAnsi="Times New Roman" w:cs="Times New Roman"/>
          <w:bCs/>
          <w:color w:val="002060"/>
          <w:sz w:val="16"/>
          <w:szCs w:val="16"/>
        </w:rPr>
        <w:softHyphen/>
        <w:t>товками, пулеметами, револьверами и патронами к ним. Белград, 1936. С. 78) (23452).</w:t>
      </w:r>
    </w:p>
    <w:p w14:paraId="74725111" w14:textId="77777777" w:rsidR="00B44654" w:rsidRPr="00405303" w:rsidRDefault="00B44654" w:rsidP="00C15251">
      <w:pPr>
        <w:pStyle w:val="af6"/>
        <w:spacing w:line="240" w:lineRule="auto"/>
        <w:jc w:val="both"/>
        <w:rPr>
          <w:rFonts w:ascii="Times New Roman" w:hAnsi="Times New Roman" w:cs="Times New Roman"/>
          <w:bCs/>
          <w:color w:val="002060"/>
          <w:sz w:val="16"/>
          <w:szCs w:val="16"/>
        </w:rPr>
      </w:pPr>
    </w:p>
    <w:p w14:paraId="11F3C847" w14:textId="3E7D8C6B" w:rsidR="00652CA7" w:rsidRPr="00405303" w:rsidRDefault="00652CA7" w:rsidP="00C15251">
      <w:pPr>
        <w:jc w:val="both"/>
        <w:rPr>
          <w:bCs/>
          <w:i/>
          <w:color w:val="002060"/>
          <w:sz w:val="16"/>
          <w:szCs w:val="16"/>
        </w:rPr>
      </w:pPr>
      <w:r w:rsidRPr="00405303">
        <w:rPr>
          <w:bCs/>
          <w:i/>
          <w:color w:val="002060"/>
          <w:sz w:val="16"/>
          <w:szCs w:val="16"/>
        </w:rPr>
        <w:t>Морская авиация:</w:t>
      </w:r>
    </w:p>
    <w:p w14:paraId="37BC2703" w14:textId="77777777" w:rsidR="00652CA7" w:rsidRPr="00405303" w:rsidRDefault="00652CA7" w:rsidP="00C15251">
      <w:pPr>
        <w:jc w:val="both"/>
        <w:rPr>
          <w:bCs/>
          <w:i/>
          <w:color w:val="002060"/>
          <w:sz w:val="16"/>
          <w:szCs w:val="16"/>
        </w:rPr>
      </w:pPr>
    </w:p>
    <w:p w14:paraId="510CC622" w14:textId="042A322D" w:rsidR="00652CA7" w:rsidRPr="00405303" w:rsidRDefault="00652CA7" w:rsidP="00C15251">
      <w:pPr>
        <w:jc w:val="both"/>
        <w:rPr>
          <w:bCs/>
          <w:color w:val="002060"/>
          <w:sz w:val="16"/>
          <w:szCs w:val="16"/>
        </w:rPr>
      </w:pPr>
      <w:r w:rsidRPr="00405303">
        <w:rPr>
          <w:bCs/>
          <w:color w:val="002060"/>
          <w:sz w:val="16"/>
          <w:szCs w:val="16"/>
          <w:lang w:bidi="en-US"/>
        </w:rPr>
        <w:t xml:space="preserve">14 (27) апреля 1915 г. немецкая 10-я армия начала наступление на Литву и Курляндию на Северо-Западном фронте России. В течение трех дней была достигнута железнодорожная линия Либава-Двинск и взят Шавли. 29-го немецкие военные корабли обстреляли порт Либавы, захваченный 7 мая. Немцы основали </w:t>
      </w:r>
      <w:r w:rsidRPr="00405303">
        <w:rPr>
          <w:bCs/>
          <w:color w:val="002060"/>
          <w:sz w:val="16"/>
          <w:szCs w:val="16"/>
          <w:lang w:val="en-US" w:bidi="en-US"/>
        </w:rPr>
        <w:t>Seeflugstation</w:t>
      </w:r>
      <w:r w:rsidRPr="00405303">
        <w:rPr>
          <w:bCs/>
          <w:color w:val="002060"/>
          <w:sz w:val="16"/>
          <w:szCs w:val="16"/>
          <w:lang w:bidi="en-US"/>
        </w:rPr>
        <w:t xml:space="preserve"> </w:t>
      </w:r>
      <w:r w:rsidRPr="00405303">
        <w:rPr>
          <w:bCs/>
          <w:color w:val="002060"/>
          <w:sz w:val="16"/>
          <w:szCs w:val="16"/>
          <w:lang w:val="en-US" w:bidi="en-US"/>
        </w:rPr>
        <w:t>Libau</w:t>
      </w:r>
      <w:r w:rsidRPr="00405303">
        <w:rPr>
          <w:bCs/>
          <w:color w:val="002060"/>
          <w:sz w:val="16"/>
          <w:szCs w:val="16"/>
          <w:lang w:bidi="en-US"/>
        </w:rPr>
        <w:t>. Для противодействия немецкой морской авиации на Балтике летом 1915 г. русские военно-морские аэродромы были созданы на острове Эзель в Цереле, а позднее осенью в Аренсбурге (23525).</w:t>
      </w:r>
    </w:p>
    <w:p w14:paraId="7219DA32" w14:textId="77777777" w:rsidR="00652CA7" w:rsidRPr="00405303" w:rsidRDefault="00652CA7" w:rsidP="00C15251">
      <w:pPr>
        <w:jc w:val="both"/>
        <w:rPr>
          <w:bCs/>
          <w:color w:val="002060"/>
          <w:sz w:val="16"/>
          <w:szCs w:val="16"/>
          <w:lang w:bidi="en-US"/>
        </w:rPr>
      </w:pPr>
    </w:p>
    <w:p w14:paraId="6A7EB3D8" w14:textId="5057148C"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0433959D" w14:textId="77777777" w:rsidR="00F66C21" w:rsidRPr="00405303" w:rsidRDefault="00F66C21" w:rsidP="00C15251">
      <w:pPr>
        <w:jc w:val="both"/>
        <w:rPr>
          <w:bCs/>
          <w:color w:val="002060"/>
          <w:sz w:val="16"/>
          <w:szCs w:val="16"/>
        </w:rPr>
      </w:pPr>
    </w:p>
    <w:p w14:paraId="67C4D0DB" w14:textId="3D782263" w:rsidR="004B4E35" w:rsidRPr="00405303" w:rsidRDefault="00F66C21" w:rsidP="00C15251">
      <w:pPr>
        <w:jc w:val="both"/>
        <w:rPr>
          <w:bCs/>
          <w:color w:val="002060"/>
          <w:sz w:val="16"/>
          <w:szCs w:val="16"/>
        </w:rPr>
      </w:pPr>
      <w:r w:rsidRPr="00405303">
        <w:rPr>
          <w:bCs/>
          <w:color w:val="002060"/>
          <w:sz w:val="16"/>
          <w:szCs w:val="16"/>
        </w:rPr>
        <w:t>К</w:t>
      </w:r>
      <w:r w:rsidR="009E6F82" w:rsidRPr="00405303">
        <w:rPr>
          <w:bCs/>
          <w:color w:val="002060"/>
          <w:sz w:val="16"/>
          <w:szCs w:val="16"/>
        </w:rPr>
        <w:t xml:space="preserve"> 15 (28) апреля 1915 г. </w:t>
      </w:r>
      <w:r w:rsidRPr="00405303">
        <w:rPr>
          <w:bCs/>
          <w:color w:val="002060"/>
          <w:sz w:val="16"/>
          <w:szCs w:val="16"/>
        </w:rPr>
        <w:t>в соответствии с письмом от 12 сентября 1914 выражалась желательность начала постройки прототипа, но при ведении всех работ за счет изготовителя и при ус</w:t>
      </w:r>
      <w:r w:rsidRPr="00405303">
        <w:rPr>
          <w:bCs/>
          <w:color w:val="002060"/>
          <w:sz w:val="16"/>
          <w:szCs w:val="16"/>
        </w:rPr>
        <w:softHyphen/>
        <w:t xml:space="preserve">ловии их завершения к этой дате. </w:t>
      </w:r>
      <w:r w:rsidR="009E6F82" w:rsidRPr="00405303">
        <w:rPr>
          <w:bCs/>
          <w:color w:val="002060"/>
          <w:sz w:val="16"/>
          <w:szCs w:val="16"/>
        </w:rPr>
        <w:t>Технические требования предусматривали наличие экипажа из 5 че</w:t>
      </w:r>
      <w:r w:rsidR="009E6F82" w:rsidRPr="00405303">
        <w:rPr>
          <w:bCs/>
          <w:color w:val="002060"/>
          <w:sz w:val="16"/>
          <w:szCs w:val="16"/>
        </w:rPr>
        <w:softHyphen/>
        <w:t>ловек и дополнительного груза в 150 кг, достижение скорости около 100 км/ч (но не менее 90 км/ч), ско- я.м. Гаккель роподъсмности 1000 м за 25 минут и, наконец, 10-часовой продолжительности полета. В случае необходимости аппарат должен был нести ра</w:t>
      </w:r>
      <w:r w:rsidR="009E6F82" w:rsidRPr="00405303">
        <w:rPr>
          <w:bCs/>
          <w:color w:val="002060"/>
          <w:sz w:val="16"/>
          <w:szCs w:val="16"/>
        </w:rPr>
        <w:softHyphen/>
        <w:t>диостанцию, приборы бомбометания, пулемет или легкое орудие. Во время сдаточных ис</w:t>
      </w:r>
      <w:r w:rsidR="009E6F82" w:rsidRPr="00405303">
        <w:rPr>
          <w:bCs/>
          <w:color w:val="002060"/>
          <w:sz w:val="16"/>
          <w:szCs w:val="16"/>
        </w:rPr>
        <w:softHyphen/>
        <w:t>пытаний от него требовалось, во-первых, выполнить двухчасовой полет, в ходе которого пилоты сменяли бы один другого, затем спланировать с 500 м и сесть с выключенными моторами и, в-третьих, самостоятельно взлететь, набрать высоту 300 м, остановить один из двигателей и держаться на втором не менее 6 минут. В соответствии с общей практикой, Морское ведомство назначало офицера, наблюдавшего за ходом сборки (2843).</w:t>
      </w:r>
    </w:p>
    <w:p w14:paraId="048D607E" w14:textId="77777777" w:rsidR="004B4E35" w:rsidRPr="00405303" w:rsidRDefault="004B4E35" w:rsidP="00C15251">
      <w:pPr>
        <w:jc w:val="both"/>
        <w:rPr>
          <w:bCs/>
          <w:color w:val="002060"/>
          <w:sz w:val="16"/>
          <w:szCs w:val="16"/>
        </w:rPr>
      </w:pPr>
    </w:p>
    <w:p w14:paraId="3EBB69B6" w14:textId="17CB93F2" w:rsidR="004B4E35" w:rsidRPr="00405303" w:rsidRDefault="009E6F82" w:rsidP="00C15251">
      <w:pPr>
        <w:jc w:val="both"/>
        <w:rPr>
          <w:bCs/>
          <w:color w:val="002060"/>
          <w:sz w:val="16"/>
          <w:szCs w:val="16"/>
        </w:rPr>
      </w:pPr>
      <w:r w:rsidRPr="00405303">
        <w:rPr>
          <w:bCs/>
          <w:color w:val="002060"/>
          <w:sz w:val="16"/>
          <w:szCs w:val="16"/>
        </w:rPr>
        <w:t xml:space="preserve">15 (28) апреля 1915 </w:t>
      </w:r>
      <w:r w:rsidR="00F66C21" w:rsidRPr="00405303">
        <w:rPr>
          <w:bCs/>
          <w:color w:val="002060"/>
          <w:sz w:val="16"/>
          <w:szCs w:val="16"/>
        </w:rPr>
        <w:t xml:space="preserve">ш. </w:t>
      </w:r>
      <w:r w:rsidRPr="00405303">
        <w:rPr>
          <w:bCs/>
          <w:color w:val="002060"/>
          <w:sz w:val="16"/>
          <w:szCs w:val="16"/>
        </w:rPr>
        <w:t>два поплавковых аппарата без моторов, но с запасными комплектами колесного шас</w:t>
      </w:r>
      <w:r w:rsidRPr="00405303">
        <w:rPr>
          <w:bCs/>
          <w:color w:val="002060"/>
          <w:sz w:val="16"/>
          <w:szCs w:val="16"/>
        </w:rPr>
        <w:softHyphen/>
        <w:t xml:space="preserve">си и запасными частями и поплавками, должны были быть готовы на заводе Лебедева, где их сборка шла еще с февраля. Во время сдаточных испытаний каждому из них предстояло выполнить 30-минутный полет с подъемом </w:t>
      </w:r>
      <w:r w:rsidRPr="00405303">
        <w:rPr>
          <w:bCs/>
          <w:color w:val="002060"/>
          <w:sz w:val="16"/>
          <w:szCs w:val="16"/>
        </w:rPr>
        <w:lastRenderedPageBreak/>
        <w:t xml:space="preserve">на высоту 500 м за 12 минут, имея </w:t>
      </w:r>
      <w:proofErr w:type="gramStart"/>
      <w:r w:rsidRPr="00405303">
        <w:rPr>
          <w:bCs/>
          <w:color w:val="002060"/>
          <w:sz w:val="16"/>
          <w:szCs w:val="16"/>
        </w:rPr>
        <w:t>при том</w:t>
      </w:r>
      <w:proofErr w:type="gramEnd"/>
      <w:r w:rsidRPr="00405303">
        <w:rPr>
          <w:bCs/>
          <w:color w:val="002060"/>
          <w:sz w:val="16"/>
          <w:szCs w:val="16"/>
        </w:rPr>
        <w:t xml:space="preserve"> запас топлива на 6 часов. Общая стоимость одного аппарата со всеми принадлежностями исчислялась в 26.070 руб. Дело, однако, застопорилось: двигатели "Санбим" находились в пути и 16 мая представители заказчика решили было затребовать в столицу 2 мотора Кертисса. Но и компания не выдержала сроков и 30 мая ее руководство заявило, что самолеты не могут быть предъявлены ранее, чем через месяц, т.к. необходимо внести некоторые из</w:t>
      </w:r>
      <w:r w:rsidRPr="00405303">
        <w:rPr>
          <w:bCs/>
          <w:color w:val="002060"/>
          <w:sz w:val="16"/>
          <w:szCs w:val="16"/>
        </w:rPr>
        <w:softHyphen/>
        <w:t>менения в конструкцию фюзеляжа и шасси. В объяснительном письме от 27 мая В.А. Ле</w:t>
      </w:r>
      <w:r w:rsidRPr="00405303">
        <w:rPr>
          <w:bCs/>
          <w:color w:val="002060"/>
          <w:sz w:val="16"/>
          <w:szCs w:val="16"/>
        </w:rPr>
        <w:softHyphen/>
        <w:t>бедев впервые назвал эти "Альбатросы" именем "Лебедь Морской" (ЛМ) (2843).</w:t>
      </w:r>
    </w:p>
    <w:p w14:paraId="36D33DD7" w14:textId="77777777" w:rsidR="004B4E35" w:rsidRPr="00405303" w:rsidRDefault="004B4E35" w:rsidP="00C15251">
      <w:pPr>
        <w:jc w:val="both"/>
        <w:rPr>
          <w:bCs/>
          <w:color w:val="002060"/>
          <w:sz w:val="16"/>
          <w:szCs w:val="16"/>
        </w:rPr>
      </w:pPr>
    </w:p>
    <w:p w14:paraId="60F828F6" w14:textId="77777777" w:rsidR="00854DFF" w:rsidRPr="00405303" w:rsidRDefault="00854DFF" w:rsidP="00C15251">
      <w:pPr>
        <w:jc w:val="both"/>
        <w:rPr>
          <w:bCs/>
          <w:i/>
          <w:color w:val="002060"/>
          <w:sz w:val="16"/>
          <w:szCs w:val="16"/>
        </w:rPr>
      </w:pPr>
      <w:r w:rsidRPr="00405303">
        <w:rPr>
          <w:bCs/>
          <w:i/>
          <w:color w:val="002060"/>
          <w:sz w:val="16"/>
          <w:szCs w:val="16"/>
        </w:rPr>
        <w:t>Другие оборонные отрасли:</w:t>
      </w:r>
    </w:p>
    <w:p w14:paraId="2B4846A0" w14:textId="77777777" w:rsidR="00854DFF" w:rsidRPr="00405303" w:rsidRDefault="00854DFF" w:rsidP="00C15251">
      <w:pPr>
        <w:jc w:val="both"/>
        <w:rPr>
          <w:bCs/>
          <w:i/>
          <w:color w:val="002060"/>
          <w:sz w:val="16"/>
          <w:szCs w:val="16"/>
        </w:rPr>
      </w:pPr>
    </w:p>
    <w:p w14:paraId="0ECA3920" w14:textId="12A11A47" w:rsidR="00854DFF" w:rsidRPr="00405303" w:rsidRDefault="00854DFF" w:rsidP="00C15251">
      <w:pPr>
        <w:jc w:val="both"/>
        <w:rPr>
          <w:bCs/>
          <w:color w:val="002060"/>
          <w:sz w:val="16"/>
          <w:szCs w:val="16"/>
        </w:rPr>
      </w:pPr>
      <w:r w:rsidRPr="00405303">
        <w:rPr>
          <w:bCs/>
          <w:color w:val="002060"/>
          <w:sz w:val="16"/>
          <w:szCs w:val="16"/>
        </w:rPr>
        <w:t xml:space="preserve">15 </w:t>
      </w:r>
      <w:r w:rsidR="00F66C21" w:rsidRPr="00405303">
        <w:rPr>
          <w:bCs/>
          <w:color w:val="002060"/>
          <w:sz w:val="16"/>
          <w:szCs w:val="16"/>
        </w:rPr>
        <w:t xml:space="preserve">(28) </w:t>
      </w:r>
      <w:r w:rsidRPr="00405303">
        <w:rPr>
          <w:bCs/>
          <w:color w:val="002060"/>
          <w:sz w:val="16"/>
          <w:szCs w:val="16"/>
        </w:rPr>
        <w:t>апреля 1915 г. ГВТУ внесло в Военный совет представление за №1659/1838, в котором предписывалось приобретение еще 65 тракторов (18380).</w:t>
      </w:r>
    </w:p>
    <w:p w14:paraId="7EFE41A9" w14:textId="77777777" w:rsidR="00854DFF" w:rsidRPr="00405303" w:rsidRDefault="00854DFF" w:rsidP="00C15251">
      <w:pPr>
        <w:jc w:val="both"/>
        <w:rPr>
          <w:bCs/>
          <w:color w:val="002060"/>
          <w:sz w:val="16"/>
          <w:szCs w:val="16"/>
        </w:rPr>
      </w:pPr>
    </w:p>
    <w:p w14:paraId="7B29E3B5"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11118593" w14:textId="77777777" w:rsidR="004B4E35" w:rsidRPr="00405303" w:rsidRDefault="004B4E35" w:rsidP="00C15251">
      <w:pPr>
        <w:jc w:val="both"/>
        <w:rPr>
          <w:bCs/>
          <w:i/>
          <w:color w:val="002060"/>
          <w:sz w:val="16"/>
          <w:szCs w:val="16"/>
        </w:rPr>
      </w:pPr>
    </w:p>
    <w:p w14:paraId="683E24C1" w14:textId="5DCC5F0A" w:rsidR="00854DFF" w:rsidRPr="00405303" w:rsidRDefault="00854DFF" w:rsidP="00C15251">
      <w:pPr>
        <w:jc w:val="both"/>
        <w:rPr>
          <w:bCs/>
          <w:color w:val="002060"/>
          <w:sz w:val="16"/>
          <w:szCs w:val="16"/>
        </w:rPr>
      </w:pPr>
      <w:r w:rsidRPr="00405303">
        <w:rPr>
          <w:bCs/>
          <w:color w:val="002060"/>
          <w:sz w:val="16"/>
          <w:szCs w:val="16"/>
        </w:rPr>
        <w:t xml:space="preserve">15 </w:t>
      </w:r>
      <w:r w:rsidR="00F66C21" w:rsidRPr="00405303">
        <w:rPr>
          <w:bCs/>
          <w:color w:val="002060"/>
          <w:sz w:val="16"/>
          <w:szCs w:val="16"/>
        </w:rPr>
        <w:t xml:space="preserve">(28) </w:t>
      </w:r>
      <w:r w:rsidRPr="00405303">
        <w:rPr>
          <w:bCs/>
          <w:color w:val="002060"/>
          <w:sz w:val="16"/>
          <w:szCs w:val="16"/>
        </w:rPr>
        <w:t>апреля 1915 г. у Заведующего авиацией состоялось совещание рассматривающее необходимость усиления надзора за деятельностью СОША и предложении о подчинении ее начальнику ГВАШ, но постановившее СОША пока не переподчинять, однако расширить подготовку летчиков из нижних чинов и ввести должность наблюдающего за авиашколами. Зимой 1914 – 1915 г. в Гатчинской ВАШ пришлось вновь формировать обучающий состав, так как ее бывшие инструкторы в это время вели боевую работу в Эскадре воздушных кораблей. На должности обучающих офицеров теперь стали назначаться летчики с боевым опытом. Важным вкладом в разработку методики обучения летчиков стали труды летчиков-фронтовиков и инструкторов. Большой популярностью в авиашколах пользовались книги Е.В. Руднева «Аэроплан и его боевое значение», «Памятка летчика» и «Практика полетов на аэропланах», изданные в 1912 – 1915 гг. Выполняя указания Ставки о подготовке летчиков из нижних чинов, СОША открыла в начале 1915 г. в Симферополе отделение для обучения летчиков-нижних чинов, а в мае того же года аналогичное отделение было открыто и при Гатчинской авиашколе на Корпусном аэродроме (19566).</w:t>
      </w:r>
    </w:p>
    <w:p w14:paraId="3314DD7A" w14:textId="77777777" w:rsidR="00854DFF" w:rsidRPr="00405303" w:rsidRDefault="00854DFF" w:rsidP="00C15251">
      <w:pPr>
        <w:jc w:val="both"/>
        <w:rPr>
          <w:bCs/>
          <w:color w:val="002060"/>
          <w:sz w:val="16"/>
          <w:szCs w:val="16"/>
        </w:rPr>
      </w:pPr>
    </w:p>
    <w:p w14:paraId="4281513C" w14:textId="6D1FCC22"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15 (28), 17 (30), 19, 23 и 25 апреля 1915 </w:t>
      </w:r>
      <w:r w:rsidR="00F66C21" w:rsidRPr="00405303">
        <w:rPr>
          <w:bCs/>
          <w:i w:val="0"/>
          <w:color w:val="002060"/>
          <w:spacing w:val="0"/>
          <w:kern w:val="0"/>
          <w:position w:val="0"/>
          <w:sz w:val="16"/>
          <w:szCs w:val="16"/>
        </w:rPr>
        <w:t xml:space="preserve">летчикам 11-го корпусного авиаотряда (КАО), которые </w:t>
      </w:r>
      <w:r w:rsidRPr="00405303">
        <w:rPr>
          <w:bCs/>
          <w:i w:val="0"/>
          <w:color w:val="002060"/>
          <w:spacing w:val="0"/>
          <w:kern w:val="0"/>
          <w:position w:val="0"/>
          <w:sz w:val="16"/>
          <w:szCs w:val="16"/>
        </w:rPr>
        <w:t>обследовали район Горлица-Биеч</w:t>
      </w:r>
      <w:r w:rsidR="00F66C21" w:rsidRPr="00405303">
        <w:rPr>
          <w:bCs/>
          <w:i w:val="0"/>
          <w:color w:val="002060"/>
          <w:spacing w:val="0"/>
          <w:kern w:val="0"/>
          <w:position w:val="0"/>
          <w:sz w:val="16"/>
          <w:szCs w:val="16"/>
        </w:rPr>
        <w:t>, удалось добыть особо ценные сведения</w:t>
      </w:r>
      <w:r w:rsidRPr="00405303">
        <w:rPr>
          <w:bCs/>
          <w:i w:val="0"/>
          <w:color w:val="002060"/>
          <w:spacing w:val="0"/>
          <w:kern w:val="0"/>
          <w:position w:val="0"/>
          <w:sz w:val="16"/>
          <w:szCs w:val="16"/>
        </w:rPr>
        <w:t>. Используя полученные данные, командование 3-й армии осуществило ряд превентивных мероприятий, снизивших темпы наступления противника. И хотя русские войска были оттеснены из Галиции, но окружить и разгромить их не удалось (11278).</w:t>
      </w:r>
    </w:p>
    <w:p w14:paraId="7616424F" w14:textId="77777777" w:rsidR="004B4E35" w:rsidRPr="00405303" w:rsidRDefault="004B4E35" w:rsidP="00C15251">
      <w:pPr>
        <w:pStyle w:val="a3"/>
        <w:jc w:val="both"/>
        <w:rPr>
          <w:bCs/>
          <w:i w:val="0"/>
          <w:color w:val="002060"/>
          <w:spacing w:val="0"/>
          <w:kern w:val="0"/>
          <w:position w:val="0"/>
          <w:sz w:val="16"/>
          <w:szCs w:val="16"/>
        </w:rPr>
      </w:pPr>
    </w:p>
    <w:p w14:paraId="6CC362D8" w14:textId="77777777" w:rsidR="0020648C" w:rsidRPr="00405303" w:rsidRDefault="0020648C" w:rsidP="0020648C">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 xml:space="preserve">15-16 (28–29) апреля 1915 г. бомбардировке с воздуха подвергся ряд польских городов. В районе г. Ясло восемь неприятельских самолетов сбросили 10 бомб (без существенного вреда). Другим объектом нападения стал г. Плонск. В результате прямого попадания авиабомбы в синагогу было убито и ранено около 50 человек из числа мирных жителей (25135). </w:t>
      </w:r>
    </w:p>
    <w:p w14:paraId="1EB3DC80" w14:textId="77777777" w:rsidR="0020648C" w:rsidRPr="00405303" w:rsidRDefault="0020648C" w:rsidP="0020648C">
      <w:pPr>
        <w:jc w:val="both"/>
        <w:rPr>
          <w:color w:val="0070C0"/>
          <w:sz w:val="16"/>
          <w:szCs w:val="16"/>
        </w:rPr>
      </w:pPr>
    </w:p>
    <w:p w14:paraId="751EE0DB" w14:textId="77777777" w:rsidR="0020648C" w:rsidRPr="00405303" w:rsidRDefault="0020648C" w:rsidP="0020648C">
      <w:pPr>
        <w:jc w:val="both"/>
        <w:rPr>
          <w:color w:val="0070C0"/>
          <w:sz w:val="16"/>
          <w:szCs w:val="16"/>
        </w:rPr>
      </w:pPr>
      <w:r w:rsidRPr="00405303">
        <w:rPr>
          <w:rStyle w:val="aa"/>
          <w:rFonts w:ascii="Times New Roman" w:hAnsi="Times New Roman"/>
          <w:color w:val="0070C0"/>
          <w:spacing w:val="0"/>
          <w:sz w:val="16"/>
          <w:szCs w:val="16"/>
        </w:rPr>
        <w:t>15 (28) апреля 1915 г. приказ Верховного главнокомандующего (ВГК) №277) нештатные батареи Гатчинского участка Петроградского укрепрайона, объединились в «Отдельную батарею для воздушной артиллерийской обороны Императорской резиденции в Царском Селе» на правах гвардейской артиллерии. По штату она соответствовала артиллерийскому дивизиону, ознаменовав собой начало постепенного перевода зенитной артиллерии на дивизионную основу. Помимо стационарных подразделений в состав Отдельной батареи вошли автомобильная полубатарея (4 орудия) и отдельная осветительная команда (5 прожекторов) для обеспечения ведения зенитной стрельбы в ночное время. При этом полубатарея решала специфические задачи по сопровождению императора Николая II в его личных поездках за пределы Императорской резиденции, включая периодические выезды на фронт.</w:t>
      </w:r>
    </w:p>
    <w:p w14:paraId="3CA520E7" w14:textId="77777777" w:rsidR="0020648C" w:rsidRPr="00405303" w:rsidRDefault="0020648C" w:rsidP="0020648C">
      <w:pPr>
        <w:jc w:val="both"/>
        <w:rPr>
          <w:color w:val="0070C0"/>
          <w:sz w:val="16"/>
          <w:szCs w:val="16"/>
        </w:rPr>
      </w:pPr>
      <w:r w:rsidRPr="00405303">
        <w:rPr>
          <w:rStyle w:val="aa"/>
          <w:rFonts w:ascii="Times New Roman" w:hAnsi="Times New Roman"/>
          <w:color w:val="0070C0"/>
          <w:spacing w:val="0"/>
          <w:sz w:val="16"/>
          <w:szCs w:val="16"/>
        </w:rPr>
        <w:t>Создание аналогичных подразделений рассматривалось и в интересах зенитно</w:t>
      </w:r>
      <w:r w:rsidRPr="00405303">
        <w:rPr>
          <w:rStyle w:val="aa"/>
          <w:rFonts w:ascii="Times New Roman" w:hAnsi="Times New Roman"/>
          <w:color w:val="0070C0"/>
          <w:spacing w:val="0"/>
          <w:sz w:val="16"/>
          <w:szCs w:val="16"/>
        </w:rPr>
        <w:softHyphen/>
        <w:t>артиллерийской обороны столицы. В этой связи штаб ВоздО подготовил ходатайство на имя великого князя Сергея Михайловича о необходимости формирования 4-орудийной автомобильной зенитной батареи по штату уже имевшейся на фронте отдельной автомобильной батареи для стрельбы по воздушному флоту (командир - капитан В.В. Тарновский). Но военное ведомство, по причине отсутствия требуемого вооружения (орудий обр. 1914 г.) и материальной части к ним, отложило решение указанной проблемы на более поздний срок. В результате дальнейшее совершенствование организации столичной воздушной обороны шло за счет создания новых стационарных зенитных батарей и привлечения к решаемым задачам пулеметных команд (25166).</w:t>
      </w:r>
    </w:p>
    <w:p w14:paraId="25EC14C3" w14:textId="77777777" w:rsidR="0020648C" w:rsidRPr="00405303" w:rsidRDefault="0020648C" w:rsidP="0020648C">
      <w:pPr>
        <w:jc w:val="both"/>
        <w:rPr>
          <w:color w:val="0070C0"/>
          <w:sz w:val="16"/>
          <w:szCs w:val="16"/>
        </w:rPr>
      </w:pPr>
    </w:p>
    <w:p w14:paraId="5A5A145E"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 и воздухоплавание Германии:</w:t>
      </w:r>
    </w:p>
    <w:p w14:paraId="4CCC4239" w14:textId="77777777" w:rsidR="004B4E35" w:rsidRPr="00405303" w:rsidRDefault="004B4E35" w:rsidP="00C15251">
      <w:pPr>
        <w:pStyle w:val="a3"/>
        <w:jc w:val="both"/>
        <w:rPr>
          <w:bCs/>
          <w:color w:val="002060"/>
          <w:spacing w:val="0"/>
          <w:kern w:val="0"/>
          <w:position w:val="0"/>
          <w:sz w:val="16"/>
          <w:szCs w:val="16"/>
        </w:rPr>
      </w:pPr>
    </w:p>
    <w:p w14:paraId="53156A02" w14:textId="1DDAAC38" w:rsidR="004B4E35" w:rsidRPr="00405303" w:rsidRDefault="009E6F82" w:rsidP="00C15251">
      <w:pPr>
        <w:jc w:val="both"/>
        <w:rPr>
          <w:bCs/>
          <w:color w:val="002060"/>
          <w:sz w:val="16"/>
          <w:szCs w:val="16"/>
        </w:rPr>
      </w:pPr>
      <w:r w:rsidRPr="00405303">
        <w:rPr>
          <w:bCs/>
          <w:color w:val="002060"/>
          <w:sz w:val="16"/>
          <w:szCs w:val="16"/>
        </w:rPr>
        <w:t xml:space="preserve">15 (28) апреля 1915 </w:t>
      </w:r>
      <w:r w:rsidR="00F66C21" w:rsidRPr="00405303">
        <w:rPr>
          <w:bCs/>
          <w:color w:val="002060"/>
          <w:sz w:val="16"/>
          <w:szCs w:val="16"/>
        </w:rPr>
        <w:t>через</w:t>
      </w:r>
      <w:r w:rsidRPr="00405303">
        <w:rPr>
          <w:bCs/>
          <w:color w:val="002060"/>
          <w:sz w:val="16"/>
          <w:szCs w:val="16"/>
        </w:rPr>
        <w:t xml:space="preserve"> десять дней с того момента, как был захвачен немцами самолет Гарро, авиаконструктор Фоккер, которому предоставили для изучения трофейный аэроплан, предложил свое устройство для синхронизации огня пулемета с вращением пропеллера. Он предложил механизм, задерживающий выстрел в момент прохождения ствола лопастью винта*. Это приспособление вскорости надолго укрепит превосходство германской авиации и вынудит французских конструкторов совершенствовать маневренные качества своих машин. Результатом этого соревнования станет первый в истории специальный самолет-истребитель биплан "Ньюпор Х1-Бебе" (11999).</w:t>
      </w:r>
    </w:p>
    <w:p w14:paraId="7790BEBE" w14:textId="77777777" w:rsidR="004B4E35" w:rsidRPr="00405303" w:rsidRDefault="004B4E35" w:rsidP="00C15251">
      <w:pPr>
        <w:jc w:val="both"/>
        <w:rPr>
          <w:bCs/>
          <w:color w:val="002060"/>
          <w:sz w:val="16"/>
          <w:szCs w:val="16"/>
        </w:rPr>
      </w:pPr>
    </w:p>
    <w:p w14:paraId="3B774A31" w14:textId="77777777" w:rsidR="00854DFF" w:rsidRPr="00405303" w:rsidRDefault="00854DFF" w:rsidP="00C15251">
      <w:pPr>
        <w:jc w:val="both"/>
        <w:rPr>
          <w:bCs/>
          <w:color w:val="002060"/>
          <w:sz w:val="16"/>
          <w:szCs w:val="16"/>
        </w:rPr>
      </w:pPr>
      <w:r w:rsidRPr="00405303">
        <w:rPr>
          <w:bCs/>
          <w:color w:val="002060"/>
          <w:sz w:val="16"/>
          <w:szCs w:val="16"/>
        </w:rPr>
        <w:t>15 (28) апреля в 1915 году Энтони Фоккер предложил немецким ВВС устройство, решающее ту же задачу, что и французские "отсекатели", но лишенное их недостатков. Это устройство, названное "синхронизатором", широко применялось на истребителях всех стран, вплоть до появления реактивной авиации. Синхронизатор Фоккера посредством механической передачи импульса от вала двигателя блокировал затвор пулемета в момент прохождения лопасти винта мимо дульного среза оружия. Справедливости ради надо сказать, что Фоккер создал свой синхронизатор не на голом месте. Еще в 1913 году русский инженер Поплавко разработал систему синхронизации работы пулемета и авиадвигателя, но до постройки дело не дошло. На следующий год с подобной идеей выступил немецкий авиаконструктор Шнейдер, однако, не получив поддержки военных, взялся за другую работу. Наконец, в декабре 1914-го на той самой фирме Моран, которая чуть позже дебютировала с "отсекателями", был построен и испытан реально действующий синхронизатор! Правда, испытания дали отрицательный результат. Пули то и дело пробивали винт. О синхронизаторе на время забыли, применив более простое, хотя и менее эффективное устройство. Только через год выяснилось, что в неудачном исходе испытаний был виноват не синхронизатор, а пулемет "Гочкис". С другими пулеметами тот же механизм действовал безотказно. Неизвестно, знал ли Фоккер об этих разработках, но как бы то ни было, ему принадлежит честь создания и внедрения в производство первого работоспособного и вполне надежного пулеметного синхронизатора. На снимке Антон Герман Жерард Фоккер, Энтони (Тони) Фоккер, Летающий Датчанин, (Anton Herman Gerard Fokker) справа (15113).</w:t>
      </w:r>
    </w:p>
    <w:p w14:paraId="6A661D14" w14:textId="77777777" w:rsidR="00854DFF" w:rsidRPr="00405303" w:rsidRDefault="00854DFF" w:rsidP="00C15251">
      <w:pPr>
        <w:jc w:val="both"/>
        <w:rPr>
          <w:bCs/>
          <w:color w:val="002060"/>
          <w:sz w:val="16"/>
          <w:szCs w:val="16"/>
        </w:rPr>
      </w:pPr>
    </w:p>
    <w:p w14:paraId="7F21CBB5" w14:textId="77777777" w:rsidR="00F66C21" w:rsidRPr="00405303" w:rsidRDefault="00F66C21" w:rsidP="00C15251">
      <w:pPr>
        <w:jc w:val="both"/>
        <w:rPr>
          <w:bCs/>
          <w:color w:val="002060"/>
          <w:sz w:val="16"/>
          <w:szCs w:val="16"/>
        </w:rPr>
      </w:pPr>
      <w:bookmarkStart w:id="97" w:name="_Hlk117605119"/>
      <w:r w:rsidRPr="00405303">
        <w:rPr>
          <w:bCs/>
          <w:color w:val="002060"/>
          <w:sz w:val="16"/>
          <w:szCs w:val="16"/>
        </w:rPr>
        <w:t>15 (28) апреля 1915 г. и 3 мая английские подлодки оказали достойное сопротивление немецким самолетам перед Боркумом. 3 мая L-9 атаковал 3 подлодки, находящиеся в надводном положении, и заставил их погрузиться лишь после того, как сбросил все бомбы (11324).</w:t>
      </w:r>
    </w:p>
    <w:p w14:paraId="4E90D3DE" w14:textId="77777777" w:rsidR="00F66C21" w:rsidRPr="00405303" w:rsidRDefault="00F66C21" w:rsidP="00C15251">
      <w:pPr>
        <w:jc w:val="both"/>
        <w:rPr>
          <w:bCs/>
          <w:i/>
          <w:color w:val="002060"/>
          <w:sz w:val="16"/>
          <w:szCs w:val="16"/>
        </w:rPr>
      </w:pPr>
    </w:p>
    <w:bookmarkEnd w:id="97"/>
    <w:p w14:paraId="6A767BF4" w14:textId="77777777" w:rsidR="00854DFF" w:rsidRPr="00405303" w:rsidRDefault="00854DFF" w:rsidP="00C15251">
      <w:pPr>
        <w:jc w:val="both"/>
        <w:rPr>
          <w:bCs/>
          <w:color w:val="002060"/>
          <w:sz w:val="16"/>
          <w:szCs w:val="16"/>
        </w:rPr>
      </w:pPr>
      <w:r w:rsidRPr="00405303">
        <w:rPr>
          <w:bCs/>
          <w:color w:val="002060"/>
          <w:sz w:val="16"/>
          <w:szCs w:val="16"/>
        </w:rPr>
        <w:t>15 (28) апреля в 1915 году экипаж 48-го полевого авиаотряда (Feld-Flieger Abteilung 48) в составе гауптмана Хуго Гейера и оберлейтенанта Эгберта Кюна атаковал на самолете "Авиатик" (В. 192/13) с пулеметным вооружением группу из трех французских "Вуазенов" и сбил одного из них (15113).</w:t>
      </w:r>
    </w:p>
    <w:p w14:paraId="5E7E2ADD" w14:textId="77777777" w:rsidR="00854DFF" w:rsidRPr="00405303" w:rsidRDefault="00854DFF" w:rsidP="00C15251">
      <w:pPr>
        <w:jc w:val="both"/>
        <w:rPr>
          <w:bCs/>
          <w:color w:val="002060"/>
          <w:sz w:val="16"/>
          <w:szCs w:val="16"/>
        </w:rPr>
      </w:pPr>
    </w:p>
    <w:p w14:paraId="11C3AE36" w14:textId="6901AA29" w:rsidR="005F71B4" w:rsidRPr="00405303" w:rsidRDefault="005F71B4"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 и воздухоплавание Франции:</w:t>
      </w:r>
    </w:p>
    <w:p w14:paraId="1AFEFF39" w14:textId="77777777" w:rsidR="005F71B4" w:rsidRPr="00405303" w:rsidRDefault="005F71B4" w:rsidP="00C15251">
      <w:pPr>
        <w:pStyle w:val="a3"/>
        <w:jc w:val="both"/>
        <w:rPr>
          <w:bCs/>
          <w:color w:val="002060"/>
          <w:spacing w:val="0"/>
          <w:kern w:val="0"/>
          <w:position w:val="0"/>
          <w:sz w:val="16"/>
          <w:szCs w:val="16"/>
        </w:rPr>
      </w:pPr>
    </w:p>
    <w:p w14:paraId="6672525E" w14:textId="77777777" w:rsidR="005F71B4" w:rsidRPr="00405303" w:rsidRDefault="005F71B4" w:rsidP="00C15251">
      <w:pPr>
        <w:jc w:val="both"/>
        <w:rPr>
          <w:bCs/>
          <w:color w:val="002060"/>
          <w:sz w:val="16"/>
          <w:szCs w:val="16"/>
        </w:rPr>
      </w:pPr>
      <w:r w:rsidRPr="00405303">
        <w:rPr>
          <w:bCs/>
          <w:color w:val="002060"/>
          <w:sz w:val="16"/>
          <w:szCs w:val="16"/>
        </w:rPr>
        <w:lastRenderedPageBreak/>
        <w:t>15 (28) апреля 1915, выполняя разведывательный полет над линией фронта и встретив немецкого «коллегу», Пегу спикировал на противника, но тот, не приняв боя, предпочел уйти под защиту своих зениток. Затем был замечен еще один разведчик, и на этот раз атака французов оказалась более успешной: хотя пулемет отказал после первого же выстрела, немецкий летчик пошел на посадку. Позже в документах этот принужденный к посадке самолет тоже превратился в «уничтоженный», уже пятый по счету. Таким образом, 28 апреля 1915 г. Пегу стал первым в истории летчиком-асом (хотя, естественно, на тот момент такого определения просто не существовало) (22741).</w:t>
      </w:r>
    </w:p>
    <w:p w14:paraId="4ACED4D0" w14:textId="77777777" w:rsidR="005F71B4" w:rsidRPr="00405303" w:rsidRDefault="005F71B4" w:rsidP="00C15251">
      <w:pPr>
        <w:jc w:val="both"/>
        <w:rPr>
          <w:bCs/>
          <w:color w:val="002060"/>
          <w:sz w:val="16"/>
          <w:szCs w:val="16"/>
        </w:rPr>
      </w:pPr>
    </w:p>
    <w:p w14:paraId="293F375B" w14:textId="77777777" w:rsidR="00854DFF" w:rsidRPr="00405303" w:rsidRDefault="00854DFF" w:rsidP="00C15251">
      <w:pPr>
        <w:jc w:val="both"/>
        <w:rPr>
          <w:bCs/>
          <w:i/>
          <w:color w:val="002060"/>
          <w:sz w:val="16"/>
          <w:szCs w:val="16"/>
        </w:rPr>
      </w:pPr>
      <w:r w:rsidRPr="00405303">
        <w:rPr>
          <w:bCs/>
          <w:i/>
          <w:color w:val="002060"/>
          <w:sz w:val="16"/>
          <w:szCs w:val="16"/>
        </w:rPr>
        <w:t>Самолетостроение:</w:t>
      </w:r>
    </w:p>
    <w:p w14:paraId="793B5414" w14:textId="77777777" w:rsidR="00854DFF" w:rsidRPr="00405303" w:rsidRDefault="00854DFF" w:rsidP="00C15251">
      <w:pPr>
        <w:jc w:val="both"/>
        <w:rPr>
          <w:bCs/>
          <w:i/>
          <w:color w:val="002060"/>
          <w:sz w:val="16"/>
          <w:szCs w:val="16"/>
        </w:rPr>
      </w:pPr>
    </w:p>
    <w:p w14:paraId="7415820B" w14:textId="77777777" w:rsidR="00854DFF" w:rsidRPr="00405303" w:rsidRDefault="00854DFF" w:rsidP="00C15251">
      <w:pPr>
        <w:pStyle w:val="22"/>
        <w:shd w:val="clear" w:color="auto" w:fill="auto"/>
        <w:spacing w:line="240" w:lineRule="auto"/>
        <w:ind w:firstLine="0"/>
        <w:jc w:val="both"/>
        <w:rPr>
          <w:bCs/>
          <w:color w:val="002060"/>
          <w:sz w:val="16"/>
          <w:szCs w:val="16"/>
        </w:rPr>
      </w:pPr>
      <w:r w:rsidRPr="00405303">
        <w:rPr>
          <w:bCs/>
          <w:color w:val="002060"/>
          <w:sz w:val="16"/>
          <w:szCs w:val="16"/>
        </w:rPr>
        <w:t>В середине апреля 1915 г. состоялись испытания первого полноразмерного опытного воздушного винта системы Г-1 Григора</w:t>
      </w:r>
      <w:r w:rsidRPr="00405303">
        <w:rPr>
          <w:bCs/>
          <w:color w:val="002060"/>
          <w:sz w:val="16"/>
          <w:szCs w:val="16"/>
        </w:rPr>
        <w:softHyphen/>
        <w:t>швили. В акте и заключении об их проведении сохранилось следующее описание отличительных особенно</w:t>
      </w:r>
      <w:r w:rsidRPr="00405303">
        <w:rPr>
          <w:bCs/>
          <w:color w:val="002060"/>
          <w:sz w:val="16"/>
          <w:szCs w:val="16"/>
        </w:rPr>
        <w:softHyphen/>
        <w:t>стей винта системы Григорашвили: «...поперечное сечение лопастей с внут</w:t>
      </w:r>
      <w:r w:rsidRPr="00405303">
        <w:rPr>
          <w:bCs/>
          <w:color w:val="002060"/>
          <w:sz w:val="16"/>
          <w:szCs w:val="16"/>
        </w:rPr>
        <w:softHyphen/>
        <w:t>ренней кривой двоякой кривизны, ложкообразная форма лопастей, измене</w:t>
      </w:r>
      <w:r w:rsidRPr="00405303">
        <w:rPr>
          <w:bCs/>
          <w:color w:val="002060"/>
          <w:sz w:val="16"/>
          <w:szCs w:val="16"/>
        </w:rPr>
        <w:softHyphen/>
        <w:t>ние шага — среднее между винтами с постоянным шагом и винтами с посто</w:t>
      </w:r>
      <w:r w:rsidRPr="00405303">
        <w:rPr>
          <w:bCs/>
          <w:color w:val="002060"/>
          <w:sz w:val="16"/>
          <w:szCs w:val="16"/>
        </w:rPr>
        <w:softHyphen/>
        <w:t>янным углом встречи.... Инженер Григорашвили для своего винта взял фор</w:t>
      </w:r>
      <w:r w:rsidRPr="00405303">
        <w:rPr>
          <w:bCs/>
          <w:color w:val="002060"/>
          <w:sz w:val="16"/>
          <w:szCs w:val="16"/>
        </w:rPr>
        <w:softHyphen/>
        <w:t>му дужки сечения лопасти по последним данным работ Эйфеля. Дужка эта очень выгодна в аэродинамическом отношении, но при этом задняя часть ло</w:t>
      </w:r>
      <w:r w:rsidRPr="00405303">
        <w:rPr>
          <w:bCs/>
          <w:color w:val="002060"/>
          <w:sz w:val="16"/>
          <w:szCs w:val="16"/>
        </w:rPr>
        <w:softHyphen/>
        <w:t>пасти винта получается очень тонкой и потому мало устойчивой и прочной».</w:t>
      </w:r>
    </w:p>
    <w:p w14:paraId="782AC6B8" w14:textId="77777777" w:rsidR="00854DFF" w:rsidRPr="00405303" w:rsidRDefault="00854DFF" w:rsidP="00C15251">
      <w:pPr>
        <w:pStyle w:val="22"/>
        <w:shd w:val="clear" w:color="auto" w:fill="auto"/>
        <w:spacing w:line="240" w:lineRule="auto"/>
        <w:ind w:firstLine="0"/>
        <w:jc w:val="both"/>
        <w:rPr>
          <w:bCs/>
          <w:color w:val="002060"/>
          <w:sz w:val="16"/>
          <w:szCs w:val="16"/>
        </w:rPr>
      </w:pPr>
      <w:r w:rsidRPr="00405303">
        <w:rPr>
          <w:bCs/>
          <w:color w:val="002060"/>
          <w:sz w:val="16"/>
          <w:szCs w:val="16"/>
        </w:rPr>
        <w:t>Первоначально винт Григорашвили произвел на членов испытательной комиссии самое неблагоприятное впечатление своим «незаконченным» ви</w:t>
      </w:r>
      <w:r w:rsidRPr="00405303">
        <w:rPr>
          <w:bCs/>
          <w:color w:val="002060"/>
          <w:sz w:val="16"/>
          <w:szCs w:val="16"/>
        </w:rPr>
        <w:softHyphen/>
        <w:t>дом и кустарным уровнем изготовления. Он оказался плохо сцентрирован</w:t>
      </w:r>
      <w:r w:rsidRPr="00405303">
        <w:rPr>
          <w:bCs/>
          <w:color w:val="002060"/>
          <w:sz w:val="16"/>
          <w:szCs w:val="16"/>
        </w:rPr>
        <w:softHyphen/>
        <w:t>ным, неуравновешенным и не отлакированным. После испытаний винта на стоящем на земле самолете на лопастях была отмечена деформация. Затем Борейко провел сравнительные летные испытания. Замерялись скорость и ско</w:t>
      </w:r>
      <w:r w:rsidRPr="00405303">
        <w:rPr>
          <w:bCs/>
          <w:color w:val="002060"/>
          <w:sz w:val="16"/>
          <w:szCs w:val="16"/>
        </w:rPr>
        <w:softHyphen/>
        <w:t>роподъемность. К изумлению скептически настроенных гатчинских военных летчиков, винт Григорашвили показал лучшие результаты по сравнению со стандартным винтом Шовьера. Они повторили испытания, заменив указатель скорости более совершенным, и опять получили тот же результат — скорость полета с винтом отечественного конструктора на 10 % превышала скорость, достигнутую с винтом прославленной французской фирмы.</w:t>
      </w:r>
    </w:p>
    <w:p w14:paraId="1C16823F" w14:textId="77777777" w:rsidR="00854DFF" w:rsidRPr="00405303" w:rsidRDefault="00854DFF" w:rsidP="00C15251">
      <w:pPr>
        <w:pStyle w:val="22"/>
        <w:shd w:val="clear" w:color="auto" w:fill="auto"/>
        <w:spacing w:line="240" w:lineRule="auto"/>
        <w:ind w:firstLine="0"/>
        <w:jc w:val="both"/>
        <w:rPr>
          <w:bCs/>
          <w:color w:val="002060"/>
          <w:sz w:val="16"/>
          <w:szCs w:val="16"/>
        </w:rPr>
      </w:pPr>
      <w:r w:rsidRPr="00405303">
        <w:rPr>
          <w:bCs/>
          <w:color w:val="002060"/>
          <w:sz w:val="16"/>
          <w:szCs w:val="16"/>
        </w:rPr>
        <w:t>В представленном в ГВТУ отчете об испытаниях Борейко отметил: «...вероятно, что дальнейшие работы инженера Григорашвили приведут к хорошим результатам, а потому для получения более точных данных о достоинствах винта полагал бы полезным заказать инженеру Григорашвили 4 или 6 винтов его системы..., но при условии, что инженер Гри</w:t>
      </w:r>
      <w:r w:rsidRPr="00405303">
        <w:rPr>
          <w:bCs/>
          <w:color w:val="002060"/>
          <w:sz w:val="16"/>
          <w:szCs w:val="16"/>
        </w:rPr>
        <w:softHyphen/>
        <w:t>горашвили будет доставлять в школу для испытаний вполне законченные вин</w:t>
      </w:r>
      <w:r w:rsidRPr="00405303">
        <w:rPr>
          <w:bCs/>
          <w:color w:val="002060"/>
          <w:sz w:val="16"/>
          <w:szCs w:val="16"/>
        </w:rPr>
        <w:softHyphen/>
        <w:t>ты и более аккуратной работы, а не в таком виде, как был доставлен первый» (15740).</w:t>
      </w:r>
    </w:p>
    <w:p w14:paraId="268F790A" w14:textId="77777777" w:rsidR="00854DFF" w:rsidRPr="00405303" w:rsidRDefault="00854DFF" w:rsidP="00C15251">
      <w:pPr>
        <w:pStyle w:val="22"/>
        <w:shd w:val="clear" w:color="auto" w:fill="auto"/>
        <w:spacing w:line="240" w:lineRule="auto"/>
        <w:ind w:firstLine="0"/>
        <w:jc w:val="both"/>
        <w:rPr>
          <w:bCs/>
          <w:color w:val="002060"/>
          <w:sz w:val="16"/>
          <w:szCs w:val="16"/>
        </w:rPr>
      </w:pPr>
    </w:p>
    <w:p w14:paraId="6923396A"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075E8DF9" w14:textId="77777777" w:rsidR="004B4E35" w:rsidRPr="00405303" w:rsidRDefault="004B4E35" w:rsidP="00C15251">
      <w:pPr>
        <w:jc w:val="both"/>
        <w:rPr>
          <w:bCs/>
          <w:i/>
          <w:color w:val="002060"/>
          <w:sz w:val="16"/>
          <w:szCs w:val="16"/>
        </w:rPr>
      </w:pPr>
    </w:p>
    <w:p w14:paraId="5179439A" w14:textId="5BAD1BBE" w:rsidR="004B4E35" w:rsidRPr="00405303" w:rsidRDefault="009E6F82" w:rsidP="00C15251">
      <w:pPr>
        <w:shd w:val="clear" w:color="auto" w:fill="FFFFFF"/>
        <w:jc w:val="both"/>
        <w:rPr>
          <w:bCs/>
          <w:color w:val="002060"/>
          <w:sz w:val="16"/>
          <w:szCs w:val="16"/>
        </w:rPr>
      </w:pPr>
      <w:r w:rsidRPr="00405303">
        <w:rPr>
          <w:bCs/>
          <w:color w:val="002060"/>
          <w:sz w:val="16"/>
          <w:szCs w:val="16"/>
        </w:rPr>
        <w:t>16 (29) апреля 1915</w:t>
      </w:r>
      <w:r w:rsidR="00F66C21" w:rsidRPr="00405303">
        <w:rPr>
          <w:bCs/>
          <w:color w:val="002060"/>
          <w:sz w:val="16"/>
          <w:szCs w:val="16"/>
        </w:rPr>
        <w:t xml:space="preserve"> г. в протоколе заседания Авиационного комитета Черноморского флота зафиксированные некоторые выводы по морским испытаниям машины номер 29</w:t>
      </w:r>
      <w:r w:rsidRPr="00405303">
        <w:rPr>
          <w:bCs/>
          <w:color w:val="002060"/>
          <w:sz w:val="16"/>
          <w:szCs w:val="16"/>
        </w:rPr>
        <w:t>. В целом летающая лодка получи</w:t>
      </w:r>
      <w:r w:rsidRPr="00405303">
        <w:rPr>
          <w:bCs/>
          <w:color w:val="002060"/>
          <w:sz w:val="16"/>
          <w:szCs w:val="16"/>
        </w:rPr>
        <w:softHyphen/>
        <w:t>ла положительные оценки, так как с полной нагрузкой она легко отрывалась от воды, при взлете ее не заливало, набор высоты проходил энергично, а после непредвиденной посадки аппарат благополучно бежал по морю в течение 25 минут. Начальник Авиации инженер-механик старший лейтенант И. И. Стаховский писал А. А. Тучкову в день после похода:</w:t>
      </w:r>
    </w:p>
    <w:p w14:paraId="342342F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«&lt;...&gt; Зато лодка Щетинина дала прекрасные результаты при боевой работе—с волны взлетала хорошо, динамические качества ее прекрасны и, по-видимому, лодка достаточно прочно построена для морской службы &lt;...&gt; Правда, она берет немного хуже высоту, чем ФБА, но на практике это мало ощутительно. У «Моносупапа» сегодня оторвался поршень в то время, как Жуков был над Босфором, однако ему удалось спланировать к своим, хотя "Милет" погнался за Жуковым &lt;...&gt;» (2807).</w:t>
      </w:r>
    </w:p>
    <w:p w14:paraId="47CDA7C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Перипетии вылета 12 апреля. Французская летающая лодка «ФБА» также испытывалась в ходе этого рейда (см. том 3). Письмо, вероятно, было начато 12-го, а закончено 13-го числа (2807).</w:t>
      </w:r>
    </w:p>
    <w:p w14:paraId="37AB0651" w14:textId="77777777" w:rsidR="004B4E35" w:rsidRPr="00405303" w:rsidRDefault="004B4E35" w:rsidP="00C15251">
      <w:pPr>
        <w:shd w:val="clear" w:color="auto" w:fill="FFFFFF"/>
        <w:jc w:val="both"/>
        <w:rPr>
          <w:bCs/>
          <w:color w:val="002060"/>
          <w:sz w:val="16"/>
          <w:szCs w:val="16"/>
        </w:rPr>
      </w:pPr>
    </w:p>
    <w:p w14:paraId="371E16A9" w14:textId="77CB19D4" w:rsidR="004B4E35" w:rsidRPr="00405303" w:rsidRDefault="009E6F82" w:rsidP="00C15251">
      <w:pPr>
        <w:shd w:val="clear" w:color="auto" w:fill="FFFFFF"/>
        <w:jc w:val="both"/>
        <w:rPr>
          <w:bCs/>
          <w:color w:val="002060"/>
          <w:sz w:val="16"/>
          <w:szCs w:val="16"/>
        </w:rPr>
      </w:pPr>
      <w:bookmarkStart w:id="98" w:name="_Hlk117605309"/>
      <w:r w:rsidRPr="00405303">
        <w:rPr>
          <w:bCs/>
          <w:color w:val="002060"/>
          <w:sz w:val="16"/>
          <w:szCs w:val="16"/>
        </w:rPr>
        <w:t xml:space="preserve">16 (29) апреля </w:t>
      </w:r>
      <w:r w:rsidR="00D6598C" w:rsidRPr="00405303">
        <w:rPr>
          <w:bCs/>
          <w:color w:val="002060"/>
          <w:sz w:val="16"/>
          <w:szCs w:val="16"/>
        </w:rPr>
        <w:t xml:space="preserve">1915 г. </w:t>
      </w:r>
      <w:r w:rsidRPr="00405303">
        <w:rPr>
          <w:bCs/>
          <w:color w:val="002060"/>
          <w:sz w:val="16"/>
          <w:szCs w:val="16"/>
        </w:rPr>
        <w:t>С. С. Щетинин уведомил МГШ о готовности завода собрать 4 аппарата типа М-5, по цене 9 тыс. 500 рублей за каждый и в период с 1в мая по 5 июня. Предложение сопровождалось обещанием послать, в случае необходимости, все эти самолеты и сдаточную бригаду в составе инженера, летчика и механика в Севастополь для проведения опытов, в ходе которых планировалось достичь скороподъемности 500 м за 10 минут с полезным грузом 310 кг. По всей видимости, в ответ на заявление последовал визит морских авиаторов на завод и осмотр первого экземпляра летающей лодки, после чего уже 20 апреля командир Петроградского порта полу</w:t>
      </w:r>
      <w:r w:rsidRPr="00405303">
        <w:rPr>
          <w:bCs/>
          <w:color w:val="002060"/>
          <w:sz w:val="16"/>
          <w:szCs w:val="16"/>
        </w:rPr>
        <w:softHyphen/>
        <w:t xml:space="preserve">чил инструкции подписать с фирмой соответствующий контракт, </w:t>
      </w:r>
      <w:proofErr w:type="gramStart"/>
      <w:r w:rsidRPr="00405303">
        <w:rPr>
          <w:bCs/>
          <w:color w:val="002060"/>
          <w:sz w:val="16"/>
          <w:szCs w:val="16"/>
        </w:rPr>
        <w:t>причем</w:t>
      </w:r>
      <w:proofErr w:type="gramEnd"/>
      <w:r w:rsidRPr="00405303">
        <w:rPr>
          <w:bCs/>
          <w:color w:val="002060"/>
          <w:sz w:val="16"/>
          <w:szCs w:val="16"/>
        </w:rPr>
        <w:t xml:space="preserve"> как и прежде Морское ведом</w:t>
      </w:r>
      <w:r w:rsidRPr="00405303">
        <w:rPr>
          <w:bCs/>
          <w:color w:val="002060"/>
          <w:sz w:val="16"/>
          <w:szCs w:val="16"/>
        </w:rPr>
        <w:softHyphen/>
        <w:t>ство обязалось обеспечить доставку нужных двигателей и пропеллеров. Однако, из-за не вполне понят</w:t>
      </w:r>
      <w:r w:rsidRPr="00405303">
        <w:rPr>
          <w:bCs/>
          <w:color w:val="002060"/>
          <w:sz w:val="16"/>
          <w:szCs w:val="16"/>
        </w:rPr>
        <w:softHyphen/>
        <w:t>ной почти месячной задержки соглашение между сторонами появилось только 27 мая, оговаривая произ</w:t>
      </w:r>
      <w:r w:rsidRPr="00405303">
        <w:rPr>
          <w:bCs/>
          <w:color w:val="002060"/>
          <w:sz w:val="16"/>
          <w:szCs w:val="16"/>
        </w:rPr>
        <w:softHyphen/>
        <w:t>водство 12 аппаратов в период с 30 мая по 15 июля — несомненно, что столь близкий срок завершения сборки первых лодок мог объясняться только наличием у ПРТВ почти готовых гидро. Удивительно, но компания уложилась в обусловленные сроки, опоздав лишь на 5 дней, а приемка изделий флотом осуще</w:t>
      </w:r>
      <w:r w:rsidRPr="00405303">
        <w:rPr>
          <w:bCs/>
          <w:color w:val="002060"/>
          <w:sz w:val="16"/>
          <w:szCs w:val="16"/>
        </w:rPr>
        <w:softHyphen/>
        <w:t>ствлялась, скорее всего, лейтенантом Г. А. Фриде, опытным пилотом и одаренным изобретателем (2807).</w:t>
      </w:r>
    </w:p>
    <w:p w14:paraId="185824F1" w14:textId="77777777" w:rsidR="004B4E35" w:rsidRPr="00405303" w:rsidRDefault="004B4E35" w:rsidP="00C15251">
      <w:pPr>
        <w:shd w:val="clear" w:color="auto" w:fill="FFFFFF"/>
        <w:jc w:val="both"/>
        <w:rPr>
          <w:bCs/>
          <w:color w:val="002060"/>
          <w:sz w:val="16"/>
          <w:szCs w:val="16"/>
        </w:rPr>
      </w:pPr>
    </w:p>
    <w:p w14:paraId="49A30C2B" w14:textId="75B35B90" w:rsidR="004B4E35" w:rsidRPr="00405303" w:rsidRDefault="009E6F82" w:rsidP="00C15251">
      <w:pPr>
        <w:jc w:val="both"/>
        <w:rPr>
          <w:bCs/>
          <w:color w:val="002060"/>
          <w:sz w:val="16"/>
          <w:szCs w:val="16"/>
        </w:rPr>
      </w:pPr>
      <w:bookmarkStart w:id="99" w:name="_Hlk117605416"/>
      <w:bookmarkEnd w:id="98"/>
      <w:r w:rsidRPr="00405303">
        <w:rPr>
          <w:bCs/>
          <w:color w:val="002060"/>
          <w:sz w:val="16"/>
          <w:szCs w:val="16"/>
        </w:rPr>
        <w:t xml:space="preserve">16 </w:t>
      </w:r>
      <w:r w:rsidR="00D6598C" w:rsidRPr="00405303">
        <w:rPr>
          <w:bCs/>
          <w:color w:val="002060"/>
          <w:sz w:val="16"/>
          <w:szCs w:val="16"/>
        </w:rPr>
        <w:t xml:space="preserve">(29) </w:t>
      </w:r>
      <w:r w:rsidRPr="00405303">
        <w:rPr>
          <w:bCs/>
          <w:color w:val="002060"/>
          <w:sz w:val="16"/>
          <w:szCs w:val="16"/>
        </w:rPr>
        <w:t xml:space="preserve">апреля </w:t>
      </w:r>
      <w:r w:rsidR="00D6598C" w:rsidRPr="00405303">
        <w:rPr>
          <w:bCs/>
          <w:color w:val="002060"/>
          <w:sz w:val="16"/>
          <w:szCs w:val="16"/>
        </w:rPr>
        <w:t xml:space="preserve">1915 г. Щетинин был настолько уверен в самолёте, что </w:t>
      </w:r>
      <w:r w:rsidRPr="00405303">
        <w:rPr>
          <w:bCs/>
          <w:color w:val="002060"/>
          <w:sz w:val="16"/>
          <w:szCs w:val="16"/>
        </w:rPr>
        <w:t>пись</w:t>
      </w:r>
      <w:r w:rsidRPr="00405303">
        <w:rPr>
          <w:bCs/>
          <w:color w:val="002060"/>
          <w:sz w:val="16"/>
          <w:szCs w:val="16"/>
        </w:rPr>
        <w:softHyphen/>
        <w:t>мом уведомил Морской генераль</w:t>
      </w:r>
      <w:r w:rsidRPr="00405303">
        <w:rPr>
          <w:bCs/>
          <w:color w:val="002060"/>
          <w:sz w:val="16"/>
          <w:szCs w:val="16"/>
        </w:rPr>
        <w:softHyphen/>
        <w:t>ный штаб о готовности поставить четыре летающие лодки М-5 по цене 9 500 рублей до 5 июня. Командир С-Петербургского порта 20 апре</w:t>
      </w:r>
      <w:r w:rsidRPr="00405303">
        <w:rPr>
          <w:bCs/>
          <w:color w:val="002060"/>
          <w:sz w:val="16"/>
          <w:szCs w:val="16"/>
        </w:rPr>
        <w:softHyphen/>
        <w:t>ля получил указание заключить кон</w:t>
      </w:r>
      <w:r w:rsidRPr="00405303">
        <w:rPr>
          <w:bCs/>
          <w:color w:val="002060"/>
          <w:sz w:val="16"/>
          <w:szCs w:val="16"/>
        </w:rPr>
        <w:softHyphen/>
        <w:t>тракт с фирмой. Причём морское ведомство обязывалось поставить моторы и воздушные винты. Из-за месячной задержки такое соглаше</w:t>
      </w:r>
      <w:r w:rsidRPr="00405303">
        <w:rPr>
          <w:bCs/>
          <w:color w:val="002060"/>
          <w:sz w:val="16"/>
          <w:szCs w:val="16"/>
        </w:rPr>
        <w:softHyphen/>
        <w:t>ние появилось только 27 мая, при</w:t>
      </w:r>
      <w:r w:rsidRPr="00405303">
        <w:rPr>
          <w:bCs/>
          <w:color w:val="002060"/>
          <w:sz w:val="16"/>
          <w:szCs w:val="16"/>
        </w:rPr>
        <w:softHyphen/>
        <w:t>чём за относительно короткий срок (с 30 мая до 15 июля 1915 г.) ПРТВ следовало построить 12 самолётов. Приёмкой самолётов занимался морской лейтенант Г.А. Фриде. Он также выполнял полёты на М-5, при</w:t>
      </w:r>
      <w:r w:rsidRPr="00405303">
        <w:rPr>
          <w:bCs/>
          <w:color w:val="002060"/>
          <w:sz w:val="16"/>
          <w:szCs w:val="16"/>
        </w:rPr>
        <w:softHyphen/>
        <w:t>знав лодку «выдающейся».</w:t>
      </w:r>
    </w:p>
    <w:p w14:paraId="0F16A2BE" w14:textId="77777777" w:rsidR="004B4E35" w:rsidRPr="00405303" w:rsidRDefault="009E6F82" w:rsidP="00C15251">
      <w:pPr>
        <w:jc w:val="both"/>
        <w:rPr>
          <w:bCs/>
          <w:color w:val="002060"/>
          <w:sz w:val="16"/>
          <w:szCs w:val="16"/>
        </w:rPr>
      </w:pPr>
      <w:r w:rsidRPr="00405303">
        <w:rPr>
          <w:bCs/>
          <w:color w:val="002060"/>
          <w:sz w:val="16"/>
          <w:szCs w:val="16"/>
        </w:rPr>
        <w:t>Летающая лодка М-5 - одномо</w:t>
      </w:r>
      <w:r w:rsidRPr="00405303">
        <w:rPr>
          <w:bCs/>
          <w:color w:val="002060"/>
          <w:sz w:val="16"/>
          <w:szCs w:val="16"/>
        </w:rPr>
        <w:softHyphen/>
        <w:t>торный двухместный биплан с нор</w:t>
      </w:r>
      <w:r w:rsidRPr="00405303">
        <w:rPr>
          <w:bCs/>
          <w:color w:val="002060"/>
          <w:sz w:val="16"/>
          <w:szCs w:val="16"/>
        </w:rPr>
        <w:softHyphen/>
        <w:t>мальной схемой управления. Сило</w:t>
      </w:r>
      <w:r w:rsidRPr="00405303">
        <w:rPr>
          <w:bCs/>
          <w:color w:val="002060"/>
          <w:sz w:val="16"/>
          <w:szCs w:val="16"/>
        </w:rPr>
        <w:softHyphen/>
        <w:t>вая установка включала ротатив- ный двигатель «Гном-Моносупап» в 100 л.с. с толкающим винтом фир</w:t>
      </w:r>
      <w:r w:rsidRPr="00405303">
        <w:rPr>
          <w:bCs/>
          <w:color w:val="002060"/>
          <w:sz w:val="16"/>
          <w:szCs w:val="16"/>
        </w:rPr>
        <w:softHyphen/>
        <w:t>мы «Шовьер». Скорость полёта са</w:t>
      </w:r>
      <w:r w:rsidRPr="00405303">
        <w:rPr>
          <w:bCs/>
          <w:color w:val="002060"/>
          <w:sz w:val="16"/>
          <w:szCs w:val="16"/>
        </w:rPr>
        <w:softHyphen/>
        <w:t>молёта 90 - 105 км/ч, посадочная - 70 км/ч, продолжительность полё</w:t>
      </w:r>
      <w:r w:rsidRPr="00405303">
        <w:rPr>
          <w:bCs/>
          <w:color w:val="002060"/>
          <w:sz w:val="16"/>
          <w:szCs w:val="16"/>
        </w:rPr>
        <w:softHyphen/>
        <w:t>та до 3,5 час, полётный вес 1000 кг, размах крыльев 13,5 м, площадь - 36,5 м</w:t>
      </w:r>
      <w:r w:rsidRPr="00405303">
        <w:rPr>
          <w:bCs/>
          <w:color w:val="002060"/>
          <w:sz w:val="16"/>
          <w:szCs w:val="16"/>
          <w:vertAlign w:val="superscript"/>
        </w:rPr>
        <w:t>2</w:t>
      </w:r>
      <w:r w:rsidRPr="00405303">
        <w:rPr>
          <w:bCs/>
          <w:color w:val="002060"/>
          <w:sz w:val="16"/>
          <w:szCs w:val="16"/>
        </w:rPr>
        <w:t>. Вооружение: пулемет «Мак</w:t>
      </w:r>
      <w:r w:rsidRPr="00405303">
        <w:rPr>
          <w:bCs/>
          <w:color w:val="002060"/>
          <w:sz w:val="16"/>
          <w:szCs w:val="16"/>
        </w:rPr>
        <w:softHyphen/>
        <w:t>сим» с боезапасом 450 патронов или «Виккерс» Мк.1, бомбы калиб</w:t>
      </w:r>
      <w:r w:rsidRPr="00405303">
        <w:rPr>
          <w:bCs/>
          <w:color w:val="002060"/>
          <w:sz w:val="16"/>
          <w:szCs w:val="16"/>
        </w:rPr>
        <w:softHyphen/>
        <w:t>ром от 8 до 50 фунтов. При выпол</w:t>
      </w:r>
      <w:r w:rsidRPr="00405303">
        <w:rPr>
          <w:bCs/>
          <w:color w:val="002060"/>
          <w:sz w:val="16"/>
          <w:szCs w:val="16"/>
        </w:rPr>
        <w:softHyphen/>
        <w:t>нении воздушной разведки самолёт мог оснащаться радиотелеграфной станцией и фотоаппаратом Поттэ (полуавтоматический аппарат для воздушной съёмки с размером кад</w:t>
      </w:r>
      <w:r w:rsidRPr="00405303">
        <w:rPr>
          <w:bCs/>
          <w:color w:val="002060"/>
          <w:sz w:val="16"/>
          <w:szCs w:val="16"/>
        </w:rPr>
        <w:softHyphen/>
        <w:t>ра 13x18 см, фокусным расстояни</w:t>
      </w:r>
      <w:r w:rsidRPr="00405303">
        <w:rPr>
          <w:bCs/>
          <w:color w:val="002060"/>
          <w:sz w:val="16"/>
          <w:szCs w:val="16"/>
        </w:rPr>
        <w:softHyphen/>
        <w:t>ем 21 см, запасом плёнки на 50 кадров, весом 9 кг. Конструктор подполковник русской армии В.Ф.Поттэ).</w:t>
      </w:r>
    </w:p>
    <w:p w14:paraId="726E13AF" w14:textId="77777777" w:rsidR="004B4E35" w:rsidRPr="00405303" w:rsidRDefault="009E6F82" w:rsidP="00C15251">
      <w:pPr>
        <w:jc w:val="both"/>
        <w:rPr>
          <w:bCs/>
          <w:color w:val="002060"/>
          <w:sz w:val="16"/>
          <w:szCs w:val="16"/>
        </w:rPr>
      </w:pPr>
      <w:r w:rsidRPr="00405303">
        <w:rPr>
          <w:bCs/>
          <w:color w:val="002060"/>
          <w:sz w:val="16"/>
          <w:szCs w:val="16"/>
        </w:rPr>
        <w:t>Если на Балтийском флоте, где было достаточно самолетов Ф.Б.А., особой нужды в М-5 не испытыва</w:t>
      </w:r>
      <w:r w:rsidRPr="00405303">
        <w:rPr>
          <w:bCs/>
          <w:color w:val="002060"/>
          <w:sz w:val="16"/>
          <w:szCs w:val="16"/>
        </w:rPr>
        <w:softHyphen/>
        <w:t>ли, то на Черноморском флоте са</w:t>
      </w:r>
      <w:r w:rsidRPr="00405303">
        <w:rPr>
          <w:bCs/>
          <w:color w:val="002060"/>
          <w:sz w:val="16"/>
          <w:szCs w:val="16"/>
        </w:rPr>
        <w:softHyphen/>
        <w:t>молёты М-5 принимали непосред</w:t>
      </w:r>
      <w:r w:rsidRPr="00405303">
        <w:rPr>
          <w:bCs/>
          <w:color w:val="002060"/>
          <w:sz w:val="16"/>
          <w:szCs w:val="16"/>
        </w:rPr>
        <w:softHyphen/>
        <w:t>ственное участие в боевых действи</w:t>
      </w:r>
      <w:r w:rsidRPr="00405303">
        <w:rPr>
          <w:bCs/>
          <w:color w:val="002060"/>
          <w:sz w:val="16"/>
          <w:szCs w:val="16"/>
        </w:rPr>
        <w:softHyphen/>
        <w:t>ях в составе береговых и корабель</w:t>
      </w:r>
      <w:r w:rsidRPr="00405303">
        <w:rPr>
          <w:bCs/>
          <w:color w:val="002060"/>
          <w:sz w:val="16"/>
          <w:szCs w:val="16"/>
        </w:rPr>
        <w:softHyphen/>
        <w:t>ных подразделений (11872).</w:t>
      </w:r>
    </w:p>
    <w:p w14:paraId="03F6176A" w14:textId="77777777" w:rsidR="00285FFA" w:rsidRPr="00405303" w:rsidRDefault="00285FFA" w:rsidP="00C15251">
      <w:pPr>
        <w:shd w:val="clear" w:color="auto" w:fill="FFFFFF"/>
        <w:jc w:val="both"/>
        <w:rPr>
          <w:bCs/>
          <w:i/>
          <w:color w:val="002060"/>
          <w:sz w:val="16"/>
          <w:szCs w:val="16"/>
        </w:rPr>
      </w:pPr>
    </w:p>
    <w:bookmarkEnd w:id="99"/>
    <w:p w14:paraId="4B37CE4C" w14:textId="77777777" w:rsidR="00252322" w:rsidRPr="00405303" w:rsidRDefault="00252322" w:rsidP="00252322">
      <w:pPr>
        <w:jc w:val="both"/>
        <w:rPr>
          <w:bCs/>
          <w:i/>
          <w:color w:val="002060"/>
          <w:sz w:val="16"/>
          <w:szCs w:val="16"/>
        </w:rPr>
      </w:pPr>
      <w:r w:rsidRPr="00405303">
        <w:rPr>
          <w:bCs/>
          <w:i/>
          <w:color w:val="002060"/>
          <w:sz w:val="16"/>
          <w:szCs w:val="16"/>
        </w:rPr>
        <w:t>Авиация:</w:t>
      </w:r>
    </w:p>
    <w:p w14:paraId="36F21566" w14:textId="77777777" w:rsidR="00252322" w:rsidRPr="00405303" w:rsidRDefault="00252322" w:rsidP="00252322">
      <w:pPr>
        <w:jc w:val="both"/>
        <w:rPr>
          <w:bCs/>
          <w:i/>
          <w:color w:val="002060"/>
          <w:sz w:val="16"/>
          <w:szCs w:val="16"/>
        </w:rPr>
      </w:pPr>
    </w:p>
    <w:p w14:paraId="642A5C25" w14:textId="77777777" w:rsidR="00252322" w:rsidRPr="00405303" w:rsidRDefault="00252322" w:rsidP="00252322">
      <w:pPr>
        <w:jc w:val="both"/>
        <w:rPr>
          <w:color w:val="0070C0"/>
          <w:sz w:val="16"/>
          <w:szCs w:val="16"/>
        </w:rPr>
      </w:pPr>
      <w:r w:rsidRPr="00405303">
        <w:rPr>
          <w:color w:val="0070C0"/>
          <w:sz w:val="16"/>
          <w:szCs w:val="16"/>
        </w:rPr>
        <w:t>16 (29) апреля 1915 г. главнокомандующим 6-й армией была введена Инструкция для действия частей, назначенных для борьбы с воздушным противником. Она обязывала столичного градоначальника осуществлять посредством полиции оповещение населения с предупреждением укрываться в подъездах и воротах и не выходить на улицы. Предписывала также направлять пожарные команды без вызова на место, куда будет брошена бомба (25152).</w:t>
      </w:r>
    </w:p>
    <w:p w14:paraId="481DEBF4" w14:textId="77777777" w:rsidR="00252322" w:rsidRPr="00405303" w:rsidRDefault="00252322" w:rsidP="00252322">
      <w:pPr>
        <w:jc w:val="both"/>
        <w:rPr>
          <w:color w:val="0070C0"/>
          <w:sz w:val="16"/>
          <w:szCs w:val="16"/>
        </w:rPr>
      </w:pPr>
    </w:p>
    <w:p w14:paraId="12ECF449"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27643F88" w14:textId="77777777" w:rsidR="004B4E35" w:rsidRPr="00405303" w:rsidRDefault="004B4E35" w:rsidP="00C15251">
      <w:pPr>
        <w:shd w:val="clear" w:color="auto" w:fill="FFFFFF"/>
        <w:jc w:val="both"/>
        <w:rPr>
          <w:bCs/>
          <w:color w:val="002060"/>
          <w:sz w:val="16"/>
          <w:szCs w:val="16"/>
        </w:rPr>
      </w:pPr>
    </w:p>
    <w:p w14:paraId="4BE601EC" w14:textId="4BA82D81" w:rsidR="004B4E35" w:rsidRPr="00405303" w:rsidRDefault="009E6F82" w:rsidP="00C15251">
      <w:pPr>
        <w:jc w:val="both"/>
        <w:rPr>
          <w:bCs/>
          <w:color w:val="002060"/>
          <w:sz w:val="16"/>
          <w:szCs w:val="16"/>
        </w:rPr>
      </w:pPr>
      <w:bookmarkStart w:id="100" w:name="_Hlk117605453"/>
      <w:r w:rsidRPr="00405303">
        <w:rPr>
          <w:bCs/>
          <w:color w:val="002060"/>
          <w:sz w:val="16"/>
          <w:szCs w:val="16"/>
        </w:rPr>
        <w:t xml:space="preserve">16 (29) апреля </w:t>
      </w:r>
      <w:r w:rsidR="00D6598C" w:rsidRPr="00405303">
        <w:rPr>
          <w:bCs/>
          <w:color w:val="002060"/>
          <w:sz w:val="16"/>
          <w:szCs w:val="16"/>
        </w:rPr>
        <w:t>1915 г. армейский дирижабль LZ-38 под командованием известного немецкий воздухоплавателя Линнарца,</w:t>
      </w:r>
      <w:r w:rsidRPr="00405303">
        <w:rPr>
          <w:bCs/>
          <w:color w:val="002060"/>
          <w:sz w:val="16"/>
          <w:szCs w:val="16"/>
        </w:rPr>
        <w:t xml:space="preserve"> бомбардировал Саффолк, но туман помешал прицельному сбросу сорока пяти бомб (11324).</w:t>
      </w:r>
    </w:p>
    <w:p w14:paraId="51E49971" w14:textId="77777777" w:rsidR="004B4E35" w:rsidRPr="00405303" w:rsidRDefault="004B4E35" w:rsidP="00C15251">
      <w:pPr>
        <w:jc w:val="both"/>
        <w:rPr>
          <w:bCs/>
          <w:i/>
          <w:color w:val="002060"/>
          <w:sz w:val="16"/>
          <w:szCs w:val="16"/>
        </w:rPr>
      </w:pPr>
    </w:p>
    <w:bookmarkEnd w:id="100"/>
    <w:p w14:paraId="2ECC4E75" w14:textId="5A4CCCA0" w:rsidR="00986610" w:rsidRPr="00405303" w:rsidRDefault="00986610" w:rsidP="00C15251">
      <w:pPr>
        <w:jc w:val="both"/>
        <w:rPr>
          <w:bCs/>
          <w:color w:val="002060"/>
          <w:sz w:val="16"/>
          <w:szCs w:val="16"/>
        </w:rPr>
      </w:pPr>
      <w:r w:rsidRPr="00405303">
        <w:rPr>
          <w:bCs/>
          <w:color w:val="002060"/>
          <w:sz w:val="16"/>
          <w:szCs w:val="16"/>
        </w:rPr>
        <w:lastRenderedPageBreak/>
        <w:t>16 (29) апреля 1915</w:t>
      </w:r>
      <w:r w:rsidR="000F5756">
        <w:rPr>
          <w:bCs/>
          <w:color w:val="002060"/>
          <w:sz w:val="16"/>
          <w:szCs w:val="16"/>
        </w:rPr>
        <w:t xml:space="preserve"> </w:t>
      </w:r>
      <w:r w:rsidRPr="00405303">
        <w:rPr>
          <w:bCs/>
          <w:color w:val="002060"/>
          <w:sz w:val="16"/>
          <w:szCs w:val="16"/>
        </w:rPr>
        <w:t>Энтони Фоккер предложил немецким ВВС устройство, решающее ту же задачу, что и французские "отсекатели", но лишенное их недостатков. Это устройство, названное "синхронизатором", широко применялось на истребителях всех стран, вплоть до появления реактивной авиации. Синхронизатор Фоккера посредством механической передачи импульса от вала двигателя блокировал затвор пулемета в момент прохождения лопасти винта мимо дульного среза оружия.</w:t>
      </w:r>
    </w:p>
    <w:p w14:paraId="6EEAA442" w14:textId="77777777" w:rsidR="00986610" w:rsidRPr="00405303" w:rsidRDefault="00986610" w:rsidP="00C15251">
      <w:pPr>
        <w:jc w:val="both"/>
        <w:rPr>
          <w:bCs/>
          <w:color w:val="002060"/>
          <w:sz w:val="16"/>
          <w:szCs w:val="16"/>
        </w:rPr>
      </w:pPr>
      <w:r w:rsidRPr="00405303">
        <w:rPr>
          <w:bCs/>
          <w:color w:val="002060"/>
          <w:sz w:val="16"/>
          <w:szCs w:val="16"/>
        </w:rPr>
        <w:t>Справедливости ради надо сказать, что Фоккер создал свой синхронизатор не на голом месте. Еще в 1913 году русский инженер Поплавко разработал систему синхронизации работы пулемета и авиадвигателя, но до постройки дело не дошло. На следующий год с подобной идеей выступил немецкий авиаконструктор Шнейдер, однако, не получив поддержки военных, взялся за другую работу. Наконец, в декабре 1914-го на той самой фирме Моран, которая чуть позже дебютировала с "отсекателями", был построен и испытан реально действующий синхронизатор! Правда, испытания дали отрицательный результат. Пули то и дело пробивали винт. О синхронизаторе на время забыли, применив более простое, хотя и менее эффективное устройство. Только через год выяснилось, что в неудачном исходе испытаний был виноват не синхронизатор, а пулемет "Гочкис". С другими пулеметами тот же механизм действовал безотказно. Неизвестно, знал ли Фоккер об этих разработках, но как бы то ни было, ему принадлежит честь создания и внедрения в производство первого работоспособного и вполне надежного пулеметного синхронизатора (22521).</w:t>
      </w:r>
    </w:p>
    <w:p w14:paraId="3AAC7C4D" w14:textId="77777777" w:rsidR="00986610" w:rsidRPr="00405303" w:rsidRDefault="00986610" w:rsidP="00C15251">
      <w:pPr>
        <w:jc w:val="both"/>
        <w:rPr>
          <w:bCs/>
          <w:color w:val="002060"/>
          <w:sz w:val="16"/>
          <w:szCs w:val="16"/>
        </w:rPr>
      </w:pPr>
    </w:p>
    <w:p w14:paraId="49DF74AB" w14:textId="77777777" w:rsidR="00285FFA" w:rsidRPr="00405303" w:rsidRDefault="00285FFA" w:rsidP="00C15251">
      <w:pPr>
        <w:jc w:val="both"/>
        <w:rPr>
          <w:bCs/>
          <w:i/>
          <w:color w:val="002060"/>
          <w:sz w:val="16"/>
          <w:szCs w:val="16"/>
        </w:rPr>
      </w:pPr>
      <w:r w:rsidRPr="00405303">
        <w:rPr>
          <w:bCs/>
          <w:i/>
          <w:color w:val="002060"/>
          <w:sz w:val="16"/>
          <w:szCs w:val="16"/>
        </w:rPr>
        <w:t>За рубежом:</w:t>
      </w:r>
    </w:p>
    <w:p w14:paraId="1C8B9E30" w14:textId="77777777" w:rsidR="00285FFA" w:rsidRPr="00405303" w:rsidRDefault="00285FFA" w:rsidP="00C15251">
      <w:pPr>
        <w:jc w:val="both"/>
        <w:rPr>
          <w:bCs/>
          <w:color w:val="002060"/>
          <w:sz w:val="16"/>
          <w:szCs w:val="16"/>
        </w:rPr>
      </w:pPr>
    </w:p>
    <w:p w14:paraId="334057A7" w14:textId="77777777" w:rsidR="00285FFA" w:rsidRPr="00405303" w:rsidRDefault="00285FFA" w:rsidP="00C15251">
      <w:pPr>
        <w:jc w:val="both"/>
        <w:rPr>
          <w:bCs/>
          <w:color w:val="002060"/>
          <w:sz w:val="16"/>
          <w:szCs w:val="16"/>
        </w:rPr>
      </w:pPr>
      <w:r w:rsidRPr="00405303">
        <w:rPr>
          <w:bCs/>
          <w:color w:val="002060"/>
          <w:sz w:val="16"/>
          <w:szCs w:val="16"/>
        </w:rPr>
        <w:t>16 (29) апреля в 1915 году спущен на воду британский линкор "Роял Соверен", будущий единственный линейный корабль советского Северного флота "Архангельск" (15114).</w:t>
      </w:r>
    </w:p>
    <w:p w14:paraId="466F6EB2" w14:textId="77777777" w:rsidR="00285FFA" w:rsidRPr="00405303" w:rsidRDefault="00285FFA" w:rsidP="00C15251">
      <w:pPr>
        <w:jc w:val="both"/>
        <w:rPr>
          <w:bCs/>
          <w:color w:val="002060"/>
          <w:sz w:val="16"/>
          <w:szCs w:val="16"/>
        </w:rPr>
      </w:pPr>
    </w:p>
    <w:p w14:paraId="3BF67204"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7880C4A3" w14:textId="77777777" w:rsidR="004B4E35" w:rsidRPr="00405303" w:rsidRDefault="004B4E35" w:rsidP="00C15251">
      <w:pPr>
        <w:jc w:val="both"/>
        <w:rPr>
          <w:bCs/>
          <w:i/>
          <w:color w:val="002060"/>
          <w:sz w:val="16"/>
          <w:szCs w:val="16"/>
        </w:rPr>
      </w:pPr>
    </w:p>
    <w:p w14:paraId="7F04A276" w14:textId="52F3FB1E"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17 (30), </w:t>
      </w:r>
      <w:r w:rsidR="00D6598C" w:rsidRPr="00405303">
        <w:rPr>
          <w:bCs/>
          <w:i w:val="0"/>
          <w:color w:val="002060"/>
          <w:spacing w:val="0"/>
          <w:kern w:val="0"/>
          <w:position w:val="0"/>
          <w:sz w:val="16"/>
          <w:szCs w:val="16"/>
        </w:rPr>
        <w:t xml:space="preserve">15, </w:t>
      </w:r>
      <w:r w:rsidRPr="00405303">
        <w:rPr>
          <w:bCs/>
          <w:i w:val="0"/>
          <w:color w:val="002060"/>
          <w:spacing w:val="0"/>
          <w:kern w:val="0"/>
          <w:position w:val="0"/>
          <w:sz w:val="16"/>
          <w:szCs w:val="16"/>
        </w:rPr>
        <w:t xml:space="preserve">19, 23 и 25 апреля 1915 </w:t>
      </w:r>
      <w:r w:rsidR="00D6598C" w:rsidRPr="00405303">
        <w:rPr>
          <w:bCs/>
          <w:i w:val="0"/>
          <w:color w:val="002060"/>
          <w:spacing w:val="0"/>
          <w:kern w:val="0"/>
          <w:position w:val="0"/>
          <w:sz w:val="16"/>
          <w:szCs w:val="16"/>
        </w:rPr>
        <w:t xml:space="preserve">г. летчики 11-го корпусного авиаотряда (КАО) </w:t>
      </w:r>
      <w:r w:rsidRPr="00405303">
        <w:rPr>
          <w:bCs/>
          <w:i w:val="0"/>
          <w:color w:val="002060"/>
          <w:spacing w:val="0"/>
          <w:kern w:val="0"/>
          <w:position w:val="0"/>
          <w:sz w:val="16"/>
          <w:szCs w:val="16"/>
        </w:rPr>
        <w:t>обследовали район Горлица-Биеч. Используя полученные данные, командование 3-й армии осуществило ряд превентивных мероприятий, снизивших темпы наступления противника. И хотя русские войска были оттеснены из Галиции, но окружить и разгромить их не удалось (11278).</w:t>
      </w:r>
    </w:p>
    <w:p w14:paraId="6FD995CE" w14:textId="77777777" w:rsidR="004B4E35" w:rsidRPr="00405303" w:rsidRDefault="004B4E35" w:rsidP="00C15251">
      <w:pPr>
        <w:pStyle w:val="a3"/>
        <w:jc w:val="both"/>
        <w:rPr>
          <w:bCs/>
          <w:i w:val="0"/>
          <w:color w:val="002060"/>
          <w:spacing w:val="0"/>
          <w:kern w:val="0"/>
          <w:position w:val="0"/>
          <w:sz w:val="16"/>
          <w:szCs w:val="16"/>
        </w:rPr>
      </w:pPr>
    </w:p>
    <w:p w14:paraId="28F2BA0A" w14:textId="77777777" w:rsidR="00252322" w:rsidRPr="00405303" w:rsidRDefault="00252322" w:rsidP="00252322">
      <w:pPr>
        <w:jc w:val="both"/>
        <w:rPr>
          <w:color w:val="0070C0"/>
          <w:sz w:val="16"/>
          <w:szCs w:val="16"/>
        </w:rPr>
      </w:pPr>
      <w:r w:rsidRPr="00405303">
        <w:rPr>
          <w:color w:val="0070C0"/>
          <w:sz w:val="16"/>
          <w:szCs w:val="16"/>
        </w:rPr>
        <w:t>17 (30) апреля 1915 г. в связи с началом наступления немецких войск в Прибалтике и прорывом отдельных участков Северо-Западного фронта командующий Балтийским флотом отдал приказ о сдаче Либавы, предварительно уничтожив все военные объекты города. Тем не менее германский морской десант при захвате города столкнулся с серьезным сопротивлением. Русские артиллеристы подвергли периодическим обстрелам как морские, так и воздушные суда противника (25135).</w:t>
      </w:r>
    </w:p>
    <w:p w14:paraId="02D7E1A9" w14:textId="77777777" w:rsidR="00252322" w:rsidRPr="00405303" w:rsidRDefault="00252322" w:rsidP="00252322">
      <w:pPr>
        <w:jc w:val="both"/>
        <w:rPr>
          <w:color w:val="0070C0"/>
          <w:sz w:val="16"/>
          <w:szCs w:val="16"/>
        </w:rPr>
      </w:pPr>
    </w:p>
    <w:p w14:paraId="2EF8C392" w14:textId="77777777" w:rsidR="00252322" w:rsidRPr="00405303" w:rsidRDefault="00252322" w:rsidP="00252322">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17 (30) апреля 1915 г. огнем русской артиллерии был сбит германский аэроплан, проводивший воздушную разведку наших передовых позиций (25135).</w:t>
      </w:r>
    </w:p>
    <w:p w14:paraId="18739435" w14:textId="77777777" w:rsidR="00252322" w:rsidRPr="00405303" w:rsidRDefault="00252322" w:rsidP="00252322">
      <w:pPr>
        <w:jc w:val="both"/>
        <w:rPr>
          <w:rStyle w:val="aa"/>
          <w:rFonts w:ascii="Times New Roman" w:hAnsi="Times New Roman"/>
          <w:color w:val="0070C0"/>
          <w:spacing w:val="0"/>
          <w:sz w:val="16"/>
          <w:szCs w:val="16"/>
        </w:rPr>
      </w:pPr>
    </w:p>
    <w:p w14:paraId="047AA857"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7098BF89" w14:textId="77777777" w:rsidR="004B4E35" w:rsidRPr="00405303" w:rsidRDefault="004B4E35" w:rsidP="00C15251">
      <w:pPr>
        <w:jc w:val="both"/>
        <w:rPr>
          <w:bCs/>
          <w:i/>
          <w:color w:val="002060"/>
          <w:sz w:val="16"/>
          <w:szCs w:val="16"/>
        </w:rPr>
      </w:pPr>
    </w:p>
    <w:p w14:paraId="2EF8D1DF" w14:textId="24D228B5" w:rsidR="004B4E35" w:rsidRPr="00405303" w:rsidRDefault="009E6F82" w:rsidP="00C15251">
      <w:pPr>
        <w:jc w:val="both"/>
        <w:rPr>
          <w:bCs/>
          <w:color w:val="002060"/>
          <w:sz w:val="16"/>
          <w:szCs w:val="16"/>
        </w:rPr>
      </w:pPr>
      <w:r w:rsidRPr="00405303">
        <w:rPr>
          <w:bCs/>
          <w:color w:val="002060"/>
          <w:sz w:val="16"/>
          <w:szCs w:val="16"/>
        </w:rPr>
        <w:t xml:space="preserve">18 апреля </w:t>
      </w:r>
      <w:r w:rsidR="00D6598C" w:rsidRPr="00405303">
        <w:rPr>
          <w:bCs/>
          <w:color w:val="002060"/>
          <w:sz w:val="16"/>
          <w:szCs w:val="16"/>
        </w:rPr>
        <w:t xml:space="preserve">(1 мая) </w:t>
      </w:r>
      <w:r w:rsidRPr="00405303">
        <w:rPr>
          <w:bCs/>
          <w:color w:val="002060"/>
          <w:sz w:val="16"/>
          <w:szCs w:val="16"/>
        </w:rPr>
        <w:t xml:space="preserve">1915 г. </w:t>
      </w:r>
      <w:r w:rsidR="00D6598C" w:rsidRPr="00405303">
        <w:rPr>
          <w:bCs/>
          <w:color w:val="002060"/>
          <w:sz w:val="16"/>
          <w:szCs w:val="16"/>
        </w:rPr>
        <w:t>постановление Военного Совета от 20 ноября 1914 г.</w:t>
      </w:r>
      <w:r w:rsidRPr="00405303">
        <w:rPr>
          <w:bCs/>
          <w:color w:val="002060"/>
          <w:sz w:val="16"/>
          <w:szCs w:val="16"/>
        </w:rPr>
        <w:t xml:space="preserve"> </w:t>
      </w:r>
      <w:r w:rsidR="00D6598C" w:rsidRPr="00405303">
        <w:rPr>
          <w:bCs/>
          <w:color w:val="002060"/>
          <w:sz w:val="16"/>
          <w:szCs w:val="16"/>
        </w:rPr>
        <w:t xml:space="preserve">о приостановлении контракта от 2 октября 1914 г. за № 11356/5031 на постройку 32 кораблей, </w:t>
      </w:r>
      <w:r w:rsidRPr="00405303">
        <w:rPr>
          <w:bCs/>
          <w:color w:val="002060"/>
          <w:sz w:val="16"/>
          <w:szCs w:val="16"/>
        </w:rPr>
        <w:t xml:space="preserve">было отменено. Председатель Правления А/О РБВЗ Шидловский написал докладную записку военному министру Сухомлинову и просил, чтобы ему на деле дати возможность доказать пригодность "Муромцев" для военных целей. В ней указывалось неправильное использование этих машин на фронте и предлагалось сформировать из разрозненных отрядов "Муромцев" боевое соединение по типу эскадры морских боевых кораблей. Верховный Главнокомандующий Великий князь Николай Николаевич и сам император также ознакомились с докладом и одобрили этот проект. В начале декабря 1914 г. был издан приказ согласно которого вся авиация делилась на тяжелую и легкую. Было сформировано Управление Эскадры Воздушных Кораблей (УЭВК), подчиненное Верховному Главнокомандующему. М.В.Шидловскому присвоили звание генерал-майора, что соответствовало его чину действительного статского советника, и назначили Начальником УЭВК. По штату Эскадре полагалось 10 боевых и 2 учебных корабля. Аэродром УЭВК находился у деревни Старая Яблонна (под Варшавой), куда в декабре 1914 г прибыли Ш-й, V-й, VI-й и VI 1-й корабли. Два последних "Муромца" были нового типа В ("облегченного"), с острым носом (первый учебный с 2 "Сальмсонами", второй боевой). Еше в сентябре 1914 г. при формировании трех дополнительных отрядов (V-ro поручика Г.В.Алехновича, VI-го штабс-капитана Б.Н.Фирсова и VII-го штабс-капитана Г.Г.Горшкова). Для отряда "Киевский" (Vll-ro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В, который получил название "Киевский" по имени отряда. Бесценные моторы "Аргус" были сняты с гатчинца и поставлены на новый корабль, который в декабре убыл по ж/д на фронт вместе с УЭВК (12038). </w:t>
      </w:r>
    </w:p>
    <w:p w14:paraId="1A982F75" w14:textId="77777777" w:rsidR="004B4E35" w:rsidRPr="00405303" w:rsidRDefault="004B4E35" w:rsidP="00C15251">
      <w:pPr>
        <w:jc w:val="both"/>
        <w:rPr>
          <w:bCs/>
          <w:color w:val="002060"/>
          <w:sz w:val="16"/>
          <w:szCs w:val="16"/>
        </w:rPr>
      </w:pPr>
    </w:p>
    <w:p w14:paraId="1B151946" w14:textId="77777777" w:rsidR="00B44654" w:rsidRPr="00405303" w:rsidRDefault="00B44654" w:rsidP="00C15251">
      <w:pPr>
        <w:jc w:val="both"/>
        <w:rPr>
          <w:bCs/>
          <w:color w:val="002060"/>
          <w:sz w:val="16"/>
          <w:szCs w:val="16"/>
        </w:rPr>
      </w:pPr>
      <w:r w:rsidRPr="00405303">
        <w:rPr>
          <w:bCs/>
          <w:color w:val="002060"/>
          <w:sz w:val="16"/>
          <w:szCs w:val="16"/>
        </w:rPr>
        <w:t>18 апреля (1 мая) 1915 г. решением председателя Авиационной комиссии Высшего совета по обороне государства В. Гурко приемка самолетов ИМ и действие всех ранее выданных заказов на постройку самолетов ИМ были возобновлены и установлен следующий порядок сдачи:</w:t>
      </w:r>
    </w:p>
    <w:p w14:paraId="1377502C" w14:textId="77777777" w:rsidR="00B44654" w:rsidRPr="00405303" w:rsidRDefault="00B44654" w:rsidP="00C15251">
      <w:pPr>
        <w:jc w:val="both"/>
        <w:rPr>
          <w:bCs/>
          <w:color w:val="002060"/>
          <w:sz w:val="16"/>
          <w:szCs w:val="16"/>
        </w:rPr>
      </w:pPr>
      <w:r w:rsidRPr="00405303">
        <w:rPr>
          <w:bCs/>
          <w:color w:val="002060"/>
          <w:sz w:val="16"/>
          <w:szCs w:val="16"/>
        </w:rPr>
        <w:t>- приемо-сдаточным испытанием считается 1-й боевой вылет для самолетов, доставленных на базу по железной дороге или самостоятельный перелет на эту базу с завода (т.е. облет на заводе становился не обязательным);</w:t>
      </w:r>
    </w:p>
    <w:p w14:paraId="634B753C" w14:textId="77777777" w:rsidR="00B44654" w:rsidRPr="00405303" w:rsidRDefault="00B44654" w:rsidP="00C15251">
      <w:pPr>
        <w:jc w:val="both"/>
        <w:rPr>
          <w:bCs/>
          <w:color w:val="002060"/>
          <w:sz w:val="16"/>
          <w:szCs w:val="16"/>
        </w:rPr>
      </w:pPr>
      <w:r w:rsidRPr="00405303">
        <w:rPr>
          <w:bCs/>
          <w:color w:val="002060"/>
          <w:sz w:val="16"/>
          <w:szCs w:val="16"/>
        </w:rPr>
        <w:t>- самолеты, разбившиеся в этих полетах, идут в убыток заводу – не оплачиваются (23562).</w:t>
      </w:r>
    </w:p>
    <w:p w14:paraId="60DD630D" w14:textId="77777777" w:rsidR="00B44654" w:rsidRPr="00405303" w:rsidRDefault="00B44654" w:rsidP="00C15251">
      <w:pPr>
        <w:jc w:val="both"/>
        <w:rPr>
          <w:bCs/>
          <w:color w:val="002060"/>
          <w:sz w:val="16"/>
          <w:szCs w:val="16"/>
        </w:rPr>
      </w:pPr>
    </w:p>
    <w:p w14:paraId="102BC5D0" w14:textId="6C2B946A" w:rsidR="00B44654" w:rsidRPr="00405303" w:rsidRDefault="00B44654" w:rsidP="00C15251">
      <w:pPr>
        <w:jc w:val="both"/>
        <w:rPr>
          <w:bCs/>
          <w:i/>
          <w:color w:val="002060"/>
          <w:sz w:val="16"/>
          <w:szCs w:val="16"/>
        </w:rPr>
      </w:pPr>
      <w:r w:rsidRPr="00405303">
        <w:rPr>
          <w:bCs/>
          <w:i/>
          <w:color w:val="002060"/>
          <w:sz w:val="16"/>
          <w:szCs w:val="16"/>
        </w:rPr>
        <w:t>Авиация:</w:t>
      </w:r>
    </w:p>
    <w:p w14:paraId="7D2BA72D" w14:textId="77777777" w:rsidR="00B44654" w:rsidRPr="00405303" w:rsidRDefault="00B44654" w:rsidP="00C15251">
      <w:pPr>
        <w:jc w:val="both"/>
        <w:rPr>
          <w:bCs/>
          <w:i/>
          <w:color w:val="002060"/>
          <w:sz w:val="16"/>
          <w:szCs w:val="16"/>
        </w:rPr>
      </w:pPr>
    </w:p>
    <w:p w14:paraId="408B9575" w14:textId="098D0EC0" w:rsidR="00B44654" w:rsidRPr="00405303" w:rsidRDefault="00B44654" w:rsidP="00C15251">
      <w:pPr>
        <w:jc w:val="both"/>
        <w:rPr>
          <w:bCs/>
          <w:color w:val="002060"/>
          <w:sz w:val="16"/>
          <w:szCs w:val="16"/>
        </w:rPr>
      </w:pPr>
      <w:r w:rsidRPr="00405303">
        <w:rPr>
          <w:bCs/>
          <w:color w:val="002060"/>
          <w:sz w:val="16"/>
          <w:szCs w:val="16"/>
        </w:rPr>
        <w:t xml:space="preserve">18 апреля </w:t>
      </w:r>
      <w:r w:rsidR="007213D2" w:rsidRPr="00405303">
        <w:rPr>
          <w:bCs/>
          <w:color w:val="002060"/>
          <w:sz w:val="16"/>
          <w:szCs w:val="16"/>
        </w:rPr>
        <w:t xml:space="preserve">(1 мая) </w:t>
      </w:r>
      <w:r w:rsidRPr="00405303">
        <w:rPr>
          <w:bCs/>
          <w:color w:val="002060"/>
          <w:sz w:val="16"/>
          <w:szCs w:val="16"/>
        </w:rPr>
        <w:t>1915 г. Начальник шта</w:t>
      </w:r>
      <w:r w:rsidRPr="00405303">
        <w:rPr>
          <w:bCs/>
          <w:color w:val="002060"/>
          <w:sz w:val="16"/>
          <w:szCs w:val="16"/>
        </w:rPr>
        <w:softHyphen/>
        <w:t>ба Верховного Главнокомандующе</w:t>
      </w:r>
      <w:r w:rsidRPr="00405303">
        <w:rPr>
          <w:bCs/>
          <w:color w:val="002060"/>
          <w:sz w:val="16"/>
          <w:szCs w:val="16"/>
        </w:rPr>
        <w:softHyphen/>
        <w:t>го направил начальнику ЭВК следу</w:t>
      </w:r>
      <w:r w:rsidRPr="00405303">
        <w:rPr>
          <w:bCs/>
          <w:color w:val="002060"/>
          <w:sz w:val="16"/>
          <w:szCs w:val="16"/>
        </w:rPr>
        <w:softHyphen/>
        <w:t>ющую телеграмму: «Верховный Главнокомандующий повелел мне благодарить Вас и чинов эскадры за достигнутые результаты по созда</w:t>
      </w:r>
      <w:r w:rsidRPr="00405303">
        <w:rPr>
          <w:bCs/>
          <w:color w:val="002060"/>
          <w:sz w:val="16"/>
          <w:szCs w:val="16"/>
        </w:rPr>
        <w:softHyphen/>
        <w:t>нию и применению Эскадры, кото</w:t>
      </w:r>
      <w:r w:rsidRPr="00405303">
        <w:rPr>
          <w:bCs/>
          <w:color w:val="002060"/>
          <w:sz w:val="16"/>
          <w:szCs w:val="16"/>
        </w:rPr>
        <w:softHyphen/>
        <w:t>рой он придаёт важное значение. Его Императорское Высочество ра</w:t>
      </w:r>
      <w:r w:rsidRPr="00405303">
        <w:rPr>
          <w:bCs/>
          <w:color w:val="002060"/>
          <w:sz w:val="16"/>
          <w:szCs w:val="16"/>
        </w:rPr>
        <w:softHyphen/>
        <w:t>дуется, что благодаря свойственной Вам энергии, эскадра будет усили</w:t>
      </w:r>
      <w:r w:rsidRPr="00405303">
        <w:rPr>
          <w:bCs/>
          <w:color w:val="002060"/>
          <w:sz w:val="16"/>
          <w:szCs w:val="16"/>
        </w:rPr>
        <w:softHyphen/>
        <w:t>ваться с каждым днём, в её состав будут вступать новые всё более мощные боевые корабли и в бли</w:t>
      </w:r>
      <w:r w:rsidRPr="00405303">
        <w:rPr>
          <w:bCs/>
          <w:color w:val="002060"/>
          <w:sz w:val="16"/>
          <w:szCs w:val="16"/>
        </w:rPr>
        <w:softHyphen/>
        <w:t>жайшем будущем эскадра действительно явится грозным и неотвра</w:t>
      </w:r>
      <w:r w:rsidRPr="00405303">
        <w:rPr>
          <w:bCs/>
          <w:color w:val="002060"/>
          <w:sz w:val="16"/>
          <w:szCs w:val="16"/>
        </w:rPr>
        <w:softHyphen/>
        <w:t>тимым оружием против упорного врага» (23469).</w:t>
      </w:r>
    </w:p>
    <w:p w14:paraId="0B73C141" w14:textId="77777777" w:rsidR="00B44654" w:rsidRPr="00405303" w:rsidRDefault="00B44654" w:rsidP="00C15251">
      <w:pPr>
        <w:jc w:val="both"/>
        <w:rPr>
          <w:bCs/>
          <w:i/>
          <w:color w:val="002060"/>
          <w:sz w:val="16"/>
          <w:szCs w:val="16"/>
        </w:rPr>
      </w:pPr>
    </w:p>
    <w:p w14:paraId="1705776A" w14:textId="77777777" w:rsidR="00252322" w:rsidRPr="00405303" w:rsidRDefault="00252322" w:rsidP="00252322">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18 апреля (1 мая) 1915 г. объектом нападения вновь стал г. Ясло. На городскую железнодорожную станцию противник сбросил 13 авиабомб. По счастливой случайности обошлось без человеческих жертв (25135).</w:t>
      </w:r>
    </w:p>
    <w:p w14:paraId="47C2CD9D" w14:textId="77777777" w:rsidR="00252322" w:rsidRPr="00405303" w:rsidRDefault="00252322" w:rsidP="00252322">
      <w:pPr>
        <w:jc w:val="both"/>
        <w:rPr>
          <w:color w:val="0070C0"/>
          <w:sz w:val="16"/>
          <w:szCs w:val="16"/>
        </w:rPr>
      </w:pPr>
    </w:p>
    <w:p w14:paraId="5B614E01" w14:textId="401F4A5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3EFA6689" w14:textId="77777777" w:rsidR="004B4E35" w:rsidRPr="00405303" w:rsidRDefault="004B4E35" w:rsidP="00C15251">
      <w:pPr>
        <w:jc w:val="both"/>
        <w:rPr>
          <w:bCs/>
          <w:i/>
          <w:color w:val="002060"/>
          <w:sz w:val="16"/>
          <w:szCs w:val="16"/>
        </w:rPr>
      </w:pPr>
    </w:p>
    <w:p w14:paraId="273C7E5F" w14:textId="74B972B4" w:rsidR="004B4E35" w:rsidRPr="00405303" w:rsidRDefault="009E6F82" w:rsidP="00C15251">
      <w:pPr>
        <w:pStyle w:val="a3"/>
        <w:jc w:val="both"/>
        <w:rPr>
          <w:bCs/>
          <w:i w:val="0"/>
          <w:color w:val="002060"/>
          <w:spacing w:val="0"/>
          <w:sz w:val="16"/>
          <w:szCs w:val="16"/>
        </w:rPr>
      </w:pPr>
      <w:r w:rsidRPr="00405303">
        <w:rPr>
          <w:bCs/>
          <w:i w:val="0"/>
          <w:color w:val="002060"/>
          <w:spacing w:val="0"/>
          <w:sz w:val="16"/>
          <w:szCs w:val="16"/>
        </w:rPr>
        <w:t>18 апреля (1 мая) 1915 летчики вели разведку германских кораблей. Лейтенант Ян Нагурский на «Фармане-11» смело атаковал крейсер «Тетис», но сброшен</w:t>
      </w:r>
      <w:r w:rsidRPr="00405303">
        <w:rPr>
          <w:bCs/>
          <w:i w:val="0"/>
          <w:color w:val="002060"/>
          <w:spacing w:val="0"/>
          <w:sz w:val="16"/>
          <w:szCs w:val="16"/>
        </w:rPr>
        <w:softHyphen/>
        <w:t>ные бомбы в цель не попали. Близким разрывом шрапнель</w:t>
      </w:r>
      <w:r w:rsidRPr="00405303">
        <w:rPr>
          <w:bCs/>
          <w:i w:val="0"/>
          <w:color w:val="002060"/>
          <w:spacing w:val="0"/>
          <w:sz w:val="16"/>
          <w:szCs w:val="16"/>
        </w:rPr>
        <w:softHyphen/>
        <w:t>ного снаряда противника мотор его поплавкового гидроплана был поврежден. Спланировав на воду, пилот долго устранял неисправность, после чего благополучно возвратился на воз</w:t>
      </w:r>
      <w:r w:rsidRPr="00405303">
        <w:rPr>
          <w:bCs/>
          <w:i w:val="0"/>
          <w:color w:val="002060"/>
          <w:spacing w:val="0"/>
          <w:sz w:val="16"/>
          <w:szCs w:val="16"/>
        </w:rPr>
        <w:softHyphen/>
        <w:t xml:space="preserve">душную станцию. </w:t>
      </w:r>
      <w:r w:rsidR="00D6598C" w:rsidRPr="00405303">
        <w:rPr>
          <w:bCs/>
          <w:i w:val="0"/>
          <w:color w:val="002060"/>
          <w:spacing w:val="0"/>
          <w:sz w:val="16"/>
          <w:szCs w:val="16"/>
        </w:rPr>
        <w:t xml:space="preserve">В обороне подхода к Ирбенскому проливу пилоты Килькондского авиаотряда имели всего лишь 4 исправных аэроплана. </w:t>
      </w:r>
      <w:r w:rsidRPr="00405303">
        <w:rPr>
          <w:bCs/>
          <w:i w:val="0"/>
          <w:color w:val="002060"/>
          <w:spacing w:val="0"/>
          <w:sz w:val="16"/>
          <w:szCs w:val="16"/>
        </w:rPr>
        <w:t>Через неделю Либаву захватили немцы (11283).</w:t>
      </w:r>
    </w:p>
    <w:p w14:paraId="56C8CBDE" w14:textId="77777777" w:rsidR="004B4E35" w:rsidRPr="00405303" w:rsidRDefault="004B4E35" w:rsidP="00C15251">
      <w:pPr>
        <w:pStyle w:val="a3"/>
        <w:jc w:val="both"/>
        <w:rPr>
          <w:bCs/>
          <w:i w:val="0"/>
          <w:color w:val="002060"/>
          <w:spacing w:val="0"/>
          <w:sz w:val="16"/>
          <w:szCs w:val="16"/>
        </w:rPr>
      </w:pPr>
    </w:p>
    <w:p w14:paraId="200C347C" w14:textId="77777777" w:rsidR="00D6598C" w:rsidRPr="00405303" w:rsidRDefault="00D6598C"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 и воздухоплавание Германии:</w:t>
      </w:r>
    </w:p>
    <w:p w14:paraId="0F463BD0" w14:textId="77777777" w:rsidR="00D6598C" w:rsidRPr="00405303" w:rsidRDefault="00D6598C" w:rsidP="00C15251">
      <w:pPr>
        <w:pStyle w:val="a3"/>
        <w:jc w:val="both"/>
        <w:rPr>
          <w:bCs/>
          <w:color w:val="002060"/>
          <w:spacing w:val="0"/>
          <w:kern w:val="0"/>
          <w:position w:val="0"/>
          <w:sz w:val="16"/>
          <w:szCs w:val="16"/>
        </w:rPr>
      </w:pPr>
    </w:p>
    <w:p w14:paraId="147147F9" w14:textId="77777777" w:rsidR="00D6598C" w:rsidRPr="00405303" w:rsidRDefault="00D6598C" w:rsidP="00C15251">
      <w:pPr>
        <w:jc w:val="both"/>
        <w:rPr>
          <w:bCs/>
          <w:color w:val="002060"/>
          <w:sz w:val="16"/>
          <w:szCs w:val="16"/>
        </w:rPr>
      </w:pPr>
      <w:r w:rsidRPr="00405303">
        <w:rPr>
          <w:bCs/>
          <w:color w:val="002060"/>
          <w:sz w:val="16"/>
          <w:szCs w:val="16"/>
        </w:rPr>
        <w:lastRenderedPageBreak/>
        <w:t>18 апреля (1 мая) 1915 года германскому майору Гримме, участвовавшему в мирное время в испъггательных стрельбах зенитной артиллерии, было поручено объехать зенитную артиллерию тыла на западной границе, а также зенитную артиллерию западного фронта, чтобы собрать накопившийся опыт и совместно со штабами армий разработать меры по повышению результатов работы зенитной артиллерии. Одной из наиболее важных мер было прикомандирование к штабу каждой армии одного офицера-зенитчика, на которого возлагалась обязанность регулирования применения зенитной артиллерии и подготовки ее личного состава, а также систематизация имеющегося опыта по применению, методам стрельбы, подготовке и техническим усовершенствованиям зенитной артиллерии. Вскоре, однако, выяснилась необходимость равным образом и при главном командовании иметь лицо, ответственное за зенитную артиллерию. Была создана должность инспектора зенитной артиллерии при главной штаб-квартире; на эту должность был назначен майор Гримме. Он был непосредственно подчинен начальнику полевого Генерального штаба; ему поручалось инспектирование на фронте и в Бельгии, а также контроль над подготовкой личного состава зенитныхчастей и распределение зенитных орудий по частям действующей армии. Стремясь передать авиации накопленный зенитной артиллерией опыт, он поддерживал тесную связь с начальником полевого воздушного флота. Кроме того, он собирал и систематизировал военный опыт, намечал пути дальнейшего развития зенитной артиллерии и руководил соответствующими испытаниями; совместно с инспектором зенитной артиллерии тыла составлял уставы для зенитной артиллерии. Зенитные школы находились у него в подчинении. Вопреки предложению инспектора объединить зенитную артиллерию под командованием собственных начальников, зенитные орудия с конной тягой были распределены по дивизиям, причем каждая дивизия получила по одному взводу зенитной артиллерии, вошедшему в состав одного из полевых артиллерийских полков дивизии. Автомобильные же орудия, зенитные орудия калибра 37 и 90 мм и стационарные зенитные орудия были подчинены в качестве армейской зенитной артиллерии штаб-офицерам этого вида артиллерии при штабах армий. Подготовкой личного состава занимались различные школы; из них лучшей по оборудованию была школа зенитной артиллерии в Остенде. При выборе месторасположения этой школы исходили из того правильного соображения, что в непосредственной близости к фландрскому фронту будет часто представляться возможность обстрела неприятельских самолетов (11282). Опираясь на военный опыт, инспектор зенитной артиллерии предъявил в 1915 году ряд требований, которым должно удовлетворять соответствующее своим задачам зенитное орудие; эти требования сводились к следующему: значительное сокращение времени полета снаряда и, следовательно, увеличение начальной скорости сверх 750 м/с; значительное увеличение калибра; увеличение дальности стрельбы; усовершенствование приспособлений для наводки в связи с необходимостью стрелять под большими углами и ввиду быстроты перемещения целей; угол возвышения до 70</w:t>
      </w:r>
      <w:r w:rsidRPr="00405303">
        <w:rPr>
          <w:rFonts w:eastAsia="Times-Roman"/>
          <w:bCs/>
          <w:color w:val="002060"/>
          <w:sz w:val="16"/>
          <w:szCs w:val="16"/>
        </w:rPr>
        <w:t>ｰ</w:t>
      </w:r>
      <w:r w:rsidRPr="00405303">
        <w:rPr>
          <w:bCs/>
          <w:color w:val="002060"/>
          <w:sz w:val="16"/>
          <w:szCs w:val="16"/>
        </w:rPr>
        <w:t xml:space="preserve">; усовершенствование мишеней для обучения стрельбе. Вследствие перегруженности промышленных предприятий заказами, изготовление таких орудий требовало продолжительного времени. Тем временемв качестве зенитных орудий, за неимением лучшего, были использованы предоставленные морским ведомством 366 автоматических пушек калибра 37 мм. Эти пушки стреляли трассирующими гранатами; благодаря скорострельности и большому запугивающему действию оставляемого гранатой в полете следа, они оказались вполне пригодными для защиты сооружений. Кроме этих орудий применялись крепостные револьверные пушки калибра 37 мм, но исключительно для защиты привязных аэростатов. Существенные затруднения вызывали частые случаи несрабатывания дистанционных трубок, доходившие в некоторых армиях до 50 % от общего числа выстрелов. Вследствие потухания дистанционного состава снаряды разрывались не в воздухе, а лишь при ударе о землю, нанося урон собственным войскам. Следующим недостатком являлось то, что снаряды полевой пушки имели дистанционную трубку с дальностью действия всего 5000 м и поэтому при обстреле высоко летящих самолетов были совершенно бесполезными. Снаряды другого типа с дистанционными трубками, рассчитанными на большую дальность полета снаряда и действующими без отказа, часто разрывались в стволе орудия, приводя его в негодность. Эти недочеты плохо отражались на работе зенитной артиллерии и на отношении к ней других родов войск, которые вообще тогда не до конца понимали трудности задач этой артиллерии и ее особенности. Результаты стрельбы зенитной артиллерии улучшились благодаря усовершенствованию измерительных приборов, на устройстве и применении которых необходимо остановиться несколько детальнее. Важнейшим прибором был дальномер, так как определять дистанцию по карте или с помощью вилки при стрельбе по воздушным целям, разумеется, невозможно. Применялся главным образом дальномер, обслуживаемый одним наблюдателем, с готовой базой в самом приборе; дальномеры, которые обслуживались несколькими наблюдателями и нуждались в большой, тщательно вымеренной базе, наряду с большей точностью, обладали и целым рядом недостатков. Вместе с дальномером всегда применялся теодолит, служащий для определения угла возвышения, </w:t>
      </w:r>
      <w:proofErr w:type="gramStart"/>
      <w:r w:rsidRPr="00405303">
        <w:rPr>
          <w:bCs/>
          <w:color w:val="002060"/>
          <w:sz w:val="16"/>
          <w:szCs w:val="16"/>
        </w:rPr>
        <w:t>а следовательно</w:t>
      </w:r>
      <w:proofErr w:type="gramEnd"/>
      <w:r w:rsidRPr="00405303">
        <w:rPr>
          <w:bCs/>
          <w:color w:val="002060"/>
          <w:sz w:val="16"/>
          <w:szCs w:val="16"/>
        </w:rPr>
        <w:t xml:space="preserve"> и высоты полета самолета. Помимо дистанции и высоты нужно еще знать величину угла между положением орудия и направлением полета самолета. Этот угол определялся или на глаз, или с помощью особого прибора, равно как и величина упреждения по высоте и направлению. Упреждение зависит от скорости, направления и высоты полетов, расстояния до самолета, времени полета снаряда, а также от продолжительности изготовки к выстрелу (времени выполнения команды). Соотношение этих величин не только нельзя было определить на глаз, но даже не представлялось возможным найти с помощью вычисления. За отсутствием вспомогательных средств, стрельба первоначально велась </w:t>
      </w:r>
      <w:r w:rsidRPr="00405303">
        <w:rPr>
          <w:rFonts w:eastAsia="Times-Roman"/>
          <w:bCs/>
          <w:color w:val="002060"/>
          <w:sz w:val="16"/>
          <w:szCs w:val="16"/>
        </w:rPr>
        <w:t>ｫ</w:t>
      </w:r>
      <w:r w:rsidRPr="00405303">
        <w:rPr>
          <w:bCs/>
          <w:color w:val="002060"/>
          <w:sz w:val="16"/>
          <w:szCs w:val="16"/>
        </w:rPr>
        <w:t>„~ глазок</w:t>
      </w:r>
      <w:r w:rsidRPr="00405303">
        <w:rPr>
          <w:rFonts w:eastAsia="Times-Roman"/>
          <w:bCs/>
          <w:color w:val="002060"/>
          <w:sz w:val="16"/>
          <w:szCs w:val="16"/>
        </w:rPr>
        <w:t>ｻ</w:t>
      </w:r>
      <w:r w:rsidRPr="00405303">
        <w:rPr>
          <w:bCs/>
          <w:color w:val="002060"/>
          <w:sz w:val="16"/>
          <w:szCs w:val="16"/>
        </w:rPr>
        <w:t>; но затем пришлось перейти к другим методам. Первыми возникли таблицы стрельбы, в которых в форме команд были указаны деления трубки и упреждение по дальности, высоте и направлению в зависимости от дистанции и угла стрельбы. Прицельный прибор системы Переса и затем более усовершенствованный прибор Шениана позволили осуществить измерение скорости полета, угла вылета и различных упреждений одним инструментом. Однако несмотря на усовершенствование измерительных приборов, значительный промежуток времени между передачей результатов измерений орудийному расчету и попаданием снаряда в цель, в течение которого вносить в полученные данные какие-либо изменения, разумеется, невозможно, вызвал значительные затруднения. Конструкция приборов основывалась на том предположении, что самолет за время изготовки к выстрелу и полета снаряда не меняет ни высоты, ни направления, ни скорости полета. Если же эти условия не выполнялись, то самолет мог за это время уйти на расстояние до 1500 м от траектории выстрела. Успешность зенитной стрельбы вынуждала летчиков лететь по кривым и ломаным линиям; завязывался своего рода поединок умов артиллериста и летчика. Зенитчик ощущал острую нужду в солидных артиллерийских познаниях; он не мог механически пользоваться данными измерений и должен был применяться к предполагаемому маневрированию летчика. Недостаточность глазомерного наблюдения и оценки и несостоятельность стрельбы с продолжительной пристрелкой по целям привелик применению огневых нападений. При этом способе раз полученные данные служили лишь для группы снарядов, выпущенных один за другим с чрезвычайно короткими интервалами; для следующих групп снарядов требовались уже новые данные. Несовершенство приборов и возможность ухода летчика с траектории полета снаряда за время выполнения команды вызвали необходимость стрелять с рассеиванием. Величина рассеивания зависела от числа орудий в батарее. Чем больше орудий стреляет одновременно, тем лучше. Однако численность орудий батареи ограничена необходимостью ее маскировки; наиболее целесообразным был признан состав батареи из двух автомобильных орудий или четырех орудий на конной тяге. Выяснилась необходимость для выполнения зенитной артиллерией ее задач создать на фронте непрерывную линию обороны с таким числом орудий, чтобы рассеивание над каждой зенитной частью могли перекрываться огнем соседней батареи; промежутки, обусловленные местностью, приходилось оборонять зенитным орудиям, установленным позади таких районов. Если же из-за нехватки зенитных орудий такой линии обороны создать было нельзя, приходилось переменой позиции маскировать незащищенные промежутки во избежание регулярных прорывов неприятельских самолетов. На восточном фронте, вследствие нехватки зенитных орудий, создать непрерывную линию обороны нигде не представлялось возможным. Вспомогательных зенитных орудий из числа полевых пушек также не хватало из-за общего недостатка в полевой артиллерии. Впрочем, воздушная деятельность противника тоже была незначительной. В Карпатах зенитные орудия на конной тяге оказались малопригодными вследствие их большого веса. Это особенно сильно проявилось во время быстрого наступления в Сербии, когда запряженные лошадьми зенитные орудия не могли угнаться за войсками. Неоднократно на тяжелых участках пути приходилось в помощь лошадям впрягать волов (11282).</w:t>
      </w:r>
    </w:p>
    <w:p w14:paraId="58E2D1C7" w14:textId="77777777" w:rsidR="00D6598C" w:rsidRPr="00405303" w:rsidRDefault="00D6598C" w:rsidP="00C15251">
      <w:pPr>
        <w:jc w:val="both"/>
        <w:rPr>
          <w:bCs/>
          <w:color w:val="002060"/>
          <w:sz w:val="16"/>
          <w:szCs w:val="16"/>
        </w:rPr>
      </w:pPr>
    </w:p>
    <w:p w14:paraId="7041D6D1" w14:textId="77777777" w:rsidR="00BC50B5" w:rsidRPr="00405303" w:rsidRDefault="00BC50B5" w:rsidP="00C15251">
      <w:pPr>
        <w:jc w:val="both"/>
        <w:rPr>
          <w:bCs/>
          <w:i/>
          <w:color w:val="002060"/>
          <w:sz w:val="16"/>
          <w:szCs w:val="16"/>
        </w:rPr>
      </w:pPr>
      <w:r w:rsidRPr="00405303">
        <w:rPr>
          <w:bCs/>
          <w:i/>
          <w:color w:val="002060"/>
          <w:sz w:val="16"/>
          <w:szCs w:val="16"/>
        </w:rPr>
        <w:t>За рубежом:</w:t>
      </w:r>
    </w:p>
    <w:p w14:paraId="28DB0198" w14:textId="77777777" w:rsidR="00BC50B5" w:rsidRPr="00405303" w:rsidRDefault="00BC50B5" w:rsidP="00C15251">
      <w:pPr>
        <w:jc w:val="both"/>
        <w:rPr>
          <w:bCs/>
          <w:color w:val="002060"/>
          <w:sz w:val="16"/>
          <w:szCs w:val="16"/>
        </w:rPr>
      </w:pPr>
    </w:p>
    <w:p w14:paraId="74D8ECD2" w14:textId="77777777" w:rsidR="00BC50B5" w:rsidRPr="00405303" w:rsidRDefault="00BC50B5" w:rsidP="00C15251">
      <w:pPr>
        <w:jc w:val="both"/>
        <w:rPr>
          <w:bCs/>
          <w:color w:val="002060"/>
          <w:sz w:val="16"/>
          <w:szCs w:val="16"/>
        </w:rPr>
      </w:pPr>
      <w:r w:rsidRPr="00405303">
        <w:rPr>
          <w:bCs/>
          <w:color w:val="002060"/>
          <w:sz w:val="16"/>
          <w:szCs w:val="16"/>
        </w:rPr>
        <w:t>18 апреля (1 мая) в 1915 году германские подводные лодки внезапно нападают на американское судно "Галфлайт" и топят его (14878).</w:t>
      </w:r>
    </w:p>
    <w:p w14:paraId="410234DE" w14:textId="77777777" w:rsidR="00BC50B5" w:rsidRPr="00405303" w:rsidRDefault="00BC50B5" w:rsidP="00C15251">
      <w:pPr>
        <w:jc w:val="both"/>
        <w:rPr>
          <w:bCs/>
          <w:color w:val="002060"/>
          <w:sz w:val="16"/>
          <w:szCs w:val="16"/>
        </w:rPr>
      </w:pPr>
    </w:p>
    <w:p w14:paraId="0CB2F6CD" w14:textId="77777777" w:rsidR="00342179" w:rsidRPr="00405303" w:rsidRDefault="00342179" w:rsidP="00C15251">
      <w:pPr>
        <w:jc w:val="both"/>
        <w:rPr>
          <w:bCs/>
          <w:color w:val="002060"/>
          <w:sz w:val="16"/>
          <w:szCs w:val="16"/>
        </w:rPr>
      </w:pPr>
      <w:r w:rsidRPr="00405303">
        <w:rPr>
          <w:bCs/>
          <w:color w:val="002060"/>
          <w:sz w:val="16"/>
          <w:szCs w:val="16"/>
        </w:rPr>
        <w:t>18 апреля (1 мая) в 1915 году в свой последний рейс выходит английский лайнер "Лузитания", гибель которого послужит поводом для вступления США в первую мировую войну (14878).</w:t>
      </w:r>
    </w:p>
    <w:p w14:paraId="48B2DB42" w14:textId="77777777" w:rsidR="00342179" w:rsidRPr="00405303" w:rsidRDefault="00342179" w:rsidP="00C15251">
      <w:pPr>
        <w:jc w:val="both"/>
        <w:rPr>
          <w:bCs/>
          <w:color w:val="002060"/>
          <w:sz w:val="16"/>
          <w:szCs w:val="16"/>
        </w:rPr>
      </w:pPr>
    </w:p>
    <w:p w14:paraId="10924314"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56241069" w14:textId="77777777" w:rsidR="004B4E35" w:rsidRPr="00405303" w:rsidRDefault="004B4E35" w:rsidP="00C15251">
      <w:pPr>
        <w:jc w:val="both"/>
        <w:rPr>
          <w:bCs/>
          <w:i/>
          <w:color w:val="002060"/>
          <w:sz w:val="16"/>
          <w:szCs w:val="16"/>
        </w:rPr>
      </w:pPr>
    </w:p>
    <w:p w14:paraId="40966430" w14:textId="052DDA4A"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19</w:t>
      </w:r>
      <w:r w:rsidR="008D708A" w:rsidRPr="00405303">
        <w:rPr>
          <w:bCs/>
          <w:i w:val="0"/>
          <w:color w:val="002060"/>
          <w:spacing w:val="0"/>
          <w:kern w:val="0"/>
          <w:position w:val="0"/>
          <w:sz w:val="16"/>
          <w:szCs w:val="16"/>
        </w:rPr>
        <w:t xml:space="preserve"> (2 мая)</w:t>
      </w:r>
      <w:r w:rsidRPr="00405303">
        <w:rPr>
          <w:bCs/>
          <w:i w:val="0"/>
          <w:color w:val="002060"/>
          <w:spacing w:val="0"/>
          <w:kern w:val="0"/>
          <w:position w:val="0"/>
          <w:sz w:val="16"/>
          <w:szCs w:val="16"/>
        </w:rPr>
        <w:t xml:space="preserve">, </w:t>
      </w:r>
      <w:r w:rsidR="008D708A" w:rsidRPr="00405303">
        <w:rPr>
          <w:bCs/>
          <w:i w:val="0"/>
          <w:color w:val="002060"/>
          <w:spacing w:val="0"/>
          <w:kern w:val="0"/>
          <w:position w:val="0"/>
          <w:sz w:val="16"/>
          <w:szCs w:val="16"/>
        </w:rPr>
        <w:t xml:space="preserve">15, 17, </w:t>
      </w:r>
      <w:r w:rsidRPr="00405303">
        <w:rPr>
          <w:bCs/>
          <w:i w:val="0"/>
          <w:color w:val="002060"/>
          <w:spacing w:val="0"/>
          <w:kern w:val="0"/>
          <w:position w:val="0"/>
          <w:sz w:val="16"/>
          <w:szCs w:val="16"/>
        </w:rPr>
        <w:t xml:space="preserve">23 и 25 апреля 1915 </w:t>
      </w:r>
      <w:r w:rsidR="008D708A" w:rsidRPr="00405303">
        <w:rPr>
          <w:bCs/>
          <w:i w:val="0"/>
          <w:color w:val="002060"/>
          <w:spacing w:val="0"/>
          <w:kern w:val="0"/>
          <w:position w:val="0"/>
          <w:sz w:val="16"/>
          <w:szCs w:val="16"/>
        </w:rPr>
        <w:t xml:space="preserve">г. летчики 11-го корпусного авиаотряда (КАО), </w:t>
      </w:r>
      <w:r w:rsidRPr="00405303">
        <w:rPr>
          <w:bCs/>
          <w:i w:val="0"/>
          <w:color w:val="002060"/>
          <w:spacing w:val="0"/>
          <w:kern w:val="0"/>
          <w:position w:val="0"/>
          <w:sz w:val="16"/>
          <w:szCs w:val="16"/>
        </w:rPr>
        <w:t>обследовали район Горлица-Биеч. Используя полученные данные, командование 3-й армии осуществило ряд превентивных мероприятий, снизивших темпы наступления противника. И хотя русские войска были оттеснены из Галиции, но окружить и разгромить их не удалось (11278).</w:t>
      </w:r>
    </w:p>
    <w:p w14:paraId="648E4952" w14:textId="77777777" w:rsidR="004B4E35" w:rsidRPr="00405303" w:rsidRDefault="004B4E35" w:rsidP="00C15251">
      <w:pPr>
        <w:pStyle w:val="a3"/>
        <w:jc w:val="both"/>
        <w:rPr>
          <w:bCs/>
          <w:i w:val="0"/>
          <w:color w:val="002060"/>
          <w:spacing w:val="0"/>
          <w:kern w:val="0"/>
          <w:position w:val="0"/>
          <w:sz w:val="16"/>
          <w:szCs w:val="16"/>
        </w:rPr>
      </w:pPr>
    </w:p>
    <w:p w14:paraId="65BBCD9C" w14:textId="77777777" w:rsidR="00252322" w:rsidRPr="00405303" w:rsidRDefault="00252322" w:rsidP="00252322">
      <w:pPr>
        <w:jc w:val="both"/>
        <w:rPr>
          <w:color w:val="0070C0"/>
          <w:sz w:val="16"/>
          <w:szCs w:val="16"/>
        </w:rPr>
      </w:pPr>
      <w:r w:rsidRPr="00405303">
        <w:rPr>
          <w:rStyle w:val="aa"/>
          <w:rFonts w:ascii="Times New Roman" w:hAnsi="Times New Roman"/>
          <w:color w:val="0070C0"/>
          <w:spacing w:val="0"/>
          <w:sz w:val="16"/>
          <w:szCs w:val="16"/>
        </w:rPr>
        <w:t>19 апреля – 9 июня (2 мая – 22 июня) 1915 г. в период проведения противником Ясло-Горлицкой наступательной операции с целью овладения Восточной Галицией со стороны противника были задействованы внушительные воздушные силы, решавшие преимущественно разведывательные задачи. В подчинение командующему 11-й немецкой армией генералу А. фон Макензену были приданы боевая эскадрилья (ранее переброшена в г. Краков из Восточной Пруссии) и три авиаотряда. О работе авиации во время последовавших военных действий начальник штаба одного из участвовавших в них корпусов сказал следующее: «Кавалерия оказывалась совершенно бессильной, как только наталкивалась на сопротивление. В течение этого времени нам помогали почти исключительно летчики, снабжая нас точными разведывательными сведениями, на основании которых мы принимали все решения. Большинство этих отважных людей погибло».</w:t>
      </w:r>
    </w:p>
    <w:p w14:paraId="70CBBFDF" w14:textId="77777777" w:rsidR="00252322" w:rsidRPr="00405303" w:rsidRDefault="00252322" w:rsidP="00252322">
      <w:pPr>
        <w:jc w:val="both"/>
        <w:rPr>
          <w:color w:val="0070C0"/>
          <w:sz w:val="16"/>
          <w:szCs w:val="16"/>
        </w:rPr>
      </w:pPr>
      <w:r w:rsidRPr="00405303">
        <w:rPr>
          <w:rStyle w:val="aa"/>
          <w:rFonts w:ascii="Times New Roman" w:hAnsi="Times New Roman"/>
          <w:color w:val="0070C0"/>
          <w:spacing w:val="0"/>
          <w:sz w:val="16"/>
          <w:szCs w:val="16"/>
        </w:rPr>
        <w:t>Неприятельские экипажи постоянно ощущали давление со стороны русской авиации и зенитной артиллерии не только над передовыми позициями, но и в тылу. По этому поводу на страницах «Русского инвалида», в частности, отмечалось: «Над некоторыми нашими пунктами появлялись немецкие летчики, которые быстро прогонялись нашим артиллерийским огнем» (25135).</w:t>
      </w:r>
    </w:p>
    <w:p w14:paraId="538CC4EC" w14:textId="77777777" w:rsidR="00252322" w:rsidRPr="00405303" w:rsidRDefault="00252322" w:rsidP="00252322">
      <w:pPr>
        <w:jc w:val="both"/>
        <w:rPr>
          <w:color w:val="0070C0"/>
          <w:sz w:val="16"/>
          <w:szCs w:val="16"/>
        </w:rPr>
      </w:pPr>
    </w:p>
    <w:p w14:paraId="3F78875B" w14:textId="00AB5EB8" w:rsidR="007213D2" w:rsidRPr="00405303" w:rsidRDefault="007213D2" w:rsidP="00C15251">
      <w:pPr>
        <w:jc w:val="both"/>
        <w:rPr>
          <w:bCs/>
          <w:color w:val="002060"/>
          <w:sz w:val="16"/>
          <w:szCs w:val="16"/>
          <w:lang w:bidi="ru-RU"/>
        </w:rPr>
      </w:pPr>
      <w:r w:rsidRPr="00405303">
        <w:rPr>
          <w:bCs/>
          <w:color w:val="002060"/>
          <w:sz w:val="16"/>
          <w:szCs w:val="16"/>
          <w:shd w:val="clear" w:color="auto" w:fill="FFFFFF"/>
        </w:rPr>
        <w:t>19 апреля (2 мая) 1915 года ИМ совершил налет на Млаву. В этой миссии команда состояла из командира, лейтенанта Башко, его заместителя, лейтенанта М. В. Смирнова и артиллерийского офицера лейтенанта Г. Бойе. ИМ-Киевский уничтожил железнодорожную станцию во Млаве. Командир Башко и его экипаж сбросили 11 16-ти кг бомб и шесть 20-фунтовых бомб. ИМ-3, экипаж которого составляли штабс-капитан Бродович, его заместитель, лейтенант М. П. Спасов и артиллерийский офицер лейтенант Гагуа, пролетел над Плоцком, где был обнаружено, что мост через Вислу взорван (23470).</w:t>
      </w:r>
    </w:p>
    <w:p w14:paraId="0DED7505" w14:textId="77777777" w:rsidR="007213D2" w:rsidRPr="00405303" w:rsidRDefault="007213D2" w:rsidP="00C15251">
      <w:pPr>
        <w:jc w:val="both"/>
        <w:rPr>
          <w:bCs/>
          <w:color w:val="002060"/>
          <w:sz w:val="16"/>
          <w:szCs w:val="16"/>
          <w:lang w:bidi="ru-RU"/>
        </w:rPr>
      </w:pPr>
    </w:p>
    <w:p w14:paraId="0CE80516" w14:textId="2EB8011A" w:rsidR="00027129" w:rsidRPr="00405303" w:rsidRDefault="00027129" w:rsidP="00C15251">
      <w:pPr>
        <w:jc w:val="both"/>
        <w:rPr>
          <w:bCs/>
          <w:color w:val="002060"/>
          <w:sz w:val="16"/>
          <w:szCs w:val="16"/>
          <w:lang w:bidi="en-US"/>
        </w:rPr>
      </w:pPr>
      <w:r w:rsidRPr="00405303">
        <w:rPr>
          <w:bCs/>
          <w:color w:val="002060"/>
          <w:sz w:val="16"/>
          <w:szCs w:val="16"/>
          <w:lang w:bidi="en-US"/>
        </w:rPr>
        <w:t xml:space="preserve">19 апреля (2 мая) 1915 г. артиллерийским огнем свыше 1500 орудий противника (более 700 000 снарядов) немецкая 11-я армия с участием 1, 8, 21, 69 и бомбардировочной части В в Галиции открыла мощное наступление </w:t>
      </w:r>
      <w:r w:rsidRPr="00405303">
        <w:rPr>
          <w:bCs/>
          <w:color w:val="002060"/>
          <w:sz w:val="16"/>
          <w:szCs w:val="16"/>
          <w:lang w:bidi="ru-RU"/>
        </w:rPr>
        <w:t xml:space="preserve">. </w:t>
      </w:r>
      <w:r w:rsidRPr="00405303">
        <w:rPr>
          <w:bCs/>
          <w:color w:val="002060"/>
          <w:sz w:val="16"/>
          <w:szCs w:val="16"/>
          <w:lang w:bidi="en-US"/>
        </w:rPr>
        <w:t xml:space="preserve">АО (более 60 самолетов) и 4-й австро-венгерской армии с </w:t>
      </w:r>
      <w:r w:rsidRPr="00405303">
        <w:rPr>
          <w:bCs/>
          <w:color w:val="002060"/>
          <w:sz w:val="16"/>
          <w:szCs w:val="16"/>
          <w:lang w:val="en-US" w:bidi="en-US"/>
        </w:rPr>
        <w:t>Flik</w:t>
      </w:r>
      <w:r w:rsidRPr="00405303">
        <w:rPr>
          <w:bCs/>
          <w:color w:val="002060"/>
          <w:sz w:val="16"/>
          <w:szCs w:val="16"/>
          <w:lang w:bidi="en-US"/>
        </w:rPr>
        <w:t xml:space="preserve"> 10 и 15, которые быстро прорвали позиции 3-й русской армии между Горлицами и Тарнувом. К 10 мая 3-я русская армия, потеряв почти 200 000 человек, получила возможность отойти к реке Сан. В течение следующих двух недель около шестидесяти вражеских самолетов ежедневно выполняли разведывательные вылеты, сообщая о выводе русских. На севере наступление поддерживала 1-я австро-венгерская армия, а на юге — их 2-я и 5-я армии, силы которых включали восемь </w:t>
      </w:r>
      <w:r w:rsidRPr="00405303">
        <w:rPr>
          <w:bCs/>
          <w:color w:val="002060"/>
          <w:sz w:val="16"/>
          <w:szCs w:val="16"/>
          <w:lang w:val="en-US" w:bidi="en-US"/>
        </w:rPr>
        <w:t>Fliks</w:t>
      </w:r>
      <w:r w:rsidRPr="00405303">
        <w:rPr>
          <w:bCs/>
          <w:color w:val="002060"/>
          <w:sz w:val="16"/>
          <w:szCs w:val="16"/>
          <w:lang w:bidi="en-US"/>
        </w:rPr>
        <w:t xml:space="preserve"> (</w:t>
      </w:r>
      <w:r w:rsidRPr="00405303">
        <w:rPr>
          <w:bCs/>
          <w:color w:val="002060"/>
          <w:sz w:val="16"/>
          <w:szCs w:val="16"/>
          <w:lang w:val="en-US" w:bidi="en-US"/>
        </w:rPr>
        <w:t>Fliegerkompagnie</w:t>
      </w:r>
      <w:r w:rsidRPr="00405303">
        <w:rPr>
          <w:bCs/>
          <w:color w:val="002060"/>
          <w:sz w:val="16"/>
          <w:szCs w:val="16"/>
          <w:lang w:bidi="en-US"/>
        </w:rPr>
        <w:t>) (23525).</w:t>
      </w:r>
    </w:p>
    <w:p w14:paraId="3C17CED2" w14:textId="77777777" w:rsidR="00027129" w:rsidRPr="00405303" w:rsidRDefault="00027129" w:rsidP="00C15251">
      <w:pPr>
        <w:jc w:val="both"/>
        <w:rPr>
          <w:bCs/>
          <w:color w:val="002060"/>
          <w:sz w:val="16"/>
          <w:szCs w:val="16"/>
        </w:rPr>
      </w:pPr>
    </w:p>
    <w:p w14:paraId="5D20E171" w14:textId="371DCA6F" w:rsidR="007213D2" w:rsidRPr="00405303" w:rsidRDefault="007213D2" w:rsidP="00C15251">
      <w:pPr>
        <w:jc w:val="both"/>
        <w:rPr>
          <w:bCs/>
          <w:i/>
          <w:color w:val="002060"/>
          <w:sz w:val="16"/>
          <w:szCs w:val="16"/>
        </w:rPr>
      </w:pPr>
      <w:r w:rsidRPr="00405303">
        <w:rPr>
          <w:bCs/>
          <w:i/>
          <w:color w:val="002060"/>
          <w:sz w:val="16"/>
          <w:szCs w:val="16"/>
        </w:rPr>
        <w:t>Морская авиация:</w:t>
      </w:r>
    </w:p>
    <w:p w14:paraId="26DD33A3" w14:textId="77777777" w:rsidR="007213D2" w:rsidRPr="00405303" w:rsidRDefault="007213D2" w:rsidP="00C15251">
      <w:pPr>
        <w:jc w:val="both"/>
        <w:rPr>
          <w:bCs/>
          <w:i/>
          <w:color w:val="002060"/>
          <w:sz w:val="16"/>
          <w:szCs w:val="16"/>
        </w:rPr>
      </w:pPr>
    </w:p>
    <w:p w14:paraId="76223802" w14:textId="23AB2D8F" w:rsidR="007213D2" w:rsidRPr="00405303" w:rsidRDefault="007213D2" w:rsidP="00C15251">
      <w:pPr>
        <w:jc w:val="both"/>
        <w:rPr>
          <w:bCs/>
          <w:color w:val="002060"/>
          <w:sz w:val="16"/>
          <w:szCs w:val="16"/>
        </w:rPr>
      </w:pPr>
      <w:bookmarkStart w:id="101" w:name="bookmark145"/>
      <w:r w:rsidRPr="00405303">
        <w:rPr>
          <w:bCs/>
          <w:color w:val="002060"/>
          <w:sz w:val="16"/>
          <w:szCs w:val="16"/>
        </w:rPr>
        <w:t xml:space="preserve">19 апреля (2 мая) 1915 г. противник силами авиаотряда (7 самолетов) совершил налет на г. Ломжа. В ходе бомбометания сброшено 74 авиабомбы (большинство - зажигательные). В результате ранение получил один солдат (бомбардир Панкратов). Две бомбы попали в соборный храм, где совершалось богослужение. При отражении атаки русские артиллеристы подбили один из вражеских летательных аппаратов. Его экипаж был вынужден совершить посадку вблизи г. Замбров (царство Польское). Затем немецкие летчики подожгли аэроплан и попытались скрыться, но вскоре попали в плен. Первоначально считалось, что </w:t>
      </w:r>
      <w:bookmarkStart w:id="102" w:name="bookmark146"/>
      <w:bookmarkEnd w:id="101"/>
      <w:r w:rsidRPr="00405303">
        <w:rPr>
          <w:bCs/>
          <w:color w:val="002060"/>
          <w:sz w:val="16"/>
          <w:szCs w:val="16"/>
        </w:rPr>
        <w:t>воздушное судно было сбито ружейным огнем, однако при осмотре оказалось, что важные элементы аэроплана (бензиновые баки) повреждены шрапнелью. В результате командир Гренадерского корпуса признал последний трофеем 6-й лейб-гвардейской Донской казачьей Его Величества батареи (полковник А.В. Упорников). При отражении воздушного налета личным составом батареи было выпущено 282 шрапнельных снаряда. В ходе боя несколько вражеских самолетов получили повреждения. В тот же день во время бомбардировки н/п Гехсене немецкий «Альбатрос» трижды был атакован одним из наших «Ньюпоров» (летчик - старший унтер- офицер Воронин). Не выдержав напора русского авиатора, германский пилот был вынужден отказаться от дальнейшего бомбометания и удалился за линию фронта. За этот подвиг Воронин был представлен к награде (23405).</w:t>
      </w:r>
      <w:bookmarkEnd w:id="102"/>
    </w:p>
    <w:p w14:paraId="19CB94AC" w14:textId="77777777" w:rsidR="007213D2" w:rsidRPr="00405303" w:rsidRDefault="007213D2" w:rsidP="00C15251">
      <w:pPr>
        <w:jc w:val="both"/>
        <w:rPr>
          <w:bCs/>
          <w:color w:val="002060"/>
          <w:sz w:val="16"/>
          <w:szCs w:val="16"/>
          <w:lang w:bidi="ru-RU"/>
        </w:rPr>
      </w:pPr>
    </w:p>
    <w:p w14:paraId="74569B3F" w14:textId="77777777" w:rsidR="00252322" w:rsidRPr="00405303" w:rsidRDefault="00252322" w:rsidP="00252322">
      <w:pPr>
        <w:jc w:val="both"/>
        <w:rPr>
          <w:bCs/>
          <w:color w:val="002060"/>
          <w:sz w:val="16"/>
          <w:szCs w:val="16"/>
        </w:rPr>
      </w:pPr>
      <w:r w:rsidRPr="00405303">
        <w:rPr>
          <w:bCs/>
          <w:color w:val="002060"/>
          <w:sz w:val="16"/>
          <w:szCs w:val="16"/>
        </w:rPr>
        <w:t>19 апреля (2 мая) 1915 г., согласно отчёта начальника авиационного отряда Б-2 лейтенанта В.В.Утгоф: "отряд,, состоявший из четырёх лётоющих лодок "Кертисса", имел задачу наблюдения за Босфором. Рано утром флот пришёл в точку Аз у Босфора, ив 7 ч 10 мин с "Евстафия" последовал сигналo"спустить гидро". В 7 ч 23 мин взлетел лейтенант Коведяев с наблюдателем моторным унтер- офицером Бабиным-Волынским и отправился на разведку к Босфору". Экипаж обнаружил подводную лодку, пароход в виде тральщика, судно, буксировавшее большую баржу с пассажирами и несколько парусников. Вылетевший через час лейтенант Лучанинов с наблюдателем моторным унтер-офицером Семёновым, доложил, что пролив свободен. В 9 ч 15мин на разведку вылетел лейтенант Утгоф с наблюдателем моторным унтер-офицером Аристовым. Вернувшись в 11 ч 25 мин, он доложил об отсутствии кораблей в проливе и на походах к нему. Наблюдая стрельбу 2-й бригады, он видел столбы дыма и пыли на мысу Эльмас, дым около батареи Пайрес, несколько 12-ти дюймовых снарядов, упавших в воду. Когда 2-я бригада начала поворачивать направо, она открыла стрельбу из орудий мелкого калибра и пулемётов. Полагая, что там усмотрена подводная лодка, лейтенант Утгоф тщательно осмотрел обследуемый район и сообщил, что нигде вблизи подводных лодок нет. В 11.01 на разведку вылетел лейтенант Рагозин, но через 15 мин. сел на воду из-за порчи мотора и был прибуксирован к вспомогательному крейсеру "Император Николай I" быстроходным катером.</w:t>
      </w:r>
    </w:p>
    <w:p w14:paraId="398EAAE3" w14:textId="77777777" w:rsidR="00252322" w:rsidRPr="00405303" w:rsidRDefault="00252322" w:rsidP="00252322">
      <w:pPr>
        <w:jc w:val="both"/>
        <w:rPr>
          <w:bCs/>
          <w:color w:val="002060"/>
          <w:sz w:val="16"/>
          <w:szCs w:val="16"/>
        </w:rPr>
      </w:pPr>
      <w:r w:rsidRPr="00405303">
        <w:rPr>
          <w:bCs/>
          <w:color w:val="002060"/>
          <w:sz w:val="16"/>
          <w:szCs w:val="16"/>
        </w:rPr>
        <w:t>В этот день на разведку вылетали ещё два самолёта, пока в 13 часов с "Евстафия" не передали семафором "гидро больше не поднимать" (11930).</w:t>
      </w:r>
    </w:p>
    <w:p w14:paraId="313E88A1" w14:textId="77777777" w:rsidR="00252322" w:rsidRPr="00405303" w:rsidRDefault="00252322" w:rsidP="00252322">
      <w:pPr>
        <w:jc w:val="both"/>
        <w:rPr>
          <w:bCs/>
          <w:color w:val="002060"/>
          <w:sz w:val="16"/>
          <w:szCs w:val="16"/>
        </w:rPr>
      </w:pPr>
    </w:p>
    <w:p w14:paraId="7378B3A0" w14:textId="517594E0" w:rsidR="00DF6DA8" w:rsidRPr="00405303" w:rsidRDefault="00DF6DA8" w:rsidP="00C15251">
      <w:pPr>
        <w:jc w:val="both"/>
        <w:rPr>
          <w:bCs/>
          <w:i/>
          <w:color w:val="002060"/>
          <w:sz w:val="16"/>
          <w:szCs w:val="16"/>
        </w:rPr>
      </w:pPr>
      <w:r w:rsidRPr="00405303">
        <w:rPr>
          <w:bCs/>
          <w:i/>
          <w:color w:val="002060"/>
          <w:sz w:val="16"/>
          <w:szCs w:val="16"/>
        </w:rPr>
        <w:t>Армия:</w:t>
      </w:r>
    </w:p>
    <w:p w14:paraId="788FF8EF" w14:textId="77777777" w:rsidR="00DF6DA8" w:rsidRPr="00405303" w:rsidRDefault="00DF6DA8" w:rsidP="00C15251">
      <w:pPr>
        <w:jc w:val="both"/>
        <w:rPr>
          <w:bCs/>
          <w:i/>
          <w:color w:val="002060"/>
          <w:sz w:val="16"/>
          <w:szCs w:val="16"/>
        </w:rPr>
      </w:pPr>
    </w:p>
    <w:p w14:paraId="464DD3BF" w14:textId="07C60DB7" w:rsidR="00DF6DA8" w:rsidRPr="00405303" w:rsidRDefault="00DF6DA8" w:rsidP="00C15251">
      <w:pPr>
        <w:jc w:val="both"/>
        <w:rPr>
          <w:bCs/>
          <w:color w:val="002060"/>
          <w:sz w:val="16"/>
          <w:szCs w:val="16"/>
        </w:rPr>
      </w:pPr>
      <w:r w:rsidRPr="00405303">
        <w:rPr>
          <w:bCs/>
          <w:color w:val="002060"/>
          <w:sz w:val="16"/>
          <w:szCs w:val="16"/>
        </w:rPr>
        <w:t xml:space="preserve">19 апреля </w:t>
      </w:r>
      <w:r w:rsidR="008D708A" w:rsidRPr="00405303">
        <w:rPr>
          <w:bCs/>
          <w:color w:val="002060"/>
          <w:sz w:val="16"/>
          <w:szCs w:val="16"/>
        </w:rPr>
        <w:t xml:space="preserve">( 2 мая) </w:t>
      </w:r>
      <w:r w:rsidRPr="00405303">
        <w:rPr>
          <w:bCs/>
          <w:color w:val="002060"/>
          <w:sz w:val="16"/>
          <w:szCs w:val="16"/>
        </w:rPr>
        <w:t>в 1915 году немецкие и австрийские войска под общим командованием генерала А.Макензена начали операцию по прорыву Юго-Западного фронта русской армии (генерал Н.И.Иванов) в районе Горлице Горлицкий прорыв. (19 апреля-10 июня). В результате этой операции к середине июня 1915, русские войска, неся значительные потери (150000 человек убитыми и 700000 ранеными) были вытеснены из Галиции. Литва, Галиция и Польша переходят под контроль государств германо-австрийского блока (15104).</w:t>
      </w:r>
    </w:p>
    <w:p w14:paraId="32C12805" w14:textId="77777777" w:rsidR="00DF6DA8" w:rsidRPr="00405303" w:rsidRDefault="00DF6DA8" w:rsidP="00C15251">
      <w:pPr>
        <w:jc w:val="both"/>
        <w:rPr>
          <w:bCs/>
          <w:color w:val="002060"/>
          <w:sz w:val="16"/>
          <w:szCs w:val="16"/>
        </w:rPr>
      </w:pPr>
    </w:p>
    <w:p w14:paraId="4FC9EE0E" w14:textId="5AC8FA6C" w:rsidR="00986610" w:rsidRPr="00405303" w:rsidRDefault="00986610" w:rsidP="00C15251">
      <w:pPr>
        <w:jc w:val="both"/>
        <w:rPr>
          <w:bCs/>
          <w:color w:val="002060"/>
          <w:sz w:val="16"/>
          <w:szCs w:val="16"/>
          <w:shd w:val="clear" w:color="auto" w:fill="FFFFFF"/>
        </w:rPr>
      </w:pPr>
      <w:r w:rsidRPr="00405303">
        <w:rPr>
          <w:bCs/>
          <w:color w:val="002060"/>
          <w:sz w:val="16"/>
          <w:szCs w:val="16"/>
          <w:shd w:val="clear" w:color="auto" w:fill="FFFFFF"/>
        </w:rPr>
        <w:t xml:space="preserve">19 апреля (2 мая) – 10 (23) июня 1915 г. </w:t>
      </w:r>
      <w:r w:rsidR="008D708A" w:rsidRPr="00405303">
        <w:rPr>
          <w:bCs/>
          <w:color w:val="002060"/>
          <w:sz w:val="16"/>
          <w:szCs w:val="16"/>
          <w:shd w:val="clear" w:color="auto" w:fill="FFFFFF"/>
        </w:rPr>
        <w:t xml:space="preserve">в результате Горлицкого прорыва германо-австрийских войск </w:t>
      </w:r>
      <w:r w:rsidRPr="00405303">
        <w:rPr>
          <w:bCs/>
          <w:color w:val="002060"/>
          <w:sz w:val="16"/>
          <w:szCs w:val="16"/>
          <w:shd w:val="clear" w:color="auto" w:fill="FFFFFF"/>
        </w:rPr>
        <w:t>в Галиции Россия потеряла все крепости на своей западной границе: 22 июля (4 августа) – Ивангород, 23 июля (5 августа) – Варшаву, 6(19) августа – Новогеоргиевск, 9(22) августа – Осовец и Ковно, 12(23) августа – Брест-Литовск. После чего многие крепостные воздухоплавательные и авиационные части после отступления были переформированы и приданы полев9нмпвувсролодбым корпусам и армиям (20120).</w:t>
      </w:r>
    </w:p>
    <w:p w14:paraId="10BE6867" w14:textId="77777777" w:rsidR="00986610" w:rsidRPr="00405303" w:rsidRDefault="00986610" w:rsidP="00C15251">
      <w:pPr>
        <w:jc w:val="both"/>
        <w:rPr>
          <w:bCs/>
          <w:color w:val="002060"/>
          <w:sz w:val="16"/>
          <w:szCs w:val="16"/>
        </w:rPr>
      </w:pPr>
    </w:p>
    <w:p w14:paraId="73B7FEAC" w14:textId="77777777" w:rsidR="00986610" w:rsidRPr="00405303" w:rsidRDefault="00986610" w:rsidP="00C15251">
      <w:pPr>
        <w:jc w:val="both"/>
        <w:rPr>
          <w:bCs/>
          <w:color w:val="002060"/>
          <w:sz w:val="16"/>
          <w:szCs w:val="16"/>
        </w:rPr>
      </w:pPr>
      <w:r w:rsidRPr="00405303">
        <w:rPr>
          <w:bCs/>
          <w:color w:val="002060"/>
          <w:sz w:val="16"/>
          <w:szCs w:val="16"/>
        </w:rPr>
        <w:t>19 апреля (2 мая) — 10 (23) июня 1915 г. Горлицкий прорыв и последовавшее за ним отступле</w:t>
      </w:r>
      <w:r w:rsidRPr="00405303">
        <w:rPr>
          <w:bCs/>
          <w:color w:val="002060"/>
          <w:sz w:val="16"/>
          <w:szCs w:val="16"/>
        </w:rPr>
        <w:softHyphen/>
        <w:t>ние русской армии вновь привели врага под сте</w:t>
      </w:r>
      <w:r w:rsidRPr="00405303">
        <w:rPr>
          <w:bCs/>
          <w:color w:val="002060"/>
          <w:sz w:val="16"/>
          <w:szCs w:val="16"/>
        </w:rPr>
        <w:softHyphen/>
        <w:t>ны Ивангорода (20120).</w:t>
      </w:r>
    </w:p>
    <w:p w14:paraId="74B202B8" w14:textId="77777777" w:rsidR="00986610" w:rsidRPr="00405303" w:rsidRDefault="00986610" w:rsidP="00C15251">
      <w:pPr>
        <w:jc w:val="both"/>
        <w:rPr>
          <w:bCs/>
          <w:color w:val="002060"/>
          <w:sz w:val="16"/>
          <w:szCs w:val="16"/>
        </w:rPr>
      </w:pPr>
    </w:p>
    <w:p w14:paraId="3729154B"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3E22B10B" w14:textId="77777777" w:rsidR="004B4E35" w:rsidRPr="00405303" w:rsidRDefault="004B4E35" w:rsidP="00C15251">
      <w:pPr>
        <w:pStyle w:val="a3"/>
        <w:jc w:val="both"/>
        <w:rPr>
          <w:bCs/>
          <w:color w:val="002060"/>
          <w:spacing w:val="0"/>
          <w:kern w:val="0"/>
          <w:position w:val="0"/>
          <w:sz w:val="16"/>
          <w:szCs w:val="16"/>
        </w:rPr>
      </w:pPr>
    </w:p>
    <w:p w14:paraId="53EEC1D2" w14:textId="416E755D" w:rsidR="004B4E35" w:rsidRPr="00405303" w:rsidRDefault="009E6F82" w:rsidP="00C15251">
      <w:pPr>
        <w:shd w:val="clear" w:color="auto" w:fill="FFFFFF"/>
        <w:jc w:val="both"/>
        <w:rPr>
          <w:bCs/>
          <w:color w:val="002060"/>
          <w:sz w:val="16"/>
          <w:szCs w:val="16"/>
        </w:rPr>
      </w:pPr>
      <w:bookmarkStart w:id="103" w:name="_Hlk117606183"/>
      <w:r w:rsidRPr="00405303">
        <w:rPr>
          <w:bCs/>
          <w:color w:val="002060"/>
          <w:sz w:val="16"/>
          <w:szCs w:val="16"/>
        </w:rPr>
        <w:t>20 апреля (3 мая) 1915</w:t>
      </w:r>
      <w:r w:rsidR="008C1B7D" w:rsidRPr="00405303">
        <w:rPr>
          <w:bCs/>
          <w:color w:val="002060"/>
          <w:sz w:val="16"/>
          <w:szCs w:val="16"/>
        </w:rPr>
        <w:t xml:space="preserve"> г.</w:t>
      </w:r>
      <w:r w:rsidRPr="00405303">
        <w:rPr>
          <w:bCs/>
          <w:color w:val="002060"/>
          <w:sz w:val="16"/>
          <w:szCs w:val="16"/>
        </w:rPr>
        <w:t xml:space="preserve"> командир Петроградского порта полу</w:t>
      </w:r>
      <w:r w:rsidRPr="00405303">
        <w:rPr>
          <w:bCs/>
          <w:color w:val="002060"/>
          <w:sz w:val="16"/>
          <w:szCs w:val="16"/>
        </w:rPr>
        <w:softHyphen/>
        <w:t xml:space="preserve">чил инструкции подписать с фирмой </w:t>
      </w:r>
      <w:r w:rsidR="008C1B7D" w:rsidRPr="00405303">
        <w:rPr>
          <w:bCs/>
          <w:color w:val="002060"/>
          <w:sz w:val="16"/>
          <w:szCs w:val="16"/>
        </w:rPr>
        <w:t xml:space="preserve">Щетинина </w:t>
      </w:r>
      <w:r w:rsidRPr="00405303">
        <w:rPr>
          <w:bCs/>
          <w:color w:val="002060"/>
          <w:sz w:val="16"/>
          <w:szCs w:val="16"/>
        </w:rPr>
        <w:t xml:space="preserve">соответствующий контракт, </w:t>
      </w:r>
      <w:proofErr w:type="gramStart"/>
      <w:r w:rsidRPr="00405303">
        <w:rPr>
          <w:bCs/>
          <w:color w:val="002060"/>
          <w:sz w:val="16"/>
          <w:szCs w:val="16"/>
        </w:rPr>
        <w:t>причем</w:t>
      </w:r>
      <w:proofErr w:type="gramEnd"/>
      <w:r w:rsidRPr="00405303">
        <w:rPr>
          <w:bCs/>
          <w:color w:val="002060"/>
          <w:sz w:val="16"/>
          <w:szCs w:val="16"/>
        </w:rPr>
        <w:t xml:space="preserve"> как и прежде Морское ведом</w:t>
      </w:r>
      <w:r w:rsidRPr="00405303">
        <w:rPr>
          <w:bCs/>
          <w:color w:val="002060"/>
          <w:sz w:val="16"/>
          <w:szCs w:val="16"/>
        </w:rPr>
        <w:softHyphen/>
        <w:t>ство обязалось обеспечить доставку нужных двигателей и пропеллеров. Однако, из-за не вполне понят</w:t>
      </w:r>
      <w:r w:rsidRPr="00405303">
        <w:rPr>
          <w:bCs/>
          <w:color w:val="002060"/>
          <w:sz w:val="16"/>
          <w:szCs w:val="16"/>
        </w:rPr>
        <w:softHyphen/>
        <w:t xml:space="preserve">ной почти месячной задержки соглашение между </w:t>
      </w:r>
      <w:r w:rsidRPr="00405303">
        <w:rPr>
          <w:bCs/>
          <w:color w:val="002060"/>
          <w:sz w:val="16"/>
          <w:szCs w:val="16"/>
        </w:rPr>
        <w:lastRenderedPageBreak/>
        <w:t>сторонами появилось только 27 мая, оговаривая произ</w:t>
      </w:r>
      <w:r w:rsidRPr="00405303">
        <w:rPr>
          <w:bCs/>
          <w:color w:val="002060"/>
          <w:sz w:val="16"/>
          <w:szCs w:val="16"/>
        </w:rPr>
        <w:softHyphen/>
        <w:t>водство 12 аппаратов в период с 30 мая по 15 июля — несомненно, что столь близкий срок завершения сборки первых лодок мог объясняться только наличием у ПРТВ почти готовых гидро. Удивительно, но компания уложилась в обусловленные сроки, опоздав лишь на 5 дней, а приемка изделий флотом осуще</w:t>
      </w:r>
      <w:r w:rsidRPr="00405303">
        <w:rPr>
          <w:bCs/>
          <w:color w:val="002060"/>
          <w:sz w:val="16"/>
          <w:szCs w:val="16"/>
        </w:rPr>
        <w:softHyphen/>
        <w:t>ствлялась, скорее всего, лейтенантом Г. А. Фриде, опытным пилотом и одаренным изобретателем (2807).</w:t>
      </w:r>
    </w:p>
    <w:p w14:paraId="098E726E" w14:textId="77777777" w:rsidR="004B4E35" w:rsidRPr="00405303" w:rsidRDefault="004B4E35" w:rsidP="00C15251">
      <w:pPr>
        <w:shd w:val="clear" w:color="auto" w:fill="FFFFFF"/>
        <w:jc w:val="both"/>
        <w:rPr>
          <w:bCs/>
          <w:color w:val="002060"/>
          <w:sz w:val="16"/>
          <w:szCs w:val="16"/>
        </w:rPr>
      </w:pPr>
    </w:p>
    <w:bookmarkEnd w:id="103"/>
    <w:p w14:paraId="016E5DFA" w14:textId="4CCCF6CC" w:rsidR="004B4E35" w:rsidRPr="00405303" w:rsidRDefault="009E6F82" w:rsidP="00C15251">
      <w:pPr>
        <w:jc w:val="both"/>
        <w:rPr>
          <w:bCs/>
          <w:color w:val="002060"/>
          <w:sz w:val="16"/>
          <w:szCs w:val="16"/>
        </w:rPr>
      </w:pPr>
      <w:r w:rsidRPr="00405303">
        <w:rPr>
          <w:bCs/>
          <w:color w:val="002060"/>
          <w:sz w:val="16"/>
          <w:szCs w:val="16"/>
        </w:rPr>
        <w:t>20 апре</w:t>
      </w:r>
      <w:r w:rsidRPr="00405303">
        <w:rPr>
          <w:bCs/>
          <w:color w:val="002060"/>
          <w:sz w:val="16"/>
          <w:szCs w:val="16"/>
        </w:rPr>
        <w:softHyphen/>
        <w:t xml:space="preserve">ля </w:t>
      </w:r>
      <w:r w:rsidR="008C1B7D" w:rsidRPr="00405303">
        <w:rPr>
          <w:bCs/>
          <w:color w:val="002060"/>
          <w:sz w:val="16"/>
          <w:szCs w:val="16"/>
        </w:rPr>
        <w:t xml:space="preserve">(3 мая) 1914 г. Командир С-Петербургского порта </w:t>
      </w:r>
      <w:r w:rsidRPr="00405303">
        <w:rPr>
          <w:bCs/>
          <w:color w:val="002060"/>
          <w:sz w:val="16"/>
          <w:szCs w:val="16"/>
        </w:rPr>
        <w:t>получил указание заключить кон</w:t>
      </w:r>
      <w:r w:rsidRPr="00405303">
        <w:rPr>
          <w:bCs/>
          <w:color w:val="002060"/>
          <w:sz w:val="16"/>
          <w:szCs w:val="16"/>
        </w:rPr>
        <w:softHyphen/>
        <w:t>тракт с фирмой. Причём морское ведомство обязывалось поставить моторы и воздушные винты. Из-за месячной задержки такое соглаше</w:t>
      </w:r>
      <w:r w:rsidRPr="00405303">
        <w:rPr>
          <w:bCs/>
          <w:color w:val="002060"/>
          <w:sz w:val="16"/>
          <w:szCs w:val="16"/>
        </w:rPr>
        <w:softHyphen/>
        <w:t>ние появилось только 27 мая, при</w:t>
      </w:r>
      <w:r w:rsidRPr="00405303">
        <w:rPr>
          <w:bCs/>
          <w:color w:val="002060"/>
          <w:sz w:val="16"/>
          <w:szCs w:val="16"/>
        </w:rPr>
        <w:softHyphen/>
        <w:t>чём за относительно короткий срок (с 30 мая до 15 июля 1915 г.) ПРТВ следовало построить 12 самолётов. Приёмкой самолётов занимался морской лейтенант Г.А. Фриде. Он также выполнял полёты на М-5, при</w:t>
      </w:r>
      <w:r w:rsidRPr="00405303">
        <w:rPr>
          <w:bCs/>
          <w:color w:val="002060"/>
          <w:sz w:val="16"/>
          <w:szCs w:val="16"/>
        </w:rPr>
        <w:softHyphen/>
        <w:t>знав лодку «выдающейся».</w:t>
      </w:r>
    </w:p>
    <w:p w14:paraId="0217F82C" w14:textId="77777777" w:rsidR="004B4E35" w:rsidRPr="00405303" w:rsidRDefault="009E6F82" w:rsidP="00C15251">
      <w:pPr>
        <w:jc w:val="both"/>
        <w:rPr>
          <w:bCs/>
          <w:color w:val="002060"/>
          <w:sz w:val="16"/>
          <w:szCs w:val="16"/>
        </w:rPr>
      </w:pPr>
      <w:r w:rsidRPr="00405303">
        <w:rPr>
          <w:bCs/>
          <w:color w:val="002060"/>
          <w:sz w:val="16"/>
          <w:szCs w:val="16"/>
        </w:rPr>
        <w:t>Летающая лодка М-5 - одномо</w:t>
      </w:r>
      <w:r w:rsidRPr="00405303">
        <w:rPr>
          <w:bCs/>
          <w:color w:val="002060"/>
          <w:sz w:val="16"/>
          <w:szCs w:val="16"/>
        </w:rPr>
        <w:softHyphen/>
        <w:t>торный двухместный биплан с нор</w:t>
      </w:r>
      <w:r w:rsidRPr="00405303">
        <w:rPr>
          <w:bCs/>
          <w:color w:val="002060"/>
          <w:sz w:val="16"/>
          <w:szCs w:val="16"/>
        </w:rPr>
        <w:softHyphen/>
        <w:t>мальной схемой управления. Сило</w:t>
      </w:r>
      <w:r w:rsidRPr="00405303">
        <w:rPr>
          <w:bCs/>
          <w:color w:val="002060"/>
          <w:sz w:val="16"/>
          <w:szCs w:val="16"/>
        </w:rPr>
        <w:softHyphen/>
        <w:t>вая установка включала ротатив- ный двигатель «Гном-Моносупап» в 100 л.с. с толкающим винтом фир</w:t>
      </w:r>
      <w:r w:rsidRPr="00405303">
        <w:rPr>
          <w:bCs/>
          <w:color w:val="002060"/>
          <w:sz w:val="16"/>
          <w:szCs w:val="16"/>
        </w:rPr>
        <w:softHyphen/>
        <w:t>мы «Шовьер». Скорость полёта са</w:t>
      </w:r>
      <w:r w:rsidRPr="00405303">
        <w:rPr>
          <w:bCs/>
          <w:color w:val="002060"/>
          <w:sz w:val="16"/>
          <w:szCs w:val="16"/>
        </w:rPr>
        <w:softHyphen/>
        <w:t>молёта 90 - 105 км/ч, посадочная - 70 км/ч, продолжительность полё</w:t>
      </w:r>
      <w:r w:rsidRPr="00405303">
        <w:rPr>
          <w:bCs/>
          <w:color w:val="002060"/>
          <w:sz w:val="16"/>
          <w:szCs w:val="16"/>
        </w:rPr>
        <w:softHyphen/>
        <w:t>та до 3,5 час, полётный вес 1000 кг, размах крыльев 13,5 м, площадь - 36,5 м</w:t>
      </w:r>
      <w:r w:rsidRPr="00405303">
        <w:rPr>
          <w:bCs/>
          <w:color w:val="002060"/>
          <w:sz w:val="16"/>
          <w:szCs w:val="16"/>
          <w:vertAlign w:val="superscript"/>
        </w:rPr>
        <w:t>2</w:t>
      </w:r>
      <w:r w:rsidRPr="00405303">
        <w:rPr>
          <w:bCs/>
          <w:color w:val="002060"/>
          <w:sz w:val="16"/>
          <w:szCs w:val="16"/>
        </w:rPr>
        <w:t>. Вооружение: пулемет «Мак</w:t>
      </w:r>
      <w:r w:rsidRPr="00405303">
        <w:rPr>
          <w:bCs/>
          <w:color w:val="002060"/>
          <w:sz w:val="16"/>
          <w:szCs w:val="16"/>
        </w:rPr>
        <w:softHyphen/>
        <w:t>сим» с боезапасом 450 патронов или «Виккерс» Мк.1, бомбы калиб</w:t>
      </w:r>
      <w:r w:rsidRPr="00405303">
        <w:rPr>
          <w:bCs/>
          <w:color w:val="002060"/>
          <w:sz w:val="16"/>
          <w:szCs w:val="16"/>
        </w:rPr>
        <w:softHyphen/>
        <w:t>ром от 8 до 50 фунтов. При выпол</w:t>
      </w:r>
      <w:r w:rsidRPr="00405303">
        <w:rPr>
          <w:bCs/>
          <w:color w:val="002060"/>
          <w:sz w:val="16"/>
          <w:szCs w:val="16"/>
        </w:rPr>
        <w:softHyphen/>
        <w:t>нении воздушной разведки самолёт мог оснащаться радиотелеграфной станцией и фотоаппаратом Поттэ (полуавтоматический аппарат для воздушной съёмки с размером кад</w:t>
      </w:r>
      <w:r w:rsidRPr="00405303">
        <w:rPr>
          <w:bCs/>
          <w:color w:val="002060"/>
          <w:sz w:val="16"/>
          <w:szCs w:val="16"/>
        </w:rPr>
        <w:softHyphen/>
        <w:t>ра 13x18 см, фокусным расстояни</w:t>
      </w:r>
      <w:r w:rsidRPr="00405303">
        <w:rPr>
          <w:bCs/>
          <w:color w:val="002060"/>
          <w:sz w:val="16"/>
          <w:szCs w:val="16"/>
        </w:rPr>
        <w:softHyphen/>
        <w:t>ем 21 см, запасом плёнки на 50 кадров, весом 9 кг. Конструктор подполковник русской армии В.Ф.Поттэ).</w:t>
      </w:r>
    </w:p>
    <w:p w14:paraId="6C9853E0" w14:textId="77777777" w:rsidR="004B4E35" w:rsidRPr="00405303" w:rsidRDefault="009E6F82" w:rsidP="00C15251">
      <w:pPr>
        <w:jc w:val="both"/>
        <w:rPr>
          <w:bCs/>
          <w:color w:val="002060"/>
          <w:sz w:val="16"/>
          <w:szCs w:val="16"/>
        </w:rPr>
      </w:pPr>
      <w:r w:rsidRPr="00405303">
        <w:rPr>
          <w:bCs/>
          <w:color w:val="002060"/>
          <w:sz w:val="16"/>
          <w:szCs w:val="16"/>
        </w:rPr>
        <w:t>Если на Балтийском флоте, где было достаточно самолетов Ф.Б.А., особой нужды в М-5 не испытыва</w:t>
      </w:r>
      <w:r w:rsidRPr="00405303">
        <w:rPr>
          <w:bCs/>
          <w:color w:val="002060"/>
          <w:sz w:val="16"/>
          <w:szCs w:val="16"/>
        </w:rPr>
        <w:softHyphen/>
        <w:t>ли, то на Черноморском флоте са</w:t>
      </w:r>
      <w:r w:rsidRPr="00405303">
        <w:rPr>
          <w:bCs/>
          <w:color w:val="002060"/>
          <w:sz w:val="16"/>
          <w:szCs w:val="16"/>
        </w:rPr>
        <w:softHyphen/>
        <w:t>молёты М-5 принимали непосред</w:t>
      </w:r>
      <w:r w:rsidRPr="00405303">
        <w:rPr>
          <w:bCs/>
          <w:color w:val="002060"/>
          <w:sz w:val="16"/>
          <w:szCs w:val="16"/>
        </w:rPr>
        <w:softHyphen/>
        <w:t>ственное участие в боевых действи</w:t>
      </w:r>
      <w:r w:rsidRPr="00405303">
        <w:rPr>
          <w:bCs/>
          <w:color w:val="002060"/>
          <w:sz w:val="16"/>
          <w:szCs w:val="16"/>
        </w:rPr>
        <w:softHyphen/>
        <w:t>ях в составе береговых и корабель</w:t>
      </w:r>
      <w:r w:rsidRPr="00405303">
        <w:rPr>
          <w:bCs/>
          <w:color w:val="002060"/>
          <w:sz w:val="16"/>
          <w:szCs w:val="16"/>
        </w:rPr>
        <w:softHyphen/>
        <w:t>ных подразделений (11872).</w:t>
      </w:r>
    </w:p>
    <w:p w14:paraId="2AD69DF1" w14:textId="77777777" w:rsidR="004B4E35" w:rsidRPr="00405303" w:rsidRDefault="004B4E35" w:rsidP="00C15251">
      <w:pPr>
        <w:shd w:val="clear" w:color="auto" w:fill="FFFFFF"/>
        <w:jc w:val="both"/>
        <w:rPr>
          <w:bCs/>
          <w:i/>
          <w:color w:val="002060"/>
          <w:sz w:val="16"/>
          <w:szCs w:val="16"/>
        </w:rPr>
      </w:pPr>
    </w:p>
    <w:p w14:paraId="0675DE87"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72E68874" w14:textId="77777777" w:rsidR="004B4E35" w:rsidRPr="00405303" w:rsidRDefault="004B4E35" w:rsidP="00C15251">
      <w:pPr>
        <w:shd w:val="clear" w:color="auto" w:fill="FFFFFF"/>
        <w:jc w:val="both"/>
        <w:rPr>
          <w:bCs/>
          <w:i/>
          <w:color w:val="002060"/>
          <w:sz w:val="16"/>
          <w:szCs w:val="16"/>
        </w:rPr>
      </w:pPr>
    </w:p>
    <w:p w14:paraId="110DB8D0" w14:textId="7213722A" w:rsidR="004B4E35" w:rsidRPr="00405303" w:rsidRDefault="009E6F82" w:rsidP="00C15251">
      <w:pPr>
        <w:jc w:val="both"/>
        <w:rPr>
          <w:bCs/>
          <w:color w:val="002060"/>
          <w:sz w:val="16"/>
          <w:szCs w:val="16"/>
        </w:rPr>
      </w:pPr>
      <w:r w:rsidRPr="00405303">
        <w:rPr>
          <w:bCs/>
          <w:color w:val="002060"/>
          <w:sz w:val="16"/>
          <w:szCs w:val="16"/>
        </w:rPr>
        <w:t xml:space="preserve">20 апреля (3 мая) 1915 года </w:t>
      </w:r>
      <w:r w:rsidR="008C1B7D" w:rsidRPr="00405303">
        <w:rPr>
          <w:bCs/>
          <w:color w:val="002060"/>
          <w:sz w:val="16"/>
          <w:szCs w:val="16"/>
        </w:rPr>
        <w:t>Б</w:t>
      </w:r>
      <w:r w:rsidRPr="00405303">
        <w:rPr>
          <w:bCs/>
          <w:color w:val="002060"/>
          <w:sz w:val="16"/>
          <w:szCs w:val="16"/>
        </w:rPr>
        <w:t>рянский вагонный завод</w:t>
      </w:r>
      <w:r w:rsidR="008C1B7D" w:rsidRPr="00405303">
        <w:rPr>
          <w:bCs/>
          <w:color w:val="002060"/>
          <w:sz w:val="16"/>
          <w:szCs w:val="16"/>
        </w:rPr>
        <w:t>, который со времени начала первой Мировой войны Брянский завод поставлял для фронта фугасные снаряды,</w:t>
      </w:r>
      <w:r w:rsidRPr="00405303">
        <w:rPr>
          <w:bCs/>
          <w:color w:val="002060"/>
          <w:sz w:val="16"/>
          <w:szCs w:val="16"/>
        </w:rPr>
        <w:t xml:space="preserve"> посетил царь Николай II. В пролете кранового цеха для него организовали общезаводскую выставку. </w:t>
      </w:r>
    </w:p>
    <w:p w14:paraId="5677C1FA" w14:textId="77777777" w:rsidR="004B4E35" w:rsidRPr="00405303" w:rsidRDefault="004B4E35" w:rsidP="00C15251">
      <w:pPr>
        <w:pStyle w:val="Iauiue"/>
        <w:jc w:val="both"/>
        <w:rPr>
          <w:bCs/>
          <w:color w:val="002060"/>
          <w:sz w:val="16"/>
          <w:szCs w:val="16"/>
        </w:rPr>
      </w:pPr>
    </w:p>
    <w:p w14:paraId="4B59796C"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429409C3" w14:textId="77777777" w:rsidR="004B4E35" w:rsidRPr="00405303" w:rsidRDefault="004B4E35" w:rsidP="00C15251">
      <w:pPr>
        <w:shd w:val="clear" w:color="auto" w:fill="FFFFFF"/>
        <w:jc w:val="both"/>
        <w:rPr>
          <w:bCs/>
          <w:i/>
          <w:color w:val="002060"/>
          <w:sz w:val="16"/>
          <w:szCs w:val="16"/>
        </w:rPr>
      </w:pPr>
    </w:p>
    <w:p w14:paraId="44475C66" w14:textId="5153C424" w:rsidR="004B4E35" w:rsidRPr="00405303" w:rsidRDefault="009E6F82" w:rsidP="00C15251">
      <w:pPr>
        <w:jc w:val="both"/>
        <w:rPr>
          <w:bCs/>
          <w:color w:val="002060"/>
          <w:sz w:val="16"/>
          <w:szCs w:val="16"/>
        </w:rPr>
      </w:pPr>
      <w:r w:rsidRPr="00405303">
        <w:rPr>
          <w:bCs/>
          <w:color w:val="002060"/>
          <w:sz w:val="16"/>
          <w:szCs w:val="16"/>
        </w:rPr>
        <w:t xml:space="preserve">20 апреля </w:t>
      </w:r>
      <w:r w:rsidR="007266BC" w:rsidRPr="00405303">
        <w:rPr>
          <w:bCs/>
          <w:color w:val="002060"/>
          <w:sz w:val="16"/>
          <w:szCs w:val="16"/>
        </w:rPr>
        <w:t xml:space="preserve">(3 мая) </w:t>
      </w:r>
      <w:r w:rsidRPr="00405303">
        <w:rPr>
          <w:bCs/>
          <w:color w:val="002060"/>
          <w:sz w:val="16"/>
          <w:szCs w:val="16"/>
        </w:rPr>
        <w:t xml:space="preserve">1915 года </w:t>
      </w:r>
      <w:r w:rsidR="007266BC" w:rsidRPr="00405303">
        <w:rPr>
          <w:bCs/>
          <w:color w:val="002060"/>
          <w:sz w:val="16"/>
          <w:szCs w:val="16"/>
        </w:rPr>
        <w:t xml:space="preserve">приказом Верховного главнокомандующего за № 291 </w:t>
      </w:r>
      <w:r w:rsidRPr="00405303">
        <w:rPr>
          <w:bCs/>
          <w:color w:val="002060"/>
          <w:sz w:val="16"/>
          <w:szCs w:val="16"/>
        </w:rPr>
        <w:t>были утверждены временный штат, положение и табель специального имущества Эскадры Воздушных Кораблей. Теперь в составе Эскадры полагалось содержать 10 экипажей воздушных кораблей. Чуть позже, другим приказом от 5 ноября того же года в Эскадру было добавлено содержание ещё 10 кораблей. В положении говорилось, что Эскадра имеет назначение:</w:t>
      </w:r>
    </w:p>
    <w:p w14:paraId="00B097BD" w14:textId="77777777" w:rsidR="004B4E35" w:rsidRPr="00405303" w:rsidRDefault="009E6F82" w:rsidP="00C15251">
      <w:pPr>
        <w:jc w:val="both"/>
        <w:rPr>
          <w:bCs/>
          <w:color w:val="002060"/>
          <w:sz w:val="16"/>
          <w:szCs w:val="16"/>
        </w:rPr>
      </w:pPr>
      <w:r w:rsidRPr="00405303">
        <w:rPr>
          <w:bCs/>
          <w:color w:val="002060"/>
          <w:sz w:val="16"/>
          <w:szCs w:val="16"/>
        </w:rPr>
        <w:t>а) производство глубокой разведки в тылу противника,</w:t>
      </w:r>
    </w:p>
    <w:p w14:paraId="11B9E99B" w14:textId="77777777" w:rsidR="004B4E35" w:rsidRPr="00405303" w:rsidRDefault="009E6F82" w:rsidP="00C15251">
      <w:pPr>
        <w:jc w:val="both"/>
        <w:rPr>
          <w:bCs/>
          <w:color w:val="002060"/>
          <w:sz w:val="16"/>
          <w:szCs w:val="16"/>
        </w:rPr>
      </w:pPr>
      <w:r w:rsidRPr="00405303">
        <w:rPr>
          <w:bCs/>
          <w:color w:val="002060"/>
          <w:sz w:val="16"/>
          <w:szCs w:val="16"/>
        </w:rPr>
        <w:t xml:space="preserve">б) разрушение укреплений и сооружений, имеющих военное значение, поражение резервов противника и значительного скопления его обозов и подвижных составов, </w:t>
      </w:r>
    </w:p>
    <w:p w14:paraId="24439EC7" w14:textId="77777777" w:rsidR="004B4E35" w:rsidRPr="00405303" w:rsidRDefault="009E6F82" w:rsidP="00C15251">
      <w:pPr>
        <w:jc w:val="both"/>
        <w:rPr>
          <w:bCs/>
          <w:color w:val="002060"/>
          <w:sz w:val="16"/>
          <w:szCs w:val="16"/>
        </w:rPr>
      </w:pPr>
      <w:r w:rsidRPr="00405303">
        <w:rPr>
          <w:bCs/>
          <w:color w:val="002060"/>
          <w:sz w:val="16"/>
          <w:szCs w:val="16"/>
        </w:rPr>
        <w:t>в) уничтожение воздушного флота противника,</w:t>
      </w:r>
    </w:p>
    <w:p w14:paraId="512EF180" w14:textId="77777777" w:rsidR="004B4E35" w:rsidRPr="00405303" w:rsidRDefault="009E6F82" w:rsidP="00C15251">
      <w:pPr>
        <w:jc w:val="both"/>
        <w:rPr>
          <w:bCs/>
          <w:color w:val="002060"/>
          <w:sz w:val="16"/>
          <w:szCs w:val="16"/>
        </w:rPr>
      </w:pPr>
      <w:r w:rsidRPr="00405303">
        <w:rPr>
          <w:bCs/>
          <w:color w:val="002060"/>
          <w:sz w:val="16"/>
          <w:szCs w:val="16"/>
        </w:rPr>
        <w:t>г) служить школой для подготовки опытного личного состава для боевых воздушных кораблей.</w:t>
      </w:r>
    </w:p>
    <w:p w14:paraId="10F39C59" w14:textId="77777777" w:rsidR="004B4E35" w:rsidRPr="00405303" w:rsidRDefault="009E6F82" w:rsidP="00C15251">
      <w:pPr>
        <w:jc w:val="both"/>
        <w:rPr>
          <w:bCs/>
          <w:color w:val="002060"/>
          <w:sz w:val="16"/>
          <w:szCs w:val="16"/>
        </w:rPr>
      </w:pPr>
      <w:r w:rsidRPr="00405303">
        <w:rPr>
          <w:bCs/>
          <w:color w:val="002060"/>
          <w:sz w:val="16"/>
          <w:szCs w:val="16"/>
        </w:rPr>
        <w:t>Эскадру подчинили непосредственно начальнику штаба Верховного главнокомандующего. А начальник этого соединения наделялся правами начальника дивизии.</w:t>
      </w:r>
    </w:p>
    <w:p w14:paraId="6CC1C038" w14:textId="77777777" w:rsidR="004B4E35" w:rsidRPr="00405303" w:rsidRDefault="009E6F82" w:rsidP="00C15251">
      <w:pPr>
        <w:jc w:val="both"/>
        <w:rPr>
          <w:bCs/>
          <w:color w:val="002060"/>
          <w:sz w:val="16"/>
          <w:szCs w:val="16"/>
        </w:rPr>
      </w:pPr>
      <w:r w:rsidRPr="00405303">
        <w:rPr>
          <w:bCs/>
          <w:color w:val="002060"/>
          <w:sz w:val="16"/>
          <w:szCs w:val="16"/>
        </w:rPr>
        <w:t>Объединение всех "Муромцев" в одно подразделение (Эскадру) было на текущий момент единственно правильным решением, но развитие оперативной обстановки уже весной I9I5 года потребовало формирование внутри Эскадры отдельных групп для действий в интересах отдельных армий (12041).</w:t>
      </w:r>
    </w:p>
    <w:p w14:paraId="5FF825E5" w14:textId="77777777" w:rsidR="004B4E35" w:rsidRPr="00405303" w:rsidRDefault="004B4E35" w:rsidP="00C15251">
      <w:pPr>
        <w:jc w:val="both"/>
        <w:rPr>
          <w:bCs/>
          <w:color w:val="002060"/>
          <w:sz w:val="16"/>
          <w:szCs w:val="16"/>
        </w:rPr>
      </w:pPr>
    </w:p>
    <w:p w14:paraId="2F9D413B" w14:textId="77777777" w:rsidR="00252322" w:rsidRPr="00405303" w:rsidRDefault="00252322" w:rsidP="00252322">
      <w:pPr>
        <w:jc w:val="both"/>
        <w:rPr>
          <w:bCs/>
          <w:color w:val="002060"/>
          <w:sz w:val="16"/>
          <w:szCs w:val="16"/>
        </w:rPr>
      </w:pPr>
      <w:r w:rsidRPr="00405303">
        <w:rPr>
          <w:bCs/>
          <w:color w:val="002060"/>
          <w:sz w:val="16"/>
          <w:szCs w:val="16"/>
        </w:rPr>
        <w:t>20 апреля (3 мая) 1915 года ИМ-Киевский совершил миссию по разрушению железнодорожной станции Сольдау. Экипаж состоял из командира, лейтенанта Башко, его заместителя лейтенанта М. В. Смирнова, артиллерийского офицера штаб-капитана Наумова и рядового Андреева. ИМ-Киевский сделал шесть кругов над станцией Сольдау, на которой стояло 15 поездов, затем начал бомбить железнодорожные составы. Команда заметила и сделала фотографии взрыва локомотива, который только что начал двигаться. Во время этого вылета штабс-капитан Наумов и прапорщик Андреев вылезали на крыло и чинили маслопровод, который был поврежден во время полета.</w:t>
      </w:r>
    </w:p>
    <w:p w14:paraId="3EDC4C40" w14:textId="77777777" w:rsidR="00252322" w:rsidRPr="00405303" w:rsidRDefault="00252322" w:rsidP="00252322">
      <w:pPr>
        <w:jc w:val="both"/>
        <w:rPr>
          <w:bCs/>
          <w:color w:val="002060"/>
          <w:sz w:val="16"/>
          <w:szCs w:val="16"/>
        </w:rPr>
      </w:pPr>
      <w:r w:rsidRPr="00405303">
        <w:rPr>
          <w:bCs/>
          <w:color w:val="002060"/>
          <w:sz w:val="16"/>
          <w:szCs w:val="16"/>
        </w:rPr>
        <w:t>Через полчаса после полета ИМ-Киевского, другой Муромец, ИМ-3, под командованием штабс-капитана Бродовича бомбил ту же самую станцию. Этот второй вылет вызвал еще большую панику. Экипаж ИМ-3 заметил другой локомотив, движущийся от станции на полном ходу, возможно вследствие паники, вызванной ИМ-Киевским, который разрушил локомотив во время первого рейда. Оба воздушных судна сбросили 40 бомб, из которых тридцать весили более 16 кг каждая (23470).</w:t>
      </w:r>
    </w:p>
    <w:p w14:paraId="24660898" w14:textId="77777777" w:rsidR="00252322" w:rsidRPr="00405303" w:rsidRDefault="00252322" w:rsidP="00252322">
      <w:pPr>
        <w:jc w:val="both"/>
        <w:rPr>
          <w:bCs/>
          <w:color w:val="002060"/>
          <w:sz w:val="16"/>
          <w:szCs w:val="16"/>
        </w:rPr>
      </w:pPr>
    </w:p>
    <w:p w14:paraId="7A0849CD" w14:textId="0DE82347" w:rsidR="007213D2" w:rsidRPr="00405303" w:rsidRDefault="007213D2" w:rsidP="00C15251">
      <w:pPr>
        <w:jc w:val="both"/>
        <w:rPr>
          <w:bCs/>
          <w:color w:val="002060"/>
          <w:sz w:val="16"/>
          <w:szCs w:val="16"/>
        </w:rPr>
      </w:pPr>
      <w:r w:rsidRPr="00405303">
        <w:rPr>
          <w:bCs/>
          <w:color w:val="002060"/>
          <w:sz w:val="16"/>
          <w:szCs w:val="16"/>
        </w:rPr>
        <w:t>20 апреля (3 мая) 1915 г. 10 немецких самолетов появились в небе г. Белосток и сбросили более 100 бомб на его кварталы. Вследствие скученности последних среди мирных жителей (еврейской национальности) имелись многочисленные жертвы: 13 человек убитыми и 50 ранеными. Местами возникли пожары. Для перехвата противника в небо были подняты русские самолеты. В результате преследования противника удалось сбить один из неприятельских летательных аппаратов (упал вблизи ж/д ст. Староселиц). Экипаж аэроплана позднее был задержан.</w:t>
      </w:r>
    </w:p>
    <w:p w14:paraId="2B04470B" w14:textId="77777777" w:rsidR="007213D2" w:rsidRPr="00405303" w:rsidRDefault="007213D2" w:rsidP="00C15251">
      <w:pPr>
        <w:jc w:val="both"/>
        <w:rPr>
          <w:bCs/>
          <w:color w:val="002060"/>
          <w:sz w:val="16"/>
          <w:szCs w:val="16"/>
        </w:rPr>
      </w:pPr>
      <w:r w:rsidRPr="00405303">
        <w:rPr>
          <w:bCs/>
          <w:color w:val="002060"/>
          <w:sz w:val="16"/>
          <w:szCs w:val="16"/>
        </w:rPr>
        <w:t xml:space="preserve">По сообщениям корреспондента газеты «Петроградский листок», «под бомбардировку с германских аэропланов в Белостоке попал среди других пассажиров поезда прибывший в этот город из Вильны известный артист-дрессировщик Владимир Дуров [с женой, с </w:t>
      </w:r>
      <w:bookmarkStart w:id="104" w:name="bookmark135"/>
      <w:bookmarkStart w:id="105" w:name="bookmark136"/>
      <w:bookmarkStart w:id="106" w:name="bookmark137"/>
      <w:bookmarkStart w:id="107" w:name="bookmark138"/>
      <w:r w:rsidRPr="00405303">
        <w:rPr>
          <w:bCs/>
          <w:color w:val="002060"/>
          <w:sz w:val="16"/>
          <w:szCs w:val="16"/>
        </w:rPr>
        <w:t>благополучным исходом]». Подобной воздушной бомбардировке подверглись тыловые части и объекты в Праснышском, Ломжинском и Осовец-Гродненском районах. Ранее в районе Остроленка - Новгород - Цеханов отмечались групповые полеты неприятельской авиации (до 12-15 аппаратов). В ходе бомбардировок населенных пунктов над ними сбрасывалось одновременно до 180 легких бомб с целью разрушения зданий и сооружений (23405).</w:t>
      </w:r>
      <w:bookmarkEnd w:id="104"/>
      <w:bookmarkEnd w:id="105"/>
      <w:bookmarkEnd w:id="106"/>
      <w:bookmarkEnd w:id="107"/>
    </w:p>
    <w:p w14:paraId="5E26375A" w14:textId="77777777" w:rsidR="007213D2" w:rsidRPr="00405303" w:rsidRDefault="007213D2" w:rsidP="00C15251">
      <w:pPr>
        <w:jc w:val="both"/>
        <w:rPr>
          <w:bCs/>
          <w:color w:val="002060"/>
          <w:sz w:val="16"/>
          <w:szCs w:val="16"/>
        </w:rPr>
      </w:pPr>
    </w:p>
    <w:p w14:paraId="6719153C" w14:textId="77777777" w:rsidR="00252322" w:rsidRPr="00405303" w:rsidRDefault="00252322" w:rsidP="00252322">
      <w:pPr>
        <w:jc w:val="both"/>
        <w:rPr>
          <w:color w:val="0070C0"/>
          <w:sz w:val="16"/>
          <w:szCs w:val="16"/>
        </w:rPr>
      </w:pPr>
      <w:r w:rsidRPr="00405303">
        <w:rPr>
          <w:rStyle w:val="aa"/>
          <w:rFonts w:ascii="Times New Roman" w:hAnsi="Times New Roman"/>
          <w:color w:val="0070C0"/>
          <w:spacing w:val="0"/>
          <w:sz w:val="16"/>
          <w:szCs w:val="16"/>
        </w:rPr>
        <w:t>20-21 апреля (3–4 мая) 1915 г. противник провел групповой налет (4 самолета) на русские объекты возле станции Сташев, не причинив при этом им особого вреда. Одновременно бомбовый удар был нанесен по г. Плонск. Одной из бомб, упавшей вблизи костела, было убито 8 человек, ранено более 30 (25135).</w:t>
      </w:r>
    </w:p>
    <w:p w14:paraId="48508E71" w14:textId="77777777" w:rsidR="00252322" w:rsidRPr="00405303" w:rsidRDefault="00252322" w:rsidP="00252322">
      <w:pPr>
        <w:jc w:val="both"/>
        <w:rPr>
          <w:color w:val="0070C0"/>
          <w:sz w:val="16"/>
          <w:szCs w:val="16"/>
        </w:rPr>
      </w:pPr>
    </w:p>
    <w:p w14:paraId="4DD29E47"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240EECB3" w14:textId="77777777" w:rsidR="004B4E35" w:rsidRPr="00405303" w:rsidRDefault="004B4E35" w:rsidP="00C15251">
      <w:pPr>
        <w:shd w:val="clear" w:color="auto" w:fill="FFFFFF"/>
        <w:jc w:val="both"/>
        <w:rPr>
          <w:bCs/>
          <w:i/>
          <w:color w:val="002060"/>
          <w:sz w:val="16"/>
          <w:szCs w:val="16"/>
        </w:rPr>
      </w:pPr>
    </w:p>
    <w:p w14:paraId="6B9B5FDF" w14:textId="0AD73EA3" w:rsidR="004B4E35" w:rsidRPr="00405303" w:rsidRDefault="009E6F82" w:rsidP="00C15251">
      <w:pPr>
        <w:jc w:val="both"/>
        <w:rPr>
          <w:bCs/>
          <w:color w:val="002060"/>
          <w:sz w:val="16"/>
          <w:szCs w:val="16"/>
        </w:rPr>
      </w:pPr>
      <w:r w:rsidRPr="00405303">
        <w:rPr>
          <w:bCs/>
          <w:color w:val="002060"/>
          <w:sz w:val="16"/>
          <w:szCs w:val="16"/>
        </w:rPr>
        <w:t xml:space="preserve">20 апреля </w:t>
      </w:r>
      <w:r w:rsidR="007266BC" w:rsidRPr="00405303">
        <w:rPr>
          <w:bCs/>
          <w:color w:val="002060"/>
          <w:sz w:val="16"/>
          <w:szCs w:val="16"/>
        </w:rPr>
        <w:t xml:space="preserve">(3 мая) </w:t>
      </w:r>
      <w:r w:rsidRPr="00405303">
        <w:rPr>
          <w:bCs/>
          <w:color w:val="002060"/>
          <w:sz w:val="16"/>
          <w:szCs w:val="16"/>
        </w:rPr>
        <w:t xml:space="preserve">1915 года </w:t>
      </w:r>
      <w:r w:rsidR="0019394C" w:rsidRPr="00405303">
        <w:rPr>
          <w:bCs/>
          <w:color w:val="002060"/>
          <w:sz w:val="16"/>
          <w:szCs w:val="16"/>
        </w:rPr>
        <w:t>к</w:t>
      </w:r>
      <w:r w:rsidR="007266BC" w:rsidRPr="00405303">
        <w:rPr>
          <w:bCs/>
          <w:color w:val="002060"/>
          <w:sz w:val="16"/>
          <w:szCs w:val="16"/>
        </w:rPr>
        <w:t xml:space="preserve"> намеченному сроку готовности «Орлицы» основные работы были выполнены </w:t>
      </w:r>
      <w:r w:rsidR="0019394C" w:rsidRPr="00405303">
        <w:rPr>
          <w:bCs/>
          <w:color w:val="002060"/>
          <w:sz w:val="16"/>
          <w:szCs w:val="16"/>
        </w:rPr>
        <w:t xml:space="preserve">и </w:t>
      </w:r>
      <w:r w:rsidR="007266BC" w:rsidRPr="00405303">
        <w:rPr>
          <w:bCs/>
          <w:color w:val="002060"/>
          <w:sz w:val="16"/>
          <w:szCs w:val="16"/>
        </w:rPr>
        <w:t xml:space="preserve">«Орлицу» </w:t>
      </w:r>
      <w:r w:rsidRPr="00405303">
        <w:rPr>
          <w:bCs/>
          <w:color w:val="002060"/>
          <w:sz w:val="16"/>
          <w:szCs w:val="16"/>
        </w:rPr>
        <w:t>официально зачислили в состав Службы связи Балтийского моря, и 15 мая оно начало кампанию. Спустя 12 дней «Орлицу» ввели в Константнновский док Кронштадта для окраски подводной части. Выполнение дополнительных работ, по указаниям наблюдающего за переоборудованием полковника Корпуса корабельных инженеров И.Е.Храповицкого (официальная должность — корабельный инженер, наблюдающий за постройкой легких крейсеров «Адмирал Бутаков» и «Адмирал Спиридов» на Путиловской верфи) и командира судна капитана 2 ранга Б.П.Дудорова, задержало готовность до 27 июня. Однако мелкие работы (на сумму около 35 тыс. руб.) на «Орлице» выполнялись вплоть до ноября 1915 года, даже в период ее участия в боевых действиях (11333).</w:t>
      </w:r>
    </w:p>
    <w:p w14:paraId="42B9EDD7" w14:textId="77777777" w:rsidR="004B4E35" w:rsidRPr="00405303" w:rsidRDefault="004B4E35" w:rsidP="00C15251">
      <w:pPr>
        <w:shd w:val="clear" w:color="auto" w:fill="FFFFFF"/>
        <w:jc w:val="both"/>
        <w:rPr>
          <w:bCs/>
          <w:color w:val="002060"/>
          <w:sz w:val="16"/>
          <w:szCs w:val="16"/>
        </w:rPr>
      </w:pPr>
    </w:p>
    <w:p w14:paraId="2E41CF10" w14:textId="77777777" w:rsidR="0019394C" w:rsidRPr="00405303" w:rsidRDefault="0019394C" w:rsidP="00C15251">
      <w:pPr>
        <w:pStyle w:val="a5"/>
        <w:rPr>
          <w:bCs/>
          <w:color w:val="002060"/>
          <w:sz w:val="16"/>
          <w:szCs w:val="16"/>
          <w:lang w:val="ru-RU"/>
        </w:rPr>
      </w:pPr>
      <w:r w:rsidRPr="00405303">
        <w:rPr>
          <w:bCs/>
          <w:color w:val="002060"/>
          <w:sz w:val="16"/>
          <w:szCs w:val="16"/>
          <w:lang w:val="ru-RU"/>
        </w:rPr>
        <w:t>20 апреля (3 мая) 1915 года судно «Орлица» офи</w:t>
      </w:r>
      <w:r w:rsidRPr="00405303">
        <w:rPr>
          <w:bCs/>
          <w:color w:val="002060"/>
          <w:sz w:val="16"/>
          <w:szCs w:val="16"/>
          <w:lang w:val="ru-RU"/>
        </w:rPr>
        <w:softHyphen/>
        <w:t>циально зачислили в состав Служ</w:t>
      </w:r>
      <w:r w:rsidRPr="00405303">
        <w:rPr>
          <w:bCs/>
          <w:color w:val="002060"/>
          <w:sz w:val="16"/>
          <w:szCs w:val="16"/>
          <w:lang w:val="ru-RU"/>
        </w:rPr>
        <w:softHyphen/>
        <w:t>бы связи Балтийского моря, и 15 мая оно начало кампанию. Одна</w:t>
      </w:r>
      <w:r w:rsidRPr="00405303">
        <w:rPr>
          <w:bCs/>
          <w:color w:val="002060"/>
          <w:sz w:val="16"/>
          <w:szCs w:val="16"/>
          <w:lang w:val="ru-RU"/>
        </w:rPr>
        <w:softHyphen/>
        <w:t>ко мелкие работы на «Орлице» вы</w:t>
      </w:r>
      <w:r w:rsidRPr="00405303">
        <w:rPr>
          <w:bCs/>
          <w:color w:val="002060"/>
          <w:sz w:val="16"/>
          <w:szCs w:val="16"/>
          <w:lang w:val="ru-RU"/>
        </w:rPr>
        <w:softHyphen/>
        <w:t>полнялись вплоть до ноября 1915 г., даже в период ее участия в боевых действиях.</w:t>
      </w:r>
    </w:p>
    <w:p w14:paraId="2DB15A00" w14:textId="77777777" w:rsidR="0019394C" w:rsidRPr="00405303" w:rsidRDefault="0019394C" w:rsidP="00C15251">
      <w:pPr>
        <w:pStyle w:val="a5"/>
        <w:rPr>
          <w:bCs/>
          <w:color w:val="002060"/>
          <w:sz w:val="16"/>
          <w:szCs w:val="16"/>
          <w:lang w:val="ru-RU"/>
        </w:rPr>
      </w:pPr>
      <w:r w:rsidRPr="00405303">
        <w:rPr>
          <w:bCs/>
          <w:color w:val="002060"/>
          <w:sz w:val="16"/>
          <w:szCs w:val="16"/>
          <w:lang w:val="ru-RU"/>
        </w:rPr>
        <w:t>Несколько расширенное описа</w:t>
      </w:r>
      <w:r w:rsidRPr="00405303">
        <w:rPr>
          <w:bCs/>
          <w:color w:val="002060"/>
          <w:sz w:val="16"/>
          <w:szCs w:val="16"/>
          <w:lang w:val="ru-RU"/>
        </w:rPr>
        <w:softHyphen/>
        <w:t>ние авиационного оборудования приведено, чтобы показать слож</w:t>
      </w:r>
      <w:r w:rsidRPr="00405303">
        <w:rPr>
          <w:bCs/>
          <w:color w:val="002060"/>
          <w:sz w:val="16"/>
          <w:szCs w:val="16"/>
          <w:lang w:val="ru-RU"/>
        </w:rPr>
        <w:softHyphen/>
        <w:t>ность работ. Уже первый опыт по</w:t>
      </w:r>
      <w:r w:rsidRPr="00405303">
        <w:rPr>
          <w:bCs/>
          <w:color w:val="002060"/>
          <w:sz w:val="16"/>
          <w:szCs w:val="16"/>
          <w:lang w:val="ru-RU"/>
        </w:rPr>
        <w:softHyphen/>
        <w:t>казал, что ангары «Орлицы» нуж</w:t>
      </w:r>
      <w:r w:rsidRPr="00405303">
        <w:rPr>
          <w:bCs/>
          <w:color w:val="002060"/>
          <w:sz w:val="16"/>
          <w:szCs w:val="16"/>
          <w:lang w:val="ru-RU"/>
        </w:rPr>
        <w:softHyphen/>
        <w:t>даются в доработке и в конце фев</w:t>
      </w:r>
      <w:r w:rsidRPr="00405303">
        <w:rPr>
          <w:bCs/>
          <w:color w:val="002060"/>
          <w:sz w:val="16"/>
          <w:szCs w:val="16"/>
          <w:lang w:val="ru-RU"/>
        </w:rPr>
        <w:softHyphen/>
        <w:t>раля 1916 г. их произвели на заво</w:t>
      </w:r>
      <w:r w:rsidRPr="00405303">
        <w:rPr>
          <w:bCs/>
          <w:color w:val="002060"/>
          <w:sz w:val="16"/>
          <w:szCs w:val="16"/>
          <w:lang w:val="ru-RU"/>
        </w:rPr>
        <w:softHyphen/>
        <w:t>де в Гельсингфорсе. С 23 мая по 2 июня 1916 года, во время захода «Орлицы» под командованием ка</w:t>
      </w:r>
      <w:r w:rsidRPr="00405303">
        <w:rPr>
          <w:bCs/>
          <w:color w:val="002060"/>
          <w:sz w:val="16"/>
          <w:szCs w:val="16"/>
          <w:lang w:val="ru-RU"/>
        </w:rPr>
        <w:softHyphen/>
        <w:t>питана 2-го ранга Н.Н.Ромашева в Петроград, были выполнены рабо</w:t>
      </w:r>
      <w:r w:rsidRPr="00405303">
        <w:rPr>
          <w:bCs/>
          <w:color w:val="002060"/>
          <w:sz w:val="16"/>
          <w:szCs w:val="16"/>
          <w:lang w:val="ru-RU"/>
        </w:rPr>
        <w:softHyphen/>
        <w:t xml:space="preserve">ты, чтобы обеспечить базирование гидросамолетов М-9. Наблюдение за работами осуществлял </w:t>
      </w:r>
      <w:r w:rsidRPr="00405303">
        <w:rPr>
          <w:bCs/>
          <w:color w:val="002060"/>
          <w:sz w:val="16"/>
          <w:szCs w:val="16"/>
          <w:lang w:val="ru-RU"/>
        </w:rPr>
        <w:lastRenderedPageBreak/>
        <w:t>полков</w:t>
      </w:r>
      <w:r w:rsidRPr="00405303">
        <w:rPr>
          <w:bCs/>
          <w:color w:val="002060"/>
          <w:sz w:val="16"/>
          <w:szCs w:val="16"/>
          <w:lang w:val="ru-RU"/>
        </w:rPr>
        <w:softHyphen/>
        <w:t>ник корпуса корабельных инжене</w:t>
      </w:r>
      <w:r w:rsidRPr="00405303">
        <w:rPr>
          <w:bCs/>
          <w:color w:val="002060"/>
          <w:sz w:val="16"/>
          <w:szCs w:val="16"/>
          <w:lang w:val="ru-RU"/>
        </w:rPr>
        <w:softHyphen/>
        <w:t>ров И.Е.Храповицкий. Специалисты Путиловской верфи установили новые кильблоки для М-9 и устрой</w:t>
      </w:r>
      <w:r w:rsidRPr="00405303">
        <w:rPr>
          <w:bCs/>
          <w:color w:val="002060"/>
          <w:sz w:val="16"/>
          <w:szCs w:val="16"/>
          <w:lang w:val="ru-RU"/>
        </w:rPr>
        <w:softHyphen/>
        <w:t>ства для их крепления по-походно</w:t>
      </w:r>
      <w:r w:rsidRPr="00405303">
        <w:rPr>
          <w:bCs/>
          <w:color w:val="002060"/>
          <w:sz w:val="16"/>
          <w:szCs w:val="16"/>
          <w:lang w:val="ru-RU"/>
        </w:rPr>
        <w:softHyphen/>
        <w:t>му. Гаки с карабинами для спуска и подъема гидросамолетов заменили более мощными. «Орлица» прини</w:t>
      </w:r>
      <w:r w:rsidRPr="00405303">
        <w:rPr>
          <w:bCs/>
          <w:color w:val="002060"/>
          <w:sz w:val="16"/>
          <w:szCs w:val="16"/>
          <w:lang w:val="ru-RU"/>
        </w:rPr>
        <w:softHyphen/>
        <w:t>мала участие в боевых действиях, а в апреле 1918 г. в составе одно</w:t>
      </w:r>
      <w:r w:rsidRPr="00405303">
        <w:rPr>
          <w:bCs/>
          <w:color w:val="002060"/>
          <w:sz w:val="16"/>
          <w:szCs w:val="16"/>
          <w:lang w:val="ru-RU"/>
        </w:rPr>
        <w:softHyphen/>
        <w:t>го из эшелонов Ледового похода перешла в Кронштадт. В начале августа 1918 г. «Орлицу» разору</w:t>
      </w:r>
      <w:r w:rsidRPr="00405303">
        <w:rPr>
          <w:bCs/>
          <w:color w:val="002060"/>
          <w:sz w:val="16"/>
          <w:szCs w:val="16"/>
          <w:lang w:val="ru-RU"/>
        </w:rPr>
        <w:softHyphen/>
        <w:t>жили, передали Главному управле</w:t>
      </w:r>
      <w:r w:rsidRPr="00405303">
        <w:rPr>
          <w:bCs/>
          <w:color w:val="002060"/>
          <w:sz w:val="16"/>
          <w:szCs w:val="16"/>
          <w:lang w:val="ru-RU"/>
        </w:rPr>
        <w:softHyphen/>
        <w:t>нию водного транспорта Народно</w:t>
      </w:r>
      <w:r w:rsidRPr="00405303">
        <w:rPr>
          <w:bCs/>
          <w:color w:val="002060"/>
          <w:sz w:val="16"/>
          <w:szCs w:val="16"/>
          <w:lang w:val="ru-RU"/>
        </w:rPr>
        <w:softHyphen/>
        <w:t>го комиссариата путей сообщения и переименовали в «Совет». Паро</w:t>
      </w:r>
      <w:r w:rsidRPr="00405303">
        <w:rPr>
          <w:bCs/>
          <w:color w:val="002060"/>
          <w:sz w:val="16"/>
          <w:szCs w:val="16"/>
          <w:lang w:val="ru-RU"/>
        </w:rPr>
        <w:softHyphen/>
        <w:t>ход выполнял грузо-пассажирские перевозки, числясь в Балтийском морском пароходстве. В 1930 г. «Со</w:t>
      </w:r>
      <w:r w:rsidRPr="00405303">
        <w:rPr>
          <w:bCs/>
          <w:color w:val="002060"/>
          <w:sz w:val="16"/>
          <w:szCs w:val="16"/>
          <w:lang w:val="ru-RU"/>
        </w:rPr>
        <w:softHyphen/>
        <w:t>вет» перешел с Балтики во Влади</w:t>
      </w:r>
      <w:r w:rsidRPr="00405303">
        <w:rPr>
          <w:bCs/>
          <w:color w:val="002060"/>
          <w:sz w:val="16"/>
          <w:szCs w:val="16"/>
          <w:lang w:val="ru-RU"/>
        </w:rPr>
        <w:softHyphen/>
        <w:t>восток и вошел в состав Дальнево</w:t>
      </w:r>
      <w:r w:rsidRPr="00405303">
        <w:rPr>
          <w:bCs/>
          <w:color w:val="002060"/>
          <w:sz w:val="16"/>
          <w:szCs w:val="16"/>
          <w:lang w:val="ru-RU"/>
        </w:rPr>
        <w:softHyphen/>
        <w:t>сточного морского пароходства. Судно обслуживало экспрессную линию Владивосток — Совгавань — Александровск, а также перевози</w:t>
      </w:r>
      <w:r w:rsidRPr="00405303">
        <w:rPr>
          <w:bCs/>
          <w:color w:val="002060"/>
          <w:sz w:val="16"/>
          <w:szCs w:val="16"/>
          <w:lang w:val="ru-RU"/>
        </w:rPr>
        <w:softHyphen/>
        <w:t>ло людей и грузы на линиях Влади</w:t>
      </w:r>
      <w:r w:rsidRPr="00405303">
        <w:rPr>
          <w:bCs/>
          <w:color w:val="002060"/>
          <w:sz w:val="16"/>
          <w:szCs w:val="16"/>
          <w:lang w:val="ru-RU"/>
        </w:rPr>
        <w:softHyphen/>
        <w:t>восток — Нагаево и Владивосток — Петропавловск. В феврале 1934 г. «Совет» под командованием капи</w:t>
      </w:r>
      <w:r w:rsidRPr="00405303">
        <w:rPr>
          <w:bCs/>
          <w:color w:val="002060"/>
          <w:sz w:val="16"/>
          <w:szCs w:val="16"/>
          <w:lang w:val="ru-RU"/>
        </w:rPr>
        <w:softHyphen/>
        <w:t>тана В.П.Сиднева с дирижаблями на борту вышел к берегам Чукотки для участия в операции по спасе</w:t>
      </w:r>
      <w:r w:rsidRPr="00405303">
        <w:rPr>
          <w:bCs/>
          <w:color w:val="002060"/>
          <w:sz w:val="16"/>
          <w:szCs w:val="16"/>
          <w:lang w:val="ru-RU"/>
        </w:rPr>
        <w:softHyphen/>
        <w:t>нию пассажиров и экипажа паро</w:t>
      </w:r>
      <w:r w:rsidRPr="00405303">
        <w:rPr>
          <w:bCs/>
          <w:color w:val="002060"/>
          <w:sz w:val="16"/>
          <w:szCs w:val="16"/>
          <w:lang w:val="ru-RU"/>
        </w:rPr>
        <w:softHyphen/>
        <w:t>хода «Челюскин». В Охотском море обнаружились неполадки в силовой установке, и «Совет» зашел в Пет</w:t>
      </w:r>
      <w:r w:rsidRPr="00405303">
        <w:rPr>
          <w:bCs/>
          <w:color w:val="002060"/>
          <w:sz w:val="16"/>
          <w:szCs w:val="16"/>
          <w:lang w:val="ru-RU"/>
        </w:rPr>
        <w:softHyphen/>
        <w:t>ропавловск-Камчатский, где сдал груз, после чего судно поставили на длительный ремонт. В конце июля 1938 г., во время советско-японско</w:t>
      </w:r>
      <w:r w:rsidRPr="00405303">
        <w:rPr>
          <w:bCs/>
          <w:color w:val="002060"/>
          <w:sz w:val="16"/>
          <w:szCs w:val="16"/>
          <w:lang w:val="ru-RU"/>
        </w:rPr>
        <w:softHyphen/>
        <w:t>го вооруженного конфликта у озе</w:t>
      </w:r>
      <w:r w:rsidRPr="00405303">
        <w:rPr>
          <w:bCs/>
          <w:color w:val="002060"/>
          <w:sz w:val="16"/>
          <w:szCs w:val="16"/>
          <w:lang w:val="ru-RU"/>
        </w:rPr>
        <w:softHyphen/>
        <w:t>ра Хасан, пароход занимался пе</w:t>
      </w:r>
      <w:r w:rsidRPr="00405303">
        <w:rPr>
          <w:bCs/>
          <w:color w:val="002060"/>
          <w:sz w:val="16"/>
          <w:szCs w:val="16"/>
          <w:lang w:val="ru-RU"/>
        </w:rPr>
        <w:softHyphen/>
        <w:t>ревозкой войск, оружия, боеприпа</w:t>
      </w:r>
      <w:r w:rsidRPr="00405303">
        <w:rPr>
          <w:bCs/>
          <w:color w:val="002060"/>
          <w:sz w:val="16"/>
          <w:szCs w:val="16"/>
          <w:lang w:val="ru-RU"/>
        </w:rPr>
        <w:softHyphen/>
        <w:t>сов и военной техники. В годы Ве</w:t>
      </w:r>
      <w:r w:rsidRPr="00405303">
        <w:rPr>
          <w:bCs/>
          <w:color w:val="002060"/>
          <w:sz w:val="16"/>
          <w:szCs w:val="16"/>
          <w:lang w:val="ru-RU"/>
        </w:rPr>
        <w:softHyphen/>
        <w:t>ликой Отечественной войны судно, по-видимому, не совершало даль</w:t>
      </w:r>
      <w:r w:rsidRPr="00405303">
        <w:rPr>
          <w:bCs/>
          <w:color w:val="002060"/>
          <w:sz w:val="16"/>
          <w:szCs w:val="16"/>
          <w:lang w:val="ru-RU"/>
        </w:rPr>
        <w:softHyphen/>
        <w:t>них плаваний. Его списали на ме</w:t>
      </w:r>
      <w:r w:rsidRPr="00405303">
        <w:rPr>
          <w:bCs/>
          <w:color w:val="002060"/>
          <w:sz w:val="16"/>
          <w:szCs w:val="16"/>
          <w:lang w:val="ru-RU"/>
        </w:rPr>
        <w:softHyphen/>
        <w:t>таллолом в 1964 г. (напомним, что построен пароход был в 1903 г.) (11925).</w:t>
      </w:r>
    </w:p>
    <w:p w14:paraId="07D68CE4" w14:textId="77777777" w:rsidR="0019394C" w:rsidRPr="00405303" w:rsidRDefault="0019394C" w:rsidP="00C15251">
      <w:pPr>
        <w:pStyle w:val="a5"/>
        <w:rPr>
          <w:bCs/>
          <w:color w:val="002060"/>
          <w:sz w:val="16"/>
          <w:szCs w:val="16"/>
          <w:lang w:val="ru-RU"/>
        </w:rPr>
      </w:pPr>
    </w:p>
    <w:p w14:paraId="0E9F15EA" w14:textId="03574EDC" w:rsidR="004B4E35" w:rsidRPr="00405303" w:rsidRDefault="009E6F82" w:rsidP="00C15251">
      <w:pPr>
        <w:jc w:val="both"/>
        <w:rPr>
          <w:bCs/>
          <w:color w:val="002060"/>
          <w:sz w:val="16"/>
          <w:szCs w:val="16"/>
        </w:rPr>
      </w:pPr>
      <w:r w:rsidRPr="00405303">
        <w:rPr>
          <w:bCs/>
          <w:color w:val="002060"/>
          <w:sz w:val="16"/>
          <w:szCs w:val="16"/>
        </w:rPr>
        <w:t xml:space="preserve">20 апреля </w:t>
      </w:r>
      <w:r w:rsidR="0019394C" w:rsidRPr="00405303">
        <w:rPr>
          <w:bCs/>
          <w:color w:val="002060"/>
          <w:sz w:val="16"/>
          <w:szCs w:val="16"/>
        </w:rPr>
        <w:t xml:space="preserve">(3 мая) </w:t>
      </w:r>
      <w:r w:rsidRPr="00405303">
        <w:rPr>
          <w:bCs/>
          <w:color w:val="002060"/>
          <w:sz w:val="16"/>
          <w:szCs w:val="16"/>
        </w:rPr>
        <w:t>1915 г.</w:t>
      </w:r>
      <w:r w:rsidR="0019394C" w:rsidRPr="00405303">
        <w:rPr>
          <w:bCs/>
          <w:color w:val="002060"/>
          <w:sz w:val="16"/>
          <w:szCs w:val="16"/>
        </w:rPr>
        <w:t xml:space="preserve"> очередной авиатранспорт "Память Меркурия" отправился в свой первый поход</w:t>
      </w:r>
      <w:r w:rsidRPr="00405303">
        <w:rPr>
          <w:bCs/>
          <w:color w:val="002060"/>
          <w:sz w:val="16"/>
          <w:szCs w:val="16"/>
        </w:rPr>
        <w:t>, но его служба была недолгой.</w:t>
      </w:r>
    </w:p>
    <w:p w14:paraId="08186111" w14:textId="77777777" w:rsidR="004B4E35" w:rsidRPr="00405303" w:rsidRDefault="009E6F82" w:rsidP="00C15251">
      <w:pPr>
        <w:jc w:val="both"/>
        <w:rPr>
          <w:bCs/>
          <w:color w:val="002060"/>
          <w:sz w:val="16"/>
          <w:szCs w:val="16"/>
        </w:rPr>
      </w:pPr>
      <w:r w:rsidRPr="00405303">
        <w:rPr>
          <w:bCs/>
          <w:color w:val="002060"/>
          <w:sz w:val="16"/>
          <w:szCs w:val="16"/>
        </w:rPr>
        <w:t>Отчёты начальников авиационных отрядов позволяют охарактеризовать обстановку, в которой приходилось действовать черноморским лётчикам и относиться к ним с должным уважением.</w:t>
      </w:r>
    </w:p>
    <w:p w14:paraId="2A507F5A" w14:textId="77777777" w:rsidR="004B4E35" w:rsidRPr="00405303" w:rsidRDefault="009E6F82" w:rsidP="00C15251">
      <w:pPr>
        <w:jc w:val="both"/>
        <w:rPr>
          <w:bCs/>
          <w:color w:val="002060"/>
          <w:sz w:val="16"/>
          <w:szCs w:val="16"/>
        </w:rPr>
      </w:pPr>
      <w:r w:rsidRPr="00405303">
        <w:rPr>
          <w:bCs/>
          <w:color w:val="002060"/>
          <w:sz w:val="16"/>
          <w:szCs w:val="16"/>
        </w:rPr>
        <w:t>Из отчёта начальника авиационного отряда Б-2 лейтенанта В.В.Утгофа*: "19 апреля отряд,, состоявший из четырёх лётоющих лодок "Кертисса", имел задачу наблюдения за Босфором. Рано утром флот пришёл в точку Аз у Босфора, ив 7 ч 10 мин с "Евстафия" последовал сигналo"спустить гидро". В 7 ч 23 мин взлетел лейтенант Коведяев с наблюдателем моторным унтер- офицером Бабиным-Волынским и отправился на разведку к Босфору". Экипаж обнаружил подводную лодку, пароход в виде тральщика, судно, буксировавшее большую баржу с пассажирами и несколько парусников. Вылетевший через час лейтенант Лучанинов с наблюдателем моторным унтер-офицером Семёновым, доложил, что пролив свободен. В 9 ч 15мин на разведку вылетел лейтенант Утгоф с наблюдателем моторным унтер-офицером Аристовым. Вернувшись в11 ч 25 мин, он доложил об отсутствии кораблей в проливе и на походах к нему. Наблюдая стрельбу 2-й бригады, он видел столбы дыма и пыли на мысу Эльмас, дым около батареи Пайрес, несколько 12-ти дюймовых снарядов, упавших в воду. Когда 2-я бригада начала поворачивать направо, она открыла стрельбу из орудий мелкого калибра и пулемётов. Полагая, что там усмотрена подводная лодка, лейтенант Утгоф тщательно осмотрел обследуемый район и сообщил, что нигде вблизи подводных лодок нет. В 11.01 на разведку вылетел лейтенант Рагозин, но через 15 мин. сел на воду из-за порчи мотора и был прибуксирован к вспомогательному крейсеру "Император Николай I" быстроходным катером.</w:t>
      </w:r>
    </w:p>
    <w:p w14:paraId="6D325FAF" w14:textId="77777777" w:rsidR="004B4E35" w:rsidRPr="00405303" w:rsidRDefault="009E6F82" w:rsidP="00C15251">
      <w:pPr>
        <w:jc w:val="both"/>
        <w:rPr>
          <w:bCs/>
          <w:color w:val="002060"/>
          <w:sz w:val="16"/>
          <w:szCs w:val="16"/>
        </w:rPr>
      </w:pPr>
      <w:r w:rsidRPr="00405303">
        <w:rPr>
          <w:bCs/>
          <w:color w:val="002060"/>
          <w:sz w:val="16"/>
          <w:szCs w:val="16"/>
        </w:rPr>
        <w:t>В этот день на разведку вылетали ещё два самолёта, пока в 13 часов с "Евстафия" не передали семафором "гидро больше не поднимать" (11930).</w:t>
      </w:r>
    </w:p>
    <w:p w14:paraId="408D9B0F" w14:textId="77777777" w:rsidR="004B4E35" w:rsidRPr="00405303" w:rsidRDefault="004B4E35" w:rsidP="00C15251">
      <w:pPr>
        <w:jc w:val="both"/>
        <w:rPr>
          <w:bCs/>
          <w:color w:val="002060"/>
          <w:sz w:val="16"/>
          <w:szCs w:val="16"/>
        </w:rPr>
      </w:pPr>
    </w:p>
    <w:p w14:paraId="5069217A" w14:textId="72C8DE26"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20 апреля (3 мая) 1915 </w:t>
      </w:r>
      <w:r w:rsidR="0019394C" w:rsidRPr="00405303">
        <w:rPr>
          <w:bCs/>
          <w:color w:val="002060"/>
          <w:sz w:val="16"/>
          <w:szCs w:val="16"/>
        </w:rPr>
        <w:t>г</w:t>
      </w:r>
      <w:r w:rsidRPr="00405303">
        <w:rPr>
          <w:bCs/>
          <w:color w:val="002060"/>
          <w:sz w:val="16"/>
          <w:szCs w:val="16"/>
        </w:rPr>
        <w:t>идроавиация Черного моря впервые произвела налет на столицу Турции Константинополь (Газетные сообщения за 21 апреля 1915 г.).</w:t>
      </w:r>
    </w:p>
    <w:p w14:paraId="6C3621B4" w14:textId="77777777" w:rsidR="004B4E35" w:rsidRPr="00405303" w:rsidRDefault="004B4E35" w:rsidP="00C15251">
      <w:pPr>
        <w:shd w:val="clear" w:color="auto" w:fill="FFFFFF"/>
        <w:jc w:val="both"/>
        <w:rPr>
          <w:bCs/>
          <w:color w:val="002060"/>
          <w:sz w:val="16"/>
          <w:szCs w:val="16"/>
        </w:rPr>
      </w:pPr>
    </w:p>
    <w:p w14:paraId="5C50091E" w14:textId="77777777" w:rsidR="00BE044B" w:rsidRPr="00405303" w:rsidRDefault="00BE044B" w:rsidP="00C15251">
      <w:pPr>
        <w:shd w:val="clear" w:color="auto" w:fill="FFFFFF"/>
        <w:jc w:val="both"/>
        <w:rPr>
          <w:bCs/>
          <w:color w:val="002060"/>
          <w:sz w:val="16"/>
          <w:szCs w:val="16"/>
        </w:rPr>
      </w:pPr>
      <w:r w:rsidRPr="00405303">
        <w:rPr>
          <w:bCs/>
          <w:color w:val="002060"/>
          <w:sz w:val="16"/>
          <w:szCs w:val="16"/>
        </w:rPr>
        <w:t>20 апреля (3 мая) 1915 г. летающие лодки, спущенные с борта корабля, совершили первый воздушный налет на столицу Турции - Константи</w:t>
      </w:r>
      <w:r w:rsidRPr="00405303">
        <w:rPr>
          <w:bCs/>
          <w:color w:val="002060"/>
          <w:sz w:val="16"/>
          <w:szCs w:val="16"/>
        </w:rPr>
        <w:softHyphen/>
        <w:t>нополь (11107).</w:t>
      </w:r>
    </w:p>
    <w:p w14:paraId="057A9F2A" w14:textId="77777777" w:rsidR="00BE044B" w:rsidRPr="00405303" w:rsidRDefault="00BE044B" w:rsidP="00C15251">
      <w:pPr>
        <w:shd w:val="clear" w:color="auto" w:fill="FFFFFF"/>
        <w:jc w:val="both"/>
        <w:rPr>
          <w:bCs/>
          <w:color w:val="002060"/>
          <w:sz w:val="16"/>
          <w:szCs w:val="16"/>
        </w:rPr>
      </w:pPr>
    </w:p>
    <w:p w14:paraId="6AB0F279" w14:textId="77777777" w:rsidR="0019394C" w:rsidRPr="00405303" w:rsidRDefault="0019394C" w:rsidP="00C15251">
      <w:pPr>
        <w:jc w:val="both"/>
        <w:rPr>
          <w:bCs/>
          <w:color w:val="002060"/>
          <w:sz w:val="16"/>
          <w:szCs w:val="16"/>
        </w:rPr>
      </w:pPr>
      <w:r w:rsidRPr="00405303">
        <w:rPr>
          <w:bCs/>
          <w:color w:val="002060"/>
          <w:sz w:val="16"/>
          <w:szCs w:val="16"/>
        </w:rPr>
        <w:t>20 апреля (3 мая) 1915 г. гидроавиация Черного моря впервые произвела налет на столицу Турции Константинополь.</w:t>
      </w:r>
    </w:p>
    <w:p w14:paraId="2152FF46" w14:textId="77777777" w:rsidR="0019394C" w:rsidRPr="00405303" w:rsidRDefault="0019394C" w:rsidP="00C15251">
      <w:pPr>
        <w:jc w:val="both"/>
        <w:rPr>
          <w:bCs/>
          <w:color w:val="002060"/>
          <w:sz w:val="16"/>
          <w:szCs w:val="16"/>
        </w:rPr>
      </w:pPr>
      <w:r w:rsidRPr="00405303">
        <w:rPr>
          <w:bCs/>
          <w:color w:val="002060"/>
          <w:sz w:val="16"/>
          <w:szCs w:val="16"/>
        </w:rPr>
        <w:t>/Газетные сообщения за 21 апреля 1915/ (23320).</w:t>
      </w:r>
    </w:p>
    <w:p w14:paraId="0817E8D0" w14:textId="77777777" w:rsidR="0019394C" w:rsidRPr="00405303" w:rsidRDefault="0019394C" w:rsidP="00C15251">
      <w:pPr>
        <w:jc w:val="both"/>
        <w:rPr>
          <w:bCs/>
          <w:color w:val="002060"/>
          <w:sz w:val="16"/>
          <w:szCs w:val="16"/>
        </w:rPr>
      </w:pPr>
    </w:p>
    <w:p w14:paraId="73B7F52B" w14:textId="284EC259" w:rsidR="004B4E35" w:rsidRPr="00405303" w:rsidRDefault="009E6F82" w:rsidP="00C15251">
      <w:pPr>
        <w:jc w:val="both"/>
        <w:rPr>
          <w:bCs/>
          <w:color w:val="002060"/>
          <w:sz w:val="16"/>
          <w:szCs w:val="16"/>
        </w:rPr>
      </w:pPr>
      <w:r w:rsidRPr="00405303">
        <w:rPr>
          <w:bCs/>
          <w:color w:val="002060"/>
          <w:sz w:val="16"/>
          <w:szCs w:val="16"/>
        </w:rPr>
        <w:t xml:space="preserve">20 апреля </w:t>
      </w:r>
      <w:r w:rsidR="0019394C" w:rsidRPr="00405303">
        <w:rPr>
          <w:bCs/>
          <w:color w:val="002060"/>
          <w:sz w:val="16"/>
          <w:szCs w:val="16"/>
        </w:rPr>
        <w:t xml:space="preserve">(3 мая) 1915 г. </w:t>
      </w:r>
      <w:r w:rsidRPr="00405303">
        <w:rPr>
          <w:bCs/>
          <w:color w:val="002060"/>
          <w:sz w:val="16"/>
          <w:szCs w:val="16"/>
        </w:rPr>
        <w:t>флот начал операции у Каро-Бурну, крейсера же "Память Меркурия" и "Император Николай 1" были посланы к Босфору. Аэропланам снова было дана задача наблюдать за противником. По приказанию с "Меркурия" первый аппарат был спущен в 7 ч 01 мин утра с лейтенантом Рогозиным и наблюдателем мотористом Прокопенко за 37 миль до Босфора.</w:t>
      </w:r>
    </w:p>
    <w:p w14:paraId="73455958" w14:textId="77777777" w:rsidR="004B4E35" w:rsidRPr="00405303" w:rsidRDefault="009E6F82" w:rsidP="00C15251">
      <w:pPr>
        <w:jc w:val="both"/>
        <w:rPr>
          <w:bCs/>
          <w:color w:val="002060"/>
          <w:sz w:val="16"/>
          <w:szCs w:val="16"/>
        </w:rPr>
      </w:pPr>
      <w:r w:rsidRPr="00405303">
        <w:rPr>
          <w:bCs/>
          <w:color w:val="002060"/>
          <w:sz w:val="16"/>
          <w:szCs w:val="16"/>
        </w:rPr>
        <w:t xml:space="preserve">Потодо была мглистая, густые облако шли уже на высоте 200 м. После спуска </w:t>
      </w:r>
      <w:proofErr w:type="gramStart"/>
      <w:r w:rsidRPr="00405303">
        <w:rPr>
          <w:bCs/>
          <w:color w:val="002060"/>
          <w:sz w:val="16"/>
          <w:szCs w:val="16"/>
        </w:rPr>
        <w:t>гидро "Меркурий"</w:t>
      </w:r>
      <w:proofErr w:type="gramEnd"/>
      <w:r w:rsidRPr="00405303">
        <w:rPr>
          <w:bCs/>
          <w:color w:val="002060"/>
          <w:sz w:val="16"/>
          <w:szCs w:val="16"/>
        </w:rPr>
        <w:t xml:space="preserve"> с "Николаем" должен был продолжить путь к точке Аз. Все эти обстоятельства делали воздушную разведку крайне рискованной, ток как аэропланам, имевшим задачу лететь к Босфору, приходилось весь полёт совершать по компасу без всякой надежды, что севшего в море из-за порчи мотора смогут найти.</w:t>
      </w:r>
    </w:p>
    <w:p w14:paraId="4681865F" w14:textId="77777777" w:rsidR="004B4E35" w:rsidRPr="00405303" w:rsidRDefault="009E6F82" w:rsidP="00C15251">
      <w:pPr>
        <w:jc w:val="both"/>
        <w:rPr>
          <w:bCs/>
          <w:color w:val="002060"/>
          <w:sz w:val="16"/>
          <w:szCs w:val="16"/>
        </w:rPr>
      </w:pPr>
      <w:r w:rsidRPr="00405303">
        <w:rPr>
          <w:bCs/>
          <w:color w:val="002060"/>
          <w:sz w:val="16"/>
          <w:szCs w:val="16"/>
        </w:rPr>
        <w:t>Невзирая на все опасности, лейтенант Рогозин продолжал полёт до тех пор, пока позволил мотор. Повернувши назад вследствие начавшихся перебоев, он не видел "Николая" и нашёл его только по компасу, к которому и сел благополучно в 7 ч 31 мин, не видевши в море никаких кораблей".</w:t>
      </w:r>
    </w:p>
    <w:p w14:paraId="720CB8A9" w14:textId="77777777" w:rsidR="004B4E35" w:rsidRPr="00405303" w:rsidRDefault="009E6F82" w:rsidP="00C15251">
      <w:pPr>
        <w:jc w:val="both"/>
        <w:rPr>
          <w:bCs/>
          <w:color w:val="002060"/>
          <w:sz w:val="16"/>
          <w:szCs w:val="16"/>
        </w:rPr>
      </w:pPr>
      <w:r w:rsidRPr="00405303">
        <w:rPr>
          <w:bCs/>
          <w:color w:val="002060"/>
          <w:sz w:val="16"/>
          <w:szCs w:val="16"/>
        </w:rPr>
        <w:t>Из приведенного видно, что первому экипажу повезло, но метеорологические условия ухудшились и вторым в 7 ч 45 мин вылетел лейтенант Утгоф с наблюдателем унтер- офицером Аристовым на аппарате №25, чтобы лично оценить обстановку.</w:t>
      </w:r>
    </w:p>
    <w:p w14:paraId="6D15168A" w14:textId="77777777" w:rsidR="004B4E35" w:rsidRPr="00405303" w:rsidRDefault="009E6F82" w:rsidP="00C15251">
      <w:pPr>
        <w:jc w:val="both"/>
        <w:rPr>
          <w:bCs/>
          <w:color w:val="002060"/>
          <w:sz w:val="16"/>
          <w:szCs w:val="16"/>
        </w:rPr>
      </w:pPr>
      <w:r w:rsidRPr="00405303">
        <w:rPr>
          <w:bCs/>
          <w:color w:val="002060"/>
          <w:sz w:val="16"/>
          <w:szCs w:val="16"/>
        </w:rPr>
        <w:t xml:space="preserve">"Уже через 5 мин полёта я потерял всякую ориентировку. Из-зо сырой погоды мотор стал давать перебои. Я стал искать "Николая" и тут мне чрезвычайно помогло наблюдательность и сообразительность унтер-офицеро Аристова, которому удалось угадать направление на "Николая". Проплутав во мгле 30 мин. я случайно наткнулся на "Николай" и сел к нему в 8 ч15 мин. При подъёме аппарата на усилившейся зыби подъёмным блоком повредило верхнюю плоскость аэроплана". Напомним, что за два месяца до этого, в феврале 1914 г, лейтенант Утгоф и обучаемый им лётчик мичман А.А.Тюфяев упали в море на самолёте "Кертисс-Е" после того как вошли в полосу плотного тумана и потеряли пространственную ориентировку, свалились. Летчики отделались ушибам, а самолёт по причине изношенности списали. И в тот раз, судя по всему, метеоусловия оказались не только неблагоприятными, но и опасными для полётов. Из отчёта Утгофа: "вернувшись, я доложил командиру; что продолжать разведку бесполезно и слишком опасно. Об этом было </w:t>
      </w:r>
      <w:proofErr w:type="gramStart"/>
      <w:r w:rsidRPr="00405303">
        <w:rPr>
          <w:bCs/>
          <w:color w:val="002060"/>
          <w:sz w:val="16"/>
          <w:szCs w:val="16"/>
        </w:rPr>
        <w:t>сообщено</w:t>
      </w:r>
      <w:proofErr w:type="gramEnd"/>
      <w:r w:rsidRPr="00405303">
        <w:rPr>
          <w:bCs/>
          <w:color w:val="002060"/>
          <w:sz w:val="16"/>
          <w:szCs w:val="16"/>
        </w:rPr>
        <w:t xml:space="preserve"> но "Меркурий", но оттуда последовал ответ продолжать разведку впредь до распоряжения из штаба командующего". Выполняя приказание, работу продолжили. В 8 ч 52 мин полетел лейтенант Лучанинов с наблюдателем матросом Бугаевым. Но не видя кругом себя во мгле ничего, через 13 мин вернулся и сел на воду. При подъёме у аэроплана сломалась добавочная плоскость. К этому времени последовало распоряжение прекратить разведку.</w:t>
      </w:r>
    </w:p>
    <w:p w14:paraId="5D0EA2BE" w14:textId="77777777" w:rsidR="004B4E35" w:rsidRPr="00405303" w:rsidRDefault="009E6F82" w:rsidP="00C15251">
      <w:pPr>
        <w:jc w:val="both"/>
        <w:rPr>
          <w:bCs/>
          <w:color w:val="002060"/>
          <w:sz w:val="16"/>
          <w:szCs w:val="16"/>
        </w:rPr>
      </w:pPr>
      <w:r w:rsidRPr="00405303">
        <w:rPr>
          <w:bCs/>
          <w:color w:val="002060"/>
          <w:sz w:val="16"/>
          <w:szCs w:val="16"/>
        </w:rPr>
        <w:t xml:space="preserve">Морское командование, судя по следующей части отчёта, всё больше входило во вкус: "Около полдня погода слегка прояснилась, зыбь начало уменьшаться, все повреждения были исправлены, о чём сообщено в штаб. Оттуда последовало распоряжение спустить гид- ро". Дальнейшие события показывают, что управляли корабельной авиацией не очень квалифицированно: "...ток кок задача аэропланам не была дана, я (Утгоф) поручил лейтенанту Коведяеву с мотористом - фотографом Семененко подняться в воздух и лететь к Кара- Бурну для наблюдения за стрельбой 2-й бригады и фотографирования местности". Однако на его самолёте через 20 мин после взлёта потёк радиатор, пришлось про- извёсти посадку и прибуксировать самолёт катером. Не имея задачи, выполнено три </w:t>
      </w:r>
      <w:proofErr w:type="gramStart"/>
      <w:r w:rsidRPr="00405303">
        <w:rPr>
          <w:bCs/>
          <w:color w:val="002060"/>
          <w:sz w:val="16"/>
          <w:szCs w:val="16"/>
        </w:rPr>
        <w:t>самолёто-вылета</w:t>
      </w:r>
      <w:proofErr w:type="gramEnd"/>
      <w:r w:rsidRPr="00405303">
        <w:rPr>
          <w:bCs/>
          <w:color w:val="002060"/>
          <w:sz w:val="16"/>
          <w:szCs w:val="16"/>
        </w:rPr>
        <w:t>, один из которых (Рогозин) также закончился вынужденной посадкой. Завершил этот этап лейтенант Утгоф, самый подготовленный и, в каком-то смысле везучий, лётчик.</w:t>
      </w:r>
    </w:p>
    <w:p w14:paraId="1586418C" w14:textId="77777777" w:rsidR="004B4E35" w:rsidRPr="00405303" w:rsidRDefault="009E6F82" w:rsidP="00C15251">
      <w:pPr>
        <w:jc w:val="both"/>
        <w:rPr>
          <w:bCs/>
          <w:color w:val="002060"/>
          <w:sz w:val="16"/>
          <w:szCs w:val="16"/>
        </w:rPr>
      </w:pPr>
      <w:r w:rsidRPr="00405303">
        <w:rPr>
          <w:bCs/>
          <w:color w:val="002060"/>
          <w:sz w:val="16"/>
          <w:szCs w:val="16"/>
        </w:rPr>
        <w:t>"В 14 ч 33 мин с наблюдателем Аристовым отправился лично я на аппарате №25. Пробыл в воздухе 1ч. 56 мин и, покрыв расстояние приблизительно в 115 миль, не нашёл ни в Босфоре, ни в море никаких неприятельских кораблей. Но обратном пути, сбившись с дороги (ток в тексте. Прим авт.), полетел вдоль берега до Кора-Бурну. Том сделал фотографический снимок местности и, заметив по какому курсу уходит окончившая операцию 2-я бригада, нашёл "Николай", к которому сел в 16 ч 19мин. Этим полёты закончились, и флот ушёл в море".</w:t>
      </w:r>
    </w:p>
    <w:p w14:paraId="5A8D4843" w14:textId="77777777" w:rsidR="004B4E35" w:rsidRPr="00405303" w:rsidRDefault="009E6F82" w:rsidP="00C15251">
      <w:pPr>
        <w:jc w:val="both"/>
        <w:rPr>
          <w:bCs/>
          <w:color w:val="002060"/>
          <w:sz w:val="16"/>
          <w:szCs w:val="16"/>
        </w:rPr>
      </w:pPr>
      <w:r w:rsidRPr="00405303">
        <w:rPr>
          <w:bCs/>
          <w:color w:val="002060"/>
          <w:sz w:val="16"/>
          <w:szCs w:val="16"/>
        </w:rPr>
        <w:t>Поход, о котором докладывал Утгоф, завершился 21 апреля. За три дня четыре летчика пробыли в воздухе без девяти минут восемнадцать часов. Больше всех налетал Утгоф. Его полёты отличала и наибольшая продолжительность - до 1 ч 56 мин. Некоторые другие итоги: семь полётов закончились вынужденными посадками из-за отказов двигателей и неблагоприятных метеоусловий, при подъёме дважды повреждались самолёты, больше всех не повезло Рогозину, который садился вынужденно три раза. Частые отказы двигателей, кроме их технического несовершенства, связаны, по всей видимости, с уровнем профессиональной подготовки технического состава, качеством топлива и горюче-смазочных материалов. О том, что бензин не всегда был кондиционным, свидетельствует, например, доклад о некачественном бензине, начальника связи Балтийского флота, начальнику штаба командующего морскими силами Балтийского моря. Вот некоторые выдержки их этого доклада.</w:t>
      </w:r>
    </w:p>
    <w:p w14:paraId="791A1937"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"...В частности, надёжность действия авиационных моторов играет огромную роль в морской авиации, где севший в море из-зо загрязнения мотора, неизбежного при длительной </w:t>
      </w:r>
      <w:proofErr w:type="gramStart"/>
      <w:r w:rsidRPr="00405303">
        <w:rPr>
          <w:bCs/>
          <w:color w:val="002060"/>
          <w:sz w:val="16"/>
          <w:szCs w:val="16"/>
        </w:rPr>
        <w:t>работе</w:t>
      </w:r>
      <w:proofErr w:type="gramEnd"/>
      <w:r w:rsidRPr="00405303">
        <w:rPr>
          <w:bCs/>
          <w:color w:val="002060"/>
          <w:sz w:val="16"/>
          <w:szCs w:val="16"/>
        </w:rPr>
        <w:t xml:space="preserve"> но тяжёлом бензине, аппарат осуждён на гибель, ввиду невозможности особенно в военное время, посылать в море конвоирующие миноносцы". Из пояснения следует, что бензин приобретался по общим техническим условиям 1910 г. причём для авиационного бензина устанавливался удельный вес не свыше 0,705 - 0,710 так как при испытании бензина удельного веса 0,723 после 45 мин. полёт приходилось прекращать так как моторы начинали давать перебои. И далее "Военное ведомство выработало технические условия на бензин для авиации, по которым удельный вес допускается до 0,720... Таким образом, главнейшими причинами принятия совершенно непригодного для морской авиации бензина является, малое количество </w:t>
      </w:r>
      <w:proofErr w:type="gramStart"/>
      <w:r w:rsidRPr="00405303">
        <w:rPr>
          <w:bCs/>
          <w:color w:val="002060"/>
          <w:sz w:val="16"/>
          <w:szCs w:val="16"/>
        </w:rPr>
        <w:t>выделывающегося в России бензина</w:t>
      </w:r>
      <w:proofErr w:type="gramEnd"/>
      <w:r w:rsidRPr="00405303">
        <w:rPr>
          <w:bCs/>
          <w:color w:val="002060"/>
          <w:sz w:val="16"/>
          <w:szCs w:val="16"/>
        </w:rPr>
        <w:t xml:space="preserve"> подходящего качество, о в о-вторых, его цена. Что касается цены, то полагаю, что доже в мирное время она не может иметь значение, в вопросе связанном с безопасностью лётчиков и аппаратов, а в военное время и подавно". В своих претензиях балтийцы оказались весьма категоричны: "Представляя положенные соображения вашему превосходительству, докладываю, что в случае поставки бензина удельного веса выше 0,705, я, признавая дальние полёты над морем без конвоиров, совершаемые ныне, безусловно, опасные при этом бензине, кок для лётчиков, ток и для аппаратов, буду вынужден прекратить токовые, и бывшая до сего времени успешная воздушная разведка прекратится".</w:t>
      </w:r>
    </w:p>
    <w:p w14:paraId="79463BE0" w14:textId="77777777" w:rsidR="004B4E35" w:rsidRPr="00405303" w:rsidRDefault="009E6F82" w:rsidP="00C15251">
      <w:pPr>
        <w:jc w:val="both"/>
        <w:rPr>
          <w:bCs/>
          <w:color w:val="002060"/>
          <w:sz w:val="16"/>
          <w:szCs w:val="16"/>
        </w:rPr>
      </w:pPr>
      <w:r w:rsidRPr="00405303">
        <w:rPr>
          <w:bCs/>
          <w:color w:val="002060"/>
          <w:sz w:val="16"/>
          <w:szCs w:val="16"/>
        </w:rPr>
        <w:t>Не представляется необычным, что такие же претензии к бензину могли быть и у черноморцев, а отсюда и отказы двигателей "Кертис- са", очень критичных к качеству топлива.</w:t>
      </w:r>
    </w:p>
    <w:p w14:paraId="16740BF8" w14:textId="77777777" w:rsidR="004B4E35" w:rsidRPr="00405303" w:rsidRDefault="009E6F82" w:rsidP="00C15251">
      <w:pPr>
        <w:jc w:val="both"/>
        <w:rPr>
          <w:bCs/>
          <w:color w:val="002060"/>
          <w:sz w:val="16"/>
          <w:szCs w:val="16"/>
        </w:rPr>
      </w:pPr>
      <w:r w:rsidRPr="00405303">
        <w:rPr>
          <w:bCs/>
          <w:color w:val="002060"/>
          <w:sz w:val="16"/>
          <w:szCs w:val="16"/>
        </w:rPr>
        <w:t xml:space="preserve">О результатах боевой деятельности морской авиации у Босфора в докладе Утгофа очень мало, но такое же, как у балтийцев, беспокойство о безопасности полётов: "Настоящий поход неоднократно показал всю пользу быстроходного катера, не роз прибуксировавшего повреждённые аэропланы с расстояния до 25 миль от "Николая". Считаю необходимым иметь на авиационных крейсерах по крайней мере по два чрезвычайно быстроходных моторных катера, чтобы аэропланы, севшие недалеко от неприятельского берега, не были </w:t>
      </w:r>
      <w:proofErr w:type="gramStart"/>
      <w:r w:rsidRPr="00405303">
        <w:rPr>
          <w:bCs/>
          <w:color w:val="002060"/>
          <w:sz w:val="16"/>
          <w:szCs w:val="16"/>
        </w:rPr>
        <w:t>обречены</w:t>
      </w:r>
      <w:proofErr w:type="gramEnd"/>
      <w:r w:rsidRPr="00405303">
        <w:rPr>
          <w:bCs/>
          <w:color w:val="002060"/>
          <w:sz w:val="16"/>
          <w:szCs w:val="16"/>
        </w:rPr>
        <w:t xml:space="preserve"> но безусловную гибель. Необходимо обратить внимание на очень большую опасность воздушных разведок вдали от берегов, когда приходится освещать наблюдением многомильные районы. В мало-мальски мглистую погоду также задачи совершенно невыполнимы, ток кок компас при малейшем ветре, совсем не может служить путеводителем аэроплану. Когда аэропланы посылаются на рекогносцировку побережья, для наблюдения за ними необходимо отряжать специальное судно, могущее близко приходить к берегу (не далее 10 миль), так как в противном случае лётчик не может спокойно выполнять задачу, зная, что участь его зависит от малейшей неисправности в моторе (а токовые случаются очень часто в авиационной практике)".</w:t>
      </w:r>
    </w:p>
    <w:p w14:paraId="7CFBEBDA" w14:textId="77777777" w:rsidR="004B4E35" w:rsidRPr="00405303" w:rsidRDefault="009E6F82" w:rsidP="00C15251">
      <w:pPr>
        <w:jc w:val="both"/>
        <w:rPr>
          <w:bCs/>
          <w:color w:val="002060"/>
          <w:sz w:val="16"/>
          <w:szCs w:val="16"/>
        </w:rPr>
      </w:pPr>
      <w:r w:rsidRPr="00405303">
        <w:rPr>
          <w:bCs/>
          <w:color w:val="002060"/>
          <w:sz w:val="16"/>
          <w:szCs w:val="16"/>
        </w:rPr>
        <w:t>И ещё один вывод, как следствие из приведенного выше: "Четыре аэроплана могут обслуживать лишь с трудом. За этот поход, в сущности, каждый день было только три исправных самолёта, и летать им приходилось слишком часто".</w:t>
      </w:r>
    </w:p>
    <w:p w14:paraId="67940454" w14:textId="77777777" w:rsidR="004B4E35" w:rsidRPr="00405303" w:rsidRDefault="004B4E35" w:rsidP="00C15251">
      <w:pPr>
        <w:jc w:val="both"/>
        <w:rPr>
          <w:bCs/>
          <w:color w:val="002060"/>
          <w:sz w:val="16"/>
          <w:szCs w:val="16"/>
        </w:rPr>
      </w:pPr>
    </w:p>
    <w:p w14:paraId="4D9F2ADA" w14:textId="03D5BFDD" w:rsidR="00027129" w:rsidRPr="00405303" w:rsidRDefault="00027129" w:rsidP="00C15251">
      <w:pPr>
        <w:jc w:val="both"/>
        <w:rPr>
          <w:bCs/>
          <w:color w:val="002060"/>
          <w:sz w:val="16"/>
          <w:szCs w:val="16"/>
          <w:lang w:bidi="en-US"/>
        </w:rPr>
      </w:pPr>
      <w:r w:rsidRPr="00405303">
        <w:rPr>
          <w:bCs/>
          <w:color w:val="002060"/>
          <w:sz w:val="16"/>
          <w:szCs w:val="16"/>
          <w:lang w:bidi="en-US"/>
        </w:rPr>
        <w:t>20 апреля (3 мая) 1915 года в Петрограде "Орлица" (бывшее грузопассажирское судно "Императрица Александра") закончила переоборудование в гидроавианосец в составе 1-го корабельного авиаотряда, которым командовал капитан 1-го ранга Б. П. Дудоров. Он нес от четырех до шести гидросамолетов и служил в Балтийском море и Финском заливе, в основном с мая до поздней осени из-за тяжелых ледовых условий в остальное время года (23525).</w:t>
      </w:r>
    </w:p>
    <w:p w14:paraId="6E3BD4D2" w14:textId="77777777" w:rsidR="00027129" w:rsidRPr="00405303" w:rsidRDefault="00027129" w:rsidP="00C15251">
      <w:pPr>
        <w:jc w:val="both"/>
        <w:rPr>
          <w:bCs/>
          <w:color w:val="002060"/>
          <w:sz w:val="16"/>
          <w:szCs w:val="16"/>
        </w:rPr>
      </w:pPr>
    </w:p>
    <w:p w14:paraId="08605E26" w14:textId="04625D29" w:rsidR="00027129" w:rsidRPr="00405303" w:rsidRDefault="00027129" w:rsidP="00C15251">
      <w:pPr>
        <w:jc w:val="both"/>
        <w:rPr>
          <w:bCs/>
          <w:color w:val="002060"/>
          <w:sz w:val="16"/>
          <w:szCs w:val="16"/>
        </w:rPr>
      </w:pPr>
      <w:r w:rsidRPr="00405303">
        <w:rPr>
          <w:bCs/>
          <w:color w:val="002060"/>
          <w:sz w:val="16"/>
          <w:szCs w:val="16"/>
          <w:lang w:bidi="en-US"/>
        </w:rPr>
        <w:t xml:space="preserve">20 апреля (3 мая) 1915 г. в Черном море русский авианосец «Император Александр </w:t>
      </w:r>
      <w:r w:rsidRPr="00405303">
        <w:rPr>
          <w:bCs/>
          <w:color w:val="002060"/>
          <w:sz w:val="16"/>
          <w:szCs w:val="16"/>
          <w:lang w:val="en-US" w:bidi="en-US"/>
        </w:rPr>
        <w:t>I</w:t>
      </w:r>
      <w:r w:rsidRPr="00405303">
        <w:rPr>
          <w:bCs/>
          <w:color w:val="002060"/>
          <w:sz w:val="16"/>
          <w:szCs w:val="16"/>
          <w:lang w:bidi="en-US"/>
        </w:rPr>
        <w:t>» впервые вышел из Севастополя (23525).</w:t>
      </w:r>
    </w:p>
    <w:p w14:paraId="740893F8" w14:textId="77777777" w:rsidR="00027129" w:rsidRPr="00405303" w:rsidRDefault="00027129" w:rsidP="00C15251">
      <w:pPr>
        <w:jc w:val="both"/>
        <w:rPr>
          <w:bCs/>
          <w:color w:val="002060"/>
          <w:sz w:val="16"/>
          <w:szCs w:val="16"/>
          <w:lang w:bidi="en-US"/>
        </w:rPr>
      </w:pPr>
    </w:p>
    <w:p w14:paraId="08218BD4" w14:textId="3190F80B" w:rsidR="00027129" w:rsidRPr="00405303" w:rsidRDefault="00027129" w:rsidP="00C15251">
      <w:pPr>
        <w:jc w:val="both"/>
        <w:rPr>
          <w:bCs/>
          <w:color w:val="002060"/>
          <w:sz w:val="16"/>
          <w:szCs w:val="16"/>
          <w:lang w:bidi="en-US"/>
        </w:rPr>
      </w:pPr>
      <w:r w:rsidRPr="00405303">
        <w:rPr>
          <w:bCs/>
          <w:color w:val="002060"/>
          <w:sz w:val="16"/>
          <w:szCs w:val="16"/>
          <w:lang w:bidi="en-US"/>
        </w:rPr>
        <w:t>20 апреля (3 мая) 1915 г. Ставка переименовала УЭВК в Эскадру Воздушных кораблей (ЭВК) (Эскадрилья летающих кораблей). В течение мая для обороны Варшавы был создан специальный авиаотряд с пятью Морановыми Зонтиками во главе с Поручиком Н.С. Вбеводским (23525).</w:t>
      </w:r>
    </w:p>
    <w:p w14:paraId="09FE0BE0" w14:textId="77777777" w:rsidR="00027129" w:rsidRPr="00405303" w:rsidRDefault="00027129" w:rsidP="00C15251">
      <w:pPr>
        <w:jc w:val="both"/>
        <w:rPr>
          <w:bCs/>
          <w:color w:val="002060"/>
          <w:sz w:val="16"/>
          <w:szCs w:val="16"/>
        </w:rPr>
      </w:pPr>
    </w:p>
    <w:p w14:paraId="2FAA92F3"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 и воздухоплавание Германии:</w:t>
      </w:r>
    </w:p>
    <w:p w14:paraId="3DD4517D" w14:textId="77777777" w:rsidR="004B4E35" w:rsidRPr="00405303" w:rsidRDefault="004B4E35" w:rsidP="00C15251">
      <w:pPr>
        <w:pStyle w:val="a3"/>
        <w:jc w:val="both"/>
        <w:rPr>
          <w:bCs/>
          <w:color w:val="002060"/>
          <w:spacing w:val="0"/>
          <w:kern w:val="0"/>
          <w:position w:val="0"/>
          <w:sz w:val="16"/>
          <w:szCs w:val="16"/>
        </w:rPr>
      </w:pPr>
    </w:p>
    <w:p w14:paraId="154700C1" w14:textId="4CCC9DF0" w:rsidR="004B4E35" w:rsidRPr="00405303" w:rsidRDefault="009E6F82" w:rsidP="00C15251">
      <w:pPr>
        <w:jc w:val="both"/>
        <w:rPr>
          <w:bCs/>
          <w:color w:val="002060"/>
          <w:sz w:val="16"/>
          <w:szCs w:val="16"/>
        </w:rPr>
      </w:pPr>
      <w:r w:rsidRPr="00405303">
        <w:rPr>
          <w:bCs/>
          <w:color w:val="002060"/>
          <w:sz w:val="16"/>
          <w:szCs w:val="16"/>
        </w:rPr>
        <w:t xml:space="preserve">20 апреля (3 мая) </w:t>
      </w:r>
      <w:r w:rsidR="0019394C" w:rsidRPr="00405303">
        <w:rPr>
          <w:bCs/>
          <w:color w:val="002060"/>
          <w:sz w:val="16"/>
          <w:szCs w:val="16"/>
        </w:rPr>
        <w:t xml:space="preserve">как и 15 (28) апреля и 1915 г. английские </w:t>
      </w:r>
      <w:r w:rsidRPr="00405303">
        <w:rPr>
          <w:bCs/>
          <w:color w:val="002060"/>
          <w:sz w:val="16"/>
          <w:szCs w:val="16"/>
        </w:rPr>
        <w:t>подлодки оказали достойное сопротивление немецким самолетам перед Боркумом. 3 мая L-9 атаковал 3 подлодки, находящиеся в надводном положении, и заставил их погрузиться лишь после того, как сбросил все бомбы (11324).</w:t>
      </w:r>
    </w:p>
    <w:p w14:paraId="5FF4A582" w14:textId="77777777" w:rsidR="004B4E35" w:rsidRPr="00405303" w:rsidRDefault="004B4E35" w:rsidP="00C15251">
      <w:pPr>
        <w:jc w:val="both"/>
        <w:rPr>
          <w:bCs/>
          <w:i/>
          <w:color w:val="002060"/>
          <w:sz w:val="16"/>
          <w:szCs w:val="16"/>
        </w:rPr>
      </w:pPr>
    </w:p>
    <w:p w14:paraId="477E4B4F" w14:textId="0284C8B7" w:rsidR="00EF5DDC" w:rsidRPr="00405303" w:rsidRDefault="00EF5DDC" w:rsidP="00C15251">
      <w:pPr>
        <w:jc w:val="both"/>
        <w:rPr>
          <w:bCs/>
          <w:color w:val="002060"/>
          <w:sz w:val="16"/>
          <w:szCs w:val="16"/>
        </w:rPr>
      </w:pPr>
      <w:r w:rsidRPr="00405303">
        <w:rPr>
          <w:bCs/>
          <w:color w:val="002060"/>
          <w:sz w:val="16"/>
          <w:szCs w:val="16"/>
        </w:rPr>
        <w:t>20 апреля (3 мая) в 1915 году первая частично</w:t>
      </w:r>
      <w:r w:rsidR="0019394C" w:rsidRPr="00405303">
        <w:rPr>
          <w:bCs/>
          <w:color w:val="002060"/>
          <w:sz w:val="16"/>
          <w:szCs w:val="16"/>
        </w:rPr>
        <w:t xml:space="preserve"> успешная</w:t>
      </w:r>
      <w:r w:rsidRPr="00405303">
        <w:rPr>
          <w:bCs/>
          <w:color w:val="002060"/>
          <w:sz w:val="16"/>
          <w:szCs w:val="16"/>
        </w:rPr>
        <w:t xml:space="preserve"> атака дирижабля на подводную лодку. Экипаж цеппелина «LZ-36» («L-9») обнаруживает 4 британские подлодки и, сбрасывая с высоты 1000 м пять 50-килограммовых бомб, повреждает рубку одной из лодок (D4) (14880).</w:t>
      </w:r>
    </w:p>
    <w:p w14:paraId="531C02CB" w14:textId="77777777" w:rsidR="00EF5DDC" w:rsidRPr="00405303" w:rsidRDefault="00EF5DDC" w:rsidP="00C15251">
      <w:pPr>
        <w:jc w:val="both"/>
        <w:rPr>
          <w:bCs/>
          <w:color w:val="002060"/>
          <w:sz w:val="16"/>
          <w:szCs w:val="16"/>
        </w:rPr>
      </w:pPr>
    </w:p>
    <w:p w14:paraId="2C842B87" w14:textId="77777777" w:rsidR="008A7A1C" w:rsidRPr="00405303" w:rsidRDefault="008A7A1C" w:rsidP="00C15251">
      <w:pPr>
        <w:jc w:val="both"/>
        <w:rPr>
          <w:bCs/>
          <w:color w:val="002060"/>
          <w:sz w:val="16"/>
          <w:szCs w:val="16"/>
        </w:rPr>
      </w:pPr>
      <w:r w:rsidRPr="00405303">
        <w:rPr>
          <w:bCs/>
          <w:color w:val="002060"/>
          <w:sz w:val="16"/>
          <w:szCs w:val="16"/>
        </w:rPr>
        <w:t>20 апреля (3 мая) 1915 во время патрулирования над Северным морем немецкий флотский Zeppelin L 9 под командованием капитан-лейтенанта Генриха Мати встречает на поверхности четыре британских подводных лодки и атакует их, в то время как HMS E5 пытается стрелять по нему, а остальные три экстренно погружаются. L 9 пытается бомбить E5, когда та погружается, но не наносит ей ущерба. L 9 позже обнаруживает HMS E4 на поверхности и атакует бомбами, но E4 успевает погрузиться и выживает. L 9 позже видит другую подводную лодку в надводном положении и пытается атаковать, в то время как подводная лодка стреляет по дирижаблю, но подводная лодка успевает погрузиться (20338).</w:t>
      </w:r>
    </w:p>
    <w:p w14:paraId="6586A2CC" w14:textId="77777777" w:rsidR="008A7A1C" w:rsidRPr="00405303" w:rsidRDefault="008A7A1C" w:rsidP="00C15251">
      <w:pPr>
        <w:jc w:val="both"/>
        <w:rPr>
          <w:bCs/>
          <w:color w:val="002060"/>
          <w:sz w:val="16"/>
          <w:szCs w:val="16"/>
        </w:rPr>
      </w:pPr>
    </w:p>
    <w:p w14:paraId="74A41191"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Англии:</w:t>
      </w:r>
    </w:p>
    <w:p w14:paraId="5542D020" w14:textId="77777777" w:rsidR="004B4E35" w:rsidRPr="00405303" w:rsidRDefault="004B4E35" w:rsidP="00C15251">
      <w:pPr>
        <w:jc w:val="both"/>
        <w:rPr>
          <w:bCs/>
          <w:i/>
          <w:color w:val="002060"/>
          <w:sz w:val="16"/>
          <w:szCs w:val="16"/>
        </w:rPr>
      </w:pPr>
    </w:p>
    <w:p w14:paraId="7F373D8E" w14:textId="5BA11DE2" w:rsidR="004B4E35" w:rsidRPr="00405303" w:rsidRDefault="009E6F82" w:rsidP="00C15251">
      <w:pPr>
        <w:jc w:val="both"/>
        <w:rPr>
          <w:bCs/>
          <w:color w:val="002060"/>
          <w:sz w:val="16"/>
          <w:szCs w:val="16"/>
        </w:rPr>
      </w:pPr>
      <w:r w:rsidRPr="00405303">
        <w:rPr>
          <w:bCs/>
          <w:color w:val="002060"/>
          <w:sz w:val="16"/>
          <w:szCs w:val="16"/>
        </w:rPr>
        <w:t xml:space="preserve">20 апреля (3 мая) </w:t>
      </w:r>
      <w:r w:rsidR="0019394C" w:rsidRPr="00405303">
        <w:rPr>
          <w:bCs/>
          <w:color w:val="002060"/>
          <w:sz w:val="16"/>
          <w:szCs w:val="16"/>
        </w:rPr>
        <w:t xml:space="preserve">1915 г. </w:t>
      </w:r>
      <w:r w:rsidRPr="00405303">
        <w:rPr>
          <w:bCs/>
          <w:color w:val="002060"/>
          <w:sz w:val="16"/>
          <w:szCs w:val="16"/>
        </w:rPr>
        <w:t xml:space="preserve">три плавбазы вышли в море, но и на этот раз шторм заставил Тирвитта отменить задание. Не падая духом из-за преследовавших его неудач, 11 мая Тирвитт опять вывел в море 2 плавбазы. Экспедицию обнаружил цеппелин, который постоянно висел невдалеке от флотилии. Трем гидросамолетам «Шорт» удалось взлететь с воды. Попытка выпустить «сопвич» с помощью палубной платформы не удалась — загорелся двигатель. Налет «шортов» потерпел полное фиаско — поднялся </w:t>
      </w:r>
      <w:proofErr w:type="gramStart"/>
      <w:r w:rsidRPr="00405303">
        <w:rPr>
          <w:bCs/>
          <w:color w:val="002060"/>
          <w:sz w:val="16"/>
          <w:szCs w:val="16"/>
        </w:rPr>
        <w:t>туман</w:t>
      </w:r>
      <w:proofErr w:type="gramEnd"/>
      <w:r w:rsidRPr="00405303">
        <w:rPr>
          <w:bCs/>
          <w:color w:val="002060"/>
          <w:sz w:val="16"/>
          <w:szCs w:val="16"/>
        </w:rPr>
        <w:t xml:space="preserve"> и один пилот вернулся, с трудом найдя флотилию. У второго самолета отказал двигатель, и он разбился на вынужденной посадке. Третий сорвался в штопор и погиб в море (11324).</w:t>
      </w:r>
    </w:p>
    <w:p w14:paraId="054159F0" w14:textId="77777777" w:rsidR="004B4E35" w:rsidRPr="00405303" w:rsidRDefault="004B4E35" w:rsidP="00C15251">
      <w:pPr>
        <w:jc w:val="both"/>
        <w:rPr>
          <w:bCs/>
          <w:i/>
          <w:color w:val="002060"/>
          <w:sz w:val="16"/>
          <w:szCs w:val="16"/>
        </w:rPr>
      </w:pPr>
    </w:p>
    <w:p w14:paraId="37240EA6" w14:textId="77777777" w:rsidR="005A4891" w:rsidRPr="00405303" w:rsidRDefault="005A4891" w:rsidP="00C15251">
      <w:pPr>
        <w:jc w:val="both"/>
        <w:rPr>
          <w:bCs/>
          <w:i/>
          <w:color w:val="002060"/>
          <w:sz w:val="16"/>
          <w:szCs w:val="16"/>
        </w:rPr>
      </w:pPr>
      <w:r w:rsidRPr="00405303">
        <w:rPr>
          <w:bCs/>
          <w:i/>
          <w:color w:val="002060"/>
          <w:sz w:val="16"/>
          <w:szCs w:val="16"/>
        </w:rPr>
        <w:t>Самолетостроение:</w:t>
      </w:r>
    </w:p>
    <w:p w14:paraId="7D52D490" w14:textId="77777777" w:rsidR="005A4891" w:rsidRPr="00405303" w:rsidRDefault="005A4891" w:rsidP="00C15251">
      <w:pPr>
        <w:jc w:val="both"/>
        <w:rPr>
          <w:bCs/>
          <w:i/>
          <w:color w:val="002060"/>
          <w:sz w:val="16"/>
          <w:szCs w:val="16"/>
        </w:rPr>
      </w:pPr>
    </w:p>
    <w:p w14:paraId="6DB1857B" w14:textId="3094A7D3" w:rsidR="005A4891" w:rsidRPr="00405303" w:rsidRDefault="005A4891" w:rsidP="00C15251">
      <w:pPr>
        <w:shd w:val="clear" w:color="auto" w:fill="FFFFFF"/>
        <w:jc w:val="both"/>
        <w:rPr>
          <w:bCs/>
          <w:color w:val="002060"/>
          <w:sz w:val="16"/>
          <w:szCs w:val="16"/>
        </w:rPr>
      </w:pPr>
      <w:r w:rsidRPr="00405303">
        <w:rPr>
          <w:bCs/>
          <w:color w:val="002060"/>
          <w:sz w:val="16"/>
          <w:szCs w:val="16"/>
        </w:rPr>
        <w:t xml:space="preserve">21 апреля </w:t>
      </w:r>
      <w:r w:rsidR="00943C54" w:rsidRPr="00405303">
        <w:rPr>
          <w:bCs/>
          <w:color w:val="002060"/>
          <w:sz w:val="16"/>
          <w:szCs w:val="16"/>
        </w:rPr>
        <w:t xml:space="preserve">(4 мая) </w:t>
      </w:r>
      <w:r w:rsidRPr="00405303">
        <w:rPr>
          <w:bCs/>
          <w:color w:val="002060"/>
          <w:sz w:val="16"/>
          <w:szCs w:val="16"/>
        </w:rPr>
        <w:t xml:space="preserve">1915 </w:t>
      </w:r>
      <w:r w:rsidR="00943C54" w:rsidRPr="00405303">
        <w:rPr>
          <w:bCs/>
          <w:color w:val="002060"/>
          <w:sz w:val="16"/>
          <w:szCs w:val="16"/>
        </w:rPr>
        <w:t xml:space="preserve">г. </w:t>
      </w:r>
      <w:r w:rsidRPr="00405303">
        <w:rPr>
          <w:bCs/>
          <w:color w:val="002060"/>
          <w:sz w:val="16"/>
          <w:szCs w:val="16"/>
        </w:rPr>
        <w:t>ГВТУ проинформировало «Дук</w:t>
      </w:r>
      <w:r w:rsidR="00943C54" w:rsidRPr="00405303">
        <w:rPr>
          <w:bCs/>
          <w:color w:val="002060"/>
          <w:sz w:val="16"/>
          <w:szCs w:val="16"/>
        </w:rPr>
        <w:t>с</w:t>
      </w:r>
      <w:r w:rsidRPr="00405303">
        <w:rPr>
          <w:bCs/>
          <w:color w:val="002060"/>
          <w:sz w:val="16"/>
          <w:szCs w:val="16"/>
        </w:rPr>
        <w:t xml:space="preserve">», что «по нарядам... от 9 февраля и 4 марта с.г. за №№ 260 и 4533 Вам назначено с завода Гном десять моторов в 80НР из числа отремонтированных. Сношениями от 10-го февраля и 4-го марта за №№ 2725 и 4535 было сообщено, что означенные моторы предоставлены в ваше распоряжение для сдачи в казну аэропланов, изготовляемых заводом по заказам управления и лишь по миновании надобности в означенных моторах таковые подлежат приведению в порядок за Ваш счет и передаче наблюдающему на Вашем заводе офицеру. В виду изложенного ГВТУ [просит] подать Вами 15-го сего апреля заявление и уточнить, указав, </w:t>
      </w:r>
      <w:proofErr w:type="gramStart"/>
      <w:r w:rsidRPr="00405303">
        <w:rPr>
          <w:bCs/>
          <w:color w:val="002060"/>
          <w:sz w:val="16"/>
          <w:szCs w:val="16"/>
        </w:rPr>
        <w:t>сколько Всего</w:t>
      </w:r>
      <w:proofErr w:type="gramEnd"/>
      <w:r w:rsidRPr="00405303">
        <w:rPr>
          <w:bCs/>
          <w:color w:val="002060"/>
          <w:sz w:val="16"/>
          <w:szCs w:val="16"/>
        </w:rPr>
        <w:t xml:space="preserve"> моторов в счет наряженных получено Вами от наблюдающего офицера с завода Гном.»9 В итоге вместо 12 запрашиваемых моторов в ГВТУ сумели выделить «Дуксу» только 10, причем без всякой уверенности, что завод их все получит (15221).</w:t>
      </w:r>
    </w:p>
    <w:p w14:paraId="4E5AB28C" w14:textId="77777777" w:rsidR="005A4891" w:rsidRPr="00405303" w:rsidRDefault="005A4891" w:rsidP="00C15251">
      <w:pPr>
        <w:shd w:val="clear" w:color="auto" w:fill="FFFFFF"/>
        <w:jc w:val="both"/>
        <w:rPr>
          <w:bCs/>
          <w:color w:val="002060"/>
          <w:sz w:val="16"/>
          <w:szCs w:val="16"/>
        </w:rPr>
      </w:pPr>
    </w:p>
    <w:p w14:paraId="0880903C" w14:textId="77777777" w:rsidR="005A4891" w:rsidRPr="00405303" w:rsidRDefault="005A4891" w:rsidP="00C15251">
      <w:pPr>
        <w:jc w:val="both"/>
        <w:rPr>
          <w:bCs/>
          <w:i/>
          <w:color w:val="002060"/>
          <w:sz w:val="16"/>
          <w:szCs w:val="16"/>
        </w:rPr>
      </w:pPr>
      <w:r w:rsidRPr="00405303">
        <w:rPr>
          <w:bCs/>
          <w:i/>
          <w:color w:val="002060"/>
          <w:sz w:val="16"/>
          <w:szCs w:val="16"/>
        </w:rPr>
        <w:t>Другие оборонные отрасли:</w:t>
      </w:r>
    </w:p>
    <w:p w14:paraId="472A0C70" w14:textId="77777777" w:rsidR="005A4891" w:rsidRPr="00405303" w:rsidRDefault="005A4891" w:rsidP="00C15251">
      <w:pPr>
        <w:jc w:val="both"/>
        <w:rPr>
          <w:bCs/>
          <w:i/>
          <w:color w:val="002060"/>
          <w:sz w:val="16"/>
          <w:szCs w:val="16"/>
        </w:rPr>
      </w:pPr>
    </w:p>
    <w:p w14:paraId="332BF8D5" w14:textId="360A39F8" w:rsidR="005A4891" w:rsidRPr="00405303" w:rsidRDefault="005A4891" w:rsidP="00C15251">
      <w:pPr>
        <w:pStyle w:val="ae"/>
        <w:spacing w:before="0" w:beforeAutospacing="0" w:after="0" w:afterAutospacing="0"/>
        <w:jc w:val="both"/>
        <w:rPr>
          <w:bCs/>
          <w:color w:val="002060"/>
          <w:sz w:val="16"/>
          <w:szCs w:val="16"/>
        </w:rPr>
      </w:pPr>
      <w:r w:rsidRPr="00405303">
        <w:rPr>
          <w:bCs/>
          <w:color w:val="002060"/>
          <w:sz w:val="16"/>
          <w:szCs w:val="16"/>
        </w:rPr>
        <w:t xml:space="preserve">21 апреля </w:t>
      </w:r>
      <w:r w:rsidR="00943C54" w:rsidRPr="00405303">
        <w:rPr>
          <w:bCs/>
          <w:color w:val="002060"/>
          <w:sz w:val="16"/>
          <w:szCs w:val="16"/>
        </w:rPr>
        <w:t xml:space="preserve">(4 мая) </w:t>
      </w:r>
      <w:r w:rsidRPr="00405303">
        <w:rPr>
          <w:bCs/>
          <w:color w:val="002060"/>
          <w:sz w:val="16"/>
          <w:szCs w:val="16"/>
        </w:rPr>
        <w:t xml:space="preserve">1915 г. верховный главнокомандующий потребовал от Особой распорядительной комиссии «самых энергичных сверхмер» в деле обеспечения армии боеприпасами и вооружением, а также исчерпывающей информации по этим вопросам. В это время произошел взрыв на Охтенском заводе, серьезно встревоживший Ставку. Посланная информация не удовлетворила Ставку. Она действительно находилась в прямом противоречии с наступательными планами Ставки и не содержала ничего оптимистического, за исключением разве уверений, что взрыв на Охтенском заводе не вызовет серьезных осложнений. Производство дистанционных трубок, винтовок, перспективы поступления оружия из Франции не обещали ничего хорошего. Информация заканчивалась общим заявлением о принятии мер к расширению </w:t>
      </w:r>
      <w:r w:rsidRPr="00405303">
        <w:rPr>
          <w:bCs/>
          <w:color w:val="002060"/>
          <w:sz w:val="16"/>
          <w:szCs w:val="16"/>
        </w:rPr>
        <w:lastRenderedPageBreak/>
        <w:t>всех производств. Однако не было известно, в чем заключались эти меры и насколько они являлись эффективными. Неудивительно, что на посланную информацию Ставка ответила довольно резко.</w:t>
      </w:r>
    </w:p>
    <w:p w14:paraId="38F5DC8B" w14:textId="77777777" w:rsidR="005A4891" w:rsidRPr="00405303" w:rsidRDefault="005A4891" w:rsidP="00C15251">
      <w:pPr>
        <w:pStyle w:val="ae"/>
        <w:spacing w:before="0" w:beforeAutospacing="0" w:after="0" w:afterAutospacing="0"/>
        <w:jc w:val="both"/>
        <w:rPr>
          <w:bCs/>
          <w:color w:val="002060"/>
          <w:sz w:val="16"/>
          <w:szCs w:val="16"/>
        </w:rPr>
      </w:pPr>
      <w:r w:rsidRPr="00405303">
        <w:rPr>
          <w:bCs/>
          <w:color w:val="002060"/>
          <w:sz w:val="16"/>
          <w:szCs w:val="16"/>
        </w:rPr>
        <w:t>26 апреля вел. кн. Николай Николаевич сообщил в Петроград что армия не чувствует улучшения в снабжении снарядами, и указал на недопустимость подобного положения. Вот текст его телеграммы</w:t>
      </w:r>
      <w:bookmarkStart w:id="108" w:name="105r"/>
      <w:bookmarkEnd w:id="108"/>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"105p"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105</w:t>
      </w:r>
      <w:r w:rsidR="00617EB0" w:rsidRPr="00405303">
        <w:rPr>
          <w:bCs/>
          <w:color w:val="002060"/>
          <w:sz w:val="16"/>
          <w:szCs w:val="16"/>
          <w:vertAlign w:val="superscript"/>
        </w:rPr>
        <w:fldChar w:fldCharType="end"/>
      </w:r>
      <w:r w:rsidRPr="00405303">
        <w:rPr>
          <w:bCs/>
          <w:color w:val="002060"/>
          <w:sz w:val="16"/>
          <w:szCs w:val="16"/>
        </w:rPr>
        <w:t>. «Не вижу никакого улучшения в снабжении нас патронами артиллерийскими. Подобное положение недопустимо. Обстановка требует проявления сверхэнергии, и непроявление ее ляжет на ответственность Главного артиллерийского управления. Прошу Ваше императорское высочество принять все меры и оказать все свое личное влияние. Вся Ваша работа по блестящей подготовке нашей артиллерии при таких условиях не может принести той пользы, на которую Вы вправе были рассчитывать. Генерал-адъютант Николай». В тот же день, 26 апреля, в Ставку был послан следующий ответ: «Сегодня мной была собрана Особая распорядительная комиссия по артиллерийской части для обсуждения вопроса, какие можно принять еще меры к увеличению выходов с заводов сверх уже ранее принятых. Каждый из членов комиссии имеет непосредственное наблюдение над несколькими заводами. По выслушании доклада каждого члена комиссии о ходе работ на подведомственных им заводах выяснилось, что все заводы работают своей максимальной производительностью в соответствии с их оборудованием. Увеличение производительности зависит только от ожидаемых прибытий станков. В частности, Петроградский трубочный завод работает сверх возможности. При теперешней работе он не обеспечен ни от пожара, ни от взрыва. Он работает на пределе риска непоправимого несчастья. Приблизительно в таком же положении все пороховые, взрывчатые и патронные заводы»</w:t>
      </w:r>
      <w:bookmarkStart w:id="109" w:name="106r"/>
      <w:bookmarkEnd w:id="109"/>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"106p"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106</w:t>
      </w:r>
      <w:r w:rsidR="00617EB0" w:rsidRPr="00405303">
        <w:rPr>
          <w:bCs/>
          <w:color w:val="002060"/>
          <w:sz w:val="16"/>
          <w:szCs w:val="16"/>
          <w:vertAlign w:val="superscript"/>
        </w:rPr>
        <w:fldChar w:fldCharType="end"/>
      </w:r>
      <w:r w:rsidRPr="00405303">
        <w:rPr>
          <w:bCs/>
          <w:color w:val="002060"/>
          <w:sz w:val="16"/>
          <w:szCs w:val="16"/>
        </w:rPr>
        <w:t>.</w:t>
      </w:r>
    </w:p>
    <w:p w14:paraId="4B1AA02E" w14:textId="77777777" w:rsidR="005A4891" w:rsidRPr="00405303" w:rsidRDefault="005A4891" w:rsidP="00C15251">
      <w:pPr>
        <w:pStyle w:val="ae"/>
        <w:spacing w:before="0" w:beforeAutospacing="0" w:after="0" w:afterAutospacing="0"/>
        <w:jc w:val="both"/>
        <w:rPr>
          <w:bCs/>
          <w:color w:val="002060"/>
          <w:sz w:val="16"/>
          <w:szCs w:val="16"/>
        </w:rPr>
      </w:pPr>
      <w:r w:rsidRPr="00405303">
        <w:rPr>
          <w:bCs/>
          <w:color w:val="002060"/>
          <w:sz w:val="16"/>
          <w:szCs w:val="16"/>
        </w:rPr>
        <w:t>Вместо оружия и патронов вел. кн. Сергей Михайлович мог послать лишь телеграмму, в которой подробно рассказано о принятых мерах. Смысл этой телеграммы сводился к тому, что надежд на скорое улучшение дела снабжения снарядами никаких нет (18524).</w:t>
      </w:r>
    </w:p>
    <w:p w14:paraId="577FDCD3" w14:textId="77777777" w:rsidR="005A4891" w:rsidRPr="00405303" w:rsidRDefault="005A4891" w:rsidP="00C15251">
      <w:pPr>
        <w:pStyle w:val="ae"/>
        <w:spacing w:before="0" w:beforeAutospacing="0" w:after="0" w:afterAutospacing="0"/>
        <w:jc w:val="both"/>
        <w:rPr>
          <w:bCs/>
          <w:color w:val="002060"/>
          <w:sz w:val="16"/>
          <w:szCs w:val="16"/>
        </w:rPr>
      </w:pPr>
    </w:p>
    <w:p w14:paraId="5F477BDE"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 и воздухоплавание Германии:</w:t>
      </w:r>
    </w:p>
    <w:p w14:paraId="5467DF18" w14:textId="77777777" w:rsidR="004B4E35" w:rsidRPr="00405303" w:rsidRDefault="004B4E35" w:rsidP="00C15251">
      <w:pPr>
        <w:pStyle w:val="a3"/>
        <w:jc w:val="both"/>
        <w:rPr>
          <w:bCs/>
          <w:color w:val="002060"/>
          <w:spacing w:val="0"/>
          <w:kern w:val="0"/>
          <w:position w:val="0"/>
          <w:sz w:val="16"/>
          <w:szCs w:val="16"/>
        </w:rPr>
      </w:pPr>
    </w:p>
    <w:p w14:paraId="2FE687B1" w14:textId="64CA9C4C" w:rsidR="004B4E35" w:rsidRPr="00405303" w:rsidRDefault="009E6F82" w:rsidP="00C15251">
      <w:pPr>
        <w:jc w:val="both"/>
        <w:rPr>
          <w:bCs/>
          <w:color w:val="002060"/>
          <w:sz w:val="16"/>
          <w:szCs w:val="16"/>
        </w:rPr>
      </w:pPr>
      <w:r w:rsidRPr="00405303">
        <w:rPr>
          <w:bCs/>
          <w:color w:val="002060"/>
          <w:sz w:val="16"/>
          <w:szCs w:val="16"/>
        </w:rPr>
        <w:t xml:space="preserve">21 апреля (4 мая) 1915 года </w:t>
      </w:r>
      <w:r w:rsidR="00943C54" w:rsidRPr="00405303">
        <w:rPr>
          <w:bCs/>
          <w:color w:val="002060"/>
          <w:sz w:val="16"/>
          <w:szCs w:val="16"/>
        </w:rPr>
        <w:t xml:space="preserve">L-7, который уже два раза вступал в бой с английскими крейсерами в Северном море, в морском бою </w:t>
      </w:r>
      <w:r w:rsidRPr="00405303">
        <w:rPr>
          <w:bCs/>
          <w:color w:val="002060"/>
          <w:sz w:val="16"/>
          <w:szCs w:val="16"/>
        </w:rPr>
        <w:t>севернее Хорнс-Рифа был уничтожен английской подводной лодкой Е-31. Вот как это произошло. Два легких [115] крейсера — «Галатеа» и «Фэйтон», проводя разведку в открытом море, в 6.30 обнаружили в 7000 м неподвижный L-7, обращенный к ним своим траверзом. Изменив курс, цеппелин приблизился к крейсеру «Галатеа» и на расстоянии 2500 м вновь повернулся к последнему своим траверзом. В 9.56 цеппелин стал медленно набирать высоту. В это же время оба крейсера приблизились к противнику и в 9.58 открыли по нему огонь. «Галатеа» выстрелила 3 шрапнельных снаряда, снабженных дистанционными трубками, а «Фэйтон» — 4 таких же снаряда. L-7 стал быстро отходить, стремясь набрать высоту. Но 10 минут спустя, после последнего выстрела, в тот момент, когда он находился почти в 20 милях от крейсеров, англичане увидели, что цеппелин вдруг принял вертикальное положение носом кверху, закачался, затем деформировался и упал в море. К 11.00 его добила подводная лодка. Было видно, как цеппелин воспламенился в результате попадания в него трех 76-мм снарядов с подлодки и в течение полуминуты пошел на дно. Всего за время своей боевой службы L-7 совершил 78 патрульных полетов и 1 вылет для выполнения другой боевой задачи (11324).</w:t>
      </w:r>
    </w:p>
    <w:p w14:paraId="39F06153" w14:textId="77777777" w:rsidR="004B4E35" w:rsidRPr="00405303" w:rsidRDefault="004B4E35" w:rsidP="00C15251">
      <w:pPr>
        <w:jc w:val="both"/>
        <w:rPr>
          <w:bCs/>
          <w:i/>
          <w:color w:val="002060"/>
          <w:sz w:val="16"/>
          <w:szCs w:val="16"/>
        </w:rPr>
      </w:pPr>
    </w:p>
    <w:p w14:paraId="55D286B1" w14:textId="77777777" w:rsidR="005A4891" w:rsidRPr="00405303" w:rsidRDefault="005A4891" w:rsidP="00C15251">
      <w:pPr>
        <w:jc w:val="both"/>
        <w:rPr>
          <w:bCs/>
          <w:i/>
          <w:color w:val="002060"/>
          <w:sz w:val="16"/>
          <w:szCs w:val="16"/>
        </w:rPr>
      </w:pPr>
      <w:r w:rsidRPr="00405303">
        <w:rPr>
          <w:bCs/>
          <w:i/>
          <w:color w:val="002060"/>
          <w:sz w:val="16"/>
          <w:szCs w:val="16"/>
        </w:rPr>
        <w:t>За рубежом:</w:t>
      </w:r>
    </w:p>
    <w:p w14:paraId="08861077" w14:textId="77777777" w:rsidR="005A4891" w:rsidRPr="00405303" w:rsidRDefault="005A4891" w:rsidP="00C15251">
      <w:pPr>
        <w:jc w:val="both"/>
        <w:rPr>
          <w:bCs/>
          <w:color w:val="002060"/>
          <w:sz w:val="16"/>
          <w:szCs w:val="16"/>
        </w:rPr>
      </w:pPr>
    </w:p>
    <w:p w14:paraId="1A3268BE" w14:textId="77777777" w:rsidR="005A4891" w:rsidRPr="00405303" w:rsidRDefault="005A4891" w:rsidP="00C15251">
      <w:pPr>
        <w:jc w:val="both"/>
        <w:rPr>
          <w:bCs/>
          <w:color w:val="002060"/>
          <w:sz w:val="16"/>
          <w:szCs w:val="16"/>
        </w:rPr>
      </w:pPr>
      <w:r w:rsidRPr="00405303">
        <w:rPr>
          <w:bCs/>
          <w:color w:val="002060"/>
          <w:sz w:val="16"/>
          <w:szCs w:val="16"/>
        </w:rPr>
        <w:t>21 апреля (4 мая) в 1915 году на Западном фронте происходит второе сражение в Артуа (до 18 июня). После отвлекающего маневра британских войск французским войскам удастся прорвать фронт в Северо-Восточной Франции, но продвижение вперед окажется незначительным (14881).</w:t>
      </w:r>
    </w:p>
    <w:p w14:paraId="1AE90DC1" w14:textId="77777777" w:rsidR="005A4891" w:rsidRPr="00405303" w:rsidRDefault="005A4891" w:rsidP="00C15251">
      <w:pPr>
        <w:jc w:val="both"/>
        <w:rPr>
          <w:bCs/>
          <w:color w:val="002060"/>
          <w:sz w:val="16"/>
          <w:szCs w:val="16"/>
        </w:rPr>
      </w:pPr>
    </w:p>
    <w:p w14:paraId="79C15896" w14:textId="77777777" w:rsidR="005A4891" w:rsidRPr="00405303" w:rsidRDefault="005A4891" w:rsidP="00C15251">
      <w:pPr>
        <w:jc w:val="both"/>
        <w:rPr>
          <w:bCs/>
          <w:color w:val="002060"/>
          <w:sz w:val="16"/>
          <w:szCs w:val="16"/>
        </w:rPr>
      </w:pPr>
      <w:r w:rsidRPr="00405303">
        <w:rPr>
          <w:bCs/>
          <w:color w:val="002060"/>
          <w:sz w:val="16"/>
          <w:szCs w:val="16"/>
        </w:rPr>
        <w:t>21 апреля (4 мая) в 1915 году Италия отказывается от участия в Тройственном союзе с Германией и Австро-Венгрией (Договор о союзе продлен в декабре 1912) (14881).</w:t>
      </w:r>
    </w:p>
    <w:p w14:paraId="09706A88" w14:textId="77777777" w:rsidR="005A4891" w:rsidRPr="00405303" w:rsidRDefault="005A4891" w:rsidP="00C15251">
      <w:pPr>
        <w:jc w:val="both"/>
        <w:rPr>
          <w:bCs/>
          <w:color w:val="002060"/>
          <w:sz w:val="16"/>
          <w:szCs w:val="16"/>
        </w:rPr>
      </w:pPr>
    </w:p>
    <w:p w14:paraId="38B39695"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5CA4AE4A" w14:textId="77777777" w:rsidR="004B4E35" w:rsidRPr="00405303" w:rsidRDefault="004B4E35" w:rsidP="00C15251">
      <w:pPr>
        <w:jc w:val="both"/>
        <w:rPr>
          <w:bCs/>
          <w:i/>
          <w:color w:val="002060"/>
          <w:sz w:val="16"/>
          <w:szCs w:val="16"/>
        </w:rPr>
      </w:pPr>
    </w:p>
    <w:p w14:paraId="0F640DBC" w14:textId="6E87948D" w:rsidR="004B4E35" w:rsidRPr="00405303" w:rsidRDefault="009E6F82" w:rsidP="00C15251">
      <w:pPr>
        <w:shd w:val="clear" w:color="auto" w:fill="FFFFFF"/>
        <w:jc w:val="both"/>
        <w:rPr>
          <w:bCs/>
          <w:color w:val="002060"/>
          <w:sz w:val="16"/>
          <w:szCs w:val="16"/>
        </w:rPr>
      </w:pPr>
      <w:r w:rsidRPr="00405303">
        <w:rPr>
          <w:bCs/>
          <w:color w:val="002060"/>
          <w:sz w:val="16"/>
          <w:szCs w:val="16"/>
        </w:rPr>
        <w:t>22 апреля</w:t>
      </w:r>
      <w:r w:rsidR="00584E28" w:rsidRPr="00405303">
        <w:rPr>
          <w:bCs/>
          <w:color w:val="002060"/>
          <w:sz w:val="16"/>
          <w:szCs w:val="16"/>
        </w:rPr>
        <w:t xml:space="preserve"> (5 мая) 1915 г. сдали Либаву</w:t>
      </w:r>
      <w:r w:rsidRPr="00405303">
        <w:rPr>
          <w:bCs/>
          <w:color w:val="002060"/>
          <w:sz w:val="16"/>
          <w:szCs w:val="16"/>
        </w:rPr>
        <w:t xml:space="preserve">, </w:t>
      </w:r>
      <w:r w:rsidR="00584E28" w:rsidRPr="00405303">
        <w:rPr>
          <w:bCs/>
          <w:color w:val="002060"/>
          <w:sz w:val="16"/>
          <w:szCs w:val="16"/>
        </w:rPr>
        <w:t xml:space="preserve">а </w:t>
      </w:r>
      <w:r w:rsidRPr="00405303">
        <w:rPr>
          <w:bCs/>
          <w:color w:val="002060"/>
          <w:sz w:val="16"/>
          <w:szCs w:val="16"/>
        </w:rPr>
        <w:t>Виндаву — 5 июля. Таким образом, вся Курляндия с хорошо оборудован</w:t>
      </w:r>
      <w:r w:rsidRPr="00405303">
        <w:rPr>
          <w:bCs/>
          <w:color w:val="002060"/>
          <w:sz w:val="16"/>
          <w:szCs w:val="16"/>
        </w:rPr>
        <w:softHyphen/>
        <w:t>ными портами оказалась в руках неприятеля.</w:t>
      </w:r>
    </w:p>
    <w:p w14:paraId="0C6F909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то время российская морская авиация имела только две станции (базы): одну в Ре</w:t>
      </w:r>
      <w:r w:rsidRPr="00405303">
        <w:rPr>
          <w:bCs/>
          <w:color w:val="002060"/>
          <w:sz w:val="16"/>
          <w:szCs w:val="16"/>
        </w:rPr>
        <w:softHyphen/>
        <w:t>веле, другую — на острове Эзель (Моонзунд) в Кильконде.</w:t>
      </w:r>
    </w:p>
    <w:p w14:paraId="2F0B63B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Начальник авиации капитан 2-го ранга Дудоров не верил в возможность установки на самолёты пулемётов. Для противодействия противнику по его приказу выдали оружие офицерам. Лётчики получили «маузеры», бортмеханики вооружились карабинами. Только Я.И. Нагурский решился установить пулемёт на свой самолёт «Морис Фарман».</w:t>
      </w:r>
    </w:p>
    <w:p w14:paraId="62FC984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Впрочем, и немцы шли по такому же пути. Командование германской морской авиа</w:t>
      </w:r>
      <w:r w:rsidRPr="00405303">
        <w:rPr>
          <w:bCs/>
          <w:color w:val="002060"/>
          <w:sz w:val="16"/>
          <w:szCs w:val="16"/>
        </w:rPr>
        <w:softHyphen/>
        <w:t>ции приказало снабдить экипажи карабинами.</w:t>
      </w:r>
    </w:p>
    <w:p w14:paraId="0F69C15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наступлением тёплой погоды над Моонзундом все чаще и чаще появлялись герман</w:t>
      </w:r>
      <w:r w:rsidRPr="00405303">
        <w:rPr>
          <w:bCs/>
          <w:color w:val="002060"/>
          <w:sz w:val="16"/>
          <w:szCs w:val="16"/>
        </w:rPr>
        <w:softHyphen/>
        <w:t>ские самолёты. Начиная с 13 апреля 1915 г., почти каждый день хотя бы один немецкий гидроаэроплан с рассветом вылетал на разведку в сторону Моонзунда. Возвращались они вдоль побережья Рижского залива, чтобы вести наблюдение за передвижением рус</w:t>
      </w:r>
      <w:r w:rsidRPr="00405303">
        <w:rPr>
          <w:bCs/>
          <w:color w:val="002060"/>
          <w:sz w:val="16"/>
          <w:szCs w:val="16"/>
        </w:rPr>
        <w:softHyphen/>
        <w:t>ских войск. В мае германская авиация начала бомбить русские корабли и береговые сооружения. Ввиду активных действий немцев приняли решение развернуть еще одну -временную — станцию на острове Эзель вблизи города Аренсбург. На ровном участке побережья устанавливались уходящие в воду деревянные настилы (слипы), по кото</w:t>
      </w:r>
      <w:r w:rsidRPr="00405303">
        <w:rPr>
          <w:bCs/>
          <w:color w:val="002060"/>
          <w:sz w:val="16"/>
          <w:szCs w:val="16"/>
        </w:rPr>
        <w:softHyphen/>
        <w:t>рым гидросамолёты вытаскивали на сушу, а также палатки для размещения экипажей.</w:t>
      </w:r>
    </w:p>
    <w:p w14:paraId="672BFF2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Утром 21 июля 1915 г. у острова Эзель опять появились немецкие самолёты Фридрих-сгафен (Альбатрос) РР с бортовыми номерами «270» и «292». На этот раз они впервые встретили отпор. Две русские летающие лодки — РВА пилота Лишина с бортовым но</w:t>
      </w:r>
      <w:r w:rsidRPr="00405303">
        <w:rPr>
          <w:bCs/>
          <w:color w:val="002060"/>
          <w:sz w:val="16"/>
          <w:szCs w:val="16"/>
        </w:rPr>
        <w:softHyphen/>
        <w:t>мером «4» и пилота Зверева с бортовым номером «8» — поднялись в воздух на перехват. К сожалению, у Зверева забарахлил мотор, и он вынужденно вернулся обратно. Остав</w:t>
      </w:r>
      <w:r w:rsidRPr="00405303">
        <w:rPr>
          <w:bCs/>
          <w:color w:val="002060"/>
          <w:sz w:val="16"/>
          <w:szCs w:val="16"/>
        </w:rPr>
        <w:softHyphen/>
        <w:t>шись один, Лишин смело пошел на врага.</w:t>
      </w:r>
    </w:p>
    <w:p w14:paraId="1DE74F8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Вряд ли кто может лучше непосредственного участника боя описать увиденное, обо</w:t>
      </w:r>
      <w:r w:rsidRPr="00405303">
        <w:rPr>
          <w:bCs/>
          <w:color w:val="002060"/>
          <w:sz w:val="16"/>
          <w:szCs w:val="16"/>
        </w:rPr>
        <w:softHyphen/>
        <w:t>сновать принятые решения, передать накал и динамику боя. Поэтому для более точно</w:t>
      </w:r>
      <w:r w:rsidRPr="00405303">
        <w:rPr>
          <w:bCs/>
          <w:color w:val="002060"/>
          <w:sz w:val="16"/>
          <w:szCs w:val="16"/>
        </w:rPr>
        <w:softHyphen/>
        <w:t>го изложения происходивших в те далекие времена событий приведу рапорт лейтенанта Лишина, поданный в тот же день капитану 2-го ранга Дудорову (орфография сохраня</w:t>
      </w:r>
      <w:r w:rsidRPr="00405303">
        <w:rPr>
          <w:bCs/>
          <w:color w:val="002060"/>
          <w:sz w:val="16"/>
          <w:szCs w:val="16"/>
        </w:rPr>
        <w:softHyphen/>
        <w:t>ется): «Доношу Вашему высокоблагородию, что сего числа в 5 час 35 мин утра я был около палаток, услышал шум мотора и вслед за тем увидел неприятельский аппарат.</w:t>
      </w:r>
    </w:p>
    <w:p w14:paraId="4DE202B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5 час 40 мин я с унтер-офицером Смолиным поднялся на аппарате РВА, имея при себе 3-линейный карабин и пистолет Маузера.</w:t>
      </w:r>
    </w:p>
    <w:p w14:paraId="72902F0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Поднявшись на высоту 500 м, я заметил еще один аппарат и пошел на них, забирая высоту.</w:t>
      </w:r>
    </w:p>
    <w:p w14:paraId="206910F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 1050 м я разошелся с одним из аппаратов, обменявшись выстрелами. Механик, унтер-офицер Смолин, стрелял из карабина, я — из пистолета Маузера.</w:t>
      </w:r>
    </w:p>
    <w:p w14:paraId="79BD6DA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Неприятельский аппарат старался пройти над миноносцем («Московитянин» — прим. авт.), а я ему мешал в этом. Разойдясь, мы развернулись и встретились опять, стре</w:t>
      </w:r>
      <w:r w:rsidRPr="00405303">
        <w:rPr>
          <w:bCs/>
          <w:color w:val="002060"/>
          <w:sz w:val="16"/>
          <w:szCs w:val="16"/>
        </w:rPr>
        <w:softHyphen/>
        <w:t>ляя друг в друга, причем ясно было видно, что стреляют и пилот, и пассажир.</w:t>
      </w:r>
    </w:p>
    <w:p w14:paraId="7325C01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это время ко мне направился и второй аппарат.</w:t>
      </w:r>
    </w:p>
    <w:p w14:paraId="0A482E5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После перестрелки неприятельский аппарат повернул круто вправо, качнулся направо и налево несколько раз и, снижаясь немного, пошел к берегу — к маяку «Михайловский», затем вдоль берега, и скрылся со снижением в облаках.</w:t>
      </w:r>
    </w:p>
    <w:p w14:paraId="0E25B72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Я тогда повернул на второго и разошёлся с ним на 30-100 м. После перестрелки ап</w:t>
      </w:r>
      <w:r w:rsidRPr="00405303">
        <w:rPr>
          <w:bCs/>
          <w:color w:val="002060"/>
          <w:sz w:val="16"/>
          <w:szCs w:val="16"/>
        </w:rPr>
        <w:softHyphen/>
        <w:t>парат ушел к берегу, я за ним. Но, дойдя до маяка «Михайловский», пошел назад, так как мотор начал чихать.</w:t>
      </w:r>
    </w:p>
    <w:p w14:paraId="57F082A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Когда я повернул, неприятель пошел опять ко мне и затем в море; я лег на перемен</w:t>
      </w:r>
      <w:r w:rsidRPr="00405303">
        <w:rPr>
          <w:bCs/>
          <w:color w:val="002060"/>
          <w:sz w:val="16"/>
          <w:szCs w:val="16"/>
        </w:rPr>
        <w:softHyphen/>
        <w:t>ный курс и увидел в море нашу подводную лодку («Аллигатор» — прим. авт.), к которой неприятель повернул тоже.</w:t>
      </w:r>
    </w:p>
    <w:p w14:paraId="40D1039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Я начал сближаться с ним и, сойдясь, открыл огонь. После короткой стрельбы аппарат пошел на Люзерорт, я за ним. Видя, что его нагнать не могу, пошёл домой, так как мотор опять начал работать хуже. Всего в воздухе был 57 мин, наибольшая высота — 1550 м.</w:t>
      </w:r>
    </w:p>
    <w:p w14:paraId="2D83267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Унтер-офицер Смолин вел себя выше всяких похвал. У аппарата крыло было простре</w:t>
      </w:r>
      <w:r w:rsidRPr="00405303">
        <w:rPr>
          <w:bCs/>
          <w:color w:val="002060"/>
          <w:sz w:val="16"/>
          <w:szCs w:val="16"/>
        </w:rPr>
        <w:softHyphen/>
        <w:t>ляно в 2-х местах и легко тронут винт, но через 1/2 часа прилета аппарат был опять готов к полету».</w:t>
      </w:r>
    </w:p>
    <w:p w14:paraId="1B67C46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Уточню, что маяк «Михайловский» находился по другую сторону Ирбенского проли</w:t>
      </w:r>
      <w:r w:rsidRPr="00405303">
        <w:rPr>
          <w:bCs/>
          <w:color w:val="002060"/>
          <w:sz w:val="16"/>
          <w:szCs w:val="16"/>
        </w:rPr>
        <w:softHyphen/>
        <w:t>ва (вблизи Курляндского побережья), Люзерорт — пункт на побережье по направлению к Виндаве.</w:t>
      </w:r>
    </w:p>
    <w:p w14:paraId="76E6721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Итак, два немецких самолёта отступили перед одним русским. Интересно, что сохра</w:t>
      </w:r>
      <w:r w:rsidRPr="00405303">
        <w:rPr>
          <w:bCs/>
          <w:color w:val="002060"/>
          <w:sz w:val="16"/>
          <w:szCs w:val="16"/>
        </w:rPr>
        <w:softHyphen/>
        <w:t>нилось донесение немецкого лётчика поплавкового гидросамолёта с бортовым номе</w:t>
      </w:r>
      <w:r w:rsidRPr="00405303">
        <w:rPr>
          <w:bCs/>
          <w:color w:val="002060"/>
          <w:sz w:val="16"/>
          <w:szCs w:val="16"/>
        </w:rPr>
        <w:softHyphen/>
        <w:t>ром «270» об этом бое. Приведу выдержки из него:</w:t>
      </w:r>
    </w:p>
    <w:p w14:paraId="01B3D1E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«...Кертиссовская летающая лодка (Тогда немцы не знали, что в авиации Балтийского флота находятся летающие лодки РВА французской разработки и считали, что это американские летающие лодки «Кертисс», принятые на вооружение на Черном море.) пыталась выиграть высоту и не допускала нас к себе ближе, чем на 2000 м. Самолет «292» вынужден был прекратить преследование ввиду невозможности так быстро забрать высоту. Во время многочисленных встреч лод</w:t>
      </w:r>
      <w:r w:rsidRPr="00405303">
        <w:rPr>
          <w:bCs/>
          <w:color w:val="002060"/>
          <w:sz w:val="16"/>
          <w:szCs w:val="16"/>
        </w:rPr>
        <w:softHyphen/>
        <w:t>ку обстреляли из карабинов.</w:t>
      </w:r>
    </w:p>
    <w:p w14:paraId="6A88FE0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5 час 55 мин мне удалось сблизиться с противником до 800 м на высоте 1900 м. Здесь я повернул на юг, чтобы не залетать вглубь Аренсбургской бухты и чтобы исполь</w:t>
      </w:r>
      <w:r w:rsidRPr="00405303">
        <w:rPr>
          <w:bCs/>
          <w:color w:val="002060"/>
          <w:sz w:val="16"/>
          <w:szCs w:val="16"/>
        </w:rPr>
        <w:softHyphen/>
        <w:t>зовать кормовые углы обстрела. Противник держался сзади меня приблизительно на 100 м выше. Мой наблюдатель произвел 20 выстрелов из карабина. По-видимому, с ус</w:t>
      </w:r>
      <w:r w:rsidRPr="00405303">
        <w:rPr>
          <w:bCs/>
          <w:color w:val="002060"/>
          <w:sz w:val="16"/>
          <w:szCs w:val="16"/>
        </w:rPr>
        <w:softHyphen/>
        <w:t>пехом, так как летающая лодка круто повернула и спустилась у Цереля. После этого я проследовал в Виндаву».</w:t>
      </w:r>
    </w:p>
    <w:p w14:paraId="24876F8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И немецкое, и русское командование быстро сделали главные выводы из результа</w:t>
      </w:r>
      <w:r w:rsidRPr="00405303">
        <w:rPr>
          <w:bCs/>
          <w:color w:val="002060"/>
          <w:sz w:val="16"/>
          <w:szCs w:val="16"/>
        </w:rPr>
        <w:softHyphen/>
        <w:t>тов первого воздушного боя. Уже через день для вооружения самолётов были заказа</w:t>
      </w:r>
      <w:r w:rsidRPr="00405303">
        <w:rPr>
          <w:bCs/>
          <w:color w:val="002060"/>
          <w:sz w:val="16"/>
          <w:szCs w:val="16"/>
        </w:rPr>
        <w:softHyphen/>
        <w:t>ны пулемёты. Особенности маневров при атаке, способы ее проведения оперативно учитывались при создании первых рекомендаций по тактике воздушного боя. В этой работе самое активное участие принимал С.Н. Лишин (11696).</w:t>
      </w:r>
    </w:p>
    <w:p w14:paraId="7ACF467E" w14:textId="77777777" w:rsidR="004B4E35" w:rsidRPr="00405303" w:rsidRDefault="004B4E35" w:rsidP="00C15251">
      <w:pPr>
        <w:shd w:val="clear" w:color="auto" w:fill="FFFFFF"/>
        <w:jc w:val="both"/>
        <w:rPr>
          <w:bCs/>
          <w:color w:val="002060"/>
          <w:sz w:val="16"/>
          <w:szCs w:val="16"/>
        </w:rPr>
      </w:pPr>
    </w:p>
    <w:p w14:paraId="7A94A5BE" w14:textId="77777777" w:rsidR="007213D2" w:rsidRPr="00405303" w:rsidRDefault="007213D2" w:rsidP="00C15251">
      <w:pPr>
        <w:jc w:val="both"/>
        <w:rPr>
          <w:bCs/>
          <w:color w:val="002060"/>
          <w:sz w:val="16"/>
          <w:szCs w:val="16"/>
        </w:rPr>
      </w:pPr>
      <w:r w:rsidRPr="00405303">
        <w:rPr>
          <w:bCs/>
          <w:color w:val="002060"/>
          <w:sz w:val="16"/>
          <w:szCs w:val="16"/>
        </w:rPr>
        <w:t>В ночь с 22 на 23 апреля (с 5 на 6 мая) 1915 г. цеппелин LZ-34 (база - г. Кёнигсберг) совершил налеты на Гродно, затем - на Ковно, сбросив на них несколько бомб (около 575 кг) (23405).</w:t>
      </w:r>
    </w:p>
    <w:p w14:paraId="33A76402" w14:textId="77777777" w:rsidR="007213D2" w:rsidRPr="00405303" w:rsidRDefault="007213D2" w:rsidP="00C15251">
      <w:pPr>
        <w:jc w:val="both"/>
        <w:rPr>
          <w:bCs/>
          <w:color w:val="002060"/>
          <w:sz w:val="16"/>
          <w:szCs w:val="16"/>
        </w:rPr>
      </w:pPr>
    </w:p>
    <w:p w14:paraId="33BC5D8D" w14:textId="77777777" w:rsidR="00FE0AA3" w:rsidRPr="00405303" w:rsidRDefault="00FE0AA3" w:rsidP="00FE0AA3">
      <w:pPr>
        <w:jc w:val="both"/>
        <w:rPr>
          <w:color w:val="0070C0"/>
          <w:sz w:val="16"/>
          <w:szCs w:val="16"/>
        </w:rPr>
      </w:pPr>
      <w:bookmarkStart w:id="110" w:name="bookmark147"/>
      <w:r w:rsidRPr="00405303">
        <w:rPr>
          <w:color w:val="0070C0"/>
          <w:sz w:val="16"/>
          <w:szCs w:val="16"/>
        </w:rPr>
        <w:t>В ночь с 22 на 23 апреля (с 5 на 6 мая) 1915 г. цеппелин LZ-34 (база – г. Кёнигсберг) совершил налеты на Гродно, затем – на Ковно, сбросив на них несколько бомб (около 575 кг).</w:t>
      </w:r>
    </w:p>
    <w:p w14:paraId="5C5DBA65" w14:textId="77777777" w:rsidR="00FE0AA3" w:rsidRPr="00405303" w:rsidRDefault="00FE0AA3" w:rsidP="00FE0AA3">
      <w:pPr>
        <w:jc w:val="both"/>
        <w:rPr>
          <w:color w:val="0070C0"/>
          <w:sz w:val="16"/>
          <w:szCs w:val="16"/>
        </w:rPr>
      </w:pPr>
      <w:r w:rsidRPr="00405303">
        <w:rPr>
          <w:color w:val="0070C0"/>
          <w:sz w:val="16"/>
          <w:szCs w:val="16"/>
        </w:rPr>
        <w:t>Несмотря на то, что высота полета дирижабля при бомбометании составляла 2650 м, под г. Ковно он был сильно поврежден артиллерийским огнем русских батарей и опустился возле г. Инстербург. При попытке повернуть его на земле против ветра от сильного порыва он сорвался и полетел без экипажа в западном направлении. Позднее воздушный корабль спустился в Германии около г. Бишофербург. При посадке он загорелся и оказался уничтоженным (25135).</w:t>
      </w:r>
    </w:p>
    <w:p w14:paraId="12C49C2C" w14:textId="77777777" w:rsidR="00FE0AA3" w:rsidRPr="00405303" w:rsidRDefault="00FE0AA3" w:rsidP="00FE0AA3">
      <w:pPr>
        <w:jc w:val="both"/>
        <w:rPr>
          <w:color w:val="0070C0"/>
          <w:sz w:val="16"/>
          <w:szCs w:val="16"/>
        </w:rPr>
      </w:pPr>
    </w:p>
    <w:p w14:paraId="37B46F7A" w14:textId="5ACC5E1D" w:rsidR="007213D2" w:rsidRPr="00405303" w:rsidRDefault="007213D2" w:rsidP="00C15251">
      <w:pPr>
        <w:jc w:val="both"/>
        <w:rPr>
          <w:bCs/>
          <w:color w:val="002060"/>
          <w:sz w:val="16"/>
          <w:szCs w:val="16"/>
        </w:rPr>
      </w:pPr>
      <w:r w:rsidRPr="00405303">
        <w:rPr>
          <w:bCs/>
          <w:color w:val="002060"/>
          <w:sz w:val="16"/>
          <w:szCs w:val="16"/>
        </w:rPr>
        <w:t>22 апреля (5 мая) 1915 г. в окрестностях Ольштин русская батарея удачно обстреляла немецкий аэроплан, который упал с большой высоты в район противника (23405).</w:t>
      </w:r>
      <w:bookmarkEnd w:id="110"/>
    </w:p>
    <w:p w14:paraId="2025717D" w14:textId="77777777" w:rsidR="007213D2" w:rsidRPr="00405303" w:rsidRDefault="007213D2" w:rsidP="00C15251">
      <w:pPr>
        <w:jc w:val="both"/>
        <w:rPr>
          <w:bCs/>
          <w:color w:val="002060"/>
          <w:sz w:val="16"/>
          <w:szCs w:val="16"/>
        </w:rPr>
      </w:pPr>
    </w:p>
    <w:p w14:paraId="08B6EF21" w14:textId="77777777" w:rsidR="00FE0AA3" w:rsidRPr="00405303" w:rsidRDefault="00FE0AA3" w:rsidP="00FE0AA3">
      <w:pPr>
        <w:jc w:val="both"/>
        <w:rPr>
          <w:color w:val="0070C0"/>
          <w:sz w:val="16"/>
          <w:szCs w:val="16"/>
        </w:rPr>
      </w:pPr>
      <w:r w:rsidRPr="00405303">
        <w:rPr>
          <w:rStyle w:val="aa"/>
          <w:rFonts w:ascii="Times New Roman" w:hAnsi="Times New Roman"/>
          <w:color w:val="0070C0"/>
          <w:spacing w:val="0"/>
          <w:sz w:val="16"/>
          <w:szCs w:val="16"/>
        </w:rPr>
        <w:t>22 апреля (5 мая) 1915 г. утром три германских аэроплана атаковали наш санитарный поезд (Галицийская железная дорога) во время выгрузки из него раненых, которыми, по словам очевидцев, был заполнен вокзал и платформа. Всего было сброшено до 16 бомб. Их осколками ранено несколько нижних чинов (25135).</w:t>
      </w:r>
    </w:p>
    <w:p w14:paraId="6D0086EC" w14:textId="77777777" w:rsidR="00FE0AA3" w:rsidRPr="00405303" w:rsidRDefault="00FE0AA3" w:rsidP="00FE0AA3">
      <w:pPr>
        <w:jc w:val="both"/>
        <w:rPr>
          <w:color w:val="0070C0"/>
          <w:sz w:val="16"/>
          <w:szCs w:val="16"/>
        </w:rPr>
      </w:pPr>
    </w:p>
    <w:p w14:paraId="1D4B7883" w14:textId="3A0E24DA" w:rsidR="0033704C" w:rsidRPr="00405303" w:rsidRDefault="0033704C" w:rsidP="00C15251">
      <w:pPr>
        <w:jc w:val="both"/>
        <w:rPr>
          <w:bCs/>
          <w:color w:val="002060"/>
          <w:sz w:val="16"/>
          <w:szCs w:val="16"/>
          <w:lang w:bidi="en-US"/>
        </w:rPr>
      </w:pPr>
      <w:r w:rsidRPr="00405303">
        <w:rPr>
          <w:bCs/>
          <w:color w:val="002060"/>
          <w:sz w:val="16"/>
          <w:szCs w:val="16"/>
          <w:lang w:bidi="en-US"/>
        </w:rPr>
        <w:t>22 апреля (5 мая) 1915 г. Ставка Ставки приказала создать Одесский АО в Одессе; и Николаевский АО (который 27 августа 1916 г. стал 36-м КАО) для охраны Николаевских верфей и фарватеров (23525).</w:t>
      </w:r>
    </w:p>
    <w:p w14:paraId="735AF23C" w14:textId="77777777" w:rsidR="0033704C" w:rsidRPr="00405303" w:rsidRDefault="0033704C" w:rsidP="00C15251">
      <w:pPr>
        <w:jc w:val="both"/>
        <w:rPr>
          <w:bCs/>
          <w:color w:val="002060"/>
          <w:sz w:val="16"/>
          <w:szCs w:val="16"/>
        </w:rPr>
      </w:pPr>
    </w:p>
    <w:p w14:paraId="09CB65E9" w14:textId="27F98398" w:rsidR="00FE0AA3" w:rsidRPr="00405303" w:rsidRDefault="00FE0AA3" w:rsidP="00FE0AA3">
      <w:pPr>
        <w:jc w:val="both"/>
        <w:rPr>
          <w:bCs/>
          <w:i/>
          <w:color w:val="002060"/>
          <w:sz w:val="16"/>
          <w:szCs w:val="16"/>
        </w:rPr>
      </w:pPr>
      <w:r w:rsidRPr="00405303">
        <w:rPr>
          <w:bCs/>
          <w:i/>
          <w:color w:val="002060"/>
          <w:sz w:val="16"/>
          <w:szCs w:val="16"/>
        </w:rPr>
        <w:t>Морская авиация:</w:t>
      </w:r>
    </w:p>
    <w:p w14:paraId="5B113EC9" w14:textId="77777777" w:rsidR="00FE0AA3" w:rsidRPr="00405303" w:rsidRDefault="00FE0AA3" w:rsidP="00FE0AA3">
      <w:pPr>
        <w:jc w:val="both"/>
        <w:rPr>
          <w:bCs/>
          <w:i/>
          <w:color w:val="002060"/>
          <w:sz w:val="16"/>
          <w:szCs w:val="16"/>
        </w:rPr>
      </w:pPr>
    </w:p>
    <w:p w14:paraId="3BD246B1" w14:textId="77777777" w:rsidR="00FE0AA3" w:rsidRPr="00405303" w:rsidRDefault="00FE0AA3" w:rsidP="00FE0AA3">
      <w:pPr>
        <w:jc w:val="both"/>
        <w:rPr>
          <w:color w:val="0070C0"/>
          <w:sz w:val="16"/>
          <w:szCs w:val="16"/>
        </w:rPr>
      </w:pPr>
      <w:r w:rsidRPr="00405303">
        <w:rPr>
          <w:color w:val="0070C0"/>
          <w:sz w:val="16"/>
          <w:szCs w:val="16"/>
        </w:rPr>
        <w:t>22 апреля (5 мая) 1915 г. под огонь наших боевых расчетов попал германский гидросамолет, проводивший разведку Либавы. В свою очередь немецкие летчики путем планомерных облетов города получили сведения, что крепость не могла оказать серьезного сопротивления. Воздушное обеспечение действий неприятельской морской группы в районе города-порта осуществляли экипажи четырех гидросамолетов, размещенных на борту авиаматки «Глиндер» (Glinder) (25135).</w:t>
      </w:r>
    </w:p>
    <w:p w14:paraId="0CEEBDA9" w14:textId="77777777" w:rsidR="00FE0AA3" w:rsidRPr="00405303" w:rsidRDefault="00FE0AA3" w:rsidP="00FE0AA3">
      <w:pPr>
        <w:jc w:val="both"/>
        <w:rPr>
          <w:color w:val="0070C0"/>
          <w:sz w:val="16"/>
          <w:szCs w:val="16"/>
        </w:rPr>
      </w:pPr>
    </w:p>
    <w:p w14:paraId="22D53FA2" w14:textId="2D01921F" w:rsidR="00FE0AA3" w:rsidRPr="00405303" w:rsidRDefault="00FE0AA3" w:rsidP="00FE0AA3">
      <w:pPr>
        <w:jc w:val="both"/>
        <w:rPr>
          <w:bCs/>
          <w:i/>
          <w:color w:val="002060"/>
          <w:sz w:val="16"/>
          <w:szCs w:val="16"/>
        </w:rPr>
      </w:pPr>
      <w:r w:rsidRPr="00405303">
        <w:rPr>
          <w:bCs/>
          <w:i/>
          <w:color w:val="002060"/>
          <w:sz w:val="16"/>
          <w:szCs w:val="16"/>
        </w:rPr>
        <w:t>Авиация и воздухоплавание Германии:</w:t>
      </w:r>
    </w:p>
    <w:p w14:paraId="69F6E08C" w14:textId="77777777" w:rsidR="00FE0AA3" w:rsidRPr="00405303" w:rsidRDefault="00FE0AA3" w:rsidP="00FE0AA3">
      <w:pPr>
        <w:jc w:val="both"/>
        <w:rPr>
          <w:bCs/>
          <w:i/>
          <w:color w:val="002060"/>
          <w:sz w:val="16"/>
          <w:szCs w:val="16"/>
        </w:rPr>
      </w:pPr>
    </w:p>
    <w:p w14:paraId="42F3D4D1" w14:textId="77777777" w:rsidR="00FE0AA3" w:rsidRPr="00405303" w:rsidRDefault="00FE0AA3" w:rsidP="00FE0AA3">
      <w:pPr>
        <w:jc w:val="both"/>
        <w:rPr>
          <w:color w:val="0070C0"/>
          <w:sz w:val="16"/>
          <w:szCs w:val="16"/>
        </w:rPr>
      </w:pPr>
      <w:r w:rsidRPr="00405303">
        <w:rPr>
          <w:color w:val="0070C0"/>
          <w:sz w:val="16"/>
          <w:szCs w:val="16"/>
        </w:rPr>
        <w:t>22 апреля (5 мая) 1915 г. дирижабль Z-XI при выводе из эллинга (г. Познань) порывом ветра поднялся в воздух и со сломанным рулем управления пролетел определенное расстояние. За городом корабль стал снижаться и при спуске загорелся. Таким образом, в течение короткого отрезка времени Германия лишилась на русско-германском фронте сразу двух своих боеспособных воздушных кораблей (25135).</w:t>
      </w:r>
    </w:p>
    <w:p w14:paraId="1F382FC4" w14:textId="77777777" w:rsidR="00FE0AA3" w:rsidRPr="00405303" w:rsidRDefault="00FE0AA3" w:rsidP="00FE0AA3">
      <w:pPr>
        <w:jc w:val="both"/>
        <w:rPr>
          <w:color w:val="0070C0"/>
          <w:sz w:val="16"/>
          <w:szCs w:val="16"/>
        </w:rPr>
      </w:pPr>
    </w:p>
    <w:p w14:paraId="7CD03A8B"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5B62E08E" w14:textId="77777777" w:rsidR="004B4E35" w:rsidRPr="00405303" w:rsidRDefault="004B4E35" w:rsidP="00C15251">
      <w:pPr>
        <w:jc w:val="both"/>
        <w:rPr>
          <w:bCs/>
          <w:i/>
          <w:color w:val="002060"/>
          <w:sz w:val="16"/>
          <w:szCs w:val="16"/>
        </w:rPr>
      </w:pPr>
    </w:p>
    <w:p w14:paraId="7B4D7D60" w14:textId="69E7AE43"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23 </w:t>
      </w:r>
      <w:r w:rsidR="00584E28" w:rsidRPr="00405303">
        <w:rPr>
          <w:bCs/>
          <w:i w:val="0"/>
          <w:color w:val="002060"/>
          <w:spacing w:val="0"/>
          <w:kern w:val="0"/>
          <w:position w:val="0"/>
          <w:sz w:val="16"/>
          <w:szCs w:val="16"/>
        </w:rPr>
        <w:t>(</w:t>
      </w:r>
      <w:r w:rsidR="003C517A" w:rsidRPr="00405303">
        <w:rPr>
          <w:bCs/>
          <w:i w:val="0"/>
          <w:color w:val="002060"/>
          <w:spacing w:val="0"/>
          <w:kern w:val="0"/>
          <w:position w:val="0"/>
          <w:sz w:val="16"/>
          <w:szCs w:val="16"/>
        </w:rPr>
        <w:t xml:space="preserve">6 </w:t>
      </w:r>
      <w:r w:rsidR="00584E28" w:rsidRPr="00405303">
        <w:rPr>
          <w:bCs/>
          <w:i w:val="0"/>
          <w:color w:val="002060"/>
          <w:spacing w:val="0"/>
          <w:kern w:val="0"/>
          <w:position w:val="0"/>
          <w:sz w:val="16"/>
          <w:szCs w:val="16"/>
        </w:rPr>
        <w:t xml:space="preserve">мая), 15, 17, 19, </w:t>
      </w:r>
      <w:r w:rsidRPr="00405303">
        <w:rPr>
          <w:bCs/>
          <w:i w:val="0"/>
          <w:color w:val="002060"/>
          <w:spacing w:val="0"/>
          <w:kern w:val="0"/>
          <w:position w:val="0"/>
          <w:sz w:val="16"/>
          <w:szCs w:val="16"/>
        </w:rPr>
        <w:t xml:space="preserve">и 25 апреля 1915 </w:t>
      </w:r>
      <w:r w:rsidR="00584E28" w:rsidRPr="00405303">
        <w:rPr>
          <w:bCs/>
          <w:i w:val="0"/>
          <w:color w:val="002060"/>
          <w:spacing w:val="0"/>
          <w:kern w:val="0"/>
          <w:position w:val="0"/>
          <w:sz w:val="16"/>
          <w:szCs w:val="16"/>
        </w:rPr>
        <w:t>летчики 11-го корпусного авиаотряда (КАО)</w:t>
      </w:r>
      <w:r w:rsidRPr="00405303">
        <w:rPr>
          <w:bCs/>
          <w:i w:val="0"/>
          <w:color w:val="002060"/>
          <w:spacing w:val="0"/>
          <w:kern w:val="0"/>
          <w:position w:val="0"/>
          <w:sz w:val="16"/>
          <w:szCs w:val="16"/>
        </w:rPr>
        <w:t>обследовали район Горлица-Биеч. Используя полученные данные, командование 3-й армии осуществило ряд превентивных мероприятий, снизивших темпы наступления противника. И хотя русские войска были оттеснены из Галиции, но окружить и разгромить их не удалось (11278).</w:t>
      </w:r>
    </w:p>
    <w:p w14:paraId="66CFCB40" w14:textId="77777777" w:rsidR="004B4E35" w:rsidRPr="00405303" w:rsidRDefault="004B4E35" w:rsidP="00C15251">
      <w:pPr>
        <w:pStyle w:val="a3"/>
        <w:jc w:val="both"/>
        <w:rPr>
          <w:bCs/>
          <w:i w:val="0"/>
          <w:color w:val="002060"/>
          <w:spacing w:val="0"/>
          <w:kern w:val="0"/>
          <w:position w:val="0"/>
          <w:sz w:val="16"/>
          <w:szCs w:val="16"/>
        </w:rPr>
      </w:pPr>
    </w:p>
    <w:p w14:paraId="7C5B6E7A" w14:textId="77777777" w:rsidR="003C517A" w:rsidRPr="00405303" w:rsidRDefault="003C517A" w:rsidP="00C15251">
      <w:pPr>
        <w:jc w:val="both"/>
        <w:rPr>
          <w:bCs/>
          <w:color w:val="002060"/>
          <w:sz w:val="16"/>
          <w:szCs w:val="16"/>
        </w:rPr>
      </w:pPr>
      <w:r w:rsidRPr="00405303">
        <w:rPr>
          <w:bCs/>
          <w:color w:val="002060"/>
          <w:sz w:val="16"/>
          <w:szCs w:val="16"/>
        </w:rPr>
        <w:t>23 апреля (6 мая) 1915 г. летчик 2-й армии ст. унтер-офицер Иван Красюк с наблюдателем Л. П. Червинским, корректируя артиллерийскую стрельбу в районе озера Нарочь, трижды был атакован немецкими само летами. Пре</w:t>
      </w:r>
      <w:r w:rsidRPr="00405303">
        <w:rPr>
          <w:bCs/>
          <w:color w:val="002060"/>
          <w:sz w:val="16"/>
          <w:szCs w:val="16"/>
        </w:rPr>
        <w:softHyphen/>
        <w:t>рвав корректировку, Красюк вступил с немцами в бой и, отбив атаку, возобновил корректировку, Но тут появился третий Альбатрос, так же пытавшийся помешать корректировке, но и его атака была отбита му</w:t>
      </w:r>
      <w:r w:rsidRPr="00405303">
        <w:rPr>
          <w:bCs/>
          <w:color w:val="002060"/>
          <w:sz w:val="16"/>
          <w:szCs w:val="16"/>
        </w:rPr>
        <w:softHyphen/>
        <w:t>жественным экипажем.</w:t>
      </w:r>
    </w:p>
    <w:p w14:paraId="5AAA2EA3" w14:textId="77777777" w:rsidR="003C517A" w:rsidRPr="00405303" w:rsidRDefault="003C517A" w:rsidP="00C15251">
      <w:pPr>
        <w:jc w:val="both"/>
        <w:rPr>
          <w:bCs/>
          <w:color w:val="002060"/>
          <w:sz w:val="16"/>
          <w:szCs w:val="16"/>
        </w:rPr>
      </w:pPr>
      <w:r w:rsidRPr="00405303">
        <w:rPr>
          <w:bCs/>
          <w:color w:val="002060"/>
          <w:sz w:val="16"/>
          <w:szCs w:val="16"/>
        </w:rPr>
        <w:t>/ЦГВИА, ф. 2008, д. 119, Л. 238/ (23320).</w:t>
      </w:r>
    </w:p>
    <w:p w14:paraId="4DCC07D8" w14:textId="77777777" w:rsidR="003C517A" w:rsidRPr="00405303" w:rsidRDefault="003C517A" w:rsidP="00C15251">
      <w:pPr>
        <w:jc w:val="both"/>
        <w:rPr>
          <w:bCs/>
          <w:color w:val="002060"/>
          <w:sz w:val="16"/>
          <w:szCs w:val="16"/>
        </w:rPr>
      </w:pPr>
    </w:p>
    <w:p w14:paraId="6BC9222E" w14:textId="77777777" w:rsidR="007213D2" w:rsidRPr="00405303" w:rsidRDefault="007213D2" w:rsidP="00C15251">
      <w:pPr>
        <w:jc w:val="both"/>
        <w:rPr>
          <w:bCs/>
          <w:color w:val="002060"/>
          <w:sz w:val="16"/>
          <w:szCs w:val="16"/>
        </w:rPr>
      </w:pPr>
      <w:r w:rsidRPr="00405303">
        <w:rPr>
          <w:bCs/>
          <w:color w:val="002060"/>
          <w:sz w:val="16"/>
          <w:szCs w:val="16"/>
        </w:rPr>
        <w:t xml:space="preserve">В ночь на 23 апреля (6 мая) 1915 г., как писала в те дни газета «Русский инвалид», </w:t>
      </w:r>
      <w:proofErr w:type="gramStart"/>
      <w:r w:rsidRPr="00405303">
        <w:rPr>
          <w:bCs/>
          <w:color w:val="002060"/>
          <w:sz w:val="16"/>
          <w:szCs w:val="16"/>
        </w:rPr>
        <w:t>« над</w:t>
      </w:r>
      <w:proofErr w:type="gramEnd"/>
      <w:r w:rsidRPr="00405303">
        <w:rPr>
          <w:bCs/>
          <w:color w:val="002060"/>
          <w:sz w:val="16"/>
          <w:szCs w:val="16"/>
        </w:rPr>
        <w:t xml:space="preserve"> крепостью Гродно появился цеппелин, с которого немецкими летчиками было сброшено несколько бомб и зажигательных снарядов, причем в городе произошли только пожары, быстро потушенные».</w:t>
      </w:r>
    </w:p>
    <w:p w14:paraId="1E312BCF" w14:textId="77777777" w:rsidR="007213D2" w:rsidRPr="00405303" w:rsidRDefault="007213D2" w:rsidP="00C15251">
      <w:pPr>
        <w:jc w:val="both"/>
        <w:rPr>
          <w:bCs/>
          <w:color w:val="002060"/>
          <w:sz w:val="16"/>
          <w:szCs w:val="16"/>
        </w:rPr>
      </w:pPr>
      <w:r w:rsidRPr="00405303">
        <w:rPr>
          <w:bCs/>
          <w:color w:val="002060"/>
          <w:sz w:val="16"/>
          <w:szCs w:val="16"/>
        </w:rPr>
        <w:t>Несмотря на то что высота полета дирижабля при бомбометании составляла 2650 м, под г. Ковно он был сильно поврежден артиллерийским огнем русских батарей и опустился возле г. Инстербург. При попытке повернуть его на земле против ветра от сильного порыва он сорвался и полетел без экипажа в западном направлении. Позднее воздушный корабль спустился в Германии около г. Бишофербург. При посадке он загорелся и оказался уничтоженным.</w:t>
      </w:r>
    </w:p>
    <w:p w14:paraId="5F6A69A8" w14:textId="77777777" w:rsidR="007213D2" w:rsidRPr="00405303" w:rsidRDefault="007213D2" w:rsidP="00C15251">
      <w:pPr>
        <w:jc w:val="both"/>
        <w:rPr>
          <w:bCs/>
          <w:color w:val="002060"/>
          <w:sz w:val="16"/>
          <w:szCs w:val="16"/>
        </w:rPr>
      </w:pPr>
      <w:r w:rsidRPr="00405303">
        <w:rPr>
          <w:bCs/>
          <w:color w:val="002060"/>
          <w:sz w:val="16"/>
          <w:szCs w:val="16"/>
        </w:rPr>
        <w:t>Днем ранее такая же судьба постигла и дирижабль Z-XI. При выводе воздушного судна из эллинга (г. Познань) порывом ветра он поднялся в воздух и со сломанным рулем управления пролетел определенное расстояние. За городом корабль стал снижаться и при спуске загорелся. Таким образом, в течение короткого отрезка времени Германия лишилась на русско-германском фронте сразу двух своих боеспособных воздушных кораблей (23405).</w:t>
      </w:r>
    </w:p>
    <w:p w14:paraId="10643A7C" w14:textId="77777777" w:rsidR="007213D2" w:rsidRPr="00405303" w:rsidRDefault="007213D2" w:rsidP="00C15251">
      <w:pPr>
        <w:jc w:val="both"/>
        <w:rPr>
          <w:bCs/>
          <w:color w:val="002060"/>
          <w:sz w:val="16"/>
          <w:szCs w:val="16"/>
        </w:rPr>
      </w:pPr>
    </w:p>
    <w:p w14:paraId="57830F8D" w14:textId="77777777" w:rsidR="00FE0AA3" w:rsidRPr="00405303" w:rsidRDefault="00FE0AA3" w:rsidP="00FE0AA3">
      <w:pPr>
        <w:jc w:val="both"/>
        <w:rPr>
          <w:color w:val="0070C0"/>
          <w:sz w:val="16"/>
          <w:szCs w:val="16"/>
        </w:rPr>
      </w:pPr>
      <w:r w:rsidRPr="00405303">
        <w:rPr>
          <w:color w:val="0070C0"/>
          <w:sz w:val="16"/>
          <w:szCs w:val="16"/>
        </w:rPr>
        <w:t>В ночь на 23 апреля (6 мая) 1915 г., как писала в те дни газета «Русский инвалид», «над крепостью Гродно появился цеппелин, с которого немецкими летчиками было сброшено несколько бомб и зажигательных снарядов, причем в городе произошли только пожары, быстро потушенные» (25135).</w:t>
      </w:r>
    </w:p>
    <w:p w14:paraId="59F8776D" w14:textId="77777777" w:rsidR="00FE0AA3" w:rsidRPr="00405303" w:rsidRDefault="00FE0AA3" w:rsidP="00FE0AA3">
      <w:pPr>
        <w:jc w:val="both"/>
        <w:rPr>
          <w:color w:val="0070C0"/>
          <w:sz w:val="16"/>
          <w:szCs w:val="16"/>
        </w:rPr>
      </w:pPr>
    </w:p>
    <w:p w14:paraId="2D486920" w14:textId="77777777" w:rsidR="00FE0AA3" w:rsidRPr="00405303" w:rsidRDefault="00FE0AA3" w:rsidP="00FE0AA3">
      <w:pPr>
        <w:jc w:val="both"/>
        <w:rPr>
          <w:color w:val="0070C0"/>
          <w:sz w:val="16"/>
          <w:szCs w:val="16"/>
        </w:rPr>
      </w:pPr>
      <w:r w:rsidRPr="00405303">
        <w:rPr>
          <w:color w:val="0070C0"/>
          <w:sz w:val="16"/>
          <w:szCs w:val="16"/>
        </w:rPr>
        <w:t xml:space="preserve">23 апреля (6 мая) 1915 г. на основании приказа командующего 12-й армии первая в русской армии отдельная автомобильная батарея для стрельбы по воздушному противнику под командованием к-на В.В. Тарновского получила боевую задачу «... по защите аэродрома / тяжелых бомбардировщиков/ «Илья Муромец» в </w:t>
      </w:r>
      <w:r w:rsidRPr="00405303">
        <w:rPr>
          <w:color w:val="0070C0"/>
          <w:sz w:val="16"/>
          <w:szCs w:val="16"/>
        </w:rPr>
        <w:lastRenderedPageBreak/>
        <w:t>/населенном пункте/ В. Яблонна (Польша) от налетов неприятельской авиации...». Уже 25 апреля она развернулась вблизи аэродрома и на протяжении почти трех месяцев успешно выполняла поставленную боевую задачу. Таковы первые в русской армии примеры тесного взаимодействия специальных зенитных средств с авиационными формированиями.</w:t>
      </w:r>
    </w:p>
    <w:p w14:paraId="4DF5C85E" w14:textId="77777777" w:rsidR="00FE0AA3" w:rsidRPr="00405303" w:rsidRDefault="00FE0AA3" w:rsidP="00FE0AA3">
      <w:pPr>
        <w:jc w:val="both"/>
        <w:rPr>
          <w:color w:val="0070C0"/>
          <w:sz w:val="16"/>
          <w:szCs w:val="16"/>
        </w:rPr>
      </w:pPr>
      <w:r w:rsidRPr="00405303">
        <w:rPr>
          <w:color w:val="0070C0"/>
          <w:sz w:val="16"/>
          <w:szCs w:val="16"/>
        </w:rPr>
        <w:t>Немецкая авиация в период нахождения батареи В.В. Тарновского в указанном районе не решалась совершать налеты на аэродром, предпочитая ограничиваться разведывательными полетами. С убытием зенитного подразделения для выполнения других боевых задач командование Эскадры воздушных кораблей создает на основе своих штатов собственную противосамолетную батарею, которая просуществовала практически до конца войны (24965).</w:t>
      </w:r>
    </w:p>
    <w:p w14:paraId="69148C85" w14:textId="77777777" w:rsidR="00FE0AA3" w:rsidRPr="00405303" w:rsidRDefault="00FE0AA3" w:rsidP="00FE0AA3">
      <w:pPr>
        <w:jc w:val="both"/>
        <w:rPr>
          <w:color w:val="0070C0"/>
          <w:sz w:val="16"/>
          <w:szCs w:val="16"/>
        </w:rPr>
      </w:pPr>
    </w:p>
    <w:p w14:paraId="233CEC85" w14:textId="77777777" w:rsidR="00FE0AA3" w:rsidRPr="00405303" w:rsidRDefault="00FE0AA3" w:rsidP="00FE0AA3">
      <w:pPr>
        <w:jc w:val="both"/>
        <w:rPr>
          <w:color w:val="0070C0"/>
          <w:sz w:val="16"/>
          <w:szCs w:val="16"/>
        </w:rPr>
      </w:pPr>
      <w:r w:rsidRPr="00405303">
        <w:rPr>
          <w:color w:val="0070C0"/>
          <w:sz w:val="16"/>
          <w:szCs w:val="16"/>
        </w:rPr>
        <w:t>23 апреля (6 мая) 1915 г. немецкие летчики были обстреляны над окрестностями оз. Тосмар (Тосмарес) севернее г. Либава. При этом им удалось установить факт постепенного оставления русскими частями города и их отступления в направлении г. Кулдига. Рано утром следующего дня передовые германские десантные подразделения вошли в Либаву. В дальнейшем германское командование использовало портовые сооружения Либавы для базирования своего флота, в том числе в качестве плацдарма для подготовки десантной операции на Моонзундский архипелаг (1917 г.). На берегу Либавского озера было развернуто морское воздухоплавательное отделение (20 гидроаэропланов с воздушной станцией) (25135).</w:t>
      </w:r>
    </w:p>
    <w:p w14:paraId="734A77DD" w14:textId="77777777" w:rsidR="00FE0AA3" w:rsidRPr="00405303" w:rsidRDefault="00FE0AA3" w:rsidP="00FE0AA3">
      <w:pPr>
        <w:jc w:val="both"/>
        <w:rPr>
          <w:color w:val="0070C0"/>
          <w:sz w:val="16"/>
          <w:szCs w:val="16"/>
        </w:rPr>
      </w:pPr>
    </w:p>
    <w:p w14:paraId="4CB54E5C"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18519EB5" w14:textId="77777777" w:rsidR="00584E28" w:rsidRPr="00405303" w:rsidRDefault="00584E28" w:rsidP="00C15251">
      <w:pPr>
        <w:shd w:val="clear" w:color="auto" w:fill="FFFFFF"/>
        <w:jc w:val="both"/>
        <w:rPr>
          <w:bCs/>
          <w:color w:val="002060"/>
          <w:sz w:val="16"/>
          <w:szCs w:val="16"/>
        </w:rPr>
      </w:pPr>
    </w:p>
    <w:p w14:paraId="4EACB5F7" w14:textId="6991C579"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24 апреля </w:t>
      </w:r>
      <w:r w:rsidR="00584E28" w:rsidRPr="00405303">
        <w:rPr>
          <w:bCs/>
          <w:color w:val="002060"/>
          <w:sz w:val="16"/>
          <w:szCs w:val="16"/>
        </w:rPr>
        <w:t xml:space="preserve">(7 мая) </w:t>
      </w:r>
      <w:r w:rsidRPr="00405303">
        <w:rPr>
          <w:bCs/>
          <w:color w:val="002060"/>
          <w:sz w:val="16"/>
          <w:szCs w:val="16"/>
        </w:rPr>
        <w:t xml:space="preserve">1915 г. </w:t>
      </w:r>
      <w:r w:rsidR="00584E28" w:rsidRPr="00405303">
        <w:rPr>
          <w:bCs/>
          <w:color w:val="002060"/>
          <w:sz w:val="16"/>
          <w:szCs w:val="16"/>
        </w:rPr>
        <w:t>д</w:t>
      </w:r>
      <w:r w:rsidRPr="00405303">
        <w:rPr>
          <w:bCs/>
          <w:color w:val="002060"/>
          <w:sz w:val="16"/>
          <w:szCs w:val="16"/>
        </w:rPr>
        <w:t>ва самолёта, облётанные лётчиком-испытателем ПРТВ Я.И.Седовым-Серовым и лейтенантом И.И.Куль</w:t>
      </w:r>
      <w:r w:rsidRPr="00405303">
        <w:rPr>
          <w:bCs/>
          <w:color w:val="002060"/>
          <w:sz w:val="16"/>
          <w:szCs w:val="16"/>
        </w:rPr>
        <w:softHyphen/>
        <w:t>невым включили в состав авиаци</w:t>
      </w:r>
      <w:r w:rsidRPr="00405303">
        <w:rPr>
          <w:bCs/>
          <w:color w:val="002060"/>
          <w:sz w:val="16"/>
          <w:szCs w:val="16"/>
        </w:rPr>
        <w:softHyphen/>
        <w:t>онной части службы связи Балтийс</w:t>
      </w:r>
      <w:r w:rsidRPr="00405303">
        <w:rPr>
          <w:bCs/>
          <w:color w:val="002060"/>
          <w:sz w:val="16"/>
          <w:szCs w:val="16"/>
        </w:rPr>
        <w:softHyphen/>
        <w:t>кого флота, присвоив им номера Щ-2 и Щ-3.</w:t>
      </w:r>
    </w:p>
    <w:p w14:paraId="52CDB38C" w14:textId="3CA78DC5" w:rsidR="004B4E35" w:rsidRPr="00405303" w:rsidRDefault="009E6F82" w:rsidP="00C15251">
      <w:pPr>
        <w:shd w:val="clear" w:color="auto" w:fill="FFFFFF"/>
        <w:jc w:val="both"/>
        <w:rPr>
          <w:bCs/>
          <w:color w:val="002060"/>
          <w:sz w:val="16"/>
          <w:szCs w:val="16"/>
        </w:rPr>
      </w:pPr>
      <w:r w:rsidRPr="00405303">
        <w:rPr>
          <w:bCs/>
          <w:color w:val="002060"/>
          <w:sz w:val="16"/>
          <w:szCs w:val="16"/>
        </w:rPr>
        <w:t>По просьбе черноморцев и пос</w:t>
      </w:r>
      <w:r w:rsidRPr="00405303">
        <w:rPr>
          <w:bCs/>
          <w:color w:val="002060"/>
          <w:sz w:val="16"/>
          <w:szCs w:val="16"/>
        </w:rPr>
        <w:softHyphen/>
        <w:t>ле переговоров с шефом русской авиации великим князем Александ</w:t>
      </w:r>
      <w:r w:rsidRPr="00405303">
        <w:rPr>
          <w:bCs/>
          <w:color w:val="002060"/>
          <w:sz w:val="16"/>
          <w:szCs w:val="16"/>
        </w:rPr>
        <w:softHyphen/>
        <w:t>ром Михайловичем, две оставшие</w:t>
      </w:r>
      <w:r w:rsidRPr="00405303">
        <w:rPr>
          <w:bCs/>
          <w:color w:val="002060"/>
          <w:sz w:val="16"/>
          <w:szCs w:val="16"/>
        </w:rPr>
        <w:softHyphen/>
        <w:t>ся от контракта лодки направили 10 марта 1915 г. на Чёрное море. По завершении испытаний им при</w:t>
      </w:r>
      <w:r w:rsidRPr="00405303">
        <w:rPr>
          <w:bCs/>
          <w:color w:val="002060"/>
          <w:sz w:val="16"/>
          <w:szCs w:val="16"/>
        </w:rPr>
        <w:softHyphen/>
        <w:t>своили бортовые номера 29 и 30. Первая из них, базируясь на авиатранспорте «Император Нико</w:t>
      </w:r>
      <w:r w:rsidRPr="00405303">
        <w:rPr>
          <w:bCs/>
          <w:color w:val="002060"/>
          <w:sz w:val="16"/>
          <w:szCs w:val="16"/>
        </w:rPr>
        <w:softHyphen/>
        <w:t xml:space="preserve">лай </w:t>
      </w:r>
      <w:r w:rsidRPr="00405303">
        <w:rPr>
          <w:bCs/>
          <w:color w:val="002060"/>
          <w:sz w:val="16"/>
          <w:szCs w:val="16"/>
          <w:lang w:val="en-US"/>
        </w:rPr>
        <w:t>I</w:t>
      </w:r>
      <w:r w:rsidRPr="00405303">
        <w:rPr>
          <w:bCs/>
          <w:color w:val="002060"/>
          <w:sz w:val="16"/>
          <w:szCs w:val="16"/>
        </w:rPr>
        <w:t>» с экипажем: подпоручиком по адмиралтейству А.Е. Жуковым и прапорщиком артиллерии С.Н.Кор</w:t>
      </w:r>
      <w:r w:rsidRPr="00405303">
        <w:rPr>
          <w:bCs/>
          <w:color w:val="002060"/>
          <w:sz w:val="16"/>
          <w:szCs w:val="16"/>
        </w:rPr>
        <w:softHyphen/>
        <w:t>саковым, участвовала в рейде к Босфору 12 апреля 1915 г., и пред</w:t>
      </w:r>
      <w:r w:rsidRPr="00405303">
        <w:rPr>
          <w:bCs/>
          <w:color w:val="002060"/>
          <w:sz w:val="16"/>
          <w:szCs w:val="16"/>
        </w:rPr>
        <w:softHyphen/>
        <w:t>приняла атаку бомбами турецкой канонерской лодки класса «Бурак Рейс»</w:t>
      </w:r>
      <w:r w:rsidR="00584E28" w:rsidRPr="00405303">
        <w:rPr>
          <w:bCs/>
          <w:color w:val="002060"/>
          <w:sz w:val="16"/>
          <w:szCs w:val="16"/>
        </w:rPr>
        <w:t xml:space="preserve"> (11759)</w:t>
      </w:r>
      <w:r w:rsidRPr="00405303">
        <w:rPr>
          <w:bCs/>
          <w:color w:val="002060"/>
          <w:sz w:val="16"/>
          <w:szCs w:val="16"/>
        </w:rPr>
        <w:t>.</w:t>
      </w:r>
    </w:p>
    <w:p w14:paraId="04CAB80B" w14:textId="77777777" w:rsidR="00584E28" w:rsidRPr="00405303" w:rsidRDefault="00584E28" w:rsidP="00C15251">
      <w:pPr>
        <w:shd w:val="clear" w:color="auto" w:fill="FFFFFF"/>
        <w:jc w:val="both"/>
        <w:rPr>
          <w:bCs/>
          <w:color w:val="002060"/>
          <w:sz w:val="16"/>
          <w:szCs w:val="16"/>
        </w:rPr>
      </w:pPr>
    </w:p>
    <w:p w14:paraId="386DF480" w14:textId="7F8BFC08"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24 апреля </w:t>
      </w:r>
      <w:r w:rsidR="00584E28" w:rsidRPr="00405303">
        <w:rPr>
          <w:bCs/>
          <w:color w:val="002060"/>
          <w:sz w:val="16"/>
          <w:szCs w:val="16"/>
        </w:rPr>
        <w:t xml:space="preserve">(7 мая) </w:t>
      </w:r>
      <w:r w:rsidRPr="00405303">
        <w:rPr>
          <w:bCs/>
          <w:color w:val="002060"/>
          <w:sz w:val="16"/>
          <w:szCs w:val="16"/>
        </w:rPr>
        <w:t xml:space="preserve">1915 г. </w:t>
      </w:r>
      <w:r w:rsidR="00584E28" w:rsidRPr="00405303">
        <w:rPr>
          <w:bCs/>
          <w:color w:val="002060"/>
          <w:sz w:val="16"/>
          <w:szCs w:val="16"/>
        </w:rPr>
        <w:t>в Журнале заседаний авиаци</w:t>
      </w:r>
      <w:r w:rsidR="00584E28" w:rsidRPr="00405303">
        <w:rPr>
          <w:bCs/>
          <w:color w:val="002060"/>
          <w:sz w:val="16"/>
          <w:szCs w:val="16"/>
        </w:rPr>
        <w:softHyphen/>
        <w:t>онного комитета Службы связи Чёр</w:t>
      </w:r>
      <w:r w:rsidR="00584E28" w:rsidRPr="00405303">
        <w:rPr>
          <w:bCs/>
          <w:color w:val="002060"/>
          <w:sz w:val="16"/>
          <w:szCs w:val="16"/>
        </w:rPr>
        <w:softHyphen/>
        <w:t xml:space="preserve">ного моря </w:t>
      </w:r>
      <w:r w:rsidRPr="00405303">
        <w:rPr>
          <w:bCs/>
          <w:color w:val="002060"/>
          <w:sz w:val="16"/>
          <w:szCs w:val="16"/>
        </w:rPr>
        <w:t>при</w:t>
      </w:r>
      <w:r w:rsidRPr="00405303">
        <w:rPr>
          <w:bCs/>
          <w:color w:val="002060"/>
          <w:sz w:val="16"/>
          <w:szCs w:val="16"/>
        </w:rPr>
        <w:softHyphen/>
        <w:t>водятся некоторые данные по ре</w:t>
      </w:r>
      <w:r w:rsidRPr="00405303">
        <w:rPr>
          <w:bCs/>
          <w:color w:val="002060"/>
          <w:sz w:val="16"/>
          <w:szCs w:val="16"/>
        </w:rPr>
        <w:softHyphen/>
        <w:t>зультатам испытаний летающей лод</w:t>
      </w:r>
      <w:r w:rsidRPr="00405303">
        <w:rPr>
          <w:bCs/>
          <w:color w:val="002060"/>
          <w:sz w:val="16"/>
          <w:szCs w:val="16"/>
        </w:rPr>
        <w:softHyphen/>
        <w:t>ки М-2: «Испытание лодки завода Щетинимо в открытом море 12 ап</w:t>
      </w:r>
      <w:r w:rsidRPr="00405303">
        <w:rPr>
          <w:bCs/>
          <w:color w:val="002060"/>
          <w:sz w:val="16"/>
          <w:szCs w:val="16"/>
        </w:rPr>
        <w:softHyphen/>
        <w:t>реля но волне дали следующие ре</w:t>
      </w:r>
      <w:r w:rsidRPr="00405303">
        <w:rPr>
          <w:bCs/>
          <w:color w:val="002060"/>
          <w:sz w:val="16"/>
          <w:szCs w:val="16"/>
        </w:rPr>
        <w:softHyphen/>
        <w:t>зультаты: на разбеге её не залива</w:t>
      </w:r>
      <w:r w:rsidRPr="00405303">
        <w:rPr>
          <w:bCs/>
          <w:color w:val="002060"/>
          <w:sz w:val="16"/>
          <w:szCs w:val="16"/>
        </w:rPr>
        <w:softHyphen/>
        <w:t>ло, лодка с полной нагрузкой быс</w:t>
      </w:r>
      <w:r w:rsidRPr="00405303">
        <w:rPr>
          <w:bCs/>
          <w:color w:val="002060"/>
          <w:sz w:val="16"/>
          <w:szCs w:val="16"/>
        </w:rPr>
        <w:softHyphen/>
        <w:t>тро оторвалась, хорошо взяла вы</w:t>
      </w:r>
      <w:r w:rsidRPr="00405303">
        <w:rPr>
          <w:bCs/>
          <w:color w:val="002060"/>
          <w:sz w:val="16"/>
          <w:szCs w:val="16"/>
        </w:rPr>
        <w:softHyphen/>
        <w:t>соту. По осмотре лодки воды в ней не оказалось и лётчиков нисколько не заливало, хотя пришлось прыгать с волны на волну. Считая это испы</w:t>
      </w:r>
      <w:r w:rsidRPr="00405303">
        <w:rPr>
          <w:bCs/>
          <w:color w:val="002060"/>
          <w:sz w:val="16"/>
          <w:szCs w:val="16"/>
        </w:rPr>
        <w:softHyphen/>
        <w:t>тание тяжелым и выполненным от</w:t>
      </w:r>
      <w:r w:rsidRPr="00405303">
        <w:rPr>
          <w:bCs/>
          <w:color w:val="002060"/>
          <w:sz w:val="16"/>
          <w:szCs w:val="16"/>
        </w:rPr>
        <w:softHyphen/>
        <w:t>лично, авиационный комитет при</w:t>
      </w:r>
      <w:r w:rsidRPr="00405303">
        <w:rPr>
          <w:bCs/>
          <w:color w:val="002060"/>
          <w:sz w:val="16"/>
          <w:szCs w:val="16"/>
        </w:rPr>
        <w:softHyphen/>
        <w:t>знаёт лодку Щетинина гораздо луч</w:t>
      </w:r>
      <w:r w:rsidRPr="00405303">
        <w:rPr>
          <w:bCs/>
          <w:color w:val="002060"/>
          <w:sz w:val="16"/>
          <w:szCs w:val="16"/>
        </w:rPr>
        <w:softHyphen/>
        <w:t>ше, нежели лодку ФБА. К недостат</w:t>
      </w:r>
      <w:r w:rsidRPr="00405303">
        <w:rPr>
          <w:bCs/>
          <w:color w:val="002060"/>
          <w:sz w:val="16"/>
          <w:szCs w:val="16"/>
        </w:rPr>
        <w:softHyphen/>
        <w:t>кам этой лодки относится скверный способ обшивки, так как на другой лодке при хорошей посадке отста</w:t>
      </w:r>
      <w:r w:rsidRPr="00405303">
        <w:rPr>
          <w:bCs/>
          <w:color w:val="002060"/>
          <w:sz w:val="16"/>
          <w:szCs w:val="16"/>
        </w:rPr>
        <w:softHyphen/>
        <w:t>ли листы фанеры». Но жизненный цикл этого варианта лодок оказал</w:t>
      </w:r>
      <w:r w:rsidRPr="00405303">
        <w:rPr>
          <w:bCs/>
          <w:color w:val="002060"/>
          <w:sz w:val="16"/>
          <w:szCs w:val="16"/>
        </w:rPr>
        <w:softHyphen/>
        <w:t>ся коротким: лодку №30 списали в октябре; но Балтике Щ-2 и Щ-3 ис</w:t>
      </w:r>
      <w:r w:rsidRPr="00405303">
        <w:rPr>
          <w:bCs/>
          <w:color w:val="002060"/>
          <w:sz w:val="16"/>
          <w:szCs w:val="16"/>
        </w:rPr>
        <w:softHyphen/>
        <w:t>пользовались до зимы 1915-1916 гг. после чего с них сняли двигатели (11759).</w:t>
      </w:r>
    </w:p>
    <w:p w14:paraId="6D49A8E4" w14:textId="77777777" w:rsidR="00ED4978" w:rsidRPr="00405303" w:rsidRDefault="00ED4978" w:rsidP="00C15251">
      <w:pPr>
        <w:jc w:val="both"/>
        <w:rPr>
          <w:bCs/>
          <w:i/>
          <w:color w:val="002060"/>
          <w:sz w:val="16"/>
          <w:szCs w:val="16"/>
        </w:rPr>
      </w:pPr>
    </w:p>
    <w:p w14:paraId="2EC8E203" w14:textId="4D40C818" w:rsidR="0033704C" w:rsidRPr="00405303" w:rsidRDefault="0033704C" w:rsidP="00C15251">
      <w:pPr>
        <w:jc w:val="both"/>
        <w:rPr>
          <w:bCs/>
          <w:i/>
          <w:color w:val="002060"/>
          <w:sz w:val="16"/>
          <w:szCs w:val="16"/>
        </w:rPr>
      </w:pPr>
      <w:r w:rsidRPr="00405303">
        <w:rPr>
          <w:bCs/>
          <w:i/>
          <w:color w:val="002060"/>
          <w:sz w:val="16"/>
          <w:szCs w:val="16"/>
        </w:rPr>
        <w:t>Армия:</w:t>
      </w:r>
    </w:p>
    <w:p w14:paraId="0FE67563" w14:textId="77777777" w:rsidR="0033704C" w:rsidRPr="00405303" w:rsidRDefault="0033704C" w:rsidP="00C15251">
      <w:pPr>
        <w:jc w:val="both"/>
        <w:rPr>
          <w:bCs/>
          <w:i/>
          <w:color w:val="002060"/>
          <w:sz w:val="16"/>
          <w:szCs w:val="16"/>
        </w:rPr>
      </w:pPr>
    </w:p>
    <w:p w14:paraId="17321755" w14:textId="79DA07D1" w:rsidR="0033704C" w:rsidRPr="00405303" w:rsidRDefault="0033704C" w:rsidP="00C15251">
      <w:pPr>
        <w:jc w:val="both"/>
        <w:rPr>
          <w:bCs/>
          <w:color w:val="002060"/>
          <w:sz w:val="16"/>
          <w:szCs w:val="16"/>
          <w:lang w:bidi="en-US"/>
        </w:rPr>
      </w:pPr>
      <w:r w:rsidRPr="00405303">
        <w:rPr>
          <w:bCs/>
          <w:color w:val="002060"/>
          <w:sz w:val="16"/>
          <w:szCs w:val="16"/>
          <w:lang w:bidi="ru-RU"/>
        </w:rPr>
        <w:t xml:space="preserve">24/25 апреля (7/8 мая) 1915 г. </w:t>
      </w:r>
      <w:r w:rsidRPr="00405303">
        <w:rPr>
          <w:bCs/>
          <w:color w:val="002060"/>
          <w:sz w:val="16"/>
          <w:szCs w:val="16"/>
          <w:lang w:bidi="en-US"/>
        </w:rPr>
        <w:t>на прибалтийском направлении русские оставили ключевой порт Либаву (Либаву) наступающим немцам (23525).</w:t>
      </w:r>
    </w:p>
    <w:p w14:paraId="77B5CC7A" w14:textId="77777777" w:rsidR="0033704C" w:rsidRPr="00405303" w:rsidRDefault="0033704C" w:rsidP="00C15251">
      <w:pPr>
        <w:jc w:val="both"/>
        <w:rPr>
          <w:bCs/>
          <w:color w:val="002060"/>
          <w:sz w:val="16"/>
          <w:szCs w:val="16"/>
        </w:rPr>
      </w:pPr>
    </w:p>
    <w:p w14:paraId="68E9DF24" w14:textId="6B936068" w:rsidR="007213D2" w:rsidRPr="00405303" w:rsidRDefault="007213D2" w:rsidP="00C15251">
      <w:pPr>
        <w:jc w:val="both"/>
        <w:rPr>
          <w:bCs/>
          <w:i/>
          <w:color w:val="002060"/>
          <w:sz w:val="16"/>
          <w:szCs w:val="16"/>
        </w:rPr>
      </w:pPr>
      <w:r w:rsidRPr="00405303">
        <w:rPr>
          <w:bCs/>
          <w:i/>
          <w:color w:val="002060"/>
          <w:sz w:val="16"/>
          <w:szCs w:val="16"/>
        </w:rPr>
        <w:t>Авиация:</w:t>
      </w:r>
    </w:p>
    <w:p w14:paraId="12588E40" w14:textId="77777777" w:rsidR="007213D2" w:rsidRPr="00405303" w:rsidRDefault="007213D2" w:rsidP="00C15251">
      <w:pPr>
        <w:jc w:val="both"/>
        <w:rPr>
          <w:bCs/>
          <w:i/>
          <w:color w:val="002060"/>
          <w:sz w:val="16"/>
          <w:szCs w:val="16"/>
        </w:rPr>
      </w:pPr>
    </w:p>
    <w:p w14:paraId="6A55E96A" w14:textId="7CAD1EED" w:rsidR="007213D2" w:rsidRPr="00405303" w:rsidRDefault="007213D2" w:rsidP="00C15251">
      <w:pPr>
        <w:jc w:val="both"/>
        <w:rPr>
          <w:bCs/>
          <w:color w:val="002060"/>
          <w:sz w:val="16"/>
          <w:szCs w:val="16"/>
          <w:shd w:val="clear" w:color="auto" w:fill="FFFFFF"/>
        </w:rPr>
      </w:pPr>
      <w:r w:rsidRPr="00405303">
        <w:rPr>
          <w:bCs/>
          <w:color w:val="002060"/>
          <w:sz w:val="16"/>
          <w:szCs w:val="16"/>
          <w:shd w:val="clear" w:color="auto" w:fill="FFFFFF"/>
        </w:rPr>
        <w:t>24 апреля (7 мая) 1915 года, когда оба Муромца совершили полеты над Восточной Пруссией. Во время этого рейда ИМ-Киевский сбросил 11 16-кг бомб и одну 82-кг бомбу на город Нейденбург. Через час ИМ-3 завершил разрушения, начатые ИМ-Киевским. В результате железнодорожная станция была разрушена и пожары, вызванные бомбежкой, свирепствовали всю ночь (23470).</w:t>
      </w:r>
    </w:p>
    <w:p w14:paraId="7CE8823D" w14:textId="77777777" w:rsidR="007213D2" w:rsidRPr="00405303" w:rsidRDefault="007213D2" w:rsidP="00C15251">
      <w:pPr>
        <w:jc w:val="both"/>
        <w:rPr>
          <w:bCs/>
          <w:color w:val="002060"/>
          <w:sz w:val="16"/>
          <w:szCs w:val="16"/>
        </w:rPr>
      </w:pPr>
    </w:p>
    <w:p w14:paraId="2F861606" w14:textId="77777777" w:rsidR="00417CD1" w:rsidRPr="00405303" w:rsidRDefault="00417CD1" w:rsidP="00417CD1">
      <w:pPr>
        <w:jc w:val="both"/>
        <w:rPr>
          <w:color w:val="0070C0"/>
          <w:sz w:val="16"/>
          <w:szCs w:val="16"/>
        </w:rPr>
      </w:pPr>
      <w:bookmarkStart w:id="111" w:name="bookmark148"/>
      <w:bookmarkStart w:id="112" w:name="bookmark149"/>
      <w:bookmarkStart w:id="113" w:name="bookmark151"/>
      <w:r w:rsidRPr="00405303">
        <w:rPr>
          <w:rStyle w:val="aa"/>
          <w:rFonts w:ascii="Times New Roman" w:hAnsi="Times New Roman"/>
          <w:color w:val="0070C0"/>
          <w:spacing w:val="0"/>
          <w:sz w:val="16"/>
          <w:szCs w:val="16"/>
        </w:rPr>
        <w:t>24 апреля (7 мая) 1915 г. военный летчик поручик Л.А. Самуйлов, откомандированный в состав 24-го корпусного АО, проводя воздушную разведку в районе ст. Дембице, вступил в схватку с двумя неприятельскими самолетами. Один из них в бою уничтожил, другой заставил снизиться. Позднее русский летчик был удостоен Георгиевского оружия (25135).</w:t>
      </w:r>
    </w:p>
    <w:p w14:paraId="4607ABE3" w14:textId="77777777" w:rsidR="00417CD1" w:rsidRPr="00405303" w:rsidRDefault="00417CD1" w:rsidP="00417CD1">
      <w:pPr>
        <w:jc w:val="both"/>
        <w:rPr>
          <w:color w:val="0070C0"/>
          <w:sz w:val="16"/>
          <w:szCs w:val="16"/>
        </w:rPr>
      </w:pPr>
    </w:p>
    <w:p w14:paraId="7ED94C3A" w14:textId="173DBF3D" w:rsidR="007213D2" w:rsidRPr="00405303" w:rsidRDefault="007213D2" w:rsidP="00C15251">
      <w:pPr>
        <w:jc w:val="both"/>
        <w:rPr>
          <w:bCs/>
          <w:color w:val="002060"/>
          <w:sz w:val="16"/>
          <w:szCs w:val="16"/>
        </w:rPr>
      </w:pPr>
      <w:r w:rsidRPr="00405303">
        <w:rPr>
          <w:bCs/>
          <w:color w:val="002060"/>
          <w:sz w:val="16"/>
          <w:szCs w:val="16"/>
        </w:rPr>
        <w:t>24 апреля (7 мая) 1915 г через день огнем нашей артиллерии вблизи н/п Павлов (СЗФ) был подбит неприятельский аэроплан. Снизившись до высоты 500 м, он попал под ружейный огонь русской пехоты. После этого вражеский летательный аппарат рухнул вниз и упал на проволочные заграждения окопов противника. В районе н/п Насельск совершил вынужденную посадку германский аэроплан, оказавшись в зоне стрельбы нашей артиллерии. При приземлении немецкие летчики, отстреливаясь от подбегавших к самолету местных жителей, попытались скрыться в ближайшем лесу. Однако вскоре их задержал передовой разъезд одного из казачьих полков. На следующий день германский аэроплан типа «Таубе» совершил налет на аэродром ЭВК «Илья Муромец» (ст. Яблонна, царство Польское), сбросив на объекты 8 бомб (без какого-либо ущерба для них). Вскоре зенитным огнем он был подбит и опустился вблизи г. Насельск. Экипаж (2 летчика) захвачен в плен, летательный аппарат достался в качестве трофея. В тот же день воздушной бомбардировке со стороны германской авиации подверглись г. Цеханов и Насельск. Ответом противнику стали успешные действия русской авиации (23405).</w:t>
      </w:r>
      <w:bookmarkEnd w:id="111"/>
      <w:bookmarkEnd w:id="112"/>
      <w:bookmarkEnd w:id="113"/>
    </w:p>
    <w:p w14:paraId="714E46D3" w14:textId="77777777" w:rsidR="007213D2" w:rsidRPr="00405303" w:rsidRDefault="007213D2" w:rsidP="00C15251">
      <w:pPr>
        <w:jc w:val="both"/>
        <w:rPr>
          <w:bCs/>
          <w:color w:val="002060"/>
          <w:sz w:val="16"/>
          <w:szCs w:val="16"/>
        </w:rPr>
      </w:pPr>
    </w:p>
    <w:p w14:paraId="3DE11D3A" w14:textId="6F224FB4" w:rsidR="00ED4978" w:rsidRPr="00405303" w:rsidRDefault="00ED4978" w:rsidP="00C15251">
      <w:pPr>
        <w:jc w:val="both"/>
        <w:rPr>
          <w:bCs/>
          <w:i/>
          <w:color w:val="002060"/>
          <w:sz w:val="16"/>
          <w:szCs w:val="16"/>
        </w:rPr>
      </w:pPr>
      <w:r w:rsidRPr="00405303">
        <w:rPr>
          <w:bCs/>
          <w:i/>
          <w:color w:val="002060"/>
          <w:sz w:val="16"/>
          <w:szCs w:val="16"/>
        </w:rPr>
        <w:t>За рубежом:</w:t>
      </w:r>
    </w:p>
    <w:p w14:paraId="002B1137" w14:textId="77777777" w:rsidR="00ED4978" w:rsidRPr="00405303" w:rsidRDefault="00ED4978" w:rsidP="00C15251">
      <w:pPr>
        <w:jc w:val="both"/>
        <w:rPr>
          <w:bCs/>
          <w:color w:val="002060"/>
          <w:sz w:val="16"/>
          <w:szCs w:val="16"/>
        </w:rPr>
      </w:pPr>
    </w:p>
    <w:p w14:paraId="0F4027FA" w14:textId="77777777" w:rsidR="00ED4978" w:rsidRPr="00405303" w:rsidRDefault="00ED4978" w:rsidP="00C15251">
      <w:pPr>
        <w:jc w:val="both"/>
        <w:rPr>
          <w:bCs/>
          <w:color w:val="002060"/>
          <w:sz w:val="16"/>
          <w:szCs w:val="16"/>
        </w:rPr>
      </w:pPr>
      <w:r w:rsidRPr="00405303">
        <w:rPr>
          <w:bCs/>
          <w:color w:val="002060"/>
          <w:sz w:val="16"/>
          <w:szCs w:val="16"/>
        </w:rPr>
        <w:t xml:space="preserve">24 апреля (7 мая) в 1915 году у юго-восточного побережья Ирландии германская подводная лодка потопила плывший из США в Англию британский лайнер «Лузитанию». Спасти удалось лишь треть из 1959 пассажиров. Этот трагический инцидент вызвал серьезный кризис в отношениях США и Германии и предопределил антигерманский поворот в мировом общественном мнении. Германия развернула широкую подводную войну еще в начале года, 1 мая в Вашингтоне было опубликовано предупреждение германского посольства об угрозе жизни американских пассажиров на судах стан Атланты. Тем не менее на лайнере находилась большая группа американцев, 128 </w:t>
      </w:r>
      <w:proofErr w:type="gramStart"/>
      <w:r w:rsidRPr="00405303">
        <w:rPr>
          <w:bCs/>
          <w:color w:val="002060"/>
          <w:sz w:val="16"/>
          <w:szCs w:val="16"/>
        </w:rPr>
        <w:t>их</w:t>
      </w:r>
      <w:proofErr w:type="gramEnd"/>
      <w:r w:rsidRPr="00405303">
        <w:rPr>
          <w:bCs/>
          <w:color w:val="002060"/>
          <w:sz w:val="16"/>
          <w:szCs w:val="16"/>
        </w:rPr>
        <w:t xml:space="preserve"> которых погибли. Немецкие подводники нарушили существовавший негласный кодекс чести, атаковав пассажирское судно без предупреждения. С другой стороны, британское адмиралтейство предупреждало капитана «Лузитании» избегать захода в зону действия подводных лодок и рекомендовало применять противолодочный зигзаг при его следовании. Экипаж эти советы проигнорировал. На волне возмущения ожидалось, что США объявят войну Германии, но 13 мая президент Вудро Вильсон заявил, что Америка «слишком горда, чтобы воевать». В последовавшей ноте было заявлено о праве американских граждан на свободное мореплавание, потребовано возмещение семьям погибших и недопущение подобных действий впредь. В германском ответе указывалось, что на «Лузитании» было 173 тонны оружия и боеприпасов и ее потопление стало осуществлением права на самооборону в условиях британской морской блокады. Государственный секретарь США Брайан подал в отставку, так как считал, действия Англии на морях наносят не меньший вред американскому судоходству. Последовал еще ряд резких американских нот, заставивших Германию на некоторое время прекратить уничтожение мирных судов без предупреждения и выплатить денежную компенсацию, но дипломатический конфликт так и остался неразрешенным. В 1917 году, когда США вступили в войну, одним из поводов для ее объявления стал этот эпизод. Среди обломков британского лайнера "Лузитания" водолазы нашли боеприпасы. Таким образом, в трагической и запутанной истории гибели судна открылись новые обстоятельства. Пассажирский лайнер водоизмещением 31 тысяча тонн был торпедирован 7 мая 1915 года немецкой подводной лодкой «U-20» и ушел под воду через 18 минут. Это нападение считается одним из крупнейших военных преступлений в истории - тогда погибло 1198 человек. Германия заявила, что, </w:t>
      </w:r>
      <w:r w:rsidRPr="00405303">
        <w:rPr>
          <w:bCs/>
          <w:color w:val="002060"/>
          <w:sz w:val="16"/>
          <w:szCs w:val="16"/>
        </w:rPr>
        <w:lastRenderedPageBreak/>
        <w:t>по данным разведки, "Лузитания" тайно перевозила оружие и боеприпасы с американского континента в Европу. Великобритания и США эти обвинения опровергали, утверждая, что на корабле находились лишь гражданские лица. Обнаруженные боеприпасы, в том числе патроны "Ремингтон", использовавшиеся британцами, являются бесспорным доказательством того, что "Лузитания" доставляла-таки оружие союзническим войскам. Этот факт, конечно, не может служить оправданием преступления, но историческую картину все-таки проясняет. Получается, что англичане и американцы подвергали угрозе жизни мирных граждан, используя их в качестве "живого щита". В Вашингтоне и Лондоне готовятся к искам со стороны потомков пассажиров лайнера (14884).</w:t>
      </w:r>
    </w:p>
    <w:p w14:paraId="2B4A4FC1" w14:textId="77777777" w:rsidR="00ED4978" w:rsidRPr="00405303" w:rsidRDefault="00ED4978" w:rsidP="00C15251">
      <w:pPr>
        <w:jc w:val="both"/>
        <w:rPr>
          <w:bCs/>
          <w:color w:val="002060"/>
          <w:sz w:val="16"/>
          <w:szCs w:val="16"/>
        </w:rPr>
      </w:pPr>
    </w:p>
    <w:p w14:paraId="22AD5100" w14:textId="77777777" w:rsidR="00BF185F" w:rsidRPr="00405303" w:rsidRDefault="00BF185F" w:rsidP="00C15251">
      <w:pPr>
        <w:jc w:val="both"/>
        <w:rPr>
          <w:bCs/>
          <w:color w:val="002060"/>
          <w:sz w:val="16"/>
          <w:szCs w:val="16"/>
        </w:rPr>
      </w:pPr>
      <w:r w:rsidRPr="00405303">
        <w:rPr>
          <w:bCs/>
          <w:color w:val="002060"/>
          <w:sz w:val="16"/>
          <w:szCs w:val="16"/>
        </w:rPr>
        <w:t>24 апреля (7 мая) 1915 года немецкая подводная лодка торпедировала лайнер «Луизитания» — «двоюродную сестру» печально знаменитого «Титаника». Эта трагедия унесла жизни почти двух тысяч человек, главным образом женщин и детей (11324).</w:t>
      </w:r>
    </w:p>
    <w:p w14:paraId="6E092711" w14:textId="77777777" w:rsidR="00BF185F" w:rsidRPr="00405303" w:rsidRDefault="00BF185F" w:rsidP="00C15251">
      <w:pPr>
        <w:jc w:val="both"/>
        <w:rPr>
          <w:bCs/>
          <w:i/>
          <w:color w:val="002060"/>
          <w:sz w:val="16"/>
          <w:szCs w:val="16"/>
        </w:rPr>
      </w:pPr>
    </w:p>
    <w:p w14:paraId="5CE26E38"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75AB34DB" w14:textId="77777777" w:rsidR="004B4E35" w:rsidRPr="00405303" w:rsidRDefault="004B4E35" w:rsidP="00C15251">
      <w:pPr>
        <w:jc w:val="both"/>
        <w:rPr>
          <w:bCs/>
          <w:i/>
          <w:color w:val="002060"/>
          <w:sz w:val="16"/>
          <w:szCs w:val="16"/>
        </w:rPr>
      </w:pPr>
    </w:p>
    <w:p w14:paraId="44179F95" w14:textId="3D3258DB"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25 апреля </w:t>
      </w:r>
      <w:r w:rsidR="00584E28" w:rsidRPr="00405303">
        <w:rPr>
          <w:bCs/>
          <w:i w:val="0"/>
          <w:color w:val="002060"/>
          <w:spacing w:val="0"/>
          <w:kern w:val="0"/>
          <w:position w:val="0"/>
          <w:sz w:val="16"/>
          <w:szCs w:val="16"/>
        </w:rPr>
        <w:t xml:space="preserve">(8 </w:t>
      </w:r>
      <w:r w:rsidR="00BF185F" w:rsidRPr="00405303">
        <w:rPr>
          <w:bCs/>
          <w:i w:val="0"/>
          <w:color w:val="002060"/>
          <w:spacing w:val="0"/>
          <w:kern w:val="0"/>
          <w:position w:val="0"/>
          <w:sz w:val="16"/>
          <w:szCs w:val="16"/>
        </w:rPr>
        <w:t>мая</w:t>
      </w:r>
      <w:r w:rsidR="00584E28" w:rsidRPr="00405303">
        <w:rPr>
          <w:bCs/>
          <w:i w:val="0"/>
          <w:color w:val="002060"/>
          <w:spacing w:val="0"/>
          <w:kern w:val="0"/>
          <w:position w:val="0"/>
          <w:sz w:val="16"/>
          <w:szCs w:val="16"/>
        </w:rPr>
        <w:t xml:space="preserve">), 15, 17, 19, 23 </w:t>
      </w:r>
      <w:r w:rsidRPr="00405303">
        <w:rPr>
          <w:bCs/>
          <w:i w:val="0"/>
          <w:color w:val="002060"/>
          <w:spacing w:val="0"/>
          <w:kern w:val="0"/>
          <w:position w:val="0"/>
          <w:sz w:val="16"/>
          <w:szCs w:val="16"/>
        </w:rPr>
        <w:t xml:space="preserve">1915 </w:t>
      </w:r>
      <w:r w:rsidR="00584E28" w:rsidRPr="00405303">
        <w:rPr>
          <w:bCs/>
          <w:i w:val="0"/>
          <w:color w:val="002060"/>
          <w:spacing w:val="0"/>
          <w:kern w:val="0"/>
          <w:position w:val="0"/>
          <w:sz w:val="16"/>
          <w:szCs w:val="16"/>
        </w:rPr>
        <w:t xml:space="preserve">г. летчики 11-го корпусного авиаотряда (КАО) </w:t>
      </w:r>
      <w:r w:rsidRPr="00405303">
        <w:rPr>
          <w:bCs/>
          <w:i w:val="0"/>
          <w:color w:val="002060"/>
          <w:spacing w:val="0"/>
          <w:kern w:val="0"/>
          <w:position w:val="0"/>
          <w:sz w:val="16"/>
          <w:szCs w:val="16"/>
        </w:rPr>
        <w:t>обследовали район Горлица-Биеч. Используя полученные данные, командование 3-й армии осуществило ряд превентивных мероприятий, снизивших темпы наступления противника. И хотя русские войска были оттеснены из Галиции, но окружить и разгромить их не удалось (11278).</w:t>
      </w:r>
    </w:p>
    <w:p w14:paraId="5951F1DE" w14:textId="77777777" w:rsidR="004B4E35" w:rsidRPr="00405303" w:rsidRDefault="004B4E35" w:rsidP="00C15251">
      <w:pPr>
        <w:pStyle w:val="a3"/>
        <w:jc w:val="both"/>
        <w:rPr>
          <w:bCs/>
          <w:i w:val="0"/>
          <w:color w:val="002060"/>
          <w:spacing w:val="0"/>
          <w:kern w:val="0"/>
          <w:position w:val="0"/>
          <w:sz w:val="16"/>
          <w:szCs w:val="16"/>
        </w:rPr>
      </w:pPr>
    </w:p>
    <w:p w14:paraId="37B8AA37" w14:textId="251732AE" w:rsidR="004B4E35" w:rsidRPr="00405303" w:rsidRDefault="00584E28" w:rsidP="00C15251">
      <w:pPr>
        <w:jc w:val="both"/>
        <w:rPr>
          <w:bCs/>
          <w:color w:val="002060"/>
          <w:sz w:val="16"/>
          <w:szCs w:val="16"/>
        </w:rPr>
      </w:pPr>
      <w:r w:rsidRPr="00405303">
        <w:rPr>
          <w:bCs/>
          <w:color w:val="002060"/>
          <w:sz w:val="16"/>
          <w:szCs w:val="16"/>
        </w:rPr>
        <w:t xml:space="preserve">25 апреля </w:t>
      </w:r>
      <w:r w:rsidRPr="00405303">
        <w:rPr>
          <w:bCs/>
          <w:iCs/>
          <w:color w:val="002060"/>
          <w:sz w:val="16"/>
          <w:szCs w:val="16"/>
        </w:rPr>
        <w:t xml:space="preserve">(8 </w:t>
      </w:r>
      <w:r w:rsidR="00BF185F" w:rsidRPr="00405303">
        <w:rPr>
          <w:bCs/>
          <w:iCs/>
          <w:color w:val="002060"/>
          <w:sz w:val="16"/>
          <w:szCs w:val="16"/>
        </w:rPr>
        <w:t>мая</w:t>
      </w:r>
      <w:r w:rsidRPr="00405303">
        <w:rPr>
          <w:bCs/>
          <w:i/>
          <w:color w:val="002060"/>
          <w:sz w:val="16"/>
          <w:szCs w:val="16"/>
        </w:rPr>
        <w:t xml:space="preserve">), </w:t>
      </w:r>
      <w:r w:rsidRPr="00405303">
        <w:rPr>
          <w:bCs/>
          <w:color w:val="002060"/>
          <w:sz w:val="16"/>
          <w:szCs w:val="16"/>
        </w:rPr>
        <w:t>15, 17, 19,</w:t>
      </w:r>
      <w:r w:rsidRPr="00405303">
        <w:rPr>
          <w:bCs/>
          <w:i/>
          <w:color w:val="002060"/>
          <w:sz w:val="16"/>
          <w:szCs w:val="16"/>
        </w:rPr>
        <w:t xml:space="preserve"> </w:t>
      </w:r>
      <w:r w:rsidRPr="00405303">
        <w:rPr>
          <w:bCs/>
          <w:color w:val="002060"/>
          <w:sz w:val="16"/>
          <w:szCs w:val="16"/>
        </w:rPr>
        <w:t xml:space="preserve">23 1915 </w:t>
      </w:r>
      <w:r w:rsidRPr="00405303">
        <w:rPr>
          <w:bCs/>
          <w:i/>
          <w:color w:val="002060"/>
          <w:sz w:val="16"/>
          <w:szCs w:val="16"/>
        </w:rPr>
        <w:t xml:space="preserve">г. </w:t>
      </w:r>
      <w:r w:rsidRPr="00405303">
        <w:rPr>
          <w:bCs/>
          <w:color w:val="002060"/>
          <w:sz w:val="16"/>
          <w:szCs w:val="16"/>
        </w:rPr>
        <w:t>летчик</w:t>
      </w:r>
      <w:r w:rsidRPr="00405303">
        <w:rPr>
          <w:bCs/>
          <w:i/>
          <w:color w:val="002060"/>
          <w:sz w:val="16"/>
          <w:szCs w:val="16"/>
        </w:rPr>
        <w:t>и</w:t>
      </w:r>
      <w:r w:rsidRPr="00405303">
        <w:rPr>
          <w:bCs/>
          <w:color w:val="002060"/>
          <w:sz w:val="16"/>
          <w:szCs w:val="16"/>
        </w:rPr>
        <w:t xml:space="preserve"> 11-го корпусного авиаотряда (КАО)</w:t>
      </w:r>
      <w:r w:rsidRPr="00405303">
        <w:rPr>
          <w:bCs/>
          <w:i/>
          <w:color w:val="002060"/>
          <w:sz w:val="16"/>
          <w:szCs w:val="16"/>
        </w:rPr>
        <w:t xml:space="preserve"> </w:t>
      </w:r>
      <w:r w:rsidRPr="00405303">
        <w:rPr>
          <w:bCs/>
          <w:color w:val="002060"/>
          <w:sz w:val="16"/>
          <w:szCs w:val="16"/>
        </w:rPr>
        <w:t>обследовали район Горлица-Биеч. Используя полученные данные, командование 3-й армии осуществило ряд превентивных мероприятий, снизивших темпы наступления противника. И хотя русские войска были оттеснены из Галиции, но окружить и разгромить их не удалось</w:t>
      </w:r>
      <w:r w:rsidR="009E6F82" w:rsidRPr="00405303">
        <w:rPr>
          <w:bCs/>
          <w:color w:val="002060"/>
          <w:sz w:val="16"/>
          <w:szCs w:val="16"/>
        </w:rPr>
        <w:t xml:space="preserve">. В первой половине сентября немцы предприняли попытку обойти и разгромить правый фланг Западного фронта. Воздушная разведка, выполнявшаяся, в основном, силами 34-го КАО, который обслуживал штаб 10-й армии, вовремя вскрыла подготовку противника к Свенцянскому прорыву, обнаружив в районе Ковно-Янов-Вилькомир крупные скопления его войск. Высочайшими приказами отмечены подвиги многих авиаторов. Так, начальник 19-го КАО поручик Владимир Ягелло был награжден орденом Св.Георгия 4-й степени &lt;зато, что, производя воздушную разведку 21-го февраля 1915 г. района расположения противника в направлении на Рожкову-Волю, Томашев и Раву, будучи обстрелян артиллерией противника..., добыл сведения особой важности относительно движения противника к левому флангу нашей армии, которые своевременно доставил в штаб армии, что дало возможность принять меры и с успехом парализовать намерения противника&gt;. Георгиевскими кавалерами стали поручик Смольянинов из 24-го КАО, подпоручик Иван Орлов и др. Не все герои получили боевые награды: 16-го сентября во время воздушной разведки лейтенант Маркович, "исправляя во время полета пробитый пулей бензиновый бак, был убит, геройской смертью запечатлев содеянный им подвиг". Умер от ран, полученных при падении во время воздушной разведки, начальник 2-го Сибирского КАО штабскапитан И. И. Александрович... Не отставали от кадровых офицеров и летчики-добровольцы, научившиеся полетам на аэропланах в частных школах или аэроклубах еще перед войной. Вот один из примеров. &lt;12 мая во время выполнения разведки летнабом 19-го КАО подпоручиком Рудовичем в моторе аппарата произошел взрыв. До линии фронта оставалось 8 верст. Летчик-охотник ефрейтор Лауниц не растерялся и стал планировать под сильным пулеметным и артиллерийским огнем. Ему удалось вывести аппарат из расположения противника и опуститься вблизи наших боевых позиций. Он спас самолет от захвата противником и офицера от плена. Во время планирования ефрейтор Лауниц был ранен в руку с раздроблением кости, но несмотря на это посадил самолет.&gt; Приказом по войскам 5-й армии от 25.05.1915 г. Владимир Лауниц был награжден солдатским Георгиевским крестом 4-й степени. В конце 1915 г. война на восточном фронте приняла позиционный характер. Кавалерия лишилась возможности проводить разведку. Только самолеты позволяли проникнуть в глубину расположения войск противника, чтобы собрать необходимые для командования сведения. При этом задачи воздушной разведки изменились: если в условиях маневренной войны на нее прежде всего возлагалось наблюдение за крупными силами неприятеля и направлением их движения, то теперь от авиаторов главным образом требовалось тщательно изучать систему обороны противника и наблюдать за ее состоянием и развитием. Привлекалась авиация и для выполнения других задач. Летом в Польше на Северо-Западном фронте германские войска окружили пограничную крепость Новогеоргиевск. В начале августа командование русского гарнизона ввиду опасности скорой капитуляции решило воспользоваться услугами летчиков Новогеоргиевского крепостного авиаотряда. Его начальник капитан Иван Массальский организовал отлет всех исправных самолетов, предварительно уничтожив авиационное имущество, которое нельзя было вывезти. Летчики поручик Константин Вакуловский, штабс-ротмистр Ливотов, капитан Массальский и другие по приказу коменданта крепости вылетели в непогоду под сильным обстрелом противника. Прорвавшись, они вывезли штандарты, Георгиевские кресты и секретные документы. Пролетев 4- 5 часов на небольшой высоте, авиаторы благополучно опустились в расположении своих войск. За этот подвиг они были награждены орденами Св. Георгия 4-й степени и Георгиевским оружием. В 1915 г. воздушные бои оставались редкостью. В большинстве случаев экипажи отправлялись на задания, располагая только карабинами и пистолетами, но и с таким оружием некоторые летчики добивались воздушных побед. Так, 25 февраля летчик°доброволец француз Пуаре с наблюдателем поручиком Шебалиным вылетели на трофейном "Эйлере" на разведку района Лович-Неборов-Болилов. Над своими позициями между Камионом и Сулишевым они атаковали немецкий аппарат. С дистанции 40-50 м по нему было произведено 5 выстрелов из карабина. Согласно донесению летчиков 2-го армейского авиаотряда, "после третьего выстрела самолет противника пошел с поворотом книзу и опустился под Скверневицами". 15-го июля во время разведки к востоку от Золотой Липы летчики 2-го Сибирского КАО поручик Покровский и корнет Плонский заметили неприятельский аэроплан. Из оружия у них были только пистолеты 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7-й... авиароты.&gt; Оба русских героя были награждены орденами Св. Георгия 4-й степени. Кстати, &lt;Авиатик&gt;, как и большийство других самолетов того времени, был весьма слабой машиной. Об этом свидетельствует следующий факт: 27 ноября австрийские летчики Дример и Хубнер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Недостаток вооружения во многом компенсировался храбростью русских авиаторов. 18-го марта одержал свою первую победу летчик 4-го КАО поручик А. А. 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В 1915 г. на русских аэропланах появились пулеметы. Для их применения наиболее пригодным оказался биплан Вуазен, на который часто устанавливался пулемет Кольт. Такой самолет становился грозным оружием, 24-го июня летчик прапорщик Иванов и наблюдатель поручик Алексеев из 26-го КАО атаковали в районе Тарнополя австрийский Альбатрос (бортовой номер 21-01) из 1-й авиароты,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Тлусте,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w:t>
      </w:r>
      <w:r w:rsidR="009E6F82" w:rsidRPr="00405303">
        <w:rPr>
          <w:bCs/>
          <w:color w:val="002060"/>
          <w:sz w:val="16"/>
          <w:szCs w:val="16"/>
        </w:rPr>
        <w:lastRenderedPageBreak/>
        <w:t>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4266CE48" w14:textId="77777777" w:rsidR="004B4E35" w:rsidRPr="00405303" w:rsidRDefault="004B4E35" w:rsidP="00C15251">
      <w:pPr>
        <w:jc w:val="both"/>
        <w:rPr>
          <w:bCs/>
          <w:color w:val="002060"/>
          <w:sz w:val="16"/>
          <w:szCs w:val="16"/>
        </w:rPr>
      </w:pPr>
    </w:p>
    <w:p w14:paraId="7FE6D158" w14:textId="06A3E003" w:rsidR="000F0D48" w:rsidRPr="00405303" w:rsidRDefault="000F0D48" w:rsidP="00C15251">
      <w:pPr>
        <w:jc w:val="both"/>
        <w:rPr>
          <w:bCs/>
          <w:color w:val="002060"/>
          <w:sz w:val="16"/>
          <w:szCs w:val="16"/>
        </w:rPr>
      </w:pPr>
      <w:r w:rsidRPr="00405303">
        <w:rPr>
          <w:bCs/>
          <w:color w:val="002060"/>
          <w:sz w:val="16"/>
          <w:szCs w:val="16"/>
        </w:rPr>
        <w:t>25 апреля (8 мая) 1915 г. германский аэроплан типа «Таубе» совершил налет на аэродром ЭВК «Илья Муромец» (ст. Яблонна, царство Польское), сбросив на объекты 8 бомб (без какого-либо ущерба для них). Вскоре зенитным огнем он был подбит и опустился вблизи г. Насельск. Экипаж (2 летчика) захвачен в плен, летательный аппарат достался в качестве трофея. В тот же день воздушной бомбардировке со стороны германской авиации подверглись г. Цеханов и Насельск. Ответом противнику стали успешные действия русской авиации (23405).</w:t>
      </w:r>
    </w:p>
    <w:p w14:paraId="54FA09B0" w14:textId="77777777" w:rsidR="000F0D48" w:rsidRPr="00405303" w:rsidRDefault="000F0D48" w:rsidP="00C15251">
      <w:pPr>
        <w:jc w:val="both"/>
        <w:rPr>
          <w:bCs/>
          <w:color w:val="002060"/>
          <w:sz w:val="16"/>
          <w:szCs w:val="16"/>
        </w:rPr>
      </w:pPr>
    </w:p>
    <w:p w14:paraId="1752945C" w14:textId="36973EF5" w:rsidR="000F0D48" w:rsidRPr="00405303" w:rsidRDefault="000F0D48" w:rsidP="00C15251">
      <w:pPr>
        <w:jc w:val="both"/>
        <w:rPr>
          <w:bCs/>
          <w:color w:val="002060"/>
          <w:sz w:val="16"/>
          <w:szCs w:val="16"/>
        </w:rPr>
      </w:pPr>
      <w:r w:rsidRPr="00405303">
        <w:rPr>
          <w:bCs/>
          <w:color w:val="002060"/>
          <w:sz w:val="16"/>
          <w:szCs w:val="16"/>
        </w:rPr>
        <w:t>25 апреля (8 мая) 1915 г. воздушным ударам подверглись неприятельский аэродром и железнодорожная станция Циткемен (Восточная Пруссия), на который было сброшено около 40 бомб. На следующий день целью налета стал аэродром немецкой авиации в Санниках. Бомбардировку проводил воздушный корабль «Илья Муромец-Ш» (штабс-капитан С.М. Бродович). В результате бомбардировки были повреждены вражеские ангары и открыто стоявшие на летном поле самолеты.</w:t>
      </w:r>
    </w:p>
    <w:p w14:paraId="561244B8" w14:textId="77777777" w:rsidR="000F0D48" w:rsidRPr="00405303" w:rsidRDefault="000F0D48" w:rsidP="00C15251">
      <w:pPr>
        <w:jc w:val="both"/>
        <w:rPr>
          <w:bCs/>
          <w:color w:val="002060"/>
          <w:sz w:val="16"/>
          <w:szCs w:val="16"/>
        </w:rPr>
      </w:pPr>
      <w:bookmarkStart w:id="114" w:name="bookmark152"/>
      <w:r w:rsidRPr="00405303">
        <w:rPr>
          <w:bCs/>
          <w:color w:val="002060"/>
          <w:sz w:val="16"/>
          <w:szCs w:val="16"/>
        </w:rPr>
        <w:t>В тот же день огнем русской артиллерии был подбит австрийский аэроплан, упавший в расположении наших войск у н/п Риманова (Риманува). Летчики (2 офицера, в их числе известный пилот - капитан Риттер Башке) оказались в плену.</w:t>
      </w:r>
      <w:bookmarkEnd w:id="114"/>
    </w:p>
    <w:p w14:paraId="15E322A2" w14:textId="77777777" w:rsidR="000F0D48" w:rsidRPr="00405303" w:rsidRDefault="000F0D48" w:rsidP="00C15251">
      <w:pPr>
        <w:jc w:val="both"/>
        <w:rPr>
          <w:bCs/>
          <w:color w:val="002060"/>
          <w:sz w:val="16"/>
          <w:szCs w:val="16"/>
        </w:rPr>
      </w:pPr>
      <w:bookmarkStart w:id="115" w:name="bookmark153"/>
      <w:bookmarkStart w:id="116" w:name="bookmark154"/>
      <w:r w:rsidRPr="00405303">
        <w:rPr>
          <w:bCs/>
          <w:color w:val="002060"/>
          <w:sz w:val="16"/>
          <w:szCs w:val="16"/>
        </w:rPr>
        <w:t>При этом авиация противоборствующих сторон продолжала обмениваться ударами. В ответ на наши воздушные бомбардировки района Раранчи, где был взорван неприятельский артиллерийский склад, противник 3-4 мая провел групповой налет (4 самолета) на русские объекты возле станции Сташев, не причинив при этом им особого вред. Одновременно бомбовый удар был нанесен по г. Плонск. Одной из бомб, упавшей вблизи костела, было убито 8 человек, ранено более 30 (23405).</w:t>
      </w:r>
      <w:bookmarkEnd w:id="115"/>
      <w:bookmarkEnd w:id="116"/>
    </w:p>
    <w:p w14:paraId="45B467E2" w14:textId="77777777" w:rsidR="000F0D48" w:rsidRPr="00405303" w:rsidRDefault="000F0D48" w:rsidP="00C15251">
      <w:pPr>
        <w:jc w:val="both"/>
        <w:rPr>
          <w:bCs/>
          <w:color w:val="002060"/>
          <w:sz w:val="16"/>
          <w:szCs w:val="16"/>
        </w:rPr>
      </w:pPr>
    </w:p>
    <w:p w14:paraId="1D7C2F18" w14:textId="77777777" w:rsidR="00417CD1" w:rsidRPr="00405303" w:rsidRDefault="00417CD1" w:rsidP="00417CD1">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25 апреля (8 мая) 1915 г. вблизи г. Скерневице (Лодзинское воеводство) упал аэроплан противника, подбитый зенитным огнем (25135).</w:t>
      </w:r>
    </w:p>
    <w:p w14:paraId="4027718D" w14:textId="77777777" w:rsidR="00417CD1" w:rsidRPr="00405303" w:rsidRDefault="00417CD1" w:rsidP="00417CD1">
      <w:pPr>
        <w:jc w:val="both"/>
        <w:rPr>
          <w:rStyle w:val="aa"/>
          <w:rFonts w:ascii="Times New Roman" w:hAnsi="Times New Roman"/>
          <w:color w:val="0070C0"/>
          <w:spacing w:val="0"/>
          <w:sz w:val="16"/>
          <w:szCs w:val="16"/>
        </w:rPr>
      </w:pPr>
    </w:p>
    <w:p w14:paraId="5E2BC88A" w14:textId="77777777" w:rsidR="00417CD1" w:rsidRPr="00405303" w:rsidRDefault="00417CD1" w:rsidP="00417CD1">
      <w:pPr>
        <w:jc w:val="both"/>
        <w:rPr>
          <w:color w:val="0070C0"/>
          <w:sz w:val="16"/>
          <w:szCs w:val="16"/>
        </w:rPr>
      </w:pPr>
      <w:r w:rsidRPr="00405303">
        <w:rPr>
          <w:rStyle w:val="aa"/>
          <w:rFonts w:ascii="Times New Roman" w:hAnsi="Times New Roman"/>
          <w:color w:val="0070C0"/>
          <w:spacing w:val="0"/>
          <w:sz w:val="16"/>
          <w:szCs w:val="16"/>
        </w:rPr>
        <w:t>25 апреля (8 мая) 1915 г. первая в русской армии автомобильная противосамолетная батарея (капитан В.В. Тарновский), созданная с целью усиления зенитной группировки в полосе СЗФ по распоряжению Ставки ВГК, прибыла в д. Яблонна, развернула боевой порядок и приступила к выполнению поставленной задачи. Ее выполнение осуществлялось почти три месяца, прерываемое отдельными выходами на другие позиции для пресечения действий германской авиации по группировкам войск 1-й армии. Ранее задействованные для организации воздушной обороны аэродрома Управления Эскадры другие зенитные подразделения были возвращены к местам своей постоянной дислокации.</w:t>
      </w:r>
    </w:p>
    <w:p w14:paraId="50B93FB5" w14:textId="77777777" w:rsidR="00417CD1" w:rsidRPr="00405303" w:rsidRDefault="00417CD1" w:rsidP="00417CD1">
      <w:pPr>
        <w:jc w:val="both"/>
        <w:rPr>
          <w:color w:val="0070C0"/>
          <w:sz w:val="16"/>
          <w:szCs w:val="16"/>
        </w:rPr>
      </w:pPr>
      <w:r w:rsidRPr="00405303">
        <w:rPr>
          <w:rStyle w:val="aa"/>
          <w:rFonts w:ascii="Times New Roman" w:hAnsi="Times New Roman"/>
          <w:color w:val="0070C0"/>
          <w:spacing w:val="0"/>
          <w:sz w:val="16"/>
          <w:szCs w:val="16"/>
        </w:rPr>
        <w:t>Несмотря на принятые русским командованием меры, противник продолжал периодически беспокоить прифронтовую зону наших войск. Воздушным налетам подверглись г. Плонск, Гродно и другие населенные пункты с человеческими жертвами среди местного населения. В середине мая германская авиация неоднократно бомбила г. Белосток (25135).</w:t>
      </w:r>
    </w:p>
    <w:p w14:paraId="6DCDD9F8" w14:textId="77777777" w:rsidR="00417CD1" w:rsidRPr="00405303" w:rsidRDefault="00417CD1" w:rsidP="00417CD1">
      <w:pPr>
        <w:jc w:val="both"/>
        <w:rPr>
          <w:color w:val="0070C0"/>
          <w:sz w:val="16"/>
          <w:szCs w:val="16"/>
        </w:rPr>
      </w:pPr>
    </w:p>
    <w:p w14:paraId="7D0472E0"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2EB7E999" w14:textId="77777777" w:rsidR="004B4E35" w:rsidRPr="00405303" w:rsidRDefault="004B4E35" w:rsidP="00C15251">
      <w:pPr>
        <w:jc w:val="both"/>
        <w:rPr>
          <w:bCs/>
          <w:i/>
          <w:color w:val="002060"/>
          <w:sz w:val="16"/>
          <w:szCs w:val="16"/>
        </w:rPr>
      </w:pPr>
    </w:p>
    <w:p w14:paraId="60894D8D" w14:textId="4E8DC825" w:rsidR="004B4E35" w:rsidRPr="00405303" w:rsidRDefault="00584E28" w:rsidP="00C15251">
      <w:pPr>
        <w:shd w:val="clear" w:color="auto" w:fill="FFFFFF"/>
        <w:jc w:val="both"/>
        <w:rPr>
          <w:bCs/>
          <w:color w:val="002060"/>
          <w:sz w:val="16"/>
          <w:szCs w:val="16"/>
        </w:rPr>
      </w:pPr>
      <w:r w:rsidRPr="00405303">
        <w:rPr>
          <w:bCs/>
          <w:color w:val="002060"/>
          <w:sz w:val="16"/>
          <w:szCs w:val="16"/>
        </w:rPr>
        <w:t>С</w:t>
      </w:r>
      <w:r w:rsidR="009E6F82" w:rsidRPr="00405303">
        <w:rPr>
          <w:bCs/>
          <w:color w:val="002060"/>
          <w:sz w:val="16"/>
          <w:szCs w:val="16"/>
        </w:rPr>
        <w:t xml:space="preserve"> 25 апреля (</w:t>
      </w:r>
      <w:r w:rsidR="00BF185F" w:rsidRPr="00405303">
        <w:rPr>
          <w:bCs/>
          <w:color w:val="002060"/>
          <w:sz w:val="16"/>
          <w:szCs w:val="16"/>
        </w:rPr>
        <w:t>8</w:t>
      </w:r>
      <w:r w:rsidR="009E6F82" w:rsidRPr="00405303">
        <w:rPr>
          <w:bCs/>
          <w:color w:val="002060"/>
          <w:sz w:val="16"/>
          <w:szCs w:val="16"/>
        </w:rPr>
        <w:t xml:space="preserve"> мая) </w:t>
      </w:r>
      <w:r w:rsidRPr="00405303">
        <w:rPr>
          <w:bCs/>
          <w:color w:val="002060"/>
          <w:sz w:val="16"/>
          <w:szCs w:val="16"/>
        </w:rPr>
        <w:t>1</w:t>
      </w:r>
      <w:r w:rsidR="000F0D48" w:rsidRPr="00405303">
        <w:rPr>
          <w:bCs/>
          <w:color w:val="002060"/>
          <w:sz w:val="16"/>
          <w:szCs w:val="16"/>
        </w:rPr>
        <w:t>9</w:t>
      </w:r>
      <w:r w:rsidRPr="00405303">
        <w:rPr>
          <w:bCs/>
          <w:color w:val="002060"/>
          <w:sz w:val="16"/>
          <w:szCs w:val="16"/>
        </w:rPr>
        <w:t>15 г. э</w:t>
      </w:r>
      <w:r w:rsidR="009E6F82" w:rsidRPr="00405303">
        <w:rPr>
          <w:bCs/>
          <w:color w:val="002060"/>
          <w:sz w:val="16"/>
          <w:szCs w:val="16"/>
        </w:rPr>
        <w:t>скадра регулярно совершала походы к Румелийскому и Анатолийскому побережьм про</w:t>
      </w:r>
      <w:r w:rsidR="009E6F82" w:rsidRPr="00405303">
        <w:rPr>
          <w:bCs/>
          <w:color w:val="002060"/>
          <w:sz w:val="16"/>
          <w:szCs w:val="16"/>
        </w:rPr>
        <w:softHyphen/>
        <w:t>тивника с целями обстрела его береговых укреплений и нару</w:t>
      </w:r>
      <w:r w:rsidR="009E6F82" w:rsidRPr="00405303">
        <w:rPr>
          <w:bCs/>
          <w:color w:val="002060"/>
          <w:sz w:val="16"/>
          <w:szCs w:val="16"/>
        </w:rPr>
        <w:softHyphen/>
        <w:t>шения морских коммуникаций.</w:t>
      </w:r>
    </w:p>
    <w:p w14:paraId="0E70F231" w14:textId="27ED7E1A" w:rsidR="004B4E35" w:rsidRPr="00405303" w:rsidRDefault="00BF185F" w:rsidP="00C15251">
      <w:pPr>
        <w:shd w:val="clear" w:color="auto" w:fill="FFFFFF"/>
        <w:jc w:val="both"/>
        <w:rPr>
          <w:bCs/>
          <w:color w:val="002060"/>
          <w:sz w:val="16"/>
          <w:szCs w:val="16"/>
        </w:rPr>
      </w:pPr>
      <w:r w:rsidRPr="00405303">
        <w:rPr>
          <w:bCs/>
          <w:color w:val="002060"/>
          <w:sz w:val="16"/>
          <w:szCs w:val="16"/>
        </w:rPr>
        <w:t>С 27 февраля (11 марта)</w:t>
      </w:r>
      <w:r w:rsidR="009E6F82" w:rsidRPr="00405303">
        <w:rPr>
          <w:bCs/>
          <w:color w:val="002060"/>
          <w:sz w:val="16"/>
          <w:szCs w:val="16"/>
        </w:rPr>
        <w:t xml:space="preserve"> впервые посыльное судно «Император Николай I» от</w:t>
      </w:r>
      <w:r w:rsidR="009E6F82" w:rsidRPr="00405303">
        <w:rPr>
          <w:bCs/>
          <w:color w:val="002060"/>
          <w:sz w:val="16"/>
          <w:szCs w:val="16"/>
        </w:rPr>
        <w:softHyphen/>
        <w:t>правило 4 летающие лодки «Кертисс-Д» в разведку района Инеболу перед началом обстрела береговых укреплений и пор</w:t>
      </w:r>
      <w:r w:rsidR="009E6F82" w:rsidRPr="00405303">
        <w:rPr>
          <w:bCs/>
          <w:color w:val="002060"/>
          <w:sz w:val="16"/>
          <w:szCs w:val="16"/>
        </w:rPr>
        <w:softHyphen/>
        <w:t>товых сооружений крупнокалиберной артиллерией линкоров. В ходе разведки воздушные аппараты дважды попадали под пушечный и ружейный огонь противника, но сбросили свой бомбовый груз на турецкие береговые батареи (11283).</w:t>
      </w:r>
    </w:p>
    <w:p w14:paraId="1E07FEB8" w14:textId="77777777" w:rsidR="004B4E35" w:rsidRPr="00405303" w:rsidRDefault="004B4E35" w:rsidP="00C15251">
      <w:pPr>
        <w:shd w:val="clear" w:color="auto" w:fill="FFFFFF"/>
        <w:jc w:val="both"/>
        <w:rPr>
          <w:bCs/>
          <w:color w:val="002060"/>
          <w:sz w:val="16"/>
          <w:szCs w:val="16"/>
        </w:rPr>
      </w:pPr>
    </w:p>
    <w:p w14:paraId="33C3A62C" w14:textId="34776506" w:rsidR="00977D3E" w:rsidRPr="00405303" w:rsidRDefault="00977D3E" w:rsidP="00C15251">
      <w:pPr>
        <w:pStyle w:val="a5"/>
        <w:rPr>
          <w:bCs/>
          <w:color w:val="002060"/>
          <w:sz w:val="16"/>
          <w:szCs w:val="16"/>
          <w:lang w:val="ru-RU"/>
        </w:rPr>
      </w:pPr>
      <w:r w:rsidRPr="00405303">
        <w:rPr>
          <w:bCs/>
          <w:color w:val="002060"/>
          <w:sz w:val="16"/>
          <w:szCs w:val="16"/>
          <w:lang w:val="ru-RU"/>
        </w:rPr>
        <w:t>25 апреля (</w:t>
      </w:r>
      <w:r w:rsidR="00BF185F" w:rsidRPr="00405303">
        <w:rPr>
          <w:bCs/>
          <w:color w:val="002060"/>
          <w:sz w:val="16"/>
          <w:szCs w:val="16"/>
          <w:lang w:val="ru-RU"/>
        </w:rPr>
        <w:t>8</w:t>
      </w:r>
      <w:r w:rsidRPr="00405303">
        <w:rPr>
          <w:bCs/>
          <w:color w:val="002060"/>
          <w:sz w:val="16"/>
          <w:szCs w:val="16"/>
          <w:lang w:val="ru-RU"/>
        </w:rPr>
        <w:t xml:space="preserve"> мая) 1915 г.</w:t>
      </w:r>
      <w:r w:rsidR="00584E28" w:rsidRPr="00405303">
        <w:rPr>
          <w:bCs/>
          <w:color w:val="002060"/>
          <w:sz w:val="16"/>
          <w:szCs w:val="16"/>
          <w:lang w:val="ru-RU"/>
        </w:rPr>
        <w:t xml:space="preserve"> началось</w:t>
      </w:r>
      <w:r w:rsidRPr="00405303">
        <w:rPr>
          <w:bCs/>
          <w:color w:val="002060"/>
          <w:sz w:val="16"/>
          <w:szCs w:val="16"/>
          <w:lang w:val="ru-RU"/>
        </w:rPr>
        <w:t xml:space="preserve"> </w:t>
      </w:r>
      <w:proofErr w:type="gramStart"/>
      <w:r w:rsidR="00584E28" w:rsidRPr="00405303">
        <w:rPr>
          <w:bCs/>
          <w:color w:val="002060"/>
          <w:sz w:val="16"/>
          <w:szCs w:val="16"/>
          <w:lang w:val="ru-RU"/>
        </w:rPr>
        <w:t>боевое приме</w:t>
      </w:r>
      <w:r w:rsidR="00584E28" w:rsidRPr="00405303">
        <w:rPr>
          <w:bCs/>
          <w:color w:val="002060"/>
          <w:sz w:val="16"/>
          <w:szCs w:val="16"/>
          <w:lang w:val="ru-RU"/>
        </w:rPr>
        <w:softHyphen/>
        <w:t>нение</w:t>
      </w:r>
      <w:proofErr w:type="gramEnd"/>
      <w:r w:rsidR="00584E28" w:rsidRPr="00405303">
        <w:rPr>
          <w:bCs/>
          <w:color w:val="002060"/>
          <w:sz w:val="16"/>
          <w:szCs w:val="16"/>
          <w:lang w:val="ru-RU"/>
        </w:rPr>
        <w:t xml:space="preserve"> включаемого в состав эскад</w:t>
      </w:r>
      <w:r w:rsidR="00584E28" w:rsidRPr="00405303">
        <w:rPr>
          <w:bCs/>
          <w:color w:val="002060"/>
          <w:sz w:val="16"/>
          <w:szCs w:val="16"/>
          <w:lang w:val="ru-RU"/>
        </w:rPr>
        <w:softHyphen/>
        <w:t xml:space="preserve">ры авиатранспорта </w:t>
      </w:r>
      <w:r w:rsidR="00BF185F" w:rsidRPr="00405303">
        <w:rPr>
          <w:bCs/>
          <w:color w:val="002060"/>
          <w:sz w:val="16"/>
          <w:szCs w:val="16"/>
          <w:lang w:val="ru-RU"/>
        </w:rPr>
        <w:t xml:space="preserve">«Император Александр </w:t>
      </w:r>
      <w:r w:rsidR="00BF185F" w:rsidRPr="00405303">
        <w:rPr>
          <w:bCs/>
          <w:color w:val="002060"/>
          <w:sz w:val="16"/>
          <w:szCs w:val="16"/>
        </w:rPr>
        <w:t>III</w:t>
      </w:r>
      <w:r w:rsidR="00BF185F" w:rsidRPr="00405303">
        <w:rPr>
          <w:bCs/>
          <w:color w:val="002060"/>
          <w:sz w:val="16"/>
          <w:szCs w:val="16"/>
          <w:lang w:val="ru-RU"/>
        </w:rPr>
        <w:t>», зачисленного в класс посыльных судов 2-го ранга, для базирования гидросамолётов</w:t>
      </w:r>
      <w:r w:rsidR="00584E28" w:rsidRPr="00405303">
        <w:rPr>
          <w:bCs/>
          <w:color w:val="002060"/>
          <w:sz w:val="16"/>
          <w:szCs w:val="16"/>
          <w:lang w:val="ru-RU"/>
        </w:rPr>
        <w:t xml:space="preserve"> </w:t>
      </w:r>
      <w:r w:rsidRPr="00405303">
        <w:rPr>
          <w:bCs/>
          <w:color w:val="002060"/>
          <w:sz w:val="16"/>
          <w:szCs w:val="16"/>
          <w:lang w:val="ru-RU"/>
        </w:rPr>
        <w:t>(11925).</w:t>
      </w:r>
    </w:p>
    <w:p w14:paraId="73CAAAD7" w14:textId="77777777" w:rsidR="00977D3E" w:rsidRPr="00405303" w:rsidRDefault="00977D3E" w:rsidP="00C15251">
      <w:pPr>
        <w:pStyle w:val="a5"/>
        <w:rPr>
          <w:bCs/>
          <w:color w:val="002060"/>
          <w:sz w:val="16"/>
          <w:szCs w:val="16"/>
          <w:lang w:val="ru-RU"/>
        </w:rPr>
      </w:pPr>
    </w:p>
    <w:p w14:paraId="4017F1F2" w14:textId="77777777" w:rsidR="00A514CC" w:rsidRPr="00405303" w:rsidRDefault="00A514CC" w:rsidP="00C15251">
      <w:pPr>
        <w:jc w:val="both"/>
        <w:rPr>
          <w:bCs/>
          <w:i/>
          <w:color w:val="002060"/>
          <w:sz w:val="16"/>
          <w:szCs w:val="16"/>
        </w:rPr>
      </w:pPr>
      <w:r w:rsidRPr="00405303">
        <w:rPr>
          <w:bCs/>
          <w:i/>
          <w:color w:val="002060"/>
          <w:sz w:val="16"/>
          <w:szCs w:val="16"/>
        </w:rPr>
        <w:t>Другие оборонные отрасли:</w:t>
      </w:r>
    </w:p>
    <w:p w14:paraId="71A9B757" w14:textId="77777777" w:rsidR="00A514CC" w:rsidRPr="00405303" w:rsidRDefault="00A514CC" w:rsidP="00C15251">
      <w:pPr>
        <w:jc w:val="both"/>
        <w:rPr>
          <w:bCs/>
          <w:i/>
          <w:color w:val="002060"/>
          <w:sz w:val="16"/>
          <w:szCs w:val="16"/>
        </w:rPr>
      </w:pPr>
    </w:p>
    <w:p w14:paraId="16EB6A10" w14:textId="6659CA7E" w:rsidR="00A514CC" w:rsidRPr="00405303" w:rsidRDefault="00A514CC" w:rsidP="00C15251">
      <w:pPr>
        <w:pStyle w:val="ae"/>
        <w:spacing w:before="0" w:beforeAutospacing="0" w:after="0" w:afterAutospacing="0"/>
        <w:jc w:val="both"/>
        <w:rPr>
          <w:bCs/>
          <w:color w:val="002060"/>
          <w:sz w:val="16"/>
          <w:szCs w:val="16"/>
        </w:rPr>
      </w:pPr>
      <w:r w:rsidRPr="00405303">
        <w:rPr>
          <w:bCs/>
          <w:color w:val="002060"/>
          <w:sz w:val="16"/>
          <w:szCs w:val="16"/>
        </w:rPr>
        <w:t xml:space="preserve">26 апреля </w:t>
      </w:r>
      <w:r w:rsidR="00BF185F" w:rsidRPr="00405303">
        <w:rPr>
          <w:bCs/>
          <w:color w:val="002060"/>
          <w:sz w:val="16"/>
          <w:szCs w:val="16"/>
        </w:rPr>
        <w:t xml:space="preserve">(9 мая) </w:t>
      </w:r>
      <w:r w:rsidRPr="00405303">
        <w:rPr>
          <w:bCs/>
          <w:color w:val="002060"/>
          <w:sz w:val="16"/>
          <w:szCs w:val="16"/>
        </w:rPr>
        <w:t>1915 вел. кн. Николай Николаевич сообщил в Петроград что армия не чувствует улучшения в снабжении снарядами, и указал на недопустимость подобного положения. Вот текст его телеграммы</w:t>
      </w:r>
      <w:hyperlink r:id="rId31" w:anchor="105p" w:history="1">
        <w:r w:rsidRPr="00405303">
          <w:rPr>
            <w:rStyle w:val="ad"/>
            <w:bCs/>
            <w:color w:val="002060"/>
            <w:sz w:val="16"/>
            <w:szCs w:val="16"/>
            <w:vertAlign w:val="superscript"/>
          </w:rPr>
          <w:t>105</w:t>
        </w:r>
      </w:hyperlink>
      <w:r w:rsidRPr="00405303">
        <w:rPr>
          <w:bCs/>
          <w:color w:val="002060"/>
          <w:sz w:val="16"/>
          <w:szCs w:val="16"/>
        </w:rPr>
        <w:t>. «Не вижу никакого улучшения в снабжении нас патронами артиллерийскими. Подобное положение недопустимо. Обстановка требует проявления сверхэнергии, и непроявление ее ляжет на ответственность Главного артиллерийского управления. Прошу Ваше императорское высочество принять все меры и оказать все свое личное влияние. Вся Ваша работа по блестящей подготовке нашей артиллерии при таких условиях не может принести той пользы, на которую Вы вправе были рассчитывать. Генерал-адъютант Николай». В тот же день, 26 апреля, в Ставку был послан следующий ответ: «Сегодня мной была собрана Особая распорядительная комиссия по артиллерийской части для обсуждения вопроса, какие можно принять еще меры к увеличению выходов с заводов сверх уже ранее принятых. Каждый из членов комиссии имеет непосредственное наблюдение над несколькими заводами. По выслушании доклада каждого члена комиссии о ходе работ на подведомственных им заводах выяснилось, что все заводы работают своей максимальной производительностью в соответствии с их оборудованием. Увеличение производительности зависит только от ожидаемых прибытий станков. В частности, Петроградский трубочный завод работает сверх возможности. При теперешней работе он не обеспечен ни от пожара, ни от взрыва. Он работает на пределе риска непоправимого несчастья. Приблизительно в таком же положении все пороховые, взрывчатые и патронные заводы»</w:t>
      </w:r>
      <w:hyperlink r:id="rId32" w:anchor="106p" w:history="1">
        <w:r w:rsidRPr="00405303">
          <w:rPr>
            <w:rStyle w:val="ad"/>
            <w:bCs/>
            <w:color w:val="002060"/>
            <w:sz w:val="16"/>
            <w:szCs w:val="16"/>
            <w:vertAlign w:val="superscript"/>
          </w:rPr>
          <w:t>106</w:t>
        </w:r>
      </w:hyperlink>
      <w:r w:rsidRPr="00405303">
        <w:rPr>
          <w:bCs/>
          <w:color w:val="002060"/>
          <w:sz w:val="16"/>
          <w:szCs w:val="16"/>
        </w:rPr>
        <w:t>.</w:t>
      </w:r>
    </w:p>
    <w:p w14:paraId="60509930" w14:textId="77777777" w:rsidR="00A514CC" w:rsidRPr="00405303" w:rsidRDefault="00A514CC" w:rsidP="00C15251">
      <w:pPr>
        <w:pStyle w:val="ae"/>
        <w:spacing w:before="0" w:beforeAutospacing="0" w:after="0" w:afterAutospacing="0"/>
        <w:jc w:val="both"/>
        <w:rPr>
          <w:bCs/>
          <w:color w:val="002060"/>
          <w:sz w:val="16"/>
          <w:szCs w:val="16"/>
        </w:rPr>
      </w:pPr>
      <w:r w:rsidRPr="00405303">
        <w:rPr>
          <w:bCs/>
          <w:color w:val="002060"/>
          <w:sz w:val="16"/>
          <w:szCs w:val="16"/>
        </w:rPr>
        <w:t>Вместо оружия и патронов вел. кн. Сергей Михайлович мог послать лишь телеграмму, в которой подробно рассказано о принятых мерах. Смысл этой телеграммы сводился к тому, что надежд на скорое улучшение дела снабжения снарядами никаких нет (18524).</w:t>
      </w:r>
    </w:p>
    <w:p w14:paraId="0F11BB2E" w14:textId="77777777" w:rsidR="00A514CC" w:rsidRPr="00405303" w:rsidRDefault="00A514CC" w:rsidP="00C15251">
      <w:pPr>
        <w:pStyle w:val="ae"/>
        <w:spacing w:before="0" w:beforeAutospacing="0" w:after="0" w:afterAutospacing="0"/>
        <w:jc w:val="both"/>
        <w:rPr>
          <w:bCs/>
          <w:color w:val="002060"/>
          <w:sz w:val="16"/>
          <w:szCs w:val="16"/>
        </w:rPr>
      </w:pPr>
    </w:p>
    <w:p w14:paraId="3646870A" w14:textId="1B827CAF" w:rsidR="00A514CC" w:rsidRPr="00405303" w:rsidRDefault="008A7A1C" w:rsidP="00C15251">
      <w:pPr>
        <w:jc w:val="both"/>
        <w:rPr>
          <w:bCs/>
          <w:i/>
          <w:color w:val="002060"/>
          <w:sz w:val="16"/>
          <w:szCs w:val="16"/>
        </w:rPr>
      </w:pPr>
      <w:r w:rsidRPr="00405303">
        <w:rPr>
          <w:bCs/>
          <w:i/>
          <w:color w:val="002060"/>
          <w:sz w:val="16"/>
          <w:szCs w:val="16"/>
        </w:rPr>
        <w:t>Воздухоплавание</w:t>
      </w:r>
      <w:r w:rsidR="00A514CC" w:rsidRPr="00405303">
        <w:rPr>
          <w:bCs/>
          <w:i/>
          <w:color w:val="002060"/>
          <w:sz w:val="16"/>
          <w:szCs w:val="16"/>
        </w:rPr>
        <w:t>:</w:t>
      </w:r>
    </w:p>
    <w:p w14:paraId="4AB74E5E" w14:textId="77777777" w:rsidR="00A514CC" w:rsidRPr="00405303" w:rsidRDefault="00A514CC" w:rsidP="00C15251">
      <w:pPr>
        <w:jc w:val="both"/>
        <w:rPr>
          <w:bCs/>
          <w:i/>
          <w:color w:val="002060"/>
          <w:sz w:val="16"/>
          <w:szCs w:val="16"/>
        </w:rPr>
      </w:pPr>
    </w:p>
    <w:p w14:paraId="79A5E0DB" w14:textId="77777777" w:rsidR="008A7A1C" w:rsidRPr="00405303" w:rsidRDefault="008A7A1C" w:rsidP="00C15251">
      <w:pPr>
        <w:jc w:val="both"/>
        <w:rPr>
          <w:bCs/>
          <w:color w:val="002060"/>
          <w:sz w:val="16"/>
          <w:szCs w:val="16"/>
        </w:rPr>
      </w:pPr>
      <w:r w:rsidRPr="00405303">
        <w:rPr>
          <w:rStyle w:val="42"/>
          <w:rFonts w:ascii="Times New Roman" w:hAnsi="Times New Roman" w:cs="Times New Roman"/>
          <w:bCs/>
          <w:color w:val="002060"/>
          <w:w w:val="100"/>
          <w:sz w:val="16"/>
          <w:szCs w:val="16"/>
        </w:rPr>
        <w:t>26 апреля (9 мая) 1915 перелёт удался. Вылетев из Лиды в 2.00 и пройдя Волковыск, «Астра» в 6.10, несмо</w:t>
      </w:r>
      <w:r w:rsidRPr="00405303">
        <w:rPr>
          <w:rStyle w:val="42"/>
          <w:rFonts w:ascii="Times New Roman" w:hAnsi="Times New Roman" w:cs="Times New Roman"/>
          <w:bCs/>
          <w:color w:val="002060"/>
          <w:w w:val="100"/>
          <w:sz w:val="16"/>
          <w:szCs w:val="16"/>
        </w:rPr>
        <w:softHyphen/>
        <w:t>тря на сильный туман, опустилась в Белостоке, пройдя за 4 ч 10 мин 200 км (20120).</w:t>
      </w:r>
    </w:p>
    <w:p w14:paraId="6BB027F1" w14:textId="77777777" w:rsidR="008A7A1C" w:rsidRPr="00405303" w:rsidRDefault="008A7A1C" w:rsidP="00C15251">
      <w:pPr>
        <w:jc w:val="both"/>
        <w:rPr>
          <w:bCs/>
          <w:color w:val="002060"/>
          <w:sz w:val="16"/>
          <w:szCs w:val="16"/>
        </w:rPr>
      </w:pPr>
    </w:p>
    <w:p w14:paraId="4653B011" w14:textId="77777777" w:rsidR="008A7A1C" w:rsidRPr="00405303" w:rsidRDefault="008A7A1C" w:rsidP="00C15251">
      <w:pPr>
        <w:jc w:val="both"/>
        <w:rPr>
          <w:bCs/>
          <w:i/>
          <w:color w:val="002060"/>
          <w:sz w:val="16"/>
          <w:szCs w:val="16"/>
        </w:rPr>
      </w:pPr>
      <w:r w:rsidRPr="00405303">
        <w:rPr>
          <w:bCs/>
          <w:i/>
          <w:color w:val="002060"/>
          <w:sz w:val="16"/>
          <w:szCs w:val="16"/>
        </w:rPr>
        <w:t>Армия:</w:t>
      </w:r>
    </w:p>
    <w:p w14:paraId="06C567C7" w14:textId="77777777" w:rsidR="008A7A1C" w:rsidRPr="00405303" w:rsidRDefault="008A7A1C" w:rsidP="00C15251">
      <w:pPr>
        <w:jc w:val="both"/>
        <w:rPr>
          <w:bCs/>
          <w:color w:val="002060"/>
          <w:sz w:val="16"/>
          <w:szCs w:val="16"/>
        </w:rPr>
      </w:pPr>
    </w:p>
    <w:p w14:paraId="75464DC7" w14:textId="1FDCFFAA" w:rsidR="00A514CC" w:rsidRPr="00405303" w:rsidRDefault="00A514CC" w:rsidP="00C15251">
      <w:pPr>
        <w:jc w:val="both"/>
        <w:rPr>
          <w:bCs/>
          <w:color w:val="002060"/>
          <w:sz w:val="16"/>
          <w:szCs w:val="16"/>
        </w:rPr>
      </w:pPr>
      <w:r w:rsidRPr="00405303">
        <w:rPr>
          <w:bCs/>
          <w:color w:val="002060"/>
          <w:sz w:val="16"/>
          <w:szCs w:val="16"/>
        </w:rPr>
        <w:t xml:space="preserve">26 апреля </w:t>
      </w:r>
      <w:r w:rsidR="00BF185F" w:rsidRPr="00405303">
        <w:rPr>
          <w:bCs/>
          <w:color w:val="002060"/>
          <w:sz w:val="16"/>
          <w:szCs w:val="16"/>
        </w:rPr>
        <w:t xml:space="preserve">(9 мая) </w:t>
      </w:r>
      <w:r w:rsidRPr="00405303">
        <w:rPr>
          <w:bCs/>
          <w:color w:val="002060"/>
          <w:sz w:val="16"/>
          <w:szCs w:val="16"/>
        </w:rPr>
        <w:t>в 1915 году на Восточном фронте в ходе наступления германские войска вторгаются в Курляндию (Латвия) и 27 апреля захватят Литву (15111).</w:t>
      </w:r>
    </w:p>
    <w:p w14:paraId="2522BF22" w14:textId="77777777" w:rsidR="00A514CC" w:rsidRPr="00405303" w:rsidRDefault="00A514CC" w:rsidP="00C15251">
      <w:pPr>
        <w:jc w:val="both"/>
        <w:rPr>
          <w:bCs/>
          <w:color w:val="002060"/>
          <w:sz w:val="16"/>
          <w:szCs w:val="16"/>
        </w:rPr>
      </w:pPr>
    </w:p>
    <w:p w14:paraId="5317FAAA" w14:textId="2272417E" w:rsidR="00270464" w:rsidRPr="00405303" w:rsidRDefault="00270464" w:rsidP="00C15251">
      <w:pPr>
        <w:jc w:val="both"/>
        <w:rPr>
          <w:bCs/>
          <w:i/>
          <w:color w:val="002060"/>
          <w:sz w:val="16"/>
          <w:szCs w:val="16"/>
        </w:rPr>
      </w:pPr>
      <w:r w:rsidRPr="00405303">
        <w:rPr>
          <w:bCs/>
          <w:i/>
          <w:color w:val="002060"/>
          <w:sz w:val="16"/>
          <w:szCs w:val="16"/>
        </w:rPr>
        <w:t>Авиация:</w:t>
      </w:r>
    </w:p>
    <w:p w14:paraId="20F222CE" w14:textId="77777777" w:rsidR="00270464" w:rsidRPr="00405303" w:rsidRDefault="00270464" w:rsidP="00C15251">
      <w:pPr>
        <w:jc w:val="both"/>
        <w:rPr>
          <w:bCs/>
          <w:i/>
          <w:color w:val="002060"/>
          <w:sz w:val="16"/>
          <w:szCs w:val="16"/>
        </w:rPr>
      </w:pPr>
    </w:p>
    <w:p w14:paraId="042E0BA3" w14:textId="3B59C6D8" w:rsidR="00270464" w:rsidRPr="00405303" w:rsidRDefault="00270464" w:rsidP="00C15251">
      <w:pPr>
        <w:jc w:val="both"/>
        <w:rPr>
          <w:bCs/>
          <w:color w:val="002060"/>
          <w:sz w:val="16"/>
          <w:szCs w:val="16"/>
        </w:rPr>
      </w:pPr>
      <w:r w:rsidRPr="00405303">
        <w:rPr>
          <w:bCs/>
          <w:color w:val="002060"/>
          <w:sz w:val="16"/>
          <w:szCs w:val="16"/>
        </w:rPr>
        <w:t>26 апреля (9 мая) 1915 г. целью налета стал аэродром немецкой авиации в Санниках. Бомбардировку проводил воздушный корабль «Илья Муромец-Ш» (штабс-капитан С.М. Бродович). В результате бомбардировки были повреждены вражеские ангары и открыто стоявшие на летном поле самолеты.</w:t>
      </w:r>
    </w:p>
    <w:p w14:paraId="758114AC" w14:textId="77777777" w:rsidR="00270464" w:rsidRPr="00405303" w:rsidRDefault="00270464" w:rsidP="00C15251">
      <w:pPr>
        <w:jc w:val="both"/>
        <w:rPr>
          <w:bCs/>
          <w:color w:val="002060"/>
          <w:sz w:val="16"/>
          <w:szCs w:val="16"/>
        </w:rPr>
      </w:pPr>
      <w:r w:rsidRPr="00405303">
        <w:rPr>
          <w:bCs/>
          <w:color w:val="002060"/>
          <w:sz w:val="16"/>
          <w:szCs w:val="16"/>
        </w:rPr>
        <w:t>В тот же день огнем русской артиллерии был подбит австрийский аэроплан, упавший в расположении наших войск у н/п Риманова (Риманува). Летчики (2 офицера, в их числе известный пилот - капитан Риттер Башке) оказались в плену.</w:t>
      </w:r>
    </w:p>
    <w:p w14:paraId="74030DFB" w14:textId="77777777" w:rsidR="00270464" w:rsidRPr="00405303" w:rsidRDefault="00270464" w:rsidP="00C15251">
      <w:pPr>
        <w:jc w:val="both"/>
        <w:rPr>
          <w:bCs/>
          <w:color w:val="002060"/>
          <w:sz w:val="16"/>
          <w:szCs w:val="16"/>
        </w:rPr>
      </w:pPr>
      <w:r w:rsidRPr="00405303">
        <w:rPr>
          <w:bCs/>
          <w:color w:val="002060"/>
          <w:sz w:val="16"/>
          <w:szCs w:val="16"/>
        </w:rPr>
        <w:lastRenderedPageBreak/>
        <w:t>При этом авиация противоборствующих сторон продолжала обмениваться ударами. В ответ на наши воздушные бомбардировки района Раранчи, где был взорван неприятельский артиллерийский склад, противник 3-4 мая провел групповой налет (4 самолета) на русские объекты возле станции Сташев, не причинив при этом им особого вред. Одновременно бомбовый удар был нанесен по г. Плонск. Одной из бомб, упавшей вблизи костела, было убито 8 человек, ранено более 30 (23405).</w:t>
      </w:r>
    </w:p>
    <w:p w14:paraId="343C4DFF" w14:textId="77777777" w:rsidR="00270464" w:rsidRPr="00405303" w:rsidRDefault="00270464" w:rsidP="00C15251">
      <w:pPr>
        <w:jc w:val="both"/>
        <w:rPr>
          <w:bCs/>
          <w:color w:val="002060"/>
          <w:sz w:val="16"/>
          <w:szCs w:val="16"/>
        </w:rPr>
      </w:pPr>
    </w:p>
    <w:p w14:paraId="410B4E4C" w14:textId="59F82D63"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69C7965E" w14:textId="77777777" w:rsidR="004B4E35" w:rsidRPr="00405303" w:rsidRDefault="004B4E35" w:rsidP="00C15251">
      <w:pPr>
        <w:jc w:val="both"/>
        <w:rPr>
          <w:bCs/>
          <w:i/>
          <w:color w:val="002060"/>
          <w:sz w:val="16"/>
          <w:szCs w:val="16"/>
        </w:rPr>
      </w:pPr>
    </w:p>
    <w:p w14:paraId="28E08F68" w14:textId="77777777" w:rsidR="004B4E35" w:rsidRPr="00405303" w:rsidRDefault="009E6F82" w:rsidP="00C15251">
      <w:pPr>
        <w:jc w:val="both"/>
        <w:rPr>
          <w:bCs/>
          <w:color w:val="002060"/>
          <w:sz w:val="16"/>
          <w:szCs w:val="16"/>
        </w:rPr>
      </w:pPr>
      <w:r w:rsidRPr="00405303">
        <w:rPr>
          <w:bCs/>
          <w:color w:val="002060"/>
          <w:sz w:val="16"/>
          <w:szCs w:val="16"/>
        </w:rPr>
        <w:t>26 апреля (9 мая) 1915 Линнарц повторил рейд, «высыпав» на Эссекс и Саутэнд весь боезапас. На обратном пути цеппелин пытались преследовать 11 самолетов, но в темноте не смогли его найти. Однако на этот раз отличились зенитчики. Снаряд угодил прямо в баллонет, но водород не взорвался. Вот и не верь чудесам! 16 мая счастливчик Линнарц двинул свой корабль на Рамсгейт в графстве Кент. Кружа над хорошо освещенным городом и сбрасывая бомбы, Линнарц с тоской посматривал в сторону Лондона, огни которого были хорошо видны на горизонте. Приказ предписывал ему действовать только по Рамсгейту. Внезапно дежурные наблюдатели заметили 2 самолета, и Линнарц, быстро освободившись от остатка смертоносного груза, взмыл на высоту, где стал недоступен для противника. Огонь зенитных батарей, которые засекли немца в лучах прожекторов, тоже остался внизу. Англичане пытались перехватить дерзкого Линнарца над побережьем Франции, но тому удалось скрыться (11324).</w:t>
      </w:r>
    </w:p>
    <w:p w14:paraId="49EA5AE7" w14:textId="77777777" w:rsidR="004B4E35" w:rsidRPr="00405303" w:rsidRDefault="004B4E35" w:rsidP="00C15251">
      <w:pPr>
        <w:jc w:val="both"/>
        <w:rPr>
          <w:bCs/>
          <w:i/>
          <w:color w:val="002060"/>
          <w:sz w:val="16"/>
          <w:szCs w:val="16"/>
        </w:rPr>
      </w:pPr>
    </w:p>
    <w:p w14:paraId="3EAE2CC1"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3AF7C3FA" w14:textId="77777777" w:rsidR="004B4E35" w:rsidRPr="00405303" w:rsidRDefault="004B4E35" w:rsidP="00C15251">
      <w:pPr>
        <w:jc w:val="both"/>
        <w:rPr>
          <w:bCs/>
          <w:i/>
          <w:color w:val="002060"/>
          <w:sz w:val="16"/>
          <w:szCs w:val="16"/>
        </w:rPr>
      </w:pPr>
    </w:p>
    <w:p w14:paraId="4E261BD2" w14:textId="4D7ABBEB"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27 апреля </w:t>
      </w:r>
      <w:r w:rsidR="00BF185F" w:rsidRPr="00405303">
        <w:rPr>
          <w:bCs/>
          <w:color w:val="002060"/>
          <w:sz w:val="16"/>
          <w:szCs w:val="16"/>
        </w:rPr>
        <w:t xml:space="preserve">(10 мая) </w:t>
      </w:r>
      <w:r w:rsidRPr="00405303">
        <w:rPr>
          <w:bCs/>
          <w:color w:val="002060"/>
          <w:sz w:val="16"/>
          <w:szCs w:val="16"/>
        </w:rPr>
        <w:t xml:space="preserve">1915 г. </w:t>
      </w:r>
      <w:r w:rsidR="00BF185F" w:rsidRPr="00405303">
        <w:rPr>
          <w:bCs/>
          <w:color w:val="002060"/>
          <w:sz w:val="16"/>
          <w:szCs w:val="16"/>
        </w:rPr>
        <w:t>на заседании Технического ко</w:t>
      </w:r>
      <w:r w:rsidR="00BF185F" w:rsidRPr="00405303">
        <w:rPr>
          <w:bCs/>
          <w:color w:val="002060"/>
          <w:sz w:val="16"/>
          <w:szCs w:val="16"/>
        </w:rPr>
        <w:softHyphen/>
        <w:t xml:space="preserve">митета </w:t>
      </w:r>
      <w:r w:rsidRPr="00405303">
        <w:rPr>
          <w:bCs/>
          <w:color w:val="002060"/>
          <w:sz w:val="16"/>
          <w:szCs w:val="16"/>
        </w:rPr>
        <w:t>специалисты признали, что баллистических тео</w:t>
      </w:r>
      <w:r w:rsidRPr="00405303">
        <w:rPr>
          <w:bCs/>
          <w:color w:val="002060"/>
          <w:sz w:val="16"/>
          <w:szCs w:val="16"/>
        </w:rPr>
        <w:softHyphen/>
        <w:t>рий бомбометания не существует. Технический комитет ГВТУ постановил выделить ассигнования для решения этой проблемы. Ответствен</w:t>
      </w:r>
      <w:r w:rsidRPr="00405303">
        <w:rPr>
          <w:bCs/>
          <w:color w:val="002060"/>
          <w:sz w:val="16"/>
          <w:szCs w:val="16"/>
        </w:rPr>
        <w:softHyphen/>
        <w:t>ным был назначен ГА. Ботезат. Проблема бомбометания с самолетов давно занимала Ботезата. Он самостоятельно и с военными специалистами разработал несколько кон</w:t>
      </w:r>
      <w:r w:rsidRPr="00405303">
        <w:rPr>
          <w:bCs/>
          <w:color w:val="002060"/>
          <w:sz w:val="16"/>
          <w:szCs w:val="16"/>
        </w:rPr>
        <w:softHyphen/>
        <w:t>струкций бомбардировочного оружия (11425).</w:t>
      </w:r>
    </w:p>
    <w:p w14:paraId="27062480" w14:textId="77777777" w:rsidR="004B4E35" w:rsidRPr="00405303" w:rsidRDefault="004B4E35" w:rsidP="00C15251">
      <w:pPr>
        <w:jc w:val="both"/>
        <w:rPr>
          <w:bCs/>
          <w:color w:val="002060"/>
          <w:sz w:val="16"/>
          <w:szCs w:val="16"/>
        </w:rPr>
      </w:pPr>
    </w:p>
    <w:p w14:paraId="31B31AD7" w14:textId="5E74706D" w:rsidR="00056D37" w:rsidRPr="00405303" w:rsidRDefault="00056D37" w:rsidP="00C15251">
      <w:pPr>
        <w:pStyle w:val="16"/>
        <w:shd w:val="clear" w:color="auto" w:fill="auto"/>
        <w:spacing w:before="0" w:line="240" w:lineRule="auto"/>
        <w:ind w:firstLine="0"/>
        <w:jc w:val="both"/>
        <w:rPr>
          <w:bCs/>
          <w:color w:val="002060"/>
          <w:sz w:val="16"/>
          <w:szCs w:val="16"/>
        </w:rPr>
      </w:pPr>
      <w:r w:rsidRPr="00405303">
        <w:rPr>
          <w:bCs/>
          <w:color w:val="002060"/>
          <w:sz w:val="16"/>
          <w:szCs w:val="16"/>
        </w:rPr>
        <w:t xml:space="preserve">27 апреля </w:t>
      </w:r>
      <w:r w:rsidR="00BF185F" w:rsidRPr="00405303">
        <w:rPr>
          <w:bCs/>
          <w:color w:val="002060"/>
          <w:sz w:val="16"/>
          <w:szCs w:val="16"/>
        </w:rPr>
        <w:t xml:space="preserve">(10 мая) </w:t>
      </w:r>
      <w:r w:rsidRPr="00405303">
        <w:rPr>
          <w:bCs/>
          <w:color w:val="002060"/>
          <w:sz w:val="16"/>
          <w:szCs w:val="16"/>
        </w:rPr>
        <w:t>1915 г. специалисты на заседании Технического комитета призна</w:t>
      </w:r>
      <w:r w:rsidRPr="00405303">
        <w:rPr>
          <w:bCs/>
          <w:color w:val="002060"/>
          <w:sz w:val="16"/>
          <w:szCs w:val="16"/>
        </w:rPr>
        <w:softHyphen/>
        <w:t>ли, что баллистических теорий бомбометания вообще не существует, и ГВТУ решило выделить ассигнования на решение этой проблемы. За нее взялся Г. А. Ботезат. По представлению ГВТУ Военный совет 29 апреля разрешил Управлению израсходовать 54 тыс. рублей на «бомбометательную систему Г. А. Ботезата, его вознаграждение и на применение его теоретических выводов к трем систе</w:t>
      </w:r>
      <w:r w:rsidRPr="00405303">
        <w:rPr>
          <w:bCs/>
          <w:color w:val="002060"/>
          <w:sz w:val="16"/>
          <w:szCs w:val="16"/>
        </w:rPr>
        <w:softHyphen/>
        <w:t>мам существующих у нас прицельных приборов» (15740).</w:t>
      </w:r>
    </w:p>
    <w:p w14:paraId="3F1989DD" w14:textId="77777777" w:rsidR="00056D37" w:rsidRPr="00405303" w:rsidRDefault="00056D37" w:rsidP="00C15251">
      <w:pPr>
        <w:pStyle w:val="16"/>
        <w:shd w:val="clear" w:color="auto" w:fill="auto"/>
        <w:spacing w:before="0" w:line="240" w:lineRule="auto"/>
        <w:ind w:firstLine="0"/>
        <w:jc w:val="both"/>
        <w:rPr>
          <w:bCs/>
          <w:color w:val="002060"/>
          <w:sz w:val="16"/>
          <w:szCs w:val="16"/>
        </w:rPr>
      </w:pPr>
    </w:p>
    <w:p w14:paraId="4FC1B6AD" w14:textId="77777777" w:rsidR="00417CD1" w:rsidRPr="00405303" w:rsidRDefault="00417CD1" w:rsidP="00417CD1">
      <w:pPr>
        <w:jc w:val="both"/>
        <w:rPr>
          <w:bCs/>
          <w:i/>
          <w:color w:val="002060"/>
          <w:sz w:val="16"/>
          <w:szCs w:val="16"/>
        </w:rPr>
      </w:pPr>
      <w:r w:rsidRPr="00405303">
        <w:rPr>
          <w:bCs/>
          <w:i/>
          <w:color w:val="002060"/>
          <w:sz w:val="16"/>
          <w:szCs w:val="16"/>
        </w:rPr>
        <w:t>Авиация:</w:t>
      </w:r>
    </w:p>
    <w:p w14:paraId="5589EE20" w14:textId="77777777" w:rsidR="00417CD1" w:rsidRPr="00405303" w:rsidRDefault="00417CD1" w:rsidP="00417CD1">
      <w:pPr>
        <w:jc w:val="both"/>
        <w:rPr>
          <w:bCs/>
          <w:i/>
          <w:color w:val="002060"/>
          <w:sz w:val="16"/>
          <w:szCs w:val="16"/>
        </w:rPr>
      </w:pPr>
    </w:p>
    <w:p w14:paraId="59974A95" w14:textId="77777777" w:rsidR="00417CD1" w:rsidRPr="00405303" w:rsidRDefault="00417CD1" w:rsidP="00417CD1">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27 апреля (10 мая) 1915 г. в результате удачного обстрела батарей одного из русских полков был сбит неприятельский самолет, упавший за передовыми окопами немецких войск (25135).</w:t>
      </w:r>
    </w:p>
    <w:p w14:paraId="1C150E19" w14:textId="77777777" w:rsidR="00417CD1" w:rsidRPr="00405303" w:rsidRDefault="00417CD1" w:rsidP="00417CD1">
      <w:pPr>
        <w:jc w:val="both"/>
        <w:rPr>
          <w:color w:val="0070C0"/>
          <w:sz w:val="16"/>
          <w:szCs w:val="16"/>
        </w:rPr>
      </w:pPr>
    </w:p>
    <w:p w14:paraId="51CAC25E"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6A8F7D3E" w14:textId="77777777" w:rsidR="004B4E35" w:rsidRPr="00405303" w:rsidRDefault="004B4E35" w:rsidP="00C15251">
      <w:pPr>
        <w:jc w:val="both"/>
        <w:rPr>
          <w:bCs/>
          <w:i/>
          <w:color w:val="002060"/>
          <w:sz w:val="16"/>
          <w:szCs w:val="16"/>
        </w:rPr>
      </w:pPr>
    </w:p>
    <w:p w14:paraId="1DC49F59" w14:textId="3409DB51" w:rsidR="004B4E35" w:rsidRPr="00405303" w:rsidRDefault="009E6F82" w:rsidP="00C15251">
      <w:pPr>
        <w:jc w:val="both"/>
        <w:rPr>
          <w:bCs/>
          <w:color w:val="002060"/>
          <w:sz w:val="16"/>
          <w:szCs w:val="16"/>
        </w:rPr>
      </w:pPr>
      <w:r w:rsidRPr="00405303">
        <w:rPr>
          <w:bCs/>
          <w:color w:val="002060"/>
          <w:sz w:val="16"/>
          <w:szCs w:val="16"/>
        </w:rPr>
        <w:t xml:space="preserve">27 апреля (10 мая) 1915 в воздух поднялся немецкий "Фокер-Айндеккер" (букв. Фоккер- моноплан). Немецкий истребитель нёс два пулемёта системы Максима с синхронизаторами - устройствами, задерживающими спуск, при прохождении лопасти через зону обстрела. Скоростной моноплан стал косить "Мораны", "Ньюпоры"; а для устаревших "Фарманов" и "Де Хевилендов" - был неуязвим - даже передний турельный пулемёт не спасал их - "Айндеккер" уходил на скорости, и, вскоре, намертво зависал на хвосте, что при отсутствии задней турели было смертным приговором. Моран с пулеотбойником проявил недостатки - на нём нельзя было использовать бронебойные пули, поражающие двигатель, но и с обычными пулями нагрузок часто не выдерживали лопасти и ось редуктора. На три месяца небо Первой Мировой полностью принадлежало немцам, но и смертоносные "Айндеккеры" несли редкие потери - с гибелью над территорией врага первого немецкого истребителя, секрет "Айндеккера" был разгадан и вот - к лету 1915 года все машины воюющих стран - России, Британии, Франции - Германии и Австро-Венгрии с другой стороны несли 1-3 синхронных пулемёта. Но, получилось так, что основным назначением самолёта - было сбить другой самолёт - 60-100кг мелких 5-15кг бомб, сбрасываемых </w:t>
      </w:r>
      <w:proofErr w:type="gramStart"/>
      <w:r w:rsidRPr="00405303">
        <w:rPr>
          <w:bCs/>
          <w:color w:val="002060"/>
          <w:sz w:val="16"/>
          <w:szCs w:val="16"/>
        </w:rPr>
        <w:t>"на глазок"</w:t>
      </w:r>
      <w:proofErr w:type="gramEnd"/>
      <w:r w:rsidRPr="00405303">
        <w:rPr>
          <w:bCs/>
          <w:color w:val="002060"/>
          <w:sz w:val="16"/>
          <w:szCs w:val="16"/>
        </w:rPr>
        <w:t xml:space="preserve"> могли наносить только "булавочные уколы" враждующим сторонам - так, считалось большой удачей поразить бомбой один танк или броневик за 5-6 </w:t>
      </w:r>
      <w:proofErr w:type="gramStart"/>
      <w:r w:rsidRPr="00405303">
        <w:rPr>
          <w:bCs/>
          <w:color w:val="002060"/>
          <w:sz w:val="16"/>
          <w:szCs w:val="16"/>
        </w:rPr>
        <w:t>самолёто-вылетов</w:t>
      </w:r>
      <w:proofErr w:type="gramEnd"/>
      <w:r w:rsidRPr="00405303">
        <w:rPr>
          <w:bCs/>
          <w:color w:val="002060"/>
          <w:sz w:val="16"/>
          <w:szCs w:val="16"/>
        </w:rPr>
        <w:t>! (11237).</w:t>
      </w:r>
    </w:p>
    <w:p w14:paraId="1B21DB6C" w14:textId="77777777" w:rsidR="004B4E35" w:rsidRPr="00405303" w:rsidRDefault="004B4E35" w:rsidP="00C15251">
      <w:pPr>
        <w:jc w:val="both"/>
        <w:rPr>
          <w:bCs/>
          <w:color w:val="002060"/>
          <w:sz w:val="16"/>
          <w:szCs w:val="16"/>
        </w:rPr>
      </w:pPr>
    </w:p>
    <w:p w14:paraId="7CEB79A6" w14:textId="77777777" w:rsidR="00A24BF5" w:rsidRPr="00405303" w:rsidRDefault="00A24BF5" w:rsidP="00C15251">
      <w:pPr>
        <w:jc w:val="both"/>
        <w:rPr>
          <w:bCs/>
          <w:color w:val="002060"/>
          <w:sz w:val="16"/>
          <w:szCs w:val="16"/>
        </w:rPr>
      </w:pPr>
      <w:r w:rsidRPr="00405303">
        <w:rPr>
          <w:bCs/>
          <w:color w:val="002060"/>
          <w:sz w:val="16"/>
          <w:szCs w:val="16"/>
        </w:rPr>
        <w:t>27 апреля (10 мая) в 1915 году немецкие дирижабли впервые бомбили Лондон (14887).</w:t>
      </w:r>
    </w:p>
    <w:p w14:paraId="70A6D714" w14:textId="77777777" w:rsidR="00A24BF5" w:rsidRPr="00405303" w:rsidRDefault="00A24BF5" w:rsidP="00C15251">
      <w:pPr>
        <w:jc w:val="both"/>
        <w:rPr>
          <w:bCs/>
          <w:color w:val="002060"/>
          <w:sz w:val="16"/>
          <w:szCs w:val="16"/>
        </w:rPr>
      </w:pPr>
    </w:p>
    <w:p w14:paraId="2E42249E" w14:textId="77777777" w:rsidR="00681880" w:rsidRPr="00405303" w:rsidRDefault="00681880" w:rsidP="00C15251">
      <w:pPr>
        <w:jc w:val="both"/>
        <w:rPr>
          <w:bCs/>
          <w:color w:val="002060"/>
          <w:sz w:val="16"/>
          <w:szCs w:val="16"/>
        </w:rPr>
      </w:pPr>
      <w:r w:rsidRPr="00405303">
        <w:rPr>
          <w:bCs/>
          <w:color w:val="002060"/>
          <w:sz w:val="16"/>
          <w:szCs w:val="16"/>
        </w:rPr>
        <w:t>27-28 апреля (10-11 мая) (ночь) 1915 немецкий армейский Цеппелин LZ 38 попытка бомбить Саутенд- он -Си в Англии в устье Темзы, но отогнан неожиданно окрывшейся стрельбой. Командир LZ 38 гауптман Erich Linnarz отправил на землю свою визитную карточку с угрозами в бутылке, которые англичане находят на острове Canvey (20338).</w:t>
      </w:r>
    </w:p>
    <w:p w14:paraId="3A839252" w14:textId="77777777" w:rsidR="00681880" w:rsidRPr="00405303" w:rsidRDefault="00681880" w:rsidP="00C15251">
      <w:pPr>
        <w:jc w:val="both"/>
        <w:rPr>
          <w:bCs/>
          <w:color w:val="002060"/>
          <w:sz w:val="16"/>
          <w:szCs w:val="16"/>
        </w:rPr>
      </w:pPr>
    </w:p>
    <w:p w14:paraId="4B960B2F"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5637D9B9" w14:textId="77777777" w:rsidR="004B4E35" w:rsidRPr="00405303" w:rsidRDefault="004B4E35" w:rsidP="00C15251">
      <w:pPr>
        <w:jc w:val="both"/>
        <w:rPr>
          <w:bCs/>
          <w:i/>
          <w:color w:val="002060"/>
          <w:sz w:val="16"/>
          <w:szCs w:val="16"/>
        </w:rPr>
      </w:pPr>
    </w:p>
    <w:p w14:paraId="37A86B45" w14:textId="2BA44B04" w:rsidR="004B4E35" w:rsidRPr="00405303" w:rsidRDefault="009E6F82" w:rsidP="00C15251">
      <w:pPr>
        <w:jc w:val="both"/>
        <w:rPr>
          <w:bCs/>
          <w:color w:val="002060"/>
          <w:sz w:val="16"/>
          <w:szCs w:val="16"/>
        </w:rPr>
      </w:pPr>
      <w:r w:rsidRPr="00405303">
        <w:rPr>
          <w:bCs/>
          <w:color w:val="002060"/>
          <w:sz w:val="16"/>
          <w:szCs w:val="16"/>
        </w:rPr>
        <w:t xml:space="preserve">28 апреля </w:t>
      </w:r>
      <w:r w:rsidR="00BF185F" w:rsidRPr="00405303">
        <w:rPr>
          <w:bCs/>
          <w:color w:val="002060"/>
          <w:sz w:val="16"/>
          <w:szCs w:val="16"/>
        </w:rPr>
        <w:t xml:space="preserve">(11 мая) </w:t>
      </w:r>
      <w:r w:rsidRPr="00405303">
        <w:rPr>
          <w:bCs/>
          <w:color w:val="002060"/>
          <w:sz w:val="16"/>
          <w:szCs w:val="16"/>
        </w:rPr>
        <w:t xml:space="preserve">и 12 </w:t>
      </w:r>
      <w:r w:rsidR="00BF185F" w:rsidRPr="00405303">
        <w:rPr>
          <w:bCs/>
          <w:color w:val="002060"/>
          <w:sz w:val="16"/>
          <w:szCs w:val="16"/>
        </w:rPr>
        <w:t xml:space="preserve">(25) </w:t>
      </w:r>
      <w:r w:rsidRPr="00405303">
        <w:rPr>
          <w:bCs/>
          <w:color w:val="002060"/>
          <w:sz w:val="16"/>
          <w:szCs w:val="16"/>
        </w:rPr>
        <w:t xml:space="preserve">мая 1915 г. </w:t>
      </w:r>
      <w:r w:rsidR="00BF185F" w:rsidRPr="00405303">
        <w:rPr>
          <w:bCs/>
          <w:color w:val="002060"/>
          <w:sz w:val="16"/>
          <w:szCs w:val="16"/>
        </w:rPr>
        <w:t xml:space="preserve">Совет министров утвердил журналом первые ассигнования на постройку Нижегородского завода взрывчатых веществ </w:t>
      </w:r>
      <w:r w:rsidRPr="00405303">
        <w:rPr>
          <w:bCs/>
          <w:color w:val="002060"/>
          <w:sz w:val="16"/>
          <w:szCs w:val="16"/>
        </w:rPr>
        <w:t>(РГВИА. Ф. 29. Оп. 3. Д. 5413. Л. 3об., 4, 79, 335) (11329).</w:t>
      </w:r>
    </w:p>
    <w:p w14:paraId="53280078" w14:textId="77777777" w:rsidR="004B4E35" w:rsidRPr="00405303" w:rsidRDefault="004B4E35" w:rsidP="00C15251">
      <w:pPr>
        <w:jc w:val="both"/>
        <w:rPr>
          <w:bCs/>
          <w:i/>
          <w:color w:val="002060"/>
          <w:sz w:val="16"/>
          <w:szCs w:val="16"/>
        </w:rPr>
      </w:pPr>
    </w:p>
    <w:p w14:paraId="3EAEFFF1" w14:textId="6521F792" w:rsidR="00270464" w:rsidRPr="00405303" w:rsidRDefault="00270464" w:rsidP="00C15251">
      <w:pPr>
        <w:jc w:val="both"/>
        <w:rPr>
          <w:bCs/>
          <w:color w:val="002060"/>
          <w:sz w:val="16"/>
          <w:szCs w:val="16"/>
        </w:rPr>
      </w:pPr>
      <w:r w:rsidRPr="00405303">
        <w:rPr>
          <w:bCs/>
          <w:color w:val="002060"/>
          <w:sz w:val="16"/>
          <w:szCs w:val="16"/>
        </w:rPr>
        <w:t>28 апреля (11 мая) 1914 г. было решено построить Нижегород</w:t>
      </w:r>
      <w:r w:rsidRPr="00405303">
        <w:rPr>
          <w:bCs/>
          <w:color w:val="002060"/>
          <w:sz w:val="16"/>
          <w:szCs w:val="16"/>
        </w:rPr>
        <w:softHyphen/>
        <w:t>ский взрывчатых веществ (23452)</w:t>
      </w:r>
    </w:p>
    <w:p w14:paraId="5A9D87E2" w14:textId="77777777" w:rsidR="00270464" w:rsidRPr="00405303" w:rsidRDefault="00270464" w:rsidP="00C15251">
      <w:pPr>
        <w:jc w:val="both"/>
        <w:rPr>
          <w:bCs/>
          <w:color w:val="002060"/>
          <w:sz w:val="16"/>
          <w:szCs w:val="16"/>
        </w:rPr>
      </w:pPr>
    </w:p>
    <w:p w14:paraId="0EAE9EC9" w14:textId="2A0811C5" w:rsidR="00270464" w:rsidRPr="00405303" w:rsidRDefault="00270464" w:rsidP="00C15251">
      <w:pPr>
        <w:jc w:val="both"/>
        <w:rPr>
          <w:bCs/>
          <w:i/>
          <w:color w:val="002060"/>
          <w:sz w:val="16"/>
          <w:szCs w:val="16"/>
        </w:rPr>
      </w:pPr>
      <w:r w:rsidRPr="00405303">
        <w:rPr>
          <w:bCs/>
          <w:i/>
          <w:color w:val="002060"/>
          <w:sz w:val="16"/>
          <w:szCs w:val="16"/>
        </w:rPr>
        <w:t>Авиация:</w:t>
      </w:r>
    </w:p>
    <w:p w14:paraId="2AD917F2" w14:textId="77777777" w:rsidR="00270464" w:rsidRPr="00405303" w:rsidRDefault="00270464" w:rsidP="00C15251">
      <w:pPr>
        <w:jc w:val="both"/>
        <w:rPr>
          <w:bCs/>
          <w:i/>
          <w:color w:val="002060"/>
          <w:sz w:val="16"/>
          <w:szCs w:val="16"/>
        </w:rPr>
      </w:pPr>
    </w:p>
    <w:p w14:paraId="129E8D28" w14:textId="3D453776" w:rsidR="00270464" w:rsidRPr="00405303" w:rsidRDefault="00270464" w:rsidP="00C15251">
      <w:pPr>
        <w:jc w:val="both"/>
        <w:rPr>
          <w:bCs/>
          <w:color w:val="002060"/>
          <w:sz w:val="16"/>
          <w:szCs w:val="16"/>
        </w:rPr>
      </w:pPr>
      <w:r w:rsidRPr="00405303">
        <w:rPr>
          <w:bCs/>
          <w:color w:val="002060"/>
          <w:sz w:val="16"/>
          <w:szCs w:val="16"/>
        </w:rPr>
        <w:t>28-29 апреля</w:t>
      </w:r>
      <w:r w:rsidR="000F5756">
        <w:rPr>
          <w:bCs/>
          <w:color w:val="002060"/>
          <w:sz w:val="16"/>
          <w:szCs w:val="16"/>
        </w:rPr>
        <w:t xml:space="preserve"> </w:t>
      </w:r>
      <w:r w:rsidRPr="00405303">
        <w:rPr>
          <w:bCs/>
          <w:color w:val="002060"/>
          <w:sz w:val="16"/>
          <w:szCs w:val="16"/>
        </w:rPr>
        <w:t>1915 г. бомбардировке с воздуха подвергся ряд польских городов. В районе г. Ясло восемь неприятельских самолетов сбросили 10 бомб (без существенного вреда). Другим объектом нападения стал г. Плонск. В результате прямого попадания авиабомбы в синагогу было убито и ранено около 50 человек из числа мирных жителей. На следующий день огнем русской артиллерии был сбит германский аэроплан, проводивший воздушную разведку наших передовых позиций. 1 мая объектом нападения вновь стал г. Ясло. На городскую железнодорожную станцию противник сбросил 13 авиабомб. По счастливой случайности обошлось без человеческих жертв (23405).</w:t>
      </w:r>
    </w:p>
    <w:p w14:paraId="679A0228" w14:textId="77777777" w:rsidR="00270464" w:rsidRPr="00405303" w:rsidRDefault="00270464" w:rsidP="00C15251">
      <w:pPr>
        <w:jc w:val="both"/>
        <w:rPr>
          <w:bCs/>
          <w:color w:val="002060"/>
          <w:sz w:val="16"/>
          <w:szCs w:val="16"/>
        </w:rPr>
      </w:pPr>
    </w:p>
    <w:p w14:paraId="13BD4AE3" w14:textId="77777777" w:rsidR="00417CD1" w:rsidRPr="00405303" w:rsidRDefault="00417CD1" w:rsidP="00417CD1">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28 апреля (11 мая) 1915 г. противник потерял еще один аппарат, сбитый зенитным огнем в районе Скерневице (25135).</w:t>
      </w:r>
    </w:p>
    <w:p w14:paraId="5FEE92BF" w14:textId="77777777" w:rsidR="00417CD1" w:rsidRPr="00405303" w:rsidRDefault="00417CD1" w:rsidP="00417CD1">
      <w:pPr>
        <w:jc w:val="both"/>
        <w:rPr>
          <w:color w:val="0070C0"/>
          <w:sz w:val="16"/>
          <w:szCs w:val="16"/>
        </w:rPr>
      </w:pPr>
    </w:p>
    <w:p w14:paraId="5E8090A3" w14:textId="77777777" w:rsidR="00417CD1" w:rsidRPr="00405303" w:rsidRDefault="00417CD1" w:rsidP="00417CD1">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28 апреля (11 мая) 1915 г. авиация противника вновь подвергла бомбардировке русский медицинский объект. Разрывами бомб тяжелое ранение получили два военнослужащих, находившиеся на излечении (25135).</w:t>
      </w:r>
    </w:p>
    <w:p w14:paraId="0539A299" w14:textId="77777777" w:rsidR="00417CD1" w:rsidRPr="00405303" w:rsidRDefault="00417CD1" w:rsidP="00417CD1">
      <w:pPr>
        <w:jc w:val="both"/>
        <w:rPr>
          <w:color w:val="0070C0"/>
          <w:sz w:val="16"/>
          <w:szCs w:val="16"/>
        </w:rPr>
      </w:pPr>
    </w:p>
    <w:p w14:paraId="40A6E398" w14:textId="5C0E477B"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5D761C8D" w14:textId="77777777" w:rsidR="004B4E35" w:rsidRPr="00405303" w:rsidRDefault="004B4E35" w:rsidP="00C15251">
      <w:pPr>
        <w:jc w:val="both"/>
        <w:rPr>
          <w:bCs/>
          <w:i/>
          <w:color w:val="002060"/>
          <w:sz w:val="16"/>
          <w:szCs w:val="16"/>
        </w:rPr>
      </w:pPr>
    </w:p>
    <w:p w14:paraId="1732415D" w14:textId="46F6F3C4"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28 апреля (1</w:t>
      </w:r>
      <w:r w:rsidR="00BF185F" w:rsidRPr="00405303">
        <w:rPr>
          <w:bCs/>
          <w:color w:val="002060"/>
          <w:sz w:val="16"/>
          <w:szCs w:val="16"/>
        </w:rPr>
        <w:t>1</w:t>
      </w:r>
      <w:r w:rsidRPr="00405303">
        <w:rPr>
          <w:bCs/>
          <w:color w:val="002060"/>
          <w:sz w:val="16"/>
          <w:szCs w:val="16"/>
        </w:rPr>
        <w:t xml:space="preserve"> мая) 1915 года </w:t>
      </w:r>
      <w:r w:rsidR="00BF185F" w:rsidRPr="00405303">
        <w:rPr>
          <w:bCs/>
          <w:color w:val="002060"/>
          <w:sz w:val="16"/>
          <w:szCs w:val="16"/>
        </w:rPr>
        <w:t xml:space="preserve">утром </w:t>
      </w:r>
      <w:r w:rsidRPr="00405303">
        <w:rPr>
          <w:bCs/>
          <w:color w:val="002060"/>
          <w:sz w:val="16"/>
          <w:szCs w:val="16"/>
        </w:rPr>
        <w:t>в районе Босфора про</w:t>
      </w:r>
      <w:r w:rsidRPr="00405303">
        <w:rPr>
          <w:bCs/>
          <w:color w:val="002060"/>
          <w:sz w:val="16"/>
          <w:szCs w:val="16"/>
        </w:rPr>
        <w:softHyphen/>
        <w:t>изошло неожиданное боевое столкновение эскадренных броне</w:t>
      </w:r>
      <w:r w:rsidRPr="00405303">
        <w:rPr>
          <w:bCs/>
          <w:color w:val="002060"/>
          <w:sz w:val="16"/>
          <w:szCs w:val="16"/>
        </w:rPr>
        <w:softHyphen/>
        <w:t>носцев «Евстафий», «Иоанн Златоуст» и «Ростислав» с линей</w:t>
      </w:r>
      <w:r w:rsidRPr="00405303">
        <w:rPr>
          <w:bCs/>
          <w:color w:val="002060"/>
          <w:sz w:val="16"/>
          <w:szCs w:val="16"/>
        </w:rPr>
        <w:softHyphen/>
        <w:t>ным крейсером «Гебен». Артиллерийскую стрельбу обе стороны вели 13 минут. После трех попаданий русских снарядов гер</w:t>
      </w:r>
      <w:r w:rsidRPr="00405303">
        <w:rPr>
          <w:bCs/>
          <w:color w:val="002060"/>
          <w:sz w:val="16"/>
          <w:szCs w:val="16"/>
        </w:rPr>
        <w:softHyphen/>
        <w:t>манский рейдер круто повернул в море и быстро ушел от по</w:t>
      </w:r>
      <w:r w:rsidRPr="00405303">
        <w:rPr>
          <w:bCs/>
          <w:color w:val="002060"/>
          <w:sz w:val="16"/>
          <w:szCs w:val="16"/>
        </w:rPr>
        <w:softHyphen/>
        <w:t>гони, а днем смог прорваться в спасительный пролив.</w:t>
      </w:r>
    </w:p>
    <w:p w14:paraId="7E02551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Причина отказа адмирала А. Эбергарда от приказа коман</w:t>
      </w:r>
      <w:r w:rsidRPr="00405303">
        <w:rPr>
          <w:bCs/>
          <w:color w:val="002060"/>
          <w:sz w:val="16"/>
          <w:szCs w:val="16"/>
        </w:rPr>
        <w:softHyphen/>
        <w:t>диру авиационного судна «Император Александр I» произвес</w:t>
      </w:r>
      <w:r w:rsidRPr="00405303">
        <w:rPr>
          <w:bCs/>
          <w:color w:val="002060"/>
          <w:sz w:val="16"/>
          <w:szCs w:val="16"/>
        </w:rPr>
        <w:softHyphen/>
        <w:t>ти воздушную разведку была понятна не только летчикам. В свежую морскую погоду взлет и посадка бипланов приводила к заливаниям кабин, поломке крыльев, остановке моторов. Рис</w:t>
      </w:r>
      <w:r w:rsidRPr="00405303">
        <w:rPr>
          <w:bCs/>
          <w:color w:val="002060"/>
          <w:sz w:val="16"/>
          <w:szCs w:val="16"/>
        </w:rPr>
        <w:softHyphen/>
        <w:t>кованная попытка могла вызвать нежелательные последствия.</w:t>
      </w:r>
    </w:p>
    <w:p w14:paraId="3A87380F" w14:textId="77777777" w:rsidR="004B4E35" w:rsidRPr="00405303" w:rsidRDefault="009E6F82" w:rsidP="00C15251">
      <w:pPr>
        <w:shd w:val="clear" w:color="auto" w:fill="FFFFFF"/>
        <w:jc w:val="both"/>
        <w:rPr>
          <w:bCs/>
          <w:color w:val="002060"/>
          <w:sz w:val="16"/>
          <w:szCs w:val="16"/>
        </w:rPr>
      </w:pPr>
      <w:bookmarkStart w:id="117" w:name="_Hlk117608276"/>
      <w:r w:rsidRPr="00405303">
        <w:rPr>
          <w:bCs/>
          <w:color w:val="002060"/>
          <w:sz w:val="16"/>
          <w:szCs w:val="16"/>
        </w:rPr>
        <w:t>Доставленные из Владивостока в конце зимы бывшие в упот</w:t>
      </w:r>
      <w:r w:rsidRPr="00405303">
        <w:rPr>
          <w:bCs/>
          <w:color w:val="002060"/>
          <w:sz w:val="16"/>
          <w:szCs w:val="16"/>
        </w:rPr>
        <w:softHyphen/>
        <w:t>реблении поплавковые гидроаэропланы «Кертисс-Ф», а из Ре</w:t>
      </w:r>
      <w:r w:rsidRPr="00405303">
        <w:rPr>
          <w:bCs/>
          <w:color w:val="002060"/>
          <w:sz w:val="16"/>
          <w:szCs w:val="16"/>
        </w:rPr>
        <w:softHyphen/>
        <w:t>веля в начале весны - летающие лодки «ФБА» (прозванные балтийцами неспроста «Фуки-Буки») авиационный комитет флота признал негодными для боевого использования. Даже при слабом волнении моря «они плохо отрывались от воды, а в полете рыскали на курсе и скверно делали виражи» (11283).</w:t>
      </w:r>
    </w:p>
    <w:p w14:paraId="707E7615" w14:textId="77777777" w:rsidR="004B4E35" w:rsidRPr="00405303" w:rsidRDefault="004B4E35" w:rsidP="00C15251">
      <w:pPr>
        <w:shd w:val="clear" w:color="auto" w:fill="FFFFFF"/>
        <w:jc w:val="both"/>
        <w:rPr>
          <w:bCs/>
          <w:color w:val="002060"/>
          <w:sz w:val="16"/>
          <w:szCs w:val="16"/>
        </w:rPr>
      </w:pPr>
    </w:p>
    <w:bookmarkEnd w:id="117"/>
    <w:p w14:paraId="3E84ED47" w14:textId="79087727" w:rsidR="00A24BF5" w:rsidRPr="00405303" w:rsidRDefault="00A24BF5" w:rsidP="00C15251">
      <w:pPr>
        <w:jc w:val="both"/>
        <w:rPr>
          <w:bCs/>
          <w:i/>
          <w:color w:val="002060"/>
          <w:sz w:val="16"/>
          <w:szCs w:val="16"/>
        </w:rPr>
      </w:pPr>
      <w:r w:rsidRPr="00405303">
        <w:rPr>
          <w:bCs/>
          <w:i/>
          <w:color w:val="002060"/>
          <w:sz w:val="16"/>
          <w:szCs w:val="16"/>
        </w:rPr>
        <w:t>А</w:t>
      </w:r>
      <w:r w:rsidR="00484C07" w:rsidRPr="00405303">
        <w:rPr>
          <w:bCs/>
          <w:i/>
          <w:color w:val="002060"/>
          <w:sz w:val="16"/>
          <w:szCs w:val="16"/>
        </w:rPr>
        <w:t>виация</w:t>
      </w:r>
      <w:r w:rsidRPr="00405303">
        <w:rPr>
          <w:bCs/>
          <w:i/>
          <w:color w:val="002060"/>
          <w:sz w:val="16"/>
          <w:szCs w:val="16"/>
        </w:rPr>
        <w:t>:</w:t>
      </w:r>
    </w:p>
    <w:p w14:paraId="0C8F9B22" w14:textId="77777777" w:rsidR="00A24BF5" w:rsidRPr="00405303" w:rsidRDefault="00A24BF5" w:rsidP="00C15251">
      <w:pPr>
        <w:jc w:val="both"/>
        <w:rPr>
          <w:bCs/>
          <w:i/>
          <w:color w:val="002060"/>
          <w:sz w:val="16"/>
          <w:szCs w:val="16"/>
        </w:rPr>
      </w:pPr>
    </w:p>
    <w:p w14:paraId="7C3F0EC3" w14:textId="6E1F1033" w:rsidR="00A24BF5" w:rsidRPr="00405303" w:rsidRDefault="00A24BF5" w:rsidP="00C15251">
      <w:pPr>
        <w:jc w:val="both"/>
        <w:rPr>
          <w:bCs/>
          <w:color w:val="002060"/>
          <w:sz w:val="16"/>
          <w:szCs w:val="16"/>
        </w:rPr>
      </w:pPr>
      <w:r w:rsidRPr="00405303">
        <w:rPr>
          <w:bCs/>
          <w:color w:val="002060"/>
          <w:sz w:val="16"/>
          <w:szCs w:val="16"/>
        </w:rPr>
        <w:t xml:space="preserve">28 апреля </w:t>
      </w:r>
      <w:r w:rsidR="00BF185F" w:rsidRPr="00405303">
        <w:rPr>
          <w:bCs/>
          <w:color w:val="002060"/>
          <w:sz w:val="16"/>
          <w:szCs w:val="16"/>
        </w:rPr>
        <w:t xml:space="preserve">(11 мая) </w:t>
      </w:r>
      <w:r w:rsidRPr="00405303">
        <w:rPr>
          <w:bCs/>
          <w:color w:val="002060"/>
          <w:sz w:val="16"/>
          <w:szCs w:val="16"/>
        </w:rPr>
        <w:t xml:space="preserve">в 1915 году в России </w:t>
      </w:r>
      <w:r w:rsidR="00484C07" w:rsidRPr="00405303">
        <w:rPr>
          <w:bCs/>
          <w:color w:val="002060"/>
          <w:sz w:val="16"/>
          <w:szCs w:val="16"/>
        </w:rPr>
        <w:t xml:space="preserve">была сформирована </w:t>
      </w:r>
      <w:r w:rsidRPr="00405303">
        <w:rPr>
          <w:bCs/>
          <w:color w:val="002060"/>
          <w:sz w:val="16"/>
          <w:szCs w:val="16"/>
        </w:rPr>
        <w:t>перв</w:t>
      </w:r>
      <w:r w:rsidR="00484C07" w:rsidRPr="00405303">
        <w:rPr>
          <w:bCs/>
          <w:color w:val="002060"/>
          <w:sz w:val="16"/>
          <w:szCs w:val="16"/>
        </w:rPr>
        <w:t>ая</w:t>
      </w:r>
      <w:r w:rsidRPr="00405303">
        <w:rPr>
          <w:bCs/>
          <w:color w:val="002060"/>
          <w:sz w:val="16"/>
          <w:szCs w:val="16"/>
        </w:rPr>
        <w:t xml:space="preserve"> специальн</w:t>
      </w:r>
      <w:r w:rsidR="00484C07" w:rsidRPr="00405303">
        <w:rPr>
          <w:bCs/>
          <w:color w:val="002060"/>
          <w:sz w:val="16"/>
          <w:szCs w:val="16"/>
        </w:rPr>
        <w:t>ая</w:t>
      </w:r>
      <w:r w:rsidRPr="00405303">
        <w:rPr>
          <w:bCs/>
          <w:color w:val="002060"/>
          <w:sz w:val="16"/>
          <w:szCs w:val="16"/>
        </w:rPr>
        <w:t xml:space="preserve"> батаре</w:t>
      </w:r>
      <w:r w:rsidR="00484C07" w:rsidRPr="00405303">
        <w:rPr>
          <w:bCs/>
          <w:color w:val="002060"/>
          <w:sz w:val="16"/>
          <w:szCs w:val="16"/>
        </w:rPr>
        <w:t>я</w:t>
      </w:r>
      <w:r w:rsidRPr="00405303">
        <w:rPr>
          <w:bCs/>
          <w:color w:val="002060"/>
          <w:sz w:val="16"/>
          <w:szCs w:val="16"/>
        </w:rPr>
        <w:t xml:space="preserve"> для обороны стратегически важного объекта от воздушного нападения. На основании приказа Верховного Главнокомандующего № 277 сформирована отдельная батарея для обороны Императорской резиденции от воздухоплавательных аппаратов под командованием подполковника В. Мальцева, явившаяся первым специальным воинским формированием противовоздушной обороны объектов страны, включавшая в себя как мобильные, так и неподвижные противосамолетные орудийные и осветительные средства (15113).</w:t>
      </w:r>
    </w:p>
    <w:p w14:paraId="1A263D83" w14:textId="77777777" w:rsidR="00A24BF5" w:rsidRPr="00405303" w:rsidRDefault="00A24BF5" w:rsidP="00C15251">
      <w:pPr>
        <w:jc w:val="both"/>
        <w:rPr>
          <w:bCs/>
          <w:color w:val="002060"/>
          <w:sz w:val="16"/>
          <w:szCs w:val="16"/>
        </w:rPr>
      </w:pPr>
    </w:p>
    <w:p w14:paraId="48128901"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0A1ED0F8" w14:textId="77777777" w:rsidR="004B4E35" w:rsidRPr="00405303" w:rsidRDefault="004B4E35" w:rsidP="00C15251">
      <w:pPr>
        <w:jc w:val="both"/>
        <w:rPr>
          <w:bCs/>
          <w:i/>
          <w:color w:val="002060"/>
          <w:sz w:val="16"/>
          <w:szCs w:val="16"/>
        </w:rPr>
      </w:pPr>
    </w:p>
    <w:p w14:paraId="5B437942" w14:textId="563CC6CD" w:rsidR="004B4E35" w:rsidRPr="00405303" w:rsidRDefault="009E6F82" w:rsidP="00C15251">
      <w:pPr>
        <w:jc w:val="both"/>
        <w:rPr>
          <w:bCs/>
          <w:color w:val="002060"/>
          <w:sz w:val="16"/>
          <w:szCs w:val="16"/>
        </w:rPr>
      </w:pPr>
      <w:r w:rsidRPr="00405303">
        <w:rPr>
          <w:bCs/>
          <w:color w:val="002060"/>
          <w:sz w:val="16"/>
          <w:szCs w:val="16"/>
        </w:rPr>
        <w:t>2</w:t>
      </w:r>
      <w:r w:rsidR="00484C07" w:rsidRPr="00405303">
        <w:rPr>
          <w:bCs/>
          <w:color w:val="002060"/>
          <w:sz w:val="16"/>
          <w:szCs w:val="16"/>
        </w:rPr>
        <w:t>8</w:t>
      </w:r>
      <w:r w:rsidRPr="00405303">
        <w:rPr>
          <w:bCs/>
          <w:color w:val="002060"/>
          <w:sz w:val="16"/>
          <w:szCs w:val="16"/>
        </w:rPr>
        <w:t xml:space="preserve"> апреля (11 мая) 1915 произошел бой между цеппелинами L-6, L-7, L-9 и двумя подлодками. Последние, не имея действенного противовоздушного оружия, вынуждены были уступить в этом поединке. В этот же день во время разведки у Доггер-банки крейсер «Данциг» подорвался на мине и к нему было выслано воздушное охранение из цеппелинов, но крайне неблагоприятные метеоусловия вынудили их оставить крейсер и возвратиться [116] на базу. Адмирал фон Поль, опасаясь прямого столкновения с английским Гранд-флитом, не разрешил флоту Открытого моря оказать помощь поврежденному «Данцигу», которому тем не менее удалось добраться до своей базы (11324).</w:t>
      </w:r>
    </w:p>
    <w:p w14:paraId="468FB789" w14:textId="77777777" w:rsidR="004B4E35" w:rsidRPr="00405303" w:rsidRDefault="004B4E35" w:rsidP="00C15251">
      <w:pPr>
        <w:jc w:val="both"/>
        <w:rPr>
          <w:bCs/>
          <w:i/>
          <w:color w:val="002060"/>
          <w:sz w:val="16"/>
          <w:szCs w:val="16"/>
        </w:rPr>
      </w:pPr>
    </w:p>
    <w:p w14:paraId="338EFAB3" w14:textId="77777777" w:rsidR="00D40297" w:rsidRPr="00405303" w:rsidRDefault="00D40297" w:rsidP="00C15251">
      <w:pPr>
        <w:jc w:val="both"/>
        <w:rPr>
          <w:bCs/>
          <w:color w:val="002060"/>
          <w:sz w:val="16"/>
          <w:szCs w:val="16"/>
        </w:rPr>
      </w:pPr>
      <w:r w:rsidRPr="00405303">
        <w:rPr>
          <w:bCs/>
          <w:color w:val="002060"/>
          <w:sz w:val="16"/>
          <w:szCs w:val="16"/>
        </w:rPr>
        <w:t>28 апреля (11 мая) 1915 г. начались испытания бомбардировщика Цеппелин-Штаакен VGO I, который был спроектирован совместно с компанией «Бош», а построен на заводе «Гота-Ост» – чтобы выйти на новый рынок, пришлось договариваться с теми, кто там уже был. Самолет предназначался для морской авиации и должен был обозначаться R.M.L.1 (Reichs Marine Landflugzeug 1), но не успели его принять на вооружение его, как в декабре 1915-го аппарат разбился. Машину отремонтировали, но последовала новая авария, затем еще и еще… Последней точкой стало падение на лес в августе 1916-го на Восточном фронте (23075).</w:t>
      </w:r>
    </w:p>
    <w:p w14:paraId="0F3465B2" w14:textId="77777777" w:rsidR="00D40297" w:rsidRPr="00405303" w:rsidRDefault="00D40297" w:rsidP="00C15251">
      <w:pPr>
        <w:jc w:val="both"/>
        <w:rPr>
          <w:bCs/>
          <w:color w:val="002060"/>
          <w:sz w:val="16"/>
          <w:szCs w:val="16"/>
        </w:rPr>
      </w:pPr>
    </w:p>
    <w:p w14:paraId="1280E574"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Англии:</w:t>
      </w:r>
    </w:p>
    <w:p w14:paraId="75EF4F15" w14:textId="77777777" w:rsidR="004B4E35" w:rsidRPr="00405303" w:rsidRDefault="004B4E35" w:rsidP="00C15251">
      <w:pPr>
        <w:jc w:val="both"/>
        <w:rPr>
          <w:bCs/>
          <w:i/>
          <w:color w:val="002060"/>
          <w:sz w:val="16"/>
          <w:szCs w:val="16"/>
        </w:rPr>
      </w:pPr>
    </w:p>
    <w:p w14:paraId="4A21E1CE" w14:textId="300FAE20" w:rsidR="00D40297" w:rsidRPr="00405303" w:rsidRDefault="00D40297" w:rsidP="00C15251">
      <w:pPr>
        <w:jc w:val="both"/>
        <w:rPr>
          <w:bCs/>
          <w:color w:val="002060"/>
          <w:sz w:val="16"/>
          <w:szCs w:val="16"/>
        </w:rPr>
      </w:pPr>
      <w:r w:rsidRPr="00405303">
        <w:rPr>
          <w:bCs/>
          <w:color w:val="002060"/>
          <w:sz w:val="16"/>
          <w:szCs w:val="16"/>
        </w:rPr>
        <w:t xml:space="preserve">28 апреля (11 мая) 1915 </w:t>
      </w:r>
      <w:r w:rsidR="00484C07" w:rsidRPr="00405303">
        <w:rPr>
          <w:bCs/>
          <w:color w:val="002060"/>
          <w:sz w:val="16"/>
          <w:szCs w:val="16"/>
        </w:rPr>
        <w:t xml:space="preserve">г. была </w:t>
      </w:r>
      <w:r w:rsidRPr="00405303">
        <w:rPr>
          <w:bCs/>
          <w:color w:val="002060"/>
          <w:sz w:val="16"/>
          <w:szCs w:val="16"/>
        </w:rPr>
        <w:t>попытка перехвата дирижабля корабельным самолетом происходит в Северном море, когда носитель гидросамолетов Королевского флота HMS Ben-my-Chree пытается запустить гидросамолет Royal Naval Air Service Sopwith, чтобы атаковать немецкий Zeppelin на дальности 70 морских миль (130 км). Попытка не удалась, стартовая платформа обрушилась, и Цеппелину удается бомбить четыре британские подводные лодки в надводном положении, не повредив их (20338).</w:t>
      </w:r>
    </w:p>
    <w:p w14:paraId="10E087F6" w14:textId="77777777" w:rsidR="00D40297" w:rsidRPr="00405303" w:rsidRDefault="00D40297" w:rsidP="00C15251">
      <w:pPr>
        <w:jc w:val="both"/>
        <w:rPr>
          <w:bCs/>
          <w:color w:val="002060"/>
          <w:sz w:val="16"/>
          <w:szCs w:val="16"/>
        </w:rPr>
      </w:pPr>
    </w:p>
    <w:p w14:paraId="78B9BE74" w14:textId="6E19C274" w:rsidR="004B4E35" w:rsidRPr="00405303" w:rsidRDefault="009E6F82" w:rsidP="00C15251">
      <w:pPr>
        <w:jc w:val="both"/>
        <w:rPr>
          <w:bCs/>
          <w:color w:val="002060"/>
          <w:sz w:val="16"/>
          <w:szCs w:val="16"/>
        </w:rPr>
      </w:pPr>
      <w:r w:rsidRPr="00405303">
        <w:rPr>
          <w:bCs/>
          <w:color w:val="002060"/>
          <w:sz w:val="16"/>
          <w:szCs w:val="16"/>
        </w:rPr>
        <w:t>2</w:t>
      </w:r>
      <w:r w:rsidR="00484C07" w:rsidRPr="00405303">
        <w:rPr>
          <w:bCs/>
          <w:color w:val="002060"/>
          <w:sz w:val="16"/>
          <w:szCs w:val="16"/>
        </w:rPr>
        <w:t>8</w:t>
      </w:r>
      <w:r w:rsidRPr="00405303">
        <w:rPr>
          <w:bCs/>
          <w:color w:val="002060"/>
          <w:sz w:val="16"/>
          <w:szCs w:val="16"/>
        </w:rPr>
        <w:t xml:space="preserve"> апреля (11 мая) </w:t>
      </w:r>
      <w:r w:rsidR="00484C07" w:rsidRPr="00405303">
        <w:rPr>
          <w:bCs/>
          <w:color w:val="002060"/>
          <w:sz w:val="16"/>
          <w:szCs w:val="16"/>
        </w:rPr>
        <w:t xml:space="preserve">1915 г. </w:t>
      </w:r>
      <w:r w:rsidRPr="00405303">
        <w:rPr>
          <w:bCs/>
          <w:color w:val="002060"/>
          <w:sz w:val="16"/>
          <w:szCs w:val="16"/>
        </w:rPr>
        <w:t xml:space="preserve">Тирвитт опять вывел в море 2 плавбазы. Экспедицию обнаружил цеппелин, который постоянно висел невдалеке от флотилии. Трем гидросамолетам «Шорт» удалось взлететь с воды. Попытка выпустить «сопвич» с помощью палубной платформы не удалась — загорелся двигатель. Налет «шортов» потерпел полное фиаско — поднялся </w:t>
      </w:r>
      <w:proofErr w:type="gramStart"/>
      <w:r w:rsidRPr="00405303">
        <w:rPr>
          <w:bCs/>
          <w:color w:val="002060"/>
          <w:sz w:val="16"/>
          <w:szCs w:val="16"/>
        </w:rPr>
        <w:t>туман</w:t>
      </w:r>
      <w:proofErr w:type="gramEnd"/>
      <w:r w:rsidRPr="00405303">
        <w:rPr>
          <w:bCs/>
          <w:color w:val="002060"/>
          <w:sz w:val="16"/>
          <w:szCs w:val="16"/>
        </w:rPr>
        <w:t xml:space="preserve"> и один пилот вернулся, с трудом найдя флотилию. У второго самолета отказал двигатель, и он разбился на вынужденной посадке. Третий сорвался в штопор и погиб в море (11324).</w:t>
      </w:r>
    </w:p>
    <w:p w14:paraId="08CC62A7" w14:textId="77777777" w:rsidR="004B4E35" w:rsidRPr="00405303" w:rsidRDefault="004B4E35" w:rsidP="00C15251">
      <w:pPr>
        <w:jc w:val="both"/>
        <w:rPr>
          <w:bCs/>
          <w:i/>
          <w:color w:val="002060"/>
          <w:sz w:val="16"/>
          <w:szCs w:val="16"/>
        </w:rPr>
      </w:pPr>
    </w:p>
    <w:p w14:paraId="606E67F7" w14:textId="77777777" w:rsidR="00C369D7" w:rsidRPr="00405303" w:rsidRDefault="00C369D7" w:rsidP="00C15251">
      <w:pPr>
        <w:jc w:val="both"/>
        <w:rPr>
          <w:bCs/>
          <w:i/>
          <w:color w:val="002060"/>
          <w:sz w:val="16"/>
          <w:szCs w:val="16"/>
        </w:rPr>
      </w:pPr>
      <w:r w:rsidRPr="00405303">
        <w:rPr>
          <w:bCs/>
          <w:i/>
          <w:color w:val="002060"/>
          <w:sz w:val="16"/>
          <w:szCs w:val="16"/>
        </w:rPr>
        <w:t>Авиация:</w:t>
      </w:r>
    </w:p>
    <w:p w14:paraId="06974AE5" w14:textId="77777777" w:rsidR="00C369D7" w:rsidRPr="00405303" w:rsidRDefault="00C369D7" w:rsidP="00C15251">
      <w:pPr>
        <w:jc w:val="both"/>
        <w:rPr>
          <w:bCs/>
          <w:i/>
          <w:color w:val="002060"/>
          <w:sz w:val="16"/>
          <w:szCs w:val="16"/>
        </w:rPr>
      </w:pPr>
    </w:p>
    <w:p w14:paraId="3756FF26" w14:textId="760DA4F5" w:rsidR="00C369D7" w:rsidRPr="00405303" w:rsidRDefault="00C369D7" w:rsidP="00C15251">
      <w:pPr>
        <w:jc w:val="both"/>
        <w:rPr>
          <w:bCs/>
          <w:color w:val="002060"/>
          <w:sz w:val="16"/>
          <w:szCs w:val="16"/>
          <w:lang w:bidi="en-US"/>
        </w:rPr>
      </w:pPr>
      <w:r w:rsidRPr="00405303">
        <w:rPr>
          <w:bCs/>
          <w:color w:val="002060"/>
          <w:sz w:val="16"/>
          <w:szCs w:val="16"/>
          <w:lang w:bidi="en-US"/>
        </w:rPr>
        <w:t xml:space="preserve">29 апреля (12 мая) 1915 г. немецкие летчики </w:t>
      </w:r>
      <w:r w:rsidRPr="00405303">
        <w:rPr>
          <w:bCs/>
          <w:color w:val="002060"/>
          <w:sz w:val="16"/>
          <w:szCs w:val="16"/>
          <w:lang w:val="en-US" w:bidi="en-US"/>
        </w:rPr>
        <w:t>Siidarmee</w:t>
      </w:r>
      <w:r w:rsidRPr="00405303">
        <w:rPr>
          <w:bCs/>
          <w:color w:val="002060"/>
          <w:sz w:val="16"/>
          <w:szCs w:val="16"/>
          <w:lang w:bidi="en-US"/>
        </w:rPr>
        <w:t xml:space="preserve"> сообщили, что русские войска отходят от Перемышля к реке Сан. 16-го немецкая 11-я армия фон Макензена взяла Ярослав на реке Сан. К 3 июня австро-германские войска отбили Перемышль и двинулись на Лемберг (23525).</w:t>
      </w:r>
    </w:p>
    <w:p w14:paraId="1F8723A2" w14:textId="77777777" w:rsidR="00C369D7" w:rsidRPr="00405303" w:rsidRDefault="00C369D7" w:rsidP="00C15251">
      <w:pPr>
        <w:jc w:val="both"/>
        <w:rPr>
          <w:bCs/>
          <w:color w:val="002060"/>
          <w:sz w:val="16"/>
          <w:szCs w:val="16"/>
        </w:rPr>
      </w:pPr>
    </w:p>
    <w:p w14:paraId="21856A56" w14:textId="7FCE5C58" w:rsidR="00C369D7" w:rsidRPr="00405303" w:rsidRDefault="00C369D7" w:rsidP="00C15251">
      <w:pPr>
        <w:jc w:val="both"/>
        <w:rPr>
          <w:bCs/>
          <w:i/>
          <w:color w:val="002060"/>
          <w:sz w:val="16"/>
          <w:szCs w:val="16"/>
        </w:rPr>
      </w:pPr>
      <w:r w:rsidRPr="00405303">
        <w:rPr>
          <w:bCs/>
          <w:i/>
          <w:color w:val="002060"/>
          <w:sz w:val="16"/>
          <w:szCs w:val="16"/>
        </w:rPr>
        <w:t>Самолетостроение:</w:t>
      </w:r>
    </w:p>
    <w:p w14:paraId="2891874F" w14:textId="77777777" w:rsidR="00C369D7" w:rsidRPr="00405303" w:rsidRDefault="00C369D7" w:rsidP="00C15251">
      <w:pPr>
        <w:jc w:val="both"/>
        <w:rPr>
          <w:bCs/>
          <w:i/>
          <w:color w:val="002060"/>
          <w:sz w:val="16"/>
          <w:szCs w:val="16"/>
        </w:rPr>
      </w:pPr>
    </w:p>
    <w:p w14:paraId="7200A369" w14:textId="77777777" w:rsidR="00C369D7" w:rsidRPr="00405303" w:rsidRDefault="00C369D7" w:rsidP="00C15251">
      <w:pPr>
        <w:jc w:val="both"/>
        <w:rPr>
          <w:bCs/>
          <w:color w:val="002060"/>
          <w:sz w:val="16"/>
          <w:szCs w:val="16"/>
        </w:rPr>
      </w:pPr>
      <w:r w:rsidRPr="00405303">
        <w:rPr>
          <w:bCs/>
          <w:color w:val="002060"/>
          <w:sz w:val="16"/>
          <w:szCs w:val="16"/>
          <w:lang w:bidi="en-US"/>
        </w:rPr>
        <w:t>30 апреля (13 мая) 1915 г. был поврежден ИМ-</w:t>
      </w:r>
      <w:r w:rsidRPr="00405303">
        <w:rPr>
          <w:bCs/>
          <w:color w:val="002060"/>
          <w:sz w:val="16"/>
          <w:szCs w:val="16"/>
          <w:lang w:val="en-US" w:bidi="en-US"/>
        </w:rPr>
        <w:t>III</w:t>
      </w:r>
      <w:r w:rsidRPr="00405303">
        <w:rPr>
          <w:bCs/>
          <w:color w:val="002060"/>
          <w:sz w:val="16"/>
          <w:szCs w:val="16"/>
          <w:lang w:bidi="en-US"/>
        </w:rPr>
        <w:t>; к концу мая ИМ-</w:t>
      </w:r>
      <w:r w:rsidRPr="00405303">
        <w:rPr>
          <w:bCs/>
          <w:color w:val="002060"/>
          <w:sz w:val="16"/>
          <w:szCs w:val="16"/>
          <w:lang w:val="en-US" w:bidi="en-US"/>
        </w:rPr>
        <w:t>I</w:t>
      </w:r>
      <w:r w:rsidRPr="00405303">
        <w:rPr>
          <w:bCs/>
          <w:color w:val="002060"/>
          <w:sz w:val="16"/>
          <w:szCs w:val="16"/>
          <w:lang w:bidi="en-US"/>
        </w:rPr>
        <w:t>, ИМ-</w:t>
      </w:r>
      <w:r w:rsidRPr="00405303">
        <w:rPr>
          <w:bCs/>
          <w:color w:val="002060"/>
          <w:sz w:val="16"/>
          <w:szCs w:val="16"/>
          <w:lang w:val="en-US" w:bidi="en-US"/>
        </w:rPr>
        <w:t>II</w:t>
      </w:r>
      <w:r w:rsidRPr="00405303">
        <w:rPr>
          <w:bCs/>
          <w:color w:val="002060"/>
          <w:sz w:val="16"/>
          <w:szCs w:val="16"/>
          <w:lang w:bidi="en-US"/>
        </w:rPr>
        <w:t>, ИМ-</w:t>
      </w:r>
      <w:r w:rsidRPr="00405303">
        <w:rPr>
          <w:bCs/>
          <w:color w:val="002060"/>
          <w:sz w:val="16"/>
          <w:szCs w:val="16"/>
          <w:lang w:val="en-US" w:bidi="en-US"/>
        </w:rPr>
        <w:t>III</w:t>
      </w:r>
      <w:r w:rsidRPr="00405303">
        <w:rPr>
          <w:bCs/>
          <w:color w:val="002060"/>
          <w:sz w:val="16"/>
          <w:szCs w:val="16"/>
          <w:lang w:bidi="en-US"/>
        </w:rPr>
        <w:t>, ИМ-</w:t>
      </w:r>
      <w:r w:rsidRPr="00405303">
        <w:rPr>
          <w:bCs/>
          <w:color w:val="002060"/>
          <w:sz w:val="16"/>
          <w:szCs w:val="16"/>
          <w:lang w:val="en-US" w:bidi="en-US"/>
        </w:rPr>
        <w:t>V</w:t>
      </w:r>
      <w:r w:rsidRPr="00405303">
        <w:rPr>
          <w:bCs/>
          <w:color w:val="002060"/>
          <w:sz w:val="16"/>
          <w:szCs w:val="16"/>
          <w:lang w:bidi="en-US"/>
        </w:rPr>
        <w:t xml:space="preserve"> и ИМ-</w:t>
      </w:r>
      <w:r w:rsidRPr="00405303">
        <w:rPr>
          <w:bCs/>
          <w:color w:val="002060"/>
          <w:sz w:val="16"/>
          <w:szCs w:val="16"/>
          <w:lang w:val="en-US" w:bidi="en-US"/>
        </w:rPr>
        <w:t>VI</w:t>
      </w:r>
      <w:r w:rsidRPr="00405303">
        <w:rPr>
          <w:bCs/>
          <w:color w:val="002060"/>
          <w:sz w:val="16"/>
          <w:szCs w:val="16"/>
          <w:lang w:bidi="en-US"/>
        </w:rPr>
        <w:t xml:space="preserve"> были списаны из-за сильного износа и не годились даже в качестве учебных (23525)</w:t>
      </w:r>
    </w:p>
    <w:p w14:paraId="1D89D873" w14:textId="77777777" w:rsidR="00C369D7" w:rsidRPr="00405303" w:rsidRDefault="00C369D7" w:rsidP="00C15251">
      <w:pPr>
        <w:jc w:val="both"/>
        <w:rPr>
          <w:bCs/>
          <w:color w:val="002060"/>
          <w:sz w:val="16"/>
          <w:szCs w:val="16"/>
          <w:lang w:bidi="en-US"/>
        </w:rPr>
      </w:pPr>
    </w:p>
    <w:p w14:paraId="23F1538C" w14:textId="164D2502" w:rsidR="004B4E35" w:rsidRPr="00405303" w:rsidRDefault="009E6F82" w:rsidP="00C15251">
      <w:pPr>
        <w:jc w:val="both"/>
        <w:rPr>
          <w:bCs/>
          <w:i/>
          <w:color w:val="002060"/>
          <w:sz w:val="16"/>
          <w:szCs w:val="16"/>
        </w:rPr>
      </w:pPr>
      <w:r w:rsidRPr="00405303">
        <w:rPr>
          <w:bCs/>
          <w:i/>
          <w:color w:val="002060"/>
          <w:sz w:val="16"/>
          <w:szCs w:val="16"/>
        </w:rPr>
        <w:t>Авиация:</w:t>
      </w:r>
    </w:p>
    <w:p w14:paraId="7C1EE225" w14:textId="77777777" w:rsidR="004B4E35" w:rsidRPr="00405303" w:rsidRDefault="004B4E35" w:rsidP="00C15251">
      <w:pPr>
        <w:jc w:val="both"/>
        <w:rPr>
          <w:bCs/>
          <w:i/>
          <w:color w:val="002060"/>
          <w:sz w:val="16"/>
          <w:szCs w:val="16"/>
        </w:rPr>
      </w:pPr>
    </w:p>
    <w:p w14:paraId="47D69FCD" w14:textId="034D0C24"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30 апреля </w:t>
      </w:r>
      <w:r w:rsidR="00484C07" w:rsidRPr="00405303">
        <w:rPr>
          <w:bCs/>
          <w:color w:val="002060"/>
          <w:sz w:val="16"/>
          <w:szCs w:val="16"/>
        </w:rPr>
        <w:t xml:space="preserve">(13 мая) </w:t>
      </w:r>
      <w:r w:rsidRPr="00405303">
        <w:rPr>
          <w:bCs/>
          <w:color w:val="002060"/>
          <w:sz w:val="16"/>
          <w:szCs w:val="16"/>
        </w:rPr>
        <w:t>1915</w:t>
      </w:r>
      <w:r w:rsidR="00484C07" w:rsidRPr="00405303">
        <w:rPr>
          <w:bCs/>
          <w:color w:val="002060"/>
          <w:sz w:val="16"/>
          <w:szCs w:val="16"/>
        </w:rPr>
        <w:t xml:space="preserve"> </w:t>
      </w:r>
      <w:r w:rsidRPr="00405303">
        <w:rPr>
          <w:bCs/>
          <w:color w:val="002060"/>
          <w:sz w:val="16"/>
          <w:szCs w:val="16"/>
        </w:rPr>
        <w:t xml:space="preserve">г. </w:t>
      </w:r>
      <w:r w:rsidR="00484C07" w:rsidRPr="00405303">
        <w:rPr>
          <w:bCs/>
          <w:color w:val="002060"/>
          <w:sz w:val="16"/>
          <w:szCs w:val="16"/>
        </w:rPr>
        <w:t>вышел п</w:t>
      </w:r>
      <w:r w:rsidRPr="00405303">
        <w:rPr>
          <w:bCs/>
          <w:color w:val="002060"/>
          <w:sz w:val="16"/>
          <w:szCs w:val="16"/>
        </w:rPr>
        <w:t>риказ №222 о формировании Российского Императорского Военно-Воздушного Флота (11425).</w:t>
      </w:r>
    </w:p>
    <w:p w14:paraId="0FBD46C7" w14:textId="77777777" w:rsidR="004B4E35" w:rsidRPr="00405303" w:rsidRDefault="004B4E35" w:rsidP="00C15251">
      <w:pPr>
        <w:shd w:val="clear" w:color="auto" w:fill="FFFFFF"/>
        <w:jc w:val="both"/>
        <w:rPr>
          <w:bCs/>
          <w:color w:val="002060"/>
          <w:sz w:val="16"/>
          <w:szCs w:val="16"/>
        </w:rPr>
      </w:pPr>
    </w:p>
    <w:p w14:paraId="7BD30F9C" w14:textId="77777777" w:rsidR="00417CD1" w:rsidRPr="00405303" w:rsidRDefault="00417CD1" w:rsidP="00417CD1">
      <w:pPr>
        <w:widowControl w:val="0"/>
        <w:tabs>
          <w:tab w:val="left" w:pos="687"/>
        </w:tabs>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30 апреля (13 мая) 1915 г. немецкий аэроплан сбросил бомбу над Белостоком. При очередном воздушном налете погибли три местных жителя (25135).</w:t>
      </w:r>
    </w:p>
    <w:p w14:paraId="6B0ABB98" w14:textId="77777777" w:rsidR="00417CD1" w:rsidRPr="00405303" w:rsidRDefault="00417CD1" w:rsidP="00417CD1">
      <w:pPr>
        <w:widowControl w:val="0"/>
        <w:tabs>
          <w:tab w:val="left" w:pos="687"/>
        </w:tabs>
        <w:jc w:val="both"/>
        <w:rPr>
          <w:color w:val="0070C0"/>
          <w:sz w:val="16"/>
          <w:szCs w:val="16"/>
        </w:rPr>
      </w:pPr>
    </w:p>
    <w:p w14:paraId="15CBB407" w14:textId="77777777" w:rsidR="00417CD1" w:rsidRPr="00405303" w:rsidRDefault="00417CD1" w:rsidP="00417CD1">
      <w:pPr>
        <w:widowControl w:val="0"/>
        <w:tabs>
          <w:tab w:val="left" w:pos="687"/>
        </w:tabs>
        <w:jc w:val="both"/>
        <w:rPr>
          <w:color w:val="0070C0"/>
          <w:sz w:val="16"/>
          <w:szCs w:val="16"/>
        </w:rPr>
      </w:pPr>
      <w:r w:rsidRPr="00405303">
        <w:rPr>
          <w:rStyle w:val="aa"/>
          <w:rFonts w:ascii="Times New Roman" w:hAnsi="Times New Roman"/>
          <w:color w:val="0070C0"/>
          <w:spacing w:val="0"/>
          <w:sz w:val="16"/>
          <w:szCs w:val="16"/>
        </w:rPr>
        <w:t>30 апреля (13 мая) 1915 г. личный состав 6-й лейб-гвардейской Донской казачьей Его Величества батареи записал на свой счет очередную победу. Вечером того же дня наблюдатели заметили в районе г. Ломжа неприятельский аэроплан. Батарея открыла по нему огонь, причинив аппарату серьезные повреждения. По докладу разведывательных постов лейб-гвардейского Гренадерского полка – вражеский «аппарат упал в немецкие окопы» (25135).</w:t>
      </w:r>
      <w:r w:rsidRPr="00405303">
        <w:rPr>
          <w:color w:val="0070C0"/>
          <w:sz w:val="16"/>
          <w:szCs w:val="16"/>
        </w:rPr>
        <w:t xml:space="preserve"> </w:t>
      </w:r>
    </w:p>
    <w:p w14:paraId="42C6231F" w14:textId="77777777" w:rsidR="00417CD1" w:rsidRPr="00405303" w:rsidRDefault="00417CD1" w:rsidP="00417CD1">
      <w:pPr>
        <w:widowControl w:val="0"/>
        <w:tabs>
          <w:tab w:val="left" w:pos="687"/>
        </w:tabs>
        <w:jc w:val="both"/>
        <w:rPr>
          <w:color w:val="0070C0"/>
          <w:sz w:val="16"/>
          <w:szCs w:val="16"/>
        </w:rPr>
      </w:pPr>
    </w:p>
    <w:p w14:paraId="6B5108D2" w14:textId="6A5A53F3" w:rsidR="004B4E35" w:rsidRPr="00405303" w:rsidRDefault="009E6F82" w:rsidP="00C15251">
      <w:pPr>
        <w:jc w:val="both"/>
        <w:rPr>
          <w:bCs/>
          <w:color w:val="002060"/>
          <w:sz w:val="16"/>
          <w:szCs w:val="16"/>
        </w:rPr>
      </w:pPr>
      <w:r w:rsidRPr="00405303">
        <w:rPr>
          <w:bCs/>
          <w:color w:val="002060"/>
          <w:sz w:val="16"/>
          <w:szCs w:val="16"/>
        </w:rPr>
        <w:t>30 апреля</w:t>
      </w:r>
      <w:r w:rsidR="00484C07" w:rsidRPr="00405303">
        <w:rPr>
          <w:bCs/>
          <w:color w:val="002060"/>
          <w:sz w:val="16"/>
          <w:szCs w:val="16"/>
        </w:rPr>
        <w:t xml:space="preserve"> (13 мая) 1915 г.</w:t>
      </w:r>
      <w:r w:rsidRPr="00405303">
        <w:rPr>
          <w:bCs/>
          <w:color w:val="002060"/>
          <w:sz w:val="16"/>
          <w:szCs w:val="16"/>
        </w:rPr>
        <w:t xml:space="preserve"> поручик Головин при посадке сильно разбил учебный корабль типа Б №137, который после этого уже не подлежал ремонту (12038).</w:t>
      </w:r>
    </w:p>
    <w:p w14:paraId="1ECC59E6" w14:textId="77777777" w:rsidR="004B4E35" w:rsidRPr="00405303" w:rsidRDefault="004B4E35" w:rsidP="00C15251">
      <w:pPr>
        <w:jc w:val="both"/>
        <w:rPr>
          <w:bCs/>
          <w:color w:val="002060"/>
          <w:sz w:val="16"/>
          <w:szCs w:val="16"/>
        </w:rPr>
      </w:pPr>
    </w:p>
    <w:p w14:paraId="20A19EE7" w14:textId="58D67D3B" w:rsidR="004B4E35" w:rsidRPr="00405303" w:rsidRDefault="009E6F82" w:rsidP="00C15251">
      <w:pPr>
        <w:jc w:val="both"/>
        <w:rPr>
          <w:bCs/>
          <w:color w:val="002060"/>
          <w:sz w:val="16"/>
          <w:szCs w:val="16"/>
        </w:rPr>
      </w:pPr>
      <w:r w:rsidRPr="00405303">
        <w:rPr>
          <w:bCs/>
          <w:color w:val="002060"/>
          <w:sz w:val="16"/>
          <w:szCs w:val="16"/>
        </w:rPr>
        <w:t xml:space="preserve">30 апреля (13 мая) 1915 </w:t>
      </w:r>
      <w:r w:rsidR="00484C07" w:rsidRPr="00405303">
        <w:rPr>
          <w:bCs/>
          <w:color w:val="002060"/>
          <w:sz w:val="16"/>
          <w:szCs w:val="16"/>
        </w:rPr>
        <w:t>г.</w:t>
      </w:r>
      <w:r w:rsidRPr="00405303">
        <w:rPr>
          <w:bCs/>
          <w:color w:val="002060"/>
          <w:sz w:val="16"/>
          <w:szCs w:val="16"/>
        </w:rPr>
        <w:t xml:space="preserve"> </w:t>
      </w:r>
      <w:r w:rsidR="00484C07" w:rsidRPr="00405303">
        <w:rPr>
          <w:bCs/>
          <w:color w:val="002060"/>
          <w:sz w:val="16"/>
          <w:szCs w:val="16"/>
        </w:rPr>
        <w:t>п</w:t>
      </w:r>
      <w:r w:rsidRPr="00405303">
        <w:rPr>
          <w:bCs/>
          <w:color w:val="002060"/>
          <w:sz w:val="16"/>
          <w:szCs w:val="16"/>
        </w:rPr>
        <w:t>осле упорных боев 3-я русская армия отошла к р. Сан.</w:t>
      </w:r>
    </w:p>
    <w:p w14:paraId="7359CF4B" w14:textId="77777777" w:rsidR="004B4E35" w:rsidRPr="00405303" w:rsidRDefault="009E6F82" w:rsidP="00C15251">
      <w:pPr>
        <w:jc w:val="both"/>
        <w:rPr>
          <w:bCs/>
          <w:color w:val="002060"/>
          <w:sz w:val="16"/>
          <w:szCs w:val="16"/>
        </w:rPr>
      </w:pPr>
      <w:r w:rsidRPr="00405303">
        <w:rPr>
          <w:bCs/>
          <w:color w:val="002060"/>
          <w:sz w:val="16"/>
          <w:szCs w:val="16"/>
        </w:rPr>
        <w:t>Барражировавшая группа из пяти самолетов 12-й русской армии атаковала в районе Снядово германский разведывательный самолет "Альбатрос". Ни той ни другой стороне не удалось добиться успеха, однако, германский разведчик вынужден был удалиться.</w:t>
      </w:r>
    </w:p>
    <w:p w14:paraId="5772661B" w14:textId="77777777" w:rsidR="004B4E35" w:rsidRPr="00405303" w:rsidRDefault="009E6F82" w:rsidP="00C15251">
      <w:pPr>
        <w:jc w:val="both"/>
        <w:rPr>
          <w:bCs/>
          <w:color w:val="002060"/>
          <w:sz w:val="16"/>
          <w:szCs w:val="16"/>
        </w:rPr>
      </w:pPr>
      <w:r w:rsidRPr="00405303">
        <w:rPr>
          <w:bCs/>
          <w:color w:val="002060"/>
          <w:sz w:val="16"/>
          <w:szCs w:val="16"/>
        </w:rPr>
        <w:t>Тем не менее, русским летчикам не удавалось полностью воспрепятствовать противнику в его воздушной деятельности (11999).</w:t>
      </w:r>
    </w:p>
    <w:p w14:paraId="5AC40F5F" w14:textId="77777777" w:rsidR="004B4E35" w:rsidRPr="00405303" w:rsidRDefault="004B4E35" w:rsidP="00C15251">
      <w:pPr>
        <w:jc w:val="both"/>
        <w:rPr>
          <w:bCs/>
          <w:color w:val="002060"/>
          <w:sz w:val="16"/>
          <w:szCs w:val="16"/>
        </w:rPr>
      </w:pPr>
    </w:p>
    <w:p w14:paraId="67687A5F" w14:textId="61E88043" w:rsidR="00270464" w:rsidRPr="00405303" w:rsidRDefault="00270464" w:rsidP="00C15251">
      <w:pPr>
        <w:jc w:val="both"/>
        <w:rPr>
          <w:bCs/>
          <w:color w:val="002060"/>
          <w:sz w:val="16"/>
          <w:szCs w:val="16"/>
        </w:rPr>
      </w:pPr>
      <w:r w:rsidRPr="00405303">
        <w:rPr>
          <w:bCs/>
          <w:color w:val="002060"/>
          <w:sz w:val="16"/>
          <w:szCs w:val="16"/>
        </w:rPr>
        <w:t xml:space="preserve">30 апреля (13 мая) 1915 г. в связи с началом наступления немецких войск в Прибалтике и прорывом отдельных участков Северо-Западного фронта командующий Балтийским флотом отдал приказ о сдаче Либавы, предварительно уничтожив все военные объекты города. Тем не менее германский морской десант при захвате </w:t>
      </w:r>
      <w:r w:rsidRPr="00405303">
        <w:rPr>
          <w:bCs/>
          <w:color w:val="002060"/>
          <w:sz w:val="16"/>
          <w:szCs w:val="16"/>
        </w:rPr>
        <w:lastRenderedPageBreak/>
        <w:t>города столкнулся с серьезным сопротивлением. Русские артиллеристы подвергли периодическим обстрелам как морские, так и воздушные суда противника. 5 мая под огонь наших боевых расчетов попал германский гидросамолет, проводивший разведку Либавы. В свою очередь немецкие летчики путем планомерных облетов города получили сведения, что крепость не могла оказать серьезного сопротивления. Воздушное обеспечение действий неприятельской морской группы в районе города-порта осуществляли экипажи четырех гидросамолетов, размещенных на борту авиаматки «Глиндер» (Glinder) (23405).</w:t>
      </w:r>
    </w:p>
    <w:p w14:paraId="2E2B7624" w14:textId="77777777" w:rsidR="00270464" w:rsidRPr="00405303" w:rsidRDefault="00270464" w:rsidP="00C15251">
      <w:pPr>
        <w:jc w:val="both"/>
        <w:rPr>
          <w:bCs/>
          <w:color w:val="002060"/>
          <w:sz w:val="16"/>
          <w:szCs w:val="16"/>
          <w:lang w:bidi="ru-RU"/>
        </w:rPr>
      </w:pPr>
    </w:p>
    <w:p w14:paraId="2E8E8921"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2D2F73C2" w14:textId="77777777" w:rsidR="004B4E35" w:rsidRPr="00405303" w:rsidRDefault="004B4E35" w:rsidP="00C15251">
      <w:pPr>
        <w:jc w:val="both"/>
        <w:rPr>
          <w:bCs/>
          <w:i/>
          <w:color w:val="002060"/>
          <w:sz w:val="16"/>
          <w:szCs w:val="16"/>
        </w:rPr>
      </w:pPr>
    </w:p>
    <w:p w14:paraId="107898DE" w14:textId="1AFEF1A4" w:rsidR="004B4E35" w:rsidRPr="00405303" w:rsidRDefault="009E6F82" w:rsidP="00C15251">
      <w:pPr>
        <w:jc w:val="both"/>
        <w:rPr>
          <w:bCs/>
          <w:color w:val="002060"/>
          <w:sz w:val="16"/>
          <w:szCs w:val="16"/>
        </w:rPr>
      </w:pPr>
      <w:r w:rsidRPr="00405303">
        <w:rPr>
          <w:bCs/>
          <w:color w:val="002060"/>
          <w:sz w:val="16"/>
          <w:szCs w:val="16"/>
        </w:rPr>
        <w:t xml:space="preserve">30 апреля </w:t>
      </w:r>
      <w:r w:rsidR="00484C07" w:rsidRPr="00405303">
        <w:rPr>
          <w:bCs/>
          <w:color w:val="002060"/>
          <w:sz w:val="16"/>
          <w:szCs w:val="16"/>
        </w:rPr>
        <w:t xml:space="preserve">(13 мая) </w:t>
      </w:r>
      <w:r w:rsidRPr="00405303">
        <w:rPr>
          <w:bCs/>
          <w:color w:val="002060"/>
          <w:sz w:val="16"/>
          <w:szCs w:val="16"/>
        </w:rPr>
        <w:t>1915 г. авиация продемонстрировала свои возможности как нового рода сил, когда группа немецких кораблей вошло в Рижский залив и обстреляли несколько береговых объектов. Русское командование знало о предстоящем набеге из перехваченной радиограммы, но по причине сложной ледовой обстановки выделенные для его отражения корабли своевременно в Рижский залив прибыть не смогли. В создавшихся условиях силой, способной оказать противодействие, оказались самолёты морской авиации. Безусловно, причинить какой-либо существенный ущерб они не могли, но своим присутствием создавали видимость воздушной угрозы. Другими словами, воздействовали психически, что несколько сковывало действия противника.</w:t>
      </w:r>
    </w:p>
    <w:p w14:paraId="7D8D49BF" w14:textId="77777777" w:rsidR="004B4E35" w:rsidRPr="00405303" w:rsidRDefault="009E6F82" w:rsidP="00C15251">
      <w:pPr>
        <w:jc w:val="both"/>
        <w:rPr>
          <w:bCs/>
          <w:color w:val="002060"/>
          <w:sz w:val="16"/>
          <w:szCs w:val="16"/>
        </w:rPr>
      </w:pPr>
      <w:r w:rsidRPr="00405303">
        <w:rPr>
          <w:bCs/>
          <w:color w:val="002060"/>
          <w:sz w:val="16"/>
          <w:szCs w:val="16"/>
        </w:rPr>
        <w:t>Обстановка заставляла постоянно менять систему базирования авиации, а также принимать меры для укрепления обороны Рижского залива, устья Финского залива и Або-Оландских островов. Особое внимание обратили на Ревельскую авиационную станцию, которая до этого предназначалась для снобже- ния техникой и подготовки личного состава. С прибрежного участка её перенесли на место возле реки Бригитовка.</w:t>
      </w:r>
    </w:p>
    <w:p w14:paraId="30532112" w14:textId="77777777" w:rsidR="004B4E35" w:rsidRPr="00405303" w:rsidRDefault="009E6F82" w:rsidP="00C15251">
      <w:pPr>
        <w:jc w:val="both"/>
        <w:rPr>
          <w:bCs/>
          <w:color w:val="002060"/>
          <w:sz w:val="16"/>
          <w:szCs w:val="16"/>
        </w:rPr>
      </w:pPr>
      <w:r w:rsidRPr="00405303">
        <w:rPr>
          <w:bCs/>
          <w:color w:val="002060"/>
          <w:sz w:val="16"/>
          <w:szCs w:val="16"/>
        </w:rPr>
        <w:t>Балтийской авиации всё чаще приходилось взаимодействовать с авиацией военного ведомства, что в обстановке полной неразберихи тех лет и скромных возможностей средств связи, представлялось задачей нелёгкой и требовавшей принятия мер для налаживания если и не взаимодействия, то хотя бы взаимного опознавания (11927).</w:t>
      </w:r>
    </w:p>
    <w:p w14:paraId="00286C9C" w14:textId="77777777" w:rsidR="004B4E35" w:rsidRPr="00405303" w:rsidRDefault="004B4E35" w:rsidP="00C15251">
      <w:pPr>
        <w:jc w:val="both"/>
        <w:rPr>
          <w:bCs/>
          <w:color w:val="002060"/>
          <w:sz w:val="16"/>
          <w:szCs w:val="16"/>
        </w:rPr>
      </w:pPr>
    </w:p>
    <w:p w14:paraId="5F84C578" w14:textId="75D5B7B9" w:rsidR="00D14C59" w:rsidRPr="00405303" w:rsidRDefault="00D14C59" w:rsidP="00C15251">
      <w:pPr>
        <w:jc w:val="both"/>
        <w:rPr>
          <w:bCs/>
          <w:i/>
          <w:color w:val="002060"/>
          <w:sz w:val="16"/>
          <w:szCs w:val="16"/>
        </w:rPr>
      </w:pPr>
      <w:r w:rsidRPr="00405303">
        <w:rPr>
          <w:bCs/>
          <w:i/>
          <w:color w:val="002060"/>
          <w:sz w:val="16"/>
          <w:szCs w:val="16"/>
        </w:rPr>
        <w:t>Воздухоплавание:</w:t>
      </w:r>
    </w:p>
    <w:p w14:paraId="03986F34" w14:textId="77777777" w:rsidR="00D14C59" w:rsidRPr="00405303" w:rsidRDefault="00D14C59" w:rsidP="00C15251">
      <w:pPr>
        <w:jc w:val="both"/>
        <w:rPr>
          <w:bCs/>
          <w:i/>
          <w:color w:val="002060"/>
          <w:sz w:val="16"/>
          <w:szCs w:val="16"/>
        </w:rPr>
      </w:pPr>
    </w:p>
    <w:p w14:paraId="344473F9" w14:textId="77777777" w:rsidR="00D14C59" w:rsidRPr="00405303" w:rsidRDefault="00D14C59" w:rsidP="00C15251">
      <w:pPr>
        <w:jc w:val="both"/>
        <w:rPr>
          <w:bCs/>
          <w:color w:val="002060"/>
          <w:sz w:val="16"/>
          <w:szCs w:val="16"/>
        </w:rPr>
      </w:pPr>
      <w:r w:rsidRPr="00405303">
        <w:rPr>
          <w:rStyle w:val="42"/>
          <w:rFonts w:ascii="Times New Roman" w:hAnsi="Times New Roman" w:cs="Times New Roman"/>
          <w:bCs/>
          <w:color w:val="002060"/>
          <w:w w:val="100"/>
          <w:sz w:val="16"/>
          <w:szCs w:val="16"/>
        </w:rPr>
        <w:t>30 апреля (13 мая) 1915 «Астра» отправилась в свой первый боевой полёт с целью бомбардировки станции Граево, находившейся в ближайшем тылу про</w:t>
      </w:r>
      <w:r w:rsidRPr="00405303">
        <w:rPr>
          <w:rStyle w:val="42"/>
          <w:rFonts w:ascii="Times New Roman" w:hAnsi="Times New Roman" w:cs="Times New Roman"/>
          <w:bCs/>
          <w:color w:val="002060"/>
          <w:w w:val="100"/>
          <w:sz w:val="16"/>
          <w:szCs w:val="16"/>
        </w:rPr>
        <w:softHyphen/>
        <w:t>тивника перед крепостью Осовец. Дирижабль поднялся в 22.25 из Белостока и, пройдя над Осовцем, пошёл через Сосницкие позиции на Граево. Противник вскоре обнаружил аэростат, шедший на высоте 1400 м с малой скоростью против ветра, и, поймав его тремя прожектора</w:t>
      </w:r>
      <w:r w:rsidRPr="00405303">
        <w:rPr>
          <w:rStyle w:val="42"/>
          <w:rFonts w:ascii="Times New Roman" w:hAnsi="Times New Roman" w:cs="Times New Roman"/>
          <w:bCs/>
          <w:color w:val="002060"/>
          <w:w w:val="100"/>
          <w:sz w:val="16"/>
          <w:szCs w:val="16"/>
        </w:rPr>
        <w:softHyphen/>
        <w:t>ми, подверг «Астру» пулемётному и ружейному обстрелу. Ввиду сильного ветра и обнаружения противником «Астра» повернула назад и 1 мая в 1.40 опустилась на аэродроме. Р.Л. Нижевский вспоминал:</w:t>
      </w:r>
    </w:p>
    <w:p w14:paraId="4121F36F" w14:textId="77777777" w:rsidR="00D14C59" w:rsidRPr="00405303" w:rsidRDefault="00D14C59" w:rsidP="00C15251">
      <w:pPr>
        <w:pStyle w:val="60"/>
        <w:shd w:val="clear" w:color="auto" w:fill="auto"/>
        <w:spacing w:line="240" w:lineRule="auto"/>
        <w:rPr>
          <w:bCs/>
          <w:color w:val="002060"/>
        </w:rPr>
      </w:pPr>
      <w:r w:rsidRPr="00405303">
        <w:rPr>
          <w:bCs/>
          <w:color w:val="002060"/>
        </w:rPr>
        <w:t>Благополучно спустившись и введя дирижабль в ангар-эллинг, когда всё кругом затихло, мы долго ещё слышали свист газа, выходящего из оболочки че</w:t>
      </w:r>
      <w:r w:rsidRPr="00405303">
        <w:rPr>
          <w:bCs/>
          <w:color w:val="002060"/>
        </w:rPr>
        <w:softHyphen/>
        <w:t>рез пулевые отверстия &lt;...&gt; Поэтому мы должны были сейчас же приступить к заклейке этих дыр небольши</w:t>
      </w:r>
      <w:r w:rsidRPr="00405303">
        <w:rPr>
          <w:bCs/>
          <w:color w:val="002060"/>
        </w:rPr>
        <w:softHyphen/>
        <w:t>ми заплатками с нарисованными на них чёрной кра</w:t>
      </w:r>
      <w:r w:rsidRPr="00405303">
        <w:rPr>
          <w:bCs/>
          <w:color w:val="002060"/>
        </w:rPr>
        <w:softHyphen/>
        <w:t>ской немецкими крестиками. После сделанных мною трёх боевых полётов, прошедших в аналогичных ус</w:t>
      </w:r>
      <w:r w:rsidRPr="00405303">
        <w:rPr>
          <w:bCs/>
          <w:color w:val="002060"/>
        </w:rPr>
        <w:softHyphen/>
        <w:t>ловиях, вся оболочка дирижабля была покрыта таки</w:t>
      </w:r>
      <w:r w:rsidRPr="00405303">
        <w:rPr>
          <w:bCs/>
          <w:color w:val="002060"/>
        </w:rPr>
        <w:softHyphen/>
        <w:t>ми крестиками, числом до 200. Несколько десятков пробоин было найдено и в гондоле, две из них были всего лишь в нескольких сантиметрах от моего пилот</w:t>
      </w:r>
      <w:r w:rsidRPr="00405303">
        <w:rPr>
          <w:bCs/>
          <w:color w:val="002060"/>
        </w:rPr>
        <w:softHyphen/>
        <w:t>ского поста. Но Бог, очевидно, хранил нас, и за все эти три полёта никто из экипажа не был убит или ранен64.</w:t>
      </w:r>
    </w:p>
    <w:p w14:paraId="4E84C599" w14:textId="77777777" w:rsidR="00D14C59" w:rsidRPr="00405303" w:rsidRDefault="00D14C59" w:rsidP="00C15251">
      <w:pPr>
        <w:jc w:val="both"/>
        <w:rPr>
          <w:bCs/>
          <w:color w:val="002060"/>
          <w:sz w:val="16"/>
          <w:szCs w:val="16"/>
        </w:rPr>
      </w:pPr>
      <w:r w:rsidRPr="00405303">
        <w:rPr>
          <w:rStyle w:val="42"/>
          <w:rFonts w:ascii="Times New Roman" w:hAnsi="Times New Roman" w:cs="Times New Roman"/>
          <w:bCs/>
          <w:color w:val="002060"/>
          <w:w w:val="100"/>
          <w:sz w:val="16"/>
          <w:szCs w:val="16"/>
        </w:rPr>
        <w:t>Убедившись в безрезультатности таких по</w:t>
      </w:r>
      <w:r w:rsidRPr="00405303">
        <w:rPr>
          <w:rStyle w:val="42"/>
          <w:rFonts w:ascii="Times New Roman" w:hAnsi="Times New Roman" w:cs="Times New Roman"/>
          <w:bCs/>
          <w:color w:val="002060"/>
          <w:w w:val="100"/>
          <w:sz w:val="16"/>
          <w:szCs w:val="16"/>
        </w:rPr>
        <w:softHyphen/>
        <w:t>лётов, Р.Л. Нижевский подал рапорт о переводе в Эскадру воздушных кораблей «Илья Муро</w:t>
      </w:r>
      <w:r w:rsidRPr="00405303">
        <w:rPr>
          <w:rStyle w:val="42"/>
          <w:rFonts w:ascii="Times New Roman" w:hAnsi="Times New Roman" w:cs="Times New Roman"/>
          <w:bCs/>
          <w:color w:val="002060"/>
          <w:w w:val="100"/>
          <w:sz w:val="16"/>
          <w:szCs w:val="16"/>
        </w:rPr>
        <w:softHyphen/>
        <w:t>мец», который вскоре был удовлетворён (20120).</w:t>
      </w:r>
    </w:p>
    <w:p w14:paraId="569D5FB0" w14:textId="77777777" w:rsidR="00D14C59" w:rsidRPr="00405303" w:rsidRDefault="00D14C59" w:rsidP="00C15251">
      <w:pPr>
        <w:jc w:val="both"/>
        <w:rPr>
          <w:bCs/>
          <w:color w:val="002060"/>
          <w:sz w:val="16"/>
          <w:szCs w:val="16"/>
        </w:rPr>
      </w:pPr>
    </w:p>
    <w:p w14:paraId="29DB5193"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5DD53105" w14:textId="77777777" w:rsidR="004B4E35" w:rsidRPr="00405303" w:rsidRDefault="004B4E35" w:rsidP="00C15251">
      <w:pPr>
        <w:jc w:val="both"/>
        <w:rPr>
          <w:bCs/>
          <w:i/>
          <w:color w:val="002060"/>
          <w:sz w:val="16"/>
          <w:szCs w:val="16"/>
        </w:rPr>
      </w:pPr>
    </w:p>
    <w:p w14:paraId="5700FD42" w14:textId="77777777" w:rsidR="003B3144" w:rsidRPr="00405303" w:rsidRDefault="003B3144" w:rsidP="003B3144">
      <w:pPr>
        <w:jc w:val="both"/>
        <w:rPr>
          <w:color w:val="0070C0"/>
          <w:sz w:val="16"/>
          <w:szCs w:val="16"/>
        </w:rPr>
      </w:pPr>
      <w:r w:rsidRPr="00405303">
        <w:rPr>
          <w:color w:val="0070C0"/>
          <w:sz w:val="16"/>
          <w:szCs w:val="16"/>
        </w:rPr>
        <w:t>В течение последней недели апреля 1915 летчикам 1-го русского полевого авиаотряда (АО) удалось перехватить три вражеских летательных аппарата и заставить их ретироваться в свой тыл. По распоряжению командования 12-й армии СЗФ было организовано воздушное патрулирование в районе посада Снядово, где размещались основные силы армейской авиации (25135).</w:t>
      </w:r>
    </w:p>
    <w:p w14:paraId="5C00AF22" w14:textId="77777777" w:rsidR="003B3144" w:rsidRPr="00405303" w:rsidRDefault="003B3144" w:rsidP="003B3144">
      <w:pPr>
        <w:jc w:val="both"/>
        <w:rPr>
          <w:color w:val="0070C0"/>
          <w:sz w:val="16"/>
          <w:szCs w:val="16"/>
        </w:rPr>
      </w:pPr>
    </w:p>
    <w:p w14:paraId="56C67304" w14:textId="77777777" w:rsidR="004B4E35" w:rsidRPr="00405303" w:rsidRDefault="009E6F82" w:rsidP="00C15251">
      <w:pPr>
        <w:jc w:val="both"/>
        <w:rPr>
          <w:bCs/>
          <w:color w:val="002060"/>
          <w:sz w:val="16"/>
          <w:szCs w:val="16"/>
        </w:rPr>
      </w:pPr>
      <w:r w:rsidRPr="00405303">
        <w:rPr>
          <w:bCs/>
          <w:color w:val="002060"/>
          <w:sz w:val="16"/>
          <w:szCs w:val="16"/>
        </w:rPr>
        <w:t>В конце апреля 1915 г. Царское Село было включено в общую систему воздушной обороны российской столицы, но его статут продолжал оставаться самостоятельным. В связи с этим для САО была разработана и утверждена особая инструкция (Инструкция №7 для действий специального авиационного отряда для воздушной обороны императорской резиденции). 12 июля она была утверждена главнокомандующим 6-й армией генерал-адъютантом Н.Рузским (приводится в подлиннике) (11162).</w:t>
      </w:r>
    </w:p>
    <w:p w14:paraId="1637575E" w14:textId="77777777" w:rsidR="004B4E35" w:rsidRPr="00405303" w:rsidRDefault="004B4E35" w:rsidP="00C15251">
      <w:pPr>
        <w:jc w:val="both"/>
        <w:rPr>
          <w:bCs/>
          <w:color w:val="002060"/>
          <w:sz w:val="16"/>
          <w:szCs w:val="16"/>
        </w:rPr>
      </w:pPr>
    </w:p>
    <w:p w14:paraId="78B6F1FE" w14:textId="0024509D" w:rsidR="00270464" w:rsidRPr="00405303" w:rsidRDefault="00270464" w:rsidP="00C15251">
      <w:pPr>
        <w:jc w:val="both"/>
        <w:rPr>
          <w:bCs/>
          <w:i/>
          <w:color w:val="002060"/>
          <w:sz w:val="16"/>
          <w:szCs w:val="16"/>
        </w:rPr>
      </w:pPr>
      <w:r w:rsidRPr="00405303">
        <w:rPr>
          <w:bCs/>
          <w:i/>
          <w:color w:val="002060"/>
          <w:sz w:val="16"/>
          <w:szCs w:val="16"/>
        </w:rPr>
        <w:t>Морская авиация:</w:t>
      </w:r>
    </w:p>
    <w:p w14:paraId="38797909" w14:textId="77777777" w:rsidR="00270464" w:rsidRPr="00405303" w:rsidRDefault="00270464" w:rsidP="00C15251">
      <w:pPr>
        <w:jc w:val="both"/>
        <w:rPr>
          <w:bCs/>
          <w:i/>
          <w:color w:val="002060"/>
          <w:sz w:val="16"/>
          <w:szCs w:val="16"/>
        </w:rPr>
      </w:pPr>
    </w:p>
    <w:p w14:paraId="27251D3F" w14:textId="77777777" w:rsidR="00270464" w:rsidRPr="00405303" w:rsidRDefault="00270464" w:rsidP="00C15251">
      <w:pPr>
        <w:jc w:val="both"/>
        <w:rPr>
          <w:bCs/>
          <w:color w:val="002060"/>
          <w:sz w:val="16"/>
          <w:szCs w:val="16"/>
        </w:rPr>
      </w:pPr>
      <w:bookmarkStart w:id="118" w:name="bookmark68"/>
      <w:bookmarkStart w:id="119" w:name="bookmark69"/>
      <w:r w:rsidRPr="00405303">
        <w:rPr>
          <w:bCs/>
          <w:color w:val="002060"/>
          <w:sz w:val="16"/>
          <w:szCs w:val="16"/>
        </w:rPr>
        <w:t>В конце апреля 1915 г., с оставлением русскими войсками г. Либава, зенитная батарея морского ведомства Либавской крепости была расформирована. Несмотря на незначительный срок существования воздушной обороны морской крепости, он сумела отразить все налеты со стороны авиации противника, нанеся последней определенный урон. Так, 28 марта неприятельская летающая лодка сбросила на город несколько бомб преимущественно в районе мостов. При их разрыве убито двое гражданских лиц, еще двое получили ранение. При этом другой гидроаэроплан, ранее спущенный на воду с борта крейсера, обеспечивал корректировку стрельбы немецкой эскадры по нашим береговым позициям. Вскоре в ходе очередного налета германский гидроаэроплан бросил на Либаву 7 бомб, которые, разорвавшись, причинили повреждения нескольким зданиям. Позднее в небе города появился другой гидроаэроплан, также «бросивший несколько бомб, не причинивших, однако, вреда» (23405).</w:t>
      </w:r>
      <w:bookmarkEnd w:id="118"/>
      <w:bookmarkEnd w:id="119"/>
    </w:p>
    <w:p w14:paraId="55DFBE98" w14:textId="77777777" w:rsidR="00270464" w:rsidRPr="00405303" w:rsidRDefault="00270464" w:rsidP="00C15251">
      <w:pPr>
        <w:jc w:val="both"/>
        <w:rPr>
          <w:bCs/>
          <w:color w:val="002060"/>
          <w:sz w:val="16"/>
          <w:szCs w:val="16"/>
          <w:lang w:bidi="ru-RU"/>
        </w:rPr>
      </w:pPr>
    </w:p>
    <w:p w14:paraId="039FBCB7" w14:textId="77777777" w:rsidR="00270464" w:rsidRPr="00405303" w:rsidRDefault="00270464" w:rsidP="00C15251">
      <w:pPr>
        <w:jc w:val="both"/>
        <w:rPr>
          <w:bCs/>
          <w:color w:val="002060"/>
          <w:sz w:val="16"/>
          <w:szCs w:val="16"/>
        </w:rPr>
      </w:pPr>
      <w:bookmarkStart w:id="120" w:name="bookmark123"/>
      <w:bookmarkStart w:id="121" w:name="bookmark124"/>
      <w:bookmarkStart w:id="122" w:name="bookmark125"/>
      <w:bookmarkStart w:id="123" w:name="bookmark126"/>
      <w:r w:rsidRPr="00405303">
        <w:rPr>
          <w:bCs/>
          <w:color w:val="002060"/>
          <w:sz w:val="16"/>
          <w:szCs w:val="16"/>
        </w:rPr>
        <w:t xml:space="preserve">В течение последней недели апреля 1915 г. летчикам 1-го русского полевого авиаотряда (АО) благодаря «воздушной завесе» (барраж) удалось перехватить три вражеских летательных аппарата и заставить их ретироваться в свой тыл. По распоряжению командования 12-й армии СЗФ было организовано воздушное патрулирование в районе посада Снядово, где размещались основные силы армейской авиации. 26 мая сводной авиагруппой над н/п Червонный Шар был осуществлен перехват неприятельского «Альбатроса» (15-й полевой авиаотряд). Воспользовавшись лучшими летно-техническими качествами, немецкий самолет начал отрываться от преследования. Для его уничтожения летчик 4-го Сибирского авиаотряда старший унтер- офицер Воронин предпринял несколько неудачных попыток уничтожить его таранным (касательным) </w:t>
      </w:r>
      <w:proofErr w:type="gramStart"/>
      <w:r w:rsidRPr="00405303">
        <w:rPr>
          <w:bCs/>
          <w:color w:val="002060"/>
          <w:sz w:val="16"/>
          <w:szCs w:val="16"/>
        </w:rPr>
        <w:t>ударом[</w:t>
      </w:r>
      <w:proofErr w:type="gramEnd"/>
      <w:r w:rsidRPr="00405303">
        <w:rPr>
          <w:bCs/>
          <w:color w:val="002060"/>
          <w:sz w:val="16"/>
          <w:szCs w:val="16"/>
        </w:rPr>
        <w:t>116]. Чтобы исключить столкновения в воздухе, экипаж «Альбатроса» был вынужден снизить высоту полета, попал в зону огня русской зенитной артиллерии и оказался сбитым. Этот факт признала и германская сторона, подтвердив, что в результате падения самолета были госпитализированы раненые обер-лейтенант Р Розенбаум (умер на следующий день) и лейтенант В. Витке (23405).</w:t>
      </w:r>
      <w:bookmarkEnd w:id="120"/>
      <w:bookmarkEnd w:id="121"/>
      <w:bookmarkEnd w:id="122"/>
      <w:bookmarkEnd w:id="123"/>
    </w:p>
    <w:p w14:paraId="221776BF" w14:textId="77777777" w:rsidR="00270464" w:rsidRPr="00405303" w:rsidRDefault="00270464" w:rsidP="00C15251">
      <w:pPr>
        <w:jc w:val="both"/>
        <w:rPr>
          <w:bCs/>
          <w:color w:val="002060"/>
          <w:sz w:val="16"/>
          <w:szCs w:val="16"/>
          <w:lang w:bidi="ru-RU"/>
        </w:rPr>
      </w:pPr>
    </w:p>
    <w:p w14:paraId="641F6EBD" w14:textId="1D6EA33F"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24E82E57" w14:textId="77777777" w:rsidR="004B4E35" w:rsidRPr="00405303" w:rsidRDefault="004B4E35" w:rsidP="00C15251">
      <w:pPr>
        <w:jc w:val="both"/>
        <w:rPr>
          <w:bCs/>
          <w:i/>
          <w:color w:val="002060"/>
          <w:sz w:val="16"/>
          <w:szCs w:val="16"/>
        </w:rPr>
      </w:pPr>
    </w:p>
    <w:p w14:paraId="1995B670" w14:textId="77777777" w:rsidR="00D14C59" w:rsidRPr="00405303" w:rsidRDefault="00D14C59" w:rsidP="00C15251">
      <w:pPr>
        <w:jc w:val="both"/>
        <w:rPr>
          <w:bCs/>
          <w:color w:val="002060"/>
          <w:sz w:val="16"/>
          <w:szCs w:val="16"/>
        </w:rPr>
      </w:pPr>
      <w:r w:rsidRPr="00405303">
        <w:rPr>
          <w:bCs/>
          <w:color w:val="002060"/>
          <w:sz w:val="16"/>
          <w:szCs w:val="16"/>
          <w:shd w:val="clear" w:color="auto" w:fill="FFFFFF"/>
        </w:rPr>
        <w:t xml:space="preserve">В апреле 1915 года Лебедев добивается заказа на строительство и поставку морскому ведомству 31 гидроаэроплана типа «Ф.Б.А» на сумму свыше 200 тысяч рублей, при этом втулки, моторы и принадлежности к ним морское ведомство должно обеспечивать само. Строительство этих гидропланов продолжалось до конца 1916 года. Для их сборки и обслуживания, а также для проведения летных и морских испытаний в 1915 году В. Лебедев строит на взморье Крестовского острова в Петрограде навесы-полуангары. Этот очень выгодный контракт позволил В. А. Лебедеву не только в срок выполнить заказ, но и получить </w:t>
      </w:r>
      <w:proofErr w:type="gramStart"/>
      <w:r w:rsidRPr="00405303">
        <w:rPr>
          <w:bCs/>
          <w:color w:val="002060"/>
          <w:sz w:val="16"/>
          <w:szCs w:val="16"/>
          <w:shd w:val="clear" w:color="auto" w:fill="FFFFFF"/>
        </w:rPr>
        <w:t>но- вые</w:t>
      </w:r>
      <w:proofErr w:type="gramEnd"/>
      <w:r w:rsidRPr="00405303">
        <w:rPr>
          <w:bCs/>
          <w:color w:val="002060"/>
          <w:sz w:val="16"/>
          <w:szCs w:val="16"/>
          <w:shd w:val="clear" w:color="auto" w:fill="FFFFFF"/>
        </w:rPr>
        <w:t xml:space="preserve"> еще большие подряды на строительство новых самолетов (21146).</w:t>
      </w:r>
    </w:p>
    <w:p w14:paraId="1F84B6CA" w14:textId="77777777" w:rsidR="00D14C59" w:rsidRPr="00405303" w:rsidRDefault="00D14C59" w:rsidP="00C15251">
      <w:pPr>
        <w:jc w:val="both"/>
        <w:rPr>
          <w:bCs/>
          <w:color w:val="002060"/>
          <w:sz w:val="16"/>
          <w:szCs w:val="16"/>
        </w:rPr>
      </w:pPr>
    </w:p>
    <w:p w14:paraId="7A4685BC" w14:textId="77777777" w:rsidR="00A24BF5" w:rsidRPr="00405303" w:rsidRDefault="00A24BF5" w:rsidP="00C15251">
      <w:pPr>
        <w:pStyle w:val="2"/>
        <w:spacing w:before="0" w:after="0"/>
        <w:jc w:val="both"/>
        <w:rPr>
          <w:b w:val="0"/>
          <w:bCs/>
          <w:color w:val="002060"/>
          <w:sz w:val="16"/>
          <w:szCs w:val="16"/>
        </w:rPr>
      </w:pPr>
      <w:r w:rsidRPr="00405303">
        <w:rPr>
          <w:b w:val="0"/>
          <w:bCs/>
          <w:color w:val="002060"/>
          <w:sz w:val="16"/>
          <w:szCs w:val="16"/>
        </w:rPr>
        <w:lastRenderedPageBreak/>
        <w:t>В апреле 1915 ГВТУ распоряжением № 8492 предоставило «Дуксу» маленькую «поблажку» — разрешило сдавать в казну комплекты запчастей к «Ныопорам» с отставанием на три недели относительно сроков сдачи самолетов.</w:t>
      </w:r>
    </w:p>
    <w:p w14:paraId="7E857E18" w14:textId="77777777" w:rsidR="00A24BF5" w:rsidRPr="00405303" w:rsidRDefault="00A24BF5" w:rsidP="00C15251">
      <w:pPr>
        <w:pStyle w:val="2"/>
        <w:spacing w:before="0" w:after="0"/>
        <w:jc w:val="both"/>
        <w:rPr>
          <w:b w:val="0"/>
          <w:bCs/>
          <w:color w:val="002060"/>
          <w:sz w:val="16"/>
          <w:szCs w:val="16"/>
        </w:rPr>
      </w:pPr>
      <w:r w:rsidRPr="00405303">
        <w:rPr>
          <w:b w:val="0"/>
          <w:bCs/>
          <w:color w:val="002060"/>
          <w:sz w:val="16"/>
          <w:szCs w:val="16"/>
        </w:rPr>
        <w:t>Этот контракт примечателен тем, что его подписал лично Ю.А.Меллер (Брежнев) вместе с администратором правления АО «Дукс» подданным Великобритании Фомой (Томасом) Альбертовичем Стивенсом. Остальные контракты вместе со Ф.А.Стивенсом подписывал директор АО «Дукс» уроженец города Вейсехштейн Эстляидской губернии (ныне — Эстония) Иван Александрович Меллер — родной брат Ю.А.Меллера. Со стороны ГВТУ контракты и другие бумаги обычно подписывали начальник Технического отдела генерал-майор Болотов и за начальника Воздухоплавательного отделения — подполковник Сайлотов.</w:t>
      </w:r>
    </w:p>
    <w:p w14:paraId="62436836" w14:textId="3AE6EDFD" w:rsidR="00A24BF5" w:rsidRPr="00405303" w:rsidRDefault="00A24BF5" w:rsidP="00C15251">
      <w:pPr>
        <w:pStyle w:val="2"/>
        <w:spacing w:before="0" w:after="0"/>
        <w:jc w:val="both"/>
        <w:rPr>
          <w:b w:val="0"/>
          <w:bCs/>
          <w:color w:val="002060"/>
          <w:sz w:val="16"/>
          <w:szCs w:val="16"/>
        </w:rPr>
      </w:pPr>
      <w:r w:rsidRPr="00405303">
        <w:rPr>
          <w:b w:val="0"/>
          <w:bCs/>
          <w:color w:val="002060"/>
          <w:sz w:val="16"/>
          <w:szCs w:val="16"/>
        </w:rPr>
        <w:t>Судя по всему, контракты начала 1915 г. были выполнены на «Дуксе» без претензий со стороны ГВТУ, поскольку во второй половине 1915 г. объем заказов и сумму контрактов значительно увеличили</w:t>
      </w:r>
      <w:r w:rsidR="000F5756">
        <w:rPr>
          <w:b w:val="0"/>
          <w:bCs/>
          <w:color w:val="002060"/>
          <w:sz w:val="16"/>
          <w:szCs w:val="16"/>
        </w:rPr>
        <w:t xml:space="preserve"> </w:t>
      </w:r>
      <w:r w:rsidRPr="00405303">
        <w:rPr>
          <w:b w:val="0"/>
          <w:bCs/>
          <w:color w:val="002060"/>
          <w:sz w:val="16"/>
          <w:szCs w:val="16"/>
        </w:rPr>
        <w:t>(15464).</w:t>
      </w:r>
    </w:p>
    <w:p w14:paraId="4F01C572" w14:textId="77777777" w:rsidR="00A24BF5" w:rsidRPr="00405303" w:rsidRDefault="00A24BF5" w:rsidP="00C15251">
      <w:pPr>
        <w:pStyle w:val="2"/>
        <w:spacing w:before="0" w:after="0"/>
        <w:jc w:val="both"/>
        <w:rPr>
          <w:b w:val="0"/>
          <w:bCs/>
          <w:color w:val="002060"/>
          <w:sz w:val="16"/>
          <w:szCs w:val="16"/>
        </w:rPr>
      </w:pPr>
    </w:p>
    <w:p w14:paraId="12007A7D" w14:textId="4188EAC2" w:rsidR="004B4E35" w:rsidRPr="00405303" w:rsidRDefault="009E6F82" w:rsidP="00C15251">
      <w:pPr>
        <w:shd w:val="clear" w:color="auto" w:fill="FFFFFF"/>
        <w:jc w:val="both"/>
        <w:rPr>
          <w:bCs/>
          <w:color w:val="002060"/>
          <w:sz w:val="16"/>
          <w:szCs w:val="16"/>
        </w:rPr>
      </w:pPr>
      <w:r w:rsidRPr="00405303">
        <w:rPr>
          <w:bCs/>
          <w:color w:val="002060"/>
          <w:sz w:val="16"/>
          <w:szCs w:val="16"/>
        </w:rPr>
        <w:t>В апреле 1915 сгоревший в январе Воздухоплавательный отдел РБВЗ был восстановлен как завод Авиабалт. В 1916 был расширен на новой площадке, которой руководил Эргант, а на старой - Н.Н.П. (10783,22).</w:t>
      </w:r>
    </w:p>
    <w:p w14:paraId="3767B93E" w14:textId="77777777" w:rsidR="004B4E35" w:rsidRPr="00405303" w:rsidRDefault="004B4E35" w:rsidP="00C15251">
      <w:pPr>
        <w:shd w:val="clear" w:color="auto" w:fill="FFFFFF"/>
        <w:jc w:val="both"/>
        <w:rPr>
          <w:bCs/>
          <w:color w:val="002060"/>
          <w:sz w:val="16"/>
          <w:szCs w:val="16"/>
        </w:rPr>
      </w:pPr>
    </w:p>
    <w:p w14:paraId="4896635A" w14:textId="3CA2E793" w:rsidR="004B4E35" w:rsidRPr="00405303" w:rsidRDefault="009E6F82" w:rsidP="00C15251">
      <w:pPr>
        <w:jc w:val="both"/>
        <w:rPr>
          <w:bCs/>
          <w:color w:val="002060"/>
          <w:sz w:val="16"/>
          <w:szCs w:val="16"/>
        </w:rPr>
      </w:pPr>
      <w:r w:rsidRPr="00405303">
        <w:rPr>
          <w:bCs/>
          <w:color w:val="002060"/>
          <w:sz w:val="16"/>
          <w:szCs w:val="16"/>
        </w:rPr>
        <w:t>В апреле 1915 года был снят запрет на исполнение работ по контракту от 2 октября и выпуск "Муромцев" был возобновлён. Срок исполнения заказа на 32 корабля был перенесён на 1 сентября 1915 года (с учётом 148 дней временной приостановки работ).</w:t>
      </w:r>
    </w:p>
    <w:p w14:paraId="4C6E4D62" w14:textId="77777777" w:rsidR="004B4E35" w:rsidRPr="00405303" w:rsidRDefault="009E6F82" w:rsidP="00C15251">
      <w:pPr>
        <w:jc w:val="both"/>
        <w:rPr>
          <w:bCs/>
          <w:color w:val="002060"/>
          <w:sz w:val="16"/>
          <w:szCs w:val="16"/>
        </w:rPr>
      </w:pPr>
      <w:r w:rsidRPr="00405303">
        <w:rPr>
          <w:bCs/>
          <w:color w:val="002060"/>
          <w:sz w:val="16"/>
          <w:szCs w:val="16"/>
        </w:rPr>
        <w:t>В мае 1915 года воздухоплавательное отделение РБВЗ было реорганизовано в Рус- ско-Балтийский воздухоплавательный завод (или как его чаше называли "Авиа-Балт"). Его директором стал бывший заведующий отделением завода М.Ф. Климиксеев. В счёт утраченных при пожаре малых самолётов, 20 июня 1915 года завод заключил контракте ГВТУ за № 15976 на поставку ещё четырёх аэропланов типа "Илья Муромец" (№№ 158. 159, 163 и 165) с запасными частями на сумму 667.995 рублей. Казна платила за каждый корабль немалые деньги - цена не изменялась с 1914 года и составляла 150 тысяч рублей, тогда как одномоторный "маленький" аэроплан стоил от 7 до 14 тысяч.</w:t>
      </w:r>
    </w:p>
    <w:p w14:paraId="3E9B92B3" w14:textId="77777777" w:rsidR="004B4E35" w:rsidRPr="00405303" w:rsidRDefault="009E6F82" w:rsidP="00C15251">
      <w:pPr>
        <w:jc w:val="both"/>
        <w:rPr>
          <w:bCs/>
          <w:color w:val="002060"/>
          <w:sz w:val="16"/>
          <w:szCs w:val="16"/>
        </w:rPr>
      </w:pPr>
      <w:r w:rsidRPr="00405303">
        <w:rPr>
          <w:bCs/>
          <w:color w:val="002060"/>
          <w:sz w:val="16"/>
          <w:szCs w:val="16"/>
        </w:rPr>
        <w:t>Как же собирались самолёты типа "Илья Муромец"? На заводе применялся метод по- агрегатной сборки. Сначала изготавливали и собирали отдельные части аппарата: фюзеляж, стойки шасси (центральные и две пары подмоторных), верхние и нижние планы (крылья), горизонтальное оперение. Нижний план в свою очередь собирался из двух располагаемых по бортам фюзеляжа подмоторных частей и двух присоединяемых к ним крайних, а верхний - из семи частей: двух надмоторных, двух крайних, двух приставочных поверхностей (так называемых над- крылков) и одной центральной части, располагаемой над фюзеляжем (в терминах того времени).</w:t>
      </w:r>
    </w:p>
    <w:p w14:paraId="7157BEA8" w14:textId="77777777" w:rsidR="004B4E35" w:rsidRPr="00405303" w:rsidRDefault="009E6F82" w:rsidP="00C15251">
      <w:pPr>
        <w:jc w:val="both"/>
        <w:rPr>
          <w:bCs/>
          <w:color w:val="002060"/>
          <w:sz w:val="16"/>
          <w:szCs w:val="16"/>
        </w:rPr>
      </w:pPr>
      <w:r w:rsidRPr="00405303">
        <w:rPr>
          <w:bCs/>
          <w:color w:val="002060"/>
          <w:sz w:val="16"/>
          <w:szCs w:val="16"/>
        </w:rPr>
        <w:t>Соответственные части верхнего и нижнего планов в мастерских завода собирались в коробки с помощью стоек и усиливались диагональными расчалками из струнной проволоки. Две моторные и две крайние коробки с надкрылками выверялись в стапелях и пригонялись друг к другу. Пока делались крылья, в сборочной мастерской устанавливался готовый фюзеляж, уже обтянутый материей и поставленный на центральное шасси, и над ним устанавливался центральный сектор верхнего плана. Затем к фюзеляжу крепилось горизонтальное оперение, состоявшее из двух консолей, и моторные коробки планов, под которые подводилось шасси. После этого на нижних планах коробок крыльев устанавливались фермы под моторы.</w:t>
      </w:r>
    </w:p>
    <w:p w14:paraId="4E3A26DF" w14:textId="77777777" w:rsidR="004B4E35" w:rsidRPr="00405303" w:rsidRDefault="009E6F82" w:rsidP="00C15251">
      <w:pPr>
        <w:jc w:val="both"/>
        <w:rPr>
          <w:bCs/>
          <w:color w:val="002060"/>
          <w:sz w:val="16"/>
          <w:szCs w:val="16"/>
        </w:rPr>
      </w:pPr>
      <w:r w:rsidRPr="00405303">
        <w:rPr>
          <w:bCs/>
          <w:color w:val="002060"/>
          <w:sz w:val="16"/>
          <w:szCs w:val="16"/>
        </w:rPr>
        <w:t>По окончании сборочных работ наступала очередь механиков, которые устанавливали двигатели на фермы, пригоняли к ним по месту бензо-, масло- и воздухопроводы, электрическую проводку и соответствующую арматуру, а также устанавливали бензиновые и масляные баки и измерительные приборы. По техническим условиям контракта баки для бензина и масла (с указателями уровня) должны были быть изготовлены из красной меди или латуни. Для управления высотой и боковыми наклонами аппарата ставился качающийся штурвал, для поворотов аппарата в горизонтальной плоскости - ножной рычаг. Кабина должна была оснащаться следующими приборами: двумя компасами, двумя барометрами-анероидами, двумя указателями скорости и часами с секундной стрелкой.</w:t>
      </w:r>
    </w:p>
    <w:p w14:paraId="27F20BF6" w14:textId="77777777" w:rsidR="004B4E35" w:rsidRPr="00405303" w:rsidRDefault="009E6F82" w:rsidP="00C15251">
      <w:pPr>
        <w:jc w:val="both"/>
        <w:rPr>
          <w:bCs/>
          <w:color w:val="002060"/>
          <w:sz w:val="16"/>
          <w:szCs w:val="16"/>
        </w:rPr>
      </w:pPr>
      <w:r w:rsidRPr="00405303">
        <w:rPr>
          <w:bCs/>
          <w:color w:val="002060"/>
          <w:sz w:val="16"/>
          <w:szCs w:val="16"/>
        </w:rPr>
        <w:t>Этими действиями сборка аэроплана на Сикорский сидит на фоне заводе заканчивалась, он разбирался и пере- готовых фюзеляжей возился на Корпусной аэродром.</w:t>
      </w:r>
      <w:r w:rsidRPr="00405303">
        <w:rPr>
          <w:bCs/>
          <w:color w:val="002060"/>
          <w:sz w:val="16"/>
          <w:szCs w:val="16"/>
        </w:rPr>
        <w:tab/>
        <w:t>"Муромцев" типа Г</w:t>
      </w:r>
    </w:p>
    <w:p w14:paraId="0BC192C5" w14:textId="77777777" w:rsidR="004B4E35" w:rsidRPr="00405303" w:rsidRDefault="009E6F82" w:rsidP="00C15251">
      <w:pPr>
        <w:jc w:val="both"/>
        <w:rPr>
          <w:bCs/>
          <w:color w:val="002060"/>
          <w:sz w:val="16"/>
          <w:szCs w:val="16"/>
        </w:rPr>
      </w:pPr>
      <w:r w:rsidRPr="00405303">
        <w:rPr>
          <w:bCs/>
          <w:color w:val="002060"/>
          <w:sz w:val="16"/>
          <w:szCs w:val="16"/>
        </w:rPr>
        <w:t>Там в распоряжении завода имелись одна сборочная мастерская и два ангара на один аппарат каждый. В ангарах можно было полностью собирать корабль, т.е. хватало места для стыковки крайних коробок с надкрылками. В четырёх верстах от завода Военное ведомство предоставило три железных ангара, о назначении которых пойдёт речь ниже.</w:t>
      </w:r>
    </w:p>
    <w:p w14:paraId="1C283E19" w14:textId="77777777" w:rsidR="004B4E35" w:rsidRPr="00405303" w:rsidRDefault="009E6F82" w:rsidP="00C15251">
      <w:pPr>
        <w:jc w:val="both"/>
        <w:rPr>
          <w:bCs/>
          <w:color w:val="002060"/>
          <w:sz w:val="16"/>
          <w:szCs w:val="16"/>
        </w:rPr>
      </w:pPr>
      <w:r w:rsidRPr="00405303">
        <w:rPr>
          <w:bCs/>
          <w:color w:val="002060"/>
          <w:sz w:val="16"/>
          <w:szCs w:val="16"/>
        </w:rPr>
        <w:t>Доставленный с завода на Корпусной аэродром "Муромец", сначала поступал в сборочную мастерскую, где механиками производилась окончательная установка моторов. Такая работа занимала от трёх до четырёх дней.</w:t>
      </w:r>
    </w:p>
    <w:p w14:paraId="4EE31734" w14:textId="77777777" w:rsidR="004B4E35" w:rsidRPr="00405303" w:rsidRDefault="009E6F82" w:rsidP="00C15251">
      <w:pPr>
        <w:jc w:val="both"/>
        <w:rPr>
          <w:bCs/>
          <w:color w:val="002060"/>
          <w:sz w:val="16"/>
          <w:szCs w:val="16"/>
        </w:rPr>
      </w:pPr>
      <w:r w:rsidRPr="00405303">
        <w:rPr>
          <w:bCs/>
          <w:color w:val="002060"/>
          <w:sz w:val="16"/>
          <w:szCs w:val="16"/>
        </w:rPr>
        <w:t>Затем аппарат переводился в ангар, где к моторным планам присоединялись крайние коробки с надкрылками и производилась окончательная регулировка корабля, занимавшая два-три дня.</w:t>
      </w:r>
    </w:p>
    <w:p w14:paraId="78FE02B9" w14:textId="77777777" w:rsidR="004B4E35" w:rsidRPr="00405303" w:rsidRDefault="009E6F82" w:rsidP="00C15251">
      <w:pPr>
        <w:jc w:val="both"/>
        <w:rPr>
          <w:bCs/>
          <w:color w:val="002060"/>
          <w:sz w:val="16"/>
          <w:szCs w:val="16"/>
        </w:rPr>
      </w:pPr>
      <w:r w:rsidRPr="00405303">
        <w:rPr>
          <w:bCs/>
          <w:color w:val="002060"/>
          <w:sz w:val="16"/>
          <w:szCs w:val="16"/>
        </w:rPr>
        <w:t>Ещё день-два нужны были для регулировки двигателей.</w:t>
      </w:r>
    </w:p>
    <w:p w14:paraId="43BB756F" w14:textId="77777777" w:rsidR="004B4E35" w:rsidRPr="00405303" w:rsidRDefault="009E6F82" w:rsidP="00C15251">
      <w:pPr>
        <w:jc w:val="both"/>
        <w:rPr>
          <w:bCs/>
          <w:color w:val="002060"/>
          <w:sz w:val="16"/>
          <w:szCs w:val="16"/>
        </w:rPr>
      </w:pPr>
      <w:r w:rsidRPr="00405303">
        <w:rPr>
          <w:bCs/>
          <w:color w:val="002060"/>
          <w:sz w:val="16"/>
          <w:szCs w:val="16"/>
        </w:rPr>
        <w:t>Таким образом, для подготовки "Муромца" к сдаточному полёту уходило от шести до девяти дней.</w:t>
      </w:r>
    </w:p>
    <w:p w14:paraId="0994F17A" w14:textId="77777777" w:rsidR="004B4E35" w:rsidRPr="00405303" w:rsidRDefault="009E6F82" w:rsidP="00C15251">
      <w:pPr>
        <w:jc w:val="both"/>
        <w:rPr>
          <w:bCs/>
          <w:color w:val="002060"/>
          <w:sz w:val="16"/>
          <w:szCs w:val="16"/>
        </w:rPr>
      </w:pPr>
      <w:r w:rsidRPr="00405303">
        <w:rPr>
          <w:bCs/>
          <w:color w:val="002060"/>
          <w:sz w:val="16"/>
          <w:szCs w:val="16"/>
        </w:rPr>
        <w:t xml:space="preserve">После окончательной подготовки, аппараты должны были быть немедленно сданы и переправлены по воздуху (перелётом) в железные ангары Военного ведомства, так как условия местности не позволяли переправить самолёты "на руках". </w:t>
      </w:r>
    </w:p>
    <w:p w14:paraId="32009A1B" w14:textId="77777777" w:rsidR="004B4E35" w:rsidRPr="00405303" w:rsidRDefault="009E6F82" w:rsidP="00C15251">
      <w:pPr>
        <w:jc w:val="both"/>
        <w:rPr>
          <w:bCs/>
          <w:color w:val="002060"/>
          <w:sz w:val="16"/>
          <w:szCs w:val="16"/>
        </w:rPr>
      </w:pPr>
      <w:r w:rsidRPr="00405303">
        <w:rPr>
          <w:bCs/>
          <w:color w:val="002060"/>
          <w:sz w:val="16"/>
          <w:szCs w:val="16"/>
        </w:rPr>
        <w:t>Мотор РБВЗ.6 Сдача "Муромцев" задерживалась тем, (РБЗ.В) 150л.с. что у завода не было собственного лётчика- сдатчика, приходилось запрашивать и ждать пилотов из Эскадры. Это обстоятельство ощутимо срывало сроки, и собранные самолёты только зря занимали немногочисленные ангары. Вскоре пришли к тому, что приёмку корабля можно проводить не только в Петрограде, но и в Эскадре, где за сдаточный полёт засчитывали первый боевой вылет.</w:t>
      </w:r>
    </w:p>
    <w:p w14:paraId="5C24CDE8" w14:textId="77777777" w:rsidR="004B4E35" w:rsidRPr="00405303" w:rsidRDefault="009E6F82" w:rsidP="00C15251">
      <w:pPr>
        <w:jc w:val="both"/>
        <w:rPr>
          <w:bCs/>
          <w:color w:val="002060"/>
          <w:sz w:val="16"/>
          <w:szCs w:val="16"/>
        </w:rPr>
      </w:pPr>
      <w:r w:rsidRPr="00405303">
        <w:rPr>
          <w:bCs/>
          <w:color w:val="002060"/>
          <w:sz w:val="16"/>
          <w:szCs w:val="16"/>
        </w:rPr>
        <w:t>Выпуск самолётов модификации В ("остроносых" и "тупоносых") позволил несколько "утолить голод" Эскадры и наладить относительно регулярную боевую работу. Но Сикорский прекрасно понимал, что необходимо совершенствовать "Муромца", поскольку топтание на месте на самом деле вело назад.</w:t>
      </w:r>
    </w:p>
    <w:p w14:paraId="0AFC1DCB" w14:textId="77777777" w:rsidR="004B4E35" w:rsidRPr="00405303" w:rsidRDefault="009E6F82" w:rsidP="00C15251">
      <w:pPr>
        <w:jc w:val="both"/>
        <w:rPr>
          <w:bCs/>
          <w:color w:val="002060"/>
          <w:sz w:val="16"/>
          <w:szCs w:val="16"/>
        </w:rPr>
      </w:pPr>
      <w:r w:rsidRPr="00405303">
        <w:rPr>
          <w:bCs/>
          <w:color w:val="002060"/>
          <w:sz w:val="16"/>
          <w:szCs w:val="16"/>
        </w:rPr>
        <w:t>"Моторный голод" был ахиллесовой пятой российской авиации практически с самого её зарождения. Отсутствие отечественных моторов необходимой мощности и перебои с поставками из-за рубежа привели руководство РБВЗ к решению наладить на заводе и производство собственных двигателей. Дело это оказалось не столь простым и разработка, испытания и запуск производства заняли много времени. Тем не менее, в 1915 году на рижском отделении РБВЗ под руководством инженера В.В. Киреева был создан и испытан шестицилиндровый рядный двигатель РБВЗ.6 (РБ3.6) в 150 л.с. Установленные на "Муромце" тип В (№167) летом 1915 года, они показали себя с самой лучшей стороны, мало уступая германским "Аргусам".</w:t>
      </w:r>
    </w:p>
    <w:p w14:paraId="050FA66D" w14:textId="77777777" w:rsidR="004B4E35" w:rsidRPr="00405303" w:rsidRDefault="009E6F82" w:rsidP="00C15251">
      <w:pPr>
        <w:jc w:val="both"/>
        <w:rPr>
          <w:bCs/>
          <w:color w:val="002060"/>
          <w:sz w:val="16"/>
          <w:szCs w:val="16"/>
        </w:rPr>
      </w:pPr>
      <w:r w:rsidRPr="00405303">
        <w:rPr>
          <w:bCs/>
          <w:color w:val="002060"/>
          <w:sz w:val="16"/>
          <w:szCs w:val="16"/>
        </w:rPr>
        <w:t>Эвакуация рижского'завода осенью 1915 года не позволила расширить выпуск двигателей. В Москве к этому времени наладили лицензионный выпуск "Сальмсонов" М9 в 150 л.с., но не слишком удачный опыт их эксплуатации на "Муромцах" из-за большого лобового сопротивления, привёл к отказу от их использования.</w:t>
      </w:r>
    </w:p>
    <w:p w14:paraId="4470677C" w14:textId="77777777" w:rsidR="004B4E35" w:rsidRPr="00405303" w:rsidRDefault="009E6F82" w:rsidP="00C15251">
      <w:pPr>
        <w:jc w:val="both"/>
        <w:rPr>
          <w:bCs/>
          <w:color w:val="002060"/>
          <w:sz w:val="16"/>
          <w:szCs w:val="16"/>
        </w:rPr>
      </w:pPr>
      <w:r w:rsidRPr="00405303">
        <w:rPr>
          <w:bCs/>
          <w:color w:val="002060"/>
          <w:sz w:val="16"/>
          <w:szCs w:val="16"/>
        </w:rPr>
        <w:t>Пока суть да дело, было решено закупить в Великобритании восьмицилиндровые V-образные двигатели водяного охлаждения "Санбим" в 150 л.с. На практике закупленные двигатели развивали не более 130 л.с., что заметно снижало боевые качества "Муромцев". В эксплуатации "Санбимы" оказались капризными и ненадёжными. Впервые установленные на них лобовые радиаторы заметно повышали сопротивление. Рекламации шли из Эскадры широким потоком, двигатели в массовом порядке отправлялись обратно на переборку и доработку. Но выбирать было не из чего...</w:t>
      </w:r>
    </w:p>
    <w:p w14:paraId="273EC941" w14:textId="77777777" w:rsidR="004B4E35" w:rsidRPr="00405303" w:rsidRDefault="009E6F82" w:rsidP="00C15251">
      <w:pPr>
        <w:jc w:val="both"/>
        <w:rPr>
          <w:bCs/>
          <w:color w:val="002060"/>
          <w:sz w:val="16"/>
          <w:szCs w:val="16"/>
        </w:rPr>
      </w:pPr>
      <w:r w:rsidRPr="00405303">
        <w:rPr>
          <w:bCs/>
          <w:color w:val="002060"/>
          <w:sz w:val="16"/>
          <w:szCs w:val="16"/>
        </w:rPr>
        <w:t>Шидловский и Сикорский решили пойти на изменение конструкции для улучшения лётных характеристик своих воздушных гигантов. Улучшения было решено добиваться двумя путями. Первый путь заключался в совершенствовании винтомоторной установки, второй - в совершенствовании самого самолёта.</w:t>
      </w:r>
    </w:p>
    <w:p w14:paraId="2EBB87D9" w14:textId="77777777" w:rsidR="004B4E35" w:rsidRPr="00405303" w:rsidRDefault="009E6F82" w:rsidP="00C15251">
      <w:pPr>
        <w:jc w:val="both"/>
        <w:rPr>
          <w:bCs/>
          <w:color w:val="002060"/>
          <w:sz w:val="16"/>
          <w:szCs w:val="16"/>
        </w:rPr>
      </w:pPr>
      <w:r w:rsidRPr="00405303">
        <w:rPr>
          <w:bCs/>
          <w:color w:val="002060"/>
          <w:sz w:val="16"/>
          <w:szCs w:val="16"/>
        </w:rPr>
        <w:t>В первом направлении Сикорский решил уменьшить сопротивление двигательной установки и повысить КПД винтов. Во втором - увеличить площадь крыла и поддержать удельную нагрузку на крыло на прежнем уровне (12041).</w:t>
      </w:r>
    </w:p>
    <w:p w14:paraId="6B576360" w14:textId="77777777" w:rsidR="004B4E35" w:rsidRPr="00405303" w:rsidRDefault="004B4E35" w:rsidP="00C15251">
      <w:pPr>
        <w:jc w:val="both"/>
        <w:rPr>
          <w:bCs/>
          <w:color w:val="002060"/>
          <w:sz w:val="16"/>
          <w:szCs w:val="16"/>
        </w:rPr>
      </w:pPr>
    </w:p>
    <w:p w14:paraId="128C480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апреле 1915 г. первый экземпляр М-5 построили на заводе Щетини</w:t>
      </w:r>
      <w:r w:rsidRPr="00405303">
        <w:rPr>
          <w:bCs/>
          <w:color w:val="002060"/>
          <w:sz w:val="16"/>
          <w:szCs w:val="16"/>
        </w:rPr>
        <w:softHyphen/>
        <w:t>на (11107).</w:t>
      </w:r>
    </w:p>
    <w:p w14:paraId="2AB3C242" w14:textId="77777777" w:rsidR="004B4E35" w:rsidRPr="00405303" w:rsidRDefault="004B4E35" w:rsidP="00C15251">
      <w:pPr>
        <w:shd w:val="clear" w:color="auto" w:fill="FFFFFF"/>
        <w:jc w:val="both"/>
        <w:rPr>
          <w:bCs/>
          <w:color w:val="002060"/>
          <w:sz w:val="16"/>
          <w:szCs w:val="16"/>
        </w:rPr>
      </w:pPr>
    </w:p>
    <w:p w14:paraId="4D301AAB" w14:textId="7CFB4C1B" w:rsidR="004B4E35" w:rsidRPr="00405303" w:rsidRDefault="00484C07"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апреле 1915 г.</w:t>
      </w:r>
      <w:r w:rsidRPr="00405303">
        <w:rPr>
          <w:bCs/>
          <w:color w:val="002060"/>
          <w:sz w:val="16"/>
          <w:szCs w:val="16"/>
        </w:rPr>
        <w:t xml:space="preserve"> завершилась пост</w:t>
      </w:r>
      <w:r w:rsidRPr="00405303">
        <w:rPr>
          <w:bCs/>
          <w:color w:val="002060"/>
          <w:sz w:val="16"/>
          <w:szCs w:val="16"/>
        </w:rPr>
        <w:softHyphen/>
        <w:t>ройка прототипа М-5</w:t>
      </w:r>
      <w:r w:rsidR="009E6F82" w:rsidRPr="00405303">
        <w:rPr>
          <w:bCs/>
          <w:color w:val="002060"/>
          <w:sz w:val="16"/>
          <w:szCs w:val="16"/>
        </w:rPr>
        <w:t xml:space="preserve">, а в мае пилот фирмы Я. И. Седов-Серов благополучно испытал машину на станции на Крестовском острове. Еще до этого, 16 апреля С. С. Щетинин уведомил МГШ о готовности завода собрать 4 аппарата типа М-5, по цене 9 тыс. 500 рублей за каждый и в период с 1в мая по </w:t>
      </w:r>
      <w:r w:rsidR="009E6F82" w:rsidRPr="00405303">
        <w:rPr>
          <w:bCs/>
          <w:color w:val="002060"/>
          <w:sz w:val="16"/>
          <w:szCs w:val="16"/>
        </w:rPr>
        <w:lastRenderedPageBreak/>
        <w:t>5 июня. Предложение сопровождалось обещанием послать, в случае необходимости, все эти самолеты и сдаточную бригаду в составе инженера, летчика и механика в Севастополь для проведения опытов, в ходе которых планировалось достичь скороподъемности 500 м за 10 минут с полезным грузом 310 кг. По всей видимости, в ответ на заявление последовал визит морских авиаторов на завод и осмотр первого экземпляра летающей лодки, после чего уже 20 апреля командир Петроградского порта полу</w:t>
      </w:r>
      <w:r w:rsidR="009E6F82" w:rsidRPr="00405303">
        <w:rPr>
          <w:bCs/>
          <w:color w:val="002060"/>
          <w:sz w:val="16"/>
          <w:szCs w:val="16"/>
        </w:rPr>
        <w:softHyphen/>
        <w:t xml:space="preserve">чил инструкции подписать с фирмой соответствующий контракт, </w:t>
      </w:r>
      <w:proofErr w:type="gramStart"/>
      <w:r w:rsidR="009E6F82" w:rsidRPr="00405303">
        <w:rPr>
          <w:bCs/>
          <w:color w:val="002060"/>
          <w:sz w:val="16"/>
          <w:szCs w:val="16"/>
        </w:rPr>
        <w:t>причем</w:t>
      </w:r>
      <w:proofErr w:type="gramEnd"/>
      <w:r w:rsidR="009E6F82" w:rsidRPr="00405303">
        <w:rPr>
          <w:bCs/>
          <w:color w:val="002060"/>
          <w:sz w:val="16"/>
          <w:szCs w:val="16"/>
        </w:rPr>
        <w:t xml:space="preserve"> как и прежде Морское ведом</w:t>
      </w:r>
      <w:r w:rsidR="009E6F82" w:rsidRPr="00405303">
        <w:rPr>
          <w:bCs/>
          <w:color w:val="002060"/>
          <w:sz w:val="16"/>
          <w:szCs w:val="16"/>
        </w:rPr>
        <w:softHyphen/>
        <w:t>ство обязалось обеспечить доставку нужных двигателей и пропеллеров. Однако, из-за не вполне понят</w:t>
      </w:r>
      <w:r w:rsidR="009E6F82" w:rsidRPr="00405303">
        <w:rPr>
          <w:bCs/>
          <w:color w:val="002060"/>
          <w:sz w:val="16"/>
          <w:szCs w:val="16"/>
        </w:rPr>
        <w:softHyphen/>
        <w:t>ной почти месячной задержки соглашение между сторонами появилось только 27 мая, оговаривая произ</w:t>
      </w:r>
      <w:r w:rsidR="009E6F82" w:rsidRPr="00405303">
        <w:rPr>
          <w:bCs/>
          <w:color w:val="002060"/>
          <w:sz w:val="16"/>
          <w:szCs w:val="16"/>
        </w:rPr>
        <w:softHyphen/>
        <w:t>водство 12 аппаратов в период с 30 мая по 15 июля — несомненно, что столь близкий срок завершения сборки первых лодок мог объясняться только наличием у ПРТВ почти готовых гидро. Удивительно, но компания уложилась в обусловленные сроки, опоздав лишь на 5 дней, а приемка изделий флотом осуще</w:t>
      </w:r>
      <w:r w:rsidR="009E6F82" w:rsidRPr="00405303">
        <w:rPr>
          <w:bCs/>
          <w:color w:val="002060"/>
          <w:sz w:val="16"/>
          <w:szCs w:val="16"/>
        </w:rPr>
        <w:softHyphen/>
        <w:t>ствлялась, скорее всего, лейтенантом Г. А. Фриде, опытным пилотом и одаренным изобретателем (2807).</w:t>
      </w:r>
    </w:p>
    <w:p w14:paraId="497BF0E8" w14:textId="77777777" w:rsidR="004B4E35" w:rsidRPr="00405303" w:rsidRDefault="004B4E35" w:rsidP="00C15251">
      <w:pPr>
        <w:shd w:val="clear" w:color="auto" w:fill="FFFFFF"/>
        <w:jc w:val="both"/>
        <w:rPr>
          <w:bCs/>
          <w:color w:val="002060"/>
          <w:sz w:val="16"/>
          <w:szCs w:val="16"/>
        </w:rPr>
      </w:pPr>
    </w:p>
    <w:p w14:paraId="75465DD0" w14:textId="1293BD6B" w:rsidR="006A3B54" w:rsidRPr="00405303" w:rsidRDefault="006A3B54" w:rsidP="00C15251">
      <w:pPr>
        <w:jc w:val="both"/>
        <w:rPr>
          <w:bCs/>
          <w:color w:val="002060"/>
          <w:sz w:val="16"/>
          <w:szCs w:val="16"/>
        </w:rPr>
      </w:pPr>
      <w:r w:rsidRPr="00405303">
        <w:rPr>
          <w:bCs/>
          <w:color w:val="002060"/>
          <w:sz w:val="16"/>
          <w:szCs w:val="16"/>
        </w:rPr>
        <w:t>В апреле 1915 г. появилась М-5, которая считается</w:t>
      </w:r>
      <w:r w:rsidR="000F5756">
        <w:rPr>
          <w:bCs/>
          <w:color w:val="002060"/>
          <w:sz w:val="16"/>
          <w:szCs w:val="16"/>
        </w:rPr>
        <w:t xml:space="preserve"> </w:t>
      </w:r>
      <w:r w:rsidRPr="00405303">
        <w:rPr>
          <w:bCs/>
          <w:color w:val="002060"/>
          <w:sz w:val="16"/>
          <w:szCs w:val="16"/>
        </w:rPr>
        <w:t>первой более или менее удачной летающей лодкой ПРТВ (Первое Российское Товари</w:t>
      </w:r>
      <w:r w:rsidRPr="00405303">
        <w:rPr>
          <w:bCs/>
          <w:color w:val="002060"/>
          <w:sz w:val="16"/>
          <w:szCs w:val="16"/>
        </w:rPr>
        <w:softHyphen/>
        <w:t>щество Воздухоплавателей). За слу</w:t>
      </w:r>
      <w:r w:rsidRPr="00405303">
        <w:rPr>
          <w:bCs/>
          <w:color w:val="002060"/>
          <w:sz w:val="16"/>
          <w:szCs w:val="16"/>
        </w:rPr>
        <w:softHyphen/>
        <w:t>жебное отличие Д.П. Григорович по ходатайству Морского генерально</w:t>
      </w:r>
      <w:r w:rsidRPr="00405303">
        <w:rPr>
          <w:bCs/>
          <w:color w:val="002060"/>
          <w:sz w:val="16"/>
          <w:szCs w:val="16"/>
        </w:rPr>
        <w:softHyphen/>
        <w:t>го штаба был награжден орденом св. Владимира 4-й степени. Испы</w:t>
      </w:r>
      <w:r w:rsidRPr="00405303">
        <w:rPr>
          <w:bCs/>
          <w:color w:val="002060"/>
          <w:sz w:val="16"/>
          <w:szCs w:val="16"/>
        </w:rPr>
        <w:softHyphen/>
        <w:t>тания самолёта производил пилот фирмы Я.И. Седов-Серов в мае 1915 г.</w:t>
      </w:r>
    </w:p>
    <w:p w14:paraId="2789DE70" w14:textId="77777777" w:rsidR="006A3B54" w:rsidRPr="00405303" w:rsidRDefault="006A3B54" w:rsidP="00C15251">
      <w:pPr>
        <w:jc w:val="both"/>
        <w:rPr>
          <w:bCs/>
          <w:color w:val="002060"/>
          <w:sz w:val="16"/>
          <w:szCs w:val="16"/>
        </w:rPr>
      </w:pPr>
    </w:p>
    <w:p w14:paraId="0C5B2F64" w14:textId="77777777" w:rsidR="00F600E7" w:rsidRPr="00405303" w:rsidRDefault="00F600E7" w:rsidP="00C15251">
      <w:pPr>
        <w:jc w:val="both"/>
        <w:rPr>
          <w:bCs/>
          <w:color w:val="002060"/>
          <w:sz w:val="16"/>
          <w:szCs w:val="16"/>
        </w:rPr>
      </w:pPr>
      <w:r w:rsidRPr="00405303">
        <w:rPr>
          <w:bCs/>
          <w:color w:val="002060"/>
          <w:sz w:val="16"/>
          <w:szCs w:val="16"/>
        </w:rPr>
        <w:t>В апреле 1915 г. на заводе Щетинина построили первый экземпляр М-5, спустя месяц самолет благополучно прошел испытания, и далее началась его многолетняя история использования.</w:t>
      </w:r>
    </w:p>
    <w:p w14:paraId="2135C069" w14:textId="77777777" w:rsidR="00F600E7" w:rsidRPr="00405303" w:rsidRDefault="00F600E7" w:rsidP="00C15251">
      <w:pPr>
        <w:jc w:val="both"/>
        <w:rPr>
          <w:bCs/>
          <w:color w:val="002060"/>
          <w:sz w:val="16"/>
          <w:szCs w:val="16"/>
        </w:rPr>
      </w:pPr>
      <w:r w:rsidRPr="00405303">
        <w:rPr>
          <w:bCs/>
          <w:color w:val="002060"/>
          <w:sz w:val="16"/>
          <w:szCs w:val="16"/>
        </w:rPr>
        <w:t>Основная часть М-5 оснащалась двигателями "Гном Моносупап" 100 л.с. С этим двигателем получилось наиболее удачное соотношение мощности, полетного веса и размеров самолета, позволявшее летчикам оценивать его как приятный в полете, а по своей доступности и безопасности считать отличным учебным аппаратом. В последнем своем качестве М-5 положительно запомнился многим обучившимся на нем авиаторам и даже получил весьма благосклонное прозвище "пятак".</w:t>
      </w:r>
    </w:p>
    <w:p w14:paraId="26232EA6" w14:textId="77777777" w:rsidR="00F600E7" w:rsidRPr="00405303" w:rsidRDefault="00F600E7" w:rsidP="00C15251">
      <w:pPr>
        <w:jc w:val="both"/>
        <w:rPr>
          <w:bCs/>
          <w:color w:val="002060"/>
          <w:sz w:val="16"/>
          <w:szCs w:val="16"/>
        </w:rPr>
      </w:pPr>
      <w:r w:rsidRPr="00405303">
        <w:rPr>
          <w:bCs/>
          <w:color w:val="002060"/>
          <w:sz w:val="16"/>
          <w:szCs w:val="16"/>
        </w:rPr>
        <w:t>Одновременно, М-5 обладал невысокими летными донными, его полетная скорость находилась в пределах 100 км/ч. Григорович неоднократно пытался улучшить характеристики М-5 путем установки более мощных двигателей, однако, единожды достигнутая гармония (с "Гном Моносупап") нарушалась и летные качества только ухудшались.</w:t>
      </w:r>
    </w:p>
    <w:p w14:paraId="2EC15A1E" w14:textId="77777777" w:rsidR="00F600E7" w:rsidRPr="00405303" w:rsidRDefault="00F600E7" w:rsidP="00C15251">
      <w:pPr>
        <w:jc w:val="both"/>
        <w:rPr>
          <w:bCs/>
          <w:color w:val="002060"/>
          <w:sz w:val="16"/>
          <w:szCs w:val="16"/>
        </w:rPr>
      </w:pPr>
      <w:r w:rsidRPr="00405303">
        <w:rPr>
          <w:bCs/>
          <w:color w:val="002060"/>
          <w:sz w:val="16"/>
          <w:szCs w:val="16"/>
        </w:rPr>
        <w:t>На Балтике самолет не вызвал большого интереса: хотя М-5 имел легкое и приятное управление по всем трем осям, по летным характеристикам ФБА он не превосходил. А война там шла жестокая. С апреля 1915 г. обе стороны выполняли ежедневные разведывательные полеты, в июле состоялись первые воздушные стычки, б которых противники отчаянно обстреливали друг друга из карабинов и маузеров. В сентябре отмечались практически ежедневные воздушные бои, в которых соотношение сил (увы!) составляло обычно два к пяти в пользу немецких авиаторов.</w:t>
      </w:r>
    </w:p>
    <w:p w14:paraId="4AAAF322" w14:textId="77777777" w:rsidR="00F600E7" w:rsidRPr="00405303" w:rsidRDefault="00F600E7" w:rsidP="00C15251">
      <w:pPr>
        <w:jc w:val="both"/>
        <w:rPr>
          <w:bCs/>
          <w:color w:val="002060"/>
          <w:sz w:val="16"/>
          <w:szCs w:val="16"/>
        </w:rPr>
      </w:pPr>
      <w:r w:rsidRPr="00405303">
        <w:rPr>
          <w:bCs/>
          <w:color w:val="002060"/>
          <w:sz w:val="16"/>
          <w:szCs w:val="16"/>
        </w:rPr>
        <w:t xml:space="preserve">На Черном море, ввиду превосходства русского флота, обстановка для авиации была более спокойной. При этом "Кертиссы", составлявшие ядро самолетного парка, обладали гораздо худшими летными характеристиками, чем даже ранние М-4 Григоровича. Поэтому прибытие 16 мая 1915 г. в Севастополь М-5 первого образца воспринималось как вполне положительное явление. Кроме того, по сравнению с французской лодкой ФБА, М-5 оказалась прочнее и гораздо лучше выдерживала посадку на крутую черноморскую волну. Все указанные обстоятельства привели к тому, что очень скоро </w:t>
      </w:r>
      <w:proofErr w:type="gramStart"/>
      <w:r w:rsidRPr="00405303">
        <w:rPr>
          <w:bCs/>
          <w:color w:val="002060"/>
          <w:sz w:val="16"/>
          <w:szCs w:val="16"/>
        </w:rPr>
        <w:t>последо-вал</w:t>
      </w:r>
      <w:proofErr w:type="gramEnd"/>
      <w:r w:rsidRPr="00405303">
        <w:rPr>
          <w:bCs/>
          <w:color w:val="002060"/>
          <w:sz w:val="16"/>
          <w:szCs w:val="16"/>
        </w:rPr>
        <w:t xml:space="preserve"> заказ на 12 таких лодок для авиации Черноморского флота.</w:t>
      </w:r>
    </w:p>
    <w:p w14:paraId="1B3E4F12" w14:textId="77777777" w:rsidR="00F600E7" w:rsidRPr="00405303" w:rsidRDefault="00F600E7" w:rsidP="00C15251">
      <w:pPr>
        <w:jc w:val="both"/>
        <w:rPr>
          <w:bCs/>
          <w:color w:val="002060"/>
          <w:sz w:val="16"/>
          <w:szCs w:val="16"/>
        </w:rPr>
      </w:pPr>
      <w:r w:rsidRPr="00405303">
        <w:rPr>
          <w:bCs/>
          <w:color w:val="002060"/>
          <w:sz w:val="16"/>
          <w:szCs w:val="16"/>
        </w:rPr>
        <w:t>Серийное производство М-5 началось в июне 1915 г. и до конца года на заводе Щетинина их построили 37 штук. Затем их выпуск продолжался с различной интенсивностью на протяжении нескольких лет. Последние три экземпляра, предназначенные для учебных целей, сдали заказчику в 1921 году. До этого момента общее количество построенных М-5 составило порядка 200 экземпляров, большинство из них изготовили на заводах Щетинина, Мельцера, Григоровича в Петрограде, некоторое количество на заводе Анатра в Одессе, а после революции - на петроградском заводе №3.</w:t>
      </w:r>
    </w:p>
    <w:p w14:paraId="406C38B6" w14:textId="77777777" w:rsidR="00F600E7" w:rsidRPr="00405303" w:rsidRDefault="00F600E7" w:rsidP="00C15251">
      <w:pPr>
        <w:jc w:val="both"/>
        <w:rPr>
          <w:bCs/>
          <w:color w:val="002060"/>
          <w:sz w:val="16"/>
          <w:szCs w:val="16"/>
        </w:rPr>
      </w:pPr>
      <w:r w:rsidRPr="00405303">
        <w:rPr>
          <w:bCs/>
          <w:color w:val="002060"/>
          <w:sz w:val="16"/>
          <w:szCs w:val="16"/>
        </w:rPr>
        <w:t xml:space="preserve">Наиболее активно М-5 использовались в авиации Черноморского флота, получившей в свое пользование за весь период более 70 таких гидропланов. 10 октября 1915 г. начальник авиации Черноморского флота старший лейтенант Ста- ховский писал в Морской генеральный штаб: "...Боевыми аппаратами можно считать лишь Щетинины типа М-5, коих имеется 17, но за недо-статком моторов из них могут действовать лишь 14". Дополним эти сведения: в ноябре 1916 г. на Черном море их числилось 45 экземпляров, в конце 1 917 г. - 24 экземпляра. </w:t>
      </w:r>
    </w:p>
    <w:p w14:paraId="12C8696C" w14:textId="77777777" w:rsidR="00F600E7" w:rsidRPr="00405303" w:rsidRDefault="00F600E7" w:rsidP="00C15251">
      <w:pPr>
        <w:jc w:val="both"/>
        <w:rPr>
          <w:bCs/>
          <w:color w:val="002060"/>
          <w:sz w:val="16"/>
          <w:szCs w:val="16"/>
        </w:rPr>
      </w:pPr>
      <w:r w:rsidRPr="00405303">
        <w:rPr>
          <w:bCs/>
          <w:color w:val="002060"/>
          <w:sz w:val="16"/>
          <w:szCs w:val="16"/>
        </w:rPr>
        <w:t>Вооружение боевых М-5 состояло из одного пулемета "Максим", "Виккерс" или "Льюис", установленных на треноге перед правым членом экипажа, нескольких 8-ми или 50-ти фунтовых бомб. С ноября 1915 г. на отдельных экземплярах ус-танавливали радиотелеграфные станции разных типов с дальностью связи свыше 40 км и фотоаппараты "Потте".</w:t>
      </w:r>
    </w:p>
    <w:p w14:paraId="2D811CC4" w14:textId="77777777" w:rsidR="00F600E7" w:rsidRPr="00405303" w:rsidRDefault="00F600E7" w:rsidP="00C15251">
      <w:pPr>
        <w:jc w:val="both"/>
        <w:rPr>
          <w:bCs/>
          <w:color w:val="002060"/>
          <w:sz w:val="16"/>
          <w:szCs w:val="16"/>
        </w:rPr>
      </w:pPr>
      <w:r w:rsidRPr="00405303">
        <w:rPr>
          <w:bCs/>
          <w:color w:val="002060"/>
          <w:sz w:val="16"/>
          <w:szCs w:val="16"/>
        </w:rPr>
        <w:t>Черноморские М-5 базировались в Севастополе (1-й и 2-й отряды Воздушной дивизии), Одессе и Батуме (Кавказский фронт). Кроме этого, часть аппаратов была приписана к 1, 2, 3-му корабельным авиаотрядам на гидрокрейсерах "Император Александр I", "Император Николай I", "Алмаз". В отдельных случаях самолеты транспортировали на крейсере "Память Меркурия". Самолеты корабельной авиации участвовали в рейдах к берегам Турции и Болгарии.</w:t>
      </w:r>
    </w:p>
    <w:p w14:paraId="4D395E73" w14:textId="77777777" w:rsidR="00F600E7" w:rsidRPr="00405303" w:rsidRDefault="00F600E7" w:rsidP="00C15251">
      <w:pPr>
        <w:jc w:val="both"/>
        <w:rPr>
          <w:bCs/>
          <w:color w:val="002060"/>
          <w:sz w:val="16"/>
          <w:szCs w:val="16"/>
        </w:rPr>
      </w:pPr>
      <w:r w:rsidRPr="00405303">
        <w:rPr>
          <w:bCs/>
          <w:color w:val="002060"/>
          <w:sz w:val="16"/>
          <w:szCs w:val="16"/>
        </w:rPr>
        <w:t>Большую огласку получила атака турецкого порта Зонгулдак в январе 1916 г. Целью этой набеговой операции значилось нарушение турецких перевозок угля из Зон- гулдакского угольного района в Константинополь. Уголь доставляли морем по причине отсутствия полноценного железнодорожного сообщения. Эффективность русских боевых кораблей в противодей-ствии турецким перевозкам угля оценивалась высоко, однако в начале 1916 г. последовало решение нанести удар по Зонгулдаку с использованием авиации.</w:t>
      </w:r>
    </w:p>
    <w:p w14:paraId="2CE9340D" w14:textId="77777777" w:rsidR="00F600E7" w:rsidRPr="00405303" w:rsidRDefault="00F600E7" w:rsidP="00C15251">
      <w:pPr>
        <w:jc w:val="both"/>
        <w:rPr>
          <w:bCs/>
          <w:color w:val="002060"/>
          <w:sz w:val="16"/>
          <w:szCs w:val="16"/>
        </w:rPr>
      </w:pPr>
      <w:r w:rsidRPr="00405303">
        <w:rPr>
          <w:bCs/>
          <w:color w:val="002060"/>
          <w:sz w:val="16"/>
          <w:szCs w:val="16"/>
        </w:rPr>
        <w:t>В составе эскадры, вышедшей из Севастополя 24 января 1916 г. находились авиатранспорты "Император Александр I" и "Император Николай I", которые имели на борту 1 4 летающих лодок "Кертисс" и М-5. Авиационной группе ставилась задача атаковать турецкие объекты, недоступные корабельной артиллерии. Каждый гидроплан был вооружен двумя двухпудовыми и несколькими десятифунтовыми бомбами. Примерно в 15 милях к северу от Зонгулдака авиатранспорты спустили самолеты на воду, после чего вся группа стартовала в воздух. До цели долетели 1 1 машин, остальные по причине неисправностей вернулись назад. Бомбардировка порта велась в условиях плотной облачности и активного обстрела с земли. Тем не менее, ударом с воздуха удалось уничтожить турецкий пароход "Ирмингард" (1гт1пНагс1), несколько мелких судов и разрушить портовые объекты.</w:t>
      </w:r>
    </w:p>
    <w:p w14:paraId="097E9B23" w14:textId="77777777" w:rsidR="00F600E7" w:rsidRPr="00405303" w:rsidRDefault="00F600E7" w:rsidP="00C15251">
      <w:pPr>
        <w:jc w:val="both"/>
        <w:rPr>
          <w:bCs/>
          <w:color w:val="002060"/>
          <w:sz w:val="16"/>
          <w:szCs w:val="16"/>
        </w:rPr>
      </w:pPr>
      <w:r w:rsidRPr="00405303">
        <w:rPr>
          <w:bCs/>
          <w:color w:val="002060"/>
          <w:sz w:val="16"/>
          <w:szCs w:val="16"/>
        </w:rPr>
        <w:t>В 1916-17 гг. летающие лодки М-5 продолжали активно использоваться в интересах Черноморского флота и своим присутствием существенно повлияли на достижение успеха во многих боевых операциях. В начале 1918 г. практически все черноморские М-5 оказались в зоне белого движения и австрийской оккупации. В летном состоянии оставались лишь единичные экземпляры, которые просуществовали до 1919-20 гг.</w:t>
      </w:r>
    </w:p>
    <w:p w14:paraId="59123AF8" w14:textId="77777777" w:rsidR="00F600E7" w:rsidRPr="00405303" w:rsidRDefault="00F600E7" w:rsidP="00C15251">
      <w:pPr>
        <w:jc w:val="both"/>
        <w:rPr>
          <w:bCs/>
          <w:color w:val="002060"/>
          <w:sz w:val="16"/>
          <w:szCs w:val="16"/>
        </w:rPr>
      </w:pPr>
      <w:r w:rsidRPr="00405303">
        <w:rPr>
          <w:bCs/>
          <w:color w:val="002060"/>
          <w:sz w:val="16"/>
          <w:szCs w:val="16"/>
        </w:rPr>
        <w:t>На Балтике "пятаки" дебютировали как учебные машины при открытии в Петрограде 28 июля 1915 г. офицерской школы морской авиации. Поначалу в ней имелись 4 лодки М-5 и две французские ФБА. Одновременно с функционирующей школой в Петрограде решили открыть ее отделение в Баку - к обучению летчиков на Каспийском море приступили 22 ноября 1915 г.</w:t>
      </w:r>
    </w:p>
    <w:p w14:paraId="2B6D3135" w14:textId="77777777" w:rsidR="00F600E7" w:rsidRPr="00405303" w:rsidRDefault="00F600E7" w:rsidP="00C15251">
      <w:pPr>
        <w:jc w:val="both"/>
        <w:rPr>
          <w:bCs/>
          <w:color w:val="002060"/>
          <w:sz w:val="16"/>
          <w:szCs w:val="16"/>
        </w:rPr>
      </w:pPr>
      <w:r w:rsidRPr="00405303">
        <w:rPr>
          <w:bCs/>
          <w:color w:val="002060"/>
          <w:sz w:val="16"/>
          <w:szCs w:val="16"/>
        </w:rPr>
        <w:t>Бакинский филиал с начала 1917 г. стал самостоятельной летной школой с прекрасно оборудованными мастерскими, ангарами и спусками на воду. В лучшие времена здесь эксплуатировалось до 20 учебных гидросамолетов М-5. Часть из них в середине 1918 г. принимала участие в отражении турецкого наступления в Закавказье, действуя в интересах оставшихся подразделений русской армии. Между тем, активное использование вело к неуклонному снижению количества пригодных к полетам машин, поэтому в 1919 г. здесь оставалось лишь два экземпляра М-5. В последующих бурных событиях гражданской войны Бакинская школа и ее имущество перестали существовать.</w:t>
      </w:r>
    </w:p>
    <w:p w14:paraId="1705946D" w14:textId="77777777" w:rsidR="00F600E7" w:rsidRPr="00405303" w:rsidRDefault="00F600E7" w:rsidP="00C15251">
      <w:pPr>
        <w:jc w:val="both"/>
        <w:rPr>
          <w:bCs/>
          <w:color w:val="002060"/>
          <w:sz w:val="16"/>
          <w:szCs w:val="16"/>
        </w:rPr>
      </w:pPr>
      <w:r w:rsidRPr="00405303">
        <w:rPr>
          <w:bCs/>
          <w:color w:val="002060"/>
          <w:sz w:val="16"/>
          <w:szCs w:val="16"/>
        </w:rPr>
        <w:t xml:space="preserve">Точное количество учебных аппаратов, используемых петроградской школой неизвестно, скорее всего, в течение двух лет здесь их применялось до двух десятков экземпляров. В апреле 1918 г., в связи с угрозой немецкого вторжения, школу эвакуировали в Нижний Новгород - на Волгу отправились 5 учебных М-5. Такое же количество учебных "пятаков" насчитывалось в морской школе летчиков им. Троцкого, открытой 11 ноября 1918 г. на Гу- туевском острове в Петрограде. В период с мая по октябрь 1919 г. летающие лодки этой школы принимали участие в боевых действиях против армии генерала Юденича, наступавшей на Петроград. В декабре 1919 г. оба упомянутые учебные заведения объединили в Военно-морскую школу авиации и перевели в Самару на Волге. Объединенная школа базировалась на барже "Евпраксия", которая была оборудована ангаром и спуском для гидросамолетов. В период 1920- 1921 гг., используя в основном М-5, здесь подготовили 48 морских </w:t>
      </w:r>
      <w:r w:rsidRPr="00405303">
        <w:rPr>
          <w:bCs/>
          <w:color w:val="002060"/>
          <w:sz w:val="16"/>
          <w:szCs w:val="16"/>
        </w:rPr>
        <w:lastRenderedPageBreak/>
        <w:t>летчиков. В декабре 1921 г. школу перевели в Севастополь, где отдельные экземпляры М-5 эксплуатировались до середины 1920-х годов. Известно, что в декабре 1925 г. в составе советской авиации числилось 22 таких учебных летающих лодки (очевидно совместно с М-20, отличавшейся в основном двигателем).</w:t>
      </w:r>
    </w:p>
    <w:p w14:paraId="4C1BC8BA" w14:textId="77777777" w:rsidR="00F600E7" w:rsidRPr="00405303" w:rsidRDefault="00F600E7" w:rsidP="00C15251">
      <w:pPr>
        <w:jc w:val="both"/>
        <w:rPr>
          <w:bCs/>
          <w:color w:val="002060"/>
          <w:sz w:val="16"/>
          <w:szCs w:val="16"/>
        </w:rPr>
      </w:pPr>
      <w:r w:rsidRPr="00405303">
        <w:rPr>
          <w:bCs/>
          <w:color w:val="002060"/>
          <w:sz w:val="16"/>
          <w:szCs w:val="16"/>
        </w:rPr>
        <w:t>Помимо эксплуатации в России, по крайней мере, одна лодка М-5 после 1917 г. использовалась в Финляндии. Еще один экземпляр в ходе войны достался Турции, где сохранился до наших дней в авиационном музее Стамбула - Науа Мизеа (12083).</w:t>
      </w:r>
    </w:p>
    <w:p w14:paraId="60F06B13" w14:textId="77777777" w:rsidR="00F600E7" w:rsidRPr="00405303" w:rsidRDefault="00F600E7" w:rsidP="00C15251">
      <w:pPr>
        <w:jc w:val="both"/>
        <w:rPr>
          <w:bCs/>
          <w:color w:val="002060"/>
          <w:sz w:val="16"/>
          <w:szCs w:val="16"/>
        </w:rPr>
      </w:pPr>
    </w:p>
    <w:p w14:paraId="22774D06" w14:textId="77777777" w:rsidR="00F70C71" w:rsidRPr="00405303" w:rsidRDefault="00F70C71" w:rsidP="00C15251">
      <w:pPr>
        <w:jc w:val="both"/>
        <w:rPr>
          <w:bCs/>
          <w:color w:val="002060"/>
          <w:sz w:val="16"/>
          <w:szCs w:val="16"/>
        </w:rPr>
      </w:pPr>
      <w:r w:rsidRPr="00405303">
        <w:rPr>
          <w:bCs/>
          <w:color w:val="002060"/>
          <w:sz w:val="16"/>
          <w:szCs w:val="16"/>
        </w:rPr>
        <w:t>В апреле 1915 г. первый экземпляр М-5 построили на за</w:t>
      </w:r>
      <w:r w:rsidRPr="00405303">
        <w:rPr>
          <w:bCs/>
          <w:color w:val="002060"/>
          <w:sz w:val="16"/>
          <w:szCs w:val="16"/>
        </w:rPr>
        <w:softHyphen/>
        <w:t>воде Щетинина.</w:t>
      </w:r>
    </w:p>
    <w:p w14:paraId="55D293C7" w14:textId="77777777" w:rsidR="00F70C71" w:rsidRPr="00405303" w:rsidRDefault="00F70C71" w:rsidP="00C15251">
      <w:pPr>
        <w:jc w:val="both"/>
        <w:rPr>
          <w:bCs/>
          <w:color w:val="002060"/>
          <w:sz w:val="16"/>
          <w:szCs w:val="16"/>
        </w:rPr>
      </w:pPr>
      <w:r w:rsidRPr="00405303">
        <w:rPr>
          <w:bCs/>
          <w:color w:val="002060"/>
          <w:sz w:val="16"/>
          <w:szCs w:val="16"/>
        </w:rPr>
        <w:t>Этот одномоторный двухместный аппарат стал первой заметной удачей конструктора Л.П.Григоровича, окончательно закрепив</w:t>
      </w:r>
      <w:r w:rsidRPr="00405303">
        <w:rPr>
          <w:bCs/>
          <w:color w:val="002060"/>
          <w:sz w:val="16"/>
          <w:szCs w:val="16"/>
        </w:rPr>
        <w:softHyphen/>
        <w:t>шей за ним авторитет создателя гидросамо</w:t>
      </w:r>
      <w:r w:rsidRPr="00405303">
        <w:rPr>
          <w:bCs/>
          <w:color w:val="002060"/>
          <w:sz w:val="16"/>
          <w:szCs w:val="16"/>
        </w:rPr>
        <w:softHyphen/>
        <w:t>летов. Основная часть М-5 оснащалась дви</w:t>
      </w:r>
      <w:r w:rsidRPr="00405303">
        <w:rPr>
          <w:bCs/>
          <w:color w:val="002060"/>
          <w:sz w:val="16"/>
          <w:szCs w:val="16"/>
        </w:rPr>
        <w:softHyphen/>
        <w:t>гателями «Гном Моносупап» 100 л.с. С этим двигателем получилось наиболее удачное со</w:t>
      </w:r>
      <w:r w:rsidRPr="00405303">
        <w:rPr>
          <w:bCs/>
          <w:color w:val="002060"/>
          <w:sz w:val="16"/>
          <w:szCs w:val="16"/>
        </w:rPr>
        <w:softHyphen/>
        <w:t>отношение мощности, полетного веса и раз</w:t>
      </w:r>
      <w:r w:rsidRPr="00405303">
        <w:rPr>
          <w:bCs/>
          <w:color w:val="002060"/>
          <w:sz w:val="16"/>
          <w:szCs w:val="16"/>
        </w:rPr>
        <w:softHyphen/>
        <w:t>меров, позволявшее оценивать М-5 как при</w:t>
      </w:r>
      <w:r w:rsidRPr="00405303">
        <w:rPr>
          <w:bCs/>
          <w:color w:val="002060"/>
          <w:sz w:val="16"/>
          <w:szCs w:val="16"/>
        </w:rPr>
        <w:softHyphen/>
        <w:t>ятный в полете, а по своей доступности и безопасности считать отличным учебным ап</w:t>
      </w:r>
      <w:r w:rsidRPr="00405303">
        <w:rPr>
          <w:bCs/>
          <w:color w:val="002060"/>
          <w:sz w:val="16"/>
          <w:szCs w:val="16"/>
        </w:rPr>
        <w:softHyphen/>
        <w:t>паратом. В последнем своем качестве само</w:t>
      </w:r>
      <w:r w:rsidRPr="00405303">
        <w:rPr>
          <w:bCs/>
          <w:color w:val="002060"/>
          <w:sz w:val="16"/>
          <w:szCs w:val="16"/>
        </w:rPr>
        <w:softHyphen/>
        <w:t>лет положительно запомнился многим ави</w:t>
      </w:r>
      <w:r w:rsidRPr="00405303">
        <w:rPr>
          <w:bCs/>
          <w:color w:val="002060"/>
          <w:sz w:val="16"/>
          <w:szCs w:val="16"/>
        </w:rPr>
        <w:softHyphen/>
        <w:t>аторам, прошедшим на нем обучение, и да</w:t>
      </w:r>
      <w:r w:rsidRPr="00405303">
        <w:rPr>
          <w:bCs/>
          <w:color w:val="002060"/>
          <w:sz w:val="16"/>
          <w:szCs w:val="16"/>
        </w:rPr>
        <w:softHyphen/>
        <w:t>же получил весьма благосклонное прозвище «пятак».</w:t>
      </w:r>
    </w:p>
    <w:p w14:paraId="0A7C26C4" w14:textId="77777777" w:rsidR="00F70C71" w:rsidRPr="00405303" w:rsidRDefault="00F70C71" w:rsidP="00C15251">
      <w:pPr>
        <w:jc w:val="both"/>
        <w:rPr>
          <w:bCs/>
          <w:color w:val="002060"/>
          <w:sz w:val="16"/>
          <w:szCs w:val="16"/>
        </w:rPr>
      </w:pPr>
      <w:r w:rsidRPr="00405303">
        <w:rPr>
          <w:bCs/>
          <w:color w:val="002060"/>
          <w:sz w:val="16"/>
          <w:szCs w:val="16"/>
        </w:rPr>
        <w:t>Спустя месяц самолет прошел успешные испытания, после чего последовал заказ на первые 12 таких ло</w:t>
      </w:r>
      <w:r w:rsidRPr="00405303">
        <w:rPr>
          <w:bCs/>
          <w:color w:val="002060"/>
          <w:sz w:val="16"/>
          <w:szCs w:val="16"/>
        </w:rPr>
        <w:softHyphen/>
        <w:t>док для Морского ведомства. Серийное про</w:t>
      </w:r>
      <w:r w:rsidRPr="00405303">
        <w:rPr>
          <w:bCs/>
          <w:color w:val="002060"/>
          <w:sz w:val="16"/>
          <w:szCs w:val="16"/>
        </w:rPr>
        <w:softHyphen/>
        <w:t>изводство началось в июне 1915 г. и продол</w:t>
      </w:r>
      <w:r w:rsidRPr="00405303">
        <w:rPr>
          <w:bCs/>
          <w:color w:val="002060"/>
          <w:sz w:val="16"/>
          <w:szCs w:val="16"/>
        </w:rPr>
        <w:softHyphen/>
        <w:t>жалось до середины 1917 г. До этого момен</w:t>
      </w:r>
      <w:r w:rsidRPr="00405303">
        <w:rPr>
          <w:bCs/>
          <w:color w:val="002060"/>
          <w:sz w:val="16"/>
          <w:szCs w:val="16"/>
        </w:rPr>
        <w:softHyphen/>
        <w:t>та обшее количество изготовленных М-5 со</w:t>
      </w:r>
      <w:r w:rsidRPr="00405303">
        <w:rPr>
          <w:bCs/>
          <w:color w:val="002060"/>
          <w:sz w:val="16"/>
          <w:szCs w:val="16"/>
        </w:rPr>
        <w:softHyphen/>
        <w:t>ставило порядка 200 экземпляров, большин</w:t>
      </w:r>
      <w:r w:rsidRPr="00405303">
        <w:rPr>
          <w:bCs/>
          <w:color w:val="002060"/>
          <w:sz w:val="16"/>
          <w:szCs w:val="16"/>
        </w:rPr>
        <w:softHyphen/>
        <w:t>ство из них изготовили на заводе Щетинина в Петрограде и некоторое количество на за</w:t>
      </w:r>
      <w:r w:rsidRPr="00405303">
        <w:rPr>
          <w:bCs/>
          <w:color w:val="002060"/>
          <w:sz w:val="16"/>
          <w:szCs w:val="16"/>
        </w:rPr>
        <w:softHyphen/>
        <w:t>воде Анатра в Одессе.</w:t>
      </w:r>
    </w:p>
    <w:p w14:paraId="57E7EF24" w14:textId="77777777" w:rsidR="00F70C71" w:rsidRPr="00405303" w:rsidRDefault="00F70C71" w:rsidP="00C15251">
      <w:pPr>
        <w:jc w:val="both"/>
        <w:rPr>
          <w:bCs/>
          <w:color w:val="002060"/>
          <w:sz w:val="16"/>
          <w:szCs w:val="16"/>
        </w:rPr>
      </w:pPr>
      <w:r w:rsidRPr="00405303">
        <w:rPr>
          <w:bCs/>
          <w:color w:val="002060"/>
          <w:sz w:val="16"/>
          <w:szCs w:val="16"/>
        </w:rPr>
        <w:t>Наиболее активно М-5 использовались в авиации Черноморского флота, получив</w:t>
      </w:r>
      <w:r w:rsidRPr="00405303">
        <w:rPr>
          <w:bCs/>
          <w:color w:val="002060"/>
          <w:sz w:val="16"/>
          <w:szCs w:val="16"/>
        </w:rPr>
        <w:softHyphen/>
        <w:t>шей в свое пользование за весь период 71 та</w:t>
      </w:r>
      <w:r w:rsidRPr="00405303">
        <w:rPr>
          <w:bCs/>
          <w:color w:val="002060"/>
          <w:sz w:val="16"/>
          <w:szCs w:val="16"/>
        </w:rPr>
        <w:softHyphen/>
        <w:t>кой гидроплан. Вооружение боевых М-5 со</w:t>
      </w:r>
      <w:r w:rsidRPr="00405303">
        <w:rPr>
          <w:bCs/>
          <w:color w:val="002060"/>
          <w:sz w:val="16"/>
          <w:szCs w:val="16"/>
        </w:rPr>
        <w:softHyphen/>
        <w:t>стояло из одного пулемета «Максим», «Вик- черс» или «Льюис», установленных на трено</w:t>
      </w:r>
      <w:r w:rsidRPr="00405303">
        <w:rPr>
          <w:bCs/>
          <w:color w:val="002060"/>
          <w:sz w:val="16"/>
          <w:szCs w:val="16"/>
        </w:rPr>
        <w:softHyphen/>
        <w:t>ге перед правым членом экипажа, несколь</w:t>
      </w:r>
      <w:r w:rsidRPr="00405303">
        <w:rPr>
          <w:bCs/>
          <w:color w:val="002060"/>
          <w:sz w:val="16"/>
          <w:szCs w:val="16"/>
        </w:rPr>
        <w:softHyphen/>
        <w:t>ких 8-ми или двух 50-ти фунтовых бомб. С ноября 1915 г. на отдельных экземплярах устанавливали радиотелеграфные станции с дальностью связи свыше 40 км и фотоаппа</w:t>
      </w:r>
      <w:r w:rsidRPr="00405303">
        <w:rPr>
          <w:bCs/>
          <w:color w:val="002060"/>
          <w:sz w:val="16"/>
          <w:szCs w:val="16"/>
        </w:rPr>
        <w:softHyphen/>
        <w:t>раты «Потте».</w:t>
      </w:r>
    </w:p>
    <w:p w14:paraId="77CE0BEB" w14:textId="77777777" w:rsidR="00F70C71" w:rsidRPr="00405303" w:rsidRDefault="00F70C71" w:rsidP="00C15251">
      <w:pPr>
        <w:jc w:val="both"/>
        <w:rPr>
          <w:bCs/>
          <w:color w:val="002060"/>
          <w:sz w:val="16"/>
          <w:szCs w:val="16"/>
        </w:rPr>
      </w:pPr>
      <w:r w:rsidRPr="00405303">
        <w:rPr>
          <w:bCs/>
          <w:color w:val="002060"/>
          <w:sz w:val="16"/>
          <w:szCs w:val="16"/>
        </w:rPr>
        <w:t>Черноморские М-5 базировались в Севас- -ополе (1-й и 2-й отряды Воздушной диви</w:t>
      </w:r>
      <w:r w:rsidRPr="00405303">
        <w:rPr>
          <w:rStyle w:val="aa"/>
          <w:rFonts w:ascii="Times New Roman" w:eastAsia="SimSun" w:hAnsi="Times New Roman"/>
          <w:bCs/>
          <w:color w:val="002060"/>
          <w:spacing w:val="0"/>
          <w:sz w:val="16"/>
          <w:szCs w:val="16"/>
        </w:rPr>
        <w:t xml:space="preserve"> зии), Одессе и Батуме (Кавказский фронт). Кроме этого, часть аппаратов была приписа</w:t>
      </w:r>
      <w:r w:rsidRPr="00405303">
        <w:rPr>
          <w:rStyle w:val="aa"/>
          <w:rFonts w:ascii="Times New Roman" w:eastAsia="SimSun" w:hAnsi="Times New Roman"/>
          <w:bCs/>
          <w:color w:val="002060"/>
          <w:spacing w:val="0"/>
          <w:sz w:val="16"/>
          <w:szCs w:val="16"/>
        </w:rPr>
        <w:softHyphen/>
        <w:t>на к 1, 2, 3-му корабельным авиаотрядам на гидрокрейсерах «Александр I» и «Николай I». В начале 1918 г. практически все черномор</w:t>
      </w:r>
      <w:r w:rsidRPr="00405303">
        <w:rPr>
          <w:rStyle w:val="aa"/>
          <w:rFonts w:ascii="Times New Roman" w:eastAsia="SimSun" w:hAnsi="Times New Roman"/>
          <w:bCs/>
          <w:color w:val="002060"/>
          <w:spacing w:val="0"/>
          <w:sz w:val="16"/>
          <w:szCs w:val="16"/>
        </w:rPr>
        <w:softHyphen/>
        <w:t>ские М-5 оказались в зоне белого движения и австрийской оккупации. В летном состоя</w:t>
      </w:r>
      <w:r w:rsidRPr="00405303">
        <w:rPr>
          <w:rStyle w:val="aa"/>
          <w:rFonts w:ascii="Times New Roman" w:eastAsia="SimSun" w:hAnsi="Times New Roman"/>
          <w:bCs/>
          <w:color w:val="002060"/>
          <w:spacing w:val="0"/>
          <w:sz w:val="16"/>
          <w:szCs w:val="16"/>
        </w:rPr>
        <w:softHyphen/>
        <w:t>нии оставались лишь единичные экземпля</w:t>
      </w:r>
      <w:r w:rsidRPr="00405303">
        <w:rPr>
          <w:rStyle w:val="aa"/>
          <w:rFonts w:ascii="Times New Roman" w:eastAsia="SimSun" w:hAnsi="Times New Roman"/>
          <w:bCs/>
          <w:color w:val="002060"/>
          <w:spacing w:val="0"/>
          <w:sz w:val="16"/>
          <w:szCs w:val="16"/>
        </w:rPr>
        <w:softHyphen/>
        <w:t>ры, которые просуществовали до 1919-20 гг.</w:t>
      </w:r>
    </w:p>
    <w:p w14:paraId="36AC4064" w14:textId="77777777" w:rsidR="00F70C71" w:rsidRPr="00405303" w:rsidRDefault="00F70C71" w:rsidP="00C15251">
      <w:pPr>
        <w:pStyle w:val="110"/>
        <w:shd w:val="clear" w:color="auto" w:fill="auto"/>
        <w:spacing w:line="240" w:lineRule="auto"/>
        <w:jc w:val="both"/>
        <w:rPr>
          <w:rFonts w:ascii="Times New Roman" w:hAnsi="Times New Roman"/>
          <w:bCs/>
          <w:color w:val="002060"/>
          <w:sz w:val="16"/>
          <w:szCs w:val="16"/>
        </w:rPr>
      </w:pPr>
      <w:r w:rsidRPr="00405303">
        <w:rPr>
          <w:rFonts w:ascii="Times New Roman" w:hAnsi="Times New Roman"/>
          <w:bCs/>
          <w:color w:val="002060"/>
          <w:sz w:val="16"/>
          <w:szCs w:val="16"/>
        </w:rPr>
        <w:t>Летные и технические характеристики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84"/>
        <w:gridCol w:w="8333"/>
      </w:tblGrid>
      <w:tr w:rsidR="00F70C71" w:rsidRPr="00405303" w14:paraId="5DF002D0" w14:textId="77777777" w:rsidTr="00D34AC1">
        <w:tc>
          <w:tcPr>
            <w:tcW w:w="3184" w:type="dxa"/>
          </w:tcPr>
          <w:p w14:paraId="092F0649" w14:textId="77777777" w:rsidR="00F70C71" w:rsidRPr="00405303" w:rsidRDefault="00F70C71" w:rsidP="00C15251">
            <w:pPr>
              <w:jc w:val="both"/>
              <w:rPr>
                <w:bCs/>
                <w:color w:val="002060"/>
                <w:sz w:val="16"/>
                <w:szCs w:val="16"/>
              </w:rPr>
            </w:pPr>
            <w:r w:rsidRPr="00405303">
              <w:rPr>
                <w:bCs/>
                <w:color w:val="002060"/>
                <w:sz w:val="16"/>
                <w:szCs w:val="16"/>
              </w:rPr>
              <w:t>Размах верхнего крыла (м)</w:t>
            </w:r>
          </w:p>
        </w:tc>
        <w:tc>
          <w:tcPr>
            <w:tcW w:w="8333" w:type="dxa"/>
          </w:tcPr>
          <w:p w14:paraId="6C10DCB5" w14:textId="77777777" w:rsidR="00F70C71" w:rsidRPr="00405303" w:rsidRDefault="00F70C71" w:rsidP="00C15251">
            <w:pPr>
              <w:jc w:val="both"/>
              <w:rPr>
                <w:bCs/>
                <w:color w:val="002060"/>
                <w:sz w:val="16"/>
                <w:szCs w:val="16"/>
              </w:rPr>
            </w:pPr>
            <w:r w:rsidRPr="00405303">
              <w:rPr>
                <w:bCs/>
                <w:color w:val="002060"/>
                <w:sz w:val="16"/>
                <w:szCs w:val="16"/>
              </w:rPr>
              <w:t>13,50 (13,62*)</w:t>
            </w:r>
          </w:p>
        </w:tc>
      </w:tr>
      <w:tr w:rsidR="00F70C71" w:rsidRPr="00405303" w14:paraId="680C1089" w14:textId="77777777" w:rsidTr="00D34AC1">
        <w:tc>
          <w:tcPr>
            <w:tcW w:w="3184" w:type="dxa"/>
          </w:tcPr>
          <w:p w14:paraId="5BA8D787" w14:textId="77777777" w:rsidR="00F70C71" w:rsidRPr="00405303" w:rsidRDefault="00F70C71" w:rsidP="00C15251">
            <w:pPr>
              <w:jc w:val="both"/>
              <w:rPr>
                <w:bCs/>
                <w:color w:val="002060"/>
                <w:sz w:val="16"/>
                <w:szCs w:val="16"/>
              </w:rPr>
            </w:pPr>
            <w:r w:rsidRPr="00405303">
              <w:rPr>
                <w:bCs/>
                <w:color w:val="002060"/>
                <w:sz w:val="16"/>
                <w:szCs w:val="16"/>
              </w:rPr>
              <w:t>Длина в линии полета (м)</w:t>
            </w:r>
          </w:p>
        </w:tc>
        <w:tc>
          <w:tcPr>
            <w:tcW w:w="8333" w:type="dxa"/>
          </w:tcPr>
          <w:p w14:paraId="77613A72" w14:textId="77777777" w:rsidR="00F70C71" w:rsidRPr="00405303" w:rsidRDefault="00F70C71" w:rsidP="00C15251">
            <w:pPr>
              <w:jc w:val="both"/>
              <w:rPr>
                <w:bCs/>
                <w:color w:val="002060"/>
                <w:sz w:val="16"/>
                <w:szCs w:val="16"/>
              </w:rPr>
            </w:pPr>
            <w:r w:rsidRPr="00405303">
              <w:rPr>
                <w:bCs/>
                <w:color w:val="002060"/>
                <w:sz w:val="16"/>
                <w:szCs w:val="16"/>
              </w:rPr>
              <w:t>8,21(8,62*)</w:t>
            </w:r>
          </w:p>
        </w:tc>
      </w:tr>
      <w:tr w:rsidR="00F70C71" w:rsidRPr="00405303" w14:paraId="630D5D1F" w14:textId="77777777" w:rsidTr="00D34AC1">
        <w:tc>
          <w:tcPr>
            <w:tcW w:w="3184" w:type="dxa"/>
          </w:tcPr>
          <w:p w14:paraId="31E351FB" w14:textId="77777777" w:rsidR="00F70C71" w:rsidRPr="00405303" w:rsidRDefault="00F70C71" w:rsidP="00C15251">
            <w:pPr>
              <w:jc w:val="both"/>
              <w:rPr>
                <w:bCs/>
                <w:color w:val="002060"/>
                <w:sz w:val="16"/>
                <w:szCs w:val="16"/>
              </w:rPr>
            </w:pPr>
            <w:r w:rsidRPr="00405303">
              <w:rPr>
                <w:bCs/>
                <w:color w:val="002060"/>
                <w:sz w:val="16"/>
                <w:szCs w:val="16"/>
              </w:rPr>
              <w:t>Площадь крыльев (м</w:t>
            </w:r>
            <w:r w:rsidRPr="00405303">
              <w:rPr>
                <w:bCs/>
                <w:color w:val="002060"/>
                <w:sz w:val="16"/>
                <w:szCs w:val="16"/>
                <w:vertAlign w:val="superscript"/>
              </w:rPr>
              <w:t>2</w:t>
            </w:r>
            <w:r w:rsidRPr="00405303">
              <w:rPr>
                <w:bCs/>
                <w:color w:val="002060"/>
                <w:sz w:val="16"/>
                <w:szCs w:val="16"/>
              </w:rPr>
              <w:t>)</w:t>
            </w:r>
          </w:p>
        </w:tc>
        <w:tc>
          <w:tcPr>
            <w:tcW w:w="8333" w:type="dxa"/>
          </w:tcPr>
          <w:p w14:paraId="78CCC779" w14:textId="77777777" w:rsidR="00F70C71" w:rsidRPr="00405303" w:rsidRDefault="00F70C71" w:rsidP="00C15251">
            <w:pPr>
              <w:jc w:val="both"/>
              <w:rPr>
                <w:bCs/>
                <w:color w:val="002060"/>
                <w:sz w:val="16"/>
                <w:szCs w:val="16"/>
              </w:rPr>
            </w:pPr>
            <w:r w:rsidRPr="00405303">
              <w:rPr>
                <w:bCs/>
                <w:color w:val="002060"/>
                <w:sz w:val="16"/>
                <w:szCs w:val="16"/>
              </w:rPr>
              <w:t>36,6(37,96*)</w:t>
            </w:r>
          </w:p>
        </w:tc>
      </w:tr>
      <w:tr w:rsidR="00F70C71" w:rsidRPr="00405303" w14:paraId="53FEC3E6" w14:textId="77777777" w:rsidTr="00D34AC1">
        <w:tc>
          <w:tcPr>
            <w:tcW w:w="3184" w:type="dxa"/>
          </w:tcPr>
          <w:p w14:paraId="12BA6B52" w14:textId="77777777" w:rsidR="00F70C71" w:rsidRPr="00405303" w:rsidRDefault="00F70C71" w:rsidP="00C15251">
            <w:pPr>
              <w:jc w:val="both"/>
              <w:rPr>
                <w:bCs/>
                <w:color w:val="002060"/>
                <w:sz w:val="16"/>
                <w:szCs w:val="16"/>
              </w:rPr>
            </w:pPr>
            <w:r w:rsidRPr="00405303">
              <w:rPr>
                <w:bCs/>
                <w:color w:val="002060"/>
                <w:sz w:val="16"/>
                <w:szCs w:val="16"/>
              </w:rPr>
              <w:t>Вес пустого (кг)</w:t>
            </w:r>
          </w:p>
        </w:tc>
        <w:tc>
          <w:tcPr>
            <w:tcW w:w="8333" w:type="dxa"/>
          </w:tcPr>
          <w:p w14:paraId="14B3E256" w14:textId="77777777" w:rsidR="00F70C71" w:rsidRPr="00405303" w:rsidRDefault="00F70C71" w:rsidP="00C15251">
            <w:pPr>
              <w:jc w:val="both"/>
              <w:rPr>
                <w:bCs/>
                <w:color w:val="002060"/>
                <w:sz w:val="16"/>
                <w:szCs w:val="16"/>
              </w:rPr>
            </w:pPr>
            <w:r w:rsidRPr="00405303">
              <w:rPr>
                <w:bCs/>
                <w:color w:val="002060"/>
                <w:sz w:val="16"/>
                <w:szCs w:val="16"/>
              </w:rPr>
              <w:t>660</w:t>
            </w:r>
          </w:p>
        </w:tc>
      </w:tr>
      <w:tr w:rsidR="00F70C71" w:rsidRPr="00405303" w14:paraId="082EA32E" w14:textId="77777777" w:rsidTr="00D34AC1">
        <w:tc>
          <w:tcPr>
            <w:tcW w:w="3184" w:type="dxa"/>
          </w:tcPr>
          <w:p w14:paraId="6FAE3368" w14:textId="77777777" w:rsidR="00F70C71" w:rsidRPr="00405303" w:rsidRDefault="00F70C71" w:rsidP="00C15251">
            <w:pPr>
              <w:jc w:val="both"/>
              <w:rPr>
                <w:bCs/>
                <w:color w:val="002060"/>
                <w:sz w:val="16"/>
                <w:szCs w:val="16"/>
              </w:rPr>
            </w:pPr>
            <w:r w:rsidRPr="00405303">
              <w:rPr>
                <w:bCs/>
                <w:color w:val="002060"/>
                <w:sz w:val="16"/>
                <w:szCs w:val="16"/>
              </w:rPr>
              <w:t>Полетный вес (кг)</w:t>
            </w:r>
          </w:p>
        </w:tc>
        <w:tc>
          <w:tcPr>
            <w:tcW w:w="8333" w:type="dxa"/>
          </w:tcPr>
          <w:p w14:paraId="08F7095B" w14:textId="77777777" w:rsidR="00F70C71" w:rsidRPr="00405303" w:rsidRDefault="00F70C71" w:rsidP="00C15251">
            <w:pPr>
              <w:jc w:val="both"/>
              <w:rPr>
                <w:bCs/>
                <w:color w:val="002060"/>
                <w:sz w:val="16"/>
                <w:szCs w:val="16"/>
              </w:rPr>
            </w:pPr>
            <w:r w:rsidRPr="00405303">
              <w:rPr>
                <w:bCs/>
                <w:color w:val="002060"/>
                <w:sz w:val="16"/>
                <w:szCs w:val="16"/>
              </w:rPr>
              <w:t>960</w:t>
            </w:r>
          </w:p>
        </w:tc>
      </w:tr>
      <w:tr w:rsidR="00F70C71" w:rsidRPr="00405303" w14:paraId="56EC41F5" w14:textId="77777777" w:rsidTr="00D34AC1">
        <w:tc>
          <w:tcPr>
            <w:tcW w:w="3184" w:type="dxa"/>
          </w:tcPr>
          <w:p w14:paraId="0036DB41" w14:textId="77777777" w:rsidR="00F70C71" w:rsidRPr="00405303" w:rsidRDefault="00F70C71" w:rsidP="00C15251">
            <w:pPr>
              <w:jc w:val="both"/>
              <w:rPr>
                <w:bCs/>
                <w:color w:val="002060"/>
                <w:sz w:val="16"/>
                <w:szCs w:val="16"/>
              </w:rPr>
            </w:pPr>
            <w:r w:rsidRPr="00405303">
              <w:rPr>
                <w:bCs/>
                <w:color w:val="002060"/>
                <w:sz w:val="16"/>
                <w:szCs w:val="16"/>
              </w:rPr>
              <w:t>Полетная скорость (км/ч)</w:t>
            </w:r>
          </w:p>
        </w:tc>
        <w:tc>
          <w:tcPr>
            <w:tcW w:w="8333" w:type="dxa"/>
          </w:tcPr>
          <w:p w14:paraId="53860149" w14:textId="77777777" w:rsidR="00F70C71" w:rsidRPr="00405303" w:rsidRDefault="00F70C71" w:rsidP="00C15251">
            <w:pPr>
              <w:jc w:val="both"/>
              <w:rPr>
                <w:bCs/>
                <w:color w:val="002060"/>
                <w:sz w:val="16"/>
                <w:szCs w:val="16"/>
              </w:rPr>
            </w:pPr>
            <w:r w:rsidRPr="00405303">
              <w:rPr>
                <w:bCs/>
                <w:color w:val="002060"/>
                <w:sz w:val="16"/>
                <w:szCs w:val="16"/>
              </w:rPr>
              <w:t>90-105</w:t>
            </w:r>
          </w:p>
        </w:tc>
      </w:tr>
      <w:tr w:rsidR="00F70C71" w:rsidRPr="00405303" w14:paraId="10008364" w14:textId="77777777" w:rsidTr="00D34AC1">
        <w:tc>
          <w:tcPr>
            <w:tcW w:w="3184" w:type="dxa"/>
          </w:tcPr>
          <w:p w14:paraId="40AB4692" w14:textId="77777777" w:rsidR="00F70C71" w:rsidRPr="00405303" w:rsidRDefault="00F70C71" w:rsidP="00C15251">
            <w:pPr>
              <w:jc w:val="both"/>
              <w:rPr>
                <w:bCs/>
                <w:color w:val="002060"/>
                <w:sz w:val="16"/>
                <w:szCs w:val="16"/>
              </w:rPr>
            </w:pPr>
            <w:r w:rsidRPr="00405303">
              <w:rPr>
                <w:bCs/>
                <w:color w:val="002060"/>
                <w:sz w:val="16"/>
                <w:szCs w:val="16"/>
              </w:rPr>
              <w:t>Время набора высоты 2000 м (мин) 25-45</w:t>
            </w:r>
          </w:p>
        </w:tc>
        <w:tc>
          <w:tcPr>
            <w:tcW w:w="8333" w:type="dxa"/>
          </w:tcPr>
          <w:p w14:paraId="05BF1E78" w14:textId="77777777" w:rsidR="00F70C71" w:rsidRPr="00405303" w:rsidRDefault="00F70C71" w:rsidP="00C15251">
            <w:pPr>
              <w:jc w:val="both"/>
              <w:rPr>
                <w:bCs/>
                <w:color w:val="002060"/>
                <w:sz w:val="16"/>
                <w:szCs w:val="16"/>
              </w:rPr>
            </w:pPr>
          </w:p>
        </w:tc>
      </w:tr>
      <w:tr w:rsidR="00F70C71" w:rsidRPr="00405303" w14:paraId="4622452C" w14:textId="77777777" w:rsidTr="00D34AC1">
        <w:tc>
          <w:tcPr>
            <w:tcW w:w="3184" w:type="dxa"/>
          </w:tcPr>
          <w:p w14:paraId="7EBD43BA" w14:textId="77777777" w:rsidR="00F70C71" w:rsidRPr="00405303" w:rsidRDefault="00F70C71" w:rsidP="00C15251">
            <w:pPr>
              <w:jc w:val="both"/>
              <w:rPr>
                <w:bCs/>
                <w:color w:val="002060"/>
                <w:sz w:val="16"/>
                <w:szCs w:val="16"/>
              </w:rPr>
            </w:pPr>
            <w:r w:rsidRPr="00405303">
              <w:rPr>
                <w:bCs/>
                <w:color w:val="002060"/>
                <w:sz w:val="16"/>
                <w:szCs w:val="16"/>
              </w:rPr>
              <w:t>Потолок (м)</w:t>
            </w:r>
          </w:p>
        </w:tc>
        <w:tc>
          <w:tcPr>
            <w:tcW w:w="8333" w:type="dxa"/>
          </w:tcPr>
          <w:p w14:paraId="3DDC43D0" w14:textId="77777777" w:rsidR="00F70C71" w:rsidRPr="00405303" w:rsidRDefault="00F70C71" w:rsidP="00C15251">
            <w:pPr>
              <w:jc w:val="both"/>
              <w:rPr>
                <w:bCs/>
                <w:color w:val="002060"/>
                <w:sz w:val="16"/>
                <w:szCs w:val="16"/>
              </w:rPr>
            </w:pPr>
            <w:r w:rsidRPr="00405303">
              <w:rPr>
                <w:bCs/>
                <w:color w:val="002060"/>
                <w:sz w:val="16"/>
                <w:szCs w:val="16"/>
              </w:rPr>
              <w:t>3300</w:t>
            </w:r>
          </w:p>
        </w:tc>
      </w:tr>
      <w:tr w:rsidR="00F70C71" w:rsidRPr="00405303" w14:paraId="0B8562C2" w14:textId="77777777" w:rsidTr="00D34AC1">
        <w:tc>
          <w:tcPr>
            <w:tcW w:w="3184" w:type="dxa"/>
          </w:tcPr>
          <w:p w14:paraId="2BC4952F" w14:textId="77777777" w:rsidR="00F70C71" w:rsidRPr="00405303" w:rsidRDefault="00F70C71" w:rsidP="00C15251">
            <w:pPr>
              <w:jc w:val="both"/>
              <w:rPr>
                <w:bCs/>
                <w:color w:val="002060"/>
                <w:sz w:val="16"/>
                <w:szCs w:val="16"/>
              </w:rPr>
            </w:pPr>
            <w:r w:rsidRPr="00405303">
              <w:rPr>
                <w:bCs/>
                <w:color w:val="002060"/>
                <w:sz w:val="16"/>
                <w:szCs w:val="16"/>
              </w:rPr>
              <w:t>Продолжительность полета (час)</w:t>
            </w:r>
          </w:p>
        </w:tc>
        <w:tc>
          <w:tcPr>
            <w:tcW w:w="8333" w:type="dxa"/>
          </w:tcPr>
          <w:p w14:paraId="2F9BEAA4" w14:textId="77777777" w:rsidR="00F70C71" w:rsidRPr="00405303" w:rsidRDefault="00F70C71" w:rsidP="00C15251">
            <w:pPr>
              <w:jc w:val="both"/>
              <w:rPr>
                <w:bCs/>
                <w:color w:val="002060"/>
                <w:sz w:val="16"/>
                <w:szCs w:val="16"/>
              </w:rPr>
            </w:pPr>
            <w:r w:rsidRPr="00405303">
              <w:rPr>
                <w:bCs/>
                <w:color w:val="002060"/>
                <w:sz w:val="16"/>
                <w:szCs w:val="16"/>
              </w:rPr>
              <w:t>3,5-4</w:t>
            </w:r>
          </w:p>
        </w:tc>
      </w:tr>
    </w:tbl>
    <w:p w14:paraId="172A6367" w14:textId="77777777" w:rsidR="00F70C71" w:rsidRPr="00405303" w:rsidRDefault="00F70C71" w:rsidP="00C15251">
      <w:pPr>
        <w:pStyle w:val="a7"/>
        <w:shd w:val="clear" w:color="auto" w:fill="auto"/>
        <w:spacing w:line="240" w:lineRule="auto"/>
        <w:ind w:firstLine="0"/>
        <w:jc w:val="both"/>
        <w:rPr>
          <w:rFonts w:ascii="Times New Roman" w:hAnsi="Times New Roman"/>
          <w:b w:val="0"/>
          <w:bCs/>
          <w:color w:val="002060"/>
          <w:sz w:val="16"/>
          <w:szCs w:val="16"/>
        </w:rPr>
      </w:pPr>
      <w:r w:rsidRPr="00405303">
        <w:rPr>
          <w:rFonts w:ascii="Times New Roman" w:hAnsi="Times New Roman"/>
          <w:b w:val="0"/>
          <w:bCs/>
          <w:color w:val="002060"/>
          <w:sz w:val="16"/>
          <w:szCs w:val="16"/>
        </w:rPr>
        <w:t>* по другим данным (12301).</w:t>
      </w:r>
    </w:p>
    <w:p w14:paraId="50341F5D" w14:textId="77777777" w:rsidR="00F70C71" w:rsidRPr="00405303" w:rsidRDefault="00F70C71" w:rsidP="00C15251">
      <w:pPr>
        <w:jc w:val="both"/>
        <w:rPr>
          <w:bCs/>
          <w:color w:val="002060"/>
          <w:sz w:val="16"/>
          <w:szCs w:val="16"/>
        </w:rPr>
      </w:pPr>
    </w:p>
    <w:p w14:paraId="18E16059" w14:textId="55D76E83" w:rsidR="004B4E35" w:rsidRPr="00405303" w:rsidRDefault="00484C07"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апреле 1915 г. </w:t>
      </w:r>
      <w:r w:rsidRPr="00405303">
        <w:rPr>
          <w:bCs/>
          <w:color w:val="002060"/>
          <w:sz w:val="16"/>
          <w:szCs w:val="16"/>
        </w:rPr>
        <w:t xml:space="preserve">после проведения сдаточных испытаний </w:t>
      </w:r>
      <w:r w:rsidR="009E6F82" w:rsidRPr="00405303">
        <w:rPr>
          <w:bCs/>
          <w:color w:val="002060"/>
          <w:sz w:val="16"/>
          <w:szCs w:val="16"/>
        </w:rPr>
        <w:t xml:space="preserve">самолеты </w:t>
      </w:r>
      <w:r w:rsidRPr="00405303">
        <w:rPr>
          <w:bCs/>
          <w:color w:val="002060"/>
          <w:sz w:val="16"/>
          <w:szCs w:val="16"/>
        </w:rPr>
        <w:t xml:space="preserve">М-3 и М-4 </w:t>
      </w:r>
      <w:r w:rsidR="009E6F82" w:rsidRPr="00405303">
        <w:rPr>
          <w:bCs/>
          <w:color w:val="002060"/>
          <w:sz w:val="16"/>
          <w:szCs w:val="16"/>
        </w:rPr>
        <w:t xml:space="preserve">зачислили в состав авиации Черноморского флота. Летчики встретили их довольно хорошо: по сравнению с летающими лодками американского производства "Кер- тисс" (СигН$$)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w:t>
      </w:r>
      <w:proofErr w:type="gramStart"/>
      <w:r w:rsidR="009E6F82" w:rsidRPr="00405303">
        <w:rPr>
          <w:bCs/>
          <w:color w:val="002060"/>
          <w:sz w:val="16"/>
          <w:szCs w:val="16"/>
        </w:rPr>
        <w:t>ис-пользовании</w:t>
      </w:r>
      <w:proofErr w:type="gramEnd"/>
      <w:r w:rsidR="009E6F82" w:rsidRPr="00405303">
        <w:rPr>
          <w:bCs/>
          <w:color w:val="002060"/>
          <w:sz w:val="16"/>
          <w:szCs w:val="16"/>
        </w:rPr>
        <w:t xml:space="preserve"> летающих лодок Щетинина-Григоровича, позволило вполне уверенно продолжать строительство следующих гидросамолетов (12083).</w:t>
      </w:r>
    </w:p>
    <w:p w14:paraId="1939E58A" w14:textId="77777777" w:rsidR="004B4E35" w:rsidRPr="00405303" w:rsidRDefault="004B4E35" w:rsidP="00C15251">
      <w:pPr>
        <w:jc w:val="both"/>
        <w:rPr>
          <w:bCs/>
          <w:color w:val="002060"/>
          <w:sz w:val="16"/>
          <w:szCs w:val="16"/>
        </w:rPr>
      </w:pPr>
    </w:p>
    <w:p w14:paraId="6C7DCBA6" w14:textId="1207A985" w:rsidR="004B4E35" w:rsidRPr="00405303" w:rsidRDefault="00F70C71" w:rsidP="00C15251">
      <w:pPr>
        <w:shd w:val="clear" w:color="auto" w:fill="FFFFFF"/>
        <w:jc w:val="both"/>
        <w:rPr>
          <w:bCs/>
          <w:i/>
          <w:color w:val="002060"/>
          <w:sz w:val="16"/>
          <w:szCs w:val="16"/>
        </w:rPr>
      </w:pPr>
      <w:r w:rsidRPr="00405303">
        <w:rPr>
          <w:bCs/>
          <w:color w:val="002060"/>
          <w:sz w:val="16"/>
          <w:szCs w:val="16"/>
        </w:rPr>
        <w:t>В</w:t>
      </w:r>
      <w:r w:rsidR="009E6F82" w:rsidRPr="00405303">
        <w:rPr>
          <w:bCs/>
          <w:color w:val="002060"/>
          <w:sz w:val="16"/>
          <w:szCs w:val="16"/>
        </w:rPr>
        <w:t xml:space="preserve"> апреле 1915</w:t>
      </w:r>
      <w:r w:rsidRPr="00405303">
        <w:rPr>
          <w:bCs/>
          <w:color w:val="002060"/>
          <w:sz w:val="16"/>
          <w:szCs w:val="16"/>
        </w:rPr>
        <w:t xml:space="preserve"> </w:t>
      </w:r>
      <w:r w:rsidR="009E6F82" w:rsidRPr="00405303">
        <w:rPr>
          <w:bCs/>
          <w:color w:val="002060"/>
          <w:sz w:val="16"/>
          <w:szCs w:val="16"/>
        </w:rPr>
        <w:t>г. Терещенко пришлось обратиться в военное ведомство с просьбой расторгнуть контракт</w:t>
      </w:r>
      <w:r w:rsidRPr="00405303">
        <w:rPr>
          <w:bCs/>
          <w:color w:val="002060"/>
          <w:sz w:val="16"/>
          <w:szCs w:val="16"/>
        </w:rPr>
        <w:t xml:space="preserve"> за № 1792/1179 на производство двух таких самолетов «Моран-парасоль» «улуч</w:t>
      </w:r>
      <w:r w:rsidRPr="00405303">
        <w:rPr>
          <w:bCs/>
          <w:color w:val="002060"/>
          <w:sz w:val="16"/>
          <w:szCs w:val="16"/>
        </w:rPr>
        <w:softHyphen/>
        <w:t>шенного образца» от 3 апреля 1914 г. Началось с того, что в конце июля заказанные во Франции ком</w:t>
      </w:r>
      <w:r w:rsidRPr="00405303">
        <w:rPr>
          <w:bCs/>
          <w:color w:val="002060"/>
          <w:sz w:val="16"/>
          <w:szCs w:val="16"/>
        </w:rPr>
        <w:softHyphen/>
        <w:t>плектующие при перевозке через Германию задержали местные власти. Вызволить их не смогли, как и приобрести новые. Далее в дело вмешалась фирма «Моран-Солнье». Ее представитель, угрожая судом, заявил протест против внесения любых «улучше</w:t>
      </w:r>
      <w:r w:rsidRPr="00405303">
        <w:rPr>
          <w:bCs/>
          <w:color w:val="002060"/>
          <w:sz w:val="16"/>
          <w:szCs w:val="16"/>
        </w:rPr>
        <w:softHyphen/>
        <w:t>ний» в фирменную конструкцию. А ведь это предусматривал один из пунктов контракта</w:t>
      </w:r>
      <w:r w:rsidR="009E6F82" w:rsidRPr="00405303">
        <w:rPr>
          <w:bCs/>
          <w:color w:val="002060"/>
          <w:sz w:val="16"/>
          <w:szCs w:val="16"/>
        </w:rPr>
        <w:t>. При</w:t>
      </w:r>
      <w:r w:rsidR="009E6F82" w:rsidRPr="00405303">
        <w:rPr>
          <w:bCs/>
          <w:color w:val="002060"/>
          <w:sz w:val="16"/>
          <w:szCs w:val="16"/>
        </w:rPr>
        <w:softHyphen/>
        <w:t>чем он указывал, что по принятым обяза</w:t>
      </w:r>
      <w:r w:rsidR="009E6F82" w:rsidRPr="00405303">
        <w:rPr>
          <w:bCs/>
          <w:color w:val="002060"/>
          <w:sz w:val="16"/>
          <w:szCs w:val="16"/>
        </w:rPr>
        <w:softHyphen/>
        <w:t xml:space="preserve">тельствам на 1914 г. Червоннский завод должен был изготовить 10 самолетов: 8 «Фарманов» и 2 «Морана», а реально сдал даже больше: 10 «Фарманов» и 2 </w:t>
      </w:r>
      <w:r w:rsidR="009E6F82" w:rsidRPr="00405303">
        <w:rPr>
          <w:bCs/>
          <w:i/>
          <w:color w:val="002060"/>
          <w:sz w:val="16"/>
          <w:szCs w:val="16"/>
        </w:rPr>
        <w:t>«одно</w:t>
      </w:r>
      <w:r w:rsidR="009E6F82" w:rsidRPr="00405303">
        <w:rPr>
          <w:bCs/>
          <w:i/>
          <w:color w:val="002060"/>
          <w:sz w:val="16"/>
          <w:szCs w:val="16"/>
        </w:rPr>
        <w:softHyphen/>
        <w:t>местных моноплана Терещенко». (11217).</w:t>
      </w:r>
    </w:p>
    <w:p w14:paraId="30FA85FF" w14:textId="77777777" w:rsidR="004B4E35" w:rsidRPr="00405303" w:rsidRDefault="004B4E35" w:rsidP="00C15251">
      <w:pPr>
        <w:shd w:val="clear" w:color="auto" w:fill="FFFFFF"/>
        <w:jc w:val="both"/>
        <w:rPr>
          <w:bCs/>
          <w:color w:val="002060"/>
          <w:sz w:val="16"/>
          <w:szCs w:val="16"/>
        </w:rPr>
      </w:pPr>
    </w:p>
    <w:p w14:paraId="161EED49" w14:textId="20F818F7" w:rsidR="004B4E35" w:rsidRPr="00405303" w:rsidRDefault="009E6F82" w:rsidP="00C15251">
      <w:pPr>
        <w:jc w:val="both"/>
        <w:rPr>
          <w:bCs/>
          <w:color w:val="002060"/>
          <w:sz w:val="16"/>
          <w:szCs w:val="16"/>
        </w:rPr>
      </w:pPr>
      <w:r w:rsidRPr="00405303">
        <w:rPr>
          <w:bCs/>
          <w:color w:val="002060"/>
          <w:sz w:val="16"/>
          <w:szCs w:val="16"/>
        </w:rPr>
        <w:t>В апреле 1915 года Лебедев добивается заказа на строительство и поставку морскому ведомству 31 гидроаэроплана типа «Ф.Б.А». Строительство этих гидропланов продолжалось до конца 1916 года. В то время одним из лучших самолетов считался по праву аэроплан конструкции братьев Вуазен. На своем Петроградском заводе В.А. Лебедев строил самолеты типа «Вуазен» в модификациях L, LA, LАS. Его завод в Петрограде развивался довольно быстро, и уже в 1915 году на нем трудилось несколько сот человек, а в 1916 году уже 867 работающих. Завод занимал значительную по тем временам площадь в 25 тысяч квадратных саженей и превосходил заводы Щетинина и «Дукс». На полученные от государства субсидии В.А. Лебедеву удалось в течение 1914-1918 построить завод общей площадью каменных зданий — 211 кв. саженей и деревянных — 3359 кв. саженей. На заводе было установлено 55 двигателей разной мощности и 37 станков. Уже в первый год своего существования на заводе было построено 47 различных самолетов, в 1915 году — 187, а в 1918 году сдано заказчикам 227 самолетов.</w:t>
      </w:r>
    </w:p>
    <w:p w14:paraId="3B81C89C" w14:textId="77777777" w:rsidR="004B4E35" w:rsidRPr="00405303" w:rsidRDefault="004B4E35" w:rsidP="00C15251">
      <w:pPr>
        <w:jc w:val="both"/>
        <w:rPr>
          <w:bCs/>
          <w:color w:val="002060"/>
          <w:sz w:val="16"/>
          <w:szCs w:val="16"/>
        </w:rPr>
      </w:pPr>
    </w:p>
    <w:p w14:paraId="5971325A" w14:textId="081380C0" w:rsidR="004B4E35" w:rsidRPr="00405303" w:rsidRDefault="009E6F82" w:rsidP="00C15251">
      <w:pPr>
        <w:jc w:val="both"/>
        <w:rPr>
          <w:bCs/>
          <w:color w:val="002060"/>
          <w:sz w:val="16"/>
          <w:szCs w:val="16"/>
        </w:rPr>
      </w:pPr>
      <w:r w:rsidRPr="00405303">
        <w:rPr>
          <w:bCs/>
          <w:color w:val="002060"/>
          <w:sz w:val="16"/>
          <w:szCs w:val="16"/>
        </w:rPr>
        <w:t xml:space="preserve">В апреле 1915 года </w:t>
      </w:r>
      <w:proofErr w:type="gramStart"/>
      <w:r w:rsidRPr="00405303">
        <w:rPr>
          <w:bCs/>
          <w:color w:val="002060"/>
          <w:sz w:val="16"/>
          <w:szCs w:val="16"/>
        </w:rPr>
        <w:t>Лебе-дев</w:t>
      </w:r>
      <w:proofErr w:type="gramEnd"/>
      <w:r w:rsidRPr="00405303">
        <w:rPr>
          <w:bCs/>
          <w:color w:val="002060"/>
          <w:sz w:val="16"/>
          <w:szCs w:val="16"/>
        </w:rPr>
        <w:t xml:space="preserve"> добивается заказа на строительство и поставку морскому ведомству 31 гидроаэроплана типа «Ф.Б.А» на сумму свыше 200 тысяч рублей, при этом втулки, моторы и принадлежности к ним морское ведомство должно обеспечивать само. Строительство этих гидропланов продолжалось до конца 1916 года. Для их сборки и обслуживания, а также для проведения летных и морских испытаний в 1915 году В. Лебедев строит на взморье Крестовского острова в Петрограде навесы-полуангары. Этот очень выгодный контракт позволил В. А. Лебедеву не только в срок выполнить заказ, но и получить новые еще большие подряды на строительство новых самолетов</w:t>
      </w:r>
    </w:p>
    <w:p w14:paraId="66A57C43" w14:textId="77777777" w:rsidR="004B4E35" w:rsidRPr="00405303" w:rsidRDefault="009E6F82" w:rsidP="00C15251">
      <w:pPr>
        <w:jc w:val="both"/>
        <w:rPr>
          <w:bCs/>
          <w:color w:val="002060"/>
          <w:sz w:val="16"/>
          <w:szCs w:val="16"/>
        </w:rPr>
      </w:pPr>
      <w:r w:rsidRPr="00405303">
        <w:rPr>
          <w:bCs/>
          <w:color w:val="002060"/>
          <w:sz w:val="16"/>
          <w:szCs w:val="16"/>
        </w:rPr>
        <w:t xml:space="preserve">В то время одним из лучших самолетов считался по праву аэроплан конструкции братьев – Вуазен. Военное ведомство разместило большой заказ на строительство этих самолетов на крупнейших самолетостроительных заводах С. Щетинина в Петрограде, «Дукс» в Москве, а также на заводах одесского миллионера Анатры и В. Лебедева. На своем петроградском заводе он строил самолеты типа «Вуазен» в модификациях L, LA, LАS. Ему удалось в острой конку-рентной борьбе урвать заказ на строительство ста самолетов, но возможности завода оказались недостаточными. Как и всем отечественным промышленникам В.Лебедеву пришлось испытать огромные трудности. В стране остро ощущалась нехватка квалифицированных рабочих кадров. Еще острей была нехватка инженеров и техников, трудно было с приобретением необходимого оборудования, станков, инструментов. В разгаре была мировая война, и с каждым днем ощу-щался дефицит качественного сырья, материалов, полуфабрикатов и различного авиационного оборудования, приборов и, конечно же, двигателей. Ведь они в то время в России не </w:t>
      </w:r>
      <w:proofErr w:type="gramStart"/>
      <w:r w:rsidRPr="00405303">
        <w:rPr>
          <w:bCs/>
          <w:color w:val="002060"/>
          <w:sz w:val="16"/>
          <w:szCs w:val="16"/>
        </w:rPr>
        <w:t>производи-лись</w:t>
      </w:r>
      <w:proofErr w:type="gramEnd"/>
      <w:r w:rsidRPr="00405303">
        <w:rPr>
          <w:bCs/>
          <w:color w:val="002060"/>
          <w:sz w:val="16"/>
          <w:szCs w:val="16"/>
        </w:rPr>
        <w:t>, а сборка иностранных моторов была явно недостаточной. Все это приходилось закупать за границей. Отечественного моторостроения и приборостроения, как такового еще не было. Тем не менее, лебедевский завод в Петрограде развивался довольно быстро, и уже в 1915 году на нем трудилось несколько сот человек, а в 1916 году уже 867 работающих. Завод занимал значи-тельную по тем временам площадь в 25 тысяч квадратных саженей1) и превосходил заводы Ще-тинина и «Дукс». На полученные от государства субсидии В.Лебедеву удалось в течение 1914-1918 построить завод общей площадью каменных зданий-211 кв. саженей и деревянных-</w:t>
      </w:r>
      <w:r w:rsidRPr="00405303">
        <w:rPr>
          <w:bCs/>
          <w:color w:val="002060"/>
          <w:sz w:val="16"/>
          <w:szCs w:val="16"/>
        </w:rPr>
        <w:lastRenderedPageBreak/>
        <w:t xml:space="preserve">3359 кв. саженей. На заводе было установлено 55 двигателей разной мощности и 37 станков. Уже в первый год своего существования на заводе было построено 47 различных самолетов, в 1915 </w:t>
      </w:r>
      <w:proofErr w:type="gramStart"/>
      <w:r w:rsidRPr="00405303">
        <w:rPr>
          <w:bCs/>
          <w:color w:val="002060"/>
          <w:sz w:val="16"/>
          <w:szCs w:val="16"/>
        </w:rPr>
        <w:t>го-ду</w:t>
      </w:r>
      <w:proofErr w:type="gramEnd"/>
      <w:r w:rsidRPr="00405303">
        <w:rPr>
          <w:bCs/>
          <w:color w:val="002060"/>
          <w:sz w:val="16"/>
          <w:szCs w:val="16"/>
        </w:rPr>
        <w:t xml:space="preserve"> - 187, а в 1918 году сдано заказчикам 227 самолетов. Это был период наибольшего расцвета Петроградского авиационного завода В. Лебедева.</w:t>
      </w:r>
    </w:p>
    <w:p w14:paraId="759D00CF" w14:textId="77777777" w:rsidR="004B4E35" w:rsidRPr="00405303" w:rsidRDefault="009E6F82" w:rsidP="00C15251">
      <w:pPr>
        <w:jc w:val="both"/>
        <w:rPr>
          <w:bCs/>
          <w:color w:val="002060"/>
          <w:sz w:val="16"/>
          <w:szCs w:val="16"/>
        </w:rPr>
      </w:pPr>
      <w:r w:rsidRPr="00405303">
        <w:rPr>
          <w:bCs/>
          <w:color w:val="002060"/>
          <w:sz w:val="16"/>
          <w:szCs w:val="16"/>
        </w:rPr>
        <w:t xml:space="preserve">Летом 1915 года во время боевых действий на Балтике был захвачен немецкий самолет «Альбатрос» с мотором в 150 л.с. в исправном состоянии. Лебедев сумел убедить передать са-молет ему </w:t>
      </w:r>
      <w:proofErr w:type="gramStart"/>
      <w:r w:rsidRPr="00405303">
        <w:rPr>
          <w:bCs/>
          <w:color w:val="002060"/>
          <w:sz w:val="16"/>
          <w:szCs w:val="16"/>
        </w:rPr>
        <w:t>на завод</w:t>
      </w:r>
      <w:proofErr w:type="gramEnd"/>
      <w:r w:rsidRPr="00405303">
        <w:rPr>
          <w:bCs/>
          <w:color w:val="002060"/>
          <w:sz w:val="16"/>
          <w:szCs w:val="16"/>
        </w:rPr>
        <w:t xml:space="preserve"> и вскоре трофейный «Альбатрос» был доставлен на Комендантский аэро-дром. На заводе этот самолет </w:t>
      </w:r>
      <w:proofErr w:type="gramStart"/>
      <w:r w:rsidRPr="00405303">
        <w:rPr>
          <w:bCs/>
          <w:color w:val="002060"/>
          <w:sz w:val="16"/>
          <w:szCs w:val="16"/>
        </w:rPr>
        <w:t>стали копировать</w:t>
      </w:r>
      <w:proofErr w:type="gramEnd"/>
      <w:r w:rsidRPr="00405303">
        <w:rPr>
          <w:bCs/>
          <w:color w:val="002060"/>
          <w:sz w:val="16"/>
          <w:szCs w:val="16"/>
        </w:rPr>
        <w:t xml:space="preserve"> несколько видоизменяя его применительно к различным моторам. Уже осенью того же года глава фирмы выбивает заказ в Морском </w:t>
      </w:r>
      <w:proofErr w:type="gramStart"/>
      <w:r w:rsidRPr="00405303">
        <w:rPr>
          <w:bCs/>
          <w:color w:val="002060"/>
          <w:sz w:val="16"/>
          <w:szCs w:val="16"/>
        </w:rPr>
        <w:t>Гене-ральном</w:t>
      </w:r>
      <w:proofErr w:type="gramEnd"/>
      <w:r w:rsidRPr="00405303">
        <w:rPr>
          <w:bCs/>
          <w:color w:val="002060"/>
          <w:sz w:val="16"/>
          <w:szCs w:val="16"/>
        </w:rPr>
        <w:t xml:space="preserve"> Штабе на переделку партии французских сухопутных самолетов типа «Морис-Фарман» на морские. Заказ был успешно выполнен, все самолеты были поставлены в срок.</w:t>
      </w:r>
    </w:p>
    <w:p w14:paraId="233509AD" w14:textId="77777777" w:rsidR="004B4E35" w:rsidRPr="00405303" w:rsidRDefault="009E6F82" w:rsidP="00C15251">
      <w:pPr>
        <w:jc w:val="both"/>
        <w:rPr>
          <w:bCs/>
          <w:color w:val="002060"/>
          <w:sz w:val="16"/>
          <w:szCs w:val="16"/>
        </w:rPr>
      </w:pPr>
      <w:r w:rsidRPr="00405303">
        <w:rPr>
          <w:bCs/>
          <w:color w:val="002060"/>
          <w:sz w:val="16"/>
          <w:szCs w:val="16"/>
        </w:rPr>
        <w:t xml:space="preserve">Окрыленный первыми успехами Владимир Лебедев набирает все новые и новые заказы на строительство самолетов.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цехами и столярной мастерской. Число </w:t>
      </w:r>
      <w:proofErr w:type="gramStart"/>
      <w:r w:rsidRPr="00405303">
        <w:rPr>
          <w:bCs/>
          <w:color w:val="002060"/>
          <w:sz w:val="16"/>
          <w:szCs w:val="16"/>
        </w:rPr>
        <w:t>рабо-тающих</w:t>
      </w:r>
      <w:proofErr w:type="gramEnd"/>
      <w:r w:rsidRPr="00405303">
        <w:rPr>
          <w:bCs/>
          <w:color w:val="002060"/>
          <w:sz w:val="16"/>
          <w:szCs w:val="16"/>
        </w:rPr>
        <w:t xml:space="preserve"> перевалило за тысячу и продолжало расти. Но ограниченность территории затрудняли дальнейшее расширение завода. Некоторые российские авиапромышленники создают свои </w:t>
      </w:r>
      <w:proofErr w:type="gramStart"/>
      <w:r w:rsidRPr="00405303">
        <w:rPr>
          <w:bCs/>
          <w:color w:val="002060"/>
          <w:sz w:val="16"/>
          <w:szCs w:val="16"/>
        </w:rPr>
        <w:t>фи-лиалы</w:t>
      </w:r>
      <w:proofErr w:type="gramEnd"/>
      <w:r w:rsidRPr="00405303">
        <w:rPr>
          <w:bCs/>
          <w:color w:val="002060"/>
          <w:sz w:val="16"/>
          <w:szCs w:val="16"/>
        </w:rPr>
        <w:t xml:space="preserve"> в других городах. А. Анатра строит отделение завода в Симферополе, С. Щетинин в </w:t>
      </w:r>
      <w:proofErr w:type="gramStart"/>
      <w:r w:rsidRPr="00405303">
        <w:rPr>
          <w:bCs/>
          <w:color w:val="002060"/>
          <w:sz w:val="16"/>
          <w:szCs w:val="16"/>
        </w:rPr>
        <w:t>Яро-славле</w:t>
      </w:r>
      <w:proofErr w:type="gramEnd"/>
      <w:r w:rsidRPr="00405303">
        <w:rPr>
          <w:bCs/>
          <w:color w:val="002060"/>
          <w:sz w:val="16"/>
          <w:szCs w:val="16"/>
        </w:rPr>
        <w:t xml:space="preserve">. </w:t>
      </w:r>
      <w:proofErr w:type="gramStart"/>
      <w:r w:rsidRPr="00405303">
        <w:rPr>
          <w:bCs/>
          <w:color w:val="002060"/>
          <w:sz w:val="16"/>
          <w:szCs w:val="16"/>
        </w:rPr>
        <w:t>В. Лебедев</w:t>
      </w:r>
      <w:proofErr w:type="gramEnd"/>
      <w:r w:rsidRPr="00405303">
        <w:rPr>
          <w:bCs/>
          <w:color w:val="002060"/>
          <w:sz w:val="16"/>
          <w:szCs w:val="16"/>
        </w:rPr>
        <w:t xml:space="preserve">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w:t>
      </w:r>
    </w:p>
    <w:p w14:paraId="44C0EAB8" w14:textId="77777777" w:rsidR="004B4E35" w:rsidRPr="00405303" w:rsidRDefault="009E6F82" w:rsidP="00C15251">
      <w:pPr>
        <w:jc w:val="both"/>
        <w:rPr>
          <w:bCs/>
          <w:color w:val="002060"/>
          <w:sz w:val="16"/>
          <w:szCs w:val="16"/>
        </w:rPr>
      </w:pPr>
      <w:r w:rsidRPr="00405303">
        <w:rPr>
          <w:bCs/>
          <w:color w:val="002060"/>
          <w:sz w:val="16"/>
          <w:szCs w:val="16"/>
        </w:rPr>
        <w:t xml:space="preserve">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w:t>
      </w:r>
      <w:proofErr w:type="gramStart"/>
      <w:r w:rsidRPr="00405303">
        <w:rPr>
          <w:bCs/>
          <w:color w:val="002060"/>
          <w:sz w:val="16"/>
          <w:szCs w:val="16"/>
        </w:rPr>
        <w:t>за-вершена</w:t>
      </w:r>
      <w:proofErr w:type="gramEnd"/>
      <w:r w:rsidRPr="00405303">
        <w:rPr>
          <w:bCs/>
          <w:color w:val="002060"/>
          <w:sz w:val="16"/>
          <w:szCs w:val="16"/>
        </w:rPr>
        <w:t>,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w:t>
      </w:r>
    </w:p>
    <w:p w14:paraId="37F96983" w14:textId="77777777" w:rsidR="004B4E35" w:rsidRPr="00405303" w:rsidRDefault="009E6F82" w:rsidP="00C15251">
      <w:pPr>
        <w:jc w:val="both"/>
        <w:rPr>
          <w:bCs/>
          <w:color w:val="002060"/>
          <w:sz w:val="16"/>
          <w:szCs w:val="16"/>
        </w:rPr>
      </w:pPr>
      <w:r w:rsidRPr="00405303">
        <w:rPr>
          <w:bCs/>
          <w:color w:val="002060"/>
          <w:sz w:val="16"/>
          <w:szCs w:val="16"/>
        </w:rPr>
        <w:t xml:space="preserve">Однако здесь Лебедева ожидают трудности; недостаток рабочей силы, отсутствие топлива, серьезные транспортные проблемы и, </w:t>
      </w:r>
      <w:proofErr w:type="gramStart"/>
      <w:r w:rsidRPr="00405303">
        <w:rPr>
          <w:bCs/>
          <w:color w:val="002060"/>
          <w:sz w:val="16"/>
          <w:szCs w:val="16"/>
        </w:rPr>
        <w:t>на- конец</w:t>
      </w:r>
      <w:proofErr w:type="gramEnd"/>
      <w:r w:rsidRPr="00405303">
        <w:rPr>
          <w:bCs/>
          <w:color w:val="002060"/>
          <w:sz w:val="16"/>
          <w:szCs w:val="16"/>
        </w:rPr>
        <w:t>, сложные климатические условия. И его взор устремляется на юг. Он уже давно присматривается к Таганрогу</w:t>
      </w:r>
      <w:proofErr w:type="gramStart"/>
      <w:r w:rsidRPr="00405303">
        <w:rPr>
          <w:bCs/>
          <w:color w:val="002060"/>
          <w:sz w:val="16"/>
          <w:szCs w:val="16"/>
        </w:rPr>
        <w:t>...(</w:t>
      </w:r>
      <w:proofErr w:type="gramEnd"/>
      <w:r w:rsidRPr="00405303">
        <w:rPr>
          <w:bCs/>
          <w:color w:val="002060"/>
          <w:sz w:val="16"/>
          <w:szCs w:val="16"/>
        </w:rPr>
        <w:t>11642).</w:t>
      </w:r>
    </w:p>
    <w:p w14:paraId="7651AA2B" w14:textId="77777777" w:rsidR="004B4E35" w:rsidRPr="00405303" w:rsidRDefault="004B4E35" w:rsidP="00C15251">
      <w:pPr>
        <w:jc w:val="both"/>
        <w:rPr>
          <w:bCs/>
          <w:color w:val="002060"/>
          <w:sz w:val="16"/>
          <w:szCs w:val="16"/>
        </w:rPr>
      </w:pPr>
    </w:p>
    <w:p w14:paraId="35FA1CD2" w14:textId="72E7323C" w:rsidR="004B4E35" w:rsidRPr="00405303" w:rsidRDefault="00EE1C4B"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апреле 1915 г. </w:t>
      </w:r>
      <w:r w:rsidRPr="00405303">
        <w:rPr>
          <w:bCs/>
          <w:color w:val="002060"/>
          <w:sz w:val="16"/>
          <w:szCs w:val="16"/>
        </w:rPr>
        <w:t xml:space="preserve">на Юго-Западном фронте </w:t>
      </w:r>
      <w:r w:rsidR="009E6F82" w:rsidRPr="00405303">
        <w:rPr>
          <w:bCs/>
          <w:color w:val="002060"/>
          <w:sz w:val="16"/>
          <w:szCs w:val="16"/>
        </w:rPr>
        <w:t>летчики 5-го армейского авиаотряда на трех самолетах типа "Вуазен" испытывали усовершенствованный кассетный (цилиндрический) бомбосбрасыватель. Благодаря некоторым приспособлениям в него можно было помещать бомбы различных калибров. Бомбометы впоследствии "использовались отрядом в течение семи месяцев, причем ни разу не снимались с аппаратов и проявили полную безотказность в действии" (11999).</w:t>
      </w:r>
    </w:p>
    <w:p w14:paraId="57307F07" w14:textId="77777777" w:rsidR="004B4E35" w:rsidRPr="00405303" w:rsidRDefault="004B4E35" w:rsidP="00C15251">
      <w:pPr>
        <w:jc w:val="both"/>
        <w:rPr>
          <w:bCs/>
          <w:color w:val="002060"/>
          <w:sz w:val="16"/>
          <w:szCs w:val="16"/>
        </w:rPr>
      </w:pPr>
    </w:p>
    <w:p w14:paraId="38ED450A" w14:textId="496ECA8F" w:rsidR="00270464" w:rsidRPr="00405303" w:rsidRDefault="00270464" w:rsidP="00C15251">
      <w:pPr>
        <w:jc w:val="both"/>
        <w:rPr>
          <w:bCs/>
          <w:color w:val="002060"/>
          <w:sz w:val="16"/>
          <w:szCs w:val="16"/>
        </w:rPr>
      </w:pPr>
      <w:r w:rsidRPr="00405303">
        <w:rPr>
          <w:bCs/>
          <w:color w:val="002060"/>
          <w:sz w:val="16"/>
          <w:szCs w:val="16"/>
        </w:rPr>
        <w:t>В апреле 1915 г. на аэродром ЭВК Яблона отправлен с завода видимо без моторов по железной дороге</w:t>
      </w:r>
      <w:r w:rsidR="000F5756">
        <w:rPr>
          <w:bCs/>
          <w:color w:val="002060"/>
          <w:sz w:val="16"/>
          <w:szCs w:val="16"/>
        </w:rPr>
        <w:t xml:space="preserve">  </w:t>
      </w:r>
      <w:r w:rsidRPr="00405303">
        <w:rPr>
          <w:bCs/>
          <w:color w:val="002060"/>
          <w:sz w:val="16"/>
          <w:szCs w:val="16"/>
        </w:rPr>
        <w:t xml:space="preserve"> «Илья Муромец» В-15 (ИМ В-15 № 161 «тупоносый», борт № V) экз. № 15, стратегический разведчик, тяжелый бомбардировщик, предположительно – учебный.</w:t>
      </w:r>
    </w:p>
    <w:p w14:paraId="017E5E56" w14:textId="77777777" w:rsidR="00270464" w:rsidRPr="00405303" w:rsidRDefault="00270464" w:rsidP="00C15251">
      <w:pPr>
        <w:jc w:val="both"/>
        <w:rPr>
          <w:bCs/>
          <w:color w:val="002060"/>
          <w:sz w:val="16"/>
          <w:szCs w:val="16"/>
        </w:rPr>
      </w:pPr>
      <w:r w:rsidRPr="00405303">
        <w:rPr>
          <w:bCs/>
          <w:color w:val="002060"/>
          <w:sz w:val="16"/>
          <w:szCs w:val="16"/>
        </w:rPr>
        <w:t>Построен по типу первых самолетов ИМ-В в агрегатах в начале весны 1915 г., но не укомплектован некоторыми ПКИ.</w:t>
      </w:r>
    </w:p>
    <w:p w14:paraId="67F5CA94" w14:textId="77777777" w:rsidR="00270464" w:rsidRPr="00405303" w:rsidRDefault="00270464" w:rsidP="00C15251">
      <w:pPr>
        <w:jc w:val="both"/>
        <w:rPr>
          <w:bCs/>
          <w:color w:val="002060"/>
          <w:sz w:val="16"/>
          <w:szCs w:val="16"/>
        </w:rPr>
      </w:pPr>
      <w:r w:rsidRPr="00405303">
        <w:rPr>
          <w:bCs/>
          <w:color w:val="002060"/>
          <w:sz w:val="16"/>
          <w:szCs w:val="16"/>
        </w:rPr>
        <w:t>Собран в ЭВК по типу доработанного ИМ В-13 с двумя тянущими моторами Sunbeam Mohawk (225 л.с.) с лобовыми радиаторами и уменьшенным на 4 числом стержней бипланной коробки.</w:t>
      </w:r>
    </w:p>
    <w:p w14:paraId="5B697897" w14:textId="77777777" w:rsidR="00270464" w:rsidRPr="00405303" w:rsidRDefault="00270464" w:rsidP="00C15251">
      <w:pPr>
        <w:jc w:val="both"/>
        <w:rPr>
          <w:bCs/>
          <w:color w:val="002060"/>
          <w:sz w:val="16"/>
          <w:szCs w:val="16"/>
        </w:rPr>
      </w:pPr>
      <w:r w:rsidRPr="00405303">
        <w:rPr>
          <w:bCs/>
          <w:color w:val="002060"/>
          <w:sz w:val="16"/>
          <w:szCs w:val="16"/>
        </w:rPr>
        <w:t>Списан в 1916 г. по завершении эксплуатации (23563).</w:t>
      </w:r>
    </w:p>
    <w:p w14:paraId="78442294" w14:textId="77777777" w:rsidR="00270464" w:rsidRPr="00405303" w:rsidRDefault="00270464" w:rsidP="00C15251">
      <w:pPr>
        <w:jc w:val="both"/>
        <w:rPr>
          <w:bCs/>
          <w:color w:val="002060"/>
          <w:sz w:val="16"/>
          <w:szCs w:val="16"/>
          <w:lang w:bidi="ru-RU"/>
        </w:rPr>
      </w:pPr>
    </w:p>
    <w:p w14:paraId="68EF6CEB" w14:textId="77777777" w:rsidR="00270464" w:rsidRPr="00405303" w:rsidRDefault="00270464" w:rsidP="00C15251">
      <w:pPr>
        <w:jc w:val="both"/>
        <w:rPr>
          <w:bCs/>
          <w:color w:val="002060"/>
          <w:sz w:val="16"/>
          <w:szCs w:val="16"/>
        </w:rPr>
      </w:pPr>
      <w:r w:rsidRPr="00405303">
        <w:rPr>
          <w:bCs/>
          <w:color w:val="002060"/>
          <w:sz w:val="16"/>
          <w:szCs w:val="16"/>
          <w:lang w:bidi="ru-RU"/>
        </w:rPr>
        <w:t>В апреле 1915 г. первые два экземпляра М-2 Григоровича, из четыре построенных однотипных аппаратов оснащенных двигателями «Гном-Моносупап» 100 л.с. и испытанных в период с ноября 1914 г. по ап</w:t>
      </w:r>
      <w:r w:rsidRPr="00405303">
        <w:rPr>
          <w:bCs/>
          <w:color w:val="002060"/>
          <w:sz w:val="16"/>
          <w:szCs w:val="16"/>
          <w:lang w:bidi="ru-RU"/>
        </w:rPr>
        <w:softHyphen/>
        <w:t>рель 1915 г. вошли в со</w:t>
      </w:r>
      <w:r w:rsidRPr="00405303">
        <w:rPr>
          <w:bCs/>
          <w:color w:val="002060"/>
          <w:sz w:val="16"/>
          <w:szCs w:val="16"/>
          <w:lang w:bidi="ru-RU"/>
        </w:rPr>
        <w:softHyphen/>
        <w:t>став морской авиации Балтийского моря под обозначением Щ-2 и Щ-3, где они, где служили до наступления 1916 г. Так как после гибели первого М-2 эти аппараты неоднократно подвергались улучшениям, в отношении их эпизодически использова</w:t>
      </w:r>
      <w:r w:rsidRPr="00405303">
        <w:rPr>
          <w:bCs/>
          <w:color w:val="002060"/>
          <w:sz w:val="16"/>
          <w:szCs w:val="16"/>
          <w:lang w:bidi="ru-RU"/>
        </w:rPr>
        <w:softHyphen/>
        <w:t>лось обозначение М-3.</w:t>
      </w:r>
    </w:p>
    <w:p w14:paraId="4432559A" w14:textId="77777777" w:rsidR="00270464" w:rsidRPr="00405303" w:rsidRDefault="00270464" w:rsidP="00C15251">
      <w:pPr>
        <w:pStyle w:val="41"/>
        <w:spacing w:line="240" w:lineRule="auto"/>
        <w:jc w:val="both"/>
        <w:rPr>
          <w:bCs/>
          <w:color w:val="002060"/>
          <w:sz w:val="16"/>
          <w:szCs w:val="16"/>
        </w:rPr>
      </w:pPr>
      <w:r w:rsidRPr="00405303">
        <w:rPr>
          <w:bCs/>
          <w:color w:val="002060"/>
          <w:sz w:val="16"/>
          <w:szCs w:val="16"/>
          <w:lang w:bidi="ru-RU"/>
        </w:rPr>
        <w:t>Летные и технические характеристики М-2/4</w:t>
      </w:r>
    </w:p>
    <w:p w14:paraId="5A0AD3CE" w14:textId="77777777" w:rsidR="00270464" w:rsidRPr="00405303" w:rsidRDefault="00270464" w:rsidP="00C15251">
      <w:pPr>
        <w:pStyle w:val="af8"/>
        <w:tabs>
          <w:tab w:val="right" w:pos="5424"/>
        </w:tabs>
        <w:spacing w:line="240" w:lineRule="auto"/>
        <w:jc w:val="both"/>
        <w:rPr>
          <w:rFonts w:ascii="Times New Roman" w:hAnsi="Times New Roman" w:cs="Times New Roman"/>
          <w:bCs/>
          <w:color w:val="002060"/>
          <w:sz w:val="16"/>
          <w:szCs w:val="16"/>
        </w:rPr>
      </w:pPr>
      <w:r w:rsidRPr="00405303">
        <w:rPr>
          <w:rFonts w:ascii="Times New Roman" w:eastAsia="Arial" w:hAnsi="Times New Roman" w:cs="Times New Roman"/>
          <w:bCs/>
          <w:color w:val="002060"/>
          <w:sz w:val="16"/>
          <w:szCs w:val="16"/>
          <w:lang w:bidi="ru-RU"/>
        </w:rPr>
        <w:t>Размах верхнего крыла (м)</w:t>
      </w:r>
      <w:r w:rsidRPr="00405303">
        <w:rPr>
          <w:rFonts w:ascii="Times New Roman" w:eastAsia="Arial" w:hAnsi="Times New Roman" w:cs="Times New Roman"/>
          <w:bCs/>
          <w:color w:val="002060"/>
          <w:sz w:val="16"/>
          <w:szCs w:val="16"/>
          <w:lang w:bidi="ru-RU"/>
        </w:rPr>
        <w:tab/>
        <w:t>13,68</w:t>
      </w:r>
    </w:p>
    <w:p w14:paraId="6C6C5E06" w14:textId="77777777" w:rsidR="00270464" w:rsidRPr="00405303" w:rsidRDefault="00270464" w:rsidP="00C15251">
      <w:pPr>
        <w:pStyle w:val="af8"/>
        <w:tabs>
          <w:tab w:val="right" w:pos="5438"/>
        </w:tabs>
        <w:spacing w:line="240" w:lineRule="auto"/>
        <w:jc w:val="both"/>
        <w:rPr>
          <w:rFonts w:ascii="Times New Roman" w:hAnsi="Times New Roman" w:cs="Times New Roman"/>
          <w:bCs/>
          <w:color w:val="002060"/>
          <w:sz w:val="16"/>
          <w:szCs w:val="16"/>
        </w:rPr>
      </w:pPr>
      <w:r w:rsidRPr="00405303">
        <w:rPr>
          <w:rFonts w:ascii="Times New Roman" w:eastAsia="Arial" w:hAnsi="Times New Roman" w:cs="Times New Roman"/>
          <w:bCs/>
          <w:color w:val="002060"/>
          <w:sz w:val="16"/>
          <w:szCs w:val="16"/>
          <w:lang w:bidi="ru-RU"/>
        </w:rPr>
        <w:t>Длина в линии полета (м)</w:t>
      </w:r>
      <w:r w:rsidRPr="00405303">
        <w:rPr>
          <w:rFonts w:ascii="Times New Roman" w:eastAsia="Arial" w:hAnsi="Times New Roman" w:cs="Times New Roman"/>
          <w:bCs/>
          <w:color w:val="002060"/>
          <w:sz w:val="16"/>
          <w:szCs w:val="16"/>
          <w:lang w:bidi="ru-RU"/>
        </w:rPr>
        <w:tab/>
        <w:t>8,0</w:t>
      </w:r>
    </w:p>
    <w:p w14:paraId="1460045E" w14:textId="77777777" w:rsidR="00270464" w:rsidRPr="00405303" w:rsidRDefault="00270464" w:rsidP="00C15251">
      <w:pPr>
        <w:pStyle w:val="af8"/>
        <w:tabs>
          <w:tab w:val="right" w:pos="5424"/>
        </w:tabs>
        <w:spacing w:line="240" w:lineRule="auto"/>
        <w:jc w:val="both"/>
        <w:rPr>
          <w:rFonts w:ascii="Times New Roman" w:hAnsi="Times New Roman" w:cs="Times New Roman"/>
          <w:bCs/>
          <w:color w:val="002060"/>
          <w:sz w:val="16"/>
          <w:szCs w:val="16"/>
        </w:rPr>
      </w:pPr>
      <w:r w:rsidRPr="00405303">
        <w:rPr>
          <w:rFonts w:ascii="Times New Roman" w:eastAsia="Arial" w:hAnsi="Times New Roman" w:cs="Times New Roman"/>
          <w:bCs/>
          <w:color w:val="002060"/>
          <w:sz w:val="16"/>
          <w:szCs w:val="16"/>
          <w:lang w:bidi="ru-RU"/>
        </w:rPr>
        <w:t>Площадь крыльев (м</w:t>
      </w:r>
      <w:r w:rsidRPr="00405303">
        <w:rPr>
          <w:rFonts w:ascii="Times New Roman" w:eastAsia="Arial" w:hAnsi="Times New Roman" w:cs="Times New Roman"/>
          <w:bCs/>
          <w:color w:val="002060"/>
          <w:sz w:val="16"/>
          <w:szCs w:val="16"/>
          <w:vertAlign w:val="superscript"/>
          <w:lang w:bidi="ru-RU"/>
        </w:rPr>
        <w:t>2</w:t>
      </w:r>
      <w:r w:rsidRPr="00405303">
        <w:rPr>
          <w:rFonts w:ascii="Times New Roman" w:eastAsia="Arial" w:hAnsi="Times New Roman" w:cs="Times New Roman"/>
          <w:bCs/>
          <w:color w:val="002060"/>
          <w:sz w:val="16"/>
          <w:szCs w:val="16"/>
          <w:lang w:bidi="ru-RU"/>
        </w:rPr>
        <w:t>)</w:t>
      </w:r>
      <w:r w:rsidRPr="00405303">
        <w:rPr>
          <w:rFonts w:ascii="Times New Roman" w:eastAsia="Arial" w:hAnsi="Times New Roman" w:cs="Times New Roman"/>
          <w:bCs/>
          <w:color w:val="002060"/>
          <w:sz w:val="16"/>
          <w:szCs w:val="16"/>
          <w:lang w:bidi="ru-RU"/>
        </w:rPr>
        <w:tab/>
        <w:t>33,5</w:t>
      </w:r>
    </w:p>
    <w:p w14:paraId="42944B1D" w14:textId="77777777" w:rsidR="00270464" w:rsidRPr="00405303" w:rsidRDefault="00270464" w:rsidP="00C15251">
      <w:pPr>
        <w:pStyle w:val="af8"/>
        <w:tabs>
          <w:tab w:val="right" w:pos="5424"/>
        </w:tabs>
        <w:spacing w:line="240" w:lineRule="auto"/>
        <w:jc w:val="both"/>
        <w:rPr>
          <w:rFonts w:ascii="Times New Roman" w:hAnsi="Times New Roman" w:cs="Times New Roman"/>
          <w:bCs/>
          <w:color w:val="002060"/>
          <w:sz w:val="16"/>
          <w:szCs w:val="16"/>
        </w:rPr>
      </w:pPr>
      <w:r w:rsidRPr="00405303">
        <w:rPr>
          <w:rFonts w:ascii="Times New Roman" w:eastAsia="Arial" w:hAnsi="Times New Roman" w:cs="Times New Roman"/>
          <w:bCs/>
          <w:color w:val="002060"/>
          <w:sz w:val="16"/>
          <w:szCs w:val="16"/>
          <w:lang w:bidi="ru-RU"/>
        </w:rPr>
        <w:t>Полетный вес (кг)</w:t>
      </w:r>
      <w:r w:rsidRPr="00405303">
        <w:rPr>
          <w:rFonts w:ascii="Times New Roman" w:eastAsia="Arial" w:hAnsi="Times New Roman" w:cs="Times New Roman"/>
          <w:bCs/>
          <w:color w:val="002060"/>
          <w:sz w:val="16"/>
          <w:szCs w:val="16"/>
          <w:lang w:bidi="ru-RU"/>
        </w:rPr>
        <w:tab/>
        <w:t>870</w:t>
      </w:r>
    </w:p>
    <w:p w14:paraId="4E125D85" w14:textId="77777777" w:rsidR="00270464" w:rsidRPr="00405303" w:rsidRDefault="00270464" w:rsidP="00C15251">
      <w:pPr>
        <w:pStyle w:val="af8"/>
        <w:tabs>
          <w:tab w:val="right" w:pos="5429"/>
        </w:tabs>
        <w:spacing w:line="240" w:lineRule="auto"/>
        <w:jc w:val="both"/>
        <w:rPr>
          <w:rFonts w:ascii="Times New Roman" w:hAnsi="Times New Roman" w:cs="Times New Roman"/>
          <w:bCs/>
          <w:color w:val="002060"/>
          <w:sz w:val="16"/>
          <w:szCs w:val="16"/>
        </w:rPr>
      </w:pPr>
      <w:r w:rsidRPr="00405303">
        <w:rPr>
          <w:rFonts w:ascii="Times New Roman" w:eastAsia="Arial" w:hAnsi="Times New Roman" w:cs="Times New Roman"/>
          <w:bCs/>
          <w:color w:val="002060"/>
          <w:sz w:val="16"/>
          <w:szCs w:val="16"/>
          <w:lang w:bidi="ru-RU"/>
        </w:rPr>
        <w:t>Скорость у земли (км/ч)</w:t>
      </w:r>
      <w:r w:rsidRPr="00405303">
        <w:rPr>
          <w:rFonts w:ascii="Times New Roman" w:eastAsia="Arial" w:hAnsi="Times New Roman" w:cs="Times New Roman"/>
          <w:bCs/>
          <w:color w:val="002060"/>
          <w:sz w:val="16"/>
          <w:szCs w:val="16"/>
          <w:lang w:bidi="ru-RU"/>
        </w:rPr>
        <w:tab/>
        <w:t>115</w:t>
      </w:r>
    </w:p>
    <w:p w14:paraId="319A83D2" w14:textId="77777777" w:rsidR="00270464" w:rsidRPr="00405303" w:rsidRDefault="00270464" w:rsidP="00C15251">
      <w:pPr>
        <w:pStyle w:val="af8"/>
        <w:tabs>
          <w:tab w:val="center" w:pos="2885"/>
          <w:tab w:val="right" w:pos="5424"/>
        </w:tabs>
        <w:spacing w:line="240" w:lineRule="auto"/>
        <w:jc w:val="both"/>
        <w:rPr>
          <w:rFonts w:ascii="Times New Roman" w:hAnsi="Times New Roman" w:cs="Times New Roman"/>
          <w:bCs/>
          <w:color w:val="002060"/>
          <w:sz w:val="16"/>
          <w:szCs w:val="16"/>
        </w:rPr>
      </w:pPr>
      <w:r w:rsidRPr="00405303">
        <w:rPr>
          <w:rFonts w:ascii="Times New Roman" w:eastAsia="Arial" w:hAnsi="Times New Roman" w:cs="Times New Roman"/>
          <w:bCs/>
          <w:color w:val="002060"/>
          <w:sz w:val="16"/>
          <w:szCs w:val="16"/>
          <w:lang w:bidi="ru-RU"/>
        </w:rPr>
        <w:t>Время набора высоты 1000 м</w:t>
      </w:r>
      <w:r w:rsidRPr="00405303">
        <w:rPr>
          <w:rFonts w:ascii="Times New Roman" w:eastAsia="Arial" w:hAnsi="Times New Roman" w:cs="Times New Roman"/>
          <w:bCs/>
          <w:color w:val="002060"/>
          <w:sz w:val="16"/>
          <w:szCs w:val="16"/>
          <w:lang w:bidi="ru-RU"/>
        </w:rPr>
        <w:tab/>
        <w:t>(мин)</w:t>
      </w:r>
      <w:r w:rsidRPr="00405303">
        <w:rPr>
          <w:rFonts w:ascii="Times New Roman" w:eastAsia="Arial" w:hAnsi="Times New Roman" w:cs="Times New Roman"/>
          <w:bCs/>
          <w:color w:val="002060"/>
          <w:sz w:val="16"/>
          <w:szCs w:val="16"/>
          <w:lang w:bidi="ru-RU"/>
        </w:rPr>
        <w:tab/>
        <w:t>7</w:t>
      </w:r>
    </w:p>
    <w:p w14:paraId="0FBFD43A" w14:textId="77777777" w:rsidR="00270464" w:rsidRPr="00405303" w:rsidRDefault="00270464" w:rsidP="00C15251">
      <w:pPr>
        <w:pStyle w:val="af8"/>
        <w:tabs>
          <w:tab w:val="right" w:pos="5424"/>
        </w:tabs>
        <w:spacing w:line="240" w:lineRule="auto"/>
        <w:jc w:val="both"/>
        <w:rPr>
          <w:rFonts w:ascii="Times New Roman" w:hAnsi="Times New Roman" w:cs="Times New Roman"/>
          <w:bCs/>
          <w:color w:val="002060"/>
          <w:sz w:val="16"/>
          <w:szCs w:val="16"/>
        </w:rPr>
      </w:pPr>
      <w:r w:rsidRPr="00405303">
        <w:rPr>
          <w:rFonts w:ascii="Times New Roman" w:eastAsia="Arial" w:hAnsi="Times New Roman" w:cs="Times New Roman"/>
          <w:bCs/>
          <w:color w:val="002060"/>
          <w:sz w:val="16"/>
          <w:szCs w:val="16"/>
          <w:lang w:bidi="ru-RU"/>
        </w:rPr>
        <w:t>Потолок(м)</w:t>
      </w:r>
      <w:r w:rsidRPr="00405303">
        <w:rPr>
          <w:rFonts w:ascii="Times New Roman" w:eastAsia="Arial" w:hAnsi="Times New Roman" w:cs="Times New Roman"/>
          <w:bCs/>
          <w:color w:val="002060"/>
          <w:sz w:val="16"/>
          <w:szCs w:val="16"/>
          <w:lang w:bidi="ru-RU"/>
        </w:rPr>
        <w:tab/>
        <w:t>4000</w:t>
      </w:r>
    </w:p>
    <w:p w14:paraId="4D3D6CBE" w14:textId="77777777" w:rsidR="00270464" w:rsidRPr="00405303" w:rsidRDefault="00270464" w:rsidP="00C15251">
      <w:pPr>
        <w:pStyle w:val="af8"/>
        <w:tabs>
          <w:tab w:val="right" w:pos="5424"/>
        </w:tabs>
        <w:spacing w:line="240" w:lineRule="auto"/>
        <w:jc w:val="both"/>
        <w:rPr>
          <w:rFonts w:ascii="Times New Roman" w:hAnsi="Times New Roman" w:cs="Times New Roman"/>
          <w:bCs/>
          <w:color w:val="002060"/>
          <w:sz w:val="16"/>
          <w:szCs w:val="16"/>
          <w:lang w:bidi="ru-RU"/>
        </w:rPr>
      </w:pPr>
      <w:r w:rsidRPr="00405303">
        <w:rPr>
          <w:rFonts w:ascii="Times New Roman" w:eastAsia="Arial" w:hAnsi="Times New Roman" w:cs="Times New Roman"/>
          <w:bCs/>
          <w:color w:val="002060"/>
          <w:sz w:val="16"/>
          <w:szCs w:val="16"/>
          <w:lang w:bidi="ru-RU"/>
        </w:rPr>
        <w:t>Продолжительность полета (час)</w:t>
      </w:r>
      <w:r w:rsidRPr="00405303">
        <w:rPr>
          <w:rFonts w:ascii="Times New Roman" w:eastAsia="Arial" w:hAnsi="Times New Roman" w:cs="Times New Roman"/>
          <w:bCs/>
          <w:color w:val="002060"/>
          <w:sz w:val="16"/>
          <w:szCs w:val="16"/>
          <w:lang w:bidi="ru-RU"/>
        </w:rPr>
        <w:tab/>
        <w:t>3,5</w:t>
      </w:r>
      <w:r w:rsidRPr="00405303">
        <w:rPr>
          <w:rFonts w:ascii="Times New Roman" w:hAnsi="Times New Roman" w:cs="Times New Roman"/>
          <w:bCs/>
          <w:color w:val="002060"/>
          <w:sz w:val="16"/>
          <w:szCs w:val="16"/>
          <w:lang w:bidi="ru-RU"/>
        </w:rPr>
        <w:t xml:space="preserve"> (23374).</w:t>
      </w:r>
    </w:p>
    <w:p w14:paraId="48818D4A" w14:textId="77777777" w:rsidR="00270464" w:rsidRPr="00405303" w:rsidRDefault="00270464" w:rsidP="00C15251">
      <w:pPr>
        <w:jc w:val="both"/>
        <w:rPr>
          <w:bCs/>
          <w:color w:val="002060"/>
          <w:sz w:val="16"/>
          <w:szCs w:val="16"/>
        </w:rPr>
      </w:pPr>
    </w:p>
    <w:p w14:paraId="2D1628AD" w14:textId="77777777" w:rsidR="00270464" w:rsidRPr="00405303" w:rsidRDefault="00270464" w:rsidP="00C15251">
      <w:pPr>
        <w:jc w:val="both"/>
        <w:rPr>
          <w:bCs/>
          <w:color w:val="002060"/>
          <w:sz w:val="16"/>
          <w:szCs w:val="16"/>
        </w:rPr>
      </w:pPr>
      <w:r w:rsidRPr="00405303">
        <w:rPr>
          <w:bCs/>
          <w:color w:val="002060"/>
          <w:sz w:val="16"/>
          <w:szCs w:val="16"/>
          <w:lang w:bidi="ru-RU"/>
        </w:rPr>
        <w:t>В апреле 1915 г. после проведения сдаточных испытаний самолеты, поначалу определяемые как М-2, в последующем как М-2/М-4 (или М-4), зачислили в со</w:t>
      </w:r>
      <w:r w:rsidRPr="00405303">
        <w:rPr>
          <w:bCs/>
          <w:color w:val="002060"/>
          <w:sz w:val="16"/>
          <w:szCs w:val="16"/>
          <w:lang w:bidi="ru-RU"/>
        </w:rPr>
        <w:softHyphen/>
        <w:t>став авиации Черноморского флота, и спу</w:t>
      </w:r>
      <w:r w:rsidRPr="00405303">
        <w:rPr>
          <w:bCs/>
          <w:color w:val="002060"/>
          <w:sz w:val="16"/>
          <w:szCs w:val="16"/>
          <w:lang w:bidi="ru-RU"/>
        </w:rPr>
        <w:softHyphen/>
        <w:t>стя короткое время один из них успешно использовали в боевой обстановке. 12 ап</w:t>
      </w:r>
      <w:r w:rsidRPr="00405303">
        <w:rPr>
          <w:bCs/>
          <w:color w:val="002060"/>
          <w:sz w:val="16"/>
          <w:szCs w:val="16"/>
          <w:lang w:bidi="ru-RU"/>
        </w:rPr>
        <w:softHyphen/>
        <w:t>реля аппарат с бортовым номером «29», спущенный с борта крейсера вспомога</w:t>
      </w:r>
      <w:r w:rsidRPr="00405303">
        <w:rPr>
          <w:bCs/>
          <w:color w:val="002060"/>
          <w:sz w:val="16"/>
          <w:szCs w:val="16"/>
          <w:lang w:bidi="ru-RU"/>
        </w:rPr>
        <w:softHyphen/>
        <w:t>тельного «Император Николай 1» в районе Босфора впервые атаковал турецкую кано</w:t>
      </w:r>
      <w:r w:rsidRPr="00405303">
        <w:rPr>
          <w:bCs/>
          <w:color w:val="002060"/>
          <w:sz w:val="16"/>
          <w:szCs w:val="16"/>
          <w:lang w:bidi="ru-RU"/>
        </w:rPr>
        <w:softHyphen/>
        <w:t>нерку.</w:t>
      </w:r>
    </w:p>
    <w:p w14:paraId="462331B0" w14:textId="77777777" w:rsidR="00270464" w:rsidRPr="00405303" w:rsidRDefault="00270464" w:rsidP="00C15251">
      <w:pPr>
        <w:jc w:val="both"/>
        <w:rPr>
          <w:bCs/>
          <w:color w:val="002060"/>
          <w:sz w:val="16"/>
          <w:szCs w:val="16"/>
        </w:rPr>
      </w:pPr>
      <w:r w:rsidRPr="00405303">
        <w:rPr>
          <w:bCs/>
          <w:color w:val="002060"/>
          <w:sz w:val="16"/>
          <w:szCs w:val="16"/>
          <w:lang w:bidi="ru-RU"/>
        </w:rPr>
        <w:t>Отзывы об использовании летающих ло</w:t>
      </w:r>
      <w:r w:rsidRPr="00405303">
        <w:rPr>
          <w:bCs/>
          <w:color w:val="002060"/>
          <w:sz w:val="16"/>
          <w:szCs w:val="16"/>
          <w:lang w:bidi="ru-RU"/>
        </w:rPr>
        <w:softHyphen/>
        <w:t>док Щетинина-Григоровича на Черном мо</w:t>
      </w:r>
      <w:r w:rsidRPr="00405303">
        <w:rPr>
          <w:bCs/>
          <w:color w:val="002060"/>
          <w:sz w:val="16"/>
          <w:szCs w:val="16"/>
          <w:lang w:bidi="ru-RU"/>
        </w:rPr>
        <w:softHyphen/>
        <w:t>ре оказались вполне обнадеживающими, что позволило в ближайшем будущем со</w:t>
      </w:r>
      <w:r w:rsidRPr="00405303">
        <w:rPr>
          <w:bCs/>
          <w:color w:val="002060"/>
          <w:sz w:val="16"/>
          <w:szCs w:val="16"/>
          <w:lang w:bidi="ru-RU"/>
        </w:rPr>
        <w:softHyphen/>
        <w:t>здать новый, еще более совершенный М-5 (23374).</w:t>
      </w:r>
    </w:p>
    <w:p w14:paraId="4F3619A8" w14:textId="77777777" w:rsidR="00270464" w:rsidRPr="00405303" w:rsidRDefault="00270464" w:rsidP="00C15251">
      <w:pPr>
        <w:jc w:val="both"/>
        <w:rPr>
          <w:bCs/>
          <w:color w:val="002060"/>
          <w:sz w:val="16"/>
          <w:szCs w:val="16"/>
          <w:lang w:bidi="ru-RU"/>
        </w:rPr>
      </w:pPr>
    </w:p>
    <w:p w14:paraId="6983315F" w14:textId="77777777" w:rsidR="00270464" w:rsidRPr="00405303" w:rsidRDefault="00270464" w:rsidP="00C15251">
      <w:pPr>
        <w:jc w:val="both"/>
        <w:rPr>
          <w:bCs/>
          <w:color w:val="002060"/>
          <w:sz w:val="16"/>
          <w:szCs w:val="16"/>
          <w:lang w:bidi="ru-RU"/>
        </w:rPr>
      </w:pPr>
      <w:r w:rsidRPr="00405303">
        <w:rPr>
          <w:bCs/>
          <w:color w:val="002060"/>
          <w:sz w:val="16"/>
          <w:szCs w:val="16"/>
          <w:lang w:bidi="ru-RU"/>
        </w:rPr>
        <w:t>В апреле 1915 г. на за</w:t>
      </w:r>
      <w:r w:rsidRPr="00405303">
        <w:rPr>
          <w:bCs/>
          <w:color w:val="002060"/>
          <w:sz w:val="16"/>
          <w:szCs w:val="16"/>
          <w:lang w:bidi="ru-RU"/>
        </w:rPr>
        <w:softHyphen/>
        <w:t>воде Щетинина построили первый экземпляр М-5.</w:t>
      </w:r>
    </w:p>
    <w:p w14:paraId="690A0691" w14:textId="77777777" w:rsidR="00270464" w:rsidRPr="00405303" w:rsidRDefault="00270464" w:rsidP="00C15251">
      <w:pPr>
        <w:jc w:val="both"/>
        <w:rPr>
          <w:bCs/>
          <w:color w:val="002060"/>
          <w:sz w:val="16"/>
          <w:szCs w:val="16"/>
        </w:rPr>
      </w:pPr>
      <w:r w:rsidRPr="00405303">
        <w:rPr>
          <w:bCs/>
          <w:color w:val="002060"/>
          <w:sz w:val="16"/>
          <w:szCs w:val="16"/>
          <w:lang w:bidi="ru-RU"/>
        </w:rPr>
        <w:t>Этот одномоторный, двухместный аппарат стал первой заметной удачей Д.П.Григоровича, закрепившей за ним авторитет со</w:t>
      </w:r>
      <w:r w:rsidRPr="00405303">
        <w:rPr>
          <w:bCs/>
          <w:color w:val="002060"/>
          <w:sz w:val="16"/>
          <w:szCs w:val="16"/>
          <w:lang w:bidi="ru-RU"/>
        </w:rPr>
        <w:softHyphen/>
        <w:t>здателя гидросамолетов. Фактически М-5 явился продолжением предыдущих типов, в нем конструктор улучшил гидродинамику корпуса лодки, удлинил и слегка изогнул ее хвостовую часть кверху для более эф</w:t>
      </w:r>
      <w:r w:rsidRPr="00405303">
        <w:rPr>
          <w:bCs/>
          <w:color w:val="002060"/>
          <w:sz w:val="16"/>
          <w:szCs w:val="16"/>
          <w:lang w:bidi="ru-RU"/>
        </w:rPr>
        <w:softHyphen/>
        <w:t>фективного размещения хвостового опере</w:t>
      </w:r>
      <w:r w:rsidRPr="00405303">
        <w:rPr>
          <w:bCs/>
          <w:color w:val="002060"/>
          <w:sz w:val="16"/>
          <w:szCs w:val="16"/>
          <w:lang w:bidi="ru-RU"/>
        </w:rPr>
        <w:softHyphen/>
        <w:t>ния. В отличие от предыдущих конструк</w:t>
      </w:r>
      <w:r w:rsidRPr="00405303">
        <w:rPr>
          <w:bCs/>
          <w:color w:val="002060"/>
          <w:sz w:val="16"/>
          <w:szCs w:val="16"/>
          <w:lang w:bidi="ru-RU"/>
        </w:rPr>
        <w:softHyphen/>
        <w:t>ций, в которых нижнее крыло было поднято над фюзеляжем на коротких 150 мм стой</w:t>
      </w:r>
      <w:r w:rsidRPr="00405303">
        <w:rPr>
          <w:bCs/>
          <w:color w:val="002060"/>
          <w:sz w:val="16"/>
          <w:szCs w:val="16"/>
          <w:lang w:bidi="ru-RU"/>
        </w:rPr>
        <w:softHyphen/>
        <w:t>ках, в М-5 это крыло соединялось непо</w:t>
      </w:r>
      <w:r w:rsidRPr="00405303">
        <w:rPr>
          <w:bCs/>
          <w:color w:val="002060"/>
          <w:sz w:val="16"/>
          <w:szCs w:val="16"/>
          <w:lang w:bidi="ru-RU"/>
        </w:rPr>
        <w:softHyphen/>
        <w:t>средственно с увеличенным по высоте кор</w:t>
      </w:r>
      <w:r w:rsidRPr="00405303">
        <w:rPr>
          <w:bCs/>
          <w:color w:val="002060"/>
          <w:sz w:val="16"/>
          <w:szCs w:val="16"/>
          <w:lang w:bidi="ru-RU"/>
        </w:rPr>
        <w:softHyphen/>
        <w:t>пусом лодки. Размах и площадь нижнего крыла увеличились, и это обстоятельство заметно улучшило взлетные и посадочные свойства самолета.</w:t>
      </w:r>
    </w:p>
    <w:p w14:paraId="40AAC896" w14:textId="77777777" w:rsidR="00270464" w:rsidRPr="00405303" w:rsidRDefault="00270464" w:rsidP="00C15251">
      <w:pPr>
        <w:jc w:val="both"/>
        <w:rPr>
          <w:bCs/>
          <w:color w:val="002060"/>
          <w:sz w:val="16"/>
          <w:szCs w:val="16"/>
        </w:rPr>
      </w:pPr>
      <w:r w:rsidRPr="00405303">
        <w:rPr>
          <w:bCs/>
          <w:color w:val="002060"/>
          <w:sz w:val="16"/>
          <w:szCs w:val="16"/>
          <w:lang w:bidi="ru-RU"/>
        </w:rPr>
        <w:t>Особое внимание было уделено повыше</w:t>
      </w:r>
      <w:r w:rsidRPr="00405303">
        <w:rPr>
          <w:bCs/>
          <w:color w:val="002060"/>
          <w:sz w:val="16"/>
          <w:szCs w:val="16"/>
          <w:lang w:bidi="ru-RU"/>
        </w:rPr>
        <w:softHyphen/>
        <w:t>нию прочности корпуса в части, соприкаса</w:t>
      </w:r>
      <w:r w:rsidRPr="00405303">
        <w:rPr>
          <w:bCs/>
          <w:color w:val="002060"/>
          <w:sz w:val="16"/>
          <w:szCs w:val="16"/>
          <w:lang w:bidi="ru-RU"/>
        </w:rPr>
        <w:softHyphen/>
        <w:t>ющейся с водой. Конструкция лодки могла уже называться типовой, она состояла из ясеневого каркаса с 3-мм фанерной обшив</w:t>
      </w:r>
      <w:r w:rsidRPr="00405303">
        <w:rPr>
          <w:bCs/>
          <w:color w:val="002060"/>
          <w:sz w:val="16"/>
          <w:szCs w:val="16"/>
          <w:lang w:bidi="ru-RU"/>
        </w:rPr>
        <w:softHyphen/>
        <w:t>кой на бортах и 5—6 мм обшивкой на дни</w:t>
      </w:r>
      <w:r w:rsidRPr="00405303">
        <w:rPr>
          <w:bCs/>
          <w:color w:val="002060"/>
          <w:sz w:val="16"/>
          <w:szCs w:val="16"/>
          <w:lang w:bidi="ru-RU"/>
        </w:rPr>
        <w:softHyphen/>
        <w:t>ще. Редан накладной из 10 мм фанеры. Сборка корпуса велась на латунных шурупах с использованием свинцовых или цинковых белил. Стыки обшивки усиливались фанер</w:t>
      </w:r>
      <w:r w:rsidRPr="00405303">
        <w:rPr>
          <w:bCs/>
          <w:color w:val="002060"/>
          <w:sz w:val="16"/>
          <w:szCs w:val="16"/>
          <w:lang w:bidi="ru-RU"/>
        </w:rPr>
        <w:softHyphen/>
        <w:t>ными накладками, проклепанными медными заклепками. Нижние швы укреплялись мед</w:t>
      </w:r>
      <w:r w:rsidRPr="00405303">
        <w:rPr>
          <w:bCs/>
          <w:color w:val="002060"/>
          <w:sz w:val="16"/>
          <w:szCs w:val="16"/>
          <w:lang w:bidi="ru-RU"/>
        </w:rPr>
        <w:softHyphen/>
        <w:t>ной фольгой толщиной 0,3 мм, края ее заги</w:t>
      </w:r>
      <w:r w:rsidRPr="00405303">
        <w:rPr>
          <w:bCs/>
          <w:color w:val="002060"/>
          <w:sz w:val="16"/>
          <w:szCs w:val="16"/>
          <w:lang w:bidi="ru-RU"/>
        </w:rPr>
        <w:softHyphen/>
        <w:t>бались под обшивку, а стыки паялись оловом. Снаружи деревянный корпус покрывал</w:t>
      </w:r>
      <w:r w:rsidRPr="00405303">
        <w:rPr>
          <w:bCs/>
          <w:color w:val="002060"/>
          <w:sz w:val="16"/>
          <w:szCs w:val="16"/>
          <w:lang w:bidi="ru-RU"/>
        </w:rPr>
        <w:softHyphen/>
        <w:t>ся бесцветным масляным лаком, а внутрен</w:t>
      </w:r>
      <w:r w:rsidRPr="00405303">
        <w:rPr>
          <w:bCs/>
          <w:color w:val="002060"/>
          <w:sz w:val="16"/>
          <w:szCs w:val="16"/>
          <w:lang w:bidi="ru-RU"/>
        </w:rPr>
        <w:softHyphen/>
        <w:t>ние поверхности — олифой.</w:t>
      </w:r>
    </w:p>
    <w:p w14:paraId="72DDE926" w14:textId="77777777" w:rsidR="00270464" w:rsidRPr="00405303" w:rsidRDefault="00270464" w:rsidP="00C15251">
      <w:pPr>
        <w:jc w:val="both"/>
        <w:rPr>
          <w:bCs/>
          <w:color w:val="002060"/>
          <w:sz w:val="16"/>
          <w:szCs w:val="16"/>
        </w:rPr>
      </w:pPr>
      <w:r w:rsidRPr="00405303">
        <w:rPr>
          <w:bCs/>
          <w:color w:val="002060"/>
          <w:sz w:val="16"/>
          <w:szCs w:val="16"/>
          <w:lang w:bidi="ru-RU"/>
        </w:rPr>
        <w:t>Конструкция крыльев, стабилизатора и киля вертикального оперения из сосны, ру</w:t>
      </w:r>
      <w:r w:rsidRPr="00405303">
        <w:rPr>
          <w:bCs/>
          <w:color w:val="002060"/>
          <w:sz w:val="16"/>
          <w:szCs w:val="16"/>
          <w:lang w:bidi="ru-RU"/>
        </w:rPr>
        <w:softHyphen/>
        <w:t>ли высоты и поворота из тонкостенных стальных труб. Горизонтальное хвостовое оперение с целью защиты от воды поднято вверх на стальной трубчатой пирамиде и расчалено тросами. Такая конструктивная схема не являлась достаточно жесткой, в полете хвостовая часть заметно скручива</w:t>
      </w:r>
      <w:r w:rsidRPr="00405303">
        <w:rPr>
          <w:bCs/>
          <w:color w:val="002060"/>
          <w:sz w:val="16"/>
          <w:szCs w:val="16"/>
          <w:lang w:bidi="ru-RU"/>
        </w:rPr>
        <w:softHyphen/>
        <w:t>лась на вираже, вибрировала от воздуш</w:t>
      </w:r>
      <w:r w:rsidRPr="00405303">
        <w:rPr>
          <w:bCs/>
          <w:color w:val="002060"/>
          <w:sz w:val="16"/>
          <w:szCs w:val="16"/>
          <w:lang w:bidi="ru-RU"/>
        </w:rPr>
        <w:softHyphen/>
        <w:t>ной струи, однако никогда не ломалась.</w:t>
      </w:r>
    </w:p>
    <w:p w14:paraId="46463BA8" w14:textId="77777777" w:rsidR="00270464" w:rsidRPr="00405303" w:rsidRDefault="00270464" w:rsidP="00C15251">
      <w:pPr>
        <w:jc w:val="both"/>
        <w:rPr>
          <w:bCs/>
          <w:color w:val="002060"/>
          <w:sz w:val="16"/>
          <w:szCs w:val="16"/>
        </w:rPr>
      </w:pPr>
      <w:r w:rsidRPr="00405303">
        <w:rPr>
          <w:bCs/>
          <w:color w:val="002060"/>
          <w:sz w:val="16"/>
          <w:szCs w:val="16"/>
          <w:lang w:bidi="ru-RU"/>
        </w:rPr>
        <w:t>Ротативный двигатель с толкающим воз</w:t>
      </w:r>
      <w:r w:rsidRPr="00405303">
        <w:rPr>
          <w:bCs/>
          <w:color w:val="002060"/>
          <w:sz w:val="16"/>
          <w:szCs w:val="16"/>
          <w:lang w:bidi="ru-RU"/>
        </w:rPr>
        <w:softHyphen/>
        <w:t>душным винтом монтировался на мотора</w:t>
      </w:r>
      <w:r w:rsidRPr="00405303">
        <w:rPr>
          <w:bCs/>
          <w:color w:val="002060"/>
          <w:sz w:val="16"/>
          <w:szCs w:val="16"/>
          <w:lang w:bidi="ru-RU"/>
        </w:rPr>
        <w:softHyphen/>
        <w:t>ме, расположенной в пространстве между центральными межкрыльевыми стойками. В передней части мотоустановки находи</w:t>
      </w:r>
      <w:r w:rsidRPr="00405303">
        <w:rPr>
          <w:bCs/>
          <w:color w:val="002060"/>
          <w:sz w:val="16"/>
          <w:szCs w:val="16"/>
          <w:lang w:bidi="ru-RU"/>
        </w:rPr>
        <w:softHyphen/>
        <w:t>лась рукоятка ручного запуска двигателя.</w:t>
      </w:r>
    </w:p>
    <w:p w14:paraId="0F6B88C1" w14:textId="77777777" w:rsidR="00270464" w:rsidRPr="00405303" w:rsidRDefault="00270464" w:rsidP="00C15251">
      <w:pPr>
        <w:jc w:val="both"/>
        <w:rPr>
          <w:bCs/>
          <w:color w:val="002060"/>
          <w:sz w:val="16"/>
          <w:szCs w:val="16"/>
        </w:rPr>
      </w:pPr>
      <w:r w:rsidRPr="00405303">
        <w:rPr>
          <w:bCs/>
          <w:color w:val="002060"/>
          <w:sz w:val="16"/>
          <w:szCs w:val="16"/>
          <w:lang w:bidi="ru-RU"/>
        </w:rPr>
        <w:t>Для подачи бензина к двигателю пользова</w:t>
      </w:r>
      <w:r w:rsidRPr="00405303">
        <w:rPr>
          <w:bCs/>
          <w:color w:val="002060"/>
          <w:sz w:val="16"/>
          <w:szCs w:val="16"/>
          <w:lang w:bidi="ru-RU"/>
        </w:rPr>
        <w:softHyphen/>
        <w:t>лись ручным насосом, которым создавали избыточное давление в топливном баке, размещенном за кабиной пилотов.</w:t>
      </w:r>
    </w:p>
    <w:p w14:paraId="2B6A1D18" w14:textId="77777777" w:rsidR="00270464" w:rsidRPr="00405303" w:rsidRDefault="00270464" w:rsidP="00C15251">
      <w:pPr>
        <w:jc w:val="both"/>
        <w:rPr>
          <w:bCs/>
          <w:color w:val="002060"/>
          <w:sz w:val="16"/>
          <w:szCs w:val="16"/>
        </w:rPr>
      </w:pPr>
      <w:r w:rsidRPr="00405303">
        <w:rPr>
          <w:bCs/>
          <w:color w:val="002060"/>
          <w:sz w:val="16"/>
          <w:szCs w:val="16"/>
          <w:lang w:bidi="ru-RU"/>
        </w:rPr>
        <w:t>Основная часть построенных М-5 осна</w:t>
      </w:r>
      <w:r w:rsidRPr="00405303">
        <w:rPr>
          <w:bCs/>
          <w:color w:val="002060"/>
          <w:sz w:val="16"/>
          <w:szCs w:val="16"/>
          <w:lang w:bidi="ru-RU"/>
        </w:rPr>
        <w:softHyphen/>
        <w:t>щалась двигателями «Гном Моносупап» 100 л.с. С этим двигателем получилось на</w:t>
      </w:r>
      <w:r w:rsidRPr="00405303">
        <w:rPr>
          <w:bCs/>
          <w:color w:val="002060"/>
          <w:sz w:val="16"/>
          <w:szCs w:val="16"/>
          <w:lang w:bidi="ru-RU"/>
        </w:rPr>
        <w:softHyphen/>
        <w:t>иболее удачное соотношение мощности, полетного веса и размеров самолета, поз</w:t>
      </w:r>
      <w:r w:rsidRPr="00405303">
        <w:rPr>
          <w:bCs/>
          <w:color w:val="002060"/>
          <w:sz w:val="16"/>
          <w:szCs w:val="16"/>
          <w:lang w:bidi="ru-RU"/>
        </w:rPr>
        <w:softHyphen/>
        <w:t>волявшее оценивать его как приятный в полете, а по своей устойчивости и безо</w:t>
      </w:r>
      <w:r w:rsidRPr="00405303">
        <w:rPr>
          <w:bCs/>
          <w:color w:val="002060"/>
          <w:sz w:val="16"/>
          <w:szCs w:val="16"/>
          <w:lang w:bidi="ru-RU"/>
        </w:rPr>
        <w:softHyphen/>
        <w:t>пасности считать отличным учебным аппа</w:t>
      </w:r>
      <w:r w:rsidRPr="00405303">
        <w:rPr>
          <w:bCs/>
          <w:color w:val="002060"/>
          <w:sz w:val="16"/>
          <w:szCs w:val="16"/>
          <w:lang w:bidi="ru-RU"/>
        </w:rPr>
        <w:softHyphen/>
        <w:t>ратом. В последнем своем качестве само</w:t>
      </w:r>
      <w:r w:rsidRPr="00405303">
        <w:rPr>
          <w:bCs/>
          <w:color w:val="002060"/>
          <w:sz w:val="16"/>
          <w:szCs w:val="16"/>
          <w:lang w:bidi="ru-RU"/>
        </w:rPr>
        <w:softHyphen/>
        <w:t>лет положительно запомнился многим авиаторам, прошедшим на нем обучение полетам, и даже получил весьма благос</w:t>
      </w:r>
      <w:r w:rsidRPr="00405303">
        <w:rPr>
          <w:bCs/>
          <w:color w:val="002060"/>
          <w:sz w:val="16"/>
          <w:szCs w:val="16"/>
          <w:lang w:bidi="ru-RU"/>
        </w:rPr>
        <w:softHyphen/>
        <w:t>клонное прозвище «пятак».</w:t>
      </w:r>
    </w:p>
    <w:p w14:paraId="20EAF86A" w14:textId="77777777" w:rsidR="00270464" w:rsidRPr="00405303" w:rsidRDefault="00270464" w:rsidP="00C15251">
      <w:pPr>
        <w:jc w:val="both"/>
        <w:rPr>
          <w:bCs/>
          <w:color w:val="002060"/>
          <w:sz w:val="16"/>
          <w:szCs w:val="16"/>
        </w:rPr>
      </w:pPr>
      <w:r w:rsidRPr="00405303">
        <w:rPr>
          <w:bCs/>
          <w:color w:val="002060"/>
          <w:sz w:val="16"/>
          <w:szCs w:val="16"/>
          <w:lang w:bidi="ru-RU"/>
        </w:rPr>
        <w:lastRenderedPageBreak/>
        <w:t>Одновременно М-5 обладал невысокими летными данными, его полетная скорость находилась в пределах 100 км/ч. Григоро</w:t>
      </w:r>
      <w:r w:rsidRPr="00405303">
        <w:rPr>
          <w:bCs/>
          <w:color w:val="002060"/>
          <w:sz w:val="16"/>
          <w:szCs w:val="16"/>
          <w:lang w:bidi="ru-RU"/>
        </w:rPr>
        <w:softHyphen/>
        <w:t>вич неоднократно пытался улучшить харак</w:t>
      </w:r>
      <w:r w:rsidRPr="00405303">
        <w:rPr>
          <w:bCs/>
          <w:color w:val="002060"/>
          <w:sz w:val="16"/>
          <w:szCs w:val="16"/>
          <w:lang w:bidi="ru-RU"/>
        </w:rPr>
        <w:softHyphen/>
        <w:t>теристики М-5 путем установки более мощных двигателей, однако, единожды до</w:t>
      </w:r>
      <w:r w:rsidRPr="00405303">
        <w:rPr>
          <w:bCs/>
          <w:color w:val="002060"/>
          <w:sz w:val="16"/>
          <w:szCs w:val="16"/>
          <w:lang w:bidi="ru-RU"/>
        </w:rPr>
        <w:softHyphen/>
        <w:t>стигнутая гармония (с «Гном Моносупап») нарушалась и летные качества только ухуд</w:t>
      </w:r>
      <w:r w:rsidRPr="00405303">
        <w:rPr>
          <w:bCs/>
          <w:color w:val="002060"/>
          <w:sz w:val="16"/>
          <w:szCs w:val="16"/>
          <w:lang w:bidi="ru-RU"/>
        </w:rPr>
        <w:softHyphen/>
        <w:t>шались.</w:t>
      </w:r>
    </w:p>
    <w:p w14:paraId="7148B40D" w14:textId="77777777" w:rsidR="00270464" w:rsidRPr="00405303" w:rsidRDefault="00270464" w:rsidP="00C15251">
      <w:pPr>
        <w:jc w:val="both"/>
        <w:rPr>
          <w:bCs/>
          <w:color w:val="002060"/>
          <w:sz w:val="16"/>
          <w:szCs w:val="16"/>
        </w:rPr>
      </w:pPr>
      <w:r w:rsidRPr="00405303">
        <w:rPr>
          <w:bCs/>
          <w:color w:val="002060"/>
          <w:sz w:val="16"/>
          <w:szCs w:val="16"/>
          <w:lang w:bidi="ru-RU"/>
        </w:rPr>
        <w:t>Спустя ме</w:t>
      </w:r>
      <w:r w:rsidRPr="00405303">
        <w:rPr>
          <w:bCs/>
          <w:color w:val="002060"/>
          <w:sz w:val="16"/>
          <w:szCs w:val="16"/>
          <w:lang w:bidi="ru-RU"/>
        </w:rPr>
        <w:softHyphen/>
        <w:t>сяц самолет успешно прошел испытания, после чего последовал заказ на первые 12 таких лодок для Морского ведомства. Се</w:t>
      </w:r>
      <w:r w:rsidRPr="00405303">
        <w:rPr>
          <w:bCs/>
          <w:color w:val="002060"/>
          <w:sz w:val="16"/>
          <w:szCs w:val="16"/>
          <w:lang w:bidi="ru-RU"/>
        </w:rPr>
        <w:softHyphen/>
        <w:t>рийное производство началось в июне 1915 г. и продолжалось до середины 1917 г. К этому сроку общее количество изготовлен</w:t>
      </w:r>
      <w:r w:rsidRPr="00405303">
        <w:rPr>
          <w:bCs/>
          <w:color w:val="002060"/>
          <w:sz w:val="16"/>
          <w:szCs w:val="16"/>
          <w:lang w:bidi="ru-RU"/>
        </w:rPr>
        <w:softHyphen/>
        <w:t>ных М-5 составило порядка 200 экземпля</w:t>
      </w:r>
      <w:r w:rsidRPr="00405303">
        <w:rPr>
          <w:bCs/>
          <w:color w:val="002060"/>
          <w:sz w:val="16"/>
          <w:szCs w:val="16"/>
          <w:lang w:bidi="ru-RU"/>
        </w:rPr>
        <w:softHyphen/>
        <w:t>ров, большинство их изготовили на заводе Щетинина в Петрограде и некоторое коли</w:t>
      </w:r>
      <w:r w:rsidRPr="00405303">
        <w:rPr>
          <w:bCs/>
          <w:color w:val="002060"/>
          <w:sz w:val="16"/>
          <w:szCs w:val="16"/>
          <w:lang w:bidi="ru-RU"/>
        </w:rPr>
        <w:softHyphen/>
        <w:t>чество на заводе Анатра в Одессе (23374).</w:t>
      </w:r>
    </w:p>
    <w:p w14:paraId="0D3043BF" w14:textId="77777777" w:rsidR="00270464" w:rsidRPr="00405303" w:rsidRDefault="00270464" w:rsidP="00C15251">
      <w:pPr>
        <w:jc w:val="both"/>
        <w:rPr>
          <w:bCs/>
          <w:color w:val="002060"/>
          <w:sz w:val="16"/>
          <w:szCs w:val="16"/>
          <w:lang w:bidi="ru-RU"/>
        </w:rPr>
      </w:pPr>
    </w:p>
    <w:p w14:paraId="7A86081B"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02F1E87A" w14:textId="77777777" w:rsidR="004B4E35" w:rsidRPr="00405303" w:rsidRDefault="004B4E35" w:rsidP="00C15251">
      <w:pPr>
        <w:shd w:val="clear" w:color="auto" w:fill="FFFFFF"/>
        <w:jc w:val="both"/>
        <w:rPr>
          <w:bCs/>
          <w:i/>
          <w:color w:val="002060"/>
          <w:sz w:val="16"/>
          <w:szCs w:val="16"/>
        </w:rPr>
      </w:pPr>
    </w:p>
    <w:p w14:paraId="379CADD4" w14:textId="77777777" w:rsidR="00816051" w:rsidRPr="00405303" w:rsidRDefault="00816051" w:rsidP="00C15251">
      <w:pPr>
        <w:jc w:val="both"/>
        <w:rPr>
          <w:bCs/>
          <w:color w:val="002060"/>
          <w:sz w:val="16"/>
          <w:szCs w:val="16"/>
        </w:rPr>
      </w:pPr>
      <w:r w:rsidRPr="00405303">
        <w:rPr>
          <w:bCs/>
          <w:color w:val="002060"/>
          <w:sz w:val="16"/>
          <w:szCs w:val="16"/>
        </w:rPr>
        <w:t>В апреле 1915 г. П.С. Философов в докладе съезду стеклозаводчиков отмечал, что на русских заводах было в избыт</w:t>
      </w:r>
      <w:r w:rsidRPr="00405303">
        <w:rPr>
          <w:bCs/>
          <w:color w:val="002060"/>
          <w:sz w:val="16"/>
          <w:szCs w:val="16"/>
        </w:rPr>
        <w:softHyphen/>
        <w:t>ке опытных мастеров, владевших приемами изготовления «простейших изделий, как то: бутылок, банок», но ощущал</w:t>
      </w:r>
      <w:r w:rsidRPr="00405303">
        <w:rPr>
          <w:bCs/>
          <w:color w:val="002060"/>
          <w:sz w:val="16"/>
          <w:szCs w:val="16"/>
        </w:rPr>
        <w:softHyphen/>
        <w:t>ся «громадный недостаток» их уже в чуть более сложном производстве — обычного листового стекла. Считалось, что термометры лабораторного типа выпускают русские заводы, но вплоть до войны на их изготовление приходилось выпи</w:t>
      </w:r>
      <w:r w:rsidRPr="00405303">
        <w:rPr>
          <w:bCs/>
          <w:color w:val="002060"/>
          <w:sz w:val="16"/>
          <w:szCs w:val="16"/>
        </w:rPr>
        <w:softHyphen/>
        <w:t>сывать из Йены стекло завода Шотта. Непосредственно вы</w:t>
      </w:r>
      <w:r w:rsidRPr="00405303">
        <w:rPr>
          <w:bCs/>
          <w:color w:val="002060"/>
          <w:sz w:val="16"/>
          <w:szCs w:val="16"/>
        </w:rPr>
        <w:softHyphen/>
        <w:t>работкой стекла руководили «практики, вышедшие или из наиболее толковых мастеров, или же из приказчиков, — лица, обыкновенно, без всякого технического образования и с незначительной общей подготовкой. На Западе для под</w:t>
      </w:r>
      <w:r w:rsidRPr="00405303">
        <w:rPr>
          <w:bCs/>
          <w:color w:val="002060"/>
          <w:sz w:val="16"/>
          <w:szCs w:val="16"/>
        </w:rPr>
        <w:softHyphen/>
        <w:t>готовки таких техников существуют... специальные профес</w:t>
      </w:r>
      <w:r w:rsidRPr="00405303">
        <w:rPr>
          <w:bCs/>
          <w:color w:val="002060"/>
          <w:sz w:val="16"/>
          <w:szCs w:val="16"/>
        </w:rPr>
        <w:softHyphen/>
        <w:t>сиональные школы, у нас же в этом отношении не сделано до сих пор еще ничего» (23452).</w:t>
      </w:r>
    </w:p>
    <w:p w14:paraId="10C56FC4" w14:textId="77777777" w:rsidR="00816051" w:rsidRPr="00405303" w:rsidRDefault="00816051" w:rsidP="00C15251">
      <w:pPr>
        <w:jc w:val="both"/>
        <w:rPr>
          <w:bCs/>
          <w:color w:val="002060"/>
          <w:sz w:val="16"/>
          <w:szCs w:val="16"/>
        </w:rPr>
      </w:pPr>
    </w:p>
    <w:p w14:paraId="015D6C34" w14:textId="77777777" w:rsidR="00816051" w:rsidRPr="00405303" w:rsidRDefault="00816051" w:rsidP="00C15251">
      <w:pPr>
        <w:jc w:val="both"/>
        <w:rPr>
          <w:bCs/>
          <w:color w:val="002060"/>
          <w:sz w:val="16"/>
          <w:szCs w:val="16"/>
        </w:rPr>
      </w:pPr>
      <w:r w:rsidRPr="00405303">
        <w:rPr>
          <w:bCs/>
          <w:color w:val="002060"/>
          <w:sz w:val="16"/>
          <w:szCs w:val="16"/>
        </w:rPr>
        <w:t>В апреле 1915 г. только Юго-Запад</w:t>
      </w:r>
      <w:r w:rsidRPr="00405303">
        <w:rPr>
          <w:bCs/>
          <w:color w:val="002060"/>
          <w:sz w:val="16"/>
          <w:szCs w:val="16"/>
        </w:rPr>
        <w:softHyphen/>
        <w:t>ный фронт требовал 25 тысяч вьючных сёдел, но оказалось, что российская промышленность может дать в течение ближайших 10 месяцев только 3900 и придется де</w:t>
      </w:r>
      <w:r w:rsidRPr="00405303">
        <w:rPr>
          <w:bCs/>
          <w:color w:val="002060"/>
          <w:sz w:val="16"/>
          <w:szCs w:val="16"/>
        </w:rPr>
        <w:softHyphen/>
        <w:t>лать заграничный заказ. Действительно, во время войны сёд</w:t>
      </w:r>
      <w:r w:rsidRPr="00405303">
        <w:rPr>
          <w:bCs/>
          <w:color w:val="002060"/>
          <w:sz w:val="16"/>
          <w:szCs w:val="16"/>
        </w:rPr>
        <w:softHyphen/>
        <w:t>ла, конскую амуницию доставляли из-за океана: в марте и мае 1916 г. из США двигались пароходы с 41 тысячью сёдел (Русские поставщики брали заказы на сёдла для пулеметных команд только после того, как им обещали разрешение «получить из-за грани</w:t>
      </w:r>
      <w:r w:rsidRPr="00405303">
        <w:rPr>
          <w:bCs/>
          <w:color w:val="002060"/>
          <w:sz w:val="16"/>
          <w:szCs w:val="16"/>
        </w:rPr>
        <w:softHyphen/>
        <w:t xml:space="preserve">цы или Финляндии» «материалы, полуфабрикаты и ленчики в готовом виде или сухой лес для ленчиков». Еще в 1913 г. ГАУ предупреждало, что нельзя рассчитывать изготовить сёдла в России исключительно из русских материалов (РГВИА. Ф. 962. Оп. 2. Д. 115. Л. 145; Ф. 1. </w:t>
      </w:r>
      <w:r w:rsidRPr="00405303">
        <w:rPr>
          <w:bCs/>
          <w:color w:val="002060"/>
          <w:sz w:val="16"/>
          <w:szCs w:val="16"/>
          <w:lang w:val="en-US" w:bidi="en-US"/>
        </w:rPr>
        <w:t>On</w:t>
      </w:r>
      <w:r w:rsidRPr="00405303">
        <w:rPr>
          <w:bCs/>
          <w:color w:val="002060"/>
          <w:sz w:val="16"/>
          <w:szCs w:val="16"/>
          <w:lang w:bidi="en-US"/>
        </w:rPr>
        <w:t xml:space="preserve">. </w:t>
      </w:r>
      <w:r w:rsidRPr="00405303">
        <w:rPr>
          <w:bCs/>
          <w:color w:val="002060"/>
          <w:sz w:val="16"/>
          <w:szCs w:val="16"/>
        </w:rPr>
        <w:t xml:space="preserve">1. Д. 77797. Л. 144 и об.; Ф. 2000. </w:t>
      </w:r>
      <w:r w:rsidRPr="00405303">
        <w:rPr>
          <w:bCs/>
          <w:color w:val="002060"/>
          <w:sz w:val="16"/>
          <w:szCs w:val="16"/>
          <w:lang w:val="en-US" w:bidi="en-US"/>
        </w:rPr>
        <w:t>On</w:t>
      </w:r>
      <w:r w:rsidRPr="00405303">
        <w:rPr>
          <w:bCs/>
          <w:color w:val="002060"/>
          <w:sz w:val="16"/>
          <w:szCs w:val="16"/>
          <w:lang w:bidi="en-US"/>
        </w:rPr>
        <w:t xml:space="preserve">. </w:t>
      </w:r>
      <w:r w:rsidRPr="00405303">
        <w:rPr>
          <w:bCs/>
          <w:color w:val="002060"/>
          <w:sz w:val="16"/>
          <w:szCs w:val="16"/>
        </w:rPr>
        <w:t>1. Д. 5573. Л. 194, 425)). Но и при таком размере ввоза потребность оставалась неудовлетворенной. Для формируе</w:t>
      </w:r>
      <w:r w:rsidRPr="00405303">
        <w:rPr>
          <w:bCs/>
          <w:color w:val="002060"/>
          <w:sz w:val="16"/>
          <w:szCs w:val="16"/>
        </w:rPr>
        <w:softHyphen/>
        <w:t>мых новых дивизий, как говорил на совещании в Ставке 17 декабря 1916 г. Гурко, пулеметы имеются, «перевозочных же средств нет. Поэтому пулеметы надо ставить в двуколки, так как, чтобы выйти из создавшегося положения, другого средства нет». С двуколками тоже обнаружилась проблема: хотя пулеметов к концу 1916 г. было заготовлено по 32 на полк (24 «Максима» и 8 «Кольтов»), это «пулеметы без дву</w:t>
      </w:r>
      <w:r w:rsidRPr="00405303">
        <w:rPr>
          <w:bCs/>
          <w:color w:val="002060"/>
          <w:sz w:val="16"/>
          <w:szCs w:val="16"/>
        </w:rPr>
        <w:softHyphen/>
        <w:t>колок и упряжи, — подводил итог своей деятельности вели</w:t>
      </w:r>
      <w:r w:rsidRPr="00405303">
        <w:rPr>
          <w:bCs/>
          <w:color w:val="002060"/>
          <w:sz w:val="16"/>
          <w:szCs w:val="16"/>
        </w:rPr>
        <w:softHyphen/>
        <w:t>кий князь Сергей Михайлович. — ...Полного снаряжения нельзя получить ни в 1917, ни в 18, ни в 19 году»; «все наши формирования рассчитаны на снабжение ими старых диви</w:t>
      </w:r>
      <w:r w:rsidRPr="00405303">
        <w:rPr>
          <w:bCs/>
          <w:color w:val="002060"/>
          <w:sz w:val="16"/>
          <w:szCs w:val="16"/>
        </w:rPr>
        <w:softHyphen/>
        <w:t>зий, но мы их дать им не можем вследствие недостатка [кон</w:t>
      </w:r>
      <w:r w:rsidRPr="00405303">
        <w:rPr>
          <w:bCs/>
          <w:color w:val="002060"/>
          <w:sz w:val="16"/>
          <w:szCs w:val="16"/>
        </w:rPr>
        <w:softHyphen/>
        <w:t>ской] амуниции». Брусилов считал, что формируемые для действий в 1917 г. дивизии следовало бы снабдить пулемета</w:t>
      </w:r>
      <w:r w:rsidRPr="00405303">
        <w:rPr>
          <w:bCs/>
          <w:color w:val="002060"/>
          <w:sz w:val="16"/>
          <w:szCs w:val="16"/>
        </w:rPr>
        <w:softHyphen/>
        <w:t>ми «хотя бы на повозках». Также и орудиям не хватало транс</w:t>
      </w:r>
      <w:r w:rsidRPr="00405303">
        <w:rPr>
          <w:bCs/>
          <w:color w:val="002060"/>
          <w:sz w:val="16"/>
          <w:szCs w:val="16"/>
        </w:rPr>
        <w:softHyphen/>
        <w:t>порта: великий князь Сергей Михайлович признавал «невоз</w:t>
      </w:r>
      <w:r w:rsidRPr="00405303">
        <w:rPr>
          <w:bCs/>
          <w:color w:val="002060"/>
          <w:sz w:val="16"/>
          <w:szCs w:val="16"/>
        </w:rPr>
        <w:softHyphen/>
        <w:t>можность перейти на четверочную запряжку в артиллерии» и предлагал «перейти на обывательские подводы» (РГВИА. Ф. 2003. Оп. 2. Д. 1017. Л. 119 об., 125, 126, 128, 142. Про</w:t>
      </w:r>
      <w:r w:rsidRPr="00405303">
        <w:rPr>
          <w:bCs/>
          <w:color w:val="002060"/>
          <w:sz w:val="16"/>
          <w:szCs w:val="16"/>
        </w:rPr>
        <w:softHyphen/>
        <w:t>токол совещания 17—18 декабря 1916 г. в Могилеве) (23452).</w:t>
      </w:r>
    </w:p>
    <w:p w14:paraId="780CAAA1" w14:textId="77777777" w:rsidR="00816051" w:rsidRPr="00405303" w:rsidRDefault="00816051" w:rsidP="00C15251">
      <w:pPr>
        <w:jc w:val="both"/>
        <w:rPr>
          <w:bCs/>
          <w:color w:val="002060"/>
          <w:sz w:val="16"/>
          <w:szCs w:val="16"/>
        </w:rPr>
      </w:pPr>
    </w:p>
    <w:p w14:paraId="15703CC1" w14:textId="77777777" w:rsidR="00A24BF5" w:rsidRPr="00405303" w:rsidRDefault="00A24BF5" w:rsidP="00C15251">
      <w:pPr>
        <w:jc w:val="both"/>
        <w:rPr>
          <w:bCs/>
          <w:color w:val="002060"/>
          <w:sz w:val="16"/>
          <w:szCs w:val="16"/>
        </w:rPr>
      </w:pPr>
      <w:r w:rsidRPr="00405303">
        <w:rPr>
          <w:bCs/>
          <w:color w:val="002060"/>
          <w:sz w:val="16"/>
          <w:szCs w:val="16"/>
        </w:rPr>
        <w:t xml:space="preserve">В апреле 1915 г. Юго-Западный фронт требовал 25 тыс. вьючных сёдел, но оказалось, что российская промышленность может дать в течение ближайших 10 месяцев только 3900 и придется делать заграничный заказ. Русские поставщики брали заказы на сёдла для пулеметных команд только после того, как им обещали разрешение «получить из-за границы или Финляндии» «материалы, полуфабрикаты и ленчики в готовом виде или сухой лес для ленчиков». Еще в 1913 г. ГАУ предупреждало, что нельзя рассчитывать изготовить сёдла в России исключительно из русских материалов [РГВИА. Ф. 962. Оп. 2. Д. 115. Л. 145; ф. 1. Оп. 1. Д. 77797. Л. 144 и об.; ф. 2000. Оп. 1. Д. 5573. Л. 194, 425; д. 5574. Л. 127об., 45]. Действительно, во время войны сёдла доставляли из-за океана: в марте, мае, июле, августе 1916 г. из США двигались </w:t>
      </w:r>
      <w:proofErr w:type="gramStart"/>
      <w:r w:rsidRPr="00405303">
        <w:rPr>
          <w:bCs/>
          <w:color w:val="002060"/>
          <w:sz w:val="16"/>
          <w:szCs w:val="16"/>
        </w:rPr>
        <w:t>пароходы</w:t>
      </w:r>
      <w:proofErr w:type="gramEnd"/>
      <w:r w:rsidRPr="00405303">
        <w:rPr>
          <w:bCs/>
          <w:color w:val="002060"/>
          <w:sz w:val="16"/>
          <w:szCs w:val="16"/>
        </w:rPr>
        <w:t xml:space="preserve"> груженные более чем 50 тыс. сёдел (18408).</w:t>
      </w:r>
    </w:p>
    <w:p w14:paraId="0DD786F2" w14:textId="77777777" w:rsidR="00A24BF5" w:rsidRPr="00405303" w:rsidRDefault="00A24BF5" w:rsidP="00C15251">
      <w:pPr>
        <w:jc w:val="both"/>
        <w:rPr>
          <w:bCs/>
          <w:color w:val="002060"/>
          <w:sz w:val="16"/>
          <w:szCs w:val="16"/>
        </w:rPr>
      </w:pPr>
    </w:p>
    <w:p w14:paraId="20609954" w14:textId="77777777" w:rsidR="00A24BF5" w:rsidRPr="00405303" w:rsidRDefault="00A24BF5" w:rsidP="00C15251">
      <w:pPr>
        <w:pStyle w:val="p1"/>
        <w:spacing w:before="0" w:beforeAutospacing="0" w:after="0" w:afterAutospacing="0"/>
        <w:jc w:val="both"/>
        <w:rPr>
          <w:bCs/>
          <w:color w:val="002060"/>
          <w:sz w:val="16"/>
          <w:szCs w:val="16"/>
        </w:rPr>
      </w:pPr>
      <w:r w:rsidRPr="00405303">
        <w:rPr>
          <w:bCs/>
          <w:color w:val="002060"/>
          <w:sz w:val="16"/>
          <w:szCs w:val="16"/>
        </w:rPr>
        <w:t>В апреле 1915 г. Юго-Западный фронт требовал 25 тысяч вьючных сёдел, но оказалось, что российская промышленность может дать в течение ближайших 10 месяцев только 3900 и придется делать заграничный заказ. Действительно, во время войны сёдла, конскую амуницию доставляли из-за океана: в марте и мае 1916 г. из США двигались пароходы с 41 тысячью сёдел (18409).</w:t>
      </w:r>
    </w:p>
    <w:p w14:paraId="34E6F3D3" w14:textId="77777777" w:rsidR="00A24BF5" w:rsidRPr="00405303" w:rsidRDefault="00A24BF5" w:rsidP="00C15251">
      <w:pPr>
        <w:pStyle w:val="p1"/>
        <w:spacing w:before="0" w:beforeAutospacing="0" w:after="0" w:afterAutospacing="0"/>
        <w:jc w:val="both"/>
        <w:rPr>
          <w:bCs/>
          <w:color w:val="002060"/>
          <w:sz w:val="16"/>
          <w:szCs w:val="16"/>
        </w:rPr>
      </w:pPr>
    </w:p>
    <w:p w14:paraId="1B24A3FF" w14:textId="77777777" w:rsidR="00A24BF5" w:rsidRPr="00405303" w:rsidRDefault="00A24BF5" w:rsidP="00C15251">
      <w:pPr>
        <w:pStyle w:val="p1"/>
        <w:spacing w:before="0" w:beforeAutospacing="0" w:after="0" w:afterAutospacing="0"/>
        <w:jc w:val="both"/>
        <w:rPr>
          <w:bCs/>
          <w:color w:val="002060"/>
          <w:sz w:val="16"/>
          <w:szCs w:val="16"/>
        </w:rPr>
      </w:pPr>
      <w:r w:rsidRPr="00405303">
        <w:rPr>
          <w:bCs/>
          <w:color w:val="002060"/>
          <w:sz w:val="16"/>
          <w:szCs w:val="16"/>
        </w:rPr>
        <w:t>В апреле 1915 г. прошло ассигнование 3 410 000 руб. на расширение мастерских ТОЗ; в декабре — около 4 млн. на усиление пулеметного отдела (до выпуска 20 пулеметов в сутки). Первоначально, 24 июля 1914 г., ГАУ поставило заводу задачей довести выпуск пулеметов до 80 в месяц, то есть 900 в год; два месяца спустя Ставка потребовала увеличить этот показатель до 180–202. При потребности, исчисленной на октябрь 1915 г. в 2078 пулеметов в месяц, ТОЗ выпускал около 500 шт. (в 1916 г. — свыше 900 в месяц в среднем). Всего пулеметный отдел ТОЗ дал в 1914 г. 833</w:t>
      </w:r>
      <w:r w:rsidRPr="00405303">
        <w:rPr>
          <w:bCs/>
          <w:color w:val="002060"/>
          <w:sz w:val="16"/>
          <w:szCs w:val="16"/>
          <w:vertAlign w:val="superscript"/>
        </w:rPr>
        <w:t>{166}</w:t>
      </w:r>
      <w:r w:rsidRPr="00405303">
        <w:rPr>
          <w:bCs/>
          <w:color w:val="002060"/>
          <w:sz w:val="16"/>
          <w:szCs w:val="16"/>
        </w:rPr>
        <w:t>,[40] в 1915 г. — 4251, в 1916 г. — 11 072 пулемета, увеличив, таким образом, производство более чем в 10 раз (за 1914–1917 гг. было выпущено 27 477 шт., ввезено 42 318). Пополнение оборудования опережало расширение площадей: к концу войны пространство на один станок сократилось почти втрое (18409).</w:t>
      </w:r>
    </w:p>
    <w:p w14:paraId="67B425E8" w14:textId="77777777" w:rsidR="00A24BF5" w:rsidRPr="00405303" w:rsidRDefault="00A24BF5" w:rsidP="00C15251">
      <w:pPr>
        <w:pStyle w:val="p1"/>
        <w:spacing w:before="0" w:beforeAutospacing="0" w:after="0" w:afterAutospacing="0"/>
        <w:jc w:val="both"/>
        <w:rPr>
          <w:bCs/>
          <w:color w:val="002060"/>
          <w:sz w:val="16"/>
          <w:szCs w:val="16"/>
        </w:rPr>
      </w:pPr>
    </w:p>
    <w:p w14:paraId="2123C242" w14:textId="35FD05DA" w:rsidR="004B4E35" w:rsidRPr="00405303" w:rsidRDefault="00EE1C4B"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апреле 1915 г., то есть на 9-м месяце</w:t>
      </w:r>
      <w:r w:rsidRPr="00405303">
        <w:rPr>
          <w:bCs/>
          <w:color w:val="002060"/>
          <w:sz w:val="16"/>
          <w:szCs w:val="16"/>
        </w:rPr>
        <w:t xml:space="preserve"> было выпущено суммарно 10,3 тыс. винтовок, достигнув своего номинального довоенного максимума, 44 тыс.</w:t>
      </w:r>
      <w:r w:rsidR="009E6F82" w:rsidRPr="00405303">
        <w:rPr>
          <w:bCs/>
          <w:color w:val="002060"/>
          <w:sz w:val="16"/>
          <w:szCs w:val="16"/>
        </w:rPr>
        <w:t xml:space="preserve"> Дальнейшее развитие производительности шло за счет форсировки производственных процессов (увеличение скоростей резания и подачи на станках и пр.), за счет увеличения числа рабочих дней в месяце и за счет усиления станочного парка завода путем постановки нового оборудования. </w:t>
      </w:r>
    </w:p>
    <w:p w14:paraId="73E02575" w14:textId="77777777" w:rsidR="004B4E35" w:rsidRPr="00405303" w:rsidRDefault="009E6F82" w:rsidP="00C15251">
      <w:pPr>
        <w:jc w:val="both"/>
        <w:rPr>
          <w:bCs/>
          <w:color w:val="002060"/>
          <w:sz w:val="16"/>
          <w:szCs w:val="16"/>
        </w:rPr>
      </w:pPr>
      <w:r w:rsidRPr="00405303">
        <w:rPr>
          <w:bCs/>
          <w:color w:val="002060"/>
          <w:sz w:val="16"/>
          <w:szCs w:val="16"/>
        </w:rPr>
        <w:t xml:space="preserve">Если принять указанный максимум (44 тыс.) за единицу, то суммарный выпуск винтовок, возрастет следующим образом: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12"/>
        <w:gridCol w:w="864"/>
        <w:gridCol w:w="828"/>
        <w:gridCol w:w="912"/>
      </w:tblGrid>
      <w:tr w:rsidR="004B4E35" w:rsidRPr="00405303" w14:paraId="75AFCF81" w14:textId="77777777">
        <w:tc>
          <w:tcPr>
            <w:tcW w:w="912" w:type="dxa"/>
          </w:tcPr>
          <w:p w14:paraId="7909DE48" w14:textId="77777777" w:rsidR="004B4E35" w:rsidRPr="00405303" w:rsidRDefault="009E6F82" w:rsidP="00C15251">
            <w:pPr>
              <w:jc w:val="both"/>
              <w:rPr>
                <w:bCs/>
                <w:color w:val="002060"/>
                <w:sz w:val="16"/>
                <w:szCs w:val="16"/>
              </w:rPr>
            </w:pPr>
            <w:r w:rsidRPr="00405303">
              <w:rPr>
                <w:bCs/>
                <w:color w:val="002060"/>
                <w:sz w:val="16"/>
                <w:szCs w:val="16"/>
              </w:rPr>
              <w:t>1911 г.</w:t>
            </w:r>
          </w:p>
        </w:tc>
        <w:tc>
          <w:tcPr>
            <w:tcW w:w="864" w:type="dxa"/>
          </w:tcPr>
          <w:p w14:paraId="0AA155D6" w14:textId="77777777" w:rsidR="004B4E35" w:rsidRPr="00405303" w:rsidRDefault="009E6F82" w:rsidP="00C15251">
            <w:pPr>
              <w:jc w:val="both"/>
              <w:rPr>
                <w:bCs/>
                <w:color w:val="002060"/>
                <w:sz w:val="16"/>
                <w:szCs w:val="16"/>
              </w:rPr>
            </w:pPr>
            <w:r w:rsidRPr="00405303">
              <w:rPr>
                <w:bCs/>
                <w:color w:val="002060"/>
                <w:sz w:val="16"/>
                <w:szCs w:val="16"/>
              </w:rPr>
              <w:t>1915 г.</w:t>
            </w:r>
          </w:p>
        </w:tc>
        <w:tc>
          <w:tcPr>
            <w:tcW w:w="828" w:type="dxa"/>
          </w:tcPr>
          <w:p w14:paraId="6A66B8F3" w14:textId="77777777" w:rsidR="004B4E35" w:rsidRPr="00405303" w:rsidRDefault="009E6F82" w:rsidP="00C15251">
            <w:pPr>
              <w:jc w:val="both"/>
              <w:rPr>
                <w:bCs/>
                <w:color w:val="002060"/>
                <w:sz w:val="16"/>
                <w:szCs w:val="16"/>
              </w:rPr>
            </w:pPr>
            <w:r w:rsidRPr="00405303">
              <w:rPr>
                <w:bCs/>
                <w:color w:val="002060"/>
                <w:sz w:val="16"/>
                <w:szCs w:val="16"/>
              </w:rPr>
              <w:t>1916 г.</w:t>
            </w:r>
          </w:p>
        </w:tc>
        <w:tc>
          <w:tcPr>
            <w:tcW w:w="912" w:type="dxa"/>
          </w:tcPr>
          <w:p w14:paraId="01D223B0" w14:textId="77777777" w:rsidR="004B4E35" w:rsidRPr="00405303" w:rsidRDefault="009E6F82" w:rsidP="00C15251">
            <w:pPr>
              <w:jc w:val="both"/>
              <w:rPr>
                <w:bCs/>
                <w:color w:val="002060"/>
                <w:sz w:val="16"/>
                <w:szCs w:val="16"/>
              </w:rPr>
            </w:pPr>
            <w:r w:rsidRPr="00405303">
              <w:rPr>
                <w:bCs/>
                <w:color w:val="002060"/>
                <w:sz w:val="16"/>
                <w:szCs w:val="16"/>
              </w:rPr>
              <w:t>1917 г.</w:t>
            </w:r>
          </w:p>
        </w:tc>
      </w:tr>
      <w:tr w:rsidR="004B4E35" w:rsidRPr="00405303" w14:paraId="090CDF1F" w14:textId="77777777">
        <w:tc>
          <w:tcPr>
            <w:tcW w:w="912" w:type="dxa"/>
          </w:tcPr>
          <w:p w14:paraId="74B88D63" w14:textId="77777777" w:rsidR="004B4E35" w:rsidRPr="00405303" w:rsidRDefault="009E6F82" w:rsidP="00C15251">
            <w:pPr>
              <w:jc w:val="both"/>
              <w:rPr>
                <w:bCs/>
                <w:color w:val="002060"/>
                <w:sz w:val="16"/>
                <w:szCs w:val="16"/>
              </w:rPr>
            </w:pPr>
            <w:r w:rsidRPr="00405303">
              <w:rPr>
                <w:bCs/>
                <w:color w:val="002060"/>
                <w:sz w:val="16"/>
                <w:szCs w:val="16"/>
              </w:rPr>
              <w:t>VIII - 0.25</w:t>
            </w:r>
          </w:p>
        </w:tc>
        <w:tc>
          <w:tcPr>
            <w:tcW w:w="864" w:type="dxa"/>
          </w:tcPr>
          <w:p w14:paraId="6714F3BE" w14:textId="77777777" w:rsidR="004B4E35" w:rsidRPr="00405303" w:rsidRDefault="009E6F82" w:rsidP="00C15251">
            <w:pPr>
              <w:jc w:val="both"/>
              <w:rPr>
                <w:bCs/>
                <w:color w:val="002060"/>
                <w:sz w:val="16"/>
                <w:szCs w:val="16"/>
              </w:rPr>
            </w:pPr>
            <w:r w:rsidRPr="00405303">
              <w:rPr>
                <w:bCs/>
                <w:color w:val="002060"/>
                <w:sz w:val="16"/>
                <w:szCs w:val="16"/>
              </w:rPr>
              <w:t>I — 0.87</w:t>
            </w:r>
          </w:p>
        </w:tc>
        <w:tc>
          <w:tcPr>
            <w:tcW w:w="828" w:type="dxa"/>
          </w:tcPr>
          <w:p w14:paraId="29D7A5B4" w14:textId="77777777" w:rsidR="004B4E35" w:rsidRPr="00405303" w:rsidRDefault="009E6F82" w:rsidP="00C15251">
            <w:pPr>
              <w:jc w:val="both"/>
              <w:rPr>
                <w:bCs/>
                <w:color w:val="002060"/>
                <w:sz w:val="16"/>
                <w:szCs w:val="16"/>
              </w:rPr>
            </w:pPr>
            <w:r w:rsidRPr="00405303">
              <w:rPr>
                <w:bCs/>
                <w:color w:val="002060"/>
                <w:sz w:val="16"/>
                <w:szCs w:val="16"/>
              </w:rPr>
              <w:t>I — 2.23</w:t>
            </w:r>
          </w:p>
        </w:tc>
        <w:tc>
          <w:tcPr>
            <w:tcW w:w="912" w:type="dxa"/>
          </w:tcPr>
          <w:p w14:paraId="50FCB086" w14:textId="77777777" w:rsidR="004B4E35" w:rsidRPr="00405303" w:rsidRDefault="009E6F82" w:rsidP="00C15251">
            <w:pPr>
              <w:jc w:val="both"/>
              <w:rPr>
                <w:bCs/>
                <w:color w:val="002060"/>
                <w:sz w:val="16"/>
                <w:szCs w:val="16"/>
              </w:rPr>
            </w:pPr>
            <w:r w:rsidRPr="00405303">
              <w:rPr>
                <w:bCs/>
                <w:color w:val="002060"/>
                <w:sz w:val="16"/>
                <w:szCs w:val="16"/>
              </w:rPr>
              <w:t>I — 3.22</w:t>
            </w:r>
          </w:p>
        </w:tc>
      </w:tr>
      <w:tr w:rsidR="004B4E35" w:rsidRPr="00405303" w14:paraId="7847C4D9" w14:textId="77777777">
        <w:tc>
          <w:tcPr>
            <w:tcW w:w="912" w:type="dxa"/>
          </w:tcPr>
          <w:p w14:paraId="4DD864F4" w14:textId="77777777" w:rsidR="004B4E35" w:rsidRPr="00405303" w:rsidRDefault="009E6F82" w:rsidP="00C15251">
            <w:pPr>
              <w:jc w:val="both"/>
              <w:rPr>
                <w:bCs/>
                <w:color w:val="002060"/>
                <w:sz w:val="16"/>
                <w:szCs w:val="16"/>
              </w:rPr>
            </w:pPr>
            <w:r w:rsidRPr="00405303">
              <w:rPr>
                <w:bCs/>
                <w:color w:val="002060"/>
                <w:sz w:val="16"/>
                <w:szCs w:val="16"/>
              </w:rPr>
              <w:t>IX — 0.56</w:t>
            </w:r>
          </w:p>
        </w:tc>
        <w:tc>
          <w:tcPr>
            <w:tcW w:w="864" w:type="dxa"/>
          </w:tcPr>
          <w:p w14:paraId="01A5C36E" w14:textId="77777777" w:rsidR="004B4E35" w:rsidRPr="00405303" w:rsidRDefault="009E6F82" w:rsidP="00C15251">
            <w:pPr>
              <w:jc w:val="both"/>
              <w:rPr>
                <w:bCs/>
                <w:color w:val="002060"/>
                <w:sz w:val="16"/>
                <w:szCs w:val="16"/>
              </w:rPr>
            </w:pPr>
            <w:r w:rsidRPr="00405303">
              <w:rPr>
                <w:bCs/>
                <w:color w:val="002060"/>
                <w:sz w:val="16"/>
                <w:szCs w:val="16"/>
              </w:rPr>
              <w:t>II — 0.98</w:t>
            </w:r>
          </w:p>
        </w:tc>
        <w:tc>
          <w:tcPr>
            <w:tcW w:w="828" w:type="dxa"/>
          </w:tcPr>
          <w:p w14:paraId="4F46FDD2" w14:textId="77777777" w:rsidR="004B4E35" w:rsidRPr="00405303" w:rsidRDefault="009E6F82" w:rsidP="00C15251">
            <w:pPr>
              <w:jc w:val="both"/>
              <w:rPr>
                <w:bCs/>
                <w:color w:val="002060"/>
                <w:sz w:val="16"/>
                <w:szCs w:val="16"/>
              </w:rPr>
            </w:pPr>
            <w:r w:rsidRPr="00405303">
              <w:rPr>
                <w:bCs/>
                <w:color w:val="002060"/>
                <w:sz w:val="16"/>
                <w:szCs w:val="16"/>
              </w:rPr>
              <w:t>II — 2.21</w:t>
            </w:r>
          </w:p>
        </w:tc>
        <w:tc>
          <w:tcPr>
            <w:tcW w:w="912" w:type="dxa"/>
          </w:tcPr>
          <w:p w14:paraId="7184373B" w14:textId="77777777" w:rsidR="004B4E35" w:rsidRPr="00405303" w:rsidRDefault="009E6F82" w:rsidP="00C15251">
            <w:pPr>
              <w:jc w:val="both"/>
              <w:rPr>
                <w:bCs/>
                <w:color w:val="002060"/>
                <w:sz w:val="16"/>
                <w:szCs w:val="16"/>
              </w:rPr>
            </w:pPr>
            <w:r w:rsidRPr="00405303">
              <w:rPr>
                <w:bCs/>
                <w:color w:val="002060"/>
                <w:sz w:val="16"/>
                <w:szCs w:val="16"/>
              </w:rPr>
              <w:t>II — 2.25</w:t>
            </w:r>
          </w:p>
        </w:tc>
      </w:tr>
      <w:tr w:rsidR="004B4E35" w:rsidRPr="00405303" w14:paraId="73072495" w14:textId="77777777">
        <w:tc>
          <w:tcPr>
            <w:tcW w:w="912" w:type="dxa"/>
          </w:tcPr>
          <w:p w14:paraId="7457A0C1" w14:textId="77777777" w:rsidR="004B4E35" w:rsidRPr="00405303" w:rsidRDefault="009E6F82" w:rsidP="00C15251">
            <w:pPr>
              <w:jc w:val="both"/>
              <w:rPr>
                <w:bCs/>
                <w:color w:val="002060"/>
                <w:sz w:val="16"/>
                <w:szCs w:val="16"/>
              </w:rPr>
            </w:pPr>
            <w:r w:rsidRPr="00405303">
              <w:rPr>
                <w:bCs/>
                <w:color w:val="002060"/>
                <w:sz w:val="16"/>
                <w:szCs w:val="16"/>
              </w:rPr>
              <w:t>X — 0.80</w:t>
            </w:r>
          </w:p>
        </w:tc>
        <w:tc>
          <w:tcPr>
            <w:tcW w:w="864" w:type="dxa"/>
          </w:tcPr>
          <w:p w14:paraId="60BF09EB" w14:textId="77777777" w:rsidR="004B4E35" w:rsidRPr="00405303" w:rsidRDefault="009E6F82" w:rsidP="00C15251">
            <w:pPr>
              <w:jc w:val="both"/>
              <w:rPr>
                <w:bCs/>
                <w:color w:val="002060"/>
                <w:sz w:val="16"/>
                <w:szCs w:val="16"/>
              </w:rPr>
            </w:pPr>
            <w:r w:rsidRPr="00405303">
              <w:rPr>
                <w:bCs/>
                <w:color w:val="002060"/>
                <w:sz w:val="16"/>
                <w:szCs w:val="16"/>
              </w:rPr>
              <w:t>III — 1.00</w:t>
            </w:r>
          </w:p>
        </w:tc>
        <w:tc>
          <w:tcPr>
            <w:tcW w:w="828" w:type="dxa"/>
          </w:tcPr>
          <w:p w14:paraId="1BEC5550" w14:textId="77777777" w:rsidR="004B4E35" w:rsidRPr="00405303" w:rsidRDefault="009E6F82" w:rsidP="00C15251">
            <w:pPr>
              <w:jc w:val="both"/>
              <w:rPr>
                <w:bCs/>
                <w:color w:val="002060"/>
                <w:sz w:val="16"/>
                <w:szCs w:val="16"/>
              </w:rPr>
            </w:pPr>
            <w:r w:rsidRPr="00405303">
              <w:rPr>
                <w:bCs/>
                <w:color w:val="002060"/>
                <w:sz w:val="16"/>
                <w:szCs w:val="16"/>
              </w:rPr>
              <w:t>III — 2.5</w:t>
            </w:r>
          </w:p>
        </w:tc>
        <w:tc>
          <w:tcPr>
            <w:tcW w:w="912" w:type="dxa"/>
          </w:tcPr>
          <w:p w14:paraId="5491A8D7" w14:textId="60D2EC27" w:rsidR="004B4E35" w:rsidRPr="00405303" w:rsidRDefault="00DB4D64" w:rsidP="00C15251">
            <w:pPr>
              <w:jc w:val="both"/>
              <w:rPr>
                <w:bCs/>
                <w:color w:val="002060"/>
                <w:sz w:val="16"/>
                <w:szCs w:val="16"/>
              </w:rPr>
            </w:pPr>
            <w:r w:rsidRPr="00405303">
              <w:rPr>
                <w:bCs/>
                <w:color w:val="002060"/>
                <w:sz w:val="16"/>
                <w:szCs w:val="16"/>
              </w:rPr>
              <w:t xml:space="preserve"> </w:t>
            </w:r>
          </w:p>
        </w:tc>
      </w:tr>
      <w:tr w:rsidR="004B4E35" w:rsidRPr="00405303" w14:paraId="3D7838A6" w14:textId="77777777">
        <w:tc>
          <w:tcPr>
            <w:tcW w:w="912" w:type="dxa"/>
          </w:tcPr>
          <w:p w14:paraId="74135838" w14:textId="77777777" w:rsidR="004B4E35" w:rsidRPr="00405303" w:rsidRDefault="009E6F82" w:rsidP="00C15251">
            <w:pPr>
              <w:jc w:val="both"/>
              <w:rPr>
                <w:bCs/>
                <w:color w:val="002060"/>
                <w:sz w:val="16"/>
                <w:szCs w:val="16"/>
              </w:rPr>
            </w:pPr>
            <w:r w:rsidRPr="00405303">
              <w:rPr>
                <w:bCs/>
                <w:color w:val="002060"/>
                <w:sz w:val="16"/>
                <w:szCs w:val="16"/>
              </w:rPr>
              <w:t>XI — 0.88</w:t>
            </w:r>
          </w:p>
        </w:tc>
        <w:tc>
          <w:tcPr>
            <w:tcW w:w="864" w:type="dxa"/>
          </w:tcPr>
          <w:p w14:paraId="252C525C" w14:textId="77777777" w:rsidR="004B4E35" w:rsidRPr="00405303" w:rsidRDefault="009E6F82" w:rsidP="00C15251">
            <w:pPr>
              <w:jc w:val="both"/>
              <w:rPr>
                <w:bCs/>
                <w:color w:val="002060"/>
                <w:sz w:val="16"/>
                <w:szCs w:val="16"/>
              </w:rPr>
            </w:pPr>
            <w:r w:rsidRPr="00405303">
              <w:rPr>
                <w:bCs/>
                <w:color w:val="002060"/>
                <w:sz w:val="16"/>
                <w:szCs w:val="16"/>
              </w:rPr>
              <w:t>IV — 1.25</w:t>
            </w:r>
          </w:p>
        </w:tc>
        <w:tc>
          <w:tcPr>
            <w:tcW w:w="828" w:type="dxa"/>
          </w:tcPr>
          <w:p w14:paraId="30604A32" w14:textId="77777777" w:rsidR="004B4E35" w:rsidRPr="00405303" w:rsidRDefault="009E6F82" w:rsidP="00C15251">
            <w:pPr>
              <w:jc w:val="both"/>
              <w:rPr>
                <w:bCs/>
                <w:color w:val="002060"/>
                <w:sz w:val="16"/>
                <w:szCs w:val="16"/>
              </w:rPr>
            </w:pPr>
            <w:r w:rsidRPr="00405303">
              <w:rPr>
                <w:bCs/>
                <w:color w:val="002060"/>
                <w:sz w:val="16"/>
                <w:szCs w:val="16"/>
              </w:rPr>
              <w:t>IV — 2.5</w:t>
            </w:r>
          </w:p>
        </w:tc>
        <w:tc>
          <w:tcPr>
            <w:tcW w:w="912" w:type="dxa"/>
          </w:tcPr>
          <w:p w14:paraId="790B3188" w14:textId="08D057C4" w:rsidR="004B4E35" w:rsidRPr="00405303" w:rsidRDefault="00DB4D64" w:rsidP="00C15251">
            <w:pPr>
              <w:jc w:val="both"/>
              <w:rPr>
                <w:bCs/>
                <w:color w:val="002060"/>
                <w:sz w:val="16"/>
                <w:szCs w:val="16"/>
              </w:rPr>
            </w:pPr>
            <w:r w:rsidRPr="00405303">
              <w:rPr>
                <w:bCs/>
                <w:color w:val="002060"/>
                <w:sz w:val="16"/>
                <w:szCs w:val="16"/>
              </w:rPr>
              <w:t xml:space="preserve"> </w:t>
            </w:r>
          </w:p>
        </w:tc>
      </w:tr>
      <w:tr w:rsidR="004B4E35" w:rsidRPr="00405303" w14:paraId="3E098842" w14:textId="77777777">
        <w:tc>
          <w:tcPr>
            <w:tcW w:w="912" w:type="dxa"/>
          </w:tcPr>
          <w:p w14:paraId="48221717" w14:textId="77777777" w:rsidR="004B4E35" w:rsidRPr="00405303" w:rsidRDefault="009E6F82" w:rsidP="00C15251">
            <w:pPr>
              <w:jc w:val="both"/>
              <w:rPr>
                <w:bCs/>
                <w:color w:val="002060"/>
                <w:sz w:val="16"/>
                <w:szCs w:val="16"/>
              </w:rPr>
            </w:pPr>
            <w:r w:rsidRPr="00405303">
              <w:rPr>
                <w:bCs/>
                <w:color w:val="002060"/>
                <w:sz w:val="16"/>
                <w:szCs w:val="16"/>
              </w:rPr>
              <w:t>XII — 0.87</w:t>
            </w:r>
          </w:p>
        </w:tc>
        <w:tc>
          <w:tcPr>
            <w:tcW w:w="864" w:type="dxa"/>
          </w:tcPr>
          <w:p w14:paraId="5EDC9E94" w14:textId="77777777" w:rsidR="004B4E35" w:rsidRPr="00405303" w:rsidRDefault="009E6F82" w:rsidP="00C15251">
            <w:pPr>
              <w:jc w:val="both"/>
              <w:rPr>
                <w:bCs/>
                <w:color w:val="002060"/>
                <w:sz w:val="16"/>
                <w:szCs w:val="16"/>
              </w:rPr>
            </w:pPr>
            <w:r w:rsidRPr="00405303">
              <w:rPr>
                <w:bCs/>
                <w:color w:val="002060"/>
                <w:sz w:val="16"/>
                <w:szCs w:val="16"/>
              </w:rPr>
              <w:t>V — 1.37</w:t>
            </w:r>
          </w:p>
        </w:tc>
        <w:tc>
          <w:tcPr>
            <w:tcW w:w="828" w:type="dxa"/>
          </w:tcPr>
          <w:p w14:paraId="50BC69B5" w14:textId="77777777" w:rsidR="004B4E35" w:rsidRPr="00405303" w:rsidRDefault="009E6F82" w:rsidP="00C15251">
            <w:pPr>
              <w:jc w:val="both"/>
              <w:rPr>
                <w:bCs/>
                <w:color w:val="002060"/>
                <w:sz w:val="16"/>
                <w:szCs w:val="16"/>
              </w:rPr>
            </w:pPr>
            <w:r w:rsidRPr="00405303">
              <w:rPr>
                <w:bCs/>
                <w:color w:val="002060"/>
                <w:sz w:val="16"/>
                <w:szCs w:val="16"/>
              </w:rPr>
              <w:t>V — 2.57</w:t>
            </w:r>
          </w:p>
        </w:tc>
        <w:tc>
          <w:tcPr>
            <w:tcW w:w="912" w:type="dxa"/>
          </w:tcPr>
          <w:p w14:paraId="67302BB4" w14:textId="5BA8CC5E" w:rsidR="004B4E35" w:rsidRPr="00405303" w:rsidRDefault="00DB4D64" w:rsidP="00C15251">
            <w:pPr>
              <w:jc w:val="both"/>
              <w:rPr>
                <w:bCs/>
                <w:color w:val="002060"/>
                <w:sz w:val="16"/>
                <w:szCs w:val="16"/>
              </w:rPr>
            </w:pPr>
            <w:r w:rsidRPr="00405303">
              <w:rPr>
                <w:bCs/>
                <w:color w:val="002060"/>
                <w:sz w:val="16"/>
                <w:szCs w:val="16"/>
              </w:rPr>
              <w:t xml:space="preserve"> </w:t>
            </w:r>
          </w:p>
        </w:tc>
      </w:tr>
      <w:tr w:rsidR="004B4E35" w:rsidRPr="00405303" w14:paraId="0088E020" w14:textId="77777777">
        <w:tc>
          <w:tcPr>
            <w:tcW w:w="912" w:type="dxa"/>
          </w:tcPr>
          <w:p w14:paraId="0EBD2D16" w14:textId="3DB6794A" w:rsidR="004B4E35" w:rsidRPr="00405303" w:rsidRDefault="00DB4D64" w:rsidP="00C15251">
            <w:pPr>
              <w:jc w:val="both"/>
              <w:rPr>
                <w:bCs/>
                <w:color w:val="002060"/>
                <w:sz w:val="16"/>
                <w:szCs w:val="16"/>
              </w:rPr>
            </w:pPr>
            <w:r w:rsidRPr="00405303">
              <w:rPr>
                <w:bCs/>
                <w:color w:val="002060"/>
                <w:sz w:val="16"/>
                <w:szCs w:val="16"/>
              </w:rPr>
              <w:t xml:space="preserve"> </w:t>
            </w:r>
          </w:p>
        </w:tc>
        <w:tc>
          <w:tcPr>
            <w:tcW w:w="864" w:type="dxa"/>
          </w:tcPr>
          <w:p w14:paraId="0A77680E" w14:textId="77777777" w:rsidR="004B4E35" w:rsidRPr="00405303" w:rsidRDefault="009E6F82" w:rsidP="00C15251">
            <w:pPr>
              <w:jc w:val="both"/>
              <w:rPr>
                <w:bCs/>
                <w:color w:val="002060"/>
                <w:sz w:val="16"/>
                <w:szCs w:val="16"/>
              </w:rPr>
            </w:pPr>
            <w:r w:rsidRPr="00405303">
              <w:rPr>
                <w:bCs/>
                <w:color w:val="002060"/>
                <w:sz w:val="16"/>
                <w:szCs w:val="16"/>
              </w:rPr>
              <w:t>VI — 1.47</w:t>
            </w:r>
          </w:p>
        </w:tc>
        <w:tc>
          <w:tcPr>
            <w:tcW w:w="828" w:type="dxa"/>
          </w:tcPr>
          <w:p w14:paraId="21DFAA5E" w14:textId="77777777" w:rsidR="004B4E35" w:rsidRPr="00405303" w:rsidRDefault="009E6F82" w:rsidP="00C15251">
            <w:pPr>
              <w:jc w:val="both"/>
              <w:rPr>
                <w:bCs/>
                <w:color w:val="002060"/>
                <w:sz w:val="16"/>
                <w:szCs w:val="16"/>
              </w:rPr>
            </w:pPr>
            <w:r w:rsidRPr="00405303">
              <w:rPr>
                <w:bCs/>
                <w:color w:val="002060"/>
                <w:sz w:val="16"/>
                <w:szCs w:val="16"/>
              </w:rPr>
              <w:t>VI — 2.6</w:t>
            </w:r>
          </w:p>
        </w:tc>
        <w:tc>
          <w:tcPr>
            <w:tcW w:w="912" w:type="dxa"/>
          </w:tcPr>
          <w:p w14:paraId="1C97A45A" w14:textId="72964191" w:rsidR="004B4E35" w:rsidRPr="00405303" w:rsidRDefault="00DB4D64" w:rsidP="00C15251">
            <w:pPr>
              <w:jc w:val="both"/>
              <w:rPr>
                <w:bCs/>
                <w:color w:val="002060"/>
                <w:sz w:val="16"/>
                <w:szCs w:val="16"/>
              </w:rPr>
            </w:pPr>
            <w:r w:rsidRPr="00405303">
              <w:rPr>
                <w:bCs/>
                <w:color w:val="002060"/>
                <w:sz w:val="16"/>
                <w:szCs w:val="16"/>
              </w:rPr>
              <w:t xml:space="preserve"> </w:t>
            </w:r>
          </w:p>
        </w:tc>
      </w:tr>
      <w:tr w:rsidR="004B4E35" w:rsidRPr="00405303" w14:paraId="6A29DC05" w14:textId="77777777">
        <w:tc>
          <w:tcPr>
            <w:tcW w:w="912" w:type="dxa"/>
          </w:tcPr>
          <w:p w14:paraId="1E0ACD6C" w14:textId="01BA775F" w:rsidR="004B4E35" w:rsidRPr="00405303" w:rsidRDefault="00DB4D64" w:rsidP="00C15251">
            <w:pPr>
              <w:jc w:val="both"/>
              <w:rPr>
                <w:bCs/>
                <w:color w:val="002060"/>
                <w:sz w:val="16"/>
                <w:szCs w:val="16"/>
              </w:rPr>
            </w:pPr>
            <w:r w:rsidRPr="00405303">
              <w:rPr>
                <w:bCs/>
                <w:color w:val="002060"/>
                <w:sz w:val="16"/>
                <w:szCs w:val="16"/>
              </w:rPr>
              <w:t xml:space="preserve"> </w:t>
            </w:r>
          </w:p>
        </w:tc>
        <w:tc>
          <w:tcPr>
            <w:tcW w:w="864" w:type="dxa"/>
          </w:tcPr>
          <w:p w14:paraId="1F7758A4" w14:textId="77777777" w:rsidR="004B4E35" w:rsidRPr="00405303" w:rsidRDefault="009E6F82" w:rsidP="00C15251">
            <w:pPr>
              <w:jc w:val="both"/>
              <w:rPr>
                <w:bCs/>
                <w:color w:val="002060"/>
                <w:sz w:val="16"/>
                <w:szCs w:val="16"/>
              </w:rPr>
            </w:pPr>
            <w:r w:rsidRPr="00405303">
              <w:rPr>
                <w:bCs/>
                <w:color w:val="002060"/>
                <w:sz w:val="16"/>
                <w:szCs w:val="16"/>
              </w:rPr>
              <w:t>VII — 1.70</w:t>
            </w:r>
          </w:p>
        </w:tc>
        <w:tc>
          <w:tcPr>
            <w:tcW w:w="828" w:type="dxa"/>
          </w:tcPr>
          <w:p w14:paraId="40905798" w14:textId="77777777" w:rsidR="004B4E35" w:rsidRPr="00405303" w:rsidRDefault="009E6F82" w:rsidP="00C15251">
            <w:pPr>
              <w:jc w:val="both"/>
              <w:rPr>
                <w:bCs/>
                <w:color w:val="002060"/>
                <w:sz w:val="16"/>
                <w:szCs w:val="16"/>
              </w:rPr>
            </w:pPr>
            <w:r w:rsidRPr="00405303">
              <w:rPr>
                <w:bCs/>
                <w:color w:val="002060"/>
                <w:sz w:val="16"/>
                <w:szCs w:val="16"/>
              </w:rPr>
              <w:t>VII — 2.78</w:t>
            </w:r>
          </w:p>
        </w:tc>
        <w:tc>
          <w:tcPr>
            <w:tcW w:w="912" w:type="dxa"/>
          </w:tcPr>
          <w:p w14:paraId="7C7D3366" w14:textId="40E06749" w:rsidR="004B4E35" w:rsidRPr="00405303" w:rsidRDefault="00DB4D64" w:rsidP="00C15251">
            <w:pPr>
              <w:jc w:val="both"/>
              <w:rPr>
                <w:bCs/>
                <w:color w:val="002060"/>
                <w:sz w:val="16"/>
                <w:szCs w:val="16"/>
              </w:rPr>
            </w:pPr>
            <w:r w:rsidRPr="00405303">
              <w:rPr>
                <w:bCs/>
                <w:color w:val="002060"/>
                <w:sz w:val="16"/>
                <w:szCs w:val="16"/>
              </w:rPr>
              <w:t xml:space="preserve"> </w:t>
            </w:r>
          </w:p>
        </w:tc>
      </w:tr>
      <w:tr w:rsidR="004B4E35" w:rsidRPr="00405303" w14:paraId="1095426C" w14:textId="77777777">
        <w:tc>
          <w:tcPr>
            <w:tcW w:w="912" w:type="dxa"/>
          </w:tcPr>
          <w:p w14:paraId="62EA9158" w14:textId="6DEBB3A1" w:rsidR="004B4E35" w:rsidRPr="00405303" w:rsidRDefault="00DB4D64" w:rsidP="00C15251">
            <w:pPr>
              <w:jc w:val="both"/>
              <w:rPr>
                <w:bCs/>
                <w:color w:val="002060"/>
                <w:sz w:val="16"/>
                <w:szCs w:val="16"/>
              </w:rPr>
            </w:pPr>
            <w:r w:rsidRPr="00405303">
              <w:rPr>
                <w:bCs/>
                <w:color w:val="002060"/>
                <w:sz w:val="16"/>
                <w:szCs w:val="16"/>
              </w:rPr>
              <w:t xml:space="preserve"> </w:t>
            </w:r>
          </w:p>
        </w:tc>
        <w:tc>
          <w:tcPr>
            <w:tcW w:w="864" w:type="dxa"/>
          </w:tcPr>
          <w:p w14:paraId="5BD6BB87" w14:textId="77777777" w:rsidR="004B4E35" w:rsidRPr="00405303" w:rsidRDefault="009E6F82" w:rsidP="00C15251">
            <w:pPr>
              <w:jc w:val="both"/>
              <w:rPr>
                <w:bCs/>
                <w:color w:val="002060"/>
                <w:sz w:val="16"/>
                <w:szCs w:val="16"/>
              </w:rPr>
            </w:pPr>
            <w:r w:rsidRPr="00405303">
              <w:rPr>
                <w:bCs/>
                <w:color w:val="002060"/>
                <w:sz w:val="16"/>
                <w:szCs w:val="16"/>
              </w:rPr>
              <w:t>VIII — 1.78</w:t>
            </w:r>
          </w:p>
        </w:tc>
        <w:tc>
          <w:tcPr>
            <w:tcW w:w="828" w:type="dxa"/>
          </w:tcPr>
          <w:p w14:paraId="57E50CB9" w14:textId="77777777" w:rsidR="004B4E35" w:rsidRPr="00405303" w:rsidRDefault="009E6F82" w:rsidP="00C15251">
            <w:pPr>
              <w:jc w:val="both"/>
              <w:rPr>
                <w:bCs/>
                <w:color w:val="002060"/>
                <w:sz w:val="16"/>
                <w:szCs w:val="16"/>
              </w:rPr>
            </w:pPr>
            <w:r w:rsidRPr="00405303">
              <w:rPr>
                <w:bCs/>
                <w:color w:val="002060"/>
                <w:sz w:val="16"/>
                <w:szCs w:val="16"/>
              </w:rPr>
              <w:t>VIII — 2.85</w:t>
            </w:r>
          </w:p>
        </w:tc>
        <w:tc>
          <w:tcPr>
            <w:tcW w:w="912" w:type="dxa"/>
          </w:tcPr>
          <w:p w14:paraId="0925F784" w14:textId="55F42191" w:rsidR="004B4E35" w:rsidRPr="00405303" w:rsidRDefault="00DB4D64" w:rsidP="00C15251">
            <w:pPr>
              <w:jc w:val="both"/>
              <w:rPr>
                <w:bCs/>
                <w:color w:val="002060"/>
                <w:sz w:val="16"/>
                <w:szCs w:val="16"/>
              </w:rPr>
            </w:pPr>
            <w:r w:rsidRPr="00405303">
              <w:rPr>
                <w:bCs/>
                <w:color w:val="002060"/>
                <w:sz w:val="16"/>
                <w:szCs w:val="16"/>
              </w:rPr>
              <w:t xml:space="preserve"> </w:t>
            </w:r>
          </w:p>
        </w:tc>
      </w:tr>
      <w:tr w:rsidR="004B4E35" w:rsidRPr="00405303" w14:paraId="7825F1DE" w14:textId="77777777">
        <w:tc>
          <w:tcPr>
            <w:tcW w:w="912" w:type="dxa"/>
          </w:tcPr>
          <w:p w14:paraId="4921D6F1" w14:textId="73B2C418" w:rsidR="004B4E35" w:rsidRPr="00405303" w:rsidRDefault="00DB4D64" w:rsidP="00C15251">
            <w:pPr>
              <w:jc w:val="both"/>
              <w:rPr>
                <w:bCs/>
                <w:color w:val="002060"/>
                <w:sz w:val="16"/>
                <w:szCs w:val="16"/>
              </w:rPr>
            </w:pPr>
            <w:r w:rsidRPr="00405303">
              <w:rPr>
                <w:bCs/>
                <w:color w:val="002060"/>
                <w:sz w:val="16"/>
                <w:szCs w:val="16"/>
              </w:rPr>
              <w:t xml:space="preserve"> </w:t>
            </w:r>
          </w:p>
        </w:tc>
        <w:tc>
          <w:tcPr>
            <w:tcW w:w="864" w:type="dxa"/>
          </w:tcPr>
          <w:p w14:paraId="323FADC0" w14:textId="77777777" w:rsidR="004B4E35" w:rsidRPr="00405303" w:rsidRDefault="009E6F82" w:rsidP="00C15251">
            <w:pPr>
              <w:jc w:val="both"/>
              <w:rPr>
                <w:bCs/>
                <w:color w:val="002060"/>
                <w:sz w:val="16"/>
                <w:szCs w:val="16"/>
              </w:rPr>
            </w:pPr>
            <w:r w:rsidRPr="00405303">
              <w:rPr>
                <w:bCs/>
                <w:color w:val="002060"/>
                <w:sz w:val="16"/>
                <w:szCs w:val="16"/>
              </w:rPr>
              <w:t>IX — 1.93</w:t>
            </w:r>
          </w:p>
        </w:tc>
        <w:tc>
          <w:tcPr>
            <w:tcW w:w="828" w:type="dxa"/>
          </w:tcPr>
          <w:p w14:paraId="4FF95C31" w14:textId="77777777" w:rsidR="004B4E35" w:rsidRPr="00405303" w:rsidRDefault="009E6F82" w:rsidP="00C15251">
            <w:pPr>
              <w:jc w:val="both"/>
              <w:rPr>
                <w:bCs/>
                <w:color w:val="002060"/>
                <w:sz w:val="16"/>
                <w:szCs w:val="16"/>
              </w:rPr>
            </w:pPr>
            <w:r w:rsidRPr="00405303">
              <w:rPr>
                <w:bCs/>
                <w:color w:val="002060"/>
                <w:sz w:val="16"/>
                <w:szCs w:val="16"/>
              </w:rPr>
              <w:t>IX — 2.9</w:t>
            </w:r>
          </w:p>
        </w:tc>
        <w:tc>
          <w:tcPr>
            <w:tcW w:w="912" w:type="dxa"/>
          </w:tcPr>
          <w:p w14:paraId="2C529B8B" w14:textId="70DAD950" w:rsidR="004B4E35" w:rsidRPr="00405303" w:rsidRDefault="00DB4D64" w:rsidP="00C15251">
            <w:pPr>
              <w:jc w:val="both"/>
              <w:rPr>
                <w:bCs/>
                <w:color w:val="002060"/>
                <w:sz w:val="16"/>
                <w:szCs w:val="16"/>
              </w:rPr>
            </w:pPr>
            <w:r w:rsidRPr="00405303">
              <w:rPr>
                <w:bCs/>
                <w:color w:val="002060"/>
                <w:sz w:val="16"/>
                <w:szCs w:val="16"/>
              </w:rPr>
              <w:t xml:space="preserve"> </w:t>
            </w:r>
          </w:p>
        </w:tc>
      </w:tr>
      <w:tr w:rsidR="004B4E35" w:rsidRPr="00405303" w14:paraId="4335049A" w14:textId="77777777">
        <w:tc>
          <w:tcPr>
            <w:tcW w:w="912" w:type="dxa"/>
          </w:tcPr>
          <w:p w14:paraId="62BCD1B3" w14:textId="3E776461" w:rsidR="004B4E35" w:rsidRPr="00405303" w:rsidRDefault="00DB4D64" w:rsidP="00C15251">
            <w:pPr>
              <w:jc w:val="both"/>
              <w:rPr>
                <w:bCs/>
                <w:color w:val="002060"/>
                <w:sz w:val="16"/>
                <w:szCs w:val="16"/>
              </w:rPr>
            </w:pPr>
            <w:r w:rsidRPr="00405303">
              <w:rPr>
                <w:bCs/>
                <w:color w:val="002060"/>
                <w:sz w:val="16"/>
                <w:szCs w:val="16"/>
              </w:rPr>
              <w:t xml:space="preserve"> </w:t>
            </w:r>
          </w:p>
        </w:tc>
        <w:tc>
          <w:tcPr>
            <w:tcW w:w="864" w:type="dxa"/>
          </w:tcPr>
          <w:p w14:paraId="00C5AA34" w14:textId="77777777" w:rsidR="004B4E35" w:rsidRPr="00405303" w:rsidRDefault="009E6F82" w:rsidP="00C15251">
            <w:pPr>
              <w:jc w:val="both"/>
              <w:rPr>
                <w:bCs/>
                <w:color w:val="002060"/>
                <w:sz w:val="16"/>
                <w:szCs w:val="16"/>
              </w:rPr>
            </w:pPr>
            <w:r w:rsidRPr="00405303">
              <w:rPr>
                <w:bCs/>
                <w:color w:val="002060"/>
                <w:sz w:val="16"/>
                <w:szCs w:val="16"/>
              </w:rPr>
              <w:t>X — 1.95</w:t>
            </w:r>
          </w:p>
        </w:tc>
        <w:tc>
          <w:tcPr>
            <w:tcW w:w="828" w:type="dxa"/>
          </w:tcPr>
          <w:p w14:paraId="3A1F4F21" w14:textId="77777777" w:rsidR="004B4E35" w:rsidRPr="00405303" w:rsidRDefault="009E6F82" w:rsidP="00C15251">
            <w:pPr>
              <w:jc w:val="both"/>
              <w:rPr>
                <w:bCs/>
                <w:color w:val="002060"/>
                <w:sz w:val="16"/>
                <w:szCs w:val="16"/>
              </w:rPr>
            </w:pPr>
            <w:r w:rsidRPr="00405303">
              <w:rPr>
                <w:bCs/>
                <w:color w:val="002060"/>
                <w:sz w:val="16"/>
                <w:szCs w:val="16"/>
              </w:rPr>
              <w:t>X — 3.0</w:t>
            </w:r>
          </w:p>
        </w:tc>
        <w:tc>
          <w:tcPr>
            <w:tcW w:w="912" w:type="dxa"/>
          </w:tcPr>
          <w:p w14:paraId="5E2B6E58" w14:textId="4EE2077C" w:rsidR="004B4E35" w:rsidRPr="00405303" w:rsidRDefault="00DB4D64" w:rsidP="00C15251">
            <w:pPr>
              <w:jc w:val="both"/>
              <w:rPr>
                <w:bCs/>
                <w:color w:val="002060"/>
                <w:sz w:val="16"/>
                <w:szCs w:val="16"/>
              </w:rPr>
            </w:pPr>
            <w:r w:rsidRPr="00405303">
              <w:rPr>
                <w:bCs/>
                <w:color w:val="002060"/>
                <w:sz w:val="16"/>
                <w:szCs w:val="16"/>
              </w:rPr>
              <w:t xml:space="preserve"> </w:t>
            </w:r>
          </w:p>
        </w:tc>
      </w:tr>
      <w:tr w:rsidR="004B4E35" w:rsidRPr="00405303" w14:paraId="088B85BB" w14:textId="77777777">
        <w:tc>
          <w:tcPr>
            <w:tcW w:w="912" w:type="dxa"/>
          </w:tcPr>
          <w:p w14:paraId="63FE7198" w14:textId="26CFB3CE" w:rsidR="004B4E35" w:rsidRPr="00405303" w:rsidRDefault="00DB4D64" w:rsidP="00C15251">
            <w:pPr>
              <w:jc w:val="both"/>
              <w:rPr>
                <w:bCs/>
                <w:color w:val="002060"/>
                <w:sz w:val="16"/>
                <w:szCs w:val="16"/>
              </w:rPr>
            </w:pPr>
            <w:r w:rsidRPr="00405303">
              <w:rPr>
                <w:bCs/>
                <w:color w:val="002060"/>
                <w:sz w:val="16"/>
                <w:szCs w:val="16"/>
              </w:rPr>
              <w:t xml:space="preserve"> </w:t>
            </w:r>
          </w:p>
        </w:tc>
        <w:tc>
          <w:tcPr>
            <w:tcW w:w="864" w:type="dxa"/>
          </w:tcPr>
          <w:p w14:paraId="3358B268" w14:textId="77777777" w:rsidR="004B4E35" w:rsidRPr="00405303" w:rsidRDefault="009E6F82" w:rsidP="00C15251">
            <w:pPr>
              <w:jc w:val="both"/>
              <w:rPr>
                <w:bCs/>
                <w:color w:val="002060"/>
                <w:sz w:val="16"/>
                <w:szCs w:val="16"/>
              </w:rPr>
            </w:pPr>
            <w:r w:rsidRPr="00405303">
              <w:rPr>
                <w:bCs/>
                <w:color w:val="002060"/>
                <w:sz w:val="16"/>
                <w:szCs w:val="16"/>
              </w:rPr>
              <w:t>XI — 2.0</w:t>
            </w:r>
          </w:p>
        </w:tc>
        <w:tc>
          <w:tcPr>
            <w:tcW w:w="828" w:type="dxa"/>
          </w:tcPr>
          <w:p w14:paraId="6CC0FF9E" w14:textId="77777777" w:rsidR="004B4E35" w:rsidRPr="00405303" w:rsidRDefault="009E6F82" w:rsidP="00C15251">
            <w:pPr>
              <w:jc w:val="both"/>
              <w:rPr>
                <w:bCs/>
                <w:color w:val="002060"/>
                <w:sz w:val="16"/>
                <w:szCs w:val="16"/>
              </w:rPr>
            </w:pPr>
            <w:r w:rsidRPr="00405303">
              <w:rPr>
                <w:bCs/>
                <w:color w:val="002060"/>
                <w:sz w:val="16"/>
                <w:szCs w:val="16"/>
              </w:rPr>
              <w:t>XI — 3.0</w:t>
            </w:r>
          </w:p>
        </w:tc>
        <w:tc>
          <w:tcPr>
            <w:tcW w:w="912" w:type="dxa"/>
          </w:tcPr>
          <w:p w14:paraId="431B474F" w14:textId="4FE47773" w:rsidR="004B4E35" w:rsidRPr="00405303" w:rsidRDefault="00DB4D64" w:rsidP="00C15251">
            <w:pPr>
              <w:jc w:val="both"/>
              <w:rPr>
                <w:bCs/>
                <w:color w:val="002060"/>
                <w:sz w:val="16"/>
                <w:szCs w:val="16"/>
              </w:rPr>
            </w:pPr>
            <w:r w:rsidRPr="00405303">
              <w:rPr>
                <w:bCs/>
                <w:color w:val="002060"/>
                <w:sz w:val="16"/>
                <w:szCs w:val="16"/>
              </w:rPr>
              <w:t xml:space="preserve"> </w:t>
            </w:r>
          </w:p>
        </w:tc>
      </w:tr>
      <w:tr w:rsidR="004B4E35" w:rsidRPr="00405303" w14:paraId="1B9F80CD" w14:textId="77777777">
        <w:tc>
          <w:tcPr>
            <w:tcW w:w="912" w:type="dxa"/>
          </w:tcPr>
          <w:p w14:paraId="6B961D37" w14:textId="1A2D7D6E" w:rsidR="004B4E35" w:rsidRPr="00405303" w:rsidRDefault="00DB4D64" w:rsidP="00C15251">
            <w:pPr>
              <w:jc w:val="both"/>
              <w:rPr>
                <w:bCs/>
                <w:color w:val="002060"/>
                <w:sz w:val="16"/>
                <w:szCs w:val="16"/>
              </w:rPr>
            </w:pPr>
            <w:r w:rsidRPr="00405303">
              <w:rPr>
                <w:bCs/>
                <w:color w:val="002060"/>
                <w:sz w:val="16"/>
                <w:szCs w:val="16"/>
              </w:rPr>
              <w:t xml:space="preserve"> </w:t>
            </w:r>
          </w:p>
        </w:tc>
        <w:tc>
          <w:tcPr>
            <w:tcW w:w="864" w:type="dxa"/>
          </w:tcPr>
          <w:p w14:paraId="78EBAF5A" w14:textId="77777777" w:rsidR="004B4E35" w:rsidRPr="00405303" w:rsidRDefault="009E6F82" w:rsidP="00C15251">
            <w:pPr>
              <w:jc w:val="both"/>
              <w:rPr>
                <w:bCs/>
                <w:color w:val="002060"/>
                <w:sz w:val="16"/>
                <w:szCs w:val="16"/>
              </w:rPr>
            </w:pPr>
            <w:r w:rsidRPr="00405303">
              <w:rPr>
                <w:bCs/>
                <w:color w:val="002060"/>
                <w:sz w:val="16"/>
                <w:szCs w:val="16"/>
              </w:rPr>
              <w:t>XII — 2.1</w:t>
            </w:r>
          </w:p>
        </w:tc>
        <w:tc>
          <w:tcPr>
            <w:tcW w:w="828" w:type="dxa"/>
          </w:tcPr>
          <w:p w14:paraId="04B310F3" w14:textId="77777777" w:rsidR="004B4E35" w:rsidRPr="00405303" w:rsidRDefault="009E6F82" w:rsidP="00C15251">
            <w:pPr>
              <w:jc w:val="both"/>
              <w:rPr>
                <w:bCs/>
                <w:color w:val="002060"/>
                <w:sz w:val="16"/>
                <w:szCs w:val="16"/>
              </w:rPr>
            </w:pPr>
            <w:r w:rsidRPr="00405303">
              <w:rPr>
                <w:bCs/>
                <w:color w:val="002060"/>
                <w:sz w:val="16"/>
                <w:szCs w:val="16"/>
              </w:rPr>
              <w:t>XII — 3.2</w:t>
            </w:r>
          </w:p>
        </w:tc>
        <w:tc>
          <w:tcPr>
            <w:tcW w:w="912" w:type="dxa"/>
          </w:tcPr>
          <w:p w14:paraId="649DFA7D" w14:textId="2F30782E" w:rsidR="004B4E35" w:rsidRPr="00405303" w:rsidRDefault="00DB4D64" w:rsidP="00C15251">
            <w:pPr>
              <w:jc w:val="both"/>
              <w:rPr>
                <w:bCs/>
                <w:color w:val="002060"/>
                <w:sz w:val="16"/>
                <w:szCs w:val="16"/>
              </w:rPr>
            </w:pPr>
            <w:r w:rsidRPr="00405303">
              <w:rPr>
                <w:bCs/>
                <w:color w:val="002060"/>
                <w:sz w:val="16"/>
                <w:szCs w:val="16"/>
              </w:rPr>
              <w:t xml:space="preserve"> </w:t>
            </w:r>
          </w:p>
        </w:tc>
      </w:tr>
    </w:tbl>
    <w:p w14:paraId="511D07D2" w14:textId="77777777" w:rsidR="004B4E35" w:rsidRPr="00405303" w:rsidRDefault="009E6F82" w:rsidP="00C15251">
      <w:pPr>
        <w:jc w:val="both"/>
        <w:rPr>
          <w:bCs/>
          <w:color w:val="002060"/>
          <w:sz w:val="16"/>
          <w:szCs w:val="16"/>
        </w:rPr>
      </w:pPr>
      <w:r w:rsidRPr="00405303">
        <w:rPr>
          <w:bCs/>
          <w:color w:val="002060"/>
          <w:sz w:val="16"/>
          <w:szCs w:val="16"/>
        </w:rPr>
        <w:t xml:space="preserve">Приведенные коэффициенты поучительны. Если учесть все обстоятельства, при которых они получены, то надо считать, что они показывают ту предельную календарную скорость разворачивания производства, которую практически можно требовать от оружейных заводов. Правда, разворачивание шло импровизированным порядком, без предварительной мобилизационной подготовки. Это обстоятельство, без сомнения, действовало тормозящим образом. Но, с </w:t>
      </w:r>
      <w:r w:rsidRPr="00405303">
        <w:rPr>
          <w:bCs/>
          <w:color w:val="002060"/>
          <w:sz w:val="16"/>
          <w:szCs w:val="16"/>
        </w:rPr>
        <w:lastRenderedPageBreak/>
        <w:t xml:space="preserve">другой стороны, работа шла под натиском жесточайшей форсировки, которая не могла бы быть допущена при плановом разворачивании. В итоге можно считать, что эти два фактора, противоположно влияющие, взаимно уравновешивались. </w:t>
      </w:r>
    </w:p>
    <w:p w14:paraId="61C1EAD7" w14:textId="77777777" w:rsidR="004B4E35" w:rsidRPr="00405303" w:rsidRDefault="009E6F82" w:rsidP="00C15251">
      <w:pPr>
        <w:jc w:val="both"/>
        <w:rPr>
          <w:bCs/>
          <w:color w:val="002060"/>
          <w:sz w:val="16"/>
          <w:szCs w:val="16"/>
        </w:rPr>
      </w:pPr>
      <w:r w:rsidRPr="00405303">
        <w:rPr>
          <w:bCs/>
          <w:color w:val="002060"/>
          <w:sz w:val="16"/>
          <w:szCs w:val="16"/>
        </w:rPr>
        <w:t xml:space="preserve">Из таблиц видно, что максимум, 44 тыс., достигнут на 9-м месяце. Что касается дальнейшего подъема производительности, то можно считать, что рост ее в пределах коэффициентов от 1 до 1,3 можно отнести за счет форсировки работы, то есть увеличения скоростей подач, увеличения рабочих дней в месяце и пр. Дальнейший же рост выше 1,3 — это результат усиления оборудования при наличии той же форсировки. </w:t>
      </w:r>
    </w:p>
    <w:p w14:paraId="675B14FE" w14:textId="77777777" w:rsidR="004B4E35" w:rsidRPr="00405303" w:rsidRDefault="009E6F82" w:rsidP="00C15251">
      <w:pPr>
        <w:jc w:val="both"/>
        <w:rPr>
          <w:bCs/>
          <w:color w:val="002060"/>
          <w:sz w:val="16"/>
          <w:szCs w:val="16"/>
        </w:rPr>
      </w:pPr>
      <w:r w:rsidRPr="00405303">
        <w:rPr>
          <w:bCs/>
          <w:color w:val="002060"/>
          <w:sz w:val="16"/>
          <w:szCs w:val="16"/>
        </w:rPr>
        <w:t>Из таблиц видно также, что чем выше загрузка завода заказами в мирное время, тем в более короткий срок достигается максимум при мобилизационном разворачивании. Впрочем, это ясно, конечно, и без таблиц (11329).</w:t>
      </w:r>
    </w:p>
    <w:p w14:paraId="2C413AC7" w14:textId="77777777" w:rsidR="004B4E35" w:rsidRPr="00405303" w:rsidRDefault="004B4E35" w:rsidP="00C15251">
      <w:pPr>
        <w:jc w:val="both"/>
        <w:rPr>
          <w:bCs/>
          <w:color w:val="002060"/>
          <w:sz w:val="16"/>
          <w:szCs w:val="16"/>
        </w:rPr>
      </w:pPr>
    </w:p>
    <w:p w14:paraId="5D78AA59" w14:textId="77777777" w:rsidR="004B4E35" w:rsidRPr="00405303" w:rsidRDefault="009E6F82" w:rsidP="00C15251">
      <w:pPr>
        <w:jc w:val="both"/>
        <w:rPr>
          <w:bCs/>
          <w:color w:val="002060"/>
          <w:sz w:val="16"/>
          <w:szCs w:val="16"/>
        </w:rPr>
      </w:pPr>
      <w:r w:rsidRPr="00405303">
        <w:rPr>
          <w:bCs/>
          <w:color w:val="002060"/>
          <w:sz w:val="16"/>
          <w:szCs w:val="16"/>
        </w:rPr>
        <w:t xml:space="preserve">В апреле 1915 г. произошел громадный взрыв, который почти полностью уничтожил весь тротилово-снаряжательный отдел Охтенского завода. Этот взрыв будет описан ниже отдельно. </w:t>
      </w:r>
    </w:p>
    <w:p w14:paraId="792C122A" w14:textId="77777777" w:rsidR="004B4E35" w:rsidRPr="00405303" w:rsidRDefault="009E6F82" w:rsidP="00C15251">
      <w:pPr>
        <w:jc w:val="both"/>
        <w:rPr>
          <w:bCs/>
          <w:color w:val="002060"/>
          <w:sz w:val="16"/>
          <w:szCs w:val="16"/>
        </w:rPr>
      </w:pPr>
      <w:r w:rsidRPr="00405303">
        <w:rPr>
          <w:bCs/>
          <w:color w:val="002060"/>
          <w:sz w:val="16"/>
          <w:szCs w:val="16"/>
        </w:rPr>
        <w:t xml:space="preserve">После взрыва завод начал немедленно отстраиваться. В первую очередь выстроены были временные деревянные мастерские для снаряжения снарядов, а затем на фундаментах разрушенных зданий, а также в прилегающей полосе были построены каменные здания, и через сравнительно короткое время работа по снаряжению была возобновлена. Также были возобновлены и работы по изготовлению взрывчатого вещества, но вместо тротила готовился тринитроксилол, за неимением толуола. </w:t>
      </w:r>
    </w:p>
    <w:p w14:paraId="2AC1BC70" w14:textId="77777777" w:rsidR="004B4E35" w:rsidRPr="00405303" w:rsidRDefault="009E6F82" w:rsidP="00C15251">
      <w:pPr>
        <w:jc w:val="both"/>
        <w:rPr>
          <w:bCs/>
          <w:color w:val="002060"/>
          <w:sz w:val="16"/>
          <w:szCs w:val="16"/>
        </w:rPr>
      </w:pPr>
      <w:r w:rsidRPr="00405303">
        <w:rPr>
          <w:bCs/>
          <w:color w:val="002060"/>
          <w:sz w:val="16"/>
          <w:szCs w:val="16"/>
        </w:rPr>
        <w:t xml:space="preserve">В целях экономии взрывчатого вещества и упрощения его фабрикации с началом войны было отменено употребление кристаллизованного тротила и снаряды снаряжались суррогатами из смеси некристаллизованного тротила — сначала с калиевой селитрой (около 30%), а затем с селитрой аммиачной (35-45%). </w:t>
      </w:r>
    </w:p>
    <w:p w14:paraId="6566CCCF" w14:textId="77777777" w:rsidR="004B4E35" w:rsidRPr="00405303" w:rsidRDefault="009E6F82" w:rsidP="00C15251">
      <w:pPr>
        <w:jc w:val="both"/>
        <w:rPr>
          <w:bCs/>
          <w:color w:val="002060"/>
          <w:sz w:val="16"/>
          <w:szCs w:val="16"/>
        </w:rPr>
      </w:pPr>
      <w:r w:rsidRPr="00405303">
        <w:rPr>
          <w:bCs/>
          <w:color w:val="002060"/>
          <w:sz w:val="16"/>
          <w:szCs w:val="16"/>
        </w:rPr>
        <w:t xml:space="preserve">С целью утилизации отработанных кислот на Охтенском заводе была построена первая в России мастерская для изготовления суперфосфата как удобрительного тука. </w:t>
      </w:r>
    </w:p>
    <w:p w14:paraId="33CBFCEA" w14:textId="77777777" w:rsidR="004B4E35" w:rsidRPr="00405303" w:rsidRDefault="009E6F82" w:rsidP="00C15251">
      <w:pPr>
        <w:jc w:val="both"/>
        <w:rPr>
          <w:bCs/>
          <w:color w:val="002060"/>
          <w:sz w:val="16"/>
          <w:szCs w:val="16"/>
        </w:rPr>
      </w:pPr>
      <w:r w:rsidRPr="00405303">
        <w:rPr>
          <w:bCs/>
          <w:color w:val="002060"/>
          <w:sz w:val="16"/>
          <w:szCs w:val="16"/>
        </w:rPr>
        <w:t xml:space="preserve">За годы войны снаряжательный отдел Охтенского завода взрывчатых веществ выпустил следующее количество изделий: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92"/>
        <w:gridCol w:w="1140"/>
        <w:gridCol w:w="1140"/>
        <w:gridCol w:w="900"/>
        <w:gridCol w:w="1122"/>
        <w:gridCol w:w="1192"/>
        <w:gridCol w:w="1078"/>
      </w:tblGrid>
      <w:tr w:rsidR="004B4E35" w:rsidRPr="00405303" w14:paraId="5FEF7028" w14:textId="77777777">
        <w:tc>
          <w:tcPr>
            <w:tcW w:w="792" w:type="dxa"/>
          </w:tcPr>
          <w:p w14:paraId="33B25D13" w14:textId="3C229CAA" w:rsidR="004B4E35" w:rsidRPr="00405303" w:rsidRDefault="00DB4D64" w:rsidP="00C15251">
            <w:pPr>
              <w:jc w:val="both"/>
              <w:rPr>
                <w:bCs/>
                <w:color w:val="002060"/>
                <w:sz w:val="16"/>
                <w:szCs w:val="16"/>
              </w:rPr>
            </w:pPr>
            <w:r w:rsidRPr="00405303">
              <w:rPr>
                <w:bCs/>
                <w:color w:val="002060"/>
                <w:sz w:val="16"/>
                <w:szCs w:val="16"/>
              </w:rPr>
              <w:t xml:space="preserve"> </w:t>
            </w:r>
          </w:p>
        </w:tc>
        <w:tc>
          <w:tcPr>
            <w:tcW w:w="3180" w:type="dxa"/>
            <w:gridSpan w:val="3"/>
          </w:tcPr>
          <w:p w14:paraId="5CA960FE" w14:textId="77777777" w:rsidR="004B4E35" w:rsidRPr="00405303" w:rsidRDefault="009E6F82" w:rsidP="00C15251">
            <w:pPr>
              <w:jc w:val="both"/>
              <w:rPr>
                <w:bCs/>
                <w:color w:val="002060"/>
                <w:sz w:val="16"/>
                <w:szCs w:val="16"/>
              </w:rPr>
            </w:pPr>
            <w:r w:rsidRPr="00405303">
              <w:rPr>
                <w:bCs/>
                <w:color w:val="002060"/>
                <w:sz w:val="16"/>
                <w:szCs w:val="16"/>
              </w:rPr>
              <w:t xml:space="preserve">Калибры снаряжаемых снарядов </w:t>
            </w:r>
          </w:p>
        </w:tc>
        <w:tc>
          <w:tcPr>
            <w:tcW w:w="1122" w:type="dxa"/>
          </w:tcPr>
          <w:p w14:paraId="68FAC7DD" w14:textId="77777777" w:rsidR="004B4E35" w:rsidRPr="00405303" w:rsidRDefault="009E6F82" w:rsidP="00C15251">
            <w:pPr>
              <w:jc w:val="both"/>
              <w:rPr>
                <w:bCs/>
                <w:color w:val="002060"/>
                <w:sz w:val="16"/>
                <w:szCs w:val="16"/>
              </w:rPr>
            </w:pPr>
            <w:r w:rsidRPr="00405303">
              <w:rPr>
                <w:bCs/>
                <w:color w:val="002060"/>
                <w:sz w:val="16"/>
                <w:szCs w:val="16"/>
              </w:rPr>
              <w:t xml:space="preserve">Снаряжение взрывателей </w:t>
            </w:r>
          </w:p>
        </w:tc>
        <w:tc>
          <w:tcPr>
            <w:tcW w:w="1192" w:type="dxa"/>
          </w:tcPr>
          <w:p w14:paraId="77D25015" w14:textId="77777777" w:rsidR="004B4E35" w:rsidRPr="00405303" w:rsidRDefault="009E6F82" w:rsidP="00C15251">
            <w:pPr>
              <w:jc w:val="both"/>
              <w:rPr>
                <w:bCs/>
                <w:color w:val="002060"/>
                <w:sz w:val="16"/>
                <w:szCs w:val="16"/>
              </w:rPr>
            </w:pPr>
            <w:r w:rsidRPr="00405303">
              <w:rPr>
                <w:bCs/>
                <w:color w:val="002060"/>
                <w:sz w:val="16"/>
                <w:szCs w:val="16"/>
              </w:rPr>
              <w:t>Изготовление тротила</w:t>
            </w:r>
          </w:p>
        </w:tc>
        <w:tc>
          <w:tcPr>
            <w:tcW w:w="1078" w:type="dxa"/>
          </w:tcPr>
          <w:p w14:paraId="5A573DEC" w14:textId="77777777" w:rsidR="004B4E35" w:rsidRPr="00405303" w:rsidRDefault="009E6F82" w:rsidP="00C15251">
            <w:pPr>
              <w:jc w:val="both"/>
              <w:rPr>
                <w:bCs/>
                <w:color w:val="002060"/>
                <w:sz w:val="16"/>
                <w:szCs w:val="16"/>
              </w:rPr>
            </w:pPr>
            <w:r w:rsidRPr="00405303">
              <w:rPr>
                <w:bCs/>
                <w:color w:val="002060"/>
                <w:sz w:val="16"/>
                <w:szCs w:val="16"/>
              </w:rPr>
              <w:t>Снаряжение ручных гранат</w:t>
            </w:r>
          </w:p>
        </w:tc>
      </w:tr>
      <w:tr w:rsidR="004B4E35" w:rsidRPr="00405303" w14:paraId="310E81BB" w14:textId="77777777">
        <w:tc>
          <w:tcPr>
            <w:tcW w:w="792" w:type="dxa"/>
          </w:tcPr>
          <w:p w14:paraId="7FAE9E2C" w14:textId="4F6171C6" w:rsidR="004B4E35" w:rsidRPr="00405303" w:rsidRDefault="00DB4D64" w:rsidP="00C15251">
            <w:pPr>
              <w:jc w:val="both"/>
              <w:rPr>
                <w:bCs/>
                <w:color w:val="002060"/>
                <w:sz w:val="16"/>
                <w:szCs w:val="16"/>
              </w:rPr>
            </w:pPr>
            <w:r w:rsidRPr="00405303">
              <w:rPr>
                <w:bCs/>
                <w:color w:val="002060"/>
                <w:sz w:val="16"/>
                <w:szCs w:val="16"/>
              </w:rPr>
              <w:t xml:space="preserve"> </w:t>
            </w:r>
          </w:p>
        </w:tc>
        <w:tc>
          <w:tcPr>
            <w:tcW w:w="1140" w:type="dxa"/>
          </w:tcPr>
          <w:p w14:paraId="68F6F08C" w14:textId="77777777" w:rsidR="004B4E35" w:rsidRPr="00405303" w:rsidRDefault="009E6F82" w:rsidP="00C15251">
            <w:pPr>
              <w:jc w:val="both"/>
              <w:rPr>
                <w:bCs/>
                <w:color w:val="002060"/>
                <w:sz w:val="16"/>
                <w:szCs w:val="16"/>
              </w:rPr>
            </w:pPr>
            <w:r w:rsidRPr="00405303">
              <w:rPr>
                <w:bCs/>
                <w:color w:val="002060"/>
                <w:sz w:val="16"/>
                <w:szCs w:val="16"/>
              </w:rPr>
              <w:t xml:space="preserve">3-дм —42-лин. </w:t>
            </w:r>
          </w:p>
        </w:tc>
        <w:tc>
          <w:tcPr>
            <w:tcW w:w="1140" w:type="dxa"/>
          </w:tcPr>
          <w:p w14:paraId="647720B8" w14:textId="77777777" w:rsidR="004B4E35" w:rsidRPr="00405303" w:rsidRDefault="009E6F82" w:rsidP="00C15251">
            <w:pPr>
              <w:jc w:val="both"/>
              <w:rPr>
                <w:bCs/>
                <w:color w:val="002060"/>
                <w:sz w:val="16"/>
                <w:szCs w:val="16"/>
              </w:rPr>
            </w:pPr>
            <w:r w:rsidRPr="00405303">
              <w:rPr>
                <w:bCs/>
                <w:color w:val="002060"/>
                <w:sz w:val="16"/>
                <w:szCs w:val="16"/>
              </w:rPr>
              <w:t xml:space="preserve">48-лин. — 6-дм </w:t>
            </w:r>
          </w:p>
        </w:tc>
        <w:tc>
          <w:tcPr>
            <w:tcW w:w="900" w:type="dxa"/>
          </w:tcPr>
          <w:p w14:paraId="492F2855" w14:textId="77777777" w:rsidR="004B4E35" w:rsidRPr="00405303" w:rsidRDefault="009E6F82" w:rsidP="00C15251">
            <w:pPr>
              <w:jc w:val="both"/>
              <w:rPr>
                <w:bCs/>
                <w:color w:val="002060"/>
                <w:sz w:val="16"/>
                <w:szCs w:val="16"/>
              </w:rPr>
            </w:pPr>
            <w:r w:rsidRPr="00405303">
              <w:rPr>
                <w:bCs/>
                <w:color w:val="002060"/>
                <w:sz w:val="16"/>
                <w:szCs w:val="16"/>
              </w:rPr>
              <w:t xml:space="preserve">Выше 6-дм </w:t>
            </w:r>
          </w:p>
        </w:tc>
        <w:tc>
          <w:tcPr>
            <w:tcW w:w="1122" w:type="dxa"/>
          </w:tcPr>
          <w:p w14:paraId="312B1787" w14:textId="77777777" w:rsidR="004B4E35" w:rsidRPr="00405303" w:rsidRDefault="009E6F82" w:rsidP="00C15251">
            <w:pPr>
              <w:jc w:val="both"/>
              <w:rPr>
                <w:bCs/>
                <w:color w:val="002060"/>
                <w:sz w:val="16"/>
                <w:szCs w:val="16"/>
              </w:rPr>
            </w:pPr>
            <w:r w:rsidRPr="00405303">
              <w:rPr>
                <w:bCs/>
                <w:color w:val="002060"/>
                <w:sz w:val="16"/>
                <w:szCs w:val="16"/>
              </w:rPr>
              <w:t>разных марок</w:t>
            </w:r>
          </w:p>
        </w:tc>
        <w:tc>
          <w:tcPr>
            <w:tcW w:w="1192" w:type="dxa"/>
          </w:tcPr>
          <w:p w14:paraId="5D3256EE" w14:textId="5B972941" w:rsidR="004B4E35" w:rsidRPr="00405303" w:rsidRDefault="00DB4D64" w:rsidP="00C15251">
            <w:pPr>
              <w:jc w:val="both"/>
              <w:rPr>
                <w:bCs/>
                <w:color w:val="002060"/>
                <w:sz w:val="16"/>
                <w:szCs w:val="16"/>
              </w:rPr>
            </w:pPr>
            <w:r w:rsidRPr="00405303">
              <w:rPr>
                <w:bCs/>
                <w:color w:val="002060"/>
                <w:sz w:val="16"/>
                <w:szCs w:val="16"/>
              </w:rPr>
              <w:t xml:space="preserve"> </w:t>
            </w:r>
          </w:p>
        </w:tc>
        <w:tc>
          <w:tcPr>
            <w:tcW w:w="1078" w:type="dxa"/>
          </w:tcPr>
          <w:p w14:paraId="6F3DCDD6" w14:textId="6A6B94E0" w:rsidR="004B4E35" w:rsidRPr="00405303" w:rsidRDefault="00DB4D64" w:rsidP="00C15251">
            <w:pPr>
              <w:jc w:val="both"/>
              <w:rPr>
                <w:bCs/>
                <w:color w:val="002060"/>
                <w:sz w:val="16"/>
                <w:szCs w:val="16"/>
              </w:rPr>
            </w:pPr>
            <w:r w:rsidRPr="00405303">
              <w:rPr>
                <w:bCs/>
                <w:color w:val="002060"/>
                <w:sz w:val="16"/>
                <w:szCs w:val="16"/>
              </w:rPr>
              <w:t xml:space="preserve"> </w:t>
            </w:r>
          </w:p>
        </w:tc>
      </w:tr>
      <w:tr w:rsidR="004B4E35" w:rsidRPr="00405303" w14:paraId="7ED9150E" w14:textId="77777777">
        <w:tc>
          <w:tcPr>
            <w:tcW w:w="792" w:type="dxa"/>
          </w:tcPr>
          <w:p w14:paraId="1493A77F" w14:textId="77777777" w:rsidR="004B4E35" w:rsidRPr="00405303" w:rsidRDefault="009E6F82" w:rsidP="00C15251">
            <w:pPr>
              <w:jc w:val="both"/>
              <w:rPr>
                <w:bCs/>
                <w:color w:val="002060"/>
                <w:sz w:val="16"/>
                <w:szCs w:val="16"/>
              </w:rPr>
            </w:pPr>
            <w:r w:rsidRPr="00405303">
              <w:rPr>
                <w:bCs/>
                <w:color w:val="002060"/>
                <w:sz w:val="16"/>
                <w:szCs w:val="16"/>
              </w:rPr>
              <w:t>1914 г.</w:t>
            </w:r>
          </w:p>
        </w:tc>
        <w:tc>
          <w:tcPr>
            <w:tcW w:w="1140" w:type="dxa"/>
          </w:tcPr>
          <w:p w14:paraId="7F8D6E54" w14:textId="77777777" w:rsidR="004B4E35" w:rsidRPr="00405303" w:rsidRDefault="009E6F82" w:rsidP="00C15251">
            <w:pPr>
              <w:jc w:val="both"/>
              <w:rPr>
                <w:bCs/>
                <w:color w:val="002060"/>
                <w:sz w:val="16"/>
                <w:szCs w:val="16"/>
              </w:rPr>
            </w:pPr>
            <w:r w:rsidRPr="00405303">
              <w:rPr>
                <w:bCs/>
                <w:color w:val="002060"/>
                <w:sz w:val="16"/>
                <w:szCs w:val="16"/>
              </w:rPr>
              <w:t>81.800</w:t>
            </w:r>
          </w:p>
        </w:tc>
        <w:tc>
          <w:tcPr>
            <w:tcW w:w="1140" w:type="dxa"/>
          </w:tcPr>
          <w:p w14:paraId="6FCE7962" w14:textId="77777777" w:rsidR="004B4E35" w:rsidRPr="00405303" w:rsidRDefault="009E6F82" w:rsidP="00C15251">
            <w:pPr>
              <w:jc w:val="both"/>
              <w:rPr>
                <w:bCs/>
                <w:color w:val="002060"/>
                <w:sz w:val="16"/>
                <w:szCs w:val="16"/>
              </w:rPr>
            </w:pPr>
            <w:r w:rsidRPr="00405303">
              <w:rPr>
                <w:bCs/>
                <w:color w:val="002060"/>
                <w:sz w:val="16"/>
                <w:szCs w:val="16"/>
              </w:rPr>
              <w:t>104.850</w:t>
            </w:r>
          </w:p>
        </w:tc>
        <w:tc>
          <w:tcPr>
            <w:tcW w:w="900" w:type="dxa"/>
          </w:tcPr>
          <w:p w14:paraId="5F13A1F4" w14:textId="77777777" w:rsidR="004B4E35" w:rsidRPr="00405303" w:rsidRDefault="009E6F82" w:rsidP="00C15251">
            <w:pPr>
              <w:jc w:val="both"/>
              <w:rPr>
                <w:bCs/>
                <w:color w:val="002060"/>
                <w:sz w:val="16"/>
                <w:szCs w:val="16"/>
              </w:rPr>
            </w:pPr>
            <w:r w:rsidRPr="00405303">
              <w:rPr>
                <w:bCs/>
                <w:color w:val="002060"/>
                <w:sz w:val="16"/>
                <w:szCs w:val="16"/>
              </w:rPr>
              <w:t>4.700</w:t>
            </w:r>
          </w:p>
        </w:tc>
        <w:tc>
          <w:tcPr>
            <w:tcW w:w="1122" w:type="dxa"/>
          </w:tcPr>
          <w:p w14:paraId="0F390980" w14:textId="77777777" w:rsidR="004B4E35" w:rsidRPr="00405303" w:rsidRDefault="009E6F82" w:rsidP="00C15251">
            <w:pPr>
              <w:jc w:val="both"/>
              <w:rPr>
                <w:bCs/>
                <w:color w:val="002060"/>
                <w:sz w:val="16"/>
                <w:szCs w:val="16"/>
              </w:rPr>
            </w:pPr>
            <w:r w:rsidRPr="00405303">
              <w:rPr>
                <w:bCs/>
                <w:color w:val="002060"/>
                <w:sz w:val="16"/>
                <w:szCs w:val="16"/>
              </w:rPr>
              <w:t>832.710</w:t>
            </w:r>
          </w:p>
        </w:tc>
        <w:tc>
          <w:tcPr>
            <w:tcW w:w="1192" w:type="dxa"/>
          </w:tcPr>
          <w:p w14:paraId="1A2E30A5" w14:textId="77777777" w:rsidR="004B4E35" w:rsidRPr="00405303" w:rsidRDefault="009E6F82" w:rsidP="00C15251">
            <w:pPr>
              <w:jc w:val="both"/>
              <w:rPr>
                <w:bCs/>
                <w:color w:val="002060"/>
                <w:sz w:val="16"/>
                <w:szCs w:val="16"/>
              </w:rPr>
            </w:pPr>
            <w:r w:rsidRPr="00405303">
              <w:rPr>
                <w:bCs/>
                <w:color w:val="002060"/>
                <w:sz w:val="16"/>
                <w:szCs w:val="16"/>
              </w:rPr>
              <w:t>13.950</w:t>
            </w:r>
          </w:p>
        </w:tc>
        <w:tc>
          <w:tcPr>
            <w:tcW w:w="1078" w:type="dxa"/>
          </w:tcPr>
          <w:p w14:paraId="790CE5CE" w14:textId="77777777" w:rsidR="004B4E35" w:rsidRPr="00405303" w:rsidRDefault="009E6F82" w:rsidP="00C15251">
            <w:pPr>
              <w:jc w:val="both"/>
              <w:rPr>
                <w:bCs/>
                <w:color w:val="002060"/>
                <w:sz w:val="16"/>
                <w:szCs w:val="16"/>
              </w:rPr>
            </w:pPr>
            <w:r w:rsidRPr="00405303">
              <w:rPr>
                <w:bCs/>
                <w:color w:val="002060"/>
                <w:sz w:val="16"/>
                <w:szCs w:val="16"/>
              </w:rPr>
              <w:t>49.940</w:t>
            </w:r>
          </w:p>
        </w:tc>
      </w:tr>
      <w:tr w:rsidR="004B4E35" w:rsidRPr="00405303" w14:paraId="1514892C" w14:textId="77777777">
        <w:tc>
          <w:tcPr>
            <w:tcW w:w="792" w:type="dxa"/>
          </w:tcPr>
          <w:p w14:paraId="6909B8CA" w14:textId="77777777" w:rsidR="004B4E35" w:rsidRPr="00405303" w:rsidRDefault="009E6F82" w:rsidP="00C15251">
            <w:pPr>
              <w:jc w:val="both"/>
              <w:rPr>
                <w:bCs/>
                <w:color w:val="002060"/>
                <w:sz w:val="16"/>
                <w:szCs w:val="16"/>
              </w:rPr>
            </w:pPr>
            <w:r w:rsidRPr="00405303">
              <w:rPr>
                <w:bCs/>
                <w:color w:val="002060"/>
                <w:sz w:val="16"/>
                <w:szCs w:val="16"/>
              </w:rPr>
              <w:t>1915 г.</w:t>
            </w:r>
          </w:p>
        </w:tc>
        <w:tc>
          <w:tcPr>
            <w:tcW w:w="1140" w:type="dxa"/>
          </w:tcPr>
          <w:p w14:paraId="3502FD38" w14:textId="77777777" w:rsidR="004B4E35" w:rsidRPr="00405303" w:rsidRDefault="009E6F82" w:rsidP="00C15251">
            <w:pPr>
              <w:jc w:val="both"/>
              <w:rPr>
                <w:bCs/>
                <w:color w:val="002060"/>
                <w:sz w:val="16"/>
                <w:szCs w:val="16"/>
              </w:rPr>
            </w:pPr>
            <w:r w:rsidRPr="00405303">
              <w:rPr>
                <w:bCs/>
                <w:color w:val="002060"/>
                <w:sz w:val="16"/>
                <w:szCs w:val="16"/>
              </w:rPr>
              <w:t>242.340</w:t>
            </w:r>
          </w:p>
        </w:tc>
        <w:tc>
          <w:tcPr>
            <w:tcW w:w="1140" w:type="dxa"/>
          </w:tcPr>
          <w:p w14:paraId="4EB90D08" w14:textId="77777777" w:rsidR="004B4E35" w:rsidRPr="00405303" w:rsidRDefault="009E6F82" w:rsidP="00C15251">
            <w:pPr>
              <w:jc w:val="both"/>
              <w:rPr>
                <w:bCs/>
                <w:color w:val="002060"/>
                <w:sz w:val="16"/>
                <w:szCs w:val="16"/>
              </w:rPr>
            </w:pPr>
            <w:r w:rsidRPr="00405303">
              <w:rPr>
                <w:bCs/>
                <w:color w:val="002060"/>
                <w:sz w:val="16"/>
                <w:szCs w:val="16"/>
              </w:rPr>
              <w:t>43.740</w:t>
            </w:r>
          </w:p>
        </w:tc>
        <w:tc>
          <w:tcPr>
            <w:tcW w:w="900" w:type="dxa"/>
          </w:tcPr>
          <w:p w14:paraId="2C35D4E2" w14:textId="77777777" w:rsidR="004B4E35" w:rsidRPr="00405303" w:rsidRDefault="009E6F82" w:rsidP="00C15251">
            <w:pPr>
              <w:jc w:val="both"/>
              <w:rPr>
                <w:bCs/>
                <w:color w:val="002060"/>
                <w:sz w:val="16"/>
                <w:szCs w:val="16"/>
              </w:rPr>
            </w:pPr>
            <w:r w:rsidRPr="00405303">
              <w:rPr>
                <w:bCs/>
                <w:color w:val="002060"/>
                <w:sz w:val="16"/>
                <w:szCs w:val="16"/>
              </w:rPr>
              <w:t>10.130</w:t>
            </w:r>
          </w:p>
        </w:tc>
        <w:tc>
          <w:tcPr>
            <w:tcW w:w="1122" w:type="dxa"/>
          </w:tcPr>
          <w:p w14:paraId="2834A7F0" w14:textId="77777777" w:rsidR="004B4E35" w:rsidRPr="00405303" w:rsidRDefault="009E6F82" w:rsidP="00C15251">
            <w:pPr>
              <w:jc w:val="both"/>
              <w:rPr>
                <w:bCs/>
                <w:color w:val="002060"/>
                <w:sz w:val="16"/>
                <w:szCs w:val="16"/>
              </w:rPr>
            </w:pPr>
            <w:r w:rsidRPr="00405303">
              <w:rPr>
                <w:bCs/>
                <w:color w:val="002060"/>
                <w:sz w:val="16"/>
                <w:szCs w:val="16"/>
              </w:rPr>
              <w:t>1.208.880</w:t>
            </w:r>
          </w:p>
        </w:tc>
        <w:tc>
          <w:tcPr>
            <w:tcW w:w="1192" w:type="dxa"/>
          </w:tcPr>
          <w:p w14:paraId="071B60C2" w14:textId="77777777" w:rsidR="004B4E35" w:rsidRPr="00405303" w:rsidRDefault="009E6F82" w:rsidP="00C15251">
            <w:pPr>
              <w:jc w:val="both"/>
              <w:rPr>
                <w:bCs/>
                <w:color w:val="002060"/>
                <w:sz w:val="16"/>
                <w:szCs w:val="16"/>
              </w:rPr>
            </w:pPr>
            <w:r w:rsidRPr="00405303">
              <w:rPr>
                <w:bCs/>
                <w:color w:val="002060"/>
                <w:sz w:val="16"/>
                <w:szCs w:val="16"/>
              </w:rPr>
              <w:t>5.900</w:t>
            </w:r>
          </w:p>
        </w:tc>
        <w:tc>
          <w:tcPr>
            <w:tcW w:w="1078" w:type="dxa"/>
          </w:tcPr>
          <w:p w14:paraId="405B994A" w14:textId="77777777" w:rsidR="004B4E35" w:rsidRPr="00405303" w:rsidRDefault="009E6F82" w:rsidP="00C15251">
            <w:pPr>
              <w:jc w:val="both"/>
              <w:rPr>
                <w:bCs/>
                <w:color w:val="002060"/>
                <w:sz w:val="16"/>
                <w:szCs w:val="16"/>
              </w:rPr>
            </w:pPr>
            <w:r w:rsidRPr="00405303">
              <w:rPr>
                <w:bCs/>
                <w:color w:val="002060"/>
                <w:sz w:val="16"/>
                <w:szCs w:val="16"/>
              </w:rPr>
              <w:t>1.736.140</w:t>
            </w:r>
          </w:p>
        </w:tc>
      </w:tr>
      <w:tr w:rsidR="004B4E35" w:rsidRPr="00405303" w14:paraId="45C94079" w14:textId="77777777">
        <w:tc>
          <w:tcPr>
            <w:tcW w:w="792" w:type="dxa"/>
          </w:tcPr>
          <w:p w14:paraId="4FDF15EE" w14:textId="77777777" w:rsidR="004B4E35" w:rsidRPr="00405303" w:rsidRDefault="009E6F82" w:rsidP="00C15251">
            <w:pPr>
              <w:jc w:val="both"/>
              <w:rPr>
                <w:bCs/>
                <w:color w:val="002060"/>
                <w:sz w:val="16"/>
                <w:szCs w:val="16"/>
              </w:rPr>
            </w:pPr>
            <w:r w:rsidRPr="00405303">
              <w:rPr>
                <w:bCs/>
                <w:color w:val="002060"/>
                <w:sz w:val="16"/>
                <w:szCs w:val="16"/>
              </w:rPr>
              <w:t>1916 г.</w:t>
            </w:r>
          </w:p>
        </w:tc>
        <w:tc>
          <w:tcPr>
            <w:tcW w:w="1140" w:type="dxa"/>
          </w:tcPr>
          <w:p w14:paraId="3C592719" w14:textId="77777777" w:rsidR="004B4E35" w:rsidRPr="00405303" w:rsidRDefault="009E6F82" w:rsidP="00C15251">
            <w:pPr>
              <w:jc w:val="both"/>
              <w:rPr>
                <w:bCs/>
                <w:color w:val="002060"/>
                <w:sz w:val="16"/>
                <w:szCs w:val="16"/>
              </w:rPr>
            </w:pPr>
            <w:r w:rsidRPr="00405303">
              <w:rPr>
                <w:bCs/>
                <w:color w:val="002060"/>
                <w:sz w:val="16"/>
                <w:szCs w:val="16"/>
              </w:rPr>
              <w:t>1.113.520</w:t>
            </w:r>
          </w:p>
        </w:tc>
        <w:tc>
          <w:tcPr>
            <w:tcW w:w="1140" w:type="dxa"/>
          </w:tcPr>
          <w:p w14:paraId="433DC98A" w14:textId="77777777" w:rsidR="004B4E35" w:rsidRPr="00405303" w:rsidRDefault="009E6F82" w:rsidP="00C15251">
            <w:pPr>
              <w:jc w:val="both"/>
              <w:rPr>
                <w:bCs/>
                <w:color w:val="002060"/>
                <w:sz w:val="16"/>
                <w:szCs w:val="16"/>
              </w:rPr>
            </w:pPr>
            <w:r w:rsidRPr="00405303">
              <w:rPr>
                <w:bCs/>
                <w:color w:val="002060"/>
                <w:sz w:val="16"/>
                <w:szCs w:val="16"/>
              </w:rPr>
              <w:t>379.860</w:t>
            </w:r>
          </w:p>
        </w:tc>
        <w:tc>
          <w:tcPr>
            <w:tcW w:w="900" w:type="dxa"/>
          </w:tcPr>
          <w:p w14:paraId="34699CB5" w14:textId="77777777" w:rsidR="004B4E35" w:rsidRPr="00405303" w:rsidRDefault="009E6F82" w:rsidP="00C15251">
            <w:pPr>
              <w:jc w:val="both"/>
              <w:rPr>
                <w:bCs/>
                <w:color w:val="002060"/>
                <w:sz w:val="16"/>
                <w:szCs w:val="16"/>
              </w:rPr>
            </w:pPr>
            <w:r w:rsidRPr="00405303">
              <w:rPr>
                <w:bCs/>
                <w:color w:val="002060"/>
                <w:sz w:val="16"/>
                <w:szCs w:val="16"/>
              </w:rPr>
              <w:t>19.150</w:t>
            </w:r>
          </w:p>
        </w:tc>
        <w:tc>
          <w:tcPr>
            <w:tcW w:w="1122" w:type="dxa"/>
          </w:tcPr>
          <w:p w14:paraId="52ADA2F8" w14:textId="77777777" w:rsidR="004B4E35" w:rsidRPr="00405303" w:rsidRDefault="009E6F82" w:rsidP="00C15251">
            <w:pPr>
              <w:jc w:val="both"/>
              <w:rPr>
                <w:bCs/>
                <w:color w:val="002060"/>
                <w:sz w:val="16"/>
                <w:szCs w:val="16"/>
              </w:rPr>
            </w:pPr>
            <w:r w:rsidRPr="00405303">
              <w:rPr>
                <w:bCs/>
                <w:color w:val="002060"/>
                <w:sz w:val="16"/>
                <w:szCs w:val="16"/>
              </w:rPr>
              <w:t>3.009.360</w:t>
            </w:r>
          </w:p>
        </w:tc>
        <w:tc>
          <w:tcPr>
            <w:tcW w:w="1192" w:type="dxa"/>
          </w:tcPr>
          <w:p w14:paraId="6A51EE6A" w14:textId="77777777" w:rsidR="004B4E35" w:rsidRPr="00405303" w:rsidRDefault="009E6F82" w:rsidP="00C15251">
            <w:pPr>
              <w:jc w:val="both"/>
              <w:rPr>
                <w:bCs/>
                <w:color w:val="002060"/>
                <w:sz w:val="16"/>
                <w:szCs w:val="16"/>
              </w:rPr>
            </w:pPr>
            <w:r w:rsidRPr="00405303">
              <w:rPr>
                <w:bCs/>
                <w:color w:val="002060"/>
                <w:sz w:val="16"/>
                <w:szCs w:val="16"/>
              </w:rPr>
              <w:t>2.700</w:t>
            </w:r>
          </w:p>
        </w:tc>
        <w:tc>
          <w:tcPr>
            <w:tcW w:w="1078" w:type="dxa"/>
          </w:tcPr>
          <w:p w14:paraId="64344F0B" w14:textId="77777777" w:rsidR="004B4E35" w:rsidRPr="00405303" w:rsidRDefault="009E6F82" w:rsidP="00C15251">
            <w:pPr>
              <w:jc w:val="both"/>
              <w:rPr>
                <w:bCs/>
                <w:color w:val="002060"/>
                <w:sz w:val="16"/>
                <w:szCs w:val="16"/>
              </w:rPr>
            </w:pPr>
            <w:r w:rsidRPr="00405303">
              <w:rPr>
                <w:bCs/>
                <w:color w:val="002060"/>
                <w:sz w:val="16"/>
                <w:szCs w:val="16"/>
              </w:rPr>
              <w:t>4.030.790</w:t>
            </w:r>
          </w:p>
        </w:tc>
      </w:tr>
      <w:tr w:rsidR="004B4E35" w:rsidRPr="00405303" w14:paraId="7CE9AC36" w14:textId="77777777">
        <w:tc>
          <w:tcPr>
            <w:tcW w:w="792" w:type="dxa"/>
          </w:tcPr>
          <w:p w14:paraId="54BB35E0" w14:textId="77777777" w:rsidR="004B4E35" w:rsidRPr="00405303" w:rsidRDefault="009E6F82" w:rsidP="00C15251">
            <w:pPr>
              <w:jc w:val="both"/>
              <w:rPr>
                <w:bCs/>
                <w:color w:val="002060"/>
                <w:sz w:val="16"/>
                <w:szCs w:val="16"/>
              </w:rPr>
            </w:pPr>
            <w:r w:rsidRPr="00405303">
              <w:rPr>
                <w:bCs/>
                <w:color w:val="002060"/>
                <w:sz w:val="16"/>
                <w:szCs w:val="16"/>
              </w:rPr>
              <w:t>1917 г.</w:t>
            </w:r>
          </w:p>
        </w:tc>
        <w:tc>
          <w:tcPr>
            <w:tcW w:w="1140" w:type="dxa"/>
          </w:tcPr>
          <w:p w14:paraId="2D0EBD00" w14:textId="77777777" w:rsidR="004B4E35" w:rsidRPr="00405303" w:rsidRDefault="009E6F82" w:rsidP="00C15251">
            <w:pPr>
              <w:jc w:val="both"/>
              <w:rPr>
                <w:bCs/>
                <w:color w:val="002060"/>
                <w:sz w:val="16"/>
                <w:szCs w:val="16"/>
              </w:rPr>
            </w:pPr>
            <w:r w:rsidRPr="00405303">
              <w:rPr>
                <w:bCs/>
                <w:color w:val="002060"/>
                <w:sz w:val="16"/>
                <w:szCs w:val="16"/>
              </w:rPr>
              <w:t>953.880</w:t>
            </w:r>
          </w:p>
        </w:tc>
        <w:tc>
          <w:tcPr>
            <w:tcW w:w="1140" w:type="dxa"/>
          </w:tcPr>
          <w:p w14:paraId="29756EAF" w14:textId="77777777" w:rsidR="004B4E35" w:rsidRPr="00405303" w:rsidRDefault="009E6F82" w:rsidP="00C15251">
            <w:pPr>
              <w:jc w:val="both"/>
              <w:rPr>
                <w:bCs/>
                <w:color w:val="002060"/>
                <w:sz w:val="16"/>
                <w:szCs w:val="16"/>
              </w:rPr>
            </w:pPr>
            <w:r w:rsidRPr="00405303">
              <w:rPr>
                <w:bCs/>
                <w:color w:val="002060"/>
                <w:sz w:val="16"/>
                <w:szCs w:val="16"/>
              </w:rPr>
              <w:t>498.660</w:t>
            </w:r>
          </w:p>
        </w:tc>
        <w:tc>
          <w:tcPr>
            <w:tcW w:w="900" w:type="dxa"/>
          </w:tcPr>
          <w:p w14:paraId="19240692" w14:textId="77777777" w:rsidR="004B4E35" w:rsidRPr="00405303" w:rsidRDefault="009E6F82" w:rsidP="00C15251">
            <w:pPr>
              <w:jc w:val="both"/>
              <w:rPr>
                <w:bCs/>
                <w:color w:val="002060"/>
                <w:sz w:val="16"/>
                <w:szCs w:val="16"/>
              </w:rPr>
            </w:pPr>
            <w:r w:rsidRPr="00405303">
              <w:rPr>
                <w:bCs/>
                <w:color w:val="002060"/>
                <w:sz w:val="16"/>
                <w:szCs w:val="16"/>
              </w:rPr>
              <w:t>8.660</w:t>
            </w:r>
          </w:p>
        </w:tc>
        <w:tc>
          <w:tcPr>
            <w:tcW w:w="1122" w:type="dxa"/>
          </w:tcPr>
          <w:p w14:paraId="161CBE19" w14:textId="77777777" w:rsidR="004B4E35" w:rsidRPr="00405303" w:rsidRDefault="009E6F82" w:rsidP="00C15251">
            <w:pPr>
              <w:jc w:val="both"/>
              <w:rPr>
                <w:bCs/>
                <w:color w:val="002060"/>
                <w:sz w:val="16"/>
                <w:szCs w:val="16"/>
              </w:rPr>
            </w:pPr>
            <w:r w:rsidRPr="00405303">
              <w:rPr>
                <w:bCs/>
                <w:color w:val="002060"/>
                <w:sz w:val="16"/>
                <w:szCs w:val="16"/>
              </w:rPr>
              <w:t>3.406.550</w:t>
            </w:r>
          </w:p>
        </w:tc>
        <w:tc>
          <w:tcPr>
            <w:tcW w:w="1192" w:type="dxa"/>
          </w:tcPr>
          <w:p w14:paraId="67B57B41" w14:textId="77777777" w:rsidR="004B4E35" w:rsidRPr="00405303" w:rsidRDefault="009E6F82" w:rsidP="00C15251">
            <w:pPr>
              <w:jc w:val="both"/>
              <w:rPr>
                <w:bCs/>
                <w:color w:val="002060"/>
                <w:sz w:val="16"/>
                <w:szCs w:val="16"/>
              </w:rPr>
            </w:pPr>
            <w:r w:rsidRPr="00405303">
              <w:rPr>
                <w:bCs/>
                <w:color w:val="002060"/>
                <w:sz w:val="16"/>
                <w:szCs w:val="16"/>
              </w:rPr>
              <w:t>—</w:t>
            </w:r>
          </w:p>
        </w:tc>
        <w:tc>
          <w:tcPr>
            <w:tcW w:w="1078" w:type="dxa"/>
          </w:tcPr>
          <w:p w14:paraId="384652F7" w14:textId="77777777" w:rsidR="004B4E35" w:rsidRPr="00405303" w:rsidRDefault="009E6F82" w:rsidP="00C15251">
            <w:pPr>
              <w:jc w:val="both"/>
              <w:rPr>
                <w:bCs/>
                <w:color w:val="002060"/>
                <w:sz w:val="16"/>
                <w:szCs w:val="16"/>
              </w:rPr>
            </w:pPr>
            <w:r w:rsidRPr="00405303">
              <w:rPr>
                <w:bCs/>
                <w:color w:val="002060"/>
                <w:sz w:val="16"/>
                <w:szCs w:val="16"/>
              </w:rPr>
              <w:t>147.500</w:t>
            </w:r>
          </w:p>
        </w:tc>
      </w:tr>
    </w:tbl>
    <w:p w14:paraId="2B8095B2"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(11329).</w:t>
      </w:r>
    </w:p>
    <w:p w14:paraId="7EFB8DB9" w14:textId="77777777" w:rsidR="004B4E35" w:rsidRPr="00405303" w:rsidRDefault="004B4E35" w:rsidP="00C15251">
      <w:pPr>
        <w:shd w:val="clear" w:color="auto" w:fill="FFFFFF"/>
        <w:jc w:val="both"/>
        <w:rPr>
          <w:bCs/>
          <w:i/>
          <w:color w:val="002060"/>
          <w:sz w:val="16"/>
          <w:szCs w:val="16"/>
        </w:rPr>
      </w:pPr>
    </w:p>
    <w:p w14:paraId="1378FE07" w14:textId="17847165" w:rsidR="004B4E35" w:rsidRPr="00405303" w:rsidRDefault="009E6F82" w:rsidP="00C15251">
      <w:pPr>
        <w:jc w:val="both"/>
        <w:rPr>
          <w:bCs/>
          <w:color w:val="002060"/>
          <w:sz w:val="16"/>
          <w:szCs w:val="16"/>
        </w:rPr>
      </w:pPr>
      <w:r w:rsidRPr="00405303">
        <w:rPr>
          <w:bCs/>
          <w:color w:val="002060"/>
          <w:sz w:val="16"/>
          <w:szCs w:val="16"/>
        </w:rPr>
        <w:t>В апреле 1915</w:t>
      </w:r>
      <w:r w:rsidR="00DB4D64" w:rsidRPr="00405303">
        <w:rPr>
          <w:bCs/>
          <w:color w:val="002060"/>
          <w:sz w:val="16"/>
          <w:szCs w:val="16"/>
        </w:rPr>
        <w:t xml:space="preserve"> </w:t>
      </w:r>
      <w:r w:rsidRPr="00405303">
        <w:rPr>
          <w:bCs/>
          <w:color w:val="002060"/>
          <w:sz w:val="16"/>
          <w:szCs w:val="16"/>
        </w:rPr>
        <w:t>г. после взрыва на Охтенском заводе В.Н. Ипатьев, участвовавший в расследовании этой катастрофы, предложил председателю Особой комиссии по артиллерийским вопросам вел. кн. Сергею Михайловичу «перевести весь высший заводской персонал на другую работу и назначить наиболее энергичных инженеров для постройки завода и для установления на нем надлежащего порядка... Спросили меня, кого же надо назначить... Я указал на моих способных учеников: на полковника В. Михайлова как начальника и на К. Андрющенко как на его помощника». После восстановления Охтенского завода в 1915</w:t>
      </w:r>
      <w:r w:rsidR="00DB4D64" w:rsidRPr="00405303">
        <w:rPr>
          <w:bCs/>
          <w:color w:val="002060"/>
          <w:sz w:val="16"/>
          <w:szCs w:val="16"/>
        </w:rPr>
        <w:t xml:space="preserve"> </w:t>
      </w:r>
      <w:r w:rsidRPr="00405303">
        <w:rPr>
          <w:bCs/>
          <w:color w:val="002060"/>
          <w:sz w:val="16"/>
          <w:szCs w:val="16"/>
        </w:rPr>
        <w:t>г. генерал Михайлов был поставлен начальником 2-го отдела технических артиллерийских заведений ГАУ ведавшего военно-химическими заводами, включая производство пороха и взрывчатых веществ. В 1918</w:t>
      </w:r>
      <w:r w:rsidR="00DB4D64" w:rsidRPr="00405303">
        <w:rPr>
          <w:bCs/>
          <w:color w:val="002060"/>
          <w:sz w:val="16"/>
          <w:szCs w:val="16"/>
        </w:rPr>
        <w:t xml:space="preserve"> </w:t>
      </w:r>
      <w:r w:rsidRPr="00405303">
        <w:rPr>
          <w:bCs/>
          <w:color w:val="002060"/>
          <w:sz w:val="16"/>
          <w:szCs w:val="16"/>
        </w:rPr>
        <w:t xml:space="preserve">г. служащие ГАУ избрали его начальником управления. Началась служба инженера-артиллериста советской власти на высших должностях по управлению военной промышленностью. Последняя должность, которую занимал В.С. Михайлов, — помощник начальника Главного управления военной промышленности Высшего совета народного хозяйства (11329). </w:t>
      </w:r>
    </w:p>
    <w:p w14:paraId="23B603EC" w14:textId="77777777" w:rsidR="004B4E35" w:rsidRPr="00405303" w:rsidRDefault="004B4E35" w:rsidP="00C15251">
      <w:pPr>
        <w:jc w:val="both"/>
        <w:rPr>
          <w:bCs/>
          <w:i/>
          <w:color w:val="002060"/>
          <w:sz w:val="16"/>
          <w:szCs w:val="16"/>
        </w:rPr>
      </w:pPr>
    </w:p>
    <w:p w14:paraId="265CC5B8" w14:textId="3775CDE6" w:rsidR="004B4E35" w:rsidRPr="00405303" w:rsidRDefault="00EE1C4B"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апреле 1915 г.</w:t>
      </w:r>
      <w:r w:rsidRPr="00405303">
        <w:rPr>
          <w:bCs/>
          <w:color w:val="002060"/>
          <w:sz w:val="16"/>
          <w:szCs w:val="16"/>
        </w:rPr>
        <w:t xml:space="preserve">, еще до заключения с фирмой Вестингауз контрактов ей были переданы </w:t>
      </w:r>
      <w:r w:rsidR="009E6F82" w:rsidRPr="00405303">
        <w:rPr>
          <w:bCs/>
          <w:color w:val="002060"/>
          <w:sz w:val="16"/>
          <w:szCs w:val="16"/>
        </w:rPr>
        <w:t xml:space="preserve">образцы винтовки, а также спецификация и чертежи как винтовки, так и лекал, а осенью того же года был передан также весь набор лекал в натуре. </w:t>
      </w:r>
    </w:p>
    <w:p w14:paraId="5019E7B1" w14:textId="77777777" w:rsidR="004B4E35" w:rsidRPr="00405303" w:rsidRDefault="009E6F82" w:rsidP="00C15251">
      <w:pPr>
        <w:jc w:val="both"/>
        <w:rPr>
          <w:bCs/>
          <w:color w:val="002060"/>
          <w:sz w:val="16"/>
          <w:szCs w:val="16"/>
        </w:rPr>
      </w:pPr>
      <w:r w:rsidRPr="00405303">
        <w:rPr>
          <w:bCs/>
          <w:color w:val="002060"/>
          <w:sz w:val="16"/>
          <w:szCs w:val="16"/>
        </w:rPr>
        <w:t xml:space="preserve">Тотчас по подписании контракта с Вестингаузом вышло недоразумение относительно определения момента, с коего должны течь сроки сдачи винтовок. Причиной была неясная формулировка этого вопроса в тексте контракта, который составлялся фирмой Морган по поручению из Лондона, без участия Русского заготовительного комитета. Пришлось уступить настояниям Вестингауза, и, таким образом, все намеченные частные сроки сдачи винтовок и окончание поставки сразу оттянулись на 4 месяца. </w:t>
      </w:r>
    </w:p>
    <w:p w14:paraId="0CDA4A35" w14:textId="77777777" w:rsidR="004B4E35" w:rsidRPr="00405303" w:rsidRDefault="009E6F82" w:rsidP="00C15251">
      <w:pPr>
        <w:jc w:val="both"/>
        <w:rPr>
          <w:bCs/>
          <w:color w:val="002060"/>
          <w:sz w:val="16"/>
          <w:szCs w:val="16"/>
        </w:rPr>
      </w:pPr>
      <w:r w:rsidRPr="00405303">
        <w:rPr>
          <w:bCs/>
          <w:color w:val="002060"/>
          <w:sz w:val="16"/>
          <w:szCs w:val="16"/>
        </w:rPr>
        <w:t xml:space="preserve">Надо отметить, что в присланных Вестингаузу из России лекалах оказалось расхождение с чертежами. Затем, в самых чертежах оказались некоторые неточности и неувязки. Наконец, сами лекала были не новые и в них был известный износ. Ко всему надо еще прибавить, что при обмере точных размеров американскими мерительными машинами получалась постоянная разница на 0,0006 дм по сравнению с русскими обмерами. </w:t>
      </w:r>
    </w:p>
    <w:p w14:paraId="2D5D8768" w14:textId="77777777" w:rsidR="004B4E35" w:rsidRPr="00405303" w:rsidRDefault="009E6F82" w:rsidP="00C15251">
      <w:pPr>
        <w:jc w:val="both"/>
        <w:rPr>
          <w:bCs/>
          <w:color w:val="002060"/>
          <w:sz w:val="16"/>
          <w:szCs w:val="16"/>
        </w:rPr>
      </w:pPr>
      <w:r w:rsidRPr="00405303">
        <w:rPr>
          <w:bCs/>
          <w:color w:val="002060"/>
          <w:sz w:val="16"/>
          <w:szCs w:val="16"/>
        </w:rPr>
        <w:t xml:space="preserve">Что касается присланных образцовых винтовок, то и в них не все было благополучно: тоже оказалось расхождение некоторых размеров самих винтовок с лекалами и чертежами. Кроме того, сами винтовки имели некоторые дефекты. </w:t>
      </w:r>
    </w:p>
    <w:p w14:paraId="78206470" w14:textId="77777777" w:rsidR="004B4E35" w:rsidRPr="00405303" w:rsidRDefault="009E6F82" w:rsidP="00C15251">
      <w:pPr>
        <w:jc w:val="both"/>
        <w:rPr>
          <w:bCs/>
          <w:color w:val="002060"/>
          <w:sz w:val="16"/>
          <w:szCs w:val="16"/>
        </w:rPr>
      </w:pPr>
      <w:r w:rsidRPr="00405303">
        <w:rPr>
          <w:bCs/>
          <w:color w:val="002060"/>
          <w:sz w:val="16"/>
          <w:szCs w:val="16"/>
        </w:rPr>
        <w:t xml:space="preserve">Все эти весьма досадные обстоятельства, лежавшие целиком на вине заказчика, конечно, были наилучшим образом учтены Вестингаузом и в дальнейшем служили ему отличной базой для оттяжки сроков поставки, претензий к заказчику об убытках и всякого рода препирательств с инспекцией приемок. По существу же дела, указанные погрешности в образцах и чертежах, конечно, не могли иметь заметного влияния на ход работы Вестингауза, и он не обратил бы на них внимания, если бы был в состоянии технически и организационно сразу хорошо справиться с делом. </w:t>
      </w:r>
    </w:p>
    <w:p w14:paraId="0DBA1DB8" w14:textId="77777777" w:rsidR="004B4E35" w:rsidRPr="00405303" w:rsidRDefault="009E6F82" w:rsidP="00C15251">
      <w:pPr>
        <w:jc w:val="both"/>
        <w:rPr>
          <w:bCs/>
          <w:color w:val="002060"/>
          <w:sz w:val="16"/>
          <w:szCs w:val="16"/>
        </w:rPr>
      </w:pPr>
      <w:r w:rsidRPr="00405303">
        <w:rPr>
          <w:bCs/>
          <w:color w:val="002060"/>
          <w:sz w:val="16"/>
          <w:szCs w:val="16"/>
        </w:rPr>
        <w:t xml:space="preserve">Более серьезной помехой делу надо считать отсутствие в русской инспекции достаточного числа опытных приемщиков и браковщиков, которые должны были бы в самом начале дела консультировать и инструктировать заводы контрагентов. Но такой помощи заводы, к сожалению, не получили. </w:t>
      </w:r>
    </w:p>
    <w:p w14:paraId="3812C73A" w14:textId="77777777" w:rsidR="004B4E35" w:rsidRPr="00405303" w:rsidRDefault="009E6F82" w:rsidP="00C15251">
      <w:pPr>
        <w:jc w:val="both"/>
        <w:rPr>
          <w:bCs/>
          <w:color w:val="002060"/>
          <w:sz w:val="16"/>
          <w:szCs w:val="16"/>
        </w:rPr>
      </w:pPr>
      <w:r w:rsidRPr="00405303">
        <w:rPr>
          <w:bCs/>
          <w:color w:val="002060"/>
          <w:sz w:val="16"/>
          <w:szCs w:val="16"/>
        </w:rPr>
        <w:t xml:space="preserve">Первое и весьма крупное затруднение в работе Вестингауза вышло с точными лекалами, необходимыми для массовой фабрикации винтовок. Компания Вестингауза должна была, по контракту, в кратчайший срок предоставить в распоряжение русской приемки образцовые серии лекал. Как указано, первый контракт был заключен в мае 1915 года. Между тем даже в январе 1916 г. эти лекала еще не были Вестингаузом заказаны. Он ссылался на отсутствие на американском рынке подходящей стали (это в Америке-то!), затем — на отсутствие лекальщиков и, наконец, на указанные выше неточности в русских образцах лекал. После долгих настояний Вестингауз пообещал эти лекала представить в апреле 1916 г., но и этот срок не был выдержан, и лишь в мае, то есть через год после заключения контракта, было доставлено весьма ограниченное количество лекал, причем неполными комплектами. </w:t>
      </w:r>
    </w:p>
    <w:p w14:paraId="4371DC6E" w14:textId="77777777" w:rsidR="004B4E35" w:rsidRPr="00405303" w:rsidRDefault="009E6F82" w:rsidP="00C15251">
      <w:pPr>
        <w:jc w:val="both"/>
        <w:rPr>
          <w:bCs/>
          <w:color w:val="002060"/>
          <w:sz w:val="16"/>
          <w:szCs w:val="16"/>
        </w:rPr>
      </w:pPr>
      <w:r w:rsidRPr="00405303">
        <w:rPr>
          <w:bCs/>
          <w:color w:val="002060"/>
          <w:sz w:val="16"/>
          <w:szCs w:val="16"/>
        </w:rPr>
        <w:t xml:space="preserve">Нужно сказать, что вопрос с лекалами так до конца заказа и не получил надлежащего разрешения. Уже 16 ноября 1916 г. председатель Заготовительного комитета доносил в Артиллерийское управление: "Завод Вестингауза до сих пор не установил у себя надлежащим образом производство винтовок и предъявляет к приемке такие винтовки, которые не удовлетворяют нашим техническим условиям, и главным образом — взаимозаменяемости частей, причем выход винтовок далеко не соответствует контрактным условиям. Происходит это вследствие того, что завод, не заботившийся до настоящего времени о приобретении лекал в надлежащем количестве, на основании спорного пункта контракта упорно отрицает право нашей инспекции проверять лекалами отдельные части винтовок до сборки их и утверждает, что для поверки должны представляться винтовки в собранном виде". </w:t>
      </w:r>
    </w:p>
    <w:p w14:paraId="02223212" w14:textId="77777777" w:rsidR="004B4E35" w:rsidRPr="00405303" w:rsidRDefault="009E6F82" w:rsidP="00C15251">
      <w:pPr>
        <w:jc w:val="both"/>
        <w:rPr>
          <w:bCs/>
          <w:color w:val="002060"/>
          <w:sz w:val="16"/>
          <w:szCs w:val="16"/>
        </w:rPr>
      </w:pPr>
      <w:r w:rsidRPr="00405303">
        <w:rPr>
          <w:bCs/>
          <w:color w:val="002060"/>
          <w:sz w:val="16"/>
          <w:szCs w:val="16"/>
        </w:rPr>
        <w:t xml:space="preserve">Далее, еще через год, в августе 1917 г., старший приемщик доносит в Петроград, что к этому времени его настойчивые требования об установке полной лекальной поверки винтовок все-таки не выполнены и производится поверка лишь главных частей винтовки. </w:t>
      </w:r>
    </w:p>
    <w:p w14:paraId="74E7824D" w14:textId="77777777" w:rsidR="004B4E35" w:rsidRPr="00405303" w:rsidRDefault="009E6F82" w:rsidP="00C15251">
      <w:pPr>
        <w:jc w:val="both"/>
        <w:rPr>
          <w:bCs/>
          <w:color w:val="002060"/>
          <w:sz w:val="16"/>
          <w:szCs w:val="16"/>
        </w:rPr>
      </w:pPr>
      <w:r w:rsidRPr="00405303">
        <w:rPr>
          <w:bCs/>
          <w:color w:val="002060"/>
          <w:sz w:val="16"/>
          <w:szCs w:val="16"/>
        </w:rPr>
        <w:t xml:space="preserve">Вестингауз до конца не мог понять, что полная лекальность изготовления деталей винтовки является основой массового точного производства, благодаря этому не проявлял особых забот об обеспечении заводов лекалами, и это было одной из главных причин того, что заводы не могли, как будет видно ниже, правильно поставить массовое производство и быстро развернуть его. </w:t>
      </w:r>
    </w:p>
    <w:p w14:paraId="707EB2CB"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Что касается производства винтовок, то оно налаживалось весьма медленно как в техническом отношении, так и в организационном. Выпуск винтовок шел с большим опозданием против сроков, предусмотренных контрактом. Вся работа протекала на фоне непрерывных пререканий администрации завода с русской инспекцией. </w:t>
      </w:r>
    </w:p>
    <w:p w14:paraId="479DF907" w14:textId="77777777" w:rsidR="004B4E35" w:rsidRPr="00405303" w:rsidRDefault="009E6F82" w:rsidP="00C15251">
      <w:pPr>
        <w:jc w:val="both"/>
        <w:rPr>
          <w:bCs/>
          <w:color w:val="002060"/>
          <w:sz w:val="16"/>
          <w:szCs w:val="16"/>
        </w:rPr>
      </w:pPr>
      <w:r w:rsidRPr="00405303">
        <w:rPr>
          <w:bCs/>
          <w:color w:val="002060"/>
          <w:sz w:val="16"/>
          <w:szCs w:val="16"/>
        </w:rPr>
        <w:t xml:space="preserve">В июне 1916 г. Вестингауз обратился к Моргану с категорическим требованием изменить контрактные сроки. Затем уведомил, что он предъявляет иск к заказчику о возмещении убытков, понесенных фирмой. Отсрочка мотивировалась забастовкой, имевшей место на заводе. Что касается убытков, то главной причиной их, по заявлению фирмы, являются действия русской инспекции, которая задерживала разрешение различного рода технических вопросов, в особенности в отношении чертежей лекал, затем давала фирме разноречивые указания и распоряжения и, наконец, благодаря незнанию английского языка осложняла деловые сношения с фирмой. </w:t>
      </w:r>
    </w:p>
    <w:p w14:paraId="12674EF2" w14:textId="77777777" w:rsidR="004B4E35" w:rsidRPr="00405303" w:rsidRDefault="009E6F82" w:rsidP="00C15251">
      <w:pPr>
        <w:jc w:val="both"/>
        <w:rPr>
          <w:bCs/>
          <w:color w:val="002060"/>
          <w:sz w:val="16"/>
          <w:szCs w:val="16"/>
        </w:rPr>
      </w:pPr>
      <w:r w:rsidRPr="00405303">
        <w:rPr>
          <w:bCs/>
          <w:color w:val="002060"/>
          <w:sz w:val="16"/>
          <w:szCs w:val="16"/>
        </w:rPr>
        <w:t xml:space="preserve">В отношении несогласованности действий русской инспекции фирма была права. Инспекция не имела твердых директив от Заготовительного комитета, так как в самом Комитете существовали два резко противоположных взгляда на дело выполнения заказа. Большинство представителей Комитета придерживалось письменного указания начальника ГАУ — стремиться в возможно краткий срок получить возможно большее количество винтовок, поступаясь их качеством и ограничиваясь главным образом требованием их боеспособности. Другая же, меньшая часть Комитета, во главе с председателем инженером Залюбовским, настаивала на том, что необходимо настойчиво требовать от фирмы полной кондиционности изготовляемых ружей. При таких условиях была неизбежная двойственность директив Заготовительного комитета и путаница в действиях приемщиков, что остро ощущалось заводами и приносило вред делу. </w:t>
      </w:r>
    </w:p>
    <w:p w14:paraId="204C65BE" w14:textId="77777777" w:rsidR="004B4E35" w:rsidRPr="00405303" w:rsidRDefault="009E6F82" w:rsidP="00C15251">
      <w:pPr>
        <w:jc w:val="both"/>
        <w:rPr>
          <w:bCs/>
          <w:color w:val="002060"/>
          <w:sz w:val="16"/>
          <w:szCs w:val="16"/>
        </w:rPr>
      </w:pPr>
      <w:r w:rsidRPr="00405303">
        <w:rPr>
          <w:bCs/>
          <w:color w:val="002060"/>
          <w:sz w:val="16"/>
          <w:szCs w:val="16"/>
        </w:rPr>
        <w:t xml:space="preserve">Что касается фирмы, то она, само собой разумеется, присоединялась к взгляду большинства и резко протестовала против всяких на нее нажимов. В письме от 13 сентября 1916 г. директор фирмы указывает, что приложенная к контракту инструкция о приеме винтовок "составлена применительно к условиям производства и приемки на русских казенных заводах и совершенно неприемлема в условиях частнозаводской практики". </w:t>
      </w:r>
    </w:p>
    <w:p w14:paraId="2DE7FCF8" w14:textId="77777777" w:rsidR="004B4E35" w:rsidRPr="00405303" w:rsidRDefault="009E6F82" w:rsidP="00C15251">
      <w:pPr>
        <w:jc w:val="both"/>
        <w:rPr>
          <w:bCs/>
          <w:color w:val="002060"/>
          <w:sz w:val="16"/>
          <w:szCs w:val="16"/>
        </w:rPr>
      </w:pPr>
      <w:r w:rsidRPr="00405303">
        <w:rPr>
          <w:bCs/>
          <w:color w:val="002060"/>
          <w:sz w:val="16"/>
          <w:szCs w:val="16"/>
        </w:rPr>
        <w:t xml:space="preserve">Осуществление всяких жестких мер по отношению к фирме было крайне трудно, так как в этот момент хозяином положения являлась, конечно, фирма, а не Заготовительный комитет. В Америке хорошо было известно об острой потребности в ружьях, которую испытывала к этому времени Россия. И когда фирме предъявляли жесткие требования ввести то или иное мероприятие, направленное к улучшению качества ружей, фирма неизменно давала один и тот же ответ, смысл которого был следующий: "Ружья нужны вам, а не нам, и если вы не захотите принять те ружья, которые изготовляются в настоящий момент, то лучших вам придется ждать по крайней мере полгода". </w:t>
      </w:r>
    </w:p>
    <w:p w14:paraId="37E092DB" w14:textId="77777777" w:rsidR="004B4E35" w:rsidRPr="00405303" w:rsidRDefault="009E6F82" w:rsidP="00C15251">
      <w:pPr>
        <w:jc w:val="both"/>
        <w:rPr>
          <w:bCs/>
          <w:color w:val="002060"/>
          <w:sz w:val="16"/>
          <w:szCs w:val="16"/>
        </w:rPr>
      </w:pPr>
      <w:r w:rsidRPr="00405303">
        <w:rPr>
          <w:bCs/>
          <w:color w:val="002060"/>
          <w:sz w:val="16"/>
          <w:szCs w:val="16"/>
        </w:rPr>
        <w:t xml:space="preserve">В октябре 1916 г. директор фирмы Вестингауз вновь обратился к Заготовительному комитету с заявлением, что при создавшейся обстановке он не может нести ответственность за выполнение контракта в срок и что фирме грозит банкротство. Поэтому фирма требует: 1) внести изменения в условия приемки, 2) выдать дополнительные авансы, 3) продлить сроки поставки. </w:t>
      </w:r>
    </w:p>
    <w:p w14:paraId="3D6EB074" w14:textId="77777777" w:rsidR="004B4E35" w:rsidRPr="00405303" w:rsidRDefault="009E6F82" w:rsidP="00C15251">
      <w:pPr>
        <w:jc w:val="both"/>
        <w:rPr>
          <w:bCs/>
          <w:color w:val="002060"/>
          <w:sz w:val="16"/>
          <w:szCs w:val="16"/>
        </w:rPr>
      </w:pPr>
      <w:r w:rsidRPr="00405303">
        <w:rPr>
          <w:bCs/>
          <w:color w:val="002060"/>
          <w:sz w:val="16"/>
          <w:szCs w:val="16"/>
        </w:rPr>
        <w:t xml:space="preserve">Требования эти были удовлетворены, за исключением аванса, вопрос о котором был отложен. Частные сроки были значительно сдвинуты, и конечный срок поставки с 1 апреля 1917 г. переносился на 1 января 1918 г., то есть на 9 месяцев. Если прибавить четыре месяца оттяжки, имевшей место вначале из-за неясности в редакции контракта, то опоздание составляло уже 13 месяцев. </w:t>
      </w:r>
    </w:p>
    <w:p w14:paraId="5A742443" w14:textId="77777777" w:rsidR="004B4E35" w:rsidRPr="00405303" w:rsidRDefault="009E6F82" w:rsidP="00C15251">
      <w:pPr>
        <w:jc w:val="both"/>
        <w:rPr>
          <w:bCs/>
          <w:color w:val="002060"/>
          <w:sz w:val="16"/>
          <w:szCs w:val="16"/>
        </w:rPr>
      </w:pPr>
      <w:r w:rsidRPr="00405303">
        <w:rPr>
          <w:bCs/>
          <w:color w:val="002060"/>
          <w:sz w:val="16"/>
          <w:szCs w:val="16"/>
        </w:rPr>
        <w:t xml:space="preserve">В разгар этих переговоров председатель Заготовительного комитета доносил в Петроград: "За два месяца со времени первого осмотра заводов Вестингауза почти никакого прогресса в производстве я не заметил. По-прежнему ощущается острый недостаток в лекалах, при наличии чего правильно установить производство технически невозможно; по-прежнему наиболее влиятельные чины заводоуправления проявляют явное нежелание подчиниться требованиям наших технических условий; по-прежнему в процессе производства не видно ясно продуманного плана — практически обоснованной схемы работ. Очевидно, администрация не отдает себе отчета, что именно нужно для правильной организации дела. Между тем дело остается на прежнем низком уровне, а подаваемые винтовки, хотя и принимаются нашими приемщиками, но лишь ввиду крайней надобности для нашей армии. В общем же винтовки эти по своему качеству не могут быть признаны удовлетворительными". </w:t>
      </w:r>
    </w:p>
    <w:p w14:paraId="349FFB2D" w14:textId="77777777" w:rsidR="004B4E35" w:rsidRPr="00405303" w:rsidRDefault="009E6F82" w:rsidP="00C15251">
      <w:pPr>
        <w:jc w:val="both"/>
        <w:rPr>
          <w:bCs/>
          <w:color w:val="002060"/>
          <w:sz w:val="16"/>
          <w:szCs w:val="16"/>
        </w:rPr>
      </w:pPr>
      <w:r w:rsidRPr="00405303">
        <w:rPr>
          <w:bCs/>
          <w:color w:val="002060"/>
          <w:sz w:val="16"/>
          <w:szCs w:val="16"/>
        </w:rPr>
        <w:t xml:space="preserve">Далее в письме председатель заявляет, что он поднял вопрос об устранении директора компании. Затем, говоря о русской инспекции, отмечает, что при всей добросовестности в работе, она не может оказать большой помощи в сложном деле постановки нового производства, так как в инспекции почти нет инженеров — специалистов оружейного дела, и просит прислать опытных инженеров-оружейников. </w:t>
      </w:r>
    </w:p>
    <w:p w14:paraId="7873C935" w14:textId="77777777" w:rsidR="004B4E35" w:rsidRPr="00405303" w:rsidRDefault="009E6F82" w:rsidP="00C15251">
      <w:pPr>
        <w:jc w:val="both"/>
        <w:rPr>
          <w:bCs/>
          <w:color w:val="002060"/>
          <w:sz w:val="16"/>
          <w:szCs w:val="16"/>
        </w:rPr>
      </w:pPr>
      <w:r w:rsidRPr="00405303">
        <w:rPr>
          <w:bCs/>
          <w:color w:val="002060"/>
          <w:sz w:val="16"/>
          <w:szCs w:val="16"/>
        </w:rPr>
        <w:t xml:space="preserve">После длинных переговоров между Петроградом и Лондоном Вестингаузу в авансе было отказано. В ответ на это фирма сделала краткое заявление, что она отказывается от дальнейшего выполнения заказа. Таким образом создался конфликт, для разрешения которого британское правительство командировало специальное лицо с тем, чтобы достигнуть соглашения сторон, на основе которого можно было бы довести ружейный заказ до благополучного конца. После двухмесячной работы, в середине марта 1917 г., переговоры с Вестингаузом временно приостановились ввиду решений, принятых на происходившей в то время союзной конференции в Петрограде, — ограничить американский ружейный заказ. Через месяц из Лондона было получено извещение, что ружейный заказ сокращаться не будет. </w:t>
      </w:r>
    </w:p>
    <w:p w14:paraId="0CFAEA9F" w14:textId="77777777" w:rsidR="004B4E35" w:rsidRPr="00405303" w:rsidRDefault="009E6F82" w:rsidP="00C15251">
      <w:pPr>
        <w:jc w:val="both"/>
        <w:rPr>
          <w:bCs/>
          <w:color w:val="002060"/>
          <w:sz w:val="16"/>
          <w:szCs w:val="16"/>
        </w:rPr>
      </w:pPr>
      <w:r w:rsidRPr="00405303">
        <w:rPr>
          <w:bCs/>
          <w:color w:val="002060"/>
          <w:sz w:val="16"/>
          <w:szCs w:val="16"/>
        </w:rPr>
        <w:t xml:space="preserve">После длительных переговоров, которые все затягивались благодаря разногласию Заготовительного комитета с представителем Великобритании, а также разногласию в самом Комитете, наконец, состоялось соглашение с Вестингаузом. Оно вылилось в форму нового контракта, который заменил существовавший первоначальный. </w:t>
      </w:r>
    </w:p>
    <w:p w14:paraId="11078CB0" w14:textId="77777777" w:rsidR="004B4E35" w:rsidRPr="00405303" w:rsidRDefault="009E6F82" w:rsidP="00C15251">
      <w:pPr>
        <w:jc w:val="both"/>
        <w:rPr>
          <w:bCs/>
          <w:color w:val="002060"/>
          <w:sz w:val="16"/>
          <w:szCs w:val="16"/>
        </w:rPr>
      </w:pPr>
      <w:r w:rsidRPr="00405303">
        <w:rPr>
          <w:bCs/>
          <w:color w:val="002060"/>
          <w:sz w:val="16"/>
          <w:szCs w:val="16"/>
        </w:rPr>
        <w:t>Основы нового контракта, заключенного 1 мая 1917 г., были следующие:</w:t>
      </w:r>
    </w:p>
    <w:p w14:paraId="69ACF4E1" w14:textId="77777777" w:rsidR="004B4E35" w:rsidRPr="00405303" w:rsidRDefault="009E6F82" w:rsidP="00C15251">
      <w:pPr>
        <w:jc w:val="both"/>
        <w:rPr>
          <w:bCs/>
          <w:color w:val="002060"/>
          <w:sz w:val="16"/>
          <w:szCs w:val="16"/>
        </w:rPr>
      </w:pPr>
      <w:r w:rsidRPr="00405303">
        <w:rPr>
          <w:bCs/>
          <w:color w:val="002060"/>
          <w:sz w:val="16"/>
          <w:szCs w:val="16"/>
        </w:rPr>
        <w:t xml:space="preserve">1) убытки Вестингауза ограничиваются 5 млн долларов; </w:t>
      </w:r>
    </w:p>
    <w:p w14:paraId="2B3B5DBE" w14:textId="77777777" w:rsidR="004B4E35" w:rsidRPr="00405303" w:rsidRDefault="009E6F82" w:rsidP="00C15251">
      <w:pPr>
        <w:jc w:val="both"/>
        <w:rPr>
          <w:bCs/>
          <w:color w:val="002060"/>
          <w:sz w:val="16"/>
          <w:szCs w:val="16"/>
        </w:rPr>
      </w:pPr>
      <w:r w:rsidRPr="00405303">
        <w:rPr>
          <w:bCs/>
          <w:color w:val="002060"/>
          <w:sz w:val="16"/>
          <w:szCs w:val="16"/>
        </w:rPr>
        <w:t xml:space="preserve">2) количество законтрактованного заказа — 1 800 000 винтовок — уменьшается до 1 000 000, которые должны быть сданы к 1 января 1918 г.; </w:t>
      </w:r>
    </w:p>
    <w:p w14:paraId="1F87FB1F" w14:textId="77777777" w:rsidR="004B4E35" w:rsidRPr="00405303" w:rsidRDefault="009E6F82" w:rsidP="00C15251">
      <w:pPr>
        <w:jc w:val="both"/>
        <w:rPr>
          <w:bCs/>
          <w:color w:val="002060"/>
          <w:sz w:val="16"/>
          <w:szCs w:val="16"/>
        </w:rPr>
      </w:pPr>
      <w:r w:rsidRPr="00405303">
        <w:rPr>
          <w:bCs/>
          <w:color w:val="002060"/>
          <w:sz w:val="16"/>
          <w:szCs w:val="16"/>
        </w:rPr>
        <w:t xml:space="preserve">3) цена винтовки устанавливается в 32 доллара 75 центов; </w:t>
      </w:r>
    </w:p>
    <w:p w14:paraId="3EB99779" w14:textId="77777777" w:rsidR="004B4E35" w:rsidRPr="00405303" w:rsidRDefault="009E6F82" w:rsidP="00C15251">
      <w:pPr>
        <w:jc w:val="both"/>
        <w:rPr>
          <w:bCs/>
          <w:color w:val="002060"/>
          <w:sz w:val="16"/>
          <w:szCs w:val="16"/>
        </w:rPr>
      </w:pPr>
      <w:r w:rsidRPr="00405303">
        <w:rPr>
          <w:bCs/>
          <w:color w:val="002060"/>
          <w:sz w:val="16"/>
          <w:szCs w:val="16"/>
        </w:rPr>
        <w:t xml:space="preserve">4) предусматриваются опционы 400 тыс., 200 тыс. и 200 тыс. </w:t>
      </w:r>
    </w:p>
    <w:p w14:paraId="70F4D42C" w14:textId="77777777" w:rsidR="004B4E35" w:rsidRPr="00405303" w:rsidRDefault="009E6F82" w:rsidP="00C15251">
      <w:pPr>
        <w:jc w:val="both"/>
        <w:rPr>
          <w:bCs/>
          <w:color w:val="002060"/>
          <w:sz w:val="16"/>
          <w:szCs w:val="16"/>
        </w:rPr>
      </w:pPr>
      <w:r w:rsidRPr="00405303">
        <w:rPr>
          <w:bCs/>
          <w:color w:val="002060"/>
          <w:sz w:val="16"/>
          <w:szCs w:val="16"/>
        </w:rPr>
        <w:t xml:space="preserve">Ко времени подписания дополнительного контракта производство ружей на заводах Вестингауза развилось следующим образом (тыс. шт.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16"/>
        <w:gridCol w:w="792"/>
      </w:tblGrid>
      <w:tr w:rsidR="004B4E35" w:rsidRPr="00405303" w14:paraId="797CB66E" w14:textId="77777777">
        <w:tc>
          <w:tcPr>
            <w:tcW w:w="2016" w:type="dxa"/>
          </w:tcPr>
          <w:p w14:paraId="7B7C864E" w14:textId="77777777" w:rsidR="004B4E35" w:rsidRPr="00405303" w:rsidRDefault="009E6F82" w:rsidP="00C15251">
            <w:pPr>
              <w:jc w:val="both"/>
              <w:rPr>
                <w:bCs/>
                <w:color w:val="002060"/>
                <w:sz w:val="16"/>
                <w:szCs w:val="16"/>
              </w:rPr>
            </w:pPr>
            <w:r w:rsidRPr="00405303">
              <w:rPr>
                <w:bCs/>
                <w:color w:val="002060"/>
                <w:sz w:val="16"/>
                <w:szCs w:val="16"/>
              </w:rPr>
              <w:t>с января 1917 г.</w:t>
            </w:r>
          </w:p>
        </w:tc>
        <w:tc>
          <w:tcPr>
            <w:tcW w:w="792" w:type="dxa"/>
          </w:tcPr>
          <w:p w14:paraId="733954F2" w14:textId="77777777" w:rsidR="004B4E35" w:rsidRPr="00405303" w:rsidRDefault="009E6F82" w:rsidP="00C15251">
            <w:pPr>
              <w:jc w:val="both"/>
              <w:rPr>
                <w:bCs/>
                <w:color w:val="002060"/>
                <w:sz w:val="16"/>
                <w:szCs w:val="16"/>
              </w:rPr>
            </w:pPr>
            <w:r w:rsidRPr="00405303">
              <w:rPr>
                <w:bCs/>
                <w:color w:val="002060"/>
                <w:sz w:val="16"/>
                <w:szCs w:val="16"/>
              </w:rPr>
              <w:t xml:space="preserve">по 40 </w:t>
            </w:r>
          </w:p>
        </w:tc>
      </w:tr>
      <w:tr w:rsidR="004B4E35" w:rsidRPr="00405303" w14:paraId="6E9DEE18" w14:textId="77777777">
        <w:tc>
          <w:tcPr>
            <w:tcW w:w="2016" w:type="dxa"/>
          </w:tcPr>
          <w:p w14:paraId="406F972B" w14:textId="77777777" w:rsidR="004B4E35" w:rsidRPr="00405303" w:rsidRDefault="009E6F82" w:rsidP="00C15251">
            <w:pPr>
              <w:jc w:val="both"/>
              <w:rPr>
                <w:bCs/>
                <w:color w:val="002060"/>
                <w:sz w:val="16"/>
                <w:szCs w:val="16"/>
              </w:rPr>
            </w:pPr>
            <w:r w:rsidRPr="00405303">
              <w:rPr>
                <w:bCs/>
                <w:color w:val="002060"/>
                <w:sz w:val="16"/>
                <w:szCs w:val="16"/>
              </w:rPr>
              <w:t>с мая 1917 г.</w:t>
            </w:r>
          </w:p>
        </w:tc>
        <w:tc>
          <w:tcPr>
            <w:tcW w:w="792" w:type="dxa"/>
          </w:tcPr>
          <w:p w14:paraId="1407142E" w14:textId="77777777" w:rsidR="004B4E35" w:rsidRPr="00405303" w:rsidRDefault="009E6F82" w:rsidP="00C15251">
            <w:pPr>
              <w:jc w:val="both"/>
              <w:rPr>
                <w:bCs/>
                <w:color w:val="002060"/>
                <w:sz w:val="16"/>
                <w:szCs w:val="16"/>
              </w:rPr>
            </w:pPr>
            <w:r w:rsidRPr="00405303">
              <w:rPr>
                <w:bCs/>
                <w:color w:val="002060"/>
                <w:sz w:val="16"/>
                <w:szCs w:val="16"/>
              </w:rPr>
              <w:t xml:space="preserve">75 </w:t>
            </w:r>
          </w:p>
        </w:tc>
      </w:tr>
      <w:tr w:rsidR="004B4E35" w:rsidRPr="00405303" w14:paraId="2319C8DF" w14:textId="77777777">
        <w:tc>
          <w:tcPr>
            <w:tcW w:w="2016" w:type="dxa"/>
          </w:tcPr>
          <w:p w14:paraId="3BC3F033" w14:textId="77777777" w:rsidR="004B4E35" w:rsidRPr="00405303" w:rsidRDefault="009E6F82" w:rsidP="00C15251">
            <w:pPr>
              <w:jc w:val="both"/>
              <w:rPr>
                <w:bCs/>
                <w:color w:val="002060"/>
                <w:sz w:val="16"/>
                <w:szCs w:val="16"/>
              </w:rPr>
            </w:pPr>
            <w:r w:rsidRPr="00405303">
              <w:rPr>
                <w:bCs/>
                <w:color w:val="002060"/>
                <w:sz w:val="16"/>
                <w:szCs w:val="16"/>
              </w:rPr>
              <w:t>с июля 1917 г.</w:t>
            </w:r>
          </w:p>
        </w:tc>
        <w:tc>
          <w:tcPr>
            <w:tcW w:w="792" w:type="dxa"/>
          </w:tcPr>
          <w:p w14:paraId="66E2BA81" w14:textId="77777777" w:rsidR="004B4E35" w:rsidRPr="00405303" w:rsidRDefault="009E6F82" w:rsidP="00C15251">
            <w:pPr>
              <w:jc w:val="both"/>
              <w:rPr>
                <w:bCs/>
                <w:color w:val="002060"/>
                <w:sz w:val="16"/>
                <w:szCs w:val="16"/>
              </w:rPr>
            </w:pPr>
            <w:r w:rsidRPr="00405303">
              <w:rPr>
                <w:bCs/>
                <w:color w:val="002060"/>
                <w:sz w:val="16"/>
                <w:szCs w:val="16"/>
              </w:rPr>
              <w:t xml:space="preserve">100 </w:t>
            </w:r>
          </w:p>
        </w:tc>
      </w:tr>
      <w:tr w:rsidR="004B4E35" w:rsidRPr="00405303" w14:paraId="5014C537" w14:textId="77777777">
        <w:tc>
          <w:tcPr>
            <w:tcW w:w="2016" w:type="dxa"/>
          </w:tcPr>
          <w:p w14:paraId="2F3BDCF8" w14:textId="77777777" w:rsidR="004B4E35" w:rsidRPr="00405303" w:rsidRDefault="009E6F82" w:rsidP="00C15251">
            <w:pPr>
              <w:jc w:val="both"/>
              <w:rPr>
                <w:bCs/>
                <w:color w:val="002060"/>
                <w:sz w:val="16"/>
                <w:szCs w:val="16"/>
              </w:rPr>
            </w:pPr>
            <w:r w:rsidRPr="00405303">
              <w:rPr>
                <w:bCs/>
                <w:color w:val="002060"/>
                <w:sz w:val="16"/>
                <w:szCs w:val="16"/>
              </w:rPr>
              <w:t>с октября 1917 г.</w:t>
            </w:r>
          </w:p>
        </w:tc>
        <w:tc>
          <w:tcPr>
            <w:tcW w:w="792" w:type="dxa"/>
          </w:tcPr>
          <w:p w14:paraId="2698D449" w14:textId="77777777" w:rsidR="004B4E35" w:rsidRPr="00405303" w:rsidRDefault="009E6F82" w:rsidP="00C15251">
            <w:pPr>
              <w:jc w:val="both"/>
              <w:rPr>
                <w:bCs/>
                <w:color w:val="002060"/>
                <w:sz w:val="16"/>
                <w:szCs w:val="16"/>
              </w:rPr>
            </w:pPr>
            <w:r w:rsidRPr="00405303">
              <w:rPr>
                <w:bCs/>
                <w:color w:val="002060"/>
                <w:sz w:val="16"/>
                <w:szCs w:val="16"/>
              </w:rPr>
              <w:t xml:space="preserve">120. </w:t>
            </w:r>
          </w:p>
        </w:tc>
      </w:tr>
    </w:tbl>
    <w:p w14:paraId="47DEC0DF" w14:textId="77777777" w:rsidR="004B4E35" w:rsidRPr="00405303" w:rsidRDefault="009E6F82" w:rsidP="00C15251">
      <w:pPr>
        <w:jc w:val="both"/>
        <w:rPr>
          <w:bCs/>
          <w:color w:val="002060"/>
          <w:sz w:val="16"/>
          <w:szCs w:val="16"/>
        </w:rPr>
      </w:pPr>
      <w:r w:rsidRPr="00405303">
        <w:rPr>
          <w:bCs/>
          <w:color w:val="002060"/>
          <w:sz w:val="16"/>
          <w:szCs w:val="16"/>
        </w:rPr>
        <w:t xml:space="preserve">Параллельно постепенно улучшалось и качество ружей. </w:t>
      </w:r>
    </w:p>
    <w:p w14:paraId="479A0872" w14:textId="77777777" w:rsidR="004B4E35" w:rsidRPr="00405303" w:rsidRDefault="009E6F82" w:rsidP="00C15251">
      <w:pPr>
        <w:jc w:val="both"/>
        <w:rPr>
          <w:bCs/>
          <w:color w:val="002060"/>
          <w:sz w:val="16"/>
          <w:szCs w:val="16"/>
        </w:rPr>
      </w:pPr>
      <w:r w:rsidRPr="00405303">
        <w:rPr>
          <w:bCs/>
          <w:color w:val="002060"/>
          <w:sz w:val="16"/>
          <w:szCs w:val="16"/>
        </w:rPr>
        <w:t xml:space="preserve">19 декабря 1917 г. в связи с общей ликвидацией деятельности Заготовительного комитета Вестингауз был осведомлен о канцеляции заказа как по основному контракту, так и опционов, которые предполагалось использовать. Вследствие этого приступлено было к ликвидации контракта. </w:t>
      </w:r>
    </w:p>
    <w:p w14:paraId="7B42EAA8" w14:textId="77777777" w:rsidR="004B4E35" w:rsidRPr="00405303" w:rsidRDefault="009E6F82" w:rsidP="00C15251">
      <w:pPr>
        <w:jc w:val="both"/>
        <w:rPr>
          <w:bCs/>
          <w:color w:val="002060"/>
          <w:sz w:val="16"/>
          <w:szCs w:val="16"/>
        </w:rPr>
      </w:pPr>
      <w:r w:rsidRPr="00405303">
        <w:rPr>
          <w:bCs/>
          <w:color w:val="002060"/>
          <w:sz w:val="16"/>
          <w:szCs w:val="16"/>
        </w:rPr>
        <w:t xml:space="preserve">Американское правительство выразило желание приобрести у Вестингауза 200 тыс. трехлинейных винтовок, которые он должен продолжать готовить после окончания русского заказа, с тем что оборудование завода не пойдет в ликвидацию и будет подготовлено к помещению заказа американского правительства на 15 тыс. пулеметных браунингов. </w:t>
      </w:r>
    </w:p>
    <w:p w14:paraId="513128CA" w14:textId="77777777" w:rsidR="004B4E35" w:rsidRPr="00405303" w:rsidRDefault="009E6F82" w:rsidP="00C15251">
      <w:pPr>
        <w:jc w:val="both"/>
        <w:rPr>
          <w:bCs/>
          <w:color w:val="002060"/>
          <w:sz w:val="16"/>
          <w:szCs w:val="16"/>
        </w:rPr>
      </w:pPr>
      <w:r w:rsidRPr="00405303">
        <w:rPr>
          <w:bCs/>
          <w:color w:val="002060"/>
          <w:sz w:val="16"/>
          <w:szCs w:val="16"/>
        </w:rPr>
        <w:t xml:space="preserve">В итоге всех указанных выше перипетий по 1 января 1918 г. было принято 1 073 560 ружей. Из этого количества в Россию было отправлено 769 520 ружей, а остальные 304 040 русских ружей были отправлены по распоряжению британского правительства в Англию. Всего за весь заказ было уплачено 40 907 873 доллара. </w:t>
      </w:r>
    </w:p>
    <w:p w14:paraId="65F6ADAA" w14:textId="77777777" w:rsidR="004B4E35" w:rsidRPr="00405303" w:rsidRDefault="009E6F82" w:rsidP="00C15251">
      <w:pPr>
        <w:jc w:val="both"/>
        <w:rPr>
          <w:bCs/>
          <w:color w:val="002060"/>
          <w:sz w:val="16"/>
          <w:szCs w:val="16"/>
        </w:rPr>
      </w:pPr>
      <w:r w:rsidRPr="00405303">
        <w:rPr>
          <w:bCs/>
          <w:color w:val="002060"/>
          <w:sz w:val="16"/>
          <w:szCs w:val="16"/>
        </w:rPr>
        <w:t xml:space="preserve">В итоге всех этих длинных и сложных перипетий первоначальный заказ на винтовки был выполнен Вестингаузом на 60% и срок исполнения этой части заказа был оттянут на 20 месяцев против контрактного. </w:t>
      </w:r>
    </w:p>
    <w:p w14:paraId="43713C42" w14:textId="77777777" w:rsidR="004B4E35" w:rsidRPr="00405303" w:rsidRDefault="009E6F82" w:rsidP="00C15251">
      <w:pPr>
        <w:pStyle w:val="2"/>
        <w:spacing w:before="0" w:after="0"/>
        <w:jc w:val="both"/>
        <w:rPr>
          <w:b w:val="0"/>
          <w:bCs/>
          <w:color w:val="002060"/>
          <w:sz w:val="16"/>
          <w:szCs w:val="16"/>
        </w:rPr>
      </w:pPr>
      <w:r w:rsidRPr="00405303">
        <w:rPr>
          <w:rStyle w:val="12"/>
          <w:b w:val="0"/>
          <w:bCs/>
          <w:i w:val="0"/>
          <w:color w:val="002060"/>
          <w:sz w:val="16"/>
          <w:szCs w:val="16"/>
        </w:rPr>
        <w:t>Заказы на винтовки компании Ремингтон</w:t>
      </w:r>
    </w:p>
    <w:p w14:paraId="6A218039" w14:textId="77777777" w:rsidR="004B4E35" w:rsidRPr="00405303" w:rsidRDefault="009E6F82" w:rsidP="00C15251">
      <w:pPr>
        <w:jc w:val="both"/>
        <w:rPr>
          <w:bCs/>
          <w:color w:val="002060"/>
          <w:sz w:val="16"/>
          <w:szCs w:val="16"/>
        </w:rPr>
      </w:pPr>
      <w:r w:rsidRPr="00405303">
        <w:rPr>
          <w:bCs/>
          <w:color w:val="002060"/>
          <w:sz w:val="16"/>
          <w:szCs w:val="16"/>
        </w:rPr>
        <w:t>Компании Ремингтон были даны следующие заказы на трехлинейные винтовки для России (тыс. шт.):</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848"/>
        <w:gridCol w:w="1476"/>
      </w:tblGrid>
      <w:tr w:rsidR="004B4E35" w:rsidRPr="00405303" w14:paraId="599B1ABA" w14:textId="77777777">
        <w:tc>
          <w:tcPr>
            <w:tcW w:w="4848" w:type="dxa"/>
          </w:tcPr>
          <w:p w14:paraId="2240F927" w14:textId="77777777" w:rsidR="004B4E35" w:rsidRPr="00405303" w:rsidRDefault="009E6F82" w:rsidP="00C15251">
            <w:pPr>
              <w:jc w:val="both"/>
              <w:rPr>
                <w:bCs/>
                <w:color w:val="002060"/>
                <w:sz w:val="16"/>
                <w:szCs w:val="16"/>
              </w:rPr>
            </w:pPr>
            <w:r w:rsidRPr="00405303">
              <w:rPr>
                <w:bCs/>
                <w:color w:val="002060"/>
                <w:sz w:val="16"/>
                <w:szCs w:val="16"/>
              </w:rPr>
              <w:t>По контракту с русским правительством 26 января 1915 г.</w:t>
            </w:r>
          </w:p>
        </w:tc>
        <w:tc>
          <w:tcPr>
            <w:tcW w:w="1476" w:type="dxa"/>
          </w:tcPr>
          <w:p w14:paraId="31A31CF8" w14:textId="77777777" w:rsidR="004B4E35" w:rsidRPr="00405303" w:rsidRDefault="009E6F82" w:rsidP="00C15251">
            <w:pPr>
              <w:jc w:val="both"/>
              <w:rPr>
                <w:bCs/>
                <w:color w:val="002060"/>
                <w:sz w:val="16"/>
                <w:szCs w:val="16"/>
              </w:rPr>
            </w:pPr>
            <w:r w:rsidRPr="00405303">
              <w:rPr>
                <w:bCs/>
                <w:color w:val="002060"/>
                <w:sz w:val="16"/>
                <w:szCs w:val="16"/>
              </w:rPr>
              <w:t xml:space="preserve">на 1000 </w:t>
            </w:r>
          </w:p>
        </w:tc>
      </w:tr>
      <w:tr w:rsidR="004B4E35" w:rsidRPr="00405303" w14:paraId="644839E2" w14:textId="77777777">
        <w:tc>
          <w:tcPr>
            <w:tcW w:w="4848" w:type="dxa"/>
          </w:tcPr>
          <w:p w14:paraId="2E5D3A19" w14:textId="77777777" w:rsidR="004B4E35" w:rsidRPr="00405303" w:rsidRDefault="009E6F82" w:rsidP="00C15251">
            <w:pPr>
              <w:jc w:val="both"/>
              <w:rPr>
                <w:bCs/>
                <w:color w:val="002060"/>
                <w:sz w:val="16"/>
                <w:szCs w:val="16"/>
              </w:rPr>
            </w:pPr>
            <w:r w:rsidRPr="00405303">
              <w:rPr>
                <w:bCs/>
                <w:color w:val="002060"/>
                <w:sz w:val="16"/>
                <w:szCs w:val="16"/>
              </w:rPr>
              <w:t>То же 16 июля 1915 г.</w:t>
            </w:r>
          </w:p>
        </w:tc>
        <w:tc>
          <w:tcPr>
            <w:tcW w:w="1476" w:type="dxa"/>
          </w:tcPr>
          <w:p w14:paraId="498A9378" w14:textId="77777777" w:rsidR="004B4E35" w:rsidRPr="00405303" w:rsidRDefault="009E6F82" w:rsidP="00C15251">
            <w:pPr>
              <w:jc w:val="both"/>
              <w:rPr>
                <w:bCs/>
                <w:color w:val="002060"/>
                <w:sz w:val="16"/>
                <w:szCs w:val="16"/>
              </w:rPr>
            </w:pPr>
            <w:r w:rsidRPr="00405303">
              <w:rPr>
                <w:bCs/>
                <w:color w:val="002060"/>
                <w:sz w:val="16"/>
                <w:szCs w:val="16"/>
              </w:rPr>
              <w:t xml:space="preserve">на 200 </w:t>
            </w:r>
          </w:p>
        </w:tc>
      </w:tr>
      <w:tr w:rsidR="004B4E35" w:rsidRPr="00405303" w14:paraId="4E277AE0" w14:textId="77777777">
        <w:tc>
          <w:tcPr>
            <w:tcW w:w="4848" w:type="dxa"/>
          </w:tcPr>
          <w:p w14:paraId="41E18465" w14:textId="77777777" w:rsidR="004B4E35" w:rsidRPr="00405303" w:rsidRDefault="009E6F82" w:rsidP="00C15251">
            <w:pPr>
              <w:jc w:val="both"/>
              <w:rPr>
                <w:bCs/>
                <w:color w:val="002060"/>
                <w:sz w:val="16"/>
                <w:szCs w:val="16"/>
              </w:rPr>
            </w:pPr>
            <w:r w:rsidRPr="00405303">
              <w:rPr>
                <w:bCs/>
                <w:color w:val="002060"/>
                <w:sz w:val="16"/>
                <w:szCs w:val="16"/>
              </w:rPr>
              <w:t>По контракту с британским правительством 9 сентября 1915 г.</w:t>
            </w:r>
          </w:p>
        </w:tc>
        <w:tc>
          <w:tcPr>
            <w:tcW w:w="1476" w:type="dxa"/>
          </w:tcPr>
          <w:p w14:paraId="03A0E2BF" w14:textId="77777777" w:rsidR="004B4E35" w:rsidRPr="00405303" w:rsidRDefault="009E6F82" w:rsidP="00C15251">
            <w:pPr>
              <w:jc w:val="both"/>
              <w:rPr>
                <w:bCs/>
                <w:color w:val="002060"/>
                <w:sz w:val="16"/>
                <w:szCs w:val="16"/>
              </w:rPr>
            </w:pPr>
            <w:r w:rsidRPr="00405303">
              <w:rPr>
                <w:bCs/>
                <w:color w:val="002060"/>
                <w:sz w:val="16"/>
                <w:szCs w:val="16"/>
              </w:rPr>
              <w:t xml:space="preserve">на 300 </w:t>
            </w:r>
          </w:p>
        </w:tc>
      </w:tr>
      <w:tr w:rsidR="004B4E35" w:rsidRPr="00405303" w14:paraId="28E499D6" w14:textId="77777777">
        <w:tc>
          <w:tcPr>
            <w:tcW w:w="4848" w:type="dxa"/>
          </w:tcPr>
          <w:p w14:paraId="5BA1B3C6" w14:textId="77777777" w:rsidR="004B4E35" w:rsidRPr="00405303" w:rsidRDefault="009E6F82" w:rsidP="00C15251">
            <w:pPr>
              <w:jc w:val="both"/>
              <w:rPr>
                <w:bCs/>
                <w:color w:val="002060"/>
                <w:sz w:val="16"/>
                <w:szCs w:val="16"/>
              </w:rPr>
            </w:pPr>
            <w:r w:rsidRPr="00405303">
              <w:rPr>
                <w:bCs/>
                <w:color w:val="002060"/>
                <w:sz w:val="16"/>
                <w:szCs w:val="16"/>
              </w:rPr>
              <w:lastRenderedPageBreak/>
              <w:t>Итого</w:t>
            </w:r>
          </w:p>
        </w:tc>
        <w:tc>
          <w:tcPr>
            <w:tcW w:w="1476" w:type="dxa"/>
          </w:tcPr>
          <w:p w14:paraId="657A88F2" w14:textId="77777777" w:rsidR="004B4E35" w:rsidRPr="00405303" w:rsidRDefault="009E6F82" w:rsidP="00C15251">
            <w:pPr>
              <w:jc w:val="both"/>
              <w:rPr>
                <w:bCs/>
                <w:color w:val="002060"/>
                <w:sz w:val="16"/>
                <w:szCs w:val="16"/>
              </w:rPr>
            </w:pPr>
            <w:r w:rsidRPr="00405303">
              <w:rPr>
                <w:bCs/>
                <w:color w:val="002060"/>
                <w:sz w:val="16"/>
                <w:szCs w:val="16"/>
              </w:rPr>
              <w:t xml:space="preserve">1 500 000 штук. </w:t>
            </w:r>
          </w:p>
        </w:tc>
      </w:tr>
    </w:tbl>
    <w:p w14:paraId="64EE6C20" w14:textId="77777777" w:rsidR="004B4E35" w:rsidRPr="00405303" w:rsidRDefault="009E6F82" w:rsidP="00C15251">
      <w:pPr>
        <w:jc w:val="both"/>
        <w:rPr>
          <w:bCs/>
          <w:color w:val="002060"/>
          <w:sz w:val="16"/>
          <w:szCs w:val="16"/>
        </w:rPr>
      </w:pPr>
      <w:r w:rsidRPr="00405303">
        <w:rPr>
          <w:bCs/>
          <w:color w:val="002060"/>
          <w:sz w:val="16"/>
          <w:szCs w:val="16"/>
        </w:rPr>
        <w:t xml:space="preserve">Кроме того, заказано 300 000 черновых ружейных стволов по цене 4,75 доллара за штуку. Начальный срок поставки винтовок — ноябрь 1915 г. и конечный — март 1917 года. Цена — 30 долларов за винтовку франко-завод. </w:t>
      </w:r>
    </w:p>
    <w:p w14:paraId="29B6E91C" w14:textId="77777777" w:rsidR="004B4E35" w:rsidRPr="00405303" w:rsidRDefault="009E6F82" w:rsidP="00C15251">
      <w:pPr>
        <w:jc w:val="both"/>
        <w:rPr>
          <w:bCs/>
          <w:color w:val="002060"/>
          <w:sz w:val="16"/>
          <w:szCs w:val="16"/>
        </w:rPr>
      </w:pPr>
      <w:r w:rsidRPr="00405303">
        <w:rPr>
          <w:bCs/>
          <w:color w:val="002060"/>
          <w:sz w:val="16"/>
          <w:szCs w:val="16"/>
        </w:rPr>
        <w:t xml:space="preserve">В противоположность Вестингаузу, разбросавшему выполнение заказа по нескольким десяткам заводов, Ремингтон сосредоточил выполнение заказа в одном месте. Для этого в Бриджпорте был выстроен и богато оборудован завод громадных размеров. Мощность его рассчитана была на 6000 винтовок в сутки, максимальная же сдача по плану выполнения контракта предусмотрена в 4500 штук. </w:t>
      </w:r>
    </w:p>
    <w:p w14:paraId="691996B5" w14:textId="77777777" w:rsidR="004B4E35" w:rsidRPr="00405303" w:rsidRDefault="009E6F82" w:rsidP="00C15251">
      <w:pPr>
        <w:jc w:val="both"/>
        <w:rPr>
          <w:bCs/>
          <w:color w:val="002060"/>
          <w:sz w:val="16"/>
          <w:szCs w:val="16"/>
        </w:rPr>
      </w:pPr>
      <w:r w:rsidRPr="00405303">
        <w:rPr>
          <w:bCs/>
          <w:color w:val="002060"/>
          <w:sz w:val="16"/>
          <w:szCs w:val="16"/>
        </w:rPr>
        <w:t xml:space="preserve">Постройка завода началась в марте 1915 г. и закончилась в сентябре того же года. </w:t>
      </w:r>
    </w:p>
    <w:p w14:paraId="15B79F28" w14:textId="77777777" w:rsidR="004B4E35" w:rsidRPr="00405303" w:rsidRDefault="009E6F82" w:rsidP="00C15251">
      <w:pPr>
        <w:jc w:val="both"/>
        <w:rPr>
          <w:bCs/>
          <w:color w:val="002060"/>
          <w:sz w:val="16"/>
          <w:szCs w:val="16"/>
        </w:rPr>
      </w:pPr>
      <w:r w:rsidRPr="00405303">
        <w:rPr>
          <w:bCs/>
          <w:color w:val="002060"/>
          <w:sz w:val="16"/>
          <w:szCs w:val="16"/>
        </w:rPr>
        <w:t xml:space="preserve">Предварительные данные, необходимые для постановки производства были сообщены заводу заблаговременно еще в 1914 году. Русские приемщики вместе с представителями завода начали разрабатывать необходимые чертежи и корректировать в них некоторые ошибки, наличие коих было указано в главе о Вестингаузе. Эта работа продолжалась по май 1915 года. В марте 1915 г. в распоряжении завода было несколько десятков винтовок, образцовые лекала и чертежи тех и других. Винтовки были не образцовые, так как изготовлялись в военное время по облегченным кондициям. Лекала — новые и вполне исправные. </w:t>
      </w:r>
    </w:p>
    <w:p w14:paraId="40618F9B" w14:textId="77777777" w:rsidR="004B4E35" w:rsidRPr="00405303" w:rsidRDefault="009E6F82" w:rsidP="00C15251">
      <w:pPr>
        <w:jc w:val="both"/>
        <w:rPr>
          <w:bCs/>
          <w:color w:val="002060"/>
          <w:sz w:val="16"/>
          <w:szCs w:val="16"/>
        </w:rPr>
      </w:pPr>
      <w:r w:rsidRPr="00405303">
        <w:rPr>
          <w:bCs/>
          <w:color w:val="002060"/>
          <w:sz w:val="16"/>
          <w:szCs w:val="16"/>
        </w:rPr>
        <w:t xml:space="preserve">В конце 1915 г. прибыли на завод назначенные туда от Заготовительного комитета приемщики. Весьма быстро между администрацией завода и ними возник серьезный конфликт, в результате коего приемщику отказали в допуске в завод. Для ликвидации конфликта на завод прибыла большая комиссия. Один из приемщиков был отозван в Россию, и инцидент был исчерпан. </w:t>
      </w:r>
    </w:p>
    <w:p w14:paraId="79CF117C" w14:textId="77777777" w:rsidR="004B4E35" w:rsidRPr="00405303" w:rsidRDefault="009E6F82" w:rsidP="00C15251">
      <w:pPr>
        <w:jc w:val="both"/>
        <w:rPr>
          <w:bCs/>
          <w:color w:val="002060"/>
          <w:sz w:val="16"/>
          <w:szCs w:val="16"/>
        </w:rPr>
      </w:pPr>
      <w:r w:rsidRPr="00405303">
        <w:rPr>
          <w:bCs/>
          <w:color w:val="002060"/>
          <w:sz w:val="16"/>
          <w:szCs w:val="16"/>
        </w:rPr>
        <w:t xml:space="preserve">Сдача винтовок началась с большим запозданием, лишь в апреле 1916 года. Дело шло плохо и в отношении выпуска, и в отношении качеств изделия. Ввиду этого по настоянию русской инспекции директор завода был смещен. Новый директор, весьма опытный человек, предпринял коренную техническую перепланировку производства. Это вызвало резкий упадок достигнутого уже выпуска винтовок. Сдача, дошедшая в августе 1916 г. до 2000 шт. в сутки, снизилась </w:t>
      </w:r>
      <w:proofErr w:type="gramStart"/>
      <w:r w:rsidRPr="00405303">
        <w:rPr>
          <w:bCs/>
          <w:color w:val="002060"/>
          <w:sz w:val="16"/>
          <w:szCs w:val="16"/>
        </w:rPr>
        <w:t>больше</w:t>
      </w:r>
      <w:proofErr w:type="gramEnd"/>
      <w:r w:rsidRPr="00405303">
        <w:rPr>
          <w:bCs/>
          <w:color w:val="002060"/>
          <w:sz w:val="16"/>
          <w:szCs w:val="16"/>
        </w:rPr>
        <w:t xml:space="preserve"> чем вдвое. Но зато методы производства были значительно улучшены проведением правильно-лекального изготовления всех деталей. Это создавало прочную базу для быстрого и широкого разворачивания производства и улучшало качества изделия. Потребовалась перепланировка помещения цехов. </w:t>
      </w:r>
    </w:p>
    <w:p w14:paraId="17DEBCA2" w14:textId="77777777" w:rsidR="004B4E35" w:rsidRPr="00405303" w:rsidRDefault="009E6F82" w:rsidP="00C15251">
      <w:pPr>
        <w:jc w:val="both"/>
        <w:rPr>
          <w:bCs/>
          <w:color w:val="002060"/>
          <w:sz w:val="16"/>
          <w:szCs w:val="16"/>
        </w:rPr>
      </w:pPr>
      <w:r w:rsidRPr="00405303">
        <w:rPr>
          <w:bCs/>
          <w:color w:val="002060"/>
          <w:sz w:val="16"/>
          <w:szCs w:val="16"/>
        </w:rPr>
        <w:t xml:space="preserve">По прошествии полутора лет со дня заключения контракта фактическое состояние производства по сравнению с контрактным планом представлялось в следующем виде: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984"/>
        <w:gridCol w:w="984"/>
        <w:gridCol w:w="984"/>
        <w:gridCol w:w="1128"/>
      </w:tblGrid>
      <w:tr w:rsidR="004B4E35" w:rsidRPr="00405303" w14:paraId="34398C46" w14:textId="77777777">
        <w:tc>
          <w:tcPr>
            <w:tcW w:w="1248" w:type="dxa"/>
          </w:tcPr>
          <w:p w14:paraId="56F74C9F" w14:textId="77777777" w:rsidR="004B4E35" w:rsidRPr="00405303" w:rsidRDefault="009E6F82" w:rsidP="00C15251">
            <w:pPr>
              <w:jc w:val="both"/>
              <w:rPr>
                <w:bCs/>
                <w:color w:val="002060"/>
                <w:sz w:val="16"/>
                <w:szCs w:val="16"/>
              </w:rPr>
            </w:pPr>
            <w:r w:rsidRPr="00405303">
              <w:rPr>
                <w:bCs/>
                <w:color w:val="002060"/>
                <w:sz w:val="16"/>
                <w:szCs w:val="16"/>
              </w:rPr>
              <w:t xml:space="preserve">Сдача </w:t>
            </w:r>
          </w:p>
        </w:tc>
        <w:tc>
          <w:tcPr>
            <w:tcW w:w="1968" w:type="dxa"/>
            <w:gridSpan w:val="2"/>
          </w:tcPr>
          <w:p w14:paraId="68434B52" w14:textId="77777777" w:rsidR="004B4E35" w:rsidRPr="00405303" w:rsidRDefault="009E6F82" w:rsidP="00C15251">
            <w:pPr>
              <w:jc w:val="both"/>
              <w:rPr>
                <w:bCs/>
                <w:color w:val="002060"/>
                <w:sz w:val="16"/>
                <w:szCs w:val="16"/>
              </w:rPr>
            </w:pPr>
            <w:r w:rsidRPr="00405303">
              <w:rPr>
                <w:bCs/>
                <w:color w:val="002060"/>
                <w:sz w:val="16"/>
                <w:szCs w:val="16"/>
              </w:rPr>
              <w:t>Надлежало по плану</w:t>
            </w:r>
          </w:p>
        </w:tc>
        <w:tc>
          <w:tcPr>
            <w:tcW w:w="2112" w:type="dxa"/>
            <w:gridSpan w:val="2"/>
          </w:tcPr>
          <w:p w14:paraId="78AD87A4" w14:textId="77777777" w:rsidR="004B4E35" w:rsidRPr="00405303" w:rsidRDefault="009E6F82" w:rsidP="00C15251">
            <w:pPr>
              <w:jc w:val="both"/>
              <w:rPr>
                <w:bCs/>
                <w:color w:val="002060"/>
                <w:sz w:val="16"/>
                <w:szCs w:val="16"/>
              </w:rPr>
            </w:pPr>
            <w:r w:rsidRPr="00405303">
              <w:rPr>
                <w:bCs/>
                <w:color w:val="002060"/>
                <w:sz w:val="16"/>
                <w:szCs w:val="16"/>
              </w:rPr>
              <w:t>Фактическая</w:t>
            </w:r>
          </w:p>
        </w:tc>
      </w:tr>
      <w:tr w:rsidR="004B4E35" w:rsidRPr="00405303" w14:paraId="3358A3A1" w14:textId="77777777">
        <w:tc>
          <w:tcPr>
            <w:tcW w:w="1248" w:type="dxa"/>
          </w:tcPr>
          <w:p w14:paraId="1EC73046" w14:textId="77777777" w:rsidR="004B4E35" w:rsidRPr="00405303" w:rsidRDefault="009E6F82" w:rsidP="00C15251">
            <w:pPr>
              <w:jc w:val="both"/>
              <w:rPr>
                <w:bCs/>
                <w:color w:val="002060"/>
                <w:sz w:val="16"/>
                <w:szCs w:val="16"/>
              </w:rPr>
            </w:pPr>
            <w:r w:rsidRPr="00405303">
              <w:rPr>
                <w:bCs/>
                <w:color w:val="002060"/>
                <w:sz w:val="16"/>
                <w:szCs w:val="16"/>
              </w:rPr>
              <w:t>винтовок</w:t>
            </w:r>
          </w:p>
        </w:tc>
        <w:tc>
          <w:tcPr>
            <w:tcW w:w="984" w:type="dxa"/>
          </w:tcPr>
          <w:p w14:paraId="5A93B4E9" w14:textId="77777777" w:rsidR="004B4E35" w:rsidRPr="00405303" w:rsidRDefault="009E6F82" w:rsidP="00C15251">
            <w:pPr>
              <w:jc w:val="both"/>
              <w:rPr>
                <w:bCs/>
                <w:color w:val="002060"/>
                <w:sz w:val="16"/>
                <w:szCs w:val="16"/>
              </w:rPr>
            </w:pPr>
            <w:r w:rsidRPr="00405303">
              <w:rPr>
                <w:bCs/>
                <w:color w:val="002060"/>
                <w:sz w:val="16"/>
                <w:szCs w:val="16"/>
              </w:rPr>
              <w:t>В сутки</w:t>
            </w:r>
          </w:p>
        </w:tc>
        <w:tc>
          <w:tcPr>
            <w:tcW w:w="984" w:type="dxa"/>
          </w:tcPr>
          <w:p w14:paraId="6F90336C" w14:textId="77777777" w:rsidR="004B4E35" w:rsidRPr="00405303" w:rsidRDefault="009E6F82" w:rsidP="00C15251">
            <w:pPr>
              <w:jc w:val="both"/>
              <w:rPr>
                <w:bCs/>
                <w:color w:val="002060"/>
                <w:sz w:val="16"/>
                <w:szCs w:val="16"/>
              </w:rPr>
            </w:pPr>
            <w:r w:rsidRPr="00405303">
              <w:rPr>
                <w:bCs/>
                <w:color w:val="002060"/>
                <w:sz w:val="16"/>
                <w:szCs w:val="16"/>
              </w:rPr>
              <w:t>От начала работ</w:t>
            </w:r>
          </w:p>
        </w:tc>
        <w:tc>
          <w:tcPr>
            <w:tcW w:w="984" w:type="dxa"/>
          </w:tcPr>
          <w:p w14:paraId="0A119BD7" w14:textId="77777777" w:rsidR="004B4E35" w:rsidRPr="00405303" w:rsidRDefault="009E6F82" w:rsidP="00C15251">
            <w:pPr>
              <w:jc w:val="both"/>
              <w:rPr>
                <w:bCs/>
                <w:color w:val="002060"/>
                <w:sz w:val="16"/>
                <w:szCs w:val="16"/>
              </w:rPr>
            </w:pPr>
            <w:r w:rsidRPr="00405303">
              <w:rPr>
                <w:bCs/>
                <w:color w:val="002060"/>
                <w:sz w:val="16"/>
                <w:szCs w:val="16"/>
              </w:rPr>
              <w:t>В сутки</w:t>
            </w:r>
          </w:p>
        </w:tc>
        <w:tc>
          <w:tcPr>
            <w:tcW w:w="1128" w:type="dxa"/>
          </w:tcPr>
          <w:p w14:paraId="60944645" w14:textId="77777777" w:rsidR="004B4E35" w:rsidRPr="00405303" w:rsidRDefault="009E6F82" w:rsidP="00C15251">
            <w:pPr>
              <w:jc w:val="both"/>
              <w:rPr>
                <w:bCs/>
                <w:color w:val="002060"/>
                <w:sz w:val="16"/>
                <w:szCs w:val="16"/>
              </w:rPr>
            </w:pPr>
            <w:r w:rsidRPr="00405303">
              <w:rPr>
                <w:bCs/>
                <w:color w:val="002060"/>
                <w:sz w:val="16"/>
                <w:szCs w:val="16"/>
              </w:rPr>
              <w:t>От начала работ</w:t>
            </w:r>
          </w:p>
        </w:tc>
      </w:tr>
      <w:tr w:rsidR="004B4E35" w:rsidRPr="00405303" w14:paraId="693A56A1" w14:textId="77777777">
        <w:tc>
          <w:tcPr>
            <w:tcW w:w="1248" w:type="dxa"/>
          </w:tcPr>
          <w:p w14:paraId="6A8A13CE" w14:textId="77777777" w:rsidR="004B4E35" w:rsidRPr="00405303" w:rsidRDefault="009E6F82" w:rsidP="00C15251">
            <w:pPr>
              <w:jc w:val="both"/>
              <w:rPr>
                <w:bCs/>
                <w:color w:val="002060"/>
                <w:sz w:val="16"/>
                <w:szCs w:val="16"/>
              </w:rPr>
            </w:pPr>
            <w:r w:rsidRPr="00405303">
              <w:rPr>
                <w:bCs/>
                <w:color w:val="002060"/>
                <w:sz w:val="16"/>
                <w:szCs w:val="16"/>
              </w:rPr>
              <w:t>Декабрь 1916 г.</w:t>
            </w:r>
          </w:p>
        </w:tc>
        <w:tc>
          <w:tcPr>
            <w:tcW w:w="984" w:type="dxa"/>
          </w:tcPr>
          <w:p w14:paraId="4E26A824" w14:textId="77777777" w:rsidR="004B4E35" w:rsidRPr="00405303" w:rsidRDefault="009E6F82" w:rsidP="00C15251">
            <w:pPr>
              <w:jc w:val="both"/>
              <w:rPr>
                <w:bCs/>
                <w:color w:val="002060"/>
                <w:sz w:val="16"/>
                <w:szCs w:val="16"/>
              </w:rPr>
            </w:pPr>
            <w:r w:rsidRPr="00405303">
              <w:rPr>
                <w:bCs/>
                <w:color w:val="002060"/>
                <w:sz w:val="16"/>
                <w:szCs w:val="16"/>
              </w:rPr>
              <w:t>1.000</w:t>
            </w:r>
          </w:p>
        </w:tc>
        <w:tc>
          <w:tcPr>
            <w:tcW w:w="984" w:type="dxa"/>
          </w:tcPr>
          <w:p w14:paraId="3C0D52E8" w14:textId="77777777" w:rsidR="004B4E35" w:rsidRPr="00405303" w:rsidRDefault="009E6F82" w:rsidP="00C15251">
            <w:pPr>
              <w:jc w:val="both"/>
              <w:rPr>
                <w:bCs/>
                <w:color w:val="002060"/>
                <w:sz w:val="16"/>
                <w:szCs w:val="16"/>
              </w:rPr>
            </w:pPr>
            <w:r w:rsidRPr="00405303">
              <w:rPr>
                <w:bCs/>
                <w:color w:val="002060"/>
                <w:sz w:val="16"/>
                <w:szCs w:val="16"/>
              </w:rPr>
              <w:t>1.000.000</w:t>
            </w:r>
          </w:p>
        </w:tc>
        <w:tc>
          <w:tcPr>
            <w:tcW w:w="984" w:type="dxa"/>
          </w:tcPr>
          <w:p w14:paraId="66326259" w14:textId="77777777" w:rsidR="004B4E35" w:rsidRPr="00405303" w:rsidRDefault="009E6F82" w:rsidP="00C15251">
            <w:pPr>
              <w:jc w:val="both"/>
              <w:rPr>
                <w:bCs/>
                <w:color w:val="002060"/>
                <w:sz w:val="16"/>
                <w:szCs w:val="16"/>
              </w:rPr>
            </w:pPr>
            <w:r w:rsidRPr="00405303">
              <w:rPr>
                <w:bCs/>
                <w:color w:val="002060"/>
                <w:sz w:val="16"/>
                <w:szCs w:val="16"/>
              </w:rPr>
              <w:t>500</w:t>
            </w:r>
          </w:p>
        </w:tc>
        <w:tc>
          <w:tcPr>
            <w:tcW w:w="1128" w:type="dxa"/>
          </w:tcPr>
          <w:p w14:paraId="35F3E8E5" w14:textId="77777777" w:rsidR="004B4E35" w:rsidRPr="00405303" w:rsidRDefault="009E6F82" w:rsidP="00C15251">
            <w:pPr>
              <w:jc w:val="both"/>
              <w:rPr>
                <w:bCs/>
                <w:color w:val="002060"/>
                <w:sz w:val="16"/>
                <w:szCs w:val="16"/>
              </w:rPr>
            </w:pPr>
            <w:r w:rsidRPr="00405303">
              <w:rPr>
                <w:bCs/>
                <w:color w:val="002060"/>
                <w:sz w:val="16"/>
                <w:szCs w:val="16"/>
              </w:rPr>
              <w:t>70.000</w:t>
            </w:r>
          </w:p>
        </w:tc>
      </w:tr>
      <w:tr w:rsidR="004B4E35" w:rsidRPr="00405303" w14:paraId="6206E9E4" w14:textId="77777777">
        <w:tc>
          <w:tcPr>
            <w:tcW w:w="1248" w:type="dxa"/>
          </w:tcPr>
          <w:p w14:paraId="7E1A5C97" w14:textId="77777777" w:rsidR="004B4E35" w:rsidRPr="00405303" w:rsidRDefault="009E6F82" w:rsidP="00C15251">
            <w:pPr>
              <w:jc w:val="both"/>
              <w:rPr>
                <w:bCs/>
                <w:color w:val="002060"/>
                <w:sz w:val="16"/>
                <w:szCs w:val="16"/>
              </w:rPr>
            </w:pPr>
            <w:r w:rsidRPr="00405303">
              <w:rPr>
                <w:bCs/>
                <w:color w:val="002060"/>
                <w:sz w:val="16"/>
                <w:szCs w:val="16"/>
              </w:rPr>
              <w:t>Март 1917 г.</w:t>
            </w:r>
          </w:p>
        </w:tc>
        <w:tc>
          <w:tcPr>
            <w:tcW w:w="984" w:type="dxa"/>
          </w:tcPr>
          <w:p w14:paraId="545F0198" w14:textId="77777777" w:rsidR="004B4E35" w:rsidRPr="00405303" w:rsidRDefault="009E6F82" w:rsidP="00C15251">
            <w:pPr>
              <w:jc w:val="both"/>
              <w:rPr>
                <w:bCs/>
                <w:color w:val="002060"/>
                <w:sz w:val="16"/>
                <w:szCs w:val="16"/>
              </w:rPr>
            </w:pPr>
            <w:r w:rsidRPr="00405303">
              <w:rPr>
                <w:bCs/>
                <w:color w:val="002060"/>
                <w:sz w:val="16"/>
                <w:szCs w:val="16"/>
              </w:rPr>
              <w:t>4.000</w:t>
            </w:r>
          </w:p>
        </w:tc>
        <w:tc>
          <w:tcPr>
            <w:tcW w:w="984" w:type="dxa"/>
          </w:tcPr>
          <w:p w14:paraId="5BCCFE0E" w14:textId="77777777" w:rsidR="004B4E35" w:rsidRPr="00405303" w:rsidRDefault="009E6F82" w:rsidP="00C15251">
            <w:pPr>
              <w:jc w:val="both"/>
              <w:rPr>
                <w:bCs/>
                <w:color w:val="002060"/>
                <w:sz w:val="16"/>
                <w:szCs w:val="16"/>
              </w:rPr>
            </w:pPr>
            <w:r w:rsidRPr="00405303">
              <w:rPr>
                <w:bCs/>
                <w:color w:val="002060"/>
                <w:sz w:val="16"/>
                <w:szCs w:val="16"/>
              </w:rPr>
              <w:t>1.250.000</w:t>
            </w:r>
          </w:p>
        </w:tc>
        <w:tc>
          <w:tcPr>
            <w:tcW w:w="984" w:type="dxa"/>
          </w:tcPr>
          <w:p w14:paraId="623B571F" w14:textId="77777777" w:rsidR="004B4E35" w:rsidRPr="00405303" w:rsidRDefault="009E6F82" w:rsidP="00C15251">
            <w:pPr>
              <w:jc w:val="both"/>
              <w:rPr>
                <w:bCs/>
                <w:color w:val="002060"/>
                <w:sz w:val="16"/>
                <w:szCs w:val="16"/>
              </w:rPr>
            </w:pPr>
            <w:r w:rsidRPr="00405303">
              <w:rPr>
                <w:bCs/>
                <w:color w:val="002060"/>
                <w:sz w:val="16"/>
                <w:szCs w:val="16"/>
              </w:rPr>
              <w:t>1.200</w:t>
            </w:r>
          </w:p>
        </w:tc>
        <w:tc>
          <w:tcPr>
            <w:tcW w:w="1128" w:type="dxa"/>
          </w:tcPr>
          <w:p w14:paraId="198A19A7" w14:textId="77777777" w:rsidR="004B4E35" w:rsidRPr="00405303" w:rsidRDefault="009E6F82" w:rsidP="00C15251">
            <w:pPr>
              <w:jc w:val="both"/>
              <w:rPr>
                <w:bCs/>
                <w:color w:val="002060"/>
                <w:sz w:val="16"/>
                <w:szCs w:val="16"/>
              </w:rPr>
            </w:pPr>
            <w:r w:rsidRPr="00405303">
              <w:rPr>
                <w:bCs/>
                <w:color w:val="002060"/>
                <w:sz w:val="16"/>
                <w:szCs w:val="16"/>
              </w:rPr>
              <w:t>120.000</w:t>
            </w:r>
          </w:p>
        </w:tc>
      </w:tr>
      <w:tr w:rsidR="004B4E35" w:rsidRPr="00405303" w14:paraId="04F44A01" w14:textId="77777777">
        <w:tc>
          <w:tcPr>
            <w:tcW w:w="1248" w:type="dxa"/>
          </w:tcPr>
          <w:p w14:paraId="3E47C1F2" w14:textId="77777777" w:rsidR="004B4E35" w:rsidRPr="00405303" w:rsidRDefault="009E6F82" w:rsidP="00C15251">
            <w:pPr>
              <w:jc w:val="both"/>
              <w:rPr>
                <w:bCs/>
                <w:color w:val="002060"/>
                <w:sz w:val="16"/>
                <w:szCs w:val="16"/>
              </w:rPr>
            </w:pPr>
            <w:r w:rsidRPr="00405303">
              <w:rPr>
                <w:bCs/>
                <w:color w:val="002060"/>
                <w:sz w:val="16"/>
                <w:szCs w:val="16"/>
              </w:rPr>
              <w:t>Май 1917 г.</w:t>
            </w:r>
          </w:p>
        </w:tc>
        <w:tc>
          <w:tcPr>
            <w:tcW w:w="984" w:type="dxa"/>
          </w:tcPr>
          <w:p w14:paraId="61E82CE4" w14:textId="77777777" w:rsidR="004B4E35" w:rsidRPr="00405303" w:rsidRDefault="009E6F82" w:rsidP="00C15251">
            <w:pPr>
              <w:jc w:val="both"/>
              <w:rPr>
                <w:bCs/>
                <w:color w:val="002060"/>
                <w:sz w:val="16"/>
                <w:szCs w:val="16"/>
              </w:rPr>
            </w:pPr>
            <w:r w:rsidRPr="00405303">
              <w:rPr>
                <w:bCs/>
                <w:color w:val="002060"/>
                <w:sz w:val="16"/>
                <w:szCs w:val="16"/>
              </w:rPr>
              <w:t>4.000</w:t>
            </w:r>
          </w:p>
        </w:tc>
        <w:tc>
          <w:tcPr>
            <w:tcW w:w="984" w:type="dxa"/>
          </w:tcPr>
          <w:p w14:paraId="230F07B6" w14:textId="77777777" w:rsidR="004B4E35" w:rsidRPr="00405303" w:rsidRDefault="009E6F82" w:rsidP="00C15251">
            <w:pPr>
              <w:jc w:val="both"/>
              <w:rPr>
                <w:bCs/>
                <w:color w:val="002060"/>
                <w:sz w:val="16"/>
                <w:szCs w:val="16"/>
              </w:rPr>
            </w:pPr>
            <w:r w:rsidRPr="00405303">
              <w:rPr>
                <w:bCs/>
                <w:color w:val="002060"/>
                <w:sz w:val="16"/>
                <w:szCs w:val="16"/>
              </w:rPr>
              <w:t>1.450.000</w:t>
            </w:r>
          </w:p>
        </w:tc>
        <w:tc>
          <w:tcPr>
            <w:tcW w:w="984" w:type="dxa"/>
          </w:tcPr>
          <w:p w14:paraId="12A7A5A4" w14:textId="77777777" w:rsidR="004B4E35" w:rsidRPr="00405303" w:rsidRDefault="009E6F82" w:rsidP="00C15251">
            <w:pPr>
              <w:jc w:val="both"/>
              <w:rPr>
                <w:bCs/>
                <w:color w:val="002060"/>
                <w:sz w:val="16"/>
                <w:szCs w:val="16"/>
              </w:rPr>
            </w:pPr>
            <w:r w:rsidRPr="00405303">
              <w:rPr>
                <w:bCs/>
                <w:color w:val="002060"/>
                <w:sz w:val="16"/>
                <w:szCs w:val="16"/>
              </w:rPr>
              <w:t>1.800</w:t>
            </w:r>
          </w:p>
        </w:tc>
        <w:tc>
          <w:tcPr>
            <w:tcW w:w="1128" w:type="dxa"/>
          </w:tcPr>
          <w:p w14:paraId="448A33DC" w14:textId="77777777" w:rsidR="004B4E35" w:rsidRPr="00405303" w:rsidRDefault="009E6F82" w:rsidP="00C15251">
            <w:pPr>
              <w:jc w:val="both"/>
              <w:rPr>
                <w:bCs/>
                <w:color w:val="002060"/>
                <w:sz w:val="16"/>
                <w:szCs w:val="16"/>
              </w:rPr>
            </w:pPr>
            <w:r w:rsidRPr="00405303">
              <w:rPr>
                <w:bCs/>
                <w:color w:val="002060"/>
                <w:sz w:val="16"/>
                <w:szCs w:val="16"/>
              </w:rPr>
              <w:t>200.000</w:t>
            </w:r>
          </w:p>
        </w:tc>
      </w:tr>
    </w:tbl>
    <w:p w14:paraId="2AC7BBFE" w14:textId="77777777" w:rsidR="004B4E35" w:rsidRPr="00405303" w:rsidRDefault="009E6F82" w:rsidP="00C15251">
      <w:pPr>
        <w:jc w:val="both"/>
        <w:rPr>
          <w:bCs/>
          <w:color w:val="002060"/>
          <w:sz w:val="16"/>
          <w:szCs w:val="16"/>
        </w:rPr>
      </w:pPr>
      <w:r w:rsidRPr="00405303">
        <w:rPr>
          <w:bCs/>
          <w:color w:val="002060"/>
          <w:sz w:val="16"/>
          <w:szCs w:val="16"/>
        </w:rPr>
        <w:t xml:space="preserve">Таким образом, сдача катастрофически отставала от плана. Это обстоятельство, естественно, создавало для компании крайне тяжелое финансовое положение, угрожавшее крахом, так как поступлений платежей не было, а расходы шли своим порядком. </w:t>
      </w:r>
    </w:p>
    <w:p w14:paraId="4B83B885" w14:textId="77777777" w:rsidR="004B4E35" w:rsidRPr="00405303" w:rsidRDefault="009E6F82" w:rsidP="00C15251">
      <w:pPr>
        <w:jc w:val="both"/>
        <w:rPr>
          <w:bCs/>
          <w:color w:val="002060"/>
          <w:sz w:val="16"/>
          <w:szCs w:val="16"/>
        </w:rPr>
      </w:pPr>
      <w:r w:rsidRPr="00405303">
        <w:rPr>
          <w:bCs/>
          <w:color w:val="002060"/>
          <w:sz w:val="16"/>
          <w:szCs w:val="16"/>
        </w:rPr>
        <w:t xml:space="preserve">В декабре 1916 г. Заготовительным комитетом был канцелирован заказ на 300 000 винтовок. </w:t>
      </w:r>
    </w:p>
    <w:p w14:paraId="174A9777" w14:textId="77777777" w:rsidR="004B4E35" w:rsidRPr="00405303" w:rsidRDefault="009E6F82" w:rsidP="00C15251">
      <w:pPr>
        <w:jc w:val="both"/>
        <w:rPr>
          <w:bCs/>
          <w:color w:val="002060"/>
          <w:sz w:val="16"/>
          <w:szCs w:val="16"/>
        </w:rPr>
      </w:pPr>
      <w:r w:rsidRPr="00405303">
        <w:rPr>
          <w:bCs/>
          <w:color w:val="002060"/>
          <w:sz w:val="16"/>
          <w:szCs w:val="16"/>
        </w:rPr>
        <w:t xml:space="preserve">В связи со всем этим Ремингтон возбудил вопрос о пересмотре контрактов, угрожая в противном случае остановить производство. Создавался, таким образом, конфликт, подобный тому, какой имел место с Вестингаузом. </w:t>
      </w:r>
    </w:p>
    <w:p w14:paraId="23A17F35" w14:textId="77777777" w:rsidR="004B4E35" w:rsidRPr="00405303" w:rsidRDefault="009E6F82" w:rsidP="00C15251">
      <w:pPr>
        <w:jc w:val="both"/>
        <w:rPr>
          <w:bCs/>
          <w:color w:val="002060"/>
          <w:sz w:val="16"/>
          <w:szCs w:val="16"/>
        </w:rPr>
      </w:pPr>
      <w:r w:rsidRPr="00405303">
        <w:rPr>
          <w:bCs/>
          <w:color w:val="002060"/>
          <w:sz w:val="16"/>
          <w:szCs w:val="16"/>
        </w:rPr>
        <w:t xml:space="preserve">Председатель Заготовительного комитета по этому поводу доносит в Петроград: "Завод Ремингтон, вероятно, опираясь на Вестингауза, получающего всякие льготы, начал опять подавать брак и тоже начинает протестовать против наших правильных требований". </w:t>
      </w:r>
    </w:p>
    <w:p w14:paraId="0599D8F8" w14:textId="77777777" w:rsidR="004B4E35" w:rsidRPr="00405303" w:rsidRDefault="009E6F82" w:rsidP="00C15251">
      <w:pPr>
        <w:jc w:val="both"/>
        <w:rPr>
          <w:bCs/>
          <w:color w:val="002060"/>
          <w:sz w:val="16"/>
          <w:szCs w:val="16"/>
        </w:rPr>
      </w:pPr>
      <w:r w:rsidRPr="00405303">
        <w:rPr>
          <w:bCs/>
          <w:color w:val="002060"/>
          <w:sz w:val="16"/>
          <w:szCs w:val="16"/>
        </w:rPr>
        <w:t xml:space="preserve">Очевиден был сговор банков, которые требуют — или брать такие ружья, какие нам дают, или же, в противном случае, грозят закрыть завод, предпочитая не нести дальнейших убытков. Такое давление банков понятно, поскольку некоторые из директоров компании были в то же время директорами банков. </w:t>
      </w:r>
    </w:p>
    <w:p w14:paraId="7A2544DB" w14:textId="77777777" w:rsidR="004B4E35" w:rsidRPr="00405303" w:rsidRDefault="009E6F82" w:rsidP="00C15251">
      <w:pPr>
        <w:jc w:val="both"/>
        <w:rPr>
          <w:bCs/>
          <w:color w:val="002060"/>
          <w:sz w:val="16"/>
          <w:szCs w:val="16"/>
        </w:rPr>
      </w:pPr>
      <w:r w:rsidRPr="00405303">
        <w:rPr>
          <w:bCs/>
          <w:color w:val="002060"/>
          <w:sz w:val="16"/>
          <w:szCs w:val="16"/>
        </w:rPr>
        <w:t xml:space="preserve">В периоде переговоров об изменении условий контракта Ремингтон возбудил вопрос о передаче его завода в полное техническое управление русским инженерам-оружейникам. Одновременно такой же вопрос поставил и Вестингауз. </w:t>
      </w:r>
    </w:p>
    <w:p w14:paraId="02CF908E" w14:textId="77777777" w:rsidR="004B4E35" w:rsidRPr="00405303" w:rsidRDefault="009E6F82" w:rsidP="00C15251">
      <w:pPr>
        <w:jc w:val="both"/>
        <w:rPr>
          <w:bCs/>
          <w:color w:val="002060"/>
          <w:sz w:val="16"/>
          <w:szCs w:val="16"/>
        </w:rPr>
      </w:pPr>
      <w:r w:rsidRPr="00405303">
        <w:rPr>
          <w:bCs/>
          <w:color w:val="002060"/>
          <w:sz w:val="16"/>
          <w:szCs w:val="16"/>
        </w:rPr>
        <w:t xml:space="preserve">В середине марта 1916 г. переговоры были задержаны почти на месяц союзной конференцией в Петрограде, после чего опять возобновились и шли успешно. </w:t>
      </w:r>
    </w:p>
    <w:p w14:paraId="6FE948F6" w14:textId="77777777" w:rsidR="004B4E35" w:rsidRPr="00405303" w:rsidRDefault="009E6F82" w:rsidP="00C15251">
      <w:pPr>
        <w:jc w:val="both"/>
        <w:rPr>
          <w:bCs/>
          <w:color w:val="002060"/>
          <w:sz w:val="16"/>
          <w:szCs w:val="16"/>
        </w:rPr>
      </w:pPr>
      <w:r w:rsidRPr="00405303">
        <w:rPr>
          <w:bCs/>
          <w:color w:val="002060"/>
          <w:sz w:val="16"/>
          <w:szCs w:val="16"/>
        </w:rPr>
        <w:t xml:space="preserve">После долгих переговоров и сношений с Лондоном и Петроградом был, наконец, 10 сентября 1917 г. подписан новый договор с фирмой Ремингтон, заменяющий предшествующие контракты. Основные положения нового договора сводились к следующему. </w:t>
      </w:r>
    </w:p>
    <w:p w14:paraId="63A0FA1B" w14:textId="77777777" w:rsidR="004B4E35" w:rsidRPr="00405303" w:rsidRDefault="009E6F82" w:rsidP="00C15251">
      <w:pPr>
        <w:jc w:val="both"/>
        <w:rPr>
          <w:bCs/>
          <w:color w:val="002060"/>
          <w:sz w:val="16"/>
          <w:szCs w:val="16"/>
        </w:rPr>
      </w:pPr>
      <w:r w:rsidRPr="00405303">
        <w:rPr>
          <w:bCs/>
          <w:color w:val="002060"/>
          <w:sz w:val="16"/>
          <w:szCs w:val="16"/>
        </w:rPr>
        <w:t xml:space="preserve">1) Заказ 1 500 000 ружей сокращается до 1 млн. </w:t>
      </w:r>
    </w:p>
    <w:p w14:paraId="31A7CE94" w14:textId="77777777" w:rsidR="004B4E35" w:rsidRPr="00405303" w:rsidRDefault="009E6F82" w:rsidP="00C15251">
      <w:pPr>
        <w:jc w:val="both"/>
        <w:rPr>
          <w:bCs/>
          <w:color w:val="002060"/>
          <w:sz w:val="16"/>
          <w:szCs w:val="16"/>
        </w:rPr>
      </w:pPr>
      <w:r w:rsidRPr="00405303">
        <w:rPr>
          <w:bCs/>
          <w:color w:val="002060"/>
          <w:sz w:val="16"/>
          <w:szCs w:val="16"/>
        </w:rPr>
        <w:t xml:space="preserve">2) Организуется общество Новый Ремингтон, в котором половина акций принадлежит старому Ремингтону, другая — русскому правительству. </w:t>
      </w:r>
    </w:p>
    <w:p w14:paraId="0DACC568" w14:textId="77777777" w:rsidR="004B4E35" w:rsidRPr="00405303" w:rsidRDefault="009E6F82" w:rsidP="00C15251">
      <w:pPr>
        <w:jc w:val="both"/>
        <w:rPr>
          <w:bCs/>
          <w:color w:val="002060"/>
          <w:sz w:val="16"/>
          <w:szCs w:val="16"/>
        </w:rPr>
      </w:pPr>
      <w:r w:rsidRPr="00405303">
        <w:rPr>
          <w:bCs/>
          <w:color w:val="002060"/>
          <w:sz w:val="16"/>
          <w:szCs w:val="16"/>
        </w:rPr>
        <w:t xml:space="preserve">3) Русское правительство вносит за акции 6 млн долларов, которые составляют половину капитала, затраченного фирмой в дело с начала работы по день нового контракта. </w:t>
      </w:r>
    </w:p>
    <w:p w14:paraId="381DDEC1" w14:textId="77777777" w:rsidR="004B4E35" w:rsidRPr="00405303" w:rsidRDefault="009E6F82" w:rsidP="00C15251">
      <w:pPr>
        <w:jc w:val="both"/>
        <w:rPr>
          <w:bCs/>
          <w:color w:val="002060"/>
          <w:sz w:val="16"/>
          <w:szCs w:val="16"/>
        </w:rPr>
      </w:pPr>
      <w:r w:rsidRPr="00405303">
        <w:rPr>
          <w:bCs/>
          <w:color w:val="002060"/>
          <w:sz w:val="16"/>
          <w:szCs w:val="16"/>
        </w:rPr>
        <w:t xml:space="preserve">4) Старый Ремингтон уступает Новому 0,68 доли участия в недвижимом имуществе, заводе и инвентаре, что отвечает потребности ружейного контракта. Часть имущества по особой описи вполне отчуждается Новому Ремингтону. </w:t>
      </w:r>
    </w:p>
    <w:p w14:paraId="6CF75FE3" w14:textId="77777777" w:rsidR="004B4E35" w:rsidRPr="00405303" w:rsidRDefault="009E6F82" w:rsidP="00C15251">
      <w:pPr>
        <w:jc w:val="both"/>
        <w:rPr>
          <w:bCs/>
          <w:color w:val="002060"/>
          <w:sz w:val="16"/>
          <w:szCs w:val="16"/>
        </w:rPr>
      </w:pPr>
      <w:r w:rsidRPr="00405303">
        <w:rPr>
          <w:bCs/>
          <w:color w:val="002060"/>
          <w:sz w:val="16"/>
          <w:szCs w:val="16"/>
        </w:rPr>
        <w:t xml:space="preserve">5) Новый Ремингтон управляется директоратом из шести директоров — три от Ремингтона и три от Русского заготовительного комитета. </w:t>
      </w:r>
    </w:p>
    <w:p w14:paraId="69267622" w14:textId="77777777" w:rsidR="004B4E35" w:rsidRPr="00405303" w:rsidRDefault="009E6F82" w:rsidP="00C15251">
      <w:pPr>
        <w:jc w:val="both"/>
        <w:rPr>
          <w:bCs/>
          <w:color w:val="002060"/>
          <w:sz w:val="16"/>
          <w:szCs w:val="16"/>
        </w:rPr>
      </w:pPr>
      <w:r w:rsidRPr="00405303">
        <w:rPr>
          <w:bCs/>
          <w:color w:val="002060"/>
          <w:sz w:val="16"/>
          <w:szCs w:val="16"/>
        </w:rPr>
        <w:t>6) Цена винтовки 30 долларов.</w:t>
      </w:r>
    </w:p>
    <w:p w14:paraId="038EDB22" w14:textId="77777777" w:rsidR="004B4E35" w:rsidRPr="00405303" w:rsidRDefault="009E6F82" w:rsidP="00C15251">
      <w:pPr>
        <w:jc w:val="both"/>
        <w:rPr>
          <w:bCs/>
          <w:color w:val="002060"/>
          <w:sz w:val="16"/>
          <w:szCs w:val="16"/>
        </w:rPr>
      </w:pPr>
      <w:r w:rsidRPr="00405303">
        <w:rPr>
          <w:bCs/>
          <w:color w:val="002060"/>
          <w:sz w:val="16"/>
          <w:szCs w:val="16"/>
        </w:rPr>
        <w:t xml:space="preserve">7) По окончании договора Россия приобретает от Нового Ремингтона машины, инструмент и пр. оборудование для оружейного дела. </w:t>
      </w:r>
    </w:p>
    <w:p w14:paraId="1A796698" w14:textId="77777777" w:rsidR="004B4E35" w:rsidRPr="00405303" w:rsidRDefault="009E6F82" w:rsidP="00C15251">
      <w:pPr>
        <w:jc w:val="both"/>
        <w:rPr>
          <w:bCs/>
          <w:color w:val="002060"/>
          <w:sz w:val="16"/>
          <w:szCs w:val="16"/>
        </w:rPr>
      </w:pPr>
      <w:r w:rsidRPr="00405303">
        <w:rPr>
          <w:bCs/>
          <w:color w:val="002060"/>
          <w:sz w:val="16"/>
          <w:szCs w:val="16"/>
        </w:rPr>
        <w:t xml:space="preserve">Указанное соглашение было принято Заготовительным комитетом под давлением обстоятельств, так как иного выхода не было: ружья были до зарезу нужны, а крах фирмы во всех отношениях для России был неприемлем. </w:t>
      </w:r>
    </w:p>
    <w:p w14:paraId="3E619462" w14:textId="77777777" w:rsidR="004B4E35" w:rsidRPr="00405303" w:rsidRDefault="009E6F82" w:rsidP="00C15251">
      <w:pPr>
        <w:jc w:val="both"/>
        <w:rPr>
          <w:bCs/>
          <w:color w:val="002060"/>
          <w:sz w:val="16"/>
          <w:szCs w:val="16"/>
        </w:rPr>
      </w:pPr>
      <w:r w:rsidRPr="00405303">
        <w:rPr>
          <w:bCs/>
          <w:color w:val="002060"/>
          <w:sz w:val="16"/>
          <w:szCs w:val="16"/>
        </w:rPr>
        <w:t xml:space="preserve">Таким образом, с подписанием нового контракта производство стало быстро прогрессировать, в то время как в период переговоров и неопределенности оно значительно упало. С мая по сентябрь 1917 г. завод выпускал примерно по 30 000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80"/>
        <w:gridCol w:w="816"/>
      </w:tblGrid>
      <w:tr w:rsidR="004B4E35" w:rsidRPr="00405303" w14:paraId="4616D6B5" w14:textId="77777777">
        <w:tc>
          <w:tcPr>
            <w:tcW w:w="1680" w:type="dxa"/>
          </w:tcPr>
          <w:p w14:paraId="40865229" w14:textId="77777777" w:rsidR="004B4E35" w:rsidRPr="00405303" w:rsidRDefault="009E6F82" w:rsidP="00C15251">
            <w:pPr>
              <w:jc w:val="both"/>
              <w:rPr>
                <w:bCs/>
                <w:color w:val="002060"/>
                <w:sz w:val="16"/>
                <w:szCs w:val="16"/>
              </w:rPr>
            </w:pPr>
            <w:r w:rsidRPr="00405303">
              <w:rPr>
                <w:bCs/>
                <w:color w:val="002060"/>
                <w:sz w:val="16"/>
                <w:szCs w:val="16"/>
              </w:rPr>
              <w:t>в сентябре 1917 г.</w:t>
            </w:r>
          </w:p>
        </w:tc>
        <w:tc>
          <w:tcPr>
            <w:tcW w:w="816" w:type="dxa"/>
          </w:tcPr>
          <w:p w14:paraId="7C0AD192" w14:textId="77777777" w:rsidR="004B4E35" w:rsidRPr="00405303" w:rsidRDefault="009E6F82" w:rsidP="00C15251">
            <w:pPr>
              <w:jc w:val="both"/>
              <w:rPr>
                <w:bCs/>
                <w:color w:val="002060"/>
                <w:sz w:val="16"/>
                <w:szCs w:val="16"/>
              </w:rPr>
            </w:pPr>
            <w:r w:rsidRPr="00405303">
              <w:rPr>
                <w:bCs/>
                <w:color w:val="002060"/>
                <w:sz w:val="16"/>
                <w:szCs w:val="16"/>
              </w:rPr>
              <w:t xml:space="preserve">52 000 </w:t>
            </w:r>
          </w:p>
        </w:tc>
      </w:tr>
      <w:tr w:rsidR="004B4E35" w:rsidRPr="00405303" w14:paraId="5F8919DF" w14:textId="77777777">
        <w:tc>
          <w:tcPr>
            <w:tcW w:w="1680" w:type="dxa"/>
          </w:tcPr>
          <w:p w14:paraId="7537C394" w14:textId="77777777" w:rsidR="004B4E35" w:rsidRPr="00405303" w:rsidRDefault="009E6F82" w:rsidP="00C15251">
            <w:pPr>
              <w:jc w:val="both"/>
              <w:rPr>
                <w:bCs/>
                <w:color w:val="002060"/>
                <w:sz w:val="16"/>
                <w:szCs w:val="16"/>
              </w:rPr>
            </w:pPr>
            <w:r w:rsidRPr="00405303">
              <w:rPr>
                <w:bCs/>
                <w:color w:val="002060"/>
                <w:sz w:val="16"/>
                <w:szCs w:val="16"/>
              </w:rPr>
              <w:t>в октябре</w:t>
            </w:r>
          </w:p>
        </w:tc>
        <w:tc>
          <w:tcPr>
            <w:tcW w:w="816" w:type="dxa"/>
          </w:tcPr>
          <w:p w14:paraId="7756FF32" w14:textId="77777777" w:rsidR="004B4E35" w:rsidRPr="00405303" w:rsidRDefault="009E6F82" w:rsidP="00C15251">
            <w:pPr>
              <w:jc w:val="both"/>
              <w:rPr>
                <w:bCs/>
                <w:color w:val="002060"/>
                <w:sz w:val="16"/>
                <w:szCs w:val="16"/>
              </w:rPr>
            </w:pPr>
            <w:r w:rsidRPr="00405303">
              <w:rPr>
                <w:bCs/>
                <w:color w:val="002060"/>
                <w:sz w:val="16"/>
                <w:szCs w:val="16"/>
              </w:rPr>
              <w:t xml:space="preserve">70 000 </w:t>
            </w:r>
          </w:p>
        </w:tc>
      </w:tr>
      <w:tr w:rsidR="004B4E35" w:rsidRPr="00405303" w14:paraId="62DD680C" w14:textId="77777777">
        <w:tc>
          <w:tcPr>
            <w:tcW w:w="1680" w:type="dxa"/>
          </w:tcPr>
          <w:p w14:paraId="29B271D4" w14:textId="77777777" w:rsidR="004B4E35" w:rsidRPr="00405303" w:rsidRDefault="009E6F82" w:rsidP="00C15251">
            <w:pPr>
              <w:jc w:val="both"/>
              <w:rPr>
                <w:bCs/>
                <w:color w:val="002060"/>
                <w:sz w:val="16"/>
                <w:szCs w:val="16"/>
              </w:rPr>
            </w:pPr>
            <w:r w:rsidRPr="00405303">
              <w:rPr>
                <w:bCs/>
                <w:color w:val="002060"/>
                <w:sz w:val="16"/>
                <w:szCs w:val="16"/>
              </w:rPr>
              <w:t>в ноябре</w:t>
            </w:r>
          </w:p>
        </w:tc>
        <w:tc>
          <w:tcPr>
            <w:tcW w:w="816" w:type="dxa"/>
          </w:tcPr>
          <w:p w14:paraId="3DC5A87C" w14:textId="77777777" w:rsidR="004B4E35" w:rsidRPr="00405303" w:rsidRDefault="009E6F82" w:rsidP="00C15251">
            <w:pPr>
              <w:jc w:val="both"/>
              <w:rPr>
                <w:bCs/>
                <w:color w:val="002060"/>
                <w:sz w:val="16"/>
                <w:szCs w:val="16"/>
              </w:rPr>
            </w:pPr>
            <w:r w:rsidRPr="00405303">
              <w:rPr>
                <w:bCs/>
                <w:color w:val="002060"/>
                <w:sz w:val="16"/>
                <w:szCs w:val="16"/>
              </w:rPr>
              <w:t xml:space="preserve">108 000 </w:t>
            </w:r>
          </w:p>
        </w:tc>
      </w:tr>
      <w:tr w:rsidR="004B4E35" w:rsidRPr="00405303" w14:paraId="5D74DDE2" w14:textId="77777777">
        <w:tc>
          <w:tcPr>
            <w:tcW w:w="1680" w:type="dxa"/>
          </w:tcPr>
          <w:p w14:paraId="62ED8DBE" w14:textId="77777777" w:rsidR="004B4E35" w:rsidRPr="00405303" w:rsidRDefault="009E6F82" w:rsidP="00C15251">
            <w:pPr>
              <w:jc w:val="both"/>
              <w:rPr>
                <w:bCs/>
                <w:color w:val="002060"/>
                <w:sz w:val="16"/>
                <w:szCs w:val="16"/>
              </w:rPr>
            </w:pPr>
            <w:r w:rsidRPr="00405303">
              <w:rPr>
                <w:bCs/>
                <w:color w:val="002060"/>
                <w:sz w:val="16"/>
                <w:szCs w:val="16"/>
              </w:rPr>
              <w:t>в декабре</w:t>
            </w:r>
          </w:p>
        </w:tc>
        <w:tc>
          <w:tcPr>
            <w:tcW w:w="816" w:type="dxa"/>
          </w:tcPr>
          <w:p w14:paraId="4E6395C1" w14:textId="77777777" w:rsidR="004B4E35" w:rsidRPr="00405303" w:rsidRDefault="009E6F82" w:rsidP="00C15251">
            <w:pPr>
              <w:jc w:val="both"/>
              <w:rPr>
                <w:bCs/>
                <w:color w:val="002060"/>
                <w:sz w:val="16"/>
                <w:szCs w:val="16"/>
              </w:rPr>
            </w:pPr>
            <w:r w:rsidRPr="00405303">
              <w:rPr>
                <w:bCs/>
                <w:color w:val="002060"/>
                <w:sz w:val="16"/>
                <w:szCs w:val="16"/>
              </w:rPr>
              <w:t xml:space="preserve">107 000 </w:t>
            </w:r>
          </w:p>
        </w:tc>
      </w:tr>
    </w:tbl>
    <w:p w14:paraId="67711FF5" w14:textId="77777777" w:rsidR="004B4E35" w:rsidRPr="00405303" w:rsidRDefault="009E6F82" w:rsidP="00C15251">
      <w:pPr>
        <w:jc w:val="both"/>
        <w:rPr>
          <w:bCs/>
          <w:color w:val="002060"/>
          <w:sz w:val="16"/>
          <w:szCs w:val="16"/>
        </w:rPr>
      </w:pPr>
      <w:r w:rsidRPr="00405303">
        <w:rPr>
          <w:bCs/>
          <w:color w:val="002060"/>
          <w:sz w:val="16"/>
          <w:szCs w:val="16"/>
        </w:rPr>
        <w:t xml:space="preserve">В конце 1917 г. в связи с прекращением войны Россией началась общая ликвидация работ Заготовительного комитета. Ввиду этого с Ремингтоном было выработано в январе 1918 г. особое соглашение о ликвидации контрактов. </w:t>
      </w:r>
    </w:p>
    <w:p w14:paraId="79E3F9AE" w14:textId="77777777" w:rsidR="004B4E35" w:rsidRPr="00405303" w:rsidRDefault="009E6F82" w:rsidP="00C15251">
      <w:pPr>
        <w:jc w:val="both"/>
        <w:rPr>
          <w:bCs/>
          <w:color w:val="002060"/>
          <w:sz w:val="16"/>
          <w:szCs w:val="16"/>
        </w:rPr>
      </w:pPr>
      <w:r w:rsidRPr="00405303">
        <w:rPr>
          <w:bCs/>
          <w:color w:val="002060"/>
          <w:sz w:val="16"/>
          <w:szCs w:val="16"/>
        </w:rPr>
        <w:t xml:space="preserve">Нет надобности входить в детали этого соглашения, оно чрезвычайно сложно, что и понятно при той исключительной сложности взаимоотношения сторон, которое создавалась при учреждении общества Новый Ремингтон. В общем счете всего сдано Ремингтоном 840 307 винтовок. К сожалению, не имеется данных, коими можно было бы установить, сколько же этих ружей попало в Россию и сколько Россия уплатила фирме за все время, чтобы подсчитать, во что обошлось ружье. </w:t>
      </w:r>
    </w:p>
    <w:p w14:paraId="39EE75D5" w14:textId="77777777" w:rsidR="004B4E35" w:rsidRPr="00405303" w:rsidRDefault="009E6F82" w:rsidP="00C15251">
      <w:pPr>
        <w:jc w:val="both"/>
        <w:rPr>
          <w:bCs/>
          <w:color w:val="002060"/>
          <w:sz w:val="16"/>
          <w:szCs w:val="16"/>
        </w:rPr>
      </w:pPr>
      <w:r w:rsidRPr="00405303">
        <w:rPr>
          <w:bCs/>
          <w:color w:val="002060"/>
          <w:sz w:val="16"/>
          <w:szCs w:val="16"/>
        </w:rPr>
        <w:t>В итоге заказ был выполнен Ремингтоном только в 55% его первоначального контрактного объема, причем часть эта исполнена с запозданием на 20 месяцев против контрактного срока для всего заказа (11329).</w:t>
      </w:r>
    </w:p>
    <w:p w14:paraId="0C2B3C55" w14:textId="77777777" w:rsidR="004B4E35" w:rsidRPr="00405303" w:rsidRDefault="004B4E35" w:rsidP="00C15251">
      <w:pPr>
        <w:pStyle w:val="a3"/>
        <w:jc w:val="both"/>
        <w:rPr>
          <w:bCs/>
          <w:color w:val="002060"/>
          <w:spacing w:val="0"/>
          <w:kern w:val="0"/>
          <w:position w:val="0"/>
          <w:sz w:val="16"/>
          <w:szCs w:val="16"/>
        </w:rPr>
      </w:pPr>
    </w:p>
    <w:p w14:paraId="2EB00001" w14:textId="476ABB0D" w:rsidR="004B4E35" w:rsidRPr="00405303" w:rsidRDefault="001E5E4B" w:rsidP="00C15251">
      <w:pPr>
        <w:shd w:val="clear" w:color="auto" w:fill="FFFFFF"/>
        <w:jc w:val="both"/>
        <w:rPr>
          <w:bCs/>
          <w:color w:val="002060"/>
          <w:sz w:val="16"/>
          <w:szCs w:val="16"/>
        </w:rPr>
      </w:pPr>
      <w:r w:rsidRPr="00405303">
        <w:rPr>
          <w:bCs/>
          <w:color w:val="002060"/>
          <w:sz w:val="16"/>
          <w:szCs w:val="16"/>
        </w:rPr>
        <w:t>В</w:t>
      </w:r>
      <w:r w:rsidR="00EE1C4B" w:rsidRPr="00405303">
        <w:rPr>
          <w:bCs/>
          <w:color w:val="002060"/>
          <w:sz w:val="16"/>
          <w:szCs w:val="16"/>
        </w:rPr>
        <w:t xml:space="preserve"> апреле 1915 г. на окраине Пензы началось с</w:t>
      </w:r>
      <w:r w:rsidR="009E6F82" w:rsidRPr="00405303">
        <w:rPr>
          <w:bCs/>
          <w:color w:val="002060"/>
          <w:sz w:val="16"/>
          <w:szCs w:val="16"/>
        </w:rPr>
        <w:t xml:space="preserve">троительство </w:t>
      </w:r>
      <w:r w:rsidR="00EE1C4B" w:rsidRPr="00405303">
        <w:rPr>
          <w:bCs/>
          <w:color w:val="002060"/>
          <w:sz w:val="16"/>
          <w:szCs w:val="16"/>
        </w:rPr>
        <w:t>третьего трубочного завода. Новый трубочный завод проектировали на годовое производство 3 млн 22-секундных трубок, 1 млн 45-секундных трубок и 2 млн кап</w:t>
      </w:r>
      <w:r w:rsidR="00EE1C4B" w:rsidRPr="00405303">
        <w:rPr>
          <w:bCs/>
          <w:color w:val="002060"/>
          <w:sz w:val="16"/>
          <w:szCs w:val="16"/>
        </w:rPr>
        <w:softHyphen/>
        <w:t>сюльных втулок.</w:t>
      </w:r>
    </w:p>
    <w:p w14:paraId="30FCFDA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Руководство строительством было возложено на хозяйственную строительную комиссию, возглавляемую генерал-майором Зыбиным. Его заместителем по технической части был известный специалист-трубочник гвардии полковник Дымман.</w:t>
      </w:r>
    </w:p>
    <w:p w14:paraId="749BE0F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Строительные работы продвигались очень медленно [12].</w:t>
      </w:r>
    </w:p>
    <w:p w14:paraId="1B12096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Для своевременной подготовки кадров рабочих, инженерно-тех</w:t>
      </w:r>
      <w:r w:rsidRPr="00405303">
        <w:rPr>
          <w:bCs/>
          <w:color w:val="002060"/>
          <w:sz w:val="16"/>
          <w:szCs w:val="16"/>
        </w:rPr>
        <w:softHyphen/>
        <w:t>нических работников, а также отработки технологического процесса производства трубочных изделий по заказам Военного ведомства руководству строительства был передан спиртоводочный завод, на</w:t>
      </w:r>
      <w:r w:rsidRPr="00405303">
        <w:rPr>
          <w:bCs/>
          <w:color w:val="002060"/>
          <w:sz w:val="16"/>
          <w:szCs w:val="16"/>
        </w:rPr>
        <w:softHyphen/>
        <w:t>ходившийся на улице Селиверстовской. В течение нескольких меся</w:t>
      </w:r>
      <w:r w:rsidRPr="00405303">
        <w:rPr>
          <w:bCs/>
          <w:color w:val="002060"/>
          <w:sz w:val="16"/>
          <w:szCs w:val="16"/>
        </w:rPr>
        <w:softHyphen/>
        <w:t>цев на этом заводе были организованы мастерские: литейная, сто</w:t>
      </w:r>
      <w:r w:rsidRPr="00405303">
        <w:rPr>
          <w:bCs/>
          <w:color w:val="002060"/>
          <w:sz w:val="16"/>
          <w:szCs w:val="16"/>
        </w:rPr>
        <w:softHyphen/>
        <w:t>лярная, кузнечная, механическая, инструментальная, токарно-</w:t>
      </w:r>
      <w:proofErr w:type="gramStart"/>
      <w:r w:rsidRPr="00405303">
        <w:rPr>
          <w:bCs/>
          <w:color w:val="002060"/>
          <w:sz w:val="16"/>
          <w:szCs w:val="16"/>
        </w:rPr>
        <w:t>сбо-рочная</w:t>
      </w:r>
      <w:proofErr w:type="gramEnd"/>
      <w:r w:rsidRPr="00405303">
        <w:rPr>
          <w:bCs/>
          <w:color w:val="002060"/>
          <w:sz w:val="16"/>
          <w:szCs w:val="16"/>
        </w:rPr>
        <w:t>, а также силовая станция.</w:t>
      </w:r>
    </w:p>
    <w:p w14:paraId="1E0035C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Селиверстовский отдел Пензенского трубочного завода произво</w:t>
      </w:r>
      <w:r w:rsidRPr="00405303">
        <w:rPr>
          <w:bCs/>
          <w:color w:val="002060"/>
          <w:sz w:val="16"/>
          <w:szCs w:val="16"/>
        </w:rPr>
        <w:softHyphen/>
        <w:t>дил продукцию, нужную в то время фронту: по заданию ГАУ до кон</w:t>
      </w:r>
      <w:r w:rsidRPr="00405303">
        <w:rPr>
          <w:bCs/>
          <w:color w:val="002060"/>
          <w:sz w:val="16"/>
          <w:szCs w:val="16"/>
        </w:rPr>
        <w:softHyphen/>
        <w:t>ца 1916 г. он должен был выпустить 3 млн комплектов коленчатых алюминиевых запальных трубок и медных дистанционных трубок к ручным гранатам.</w:t>
      </w:r>
    </w:p>
    <w:p w14:paraId="091CAA7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Первый заказ на производство военной продукции завод получил 24 августа 1915 г., а выпуск ее начал в апреле 1916 г. (5484).</w:t>
      </w:r>
    </w:p>
    <w:p w14:paraId="2BC4DC38" w14:textId="77777777" w:rsidR="004B4E35" w:rsidRPr="00405303" w:rsidRDefault="004B4E35" w:rsidP="00C15251">
      <w:pPr>
        <w:shd w:val="clear" w:color="auto" w:fill="FFFFFF"/>
        <w:jc w:val="both"/>
        <w:rPr>
          <w:bCs/>
          <w:color w:val="002060"/>
          <w:sz w:val="16"/>
          <w:szCs w:val="16"/>
        </w:rPr>
      </w:pPr>
    </w:p>
    <w:p w14:paraId="1AA5501E" w14:textId="77777777" w:rsidR="00816051" w:rsidRPr="00405303" w:rsidRDefault="00816051"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В апреле 1915 г. прошло ассигнование 3 410 000 руб. на расширение мастерских ТОЗ; в декабре — около 4 млн на уси</w:t>
      </w:r>
      <w:r w:rsidRPr="00405303">
        <w:rPr>
          <w:rFonts w:ascii="Times New Roman" w:hAnsi="Times New Roman" w:cs="Times New Roman"/>
          <w:bCs/>
          <w:color w:val="002060"/>
          <w:sz w:val="16"/>
          <w:szCs w:val="16"/>
        </w:rPr>
        <w:softHyphen/>
        <w:t>ление пулеметного отдела (до выпуска 20 пулеметов в сут</w:t>
      </w:r>
      <w:r w:rsidRPr="00405303">
        <w:rPr>
          <w:rFonts w:ascii="Times New Roman" w:hAnsi="Times New Roman" w:cs="Times New Roman"/>
          <w:bCs/>
          <w:color w:val="002060"/>
          <w:sz w:val="16"/>
          <w:szCs w:val="16"/>
        </w:rPr>
        <w:softHyphen/>
        <w:t>ки). Первоначально, 24 июля 1914 г., ГАУ поставило заво</w:t>
      </w:r>
      <w:r w:rsidRPr="00405303">
        <w:rPr>
          <w:rFonts w:ascii="Times New Roman" w:hAnsi="Times New Roman" w:cs="Times New Roman"/>
          <w:bCs/>
          <w:color w:val="002060"/>
          <w:sz w:val="16"/>
          <w:szCs w:val="16"/>
        </w:rPr>
        <w:softHyphen/>
        <w:t>ду задачей довести выпуск пулеметов до 80 в месяц, то есть 900 в год; два месяца спустя Ставка потребовала увеличить этот показатель до 180—202. При потребности, исчислен</w:t>
      </w:r>
      <w:r w:rsidRPr="00405303">
        <w:rPr>
          <w:rFonts w:ascii="Times New Roman" w:hAnsi="Times New Roman" w:cs="Times New Roman"/>
          <w:bCs/>
          <w:color w:val="002060"/>
          <w:sz w:val="16"/>
          <w:szCs w:val="16"/>
        </w:rPr>
        <w:softHyphen/>
        <w:t>ной на октябрь 1915 г. в 2078 пулеметов в месяц, ТОЗ вы</w:t>
      </w:r>
      <w:r w:rsidRPr="00405303">
        <w:rPr>
          <w:rFonts w:ascii="Times New Roman" w:hAnsi="Times New Roman" w:cs="Times New Roman"/>
          <w:bCs/>
          <w:color w:val="002060"/>
          <w:sz w:val="16"/>
          <w:szCs w:val="16"/>
        </w:rPr>
        <w:softHyphen/>
        <w:t>пускал около 500 шт. (в 1916 г. — свыше 900 в месяц в сред</w:t>
      </w:r>
      <w:r w:rsidRPr="00405303">
        <w:rPr>
          <w:rFonts w:ascii="Times New Roman" w:hAnsi="Times New Roman" w:cs="Times New Roman"/>
          <w:bCs/>
          <w:color w:val="002060"/>
          <w:sz w:val="16"/>
          <w:szCs w:val="16"/>
        </w:rPr>
        <w:softHyphen/>
        <w:t>нем). Всего пулеметный отдел ТОЗ дал в 1914 г. 8331, в 1915 г. — 4251, в 1916 г. — 11 072 пулемета, увеличив, таким образом, производство более чем в 10 раз (за 1914—1917 гг. было выпущено 27 477 шт., ввезено 42 318) (РГВИА. Ф. 369. Оп. 3. Д. 74. Л. 85 об. - 86. В.Н. Ашурков и С.Л. Федосеев, ссылаясь на Барсукова и Маниковского, указывают вы</w:t>
      </w:r>
      <w:r w:rsidRPr="00405303">
        <w:rPr>
          <w:rFonts w:ascii="Times New Roman" w:hAnsi="Times New Roman" w:cs="Times New Roman"/>
          <w:bCs/>
          <w:color w:val="002060"/>
          <w:sz w:val="16"/>
          <w:szCs w:val="16"/>
        </w:rPr>
        <w:softHyphen/>
        <w:t>пуск 1914 г. в размере 1184 пулемета. Очевидно, 833 — это количество пулеметов со станками (см. Барсуков Е.З. Артиллерия русской армии. М., 1949. Т. 2. С. 272. Табл. 50; Ашурков В.Н. Введение автоматического оружия в русской армии. Военное ведомство и концерн «Виккерс—Мак</w:t>
      </w:r>
      <w:r w:rsidRPr="00405303">
        <w:rPr>
          <w:rFonts w:ascii="Times New Roman" w:hAnsi="Times New Roman" w:cs="Times New Roman"/>
          <w:bCs/>
          <w:color w:val="002060"/>
          <w:sz w:val="16"/>
          <w:szCs w:val="16"/>
        </w:rPr>
        <w:softHyphen/>
        <w:t>сим» // Из истории Тульского края. Тула, 1972. С. 79; Федосеев С. Пу</w:t>
      </w:r>
      <w:r w:rsidRPr="00405303">
        <w:rPr>
          <w:rFonts w:ascii="Times New Roman" w:hAnsi="Times New Roman" w:cs="Times New Roman"/>
          <w:bCs/>
          <w:color w:val="002060"/>
          <w:sz w:val="16"/>
          <w:szCs w:val="16"/>
        </w:rPr>
        <w:softHyphen/>
        <w:t>леметы русской армии. М., 2008. С. 78). У Сухова выпуск пулеметов в 1914 г. — 1307, включая морские, но станков — 825. В 1916 г., выпустив 11 072 пулемета, ТОЗ для них изготовил 8013 станков (Сухов В.А. Про</w:t>
      </w:r>
      <w:r w:rsidRPr="00405303">
        <w:rPr>
          <w:rFonts w:ascii="Times New Roman" w:hAnsi="Times New Roman" w:cs="Times New Roman"/>
          <w:bCs/>
          <w:color w:val="002060"/>
          <w:sz w:val="16"/>
          <w:szCs w:val="16"/>
        </w:rPr>
        <w:softHyphen/>
        <w:t>изводство вооружения. С. 28).</w:t>
      </w:r>
    </w:p>
    <w:p w14:paraId="52FF5D0C" w14:textId="77777777" w:rsidR="00816051" w:rsidRPr="00405303" w:rsidRDefault="00816051" w:rsidP="00C15251">
      <w:pPr>
        <w:jc w:val="both"/>
        <w:rPr>
          <w:bCs/>
          <w:color w:val="002060"/>
          <w:sz w:val="16"/>
          <w:szCs w:val="16"/>
        </w:rPr>
      </w:pPr>
      <w:r w:rsidRPr="00405303">
        <w:rPr>
          <w:bCs/>
          <w:color w:val="002060"/>
          <w:sz w:val="16"/>
          <w:szCs w:val="16"/>
        </w:rPr>
        <w:t>Банков С.Н. О состоянии нашей металлообрабатывающей промыш</w:t>
      </w:r>
      <w:r w:rsidRPr="00405303">
        <w:rPr>
          <w:bCs/>
          <w:color w:val="002060"/>
          <w:sz w:val="16"/>
          <w:szCs w:val="16"/>
        </w:rPr>
        <w:softHyphen/>
        <w:t>ленности к началу войны 1914 г. и во время войны // Научно-техниче</w:t>
      </w:r>
      <w:r w:rsidRPr="00405303">
        <w:rPr>
          <w:bCs/>
          <w:color w:val="002060"/>
          <w:sz w:val="16"/>
          <w:szCs w:val="16"/>
        </w:rPr>
        <w:softHyphen/>
        <w:t>ский вестник. 1921. № 6. С. 6). Пополнение оборудования опережало расширение площадей: к концу войны пространство на один станок сократилось почти втрое.</w:t>
      </w:r>
    </w:p>
    <w:p w14:paraId="29A18082" w14:textId="77777777" w:rsidR="00816051" w:rsidRPr="00405303" w:rsidRDefault="00816051" w:rsidP="00C15251">
      <w:pPr>
        <w:jc w:val="both"/>
        <w:rPr>
          <w:bCs/>
          <w:color w:val="002060"/>
          <w:sz w:val="16"/>
          <w:szCs w:val="16"/>
        </w:rPr>
      </w:pPr>
      <w:r w:rsidRPr="00405303">
        <w:rPr>
          <w:bCs/>
          <w:color w:val="002060"/>
          <w:sz w:val="16"/>
          <w:szCs w:val="16"/>
        </w:rPr>
        <w:t>По словам генерала-артиллериста В.С. Михайлова, с на</w:t>
      </w:r>
      <w:r w:rsidRPr="00405303">
        <w:rPr>
          <w:bCs/>
          <w:color w:val="002060"/>
          <w:sz w:val="16"/>
          <w:szCs w:val="16"/>
        </w:rPr>
        <w:softHyphen/>
        <w:t>чала войны и до 1916 г. Тульский завод «не испытывал осо</w:t>
      </w:r>
      <w:r w:rsidRPr="00405303">
        <w:rPr>
          <w:bCs/>
          <w:color w:val="002060"/>
          <w:sz w:val="16"/>
          <w:szCs w:val="16"/>
        </w:rPr>
        <w:softHyphen/>
        <w:t>бых затруднений» ни в деньгах, ни в материалах («хотя нередко приходилось пользоваться материалами некондици</w:t>
      </w:r>
      <w:r w:rsidRPr="00405303">
        <w:rPr>
          <w:bCs/>
          <w:color w:val="002060"/>
          <w:sz w:val="16"/>
          <w:szCs w:val="16"/>
        </w:rPr>
        <w:softHyphen/>
        <w:t>онными»), ни в рабочей силе, за исключением инструмен</w:t>
      </w:r>
      <w:r w:rsidRPr="00405303">
        <w:rPr>
          <w:bCs/>
          <w:color w:val="002060"/>
          <w:sz w:val="16"/>
          <w:szCs w:val="16"/>
        </w:rPr>
        <w:softHyphen/>
        <w:t>тальщиков и лекальщиков: в рабочих наиболее высоких ква</w:t>
      </w:r>
      <w:r w:rsidRPr="00405303">
        <w:rPr>
          <w:bCs/>
          <w:color w:val="002060"/>
          <w:sz w:val="16"/>
          <w:szCs w:val="16"/>
        </w:rPr>
        <w:softHyphen/>
        <w:t>лификаций «завод во время войны испытывал ощутительную нужду. Но уже в 1916 г. в заводе стал чувствоваться... общий промышленно-экономический кризис... осложненный кри</w:t>
      </w:r>
      <w:r w:rsidRPr="00405303">
        <w:rPr>
          <w:bCs/>
          <w:color w:val="002060"/>
          <w:sz w:val="16"/>
          <w:szCs w:val="16"/>
        </w:rPr>
        <w:softHyphen/>
        <w:t>зисом транспортным». Начались перебои с доставкой топли</w:t>
      </w:r>
      <w:r w:rsidRPr="00405303">
        <w:rPr>
          <w:bCs/>
          <w:color w:val="002060"/>
          <w:sz w:val="16"/>
          <w:szCs w:val="16"/>
        </w:rPr>
        <w:softHyphen/>
        <w:t>ва и сталью (Генерал В.С. Михайлов. С. 105; Сухов В.А. Производство вооруже</w:t>
      </w:r>
      <w:r w:rsidRPr="00405303">
        <w:rPr>
          <w:bCs/>
          <w:color w:val="002060"/>
          <w:sz w:val="16"/>
          <w:szCs w:val="16"/>
        </w:rPr>
        <w:softHyphen/>
        <w:t>ния. С. 23, 25, 26) (23452).</w:t>
      </w:r>
    </w:p>
    <w:p w14:paraId="33CBCB53" w14:textId="77777777" w:rsidR="00816051" w:rsidRPr="00405303" w:rsidRDefault="00816051" w:rsidP="00C15251">
      <w:pPr>
        <w:jc w:val="both"/>
        <w:rPr>
          <w:bCs/>
          <w:color w:val="002060"/>
          <w:sz w:val="16"/>
          <w:szCs w:val="16"/>
        </w:rPr>
      </w:pPr>
    </w:p>
    <w:p w14:paraId="4ABBE631" w14:textId="77777777" w:rsidR="001E5E4B" w:rsidRPr="00405303" w:rsidRDefault="001E5E4B" w:rsidP="001E5E4B">
      <w:pPr>
        <w:jc w:val="both"/>
        <w:rPr>
          <w:color w:val="0070C0"/>
          <w:sz w:val="16"/>
          <w:szCs w:val="16"/>
        </w:rPr>
      </w:pPr>
      <w:r w:rsidRPr="00405303">
        <w:rPr>
          <w:color w:val="0070C0"/>
          <w:sz w:val="16"/>
          <w:szCs w:val="16"/>
        </w:rPr>
        <w:t>В апреле 1915 года создана организация по привлечению частной промышленности для экстренной ликвидации дефицита снарядов. Во главе её поставлен генерал-лейтенант С.Н. Ванков с чрезвычайными полномочиями (24912).</w:t>
      </w:r>
    </w:p>
    <w:p w14:paraId="257AC20A" w14:textId="77777777" w:rsidR="001E5E4B" w:rsidRPr="00405303" w:rsidRDefault="001E5E4B" w:rsidP="001E5E4B">
      <w:pPr>
        <w:jc w:val="both"/>
        <w:rPr>
          <w:color w:val="0070C0"/>
          <w:sz w:val="16"/>
          <w:szCs w:val="16"/>
        </w:rPr>
      </w:pPr>
    </w:p>
    <w:p w14:paraId="3A411847"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6E4D1DA7" w14:textId="77777777" w:rsidR="004B4E35" w:rsidRPr="00405303" w:rsidRDefault="004B4E35" w:rsidP="00C15251">
      <w:pPr>
        <w:shd w:val="clear" w:color="auto" w:fill="FFFFFF"/>
        <w:jc w:val="both"/>
        <w:rPr>
          <w:bCs/>
          <w:i/>
          <w:color w:val="002060"/>
          <w:sz w:val="16"/>
          <w:szCs w:val="16"/>
        </w:rPr>
      </w:pPr>
    </w:p>
    <w:p w14:paraId="4B1A9266" w14:textId="3E5EEA95" w:rsidR="004B4E35" w:rsidRPr="00405303" w:rsidRDefault="009E6F82" w:rsidP="00C15251">
      <w:pPr>
        <w:jc w:val="both"/>
        <w:rPr>
          <w:bCs/>
          <w:color w:val="002060"/>
          <w:sz w:val="16"/>
          <w:szCs w:val="16"/>
        </w:rPr>
      </w:pPr>
      <w:r w:rsidRPr="00405303">
        <w:rPr>
          <w:bCs/>
          <w:color w:val="002060"/>
          <w:sz w:val="16"/>
          <w:szCs w:val="16"/>
        </w:rPr>
        <w:t xml:space="preserve">В апреле </w:t>
      </w:r>
      <w:r w:rsidR="009458FA" w:rsidRPr="00405303">
        <w:rPr>
          <w:bCs/>
          <w:color w:val="002060"/>
          <w:sz w:val="16"/>
          <w:szCs w:val="16"/>
        </w:rPr>
        <w:t xml:space="preserve">1915 гю </w:t>
      </w:r>
      <w:r w:rsidRPr="00405303">
        <w:rPr>
          <w:bCs/>
          <w:color w:val="002060"/>
          <w:sz w:val="16"/>
          <w:szCs w:val="16"/>
        </w:rPr>
        <w:t>Головин разбил последний корабль типа Б (VI, № 137), при этом сам чудом остался в живых. Незадолго до этой аварии "прихлопнул" при посадке свой V корабль (№ 143) штабс-капитан Алехнович. Надо отметить, что многочисленные поломки и аварии на заключительной фазе полёта были связаны с манерой посадки, которую практиковал Сикорский и которой он обучил летчиков "Муромцев". Самолёт снижал скорость с периодическим отключением и включением двигателей ("на контакте"), выравнивался на высоте 5-6 метров, максимально снижал скорость, а потом двигатели отключались и аппарат "плюхался" с этой высоты. Иногда ломались стойки шасси, но чаще самолёт делал прыжок (давал "козла") и вновь касался земли. И так - несколько раз. Подобная методика была приемлема на лёгких самолётах, но на гиганте "Муромце" так сажать без аварий могли только очень опытные пилоты. Командир II корабля Панкратьев использовал другую методику - сажал самолёт на "три точки", т.е. снижал высоту и скорость почти до самой земли, при этом двигатели отключались только в момент касания земли колёсами и хвостовой опорой (12041).</w:t>
      </w:r>
    </w:p>
    <w:p w14:paraId="556F423F" w14:textId="77777777" w:rsidR="004B4E35" w:rsidRPr="00405303" w:rsidRDefault="004B4E35" w:rsidP="00C15251">
      <w:pPr>
        <w:jc w:val="both"/>
        <w:rPr>
          <w:bCs/>
          <w:color w:val="002060"/>
          <w:sz w:val="16"/>
          <w:szCs w:val="16"/>
        </w:rPr>
      </w:pPr>
    </w:p>
    <w:p w14:paraId="5D7FC0D3" w14:textId="77777777" w:rsidR="009458FA" w:rsidRPr="00405303" w:rsidRDefault="009458FA" w:rsidP="00C15251">
      <w:pPr>
        <w:jc w:val="both"/>
        <w:rPr>
          <w:bCs/>
          <w:color w:val="002060"/>
          <w:sz w:val="16"/>
          <w:szCs w:val="16"/>
        </w:rPr>
      </w:pPr>
      <w:r w:rsidRPr="00405303">
        <w:rPr>
          <w:bCs/>
          <w:color w:val="002060"/>
          <w:sz w:val="16"/>
          <w:szCs w:val="16"/>
        </w:rPr>
        <w:t xml:space="preserve">С апреля 1915 г. Ефимов находился в действующей армии в качестве летчика-охотника (добровольца) 32-го, авиационного отряда. Успешно выполнял боевые задания по разведке и бомбометанию. Одновременно заведовал технической частью отряда. В июне его перевели в авиационный отряд гвардейского корпуса. Осенью Ефимов, после нескольких ходатайств руководства школы авиации, откомандирован на Качу. К этому времени летчик был полным Георгиевским кавалером. А в ноябре его произвели в прапорщики. Ефимов решил разработать двухмоторный бронированный самолет. Ему удалось заинтересовать “заведующего авиацией” 4 марта 1916 г. он был командирован в Киев “для разработки проекта аппарата собственной системы”. Но через две недели из-за интриг чиновников Авиаканца оказался на гауптвахте, а затем — в 6-м авиационном отряде. В перерывах между боевыми вылетами летчик завершил проектные работы. “Заведующий авиацией” затребовал чертежи. Их дальнейшая судьба неизвестна. 22 июля 1916 г. командир авиадивизиона В. А. Юнгмейстер отправил в Авиаканц телеграмму: “Ввиду выдающихся способностей прапорщика Ефимова управлять быстроходными самолетами, ходатайствую о переводе его в 4-й отряд истребителей”. Ходатайство было удовлетворено. На Румынском фронте он летал на одноместном самолете “Ньюпор-XI”, маневренной и скороподъемной машине, но очень строгой в управлении на взлёте и посадке. Она была вооружена пулеметом, стрелявшим поверх винта. На этом истребителе Ефимов выполнил десятки боевых вылетов и одержал ряд побед. В начале 1917 г. его перевели в гидроавиацию Черноморского флота. </w:t>
      </w:r>
    </w:p>
    <w:p w14:paraId="091547A1" w14:textId="77777777" w:rsidR="009458FA" w:rsidRPr="00405303" w:rsidRDefault="009458FA" w:rsidP="00C15251">
      <w:pPr>
        <w:pStyle w:val="a3"/>
        <w:jc w:val="both"/>
        <w:rPr>
          <w:bCs/>
          <w:color w:val="002060"/>
          <w:spacing w:val="0"/>
          <w:kern w:val="0"/>
          <w:position w:val="0"/>
          <w:sz w:val="16"/>
          <w:szCs w:val="16"/>
        </w:rPr>
      </w:pPr>
    </w:p>
    <w:p w14:paraId="3FD6F766" w14:textId="77777777" w:rsidR="00164794" w:rsidRPr="00405303" w:rsidRDefault="00164794" w:rsidP="00164794">
      <w:pPr>
        <w:jc w:val="both"/>
        <w:rPr>
          <w:color w:val="0070C0"/>
          <w:sz w:val="16"/>
          <w:szCs w:val="16"/>
        </w:rPr>
      </w:pPr>
      <w:r w:rsidRPr="00405303">
        <w:rPr>
          <w:color w:val="0070C0"/>
          <w:sz w:val="16"/>
          <w:szCs w:val="16"/>
        </w:rPr>
        <w:t>В апреле 1915 г. в ответ на успешные действия «муромцев» немцы совершили налет на Яблонну. Для защиты аэродрома от атак с воздуха около самолетных стоянок установили стационарные и подвижные самодельные зенитные пулеметные установки, а затем - и «воздухобойную» батарею орудий. Так начала формироваться система ПВО Эскадры (24965).</w:t>
      </w:r>
    </w:p>
    <w:p w14:paraId="34DDDF65" w14:textId="77777777" w:rsidR="00164794" w:rsidRPr="00405303" w:rsidRDefault="00164794" w:rsidP="00164794">
      <w:pPr>
        <w:jc w:val="both"/>
        <w:rPr>
          <w:color w:val="0070C0"/>
          <w:sz w:val="16"/>
          <w:szCs w:val="16"/>
        </w:rPr>
      </w:pPr>
    </w:p>
    <w:p w14:paraId="76D681CD" w14:textId="77777777" w:rsidR="008F2DD2" w:rsidRPr="00405303" w:rsidRDefault="008F2DD2" w:rsidP="00C15251">
      <w:pPr>
        <w:jc w:val="both"/>
        <w:rPr>
          <w:bCs/>
          <w:color w:val="002060"/>
          <w:sz w:val="16"/>
          <w:szCs w:val="16"/>
        </w:rPr>
      </w:pPr>
      <w:r w:rsidRPr="00405303">
        <w:rPr>
          <w:bCs/>
          <w:color w:val="002060"/>
          <w:sz w:val="16"/>
          <w:szCs w:val="16"/>
          <w:lang w:bidi="en-US"/>
        </w:rPr>
        <w:t>В апреле 1915 года для защиты Царской резиденции была создана специальная зенитная батарея. В ее состав входили три полубатареи с двенадцатью 76-мм полевыми орудиями на стационарных установках, автоматическая полубатарея с четырьмя орудиями и пулеметным отделением. Позднее автополбатарея участвовала в тяжелых боях в июле-октябре 1916 года под Луцком (23525).</w:t>
      </w:r>
    </w:p>
    <w:p w14:paraId="1E3E923B" w14:textId="77777777" w:rsidR="008F2DD2" w:rsidRPr="00405303" w:rsidRDefault="008F2DD2" w:rsidP="00C15251">
      <w:pPr>
        <w:jc w:val="both"/>
        <w:rPr>
          <w:bCs/>
          <w:color w:val="002060"/>
          <w:sz w:val="16"/>
          <w:szCs w:val="16"/>
          <w:lang w:bidi="en-US"/>
        </w:rPr>
      </w:pPr>
    </w:p>
    <w:p w14:paraId="284D5A02"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3A82C084" w14:textId="77777777" w:rsidR="004B4E35" w:rsidRPr="00405303" w:rsidRDefault="004B4E35" w:rsidP="00C15251">
      <w:pPr>
        <w:shd w:val="clear" w:color="auto" w:fill="FFFFFF"/>
        <w:jc w:val="both"/>
        <w:rPr>
          <w:bCs/>
          <w:i/>
          <w:color w:val="002060"/>
          <w:sz w:val="16"/>
          <w:szCs w:val="16"/>
        </w:rPr>
      </w:pPr>
    </w:p>
    <w:p w14:paraId="45204DDC" w14:textId="773A5CE2" w:rsidR="004B4E35" w:rsidRPr="00405303" w:rsidRDefault="00D40F7F"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апреля 1915 года </w:t>
      </w:r>
      <w:r w:rsidRPr="00405303">
        <w:rPr>
          <w:bCs/>
          <w:color w:val="002060"/>
          <w:sz w:val="16"/>
          <w:szCs w:val="16"/>
        </w:rPr>
        <w:t xml:space="preserve">кроме двух «Императоров», </w:t>
      </w:r>
      <w:r w:rsidR="009E6F82" w:rsidRPr="00405303">
        <w:rPr>
          <w:bCs/>
          <w:color w:val="002060"/>
          <w:sz w:val="16"/>
          <w:szCs w:val="16"/>
        </w:rPr>
        <w:t>гидроаэропланы применялись и еще с одного корабля флота Черного моря – крейсера «Алмаз» (11166).</w:t>
      </w:r>
    </w:p>
    <w:p w14:paraId="0357DCD3" w14:textId="77777777" w:rsidR="004B4E35" w:rsidRPr="00405303" w:rsidRDefault="004B4E35" w:rsidP="00C15251">
      <w:pPr>
        <w:jc w:val="both"/>
        <w:rPr>
          <w:bCs/>
          <w:color w:val="002060"/>
          <w:sz w:val="16"/>
          <w:szCs w:val="16"/>
        </w:rPr>
      </w:pPr>
    </w:p>
    <w:p w14:paraId="3C4324C7" w14:textId="77777777" w:rsidR="00B41CA3" w:rsidRPr="00405303" w:rsidRDefault="00B41CA3" w:rsidP="00C15251">
      <w:pPr>
        <w:jc w:val="both"/>
        <w:rPr>
          <w:bCs/>
          <w:color w:val="002060"/>
          <w:sz w:val="16"/>
          <w:szCs w:val="16"/>
        </w:rPr>
      </w:pPr>
      <w:r w:rsidRPr="00405303">
        <w:rPr>
          <w:bCs/>
          <w:color w:val="002060"/>
          <w:sz w:val="16"/>
          <w:szCs w:val="16"/>
        </w:rPr>
        <w:t>В апреле 1915 г. Черноморцы трезво оценивали сложность полётов над морем вне видимости береговых ориентиров, о чём свидетельствуют их дополнительные требования к оборудованию самолётов. За подписью начальника штаба командующего Черноморским флотом адмирала Плансона их довели до сведения начальника Морского генерального штаба: "...все аппараты снабдить помпами для выкачивания воды из лодок, кренометрами поперечными и продольными и виофанами (по- видимому измерителями скорости, прим. авт.). Все лодки кроме атлантических снабдить приспособлениями для подъёма на суда" (11930).</w:t>
      </w:r>
    </w:p>
    <w:p w14:paraId="76E6AB73" w14:textId="77777777" w:rsidR="00B41CA3" w:rsidRPr="00405303" w:rsidRDefault="00B41CA3" w:rsidP="00C15251">
      <w:pPr>
        <w:jc w:val="both"/>
        <w:rPr>
          <w:bCs/>
          <w:color w:val="002060"/>
          <w:sz w:val="16"/>
          <w:szCs w:val="16"/>
        </w:rPr>
      </w:pPr>
    </w:p>
    <w:p w14:paraId="67601FD8" w14:textId="77777777" w:rsidR="008F2DD2" w:rsidRPr="00405303" w:rsidRDefault="008F2DD2" w:rsidP="00C15251">
      <w:pPr>
        <w:jc w:val="both"/>
        <w:rPr>
          <w:bCs/>
          <w:color w:val="002060"/>
          <w:sz w:val="16"/>
          <w:szCs w:val="16"/>
        </w:rPr>
      </w:pPr>
      <w:r w:rsidRPr="00405303">
        <w:rPr>
          <w:bCs/>
          <w:color w:val="002060"/>
          <w:sz w:val="16"/>
          <w:szCs w:val="16"/>
          <w:lang w:bidi="en-US"/>
        </w:rPr>
        <w:t>В апреле 1915 г. Балтийский флот сформировал авиационный отряд специального назначения в составе одного гидросамолета «Фарман» и морского летчика командира Б. М. Миллера, который был направлен в Сербию для защиты порта Прахово на реке Дунай от австро-венгерской авиации. В апреле сербское верховное командование направило туда два самолета из Белграда. Сообщается, что 13 мая наводчики трех российских кораблей вынудили австро-венгерский самолет приземлиться возле Оршова. Порт в Прахово был жизненно важным пунктом снабжения русских военных грузов, достигавших Сербии (23525).</w:t>
      </w:r>
    </w:p>
    <w:p w14:paraId="6DB29A53" w14:textId="77777777" w:rsidR="008F2DD2" w:rsidRPr="00405303" w:rsidRDefault="008F2DD2" w:rsidP="00C15251">
      <w:pPr>
        <w:jc w:val="both"/>
        <w:rPr>
          <w:bCs/>
          <w:color w:val="002060"/>
          <w:sz w:val="16"/>
          <w:szCs w:val="16"/>
        </w:rPr>
      </w:pPr>
    </w:p>
    <w:p w14:paraId="5CBF2D58" w14:textId="77777777" w:rsidR="004B4E35" w:rsidRPr="00405303" w:rsidRDefault="009E6F82" w:rsidP="00C15251">
      <w:pPr>
        <w:jc w:val="both"/>
        <w:rPr>
          <w:bCs/>
          <w:i/>
          <w:color w:val="002060"/>
          <w:sz w:val="16"/>
          <w:szCs w:val="16"/>
        </w:rPr>
      </w:pPr>
      <w:r w:rsidRPr="00405303">
        <w:rPr>
          <w:bCs/>
          <w:i/>
          <w:color w:val="002060"/>
          <w:sz w:val="16"/>
          <w:szCs w:val="16"/>
        </w:rPr>
        <w:t>Внешняя политика:</w:t>
      </w:r>
    </w:p>
    <w:p w14:paraId="2D3B66A1" w14:textId="77777777" w:rsidR="004B4E35" w:rsidRPr="00405303" w:rsidRDefault="004B4E35" w:rsidP="00C15251">
      <w:pPr>
        <w:jc w:val="both"/>
        <w:rPr>
          <w:bCs/>
          <w:i/>
          <w:color w:val="002060"/>
          <w:sz w:val="16"/>
          <w:szCs w:val="16"/>
        </w:rPr>
      </w:pPr>
    </w:p>
    <w:p w14:paraId="10461430" w14:textId="77777777" w:rsidR="00D40F7F" w:rsidRPr="00405303" w:rsidRDefault="00D40F7F"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апреле 1915 г.</w:t>
      </w:r>
      <w:r w:rsidRPr="00405303">
        <w:rPr>
          <w:bCs/>
          <w:color w:val="002060"/>
          <w:sz w:val="16"/>
          <w:szCs w:val="16"/>
        </w:rPr>
        <w:t xml:space="preserve"> должна была начаться сдача патронов из Канады</w:t>
      </w:r>
      <w:r w:rsidR="009E6F82" w:rsidRPr="00405303">
        <w:rPr>
          <w:bCs/>
          <w:color w:val="002060"/>
          <w:sz w:val="16"/>
          <w:szCs w:val="16"/>
        </w:rPr>
        <w:t>, между тем в мае Канадская компания еще не приступила к производству этой работы, прежде всего ввиду финансовых затруднений.</w:t>
      </w:r>
    </w:p>
    <w:p w14:paraId="1E3540FC" w14:textId="77777777" w:rsidR="00D40F7F" w:rsidRPr="00405303" w:rsidRDefault="00D40F7F" w:rsidP="00C15251">
      <w:pPr>
        <w:jc w:val="both"/>
        <w:rPr>
          <w:bCs/>
          <w:color w:val="002060"/>
          <w:sz w:val="16"/>
          <w:szCs w:val="16"/>
        </w:rPr>
      </w:pPr>
      <w:r w:rsidRPr="00405303">
        <w:rPr>
          <w:bCs/>
          <w:color w:val="002060"/>
          <w:sz w:val="16"/>
          <w:szCs w:val="16"/>
        </w:rPr>
        <w:t xml:space="preserve">В феврале 1915 г. с Канадской компанией был заключен договор на поставку следующих припасов. </w:t>
      </w:r>
    </w:p>
    <w:p w14:paraId="7C0AC003" w14:textId="77777777" w:rsidR="00D40F7F" w:rsidRPr="00405303" w:rsidRDefault="00D40F7F" w:rsidP="00C15251">
      <w:pPr>
        <w:jc w:val="both"/>
        <w:rPr>
          <w:bCs/>
          <w:color w:val="002060"/>
          <w:sz w:val="16"/>
          <w:szCs w:val="16"/>
        </w:rPr>
      </w:pPr>
      <w:r w:rsidRPr="00405303">
        <w:rPr>
          <w:bCs/>
          <w:color w:val="002060"/>
          <w:sz w:val="16"/>
          <w:szCs w:val="16"/>
        </w:rPr>
        <w:t xml:space="preserve">3-дм гранатные патроны — 4.500.000, 3-дм шрапнельные патроны — 5.000.000 по цене за патрон 16 дол. 97 ц. и часть по 15 дол. 85 центов. </w:t>
      </w:r>
    </w:p>
    <w:p w14:paraId="43752355" w14:textId="77777777" w:rsidR="00D40F7F" w:rsidRPr="00405303" w:rsidRDefault="00D40F7F" w:rsidP="00C15251">
      <w:pPr>
        <w:jc w:val="both"/>
        <w:rPr>
          <w:bCs/>
          <w:color w:val="002060"/>
          <w:sz w:val="16"/>
          <w:szCs w:val="16"/>
        </w:rPr>
      </w:pPr>
      <w:r w:rsidRPr="00405303">
        <w:rPr>
          <w:bCs/>
          <w:color w:val="002060"/>
          <w:sz w:val="16"/>
          <w:szCs w:val="16"/>
        </w:rPr>
        <w:t xml:space="preserve">Контрактами предусмотрены были следующие сроки: начало сдачи в апреле 1915 г. и конец в январе 1916 года. За заказчиками оговорено право: за три месяца до окончания срока потребовать продолжение заказа в размере еще 3.000.000 патронов по той же цене. </w:t>
      </w:r>
    </w:p>
    <w:p w14:paraId="7FD9519C" w14:textId="77777777" w:rsidR="00D40F7F" w:rsidRPr="00405303" w:rsidRDefault="00D40F7F" w:rsidP="00C15251">
      <w:pPr>
        <w:jc w:val="both"/>
        <w:rPr>
          <w:bCs/>
          <w:color w:val="002060"/>
          <w:sz w:val="16"/>
          <w:szCs w:val="16"/>
        </w:rPr>
      </w:pPr>
      <w:r w:rsidRPr="00405303">
        <w:rPr>
          <w:bCs/>
          <w:color w:val="002060"/>
          <w:sz w:val="16"/>
          <w:szCs w:val="16"/>
        </w:rPr>
        <w:t xml:space="preserve">Патрон состоял из следующих частей: корпус снаряда, орудийная гильза, бездымный порох, дистанционная трубка или взрыватель, взрывчатое вещество и капсюльная втулка. К кругу производственных работ, помимо изготовления указанных частей, относились снаряжательные работы. </w:t>
      </w:r>
    </w:p>
    <w:p w14:paraId="4F1CD6CA" w14:textId="77777777" w:rsidR="00D40F7F" w:rsidRPr="00405303" w:rsidRDefault="00D40F7F" w:rsidP="00C15251">
      <w:pPr>
        <w:jc w:val="both"/>
        <w:rPr>
          <w:bCs/>
          <w:color w:val="002060"/>
          <w:sz w:val="16"/>
          <w:szCs w:val="16"/>
        </w:rPr>
      </w:pPr>
      <w:r w:rsidRPr="00405303">
        <w:rPr>
          <w:bCs/>
          <w:color w:val="002060"/>
          <w:sz w:val="16"/>
          <w:szCs w:val="16"/>
        </w:rPr>
        <w:t xml:space="preserve">Военное ведомство, заключая этот контракт, рассчитывало при помощи американского рынка в кратчайший срок восполнить острый недостаток в патронах полевой артиллерии, обнаружившийся уже в конце 1914 года. </w:t>
      </w:r>
    </w:p>
    <w:p w14:paraId="2068ECCF" w14:textId="77777777" w:rsidR="00D40F7F" w:rsidRPr="00405303" w:rsidRDefault="00D40F7F" w:rsidP="00C15251">
      <w:pPr>
        <w:jc w:val="both"/>
        <w:rPr>
          <w:bCs/>
          <w:color w:val="002060"/>
          <w:sz w:val="16"/>
          <w:szCs w:val="16"/>
        </w:rPr>
      </w:pPr>
      <w:r w:rsidRPr="00405303">
        <w:rPr>
          <w:bCs/>
          <w:color w:val="002060"/>
          <w:sz w:val="16"/>
          <w:szCs w:val="16"/>
        </w:rPr>
        <w:t xml:space="preserve">Однако с первых же шагов пришлось убедиться в том, что эти надежды не имеют под собой достаточной почвы. </w:t>
      </w:r>
    </w:p>
    <w:p w14:paraId="693EAC7B" w14:textId="2DDD4F3A" w:rsidR="004B4E35" w:rsidRPr="00405303" w:rsidRDefault="009E6F82" w:rsidP="00C15251">
      <w:pPr>
        <w:jc w:val="both"/>
        <w:rPr>
          <w:bCs/>
          <w:color w:val="002060"/>
          <w:sz w:val="16"/>
          <w:szCs w:val="16"/>
        </w:rPr>
      </w:pPr>
      <w:r w:rsidRPr="00405303">
        <w:rPr>
          <w:bCs/>
          <w:color w:val="002060"/>
          <w:sz w:val="16"/>
          <w:szCs w:val="16"/>
        </w:rPr>
        <w:t xml:space="preserve">Компания не могла получить банковских гарантий в обеспечение выданных авансов, предусмотренных контрактом. Это было неудивительно, так как, беря заказ на 80 млн долларов, Компания располагала собственным капиталом всего лишь в 3 млн долларов. </w:t>
      </w:r>
    </w:p>
    <w:p w14:paraId="246BE352" w14:textId="77777777" w:rsidR="004B4E35" w:rsidRPr="00405303" w:rsidRDefault="009E6F82" w:rsidP="00C15251">
      <w:pPr>
        <w:jc w:val="both"/>
        <w:rPr>
          <w:bCs/>
          <w:color w:val="002060"/>
          <w:sz w:val="16"/>
          <w:szCs w:val="16"/>
        </w:rPr>
      </w:pPr>
      <w:r w:rsidRPr="00405303">
        <w:rPr>
          <w:bCs/>
          <w:color w:val="002060"/>
          <w:sz w:val="16"/>
          <w:szCs w:val="16"/>
        </w:rPr>
        <w:t xml:space="preserve">Ввиду указанных обстоятельств ГАУ вынуждено было пойти на уступки в вопросе об обеспечении авансов и даже соглашалось в крайнем случае не требовать никакого обеспечения, лишь бы не задерживать работу. Забегая несколько вперед, нужно указать, что дело с авансами продолжалось в таком роде и дальше, и через год Компания получила уже около 20 млн долларов ссуд, причем из них свыше 50% оставалось не покрытыми никакими обеспечениями, а остальная часть была покрыта обеспечениями сомнительного характера. При этих обстоятельствах Заготовительному комитету, понятно, приходилось уделять очень много внимания и финансовой стороне дела. </w:t>
      </w:r>
    </w:p>
    <w:p w14:paraId="59FC8533" w14:textId="77777777" w:rsidR="004B4E35" w:rsidRPr="00405303" w:rsidRDefault="009E6F82" w:rsidP="00C15251">
      <w:pPr>
        <w:jc w:val="both"/>
        <w:rPr>
          <w:bCs/>
          <w:color w:val="002060"/>
          <w:sz w:val="16"/>
          <w:szCs w:val="16"/>
        </w:rPr>
      </w:pPr>
      <w:r w:rsidRPr="00405303">
        <w:rPr>
          <w:bCs/>
          <w:color w:val="002060"/>
          <w:sz w:val="16"/>
          <w:szCs w:val="16"/>
        </w:rPr>
        <w:t xml:space="preserve">Помимо задач и затруднений финансового характера, перед Заготовительным комитетом встал скоро длинный ряд вопросов технического и организационного характера. Для осуществления ближайшего и активного надзора за исполнением заказа, в Заготовительном комитете было учреждено Агентство Канадской компании. </w:t>
      </w:r>
    </w:p>
    <w:p w14:paraId="478EC926" w14:textId="77777777" w:rsidR="004B4E35" w:rsidRPr="00405303" w:rsidRDefault="009E6F82" w:rsidP="00C15251">
      <w:pPr>
        <w:jc w:val="both"/>
        <w:rPr>
          <w:bCs/>
          <w:color w:val="002060"/>
          <w:sz w:val="16"/>
          <w:szCs w:val="16"/>
        </w:rPr>
      </w:pPr>
      <w:r w:rsidRPr="00405303">
        <w:rPr>
          <w:bCs/>
          <w:color w:val="002060"/>
          <w:sz w:val="16"/>
          <w:szCs w:val="16"/>
        </w:rPr>
        <w:t xml:space="preserve">Дело выполнения заказа на 3-лин. патроны Канадская компания организовала весьма сложным образом. Она объединяла группу численностью в 75 заводов, между которыми и было распределено исполнение отдельных частей патрона, то есть гильзы, корпуса, заряды, взрыватели, трубки и т. д. При этом одноименные части изготовлялись на нескольких заводах одновременно, так, например, гильзы — на шести заводах, снаряды — на 40 и т.д. Все эти заводы были разбросаны на большом пространстве по всей территории Канады и Соединенных Штатов. </w:t>
      </w:r>
    </w:p>
    <w:p w14:paraId="4BC7858E" w14:textId="77777777" w:rsidR="004B4E35" w:rsidRPr="00405303" w:rsidRDefault="009E6F82" w:rsidP="00C15251">
      <w:pPr>
        <w:jc w:val="both"/>
        <w:rPr>
          <w:bCs/>
          <w:color w:val="002060"/>
          <w:sz w:val="16"/>
          <w:szCs w:val="16"/>
        </w:rPr>
      </w:pPr>
      <w:r w:rsidRPr="00405303">
        <w:rPr>
          <w:bCs/>
          <w:color w:val="002060"/>
          <w:sz w:val="16"/>
          <w:szCs w:val="16"/>
        </w:rPr>
        <w:t xml:space="preserve">Состав субконтракторов был весьма пестрый. Обследование этой группы заводов, начатое в апреле 1915 г. русскими приемщиками, выяснило весьма печальную картину. Наряду с небольшим числом хорошо оборудованных заводов, большинство имело поношенное и мало подходящее для дела оборудование, а некоторых заводов, находящихся в списке субконтракторов, не оказалось вовсе, так как они находились либо в стадии постройки, либо существовали только в виде бумажных проектов. </w:t>
      </w:r>
    </w:p>
    <w:p w14:paraId="405B6EC1" w14:textId="77777777" w:rsidR="004B4E35" w:rsidRPr="00405303" w:rsidRDefault="009E6F82" w:rsidP="00C15251">
      <w:pPr>
        <w:jc w:val="both"/>
        <w:rPr>
          <w:bCs/>
          <w:color w:val="002060"/>
          <w:sz w:val="16"/>
          <w:szCs w:val="16"/>
        </w:rPr>
      </w:pPr>
      <w:r w:rsidRPr="00405303">
        <w:rPr>
          <w:bCs/>
          <w:color w:val="002060"/>
          <w:sz w:val="16"/>
          <w:szCs w:val="16"/>
        </w:rPr>
        <w:t xml:space="preserve">Но если не все заводы были равноценны по качеству оборудования, зато все были в одинаковой мере совершенно не подготовлены к выполнению тех технических задач, которые ставил им русский заказ. И хуже всего то, что многие заводы даже не были в состоянии понять серьезность и сложность этих задач. Благодаря всему этому с самого начала работы на большинстве заводов был сделан длинный ряд технических и административных ошибок, которые должны были неизбежно повлечь за собой самые тяжелые последствия как для заказчика, так и для контрагентов. </w:t>
      </w:r>
    </w:p>
    <w:p w14:paraId="0EB4B79C" w14:textId="77777777" w:rsidR="004B4E35" w:rsidRPr="00405303" w:rsidRDefault="009E6F82" w:rsidP="00C15251">
      <w:pPr>
        <w:jc w:val="both"/>
        <w:rPr>
          <w:bCs/>
          <w:color w:val="002060"/>
          <w:sz w:val="16"/>
          <w:szCs w:val="16"/>
        </w:rPr>
      </w:pPr>
      <w:r w:rsidRPr="00405303">
        <w:rPr>
          <w:bCs/>
          <w:color w:val="002060"/>
          <w:sz w:val="16"/>
          <w:szCs w:val="16"/>
        </w:rPr>
        <w:t xml:space="preserve">К указанным неблагоприятным обстоятельствам необходимо прибавить еще ряд других, лежавших уже вне завода, которые тоже в сильнейшей мере осложняли дело. Сюда надо отнести недостаток на бирже опытных рабочих, в особенности инструментальщиков, недостаток инженеров, опытных в военном производстве, затруднения в получении на рынке некоторых патронных металлов и т.д. </w:t>
      </w:r>
    </w:p>
    <w:p w14:paraId="45F498D0" w14:textId="77777777" w:rsidR="004B4E35" w:rsidRPr="00405303" w:rsidRDefault="009E6F82" w:rsidP="00C15251">
      <w:pPr>
        <w:jc w:val="both"/>
        <w:rPr>
          <w:bCs/>
          <w:color w:val="002060"/>
          <w:sz w:val="16"/>
          <w:szCs w:val="16"/>
        </w:rPr>
      </w:pPr>
      <w:r w:rsidRPr="00405303">
        <w:rPr>
          <w:bCs/>
          <w:color w:val="002060"/>
          <w:sz w:val="16"/>
          <w:szCs w:val="16"/>
        </w:rPr>
        <w:t xml:space="preserve">Таким образом, по всему фронту канадских заказов дело начиналось под знаком весьма неблагоприятных ауспиций. </w:t>
      </w:r>
    </w:p>
    <w:p w14:paraId="539745CB" w14:textId="77777777" w:rsidR="004B4E35" w:rsidRPr="00405303" w:rsidRDefault="009E6F82" w:rsidP="00C15251">
      <w:pPr>
        <w:jc w:val="both"/>
        <w:rPr>
          <w:bCs/>
          <w:color w:val="002060"/>
          <w:sz w:val="16"/>
          <w:szCs w:val="16"/>
        </w:rPr>
      </w:pPr>
      <w:r w:rsidRPr="00405303">
        <w:rPr>
          <w:bCs/>
          <w:color w:val="002060"/>
          <w:sz w:val="16"/>
          <w:szCs w:val="16"/>
        </w:rPr>
        <w:t xml:space="preserve">Выше было указано, что сдача изделий должна была начаться в апреле 1915 года. Но к этому сроку ни один завод не начал производства и выпуска изделий. Больше того, ряд заводов не начал фабрикации даже к концу 1915 г., когда заказы по контракту уже должны были быть совершенно закончены. Так, например, пять заводов, имевших суммарно заказ в 2 800 000 гильз, то есть 50% всего заказа, не выпустили в 1915 г. ни одной гильзы. </w:t>
      </w:r>
    </w:p>
    <w:p w14:paraId="6D5D5B9A" w14:textId="77777777" w:rsidR="004B4E35" w:rsidRPr="00405303" w:rsidRDefault="009E6F82" w:rsidP="00C15251">
      <w:pPr>
        <w:jc w:val="both"/>
        <w:rPr>
          <w:bCs/>
          <w:color w:val="002060"/>
          <w:sz w:val="16"/>
          <w:szCs w:val="16"/>
        </w:rPr>
      </w:pPr>
      <w:r w:rsidRPr="00405303">
        <w:rPr>
          <w:bCs/>
          <w:color w:val="002060"/>
          <w:sz w:val="16"/>
          <w:szCs w:val="16"/>
        </w:rPr>
        <w:t xml:space="preserve">Но среди всех деталей патронов наибольшую трудность вызвала установка производства дистанционных трубок. И это было самое больное место всего дела, где была скрыта постоянная угроза полного срыва всего заказа. </w:t>
      </w:r>
    </w:p>
    <w:p w14:paraId="31902180" w14:textId="77777777" w:rsidR="004B4E35" w:rsidRPr="00405303" w:rsidRDefault="009E6F82" w:rsidP="00C15251">
      <w:pPr>
        <w:jc w:val="both"/>
        <w:rPr>
          <w:bCs/>
          <w:color w:val="002060"/>
          <w:sz w:val="16"/>
          <w:szCs w:val="16"/>
        </w:rPr>
      </w:pPr>
      <w:r w:rsidRPr="00405303">
        <w:rPr>
          <w:bCs/>
          <w:color w:val="002060"/>
          <w:sz w:val="16"/>
          <w:szCs w:val="16"/>
        </w:rPr>
        <w:t xml:space="preserve">По истечении некоторого времени Заготовительный комитет вынужден был потребовать от Канадской компании исключить из ее состава некоторых наиболее неисправных субконтракторов и заменить их новыми. </w:t>
      </w:r>
    </w:p>
    <w:p w14:paraId="0161FD67" w14:textId="77777777" w:rsidR="004B4E35" w:rsidRPr="00405303" w:rsidRDefault="009E6F82" w:rsidP="00C15251">
      <w:pPr>
        <w:jc w:val="both"/>
        <w:rPr>
          <w:bCs/>
          <w:color w:val="002060"/>
          <w:sz w:val="16"/>
          <w:szCs w:val="16"/>
        </w:rPr>
      </w:pPr>
      <w:r w:rsidRPr="00405303">
        <w:rPr>
          <w:bCs/>
          <w:color w:val="002060"/>
          <w:sz w:val="16"/>
          <w:szCs w:val="16"/>
        </w:rPr>
        <w:t xml:space="preserve">Нужно отметить, что русские приемщики приложили самые отчаянные усилия, чтобы спасти дело, и непрерывно помогали заводам своими советами и хорошим знанием дела. Приемная инспекция имела в своем составе больше опытных специалистов в области боеприпасов, чем оружейников. В отчете о деятельности Заготовительного комитета это обстоятельство отмечено в следующей весьма категорической форме: "Можно без преувеличения сказать, что производство у субконтракторов Канадской компании было целиком поставлено русскими приемщиками, и, как это ни кажется парадоксальным, русские техники явились учителями американских". </w:t>
      </w:r>
    </w:p>
    <w:p w14:paraId="2742F9FD" w14:textId="77777777" w:rsidR="004B4E35" w:rsidRPr="00405303" w:rsidRDefault="009E6F82" w:rsidP="00C15251">
      <w:pPr>
        <w:jc w:val="both"/>
        <w:rPr>
          <w:bCs/>
          <w:color w:val="002060"/>
          <w:sz w:val="16"/>
          <w:szCs w:val="16"/>
        </w:rPr>
      </w:pPr>
      <w:r w:rsidRPr="00405303">
        <w:rPr>
          <w:bCs/>
          <w:color w:val="002060"/>
          <w:sz w:val="16"/>
          <w:szCs w:val="16"/>
        </w:rPr>
        <w:t xml:space="preserve">Это обстоятельство не мешало, впрочем, Канадской компании первое время относиться к русским приемщикам самым враждебным образом. Такое отношение в значительной мере объясняется тем, что американские заводы сразу встретили со стороны русских приемщиков определенные и настойчивые требования в отношении качества изделий, в то время как контрагенты рассчитывали, что можно будет по русским заказам сдавать что попало. Все свои неудачи в производстве американцы неизменно объясняли жесткостью и повышенностью требований русской инспекции и недостаточностью ее компетенции. </w:t>
      </w:r>
    </w:p>
    <w:p w14:paraId="4F7D20C6" w14:textId="77777777" w:rsidR="004B4E35" w:rsidRPr="00405303" w:rsidRDefault="009E6F82" w:rsidP="00C15251">
      <w:pPr>
        <w:jc w:val="both"/>
        <w:rPr>
          <w:bCs/>
          <w:color w:val="002060"/>
          <w:sz w:val="16"/>
          <w:szCs w:val="16"/>
        </w:rPr>
      </w:pPr>
      <w:r w:rsidRPr="00405303">
        <w:rPr>
          <w:bCs/>
          <w:color w:val="002060"/>
          <w:sz w:val="16"/>
          <w:szCs w:val="16"/>
        </w:rPr>
        <w:t xml:space="preserve">В то же время нужно определенно сказать, что требования, предъявляемые к американским изделиям, были в значительной мере ослаблены против тех, которые обычно предъявлялись в России к ее отечественной военной продукции. В подтверждение этого можно привести ту инструкцию, которую получил от начальника Главного артиллерийского управления председатель Заготовительного комитета: "Обстоятельства настоящей войны требуют совершенно иных, чем в мирное время, оснований для приема готовых изделий, и поэтому предписываю: 1) при приеме изделий предъявлять к ним только такие требования, которые вытекают из их боевого назначения; 2) принимать меры к устранению задержек и замедлений в приеме и испытаниях предметов заказа, давая соответствующие указания приемщикам и не стесняя их в деталях, а лишь направляя их деятельность к конечной цели — получить нужные для ведения войны предметы; 3) не добиваться усовершенствований в удовлетворительных в боевом отношении изделиях в ущерб быстроте их заготовления. Для успешности выполнения поручений рекомендую также: а) установить обмен мнений между приемщиками в целях совместной выработки мероприятий, способствующих успеху дела и клонящихся к устранению задержек и упрощению приема; б) широко использовать право отступать от инструкции мирного времени при получении уверенности в боевой пригодности изделий, предъявляя лишь такие требования, при несоблюдении которых изделия теряют служебную ценность". </w:t>
      </w:r>
    </w:p>
    <w:p w14:paraId="0E5F2450" w14:textId="77777777" w:rsidR="004B4E35" w:rsidRPr="00405303" w:rsidRDefault="009E6F82" w:rsidP="00C15251">
      <w:pPr>
        <w:jc w:val="both"/>
        <w:rPr>
          <w:bCs/>
          <w:color w:val="002060"/>
          <w:sz w:val="16"/>
          <w:szCs w:val="16"/>
        </w:rPr>
      </w:pPr>
      <w:r w:rsidRPr="00405303">
        <w:rPr>
          <w:bCs/>
          <w:color w:val="002060"/>
          <w:sz w:val="16"/>
          <w:szCs w:val="16"/>
        </w:rPr>
        <w:t xml:space="preserve">Эта инструкция умышленно не была оглашена американцам, дабы не вводить их в соблазн еще более понижать и без того низкое качество изделий. </w:t>
      </w:r>
    </w:p>
    <w:p w14:paraId="7300BAB8"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Что поражает в контрактах, заключенных военным ведомством с Канадской компанией, это исключительная краткость сроков, назначенных для постановки целого ряда трудных и сложных производств — трубочного, снарядного, гильзового, порохового и пр. Так, например, для Канадской компании было дано на установку производств всего лишь три месяца. </w:t>
      </w:r>
    </w:p>
    <w:p w14:paraId="7E0824BE" w14:textId="77777777" w:rsidR="004B4E35" w:rsidRPr="00405303" w:rsidRDefault="009E6F82" w:rsidP="00C15251">
      <w:pPr>
        <w:jc w:val="both"/>
        <w:rPr>
          <w:bCs/>
          <w:color w:val="002060"/>
          <w:sz w:val="16"/>
          <w:szCs w:val="16"/>
        </w:rPr>
      </w:pPr>
      <w:r w:rsidRPr="00405303">
        <w:rPr>
          <w:bCs/>
          <w:color w:val="002060"/>
          <w:sz w:val="16"/>
          <w:szCs w:val="16"/>
        </w:rPr>
        <w:t xml:space="preserve">Здесь, без сомнения, имело место колоссальное заблуждение обеих договаривающихся сторон, поскольку одна давала такие сроки, а другая их принимала. Поэтому нет ничего удивительного в том, что выполнение заказов с места стало сильнейшим образом затягиваться. </w:t>
      </w:r>
    </w:p>
    <w:p w14:paraId="19768FA0" w14:textId="77777777" w:rsidR="004B4E35" w:rsidRPr="00405303" w:rsidRDefault="009E6F82" w:rsidP="00C15251">
      <w:pPr>
        <w:jc w:val="both"/>
        <w:rPr>
          <w:bCs/>
          <w:color w:val="002060"/>
          <w:sz w:val="16"/>
          <w:szCs w:val="16"/>
        </w:rPr>
      </w:pPr>
      <w:r w:rsidRPr="00405303">
        <w:rPr>
          <w:bCs/>
          <w:color w:val="002060"/>
          <w:sz w:val="16"/>
          <w:szCs w:val="16"/>
        </w:rPr>
        <w:t xml:space="preserve">К началу 1916 г. опоздание было настолько сильно, что у Комитета возник вопрос, не прекратить ли работу Компании, аннулировав контракт. Канадская компания отнюдь не была склонна к этому, и, чтобы улучшить ход дела, признано было своевременным в качестве чрезвычайной меры учредить в январе 1916 г. Агентство Канадской компании. Это Агентство не уничтожало самой Компании, но учреждалось в качестве вспомогательного органа, при посредстве которого Комитет имел возможность с большим успехом осуществлять контроль над деятельностью Канадской компании. Вместе с тем Заготовительный комитет потребовал, чтобы директор Компании был заменен новым. </w:t>
      </w:r>
    </w:p>
    <w:p w14:paraId="7470B7AD" w14:textId="77777777" w:rsidR="004B4E35" w:rsidRPr="00405303" w:rsidRDefault="009E6F82" w:rsidP="00C15251">
      <w:pPr>
        <w:jc w:val="both"/>
        <w:rPr>
          <w:bCs/>
          <w:color w:val="002060"/>
          <w:sz w:val="16"/>
          <w:szCs w:val="16"/>
        </w:rPr>
      </w:pPr>
      <w:r w:rsidRPr="00405303">
        <w:rPr>
          <w:bCs/>
          <w:color w:val="002060"/>
          <w:sz w:val="16"/>
          <w:szCs w:val="16"/>
        </w:rPr>
        <w:t xml:space="preserve">8 марта 1916 г. с Канадской компанией был заключен дополнительный контракт, вносивший некоторые изменения в основной контракт. Конечно, прежде всего существовавшие контрактные сроки были заменены нижеследующими новыми, причем начальный срок сдачи заказа был отодвинут на 8 месяцев, а финальный на 9 месяцев. </w:t>
      </w:r>
    </w:p>
    <w:p w14:paraId="23435DC9" w14:textId="77777777" w:rsidR="004B4E35" w:rsidRPr="00405303" w:rsidRDefault="009E6F82" w:rsidP="00C15251">
      <w:pPr>
        <w:jc w:val="both"/>
        <w:rPr>
          <w:bCs/>
          <w:color w:val="002060"/>
          <w:sz w:val="16"/>
          <w:szCs w:val="16"/>
        </w:rPr>
      </w:pPr>
      <w:r w:rsidRPr="00405303">
        <w:rPr>
          <w:bCs/>
          <w:color w:val="002060"/>
          <w:sz w:val="16"/>
          <w:szCs w:val="16"/>
        </w:rPr>
        <w:t xml:space="preserve">Изменение сроков являлось со стороны Заготовительного комитета, конечно, вполне вынужденным, так как подобного рода передвижка сроков в корне нарушала все расчеты русского военного ведомства в отношении развития военных действий. Действительно, заказанные 5 млн выстрелов ожидались в России к весне 1916 г. с тем, чтобы использовать их в летнюю кампанию этого года. Но при новых сроках к весне могла попасть в Россию лишь небольшая часть заказа. Главная масса его изготовлялась лишь к осени и в Россию могла попасть лишь весной 1917 года. </w:t>
      </w:r>
    </w:p>
    <w:p w14:paraId="6A71BE42" w14:textId="77777777" w:rsidR="004B4E35" w:rsidRPr="00405303" w:rsidRDefault="009E6F82" w:rsidP="00C15251">
      <w:pPr>
        <w:jc w:val="both"/>
        <w:rPr>
          <w:bCs/>
          <w:color w:val="002060"/>
          <w:sz w:val="16"/>
          <w:szCs w:val="16"/>
        </w:rPr>
      </w:pPr>
      <w:r w:rsidRPr="00405303">
        <w:rPr>
          <w:bCs/>
          <w:color w:val="002060"/>
          <w:sz w:val="16"/>
          <w:szCs w:val="16"/>
        </w:rPr>
        <w:t xml:space="preserve">Однако и новые сроки, удлиненные почти на год, судя по ходу работ на заводах, не внушали серьезного доверия, </w:t>
      </w:r>
      <w:proofErr w:type="gramStart"/>
      <w:r w:rsidRPr="00405303">
        <w:rPr>
          <w:bCs/>
          <w:color w:val="002060"/>
          <w:sz w:val="16"/>
          <w:szCs w:val="16"/>
        </w:rPr>
        <w:t>хотя согласно новому контракту</w:t>
      </w:r>
      <w:proofErr w:type="gramEnd"/>
      <w:r w:rsidRPr="00405303">
        <w:rPr>
          <w:bCs/>
          <w:color w:val="002060"/>
          <w:sz w:val="16"/>
          <w:szCs w:val="16"/>
        </w:rPr>
        <w:t xml:space="preserve"> были установлены суровые неустойки за опоздание. Канцелировать же заказ по целому ряду причин представлялось невозможным: во-первых, война затягивалась и острая потребность в снарядах продолжала оставаться в силе. Во-вторых, прекращение контрактов равносильно было бы банкротству Канадской компании, при коем, естественно, страдало бы в сильнейшей мере русское правительство, выдавшее крупные авансы без достаточного обеспечения. </w:t>
      </w:r>
    </w:p>
    <w:p w14:paraId="289CECCE" w14:textId="77777777" w:rsidR="004B4E35" w:rsidRPr="00405303" w:rsidRDefault="009E6F82" w:rsidP="00C15251">
      <w:pPr>
        <w:jc w:val="both"/>
        <w:rPr>
          <w:bCs/>
          <w:color w:val="002060"/>
          <w:sz w:val="16"/>
          <w:szCs w:val="16"/>
        </w:rPr>
      </w:pPr>
      <w:r w:rsidRPr="00405303">
        <w:rPr>
          <w:bCs/>
          <w:color w:val="002060"/>
          <w:sz w:val="16"/>
          <w:szCs w:val="16"/>
        </w:rPr>
        <w:t xml:space="preserve">Независимо от сказанного, британское правительство, с своей стороны, самым энергичным образом протестовало против всяких попыток не только канцеляции заказа, но даже и просто энергичного нажима на Компанию. Во всех спорах британское правительство всегда становилось на сторону Канадской компании. Это происходило, с одной стороны, потому, что в случае краха Компании британское правительство также рисковало большими потерями. С другой — оно имело в виду поддерживать наилучшие отношения с американскими фирмами, которые выполнили громадные заказы для самой Англии. </w:t>
      </w:r>
    </w:p>
    <w:p w14:paraId="273553DC" w14:textId="77777777" w:rsidR="004B4E35" w:rsidRPr="00405303" w:rsidRDefault="009E6F82" w:rsidP="00C15251">
      <w:pPr>
        <w:jc w:val="both"/>
        <w:rPr>
          <w:bCs/>
          <w:color w:val="002060"/>
          <w:sz w:val="16"/>
          <w:szCs w:val="16"/>
        </w:rPr>
      </w:pPr>
      <w:r w:rsidRPr="00405303">
        <w:rPr>
          <w:bCs/>
          <w:color w:val="002060"/>
          <w:sz w:val="16"/>
          <w:szCs w:val="16"/>
        </w:rPr>
        <w:t xml:space="preserve">Смена технического директора Компании не внесла ожидаемого улучшения в дела, которые шли по-прежнему весьма малоуспешно. В марте 1916 г. председатель Заготовительного комитета доносил военному ведомству, что на выполнение удлиненных сроков также нет никакой надежды. Атмосфера, создавшаяся во всем деле, была исключительно тяжелой. У Компании шла непрерывная распря с русской инспекцией. Компания сознавала свою техническую несостоятельность и, не желая признаться в ней, всяческим образом пыталась все свои неудачи свалить на строгость и придирчивость инспекции. Комитет в этом деле оказался в весьма беспомощном положении, так как взять сколько-нибудь строгий курс по отношению к Компании, по причинам, изложенным выше, он был лишен возможности. </w:t>
      </w:r>
    </w:p>
    <w:p w14:paraId="43DEDB2A" w14:textId="77777777" w:rsidR="004B4E35" w:rsidRPr="00405303" w:rsidRDefault="009E6F82" w:rsidP="00C15251">
      <w:pPr>
        <w:jc w:val="both"/>
        <w:rPr>
          <w:bCs/>
          <w:color w:val="002060"/>
          <w:sz w:val="16"/>
          <w:szCs w:val="16"/>
        </w:rPr>
      </w:pPr>
      <w:r w:rsidRPr="00405303">
        <w:rPr>
          <w:bCs/>
          <w:color w:val="002060"/>
          <w:sz w:val="16"/>
          <w:szCs w:val="16"/>
        </w:rPr>
        <w:t xml:space="preserve">Между там время уходило, производство налаживалось медленно, и летом 1916 г. стало ясно, что и новые удлиненные сроки выполнены не будут. Вновь встал вопрос, как же быть дальше. Одно время возникла мысль передать ведение всем делом исключительно в ведение британского правительства, подобно тому, как это имело место по отношению к моргановским заказам. Но эта мысль осуществлена не была. </w:t>
      </w:r>
    </w:p>
    <w:p w14:paraId="578AB598" w14:textId="77777777" w:rsidR="004B4E35" w:rsidRPr="00405303" w:rsidRDefault="009E6F82" w:rsidP="00C15251">
      <w:pPr>
        <w:jc w:val="both"/>
        <w:rPr>
          <w:bCs/>
          <w:color w:val="002060"/>
          <w:sz w:val="16"/>
          <w:szCs w:val="16"/>
        </w:rPr>
      </w:pPr>
      <w:r w:rsidRPr="00405303">
        <w:rPr>
          <w:bCs/>
          <w:color w:val="002060"/>
          <w:sz w:val="16"/>
          <w:szCs w:val="16"/>
        </w:rPr>
        <w:t xml:space="preserve">В итоге долгих переговоров и обсуждений был, наконец, заключен с Компанией второй дополнительный контракт от 1 августа 1916 года. Вся сущность нового контракта сводилась к дальнейшей отсрочке заказов, а затем был введен еще новый принцип сдачи заказа не в форме комплектных патронов, а отдельных деталей патронов. </w:t>
      </w:r>
    </w:p>
    <w:p w14:paraId="7F65722A" w14:textId="77777777" w:rsidR="004B4E35" w:rsidRPr="00405303" w:rsidRDefault="009E6F82" w:rsidP="00C15251">
      <w:pPr>
        <w:jc w:val="both"/>
        <w:rPr>
          <w:bCs/>
          <w:color w:val="002060"/>
          <w:sz w:val="16"/>
          <w:szCs w:val="16"/>
        </w:rPr>
      </w:pPr>
      <w:r w:rsidRPr="00405303">
        <w:rPr>
          <w:bCs/>
          <w:color w:val="002060"/>
          <w:sz w:val="16"/>
          <w:szCs w:val="16"/>
        </w:rPr>
        <w:t xml:space="preserve">Новыми сроками назначены были следующие: сдача шрапнельных патронов по частям должна была быть закончена к 1 ноября 1916 г., а сборка этих патронов — к 1 декабря того же года. Гранатные же патроны должны были быть собраны к 1 января 1917 года. </w:t>
      </w:r>
    </w:p>
    <w:p w14:paraId="71D9AF50" w14:textId="77777777" w:rsidR="004B4E35" w:rsidRPr="00405303" w:rsidRDefault="009E6F82" w:rsidP="00C15251">
      <w:pPr>
        <w:jc w:val="both"/>
        <w:rPr>
          <w:bCs/>
          <w:color w:val="002060"/>
          <w:sz w:val="16"/>
          <w:szCs w:val="16"/>
        </w:rPr>
      </w:pPr>
      <w:r w:rsidRPr="00405303">
        <w:rPr>
          <w:bCs/>
          <w:color w:val="002060"/>
          <w:sz w:val="16"/>
          <w:szCs w:val="16"/>
        </w:rPr>
        <w:t xml:space="preserve">Заказ по-прежнему продолжал протекать под знаком трений с инспекцией, непрерывных обращений за ссудами и неполадок, технических и административных, в работе Компании. </w:t>
      </w:r>
    </w:p>
    <w:p w14:paraId="47278C38" w14:textId="77777777" w:rsidR="004B4E35" w:rsidRPr="00405303" w:rsidRDefault="009E6F82" w:rsidP="00C15251">
      <w:pPr>
        <w:jc w:val="both"/>
        <w:rPr>
          <w:bCs/>
          <w:color w:val="002060"/>
          <w:sz w:val="16"/>
          <w:szCs w:val="16"/>
        </w:rPr>
      </w:pPr>
      <w:r w:rsidRPr="00405303">
        <w:rPr>
          <w:bCs/>
          <w:color w:val="002060"/>
          <w:sz w:val="16"/>
          <w:szCs w:val="16"/>
        </w:rPr>
        <w:t xml:space="preserve">К 1 января 1917 г., наконец, все количество контрактных изделий было закончено, за исключением небольшой партии дистанционных трубок, забракованных при приеме. </w:t>
      </w:r>
    </w:p>
    <w:p w14:paraId="533B196F" w14:textId="77777777" w:rsidR="004B4E35" w:rsidRPr="00405303" w:rsidRDefault="009E6F82" w:rsidP="00C15251">
      <w:pPr>
        <w:jc w:val="both"/>
        <w:rPr>
          <w:bCs/>
          <w:color w:val="002060"/>
          <w:sz w:val="16"/>
          <w:szCs w:val="16"/>
        </w:rPr>
      </w:pPr>
      <w:r w:rsidRPr="00405303">
        <w:rPr>
          <w:bCs/>
          <w:color w:val="002060"/>
          <w:sz w:val="16"/>
          <w:szCs w:val="16"/>
        </w:rPr>
        <w:t xml:space="preserve">Вместе с тем было приступлено к выработке условий ликвидации заказов. Соглашение относительно ликвидации состоялось 3 января 1917 года. </w:t>
      </w:r>
    </w:p>
    <w:p w14:paraId="1D4B900B" w14:textId="77777777" w:rsidR="004B4E35" w:rsidRPr="00405303" w:rsidRDefault="009E6F82" w:rsidP="00C15251">
      <w:pPr>
        <w:jc w:val="both"/>
        <w:rPr>
          <w:bCs/>
          <w:color w:val="002060"/>
          <w:sz w:val="16"/>
          <w:szCs w:val="16"/>
        </w:rPr>
      </w:pPr>
      <w:r w:rsidRPr="00405303">
        <w:rPr>
          <w:bCs/>
          <w:color w:val="002060"/>
          <w:sz w:val="16"/>
          <w:szCs w:val="16"/>
        </w:rPr>
        <w:t xml:space="preserve">Между тем в 1916 г., ввиду колоссальной отправки военных грузов из Америки по различным адресам возникло серьезное затруднение с транспортом. Во второй половине 1916 г. уже стало весьма затруднительно получать необходимый тоннаж, а заводы к этому времени развернули свою работу и выпускали уже в весьма крупном количестве изделия. Таким образом стало скопляться большое количество заказанных изделий, хранение коих вызывало большие затруднения, тем более что изделия эти были огнеопасные. Чтобы организовать надлежащее хранение, Заготовительный комитет летом 1916 г. заарендовал у Канадской компании завод в Кингсленде, каковой и обратил в склад. </w:t>
      </w:r>
    </w:p>
    <w:p w14:paraId="76E1ABDE" w14:textId="77777777" w:rsidR="004B4E35" w:rsidRPr="00405303" w:rsidRDefault="009E6F82" w:rsidP="00C15251">
      <w:pPr>
        <w:jc w:val="both"/>
        <w:rPr>
          <w:bCs/>
          <w:color w:val="002060"/>
          <w:sz w:val="16"/>
          <w:szCs w:val="16"/>
        </w:rPr>
      </w:pPr>
      <w:r w:rsidRPr="00405303">
        <w:rPr>
          <w:bCs/>
          <w:color w:val="002060"/>
          <w:sz w:val="16"/>
          <w:szCs w:val="16"/>
        </w:rPr>
        <w:t xml:space="preserve">Указанное выше ликвидационное соглашение было разработано после длительных и жестоких споров, и в итоге Заготовительному комитету представлялась возможность благополучно завершить дело, столь сложное и запутанное в смысле финансовых и экономических взаимоотношений сторон, каким был канадский заказ. </w:t>
      </w:r>
    </w:p>
    <w:p w14:paraId="4A8B547D" w14:textId="77777777" w:rsidR="004B4E35" w:rsidRPr="00405303" w:rsidRDefault="009E6F82" w:rsidP="00C15251">
      <w:pPr>
        <w:jc w:val="both"/>
        <w:rPr>
          <w:bCs/>
          <w:color w:val="002060"/>
          <w:sz w:val="16"/>
          <w:szCs w:val="16"/>
        </w:rPr>
      </w:pPr>
      <w:r w:rsidRPr="00405303">
        <w:rPr>
          <w:bCs/>
          <w:color w:val="002060"/>
          <w:sz w:val="16"/>
          <w:szCs w:val="16"/>
        </w:rPr>
        <w:t xml:space="preserve">Однако этому благополучию не суждено было осуществиться: 11 января 1917 г. на заводе Кингсленд произошел страшный взрыв, разрушивший до основания завод, причем погибло большое количество имущества. К большому удивлению, этот взрыв, разрушивший завод, обошелся без человеческих жертв, зато погибло большое количество имущества. Договорные условия устанавливали ответственность за сохранность имущества в течение первых двух недель за Обществом, а на дальнейшее время за Заготовительным комитетом. </w:t>
      </w:r>
    </w:p>
    <w:p w14:paraId="5E352E87" w14:textId="77777777" w:rsidR="004B4E35" w:rsidRPr="00405303" w:rsidRDefault="009E6F82" w:rsidP="00C15251">
      <w:pPr>
        <w:jc w:val="both"/>
        <w:rPr>
          <w:bCs/>
          <w:color w:val="002060"/>
          <w:sz w:val="16"/>
          <w:szCs w:val="16"/>
        </w:rPr>
      </w:pPr>
      <w:r w:rsidRPr="00405303">
        <w:rPr>
          <w:bCs/>
          <w:color w:val="002060"/>
          <w:sz w:val="16"/>
          <w:szCs w:val="16"/>
        </w:rPr>
        <w:t xml:space="preserve">Из имущества, которое лежало на ответственности Комитета, погибло на сумму 5 230 000 долларов, а именно: 225 000 снаряженных гранат, 52 000 взрывателей, 225 000 гильз, 440 000 дистанционных трубок и большое количество разных мелких изделий. Частей, находящихся на ответственности Канадской компании, погибло на 4 800 000 долларов. Таким образом, погибло боевых припасов на сумму до 10 млн долларов. </w:t>
      </w:r>
    </w:p>
    <w:p w14:paraId="3946D932" w14:textId="77777777" w:rsidR="004B4E35" w:rsidRPr="00405303" w:rsidRDefault="009E6F82" w:rsidP="00C15251">
      <w:pPr>
        <w:jc w:val="both"/>
        <w:rPr>
          <w:bCs/>
          <w:color w:val="002060"/>
          <w:sz w:val="16"/>
          <w:szCs w:val="16"/>
        </w:rPr>
      </w:pPr>
      <w:r w:rsidRPr="00405303">
        <w:rPr>
          <w:bCs/>
          <w:color w:val="002060"/>
          <w:sz w:val="16"/>
          <w:szCs w:val="16"/>
        </w:rPr>
        <w:t xml:space="preserve">Взрыв внес новые осложнения во взаимоотношения сторон, почему возникла необходимость вновь пересмотреть ликвидационное соглашение, что и было сделано к 25 января. </w:t>
      </w:r>
    </w:p>
    <w:p w14:paraId="6E071912" w14:textId="77777777" w:rsidR="004B4E35" w:rsidRPr="00405303" w:rsidRDefault="009E6F82" w:rsidP="00C15251">
      <w:pPr>
        <w:jc w:val="both"/>
        <w:rPr>
          <w:bCs/>
          <w:color w:val="002060"/>
          <w:sz w:val="16"/>
          <w:szCs w:val="16"/>
        </w:rPr>
      </w:pPr>
      <w:r w:rsidRPr="00405303">
        <w:rPr>
          <w:bCs/>
          <w:color w:val="002060"/>
          <w:sz w:val="16"/>
          <w:szCs w:val="16"/>
        </w:rPr>
        <w:t>В итоге всех необычайно сложных расчетов между Канадской компанией и Заготовительным комитетом России, канадский заказ был закончен с финальным убытком в 6 846 000 долларов и с опозданием сдачи заказа более чем на год против первоначальных сроков (11329).</w:t>
      </w:r>
    </w:p>
    <w:p w14:paraId="2159B370" w14:textId="77777777" w:rsidR="004B4E35" w:rsidRPr="00405303" w:rsidRDefault="004B4E35" w:rsidP="00C15251">
      <w:pPr>
        <w:shd w:val="clear" w:color="auto" w:fill="FFFFFF"/>
        <w:jc w:val="both"/>
        <w:rPr>
          <w:bCs/>
          <w:i/>
          <w:color w:val="002060"/>
          <w:sz w:val="16"/>
          <w:szCs w:val="16"/>
        </w:rPr>
      </w:pPr>
    </w:p>
    <w:p w14:paraId="094598BF"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4E018EAF" w14:textId="77777777" w:rsidR="004B4E35" w:rsidRPr="00405303" w:rsidRDefault="004B4E35" w:rsidP="00C15251">
      <w:pPr>
        <w:jc w:val="both"/>
        <w:rPr>
          <w:bCs/>
          <w:i/>
          <w:color w:val="002060"/>
          <w:sz w:val="16"/>
          <w:szCs w:val="16"/>
        </w:rPr>
      </w:pPr>
    </w:p>
    <w:p w14:paraId="2CCBAB5D" w14:textId="77777777" w:rsidR="004B4E35" w:rsidRPr="00405303" w:rsidRDefault="009E6F82" w:rsidP="00C15251">
      <w:pPr>
        <w:jc w:val="both"/>
        <w:rPr>
          <w:bCs/>
          <w:color w:val="002060"/>
          <w:sz w:val="16"/>
          <w:szCs w:val="16"/>
        </w:rPr>
      </w:pPr>
      <w:r w:rsidRPr="00405303">
        <w:rPr>
          <w:bCs/>
          <w:color w:val="002060"/>
          <w:sz w:val="16"/>
          <w:szCs w:val="16"/>
        </w:rPr>
        <w:t xml:space="preserve">В апреле 1915 года в германские авиаотряды начали поступать вооруженные разведывательные самолеты. Это переоснащение завершилось к октябрю и устранило превосходство противника в воздухе. Завеса, прикрывшая неприятельские подготовительные меры, оказалась сорванной. Намерение Антанты предпринять в мае 1915 года наступление у Арраса было раскрыто нашими воздухоплаванием и авиацией по усиленной постройке батарейных позиций и дорог, а также по интенсивному железнодорожномудвижению. Чтобы непрерывно осведомлять командование о происходящем, при 6-й армии были сосредоточены самолеты </w:t>
      </w:r>
      <w:r w:rsidRPr="00405303">
        <w:rPr>
          <w:rFonts w:eastAsia="Times-Roman"/>
          <w:bCs/>
          <w:color w:val="002060"/>
          <w:sz w:val="16"/>
          <w:szCs w:val="16"/>
        </w:rPr>
        <w:t>ｫ</w:t>
      </w:r>
      <w:r w:rsidRPr="00405303">
        <w:rPr>
          <w:bCs/>
          <w:color w:val="002060"/>
          <w:sz w:val="16"/>
          <w:szCs w:val="16"/>
        </w:rPr>
        <w:t>„</w:t>
      </w:r>
      <w:r w:rsidRPr="00405303">
        <w:rPr>
          <w:rFonts w:eastAsia="Times-Roman"/>
          <w:bCs/>
          <w:color w:val="002060"/>
          <w:sz w:val="16"/>
          <w:szCs w:val="16"/>
        </w:rPr>
        <w:t>ｻ</w:t>
      </w:r>
      <w:r w:rsidRPr="00405303">
        <w:rPr>
          <w:bCs/>
          <w:color w:val="002060"/>
          <w:sz w:val="16"/>
          <w:szCs w:val="16"/>
        </w:rPr>
        <w:t xml:space="preserve"> из соседних армий. </w:t>
      </w:r>
      <w:r w:rsidRPr="00405303">
        <w:rPr>
          <w:bCs/>
          <w:color w:val="002060"/>
          <w:sz w:val="16"/>
          <w:szCs w:val="16"/>
        </w:rPr>
        <w:lastRenderedPageBreak/>
        <w:t>Им удалось прорвать воздушную оборону противника. Неприятельские бомбардировочные эскадры, производившие вопреки международному праву налеты на Южную Германию, также почувствовали усиление германских воздушных сил, понеся чувствительные потери (11282).</w:t>
      </w:r>
    </w:p>
    <w:p w14:paraId="1C79D5D2" w14:textId="77777777" w:rsidR="004B4E35" w:rsidRPr="00405303" w:rsidRDefault="004B4E35" w:rsidP="00C15251">
      <w:pPr>
        <w:jc w:val="both"/>
        <w:rPr>
          <w:bCs/>
          <w:color w:val="002060"/>
          <w:sz w:val="16"/>
          <w:szCs w:val="16"/>
        </w:rPr>
      </w:pPr>
    </w:p>
    <w:p w14:paraId="090C9443" w14:textId="77777777" w:rsidR="00A24BF5" w:rsidRPr="00405303" w:rsidRDefault="00A24BF5" w:rsidP="00C15251">
      <w:pPr>
        <w:pStyle w:val="20"/>
        <w:shd w:val="clear" w:color="auto" w:fill="auto"/>
        <w:spacing w:after="0" w:line="240" w:lineRule="auto"/>
        <w:ind w:firstLine="0"/>
        <w:jc w:val="both"/>
        <w:rPr>
          <w:rFonts w:ascii="Times New Roman" w:hAnsi="Times New Roman"/>
          <w:bCs/>
          <w:color w:val="002060"/>
          <w:spacing w:val="0"/>
          <w:sz w:val="16"/>
          <w:szCs w:val="16"/>
        </w:rPr>
      </w:pPr>
      <w:r w:rsidRPr="00405303">
        <w:rPr>
          <w:rFonts w:ascii="Times New Roman" w:hAnsi="Times New Roman"/>
          <w:bCs/>
          <w:color w:val="002060"/>
          <w:spacing w:val="0"/>
          <w:sz w:val="16"/>
          <w:szCs w:val="16"/>
        </w:rPr>
        <w:t xml:space="preserve">В апреле 1915 г. появился трехмоторный самолет-прототип </w:t>
      </w:r>
      <w:r w:rsidRPr="00405303">
        <w:rPr>
          <w:rFonts w:ascii="Times New Roman" w:hAnsi="Times New Roman"/>
          <w:bCs/>
          <w:color w:val="002060"/>
          <w:spacing w:val="0"/>
          <w:sz w:val="16"/>
          <w:szCs w:val="16"/>
          <w:lang w:val="en-US"/>
        </w:rPr>
        <w:t>VGO</w:t>
      </w:r>
      <w:r w:rsidRPr="00405303">
        <w:rPr>
          <w:rFonts w:ascii="Times New Roman" w:hAnsi="Times New Roman"/>
          <w:bCs/>
          <w:color w:val="002060"/>
          <w:spacing w:val="0"/>
          <w:sz w:val="16"/>
          <w:szCs w:val="16"/>
        </w:rPr>
        <w:t>.1. Один его двигатель стоял в носовой ча</w:t>
      </w:r>
      <w:r w:rsidRPr="00405303">
        <w:rPr>
          <w:rFonts w:ascii="Times New Roman" w:hAnsi="Times New Roman"/>
          <w:bCs/>
          <w:color w:val="002060"/>
          <w:spacing w:val="0"/>
          <w:sz w:val="16"/>
          <w:szCs w:val="16"/>
        </w:rPr>
        <w:softHyphen/>
        <w:t>сти фюзеляжа (он вращал тянущий воз</w:t>
      </w:r>
      <w:r w:rsidRPr="00405303">
        <w:rPr>
          <w:rFonts w:ascii="Times New Roman" w:hAnsi="Times New Roman"/>
          <w:bCs/>
          <w:color w:val="002060"/>
          <w:spacing w:val="0"/>
          <w:sz w:val="16"/>
          <w:szCs w:val="16"/>
        </w:rPr>
        <w:softHyphen/>
        <w:t>душный винт), а два других, как и на из</w:t>
      </w:r>
      <w:r w:rsidRPr="00405303">
        <w:rPr>
          <w:rFonts w:ascii="Times New Roman" w:hAnsi="Times New Roman"/>
          <w:bCs/>
          <w:color w:val="002060"/>
          <w:spacing w:val="0"/>
          <w:sz w:val="16"/>
          <w:szCs w:val="16"/>
        </w:rPr>
        <w:softHyphen/>
        <w:t>вестных впоследствии бомбардировщи</w:t>
      </w:r>
      <w:r w:rsidRPr="00405303">
        <w:rPr>
          <w:rFonts w:ascii="Times New Roman" w:hAnsi="Times New Roman"/>
          <w:bCs/>
          <w:color w:val="002060"/>
          <w:spacing w:val="0"/>
          <w:sz w:val="16"/>
          <w:szCs w:val="16"/>
        </w:rPr>
        <w:softHyphen/>
        <w:t>ках «Гота» С.IV, располагались в гондо</w:t>
      </w:r>
      <w:r w:rsidRPr="00405303">
        <w:rPr>
          <w:rFonts w:ascii="Times New Roman" w:hAnsi="Times New Roman"/>
          <w:bCs/>
          <w:color w:val="002060"/>
          <w:spacing w:val="0"/>
          <w:sz w:val="16"/>
          <w:szCs w:val="16"/>
        </w:rPr>
        <w:softHyphen/>
        <w:t>лах между верхним и нижним крыльями и приводили во вращение толкающие винты. Так как надежность двигателей в ту пору была очень низкой, рядом с ка</w:t>
      </w:r>
      <w:r w:rsidRPr="00405303">
        <w:rPr>
          <w:rFonts w:ascii="Times New Roman" w:hAnsi="Times New Roman"/>
          <w:bCs/>
          <w:color w:val="002060"/>
          <w:spacing w:val="0"/>
          <w:sz w:val="16"/>
          <w:szCs w:val="16"/>
        </w:rPr>
        <w:softHyphen/>
        <w:t>ждым мотором обустроили место мо</w:t>
      </w:r>
      <w:r w:rsidRPr="00405303">
        <w:rPr>
          <w:rFonts w:ascii="Times New Roman" w:hAnsi="Times New Roman"/>
          <w:bCs/>
          <w:color w:val="002060"/>
          <w:spacing w:val="0"/>
          <w:sz w:val="16"/>
          <w:szCs w:val="16"/>
        </w:rPr>
        <w:softHyphen/>
        <w:t>ториста. При этом крыльевые гондо</w:t>
      </w:r>
      <w:r w:rsidRPr="00405303">
        <w:rPr>
          <w:rFonts w:ascii="Times New Roman" w:hAnsi="Times New Roman"/>
          <w:bCs/>
          <w:color w:val="002060"/>
          <w:spacing w:val="0"/>
          <w:sz w:val="16"/>
          <w:szCs w:val="16"/>
        </w:rPr>
        <w:softHyphen/>
        <w:t>лы оснастили еще и пулеметной уста</w:t>
      </w:r>
      <w:r w:rsidRPr="00405303">
        <w:rPr>
          <w:rFonts w:ascii="Times New Roman" w:hAnsi="Times New Roman"/>
          <w:bCs/>
          <w:color w:val="002060"/>
          <w:spacing w:val="0"/>
          <w:sz w:val="16"/>
          <w:szCs w:val="16"/>
        </w:rPr>
        <w:softHyphen/>
        <w:t>новкой. В результате мотористы стали выполнять функции воздушных стрел</w:t>
      </w:r>
      <w:r w:rsidRPr="00405303">
        <w:rPr>
          <w:rFonts w:ascii="Times New Roman" w:hAnsi="Times New Roman"/>
          <w:bCs/>
          <w:color w:val="002060"/>
          <w:spacing w:val="0"/>
          <w:sz w:val="16"/>
          <w:szCs w:val="16"/>
        </w:rPr>
        <w:softHyphen/>
        <w:t>ков. Правда, мощности трех 240-силь</w:t>
      </w:r>
      <w:r w:rsidRPr="00405303">
        <w:rPr>
          <w:rFonts w:ascii="Times New Roman" w:hAnsi="Times New Roman"/>
          <w:bCs/>
          <w:color w:val="002060"/>
          <w:spacing w:val="0"/>
          <w:sz w:val="16"/>
          <w:szCs w:val="16"/>
        </w:rPr>
        <w:softHyphen/>
        <w:t>ных двигателей столь большому само</w:t>
      </w:r>
      <w:r w:rsidRPr="00405303">
        <w:rPr>
          <w:rFonts w:ascii="Times New Roman" w:hAnsi="Times New Roman"/>
          <w:bCs/>
          <w:color w:val="002060"/>
          <w:spacing w:val="0"/>
          <w:sz w:val="16"/>
          <w:szCs w:val="16"/>
        </w:rPr>
        <w:softHyphen/>
        <w:t>лету явно не хватало. Тогда на каждый винт поставили по два мотора мощно</w:t>
      </w:r>
      <w:r w:rsidRPr="00405303">
        <w:rPr>
          <w:rFonts w:ascii="Times New Roman" w:hAnsi="Times New Roman"/>
          <w:bCs/>
          <w:color w:val="002060"/>
          <w:spacing w:val="0"/>
          <w:sz w:val="16"/>
          <w:szCs w:val="16"/>
        </w:rPr>
        <w:softHyphen/>
        <w:t>стью по 185 л.с. Самолет в результате стал шестимоторным, хотя тянули/тол- капи его по-прежнему лишь три воздуш</w:t>
      </w:r>
      <w:r w:rsidRPr="00405303">
        <w:rPr>
          <w:rFonts w:ascii="Times New Roman" w:hAnsi="Times New Roman"/>
          <w:bCs/>
          <w:color w:val="002060"/>
          <w:spacing w:val="0"/>
          <w:sz w:val="16"/>
          <w:szCs w:val="16"/>
        </w:rPr>
        <w:softHyphen/>
        <w:t>ных винта (15760).</w:t>
      </w:r>
    </w:p>
    <w:p w14:paraId="42A07FF1" w14:textId="77777777" w:rsidR="00A24BF5" w:rsidRPr="00405303" w:rsidRDefault="00A24BF5" w:rsidP="00C15251">
      <w:pPr>
        <w:pStyle w:val="20"/>
        <w:shd w:val="clear" w:color="auto" w:fill="auto"/>
        <w:spacing w:after="0" w:line="240" w:lineRule="auto"/>
        <w:ind w:firstLine="0"/>
        <w:jc w:val="both"/>
        <w:rPr>
          <w:rFonts w:ascii="Times New Roman" w:hAnsi="Times New Roman"/>
          <w:bCs/>
          <w:color w:val="002060"/>
          <w:spacing w:val="0"/>
          <w:sz w:val="16"/>
          <w:szCs w:val="16"/>
        </w:rPr>
      </w:pPr>
    </w:p>
    <w:p w14:paraId="6DEAA722" w14:textId="77777777" w:rsidR="005C7A2E" w:rsidRPr="00CF03EC" w:rsidRDefault="005C7A2E" w:rsidP="005C7A2E">
      <w:pPr>
        <w:jc w:val="both"/>
        <w:rPr>
          <w:color w:val="0070C0"/>
          <w:sz w:val="16"/>
          <w:szCs w:val="16"/>
        </w:rPr>
      </w:pPr>
      <w:r w:rsidRPr="00CF03EC">
        <w:rPr>
          <w:color w:val="0070C0"/>
          <w:sz w:val="16"/>
          <w:szCs w:val="16"/>
        </w:rPr>
        <w:t>Уже в апреле 1915 г. не только командирам немецких полевых авиаотрядов, но и штабным и министерским чиновникам в Берлине и даже кайзеру стало понятно, что «ценный трофей» - самолет Гарро с пулеотсекателями - вот-вот перестанет быть потерянным уникумом и аэропланы с подобным вооружением появятся у противника в большом числе в самое ближайшее время. И тогда и без того значительное количественное превосходство французов приобретет новое качество, что будет иметь для германской авиации катастрофические последствия.</w:t>
      </w:r>
    </w:p>
    <w:p w14:paraId="5E1ABA09" w14:textId="77777777" w:rsidR="005C7A2E" w:rsidRPr="00CF03EC" w:rsidRDefault="005C7A2E" w:rsidP="005C7A2E">
      <w:pPr>
        <w:jc w:val="both"/>
        <w:rPr>
          <w:color w:val="0070C0"/>
          <w:sz w:val="16"/>
          <w:szCs w:val="16"/>
        </w:rPr>
      </w:pPr>
      <w:r w:rsidRPr="00CF03EC">
        <w:rPr>
          <w:color w:val="0070C0"/>
          <w:sz w:val="16"/>
          <w:szCs w:val="16"/>
        </w:rPr>
        <w:t>Меры требовались архисрочные, просто чрезвычайные, поскольку средство, способное противостоять противнику в воздухе, требовались безотлагательно. Потому у Фоккера не только выкупили все оставшиеся М.5K, потребовав переоборудовать их по типу головного M.5K/MG, но и заказали ему столько новых экземпляров, сколько он сможет построить. А для этого ему дали денег на расширение производства, и фирма, которая вчера еще едва сводила концы с концами, теперь обрела уверенность в завтрашнем дне на 101% (25772).</w:t>
      </w:r>
    </w:p>
    <w:p w14:paraId="425FE0AF" w14:textId="77777777" w:rsidR="005C7A2E" w:rsidRPr="00CF03EC" w:rsidRDefault="005C7A2E" w:rsidP="005C7A2E">
      <w:pPr>
        <w:jc w:val="both"/>
        <w:rPr>
          <w:color w:val="0070C0"/>
          <w:sz w:val="16"/>
          <w:szCs w:val="16"/>
        </w:rPr>
      </w:pPr>
    </w:p>
    <w:p w14:paraId="0B9F328F" w14:textId="684B55E9" w:rsidR="006A3B54" w:rsidRPr="00405303" w:rsidRDefault="006A3B54" w:rsidP="00C15251">
      <w:pPr>
        <w:jc w:val="both"/>
        <w:rPr>
          <w:bCs/>
          <w:color w:val="002060"/>
          <w:sz w:val="16"/>
          <w:szCs w:val="16"/>
        </w:rPr>
      </w:pPr>
      <w:r w:rsidRPr="00405303">
        <w:rPr>
          <w:bCs/>
          <w:color w:val="002060"/>
          <w:sz w:val="16"/>
          <w:szCs w:val="16"/>
        </w:rPr>
        <w:t>В апреле 1915 рейд на Англию совершил только армейский LZ-38. Командиром этого воздушного корабля стал известный немецкий воздухоплаватель Линнарц. 16 (29) апреля он бомбардировал Саффолк, но туман помешал прицельному сбросу сорока пяти бомб (11324).</w:t>
      </w:r>
    </w:p>
    <w:p w14:paraId="756340EF" w14:textId="77777777" w:rsidR="006A3B54" w:rsidRPr="00405303" w:rsidRDefault="006A3B54" w:rsidP="00C15251">
      <w:pPr>
        <w:jc w:val="both"/>
        <w:rPr>
          <w:bCs/>
          <w:i/>
          <w:color w:val="002060"/>
          <w:sz w:val="16"/>
          <w:szCs w:val="16"/>
        </w:rPr>
      </w:pPr>
    </w:p>
    <w:p w14:paraId="225923D5" w14:textId="77777777" w:rsidR="004B4E35" w:rsidRPr="00405303" w:rsidRDefault="009E6F82" w:rsidP="00C15251">
      <w:pPr>
        <w:jc w:val="both"/>
        <w:rPr>
          <w:bCs/>
          <w:color w:val="002060"/>
          <w:sz w:val="16"/>
          <w:szCs w:val="16"/>
        </w:rPr>
      </w:pPr>
      <w:r w:rsidRPr="00405303">
        <w:rPr>
          <w:bCs/>
          <w:color w:val="002060"/>
          <w:sz w:val="16"/>
          <w:szCs w:val="16"/>
        </w:rPr>
        <w:t xml:space="preserve">В апреле 1915 был выпущен первый дирижабль нового типа объемом 32 000 м3 </w:t>
      </w:r>
      <w:r w:rsidRPr="00405303">
        <w:rPr>
          <w:rFonts w:eastAsia="Times-Roman"/>
          <w:bCs/>
          <w:color w:val="002060"/>
          <w:sz w:val="16"/>
          <w:szCs w:val="16"/>
        </w:rPr>
        <w:t>ｫ</w:t>
      </w:r>
      <w:r w:rsidRPr="00405303">
        <w:rPr>
          <w:bCs/>
          <w:color w:val="002060"/>
          <w:sz w:val="16"/>
          <w:szCs w:val="16"/>
        </w:rPr>
        <w:t>LZ-38</w:t>
      </w:r>
      <w:r w:rsidRPr="00405303">
        <w:rPr>
          <w:rFonts w:eastAsia="Times-Roman"/>
          <w:bCs/>
          <w:color w:val="002060"/>
          <w:sz w:val="16"/>
          <w:szCs w:val="16"/>
        </w:rPr>
        <w:t>ｻ</w:t>
      </w:r>
      <w:r w:rsidRPr="00405303">
        <w:rPr>
          <w:bCs/>
          <w:color w:val="002060"/>
          <w:sz w:val="16"/>
          <w:szCs w:val="16"/>
        </w:rPr>
        <w:t>; при четырех моторах он обладал скоростью 26 м/с, максимальной высотой подъема 3000 м и мог нести 15 000 кг полезного груза. Этот лучший в то время дирижабль после нескольких успешных налетов на английские порты 31 мая бомбардировал центр английской военной промышленности — Лондон, главным образом доки на Темзе. Через несколько дней в ответ на этот налет английский летчик разбомбил дирижабль, находившийся в своем эллинге около Брюсселя (11282).</w:t>
      </w:r>
    </w:p>
    <w:p w14:paraId="50C06FB4" w14:textId="77777777" w:rsidR="004B4E35" w:rsidRPr="00405303" w:rsidRDefault="004B4E35" w:rsidP="00C15251">
      <w:pPr>
        <w:jc w:val="both"/>
        <w:rPr>
          <w:bCs/>
          <w:color w:val="002060"/>
          <w:sz w:val="16"/>
          <w:szCs w:val="16"/>
        </w:rPr>
      </w:pPr>
    </w:p>
    <w:p w14:paraId="018A379E" w14:textId="77777777" w:rsidR="004B4E35" w:rsidRPr="00405303" w:rsidRDefault="009E6F82" w:rsidP="00C15251">
      <w:pPr>
        <w:jc w:val="both"/>
        <w:rPr>
          <w:bCs/>
          <w:color w:val="002060"/>
          <w:sz w:val="16"/>
          <w:szCs w:val="16"/>
        </w:rPr>
      </w:pPr>
      <w:r w:rsidRPr="00405303">
        <w:rPr>
          <w:bCs/>
          <w:color w:val="002060"/>
          <w:sz w:val="16"/>
          <w:szCs w:val="16"/>
        </w:rPr>
        <w:t xml:space="preserve">В апреле был выпущен LZ-38 — первый дирижабль нового типа объемом 31 900 куб. м. Он имел 3 мотора, обладал скоростью 90 км/ч, максимальной высотой полета 2200 м и поднимал 12 750 кг полезного груза. </w:t>
      </w:r>
    </w:p>
    <w:p w14:paraId="2E84591A" w14:textId="77777777" w:rsidR="004B4E35" w:rsidRPr="00405303" w:rsidRDefault="009E6F82" w:rsidP="00C15251">
      <w:pPr>
        <w:jc w:val="both"/>
        <w:rPr>
          <w:bCs/>
          <w:color w:val="002060"/>
          <w:sz w:val="16"/>
          <w:szCs w:val="16"/>
        </w:rPr>
      </w:pPr>
      <w:r w:rsidRPr="00405303">
        <w:rPr>
          <w:bCs/>
          <w:color w:val="002060"/>
          <w:sz w:val="16"/>
          <w:szCs w:val="16"/>
        </w:rPr>
        <w:t xml:space="preserve">Успехи Штрассера в деле развития боевого воздухоплавания выглядели просто потрясающими. Даже германская армия, которая вдруг прозрела и поняла, что цеппелины представляют собой весьма перспективный вид оружия, не смогла угнаться за «сумасшедшим лейтенантом». Все, чего смогло добиться армейское командование, это построить полтора десятка разнокалиберных дирижаблей, которые использовались в тактических целях с немногочисленных баз на Восточном фронте и на Балканах. </w:t>
      </w:r>
    </w:p>
    <w:p w14:paraId="265B16D6" w14:textId="77777777" w:rsidR="004B4E35" w:rsidRPr="00405303" w:rsidRDefault="009E6F82" w:rsidP="00C15251">
      <w:pPr>
        <w:jc w:val="both"/>
        <w:rPr>
          <w:bCs/>
          <w:color w:val="002060"/>
          <w:sz w:val="16"/>
          <w:szCs w:val="16"/>
        </w:rPr>
      </w:pPr>
      <w:r w:rsidRPr="00405303">
        <w:rPr>
          <w:bCs/>
          <w:color w:val="002060"/>
          <w:sz w:val="16"/>
          <w:szCs w:val="16"/>
        </w:rPr>
        <w:t>Бомбардировочные операции были эффектными, но вместе с тем почти никогда неэффективными. Между армией и флотом развернулось острое соперничество [108] за достижение большего успеха в налетах на Британские острова. Однако эти операции оказались не такими уж легкими. Ночной полет создавал серьезные проблемы с точной ориентацией воздушного корабля. Радиотелеграф развивался довольно неспешно и служил в большей мере для получения информации о погоде, чем наведению и уточнению местоположения корабля. Кроме того, над головой пилотов находилось огромное количество водорода, который только и ждал малейшего повода к воспламенению. Несмотря на это, полная опасностей служба привлекала и в армию, и во флот все больше добровольцев, из которых и формировали экипажи цеппелинов (11324).</w:t>
      </w:r>
    </w:p>
    <w:p w14:paraId="0F87CD4D" w14:textId="77777777" w:rsidR="004B4E35" w:rsidRPr="00405303" w:rsidRDefault="004B4E35" w:rsidP="00C15251">
      <w:pPr>
        <w:jc w:val="both"/>
        <w:rPr>
          <w:bCs/>
          <w:i/>
          <w:color w:val="002060"/>
          <w:sz w:val="16"/>
          <w:szCs w:val="16"/>
        </w:rPr>
      </w:pPr>
    </w:p>
    <w:p w14:paraId="7153CE22" w14:textId="1FF9407C" w:rsidR="004B4E35" w:rsidRPr="00405303" w:rsidRDefault="00D40F7F"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апреле 1915 года </w:t>
      </w:r>
      <w:r w:rsidRPr="00405303">
        <w:rPr>
          <w:bCs/>
          <w:color w:val="002060"/>
          <w:sz w:val="16"/>
          <w:szCs w:val="16"/>
        </w:rPr>
        <w:t xml:space="preserve">вместе с L-9 </w:t>
      </w:r>
      <w:r w:rsidR="009E6F82" w:rsidRPr="00405303">
        <w:rPr>
          <w:bCs/>
          <w:color w:val="002060"/>
          <w:sz w:val="16"/>
          <w:szCs w:val="16"/>
        </w:rPr>
        <w:t xml:space="preserve">заводы Цеппелина построили армейский LZ-39 объемом 24 900 куб. м. В апреле появился и армейский LZ-38 объемом 31 900 куб. м, на котором были установлены еще три мотора МС-Х. Остальные дирижабли этой серии оснащались четырьмя моторами. Таких дирижаблей, так называемой серии «р», было построено еще 19, от LZ-40 до LZ-58 включительно. К их производству подключились новые заводы в Ловентхалле, Штаакене и мастерские ДЕЛАГ в Поступиме. Воздухоплавательные заводы Цеппелина работали с максимальным напряжением. Дирижабли этой серии могли поднять полезный груз весом 13 950 кг на высоту 4300 м и развивали скорость до 97,2 км/ч. В армейском воздухоплавании эти корабли получили буквенное обозначение «LZ» и цифровое на 30 больше, чем заводской номер. Зачем это было сделано — мы расскажем позже. </w:t>
      </w:r>
    </w:p>
    <w:p w14:paraId="3717EEEE" w14:textId="77777777" w:rsidR="004B4E35" w:rsidRPr="00405303" w:rsidRDefault="009E6F82" w:rsidP="00C15251">
      <w:pPr>
        <w:jc w:val="both"/>
        <w:rPr>
          <w:bCs/>
          <w:color w:val="002060"/>
          <w:sz w:val="16"/>
          <w:szCs w:val="16"/>
        </w:rPr>
      </w:pPr>
      <w:r w:rsidRPr="00405303">
        <w:rPr>
          <w:bCs/>
          <w:color w:val="002060"/>
          <w:sz w:val="16"/>
          <w:szCs w:val="16"/>
        </w:rPr>
        <w:t xml:space="preserve">Одна из труднейших задач отряда морского управляемого воздухоплавания состояла в обучении запасных экипажей. Немедленно после мобилизации была открыта специальная школа, которую обеспечили непригодными для несения боевой службы старыми кораблями. Подготовкой аэронавтов руководил сам Хуго Эккенер, любимец старого графа, президент авиакомпании ДЕЛАГ, человек, в жизни которого была только одна любовь — дирижабли. Взяв обучение в свои руки, он быстро подготовил для фронта более пятидесяти экипажей, каждый в среднем по 20 человек. В обязанности Эккенера также входил надзор за постройкой эллингов для кораблей [113] дивизиона во Франкфурте, Дюссельдорфе, Лейпциге, Потсдаме и Гамбурге. Его познания в области конструирования, постройки, эксплуатации и применения дирижаблей были столь исчерпывающими, а опыт воздухоплавателя столь бесценным, что кайзер особым приказом запретил Хуго Эккенеру участвовать в боевых вылетах цеппелинов. </w:t>
      </w:r>
    </w:p>
    <w:p w14:paraId="2C35EE9D" w14:textId="77777777" w:rsidR="004B4E35" w:rsidRPr="00405303" w:rsidRDefault="009E6F82" w:rsidP="00C15251">
      <w:pPr>
        <w:jc w:val="both"/>
        <w:rPr>
          <w:bCs/>
          <w:color w:val="002060"/>
          <w:sz w:val="16"/>
          <w:szCs w:val="16"/>
        </w:rPr>
      </w:pPr>
      <w:r w:rsidRPr="00405303">
        <w:rPr>
          <w:bCs/>
          <w:color w:val="002060"/>
          <w:sz w:val="16"/>
          <w:szCs w:val="16"/>
        </w:rPr>
        <w:t xml:space="preserve">Неудивительно, что два таких фанатика дирижаблей, как Штрассер и Эккенер, прониклись взаимной симпатией, переросшей впоследствии в настоящую дружбу. Ганс фон Шиллер, один из самых опытных командиров дивизиона, так писал о взаимоотношениях Петера и Хуго: «Они были очень дружны. Эккенер всегда помогал Штрассеру советом, поддерживал своим авторитетом все его начинания. Между собой наши моряки называли своего командира «Господь Бог». Эккенер же получил прозвище «папа римский», потому что лучше него никто не понимал Петера Штрассера. Кроме того, Хуго Эккенер был нашим экспертом по метеорологии и эксплуатации воздушных кораблей. </w:t>
      </w:r>
    </w:p>
    <w:p w14:paraId="2C0FC1D2" w14:textId="77777777" w:rsidR="004B4E35" w:rsidRPr="00405303" w:rsidRDefault="009E6F82" w:rsidP="00C15251">
      <w:pPr>
        <w:jc w:val="both"/>
        <w:rPr>
          <w:bCs/>
          <w:color w:val="002060"/>
          <w:sz w:val="16"/>
          <w:szCs w:val="16"/>
        </w:rPr>
      </w:pPr>
      <w:r w:rsidRPr="00405303">
        <w:rPr>
          <w:bCs/>
          <w:color w:val="002060"/>
          <w:sz w:val="16"/>
          <w:szCs w:val="16"/>
        </w:rPr>
        <w:t>Их четырехлетнее сотрудничество оказало решающее влияние на послевоенное развитие дирижаблестроения. Без Штрассера мы бы не смогли построить целый флот боевых цеппелинов во время войны, а без Эккенера мы не имели бы ни «Графа Цеппелина», ни «Гинденбурга». Используя опыт, накопленный Штрассером за годы Первой мировой войны, доктор Эккенер сумел вдохнуть [114] новую жизнь в угасшую было идею безопасного воздушного сообщения с помощью дирижаблей» (11324).</w:t>
      </w:r>
    </w:p>
    <w:p w14:paraId="738B6562" w14:textId="77777777" w:rsidR="004B4E35" w:rsidRPr="00405303" w:rsidRDefault="004B4E35" w:rsidP="00C15251">
      <w:pPr>
        <w:jc w:val="both"/>
        <w:rPr>
          <w:bCs/>
          <w:i/>
          <w:color w:val="002060"/>
          <w:sz w:val="16"/>
          <w:szCs w:val="16"/>
        </w:rPr>
      </w:pPr>
    </w:p>
    <w:p w14:paraId="52FB7BD9" w14:textId="79F7680D" w:rsidR="00164794" w:rsidRPr="00405303" w:rsidRDefault="00164794" w:rsidP="00164794">
      <w:pPr>
        <w:jc w:val="both"/>
        <w:rPr>
          <w:bCs/>
          <w:i/>
          <w:color w:val="002060"/>
          <w:sz w:val="16"/>
          <w:szCs w:val="16"/>
        </w:rPr>
      </w:pPr>
      <w:r w:rsidRPr="00405303">
        <w:rPr>
          <w:bCs/>
          <w:i/>
          <w:color w:val="002060"/>
          <w:sz w:val="16"/>
          <w:szCs w:val="16"/>
        </w:rPr>
        <w:t>Авиация и воздухоплавание Франции:</w:t>
      </w:r>
    </w:p>
    <w:p w14:paraId="14CB18FD" w14:textId="77777777" w:rsidR="00164794" w:rsidRPr="00405303" w:rsidRDefault="00164794" w:rsidP="00164794">
      <w:pPr>
        <w:jc w:val="both"/>
        <w:rPr>
          <w:bCs/>
          <w:i/>
          <w:color w:val="002060"/>
          <w:sz w:val="16"/>
          <w:szCs w:val="16"/>
        </w:rPr>
      </w:pPr>
    </w:p>
    <w:p w14:paraId="4317379C" w14:textId="77777777" w:rsidR="00164794" w:rsidRPr="00405303" w:rsidRDefault="00164794" w:rsidP="00164794">
      <w:pPr>
        <w:jc w:val="both"/>
        <w:rPr>
          <w:color w:val="0070C0"/>
          <w:sz w:val="16"/>
          <w:szCs w:val="16"/>
        </w:rPr>
      </w:pPr>
      <w:r w:rsidRPr="00405303">
        <w:rPr>
          <w:color w:val="0070C0"/>
          <w:sz w:val="16"/>
          <w:szCs w:val="16"/>
        </w:rPr>
        <w:t>В апреле 1915 г. Гарро сбивает три самолета противника не понятным для немцев способом. Стрельба через винт считалась невозможной, поэтому атакующих точно в самолет не опасались, поскольку оружие было установлено под углом к оси самолета. Сама атака производилась под углом к самолету противника (25100).</w:t>
      </w:r>
    </w:p>
    <w:p w14:paraId="6CBD3C1A" w14:textId="77777777" w:rsidR="00164794" w:rsidRPr="00405303" w:rsidRDefault="00164794" w:rsidP="00164794">
      <w:pPr>
        <w:jc w:val="both"/>
        <w:rPr>
          <w:color w:val="0070C0"/>
          <w:sz w:val="16"/>
          <w:szCs w:val="16"/>
        </w:rPr>
      </w:pPr>
    </w:p>
    <w:p w14:paraId="14B8BBC9" w14:textId="4109FBE2" w:rsidR="0095407F" w:rsidRPr="00405303" w:rsidRDefault="0095407F" w:rsidP="00C15251">
      <w:pPr>
        <w:shd w:val="clear" w:color="auto" w:fill="FFFFFF"/>
        <w:jc w:val="both"/>
        <w:rPr>
          <w:bCs/>
          <w:i/>
          <w:color w:val="002060"/>
          <w:sz w:val="16"/>
          <w:szCs w:val="16"/>
        </w:rPr>
      </w:pPr>
      <w:r w:rsidRPr="00405303">
        <w:rPr>
          <w:bCs/>
          <w:i/>
          <w:color w:val="002060"/>
          <w:sz w:val="16"/>
          <w:szCs w:val="16"/>
        </w:rPr>
        <w:t>Самолетостроение:</w:t>
      </w:r>
    </w:p>
    <w:p w14:paraId="001980A4" w14:textId="77777777" w:rsidR="0095407F" w:rsidRPr="00405303" w:rsidRDefault="0095407F" w:rsidP="00C15251">
      <w:pPr>
        <w:shd w:val="clear" w:color="auto" w:fill="FFFFFF"/>
        <w:jc w:val="both"/>
        <w:rPr>
          <w:bCs/>
          <w:i/>
          <w:color w:val="002060"/>
          <w:sz w:val="16"/>
          <w:szCs w:val="16"/>
        </w:rPr>
      </w:pPr>
    </w:p>
    <w:p w14:paraId="6D68CCE5" w14:textId="77777777" w:rsidR="0095407F" w:rsidRPr="00405303" w:rsidRDefault="0095407F" w:rsidP="00C15251">
      <w:pPr>
        <w:jc w:val="both"/>
        <w:rPr>
          <w:bCs/>
          <w:color w:val="002060"/>
          <w:sz w:val="16"/>
          <w:szCs w:val="16"/>
        </w:rPr>
      </w:pPr>
      <w:r w:rsidRPr="00405303">
        <w:rPr>
          <w:bCs/>
          <w:color w:val="002060"/>
          <w:sz w:val="16"/>
          <w:szCs w:val="16"/>
        </w:rPr>
        <w:lastRenderedPageBreak/>
        <w:t>В апреле или в мае 1915 г. на аэродром ЭВК Яблона отправлен с завода РБВЗ «Илья Муромец» В-19 (ИМ В-19 № 165, борт № I, далее – № V) экз. № 19, стратегический разведчик, тяжелый бомбардировщик</w:t>
      </w:r>
    </w:p>
    <w:p w14:paraId="68896BAB" w14:textId="77777777" w:rsidR="0095407F" w:rsidRPr="00405303" w:rsidRDefault="0095407F" w:rsidP="00C15251">
      <w:pPr>
        <w:jc w:val="both"/>
        <w:rPr>
          <w:bCs/>
          <w:color w:val="002060"/>
          <w:sz w:val="16"/>
          <w:szCs w:val="16"/>
        </w:rPr>
      </w:pPr>
      <w:r w:rsidRPr="00405303">
        <w:rPr>
          <w:bCs/>
          <w:color w:val="002060"/>
          <w:sz w:val="16"/>
          <w:szCs w:val="16"/>
        </w:rPr>
        <w:t>Построен с 4 двигателями водяного охлаждения Sunbeam Crusader по 150 л.с.</w:t>
      </w:r>
    </w:p>
    <w:p w14:paraId="7AF47E1F" w14:textId="77777777" w:rsidR="0095407F" w:rsidRPr="00405303" w:rsidRDefault="0095407F" w:rsidP="00C15251">
      <w:pPr>
        <w:jc w:val="both"/>
        <w:rPr>
          <w:bCs/>
          <w:color w:val="002060"/>
          <w:sz w:val="16"/>
          <w:szCs w:val="16"/>
        </w:rPr>
      </w:pPr>
      <w:r w:rsidRPr="00405303">
        <w:rPr>
          <w:bCs/>
          <w:color w:val="002060"/>
          <w:sz w:val="16"/>
          <w:szCs w:val="16"/>
        </w:rPr>
        <w:t>В июне 1915 г. прибыл на базу ЭВК Яблона.</w:t>
      </w:r>
    </w:p>
    <w:p w14:paraId="109766E6" w14:textId="77777777" w:rsidR="0095407F" w:rsidRPr="00405303" w:rsidRDefault="0095407F" w:rsidP="00C15251">
      <w:pPr>
        <w:jc w:val="both"/>
        <w:rPr>
          <w:bCs/>
          <w:color w:val="002060"/>
          <w:sz w:val="16"/>
          <w:szCs w:val="16"/>
        </w:rPr>
      </w:pPr>
      <w:r w:rsidRPr="00405303">
        <w:rPr>
          <w:bCs/>
          <w:color w:val="002060"/>
          <w:sz w:val="16"/>
          <w:szCs w:val="16"/>
        </w:rPr>
        <w:t>30.06.15 г. (13.07.15 г. по н.ст.) принят лейтенантом Лавровым и получил № I.</w:t>
      </w:r>
    </w:p>
    <w:p w14:paraId="1B532DF2" w14:textId="77777777" w:rsidR="0095407F" w:rsidRPr="00405303" w:rsidRDefault="0095407F" w:rsidP="00C15251">
      <w:pPr>
        <w:jc w:val="both"/>
        <w:rPr>
          <w:bCs/>
          <w:color w:val="002060"/>
          <w:sz w:val="16"/>
          <w:szCs w:val="16"/>
        </w:rPr>
      </w:pPr>
      <w:r w:rsidRPr="00405303">
        <w:rPr>
          <w:bCs/>
          <w:color w:val="002060"/>
          <w:sz w:val="16"/>
          <w:szCs w:val="16"/>
        </w:rPr>
        <w:t>02.07.15 г. (15.07.15 г. по н.ст.) корабль выполнил первый боевой вылет на разведку с попутной бомбардировкой.</w:t>
      </w:r>
    </w:p>
    <w:p w14:paraId="61164CB7" w14:textId="77777777" w:rsidR="0095407F" w:rsidRPr="00405303" w:rsidRDefault="0095407F" w:rsidP="00C15251">
      <w:pPr>
        <w:jc w:val="both"/>
        <w:rPr>
          <w:bCs/>
          <w:color w:val="002060"/>
          <w:sz w:val="16"/>
          <w:szCs w:val="16"/>
        </w:rPr>
      </w:pPr>
      <w:r w:rsidRPr="00405303">
        <w:rPr>
          <w:bCs/>
          <w:color w:val="002060"/>
          <w:sz w:val="16"/>
          <w:szCs w:val="16"/>
        </w:rPr>
        <w:t>В сентябре 1915 г. перебазирован в Зегевольд и получил новый № V.</w:t>
      </w:r>
    </w:p>
    <w:p w14:paraId="2F8A0457" w14:textId="77777777" w:rsidR="0095407F" w:rsidRPr="00405303" w:rsidRDefault="0095407F" w:rsidP="00C15251">
      <w:pPr>
        <w:jc w:val="both"/>
        <w:rPr>
          <w:bCs/>
          <w:color w:val="002060"/>
          <w:sz w:val="16"/>
          <w:szCs w:val="16"/>
        </w:rPr>
      </w:pPr>
      <w:r w:rsidRPr="00405303">
        <w:rPr>
          <w:bCs/>
          <w:color w:val="002060"/>
          <w:sz w:val="16"/>
          <w:szCs w:val="16"/>
        </w:rPr>
        <w:t>02.11.15 г. (15.11.15 г. по н.ст.) корабль выполнил последний боевой вылет.</w:t>
      </w:r>
    </w:p>
    <w:p w14:paraId="5CD53ABF" w14:textId="77777777" w:rsidR="0095407F" w:rsidRPr="00405303" w:rsidRDefault="0095407F" w:rsidP="00C15251">
      <w:pPr>
        <w:jc w:val="both"/>
        <w:rPr>
          <w:bCs/>
          <w:color w:val="002060"/>
          <w:sz w:val="16"/>
          <w:szCs w:val="16"/>
        </w:rPr>
      </w:pPr>
      <w:r w:rsidRPr="00405303">
        <w:rPr>
          <w:bCs/>
          <w:color w:val="002060"/>
          <w:sz w:val="16"/>
          <w:szCs w:val="16"/>
        </w:rPr>
        <w:t>Всего самолет сделал 12 боевых вылетов и сбросил свыше 1664 кг (104 пудов) бомб.</w:t>
      </w:r>
    </w:p>
    <w:p w14:paraId="7B3B939D" w14:textId="77777777" w:rsidR="0095407F" w:rsidRPr="00405303" w:rsidRDefault="0095407F" w:rsidP="00C15251">
      <w:pPr>
        <w:jc w:val="both"/>
        <w:rPr>
          <w:bCs/>
          <w:color w:val="002060"/>
          <w:sz w:val="16"/>
          <w:szCs w:val="16"/>
        </w:rPr>
      </w:pPr>
      <w:r w:rsidRPr="00405303">
        <w:rPr>
          <w:bCs/>
          <w:color w:val="002060"/>
          <w:sz w:val="16"/>
          <w:szCs w:val="16"/>
        </w:rPr>
        <w:t>Поврежден ураганом 03.01.16 г. (12.02.16 г. по н.ст.) и списан (23563).</w:t>
      </w:r>
    </w:p>
    <w:p w14:paraId="379AF342" w14:textId="77777777" w:rsidR="0095407F" w:rsidRPr="00405303" w:rsidRDefault="0095407F" w:rsidP="00C15251">
      <w:pPr>
        <w:jc w:val="both"/>
        <w:rPr>
          <w:bCs/>
          <w:color w:val="002060"/>
          <w:sz w:val="16"/>
          <w:szCs w:val="16"/>
        </w:rPr>
      </w:pPr>
    </w:p>
    <w:p w14:paraId="530BC079" w14:textId="0E08BBCE" w:rsidR="00D14C59" w:rsidRPr="00405303" w:rsidRDefault="00D14C59"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04E3B282" w14:textId="77777777" w:rsidR="00D14C59" w:rsidRPr="00405303" w:rsidRDefault="00D14C59" w:rsidP="00C15251">
      <w:pPr>
        <w:shd w:val="clear" w:color="auto" w:fill="FFFFFF"/>
        <w:jc w:val="both"/>
        <w:rPr>
          <w:bCs/>
          <w:i/>
          <w:color w:val="002060"/>
          <w:sz w:val="16"/>
          <w:szCs w:val="16"/>
        </w:rPr>
      </w:pPr>
    </w:p>
    <w:p w14:paraId="00B2BBE2" w14:textId="77777777" w:rsidR="00D14C59" w:rsidRPr="00405303" w:rsidRDefault="00D14C59" w:rsidP="00C15251">
      <w:pPr>
        <w:pStyle w:val="ae"/>
        <w:spacing w:before="0" w:beforeAutospacing="0" w:after="0" w:afterAutospacing="0"/>
        <w:jc w:val="both"/>
        <w:rPr>
          <w:bCs/>
          <w:color w:val="002060"/>
          <w:sz w:val="16"/>
          <w:szCs w:val="16"/>
        </w:rPr>
      </w:pPr>
      <w:r w:rsidRPr="00405303">
        <w:rPr>
          <w:bCs/>
          <w:color w:val="002060"/>
          <w:sz w:val="16"/>
          <w:szCs w:val="16"/>
        </w:rPr>
        <w:t>В апреле и мае 1915 противогазы Горного института появились на фронте. Одна из партий противогазов была выпущена под названием «Маски принца Ольденбургского». В мае количество противогазов Горного института составляло около 5 % общего числа противогазов всех типов, имеющихся на руках, к июлю их относительное количество увеличилось уже до 15 %. Дальше случилось то, что и должно было случиться. В июле 1916 г. во время газовой атаки под Сморгонью (19-20 июля) выяснилась полная непригодность противогаза Горного института. Войска понесли огромные потери, но только к сентябрю 1916 г. после многочисленных протестов этот противогаз изъяли из армии как негодный (20246).</w:t>
      </w:r>
    </w:p>
    <w:p w14:paraId="63DE6FF1" w14:textId="77777777" w:rsidR="00D14C59" w:rsidRPr="00405303" w:rsidRDefault="00D14C59" w:rsidP="00C15251">
      <w:pPr>
        <w:pStyle w:val="ae"/>
        <w:spacing w:before="0" w:beforeAutospacing="0" w:after="0" w:afterAutospacing="0"/>
        <w:jc w:val="both"/>
        <w:rPr>
          <w:bCs/>
          <w:color w:val="002060"/>
          <w:sz w:val="16"/>
          <w:szCs w:val="16"/>
        </w:rPr>
      </w:pPr>
    </w:p>
    <w:p w14:paraId="45BD6779"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0E376500" w14:textId="77777777" w:rsidR="004B4E35" w:rsidRPr="00405303" w:rsidRDefault="004B4E35" w:rsidP="00C15251">
      <w:pPr>
        <w:jc w:val="both"/>
        <w:rPr>
          <w:bCs/>
          <w:i/>
          <w:color w:val="002060"/>
          <w:sz w:val="16"/>
          <w:szCs w:val="16"/>
        </w:rPr>
      </w:pPr>
    </w:p>
    <w:p w14:paraId="7E2A74E2" w14:textId="38DDB347" w:rsidR="004B4E35" w:rsidRPr="00405303" w:rsidRDefault="00D40F7F"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апреле-мае 1915 </w:t>
      </w:r>
      <w:r w:rsidRPr="00405303">
        <w:rPr>
          <w:bCs/>
          <w:color w:val="002060"/>
          <w:sz w:val="16"/>
          <w:szCs w:val="16"/>
        </w:rPr>
        <w:t xml:space="preserve">русская эскадра </w:t>
      </w:r>
      <w:r w:rsidR="009E6F82" w:rsidRPr="00405303">
        <w:rPr>
          <w:bCs/>
          <w:color w:val="002060"/>
          <w:sz w:val="16"/>
          <w:szCs w:val="16"/>
        </w:rPr>
        <w:t>продол</w:t>
      </w:r>
      <w:r w:rsidR="009E6F82" w:rsidRPr="00405303">
        <w:rPr>
          <w:bCs/>
          <w:color w:val="002060"/>
          <w:sz w:val="16"/>
          <w:szCs w:val="16"/>
        </w:rPr>
        <w:softHyphen/>
        <w:t>жала совершать походы с целями нанесения артиллерийских ударов по береговым объектам и нарушения морских комму</w:t>
      </w:r>
      <w:r w:rsidR="009E6F82" w:rsidRPr="00405303">
        <w:rPr>
          <w:bCs/>
          <w:color w:val="002060"/>
          <w:sz w:val="16"/>
          <w:szCs w:val="16"/>
        </w:rPr>
        <w:softHyphen/>
        <w:t>никаций противника (11283).</w:t>
      </w:r>
    </w:p>
    <w:p w14:paraId="3DD2F1AC" w14:textId="77777777" w:rsidR="004B4E35" w:rsidRPr="00405303" w:rsidRDefault="004B4E35" w:rsidP="00C15251">
      <w:pPr>
        <w:shd w:val="clear" w:color="auto" w:fill="FFFFFF"/>
        <w:jc w:val="both"/>
        <w:rPr>
          <w:bCs/>
          <w:color w:val="002060"/>
          <w:sz w:val="16"/>
          <w:szCs w:val="16"/>
        </w:rPr>
      </w:pPr>
    </w:p>
    <w:p w14:paraId="6C921307" w14:textId="77777777" w:rsidR="0095407F" w:rsidRPr="00405303" w:rsidRDefault="0095407F" w:rsidP="00C15251">
      <w:pPr>
        <w:jc w:val="both"/>
        <w:rPr>
          <w:bCs/>
          <w:color w:val="002060"/>
          <w:sz w:val="16"/>
          <w:szCs w:val="16"/>
        </w:rPr>
      </w:pPr>
      <w:r w:rsidRPr="00405303">
        <w:rPr>
          <w:bCs/>
          <w:color w:val="002060"/>
          <w:sz w:val="16"/>
          <w:szCs w:val="16"/>
          <w:lang w:bidi="en-US"/>
        </w:rPr>
        <w:t>В период с апреля по июль 1915 года 3-я военно-морская авиабаза в Ревеле была переведена в устье реки Бригитовки под Ревелем (23525).</w:t>
      </w:r>
    </w:p>
    <w:p w14:paraId="3AF0D360" w14:textId="77777777" w:rsidR="0095407F" w:rsidRPr="00405303" w:rsidRDefault="0095407F" w:rsidP="00C15251">
      <w:pPr>
        <w:jc w:val="both"/>
        <w:rPr>
          <w:bCs/>
          <w:color w:val="002060"/>
          <w:sz w:val="16"/>
          <w:szCs w:val="16"/>
        </w:rPr>
      </w:pPr>
    </w:p>
    <w:p w14:paraId="3AB47D12" w14:textId="77777777" w:rsidR="003B3F09" w:rsidRPr="00405303" w:rsidRDefault="003B3F09" w:rsidP="00C15251">
      <w:pPr>
        <w:jc w:val="both"/>
        <w:rPr>
          <w:bCs/>
          <w:i/>
          <w:color w:val="002060"/>
          <w:sz w:val="16"/>
          <w:szCs w:val="16"/>
        </w:rPr>
      </w:pPr>
      <w:r w:rsidRPr="00405303">
        <w:rPr>
          <w:bCs/>
          <w:i/>
          <w:color w:val="002060"/>
          <w:sz w:val="16"/>
          <w:szCs w:val="16"/>
        </w:rPr>
        <w:t>Армия:</w:t>
      </w:r>
    </w:p>
    <w:p w14:paraId="392EE831" w14:textId="77777777" w:rsidR="003B3F09" w:rsidRPr="00405303" w:rsidRDefault="003B3F09" w:rsidP="00C15251">
      <w:pPr>
        <w:jc w:val="both"/>
        <w:rPr>
          <w:bCs/>
          <w:i/>
          <w:color w:val="002060"/>
          <w:sz w:val="16"/>
          <w:szCs w:val="16"/>
        </w:rPr>
      </w:pPr>
    </w:p>
    <w:p w14:paraId="578E72AC" w14:textId="77777777" w:rsidR="003B3F09" w:rsidRPr="00405303" w:rsidRDefault="003B3F09" w:rsidP="00C15251">
      <w:pPr>
        <w:jc w:val="both"/>
        <w:rPr>
          <w:bCs/>
          <w:color w:val="002060"/>
          <w:sz w:val="16"/>
          <w:szCs w:val="16"/>
        </w:rPr>
      </w:pPr>
      <w:r w:rsidRPr="00405303">
        <w:rPr>
          <w:bCs/>
          <w:color w:val="002060"/>
          <w:sz w:val="16"/>
          <w:szCs w:val="16"/>
        </w:rPr>
        <w:t>В январе-апреле 1915 Россией и Австро-Венгрией были проведены Августовская, Праснышская и Карпатская операции, приведшие к крушению стратегических планов обеих сторон. Австро-германским войскам не удалось охватить войска русского фронта, а русским не удалось осуществить вторжение в Германию и преодолеть Карпаты. Благодаря возросшей роли воздушной разведки ни в одной из предпринимаемых сторонами операции не удалось достичь внезапности.</w:t>
      </w:r>
    </w:p>
    <w:p w14:paraId="0ED20648" w14:textId="77777777" w:rsidR="003B3F09" w:rsidRPr="00405303" w:rsidRDefault="003B3F09" w:rsidP="00C15251">
      <w:pPr>
        <w:jc w:val="both"/>
        <w:rPr>
          <w:bCs/>
          <w:color w:val="002060"/>
          <w:sz w:val="16"/>
          <w:szCs w:val="16"/>
        </w:rPr>
      </w:pPr>
      <w:r w:rsidRPr="00405303">
        <w:rPr>
          <w:bCs/>
          <w:color w:val="002060"/>
          <w:sz w:val="16"/>
          <w:szCs w:val="16"/>
        </w:rPr>
        <w:t>Напряженно работала и истребительная авиация, перешедшая в режим барражирования - летчики регулярно летали в районы особо важных военных объектов с целью не допустить проникновения разведчиков и бомбардировщиков противника. 20-й корпусной авиаотряд, начиная с декабря 1914 г. 55 раз преследовал вражеские самолеты из положения "дежурство в воздухе". Также 16 раз поднимались в воздух пары истребителей по телеграфным сигналам с пограничных постов.</w:t>
      </w:r>
    </w:p>
    <w:p w14:paraId="2A47AACF" w14:textId="77777777" w:rsidR="003B3F09" w:rsidRPr="00405303" w:rsidRDefault="003B3F09" w:rsidP="00C15251">
      <w:pPr>
        <w:jc w:val="both"/>
        <w:rPr>
          <w:bCs/>
          <w:color w:val="002060"/>
          <w:sz w:val="16"/>
          <w:szCs w:val="16"/>
        </w:rPr>
      </w:pPr>
      <w:r w:rsidRPr="00405303">
        <w:rPr>
          <w:bCs/>
          <w:color w:val="002060"/>
          <w:sz w:val="16"/>
          <w:szCs w:val="16"/>
        </w:rPr>
        <w:t>Не дремала и разведка, причем довольно успешно работали не только приданные 1-й армии "Муромцы". В этом месяце, на основании поступавших от разведчиков 11-го авиаотряда сведений, штаб 3-й русской армии смог в течение трех дней успешно сдерживать превосходящие силы противника и предотвратить полный разгром центра армии (11999).</w:t>
      </w:r>
    </w:p>
    <w:p w14:paraId="1A7098F3" w14:textId="77777777" w:rsidR="003B3F09" w:rsidRPr="00405303" w:rsidRDefault="003B3F09" w:rsidP="00C15251">
      <w:pPr>
        <w:jc w:val="both"/>
        <w:rPr>
          <w:bCs/>
          <w:color w:val="002060"/>
          <w:sz w:val="16"/>
          <w:szCs w:val="16"/>
        </w:rPr>
      </w:pPr>
    </w:p>
    <w:p w14:paraId="6B54922D" w14:textId="27026450" w:rsidR="009458FA" w:rsidRPr="00405303" w:rsidRDefault="009458FA" w:rsidP="00C15251">
      <w:pPr>
        <w:shd w:val="clear" w:color="auto" w:fill="FFFFFF"/>
        <w:jc w:val="both"/>
        <w:rPr>
          <w:bCs/>
          <w:i/>
          <w:color w:val="002060"/>
          <w:sz w:val="16"/>
          <w:szCs w:val="16"/>
        </w:rPr>
      </w:pPr>
      <w:r w:rsidRPr="00405303">
        <w:rPr>
          <w:bCs/>
          <w:i/>
          <w:color w:val="002060"/>
          <w:sz w:val="16"/>
          <w:szCs w:val="16"/>
        </w:rPr>
        <w:t>Самолетостроение:</w:t>
      </w:r>
    </w:p>
    <w:p w14:paraId="7FC73C97" w14:textId="77777777" w:rsidR="009458FA" w:rsidRPr="00405303" w:rsidRDefault="009458FA" w:rsidP="00C15251">
      <w:pPr>
        <w:shd w:val="clear" w:color="auto" w:fill="FFFFFF"/>
        <w:jc w:val="both"/>
        <w:rPr>
          <w:bCs/>
          <w:i/>
          <w:color w:val="002060"/>
          <w:sz w:val="16"/>
          <w:szCs w:val="16"/>
        </w:rPr>
      </w:pPr>
    </w:p>
    <w:p w14:paraId="21CF0943" w14:textId="6CFF89AE" w:rsidR="009458FA" w:rsidRPr="00405303" w:rsidRDefault="009458FA" w:rsidP="00C15251">
      <w:pPr>
        <w:jc w:val="both"/>
        <w:rPr>
          <w:bCs/>
          <w:color w:val="002060"/>
          <w:sz w:val="16"/>
          <w:szCs w:val="16"/>
        </w:rPr>
      </w:pPr>
      <w:r w:rsidRPr="00405303">
        <w:rPr>
          <w:bCs/>
          <w:color w:val="002060"/>
          <w:sz w:val="16"/>
          <w:szCs w:val="16"/>
        </w:rPr>
        <w:t>К маю 1915 года в Эскадре не остаюсь кораблей типа Б. В процессе эксплуатации были выявлены крупные недостатки этой модификации. Аппарат не мог брать необходимой высоты в 2500 метров или хотя бы в 2000 метров. Это удалось сделать лишь однажды самому Сикорскому 4 (27) марта на старом рудневском корабле с "Аргусами", когда он достиг почти 2200 метров. Другие корабли с моголами "Сальмсон" набирали высоту ещё медленнее и на 500 метров поднимались за 15 минут, а на 1000 метров - за 26-28 минут. Типу Б на разбеге требовалось не менее 250 шагов (против ветра), а часто и свыше 400 шагов. Хвостовая опора полозкового типа была частой причиной аварий. Капризные моторы "Сальмсон" не работали из-за холода.</w:t>
      </w:r>
    </w:p>
    <w:p w14:paraId="1EA30BA9" w14:textId="77777777" w:rsidR="009458FA" w:rsidRPr="00405303" w:rsidRDefault="009458FA" w:rsidP="00C15251">
      <w:pPr>
        <w:jc w:val="both"/>
        <w:rPr>
          <w:bCs/>
          <w:color w:val="002060"/>
          <w:sz w:val="16"/>
          <w:szCs w:val="16"/>
        </w:rPr>
      </w:pPr>
      <w:r w:rsidRPr="00405303">
        <w:rPr>
          <w:bCs/>
          <w:color w:val="002060"/>
          <w:sz w:val="16"/>
          <w:szCs w:val="16"/>
        </w:rPr>
        <w:t>Новые самолёты модификации В показали себя по-другому. Две лучшие машины (Горшкова и Бродовича), оснащённые дефицитными "Аргусами", смогли подтвердить свои качества и в боевых условиях (12041).</w:t>
      </w:r>
    </w:p>
    <w:p w14:paraId="70030E56" w14:textId="77777777" w:rsidR="009458FA" w:rsidRPr="00405303" w:rsidRDefault="009458FA" w:rsidP="00C15251">
      <w:pPr>
        <w:jc w:val="both"/>
        <w:rPr>
          <w:bCs/>
          <w:color w:val="002060"/>
          <w:sz w:val="16"/>
          <w:szCs w:val="16"/>
        </w:rPr>
      </w:pPr>
    </w:p>
    <w:p w14:paraId="608E18CB" w14:textId="2678B512"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4659FE42" w14:textId="77777777" w:rsidR="004B4E35" w:rsidRPr="00405303" w:rsidRDefault="004B4E35" w:rsidP="00C15251">
      <w:pPr>
        <w:shd w:val="clear" w:color="auto" w:fill="FFFFFF"/>
        <w:jc w:val="both"/>
        <w:rPr>
          <w:bCs/>
          <w:i/>
          <w:color w:val="002060"/>
          <w:sz w:val="16"/>
          <w:szCs w:val="16"/>
        </w:rPr>
      </w:pPr>
    </w:p>
    <w:p w14:paraId="057C1401" w14:textId="77777777" w:rsidR="00393E82" w:rsidRPr="00405303" w:rsidRDefault="00393E82" w:rsidP="00C15251">
      <w:pPr>
        <w:jc w:val="both"/>
        <w:rPr>
          <w:bCs/>
          <w:color w:val="002060"/>
          <w:sz w:val="16"/>
          <w:szCs w:val="16"/>
        </w:rPr>
      </w:pPr>
      <w:r w:rsidRPr="00405303">
        <w:rPr>
          <w:bCs/>
          <w:color w:val="002060"/>
          <w:sz w:val="16"/>
          <w:szCs w:val="16"/>
        </w:rPr>
        <w:t>К маю 1915 г. из 36 эсминцев и 18 подлодок, строившихся в соответствии с «Большой» судостроительной программой 1912 г., были изготовлены станции для двенадцати и четырех судов соответственно. 25 мая 1915 г. Совещание по судостроению принимает решение об изготовлении в Депо станций еще для шести эсминцев и двух подлодок. А в мае 1916 г. это же Совещание выдает наряд Радиотелеграфному заводу на выпуск еще шести рейдовых, шести мощностью 2 кВт и одной радиостанции для подлодки (18297).</w:t>
      </w:r>
    </w:p>
    <w:p w14:paraId="04181EAB" w14:textId="77777777" w:rsidR="00393E82" w:rsidRPr="00405303" w:rsidRDefault="00393E82" w:rsidP="00C15251">
      <w:pPr>
        <w:jc w:val="both"/>
        <w:rPr>
          <w:bCs/>
          <w:color w:val="002060"/>
          <w:sz w:val="16"/>
          <w:szCs w:val="16"/>
        </w:rPr>
      </w:pPr>
    </w:p>
    <w:p w14:paraId="19E41D44" w14:textId="77777777" w:rsidR="004B4E35" w:rsidRPr="00405303" w:rsidRDefault="009E6F82" w:rsidP="00C15251">
      <w:pPr>
        <w:jc w:val="both"/>
        <w:rPr>
          <w:bCs/>
          <w:color w:val="002060"/>
          <w:sz w:val="16"/>
          <w:szCs w:val="16"/>
        </w:rPr>
      </w:pPr>
      <w:r w:rsidRPr="00405303">
        <w:rPr>
          <w:bCs/>
          <w:color w:val="002060"/>
          <w:sz w:val="16"/>
          <w:szCs w:val="16"/>
        </w:rPr>
        <w:t xml:space="preserve">К маю 1915 г. уже 37 заводов приступили к изготовлению корпусов гранат и три завода — к изготовлению калибров и лекал. </w:t>
      </w:r>
    </w:p>
    <w:p w14:paraId="5F43756B" w14:textId="77777777" w:rsidR="004B4E35" w:rsidRPr="00405303" w:rsidRDefault="009E6F82" w:rsidP="00C15251">
      <w:pPr>
        <w:jc w:val="both"/>
        <w:rPr>
          <w:bCs/>
          <w:color w:val="002060"/>
          <w:sz w:val="16"/>
          <w:szCs w:val="16"/>
        </w:rPr>
      </w:pPr>
      <w:r w:rsidRPr="00405303">
        <w:rPr>
          <w:bCs/>
          <w:color w:val="002060"/>
          <w:sz w:val="16"/>
          <w:szCs w:val="16"/>
        </w:rPr>
        <w:t xml:space="preserve">Одновременно с этим приступлено было к устройству заводов для снаряжения гранат мелинитом. О них будет сказано ниже. </w:t>
      </w:r>
    </w:p>
    <w:p w14:paraId="39FC8128" w14:textId="77777777" w:rsidR="004B4E35" w:rsidRPr="00405303" w:rsidRDefault="009E6F82" w:rsidP="00C15251">
      <w:pPr>
        <w:jc w:val="both"/>
        <w:rPr>
          <w:bCs/>
          <w:color w:val="002060"/>
          <w:sz w:val="16"/>
          <w:szCs w:val="16"/>
        </w:rPr>
      </w:pPr>
      <w:r w:rsidRPr="00405303">
        <w:rPr>
          <w:bCs/>
          <w:color w:val="002060"/>
          <w:sz w:val="16"/>
          <w:szCs w:val="16"/>
        </w:rPr>
        <w:t xml:space="preserve">Для управления всем делом заготовления и снаряжения заводов было организовано в Москве Управление уполномоченного ГАУ по изготовлению снарядов французского образца. Управление состояло из технического отдела, отдела распределения материалов, бухгалтерии, хозяйственного отдела, канцелярии и отдела снабжения. При управлении состояла французская техническая миссия. </w:t>
      </w:r>
    </w:p>
    <w:p w14:paraId="26F3BBF7" w14:textId="77777777" w:rsidR="004B4E35" w:rsidRPr="00405303" w:rsidRDefault="009E6F82" w:rsidP="00C15251">
      <w:pPr>
        <w:jc w:val="both"/>
        <w:rPr>
          <w:bCs/>
          <w:color w:val="002060"/>
          <w:sz w:val="16"/>
          <w:szCs w:val="16"/>
        </w:rPr>
      </w:pPr>
      <w:r w:rsidRPr="00405303">
        <w:rPr>
          <w:bCs/>
          <w:color w:val="002060"/>
          <w:sz w:val="16"/>
          <w:szCs w:val="16"/>
        </w:rPr>
        <w:t xml:space="preserve">Заводы, привлеченные к исполнению заказа, были распределены по районам, коих было семь: Южный, Одесский, Киевский, Тамбовский, Петроградский, Ярославский и Московский. На каждом из заводов имелся приемщик от Управления уполномоченного ГАУ. </w:t>
      </w:r>
    </w:p>
    <w:p w14:paraId="6F7EC3CD" w14:textId="77777777" w:rsidR="004B4E35" w:rsidRPr="00405303" w:rsidRDefault="009E6F82" w:rsidP="00C15251">
      <w:pPr>
        <w:jc w:val="both"/>
        <w:rPr>
          <w:bCs/>
          <w:color w:val="002060"/>
          <w:sz w:val="16"/>
          <w:szCs w:val="16"/>
        </w:rPr>
      </w:pPr>
      <w:r w:rsidRPr="00405303">
        <w:rPr>
          <w:bCs/>
          <w:color w:val="002060"/>
          <w:sz w:val="16"/>
          <w:szCs w:val="16"/>
        </w:rPr>
        <w:t xml:space="preserve">Районами заведовали отдельные инженеры, на обязанности коих лежало: 1) оказывать заводам, исполняющим заказы, возможно большую помощь техническими указаниями, устраняя дефекты и затруднения в производстве, 2) принимать меры к ускорению хода работ и скорейшей отправке готовых партий по назначению, 3) объединять работу заводов района, 4) входить в нужных случаях в сношения с местными властями на предмет содействия в работе заводов, 5) ближайшим образом руководить работой приемщиков на заводах. </w:t>
      </w:r>
    </w:p>
    <w:p w14:paraId="6D2A7DD7" w14:textId="77777777" w:rsidR="004B4E35" w:rsidRPr="00405303" w:rsidRDefault="009E6F82" w:rsidP="00C15251">
      <w:pPr>
        <w:jc w:val="both"/>
        <w:rPr>
          <w:bCs/>
          <w:color w:val="002060"/>
          <w:sz w:val="16"/>
          <w:szCs w:val="16"/>
        </w:rPr>
      </w:pPr>
      <w:r w:rsidRPr="00405303">
        <w:rPr>
          <w:bCs/>
          <w:color w:val="002060"/>
          <w:sz w:val="16"/>
          <w:szCs w:val="16"/>
        </w:rPr>
        <w:t xml:space="preserve">Вслед за первым заказом на 1 000 000 шт. 3-дм гранат последовали один за другим дальнейшие заказы на них: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44"/>
        <w:gridCol w:w="2064"/>
      </w:tblGrid>
      <w:tr w:rsidR="004B4E35" w:rsidRPr="00405303" w14:paraId="1D2EEB7C" w14:textId="77777777">
        <w:tc>
          <w:tcPr>
            <w:tcW w:w="2244" w:type="dxa"/>
          </w:tcPr>
          <w:p w14:paraId="122A9061" w14:textId="77777777" w:rsidR="004B4E35" w:rsidRPr="00405303" w:rsidRDefault="009E6F82" w:rsidP="00C15251">
            <w:pPr>
              <w:jc w:val="both"/>
              <w:rPr>
                <w:bCs/>
                <w:color w:val="002060"/>
                <w:sz w:val="16"/>
                <w:szCs w:val="16"/>
              </w:rPr>
            </w:pPr>
            <w:r w:rsidRPr="00405303">
              <w:rPr>
                <w:bCs/>
                <w:color w:val="002060"/>
                <w:sz w:val="16"/>
                <w:szCs w:val="16"/>
              </w:rPr>
              <w:t>В 1915 г.</w:t>
            </w:r>
          </w:p>
        </w:tc>
        <w:tc>
          <w:tcPr>
            <w:tcW w:w="2064" w:type="dxa"/>
          </w:tcPr>
          <w:p w14:paraId="05F182AD" w14:textId="77777777" w:rsidR="004B4E35" w:rsidRPr="00405303" w:rsidRDefault="009E6F82" w:rsidP="00C15251">
            <w:pPr>
              <w:jc w:val="both"/>
              <w:rPr>
                <w:bCs/>
                <w:color w:val="002060"/>
                <w:sz w:val="16"/>
                <w:szCs w:val="16"/>
              </w:rPr>
            </w:pPr>
            <w:r w:rsidRPr="00405303">
              <w:rPr>
                <w:bCs/>
                <w:color w:val="002060"/>
                <w:sz w:val="16"/>
                <w:szCs w:val="16"/>
              </w:rPr>
              <w:t xml:space="preserve">на 3.600.000 гранат </w:t>
            </w:r>
          </w:p>
        </w:tc>
      </w:tr>
      <w:tr w:rsidR="004B4E35" w:rsidRPr="00405303" w14:paraId="4C5515A8" w14:textId="77777777">
        <w:tc>
          <w:tcPr>
            <w:tcW w:w="2244" w:type="dxa"/>
          </w:tcPr>
          <w:p w14:paraId="2C0CB636" w14:textId="77777777" w:rsidR="004B4E35" w:rsidRPr="00405303" w:rsidRDefault="009E6F82" w:rsidP="00C15251">
            <w:pPr>
              <w:jc w:val="both"/>
              <w:rPr>
                <w:bCs/>
                <w:color w:val="002060"/>
                <w:sz w:val="16"/>
                <w:szCs w:val="16"/>
              </w:rPr>
            </w:pPr>
            <w:r w:rsidRPr="00405303">
              <w:rPr>
                <w:bCs/>
                <w:color w:val="002060"/>
                <w:sz w:val="16"/>
                <w:szCs w:val="16"/>
              </w:rPr>
              <w:t>В 1916 г.</w:t>
            </w:r>
          </w:p>
        </w:tc>
        <w:tc>
          <w:tcPr>
            <w:tcW w:w="2064" w:type="dxa"/>
          </w:tcPr>
          <w:p w14:paraId="7EB6F800" w14:textId="77777777" w:rsidR="004B4E35" w:rsidRPr="00405303" w:rsidRDefault="009E6F82" w:rsidP="00C15251">
            <w:pPr>
              <w:jc w:val="both"/>
              <w:rPr>
                <w:bCs/>
                <w:color w:val="002060"/>
                <w:sz w:val="16"/>
                <w:szCs w:val="16"/>
              </w:rPr>
            </w:pPr>
            <w:r w:rsidRPr="00405303">
              <w:rPr>
                <w:bCs/>
                <w:color w:val="002060"/>
                <w:sz w:val="16"/>
                <w:szCs w:val="16"/>
              </w:rPr>
              <w:t xml:space="preserve">на 5.500.000 </w:t>
            </w:r>
          </w:p>
        </w:tc>
      </w:tr>
      <w:tr w:rsidR="004B4E35" w:rsidRPr="00405303" w14:paraId="2FBF179D" w14:textId="77777777">
        <w:tc>
          <w:tcPr>
            <w:tcW w:w="2244" w:type="dxa"/>
          </w:tcPr>
          <w:p w14:paraId="772C9908" w14:textId="77777777" w:rsidR="004B4E35" w:rsidRPr="00405303" w:rsidRDefault="009E6F82" w:rsidP="00C15251">
            <w:pPr>
              <w:jc w:val="both"/>
              <w:rPr>
                <w:bCs/>
                <w:color w:val="002060"/>
                <w:sz w:val="16"/>
                <w:szCs w:val="16"/>
              </w:rPr>
            </w:pPr>
            <w:r w:rsidRPr="00405303">
              <w:rPr>
                <w:bCs/>
                <w:color w:val="002060"/>
                <w:sz w:val="16"/>
                <w:szCs w:val="16"/>
              </w:rPr>
              <w:t>В 1917 г.</w:t>
            </w:r>
          </w:p>
        </w:tc>
        <w:tc>
          <w:tcPr>
            <w:tcW w:w="2064" w:type="dxa"/>
          </w:tcPr>
          <w:p w14:paraId="04F7C14B" w14:textId="77777777" w:rsidR="004B4E35" w:rsidRPr="00405303" w:rsidRDefault="009E6F82" w:rsidP="00C15251">
            <w:pPr>
              <w:jc w:val="both"/>
              <w:rPr>
                <w:bCs/>
                <w:color w:val="002060"/>
                <w:sz w:val="16"/>
                <w:szCs w:val="16"/>
              </w:rPr>
            </w:pPr>
            <w:r w:rsidRPr="00405303">
              <w:rPr>
                <w:bCs/>
                <w:color w:val="002060"/>
                <w:sz w:val="16"/>
                <w:szCs w:val="16"/>
              </w:rPr>
              <w:t xml:space="preserve">на 4.940.000 </w:t>
            </w:r>
          </w:p>
        </w:tc>
      </w:tr>
      <w:tr w:rsidR="004B4E35" w:rsidRPr="00405303" w14:paraId="367562FB" w14:textId="77777777">
        <w:tc>
          <w:tcPr>
            <w:tcW w:w="2244" w:type="dxa"/>
          </w:tcPr>
          <w:p w14:paraId="50F9B2CF" w14:textId="77777777" w:rsidR="004B4E35" w:rsidRPr="00405303" w:rsidRDefault="009E6F82" w:rsidP="00C15251">
            <w:pPr>
              <w:jc w:val="both"/>
              <w:rPr>
                <w:bCs/>
                <w:color w:val="002060"/>
                <w:sz w:val="16"/>
                <w:szCs w:val="16"/>
              </w:rPr>
            </w:pPr>
            <w:r w:rsidRPr="00405303">
              <w:rPr>
                <w:bCs/>
                <w:color w:val="002060"/>
                <w:sz w:val="16"/>
                <w:szCs w:val="16"/>
              </w:rPr>
              <w:lastRenderedPageBreak/>
              <w:t>Всего</w:t>
            </w:r>
          </w:p>
        </w:tc>
        <w:tc>
          <w:tcPr>
            <w:tcW w:w="2064" w:type="dxa"/>
          </w:tcPr>
          <w:p w14:paraId="164D81B3" w14:textId="25072728" w:rsidR="004B4E35" w:rsidRPr="00405303" w:rsidRDefault="00DB4D64" w:rsidP="00C15251">
            <w:pPr>
              <w:jc w:val="both"/>
              <w:rPr>
                <w:bCs/>
                <w:color w:val="002060"/>
                <w:sz w:val="16"/>
                <w:szCs w:val="16"/>
              </w:rPr>
            </w:pPr>
            <w:r w:rsidRPr="00405303">
              <w:rPr>
                <w:bCs/>
                <w:color w:val="002060"/>
                <w:sz w:val="16"/>
                <w:szCs w:val="16"/>
              </w:rPr>
              <w:t xml:space="preserve"> </w:t>
            </w:r>
            <w:r w:rsidR="009E6F82" w:rsidRPr="00405303">
              <w:rPr>
                <w:bCs/>
                <w:color w:val="002060"/>
                <w:sz w:val="16"/>
                <w:szCs w:val="16"/>
              </w:rPr>
              <w:t>на 14.540.000 гранат.</w:t>
            </w:r>
          </w:p>
        </w:tc>
      </w:tr>
    </w:tbl>
    <w:p w14:paraId="5062FE71" w14:textId="77777777" w:rsidR="004B4E35" w:rsidRPr="00405303" w:rsidRDefault="009E6F82" w:rsidP="00C15251">
      <w:pPr>
        <w:jc w:val="both"/>
        <w:rPr>
          <w:bCs/>
          <w:color w:val="002060"/>
          <w:sz w:val="16"/>
          <w:szCs w:val="16"/>
        </w:rPr>
      </w:pPr>
      <w:r w:rsidRPr="00405303">
        <w:rPr>
          <w:bCs/>
          <w:color w:val="002060"/>
          <w:sz w:val="16"/>
          <w:szCs w:val="16"/>
        </w:rPr>
        <w:t xml:space="preserve">И к ним: </w:t>
      </w:r>
    </w:p>
    <w:p w14:paraId="00C804EE" w14:textId="77777777" w:rsidR="004B4E35" w:rsidRPr="00405303" w:rsidRDefault="009E6F82" w:rsidP="00C15251">
      <w:pPr>
        <w:jc w:val="both"/>
        <w:rPr>
          <w:bCs/>
          <w:color w:val="002060"/>
          <w:sz w:val="16"/>
          <w:szCs w:val="16"/>
        </w:rPr>
      </w:pPr>
      <w:r w:rsidRPr="00405303">
        <w:rPr>
          <w:bCs/>
          <w:color w:val="002060"/>
          <w:sz w:val="16"/>
          <w:szCs w:val="16"/>
        </w:rPr>
        <w:t xml:space="preserve">17.090.000 запальных стаканов, </w:t>
      </w:r>
    </w:p>
    <w:p w14:paraId="1471C3B4" w14:textId="77777777" w:rsidR="004B4E35" w:rsidRPr="00405303" w:rsidRDefault="009E6F82" w:rsidP="00C15251">
      <w:pPr>
        <w:jc w:val="both"/>
        <w:rPr>
          <w:bCs/>
          <w:color w:val="002060"/>
          <w:sz w:val="16"/>
          <w:szCs w:val="16"/>
        </w:rPr>
      </w:pPr>
      <w:r w:rsidRPr="00405303">
        <w:rPr>
          <w:bCs/>
          <w:color w:val="002060"/>
          <w:sz w:val="16"/>
          <w:szCs w:val="16"/>
        </w:rPr>
        <w:t>17.540.000 детонаторных трубок.</w:t>
      </w:r>
    </w:p>
    <w:p w14:paraId="6B6D8E6E" w14:textId="77777777" w:rsidR="004B4E35" w:rsidRPr="00405303" w:rsidRDefault="009E6F82" w:rsidP="00C15251">
      <w:pPr>
        <w:jc w:val="both"/>
        <w:rPr>
          <w:bCs/>
          <w:color w:val="002060"/>
          <w:sz w:val="16"/>
          <w:szCs w:val="16"/>
        </w:rPr>
      </w:pPr>
      <w:r w:rsidRPr="00405303">
        <w:rPr>
          <w:bCs/>
          <w:color w:val="002060"/>
          <w:sz w:val="16"/>
          <w:szCs w:val="16"/>
        </w:rPr>
        <w:t xml:space="preserve">Из этого числа 1 000 000 был приспособлен для снаряжения удушающими веществами. </w:t>
      </w:r>
    </w:p>
    <w:p w14:paraId="64FE0696" w14:textId="77777777" w:rsidR="004B4E35" w:rsidRPr="00405303" w:rsidRDefault="009E6F82" w:rsidP="00C15251">
      <w:pPr>
        <w:jc w:val="both"/>
        <w:rPr>
          <w:bCs/>
          <w:color w:val="002060"/>
          <w:sz w:val="16"/>
          <w:szCs w:val="16"/>
        </w:rPr>
      </w:pPr>
      <w:r w:rsidRPr="00405303">
        <w:rPr>
          <w:bCs/>
          <w:color w:val="002060"/>
          <w:sz w:val="16"/>
          <w:szCs w:val="16"/>
        </w:rPr>
        <w:t xml:space="preserve">Кроме 3-дм гранат, уполномоченному ГАУ поручено было разновременно в 1916 г. изготовление снарядов средних и больших калибров, а именно: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372"/>
        <w:gridCol w:w="936"/>
      </w:tblGrid>
      <w:tr w:rsidR="004B4E35" w:rsidRPr="00405303" w14:paraId="25CD9DEF" w14:textId="77777777">
        <w:tc>
          <w:tcPr>
            <w:tcW w:w="3372" w:type="dxa"/>
          </w:tcPr>
          <w:p w14:paraId="004F8B07" w14:textId="77777777" w:rsidR="004B4E35" w:rsidRPr="00405303" w:rsidRDefault="009E6F82" w:rsidP="00C15251">
            <w:pPr>
              <w:jc w:val="both"/>
              <w:rPr>
                <w:bCs/>
                <w:color w:val="002060"/>
                <w:sz w:val="16"/>
                <w:szCs w:val="16"/>
              </w:rPr>
            </w:pPr>
            <w:r w:rsidRPr="00405303">
              <w:rPr>
                <w:bCs/>
                <w:color w:val="002060"/>
                <w:sz w:val="16"/>
                <w:szCs w:val="16"/>
              </w:rPr>
              <w:t>6-дм бомб</w:t>
            </w:r>
          </w:p>
        </w:tc>
        <w:tc>
          <w:tcPr>
            <w:tcW w:w="936" w:type="dxa"/>
          </w:tcPr>
          <w:p w14:paraId="0695398E" w14:textId="77777777" w:rsidR="004B4E35" w:rsidRPr="00405303" w:rsidRDefault="009E6F82" w:rsidP="00C15251">
            <w:pPr>
              <w:jc w:val="both"/>
              <w:rPr>
                <w:bCs/>
                <w:color w:val="002060"/>
                <w:sz w:val="16"/>
                <w:szCs w:val="16"/>
              </w:rPr>
            </w:pPr>
            <w:r w:rsidRPr="00405303">
              <w:rPr>
                <w:bCs/>
                <w:color w:val="002060"/>
                <w:sz w:val="16"/>
                <w:szCs w:val="16"/>
              </w:rPr>
              <w:t xml:space="preserve">740.000 </w:t>
            </w:r>
          </w:p>
        </w:tc>
      </w:tr>
      <w:tr w:rsidR="004B4E35" w:rsidRPr="00405303" w14:paraId="23EC63F8" w14:textId="77777777">
        <w:tc>
          <w:tcPr>
            <w:tcW w:w="3372" w:type="dxa"/>
          </w:tcPr>
          <w:p w14:paraId="5C309527" w14:textId="77777777" w:rsidR="004B4E35" w:rsidRPr="00405303" w:rsidRDefault="009E6F82" w:rsidP="00C15251">
            <w:pPr>
              <w:jc w:val="both"/>
              <w:rPr>
                <w:bCs/>
                <w:color w:val="002060"/>
                <w:sz w:val="16"/>
                <w:szCs w:val="16"/>
              </w:rPr>
            </w:pPr>
            <w:r w:rsidRPr="00405303">
              <w:rPr>
                <w:bCs/>
                <w:color w:val="002060"/>
                <w:sz w:val="16"/>
                <w:szCs w:val="16"/>
              </w:rPr>
              <w:t>48-лин. Бомб</w:t>
            </w:r>
          </w:p>
        </w:tc>
        <w:tc>
          <w:tcPr>
            <w:tcW w:w="936" w:type="dxa"/>
          </w:tcPr>
          <w:p w14:paraId="4ED6DD16" w14:textId="77777777" w:rsidR="004B4E35" w:rsidRPr="00405303" w:rsidRDefault="009E6F82" w:rsidP="00C15251">
            <w:pPr>
              <w:jc w:val="both"/>
              <w:rPr>
                <w:bCs/>
                <w:color w:val="002060"/>
                <w:sz w:val="16"/>
                <w:szCs w:val="16"/>
              </w:rPr>
            </w:pPr>
            <w:r w:rsidRPr="00405303">
              <w:rPr>
                <w:bCs/>
                <w:color w:val="002060"/>
                <w:sz w:val="16"/>
                <w:szCs w:val="16"/>
              </w:rPr>
              <w:t xml:space="preserve">400.000 </w:t>
            </w:r>
          </w:p>
        </w:tc>
      </w:tr>
      <w:tr w:rsidR="004B4E35" w:rsidRPr="00405303" w14:paraId="37B7605C" w14:textId="77777777">
        <w:tc>
          <w:tcPr>
            <w:tcW w:w="3372" w:type="dxa"/>
          </w:tcPr>
          <w:p w14:paraId="3EC3E5CE" w14:textId="77777777" w:rsidR="004B4E35" w:rsidRPr="00405303" w:rsidRDefault="009E6F82" w:rsidP="00C15251">
            <w:pPr>
              <w:jc w:val="both"/>
              <w:rPr>
                <w:bCs/>
                <w:color w:val="002060"/>
                <w:sz w:val="16"/>
                <w:szCs w:val="16"/>
              </w:rPr>
            </w:pPr>
            <w:r w:rsidRPr="00405303">
              <w:rPr>
                <w:bCs/>
                <w:color w:val="002060"/>
                <w:sz w:val="16"/>
                <w:szCs w:val="16"/>
              </w:rPr>
              <w:t>57-мм для Румынии</w:t>
            </w:r>
          </w:p>
        </w:tc>
        <w:tc>
          <w:tcPr>
            <w:tcW w:w="936" w:type="dxa"/>
          </w:tcPr>
          <w:p w14:paraId="7C53D8F6" w14:textId="77777777" w:rsidR="004B4E35" w:rsidRPr="00405303" w:rsidRDefault="009E6F82" w:rsidP="00C15251">
            <w:pPr>
              <w:jc w:val="both"/>
              <w:rPr>
                <w:bCs/>
                <w:color w:val="002060"/>
                <w:sz w:val="16"/>
                <w:szCs w:val="16"/>
              </w:rPr>
            </w:pPr>
            <w:r w:rsidRPr="00405303">
              <w:rPr>
                <w:bCs/>
                <w:color w:val="002060"/>
                <w:sz w:val="16"/>
                <w:szCs w:val="16"/>
              </w:rPr>
              <w:t xml:space="preserve">360.000 </w:t>
            </w:r>
          </w:p>
        </w:tc>
      </w:tr>
      <w:tr w:rsidR="004B4E35" w:rsidRPr="00405303" w14:paraId="50257E8A" w14:textId="77777777">
        <w:tc>
          <w:tcPr>
            <w:tcW w:w="3372" w:type="dxa"/>
          </w:tcPr>
          <w:p w14:paraId="10F8812B" w14:textId="77777777" w:rsidR="004B4E35" w:rsidRPr="00405303" w:rsidRDefault="009E6F82" w:rsidP="00C15251">
            <w:pPr>
              <w:jc w:val="both"/>
              <w:rPr>
                <w:bCs/>
                <w:color w:val="002060"/>
                <w:sz w:val="16"/>
                <w:szCs w:val="16"/>
              </w:rPr>
            </w:pPr>
            <w:r w:rsidRPr="00405303">
              <w:rPr>
                <w:bCs/>
                <w:color w:val="002060"/>
                <w:sz w:val="16"/>
                <w:szCs w:val="16"/>
              </w:rPr>
              <w:t>75-мм гранат</w:t>
            </w:r>
          </w:p>
        </w:tc>
        <w:tc>
          <w:tcPr>
            <w:tcW w:w="936" w:type="dxa"/>
          </w:tcPr>
          <w:p w14:paraId="287FF6A2" w14:textId="77777777" w:rsidR="004B4E35" w:rsidRPr="00405303" w:rsidRDefault="009E6F82" w:rsidP="00C15251">
            <w:pPr>
              <w:jc w:val="both"/>
              <w:rPr>
                <w:bCs/>
                <w:color w:val="002060"/>
                <w:sz w:val="16"/>
                <w:szCs w:val="16"/>
              </w:rPr>
            </w:pPr>
            <w:r w:rsidRPr="00405303">
              <w:rPr>
                <w:bCs/>
                <w:color w:val="002060"/>
                <w:sz w:val="16"/>
                <w:szCs w:val="16"/>
              </w:rPr>
              <w:t xml:space="preserve">540.000 </w:t>
            </w:r>
          </w:p>
        </w:tc>
      </w:tr>
      <w:tr w:rsidR="004B4E35" w:rsidRPr="00405303" w14:paraId="632D5CA6" w14:textId="77777777">
        <w:tc>
          <w:tcPr>
            <w:tcW w:w="3372" w:type="dxa"/>
          </w:tcPr>
          <w:p w14:paraId="49745E3B" w14:textId="77777777" w:rsidR="004B4E35" w:rsidRPr="00405303" w:rsidRDefault="009E6F82" w:rsidP="00C15251">
            <w:pPr>
              <w:jc w:val="both"/>
              <w:rPr>
                <w:bCs/>
                <w:color w:val="002060"/>
                <w:sz w:val="16"/>
                <w:szCs w:val="16"/>
              </w:rPr>
            </w:pPr>
            <w:r w:rsidRPr="00405303">
              <w:rPr>
                <w:bCs/>
                <w:color w:val="002060"/>
                <w:sz w:val="16"/>
                <w:szCs w:val="16"/>
              </w:rPr>
              <w:t>105-мм для Румынии</w:t>
            </w:r>
          </w:p>
        </w:tc>
        <w:tc>
          <w:tcPr>
            <w:tcW w:w="936" w:type="dxa"/>
          </w:tcPr>
          <w:p w14:paraId="104FDF12" w14:textId="77777777" w:rsidR="004B4E35" w:rsidRPr="00405303" w:rsidRDefault="009E6F82" w:rsidP="00C15251">
            <w:pPr>
              <w:jc w:val="both"/>
              <w:rPr>
                <w:bCs/>
                <w:color w:val="002060"/>
                <w:sz w:val="16"/>
                <w:szCs w:val="16"/>
              </w:rPr>
            </w:pPr>
            <w:r w:rsidRPr="00405303">
              <w:rPr>
                <w:bCs/>
                <w:color w:val="002060"/>
                <w:sz w:val="16"/>
                <w:szCs w:val="16"/>
              </w:rPr>
              <w:t xml:space="preserve">90.000 </w:t>
            </w:r>
          </w:p>
        </w:tc>
      </w:tr>
      <w:tr w:rsidR="004B4E35" w:rsidRPr="00405303" w14:paraId="5E37B738" w14:textId="77777777">
        <w:tc>
          <w:tcPr>
            <w:tcW w:w="3372" w:type="dxa"/>
          </w:tcPr>
          <w:p w14:paraId="5E484576" w14:textId="77777777" w:rsidR="004B4E35" w:rsidRPr="00405303" w:rsidRDefault="009E6F82" w:rsidP="00C15251">
            <w:pPr>
              <w:jc w:val="both"/>
              <w:rPr>
                <w:bCs/>
                <w:color w:val="002060"/>
                <w:sz w:val="16"/>
                <w:szCs w:val="16"/>
              </w:rPr>
            </w:pPr>
            <w:r w:rsidRPr="00405303">
              <w:rPr>
                <w:bCs/>
                <w:color w:val="002060"/>
                <w:sz w:val="16"/>
                <w:szCs w:val="16"/>
              </w:rPr>
              <w:t>155-мм стальных гранат</w:t>
            </w:r>
          </w:p>
        </w:tc>
        <w:tc>
          <w:tcPr>
            <w:tcW w:w="936" w:type="dxa"/>
          </w:tcPr>
          <w:p w14:paraId="159DB50F" w14:textId="77777777" w:rsidR="004B4E35" w:rsidRPr="00405303" w:rsidRDefault="009E6F82" w:rsidP="00C15251">
            <w:pPr>
              <w:jc w:val="both"/>
              <w:rPr>
                <w:bCs/>
                <w:color w:val="002060"/>
                <w:sz w:val="16"/>
                <w:szCs w:val="16"/>
              </w:rPr>
            </w:pPr>
            <w:r w:rsidRPr="00405303">
              <w:rPr>
                <w:bCs/>
                <w:color w:val="002060"/>
                <w:sz w:val="16"/>
                <w:szCs w:val="16"/>
              </w:rPr>
              <w:t xml:space="preserve">200.000 </w:t>
            </w:r>
          </w:p>
        </w:tc>
      </w:tr>
      <w:tr w:rsidR="004B4E35" w:rsidRPr="00405303" w14:paraId="2B49B027" w14:textId="77777777">
        <w:tc>
          <w:tcPr>
            <w:tcW w:w="3372" w:type="dxa"/>
          </w:tcPr>
          <w:p w14:paraId="1A7CD715" w14:textId="77777777" w:rsidR="004B4E35" w:rsidRPr="00405303" w:rsidRDefault="009E6F82" w:rsidP="00C15251">
            <w:pPr>
              <w:jc w:val="both"/>
              <w:rPr>
                <w:bCs/>
                <w:color w:val="002060"/>
                <w:sz w:val="16"/>
                <w:szCs w:val="16"/>
              </w:rPr>
            </w:pPr>
            <w:r w:rsidRPr="00405303">
              <w:rPr>
                <w:bCs/>
                <w:color w:val="002060"/>
                <w:sz w:val="16"/>
                <w:szCs w:val="16"/>
              </w:rPr>
              <w:t>8-дм, 11-дм и 12-дм бомб сталистого чугуна</w:t>
            </w:r>
          </w:p>
        </w:tc>
        <w:tc>
          <w:tcPr>
            <w:tcW w:w="936" w:type="dxa"/>
          </w:tcPr>
          <w:p w14:paraId="4253FE25" w14:textId="77777777" w:rsidR="004B4E35" w:rsidRPr="00405303" w:rsidRDefault="009E6F82" w:rsidP="00C15251">
            <w:pPr>
              <w:jc w:val="both"/>
              <w:rPr>
                <w:bCs/>
                <w:color w:val="002060"/>
                <w:sz w:val="16"/>
                <w:szCs w:val="16"/>
              </w:rPr>
            </w:pPr>
            <w:r w:rsidRPr="00405303">
              <w:rPr>
                <w:bCs/>
                <w:color w:val="002060"/>
                <w:sz w:val="16"/>
                <w:szCs w:val="16"/>
              </w:rPr>
              <w:t xml:space="preserve">70.000 </w:t>
            </w:r>
          </w:p>
        </w:tc>
      </w:tr>
    </w:tbl>
    <w:p w14:paraId="44F7926C" w14:textId="77777777" w:rsidR="004B4E35" w:rsidRPr="00405303" w:rsidRDefault="009E6F82" w:rsidP="00C15251">
      <w:pPr>
        <w:jc w:val="both"/>
        <w:rPr>
          <w:bCs/>
          <w:color w:val="002060"/>
          <w:sz w:val="16"/>
          <w:szCs w:val="16"/>
        </w:rPr>
      </w:pPr>
      <w:r w:rsidRPr="00405303">
        <w:rPr>
          <w:bCs/>
          <w:color w:val="002060"/>
          <w:sz w:val="16"/>
          <w:szCs w:val="16"/>
        </w:rPr>
        <w:t xml:space="preserve">Состояние металлообрабатывающий промышленности, в котором застала ее война, мало способствовало успеху дела, возложенного на уполномоченного ГАУ. Заводы с первых же месяцев войны растеряли значительную часть квалифицированных рабочих и технического персонала, призванных на фронт. Последовавшие за тем разрешения возвращать взятых на фронт обратно на заводы реализовались с большим трудом, так как разыскать местонахождение рабочего или инженера на фронте было до крайности трудно, а возвращение сопровождалось длинной канцелярской волокитой. </w:t>
      </w:r>
    </w:p>
    <w:p w14:paraId="68B9134C" w14:textId="77777777" w:rsidR="004B4E35" w:rsidRPr="00405303" w:rsidRDefault="009E6F82" w:rsidP="00C15251">
      <w:pPr>
        <w:jc w:val="both"/>
        <w:rPr>
          <w:bCs/>
          <w:color w:val="002060"/>
          <w:sz w:val="16"/>
          <w:szCs w:val="16"/>
        </w:rPr>
      </w:pPr>
      <w:r w:rsidRPr="00405303">
        <w:rPr>
          <w:bCs/>
          <w:color w:val="002060"/>
          <w:sz w:val="16"/>
          <w:szCs w:val="16"/>
        </w:rPr>
        <w:t xml:space="preserve">Затем, заводы металлообрабатывающий промышленности, не исполнявшие военных заказов в мирное время, совершенно не были подготовлены к быстрому налаживанию военных производств. Для этого они не имели в большинстве случаев ни надлежащего оборудования, ни навыков и приемов массового производства, ни привычки к точным работам со строгими допусками. </w:t>
      </w:r>
    </w:p>
    <w:p w14:paraId="1F263130" w14:textId="77777777" w:rsidR="004B4E35" w:rsidRPr="00405303" w:rsidRDefault="009E6F82" w:rsidP="00C15251">
      <w:pPr>
        <w:jc w:val="both"/>
        <w:rPr>
          <w:bCs/>
          <w:color w:val="002060"/>
          <w:sz w:val="16"/>
          <w:szCs w:val="16"/>
        </w:rPr>
      </w:pPr>
      <w:r w:rsidRPr="00405303">
        <w:rPr>
          <w:bCs/>
          <w:color w:val="002060"/>
          <w:sz w:val="16"/>
          <w:szCs w:val="16"/>
        </w:rPr>
        <w:t xml:space="preserve">К этому надо добавить, что большинство заводов за убылью рабочих и за сокращением спроса сократило значительно свои работы на мирный рынок, причем не занятое работой оборудование довольно часто реквизировалось и вывозилось с заводов распоряжением различных общественных организаций (Земгор, Военно-промышленный комитет и пр.) и государственных органов, работавших на оборону. </w:t>
      </w:r>
    </w:p>
    <w:p w14:paraId="1739CB77" w14:textId="77777777" w:rsidR="004B4E35" w:rsidRPr="00405303" w:rsidRDefault="009E6F82" w:rsidP="00C15251">
      <w:pPr>
        <w:jc w:val="both"/>
        <w:rPr>
          <w:bCs/>
          <w:color w:val="002060"/>
          <w:sz w:val="16"/>
          <w:szCs w:val="16"/>
        </w:rPr>
      </w:pPr>
      <w:r w:rsidRPr="00405303">
        <w:rPr>
          <w:bCs/>
          <w:color w:val="002060"/>
          <w:sz w:val="16"/>
          <w:szCs w:val="16"/>
        </w:rPr>
        <w:t xml:space="preserve">Если прибавить ко всему этому расстройство транспорта, недостаток топлива и нерегулярность снабжения им, недостаток в сырых материалах, недостаток в работах и техническом персонале, то условия, в которых приходилось начать и проводить мобилизацию мирной промышленности на снарядное дело, надо признать в высшей степени неблагоприятными. Поэтому организации С.Н. Ванкова, помимо прямого технического дела, много труда и энергии пришлось расходовать на устранение всевозможных препятствий, стоявших на пути к цели. </w:t>
      </w:r>
    </w:p>
    <w:p w14:paraId="1F3F6395" w14:textId="77777777" w:rsidR="004B4E35" w:rsidRPr="00405303" w:rsidRDefault="009E6F82" w:rsidP="00C15251">
      <w:pPr>
        <w:jc w:val="both"/>
        <w:rPr>
          <w:bCs/>
          <w:color w:val="002060"/>
          <w:sz w:val="16"/>
          <w:szCs w:val="16"/>
        </w:rPr>
      </w:pPr>
      <w:r w:rsidRPr="00405303">
        <w:rPr>
          <w:bCs/>
          <w:color w:val="002060"/>
          <w:sz w:val="16"/>
          <w:szCs w:val="16"/>
        </w:rPr>
        <w:t xml:space="preserve">Нельзя не отметить, что весьма нередко заводы, привлекаемые С.Н. Ванковым к снарядному делу, упорно уклонялись от него, предпочитая заняться более выгодными для себя и менее ответственными частными заказами. Это приводило к необходимости обследования заводов и принятию соответствующих мер, которые, однако, не шли дальше аннулирования заказа, ибо уполномоченный не имел на этот случай специальных прав. </w:t>
      </w:r>
    </w:p>
    <w:p w14:paraId="5DDC0C51" w14:textId="77777777" w:rsidR="004B4E35" w:rsidRPr="00405303" w:rsidRDefault="009E6F82" w:rsidP="00C15251">
      <w:pPr>
        <w:jc w:val="both"/>
        <w:rPr>
          <w:bCs/>
          <w:color w:val="002060"/>
          <w:sz w:val="16"/>
          <w:szCs w:val="16"/>
        </w:rPr>
      </w:pPr>
      <w:r w:rsidRPr="00405303">
        <w:rPr>
          <w:bCs/>
          <w:color w:val="002060"/>
          <w:sz w:val="16"/>
          <w:szCs w:val="16"/>
        </w:rPr>
        <w:t xml:space="preserve">Необходимо констатировать, что новизна дела в первое время сильно отпугивала заводчиков и нужно было много энергии, чтобы внушить им веру в дело. С другой стороны, большим тормозом дела служило то обстоятельство, что заводы обычно с недоверием относились к инструктированию со стороны техников организации Ванкова и пытались решать все технические вопросы самостоятельно. При отсутствии опыта это часто давало плачевные результаты, и в конце концов приходилось все-таки пользоваться консультацией и руководством организации Ванкова, с потерей, конечно, дорогого времени. Впрочем, организация сравнительно в непродолжительное время сумела завоевать надлежащий авторитет среди работавших на заводах французских снарядов (так в тексте. Очевидно — специалистов. — Ред.). </w:t>
      </w:r>
    </w:p>
    <w:p w14:paraId="5DD15A50" w14:textId="77777777" w:rsidR="004B4E35" w:rsidRPr="00405303" w:rsidRDefault="009E6F82" w:rsidP="00C15251">
      <w:pPr>
        <w:jc w:val="both"/>
        <w:rPr>
          <w:bCs/>
          <w:color w:val="002060"/>
          <w:sz w:val="16"/>
          <w:szCs w:val="16"/>
        </w:rPr>
      </w:pPr>
      <w:r w:rsidRPr="00405303">
        <w:rPr>
          <w:bCs/>
          <w:color w:val="002060"/>
          <w:sz w:val="16"/>
          <w:szCs w:val="16"/>
        </w:rPr>
        <w:t xml:space="preserve">Можно считать, что валовое изготовление 3-дм гранат началось с сентября 1915 г. и </w:t>
      </w:r>
      <w:proofErr w:type="gramStart"/>
      <w:r w:rsidRPr="00405303">
        <w:rPr>
          <w:bCs/>
          <w:color w:val="002060"/>
          <w:sz w:val="16"/>
          <w:szCs w:val="16"/>
        </w:rPr>
        <w:t>шло</w:t>
      </w:r>
      <w:proofErr w:type="gramEnd"/>
      <w:r w:rsidRPr="00405303">
        <w:rPr>
          <w:bCs/>
          <w:color w:val="002060"/>
          <w:sz w:val="16"/>
          <w:szCs w:val="16"/>
        </w:rPr>
        <w:t xml:space="preserve"> постоянно увеличиваясь и достигнув максимума в декабре 1916 года. </w:t>
      </w:r>
    </w:p>
    <w:p w14:paraId="43829591" w14:textId="77777777" w:rsidR="004B4E35" w:rsidRPr="00405303" w:rsidRDefault="009E6F82" w:rsidP="00C15251">
      <w:pPr>
        <w:jc w:val="both"/>
        <w:rPr>
          <w:bCs/>
          <w:color w:val="002060"/>
          <w:sz w:val="16"/>
          <w:szCs w:val="16"/>
        </w:rPr>
      </w:pPr>
      <w:r w:rsidRPr="00405303">
        <w:rPr>
          <w:bCs/>
          <w:color w:val="002060"/>
          <w:sz w:val="16"/>
          <w:szCs w:val="16"/>
        </w:rPr>
        <w:t xml:space="preserve">Рост месячного выпуска снарядов шел следующим темпом (суммарно по всем заводам,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600"/>
      </w:tblGrid>
      <w:tr w:rsidR="004B4E35" w:rsidRPr="00405303" w14:paraId="7A745260" w14:textId="77777777">
        <w:tc>
          <w:tcPr>
            <w:tcW w:w="1896" w:type="dxa"/>
          </w:tcPr>
          <w:p w14:paraId="03B0A1BD" w14:textId="77777777" w:rsidR="004B4E35" w:rsidRPr="00405303" w:rsidRDefault="009E6F82" w:rsidP="00C15251">
            <w:pPr>
              <w:jc w:val="both"/>
              <w:rPr>
                <w:bCs/>
                <w:color w:val="002060"/>
                <w:sz w:val="16"/>
                <w:szCs w:val="16"/>
              </w:rPr>
            </w:pPr>
            <w:r w:rsidRPr="00405303">
              <w:rPr>
                <w:bCs/>
                <w:color w:val="002060"/>
                <w:sz w:val="16"/>
                <w:szCs w:val="16"/>
              </w:rPr>
              <w:t>1915 г., сентябрь</w:t>
            </w:r>
          </w:p>
        </w:tc>
        <w:tc>
          <w:tcPr>
            <w:tcW w:w="600" w:type="dxa"/>
          </w:tcPr>
          <w:p w14:paraId="2A397CC5" w14:textId="77777777" w:rsidR="004B4E35" w:rsidRPr="00405303" w:rsidRDefault="009E6F82" w:rsidP="00C15251">
            <w:pPr>
              <w:jc w:val="both"/>
              <w:rPr>
                <w:bCs/>
                <w:color w:val="002060"/>
                <w:sz w:val="16"/>
                <w:szCs w:val="16"/>
              </w:rPr>
            </w:pPr>
            <w:r w:rsidRPr="00405303">
              <w:rPr>
                <w:bCs/>
                <w:color w:val="002060"/>
                <w:sz w:val="16"/>
                <w:szCs w:val="16"/>
              </w:rPr>
              <w:t xml:space="preserve">66 </w:t>
            </w:r>
          </w:p>
        </w:tc>
      </w:tr>
      <w:tr w:rsidR="004B4E35" w:rsidRPr="00405303" w14:paraId="4783F0E8" w14:textId="77777777">
        <w:tc>
          <w:tcPr>
            <w:tcW w:w="1896" w:type="dxa"/>
          </w:tcPr>
          <w:p w14:paraId="5B8931A6" w14:textId="77777777" w:rsidR="004B4E35" w:rsidRPr="00405303" w:rsidRDefault="009E6F82" w:rsidP="00C15251">
            <w:pPr>
              <w:jc w:val="both"/>
              <w:rPr>
                <w:bCs/>
                <w:color w:val="002060"/>
                <w:sz w:val="16"/>
                <w:szCs w:val="16"/>
              </w:rPr>
            </w:pPr>
            <w:r w:rsidRPr="00405303">
              <w:rPr>
                <w:bCs/>
                <w:color w:val="002060"/>
                <w:sz w:val="16"/>
                <w:szCs w:val="16"/>
              </w:rPr>
              <w:t>октябрь</w:t>
            </w:r>
          </w:p>
        </w:tc>
        <w:tc>
          <w:tcPr>
            <w:tcW w:w="600" w:type="dxa"/>
          </w:tcPr>
          <w:p w14:paraId="3942820D" w14:textId="77777777" w:rsidR="004B4E35" w:rsidRPr="00405303" w:rsidRDefault="009E6F82" w:rsidP="00C15251">
            <w:pPr>
              <w:jc w:val="both"/>
              <w:rPr>
                <w:bCs/>
                <w:color w:val="002060"/>
                <w:sz w:val="16"/>
                <w:szCs w:val="16"/>
              </w:rPr>
            </w:pPr>
            <w:r w:rsidRPr="00405303">
              <w:rPr>
                <w:bCs/>
                <w:color w:val="002060"/>
                <w:sz w:val="16"/>
                <w:szCs w:val="16"/>
              </w:rPr>
              <w:t xml:space="preserve">127 </w:t>
            </w:r>
          </w:p>
        </w:tc>
      </w:tr>
      <w:tr w:rsidR="004B4E35" w:rsidRPr="00405303" w14:paraId="506B51D0" w14:textId="77777777">
        <w:tc>
          <w:tcPr>
            <w:tcW w:w="1896" w:type="dxa"/>
          </w:tcPr>
          <w:p w14:paraId="2BBDD95C"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600" w:type="dxa"/>
          </w:tcPr>
          <w:p w14:paraId="2D487989" w14:textId="77777777" w:rsidR="004B4E35" w:rsidRPr="00405303" w:rsidRDefault="009E6F82" w:rsidP="00C15251">
            <w:pPr>
              <w:jc w:val="both"/>
              <w:rPr>
                <w:bCs/>
                <w:color w:val="002060"/>
                <w:sz w:val="16"/>
                <w:szCs w:val="16"/>
              </w:rPr>
            </w:pPr>
            <w:r w:rsidRPr="00405303">
              <w:rPr>
                <w:bCs/>
                <w:color w:val="002060"/>
                <w:sz w:val="16"/>
                <w:szCs w:val="16"/>
              </w:rPr>
              <w:t xml:space="preserve">185 </w:t>
            </w:r>
          </w:p>
        </w:tc>
      </w:tr>
      <w:tr w:rsidR="004B4E35" w:rsidRPr="00405303" w14:paraId="236FBFAC" w14:textId="77777777">
        <w:tc>
          <w:tcPr>
            <w:tcW w:w="1896" w:type="dxa"/>
          </w:tcPr>
          <w:p w14:paraId="402E789F"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600" w:type="dxa"/>
          </w:tcPr>
          <w:p w14:paraId="51D6405B" w14:textId="77777777" w:rsidR="004B4E35" w:rsidRPr="00405303" w:rsidRDefault="009E6F82" w:rsidP="00C15251">
            <w:pPr>
              <w:jc w:val="both"/>
              <w:rPr>
                <w:bCs/>
                <w:color w:val="002060"/>
                <w:sz w:val="16"/>
                <w:szCs w:val="16"/>
              </w:rPr>
            </w:pPr>
            <w:r w:rsidRPr="00405303">
              <w:rPr>
                <w:bCs/>
                <w:color w:val="002060"/>
                <w:sz w:val="16"/>
                <w:szCs w:val="16"/>
              </w:rPr>
              <w:t xml:space="preserve">223 </w:t>
            </w:r>
          </w:p>
        </w:tc>
      </w:tr>
      <w:tr w:rsidR="004B4E35" w:rsidRPr="00405303" w14:paraId="46893398" w14:textId="77777777">
        <w:tc>
          <w:tcPr>
            <w:tcW w:w="1896" w:type="dxa"/>
          </w:tcPr>
          <w:p w14:paraId="1118F072" w14:textId="77777777" w:rsidR="004B4E35" w:rsidRPr="00405303" w:rsidRDefault="009E6F82" w:rsidP="00C15251">
            <w:pPr>
              <w:jc w:val="both"/>
              <w:rPr>
                <w:bCs/>
                <w:color w:val="002060"/>
                <w:sz w:val="16"/>
                <w:szCs w:val="16"/>
              </w:rPr>
            </w:pPr>
            <w:r w:rsidRPr="00405303">
              <w:rPr>
                <w:bCs/>
                <w:color w:val="002060"/>
                <w:sz w:val="16"/>
                <w:szCs w:val="16"/>
              </w:rPr>
              <w:t>1916 г., январь</w:t>
            </w:r>
          </w:p>
        </w:tc>
        <w:tc>
          <w:tcPr>
            <w:tcW w:w="600" w:type="dxa"/>
          </w:tcPr>
          <w:p w14:paraId="04CCF96B" w14:textId="77777777" w:rsidR="004B4E35" w:rsidRPr="00405303" w:rsidRDefault="009E6F82" w:rsidP="00C15251">
            <w:pPr>
              <w:jc w:val="both"/>
              <w:rPr>
                <w:bCs/>
                <w:color w:val="002060"/>
                <w:sz w:val="16"/>
                <w:szCs w:val="16"/>
              </w:rPr>
            </w:pPr>
            <w:r w:rsidRPr="00405303">
              <w:rPr>
                <w:bCs/>
                <w:color w:val="002060"/>
                <w:sz w:val="16"/>
                <w:szCs w:val="16"/>
              </w:rPr>
              <w:t xml:space="preserve">245 </w:t>
            </w:r>
          </w:p>
        </w:tc>
      </w:tr>
      <w:tr w:rsidR="004B4E35" w:rsidRPr="00405303" w14:paraId="20B5206C" w14:textId="77777777">
        <w:tc>
          <w:tcPr>
            <w:tcW w:w="1896" w:type="dxa"/>
          </w:tcPr>
          <w:p w14:paraId="188D3120" w14:textId="77777777" w:rsidR="004B4E35" w:rsidRPr="00405303" w:rsidRDefault="009E6F82" w:rsidP="00C15251">
            <w:pPr>
              <w:jc w:val="both"/>
              <w:rPr>
                <w:bCs/>
                <w:color w:val="002060"/>
                <w:sz w:val="16"/>
                <w:szCs w:val="16"/>
              </w:rPr>
            </w:pPr>
            <w:r w:rsidRPr="00405303">
              <w:rPr>
                <w:bCs/>
                <w:color w:val="002060"/>
                <w:sz w:val="16"/>
                <w:szCs w:val="16"/>
              </w:rPr>
              <w:t>апрель</w:t>
            </w:r>
          </w:p>
        </w:tc>
        <w:tc>
          <w:tcPr>
            <w:tcW w:w="600" w:type="dxa"/>
          </w:tcPr>
          <w:p w14:paraId="7BA26978" w14:textId="77777777" w:rsidR="004B4E35" w:rsidRPr="00405303" w:rsidRDefault="009E6F82" w:rsidP="00C15251">
            <w:pPr>
              <w:jc w:val="both"/>
              <w:rPr>
                <w:bCs/>
                <w:color w:val="002060"/>
                <w:sz w:val="16"/>
                <w:szCs w:val="16"/>
              </w:rPr>
            </w:pPr>
            <w:r w:rsidRPr="00405303">
              <w:rPr>
                <w:bCs/>
                <w:color w:val="002060"/>
                <w:sz w:val="16"/>
                <w:szCs w:val="16"/>
              </w:rPr>
              <w:t xml:space="preserve">422 </w:t>
            </w:r>
          </w:p>
        </w:tc>
      </w:tr>
      <w:tr w:rsidR="004B4E35" w:rsidRPr="00405303" w14:paraId="5F89825A" w14:textId="77777777">
        <w:tc>
          <w:tcPr>
            <w:tcW w:w="1896" w:type="dxa"/>
          </w:tcPr>
          <w:p w14:paraId="5FA9A493" w14:textId="77777777" w:rsidR="004B4E35" w:rsidRPr="00405303" w:rsidRDefault="009E6F82" w:rsidP="00C15251">
            <w:pPr>
              <w:jc w:val="both"/>
              <w:rPr>
                <w:bCs/>
                <w:color w:val="002060"/>
                <w:sz w:val="16"/>
                <w:szCs w:val="16"/>
              </w:rPr>
            </w:pPr>
            <w:r w:rsidRPr="00405303">
              <w:rPr>
                <w:bCs/>
                <w:color w:val="002060"/>
                <w:sz w:val="16"/>
                <w:szCs w:val="16"/>
              </w:rPr>
              <w:t>июль</w:t>
            </w:r>
          </w:p>
        </w:tc>
        <w:tc>
          <w:tcPr>
            <w:tcW w:w="600" w:type="dxa"/>
          </w:tcPr>
          <w:p w14:paraId="0A1B9756" w14:textId="77777777" w:rsidR="004B4E35" w:rsidRPr="00405303" w:rsidRDefault="009E6F82" w:rsidP="00C15251">
            <w:pPr>
              <w:jc w:val="both"/>
              <w:rPr>
                <w:bCs/>
                <w:color w:val="002060"/>
                <w:sz w:val="16"/>
                <w:szCs w:val="16"/>
              </w:rPr>
            </w:pPr>
            <w:r w:rsidRPr="00405303">
              <w:rPr>
                <w:bCs/>
                <w:color w:val="002060"/>
                <w:sz w:val="16"/>
                <w:szCs w:val="16"/>
              </w:rPr>
              <w:t xml:space="preserve">688 </w:t>
            </w:r>
          </w:p>
        </w:tc>
      </w:tr>
      <w:tr w:rsidR="004B4E35" w:rsidRPr="00405303" w14:paraId="4B89C135" w14:textId="77777777">
        <w:tc>
          <w:tcPr>
            <w:tcW w:w="1896" w:type="dxa"/>
          </w:tcPr>
          <w:p w14:paraId="395A94CE" w14:textId="77777777" w:rsidR="004B4E35" w:rsidRPr="00405303" w:rsidRDefault="009E6F82" w:rsidP="00C15251">
            <w:pPr>
              <w:jc w:val="both"/>
              <w:rPr>
                <w:bCs/>
                <w:color w:val="002060"/>
                <w:sz w:val="16"/>
                <w:szCs w:val="16"/>
              </w:rPr>
            </w:pPr>
            <w:r w:rsidRPr="00405303">
              <w:rPr>
                <w:bCs/>
                <w:color w:val="002060"/>
                <w:sz w:val="16"/>
                <w:szCs w:val="16"/>
              </w:rPr>
              <w:t>сентябрь</w:t>
            </w:r>
          </w:p>
        </w:tc>
        <w:tc>
          <w:tcPr>
            <w:tcW w:w="600" w:type="dxa"/>
          </w:tcPr>
          <w:p w14:paraId="630B8211" w14:textId="77777777" w:rsidR="004B4E35" w:rsidRPr="00405303" w:rsidRDefault="009E6F82" w:rsidP="00C15251">
            <w:pPr>
              <w:jc w:val="both"/>
              <w:rPr>
                <w:bCs/>
                <w:color w:val="002060"/>
                <w:sz w:val="16"/>
                <w:szCs w:val="16"/>
              </w:rPr>
            </w:pPr>
            <w:r w:rsidRPr="00405303">
              <w:rPr>
                <w:bCs/>
                <w:color w:val="002060"/>
                <w:sz w:val="16"/>
                <w:szCs w:val="16"/>
              </w:rPr>
              <w:t xml:space="preserve">703 </w:t>
            </w:r>
          </w:p>
        </w:tc>
      </w:tr>
      <w:tr w:rsidR="004B4E35" w:rsidRPr="00405303" w14:paraId="1D3B4582" w14:textId="77777777">
        <w:tc>
          <w:tcPr>
            <w:tcW w:w="1896" w:type="dxa"/>
          </w:tcPr>
          <w:p w14:paraId="7EC5F1D5"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600" w:type="dxa"/>
          </w:tcPr>
          <w:p w14:paraId="0ADB6195" w14:textId="77777777" w:rsidR="004B4E35" w:rsidRPr="00405303" w:rsidRDefault="009E6F82" w:rsidP="00C15251">
            <w:pPr>
              <w:jc w:val="both"/>
              <w:rPr>
                <w:bCs/>
                <w:color w:val="002060"/>
                <w:sz w:val="16"/>
                <w:szCs w:val="16"/>
              </w:rPr>
            </w:pPr>
            <w:r w:rsidRPr="00405303">
              <w:rPr>
                <w:bCs/>
                <w:color w:val="002060"/>
                <w:sz w:val="16"/>
                <w:szCs w:val="16"/>
              </w:rPr>
              <w:t xml:space="preserve">783 </w:t>
            </w:r>
          </w:p>
        </w:tc>
      </w:tr>
      <w:tr w:rsidR="004B4E35" w:rsidRPr="00405303" w14:paraId="2D436D10" w14:textId="77777777">
        <w:tc>
          <w:tcPr>
            <w:tcW w:w="1896" w:type="dxa"/>
          </w:tcPr>
          <w:p w14:paraId="05E63E6F" w14:textId="77777777" w:rsidR="004B4E35" w:rsidRPr="00405303" w:rsidRDefault="009E6F82" w:rsidP="00C15251">
            <w:pPr>
              <w:jc w:val="both"/>
              <w:rPr>
                <w:bCs/>
                <w:color w:val="002060"/>
                <w:sz w:val="16"/>
                <w:szCs w:val="16"/>
              </w:rPr>
            </w:pPr>
            <w:r w:rsidRPr="00405303">
              <w:rPr>
                <w:bCs/>
                <w:color w:val="002060"/>
                <w:sz w:val="16"/>
                <w:szCs w:val="16"/>
              </w:rPr>
              <w:t>1917 г., январь</w:t>
            </w:r>
          </w:p>
        </w:tc>
        <w:tc>
          <w:tcPr>
            <w:tcW w:w="600" w:type="dxa"/>
          </w:tcPr>
          <w:p w14:paraId="6CF5D042" w14:textId="77777777" w:rsidR="004B4E35" w:rsidRPr="00405303" w:rsidRDefault="009E6F82" w:rsidP="00C15251">
            <w:pPr>
              <w:jc w:val="both"/>
              <w:rPr>
                <w:bCs/>
                <w:color w:val="002060"/>
                <w:sz w:val="16"/>
                <w:szCs w:val="16"/>
              </w:rPr>
            </w:pPr>
            <w:r w:rsidRPr="00405303">
              <w:rPr>
                <w:bCs/>
                <w:color w:val="002060"/>
                <w:sz w:val="16"/>
                <w:szCs w:val="16"/>
              </w:rPr>
              <w:t xml:space="preserve">764 </w:t>
            </w:r>
          </w:p>
        </w:tc>
      </w:tr>
      <w:tr w:rsidR="004B4E35" w:rsidRPr="00405303" w14:paraId="1BDAAD3D" w14:textId="77777777">
        <w:tc>
          <w:tcPr>
            <w:tcW w:w="1896" w:type="dxa"/>
          </w:tcPr>
          <w:p w14:paraId="0EBBC6AC" w14:textId="77777777" w:rsidR="004B4E35" w:rsidRPr="00405303" w:rsidRDefault="009E6F82" w:rsidP="00C15251">
            <w:pPr>
              <w:jc w:val="both"/>
              <w:rPr>
                <w:bCs/>
                <w:color w:val="002060"/>
                <w:sz w:val="16"/>
                <w:szCs w:val="16"/>
              </w:rPr>
            </w:pPr>
            <w:r w:rsidRPr="00405303">
              <w:rPr>
                <w:bCs/>
                <w:color w:val="002060"/>
                <w:sz w:val="16"/>
                <w:szCs w:val="16"/>
              </w:rPr>
              <w:t>апрель</w:t>
            </w:r>
          </w:p>
        </w:tc>
        <w:tc>
          <w:tcPr>
            <w:tcW w:w="600" w:type="dxa"/>
          </w:tcPr>
          <w:p w14:paraId="54C16F61" w14:textId="77777777" w:rsidR="004B4E35" w:rsidRPr="00405303" w:rsidRDefault="009E6F82" w:rsidP="00C15251">
            <w:pPr>
              <w:jc w:val="both"/>
              <w:rPr>
                <w:bCs/>
                <w:color w:val="002060"/>
                <w:sz w:val="16"/>
                <w:szCs w:val="16"/>
              </w:rPr>
            </w:pPr>
            <w:r w:rsidRPr="00405303">
              <w:rPr>
                <w:bCs/>
                <w:color w:val="002060"/>
                <w:sz w:val="16"/>
                <w:szCs w:val="16"/>
              </w:rPr>
              <w:t xml:space="preserve">501 </w:t>
            </w:r>
          </w:p>
        </w:tc>
      </w:tr>
      <w:tr w:rsidR="004B4E35" w:rsidRPr="00405303" w14:paraId="3D017211" w14:textId="77777777">
        <w:tc>
          <w:tcPr>
            <w:tcW w:w="1896" w:type="dxa"/>
          </w:tcPr>
          <w:p w14:paraId="2F34BE33" w14:textId="77777777" w:rsidR="004B4E35" w:rsidRPr="00405303" w:rsidRDefault="009E6F82" w:rsidP="00C15251">
            <w:pPr>
              <w:jc w:val="both"/>
              <w:rPr>
                <w:bCs/>
                <w:color w:val="002060"/>
                <w:sz w:val="16"/>
                <w:szCs w:val="16"/>
              </w:rPr>
            </w:pPr>
            <w:r w:rsidRPr="00405303">
              <w:rPr>
                <w:bCs/>
                <w:color w:val="002060"/>
                <w:sz w:val="16"/>
                <w:szCs w:val="16"/>
              </w:rPr>
              <w:t>июль</w:t>
            </w:r>
          </w:p>
        </w:tc>
        <w:tc>
          <w:tcPr>
            <w:tcW w:w="600" w:type="dxa"/>
          </w:tcPr>
          <w:p w14:paraId="1571777B" w14:textId="77777777" w:rsidR="004B4E35" w:rsidRPr="00405303" w:rsidRDefault="009E6F82" w:rsidP="00C15251">
            <w:pPr>
              <w:jc w:val="both"/>
              <w:rPr>
                <w:bCs/>
                <w:color w:val="002060"/>
                <w:sz w:val="16"/>
                <w:szCs w:val="16"/>
              </w:rPr>
            </w:pPr>
            <w:r w:rsidRPr="00405303">
              <w:rPr>
                <w:bCs/>
                <w:color w:val="002060"/>
                <w:sz w:val="16"/>
                <w:szCs w:val="16"/>
              </w:rPr>
              <w:t xml:space="preserve">449 </w:t>
            </w:r>
          </w:p>
        </w:tc>
      </w:tr>
      <w:tr w:rsidR="004B4E35" w:rsidRPr="00405303" w14:paraId="64F27DF9" w14:textId="77777777">
        <w:tc>
          <w:tcPr>
            <w:tcW w:w="1896" w:type="dxa"/>
          </w:tcPr>
          <w:p w14:paraId="7B81BB7B"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600" w:type="dxa"/>
          </w:tcPr>
          <w:p w14:paraId="3B025E90" w14:textId="77777777" w:rsidR="004B4E35" w:rsidRPr="00405303" w:rsidRDefault="009E6F82" w:rsidP="00C15251">
            <w:pPr>
              <w:jc w:val="both"/>
              <w:rPr>
                <w:bCs/>
                <w:color w:val="002060"/>
                <w:sz w:val="16"/>
                <w:szCs w:val="16"/>
              </w:rPr>
            </w:pPr>
            <w:r w:rsidRPr="00405303">
              <w:rPr>
                <w:bCs/>
                <w:color w:val="002060"/>
                <w:sz w:val="16"/>
                <w:szCs w:val="16"/>
              </w:rPr>
              <w:t xml:space="preserve">291 </w:t>
            </w:r>
          </w:p>
        </w:tc>
      </w:tr>
    </w:tbl>
    <w:p w14:paraId="45D7941F" w14:textId="77777777" w:rsidR="004B4E35" w:rsidRPr="00405303" w:rsidRDefault="009E6F82" w:rsidP="00C15251">
      <w:pPr>
        <w:jc w:val="both"/>
        <w:rPr>
          <w:bCs/>
          <w:color w:val="002060"/>
          <w:sz w:val="16"/>
          <w:szCs w:val="16"/>
        </w:rPr>
      </w:pPr>
      <w:r w:rsidRPr="00405303">
        <w:rPr>
          <w:bCs/>
          <w:color w:val="002060"/>
          <w:sz w:val="16"/>
          <w:szCs w:val="16"/>
        </w:rPr>
        <w:t xml:space="preserve">Всего с сентября 1915 г. по ноябрь 1917 г. выпущено 12 000 000 корпусов 3-дм гранат. С февраля 1917 г. производительность начинает падать и приходит к нулю в конце 1917 года. </w:t>
      </w:r>
    </w:p>
    <w:p w14:paraId="7A5A3ADB" w14:textId="77777777" w:rsidR="004B4E35" w:rsidRPr="00405303" w:rsidRDefault="009E6F82" w:rsidP="00C15251">
      <w:pPr>
        <w:jc w:val="both"/>
        <w:rPr>
          <w:bCs/>
          <w:color w:val="002060"/>
          <w:sz w:val="16"/>
          <w:szCs w:val="16"/>
        </w:rPr>
      </w:pPr>
      <w:r w:rsidRPr="00405303">
        <w:rPr>
          <w:bCs/>
          <w:color w:val="002060"/>
          <w:sz w:val="16"/>
          <w:szCs w:val="16"/>
        </w:rPr>
        <w:t xml:space="preserve">Сверх 3-дм гранат французского образца, уполномоченному ГАУ в середине 1916 г. было, как указано выше, поручено Главным артиллерийским управлением изготовление стальных снарядов 155-мм, 57-мм и 48-лин. химических, в количествах, указанных выше. </w:t>
      </w:r>
    </w:p>
    <w:p w14:paraId="7290DC57" w14:textId="77777777" w:rsidR="004B4E35" w:rsidRPr="00405303" w:rsidRDefault="009E6F82" w:rsidP="00C15251">
      <w:pPr>
        <w:jc w:val="both"/>
        <w:rPr>
          <w:bCs/>
          <w:color w:val="002060"/>
          <w:sz w:val="16"/>
          <w:szCs w:val="16"/>
        </w:rPr>
      </w:pPr>
      <w:r w:rsidRPr="00405303">
        <w:rPr>
          <w:bCs/>
          <w:color w:val="002060"/>
          <w:sz w:val="16"/>
          <w:szCs w:val="16"/>
        </w:rPr>
        <w:t xml:space="preserve">Все подготовительные к исполнению заказа работы были выполнены и заказ размещен, но реализовать его не пришлось ввиду ликвидации всего снарядного дела к концу 1917 года. </w:t>
      </w:r>
    </w:p>
    <w:p w14:paraId="3A61EE51" w14:textId="77777777" w:rsidR="004B4E35" w:rsidRPr="00405303" w:rsidRDefault="009E6F82" w:rsidP="00C15251">
      <w:pPr>
        <w:jc w:val="both"/>
        <w:rPr>
          <w:bCs/>
          <w:color w:val="002060"/>
          <w:sz w:val="16"/>
          <w:szCs w:val="16"/>
        </w:rPr>
      </w:pPr>
      <w:r w:rsidRPr="00405303">
        <w:rPr>
          <w:bCs/>
          <w:color w:val="002060"/>
          <w:sz w:val="16"/>
          <w:szCs w:val="16"/>
        </w:rPr>
        <w:t xml:space="preserve">Уполномоченному ГАУ поручено было также изготовление снарядов средних и больших калибров из сталистого чугуна. Сталистый чугун являлся нововведением в снарядном деле. В технике вообще он появился в 1880—1890-е годы во Франции, под именем "арденского чугуна". Но как материал он не был изучен и производство его не было поставлено на научных началах. Изучению сталистого чугуна было положено начало работами капитана французской службы Праша, произведшего капитальные исследования по этому вопросу. Сталистый чугун, стоящий по своему составу между чугуном и сталью, имеет значительную прочность, обусловливаемую относительной бедностью углеродом и значительным процентом связанного углерода. Одним из препятствий к употреблению сталистого чугуна в артиллерийском деле служила необходимость выплавки его в отражательных печах. Поэтому во Франции были изысканы и разработаны методы получения его в вагранках. Надо заметить, что эти методы в России были найдены ранее, чем во Франции, именно — 40 лет назад проф. Черновым. </w:t>
      </w:r>
    </w:p>
    <w:p w14:paraId="5A0064E1" w14:textId="77777777" w:rsidR="004B4E35" w:rsidRPr="00405303" w:rsidRDefault="009E6F82" w:rsidP="00C15251">
      <w:pPr>
        <w:jc w:val="both"/>
        <w:rPr>
          <w:bCs/>
          <w:color w:val="002060"/>
          <w:sz w:val="16"/>
          <w:szCs w:val="16"/>
        </w:rPr>
      </w:pPr>
      <w:r w:rsidRPr="00405303">
        <w:rPr>
          <w:bCs/>
          <w:color w:val="002060"/>
          <w:sz w:val="16"/>
          <w:szCs w:val="16"/>
        </w:rPr>
        <w:t xml:space="preserve">Применение сталистого чугуна во Франции во время войны 1914—1917 гг. в результате опытов Праша приняло широкие размеры и способствовало в значительной мере урегулированию снарядного кризиса. Это обстоятельство побудило поставить вопрос об изготовлении снарядов сталистого чугуна в России. После долгих обсуждений вопрос был разрешен в утвердительном смысле. После предварительных опытных работ первый заказ на 6-дм сталистые бомбы был дан в середине 1916 года. Он был размещен на 14 заводах, главным образом южных. Затем последовал заказ на 48-лин. бомбы. </w:t>
      </w:r>
    </w:p>
    <w:p w14:paraId="5C2AE234"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Организацией Ванкова были разработаны новые методы приемки сталистых снарядов, отличные от французских. </w:t>
      </w:r>
    </w:p>
    <w:p w14:paraId="7434D641" w14:textId="77777777" w:rsidR="004B4E35" w:rsidRPr="00405303" w:rsidRDefault="009E6F82" w:rsidP="00C15251">
      <w:pPr>
        <w:jc w:val="both"/>
        <w:rPr>
          <w:bCs/>
          <w:color w:val="002060"/>
          <w:sz w:val="16"/>
          <w:szCs w:val="16"/>
        </w:rPr>
      </w:pPr>
      <w:r w:rsidRPr="00405303">
        <w:rPr>
          <w:bCs/>
          <w:color w:val="002060"/>
          <w:sz w:val="16"/>
          <w:szCs w:val="16"/>
        </w:rPr>
        <w:t xml:space="preserve">Результаты работ по сталистым снарядам, 6-дм и 48-лин, выразились следующими цифрами (тыс. шт.):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60"/>
        <w:gridCol w:w="564"/>
        <w:gridCol w:w="938"/>
      </w:tblGrid>
      <w:tr w:rsidR="004B4E35" w:rsidRPr="00405303" w14:paraId="16496C3C" w14:textId="77777777">
        <w:tc>
          <w:tcPr>
            <w:tcW w:w="2160" w:type="dxa"/>
          </w:tcPr>
          <w:p w14:paraId="2A0C7500" w14:textId="77777777" w:rsidR="004B4E35" w:rsidRPr="00405303" w:rsidRDefault="009E6F82" w:rsidP="00C15251">
            <w:pPr>
              <w:jc w:val="both"/>
              <w:rPr>
                <w:bCs/>
                <w:color w:val="002060"/>
                <w:sz w:val="16"/>
                <w:szCs w:val="16"/>
              </w:rPr>
            </w:pPr>
            <w:r w:rsidRPr="00405303">
              <w:rPr>
                <w:bCs/>
                <w:color w:val="002060"/>
                <w:sz w:val="16"/>
                <w:szCs w:val="16"/>
              </w:rPr>
              <w:t>Рост выпуска продукции в 1917 г.</w:t>
            </w:r>
          </w:p>
        </w:tc>
        <w:tc>
          <w:tcPr>
            <w:tcW w:w="564" w:type="dxa"/>
          </w:tcPr>
          <w:p w14:paraId="3AF13E5E" w14:textId="77777777" w:rsidR="004B4E35" w:rsidRPr="00405303" w:rsidRDefault="009E6F82" w:rsidP="00C15251">
            <w:pPr>
              <w:jc w:val="both"/>
              <w:rPr>
                <w:bCs/>
                <w:color w:val="002060"/>
                <w:sz w:val="16"/>
                <w:szCs w:val="16"/>
              </w:rPr>
            </w:pPr>
            <w:r w:rsidRPr="00405303">
              <w:rPr>
                <w:bCs/>
                <w:color w:val="002060"/>
                <w:sz w:val="16"/>
                <w:szCs w:val="16"/>
              </w:rPr>
              <w:t>Литье</w:t>
            </w:r>
          </w:p>
        </w:tc>
        <w:tc>
          <w:tcPr>
            <w:tcW w:w="938" w:type="dxa"/>
          </w:tcPr>
          <w:p w14:paraId="53F26CEC" w14:textId="77777777" w:rsidR="004B4E35" w:rsidRPr="00405303" w:rsidRDefault="009E6F82" w:rsidP="00C15251">
            <w:pPr>
              <w:jc w:val="both"/>
              <w:rPr>
                <w:bCs/>
                <w:color w:val="002060"/>
                <w:sz w:val="16"/>
                <w:szCs w:val="16"/>
              </w:rPr>
            </w:pPr>
            <w:r w:rsidRPr="00405303">
              <w:rPr>
                <w:bCs/>
                <w:color w:val="002060"/>
                <w:sz w:val="16"/>
                <w:szCs w:val="16"/>
              </w:rPr>
              <w:t>Обработка</w:t>
            </w:r>
          </w:p>
        </w:tc>
      </w:tr>
      <w:tr w:rsidR="004B4E35" w:rsidRPr="00405303" w14:paraId="5A195CB2" w14:textId="77777777">
        <w:tc>
          <w:tcPr>
            <w:tcW w:w="2160" w:type="dxa"/>
          </w:tcPr>
          <w:p w14:paraId="19C9ECC0" w14:textId="77777777" w:rsidR="004B4E35" w:rsidRPr="00405303" w:rsidRDefault="009E6F82" w:rsidP="00C15251">
            <w:pPr>
              <w:jc w:val="both"/>
              <w:rPr>
                <w:bCs/>
                <w:color w:val="002060"/>
                <w:sz w:val="16"/>
                <w:szCs w:val="16"/>
              </w:rPr>
            </w:pPr>
            <w:r w:rsidRPr="00405303">
              <w:rPr>
                <w:bCs/>
                <w:color w:val="002060"/>
                <w:sz w:val="16"/>
                <w:szCs w:val="16"/>
              </w:rPr>
              <w:t>Январь</w:t>
            </w:r>
          </w:p>
        </w:tc>
        <w:tc>
          <w:tcPr>
            <w:tcW w:w="564" w:type="dxa"/>
          </w:tcPr>
          <w:p w14:paraId="728C4901" w14:textId="77777777" w:rsidR="004B4E35" w:rsidRPr="00405303" w:rsidRDefault="009E6F82" w:rsidP="00C15251">
            <w:pPr>
              <w:jc w:val="both"/>
              <w:rPr>
                <w:bCs/>
                <w:color w:val="002060"/>
                <w:sz w:val="16"/>
                <w:szCs w:val="16"/>
              </w:rPr>
            </w:pPr>
            <w:r w:rsidRPr="00405303">
              <w:rPr>
                <w:bCs/>
                <w:color w:val="002060"/>
                <w:sz w:val="16"/>
                <w:szCs w:val="16"/>
              </w:rPr>
              <w:t>236</w:t>
            </w:r>
          </w:p>
        </w:tc>
        <w:tc>
          <w:tcPr>
            <w:tcW w:w="938" w:type="dxa"/>
          </w:tcPr>
          <w:p w14:paraId="0AD9A19B" w14:textId="77777777" w:rsidR="004B4E35" w:rsidRPr="00405303" w:rsidRDefault="009E6F82" w:rsidP="00C15251">
            <w:pPr>
              <w:jc w:val="both"/>
              <w:rPr>
                <w:bCs/>
                <w:color w:val="002060"/>
                <w:sz w:val="16"/>
                <w:szCs w:val="16"/>
              </w:rPr>
            </w:pPr>
            <w:r w:rsidRPr="00405303">
              <w:rPr>
                <w:bCs/>
                <w:color w:val="002060"/>
                <w:sz w:val="16"/>
                <w:szCs w:val="16"/>
              </w:rPr>
              <w:t>118</w:t>
            </w:r>
          </w:p>
        </w:tc>
      </w:tr>
      <w:tr w:rsidR="004B4E35" w:rsidRPr="00405303" w14:paraId="208D326D" w14:textId="77777777">
        <w:tc>
          <w:tcPr>
            <w:tcW w:w="2160" w:type="dxa"/>
          </w:tcPr>
          <w:p w14:paraId="1A060B02" w14:textId="77777777" w:rsidR="004B4E35" w:rsidRPr="00405303" w:rsidRDefault="009E6F82" w:rsidP="00C15251">
            <w:pPr>
              <w:jc w:val="both"/>
              <w:rPr>
                <w:bCs/>
                <w:color w:val="002060"/>
                <w:sz w:val="16"/>
                <w:szCs w:val="16"/>
              </w:rPr>
            </w:pPr>
            <w:r w:rsidRPr="00405303">
              <w:rPr>
                <w:bCs/>
                <w:color w:val="002060"/>
                <w:sz w:val="16"/>
                <w:szCs w:val="16"/>
              </w:rPr>
              <w:t>Июнь</w:t>
            </w:r>
          </w:p>
        </w:tc>
        <w:tc>
          <w:tcPr>
            <w:tcW w:w="564" w:type="dxa"/>
          </w:tcPr>
          <w:p w14:paraId="74E1063E" w14:textId="77777777" w:rsidR="004B4E35" w:rsidRPr="00405303" w:rsidRDefault="009E6F82" w:rsidP="00C15251">
            <w:pPr>
              <w:jc w:val="both"/>
              <w:rPr>
                <w:bCs/>
                <w:color w:val="002060"/>
                <w:sz w:val="16"/>
                <w:szCs w:val="16"/>
              </w:rPr>
            </w:pPr>
            <w:r w:rsidRPr="00405303">
              <w:rPr>
                <w:bCs/>
                <w:color w:val="002060"/>
                <w:sz w:val="16"/>
                <w:szCs w:val="16"/>
              </w:rPr>
              <w:t>666</w:t>
            </w:r>
          </w:p>
        </w:tc>
        <w:tc>
          <w:tcPr>
            <w:tcW w:w="938" w:type="dxa"/>
          </w:tcPr>
          <w:p w14:paraId="77B97367" w14:textId="77777777" w:rsidR="004B4E35" w:rsidRPr="00405303" w:rsidRDefault="009E6F82" w:rsidP="00C15251">
            <w:pPr>
              <w:jc w:val="both"/>
              <w:rPr>
                <w:bCs/>
                <w:color w:val="002060"/>
                <w:sz w:val="16"/>
                <w:szCs w:val="16"/>
              </w:rPr>
            </w:pPr>
            <w:r w:rsidRPr="00405303">
              <w:rPr>
                <w:bCs/>
                <w:color w:val="002060"/>
                <w:sz w:val="16"/>
                <w:szCs w:val="16"/>
              </w:rPr>
              <w:t>345</w:t>
            </w:r>
          </w:p>
        </w:tc>
      </w:tr>
      <w:tr w:rsidR="004B4E35" w:rsidRPr="00405303" w14:paraId="2015130C" w14:textId="77777777">
        <w:tc>
          <w:tcPr>
            <w:tcW w:w="2160" w:type="dxa"/>
          </w:tcPr>
          <w:p w14:paraId="63D44AC0"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564" w:type="dxa"/>
          </w:tcPr>
          <w:p w14:paraId="624488B5" w14:textId="77777777" w:rsidR="004B4E35" w:rsidRPr="00405303" w:rsidRDefault="009E6F82" w:rsidP="00C15251">
            <w:pPr>
              <w:jc w:val="both"/>
              <w:rPr>
                <w:bCs/>
                <w:color w:val="002060"/>
                <w:sz w:val="16"/>
                <w:szCs w:val="16"/>
              </w:rPr>
            </w:pPr>
            <w:r w:rsidRPr="00405303">
              <w:rPr>
                <w:bCs/>
                <w:color w:val="002060"/>
                <w:sz w:val="16"/>
                <w:szCs w:val="16"/>
              </w:rPr>
              <w:t>1024</w:t>
            </w:r>
          </w:p>
        </w:tc>
        <w:tc>
          <w:tcPr>
            <w:tcW w:w="938" w:type="dxa"/>
          </w:tcPr>
          <w:p w14:paraId="7A3D633D" w14:textId="77777777" w:rsidR="004B4E35" w:rsidRPr="00405303" w:rsidRDefault="009E6F82" w:rsidP="00C15251">
            <w:pPr>
              <w:jc w:val="both"/>
              <w:rPr>
                <w:bCs/>
                <w:color w:val="002060"/>
                <w:sz w:val="16"/>
                <w:szCs w:val="16"/>
              </w:rPr>
            </w:pPr>
            <w:r w:rsidRPr="00405303">
              <w:rPr>
                <w:bCs/>
                <w:color w:val="002060"/>
                <w:sz w:val="16"/>
                <w:szCs w:val="16"/>
              </w:rPr>
              <w:t>545</w:t>
            </w:r>
          </w:p>
        </w:tc>
      </w:tr>
    </w:tbl>
    <w:p w14:paraId="63887ECF" w14:textId="77777777" w:rsidR="004B4E35" w:rsidRPr="00405303" w:rsidRDefault="009E6F82" w:rsidP="00C15251">
      <w:pPr>
        <w:jc w:val="both"/>
        <w:rPr>
          <w:bCs/>
          <w:color w:val="002060"/>
          <w:sz w:val="16"/>
          <w:szCs w:val="16"/>
        </w:rPr>
      </w:pPr>
      <w:r w:rsidRPr="00405303">
        <w:rPr>
          <w:bCs/>
          <w:color w:val="002060"/>
          <w:sz w:val="16"/>
          <w:szCs w:val="16"/>
        </w:rPr>
        <w:t xml:space="preserve">К снарядам необходимо было готовить запальные стаканы и детонаторные трубки французского образца. Наибольшие трудности представляло изготовление трубок, производство коих являлось совершенно новым ввиду полного несходства французского образца трубок с русскими. Производство французских трубок, как и русских, является высокоточным. Число заводов, которые могли бы взяться за эту работу, оказалось сначала четыре, а затем к ним присоединились еще три, всего — семь. Из этих семи заводов сравнительно успешно и быстро справились с делом только четыре, из коих один (Русский Рено) оборудовал отдельный завод, выписав специальное оборудование из-за границы. В результате производство французских трубок не поспевало за производством снарядов и недобор трубок пришлось восполнятъ выпиской из Франции. </w:t>
      </w:r>
    </w:p>
    <w:p w14:paraId="0675C809" w14:textId="77777777" w:rsidR="004B4E35" w:rsidRPr="00405303" w:rsidRDefault="009E6F82" w:rsidP="00C15251">
      <w:pPr>
        <w:jc w:val="both"/>
        <w:rPr>
          <w:bCs/>
          <w:color w:val="002060"/>
          <w:sz w:val="16"/>
          <w:szCs w:val="16"/>
        </w:rPr>
      </w:pPr>
      <w:r w:rsidRPr="00405303">
        <w:rPr>
          <w:bCs/>
          <w:color w:val="002060"/>
          <w:sz w:val="16"/>
          <w:szCs w:val="16"/>
        </w:rPr>
        <w:t xml:space="preserve">Применение в русской артиллерии французских трубок потребовало ряда опытов для выяснения вопросов, возникавших и в процессе производства этих трубок и при стрельбе ими. В конце концов все эти вопросы были удовлетворительно разрешены. </w:t>
      </w:r>
    </w:p>
    <w:p w14:paraId="6F87A5E8" w14:textId="77777777" w:rsidR="004B4E35" w:rsidRPr="00405303" w:rsidRDefault="009E6F82" w:rsidP="00C15251">
      <w:pPr>
        <w:jc w:val="both"/>
        <w:rPr>
          <w:bCs/>
          <w:color w:val="002060"/>
          <w:sz w:val="16"/>
          <w:szCs w:val="16"/>
        </w:rPr>
      </w:pPr>
      <w:r w:rsidRPr="00405303">
        <w:rPr>
          <w:bCs/>
          <w:color w:val="002060"/>
          <w:sz w:val="16"/>
          <w:szCs w:val="16"/>
        </w:rPr>
        <w:t xml:space="preserve">Большие трудности представила установка производства запальных стаканов благодаря требовавшейся от этого изделия большой точности. Во Франции на эту работу, как и на трубки, были использованы имевшиеся в большом количестве арматурные заводы, обладавшие большим числом однотипных станков. В России таких заводов было немного, да и вообще русские заводы, не привыкшие к высокоточной работе, всеми способами уклонялись от нее, тем </w:t>
      </w:r>
      <w:proofErr w:type="gramStart"/>
      <w:r w:rsidRPr="00405303">
        <w:rPr>
          <w:bCs/>
          <w:color w:val="002060"/>
          <w:sz w:val="16"/>
          <w:szCs w:val="16"/>
        </w:rPr>
        <w:t>более</w:t>
      </w:r>
      <w:proofErr w:type="gramEnd"/>
      <w:r w:rsidRPr="00405303">
        <w:rPr>
          <w:bCs/>
          <w:color w:val="002060"/>
          <w:sz w:val="16"/>
          <w:szCs w:val="16"/>
        </w:rPr>
        <w:t xml:space="preserve"> когда вопрос шел о массовом производстве, а с научными принципами массового производства русская гражданская промышленность была до крайности мало знакома. Точные массовые производства были специальностью почти исключительно военно-промышленных заводов. Пришлось ставить производство трубок и станков (стаканов. — Ред.) самым разнообразным способом в смысле применения того или другого оборудования, а также в смысле организации производства и технических приемов работы. </w:t>
      </w:r>
    </w:p>
    <w:p w14:paraId="41F4AEAA" w14:textId="77777777" w:rsidR="004B4E35" w:rsidRPr="00405303" w:rsidRDefault="009E6F82" w:rsidP="00C15251">
      <w:pPr>
        <w:jc w:val="both"/>
        <w:rPr>
          <w:bCs/>
          <w:color w:val="002060"/>
          <w:sz w:val="16"/>
          <w:szCs w:val="16"/>
        </w:rPr>
      </w:pPr>
      <w:r w:rsidRPr="00405303">
        <w:rPr>
          <w:bCs/>
          <w:color w:val="002060"/>
          <w:sz w:val="16"/>
          <w:szCs w:val="16"/>
        </w:rPr>
        <w:t>Производство стаканов в конце концов наладилось и постепенно догнало производство гранат. Постепенно производительность увеличивается из месяца в месяц, как показано в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060"/>
        <w:gridCol w:w="1248"/>
        <w:gridCol w:w="1246"/>
      </w:tblGrid>
      <w:tr w:rsidR="004B4E35" w:rsidRPr="00405303" w14:paraId="2074CE5B" w14:textId="77777777">
        <w:tc>
          <w:tcPr>
            <w:tcW w:w="3060" w:type="dxa"/>
          </w:tcPr>
          <w:p w14:paraId="62DD937C" w14:textId="77777777" w:rsidR="004B4E35" w:rsidRPr="00405303" w:rsidRDefault="009E6F82" w:rsidP="00C15251">
            <w:pPr>
              <w:jc w:val="both"/>
              <w:rPr>
                <w:bCs/>
                <w:color w:val="002060"/>
                <w:sz w:val="16"/>
                <w:szCs w:val="16"/>
              </w:rPr>
            </w:pPr>
            <w:r w:rsidRPr="00405303">
              <w:rPr>
                <w:bCs/>
                <w:color w:val="002060"/>
                <w:sz w:val="16"/>
                <w:szCs w:val="16"/>
              </w:rPr>
              <w:t>Рост выпуска продукции</w:t>
            </w:r>
          </w:p>
        </w:tc>
        <w:tc>
          <w:tcPr>
            <w:tcW w:w="1248" w:type="dxa"/>
          </w:tcPr>
          <w:p w14:paraId="696FF32E" w14:textId="77777777" w:rsidR="004B4E35" w:rsidRPr="00405303" w:rsidRDefault="009E6F82" w:rsidP="00C15251">
            <w:pPr>
              <w:jc w:val="both"/>
              <w:rPr>
                <w:bCs/>
                <w:color w:val="002060"/>
                <w:sz w:val="16"/>
                <w:szCs w:val="16"/>
              </w:rPr>
            </w:pPr>
            <w:r w:rsidRPr="00405303">
              <w:rPr>
                <w:bCs/>
                <w:color w:val="002060"/>
                <w:sz w:val="16"/>
                <w:szCs w:val="16"/>
              </w:rPr>
              <w:t>Запальные стаканы 6-дм, 3-дм и У.С.</w:t>
            </w:r>
          </w:p>
        </w:tc>
        <w:tc>
          <w:tcPr>
            <w:tcW w:w="1246" w:type="dxa"/>
          </w:tcPr>
          <w:p w14:paraId="06D12493" w14:textId="77777777" w:rsidR="004B4E35" w:rsidRPr="00405303" w:rsidRDefault="009E6F82" w:rsidP="00C15251">
            <w:pPr>
              <w:jc w:val="both"/>
              <w:rPr>
                <w:bCs/>
                <w:color w:val="002060"/>
                <w:sz w:val="16"/>
                <w:szCs w:val="16"/>
              </w:rPr>
            </w:pPr>
            <w:r w:rsidRPr="00405303">
              <w:rPr>
                <w:bCs/>
                <w:color w:val="002060"/>
                <w:sz w:val="16"/>
                <w:szCs w:val="16"/>
              </w:rPr>
              <w:t>Детонаторные</w:t>
            </w:r>
          </w:p>
        </w:tc>
      </w:tr>
      <w:tr w:rsidR="004B4E35" w:rsidRPr="00405303" w14:paraId="5527D7CE" w14:textId="77777777">
        <w:tc>
          <w:tcPr>
            <w:tcW w:w="3060" w:type="dxa"/>
          </w:tcPr>
          <w:p w14:paraId="3C1D4051" w14:textId="77777777" w:rsidR="004B4E35" w:rsidRPr="00405303" w:rsidRDefault="009E6F82" w:rsidP="00C15251">
            <w:pPr>
              <w:jc w:val="both"/>
              <w:rPr>
                <w:bCs/>
                <w:color w:val="002060"/>
                <w:sz w:val="16"/>
                <w:szCs w:val="16"/>
              </w:rPr>
            </w:pPr>
            <w:r w:rsidRPr="00405303">
              <w:rPr>
                <w:bCs/>
                <w:color w:val="002060"/>
                <w:sz w:val="16"/>
                <w:szCs w:val="16"/>
              </w:rPr>
              <w:t>1915 г., сентябрь</w:t>
            </w:r>
          </w:p>
        </w:tc>
        <w:tc>
          <w:tcPr>
            <w:tcW w:w="1248" w:type="dxa"/>
          </w:tcPr>
          <w:p w14:paraId="4939334D" w14:textId="77777777" w:rsidR="004B4E35" w:rsidRPr="00405303" w:rsidRDefault="009E6F82" w:rsidP="00C15251">
            <w:pPr>
              <w:jc w:val="both"/>
              <w:rPr>
                <w:bCs/>
                <w:color w:val="002060"/>
                <w:sz w:val="16"/>
                <w:szCs w:val="16"/>
              </w:rPr>
            </w:pPr>
            <w:r w:rsidRPr="00405303">
              <w:rPr>
                <w:bCs/>
                <w:color w:val="002060"/>
                <w:sz w:val="16"/>
                <w:szCs w:val="16"/>
              </w:rPr>
              <w:t>37.000</w:t>
            </w:r>
          </w:p>
        </w:tc>
        <w:tc>
          <w:tcPr>
            <w:tcW w:w="1246" w:type="dxa"/>
          </w:tcPr>
          <w:p w14:paraId="3271DC94" w14:textId="77777777" w:rsidR="004B4E35" w:rsidRPr="00405303" w:rsidRDefault="009E6F82" w:rsidP="00C15251">
            <w:pPr>
              <w:jc w:val="both"/>
              <w:rPr>
                <w:bCs/>
                <w:color w:val="002060"/>
                <w:sz w:val="16"/>
                <w:szCs w:val="16"/>
              </w:rPr>
            </w:pPr>
            <w:r w:rsidRPr="00405303">
              <w:rPr>
                <w:bCs/>
                <w:color w:val="002060"/>
                <w:sz w:val="16"/>
                <w:szCs w:val="16"/>
              </w:rPr>
              <w:t>2.000</w:t>
            </w:r>
          </w:p>
        </w:tc>
      </w:tr>
      <w:tr w:rsidR="004B4E35" w:rsidRPr="00405303" w14:paraId="66C32F15" w14:textId="77777777">
        <w:tc>
          <w:tcPr>
            <w:tcW w:w="3060" w:type="dxa"/>
          </w:tcPr>
          <w:p w14:paraId="748EE2F5" w14:textId="77777777" w:rsidR="004B4E35" w:rsidRPr="00405303" w:rsidRDefault="009E6F82" w:rsidP="00C15251">
            <w:pPr>
              <w:jc w:val="both"/>
              <w:rPr>
                <w:bCs/>
                <w:color w:val="002060"/>
                <w:sz w:val="16"/>
                <w:szCs w:val="16"/>
              </w:rPr>
            </w:pPr>
            <w:r w:rsidRPr="00405303">
              <w:rPr>
                <w:bCs/>
                <w:color w:val="002060"/>
                <w:sz w:val="16"/>
                <w:szCs w:val="16"/>
              </w:rPr>
              <w:t>1916 г., январь</w:t>
            </w:r>
          </w:p>
        </w:tc>
        <w:tc>
          <w:tcPr>
            <w:tcW w:w="1248" w:type="dxa"/>
          </w:tcPr>
          <w:p w14:paraId="28A5CB24" w14:textId="77777777" w:rsidR="004B4E35" w:rsidRPr="00405303" w:rsidRDefault="009E6F82" w:rsidP="00C15251">
            <w:pPr>
              <w:jc w:val="both"/>
              <w:rPr>
                <w:bCs/>
                <w:color w:val="002060"/>
                <w:sz w:val="16"/>
                <w:szCs w:val="16"/>
              </w:rPr>
            </w:pPr>
            <w:r w:rsidRPr="00405303">
              <w:rPr>
                <w:bCs/>
                <w:color w:val="002060"/>
                <w:sz w:val="16"/>
                <w:szCs w:val="16"/>
              </w:rPr>
              <w:t>151.000</w:t>
            </w:r>
          </w:p>
        </w:tc>
        <w:tc>
          <w:tcPr>
            <w:tcW w:w="1246" w:type="dxa"/>
          </w:tcPr>
          <w:p w14:paraId="7B6EDA8C" w14:textId="77777777" w:rsidR="004B4E35" w:rsidRPr="00405303" w:rsidRDefault="009E6F82" w:rsidP="00C15251">
            <w:pPr>
              <w:jc w:val="both"/>
              <w:rPr>
                <w:bCs/>
                <w:color w:val="002060"/>
                <w:sz w:val="16"/>
                <w:szCs w:val="16"/>
              </w:rPr>
            </w:pPr>
            <w:r w:rsidRPr="00405303">
              <w:rPr>
                <w:bCs/>
                <w:color w:val="002060"/>
                <w:sz w:val="16"/>
                <w:szCs w:val="16"/>
              </w:rPr>
              <w:t>228.900</w:t>
            </w:r>
          </w:p>
        </w:tc>
      </w:tr>
      <w:tr w:rsidR="004B4E35" w:rsidRPr="00405303" w14:paraId="705CE020" w14:textId="77777777">
        <w:tc>
          <w:tcPr>
            <w:tcW w:w="3060" w:type="dxa"/>
          </w:tcPr>
          <w:p w14:paraId="68F22D24" w14:textId="77777777" w:rsidR="004B4E35" w:rsidRPr="00405303" w:rsidRDefault="009E6F82" w:rsidP="00C15251">
            <w:pPr>
              <w:jc w:val="both"/>
              <w:rPr>
                <w:bCs/>
                <w:color w:val="002060"/>
                <w:sz w:val="16"/>
                <w:szCs w:val="16"/>
              </w:rPr>
            </w:pPr>
            <w:r w:rsidRPr="00405303">
              <w:rPr>
                <w:bCs/>
                <w:color w:val="002060"/>
                <w:sz w:val="16"/>
                <w:szCs w:val="16"/>
              </w:rPr>
              <w:t>1916 г., июль</w:t>
            </w:r>
          </w:p>
        </w:tc>
        <w:tc>
          <w:tcPr>
            <w:tcW w:w="1248" w:type="dxa"/>
          </w:tcPr>
          <w:p w14:paraId="2DBAA93A" w14:textId="77777777" w:rsidR="004B4E35" w:rsidRPr="00405303" w:rsidRDefault="009E6F82" w:rsidP="00C15251">
            <w:pPr>
              <w:jc w:val="both"/>
              <w:rPr>
                <w:bCs/>
                <w:color w:val="002060"/>
                <w:sz w:val="16"/>
                <w:szCs w:val="16"/>
              </w:rPr>
            </w:pPr>
            <w:r w:rsidRPr="00405303">
              <w:rPr>
                <w:bCs/>
                <w:color w:val="002060"/>
                <w:sz w:val="16"/>
                <w:szCs w:val="16"/>
              </w:rPr>
              <w:t>405.000</w:t>
            </w:r>
          </w:p>
        </w:tc>
        <w:tc>
          <w:tcPr>
            <w:tcW w:w="1246" w:type="dxa"/>
          </w:tcPr>
          <w:p w14:paraId="6CFAE62B" w14:textId="77777777" w:rsidR="004B4E35" w:rsidRPr="00405303" w:rsidRDefault="009E6F82" w:rsidP="00C15251">
            <w:pPr>
              <w:jc w:val="both"/>
              <w:rPr>
                <w:bCs/>
                <w:color w:val="002060"/>
                <w:sz w:val="16"/>
                <w:szCs w:val="16"/>
              </w:rPr>
            </w:pPr>
            <w:r w:rsidRPr="00405303">
              <w:rPr>
                <w:bCs/>
                <w:color w:val="002060"/>
                <w:sz w:val="16"/>
                <w:szCs w:val="16"/>
              </w:rPr>
              <w:t>524.000</w:t>
            </w:r>
          </w:p>
        </w:tc>
      </w:tr>
      <w:tr w:rsidR="004B4E35" w:rsidRPr="00405303" w14:paraId="6D919BEA" w14:textId="77777777">
        <w:tc>
          <w:tcPr>
            <w:tcW w:w="3060" w:type="dxa"/>
          </w:tcPr>
          <w:p w14:paraId="360F2A08" w14:textId="77777777" w:rsidR="004B4E35" w:rsidRPr="00405303" w:rsidRDefault="009E6F82" w:rsidP="00C15251">
            <w:pPr>
              <w:jc w:val="both"/>
              <w:rPr>
                <w:bCs/>
                <w:color w:val="002060"/>
                <w:sz w:val="16"/>
                <w:szCs w:val="16"/>
              </w:rPr>
            </w:pPr>
            <w:r w:rsidRPr="00405303">
              <w:rPr>
                <w:bCs/>
                <w:color w:val="002060"/>
                <w:sz w:val="16"/>
                <w:szCs w:val="16"/>
              </w:rPr>
              <w:t>1917 г., январь</w:t>
            </w:r>
          </w:p>
        </w:tc>
        <w:tc>
          <w:tcPr>
            <w:tcW w:w="1248" w:type="dxa"/>
          </w:tcPr>
          <w:p w14:paraId="7ECC38DD" w14:textId="77777777" w:rsidR="004B4E35" w:rsidRPr="00405303" w:rsidRDefault="009E6F82" w:rsidP="00C15251">
            <w:pPr>
              <w:jc w:val="both"/>
              <w:rPr>
                <w:bCs/>
                <w:color w:val="002060"/>
                <w:sz w:val="16"/>
                <w:szCs w:val="16"/>
              </w:rPr>
            </w:pPr>
            <w:r w:rsidRPr="00405303">
              <w:rPr>
                <w:bCs/>
                <w:color w:val="002060"/>
                <w:sz w:val="16"/>
                <w:szCs w:val="16"/>
              </w:rPr>
              <w:t>994.000</w:t>
            </w:r>
          </w:p>
        </w:tc>
        <w:tc>
          <w:tcPr>
            <w:tcW w:w="1246" w:type="dxa"/>
          </w:tcPr>
          <w:p w14:paraId="7BAE6CD2" w14:textId="77777777" w:rsidR="004B4E35" w:rsidRPr="00405303" w:rsidRDefault="009E6F82" w:rsidP="00C15251">
            <w:pPr>
              <w:jc w:val="both"/>
              <w:rPr>
                <w:bCs/>
                <w:color w:val="002060"/>
                <w:sz w:val="16"/>
                <w:szCs w:val="16"/>
              </w:rPr>
            </w:pPr>
            <w:r w:rsidRPr="00405303">
              <w:rPr>
                <w:bCs/>
                <w:color w:val="002060"/>
                <w:sz w:val="16"/>
                <w:szCs w:val="16"/>
              </w:rPr>
              <w:t>607.000</w:t>
            </w:r>
          </w:p>
        </w:tc>
      </w:tr>
      <w:tr w:rsidR="004B4E35" w:rsidRPr="00405303" w14:paraId="462624A1" w14:textId="77777777">
        <w:tc>
          <w:tcPr>
            <w:tcW w:w="3060" w:type="dxa"/>
          </w:tcPr>
          <w:p w14:paraId="061741F1" w14:textId="77777777" w:rsidR="004B4E35" w:rsidRPr="00405303" w:rsidRDefault="009E6F82" w:rsidP="00C15251">
            <w:pPr>
              <w:jc w:val="both"/>
              <w:rPr>
                <w:bCs/>
                <w:color w:val="002060"/>
                <w:sz w:val="16"/>
                <w:szCs w:val="16"/>
              </w:rPr>
            </w:pPr>
            <w:r w:rsidRPr="00405303">
              <w:rPr>
                <w:bCs/>
                <w:color w:val="002060"/>
                <w:sz w:val="16"/>
                <w:szCs w:val="16"/>
              </w:rPr>
              <w:t>1917 г., апрель</w:t>
            </w:r>
          </w:p>
        </w:tc>
        <w:tc>
          <w:tcPr>
            <w:tcW w:w="1248" w:type="dxa"/>
          </w:tcPr>
          <w:p w14:paraId="45497D9D" w14:textId="77777777" w:rsidR="004B4E35" w:rsidRPr="00405303" w:rsidRDefault="009E6F82" w:rsidP="00C15251">
            <w:pPr>
              <w:jc w:val="both"/>
              <w:rPr>
                <w:bCs/>
                <w:color w:val="002060"/>
                <w:sz w:val="16"/>
                <w:szCs w:val="16"/>
              </w:rPr>
            </w:pPr>
            <w:r w:rsidRPr="00405303">
              <w:rPr>
                <w:bCs/>
                <w:color w:val="002060"/>
                <w:sz w:val="16"/>
                <w:szCs w:val="16"/>
              </w:rPr>
              <w:t>1.030.000</w:t>
            </w:r>
          </w:p>
        </w:tc>
        <w:tc>
          <w:tcPr>
            <w:tcW w:w="1246" w:type="dxa"/>
          </w:tcPr>
          <w:p w14:paraId="2F64B951" w14:textId="77777777" w:rsidR="004B4E35" w:rsidRPr="00405303" w:rsidRDefault="009E6F82" w:rsidP="00C15251">
            <w:pPr>
              <w:jc w:val="both"/>
              <w:rPr>
                <w:bCs/>
                <w:color w:val="002060"/>
                <w:sz w:val="16"/>
                <w:szCs w:val="16"/>
              </w:rPr>
            </w:pPr>
            <w:r w:rsidRPr="00405303">
              <w:rPr>
                <w:bCs/>
                <w:color w:val="002060"/>
                <w:sz w:val="16"/>
                <w:szCs w:val="16"/>
              </w:rPr>
              <w:t>270.000</w:t>
            </w:r>
          </w:p>
        </w:tc>
      </w:tr>
      <w:tr w:rsidR="004B4E35" w:rsidRPr="00405303" w14:paraId="57E3970E" w14:textId="77777777">
        <w:tc>
          <w:tcPr>
            <w:tcW w:w="3060" w:type="dxa"/>
          </w:tcPr>
          <w:p w14:paraId="405803EA" w14:textId="77777777" w:rsidR="004B4E35" w:rsidRPr="00405303" w:rsidRDefault="009E6F82" w:rsidP="00C15251">
            <w:pPr>
              <w:jc w:val="both"/>
              <w:rPr>
                <w:bCs/>
                <w:color w:val="002060"/>
                <w:sz w:val="16"/>
                <w:szCs w:val="16"/>
              </w:rPr>
            </w:pPr>
            <w:r w:rsidRPr="00405303">
              <w:rPr>
                <w:bCs/>
                <w:color w:val="002060"/>
                <w:sz w:val="16"/>
                <w:szCs w:val="16"/>
              </w:rPr>
              <w:t>1917 г., июль</w:t>
            </w:r>
          </w:p>
        </w:tc>
        <w:tc>
          <w:tcPr>
            <w:tcW w:w="1248" w:type="dxa"/>
          </w:tcPr>
          <w:p w14:paraId="0B9AF02B" w14:textId="77777777" w:rsidR="004B4E35" w:rsidRPr="00405303" w:rsidRDefault="009E6F82" w:rsidP="00C15251">
            <w:pPr>
              <w:jc w:val="both"/>
              <w:rPr>
                <w:bCs/>
                <w:color w:val="002060"/>
                <w:sz w:val="16"/>
                <w:szCs w:val="16"/>
              </w:rPr>
            </w:pPr>
            <w:r w:rsidRPr="00405303">
              <w:rPr>
                <w:bCs/>
                <w:color w:val="002060"/>
                <w:sz w:val="16"/>
                <w:szCs w:val="16"/>
              </w:rPr>
              <w:t>1.609.000</w:t>
            </w:r>
          </w:p>
        </w:tc>
        <w:tc>
          <w:tcPr>
            <w:tcW w:w="1246" w:type="dxa"/>
          </w:tcPr>
          <w:p w14:paraId="51FC5206" w14:textId="77777777" w:rsidR="004B4E35" w:rsidRPr="00405303" w:rsidRDefault="009E6F82" w:rsidP="00C15251">
            <w:pPr>
              <w:jc w:val="both"/>
              <w:rPr>
                <w:bCs/>
                <w:color w:val="002060"/>
                <w:sz w:val="16"/>
                <w:szCs w:val="16"/>
              </w:rPr>
            </w:pPr>
            <w:r w:rsidRPr="00405303">
              <w:rPr>
                <w:bCs/>
                <w:color w:val="002060"/>
                <w:sz w:val="16"/>
                <w:szCs w:val="16"/>
              </w:rPr>
              <w:t>406.000</w:t>
            </w:r>
          </w:p>
        </w:tc>
      </w:tr>
      <w:tr w:rsidR="004B4E35" w:rsidRPr="00405303" w14:paraId="2A1261FD" w14:textId="77777777">
        <w:tc>
          <w:tcPr>
            <w:tcW w:w="3060" w:type="dxa"/>
          </w:tcPr>
          <w:p w14:paraId="5126DCFC" w14:textId="77777777" w:rsidR="004B4E35" w:rsidRPr="00405303" w:rsidRDefault="009E6F82" w:rsidP="00C15251">
            <w:pPr>
              <w:jc w:val="both"/>
              <w:rPr>
                <w:bCs/>
                <w:color w:val="002060"/>
                <w:sz w:val="16"/>
                <w:szCs w:val="16"/>
              </w:rPr>
            </w:pPr>
            <w:r w:rsidRPr="00405303">
              <w:rPr>
                <w:bCs/>
                <w:color w:val="002060"/>
                <w:sz w:val="16"/>
                <w:szCs w:val="16"/>
              </w:rPr>
              <w:t xml:space="preserve">1917 г., ноябрь </w:t>
            </w:r>
          </w:p>
        </w:tc>
        <w:tc>
          <w:tcPr>
            <w:tcW w:w="1248" w:type="dxa"/>
          </w:tcPr>
          <w:p w14:paraId="5AF894C6" w14:textId="77777777" w:rsidR="004B4E35" w:rsidRPr="00405303" w:rsidRDefault="009E6F82" w:rsidP="00C15251">
            <w:pPr>
              <w:jc w:val="both"/>
              <w:rPr>
                <w:bCs/>
                <w:color w:val="002060"/>
                <w:sz w:val="16"/>
                <w:szCs w:val="16"/>
              </w:rPr>
            </w:pPr>
            <w:r w:rsidRPr="00405303">
              <w:rPr>
                <w:bCs/>
                <w:color w:val="002060"/>
                <w:sz w:val="16"/>
                <w:szCs w:val="16"/>
              </w:rPr>
              <w:t>1.891.000</w:t>
            </w:r>
          </w:p>
        </w:tc>
        <w:tc>
          <w:tcPr>
            <w:tcW w:w="1246" w:type="dxa"/>
          </w:tcPr>
          <w:p w14:paraId="0D7058FC" w14:textId="77777777" w:rsidR="004B4E35" w:rsidRPr="00405303" w:rsidRDefault="009E6F82" w:rsidP="00C15251">
            <w:pPr>
              <w:jc w:val="both"/>
              <w:rPr>
                <w:bCs/>
                <w:color w:val="002060"/>
                <w:sz w:val="16"/>
                <w:szCs w:val="16"/>
              </w:rPr>
            </w:pPr>
            <w:r w:rsidRPr="00405303">
              <w:rPr>
                <w:bCs/>
                <w:color w:val="002060"/>
                <w:sz w:val="16"/>
                <w:szCs w:val="16"/>
              </w:rPr>
              <w:t>347.000</w:t>
            </w:r>
          </w:p>
        </w:tc>
      </w:tr>
      <w:tr w:rsidR="004B4E35" w:rsidRPr="00405303" w14:paraId="5679FA8A" w14:textId="77777777">
        <w:tc>
          <w:tcPr>
            <w:tcW w:w="3060" w:type="dxa"/>
          </w:tcPr>
          <w:p w14:paraId="1E45E15B" w14:textId="77777777" w:rsidR="004B4E35" w:rsidRPr="00405303" w:rsidRDefault="009E6F82" w:rsidP="00C15251">
            <w:pPr>
              <w:jc w:val="both"/>
              <w:rPr>
                <w:bCs/>
                <w:color w:val="002060"/>
                <w:sz w:val="16"/>
                <w:szCs w:val="16"/>
              </w:rPr>
            </w:pPr>
            <w:r w:rsidRPr="00405303">
              <w:rPr>
                <w:bCs/>
                <w:color w:val="002060"/>
                <w:sz w:val="16"/>
                <w:szCs w:val="16"/>
              </w:rPr>
              <w:t>Всего за время с сентября 1915 по ноябрь выпущено</w:t>
            </w:r>
          </w:p>
        </w:tc>
        <w:tc>
          <w:tcPr>
            <w:tcW w:w="1248" w:type="dxa"/>
          </w:tcPr>
          <w:p w14:paraId="79E32D9B" w14:textId="77777777" w:rsidR="004B4E35" w:rsidRPr="00405303" w:rsidRDefault="009E6F82" w:rsidP="00C15251">
            <w:pPr>
              <w:jc w:val="both"/>
              <w:rPr>
                <w:bCs/>
                <w:color w:val="002060"/>
                <w:sz w:val="16"/>
                <w:szCs w:val="16"/>
              </w:rPr>
            </w:pPr>
            <w:r w:rsidRPr="00405303">
              <w:rPr>
                <w:bCs/>
                <w:color w:val="002060"/>
                <w:sz w:val="16"/>
                <w:szCs w:val="16"/>
              </w:rPr>
              <w:t>12.037.000</w:t>
            </w:r>
          </w:p>
        </w:tc>
        <w:tc>
          <w:tcPr>
            <w:tcW w:w="1246" w:type="dxa"/>
          </w:tcPr>
          <w:p w14:paraId="1B599370" w14:textId="77777777" w:rsidR="004B4E35" w:rsidRPr="00405303" w:rsidRDefault="009E6F82" w:rsidP="00C15251">
            <w:pPr>
              <w:jc w:val="both"/>
              <w:rPr>
                <w:bCs/>
                <w:color w:val="002060"/>
                <w:sz w:val="16"/>
                <w:szCs w:val="16"/>
              </w:rPr>
            </w:pPr>
            <w:r w:rsidRPr="00405303">
              <w:rPr>
                <w:bCs/>
                <w:color w:val="002060"/>
                <w:sz w:val="16"/>
                <w:szCs w:val="16"/>
              </w:rPr>
              <w:t>8.102.235</w:t>
            </w:r>
          </w:p>
        </w:tc>
      </w:tr>
    </w:tbl>
    <w:p w14:paraId="208D6B95" w14:textId="77777777" w:rsidR="004B4E35" w:rsidRPr="00405303" w:rsidRDefault="009E6F82" w:rsidP="00C15251">
      <w:pPr>
        <w:jc w:val="both"/>
        <w:rPr>
          <w:bCs/>
          <w:color w:val="002060"/>
          <w:sz w:val="16"/>
          <w:szCs w:val="16"/>
        </w:rPr>
      </w:pPr>
      <w:r w:rsidRPr="00405303">
        <w:rPr>
          <w:bCs/>
          <w:color w:val="002060"/>
          <w:sz w:val="16"/>
          <w:szCs w:val="16"/>
        </w:rPr>
        <w:t xml:space="preserve">Надо отметить, что для всех перечисленных работ было изготовлено точных поверочных инструментов (единиц):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80"/>
        <w:gridCol w:w="816"/>
      </w:tblGrid>
      <w:tr w:rsidR="004B4E35" w:rsidRPr="00405303" w14:paraId="4283251D" w14:textId="77777777">
        <w:tc>
          <w:tcPr>
            <w:tcW w:w="2580" w:type="dxa"/>
          </w:tcPr>
          <w:p w14:paraId="6C64F8BC" w14:textId="77777777" w:rsidR="004B4E35" w:rsidRPr="00405303" w:rsidRDefault="009E6F82" w:rsidP="00C15251">
            <w:pPr>
              <w:jc w:val="both"/>
              <w:rPr>
                <w:bCs/>
                <w:color w:val="002060"/>
                <w:sz w:val="16"/>
                <w:szCs w:val="16"/>
              </w:rPr>
            </w:pPr>
            <w:r w:rsidRPr="00405303">
              <w:rPr>
                <w:bCs/>
                <w:color w:val="002060"/>
                <w:sz w:val="16"/>
                <w:szCs w:val="16"/>
              </w:rPr>
              <w:t>для 3-дм гранат</w:t>
            </w:r>
          </w:p>
        </w:tc>
        <w:tc>
          <w:tcPr>
            <w:tcW w:w="816" w:type="dxa"/>
          </w:tcPr>
          <w:p w14:paraId="78A73AAE" w14:textId="77777777" w:rsidR="004B4E35" w:rsidRPr="00405303" w:rsidRDefault="009E6F82" w:rsidP="00C15251">
            <w:pPr>
              <w:jc w:val="both"/>
              <w:rPr>
                <w:bCs/>
                <w:color w:val="002060"/>
                <w:sz w:val="16"/>
                <w:szCs w:val="16"/>
              </w:rPr>
            </w:pPr>
            <w:r w:rsidRPr="00405303">
              <w:rPr>
                <w:bCs/>
                <w:color w:val="002060"/>
                <w:sz w:val="16"/>
                <w:szCs w:val="16"/>
              </w:rPr>
              <w:t xml:space="preserve">8083 </w:t>
            </w:r>
          </w:p>
        </w:tc>
      </w:tr>
      <w:tr w:rsidR="004B4E35" w:rsidRPr="00405303" w14:paraId="476AEFC0" w14:textId="77777777">
        <w:tc>
          <w:tcPr>
            <w:tcW w:w="2580" w:type="dxa"/>
          </w:tcPr>
          <w:p w14:paraId="3C33A5C6" w14:textId="77777777" w:rsidR="004B4E35" w:rsidRPr="00405303" w:rsidRDefault="009E6F82" w:rsidP="00C15251">
            <w:pPr>
              <w:jc w:val="both"/>
              <w:rPr>
                <w:bCs/>
                <w:color w:val="002060"/>
                <w:sz w:val="16"/>
                <w:szCs w:val="16"/>
              </w:rPr>
            </w:pPr>
            <w:r w:rsidRPr="00405303">
              <w:rPr>
                <w:bCs/>
                <w:color w:val="002060"/>
                <w:sz w:val="16"/>
                <w:szCs w:val="16"/>
              </w:rPr>
              <w:t>для 3-дм запальных стаканов</w:t>
            </w:r>
          </w:p>
        </w:tc>
        <w:tc>
          <w:tcPr>
            <w:tcW w:w="816" w:type="dxa"/>
          </w:tcPr>
          <w:p w14:paraId="246B6769" w14:textId="77777777" w:rsidR="004B4E35" w:rsidRPr="00405303" w:rsidRDefault="009E6F82" w:rsidP="00C15251">
            <w:pPr>
              <w:jc w:val="both"/>
              <w:rPr>
                <w:bCs/>
                <w:color w:val="002060"/>
                <w:sz w:val="16"/>
                <w:szCs w:val="16"/>
              </w:rPr>
            </w:pPr>
            <w:r w:rsidRPr="00405303">
              <w:rPr>
                <w:bCs/>
                <w:color w:val="002060"/>
                <w:sz w:val="16"/>
                <w:szCs w:val="16"/>
              </w:rPr>
              <w:t xml:space="preserve">6249 </w:t>
            </w:r>
          </w:p>
        </w:tc>
      </w:tr>
      <w:tr w:rsidR="004B4E35" w:rsidRPr="00405303" w14:paraId="7D2D11F5" w14:textId="77777777">
        <w:tc>
          <w:tcPr>
            <w:tcW w:w="2580" w:type="dxa"/>
          </w:tcPr>
          <w:p w14:paraId="6C7C72F6" w14:textId="77777777" w:rsidR="004B4E35" w:rsidRPr="00405303" w:rsidRDefault="009E6F82" w:rsidP="00C15251">
            <w:pPr>
              <w:jc w:val="both"/>
              <w:rPr>
                <w:bCs/>
                <w:color w:val="002060"/>
                <w:sz w:val="16"/>
                <w:szCs w:val="16"/>
              </w:rPr>
            </w:pPr>
            <w:r w:rsidRPr="00405303">
              <w:rPr>
                <w:bCs/>
                <w:color w:val="002060"/>
                <w:sz w:val="16"/>
                <w:szCs w:val="16"/>
              </w:rPr>
              <w:t>детонаторных трубок и др. изделий</w:t>
            </w:r>
          </w:p>
        </w:tc>
        <w:tc>
          <w:tcPr>
            <w:tcW w:w="816" w:type="dxa"/>
          </w:tcPr>
          <w:p w14:paraId="7D533BE1" w14:textId="77777777" w:rsidR="004B4E35" w:rsidRPr="00405303" w:rsidRDefault="009E6F82" w:rsidP="00C15251">
            <w:pPr>
              <w:jc w:val="both"/>
              <w:rPr>
                <w:bCs/>
                <w:color w:val="002060"/>
                <w:sz w:val="16"/>
                <w:szCs w:val="16"/>
              </w:rPr>
            </w:pPr>
            <w:r w:rsidRPr="00405303">
              <w:rPr>
                <w:bCs/>
                <w:color w:val="002060"/>
                <w:sz w:val="16"/>
                <w:szCs w:val="16"/>
              </w:rPr>
              <w:t xml:space="preserve">5807 </w:t>
            </w:r>
          </w:p>
        </w:tc>
      </w:tr>
    </w:tbl>
    <w:p w14:paraId="4516E182" w14:textId="77777777" w:rsidR="004B4E35" w:rsidRPr="00405303" w:rsidRDefault="009E6F82" w:rsidP="00C15251">
      <w:pPr>
        <w:jc w:val="both"/>
        <w:rPr>
          <w:bCs/>
          <w:color w:val="002060"/>
          <w:sz w:val="16"/>
          <w:szCs w:val="16"/>
        </w:rPr>
      </w:pPr>
      <w:r w:rsidRPr="00405303">
        <w:rPr>
          <w:bCs/>
          <w:color w:val="002060"/>
          <w:sz w:val="16"/>
          <w:szCs w:val="16"/>
        </w:rPr>
        <w:t xml:space="preserve">Установка производства инструмента также представляла большие трудности и сильно тормозила дело. </w:t>
      </w:r>
    </w:p>
    <w:p w14:paraId="19D61BA9" w14:textId="77777777" w:rsidR="004B4E35" w:rsidRPr="00405303" w:rsidRDefault="009E6F82" w:rsidP="00C15251">
      <w:pPr>
        <w:jc w:val="both"/>
        <w:rPr>
          <w:bCs/>
          <w:color w:val="002060"/>
          <w:sz w:val="16"/>
          <w:szCs w:val="16"/>
        </w:rPr>
      </w:pPr>
      <w:r w:rsidRPr="00405303">
        <w:rPr>
          <w:bCs/>
          <w:color w:val="002060"/>
          <w:sz w:val="16"/>
          <w:szCs w:val="16"/>
        </w:rPr>
        <w:t xml:space="preserve">Для снаряжения взрывчатым веществом изготовляемых организацией уполномоченного ГАУ снарядов и детонаторных трубок к ним необходимо было организовать снаряжательные заводы. </w:t>
      </w:r>
    </w:p>
    <w:p w14:paraId="45EFD74B" w14:textId="77777777" w:rsidR="004B4E35" w:rsidRPr="00405303" w:rsidRDefault="009E6F82" w:rsidP="00C15251">
      <w:pPr>
        <w:jc w:val="both"/>
        <w:rPr>
          <w:bCs/>
          <w:color w:val="002060"/>
          <w:sz w:val="16"/>
          <w:szCs w:val="16"/>
        </w:rPr>
      </w:pPr>
      <w:r w:rsidRPr="00405303">
        <w:rPr>
          <w:bCs/>
          <w:color w:val="002060"/>
          <w:sz w:val="16"/>
          <w:szCs w:val="16"/>
        </w:rPr>
        <w:t xml:space="preserve">Первый снаряжательный завод был устроен промышленником Н.А. Второвым в бывшей красочной фабрике Байера в Москве, где пришлось вновь выстроить и оборудовать две группы зданий, использовав также и существующие здания фабрики. Мощность завода исчислялась в 750 тыс. гранат в месяц. Постройка первой группы зданий была выполнена в 38 дней, второй — в 4 месяца. </w:t>
      </w:r>
    </w:p>
    <w:p w14:paraId="1D233B3B" w14:textId="77777777" w:rsidR="004B4E35" w:rsidRPr="00405303" w:rsidRDefault="009E6F82" w:rsidP="00C15251">
      <w:pPr>
        <w:jc w:val="both"/>
        <w:rPr>
          <w:bCs/>
          <w:color w:val="002060"/>
          <w:sz w:val="16"/>
          <w:szCs w:val="16"/>
        </w:rPr>
      </w:pPr>
      <w:r w:rsidRPr="00405303">
        <w:rPr>
          <w:bCs/>
          <w:color w:val="002060"/>
          <w:sz w:val="16"/>
          <w:szCs w:val="16"/>
        </w:rPr>
        <w:t xml:space="preserve">Независимо от этого тем же контрагентом была предпринята постройка второго снаряжательного завода близ станции Затишье Богородского уезда. </w:t>
      </w:r>
    </w:p>
    <w:p w14:paraId="6BA3F7E2" w14:textId="77777777" w:rsidR="004B4E35" w:rsidRPr="00405303" w:rsidRDefault="009E6F82" w:rsidP="00C15251">
      <w:pPr>
        <w:jc w:val="both"/>
        <w:rPr>
          <w:bCs/>
          <w:color w:val="002060"/>
          <w:sz w:val="16"/>
          <w:szCs w:val="16"/>
        </w:rPr>
      </w:pPr>
      <w:r w:rsidRPr="00405303">
        <w:rPr>
          <w:bCs/>
          <w:color w:val="002060"/>
          <w:sz w:val="16"/>
          <w:szCs w:val="16"/>
        </w:rPr>
        <w:t xml:space="preserve">Работа по снаряжению снарядов в Московском заводе началась в сентябре 1915 г., когда было сдано 44 тыс. гранат. В дальнейшем производительность по снаряжению, увеличиваясь из месяца в месяц, показала значительный рост. </w:t>
      </w:r>
    </w:p>
    <w:p w14:paraId="0C6994D0" w14:textId="77777777" w:rsidR="004B4E35" w:rsidRPr="00405303" w:rsidRDefault="009E6F82" w:rsidP="00C15251">
      <w:pPr>
        <w:jc w:val="both"/>
        <w:rPr>
          <w:bCs/>
          <w:color w:val="002060"/>
          <w:sz w:val="16"/>
          <w:szCs w:val="16"/>
        </w:rPr>
      </w:pPr>
      <w:r w:rsidRPr="00405303">
        <w:rPr>
          <w:bCs/>
          <w:color w:val="002060"/>
          <w:sz w:val="16"/>
          <w:szCs w:val="16"/>
        </w:rPr>
        <w:t xml:space="preserve">Производительность по снаряжению в месяц, суммарно по всем калибрам снарядов, была следующая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44"/>
        <w:gridCol w:w="684"/>
      </w:tblGrid>
      <w:tr w:rsidR="004B4E35" w:rsidRPr="00405303" w14:paraId="3FAFC7D9" w14:textId="77777777">
        <w:tc>
          <w:tcPr>
            <w:tcW w:w="2244" w:type="dxa"/>
          </w:tcPr>
          <w:p w14:paraId="497E9ED8" w14:textId="77777777" w:rsidR="004B4E35" w:rsidRPr="00405303" w:rsidRDefault="009E6F82" w:rsidP="00C15251">
            <w:pPr>
              <w:jc w:val="both"/>
              <w:rPr>
                <w:bCs/>
                <w:color w:val="002060"/>
                <w:sz w:val="16"/>
                <w:szCs w:val="16"/>
              </w:rPr>
            </w:pPr>
            <w:r w:rsidRPr="00405303">
              <w:rPr>
                <w:bCs/>
                <w:color w:val="002060"/>
                <w:sz w:val="16"/>
                <w:szCs w:val="16"/>
              </w:rPr>
              <w:t>1916 г., январь</w:t>
            </w:r>
          </w:p>
        </w:tc>
        <w:tc>
          <w:tcPr>
            <w:tcW w:w="684" w:type="dxa"/>
          </w:tcPr>
          <w:p w14:paraId="19A08F8D" w14:textId="77777777" w:rsidR="004B4E35" w:rsidRPr="00405303" w:rsidRDefault="009E6F82" w:rsidP="00C15251">
            <w:pPr>
              <w:jc w:val="both"/>
              <w:rPr>
                <w:bCs/>
                <w:color w:val="002060"/>
                <w:sz w:val="16"/>
                <w:szCs w:val="16"/>
              </w:rPr>
            </w:pPr>
            <w:r w:rsidRPr="00405303">
              <w:rPr>
                <w:bCs/>
                <w:color w:val="002060"/>
                <w:sz w:val="16"/>
                <w:szCs w:val="16"/>
              </w:rPr>
              <w:t xml:space="preserve">245 </w:t>
            </w:r>
          </w:p>
        </w:tc>
      </w:tr>
      <w:tr w:rsidR="004B4E35" w:rsidRPr="00405303" w14:paraId="6BC19A80" w14:textId="77777777">
        <w:tc>
          <w:tcPr>
            <w:tcW w:w="2244" w:type="dxa"/>
          </w:tcPr>
          <w:p w14:paraId="5592AF71" w14:textId="77777777" w:rsidR="004B4E35" w:rsidRPr="00405303" w:rsidRDefault="009E6F82" w:rsidP="00C15251">
            <w:pPr>
              <w:jc w:val="both"/>
              <w:rPr>
                <w:bCs/>
                <w:color w:val="002060"/>
                <w:sz w:val="16"/>
                <w:szCs w:val="16"/>
              </w:rPr>
            </w:pPr>
            <w:r w:rsidRPr="00405303">
              <w:rPr>
                <w:bCs/>
                <w:color w:val="002060"/>
                <w:sz w:val="16"/>
                <w:szCs w:val="16"/>
              </w:rPr>
              <w:t>апрель</w:t>
            </w:r>
          </w:p>
        </w:tc>
        <w:tc>
          <w:tcPr>
            <w:tcW w:w="684" w:type="dxa"/>
          </w:tcPr>
          <w:p w14:paraId="77615332" w14:textId="77777777" w:rsidR="004B4E35" w:rsidRPr="00405303" w:rsidRDefault="009E6F82" w:rsidP="00C15251">
            <w:pPr>
              <w:jc w:val="both"/>
              <w:rPr>
                <w:bCs/>
                <w:color w:val="002060"/>
                <w:sz w:val="16"/>
                <w:szCs w:val="16"/>
              </w:rPr>
            </w:pPr>
            <w:r w:rsidRPr="00405303">
              <w:rPr>
                <w:bCs/>
                <w:color w:val="002060"/>
                <w:sz w:val="16"/>
                <w:szCs w:val="16"/>
              </w:rPr>
              <w:t xml:space="preserve">347 </w:t>
            </w:r>
          </w:p>
        </w:tc>
      </w:tr>
      <w:tr w:rsidR="004B4E35" w:rsidRPr="00405303" w14:paraId="6CF72CC2" w14:textId="77777777">
        <w:tc>
          <w:tcPr>
            <w:tcW w:w="2244" w:type="dxa"/>
          </w:tcPr>
          <w:p w14:paraId="7D510BB8" w14:textId="77777777" w:rsidR="004B4E35" w:rsidRPr="00405303" w:rsidRDefault="009E6F82" w:rsidP="00C15251">
            <w:pPr>
              <w:jc w:val="both"/>
              <w:rPr>
                <w:bCs/>
                <w:color w:val="002060"/>
                <w:sz w:val="16"/>
                <w:szCs w:val="16"/>
              </w:rPr>
            </w:pPr>
            <w:r w:rsidRPr="00405303">
              <w:rPr>
                <w:bCs/>
                <w:color w:val="002060"/>
                <w:sz w:val="16"/>
                <w:szCs w:val="16"/>
              </w:rPr>
              <w:t>июль</w:t>
            </w:r>
          </w:p>
        </w:tc>
        <w:tc>
          <w:tcPr>
            <w:tcW w:w="684" w:type="dxa"/>
          </w:tcPr>
          <w:p w14:paraId="293B8F5A" w14:textId="77777777" w:rsidR="004B4E35" w:rsidRPr="00405303" w:rsidRDefault="009E6F82" w:rsidP="00C15251">
            <w:pPr>
              <w:jc w:val="both"/>
              <w:rPr>
                <w:bCs/>
                <w:color w:val="002060"/>
                <w:sz w:val="16"/>
                <w:szCs w:val="16"/>
              </w:rPr>
            </w:pPr>
            <w:r w:rsidRPr="00405303">
              <w:rPr>
                <w:bCs/>
                <w:color w:val="002060"/>
                <w:sz w:val="16"/>
                <w:szCs w:val="16"/>
              </w:rPr>
              <w:t xml:space="preserve">668 </w:t>
            </w:r>
          </w:p>
        </w:tc>
      </w:tr>
      <w:tr w:rsidR="004B4E35" w:rsidRPr="00405303" w14:paraId="3DED2528" w14:textId="77777777">
        <w:tc>
          <w:tcPr>
            <w:tcW w:w="2244" w:type="dxa"/>
          </w:tcPr>
          <w:p w14:paraId="617D101A" w14:textId="77777777" w:rsidR="004B4E35" w:rsidRPr="00405303" w:rsidRDefault="009E6F82" w:rsidP="00C15251">
            <w:pPr>
              <w:jc w:val="both"/>
              <w:rPr>
                <w:bCs/>
                <w:color w:val="002060"/>
                <w:sz w:val="16"/>
                <w:szCs w:val="16"/>
              </w:rPr>
            </w:pPr>
            <w:r w:rsidRPr="00405303">
              <w:rPr>
                <w:bCs/>
                <w:color w:val="002060"/>
                <w:sz w:val="16"/>
                <w:szCs w:val="16"/>
              </w:rPr>
              <w:t>октябрь</w:t>
            </w:r>
          </w:p>
        </w:tc>
        <w:tc>
          <w:tcPr>
            <w:tcW w:w="684" w:type="dxa"/>
          </w:tcPr>
          <w:p w14:paraId="15DF9894" w14:textId="77777777" w:rsidR="004B4E35" w:rsidRPr="00405303" w:rsidRDefault="009E6F82" w:rsidP="00C15251">
            <w:pPr>
              <w:jc w:val="both"/>
              <w:rPr>
                <w:bCs/>
                <w:color w:val="002060"/>
                <w:sz w:val="16"/>
                <w:szCs w:val="16"/>
              </w:rPr>
            </w:pPr>
            <w:r w:rsidRPr="00405303">
              <w:rPr>
                <w:bCs/>
                <w:color w:val="002060"/>
                <w:sz w:val="16"/>
                <w:szCs w:val="16"/>
              </w:rPr>
              <w:t xml:space="preserve">1053 </w:t>
            </w:r>
          </w:p>
        </w:tc>
      </w:tr>
      <w:tr w:rsidR="004B4E35" w:rsidRPr="00405303" w14:paraId="0A06FA0E" w14:textId="77777777">
        <w:tc>
          <w:tcPr>
            <w:tcW w:w="2244" w:type="dxa"/>
          </w:tcPr>
          <w:p w14:paraId="4DB73CA2"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684" w:type="dxa"/>
          </w:tcPr>
          <w:p w14:paraId="099DE92C" w14:textId="77777777" w:rsidR="004B4E35" w:rsidRPr="00405303" w:rsidRDefault="009E6F82" w:rsidP="00C15251">
            <w:pPr>
              <w:jc w:val="both"/>
              <w:rPr>
                <w:bCs/>
                <w:color w:val="002060"/>
                <w:sz w:val="16"/>
                <w:szCs w:val="16"/>
              </w:rPr>
            </w:pPr>
            <w:r w:rsidRPr="00405303">
              <w:rPr>
                <w:bCs/>
                <w:color w:val="002060"/>
                <w:sz w:val="16"/>
                <w:szCs w:val="16"/>
              </w:rPr>
              <w:t xml:space="preserve">801 </w:t>
            </w:r>
          </w:p>
        </w:tc>
      </w:tr>
      <w:tr w:rsidR="004B4E35" w:rsidRPr="00405303" w14:paraId="539637DC" w14:textId="77777777">
        <w:tc>
          <w:tcPr>
            <w:tcW w:w="2244" w:type="dxa"/>
          </w:tcPr>
          <w:p w14:paraId="48B39FFC" w14:textId="77777777" w:rsidR="004B4E35" w:rsidRPr="00405303" w:rsidRDefault="009E6F82" w:rsidP="00C15251">
            <w:pPr>
              <w:jc w:val="both"/>
              <w:rPr>
                <w:bCs/>
                <w:color w:val="002060"/>
                <w:sz w:val="16"/>
                <w:szCs w:val="16"/>
              </w:rPr>
            </w:pPr>
            <w:r w:rsidRPr="00405303">
              <w:rPr>
                <w:bCs/>
                <w:color w:val="002060"/>
                <w:sz w:val="16"/>
                <w:szCs w:val="16"/>
              </w:rPr>
              <w:t>1917 г., январь</w:t>
            </w:r>
          </w:p>
        </w:tc>
        <w:tc>
          <w:tcPr>
            <w:tcW w:w="684" w:type="dxa"/>
          </w:tcPr>
          <w:p w14:paraId="2E0D6987" w14:textId="77777777" w:rsidR="004B4E35" w:rsidRPr="00405303" w:rsidRDefault="009E6F82" w:rsidP="00C15251">
            <w:pPr>
              <w:jc w:val="both"/>
              <w:rPr>
                <w:bCs/>
                <w:color w:val="002060"/>
                <w:sz w:val="16"/>
                <w:szCs w:val="16"/>
              </w:rPr>
            </w:pPr>
            <w:r w:rsidRPr="00405303">
              <w:rPr>
                <w:bCs/>
                <w:color w:val="002060"/>
                <w:sz w:val="16"/>
                <w:szCs w:val="16"/>
              </w:rPr>
              <w:t xml:space="preserve">763 </w:t>
            </w:r>
          </w:p>
        </w:tc>
      </w:tr>
      <w:tr w:rsidR="004B4E35" w:rsidRPr="00405303" w14:paraId="498E778A" w14:textId="77777777">
        <w:tc>
          <w:tcPr>
            <w:tcW w:w="2244" w:type="dxa"/>
          </w:tcPr>
          <w:p w14:paraId="44E9C844" w14:textId="77777777" w:rsidR="004B4E35" w:rsidRPr="00405303" w:rsidRDefault="009E6F82" w:rsidP="00C15251">
            <w:pPr>
              <w:jc w:val="both"/>
              <w:rPr>
                <w:bCs/>
                <w:color w:val="002060"/>
                <w:sz w:val="16"/>
                <w:szCs w:val="16"/>
              </w:rPr>
            </w:pPr>
            <w:r w:rsidRPr="00405303">
              <w:rPr>
                <w:bCs/>
                <w:color w:val="002060"/>
                <w:sz w:val="16"/>
                <w:szCs w:val="16"/>
              </w:rPr>
              <w:t>апрель</w:t>
            </w:r>
          </w:p>
        </w:tc>
        <w:tc>
          <w:tcPr>
            <w:tcW w:w="684" w:type="dxa"/>
          </w:tcPr>
          <w:p w14:paraId="57B4AE45" w14:textId="77777777" w:rsidR="004B4E35" w:rsidRPr="00405303" w:rsidRDefault="009E6F82" w:rsidP="00C15251">
            <w:pPr>
              <w:jc w:val="both"/>
              <w:rPr>
                <w:bCs/>
                <w:color w:val="002060"/>
                <w:sz w:val="16"/>
                <w:szCs w:val="16"/>
              </w:rPr>
            </w:pPr>
            <w:r w:rsidRPr="00405303">
              <w:rPr>
                <w:bCs/>
                <w:color w:val="002060"/>
                <w:sz w:val="16"/>
                <w:szCs w:val="16"/>
              </w:rPr>
              <w:t xml:space="preserve">608 </w:t>
            </w:r>
          </w:p>
        </w:tc>
      </w:tr>
      <w:tr w:rsidR="004B4E35" w:rsidRPr="00405303" w14:paraId="13C00B39" w14:textId="77777777">
        <w:tc>
          <w:tcPr>
            <w:tcW w:w="2244" w:type="dxa"/>
          </w:tcPr>
          <w:p w14:paraId="798CC73D" w14:textId="77777777" w:rsidR="004B4E35" w:rsidRPr="00405303" w:rsidRDefault="009E6F82" w:rsidP="00C15251">
            <w:pPr>
              <w:jc w:val="both"/>
              <w:rPr>
                <w:bCs/>
                <w:color w:val="002060"/>
                <w:sz w:val="16"/>
                <w:szCs w:val="16"/>
              </w:rPr>
            </w:pPr>
            <w:r w:rsidRPr="00405303">
              <w:rPr>
                <w:bCs/>
                <w:color w:val="002060"/>
                <w:sz w:val="16"/>
                <w:szCs w:val="16"/>
              </w:rPr>
              <w:t>октябрь</w:t>
            </w:r>
          </w:p>
        </w:tc>
        <w:tc>
          <w:tcPr>
            <w:tcW w:w="684" w:type="dxa"/>
          </w:tcPr>
          <w:p w14:paraId="28C474C2" w14:textId="77777777" w:rsidR="004B4E35" w:rsidRPr="00405303" w:rsidRDefault="009E6F82" w:rsidP="00C15251">
            <w:pPr>
              <w:jc w:val="both"/>
              <w:rPr>
                <w:bCs/>
                <w:color w:val="002060"/>
                <w:sz w:val="16"/>
                <w:szCs w:val="16"/>
              </w:rPr>
            </w:pPr>
            <w:r w:rsidRPr="00405303">
              <w:rPr>
                <w:bCs/>
                <w:color w:val="002060"/>
                <w:sz w:val="16"/>
                <w:szCs w:val="16"/>
              </w:rPr>
              <w:t>378</w:t>
            </w:r>
          </w:p>
        </w:tc>
      </w:tr>
      <w:tr w:rsidR="004B4E35" w:rsidRPr="00405303" w14:paraId="242A8765" w14:textId="77777777">
        <w:tc>
          <w:tcPr>
            <w:tcW w:w="2244" w:type="dxa"/>
          </w:tcPr>
          <w:p w14:paraId="497B4DE4"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684" w:type="dxa"/>
          </w:tcPr>
          <w:p w14:paraId="1A6808E9" w14:textId="77777777" w:rsidR="004B4E35" w:rsidRPr="00405303" w:rsidRDefault="009E6F82" w:rsidP="00C15251">
            <w:pPr>
              <w:jc w:val="both"/>
              <w:rPr>
                <w:bCs/>
                <w:color w:val="002060"/>
                <w:sz w:val="16"/>
                <w:szCs w:val="16"/>
              </w:rPr>
            </w:pPr>
            <w:r w:rsidRPr="00405303">
              <w:rPr>
                <w:bCs/>
                <w:color w:val="002060"/>
                <w:sz w:val="16"/>
                <w:szCs w:val="16"/>
              </w:rPr>
              <w:t xml:space="preserve">109 </w:t>
            </w:r>
          </w:p>
        </w:tc>
      </w:tr>
      <w:tr w:rsidR="004B4E35" w:rsidRPr="00405303" w14:paraId="7B6865A6" w14:textId="77777777">
        <w:tc>
          <w:tcPr>
            <w:tcW w:w="2244" w:type="dxa"/>
          </w:tcPr>
          <w:p w14:paraId="0E9902BD" w14:textId="77777777" w:rsidR="004B4E35" w:rsidRPr="00405303" w:rsidRDefault="009E6F82" w:rsidP="00C15251">
            <w:pPr>
              <w:jc w:val="both"/>
              <w:rPr>
                <w:bCs/>
                <w:color w:val="002060"/>
                <w:sz w:val="16"/>
                <w:szCs w:val="16"/>
              </w:rPr>
            </w:pPr>
            <w:r w:rsidRPr="00405303">
              <w:rPr>
                <w:bCs/>
                <w:color w:val="002060"/>
                <w:sz w:val="16"/>
                <w:szCs w:val="16"/>
              </w:rPr>
              <w:t>[Всего]</w:t>
            </w:r>
          </w:p>
        </w:tc>
        <w:tc>
          <w:tcPr>
            <w:tcW w:w="684" w:type="dxa"/>
          </w:tcPr>
          <w:p w14:paraId="1F0AC65B" w14:textId="77777777" w:rsidR="004B4E35" w:rsidRPr="00405303" w:rsidRDefault="009E6F82" w:rsidP="00C15251">
            <w:pPr>
              <w:jc w:val="both"/>
              <w:rPr>
                <w:bCs/>
                <w:color w:val="002060"/>
                <w:sz w:val="16"/>
                <w:szCs w:val="16"/>
              </w:rPr>
            </w:pPr>
            <w:r w:rsidRPr="00405303">
              <w:rPr>
                <w:bCs/>
                <w:color w:val="002060"/>
                <w:sz w:val="16"/>
                <w:szCs w:val="16"/>
              </w:rPr>
              <w:t xml:space="preserve">4971 </w:t>
            </w:r>
          </w:p>
        </w:tc>
      </w:tr>
    </w:tbl>
    <w:p w14:paraId="6F109447" w14:textId="77777777" w:rsidR="004B4E35" w:rsidRPr="00405303" w:rsidRDefault="009E6F82" w:rsidP="00C15251">
      <w:pPr>
        <w:jc w:val="both"/>
        <w:rPr>
          <w:bCs/>
          <w:color w:val="002060"/>
          <w:sz w:val="16"/>
          <w:szCs w:val="16"/>
        </w:rPr>
      </w:pPr>
      <w:r w:rsidRPr="00405303">
        <w:rPr>
          <w:bCs/>
          <w:color w:val="002060"/>
          <w:sz w:val="16"/>
          <w:szCs w:val="16"/>
        </w:rPr>
        <w:t xml:space="preserve">Интересно сопоставить количественно работу организации Ванкова с производством снарядов на заводах, выполнявших заказы ГАУ. Сравнение дано в нижеследующей таблице, где цифры указывают, какой процент составляет месячная продукция организации Ванкова от общерусского производства снарядов: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560"/>
        <w:gridCol w:w="936"/>
      </w:tblGrid>
      <w:tr w:rsidR="004B4E35" w:rsidRPr="00405303" w14:paraId="735E1A82" w14:textId="77777777">
        <w:tc>
          <w:tcPr>
            <w:tcW w:w="1560" w:type="dxa"/>
          </w:tcPr>
          <w:p w14:paraId="6A15551C" w14:textId="77777777" w:rsidR="004B4E35" w:rsidRPr="00405303" w:rsidRDefault="009E6F82" w:rsidP="00C15251">
            <w:pPr>
              <w:jc w:val="both"/>
              <w:rPr>
                <w:bCs/>
                <w:color w:val="002060"/>
                <w:sz w:val="16"/>
                <w:szCs w:val="16"/>
              </w:rPr>
            </w:pPr>
            <w:r w:rsidRPr="00405303">
              <w:rPr>
                <w:bCs/>
                <w:color w:val="002060"/>
                <w:sz w:val="16"/>
                <w:szCs w:val="16"/>
              </w:rPr>
              <w:t>1915 г., октябрь</w:t>
            </w:r>
          </w:p>
        </w:tc>
        <w:tc>
          <w:tcPr>
            <w:tcW w:w="936" w:type="dxa"/>
          </w:tcPr>
          <w:p w14:paraId="4F6F13F9" w14:textId="77777777" w:rsidR="004B4E35" w:rsidRPr="00405303" w:rsidRDefault="009E6F82" w:rsidP="00C15251">
            <w:pPr>
              <w:jc w:val="both"/>
              <w:rPr>
                <w:bCs/>
                <w:color w:val="002060"/>
                <w:sz w:val="16"/>
                <w:szCs w:val="16"/>
              </w:rPr>
            </w:pPr>
            <w:r w:rsidRPr="00405303">
              <w:rPr>
                <w:bCs/>
                <w:color w:val="002060"/>
                <w:sz w:val="16"/>
                <w:szCs w:val="16"/>
              </w:rPr>
              <w:t xml:space="preserve">6,4 </w:t>
            </w:r>
          </w:p>
        </w:tc>
      </w:tr>
      <w:tr w:rsidR="004B4E35" w:rsidRPr="00405303" w14:paraId="7BD85AF8" w14:textId="77777777">
        <w:tc>
          <w:tcPr>
            <w:tcW w:w="1560" w:type="dxa"/>
          </w:tcPr>
          <w:p w14:paraId="7C2BF25F"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936" w:type="dxa"/>
          </w:tcPr>
          <w:p w14:paraId="3CFE1E2C" w14:textId="77777777" w:rsidR="004B4E35" w:rsidRPr="00405303" w:rsidRDefault="009E6F82" w:rsidP="00C15251">
            <w:pPr>
              <w:jc w:val="both"/>
              <w:rPr>
                <w:bCs/>
                <w:color w:val="002060"/>
                <w:sz w:val="16"/>
                <w:szCs w:val="16"/>
              </w:rPr>
            </w:pPr>
            <w:r w:rsidRPr="00405303">
              <w:rPr>
                <w:bCs/>
                <w:color w:val="002060"/>
                <w:sz w:val="16"/>
                <w:szCs w:val="16"/>
              </w:rPr>
              <w:t xml:space="preserve">12,3 </w:t>
            </w:r>
          </w:p>
        </w:tc>
      </w:tr>
      <w:tr w:rsidR="004B4E35" w:rsidRPr="00405303" w14:paraId="1771F33D" w14:textId="77777777">
        <w:tc>
          <w:tcPr>
            <w:tcW w:w="1560" w:type="dxa"/>
          </w:tcPr>
          <w:p w14:paraId="3626C5E5"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936" w:type="dxa"/>
          </w:tcPr>
          <w:p w14:paraId="0882A7F4" w14:textId="77777777" w:rsidR="004B4E35" w:rsidRPr="00405303" w:rsidRDefault="009E6F82" w:rsidP="00C15251">
            <w:pPr>
              <w:jc w:val="both"/>
              <w:rPr>
                <w:bCs/>
                <w:color w:val="002060"/>
                <w:sz w:val="16"/>
                <w:szCs w:val="16"/>
              </w:rPr>
            </w:pPr>
            <w:r w:rsidRPr="00405303">
              <w:rPr>
                <w:bCs/>
                <w:color w:val="002060"/>
                <w:sz w:val="16"/>
                <w:szCs w:val="16"/>
              </w:rPr>
              <w:t xml:space="preserve">10,2 </w:t>
            </w:r>
          </w:p>
        </w:tc>
      </w:tr>
      <w:tr w:rsidR="004B4E35" w:rsidRPr="00405303" w14:paraId="01559258" w14:textId="77777777">
        <w:tc>
          <w:tcPr>
            <w:tcW w:w="1560" w:type="dxa"/>
          </w:tcPr>
          <w:p w14:paraId="098D3C76" w14:textId="77777777" w:rsidR="004B4E35" w:rsidRPr="00405303" w:rsidRDefault="009E6F82" w:rsidP="00C15251">
            <w:pPr>
              <w:jc w:val="both"/>
              <w:rPr>
                <w:bCs/>
                <w:color w:val="002060"/>
                <w:sz w:val="16"/>
                <w:szCs w:val="16"/>
              </w:rPr>
            </w:pPr>
            <w:r w:rsidRPr="00405303">
              <w:rPr>
                <w:bCs/>
                <w:color w:val="002060"/>
                <w:sz w:val="16"/>
                <w:szCs w:val="16"/>
              </w:rPr>
              <w:t>1916 г., январь</w:t>
            </w:r>
          </w:p>
        </w:tc>
        <w:tc>
          <w:tcPr>
            <w:tcW w:w="936" w:type="dxa"/>
          </w:tcPr>
          <w:p w14:paraId="0A55316B" w14:textId="77777777" w:rsidR="004B4E35" w:rsidRPr="00405303" w:rsidRDefault="009E6F82" w:rsidP="00C15251">
            <w:pPr>
              <w:jc w:val="both"/>
              <w:rPr>
                <w:bCs/>
                <w:color w:val="002060"/>
                <w:sz w:val="16"/>
                <w:szCs w:val="16"/>
              </w:rPr>
            </w:pPr>
            <w:r w:rsidRPr="00405303">
              <w:rPr>
                <w:bCs/>
                <w:color w:val="002060"/>
                <w:sz w:val="16"/>
                <w:szCs w:val="16"/>
              </w:rPr>
              <w:t>11,6</w:t>
            </w:r>
          </w:p>
        </w:tc>
      </w:tr>
      <w:tr w:rsidR="004B4E35" w:rsidRPr="00405303" w14:paraId="1C471623" w14:textId="77777777">
        <w:tc>
          <w:tcPr>
            <w:tcW w:w="1560" w:type="dxa"/>
          </w:tcPr>
          <w:p w14:paraId="4ADBDD7C" w14:textId="77777777" w:rsidR="004B4E35" w:rsidRPr="00405303" w:rsidRDefault="009E6F82" w:rsidP="00C15251">
            <w:pPr>
              <w:jc w:val="both"/>
              <w:rPr>
                <w:bCs/>
                <w:color w:val="002060"/>
                <w:sz w:val="16"/>
                <w:szCs w:val="16"/>
              </w:rPr>
            </w:pPr>
            <w:r w:rsidRPr="00405303">
              <w:rPr>
                <w:bCs/>
                <w:color w:val="002060"/>
                <w:sz w:val="16"/>
                <w:szCs w:val="16"/>
              </w:rPr>
              <w:t>февраль</w:t>
            </w:r>
          </w:p>
        </w:tc>
        <w:tc>
          <w:tcPr>
            <w:tcW w:w="936" w:type="dxa"/>
          </w:tcPr>
          <w:p w14:paraId="6FCCBBA2" w14:textId="77777777" w:rsidR="004B4E35" w:rsidRPr="00405303" w:rsidRDefault="009E6F82" w:rsidP="00C15251">
            <w:pPr>
              <w:jc w:val="both"/>
              <w:rPr>
                <w:bCs/>
                <w:color w:val="002060"/>
                <w:sz w:val="16"/>
                <w:szCs w:val="16"/>
              </w:rPr>
            </w:pPr>
            <w:r w:rsidRPr="00405303">
              <w:rPr>
                <w:bCs/>
                <w:color w:val="002060"/>
                <w:sz w:val="16"/>
                <w:szCs w:val="16"/>
              </w:rPr>
              <w:t xml:space="preserve">18,0 </w:t>
            </w:r>
          </w:p>
        </w:tc>
      </w:tr>
      <w:tr w:rsidR="004B4E35" w:rsidRPr="00405303" w14:paraId="2C9F2D63" w14:textId="77777777">
        <w:tc>
          <w:tcPr>
            <w:tcW w:w="1560" w:type="dxa"/>
          </w:tcPr>
          <w:p w14:paraId="6E28FFEC" w14:textId="77777777" w:rsidR="004B4E35" w:rsidRPr="00405303" w:rsidRDefault="009E6F82" w:rsidP="00C15251">
            <w:pPr>
              <w:jc w:val="both"/>
              <w:rPr>
                <w:bCs/>
                <w:color w:val="002060"/>
                <w:sz w:val="16"/>
                <w:szCs w:val="16"/>
              </w:rPr>
            </w:pPr>
            <w:r w:rsidRPr="00405303">
              <w:rPr>
                <w:bCs/>
                <w:color w:val="002060"/>
                <w:sz w:val="16"/>
                <w:szCs w:val="16"/>
              </w:rPr>
              <w:t>март</w:t>
            </w:r>
          </w:p>
        </w:tc>
        <w:tc>
          <w:tcPr>
            <w:tcW w:w="936" w:type="dxa"/>
          </w:tcPr>
          <w:p w14:paraId="35EEFE51" w14:textId="77777777" w:rsidR="004B4E35" w:rsidRPr="00405303" w:rsidRDefault="009E6F82" w:rsidP="00C15251">
            <w:pPr>
              <w:jc w:val="both"/>
              <w:rPr>
                <w:bCs/>
                <w:color w:val="002060"/>
                <w:sz w:val="16"/>
                <w:szCs w:val="16"/>
              </w:rPr>
            </w:pPr>
            <w:r w:rsidRPr="00405303">
              <w:rPr>
                <w:bCs/>
                <w:color w:val="002060"/>
                <w:sz w:val="16"/>
                <w:szCs w:val="16"/>
              </w:rPr>
              <w:t xml:space="preserve">28,2 </w:t>
            </w:r>
          </w:p>
        </w:tc>
      </w:tr>
    </w:tbl>
    <w:p w14:paraId="719CFF23"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В истории "Организации уполномоченного ГАУ" есть много поучительного. Первое, на чем нужно остановить внимание в работе организации — это элемент времени, сроки. Дело начато было в феврале 1915 года. В апреле даны первые заказы. Производство корпусов началось в октябре 1915 г. (9-й месяц) — выпуск первых валовых партий. До максимума поднялось в декабре 1916 г. (20-й месяц). Снаряжение началось в январе 1916 г. (11-й месяц). </w:t>
      </w:r>
    </w:p>
    <w:p w14:paraId="2EF4C931" w14:textId="77777777" w:rsidR="004B4E35" w:rsidRPr="00405303" w:rsidRDefault="009E6F82" w:rsidP="00C15251">
      <w:pPr>
        <w:jc w:val="both"/>
        <w:rPr>
          <w:bCs/>
          <w:color w:val="002060"/>
          <w:sz w:val="16"/>
          <w:szCs w:val="16"/>
        </w:rPr>
      </w:pPr>
      <w:r w:rsidRPr="00405303">
        <w:rPr>
          <w:bCs/>
          <w:color w:val="002060"/>
          <w:sz w:val="16"/>
          <w:szCs w:val="16"/>
        </w:rPr>
        <w:t xml:space="preserve">Эти данные относятся не к одному какому-либо заводу, а к сотням их. Следовательно, сроки здесь не носят случайного характера — в них есть определенная закономерность. </w:t>
      </w:r>
    </w:p>
    <w:p w14:paraId="7FD730CB" w14:textId="77777777" w:rsidR="004B4E35" w:rsidRPr="00405303" w:rsidRDefault="009E6F82" w:rsidP="00C15251">
      <w:pPr>
        <w:jc w:val="both"/>
        <w:rPr>
          <w:bCs/>
          <w:color w:val="002060"/>
          <w:sz w:val="16"/>
          <w:szCs w:val="16"/>
        </w:rPr>
      </w:pPr>
      <w:r w:rsidRPr="00405303">
        <w:rPr>
          <w:bCs/>
          <w:color w:val="002060"/>
          <w:sz w:val="16"/>
          <w:szCs w:val="16"/>
        </w:rPr>
        <w:t xml:space="preserve">Производство 3-дм снарядов французского образца среди военных изделий относится к числу наименее сложных и точных. Степень точности и сложности работы здесь несравненно ниже, чем в винтовках, трубках и т.д. Относительное число точных обмеров весьма мало, значительное большинство их работается с большими допусками. </w:t>
      </w:r>
    </w:p>
    <w:p w14:paraId="7D77CD55" w14:textId="77777777" w:rsidR="004B4E35" w:rsidRPr="00405303" w:rsidRDefault="009E6F82" w:rsidP="00C15251">
      <w:pPr>
        <w:jc w:val="both"/>
        <w:rPr>
          <w:bCs/>
          <w:color w:val="002060"/>
          <w:sz w:val="16"/>
          <w:szCs w:val="16"/>
        </w:rPr>
      </w:pPr>
      <w:r w:rsidRPr="00405303">
        <w:rPr>
          <w:bCs/>
          <w:color w:val="002060"/>
          <w:sz w:val="16"/>
          <w:szCs w:val="16"/>
        </w:rPr>
        <w:t xml:space="preserve">Затем, организация уполномоченного ГАУ пользовалась обширными хозяйственными правами и все дело поставлено было на правильных коммерческих началах, с изъятием волокиты, казенщины и пр. </w:t>
      </w:r>
    </w:p>
    <w:p w14:paraId="780D442A" w14:textId="77777777" w:rsidR="004B4E35" w:rsidRPr="00405303" w:rsidRDefault="009E6F82" w:rsidP="00C15251">
      <w:pPr>
        <w:jc w:val="both"/>
        <w:rPr>
          <w:bCs/>
          <w:color w:val="002060"/>
          <w:sz w:val="16"/>
          <w:szCs w:val="16"/>
        </w:rPr>
      </w:pPr>
      <w:r w:rsidRPr="00405303">
        <w:rPr>
          <w:bCs/>
          <w:color w:val="002060"/>
          <w:sz w:val="16"/>
          <w:szCs w:val="16"/>
        </w:rPr>
        <w:t xml:space="preserve">И тем не менее постановка массового, сравнительно несложного производства в импровизированном порядке, без предварительной подготовки потребовала 9 месяцев, а разворачивание его до максимума — 18 месяцев. </w:t>
      </w:r>
    </w:p>
    <w:p w14:paraId="2FFCFD10" w14:textId="77777777" w:rsidR="004B4E35" w:rsidRPr="00405303" w:rsidRDefault="009E6F82" w:rsidP="00C15251">
      <w:pPr>
        <w:jc w:val="both"/>
        <w:rPr>
          <w:bCs/>
          <w:color w:val="002060"/>
          <w:sz w:val="16"/>
          <w:szCs w:val="16"/>
        </w:rPr>
      </w:pPr>
      <w:r w:rsidRPr="00405303">
        <w:rPr>
          <w:bCs/>
          <w:color w:val="002060"/>
          <w:sz w:val="16"/>
          <w:szCs w:val="16"/>
        </w:rPr>
        <w:t xml:space="preserve">Эти цифры, относящиеся к довольно далекому прошлому, тем не менее полностью сохраняют свою практическую ценность и сейчас, в совершенно иной обстановке. Это подтверждает отчетливо опыт постановки на Златоустовском заводе массового производства снарядов нового чертежа, имевший место в 1924—1925 годах. Здесь работа в отношении сроков результировалась цифрами, совершенно сходными с теми, которые приведены выше. </w:t>
      </w:r>
    </w:p>
    <w:p w14:paraId="178527C1" w14:textId="77777777" w:rsidR="004B4E35" w:rsidRPr="00405303" w:rsidRDefault="009E6F82" w:rsidP="00C15251">
      <w:pPr>
        <w:jc w:val="both"/>
        <w:rPr>
          <w:bCs/>
          <w:color w:val="002060"/>
          <w:sz w:val="16"/>
          <w:szCs w:val="16"/>
        </w:rPr>
      </w:pPr>
      <w:r w:rsidRPr="00405303">
        <w:rPr>
          <w:bCs/>
          <w:color w:val="002060"/>
          <w:sz w:val="16"/>
          <w:szCs w:val="16"/>
        </w:rPr>
        <w:t xml:space="preserve">Приведенные выше сроки, как бы они хорошо ни были обоснованы с точки зрения производственной, с точки зрения интересов военного ведомства, само собой разумеется, должны быть признаны неприемлемыми. Единственное средство сократить их — это надлежащая заблаговременная мобилизационная подготовка заводов. При наличии ее получается совершенно другой производственный эффект. </w:t>
      </w:r>
    </w:p>
    <w:p w14:paraId="6A52E1E4" w14:textId="77777777" w:rsidR="004B4E35" w:rsidRPr="00405303" w:rsidRDefault="009E6F82" w:rsidP="00C15251">
      <w:pPr>
        <w:jc w:val="both"/>
        <w:rPr>
          <w:bCs/>
          <w:color w:val="002060"/>
          <w:sz w:val="16"/>
          <w:szCs w:val="16"/>
        </w:rPr>
      </w:pPr>
      <w:r w:rsidRPr="00405303">
        <w:rPr>
          <w:bCs/>
          <w:color w:val="002060"/>
          <w:sz w:val="16"/>
          <w:szCs w:val="16"/>
        </w:rPr>
        <w:t>Все указанные обстоятельства должны быть тщательно учтены военным ведомством при составлении его мобилизационных планов, с тем чтобы эти планы носили реальный характер. Это особенно важно по отношению к снарядам, так как производство их лежит в большинстве на гражданских заводах, в мирное время стоящих на консервации (так в тексте. — Ред.) (11329).</w:t>
      </w:r>
    </w:p>
    <w:p w14:paraId="08B0CC50" w14:textId="77777777" w:rsidR="004B4E35" w:rsidRPr="00405303" w:rsidRDefault="004B4E35" w:rsidP="00C15251">
      <w:pPr>
        <w:jc w:val="both"/>
        <w:rPr>
          <w:bCs/>
          <w:i/>
          <w:color w:val="002060"/>
          <w:sz w:val="16"/>
          <w:szCs w:val="16"/>
        </w:rPr>
      </w:pPr>
    </w:p>
    <w:p w14:paraId="31A7D7C1" w14:textId="77777777" w:rsidR="004B4E35" w:rsidRPr="00405303" w:rsidRDefault="009E6F82" w:rsidP="00C15251">
      <w:pPr>
        <w:jc w:val="both"/>
        <w:rPr>
          <w:bCs/>
          <w:i/>
          <w:color w:val="002060"/>
          <w:sz w:val="16"/>
          <w:szCs w:val="16"/>
        </w:rPr>
      </w:pPr>
      <w:r w:rsidRPr="00405303">
        <w:rPr>
          <w:bCs/>
          <w:i/>
          <w:color w:val="002060"/>
          <w:sz w:val="16"/>
          <w:szCs w:val="16"/>
        </w:rPr>
        <w:t>Армия:</w:t>
      </w:r>
    </w:p>
    <w:p w14:paraId="0F0CC336" w14:textId="77777777" w:rsidR="004B4E35" w:rsidRPr="00405303" w:rsidRDefault="004B4E35" w:rsidP="00C15251">
      <w:pPr>
        <w:jc w:val="both"/>
        <w:rPr>
          <w:bCs/>
          <w:i/>
          <w:color w:val="002060"/>
          <w:sz w:val="16"/>
          <w:szCs w:val="16"/>
        </w:rPr>
      </w:pPr>
    </w:p>
    <w:p w14:paraId="77A995A7" w14:textId="77777777" w:rsidR="004B4E35" w:rsidRPr="00405303" w:rsidRDefault="009E6F82" w:rsidP="00C15251">
      <w:pPr>
        <w:jc w:val="both"/>
        <w:rPr>
          <w:bCs/>
          <w:color w:val="002060"/>
          <w:sz w:val="16"/>
          <w:szCs w:val="16"/>
        </w:rPr>
      </w:pPr>
      <w:r w:rsidRPr="00405303">
        <w:rPr>
          <w:bCs/>
          <w:color w:val="002060"/>
          <w:sz w:val="16"/>
          <w:szCs w:val="16"/>
        </w:rPr>
        <w:t>Таким образом, к маю 1915 года в Эскадре не остаюсь кораблей типа Б. В процессе эксплуатации были выявлены крупные недостатки этой модификации. Аппарат не мог брать необходимой высоты в 2500 метров или хотя бы в 2000 метров. Это удалось сделать лишь однажды самому Сикорскому 4 марта на старом рудневском корабле с "Аргусами", когда он достиг почти 2200 метров. Другие корабли с моголами "Сальмсон" набирали высоту ещё медленнее и на 500 метров поднимались за 15 минут, а на 1000 метров - за 26-28 минут. Типу Б на разбеге требовалось не менее 250 шагов (против ветра), а часто и свыше 400 шагов. Хвостовая опора полозкового типа была частой причиной аварий. Капризные моторы "Сальмсон" не работали из-за холода.</w:t>
      </w:r>
    </w:p>
    <w:p w14:paraId="3FDF19DC" w14:textId="77777777" w:rsidR="004B4E35" w:rsidRPr="00405303" w:rsidRDefault="009E6F82" w:rsidP="00C15251">
      <w:pPr>
        <w:jc w:val="both"/>
        <w:rPr>
          <w:bCs/>
          <w:color w:val="002060"/>
          <w:sz w:val="16"/>
          <w:szCs w:val="16"/>
        </w:rPr>
      </w:pPr>
      <w:r w:rsidRPr="00405303">
        <w:rPr>
          <w:bCs/>
          <w:color w:val="002060"/>
          <w:sz w:val="16"/>
          <w:szCs w:val="16"/>
        </w:rPr>
        <w:t>Новые самолёты модификации В показали себя по-другому. Две лучшие машины (Горшкова и Бродовича), оснащённые дефицитными "Аргусами", смогли подтвердить свои качества и в боевых условиях (12041).</w:t>
      </w:r>
    </w:p>
    <w:p w14:paraId="6CEFDFDD" w14:textId="77777777" w:rsidR="004B4E35" w:rsidRPr="00405303" w:rsidRDefault="004B4E35" w:rsidP="00C15251">
      <w:pPr>
        <w:jc w:val="both"/>
        <w:rPr>
          <w:bCs/>
          <w:color w:val="002060"/>
          <w:sz w:val="16"/>
          <w:szCs w:val="16"/>
        </w:rPr>
      </w:pPr>
    </w:p>
    <w:p w14:paraId="496C2469" w14:textId="77777777" w:rsidR="004B4E35" w:rsidRPr="00405303" w:rsidRDefault="009E6F82" w:rsidP="00C15251">
      <w:pPr>
        <w:jc w:val="both"/>
        <w:rPr>
          <w:bCs/>
          <w:color w:val="002060"/>
          <w:sz w:val="16"/>
          <w:szCs w:val="16"/>
        </w:rPr>
      </w:pPr>
      <w:r w:rsidRPr="00405303">
        <w:rPr>
          <w:bCs/>
          <w:color w:val="002060"/>
          <w:sz w:val="16"/>
          <w:szCs w:val="16"/>
        </w:rPr>
        <w:t>К маю 1915 года ранее обособленные структуры обороны Петрограда и Царского Села объединяются в единое формирование под общим руководством начальника воздушной обороны российской столицы. При нем впервые создается штаб воздушной обороны, отвечавший за наблюдение и оповещение о воздушной обстановке в границах зоны ответственности 6-й армии (начальник штаба - капитан А.И. Бениксон) (11163).</w:t>
      </w:r>
    </w:p>
    <w:p w14:paraId="54BDA530" w14:textId="77777777" w:rsidR="004B4E35" w:rsidRPr="00405303" w:rsidRDefault="004B4E35" w:rsidP="00C15251">
      <w:pPr>
        <w:jc w:val="both"/>
        <w:rPr>
          <w:bCs/>
          <w:color w:val="002060"/>
          <w:sz w:val="16"/>
          <w:szCs w:val="16"/>
        </w:rPr>
      </w:pPr>
    </w:p>
    <w:p w14:paraId="68D9DC7A" w14:textId="77777777" w:rsidR="00C306B1" w:rsidRPr="00405303" w:rsidRDefault="00C306B1" w:rsidP="00C15251">
      <w:pPr>
        <w:jc w:val="both"/>
        <w:rPr>
          <w:bCs/>
          <w:i/>
          <w:color w:val="002060"/>
          <w:sz w:val="16"/>
          <w:szCs w:val="16"/>
        </w:rPr>
      </w:pPr>
      <w:r w:rsidRPr="00405303">
        <w:rPr>
          <w:bCs/>
          <w:i/>
          <w:color w:val="002060"/>
          <w:sz w:val="16"/>
          <w:szCs w:val="16"/>
        </w:rPr>
        <w:t>Авиация:</w:t>
      </w:r>
    </w:p>
    <w:p w14:paraId="08EC26BD" w14:textId="77777777" w:rsidR="00C306B1" w:rsidRPr="00405303" w:rsidRDefault="00C306B1" w:rsidP="00C15251">
      <w:pPr>
        <w:jc w:val="both"/>
        <w:rPr>
          <w:bCs/>
          <w:i/>
          <w:color w:val="002060"/>
          <w:sz w:val="16"/>
          <w:szCs w:val="16"/>
        </w:rPr>
      </w:pPr>
    </w:p>
    <w:p w14:paraId="6696E225" w14:textId="77777777" w:rsidR="00C306B1" w:rsidRPr="00405303" w:rsidRDefault="00C306B1" w:rsidP="00C15251">
      <w:pPr>
        <w:jc w:val="both"/>
        <w:rPr>
          <w:bCs/>
          <w:color w:val="002060"/>
          <w:sz w:val="16"/>
          <w:szCs w:val="16"/>
        </w:rPr>
      </w:pPr>
      <w:r w:rsidRPr="00405303">
        <w:rPr>
          <w:bCs/>
          <w:color w:val="002060"/>
          <w:sz w:val="16"/>
          <w:szCs w:val="16"/>
        </w:rPr>
        <w:t>1 (14) и 2 (15) мая 1915 года два крупных четырехмоторных самолета типа "Илья Муромец приземлились во Львове. Их разместили в обширном элинге для дирижаблей на Левандовском аэродроме. В июне 1915 года во Львов вновь вступили австрийские войска, и на Левандовке вновь разместилось австрийское авиационное поразделение. В 1917-18 годах, когда Львов оказался в глубоком тылу, подразделение на аэродроме "Левандовка" получило статус этапного авиационного парка № 4, в котором ремонтировали боевые самолеты. В конце марта 1918 года через Львов пролегла одна из первых в мире регклярных линий авиапочтовой связи, которая была создана австрийской армией. С 20 марта 1918 года она функционировала по маршруту Вена - Краков - Львов - Проскуров (ныне Хмельницкий) - Киев. Корреспонденцию, бандероли и иные отправления специальные курьеры доставляли львовянам уже через несколько часов после приземления самолетов. Авиалиния действовала регулярно и постоянно до 5 ноября 1918 года. Перелет начинался из Вены в 4 ч. 30 мин. утра, а заканчивался в Киеве в 17 ч. 30 мин. То есть, расстояние в 1200 километров преодолевалось за 13 часов, а не за двое суток, как на железнодорожном транспорте в то время (12298).</w:t>
      </w:r>
    </w:p>
    <w:p w14:paraId="456E9C34" w14:textId="77777777" w:rsidR="00C306B1" w:rsidRPr="00405303" w:rsidRDefault="00C306B1" w:rsidP="00C15251">
      <w:pPr>
        <w:jc w:val="both"/>
        <w:rPr>
          <w:bCs/>
          <w:color w:val="002060"/>
          <w:sz w:val="16"/>
          <w:szCs w:val="16"/>
        </w:rPr>
      </w:pPr>
    </w:p>
    <w:p w14:paraId="1C9E6E24" w14:textId="0D7A4B70" w:rsidR="00C369D7" w:rsidRPr="00405303" w:rsidRDefault="00C369D7" w:rsidP="00C15251">
      <w:pPr>
        <w:jc w:val="both"/>
        <w:rPr>
          <w:bCs/>
          <w:color w:val="002060"/>
          <w:sz w:val="16"/>
          <w:szCs w:val="16"/>
          <w:lang w:bidi="en-US"/>
        </w:rPr>
      </w:pPr>
      <w:r w:rsidRPr="00405303">
        <w:rPr>
          <w:bCs/>
          <w:color w:val="002060"/>
          <w:sz w:val="16"/>
          <w:szCs w:val="16"/>
          <w:lang w:bidi="en-US"/>
        </w:rPr>
        <w:t>1 (14) мая 1915 г. 1-му боевому отряду ЭВК с ИМ-</w:t>
      </w:r>
      <w:r w:rsidRPr="00405303">
        <w:rPr>
          <w:bCs/>
          <w:color w:val="002060"/>
          <w:sz w:val="16"/>
          <w:szCs w:val="16"/>
          <w:lang w:val="en-US" w:bidi="en-US"/>
        </w:rPr>
        <w:t>III</w:t>
      </w:r>
      <w:r w:rsidRPr="00405303">
        <w:rPr>
          <w:bCs/>
          <w:color w:val="002060"/>
          <w:sz w:val="16"/>
          <w:szCs w:val="16"/>
          <w:lang w:bidi="en-US"/>
        </w:rPr>
        <w:t xml:space="preserve"> и ИМ-Киевским было приказано двигаться из Яблонны в Лемберг на фронте 3-й армии. Он прибыл туда между 24 и 27 числами месяца. Поручик И.С. Башко был в командовал ИМ-Киевский, а ИМ-</w:t>
      </w:r>
      <w:r w:rsidRPr="00405303">
        <w:rPr>
          <w:bCs/>
          <w:color w:val="002060"/>
          <w:sz w:val="16"/>
          <w:szCs w:val="16"/>
          <w:lang w:val="en-US" w:bidi="en-US"/>
        </w:rPr>
        <w:t>III</w:t>
      </w:r>
      <w:r w:rsidRPr="00405303">
        <w:rPr>
          <w:bCs/>
          <w:color w:val="002060"/>
          <w:sz w:val="16"/>
          <w:szCs w:val="16"/>
          <w:lang w:bidi="en-US"/>
        </w:rPr>
        <w:t xml:space="preserve"> - Поручик Д.А. Озерский. Быстрое наступление немцев в Галиции вскоре вынудило ИМ-</w:t>
      </w:r>
      <w:r w:rsidRPr="00405303">
        <w:rPr>
          <w:bCs/>
          <w:color w:val="002060"/>
          <w:sz w:val="16"/>
          <w:szCs w:val="16"/>
          <w:lang w:val="en-US" w:bidi="en-US"/>
        </w:rPr>
        <w:t>III</w:t>
      </w:r>
      <w:r w:rsidRPr="00405303">
        <w:rPr>
          <w:bCs/>
          <w:color w:val="002060"/>
          <w:sz w:val="16"/>
          <w:szCs w:val="16"/>
          <w:lang w:bidi="en-US"/>
        </w:rPr>
        <w:t xml:space="preserve"> и ИМ-Киевский перебраться из Лемберга на новый аэродром в Люблине, который был непригоден, поэтому они перебрались во Влодаву. Штаб ЭВК Шидловского находился в Лиде. Он никогда не летал ни </w:t>
      </w:r>
      <w:proofErr w:type="gramStart"/>
      <w:r w:rsidRPr="00405303">
        <w:rPr>
          <w:bCs/>
          <w:color w:val="002060"/>
          <w:sz w:val="16"/>
          <w:szCs w:val="16"/>
          <w:lang w:bidi="en-US"/>
        </w:rPr>
        <w:t>на каких самолетах</w:t>
      </w:r>
      <w:proofErr w:type="gramEnd"/>
      <w:r w:rsidRPr="00405303">
        <w:rPr>
          <w:bCs/>
          <w:color w:val="002060"/>
          <w:sz w:val="16"/>
          <w:szCs w:val="16"/>
          <w:lang w:bidi="en-US"/>
        </w:rPr>
        <w:t xml:space="preserve"> ни до, ни во время войны, в том числе на своих ИМ (23525).</w:t>
      </w:r>
    </w:p>
    <w:p w14:paraId="04F425EF" w14:textId="77777777" w:rsidR="00C369D7" w:rsidRPr="00405303" w:rsidRDefault="00C369D7" w:rsidP="00C15251">
      <w:pPr>
        <w:jc w:val="both"/>
        <w:rPr>
          <w:bCs/>
          <w:color w:val="002060"/>
          <w:sz w:val="16"/>
          <w:szCs w:val="16"/>
        </w:rPr>
      </w:pPr>
    </w:p>
    <w:p w14:paraId="019EBCBB" w14:textId="0F9D2C13" w:rsidR="00B66E3C" w:rsidRPr="00405303" w:rsidRDefault="00B66E3C" w:rsidP="00C15251">
      <w:pPr>
        <w:jc w:val="both"/>
        <w:rPr>
          <w:bCs/>
          <w:color w:val="002060"/>
          <w:sz w:val="16"/>
          <w:szCs w:val="16"/>
        </w:rPr>
      </w:pPr>
      <w:r w:rsidRPr="00405303">
        <w:rPr>
          <w:bCs/>
          <w:color w:val="002060"/>
          <w:sz w:val="16"/>
          <w:szCs w:val="16"/>
        </w:rPr>
        <w:t>1 (14) мая 1915 г. объектом нападения вновь стал г. Ясло. На городскую железнодорожную станцию противник сбросил 13 авиабомб. По счастливой случайности обошлось без человеческих жертв (23405).</w:t>
      </w:r>
    </w:p>
    <w:p w14:paraId="41BB0902" w14:textId="77777777" w:rsidR="00B66E3C" w:rsidRPr="00405303" w:rsidRDefault="00B66E3C" w:rsidP="00C15251">
      <w:pPr>
        <w:jc w:val="both"/>
        <w:rPr>
          <w:bCs/>
          <w:color w:val="002060"/>
          <w:sz w:val="16"/>
          <w:szCs w:val="16"/>
        </w:rPr>
      </w:pPr>
    </w:p>
    <w:p w14:paraId="6964FED8" w14:textId="77777777" w:rsidR="0023540E" w:rsidRPr="00405303" w:rsidRDefault="0023540E" w:rsidP="0023540E">
      <w:pPr>
        <w:jc w:val="both"/>
        <w:rPr>
          <w:color w:val="0070C0"/>
          <w:sz w:val="16"/>
          <w:szCs w:val="16"/>
        </w:rPr>
      </w:pPr>
      <w:r w:rsidRPr="00405303">
        <w:rPr>
          <w:rStyle w:val="aa"/>
          <w:rFonts w:ascii="Times New Roman" w:hAnsi="Times New Roman"/>
          <w:color w:val="0070C0"/>
          <w:spacing w:val="0"/>
          <w:sz w:val="16"/>
          <w:szCs w:val="16"/>
        </w:rPr>
        <w:t>1 (14) мая 1915 г. специальное делопроизводство управления генерал-квартирмейстера штаба армии, созданное в апреле 1915 года, разработало «Инструкции начальнику воздушной обороны Петрограда и Царского Села», которыми объединялись ранее самостоятельные структуры воздухообороны г. Петроград и Императорской резиденции в Царском Селе. Новый документ отменял предыдущую Инструкцию от 30 ноября 1914 года, и впервые предусматривал создание при начальнике ВоздО района специального рабочего органа - штаба воздушной обороны Петрограда и Царского Села (руководитель - капитан А.И. Бениксон, начальник телеграфно-телефонной сети позиции артиллерии Петроградского укрепленного района). Одновременно Инструкция значительно расширяла права и должностные обязанности самого начальника ВоздО, а также учреждала институт его заместителей и помощников.</w:t>
      </w:r>
    </w:p>
    <w:p w14:paraId="6291978F" w14:textId="77777777" w:rsidR="0023540E" w:rsidRPr="00405303" w:rsidRDefault="0023540E" w:rsidP="0023540E">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Территориально штаб воздушной обороны размещался в Петрограде в здании Офицерской электротехнической школы, заменив собой и значительно расширив функции центрального командного пункта столичной ВоздО. Помимо сбора и обобщения поступавшей информации, штаб также решал задачи управленческого характера. С целью проверки состояния боеготовности подчиненных подразделений (команд) вводилась практика объявления «ложных» воздушных тревог (25166).</w:t>
      </w:r>
    </w:p>
    <w:p w14:paraId="067022CB" w14:textId="77777777" w:rsidR="0023540E" w:rsidRPr="00405303" w:rsidRDefault="0023540E" w:rsidP="0023540E">
      <w:pPr>
        <w:jc w:val="both"/>
        <w:rPr>
          <w:color w:val="0070C0"/>
          <w:sz w:val="16"/>
          <w:szCs w:val="16"/>
        </w:rPr>
      </w:pPr>
    </w:p>
    <w:p w14:paraId="0A770280" w14:textId="77777777" w:rsidR="00D340DA" w:rsidRPr="00405303" w:rsidRDefault="00D340DA" w:rsidP="00C15251">
      <w:pPr>
        <w:jc w:val="both"/>
        <w:rPr>
          <w:bCs/>
          <w:i/>
          <w:color w:val="002060"/>
          <w:sz w:val="16"/>
          <w:szCs w:val="16"/>
        </w:rPr>
      </w:pPr>
      <w:r w:rsidRPr="00405303">
        <w:rPr>
          <w:bCs/>
          <w:i/>
          <w:color w:val="002060"/>
          <w:sz w:val="16"/>
          <w:szCs w:val="16"/>
        </w:rPr>
        <w:t>За рубежом:</w:t>
      </w:r>
    </w:p>
    <w:p w14:paraId="12A796BC" w14:textId="77777777" w:rsidR="00D340DA" w:rsidRPr="00405303" w:rsidRDefault="00D340DA" w:rsidP="00C15251">
      <w:pPr>
        <w:jc w:val="both"/>
        <w:rPr>
          <w:bCs/>
          <w:color w:val="002060"/>
          <w:sz w:val="16"/>
          <w:szCs w:val="16"/>
        </w:rPr>
      </w:pPr>
    </w:p>
    <w:p w14:paraId="424E608C" w14:textId="77777777" w:rsidR="00D340DA" w:rsidRPr="00405303" w:rsidRDefault="00D340DA" w:rsidP="00C15251">
      <w:pPr>
        <w:jc w:val="both"/>
        <w:rPr>
          <w:bCs/>
          <w:color w:val="002060"/>
          <w:sz w:val="16"/>
          <w:szCs w:val="16"/>
        </w:rPr>
      </w:pPr>
      <w:r w:rsidRPr="00405303">
        <w:rPr>
          <w:bCs/>
          <w:color w:val="002060"/>
          <w:sz w:val="16"/>
          <w:szCs w:val="16"/>
        </w:rPr>
        <w:t>1 (14) мая в 1915 году из Великобритании начата высылка всех лиц, заподозренных в сотрудничестве с неприятельскими государствами (14891).</w:t>
      </w:r>
    </w:p>
    <w:p w14:paraId="53DAA1D1" w14:textId="10A6D608" w:rsidR="00D340DA" w:rsidRPr="00405303" w:rsidRDefault="00D340DA" w:rsidP="00C15251">
      <w:pPr>
        <w:jc w:val="both"/>
        <w:rPr>
          <w:bCs/>
          <w:color w:val="002060"/>
          <w:sz w:val="16"/>
          <w:szCs w:val="16"/>
        </w:rPr>
      </w:pPr>
    </w:p>
    <w:p w14:paraId="6B6DAB93" w14:textId="685CBCFF" w:rsidR="00FF5C7B" w:rsidRPr="00405303" w:rsidRDefault="00FF5C7B" w:rsidP="00C15251">
      <w:pPr>
        <w:jc w:val="both"/>
        <w:rPr>
          <w:bCs/>
          <w:i/>
          <w:iCs/>
          <w:color w:val="002060"/>
          <w:sz w:val="16"/>
          <w:szCs w:val="16"/>
        </w:rPr>
      </w:pPr>
      <w:r w:rsidRPr="00405303">
        <w:rPr>
          <w:bCs/>
          <w:i/>
          <w:iCs/>
          <w:color w:val="002060"/>
          <w:sz w:val="16"/>
          <w:szCs w:val="16"/>
        </w:rPr>
        <w:t>Авиация:</w:t>
      </w:r>
    </w:p>
    <w:p w14:paraId="0ACCAD7A" w14:textId="77777777" w:rsidR="00FF5C7B" w:rsidRPr="00405303" w:rsidRDefault="00FF5C7B" w:rsidP="00C15251">
      <w:pPr>
        <w:jc w:val="both"/>
        <w:rPr>
          <w:bCs/>
          <w:color w:val="002060"/>
          <w:sz w:val="16"/>
          <w:szCs w:val="16"/>
        </w:rPr>
      </w:pPr>
    </w:p>
    <w:p w14:paraId="03759874" w14:textId="77777777" w:rsidR="00FF5C7B" w:rsidRPr="00405303" w:rsidRDefault="00FF5C7B" w:rsidP="00C15251">
      <w:pPr>
        <w:jc w:val="both"/>
        <w:rPr>
          <w:bCs/>
          <w:color w:val="002060"/>
          <w:sz w:val="16"/>
          <w:szCs w:val="16"/>
        </w:rPr>
      </w:pPr>
      <w:r w:rsidRPr="00405303">
        <w:rPr>
          <w:bCs/>
          <w:color w:val="002060"/>
          <w:sz w:val="16"/>
          <w:szCs w:val="16"/>
        </w:rPr>
        <w:lastRenderedPageBreak/>
        <w:t>2 (15) мая 1915 г. приказом ВГК № 337 Добровольческий авиационный отряд переведен из нештатного в штатный с переименованием в 34-й корпус</w:t>
      </w:r>
      <w:r w:rsidRPr="00405303">
        <w:rPr>
          <w:bCs/>
          <w:color w:val="002060"/>
          <w:sz w:val="16"/>
          <w:szCs w:val="16"/>
        </w:rPr>
        <w:softHyphen/>
        <w:t>ной авиаотряд.</w:t>
      </w:r>
    </w:p>
    <w:p w14:paraId="51663A5C" w14:textId="77777777" w:rsidR="00FF5C7B" w:rsidRPr="00405303" w:rsidRDefault="00FF5C7B" w:rsidP="00C15251">
      <w:pPr>
        <w:jc w:val="both"/>
        <w:rPr>
          <w:bCs/>
          <w:color w:val="002060"/>
          <w:sz w:val="16"/>
          <w:szCs w:val="16"/>
        </w:rPr>
      </w:pPr>
      <w:r w:rsidRPr="00405303">
        <w:rPr>
          <w:bCs/>
          <w:color w:val="002060"/>
          <w:sz w:val="16"/>
          <w:szCs w:val="16"/>
        </w:rPr>
        <w:t>/ЦГВИА, ф. 2003, оп. 1, д. 1224, Л. 219/ (23320).</w:t>
      </w:r>
    </w:p>
    <w:p w14:paraId="59D9B94E" w14:textId="77777777" w:rsidR="00FF5C7B" w:rsidRPr="00405303" w:rsidRDefault="00FF5C7B" w:rsidP="00C15251">
      <w:pPr>
        <w:jc w:val="both"/>
        <w:rPr>
          <w:bCs/>
          <w:color w:val="002060"/>
          <w:sz w:val="16"/>
          <w:szCs w:val="16"/>
        </w:rPr>
      </w:pPr>
    </w:p>
    <w:p w14:paraId="2E043E70" w14:textId="77777777" w:rsidR="00FF5C7B" w:rsidRPr="00405303" w:rsidRDefault="00FF5C7B" w:rsidP="00C15251">
      <w:pPr>
        <w:jc w:val="both"/>
        <w:rPr>
          <w:bCs/>
          <w:color w:val="002060"/>
          <w:sz w:val="16"/>
          <w:szCs w:val="16"/>
        </w:rPr>
      </w:pPr>
      <w:bookmarkStart w:id="124" w:name="_Hlk117613714"/>
      <w:r w:rsidRPr="00405303">
        <w:rPr>
          <w:bCs/>
          <w:color w:val="002060"/>
          <w:sz w:val="16"/>
          <w:szCs w:val="16"/>
        </w:rPr>
        <w:t>2 (15) мая и 1 (14) 1915 года два крупных четырехмоторных самолета типа "Илья Муромец приземлились во Львове. Их разместили в обширном элинге для дирижаблей на Левандовском аэродроме. В июне 1915 года во Львов вновь вступили австрийские войска, и на Левандовке вновь разместилось австрийское авиационное поразделение. В 1917-18 годах, когда Львов оказался в глубоком тылу, подразделение на аэродроме "Левандовка" получило статус этапного авиационного парка № 4, в котором ремонтировали боевые самолеты. В конце марта 1918 года через Львов пролегла одна из первых в мире регклярных линий авиапочтовой связи, которая была создана австрийской армией. С 20 марта 1918 года она функционировала по маршруту Вена - Краков - Львов - Проскуров (ныне Хмельницкий) - Киев. Корреспонденцию, бандероли и иные отправления специальные курьеры доставляли львовянам уже через несколько часов после приземления самолетов. Авиалиния действовала регулярно и постоянно до 5 ноября 1918 года. Перелет начинался из Вены в 4 ч. 30 мин. утра, а заканчивался в Киеве в 17 ч. 30 мин. То есть, расстояние в 1200 километров преодолевалось за 13 часов, а не за двое суток, как на железнодорожном транспорте в то время (12298).</w:t>
      </w:r>
    </w:p>
    <w:p w14:paraId="73DC20F5" w14:textId="77777777" w:rsidR="00FF5C7B" w:rsidRPr="00405303" w:rsidRDefault="00FF5C7B" w:rsidP="00C15251">
      <w:pPr>
        <w:jc w:val="both"/>
        <w:rPr>
          <w:bCs/>
          <w:color w:val="002060"/>
          <w:sz w:val="16"/>
          <w:szCs w:val="16"/>
        </w:rPr>
      </w:pPr>
    </w:p>
    <w:p w14:paraId="74F8E7E3" w14:textId="76ED1C60" w:rsidR="00B66E3C" w:rsidRPr="00405303" w:rsidRDefault="00B66E3C" w:rsidP="00C15251">
      <w:pPr>
        <w:jc w:val="both"/>
        <w:rPr>
          <w:bCs/>
          <w:color w:val="002060"/>
          <w:sz w:val="16"/>
          <w:szCs w:val="16"/>
        </w:rPr>
      </w:pPr>
      <w:bookmarkStart w:id="125" w:name="bookmark172"/>
      <w:bookmarkStart w:id="126" w:name="bookmark173"/>
      <w:bookmarkStart w:id="127" w:name="bookmark174"/>
      <w:bookmarkEnd w:id="124"/>
      <w:r w:rsidRPr="00405303">
        <w:rPr>
          <w:bCs/>
          <w:color w:val="002060"/>
          <w:sz w:val="16"/>
          <w:szCs w:val="16"/>
        </w:rPr>
        <w:t>2 (15) мая - 22 июня 1915 г. в период проведения противником Ясло-Горлицкой наступательной операции с целью овладения Восточной Галицией с его стороны были задействованы внушительные воздушные силы, решавшие преимущественно разведывательные задачи. В подчинение командующему 11-й немецкой армией генералу А. фон Макензену были приданы боевая эскадрилья (ранее переброшена в г. Краков из Восточной Пруссии) и три авиаотряда. О работе авиации во время последовавших военных действий начальник штаба одного из участвовавших в них корпусов сказал следующее: «Кавалерия оказывалась совершенно бессильной, как только наталкивалась на сопротивление. В течение этого времени нам помогали почти исключительно летчики, снабжая нас точными разведывательными сведениями, на основании которых мы принимали все решения. Большинство этих отважных людей погибло».</w:t>
      </w:r>
      <w:bookmarkEnd w:id="125"/>
      <w:bookmarkEnd w:id="126"/>
      <w:bookmarkEnd w:id="127"/>
    </w:p>
    <w:p w14:paraId="0BE4F72A" w14:textId="77777777" w:rsidR="00B66E3C" w:rsidRPr="00405303" w:rsidRDefault="00B66E3C" w:rsidP="00C15251">
      <w:pPr>
        <w:jc w:val="both"/>
        <w:rPr>
          <w:bCs/>
          <w:color w:val="002060"/>
          <w:sz w:val="16"/>
          <w:szCs w:val="16"/>
        </w:rPr>
      </w:pPr>
      <w:bookmarkStart w:id="128" w:name="bookmark175"/>
      <w:r w:rsidRPr="00405303">
        <w:rPr>
          <w:bCs/>
          <w:color w:val="002060"/>
          <w:sz w:val="16"/>
          <w:szCs w:val="16"/>
        </w:rPr>
        <w:t>Неприятельские экипажи постоянно ощущали давление со стороны русской авиации и зенитной артиллерии не только над передовыми позициями, но и в тылу. По этому поводу на страницах «Русского инвалида», в частности, отмечалось: «Над некоторыми нашими пунктами появлялись немецкие летчики, которые быстро прогонялись нашим артиллерийским огнем» (23405).</w:t>
      </w:r>
      <w:bookmarkEnd w:id="128"/>
    </w:p>
    <w:p w14:paraId="69EAB7EF" w14:textId="77777777" w:rsidR="00B66E3C" w:rsidRPr="00405303" w:rsidRDefault="00B66E3C" w:rsidP="00C15251">
      <w:pPr>
        <w:jc w:val="both"/>
        <w:rPr>
          <w:bCs/>
          <w:color w:val="002060"/>
          <w:sz w:val="16"/>
          <w:szCs w:val="16"/>
        </w:rPr>
      </w:pPr>
    </w:p>
    <w:p w14:paraId="057EA94B"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673157F8" w14:textId="77777777" w:rsidR="004B4E35" w:rsidRPr="00405303" w:rsidRDefault="004B4E35" w:rsidP="00C15251">
      <w:pPr>
        <w:shd w:val="clear" w:color="auto" w:fill="FFFFFF"/>
        <w:jc w:val="both"/>
        <w:rPr>
          <w:bCs/>
          <w:i/>
          <w:color w:val="002060"/>
          <w:sz w:val="16"/>
          <w:szCs w:val="16"/>
        </w:rPr>
      </w:pPr>
    </w:p>
    <w:p w14:paraId="6B08A7FF" w14:textId="73A7C32E" w:rsidR="004B4E35" w:rsidRPr="00405303" w:rsidRDefault="00BE044B" w:rsidP="00C15251">
      <w:pPr>
        <w:jc w:val="both"/>
        <w:rPr>
          <w:bCs/>
          <w:color w:val="002060"/>
          <w:sz w:val="16"/>
          <w:szCs w:val="16"/>
        </w:rPr>
      </w:pPr>
      <w:r w:rsidRPr="00405303">
        <w:rPr>
          <w:bCs/>
          <w:color w:val="002060"/>
          <w:sz w:val="16"/>
          <w:szCs w:val="16"/>
        </w:rPr>
        <w:t xml:space="preserve">2 (15) </w:t>
      </w:r>
      <w:r w:rsidR="009E6F82" w:rsidRPr="00405303">
        <w:rPr>
          <w:bCs/>
          <w:color w:val="002060"/>
          <w:sz w:val="16"/>
          <w:szCs w:val="16"/>
        </w:rPr>
        <w:t xml:space="preserve">мая 1915 </w:t>
      </w:r>
      <w:r w:rsidRPr="00405303">
        <w:rPr>
          <w:bCs/>
          <w:color w:val="002060"/>
          <w:sz w:val="16"/>
          <w:szCs w:val="16"/>
        </w:rPr>
        <w:t xml:space="preserve">г. </w:t>
      </w:r>
      <w:r w:rsidR="009E6F82" w:rsidRPr="00405303">
        <w:rPr>
          <w:bCs/>
          <w:color w:val="002060"/>
          <w:sz w:val="16"/>
          <w:szCs w:val="16"/>
        </w:rPr>
        <w:t>«Орлицу» ввели в Константнновский док Кронштадта для окраски подводной части. Выполнение дополнительных работ, по указаниям наблюдающего за переоборудованием полковника Корпуса корабельных инженеров И.Е.Храповицкого (официальная должность — корабельный инженер, наблюдающий за постройкой легких крейсеров «Адмирал Бутаков» и «Адмирал Спиридов» на Путиловской верфи) и командира судна капитана 2 ранга Б.П.Дудорова, задержало готовность до 27 июня. Однако мелкие работы (на сумму около 35 тыс. руб.) на «Орлице» выполнялись вплоть до ноября 1915 года, даже в период ее участия в боевых действиях (11333).</w:t>
      </w:r>
    </w:p>
    <w:p w14:paraId="4621D8D9" w14:textId="77777777" w:rsidR="004B4E35" w:rsidRPr="00405303" w:rsidRDefault="004B4E35" w:rsidP="00C15251">
      <w:pPr>
        <w:shd w:val="clear" w:color="auto" w:fill="FFFFFF"/>
        <w:jc w:val="both"/>
        <w:rPr>
          <w:bCs/>
          <w:color w:val="002060"/>
          <w:sz w:val="16"/>
          <w:szCs w:val="16"/>
        </w:rPr>
      </w:pPr>
    </w:p>
    <w:p w14:paraId="1B88D660" w14:textId="77777777" w:rsidR="00D340DA" w:rsidRPr="00405303" w:rsidRDefault="00D340DA" w:rsidP="00C15251">
      <w:pPr>
        <w:jc w:val="both"/>
        <w:rPr>
          <w:bCs/>
          <w:i/>
          <w:color w:val="002060"/>
          <w:sz w:val="16"/>
          <w:szCs w:val="16"/>
        </w:rPr>
      </w:pPr>
      <w:r w:rsidRPr="00405303">
        <w:rPr>
          <w:bCs/>
          <w:i/>
          <w:color w:val="002060"/>
          <w:sz w:val="16"/>
          <w:szCs w:val="16"/>
        </w:rPr>
        <w:t>Армия:</w:t>
      </w:r>
    </w:p>
    <w:p w14:paraId="6B94D6AC" w14:textId="77777777" w:rsidR="00D340DA" w:rsidRPr="00405303" w:rsidRDefault="00D340DA" w:rsidP="00C15251">
      <w:pPr>
        <w:jc w:val="both"/>
        <w:rPr>
          <w:bCs/>
          <w:i/>
          <w:color w:val="002060"/>
          <w:sz w:val="16"/>
          <w:szCs w:val="16"/>
        </w:rPr>
      </w:pPr>
    </w:p>
    <w:p w14:paraId="47FC6E5C" w14:textId="72A7FE15" w:rsidR="00D340DA" w:rsidRPr="00405303" w:rsidRDefault="00D340DA" w:rsidP="00C15251">
      <w:pPr>
        <w:pStyle w:val="20"/>
        <w:shd w:val="clear" w:color="auto" w:fill="auto"/>
        <w:spacing w:after="0" w:line="240" w:lineRule="auto"/>
        <w:ind w:firstLine="0"/>
        <w:jc w:val="both"/>
        <w:rPr>
          <w:rFonts w:ascii="Times New Roman" w:hAnsi="Times New Roman"/>
          <w:bCs/>
          <w:color w:val="002060"/>
          <w:spacing w:val="0"/>
          <w:sz w:val="16"/>
          <w:szCs w:val="16"/>
        </w:rPr>
      </w:pPr>
      <w:r w:rsidRPr="00405303">
        <w:rPr>
          <w:rFonts w:ascii="Times New Roman" w:hAnsi="Times New Roman"/>
          <w:bCs/>
          <w:color w:val="002060"/>
          <w:spacing w:val="0"/>
          <w:sz w:val="16"/>
          <w:szCs w:val="16"/>
        </w:rPr>
        <w:t xml:space="preserve">2 </w:t>
      </w:r>
      <w:r w:rsidR="00BE044B" w:rsidRPr="00405303">
        <w:rPr>
          <w:rFonts w:ascii="Times New Roman" w:hAnsi="Times New Roman"/>
          <w:bCs/>
          <w:color w:val="002060"/>
          <w:spacing w:val="0"/>
          <w:sz w:val="16"/>
          <w:szCs w:val="16"/>
        </w:rPr>
        <w:t xml:space="preserve">(15) </w:t>
      </w:r>
      <w:r w:rsidRPr="00405303">
        <w:rPr>
          <w:rFonts w:ascii="Times New Roman" w:hAnsi="Times New Roman"/>
          <w:bCs/>
          <w:color w:val="002060"/>
          <w:spacing w:val="0"/>
          <w:sz w:val="16"/>
          <w:szCs w:val="16"/>
        </w:rPr>
        <w:t>мая 1915 года начался знаменитый Горлицкий прорыв генерала Августа фон Макензена. На 35-километировом участке германские и австрийские войска сосредоточили 10 пехотных и 1 кавалерийскую дивизию: 126 тысяч штыков и сабель, 457 легких и 159 тяжелых орудий, 96 минометов и 260 пулеметов. «Таран Макензена» — как впоследствии назвали историки этот ужасающей силы немецко-австрийский удар — прокладывал себе путь через русские окопы с помощью массированной бомбардировки из сотен орудий, включая сверхтяжелые 305-мм гаубицы. Русским солдатам адекватно ответить на немецкий вызов было попросту нечем.</w:t>
      </w:r>
    </w:p>
    <w:p w14:paraId="3A228C39" w14:textId="77777777" w:rsidR="00D340DA" w:rsidRPr="00405303" w:rsidRDefault="00D340DA" w:rsidP="00C15251">
      <w:pPr>
        <w:pStyle w:val="20"/>
        <w:shd w:val="clear" w:color="auto" w:fill="auto"/>
        <w:spacing w:after="0" w:line="240" w:lineRule="auto"/>
        <w:ind w:firstLine="0"/>
        <w:jc w:val="both"/>
        <w:rPr>
          <w:rFonts w:ascii="Times New Roman" w:hAnsi="Times New Roman"/>
          <w:bCs/>
          <w:color w:val="002060"/>
          <w:spacing w:val="0"/>
          <w:sz w:val="16"/>
          <w:szCs w:val="16"/>
        </w:rPr>
      </w:pPr>
      <w:r w:rsidRPr="00405303">
        <w:rPr>
          <w:rFonts w:ascii="Times New Roman" w:hAnsi="Times New Roman"/>
          <w:bCs/>
          <w:color w:val="002060"/>
          <w:spacing w:val="0"/>
          <w:sz w:val="16"/>
          <w:szCs w:val="16"/>
        </w:rPr>
        <w:t>«Немцы вспахивают поля сражений градом металла и ровняют с землей окопы и сооружения, — телеграфировал в Петербург командир 29-го корпуса генерал Д.П. Зуев, — заваливают их защитников землей. Они тратят металл, мы — человеческие жизни! Они идут вперед, окрыленные успехом, и потому дерзают, мы же ценою тяжких потерь и пролитой крови лишь отбиваемся и отходим» (15230).</w:t>
      </w:r>
    </w:p>
    <w:p w14:paraId="5A6A4783" w14:textId="77777777" w:rsidR="00D340DA" w:rsidRPr="00405303" w:rsidRDefault="00D340DA" w:rsidP="00C15251">
      <w:pPr>
        <w:pStyle w:val="20"/>
        <w:shd w:val="clear" w:color="auto" w:fill="auto"/>
        <w:spacing w:after="0" w:line="240" w:lineRule="auto"/>
        <w:ind w:firstLine="0"/>
        <w:jc w:val="both"/>
        <w:rPr>
          <w:rFonts w:ascii="Times New Roman" w:hAnsi="Times New Roman"/>
          <w:bCs/>
          <w:color w:val="002060"/>
          <w:spacing w:val="0"/>
          <w:sz w:val="16"/>
          <w:szCs w:val="16"/>
        </w:rPr>
      </w:pPr>
    </w:p>
    <w:p w14:paraId="3A466081" w14:textId="0B441087" w:rsidR="00D340DA" w:rsidRPr="00405303" w:rsidRDefault="00D340DA" w:rsidP="00C15251">
      <w:pPr>
        <w:jc w:val="both"/>
        <w:rPr>
          <w:bCs/>
          <w:color w:val="002060"/>
          <w:sz w:val="16"/>
          <w:szCs w:val="16"/>
        </w:rPr>
      </w:pPr>
      <w:r w:rsidRPr="00405303">
        <w:rPr>
          <w:bCs/>
          <w:color w:val="002060"/>
          <w:sz w:val="16"/>
          <w:szCs w:val="16"/>
        </w:rPr>
        <w:t xml:space="preserve">2 </w:t>
      </w:r>
      <w:r w:rsidR="00BE044B" w:rsidRPr="00405303">
        <w:rPr>
          <w:bCs/>
          <w:color w:val="002060"/>
          <w:sz w:val="16"/>
          <w:szCs w:val="16"/>
        </w:rPr>
        <w:t xml:space="preserve">(15) </w:t>
      </w:r>
      <w:r w:rsidRPr="00405303">
        <w:rPr>
          <w:bCs/>
          <w:color w:val="002060"/>
          <w:sz w:val="16"/>
          <w:szCs w:val="16"/>
        </w:rPr>
        <w:t>мая в 1915 году начало крупного наступления австро-германских войск. Прорыв фронта в районе Горлицы, в Галиции (14879).</w:t>
      </w:r>
    </w:p>
    <w:p w14:paraId="38F10EA1" w14:textId="77777777" w:rsidR="00D340DA" w:rsidRPr="00405303" w:rsidRDefault="00D340DA" w:rsidP="00C15251">
      <w:pPr>
        <w:jc w:val="both"/>
        <w:rPr>
          <w:bCs/>
          <w:color w:val="002060"/>
          <w:sz w:val="16"/>
          <w:szCs w:val="16"/>
        </w:rPr>
      </w:pPr>
    </w:p>
    <w:p w14:paraId="12CB0132" w14:textId="7676508E" w:rsidR="00D340DA" w:rsidRPr="00405303" w:rsidRDefault="00D340DA" w:rsidP="00C15251">
      <w:pPr>
        <w:jc w:val="both"/>
        <w:rPr>
          <w:bCs/>
          <w:color w:val="002060"/>
          <w:sz w:val="16"/>
          <w:szCs w:val="16"/>
        </w:rPr>
      </w:pPr>
      <w:r w:rsidRPr="00405303">
        <w:rPr>
          <w:bCs/>
          <w:color w:val="002060"/>
          <w:sz w:val="16"/>
          <w:szCs w:val="16"/>
        </w:rPr>
        <w:t xml:space="preserve">2 </w:t>
      </w:r>
      <w:r w:rsidR="00BE044B" w:rsidRPr="00405303">
        <w:rPr>
          <w:bCs/>
          <w:color w:val="002060"/>
          <w:sz w:val="16"/>
          <w:szCs w:val="16"/>
        </w:rPr>
        <w:t xml:space="preserve">(15) </w:t>
      </w:r>
      <w:r w:rsidRPr="00405303">
        <w:rPr>
          <w:bCs/>
          <w:color w:val="002060"/>
          <w:sz w:val="16"/>
          <w:szCs w:val="16"/>
        </w:rPr>
        <w:t>мая в 1915 году немецкие войска прорывают 48-километровый русский фронт, начиная массированное наступление в Польше (14879).</w:t>
      </w:r>
    </w:p>
    <w:p w14:paraId="10F99251" w14:textId="572185C9" w:rsidR="00D340DA" w:rsidRPr="00405303" w:rsidRDefault="00D340DA" w:rsidP="00C15251">
      <w:pPr>
        <w:jc w:val="both"/>
        <w:rPr>
          <w:bCs/>
          <w:color w:val="002060"/>
          <w:sz w:val="16"/>
          <w:szCs w:val="16"/>
        </w:rPr>
      </w:pPr>
    </w:p>
    <w:p w14:paraId="71B6416C" w14:textId="0DBCDAE4" w:rsidR="00C369D7" w:rsidRPr="00405303" w:rsidRDefault="00C369D7" w:rsidP="00C15251">
      <w:pPr>
        <w:jc w:val="both"/>
        <w:rPr>
          <w:bCs/>
          <w:color w:val="002060"/>
          <w:sz w:val="16"/>
          <w:szCs w:val="16"/>
        </w:rPr>
      </w:pPr>
      <w:r w:rsidRPr="00405303">
        <w:rPr>
          <w:bCs/>
          <w:color w:val="002060"/>
          <w:sz w:val="16"/>
          <w:szCs w:val="16"/>
          <w:lang w:bidi="en-US"/>
        </w:rPr>
        <w:t>2 (15) мая 1915 г. штаб Ставки издал приказ о переименовании Добровольческого АО в 34-й КАО. Он должен был служить в составе 6-й армии на Северном фронте (23525).</w:t>
      </w:r>
    </w:p>
    <w:p w14:paraId="77F8BAE6" w14:textId="77777777" w:rsidR="00C369D7" w:rsidRPr="00405303" w:rsidRDefault="00C369D7" w:rsidP="00C15251">
      <w:pPr>
        <w:jc w:val="both"/>
        <w:rPr>
          <w:bCs/>
          <w:color w:val="002060"/>
          <w:sz w:val="16"/>
          <w:szCs w:val="16"/>
          <w:lang w:bidi="en-US"/>
        </w:rPr>
      </w:pPr>
    </w:p>
    <w:p w14:paraId="3C16577F" w14:textId="5F3F2A6A" w:rsidR="00C524DD" w:rsidRPr="00405303" w:rsidRDefault="00C524DD" w:rsidP="00C15251">
      <w:pPr>
        <w:jc w:val="both"/>
        <w:rPr>
          <w:bCs/>
          <w:i/>
          <w:iCs/>
          <w:color w:val="002060"/>
          <w:sz w:val="16"/>
          <w:szCs w:val="16"/>
        </w:rPr>
      </w:pPr>
      <w:r w:rsidRPr="00405303">
        <w:rPr>
          <w:bCs/>
          <w:i/>
          <w:iCs/>
          <w:color w:val="002060"/>
          <w:sz w:val="16"/>
          <w:szCs w:val="16"/>
        </w:rPr>
        <w:t>За рубежом:</w:t>
      </w:r>
    </w:p>
    <w:p w14:paraId="450F3EB5" w14:textId="77777777" w:rsidR="00C524DD" w:rsidRPr="00405303" w:rsidRDefault="00C524DD" w:rsidP="00C15251">
      <w:pPr>
        <w:jc w:val="both"/>
        <w:rPr>
          <w:bCs/>
          <w:i/>
          <w:iCs/>
          <w:color w:val="002060"/>
          <w:sz w:val="16"/>
          <w:szCs w:val="16"/>
        </w:rPr>
      </w:pPr>
    </w:p>
    <w:p w14:paraId="4534438C" w14:textId="4794EA5D" w:rsidR="00C524DD" w:rsidRPr="00405303" w:rsidRDefault="00C524DD" w:rsidP="00C15251">
      <w:pPr>
        <w:jc w:val="both"/>
        <w:rPr>
          <w:rFonts w:eastAsia="Times-Roman"/>
          <w:bCs/>
          <w:color w:val="002060"/>
          <w:sz w:val="16"/>
          <w:szCs w:val="16"/>
        </w:rPr>
      </w:pPr>
      <w:r w:rsidRPr="00405303">
        <w:rPr>
          <w:rFonts w:eastAsia="Times-Roman"/>
          <w:bCs/>
          <w:color w:val="002060"/>
          <w:sz w:val="16"/>
          <w:szCs w:val="16"/>
        </w:rPr>
        <w:t>2</w:t>
      </w:r>
      <w:r w:rsidRPr="00405303">
        <w:rPr>
          <w:rFonts w:eastAsia="TimesNewRoman"/>
          <w:bCs/>
          <w:color w:val="002060"/>
          <w:sz w:val="16"/>
          <w:szCs w:val="16"/>
        </w:rPr>
        <w:t xml:space="preserve"> (15)</w:t>
      </w:r>
      <w:r w:rsidRPr="00405303">
        <w:rPr>
          <w:rFonts w:eastAsia="Times-Roman"/>
          <w:bCs/>
          <w:color w:val="002060"/>
          <w:sz w:val="16"/>
          <w:szCs w:val="16"/>
        </w:rPr>
        <w:t xml:space="preserve"> </w:t>
      </w:r>
      <w:r w:rsidRPr="00405303">
        <w:rPr>
          <w:rFonts w:eastAsia="TimesNewRoman"/>
          <w:bCs/>
          <w:color w:val="002060"/>
          <w:sz w:val="16"/>
          <w:szCs w:val="16"/>
        </w:rPr>
        <w:t xml:space="preserve">мая 1915 г. отравляющие газы были применены Германией около </w:t>
      </w:r>
      <w:r w:rsidRPr="00405303">
        <w:rPr>
          <w:rFonts w:eastAsia="Times-Roman"/>
          <w:bCs/>
          <w:color w:val="002060"/>
          <w:sz w:val="16"/>
          <w:szCs w:val="16"/>
        </w:rPr>
        <w:t>«</w:t>
      </w:r>
      <w:r w:rsidRPr="00405303">
        <w:rPr>
          <w:rFonts w:eastAsia="TimesNewRoman"/>
          <w:bCs/>
          <w:color w:val="002060"/>
          <w:sz w:val="16"/>
          <w:szCs w:val="16"/>
        </w:rPr>
        <w:t>Фермы</w:t>
      </w:r>
      <w:r w:rsidRPr="00405303">
        <w:rPr>
          <w:rFonts w:eastAsia="Times-Roman"/>
          <w:bCs/>
          <w:color w:val="002060"/>
          <w:sz w:val="16"/>
          <w:szCs w:val="16"/>
        </w:rPr>
        <w:t>-</w:t>
      </w:r>
      <w:r w:rsidRPr="00405303">
        <w:rPr>
          <w:rFonts w:eastAsia="TimesNewRoman"/>
          <w:bCs/>
          <w:color w:val="002060"/>
          <w:sz w:val="16"/>
          <w:szCs w:val="16"/>
        </w:rPr>
        <w:t>мышеловки</w:t>
      </w:r>
      <w:r w:rsidRPr="00405303">
        <w:rPr>
          <w:rFonts w:eastAsia="Times-Roman"/>
          <w:bCs/>
          <w:color w:val="002060"/>
          <w:sz w:val="16"/>
          <w:szCs w:val="16"/>
        </w:rPr>
        <w:t xml:space="preserve">», 5 </w:t>
      </w:r>
      <w:r w:rsidRPr="00405303">
        <w:rPr>
          <w:rFonts w:eastAsia="TimesNewRoman"/>
          <w:bCs/>
          <w:color w:val="002060"/>
          <w:sz w:val="16"/>
          <w:szCs w:val="16"/>
        </w:rPr>
        <w:t xml:space="preserve">мая против британцев и </w:t>
      </w:r>
      <w:r w:rsidRPr="00405303">
        <w:rPr>
          <w:rFonts w:eastAsia="Times-Roman"/>
          <w:bCs/>
          <w:color w:val="002060"/>
          <w:sz w:val="16"/>
          <w:szCs w:val="16"/>
        </w:rPr>
        <w:t xml:space="preserve">6 </w:t>
      </w:r>
      <w:r w:rsidRPr="00405303">
        <w:rPr>
          <w:rFonts w:eastAsia="TimesNewRoman"/>
          <w:bCs/>
          <w:color w:val="002060"/>
          <w:sz w:val="16"/>
          <w:szCs w:val="16"/>
        </w:rPr>
        <w:t>августа против защитников русской крепости Осовец</w:t>
      </w:r>
      <w:r w:rsidRPr="00405303">
        <w:rPr>
          <w:rFonts w:eastAsia="Times-Roman"/>
          <w:bCs/>
          <w:color w:val="002060"/>
          <w:sz w:val="16"/>
          <w:szCs w:val="16"/>
        </w:rPr>
        <w:t xml:space="preserve">. </w:t>
      </w:r>
      <w:r w:rsidRPr="00405303">
        <w:rPr>
          <w:rFonts w:eastAsia="TimesNewRoman"/>
          <w:bCs/>
          <w:color w:val="002060"/>
          <w:sz w:val="16"/>
          <w:szCs w:val="16"/>
        </w:rPr>
        <w:t xml:space="preserve">Сразу </w:t>
      </w:r>
      <w:r w:rsidRPr="00405303">
        <w:rPr>
          <w:rFonts w:eastAsia="Times-Roman"/>
          <w:bCs/>
          <w:color w:val="002060"/>
          <w:sz w:val="16"/>
          <w:szCs w:val="16"/>
        </w:rPr>
        <w:t xml:space="preserve">90 </w:t>
      </w:r>
      <w:r w:rsidRPr="00405303">
        <w:rPr>
          <w:rFonts w:eastAsia="TimesNewRoman"/>
          <w:bCs/>
          <w:color w:val="002060"/>
          <w:sz w:val="16"/>
          <w:szCs w:val="16"/>
        </w:rPr>
        <w:t xml:space="preserve">человек погибло в окопах </w:t>
      </w:r>
      <w:r w:rsidRPr="00405303">
        <w:rPr>
          <w:rFonts w:eastAsia="Times-Roman"/>
          <w:bCs/>
          <w:color w:val="002060"/>
          <w:sz w:val="16"/>
          <w:szCs w:val="16"/>
        </w:rPr>
        <w:t xml:space="preserve">5 </w:t>
      </w:r>
      <w:r w:rsidRPr="00405303">
        <w:rPr>
          <w:rFonts w:eastAsia="TimesNewRoman"/>
          <w:bCs/>
          <w:color w:val="002060"/>
          <w:sz w:val="16"/>
          <w:szCs w:val="16"/>
        </w:rPr>
        <w:t>мая</w:t>
      </w:r>
      <w:r w:rsidRPr="00405303">
        <w:rPr>
          <w:rFonts w:eastAsia="Times-Roman"/>
          <w:bCs/>
          <w:color w:val="002060"/>
          <w:sz w:val="16"/>
          <w:szCs w:val="16"/>
        </w:rPr>
        <w:t xml:space="preserve">; </w:t>
      </w:r>
      <w:r w:rsidRPr="00405303">
        <w:rPr>
          <w:rFonts w:eastAsia="TimesNewRoman"/>
          <w:bCs/>
          <w:color w:val="002060"/>
          <w:sz w:val="16"/>
          <w:szCs w:val="16"/>
        </w:rPr>
        <w:t xml:space="preserve">из </w:t>
      </w:r>
      <w:r w:rsidRPr="00405303">
        <w:rPr>
          <w:rFonts w:eastAsia="Times-Roman"/>
          <w:bCs/>
          <w:color w:val="002060"/>
          <w:sz w:val="16"/>
          <w:szCs w:val="16"/>
        </w:rPr>
        <w:t xml:space="preserve">207 </w:t>
      </w:r>
      <w:r w:rsidRPr="00405303">
        <w:rPr>
          <w:rFonts w:eastAsia="TimesNewRoman"/>
          <w:bCs/>
          <w:color w:val="002060"/>
          <w:sz w:val="16"/>
          <w:szCs w:val="16"/>
        </w:rPr>
        <w:t xml:space="preserve">попавших полевые госпитали </w:t>
      </w:r>
      <w:r w:rsidRPr="00405303">
        <w:rPr>
          <w:rFonts w:eastAsia="Times-Roman"/>
          <w:bCs/>
          <w:color w:val="002060"/>
          <w:sz w:val="16"/>
          <w:szCs w:val="16"/>
        </w:rPr>
        <w:t xml:space="preserve">46 </w:t>
      </w:r>
      <w:r w:rsidRPr="00405303">
        <w:rPr>
          <w:rFonts w:eastAsia="TimesNewRoman"/>
          <w:bCs/>
          <w:color w:val="002060"/>
          <w:sz w:val="16"/>
          <w:szCs w:val="16"/>
        </w:rPr>
        <w:t>умерли в тот же день</w:t>
      </w:r>
      <w:r w:rsidRPr="00405303">
        <w:rPr>
          <w:rFonts w:eastAsia="Times-Roman"/>
          <w:bCs/>
          <w:color w:val="002060"/>
          <w:sz w:val="16"/>
          <w:szCs w:val="16"/>
        </w:rPr>
        <w:t xml:space="preserve">, </w:t>
      </w:r>
      <w:r w:rsidRPr="00405303">
        <w:rPr>
          <w:rFonts w:eastAsia="TimesNewRoman"/>
          <w:bCs/>
          <w:color w:val="002060"/>
          <w:sz w:val="16"/>
          <w:szCs w:val="16"/>
        </w:rPr>
        <w:t xml:space="preserve">а </w:t>
      </w:r>
      <w:r w:rsidRPr="00405303">
        <w:rPr>
          <w:rFonts w:eastAsia="Times-Roman"/>
          <w:bCs/>
          <w:color w:val="002060"/>
          <w:sz w:val="16"/>
          <w:szCs w:val="16"/>
        </w:rPr>
        <w:t xml:space="preserve">12 — </w:t>
      </w:r>
      <w:r w:rsidRPr="00405303">
        <w:rPr>
          <w:rFonts w:eastAsia="TimesNewRoman"/>
          <w:bCs/>
          <w:color w:val="002060"/>
          <w:sz w:val="16"/>
          <w:szCs w:val="16"/>
        </w:rPr>
        <w:t>после продолжительных мучений</w:t>
      </w:r>
      <w:r w:rsidRPr="00405303">
        <w:rPr>
          <w:rFonts w:eastAsia="Times-Roman"/>
          <w:bCs/>
          <w:color w:val="002060"/>
          <w:sz w:val="16"/>
          <w:szCs w:val="16"/>
        </w:rPr>
        <w:t xml:space="preserve">. </w:t>
      </w:r>
      <w:r w:rsidRPr="00405303">
        <w:rPr>
          <w:rFonts w:eastAsia="TimesNewRoman"/>
          <w:bCs/>
          <w:color w:val="002060"/>
          <w:sz w:val="16"/>
          <w:szCs w:val="16"/>
        </w:rPr>
        <w:t>Против русской армии действие газов</w:t>
      </w:r>
      <w:r w:rsidRPr="00405303">
        <w:rPr>
          <w:rFonts w:eastAsia="Times-Roman"/>
          <w:bCs/>
          <w:color w:val="002060"/>
          <w:sz w:val="16"/>
          <w:szCs w:val="16"/>
        </w:rPr>
        <w:t xml:space="preserve">, </w:t>
      </w:r>
      <w:r w:rsidRPr="00405303">
        <w:rPr>
          <w:rFonts w:eastAsia="TimesNewRoman"/>
          <w:bCs/>
          <w:color w:val="002060"/>
          <w:sz w:val="16"/>
          <w:szCs w:val="16"/>
        </w:rPr>
        <w:t>однако</w:t>
      </w:r>
      <w:r w:rsidRPr="00405303">
        <w:rPr>
          <w:rFonts w:eastAsia="Times-Roman"/>
          <w:bCs/>
          <w:color w:val="002060"/>
          <w:sz w:val="16"/>
          <w:szCs w:val="16"/>
        </w:rPr>
        <w:t xml:space="preserve">, </w:t>
      </w:r>
      <w:r w:rsidRPr="00405303">
        <w:rPr>
          <w:rFonts w:eastAsia="TimesNewRoman"/>
          <w:bCs/>
          <w:color w:val="002060"/>
          <w:sz w:val="16"/>
          <w:szCs w:val="16"/>
        </w:rPr>
        <w:t>не оказалось достаточно эффективным</w:t>
      </w:r>
      <w:r w:rsidRPr="00405303">
        <w:rPr>
          <w:rFonts w:eastAsia="Times-Roman"/>
          <w:bCs/>
          <w:color w:val="002060"/>
          <w:sz w:val="16"/>
          <w:szCs w:val="16"/>
        </w:rPr>
        <w:t xml:space="preserve">: </w:t>
      </w:r>
      <w:r w:rsidRPr="00405303">
        <w:rPr>
          <w:rFonts w:eastAsia="TimesNewRoman"/>
          <w:bCs/>
          <w:color w:val="002060"/>
          <w:sz w:val="16"/>
          <w:szCs w:val="16"/>
        </w:rPr>
        <w:t>несмотря на серьёзные потери</w:t>
      </w:r>
      <w:r w:rsidRPr="00405303">
        <w:rPr>
          <w:rFonts w:eastAsia="Times-Roman"/>
          <w:bCs/>
          <w:color w:val="002060"/>
          <w:sz w:val="16"/>
          <w:szCs w:val="16"/>
        </w:rPr>
        <w:t xml:space="preserve">, </w:t>
      </w:r>
      <w:r w:rsidRPr="00405303">
        <w:rPr>
          <w:rFonts w:eastAsia="TimesNewRoman"/>
          <w:bCs/>
          <w:color w:val="002060"/>
          <w:sz w:val="16"/>
          <w:szCs w:val="16"/>
        </w:rPr>
        <w:t>русская армия отбросила немцев от Осовца</w:t>
      </w:r>
      <w:r w:rsidRPr="00405303">
        <w:rPr>
          <w:rFonts w:eastAsia="Times-Roman"/>
          <w:bCs/>
          <w:color w:val="002060"/>
          <w:sz w:val="16"/>
          <w:szCs w:val="16"/>
        </w:rPr>
        <w:t xml:space="preserve">. </w:t>
      </w:r>
      <w:r w:rsidRPr="00405303">
        <w:rPr>
          <w:rFonts w:eastAsia="TimesNewRoman"/>
          <w:bCs/>
          <w:color w:val="002060"/>
          <w:sz w:val="16"/>
          <w:szCs w:val="16"/>
        </w:rPr>
        <w:t xml:space="preserve">Контратака русских войск была названа в европейский историографии как </w:t>
      </w:r>
      <w:r w:rsidRPr="00405303">
        <w:rPr>
          <w:rFonts w:eastAsia="Times-Roman"/>
          <w:bCs/>
          <w:color w:val="002060"/>
          <w:sz w:val="16"/>
          <w:szCs w:val="16"/>
        </w:rPr>
        <w:t>«</w:t>
      </w:r>
      <w:r w:rsidRPr="00405303">
        <w:rPr>
          <w:rFonts w:eastAsia="TimesNewRoman"/>
          <w:bCs/>
          <w:color w:val="002060"/>
          <w:sz w:val="16"/>
          <w:szCs w:val="16"/>
        </w:rPr>
        <w:t>атака мертвецов</w:t>
      </w:r>
      <w:r w:rsidRPr="00405303">
        <w:rPr>
          <w:rFonts w:eastAsia="Times-Roman"/>
          <w:bCs/>
          <w:color w:val="002060"/>
          <w:sz w:val="16"/>
          <w:szCs w:val="16"/>
        </w:rPr>
        <w:t xml:space="preserve">»: </w:t>
      </w:r>
      <w:r w:rsidRPr="00405303">
        <w:rPr>
          <w:rFonts w:eastAsia="TimesNewRoman"/>
          <w:bCs/>
          <w:color w:val="002060"/>
          <w:sz w:val="16"/>
          <w:szCs w:val="16"/>
        </w:rPr>
        <w:t>по словам многих историков и свидетелей тех сражений</w:t>
      </w:r>
      <w:r w:rsidRPr="00405303">
        <w:rPr>
          <w:rFonts w:eastAsia="Times-Roman"/>
          <w:bCs/>
          <w:color w:val="002060"/>
          <w:sz w:val="16"/>
          <w:szCs w:val="16"/>
        </w:rPr>
        <w:t>,</w:t>
      </w:r>
    </w:p>
    <w:p w14:paraId="01101F1D" w14:textId="77777777" w:rsidR="00C524DD" w:rsidRPr="00405303" w:rsidRDefault="00C524DD" w:rsidP="00C15251">
      <w:pPr>
        <w:jc w:val="both"/>
        <w:rPr>
          <w:rFonts w:eastAsia="Times-Roman"/>
          <w:bCs/>
          <w:color w:val="002060"/>
          <w:sz w:val="16"/>
          <w:szCs w:val="16"/>
        </w:rPr>
      </w:pPr>
      <w:r w:rsidRPr="00405303">
        <w:rPr>
          <w:rFonts w:eastAsia="TimesNewRoman"/>
          <w:bCs/>
          <w:color w:val="002060"/>
          <w:sz w:val="16"/>
          <w:szCs w:val="16"/>
        </w:rPr>
        <w:t xml:space="preserve">русские солдаты одним только своим внешним видом </w:t>
      </w:r>
      <w:r w:rsidRPr="00405303">
        <w:rPr>
          <w:rFonts w:eastAsia="Times-Roman"/>
          <w:bCs/>
          <w:color w:val="002060"/>
          <w:sz w:val="16"/>
          <w:szCs w:val="16"/>
        </w:rPr>
        <w:t>(</w:t>
      </w:r>
      <w:r w:rsidRPr="00405303">
        <w:rPr>
          <w:rFonts w:eastAsia="TimesNewRoman"/>
          <w:bCs/>
          <w:color w:val="002060"/>
          <w:sz w:val="16"/>
          <w:szCs w:val="16"/>
        </w:rPr>
        <w:t>многие были изуродованы после обстрела химическими снарядами</w:t>
      </w:r>
      <w:r w:rsidRPr="00405303">
        <w:rPr>
          <w:rFonts w:eastAsia="Times-Roman"/>
          <w:bCs/>
          <w:color w:val="002060"/>
          <w:sz w:val="16"/>
          <w:szCs w:val="16"/>
        </w:rPr>
        <w:t xml:space="preserve">) </w:t>
      </w:r>
      <w:r w:rsidRPr="00405303">
        <w:rPr>
          <w:rFonts w:eastAsia="TimesNewRoman"/>
          <w:bCs/>
          <w:color w:val="002060"/>
          <w:sz w:val="16"/>
          <w:szCs w:val="16"/>
        </w:rPr>
        <w:t>повергли в шок и тотальную панику германских солдат (20240)</w:t>
      </w:r>
      <w:r w:rsidRPr="00405303">
        <w:rPr>
          <w:rFonts w:eastAsia="Times-Roman"/>
          <w:bCs/>
          <w:color w:val="002060"/>
          <w:sz w:val="16"/>
          <w:szCs w:val="16"/>
        </w:rPr>
        <w:t>.</w:t>
      </w:r>
    </w:p>
    <w:p w14:paraId="6286596D" w14:textId="77777777" w:rsidR="00C524DD" w:rsidRPr="00405303" w:rsidRDefault="00C524DD" w:rsidP="00C15251">
      <w:pPr>
        <w:jc w:val="both"/>
        <w:rPr>
          <w:rFonts w:eastAsia="Times-Roman"/>
          <w:bCs/>
          <w:color w:val="002060"/>
          <w:sz w:val="16"/>
          <w:szCs w:val="16"/>
        </w:rPr>
      </w:pPr>
    </w:p>
    <w:p w14:paraId="4C30413F"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7243FDD4" w14:textId="77777777" w:rsidR="004B4E35" w:rsidRPr="00405303" w:rsidRDefault="004B4E35" w:rsidP="00C15251">
      <w:pPr>
        <w:jc w:val="both"/>
        <w:rPr>
          <w:bCs/>
          <w:i/>
          <w:color w:val="002060"/>
          <w:sz w:val="16"/>
          <w:szCs w:val="16"/>
        </w:rPr>
      </w:pPr>
    </w:p>
    <w:p w14:paraId="356D961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3 (16) мая 1915 летчик Кавказской армии Борис Михайлович Троицкий на самолете "Моран-парасолъ" совершил на Кавказе над Пассинской долиной разведывательный полет продолжительностью 4 часа 27 минут, пройдя 400 верст. Это был самый продолжительный для того времени боевой полет на одномоторном самолете (ЦГВИА. ф.2008, д.120, </w:t>
      </w:r>
      <w:proofErr w:type="gramStart"/>
      <w:r w:rsidRPr="00405303">
        <w:rPr>
          <w:bCs/>
          <w:color w:val="002060"/>
          <w:sz w:val="16"/>
          <w:szCs w:val="16"/>
        </w:rPr>
        <w:t>л.2,и</w:t>
      </w:r>
      <w:proofErr w:type="gramEnd"/>
      <w:r w:rsidRPr="00405303">
        <w:rPr>
          <w:bCs/>
          <w:color w:val="002060"/>
          <w:sz w:val="16"/>
          <w:szCs w:val="16"/>
        </w:rPr>
        <w:t xml:space="preserve"> д.852, л.161).</w:t>
      </w:r>
    </w:p>
    <w:p w14:paraId="4823D5BC" w14:textId="77777777" w:rsidR="004B4E35" w:rsidRPr="00405303" w:rsidRDefault="004B4E35" w:rsidP="00C15251">
      <w:pPr>
        <w:shd w:val="clear" w:color="auto" w:fill="FFFFFF"/>
        <w:jc w:val="both"/>
        <w:rPr>
          <w:bCs/>
          <w:color w:val="002060"/>
          <w:sz w:val="16"/>
          <w:szCs w:val="16"/>
        </w:rPr>
      </w:pPr>
    </w:p>
    <w:p w14:paraId="042B3809" w14:textId="77777777" w:rsidR="00FF5C7B" w:rsidRPr="00405303" w:rsidRDefault="00FF5C7B" w:rsidP="00C15251">
      <w:pPr>
        <w:jc w:val="both"/>
        <w:rPr>
          <w:bCs/>
          <w:color w:val="002060"/>
          <w:sz w:val="16"/>
          <w:szCs w:val="16"/>
        </w:rPr>
      </w:pPr>
      <w:r w:rsidRPr="00405303">
        <w:rPr>
          <w:bCs/>
          <w:color w:val="002060"/>
          <w:sz w:val="16"/>
          <w:szCs w:val="16"/>
        </w:rPr>
        <w:t>3 (15) мая 1915 г. летчик кавказской армии Борис Михайлович Троицкий на самолете Моран-парасоль совершил на Кавказе над Пассинской доли</w:t>
      </w:r>
      <w:r w:rsidRPr="00405303">
        <w:rPr>
          <w:bCs/>
          <w:color w:val="002060"/>
          <w:sz w:val="16"/>
          <w:szCs w:val="16"/>
        </w:rPr>
        <w:softHyphen/>
        <w:t>ной разведывательный полет продолжительностью 4 часа 27 минут, пройдя по линии полета 400 верст. Это был самый продолжительный для того времени боевой полет на одномоторном самолете.</w:t>
      </w:r>
    </w:p>
    <w:p w14:paraId="09115337" w14:textId="77777777" w:rsidR="00FF5C7B" w:rsidRPr="00405303" w:rsidRDefault="00FF5C7B" w:rsidP="00C15251">
      <w:pPr>
        <w:jc w:val="both"/>
        <w:rPr>
          <w:bCs/>
          <w:color w:val="002060"/>
          <w:sz w:val="16"/>
          <w:szCs w:val="16"/>
        </w:rPr>
      </w:pPr>
      <w:r w:rsidRPr="00405303">
        <w:rPr>
          <w:bCs/>
          <w:color w:val="002060"/>
          <w:sz w:val="16"/>
          <w:szCs w:val="16"/>
        </w:rPr>
        <w:t>/ЦГВИА, ф. 2008, д. 120, л. 2 и д. 852, л. 161/ (23320).</w:t>
      </w:r>
    </w:p>
    <w:p w14:paraId="78B22351" w14:textId="77777777" w:rsidR="00FF5C7B" w:rsidRPr="00405303" w:rsidRDefault="00FF5C7B" w:rsidP="00C15251">
      <w:pPr>
        <w:jc w:val="both"/>
        <w:rPr>
          <w:bCs/>
          <w:color w:val="002060"/>
          <w:sz w:val="16"/>
          <w:szCs w:val="16"/>
        </w:rPr>
      </w:pPr>
    </w:p>
    <w:p w14:paraId="62B72112" w14:textId="46274833" w:rsidR="00B66E3C" w:rsidRPr="00405303" w:rsidRDefault="00B66E3C" w:rsidP="00C15251">
      <w:pPr>
        <w:jc w:val="both"/>
        <w:rPr>
          <w:bCs/>
          <w:color w:val="002060"/>
          <w:sz w:val="16"/>
          <w:szCs w:val="16"/>
        </w:rPr>
      </w:pPr>
      <w:r w:rsidRPr="00405303">
        <w:rPr>
          <w:bCs/>
          <w:color w:val="002060"/>
          <w:sz w:val="16"/>
          <w:szCs w:val="16"/>
        </w:rPr>
        <w:t>3-4 (15-16) мая 1915 г. противник провел групповой налет (4 самолета) на русские объекты возле станции Сташев, не причинив при этом им особого вред. Одновременно бомбовый удар был нанесен по г. Плонск. Одной из бомб, упавшей вблизи костела, было убито 8 человек, ранено более 30 (23405).</w:t>
      </w:r>
    </w:p>
    <w:p w14:paraId="267C8A81" w14:textId="77777777" w:rsidR="00B66E3C" w:rsidRPr="00405303" w:rsidRDefault="00B66E3C" w:rsidP="00C15251">
      <w:pPr>
        <w:jc w:val="both"/>
        <w:rPr>
          <w:bCs/>
          <w:color w:val="002060"/>
          <w:sz w:val="16"/>
          <w:szCs w:val="16"/>
          <w:lang w:bidi="ru-RU"/>
        </w:rPr>
      </w:pPr>
    </w:p>
    <w:p w14:paraId="20E92637" w14:textId="77777777" w:rsidR="00F51E86" w:rsidRPr="00405303" w:rsidRDefault="00F51E86" w:rsidP="00F51E86">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lastRenderedPageBreak/>
        <w:t>3 (16) мая 1915 г. стал поистине черным днем для германской авиации. В течение дня в результате зенитного обстрела немецкая сторона потеряла четыре своих летательных аппаратов в полосе русского Северо-Западного фронт</w:t>
      </w:r>
      <w:hyperlink w:anchor="bookmark1241" w:tooltip="Current Document">
        <w:r w:rsidRPr="00405303">
          <w:rPr>
            <w:rStyle w:val="aa"/>
            <w:rFonts w:ascii="Times New Roman" w:hAnsi="Times New Roman"/>
            <w:color w:val="0070C0"/>
            <w:spacing w:val="0"/>
            <w:sz w:val="16"/>
            <w:szCs w:val="16"/>
          </w:rPr>
          <w:t>а</w:t>
        </w:r>
      </w:hyperlink>
      <w:r w:rsidRPr="00405303">
        <w:rPr>
          <w:rStyle w:val="aa"/>
          <w:rFonts w:ascii="Times New Roman" w:hAnsi="Times New Roman"/>
          <w:color w:val="0070C0"/>
          <w:spacing w:val="0"/>
          <w:sz w:val="16"/>
          <w:szCs w:val="16"/>
        </w:rPr>
        <w:t>. Три воздушных судна упали «среди наших войск», четвертый – на территории, занятой противником. В районе д. Едвабне зенитным огнем подбит германский аэроплан. Он упал на нейтральной полосе и разбился. На станции Ж. [в документах название не расшифровано] нашими стрелковыми частями был подбит немецкий самолет «Таубе», сбросивший ранее несколько бомб на железнодорожные объекты и военный эшелон. После вынужденной посадки германские летчики открыли стрельбу из маузеров по русским солдатам, но вскоре вынуждены сдаться в плен (25135).</w:t>
      </w:r>
    </w:p>
    <w:p w14:paraId="2B6BE2D3" w14:textId="77777777" w:rsidR="00F51E86" w:rsidRPr="00405303" w:rsidRDefault="00F51E86" w:rsidP="00F51E86">
      <w:pPr>
        <w:jc w:val="both"/>
        <w:rPr>
          <w:color w:val="0070C0"/>
          <w:sz w:val="16"/>
          <w:szCs w:val="16"/>
        </w:rPr>
      </w:pPr>
    </w:p>
    <w:p w14:paraId="1C7B1CE3"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3A0FFEEA" w14:textId="77777777" w:rsidR="004B4E35" w:rsidRPr="00405303" w:rsidRDefault="004B4E35" w:rsidP="00C15251">
      <w:pPr>
        <w:jc w:val="both"/>
        <w:rPr>
          <w:bCs/>
          <w:i/>
          <w:color w:val="002060"/>
          <w:sz w:val="16"/>
          <w:szCs w:val="16"/>
        </w:rPr>
      </w:pPr>
    </w:p>
    <w:p w14:paraId="12B337AB" w14:textId="59C24337" w:rsidR="004B4E35" w:rsidRPr="00405303" w:rsidRDefault="009E6F82" w:rsidP="00C15251">
      <w:pPr>
        <w:jc w:val="both"/>
        <w:rPr>
          <w:bCs/>
          <w:color w:val="002060"/>
          <w:sz w:val="16"/>
          <w:szCs w:val="16"/>
        </w:rPr>
      </w:pPr>
      <w:r w:rsidRPr="00405303">
        <w:rPr>
          <w:bCs/>
          <w:color w:val="002060"/>
          <w:sz w:val="16"/>
          <w:szCs w:val="16"/>
        </w:rPr>
        <w:t xml:space="preserve">3 (16) мая </w:t>
      </w:r>
      <w:r w:rsidR="00C306B1" w:rsidRPr="00405303">
        <w:rPr>
          <w:bCs/>
          <w:color w:val="002060"/>
          <w:sz w:val="16"/>
          <w:szCs w:val="16"/>
        </w:rPr>
        <w:t xml:space="preserve">1915 г. </w:t>
      </w:r>
      <w:r w:rsidRPr="00405303">
        <w:rPr>
          <w:bCs/>
          <w:color w:val="002060"/>
          <w:sz w:val="16"/>
          <w:szCs w:val="16"/>
        </w:rPr>
        <w:t>счастливчик Линнарц двинул свой корабль на Рамсгейт в графстве Кент. Кружа над хорошо освещенным городом и сбрасывая бомбы, Линнарц с тоской посматривал в сторону Лондона, огни которого были хорошо видны на горизонте. Приказ предписывал ему действовать только по Рамсгейту. Внезапно дежурные наблюдатели заметили 2 самолета, и Линнарц, быстро освободившись от остатка смертоносного груза, взмыл на высоту, где стал недоступен для противника. Огонь зенитных батарей, которые засекли немца в лучах прожекторов, тоже остался внизу. Англичане пытались перехватить дерзкого Линнарца над побережьем Франции, но тому удалось скрыться (11324).</w:t>
      </w:r>
    </w:p>
    <w:p w14:paraId="006B5ABD" w14:textId="77777777" w:rsidR="004B4E35" w:rsidRPr="00405303" w:rsidRDefault="004B4E35" w:rsidP="00C15251">
      <w:pPr>
        <w:jc w:val="both"/>
        <w:rPr>
          <w:bCs/>
          <w:i/>
          <w:color w:val="002060"/>
          <w:sz w:val="16"/>
          <w:szCs w:val="16"/>
        </w:rPr>
      </w:pPr>
    </w:p>
    <w:p w14:paraId="0E4877E1" w14:textId="4AD9B647" w:rsidR="00840867" w:rsidRPr="00405303" w:rsidRDefault="00840867" w:rsidP="00C15251">
      <w:pPr>
        <w:jc w:val="both"/>
        <w:rPr>
          <w:bCs/>
          <w:i/>
          <w:color w:val="002060"/>
          <w:sz w:val="16"/>
          <w:szCs w:val="16"/>
        </w:rPr>
      </w:pPr>
      <w:r w:rsidRPr="00405303">
        <w:rPr>
          <w:bCs/>
          <w:i/>
          <w:color w:val="002060"/>
          <w:sz w:val="16"/>
          <w:szCs w:val="16"/>
        </w:rPr>
        <w:t>Авиация и воздухоплавание Англии:</w:t>
      </w:r>
    </w:p>
    <w:p w14:paraId="0D2BB0DB" w14:textId="77777777" w:rsidR="00840867" w:rsidRPr="00405303" w:rsidRDefault="00840867" w:rsidP="00C15251">
      <w:pPr>
        <w:jc w:val="both"/>
        <w:rPr>
          <w:bCs/>
          <w:i/>
          <w:color w:val="002060"/>
          <w:sz w:val="16"/>
          <w:szCs w:val="16"/>
        </w:rPr>
      </w:pPr>
    </w:p>
    <w:p w14:paraId="750C2F81" w14:textId="77777777" w:rsidR="00840867" w:rsidRPr="00405303" w:rsidRDefault="00840867" w:rsidP="00C15251">
      <w:pPr>
        <w:jc w:val="both"/>
        <w:rPr>
          <w:bCs/>
          <w:color w:val="002060"/>
          <w:sz w:val="16"/>
          <w:szCs w:val="16"/>
        </w:rPr>
      </w:pPr>
      <w:r w:rsidRPr="00405303">
        <w:rPr>
          <w:bCs/>
          <w:color w:val="002060"/>
          <w:sz w:val="16"/>
          <w:szCs w:val="16"/>
        </w:rPr>
        <w:t>3-4 (16–17 мая) (ночь) 1915 два самолета Avro 504 Королевского военно-морского флота перехватывают Цеппелины LZ 38 и LZ 39 Императорского флота Германии, серьезно повредив LZ39 четырьмя 20-фунтовыми (9 кг) бомбами, сброшенными на его оболочку сверху (20338).</w:t>
      </w:r>
    </w:p>
    <w:p w14:paraId="6F874EF6" w14:textId="77777777" w:rsidR="00840867" w:rsidRPr="00405303" w:rsidRDefault="00840867" w:rsidP="00C15251">
      <w:pPr>
        <w:jc w:val="both"/>
        <w:rPr>
          <w:bCs/>
          <w:color w:val="002060"/>
          <w:sz w:val="16"/>
          <w:szCs w:val="16"/>
        </w:rPr>
      </w:pPr>
    </w:p>
    <w:p w14:paraId="5C766230" w14:textId="6389DF41" w:rsidR="00F51E86" w:rsidRPr="00405303" w:rsidRDefault="00F51E86" w:rsidP="00F51E86">
      <w:pPr>
        <w:jc w:val="both"/>
        <w:rPr>
          <w:bCs/>
          <w:i/>
          <w:color w:val="002060"/>
          <w:sz w:val="16"/>
          <w:szCs w:val="16"/>
        </w:rPr>
      </w:pPr>
      <w:r w:rsidRPr="00405303">
        <w:rPr>
          <w:bCs/>
          <w:i/>
          <w:color w:val="002060"/>
          <w:sz w:val="16"/>
          <w:szCs w:val="16"/>
        </w:rPr>
        <w:t>Авиация:</w:t>
      </w:r>
    </w:p>
    <w:p w14:paraId="44A1BF94" w14:textId="77777777" w:rsidR="00F51E86" w:rsidRPr="00405303" w:rsidRDefault="00F51E86" w:rsidP="00F51E86">
      <w:pPr>
        <w:jc w:val="both"/>
        <w:rPr>
          <w:bCs/>
          <w:i/>
          <w:color w:val="002060"/>
          <w:sz w:val="16"/>
          <w:szCs w:val="16"/>
        </w:rPr>
      </w:pPr>
    </w:p>
    <w:p w14:paraId="0274B184" w14:textId="77777777" w:rsidR="00F51E86" w:rsidRPr="00405303" w:rsidRDefault="00F51E86" w:rsidP="00F51E86">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4 (17) мая 1915 г. в ходе очередного налета на город-крепость Перемышль, захваченной русской армией, противник провел бомбардировку части ее жилых кварталов. В результате были ранены несколько местных жителей (25135).</w:t>
      </w:r>
    </w:p>
    <w:p w14:paraId="51CACF06" w14:textId="77777777" w:rsidR="00F51E86" w:rsidRPr="00405303" w:rsidRDefault="00F51E86" w:rsidP="00F51E86">
      <w:pPr>
        <w:jc w:val="both"/>
        <w:rPr>
          <w:rStyle w:val="aa"/>
          <w:rFonts w:ascii="Times New Roman" w:hAnsi="Times New Roman"/>
          <w:color w:val="0070C0"/>
          <w:spacing w:val="0"/>
          <w:sz w:val="16"/>
          <w:szCs w:val="16"/>
        </w:rPr>
      </w:pPr>
    </w:p>
    <w:p w14:paraId="3184C04E"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4CD23A4A" w14:textId="77777777" w:rsidR="004B4E35" w:rsidRPr="00405303" w:rsidRDefault="004B4E35" w:rsidP="00C15251">
      <w:pPr>
        <w:jc w:val="both"/>
        <w:rPr>
          <w:bCs/>
          <w:i/>
          <w:color w:val="002060"/>
          <w:sz w:val="16"/>
          <w:szCs w:val="16"/>
        </w:rPr>
      </w:pPr>
    </w:p>
    <w:p w14:paraId="381318F0" w14:textId="38278A6B"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4 (17) мая 1915 года </w:t>
      </w:r>
      <w:r w:rsidR="00C306B1" w:rsidRPr="00405303">
        <w:rPr>
          <w:bCs/>
          <w:color w:val="002060"/>
          <w:sz w:val="16"/>
          <w:szCs w:val="16"/>
        </w:rPr>
        <w:t xml:space="preserve">согласно приказу по Флоту и Морскому ведомству № 287 </w:t>
      </w:r>
      <w:r w:rsidRPr="00405303">
        <w:rPr>
          <w:bCs/>
          <w:color w:val="002060"/>
          <w:sz w:val="16"/>
          <w:szCs w:val="16"/>
        </w:rPr>
        <w:t>лейтенант Коведяев Евгений Георгиевич был награжден орде</w:t>
      </w:r>
      <w:r w:rsidRPr="00405303">
        <w:rPr>
          <w:bCs/>
          <w:color w:val="002060"/>
          <w:sz w:val="16"/>
          <w:szCs w:val="16"/>
        </w:rPr>
        <w:softHyphen/>
        <w:t>ном Св. Георгия 4-й степени, а лейтенант Рагозин Николай Александрович - Георгиевским оружием с надписью «За храб</w:t>
      </w:r>
      <w:r w:rsidRPr="00405303">
        <w:rPr>
          <w:bCs/>
          <w:color w:val="002060"/>
          <w:sz w:val="16"/>
          <w:szCs w:val="16"/>
        </w:rPr>
        <w:softHyphen/>
        <w:t>рость». Среди морских летчиков России они первыми удосто</w:t>
      </w:r>
      <w:r w:rsidRPr="00405303">
        <w:rPr>
          <w:bCs/>
          <w:color w:val="002060"/>
          <w:sz w:val="16"/>
          <w:szCs w:val="16"/>
        </w:rPr>
        <w:softHyphen/>
        <w:t>ились такой высокой чести. Орденские награды «с мечами и бантами» получили и дру</w:t>
      </w:r>
      <w:r w:rsidRPr="00405303">
        <w:rPr>
          <w:bCs/>
          <w:color w:val="002060"/>
          <w:sz w:val="16"/>
          <w:szCs w:val="16"/>
        </w:rPr>
        <w:softHyphen/>
        <w:t>гие черноморские пилоты: лейтенант Раймонд Эссен и пра</w:t>
      </w:r>
      <w:r w:rsidRPr="00405303">
        <w:rPr>
          <w:bCs/>
          <w:color w:val="002060"/>
          <w:sz w:val="16"/>
          <w:szCs w:val="16"/>
        </w:rPr>
        <w:softHyphen/>
        <w:t>порщик Михаил Кованько - ордена Св. Анны 3-й степени; лейтенанты Николай Вирен, Борис Лучанинов и Александр Юнкер - Св. Владимира 4-й степени; мичман Сергей Ярыгин -Св. Станислава 3-й степени. Отличившиеся в боевых поле</w:t>
      </w:r>
      <w:r w:rsidRPr="00405303">
        <w:rPr>
          <w:bCs/>
          <w:color w:val="002060"/>
          <w:sz w:val="16"/>
          <w:szCs w:val="16"/>
        </w:rPr>
        <w:softHyphen/>
        <w:t>тах нижние чины были награждены Георгиевскими медалями. Напряженная боевая деятельность Черноморского флота в юго-западной части моря была вызвана приказом Ставки ока</w:t>
      </w:r>
      <w:r w:rsidRPr="00405303">
        <w:rPr>
          <w:bCs/>
          <w:color w:val="002060"/>
          <w:sz w:val="16"/>
          <w:szCs w:val="16"/>
        </w:rPr>
        <w:softHyphen/>
        <w:t>зывать энергичное содействие англо-французскому флоту, про</w:t>
      </w:r>
      <w:r w:rsidRPr="00405303">
        <w:rPr>
          <w:bCs/>
          <w:color w:val="002060"/>
          <w:sz w:val="16"/>
          <w:szCs w:val="16"/>
        </w:rPr>
        <w:softHyphen/>
        <w:t>водившему в феврале-марте наступательную операцию стра</w:t>
      </w:r>
      <w:r w:rsidRPr="00405303">
        <w:rPr>
          <w:bCs/>
          <w:color w:val="002060"/>
          <w:sz w:val="16"/>
          <w:szCs w:val="16"/>
        </w:rPr>
        <w:softHyphen/>
        <w:t>тегического масштаба. Она сводилась к прорыву через Дарданеллы в Мраморное море и овладению Константинопо</w:t>
      </w:r>
      <w:r w:rsidRPr="00405303">
        <w:rPr>
          <w:bCs/>
          <w:color w:val="002060"/>
          <w:sz w:val="16"/>
          <w:szCs w:val="16"/>
        </w:rPr>
        <w:softHyphen/>
        <w:t>лем. Грандиозная затея союзников окончилась довольно пла</w:t>
      </w:r>
      <w:r w:rsidRPr="00405303">
        <w:rPr>
          <w:bCs/>
          <w:color w:val="002060"/>
          <w:sz w:val="16"/>
          <w:szCs w:val="16"/>
        </w:rPr>
        <w:softHyphen/>
        <w:t>чевно. Но и после этого русская эскадра в апреле-мае продол</w:t>
      </w:r>
      <w:r w:rsidRPr="00405303">
        <w:rPr>
          <w:bCs/>
          <w:color w:val="002060"/>
          <w:sz w:val="16"/>
          <w:szCs w:val="16"/>
        </w:rPr>
        <w:softHyphen/>
        <w:t>жала совершать походы с целями нанесения артиллерийских ударов по береговым объектам и нарушения морских комму</w:t>
      </w:r>
      <w:r w:rsidRPr="00405303">
        <w:rPr>
          <w:bCs/>
          <w:color w:val="002060"/>
          <w:sz w:val="16"/>
          <w:szCs w:val="16"/>
        </w:rPr>
        <w:softHyphen/>
        <w:t>никаций противника (11283).</w:t>
      </w:r>
    </w:p>
    <w:p w14:paraId="4FB08E7F" w14:textId="77777777" w:rsidR="004B4E35" w:rsidRPr="00405303" w:rsidRDefault="004B4E35" w:rsidP="00C15251">
      <w:pPr>
        <w:shd w:val="clear" w:color="auto" w:fill="FFFFFF"/>
        <w:jc w:val="both"/>
        <w:rPr>
          <w:bCs/>
          <w:color w:val="002060"/>
          <w:sz w:val="16"/>
          <w:szCs w:val="16"/>
        </w:rPr>
      </w:pPr>
    </w:p>
    <w:p w14:paraId="435779C6"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0DE78064" w14:textId="77777777" w:rsidR="004B4E35" w:rsidRPr="00405303" w:rsidRDefault="004B4E35" w:rsidP="00C15251">
      <w:pPr>
        <w:shd w:val="clear" w:color="auto" w:fill="FFFFFF"/>
        <w:jc w:val="both"/>
        <w:rPr>
          <w:bCs/>
          <w:i/>
          <w:color w:val="002060"/>
          <w:sz w:val="16"/>
          <w:szCs w:val="16"/>
        </w:rPr>
      </w:pPr>
    </w:p>
    <w:p w14:paraId="05353F8B" w14:textId="495F4C69" w:rsidR="004B4E35" w:rsidRPr="00405303" w:rsidRDefault="009E6F82" w:rsidP="00C15251">
      <w:pPr>
        <w:shd w:val="clear" w:color="auto" w:fill="FFFFFF"/>
        <w:jc w:val="both"/>
        <w:rPr>
          <w:bCs/>
          <w:color w:val="002060"/>
          <w:sz w:val="16"/>
          <w:szCs w:val="16"/>
        </w:rPr>
      </w:pPr>
      <w:r w:rsidRPr="00405303">
        <w:rPr>
          <w:bCs/>
          <w:color w:val="002060"/>
          <w:sz w:val="16"/>
          <w:szCs w:val="16"/>
        </w:rPr>
        <w:t>5 (18) мая 1915 г.</w:t>
      </w:r>
      <w:r w:rsidR="00C306B1" w:rsidRPr="00405303">
        <w:rPr>
          <w:bCs/>
          <w:color w:val="002060"/>
          <w:sz w:val="16"/>
          <w:szCs w:val="16"/>
        </w:rPr>
        <w:t xml:space="preserve"> Начальник Морского генерального штаба в докладе морскому министру</w:t>
      </w:r>
      <w:r w:rsidRPr="00405303">
        <w:rPr>
          <w:bCs/>
          <w:color w:val="002060"/>
          <w:sz w:val="16"/>
          <w:szCs w:val="16"/>
        </w:rPr>
        <w:t>, ссылаясь на недостаток двигателей для гидросамолетов и сложность их доставки из-за рубежа, полагал необходимым создать казенный завод для производства двигате</w:t>
      </w:r>
      <w:r w:rsidRPr="00405303">
        <w:rPr>
          <w:bCs/>
          <w:color w:val="002060"/>
          <w:sz w:val="16"/>
          <w:szCs w:val="16"/>
        </w:rPr>
        <w:softHyphen/>
        <w:t>лей, совместив его с предприятием по производству торпед.</w:t>
      </w:r>
    </w:p>
    <w:p w14:paraId="66D3685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Морской министр предложение одобрил. В течение 1915 г. и первой половины 1916 г. между Морским и Военным министерствами с привлечением директоров самолетостроительных заводов ве</w:t>
      </w:r>
      <w:r w:rsidRPr="00405303">
        <w:rPr>
          <w:bCs/>
          <w:color w:val="002060"/>
          <w:sz w:val="16"/>
          <w:szCs w:val="16"/>
        </w:rPr>
        <w:softHyphen/>
        <w:t>лись переговоры. К середине 1916 г. решили организовать произ</w:t>
      </w:r>
      <w:r w:rsidRPr="00405303">
        <w:rPr>
          <w:bCs/>
          <w:color w:val="002060"/>
          <w:sz w:val="16"/>
          <w:szCs w:val="16"/>
        </w:rPr>
        <w:softHyphen/>
        <w:t>водство двигателей на Ижорском заводе. Согласно расчетам, он должен был обеспечивать до 20% потребностей морской авиации в двигателях. Монтаж оборудования для производства двигателей «Испано-Сюиза» начался в апреле 1917 г., а к концу года удалось не только наладить производство, но и выйти на проектную мощ</w:t>
      </w:r>
      <w:r w:rsidRPr="00405303">
        <w:rPr>
          <w:bCs/>
          <w:color w:val="002060"/>
          <w:sz w:val="16"/>
          <w:szCs w:val="16"/>
        </w:rPr>
        <w:softHyphen/>
        <w:t>ность (1085).</w:t>
      </w:r>
    </w:p>
    <w:p w14:paraId="575708A7" w14:textId="77777777" w:rsidR="004B4E35" w:rsidRPr="00405303" w:rsidRDefault="004B4E35" w:rsidP="00C15251">
      <w:pPr>
        <w:shd w:val="clear" w:color="auto" w:fill="FFFFFF"/>
        <w:jc w:val="both"/>
        <w:rPr>
          <w:bCs/>
          <w:color w:val="002060"/>
          <w:sz w:val="16"/>
          <w:szCs w:val="16"/>
        </w:rPr>
      </w:pPr>
    </w:p>
    <w:p w14:paraId="40F3E534" w14:textId="77777777" w:rsidR="004B4E35" w:rsidRPr="00405303" w:rsidRDefault="009E6F82" w:rsidP="00C15251">
      <w:pPr>
        <w:jc w:val="both"/>
        <w:rPr>
          <w:bCs/>
          <w:color w:val="002060"/>
          <w:sz w:val="16"/>
          <w:szCs w:val="16"/>
        </w:rPr>
      </w:pPr>
      <w:r w:rsidRPr="00405303">
        <w:rPr>
          <w:bCs/>
          <w:color w:val="002060"/>
          <w:sz w:val="16"/>
          <w:szCs w:val="16"/>
        </w:rPr>
        <w:t>5 (18) мая 1915 г. Начальник Морского генераль</w:t>
      </w:r>
      <w:r w:rsidRPr="00405303">
        <w:rPr>
          <w:bCs/>
          <w:color w:val="002060"/>
          <w:sz w:val="16"/>
          <w:szCs w:val="16"/>
        </w:rPr>
        <w:softHyphen/>
        <w:t>ного штаба в докладе морскому министру, ссылаясь на недостаток двигателей для гид</w:t>
      </w:r>
      <w:r w:rsidRPr="00405303">
        <w:rPr>
          <w:bCs/>
          <w:color w:val="002060"/>
          <w:sz w:val="16"/>
          <w:szCs w:val="16"/>
        </w:rPr>
        <w:softHyphen/>
        <w:t>росамолетов и сложность их дос</w:t>
      </w:r>
      <w:r w:rsidRPr="00405303">
        <w:rPr>
          <w:bCs/>
          <w:color w:val="002060"/>
          <w:sz w:val="16"/>
          <w:szCs w:val="16"/>
        </w:rPr>
        <w:softHyphen/>
        <w:t>тавки из-за рубежа, представил свои соображения относительно необходимости создания казенно</w:t>
      </w:r>
      <w:r w:rsidRPr="00405303">
        <w:rPr>
          <w:bCs/>
          <w:color w:val="002060"/>
          <w:sz w:val="16"/>
          <w:szCs w:val="16"/>
        </w:rPr>
        <w:softHyphen/>
        <w:t>го завода для производства двига</w:t>
      </w:r>
      <w:r w:rsidRPr="00405303">
        <w:rPr>
          <w:bCs/>
          <w:color w:val="002060"/>
          <w:sz w:val="16"/>
          <w:szCs w:val="16"/>
        </w:rPr>
        <w:softHyphen/>
        <w:t>телей, совместив его с предприяти</w:t>
      </w:r>
      <w:r w:rsidRPr="00405303">
        <w:rPr>
          <w:bCs/>
          <w:color w:val="002060"/>
          <w:sz w:val="16"/>
          <w:szCs w:val="16"/>
        </w:rPr>
        <w:softHyphen/>
        <w:t>ем по производству торпед. Морс</w:t>
      </w:r>
      <w:r w:rsidRPr="00405303">
        <w:rPr>
          <w:bCs/>
          <w:color w:val="002060"/>
          <w:sz w:val="16"/>
          <w:szCs w:val="16"/>
        </w:rPr>
        <w:softHyphen/>
        <w:t>кой министр предложение одобрил. 30 октября 1915 г. начальник Морского генерального штаба ка</w:t>
      </w:r>
      <w:r w:rsidRPr="00405303">
        <w:rPr>
          <w:bCs/>
          <w:color w:val="002060"/>
          <w:sz w:val="16"/>
          <w:szCs w:val="16"/>
        </w:rPr>
        <w:softHyphen/>
        <w:t>питан 1 ранга Капнист в докладе морскому министру обосновывает необходимость иметь собственный опытный авиационный завод морс</w:t>
      </w:r>
      <w:r w:rsidRPr="00405303">
        <w:rPr>
          <w:bCs/>
          <w:color w:val="002060"/>
          <w:sz w:val="16"/>
          <w:szCs w:val="16"/>
        </w:rPr>
        <w:softHyphen/>
        <w:t>кого ведомства, руководствуясь сле</w:t>
      </w:r>
      <w:r w:rsidRPr="00405303">
        <w:rPr>
          <w:bCs/>
          <w:color w:val="002060"/>
          <w:sz w:val="16"/>
          <w:szCs w:val="16"/>
        </w:rPr>
        <w:softHyphen/>
        <w:t>дующими соображениями:</w:t>
      </w:r>
    </w:p>
    <w:p w14:paraId="67ACE35D" w14:textId="77777777" w:rsidR="004B4E35" w:rsidRPr="00405303" w:rsidRDefault="009E6F82" w:rsidP="00C15251">
      <w:pPr>
        <w:jc w:val="both"/>
        <w:rPr>
          <w:bCs/>
          <w:color w:val="002060"/>
          <w:sz w:val="16"/>
          <w:szCs w:val="16"/>
        </w:rPr>
      </w:pPr>
      <w:r w:rsidRPr="00405303">
        <w:rPr>
          <w:bCs/>
          <w:color w:val="002060"/>
          <w:sz w:val="16"/>
          <w:szCs w:val="16"/>
        </w:rPr>
        <w:t>«Опыт текущей войны и непре</w:t>
      </w:r>
      <w:r w:rsidRPr="00405303">
        <w:rPr>
          <w:bCs/>
          <w:color w:val="002060"/>
          <w:sz w:val="16"/>
          <w:szCs w:val="16"/>
        </w:rPr>
        <w:softHyphen/>
        <w:t>рывный рост гидроавиации обоих морей ставят на очередь целый ряд новых задач, к разрешению кото</w:t>
      </w:r>
      <w:r w:rsidRPr="00405303">
        <w:rPr>
          <w:bCs/>
          <w:color w:val="002060"/>
          <w:sz w:val="16"/>
          <w:szCs w:val="16"/>
        </w:rPr>
        <w:softHyphen/>
        <w:t>рых необходимо приступить в бли</w:t>
      </w:r>
      <w:r w:rsidRPr="00405303">
        <w:rPr>
          <w:bCs/>
          <w:color w:val="002060"/>
          <w:sz w:val="16"/>
          <w:szCs w:val="16"/>
        </w:rPr>
        <w:softHyphen/>
        <w:t>жайшем будущем. Из них главными задачами являются: I) Скорое и возможно полное снабжение гид</w:t>
      </w:r>
      <w:r w:rsidRPr="00405303">
        <w:rPr>
          <w:bCs/>
          <w:color w:val="002060"/>
          <w:sz w:val="16"/>
          <w:szCs w:val="16"/>
        </w:rPr>
        <w:softHyphen/>
        <w:t>роавиации материальной частью. 2) Создание новых типов аппара</w:t>
      </w:r>
      <w:r w:rsidRPr="00405303">
        <w:rPr>
          <w:bCs/>
          <w:color w:val="002060"/>
          <w:sz w:val="16"/>
          <w:szCs w:val="16"/>
        </w:rPr>
        <w:softHyphen/>
        <w:t>тов, удовлетворяющих тактическим требованиям каждого из морей. Отечественный рынок и промышлен</w:t>
      </w:r>
      <w:r w:rsidRPr="00405303">
        <w:rPr>
          <w:bCs/>
          <w:color w:val="002060"/>
          <w:sz w:val="16"/>
          <w:szCs w:val="16"/>
        </w:rPr>
        <w:softHyphen/>
        <w:t>ность, как показал ближайший опыт войны, оказались не на высоте, и снабжение гидроавиации техникой было сопряжено с большими труд</w:t>
      </w:r>
      <w:r w:rsidRPr="00405303">
        <w:rPr>
          <w:bCs/>
          <w:color w:val="002060"/>
          <w:sz w:val="16"/>
          <w:szCs w:val="16"/>
        </w:rPr>
        <w:softHyphen/>
        <w:t>ностями, не говоря уже о том, что при этом цены на все нужные для авиации предметы подняты до край</w:t>
      </w:r>
      <w:r w:rsidRPr="00405303">
        <w:rPr>
          <w:bCs/>
          <w:color w:val="002060"/>
          <w:sz w:val="16"/>
          <w:szCs w:val="16"/>
        </w:rPr>
        <w:softHyphen/>
        <w:t>них пределов. Вместе с тем отсут</w:t>
      </w:r>
      <w:r w:rsidRPr="00405303">
        <w:rPr>
          <w:bCs/>
          <w:color w:val="002060"/>
          <w:sz w:val="16"/>
          <w:szCs w:val="16"/>
        </w:rPr>
        <w:softHyphen/>
        <w:t>ствие воздухоплавательного скла</w:t>
      </w:r>
      <w:r w:rsidRPr="00405303">
        <w:rPr>
          <w:bCs/>
          <w:color w:val="002060"/>
          <w:sz w:val="16"/>
          <w:szCs w:val="16"/>
        </w:rPr>
        <w:softHyphen/>
        <w:t>да делает чрезвычайно сложным учёт и передачу по документам аппаратов, моторов, материалов и приборов для отечественного про</w:t>
      </w:r>
      <w:r w:rsidRPr="00405303">
        <w:rPr>
          <w:bCs/>
          <w:color w:val="002060"/>
          <w:sz w:val="16"/>
          <w:szCs w:val="16"/>
        </w:rPr>
        <w:softHyphen/>
        <w:t>изводства, так и получаемых из заг</w:t>
      </w:r>
      <w:r w:rsidRPr="00405303">
        <w:rPr>
          <w:bCs/>
          <w:color w:val="002060"/>
          <w:sz w:val="16"/>
          <w:szCs w:val="16"/>
        </w:rPr>
        <w:softHyphen/>
        <w:t>раницы. Что же касается создания новых типов аппаратов, благодаря пожеланию некоторых заводов идти навстречу морскому ведомству, таковые вырабатываются, но очень медленно, с относительно больши</w:t>
      </w:r>
      <w:r w:rsidRPr="00405303">
        <w:rPr>
          <w:bCs/>
          <w:color w:val="002060"/>
          <w:sz w:val="16"/>
          <w:szCs w:val="16"/>
        </w:rPr>
        <w:softHyphen/>
        <w:t>ми затратами и без всяких гаран</w:t>
      </w:r>
      <w:r w:rsidRPr="00405303">
        <w:rPr>
          <w:bCs/>
          <w:color w:val="002060"/>
          <w:sz w:val="16"/>
          <w:szCs w:val="16"/>
        </w:rPr>
        <w:softHyphen/>
        <w:t>тий сохранения военной тайны».</w:t>
      </w:r>
    </w:p>
    <w:p w14:paraId="6E9B6111" w14:textId="77777777" w:rsidR="004B4E35" w:rsidRPr="00405303" w:rsidRDefault="009E6F82" w:rsidP="00C15251">
      <w:pPr>
        <w:jc w:val="both"/>
        <w:rPr>
          <w:bCs/>
          <w:color w:val="002060"/>
          <w:sz w:val="16"/>
          <w:szCs w:val="16"/>
        </w:rPr>
      </w:pPr>
      <w:r w:rsidRPr="00405303">
        <w:rPr>
          <w:bCs/>
          <w:color w:val="002060"/>
          <w:sz w:val="16"/>
          <w:szCs w:val="16"/>
        </w:rPr>
        <w:t>В состав завода предполагалось включить: небольшие мастерские, опытное отделение, состоящее из аэродинамической лаборатории, лаборатории легких двигателей и КБ, склад авиационного имущества. Определили и место для завода (территория Гребного канала), а также штат в 150-200 человек. Все расходы по постройке предполага</w:t>
      </w:r>
      <w:r w:rsidRPr="00405303">
        <w:rPr>
          <w:bCs/>
          <w:color w:val="002060"/>
          <w:sz w:val="16"/>
          <w:szCs w:val="16"/>
        </w:rPr>
        <w:softHyphen/>
        <w:t>лось отнести на 1916 г. Морской министр распорядился срочно об</w:t>
      </w:r>
      <w:r w:rsidRPr="00405303">
        <w:rPr>
          <w:bCs/>
          <w:color w:val="002060"/>
          <w:sz w:val="16"/>
          <w:szCs w:val="16"/>
        </w:rPr>
        <w:softHyphen/>
        <w:t>разовать комиссию под председа</w:t>
      </w:r>
      <w:r w:rsidRPr="00405303">
        <w:rPr>
          <w:bCs/>
          <w:color w:val="002060"/>
          <w:sz w:val="16"/>
          <w:szCs w:val="16"/>
        </w:rPr>
        <w:softHyphen/>
        <w:t>тельством помощника морского министра, но последующие собы</w:t>
      </w:r>
      <w:r w:rsidRPr="00405303">
        <w:rPr>
          <w:bCs/>
          <w:color w:val="002060"/>
          <w:sz w:val="16"/>
          <w:szCs w:val="16"/>
        </w:rPr>
        <w:softHyphen/>
        <w:t>тия показали, что решение оказа</w:t>
      </w:r>
      <w:r w:rsidRPr="00405303">
        <w:rPr>
          <w:bCs/>
          <w:color w:val="002060"/>
          <w:sz w:val="16"/>
          <w:szCs w:val="16"/>
        </w:rPr>
        <w:softHyphen/>
        <w:t>лось запоздалым.</w:t>
      </w:r>
    </w:p>
    <w:p w14:paraId="59E7B3CC" w14:textId="77777777" w:rsidR="004B4E35" w:rsidRPr="00405303" w:rsidRDefault="009E6F82" w:rsidP="00C15251">
      <w:pPr>
        <w:jc w:val="both"/>
        <w:rPr>
          <w:bCs/>
          <w:color w:val="002060"/>
          <w:sz w:val="16"/>
          <w:szCs w:val="16"/>
        </w:rPr>
      </w:pPr>
      <w:r w:rsidRPr="00405303">
        <w:rPr>
          <w:bCs/>
          <w:color w:val="002060"/>
          <w:sz w:val="16"/>
          <w:szCs w:val="16"/>
        </w:rPr>
        <w:t>В течение 1915 г. и первой по</w:t>
      </w:r>
      <w:r w:rsidRPr="00405303">
        <w:rPr>
          <w:bCs/>
          <w:color w:val="002060"/>
          <w:sz w:val="16"/>
          <w:szCs w:val="16"/>
        </w:rPr>
        <w:softHyphen/>
        <w:t>ловины 1916 г. между Морским и Военным министерствами с привле</w:t>
      </w:r>
      <w:r w:rsidRPr="00405303">
        <w:rPr>
          <w:bCs/>
          <w:color w:val="002060"/>
          <w:sz w:val="16"/>
          <w:szCs w:val="16"/>
        </w:rPr>
        <w:softHyphen/>
        <w:t>чением директоров самолетострои</w:t>
      </w:r>
      <w:r w:rsidRPr="00405303">
        <w:rPr>
          <w:bCs/>
          <w:color w:val="002060"/>
          <w:sz w:val="16"/>
          <w:szCs w:val="16"/>
        </w:rPr>
        <w:softHyphen/>
        <w:t>тельных заводов велись переговоры (11872).</w:t>
      </w:r>
    </w:p>
    <w:p w14:paraId="28E9853C" w14:textId="77777777" w:rsidR="004B4E35" w:rsidRPr="00405303" w:rsidRDefault="004B4E35" w:rsidP="00C15251">
      <w:pPr>
        <w:jc w:val="both"/>
        <w:rPr>
          <w:bCs/>
          <w:color w:val="002060"/>
          <w:sz w:val="16"/>
          <w:szCs w:val="16"/>
        </w:rPr>
      </w:pPr>
    </w:p>
    <w:p w14:paraId="21A90665"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76B016DB" w14:textId="77777777" w:rsidR="00C306B1" w:rsidRPr="00405303" w:rsidRDefault="00C306B1" w:rsidP="00C15251">
      <w:pPr>
        <w:jc w:val="both"/>
        <w:rPr>
          <w:bCs/>
          <w:color w:val="002060"/>
          <w:sz w:val="16"/>
          <w:szCs w:val="16"/>
        </w:rPr>
      </w:pPr>
    </w:p>
    <w:p w14:paraId="6558321E" w14:textId="7F7C92DD" w:rsidR="004B4E35" w:rsidRPr="00405303" w:rsidRDefault="009E6F82" w:rsidP="00C15251">
      <w:pPr>
        <w:jc w:val="both"/>
        <w:rPr>
          <w:bCs/>
          <w:color w:val="002060"/>
          <w:sz w:val="16"/>
          <w:szCs w:val="16"/>
        </w:rPr>
      </w:pPr>
      <w:r w:rsidRPr="00405303">
        <w:rPr>
          <w:bCs/>
          <w:color w:val="002060"/>
          <w:sz w:val="16"/>
          <w:szCs w:val="16"/>
        </w:rPr>
        <w:t>5</w:t>
      </w:r>
      <w:r w:rsidR="00C306B1" w:rsidRPr="00405303">
        <w:rPr>
          <w:bCs/>
          <w:color w:val="002060"/>
          <w:sz w:val="16"/>
          <w:szCs w:val="16"/>
        </w:rPr>
        <w:t xml:space="preserve"> (18) мая </w:t>
      </w:r>
      <w:r w:rsidRPr="00405303">
        <w:rPr>
          <w:bCs/>
          <w:color w:val="002060"/>
          <w:sz w:val="16"/>
          <w:szCs w:val="16"/>
        </w:rPr>
        <w:t xml:space="preserve">1914 г. </w:t>
      </w:r>
      <w:r w:rsidR="00C306B1" w:rsidRPr="00405303">
        <w:rPr>
          <w:bCs/>
          <w:color w:val="002060"/>
          <w:sz w:val="16"/>
          <w:szCs w:val="16"/>
        </w:rPr>
        <w:t>было принято решение о строительстве завода Тамбовскогой порохового завода. (ГС завод № 204 НКОП, НКБ, Тамбовский пороховой завод ВСНХ, завод «Красный боевик» ВСНХ, НКТП, Завод № 25 НКТП, п/я 33, ГУП, ФГУП «Котовский завод пластмасс» (КЗП) Росбоеприпаса, ФАП, ФКП «Тамбовский пороховой завод» ФАП /г. Тамбов (1927 г.); пос. Красный боевик Тамбовской обл.;</w:t>
      </w:r>
      <w:r w:rsidR="000F5756">
        <w:rPr>
          <w:bCs/>
          <w:color w:val="002060"/>
          <w:sz w:val="16"/>
          <w:szCs w:val="16"/>
        </w:rPr>
        <w:t xml:space="preserve"> </w:t>
      </w:r>
      <w:r w:rsidR="00C306B1" w:rsidRPr="00405303">
        <w:rPr>
          <w:bCs/>
          <w:color w:val="002060"/>
          <w:sz w:val="16"/>
          <w:szCs w:val="16"/>
        </w:rPr>
        <w:t>г. Котовск п/я 33 «Боевик» (1943 г.)/ /393190</w:t>
      </w:r>
      <w:r w:rsidR="000F5756">
        <w:rPr>
          <w:bCs/>
          <w:color w:val="002060"/>
          <w:sz w:val="16"/>
          <w:szCs w:val="16"/>
        </w:rPr>
        <w:t xml:space="preserve"> </w:t>
      </w:r>
      <w:r w:rsidR="00C306B1" w:rsidRPr="00405303">
        <w:rPr>
          <w:bCs/>
          <w:color w:val="002060"/>
          <w:sz w:val="16"/>
          <w:szCs w:val="16"/>
        </w:rPr>
        <w:t xml:space="preserve">г. Котовск Тамбовской обл. пр. Труда, </w:t>
      </w:r>
      <w:r w:rsidR="00C306B1" w:rsidRPr="00405303">
        <w:rPr>
          <w:bCs/>
          <w:color w:val="002060"/>
          <w:sz w:val="16"/>
          <w:szCs w:val="16"/>
        </w:rPr>
        <w:lastRenderedPageBreak/>
        <w:t xml:space="preserve">23 тел. 22-759/) </w:t>
      </w:r>
      <w:r w:rsidRPr="00405303">
        <w:rPr>
          <w:bCs/>
          <w:color w:val="002060"/>
          <w:sz w:val="16"/>
          <w:szCs w:val="16"/>
        </w:rPr>
        <w:t>Штат завода утвержден 3.11.1915 г. Тамбовский казенный пороховой завод введен в строй приказом по заводу № 1 от 12.11.1915 г. В 12.1916 г. выпущена первая продукция - винтовочный порох.</w:t>
      </w:r>
    </w:p>
    <w:p w14:paraId="03879925" w14:textId="538DE254" w:rsidR="004B4E35" w:rsidRPr="00405303" w:rsidRDefault="009E6F82" w:rsidP="00C15251">
      <w:pPr>
        <w:jc w:val="both"/>
        <w:rPr>
          <w:bCs/>
          <w:color w:val="002060"/>
          <w:sz w:val="16"/>
          <w:szCs w:val="16"/>
        </w:rPr>
      </w:pPr>
      <w:r w:rsidRPr="00405303">
        <w:rPr>
          <w:bCs/>
          <w:color w:val="002060"/>
          <w:sz w:val="16"/>
          <w:szCs w:val="16"/>
        </w:rPr>
        <w:t>В 1919 г. завод и поселок получил название «Красный боевик». До начала 1930-х</w:t>
      </w:r>
      <w:r w:rsidR="000F5756">
        <w:rPr>
          <w:bCs/>
          <w:color w:val="002060"/>
          <w:sz w:val="16"/>
          <w:szCs w:val="16"/>
        </w:rPr>
        <w:t xml:space="preserve"> </w:t>
      </w:r>
      <w:r w:rsidRPr="00405303">
        <w:rPr>
          <w:bCs/>
          <w:color w:val="002060"/>
          <w:sz w:val="16"/>
          <w:szCs w:val="16"/>
        </w:rPr>
        <w:t xml:space="preserve">г. на заводе лишь перерабатывались импортные и трофейные пороха, в 1932 г. выпущен первый пироксилиновый </w:t>
      </w:r>
      <w:r w:rsidRPr="00405303">
        <w:rPr>
          <w:bCs/>
          <w:color w:val="002060"/>
          <w:sz w:val="16"/>
          <w:szCs w:val="16"/>
          <w:lang w:val="en-US"/>
        </w:rPr>
        <w:t>iiuj</w:t>
      </w:r>
      <w:r w:rsidRPr="00405303">
        <w:rPr>
          <w:bCs/>
          <w:color w:val="002060"/>
          <w:sz w:val="16"/>
          <w:szCs w:val="16"/>
        </w:rPr>
        <w:t>., произведенный самостоятельно. Приказом № 0021 от 3.02.1937 г. заводу предписано к 1.01.1938 г. создать мощности по выпуску пороха - 20 тыс. т в год; приказом № 046с от 9.03.1937 г. - построить в 1937 г. рекуперационную и ректификационную установки.</w:t>
      </w:r>
    </w:p>
    <w:p w14:paraId="040AD7AB" w14:textId="77777777" w:rsidR="004B4E35" w:rsidRPr="00405303" w:rsidRDefault="009E6F82" w:rsidP="00C15251">
      <w:pPr>
        <w:jc w:val="both"/>
        <w:rPr>
          <w:bCs/>
          <w:color w:val="002060"/>
          <w:sz w:val="16"/>
          <w:szCs w:val="16"/>
        </w:rPr>
      </w:pPr>
      <w:r w:rsidRPr="00405303">
        <w:rPr>
          <w:bCs/>
          <w:color w:val="002060"/>
          <w:sz w:val="16"/>
          <w:szCs w:val="16"/>
        </w:rPr>
        <w:t>В 1924 г. Тамбовский пороховой завод - в ведении ГУВП. В соответствии с пост. СНК от 27.04.1926 г. по пр. ВСНХ/НКВМ/ОГПУ № 73сс от 9.07.1927 г. Тамбовский пороховой завод с 1.10.1927 г. переименован в завод «Красный боевик» в ведении Вохимтреста УВП ВСНХ.</w:t>
      </w:r>
      <w:r w:rsidRPr="00405303">
        <w:rPr>
          <w:bCs/>
          <w:color w:val="002060"/>
          <w:sz w:val="16"/>
          <w:szCs w:val="16"/>
          <w:vertAlign w:val="superscript"/>
        </w:rPr>
        <w:t>133</w:t>
      </w:r>
      <w:r w:rsidRPr="00405303">
        <w:rPr>
          <w:bCs/>
          <w:color w:val="002060"/>
          <w:sz w:val="16"/>
          <w:szCs w:val="16"/>
        </w:rPr>
        <w:t xml:space="preserve"> К 1933 г. передан другому ведомству." В соответствии с пост. СНК № 2139-425сс от 21.12.1936 г. и пр. НКОП № 05с от 29.12.1936 г. завод «Красный боевик» (именовался также завод № 25) передан из Порохового треста НКТП в ГУ военно-химической промышленности НКОП, по пр. № Обсс от 30.12.1936 г. переименован в завод № 204. Приказом № 107 от 21.03.1937 г. утвержден Устав ГС завода № 204 6ГУ НКОП. В соответствии с пост. СНК № 1960-390сс от 5.11.1936 г. и пр. № 068 от 2.04.1937 г. завод переведен в группу особо режимных предприятий. По пр. № 0089 от 20.04.1937 г. передан из 6ГУ в новое 11ГУ. В 02.1939 г. завод № 204 11ГУ НКОП передан в ведение 11ГУ НКБ, в 12.1942-04.1943 г. - в ведении ЗГУ НКБ, в 08.1943-09.1944 г. - в ведении 9ГУ.</w:t>
      </w:r>
    </w:p>
    <w:p w14:paraId="2F006994" w14:textId="77777777" w:rsidR="004B4E35" w:rsidRPr="00405303" w:rsidRDefault="009E6F82" w:rsidP="00C15251">
      <w:pPr>
        <w:jc w:val="both"/>
        <w:rPr>
          <w:bCs/>
          <w:color w:val="002060"/>
          <w:sz w:val="16"/>
          <w:szCs w:val="16"/>
        </w:rPr>
      </w:pPr>
      <w:r w:rsidRPr="00405303">
        <w:rPr>
          <w:bCs/>
          <w:color w:val="002060"/>
          <w:sz w:val="16"/>
          <w:szCs w:val="16"/>
        </w:rPr>
        <w:t>Проектная мощность завода: на 1.07.1941 г.- 1500 т пироксилинового пороха в месяц; перед эвакуацией: пироксилиновый порох- 22 тыс. т в год; олеум- 10 тыс. т; азотная кислота- 9 тыс. т.</w:t>
      </w:r>
    </w:p>
    <w:p w14:paraId="3DDF1DEB" w14:textId="77777777" w:rsidR="004B4E35" w:rsidRPr="00405303" w:rsidRDefault="009E6F82" w:rsidP="00C15251">
      <w:pPr>
        <w:jc w:val="both"/>
        <w:rPr>
          <w:bCs/>
          <w:color w:val="002060"/>
          <w:sz w:val="16"/>
          <w:szCs w:val="16"/>
        </w:rPr>
      </w:pPr>
      <w:r w:rsidRPr="00405303">
        <w:rPr>
          <w:bCs/>
          <w:color w:val="002060"/>
          <w:sz w:val="16"/>
          <w:szCs w:val="16"/>
        </w:rPr>
        <w:t>В начале войны завод № 204 ЗГУ частично эвакуирован на завод № 850. 27.12.1941 г. вышло постановление ГКО № 1071 о восстановлении производства пироксилиновых порохов на заводе № 204. В 07.1942 г. закончена реэвакуация и восстановление производства. Проектная мощность завода: на 1.01.1942 г. - 80</w:t>
      </w:r>
      <w:r w:rsidRPr="00405303">
        <w:rPr>
          <w:bCs/>
          <w:color w:val="002060"/>
          <w:sz w:val="16"/>
          <w:szCs w:val="16"/>
          <w:lang w:val="en-US"/>
        </w:rPr>
        <w:t>Q</w:t>
      </w:r>
      <w:r w:rsidRPr="00405303">
        <w:rPr>
          <w:bCs/>
          <w:color w:val="002060"/>
          <w:sz w:val="16"/>
          <w:szCs w:val="16"/>
        </w:rPr>
        <w:t>т в месяц; выпускал в конце 1941-начале 1942 г.- 200...300 т в месяц. В 07.1942 г. вышло постановление ГКО (возможно, № 2009 от 10.07.1942 г.) об увеличении производственной мощности завода № 204 в 1,7 раза по сравнению с довоенной. Проектная мощность на 1.01.1943 г.- 1800, на 1.01.1945 г.- 2500 т в месяц.</w:t>
      </w:r>
    </w:p>
    <w:p w14:paraId="338BA154" w14:textId="77777777" w:rsidR="004B4E35" w:rsidRPr="00405303" w:rsidRDefault="009E6F82" w:rsidP="00C15251">
      <w:pPr>
        <w:jc w:val="both"/>
        <w:rPr>
          <w:bCs/>
          <w:color w:val="002060"/>
          <w:sz w:val="16"/>
          <w:szCs w:val="16"/>
        </w:rPr>
      </w:pPr>
      <w:r w:rsidRPr="00405303">
        <w:rPr>
          <w:bCs/>
          <w:color w:val="002060"/>
          <w:sz w:val="16"/>
          <w:szCs w:val="16"/>
        </w:rPr>
        <w:t>В конце 1941 г. на заводе разработаны и производились противотанковые гранаты, в конце 1942 г. освоен выпуск зарядов из смеси пироксилинового пороха собственного производства и импортного. В годы ВОВ произведено 110 тыс. т. пироксилинового пороха и 50 млн. зарядов для бронебойных снарядов (85-мм зенитные орудия, 76-мм пушки, 152-мм пушки-гаубицы, зарядов к 57-мм пушкам ЗИС-2, пороха 4/7 для авиационного пулемета, винтовочного пороха под пулю Б-32, пороха 22/1 для 122-мм пушки А-19).</w:t>
      </w:r>
    </w:p>
    <w:p w14:paraId="0EB8EF02" w14:textId="77777777" w:rsidR="004B4E35" w:rsidRPr="00405303" w:rsidRDefault="009E6F82" w:rsidP="00C15251">
      <w:pPr>
        <w:jc w:val="both"/>
        <w:rPr>
          <w:bCs/>
          <w:color w:val="002060"/>
          <w:sz w:val="16"/>
          <w:szCs w:val="16"/>
        </w:rPr>
      </w:pPr>
      <w:r w:rsidRPr="00405303">
        <w:rPr>
          <w:bCs/>
          <w:color w:val="002060"/>
          <w:sz w:val="16"/>
          <w:szCs w:val="16"/>
        </w:rPr>
        <w:t xml:space="preserve">В составе завода (1943 г.): основные производства: сернокислотное, азотнокислотное, пироксилиновое, </w:t>
      </w:r>
      <w:proofErr w:type="gramStart"/>
      <w:r w:rsidRPr="00405303">
        <w:rPr>
          <w:bCs/>
          <w:color w:val="002060"/>
          <w:sz w:val="16"/>
          <w:szCs w:val="16"/>
        </w:rPr>
        <w:t>спирто-эфирное</w:t>
      </w:r>
      <w:proofErr w:type="gramEnd"/>
      <w:r w:rsidRPr="00405303">
        <w:rPr>
          <w:bCs/>
          <w:color w:val="002060"/>
          <w:sz w:val="16"/>
          <w:szCs w:val="16"/>
        </w:rPr>
        <w:t>, пороховое, зарядное, целлулоидное; вспомогательные: стрельбище, металло-тарный цех, ремонтно-механическая мастерская, энергосектор, транспортный отдел.</w:t>
      </w:r>
    </w:p>
    <w:p w14:paraId="67B5CAE2" w14:textId="220A0483" w:rsidR="004B4E35" w:rsidRPr="00405303" w:rsidRDefault="009E6F82" w:rsidP="00C15251">
      <w:pPr>
        <w:jc w:val="both"/>
        <w:rPr>
          <w:bCs/>
          <w:color w:val="002060"/>
          <w:sz w:val="16"/>
          <w:szCs w:val="16"/>
        </w:rPr>
      </w:pPr>
      <w:r w:rsidRPr="00405303">
        <w:rPr>
          <w:bCs/>
          <w:color w:val="002060"/>
          <w:sz w:val="16"/>
          <w:szCs w:val="16"/>
        </w:rPr>
        <w:t>После войны освоен выпуск целлулоида, пенопласта, обувного гранитоля, этрола, лакокрасочных материалов. В 1970-х</w:t>
      </w:r>
      <w:r w:rsidR="000F5756">
        <w:rPr>
          <w:bCs/>
          <w:color w:val="002060"/>
          <w:sz w:val="16"/>
          <w:szCs w:val="16"/>
        </w:rPr>
        <w:t xml:space="preserve"> </w:t>
      </w:r>
      <w:r w:rsidRPr="00405303">
        <w:rPr>
          <w:bCs/>
          <w:color w:val="002060"/>
          <w:sz w:val="16"/>
          <w:szCs w:val="16"/>
        </w:rPr>
        <w:t>г. начато производство нетканых материалов, синтетической кожи, с начала 1990-х</w:t>
      </w:r>
      <w:r w:rsidR="000F5756">
        <w:rPr>
          <w:bCs/>
          <w:color w:val="002060"/>
          <w:sz w:val="16"/>
          <w:szCs w:val="16"/>
        </w:rPr>
        <w:t xml:space="preserve"> </w:t>
      </w:r>
      <w:r w:rsidRPr="00405303">
        <w:rPr>
          <w:bCs/>
          <w:color w:val="002060"/>
          <w:sz w:val="16"/>
          <w:szCs w:val="16"/>
        </w:rPr>
        <w:t>г.- пластикатов, охотничьих порохов. В 2000-е</w:t>
      </w:r>
      <w:r w:rsidR="000F5756">
        <w:rPr>
          <w:bCs/>
          <w:color w:val="002060"/>
          <w:sz w:val="16"/>
          <w:szCs w:val="16"/>
        </w:rPr>
        <w:t xml:space="preserve"> </w:t>
      </w:r>
      <w:r w:rsidRPr="00405303">
        <w:rPr>
          <w:bCs/>
          <w:color w:val="002060"/>
          <w:sz w:val="16"/>
          <w:szCs w:val="16"/>
        </w:rPr>
        <w:t>г. проведена реконструкция, построены новые корпуса, пущен участок по производству пигментных паст, пентафталевых эмалей, линия ПВА дисперсии.</w:t>
      </w:r>
    </w:p>
    <w:p w14:paraId="443531EB" w14:textId="77777777" w:rsidR="004B4E35" w:rsidRPr="00405303" w:rsidRDefault="009E6F82" w:rsidP="00C15251">
      <w:pPr>
        <w:jc w:val="both"/>
        <w:rPr>
          <w:bCs/>
          <w:color w:val="002060"/>
          <w:sz w:val="16"/>
          <w:szCs w:val="16"/>
        </w:rPr>
      </w:pPr>
      <w:r w:rsidRPr="00405303">
        <w:rPr>
          <w:bCs/>
          <w:color w:val="002060"/>
          <w:sz w:val="16"/>
          <w:szCs w:val="16"/>
        </w:rPr>
        <w:t>КЗП являлся градообразующим предприятием.</w:t>
      </w:r>
    </w:p>
    <w:p w14:paraId="47C8DAD7" w14:textId="77777777" w:rsidR="004B4E35" w:rsidRPr="00405303" w:rsidRDefault="009E6F82" w:rsidP="00C15251">
      <w:pPr>
        <w:jc w:val="both"/>
        <w:rPr>
          <w:bCs/>
          <w:color w:val="002060"/>
          <w:sz w:val="16"/>
          <w:szCs w:val="16"/>
        </w:rPr>
      </w:pPr>
      <w:r w:rsidRPr="00405303">
        <w:rPr>
          <w:bCs/>
          <w:color w:val="002060"/>
          <w:sz w:val="16"/>
          <w:szCs w:val="16"/>
        </w:rPr>
        <w:t>Производство (2005 г.): бронебойные подкалиберные выстрелы для танковых пушек; пироксилиновые пороха.</w:t>
      </w:r>
    </w:p>
    <w:p w14:paraId="7F80351B" w14:textId="77777777" w:rsidR="004B4E35" w:rsidRPr="00405303" w:rsidRDefault="009E6F82" w:rsidP="00C15251">
      <w:pPr>
        <w:jc w:val="both"/>
        <w:rPr>
          <w:bCs/>
          <w:color w:val="002060"/>
          <w:sz w:val="16"/>
          <w:szCs w:val="16"/>
        </w:rPr>
      </w:pPr>
      <w:r w:rsidRPr="00405303">
        <w:rPr>
          <w:bCs/>
          <w:color w:val="002060"/>
          <w:sz w:val="16"/>
          <w:szCs w:val="16"/>
        </w:rPr>
        <w:t>В 1996 г. вошел в состав ТПФГ «Точность». По Указу Президента РФ № 1009 от 4.08.2004 г. вошел в число стратегических оборонных предприятий. В 2006 г. ФГУП КЗП преобразовано в ФКП «Тамбовский пороховой завод». По приказу ФАП № 56 от 5.02.2007 г. завод вошел в состав НП «Пороховые заводы».</w:t>
      </w:r>
    </w:p>
    <w:p w14:paraId="74824631" w14:textId="77777777" w:rsidR="004B4E35" w:rsidRPr="00405303" w:rsidRDefault="009E6F82" w:rsidP="00C15251">
      <w:pPr>
        <w:jc w:val="both"/>
        <w:rPr>
          <w:bCs/>
          <w:color w:val="002060"/>
          <w:sz w:val="16"/>
          <w:szCs w:val="16"/>
        </w:rPr>
      </w:pPr>
      <w:r w:rsidRPr="00405303">
        <w:rPr>
          <w:bCs/>
          <w:color w:val="002060"/>
          <w:sz w:val="16"/>
          <w:szCs w:val="16"/>
        </w:rPr>
        <w:t>Площадь (1943 г.): производственная- 85645 м</w:t>
      </w:r>
      <w:r w:rsidRPr="00405303">
        <w:rPr>
          <w:bCs/>
          <w:color w:val="002060"/>
          <w:sz w:val="16"/>
          <w:szCs w:val="16"/>
          <w:vertAlign w:val="superscript"/>
        </w:rPr>
        <w:t>2</w:t>
      </w:r>
      <w:r w:rsidRPr="00405303">
        <w:rPr>
          <w:bCs/>
          <w:color w:val="002060"/>
          <w:sz w:val="16"/>
          <w:szCs w:val="16"/>
        </w:rPr>
        <w:t>; вспомогательная- 42497 м</w:t>
      </w:r>
      <w:r w:rsidRPr="00405303">
        <w:rPr>
          <w:bCs/>
          <w:color w:val="002060"/>
          <w:sz w:val="16"/>
          <w:szCs w:val="16"/>
          <w:vertAlign w:val="superscript"/>
        </w:rPr>
        <w:t>2</w:t>
      </w:r>
      <w:r w:rsidRPr="00405303">
        <w:rPr>
          <w:bCs/>
          <w:color w:val="002060"/>
          <w:sz w:val="16"/>
          <w:szCs w:val="16"/>
        </w:rPr>
        <w:t>; прочая- 30737 м</w:t>
      </w:r>
      <w:r w:rsidRPr="00405303">
        <w:rPr>
          <w:bCs/>
          <w:color w:val="002060"/>
          <w:sz w:val="16"/>
          <w:szCs w:val="16"/>
          <w:vertAlign w:val="superscript"/>
        </w:rPr>
        <w:t>2</w:t>
      </w:r>
      <w:r w:rsidRPr="00405303">
        <w:rPr>
          <w:bCs/>
          <w:color w:val="002060"/>
          <w:sz w:val="16"/>
          <w:szCs w:val="16"/>
        </w:rPr>
        <w:t>.</w:t>
      </w:r>
    </w:p>
    <w:p w14:paraId="44CBA988" w14:textId="77777777" w:rsidR="004B4E35" w:rsidRPr="00405303" w:rsidRDefault="009E6F82" w:rsidP="00C15251">
      <w:pPr>
        <w:jc w:val="both"/>
        <w:rPr>
          <w:bCs/>
          <w:color w:val="002060"/>
          <w:sz w:val="16"/>
          <w:szCs w:val="16"/>
        </w:rPr>
      </w:pPr>
      <w:r w:rsidRPr="00405303">
        <w:rPr>
          <w:bCs/>
          <w:color w:val="002060"/>
          <w:sz w:val="16"/>
          <w:szCs w:val="16"/>
        </w:rPr>
        <w:t>Численность персонала (до революции)- 6000 чел., (12.1942 г.)- 7901 чел.</w:t>
      </w:r>
    </w:p>
    <w:p w14:paraId="54339741" w14:textId="77777777" w:rsidR="004B4E35" w:rsidRPr="00405303" w:rsidRDefault="009E6F82" w:rsidP="00C15251">
      <w:pPr>
        <w:jc w:val="both"/>
        <w:rPr>
          <w:bCs/>
          <w:color w:val="002060"/>
          <w:sz w:val="16"/>
          <w:szCs w:val="16"/>
        </w:rPr>
      </w:pPr>
      <w:r w:rsidRPr="00405303">
        <w:rPr>
          <w:bCs/>
          <w:color w:val="002060"/>
          <w:sz w:val="16"/>
          <w:szCs w:val="16"/>
        </w:rPr>
        <w:t>Начальник (1914 г.-)- г-м Т.С. Мионичинский; и.о. (09.1915 г.)- п И.А. Скосырский; (1927 г.)- М. Моисеев, Ш. Зайденберг, П. Козловский, (-06-22.И.1937 г.)- И. Г. Семенов (снят). Директор (13.01.1938-40 г.)- М.П. Дынкин, (1940-42 г.)- Ф.К. Губанов, (04.1942-44 г.-)- Н.Е. Стрельцов, (1945 г.)- В.Л. Ивченков; и.о. начальника (1946-47 г.)- С.И. Айзенберг, (1947-68 г.)- Т.А. Долматов, (1968-75 г.)- Н.Б. Письменный, (1975-83 г.)- В.И. Паничкин, (1983- 89 г.)- В.М. Бедный, (1989 г.-)- Н.П. Горохов. Гендиректор (05.2005-07 г.-)- В.Ф. Харитонов.</w:t>
      </w:r>
    </w:p>
    <w:p w14:paraId="5A3E7214" w14:textId="77777777" w:rsidR="004B4E35" w:rsidRPr="00405303" w:rsidRDefault="009E6F82" w:rsidP="00C15251">
      <w:pPr>
        <w:jc w:val="both"/>
        <w:rPr>
          <w:bCs/>
          <w:color w:val="002060"/>
          <w:sz w:val="16"/>
          <w:szCs w:val="16"/>
        </w:rPr>
      </w:pPr>
      <w:r w:rsidRPr="00405303">
        <w:rPr>
          <w:bCs/>
          <w:color w:val="002060"/>
          <w:sz w:val="16"/>
          <w:szCs w:val="16"/>
        </w:rPr>
        <w:t>Помощник начальника (директора): по строительной части (1914 г.-)- Д.К. Квятковский; по технической части (1914 г.-)- м Н.С. Деханов; по хозяйственной части (1914 г.-)- пп М.Н. Рубан; по найму и увольнению (31.05.1938 г.-)- Н.Т. Панин; (-29.11.1937 г.)- М.Е. Гусев.</w:t>
      </w:r>
    </w:p>
    <w:p w14:paraId="28AB3E76" w14:textId="77777777" w:rsidR="004B4E35" w:rsidRPr="00405303" w:rsidRDefault="009E6F82" w:rsidP="00C15251">
      <w:pPr>
        <w:jc w:val="both"/>
        <w:rPr>
          <w:bCs/>
          <w:color w:val="002060"/>
          <w:sz w:val="16"/>
          <w:szCs w:val="16"/>
        </w:rPr>
      </w:pPr>
      <w:r w:rsidRPr="00405303">
        <w:rPr>
          <w:bCs/>
          <w:color w:val="002060"/>
          <w:sz w:val="16"/>
          <w:szCs w:val="16"/>
        </w:rPr>
        <w:t>Технический директор (-7.06.1937 г.)- Д.И. Гальперин.</w:t>
      </w:r>
    </w:p>
    <w:p w14:paraId="4C87FC80" w14:textId="77777777" w:rsidR="004B4E35" w:rsidRPr="00405303" w:rsidRDefault="009E6F82" w:rsidP="00C15251">
      <w:pPr>
        <w:jc w:val="both"/>
        <w:rPr>
          <w:bCs/>
          <w:color w:val="002060"/>
          <w:sz w:val="16"/>
          <w:szCs w:val="16"/>
        </w:rPr>
      </w:pPr>
      <w:r w:rsidRPr="00405303">
        <w:rPr>
          <w:bCs/>
          <w:color w:val="002060"/>
          <w:sz w:val="16"/>
          <w:szCs w:val="16"/>
        </w:rPr>
        <w:t>Гл. инженер (06.1937 г.)- Н.А. Волков, (1941 г.)- М.М. Тропп, (04.1943 г.)- С.И. Айзенбер г.</w:t>
      </w:r>
      <w:r w:rsidRPr="00405303">
        <w:rPr>
          <w:bCs/>
          <w:color w:val="002060"/>
          <w:sz w:val="16"/>
          <w:szCs w:val="16"/>
          <w:vertAlign w:val="superscript"/>
        </w:rPr>
        <w:t>55</w:t>
      </w:r>
      <w:r w:rsidRPr="00405303">
        <w:rPr>
          <w:bCs/>
          <w:color w:val="002060"/>
          <w:sz w:val="16"/>
          <w:szCs w:val="16"/>
        </w:rPr>
        <w:t>'</w:t>
      </w:r>
      <w:r w:rsidRPr="00405303">
        <w:rPr>
          <w:bCs/>
          <w:color w:val="002060"/>
          <w:sz w:val="16"/>
          <w:szCs w:val="16"/>
          <w:vertAlign w:val="superscript"/>
        </w:rPr>
        <w:t>56</w:t>
      </w:r>
    </w:p>
    <w:p w14:paraId="17EE86DB" w14:textId="77777777" w:rsidR="004B4E35" w:rsidRPr="00405303" w:rsidRDefault="009E6F82" w:rsidP="00C15251">
      <w:pPr>
        <w:jc w:val="both"/>
        <w:rPr>
          <w:bCs/>
          <w:color w:val="002060"/>
          <w:sz w:val="16"/>
          <w:szCs w:val="16"/>
        </w:rPr>
      </w:pPr>
      <w:r w:rsidRPr="00405303">
        <w:rPr>
          <w:bCs/>
          <w:color w:val="002060"/>
          <w:sz w:val="16"/>
          <w:szCs w:val="16"/>
        </w:rPr>
        <w:t>Зам. гл. инженера по по производству (1987 г.-)- Н.П. Горохов.</w:t>
      </w:r>
      <w:r w:rsidRPr="00405303">
        <w:rPr>
          <w:bCs/>
          <w:color w:val="002060"/>
          <w:sz w:val="16"/>
          <w:szCs w:val="16"/>
          <w:vertAlign w:val="superscript"/>
        </w:rPr>
        <w:t>101</w:t>
      </w:r>
    </w:p>
    <w:p w14:paraId="34B8368F" w14:textId="77777777" w:rsidR="004B4E35" w:rsidRPr="00405303" w:rsidRDefault="009E6F82" w:rsidP="00C15251">
      <w:pPr>
        <w:jc w:val="both"/>
        <w:rPr>
          <w:bCs/>
          <w:color w:val="002060"/>
          <w:sz w:val="16"/>
          <w:szCs w:val="16"/>
        </w:rPr>
      </w:pPr>
      <w:r w:rsidRPr="00405303">
        <w:rPr>
          <w:bCs/>
          <w:color w:val="002060"/>
          <w:sz w:val="16"/>
          <w:szCs w:val="16"/>
        </w:rPr>
        <w:t>Гл. энергетик (1941 г.)- М.А. Кучеров. Гл. механик (1941 г.)- Я.Д. Плотников.</w:t>
      </w:r>
    </w:p>
    <w:p w14:paraId="1A11CBDE" w14:textId="600922A5" w:rsidR="004B4E35" w:rsidRPr="00405303" w:rsidRDefault="009E6F82" w:rsidP="00C15251">
      <w:pPr>
        <w:jc w:val="both"/>
        <w:rPr>
          <w:bCs/>
          <w:color w:val="002060"/>
          <w:sz w:val="16"/>
          <w:szCs w:val="16"/>
        </w:rPr>
      </w:pPr>
      <w:r w:rsidRPr="00405303">
        <w:rPr>
          <w:bCs/>
          <w:color w:val="002060"/>
          <w:sz w:val="16"/>
          <w:szCs w:val="16"/>
        </w:rPr>
        <w:t>Начальники цехов: (ВОВ)- Т.А. Далматов, (ВОВ)- И.Я. Забеленков, (ВОВ)- М.М. Курышев, (ВОВ)- Ф.А. Ремизов, (ВОВ)- А.К. Сакин. Комендант (1935-37 г.-)-</w:t>
      </w:r>
      <w:r w:rsidR="000F5756">
        <w:rPr>
          <w:bCs/>
          <w:color w:val="002060"/>
          <w:sz w:val="16"/>
          <w:szCs w:val="16"/>
        </w:rPr>
        <w:t xml:space="preserve"> </w:t>
      </w:r>
      <w:r w:rsidRPr="00405303">
        <w:rPr>
          <w:bCs/>
          <w:color w:val="002060"/>
          <w:sz w:val="16"/>
          <w:szCs w:val="16"/>
        </w:rPr>
        <w:t>Г.Ф. Федоров.</w:t>
      </w:r>
    </w:p>
    <w:p w14:paraId="37C6B4CD" w14:textId="77777777" w:rsidR="004B4E35" w:rsidRPr="00405303" w:rsidRDefault="009E6F82" w:rsidP="00C15251">
      <w:pPr>
        <w:jc w:val="both"/>
        <w:rPr>
          <w:bCs/>
          <w:color w:val="002060"/>
          <w:sz w:val="16"/>
          <w:szCs w:val="16"/>
        </w:rPr>
      </w:pPr>
      <w:r w:rsidRPr="00405303">
        <w:rPr>
          <w:bCs/>
          <w:color w:val="002060"/>
          <w:sz w:val="16"/>
          <w:szCs w:val="16"/>
        </w:rPr>
        <w:t>Начальник ОТК (ВОВ)- Л.П. Хряпин.</w:t>
      </w:r>
    </w:p>
    <w:p w14:paraId="5D12FC4E" w14:textId="77777777" w:rsidR="004B4E35" w:rsidRPr="00405303" w:rsidRDefault="009E6F82" w:rsidP="00C15251">
      <w:pPr>
        <w:jc w:val="both"/>
        <w:rPr>
          <w:bCs/>
          <w:color w:val="002060"/>
          <w:sz w:val="16"/>
          <w:szCs w:val="16"/>
        </w:rPr>
      </w:pPr>
      <w:r w:rsidRPr="00405303">
        <w:rPr>
          <w:bCs/>
          <w:color w:val="002060"/>
          <w:sz w:val="16"/>
          <w:szCs w:val="16"/>
        </w:rPr>
        <w:t>Производство: порох пироксилиновый, заряды; олеум, азотная кислота, купоросное масло, пироксилин, эфир, спирт-ректификат, целлулоид, нитромастика (1943) (11982).</w:t>
      </w:r>
    </w:p>
    <w:p w14:paraId="3C662264" w14:textId="77777777" w:rsidR="00D340DA" w:rsidRPr="00405303" w:rsidRDefault="00D340DA" w:rsidP="00C15251">
      <w:pPr>
        <w:shd w:val="clear" w:color="auto" w:fill="FFFFFF"/>
        <w:jc w:val="both"/>
        <w:rPr>
          <w:bCs/>
          <w:i/>
          <w:color w:val="002060"/>
          <w:sz w:val="16"/>
          <w:szCs w:val="16"/>
        </w:rPr>
      </w:pPr>
    </w:p>
    <w:p w14:paraId="2325C1F9" w14:textId="2812A618" w:rsidR="00B66E3C" w:rsidRPr="00405303" w:rsidRDefault="00B66E3C" w:rsidP="00C15251">
      <w:pPr>
        <w:shd w:val="clear" w:color="auto" w:fill="FFFFFF"/>
        <w:jc w:val="both"/>
        <w:rPr>
          <w:bCs/>
          <w:i/>
          <w:color w:val="002060"/>
          <w:sz w:val="16"/>
          <w:szCs w:val="16"/>
        </w:rPr>
      </w:pPr>
      <w:r w:rsidRPr="00405303">
        <w:rPr>
          <w:bCs/>
          <w:i/>
          <w:color w:val="002060"/>
          <w:sz w:val="16"/>
          <w:szCs w:val="16"/>
        </w:rPr>
        <w:t>Авиация:</w:t>
      </w:r>
    </w:p>
    <w:p w14:paraId="616AB16C" w14:textId="77777777" w:rsidR="00B66E3C" w:rsidRPr="00405303" w:rsidRDefault="00B66E3C" w:rsidP="00C15251">
      <w:pPr>
        <w:shd w:val="clear" w:color="auto" w:fill="FFFFFF"/>
        <w:jc w:val="both"/>
        <w:rPr>
          <w:bCs/>
          <w:i/>
          <w:color w:val="002060"/>
          <w:sz w:val="16"/>
          <w:szCs w:val="16"/>
        </w:rPr>
      </w:pPr>
    </w:p>
    <w:p w14:paraId="5525753E" w14:textId="26A4753D" w:rsidR="00B66E3C" w:rsidRPr="00405303" w:rsidRDefault="00B66E3C" w:rsidP="00C15251">
      <w:pPr>
        <w:jc w:val="both"/>
        <w:rPr>
          <w:bCs/>
          <w:color w:val="002060"/>
          <w:sz w:val="16"/>
          <w:szCs w:val="16"/>
        </w:rPr>
      </w:pPr>
      <w:bookmarkStart w:id="129" w:name="bookmark155"/>
      <w:r w:rsidRPr="00405303">
        <w:rPr>
          <w:bCs/>
          <w:color w:val="002060"/>
          <w:sz w:val="16"/>
          <w:szCs w:val="16"/>
        </w:rPr>
        <w:t>5 (18) мая 1915 г. утром три германских аэроплана атаковали наш санитарный поезд (Галицийская железная дорога) во время выгрузки из него раненых, которыми, по словам очевидцев, был заполнен вокзал и платформа. Всего было сброшено до 16 бомб. Их осколками ранено несколько нижних чинов (23405).</w:t>
      </w:r>
      <w:bookmarkEnd w:id="129"/>
    </w:p>
    <w:p w14:paraId="190FB2C7" w14:textId="77777777" w:rsidR="00B66E3C" w:rsidRPr="00405303" w:rsidRDefault="00B66E3C" w:rsidP="00C15251">
      <w:pPr>
        <w:jc w:val="both"/>
        <w:rPr>
          <w:bCs/>
          <w:color w:val="002060"/>
          <w:sz w:val="16"/>
          <w:szCs w:val="16"/>
          <w:lang w:bidi="ru-RU"/>
        </w:rPr>
      </w:pPr>
    </w:p>
    <w:p w14:paraId="0A4A3B50" w14:textId="032A5B2E" w:rsidR="00B66E3C" w:rsidRPr="00405303" w:rsidRDefault="00B66E3C" w:rsidP="00C15251">
      <w:pPr>
        <w:jc w:val="both"/>
        <w:rPr>
          <w:bCs/>
          <w:color w:val="002060"/>
          <w:sz w:val="16"/>
          <w:szCs w:val="16"/>
        </w:rPr>
      </w:pPr>
      <w:r w:rsidRPr="00405303">
        <w:rPr>
          <w:bCs/>
          <w:color w:val="002060"/>
          <w:sz w:val="16"/>
          <w:szCs w:val="16"/>
        </w:rPr>
        <w:t>5 (18) мая 1915 г. под огонь наших боевых расчетов попал германский гидросамолет, проводивший разведку Либавы. В свою очередь немецкие летчики путем планомерных облетов города получили сведения, что крепость не могла оказать серьезного сопротивления. Воздушное обеспечение действий неприятельской морской группы в районе города-порта осуществляли экипажи четырех гидросамолетов, размещенных на борту авиаматки «Глиндер» (Glinder) (23405).</w:t>
      </w:r>
    </w:p>
    <w:p w14:paraId="5CD21652" w14:textId="77777777" w:rsidR="00B66E3C" w:rsidRPr="00405303" w:rsidRDefault="00B66E3C" w:rsidP="00C15251">
      <w:pPr>
        <w:jc w:val="both"/>
        <w:rPr>
          <w:bCs/>
          <w:color w:val="002060"/>
          <w:sz w:val="16"/>
          <w:szCs w:val="16"/>
          <w:lang w:bidi="ru-RU"/>
        </w:rPr>
      </w:pPr>
    </w:p>
    <w:p w14:paraId="354218F1" w14:textId="7A8F2AD2"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43C39B62" w14:textId="77777777" w:rsidR="004B4E35" w:rsidRPr="00405303" w:rsidRDefault="004B4E35" w:rsidP="00C15251">
      <w:pPr>
        <w:shd w:val="clear" w:color="auto" w:fill="FFFFFF"/>
        <w:jc w:val="both"/>
        <w:rPr>
          <w:bCs/>
          <w:i/>
          <w:color w:val="002060"/>
          <w:sz w:val="16"/>
          <w:szCs w:val="16"/>
        </w:rPr>
      </w:pPr>
    </w:p>
    <w:p w14:paraId="6DAC9D10" w14:textId="093DC6E8"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6 (19) мая </w:t>
      </w:r>
      <w:r w:rsidR="00C306B1" w:rsidRPr="00405303">
        <w:rPr>
          <w:bCs/>
          <w:i w:val="0"/>
          <w:color w:val="002060"/>
          <w:spacing w:val="0"/>
          <w:kern w:val="0"/>
          <w:position w:val="0"/>
          <w:sz w:val="16"/>
          <w:szCs w:val="16"/>
        </w:rPr>
        <w:t xml:space="preserve">1915 г. </w:t>
      </w:r>
      <w:r w:rsidRPr="00405303">
        <w:rPr>
          <w:bCs/>
          <w:i w:val="0"/>
          <w:color w:val="002060"/>
          <w:spacing w:val="0"/>
          <w:kern w:val="0"/>
          <w:position w:val="0"/>
          <w:sz w:val="16"/>
          <w:szCs w:val="16"/>
        </w:rPr>
        <w:t xml:space="preserve">председатель Особой распорядительной комиссии получил от начальника Штаба главковерха следующую телеграмму: </w:t>
      </w:r>
    </w:p>
    <w:p w14:paraId="12125D0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"Докладываю, что ввиду категорического обещания, данного генералом Китченером верховному главнокомандующему, оказать усиленное содействие по снабжению, и просьбы, лично к его высочеству обращенной, сообщить действительные единовременную и ежемесячную потребности в предметах артиллерийского снабжения, была послана телеграмма с указанием, что для активности армии и возможности вновь перейти в наступление необходимо пополнить комплекты пушечных патронов до 1 тысячи на орудие, что потребует сразу 3 миллиона, а для спокойной и действительной силы надо ежемесячно по 1,5 миллиона. Таким образом, ввиду настоящей просьбы Китченера указать ему потребности, таковые указаны в цифрах, считая, что если бы это удовлетворить, то это нисколько не уменьшает потребности русского производства. Избытка не будет, но только при условии, что поступления начнутся уже в июне" (11483).</w:t>
      </w:r>
    </w:p>
    <w:p w14:paraId="6587DD3C" w14:textId="77777777" w:rsidR="004B4E35" w:rsidRPr="00405303" w:rsidRDefault="004B4E35" w:rsidP="00C15251">
      <w:pPr>
        <w:pStyle w:val="a3"/>
        <w:jc w:val="both"/>
        <w:rPr>
          <w:bCs/>
          <w:i w:val="0"/>
          <w:color w:val="002060"/>
          <w:spacing w:val="0"/>
          <w:kern w:val="0"/>
          <w:position w:val="0"/>
          <w:sz w:val="16"/>
          <w:szCs w:val="16"/>
        </w:rPr>
      </w:pPr>
    </w:p>
    <w:p w14:paraId="31D802D2" w14:textId="5953C0F6" w:rsidR="00C369D7" w:rsidRPr="00405303" w:rsidRDefault="00C369D7" w:rsidP="00C15251">
      <w:pPr>
        <w:jc w:val="both"/>
        <w:rPr>
          <w:bCs/>
          <w:i/>
          <w:color w:val="002060"/>
          <w:sz w:val="16"/>
          <w:szCs w:val="16"/>
        </w:rPr>
      </w:pPr>
      <w:r w:rsidRPr="00405303">
        <w:rPr>
          <w:bCs/>
          <w:i/>
          <w:color w:val="002060"/>
          <w:sz w:val="16"/>
          <w:szCs w:val="16"/>
        </w:rPr>
        <w:t>Авиация:</w:t>
      </w:r>
    </w:p>
    <w:p w14:paraId="27544C35" w14:textId="77777777" w:rsidR="00C369D7" w:rsidRPr="00405303" w:rsidRDefault="00C369D7" w:rsidP="00C15251">
      <w:pPr>
        <w:jc w:val="both"/>
        <w:rPr>
          <w:bCs/>
          <w:i/>
          <w:color w:val="002060"/>
          <w:sz w:val="16"/>
          <w:szCs w:val="16"/>
        </w:rPr>
      </w:pPr>
    </w:p>
    <w:p w14:paraId="67FC5063" w14:textId="09A0F3D8" w:rsidR="00C369D7" w:rsidRPr="00405303" w:rsidRDefault="00C369D7" w:rsidP="00C15251">
      <w:pPr>
        <w:jc w:val="both"/>
        <w:rPr>
          <w:bCs/>
          <w:color w:val="002060"/>
          <w:sz w:val="16"/>
          <w:szCs w:val="16"/>
          <w:lang w:bidi="en-US"/>
        </w:rPr>
      </w:pPr>
      <w:r w:rsidRPr="00405303">
        <w:rPr>
          <w:bCs/>
          <w:color w:val="002060"/>
          <w:sz w:val="16"/>
          <w:szCs w:val="16"/>
          <w:lang w:bidi="en-US"/>
        </w:rPr>
        <w:lastRenderedPageBreak/>
        <w:t>6 (19) мая 1915 г британский военный атташе капитан Нейлсон сообщил, что русский летчик на Юго-Западном фронте сообщил ему, что он в течение трех недель сообщал о том, что немецкие войска концентрируются для атаки, но командующие армией не поверили ему (23525).</w:t>
      </w:r>
    </w:p>
    <w:p w14:paraId="55A4DC93" w14:textId="77777777" w:rsidR="00C369D7" w:rsidRPr="00405303" w:rsidRDefault="00C369D7" w:rsidP="00C15251">
      <w:pPr>
        <w:jc w:val="both"/>
        <w:rPr>
          <w:bCs/>
          <w:color w:val="002060"/>
          <w:sz w:val="16"/>
          <w:szCs w:val="16"/>
        </w:rPr>
      </w:pPr>
    </w:p>
    <w:p w14:paraId="77BCAFD9" w14:textId="520620EE" w:rsidR="00C209DA" w:rsidRPr="00405303" w:rsidRDefault="00C209DA" w:rsidP="00C15251">
      <w:pPr>
        <w:jc w:val="both"/>
        <w:rPr>
          <w:bCs/>
          <w:color w:val="002060"/>
          <w:sz w:val="16"/>
          <w:szCs w:val="16"/>
        </w:rPr>
      </w:pPr>
      <w:bookmarkStart w:id="130" w:name="bookmark72"/>
      <w:r w:rsidRPr="00405303">
        <w:rPr>
          <w:bCs/>
          <w:color w:val="002060"/>
          <w:sz w:val="16"/>
          <w:szCs w:val="16"/>
        </w:rPr>
        <w:t>6 (19) мая 1915 г. немецкие летчики были обстреляны над окрестностями оз. Тосмар (Тосмарес) севернее г. Либава. При этом им удалось установить факт постепенного оставления русскими частями города и их отступления в направлении г. Кулдига. Рано утром следующего дня передовые германские десантные подразделения вошли в Либаву. В дальнейшем германское командование использовало портовые сооружения Либавы для базирования своего флота, в том числе в качестве плацдарма для подготовки десантной операции на Моонзундский архипелаг (1917 г.). На берегу Либавского озера было развернуто морское воздухоплавательное отделение (20 гидроаэропланов с воздушной станцией) (23405).</w:t>
      </w:r>
      <w:bookmarkEnd w:id="130"/>
    </w:p>
    <w:p w14:paraId="1CB30707" w14:textId="77777777" w:rsidR="00C209DA" w:rsidRPr="00405303" w:rsidRDefault="00C209DA" w:rsidP="00C15251">
      <w:pPr>
        <w:jc w:val="both"/>
        <w:rPr>
          <w:bCs/>
          <w:color w:val="002060"/>
          <w:sz w:val="16"/>
          <w:szCs w:val="16"/>
          <w:lang w:bidi="ru-RU"/>
        </w:rPr>
      </w:pPr>
    </w:p>
    <w:p w14:paraId="5A330390" w14:textId="77777777" w:rsidR="00F51E86" w:rsidRPr="00405303" w:rsidRDefault="00F51E86" w:rsidP="00F51E86">
      <w:pPr>
        <w:jc w:val="both"/>
        <w:rPr>
          <w:color w:val="0070C0"/>
          <w:sz w:val="16"/>
          <w:szCs w:val="16"/>
        </w:rPr>
      </w:pPr>
      <w:r w:rsidRPr="00405303">
        <w:rPr>
          <w:rStyle w:val="aa"/>
          <w:rFonts w:ascii="Times New Roman" w:hAnsi="Times New Roman"/>
          <w:color w:val="0070C0"/>
          <w:spacing w:val="0"/>
          <w:sz w:val="16"/>
          <w:szCs w:val="16"/>
        </w:rPr>
        <w:t>6 (19) мая 1915 г. утром налет на город-крепость Перемышль, захваченной русской армией, повторился. На город упало более 50 авиабомб. Огнем крепостной артиллерии нападение с воздуха было отбито. В тот же день воздушной атаке подвергся район г. Шавли (Шяуляй) и г. Львов, где имелись человеческие жертвы.</w:t>
      </w:r>
    </w:p>
    <w:p w14:paraId="721C9928" w14:textId="77777777" w:rsidR="00F51E86" w:rsidRPr="00405303" w:rsidRDefault="00F51E86" w:rsidP="00F51E86">
      <w:pPr>
        <w:jc w:val="both"/>
        <w:rPr>
          <w:color w:val="0070C0"/>
          <w:sz w:val="16"/>
          <w:szCs w:val="16"/>
        </w:rPr>
      </w:pPr>
      <w:r w:rsidRPr="00405303">
        <w:rPr>
          <w:rStyle w:val="aa"/>
          <w:rFonts w:ascii="Times New Roman" w:hAnsi="Times New Roman"/>
          <w:color w:val="0070C0"/>
          <w:spacing w:val="0"/>
          <w:sz w:val="16"/>
          <w:szCs w:val="16"/>
        </w:rPr>
        <w:t>В последующие недели австро-германская авиация продолжила бомбардировку Перемышля. При этом противник зачастую прибегал к тактике действий, используемой русской авиацией Юго-Западного фронта при осаде его крепостных сооружений осенью 1914 г. – весной 1915 г. )25135)</w:t>
      </w:r>
    </w:p>
    <w:p w14:paraId="4E2C784F" w14:textId="77777777" w:rsidR="00F51E86" w:rsidRPr="00405303" w:rsidRDefault="00F51E86" w:rsidP="00F51E86">
      <w:pPr>
        <w:widowControl w:val="0"/>
        <w:tabs>
          <w:tab w:val="left" w:pos="687"/>
        </w:tabs>
        <w:jc w:val="both"/>
        <w:rPr>
          <w:color w:val="0070C0"/>
          <w:sz w:val="16"/>
          <w:szCs w:val="16"/>
        </w:rPr>
      </w:pPr>
    </w:p>
    <w:p w14:paraId="283F4521" w14:textId="46F104DC" w:rsidR="00D340DA" w:rsidRPr="00405303" w:rsidRDefault="00D340DA" w:rsidP="00C15251">
      <w:pPr>
        <w:jc w:val="both"/>
        <w:rPr>
          <w:bCs/>
          <w:i/>
          <w:color w:val="002060"/>
          <w:sz w:val="16"/>
          <w:szCs w:val="16"/>
        </w:rPr>
      </w:pPr>
      <w:r w:rsidRPr="00405303">
        <w:rPr>
          <w:bCs/>
          <w:i/>
          <w:color w:val="002060"/>
          <w:sz w:val="16"/>
          <w:szCs w:val="16"/>
        </w:rPr>
        <w:t>Авиация и воздухоплавание Германии:</w:t>
      </w:r>
    </w:p>
    <w:p w14:paraId="1E4BBFE8" w14:textId="77777777" w:rsidR="00D340DA" w:rsidRPr="00405303" w:rsidRDefault="00D340DA" w:rsidP="00C15251">
      <w:pPr>
        <w:jc w:val="both"/>
        <w:rPr>
          <w:bCs/>
          <w:i/>
          <w:color w:val="002060"/>
          <w:sz w:val="16"/>
          <w:szCs w:val="16"/>
        </w:rPr>
      </w:pPr>
    </w:p>
    <w:p w14:paraId="5B0DF49B" w14:textId="77777777" w:rsidR="00D340DA" w:rsidRPr="00405303" w:rsidRDefault="00D340DA" w:rsidP="00C15251">
      <w:pPr>
        <w:jc w:val="both"/>
        <w:rPr>
          <w:bCs/>
          <w:color w:val="002060"/>
          <w:sz w:val="16"/>
          <w:szCs w:val="16"/>
        </w:rPr>
      </w:pPr>
      <w:r w:rsidRPr="00405303">
        <w:rPr>
          <w:bCs/>
          <w:color w:val="002060"/>
          <w:sz w:val="16"/>
          <w:szCs w:val="16"/>
        </w:rPr>
        <w:t xml:space="preserve">6 (19) мая в 1915 году немецкий лётчик </w:t>
      </w:r>
      <w:hyperlink r:id="rId33" w:tgtFrame="_blank" w:history="1">
        <w:r w:rsidRPr="00405303">
          <w:rPr>
            <w:bCs/>
            <w:color w:val="002060"/>
            <w:sz w:val="16"/>
            <w:szCs w:val="16"/>
          </w:rPr>
          <w:t xml:space="preserve">Франкль Вильгельм (Frankl Wilhelm) </w:t>
        </w:r>
      </w:hyperlink>
      <w:r w:rsidRPr="00405303">
        <w:rPr>
          <w:bCs/>
          <w:color w:val="002060"/>
          <w:sz w:val="16"/>
          <w:szCs w:val="16"/>
        </w:rPr>
        <w:t>вылетев на двухместном разведчике из винтовки сбил французский Вуазен! Позднее в 1917 году сбив британский FE.2b, совершавший ночной рейд на германские позиции, одержал первую ночную победу в истории германских ВВС. Всего его счёт побед часто оценивают как 19, игнорируя при этом победу, которую он одержал в 1915 году. Сбит стрелком английского «Бристоля» «F2A» 8 апреля 1917 года (14896).</w:t>
      </w:r>
    </w:p>
    <w:p w14:paraId="416DC988" w14:textId="77777777" w:rsidR="00D340DA" w:rsidRPr="00405303" w:rsidRDefault="00D340DA" w:rsidP="00C15251">
      <w:pPr>
        <w:jc w:val="both"/>
        <w:rPr>
          <w:bCs/>
          <w:color w:val="002060"/>
          <w:sz w:val="16"/>
          <w:szCs w:val="16"/>
        </w:rPr>
      </w:pPr>
    </w:p>
    <w:p w14:paraId="2BD93D79" w14:textId="77777777" w:rsidR="00D340DA" w:rsidRPr="00405303" w:rsidRDefault="00D340DA" w:rsidP="00C15251">
      <w:pPr>
        <w:jc w:val="both"/>
        <w:rPr>
          <w:bCs/>
          <w:i/>
          <w:color w:val="002060"/>
          <w:sz w:val="16"/>
          <w:szCs w:val="16"/>
        </w:rPr>
      </w:pPr>
      <w:r w:rsidRPr="00405303">
        <w:rPr>
          <w:bCs/>
          <w:i/>
          <w:color w:val="002060"/>
          <w:sz w:val="16"/>
          <w:szCs w:val="16"/>
        </w:rPr>
        <w:t>Самолетостроение:</w:t>
      </w:r>
    </w:p>
    <w:p w14:paraId="48182758" w14:textId="77777777" w:rsidR="00D340DA" w:rsidRPr="00405303" w:rsidRDefault="00D340DA" w:rsidP="00C15251">
      <w:pPr>
        <w:jc w:val="both"/>
        <w:rPr>
          <w:bCs/>
          <w:i/>
          <w:color w:val="002060"/>
          <w:sz w:val="16"/>
          <w:szCs w:val="16"/>
        </w:rPr>
      </w:pPr>
    </w:p>
    <w:p w14:paraId="61AA3362" w14:textId="27E12BAA" w:rsidR="00D340DA" w:rsidRPr="00405303" w:rsidRDefault="00D340DA" w:rsidP="00C15251">
      <w:pPr>
        <w:shd w:val="clear" w:color="auto" w:fill="FFFFFF"/>
        <w:jc w:val="both"/>
        <w:rPr>
          <w:bCs/>
          <w:color w:val="002060"/>
          <w:sz w:val="16"/>
          <w:szCs w:val="16"/>
        </w:rPr>
      </w:pPr>
      <w:bookmarkStart w:id="131" w:name="_Hlk117614480"/>
      <w:r w:rsidRPr="00405303">
        <w:rPr>
          <w:bCs/>
          <w:color w:val="002060"/>
          <w:sz w:val="16"/>
          <w:szCs w:val="16"/>
        </w:rPr>
        <w:t>7 (20) мая 1915 г.</w:t>
      </w:r>
      <w:r w:rsidR="00C306B1" w:rsidRPr="00405303">
        <w:rPr>
          <w:bCs/>
          <w:color w:val="002060"/>
          <w:sz w:val="16"/>
          <w:szCs w:val="16"/>
        </w:rPr>
        <w:t xml:space="preserve"> была списана старая кертиссовская лодка модели Ф с флотским номером 18 и ее</w:t>
      </w:r>
      <w:r w:rsidRPr="00405303">
        <w:rPr>
          <w:bCs/>
          <w:color w:val="002060"/>
          <w:sz w:val="16"/>
          <w:szCs w:val="16"/>
        </w:rPr>
        <w:t xml:space="preserve"> отправили на фирму С. С. Щетинина и подвергли там тщательному обследованию. Как и все командование, посвященное в столь щепетильное дело, начальник Авиации Черноморского флота И. И. Стаховский надеялся на быс</w:t>
      </w:r>
      <w:r w:rsidRPr="00405303">
        <w:rPr>
          <w:bCs/>
          <w:color w:val="002060"/>
          <w:sz w:val="16"/>
          <w:szCs w:val="16"/>
        </w:rPr>
        <w:softHyphen/>
        <w:t>трое развитие событий, но в полученном им докладе от 26 мая сообщалось:</w:t>
      </w:r>
    </w:p>
    <w:p w14:paraId="59821D54" w14:textId="77777777" w:rsidR="00D340DA" w:rsidRPr="00405303" w:rsidRDefault="00D340DA" w:rsidP="00C15251">
      <w:pPr>
        <w:shd w:val="clear" w:color="auto" w:fill="FFFFFF"/>
        <w:jc w:val="both"/>
        <w:rPr>
          <w:bCs/>
          <w:color w:val="002060"/>
          <w:sz w:val="16"/>
          <w:szCs w:val="16"/>
        </w:rPr>
      </w:pPr>
      <w:r w:rsidRPr="00405303">
        <w:rPr>
          <w:bCs/>
          <w:color w:val="002060"/>
          <w:sz w:val="16"/>
          <w:szCs w:val="16"/>
        </w:rPr>
        <w:t>«&lt;...&gt; Щетинин к изготовлению запасных частей и старого типа лодок Кертисса еще не приступил. Он говорит, что поздно получил образцы, сейчас заканчивает чертежи и сроч</w:t>
      </w:r>
      <w:r w:rsidRPr="00405303">
        <w:rPr>
          <w:bCs/>
          <w:color w:val="002060"/>
          <w:sz w:val="16"/>
          <w:szCs w:val="16"/>
        </w:rPr>
        <w:softHyphen/>
        <w:t>но дает в работу &lt;...»&gt; (2808).</w:t>
      </w:r>
    </w:p>
    <w:p w14:paraId="6FABFA7A" w14:textId="77777777" w:rsidR="00D340DA" w:rsidRPr="00405303" w:rsidRDefault="00D340DA" w:rsidP="00C15251">
      <w:pPr>
        <w:shd w:val="clear" w:color="auto" w:fill="FFFFFF"/>
        <w:jc w:val="both"/>
        <w:rPr>
          <w:bCs/>
          <w:color w:val="002060"/>
          <w:sz w:val="16"/>
          <w:szCs w:val="16"/>
        </w:rPr>
      </w:pPr>
    </w:p>
    <w:bookmarkEnd w:id="131"/>
    <w:p w14:paraId="5FE3D756" w14:textId="372A0190" w:rsidR="00F51E86" w:rsidRPr="00405303" w:rsidRDefault="00F51E86" w:rsidP="00F51E86">
      <w:pPr>
        <w:shd w:val="clear" w:color="auto" w:fill="FFFFFF"/>
        <w:jc w:val="both"/>
        <w:rPr>
          <w:bCs/>
          <w:i/>
          <w:color w:val="002060"/>
          <w:sz w:val="16"/>
          <w:szCs w:val="16"/>
        </w:rPr>
      </w:pPr>
      <w:r w:rsidRPr="00405303">
        <w:rPr>
          <w:bCs/>
          <w:i/>
          <w:color w:val="002060"/>
          <w:sz w:val="16"/>
          <w:szCs w:val="16"/>
        </w:rPr>
        <w:t>Другие оборонные отрасли:</w:t>
      </w:r>
    </w:p>
    <w:p w14:paraId="42C8D8AE" w14:textId="77777777" w:rsidR="00F51E86" w:rsidRPr="00405303" w:rsidRDefault="00F51E86" w:rsidP="00F51E86">
      <w:pPr>
        <w:shd w:val="clear" w:color="auto" w:fill="FFFFFF"/>
        <w:jc w:val="both"/>
        <w:rPr>
          <w:bCs/>
          <w:i/>
          <w:color w:val="002060"/>
          <w:sz w:val="16"/>
          <w:szCs w:val="16"/>
        </w:rPr>
      </w:pPr>
    </w:p>
    <w:p w14:paraId="20DC08EA" w14:textId="77777777" w:rsidR="00F51E86" w:rsidRPr="00405303" w:rsidRDefault="00F51E86" w:rsidP="00F51E86">
      <w:pPr>
        <w:jc w:val="both"/>
        <w:rPr>
          <w:color w:val="0070C0"/>
          <w:sz w:val="16"/>
          <w:szCs w:val="16"/>
        </w:rPr>
      </w:pPr>
      <w:r w:rsidRPr="00405303">
        <w:rPr>
          <w:color w:val="0070C0"/>
          <w:sz w:val="16"/>
          <w:szCs w:val="16"/>
        </w:rPr>
        <w:t>7 (20) мая 1915 года без заключения формального контракта с ГАУ, по словесному предложению Ванкова, Н.А. Второв начал строить первый снаряжательный завод в Москве. Завод построили за 38 дней. Сразу на прилегающей территории начали возводить второй завод для увеличения мощностей. Его завершили только к концу октября 1915 года (24912).</w:t>
      </w:r>
    </w:p>
    <w:p w14:paraId="344EB879" w14:textId="77777777" w:rsidR="00F51E86" w:rsidRPr="00405303" w:rsidRDefault="00F51E86" w:rsidP="00F51E86">
      <w:pPr>
        <w:jc w:val="both"/>
        <w:rPr>
          <w:rStyle w:val="aa"/>
          <w:rFonts w:ascii="Times New Roman" w:hAnsi="Times New Roman"/>
          <w:color w:val="0070C0"/>
          <w:spacing w:val="0"/>
          <w:sz w:val="16"/>
          <w:szCs w:val="16"/>
        </w:rPr>
      </w:pPr>
    </w:p>
    <w:p w14:paraId="3C3AF505" w14:textId="2DF41519" w:rsidR="00C369D7" w:rsidRPr="00405303" w:rsidRDefault="00C369D7" w:rsidP="00C15251">
      <w:pPr>
        <w:shd w:val="clear" w:color="auto" w:fill="FFFFFF"/>
        <w:jc w:val="both"/>
        <w:rPr>
          <w:bCs/>
          <w:i/>
          <w:color w:val="002060"/>
          <w:sz w:val="16"/>
          <w:szCs w:val="16"/>
        </w:rPr>
      </w:pPr>
      <w:r w:rsidRPr="00405303">
        <w:rPr>
          <w:bCs/>
          <w:i/>
          <w:color w:val="002060"/>
          <w:sz w:val="16"/>
          <w:szCs w:val="16"/>
        </w:rPr>
        <w:t>Армия:</w:t>
      </w:r>
    </w:p>
    <w:p w14:paraId="0D2F10C8" w14:textId="77777777" w:rsidR="00C369D7" w:rsidRPr="00405303" w:rsidRDefault="00C369D7" w:rsidP="00C15251">
      <w:pPr>
        <w:shd w:val="clear" w:color="auto" w:fill="FFFFFF"/>
        <w:jc w:val="both"/>
        <w:rPr>
          <w:bCs/>
          <w:i/>
          <w:color w:val="002060"/>
          <w:sz w:val="16"/>
          <w:szCs w:val="16"/>
        </w:rPr>
      </w:pPr>
    </w:p>
    <w:p w14:paraId="61A36DE5" w14:textId="487F0005" w:rsidR="00C369D7" w:rsidRPr="00405303" w:rsidRDefault="00C209DA" w:rsidP="00C15251">
      <w:pPr>
        <w:jc w:val="both"/>
        <w:rPr>
          <w:bCs/>
          <w:color w:val="002060"/>
          <w:sz w:val="16"/>
          <w:szCs w:val="16"/>
          <w:lang w:bidi="en-US"/>
        </w:rPr>
      </w:pPr>
      <w:r w:rsidRPr="00405303">
        <w:rPr>
          <w:bCs/>
          <w:color w:val="002060"/>
          <w:sz w:val="16"/>
          <w:szCs w:val="16"/>
          <w:lang w:bidi="en-US"/>
        </w:rPr>
        <w:t>7 (</w:t>
      </w:r>
      <w:r w:rsidR="00C369D7" w:rsidRPr="00405303">
        <w:rPr>
          <w:bCs/>
          <w:color w:val="002060"/>
          <w:sz w:val="16"/>
          <w:szCs w:val="16"/>
          <w:lang w:bidi="en-US"/>
        </w:rPr>
        <w:t>20</w:t>
      </w:r>
      <w:r w:rsidRPr="00405303">
        <w:rPr>
          <w:bCs/>
          <w:color w:val="002060"/>
          <w:sz w:val="16"/>
          <w:szCs w:val="16"/>
          <w:lang w:bidi="en-US"/>
        </w:rPr>
        <w:t>)</w:t>
      </w:r>
      <w:r w:rsidR="00C369D7" w:rsidRPr="00405303">
        <w:rPr>
          <w:bCs/>
          <w:color w:val="002060"/>
          <w:sz w:val="16"/>
          <w:szCs w:val="16"/>
          <w:lang w:bidi="en-US"/>
        </w:rPr>
        <w:t xml:space="preserve"> мая 1915 г. от пневмонии скончался командующий Балтийским флотом адмирал Н.О. Эссен. Его сменил Вице-адмирал В.А. Канин (23525).</w:t>
      </w:r>
    </w:p>
    <w:p w14:paraId="55BBCE98" w14:textId="77777777" w:rsidR="00C369D7" w:rsidRPr="00405303" w:rsidRDefault="00C369D7" w:rsidP="00C15251">
      <w:pPr>
        <w:jc w:val="both"/>
        <w:rPr>
          <w:bCs/>
          <w:color w:val="002060"/>
          <w:sz w:val="16"/>
          <w:szCs w:val="16"/>
        </w:rPr>
      </w:pPr>
    </w:p>
    <w:p w14:paraId="14171DC4" w14:textId="0FC06E4F" w:rsidR="00C209DA" w:rsidRPr="00405303" w:rsidRDefault="00C209DA" w:rsidP="00C15251">
      <w:pPr>
        <w:shd w:val="clear" w:color="auto" w:fill="FFFFFF"/>
        <w:jc w:val="both"/>
        <w:rPr>
          <w:bCs/>
          <w:i/>
          <w:color w:val="002060"/>
          <w:sz w:val="16"/>
          <w:szCs w:val="16"/>
        </w:rPr>
      </w:pPr>
      <w:r w:rsidRPr="00405303">
        <w:rPr>
          <w:bCs/>
          <w:i/>
          <w:color w:val="002060"/>
          <w:sz w:val="16"/>
          <w:szCs w:val="16"/>
        </w:rPr>
        <w:t>Авиация:</w:t>
      </w:r>
    </w:p>
    <w:p w14:paraId="30AA5F65" w14:textId="77777777" w:rsidR="00C209DA" w:rsidRPr="00405303" w:rsidRDefault="00C209DA" w:rsidP="00C15251">
      <w:pPr>
        <w:shd w:val="clear" w:color="auto" w:fill="FFFFFF"/>
        <w:jc w:val="both"/>
        <w:rPr>
          <w:bCs/>
          <w:i/>
          <w:color w:val="002060"/>
          <w:sz w:val="16"/>
          <w:szCs w:val="16"/>
        </w:rPr>
      </w:pPr>
    </w:p>
    <w:p w14:paraId="11E640DC" w14:textId="3DFE9953" w:rsidR="00C209DA" w:rsidRPr="00405303" w:rsidRDefault="00C209DA" w:rsidP="00C15251">
      <w:pPr>
        <w:jc w:val="both"/>
        <w:rPr>
          <w:bCs/>
          <w:color w:val="002060"/>
          <w:sz w:val="16"/>
          <w:szCs w:val="16"/>
        </w:rPr>
      </w:pPr>
      <w:bookmarkStart w:id="132" w:name="bookmark167"/>
      <w:r w:rsidRPr="00405303">
        <w:rPr>
          <w:bCs/>
          <w:color w:val="002060"/>
          <w:sz w:val="16"/>
          <w:szCs w:val="16"/>
        </w:rPr>
        <w:t>7 (20) мая 1915 г. военный летчик поручик Л.А. Самуйлов, откомандированный в состав 24-го корпусного АО, проводя воздушную разведку в районе ст. Дембице, вступил в схватку с двумя неприятельскими самолетами. Один из них в бою уничтожил, другой заставил снизиться. Позднее русский летчик был удостоен Георгиевского оружия (23405).</w:t>
      </w:r>
      <w:bookmarkEnd w:id="132"/>
    </w:p>
    <w:p w14:paraId="4953059F" w14:textId="77777777" w:rsidR="00C209DA" w:rsidRPr="00405303" w:rsidRDefault="00C209DA" w:rsidP="00C15251">
      <w:pPr>
        <w:jc w:val="both"/>
        <w:rPr>
          <w:bCs/>
          <w:color w:val="002060"/>
          <w:sz w:val="16"/>
          <w:szCs w:val="16"/>
        </w:rPr>
      </w:pPr>
    </w:p>
    <w:p w14:paraId="33B507CB" w14:textId="55DD9502" w:rsidR="00D340DA" w:rsidRPr="00405303" w:rsidRDefault="00D340DA" w:rsidP="00C15251">
      <w:pPr>
        <w:shd w:val="clear" w:color="auto" w:fill="FFFFFF"/>
        <w:jc w:val="both"/>
        <w:rPr>
          <w:bCs/>
          <w:i/>
          <w:color w:val="002060"/>
          <w:sz w:val="16"/>
          <w:szCs w:val="16"/>
        </w:rPr>
      </w:pPr>
      <w:r w:rsidRPr="00405303">
        <w:rPr>
          <w:bCs/>
          <w:i/>
          <w:color w:val="002060"/>
          <w:sz w:val="16"/>
          <w:szCs w:val="16"/>
        </w:rPr>
        <w:t>Морская авиация:</w:t>
      </w:r>
    </w:p>
    <w:p w14:paraId="42F8B8C2" w14:textId="77777777" w:rsidR="00D340DA" w:rsidRPr="00405303" w:rsidRDefault="00D340DA" w:rsidP="00C15251">
      <w:pPr>
        <w:shd w:val="clear" w:color="auto" w:fill="FFFFFF"/>
        <w:jc w:val="both"/>
        <w:rPr>
          <w:bCs/>
          <w:i/>
          <w:color w:val="002060"/>
          <w:sz w:val="16"/>
          <w:szCs w:val="16"/>
        </w:rPr>
      </w:pPr>
    </w:p>
    <w:p w14:paraId="5AD4C54A" w14:textId="26434998" w:rsidR="00D340DA" w:rsidRPr="00405303" w:rsidRDefault="00D340DA" w:rsidP="00C15251">
      <w:pPr>
        <w:jc w:val="both"/>
        <w:rPr>
          <w:bCs/>
          <w:color w:val="002060"/>
          <w:sz w:val="16"/>
          <w:szCs w:val="16"/>
        </w:rPr>
      </w:pPr>
      <w:r w:rsidRPr="00405303">
        <w:rPr>
          <w:bCs/>
          <w:color w:val="002060"/>
          <w:sz w:val="16"/>
          <w:szCs w:val="16"/>
        </w:rPr>
        <w:t xml:space="preserve">7 </w:t>
      </w:r>
      <w:r w:rsidR="00C306B1" w:rsidRPr="00405303">
        <w:rPr>
          <w:bCs/>
          <w:color w:val="002060"/>
          <w:sz w:val="16"/>
          <w:szCs w:val="16"/>
        </w:rPr>
        <w:t xml:space="preserve">(20) </w:t>
      </w:r>
      <w:r w:rsidRPr="00405303">
        <w:rPr>
          <w:bCs/>
          <w:color w:val="002060"/>
          <w:sz w:val="16"/>
          <w:szCs w:val="16"/>
        </w:rPr>
        <w:t xml:space="preserve">мая в 1915 году пилот Кульнев И.И. на летающей лодке </w:t>
      </w:r>
      <w:hyperlink r:id="rId34" w:tgtFrame="_blank" w:history="1">
        <w:r w:rsidRPr="00405303">
          <w:rPr>
            <w:bCs/>
            <w:color w:val="002060"/>
            <w:sz w:val="16"/>
            <w:szCs w:val="16"/>
          </w:rPr>
          <w:t xml:space="preserve">«ФБА» </w:t>
        </w:r>
      </w:hyperlink>
      <w:r w:rsidRPr="00405303">
        <w:rPr>
          <w:bCs/>
          <w:color w:val="002060"/>
          <w:sz w:val="16"/>
          <w:szCs w:val="16"/>
        </w:rPr>
        <w:t>достиг высоты 3000 м. При снижении произошла катастрофа, самолет упал в воду. И.И.Кульнев погиб. Причиной катастрофы явился ветер, "поддувший" на малой высоте маневрирующий аппарат (14884).</w:t>
      </w:r>
    </w:p>
    <w:p w14:paraId="2FA1876B" w14:textId="77777777" w:rsidR="00D340DA" w:rsidRPr="00405303" w:rsidRDefault="00D340DA" w:rsidP="00C15251">
      <w:pPr>
        <w:jc w:val="both"/>
        <w:rPr>
          <w:bCs/>
          <w:color w:val="002060"/>
          <w:sz w:val="16"/>
          <w:szCs w:val="16"/>
        </w:rPr>
      </w:pPr>
    </w:p>
    <w:p w14:paraId="62D4DE0C" w14:textId="77777777" w:rsidR="00D340DA" w:rsidRPr="00405303" w:rsidRDefault="00D340DA" w:rsidP="00C15251">
      <w:pPr>
        <w:shd w:val="clear" w:color="auto" w:fill="FFFFFF"/>
        <w:jc w:val="both"/>
        <w:rPr>
          <w:bCs/>
          <w:color w:val="002060"/>
          <w:sz w:val="16"/>
          <w:szCs w:val="16"/>
        </w:rPr>
      </w:pPr>
      <w:r w:rsidRPr="00405303">
        <w:rPr>
          <w:bCs/>
          <w:color w:val="002060"/>
          <w:sz w:val="16"/>
          <w:szCs w:val="16"/>
        </w:rPr>
        <w:t xml:space="preserve">7 (20) мая 1915 близ Либавы при выполнении боевого задания разбился один из первых морских летчиков, лейтенант флота Илья Ильич Кульнев (род.1887). Кульнев - участник русско-японской войны и двух кругосветных плаваний. В 1913 году окончил Севастопольскую 'авиашколу. Он одним из первых начал летать на летающих лодках I Григоровича и первым в </w:t>
      </w:r>
      <w:r w:rsidRPr="00405303">
        <w:rPr>
          <w:bCs/>
          <w:smallCaps/>
          <w:color w:val="002060"/>
          <w:sz w:val="16"/>
          <w:szCs w:val="16"/>
        </w:rPr>
        <w:t xml:space="preserve">россии </w:t>
      </w:r>
      <w:r w:rsidRPr="00405303">
        <w:rPr>
          <w:bCs/>
          <w:color w:val="002060"/>
          <w:sz w:val="16"/>
          <w:szCs w:val="16"/>
        </w:rPr>
        <w:t>совершил на гидросамолете пере-щ вернутый полет. (См.15 декабря 1913 г.) ("Новое время". 1916 г., 7 мая; "Техника воздухоплавания". 1915, №. 5).</w:t>
      </w:r>
    </w:p>
    <w:p w14:paraId="1B576BD2" w14:textId="77777777" w:rsidR="00D340DA" w:rsidRPr="00405303" w:rsidRDefault="00D340DA" w:rsidP="00C15251">
      <w:pPr>
        <w:shd w:val="clear" w:color="auto" w:fill="FFFFFF"/>
        <w:jc w:val="both"/>
        <w:rPr>
          <w:bCs/>
          <w:color w:val="002060"/>
          <w:sz w:val="16"/>
          <w:szCs w:val="16"/>
        </w:rPr>
      </w:pPr>
    </w:p>
    <w:p w14:paraId="4B15BB4B" w14:textId="77777777" w:rsidR="00FF5C7B" w:rsidRPr="00405303" w:rsidRDefault="00FF5C7B" w:rsidP="00C15251">
      <w:pPr>
        <w:jc w:val="both"/>
        <w:rPr>
          <w:bCs/>
          <w:color w:val="002060"/>
          <w:sz w:val="16"/>
          <w:szCs w:val="16"/>
        </w:rPr>
      </w:pPr>
      <w:r w:rsidRPr="00405303">
        <w:rPr>
          <w:bCs/>
          <w:color w:val="002060"/>
          <w:sz w:val="16"/>
          <w:szCs w:val="16"/>
        </w:rPr>
        <w:t>7 (20) мая 1915 г. близ Либавы при выполнении боевого задания разбился один и первых морских летчиков, лейтенант флота Илья Ильич Кульнев /род. 1887/. Кульнев - участник Русско-японской войны и двух кругосвет</w:t>
      </w:r>
      <w:r w:rsidRPr="00405303">
        <w:rPr>
          <w:bCs/>
          <w:color w:val="002060"/>
          <w:sz w:val="16"/>
          <w:szCs w:val="16"/>
        </w:rPr>
        <w:softHyphen/>
        <w:t xml:space="preserve">ных плаваний. В 1913 году окончил севастопольскую </w:t>
      </w:r>
      <w:proofErr w:type="gramStart"/>
      <w:r w:rsidRPr="00405303">
        <w:rPr>
          <w:bCs/>
          <w:color w:val="002060"/>
          <w:sz w:val="16"/>
          <w:szCs w:val="16"/>
        </w:rPr>
        <w:t>авиашколу .Он</w:t>
      </w:r>
      <w:proofErr w:type="gramEnd"/>
      <w:r w:rsidRPr="00405303">
        <w:rPr>
          <w:bCs/>
          <w:color w:val="002060"/>
          <w:sz w:val="16"/>
          <w:szCs w:val="16"/>
        </w:rPr>
        <w:t xml:space="preserve"> од</w:t>
      </w:r>
      <w:r w:rsidRPr="00405303">
        <w:rPr>
          <w:bCs/>
          <w:color w:val="002060"/>
          <w:sz w:val="16"/>
          <w:szCs w:val="16"/>
        </w:rPr>
        <w:softHyphen/>
        <w:t>ним из первых начал летать на летающих лодках Григоровича и пер</w:t>
      </w:r>
      <w:r w:rsidRPr="00405303">
        <w:rPr>
          <w:bCs/>
          <w:color w:val="002060"/>
          <w:sz w:val="16"/>
          <w:szCs w:val="16"/>
        </w:rPr>
        <w:softHyphen/>
        <w:t>вым в России совершил на гидросамолете перевернутый полет.</w:t>
      </w:r>
    </w:p>
    <w:p w14:paraId="1BBF0D48" w14:textId="77777777" w:rsidR="00FF5C7B" w:rsidRPr="00405303" w:rsidRDefault="00FF5C7B" w:rsidP="00C15251">
      <w:pPr>
        <w:jc w:val="both"/>
        <w:rPr>
          <w:bCs/>
          <w:color w:val="002060"/>
          <w:sz w:val="16"/>
          <w:szCs w:val="16"/>
        </w:rPr>
      </w:pPr>
      <w:proofErr w:type="gramStart"/>
      <w:r w:rsidRPr="00405303">
        <w:rPr>
          <w:bCs/>
          <w:color w:val="002060"/>
          <w:sz w:val="16"/>
          <w:szCs w:val="16"/>
        </w:rPr>
        <w:t>/”Новое</w:t>
      </w:r>
      <w:proofErr w:type="gramEnd"/>
      <w:r w:rsidRPr="00405303">
        <w:rPr>
          <w:bCs/>
          <w:color w:val="002060"/>
          <w:sz w:val="16"/>
          <w:szCs w:val="16"/>
        </w:rPr>
        <w:t xml:space="preserve"> время” за 7 мая 1916; "Техника воздухопл.", 1915, № 5/ (23320).</w:t>
      </w:r>
    </w:p>
    <w:p w14:paraId="0B6D3F41" w14:textId="77777777" w:rsidR="00FF5C7B" w:rsidRPr="00405303" w:rsidRDefault="00FF5C7B" w:rsidP="00C15251">
      <w:pPr>
        <w:jc w:val="both"/>
        <w:rPr>
          <w:bCs/>
          <w:color w:val="002060"/>
          <w:sz w:val="16"/>
          <w:szCs w:val="16"/>
        </w:rPr>
      </w:pPr>
    </w:p>
    <w:p w14:paraId="343EC62A" w14:textId="640EA863" w:rsidR="00D340DA" w:rsidRPr="00405303" w:rsidRDefault="00D340DA" w:rsidP="00C15251">
      <w:pPr>
        <w:jc w:val="both"/>
        <w:rPr>
          <w:bCs/>
          <w:color w:val="002060"/>
          <w:sz w:val="16"/>
          <w:szCs w:val="16"/>
        </w:rPr>
      </w:pPr>
      <w:r w:rsidRPr="00405303">
        <w:rPr>
          <w:bCs/>
          <w:color w:val="002060"/>
          <w:sz w:val="16"/>
          <w:szCs w:val="16"/>
        </w:rPr>
        <w:t xml:space="preserve">7 </w:t>
      </w:r>
      <w:r w:rsidR="00C306B1" w:rsidRPr="00405303">
        <w:rPr>
          <w:bCs/>
          <w:color w:val="002060"/>
          <w:sz w:val="16"/>
          <w:szCs w:val="16"/>
        </w:rPr>
        <w:t xml:space="preserve">(20) </w:t>
      </w:r>
      <w:r w:rsidRPr="00405303">
        <w:rPr>
          <w:bCs/>
          <w:color w:val="002060"/>
          <w:sz w:val="16"/>
          <w:szCs w:val="16"/>
        </w:rPr>
        <w:t xml:space="preserve">мая 1915 г. </w:t>
      </w:r>
      <w:r w:rsidR="00C306B1" w:rsidRPr="00405303">
        <w:rPr>
          <w:bCs/>
          <w:color w:val="002060"/>
          <w:sz w:val="16"/>
          <w:szCs w:val="16"/>
        </w:rPr>
        <w:t xml:space="preserve">второй авиатранспорт "Александр I" отправился на задание. </w:t>
      </w:r>
      <w:r w:rsidRPr="00405303">
        <w:rPr>
          <w:bCs/>
          <w:color w:val="002060"/>
          <w:sz w:val="16"/>
          <w:szCs w:val="16"/>
        </w:rPr>
        <w:t>В процессе выполнения задания самолёты подверглись обстрелу. Но и в этих условиях они применяли имевшиеся бомбы.</w:t>
      </w:r>
    </w:p>
    <w:p w14:paraId="67450F0C" w14:textId="77777777" w:rsidR="00D340DA" w:rsidRPr="00405303" w:rsidRDefault="00D340DA" w:rsidP="00C15251">
      <w:pPr>
        <w:jc w:val="both"/>
        <w:rPr>
          <w:bCs/>
          <w:color w:val="002060"/>
          <w:sz w:val="16"/>
          <w:szCs w:val="16"/>
        </w:rPr>
      </w:pPr>
      <w:r w:rsidRPr="00405303">
        <w:rPr>
          <w:bCs/>
          <w:color w:val="002060"/>
          <w:sz w:val="16"/>
          <w:szCs w:val="16"/>
        </w:rPr>
        <w:t>В следующий поход к Босфору и Зонгулдакскому порту на авиатранспорте и вспомогательном крейсере "Алмаз" отправилось уже шесть летающих лодок. В 7 ч. 10 мин. 28 марта авиатранспорт и крейсер на удалении 10 миль от пролива Босфор застопорили машины и начали спуск самолётов на воду. Вылетавшие экипажи наблюдали за результатами обстрела. Затем эскадра перешла в район Эрегли-Зон- гулдак для обстрела промышленных объектов и портовых сооружениё. Экипажи самолётов вели разведку, фотографировали береговые объекты и по возможности применяли бомбы по береговым объектам. В 10 ч.ЗО мин. линейный корабль "Ростислав" открыл огонь по береговым целям в районе Эльмас, Ана- толи-Фенер и Фенераки, затем по Румелийскому берегу. Воздушная разведка показала, что в Босфоре крупных кораблей противника нет. Одновременно с выполнением разведки самолёты сбросили несколько бомб по батареям. На следующий день гидросамолёты впервые производили корректировку огня корабельной артиллерии.</w:t>
      </w:r>
    </w:p>
    <w:p w14:paraId="5F5F3EBC" w14:textId="77777777" w:rsidR="00D340DA" w:rsidRPr="00405303" w:rsidRDefault="00D340DA" w:rsidP="00C15251">
      <w:pPr>
        <w:jc w:val="both"/>
        <w:rPr>
          <w:bCs/>
          <w:color w:val="002060"/>
          <w:sz w:val="16"/>
          <w:szCs w:val="16"/>
        </w:rPr>
      </w:pPr>
      <w:r w:rsidRPr="00405303">
        <w:rPr>
          <w:bCs/>
          <w:color w:val="002060"/>
          <w:sz w:val="16"/>
          <w:szCs w:val="16"/>
        </w:rPr>
        <w:t>Очередной авиатранспорт "Память Меркурия" в свой первый поход отправился 20 апреля 1915 г., но его служба была недолгой.</w:t>
      </w:r>
    </w:p>
    <w:p w14:paraId="63F6AA68" w14:textId="77777777" w:rsidR="00D340DA" w:rsidRPr="00405303" w:rsidRDefault="00D340DA" w:rsidP="00C15251">
      <w:pPr>
        <w:jc w:val="both"/>
        <w:rPr>
          <w:bCs/>
          <w:color w:val="002060"/>
          <w:sz w:val="16"/>
          <w:szCs w:val="16"/>
        </w:rPr>
      </w:pPr>
      <w:r w:rsidRPr="00405303">
        <w:rPr>
          <w:bCs/>
          <w:color w:val="002060"/>
          <w:sz w:val="16"/>
          <w:szCs w:val="16"/>
        </w:rPr>
        <w:lastRenderedPageBreak/>
        <w:t>Отчёты начальников авиационных отрядов позволяют охарактеризовать обстановку, в которой приходилось действовать черноморским лётчикам и относиться к ним с должным уважением.</w:t>
      </w:r>
    </w:p>
    <w:p w14:paraId="08F43825" w14:textId="77777777" w:rsidR="00D340DA" w:rsidRPr="00405303" w:rsidRDefault="00D340DA" w:rsidP="00C15251">
      <w:pPr>
        <w:jc w:val="both"/>
        <w:rPr>
          <w:bCs/>
          <w:color w:val="002060"/>
          <w:sz w:val="16"/>
          <w:szCs w:val="16"/>
        </w:rPr>
      </w:pPr>
      <w:r w:rsidRPr="00405303">
        <w:rPr>
          <w:bCs/>
          <w:color w:val="002060"/>
          <w:sz w:val="16"/>
          <w:szCs w:val="16"/>
        </w:rPr>
        <w:t>Из отчёта начальника авиационного отряда Б-2 лейтенанта В.В.Утгофа*: "19 апреля отряд,, состоявший из четырёх лётоющих лодок "Кертисса", имел зодочу наблюдения за Босфором. Рано утром флот пришёл в точку Аз у Босфора, ив 7 ч 10 мин с "Евстафия" последовал сигналo"спустить гидро". В 7 ч 23 мин взлетел лейтенант Коведяев с наблюдателем моторным унтер- офицером Бабиным-Волынским и отправился на разведку к Босфору". Экипаж обнаружил подводную лодку, пароход в виде тральщика, судно, буксировавшее большую баржу с пассажирами и несколько парусников. Вылетевший через час лейтенант Лучанинов с наблюдателем моторным унтер-офицером Семёновым, доложил, что пролив свободен. В 9 ч 15мин на разведку вылетел лейтенант Утгоф с наблюдателем моторным унтер-офицером Аристовым. Вернувшись в11 ч 25 мин, он доложил об отсутствии кораблей в проливе и на походах к нему. Наблюдая стрельбу 2-й бригады, он видел столбы дыма и пыли на мысу Эльмас, дым около батареи Пайрес, несколько 12-ти дюймовых снарядов, упавших в воду. Когда 2-я бригада начала поворачивать направо, она открыла стрельбу из орудий мелкого калибра и пулемётов. Полагая, что там усмотрена подводная лодка, лейтенант Утгоф тщательно осмотрел обследуемый район и сообщил, что нигде вблизи подводных лодок нет. В 11.01 на разведку вылетел лейтенант Рагозин, но через 15 мин. сел на воду из-за порчи мотора и был прибуксирован к вспомогательному крейсеру "Император Николай I" быстроходным катером.</w:t>
      </w:r>
    </w:p>
    <w:p w14:paraId="1C1A872F" w14:textId="77777777" w:rsidR="00D340DA" w:rsidRPr="00405303" w:rsidRDefault="00D340DA" w:rsidP="00C15251">
      <w:pPr>
        <w:jc w:val="both"/>
        <w:rPr>
          <w:bCs/>
          <w:color w:val="002060"/>
          <w:sz w:val="16"/>
          <w:szCs w:val="16"/>
        </w:rPr>
      </w:pPr>
      <w:r w:rsidRPr="00405303">
        <w:rPr>
          <w:bCs/>
          <w:color w:val="002060"/>
          <w:sz w:val="16"/>
          <w:szCs w:val="16"/>
        </w:rPr>
        <w:t>В этот день на разведку вылетали ещё два самолёта, пока в 13 часов с "Евстафия" не передали семафором "гидро больше не поднимать" (11930).</w:t>
      </w:r>
    </w:p>
    <w:p w14:paraId="40C0E234" w14:textId="77777777" w:rsidR="00D340DA" w:rsidRPr="00405303" w:rsidRDefault="00D340DA" w:rsidP="00C15251">
      <w:pPr>
        <w:jc w:val="both"/>
        <w:rPr>
          <w:bCs/>
          <w:color w:val="002060"/>
          <w:sz w:val="16"/>
          <w:szCs w:val="16"/>
        </w:rPr>
      </w:pPr>
    </w:p>
    <w:p w14:paraId="42B2AD59" w14:textId="77777777" w:rsidR="00D340DA" w:rsidRPr="00405303" w:rsidRDefault="00D340DA" w:rsidP="00C15251">
      <w:pPr>
        <w:jc w:val="both"/>
        <w:rPr>
          <w:bCs/>
          <w:i/>
          <w:color w:val="002060"/>
          <w:sz w:val="16"/>
          <w:szCs w:val="16"/>
        </w:rPr>
      </w:pPr>
      <w:r w:rsidRPr="00405303">
        <w:rPr>
          <w:bCs/>
          <w:i/>
          <w:color w:val="002060"/>
          <w:sz w:val="16"/>
          <w:szCs w:val="16"/>
        </w:rPr>
        <w:t>Армия:</w:t>
      </w:r>
    </w:p>
    <w:p w14:paraId="5BB0FB9C" w14:textId="77777777" w:rsidR="00D340DA" w:rsidRPr="00405303" w:rsidRDefault="00D340DA" w:rsidP="00C15251">
      <w:pPr>
        <w:jc w:val="both"/>
        <w:rPr>
          <w:bCs/>
          <w:i/>
          <w:color w:val="002060"/>
          <w:sz w:val="16"/>
          <w:szCs w:val="16"/>
        </w:rPr>
      </w:pPr>
    </w:p>
    <w:p w14:paraId="2FB16611" w14:textId="60490501" w:rsidR="00D340DA" w:rsidRPr="00405303" w:rsidRDefault="00D340DA" w:rsidP="00C15251">
      <w:pPr>
        <w:jc w:val="both"/>
        <w:rPr>
          <w:bCs/>
          <w:color w:val="002060"/>
          <w:sz w:val="16"/>
          <w:szCs w:val="16"/>
        </w:rPr>
      </w:pPr>
      <w:r w:rsidRPr="00405303">
        <w:rPr>
          <w:bCs/>
          <w:color w:val="002060"/>
          <w:sz w:val="16"/>
          <w:szCs w:val="16"/>
        </w:rPr>
        <w:t>7</w:t>
      </w:r>
      <w:r w:rsidR="00F37E1D" w:rsidRPr="00405303">
        <w:rPr>
          <w:bCs/>
          <w:color w:val="002060"/>
          <w:sz w:val="16"/>
          <w:szCs w:val="16"/>
        </w:rPr>
        <w:t xml:space="preserve"> (20)</w:t>
      </w:r>
      <w:r w:rsidRPr="00405303">
        <w:rPr>
          <w:bCs/>
          <w:color w:val="002060"/>
          <w:sz w:val="16"/>
          <w:szCs w:val="16"/>
        </w:rPr>
        <w:t xml:space="preserve"> мая</w:t>
      </w:r>
      <w:r w:rsidR="00C306B1" w:rsidRPr="00405303">
        <w:rPr>
          <w:bCs/>
          <w:color w:val="002060"/>
          <w:sz w:val="16"/>
          <w:szCs w:val="16"/>
        </w:rPr>
        <w:t xml:space="preserve"> </w:t>
      </w:r>
      <w:r w:rsidRPr="00405303">
        <w:rPr>
          <w:bCs/>
          <w:color w:val="002060"/>
          <w:sz w:val="16"/>
          <w:szCs w:val="16"/>
        </w:rPr>
        <w:t>в 1915 году австрийцы окружили в Карпатах дивизию русского генерала Л.Корнилова (будущего лидера белого движения) (14884).</w:t>
      </w:r>
    </w:p>
    <w:p w14:paraId="43A55E36" w14:textId="77777777" w:rsidR="00D340DA" w:rsidRPr="00405303" w:rsidRDefault="00D340DA" w:rsidP="00C15251">
      <w:pPr>
        <w:jc w:val="both"/>
        <w:rPr>
          <w:bCs/>
          <w:color w:val="002060"/>
          <w:sz w:val="16"/>
          <w:szCs w:val="16"/>
        </w:rPr>
      </w:pPr>
    </w:p>
    <w:p w14:paraId="3A1C14C2"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625539D4" w14:textId="77777777" w:rsidR="004B4E35" w:rsidRPr="00405303" w:rsidRDefault="004B4E35" w:rsidP="00C15251">
      <w:pPr>
        <w:shd w:val="clear" w:color="auto" w:fill="FFFFFF"/>
        <w:jc w:val="both"/>
        <w:rPr>
          <w:bCs/>
          <w:i/>
          <w:color w:val="002060"/>
          <w:sz w:val="16"/>
          <w:szCs w:val="16"/>
        </w:rPr>
      </w:pPr>
    </w:p>
    <w:p w14:paraId="45C0D196" w14:textId="69B5298F"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В начале мая 1915 г. первый бронеавтомобиль </w:t>
      </w:r>
      <w:r w:rsidR="00F37E1D" w:rsidRPr="00405303">
        <w:rPr>
          <w:bCs/>
          <w:color w:val="002060"/>
          <w:sz w:val="16"/>
          <w:szCs w:val="16"/>
        </w:rPr>
        <w:t>(забронированный 4-тонный грузовой автомобиль фирмы «Гарфорд» (СагГогё Мо1ог Тгаск Со.), всю заднюю часть которого заняла вра</w:t>
      </w:r>
      <w:r w:rsidR="00F37E1D" w:rsidRPr="00405303">
        <w:rPr>
          <w:bCs/>
          <w:color w:val="002060"/>
          <w:sz w:val="16"/>
          <w:szCs w:val="16"/>
        </w:rPr>
        <w:softHyphen/>
        <w:t>щающаяся башенная установка, вооруженная 76,2-мм ору</w:t>
      </w:r>
      <w:r w:rsidR="00F37E1D" w:rsidRPr="00405303">
        <w:rPr>
          <w:bCs/>
          <w:color w:val="002060"/>
          <w:sz w:val="16"/>
          <w:szCs w:val="16"/>
        </w:rPr>
        <w:softHyphen/>
        <w:t xml:space="preserve">дием обр. 1910 г. на тумбе, </w:t>
      </w:r>
      <w:r w:rsidRPr="00405303">
        <w:rPr>
          <w:bCs/>
          <w:color w:val="002060"/>
          <w:sz w:val="16"/>
          <w:szCs w:val="16"/>
        </w:rPr>
        <w:t>был готов, а к октябрю Пугиловский завод закончил бронирование и остальных 30 машин, заказанных военным ведомством.</w:t>
      </w:r>
    </w:p>
    <w:p w14:paraId="11353EF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Полный вес бронеавтомобиля превышал 8 т, а потому его динамические характеристики (двигатель автомобиля «Гарфорд» имел мощность всего 30 л.с.) оказались весьма скромными. В боевых условиях бронеавтомобиль разгонял</w:t>
      </w:r>
      <w:r w:rsidRPr="00405303">
        <w:rPr>
          <w:bCs/>
          <w:color w:val="002060"/>
          <w:sz w:val="16"/>
          <w:szCs w:val="16"/>
        </w:rPr>
        <w:softHyphen/>
        <w:t>ся до скорости лишь в 3—5, а по хорошей дороге — не более 15 верст в час (ок. 20-22 км/ч). Его проходимость была плохой, но вооружение, расположенное в кормовой части во вращающейся башенной установке, было сильным. Выбор Филатова в пользу 76,2-мм противоштурмовой пушки был полностью оправдан. В боекомплекте этого орудия имелись все типы боеприпасов, выпускавшихся для трехдюймовых орудий, а значит, пригодных для решения практически все</w:t>
      </w:r>
      <w:r w:rsidRPr="00405303">
        <w:rPr>
          <w:bCs/>
          <w:color w:val="002060"/>
          <w:sz w:val="16"/>
          <w:szCs w:val="16"/>
        </w:rPr>
        <w:softHyphen/>
        <w:t>го спектра задач, стоявших перед артиллерией поддержки.</w:t>
      </w:r>
    </w:p>
    <w:p w14:paraId="42BC2FB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Испытания подтвердили пригодность бронеавтомобиля для сопровождения и огневого усиления пехоты, но для пол</w:t>
      </w:r>
      <w:r w:rsidRPr="00405303">
        <w:rPr>
          <w:bCs/>
          <w:color w:val="002060"/>
          <w:sz w:val="16"/>
          <w:szCs w:val="16"/>
        </w:rPr>
        <w:softHyphen/>
        <w:t>ного оснащения им армии в стране не было необходимого количества грузовых шасси нужной грузоподъемности (от 4 т). И хоть потребность армии уже в текущем 1915 г. оцени</w:t>
      </w:r>
      <w:r w:rsidRPr="00405303">
        <w:rPr>
          <w:bCs/>
          <w:color w:val="002060"/>
          <w:sz w:val="16"/>
          <w:szCs w:val="16"/>
        </w:rPr>
        <w:softHyphen/>
        <w:t>валась в 200 шт., кроме сданных Путиловским заводом 30 ма</w:t>
      </w:r>
      <w:r w:rsidRPr="00405303">
        <w:rPr>
          <w:bCs/>
          <w:color w:val="002060"/>
          <w:sz w:val="16"/>
          <w:szCs w:val="16"/>
        </w:rPr>
        <w:softHyphen/>
        <w:t>шин, иных заказов не последовало, хотя все полученные вой</w:t>
      </w:r>
      <w:r w:rsidRPr="00405303">
        <w:rPr>
          <w:bCs/>
          <w:color w:val="002060"/>
          <w:sz w:val="16"/>
          <w:szCs w:val="16"/>
        </w:rPr>
        <w:softHyphen/>
        <w:t>сками бронеавтомобили оказались надежными в эксплуата</w:t>
      </w:r>
      <w:r w:rsidRPr="00405303">
        <w:rPr>
          <w:bCs/>
          <w:color w:val="002060"/>
          <w:sz w:val="16"/>
          <w:szCs w:val="16"/>
        </w:rPr>
        <w:softHyphen/>
        <w:t>ции и эффективными в бою. Поэтому недостаток шасси, а также чрезмерный вес бронеавтомобилей «Гарфорд-Путило</w:t>
      </w:r>
      <w:r w:rsidRPr="00405303">
        <w:rPr>
          <w:bCs/>
          <w:color w:val="002060"/>
          <w:sz w:val="16"/>
          <w:szCs w:val="16"/>
        </w:rPr>
        <w:softHyphen/>
        <w:t>вец» заставили Н.М. Филатова искать компромиссы (11417).</w:t>
      </w:r>
    </w:p>
    <w:p w14:paraId="487E5D1C" w14:textId="77777777" w:rsidR="004B4E35" w:rsidRPr="00405303" w:rsidRDefault="004B4E35" w:rsidP="00C15251">
      <w:pPr>
        <w:pStyle w:val="Iauiue"/>
        <w:widowControl/>
        <w:jc w:val="both"/>
        <w:rPr>
          <w:bCs/>
          <w:color w:val="002060"/>
          <w:sz w:val="16"/>
          <w:szCs w:val="16"/>
        </w:rPr>
      </w:pPr>
    </w:p>
    <w:p w14:paraId="32C6E3C6"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131CEC4A" w14:textId="77777777" w:rsidR="004B4E35" w:rsidRPr="00405303" w:rsidRDefault="004B4E35" w:rsidP="00C15251">
      <w:pPr>
        <w:shd w:val="clear" w:color="auto" w:fill="FFFFFF"/>
        <w:jc w:val="both"/>
        <w:rPr>
          <w:bCs/>
          <w:i/>
          <w:color w:val="002060"/>
          <w:sz w:val="16"/>
          <w:szCs w:val="16"/>
        </w:rPr>
      </w:pPr>
    </w:p>
    <w:p w14:paraId="57A17FB0" w14:textId="77777777" w:rsidR="004B4E35" w:rsidRPr="00405303" w:rsidRDefault="009E6F82" w:rsidP="00C15251">
      <w:pPr>
        <w:jc w:val="both"/>
        <w:rPr>
          <w:bCs/>
          <w:color w:val="002060"/>
          <w:sz w:val="16"/>
          <w:szCs w:val="16"/>
        </w:rPr>
      </w:pPr>
      <w:r w:rsidRPr="00405303">
        <w:rPr>
          <w:bCs/>
          <w:color w:val="002060"/>
          <w:sz w:val="16"/>
          <w:szCs w:val="16"/>
        </w:rPr>
        <w:t>В начале мая 1915 г. серьезное положение сложилось и на Варшавском направлении. Ввиду явной угрозы базе было решено основную часть эскадры эвакуировать, и оставить только боевые корабли, которые должны были до последнего участвовать в военных действиях, а затем перелететь в Лиду. На тыловую базу, как водится, сразу посыпались назначения. Из Ставки на должность заместителя командира эскадры по строевой части прибыл генерал-майор Войнилович-Няньковский, а на должность старшего офицера эскадры - капитан Генерального штаба Витковский. Последнее назначение было ударом по офицерскому собранию. Любимец эскадры, боевой командир был на своем месте, и все ожидали утверждения Горшкова в должности. Витковский же оказался человеком весьма далеким от авиации и к тому же, как потом выяснилось, не обладал достаточными человеческими качествами. Как бы там ни было, а самолюбие первого летчика эскадры было задето. Горшков вообще хотел уйти в легкую авиацию, но, вняв уговорам Шидловского, которого очень уважал, остался, однако попросил перевести его командиром первого боевого отряда, находившегося во Владаве (11230).</w:t>
      </w:r>
    </w:p>
    <w:p w14:paraId="69AC749A" w14:textId="77777777" w:rsidR="004B4E35" w:rsidRPr="00405303" w:rsidRDefault="009E6F82" w:rsidP="00C15251">
      <w:pPr>
        <w:jc w:val="both"/>
        <w:rPr>
          <w:bCs/>
          <w:color w:val="002060"/>
          <w:sz w:val="16"/>
          <w:szCs w:val="16"/>
        </w:rPr>
      </w:pPr>
      <w:r w:rsidRPr="00405303">
        <w:rPr>
          <w:bCs/>
          <w:color w:val="002060"/>
          <w:sz w:val="16"/>
          <w:szCs w:val="16"/>
        </w:rPr>
        <w:t>Базирование в Лиде оказалось кратковременным, и в августе началось перемещение под Псков, поскольку для восьми боевых и двух учебных кораблей аэродром оказался тесен. Тогда же было принято решение об организации второго боевого отряда для действий на Рижском направлении. Место базирования ему определили в 30 км южнее Риги близ станции Зегевольд (11230).</w:t>
      </w:r>
    </w:p>
    <w:p w14:paraId="180226D8" w14:textId="77777777" w:rsidR="004B4E35" w:rsidRPr="00405303" w:rsidRDefault="004B4E35" w:rsidP="00C15251">
      <w:pPr>
        <w:jc w:val="both"/>
        <w:rPr>
          <w:bCs/>
          <w:color w:val="002060"/>
          <w:sz w:val="16"/>
          <w:szCs w:val="16"/>
        </w:rPr>
      </w:pPr>
    </w:p>
    <w:p w14:paraId="1B9F83A8" w14:textId="77777777" w:rsidR="00C209DA" w:rsidRPr="00405303" w:rsidRDefault="00C209DA" w:rsidP="00C15251">
      <w:pPr>
        <w:jc w:val="both"/>
        <w:rPr>
          <w:bCs/>
          <w:color w:val="002060"/>
          <w:sz w:val="16"/>
          <w:szCs w:val="16"/>
        </w:rPr>
      </w:pPr>
      <w:r w:rsidRPr="00405303">
        <w:rPr>
          <w:bCs/>
          <w:color w:val="002060"/>
          <w:sz w:val="16"/>
          <w:szCs w:val="16"/>
        </w:rPr>
        <w:t>В начале мая 1915 г. серьезное положение сложилось на Варшав</w:t>
      </w:r>
      <w:r w:rsidRPr="00405303">
        <w:rPr>
          <w:bCs/>
          <w:color w:val="002060"/>
          <w:sz w:val="16"/>
          <w:szCs w:val="16"/>
        </w:rPr>
        <w:softHyphen/>
        <w:t>ском направлении. Ввиду явной уг</w:t>
      </w:r>
      <w:r w:rsidRPr="00405303">
        <w:rPr>
          <w:bCs/>
          <w:color w:val="002060"/>
          <w:sz w:val="16"/>
          <w:szCs w:val="16"/>
        </w:rPr>
        <w:softHyphen/>
        <w:t xml:space="preserve">розы базе было решено Эскадру эвакуировать в Лиду. Здесь начали подготовку экипажи </w:t>
      </w:r>
      <w:r w:rsidRPr="00405303">
        <w:rPr>
          <w:bCs/>
          <w:color w:val="002060"/>
          <w:sz w:val="16"/>
          <w:szCs w:val="16"/>
          <w:lang w:val="en-US" w:bidi="en-US"/>
        </w:rPr>
        <w:t>BK</w:t>
      </w:r>
      <w:r w:rsidRPr="00405303">
        <w:rPr>
          <w:bCs/>
          <w:color w:val="002060"/>
          <w:sz w:val="16"/>
          <w:szCs w:val="16"/>
          <w:lang w:bidi="en-US"/>
        </w:rPr>
        <w:t>-</w:t>
      </w:r>
      <w:r w:rsidRPr="00405303">
        <w:rPr>
          <w:bCs/>
          <w:color w:val="002060"/>
          <w:sz w:val="16"/>
          <w:szCs w:val="16"/>
          <w:lang w:val="en-US" w:bidi="en-US"/>
        </w:rPr>
        <w:t>V</w:t>
      </w:r>
      <w:r w:rsidRPr="00405303">
        <w:rPr>
          <w:bCs/>
          <w:color w:val="002060"/>
          <w:sz w:val="16"/>
          <w:szCs w:val="16"/>
          <w:lang w:bidi="en-US"/>
        </w:rPr>
        <w:t xml:space="preserve">1 </w:t>
      </w:r>
      <w:r w:rsidRPr="00405303">
        <w:rPr>
          <w:bCs/>
          <w:color w:val="002060"/>
          <w:sz w:val="16"/>
          <w:szCs w:val="16"/>
        </w:rPr>
        <w:t>поручи</w:t>
      </w:r>
      <w:r w:rsidRPr="00405303">
        <w:rPr>
          <w:bCs/>
          <w:color w:val="002060"/>
          <w:sz w:val="16"/>
          <w:szCs w:val="16"/>
        </w:rPr>
        <w:softHyphen/>
        <w:t xml:space="preserve">ка Головина, </w:t>
      </w:r>
      <w:r w:rsidRPr="00405303">
        <w:rPr>
          <w:bCs/>
          <w:color w:val="002060"/>
          <w:sz w:val="16"/>
          <w:szCs w:val="16"/>
          <w:lang w:val="en-US" w:bidi="en-US"/>
        </w:rPr>
        <w:t>BK</w:t>
      </w:r>
      <w:r w:rsidRPr="00405303">
        <w:rPr>
          <w:bCs/>
          <w:color w:val="002060"/>
          <w:sz w:val="16"/>
          <w:szCs w:val="16"/>
          <w:lang w:bidi="en-US"/>
        </w:rPr>
        <w:t>-</w:t>
      </w:r>
      <w:r w:rsidRPr="00405303">
        <w:rPr>
          <w:bCs/>
          <w:color w:val="002060"/>
          <w:sz w:val="16"/>
          <w:szCs w:val="16"/>
          <w:lang w:val="en-US" w:bidi="en-US"/>
        </w:rPr>
        <w:t>VIII</w:t>
      </w:r>
      <w:r w:rsidRPr="00405303">
        <w:rPr>
          <w:bCs/>
          <w:color w:val="002060"/>
          <w:sz w:val="16"/>
          <w:szCs w:val="16"/>
          <w:lang w:bidi="en-US"/>
        </w:rPr>
        <w:t xml:space="preserve"> </w:t>
      </w:r>
      <w:r w:rsidRPr="00405303">
        <w:rPr>
          <w:bCs/>
          <w:color w:val="002060"/>
          <w:sz w:val="16"/>
          <w:szCs w:val="16"/>
        </w:rPr>
        <w:t xml:space="preserve">поручика Смирнова, </w:t>
      </w:r>
      <w:r w:rsidRPr="00405303">
        <w:rPr>
          <w:bCs/>
          <w:color w:val="002060"/>
          <w:sz w:val="16"/>
          <w:szCs w:val="16"/>
          <w:lang w:val="en-US" w:bidi="en-US"/>
        </w:rPr>
        <w:t>BK</w:t>
      </w:r>
      <w:r w:rsidRPr="00405303">
        <w:rPr>
          <w:bCs/>
          <w:color w:val="002060"/>
          <w:sz w:val="16"/>
          <w:szCs w:val="16"/>
          <w:lang w:bidi="en-US"/>
        </w:rPr>
        <w:t>-</w:t>
      </w:r>
      <w:r w:rsidRPr="00405303">
        <w:rPr>
          <w:bCs/>
          <w:color w:val="002060"/>
          <w:sz w:val="16"/>
          <w:szCs w:val="16"/>
          <w:lang w:val="en-US" w:bidi="en-US"/>
        </w:rPr>
        <w:t>IX</w:t>
      </w:r>
      <w:r w:rsidRPr="00405303">
        <w:rPr>
          <w:bCs/>
          <w:color w:val="002060"/>
          <w:sz w:val="16"/>
          <w:szCs w:val="16"/>
          <w:lang w:bidi="en-US"/>
        </w:rPr>
        <w:t xml:space="preserve"> </w:t>
      </w:r>
      <w:r w:rsidRPr="00405303">
        <w:rPr>
          <w:bCs/>
          <w:color w:val="002060"/>
          <w:sz w:val="16"/>
          <w:szCs w:val="16"/>
        </w:rPr>
        <w:t>штабс-капитана Нижевского и ВК-Х штабс-капита</w:t>
      </w:r>
      <w:r w:rsidRPr="00405303">
        <w:rPr>
          <w:bCs/>
          <w:color w:val="002060"/>
          <w:sz w:val="16"/>
          <w:szCs w:val="16"/>
        </w:rPr>
        <w:softHyphen/>
        <w:t>на Чечулина (потом его заменил поручик Констенчик). Таким обра</w:t>
      </w:r>
      <w:r w:rsidRPr="00405303">
        <w:rPr>
          <w:bCs/>
          <w:color w:val="002060"/>
          <w:sz w:val="16"/>
          <w:szCs w:val="16"/>
        </w:rPr>
        <w:softHyphen/>
        <w:t>зом, Эскадра была доведена до штатного состава.</w:t>
      </w:r>
    </w:p>
    <w:p w14:paraId="518A75A2" w14:textId="77777777" w:rsidR="00C209DA" w:rsidRPr="00405303" w:rsidRDefault="00C209DA" w:rsidP="00C15251">
      <w:pPr>
        <w:jc w:val="both"/>
        <w:rPr>
          <w:bCs/>
          <w:color w:val="002060"/>
          <w:sz w:val="16"/>
          <w:szCs w:val="16"/>
        </w:rPr>
      </w:pPr>
      <w:r w:rsidRPr="00405303">
        <w:rPr>
          <w:bCs/>
          <w:color w:val="002060"/>
          <w:sz w:val="16"/>
          <w:szCs w:val="16"/>
        </w:rPr>
        <w:t>Базирование в Лиде оказалось, однако, недолгим, всего три месяца. Был сдан Ковно, и пришлось отсту</w:t>
      </w:r>
      <w:r w:rsidRPr="00405303">
        <w:rPr>
          <w:bCs/>
          <w:color w:val="002060"/>
          <w:sz w:val="16"/>
          <w:szCs w:val="16"/>
        </w:rPr>
        <w:softHyphen/>
        <w:t>пать. Началось новое перебазиро</w:t>
      </w:r>
      <w:r w:rsidRPr="00405303">
        <w:rPr>
          <w:bCs/>
          <w:color w:val="002060"/>
          <w:sz w:val="16"/>
          <w:szCs w:val="16"/>
        </w:rPr>
        <w:softHyphen/>
        <w:t>вание, теперь в Псков. Следует от</w:t>
      </w:r>
      <w:r w:rsidRPr="00405303">
        <w:rPr>
          <w:bCs/>
          <w:color w:val="002060"/>
          <w:sz w:val="16"/>
          <w:szCs w:val="16"/>
        </w:rPr>
        <w:softHyphen/>
        <w:t>метить, что при перелётах из Яблонны в Лиду и из Лиды в Псков (более 600 км) не было ни одного лётного происшествия. Причины первых неудач крылись не в «Му</w:t>
      </w:r>
      <w:r w:rsidRPr="00405303">
        <w:rPr>
          <w:bCs/>
          <w:color w:val="002060"/>
          <w:sz w:val="16"/>
          <w:szCs w:val="16"/>
        </w:rPr>
        <w:softHyphen/>
        <w:t>ромцах», а в недостаточном ещё опыте лётного состава.</w:t>
      </w:r>
    </w:p>
    <w:p w14:paraId="47CFAB22" w14:textId="77777777" w:rsidR="00C209DA" w:rsidRPr="00405303" w:rsidRDefault="00C209DA" w:rsidP="00C15251">
      <w:pPr>
        <w:jc w:val="both"/>
        <w:rPr>
          <w:bCs/>
          <w:color w:val="002060"/>
          <w:sz w:val="16"/>
          <w:szCs w:val="16"/>
        </w:rPr>
      </w:pPr>
      <w:r w:rsidRPr="00405303">
        <w:rPr>
          <w:bCs/>
          <w:color w:val="002060"/>
          <w:sz w:val="16"/>
          <w:szCs w:val="16"/>
        </w:rPr>
        <w:t>Пока база Эскадры эвакуирова</w:t>
      </w:r>
      <w:r w:rsidRPr="00405303">
        <w:rPr>
          <w:bCs/>
          <w:color w:val="002060"/>
          <w:sz w:val="16"/>
          <w:szCs w:val="16"/>
        </w:rPr>
        <w:softHyphen/>
        <w:t>лась от Яблонны до Пскова и обжи</w:t>
      </w:r>
      <w:r w:rsidRPr="00405303">
        <w:rPr>
          <w:bCs/>
          <w:color w:val="002060"/>
          <w:sz w:val="16"/>
          <w:szCs w:val="16"/>
        </w:rPr>
        <w:softHyphen/>
        <w:t>валась на новом месте, отдельный отряд эффективно действовал (23469).</w:t>
      </w:r>
    </w:p>
    <w:p w14:paraId="04E504AE" w14:textId="77777777" w:rsidR="00C209DA" w:rsidRPr="00405303" w:rsidRDefault="00C209DA" w:rsidP="00C15251">
      <w:pPr>
        <w:jc w:val="both"/>
        <w:rPr>
          <w:bCs/>
          <w:color w:val="002060"/>
          <w:sz w:val="16"/>
          <w:szCs w:val="16"/>
        </w:rPr>
      </w:pPr>
    </w:p>
    <w:p w14:paraId="60F14C11" w14:textId="77777777" w:rsidR="00C209DA" w:rsidRPr="00405303" w:rsidRDefault="00C209DA" w:rsidP="00C15251">
      <w:pPr>
        <w:jc w:val="both"/>
        <w:rPr>
          <w:bCs/>
          <w:color w:val="002060"/>
          <w:sz w:val="16"/>
          <w:szCs w:val="16"/>
        </w:rPr>
      </w:pPr>
      <w:r w:rsidRPr="00405303">
        <w:rPr>
          <w:bCs/>
          <w:color w:val="002060"/>
          <w:sz w:val="16"/>
          <w:szCs w:val="16"/>
        </w:rPr>
        <w:t>В начале мая 1915 г. серьезное положение сложилось и на Варшавском направлении. Ввиду явной угрозы базе было решено основную часть эскадры эвакуировать, и оставить только боевые корабли, которые должны были до последнего участвовать в военных действиях, а затем перелететь в Лиду. На тыловую базу, как водит</w:t>
      </w:r>
      <w:r w:rsidRPr="00405303">
        <w:rPr>
          <w:bCs/>
          <w:color w:val="002060"/>
          <w:sz w:val="16"/>
          <w:szCs w:val="16"/>
        </w:rPr>
        <w:softHyphen/>
        <w:t>ся, сразу посыпались назначения. Из Ставки на долж</w:t>
      </w:r>
      <w:r w:rsidRPr="00405303">
        <w:rPr>
          <w:bCs/>
          <w:color w:val="002060"/>
          <w:sz w:val="16"/>
          <w:szCs w:val="16"/>
        </w:rPr>
        <w:softHyphen/>
        <w:t>ность заместителя командира эскадры по строевой части прибыл генерал-майор Войнилович-Няньковский, а на должность старшего офицера эскадры — капитан Ге</w:t>
      </w:r>
      <w:r w:rsidRPr="00405303">
        <w:rPr>
          <w:bCs/>
          <w:color w:val="002060"/>
          <w:sz w:val="16"/>
          <w:szCs w:val="16"/>
        </w:rPr>
        <w:softHyphen/>
        <w:t>нерального штаба Витковский. Последнее назначение было ударом по офицерскому собранию. Любимец эс</w:t>
      </w:r>
      <w:r w:rsidRPr="00405303">
        <w:rPr>
          <w:bCs/>
          <w:color w:val="002060"/>
          <w:sz w:val="16"/>
          <w:szCs w:val="16"/>
        </w:rPr>
        <w:softHyphen/>
        <w:t>кадры, боевой командир был на своем месте, и все ожи</w:t>
      </w:r>
      <w:r w:rsidRPr="00405303">
        <w:rPr>
          <w:bCs/>
          <w:color w:val="002060"/>
          <w:sz w:val="16"/>
          <w:szCs w:val="16"/>
        </w:rPr>
        <w:softHyphen/>
        <w:t>дали утверждения Горшкова в должности. Витковский же оказался человеком весьма далеким от авиации и к тому же, как потом выяснилось, не обладал достаточ</w:t>
      </w:r>
      <w:r w:rsidRPr="00405303">
        <w:rPr>
          <w:bCs/>
          <w:color w:val="002060"/>
          <w:sz w:val="16"/>
          <w:szCs w:val="16"/>
        </w:rPr>
        <w:softHyphen/>
        <w:t>ными человеческими качествами. Как бы там ни было, а самолюбие первого летчика эскадры было задето. Гор</w:t>
      </w:r>
      <w:r w:rsidRPr="00405303">
        <w:rPr>
          <w:bCs/>
          <w:color w:val="002060"/>
          <w:sz w:val="16"/>
          <w:szCs w:val="16"/>
        </w:rPr>
        <w:softHyphen/>
        <w:t>шков вообще хотел уйти в легкую авиацию, но, вняв уговорам Шидловского, которого очень уважал, остался, однако попросил перевести его командиром первого боевого отряда, находившегося во Владаве.</w:t>
      </w:r>
    </w:p>
    <w:p w14:paraId="2400259C" w14:textId="77777777" w:rsidR="00C209DA" w:rsidRPr="00405303" w:rsidRDefault="00C209DA" w:rsidP="00C15251">
      <w:pPr>
        <w:jc w:val="both"/>
        <w:rPr>
          <w:bCs/>
          <w:color w:val="002060"/>
          <w:sz w:val="16"/>
          <w:szCs w:val="16"/>
        </w:rPr>
      </w:pPr>
      <w:r w:rsidRPr="00405303">
        <w:rPr>
          <w:bCs/>
          <w:color w:val="002060"/>
          <w:sz w:val="16"/>
          <w:szCs w:val="16"/>
        </w:rPr>
        <w:t>Базирование в Лиде оказалось кратковременным, и в августе началось перемещение под Псков, поскольку для восьми боевых и двух учебных кораблей аэродром оказался тесен. Тогда же было принято решение об ор</w:t>
      </w:r>
      <w:r w:rsidRPr="00405303">
        <w:rPr>
          <w:bCs/>
          <w:color w:val="002060"/>
          <w:sz w:val="16"/>
          <w:szCs w:val="16"/>
        </w:rPr>
        <w:softHyphen/>
        <w:t>ганизации второго боевого отряда для действий на Рижском направлении. Место базирования ему опреде</w:t>
      </w:r>
      <w:r w:rsidRPr="00405303">
        <w:rPr>
          <w:bCs/>
          <w:color w:val="002060"/>
          <w:sz w:val="16"/>
          <w:szCs w:val="16"/>
        </w:rPr>
        <w:softHyphen/>
        <w:t>лили в 30 км южнее Риги близ станции Зегевольд (24177).</w:t>
      </w:r>
    </w:p>
    <w:p w14:paraId="34AF87B2" w14:textId="77777777" w:rsidR="00C209DA" w:rsidRPr="00405303" w:rsidRDefault="00C209DA" w:rsidP="00C15251">
      <w:pPr>
        <w:jc w:val="both"/>
        <w:rPr>
          <w:bCs/>
          <w:color w:val="002060"/>
          <w:sz w:val="16"/>
          <w:szCs w:val="16"/>
        </w:rPr>
      </w:pPr>
    </w:p>
    <w:p w14:paraId="53C26DB9" w14:textId="77777777" w:rsidR="00F51E86" w:rsidRPr="00405303" w:rsidRDefault="00F51E86" w:rsidP="00F51E86">
      <w:pPr>
        <w:jc w:val="both"/>
        <w:rPr>
          <w:color w:val="0070C0"/>
          <w:sz w:val="16"/>
          <w:szCs w:val="16"/>
        </w:rPr>
      </w:pPr>
      <w:r w:rsidRPr="00405303">
        <w:rPr>
          <w:color w:val="0070C0"/>
          <w:sz w:val="16"/>
          <w:szCs w:val="16"/>
        </w:rPr>
        <w:t>В начале мая 1915 г. ввиду явной угрозы базе ЭВК в Яюлоне было решено Эскадру эвакуировать в Лиду. Здесь начали подготовку экипажи поручика Головина, поручика Смирнова, штабс-капитана Нижевского и штабс- капитана Чечулина (потом его заменил поручик Констенчик). Таким образом, Эскадра была доведена до штатного состава (24965).</w:t>
      </w:r>
    </w:p>
    <w:p w14:paraId="64F83BDB" w14:textId="77777777" w:rsidR="00F51E86" w:rsidRPr="00405303" w:rsidRDefault="00F51E86" w:rsidP="00F51E86">
      <w:pPr>
        <w:jc w:val="both"/>
        <w:rPr>
          <w:color w:val="0070C0"/>
          <w:sz w:val="16"/>
          <w:szCs w:val="16"/>
        </w:rPr>
      </w:pPr>
    </w:p>
    <w:p w14:paraId="4CF59014" w14:textId="77777777" w:rsidR="00C209DA" w:rsidRPr="00405303" w:rsidRDefault="00C209DA" w:rsidP="00C15251">
      <w:pPr>
        <w:jc w:val="both"/>
        <w:rPr>
          <w:bCs/>
          <w:color w:val="002060"/>
          <w:sz w:val="16"/>
          <w:szCs w:val="16"/>
        </w:rPr>
      </w:pPr>
      <w:r w:rsidRPr="00405303">
        <w:rPr>
          <w:bCs/>
          <w:color w:val="002060"/>
          <w:sz w:val="16"/>
          <w:szCs w:val="16"/>
        </w:rPr>
        <w:t>В начале мая 1915 г. численность персонала ЭВК была увеличена и количество воздушных судов в эскадрилье было увеличено с семи до десяти. Стала очевидной нехватка хорошо подготовленных командиров Муромцев. Для того, чтобы заполнить эти вакансии, управление генерал-инспектора авиации прислало нескольких офицеров из аэростатных частей, которые оставались без дела из-за роспуска подразделений, оснащенных дирижаблями. Эти дирижабли показали себя абсолютно непригодными для боевых действий.</w:t>
      </w:r>
    </w:p>
    <w:p w14:paraId="03A535FF" w14:textId="77777777" w:rsidR="00C209DA" w:rsidRPr="00405303" w:rsidRDefault="00C209DA" w:rsidP="00C15251">
      <w:pPr>
        <w:jc w:val="both"/>
        <w:rPr>
          <w:bCs/>
          <w:color w:val="002060"/>
          <w:sz w:val="16"/>
          <w:szCs w:val="16"/>
        </w:rPr>
      </w:pPr>
      <w:r w:rsidRPr="00405303">
        <w:rPr>
          <w:bCs/>
          <w:color w:val="002060"/>
          <w:sz w:val="16"/>
          <w:szCs w:val="16"/>
        </w:rPr>
        <w:t>Эти офицеры были не только незнакомы с самолетами Илья Муромец и их операциями, но также с небольшими аэропланами. Они были вскоре отчислены из ЭВК (23470).</w:t>
      </w:r>
    </w:p>
    <w:p w14:paraId="74152C3C" w14:textId="77777777" w:rsidR="00C209DA" w:rsidRPr="00405303" w:rsidRDefault="00C209DA" w:rsidP="00C15251">
      <w:pPr>
        <w:jc w:val="both"/>
        <w:rPr>
          <w:bCs/>
          <w:color w:val="002060"/>
          <w:sz w:val="16"/>
          <w:szCs w:val="16"/>
        </w:rPr>
      </w:pPr>
    </w:p>
    <w:p w14:paraId="2598D95A" w14:textId="77777777" w:rsidR="004B4E35" w:rsidRPr="00405303" w:rsidRDefault="009E6F82" w:rsidP="00C15251">
      <w:pPr>
        <w:jc w:val="both"/>
        <w:rPr>
          <w:bCs/>
          <w:i/>
          <w:color w:val="002060"/>
          <w:sz w:val="16"/>
          <w:szCs w:val="16"/>
        </w:rPr>
      </w:pPr>
      <w:r w:rsidRPr="00405303">
        <w:rPr>
          <w:bCs/>
          <w:i/>
          <w:color w:val="002060"/>
          <w:sz w:val="16"/>
          <w:szCs w:val="16"/>
        </w:rPr>
        <w:t>Военное воздухоплавание:</w:t>
      </w:r>
    </w:p>
    <w:p w14:paraId="73D723F7" w14:textId="77777777" w:rsidR="004B4E35" w:rsidRPr="00405303" w:rsidRDefault="004B4E35" w:rsidP="00C15251">
      <w:pPr>
        <w:jc w:val="both"/>
        <w:rPr>
          <w:bCs/>
          <w:i/>
          <w:color w:val="002060"/>
          <w:sz w:val="16"/>
          <w:szCs w:val="16"/>
        </w:rPr>
      </w:pPr>
    </w:p>
    <w:p w14:paraId="1F8BA581" w14:textId="510C171C" w:rsidR="004B4E35" w:rsidRPr="00405303" w:rsidRDefault="009E6F82" w:rsidP="00C15251">
      <w:pPr>
        <w:jc w:val="both"/>
        <w:rPr>
          <w:bCs/>
          <w:color w:val="002060"/>
          <w:sz w:val="16"/>
          <w:szCs w:val="16"/>
        </w:rPr>
      </w:pPr>
      <w:bookmarkStart w:id="133" w:name="_Hlk117614813"/>
      <w:r w:rsidRPr="00405303">
        <w:rPr>
          <w:bCs/>
          <w:color w:val="002060"/>
          <w:sz w:val="16"/>
          <w:szCs w:val="16"/>
        </w:rPr>
        <w:t>В начале мая были произведены испытательные полеты</w:t>
      </w:r>
      <w:r w:rsidR="00F37E1D" w:rsidRPr="00405303">
        <w:rPr>
          <w:bCs/>
          <w:color w:val="002060"/>
          <w:sz w:val="16"/>
          <w:szCs w:val="16"/>
        </w:rPr>
        <w:t xml:space="preserve"> Астры</w:t>
      </w:r>
      <w:r w:rsidRPr="00405303">
        <w:rPr>
          <w:bCs/>
          <w:color w:val="002060"/>
          <w:sz w:val="16"/>
          <w:szCs w:val="16"/>
        </w:rPr>
        <w:t>, во время которых проверена управляемость, максимальная скорость (38 км/ч) и потолок (1500 м) (11324).</w:t>
      </w:r>
    </w:p>
    <w:p w14:paraId="4B59198F" w14:textId="77777777" w:rsidR="004B4E35" w:rsidRPr="00405303" w:rsidRDefault="004B4E35" w:rsidP="00C15251">
      <w:pPr>
        <w:jc w:val="both"/>
        <w:rPr>
          <w:bCs/>
          <w:i/>
          <w:color w:val="002060"/>
          <w:sz w:val="16"/>
          <w:szCs w:val="16"/>
        </w:rPr>
      </w:pPr>
    </w:p>
    <w:bookmarkEnd w:id="133"/>
    <w:p w14:paraId="343658AB" w14:textId="77777777" w:rsidR="004B4E35" w:rsidRPr="00405303" w:rsidRDefault="009E6F82" w:rsidP="00C15251">
      <w:pPr>
        <w:jc w:val="both"/>
        <w:rPr>
          <w:bCs/>
          <w:i/>
          <w:color w:val="002060"/>
          <w:sz w:val="16"/>
          <w:szCs w:val="16"/>
        </w:rPr>
      </w:pPr>
      <w:r w:rsidRPr="00405303">
        <w:rPr>
          <w:bCs/>
          <w:i/>
          <w:color w:val="002060"/>
          <w:sz w:val="16"/>
          <w:szCs w:val="16"/>
        </w:rPr>
        <w:t>Армия:</w:t>
      </w:r>
    </w:p>
    <w:p w14:paraId="23F46A2B" w14:textId="77777777" w:rsidR="004B4E35" w:rsidRPr="00405303" w:rsidRDefault="004B4E35" w:rsidP="00C15251">
      <w:pPr>
        <w:jc w:val="both"/>
        <w:rPr>
          <w:bCs/>
          <w:i/>
          <w:color w:val="002060"/>
          <w:sz w:val="16"/>
          <w:szCs w:val="16"/>
        </w:rPr>
      </w:pPr>
    </w:p>
    <w:p w14:paraId="7299C97C" w14:textId="49A7A6A1"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В начале мая 1915 г. батарея </w:t>
      </w:r>
      <w:r w:rsidR="00F37E1D" w:rsidRPr="00405303">
        <w:rPr>
          <w:bCs/>
          <w:color w:val="002060"/>
          <w:sz w:val="16"/>
          <w:szCs w:val="16"/>
        </w:rPr>
        <w:t xml:space="preserve">ПВО </w:t>
      </w:r>
      <w:r w:rsidRPr="00405303">
        <w:rPr>
          <w:bCs/>
          <w:color w:val="002060"/>
          <w:sz w:val="16"/>
          <w:szCs w:val="16"/>
        </w:rPr>
        <w:t>получила но</w:t>
      </w:r>
      <w:r w:rsidRPr="00405303">
        <w:rPr>
          <w:bCs/>
          <w:color w:val="002060"/>
          <w:sz w:val="16"/>
          <w:szCs w:val="16"/>
        </w:rPr>
        <w:softHyphen/>
        <w:t>вую задачу -прикрыть аэродром («воздуш</w:t>
      </w:r>
      <w:r w:rsidRPr="00405303">
        <w:rPr>
          <w:bCs/>
          <w:color w:val="002060"/>
          <w:sz w:val="16"/>
          <w:szCs w:val="16"/>
        </w:rPr>
        <w:softHyphen/>
        <w:t>ную базу») Эскадры воздушных кораблей (ЭВК) «Илья Муромец» южнее Варшавы. За короткий срок противник в полной мере смог оценить боевую мощь русской страте</w:t>
      </w:r>
      <w:r w:rsidRPr="00405303">
        <w:rPr>
          <w:bCs/>
          <w:color w:val="002060"/>
          <w:sz w:val="16"/>
          <w:szCs w:val="16"/>
        </w:rPr>
        <w:softHyphen/>
        <w:t>гической авиации и делал всё возможное, чтобы снизить её эффективность на фрон</w:t>
      </w:r>
      <w:r w:rsidRPr="00405303">
        <w:rPr>
          <w:bCs/>
          <w:color w:val="002060"/>
          <w:sz w:val="16"/>
          <w:szCs w:val="16"/>
        </w:rPr>
        <w:softHyphen/>
        <w:t>те. В конце зимы аэродром Эскадры на стан</w:t>
      </w:r>
      <w:r w:rsidRPr="00405303">
        <w:rPr>
          <w:bCs/>
          <w:color w:val="002060"/>
          <w:sz w:val="16"/>
          <w:szCs w:val="16"/>
        </w:rPr>
        <w:softHyphen/>
        <w:t>ции Яблонна (40 км южнее Варшавы) под</w:t>
      </w:r>
      <w:r w:rsidRPr="00405303">
        <w:rPr>
          <w:bCs/>
          <w:color w:val="002060"/>
          <w:sz w:val="16"/>
          <w:szCs w:val="16"/>
        </w:rPr>
        <w:softHyphen/>
        <w:t>вергся первому воздушному нападению со стороны немецкой аэропланов. Первона</w:t>
      </w:r>
      <w:r w:rsidRPr="00405303">
        <w:rPr>
          <w:bCs/>
          <w:color w:val="002060"/>
          <w:sz w:val="16"/>
          <w:szCs w:val="16"/>
        </w:rPr>
        <w:softHyphen/>
        <w:t>чально для его защиты задействовали ста</w:t>
      </w:r>
      <w:r w:rsidRPr="00405303">
        <w:rPr>
          <w:bCs/>
          <w:color w:val="002060"/>
          <w:sz w:val="16"/>
          <w:szCs w:val="16"/>
        </w:rPr>
        <w:softHyphen/>
        <w:t>ционарные зенитные батареи. Однако, ап</w:t>
      </w:r>
      <w:r w:rsidRPr="00405303">
        <w:rPr>
          <w:bCs/>
          <w:color w:val="002060"/>
          <w:sz w:val="16"/>
          <w:szCs w:val="16"/>
        </w:rPr>
        <w:softHyphen/>
        <w:t>рельский массированный воздушный налёт неприятеля на русскую «воздушную базу» окончательно убедил командование 1-й ар</w:t>
      </w:r>
      <w:r w:rsidRPr="00405303">
        <w:rPr>
          <w:bCs/>
          <w:color w:val="002060"/>
          <w:sz w:val="16"/>
          <w:szCs w:val="16"/>
        </w:rPr>
        <w:softHyphen/>
        <w:t>мии о необходимости возложить задачи ЗАО на автомобильную батарею Тарновского (11391).</w:t>
      </w:r>
    </w:p>
    <w:p w14:paraId="10D3A066" w14:textId="77777777" w:rsidR="004B4E35" w:rsidRPr="00405303" w:rsidRDefault="004B4E35" w:rsidP="00C15251">
      <w:pPr>
        <w:shd w:val="clear" w:color="auto" w:fill="FFFFFF"/>
        <w:jc w:val="both"/>
        <w:rPr>
          <w:bCs/>
          <w:color w:val="002060"/>
          <w:sz w:val="16"/>
          <w:szCs w:val="16"/>
        </w:rPr>
      </w:pPr>
    </w:p>
    <w:p w14:paraId="5202DCD3" w14:textId="77777777" w:rsidR="00726E20" w:rsidRPr="00405303" w:rsidRDefault="00726E20" w:rsidP="00C15251">
      <w:pPr>
        <w:pStyle w:val="ae"/>
        <w:spacing w:before="0" w:beforeAutospacing="0" w:after="0" w:afterAutospacing="0"/>
        <w:jc w:val="both"/>
        <w:rPr>
          <w:bCs/>
          <w:color w:val="002060"/>
          <w:sz w:val="16"/>
          <w:szCs w:val="16"/>
        </w:rPr>
      </w:pPr>
      <w:r w:rsidRPr="00405303">
        <w:rPr>
          <w:bCs/>
          <w:color w:val="002060"/>
          <w:sz w:val="16"/>
          <w:szCs w:val="16"/>
        </w:rPr>
        <w:t>В начале мая 1915 г. еще до первой атаки немцев на русском фронте (31 мая) организации Красного Креста приступили к изготовлению первых противохлорных масок, представляющих собой компресс из пяти-шести слоев марли, простроченный по краям и снабженный двумя парами тесемок для укрепления маски на лице. Против рта и носа имелся карман, в который вкладывалась пропитанная гипосульфитом корпия (маска-повязка первого образца). Такие маски-повязки в начале мая 1915 г. изготовлялись в довольно значительных количествах, по крайней мере в Москве и Минске. В газетах того времени помещено следующее сообщение, датированное 23 мая: «В общеземском союзе, как сообщают «Речи» (14 мая), из Москвы получено уведомление, что в Минске в широких размерах выделываются респираторы. Ежедневно их выпускается 25 тыс. штук. Респираторами снабжаются проходящие воинские части. Выработан усовершенствованный тип их». Из рассказов о первой газовой атаке на русском фронте в мае известно, что командование отдельных частей самостоятельно пыталось принять меры защиты своих войск на случай возможного химического нападения противника. Так, например, командование 55-й пехотной дивизии, на участке которой был впервые применен газ, по собственной инициативе заказало еще в начале мая в Москве противогазные маски и отправило за ними приемщика. Однако эти противогазы прибыли к месту назначения лишь под вечер 31 мая, уже после окончания газовой атаки (20246).</w:t>
      </w:r>
    </w:p>
    <w:p w14:paraId="52DE7101" w14:textId="77777777" w:rsidR="00726E20" w:rsidRPr="00405303" w:rsidRDefault="00726E20" w:rsidP="00C15251">
      <w:pPr>
        <w:pStyle w:val="ae"/>
        <w:spacing w:before="0" w:beforeAutospacing="0" w:after="0" w:afterAutospacing="0"/>
        <w:jc w:val="both"/>
        <w:rPr>
          <w:bCs/>
          <w:color w:val="002060"/>
          <w:sz w:val="16"/>
          <w:szCs w:val="16"/>
        </w:rPr>
      </w:pPr>
    </w:p>
    <w:p w14:paraId="21BD1065"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6D2AB407" w14:textId="77777777" w:rsidR="004B4E35" w:rsidRPr="00405303" w:rsidRDefault="004B4E35" w:rsidP="00C15251">
      <w:pPr>
        <w:shd w:val="clear" w:color="auto" w:fill="FFFFFF"/>
        <w:jc w:val="both"/>
        <w:rPr>
          <w:bCs/>
          <w:i/>
          <w:color w:val="002060"/>
          <w:sz w:val="16"/>
          <w:szCs w:val="16"/>
        </w:rPr>
      </w:pPr>
    </w:p>
    <w:p w14:paraId="1A49595F" w14:textId="17E3DCBE" w:rsidR="004B4E35" w:rsidRPr="00405303" w:rsidRDefault="00F37E1D"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начале мая </w:t>
      </w:r>
      <w:r w:rsidRPr="00405303">
        <w:rPr>
          <w:bCs/>
          <w:color w:val="002060"/>
          <w:sz w:val="16"/>
          <w:szCs w:val="16"/>
        </w:rPr>
        <w:t xml:space="preserve">1915 г., поскольку англичане и раньше нападали на военные объекты, расположенные на территории Германии, </w:t>
      </w:r>
      <w:r w:rsidR="009E6F82" w:rsidRPr="00405303">
        <w:rPr>
          <w:bCs/>
          <w:color w:val="002060"/>
          <w:sz w:val="16"/>
          <w:szCs w:val="16"/>
        </w:rPr>
        <w:t>Петер Штрассер получил разрешение планировать налеты на доки и заводы, расположенные в устье Темзы. И хотя подробные маршруты с указанием наиболее важных целей были разработаны, никто не решался дать «добро» на подобную операцию. Главный штаб требовал от Штрассера гарантий абсолютной точности бомбометания, которых командир дивизиона по понятным причинам дать не мог. Жертвы среди гражданского населения казались неизбежными, что, собственно, и останавливало командование флота от начала налетов на вражескую столицу (11324).</w:t>
      </w:r>
    </w:p>
    <w:p w14:paraId="0AF6497D" w14:textId="77777777" w:rsidR="004B4E35" w:rsidRPr="00405303" w:rsidRDefault="004B4E35" w:rsidP="00C15251">
      <w:pPr>
        <w:jc w:val="both"/>
        <w:rPr>
          <w:bCs/>
          <w:i/>
          <w:color w:val="002060"/>
          <w:sz w:val="16"/>
          <w:szCs w:val="16"/>
        </w:rPr>
      </w:pPr>
    </w:p>
    <w:p w14:paraId="256DE7D3"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Армия:</w:t>
      </w:r>
    </w:p>
    <w:p w14:paraId="046351F6" w14:textId="77777777" w:rsidR="004B4E35" w:rsidRPr="00405303" w:rsidRDefault="004B4E35" w:rsidP="00C15251">
      <w:pPr>
        <w:shd w:val="clear" w:color="auto" w:fill="FFFFFF"/>
        <w:jc w:val="both"/>
        <w:rPr>
          <w:bCs/>
          <w:i/>
          <w:color w:val="002060"/>
          <w:sz w:val="16"/>
          <w:szCs w:val="16"/>
        </w:rPr>
      </w:pPr>
    </w:p>
    <w:p w14:paraId="714C08B4" w14:textId="3B2A1348"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8 (21) мая 1915 батарея </w:t>
      </w:r>
      <w:r w:rsidR="00F37E1D" w:rsidRPr="00405303">
        <w:rPr>
          <w:bCs/>
          <w:color w:val="002060"/>
          <w:sz w:val="16"/>
          <w:szCs w:val="16"/>
        </w:rPr>
        <w:t xml:space="preserve">ПВО </w:t>
      </w:r>
      <w:r w:rsidRPr="00405303">
        <w:rPr>
          <w:bCs/>
          <w:color w:val="002060"/>
          <w:sz w:val="16"/>
          <w:szCs w:val="16"/>
        </w:rPr>
        <w:t>Тарновского прибыла в район Яблонны, раз</w:t>
      </w:r>
      <w:r w:rsidRPr="00405303">
        <w:rPr>
          <w:bCs/>
          <w:color w:val="002060"/>
          <w:sz w:val="16"/>
          <w:szCs w:val="16"/>
        </w:rPr>
        <w:softHyphen/>
        <w:t>вернула боевые порядки и приступила к вы</w:t>
      </w:r>
      <w:r w:rsidRPr="00405303">
        <w:rPr>
          <w:bCs/>
          <w:color w:val="002060"/>
          <w:sz w:val="16"/>
          <w:szCs w:val="16"/>
        </w:rPr>
        <w:softHyphen/>
        <w:t>полнению поставленной задачи. Это дли</w:t>
      </w:r>
      <w:r w:rsidRPr="00405303">
        <w:rPr>
          <w:bCs/>
          <w:color w:val="002060"/>
          <w:sz w:val="16"/>
          <w:szCs w:val="16"/>
        </w:rPr>
        <w:softHyphen/>
        <w:t>лось почти три месяца, прерываемые от</w:t>
      </w:r>
      <w:r w:rsidRPr="00405303">
        <w:rPr>
          <w:bCs/>
          <w:color w:val="002060"/>
          <w:sz w:val="16"/>
          <w:szCs w:val="16"/>
        </w:rPr>
        <w:softHyphen/>
        <w:t>дельными выходами на другие позиции для пресечения действий германской авиации по группировкам войск 1-й армии.Так, 12 ию</w:t>
      </w:r>
      <w:r w:rsidRPr="00405303">
        <w:rPr>
          <w:bCs/>
          <w:color w:val="002060"/>
          <w:sz w:val="16"/>
          <w:szCs w:val="16"/>
        </w:rPr>
        <w:softHyphen/>
        <w:t>ня батарея Тарновского скрытно прибыла в г.Пултуск с задачей «уничтожить непри</w:t>
      </w:r>
      <w:r w:rsidRPr="00405303">
        <w:rPr>
          <w:bCs/>
          <w:color w:val="002060"/>
          <w:sz w:val="16"/>
          <w:szCs w:val="16"/>
        </w:rPr>
        <w:softHyphen/>
        <w:t>ятельских авиаторов, систематически бро</w:t>
      </w:r>
      <w:r w:rsidRPr="00405303">
        <w:rPr>
          <w:bCs/>
          <w:color w:val="002060"/>
          <w:sz w:val="16"/>
          <w:szCs w:val="16"/>
        </w:rPr>
        <w:softHyphen/>
        <w:t>сающих бомбы в районе пехотных казарм по Цехановскому шоссе». Вечером того же дня в зону огня батареи попал немецкий аэро</w:t>
      </w:r>
      <w:r w:rsidRPr="00405303">
        <w:rPr>
          <w:bCs/>
          <w:color w:val="002060"/>
          <w:sz w:val="16"/>
          <w:szCs w:val="16"/>
        </w:rPr>
        <w:softHyphen/>
        <w:t>план. Поражённый шрапнельным снарядом, он не смог долететь до линии фронта и упал на наши позиции. Русские зенитчики праздновали первую свою победу. Для противника появление батареи Тарновского в Пултуске стало полной неожиданностью. Боясь раз</w:t>
      </w:r>
      <w:r w:rsidRPr="00405303">
        <w:rPr>
          <w:bCs/>
          <w:color w:val="002060"/>
          <w:sz w:val="16"/>
          <w:szCs w:val="16"/>
        </w:rPr>
        <w:softHyphen/>
        <w:t>делить судьбу своих товарищей, германские лётчики были вынуждены резко сократить количество полётов в этом районе, что «из</w:t>
      </w:r>
      <w:r w:rsidRPr="00405303">
        <w:rPr>
          <w:bCs/>
          <w:color w:val="002060"/>
          <w:sz w:val="16"/>
          <w:szCs w:val="16"/>
        </w:rPr>
        <w:softHyphen/>
        <w:t>бавило местных жителей от нападения нем</w:t>
      </w:r>
      <w:r w:rsidRPr="00405303">
        <w:rPr>
          <w:bCs/>
          <w:color w:val="002060"/>
          <w:sz w:val="16"/>
          <w:szCs w:val="16"/>
        </w:rPr>
        <w:softHyphen/>
        <w:t>цев». И лишь «только после обнаружения ухода батареи они вновь начали свою воз</w:t>
      </w:r>
      <w:r w:rsidRPr="00405303">
        <w:rPr>
          <w:bCs/>
          <w:color w:val="002060"/>
          <w:sz w:val="16"/>
          <w:szCs w:val="16"/>
        </w:rPr>
        <w:softHyphen/>
        <w:t>душную бомбардировку» (11391).</w:t>
      </w:r>
    </w:p>
    <w:p w14:paraId="0CF6E664" w14:textId="77777777" w:rsidR="004B4E35" w:rsidRPr="00405303" w:rsidRDefault="004B4E35" w:rsidP="00C15251">
      <w:pPr>
        <w:shd w:val="clear" w:color="auto" w:fill="FFFFFF"/>
        <w:jc w:val="both"/>
        <w:rPr>
          <w:bCs/>
          <w:color w:val="002060"/>
          <w:sz w:val="16"/>
          <w:szCs w:val="16"/>
        </w:rPr>
      </w:pPr>
    </w:p>
    <w:p w14:paraId="085652DD" w14:textId="6B6D0CB8" w:rsidR="001753A6" w:rsidRPr="00405303" w:rsidRDefault="001753A6" w:rsidP="00C15251">
      <w:pPr>
        <w:jc w:val="both"/>
        <w:rPr>
          <w:bCs/>
          <w:color w:val="002060"/>
          <w:sz w:val="16"/>
          <w:szCs w:val="16"/>
        </w:rPr>
      </w:pPr>
      <w:bookmarkStart w:id="134" w:name="bookmark168"/>
      <w:bookmarkStart w:id="135" w:name="bookmark169"/>
      <w:r w:rsidRPr="00405303">
        <w:rPr>
          <w:bCs/>
          <w:color w:val="002060"/>
          <w:sz w:val="16"/>
          <w:szCs w:val="16"/>
        </w:rPr>
        <w:t>8 (21) мая 1915 г. первая в русской армии автомобильная противосамолетная батарея (капитан В.В. Тарновский) прибыла в д. Яблонна, развернула боевой порядок и приступила к выполнению поставленной задачи. Ее выполнение осуществлялось почти три месяца, прерываемое отдельными выходами на другие позиции для пресечения действий германской авиации по группировкам войск 1-й армии. Ранее задействованные для организации воздушной обороны аэродрома Управления Эскадры другие зенитные подразделения были возвращены к местам своей постоянной дислокации (23405).</w:t>
      </w:r>
    </w:p>
    <w:p w14:paraId="72B5A68C" w14:textId="77777777" w:rsidR="001753A6" w:rsidRPr="00405303" w:rsidRDefault="001753A6" w:rsidP="00C15251">
      <w:pPr>
        <w:jc w:val="both"/>
        <w:rPr>
          <w:bCs/>
          <w:color w:val="002060"/>
          <w:sz w:val="16"/>
          <w:szCs w:val="16"/>
        </w:rPr>
      </w:pPr>
    </w:p>
    <w:p w14:paraId="3DC346E4" w14:textId="023F6BE4" w:rsidR="001753A6" w:rsidRPr="00405303" w:rsidRDefault="001753A6" w:rsidP="00C15251">
      <w:pPr>
        <w:jc w:val="both"/>
        <w:rPr>
          <w:bCs/>
          <w:color w:val="002060"/>
          <w:sz w:val="16"/>
          <w:szCs w:val="16"/>
        </w:rPr>
      </w:pPr>
      <w:r w:rsidRPr="00405303">
        <w:rPr>
          <w:bCs/>
          <w:color w:val="002060"/>
          <w:sz w:val="16"/>
          <w:szCs w:val="16"/>
        </w:rPr>
        <w:t>8 (21) мая 1915 г. вблизи г. Скерневице (Лодзинское воеводство) упал аэроплан противника, подбитый зенитным огнем. Через день в результате удачного обстрела батарей одного из русских полков был сбит неприятельский самолет, упавший за передовыми окопами немецких войск. На следующий день противник потерял еще один аппарат, сбитый зенитным огнем в районе Скерневице. 13 мая личный состав 6-й лейб-гвардейской Донской казачьей Его Величества батареи записал на свой счет очередную победу. Вечером того же дня наблюдатели заметили в районе г. Ломжа неприятельский аэроплан. Батарея открыла по нему огонь, причинив аппарату серьезные повреждения. По докладу разведывательных постов лейб-гвардейского Гренадерского полка - вражеский «аппарат упал в немецкие окопы» (23405).</w:t>
      </w:r>
      <w:bookmarkEnd w:id="134"/>
      <w:bookmarkEnd w:id="135"/>
    </w:p>
    <w:p w14:paraId="07836063" w14:textId="77777777" w:rsidR="001753A6" w:rsidRPr="00405303" w:rsidRDefault="001753A6" w:rsidP="00C15251">
      <w:pPr>
        <w:jc w:val="both"/>
        <w:rPr>
          <w:bCs/>
          <w:color w:val="002060"/>
          <w:sz w:val="16"/>
          <w:szCs w:val="16"/>
          <w:lang w:bidi="ru-RU"/>
        </w:rPr>
      </w:pPr>
    </w:p>
    <w:p w14:paraId="71D46007" w14:textId="44A61E71" w:rsidR="00C369D7" w:rsidRPr="00405303" w:rsidRDefault="00C369D7" w:rsidP="00C15251">
      <w:pPr>
        <w:shd w:val="clear" w:color="auto" w:fill="FFFFFF"/>
        <w:jc w:val="both"/>
        <w:rPr>
          <w:bCs/>
          <w:i/>
          <w:color w:val="002060"/>
          <w:sz w:val="16"/>
          <w:szCs w:val="16"/>
        </w:rPr>
      </w:pPr>
      <w:r w:rsidRPr="00405303">
        <w:rPr>
          <w:bCs/>
          <w:i/>
          <w:color w:val="002060"/>
          <w:sz w:val="16"/>
          <w:szCs w:val="16"/>
        </w:rPr>
        <w:t>Авиация:</w:t>
      </w:r>
    </w:p>
    <w:p w14:paraId="4D60C784" w14:textId="77777777" w:rsidR="00C369D7" w:rsidRPr="00405303" w:rsidRDefault="00C369D7" w:rsidP="00C15251">
      <w:pPr>
        <w:shd w:val="clear" w:color="auto" w:fill="FFFFFF"/>
        <w:jc w:val="both"/>
        <w:rPr>
          <w:bCs/>
          <w:i/>
          <w:color w:val="002060"/>
          <w:sz w:val="16"/>
          <w:szCs w:val="16"/>
        </w:rPr>
      </w:pPr>
    </w:p>
    <w:p w14:paraId="14D2F018" w14:textId="1BEC1745" w:rsidR="00C369D7" w:rsidRPr="00405303" w:rsidRDefault="00C369D7" w:rsidP="00C15251">
      <w:pPr>
        <w:jc w:val="both"/>
        <w:rPr>
          <w:bCs/>
          <w:color w:val="002060"/>
          <w:sz w:val="16"/>
          <w:szCs w:val="16"/>
          <w:lang w:bidi="en-US"/>
        </w:rPr>
      </w:pPr>
      <w:r w:rsidRPr="00405303">
        <w:rPr>
          <w:bCs/>
          <w:color w:val="002060"/>
          <w:sz w:val="16"/>
          <w:szCs w:val="16"/>
          <w:lang w:bidi="en-US"/>
        </w:rPr>
        <w:t xml:space="preserve">8 (21) мая 1915 г. немецкий дирижабль </w:t>
      </w:r>
      <w:r w:rsidRPr="00405303">
        <w:rPr>
          <w:bCs/>
          <w:color w:val="002060"/>
          <w:sz w:val="16"/>
          <w:szCs w:val="16"/>
          <w:lang w:val="en-US" w:bidi="en-US"/>
        </w:rPr>
        <w:t>LZ</w:t>
      </w:r>
      <w:r w:rsidRPr="00405303">
        <w:rPr>
          <w:bCs/>
          <w:color w:val="002060"/>
          <w:sz w:val="16"/>
          <w:szCs w:val="16"/>
          <w:lang w:bidi="en-US"/>
        </w:rPr>
        <w:t>.34 при бомбардировке Ковно был сильно поврежден русским наземным огнем, разбился и сгорел в Восточной Пруссии (23525).</w:t>
      </w:r>
    </w:p>
    <w:p w14:paraId="7B5173B9" w14:textId="77777777" w:rsidR="00C369D7" w:rsidRPr="00405303" w:rsidRDefault="00C369D7" w:rsidP="00C15251">
      <w:pPr>
        <w:jc w:val="both"/>
        <w:rPr>
          <w:bCs/>
          <w:color w:val="002060"/>
          <w:sz w:val="16"/>
          <w:szCs w:val="16"/>
        </w:rPr>
      </w:pPr>
    </w:p>
    <w:p w14:paraId="49D5474F" w14:textId="7B74DD75" w:rsidR="00726E20" w:rsidRPr="00405303" w:rsidRDefault="00726E20" w:rsidP="00C15251">
      <w:pPr>
        <w:shd w:val="clear" w:color="auto" w:fill="FFFFFF"/>
        <w:jc w:val="both"/>
        <w:rPr>
          <w:bCs/>
          <w:i/>
          <w:color w:val="002060"/>
          <w:sz w:val="16"/>
          <w:szCs w:val="16"/>
        </w:rPr>
      </w:pPr>
      <w:r w:rsidRPr="00405303">
        <w:rPr>
          <w:bCs/>
          <w:i/>
          <w:color w:val="002060"/>
          <w:sz w:val="16"/>
          <w:szCs w:val="16"/>
        </w:rPr>
        <w:t>Авиация и воздухоплавание Франции:</w:t>
      </w:r>
    </w:p>
    <w:p w14:paraId="161D856F" w14:textId="77777777" w:rsidR="00726E20" w:rsidRPr="00405303" w:rsidRDefault="00726E20" w:rsidP="00C15251">
      <w:pPr>
        <w:shd w:val="clear" w:color="auto" w:fill="FFFFFF"/>
        <w:jc w:val="both"/>
        <w:rPr>
          <w:bCs/>
          <w:i/>
          <w:color w:val="002060"/>
          <w:sz w:val="16"/>
          <w:szCs w:val="16"/>
        </w:rPr>
      </w:pPr>
    </w:p>
    <w:p w14:paraId="214D7FA1" w14:textId="03669290" w:rsidR="00726E20" w:rsidRPr="00405303" w:rsidRDefault="00726E20" w:rsidP="00C15251">
      <w:pPr>
        <w:jc w:val="both"/>
        <w:rPr>
          <w:bCs/>
          <w:color w:val="002060"/>
          <w:sz w:val="16"/>
          <w:szCs w:val="16"/>
        </w:rPr>
      </w:pPr>
      <w:r w:rsidRPr="00405303">
        <w:rPr>
          <w:bCs/>
          <w:color w:val="002060"/>
          <w:sz w:val="16"/>
          <w:szCs w:val="16"/>
        </w:rPr>
        <w:t xml:space="preserve">8 (21) мая 1915 </w:t>
      </w:r>
      <w:r w:rsidR="00F37E1D" w:rsidRPr="00405303">
        <w:rPr>
          <w:bCs/>
          <w:color w:val="002060"/>
          <w:sz w:val="16"/>
          <w:szCs w:val="16"/>
        </w:rPr>
        <w:t xml:space="preserve">состоялся </w:t>
      </w:r>
      <w:r w:rsidRPr="00405303">
        <w:rPr>
          <w:bCs/>
          <w:color w:val="002060"/>
          <w:sz w:val="16"/>
          <w:szCs w:val="16"/>
        </w:rPr>
        <w:t xml:space="preserve">первый полет </w:t>
      </w:r>
      <w:r w:rsidRPr="00405303">
        <w:rPr>
          <w:bCs/>
          <w:color w:val="002060"/>
          <w:sz w:val="16"/>
          <w:szCs w:val="16"/>
          <w:lang w:val="en-US"/>
        </w:rPr>
        <w:t>SPAD</w:t>
      </w:r>
      <w:r w:rsidRPr="00405303">
        <w:rPr>
          <w:bCs/>
          <w:color w:val="002060"/>
          <w:sz w:val="16"/>
          <w:szCs w:val="16"/>
        </w:rPr>
        <w:t xml:space="preserve"> </w:t>
      </w:r>
      <w:r w:rsidRPr="00405303">
        <w:rPr>
          <w:bCs/>
          <w:color w:val="002060"/>
          <w:sz w:val="16"/>
          <w:szCs w:val="16"/>
          <w:lang w:val="en-US"/>
        </w:rPr>
        <w:t>SA</w:t>
      </w:r>
      <w:r w:rsidRPr="00405303">
        <w:rPr>
          <w:bCs/>
          <w:color w:val="002060"/>
          <w:sz w:val="16"/>
          <w:szCs w:val="16"/>
        </w:rPr>
        <w:t xml:space="preserve"> -2 (20338).</w:t>
      </w:r>
    </w:p>
    <w:p w14:paraId="35260EF1" w14:textId="3CEE2C87" w:rsidR="00726E20" w:rsidRPr="00405303" w:rsidRDefault="00726E20" w:rsidP="00C15251">
      <w:pPr>
        <w:jc w:val="both"/>
        <w:rPr>
          <w:bCs/>
          <w:color w:val="002060"/>
          <w:sz w:val="16"/>
          <w:szCs w:val="16"/>
        </w:rPr>
      </w:pPr>
    </w:p>
    <w:p w14:paraId="74735A20" w14:textId="5841490E" w:rsidR="00F51E86" w:rsidRPr="00405303" w:rsidRDefault="00F51E86" w:rsidP="00F51E86">
      <w:pPr>
        <w:jc w:val="both"/>
        <w:rPr>
          <w:bCs/>
          <w:i/>
          <w:color w:val="002060"/>
          <w:sz w:val="16"/>
          <w:szCs w:val="16"/>
        </w:rPr>
      </w:pPr>
      <w:r w:rsidRPr="00405303">
        <w:rPr>
          <w:bCs/>
          <w:i/>
          <w:color w:val="002060"/>
          <w:sz w:val="16"/>
          <w:szCs w:val="16"/>
        </w:rPr>
        <w:lastRenderedPageBreak/>
        <w:t>Другие оборонные отрасли:</w:t>
      </w:r>
    </w:p>
    <w:p w14:paraId="08556B06" w14:textId="77777777" w:rsidR="00F51E86" w:rsidRPr="00405303" w:rsidRDefault="00F51E86" w:rsidP="00F51E86">
      <w:pPr>
        <w:jc w:val="both"/>
        <w:rPr>
          <w:bCs/>
          <w:i/>
          <w:color w:val="002060"/>
          <w:sz w:val="16"/>
          <w:szCs w:val="16"/>
        </w:rPr>
      </w:pPr>
    </w:p>
    <w:p w14:paraId="2C8F180D" w14:textId="77777777" w:rsidR="00F51E86" w:rsidRPr="00405303" w:rsidRDefault="00F51E86" w:rsidP="00F51E86">
      <w:pPr>
        <w:jc w:val="both"/>
        <w:rPr>
          <w:color w:val="0070C0"/>
          <w:sz w:val="16"/>
          <w:szCs w:val="16"/>
        </w:rPr>
      </w:pPr>
      <w:r w:rsidRPr="00405303">
        <w:rPr>
          <w:rStyle w:val="aa"/>
          <w:rFonts w:ascii="Times New Roman" w:hAnsi="Times New Roman"/>
          <w:color w:val="0070C0"/>
          <w:spacing w:val="0"/>
          <w:sz w:val="16"/>
          <w:szCs w:val="16"/>
        </w:rPr>
        <w:t>9 (22) мая 1915 года был испытан первый 47-мм миномет Лихонина. В 1915 году было изготовлено 154 47-мм миномета Лихонина, в 1916 году — 500 и в 1917 году — 113 минометов. Всего на заводе было изготовлено 767 47-мм минометов Лихонина.</w:t>
      </w:r>
    </w:p>
    <w:p w14:paraId="089A871D" w14:textId="77777777" w:rsidR="00F51E86" w:rsidRPr="00405303" w:rsidRDefault="00F51E86" w:rsidP="00F51E86">
      <w:pPr>
        <w:jc w:val="both"/>
        <w:rPr>
          <w:color w:val="0070C0"/>
          <w:sz w:val="16"/>
          <w:szCs w:val="16"/>
        </w:rPr>
      </w:pPr>
      <w:r w:rsidRPr="00405303">
        <w:rPr>
          <w:rStyle w:val="aa"/>
          <w:rFonts w:ascii="Times New Roman" w:hAnsi="Times New Roman"/>
          <w:color w:val="0070C0"/>
          <w:spacing w:val="0"/>
          <w:sz w:val="16"/>
          <w:szCs w:val="16"/>
        </w:rPr>
        <w:t>Миномет состоял из тела миномета, замка, лафета с сектором, отвеса и угломера Ствол имел гладкий канал для помещения хвоста снаряда, ка</w:t>
      </w:r>
      <w:r w:rsidRPr="00405303">
        <w:rPr>
          <w:rStyle w:val="aa"/>
          <w:rFonts w:ascii="Times New Roman" w:hAnsi="Times New Roman"/>
          <w:color w:val="0070C0"/>
          <w:spacing w:val="0"/>
          <w:sz w:val="16"/>
          <w:szCs w:val="16"/>
        </w:rPr>
        <w:softHyphen/>
        <w:t>мору для помещения гильзы с зарядом и нарезную часть для поме</w:t>
      </w:r>
      <w:r w:rsidRPr="00405303">
        <w:rPr>
          <w:rStyle w:val="aa"/>
          <w:rFonts w:ascii="Times New Roman" w:hAnsi="Times New Roman"/>
          <w:color w:val="0070C0"/>
          <w:spacing w:val="0"/>
          <w:sz w:val="16"/>
          <w:szCs w:val="16"/>
        </w:rPr>
        <w:softHyphen/>
        <w:t>щения замка. Ствол стальной. Заодно со стволом откованы цапфы.</w:t>
      </w:r>
    </w:p>
    <w:p w14:paraId="2B3E1597" w14:textId="77777777" w:rsidR="00F51E86" w:rsidRPr="00405303" w:rsidRDefault="00F51E86" w:rsidP="00F51E86">
      <w:pPr>
        <w:jc w:val="both"/>
        <w:rPr>
          <w:color w:val="0070C0"/>
          <w:sz w:val="16"/>
          <w:szCs w:val="16"/>
        </w:rPr>
      </w:pPr>
      <w:r w:rsidRPr="00405303">
        <w:rPr>
          <w:rStyle w:val="aa"/>
          <w:rFonts w:ascii="Times New Roman" w:hAnsi="Times New Roman"/>
          <w:color w:val="0070C0"/>
          <w:spacing w:val="0"/>
          <w:sz w:val="16"/>
          <w:szCs w:val="16"/>
        </w:rPr>
        <w:t>Заряжание миномета производилось следующим образом: за</w:t>
      </w:r>
      <w:r w:rsidRPr="00405303">
        <w:rPr>
          <w:rStyle w:val="aa"/>
          <w:rFonts w:ascii="Times New Roman" w:hAnsi="Times New Roman"/>
          <w:color w:val="0070C0"/>
          <w:spacing w:val="0"/>
          <w:sz w:val="16"/>
          <w:szCs w:val="16"/>
        </w:rPr>
        <w:softHyphen/>
        <w:t>ряжающий открывал замок, закладывал гильзу с зарядом в камору, опускал за ручку замок в нарезную часть ствола орудия и повора</w:t>
      </w:r>
      <w:r w:rsidRPr="00405303">
        <w:rPr>
          <w:rStyle w:val="aa"/>
          <w:rFonts w:ascii="Times New Roman" w:hAnsi="Times New Roman"/>
          <w:color w:val="0070C0"/>
          <w:spacing w:val="0"/>
          <w:sz w:val="16"/>
          <w:szCs w:val="16"/>
        </w:rPr>
        <w:softHyphen/>
        <w:t>чивал по часовой стрелке до отказа. Далее хвост (шомпол) мины опускали в дульную часть ствола. Перед выстрелом заряжающий оттягивал спуск курка, затем откидывал предохранитель и дергал за шнур, приделанный к хвосту</w:t>
      </w:r>
      <w:r w:rsidRPr="00405303">
        <w:rPr>
          <w:rStyle w:val="aa"/>
          <w:rFonts w:ascii="Times New Roman" w:hAnsi="Times New Roman"/>
          <w:color w:val="0070C0"/>
          <w:spacing w:val="0"/>
          <w:sz w:val="16"/>
          <w:szCs w:val="16"/>
          <w:vertAlign w:val="superscript"/>
        </w:rPr>
        <w:t>7</w:t>
      </w:r>
      <w:r w:rsidRPr="00405303">
        <w:rPr>
          <w:rStyle w:val="aa"/>
          <w:rFonts w:ascii="Times New Roman" w:hAnsi="Times New Roman"/>
          <w:color w:val="0070C0"/>
          <w:spacing w:val="0"/>
          <w:sz w:val="16"/>
          <w:szCs w:val="16"/>
        </w:rPr>
        <w:t xml:space="preserve"> курка.</w:t>
      </w:r>
    </w:p>
    <w:p w14:paraId="07CF0239" w14:textId="77777777" w:rsidR="00F51E86" w:rsidRPr="00405303" w:rsidRDefault="00F51E86" w:rsidP="00F51E86">
      <w:pPr>
        <w:jc w:val="both"/>
        <w:rPr>
          <w:color w:val="0070C0"/>
          <w:sz w:val="16"/>
          <w:szCs w:val="16"/>
        </w:rPr>
      </w:pPr>
      <w:r w:rsidRPr="00405303">
        <w:rPr>
          <w:rStyle w:val="aa"/>
          <w:rFonts w:ascii="Times New Roman" w:hAnsi="Times New Roman"/>
          <w:color w:val="0070C0"/>
          <w:spacing w:val="0"/>
          <w:sz w:val="16"/>
          <w:szCs w:val="16"/>
        </w:rPr>
        <w:t>Лафет с сектором состоял из двух железных рам, соединен</w:t>
      </w:r>
      <w:r w:rsidRPr="00405303">
        <w:rPr>
          <w:rStyle w:val="aa"/>
          <w:rFonts w:ascii="Times New Roman" w:hAnsi="Times New Roman"/>
          <w:color w:val="0070C0"/>
          <w:spacing w:val="0"/>
          <w:sz w:val="16"/>
          <w:szCs w:val="16"/>
        </w:rPr>
        <w:softHyphen/>
        <w:t>ных скобами для переноски миномета и листа, образующего осно</w:t>
      </w:r>
      <w:r w:rsidRPr="00405303">
        <w:rPr>
          <w:rStyle w:val="aa"/>
          <w:rFonts w:ascii="Times New Roman" w:hAnsi="Times New Roman"/>
          <w:color w:val="0070C0"/>
          <w:spacing w:val="0"/>
          <w:sz w:val="16"/>
          <w:szCs w:val="16"/>
        </w:rPr>
        <w:softHyphen/>
        <w:t>вание. К этому</w:t>
      </w:r>
      <w:r w:rsidRPr="00405303">
        <w:rPr>
          <w:rStyle w:val="aa"/>
          <w:rFonts w:ascii="Times New Roman" w:hAnsi="Times New Roman"/>
          <w:color w:val="0070C0"/>
          <w:spacing w:val="0"/>
          <w:sz w:val="16"/>
          <w:szCs w:val="16"/>
          <w:vertAlign w:val="superscript"/>
        </w:rPr>
        <w:t>7</w:t>
      </w:r>
      <w:r w:rsidRPr="00405303">
        <w:rPr>
          <w:rStyle w:val="aa"/>
          <w:rFonts w:ascii="Times New Roman" w:hAnsi="Times New Roman"/>
          <w:color w:val="0070C0"/>
          <w:spacing w:val="0"/>
          <w:sz w:val="16"/>
          <w:szCs w:val="16"/>
        </w:rPr>
        <w:t xml:space="preserve"> листу прикреплена скоба для забивания в землю железного кола и угольник для крепле</w:t>
      </w:r>
      <w:r w:rsidRPr="00405303">
        <w:rPr>
          <w:rStyle w:val="aa"/>
          <w:rFonts w:ascii="Times New Roman" w:hAnsi="Times New Roman"/>
          <w:color w:val="0070C0"/>
          <w:spacing w:val="0"/>
          <w:sz w:val="16"/>
          <w:szCs w:val="16"/>
        </w:rPr>
        <w:softHyphen/>
        <w:t>ния правила.</w:t>
      </w:r>
    </w:p>
    <w:p w14:paraId="2B94F94F" w14:textId="77777777" w:rsidR="00F51E86" w:rsidRPr="00405303" w:rsidRDefault="00F51E86" w:rsidP="00F51E86">
      <w:pPr>
        <w:jc w:val="both"/>
        <w:rPr>
          <w:color w:val="0070C0"/>
          <w:sz w:val="16"/>
          <w:szCs w:val="16"/>
        </w:rPr>
      </w:pPr>
      <w:r w:rsidRPr="00405303">
        <w:rPr>
          <w:rStyle w:val="aa"/>
          <w:rFonts w:ascii="Times New Roman" w:hAnsi="Times New Roman"/>
          <w:color w:val="0070C0"/>
          <w:spacing w:val="0"/>
          <w:sz w:val="16"/>
          <w:szCs w:val="16"/>
        </w:rPr>
        <w:t>Для вертикального наведения ми</w:t>
      </w:r>
      <w:r w:rsidRPr="00405303">
        <w:rPr>
          <w:rStyle w:val="aa"/>
          <w:rFonts w:ascii="Times New Roman" w:hAnsi="Times New Roman"/>
          <w:color w:val="0070C0"/>
          <w:spacing w:val="0"/>
          <w:sz w:val="16"/>
          <w:szCs w:val="16"/>
        </w:rPr>
        <w:softHyphen/>
        <w:t>номета к лафету прикреплен сектор, по круговой прорези которого ходил болт с барашком, укрепленным на рыча</w:t>
      </w:r>
      <w:r w:rsidRPr="00405303">
        <w:rPr>
          <w:rStyle w:val="aa"/>
          <w:rFonts w:ascii="Times New Roman" w:hAnsi="Times New Roman"/>
          <w:color w:val="0070C0"/>
          <w:spacing w:val="0"/>
          <w:sz w:val="16"/>
          <w:szCs w:val="16"/>
        </w:rPr>
        <w:softHyphen/>
        <w:t xml:space="preserve">ге. Рычаг укреплен на цапфе ствола. Поворачивая рычаг, меняли угол наклона. </w:t>
      </w:r>
      <w:proofErr w:type="gramStart"/>
      <w:r w:rsidRPr="00405303">
        <w:rPr>
          <w:rStyle w:val="aa"/>
          <w:rFonts w:ascii="Times New Roman" w:hAnsi="Times New Roman"/>
          <w:color w:val="0070C0"/>
          <w:spacing w:val="0"/>
          <w:sz w:val="16"/>
          <w:szCs w:val="16"/>
        </w:rPr>
        <w:t>Нажимая</w:t>
      </w:r>
      <w:proofErr w:type="gramEnd"/>
      <w:r w:rsidRPr="00405303">
        <w:rPr>
          <w:rStyle w:val="aa"/>
          <w:rFonts w:ascii="Times New Roman" w:hAnsi="Times New Roman"/>
          <w:color w:val="0070C0"/>
          <w:spacing w:val="0"/>
          <w:sz w:val="16"/>
          <w:szCs w:val="16"/>
        </w:rPr>
        <w:t xml:space="preserve"> барашек, можно было намерт</w:t>
      </w:r>
      <w:r w:rsidRPr="00405303">
        <w:rPr>
          <w:rStyle w:val="aa"/>
          <w:rFonts w:ascii="Times New Roman" w:hAnsi="Times New Roman"/>
          <w:color w:val="0070C0"/>
          <w:spacing w:val="0"/>
          <w:sz w:val="16"/>
          <w:szCs w:val="16"/>
        </w:rPr>
        <w:softHyphen/>
        <w:t>во соединить ствол орудия с сектором.</w:t>
      </w:r>
    </w:p>
    <w:p w14:paraId="0D2D12CF" w14:textId="77777777" w:rsidR="00F51E86" w:rsidRPr="00405303" w:rsidRDefault="00F51E86" w:rsidP="00F51E86">
      <w:pPr>
        <w:jc w:val="both"/>
        <w:rPr>
          <w:color w:val="0070C0"/>
          <w:sz w:val="16"/>
          <w:szCs w:val="16"/>
        </w:rPr>
      </w:pPr>
      <w:r w:rsidRPr="00405303">
        <w:rPr>
          <w:rStyle w:val="aa"/>
          <w:rFonts w:ascii="Times New Roman" w:hAnsi="Times New Roman"/>
          <w:color w:val="0070C0"/>
          <w:spacing w:val="0"/>
          <w:sz w:val="16"/>
          <w:szCs w:val="16"/>
        </w:rPr>
        <w:t>Механизм вертикального наведе</w:t>
      </w:r>
      <w:r w:rsidRPr="00405303">
        <w:rPr>
          <w:rStyle w:val="aa"/>
          <w:rFonts w:ascii="Times New Roman" w:hAnsi="Times New Roman"/>
          <w:color w:val="0070C0"/>
          <w:spacing w:val="0"/>
          <w:sz w:val="16"/>
          <w:szCs w:val="16"/>
        </w:rPr>
        <w:softHyphen/>
        <w:t>ния конструктивно обеспечивал угол возвышения от 0° до 70°. но при углах, меньших 35°, стрелять не рекомендова</w:t>
      </w:r>
      <w:r w:rsidRPr="00405303">
        <w:rPr>
          <w:rStyle w:val="aa"/>
          <w:rFonts w:ascii="Times New Roman" w:hAnsi="Times New Roman"/>
          <w:color w:val="0070C0"/>
          <w:spacing w:val="0"/>
          <w:sz w:val="16"/>
          <w:szCs w:val="16"/>
        </w:rPr>
        <w:softHyphen/>
        <w:t>лось, так как возможно было опрокиды</w:t>
      </w:r>
      <w:r w:rsidRPr="00405303">
        <w:rPr>
          <w:rStyle w:val="aa"/>
          <w:rFonts w:ascii="Times New Roman" w:hAnsi="Times New Roman"/>
          <w:color w:val="0070C0"/>
          <w:spacing w:val="0"/>
          <w:sz w:val="16"/>
          <w:szCs w:val="16"/>
        </w:rPr>
        <w:softHyphen/>
        <w:t>вание лафета.</w:t>
      </w:r>
    </w:p>
    <w:p w14:paraId="15375124" w14:textId="77777777" w:rsidR="00F51E86" w:rsidRPr="00405303" w:rsidRDefault="00F51E86" w:rsidP="00F51E86">
      <w:pPr>
        <w:jc w:val="both"/>
        <w:rPr>
          <w:color w:val="0070C0"/>
          <w:sz w:val="16"/>
          <w:szCs w:val="16"/>
        </w:rPr>
      </w:pPr>
      <w:r w:rsidRPr="00405303">
        <w:rPr>
          <w:rStyle w:val="aa"/>
          <w:rFonts w:ascii="Times New Roman" w:hAnsi="Times New Roman"/>
          <w:color w:val="0070C0"/>
          <w:spacing w:val="0"/>
          <w:sz w:val="16"/>
          <w:szCs w:val="16"/>
        </w:rPr>
        <w:t>Для стрельбы из миномета было не</w:t>
      </w:r>
      <w:r w:rsidRPr="00405303">
        <w:rPr>
          <w:rStyle w:val="aa"/>
          <w:rFonts w:ascii="Times New Roman" w:hAnsi="Times New Roman"/>
          <w:color w:val="0070C0"/>
          <w:spacing w:val="0"/>
          <w:sz w:val="16"/>
          <w:szCs w:val="16"/>
        </w:rPr>
        <w:softHyphen/>
        <w:t>обходимо три номера расчета, для под</w:t>
      </w:r>
      <w:r w:rsidRPr="00405303">
        <w:rPr>
          <w:rStyle w:val="aa"/>
          <w:rFonts w:ascii="Times New Roman" w:hAnsi="Times New Roman"/>
          <w:color w:val="0070C0"/>
          <w:spacing w:val="0"/>
          <w:sz w:val="16"/>
          <w:szCs w:val="16"/>
        </w:rPr>
        <w:softHyphen/>
        <w:t>носки мин — еще три (25439).</w:t>
      </w:r>
    </w:p>
    <w:p w14:paraId="06307F90" w14:textId="77777777" w:rsidR="00F51E86" w:rsidRPr="00405303" w:rsidRDefault="00F51E86" w:rsidP="00F51E86">
      <w:pPr>
        <w:jc w:val="both"/>
        <w:rPr>
          <w:color w:val="0070C0"/>
          <w:sz w:val="16"/>
          <w:szCs w:val="16"/>
        </w:rPr>
      </w:pPr>
    </w:p>
    <w:p w14:paraId="15A4D3E4" w14:textId="77777777" w:rsidR="00D340DA" w:rsidRPr="00405303" w:rsidRDefault="00D340DA" w:rsidP="00C15251">
      <w:pPr>
        <w:jc w:val="both"/>
        <w:rPr>
          <w:bCs/>
          <w:i/>
          <w:color w:val="002060"/>
          <w:sz w:val="16"/>
          <w:szCs w:val="16"/>
        </w:rPr>
      </w:pPr>
      <w:r w:rsidRPr="00405303">
        <w:rPr>
          <w:bCs/>
          <w:i/>
          <w:color w:val="002060"/>
          <w:sz w:val="16"/>
          <w:szCs w:val="16"/>
        </w:rPr>
        <w:t>Армия:</w:t>
      </w:r>
    </w:p>
    <w:p w14:paraId="6F617D5C" w14:textId="77777777" w:rsidR="00D340DA" w:rsidRPr="00405303" w:rsidRDefault="00D340DA" w:rsidP="00C15251">
      <w:pPr>
        <w:jc w:val="both"/>
        <w:rPr>
          <w:bCs/>
          <w:i/>
          <w:color w:val="002060"/>
          <w:sz w:val="16"/>
          <w:szCs w:val="16"/>
        </w:rPr>
      </w:pPr>
    </w:p>
    <w:p w14:paraId="0A1320B8" w14:textId="7FEB8314" w:rsidR="00D340DA" w:rsidRPr="00405303" w:rsidRDefault="00D340DA" w:rsidP="00C15251">
      <w:pPr>
        <w:pStyle w:val="p1"/>
        <w:spacing w:before="0" w:beforeAutospacing="0" w:after="0" w:afterAutospacing="0"/>
        <w:jc w:val="both"/>
        <w:rPr>
          <w:bCs/>
          <w:color w:val="002060"/>
          <w:sz w:val="16"/>
          <w:szCs w:val="16"/>
        </w:rPr>
      </w:pPr>
      <w:r w:rsidRPr="00405303">
        <w:rPr>
          <w:bCs/>
          <w:color w:val="002060"/>
          <w:sz w:val="16"/>
          <w:szCs w:val="16"/>
        </w:rPr>
        <w:t xml:space="preserve">9 </w:t>
      </w:r>
      <w:r w:rsidR="00F37E1D" w:rsidRPr="00405303">
        <w:rPr>
          <w:bCs/>
          <w:color w:val="002060"/>
          <w:sz w:val="16"/>
          <w:szCs w:val="16"/>
        </w:rPr>
        <w:t xml:space="preserve">(22) </w:t>
      </w:r>
      <w:r w:rsidRPr="00405303">
        <w:rPr>
          <w:bCs/>
          <w:color w:val="002060"/>
          <w:sz w:val="16"/>
          <w:szCs w:val="16"/>
        </w:rPr>
        <w:t>мая 1915 г. побывав в Ставке, Смысловский из «интимного, товарищеского характера» разговора с Янушкевичем вынес впечатление, что начальник штаба Верховного главнокомандующего «считал наше предстоящее отступление предрешенным вследствие недостатка снарядов». Верховный главнокомандующий великого князя Николай Николаевич вину за провал операций на себя не принимал и 26 апреля прямо предупредил великого князя Сергея Михайловича, что недостаток снабжения «ляжет на ответственность ГАУ». Тот признался, что надежд на скорое улучшение нет никаких (18409).</w:t>
      </w:r>
    </w:p>
    <w:p w14:paraId="1ADAF4B5" w14:textId="77777777" w:rsidR="00D340DA" w:rsidRPr="00405303" w:rsidRDefault="00D340DA" w:rsidP="00C15251">
      <w:pPr>
        <w:pStyle w:val="p1"/>
        <w:spacing w:before="0" w:beforeAutospacing="0" w:after="0" w:afterAutospacing="0"/>
        <w:jc w:val="both"/>
        <w:rPr>
          <w:bCs/>
          <w:color w:val="002060"/>
          <w:sz w:val="16"/>
          <w:szCs w:val="16"/>
        </w:rPr>
      </w:pPr>
    </w:p>
    <w:p w14:paraId="5CABF630" w14:textId="7A39CEB7" w:rsidR="001753A6" w:rsidRPr="00405303" w:rsidRDefault="001753A6" w:rsidP="00C15251">
      <w:pPr>
        <w:shd w:val="clear" w:color="auto" w:fill="FFFFFF"/>
        <w:jc w:val="both"/>
        <w:rPr>
          <w:bCs/>
          <w:i/>
          <w:color w:val="002060"/>
          <w:sz w:val="16"/>
          <w:szCs w:val="16"/>
        </w:rPr>
      </w:pPr>
      <w:r w:rsidRPr="00405303">
        <w:rPr>
          <w:bCs/>
          <w:i/>
          <w:color w:val="002060"/>
          <w:sz w:val="16"/>
          <w:szCs w:val="16"/>
        </w:rPr>
        <w:t>Авиация:</w:t>
      </w:r>
    </w:p>
    <w:p w14:paraId="2E52C711" w14:textId="77777777" w:rsidR="001753A6" w:rsidRPr="00405303" w:rsidRDefault="001753A6" w:rsidP="00C15251">
      <w:pPr>
        <w:shd w:val="clear" w:color="auto" w:fill="FFFFFF"/>
        <w:jc w:val="both"/>
        <w:rPr>
          <w:bCs/>
          <w:i/>
          <w:color w:val="002060"/>
          <w:sz w:val="16"/>
          <w:szCs w:val="16"/>
        </w:rPr>
      </w:pPr>
    </w:p>
    <w:p w14:paraId="40B87AB8" w14:textId="77777777" w:rsidR="001A4DCC" w:rsidRPr="00405303" w:rsidRDefault="001A4DCC" w:rsidP="001A4DCC">
      <w:pPr>
        <w:jc w:val="both"/>
        <w:rPr>
          <w:color w:val="0070C0"/>
          <w:sz w:val="16"/>
          <w:szCs w:val="16"/>
        </w:rPr>
      </w:pPr>
      <w:r w:rsidRPr="00405303">
        <w:rPr>
          <w:rStyle w:val="aa"/>
          <w:rFonts w:ascii="Times New Roman" w:hAnsi="Times New Roman"/>
          <w:color w:val="0070C0"/>
          <w:spacing w:val="0"/>
          <w:sz w:val="16"/>
          <w:szCs w:val="16"/>
        </w:rPr>
        <w:t>9 (22) мая 1915 два неприятельских аэроплана сбросили над г. Жирардов «19 зажигательных бомб, взрывами которых убит 1, ранено 15 человек, преимущественно женщин и детей, и подожжено два строения и санитарный вагон. Одна из бомб упала вблизи помещения 1-го изерского подвижного лазарета Красного Креста, и осколками ее, при исполнении служебных обязанностей, ранен в обе ноги санитар названного лазарета Максим Вакулин» (25135).</w:t>
      </w:r>
    </w:p>
    <w:p w14:paraId="0048B1F3" w14:textId="77777777" w:rsidR="001A4DCC" w:rsidRPr="00405303" w:rsidRDefault="001A4DCC" w:rsidP="001A4DCC">
      <w:pPr>
        <w:jc w:val="both"/>
        <w:rPr>
          <w:color w:val="0070C0"/>
          <w:sz w:val="16"/>
          <w:szCs w:val="16"/>
        </w:rPr>
      </w:pPr>
    </w:p>
    <w:p w14:paraId="38ABAC38" w14:textId="77777777" w:rsidR="001753A6" w:rsidRPr="00405303" w:rsidRDefault="001753A6"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9 мая 1915 г., побывав в Ставке, Смысловский из «ин</w:t>
      </w:r>
      <w:r w:rsidRPr="00405303">
        <w:rPr>
          <w:rFonts w:ascii="Times New Roman" w:hAnsi="Times New Roman" w:cs="Times New Roman"/>
          <w:bCs/>
          <w:color w:val="002060"/>
          <w:sz w:val="16"/>
          <w:szCs w:val="16"/>
        </w:rPr>
        <w:softHyphen/>
        <w:t>тимного, товарищеского характера» разговора с Янушкеви</w:t>
      </w:r>
      <w:r w:rsidRPr="00405303">
        <w:rPr>
          <w:rFonts w:ascii="Times New Roman" w:hAnsi="Times New Roman" w:cs="Times New Roman"/>
          <w:bCs/>
          <w:color w:val="002060"/>
          <w:sz w:val="16"/>
          <w:szCs w:val="16"/>
        </w:rPr>
        <w:softHyphen/>
        <w:t>чем вынес впечатление, что начальник штаба Верховного главнокомандующего «считал наше предстоящее отступле</w:t>
      </w:r>
      <w:r w:rsidRPr="00405303">
        <w:rPr>
          <w:rFonts w:ascii="Times New Roman" w:hAnsi="Times New Roman" w:cs="Times New Roman"/>
          <w:bCs/>
          <w:color w:val="002060"/>
          <w:sz w:val="16"/>
          <w:szCs w:val="16"/>
        </w:rPr>
        <w:softHyphen/>
        <w:t>ние предрешенным вследствие недостатка снарядов». Вер</w:t>
      </w:r>
      <w:r w:rsidRPr="00405303">
        <w:rPr>
          <w:rFonts w:ascii="Times New Roman" w:hAnsi="Times New Roman" w:cs="Times New Roman"/>
          <w:bCs/>
          <w:color w:val="002060"/>
          <w:sz w:val="16"/>
          <w:szCs w:val="16"/>
        </w:rPr>
        <w:softHyphen/>
        <w:t>ховный главнокомандующий великого князя Николай Ни</w:t>
      </w:r>
      <w:r w:rsidRPr="00405303">
        <w:rPr>
          <w:rFonts w:ascii="Times New Roman" w:hAnsi="Times New Roman" w:cs="Times New Roman"/>
          <w:bCs/>
          <w:color w:val="002060"/>
          <w:sz w:val="16"/>
          <w:szCs w:val="16"/>
        </w:rPr>
        <w:softHyphen/>
        <w:t>колаевич вину за провал операций на себя не принимал и 26 апреля прямо предупредил великого князя Сергея Ми</w:t>
      </w:r>
      <w:r w:rsidRPr="00405303">
        <w:rPr>
          <w:rFonts w:ascii="Times New Roman" w:hAnsi="Times New Roman" w:cs="Times New Roman"/>
          <w:bCs/>
          <w:color w:val="002060"/>
          <w:sz w:val="16"/>
          <w:szCs w:val="16"/>
        </w:rPr>
        <w:softHyphen/>
        <w:t>хайловича, что недостаток снабжения «ляжет на ответствен</w:t>
      </w:r>
      <w:r w:rsidRPr="00405303">
        <w:rPr>
          <w:rFonts w:ascii="Times New Roman" w:hAnsi="Times New Roman" w:cs="Times New Roman"/>
          <w:bCs/>
          <w:color w:val="002060"/>
          <w:sz w:val="16"/>
          <w:szCs w:val="16"/>
        </w:rPr>
        <w:softHyphen/>
        <w:t>ность ГАУ». Тот признался, что надежд на скорое улучше</w:t>
      </w:r>
      <w:r w:rsidRPr="00405303">
        <w:rPr>
          <w:rFonts w:ascii="Times New Roman" w:hAnsi="Times New Roman" w:cs="Times New Roman"/>
          <w:bCs/>
          <w:color w:val="002060"/>
          <w:sz w:val="16"/>
          <w:szCs w:val="16"/>
        </w:rPr>
        <w:softHyphen/>
        <w:t>ние нет никаких (РГВИА. Ф. 962. Оп. 2. Д. 137. Л. 161. Показания Смысловского, 18.1.1917; Емец В.А. Указ. соч. С. 165) (23452).</w:t>
      </w:r>
    </w:p>
    <w:p w14:paraId="2CFAC067" w14:textId="77777777" w:rsidR="001753A6" w:rsidRPr="00405303" w:rsidRDefault="001753A6" w:rsidP="00C15251">
      <w:pPr>
        <w:jc w:val="both"/>
        <w:rPr>
          <w:bCs/>
          <w:color w:val="002060"/>
          <w:sz w:val="16"/>
          <w:szCs w:val="16"/>
          <w:lang w:bidi="ru-RU"/>
        </w:rPr>
      </w:pPr>
    </w:p>
    <w:p w14:paraId="2AB40403" w14:textId="77777777" w:rsidR="001753A6" w:rsidRPr="00405303" w:rsidRDefault="001753A6" w:rsidP="00C15251">
      <w:pPr>
        <w:jc w:val="both"/>
        <w:rPr>
          <w:bCs/>
          <w:color w:val="002060"/>
          <w:sz w:val="16"/>
          <w:szCs w:val="16"/>
        </w:rPr>
      </w:pPr>
      <w:r w:rsidRPr="00405303">
        <w:rPr>
          <w:bCs/>
          <w:color w:val="002060"/>
          <w:sz w:val="16"/>
          <w:szCs w:val="16"/>
        </w:rPr>
        <w:t>9 мая 1915 г. противник потерял еще один аппарат, сбитый зенитным огнем в районе Скерневице. 13 мая личный состав 6-й лейб-гвардейской Донской казачьей Его Величества батареи записал на свой счет очередную победу. Вечером того же дня наблюдатели заметили в районе г. Ломжа неприятельский аэроплан. Батарея открыла по нему огонь, причинив аппарату серьезные повреждения. По докладу разведывательных постов лейб-гвардейского Гренадерского полка - вражеский «аппарат упал в немецкие окопы» (23405).</w:t>
      </w:r>
    </w:p>
    <w:p w14:paraId="404785D1" w14:textId="77777777" w:rsidR="001753A6" w:rsidRPr="00405303" w:rsidRDefault="001753A6" w:rsidP="00C15251">
      <w:pPr>
        <w:shd w:val="clear" w:color="auto" w:fill="FFFFFF"/>
        <w:jc w:val="both"/>
        <w:rPr>
          <w:bCs/>
          <w:i/>
          <w:color w:val="002060"/>
          <w:sz w:val="16"/>
          <w:szCs w:val="16"/>
        </w:rPr>
      </w:pPr>
    </w:p>
    <w:p w14:paraId="762DA500" w14:textId="0B86751D" w:rsidR="00F37E1D" w:rsidRPr="00405303" w:rsidRDefault="00F37E1D"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501FFA1E" w14:textId="77777777" w:rsidR="00F37E1D" w:rsidRPr="00405303" w:rsidRDefault="00F37E1D" w:rsidP="00C15251">
      <w:pPr>
        <w:shd w:val="clear" w:color="auto" w:fill="FFFFFF"/>
        <w:jc w:val="both"/>
        <w:rPr>
          <w:bCs/>
          <w:i/>
          <w:color w:val="002060"/>
          <w:sz w:val="16"/>
          <w:szCs w:val="16"/>
        </w:rPr>
      </w:pPr>
    </w:p>
    <w:p w14:paraId="75CB3A52" w14:textId="77777777" w:rsidR="00F37E1D" w:rsidRPr="00405303" w:rsidRDefault="00F37E1D" w:rsidP="00C15251">
      <w:pPr>
        <w:jc w:val="both"/>
        <w:rPr>
          <w:bCs/>
          <w:color w:val="002060"/>
          <w:sz w:val="16"/>
          <w:szCs w:val="16"/>
        </w:rPr>
      </w:pPr>
      <w:r w:rsidRPr="00405303">
        <w:rPr>
          <w:bCs/>
          <w:color w:val="002060"/>
          <w:sz w:val="16"/>
          <w:szCs w:val="16"/>
        </w:rPr>
        <w:t>9 (22) мая немцы летали над Парижем и германский аэроплан сбросил 8 бомб (11999).</w:t>
      </w:r>
    </w:p>
    <w:p w14:paraId="10894B6F" w14:textId="77777777" w:rsidR="00F37E1D" w:rsidRPr="00405303" w:rsidRDefault="00F37E1D" w:rsidP="00C15251">
      <w:pPr>
        <w:jc w:val="both"/>
        <w:rPr>
          <w:bCs/>
          <w:color w:val="002060"/>
          <w:sz w:val="16"/>
          <w:szCs w:val="16"/>
        </w:rPr>
      </w:pPr>
    </w:p>
    <w:p w14:paraId="5CEA90A1" w14:textId="77777777" w:rsidR="00D340DA" w:rsidRPr="00405303" w:rsidRDefault="00D340DA" w:rsidP="00C15251">
      <w:pPr>
        <w:shd w:val="clear" w:color="auto" w:fill="FFFFFF"/>
        <w:jc w:val="both"/>
        <w:rPr>
          <w:bCs/>
          <w:i/>
          <w:color w:val="002060"/>
          <w:sz w:val="16"/>
          <w:szCs w:val="16"/>
        </w:rPr>
      </w:pPr>
      <w:r w:rsidRPr="00405303">
        <w:rPr>
          <w:bCs/>
          <w:i/>
          <w:color w:val="002060"/>
          <w:sz w:val="16"/>
          <w:szCs w:val="16"/>
        </w:rPr>
        <w:t>Авиация:</w:t>
      </w:r>
    </w:p>
    <w:p w14:paraId="2DBB5844" w14:textId="77777777" w:rsidR="00D340DA" w:rsidRPr="00405303" w:rsidRDefault="00D340DA" w:rsidP="00C15251">
      <w:pPr>
        <w:shd w:val="clear" w:color="auto" w:fill="FFFFFF"/>
        <w:jc w:val="both"/>
        <w:rPr>
          <w:bCs/>
          <w:i/>
          <w:color w:val="002060"/>
          <w:sz w:val="16"/>
          <w:szCs w:val="16"/>
        </w:rPr>
      </w:pPr>
    </w:p>
    <w:p w14:paraId="0735F223" w14:textId="28D0C572" w:rsidR="00D340DA" w:rsidRPr="00405303" w:rsidRDefault="00D340DA" w:rsidP="00C15251">
      <w:pPr>
        <w:pStyle w:val="2"/>
        <w:spacing w:before="0" w:after="0"/>
        <w:jc w:val="both"/>
        <w:rPr>
          <w:b w:val="0"/>
          <w:bCs/>
          <w:color w:val="002060"/>
          <w:sz w:val="16"/>
          <w:szCs w:val="16"/>
        </w:rPr>
      </w:pPr>
      <w:r w:rsidRPr="00405303">
        <w:rPr>
          <w:b w:val="0"/>
          <w:bCs/>
          <w:color w:val="002060"/>
          <w:sz w:val="16"/>
          <w:szCs w:val="16"/>
        </w:rPr>
        <w:t xml:space="preserve">10 </w:t>
      </w:r>
      <w:r w:rsidR="00F37E1D" w:rsidRPr="00405303">
        <w:rPr>
          <w:b w:val="0"/>
          <w:bCs/>
          <w:color w:val="002060"/>
          <w:sz w:val="16"/>
          <w:szCs w:val="16"/>
        </w:rPr>
        <w:t xml:space="preserve">(23) </w:t>
      </w:r>
      <w:r w:rsidRPr="00405303">
        <w:rPr>
          <w:b w:val="0"/>
          <w:bCs/>
          <w:color w:val="002060"/>
          <w:sz w:val="16"/>
          <w:szCs w:val="16"/>
        </w:rPr>
        <w:t xml:space="preserve">мая 1915 </w:t>
      </w:r>
      <w:r w:rsidR="00F37E1D" w:rsidRPr="00405303">
        <w:rPr>
          <w:b w:val="0"/>
          <w:bCs/>
          <w:color w:val="002060"/>
          <w:sz w:val="16"/>
          <w:szCs w:val="16"/>
        </w:rPr>
        <w:t xml:space="preserve">г. </w:t>
      </w:r>
      <w:r w:rsidRPr="00405303">
        <w:rPr>
          <w:b w:val="0"/>
          <w:bCs/>
          <w:color w:val="002060"/>
          <w:sz w:val="16"/>
          <w:szCs w:val="16"/>
        </w:rPr>
        <w:t>Габер-Влынский выполнил перелет Москва—Подольск—Серпухов—Моеква (15464).</w:t>
      </w:r>
    </w:p>
    <w:p w14:paraId="3B96DC7E" w14:textId="457B4AE3" w:rsidR="00D340DA" w:rsidRPr="00405303" w:rsidRDefault="00D340DA" w:rsidP="00C15251">
      <w:pPr>
        <w:pStyle w:val="2"/>
        <w:spacing w:before="0" w:after="0"/>
        <w:jc w:val="both"/>
        <w:rPr>
          <w:b w:val="0"/>
          <w:bCs/>
          <w:color w:val="002060"/>
          <w:sz w:val="16"/>
          <w:szCs w:val="16"/>
        </w:rPr>
      </w:pPr>
    </w:p>
    <w:p w14:paraId="538BFBE9" w14:textId="41C88792" w:rsidR="008F2DD2" w:rsidRPr="00405303" w:rsidRDefault="008F2DD2" w:rsidP="00C15251">
      <w:pPr>
        <w:jc w:val="both"/>
        <w:rPr>
          <w:bCs/>
          <w:color w:val="002060"/>
          <w:sz w:val="16"/>
          <w:szCs w:val="16"/>
          <w:lang w:bidi="en-US"/>
        </w:rPr>
      </w:pPr>
      <w:r w:rsidRPr="00405303">
        <w:rPr>
          <w:bCs/>
          <w:color w:val="002060"/>
          <w:sz w:val="16"/>
          <w:szCs w:val="16"/>
          <w:lang w:bidi="en-US"/>
        </w:rPr>
        <w:t>10 (23) мая 1915 г. штаб Ставки издал приказ о переименовании АО «Владивостокская крепость» во 2-й Сибирский КАО (23525).</w:t>
      </w:r>
    </w:p>
    <w:p w14:paraId="3C4C0A43" w14:textId="77777777" w:rsidR="008F2DD2" w:rsidRPr="00405303" w:rsidRDefault="008F2DD2" w:rsidP="00C15251">
      <w:pPr>
        <w:jc w:val="both"/>
        <w:rPr>
          <w:bCs/>
          <w:color w:val="002060"/>
          <w:sz w:val="16"/>
          <w:szCs w:val="16"/>
        </w:rPr>
      </w:pPr>
    </w:p>
    <w:p w14:paraId="25F4D177" w14:textId="00A076B1" w:rsidR="00A933FF" w:rsidRPr="00405303" w:rsidRDefault="00A933FF" w:rsidP="00C15251">
      <w:pPr>
        <w:pStyle w:val="2"/>
        <w:spacing w:before="0" w:after="0"/>
        <w:jc w:val="both"/>
        <w:rPr>
          <w:b w:val="0"/>
          <w:bCs/>
          <w:i/>
          <w:iCs/>
          <w:color w:val="002060"/>
          <w:sz w:val="16"/>
          <w:szCs w:val="16"/>
        </w:rPr>
      </w:pPr>
      <w:r w:rsidRPr="00405303">
        <w:rPr>
          <w:b w:val="0"/>
          <w:bCs/>
          <w:i/>
          <w:iCs/>
          <w:color w:val="002060"/>
          <w:sz w:val="16"/>
          <w:szCs w:val="16"/>
        </w:rPr>
        <w:t>Жизнь и внутреняя политика:</w:t>
      </w:r>
    </w:p>
    <w:p w14:paraId="7A27D913" w14:textId="77777777" w:rsidR="00A933FF" w:rsidRPr="00405303" w:rsidRDefault="00A933FF" w:rsidP="00C15251">
      <w:pPr>
        <w:pStyle w:val="2"/>
        <w:spacing w:before="0" w:after="0"/>
        <w:jc w:val="both"/>
        <w:rPr>
          <w:b w:val="0"/>
          <w:bCs/>
          <w:i/>
          <w:iCs/>
          <w:color w:val="002060"/>
          <w:sz w:val="16"/>
          <w:szCs w:val="16"/>
        </w:rPr>
      </w:pPr>
    </w:p>
    <w:p w14:paraId="339CC4C6" w14:textId="7648E521" w:rsidR="00A933FF" w:rsidRPr="00405303" w:rsidRDefault="00A933FF" w:rsidP="00C15251">
      <w:pPr>
        <w:jc w:val="both"/>
        <w:rPr>
          <w:bCs/>
          <w:color w:val="002060"/>
          <w:sz w:val="16"/>
          <w:szCs w:val="16"/>
        </w:rPr>
      </w:pPr>
      <w:r w:rsidRPr="00405303">
        <w:rPr>
          <w:bCs/>
          <w:color w:val="002060"/>
          <w:sz w:val="16"/>
          <w:szCs w:val="16"/>
        </w:rPr>
        <w:t xml:space="preserve">10 </w:t>
      </w:r>
      <w:r w:rsidR="00F37E1D" w:rsidRPr="00405303">
        <w:rPr>
          <w:bCs/>
          <w:color w:val="002060"/>
          <w:sz w:val="16"/>
          <w:szCs w:val="16"/>
        </w:rPr>
        <w:t xml:space="preserve">(23) </w:t>
      </w:r>
      <w:r w:rsidRPr="00405303">
        <w:rPr>
          <w:bCs/>
          <w:color w:val="002060"/>
          <w:sz w:val="16"/>
          <w:szCs w:val="16"/>
        </w:rPr>
        <w:t>мая 1915 г. были опубликованы «Высочайше утвержденные правила о ликвидации торговых предприятий, принадлежащих неприятельским поданным» (22777).</w:t>
      </w:r>
    </w:p>
    <w:p w14:paraId="2035A803" w14:textId="77777777" w:rsidR="00A933FF" w:rsidRPr="00405303" w:rsidRDefault="00A933FF" w:rsidP="00C15251">
      <w:pPr>
        <w:jc w:val="both"/>
        <w:rPr>
          <w:bCs/>
          <w:color w:val="002060"/>
          <w:sz w:val="16"/>
          <w:szCs w:val="16"/>
        </w:rPr>
      </w:pPr>
    </w:p>
    <w:p w14:paraId="4B83C293" w14:textId="77777777" w:rsidR="002E3922" w:rsidRPr="00405303" w:rsidRDefault="002E3922" w:rsidP="00C15251">
      <w:pPr>
        <w:jc w:val="both"/>
        <w:rPr>
          <w:bCs/>
          <w:i/>
          <w:iCs/>
          <w:color w:val="002060"/>
          <w:sz w:val="16"/>
          <w:szCs w:val="16"/>
        </w:rPr>
      </w:pPr>
      <w:r w:rsidRPr="00405303">
        <w:rPr>
          <w:bCs/>
          <w:i/>
          <w:iCs/>
          <w:color w:val="002060"/>
          <w:sz w:val="16"/>
          <w:szCs w:val="16"/>
        </w:rPr>
        <w:t>Внешняя политика:</w:t>
      </w:r>
    </w:p>
    <w:p w14:paraId="18CC5C85" w14:textId="77777777" w:rsidR="002E3922" w:rsidRPr="00405303" w:rsidRDefault="002E3922" w:rsidP="00C15251">
      <w:pPr>
        <w:jc w:val="both"/>
        <w:rPr>
          <w:bCs/>
          <w:i/>
          <w:iCs/>
          <w:color w:val="002060"/>
          <w:sz w:val="16"/>
          <w:szCs w:val="16"/>
        </w:rPr>
      </w:pPr>
    </w:p>
    <w:p w14:paraId="730608FE" w14:textId="77777777" w:rsidR="002E3922" w:rsidRPr="00405303" w:rsidRDefault="002E3922" w:rsidP="00C15251">
      <w:pPr>
        <w:jc w:val="both"/>
        <w:rPr>
          <w:bCs/>
          <w:color w:val="002060"/>
          <w:sz w:val="16"/>
          <w:szCs w:val="16"/>
        </w:rPr>
      </w:pPr>
      <w:r w:rsidRPr="00405303">
        <w:rPr>
          <w:bCs/>
          <w:color w:val="002060"/>
          <w:sz w:val="16"/>
          <w:szCs w:val="16"/>
        </w:rPr>
        <w:t>10 (23) мая 1915 Италия вступает в Первую мировую войну на стороне союзников, объявляя войну Австро-Венгрии (20338).</w:t>
      </w:r>
    </w:p>
    <w:p w14:paraId="4993FEB2" w14:textId="77777777" w:rsidR="002E3922" w:rsidRPr="00405303" w:rsidRDefault="002E3922" w:rsidP="00C15251">
      <w:pPr>
        <w:jc w:val="both"/>
        <w:rPr>
          <w:bCs/>
          <w:color w:val="002060"/>
          <w:sz w:val="16"/>
          <w:szCs w:val="16"/>
        </w:rPr>
      </w:pPr>
    </w:p>
    <w:p w14:paraId="259594F5"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768043E8" w14:textId="77777777" w:rsidR="004B4E35" w:rsidRPr="00405303" w:rsidRDefault="004B4E35" w:rsidP="00C15251">
      <w:pPr>
        <w:shd w:val="clear" w:color="auto" w:fill="FFFFFF"/>
        <w:jc w:val="both"/>
        <w:rPr>
          <w:bCs/>
          <w:i/>
          <w:color w:val="002060"/>
          <w:sz w:val="16"/>
          <w:szCs w:val="16"/>
        </w:rPr>
      </w:pPr>
    </w:p>
    <w:p w14:paraId="2419B455" w14:textId="2B30A173" w:rsidR="002E3922" w:rsidRPr="00405303" w:rsidRDefault="002E3922" w:rsidP="00C15251">
      <w:pPr>
        <w:jc w:val="both"/>
        <w:rPr>
          <w:bCs/>
          <w:color w:val="002060"/>
          <w:sz w:val="16"/>
          <w:szCs w:val="16"/>
        </w:rPr>
      </w:pPr>
      <w:r w:rsidRPr="00405303">
        <w:rPr>
          <w:bCs/>
          <w:color w:val="002060"/>
          <w:sz w:val="16"/>
          <w:szCs w:val="16"/>
        </w:rPr>
        <w:t>10 (23) мая 1915</w:t>
      </w:r>
      <w:r w:rsidR="00DB4D64" w:rsidRPr="00405303">
        <w:rPr>
          <w:bCs/>
          <w:color w:val="002060"/>
          <w:sz w:val="16"/>
          <w:szCs w:val="16"/>
        </w:rPr>
        <w:t xml:space="preserve"> </w:t>
      </w:r>
      <w:r w:rsidR="00F37E1D" w:rsidRPr="00405303">
        <w:rPr>
          <w:bCs/>
          <w:color w:val="002060"/>
          <w:sz w:val="16"/>
          <w:szCs w:val="16"/>
        </w:rPr>
        <w:t>г. состоялся п</w:t>
      </w:r>
      <w:r w:rsidRPr="00405303">
        <w:rPr>
          <w:bCs/>
          <w:color w:val="002060"/>
          <w:sz w:val="16"/>
          <w:szCs w:val="16"/>
        </w:rPr>
        <w:t>ервый полёт Fokker Eindecker. Пилотировал Энтони Фоккер на военном аэродроме под Берлином.</w:t>
      </w:r>
    </w:p>
    <w:p w14:paraId="0927F5ED" w14:textId="104D534B" w:rsidR="002E3922" w:rsidRPr="00405303" w:rsidRDefault="002E3922" w:rsidP="00C15251">
      <w:pPr>
        <w:jc w:val="both"/>
        <w:rPr>
          <w:bCs/>
          <w:color w:val="002060"/>
          <w:sz w:val="16"/>
          <w:szCs w:val="16"/>
        </w:rPr>
      </w:pPr>
      <w:r w:rsidRPr="00405303">
        <w:rPr>
          <w:bCs/>
          <w:color w:val="002060"/>
          <w:sz w:val="16"/>
          <w:szCs w:val="16"/>
        </w:rPr>
        <w:t>Разработанный в апреле 1915 года первый Эйндеккер ("моноплан") был первым специально построенным немецким истребителем и первым самолетом, оснащенным механизмом синхронизации. С июля 1915 года и до начала 1916 года Эйндеккер обеспечивал ВВС германской армии (тогда Fliegertruppen des deutschen Kaiserreiches) превосходство в воздухе над самолетами Антанты.</w:t>
      </w:r>
      <w:r w:rsidR="000F5756">
        <w:rPr>
          <w:bCs/>
          <w:color w:val="002060"/>
          <w:sz w:val="16"/>
          <w:szCs w:val="16"/>
        </w:rPr>
        <w:t xml:space="preserve"> </w:t>
      </w:r>
      <w:r w:rsidRPr="00405303">
        <w:rPr>
          <w:bCs/>
          <w:color w:val="002060"/>
          <w:sz w:val="16"/>
          <w:szCs w:val="16"/>
        </w:rPr>
        <w:t>Этот прототип передан асу лейтенанту Отто Паршау (22493).</w:t>
      </w:r>
    </w:p>
    <w:p w14:paraId="5D123ECA" w14:textId="77777777" w:rsidR="002E3922" w:rsidRPr="00405303" w:rsidRDefault="002E3922" w:rsidP="00C15251">
      <w:pPr>
        <w:jc w:val="both"/>
        <w:rPr>
          <w:bCs/>
          <w:color w:val="002060"/>
          <w:sz w:val="16"/>
          <w:szCs w:val="16"/>
        </w:rPr>
      </w:pPr>
    </w:p>
    <w:p w14:paraId="0DA0D5FF"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за рубежом:</w:t>
      </w:r>
    </w:p>
    <w:p w14:paraId="6E3E59A5" w14:textId="77777777" w:rsidR="004B4E35" w:rsidRPr="00405303" w:rsidRDefault="004B4E35" w:rsidP="00C15251">
      <w:pPr>
        <w:shd w:val="clear" w:color="auto" w:fill="FFFFFF"/>
        <w:jc w:val="both"/>
        <w:rPr>
          <w:bCs/>
          <w:i/>
          <w:color w:val="002060"/>
          <w:sz w:val="16"/>
          <w:szCs w:val="16"/>
        </w:rPr>
      </w:pPr>
    </w:p>
    <w:p w14:paraId="0F312E6F" w14:textId="3D38C7D9" w:rsidR="004B4E35" w:rsidRPr="00405303" w:rsidRDefault="009E6F82" w:rsidP="00C15251">
      <w:pPr>
        <w:jc w:val="both"/>
        <w:rPr>
          <w:bCs/>
          <w:color w:val="002060"/>
          <w:sz w:val="16"/>
          <w:szCs w:val="16"/>
        </w:rPr>
      </w:pPr>
      <w:r w:rsidRPr="00405303">
        <w:rPr>
          <w:bCs/>
          <w:color w:val="002060"/>
          <w:sz w:val="16"/>
          <w:szCs w:val="16"/>
        </w:rPr>
        <w:t>10 (23) мая 1915 года</w:t>
      </w:r>
      <w:r w:rsidR="00F37E1D" w:rsidRPr="00405303">
        <w:rPr>
          <w:bCs/>
          <w:color w:val="002060"/>
          <w:sz w:val="16"/>
          <w:szCs w:val="16"/>
        </w:rPr>
        <w:t xml:space="preserve"> в Италии была объявлена мобилизация</w:t>
      </w:r>
      <w:r w:rsidRPr="00405303">
        <w:rPr>
          <w:bCs/>
          <w:color w:val="002060"/>
          <w:sz w:val="16"/>
          <w:szCs w:val="16"/>
        </w:rPr>
        <w:t xml:space="preserve">, и уже в ночь на 27 мая </w:t>
      </w:r>
      <w:r w:rsidR="00F37E1D" w:rsidRPr="00405303">
        <w:rPr>
          <w:bCs/>
          <w:color w:val="002060"/>
          <w:sz w:val="16"/>
          <w:szCs w:val="16"/>
        </w:rPr>
        <w:t xml:space="preserve">дирижаблб </w:t>
      </w:r>
      <w:r w:rsidRPr="00405303">
        <w:rPr>
          <w:bCs/>
          <w:color w:val="002060"/>
          <w:sz w:val="16"/>
          <w:szCs w:val="16"/>
        </w:rPr>
        <w:t xml:space="preserve">М.5 сбросил бомбы на электростанцию в Росегу, а МЛ подверг бомбардировке город Лейбах. Основной целью воздухоплавательных атак стал австрийский порт Триест. Первый налет состоялся 4 июня, когда его «навестил» Р.4. </w:t>
      </w:r>
      <w:r w:rsidRPr="00405303">
        <w:rPr>
          <w:bCs/>
          <w:color w:val="002060"/>
          <w:sz w:val="16"/>
          <w:szCs w:val="16"/>
        </w:rPr>
        <w:lastRenderedPageBreak/>
        <w:t xml:space="preserve">Через два дня этот дирижабль повторил атаку, сбросив на город 308 кг бомб. Подобные налеты продолжались до весны 1916 года, правда с меньшей интенсивностью. В 1916 году началась бомбардировочная операция, в которой были задействованы дирижабли типа «М». Выбор целей тщательно продумывался и потому урон противнику был причинен достаточно большой. </w:t>
      </w:r>
    </w:p>
    <w:p w14:paraId="6CCF2280" w14:textId="77777777" w:rsidR="004B4E35" w:rsidRPr="00405303" w:rsidRDefault="004B4E35" w:rsidP="00C15251">
      <w:pPr>
        <w:shd w:val="clear" w:color="auto" w:fill="FFFFFF"/>
        <w:jc w:val="both"/>
        <w:rPr>
          <w:bCs/>
          <w:i/>
          <w:color w:val="002060"/>
          <w:sz w:val="16"/>
          <w:szCs w:val="16"/>
        </w:rPr>
      </w:pPr>
    </w:p>
    <w:p w14:paraId="53D8DCF0" w14:textId="59A16BE5" w:rsidR="00F37E1D" w:rsidRPr="00405303" w:rsidRDefault="00F37E1D" w:rsidP="00C15251">
      <w:pPr>
        <w:jc w:val="both"/>
        <w:rPr>
          <w:bCs/>
          <w:color w:val="002060"/>
          <w:sz w:val="16"/>
          <w:szCs w:val="16"/>
        </w:rPr>
      </w:pPr>
      <w:r w:rsidRPr="00405303">
        <w:rPr>
          <w:bCs/>
          <w:color w:val="002060"/>
          <w:sz w:val="16"/>
          <w:szCs w:val="16"/>
        </w:rPr>
        <w:t>10 (23) мая 1915 г. австрийские аэропланы бросали бомбы над Венецией, но не причинили серьезного вреда. Зато французы обнаружили 25 мая очень энергичную деятельность на всем протяжении фронта, выбросив более 200 снарядов, произведших взрывы в германском авиапарке в Эрвильи и в германском же парке в Гран-Приеле, в окрестностях Сен-Кантена, тогда как в самом Сен-Кантене пострадал вокзал. 26 мая немцы бросали бомбы на Виленуа, близ Мо, в 30-ти с небольшим километрах к востоку от Парижа. Но в окрестностях Суассона эти германские авиаторы были сбиты французским аэропланом. На Англию немцы в это время сделали 3 воздушных налета. 26 мая их цеппелин бросал бомбы на Соусендэд, в 45-ти км к востоку от Лондона (11999).</w:t>
      </w:r>
    </w:p>
    <w:p w14:paraId="41A0B9E2" w14:textId="77777777" w:rsidR="00F37E1D" w:rsidRPr="00405303" w:rsidRDefault="00F37E1D" w:rsidP="00C15251">
      <w:pPr>
        <w:jc w:val="both"/>
        <w:rPr>
          <w:bCs/>
          <w:color w:val="002060"/>
          <w:sz w:val="16"/>
          <w:szCs w:val="16"/>
        </w:rPr>
      </w:pPr>
    </w:p>
    <w:p w14:paraId="616B81F5"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74657EC6" w14:textId="77777777" w:rsidR="004B4E35" w:rsidRPr="00405303" w:rsidRDefault="004B4E35" w:rsidP="00C15251">
      <w:pPr>
        <w:shd w:val="clear" w:color="auto" w:fill="FFFFFF"/>
        <w:jc w:val="both"/>
        <w:rPr>
          <w:bCs/>
          <w:i/>
          <w:color w:val="002060"/>
          <w:sz w:val="16"/>
          <w:szCs w:val="16"/>
        </w:rPr>
      </w:pPr>
    </w:p>
    <w:p w14:paraId="21E1BEC2" w14:textId="463AAD43" w:rsidR="004B4E35" w:rsidRPr="00405303" w:rsidRDefault="009E6F82" w:rsidP="00C15251">
      <w:pPr>
        <w:jc w:val="both"/>
        <w:rPr>
          <w:bCs/>
          <w:color w:val="002060"/>
          <w:sz w:val="16"/>
          <w:szCs w:val="16"/>
        </w:rPr>
      </w:pPr>
      <w:r w:rsidRPr="00405303">
        <w:rPr>
          <w:bCs/>
          <w:color w:val="002060"/>
          <w:sz w:val="16"/>
          <w:szCs w:val="16"/>
        </w:rPr>
        <w:t>11 (24) мая 1915 Германо-австрийские войска, несмотря на контрудары русских, прочно заняли правый берег р. Сан между Ярославом и Перемышлем.</w:t>
      </w:r>
      <w:r w:rsidR="00C2121F" w:rsidRPr="00405303">
        <w:rPr>
          <w:bCs/>
          <w:color w:val="002060"/>
          <w:sz w:val="16"/>
          <w:szCs w:val="16"/>
        </w:rPr>
        <w:t xml:space="preserve"> </w:t>
      </w:r>
      <w:r w:rsidRPr="00405303">
        <w:rPr>
          <w:bCs/>
          <w:color w:val="002060"/>
          <w:sz w:val="16"/>
          <w:szCs w:val="16"/>
        </w:rPr>
        <w:t>"ИМ-Киевский" вылетел во Львов. Этот полет продолжался 4 часа 15 минут (11999).</w:t>
      </w:r>
    </w:p>
    <w:p w14:paraId="6C5FEEB7" w14:textId="77777777" w:rsidR="004B4E35" w:rsidRPr="00405303" w:rsidRDefault="004B4E35" w:rsidP="00C15251">
      <w:pPr>
        <w:jc w:val="both"/>
        <w:rPr>
          <w:bCs/>
          <w:color w:val="002060"/>
          <w:sz w:val="16"/>
          <w:szCs w:val="16"/>
        </w:rPr>
      </w:pPr>
    </w:p>
    <w:p w14:paraId="34F9D664" w14:textId="33045AE8" w:rsidR="00FF5C7B" w:rsidRPr="00405303" w:rsidRDefault="00FF5C7B" w:rsidP="00C15251">
      <w:pPr>
        <w:jc w:val="both"/>
        <w:rPr>
          <w:bCs/>
          <w:color w:val="002060"/>
          <w:sz w:val="16"/>
          <w:szCs w:val="16"/>
        </w:rPr>
      </w:pPr>
      <w:r w:rsidRPr="00405303">
        <w:rPr>
          <w:bCs/>
          <w:color w:val="002060"/>
          <w:sz w:val="16"/>
          <w:szCs w:val="16"/>
        </w:rPr>
        <w:t>11-13 (23-24) мая 1915 г. летчик 24 КАО поручик Леонид Александрович Культин произвел разведку районов Сепява-Монастыржеск и Родава-Ярославль несмотря на сильный артиллерийский огонь /по самолету было вынущено около 300 снарядов/ сфотографировал все неприятельские укре</w:t>
      </w:r>
      <w:r w:rsidRPr="00405303">
        <w:rPr>
          <w:bCs/>
          <w:color w:val="002060"/>
          <w:sz w:val="16"/>
          <w:szCs w:val="16"/>
        </w:rPr>
        <w:softHyphen/>
        <w:t>пления и расположение батарей. Доставленные им сведения дали воз</w:t>
      </w:r>
      <w:r w:rsidRPr="00405303">
        <w:rPr>
          <w:bCs/>
          <w:color w:val="002060"/>
          <w:sz w:val="16"/>
          <w:szCs w:val="16"/>
        </w:rPr>
        <w:softHyphen/>
        <w:t>можность принять важные решения.</w:t>
      </w:r>
    </w:p>
    <w:p w14:paraId="6FA28F5F" w14:textId="77777777" w:rsidR="00FF5C7B" w:rsidRPr="00405303" w:rsidRDefault="00FF5C7B" w:rsidP="00C15251">
      <w:pPr>
        <w:jc w:val="both"/>
        <w:rPr>
          <w:bCs/>
          <w:color w:val="002060"/>
          <w:sz w:val="16"/>
          <w:szCs w:val="16"/>
        </w:rPr>
      </w:pPr>
      <w:r w:rsidRPr="00405303">
        <w:rPr>
          <w:bCs/>
          <w:color w:val="002060"/>
          <w:sz w:val="16"/>
          <w:szCs w:val="16"/>
        </w:rPr>
        <w:t>/Приказ № 546 по войскам 3-й армии от 15 окт. 1915/ (23320).</w:t>
      </w:r>
    </w:p>
    <w:p w14:paraId="4A630F92" w14:textId="77777777" w:rsidR="00FF5C7B" w:rsidRPr="00405303" w:rsidRDefault="00FF5C7B" w:rsidP="00C15251">
      <w:pPr>
        <w:jc w:val="both"/>
        <w:rPr>
          <w:bCs/>
          <w:color w:val="002060"/>
          <w:sz w:val="16"/>
          <w:szCs w:val="16"/>
        </w:rPr>
      </w:pPr>
    </w:p>
    <w:p w14:paraId="0B7E7F12" w14:textId="7633AEE4" w:rsidR="001753A6" w:rsidRPr="00405303" w:rsidRDefault="001753A6" w:rsidP="00C15251">
      <w:pPr>
        <w:jc w:val="both"/>
        <w:rPr>
          <w:bCs/>
          <w:color w:val="002060"/>
          <w:sz w:val="16"/>
          <w:szCs w:val="16"/>
        </w:rPr>
      </w:pPr>
      <w:bookmarkStart w:id="136" w:name="bookmark160"/>
      <w:r w:rsidRPr="00405303">
        <w:rPr>
          <w:bCs/>
          <w:color w:val="002060"/>
          <w:sz w:val="16"/>
          <w:szCs w:val="16"/>
        </w:rPr>
        <w:t xml:space="preserve">11 (24) мая 1915 г. авиация противника вновь подвергла бомбардировке русский медицинский объект. Разрывами бомб тяжелое ранение получили два военнослужащих, находившиеся на излечении. Через день </w:t>
      </w:r>
      <w:bookmarkStart w:id="137" w:name="bookmark161"/>
      <w:bookmarkStart w:id="138" w:name="bookmark162"/>
      <w:bookmarkEnd w:id="136"/>
      <w:r w:rsidRPr="00405303">
        <w:rPr>
          <w:bCs/>
          <w:color w:val="002060"/>
          <w:sz w:val="16"/>
          <w:szCs w:val="16"/>
        </w:rPr>
        <w:t>немецкий аэроплан сбросил бомбу над Белостоком. При очередном воздушном налете погибли три местных жителя. 22 мая два неприятельских аэроплана сбросили над г. Жирардов «19 зажигательных бомб, взрывами которых убит 1, ранено 15 человек, преимущественно женщин и детей, и подожжено два строения и санитарный вагон. Одна из бомб упала вблизи помещения 1-го изерского подвижного лазарета Красного Креста, и осколками ее, при исполнении служебных обязанностей, ранен в обе ноги санитар названного лазарета Максим Вакулин» (23405).</w:t>
      </w:r>
      <w:bookmarkEnd w:id="137"/>
      <w:bookmarkEnd w:id="138"/>
    </w:p>
    <w:p w14:paraId="0EDD9741" w14:textId="77777777" w:rsidR="001753A6" w:rsidRPr="00405303" w:rsidRDefault="001753A6" w:rsidP="00C15251">
      <w:pPr>
        <w:jc w:val="both"/>
        <w:rPr>
          <w:bCs/>
          <w:color w:val="002060"/>
          <w:sz w:val="16"/>
          <w:szCs w:val="16"/>
        </w:rPr>
      </w:pPr>
    </w:p>
    <w:p w14:paraId="41674CB1" w14:textId="77777777" w:rsidR="001A4DCC" w:rsidRPr="00405303" w:rsidRDefault="001A4DCC" w:rsidP="001A4DCC">
      <w:pPr>
        <w:jc w:val="both"/>
        <w:rPr>
          <w:color w:val="0070C0"/>
          <w:sz w:val="16"/>
          <w:szCs w:val="16"/>
        </w:rPr>
      </w:pPr>
      <w:r w:rsidRPr="00405303">
        <w:rPr>
          <w:rStyle w:val="aa"/>
          <w:rFonts w:ascii="Times New Roman" w:hAnsi="Times New Roman"/>
          <w:color w:val="0070C0"/>
          <w:spacing w:val="0"/>
          <w:sz w:val="16"/>
          <w:szCs w:val="16"/>
        </w:rPr>
        <w:t>В течение 11-25 (24–28) мая 1915 г. наша артиллерия уничтожила очередной немецкий аппарат, упавший за линией окопов противника. В городе Х. [в документах название не расшифровано] прицельной стрельбой стражника был сбит неприятельский летательный аппарат, проводивший бомбардировку городских кварталов. Одна из пуль пробила бензобак аэроплана. Офицер-наблюдатель погиб, летчик взят в плен. Позднее командующий сухопутной авиацией Германии генерал Э. фон Гёпнер был вынужден признать большие потери на Восточном (русско-германском) фронте среди летного состава</w:t>
      </w:r>
      <w:hyperlink w:anchor="bookmark1246" w:tooltip="Current Document">
        <w:r w:rsidRPr="00405303">
          <w:rPr>
            <w:rStyle w:val="aa"/>
            <w:rFonts w:ascii="Times New Roman" w:hAnsi="Times New Roman"/>
            <w:color w:val="0070C0"/>
            <w:spacing w:val="0"/>
            <w:sz w:val="16"/>
            <w:szCs w:val="16"/>
            <w:u w:val="single"/>
            <w:vertAlign w:val="superscript"/>
          </w:rPr>
          <w:t>[</w:t>
        </w:r>
      </w:hyperlink>
      <w:r w:rsidRPr="00405303">
        <w:rPr>
          <w:color w:val="0070C0"/>
          <w:sz w:val="16"/>
          <w:szCs w:val="16"/>
        </w:rPr>
        <w:t xml:space="preserve"> (25135)</w:t>
      </w:r>
    </w:p>
    <w:p w14:paraId="32F5F4DF" w14:textId="77777777" w:rsidR="001A4DCC" w:rsidRPr="00405303" w:rsidRDefault="001A4DCC" w:rsidP="001A4DCC">
      <w:pPr>
        <w:jc w:val="both"/>
        <w:rPr>
          <w:color w:val="0070C0"/>
          <w:sz w:val="16"/>
          <w:szCs w:val="16"/>
        </w:rPr>
      </w:pPr>
    </w:p>
    <w:p w14:paraId="4C9B290D" w14:textId="1E974539" w:rsidR="008F2DD2" w:rsidRPr="00405303" w:rsidRDefault="008F2DD2" w:rsidP="00C15251">
      <w:pPr>
        <w:shd w:val="clear" w:color="auto" w:fill="FFFFFF"/>
        <w:jc w:val="both"/>
        <w:rPr>
          <w:bCs/>
          <w:i/>
          <w:color w:val="002060"/>
          <w:sz w:val="16"/>
          <w:szCs w:val="16"/>
        </w:rPr>
      </w:pPr>
      <w:r w:rsidRPr="00405303">
        <w:rPr>
          <w:bCs/>
          <w:i/>
          <w:color w:val="002060"/>
          <w:sz w:val="16"/>
          <w:szCs w:val="16"/>
        </w:rPr>
        <w:t>Внешняя политика:</w:t>
      </w:r>
    </w:p>
    <w:p w14:paraId="6A44C59B" w14:textId="77777777" w:rsidR="008F2DD2" w:rsidRPr="00405303" w:rsidRDefault="008F2DD2" w:rsidP="00C15251">
      <w:pPr>
        <w:shd w:val="clear" w:color="auto" w:fill="FFFFFF"/>
        <w:jc w:val="both"/>
        <w:rPr>
          <w:bCs/>
          <w:i/>
          <w:color w:val="002060"/>
          <w:sz w:val="16"/>
          <w:szCs w:val="16"/>
        </w:rPr>
      </w:pPr>
    </w:p>
    <w:p w14:paraId="6B5DB6D4" w14:textId="750591FF" w:rsidR="008F2DD2" w:rsidRPr="00405303" w:rsidRDefault="001753A6" w:rsidP="00C15251">
      <w:pPr>
        <w:jc w:val="both"/>
        <w:rPr>
          <w:bCs/>
          <w:color w:val="002060"/>
          <w:sz w:val="16"/>
          <w:szCs w:val="16"/>
          <w:lang w:bidi="en-US"/>
        </w:rPr>
      </w:pPr>
      <w:r w:rsidRPr="00405303">
        <w:rPr>
          <w:bCs/>
          <w:color w:val="002060"/>
          <w:sz w:val="16"/>
          <w:szCs w:val="16"/>
          <w:lang w:bidi="en-US"/>
        </w:rPr>
        <w:t>11 (</w:t>
      </w:r>
      <w:r w:rsidR="008F2DD2" w:rsidRPr="00405303">
        <w:rPr>
          <w:bCs/>
          <w:color w:val="002060"/>
          <w:sz w:val="16"/>
          <w:szCs w:val="16"/>
          <w:lang w:bidi="en-US"/>
        </w:rPr>
        <w:t>24</w:t>
      </w:r>
      <w:r w:rsidRPr="00405303">
        <w:rPr>
          <w:bCs/>
          <w:color w:val="002060"/>
          <w:sz w:val="16"/>
          <w:szCs w:val="16"/>
          <w:lang w:bidi="en-US"/>
        </w:rPr>
        <w:t>)</w:t>
      </w:r>
      <w:r w:rsidR="008F2DD2" w:rsidRPr="00405303">
        <w:rPr>
          <w:bCs/>
          <w:color w:val="002060"/>
          <w:sz w:val="16"/>
          <w:szCs w:val="16"/>
          <w:lang w:bidi="en-US"/>
        </w:rPr>
        <w:t xml:space="preserve"> мая 1915 года Италия объявила войну Австро-Венгрии и начала наступление на 96-километровом Трентинском фронте. Италия объявила войну Турции 20 августа 1915 года. Только 28 августа Италия объявила войну Германии (23525).</w:t>
      </w:r>
    </w:p>
    <w:p w14:paraId="053BD5F6" w14:textId="77777777" w:rsidR="008F2DD2" w:rsidRPr="00405303" w:rsidRDefault="008F2DD2" w:rsidP="00C15251">
      <w:pPr>
        <w:jc w:val="both"/>
        <w:rPr>
          <w:bCs/>
          <w:color w:val="002060"/>
          <w:sz w:val="16"/>
          <w:szCs w:val="16"/>
        </w:rPr>
      </w:pPr>
    </w:p>
    <w:p w14:paraId="43364564" w14:textId="7782A6C5" w:rsidR="002E3922" w:rsidRPr="00405303" w:rsidRDefault="002E392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1410EBBE" w14:textId="77777777" w:rsidR="002E3922" w:rsidRPr="00405303" w:rsidRDefault="002E3922" w:rsidP="00C15251">
      <w:pPr>
        <w:shd w:val="clear" w:color="auto" w:fill="FFFFFF"/>
        <w:jc w:val="both"/>
        <w:rPr>
          <w:bCs/>
          <w:i/>
          <w:color w:val="002060"/>
          <w:sz w:val="16"/>
          <w:szCs w:val="16"/>
        </w:rPr>
      </w:pPr>
    </w:p>
    <w:p w14:paraId="11E59D3F" w14:textId="6D4B8180" w:rsidR="002E3922" w:rsidRPr="00405303" w:rsidRDefault="002E3922" w:rsidP="00C15251">
      <w:pPr>
        <w:jc w:val="both"/>
        <w:rPr>
          <w:bCs/>
          <w:color w:val="002060"/>
          <w:sz w:val="16"/>
          <w:szCs w:val="16"/>
        </w:rPr>
      </w:pPr>
      <w:r w:rsidRPr="00405303">
        <w:rPr>
          <w:bCs/>
          <w:color w:val="002060"/>
          <w:sz w:val="16"/>
          <w:szCs w:val="16"/>
        </w:rPr>
        <w:t xml:space="preserve">11 (24) мая 1915 </w:t>
      </w:r>
      <w:r w:rsidR="00C2121F" w:rsidRPr="00405303">
        <w:rPr>
          <w:bCs/>
          <w:color w:val="002060"/>
          <w:sz w:val="16"/>
          <w:szCs w:val="16"/>
        </w:rPr>
        <w:t xml:space="preserve">состоялся </w:t>
      </w:r>
      <w:r w:rsidRPr="00405303">
        <w:rPr>
          <w:bCs/>
          <w:color w:val="002060"/>
          <w:sz w:val="16"/>
          <w:szCs w:val="16"/>
        </w:rPr>
        <w:t xml:space="preserve">первый полет </w:t>
      </w:r>
      <w:r w:rsidRPr="00405303">
        <w:rPr>
          <w:bCs/>
          <w:color w:val="002060"/>
          <w:sz w:val="16"/>
          <w:szCs w:val="16"/>
          <w:lang w:val="en-US"/>
        </w:rPr>
        <w:t>Siemens</w:t>
      </w:r>
      <w:r w:rsidRPr="00405303">
        <w:rPr>
          <w:bCs/>
          <w:color w:val="002060"/>
          <w:sz w:val="16"/>
          <w:szCs w:val="16"/>
        </w:rPr>
        <w:t>-</w:t>
      </w:r>
      <w:r w:rsidRPr="00405303">
        <w:rPr>
          <w:bCs/>
          <w:color w:val="002060"/>
          <w:sz w:val="16"/>
          <w:szCs w:val="16"/>
          <w:lang w:val="en-US"/>
        </w:rPr>
        <w:t>Schuckert</w:t>
      </w:r>
      <w:r w:rsidRPr="00405303">
        <w:rPr>
          <w:bCs/>
          <w:color w:val="002060"/>
          <w:sz w:val="16"/>
          <w:szCs w:val="16"/>
        </w:rPr>
        <w:t xml:space="preserve"> </w:t>
      </w:r>
      <w:r w:rsidRPr="00405303">
        <w:rPr>
          <w:bCs/>
          <w:color w:val="002060"/>
          <w:sz w:val="16"/>
          <w:szCs w:val="16"/>
          <w:lang w:val="en-US"/>
        </w:rPr>
        <w:t>GI</w:t>
      </w:r>
      <w:r w:rsidRPr="00405303">
        <w:rPr>
          <w:bCs/>
          <w:color w:val="002060"/>
          <w:sz w:val="16"/>
          <w:szCs w:val="16"/>
        </w:rPr>
        <w:t xml:space="preserve">, позже переименованный в </w:t>
      </w:r>
      <w:r w:rsidRPr="00405303">
        <w:rPr>
          <w:bCs/>
          <w:color w:val="002060"/>
          <w:sz w:val="16"/>
          <w:szCs w:val="16"/>
          <w:lang w:val="en-US"/>
        </w:rPr>
        <w:t>Siemens</w:t>
      </w:r>
      <w:r w:rsidRPr="00405303">
        <w:rPr>
          <w:bCs/>
          <w:color w:val="002060"/>
          <w:sz w:val="16"/>
          <w:szCs w:val="16"/>
        </w:rPr>
        <w:t>-</w:t>
      </w:r>
      <w:r w:rsidRPr="00405303">
        <w:rPr>
          <w:bCs/>
          <w:color w:val="002060"/>
          <w:sz w:val="16"/>
          <w:szCs w:val="16"/>
          <w:lang w:val="en-US"/>
        </w:rPr>
        <w:t>Schuckert</w:t>
      </w:r>
      <w:r w:rsidRPr="00405303">
        <w:rPr>
          <w:bCs/>
          <w:color w:val="002060"/>
          <w:sz w:val="16"/>
          <w:szCs w:val="16"/>
        </w:rPr>
        <w:t xml:space="preserve"> </w:t>
      </w:r>
      <w:r w:rsidRPr="00405303">
        <w:rPr>
          <w:bCs/>
          <w:color w:val="002060"/>
          <w:sz w:val="16"/>
          <w:szCs w:val="16"/>
          <w:lang w:val="en-US"/>
        </w:rPr>
        <w:t>RI</w:t>
      </w:r>
      <w:r w:rsidRPr="00405303">
        <w:rPr>
          <w:bCs/>
          <w:color w:val="002060"/>
          <w:sz w:val="16"/>
          <w:szCs w:val="16"/>
        </w:rPr>
        <w:t xml:space="preserve"> (20338).</w:t>
      </w:r>
    </w:p>
    <w:p w14:paraId="30CE3023" w14:textId="77777777" w:rsidR="002E3922" w:rsidRPr="00405303" w:rsidRDefault="002E3922" w:rsidP="00C15251">
      <w:pPr>
        <w:jc w:val="both"/>
        <w:rPr>
          <w:bCs/>
          <w:color w:val="002060"/>
          <w:sz w:val="16"/>
          <w:szCs w:val="16"/>
        </w:rPr>
      </w:pPr>
    </w:p>
    <w:p w14:paraId="711975AB" w14:textId="77777777" w:rsidR="002E3922" w:rsidRPr="00405303" w:rsidRDefault="002E3922" w:rsidP="00C15251">
      <w:pPr>
        <w:jc w:val="both"/>
        <w:rPr>
          <w:bCs/>
          <w:color w:val="002060"/>
          <w:sz w:val="16"/>
          <w:szCs w:val="16"/>
        </w:rPr>
      </w:pPr>
      <w:r w:rsidRPr="00405303">
        <w:rPr>
          <w:bCs/>
          <w:color w:val="002060"/>
          <w:sz w:val="16"/>
          <w:szCs w:val="16"/>
        </w:rPr>
        <w:t xml:space="preserve">11 (24 мая) 1915 впервые поднялся в воздух </w:t>
      </w:r>
      <w:r w:rsidRPr="00405303">
        <w:rPr>
          <w:bCs/>
          <w:color w:val="002060"/>
          <w:sz w:val="16"/>
          <w:szCs w:val="16"/>
          <w:lang w:val="en-US"/>
        </w:rPr>
        <w:t>Siemens</w:t>
      </w:r>
      <w:r w:rsidRPr="00405303">
        <w:rPr>
          <w:bCs/>
          <w:color w:val="002060"/>
          <w:sz w:val="16"/>
          <w:szCs w:val="16"/>
        </w:rPr>
        <w:t>-</w:t>
      </w:r>
      <w:r w:rsidRPr="00405303">
        <w:rPr>
          <w:bCs/>
          <w:color w:val="002060"/>
          <w:sz w:val="16"/>
          <w:szCs w:val="16"/>
          <w:lang w:val="en-US"/>
        </w:rPr>
        <w:t>Schuckert</w:t>
      </w:r>
      <w:r w:rsidRPr="00405303">
        <w:rPr>
          <w:bCs/>
          <w:color w:val="002060"/>
          <w:sz w:val="16"/>
          <w:szCs w:val="16"/>
        </w:rPr>
        <w:t xml:space="preserve"> </w:t>
      </w:r>
      <w:r w:rsidRPr="00405303">
        <w:rPr>
          <w:bCs/>
          <w:color w:val="002060"/>
          <w:sz w:val="16"/>
          <w:szCs w:val="16"/>
          <w:lang w:val="en-US"/>
        </w:rPr>
        <w:t>GI</w:t>
      </w:r>
      <w:r w:rsidRPr="00405303">
        <w:rPr>
          <w:bCs/>
          <w:color w:val="002060"/>
          <w:sz w:val="16"/>
          <w:szCs w:val="16"/>
        </w:rPr>
        <w:t xml:space="preserve">, позже переименованный в </w:t>
      </w:r>
      <w:r w:rsidRPr="00405303">
        <w:rPr>
          <w:bCs/>
          <w:color w:val="002060"/>
          <w:sz w:val="16"/>
          <w:szCs w:val="16"/>
          <w:lang w:val="en-US"/>
        </w:rPr>
        <w:t>Siemens</w:t>
      </w:r>
      <w:r w:rsidRPr="00405303">
        <w:rPr>
          <w:bCs/>
          <w:color w:val="002060"/>
          <w:sz w:val="16"/>
          <w:szCs w:val="16"/>
        </w:rPr>
        <w:t>-</w:t>
      </w:r>
      <w:r w:rsidRPr="00405303">
        <w:rPr>
          <w:bCs/>
          <w:color w:val="002060"/>
          <w:sz w:val="16"/>
          <w:szCs w:val="16"/>
          <w:lang w:val="en-US"/>
        </w:rPr>
        <w:t>Schuckert</w:t>
      </w:r>
      <w:r w:rsidRPr="00405303">
        <w:rPr>
          <w:bCs/>
          <w:color w:val="002060"/>
          <w:sz w:val="16"/>
          <w:szCs w:val="16"/>
        </w:rPr>
        <w:t xml:space="preserve"> </w:t>
      </w:r>
      <w:r w:rsidRPr="00405303">
        <w:rPr>
          <w:bCs/>
          <w:color w:val="002060"/>
          <w:sz w:val="16"/>
          <w:szCs w:val="16"/>
          <w:lang w:val="en-US"/>
        </w:rPr>
        <w:t>RI</w:t>
      </w:r>
      <w:r w:rsidRPr="00405303">
        <w:rPr>
          <w:bCs/>
          <w:color w:val="002060"/>
          <w:sz w:val="16"/>
          <w:szCs w:val="16"/>
        </w:rPr>
        <w:t>.</w:t>
      </w:r>
    </w:p>
    <w:p w14:paraId="78C421D8" w14:textId="77777777" w:rsidR="002E3922" w:rsidRPr="00405303" w:rsidRDefault="002E3922" w:rsidP="00C15251">
      <w:pPr>
        <w:jc w:val="both"/>
        <w:rPr>
          <w:bCs/>
          <w:color w:val="002060"/>
          <w:sz w:val="16"/>
          <w:szCs w:val="16"/>
        </w:rPr>
      </w:pPr>
      <w:r w:rsidRPr="00405303">
        <w:rPr>
          <w:bCs/>
          <w:color w:val="002060"/>
          <w:sz w:val="16"/>
          <w:szCs w:val="16"/>
        </w:rPr>
        <w:t>Большой многостоечный биплан имел фюзеляж, состоящий из носовой гондолы с кабиной экипажа и мотоустановкой за ней, далее фюзеляж разделялся на в две расположенные друг над другом хвостовые балки, связанные килем – по замыслу конструктора они должны были образовать замкнутую раму, хорошо воспринимающую нагрузки от горизонтального оперения. Три рядных 6-цилиндровых мотора жидкостного охлаждения Бенц Bz III по 150 л.с. поставили в фюзеляже, а вращающий момент от них на два винта на крыльях передавался через объединительные муфты, редукторы и валы.</w:t>
      </w:r>
    </w:p>
    <w:p w14:paraId="17535E12" w14:textId="544EF9A6" w:rsidR="002E3922" w:rsidRPr="00405303" w:rsidRDefault="002E3922" w:rsidP="00C15251">
      <w:pPr>
        <w:jc w:val="both"/>
        <w:rPr>
          <w:bCs/>
          <w:color w:val="002060"/>
          <w:sz w:val="16"/>
          <w:szCs w:val="16"/>
        </w:rPr>
      </w:pPr>
      <w:r w:rsidRPr="00405303">
        <w:rPr>
          <w:bCs/>
          <w:color w:val="002060"/>
          <w:sz w:val="16"/>
          <w:szCs w:val="16"/>
        </w:rPr>
        <w:t>На испытаниях сделали 24 полета, которые показали, что двигатели имеют недостаточную мощность, а трансмиссия слишком сложна и отличается низким КПД. Тем не менее, 26 июля 1915 г. Сименс-Шукерт R I был принят заказчиком на аэродроме Добериц на востоке Германии, где была развернута подготовка летчиков тяжелой авиации. По итогам официальных испытаний было установлено, что он как бомбардировщик применяться не может, и летом 1915 г. его передали 31-му разведывательному авиаотряду в Слониме на Восточном фронте в оккупированной Гродненской губернии Белоруссии.</w:t>
      </w:r>
      <w:r w:rsidR="000F5756">
        <w:rPr>
          <w:bCs/>
          <w:color w:val="002060"/>
          <w:sz w:val="16"/>
          <w:szCs w:val="16"/>
        </w:rPr>
        <w:t xml:space="preserve"> </w:t>
      </w:r>
      <w:r w:rsidRPr="00405303">
        <w:rPr>
          <w:bCs/>
          <w:color w:val="002060"/>
          <w:sz w:val="16"/>
          <w:szCs w:val="16"/>
        </w:rPr>
        <w:t xml:space="preserve"> Однако из-за постоянных неисправностей и эту службу самолет-гигант нести не смог, а в августе 1915 г. был разбит. В марте 1916-го его по железной дороге отправили на ремонт в Берлин, но так и не вернули в строй. Тем не менее, аппарат был зачислен во «Вспомогательный отряд самолетов-гигантов», где числился до конца войны в качестве учебного (23075).</w:t>
      </w:r>
    </w:p>
    <w:p w14:paraId="744CA317" w14:textId="77777777" w:rsidR="002E3922" w:rsidRPr="00405303" w:rsidRDefault="002E3922" w:rsidP="00C15251">
      <w:pPr>
        <w:jc w:val="both"/>
        <w:rPr>
          <w:bCs/>
          <w:color w:val="002060"/>
          <w:sz w:val="16"/>
          <w:szCs w:val="16"/>
        </w:rPr>
      </w:pPr>
    </w:p>
    <w:p w14:paraId="587F8676" w14:textId="3E3DB3B0" w:rsidR="001E3102" w:rsidRPr="00405303" w:rsidRDefault="001E3102" w:rsidP="00C15251">
      <w:pPr>
        <w:jc w:val="both"/>
        <w:rPr>
          <w:bCs/>
          <w:color w:val="002060"/>
          <w:sz w:val="16"/>
          <w:szCs w:val="16"/>
        </w:rPr>
      </w:pPr>
      <w:r w:rsidRPr="00405303">
        <w:rPr>
          <w:bCs/>
          <w:color w:val="002060"/>
          <w:sz w:val="16"/>
          <w:szCs w:val="16"/>
        </w:rPr>
        <w:t>11 (24) мая 1915 года состоялся первый полет SSW R.I под управ</w:t>
      </w:r>
      <w:r w:rsidRPr="00405303">
        <w:rPr>
          <w:bCs/>
          <w:color w:val="002060"/>
          <w:sz w:val="16"/>
          <w:szCs w:val="16"/>
        </w:rPr>
        <w:softHyphen/>
        <w:t>лением Бруно и Франца Штеффенов. Как потом вспоминал Бруно Штеффен, «через не</w:t>
      </w:r>
      <w:r w:rsidRPr="00405303">
        <w:rPr>
          <w:bCs/>
          <w:color w:val="002060"/>
          <w:sz w:val="16"/>
          <w:szCs w:val="16"/>
        </w:rPr>
        <w:softHyphen/>
        <w:t>сколько минут после взлета мы поняли, что R.I надежный самолет: он прочно сидел в воздухе и показывал отсутствие инертности в любой плоскости». Из не</w:t>
      </w:r>
      <w:r w:rsidRPr="00405303">
        <w:rPr>
          <w:bCs/>
          <w:color w:val="002060"/>
          <w:sz w:val="16"/>
          <w:szCs w:val="16"/>
        </w:rPr>
        <w:softHyphen/>
        <w:t>достатков был отмечен сильный нагрев редуктора, для устранения которого вве</w:t>
      </w:r>
      <w:r w:rsidRPr="00405303">
        <w:rPr>
          <w:bCs/>
          <w:color w:val="002060"/>
          <w:sz w:val="16"/>
          <w:szCs w:val="16"/>
        </w:rPr>
        <w:softHyphen/>
        <w:t>ли систему принудительной циркуляции масла.</w:t>
      </w:r>
    </w:p>
    <w:p w14:paraId="2F563A14" w14:textId="77777777" w:rsidR="001E3102" w:rsidRPr="00405303" w:rsidRDefault="001E3102" w:rsidP="00C15251">
      <w:pPr>
        <w:jc w:val="both"/>
        <w:rPr>
          <w:bCs/>
          <w:color w:val="002060"/>
          <w:sz w:val="16"/>
          <w:szCs w:val="16"/>
        </w:rPr>
      </w:pPr>
      <w:r w:rsidRPr="00405303">
        <w:rPr>
          <w:bCs/>
          <w:color w:val="002060"/>
          <w:sz w:val="16"/>
          <w:szCs w:val="16"/>
        </w:rPr>
        <w:t>Главной особен</w:t>
      </w:r>
      <w:r w:rsidRPr="00405303">
        <w:rPr>
          <w:bCs/>
          <w:color w:val="002060"/>
          <w:sz w:val="16"/>
          <w:szCs w:val="16"/>
        </w:rPr>
        <w:softHyphen/>
        <w:t>ностью SSW R.I было центральное расположение силовой установки: три шестицилиндровых мотора «Бенц» Bz.HI мощностью по 150 л.с. были уста</w:t>
      </w:r>
      <w:r w:rsidRPr="00405303">
        <w:rPr>
          <w:bCs/>
          <w:color w:val="002060"/>
          <w:sz w:val="16"/>
          <w:szCs w:val="16"/>
        </w:rPr>
        <w:softHyphen/>
        <w:t>новлены в фюзеляже. «Изюминкой» конструкции был один, общий на все три мотора, редуктор. Это выгодно отличало силовую установку братьев Штеффен от других немецких машин с отдельным редуктором на каждый мотор. Несмотря на наличие восьми конических зубчатых пар, редуктор SSW R.I получился до</w:t>
      </w:r>
      <w:r w:rsidRPr="00405303">
        <w:rPr>
          <w:bCs/>
          <w:color w:val="002060"/>
          <w:sz w:val="16"/>
          <w:szCs w:val="16"/>
        </w:rPr>
        <w:softHyphen/>
        <w:t>вольно компактным и легким, но в то же время достаточно надежным.</w:t>
      </w:r>
    </w:p>
    <w:p w14:paraId="19FEE99C" w14:textId="77777777" w:rsidR="001E3102" w:rsidRPr="00405303" w:rsidRDefault="001E3102" w:rsidP="00C15251">
      <w:pPr>
        <w:jc w:val="both"/>
        <w:rPr>
          <w:bCs/>
          <w:color w:val="002060"/>
          <w:sz w:val="16"/>
          <w:szCs w:val="16"/>
        </w:rPr>
      </w:pPr>
      <w:r w:rsidRPr="00405303">
        <w:rPr>
          <w:bCs/>
          <w:color w:val="002060"/>
          <w:sz w:val="16"/>
          <w:szCs w:val="16"/>
        </w:rPr>
        <w:t>Два мотора располагались рядом в но</w:t>
      </w:r>
      <w:r w:rsidRPr="00405303">
        <w:rPr>
          <w:bCs/>
          <w:color w:val="002060"/>
          <w:sz w:val="16"/>
          <w:szCs w:val="16"/>
        </w:rPr>
        <w:softHyphen/>
        <w:t>совой части самолета маховиком назад, а третий мотор - под кабиной пилотов маховиком вперед. По бокам от третье</w:t>
      </w:r>
      <w:r w:rsidRPr="00405303">
        <w:rPr>
          <w:bCs/>
          <w:color w:val="002060"/>
          <w:sz w:val="16"/>
          <w:szCs w:val="16"/>
        </w:rPr>
        <w:softHyphen/>
        <w:t>го мотора находились цилиндрические топливные баки. Моторы соединялись с редуктором короткими приводными валами с муфтами сцепления. Муфты были центробежными, но имели также принудительную блокировку. Рычаги управления муфтами сцепления были установлены в кабине пилотов, но позд</w:t>
      </w:r>
      <w:r w:rsidRPr="00405303">
        <w:rPr>
          <w:bCs/>
          <w:color w:val="002060"/>
          <w:sz w:val="16"/>
          <w:szCs w:val="16"/>
        </w:rPr>
        <w:softHyphen/>
        <w:t>нее их перенесли в машинное отделение. Это позволяло мотористу следить за температурой муфт и вовремя отклю</w:t>
      </w:r>
      <w:r w:rsidRPr="00405303">
        <w:rPr>
          <w:bCs/>
          <w:color w:val="002060"/>
          <w:sz w:val="16"/>
          <w:szCs w:val="16"/>
        </w:rPr>
        <w:softHyphen/>
        <w:t>чать их при перегреве. Обычно самолет взлетал с заблокированными муфтами сцепления, после чего блокировки сни</w:t>
      </w:r>
      <w:r w:rsidRPr="00405303">
        <w:rPr>
          <w:bCs/>
          <w:color w:val="002060"/>
          <w:sz w:val="16"/>
          <w:szCs w:val="16"/>
        </w:rPr>
        <w:softHyphen/>
        <w:t>мались, и передача крутящего момента осуществлялась центробежными муфта</w:t>
      </w:r>
      <w:r w:rsidRPr="00405303">
        <w:rPr>
          <w:bCs/>
          <w:color w:val="002060"/>
          <w:sz w:val="16"/>
          <w:szCs w:val="16"/>
        </w:rPr>
        <w:softHyphen/>
        <w:t>ми так, что при падении оборотов одного из моторов он автоматически отключался от трансмиссии. На двух моторах само</w:t>
      </w:r>
      <w:r w:rsidRPr="00405303">
        <w:rPr>
          <w:bCs/>
          <w:color w:val="002060"/>
          <w:sz w:val="16"/>
          <w:szCs w:val="16"/>
        </w:rPr>
        <w:softHyphen/>
        <w:t>лет мог продолжать горизонтальный по</w:t>
      </w:r>
      <w:r w:rsidRPr="00405303">
        <w:rPr>
          <w:bCs/>
          <w:color w:val="002060"/>
          <w:sz w:val="16"/>
          <w:szCs w:val="16"/>
        </w:rPr>
        <w:softHyphen/>
        <w:t>лет, правда, без бомбовой нагрузки. Три плоских радиатора системы охлаждения эта стрелковая точка стояла не на всех машинах. Силовая установка SSW R.I занимали всю носовую часть машинного отделения. Передача крутящего момента на винты осуществлялась поперечными карданны</w:t>
      </w:r>
      <w:r w:rsidRPr="00405303">
        <w:rPr>
          <w:bCs/>
          <w:color w:val="002060"/>
          <w:sz w:val="16"/>
          <w:szCs w:val="16"/>
        </w:rPr>
        <w:softHyphen/>
        <w:t>ми валами и коническими редукторами, по одному на каждый винт. Общее пере</w:t>
      </w:r>
      <w:r w:rsidRPr="00405303">
        <w:rPr>
          <w:bCs/>
          <w:color w:val="002060"/>
          <w:sz w:val="16"/>
          <w:szCs w:val="16"/>
        </w:rPr>
        <w:softHyphen/>
        <w:t>даточное отношение трансмиссии со</w:t>
      </w:r>
      <w:r w:rsidRPr="00405303">
        <w:rPr>
          <w:bCs/>
          <w:color w:val="002060"/>
          <w:sz w:val="16"/>
          <w:szCs w:val="16"/>
        </w:rPr>
        <w:softHyphen/>
        <w:t>ставляло приблизительно 0,6. Редукция позволила применить противоположно вращающиеся винты большого диаметра с повышенным КПД.</w:t>
      </w:r>
    </w:p>
    <w:p w14:paraId="6354BF11" w14:textId="77777777" w:rsidR="001E3102" w:rsidRPr="00405303" w:rsidRDefault="001E3102" w:rsidP="00C15251">
      <w:pPr>
        <w:jc w:val="both"/>
        <w:rPr>
          <w:bCs/>
          <w:color w:val="002060"/>
          <w:sz w:val="16"/>
          <w:szCs w:val="16"/>
        </w:rPr>
      </w:pPr>
      <w:r w:rsidRPr="00405303">
        <w:rPr>
          <w:bCs/>
          <w:color w:val="002060"/>
          <w:sz w:val="16"/>
          <w:szCs w:val="16"/>
        </w:rPr>
        <w:t>Еще одной особенностью машины братьев Штеффен, никогда не встречав</w:t>
      </w:r>
      <w:r w:rsidRPr="00405303">
        <w:rPr>
          <w:bCs/>
          <w:color w:val="002060"/>
          <w:sz w:val="16"/>
          <w:szCs w:val="16"/>
        </w:rPr>
        <w:softHyphen/>
        <w:t xml:space="preserve">шейся больше в других самолетах, стала необычно раздвоенная хвостовая часть фюзеляжа, напоминающая вертикально поставленный ласточкин хвост. Это был, собственно, двухбалочный фюзеляж, но балки располагались не горизонтально, как обычно, а </w:t>
      </w:r>
      <w:r w:rsidRPr="00405303">
        <w:rPr>
          <w:bCs/>
          <w:color w:val="002060"/>
          <w:sz w:val="16"/>
          <w:szCs w:val="16"/>
        </w:rPr>
        <w:lastRenderedPageBreak/>
        <w:t>вертикально. Историки ави</w:t>
      </w:r>
      <w:r w:rsidRPr="00405303">
        <w:rPr>
          <w:bCs/>
          <w:color w:val="002060"/>
          <w:sz w:val="16"/>
          <w:szCs w:val="16"/>
        </w:rPr>
        <w:softHyphen/>
        <w:t>ации так и не пришли к единому мнению, зачем такое было нужно. Многие счита</w:t>
      </w:r>
      <w:r w:rsidRPr="00405303">
        <w:rPr>
          <w:bCs/>
          <w:color w:val="002060"/>
          <w:sz w:val="16"/>
          <w:szCs w:val="16"/>
        </w:rPr>
        <w:softHyphen/>
        <w:t>ют, что это увеличивало углы обстрела пулемета, устанавливавшегося в месте пересечения хвостовых балок.</w:t>
      </w:r>
    </w:p>
    <w:p w14:paraId="4532CE43" w14:textId="77777777" w:rsidR="001E3102" w:rsidRPr="00405303" w:rsidRDefault="001E3102" w:rsidP="00C15251">
      <w:pPr>
        <w:jc w:val="both"/>
        <w:rPr>
          <w:bCs/>
          <w:color w:val="002060"/>
          <w:sz w:val="16"/>
          <w:szCs w:val="16"/>
        </w:rPr>
      </w:pPr>
      <w:r w:rsidRPr="00405303">
        <w:rPr>
          <w:bCs/>
          <w:color w:val="002060"/>
          <w:sz w:val="16"/>
          <w:szCs w:val="16"/>
        </w:rPr>
        <w:t>Необычная схема фюзеляжа SSW R.I имеет существенные компо</w:t>
      </w:r>
      <w:r w:rsidRPr="00405303">
        <w:rPr>
          <w:bCs/>
          <w:color w:val="002060"/>
          <w:sz w:val="16"/>
          <w:szCs w:val="16"/>
        </w:rPr>
        <w:softHyphen/>
        <w:t>новочные преимущества. Все тяжелые элементы самолета, такие как силовая установка, топливные баки, кабина пи</w:t>
      </w:r>
      <w:r w:rsidRPr="00405303">
        <w:rPr>
          <w:bCs/>
          <w:color w:val="002060"/>
          <w:sz w:val="16"/>
          <w:szCs w:val="16"/>
        </w:rPr>
        <w:softHyphen/>
        <w:t>лотов и штурмана, бомбовая нагрузка, пулеметные точки, размещены в два эта</w:t>
      </w:r>
      <w:r w:rsidRPr="00405303">
        <w:rPr>
          <w:bCs/>
          <w:color w:val="002060"/>
          <w:sz w:val="16"/>
          <w:szCs w:val="16"/>
        </w:rPr>
        <w:softHyphen/>
        <w:t>жа в районе его центра масс. При этом центральная часть фюзеляжа занимает всю высоту коробки крыльев, а пилоты имеют отличный обзор поверх машинного отделения. Позади кабины пилотов фю</w:t>
      </w:r>
      <w:r w:rsidRPr="00405303">
        <w:rPr>
          <w:bCs/>
          <w:color w:val="002060"/>
          <w:sz w:val="16"/>
          <w:szCs w:val="16"/>
        </w:rPr>
        <w:softHyphen/>
        <w:t>зеляж плавно переходит в две довольно тонкие хвостовые балки треугольного сечения, как известно, оптимального с точки зрения прочности. Таким образом, все жизненно важные части самолета, как и его экипаж, сосредоточенны в одном месте, а остальной фюзеляж невелик по объему и «не возит воздух». Конструкция фюзеляжа была выполнена из расчален</w:t>
      </w:r>
      <w:r w:rsidRPr="00405303">
        <w:rPr>
          <w:bCs/>
          <w:color w:val="002060"/>
          <w:sz w:val="16"/>
          <w:szCs w:val="16"/>
        </w:rPr>
        <w:softHyphen/>
        <w:t>ных стальных труб, покрытых полотном, за исключением носовой части, где ис</w:t>
      </w:r>
      <w:r w:rsidRPr="00405303">
        <w:rPr>
          <w:bCs/>
          <w:color w:val="002060"/>
          <w:sz w:val="16"/>
          <w:szCs w:val="16"/>
        </w:rPr>
        <w:softHyphen/>
        <w:t>пользовались несколько алюминиевых панелей.</w:t>
      </w:r>
    </w:p>
    <w:p w14:paraId="491FA712" w14:textId="77777777" w:rsidR="001E3102" w:rsidRPr="00405303" w:rsidRDefault="001E3102" w:rsidP="00C15251">
      <w:pPr>
        <w:jc w:val="both"/>
        <w:rPr>
          <w:bCs/>
          <w:color w:val="002060"/>
          <w:sz w:val="16"/>
          <w:szCs w:val="16"/>
        </w:rPr>
      </w:pPr>
      <w:r w:rsidRPr="00405303">
        <w:rPr>
          <w:bCs/>
          <w:color w:val="002060"/>
          <w:sz w:val="16"/>
          <w:szCs w:val="16"/>
        </w:rPr>
        <w:t>Интересна и система управления самолетом. Все управляющие поверхно</w:t>
      </w:r>
      <w:r w:rsidRPr="00405303">
        <w:rPr>
          <w:bCs/>
          <w:color w:val="002060"/>
          <w:sz w:val="16"/>
          <w:szCs w:val="16"/>
        </w:rPr>
        <w:softHyphen/>
        <w:t>сти - элероны, руль направления и рули высоты, приводятся в движение неболь</w:t>
      </w:r>
      <w:r w:rsidRPr="00405303">
        <w:rPr>
          <w:bCs/>
          <w:color w:val="002060"/>
          <w:sz w:val="16"/>
          <w:szCs w:val="16"/>
        </w:rPr>
        <w:softHyphen/>
        <w:t>шими вспомогательными поверхностя</w:t>
      </w:r>
      <w:r w:rsidRPr="00405303">
        <w:rPr>
          <w:bCs/>
          <w:color w:val="002060"/>
          <w:sz w:val="16"/>
          <w:szCs w:val="16"/>
        </w:rPr>
        <w:softHyphen/>
        <w:t>ми - серворулями. Серворули элеронов, установленных только на верхнем крыле, располагались между верхним и нижним крылом, а хвостовые серворули - по обе стороны от руля направления. В резуль</w:t>
      </w:r>
      <w:r w:rsidRPr="00405303">
        <w:rPr>
          <w:bCs/>
          <w:color w:val="002060"/>
          <w:sz w:val="16"/>
          <w:szCs w:val="16"/>
        </w:rPr>
        <w:softHyphen/>
        <w:t>тате, по отзывам пилотов, тяжелый бом</w:t>
      </w:r>
      <w:r w:rsidRPr="00405303">
        <w:rPr>
          <w:bCs/>
          <w:color w:val="002060"/>
          <w:sz w:val="16"/>
          <w:szCs w:val="16"/>
        </w:rPr>
        <w:softHyphen/>
        <w:t>бардировщик управлялся так же легко, как двухместный одномоторный самолет. Жаловались только на недостаточную площадь руля направления, что затруд</w:t>
      </w:r>
      <w:r w:rsidRPr="00405303">
        <w:rPr>
          <w:bCs/>
          <w:color w:val="002060"/>
          <w:sz w:val="16"/>
          <w:szCs w:val="16"/>
        </w:rPr>
        <w:softHyphen/>
        <w:t>няло «плоские» развороты. В последней версии SSW R.VII этот недостаток был исправлен.</w:t>
      </w:r>
    </w:p>
    <w:p w14:paraId="5E59495C" w14:textId="77777777" w:rsidR="001E3102" w:rsidRPr="00405303" w:rsidRDefault="001E3102" w:rsidP="00C15251">
      <w:pPr>
        <w:jc w:val="both"/>
        <w:rPr>
          <w:bCs/>
          <w:color w:val="002060"/>
          <w:sz w:val="16"/>
          <w:szCs w:val="16"/>
        </w:rPr>
      </w:pPr>
      <w:r w:rsidRPr="00405303">
        <w:rPr>
          <w:bCs/>
          <w:color w:val="002060"/>
          <w:sz w:val="16"/>
          <w:szCs w:val="16"/>
        </w:rPr>
        <w:t>Деревянная бипланная коробка крыльев состояла из центроплана с силовыми рамами для винтов и кон</w:t>
      </w:r>
      <w:r w:rsidRPr="00405303">
        <w:rPr>
          <w:bCs/>
          <w:color w:val="002060"/>
          <w:sz w:val="16"/>
          <w:szCs w:val="16"/>
        </w:rPr>
        <w:softHyphen/>
        <w:t>солей с небольшой стреловидностью, стыковавшихся между собой на болтах. Это позволяло при ремонте самолетов устанавливать одну-две дополнительные секции бипланной коробки и, тем самым, повышать грузоподъемность и потолок путем наращивания размаха крыльев с 28 до 34-38 м.</w:t>
      </w:r>
    </w:p>
    <w:p w14:paraId="226036E0" w14:textId="77777777" w:rsidR="001E3102" w:rsidRPr="00405303" w:rsidRDefault="001E3102" w:rsidP="00C15251">
      <w:pPr>
        <w:jc w:val="both"/>
        <w:rPr>
          <w:bCs/>
          <w:color w:val="002060"/>
          <w:sz w:val="16"/>
          <w:szCs w:val="16"/>
        </w:rPr>
      </w:pPr>
      <w:r w:rsidRPr="00405303">
        <w:rPr>
          <w:bCs/>
          <w:color w:val="002060"/>
          <w:sz w:val="16"/>
          <w:szCs w:val="16"/>
        </w:rPr>
        <w:t>Экипаж корабля обычно составляли четыре человека: два пилота, штурман и механик-моторист. Старшим по званию и командиром корабля всегда был штур</w:t>
      </w:r>
      <w:r w:rsidRPr="00405303">
        <w:rPr>
          <w:bCs/>
          <w:color w:val="002060"/>
          <w:sz w:val="16"/>
          <w:szCs w:val="16"/>
        </w:rPr>
        <w:softHyphen/>
        <w:t>ман. Пилоты и штурман размещались в общей кабине, расположенной над задним мотором, а моторист - в машин</w:t>
      </w:r>
      <w:r w:rsidRPr="00405303">
        <w:rPr>
          <w:bCs/>
          <w:color w:val="002060"/>
          <w:sz w:val="16"/>
          <w:szCs w:val="16"/>
        </w:rPr>
        <w:softHyphen/>
        <w:t>ном отделении. На первом самолете R.I кабина пилотов была открытой, на после</w:t>
      </w:r>
      <w:r w:rsidRPr="00405303">
        <w:rPr>
          <w:bCs/>
          <w:color w:val="002060"/>
          <w:sz w:val="16"/>
          <w:szCs w:val="16"/>
        </w:rPr>
        <w:softHyphen/>
        <w:t>дующих появились открывающиеся окна из целлона (разновидность целлулоида) и дополнительное рабочее место для штурмана в носу самолета, откуда он вел прицеливание при бомбометании. При установке радиостанции, что случалось нечасто, в состав экипажа дополнительно включался радист.</w:t>
      </w:r>
    </w:p>
    <w:p w14:paraId="6025EACB" w14:textId="77777777" w:rsidR="001E3102" w:rsidRPr="00405303" w:rsidRDefault="001E3102" w:rsidP="00C15251">
      <w:pPr>
        <w:jc w:val="both"/>
        <w:rPr>
          <w:bCs/>
          <w:color w:val="002060"/>
          <w:sz w:val="16"/>
          <w:szCs w:val="16"/>
        </w:rPr>
      </w:pPr>
      <w:r w:rsidRPr="00405303">
        <w:rPr>
          <w:bCs/>
          <w:color w:val="002060"/>
          <w:sz w:val="16"/>
          <w:szCs w:val="16"/>
        </w:rPr>
        <w:t>В боевых условиях бомбардировщики вооружались двумя-тремя пулеметами калибра 7,92 мм. Носовой устанавли</w:t>
      </w:r>
      <w:r w:rsidRPr="00405303">
        <w:rPr>
          <w:bCs/>
          <w:color w:val="002060"/>
          <w:sz w:val="16"/>
          <w:szCs w:val="16"/>
        </w:rPr>
        <w:softHyphen/>
        <w:t>вался сверху носовой части машинного отделения. Огонь из него вел моторист. Второй пулемет размещался в вырезе верхнего крыла и обслуживался штурма</w:t>
      </w:r>
      <w:r w:rsidRPr="00405303">
        <w:rPr>
          <w:bCs/>
          <w:color w:val="002060"/>
          <w:sz w:val="16"/>
          <w:szCs w:val="16"/>
        </w:rPr>
        <w:softHyphen/>
        <w:t>ном. На некоторых машинах устанавли</w:t>
      </w:r>
      <w:r w:rsidRPr="00405303">
        <w:rPr>
          <w:bCs/>
          <w:color w:val="002060"/>
          <w:sz w:val="16"/>
          <w:szCs w:val="16"/>
        </w:rPr>
        <w:softHyphen/>
        <w:t>вался третий пулемет позади кабины в месте «раздвоения» фюзеляжа. По вос</w:t>
      </w:r>
      <w:r w:rsidRPr="00405303">
        <w:rPr>
          <w:bCs/>
          <w:color w:val="002060"/>
          <w:sz w:val="16"/>
          <w:szCs w:val="16"/>
        </w:rPr>
        <w:softHyphen/>
        <w:t>поминаниям летчиков, стрелковое воору</w:t>
      </w:r>
      <w:r w:rsidRPr="00405303">
        <w:rPr>
          <w:bCs/>
          <w:color w:val="002060"/>
          <w:sz w:val="16"/>
          <w:szCs w:val="16"/>
        </w:rPr>
        <w:softHyphen/>
        <w:t>жение было почти бесполезным, так как немногочисленный экипаж был слишком занят своими основными обязанностями, не успевая следить за небом и вести огонь из пулеметов. Поэтому в дневных боевых вылетах SSW обычно сопрово</w:t>
      </w:r>
      <w:r w:rsidRPr="00405303">
        <w:rPr>
          <w:bCs/>
          <w:color w:val="002060"/>
          <w:sz w:val="16"/>
          <w:szCs w:val="16"/>
        </w:rPr>
        <w:softHyphen/>
        <w:t>ждали один-два «Альбатроса» (23543).</w:t>
      </w:r>
    </w:p>
    <w:p w14:paraId="29AD4929" w14:textId="77777777" w:rsidR="001E3102" w:rsidRPr="00405303" w:rsidRDefault="001E3102" w:rsidP="00C15251">
      <w:pPr>
        <w:jc w:val="both"/>
        <w:rPr>
          <w:bCs/>
          <w:color w:val="002060"/>
          <w:sz w:val="16"/>
          <w:szCs w:val="16"/>
        </w:rPr>
      </w:pPr>
    </w:p>
    <w:p w14:paraId="230612DE" w14:textId="77777777" w:rsidR="002E3922" w:rsidRPr="00405303" w:rsidRDefault="002E3922" w:rsidP="00C15251">
      <w:pPr>
        <w:shd w:val="clear" w:color="auto" w:fill="FFFFFF"/>
        <w:jc w:val="both"/>
        <w:rPr>
          <w:bCs/>
          <w:i/>
          <w:color w:val="002060"/>
          <w:sz w:val="16"/>
          <w:szCs w:val="16"/>
        </w:rPr>
      </w:pPr>
      <w:r w:rsidRPr="00405303">
        <w:rPr>
          <w:bCs/>
          <w:i/>
          <w:color w:val="002060"/>
          <w:sz w:val="16"/>
          <w:szCs w:val="16"/>
        </w:rPr>
        <w:t>Авиация и воздухоплавание за рубежом:</w:t>
      </w:r>
    </w:p>
    <w:p w14:paraId="3B0E8280" w14:textId="77777777" w:rsidR="002E3922" w:rsidRPr="00405303" w:rsidRDefault="002E3922" w:rsidP="00C15251">
      <w:pPr>
        <w:shd w:val="clear" w:color="auto" w:fill="FFFFFF"/>
        <w:jc w:val="both"/>
        <w:rPr>
          <w:bCs/>
          <w:i/>
          <w:color w:val="002060"/>
          <w:sz w:val="16"/>
          <w:szCs w:val="16"/>
        </w:rPr>
      </w:pPr>
    </w:p>
    <w:p w14:paraId="7AA22F4C" w14:textId="04B4008B" w:rsidR="002E3922" w:rsidRPr="00405303" w:rsidRDefault="002E3922" w:rsidP="00C15251">
      <w:pPr>
        <w:jc w:val="both"/>
        <w:rPr>
          <w:bCs/>
          <w:color w:val="002060"/>
          <w:sz w:val="16"/>
          <w:szCs w:val="16"/>
        </w:rPr>
      </w:pPr>
      <w:r w:rsidRPr="00405303">
        <w:rPr>
          <w:bCs/>
          <w:color w:val="002060"/>
          <w:sz w:val="16"/>
          <w:szCs w:val="16"/>
        </w:rPr>
        <w:t>11 (24) мая 1915 единственный дирижабль Италии, Читта-де-Феррара, бомбит Пола, начиная бомбардировку Австро-Венгрии (20338).</w:t>
      </w:r>
    </w:p>
    <w:p w14:paraId="3AFD7756" w14:textId="77777777" w:rsidR="002E3922" w:rsidRPr="00405303" w:rsidRDefault="002E3922" w:rsidP="00C15251">
      <w:pPr>
        <w:jc w:val="both"/>
        <w:rPr>
          <w:bCs/>
          <w:color w:val="002060"/>
          <w:sz w:val="16"/>
          <w:szCs w:val="16"/>
        </w:rPr>
      </w:pPr>
    </w:p>
    <w:p w14:paraId="5FA29AA1"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7C12FD42" w14:textId="77777777" w:rsidR="004B4E35" w:rsidRPr="00405303" w:rsidRDefault="004B4E35" w:rsidP="00C15251">
      <w:pPr>
        <w:jc w:val="both"/>
        <w:rPr>
          <w:bCs/>
          <w:i/>
          <w:color w:val="002060"/>
          <w:sz w:val="16"/>
          <w:szCs w:val="16"/>
        </w:rPr>
      </w:pPr>
    </w:p>
    <w:p w14:paraId="7F8AC6F5" w14:textId="68CC847A" w:rsidR="004B4E35" w:rsidRPr="00405303" w:rsidRDefault="009E6F82" w:rsidP="00C15251">
      <w:pPr>
        <w:jc w:val="both"/>
        <w:rPr>
          <w:bCs/>
          <w:color w:val="002060"/>
          <w:sz w:val="16"/>
          <w:szCs w:val="16"/>
        </w:rPr>
      </w:pPr>
      <w:r w:rsidRPr="00405303">
        <w:rPr>
          <w:bCs/>
          <w:color w:val="002060"/>
          <w:sz w:val="16"/>
          <w:szCs w:val="16"/>
        </w:rPr>
        <w:t xml:space="preserve">12 </w:t>
      </w:r>
      <w:r w:rsidR="00C2121F" w:rsidRPr="00405303">
        <w:rPr>
          <w:bCs/>
          <w:color w:val="002060"/>
          <w:sz w:val="16"/>
          <w:szCs w:val="16"/>
        </w:rPr>
        <w:t xml:space="preserve">(25) </w:t>
      </w:r>
      <w:r w:rsidRPr="00405303">
        <w:rPr>
          <w:bCs/>
          <w:color w:val="002060"/>
          <w:sz w:val="16"/>
          <w:szCs w:val="16"/>
        </w:rPr>
        <w:t xml:space="preserve">мая </w:t>
      </w:r>
      <w:r w:rsidR="00C2121F" w:rsidRPr="00405303">
        <w:rPr>
          <w:bCs/>
          <w:color w:val="002060"/>
          <w:sz w:val="16"/>
          <w:szCs w:val="16"/>
        </w:rPr>
        <w:t xml:space="preserve">и 28 апреля и </w:t>
      </w:r>
      <w:r w:rsidRPr="00405303">
        <w:rPr>
          <w:bCs/>
          <w:color w:val="002060"/>
          <w:sz w:val="16"/>
          <w:szCs w:val="16"/>
        </w:rPr>
        <w:t xml:space="preserve">1915 г. </w:t>
      </w:r>
      <w:r w:rsidR="00C2121F" w:rsidRPr="00405303">
        <w:rPr>
          <w:bCs/>
          <w:color w:val="002060"/>
          <w:sz w:val="16"/>
          <w:szCs w:val="16"/>
        </w:rPr>
        <w:t xml:space="preserve">Совет министров журналом утвердил первые ассигнования на постройку Нижегородского завода взрывчатых веществ от </w:t>
      </w:r>
      <w:r w:rsidRPr="00405303">
        <w:rPr>
          <w:bCs/>
          <w:color w:val="002060"/>
          <w:sz w:val="16"/>
          <w:szCs w:val="16"/>
        </w:rPr>
        <w:t>(РГВИА. Ф. 29. Оп. 3. Д. 5413. Л. 3об., 4, 79, 335) (11329).</w:t>
      </w:r>
    </w:p>
    <w:p w14:paraId="09FF9A1F" w14:textId="77777777" w:rsidR="004B4E35" w:rsidRPr="00405303" w:rsidRDefault="004B4E35" w:rsidP="00C15251">
      <w:pPr>
        <w:jc w:val="both"/>
        <w:rPr>
          <w:bCs/>
          <w:i/>
          <w:color w:val="002060"/>
          <w:sz w:val="16"/>
          <w:szCs w:val="16"/>
        </w:rPr>
      </w:pPr>
    </w:p>
    <w:p w14:paraId="2DC84724" w14:textId="7C07FA19" w:rsidR="00D340DA" w:rsidRPr="00405303" w:rsidRDefault="00D340DA" w:rsidP="00C15251">
      <w:pPr>
        <w:jc w:val="both"/>
        <w:rPr>
          <w:bCs/>
          <w:color w:val="002060"/>
          <w:sz w:val="16"/>
          <w:szCs w:val="16"/>
        </w:rPr>
      </w:pPr>
      <w:r w:rsidRPr="00405303">
        <w:rPr>
          <w:bCs/>
          <w:color w:val="002060"/>
          <w:sz w:val="16"/>
          <w:szCs w:val="16"/>
        </w:rPr>
        <w:t xml:space="preserve">12 </w:t>
      </w:r>
      <w:r w:rsidR="00C2121F" w:rsidRPr="00405303">
        <w:rPr>
          <w:bCs/>
          <w:color w:val="002060"/>
          <w:sz w:val="16"/>
          <w:szCs w:val="16"/>
        </w:rPr>
        <w:t xml:space="preserve">(25) </w:t>
      </w:r>
      <w:r w:rsidRPr="00405303">
        <w:rPr>
          <w:bCs/>
          <w:color w:val="002060"/>
          <w:sz w:val="16"/>
          <w:szCs w:val="16"/>
        </w:rPr>
        <w:t>мая 1915 г. ГАУ докладывало Военному совету по поводу завода на Суне: «у нас опыта в этом отношении нет» (опыт имелся в Германии, Австрии, Норвегии, США), было признано необходимым «передать постройку и оборудование кислотного завода иностранной фирме с тем, чтобы по установлении производства и по обучении нашего личного состава, предназначенного к управлению заводом, завод был бы передан военному ведомству» (18408).</w:t>
      </w:r>
    </w:p>
    <w:p w14:paraId="775E0C89" w14:textId="77777777" w:rsidR="00D340DA" w:rsidRPr="00405303" w:rsidRDefault="00D340DA" w:rsidP="00C15251">
      <w:pPr>
        <w:jc w:val="both"/>
        <w:rPr>
          <w:bCs/>
          <w:color w:val="002060"/>
          <w:sz w:val="16"/>
          <w:szCs w:val="16"/>
        </w:rPr>
      </w:pPr>
    </w:p>
    <w:p w14:paraId="6E13E984"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0CF24FA3" w14:textId="77777777" w:rsidR="004B4E35" w:rsidRPr="00405303" w:rsidRDefault="004B4E35" w:rsidP="00C15251">
      <w:pPr>
        <w:shd w:val="clear" w:color="auto" w:fill="FFFFFF"/>
        <w:jc w:val="both"/>
        <w:rPr>
          <w:bCs/>
          <w:i/>
          <w:color w:val="002060"/>
          <w:sz w:val="16"/>
          <w:szCs w:val="16"/>
        </w:rPr>
      </w:pPr>
    </w:p>
    <w:p w14:paraId="46E5DC3B" w14:textId="1FB0CDA5"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12 (25) мая 1915 </w:t>
      </w:r>
      <w:r w:rsidR="00C2121F" w:rsidRPr="00405303">
        <w:rPr>
          <w:bCs/>
          <w:i w:val="0"/>
          <w:color w:val="002060"/>
          <w:spacing w:val="0"/>
          <w:kern w:val="0"/>
          <w:position w:val="0"/>
          <w:sz w:val="16"/>
          <w:szCs w:val="16"/>
        </w:rPr>
        <w:t xml:space="preserve">г. </w:t>
      </w:r>
      <w:r w:rsidRPr="00405303">
        <w:rPr>
          <w:bCs/>
          <w:i w:val="0"/>
          <w:color w:val="002060"/>
          <w:spacing w:val="0"/>
          <w:kern w:val="0"/>
          <w:position w:val="0"/>
          <w:sz w:val="16"/>
          <w:szCs w:val="16"/>
        </w:rPr>
        <w:t xml:space="preserve">во время выполнения разведки летнабом 19-го КАО подпоручиком Рудовичем в моторе аппарата произошел взрыв. До линии фронта оставалось 8 верст. Летчик-охотник ефрейтор Лауниц не растерялся и стал планировать под сильным пулеметным и артиллерийским огнем. Ему удалось вывести аппарат из расположения противника и опуститься вблизи наших боевых позиций. Он спас самолет от захвата противником и офицера от плена. Во время планирования ефрейтор Лауниц был ранен в руку с раздроблением кости, но несмотря на это посадил самолет.&gt; Приказом по войскам 5-й армии от 25.05.1915 г. Владимир Лауниц был награжден солдатским Георгиевским крестом 4-й степени (11278). </w:t>
      </w:r>
    </w:p>
    <w:p w14:paraId="7B3EB03A" w14:textId="77777777" w:rsidR="004B4E35" w:rsidRPr="00405303" w:rsidRDefault="004B4E35" w:rsidP="00C15251">
      <w:pPr>
        <w:pStyle w:val="a3"/>
        <w:jc w:val="both"/>
        <w:rPr>
          <w:bCs/>
          <w:i w:val="0"/>
          <w:color w:val="002060"/>
          <w:spacing w:val="0"/>
          <w:kern w:val="0"/>
          <w:position w:val="0"/>
          <w:sz w:val="16"/>
          <w:szCs w:val="16"/>
        </w:rPr>
      </w:pPr>
    </w:p>
    <w:p w14:paraId="2EFB9762" w14:textId="2AEAD21A" w:rsidR="004B4E35" w:rsidRPr="00405303" w:rsidRDefault="009E6F82" w:rsidP="00C15251">
      <w:pPr>
        <w:jc w:val="both"/>
        <w:rPr>
          <w:bCs/>
          <w:color w:val="002060"/>
          <w:sz w:val="16"/>
          <w:szCs w:val="16"/>
        </w:rPr>
      </w:pPr>
      <w:r w:rsidRPr="00405303">
        <w:rPr>
          <w:bCs/>
          <w:color w:val="002060"/>
          <w:sz w:val="16"/>
          <w:szCs w:val="16"/>
        </w:rPr>
        <w:t>12 (</w:t>
      </w:r>
      <w:r w:rsidR="00C2121F" w:rsidRPr="00405303">
        <w:rPr>
          <w:bCs/>
          <w:color w:val="002060"/>
          <w:sz w:val="16"/>
          <w:szCs w:val="16"/>
        </w:rPr>
        <w:t>25</w:t>
      </w:r>
      <w:r w:rsidRPr="00405303">
        <w:rPr>
          <w:bCs/>
          <w:color w:val="002060"/>
          <w:sz w:val="16"/>
          <w:szCs w:val="16"/>
        </w:rPr>
        <w:t xml:space="preserve">) мая 1915 </w:t>
      </w:r>
      <w:r w:rsidR="00C2121F" w:rsidRPr="00405303">
        <w:rPr>
          <w:bCs/>
          <w:color w:val="002060"/>
          <w:sz w:val="16"/>
          <w:szCs w:val="16"/>
        </w:rPr>
        <w:t xml:space="preserve">г. </w:t>
      </w:r>
      <w:r w:rsidRPr="00405303">
        <w:rPr>
          <w:bCs/>
          <w:color w:val="002060"/>
          <w:sz w:val="16"/>
          <w:szCs w:val="16"/>
        </w:rPr>
        <w:t xml:space="preserve">во время выполнения разведки летнабом 19-го КАО подпоручиком Рудовичем в моторе аппарата произошел взрыв. До линии фронта оставалось 8 верст. Летчик-охотник ефрейтор Лауниц не растерялся и стал планировать под сильным пулеметным и артиллерийским огнем. Ему удалось вывести аппарат из расположения противника и опуститься вблизи наших боевых позиций. Он спас самолет от захвата противником и офицера от плена. Во время планирования ефрейтор Лауниц был ранен в руку с раздроблением кости, но несмотря на это посадил самолет.&gt; Приказом по войскам 5-й армии от 25.05.1915 г. Владимир Лауниц был награжден солдатским Георгиевским крестом 4-й степени. В конце 1915 г. война на восточном фронте приняла позиционный характер. Кавалерия лишилась возможности проводить разведку. Только самолеты позволяли проникнуть в глубину расположения войск противника, чтобы собрать необходимые для командования сведения. При этом задачи воздушной разведки изменились: если в условиях маневренной войны на нее прежде всего возлагалось наблюдение за крупными силами неприятеля и направлением их движения, то теперь от авиаторов главным образом требовалось тщательно изучать систему обороны противника и наблюдать за ее состоянием и развитием. Привлекалась авиация и для выполнения других задач. Летом в Польше на Северо-Западном фронте германские войска окружили пограничную крепость Новогеоргиевск. В начале августа командование русского гарнизона ввиду опасности скорой капитуляции решило воспользоваться услугами летчиков Новогеоргиевского крепостного авиаотряда. Его начальник капитан Иван Массальский организовал отлет всех исправных самолетов, предварительно уничтожив авиационное имущество, которое нельзя было вывезти. Летчики поручик Константин Вакуловский, штабс-ротмистр Ливотов, капитан Массальский и другие по приказу коменданта крепости вылетели в непогоду под сильным обстрелом противника. Прорвавшись, они вывезли штандарты, Георгиевские кресты и секретные документы. Пролетев 4- 5 часов на небольшой высоте, авиаторы благополучно опустились в расположении своих войск. За этот подвиг они были награждены орденами Св. Георгия 4-й степени и Георгиевским оружием. В 1915 г. воздушные бои оставались редкостью. В большинстве случаев экипажи отправлялись на задания, располагая только карабинами и пистолетами, но и с таким оружием некоторые летчики добивались воздушных побед. Так, 25 февраля летчик°доброволец француз Пуаре с наблюдателем поручиком Шебалиным вылетели на трофейном "Эйлере" на разведку района Лович-Неборов-Болилов. Над своими позициями между Камионом и Сулишевым они атаковали немецкий аппарат. С дистанции 40-50 м по нему было произведено 5 выстрелов из карабина. Согласно донесению летчиков 2-го армейского авиаотряда, "после третьего выстрела самолет противника пошел с поворотом книзу и опустился под Скверневицами". 15-го июля во время разведки к востоку от Золотой Липы летчики 2-го Сибирского КАО поручик Покровский и корнет Плонский заметили неприятельский аэроплан. Из оружия у них были только пистолеты 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7-й... авиароты.&gt; Оба русских героя были награждены орденами Св. Георгия 4-й степени. Кстати, &lt;Авиатик&gt;, как и большийство других самолетов того времени, был весьма слабой машиной. Об этом свидетельствует следующий факт: 27 ноября австрийские летчики Дример и Хубнер взлетели опробовать отремонтированный фотоаппарат, но </w:t>
      </w:r>
      <w:r w:rsidRPr="00405303">
        <w:rPr>
          <w:bCs/>
          <w:color w:val="002060"/>
          <w:sz w:val="16"/>
          <w:szCs w:val="16"/>
        </w:rPr>
        <w:lastRenderedPageBreak/>
        <w:t>сильный ветер отнес их аэроплан за линию русских окопов, где авиаторы и вынуждены были приземлиться. А дальше - плен и лагерь военнопленных под Дарницей. Недостаток вооружения во многом компенсировался храбростью русских авиаторов. 18-го марта одержал свою первую победу летчик 4-го КАО поручик А. А. 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В 1915 г. на русских аэропланах появились пулеметы. Для их применения наиболее пригодным оказался биплан Вуазен, на который часто устанавливался пулемет Кольт. Такой самолет становился грозным оружием, 24-го июня летчик прапорщик Иванов и наблюдатель поручик Алексеев из 26-го КАО атаковали в районе Тарнополя австрийский Альбатрос (бортовой номер 21-01) из 1-й авиароты,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Тлусте,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04EB5D40" w14:textId="77777777" w:rsidR="004B4E35" w:rsidRPr="00405303" w:rsidRDefault="004B4E35" w:rsidP="00C15251">
      <w:pPr>
        <w:jc w:val="both"/>
        <w:rPr>
          <w:bCs/>
          <w:color w:val="002060"/>
          <w:sz w:val="16"/>
          <w:szCs w:val="16"/>
        </w:rPr>
      </w:pPr>
    </w:p>
    <w:p w14:paraId="31E1DF8E" w14:textId="77777777" w:rsidR="001A4DCC" w:rsidRPr="00405303" w:rsidRDefault="001A4DCC" w:rsidP="001A4DCC">
      <w:pPr>
        <w:jc w:val="both"/>
        <w:rPr>
          <w:color w:val="0070C0"/>
          <w:sz w:val="16"/>
          <w:szCs w:val="16"/>
        </w:rPr>
      </w:pPr>
      <w:r w:rsidRPr="00405303">
        <w:rPr>
          <w:color w:val="0070C0"/>
          <w:sz w:val="16"/>
          <w:szCs w:val="16"/>
        </w:rPr>
        <w:t>«12 (25) мая 1915 г. во время выполнения разведки летнабом 19-го КАО подпоручиком Рудовичем в моторе аппарата произошел взрыв. До линии фронта оставалось 8 верст. Летчик-охотник ефрейтор Лауниц не растерялся и стал планировать под сильным пулеметным и артиллерийским огнем. Ему удалось вывести аппарат из расположения противника и опуститься вблизи наших боевых позиций. Он спас самолет от захвата противником и офицера от плена. Во время планирования ефрейтор Лауниц был ранен в руку с раздроблением кости, но несмотря на это посадил самолет.» Приказом по войскам 5-й армии от 25.05.1915 г. Владимир Лауниц был награжден солдатским Георгиевским крестом 4-й степени (25151).</w:t>
      </w:r>
    </w:p>
    <w:p w14:paraId="414A1D4F" w14:textId="77777777" w:rsidR="001A4DCC" w:rsidRPr="00405303" w:rsidRDefault="001A4DCC" w:rsidP="001A4DCC">
      <w:pPr>
        <w:jc w:val="both"/>
        <w:rPr>
          <w:color w:val="0070C0"/>
          <w:sz w:val="16"/>
          <w:szCs w:val="16"/>
        </w:rPr>
      </w:pPr>
    </w:p>
    <w:p w14:paraId="187FD69A" w14:textId="2B03D803" w:rsidR="004B4E35" w:rsidRPr="00405303" w:rsidRDefault="009E6F82" w:rsidP="00C15251">
      <w:pPr>
        <w:jc w:val="both"/>
        <w:rPr>
          <w:bCs/>
          <w:color w:val="002060"/>
          <w:sz w:val="16"/>
          <w:szCs w:val="16"/>
        </w:rPr>
      </w:pPr>
      <w:r w:rsidRPr="00405303">
        <w:rPr>
          <w:bCs/>
          <w:color w:val="002060"/>
          <w:sz w:val="16"/>
          <w:szCs w:val="16"/>
        </w:rPr>
        <w:t xml:space="preserve">12 </w:t>
      </w:r>
      <w:r w:rsidR="00C2121F" w:rsidRPr="00405303">
        <w:rPr>
          <w:bCs/>
          <w:color w:val="002060"/>
          <w:sz w:val="16"/>
          <w:szCs w:val="16"/>
        </w:rPr>
        <w:t xml:space="preserve">(25) </w:t>
      </w:r>
      <w:r w:rsidRPr="00405303">
        <w:rPr>
          <w:bCs/>
          <w:color w:val="002060"/>
          <w:sz w:val="16"/>
          <w:szCs w:val="16"/>
        </w:rPr>
        <w:t>мая 1915 года главнокомандующий 6-й армией издал специальную Инструкцию № 1 «Постам из нижних чинов для наблюдения за небосклоном». В ней определялись:</w:t>
      </w:r>
    </w:p>
    <w:p w14:paraId="7B589873" w14:textId="77777777" w:rsidR="004B4E35" w:rsidRPr="00405303" w:rsidRDefault="009E6F82" w:rsidP="00C15251">
      <w:pPr>
        <w:jc w:val="both"/>
        <w:rPr>
          <w:bCs/>
          <w:color w:val="002060"/>
          <w:sz w:val="16"/>
          <w:szCs w:val="16"/>
        </w:rPr>
      </w:pPr>
      <w:r w:rsidRPr="00405303">
        <w:rPr>
          <w:bCs/>
          <w:color w:val="002060"/>
          <w:sz w:val="16"/>
          <w:szCs w:val="16"/>
        </w:rPr>
        <w:t>а) состав формируемых постов;</w:t>
      </w:r>
    </w:p>
    <w:p w14:paraId="10DD7110" w14:textId="77777777" w:rsidR="004B4E35" w:rsidRPr="00405303" w:rsidRDefault="009E6F82" w:rsidP="00C15251">
      <w:pPr>
        <w:jc w:val="both"/>
        <w:rPr>
          <w:bCs/>
          <w:color w:val="002060"/>
          <w:sz w:val="16"/>
          <w:szCs w:val="16"/>
        </w:rPr>
      </w:pPr>
      <w:r w:rsidRPr="00405303">
        <w:rPr>
          <w:bCs/>
          <w:color w:val="002060"/>
          <w:sz w:val="16"/>
          <w:szCs w:val="16"/>
        </w:rPr>
        <w:t>б) районы наблюдения;</w:t>
      </w:r>
    </w:p>
    <w:p w14:paraId="1A471AE7" w14:textId="77777777" w:rsidR="004B4E35" w:rsidRPr="00405303" w:rsidRDefault="009E6F82" w:rsidP="00C15251">
      <w:pPr>
        <w:jc w:val="both"/>
        <w:rPr>
          <w:bCs/>
          <w:color w:val="002060"/>
          <w:sz w:val="16"/>
          <w:szCs w:val="16"/>
        </w:rPr>
      </w:pPr>
      <w:r w:rsidRPr="00405303">
        <w:rPr>
          <w:bCs/>
          <w:color w:val="002060"/>
          <w:sz w:val="16"/>
          <w:szCs w:val="16"/>
        </w:rPr>
        <w:t>в) должностные обязанности нижних чинов постов;</w:t>
      </w:r>
    </w:p>
    <w:p w14:paraId="34DFCA37" w14:textId="77777777" w:rsidR="004B4E35" w:rsidRPr="00405303" w:rsidRDefault="009E6F82" w:rsidP="00C15251">
      <w:pPr>
        <w:jc w:val="both"/>
        <w:rPr>
          <w:bCs/>
          <w:color w:val="002060"/>
          <w:sz w:val="16"/>
          <w:szCs w:val="16"/>
        </w:rPr>
      </w:pPr>
      <w:r w:rsidRPr="00405303">
        <w:rPr>
          <w:bCs/>
          <w:color w:val="002060"/>
          <w:sz w:val="16"/>
          <w:szCs w:val="16"/>
        </w:rPr>
        <w:t>г) порядок несения боевого дежурства и оповещения в случае появления в небе воздухоплавательных аппаратов противника.</w:t>
      </w:r>
    </w:p>
    <w:p w14:paraId="085D5F99" w14:textId="77777777" w:rsidR="004B4E35" w:rsidRPr="00405303" w:rsidRDefault="009E6F82" w:rsidP="00C15251">
      <w:pPr>
        <w:jc w:val="both"/>
        <w:rPr>
          <w:bCs/>
          <w:color w:val="002060"/>
          <w:sz w:val="16"/>
          <w:szCs w:val="16"/>
        </w:rPr>
      </w:pPr>
      <w:r w:rsidRPr="00405303">
        <w:rPr>
          <w:bCs/>
          <w:color w:val="002060"/>
          <w:sz w:val="16"/>
          <w:szCs w:val="16"/>
        </w:rPr>
        <w:t>Впервые для оперативности передачи информации о воздушном противнике по линии связи Инструкцией вводится термин «Воздух», который и в настоящее время используется в ходе боевого дежурства подразделений противовоздушной обороны.</w:t>
      </w:r>
    </w:p>
    <w:p w14:paraId="01292C3B" w14:textId="77777777" w:rsidR="004B4E35" w:rsidRPr="00405303" w:rsidRDefault="009E6F82" w:rsidP="00C15251">
      <w:pPr>
        <w:jc w:val="both"/>
        <w:rPr>
          <w:bCs/>
          <w:color w:val="002060"/>
          <w:sz w:val="16"/>
          <w:szCs w:val="16"/>
        </w:rPr>
      </w:pPr>
      <w:r w:rsidRPr="00405303">
        <w:rPr>
          <w:bCs/>
          <w:color w:val="002060"/>
          <w:sz w:val="16"/>
          <w:szCs w:val="16"/>
        </w:rPr>
        <w:t>На постах наблюдения за небосклоном Инструкцией вводились специальные рабочие журналы, ставшие прообразом современных журналов несения боевого дежурства.</w:t>
      </w:r>
    </w:p>
    <w:p w14:paraId="23927707" w14:textId="77777777" w:rsidR="004B4E35" w:rsidRPr="00405303" w:rsidRDefault="009E6F82" w:rsidP="00C15251">
      <w:pPr>
        <w:jc w:val="both"/>
        <w:rPr>
          <w:bCs/>
          <w:color w:val="002060"/>
          <w:sz w:val="16"/>
          <w:szCs w:val="16"/>
        </w:rPr>
      </w:pPr>
      <w:r w:rsidRPr="00405303">
        <w:rPr>
          <w:bCs/>
          <w:color w:val="002060"/>
          <w:sz w:val="16"/>
          <w:szCs w:val="16"/>
        </w:rPr>
        <w:t>23 января 1915 года приказанием войскам 27-го армейского корпуса (г. Варшава) №13 организована воздушная оборона г. Варшавы. Для борьбы с воздушным флотом противника сформированы авиационные отряды под командованием штабс-капитана Грезо и поручика Воеводского.</w:t>
      </w:r>
    </w:p>
    <w:p w14:paraId="44ED05BC" w14:textId="77777777" w:rsidR="004B4E35" w:rsidRPr="00405303" w:rsidRDefault="009E6F82" w:rsidP="00C15251">
      <w:pPr>
        <w:jc w:val="both"/>
        <w:rPr>
          <w:bCs/>
          <w:color w:val="002060"/>
          <w:sz w:val="16"/>
          <w:szCs w:val="16"/>
        </w:rPr>
      </w:pPr>
      <w:r w:rsidRPr="00405303">
        <w:rPr>
          <w:bCs/>
          <w:color w:val="002060"/>
          <w:sz w:val="16"/>
          <w:szCs w:val="16"/>
        </w:rPr>
        <w:t>Общее руководство действиями авиационных отрядов было возложено на командира 2-й авиационной роты подполковника Генейко. Одновременно в этом районе действовал первый в русской армии истребительный авиационный отряд старшего лейтенанта Яцука Н.А.. Для своевременного оповещения частей воздушной обороны была установлена сеть наблюдательных постов, определено взаимодействие с противоаэропланной артиллерией Варшавской крепости, находящейся в распоряжении начальника Варшавской крепостной артиллерии полковника Глазкова П.Н.</w:t>
      </w:r>
    </w:p>
    <w:p w14:paraId="5401D97F" w14:textId="77777777" w:rsidR="004B4E35" w:rsidRPr="00405303" w:rsidRDefault="009E6F82" w:rsidP="00C15251">
      <w:pPr>
        <w:jc w:val="both"/>
        <w:rPr>
          <w:bCs/>
          <w:color w:val="002060"/>
          <w:sz w:val="16"/>
          <w:szCs w:val="16"/>
        </w:rPr>
      </w:pPr>
      <w:r w:rsidRPr="00405303">
        <w:rPr>
          <w:bCs/>
          <w:color w:val="002060"/>
          <w:sz w:val="16"/>
          <w:szCs w:val="16"/>
        </w:rPr>
        <w:t>В течение 1915 - 1917 годов для организации воздушной обороны крупных военно-политических, административных центров страны: Могилева, Двинска, Минска, Пскова, Одессы, Николаева и т.д. формируется структура воздушного наблюдения и оповещения, входящая в состав организации обороны от воздушного нападения германской и австро-венгерской авиации.</w:t>
      </w:r>
    </w:p>
    <w:p w14:paraId="6601B759" w14:textId="77777777" w:rsidR="004B4E35" w:rsidRPr="00405303" w:rsidRDefault="009E6F82" w:rsidP="00C15251">
      <w:pPr>
        <w:jc w:val="both"/>
        <w:rPr>
          <w:bCs/>
          <w:color w:val="002060"/>
          <w:sz w:val="16"/>
          <w:szCs w:val="16"/>
        </w:rPr>
      </w:pPr>
      <w:r w:rsidRPr="00405303">
        <w:rPr>
          <w:bCs/>
          <w:color w:val="002060"/>
          <w:sz w:val="16"/>
          <w:szCs w:val="16"/>
        </w:rPr>
        <w:t>Так, в 1917 году вокруг Петрограда и Одессы уже было выставлено по 60 наблюдательных постов, сведенных в роты наблюдателей и укомплектованных кадровыми офицерами и солдатами. В дальнейшем вокруг Петрограда количество таких постов увеличилось до 83. Для приема донесений от постов также было создано вокруг российской столицы 15 телефонных и телеграфных станций (11198).</w:t>
      </w:r>
    </w:p>
    <w:p w14:paraId="6AE3C5D8" w14:textId="77777777" w:rsidR="004B4E35" w:rsidRPr="00405303" w:rsidRDefault="004B4E35" w:rsidP="00C15251">
      <w:pPr>
        <w:jc w:val="both"/>
        <w:rPr>
          <w:bCs/>
          <w:color w:val="002060"/>
          <w:sz w:val="16"/>
          <w:szCs w:val="16"/>
        </w:rPr>
      </w:pPr>
    </w:p>
    <w:p w14:paraId="3F29DA9E" w14:textId="77777777" w:rsidR="004B4E35" w:rsidRPr="00405303" w:rsidRDefault="009E6F82" w:rsidP="00C15251">
      <w:pPr>
        <w:jc w:val="both"/>
        <w:rPr>
          <w:bCs/>
          <w:color w:val="002060"/>
          <w:sz w:val="16"/>
          <w:szCs w:val="16"/>
        </w:rPr>
      </w:pPr>
      <w:r w:rsidRPr="00405303">
        <w:rPr>
          <w:bCs/>
          <w:color w:val="002060"/>
          <w:sz w:val="16"/>
          <w:szCs w:val="16"/>
        </w:rPr>
        <w:t>12 (25) мая 1915 года главнокомандующий 6-й армией издал специальную Инструкцию № 1 «Постам из нижних чинов для наблюдения за небосклоном». В ней определялись:</w:t>
      </w:r>
    </w:p>
    <w:p w14:paraId="43B4AFA6" w14:textId="77777777" w:rsidR="004B4E35" w:rsidRPr="00405303" w:rsidRDefault="009E6F82" w:rsidP="00C15251">
      <w:pPr>
        <w:jc w:val="both"/>
        <w:rPr>
          <w:bCs/>
          <w:color w:val="002060"/>
          <w:sz w:val="16"/>
          <w:szCs w:val="16"/>
        </w:rPr>
      </w:pPr>
      <w:r w:rsidRPr="00405303">
        <w:rPr>
          <w:bCs/>
          <w:color w:val="002060"/>
          <w:sz w:val="16"/>
          <w:szCs w:val="16"/>
        </w:rPr>
        <w:t>а) состав формируемых постов;</w:t>
      </w:r>
    </w:p>
    <w:p w14:paraId="05C33B64" w14:textId="77777777" w:rsidR="004B4E35" w:rsidRPr="00405303" w:rsidRDefault="009E6F82" w:rsidP="00C15251">
      <w:pPr>
        <w:jc w:val="both"/>
        <w:rPr>
          <w:bCs/>
          <w:color w:val="002060"/>
          <w:sz w:val="16"/>
          <w:szCs w:val="16"/>
        </w:rPr>
      </w:pPr>
      <w:r w:rsidRPr="00405303">
        <w:rPr>
          <w:bCs/>
          <w:color w:val="002060"/>
          <w:sz w:val="16"/>
          <w:szCs w:val="16"/>
        </w:rPr>
        <w:t>б) районы наблюдения;</w:t>
      </w:r>
    </w:p>
    <w:p w14:paraId="2DCA14C4" w14:textId="77777777" w:rsidR="004B4E35" w:rsidRPr="00405303" w:rsidRDefault="009E6F82" w:rsidP="00C15251">
      <w:pPr>
        <w:jc w:val="both"/>
        <w:rPr>
          <w:bCs/>
          <w:color w:val="002060"/>
          <w:sz w:val="16"/>
          <w:szCs w:val="16"/>
        </w:rPr>
      </w:pPr>
      <w:r w:rsidRPr="00405303">
        <w:rPr>
          <w:bCs/>
          <w:color w:val="002060"/>
          <w:sz w:val="16"/>
          <w:szCs w:val="16"/>
        </w:rPr>
        <w:t>в) должностные обязанности нижних чинов постов;</w:t>
      </w:r>
    </w:p>
    <w:p w14:paraId="3C8B67D7" w14:textId="77777777" w:rsidR="004B4E35" w:rsidRPr="00405303" w:rsidRDefault="009E6F82" w:rsidP="00C15251">
      <w:pPr>
        <w:jc w:val="both"/>
        <w:rPr>
          <w:bCs/>
          <w:color w:val="002060"/>
          <w:sz w:val="16"/>
          <w:szCs w:val="16"/>
        </w:rPr>
      </w:pPr>
      <w:r w:rsidRPr="00405303">
        <w:rPr>
          <w:bCs/>
          <w:color w:val="002060"/>
          <w:sz w:val="16"/>
          <w:szCs w:val="16"/>
        </w:rPr>
        <w:t>г) порядок несения боевого дежурства и оповещения в случае появления в небе воздухоплавательных аппаратов противника.</w:t>
      </w:r>
    </w:p>
    <w:p w14:paraId="4B1B6544" w14:textId="77777777" w:rsidR="004B4E35" w:rsidRPr="00405303" w:rsidRDefault="009E6F82" w:rsidP="00C15251">
      <w:pPr>
        <w:jc w:val="both"/>
        <w:rPr>
          <w:bCs/>
          <w:color w:val="002060"/>
          <w:sz w:val="16"/>
          <w:szCs w:val="16"/>
        </w:rPr>
      </w:pPr>
      <w:r w:rsidRPr="00405303">
        <w:rPr>
          <w:bCs/>
          <w:color w:val="002060"/>
          <w:sz w:val="16"/>
          <w:szCs w:val="16"/>
        </w:rPr>
        <w:t>Впервые для оперативности передачи информации о воздушном противнике по линии связи Инструкцией вводится термин «Воздух», который и в настоящее время используется в ходе боевого дежурства подразделений противовоздушной обороны.</w:t>
      </w:r>
    </w:p>
    <w:p w14:paraId="7508CA73" w14:textId="77777777" w:rsidR="004B4E35" w:rsidRPr="00405303" w:rsidRDefault="009E6F82" w:rsidP="00C15251">
      <w:pPr>
        <w:jc w:val="both"/>
        <w:rPr>
          <w:bCs/>
          <w:color w:val="002060"/>
          <w:sz w:val="16"/>
          <w:szCs w:val="16"/>
        </w:rPr>
      </w:pPr>
      <w:r w:rsidRPr="00405303">
        <w:rPr>
          <w:bCs/>
          <w:color w:val="002060"/>
          <w:sz w:val="16"/>
          <w:szCs w:val="16"/>
        </w:rPr>
        <w:t>На постах наблюдения за небосклоном Инструкцией вводились специальные рабочие журналы, ставшие прообразом современных журналов несения боевого дежурства.</w:t>
      </w:r>
    </w:p>
    <w:p w14:paraId="6D4B9B6E" w14:textId="77777777" w:rsidR="004B4E35" w:rsidRPr="00405303" w:rsidRDefault="004B4E35" w:rsidP="00C15251">
      <w:pPr>
        <w:pStyle w:val="a3"/>
        <w:jc w:val="both"/>
        <w:rPr>
          <w:bCs/>
          <w:color w:val="002060"/>
          <w:spacing w:val="0"/>
          <w:kern w:val="0"/>
          <w:position w:val="0"/>
          <w:sz w:val="16"/>
          <w:szCs w:val="16"/>
        </w:rPr>
      </w:pPr>
    </w:p>
    <w:p w14:paraId="0896BC55"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Морская авиация:</w:t>
      </w:r>
    </w:p>
    <w:p w14:paraId="19C3B59D" w14:textId="77777777" w:rsidR="004B4E35" w:rsidRPr="00405303" w:rsidRDefault="004B4E35" w:rsidP="00C15251">
      <w:pPr>
        <w:pStyle w:val="a3"/>
        <w:jc w:val="both"/>
        <w:rPr>
          <w:bCs/>
          <w:color w:val="002060"/>
          <w:spacing w:val="0"/>
          <w:kern w:val="0"/>
          <w:position w:val="0"/>
          <w:sz w:val="16"/>
          <w:szCs w:val="16"/>
        </w:rPr>
      </w:pPr>
    </w:p>
    <w:p w14:paraId="4CD293AD" w14:textId="77777777" w:rsidR="00C2121F" w:rsidRPr="00405303" w:rsidRDefault="009E6F82" w:rsidP="00C15251">
      <w:pPr>
        <w:jc w:val="both"/>
        <w:rPr>
          <w:bCs/>
          <w:color w:val="002060"/>
          <w:sz w:val="16"/>
          <w:szCs w:val="16"/>
        </w:rPr>
      </w:pPr>
      <w:r w:rsidRPr="00405303">
        <w:rPr>
          <w:bCs/>
          <w:color w:val="002060"/>
          <w:sz w:val="16"/>
          <w:szCs w:val="16"/>
        </w:rPr>
        <w:t xml:space="preserve">12 (25) </w:t>
      </w:r>
      <w:r w:rsidR="00C2121F" w:rsidRPr="00405303">
        <w:rPr>
          <w:bCs/>
          <w:color w:val="002060"/>
          <w:sz w:val="16"/>
          <w:szCs w:val="16"/>
        </w:rPr>
        <w:t>Мая</w:t>
      </w:r>
      <w:r w:rsidRPr="00405303">
        <w:rPr>
          <w:bCs/>
          <w:color w:val="002060"/>
          <w:sz w:val="16"/>
          <w:szCs w:val="16"/>
        </w:rPr>
        <w:t xml:space="preserve"> 1915 г.</w:t>
      </w:r>
      <w:r w:rsidR="00C2121F" w:rsidRPr="00405303">
        <w:rPr>
          <w:bCs/>
          <w:color w:val="002060"/>
          <w:sz w:val="16"/>
          <w:szCs w:val="16"/>
        </w:rPr>
        <w:t xml:space="preserve"> приказом</w:t>
      </w:r>
      <w:r w:rsidRPr="00405303">
        <w:rPr>
          <w:bCs/>
          <w:color w:val="002060"/>
          <w:sz w:val="16"/>
          <w:szCs w:val="16"/>
        </w:rPr>
        <w:t xml:space="preserve"> № 30 </w:t>
      </w:r>
      <w:r w:rsidR="00C2121F" w:rsidRPr="00405303">
        <w:rPr>
          <w:bCs/>
          <w:color w:val="002060"/>
          <w:sz w:val="16"/>
          <w:szCs w:val="16"/>
        </w:rPr>
        <w:t xml:space="preserve">были утверждены </w:t>
      </w:r>
      <w:r w:rsidRPr="00405303">
        <w:rPr>
          <w:bCs/>
          <w:color w:val="002060"/>
          <w:sz w:val="16"/>
          <w:szCs w:val="16"/>
        </w:rPr>
        <w:t>ГИДРОСИГНАЛЫ</w:t>
      </w:r>
    </w:p>
    <w:p w14:paraId="041B0C60" w14:textId="45783D46" w:rsidR="004B4E35" w:rsidRPr="00405303" w:rsidRDefault="009E6F82" w:rsidP="00C15251">
      <w:pPr>
        <w:jc w:val="both"/>
        <w:rPr>
          <w:bCs/>
          <w:color w:val="002060"/>
          <w:sz w:val="16"/>
          <w:szCs w:val="16"/>
        </w:rPr>
      </w:pPr>
      <w:r w:rsidRPr="00405303">
        <w:rPr>
          <w:bCs/>
          <w:color w:val="002060"/>
          <w:sz w:val="16"/>
          <w:szCs w:val="16"/>
        </w:rPr>
        <w:t>Для переговоров между судами и гидроаэропланами употреблять следующие сигналы: А. Разведка с гидро[аэроплана]: 1. Цветные дымки и вымпела, бросаемые с гидро[аэропланы]: подводная лодка — белый-красный-белый; «Гебен» — черный-красный-черный; «Тургут» — красный; «Бреслау» или «Гамидие» — зеленый; миноносец — белый; вижу дым — черный; транспорт — вымпел.</w:t>
      </w:r>
    </w:p>
    <w:p w14:paraId="1CB6652A" w14:textId="77777777" w:rsidR="004B4E35" w:rsidRPr="00405303" w:rsidRDefault="009E6F82" w:rsidP="00C15251">
      <w:pPr>
        <w:jc w:val="both"/>
        <w:rPr>
          <w:bCs/>
          <w:color w:val="002060"/>
          <w:sz w:val="16"/>
          <w:szCs w:val="16"/>
        </w:rPr>
      </w:pPr>
      <w:r w:rsidRPr="00405303">
        <w:rPr>
          <w:bCs/>
          <w:color w:val="002060"/>
          <w:sz w:val="16"/>
          <w:szCs w:val="16"/>
        </w:rPr>
        <w:t>2. Множественное число показывается повторением того же сигнала нужное число раз, делая промежутки между отдельными сигналами около минуты.</w:t>
      </w:r>
    </w:p>
    <w:p w14:paraId="1C53CF22" w14:textId="77777777" w:rsidR="004B4E35" w:rsidRPr="00405303" w:rsidRDefault="009E6F82" w:rsidP="00C15251">
      <w:pPr>
        <w:jc w:val="both"/>
        <w:rPr>
          <w:bCs/>
          <w:color w:val="002060"/>
          <w:sz w:val="16"/>
          <w:szCs w:val="16"/>
        </w:rPr>
      </w:pPr>
      <w:r w:rsidRPr="00405303">
        <w:rPr>
          <w:bCs/>
          <w:color w:val="002060"/>
          <w:sz w:val="16"/>
          <w:szCs w:val="16"/>
        </w:rPr>
        <w:t>&lt;...&gt;.</w:t>
      </w:r>
    </w:p>
    <w:p w14:paraId="563DFAC8" w14:textId="77777777" w:rsidR="004B4E35" w:rsidRPr="00405303" w:rsidRDefault="009E6F82" w:rsidP="00C15251">
      <w:pPr>
        <w:jc w:val="both"/>
        <w:rPr>
          <w:bCs/>
          <w:color w:val="002060"/>
          <w:sz w:val="16"/>
          <w:szCs w:val="16"/>
        </w:rPr>
      </w:pPr>
      <w:r w:rsidRPr="00405303">
        <w:rPr>
          <w:bCs/>
          <w:color w:val="002060"/>
          <w:sz w:val="16"/>
          <w:szCs w:val="16"/>
        </w:rPr>
        <w:lastRenderedPageBreak/>
        <w:t>4. Чтобы дать направление на показываемое судно, гидро[аэроплан] кружится над ним, если это лодка, а в прочих случаях пролетает над нашими кораблями с кормы на нос и затем поворачивает на неприятеля.</w:t>
      </w:r>
    </w:p>
    <w:p w14:paraId="22CAA3AC" w14:textId="77777777" w:rsidR="004B4E35" w:rsidRPr="00405303" w:rsidRDefault="009E6F82" w:rsidP="00C15251">
      <w:pPr>
        <w:jc w:val="both"/>
        <w:rPr>
          <w:bCs/>
          <w:color w:val="002060"/>
          <w:sz w:val="16"/>
          <w:szCs w:val="16"/>
        </w:rPr>
      </w:pPr>
      <w:r w:rsidRPr="00405303">
        <w:rPr>
          <w:bCs/>
          <w:color w:val="002060"/>
          <w:sz w:val="16"/>
          <w:szCs w:val="16"/>
        </w:rPr>
        <w:t>5. Если при этом неприятель не идет прямо на нас или от нас, то гидро[аэроплан] летит не прямо на него, а несколько в сторону его движения (как бы указывая курс, которым следует идти, чтобы с ним сойтись).</w:t>
      </w:r>
    </w:p>
    <w:p w14:paraId="52F5CF3B" w14:textId="77777777" w:rsidR="004B4E35" w:rsidRPr="00405303" w:rsidRDefault="009E6F82" w:rsidP="00C15251">
      <w:pPr>
        <w:jc w:val="both"/>
        <w:rPr>
          <w:bCs/>
          <w:color w:val="002060"/>
          <w:sz w:val="16"/>
          <w:szCs w:val="16"/>
        </w:rPr>
      </w:pPr>
      <w:r w:rsidRPr="00405303">
        <w:rPr>
          <w:bCs/>
          <w:color w:val="002060"/>
          <w:sz w:val="16"/>
          <w:szCs w:val="16"/>
        </w:rPr>
        <w:t>6. При разведке Босфора перечисленные сигналы делаются только относительно судов или находящихся в Черном море, или стоящих к северу от Стении, или идущих на север по Босфору.</w:t>
      </w:r>
    </w:p>
    <w:p w14:paraId="3B1BEACB" w14:textId="77777777" w:rsidR="004B4E35" w:rsidRPr="00405303" w:rsidRDefault="009E6F82" w:rsidP="00C15251">
      <w:pPr>
        <w:jc w:val="both"/>
        <w:rPr>
          <w:bCs/>
          <w:color w:val="002060"/>
          <w:sz w:val="16"/>
          <w:szCs w:val="16"/>
        </w:rPr>
      </w:pPr>
      <w:r w:rsidRPr="00405303">
        <w:rPr>
          <w:bCs/>
          <w:color w:val="002060"/>
          <w:sz w:val="16"/>
          <w:szCs w:val="16"/>
        </w:rPr>
        <w:t>О судах, стоящих или в Стении, или южнее нее, или идущих по Босфору на юг, сигналов дымками не делается.</w:t>
      </w:r>
    </w:p>
    <w:p w14:paraId="390B37DA" w14:textId="77777777" w:rsidR="004B4E35" w:rsidRPr="00405303" w:rsidRDefault="009E6F82" w:rsidP="00C15251">
      <w:pPr>
        <w:jc w:val="both"/>
        <w:rPr>
          <w:bCs/>
          <w:color w:val="002060"/>
          <w:sz w:val="16"/>
          <w:szCs w:val="16"/>
        </w:rPr>
      </w:pPr>
      <w:r w:rsidRPr="00405303">
        <w:rPr>
          <w:bCs/>
          <w:color w:val="002060"/>
          <w:sz w:val="16"/>
          <w:szCs w:val="16"/>
        </w:rPr>
        <w:t>О транспортах делаются сигналы вымпелами только в случае их нахождения в Черном море в значительном расстоянии от Босфора.</w:t>
      </w:r>
    </w:p>
    <w:p w14:paraId="7E6A7252" w14:textId="77777777" w:rsidR="004B4E35" w:rsidRPr="00405303" w:rsidRDefault="009E6F82" w:rsidP="00C15251">
      <w:pPr>
        <w:jc w:val="both"/>
        <w:rPr>
          <w:bCs/>
          <w:color w:val="002060"/>
          <w:sz w:val="16"/>
          <w:szCs w:val="16"/>
        </w:rPr>
      </w:pPr>
      <w:r w:rsidRPr="00405303">
        <w:rPr>
          <w:bCs/>
          <w:color w:val="002060"/>
          <w:sz w:val="16"/>
          <w:szCs w:val="16"/>
        </w:rPr>
        <w:t>7. Сигналом о бедствии и требовании помощи служит последовательное выбрасывание дымков одного и того же цвета, вымпелов и махание чем можно.</w:t>
      </w:r>
    </w:p>
    <w:p w14:paraId="54B0A29B" w14:textId="77777777" w:rsidR="004B4E35" w:rsidRPr="00405303" w:rsidRDefault="009E6F82" w:rsidP="00C15251">
      <w:pPr>
        <w:jc w:val="both"/>
        <w:rPr>
          <w:bCs/>
          <w:color w:val="002060"/>
          <w:sz w:val="16"/>
          <w:szCs w:val="16"/>
        </w:rPr>
      </w:pPr>
      <w:r w:rsidRPr="00405303">
        <w:rPr>
          <w:bCs/>
          <w:color w:val="002060"/>
          <w:sz w:val="16"/>
          <w:szCs w:val="16"/>
        </w:rPr>
        <w:t>Б. Корректировка стрельбы с гидро[аэроплана] 8. Цветные дымки: перелет — черный; право — два черных; недолет — белый; лево — два белых; щит — черный-белый; не туда стреляете — белый-черный.</w:t>
      </w:r>
    </w:p>
    <w:p w14:paraId="175B0707" w14:textId="77777777" w:rsidR="004B4E35" w:rsidRPr="00405303" w:rsidRDefault="009E6F82" w:rsidP="00C15251">
      <w:pPr>
        <w:jc w:val="both"/>
        <w:rPr>
          <w:bCs/>
          <w:color w:val="002060"/>
          <w:sz w:val="16"/>
          <w:szCs w:val="16"/>
        </w:rPr>
      </w:pPr>
      <w:r w:rsidRPr="00405303">
        <w:rPr>
          <w:bCs/>
          <w:color w:val="002060"/>
          <w:sz w:val="16"/>
          <w:szCs w:val="16"/>
        </w:rPr>
        <w:t>&lt;...&gt;.</w:t>
      </w:r>
    </w:p>
    <w:p w14:paraId="1A294E8B" w14:textId="77777777" w:rsidR="004B4E35" w:rsidRPr="00405303" w:rsidRDefault="009E6F82" w:rsidP="00C15251">
      <w:pPr>
        <w:jc w:val="both"/>
        <w:rPr>
          <w:bCs/>
          <w:color w:val="002060"/>
          <w:sz w:val="16"/>
          <w:szCs w:val="16"/>
        </w:rPr>
      </w:pPr>
      <w:r w:rsidRPr="00405303">
        <w:rPr>
          <w:bCs/>
          <w:color w:val="002060"/>
          <w:sz w:val="16"/>
          <w:szCs w:val="16"/>
        </w:rPr>
        <w:t>Г. Передача донесений гидро[аэропланом] 10. Донесения с помощью сигналов дымками гидро[аэроплан] делает: кораблю командующего флотом, если нет большой разницы в расстоянии от гидро[аэроплана] до разных судов; кораблю, в распоряжение которого он назначен, в случае выделения части флота совместно с гидро[аэропланом]; ближайшему кораблю, имеющему радио, если расстояние до вышеназванных кораблей значительно дальше расстояния до ближайшего.</w:t>
      </w:r>
    </w:p>
    <w:p w14:paraId="3DB6EA69" w14:textId="77777777" w:rsidR="004B4E35" w:rsidRPr="00405303" w:rsidRDefault="009E6F82" w:rsidP="00C15251">
      <w:pPr>
        <w:jc w:val="both"/>
        <w:rPr>
          <w:bCs/>
          <w:color w:val="002060"/>
          <w:sz w:val="16"/>
          <w:szCs w:val="16"/>
        </w:rPr>
      </w:pPr>
      <w:r w:rsidRPr="00405303">
        <w:rPr>
          <w:bCs/>
          <w:color w:val="002060"/>
          <w:sz w:val="16"/>
          <w:szCs w:val="16"/>
        </w:rPr>
        <w:t>11. Получив достаточно данных разведкой в воздухе, гидро[аэроплан] при первой возможности или вернувшись к своей матке садится на воду и передает словами подробности разведки.</w:t>
      </w:r>
    </w:p>
    <w:p w14:paraId="2D4B95AA" w14:textId="77777777" w:rsidR="004B4E35" w:rsidRPr="00405303" w:rsidRDefault="009E6F82" w:rsidP="00C15251">
      <w:pPr>
        <w:jc w:val="both"/>
        <w:rPr>
          <w:bCs/>
          <w:color w:val="002060"/>
          <w:sz w:val="16"/>
          <w:szCs w:val="16"/>
        </w:rPr>
      </w:pPr>
      <w:r w:rsidRPr="00405303">
        <w:rPr>
          <w:bCs/>
          <w:color w:val="002060"/>
          <w:sz w:val="16"/>
          <w:szCs w:val="16"/>
        </w:rPr>
        <w:t>12. Когда это удобно, гидро[аэроплан] садится около корабля командующего флотом, передает словами эти подробности, после чего уже бежит по воде к своей матке.</w:t>
      </w:r>
    </w:p>
    <w:p w14:paraId="47B9543A" w14:textId="77777777" w:rsidR="004B4E35" w:rsidRPr="00405303" w:rsidRDefault="009E6F82" w:rsidP="00C15251">
      <w:pPr>
        <w:jc w:val="both"/>
        <w:rPr>
          <w:bCs/>
          <w:color w:val="002060"/>
          <w:sz w:val="16"/>
          <w:szCs w:val="16"/>
        </w:rPr>
      </w:pPr>
      <w:r w:rsidRPr="00405303">
        <w:rPr>
          <w:bCs/>
          <w:color w:val="002060"/>
          <w:sz w:val="16"/>
          <w:szCs w:val="16"/>
        </w:rPr>
        <w:t>&lt;...&gt;.</w:t>
      </w:r>
    </w:p>
    <w:p w14:paraId="2BE11B20" w14:textId="77777777" w:rsidR="004B4E35" w:rsidRPr="00405303" w:rsidRDefault="009E6F82" w:rsidP="00C15251">
      <w:pPr>
        <w:jc w:val="both"/>
        <w:rPr>
          <w:bCs/>
          <w:color w:val="002060"/>
          <w:sz w:val="16"/>
          <w:szCs w:val="16"/>
        </w:rPr>
      </w:pPr>
      <w:r w:rsidRPr="00405303">
        <w:rPr>
          <w:bCs/>
          <w:color w:val="002060"/>
          <w:sz w:val="16"/>
          <w:szCs w:val="16"/>
        </w:rPr>
        <w:t>Адмирал А. ЭБЕРГАРД Российский государственный архив Военно-морского флота. Ф. 418. Оп. 1. Д. 1407. Л. 117—118.</w:t>
      </w:r>
    </w:p>
    <w:p w14:paraId="75DA5D3C" w14:textId="77777777" w:rsidR="004B4E35" w:rsidRPr="00405303" w:rsidRDefault="004B4E35" w:rsidP="00C15251">
      <w:pPr>
        <w:shd w:val="clear" w:color="auto" w:fill="FFFFFF"/>
        <w:jc w:val="both"/>
        <w:rPr>
          <w:bCs/>
          <w:color w:val="002060"/>
          <w:sz w:val="16"/>
          <w:szCs w:val="16"/>
        </w:rPr>
      </w:pPr>
    </w:p>
    <w:p w14:paraId="31FE7C86" w14:textId="77777777" w:rsidR="0056022D" w:rsidRPr="00405303" w:rsidRDefault="0056022D" w:rsidP="00C15251">
      <w:pPr>
        <w:shd w:val="clear" w:color="auto" w:fill="FFFFFF"/>
        <w:jc w:val="both"/>
        <w:rPr>
          <w:bCs/>
          <w:i/>
          <w:color w:val="002060"/>
          <w:sz w:val="16"/>
          <w:szCs w:val="16"/>
        </w:rPr>
      </w:pPr>
      <w:r w:rsidRPr="00405303">
        <w:rPr>
          <w:bCs/>
          <w:i/>
          <w:color w:val="002060"/>
          <w:sz w:val="16"/>
          <w:szCs w:val="16"/>
        </w:rPr>
        <w:t>Авиация и воздухоплавание за рубежом:</w:t>
      </w:r>
    </w:p>
    <w:p w14:paraId="0AFBEF22" w14:textId="77777777" w:rsidR="0056022D" w:rsidRPr="00405303" w:rsidRDefault="0056022D" w:rsidP="00C15251">
      <w:pPr>
        <w:shd w:val="clear" w:color="auto" w:fill="FFFFFF"/>
        <w:jc w:val="both"/>
        <w:rPr>
          <w:bCs/>
          <w:i/>
          <w:color w:val="002060"/>
          <w:sz w:val="16"/>
          <w:szCs w:val="16"/>
        </w:rPr>
      </w:pPr>
    </w:p>
    <w:p w14:paraId="7E11A5A4" w14:textId="77777777" w:rsidR="0056022D" w:rsidRPr="00405303" w:rsidRDefault="0056022D" w:rsidP="00C15251">
      <w:pPr>
        <w:jc w:val="both"/>
        <w:rPr>
          <w:bCs/>
          <w:color w:val="002060"/>
          <w:sz w:val="16"/>
          <w:szCs w:val="16"/>
        </w:rPr>
      </w:pPr>
      <w:r w:rsidRPr="00405303">
        <w:rPr>
          <w:bCs/>
          <w:color w:val="002060"/>
          <w:sz w:val="16"/>
          <w:szCs w:val="16"/>
        </w:rPr>
        <w:t xml:space="preserve">12 (25) мая 1915 года итальянский дирижабль «Читта ди Ези» производил разведку действий австрийского флота, который с началом вступления Италии в войну произвел демонстративную вылазку в район Анконы. 26 мая оба дирижабля приняли участие в бомбардировке позиций австрийских войск в Шебенико, а 30 мая атаковали Пулу. В ответ австрийская авиация 1 и 5 июня бомбила эллинг в Кампальто. </w:t>
      </w:r>
    </w:p>
    <w:p w14:paraId="060C90EC" w14:textId="77777777" w:rsidR="0056022D" w:rsidRPr="00405303" w:rsidRDefault="0056022D" w:rsidP="00C15251">
      <w:pPr>
        <w:jc w:val="both"/>
        <w:rPr>
          <w:bCs/>
          <w:color w:val="002060"/>
          <w:sz w:val="16"/>
          <w:szCs w:val="16"/>
        </w:rPr>
      </w:pPr>
      <w:r w:rsidRPr="00405303">
        <w:rPr>
          <w:bCs/>
          <w:color w:val="002060"/>
          <w:sz w:val="16"/>
          <w:szCs w:val="16"/>
        </w:rPr>
        <w:t xml:space="preserve">7 июня 1915 года в 23.00 «Читта ди Феррара» вылетел из Ези на бомбардировку Фиуме. На рассвете, находясь над городом на высоте 1000 м, он сбросил часть своих бомб на завод «Уайтхед», который производил торпеды, и уничтожил несколько производственных зданий. Затем дирижабль направился в сторону верфи «Данюбиус», но в этот момент разрушилась носовая часть его корпуса. Корабль совершил вынужденную посадку вблизи Люссэна. Из Пулы поднялся гидросамолет и атаковал пулеметным огнем беспомощный дирижабль, однако водород не загорелся. После нескольких бесплодных атак гидросамолет стал [350] обстреливать корабль с помощью сигнальных ракет, и одна из них сделала свое черное дело — дирижабль вспыхнул и взорвался. Обломки «Читта ди Феррара» подобрали 2 эсминца, вышедшие из Пулы. </w:t>
      </w:r>
    </w:p>
    <w:p w14:paraId="2B206974" w14:textId="77777777" w:rsidR="0056022D" w:rsidRPr="00405303" w:rsidRDefault="0056022D" w:rsidP="00C15251">
      <w:pPr>
        <w:jc w:val="both"/>
        <w:rPr>
          <w:bCs/>
          <w:color w:val="002060"/>
          <w:sz w:val="16"/>
          <w:szCs w:val="16"/>
        </w:rPr>
      </w:pPr>
      <w:r w:rsidRPr="00405303">
        <w:rPr>
          <w:bCs/>
          <w:color w:val="002060"/>
          <w:sz w:val="16"/>
          <w:szCs w:val="16"/>
        </w:rPr>
        <w:t>Дирижабль «Читта ди Ези» стал работать только по ночам, но это продолжалось недолго. Спустя месяц он был сбит артиллерийским огнем береговых батарей Пулы (11324).</w:t>
      </w:r>
    </w:p>
    <w:p w14:paraId="157A5811" w14:textId="77777777" w:rsidR="0056022D" w:rsidRPr="00405303" w:rsidRDefault="0056022D" w:rsidP="00C15251">
      <w:pPr>
        <w:shd w:val="clear" w:color="auto" w:fill="FFFFFF"/>
        <w:jc w:val="both"/>
        <w:rPr>
          <w:bCs/>
          <w:i/>
          <w:color w:val="002060"/>
          <w:sz w:val="16"/>
          <w:szCs w:val="16"/>
        </w:rPr>
      </w:pPr>
    </w:p>
    <w:p w14:paraId="5537B2FE"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54DA9F33" w14:textId="77777777" w:rsidR="004B4E35" w:rsidRPr="00405303" w:rsidRDefault="004B4E35" w:rsidP="00C15251">
      <w:pPr>
        <w:shd w:val="clear" w:color="auto" w:fill="FFFFFF"/>
        <w:jc w:val="both"/>
        <w:rPr>
          <w:bCs/>
          <w:i/>
          <w:color w:val="002060"/>
          <w:sz w:val="16"/>
          <w:szCs w:val="16"/>
        </w:rPr>
      </w:pPr>
    </w:p>
    <w:p w14:paraId="2A87EFD7" w14:textId="77777777" w:rsidR="00FF5A3C" w:rsidRPr="00405303" w:rsidRDefault="00FF5A3C" w:rsidP="00C15251">
      <w:pPr>
        <w:jc w:val="both"/>
        <w:rPr>
          <w:rFonts w:eastAsia="Times-Roman"/>
          <w:bCs/>
          <w:color w:val="002060"/>
          <w:sz w:val="16"/>
          <w:szCs w:val="16"/>
        </w:rPr>
      </w:pPr>
      <w:r w:rsidRPr="00405303">
        <w:rPr>
          <w:rFonts w:eastAsia="Times-Roman"/>
          <w:bCs/>
          <w:color w:val="002060"/>
          <w:sz w:val="16"/>
          <w:szCs w:val="16"/>
        </w:rPr>
        <w:t xml:space="preserve">13 (26) </w:t>
      </w:r>
      <w:r w:rsidRPr="00405303">
        <w:rPr>
          <w:rFonts w:eastAsia="TimesNewRoman"/>
          <w:bCs/>
          <w:color w:val="002060"/>
          <w:sz w:val="16"/>
          <w:szCs w:val="16"/>
        </w:rPr>
        <w:t xml:space="preserve">мая 1915 с разрешения императора Николая </w:t>
      </w:r>
      <w:r w:rsidRPr="00405303">
        <w:rPr>
          <w:rFonts w:eastAsia="Times-Roman"/>
          <w:bCs/>
          <w:color w:val="002060"/>
          <w:sz w:val="16"/>
          <w:szCs w:val="16"/>
        </w:rPr>
        <w:t xml:space="preserve">II </w:t>
      </w:r>
      <w:r w:rsidRPr="00405303">
        <w:rPr>
          <w:rFonts w:eastAsia="TimesNewRoman"/>
          <w:bCs/>
          <w:color w:val="002060"/>
          <w:sz w:val="16"/>
          <w:szCs w:val="16"/>
        </w:rPr>
        <w:t>и на основании телеграммы Верховного главнокомандующего великого князя Николая Николаевича было учреждено Особое совещание для объединения мероприятий по обеспечению действующей армии предметами боевого и материального снабжения во главе с военным министром</w:t>
      </w:r>
      <w:r w:rsidRPr="00405303">
        <w:rPr>
          <w:rFonts w:eastAsia="Times-Roman"/>
          <w:bCs/>
          <w:color w:val="002060"/>
          <w:sz w:val="16"/>
          <w:szCs w:val="16"/>
        </w:rPr>
        <w:t xml:space="preserve">. </w:t>
      </w:r>
      <w:r w:rsidRPr="00405303">
        <w:rPr>
          <w:rFonts w:eastAsia="TimesNewRoman"/>
          <w:bCs/>
          <w:color w:val="002060"/>
          <w:sz w:val="16"/>
          <w:szCs w:val="16"/>
        </w:rPr>
        <w:t>Круг задач этого органа был обрисован следующим образом</w:t>
      </w:r>
      <w:r w:rsidRPr="00405303">
        <w:rPr>
          <w:rFonts w:eastAsia="Times-Roman"/>
          <w:bCs/>
          <w:color w:val="002060"/>
          <w:sz w:val="16"/>
          <w:szCs w:val="16"/>
        </w:rPr>
        <w:t>: «</w:t>
      </w:r>
      <w:r w:rsidRPr="00405303">
        <w:rPr>
          <w:rFonts w:eastAsia="TimesNewRoman"/>
          <w:bCs/>
          <w:color w:val="002060"/>
          <w:sz w:val="16"/>
          <w:szCs w:val="16"/>
        </w:rPr>
        <w:t>Для успешного развития поставки снарядов</w:t>
      </w:r>
      <w:r w:rsidRPr="00405303">
        <w:rPr>
          <w:rFonts w:eastAsia="Times-Roman"/>
          <w:bCs/>
          <w:color w:val="002060"/>
          <w:sz w:val="16"/>
          <w:szCs w:val="16"/>
        </w:rPr>
        <w:t xml:space="preserve">, </w:t>
      </w:r>
      <w:r w:rsidRPr="00405303">
        <w:rPr>
          <w:rFonts w:eastAsia="TimesNewRoman"/>
          <w:bCs/>
          <w:color w:val="002060"/>
          <w:sz w:val="16"/>
          <w:szCs w:val="16"/>
        </w:rPr>
        <w:t>орудий</w:t>
      </w:r>
      <w:r w:rsidRPr="00405303">
        <w:rPr>
          <w:rFonts w:eastAsia="Times-Roman"/>
          <w:bCs/>
          <w:color w:val="002060"/>
          <w:sz w:val="16"/>
          <w:szCs w:val="16"/>
        </w:rPr>
        <w:t xml:space="preserve">, </w:t>
      </w:r>
      <w:r w:rsidRPr="00405303">
        <w:rPr>
          <w:rFonts w:eastAsia="TimesNewRoman"/>
          <w:bCs/>
          <w:color w:val="002060"/>
          <w:sz w:val="16"/>
          <w:szCs w:val="16"/>
        </w:rPr>
        <w:t>патронов и ружей вам предоставляется право привлечения к работе всех частных заводов до реквизиции их запасов и станков включительно</w:t>
      </w:r>
      <w:r w:rsidRPr="00405303">
        <w:rPr>
          <w:rFonts w:eastAsia="Times-Roman"/>
          <w:bCs/>
          <w:color w:val="002060"/>
          <w:sz w:val="16"/>
          <w:szCs w:val="16"/>
        </w:rPr>
        <w:t xml:space="preserve">, </w:t>
      </w:r>
      <w:r w:rsidRPr="00405303">
        <w:rPr>
          <w:rFonts w:eastAsia="TimesNewRoman"/>
          <w:bCs/>
          <w:color w:val="002060"/>
          <w:sz w:val="16"/>
          <w:szCs w:val="16"/>
        </w:rPr>
        <w:t>право испрошения и незамедлительного открытия кредитов и</w:t>
      </w:r>
      <w:r w:rsidRPr="00405303">
        <w:rPr>
          <w:rFonts w:eastAsia="Times-Roman"/>
          <w:bCs/>
          <w:color w:val="002060"/>
          <w:sz w:val="16"/>
          <w:szCs w:val="16"/>
        </w:rPr>
        <w:t xml:space="preserve">, </w:t>
      </w:r>
      <w:r w:rsidRPr="00405303">
        <w:rPr>
          <w:rFonts w:eastAsia="TimesNewRoman"/>
          <w:bCs/>
          <w:color w:val="002060"/>
          <w:sz w:val="16"/>
          <w:szCs w:val="16"/>
        </w:rPr>
        <w:t>в случае признания совещанием необходимости</w:t>
      </w:r>
      <w:r w:rsidRPr="00405303">
        <w:rPr>
          <w:rFonts w:eastAsia="Times-Roman"/>
          <w:bCs/>
          <w:color w:val="002060"/>
          <w:sz w:val="16"/>
          <w:szCs w:val="16"/>
        </w:rPr>
        <w:t xml:space="preserve">, </w:t>
      </w:r>
      <w:r w:rsidRPr="00405303">
        <w:rPr>
          <w:rFonts w:eastAsia="TimesNewRoman"/>
          <w:bCs/>
          <w:color w:val="002060"/>
          <w:sz w:val="16"/>
          <w:szCs w:val="16"/>
        </w:rPr>
        <w:t>отпуска безвозвратных ссуд на оборудование новых мастерских и заводов</w:t>
      </w:r>
      <w:r w:rsidRPr="00405303">
        <w:rPr>
          <w:rFonts w:eastAsia="Times-Roman"/>
          <w:bCs/>
          <w:color w:val="002060"/>
          <w:sz w:val="16"/>
          <w:szCs w:val="16"/>
        </w:rPr>
        <w:t xml:space="preserve">…». </w:t>
      </w:r>
      <w:r w:rsidRPr="00405303">
        <w:rPr>
          <w:rFonts w:eastAsia="TimesNewRoman"/>
          <w:bCs/>
          <w:color w:val="002060"/>
          <w:sz w:val="16"/>
          <w:szCs w:val="16"/>
        </w:rPr>
        <w:t>Тем самым давался старт военно</w:t>
      </w:r>
      <w:r w:rsidRPr="00405303">
        <w:rPr>
          <w:rFonts w:eastAsia="Times-Roman"/>
          <w:bCs/>
          <w:color w:val="002060"/>
          <w:sz w:val="16"/>
          <w:szCs w:val="16"/>
        </w:rPr>
        <w:t>-</w:t>
      </w:r>
      <w:r w:rsidRPr="00405303">
        <w:rPr>
          <w:rFonts w:eastAsia="TimesNewRoman"/>
          <w:bCs/>
          <w:color w:val="002060"/>
          <w:sz w:val="16"/>
          <w:szCs w:val="16"/>
        </w:rPr>
        <w:t>экономической мобилизации всей промышленности России (20240)</w:t>
      </w:r>
      <w:r w:rsidRPr="00405303">
        <w:rPr>
          <w:rFonts w:eastAsia="Times-Roman"/>
          <w:bCs/>
          <w:color w:val="002060"/>
          <w:sz w:val="16"/>
          <w:szCs w:val="16"/>
        </w:rPr>
        <w:t>.</w:t>
      </w:r>
    </w:p>
    <w:p w14:paraId="3C08D77F" w14:textId="77777777" w:rsidR="00FF5A3C" w:rsidRPr="00405303" w:rsidRDefault="00FF5A3C" w:rsidP="00C15251">
      <w:pPr>
        <w:jc w:val="both"/>
        <w:rPr>
          <w:rFonts w:eastAsia="TimesNewRoman"/>
          <w:bCs/>
          <w:color w:val="002060"/>
          <w:sz w:val="16"/>
          <w:szCs w:val="16"/>
        </w:rPr>
      </w:pPr>
    </w:p>
    <w:p w14:paraId="1A2E262E" w14:textId="7003B5E4"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13 (26) мая 1915 г.</w:t>
      </w:r>
      <w:r w:rsidR="00C2121F" w:rsidRPr="00405303">
        <w:rPr>
          <w:bCs/>
          <w:i w:val="0"/>
          <w:color w:val="002060"/>
          <w:spacing w:val="0"/>
          <w:kern w:val="0"/>
          <w:position w:val="0"/>
          <w:sz w:val="16"/>
          <w:szCs w:val="16"/>
        </w:rPr>
        <w:t xml:space="preserve"> Военный совет своим постановлением</w:t>
      </w:r>
      <w:r w:rsidRPr="00405303">
        <w:rPr>
          <w:bCs/>
          <w:i w:val="0"/>
          <w:color w:val="002060"/>
          <w:spacing w:val="0"/>
          <w:kern w:val="0"/>
          <w:position w:val="0"/>
          <w:sz w:val="16"/>
          <w:szCs w:val="16"/>
        </w:rPr>
        <w:t xml:space="preserve">, признав необходимым постройку нового казенного завода, в то же время признал и необходимость одновременной постройки и частного оружейного завода, чего вовсе не просило ГАУ, но чего уже давно домогались как отдельные лица, так и разные банковские "комбинации". </w:t>
      </w:r>
    </w:p>
    <w:p w14:paraId="777B67F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ГАУ разработало подробные задания на постройку частного оружейного завода и разослало их на конкурс всем заинтересованным в этом деле промышленным группам и лицам. В то же время оно произвело подробную калькуляцию себестоимости винтовки, учтя все обстоятельства постройки завода при современной конъюнктуре рынка и включая сюда расходы: на покупку участка земли, на производство строительных работ и на приобретение всего оборудования и приняв в расчет накладной расход на погашение затраченного капитала, а также прибавив 10% на те расходы, которые казна не учитывает или не несет (содержание центрального правления, промысловый налог, дивиденд на акционерный, капитал и пр.). </w:t>
      </w:r>
    </w:p>
    <w:p w14:paraId="54510E0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При этом цена за винтовку (при условии заказа их в 2.000.000 штук), неубыточная для казны и "необидная" для частного предпринимателя, определялась около 35 рублей. </w:t>
      </w:r>
    </w:p>
    <w:p w14:paraId="4493261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Цены всех поступивших на объявленный конкурс предложений оказались выше этих 35 рублей, причем некоторые - значительно выше (каждый же лишний полтинник против 35 рублей означает 1.000.000 рублей на всем заказе). И только лишь общество "Пулемет" поставило уже во внеконкурсном заявлении (очевидно, как-то осведомившись о калькуляционной цене ГАУ) именно эту цену - 35 рублей. </w:t>
      </w:r>
    </w:p>
    <w:p w14:paraId="5C28FF2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Но центр тяжести вопроса лежал не только в сильно преувеличенной цене за винтовку, а в том, что все частные предприниматели собирались строить завод не на свои собственные или акционерные капиталы, а на те крупные авансы от казны, получением которых они обусловливали свои предложения. Таким образом, выходило, </w:t>
      </w:r>
      <w:proofErr w:type="gramStart"/>
      <w:r w:rsidRPr="00405303">
        <w:rPr>
          <w:bCs/>
          <w:i w:val="0"/>
          <w:color w:val="002060"/>
          <w:spacing w:val="0"/>
          <w:kern w:val="0"/>
          <w:position w:val="0"/>
          <w:sz w:val="16"/>
          <w:szCs w:val="16"/>
        </w:rPr>
        <w:t>что по существу</w:t>
      </w:r>
      <w:proofErr w:type="gramEnd"/>
      <w:r w:rsidRPr="00405303">
        <w:rPr>
          <w:bCs/>
          <w:i w:val="0"/>
          <w:color w:val="002060"/>
          <w:spacing w:val="0"/>
          <w:kern w:val="0"/>
          <w:position w:val="0"/>
          <w:sz w:val="16"/>
          <w:szCs w:val="16"/>
        </w:rPr>
        <w:t xml:space="preserve"> казна будет строить завод за свой собственный счет, но лишь при помощи комиссионеров. Так что все плюсы будут для них, а вот в случае неуспешности действия завода - казна должна будет, согласно условиям, произвести выкуп этого </w:t>
      </w:r>
      <w:proofErr w:type="gramStart"/>
      <w:r w:rsidRPr="00405303">
        <w:rPr>
          <w:bCs/>
          <w:i w:val="0"/>
          <w:color w:val="002060"/>
          <w:spacing w:val="0"/>
          <w:kern w:val="0"/>
          <w:position w:val="0"/>
          <w:sz w:val="16"/>
          <w:szCs w:val="16"/>
        </w:rPr>
        <w:t>завода по "справедливой" оценке</w:t>
      </w:r>
      <w:proofErr w:type="gramEnd"/>
      <w:r w:rsidRPr="00405303">
        <w:rPr>
          <w:bCs/>
          <w:i w:val="0"/>
          <w:color w:val="002060"/>
          <w:spacing w:val="0"/>
          <w:kern w:val="0"/>
          <w:position w:val="0"/>
          <w:sz w:val="16"/>
          <w:szCs w:val="16"/>
        </w:rPr>
        <w:t xml:space="preserve">... Вот что сулили военному ведомству частные предложения. А так как винтовки в частной промышленности никогда не делались, то частный завод неизбежно стал бы сманивать с казенных административный, технический и рабочий персонал путем резкого повышения платы, что вызвало бы в случае допущения этого несомненное расстройство производства и в казенных заводах. Помочь этому делу заграничный рынок тоже не смог бы, так как и там уже были использованы, что называется "до отказа", все маломальски пригодные для сего силы. </w:t>
      </w:r>
    </w:p>
    <w:p w14:paraId="2BD1108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данном случае для ГАУ дело облегчалось тем, что к этому времени совершенно самостоятельно возник вопрос о необходимости переноса из района Кронштадтской крепости Н-ского оружейного завода, а потому естественно напрашивалось такое решение: влить этот завод во вновь строящийся (по окончании его), сделав годичную производительность нового равной сумме производительности их обоих, т.е. 200.000+600.000=800.000 в год </w:t>
      </w:r>
    </w:p>
    <w:p w14:paraId="0E73B59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Все вышеприведенные соображения были признаны заслуживающими уважения Военным советом 29 октября (11 ноября) 1915 г., и ГАУ была разрешена постройка вместо частного еще одного казенного оружейного завода. </w:t>
      </w:r>
    </w:p>
    <w:p w14:paraId="080AB56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lastRenderedPageBreak/>
        <w:t>Здесь не приводятся все те предложения на постройку частного оружейного завода, которые делались военному ведомству или высшим правительственным учреждениям и лицам. Выполнение всех этих предложений было совершенно не по силам для их авторов, которые имели целью лишь одну наживу без малейшей гарантии как успеха дела, так и интересов казны (11483).</w:t>
      </w:r>
    </w:p>
    <w:p w14:paraId="1DDD1B50" w14:textId="77777777" w:rsidR="004B4E35" w:rsidRPr="00405303" w:rsidRDefault="004B4E35" w:rsidP="00C15251">
      <w:pPr>
        <w:pStyle w:val="a3"/>
        <w:jc w:val="both"/>
        <w:rPr>
          <w:bCs/>
          <w:i w:val="0"/>
          <w:color w:val="002060"/>
          <w:spacing w:val="0"/>
          <w:kern w:val="0"/>
          <w:position w:val="0"/>
          <w:sz w:val="16"/>
          <w:szCs w:val="16"/>
        </w:rPr>
      </w:pPr>
    </w:p>
    <w:p w14:paraId="5A49E844" w14:textId="56AB106E" w:rsidR="004B4E35" w:rsidRPr="00405303" w:rsidRDefault="009E6F82" w:rsidP="00C15251">
      <w:pPr>
        <w:jc w:val="both"/>
        <w:rPr>
          <w:bCs/>
          <w:color w:val="002060"/>
          <w:sz w:val="16"/>
          <w:szCs w:val="16"/>
        </w:rPr>
      </w:pPr>
      <w:r w:rsidRPr="00405303">
        <w:rPr>
          <w:bCs/>
          <w:color w:val="002060"/>
          <w:sz w:val="16"/>
          <w:szCs w:val="16"/>
        </w:rPr>
        <w:t>13</w:t>
      </w:r>
      <w:r w:rsidR="00C2121F" w:rsidRPr="00405303">
        <w:rPr>
          <w:bCs/>
          <w:color w:val="002060"/>
          <w:sz w:val="16"/>
          <w:szCs w:val="16"/>
        </w:rPr>
        <w:t xml:space="preserve"> (26) мая </w:t>
      </w:r>
      <w:r w:rsidRPr="00405303">
        <w:rPr>
          <w:bCs/>
          <w:color w:val="002060"/>
          <w:sz w:val="16"/>
          <w:szCs w:val="16"/>
        </w:rPr>
        <w:t>1915</w:t>
      </w:r>
      <w:r w:rsidR="00C2121F" w:rsidRPr="00405303">
        <w:rPr>
          <w:bCs/>
          <w:color w:val="002060"/>
          <w:sz w:val="16"/>
          <w:szCs w:val="16"/>
        </w:rPr>
        <w:t xml:space="preserve"> г</w:t>
      </w:r>
      <w:r w:rsidRPr="00405303">
        <w:rPr>
          <w:bCs/>
          <w:color w:val="002060"/>
          <w:sz w:val="16"/>
          <w:szCs w:val="16"/>
        </w:rPr>
        <w:t xml:space="preserve">. </w:t>
      </w:r>
      <w:r w:rsidR="00C2121F" w:rsidRPr="00405303">
        <w:rPr>
          <w:bCs/>
          <w:color w:val="002060"/>
          <w:sz w:val="16"/>
          <w:szCs w:val="16"/>
        </w:rPr>
        <w:t>состоялся п</w:t>
      </w:r>
      <w:r w:rsidRPr="00405303">
        <w:rPr>
          <w:bCs/>
          <w:color w:val="002060"/>
          <w:sz w:val="16"/>
          <w:szCs w:val="16"/>
        </w:rPr>
        <w:t>робный пробег</w:t>
      </w:r>
      <w:r w:rsidR="00C2121F" w:rsidRPr="00405303">
        <w:rPr>
          <w:bCs/>
          <w:color w:val="002060"/>
          <w:sz w:val="16"/>
          <w:szCs w:val="16"/>
        </w:rPr>
        <w:t xml:space="preserve"> вездкхода Пороховщикова. Н</w:t>
      </w:r>
      <w:r w:rsidRPr="00405303">
        <w:rPr>
          <w:bCs/>
          <w:color w:val="002060"/>
          <w:sz w:val="16"/>
          <w:szCs w:val="16"/>
        </w:rPr>
        <w:t>ецентрированная резиновая лента «гуляла» по каткам и упорно норовила слететь. При испытаниях шасси в «штатном» режиме машину догружали мешками с песком. Из чего следует, что расчетная масса комплектного «Вездехода» больше массы опытного образца, но данных по массе балласта нет и получить какие-либо эмпирические ориентировки относительно полезной нагрузки (бронированию кузова) не представляется возможным.</w:t>
      </w:r>
    </w:p>
    <w:p w14:paraId="606060ED" w14:textId="77777777" w:rsidR="004B4E35" w:rsidRPr="00405303" w:rsidRDefault="009E6F82" w:rsidP="00C15251">
      <w:pPr>
        <w:jc w:val="both"/>
        <w:rPr>
          <w:bCs/>
          <w:color w:val="002060"/>
          <w:sz w:val="16"/>
          <w:szCs w:val="16"/>
        </w:rPr>
      </w:pPr>
      <w:r w:rsidRPr="00405303">
        <w:rPr>
          <w:bCs/>
          <w:color w:val="002060"/>
          <w:sz w:val="16"/>
          <w:szCs w:val="16"/>
        </w:rPr>
        <w:t>20.06.1915. Официальные испытания. Результаты зафиксированы комиссией в акте №4563: «…означенный «Вездеход» легко идет по довольно глубокому песку со скоростью около двадцати верст в час; в дальнейшем «Вездеход» перешел на среднем ходу канаву с пологими (около 40 градусов) откосами, шириной по верху три и глубиной около одного аршина… Все значительные выбоины и значительные неровности поверхности «полкового двора», где производились испытания, «Вездеход» брал легко, на полном ходу. Поворотливость вполне удовлетворительная; в общем «Вездеход» прошел по грунту и местности, непроходимой для обыкновенных автомобилей» (Редакционная статья «Родина танка — Россия» в газете «Известия» ВЦИК №205 (1644) от 13.09.22) (12111).</w:t>
      </w:r>
    </w:p>
    <w:p w14:paraId="6C735756" w14:textId="6E85F88E" w:rsidR="004B4E35" w:rsidRPr="00405303" w:rsidRDefault="004B4E35" w:rsidP="00C15251">
      <w:pPr>
        <w:jc w:val="both"/>
        <w:rPr>
          <w:bCs/>
          <w:color w:val="002060"/>
          <w:sz w:val="16"/>
          <w:szCs w:val="16"/>
        </w:rPr>
      </w:pPr>
    </w:p>
    <w:p w14:paraId="249D6017" w14:textId="0A1105E6" w:rsidR="00FF5C7B" w:rsidRPr="00405303" w:rsidRDefault="00FF5C7B" w:rsidP="00C15251">
      <w:pPr>
        <w:jc w:val="both"/>
        <w:rPr>
          <w:bCs/>
          <w:i/>
          <w:iCs/>
          <w:color w:val="002060"/>
          <w:sz w:val="16"/>
          <w:szCs w:val="16"/>
        </w:rPr>
      </w:pPr>
      <w:r w:rsidRPr="00405303">
        <w:rPr>
          <w:bCs/>
          <w:i/>
          <w:iCs/>
          <w:color w:val="002060"/>
          <w:sz w:val="16"/>
          <w:szCs w:val="16"/>
        </w:rPr>
        <w:t>Авиация:</w:t>
      </w:r>
    </w:p>
    <w:p w14:paraId="67EF6BE8" w14:textId="77777777" w:rsidR="00FF5C7B" w:rsidRPr="00405303" w:rsidRDefault="00FF5C7B" w:rsidP="00C15251">
      <w:pPr>
        <w:jc w:val="both"/>
        <w:rPr>
          <w:bCs/>
          <w:i/>
          <w:iCs/>
          <w:color w:val="002060"/>
          <w:sz w:val="16"/>
          <w:szCs w:val="16"/>
        </w:rPr>
      </w:pPr>
    </w:p>
    <w:p w14:paraId="39D3522F" w14:textId="77777777" w:rsidR="00FF5C7B" w:rsidRPr="00405303" w:rsidRDefault="00FF5C7B" w:rsidP="00C15251">
      <w:pPr>
        <w:jc w:val="both"/>
        <w:rPr>
          <w:bCs/>
          <w:color w:val="002060"/>
          <w:sz w:val="16"/>
          <w:szCs w:val="16"/>
        </w:rPr>
      </w:pPr>
      <w:r w:rsidRPr="00405303">
        <w:rPr>
          <w:bCs/>
          <w:color w:val="002060"/>
          <w:sz w:val="16"/>
          <w:szCs w:val="16"/>
        </w:rPr>
        <w:t xml:space="preserve">13 (26) мая 1915 г. состоялся массовый налет немцев на Спадово. Летчики, стояввшие там, решили устроить воздушную засаду, для чего утром поднялись на Вуазенах прапорщик И.А.Орлов с летнабом Я.Окулич-Казариновым, поручик Д.Н. Коровников с летнабом Даничем и ст. унтер-офицер Ефим Воронин на Ньюпоре. </w:t>
      </w:r>
      <w:proofErr w:type="gramStart"/>
      <w:r w:rsidRPr="00405303">
        <w:rPr>
          <w:bCs/>
          <w:color w:val="002060"/>
          <w:sz w:val="16"/>
          <w:szCs w:val="16"/>
        </w:rPr>
        <w:t>Заметив</w:t>
      </w:r>
      <w:proofErr w:type="gramEnd"/>
      <w:r w:rsidRPr="00405303">
        <w:rPr>
          <w:bCs/>
          <w:color w:val="002060"/>
          <w:sz w:val="16"/>
          <w:szCs w:val="16"/>
        </w:rPr>
        <w:t xml:space="preserve"> немецкий Альбатрос, летчики окружили его и заставили снизиться. Летчик Воронин, расстреляв все патроны, вошел в азарт и решил таранить противника, но последний сумел вы</w:t>
      </w:r>
      <w:r w:rsidRPr="00405303">
        <w:rPr>
          <w:bCs/>
          <w:color w:val="002060"/>
          <w:sz w:val="16"/>
          <w:szCs w:val="16"/>
        </w:rPr>
        <w:softHyphen/>
        <w:t>скользнуть и избежал удара.</w:t>
      </w:r>
    </w:p>
    <w:p w14:paraId="7B04A6D1" w14:textId="77777777" w:rsidR="00FF5C7B" w:rsidRPr="00405303" w:rsidRDefault="00FF5C7B" w:rsidP="00C15251">
      <w:pPr>
        <w:jc w:val="both"/>
        <w:rPr>
          <w:bCs/>
          <w:color w:val="002060"/>
          <w:sz w:val="16"/>
          <w:szCs w:val="16"/>
        </w:rPr>
      </w:pPr>
      <w:r w:rsidRPr="00405303">
        <w:rPr>
          <w:bCs/>
          <w:color w:val="002060"/>
          <w:sz w:val="16"/>
          <w:szCs w:val="16"/>
        </w:rPr>
        <w:t>/ЦГВИА, ф. 2008, д. 852, л.16З/ (23320).</w:t>
      </w:r>
    </w:p>
    <w:p w14:paraId="7C80A6A5" w14:textId="77777777" w:rsidR="00FF5C7B" w:rsidRPr="00405303" w:rsidRDefault="00FF5C7B" w:rsidP="00C15251">
      <w:pPr>
        <w:jc w:val="both"/>
        <w:rPr>
          <w:bCs/>
          <w:color w:val="002060"/>
          <w:sz w:val="16"/>
          <w:szCs w:val="16"/>
        </w:rPr>
      </w:pPr>
    </w:p>
    <w:p w14:paraId="76BC06FF" w14:textId="6F8BCD69" w:rsidR="001753A6" w:rsidRPr="00405303" w:rsidRDefault="001753A6" w:rsidP="00C15251">
      <w:pPr>
        <w:jc w:val="both"/>
        <w:rPr>
          <w:bCs/>
          <w:color w:val="002060"/>
          <w:sz w:val="16"/>
          <w:szCs w:val="16"/>
        </w:rPr>
      </w:pPr>
      <w:r w:rsidRPr="00405303">
        <w:rPr>
          <w:bCs/>
          <w:color w:val="002060"/>
          <w:sz w:val="16"/>
          <w:szCs w:val="16"/>
        </w:rPr>
        <w:t>13 (26) мая 1915 г. личный состав 6-й лейб-гвардейской Донской казачьей Его Величества батареи записал на свой счет очередную победу. Вечером того же дня наблюдатели заметили в районе г. Ломжа неприятельский аэроплан. Батарея открыла по нему огонь, причинив аппарату серьезные повреждения. По докладу разведывательных постов лейб-гвардейского Гренадерского полка - вражеский «аппарат упал в немецкие окопы» (23405).</w:t>
      </w:r>
    </w:p>
    <w:p w14:paraId="26655B7A" w14:textId="77777777" w:rsidR="001753A6" w:rsidRPr="00405303" w:rsidRDefault="001753A6" w:rsidP="00C15251">
      <w:pPr>
        <w:jc w:val="both"/>
        <w:rPr>
          <w:bCs/>
          <w:color w:val="002060"/>
          <w:sz w:val="16"/>
          <w:szCs w:val="16"/>
          <w:lang w:bidi="ru-RU"/>
        </w:rPr>
      </w:pPr>
    </w:p>
    <w:p w14:paraId="5EEA8B57" w14:textId="77777777" w:rsidR="001A4DCC" w:rsidRPr="00405303" w:rsidRDefault="001A4DCC" w:rsidP="001A4DCC">
      <w:pPr>
        <w:jc w:val="both"/>
        <w:rPr>
          <w:color w:val="0070C0"/>
          <w:sz w:val="16"/>
          <w:szCs w:val="16"/>
        </w:rPr>
      </w:pPr>
      <w:r w:rsidRPr="00405303">
        <w:rPr>
          <w:color w:val="0070C0"/>
          <w:sz w:val="16"/>
          <w:szCs w:val="16"/>
        </w:rPr>
        <w:t>13 (26) мая 1915 г. сводной авиагруппой над н/п Червонный Шар был осуществлен перехват неприятельского «Альбатроса» (15-й полевой авиаотряд). Воспользовавшись лучшими летно-техническими качествами, немецкий самолет начал отрываться от преследования. Для его уничтожения летчик 4-го Сибирского авиаотряда старший унтер-офицер Воронин предпринял несколько неудачных попыток уничтожить его таранным (касательным) ударом. Чтобы исключить столкновения в воздухе, экипаж «Альбатроса» был вынужден снизить высоту полета, попал в зону огня русской зенитной артиллерии и оказался сбитым. Этот факт признала и германская сторона, подтвердив, что в результате падения самолета были госпитализированы раненые обер-лейтенант Р. Розенбаум (умер на следующий день) и лейтенант В. Витке (25135).</w:t>
      </w:r>
    </w:p>
    <w:p w14:paraId="66F07792" w14:textId="77777777" w:rsidR="001A4DCC" w:rsidRPr="00405303" w:rsidRDefault="001A4DCC" w:rsidP="001A4DCC">
      <w:pPr>
        <w:jc w:val="both"/>
        <w:rPr>
          <w:color w:val="0070C0"/>
          <w:sz w:val="16"/>
          <w:szCs w:val="16"/>
        </w:rPr>
      </w:pPr>
    </w:p>
    <w:p w14:paraId="32281C9E" w14:textId="77777777" w:rsidR="001A4DCC" w:rsidRPr="00405303" w:rsidRDefault="001A4DCC" w:rsidP="001A4DCC">
      <w:pPr>
        <w:jc w:val="both"/>
        <w:rPr>
          <w:color w:val="0070C0"/>
          <w:sz w:val="16"/>
          <w:szCs w:val="16"/>
        </w:rPr>
      </w:pPr>
      <w:r w:rsidRPr="00405303">
        <w:rPr>
          <w:rStyle w:val="aa"/>
          <w:rFonts w:ascii="Times New Roman" w:hAnsi="Times New Roman"/>
          <w:color w:val="0070C0"/>
          <w:spacing w:val="0"/>
          <w:sz w:val="16"/>
          <w:szCs w:val="16"/>
        </w:rPr>
        <w:t>13 (26) мая 1915 года по результатам первой проверки столичной воздушной обороны в своем докладе председателю Особой распорядительной комиссии по артиллерийской части великому князю Сергею Михайловичу по ее результатам главком 6-й армией, в частности, отмечал, что «[такие] тревоги [весьма желательны для] внезапной проверки деятельности всех органов обороны, представляющих собой довольно сложную организацию» (25166).</w:t>
      </w:r>
    </w:p>
    <w:p w14:paraId="47DEA78C" w14:textId="77777777" w:rsidR="001A4DCC" w:rsidRPr="00405303" w:rsidRDefault="001A4DCC" w:rsidP="001A4DCC">
      <w:pPr>
        <w:jc w:val="both"/>
        <w:rPr>
          <w:color w:val="0070C0"/>
          <w:sz w:val="16"/>
          <w:szCs w:val="16"/>
        </w:rPr>
      </w:pPr>
    </w:p>
    <w:p w14:paraId="1FEA6605"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7E589751" w14:textId="77777777" w:rsidR="004B4E35" w:rsidRPr="00405303" w:rsidRDefault="004B4E35" w:rsidP="00C15251">
      <w:pPr>
        <w:shd w:val="clear" w:color="auto" w:fill="FFFFFF"/>
        <w:jc w:val="both"/>
        <w:rPr>
          <w:bCs/>
          <w:i/>
          <w:color w:val="002060"/>
          <w:sz w:val="16"/>
          <w:szCs w:val="16"/>
        </w:rPr>
      </w:pPr>
    </w:p>
    <w:p w14:paraId="18CF0EBE" w14:textId="77777777" w:rsidR="00167F04" w:rsidRPr="00405303" w:rsidRDefault="00167F04" w:rsidP="00C15251">
      <w:pPr>
        <w:jc w:val="both"/>
        <w:rPr>
          <w:bCs/>
          <w:color w:val="002060"/>
          <w:sz w:val="16"/>
          <w:szCs w:val="16"/>
        </w:rPr>
      </w:pPr>
      <w:r w:rsidRPr="00405303">
        <w:rPr>
          <w:bCs/>
          <w:color w:val="002060"/>
          <w:sz w:val="16"/>
          <w:szCs w:val="16"/>
        </w:rPr>
        <w:t xml:space="preserve">13 (26) мая Линнарц опять появился над Эссексом и Саут-эндом, безнаказанно отбомбился и повернул на базу. Система ПВО в очередной раз дала осечку. Из пяти самолетов, поднятых по тревоге, два разбились на посадке, а зенитные батареи стреляли «в белый свет как в копеечку». </w:t>
      </w:r>
    </w:p>
    <w:p w14:paraId="5A7545CB" w14:textId="77777777" w:rsidR="00167F04" w:rsidRPr="00405303" w:rsidRDefault="00167F04" w:rsidP="00C15251">
      <w:pPr>
        <w:jc w:val="both"/>
        <w:rPr>
          <w:bCs/>
          <w:color w:val="002060"/>
          <w:sz w:val="16"/>
          <w:szCs w:val="16"/>
        </w:rPr>
      </w:pPr>
      <w:r w:rsidRPr="00405303">
        <w:rPr>
          <w:bCs/>
          <w:color w:val="002060"/>
          <w:sz w:val="16"/>
          <w:szCs w:val="16"/>
        </w:rPr>
        <w:t xml:space="preserve">В отместку англичане совершили рейд самолетами на Людвигсхафен, тем самым развязали руки Вильгельму II, и он разрешил армейским дирижаблям бомбить Лондон. Уже 31 мая «зловещий» Линнарц привел свой цеппелин в Англию и сбросил бомбы на столицу (11324). </w:t>
      </w:r>
    </w:p>
    <w:p w14:paraId="6003747B" w14:textId="77777777" w:rsidR="00167F04" w:rsidRPr="00405303" w:rsidRDefault="00167F04" w:rsidP="00C15251">
      <w:pPr>
        <w:shd w:val="clear" w:color="auto" w:fill="FFFFFF"/>
        <w:jc w:val="both"/>
        <w:rPr>
          <w:bCs/>
          <w:i/>
          <w:color w:val="002060"/>
          <w:sz w:val="16"/>
          <w:szCs w:val="16"/>
        </w:rPr>
      </w:pPr>
    </w:p>
    <w:p w14:paraId="27B205E6" w14:textId="5FC9E6A0" w:rsidR="004B4E35" w:rsidRPr="00405303" w:rsidRDefault="009E6F82" w:rsidP="00C15251">
      <w:pPr>
        <w:jc w:val="both"/>
        <w:rPr>
          <w:bCs/>
          <w:color w:val="002060"/>
          <w:sz w:val="16"/>
          <w:szCs w:val="16"/>
        </w:rPr>
      </w:pPr>
      <w:r w:rsidRPr="00405303">
        <w:rPr>
          <w:bCs/>
          <w:color w:val="002060"/>
          <w:sz w:val="16"/>
          <w:szCs w:val="16"/>
        </w:rPr>
        <w:t xml:space="preserve">13 (26) мая </w:t>
      </w:r>
      <w:r w:rsidR="00C2121F" w:rsidRPr="00405303">
        <w:rPr>
          <w:bCs/>
          <w:color w:val="002060"/>
          <w:sz w:val="16"/>
          <w:szCs w:val="16"/>
        </w:rPr>
        <w:t xml:space="preserve">1915 г. </w:t>
      </w:r>
      <w:r w:rsidRPr="00405303">
        <w:rPr>
          <w:bCs/>
          <w:color w:val="002060"/>
          <w:sz w:val="16"/>
          <w:szCs w:val="16"/>
        </w:rPr>
        <w:t>немцы бросали бомбы на Виленуа, близ Мо, в 30-ти с небольшим километрах к востоку от Парижа. Но в окрестностях Суассона эти германские авиаторы были сбиты французским аэропланом. На Англию немцы в это время сделали 3 воздушных налета. 26 мая их цеппелин бросал бомбы на Соусендэд, в 45-ти км к востоку от Лондона (11999).</w:t>
      </w:r>
    </w:p>
    <w:p w14:paraId="73990B9D" w14:textId="77777777" w:rsidR="004B4E35" w:rsidRPr="00405303" w:rsidRDefault="004B4E35" w:rsidP="00C15251">
      <w:pPr>
        <w:jc w:val="both"/>
        <w:rPr>
          <w:bCs/>
          <w:color w:val="002060"/>
          <w:sz w:val="16"/>
          <w:szCs w:val="16"/>
        </w:rPr>
      </w:pPr>
    </w:p>
    <w:p w14:paraId="03070505" w14:textId="77777777" w:rsidR="00AB1050" w:rsidRPr="00405303" w:rsidRDefault="00AB1050" w:rsidP="00C15251">
      <w:pPr>
        <w:jc w:val="both"/>
        <w:rPr>
          <w:bCs/>
          <w:color w:val="002060"/>
          <w:sz w:val="16"/>
          <w:szCs w:val="16"/>
        </w:rPr>
      </w:pPr>
      <w:r w:rsidRPr="00405303">
        <w:rPr>
          <w:bCs/>
          <w:color w:val="002060"/>
          <w:sz w:val="16"/>
          <w:szCs w:val="16"/>
        </w:rPr>
        <w:t>13 (26) мая 1915 Оберлейтенант Кестнер и лейтенант Георг Лангхофф одерживают первую победу Германии в воздухе в Первой мировой войне (20338).</w:t>
      </w:r>
    </w:p>
    <w:p w14:paraId="3F582FFD" w14:textId="77777777" w:rsidR="00AB1050" w:rsidRPr="00405303" w:rsidRDefault="00AB1050" w:rsidP="00C15251">
      <w:pPr>
        <w:jc w:val="both"/>
        <w:rPr>
          <w:bCs/>
          <w:color w:val="002060"/>
          <w:sz w:val="16"/>
          <w:szCs w:val="16"/>
        </w:rPr>
      </w:pPr>
    </w:p>
    <w:p w14:paraId="28E2C119" w14:textId="77777777" w:rsidR="00167F04" w:rsidRPr="00405303" w:rsidRDefault="00167F04" w:rsidP="00C15251">
      <w:pPr>
        <w:jc w:val="both"/>
        <w:rPr>
          <w:bCs/>
          <w:color w:val="002060"/>
          <w:sz w:val="16"/>
          <w:szCs w:val="16"/>
        </w:rPr>
      </w:pPr>
      <w:r w:rsidRPr="00405303">
        <w:rPr>
          <w:bCs/>
          <w:color w:val="002060"/>
          <w:sz w:val="16"/>
          <w:szCs w:val="16"/>
        </w:rPr>
        <w:t>13 (26) мая 1915 года из воздушного порта Зеддин на Балтийском побережье L-5 поднялся в разведывательный полет вместе с самолетами в направлении на Гельсингфорс. Всего L-5 выполнил 47 патрульных полетов и только один на бомбардировку (11324).</w:t>
      </w:r>
    </w:p>
    <w:p w14:paraId="1E16B1F4" w14:textId="77777777" w:rsidR="00167F04" w:rsidRPr="00405303" w:rsidRDefault="00167F04" w:rsidP="00C15251">
      <w:pPr>
        <w:shd w:val="clear" w:color="auto" w:fill="FFFFFF"/>
        <w:jc w:val="both"/>
        <w:rPr>
          <w:bCs/>
          <w:i/>
          <w:color w:val="002060"/>
          <w:sz w:val="16"/>
          <w:szCs w:val="16"/>
        </w:rPr>
      </w:pPr>
    </w:p>
    <w:p w14:paraId="38F7F417"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за рубежом:</w:t>
      </w:r>
    </w:p>
    <w:p w14:paraId="1B5BE089" w14:textId="77777777" w:rsidR="004B4E35" w:rsidRPr="00405303" w:rsidRDefault="004B4E35" w:rsidP="00C15251">
      <w:pPr>
        <w:shd w:val="clear" w:color="auto" w:fill="FFFFFF"/>
        <w:jc w:val="both"/>
        <w:rPr>
          <w:bCs/>
          <w:i/>
          <w:color w:val="002060"/>
          <w:sz w:val="16"/>
          <w:szCs w:val="16"/>
        </w:rPr>
      </w:pPr>
    </w:p>
    <w:p w14:paraId="592A9AFB" w14:textId="409A0983" w:rsidR="004B4E35" w:rsidRPr="00405303" w:rsidRDefault="009E6F82" w:rsidP="00C15251">
      <w:pPr>
        <w:jc w:val="both"/>
        <w:rPr>
          <w:bCs/>
          <w:color w:val="002060"/>
          <w:sz w:val="16"/>
          <w:szCs w:val="16"/>
        </w:rPr>
      </w:pPr>
      <w:r w:rsidRPr="00405303">
        <w:rPr>
          <w:bCs/>
          <w:color w:val="002060"/>
          <w:sz w:val="16"/>
          <w:szCs w:val="16"/>
        </w:rPr>
        <w:t xml:space="preserve">13 (26) мая </w:t>
      </w:r>
      <w:r w:rsidR="00167F04" w:rsidRPr="00405303">
        <w:rPr>
          <w:bCs/>
          <w:color w:val="002060"/>
          <w:sz w:val="16"/>
          <w:szCs w:val="16"/>
        </w:rPr>
        <w:t xml:space="preserve">1915 г. </w:t>
      </w:r>
      <w:r w:rsidRPr="00405303">
        <w:rPr>
          <w:bCs/>
          <w:color w:val="002060"/>
          <w:sz w:val="16"/>
          <w:szCs w:val="16"/>
        </w:rPr>
        <w:t xml:space="preserve">оба </w:t>
      </w:r>
      <w:r w:rsidR="00167F04" w:rsidRPr="00405303">
        <w:rPr>
          <w:bCs/>
          <w:color w:val="002060"/>
          <w:sz w:val="16"/>
          <w:szCs w:val="16"/>
        </w:rPr>
        <w:t xml:space="preserve">итальянских </w:t>
      </w:r>
      <w:r w:rsidRPr="00405303">
        <w:rPr>
          <w:bCs/>
          <w:color w:val="002060"/>
          <w:sz w:val="16"/>
          <w:szCs w:val="16"/>
        </w:rPr>
        <w:t xml:space="preserve">дирижабля приняли участие в бомбардировке позиций австрийских войск в Шебенико, а 30 мая атаковали Пулу. В ответ австрийская авиация 1 и 5 июня бомбила эллинг в Кампальто. </w:t>
      </w:r>
    </w:p>
    <w:p w14:paraId="52888233" w14:textId="77777777" w:rsidR="004B4E35" w:rsidRPr="00405303" w:rsidRDefault="009E6F82" w:rsidP="00C15251">
      <w:pPr>
        <w:jc w:val="both"/>
        <w:rPr>
          <w:bCs/>
          <w:color w:val="002060"/>
          <w:sz w:val="16"/>
          <w:szCs w:val="16"/>
        </w:rPr>
      </w:pPr>
      <w:r w:rsidRPr="00405303">
        <w:rPr>
          <w:bCs/>
          <w:color w:val="002060"/>
          <w:sz w:val="16"/>
          <w:szCs w:val="16"/>
        </w:rPr>
        <w:t xml:space="preserve">7 июня 1915 года в 23.00 «Читта ди Феррара» вылетел из Ези на бомбардировку Фиуме. На рассвете, находясь над городом на высоте 1000 м, он сбросил часть своих бомб на завод «Уайтхед», который производил торпеды, и уничтожил несколько производственных зданий. Затем дирижабль направился в сторону верфи «Данюбиус», но в этот момент разрушилась носовая часть его корпуса. Корабль совершил вынужденную посадку вблизи Люссэна. Из Пулы поднялся гидросамолет и атаковал пулеметным огнем беспомощный дирижабль, однако водород не загорелся. После нескольких бесплодных атак гидросамолет стал [350] обстреливать корабль с помощью сигнальных ракет, и одна из них сделала свое черное дело — дирижабль вспыхнул и взорвался. Обломки «Читта ди Феррара» подобрали 2 эсминца, вышедшие из Пулы. </w:t>
      </w:r>
    </w:p>
    <w:p w14:paraId="59F7B166" w14:textId="77777777" w:rsidR="004B4E35" w:rsidRPr="00405303" w:rsidRDefault="009E6F82" w:rsidP="00C15251">
      <w:pPr>
        <w:jc w:val="both"/>
        <w:rPr>
          <w:bCs/>
          <w:color w:val="002060"/>
          <w:sz w:val="16"/>
          <w:szCs w:val="16"/>
        </w:rPr>
      </w:pPr>
      <w:r w:rsidRPr="00405303">
        <w:rPr>
          <w:bCs/>
          <w:color w:val="002060"/>
          <w:sz w:val="16"/>
          <w:szCs w:val="16"/>
        </w:rPr>
        <w:t>Дирижабль «Читта ди Ези» стал работать только по ночам, но это продолжалось недолго. Спустя месяц он был сбит артиллерийским огнем береговых батарей Пулы (11324).</w:t>
      </w:r>
    </w:p>
    <w:p w14:paraId="0E5D6BDA" w14:textId="77777777" w:rsidR="004B4E35" w:rsidRPr="00405303" w:rsidRDefault="004B4E35" w:rsidP="00C15251">
      <w:pPr>
        <w:shd w:val="clear" w:color="auto" w:fill="FFFFFF"/>
        <w:jc w:val="both"/>
        <w:rPr>
          <w:bCs/>
          <w:i/>
          <w:color w:val="002060"/>
          <w:sz w:val="16"/>
          <w:szCs w:val="16"/>
        </w:rPr>
      </w:pPr>
    </w:p>
    <w:p w14:paraId="30FF3CD9"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4ACE2294" w14:textId="77777777" w:rsidR="004B4E35" w:rsidRPr="00405303" w:rsidRDefault="004B4E35" w:rsidP="00C15251">
      <w:pPr>
        <w:shd w:val="clear" w:color="auto" w:fill="FFFFFF"/>
        <w:jc w:val="both"/>
        <w:rPr>
          <w:bCs/>
          <w:i/>
          <w:color w:val="002060"/>
          <w:sz w:val="16"/>
          <w:szCs w:val="16"/>
        </w:rPr>
      </w:pPr>
    </w:p>
    <w:p w14:paraId="6111681F" w14:textId="706BBE7A" w:rsidR="004B4E35" w:rsidRPr="00405303" w:rsidRDefault="009E6F82" w:rsidP="00C15251">
      <w:pPr>
        <w:jc w:val="both"/>
        <w:rPr>
          <w:bCs/>
          <w:color w:val="002060"/>
          <w:sz w:val="16"/>
          <w:szCs w:val="16"/>
        </w:rPr>
      </w:pPr>
      <w:r w:rsidRPr="00405303">
        <w:rPr>
          <w:bCs/>
          <w:color w:val="002060"/>
          <w:sz w:val="16"/>
          <w:szCs w:val="16"/>
        </w:rPr>
        <w:t xml:space="preserve">14 (27) мая 1915 г. на заседании Комиссии было высказано предложение всемерно "расширять производство серной кислоты на казенных заводах, а также поощрять устройство новых заводов всеми мерами" (РГВИА, ф. 507, оп. 2, д. 72, л. 30. В своих воспоминаниях В.Н. Ипатьев пишет: "Комиссия всегда держалась того взгляда, что прочным и устойчивым может считаться лишь то производство, для которого все без исключения сырые материалы -148- могут быть разысканы внутри страны, </w:t>
      </w:r>
      <w:r w:rsidRPr="00405303">
        <w:rPr>
          <w:bCs/>
          <w:color w:val="002060"/>
          <w:sz w:val="16"/>
          <w:szCs w:val="16"/>
        </w:rPr>
        <w:lastRenderedPageBreak/>
        <w:t>а само производство обслуживается русским техническим персоналом"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Пг., 1921.) (11781).</w:t>
      </w:r>
    </w:p>
    <w:p w14:paraId="73D45DBA" w14:textId="77777777" w:rsidR="004B4E35" w:rsidRPr="00405303" w:rsidRDefault="004B4E35" w:rsidP="00C15251">
      <w:pPr>
        <w:jc w:val="both"/>
        <w:rPr>
          <w:bCs/>
          <w:color w:val="002060"/>
          <w:sz w:val="16"/>
          <w:szCs w:val="16"/>
        </w:rPr>
      </w:pPr>
    </w:p>
    <w:p w14:paraId="351C9B10"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Армия:</w:t>
      </w:r>
    </w:p>
    <w:p w14:paraId="25757D45" w14:textId="77777777" w:rsidR="004B4E35" w:rsidRPr="00405303" w:rsidRDefault="004B4E35" w:rsidP="00C15251">
      <w:pPr>
        <w:shd w:val="clear" w:color="auto" w:fill="FFFFFF"/>
        <w:jc w:val="both"/>
        <w:rPr>
          <w:bCs/>
          <w:i/>
          <w:color w:val="002060"/>
          <w:sz w:val="16"/>
          <w:szCs w:val="16"/>
        </w:rPr>
      </w:pPr>
    </w:p>
    <w:p w14:paraId="27538C58" w14:textId="77777777" w:rsidR="004B4E35" w:rsidRPr="00405303" w:rsidRDefault="009E6F82" w:rsidP="00C15251">
      <w:pPr>
        <w:jc w:val="both"/>
        <w:rPr>
          <w:bCs/>
          <w:color w:val="002060"/>
          <w:sz w:val="16"/>
          <w:szCs w:val="16"/>
        </w:rPr>
      </w:pPr>
      <w:r w:rsidRPr="00405303">
        <w:rPr>
          <w:bCs/>
          <w:color w:val="002060"/>
          <w:sz w:val="16"/>
          <w:szCs w:val="16"/>
        </w:rPr>
        <w:t>14 (27) мая 1915 - "ИМ-3" присоединился во Львове к "ИМ- Киевскому". Перевод этих двух судов в Галицию был вызван большой концентрацией немецких войск в этом районе. Русская армия начала отступление из Прикарпатья (11999).</w:t>
      </w:r>
    </w:p>
    <w:p w14:paraId="4B3BE25C" w14:textId="77777777" w:rsidR="004B4E35" w:rsidRPr="00405303" w:rsidRDefault="004B4E35" w:rsidP="00C15251">
      <w:pPr>
        <w:jc w:val="both"/>
        <w:rPr>
          <w:bCs/>
          <w:color w:val="002060"/>
          <w:sz w:val="16"/>
          <w:szCs w:val="16"/>
        </w:rPr>
      </w:pPr>
    </w:p>
    <w:p w14:paraId="5367CDD2"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Франции:</w:t>
      </w:r>
    </w:p>
    <w:p w14:paraId="504FC86E" w14:textId="77777777" w:rsidR="004B4E35" w:rsidRPr="00405303" w:rsidRDefault="004B4E35" w:rsidP="00C15251">
      <w:pPr>
        <w:shd w:val="clear" w:color="auto" w:fill="FFFFFF"/>
        <w:jc w:val="both"/>
        <w:rPr>
          <w:bCs/>
          <w:i/>
          <w:color w:val="002060"/>
          <w:sz w:val="16"/>
          <w:szCs w:val="16"/>
        </w:rPr>
      </w:pPr>
    </w:p>
    <w:p w14:paraId="1FC90751" w14:textId="77777777" w:rsidR="004B4E35" w:rsidRPr="00405303" w:rsidRDefault="009E6F82" w:rsidP="00C15251">
      <w:pPr>
        <w:jc w:val="both"/>
        <w:rPr>
          <w:bCs/>
          <w:color w:val="002060"/>
          <w:sz w:val="16"/>
          <w:szCs w:val="16"/>
        </w:rPr>
      </w:pPr>
      <w:r w:rsidRPr="00405303">
        <w:rPr>
          <w:bCs/>
          <w:color w:val="002060"/>
          <w:sz w:val="16"/>
          <w:szCs w:val="16"/>
        </w:rPr>
        <w:t>14 (27) мая 1915 - Французские "Вуазены" бомбили анилиновые фабрики в Людвигсгафене и новый завод в Оппау. В последний попали 3 бомбы, и завод сгорел (11999).</w:t>
      </w:r>
    </w:p>
    <w:p w14:paraId="7E2A82B7" w14:textId="77777777" w:rsidR="004B4E35" w:rsidRPr="00405303" w:rsidRDefault="004B4E35" w:rsidP="00C15251">
      <w:pPr>
        <w:shd w:val="clear" w:color="auto" w:fill="FFFFFF"/>
        <w:jc w:val="both"/>
        <w:rPr>
          <w:bCs/>
          <w:i/>
          <w:color w:val="002060"/>
          <w:sz w:val="16"/>
          <w:szCs w:val="16"/>
        </w:rPr>
      </w:pPr>
    </w:p>
    <w:p w14:paraId="3FE5B3F2"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за рубежом:</w:t>
      </w:r>
    </w:p>
    <w:p w14:paraId="6A35225A" w14:textId="77777777" w:rsidR="004B4E35" w:rsidRPr="00405303" w:rsidRDefault="004B4E35" w:rsidP="00C15251">
      <w:pPr>
        <w:shd w:val="clear" w:color="auto" w:fill="FFFFFF"/>
        <w:jc w:val="both"/>
        <w:rPr>
          <w:bCs/>
          <w:i/>
          <w:color w:val="002060"/>
          <w:sz w:val="16"/>
          <w:szCs w:val="16"/>
        </w:rPr>
      </w:pPr>
    </w:p>
    <w:p w14:paraId="5DE2A8E8" w14:textId="3FC5DE9B" w:rsidR="004B4E35" w:rsidRPr="00405303" w:rsidRDefault="00167F04"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ночь на 14 (27) мая </w:t>
      </w:r>
      <w:r w:rsidRPr="00405303">
        <w:rPr>
          <w:bCs/>
          <w:color w:val="002060"/>
          <w:sz w:val="16"/>
          <w:szCs w:val="16"/>
        </w:rPr>
        <w:t xml:space="preserve">1915 г. итальянский дирижабль </w:t>
      </w:r>
      <w:r w:rsidR="009E6F82" w:rsidRPr="00405303">
        <w:rPr>
          <w:bCs/>
          <w:color w:val="002060"/>
          <w:sz w:val="16"/>
          <w:szCs w:val="16"/>
        </w:rPr>
        <w:t xml:space="preserve">М.5 сбросил бомбы на электростанцию в Росегу, а МЛ подверг бомбардировке город Лейбах. Основной целью воздухоплавательных атак стал австрийский порт Триест. Первый налет состоялся 4 июня, когда его «навестил» Р.4. Через два дня этот дирижабль повторил атаку, сбросив на город 308 кг бомб. Подобные налеты продолжались до весны 1916 года, правда с меньшей интенсивностью. В 1916 году началась бомбардировочная операция, в которой были задействованы дирижабли типа «М». Выбор целей тщательно продумывался и потому урон противнику был причинен достаточно большой. </w:t>
      </w:r>
    </w:p>
    <w:p w14:paraId="5B76B4E1" w14:textId="77777777" w:rsidR="004B4E35" w:rsidRPr="00405303" w:rsidRDefault="004B4E35" w:rsidP="00C15251">
      <w:pPr>
        <w:shd w:val="clear" w:color="auto" w:fill="FFFFFF"/>
        <w:jc w:val="both"/>
        <w:rPr>
          <w:bCs/>
          <w:i/>
          <w:color w:val="002060"/>
          <w:sz w:val="16"/>
          <w:szCs w:val="16"/>
        </w:rPr>
      </w:pPr>
    </w:p>
    <w:p w14:paraId="74060B74"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26F25AAD" w14:textId="77777777" w:rsidR="004B4E35" w:rsidRPr="00405303" w:rsidRDefault="004B4E35" w:rsidP="00C15251">
      <w:pPr>
        <w:shd w:val="clear" w:color="auto" w:fill="FFFFFF"/>
        <w:jc w:val="both"/>
        <w:rPr>
          <w:bCs/>
          <w:i/>
          <w:color w:val="002060"/>
          <w:sz w:val="16"/>
          <w:szCs w:val="16"/>
        </w:rPr>
      </w:pPr>
    </w:p>
    <w:p w14:paraId="3A8D6A4D" w14:textId="226D4CF9"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15 (28) мая </w:t>
      </w:r>
      <w:r w:rsidR="00167F04" w:rsidRPr="00405303">
        <w:rPr>
          <w:bCs/>
          <w:color w:val="002060"/>
          <w:sz w:val="16"/>
          <w:szCs w:val="16"/>
        </w:rPr>
        <w:t xml:space="preserve">1915 г. </w:t>
      </w:r>
      <w:r w:rsidRPr="00405303">
        <w:rPr>
          <w:bCs/>
          <w:color w:val="002060"/>
          <w:sz w:val="16"/>
          <w:szCs w:val="16"/>
        </w:rPr>
        <w:t>появился новый документ, которым заводу ПРТВ рекомендовалось уменьшить угол атаки боковых поплавков, срезав их задние подкосы, но усилив их крепление, и приделать к корпусу «перья»—вероятно, водные рули или плоский киль — для придания машине лучшей управляемости на воде. Скорее всего, фирма приняла советы к сведению, но менять что-либо в модели М-2 оказалось поздно, так как ее производство уже закончилось (2807).</w:t>
      </w:r>
    </w:p>
    <w:p w14:paraId="5E33E270" w14:textId="77777777" w:rsidR="004B4E35" w:rsidRPr="00405303" w:rsidRDefault="004B4E35" w:rsidP="00C15251">
      <w:pPr>
        <w:shd w:val="clear" w:color="auto" w:fill="FFFFFF"/>
        <w:jc w:val="both"/>
        <w:rPr>
          <w:bCs/>
          <w:color w:val="002060"/>
          <w:sz w:val="16"/>
          <w:szCs w:val="16"/>
        </w:rPr>
      </w:pPr>
    </w:p>
    <w:p w14:paraId="0782D40F"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410DF01B" w14:textId="77777777" w:rsidR="004B4E35" w:rsidRPr="00405303" w:rsidRDefault="004B4E35" w:rsidP="00C15251">
      <w:pPr>
        <w:shd w:val="clear" w:color="auto" w:fill="FFFFFF"/>
        <w:jc w:val="both"/>
        <w:rPr>
          <w:bCs/>
          <w:i/>
          <w:color w:val="002060"/>
          <w:sz w:val="16"/>
          <w:szCs w:val="16"/>
        </w:rPr>
      </w:pPr>
    </w:p>
    <w:p w14:paraId="4EC11F8A" w14:textId="705A6B48" w:rsidR="00D340DA" w:rsidRPr="00405303" w:rsidRDefault="00D340DA" w:rsidP="00C15251">
      <w:pPr>
        <w:pStyle w:val="p1"/>
        <w:spacing w:before="0" w:beforeAutospacing="0" w:after="0" w:afterAutospacing="0"/>
        <w:jc w:val="both"/>
        <w:rPr>
          <w:bCs/>
          <w:color w:val="002060"/>
          <w:sz w:val="16"/>
          <w:szCs w:val="16"/>
        </w:rPr>
      </w:pPr>
      <w:r w:rsidRPr="00405303">
        <w:rPr>
          <w:bCs/>
          <w:color w:val="002060"/>
          <w:sz w:val="16"/>
          <w:szCs w:val="16"/>
        </w:rPr>
        <w:t xml:space="preserve">15 </w:t>
      </w:r>
      <w:r w:rsidR="00167F04" w:rsidRPr="00405303">
        <w:rPr>
          <w:bCs/>
          <w:color w:val="002060"/>
          <w:sz w:val="16"/>
          <w:szCs w:val="16"/>
        </w:rPr>
        <w:t xml:space="preserve">(28) </w:t>
      </w:r>
      <w:r w:rsidRPr="00405303">
        <w:rPr>
          <w:bCs/>
          <w:color w:val="002060"/>
          <w:sz w:val="16"/>
          <w:szCs w:val="16"/>
        </w:rPr>
        <w:t>мая 1915 г. на немецкие оптические заводы был наложен секвестр, а затем ГАУ добилось и реквизиции их «для устройства казенного оптического завода» в Петрограде. При этом на протяжении 1915 г. ввиду «полного отсутствия в России кадра подготовленных рабочих по оптике, особенно мастеров-специалистов», приходилось пользоваться «услугами германских и австрийских подданных». Уже в 1914 г. ГАУ остановило высылку служивших на заводах в Риге германских подданных (Гертель, Кейль, Кнепфмахер, Виндзейль, Отто, Грезер), откомандировав их в распоряжение Лойко в качестве военнопленных (18409).</w:t>
      </w:r>
    </w:p>
    <w:p w14:paraId="61E3C1E7" w14:textId="77777777" w:rsidR="00D340DA" w:rsidRPr="00405303" w:rsidRDefault="00D340DA" w:rsidP="00C15251">
      <w:pPr>
        <w:pStyle w:val="p1"/>
        <w:spacing w:before="0" w:beforeAutospacing="0" w:after="0" w:afterAutospacing="0"/>
        <w:jc w:val="both"/>
        <w:rPr>
          <w:bCs/>
          <w:color w:val="002060"/>
          <w:sz w:val="16"/>
          <w:szCs w:val="16"/>
        </w:rPr>
      </w:pPr>
    </w:p>
    <w:p w14:paraId="0C81BD35" w14:textId="10CCA4C5" w:rsidR="001753A6" w:rsidRPr="00405303" w:rsidRDefault="001753A6"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15 (28) мая 1915 г. на заводы Цейса и Гёрца в России был наложен секвестр, а затем ГАУ добилось и рек</w:t>
      </w:r>
      <w:r w:rsidRPr="00405303">
        <w:rPr>
          <w:rFonts w:ascii="Times New Roman" w:hAnsi="Times New Roman" w:cs="Times New Roman"/>
          <w:bCs/>
          <w:color w:val="002060"/>
          <w:sz w:val="16"/>
          <w:szCs w:val="16"/>
        </w:rPr>
        <w:softHyphen/>
        <w:t>визиции их «для устройства казенного оптического завода» в Петрограде. При этом на протяжении 1915 г. ввиду «пол</w:t>
      </w:r>
      <w:r w:rsidRPr="00405303">
        <w:rPr>
          <w:rFonts w:ascii="Times New Roman" w:hAnsi="Times New Roman" w:cs="Times New Roman"/>
          <w:bCs/>
          <w:color w:val="002060"/>
          <w:sz w:val="16"/>
          <w:szCs w:val="16"/>
        </w:rPr>
        <w:softHyphen/>
        <w:t>ного отсутствия в России кадра подготовленных рабочих по оптике, особенно мастеров-специалистов», приходилось пользоваться «услугами германских и австрийских поддан</w:t>
      </w:r>
      <w:r w:rsidRPr="00405303">
        <w:rPr>
          <w:rFonts w:ascii="Times New Roman" w:hAnsi="Times New Roman" w:cs="Times New Roman"/>
          <w:bCs/>
          <w:color w:val="002060"/>
          <w:sz w:val="16"/>
          <w:szCs w:val="16"/>
        </w:rPr>
        <w:softHyphen/>
        <w:t>ных». Уже в 1914 г. ГАУ остановило высылку служивших на заводах в Риге германских подданных (Гертель, Кейль, Кнепфмахер, Виндзейль, Отто, Грезер), откомандировав их в распоряжение Лойко в качестве военнопленных (РГВИА. Ф. 962. Оп. 2. Д. 87. Л. 93. Докладная записка по ГУГШ во</w:t>
      </w:r>
      <w:r w:rsidRPr="00405303">
        <w:rPr>
          <w:rFonts w:ascii="Times New Roman" w:hAnsi="Times New Roman" w:cs="Times New Roman"/>
          <w:bCs/>
          <w:color w:val="002060"/>
          <w:sz w:val="16"/>
          <w:szCs w:val="16"/>
        </w:rPr>
        <w:softHyphen/>
        <w:t>енному министру «О состоянии неприкосновенных запасов», 25.IV. 1913; РГВИА. Ф. 369. Оп. 5. Д. 81. Л. 11-12; Ф. 29. Оп. 3. Д. 2152. Л. 5 об.; Ф. 504. Оп. 10. Д. 8. Л. 62) (23452).</w:t>
      </w:r>
    </w:p>
    <w:p w14:paraId="68445286" w14:textId="77777777" w:rsidR="001753A6" w:rsidRPr="00405303" w:rsidRDefault="001753A6" w:rsidP="00C15251">
      <w:pPr>
        <w:jc w:val="both"/>
        <w:rPr>
          <w:bCs/>
          <w:color w:val="002060"/>
          <w:sz w:val="16"/>
          <w:szCs w:val="16"/>
          <w:lang w:bidi="ru-RU"/>
        </w:rPr>
      </w:pPr>
    </w:p>
    <w:p w14:paraId="43916756" w14:textId="25317FCD" w:rsidR="004B4E35" w:rsidRPr="00405303" w:rsidRDefault="009E6F82" w:rsidP="00C15251">
      <w:pPr>
        <w:jc w:val="both"/>
        <w:rPr>
          <w:bCs/>
          <w:color w:val="002060"/>
          <w:sz w:val="16"/>
          <w:szCs w:val="16"/>
        </w:rPr>
      </w:pPr>
      <w:r w:rsidRPr="00405303">
        <w:rPr>
          <w:bCs/>
          <w:color w:val="002060"/>
          <w:sz w:val="16"/>
          <w:szCs w:val="16"/>
        </w:rPr>
        <w:t xml:space="preserve">15 </w:t>
      </w:r>
      <w:r w:rsidR="001753A6" w:rsidRPr="00405303">
        <w:rPr>
          <w:bCs/>
          <w:color w:val="002060"/>
          <w:sz w:val="16"/>
          <w:szCs w:val="16"/>
        </w:rPr>
        <w:t xml:space="preserve">(28) </w:t>
      </w:r>
      <w:r w:rsidRPr="00405303">
        <w:rPr>
          <w:bCs/>
          <w:color w:val="002060"/>
          <w:sz w:val="16"/>
          <w:szCs w:val="16"/>
        </w:rPr>
        <w:t>мая 1915 г.</w:t>
      </w:r>
      <w:r w:rsidR="00167F04" w:rsidRPr="00405303">
        <w:rPr>
          <w:bCs/>
          <w:color w:val="002060"/>
          <w:sz w:val="16"/>
          <w:szCs w:val="16"/>
        </w:rPr>
        <w:t xml:space="preserve"> было получено решение о реквизиции красочной фабрики немецкой фирмы «Фридрих Байер и Ко» в Москве</w:t>
      </w:r>
      <w:r w:rsidRPr="00405303">
        <w:rPr>
          <w:bCs/>
          <w:color w:val="002060"/>
          <w:sz w:val="16"/>
          <w:szCs w:val="16"/>
        </w:rPr>
        <w:t>, а уже 20 мая приступили к переоборудованию старых и возведению новых зданий и специальных сооружений, в том числе и на арендованной по соседству земле дворцового ведомства. Завод был рассчитан на ежедневное снаряжение 6-7 тыс. гранат. В ходе начавшейся стройки стала очевидна необходимость сооружения второго предприятия. Второву было предложено еще до увеличения заказов на свой страх и риск оборудовать его из расчета 18 тыс. гранат в день. Закладка нового завода состоялась в день окончания сооружения первого - 28 июня 1915 г. Он был построен через четыре месяца. Второвым с середины 1916 г. строился также снарядный завод в Богородске Московской губернии. В октябре 1916 г. общая производительность новых заводов превысила проектную мощность и составила более 1 млн. гранат в месяц [История организации... Ванкова. С. 87.].</w:t>
      </w:r>
    </w:p>
    <w:p w14:paraId="3C3619D8" w14:textId="77777777" w:rsidR="004B4E35" w:rsidRPr="00405303" w:rsidRDefault="009E6F82" w:rsidP="00C15251">
      <w:pPr>
        <w:jc w:val="both"/>
        <w:rPr>
          <w:bCs/>
          <w:color w:val="002060"/>
          <w:sz w:val="16"/>
          <w:szCs w:val="16"/>
        </w:rPr>
      </w:pPr>
      <w:r w:rsidRPr="00405303">
        <w:rPr>
          <w:bCs/>
          <w:color w:val="002060"/>
          <w:sz w:val="16"/>
          <w:szCs w:val="16"/>
        </w:rPr>
        <w:t>В системе крупных промышленных предприятий Организации Ванкова, появившихся в годы Первой мировой войны, можно назвать отлично оборудованный Конотопский снарядный завод, построенный по инициативе М.И. Терещенко, и оснащенный прекрасными станками, Демиевский снарядный завод, устроенный по инициативе члена Государственной думы В.Я. Демченко в помещении казенного винного склада [Там же. С. 163.].</w:t>
      </w:r>
    </w:p>
    <w:p w14:paraId="028A57E0" w14:textId="77777777" w:rsidR="004B4E35" w:rsidRPr="00405303" w:rsidRDefault="009E6F82" w:rsidP="00C15251">
      <w:pPr>
        <w:jc w:val="both"/>
        <w:rPr>
          <w:bCs/>
          <w:color w:val="002060"/>
          <w:sz w:val="16"/>
          <w:szCs w:val="16"/>
        </w:rPr>
      </w:pPr>
      <w:r w:rsidRPr="00405303">
        <w:rPr>
          <w:bCs/>
          <w:color w:val="002060"/>
          <w:sz w:val="16"/>
          <w:szCs w:val="16"/>
        </w:rPr>
        <w:t xml:space="preserve">Деятельность Организации Ванкова на территории губерний Центрально-черноземной области, Среднего Поволжья привела к значительному росту численности промышленных предприятий и формированию кадров фабрично-заводских рабочих в этих регионах. </w:t>
      </w:r>
    </w:p>
    <w:p w14:paraId="1059EF24" w14:textId="77777777" w:rsidR="004B4E35" w:rsidRPr="00405303" w:rsidRDefault="009E6F82" w:rsidP="00C15251">
      <w:pPr>
        <w:jc w:val="both"/>
        <w:rPr>
          <w:bCs/>
          <w:color w:val="002060"/>
          <w:sz w:val="16"/>
          <w:szCs w:val="16"/>
        </w:rPr>
      </w:pPr>
      <w:r w:rsidRPr="00405303">
        <w:rPr>
          <w:bCs/>
          <w:color w:val="002060"/>
          <w:sz w:val="16"/>
          <w:szCs w:val="16"/>
        </w:rPr>
        <w:t>Поскольку обе рассмотренные организации были созданы при ГАУ, то нельзя не сказать о записке начальника ГАУ генерал-лейтенанта А.А. Маниковского, поступившей в Особое совещание по обороне в октябре 1916 г. [РГВИА. Ф. 369. Оп. 3. Д. 119. В деле типографский экземпляр записки, принадлежавший Е.З. Барсукову. Там же ряд приложений к документу. Подробнее см.: Сидоров А.Л. К вопросу о строительстве казенных заводов в России в годы первой мировой войны // ИЗ. Т. 54. М., 1955; Поликарпов В.В. О так называемой «программе Маниковского» 1916 года // ИЗ. Т. 109. М., 1983.] Маниковский видел задачу заводского строительства в создании мощной отечественной промышленности с целью ликвидации зависимости России от других стран в сфере промышленного производства. Им особо оговаривалось значение послевоенных перспектив развития российской индустрии. Маниковский подчеркивал, что после войны конкуренция и экономическая борьба между странами возрастет, и делал такой вывод: «Если мы не будем готовы к ней [конкуренции - С.В.], то могучая техника, и наших друзей, и наших врагов, раздавит нашу все еще слабую технику».</w:t>
      </w:r>
    </w:p>
    <w:p w14:paraId="6537E57C" w14:textId="77777777" w:rsidR="004B4E35" w:rsidRPr="00405303" w:rsidRDefault="009E6F82" w:rsidP="00C15251">
      <w:pPr>
        <w:jc w:val="both"/>
        <w:rPr>
          <w:bCs/>
          <w:color w:val="002060"/>
          <w:sz w:val="16"/>
          <w:szCs w:val="16"/>
        </w:rPr>
      </w:pPr>
      <w:r w:rsidRPr="00405303">
        <w:rPr>
          <w:bCs/>
          <w:color w:val="002060"/>
          <w:sz w:val="16"/>
          <w:szCs w:val="16"/>
        </w:rPr>
        <w:t xml:space="preserve">С точки зрения производственно-отраслевой ориентация программа была весьма ограничена. Ее автор рекомендовал сооружение в основном военных предприятий, прежде всего, артиллерийского вооружения и ряда химических заводов. В программе совершенно отсутствовали заводы новейших производств и весьма скупо были указаны объекты в базовых отраслях тяжелой промышленности. Маниковский предлагал сооружение сталелитейного завода на территории Области Войска Донского, алюминиевого на Азовско-Черноморском побережье и станкостроительного в Туле. Программа была сугубо прагматической, нацеленной на некоторое улучшение вооружения войск в условиях данной войны. Более общее значение имела идея создания в каждом отдельном производстве самостоятельной группы предприятий, ядром которой был казенный завод, но которая включала бы и частные заведения. Маниковский считал необходимым построить в первую очередь 37 казенных заводов, как технически более сильных, а главное более выгодных для казны, поставляющих продукцию по более низким ценам. </w:t>
      </w:r>
    </w:p>
    <w:p w14:paraId="2C6BB9BD" w14:textId="77777777" w:rsidR="004B4E35" w:rsidRPr="00405303" w:rsidRDefault="009E6F82" w:rsidP="00C15251">
      <w:pPr>
        <w:jc w:val="both"/>
        <w:rPr>
          <w:bCs/>
          <w:color w:val="002060"/>
          <w:sz w:val="16"/>
          <w:szCs w:val="16"/>
        </w:rPr>
      </w:pPr>
      <w:r w:rsidRPr="00405303">
        <w:rPr>
          <w:bCs/>
          <w:color w:val="002060"/>
          <w:sz w:val="16"/>
          <w:szCs w:val="16"/>
        </w:rPr>
        <w:t xml:space="preserve">Уже в момент обсуждения программы значительное число заводов были начаты постройкой. По данным конца 1916 г. насчитывалось 16 построенных предприятий и 21 сооружавшееся. Это явилось практически удвоением общего числа казенных заведений, которые подчинялись ГАУ до войны. Наибольшее количество новых заводов (18) приходилось на пороховые, химические предприятия, заводы и мастерские взрывчатых веществ. Значительное число (13) заведений возникло в системе снарядного, трубочного, снаряжательного производств, заводов взрывателей. В системе других оборонных предприятий новые заводы были единичны и, как правило, </w:t>
      </w:r>
      <w:r w:rsidRPr="00405303">
        <w:rPr>
          <w:bCs/>
          <w:color w:val="002060"/>
          <w:sz w:val="16"/>
          <w:szCs w:val="16"/>
        </w:rPr>
        <w:lastRenderedPageBreak/>
        <w:t>еще строились: Саратовский орудийный, новый Тульский оружейный, пулеметный в Коврове (строительство вел Датский ружейный синдикат), 3-й патронный в Симбирске [РГВИА. Ф. 369. Оп. 3. Д. 119. Л. 1об., 5, 67, 71.] (11863).</w:t>
      </w:r>
    </w:p>
    <w:p w14:paraId="3BC14C85" w14:textId="77777777" w:rsidR="004B4E35" w:rsidRPr="00405303" w:rsidRDefault="004B4E35" w:rsidP="00C15251">
      <w:pPr>
        <w:jc w:val="both"/>
        <w:rPr>
          <w:bCs/>
          <w:color w:val="002060"/>
          <w:sz w:val="16"/>
          <w:szCs w:val="16"/>
        </w:rPr>
      </w:pPr>
    </w:p>
    <w:p w14:paraId="01A16163" w14:textId="2E0454BC" w:rsidR="004B4E35" w:rsidRPr="00405303" w:rsidRDefault="009E6F82" w:rsidP="00C15251">
      <w:pPr>
        <w:jc w:val="both"/>
        <w:rPr>
          <w:bCs/>
          <w:color w:val="002060"/>
          <w:sz w:val="16"/>
          <w:szCs w:val="16"/>
        </w:rPr>
      </w:pPr>
      <w:r w:rsidRPr="00405303">
        <w:rPr>
          <w:bCs/>
          <w:color w:val="002060"/>
          <w:sz w:val="16"/>
          <w:szCs w:val="16"/>
        </w:rPr>
        <w:t>15</w:t>
      </w:r>
      <w:r w:rsidR="00167F04" w:rsidRPr="00405303">
        <w:rPr>
          <w:bCs/>
          <w:color w:val="002060"/>
          <w:sz w:val="16"/>
          <w:szCs w:val="16"/>
        </w:rPr>
        <w:t xml:space="preserve"> (28) мая </w:t>
      </w:r>
      <w:r w:rsidRPr="00405303">
        <w:rPr>
          <w:bCs/>
          <w:color w:val="002060"/>
          <w:sz w:val="16"/>
          <w:szCs w:val="16"/>
        </w:rPr>
        <w:t>1915</w:t>
      </w:r>
      <w:r w:rsidR="00167F04" w:rsidRPr="00405303">
        <w:rPr>
          <w:bCs/>
          <w:color w:val="002060"/>
          <w:sz w:val="16"/>
          <w:szCs w:val="16"/>
        </w:rPr>
        <w:t xml:space="preserve"> </w:t>
      </w:r>
      <w:r w:rsidRPr="00405303">
        <w:rPr>
          <w:bCs/>
          <w:color w:val="002060"/>
          <w:sz w:val="16"/>
          <w:szCs w:val="16"/>
        </w:rPr>
        <w:t xml:space="preserve">г. </w:t>
      </w:r>
      <w:r w:rsidR="005772C4" w:rsidRPr="00405303">
        <w:rPr>
          <w:bCs/>
          <w:color w:val="002060"/>
          <w:sz w:val="16"/>
          <w:szCs w:val="16"/>
        </w:rPr>
        <w:t>Бачмановская фабрика сельскохозяйственных машин (Бачмановская фабрика сельскохозяйственных машин товарищества «Эмиль Лингарт и К°»,</w:t>
      </w:r>
      <w:r w:rsidRPr="00405303">
        <w:rPr>
          <w:bCs/>
          <w:color w:val="002060"/>
          <w:sz w:val="16"/>
          <w:szCs w:val="16"/>
        </w:rPr>
        <w:t xml:space="preserve"> была куплена Коломенским заводом и становится его снарядным отделом (по другой информации, фабрика стала отделением Петроградского ремартзавода). В годы 1-й Мировой войны завод выпускал артиллерийские снаряды.</w:t>
      </w:r>
    </w:p>
    <w:p w14:paraId="2721C8FD" w14:textId="77777777" w:rsidR="004B4E35" w:rsidRPr="00405303" w:rsidRDefault="009E6F82" w:rsidP="00C15251">
      <w:pPr>
        <w:jc w:val="both"/>
        <w:rPr>
          <w:bCs/>
          <w:color w:val="002060"/>
          <w:sz w:val="16"/>
          <w:szCs w:val="16"/>
        </w:rPr>
      </w:pPr>
      <w:r w:rsidRPr="00405303">
        <w:rPr>
          <w:bCs/>
          <w:color w:val="002060"/>
          <w:sz w:val="16"/>
          <w:szCs w:val="16"/>
        </w:rPr>
        <w:t xml:space="preserve">В 1918г. на площадку завода эвакуирована основная часть Петроградского ремартзавода, а в 1919г. - Киевского. В 1920-е г. он преобразован в Центральные артиллерийские мастерские (ЦАМ). В 07.1927г. Завод им. Левшина - в ведении Орударса ВПУ ВСНХ. С 1930г. - АРОЗ, а с 1932г. - ГАРОЗ (публично и в печати назывался «Завод сельхозмашин им. Ворошилова»). По пр. № 167сс от 17.05.1938г. ГАРОЗ № 1 им. Ворошилова НКО передан в ведение НКОП, по пр. № 408 от 29.10.1938г. переименован в ГС завод им. Ворошилова (планировалось присвоить ему № 379, затем № 350, но не было выполнено), утвержден его Устав, в 07-12.1938г. - в ведении ЗГУ. В 02.1939г. Завод им. Ворошилова ЗГУ передан в ведение ЗГУ НКВ, с 1946г. - в ведении </w:t>
      </w:r>
      <w:r w:rsidRPr="00405303">
        <w:rPr>
          <w:bCs/>
          <w:color w:val="002060"/>
          <w:sz w:val="16"/>
          <w:szCs w:val="16"/>
          <w:lang w:val="en-US"/>
        </w:rPr>
        <w:t>MB</w:t>
      </w:r>
      <w:r w:rsidRPr="00405303">
        <w:rPr>
          <w:bCs/>
          <w:color w:val="002060"/>
          <w:sz w:val="16"/>
          <w:szCs w:val="16"/>
        </w:rPr>
        <w:t>.</w:t>
      </w:r>
    </w:p>
    <w:p w14:paraId="56286A53" w14:textId="77777777" w:rsidR="004B4E35" w:rsidRPr="00405303" w:rsidRDefault="009E6F82" w:rsidP="00C15251">
      <w:pPr>
        <w:jc w:val="both"/>
        <w:rPr>
          <w:bCs/>
          <w:color w:val="002060"/>
          <w:sz w:val="16"/>
          <w:szCs w:val="16"/>
        </w:rPr>
      </w:pPr>
      <w:r w:rsidRPr="00405303">
        <w:rPr>
          <w:bCs/>
          <w:color w:val="002060"/>
          <w:sz w:val="16"/>
          <w:szCs w:val="16"/>
        </w:rPr>
        <w:t>По пр. № 167сс на заводе требовалось организовать производство 76-мм зенитной пушки особой доставки («ОД») по чертежам фирмы «Шкода», немедленно запустить в производство 1-ю серию; в срок 10 дней необходимо было организовать Бюро по приемке чертежей и материалов по 76-мм пушке. По пр. № 397с от 13.10.1938г. для начала подготовки производства пушки «ОД» на завод переведены: зам. начальника КБ завода № 92 П.И. Костин, назначенный начальником КБ завода им. Ворошилова; 7 специалистов с завода № 8, 10 технологов с других заводов и 20 молодых специалистов.</w:t>
      </w:r>
    </w:p>
    <w:p w14:paraId="6783E461" w14:textId="77777777" w:rsidR="004B4E35" w:rsidRPr="00405303" w:rsidRDefault="009E6F82" w:rsidP="00C15251">
      <w:pPr>
        <w:jc w:val="both"/>
        <w:rPr>
          <w:bCs/>
          <w:color w:val="002060"/>
          <w:sz w:val="16"/>
          <w:szCs w:val="16"/>
        </w:rPr>
      </w:pPr>
      <w:r w:rsidRPr="00405303">
        <w:rPr>
          <w:bCs/>
          <w:color w:val="002060"/>
          <w:sz w:val="16"/>
          <w:szCs w:val="16"/>
        </w:rPr>
        <w:t>По пр. ЗГУ № 143 от 5.08.1938г. на заводе на базе ОКСа создано УКС и введена должность начальника УКС/зам. директора по капстроительству.</w:t>
      </w:r>
    </w:p>
    <w:p w14:paraId="49DD46E3" w14:textId="77777777" w:rsidR="004B4E35" w:rsidRPr="00405303" w:rsidRDefault="009E6F82" w:rsidP="00C15251">
      <w:pPr>
        <w:jc w:val="both"/>
        <w:rPr>
          <w:bCs/>
          <w:color w:val="002060"/>
          <w:sz w:val="16"/>
          <w:szCs w:val="16"/>
        </w:rPr>
      </w:pPr>
      <w:r w:rsidRPr="00405303">
        <w:rPr>
          <w:bCs/>
          <w:color w:val="002060"/>
          <w:sz w:val="16"/>
          <w:szCs w:val="16"/>
        </w:rPr>
        <w:t>Изготовлял зенитные орудия и другие изделия военной техники. Перед войной - ремонт артиллерийских систем.</w:t>
      </w:r>
    </w:p>
    <w:p w14:paraId="48F550A6" w14:textId="77777777" w:rsidR="004B4E35" w:rsidRPr="00405303" w:rsidRDefault="009E6F82" w:rsidP="00C15251">
      <w:pPr>
        <w:jc w:val="both"/>
        <w:rPr>
          <w:bCs/>
          <w:color w:val="002060"/>
          <w:sz w:val="16"/>
          <w:szCs w:val="16"/>
        </w:rPr>
      </w:pPr>
      <w:r w:rsidRPr="00405303">
        <w:rPr>
          <w:bCs/>
          <w:color w:val="002060"/>
          <w:sz w:val="16"/>
          <w:szCs w:val="16"/>
        </w:rPr>
        <w:t>Из состава ГАРОЗ был выделен самостоятельный завод № 4 им. Ворошилова НКВ.</w:t>
      </w:r>
    </w:p>
    <w:p w14:paraId="0623D683" w14:textId="77777777" w:rsidR="004B4E35" w:rsidRPr="00405303" w:rsidRDefault="009E6F82" w:rsidP="00C15251">
      <w:pPr>
        <w:jc w:val="both"/>
        <w:rPr>
          <w:bCs/>
          <w:color w:val="002060"/>
          <w:sz w:val="16"/>
          <w:szCs w:val="16"/>
        </w:rPr>
      </w:pPr>
      <w:r w:rsidRPr="00405303">
        <w:rPr>
          <w:bCs/>
          <w:color w:val="002060"/>
          <w:sz w:val="16"/>
          <w:szCs w:val="16"/>
        </w:rPr>
        <w:t>В 1941г. после начала войны завод эвакуирован в Красноярск. Около 10 тыс. человек, 537 вагонов со станками и 627 вагонов с материалами.</w:t>
      </w:r>
    </w:p>
    <w:p w14:paraId="27E909C7" w14:textId="77777777" w:rsidR="004B4E35" w:rsidRPr="00405303" w:rsidRDefault="009E6F82" w:rsidP="00C15251">
      <w:pPr>
        <w:jc w:val="both"/>
        <w:rPr>
          <w:bCs/>
          <w:color w:val="002060"/>
          <w:sz w:val="16"/>
          <w:szCs w:val="16"/>
        </w:rPr>
      </w:pPr>
      <w:r w:rsidRPr="00405303">
        <w:rPr>
          <w:bCs/>
          <w:color w:val="002060"/>
          <w:sz w:val="16"/>
          <w:szCs w:val="16"/>
        </w:rPr>
        <w:t>Численность персонала (1920г.)- около 4 тыс. чел.</w:t>
      </w:r>
    </w:p>
    <w:p w14:paraId="3228D4E3" w14:textId="77777777" w:rsidR="004B4E35" w:rsidRPr="00405303" w:rsidRDefault="009E6F82" w:rsidP="00C15251">
      <w:pPr>
        <w:jc w:val="both"/>
        <w:rPr>
          <w:bCs/>
          <w:color w:val="002060"/>
          <w:sz w:val="16"/>
          <w:szCs w:val="16"/>
        </w:rPr>
      </w:pPr>
      <w:r w:rsidRPr="00405303">
        <w:rPr>
          <w:bCs/>
          <w:color w:val="002060"/>
          <w:sz w:val="16"/>
          <w:szCs w:val="16"/>
        </w:rPr>
        <w:t>Директор (08.1938; 29.10.1938г.-)- В.Ф. Елисеев, (1939-41г.)- ЯЛ. Шифрин, (1939-40г.)- Каганович, (1939- 41г.)- П.И. Костин, (1940-е)- Б.А. Хазанов, (1953г.)- Н.А. Носовский, (1997г.)- О.А. Сатиков.</w:t>
      </w:r>
    </w:p>
    <w:p w14:paraId="637BC7C7" w14:textId="77777777" w:rsidR="004B4E35" w:rsidRPr="00405303" w:rsidRDefault="009E6F82" w:rsidP="00C15251">
      <w:pPr>
        <w:jc w:val="both"/>
        <w:rPr>
          <w:bCs/>
          <w:color w:val="002060"/>
          <w:sz w:val="16"/>
          <w:szCs w:val="16"/>
        </w:rPr>
      </w:pPr>
      <w:r w:rsidRPr="00405303">
        <w:rPr>
          <w:bCs/>
          <w:color w:val="002060"/>
          <w:sz w:val="16"/>
          <w:szCs w:val="16"/>
        </w:rPr>
        <w:t>Гл. инженер (19.07.1938г.-)- П.М. Лапчинский.</w:t>
      </w:r>
    </w:p>
    <w:p w14:paraId="1EAC09CB" w14:textId="77777777" w:rsidR="004B4E35" w:rsidRPr="00405303" w:rsidRDefault="009E6F82" w:rsidP="00C15251">
      <w:pPr>
        <w:jc w:val="both"/>
        <w:rPr>
          <w:bCs/>
          <w:color w:val="002060"/>
          <w:sz w:val="16"/>
          <w:szCs w:val="16"/>
        </w:rPr>
      </w:pPr>
      <w:r w:rsidRPr="00405303">
        <w:rPr>
          <w:bCs/>
          <w:color w:val="002060"/>
          <w:sz w:val="16"/>
          <w:szCs w:val="16"/>
        </w:rPr>
        <w:t>Гл. технолог (17.07.1938г.-)- В.Т. Зубов.</w:t>
      </w:r>
    </w:p>
    <w:p w14:paraId="490064D2" w14:textId="77777777" w:rsidR="004B4E35" w:rsidRPr="00405303" w:rsidRDefault="009E6F82" w:rsidP="00C15251">
      <w:pPr>
        <w:jc w:val="both"/>
        <w:rPr>
          <w:bCs/>
          <w:color w:val="002060"/>
          <w:sz w:val="16"/>
          <w:szCs w:val="16"/>
        </w:rPr>
      </w:pPr>
      <w:r w:rsidRPr="00405303">
        <w:rPr>
          <w:bCs/>
          <w:color w:val="002060"/>
          <w:sz w:val="16"/>
          <w:szCs w:val="16"/>
        </w:rPr>
        <w:t>Начальник КБ (13.10.1938г.-&gt; П.И. Костин (11982).</w:t>
      </w:r>
    </w:p>
    <w:p w14:paraId="2F28AF58" w14:textId="77777777" w:rsidR="004B4E35" w:rsidRPr="00405303" w:rsidRDefault="004B4E35" w:rsidP="00C15251">
      <w:pPr>
        <w:jc w:val="both"/>
        <w:rPr>
          <w:bCs/>
          <w:color w:val="002060"/>
          <w:sz w:val="16"/>
          <w:szCs w:val="16"/>
        </w:rPr>
      </w:pPr>
    </w:p>
    <w:p w14:paraId="2B3276C5" w14:textId="5D686D0E" w:rsidR="001753A6" w:rsidRPr="00405303" w:rsidRDefault="001753A6" w:rsidP="00C15251">
      <w:pPr>
        <w:shd w:val="clear" w:color="auto" w:fill="FFFFFF"/>
        <w:jc w:val="both"/>
        <w:rPr>
          <w:bCs/>
          <w:i/>
          <w:color w:val="002060"/>
          <w:sz w:val="16"/>
          <w:szCs w:val="16"/>
        </w:rPr>
      </w:pPr>
      <w:r w:rsidRPr="00405303">
        <w:rPr>
          <w:bCs/>
          <w:i/>
          <w:color w:val="002060"/>
          <w:sz w:val="16"/>
          <w:szCs w:val="16"/>
        </w:rPr>
        <w:t>Авиация:</w:t>
      </w:r>
    </w:p>
    <w:p w14:paraId="75CB3951" w14:textId="77777777" w:rsidR="001753A6" w:rsidRPr="00405303" w:rsidRDefault="001753A6" w:rsidP="00C15251">
      <w:pPr>
        <w:shd w:val="clear" w:color="auto" w:fill="FFFFFF"/>
        <w:jc w:val="both"/>
        <w:rPr>
          <w:bCs/>
          <w:i/>
          <w:color w:val="002060"/>
          <w:sz w:val="16"/>
          <w:szCs w:val="16"/>
        </w:rPr>
      </w:pPr>
    </w:p>
    <w:p w14:paraId="1062D615" w14:textId="77777777" w:rsidR="001753A6" w:rsidRPr="00405303" w:rsidRDefault="001753A6" w:rsidP="00C15251">
      <w:pPr>
        <w:jc w:val="both"/>
        <w:rPr>
          <w:bCs/>
          <w:color w:val="002060"/>
          <w:sz w:val="16"/>
          <w:szCs w:val="16"/>
        </w:rPr>
      </w:pPr>
      <w:r w:rsidRPr="00405303">
        <w:rPr>
          <w:bCs/>
          <w:color w:val="002060"/>
          <w:sz w:val="16"/>
          <w:szCs w:val="16"/>
        </w:rPr>
        <w:t>В середине мая 1915 г., стремясь отбить у русских ранее потерянные позиции, противник, не считаясь с большими потерями, попытался прорвать линию фронта и закрепиться на правом берегу р. Сан в районе г. Ярослав (30 км севернее г. Перемышль). В ходе наступления широко использовались самолеты - корректировщики артиллерийского огня. По имевшимся сведениям, нашим зенитчикам удалось подбить несколько из них. Это заметно снизило результативность стрельбы вражеских артиллерийских расчетов. Германские летчики, оценив по достоинству эффективность русской зенитной артиллерии, стремились летать над расположением наших войск исключительно на больших высотах, что значительно снижало результативность их бомбардировок. С этим немецкое командование было вынуждено считаться, так как потеря летательного аппарата обходилась намного дороже, чем расход сотен килограммов боеприпасов (23405).</w:t>
      </w:r>
    </w:p>
    <w:p w14:paraId="3ABBAEA2" w14:textId="77777777" w:rsidR="001753A6" w:rsidRPr="00405303" w:rsidRDefault="001753A6" w:rsidP="00C15251">
      <w:pPr>
        <w:jc w:val="both"/>
        <w:rPr>
          <w:bCs/>
          <w:color w:val="002060"/>
          <w:sz w:val="16"/>
          <w:szCs w:val="16"/>
        </w:rPr>
      </w:pPr>
    </w:p>
    <w:p w14:paraId="4D274FDF" w14:textId="77777777" w:rsidR="001753A6" w:rsidRPr="00405303" w:rsidRDefault="001753A6" w:rsidP="00C15251">
      <w:pPr>
        <w:jc w:val="both"/>
        <w:rPr>
          <w:bCs/>
          <w:color w:val="002060"/>
          <w:sz w:val="16"/>
          <w:szCs w:val="16"/>
          <w:lang w:bidi="en-US"/>
        </w:rPr>
      </w:pPr>
      <w:r w:rsidRPr="00405303">
        <w:rPr>
          <w:bCs/>
          <w:color w:val="002060"/>
          <w:sz w:val="16"/>
          <w:szCs w:val="16"/>
          <w:lang w:bidi="en-US"/>
        </w:rPr>
        <w:t xml:space="preserve">В середине мая в Яблонну были доставлены два </w:t>
      </w:r>
      <w:r w:rsidRPr="00405303">
        <w:rPr>
          <w:bCs/>
          <w:color w:val="002060"/>
          <w:sz w:val="16"/>
          <w:szCs w:val="16"/>
          <w:lang w:val="en-US" w:bidi="en-US"/>
        </w:rPr>
        <w:t>Sikorsky</w:t>
      </w:r>
      <w:r w:rsidRPr="00405303">
        <w:rPr>
          <w:bCs/>
          <w:color w:val="002060"/>
          <w:sz w:val="16"/>
          <w:szCs w:val="16"/>
          <w:lang w:bidi="en-US"/>
        </w:rPr>
        <w:t xml:space="preserve"> </w:t>
      </w:r>
      <w:r w:rsidRPr="00405303">
        <w:rPr>
          <w:bCs/>
          <w:color w:val="002060"/>
          <w:sz w:val="16"/>
          <w:szCs w:val="16"/>
          <w:lang w:val="en-US" w:bidi="en-US"/>
        </w:rPr>
        <w:t>S</w:t>
      </w:r>
      <w:r w:rsidRPr="00405303">
        <w:rPr>
          <w:bCs/>
          <w:color w:val="002060"/>
          <w:sz w:val="16"/>
          <w:szCs w:val="16"/>
          <w:lang w:bidi="en-US"/>
        </w:rPr>
        <w:t xml:space="preserve">-16, а также несколько дополнительных </w:t>
      </w:r>
      <w:r w:rsidRPr="00405303">
        <w:rPr>
          <w:bCs/>
          <w:color w:val="002060"/>
          <w:sz w:val="16"/>
          <w:szCs w:val="16"/>
          <w:lang w:val="en-US" w:bidi="en-US"/>
        </w:rPr>
        <w:t>IM</w:t>
      </w:r>
      <w:r w:rsidRPr="00405303">
        <w:rPr>
          <w:bCs/>
          <w:color w:val="002060"/>
          <w:sz w:val="16"/>
          <w:szCs w:val="16"/>
          <w:lang w:bidi="en-US"/>
        </w:rPr>
        <w:t xml:space="preserve">, </w:t>
      </w:r>
      <w:r w:rsidRPr="00405303">
        <w:rPr>
          <w:bCs/>
          <w:color w:val="002060"/>
          <w:sz w:val="16"/>
          <w:szCs w:val="16"/>
          <w:lang w:val="en-US" w:bidi="en-US"/>
        </w:rPr>
        <w:t>S</w:t>
      </w:r>
      <w:r w:rsidRPr="00405303">
        <w:rPr>
          <w:bCs/>
          <w:color w:val="002060"/>
          <w:sz w:val="16"/>
          <w:szCs w:val="16"/>
          <w:lang w:bidi="en-US"/>
        </w:rPr>
        <w:t xml:space="preserve">-10 и </w:t>
      </w:r>
      <w:r w:rsidRPr="00405303">
        <w:rPr>
          <w:bCs/>
          <w:color w:val="002060"/>
          <w:sz w:val="16"/>
          <w:szCs w:val="16"/>
          <w:lang w:val="en-US" w:bidi="en-US"/>
        </w:rPr>
        <w:t>S</w:t>
      </w:r>
      <w:r w:rsidRPr="00405303">
        <w:rPr>
          <w:bCs/>
          <w:color w:val="002060"/>
          <w:sz w:val="16"/>
          <w:szCs w:val="16"/>
          <w:lang w:bidi="en-US"/>
        </w:rPr>
        <w:t>-12, но все они были без двигателей. С-16 предполагалось использовать в качестве учебных пилотов ЭВК (23525).</w:t>
      </w:r>
    </w:p>
    <w:p w14:paraId="783001BD" w14:textId="77777777" w:rsidR="001753A6" w:rsidRPr="00405303" w:rsidRDefault="001753A6" w:rsidP="00C15251">
      <w:pPr>
        <w:jc w:val="both"/>
        <w:rPr>
          <w:bCs/>
          <w:color w:val="002060"/>
          <w:sz w:val="16"/>
          <w:szCs w:val="16"/>
        </w:rPr>
      </w:pPr>
    </w:p>
    <w:p w14:paraId="64BFA6CB" w14:textId="77777777" w:rsidR="001753A6" w:rsidRPr="00405303" w:rsidRDefault="001753A6" w:rsidP="00C15251">
      <w:pPr>
        <w:jc w:val="both"/>
        <w:rPr>
          <w:bCs/>
          <w:color w:val="002060"/>
          <w:sz w:val="16"/>
          <w:szCs w:val="16"/>
        </w:rPr>
      </w:pPr>
      <w:r w:rsidRPr="00405303">
        <w:rPr>
          <w:bCs/>
          <w:color w:val="002060"/>
          <w:sz w:val="16"/>
          <w:szCs w:val="16"/>
        </w:rPr>
        <w:t>В середине мая 1915 г. германская авиация неоднократно бомбила г. Белосток (23405).</w:t>
      </w:r>
    </w:p>
    <w:p w14:paraId="276EB2C2" w14:textId="77777777" w:rsidR="001753A6" w:rsidRPr="00405303" w:rsidRDefault="001753A6" w:rsidP="00C15251">
      <w:pPr>
        <w:jc w:val="both"/>
        <w:rPr>
          <w:bCs/>
          <w:color w:val="002060"/>
          <w:sz w:val="16"/>
          <w:szCs w:val="16"/>
        </w:rPr>
      </w:pPr>
    </w:p>
    <w:p w14:paraId="00D4C3C1" w14:textId="77777777" w:rsidR="001A4DCC" w:rsidRPr="00405303" w:rsidRDefault="001A4DCC" w:rsidP="001A4DCC">
      <w:pPr>
        <w:jc w:val="both"/>
        <w:rPr>
          <w:color w:val="0070C0"/>
          <w:sz w:val="16"/>
          <w:szCs w:val="16"/>
        </w:rPr>
      </w:pPr>
      <w:r w:rsidRPr="00405303">
        <w:rPr>
          <w:rStyle w:val="aa"/>
          <w:rFonts w:ascii="Times New Roman" w:hAnsi="Times New Roman"/>
          <w:color w:val="0070C0"/>
          <w:spacing w:val="0"/>
          <w:sz w:val="16"/>
          <w:szCs w:val="16"/>
        </w:rPr>
        <w:t>В середине мая 1915 г. германская авиация неоднократно бомбила г. Белосток (25135).</w:t>
      </w:r>
    </w:p>
    <w:p w14:paraId="7D666B45" w14:textId="77777777" w:rsidR="001A4DCC" w:rsidRPr="00405303" w:rsidRDefault="001A4DCC" w:rsidP="001A4DCC">
      <w:pPr>
        <w:jc w:val="both"/>
        <w:rPr>
          <w:color w:val="0070C0"/>
          <w:sz w:val="16"/>
          <w:szCs w:val="16"/>
        </w:rPr>
      </w:pPr>
    </w:p>
    <w:p w14:paraId="5D2E440E" w14:textId="77777777" w:rsidR="001A4DCC" w:rsidRPr="00405303" w:rsidRDefault="001A4DCC" w:rsidP="001A4DCC">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В середине мая 1915 г. противник, не считаясь с большими потерями, попытался прорвать линию фронта и закрепиться на правом берегу р. Сан в районе г. Ярослав (30 км севернее г. Перемышль). В ходе наступления широко использовались самолеты – корректировщики артиллерийского огня. По имевшимся сведениям, нашим зенитчикам удалось подбить несколько из них. Это заметно снизило результативность стрельбы вражеских артиллерийских расчетов. Германские летчики, оценив по достоинству эффективность русской зенитной артиллерии, стремились летать над расположением наших войск исключительно на больших высотах, что значительно снижало результативность их бомбардировок. С этим немецкое командование было вынуждено считаться, так как потеря летательного аппарата обходилась намного дороже, чем расход сотен килограммов боеприпасов (25135).</w:t>
      </w:r>
    </w:p>
    <w:p w14:paraId="52F5BA8E" w14:textId="77777777" w:rsidR="001A4DCC" w:rsidRPr="00405303" w:rsidRDefault="001A4DCC" w:rsidP="001A4DCC">
      <w:pPr>
        <w:widowControl w:val="0"/>
        <w:tabs>
          <w:tab w:val="left" w:pos="687"/>
        </w:tabs>
        <w:jc w:val="both"/>
        <w:rPr>
          <w:color w:val="0070C0"/>
          <w:sz w:val="16"/>
          <w:szCs w:val="16"/>
        </w:rPr>
      </w:pPr>
    </w:p>
    <w:p w14:paraId="46DBA1C1" w14:textId="4A0325BA" w:rsidR="004B4E35" w:rsidRPr="00405303" w:rsidRDefault="009E6F82" w:rsidP="00C15251">
      <w:pPr>
        <w:shd w:val="clear" w:color="auto" w:fill="FFFFFF"/>
        <w:jc w:val="both"/>
        <w:rPr>
          <w:bCs/>
          <w:i/>
          <w:color w:val="002060"/>
          <w:sz w:val="16"/>
          <w:szCs w:val="16"/>
        </w:rPr>
      </w:pPr>
      <w:r w:rsidRPr="00405303">
        <w:rPr>
          <w:bCs/>
          <w:i/>
          <w:color w:val="002060"/>
          <w:sz w:val="16"/>
          <w:szCs w:val="16"/>
        </w:rPr>
        <w:t>Военное воздухоплавание:</w:t>
      </w:r>
    </w:p>
    <w:p w14:paraId="72D93A55" w14:textId="77777777" w:rsidR="004B4E35" w:rsidRPr="00405303" w:rsidRDefault="004B4E35" w:rsidP="00C15251">
      <w:pPr>
        <w:shd w:val="clear" w:color="auto" w:fill="FFFFFF"/>
        <w:jc w:val="both"/>
        <w:rPr>
          <w:bCs/>
          <w:i/>
          <w:color w:val="002060"/>
          <w:sz w:val="16"/>
          <w:szCs w:val="16"/>
        </w:rPr>
      </w:pPr>
    </w:p>
    <w:p w14:paraId="129FCB30" w14:textId="602A39A8" w:rsidR="004B4E35" w:rsidRPr="00405303" w:rsidRDefault="009E6F82" w:rsidP="00C15251">
      <w:pPr>
        <w:jc w:val="both"/>
        <w:rPr>
          <w:bCs/>
          <w:color w:val="002060"/>
          <w:sz w:val="16"/>
          <w:szCs w:val="16"/>
        </w:rPr>
      </w:pPr>
      <w:r w:rsidRPr="00405303">
        <w:rPr>
          <w:bCs/>
          <w:color w:val="002060"/>
          <w:sz w:val="16"/>
          <w:szCs w:val="16"/>
        </w:rPr>
        <w:t xml:space="preserve">В середине мая </w:t>
      </w:r>
      <w:r w:rsidR="005772C4" w:rsidRPr="00405303">
        <w:rPr>
          <w:bCs/>
          <w:color w:val="002060"/>
          <w:sz w:val="16"/>
          <w:szCs w:val="16"/>
        </w:rPr>
        <w:t xml:space="preserve">1915 г. </w:t>
      </w:r>
      <w:r w:rsidRPr="00405303">
        <w:rPr>
          <w:bCs/>
          <w:color w:val="002060"/>
          <w:sz w:val="16"/>
          <w:szCs w:val="16"/>
        </w:rPr>
        <w:t xml:space="preserve">воздушный корабль </w:t>
      </w:r>
      <w:r w:rsidR="005772C4" w:rsidRPr="00405303">
        <w:rPr>
          <w:bCs/>
          <w:color w:val="002060"/>
          <w:sz w:val="16"/>
          <w:szCs w:val="16"/>
        </w:rPr>
        <w:t xml:space="preserve">«Астра» </w:t>
      </w:r>
      <w:r w:rsidRPr="00405303">
        <w:rPr>
          <w:bCs/>
          <w:color w:val="002060"/>
          <w:sz w:val="16"/>
          <w:szCs w:val="16"/>
        </w:rPr>
        <w:t>под командованием Б. В. Голубова перелетел в Белосток, где его подготовили к выполнению боевых вылетов. Первым заданием, которое должна была совершить «Астра», стала бомбардировка железнодорожной станции Лык. Для выполнения этой операции требовались особо благоприятные погодные условия, так как технические возможности дирижабля были очень ограниченными. Следовало при слабом ветре общего направления на северо-запад, пользуясь для ориентира сетью Мазурских озер, подойти против [387] ветра к Лыку, находившемуся примерно в 80 км от передовых позиций, сбросить бомбы и, пользуясь попутным ветром, уйти домой. Такой случай представился в ночь на 21 мая — ветер был от северо-запада, силой 2-3 м/с, облачность — средняя. «Астру» вывели из эллинга около 21.00, команда заняла свои места по расписанию, и дирижабль, отделившись от земли, взял курс правее Осовца на линию озер, имея на борту 21 одно-пудовую бомбу и пулеметы для обороны. К 24.00 набрали высоту 700 м, а на подходе к Лыку (в 2.30) имели уже — 1200. С этой высоты и были сброшены бомбы — сначала три последовательных для пристрелки, а затем все остальные. Освободившись от груза, дирижабль подскочил до 1600 м, и в это время по нему открыли огонь зенитные орудия. Несколько снарядов взорвались в опасной близости от корабля, и после приземления в его носовой части были обнаружены несколько пробоин. Пользуясь темнотой и попутным ветром, дирижабль быстро ушел из зоны обстрела и в 5.30 благополучно возвратился на базу. Это был единственный удачный боевой вылет, совершенный русскими дирижаблями во время войны. Во второй половине июня 1915 года дирижабль был разоружен (11324).</w:t>
      </w:r>
    </w:p>
    <w:p w14:paraId="1742B11A" w14:textId="77777777" w:rsidR="004B4E35" w:rsidRPr="00405303" w:rsidRDefault="004B4E35" w:rsidP="00C15251">
      <w:pPr>
        <w:shd w:val="clear" w:color="auto" w:fill="FFFFFF"/>
        <w:jc w:val="both"/>
        <w:rPr>
          <w:bCs/>
          <w:i/>
          <w:color w:val="002060"/>
          <w:sz w:val="16"/>
          <w:szCs w:val="16"/>
        </w:rPr>
      </w:pPr>
    </w:p>
    <w:p w14:paraId="749102EA"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7A29CE5B" w14:textId="77777777" w:rsidR="004B4E35" w:rsidRPr="00405303" w:rsidRDefault="004B4E35" w:rsidP="00C15251">
      <w:pPr>
        <w:shd w:val="clear" w:color="auto" w:fill="FFFFFF"/>
        <w:jc w:val="both"/>
        <w:rPr>
          <w:bCs/>
          <w:i/>
          <w:color w:val="002060"/>
          <w:sz w:val="16"/>
          <w:szCs w:val="16"/>
        </w:rPr>
      </w:pPr>
    </w:p>
    <w:p w14:paraId="30DE62EF" w14:textId="7CAF3437" w:rsidR="004B4E35" w:rsidRPr="00405303" w:rsidRDefault="009E6F82" w:rsidP="00C15251">
      <w:pPr>
        <w:jc w:val="both"/>
        <w:rPr>
          <w:bCs/>
          <w:color w:val="002060"/>
          <w:sz w:val="16"/>
          <w:szCs w:val="16"/>
        </w:rPr>
      </w:pPr>
      <w:r w:rsidRPr="00405303">
        <w:rPr>
          <w:bCs/>
          <w:color w:val="002060"/>
          <w:sz w:val="16"/>
          <w:szCs w:val="16"/>
        </w:rPr>
        <w:t xml:space="preserve">16 </w:t>
      </w:r>
      <w:r w:rsidR="005772C4" w:rsidRPr="00405303">
        <w:rPr>
          <w:bCs/>
          <w:color w:val="002060"/>
          <w:sz w:val="16"/>
          <w:szCs w:val="16"/>
        </w:rPr>
        <w:t xml:space="preserve">(29) </w:t>
      </w:r>
      <w:r w:rsidRPr="00405303">
        <w:rPr>
          <w:bCs/>
          <w:color w:val="002060"/>
          <w:sz w:val="16"/>
          <w:szCs w:val="16"/>
        </w:rPr>
        <w:t>мая 1916 представители заказчика решили было затребовать в столицу 2 мотора Кертисса</w:t>
      </w:r>
      <w:r w:rsidR="005772C4" w:rsidRPr="00405303">
        <w:rPr>
          <w:bCs/>
          <w:color w:val="002060"/>
          <w:sz w:val="16"/>
          <w:szCs w:val="16"/>
        </w:rPr>
        <w:t xml:space="preserve"> для строящизся двух Альбатросов Лебедева</w:t>
      </w:r>
      <w:r w:rsidRPr="00405303">
        <w:rPr>
          <w:bCs/>
          <w:color w:val="002060"/>
          <w:sz w:val="16"/>
          <w:szCs w:val="16"/>
        </w:rPr>
        <w:t>. Но и компания не выдержала сроков и 30 мая ее руководство заявило, что самолеты не могут быть предъявлены ранее, чем через месяц, т.к. необходимо внести некоторые из</w:t>
      </w:r>
      <w:r w:rsidRPr="00405303">
        <w:rPr>
          <w:bCs/>
          <w:color w:val="002060"/>
          <w:sz w:val="16"/>
          <w:szCs w:val="16"/>
        </w:rPr>
        <w:softHyphen/>
        <w:t>менения в конструкцию фюзеляжа и шасси. В объяснительном письме от 27 мая В.А. Ле</w:t>
      </w:r>
      <w:r w:rsidRPr="00405303">
        <w:rPr>
          <w:bCs/>
          <w:color w:val="002060"/>
          <w:sz w:val="16"/>
          <w:szCs w:val="16"/>
        </w:rPr>
        <w:softHyphen/>
        <w:t>бедев впервые назвал эти "Альбатросы" именем "Лебедь Морской" (ЛМ) (2843).</w:t>
      </w:r>
    </w:p>
    <w:p w14:paraId="5E8637A0" w14:textId="77777777" w:rsidR="004B4E35" w:rsidRPr="00405303" w:rsidRDefault="004B4E35" w:rsidP="00C15251">
      <w:pPr>
        <w:jc w:val="both"/>
        <w:rPr>
          <w:bCs/>
          <w:color w:val="002060"/>
          <w:sz w:val="16"/>
          <w:szCs w:val="16"/>
        </w:rPr>
      </w:pPr>
    </w:p>
    <w:p w14:paraId="46EBFF60" w14:textId="77777777" w:rsidR="004B4E35" w:rsidRPr="00405303" w:rsidRDefault="009E6F82" w:rsidP="00C15251">
      <w:pPr>
        <w:jc w:val="both"/>
        <w:rPr>
          <w:bCs/>
          <w:color w:val="002060"/>
          <w:sz w:val="16"/>
          <w:szCs w:val="16"/>
        </w:rPr>
      </w:pPr>
      <w:r w:rsidRPr="00405303">
        <w:rPr>
          <w:bCs/>
          <w:color w:val="002060"/>
          <w:sz w:val="16"/>
          <w:szCs w:val="16"/>
        </w:rPr>
        <w:lastRenderedPageBreak/>
        <w:t>16 (29) мая 1915 - Начальник штаба 10-й дивизии полковник Петров совместно с военным летчиком штабс-капитаном Коноваловым производили опытное корректирование стрельбы с помощью "холодных ракет". Опыты дали положительные результаты. Изобретение передали в ГВТУ; к пояснительной записке приложили подробное описание ракеты и фотографические снимки ее действия.</w:t>
      </w:r>
    </w:p>
    <w:p w14:paraId="66B0DFA3" w14:textId="77777777" w:rsidR="004B4E35" w:rsidRPr="00405303" w:rsidRDefault="009E6F82" w:rsidP="00C15251">
      <w:pPr>
        <w:jc w:val="both"/>
        <w:rPr>
          <w:bCs/>
          <w:color w:val="002060"/>
          <w:sz w:val="16"/>
          <w:szCs w:val="16"/>
        </w:rPr>
      </w:pPr>
      <w:r w:rsidRPr="00405303">
        <w:rPr>
          <w:bCs/>
          <w:color w:val="002060"/>
          <w:sz w:val="16"/>
          <w:szCs w:val="16"/>
        </w:rPr>
        <w:t>Находившиеся до сих пор на вооружении русских корректировщиков артиллерийского огня ракеты оказались очень ненадежными, были случаи их самовоспламенения во время полета. Кроме того, сбрасывать такую ракету необходимо было двумя руками, и она давала клуб дыма, который издали можно было принять за шрапнельный разрыв. Поэтому в начале этого года по предложению летчиков гвардейского авиаотряда начальник искровой станции поручик Самойлов приступил к конструированию так называемых холодных ракет.</w:t>
      </w:r>
    </w:p>
    <w:p w14:paraId="2A806149" w14:textId="77777777" w:rsidR="004B4E35" w:rsidRPr="00405303" w:rsidRDefault="009E6F82" w:rsidP="00C15251">
      <w:pPr>
        <w:jc w:val="both"/>
        <w:rPr>
          <w:bCs/>
          <w:color w:val="002060"/>
          <w:sz w:val="16"/>
          <w:szCs w:val="16"/>
        </w:rPr>
      </w:pPr>
      <w:r w:rsidRPr="00405303">
        <w:rPr>
          <w:bCs/>
          <w:color w:val="002060"/>
          <w:sz w:val="16"/>
          <w:szCs w:val="16"/>
        </w:rPr>
        <w:t>Холодные ракеты представляли собой следующее. Дымовой состав из голландской сажи заключался в особом мешке, вокруг которого обматывался парашют. При броске ракеты с аэроплана парашют раскрывался, и состав высыпался, вытягиваясь в столб, достигавший большой длины, и сохранялся в воздухе продолжительное время. При испытании дымовой столб даже при слабом освещении был виден невооруженным глазом на расстоянии до 8 км. Время видимости столба составляло 1-3 минуты (11999).</w:t>
      </w:r>
    </w:p>
    <w:p w14:paraId="1A20E4AB" w14:textId="77777777" w:rsidR="004B4E35" w:rsidRPr="00405303" w:rsidRDefault="004B4E35" w:rsidP="00C15251">
      <w:pPr>
        <w:jc w:val="both"/>
        <w:rPr>
          <w:bCs/>
          <w:color w:val="002060"/>
          <w:sz w:val="16"/>
          <w:szCs w:val="16"/>
        </w:rPr>
      </w:pPr>
    </w:p>
    <w:p w14:paraId="7AF141F8" w14:textId="77777777" w:rsidR="00D340DA" w:rsidRPr="00405303" w:rsidRDefault="00D340DA" w:rsidP="00C15251">
      <w:pPr>
        <w:jc w:val="both"/>
        <w:rPr>
          <w:bCs/>
          <w:i/>
          <w:color w:val="002060"/>
          <w:sz w:val="16"/>
          <w:szCs w:val="16"/>
        </w:rPr>
      </w:pPr>
      <w:r w:rsidRPr="00405303">
        <w:rPr>
          <w:bCs/>
          <w:i/>
          <w:color w:val="002060"/>
          <w:sz w:val="16"/>
          <w:szCs w:val="16"/>
        </w:rPr>
        <w:t>Другие оборонные отрасли:</w:t>
      </w:r>
    </w:p>
    <w:p w14:paraId="147CBCBC" w14:textId="77777777" w:rsidR="00D340DA" w:rsidRPr="00405303" w:rsidRDefault="00D340DA" w:rsidP="00C15251">
      <w:pPr>
        <w:jc w:val="both"/>
        <w:rPr>
          <w:bCs/>
          <w:i/>
          <w:color w:val="002060"/>
          <w:sz w:val="16"/>
          <w:szCs w:val="16"/>
        </w:rPr>
      </w:pPr>
    </w:p>
    <w:p w14:paraId="106132AB" w14:textId="789EC982" w:rsidR="00D340DA" w:rsidRPr="00405303" w:rsidRDefault="00D340DA" w:rsidP="00C15251">
      <w:pPr>
        <w:pStyle w:val="p1"/>
        <w:spacing w:before="0" w:beforeAutospacing="0" w:after="0" w:afterAutospacing="0"/>
        <w:jc w:val="both"/>
        <w:rPr>
          <w:bCs/>
          <w:color w:val="002060"/>
          <w:sz w:val="16"/>
          <w:szCs w:val="16"/>
        </w:rPr>
      </w:pPr>
      <w:r w:rsidRPr="00405303">
        <w:rPr>
          <w:bCs/>
          <w:color w:val="002060"/>
          <w:sz w:val="16"/>
          <w:szCs w:val="16"/>
        </w:rPr>
        <w:t xml:space="preserve">16 </w:t>
      </w:r>
      <w:r w:rsidR="005772C4" w:rsidRPr="00405303">
        <w:rPr>
          <w:bCs/>
          <w:color w:val="002060"/>
          <w:sz w:val="16"/>
          <w:szCs w:val="16"/>
        </w:rPr>
        <w:t xml:space="preserve">(29) </w:t>
      </w:r>
      <w:r w:rsidRPr="00405303">
        <w:rPr>
          <w:bCs/>
          <w:color w:val="002060"/>
          <w:sz w:val="16"/>
          <w:szCs w:val="16"/>
        </w:rPr>
        <w:t>мая 1915 г. Военный совет утвердил проект постройки завода азотной кислоты, получаемой из атмосферного азота. При этом также учитывалась перспектива перегруппировки держав, после чего враждебная позиция Англии совершенно закроет подвоз чилийской селитры. Год спустя, объясняя Министерству финансов необходимость устройства 4-го завода взрывчатых веществ (в Уфе), Военное министерство ссылалось на то, что «не всегда будет столь благоприятная политическая группировка держав, которая могла бы допускать выпуск и морскую перевозку заграничных предметов» (18409).</w:t>
      </w:r>
    </w:p>
    <w:p w14:paraId="7BE190B3" w14:textId="77777777" w:rsidR="00D340DA" w:rsidRPr="00405303" w:rsidRDefault="00D340DA" w:rsidP="00C15251">
      <w:pPr>
        <w:pStyle w:val="p1"/>
        <w:spacing w:before="0" w:beforeAutospacing="0" w:after="0" w:afterAutospacing="0"/>
        <w:jc w:val="both"/>
        <w:rPr>
          <w:bCs/>
          <w:color w:val="002060"/>
          <w:sz w:val="16"/>
          <w:szCs w:val="16"/>
        </w:rPr>
      </w:pPr>
    </w:p>
    <w:p w14:paraId="7FEB4C40" w14:textId="21B03DDF" w:rsidR="00D13641" w:rsidRPr="00405303" w:rsidRDefault="00D13641" w:rsidP="00C15251">
      <w:pPr>
        <w:jc w:val="both"/>
        <w:rPr>
          <w:bCs/>
          <w:color w:val="002060"/>
          <w:sz w:val="16"/>
          <w:szCs w:val="16"/>
        </w:rPr>
      </w:pPr>
      <w:r w:rsidRPr="00405303">
        <w:rPr>
          <w:bCs/>
          <w:color w:val="002060"/>
          <w:sz w:val="16"/>
          <w:szCs w:val="16"/>
        </w:rPr>
        <w:t xml:space="preserve">16 </w:t>
      </w:r>
      <w:r w:rsidR="0021141E" w:rsidRPr="00405303">
        <w:rPr>
          <w:bCs/>
          <w:color w:val="002060"/>
          <w:sz w:val="16"/>
          <w:szCs w:val="16"/>
        </w:rPr>
        <w:t xml:space="preserve">(29) </w:t>
      </w:r>
      <w:r w:rsidRPr="00405303">
        <w:rPr>
          <w:bCs/>
          <w:color w:val="002060"/>
          <w:sz w:val="16"/>
          <w:szCs w:val="16"/>
        </w:rPr>
        <w:t>мая 1915 г. Военный совет утвердил доклад ГАУ о по</w:t>
      </w:r>
      <w:r w:rsidRPr="00405303">
        <w:rPr>
          <w:bCs/>
          <w:color w:val="002060"/>
          <w:sz w:val="16"/>
          <w:szCs w:val="16"/>
        </w:rPr>
        <w:softHyphen/>
        <w:t>стройке азотного завода, обоснованный тревожной оценкой ближай</w:t>
      </w:r>
      <w:r w:rsidRPr="00405303">
        <w:rPr>
          <w:bCs/>
          <w:color w:val="002060"/>
          <w:sz w:val="16"/>
          <w:szCs w:val="16"/>
        </w:rPr>
        <w:softHyphen/>
        <w:t>ших политических перспектив: «В течение нынешней вой</w:t>
      </w:r>
      <w:r w:rsidRPr="00405303">
        <w:rPr>
          <w:bCs/>
          <w:color w:val="002060"/>
          <w:sz w:val="16"/>
          <w:szCs w:val="16"/>
        </w:rPr>
        <w:softHyphen/>
        <w:t>ны, — говорилось в докладе, когда водные пути сообщения охраняются Англией, мы не испытываем больших затрудне</w:t>
      </w:r>
      <w:r w:rsidRPr="00405303">
        <w:rPr>
          <w:bCs/>
          <w:color w:val="002060"/>
          <w:sz w:val="16"/>
          <w:szCs w:val="16"/>
        </w:rPr>
        <w:softHyphen/>
        <w:t>ний» с сырьем для производства взрывчатых веществ. Но после разгрома Германии, «при иной политической группи</w:t>
      </w:r>
      <w:r w:rsidRPr="00405303">
        <w:rPr>
          <w:bCs/>
          <w:color w:val="002060"/>
          <w:sz w:val="16"/>
          <w:szCs w:val="16"/>
        </w:rPr>
        <w:softHyphen/>
        <w:t>ровке держав ввоз к нам чилийской селитры будет совершен</w:t>
      </w:r>
      <w:r w:rsidRPr="00405303">
        <w:rPr>
          <w:bCs/>
          <w:color w:val="002060"/>
          <w:sz w:val="16"/>
          <w:szCs w:val="16"/>
        </w:rPr>
        <w:softHyphen/>
        <w:t>но невозможен»; «единственным выходом из создавшегося положения является организация добычи азотной кислоты путем окисления азота воздуха и сооружения для этой цели соответствующего завода».</w:t>
      </w:r>
    </w:p>
    <w:p w14:paraId="00D9407E" w14:textId="77777777" w:rsidR="00D13641" w:rsidRPr="00405303" w:rsidRDefault="00D13641" w:rsidP="00C15251">
      <w:pPr>
        <w:jc w:val="both"/>
        <w:rPr>
          <w:bCs/>
          <w:color w:val="002060"/>
          <w:sz w:val="16"/>
          <w:szCs w:val="16"/>
        </w:rPr>
      </w:pPr>
      <w:r w:rsidRPr="00405303">
        <w:rPr>
          <w:bCs/>
          <w:color w:val="002060"/>
          <w:sz w:val="16"/>
          <w:szCs w:val="16"/>
        </w:rPr>
        <w:t>Было решено, что, по сравнению с расчетами, подготов</w:t>
      </w:r>
      <w:r w:rsidRPr="00405303">
        <w:rPr>
          <w:bCs/>
          <w:color w:val="002060"/>
          <w:sz w:val="16"/>
          <w:szCs w:val="16"/>
        </w:rPr>
        <w:softHyphen/>
        <w:t>ленными комиссией Забудского, сооружаемый завод дол</w:t>
      </w:r>
      <w:r w:rsidRPr="00405303">
        <w:rPr>
          <w:bCs/>
          <w:color w:val="002060"/>
          <w:sz w:val="16"/>
          <w:szCs w:val="16"/>
        </w:rPr>
        <w:softHyphen/>
        <w:t>жен быть вдвое больше, чтобы мог покрывать потребность в кислоте трех существующих пороховых заводов, исчис</w:t>
      </w:r>
      <w:r w:rsidRPr="00405303">
        <w:rPr>
          <w:bCs/>
          <w:color w:val="002060"/>
          <w:sz w:val="16"/>
          <w:szCs w:val="16"/>
        </w:rPr>
        <w:softHyphen/>
        <w:t>ленную в 500 тысяч пудов в год. Для этого ему была нужна электроэнергия от водопада Кивача. Специалисты МПС подсчитали, что на сооружение электростанции уйдет 2 млн руб., а сколько потребуется на сам завод, можно было су</w:t>
      </w:r>
      <w:r w:rsidRPr="00405303">
        <w:rPr>
          <w:bCs/>
          <w:color w:val="002060"/>
          <w:sz w:val="16"/>
          <w:szCs w:val="16"/>
        </w:rPr>
        <w:softHyphen/>
        <w:t>дить лишь очень приблизительно, увеличивая намеченную Забудским стоимость постройки и оборудования с учетом того, что завод вдвое более мощный, материалы и рабочие руки подорожали и, кроме того, «устройство его поручает</w:t>
      </w:r>
      <w:r w:rsidRPr="00405303">
        <w:rPr>
          <w:bCs/>
          <w:color w:val="002060"/>
          <w:sz w:val="16"/>
          <w:szCs w:val="16"/>
        </w:rPr>
        <w:softHyphen/>
        <w:t>ся иностранной фирме». Приходилось считаться с тем, что «у нас опыта в этом отношении нет», печь Миткевича и Горбова в заводских условиях так и не была испытана, а «потому, принимая во внимание спешность и важность» дела, «необходимо передать постройку и оборудование кис</w:t>
      </w:r>
      <w:r w:rsidRPr="00405303">
        <w:rPr>
          <w:bCs/>
          <w:color w:val="002060"/>
          <w:sz w:val="16"/>
          <w:szCs w:val="16"/>
        </w:rPr>
        <w:softHyphen/>
        <w:t>лотного завода иностранной фирме (Сохранились документы, относящиеся к заключению договора с «Норвежским азотным обществом»: заявление директора общества Эйде (как иной вариант, в нем указывалось возможное место постройки на реках Выг или Кемь), Главные основания концессионного договора и чей-то критический отзыв об этом предложении (РГВИА. Ф. 23. Оп. 3. Д. 5419, 5420, 5422). Предложение Эйде было рассмотрено на заседании Особого совещания по обороне 15 июля, после чего Поливанов «при</w:t>
      </w:r>
      <w:r w:rsidRPr="00405303">
        <w:rPr>
          <w:bCs/>
          <w:color w:val="002060"/>
          <w:sz w:val="16"/>
          <w:szCs w:val="16"/>
        </w:rPr>
        <w:softHyphen/>
        <w:t>казал предложить ГАУ в ближайшие дни завершить исследование во</w:t>
      </w:r>
      <w:r w:rsidRPr="00405303">
        <w:rPr>
          <w:bCs/>
          <w:color w:val="002060"/>
          <w:sz w:val="16"/>
          <w:szCs w:val="16"/>
        </w:rPr>
        <w:softHyphen/>
        <w:t xml:space="preserve">проса... и приступить к действительному его выполнению в текущем строительном сезоне», и 30 июля Маниковский подал в Военный совет соответствующий доклад (Там же. Ф. 1. </w:t>
      </w:r>
      <w:r w:rsidRPr="00405303">
        <w:rPr>
          <w:bCs/>
          <w:color w:val="002060"/>
          <w:sz w:val="16"/>
          <w:szCs w:val="16"/>
          <w:lang w:val="en-US" w:bidi="en-US"/>
        </w:rPr>
        <w:t>On</w:t>
      </w:r>
      <w:r w:rsidRPr="00405303">
        <w:rPr>
          <w:bCs/>
          <w:color w:val="002060"/>
          <w:sz w:val="16"/>
          <w:szCs w:val="16"/>
          <w:lang w:bidi="en-US"/>
        </w:rPr>
        <w:t xml:space="preserve">. </w:t>
      </w:r>
      <w:r w:rsidRPr="00405303">
        <w:rPr>
          <w:bCs/>
          <w:color w:val="002060"/>
          <w:sz w:val="16"/>
          <w:szCs w:val="16"/>
        </w:rPr>
        <w:t>1. Т. 46. Д. 1282. Л. 1—2)) с тем, чтобы по уста</w:t>
      </w:r>
      <w:r w:rsidRPr="00405303">
        <w:rPr>
          <w:bCs/>
          <w:color w:val="002060"/>
          <w:sz w:val="16"/>
          <w:szCs w:val="16"/>
        </w:rPr>
        <w:softHyphen/>
        <w:t>новлении производства и по обучении нашего личного со</w:t>
      </w:r>
      <w:r w:rsidRPr="00405303">
        <w:rPr>
          <w:bCs/>
          <w:color w:val="002060"/>
          <w:sz w:val="16"/>
          <w:szCs w:val="16"/>
        </w:rPr>
        <w:softHyphen/>
        <w:t>става... завод был бы передан военному ведомству»; все предприятие «должно быть обязательно казенным» — «что</w:t>
      </w:r>
      <w:r w:rsidRPr="00405303">
        <w:rPr>
          <w:bCs/>
          <w:color w:val="002060"/>
          <w:sz w:val="16"/>
          <w:szCs w:val="16"/>
        </w:rPr>
        <w:softHyphen/>
        <w:t>бы с объявлением войны не оказаться в зависимом поло</w:t>
      </w:r>
      <w:r w:rsidRPr="00405303">
        <w:rPr>
          <w:bCs/>
          <w:color w:val="002060"/>
          <w:sz w:val="16"/>
          <w:szCs w:val="16"/>
        </w:rPr>
        <w:softHyphen/>
        <w:t>жении» (объявленной могла быть в будущем, как ясно из предыдущего, война с Англией, с союзниками). Вместе с электростанцией примерный расход на этот объект наме</w:t>
      </w:r>
      <w:r w:rsidRPr="00405303">
        <w:rPr>
          <w:bCs/>
          <w:color w:val="002060"/>
          <w:sz w:val="16"/>
          <w:szCs w:val="16"/>
        </w:rPr>
        <w:softHyphen/>
        <w:t>чался около 6 млн руб. (23452)</w:t>
      </w:r>
    </w:p>
    <w:p w14:paraId="298BE463" w14:textId="77777777" w:rsidR="00D13641" w:rsidRPr="00405303" w:rsidRDefault="00D13641" w:rsidP="00C15251">
      <w:pPr>
        <w:jc w:val="both"/>
        <w:rPr>
          <w:bCs/>
          <w:color w:val="002060"/>
          <w:sz w:val="16"/>
          <w:szCs w:val="16"/>
        </w:rPr>
      </w:pPr>
    </w:p>
    <w:p w14:paraId="76C56FCC" w14:textId="41FEFC89" w:rsidR="00D13641" w:rsidRPr="00405303" w:rsidRDefault="00D13641" w:rsidP="00C15251">
      <w:pPr>
        <w:jc w:val="both"/>
        <w:rPr>
          <w:bCs/>
          <w:color w:val="002060"/>
          <w:sz w:val="16"/>
          <w:szCs w:val="16"/>
        </w:rPr>
      </w:pPr>
      <w:r w:rsidRPr="00405303">
        <w:rPr>
          <w:bCs/>
          <w:color w:val="002060"/>
          <w:sz w:val="16"/>
          <w:szCs w:val="16"/>
        </w:rPr>
        <w:t xml:space="preserve">16 </w:t>
      </w:r>
      <w:r w:rsidR="0021141E" w:rsidRPr="00405303">
        <w:rPr>
          <w:bCs/>
          <w:color w:val="002060"/>
          <w:sz w:val="16"/>
          <w:szCs w:val="16"/>
        </w:rPr>
        <w:t xml:space="preserve">(29) </w:t>
      </w:r>
      <w:r w:rsidRPr="00405303">
        <w:rPr>
          <w:bCs/>
          <w:color w:val="002060"/>
          <w:sz w:val="16"/>
          <w:szCs w:val="16"/>
        </w:rPr>
        <w:t>мая 1915 г. Военный совет утвердил проект построй</w:t>
      </w:r>
      <w:r w:rsidRPr="00405303">
        <w:rPr>
          <w:bCs/>
          <w:color w:val="002060"/>
          <w:sz w:val="16"/>
          <w:szCs w:val="16"/>
        </w:rPr>
        <w:softHyphen/>
        <w:t>ки завода азотной кислоты, получаемой из атмосферного азота. При этом также учитывалась перспектива перегруп</w:t>
      </w:r>
      <w:r w:rsidRPr="00405303">
        <w:rPr>
          <w:bCs/>
          <w:color w:val="002060"/>
          <w:sz w:val="16"/>
          <w:szCs w:val="16"/>
        </w:rPr>
        <w:softHyphen/>
        <w:t>пировки держав, после чего враждебная позиция Англии совершенно закроет подвоз чилийской селитры (Там же. Ф. 29. Оп. 3. Д. 722. Л. 64. Это обоснование дословно вос</w:t>
      </w:r>
      <w:r w:rsidRPr="00405303">
        <w:rPr>
          <w:bCs/>
          <w:color w:val="002060"/>
          <w:sz w:val="16"/>
          <w:szCs w:val="16"/>
        </w:rPr>
        <w:softHyphen/>
        <w:t>произведено в легенде к соответствующему объекту «программы Мани- ковского» (Доклад начальника Главного артиллерийского управления 20 октября 1916 г. С. 53)). Год спу</w:t>
      </w:r>
      <w:r w:rsidRPr="00405303">
        <w:rPr>
          <w:bCs/>
          <w:color w:val="002060"/>
          <w:sz w:val="16"/>
          <w:szCs w:val="16"/>
        </w:rPr>
        <w:softHyphen/>
        <w:t>стя, объясняя Министерству финансов необходимость устройства 4-го завода взрывчатых веществ (в Уфе), Воен</w:t>
      </w:r>
      <w:r w:rsidRPr="00405303">
        <w:rPr>
          <w:bCs/>
          <w:color w:val="002060"/>
          <w:sz w:val="16"/>
          <w:szCs w:val="16"/>
        </w:rPr>
        <w:softHyphen/>
        <w:t>ное министерство ссылалось на то, что «не всегда будет столь благоприятная политическая группировка держав, которая могла бы допускать выпуск и морскую перевозку заграничных предметов» (23452).</w:t>
      </w:r>
    </w:p>
    <w:p w14:paraId="0F5ED58B" w14:textId="77777777" w:rsidR="00D13641" w:rsidRPr="00405303" w:rsidRDefault="00D13641" w:rsidP="00C15251">
      <w:pPr>
        <w:jc w:val="both"/>
        <w:rPr>
          <w:bCs/>
          <w:color w:val="002060"/>
          <w:sz w:val="16"/>
          <w:szCs w:val="16"/>
        </w:rPr>
      </w:pPr>
    </w:p>
    <w:p w14:paraId="17792747" w14:textId="0C7E9A81" w:rsidR="00D340DA" w:rsidRPr="00405303" w:rsidRDefault="00D340DA" w:rsidP="00C15251">
      <w:pPr>
        <w:pStyle w:val="p1"/>
        <w:spacing w:before="0" w:beforeAutospacing="0" w:after="0" w:afterAutospacing="0"/>
        <w:jc w:val="both"/>
        <w:rPr>
          <w:bCs/>
          <w:color w:val="002060"/>
          <w:sz w:val="16"/>
          <w:szCs w:val="16"/>
        </w:rPr>
      </w:pPr>
      <w:r w:rsidRPr="00405303">
        <w:rPr>
          <w:bCs/>
          <w:color w:val="002060"/>
          <w:sz w:val="16"/>
          <w:szCs w:val="16"/>
        </w:rPr>
        <w:t xml:space="preserve">16 </w:t>
      </w:r>
      <w:r w:rsidR="005772C4" w:rsidRPr="00405303">
        <w:rPr>
          <w:bCs/>
          <w:color w:val="002060"/>
          <w:sz w:val="16"/>
          <w:szCs w:val="16"/>
        </w:rPr>
        <w:t xml:space="preserve">(29) </w:t>
      </w:r>
      <w:r w:rsidRPr="00405303">
        <w:rPr>
          <w:bCs/>
          <w:color w:val="002060"/>
          <w:sz w:val="16"/>
          <w:szCs w:val="16"/>
        </w:rPr>
        <w:t>мая 1915 г. Военный совет утвердил доклад ГАУ о постройке завода, обоснованный тревожной оценкой ближайших политических перспектив: «В течение нынешней войны, — говорилось в докладе, — когда водные пути сообщения охраняются Англией, мы не испытываем больших затруднений» с сырьем для производства взрывчатых веществ. Но после разгрома Германии, «при иной политической группировке держав ввоз к нам чилийской селитры будет совершенно невозможен»; «единственным выходом из создавшегося положения является организация добычи азотной кислоты путем окисления азота воздуха и сооружения для этой цели соответствующего завода».</w:t>
      </w:r>
    </w:p>
    <w:p w14:paraId="1DE49933" w14:textId="77777777" w:rsidR="00D340DA" w:rsidRPr="00405303" w:rsidRDefault="00D340DA" w:rsidP="00C15251">
      <w:pPr>
        <w:pStyle w:val="p1"/>
        <w:spacing w:before="0" w:beforeAutospacing="0" w:after="0" w:afterAutospacing="0"/>
        <w:jc w:val="both"/>
        <w:rPr>
          <w:bCs/>
          <w:color w:val="002060"/>
          <w:sz w:val="16"/>
          <w:szCs w:val="16"/>
        </w:rPr>
      </w:pPr>
      <w:r w:rsidRPr="00405303">
        <w:rPr>
          <w:bCs/>
          <w:color w:val="002060"/>
          <w:sz w:val="16"/>
          <w:szCs w:val="16"/>
        </w:rPr>
        <w:t>Было решено, что, по сравнению с расчетами, подготовленными комиссией Забудского, сооружаемый завод должен быть вдвое больше, чтобы мог покрывать потребность в кислоте трех существующих пороховых заводов, исчисленную в 500 тысяч пудов в год. Для этого ему была нужна электроэнергия от водопада Кивача. Специалисты МПС подсчитали, что на сооружение электростанции уйдет 2 млн. руб., а сколько потребуется на сам завод, можно было судить лишь очень приблизительно, увеличивая намеченную Забудским стоимость постройки и оборудования с учетом того, что завод вдвое более мощный, материалы и рабочие руки подорожали и, кроме того, «устройство его поручается иностранной фирме». Приходилось считаться с тем, что «у нас опыта в этом отношении нет», печь Миткевича и Горбова в заводских условиях так и не была испытана, а «потому, принимая во внимание спешность и важность» дела, «необходимо передать постройку и оборудование кислотного завода иностранной фирме[139] с тем, чтобы по установлении производства и по обучении нашего личного состава… завод был бы передан военному ведомству»; все предприятие «должно быть обязательно казенным» — «чтобы с объявлением войны не оказаться в зависимом положении» (объявленной могла быть в будущем, как ясно из предыдущего, война с Англией, с союзниками). Вместе с электростанцией примерный расход на этот объект намечался около 6 млн. руб. (18409).</w:t>
      </w:r>
    </w:p>
    <w:p w14:paraId="65D5FB2A" w14:textId="77777777" w:rsidR="00D340DA" w:rsidRPr="00405303" w:rsidRDefault="00D340DA" w:rsidP="00C15251">
      <w:pPr>
        <w:pStyle w:val="p1"/>
        <w:spacing w:before="0" w:beforeAutospacing="0" w:after="0" w:afterAutospacing="0"/>
        <w:jc w:val="both"/>
        <w:rPr>
          <w:bCs/>
          <w:color w:val="002060"/>
          <w:sz w:val="16"/>
          <w:szCs w:val="16"/>
        </w:rPr>
      </w:pPr>
    </w:p>
    <w:p w14:paraId="011DDD83" w14:textId="6F75E876" w:rsidR="0021141E" w:rsidRPr="00405303" w:rsidRDefault="0021141E" w:rsidP="00C15251">
      <w:pPr>
        <w:shd w:val="clear" w:color="auto" w:fill="FFFFFF"/>
        <w:jc w:val="both"/>
        <w:rPr>
          <w:bCs/>
          <w:i/>
          <w:color w:val="002060"/>
          <w:sz w:val="16"/>
          <w:szCs w:val="16"/>
        </w:rPr>
      </w:pPr>
      <w:r w:rsidRPr="00405303">
        <w:rPr>
          <w:bCs/>
          <w:i/>
          <w:color w:val="002060"/>
          <w:sz w:val="16"/>
          <w:szCs w:val="16"/>
        </w:rPr>
        <w:t>Авиация:</w:t>
      </w:r>
    </w:p>
    <w:p w14:paraId="0F222538" w14:textId="77777777" w:rsidR="0021141E" w:rsidRPr="00405303" w:rsidRDefault="0021141E" w:rsidP="00C15251">
      <w:pPr>
        <w:shd w:val="clear" w:color="auto" w:fill="FFFFFF"/>
        <w:jc w:val="both"/>
        <w:rPr>
          <w:bCs/>
          <w:i/>
          <w:color w:val="002060"/>
          <w:sz w:val="16"/>
          <w:szCs w:val="16"/>
        </w:rPr>
      </w:pPr>
    </w:p>
    <w:p w14:paraId="2BFA88F9" w14:textId="58B2F203" w:rsidR="0021141E" w:rsidRPr="00405303" w:rsidRDefault="0021141E" w:rsidP="00C15251">
      <w:pPr>
        <w:jc w:val="both"/>
        <w:rPr>
          <w:bCs/>
          <w:color w:val="002060"/>
          <w:sz w:val="16"/>
          <w:szCs w:val="16"/>
        </w:rPr>
      </w:pPr>
      <w:bookmarkStart w:id="139" w:name="bookmark176"/>
      <w:bookmarkStart w:id="140" w:name="bookmark177"/>
      <w:r w:rsidRPr="00405303">
        <w:rPr>
          <w:bCs/>
          <w:color w:val="002060"/>
          <w:sz w:val="16"/>
          <w:szCs w:val="16"/>
        </w:rPr>
        <w:t xml:space="preserve">16 (29) мая 1915 г. стал поистине черным днем для германской авиации. В течение дня в результате зенитного обстрела немецкая сторона потеряла четыре своих летательных аппаратов в полосе русского Северо-Западного фронта. Три воздушных судна упали «среди наших войск», четвертый - на территории, занятой противником. В районе д. Едвабне зенитным огнем подбит германский аэроплан. Он </w:t>
      </w:r>
      <w:bookmarkStart w:id="141" w:name="bookmark178"/>
      <w:bookmarkStart w:id="142" w:name="bookmark179"/>
      <w:bookmarkEnd w:id="139"/>
      <w:bookmarkEnd w:id="140"/>
      <w:r w:rsidRPr="00405303">
        <w:rPr>
          <w:bCs/>
          <w:color w:val="002060"/>
          <w:sz w:val="16"/>
          <w:szCs w:val="16"/>
        </w:rPr>
        <w:t>упал на нейтральной полосе и разбился. На станции Ж. [в документах название не расшифровано] нашими стрелковыми частями был подбит немецкий самолет «Таубе», сбросивший ранее несколько бомб на железнодорожные объекты и военный эшелон. После вынужденной посадки германские летчики открыли стрельбу из маузеров по русским солдатам, но вскоре вынуждены сдаться в плен (23405).</w:t>
      </w:r>
      <w:bookmarkEnd w:id="141"/>
      <w:bookmarkEnd w:id="142"/>
    </w:p>
    <w:p w14:paraId="456571B4" w14:textId="77777777" w:rsidR="0021141E" w:rsidRPr="00405303" w:rsidRDefault="0021141E" w:rsidP="00C15251">
      <w:pPr>
        <w:jc w:val="both"/>
        <w:rPr>
          <w:bCs/>
          <w:color w:val="002060"/>
          <w:sz w:val="16"/>
          <w:szCs w:val="16"/>
        </w:rPr>
      </w:pPr>
    </w:p>
    <w:p w14:paraId="5D115897" w14:textId="71C78ABB"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7D808CFE" w14:textId="77777777" w:rsidR="004B4E35" w:rsidRPr="00405303" w:rsidRDefault="004B4E35" w:rsidP="00C15251">
      <w:pPr>
        <w:shd w:val="clear" w:color="auto" w:fill="FFFFFF"/>
        <w:jc w:val="both"/>
        <w:rPr>
          <w:bCs/>
          <w:i/>
          <w:color w:val="002060"/>
          <w:sz w:val="16"/>
          <w:szCs w:val="16"/>
        </w:rPr>
      </w:pPr>
    </w:p>
    <w:p w14:paraId="2B7FE2D9" w14:textId="5A9A2157" w:rsidR="004B4E35" w:rsidRPr="00405303" w:rsidRDefault="009E6F82" w:rsidP="00C15251">
      <w:pPr>
        <w:jc w:val="both"/>
        <w:rPr>
          <w:bCs/>
          <w:color w:val="002060"/>
          <w:sz w:val="16"/>
          <w:szCs w:val="16"/>
        </w:rPr>
      </w:pPr>
      <w:r w:rsidRPr="00405303">
        <w:rPr>
          <w:bCs/>
          <w:color w:val="002060"/>
          <w:sz w:val="16"/>
          <w:szCs w:val="16"/>
        </w:rPr>
        <w:t xml:space="preserve">16 </w:t>
      </w:r>
      <w:r w:rsidR="005772C4" w:rsidRPr="00405303">
        <w:rPr>
          <w:bCs/>
          <w:color w:val="002060"/>
          <w:sz w:val="16"/>
          <w:szCs w:val="16"/>
        </w:rPr>
        <w:t xml:space="preserve">(29) </w:t>
      </w:r>
      <w:r w:rsidRPr="00405303">
        <w:rPr>
          <w:bCs/>
          <w:color w:val="002060"/>
          <w:sz w:val="16"/>
          <w:szCs w:val="16"/>
        </w:rPr>
        <w:t xml:space="preserve">мая 1915 г. </w:t>
      </w:r>
      <w:r w:rsidR="005772C4" w:rsidRPr="00405303">
        <w:rPr>
          <w:bCs/>
          <w:color w:val="002060"/>
          <w:sz w:val="16"/>
          <w:szCs w:val="16"/>
        </w:rPr>
        <w:t xml:space="preserve">прибытие </w:t>
      </w:r>
      <w:r w:rsidRPr="00405303">
        <w:rPr>
          <w:bCs/>
          <w:color w:val="002060"/>
          <w:sz w:val="16"/>
          <w:szCs w:val="16"/>
        </w:rPr>
        <w:t xml:space="preserve">в Севастополь М-5 первого образца воспринималось как вполне положительное явление. Кроме того, по сравнению с французской лодкой ФБА, М-5 оказалась прочнее и гораздо лучше выдерживала посадку на крутую черноморскую волну. Все указанные обстоятельства привели к тому, что очень скоро </w:t>
      </w:r>
      <w:proofErr w:type="gramStart"/>
      <w:r w:rsidRPr="00405303">
        <w:rPr>
          <w:bCs/>
          <w:color w:val="002060"/>
          <w:sz w:val="16"/>
          <w:szCs w:val="16"/>
        </w:rPr>
        <w:t>последо-вал</w:t>
      </w:r>
      <w:proofErr w:type="gramEnd"/>
      <w:r w:rsidRPr="00405303">
        <w:rPr>
          <w:bCs/>
          <w:color w:val="002060"/>
          <w:sz w:val="16"/>
          <w:szCs w:val="16"/>
        </w:rPr>
        <w:t xml:space="preserve"> заказ на 12 таких лодок для авиации Черноморского флота.</w:t>
      </w:r>
    </w:p>
    <w:p w14:paraId="642E7273" w14:textId="77777777" w:rsidR="004B4E35" w:rsidRPr="00405303" w:rsidRDefault="009E6F82" w:rsidP="00C15251">
      <w:pPr>
        <w:jc w:val="both"/>
        <w:rPr>
          <w:bCs/>
          <w:color w:val="002060"/>
          <w:sz w:val="16"/>
          <w:szCs w:val="16"/>
        </w:rPr>
      </w:pPr>
      <w:r w:rsidRPr="00405303">
        <w:rPr>
          <w:bCs/>
          <w:color w:val="002060"/>
          <w:sz w:val="16"/>
          <w:szCs w:val="16"/>
        </w:rPr>
        <w:t>Серийное производство М-5 началось в июне 1915 г. и до конца года на заводе Щетинина их построили 37 штук. Затем их выпуск продолжался с различной интенсивностью на протяжении нескольких лет. Последние три экземпляра, предназначенные для учебных целей, сдали заказчику в 1921 году. До этого момента общее количество построенных М-5 составило порядка 200 экземпляров, большинство из них изготовили на заводах Щетинина, Мельцера, Григоровича в Петрограде, некоторое количество на заводе Анатра в Одессе, а после революции - на петроградском заводе №3.</w:t>
      </w:r>
    </w:p>
    <w:p w14:paraId="64E99AE3" w14:textId="77777777" w:rsidR="004B4E35" w:rsidRPr="00405303" w:rsidRDefault="009E6F82" w:rsidP="00C15251">
      <w:pPr>
        <w:jc w:val="both"/>
        <w:rPr>
          <w:bCs/>
          <w:color w:val="002060"/>
          <w:sz w:val="16"/>
          <w:szCs w:val="16"/>
        </w:rPr>
      </w:pPr>
      <w:r w:rsidRPr="00405303">
        <w:rPr>
          <w:bCs/>
          <w:color w:val="002060"/>
          <w:sz w:val="16"/>
          <w:szCs w:val="16"/>
        </w:rPr>
        <w:t xml:space="preserve">Наиболее активно М-5 использовались в авиации Черноморского флота, получившей в свое пользование за весь период более 70 таких гидропланов. 10 октября 1915 г. начальник авиации Черноморского флота старший лейтенант Ста- ховский писал в Морской генеральный штаб: "...Боевыми аппаратами можно считать лишь Щетинины типа М-5, коих имеется 17, но за недо-статком моторов из них могут действовать лишь 14". Дополним эти сведения: в ноябре 1916 г. на Черном море их числилось 45 экземпляров, в конце 1 917 г. - 24 экземпляра. </w:t>
      </w:r>
    </w:p>
    <w:p w14:paraId="70E7F2FE" w14:textId="77777777" w:rsidR="004B4E35" w:rsidRPr="00405303" w:rsidRDefault="009E6F82" w:rsidP="00C15251">
      <w:pPr>
        <w:jc w:val="both"/>
        <w:rPr>
          <w:bCs/>
          <w:color w:val="002060"/>
          <w:sz w:val="16"/>
          <w:szCs w:val="16"/>
        </w:rPr>
      </w:pPr>
      <w:r w:rsidRPr="00405303">
        <w:rPr>
          <w:bCs/>
          <w:color w:val="002060"/>
          <w:sz w:val="16"/>
          <w:szCs w:val="16"/>
        </w:rPr>
        <w:t>Вооружение боевых М-5 состояло из одного пулемета "Максим", "Виккерс" или "Льюис", установленных на треноге перед правым членом экипажа, нескольких 8-ми или 50-ти фунтовых бомб. С ноября 1915 г. на отдельных экземплярах ус-танавливали радиотелеграфные станции разных типов с дальностью связи свыше 40 км и фотоаппараты "Потте".</w:t>
      </w:r>
    </w:p>
    <w:p w14:paraId="0D61F622" w14:textId="77777777" w:rsidR="004B4E35" w:rsidRPr="00405303" w:rsidRDefault="009E6F82" w:rsidP="00C15251">
      <w:pPr>
        <w:jc w:val="both"/>
        <w:rPr>
          <w:bCs/>
          <w:color w:val="002060"/>
          <w:sz w:val="16"/>
          <w:szCs w:val="16"/>
        </w:rPr>
      </w:pPr>
      <w:r w:rsidRPr="00405303">
        <w:rPr>
          <w:bCs/>
          <w:color w:val="002060"/>
          <w:sz w:val="16"/>
          <w:szCs w:val="16"/>
        </w:rPr>
        <w:t>Черноморские М-5 базировались в Севастополе (1-й и 2-й отряды Воздушной дивизии), Одессе и Батуме (Кавказский фронт). Кроме этого, часть аппаратов была приписана к 1, 2, 3-му корабельным авиаотрядам на гидрокрейсерах "Император Александр I", "Император Николай I", "Алмаз". В отдельных случаях самолеты транспортировали на крейсере "Память Меркурия". Самолеты корабельной авиации участвовали в рейдах к берегам Турции и Болгарии.</w:t>
      </w:r>
    </w:p>
    <w:p w14:paraId="022C3392" w14:textId="77777777" w:rsidR="004B4E35" w:rsidRPr="00405303" w:rsidRDefault="009E6F82" w:rsidP="00C15251">
      <w:pPr>
        <w:jc w:val="both"/>
        <w:rPr>
          <w:bCs/>
          <w:color w:val="002060"/>
          <w:sz w:val="16"/>
          <w:szCs w:val="16"/>
        </w:rPr>
      </w:pPr>
      <w:r w:rsidRPr="00405303">
        <w:rPr>
          <w:bCs/>
          <w:color w:val="002060"/>
          <w:sz w:val="16"/>
          <w:szCs w:val="16"/>
        </w:rPr>
        <w:t>Большую огласку получила атака турецкого порта Зонгулдак в январе 1916 г. Целью этой набеговой операции значилось нарушение турецких перевозок угля из Зон- гулдакского угольного района в Константинополь. Уголь доставляли морем по причине отсутствия полноценного железнодорожного сообщения. Эффективность русских боевых кораблей в противодей-ствии турецким перевозкам угля оценивалась высоко, однако в начале 1916 г. последовало решение нанести удар по Зонгулдаку с использованием авиации.</w:t>
      </w:r>
    </w:p>
    <w:p w14:paraId="74C32ADF" w14:textId="77777777" w:rsidR="004B4E35" w:rsidRPr="00405303" w:rsidRDefault="009E6F82" w:rsidP="00C15251">
      <w:pPr>
        <w:jc w:val="both"/>
        <w:rPr>
          <w:bCs/>
          <w:color w:val="002060"/>
          <w:sz w:val="16"/>
          <w:szCs w:val="16"/>
        </w:rPr>
      </w:pPr>
      <w:r w:rsidRPr="00405303">
        <w:rPr>
          <w:bCs/>
          <w:color w:val="002060"/>
          <w:sz w:val="16"/>
          <w:szCs w:val="16"/>
        </w:rPr>
        <w:t>В составе эскадры, вышедшей из Севастополя 24 января 1916 г. находились авиатранспорты "Император Александр I" и "Император Николай I", которые имели на борту 1 4 летающих лодок "Кертисс" и М-5. Авиационной группе ставилась задача атаковать турецкие объекты, недоступные корабельной артиллерии. Каждый гидроплан был вооружен двумя двухпудовыми и несколькими десятифунтовыми бомбами. Примерно в 15 милях к северу от Зонгулдака авиатранспорты спустили самолеты на воду, после чего вся группа стартовала в воздух. До цели долетели 1 1 машин, остальные по причине неисправностей вернулись назад. Бомбардировка порта велась в условиях плотной облачности и активного обстрела с земли. Тем не менее, ударом с воздуха удалось уничтожить турецкий пароход "Ирмингард" (1гт1пНагс1), несколько мелких судов и разрушить портовые объекты.</w:t>
      </w:r>
    </w:p>
    <w:p w14:paraId="7E50AE1D" w14:textId="77777777" w:rsidR="004B4E35" w:rsidRPr="00405303" w:rsidRDefault="009E6F82" w:rsidP="00C15251">
      <w:pPr>
        <w:jc w:val="both"/>
        <w:rPr>
          <w:bCs/>
          <w:color w:val="002060"/>
          <w:sz w:val="16"/>
          <w:szCs w:val="16"/>
        </w:rPr>
      </w:pPr>
      <w:r w:rsidRPr="00405303">
        <w:rPr>
          <w:bCs/>
          <w:color w:val="002060"/>
          <w:sz w:val="16"/>
          <w:szCs w:val="16"/>
        </w:rPr>
        <w:t>В 1916-17 гг. летающие лодки М-5 продолжали активно использоваться в интересах Черноморского флота и своим присутствием существенно повлияли на достижение успеха во многих боевых операциях. В начале 1918 г. практически все черноморские М-5 оказались в зоне белого движения и австрийской оккупации. В летном состоянии оставались лишь единичные экземпляры, которые просуществовали до 1919-20 гг.</w:t>
      </w:r>
    </w:p>
    <w:p w14:paraId="78347E1A" w14:textId="77777777" w:rsidR="004B4E35" w:rsidRPr="00405303" w:rsidRDefault="009E6F82" w:rsidP="00C15251">
      <w:pPr>
        <w:jc w:val="both"/>
        <w:rPr>
          <w:bCs/>
          <w:color w:val="002060"/>
          <w:sz w:val="16"/>
          <w:szCs w:val="16"/>
        </w:rPr>
      </w:pPr>
      <w:r w:rsidRPr="00405303">
        <w:rPr>
          <w:bCs/>
          <w:color w:val="002060"/>
          <w:sz w:val="16"/>
          <w:szCs w:val="16"/>
        </w:rPr>
        <w:t>На Балтике "пятаки" дебютировали как учебные машины при открытии в Петрограде 28 июля 1915 г. офицерской школы морской авиации. Поначалу в ней имелись 4 лодки М-5 и две французские ФБА. Одновременно с функционирующей школой в Петрограде решили открыть ее отделение в Баку - к обучению летчиков на Каспийском море приступили 22 ноября 1915 г.</w:t>
      </w:r>
    </w:p>
    <w:p w14:paraId="10D6971F" w14:textId="77777777" w:rsidR="004B4E35" w:rsidRPr="00405303" w:rsidRDefault="009E6F82" w:rsidP="00C15251">
      <w:pPr>
        <w:jc w:val="both"/>
        <w:rPr>
          <w:bCs/>
          <w:color w:val="002060"/>
          <w:sz w:val="16"/>
          <w:szCs w:val="16"/>
        </w:rPr>
      </w:pPr>
      <w:r w:rsidRPr="00405303">
        <w:rPr>
          <w:bCs/>
          <w:color w:val="002060"/>
          <w:sz w:val="16"/>
          <w:szCs w:val="16"/>
        </w:rPr>
        <w:t>Бакинский филиал с начала 1917 г. стал самостоятельной летной школой с прекрасно оборудованными мастерскими, ангарами и спусками на воду. В лучшие времена здесь эксплуатировалось до 20 учебных гидросамолетов М-5. Часть из них в середине 1918 г. принимала участие в отражении турецкого наступления в Закавказье, действуя в интересах оставшихся подразделений русской армии. Между тем, активное использование вело к неуклонному снижению количества пригодных к полетам машин, поэтому в 1919 г. здесь оставалось лишь два экземпляра М-5. В последующих бурных событиях гражданской войны Бакинская школа и ее имущество перестали существовать.</w:t>
      </w:r>
    </w:p>
    <w:p w14:paraId="1370347D" w14:textId="77777777" w:rsidR="004B4E35" w:rsidRPr="00405303" w:rsidRDefault="009E6F82" w:rsidP="00C15251">
      <w:pPr>
        <w:jc w:val="both"/>
        <w:rPr>
          <w:bCs/>
          <w:color w:val="002060"/>
          <w:sz w:val="16"/>
          <w:szCs w:val="16"/>
        </w:rPr>
      </w:pPr>
      <w:r w:rsidRPr="00405303">
        <w:rPr>
          <w:bCs/>
          <w:color w:val="002060"/>
          <w:sz w:val="16"/>
          <w:szCs w:val="16"/>
        </w:rPr>
        <w:t>Точное количество учебных аппаратов, используемых петроградской школой неизвестно, скорее всего, в течение двух лет здесь их применялось до двух десятков экземпляров. В апреле 1918 г., в связи с угрозой немецкого вторжения, школу эвакуировали в Нижний Новгород - на Волгу отправились 5 учебных М-5. Такое же количество учебных "пятаков" насчитывалось в морской школе летчиков им. Троцкого, открытой 11 ноября 1918 г. на Гу- туевском острове в Петрограде. В период с мая по октябрь 1919 г. летающие лодки этой школы принимали участие в боевых действиях против армии генерала Юденича, наступавшей на Петроград. В декабре 1919 г. оба упомянутые учебные заведения объединили в Военно-морскую школу авиации и перевели в Самару на Волге. Объединенная школа базировалась на барже "Евпраксия", которая была оборудована ангаром и спуском для гидросамолетов. В период 1920- 1921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середины 1920-х годов. Известно, что в декабре 1925 г. в составе советской авиации числилось 22 таких учебных летающих лодки (очевидно совместно с М-20, отличавшейся в основном двигателем).</w:t>
      </w:r>
    </w:p>
    <w:p w14:paraId="529A6A0A" w14:textId="77777777" w:rsidR="004B4E35" w:rsidRPr="00405303" w:rsidRDefault="009E6F82" w:rsidP="00C15251">
      <w:pPr>
        <w:jc w:val="both"/>
        <w:rPr>
          <w:bCs/>
          <w:color w:val="002060"/>
          <w:sz w:val="16"/>
          <w:szCs w:val="16"/>
        </w:rPr>
      </w:pPr>
      <w:r w:rsidRPr="00405303">
        <w:rPr>
          <w:bCs/>
          <w:color w:val="002060"/>
          <w:sz w:val="16"/>
          <w:szCs w:val="16"/>
        </w:rPr>
        <w:t>Помимо эксплуатации в России, по крайней мере, одна лодка М-5 после 1917 г. использовалась в Финляндии. Еще один экземпляр в ходе войны достался Турции, где сохранился до наших дней в авиационном музее Стамбула - Науа Мизеа (12083).</w:t>
      </w:r>
    </w:p>
    <w:p w14:paraId="08E2D82E" w14:textId="77777777" w:rsidR="004B4E35" w:rsidRPr="00405303" w:rsidRDefault="004B4E35" w:rsidP="00C15251">
      <w:pPr>
        <w:jc w:val="both"/>
        <w:rPr>
          <w:bCs/>
          <w:color w:val="002060"/>
          <w:sz w:val="16"/>
          <w:szCs w:val="16"/>
        </w:rPr>
      </w:pPr>
    </w:p>
    <w:p w14:paraId="6E19CA13" w14:textId="4C06387A" w:rsidR="0021141E" w:rsidRPr="00405303" w:rsidRDefault="0021141E" w:rsidP="00C15251">
      <w:pPr>
        <w:shd w:val="clear" w:color="auto" w:fill="FFFFFF"/>
        <w:jc w:val="both"/>
        <w:rPr>
          <w:bCs/>
          <w:i/>
          <w:color w:val="002060"/>
          <w:sz w:val="16"/>
          <w:szCs w:val="16"/>
        </w:rPr>
      </w:pPr>
      <w:r w:rsidRPr="00405303">
        <w:rPr>
          <w:bCs/>
          <w:i/>
          <w:color w:val="002060"/>
          <w:sz w:val="16"/>
          <w:szCs w:val="16"/>
        </w:rPr>
        <w:t>Авиация:</w:t>
      </w:r>
    </w:p>
    <w:p w14:paraId="7A620409" w14:textId="77777777" w:rsidR="0021141E" w:rsidRPr="00405303" w:rsidRDefault="0021141E" w:rsidP="00C15251">
      <w:pPr>
        <w:shd w:val="clear" w:color="auto" w:fill="FFFFFF"/>
        <w:jc w:val="both"/>
        <w:rPr>
          <w:bCs/>
          <w:i/>
          <w:color w:val="002060"/>
          <w:sz w:val="16"/>
          <w:szCs w:val="16"/>
        </w:rPr>
      </w:pPr>
    </w:p>
    <w:p w14:paraId="1D41C5AF" w14:textId="77777777" w:rsidR="0021141E" w:rsidRPr="00405303" w:rsidRDefault="0021141E" w:rsidP="00C15251">
      <w:pPr>
        <w:jc w:val="both"/>
        <w:rPr>
          <w:bCs/>
          <w:color w:val="002060"/>
          <w:sz w:val="16"/>
          <w:szCs w:val="16"/>
        </w:rPr>
      </w:pPr>
      <w:r w:rsidRPr="00405303">
        <w:rPr>
          <w:bCs/>
          <w:color w:val="002060"/>
          <w:sz w:val="16"/>
          <w:szCs w:val="16"/>
        </w:rPr>
        <w:t>17 мая 1915 г. в ходе очередного налета на город-крепость Перемышль противник провел бомбардировку части ее жилых кварталов. В результате были ранены несколько местных жителей. Утром 19 мая налет повторился, в ходе которого на город упало более 50 авиабомб. Огнем крепостной артиллерии нападение с воздуха было отбито. В тот же день воздушной атаке подвергся район г. Шавли (Шяуляй) и г. Львов, где имелись человеческие жертвы.</w:t>
      </w:r>
    </w:p>
    <w:p w14:paraId="7F497A26" w14:textId="77777777" w:rsidR="0021141E" w:rsidRPr="00405303" w:rsidRDefault="0021141E" w:rsidP="00C15251">
      <w:pPr>
        <w:jc w:val="both"/>
        <w:rPr>
          <w:bCs/>
          <w:color w:val="002060"/>
          <w:sz w:val="16"/>
          <w:szCs w:val="16"/>
        </w:rPr>
      </w:pPr>
      <w:r w:rsidRPr="00405303">
        <w:rPr>
          <w:bCs/>
          <w:color w:val="002060"/>
          <w:sz w:val="16"/>
          <w:szCs w:val="16"/>
        </w:rPr>
        <w:t>В последующие недели австро-германская авиация продолжила бомбардировку Перемышля. При этом противник зачастую прибегал к тактике действий, используемой русской авиацией Юго-Западного фронта при осаде его крепостных сооружений осенью 1914 г. - весной 1915 г. (23405).</w:t>
      </w:r>
    </w:p>
    <w:p w14:paraId="40E0111F" w14:textId="77777777" w:rsidR="0021141E" w:rsidRPr="00405303" w:rsidRDefault="0021141E" w:rsidP="00C15251">
      <w:pPr>
        <w:jc w:val="both"/>
        <w:rPr>
          <w:bCs/>
          <w:color w:val="002060"/>
          <w:sz w:val="16"/>
          <w:szCs w:val="16"/>
        </w:rPr>
      </w:pPr>
    </w:p>
    <w:p w14:paraId="018C0853" w14:textId="6E6A2D8A"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за рубежом:</w:t>
      </w:r>
    </w:p>
    <w:p w14:paraId="696E814B" w14:textId="77777777" w:rsidR="005772C4" w:rsidRPr="00405303" w:rsidRDefault="005772C4" w:rsidP="00C15251">
      <w:pPr>
        <w:jc w:val="both"/>
        <w:rPr>
          <w:bCs/>
          <w:color w:val="002060"/>
          <w:sz w:val="16"/>
          <w:szCs w:val="16"/>
        </w:rPr>
      </w:pPr>
    </w:p>
    <w:p w14:paraId="07D232CA" w14:textId="534717F2" w:rsidR="004B4E35" w:rsidRPr="00405303" w:rsidRDefault="009E6F82" w:rsidP="00C15251">
      <w:pPr>
        <w:jc w:val="both"/>
        <w:rPr>
          <w:bCs/>
          <w:color w:val="002060"/>
          <w:sz w:val="16"/>
          <w:szCs w:val="16"/>
        </w:rPr>
      </w:pPr>
      <w:r w:rsidRPr="00405303">
        <w:rPr>
          <w:bCs/>
          <w:color w:val="002060"/>
          <w:sz w:val="16"/>
          <w:szCs w:val="16"/>
        </w:rPr>
        <w:t xml:space="preserve">17 (30) мая </w:t>
      </w:r>
      <w:r w:rsidR="005772C4" w:rsidRPr="00405303">
        <w:rPr>
          <w:bCs/>
          <w:color w:val="002060"/>
          <w:sz w:val="16"/>
          <w:szCs w:val="16"/>
        </w:rPr>
        <w:t xml:space="preserve">1915 г. оба итальянских дирижабля </w:t>
      </w:r>
      <w:r w:rsidRPr="00405303">
        <w:rPr>
          <w:bCs/>
          <w:color w:val="002060"/>
          <w:sz w:val="16"/>
          <w:szCs w:val="16"/>
        </w:rPr>
        <w:t xml:space="preserve">атаковали Пулу. В ответ австрийская авиация 1 и 5 июня бомбила эллинг в Кампальто. </w:t>
      </w:r>
    </w:p>
    <w:p w14:paraId="25F32C3A" w14:textId="77777777" w:rsidR="004B4E35" w:rsidRPr="00405303" w:rsidRDefault="009E6F82" w:rsidP="00C15251">
      <w:pPr>
        <w:jc w:val="both"/>
        <w:rPr>
          <w:bCs/>
          <w:color w:val="002060"/>
          <w:sz w:val="16"/>
          <w:szCs w:val="16"/>
        </w:rPr>
      </w:pPr>
      <w:r w:rsidRPr="00405303">
        <w:rPr>
          <w:bCs/>
          <w:color w:val="002060"/>
          <w:sz w:val="16"/>
          <w:szCs w:val="16"/>
        </w:rPr>
        <w:t xml:space="preserve">7 июня 1915 года в 23.00 «Читта ди Феррара» вылетел из Ези на бомбардировку Фиуме. На рассвете, находясь над городом на высоте 1000 м, он сбросил часть своих бомб на завод «Уайтхед», который производил торпеды, и уничтожил несколько производственных зданий. Затем дирижабль направился в сторону верфи «Данюбиус», но в этот момент разрушилась носовая часть его корпуса. Корабль совершил вынужденную посадку вблизи Люссэна. Из Пулы поднялся гидросамолет и атаковал пулеметным огнем беспомощный дирижабль, однако водород не загорелся. После нескольких бесплодных атак гидросамолет стал [350] обстреливать корабль с помощью сигнальных ракет, и одна из них сделала свое черное дело — дирижабль вспыхнул и взорвался. Обломки «Читта ди Феррара» подобрали 2 эсминца, вышедшие из Пулы. </w:t>
      </w:r>
    </w:p>
    <w:p w14:paraId="7CF4736D" w14:textId="77777777" w:rsidR="004B4E35" w:rsidRPr="00405303" w:rsidRDefault="009E6F82" w:rsidP="00C15251">
      <w:pPr>
        <w:jc w:val="both"/>
        <w:rPr>
          <w:bCs/>
          <w:color w:val="002060"/>
          <w:sz w:val="16"/>
          <w:szCs w:val="16"/>
        </w:rPr>
      </w:pPr>
      <w:r w:rsidRPr="00405303">
        <w:rPr>
          <w:bCs/>
          <w:color w:val="002060"/>
          <w:sz w:val="16"/>
          <w:szCs w:val="16"/>
        </w:rPr>
        <w:t>Дирижабль «Читта ди Ези» стал работать только по ночам, но это продолжалось недолго. Спустя месяц он был сбит артиллерийским огнем береговых батарей Пулы (11324).</w:t>
      </w:r>
    </w:p>
    <w:p w14:paraId="48FD0BF1" w14:textId="77777777" w:rsidR="004B4E35" w:rsidRPr="00405303" w:rsidRDefault="004B4E35" w:rsidP="00C15251">
      <w:pPr>
        <w:shd w:val="clear" w:color="auto" w:fill="FFFFFF"/>
        <w:jc w:val="both"/>
        <w:rPr>
          <w:bCs/>
          <w:i/>
          <w:color w:val="002060"/>
          <w:sz w:val="16"/>
          <w:szCs w:val="16"/>
        </w:rPr>
      </w:pPr>
    </w:p>
    <w:p w14:paraId="2EBFF365"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14E9312D" w14:textId="77777777" w:rsidR="004B4E35" w:rsidRPr="00405303" w:rsidRDefault="004B4E35" w:rsidP="00C15251">
      <w:pPr>
        <w:shd w:val="clear" w:color="auto" w:fill="FFFFFF"/>
        <w:jc w:val="both"/>
        <w:rPr>
          <w:bCs/>
          <w:i/>
          <w:color w:val="002060"/>
          <w:sz w:val="16"/>
          <w:szCs w:val="16"/>
        </w:rPr>
      </w:pPr>
    </w:p>
    <w:p w14:paraId="511049C3" w14:textId="4528BBF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18 </w:t>
      </w:r>
      <w:r w:rsidR="005772C4" w:rsidRPr="00405303">
        <w:rPr>
          <w:bCs/>
          <w:color w:val="002060"/>
          <w:sz w:val="16"/>
          <w:szCs w:val="16"/>
        </w:rPr>
        <w:t xml:space="preserve">(31) </w:t>
      </w:r>
      <w:r w:rsidRPr="00405303">
        <w:rPr>
          <w:bCs/>
          <w:color w:val="002060"/>
          <w:sz w:val="16"/>
          <w:szCs w:val="16"/>
        </w:rPr>
        <w:t xml:space="preserve">мая 1915 г. </w:t>
      </w:r>
      <w:r w:rsidR="005772C4" w:rsidRPr="00405303">
        <w:rPr>
          <w:bCs/>
          <w:color w:val="002060"/>
          <w:sz w:val="16"/>
          <w:szCs w:val="16"/>
        </w:rPr>
        <w:t>т.к. воздухоплавательный отдел МГШ указал В.А. Лебедеву на желательность изготовления еще двух "Альбатросов", Лебедев</w:t>
      </w:r>
      <w:r w:rsidRPr="00405303">
        <w:rPr>
          <w:bCs/>
          <w:color w:val="002060"/>
          <w:sz w:val="16"/>
          <w:szCs w:val="16"/>
        </w:rPr>
        <w:t xml:space="preserve"> просил дать ему официальный заказ на </w:t>
      </w:r>
      <w:r w:rsidR="005772C4" w:rsidRPr="00405303">
        <w:rPr>
          <w:bCs/>
          <w:color w:val="002060"/>
          <w:sz w:val="16"/>
          <w:szCs w:val="16"/>
        </w:rPr>
        <w:t>эти два</w:t>
      </w:r>
      <w:r w:rsidRPr="00405303">
        <w:rPr>
          <w:bCs/>
          <w:color w:val="002060"/>
          <w:sz w:val="16"/>
          <w:szCs w:val="16"/>
        </w:rPr>
        <w:t xml:space="preserve"> аэроплан</w:t>
      </w:r>
      <w:r w:rsidR="005772C4" w:rsidRPr="00405303">
        <w:rPr>
          <w:bCs/>
          <w:color w:val="002060"/>
          <w:sz w:val="16"/>
          <w:szCs w:val="16"/>
        </w:rPr>
        <w:t>а</w:t>
      </w:r>
      <w:r w:rsidRPr="00405303">
        <w:rPr>
          <w:bCs/>
          <w:color w:val="002060"/>
          <w:sz w:val="16"/>
          <w:szCs w:val="16"/>
        </w:rPr>
        <w:t xml:space="preserve">, которые, по его словам, близились к </w:t>
      </w:r>
      <w:proofErr w:type="gramStart"/>
      <w:r w:rsidRPr="00405303">
        <w:rPr>
          <w:bCs/>
          <w:color w:val="002060"/>
          <w:sz w:val="16"/>
          <w:szCs w:val="16"/>
        </w:rPr>
        <w:t>завершению.</w:t>
      </w:r>
      <w:r w:rsidR="005772C4" w:rsidRPr="00405303">
        <w:rPr>
          <w:bCs/>
          <w:color w:val="002060"/>
          <w:sz w:val="16"/>
          <w:szCs w:val="16"/>
        </w:rPr>
        <w:t>.</w:t>
      </w:r>
      <w:proofErr w:type="gramEnd"/>
      <w:r w:rsidR="005772C4" w:rsidRPr="00405303">
        <w:rPr>
          <w:bCs/>
          <w:color w:val="002060"/>
          <w:sz w:val="16"/>
          <w:szCs w:val="16"/>
        </w:rPr>
        <w:t xml:space="preserve"> </w:t>
      </w:r>
      <w:r w:rsidRPr="00405303">
        <w:rPr>
          <w:bCs/>
          <w:color w:val="002060"/>
          <w:sz w:val="16"/>
          <w:szCs w:val="16"/>
        </w:rPr>
        <w:t>Лебедев также заявил, что самолеты б</w:t>
      </w:r>
      <w:r w:rsidR="005772C4" w:rsidRPr="00405303">
        <w:rPr>
          <w:bCs/>
          <w:color w:val="002060"/>
          <w:sz w:val="16"/>
          <w:szCs w:val="16"/>
        </w:rPr>
        <w:t>удут</w:t>
      </w:r>
      <w:r w:rsidRPr="00405303">
        <w:rPr>
          <w:bCs/>
          <w:color w:val="002060"/>
          <w:sz w:val="16"/>
          <w:szCs w:val="16"/>
        </w:rPr>
        <w:t xml:space="preserve"> того же типа, что и предыдущая пара, и </w:t>
      </w:r>
      <w:r w:rsidR="005772C4" w:rsidRPr="00405303">
        <w:rPr>
          <w:bCs/>
          <w:color w:val="002060"/>
          <w:sz w:val="16"/>
          <w:szCs w:val="16"/>
        </w:rPr>
        <w:t xml:space="preserve">будут </w:t>
      </w:r>
      <w:r w:rsidRPr="00405303">
        <w:rPr>
          <w:bCs/>
          <w:color w:val="002060"/>
          <w:sz w:val="16"/>
          <w:szCs w:val="16"/>
        </w:rPr>
        <w:t>стои</w:t>
      </w:r>
      <w:r w:rsidR="005772C4" w:rsidRPr="00405303">
        <w:rPr>
          <w:bCs/>
          <w:color w:val="002060"/>
          <w:sz w:val="16"/>
          <w:szCs w:val="16"/>
        </w:rPr>
        <w:t>ть</w:t>
      </w:r>
      <w:r w:rsidRPr="00405303">
        <w:rPr>
          <w:bCs/>
          <w:color w:val="002060"/>
          <w:sz w:val="16"/>
          <w:szCs w:val="16"/>
        </w:rPr>
        <w:t xml:space="preserve"> столько же. Однако, Мор</w:t>
      </w:r>
      <w:r w:rsidRPr="00405303">
        <w:rPr>
          <w:bCs/>
          <w:color w:val="002060"/>
          <w:sz w:val="16"/>
          <w:szCs w:val="16"/>
        </w:rPr>
        <w:softHyphen/>
        <w:t>ское ведомство уже не хотело приобретать какие-либо новые ЛМ-1 и тогда 10 октября Ле</w:t>
      </w:r>
      <w:r w:rsidRPr="00405303">
        <w:rPr>
          <w:bCs/>
          <w:color w:val="002060"/>
          <w:sz w:val="16"/>
          <w:szCs w:val="16"/>
        </w:rPr>
        <w:softHyphen/>
        <w:t>бедев предложил купить у него две "летающие лодки типа Лебедь Морской 2", оснащенные "80-сильным учебным мотором" каждая, и еще одну "летающую лодку" той же модели, но с двигателем в 100 л.с. Цена любого из аппаратов равнялась 9.500 руб. и, без сомнения, все они были на деле поплавковыми гидроаэропланами, способными действовать и с колес, но никак не лодками (2843).</w:t>
      </w:r>
    </w:p>
    <w:p w14:paraId="78EAA371" w14:textId="77777777" w:rsidR="004B4E35" w:rsidRPr="00405303" w:rsidRDefault="004B4E35" w:rsidP="00C15251">
      <w:pPr>
        <w:shd w:val="clear" w:color="auto" w:fill="FFFFFF"/>
        <w:jc w:val="both"/>
        <w:rPr>
          <w:bCs/>
          <w:color w:val="002060"/>
          <w:sz w:val="16"/>
          <w:szCs w:val="16"/>
        </w:rPr>
      </w:pPr>
    </w:p>
    <w:p w14:paraId="5C8D0B94"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2A020B67" w14:textId="77777777" w:rsidR="004B4E35" w:rsidRPr="00405303" w:rsidRDefault="004B4E35" w:rsidP="00C15251">
      <w:pPr>
        <w:shd w:val="clear" w:color="auto" w:fill="FFFFFF"/>
        <w:jc w:val="both"/>
        <w:rPr>
          <w:bCs/>
          <w:i/>
          <w:color w:val="002060"/>
          <w:sz w:val="16"/>
          <w:szCs w:val="16"/>
        </w:rPr>
      </w:pPr>
    </w:p>
    <w:p w14:paraId="2B7C31B5" w14:textId="1550CE49" w:rsidR="004B4E35" w:rsidRPr="00405303" w:rsidRDefault="009E6F82" w:rsidP="00C15251">
      <w:pPr>
        <w:jc w:val="both"/>
        <w:rPr>
          <w:bCs/>
          <w:color w:val="002060"/>
          <w:sz w:val="16"/>
          <w:szCs w:val="16"/>
        </w:rPr>
      </w:pPr>
      <w:r w:rsidRPr="00405303">
        <w:rPr>
          <w:bCs/>
          <w:color w:val="002060"/>
          <w:sz w:val="16"/>
          <w:szCs w:val="16"/>
        </w:rPr>
        <w:t xml:space="preserve">18 </w:t>
      </w:r>
      <w:r w:rsidR="005772C4" w:rsidRPr="00405303">
        <w:rPr>
          <w:bCs/>
          <w:color w:val="002060"/>
          <w:sz w:val="16"/>
          <w:szCs w:val="16"/>
        </w:rPr>
        <w:t xml:space="preserve">(31) </w:t>
      </w:r>
      <w:r w:rsidRPr="00405303">
        <w:rPr>
          <w:bCs/>
          <w:color w:val="002060"/>
          <w:sz w:val="16"/>
          <w:szCs w:val="16"/>
        </w:rPr>
        <w:t>мая 1915 года</w:t>
      </w:r>
      <w:r w:rsidR="005772C4" w:rsidRPr="00405303">
        <w:rPr>
          <w:bCs/>
          <w:color w:val="002060"/>
          <w:sz w:val="16"/>
          <w:szCs w:val="16"/>
        </w:rPr>
        <w:t xml:space="preserve"> танк А. А. Пороховщикова “Вездеход” покинул стены мастерских</w:t>
      </w:r>
      <w:r w:rsidRPr="00405303">
        <w:rPr>
          <w:bCs/>
          <w:color w:val="002060"/>
          <w:sz w:val="16"/>
          <w:szCs w:val="16"/>
        </w:rPr>
        <w:t xml:space="preserve">. Более полувека отделяет нас от этого события, но задуманное конструктором первого танка гармоничное триединство боевых качеств сохраняет свое значение и по сей день. Правда, на отдельных этапах развития танкостроения эта гармония нередко нарушалась. Так, например, был период, когда специалисты провозгласили важнейшей характеристикой танка скорость, и танки стали обгонять автомобили, но, увы, за счет снижения мощи вооружения и броневой защиты. Другой крайностью была ставка на тяжелые тихоходные танки - своеобразные сухопутные дредноуты с несколькими пушками и подчас едва ли не десятком пулеметов. Апофеозом этой концепции стал созданный гитлеровцами в конце воины сверхтяжелый танк “Мышонок”. Останки трех таких машин, взорванных при подходе советских войск, были найдены в районе Берлина. Судя по ним, толщина брони этого танка достигала 240 миллиметров, а вес составлял 160 тонн. </w:t>
      </w:r>
    </w:p>
    <w:p w14:paraId="568BA493" w14:textId="77777777" w:rsidR="004B4E35" w:rsidRPr="00405303" w:rsidRDefault="009E6F82" w:rsidP="00C15251">
      <w:pPr>
        <w:jc w:val="both"/>
        <w:rPr>
          <w:bCs/>
          <w:color w:val="002060"/>
          <w:sz w:val="16"/>
          <w:szCs w:val="16"/>
        </w:rPr>
      </w:pPr>
      <w:r w:rsidRPr="00405303">
        <w:rPr>
          <w:bCs/>
          <w:color w:val="002060"/>
          <w:sz w:val="16"/>
          <w:szCs w:val="16"/>
        </w:rPr>
        <w:t xml:space="preserve">В феврале 1915 года в мастерских расквартированного в Риге Нижегородского пехотного полка группа солдат-мастеровых и рабочих приступила к изготовлению опытного образца первого в мире </w:t>
      </w:r>
      <w:proofErr w:type="gramStart"/>
      <w:r w:rsidRPr="00405303">
        <w:rPr>
          <w:bCs/>
          <w:color w:val="002060"/>
          <w:sz w:val="16"/>
          <w:szCs w:val="16"/>
        </w:rPr>
        <w:t>танка ,</w:t>
      </w:r>
      <w:proofErr w:type="gramEnd"/>
      <w:r w:rsidRPr="00405303">
        <w:rPr>
          <w:bCs/>
          <w:color w:val="002060"/>
          <w:sz w:val="16"/>
          <w:szCs w:val="16"/>
        </w:rPr>
        <w:t xml:space="preserve"> разработанного известным летчиком и конструктором Александром Александровичем Пороховщиковым (на фото стоит слева). А 18 мая 1915 года танк </w:t>
      </w:r>
      <w:proofErr w:type="gramStart"/>
      <w:r w:rsidRPr="00405303">
        <w:rPr>
          <w:bCs/>
          <w:color w:val="002060"/>
          <w:sz w:val="16"/>
          <w:szCs w:val="16"/>
        </w:rPr>
        <w:t>Пороховщикова ,</w:t>
      </w:r>
      <w:proofErr w:type="gramEnd"/>
      <w:r w:rsidRPr="00405303">
        <w:rPr>
          <w:bCs/>
          <w:color w:val="002060"/>
          <w:sz w:val="16"/>
          <w:szCs w:val="16"/>
        </w:rPr>
        <w:t xml:space="preserve"> названный “Вездеход” вышел в испытательный пробег. В конструкции этого танка уже были предусмотрены все основные элементы современных боевых машин - броневой корпус вооружение во вращающейся башне, двигатель внутреннего сгорания гусеничный движитель. Несущей конструкцией танка была сварная рама с четырьмя полыми вращающимися барабанами, вокруг которых перематывалась одна широкая гусеничная лента. Натяжение ленты регулировалось с помощью натяжного приспособления и натяжного барабана. Управление машиной осуществлялось с помощью размещенных у бортов двух поворотных рулевых колес. При движении по твердому грунту танк опирался на эти колеса и на ведущий барабан, а на мягком грунте “ложился” на гусеничную ленту. Длина машины составляла 3,6 метра, ширина -2 метра, высота (без башни) – 1,5 метра, окончательный вес предполагался равным 3,5-4,0 тоннам. Танк Пороховщикова “Вездеход” успешно прошел испытания, и только косность царского правительства помешала широкому освоению этой замечательной машины. Первый же опытный английский танк появился лишь полгода спустя – в сентябре 1915 года (11745). </w:t>
      </w:r>
    </w:p>
    <w:p w14:paraId="4635819B" w14:textId="77777777" w:rsidR="004B4E35" w:rsidRPr="00405303" w:rsidRDefault="004B4E35" w:rsidP="00C15251">
      <w:pPr>
        <w:jc w:val="both"/>
        <w:rPr>
          <w:bCs/>
          <w:color w:val="002060"/>
          <w:sz w:val="16"/>
          <w:szCs w:val="16"/>
        </w:rPr>
      </w:pPr>
    </w:p>
    <w:p w14:paraId="2903ED0F" w14:textId="5A679BF1" w:rsidR="004B4E35" w:rsidRPr="00405303" w:rsidRDefault="009E6F82" w:rsidP="00C15251">
      <w:pPr>
        <w:jc w:val="both"/>
        <w:rPr>
          <w:bCs/>
          <w:color w:val="002060"/>
          <w:sz w:val="16"/>
          <w:szCs w:val="16"/>
        </w:rPr>
      </w:pPr>
      <w:r w:rsidRPr="00405303">
        <w:rPr>
          <w:bCs/>
          <w:color w:val="002060"/>
          <w:sz w:val="16"/>
          <w:szCs w:val="16"/>
        </w:rPr>
        <w:t xml:space="preserve">18 </w:t>
      </w:r>
      <w:r w:rsidR="005772C4" w:rsidRPr="00405303">
        <w:rPr>
          <w:bCs/>
          <w:color w:val="002060"/>
          <w:sz w:val="16"/>
          <w:szCs w:val="16"/>
        </w:rPr>
        <w:t xml:space="preserve">(31) </w:t>
      </w:r>
      <w:r w:rsidRPr="00405303">
        <w:rPr>
          <w:bCs/>
          <w:color w:val="002060"/>
          <w:sz w:val="16"/>
          <w:szCs w:val="16"/>
        </w:rPr>
        <w:t xml:space="preserve">мая </w:t>
      </w:r>
      <w:r w:rsidR="005772C4" w:rsidRPr="00405303">
        <w:rPr>
          <w:bCs/>
          <w:color w:val="002060"/>
          <w:sz w:val="16"/>
          <w:szCs w:val="16"/>
        </w:rPr>
        <w:t xml:space="preserve">в 1915 году </w:t>
      </w:r>
      <w:r w:rsidRPr="00405303">
        <w:rPr>
          <w:bCs/>
          <w:color w:val="002060"/>
          <w:sz w:val="16"/>
          <w:szCs w:val="16"/>
        </w:rPr>
        <w:t xml:space="preserve">было проведено испытание первого в мире танка «Вездеход», построенного на Русско - Балтийском заводе в Риге. Танк развивал скорость до 25 верст в час по довольно глубокому песку. Конструктором танка был 23-летний Александр Александрович Пороховщиков. Его отец был архитектором, который спроектировал здание известного московского ресторана «Славянский базар». Внук конструктора Александр Шалвович Пороховщиков — известный актер и внешне похож на деда. </w:t>
      </w:r>
    </w:p>
    <w:p w14:paraId="16AA2E65" w14:textId="77777777" w:rsidR="004B4E35" w:rsidRPr="00405303" w:rsidRDefault="009E6F82" w:rsidP="00C15251">
      <w:pPr>
        <w:jc w:val="both"/>
        <w:rPr>
          <w:bCs/>
          <w:color w:val="002060"/>
          <w:sz w:val="16"/>
          <w:szCs w:val="16"/>
        </w:rPr>
      </w:pPr>
      <w:r w:rsidRPr="00405303">
        <w:rPr>
          <w:bCs/>
          <w:color w:val="002060"/>
          <w:sz w:val="16"/>
          <w:szCs w:val="16"/>
        </w:rPr>
        <w:t>Александр Александрович Пороховщиков, мастер Рижского машиностроительного завода, изобретатель. В возрасте 23 лет скон-струировал и построил на Русско - Балтийском заводе первый в мире танк «Вездеход». В 1916 году провел в Петрограде его испытания. Самой интересной разработкой Пороховщикова были форма корпуса и конструкция брони: ее сделали многослойной. Тем не менее, зимой 1916 г. военные прекратили финансирование работ. А танки с разнесенным многослойным бронированием появились лишь в начале 70-х годов ХХ века</w:t>
      </w:r>
      <w:proofErr w:type="gramStart"/>
      <w:r w:rsidRPr="00405303">
        <w:rPr>
          <w:bCs/>
          <w:color w:val="002060"/>
          <w:sz w:val="16"/>
          <w:szCs w:val="16"/>
        </w:rPr>
        <w:t>…(</w:t>
      </w:r>
      <w:proofErr w:type="gramEnd"/>
      <w:r w:rsidRPr="00405303">
        <w:rPr>
          <w:bCs/>
          <w:color w:val="002060"/>
          <w:sz w:val="16"/>
          <w:szCs w:val="16"/>
        </w:rPr>
        <w:t>11745).</w:t>
      </w:r>
    </w:p>
    <w:p w14:paraId="19C29948" w14:textId="77777777" w:rsidR="004B4E35" w:rsidRPr="00405303" w:rsidRDefault="009E6F82" w:rsidP="00C15251">
      <w:pPr>
        <w:jc w:val="both"/>
        <w:rPr>
          <w:bCs/>
          <w:color w:val="002060"/>
          <w:sz w:val="16"/>
          <w:szCs w:val="16"/>
        </w:rPr>
      </w:pPr>
      <w:r w:rsidRPr="00405303">
        <w:rPr>
          <w:bCs/>
          <w:color w:val="002060"/>
          <w:sz w:val="16"/>
          <w:szCs w:val="16"/>
        </w:rPr>
        <w:t xml:space="preserve">В августе 1914 г. Пороховщиковпредставил Главному начальнику снабжений армий Северо-Западного фронта чертежи и смету постройки «Вездехода». Кроме высокой проходимости Пороховщиков обещал и плавучесть машины. </w:t>
      </w:r>
    </w:p>
    <w:p w14:paraId="597F28A9" w14:textId="77777777" w:rsidR="004B4E35" w:rsidRPr="00405303" w:rsidRDefault="009E6F82" w:rsidP="00C15251">
      <w:pPr>
        <w:jc w:val="both"/>
        <w:rPr>
          <w:bCs/>
          <w:color w:val="002060"/>
          <w:sz w:val="16"/>
          <w:szCs w:val="16"/>
        </w:rPr>
      </w:pPr>
      <w:r w:rsidRPr="00405303">
        <w:rPr>
          <w:bCs/>
          <w:color w:val="002060"/>
          <w:sz w:val="16"/>
          <w:szCs w:val="16"/>
        </w:rPr>
        <w:t xml:space="preserve">Машина снабжалась обтекаемым корпусом с нишей воздухозаборника впереди. По хорошей дороге «Вездеход» должен был двигаться на заднем барабане и колесах, а на рыхлом грунте ложиться на гусеницу. </w:t>
      </w:r>
    </w:p>
    <w:p w14:paraId="7E47BC80" w14:textId="77777777" w:rsidR="004B4E35" w:rsidRPr="00405303" w:rsidRDefault="009E6F82" w:rsidP="00C15251">
      <w:pPr>
        <w:jc w:val="both"/>
        <w:rPr>
          <w:bCs/>
          <w:color w:val="002060"/>
          <w:sz w:val="16"/>
          <w:szCs w:val="16"/>
        </w:rPr>
      </w:pPr>
      <w:r w:rsidRPr="00405303">
        <w:rPr>
          <w:bCs/>
          <w:color w:val="002060"/>
          <w:sz w:val="16"/>
          <w:szCs w:val="16"/>
        </w:rPr>
        <w:t xml:space="preserve">Весной 1915 года (т.е. во время испытаний «Вездехода») Пороховщиков предложил броню собственной разработки: «Броня представляет собою комбинацию из упругих и жестких слоев металла и особых вязких и упругих прокладок». Котельное железо отжигалось «по способу, составляющему секрет изобретателя», а в качестве прокладки «после громадного числа опытов» он выбрал сушеную и прессованную морскую траву. Особо подчеркивал автор дешевизну «железной брони», возможность гнуть и варить ее. </w:t>
      </w:r>
    </w:p>
    <w:p w14:paraId="211763ED" w14:textId="77777777" w:rsidR="004B4E35" w:rsidRPr="00405303" w:rsidRDefault="009E6F82" w:rsidP="00C15251">
      <w:pPr>
        <w:jc w:val="both"/>
        <w:rPr>
          <w:bCs/>
          <w:color w:val="002060"/>
          <w:sz w:val="16"/>
          <w:szCs w:val="16"/>
        </w:rPr>
      </w:pPr>
      <w:r w:rsidRPr="00405303">
        <w:rPr>
          <w:bCs/>
          <w:color w:val="002060"/>
          <w:sz w:val="16"/>
          <w:szCs w:val="16"/>
        </w:rPr>
        <w:t xml:space="preserve">Для демонстрации Пороховщиков забронировал в Риге автомобиль «Форд». Бронекорпус имел форму вытянутого пятиугольника с «откидным забралом» и обращенной назад вершиной. Броня прикрывала экипаж из шофера, наблюдателя и сидящего сзади пулеметчика, а также двигатель, коробку передач и тяги управления. 14 июня 1915г. этот бронеавтомобиль был представлен комиссии во главе с полковником Поклевским-Козелло и обстрелян с расстояния 50 м из германской и австрийской винтовок, револьвера «Наган» и пистолета «Браунинг». Комиссия отметила отсутствие сквозного пробития и то, что при бронировании не пришлось усиливать рессоры автомобиля. 31 января 1916 г. Пороховщиков представляет «Железную Броню» Автомобильно-авиационному отделу Центрального Военно-промышленного Комитета для «бронировки автомобилей и поездов». Он предлагает немедленно заказать его мастерской бронировку нескольких автомобилей, дабы они «могли принять участие в предстоящей весенней кампании». </w:t>
      </w:r>
    </w:p>
    <w:p w14:paraId="19614475" w14:textId="77777777" w:rsidR="004B4E35" w:rsidRPr="00405303" w:rsidRDefault="009E6F82" w:rsidP="00C15251">
      <w:pPr>
        <w:jc w:val="both"/>
        <w:rPr>
          <w:bCs/>
          <w:color w:val="002060"/>
          <w:sz w:val="16"/>
          <w:szCs w:val="16"/>
        </w:rPr>
      </w:pPr>
      <w:r w:rsidRPr="00405303">
        <w:rPr>
          <w:bCs/>
          <w:color w:val="002060"/>
          <w:sz w:val="16"/>
          <w:szCs w:val="16"/>
        </w:rPr>
        <w:t>На сообщения о первых успехах английских танков Пороховщиков отреагировал и практически — 19 января 1917 г. он представил в ГВТУ проект и модель «Вездехода №2». Это уже действительно было нечто подобное танку с экипажем в 4 человека и «броневой рубкой». Последняя состояла из трех независимо вращающихся поясов с пулеметом «Максим» в каждом. Еще один «Максим» крепился в лобовом листе корпуса. Идея движителя осталась прежней, добавились только колеса на концах заднего барабана (11745).</w:t>
      </w:r>
    </w:p>
    <w:p w14:paraId="438BE950" w14:textId="77777777" w:rsidR="004B4E35" w:rsidRPr="00405303" w:rsidRDefault="004B4E35" w:rsidP="00C15251">
      <w:pPr>
        <w:jc w:val="both"/>
        <w:rPr>
          <w:bCs/>
          <w:color w:val="002060"/>
          <w:sz w:val="16"/>
          <w:szCs w:val="16"/>
        </w:rPr>
      </w:pPr>
    </w:p>
    <w:p w14:paraId="69826D5D" w14:textId="267B6A34" w:rsidR="00D340DA" w:rsidRPr="00405303" w:rsidRDefault="00D340DA" w:rsidP="00C15251">
      <w:pPr>
        <w:jc w:val="both"/>
        <w:rPr>
          <w:bCs/>
          <w:color w:val="002060"/>
          <w:sz w:val="16"/>
          <w:szCs w:val="16"/>
        </w:rPr>
      </w:pPr>
      <w:r w:rsidRPr="00405303">
        <w:rPr>
          <w:bCs/>
          <w:color w:val="002060"/>
          <w:sz w:val="16"/>
          <w:szCs w:val="16"/>
        </w:rPr>
        <w:t xml:space="preserve">18 </w:t>
      </w:r>
      <w:r w:rsidR="005772C4" w:rsidRPr="00405303">
        <w:rPr>
          <w:bCs/>
          <w:color w:val="002060"/>
          <w:sz w:val="16"/>
          <w:szCs w:val="16"/>
        </w:rPr>
        <w:t xml:space="preserve">(31) </w:t>
      </w:r>
      <w:r w:rsidRPr="00405303">
        <w:rPr>
          <w:bCs/>
          <w:color w:val="002060"/>
          <w:sz w:val="16"/>
          <w:szCs w:val="16"/>
        </w:rPr>
        <w:t xml:space="preserve">мая 1915 </w:t>
      </w:r>
      <w:r w:rsidR="005772C4" w:rsidRPr="00405303">
        <w:rPr>
          <w:bCs/>
          <w:color w:val="002060"/>
          <w:sz w:val="16"/>
          <w:szCs w:val="16"/>
        </w:rPr>
        <w:t>г. был</w:t>
      </w:r>
      <w:r w:rsidRPr="00405303">
        <w:rPr>
          <w:bCs/>
          <w:color w:val="002060"/>
          <w:sz w:val="16"/>
          <w:szCs w:val="16"/>
        </w:rPr>
        <w:t xml:space="preserve"> испытан первый в мире танк «Вездеход» (14895).</w:t>
      </w:r>
    </w:p>
    <w:p w14:paraId="4BAA77AE" w14:textId="77777777" w:rsidR="00D340DA" w:rsidRPr="00405303" w:rsidRDefault="00D340DA" w:rsidP="00C15251">
      <w:pPr>
        <w:jc w:val="both"/>
        <w:rPr>
          <w:bCs/>
          <w:color w:val="002060"/>
          <w:sz w:val="16"/>
          <w:szCs w:val="16"/>
        </w:rPr>
      </w:pPr>
    </w:p>
    <w:p w14:paraId="65BE2174" w14:textId="40F2AC37" w:rsidR="00D340DA" w:rsidRPr="00405303" w:rsidRDefault="00D340DA" w:rsidP="00C15251">
      <w:pPr>
        <w:jc w:val="both"/>
        <w:rPr>
          <w:bCs/>
          <w:color w:val="002060"/>
          <w:sz w:val="16"/>
          <w:szCs w:val="16"/>
        </w:rPr>
      </w:pPr>
      <w:r w:rsidRPr="00405303">
        <w:rPr>
          <w:bCs/>
          <w:color w:val="002060"/>
          <w:sz w:val="16"/>
          <w:szCs w:val="16"/>
        </w:rPr>
        <w:t xml:space="preserve">18 </w:t>
      </w:r>
      <w:r w:rsidR="005772C4" w:rsidRPr="00405303">
        <w:rPr>
          <w:bCs/>
          <w:color w:val="002060"/>
          <w:sz w:val="16"/>
          <w:szCs w:val="16"/>
        </w:rPr>
        <w:t xml:space="preserve">(31) </w:t>
      </w:r>
      <w:r w:rsidRPr="00405303">
        <w:rPr>
          <w:bCs/>
          <w:color w:val="002060"/>
          <w:sz w:val="16"/>
          <w:szCs w:val="16"/>
        </w:rPr>
        <w:t>мая в 1915 году проводится испытание первого в мире танка «Вездеход», построенного на Русско-Балтийском заводе в Риге. В конструкции машины предусмотрены все элементы современного танка: гусеничный движитель, броневой корпус и вооружение, расположенное во вращающейся башне. Танк развивает скорость до 25 верст в час по довольно глубокому песку. Конструктором танка был 23-летний Александр Александрович Пороховщиков. Его отец был архитектором, который спроектировал здание известного московского ресторана «Славянский базар». Сам конструктор создал в начале первой мировой войны учебный самолет «П-4» с двойным управлением и мотором «Гном» мощностью в 50 лошадиных сил. В гражданскую войну сражался летчиком в Красной Армии, затем работал в конструкторском бюро, а в 1941 был репрессирован. Внук конструктора Александр Шалвович Пороховщиков - известный актер и внешне похож на деда (14908).</w:t>
      </w:r>
    </w:p>
    <w:p w14:paraId="4A1657C6" w14:textId="77777777" w:rsidR="00D340DA" w:rsidRPr="00405303" w:rsidRDefault="00D340DA" w:rsidP="00C15251">
      <w:pPr>
        <w:jc w:val="both"/>
        <w:rPr>
          <w:bCs/>
          <w:color w:val="002060"/>
          <w:sz w:val="16"/>
          <w:szCs w:val="16"/>
        </w:rPr>
      </w:pPr>
    </w:p>
    <w:p w14:paraId="5BBBBA69" w14:textId="7F8D7A92" w:rsidR="00AB1050" w:rsidRPr="00405303" w:rsidRDefault="00AB1050" w:rsidP="00C15251">
      <w:pPr>
        <w:jc w:val="both"/>
        <w:rPr>
          <w:bCs/>
          <w:color w:val="002060"/>
          <w:sz w:val="16"/>
          <w:szCs w:val="16"/>
        </w:rPr>
      </w:pPr>
      <w:r w:rsidRPr="00405303">
        <w:rPr>
          <w:bCs/>
          <w:color w:val="002060"/>
          <w:sz w:val="16"/>
          <w:szCs w:val="16"/>
          <w:shd w:val="clear" w:color="auto" w:fill="FFFFFF"/>
        </w:rPr>
        <w:t xml:space="preserve">18 (31) мая 1915 </w:t>
      </w:r>
      <w:r w:rsidR="001F18BF" w:rsidRPr="00405303">
        <w:rPr>
          <w:bCs/>
          <w:color w:val="002060"/>
          <w:sz w:val="16"/>
          <w:szCs w:val="16"/>
          <w:shd w:val="clear" w:color="auto" w:fill="FFFFFF"/>
        </w:rPr>
        <w:t xml:space="preserve">г. </w:t>
      </w:r>
      <w:r w:rsidRPr="00405303">
        <w:rPr>
          <w:bCs/>
          <w:color w:val="002060"/>
          <w:sz w:val="16"/>
          <w:szCs w:val="16"/>
          <w:shd w:val="clear" w:color="auto" w:fill="FFFFFF"/>
        </w:rPr>
        <w:t xml:space="preserve">«Вездеход» Пороховщикова прошел испытания на хорошей дороге. 20 июля состоялась официальная демонстрация на «полковом дворе» опустевших казарм Нижегородского полка. Испытания продолжались в течение всего года, акт последнего датирован 29 декабря. Результаты видны из документов. Полковник Поклевский-Козелло в своем рапорте Начальнику Инженерных снабжений армий фронта генерал-лейтенанту Коваленко от 8 января 1916г. указывал, что «построенный экземпляр «вездехода» не выказал всех тех качеств, которые обусловлены докладом № 8101, например, не мог ходить по рыхлому снегу глубиной около 1 фута, а испытания хода по воде сделано не было». Сам Пороховщиков в заявлении от 3 января 1916г. признал «проведенные испытания окончательными для данного экземпляра «вездехода» и объяснял неудачи рядом причин: расстояние между основными барабанами мало, двигатель слаб, лента была не рифленая, а </w:t>
      </w:r>
      <w:r w:rsidRPr="00405303">
        <w:rPr>
          <w:bCs/>
          <w:color w:val="002060"/>
          <w:sz w:val="16"/>
          <w:szCs w:val="16"/>
          <w:shd w:val="clear" w:color="auto" w:fill="FFFFFF"/>
        </w:rPr>
        <w:lastRenderedPageBreak/>
        <w:t>гладкая. В заключение он предлагал немедленно приступить к постройке «нового усовершенствованного «вездехода», более сильного и законченного». Главный начальник снабжений фронта, однако, утратил интерес к разработке и приказал «конструирование средствами фронта прекратить и предложить изобретателю представить изготовленный им экипаж…в ГВТУ», справедливо полагая, что машина, построенная на казенные средства, должна быть «передана казне». 1 марта 1916г. в ГВТУ были отправлены все документы по «Вездеходу» (20250).</w:t>
      </w:r>
    </w:p>
    <w:p w14:paraId="4BEB3C5D" w14:textId="70CCC366" w:rsidR="00AB1050" w:rsidRPr="00405303" w:rsidRDefault="00AB1050" w:rsidP="00C15251">
      <w:pPr>
        <w:jc w:val="both"/>
        <w:rPr>
          <w:bCs/>
          <w:color w:val="002060"/>
          <w:sz w:val="16"/>
          <w:szCs w:val="16"/>
        </w:rPr>
      </w:pPr>
    </w:p>
    <w:p w14:paraId="67DFBDAD" w14:textId="77777777" w:rsidR="00CA60CA" w:rsidRPr="00405303" w:rsidRDefault="00CA60CA" w:rsidP="00C15251">
      <w:pPr>
        <w:jc w:val="both"/>
        <w:rPr>
          <w:bCs/>
          <w:i/>
          <w:color w:val="002060"/>
          <w:sz w:val="16"/>
          <w:szCs w:val="16"/>
        </w:rPr>
      </w:pPr>
      <w:r w:rsidRPr="00405303">
        <w:rPr>
          <w:bCs/>
          <w:i/>
          <w:color w:val="002060"/>
          <w:sz w:val="16"/>
          <w:szCs w:val="16"/>
        </w:rPr>
        <w:t>Армия:</w:t>
      </w:r>
    </w:p>
    <w:p w14:paraId="0D7C7981" w14:textId="77777777" w:rsidR="00CA60CA" w:rsidRPr="00405303" w:rsidRDefault="00CA60CA" w:rsidP="00C15251">
      <w:pPr>
        <w:jc w:val="both"/>
        <w:rPr>
          <w:bCs/>
          <w:i/>
          <w:color w:val="002060"/>
          <w:sz w:val="16"/>
          <w:szCs w:val="16"/>
        </w:rPr>
      </w:pPr>
    </w:p>
    <w:p w14:paraId="7B4E13AA" w14:textId="77777777" w:rsidR="00CA60CA" w:rsidRPr="00405303" w:rsidRDefault="00CA60CA" w:rsidP="00C15251">
      <w:pPr>
        <w:jc w:val="both"/>
        <w:rPr>
          <w:bCs/>
          <w:color w:val="002060"/>
          <w:sz w:val="16"/>
          <w:szCs w:val="16"/>
        </w:rPr>
      </w:pPr>
      <w:r w:rsidRPr="00405303">
        <w:rPr>
          <w:bCs/>
          <w:color w:val="002060"/>
          <w:sz w:val="16"/>
          <w:szCs w:val="16"/>
        </w:rPr>
        <w:t>18 (31) мая в 1915 году вскоре после того, как 22 апреля немцы в Бельгии в боях на реке Ипр впервые применили отравляющий газ, под Варшавой, на реке Равке, у местечка Воля Шидловска, ими была проведена химическая атака против русской армии. Впервые на Восточном фронте немецкие войска в полосе шириной 12 км начали газовую атаку из 12 тысяч баллонов смеси хлора с фосгеном. Зеленоватое облако хлора, появившееся над окопами, приняли за упреждающую наступление дымовую завесу, в связи с чем подтянули резервы и усилили передовую линию. Отравлению подверглись 7– 8 тысяч человек, из которых в первые же сутки умерли около 2 000. Начались лихорадочные поиски средств защиты, но первые угольные противогазы системы Николая Дмитриевича Зелинского (1861–1953) появились на фронте только к следующему лету (14908).</w:t>
      </w:r>
    </w:p>
    <w:p w14:paraId="7D555DBC" w14:textId="77777777" w:rsidR="00CA60CA" w:rsidRPr="00405303" w:rsidRDefault="00CA60CA" w:rsidP="00C15251">
      <w:pPr>
        <w:jc w:val="both"/>
        <w:rPr>
          <w:bCs/>
          <w:color w:val="002060"/>
          <w:sz w:val="16"/>
          <w:szCs w:val="16"/>
        </w:rPr>
      </w:pPr>
    </w:p>
    <w:p w14:paraId="4038F43D" w14:textId="159B3213" w:rsidR="00CA60CA" w:rsidRPr="00405303" w:rsidRDefault="00CA60CA" w:rsidP="00C15251">
      <w:pPr>
        <w:jc w:val="both"/>
        <w:rPr>
          <w:bCs/>
          <w:color w:val="002060"/>
          <w:sz w:val="16"/>
          <w:szCs w:val="16"/>
        </w:rPr>
      </w:pPr>
      <w:r w:rsidRPr="00405303">
        <w:rPr>
          <w:rStyle w:val="42"/>
          <w:rFonts w:ascii="Times New Roman" w:hAnsi="Times New Roman" w:cs="Times New Roman"/>
          <w:bCs/>
          <w:color w:val="002060"/>
          <w:w w:val="100"/>
          <w:sz w:val="16"/>
          <w:szCs w:val="16"/>
        </w:rPr>
        <w:t xml:space="preserve">18 (31) мая 1915 г. </w:t>
      </w:r>
      <w:r w:rsidR="001F18BF" w:rsidRPr="00405303">
        <w:rPr>
          <w:rStyle w:val="42"/>
          <w:rFonts w:ascii="Times New Roman" w:hAnsi="Times New Roman" w:cs="Times New Roman"/>
          <w:bCs/>
          <w:color w:val="002060"/>
          <w:w w:val="100"/>
          <w:sz w:val="16"/>
          <w:szCs w:val="16"/>
        </w:rPr>
        <w:t xml:space="preserve">состоялась немецкая газовая атака </w:t>
      </w:r>
      <w:r w:rsidRPr="00405303">
        <w:rPr>
          <w:rStyle w:val="42"/>
          <w:rFonts w:ascii="Times New Roman" w:hAnsi="Times New Roman" w:cs="Times New Roman"/>
          <w:bCs/>
          <w:color w:val="002060"/>
          <w:w w:val="100"/>
          <w:sz w:val="16"/>
          <w:szCs w:val="16"/>
        </w:rPr>
        <w:t>у г. Воли Шидловской под Варшавой</w:t>
      </w:r>
      <w:r w:rsidR="001F18BF" w:rsidRPr="00405303">
        <w:rPr>
          <w:rStyle w:val="42"/>
          <w:rFonts w:ascii="Times New Roman" w:hAnsi="Times New Roman" w:cs="Times New Roman"/>
          <w:bCs/>
          <w:color w:val="002060"/>
          <w:w w:val="100"/>
          <w:sz w:val="16"/>
          <w:szCs w:val="16"/>
        </w:rPr>
        <w:t>, которая</w:t>
      </w:r>
      <w:r w:rsidRPr="00405303">
        <w:rPr>
          <w:rStyle w:val="42"/>
          <w:rFonts w:ascii="Times New Roman" w:hAnsi="Times New Roman" w:cs="Times New Roman"/>
          <w:bCs/>
          <w:color w:val="002060"/>
          <w:w w:val="100"/>
          <w:sz w:val="16"/>
          <w:szCs w:val="16"/>
        </w:rPr>
        <w:t xml:space="preserve"> вызвала появление в составе русской армии химических рот, число которых на фронте к концу войны достигло 14. Личный состав рот комплектовал</w:t>
      </w:r>
      <w:r w:rsidRPr="00405303">
        <w:rPr>
          <w:rStyle w:val="42"/>
          <w:rFonts w:ascii="Times New Roman" w:hAnsi="Times New Roman" w:cs="Times New Roman"/>
          <w:bCs/>
          <w:color w:val="002060"/>
          <w:w w:val="100"/>
          <w:sz w:val="16"/>
          <w:szCs w:val="16"/>
        </w:rPr>
        <w:softHyphen/>
        <w:t>ся солдатами Запасного воздухоплавательного батальона ОВШ, знакомыми с газовым обору</w:t>
      </w:r>
      <w:r w:rsidRPr="00405303">
        <w:rPr>
          <w:rStyle w:val="42"/>
          <w:rFonts w:ascii="Times New Roman" w:hAnsi="Times New Roman" w:cs="Times New Roman"/>
          <w:bCs/>
          <w:color w:val="002060"/>
          <w:w w:val="100"/>
          <w:sz w:val="16"/>
          <w:szCs w:val="16"/>
        </w:rPr>
        <w:softHyphen/>
        <w:t>дованием. Для метеорологической подготовки личного состава химических рот привлекались метеорологи и геофизики Московского уни</w:t>
      </w:r>
      <w:r w:rsidRPr="00405303">
        <w:rPr>
          <w:rStyle w:val="42"/>
          <w:rFonts w:ascii="Times New Roman" w:hAnsi="Times New Roman" w:cs="Times New Roman"/>
          <w:bCs/>
          <w:color w:val="002060"/>
          <w:w w:val="100"/>
          <w:sz w:val="16"/>
          <w:szCs w:val="16"/>
        </w:rPr>
        <w:softHyphen/>
        <w:t>верситета В.И. Пришлецов (Западный фронт) и В.Ф. Бончковский (Юго-Западный фронт). А.Ф. Вангенгейм в 1916 г. составил «Краткий курс газовой метеорологии». Химические роты шаро</w:t>
      </w:r>
      <w:r w:rsidRPr="00405303">
        <w:rPr>
          <w:rStyle w:val="42"/>
          <w:rFonts w:ascii="Times New Roman" w:hAnsi="Times New Roman" w:cs="Times New Roman"/>
          <w:bCs/>
          <w:color w:val="002060"/>
          <w:w w:val="100"/>
          <w:sz w:val="16"/>
          <w:szCs w:val="16"/>
        </w:rPr>
        <w:softHyphen/>
        <w:t>пилотных измерений сами не вели, а пользова</w:t>
      </w:r>
      <w:r w:rsidRPr="00405303">
        <w:rPr>
          <w:rStyle w:val="42"/>
          <w:rFonts w:ascii="Times New Roman" w:hAnsi="Times New Roman" w:cs="Times New Roman"/>
          <w:bCs/>
          <w:color w:val="002060"/>
          <w:w w:val="100"/>
          <w:sz w:val="16"/>
          <w:szCs w:val="16"/>
        </w:rPr>
        <w:softHyphen/>
        <w:t>лись предоставленной информацией (20120).</w:t>
      </w:r>
    </w:p>
    <w:p w14:paraId="63FE92CA" w14:textId="77777777" w:rsidR="00CA60CA" w:rsidRPr="00405303" w:rsidRDefault="00CA60CA" w:rsidP="00C15251">
      <w:pPr>
        <w:jc w:val="both"/>
        <w:rPr>
          <w:rStyle w:val="42"/>
          <w:rFonts w:ascii="Times New Roman" w:hAnsi="Times New Roman" w:cs="Times New Roman"/>
          <w:bCs/>
          <w:color w:val="002060"/>
          <w:w w:val="100"/>
          <w:sz w:val="16"/>
          <w:szCs w:val="16"/>
        </w:rPr>
      </w:pPr>
    </w:p>
    <w:p w14:paraId="6F19DF5D" w14:textId="77777777" w:rsidR="00CA60CA" w:rsidRPr="00405303" w:rsidRDefault="00CA60CA" w:rsidP="00C15251">
      <w:pPr>
        <w:jc w:val="both"/>
        <w:rPr>
          <w:rFonts w:eastAsia="TimesNewRoman"/>
          <w:bCs/>
          <w:color w:val="002060"/>
          <w:sz w:val="16"/>
          <w:szCs w:val="16"/>
        </w:rPr>
      </w:pPr>
      <w:r w:rsidRPr="00405303">
        <w:rPr>
          <w:rFonts w:eastAsia="Times-Roman"/>
          <w:bCs/>
          <w:color w:val="002060"/>
          <w:sz w:val="16"/>
          <w:szCs w:val="16"/>
        </w:rPr>
        <w:t xml:space="preserve">18 (31) </w:t>
      </w:r>
      <w:r w:rsidRPr="00405303">
        <w:rPr>
          <w:rFonts w:eastAsia="TimesNewRoman"/>
          <w:bCs/>
          <w:color w:val="002060"/>
          <w:sz w:val="16"/>
          <w:szCs w:val="16"/>
        </w:rPr>
        <w:t xml:space="preserve">мая </w:t>
      </w:r>
      <w:r w:rsidRPr="00405303">
        <w:rPr>
          <w:rFonts w:eastAsia="Times-Roman"/>
          <w:bCs/>
          <w:color w:val="002060"/>
          <w:sz w:val="16"/>
          <w:szCs w:val="16"/>
        </w:rPr>
        <w:t>1915</w:t>
      </w:r>
      <w:r w:rsidRPr="00405303">
        <w:rPr>
          <w:rFonts w:eastAsia="TimesNewRoman"/>
          <w:bCs/>
          <w:color w:val="002060"/>
          <w:sz w:val="16"/>
          <w:szCs w:val="16"/>
        </w:rPr>
        <w:t xml:space="preserve"> немцы предприняли газобаллонную атаку против руских войск в районе г</w:t>
      </w:r>
      <w:r w:rsidRPr="00405303">
        <w:rPr>
          <w:rFonts w:eastAsia="Times-Roman"/>
          <w:bCs/>
          <w:color w:val="002060"/>
          <w:sz w:val="16"/>
          <w:szCs w:val="16"/>
        </w:rPr>
        <w:t>.</w:t>
      </w:r>
      <w:r w:rsidRPr="00405303">
        <w:rPr>
          <w:rFonts w:eastAsia="TimesNewRoman"/>
          <w:bCs/>
          <w:color w:val="002060"/>
          <w:sz w:val="16"/>
          <w:szCs w:val="16"/>
        </w:rPr>
        <w:t xml:space="preserve">Болимово </w:t>
      </w:r>
      <w:r w:rsidRPr="00405303">
        <w:rPr>
          <w:rFonts w:eastAsia="Times-Roman"/>
          <w:bCs/>
          <w:color w:val="002060"/>
          <w:sz w:val="16"/>
          <w:szCs w:val="16"/>
        </w:rPr>
        <w:t>(</w:t>
      </w:r>
      <w:r w:rsidRPr="00405303">
        <w:rPr>
          <w:rFonts w:eastAsia="TimesNewRoman"/>
          <w:bCs/>
          <w:color w:val="002060"/>
          <w:sz w:val="16"/>
          <w:szCs w:val="16"/>
        </w:rPr>
        <w:t>западнее Варшавы</w:t>
      </w:r>
      <w:r w:rsidRPr="00405303">
        <w:rPr>
          <w:rFonts w:eastAsia="Times-Roman"/>
          <w:bCs/>
          <w:color w:val="002060"/>
          <w:sz w:val="16"/>
          <w:szCs w:val="16"/>
        </w:rPr>
        <w:t xml:space="preserve">). </w:t>
      </w:r>
      <w:r w:rsidRPr="00405303">
        <w:rPr>
          <w:rFonts w:eastAsia="TimesNewRoman"/>
          <w:bCs/>
          <w:color w:val="002060"/>
          <w:sz w:val="16"/>
          <w:szCs w:val="16"/>
        </w:rPr>
        <w:t xml:space="preserve">При этом было отравлено </w:t>
      </w:r>
      <w:r w:rsidRPr="00405303">
        <w:rPr>
          <w:rFonts w:eastAsia="Times-Roman"/>
          <w:bCs/>
          <w:color w:val="002060"/>
          <w:sz w:val="16"/>
          <w:szCs w:val="16"/>
        </w:rPr>
        <w:t xml:space="preserve">9 </w:t>
      </w:r>
      <w:r w:rsidRPr="00405303">
        <w:rPr>
          <w:rFonts w:eastAsia="TimesNewRoman"/>
          <w:bCs/>
          <w:color w:val="002060"/>
          <w:sz w:val="16"/>
          <w:szCs w:val="16"/>
        </w:rPr>
        <w:t>тыс. человек</w:t>
      </w:r>
      <w:r w:rsidRPr="00405303">
        <w:rPr>
          <w:rFonts w:eastAsia="Times-Roman"/>
          <w:bCs/>
          <w:color w:val="002060"/>
          <w:sz w:val="16"/>
          <w:szCs w:val="16"/>
        </w:rPr>
        <w:t xml:space="preserve">, </w:t>
      </w:r>
      <w:r w:rsidRPr="00405303">
        <w:rPr>
          <w:rFonts w:eastAsia="TimesNewRoman"/>
          <w:bCs/>
          <w:color w:val="002060"/>
          <w:sz w:val="16"/>
          <w:szCs w:val="16"/>
        </w:rPr>
        <w:t xml:space="preserve">из которых на поле боя умерло </w:t>
      </w:r>
      <w:r w:rsidRPr="00405303">
        <w:rPr>
          <w:rFonts w:eastAsia="Times-Roman"/>
          <w:bCs/>
          <w:color w:val="002060"/>
          <w:sz w:val="16"/>
          <w:szCs w:val="16"/>
        </w:rPr>
        <w:t xml:space="preserve">1,2 </w:t>
      </w:r>
      <w:r w:rsidRPr="00405303">
        <w:rPr>
          <w:rFonts w:eastAsia="TimesNewRoman"/>
          <w:bCs/>
          <w:color w:val="002060"/>
          <w:sz w:val="16"/>
          <w:szCs w:val="16"/>
        </w:rPr>
        <w:t>тыс</w:t>
      </w:r>
      <w:r w:rsidRPr="00405303">
        <w:rPr>
          <w:rFonts w:eastAsia="Times-Roman"/>
          <w:bCs/>
          <w:color w:val="002060"/>
          <w:sz w:val="16"/>
          <w:szCs w:val="16"/>
        </w:rPr>
        <w:t xml:space="preserve">, </w:t>
      </w:r>
      <w:r w:rsidRPr="00405303">
        <w:rPr>
          <w:rFonts w:eastAsia="TimesNewRoman"/>
          <w:bCs/>
          <w:color w:val="002060"/>
          <w:sz w:val="16"/>
          <w:szCs w:val="16"/>
        </w:rPr>
        <w:t xml:space="preserve">а общее число погибших достигло </w:t>
      </w:r>
      <w:r w:rsidRPr="00405303">
        <w:rPr>
          <w:rFonts w:eastAsia="Times-Roman"/>
          <w:bCs/>
          <w:color w:val="002060"/>
          <w:sz w:val="16"/>
          <w:szCs w:val="16"/>
        </w:rPr>
        <w:t xml:space="preserve">3.5 </w:t>
      </w:r>
      <w:r w:rsidRPr="00405303">
        <w:rPr>
          <w:rFonts w:eastAsia="TimesNewRoman"/>
          <w:bCs/>
          <w:color w:val="002060"/>
          <w:sz w:val="16"/>
          <w:szCs w:val="16"/>
        </w:rPr>
        <w:t>тыс человек (20240).</w:t>
      </w:r>
    </w:p>
    <w:p w14:paraId="4E9AECEB" w14:textId="77777777" w:rsidR="00CA60CA" w:rsidRPr="00405303" w:rsidRDefault="00CA60CA" w:rsidP="00C15251">
      <w:pPr>
        <w:jc w:val="both"/>
        <w:rPr>
          <w:rFonts w:eastAsia="TimesNewRoman"/>
          <w:bCs/>
          <w:color w:val="002060"/>
          <w:sz w:val="16"/>
          <w:szCs w:val="16"/>
        </w:rPr>
      </w:pPr>
    </w:p>
    <w:p w14:paraId="287FD036" w14:textId="77777777" w:rsidR="00CA60CA" w:rsidRPr="00405303" w:rsidRDefault="00CA60CA" w:rsidP="00C15251">
      <w:pPr>
        <w:pStyle w:val="ae"/>
        <w:spacing w:before="0" w:beforeAutospacing="0" w:after="0" w:afterAutospacing="0"/>
        <w:jc w:val="both"/>
        <w:rPr>
          <w:bCs/>
          <w:color w:val="002060"/>
          <w:sz w:val="16"/>
          <w:szCs w:val="16"/>
        </w:rPr>
      </w:pPr>
      <w:r w:rsidRPr="00405303">
        <w:rPr>
          <w:bCs/>
          <w:color w:val="002060"/>
          <w:sz w:val="16"/>
          <w:szCs w:val="16"/>
        </w:rPr>
        <w:t xml:space="preserve">18 (31) мая 1915 была первая газовая атаки немцев на русском фронте. </w:t>
      </w:r>
    </w:p>
    <w:p w14:paraId="4A635D1E" w14:textId="77777777" w:rsidR="00CA60CA" w:rsidRPr="00405303" w:rsidRDefault="00CA60CA" w:rsidP="00C15251">
      <w:pPr>
        <w:pStyle w:val="ae"/>
        <w:spacing w:before="0" w:beforeAutospacing="0" w:after="0" w:afterAutospacing="0"/>
        <w:jc w:val="both"/>
        <w:rPr>
          <w:bCs/>
          <w:color w:val="002060"/>
          <w:sz w:val="16"/>
          <w:szCs w:val="16"/>
        </w:rPr>
      </w:pPr>
      <w:r w:rsidRPr="00405303">
        <w:rPr>
          <w:bCs/>
          <w:color w:val="002060"/>
          <w:sz w:val="16"/>
          <w:szCs w:val="16"/>
        </w:rPr>
        <w:t>В начале мая 1915 г. еще до первой атаки немцев на русском фронте (31 мая) организации Красного Креста приступили к изготовлению первых противохлорных масок, представляющих собой компресс из пяти-шести слоев марли, простроченный по краям и снабженный двумя парами тесемок для укрепления маски на лице. Против рта и носа имелся карман, в который вкладывалась пропитанная гипосульфитом корпия (маска-повязка первого образца). Такие маски-повязки в начале мая 1915 г. изготовлялись в довольно значительных количествах, по крайней мере в Москве и Минске. В газетах того времени помещено следующее сообщение, датированное 23 мая: «В общеземском союзе, как сообщают «Речи» (14 мая), из Москвы получено уведомление, что в Минске в широких размерах выделываются респираторы. Ежедневно их выпускается 25 тыс. штук. Респираторами снабжаются проходящие воинские части. Выработан усовершенствованный тип их». Из рассказов о первой газовой атаке на русском фронте в мае известно, что командование отдельных частей самостоятельно пыталось принять меры защиты своих войск на случай возможного химического нападения противника. Так, например, командование 55-й пехотной дивизии, на участке которой был впервые применен газ, по собственной инициативе заказало еще в начале мая в Москве противогазные маски и отправило за ними приемщика. Однако эти противогазы прибыли к месту назначения лишь под вечер 31 мая, уже после окончания газовой атаки (20246).</w:t>
      </w:r>
    </w:p>
    <w:p w14:paraId="60F815E6" w14:textId="77777777" w:rsidR="00CA60CA" w:rsidRPr="00405303" w:rsidRDefault="00CA60CA" w:rsidP="00C15251">
      <w:pPr>
        <w:pStyle w:val="ae"/>
        <w:spacing w:before="0" w:beforeAutospacing="0" w:after="0" w:afterAutospacing="0"/>
        <w:jc w:val="both"/>
        <w:rPr>
          <w:bCs/>
          <w:color w:val="002060"/>
          <w:sz w:val="16"/>
          <w:szCs w:val="16"/>
        </w:rPr>
      </w:pPr>
    </w:p>
    <w:p w14:paraId="331F6807" w14:textId="4F487395" w:rsidR="001A4DCC" w:rsidRPr="00405303" w:rsidRDefault="001A4DCC" w:rsidP="001A4DCC">
      <w:pPr>
        <w:jc w:val="both"/>
        <w:rPr>
          <w:bCs/>
          <w:i/>
          <w:color w:val="002060"/>
          <w:sz w:val="16"/>
          <w:szCs w:val="16"/>
        </w:rPr>
      </w:pPr>
      <w:r w:rsidRPr="00405303">
        <w:rPr>
          <w:bCs/>
          <w:i/>
          <w:color w:val="002060"/>
          <w:sz w:val="16"/>
          <w:szCs w:val="16"/>
        </w:rPr>
        <w:t>Авиация:</w:t>
      </w:r>
    </w:p>
    <w:p w14:paraId="69F0A074" w14:textId="77777777" w:rsidR="001A4DCC" w:rsidRPr="00405303" w:rsidRDefault="001A4DCC" w:rsidP="001A4DCC">
      <w:pPr>
        <w:jc w:val="both"/>
        <w:rPr>
          <w:bCs/>
          <w:i/>
          <w:color w:val="002060"/>
          <w:sz w:val="16"/>
          <w:szCs w:val="16"/>
        </w:rPr>
      </w:pPr>
    </w:p>
    <w:p w14:paraId="321406E4" w14:textId="56E6A910" w:rsidR="001A4DCC" w:rsidRPr="00405303" w:rsidRDefault="001A4DCC" w:rsidP="001A4DCC">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18 (31) мая 1915 г. в районе М. [в документах название не расшифровано] немецкие летчики атаковали (безуспешно) автомобильную колонну Красного Креста (25135).</w:t>
      </w:r>
    </w:p>
    <w:p w14:paraId="45592182" w14:textId="77777777" w:rsidR="001A4DCC" w:rsidRPr="00405303" w:rsidRDefault="001A4DCC" w:rsidP="001A4DCC">
      <w:pPr>
        <w:jc w:val="both"/>
        <w:rPr>
          <w:color w:val="0070C0"/>
          <w:sz w:val="16"/>
          <w:szCs w:val="16"/>
        </w:rPr>
      </w:pPr>
    </w:p>
    <w:p w14:paraId="563231B4"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5EA99A02" w14:textId="77777777" w:rsidR="004B4E35" w:rsidRPr="00405303" w:rsidRDefault="004B4E35" w:rsidP="00C15251">
      <w:pPr>
        <w:shd w:val="clear" w:color="auto" w:fill="FFFFFF"/>
        <w:jc w:val="both"/>
        <w:rPr>
          <w:bCs/>
          <w:i/>
          <w:color w:val="002060"/>
          <w:sz w:val="16"/>
          <w:szCs w:val="16"/>
        </w:rPr>
      </w:pPr>
    </w:p>
    <w:p w14:paraId="2B8633D7" w14:textId="77777777" w:rsidR="00D340DA" w:rsidRPr="00405303" w:rsidRDefault="00D340DA" w:rsidP="00C15251">
      <w:pPr>
        <w:jc w:val="both"/>
        <w:rPr>
          <w:bCs/>
          <w:color w:val="002060"/>
          <w:sz w:val="16"/>
          <w:szCs w:val="16"/>
        </w:rPr>
      </w:pPr>
      <w:r w:rsidRPr="00405303">
        <w:rPr>
          <w:bCs/>
          <w:color w:val="002060"/>
          <w:sz w:val="16"/>
          <w:szCs w:val="16"/>
        </w:rPr>
        <w:t>18 (31) мая в 1915 году первый воздушный налет на Лондон осуществил цеппелин LZ-38. В ночь на 31 мая на северно-восточную часть британской столицы было сброшено 1360 килограммов бомб. Семь человек было убито, 14 ранено (14908).</w:t>
      </w:r>
    </w:p>
    <w:p w14:paraId="567F9546" w14:textId="77777777" w:rsidR="00D340DA" w:rsidRPr="00405303" w:rsidRDefault="00D340DA" w:rsidP="00C15251">
      <w:pPr>
        <w:jc w:val="both"/>
        <w:rPr>
          <w:bCs/>
          <w:color w:val="002060"/>
          <w:sz w:val="16"/>
          <w:szCs w:val="16"/>
        </w:rPr>
      </w:pPr>
    </w:p>
    <w:p w14:paraId="43C2045D" w14:textId="77777777" w:rsidR="001A4DCC" w:rsidRPr="00405303" w:rsidRDefault="001A4DCC" w:rsidP="001A4DCC">
      <w:pPr>
        <w:jc w:val="both"/>
        <w:rPr>
          <w:color w:val="0070C0"/>
          <w:sz w:val="16"/>
          <w:szCs w:val="16"/>
        </w:rPr>
      </w:pPr>
      <w:bookmarkStart w:id="143" w:name="_Hlk117617156"/>
      <w:r w:rsidRPr="00405303">
        <w:rPr>
          <w:rStyle w:val="aa"/>
          <w:rFonts w:ascii="Times New Roman" w:hAnsi="Times New Roman"/>
          <w:color w:val="0070C0"/>
          <w:spacing w:val="0"/>
          <w:sz w:val="16"/>
          <w:szCs w:val="16"/>
        </w:rPr>
        <w:t>18 (31) мая 1915 г. состоялся первый налет на Лондон, который причинил крохотный ущерб и сопровождался небольшим количеством жертв, но оказал огромное психологическое воздействие. В Германии первые налеты цеппелинов нашли отклик в бравурных газетных заголовках вроде «Англия больше не остров», намекавших на утрату безопас</w:t>
      </w:r>
      <w:r w:rsidRPr="00405303">
        <w:rPr>
          <w:rStyle w:val="aa"/>
          <w:rFonts w:ascii="Times New Roman" w:hAnsi="Times New Roman"/>
          <w:color w:val="0070C0"/>
          <w:spacing w:val="0"/>
          <w:sz w:val="16"/>
          <w:szCs w:val="16"/>
        </w:rPr>
        <w:softHyphen/>
        <w:t>ности, которую Ла-Манш обеспечивал Великобритании на протяжении нескольких веков (25712).</w:t>
      </w:r>
    </w:p>
    <w:p w14:paraId="052E3A08" w14:textId="77777777" w:rsidR="001A4DCC" w:rsidRPr="00405303" w:rsidRDefault="001A4DCC" w:rsidP="001A4DCC">
      <w:pPr>
        <w:jc w:val="both"/>
        <w:rPr>
          <w:color w:val="0070C0"/>
          <w:sz w:val="16"/>
          <w:szCs w:val="16"/>
        </w:rPr>
      </w:pPr>
    </w:p>
    <w:p w14:paraId="778E73EB" w14:textId="01B3908F" w:rsidR="004B4E35" w:rsidRPr="00405303" w:rsidRDefault="009E6F82" w:rsidP="00C15251">
      <w:pPr>
        <w:jc w:val="both"/>
        <w:rPr>
          <w:bCs/>
          <w:color w:val="002060"/>
          <w:sz w:val="16"/>
          <w:szCs w:val="16"/>
        </w:rPr>
      </w:pPr>
      <w:r w:rsidRPr="00405303">
        <w:rPr>
          <w:bCs/>
          <w:color w:val="002060"/>
          <w:sz w:val="16"/>
          <w:szCs w:val="16"/>
        </w:rPr>
        <w:t xml:space="preserve">18 (31 мая) 1915 </w:t>
      </w:r>
      <w:r w:rsidR="001F18BF" w:rsidRPr="00405303">
        <w:rPr>
          <w:bCs/>
          <w:color w:val="002060"/>
          <w:sz w:val="16"/>
          <w:szCs w:val="16"/>
        </w:rPr>
        <w:t xml:space="preserve">LZ-38 после нескольких успешных налетов на английские порты </w:t>
      </w:r>
      <w:r w:rsidRPr="00405303">
        <w:rPr>
          <w:bCs/>
          <w:color w:val="002060"/>
          <w:sz w:val="16"/>
          <w:szCs w:val="16"/>
        </w:rPr>
        <w:t xml:space="preserve">бомбардировал центр английской военной промышленности — Лондон, главным образом доки на Темзе. </w:t>
      </w:r>
      <w:r w:rsidR="001F18BF" w:rsidRPr="00405303">
        <w:rPr>
          <w:bCs/>
          <w:color w:val="002060"/>
          <w:sz w:val="16"/>
          <w:szCs w:val="16"/>
        </w:rPr>
        <w:t xml:space="preserve">LZ-38 и его командир продолжали терроризировать обескураженных англичан. 26 мая Линнарц опять появился над Эссексом и Саут-эндом, безнаказанно отбомбился и повернул на базу. Система ПВО в очередной раз дала осечку. Из пяти самолетов, поднятых по тревоге, два разбились на посадке, а зенитные батареи стреляли «в белый свет как в копеечку». В отместку англичане совершили рейд самолетами на Людвигсхафен, тем самым развязали руки Вильгельму II, и он разрешил армейским дирижаблям бомбить Лондон. </w:t>
      </w:r>
      <w:r w:rsidRPr="00405303">
        <w:rPr>
          <w:bCs/>
          <w:color w:val="002060"/>
          <w:sz w:val="16"/>
          <w:szCs w:val="16"/>
        </w:rPr>
        <w:t>Через несколько дней в ответ на этот налет английский летчик разбомбил дирижабль, находившийся в своем эллинге около Брюсселя (11282).</w:t>
      </w:r>
    </w:p>
    <w:p w14:paraId="2F02083E" w14:textId="77777777" w:rsidR="004B4E35" w:rsidRPr="00405303" w:rsidRDefault="004B4E35" w:rsidP="00C15251">
      <w:pPr>
        <w:jc w:val="both"/>
        <w:rPr>
          <w:bCs/>
          <w:color w:val="002060"/>
          <w:sz w:val="16"/>
          <w:szCs w:val="16"/>
        </w:rPr>
      </w:pPr>
    </w:p>
    <w:bookmarkEnd w:id="143"/>
    <w:p w14:paraId="17805131" w14:textId="39AB1713" w:rsidR="004B4E35" w:rsidRPr="00405303" w:rsidRDefault="009E6F82" w:rsidP="00C15251">
      <w:pPr>
        <w:jc w:val="both"/>
        <w:rPr>
          <w:bCs/>
          <w:color w:val="002060"/>
          <w:sz w:val="16"/>
          <w:szCs w:val="16"/>
        </w:rPr>
      </w:pPr>
      <w:r w:rsidRPr="00405303">
        <w:rPr>
          <w:bCs/>
          <w:color w:val="002060"/>
          <w:sz w:val="16"/>
          <w:szCs w:val="16"/>
        </w:rPr>
        <w:t xml:space="preserve">18 (31) мая </w:t>
      </w:r>
      <w:r w:rsidR="001F18BF" w:rsidRPr="00405303">
        <w:rPr>
          <w:bCs/>
          <w:color w:val="002060"/>
          <w:sz w:val="16"/>
          <w:szCs w:val="16"/>
        </w:rPr>
        <w:t xml:space="preserve">1915 г. </w:t>
      </w:r>
      <w:r w:rsidRPr="00405303">
        <w:rPr>
          <w:bCs/>
          <w:color w:val="002060"/>
          <w:sz w:val="16"/>
          <w:szCs w:val="16"/>
        </w:rPr>
        <w:t xml:space="preserve">«зловещий» Линнарц привел свой цеппелин в Англию и сбросил бомбы на столицу (11324). </w:t>
      </w:r>
    </w:p>
    <w:p w14:paraId="30B776C7" w14:textId="77777777" w:rsidR="004B4E35" w:rsidRPr="00405303" w:rsidRDefault="004B4E35" w:rsidP="00C15251">
      <w:pPr>
        <w:shd w:val="clear" w:color="auto" w:fill="FFFFFF"/>
        <w:jc w:val="both"/>
        <w:rPr>
          <w:bCs/>
          <w:i/>
          <w:color w:val="002060"/>
          <w:sz w:val="16"/>
          <w:szCs w:val="16"/>
        </w:rPr>
      </w:pPr>
    </w:p>
    <w:p w14:paraId="562ED636" w14:textId="77777777" w:rsidR="00C524DD" w:rsidRPr="00405303" w:rsidRDefault="00C524DD" w:rsidP="00C15251">
      <w:pPr>
        <w:jc w:val="both"/>
        <w:rPr>
          <w:bCs/>
          <w:color w:val="002060"/>
          <w:sz w:val="16"/>
          <w:szCs w:val="16"/>
        </w:rPr>
      </w:pPr>
      <w:r w:rsidRPr="00405303">
        <w:rPr>
          <w:bCs/>
          <w:color w:val="002060"/>
          <w:sz w:val="16"/>
          <w:szCs w:val="16"/>
        </w:rPr>
        <w:t>18 (31 мая) 1915 LZ-38 после нескольких успешных налетов на английские порты бомбардировал центр английской военной промышленности — Лондон, главным образом доки на Темзе. Через несколько дней в ответ на этот налет английский летчик разбомбил дирижабль, находившийся в своем эллинге около Брюсселя (11282).</w:t>
      </w:r>
    </w:p>
    <w:p w14:paraId="5DDCBE4A" w14:textId="77777777" w:rsidR="00C524DD" w:rsidRPr="00405303" w:rsidRDefault="00C524DD" w:rsidP="00C15251">
      <w:pPr>
        <w:jc w:val="both"/>
        <w:rPr>
          <w:bCs/>
          <w:color w:val="002060"/>
          <w:sz w:val="16"/>
          <w:szCs w:val="16"/>
        </w:rPr>
      </w:pPr>
    </w:p>
    <w:p w14:paraId="6E6CA3FF" w14:textId="471AC294" w:rsidR="001F18BF" w:rsidRPr="00405303" w:rsidRDefault="009E6F82" w:rsidP="00C15251">
      <w:pPr>
        <w:jc w:val="both"/>
        <w:rPr>
          <w:bCs/>
          <w:color w:val="002060"/>
          <w:sz w:val="16"/>
          <w:szCs w:val="16"/>
        </w:rPr>
      </w:pPr>
      <w:r w:rsidRPr="00405303">
        <w:rPr>
          <w:bCs/>
          <w:color w:val="002060"/>
          <w:sz w:val="16"/>
          <w:szCs w:val="16"/>
        </w:rPr>
        <w:t xml:space="preserve">18 (31) мая 1915 года </w:t>
      </w:r>
      <w:r w:rsidR="001F18BF" w:rsidRPr="00405303">
        <w:rPr>
          <w:bCs/>
          <w:color w:val="002060"/>
          <w:sz w:val="16"/>
          <w:szCs w:val="16"/>
        </w:rPr>
        <w:t>безлунной ночью с армейского дирижабля LZ-38 были сброшены первые бомбы, разорвавшиеся на улицах Лондона (60 фугасных и 89 зажигательных)</w:t>
      </w:r>
    </w:p>
    <w:p w14:paraId="0C2721CF" w14:textId="77777777" w:rsidR="004B4E35" w:rsidRPr="00405303" w:rsidRDefault="009E6F82" w:rsidP="00C15251">
      <w:pPr>
        <w:jc w:val="both"/>
        <w:rPr>
          <w:bCs/>
          <w:color w:val="002060"/>
          <w:sz w:val="16"/>
          <w:szCs w:val="16"/>
        </w:rPr>
      </w:pPr>
      <w:r w:rsidRPr="00405303">
        <w:rPr>
          <w:bCs/>
          <w:color w:val="002060"/>
          <w:sz w:val="16"/>
          <w:szCs w:val="16"/>
        </w:rPr>
        <w:t xml:space="preserve">По воспоминаниям командира LZ-38 Эриха Линнарца, этот вылет проходил следующим образом: «Нас никто не ждал, и поэтому Лондон сиял огнями как рождественская елка. Ни один луч прожектора не поднялся нам навстречу, ни один выстрел не прозвучал до тех пор, пока мы не начали сбрасывать бомбы». Искусно уклоняясь от зенитного огня и лучей прожекторов, Линнарц около 10 минут кружил над городом, сбрасывая на различные цели свой смертоносный груз, вызвавший значительные разрушения и пожары. 42 человека, в большинстве своем мирные жители, были убиты и ранены. </w:t>
      </w:r>
    </w:p>
    <w:p w14:paraId="5448C8EE" w14:textId="77777777" w:rsidR="004B4E35" w:rsidRPr="00405303" w:rsidRDefault="009E6F82" w:rsidP="00C15251">
      <w:pPr>
        <w:jc w:val="both"/>
        <w:rPr>
          <w:bCs/>
          <w:color w:val="002060"/>
          <w:sz w:val="16"/>
          <w:szCs w:val="16"/>
        </w:rPr>
      </w:pPr>
      <w:r w:rsidRPr="00405303">
        <w:rPr>
          <w:bCs/>
          <w:color w:val="002060"/>
          <w:sz w:val="16"/>
          <w:szCs w:val="16"/>
        </w:rPr>
        <w:t xml:space="preserve">Практически все самолеты, базирующиеся в районе английской столицы, поднялись в воздух, но все безрезультатно — неуловимый Линнарц исчез во мраке ночи. </w:t>
      </w:r>
    </w:p>
    <w:p w14:paraId="07513E49" w14:textId="77777777" w:rsidR="004B4E35" w:rsidRPr="00405303" w:rsidRDefault="009E6F82" w:rsidP="00C15251">
      <w:pPr>
        <w:jc w:val="both"/>
        <w:rPr>
          <w:bCs/>
          <w:color w:val="002060"/>
          <w:sz w:val="16"/>
          <w:szCs w:val="16"/>
        </w:rPr>
      </w:pPr>
      <w:r w:rsidRPr="00405303">
        <w:rPr>
          <w:bCs/>
          <w:color w:val="002060"/>
          <w:sz w:val="16"/>
          <w:szCs w:val="16"/>
        </w:rPr>
        <w:t>Такого оскорбления Уинстон Черчилль стерпеть не мог, и ровно через неделю LZ-38 был уничтожен английской летающей лодкой прямо на своей базе около Брюсселя (11324).</w:t>
      </w:r>
    </w:p>
    <w:p w14:paraId="52CF389B" w14:textId="77777777" w:rsidR="004B4E35" w:rsidRPr="00405303" w:rsidRDefault="004B4E35" w:rsidP="00C15251">
      <w:pPr>
        <w:jc w:val="both"/>
        <w:rPr>
          <w:bCs/>
          <w:i/>
          <w:color w:val="002060"/>
          <w:sz w:val="16"/>
          <w:szCs w:val="16"/>
        </w:rPr>
      </w:pPr>
    </w:p>
    <w:p w14:paraId="72BB7416" w14:textId="7DDC4766" w:rsidR="004B4E35" w:rsidRPr="00405303" w:rsidRDefault="009E6F82" w:rsidP="00C15251">
      <w:pPr>
        <w:jc w:val="both"/>
        <w:rPr>
          <w:bCs/>
          <w:color w:val="002060"/>
          <w:sz w:val="16"/>
          <w:szCs w:val="16"/>
        </w:rPr>
      </w:pPr>
      <w:r w:rsidRPr="00405303">
        <w:rPr>
          <w:bCs/>
          <w:color w:val="002060"/>
          <w:sz w:val="16"/>
          <w:szCs w:val="16"/>
        </w:rPr>
        <w:lastRenderedPageBreak/>
        <w:t xml:space="preserve">18 (31) мая 1915 </w:t>
      </w:r>
      <w:r w:rsidR="001F18BF" w:rsidRPr="00405303">
        <w:rPr>
          <w:bCs/>
          <w:color w:val="002060"/>
          <w:sz w:val="16"/>
          <w:szCs w:val="16"/>
        </w:rPr>
        <w:t>г. впервые Лондон</w:t>
      </w:r>
      <w:r w:rsidRPr="00405303">
        <w:rPr>
          <w:bCs/>
          <w:color w:val="002060"/>
          <w:sz w:val="16"/>
          <w:szCs w:val="16"/>
        </w:rPr>
        <w:t xml:space="preserve"> </w:t>
      </w:r>
      <w:r w:rsidR="001F18BF" w:rsidRPr="00405303">
        <w:rPr>
          <w:bCs/>
          <w:color w:val="002060"/>
          <w:sz w:val="16"/>
          <w:szCs w:val="16"/>
        </w:rPr>
        <w:t>б</w:t>
      </w:r>
      <w:r w:rsidRPr="00405303">
        <w:rPr>
          <w:bCs/>
          <w:color w:val="002060"/>
          <w:sz w:val="16"/>
          <w:szCs w:val="16"/>
        </w:rPr>
        <w:t>ыл впервые атакован с воздуха. Один цеппелин добрался до Лондона и сбросил 9 небольших бомб и 30 гранат. Против него было поднято 9 английских самолетов, которые пытались атаковать цеппелин. Один из самолетов был сбит. Потери составили 7 человек убитыми, 35 ранеными. Как писал полковник А. Ролинсон "урон был совершенно ничтожным".</w:t>
      </w:r>
    </w:p>
    <w:p w14:paraId="1C6171C5" w14:textId="77777777" w:rsidR="004B4E35" w:rsidRPr="00405303" w:rsidRDefault="009E6F82" w:rsidP="00C15251">
      <w:pPr>
        <w:jc w:val="both"/>
        <w:rPr>
          <w:bCs/>
          <w:color w:val="002060"/>
          <w:sz w:val="16"/>
          <w:szCs w:val="16"/>
        </w:rPr>
      </w:pPr>
      <w:r w:rsidRPr="00405303">
        <w:rPr>
          <w:bCs/>
          <w:color w:val="002060"/>
          <w:sz w:val="16"/>
          <w:szCs w:val="16"/>
        </w:rPr>
        <w:t>Союзники также не дремали.</w:t>
      </w:r>
    </w:p>
    <w:p w14:paraId="61565D1E" w14:textId="77777777" w:rsidR="004B4E35" w:rsidRPr="00405303" w:rsidRDefault="009E6F82" w:rsidP="00C15251">
      <w:pPr>
        <w:jc w:val="both"/>
        <w:rPr>
          <w:bCs/>
          <w:color w:val="002060"/>
          <w:sz w:val="16"/>
          <w:szCs w:val="16"/>
        </w:rPr>
      </w:pPr>
      <w:r w:rsidRPr="00405303">
        <w:rPr>
          <w:bCs/>
          <w:color w:val="002060"/>
          <w:sz w:val="16"/>
          <w:szCs w:val="16"/>
        </w:rPr>
        <w:t>Гепнер: "Почти все воздушные нападения являлись совершенно неожиданными. Вследствие этого чувство беспокойства и беззащитности населения и в промышленности сильно увеличивалось, звучавшие все громче требования о помощи, исходившие из всех областей западной части государства и в особенности все более возраставшее опасение, что работающая на оборону страны промышленность будет парализована воздушными нападениями, выдвинули в мае 1915 г. вопрос об объединении управления ПВО тыла" (11999).</w:t>
      </w:r>
    </w:p>
    <w:p w14:paraId="493F3DD6" w14:textId="77777777" w:rsidR="004B4E35" w:rsidRPr="00405303" w:rsidRDefault="004B4E35" w:rsidP="00C15251">
      <w:pPr>
        <w:jc w:val="both"/>
        <w:rPr>
          <w:bCs/>
          <w:color w:val="002060"/>
          <w:sz w:val="16"/>
          <w:szCs w:val="16"/>
        </w:rPr>
      </w:pPr>
    </w:p>
    <w:p w14:paraId="08A142CD" w14:textId="77777777" w:rsidR="00CA60CA" w:rsidRPr="00405303" w:rsidRDefault="00CA60CA" w:rsidP="00C15251">
      <w:pPr>
        <w:jc w:val="both"/>
        <w:rPr>
          <w:bCs/>
          <w:color w:val="002060"/>
          <w:sz w:val="16"/>
          <w:szCs w:val="16"/>
        </w:rPr>
      </w:pPr>
      <w:r w:rsidRPr="00405303">
        <w:rPr>
          <w:bCs/>
          <w:color w:val="002060"/>
          <w:sz w:val="16"/>
          <w:szCs w:val="16"/>
        </w:rPr>
        <w:t>18 (31) мая – 19 мая (1 июня) (ночь) 1915 Цеппелин LZ 38 Императорского флота Германии совершает первый воздушный налет на Лондон, в результате чего семь человек погибли и 14 получили ранения (20338).</w:t>
      </w:r>
    </w:p>
    <w:p w14:paraId="2D8C75FC" w14:textId="77777777" w:rsidR="00CA60CA" w:rsidRPr="00405303" w:rsidRDefault="00CA60CA" w:rsidP="00C15251">
      <w:pPr>
        <w:jc w:val="both"/>
        <w:rPr>
          <w:bCs/>
          <w:color w:val="002060"/>
          <w:sz w:val="16"/>
          <w:szCs w:val="16"/>
        </w:rPr>
      </w:pPr>
    </w:p>
    <w:p w14:paraId="16A51CBE" w14:textId="2CFEEC44" w:rsidR="00CA60CA" w:rsidRPr="00405303" w:rsidRDefault="00CA60CA" w:rsidP="00C15251">
      <w:pPr>
        <w:jc w:val="both"/>
        <w:rPr>
          <w:bCs/>
          <w:color w:val="002060"/>
          <w:sz w:val="16"/>
          <w:szCs w:val="16"/>
        </w:rPr>
      </w:pPr>
      <w:r w:rsidRPr="00405303">
        <w:rPr>
          <w:bCs/>
          <w:color w:val="002060"/>
          <w:sz w:val="16"/>
          <w:szCs w:val="16"/>
        </w:rPr>
        <w:t>18 мая (1 июня) 1915</w:t>
      </w:r>
      <w:r w:rsidR="00DB4D64" w:rsidRPr="00405303">
        <w:rPr>
          <w:bCs/>
          <w:color w:val="002060"/>
          <w:sz w:val="16"/>
          <w:szCs w:val="16"/>
        </w:rPr>
        <w:t xml:space="preserve"> </w:t>
      </w:r>
      <w:r w:rsidR="001F18BF" w:rsidRPr="00405303">
        <w:rPr>
          <w:bCs/>
          <w:color w:val="002060"/>
          <w:sz w:val="16"/>
          <w:szCs w:val="16"/>
        </w:rPr>
        <w:t>состоялся</w:t>
      </w:r>
      <w:r w:rsidRPr="00405303">
        <w:rPr>
          <w:bCs/>
          <w:color w:val="002060"/>
          <w:sz w:val="16"/>
          <w:szCs w:val="16"/>
        </w:rPr>
        <w:t xml:space="preserve"> </w:t>
      </w:r>
      <w:r w:rsidR="001F18BF" w:rsidRPr="00405303">
        <w:rPr>
          <w:bCs/>
          <w:color w:val="002060"/>
          <w:sz w:val="16"/>
          <w:szCs w:val="16"/>
        </w:rPr>
        <w:t>п</w:t>
      </w:r>
      <w:r w:rsidRPr="00405303">
        <w:rPr>
          <w:bCs/>
          <w:color w:val="002060"/>
          <w:sz w:val="16"/>
          <w:szCs w:val="16"/>
        </w:rPr>
        <w:t>ервый воздушный налёт на Лондон осуществил цеппелин LZ-38. В ночь на 31 мая на северно-восточную часть британской столицы было сброшено 1360 килограммов бомб. Семь человек было убито, 14 ранено (22475).</w:t>
      </w:r>
    </w:p>
    <w:p w14:paraId="574C6383" w14:textId="77777777" w:rsidR="00CA60CA" w:rsidRPr="00405303" w:rsidRDefault="00CA60CA" w:rsidP="00C15251">
      <w:pPr>
        <w:jc w:val="both"/>
        <w:rPr>
          <w:bCs/>
          <w:color w:val="002060"/>
          <w:sz w:val="16"/>
          <w:szCs w:val="16"/>
        </w:rPr>
      </w:pPr>
    </w:p>
    <w:p w14:paraId="062103E9" w14:textId="3B546EBC" w:rsidR="00CA60CA" w:rsidRPr="00405303" w:rsidRDefault="00CA60CA" w:rsidP="00C15251">
      <w:pPr>
        <w:shd w:val="clear" w:color="auto" w:fill="FFFFFF"/>
        <w:jc w:val="both"/>
        <w:rPr>
          <w:bCs/>
          <w:i/>
          <w:color w:val="002060"/>
          <w:sz w:val="16"/>
          <w:szCs w:val="16"/>
        </w:rPr>
      </w:pPr>
      <w:r w:rsidRPr="00405303">
        <w:rPr>
          <w:bCs/>
          <w:i/>
          <w:color w:val="002060"/>
          <w:sz w:val="16"/>
          <w:szCs w:val="16"/>
        </w:rPr>
        <w:t>Авиация и воздухоплавание Англии:</w:t>
      </w:r>
    </w:p>
    <w:p w14:paraId="3B9FBA71" w14:textId="77777777" w:rsidR="00CA60CA" w:rsidRPr="00405303" w:rsidRDefault="00CA60CA" w:rsidP="00C15251">
      <w:pPr>
        <w:shd w:val="clear" w:color="auto" w:fill="FFFFFF"/>
        <w:jc w:val="both"/>
        <w:rPr>
          <w:bCs/>
          <w:i/>
          <w:color w:val="002060"/>
          <w:sz w:val="16"/>
          <w:szCs w:val="16"/>
        </w:rPr>
      </w:pPr>
    </w:p>
    <w:p w14:paraId="061F25D4" w14:textId="63FBF557" w:rsidR="00CA60CA" w:rsidRPr="00405303" w:rsidRDefault="00CA60CA" w:rsidP="00C15251">
      <w:pPr>
        <w:jc w:val="both"/>
        <w:rPr>
          <w:bCs/>
          <w:color w:val="002060"/>
          <w:sz w:val="16"/>
          <w:szCs w:val="16"/>
        </w:rPr>
      </w:pPr>
      <w:r w:rsidRPr="00405303">
        <w:rPr>
          <w:bCs/>
          <w:color w:val="002060"/>
          <w:sz w:val="16"/>
          <w:szCs w:val="16"/>
        </w:rPr>
        <w:t xml:space="preserve">18 мая (1 июня) 1915 </w:t>
      </w:r>
      <w:r w:rsidR="001F18BF" w:rsidRPr="00405303">
        <w:rPr>
          <w:bCs/>
          <w:color w:val="002060"/>
          <w:sz w:val="16"/>
          <w:szCs w:val="16"/>
        </w:rPr>
        <w:t xml:space="preserve">г. был </w:t>
      </w:r>
      <w:r w:rsidRPr="00405303">
        <w:rPr>
          <w:bCs/>
          <w:color w:val="002060"/>
          <w:sz w:val="16"/>
          <w:szCs w:val="16"/>
        </w:rPr>
        <w:t xml:space="preserve">первый полет </w:t>
      </w:r>
      <w:r w:rsidRPr="00405303">
        <w:rPr>
          <w:bCs/>
          <w:color w:val="002060"/>
          <w:sz w:val="16"/>
          <w:szCs w:val="16"/>
          <w:lang w:val="en-US"/>
        </w:rPr>
        <w:t>Airco</w:t>
      </w:r>
      <w:r w:rsidRPr="00405303">
        <w:rPr>
          <w:bCs/>
          <w:color w:val="002060"/>
          <w:sz w:val="16"/>
          <w:szCs w:val="16"/>
        </w:rPr>
        <w:t xml:space="preserve"> </w:t>
      </w:r>
      <w:r w:rsidRPr="00405303">
        <w:rPr>
          <w:bCs/>
          <w:color w:val="002060"/>
          <w:sz w:val="16"/>
          <w:szCs w:val="16"/>
          <w:lang w:val="en-US"/>
        </w:rPr>
        <w:t>DH</w:t>
      </w:r>
      <w:r w:rsidRPr="00405303">
        <w:rPr>
          <w:bCs/>
          <w:color w:val="002060"/>
          <w:sz w:val="16"/>
          <w:szCs w:val="16"/>
        </w:rPr>
        <w:t>.2 (20338).</w:t>
      </w:r>
    </w:p>
    <w:p w14:paraId="73FAE31F" w14:textId="77777777" w:rsidR="00CA60CA" w:rsidRPr="00405303" w:rsidRDefault="00CA60CA" w:rsidP="00C15251">
      <w:pPr>
        <w:jc w:val="both"/>
        <w:rPr>
          <w:bCs/>
          <w:color w:val="002060"/>
          <w:sz w:val="16"/>
          <w:szCs w:val="16"/>
        </w:rPr>
      </w:pPr>
    </w:p>
    <w:p w14:paraId="02D6FEE6"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0CFD5DA1" w14:textId="77777777" w:rsidR="004B4E35" w:rsidRPr="00405303" w:rsidRDefault="004B4E35" w:rsidP="00C15251">
      <w:pPr>
        <w:jc w:val="both"/>
        <w:rPr>
          <w:bCs/>
          <w:i/>
          <w:color w:val="002060"/>
          <w:sz w:val="16"/>
          <w:szCs w:val="16"/>
        </w:rPr>
      </w:pPr>
    </w:p>
    <w:p w14:paraId="6EFD9313" w14:textId="5B6177CD"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19 мая (1 июня) 1915 г.</w:t>
      </w:r>
      <w:r w:rsidR="001F18BF" w:rsidRPr="00405303">
        <w:rPr>
          <w:bCs/>
          <w:i w:val="0"/>
          <w:color w:val="002060"/>
          <w:spacing w:val="0"/>
          <w:kern w:val="0"/>
          <w:position w:val="0"/>
          <w:sz w:val="16"/>
          <w:szCs w:val="16"/>
        </w:rPr>
        <w:t xml:space="preserve"> был создан Главный продовольственный комитет при Министерстве торговли и промышленности</w:t>
      </w:r>
      <w:r w:rsidRPr="00405303">
        <w:rPr>
          <w:bCs/>
          <w:i w:val="0"/>
          <w:color w:val="002060"/>
          <w:spacing w:val="0"/>
          <w:kern w:val="0"/>
          <w:position w:val="0"/>
          <w:sz w:val="16"/>
          <w:szCs w:val="16"/>
        </w:rPr>
        <w:t xml:space="preserve">, </w:t>
      </w:r>
      <w:r w:rsidR="001F18BF" w:rsidRPr="00405303">
        <w:rPr>
          <w:bCs/>
          <w:i w:val="0"/>
          <w:color w:val="002060"/>
          <w:spacing w:val="0"/>
          <w:kern w:val="0"/>
          <w:position w:val="0"/>
          <w:sz w:val="16"/>
          <w:szCs w:val="16"/>
        </w:rPr>
        <w:t xml:space="preserve">а затем и </w:t>
      </w:r>
      <w:r w:rsidRPr="00405303">
        <w:rPr>
          <w:bCs/>
          <w:i w:val="0"/>
          <w:color w:val="002060"/>
          <w:spacing w:val="0"/>
          <w:kern w:val="0"/>
          <w:position w:val="0"/>
          <w:sz w:val="16"/>
          <w:szCs w:val="16"/>
        </w:rPr>
        <w:t xml:space="preserve">Комитет по перевозкам и др. Эти комитеты в основном занимались вопросами распределения, снабжения и перевозок. Работа их сопровождалась чудовищной волокитой, взяточничеством и вела лишь к усилению спекуляции. В тот же период возникает ряд органов военного снабжения, часто совершенно параллельными функциями, дублирующих деятельность правительственных комитетов и совещаний. После поражения на Галицийском фронте весной 1915 г. катастрофа с производством вооружения и со снабжением им армии обнаружилась со всей силой. Стала ясна необходимость создания централизованных государственных органов, ответственных не только за распределение и снабжение армии всеми необходимыми предметами снаряжения и вооружения, но и за всю постановку промышленного производства. По инициативе военного министра Поливанова после шумных дебатов в Государственной Думе было решено образовать четыре </w:t>
      </w:r>
      <w:r w:rsidRPr="00405303">
        <w:rPr>
          <w:bCs/>
          <w:color w:val="002060"/>
          <w:spacing w:val="0"/>
          <w:kern w:val="0"/>
          <w:position w:val="0"/>
          <w:sz w:val="16"/>
          <w:szCs w:val="16"/>
        </w:rPr>
        <w:t>Особых совещания</w:t>
      </w:r>
      <w:r w:rsidRPr="00405303">
        <w:rPr>
          <w:bCs/>
          <w:i w:val="0"/>
          <w:color w:val="002060"/>
          <w:spacing w:val="0"/>
          <w:kern w:val="0"/>
          <w:position w:val="0"/>
          <w:sz w:val="16"/>
          <w:szCs w:val="16"/>
        </w:rPr>
        <w:t>: по обороне, топливу, перевозкам, продовольствию.</w:t>
      </w:r>
    </w:p>
    <w:p w14:paraId="1100297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Главную роль среди них играло Особое совещание по обороне, призванное осуществлять высший надзор за деятельностью всех государственных и частных промышленных предприятий, снабжавших армию и флот; содействовать организации новых заводов, распределять заказы и контролировать их исполнение. Совещание имело право требовать от всех предприятий принятия военных заказов и представления ими всяких сведений, характеризующих их деятельность; производить осмотр предприятий и проверять торговые книги и документы, удостоверяющие количество наличного оборудования, материалов и изделий; назначать и смещать в случае надобности членов правлений, директоров и управляющих как казенных, так и частных заводов.</w:t>
      </w:r>
    </w:p>
    <w:p w14:paraId="4E43A89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каждое из совещаний должны были входить несколько членов Государственной думы и Государственного совета (в совещание по обороне входил председатель Думы), представители ведомств в преобладающем числе, небольшое число особо приглашаемых представителей общественных организаций. Всего около 40 человек — и почти все являлись представителями ведомств.</w:t>
      </w:r>
    </w:p>
    <w:p w14:paraId="14A7E4C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Во главе Совещаний стоял военный министр — как председатель Особого совещания по обороне. Ему было предоставлено право контролировать деятельность других особых совещаний. Он имел право приостанавливать все распоряжения председателей других особых совещаний. Председатель мог закрывать предприятия, не выполнявшие казенные заказы; требовать выполнения заказов казны ранее других; секвестировать частные предприятия и назначать для управления ими уполномоченных. В случае необходимости он мог устранять от службы и смещать директоров, управляющих, советы предприятий, работающих на оборону, назначать во главу предприятий новых лиц, регулировать заработную плату.</w:t>
      </w:r>
    </w:p>
    <w:p w14:paraId="08006F0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Представителями председателя особого совещания по обороне на местах являлись районные уполномоченные, действовавшие в крупных промышленных центрах. При районных уполномоченных были образованы заводские совещания, в состав которых входили представители ведомств военного, морского, торговли и промышленности, путей сообщения и земледелия, а также представители местных организаций. С помощью заводских совещаний Особое совещание по обороне должно было контролировать выполнение военных заказов на огромном количестве промышленных предприятий.</w:t>
      </w:r>
    </w:p>
    <w:p w14:paraId="13B1078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1916 г. под их контролем находилось 4872 предприятия. Процесс организационного оформления Особого совещания по обороне продолжался до начала 1916 г. В этот период были созданы следующие комиссии Совещания: подготовительная по общим вопросам; подготовительная по артиллерийским вопросам; наблюдательная; эвакуационная.</w:t>
      </w:r>
    </w:p>
    <w:p w14:paraId="0979F28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Были созданы также комиссии: реквизиционная, по пересмотру норм медицинского и санитарного снабжения армии, по учету и распределению иностранной валюты. Тогда же возникли: Комитет по делам металлургической промышленности, Русский заготовительный комитет в Америке, Русский правительственный комитет в Лондоне и Статистическое бюро при Особом совещании (11270).</w:t>
      </w:r>
    </w:p>
    <w:p w14:paraId="2658DE09" w14:textId="77777777" w:rsidR="004B4E35" w:rsidRPr="00405303" w:rsidRDefault="004B4E35" w:rsidP="00C15251">
      <w:pPr>
        <w:pStyle w:val="a3"/>
        <w:jc w:val="both"/>
        <w:rPr>
          <w:bCs/>
          <w:i w:val="0"/>
          <w:color w:val="002060"/>
          <w:spacing w:val="0"/>
          <w:kern w:val="0"/>
          <w:position w:val="0"/>
          <w:sz w:val="16"/>
          <w:szCs w:val="16"/>
        </w:rPr>
      </w:pPr>
    </w:p>
    <w:p w14:paraId="3A4AC853"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61F3F5D0" w14:textId="77777777" w:rsidR="004B4E35" w:rsidRPr="00405303" w:rsidRDefault="004B4E35" w:rsidP="00C15251">
      <w:pPr>
        <w:jc w:val="both"/>
        <w:rPr>
          <w:bCs/>
          <w:i/>
          <w:color w:val="002060"/>
          <w:sz w:val="16"/>
          <w:szCs w:val="16"/>
        </w:rPr>
      </w:pPr>
    </w:p>
    <w:p w14:paraId="672A0859" w14:textId="453DE9B6" w:rsidR="004B4E35" w:rsidRPr="00405303" w:rsidRDefault="009E6F82" w:rsidP="00C15251">
      <w:pPr>
        <w:shd w:val="clear" w:color="auto" w:fill="FFFFFF"/>
        <w:jc w:val="both"/>
        <w:rPr>
          <w:bCs/>
          <w:color w:val="002060"/>
          <w:sz w:val="16"/>
          <w:szCs w:val="16"/>
        </w:rPr>
      </w:pPr>
      <w:r w:rsidRPr="00405303">
        <w:rPr>
          <w:bCs/>
          <w:color w:val="002060"/>
          <w:sz w:val="16"/>
          <w:szCs w:val="16"/>
        </w:rPr>
        <w:t>19 мая (1 июня) 1915 Русские войска оставили Перемышль, взятый ими 9 марта. На основании данных агентурной разведки командующий 8-й армией отдал приказ об оставлении крепости в ночь на 7 мая. Начальник 8 КАО на основании данных воздушной разведки опроверг данные агентурной разведки, в результате чего последовал новый приказ о задержке эвакуации до особого распоряжения. Благодаря воздушной разведке эвакуация Перемышля была задержана на 18 дней, что способствовало более планомерной перегруппировке на</w:t>
      </w:r>
      <w:r w:rsidRPr="00405303">
        <w:rPr>
          <w:bCs/>
          <w:color w:val="002060"/>
          <w:sz w:val="16"/>
          <w:szCs w:val="16"/>
        </w:rPr>
        <w:softHyphen/>
        <w:t>ших войск. Это был первый случай отмены боевого приказа на осно</w:t>
      </w:r>
      <w:r w:rsidRPr="00405303">
        <w:rPr>
          <w:bCs/>
          <w:color w:val="002060"/>
          <w:sz w:val="16"/>
          <w:szCs w:val="16"/>
        </w:rPr>
        <w:softHyphen/>
        <w:t>вании данных воздушной разведки (Рапорт начальника 8 КАО от 18 мая 1915 г. заведующему авиацией Действующей Армии).</w:t>
      </w:r>
    </w:p>
    <w:p w14:paraId="528F2BBA" w14:textId="77777777" w:rsidR="004B4E35" w:rsidRPr="00405303" w:rsidRDefault="004B4E35" w:rsidP="00C15251">
      <w:pPr>
        <w:shd w:val="clear" w:color="auto" w:fill="FFFFFF"/>
        <w:jc w:val="both"/>
        <w:rPr>
          <w:bCs/>
          <w:color w:val="002060"/>
          <w:sz w:val="16"/>
          <w:szCs w:val="16"/>
        </w:rPr>
      </w:pPr>
    </w:p>
    <w:p w14:paraId="6930223A" w14:textId="607E676E" w:rsidR="00BC765D" w:rsidRPr="00405303" w:rsidRDefault="00BC765D" w:rsidP="00C15251">
      <w:pPr>
        <w:jc w:val="both"/>
        <w:rPr>
          <w:bCs/>
          <w:color w:val="002060"/>
          <w:sz w:val="16"/>
          <w:szCs w:val="16"/>
        </w:rPr>
      </w:pPr>
      <w:r w:rsidRPr="00405303">
        <w:rPr>
          <w:bCs/>
          <w:color w:val="002060"/>
          <w:sz w:val="16"/>
          <w:szCs w:val="16"/>
        </w:rPr>
        <w:t>19 мая (1 июня) 1915 г. наши войска оставили Перемышль, взятый ими 9-го марта. На основании данных агентурной разведки командующий 8-й армией отдал приказ об оставлении крепости в ночь на 7-е мая. Начальник 8 КАО на основании данных воздушной разведки опроверг данные агентурной разведки, в результате чего последовал новый приказ о за</w:t>
      </w:r>
      <w:r w:rsidRPr="00405303">
        <w:rPr>
          <w:bCs/>
          <w:color w:val="002060"/>
          <w:sz w:val="16"/>
          <w:szCs w:val="16"/>
        </w:rPr>
        <w:softHyphen/>
        <w:t>держке эвакуации до особого распоряжения. Благодаря воздушной раз</w:t>
      </w:r>
      <w:r w:rsidRPr="00405303">
        <w:rPr>
          <w:bCs/>
          <w:color w:val="002060"/>
          <w:sz w:val="16"/>
          <w:szCs w:val="16"/>
        </w:rPr>
        <w:softHyphen/>
        <w:t>ведке эвакуация Перемышля была задержана на 13 дней, что способст</w:t>
      </w:r>
      <w:r w:rsidRPr="00405303">
        <w:rPr>
          <w:bCs/>
          <w:color w:val="002060"/>
          <w:sz w:val="16"/>
          <w:szCs w:val="16"/>
        </w:rPr>
        <w:softHyphen/>
        <w:t>вовало более планомерной перегруппировке наших войск. Это был пер</w:t>
      </w:r>
      <w:r w:rsidRPr="00405303">
        <w:rPr>
          <w:bCs/>
          <w:color w:val="002060"/>
          <w:sz w:val="16"/>
          <w:szCs w:val="16"/>
        </w:rPr>
        <w:softHyphen/>
        <w:t>вый случай отмены боевого приказа на основании данных воздушной разведки.</w:t>
      </w:r>
    </w:p>
    <w:p w14:paraId="769DFADC" w14:textId="77777777" w:rsidR="00BC765D" w:rsidRPr="00405303" w:rsidRDefault="00BC765D" w:rsidP="00C15251">
      <w:pPr>
        <w:jc w:val="both"/>
        <w:rPr>
          <w:bCs/>
          <w:color w:val="002060"/>
          <w:sz w:val="16"/>
          <w:szCs w:val="16"/>
        </w:rPr>
      </w:pPr>
      <w:r w:rsidRPr="00405303">
        <w:rPr>
          <w:bCs/>
          <w:color w:val="002060"/>
          <w:sz w:val="16"/>
          <w:szCs w:val="16"/>
        </w:rPr>
        <w:t>/Рапорт н-ка 8 КАО от 18 мая 1915 г. заведующему авиацией ДА/ (23320).</w:t>
      </w:r>
    </w:p>
    <w:p w14:paraId="25ADCA6D" w14:textId="77777777" w:rsidR="00BC765D" w:rsidRPr="00405303" w:rsidRDefault="00BC765D" w:rsidP="00C15251">
      <w:pPr>
        <w:jc w:val="both"/>
        <w:rPr>
          <w:bCs/>
          <w:color w:val="002060"/>
          <w:sz w:val="16"/>
          <w:szCs w:val="16"/>
        </w:rPr>
      </w:pPr>
    </w:p>
    <w:p w14:paraId="598D5FE7" w14:textId="77777777" w:rsidR="00D340DA" w:rsidRPr="00405303" w:rsidRDefault="00D340DA" w:rsidP="00C15251">
      <w:pPr>
        <w:jc w:val="both"/>
        <w:rPr>
          <w:bCs/>
          <w:i/>
          <w:color w:val="002060"/>
          <w:sz w:val="16"/>
          <w:szCs w:val="16"/>
        </w:rPr>
      </w:pPr>
      <w:r w:rsidRPr="00405303">
        <w:rPr>
          <w:bCs/>
          <w:i/>
          <w:color w:val="002060"/>
          <w:sz w:val="16"/>
          <w:szCs w:val="16"/>
        </w:rPr>
        <w:t>Авиация и воздухоплавание Германии:</w:t>
      </w:r>
    </w:p>
    <w:p w14:paraId="1FA4F8E3" w14:textId="77777777" w:rsidR="00D340DA" w:rsidRPr="00405303" w:rsidRDefault="00D340DA" w:rsidP="00C15251">
      <w:pPr>
        <w:jc w:val="both"/>
        <w:rPr>
          <w:bCs/>
          <w:i/>
          <w:color w:val="002060"/>
          <w:sz w:val="16"/>
          <w:szCs w:val="16"/>
        </w:rPr>
      </w:pPr>
    </w:p>
    <w:p w14:paraId="16ECD962" w14:textId="77777777" w:rsidR="00D340DA" w:rsidRPr="00405303" w:rsidRDefault="00D340DA" w:rsidP="00C15251">
      <w:pPr>
        <w:jc w:val="both"/>
        <w:rPr>
          <w:bCs/>
          <w:color w:val="002060"/>
          <w:sz w:val="16"/>
          <w:szCs w:val="16"/>
        </w:rPr>
      </w:pPr>
      <w:r w:rsidRPr="00405303">
        <w:rPr>
          <w:bCs/>
          <w:color w:val="002060"/>
          <w:sz w:val="16"/>
          <w:szCs w:val="16"/>
        </w:rPr>
        <w:t xml:space="preserve">19 мая (1 июня) в 1915 году ночью на 1 июня Лондон впервые подвергся бомбардировке. В налете участвовали два армейских дирижабля: LZ37 повернул обратно, пройдя над побережьем, а LZ38 (командир гауптман Линнарц) в 23:20 вышел на цель. На северо-восточную часть города упали 30 небольших фугасных бомб и 90 </w:t>
      </w:r>
      <w:r w:rsidRPr="00405303">
        <w:rPr>
          <w:bCs/>
          <w:color w:val="002060"/>
          <w:sz w:val="16"/>
          <w:szCs w:val="16"/>
        </w:rPr>
        <w:lastRenderedPageBreak/>
        <w:t>"зажигалок" общим весом 1360 кг. 7 человек погибли, 35 получили ранения, ущерб составил 18596 фунтов стерлингов. На перехват поднимались 15 самолетов, 2 из них разбились на посадке, что увеличило потери той ночи на 1 убитого и 1 раненого. Еще одним результатом налета стали начавшиеся утром беспорядки в Ист-Энде - толпа громила магазины и пабы с "немецкими" именами на вывесках."</w:t>
      </w:r>
    </w:p>
    <w:p w14:paraId="175C51EE" w14:textId="77777777" w:rsidR="00D340DA" w:rsidRPr="00405303" w:rsidRDefault="00D340DA" w:rsidP="00C15251">
      <w:pPr>
        <w:jc w:val="both"/>
        <w:rPr>
          <w:bCs/>
          <w:color w:val="002060"/>
          <w:sz w:val="16"/>
          <w:szCs w:val="16"/>
        </w:rPr>
      </w:pPr>
    </w:p>
    <w:p w14:paraId="4BBFDC52"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за рубежом:</w:t>
      </w:r>
    </w:p>
    <w:p w14:paraId="1A740CDC" w14:textId="77777777" w:rsidR="004B4E35" w:rsidRPr="00405303" w:rsidRDefault="004B4E35" w:rsidP="00C15251">
      <w:pPr>
        <w:shd w:val="clear" w:color="auto" w:fill="FFFFFF"/>
        <w:jc w:val="both"/>
        <w:rPr>
          <w:bCs/>
          <w:i/>
          <w:color w:val="002060"/>
          <w:sz w:val="16"/>
          <w:szCs w:val="16"/>
        </w:rPr>
      </w:pPr>
    </w:p>
    <w:p w14:paraId="52BFB77C" w14:textId="2BD984E9" w:rsidR="004B4E35" w:rsidRPr="00405303" w:rsidRDefault="009E6F82" w:rsidP="00C15251">
      <w:pPr>
        <w:jc w:val="both"/>
        <w:rPr>
          <w:bCs/>
          <w:color w:val="002060"/>
          <w:sz w:val="16"/>
          <w:szCs w:val="16"/>
        </w:rPr>
      </w:pPr>
      <w:r w:rsidRPr="00405303">
        <w:rPr>
          <w:bCs/>
          <w:color w:val="002060"/>
          <w:sz w:val="16"/>
          <w:szCs w:val="16"/>
        </w:rPr>
        <w:t xml:space="preserve">19 и 24 мая (1 и 5 июня) </w:t>
      </w:r>
      <w:r w:rsidR="001F18BF" w:rsidRPr="00405303">
        <w:rPr>
          <w:bCs/>
          <w:color w:val="002060"/>
          <w:sz w:val="16"/>
          <w:szCs w:val="16"/>
        </w:rPr>
        <w:t>1915 г. австрийская авиация в ответ на атаки итальянских дирижа</w:t>
      </w:r>
      <w:r w:rsidRPr="00405303">
        <w:rPr>
          <w:bCs/>
          <w:color w:val="002060"/>
          <w:sz w:val="16"/>
          <w:szCs w:val="16"/>
        </w:rPr>
        <w:t>бомбила эллинг в Кампальто (11324).</w:t>
      </w:r>
    </w:p>
    <w:p w14:paraId="1FEEFDAB" w14:textId="77777777" w:rsidR="004B4E35" w:rsidRPr="00405303" w:rsidRDefault="004B4E35" w:rsidP="00C15251">
      <w:pPr>
        <w:shd w:val="clear" w:color="auto" w:fill="FFFFFF"/>
        <w:jc w:val="both"/>
        <w:rPr>
          <w:bCs/>
          <w:i/>
          <w:color w:val="002060"/>
          <w:sz w:val="16"/>
          <w:szCs w:val="16"/>
        </w:rPr>
      </w:pPr>
    </w:p>
    <w:p w14:paraId="1B65E68E" w14:textId="77777777" w:rsidR="00033DBF" w:rsidRPr="00405303" w:rsidRDefault="00033DBF" w:rsidP="00C15251">
      <w:pPr>
        <w:jc w:val="both"/>
        <w:rPr>
          <w:bCs/>
          <w:color w:val="002060"/>
          <w:sz w:val="16"/>
          <w:szCs w:val="16"/>
        </w:rPr>
      </w:pPr>
      <w:r w:rsidRPr="00405303">
        <w:rPr>
          <w:bCs/>
          <w:color w:val="002060"/>
          <w:sz w:val="16"/>
          <w:szCs w:val="16"/>
        </w:rPr>
        <w:t>19 мая (1 июня) 1915 Министерство военно-морского флота США заключает контракт на поставку дирижабля класса DN-1 компании Connecticut Aircraft Company (29338).</w:t>
      </w:r>
    </w:p>
    <w:p w14:paraId="2F4AA2EA" w14:textId="77777777" w:rsidR="00033DBF" w:rsidRPr="00405303" w:rsidRDefault="00033DBF" w:rsidP="00C15251">
      <w:pPr>
        <w:jc w:val="both"/>
        <w:rPr>
          <w:bCs/>
          <w:color w:val="002060"/>
          <w:sz w:val="16"/>
          <w:szCs w:val="16"/>
        </w:rPr>
      </w:pPr>
    </w:p>
    <w:p w14:paraId="2E8658FF"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7310FA3D" w14:textId="77777777" w:rsidR="004B4E35" w:rsidRPr="00405303" w:rsidRDefault="004B4E35" w:rsidP="00C15251">
      <w:pPr>
        <w:jc w:val="both"/>
        <w:rPr>
          <w:bCs/>
          <w:i/>
          <w:color w:val="002060"/>
          <w:sz w:val="16"/>
          <w:szCs w:val="16"/>
        </w:rPr>
      </w:pPr>
    </w:p>
    <w:p w14:paraId="3C885810" w14:textId="0EE0157A" w:rsidR="004B4E35" w:rsidRPr="00405303" w:rsidRDefault="009E6F82" w:rsidP="00C15251">
      <w:pPr>
        <w:jc w:val="both"/>
        <w:rPr>
          <w:bCs/>
          <w:color w:val="002060"/>
          <w:sz w:val="16"/>
          <w:szCs w:val="16"/>
        </w:rPr>
      </w:pPr>
      <w:r w:rsidRPr="00405303">
        <w:rPr>
          <w:bCs/>
          <w:color w:val="002060"/>
          <w:sz w:val="16"/>
          <w:szCs w:val="16"/>
        </w:rPr>
        <w:t xml:space="preserve">20 мая (2 июня) </w:t>
      </w:r>
      <w:r w:rsidR="00C727D4" w:rsidRPr="00405303">
        <w:rPr>
          <w:bCs/>
          <w:color w:val="002060"/>
          <w:sz w:val="16"/>
          <w:szCs w:val="16"/>
        </w:rPr>
        <w:t xml:space="preserve">1915 </w:t>
      </w:r>
      <w:proofErr w:type="gramStart"/>
      <w:r w:rsidR="00C727D4" w:rsidRPr="00405303">
        <w:rPr>
          <w:bCs/>
          <w:color w:val="002060"/>
          <w:sz w:val="16"/>
          <w:szCs w:val="16"/>
        </w:rPr>
        <w:t>г., после того, как</w:t>
      </w:r>
      <w:proofErr w:type="gramEnd"/>
      <w:r w:rsidR="00C727D4" w:rsidRPr="00405303">
        <w:rPr>
          <w:bCs/>
          <w:color w:val="002060"/>
          <w:sz w:val="16"/>
          <w:szCs w:val="16"/>
        </w:rPr>
        <w:t xml:space="preserve"> 15 мая 1915 г. было получено решение о реквизиции, </w:t>
      </w:r>
      <w:r w:rsidRPr="00405303">
        <w:rPr>
          <w:bCs/>
          <w:color w:val="002060"/>
          <w:sz w:val="16"/>
          <w:szCs w:val="16"/>
        </w:rPr>
        <w:t>приступили к переоборудованию старых и возведению новых зданий и специальных сооружений</w:t>
      </w:r>
      <w:r w:rsidR="00C727D4" w:rsidRPr="00405303">
        <w:rPr>
          <w:bCs/>
          <w:color w:val="002060"/>
          <w:sz w:val="16"/>
          <w:szCs w:val="16"/>
        </w:rPr>
        <w:t xml:space="preserve"> на реквизированной красочной фабрики немецкой фирмы «Фридрих Байер и Ко» в Москве</w:t>
      </w:r>
      <w:r w:rsidRPr="00405303">
        <w:rPr>
          <w:bCs/>
          <w:color w:val="002060"/>
          <w:sz w:val="16"/>
          <w:szCs w:val="16"/>
        </w:rPr>
        <w:t>, в том числе и на арендованной по соседству земле дворцового ведомства. Завод был рассчитан на ежедневное снаряжение 6-7 тыс. гранат. В ходе начавшейся стройки стала очевидна необходимость сооружения второго предприятия. Второву было предложено еще до увеличения заказов на свой страх и риск оборудовать его из расчета 18 тыс. гранат в день. Закладка нового завода состоялась в день окончания сооружения первого - 28 июня 1915 г. Он был построен через четыре месяца. Второвым с середины 1916 г. строился также снарядный завод в Богородске Московской губернии. В октябре 1916 г. общая производительность новых заводов превысила проектную мощность и составила более 1 млн. гранат в месяц [История организации... Ванкова. С. 87.].</w:t>
      </w:r>
    </w:p>
    <w:p w14:paraId="55A7279E" w14:textId="77777777" w:rsidR="004B4E35" w:rsidRPr="00405303" w:rsidRDefault="009E6F82" w:rsidP="00C15251">
      <w:pPr>
        <w:jc w:val="both"/>
        <w:rPr>
          <w:bCs/>
          <w:color w:val="002060"/>
          <w:sz w:val="16"/>
          <w:szCs w:val="16"/>
        </w:rPr>
      </w:pPr>
      <w:r w:rsidRPr="00405303">
        <w:rPr>
          <w:bCs/>
          <w:color w:val="002060"/>
          <w:sz w:val="16"/>
          <w:szCs w:val="16"/>
        </w:rPr>
        <w:t>В системе крупных промышленных предприятий Организации Ванкова, появившихся в годы Первой мировой войны, можно назвать отлично оборудованный Конотопский снарядный завод, построенный по инициативе М.И. Терещенко, и оснащенный прекрасными станками, Демиевский снарядный завод, устроенный по инициативе члена Государственной думы В.Я. Демченко в помещении казенного винного склада [Там же. С. 163.].</w:t>
      </w:r>
    </w:p>
    <w:p w14:paraId="08A7AF05" w14:textId="77777777" w:rsidR="004B4E35" w:rsidRPr="00405303" w:rsidRDefault="009E6F82" w:rsidP="00C15251">
      <w:pPr>
        <w:jc w:val="both"/>
        <w:rPr>
          <w:bCs/>
          <w:color w:val="002060"/>
          <w:sz w:val="16"/>
          <w:szCs w:val="16"/>
        </w:rPr>
      </w:pPr>
      <w:r w:rsidRPr="00405303">
        <w:rPr>
          <w:bCs/>
          <w:color w:val="002060"/>
          <w:sz w:val="16"/>
          <w:szCs w:val="16"/>
        </w:rPr>
        <w:t xml:space="preserve">Деятельность Организации Ванкова на территории губерний Центрально-черноземной области, Среднего Поволжья привела к значительному росту численности промышленных предприятий и формированию кадров фабрично-заводских рабочих в этих регионах. </w:t>
      </w:r>
    </w:p>
    <w:p w14:paraId="23F20565" w14:textId="77777777" w:rsidR="004B4E35" w:rsidRPr="00405303" w:rsidRDefault="009E6F82" w:rsidP="00C15251">
      <w:pPr>
        <w:jc w:val="both"/>
        <w:rPr>
          <w:bCs/>
          <w:color w:val="002060"/>
          <w:sz w:val="16"/>
          <w:szCs w:val="16"/>
        </w:rPr>
      </w:pPr>
      <w:r w:rsidRPr="00405303">
        <w:rPr>
          <w:bCs/>
          <w:color w:val="002060"/>
          <w:sz w:val="16"/>
          <w:szCs w:val="16"/>
        </w:rPr>
        <w:t>Поскольку обе рассмотренные организации были созданы при ГАУ, то нельзя не сказать о записке начальника ГАУ генерал-лейтенанта А.А. Маниковского, поступившей в Особое совещание по обороне в октябре 1916 г. [РГВИА. Ф. 369. Оп. 3. Д. 119. В деле типографский экземпляр записки, принадлежавший Е.З. Барсукову. Там же ряд приложений к документу. Подробнее см.: Сидоров А.Л. К вопросу о строительстве казенных заводов в России в годы первой мировой войны // ИЗ. Т. 54. М., 1955; Поликарпов В.В. О так называемой «программе Маниковского» 1916 года // ИЗ. Т. 109. М., 1983.] Маниковский видел задачу заводского строительства в создании мощной отечественной промышленности с целью ликвидации зависимости России от других стран в сфере промышленного производства. Им особо оговаривалось значение послевоенных перспектив развития российской индустрии. Маниковский подчеркивал, что после войны конкуренция и экономическая борьба между странами возрастет, и делал такой вывод: «Если мы не будем готовы к ней [конкуренции - С.В.], то могучая техника, и наших друзей, и наших врагов, раздавит нашу все еще слабую технику».</w:t>
      </w:r>
    </w:p>
    <w:p w14:paraId="16C5BE79" w14:textId="77777777" w:rsidR="004B4E35" w:rsidRPr="00405303" w:rsidRDefault="009E6F82" w:rsidP="00C15251">
      <w:pPr>
        <w:jc w:val="both"/>
        <w:rPr>
          <w:bCs/>
          <w:color w:val="002060"/>
          <w:sz w:val="16"/>
          <w:szCs w:val="16"/>
        </w:rPr>
      </w:pPr>
      <w:r w:rsidRPr="00405303">
        <w:rPr>
          <w:bCs/>
          <w:color w:val="002060"/>
          <w:sz w:val="16"/>
          <w:szCs w:val="16"/>
        </w:rPr>
        <w:t xml:space="preserve">С точки зрения производственно-отраслевой ориентация программа была весьма ограничена. Ее автор рекомендовал сооружение в основном военных предприятий, прежде всего, артиллерийского вооружения и ряда химических заводов. В программе совершенно отсутствовали заводы новейших производств и весьма скупо были указаны объекты в базовых отраслях тяжелой промышленности. Маниковский предлагал сооружение сталелитейного завода на территории Области Войска Донского, алюминиевого на Азовско-Черноморском побережье и станкостроительного в Туле. Программа была сугубо прагматической, нацеленной на некоторое улучшение вооружения войск в условиях данной войны. Более общее значение имела идея создания в каждом отдельном производстве самостоятельной группы предприятий, ядром которой был казенный завод, но которая включала бы и частные заведения. Маниковский считал необходимым построить в первую очередь 37 казенных заводов, как технически более сильных, а главное более выгодных для казны, поставляющих продукцию по более низким ценам. </w:t>
      </w:r>
    </w:p>
    <w:p w14:paraId="3B28E613" w14:textId="77777777" w:rsidR="004B4E35" w:rsidRPr="00405303" w:rsidRDefault="009E6F82" w:rsidP="00C15251">
      <w:pPr>
        <w:jc w:val="both"/>
        <w:rPr>
          <w:bCs/>
          <w:color w:val="002060"/>
          <w:sz w:val="16"/>
          <w:szCs w:val="16"/>
        </w:rPr>
      </w:pPr>
      <w:r w:rsidRPr="00405303">
        <w:rPr>
          <w:bCs/>
          <w:color w:val="002060"/>
          <w:sz w:val="16"/>
          <w:szCs w:val="16"/>
        </w:rPr>
        <w:t>Уже в момент обсуждения программы значительное число заводов были начаты постройкой. По данным конца 1916 г. насчитывалось 16 построенных предприятий и 21 сооружавшееся. Это явилось практически удвоением общего числа казенных заведений, которые подчинялись ГАУ до войны. Наибольшее количество новых заводов (18) приходилось на пороховые, химические предприятия, заводы и мастерские взрывчатых веществ. Значительное число (13) заведений возникло в системе снарядного, трубочного, снаряжательного производств, заводов взрывателей. В системе других оборонных предприятий новые заводы были единичны и, как правило, еще строились: Саратовский орудийный, новый Тульский оружейный, пулеметный в Коврове (строительство вел Датский ружейный синдикат), 3-й патронный в Симбирске [РГВИА. Ф. 369. Оп. 3. Д. 119. Л. 1об., 5, 67, 71.] (11863).</w:t>
      </w:r>
    </w:p>
    <w:p w14:paraId="2B0F30A2" w14:textId="77777777" w:rsidR="004B4E35" w:rsidRPr="00405303" w:rsidRDefault="004B4E35" w:rsidP="00C15251">
      <w:pPr>
        <w:jc w:val="both"/>
        <w:rPr>
          <w:bCs/>
          <w:color w:val="002060"/>
          <w:sz w:val="16"/>
          <w:szCs w:val="16"/>
        </w:rPr>
      </w:pPr>
    </w:p>
    <w:p w14:paraId="00C98681" w14:textId="1B040CF9" w:rsidR="004B4E35" w:rsidRPr="00405303" w:rsidRDefault="009E6F82" w:rsidP="00C15251">
      <w:pPr>
        <w:jc w:val="both"/>
        <w:rPr>
          <w:bCs/>
          <w:color w:val="002060"/>
          <w:sz w:val="16"/>
          <w:szCs w:val="16"/>
        </w:rPr>
      </w:pPr>
      <w:r w:rsidRPr="00405303">
        <w:rPr>
          <w:bCs/>
          <w:color w:val="002060"/>
          <w:sz w:val="16"/>
          <w:szCs w:val="16"/>
        </w:rPr>
        <w:t xml:space="preserve">20 мая </w:t>
      </w:r>
      <w:r w:rsidR="00C727D4" w:rsidRPr="00405303">
        <w:rPr>
          <w:bCs/>
          <w:color w:val="002060"/>
          <w:sz w:val="16"/>
          <w:szCs w:val="16"/>
        </w:rPr>
        <w:t xml:space="preserve">(2 июня) </w:t>
      </w:r>
      <w:r w:rsidRPr="00405303">
        <w:rPr>
          <w:bCs/>
          <w:color w:val="002060"/>
          <w:sz w:val="16"/>
          <w:szCs w:val="16"/>
        </w:rPr>
        <w:t>1915</w:t>
      </w:r>
      <w:r w:rsidR="00C727D4" w:rsidRPr="00405303">
        <w:rPr>
          <w:bCs/>
          <w:color w:val="002060"/>
          <w:sz w:val="16"/>
          <w:szCs w:val="16"/>
        </w:rPr>
        <w:t xml:space="preserve"> </w:t>
      </w:r>
      <w:r w:rsidRPr="00405303">
        <w:rPr>
          <w:bCs/>
          <w:color w:val="002060"/>
          <w:sz w:val="16"/>
          <w:szCs w:val="16"/>
        </w:rPr>
        <w:t>г. по инициативе уполномеченного ГАУ генерала С. Ванкова промышленником Н.А. Второвым начато строительство снаряжательного завода в Лужниках по снаряжению 3-х дюймовых гранат французского образца. Строительство завода велось на базе немецкой фабрики анилиновых красок «Фр. Байер и К</w:t>
      </w:r>
      <w:r w:rsidRPr="00405303">
        <w:rPr>
          <w:bCs/>
          <w:color w:val="002060"/>
          <w:sz w:val="16"/>
          <w:szCs w:val="16"/>
          <w:vertAlign w:val="superscript"/>
        </w:rPr>
        <w:t>0</w:t>
      </w:r>
      <w:r w:rsidRPr="00405303">
        <w:rPr>
          <w:bCs/>
          <w:color w:val="002060"/>
          <w:sz w:val="16"/>
          <w:szCs w:val="16"/>
        </w:rPr>
        <w:t>», реквизированной в 05.1915 г. Завод «А» был построен за 38 дней и начал работу 28.06.1915г. Сразу после этого на прилегающей территории было начато строительство еще одного снаряжательного завода «О», который вступил в строй в 10.1915г. Мощность заводов составляла 12 и 16 тыс. снарядов в сутки соответственно, затем общая мощность была доведена до 40 тыс. Уже 10.07.1915г. завод получил заказ на снаряжение 1,6 млн. снарядов, а всего по 1917г. были выданы заказы на 17 млн. снарядов. В 12.1915г. было начато строительство специального корпуса для снаряжения химических боеприпасов. Мощность этого производства составляла до 2500 снарядов в сутки. В конце 1916г. освоено снаряжение в небольших количествах 122-мм и 155-мм снарядов.</w:t>
      </w:r>
    </w:p>
    <w:p w14:paraId="4E39B98F" w14:textId="77777777" w:rsidR="004B4E35" w:rsidRPr="00405303" w:rsidRDefault="009E6F82" w:rsidP="00C15251">
      <w:pPr>
        <w:jc w:val="both"/>
        <w:rPr>
          <w:bCs/>
          <w:color w:val="002060"/>
          <w:sz w:val="16"/>
          <w:szCs w:val="16"/>
        </w:rPr>
      </w:pPr>
      <w:r w:rsidRPr="00405303">
        <w:rPr>
          <w:bCs/>
          <w:color w:val="002060"/>
          <w:sz w:val="16"/>
          <w:szCs w:val="16"/>
        </w:rPr>
        <w:t>В 1915г. было снаряжено лишь 52,4 тыс. снарядов; в 1916г. - 7,3 млн. (в т.ч. 930 тыс. химических); в 1917г. - 6,7 млн. (в т.ч. 800 тыс. химических).</w:t>
      </w:r>
    </w:p>
    <w:p w14:paraId="179093B8" w14:textId="77777777" w:rsidR="004B4E35" w:rsidRPr="00405303" w:rsidRDefault="009E6F82" w:rsidP="00C15251">
      <w:pPr>
        <w:jc w:val="both"/>
        <w:rPr>
          <w:bCs/>
          <w:color w:val="002060"/>
          <w:sz w:val="16"/>
          <w:szCs w:val="16"/>
        </w:rPr>
      </w:pPr>
      <w:r w:rsidRPr="00405303">
        <w:rPr>
          <w:bCs/>
          <w:color w:val="002060"/>
          <w:sz w:val="16"/>
          <w:szCs w:val="16"/>
        </w:rPr>
        <w:t>В 1916г. был построен третий снаряжательный завод в Богородском уезде.</w:t>
      </w:r>
    </w:p>
    <w:p w14:paraId="207FC6F2" w14:textId="77777777" w:rsidR="004B4E35" w:rsidRPr="00405303" w:rsidRDefault="009E6F82" w:rsidP="00C15251">
      <w:pPr>
        <w:jc w:val="both"/>
        <w:rPr>
          <w:bCs/>
          <w:color w:val="002060"/>
          <w:sz w:val="16"/>
          <w:szCs w:val="16"/>
        </w:rPr>
      </w:pPr>
      <w:r w:rsidRPr="00405303">
        <w:rPr>
          <w:bCs/>
          <w:color w:val="002060"/>
          <w:sz w:val="16"/>
          <w:szCs w:val="16"/>
        </w:rPr>
        <w:t>В 12.1917г. Второв передал оба завода в ведение ГАУ. В 11.1918г. помещения бывшей фабрики Байера передали под фабрику Гознака, а снаряжательные мастерские - под склады ГАУ. В 1931г. на площадке фабрики Гознака был организован завод по изготовлению штампов, приспособлений и пресс-форм, в 1938г. он был передан в ведение 1ГУ НКОП. В 1939г. завод был влит в состав завода № 1 ОАП НКАП.</w:t>
      </w:r>
    </w:p>
    <w:p w14:paraId="6100083B" w14:textId="77777777" w:rsidR="004B4E35" w:rsidRPr="00405303" w:rsidRDefault="009E6F82" w:rsidP="00C15251">
      <w:pPr>
        <w:jc w:val="both"/>
        <w:rPr>
          <w:bCs/>
          <w:color w:val="002060"/>
          <w:sz w:val="16"/>
          <w:szCs w:val="16"/>
        </w:rPr>
      </w:pPr>
      <w:r w:rsidRPr="00405303">
        <w:rPr>
          <w:bCs/>
          <w:color w:val="002060"/>
          <w:sz w:val="16"/>
          <w:szCs w:val="16"/>
        </w:rPr>
        <w:t>Численность персонала (1916г.)- около 2000 чел. (11982)</w:t>
      </w:r>
    </w:p>
    <w:p w14:paraId="5948A2DD" w14:textId="77777777" w:rsidR="004B4E35" w:rsidRPr="00405303" w:rsidRDefault="004B4E35" w:rsidP="00C15251">
      <w:pPr>
        <w:jc w:val="both"/>
        <w:rPr>
          <w:bCs/>
          <w:color w:val="002060"/>
          <w:sz w:val="16"/>
          <w:szCs w:val="16"/>
        </w:rPr>
      </w:pPr>
    </w:p>
    <w:p w14:paraId="0FD15CAD" w14:textId="1B920EB6" w:rsidR="00C727D4" w:rsidRPr="00405303" w:rsidRDefault="00C727D4"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20 мая (2 июня) 1915 г. на основании приказа главначснаба Юго-западного фронта № 355), все главнейшие предметы артиллерии, как требующие исправления или замены, так и негодные, должны были сдаваться также в Киевский артсклад, причем начальник склада по приеме неисправных предметов обязан был сортировать их и передавать в Киевский арсенал или в подвижные починочные мастерские. В тот же склад направлялось имущество при эвакуации Галиции и наших западных губерний, и не только такое, как трофейное или собранное с полей сражения, но и не имеющее прямого отношения к артиллерии, как-то: колокола церковная утварь, лом меди, станки и пр. В результате этого нелепого направления встречных потоков артимущества "все дворы проходы и даже прилежащие к складу пустыри буквально были загромождены разным имуществом, разбросанным в хаотическом беспорядке". </w:t>
      </w:r>
    </w:p>
    <w:p w14:paraId="6DDD013B" w14:textId="77777777" w:rsidR="00C727D4" w:rsidRPr="00405303" w:rsidRDefault="00C727D4"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 громадном объеме работы склада можно судить по числу нарядов, выполненных за год войны только одним отделом ручного оружия: 1294 приходных наряда от 1958 войсковых частей и 1406 расходных нарядов, по которым было отпущено 2.389 войсковым частям. В отделе огнеприпасов за год вой ны было снаряжено 60 местных парков и ежедневно очищалось до 220.000 винтовочных патронов, собранных с по лей сражения. В мастерской отдела ручного оружия было отложено 124575 винтовок и приведено в исправность до 200.000 винтовок; ею же было подготовлено 48 оружейников, отправленных в части различных военных округов. Все эти </w:t>
      </w:r>
      <w:r w:rsidRPr="00405303">
        <w:rPr>
          <w:bCs/>
          <w:i w:val="0"/>
          <w:color w:val="002060"/>
          <w:spacing w:val="0"/>
          <w:kern w:val="0"/>
          <w:position w:val="0"/>
          <w:sz w:val="16"/>
          <w:szCs w:val="16"/>
        </w:rPr>
        <w:lastRenderedPageBreak/>
        <w:t xml:space="preserve">работы, конечно, не могли быть выполнены личным </w:t>
      </w:r>
      <w:proofErr w:type="gramStart"/>
      <w:r w:rsidRPr="00405303">
        <w:rPr>
          <w:bCs/>
          <w:i w:val="0"/>
          <w:color w:val="002060"/>
          <w:spacing w:val="0"/>
          <w:kern w:val="0"/>
          <w:position w:val="0"/>
          <w:sz w:val="16"/>
          <w:szCs w:val="16"/>
        </w:rPr>
        <w:t>со-ставом</w:t>
      </w:r>
      <w:proofErr w:type="gramEnd"/>
      <w:r w:rsidRPr="00405303">
        <w:rPr>
          <w:bCs/>
          <w:i w:val="0"/>
          <w:color w:val="002060"/>
          <w:spacing w:val="0"/>
          <w:kern w:val="0"/>
          <w:position w:val="0"/>
          <w:sz w:val="16"/>
          <w:szCs w:val="16"/>
        </w:rPr>
        <w:t xml:space="preserve"> склада и к одному только отделу огнеприпасов было прикомандировано более 30 офицеров и классных чиновников и 1.800 солдат. </w:t>
      </w:r>
    </w:p>
    <w:p w14:paraId="528530F7" w14:textId="77777777" w:rsidR="00C727D4" w:rsidRPr="00405303" w:rsidRDefault="00C727D4"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Генерал-инспектор считал необходимым усилить штат Киевского артсклада, избавить склад от непроизводительных переотправок имущества, упростить порядок делопроизводства и отчетности, установив систему талонов и т. д., разгрузить склад передачей части имущества в другие склады и т. д. </w:t>
      </w:r>
    </w:p>
    <w:p w14:paraId="5AB4495F" w14:textId="77777777" w:rsidR="00C727D4" w:rsidRPr="00405303" w:rsidRDefault="00C727D4"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Не лучше обстояло дело в Киевском арсенале. "Наряды фронта, по большей части срочные, были столь многочисленны и разнообразны, что в Киевском арсенале была совершенно нарушена планомерность в работах". Перечень этих нарядов, данных только до конца июля 1915 г., занимал более 200 страниц. Почти все, что случайно не оказывалось в запасах фронта, "заказывалось арсеналу"... При таких условиях Киевский арсенал, несмотря на полную интенсивность работ (в кузнечной мастерской работали 24 часа в 3 смены, в остальных мастерских в 2 смены, по 11 часов каждая), не в состоянии был выполнять срочные наряды ГАУ, тогда как некоторые из них имели несравненно более серьезное значение, чем наряды фронта. </w:t>
      </w:r>
    </w:p>
    <w:p w14:paraId="516FB2F4" w14:textId="77777777" w:rsidR="00C727D4" w:rsidRPr="00405303" w:rsidRDefault="00C727D4"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Необходимо было осторожнее относиться к даче нарядов арсеналу от фронта, как </w:t>
      </w:r>
      <w:proofErr w:type="gramStart"/>
      <w:r w:rsidRPr="00405303">
        <w:rPr>
          <w:bCs/>
          <w:i w:val="0"/>
          <w:color w:val="002060"/>
          <w:spacing w:val="0"/>
          <w:kern w:val="0"/>
          <w:position w:val="0"/>
          <w:sz w:val="16"/>
          <w:szCs w:val="16"/>
        </w:rPr>
        <w:t>можно</w:t>
      </w:r>
      <w:proofErr w:type="gramEnd"/>
      <w:r w:rsidRPr="00405303">
        <w:rPr>
          <w:bCs/>
          <w:i w:val="0"/>
          <w:color w:val="002060"/>
          <w:spacing w:val="0"/>
          <w:kern w:val="0"/>
          <w:position w:val="0"/>
          <w:sz w:val="16"/>
          <w:szCs w:val="16"/>
        </w:rPr>
        <w:t xml:space="preserve"> шире привлекая для выполнения более простых нарядов починочные мастерские или даже частную промышленность. </w:t>
      </w:r>
    </w:p>
    <w:p w14:paraId="453114A1" w14:textId="77777777" w:rsidR="00C727D4" w:rsidRPr="00405303" w:rsidRDefault="00C727D4"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Оценивая создавшееся на Юго-западном фронте положение с артиллерийским снабжением, причины, его вызвавшие, отмеченные в цитируемых документах, и меры, предлагаемые для урегулирования артснабжения, приходится еще раз подчеркнуть: </w:t>
      </w:r>
    </w:p>
    <w:p w14:paraId="06F1441A" w14:textId="77777777" w:rsidR="00C727D4" w:rsidRPr="00405303" w:rsidRDefault="00C727D4"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 Недооценку вопросов артиллерийского снабжения при мобилизационной подготовке (отсутствие норм запасов для фронтов, недостаток штатного состава, неподготовленность к развертыванию существующих учреждений, недостаточная сеть артснабженческих учреждений, вызвавшая массу нештатных организаций, и т. д.). </w:t>
      </w:r>
    </w:p>
    <w:p w14:paraId="70CE443A" w14:textId="77777777" w:rsidR="00C727D4" w:rsidRPr="00405303" w:rsidRDefault="00C727D4"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 Нелепость организации артиллерийского снабжения действующей армии в целом без возглавляющего аппарата, что приводило в отсутствию регулирования и наблюдения за правильным функционированием боевого снабжения и к стрем-лению фронтовых органов разрешать все вопросы артснабжения внутри себя (несоответственное распределение имущества по складам, загрузка Киевского склада имуществом, подлежащим отправлению во внутренние округа, загрузка арсенала заказами мелких частей, которых не было в запасах фронта, и т. п.). </w:t>
      </w:r>
    </w:p>
    <w:p w14:paraId="341C5A69" w14:textId="77777777" w:rsidR="00C727D4" w:rsidRPr="00405303" w:rsidRDefault="00C727D4"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3. Отсутствие ясности и четкости в построении аппарата артснабжения на фронтах - в результате запутанность взаимоотношений (подчинение технических артиллерийских заведений фронтам по территориальному признаку и пр.). </w:t>
      </w:r>
    </w:p>
    <w:p w14:paraId="3EC53301" w14:textId="77777777" w:rsidR="00C727D4" w:rsidRPr="00405303" w:rsidRDefault="00C727D4"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4. Необычайно разросшиеся путы формализма, сдавившие железными обручами живое дело артснабжения (горы переписки и сложная отчетность, не поспевавшая за жизнью) (11483).</w:t>
      </w:r>
    </w:p>
    <w:p w14:paraId="2E42846E" w14:textId="77777777" w:rsidR="00C727D4" w:rsidRPr="00405303" w:rsidRDefault="00C727D4" w:rsidP="00C15251">
      <w:pPr>
        <w:pStyle w:val="a3"/>
        <w:jc w:val="both"/>
        <w:rPr>
          <w:bCs/>
          <w:i w:val="0"/>
          <w:color w:val="002060"/>
          <w:spacing w:val="0"/>
          <w:kern w:val="0"/>
          <w:position w:val="0"/>
          <w:sz w:val="16"/>
          <w:szCs w:val="16"/>
        </w:rPr>
      </w:pPr>
    </w:p>
    <w:p w14:paraId="529CD38C"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656C84D6" w14:textId="77777777" w:rsidR="004B4E35" w:rsidRPr="00405303" w:rsidRDefault="004B4E35" w:rsidP="00C15251">
      <w:pPr>
        <w:jc w:val="both"/>
        <w:rPr>
          <w:bCs/>
          <w:i/>
          <w:color w:val="002060"/>
          <w:sz w:val="16"/>
          <w:szCs w:val="16"/>
        </w:rPr>
      </w:pPr>
    </w:p>
    <w:p w14:paraId="0F3103ED" w14:textId="05A3257F" w:rsidR="004B4E35" w:rsidRPr="00405303" w:rsidRDefault="009E6F82" w:rsidP="00C15251">
      <w:pPr>
        <w:jc w:val="both"/>
        <w:rPr>
          <w:bCs/>
          <w:color w:val="002060"/>
          <w:sz w:val="16"/>
          <w:szCs w:val="16"/>
        </w:rPr>
      </w:pPr>
      <w:r w:rsidRPr="00405303">
        <w:rPr>
          <w:bCs/>
          <w:color w:val="002060"/>
          <w:sz w:val="16"/>
          <w:szCs w:val="16"/>
        </w:rPr>
        <w:t xml:space="preserve">20-23 мая (2-5 июня) </w:t>
      </w:r>
      <w:r w:rsidR="00C727D4" w:rsidRPr="00405303">
        <w:rPr>
          <w:bCs/>
          <w:color w:val="002060"/>
          <w:sz w:val="16"/>
          <w:szCs w:val="16"/>
        </w:rPr>
        <w:t>1915 г. двухместные многоцелевые «Альбатрос С»</w:t>
      </w:r>
      <w:r w:rsidRPr="00405303">
        <w:rPr>
          <w:bCs/>
          <w:color w:val="002060"/>
          <w:sz w:val="16"/>
          <w:szCs w:val="16"/>
        </w:rPr>
        <w:t xml:space="preserve"> ежедневно совершали налеты на Варшаву, но, встреченные огнем батарей, не смогли пробиться к целям.</w:t>
      </w:r>
    </w:p>
    <w:p w14:paraId="66704A13" w14:textId="77777777" w:rsidR="004B4E35" w:rsidRPr="00405303" w:rsidRDefault="004B4E35" w:rsidP="00C15251">
      <w:pPr>
        <w:jc w:val="both"/>
        <w:rPr>
          <w:bCs/>
          <w:i/>
          <w:color w:val="002060"/>
          <w:sz w:val="16"/>
          <w:szCs w:val="16"/>
        </w:rPr>
      </w:pPr>
    </w:p>
    <w:p w14:paraId="089788FF" w14:textId="3DC166BD" w:rsidR="00BE5215" w:rsidRPr="00405303" w:rsidRDefault="00BE5215" w:rsidP="00C15251">
      <w:pPr>
        <w:shd w:val="clear" w:color="auto" w:fill="FFFFFF"/>
        <w:jc w:val="both"/>
        <w:rPr>
          <w:bCs/>
          <w:i/>
          <w:color w:val="002060"/>
          <w:sz w:val="16"/>
          <w:szCs w:val="16"/>
        </w:rPr>
      </w:pPr>
      <w:r w:rsidRPr="00405303">
        <w:rPr>
          <w:bCs/>
          <w:i/>
          <w:color w:val="002060"/>
          <w:sz w:val="16"/>
          <w:szCs w:val="16"/>
        </w:rPr>
        <w:t>Воздухоплавание:</w:t>
      </w:r>
    </w:p>
    <w:p w14:paraId="386F4AC5" w14:textId="77777777" w:rsidR="00BE5215" w:rsidRPr="00405303" w:rsidRDefault="00BE5215" w:rsidP="00C15251">
      <w:pPr>
        <w:shd w:val="clear" w:color="auto" w:fill="FFFFFF"/>
        <w:jc w:val="both"/>
        <w:rPr>
          <w:bCs/>
          <w:i/>
          <w:color w:val="002060"/>
          <w:sz w:val="16"/>
          <w:szCs w:val="16"/>
        </w:rPr>
      </w:pPr>
    </w:p>
    <w:p w14:paraId="7B796630" w14:textId="77777777" w:rsidR="00BE5215" w:rsidRPr="00405303" w:rsidRDefault="00BE5215" w:rsidP="00C15251">
      <w:pPr>
        <w:jc w:val="both"/>
        <w:rPr>
          <w:bCs/>
          <w:color w:val="002060"/>
          <w:sz w:val="16"/>
          <w:szCs w:val="16"/>
        </w:rPr>
      </w:pPr>
      <w:r w:rsidRPr="00405303">
        <w:rPr>
          <w:bCs/>
          <w:color w:val="002060"/>
          <w:sz w:val="16"/>
          <w:szCs w:val="16"/>
        </w:rPr>
        <w:t>20 мая (2 июня) 1915 г. в районе д. Копанка (в Гали</w:t>
      </w:r>
      <w:r w:rsidRPr="00405303">
        <w:rPr>
          <w:bCs/>
          <w:color w:val="002060"/>
          <w:sz w:val="16"/>
          <w:szCs w:val="16"/>
        </w:rPr>
        <w:softHyphen/>
        <w:t>ции) аэроплан противника сбросил на поднятый аэростат 13-й воздухоплавательной роты бом</w:t>
      </w:r>
      <w:r w:rsidRPr="00405303">
        <w:rPr>
          <w:bCs/>
          <w:color w:val="002060"/>
          <w:sz w:val="16"/>
          <w:szCs w:val="16"/>
        </w:rPr>
        <w:softHyphen/>
        <w:t>бу, контузившую поручика Е.Д. Карамышева. Весной и летом 1916 г. потери возросли: 31 мая во время походного движения 4-й воздухопла</w:t>
      </w:r>
      <w:r w:rsidRPr="00405303">
        <w:rPr>
          <w:bCs/>
          <w:color w:val="002060"/>
          <w:sz w:val="16"/>
          <w:szCs w:val="16"/>
        </w:rPr>
        <w:softHyphen/>
        <w:t>вательной роты аэростат подорвался на фугасе (было ранено пять солдат); 16 июня сгорел от разряда атмосферного электричества аэростат 1-й воздухоплавательной роты; дважды доби</w:t>
      </w:r>
      <w:r w:rsidRPr="00405303">
        <w:rPr>
          <w:bCs/>
          <w:color w:val="002060"/>
          <w:sz w:val="16"/>
          <w:szCs w:val="16"/>
        </w:rPr>
        <w:softHyphen/>
        <w:t>лись успеха артиллеристы противника, сбившие 4 и 11 августа по одному аэростату соответствен</w:t>
      </w:r>
      <w:r w:rsidRPr="00405303">
        <w:rPr>
          <w:bCs/>
          <w:color w:val="002060"/>
          <w:sz w:val="16"/>
          <w:szCs w:val="16"/>
        </w:rPr>
        <w:softHyphen/>
        <w:t>но 15-й и 19-й воздухоплавательных рот. Но это было только начало (20120).</w:t>
      </w:r>
    </w:p>
    <w:p w14:paraId="7B5227BC" w14:textId="77777777" w:rsidR="00BE5215" w:rsidRPr="00405303" w:rsidRDefault="00BE5215" w:rsidP="00C15251">
      <w:pPr>
        <w:jc w:val="both"/>
        <w:rPr>
          <w:bCs/>
          <w:color w:val="002060"/>
          <w:sz w:val="16"/>
          <w:szCs w:val="16"/>
        </w:rPr>
      </w:pPr>
    </w:p>
    <w:p w14:paraId="55BBF360"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26749B3E" w14:textId="77777777" w:rsidR="004B4E35" w:rsidRPr="00405303" w:rsidRDefault="004B4E35" w:rsidP="00C15251">
      <w:pPr>
        <w:shd w:val="clear" w:color="auto" w:fill="FFFFFF"/>
        <w:jc w:val="both"/>
        <w:rPr>
          <w:bCs/>
          <w:i/>
          <w:color w:val="002060"/>
          <w:sz w:val="16"/>
          <w:szCs w:val="16"/>
        </w:rPr>
      </w:pPr>
    </w:p>
    <w:p w14:paraId="62746C8B" w14:textId="196E825A" w:rsidR="004B4E35" w:rsidRPr="00405303" w:rsidRDefault="009E6F82" w:rsidP="00C15251">
      <w:pPr>
        <w:jc w:val="both"/>
        <w:rPr>
          <w:bCs/>
          <w:color w:val="002060"/>
          <w:sz w:val="16"/>
          <w:szCs w:val="16"/>
        </w:rPr>
      </w:pPr>
      <w:r w:rsidRPr="00405303">
        <w:rPr>
          <w:bCs/>
          <w:color w:val="002060"/>
          <w:sz w:val="16"/>
          <w:szCs w:val="16"/>
        </w:rPr>
        <w:t xml:space="preserve">20 мая (2 июня) </w:t>
      </w:r>
      <w:r w:rsidR="00C727D4" w:rsidRPr="00405303">
        <w:rPr>
          <w:bCs/>
          <w:color w:val="002060"/>
          <w:sz w:val="16"/>
          <w:szCs w:val="16"/>
        </w:rPr>
        <w:t xml:space="preserve">1915 г. </w:t>
      </w:r>
      <w:r w:rsidRPr="00405303">
        <w:rPr>
          <w:bCs/>
          <w:color w:val="002060"/>
          <w:sz w:val="16"/>
          <w:szCs w:val="16"/>
        </w:rPr>
        <w:t>цеппелин показался над окрестностями Лондона и сбросил 90 преимущественно зажигательных бомб, жертвами которых пали 4 человека. Наконец, 6 июня германский цеппелин зажег несколько зданий, убил 4 человека и ранил 40 на восточном побережье. В свою очередь британские аэропланы произвели 7 июня пожар в германском ангаре цеппелинов к северу от Брюсселя, и в тот же день британскому авиатору удалось взорвать немецкий цеппелин между Гентом и Брюсселем на огромной высоте в 1800 м. 3 июня 30 французских аэропланов бомбардировали главную квартиру гермайского кронпринца, сбросив около 180 снарядов и 1000 стрел, нанесших неприятелю значительный вред. Французские аппараты подверглись сильному обстрелу, но возвратились без повреждений. 8 июня погиб итальянский дирижабль, бросавший бомбы над Фиуме. 9 июня некоторые пункты итальянского побережья, в том числе Венеция, подверглись набегу австрийских аэропланов, был убит один человек и ранено несколько" (11999).</w:t>
      </w:r>
    </w:p>
    <w:p w14:paraId="2774F43A" w14:textId="77777777" w:rsidR="004B4E35" w:rsidRPr="00405303" w:rsidRDefault="004B4E35" w:rsidP="00C15251">
      <w:pPr>
        <w:jc w:val="both"/>
        <w:rPr>
          <w:bCs/>
          <w:color w:val="002060"/>
          <w:sz w:val="16"/>
          <w:szCs w:val="16"/>
        </w:rPr>
      </w:pPr>
    </w:p>
    <w:p w14:paraId="416FE16E" w14:textId="6140DCF5" w:rsidR="001A4DCC" w:rsidRPr="00405303" w:rsidRDefault="001A4DCC" w:rsidP="001A4DCC">
      <w:pPr>
        <w:shd w:val="clear" w:color="auto" w:fill="FFFFFF"/>
        <w:jc w:val="both"/>
        <w:rPr>
          <w:bCs/>
          <w:i/>
          <w:color w:val="002060"/>
          <w:sz w:val="16"/>
          <w:szCs w:val="16"/>
        </w:rPr>
      </w:pPr>
      <w:r w:rsidRPr="00405303">
        <w:rPr>
          <w:bCs/>
          <w:i/>
          <w:color w:val="002060"/>
          <w:sz w:val="16"/>
          <w:szCs w:val="16"/>
        </w:rPr>
        <w:t>Авиация:</w:t>
      </w:r>
    </w:p>
    <w:p w14:paraId="7C281305" w14:textId="77777777" w:rsidR="001A4DCC" w:rsidRPr="00405303" w:rsidRDefault="001A4DCC" w:rsidP="001A4DCC">
      <w:pPr>
        <w:shd w:val="clear" w:color="auto" w:fill="FFFFFF"/>
        <w:jc w:val="both"/>
        <w:rPr>
          <w:bCs/>
          <w:i/>
          <w:color w:val="002060"/>
          <w:sz w:val="16"/>
          <w:szCs w:val="16"/>
        </w:rPr>
      </w:pPr>
    </w:p>
    <w:p w14:paraId="29CE9247" w14:textId="77777777" w:rsidR="001A4DCC" w:rsidRPr="00405303" w:rsidRDefault="001A4DCC" w:rsidP="001A4DCC">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21 мая (3 июня) 1915 г. германские ЛА вели воздушную разведку в районе морской цитадели Усть-Двинска (25166).</w:t>
      </w:r>
    </w:p>
    <w:p w14:paraId="74CE7A71" w14:textId="77777777" w:rsidR="001A4DCC" w:rsidRPr="00405303" w:rsidRDefault="001A4DCC" w:rsidP="001A4DCC">
      <w:pPr>
        <w:jc w:val="both"/>
        <w:rPr>
          <w:rStyle w:val="aa"/>
          <w:rFonts w:ascii="Times New Roman" w:hAnsi="Times New Roman"/>
          <w:color w:val="0070C0"/>
          <w:spacing w:val="0"/>
          <w:sz w:val="16"/>
          <w:szCs w:val="16"/>
        </w:rPr>
      </w:pPr>
    </w:p>
    <w:p w14:paraId="32E07CBD" w14:textId="77777777" w:rsidR="00193161" w:rsidRPr="00405303" w:rsidRDefault="00193161" w:rsidP="00C15251">
      <w:pPr>
        <w:shd w:val="clear" w:color="auto" w:fill="FFFFFF"/>
        <w:jc w:val="both"/>
        <w:rPr>
          <w:bCs/>
          <w:i/>
          <w:color w:val="002060"/>
          <w:sz w:val="16"/>
          <w:szCs w:val="16"/>
        </w:rPr>
      </w:pPr>
      <w:r w:rsidRPr="00405303">
        <w:rPr>
          <w:bCs/>
          <w:i/>
          <w:color w:val="002060"/>
          <w:sz w:val="16"/>
          <w:szCs w:val="16"/>
        </w:rPr>
        <w:t>Военное воздухоплавание:</w:t>
      </w:r>
    </w:p>
    <w:p w14:paraId="691E1D26" w14:textId="77777777" w:rsidR="00193161" w:rsidRPr="00405303" w:rsidRDefault="00193161" w:rsidP="00C15251">
      <w:pPr>
        <w:shd w:val="clear" w:color="auto" w:fill="FFFFFF"/>
        <w:jc w:val="both"/>
        <w:rPr>
          <w:bCs/>
          <w:i/>
          <w:color w:val="002060"/>
          <w:sz w:val="16"/>
          <w:szCs w:val="16"/>
        </w:rPr>
      </w:pPr>
    </w:p>
    <w:p w14:paraId="7D191024" w14:textId="77777777" w:rsidR="00CD42EA" w:rsidRPr="00405303" w:rsidRDefault="00CD42EA" w:rsidP="00C15251">
      <w:pPr>
        <w:jc w:val="both"/>
        <w:rPr>
          <w:bCs/>
          <w:color w:val="002060"/>
          <w:sz w:val="16"/>
          <w:szCs w:val="16"/>
        </w:rPr>
      </w:pPr>
      <w:r w:rsidRPr="00405303">
        <w:rPr>
          <w:rStyle w:val="42"/>
          <w:rFonts w:ascii="Times New Roman" w:hAnsi="Times New Roman" w:cs="Times New Roman"/>
          <w:bCs/>
          <w:color w:val="002060"/>
          <w:w w:val="100"/>
          <w:sz w:val="16"/>
          <w:szCs w:val="16"/>
        </w:rPr>
        <w:t>21 мая (3 июня) 1915 г. в 21.00 «Астра» под командой командира 3-й воздухоплавательной роты под</w:t>
      </w:r>
      <w:r w:rsidRPr="00405303">
        <w:rPr>
          <w:rStyle w:val="42"/>
          <w:rFonts w:ascii="Times New Roman" w:hAnsi="Times New Roman" w:cs="Times New Roman"/>
          <w:bCs/>
          <w:color w:val="002060"/>
          <w:w w:val="100"/>
          <w:sz w:val="16"/>
          <w:szCs w:val="16"/>
        </w:rPr>
        <w:softHyphen/>
        <w:t>полковника Б.В. Голубова вылетела для ночной бомбардировки железнодорожной станции Лык. В состав экипажа входили офицеры Н.В. Степа</w:t>
      </w:r>
      <w:r w:rsidRPr="00405303">
        <w:rPr>
          <w:rStyle w:val="42"/>
          <w:rFonts w:ascii="Times New Roman" w:hAnsi="Times New Roman" w:cs="Times New Roman"/>
          <w:bCs/>
          <w:color w:val="002060"/>
          <w:w w:val="100"/>
          <w:sz w:val="16"/>
          <w:szCs w:val="16"/>
        </w:rPr>
        <w:softHyphen/>
        <w:t>нов, Е.Ф. Сапунов и Святобливо-Коробка, два механика, два помощника механиков и О.С. Бо</w:t>
      </w:r>
      <w:r w:rsidRPr="00405303">
        <w:rPr>
          <w:rStyle w:val="42"/>
          <w:rFonts w:ascii="Times New Roman" w:hAnsi="Times New Roman" w:cs="Times New Roman"/>
          <w:bCs/>
          <w:color w:val="002060"/>
          <w:w w:val="100"/>
          <w:sz w:val="16"/>
          <w:szCs w:val="16"/>
        </w:rPr>
        <w:softHyphen/>
        <w:t>гомолов «при пулемётах и бомбах». На борту ди</w:t>
      </w:r>
      <w:r w:rsidRPr="00405303">
        <w:rPr>
          <w:rStyle w:val="42"/>
          <w:rFonts w:ascii="Times New Roman" w:hAnsi="Times New Roman" w:cs="Times New Roman"/>
          <w:bCs/>
          <w:color w:val="002060"/>
          <w:w w:val="100"/>
          <w:sz w:val="16"/>
          <w:szCs w:val="16"/>
        </w:rPr>
        <w:softHyphen/>
        <w:t>рижабля находилась 21 однопудовая бомба.</w:t>
      </w:r>
    </w:p>
    <w:p w14:paraId="458D30A3" w14:textId="77777777" w:rsidR="00CD42EA" w:rsidRPr="00405303" w:rsidRDefault="00CD42EA" w:rsidP="00C15251">
      <w:pPr>
        <w:jc w:val="both"/>
        <w:rPr>
          <w:bCs/>
          <w:color w:val="002060"/>
          <w:sz w:val="16"/>
          <w:szCs w:val="16"/>
        </w:rPr>
      </w:pPr>
      <w:r w:rsidRPr="00405303">
        <w:rPr>
          <w:rStyle w:val="42"/>
          <w:rFonts w:ascii="Times New Roman" w:hAnsi="Times New Roman" w:cs="Times New Roman"/>
          <w:bCs/>
          <w:color w:val="002060"/>
          <w:w w:val="100"/>
          <w:sz w:val="16"/>
          <w:szCs w:val="16"/>
        </w:rPr>
        <w:t>План полёта состоял в том, чтобы при тихой погоде и слабом северо-западном ветре, пользу</w:t>
      </w:r>
      <w:r w:rsidRPr="00405303">
        <w:rPr>
          <w:rStyle w:val="42"/>
          <w:rFonts w:ascii="Times New Roman" w:hAnsi="Times New Roman" w:cs="Times New Roman"/>
          <w:bCs/>
          <w:color w:val="002060"/>
          <w:w w:val="100"/>
          <w:sz w:val="16"/>
          <w:szCs w:val="16"/>
        </w:rPr>
        <w:softHyphen/>
        <w:t>ясь сетью Мазурских озёр, подойти против ветра к Лыку, находящемуся в 60-80 километрах от пе</w:t>
      </w:r>
      <w:r w:rsidRPr="00405303">
        <w:rPr>
          <w:rStyle w:val="42"/>
          <w:rFonts w:ascii="Times New Roman" w:hAnsi="Times New Roman" w:cs="Times New Roman"/>
          <w:bCs/>
          <w:color w:val="002060"/>
          <w:w w:val="100"/>
          <w:sz w:val="16"/>
          <w:szCs w:val="16"/>
        </w:rPr>
        <w:softHyphen/>
        <w:t>редовых позиций, и ещё в темноте сбросив бом</w:t>
      </w:r>
      <w:r w:rsidRPr="00405303">
        <w:rPr>
          <w:rStyle w:val="42"/>
          <w:rFonts w:ascii="Times New Roman" w:hAnsi="Times New Roman" w:cs="Times New Roman"/>
          <w:bCs/>
          <w:color w:val="002060"/>
          <w:w w:val="100"/>
          <w:sz w:val="16"/>
          <w:szCs w:val="16"/>
        </w:rPr>
        <w:softHyphen/>
        <w:t>бы, вернуться через озёра.</w:t>
      </w:r>
    </w:p>
    <w:p w14:paraId="548FA4EC" w14:textId="77777777" w:rsidR="00CD42EA" w:rsidRPr="00405303" w:rsidRDefault="00CD42EA" w:rsidP="00C15251">
      <w:pPr>
        <w:jc w:val="both"/>
        <w:rPr>
          <w:bCs/>
          <w:color w:val="002060"/>
          <w:sz w:val="16"/>
          <w:szCs w:val="16"/>
        </w:rPr>
      </w:pPr>
      <w:r w:rsidRPr="00405303">
        <w:rPr>
          <w:rStyle w:val="42"/>
          <w:rFonts w:ascii="Times New Roman" w:hAnsi="Times New Roman" w:cs="Times New Roman"/>
          <w:bCs/>
          <w:color w:val="002060"/>
          <w:w w:val="100"/>
          <w:sz w:val="16"/>
          <w:szCs w:val="16"/>
        </w:rPr>
        <w:t>В 2.30 «Астра» была уже над Лыком. Сбро</w:t>
      </w:r>
      <w:r w:rsidRPr="00405303">
        <w:rPr>
          <w:rStyle w:val="42"/>
          <w:rFonts w:ascii="Times New Roman" w:hAnsi="Times New Roman" w:cs="Times New Roman"/>
          <w:bCs/>
          <w:color w:val="002060"/>
          <w:w w:val="100"/>
          <w:sz w:val="16"/>
          <w:szCs w:val="16"/>
        </w:rPr>
        <w:softHyphen/>
        <w:t>сив 16 бомб с высоты 1200 м, Б.В. Голубов под</w:t>
      </w:r>
      <w:r w:rsidRPr="00405303">
        <w:rPr>
          <w:rStyle w:val="42"/>
          <w:rFonts w:ascii="Times New Roman" w:hAnsi="Times New Roman" w:cs="Times New Roman"/>
          <w:bCs/>
          <w:color w:val="002060"/>
          <w:w w:val="100"/>
          <w:sz w:val="16"/>
          <w:szCs w:val="16"/>
        </w:rPr>
        <w:softHyphen/>
        <w:t>нял дирижабль на 1600 м. Противник открыл по нему плотный зенитно-артиллерийский огонь. «Астра» получила ряд осколочных пробоин, но благодаря попутному ветру быстро ушла через Мазурские озера и в 5.30 приземлилась на своей базе (20120).</w:t>
      </w:r>
    </w:p>
    <w:p w14:paraId="25B6C50E" w14:textId="77777777" w:rsidR="00CD42EA" w:rsidRPr="00405303" w:rsidRDefault="00CD42EA" w:rsidP="00C15251">
      <w:pPr>
        <w:jc w:val="both"/>
        <w:rPr>
          <w:bCs/>
          <w:color w:val="002060"/>
          <w:sz w:val="16"/>
          <w:szCs w:val="16"/>
        </w:rPr>
      </w:pPr>
    </w:p>
    <w:p w14:paraId="333AAE7C" w14:textId="7A3043E2" w:rsidR="00193161" w:rsidRPr="00405303" w:rsidRDefault="00C727D4" w:rsidP="00C15251">
      <w:pPr>
        <w:jc w:val="both"/>
        <w:rPr>
          <w:bCs/>
          <w:color w:val="002060"/>
          <w:sz w:val="16"/>
          <w:szCs w:val="16"/>
        </w:rPr>
      </w:pPr>
      <w:r w:rsidRPr="00405303">
        <w:rPr>
          <w:bCs/>
          <w:color w:val="002060"/>
          <w:sz w:val="16"/>
          <w:szCs w:val="16"/>
        </w:rPr>
        <w:t xml:space="preserve">В ночь на </w:t>
      </w:r>
      <w:r w:rsidR="00193161" w:rsidRPr="00405303">
        <w:rPr>
          <w:bCs/>
          <w:color w:val="002060"/>
          <w:sz w:val="16"/>
          <w:szCs w:val="16"/>
        </w:rPr>
        <w:t xml:space="preserve">21 мая (4 июня) </w:t>
      </w:r>
      <w:r w:rsidRPr="00405303">
        <w:rPr>
          <w:bCs/>
          <w:color w:val="002060"/>
          <w:sz w:val="16"/>
          <w:szCs w:val="16"/>
        </w:rPr>
        <w:t>1914 г.</w:t>
      </w:r>
      <w:r w:rsidR="00193161" w:rsidRPr="00405303">
        <w:rPr>
          <w:bCs/>
          <w:color w:val="002060"/>
          <w:sz w:val="16"/>
          <w:szCs w:val="16"/>
        </w:rPr>
        <w:t xml:space="preserve"> ветер был от северо-запада, силой 2-3 м/с, облачность — средняя. «Астру» вывели из эллинга около 21.00, команда заняла свои места по расписанию, и дирижабль, отделившись от земли, взял курс правее Осовца на линию озер, имея на борту 21 одно-пудовую бомбу и пулеметы для обороны. К 24.00 набрали высоту 700 м, а на подходе к Лыку (в 2.30) имели уже — 1200. С этой высоты и были сброшены бомбы — сначала три последовательных для пристрелки, а затем все остальные. Освободившись от груза, дирижабль подскочил до 1600 м, и в это время по нему открыли огонь зенитные орудия. Несколько снарядов взорвались в опасной близости от корабля, и после приземления в его носовой части были обнаружены несколько пробоин. Пользуясь темнотой и попутным ветром, дирижабль быстро ушел из зоны обстрела и в 5.30 благополучно возвратился на базу. Это был единственный удачный боевой вылет, совершенный русскими дирижаблями во время войны. Во второй половине июня 1915 года дирижабль был разоружен (11324).</w:t>
      </w:r>
    </w:p>
    <w:p w14:paraId="6D44AB07" w14:textId="77777777" w:rsidR="00193161" w:rsidRPr="00405303" w:rsidRDefault="00193161" w:rsidP="00C15251">
      <w:pPr>
        <w:shd w:val="clear" w:color="auto" w:fill="FFFFFF"/>
        <w:jc w:val="both"/>
        <w:rPr>
          <w:bCs/>
          <w:i/>
          <w:color w:val="002060"/>
          <w:sz w:val="16"/>
          <w:szCs w:val="16"/>
        </w:rPr>
      </w:pPr>
    </w:p>
    <w:p w14:paraId="4CCA25D8"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Франции:</w:t>
      </w:r>
    </w:p>
    <w:p w14:paraId="021AA1F8" w14:textId="77777777" w:rsidR="004B4E35" w:rsidRPr="00405303" w:rsidRDefault="004B4E35" w:rsidP="00C15251">
      <w:pPr>
        <w:shd w:val="clear" w:color="auto" w:fill="FFFFFF"/>
        <w:jc w:val="both"/>
        <w:rPr>
          <w:bCs/>
          <w:i/>
          <w:color w:val="002060"/>
          <w:sz w:val="16"/>
          <w:szCs w:val="16"/>
        </w:rPr>
      </w:pPr>
    </w:p>
    <w:p w14:paraId="52C45A0B" w14:textId="50D28E5B" w:rsidR="004B4E35" w:rsidRPr="00405303" w:rsidRDefault="009E6F82" w:rsidP="00C15251">
      <w:pPr>
        <w:jc w:val="both"/>
        <w:rPr>
          <w:bCs/>
          <w:color w:val="002060"/>
          <w:sz w:val="16"/>
          <w:szCs w:val="16"/>
        </w:rPr>
      </w:pPr>
      <w:r w:rsidRPr="00405303">
        <w:rPr>
          <w:bCs/>
          <w:color w:val="002060"/>
          <w:sz w:val="16"/>
          <w:szCs w:val="16"/>
        </w:rPr>
        <w:t xml:space="preserve">21 мая (3 июня) </w:t>
      </w:r>
      <w:r w:rsidR="00C727D4" w:rsidRPr="00405303">
        <w:rPr>
          <w:bCs/>
          <w:color w:val="002060"/>
          <w:sz w:val="16"/>
          <w:szCs w:val="16"/>
        </w:rPr>
        <w:t xml:space="preserve">1915 г. </w:t>
      </w:r>
      <w:r w:rsidRPr="00405303">
        <w:rPr>
          <w:bCs/>
          <w:color w:val="002060"/>
          <w:sz w:val="16"/>
          <w:szCs w:val="16"/>
        </w:rPr>
        <w:t>30 французских аэропланов бомбардировали главную квартиру гермайского кронпринца, сбросив около 180 снарядов и 1000 стрел, нанесших неприятелю значительный вред. Французские аппараты подверглись сильному обстрелу, но возвратились без повреждений (11999).</w:t>
      </w:r>
    </w:p>
    <w:p w14:paraId="51BF459E" w14:textId="77777777" w:rsidR="004B4E35" w:rsidRPr="00405303" w:rsidRDefault="004B4E35" w:rsidP="00C15251">
      <w:pPr>
        <w:jc w:val="both"/>
        <w:rPr>
          <w:bCs/>
          <w:color w:val="002060"/>
          <w:sz w:val="16"/>
          <w:szCs w:val="16"/>
        </w:rPr>
      </w:pPr>
    </w:p>
    <w:p w14:paraId="1BA72C87" w14:textId="08095DFB" w:rsidR="006B3741" w:rsidRPr="00405303" w:rsidRDefault="006B3741" w:rsidP="00C15251">
      <w:pPr>
        <w:shd w:val="clear" w:color="auto" w:fill="FFFFFF"/>
        <w:jc w:val="both"/>
        <w:rPr>
          <w:bCs/>
          <w:i/>
          <w:color w:val="002060"/>
          <w:sz w:val="16"/>
          <w:szCs w:val="16"/>
        </w:rPr>
      </w:pPr>
      <w:r w:rsidRPr="00405303">
        <w:rPr>
          <w:bCs/>
          <w:i/>
          <w:color w:val="002060"/>
          <w:sz w:val="16"/>
          <w:szCs w:val="16"/>
        </w:rPr>
        <w:t>Армия:</w:t>
      </w:r>
    </w:p>
    <w:p w14:paraId="5036F5D5" w14:textId="77777777" w:rsidR="006B3741" w:rsidRPr="00405303" w:rsidRDefault="006B3741" w:rsidP="00C15251">
      <w:pPr>
        <w:shd w:val="clear" w:color="auto" w:fill="FFFFFF"/>
        <w:jc w:val="both"/>
        <w:rPr>
          <w:bCs/>
          <w:i/>
          <w:color w:val="002060"/>
          <w:sz w:val="16"/>
          <w:szCs w:val="16"/>
        </w:rPr>
      </w:pPr>
    </w:p>
    <w:p w14:paraId="6A672B44" w14:textId="0834A31D" w:rsidR="006B3741" w:rsidRPr="00405303" w:rsidRDefault="006B3741" w:rsidP="00C15251">
      <w:pPr>
        <w:jc w:val="both"/>
        <w:rPr>
          <w:bCs/>
          <w:color w:val="002060"/>
          <w:sz w:val="16"/>
          <w:szCs w:val="16"/>
          <w:lang w:bidi="en-US"/>
        </w:rPr>
      </w:pPr>
      <w:r w:rsidRPr="00405303">
        <w:rPr>
          <w:bCs/>
          <w:color w:val="002060"/>
          <w:sz w:val="16"/>
          <w:szCs w:val="16"/>
          <w:lang w:bidi="en-US"/>
        </w:rPr>
        <w:t>22 мая (4 июня) 1915 г. австро-венгры отбили осажденную крепость Перемышль (23525).</w:t>
      </w:r>
    </w:p>
    <w:p w14:paraId="12F3BBAE" w14:textId="77777777" w:rsidR="006B3741" w:rsidRPr="00405303" w:rsidRDefault="006B3741" w:rsidP="00C15251">
      <w:pPr>
        <w:jc w:val="both"/>
        <w:rPr>
          <w:bCs/>
          <w:color w:val="002060"/>
          <w:sz w:val="16"/>
          <w:szCs w:val="16"/>
        </w:rPr>
      </w:pPr>
    </w:p>
    <w:p w14:paraId="31DEA547" w14:textId="7763F18F"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45775754" w14:textId="77777777" w:rsidR="004B4E35" w:rsidRPr="00405303" w:rsidRDefault="004B4E35" w:rsidP="00C15251">
      <w:pPr>
        <w:shd w:val="clear" w:color="auto" w:fill="FFFFFF"/>
        <w:jc w:val="both"/>
        <w:rPr>
          <w:bCs/>
          <w:i/>
          <w:color w:val="002060"/>
          <w:sz w:val="16"/>
          <w:szCs w:val="16"/>
        </w:rPr>
      </w:pPr>
    </w:p>
    <w:p w14:paraId="0E5E16BF" w14:textId="77777777" w:rsidR="004B4E35" w:rsidRPr="00405303" w:rsidRDefault="009E6F82" w:rsidP="00C15251">
      <w:pPr>
        <w:jc w:val="both"/>
        <w:rPr>
          <w:bCs/>
          <w:color w:val="002060"/>
          <w:sz w:val="16"/>
          <w:szCs w:val="16"/>
        </w:rPr>
      </w:pPr>
      <w:r w:rsidRPr="00405303">
        <w:rPr>
          <w:bCs/>
          <w:color w:val="002060"/>
          <w:sz w:val="16"/>
          <w:szCs w:val="16"/>
        </w:rPr>
        <w:t>22-25 мая (4-7) июня 1915 - несмотря на губительный огонь германской артиллерии русский авиатор Ткачев В.М. неоднократно прорывался в тыл противника и добывал важные разведданные. В одном из полетов, при встрече с германским истребителем, Ткачев вступил с ним в бой и обратил в бегство (11999).</w:t>
      </w:r>
    </w:p>
    <w:p w14:paraId="4A9B6013" w14:textId="77777777" w:rsidR="004B4E35" w:rsidRPr="00405303" w:rsidRDefault="004B4E35" w:rsidP="00C15251">
      <w:pPr>
        <w:jc w:val="both"/>
        <w:rPr>
          <w:bCs/>
          <w:color w:val="002060"/>
          <w:sz w:val="16"/>
          <w:szCs w:val="16"/>
        </w:rPr>
      </w:pPr>
    </w:p>
    <w:p w14:paraId="455F08E5" w14:textId="77777777" w:rsidR="00BC765D" w:rsidRPr="00405303" w:rsidRDefault="00BC765D" w:rsidP="00C15251">
      <w:pPr>
        <w:jc w:val="both"/>
        <w:rPr>
          <w:bCs/>
          <w:color w:val="002060"/>
          <w:sz w:val="16"/>
          <w:szCs w:val="16"/>
        </w:rPr>
      </w:pPr>
      <w:r w:rsidRPr="00405303">
        <w:rPr>
          <w:bCs/>
          <w:color w:val="002060"/>
          <w:sz w:val="16"/>
          <w:szCs w:val="16"/>
        </w:rPr>
        <w:t>22 мая (4 июня) 1915 г. приказом ВГК № 422 сформирован по особому штату первый охранный авиационный отряд под названием «специальный авиационный отряд для обороны императорской резиденции от воздухоплавательных аппаратов». В августе 1916 года для этой же цели был сформирован авиационный дивизион в составе двух отрядов, переименованный после свержения царя в «Авиационный дивизион для обороны ставки верхов</w:t>
      </w:r>
      <w:r w:rsidRPr="00405303">
        <w:rPr>
          <w:bCs/>
          <w:color w:val="002060"/>
          <w:sz w:val="16"/>
          <w:szCs w:val="16"/>
        </w:rPr>
        <w:softHyphen/>
        <w:t>ного главнокомандующего».</w:t>
      </w:r>
    </w:p>
    <w:p w14:paraId="69E515E0" w14:textId="77777777" w:rsidR="00BC765D" w:rsidRPr="00405303" w:rsidRDefault="00BC765D" w:rsidP="00C15251">
      <w:pPr>
        <w:jc w:val="both"/>
        <w:rPr>
          <w:bCs/>
          <w:color w:val="002060"/>
          <w:sz w:val="16"/>
          <w:szCs w:val="16"/>
        </w:rPr>
      </w:pPr>
      <w:r w:rsidRPr="00405303">
        <w:rPr>
          <w:bCs/>
          <w:color w:val="002060"/>
          <w:sz w:val="16"/>
          <w:szCs w:val="16"/>
        </w:rPr>
        <w:t>/ЦГВИА, ф. 2003, оп.1, д. 1224, л. 220/ (23320).</w:t>
      </w:r>
    </w:p>
    <w:p w14:paraId="148526AB" w14:textId="77777777" w:rsidR="00BC765D" w:rsidRPr="00405303" w:rsidRDefault="00BC765D" w:rsidP="00C15251">
      <w:pPr>
        <w:jc w:val="both"/>
        <w:rPr>
          <w:bCs/>
          <w:color w:val="002060"/>
          <w:sz w:val="16"/>
          <w:szCs w:val="16"/>
        </w:rPr>
      </w:pPr>
    </w:p>
    <w:p w14:paraId="0C2FAF3F" w14:textId="69F5FF18" w:rsidR="0021141E" w:rsidRPr="00405303" w:rsidRDefault="0021141E" w:rsidP="00C15251">
      <w:pPr>
        <w:jc w:val="both"/>
        <w:rPr>
          <w:bCs/>
          <w:color w:val="002060"/>
          <w:sz w:val="16"/>
          <w:szCs w:val="16"/>
        </w:rPr>
      </w:pPr>
      <w:r w:rsidRPr="00405303">
        <w:rPr>
          <w:bCs/>
          <w:color w:val="002060"/>
          <w:sz w:val="16"/>
          <w:szCs w:val="16"/>
        </w:rPr>
        <w:t>22 мая (4 июня) 1915 г. два неприятельских аэроплана сбросили над г. Жирардов «19 зажигательных бомб, взрывами которых убит 1, ранено 15 человек, преимущественно женщин и детей, и подожжено два строения и санитарный вагон. Одна из бомб упала вблизи помещения 1-го изерского подвижного лазарета Красного Креста, и осколками ее, при исполнении служебных обязанностей, ранен в обе ноги санитар названного лазарета Максим Вакулин» (23405).</w:t>
      </w:r>
    </w:p>
    <w:p w14:paraId="1C62AA7A" w14:textId="77777777" w:rsidR="0021141E" w:rsidRPr="00405303" w:rsidRDefault="0021141E" w:rsidP="00C15251">
      <w:pPr>
        <w:jc w:val="both"/>
        <w:rPr>
          <w:bCs/>
          <w:color w:val="002060"/>
          <w:sz w:val="16"/>
          <w:szCs w:val="16"/>
        </w:rPr>
      </w:pPr>
    </w:p>
    <w:p w14:paraId="01A2F766" w14:textId="4ECB6C34" w:rsidR="006B3741" w:rsidRPr="00405303" w:rsidRDefault="006B3741" w:rsidP="00C15251">
      <w:pPr>
        <w:jc w:val="both"/>
        <w:rPr>
          <w:bCs/>
          <w:color w:val="002060"/>
          <w:sz w:val="16"/>
          <w:szCs w:val="16"/>
          <w:lang w:bidi="en-US"/>
        </w:rPr>
      </w:pPr>
      <w:r w:rsidRPr="00405303">
        <w:rPr>
          <w:bCs/>
          <w:color w:val="002060"/>
          <w:sz w:val="16"/>
          <w:szCs w:val="16"/>
          <w:lang w:bidi="en-US"/>
        </w:rPr>
        <w:t xml:space="preserve">22 мая (4 июня) 1915 г. был издан приказ о создании авиационного отдела для охраны царской семьи в Царском Селе. В составе подразделения было пять военных пилотов, и оно было оснащено пятью типами Лебедева, одним </w:t>
      </w:r>
      <w:r w:rsidRPr="00405303">
        <w:rPr>
          <w:bCs/>
          <w:color w:val="002060"/>
          <w:sz w:val="16"/>
          <w:szCs w:val="16"/>
          <w:lang w:val="en-US" w:bidi="en-US"/>
        </w:rPr>
        <w:t>Morane</w:t>
      </w:r>
      <w:r w:rsidRPr="00405303">
        <w:rPr>
          <w:bCs/>
          <w:color w:val="002060"/>
          <w:sz w:val="16"/>
          <w:szCs w:val="16"/>
          <w:lang w:bidi="en-US"/>
        </w:rPr>
        <w:t xml:space="preserve"> </w:t>
      </w:r>
      <w:r w:rsidRPr="00405303">
        <w:rPr>
          <w:bCs/>
          <w:color w:val="002060"/>
          <w:sz w:val="16"/>
          <w:szCs w:val="16"/>
          <w:lang w:val="en-US" w:bidi="en-US"/>
        </w:rPr>
        <w:t>G</w:t>
      </w:r>
      <w:r w:rsidRPr="00405303">
        <w:rPr>
          <w:bCs/>
          <w:color w:val="002060"/>
          <w:sz w:val="16"/>
          <w:szCs w:val="16"/>
          <w:lang w:bidi="en-US"/>
        </w:rPr>
        <w:t xml:space="preserve">, одним </w:t>
      </w:r>
      <w:r w:rsidRPr="00405303">
        <w:rPr>
          <w:bCs/>
          <w:color w:val="002060"/>
          <w:sz w:val="16"/>
          <w:szCs w:val="16"/>
          <w:lang w:val="en-US" w:bidi="en-US"/>
        </w:rPr>
        <w:t>Morane</w:t>
      </w:r>
      <w:r w:rsidRPr="00405303">
        <w:rPr>
          <w:bCs/>
          <w:color w:val="002060"/>
          <w:sz w:val="16"/>
          <w:szCs w:val="16"/>
          <w:lang w:bidi="en-US"/>
        </w:rPr>
        <w:t xml:space="preserve"> </w:t>
      </w:r>
      <w:r w:rsidRPr="00405303">
        <w:rPr>
          <w:bCs/>
          <w:color w:val="002060"/>
          <w:sz w:val="16"/>
          <w:szCs w:val="16"/>
          <w:lang w:val="en-US" w:bidi="en-US"/>
        </w:rPr>
        <w:t>Parasol</w:t>
      </w:r>
      <w:r w:rsidRPr="00405303">
        <w:rPr>
          <w:bCs/>
          <w:color w:val="002060"/>
          <w:sz w:val="16"/>
          <w:szCs w:val="16"/>
          <w:lang w:bidi="en-US"/>
        </w:rPr>
        <w:t xml:space="preserve"> и одним </w:t>
      </w:r>
      <w:r w:rsidRPr="00405303">
        <w:rPr>
          <w:bCs/>
          <w:color w:val="002060"/>
          <w:sz w:val="16"/>
          <w:szCs w:val="16"/>
          <w:lang w:val="en-US" w:bidi="en-US"/>
        </w:rPr>
        <w:t>Deperdussin</w:t>
      </w:r>
      <w:r w:rsidRPr="00405303">
        <w:rPr>
          <w:bCs/>
          <w:color w:val="002060"/>
          <w:sz w:val="16"/>
          <w:szCs w:val="16"/>
          <w:lang w:bidi="en-US"/>
        </w:rPr>
        <w:t xml:space="preserve">. В ноябре 1915 года, вскоре после того, как царь принял командование русскими армиями, для защиты царя в штаб-квартире Ставки в Могилеве была сформирована вторая секция. 14 августа 1916 года эти две секции были реорганизованы в Отряд обороны Императорской резиденции, к тому времени в состав подразделения вошли четырнадцать офицеров-пилотов и тринадцать офицеров-наблюдателей, а также Вуазен и Моран. </w:t>
      </w:r>
      <w:r w:rsidRPr="00405303">
        <w:rPr>
          <w:bCs/>
          <w:i/>
          <w:iCs/>
          <w:color w:val="002060"/>
          <w:sz w:val="16"/>
          <w:szCs w:val="16"/>
          <w:lang w:bidi="en-US"/>
        </w:rPr>
        <w:t xml:space="preserve">Примечание: </w:t>
      </w:r>
      <w:r w:rsidRPr="00405303">
        <w:rPr>
          <w:bCs/>
          <w:color w:val="002060"/>
          <w:sz w:val="16"/>
          <w:szCs w:val="16"/>
          <w:lang w:bidi="en-US"/>
        </w:rPr>
        <w:t xml:space="preserve">Царская резиденция и Ставка никогда не подвергались атакам вражеской авиации, поэтому услуги этих двадцати </w:t>
      </w:r>
      <w:r w:rsidRPr="00405303">
        <w:rPr>
          <w:bCs/>
          <w:color w:val="002060"/>
          <w:sz w:val="16"/>
          <w:szCs w:val="16"/>
          <w:lang w:bidi="en-US"/>
        </w:rPr>
        <w:softHyphen/>
        <w:t>семи летчиков и их самолетов были полностью потрачены впустую (23525).</w:t>
      </w:r>
    </w:p>
    <w:p w14:paraId="63F9ACAA" w14:textId="77777777" w:rsidR="006B3741" w:rsidRPr="00405303" w:rsidRDefault="006B3741" w:rsidP="00C15251">
      <w:pPr>
        <w:jc w:val="both"/>
        <w:rPr>
          <w:bCs/>
          <w:color w:val="002060"/>
          <w:sz w:val="16"/>
          <w:szCs w:val="16"/>
        </w:rPr>
      </w:pPr>
    </w:p>
    <w:p w14:paraId="63A4322A" w14:textId="77777777" w:rsidR="00CD28F6" w:rsidRPr="00405303" w:rsidRDefault="00CD28F6" w:rsidP="00CD28F6">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22 мая (4 июня) 1915 г. приказом Верховного Глав</w:t>
      </w:r>
      <w:r w:rsidRPr="00405303">
        <w:rPr>
          <w:rStyle w:val="aa"/>
          <w:rFonts w:ascii="Times New Roman" w:hAnsi="Times New Roman"/>
          <w:color w:val="0070C0"/>
          <w:spacing w:val="0"/>
          <w:sz w:val="16"/>
          <w:szCs w:val="16"/>
        </w:rPr>
        <w:softHyphen/>
        <w:t>нокомандующего № 422 для обороны Императорской резиденции от воздухоплавательных аппаратов был сформирован специальный авиационный отряд. В от</w:t>
      </w:r>
      <w:r w:rsidRPr="00405303">
        <w:rPr>
          <w:rStyle w:val="aa"/>
          <w:rFonts w:ascii="Times New Roman" w:hAnsi="Times New Roman"/>
          <w:color w:val="0070C0"/>
          <w:spacing w:val="0"/>
          <w:sz w:val="16"/>
          <w:szCs w:val="16"/>
        </w:rPr>
        <w:softHyphen/>
        <w:t>ряде имелось: 5 офицеров-летчиков и 1 летчик-наблю</w:t>
      </w:r>
      <w:r w:rsidRPr="00405303">
        <w:rPr>
          <w:rStyle w:val="aa"/>
          <w:rFonts w:ascii="Times New Roman" w:hAnsi="Times New Roman"/>
          <w:color w:val="0070C0"/>
          <w:spacing w:val="0"/>
          <w:sz w:val="16"/>
          <w:szCs w:val="16"/>
        </w:rPr>
        <w:softHyphen/>
        <w:t>датель, 2 пулеметчика из числа старших унтер-офице</w:t>
      </w:r>
      <w:r w:rsidRPr="00405303">
        <w:rPr>
          <w:rStyle w:val="aa"/>
          <w:rFonts w:ascii="Times New Roman" w:hAnsi="Times New Roman"/>
          <w:color w:val="0070C0"/>
          <w:spacing w:val="0"/>
          <w:sz w:val="16"/>
          <w:szCs w:val="16"/>
        </w:rPr>
        <w:softHyphen/>
        <w:t>ров, 4 действующих и 4 запасных аэроплана (25629).</w:t>
      </w:r>
    </w:p>
    <w:p w14:paraId="2D255DC9" w14:textId="77777777" w:rsidR="00CD28F6" w:rsidRPr="00405303" w:rsidRDefault="00CD28F6" w:rsidP="00CD28F6">
      <w:pPr>
        <w:jc w:val="both"/>
        <w:rPr>
          <w:rStyle w:val="aa"/>
          <w:rFonts w:ascii="Times New Roman" w:hAnsi="Times New Roman"/>
          <w:color w:val="0070C0"/>
          <w:spacing w:val="0"/>
          <w:sz w:val="16"/>
          <w:szCs w:val="16"/>
        </w:rPr>
      </w:pPr>
    </w:p>
    <w:p w14:paraId="6BB5ECA9" w14:textId="640EF99F" w:rsidR="006B3741" w:rsidRPr="00405303" w:rsidRDefault="006B3741" w:rsidP="00C15251">
      <w:pPr>
        <w:jc w:val="both"/>
        <w:rPr>
          <w:bCs/>
          <w:i/>
          <w:color w:val="002060"/>
          <w:sz w:val="16"/>
          <w:szCs w:val="16"/>
        </w:rPr>
      </w:pPr>
      <w:r w:rsidRPr="00405303">
        <w:rPr>
          <w:bCs/>
          <w:i/>
          <w:color w:val="002060"/>
          <w:sz w:val="16"/>
          <w:szCs w:val="16"/>
        </w:rPr>
        <w:t>Морская авиация:</w:t>
      </w:r>
    </w:p>
    <w:p w14:paraId="18DC874D" w14:textId="77777777" w:rsidR="006B3741" w:rsidRPr="00405303" w:rsidRDefault="006B3741" w:rsidP="00C15251">
      <w:pPr>
        <w:jc w:val="both"/>
        <w:rPr>
          <w:bCs/>
          <w:i/>
          <w:color w:val="002060"/>
          <w:sz w:val="16"/>
          <w:szCs w:val="16"/>
        </w:rPr>
      </w:pPr>
    </w:p>
    <w:p w14:paraId="152E6002" w14:textId="71CE55B8" w:rsidR="006B3741" w:rsidRPr="00405303" w:rsidRDefault="006B3741" w:rsidP="00C15251">
      <w:pPr>
        <w:jc w:val="both"/>
        <w:rPr>
          <w:bCs/>
          <w:color w:val="002060"/>
          <w:sz w:val="16"/>
          <w:szCs w:val="16"/>
          <w:lang w:bidi="en-US"/>
        </w:rPr>
      </w:pPr>
      <w:r w:rsidRPr="00405303">
        <w:rPr>
          <w:bCs/>
          <w:color w:val="002060"/>
          <w:sz w:val="16"/>
          <w:szCs w:val="16"/>
          <w:lang w:bidi="en-US"/>
        </w:rPr>
        <w:t xml:space="preserve">22 мая (4 июня) 1915 г. в Балтийском море подорвался на мине немецкий авианосец </w:t>
      </w:r>
      <w:r w:rsidRPr="00405303">
        <w:rPr>
          <w:bCs/>
          <w:color w:val="002060"/>
          <w:sz w:val="16"/>
          <w:szCs w:val="16"/>
          <w:lang w:val="en-US" w:bidi="en-US"/>
        </w:rPr>
        <w:t>Glyndwr</w:t>
      </w:r>
      <w:r w:rsidRPr="00405303">
        <w:rPr>
          <w:bCs/>
          <w:color w:val="002060"/>
          <w:sz w:val="16"/>
          <w:szCs w:val="16"/>
          <w:lang w:bidi="en-US"/>
        </w:rPr>
        <w:t xml:space="preserve"> (2-4 гидросамолета), но ему удалось вернуться в Данциг для ремонта (23525).</w:t>
      </w:r>
    </w:p>
    <w:p w14:paraId="2F25E526" w14:textId="77777777" w:rsidR="006B3741" w:rsidRPr="00405303" w:rsidRDefault="006B3741" w:rsidP="00C15251">
      <w:pPr>
        <w:jc w:val="both"/>
        <w:rPr>
          <w:bCs/>
          <w:color w:val="002060"/>
          <w:sz w:val="16"/>
          <w:szCs w:val="16"/>
        </w:rPr>
      </w:pPr>
    </w:p>
    <w:p w14:paraId="73B0BA40" w14:textId="77777777" w:rsidR="00CD28F6" w:rsidRPr="00405303" w:rsidRDefault="00CD28F6" w:rsidP="00CD28F6">
      <w:pPr>
        <w:jc w:val="both"/>
        <w:rPr>
          <w:color w:val="0070C0"/>
          <w:sz w:val="16"/>
          <w:szCs w:val="16"/>
        </w:rPr>
      </w:pPr>
      <w:r w:rsidRPr="00405303">
        <w:rPr>
          <w:rStyle w:val="aa"/>
          <w:rFonts w:ascii="Times New Roman" w:hAnsi="Times New Roman"/>
          <w:color w:val="0070C0"/>
          <w:spacing w:val="0"/>
          <w:sz w:val="16"/>
          <w:szCs w:val="16"/>
        </w:rPr>
        <w:t>22 мая (4 июня) 1915 г. утром германские гидроаэропланы совершили налет на группу наших миноносцев, находившихся в дозоре у Михайловского маяка (Ирбенский пролив). Одно из воздушных судов пересекло курс миноносцев и сбросило две бомбы на миноносец, двигавшийся в арьергарде кильватерной колонны. Затем были атакованы средний и головной русские корабли (без какого-либо ущерба). Некоторые из бомб кувыркались в воздухе и при ударе о воду не взрывались, взорвавшиеся бомбы давали большие столбы черного дыма. Оказавшись в зоне зенитного огня (стрельба велась из 100-мм орудий и пулеметов миноносцев), гидроаэроплан противника направился к маяку Церель, где подвергся обстрелу со стороны канонерской лодки «Грозящий». Чтобы не подвергать себя риску, немецкий экипаж изменил курс и направил свой летательный аппарат в открытое море (в сторону авиаматки).</w:t>
      </w:r>
    </w:p>
    <w:p w14:paraId="5DE631D8" w14:textId="77777777" w:rsidR="00CD28F6" w:rsidRPr="00405303" w:rsidRDefault="00CD28F6" w:rsidP="00CD28F6">
      <w:pPr>
        <w:jc w:val="both"/>
        <w:rPr>
          <w:color w:val="0070C0"/>
          <w:sz w:val="16"/>
          <w:szCs w:val="16"/>
        </w:rPr>
      </w:pPr>
      <w:r w:rsidRPr="00405303">
        <w:rPr>
          <w:rStyle w:val="aa"/>
          <w:rFonts w:ascii="Times New Roman" w:hAnsi="Times New Roman"/>
          <w:color w:val="0070C0"/>
          <w:spacing w:val="0"/>
          <w:sz w:val="16"/>
          <w:szCs w:val="16"/>
        </w:rPr>
        <w:t>По некоторым сообщениям, в тот же день в 25 морских милях от о. Готланд германский гидроаэроплан атаковал нашу подводную лодку, находившуюся в то время в надводном положении (25135).</w:t>
      </w:r>
    </w:p>
    <w:p w14:paraId="63130A67" w14:textId="77777777" w:rsidR="00CD28F6" w:rsidRPr="00405303" w:rsidRDefault="00CD28F6" w:rsidP="00CD28F6">
      <w:pPr>
        <w:jc w:val="both"/>
        <w:rPr>
          <w:color w:val="0070C0"/>
          <w:sz w:val="16"/>
          <w:szCs w:val="16"/>
        </w:rPr>
      </w:pPr>
    </w:p>
    <w:p w14:paraId="7AD52B9B" w14:textId="3D44F0F4"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5EF6DD2E" w14:textId="77777777" w:rsidR="004B4E35" w:rsidRPr="00405303" w:rsidRDefault="004B4E35" w:rsidP="00C15251">
      <w:pPr>
        <w:jc w:val="both"/>
        <w:rPr>
          <w:bCs/>
          <w:i/>
          <w:color w:val="002060"/>
          <w:sz w:val="16"/>
          <w:szCs w:val="16"/>
        </w:rPr>
      </w:pPr>
    </w:p>
    <w:p w14:paraId="17725060" w14:textId="74ABA88F" w:rsidR="004B4E35" w:rsidRPr="00405303" w:rsidRDefault="009E6F82" w:rsidP="00C15251">
      <w:pPr>
        <w:jc w:val="both"/>
        <w:rPr>
          <w:bCs/>
          <w:color w:val="002060"/>
          <w:sz w:val="16"/>
          <w:szCs w:val="16"/>
        </w:rPr>
      </w:pPr>
      <w:r w:rsidRPr="00405303">
        <w:rPr>
          <w:bCs/>
          <w:color w:val="002060"/>
          <w:sz w:val="16"/>
          <w:szCs w:val="16"/>
        </w:rPr>
        <w:t xml:space="preserve">22 мая (4 июня) </w:t>
      </w:r>
      <w:r w:rsidR="00C727D4" w:rsidRPr="00405303">
        <w:rPr>
          <w:bCs/>
          <w:color w:val="002060"/>
          <w:sz w:val="16"/>
          <w:szCs w:val="16"/>
        </w:rPr>
        <w:t xml:space="preserve">1915 г. морские дирижабли </w:t>
      </w:r>
      <w:r w:rsidRPr="00405303">
        <w:rPr>
          <w:bCs/>
          <w:color w:val="002060"/>
          <w:sz w:val="16"/>
          <w:szCs w:val="16"/>
        </w:rPr>
        <w:t>SL-3 и L-10 отправились на бомбардировку Кента и Йоркшира. Результаты рейда большого успеха не принесли — 8 раненых. ПВО, в лучших традициях, проспало этот налет — поздно подняли авиацию, поздно открыли огонь зенитные батареи. Два дня спустя в путь к берегам «туманного Альбиона» вышел L-9. Он совершенно безнаказанно выполнил свое «черное дело», разрушив в Гулле около сорока домов и убив и ранив несколько десятков человек в округе. Самолеты ПВО пытались преследовать L-9, но тот сбросил балласт и ушел. Этот налет вызвал в Гулле массовые беспорядки — горожане громили все, что каким-то образом напоминало им о Германии (11324).</w:t>
      </w:r>
    </w:p>
    <w:p w14:paraId="17822D19" w14:textId="77777777" w:rsidR="004B4E35" w:rsidRPr="00405303" w:rsidRDefault="004B4E35" w:rsidP="00C15251">
      <w:pPr>
        <w:jc w:val="both"/>
        <w:rPr>
          <w:bCs/>
          <w:i/>
          <w:color w:val="002060"/>
          <w:sz w:val="16"/>
          <w:szCs w:val="16"/>
        </w:rPr>
      </w:pPr>
    </w:p>
    <w:p w14:paraId="069FF37C" w14:textId="08E9A57A" w:rsidR="00193161" w:rsidRPr="00405303" w:rsidRDefault="00193161" w:rsidP="00C15251">
      <w:pPr>
        <w:jc w:val="both"/>
        <w:rPr>
          <w:bCs/>
          <w:color w:val="002060"/>
          <w:sz w:val="16"/>
          <w:szCs w:val="16"/>
        </w:rPr>
      </w:pPr>
      <w:r w:rsidRPr="00405303">
        <w:rPr>
          <w:bCs/>
          <w:color w:val="002060"/>
          <w:sz w:val="16"/>
          <w:szCs w:val="16"/>
        </w:rPr>
        <w:t xml:space="preserve">22 мая (4 июня) 1915 </w:t>
      </w:r>
      <w:r w:rsidR="0021649E" w:rsidRPr="00405303">
        <w:rPr>
          <w:bCs/>
          <w:color w:val="002060"/>
          <w:sz w:val="16"/>
          <w:szCs w:val="16"/>
        </w:rPr>
        <w:t xml:space="preserve">г. состоялся </w:t>
      </w:r>
      <w:r w:rsidRPr="00405303">
        <w:rPr>
          <w:bCs/>
          <w:color w:val="002060"/>
          <w:sz w:val="16"/>
          <w:szCs w:val="16"/>
        </w:rPr>
        <w:t xml:space="preserve">первый полет </w:t>
      </w:r>
      <w:r w:rsidRPr="00405303">
        <w:rPr>
          <w:bCs/>
          <w:color w:val="002060"/>
          <w:sz w:val="16"/>
          <w:szCs w:val="16"/>
          <w:lang w:val="en-US"/>
        </w:rPr>
        <w:t>Marinens</w:t>
      </w:r>
      <w:r w:rsidRPr="00405303">
        <w:rPr>
          <w:bCs/>
          <w:color w:val="002060"/>
          <w:sz w:val="16"/>
          <w:szCs w:val="16"/>
        </w:rPr>
        <w:t xml:space="preserve"> </w:t>
      </w:r>
      <w:r w:rsidRPr="00405303">
        <w:rPr>
          <w:bCs/>
          <w:color w:val="002060"/>
          <w:sz w:val="16"/>
          <w:szCs w:val="16"/>
          <w:lang w:val="en-US"/>
        </w:rPr>
        <w:t>Flyvebaatfabrikk</w:t>
      </w:r>
      <w:r w:rsidRPr="00405303">
        <w:rPr>
          <w:bCs/>
          <w:color w:val="002060"/>
          <w:sz w:val="16"/>
          <w:szCs w:val="16"/>
        </w:rPr>
        <w:t xml:space="preserve"> </w:t>
      </w:r>
      <w:r w:rsidRPr="00405303">
        <w:rPr>
          <w:bCs/>
          <w:color w:val="002060"/>
          <w:sz w:val="16"/>
          <w:szCs w:val="16"/>
          <w:lang w:val="en-US"/>
        </w:rPr>
        <w:t>MF</w:t>
      </w:r>
      <w:r w:rsidRPr="00405303">
        <w:rPr>
          <w:bCs/>
          <w:color w:val="002060"/>
          <w:sz w:val="16"/>
          <w:szCs w:val="16"/>
        </w:rPr>
        <w:t>1 (20338).</w:t>
      </w:r>
    </w:p>
    <w:p w14:paraId="414C9777" w14:textId="77777777" w:rsidR="00193161" w:rsidRPr="00405303" w:rsidRDefault="00193161" w:rsidP="00C15251">
      <w:pPr>
        <w:jc w:val="both"/>
        <w:rPr>
          <w:bCs/>
          <w:color w:val="002060"/>
          <w:sz w:val="16"/>
          <w:szCs w:val="16"/>
        </w:rPr>
      </w:pPr>
    </w:p>
    <w:p w14:paraId="325B8BA5" w14:textId="75ED4761" w:rsidR="00193161" w:rsidRPr="00405303" w:rsidRDefault="00193161" w:rsidP="00C15251">
      <w:pPr>
        <w:jc w:val="both"/>
        <w:rPr>
          <w:bCs/>
          <w:color w:val="002060"/>
          <w:sz w:val="16"/>
          <w:szCs w:val="16"/>
        </w:rPr>
      </w:pPr>
      <w:r w:rsidRPr="00405303">
        <w:rPr>
          <w:bCs/>
          <w:color w:val="002060"/>
          <w:sz w:val="16"/>
          <w:szCs w:val="16"/>
        </w:rPr>
        <w:t>22 мая (4 июня) 1915</w:t>
      </w:r>
      <w:r w:rsidR="00DB4D64" w:rsidRPr="00405303">
        <w:rPr>
          <w:bCs/>
          <w:color w:val="002060"/>
          <w:sz w:val="16"/>
          <w:szCs w:val="16"/>
        </w:rPr>
        <w:t xml:space="preserve"> </w:t>
      </w:r>
      <w:r w:rsidR="0021649E" w:rsidRPr="00405303">
        <w:rPr>
          <w:bCs/>
          <w:color w:val="002060"/>
          <w:sz w:val="16"/>
          <w:szCs w:val="16"/>
        </w:rPr>
        <w:t>г. состоялся п</w:t>
      </w:r>
      <w:r w:rsidRPr="00405303">
        <w:rPr>
          <w:bCs/>
          <w:color w:val="002060"/>
          <w:sz w:val="16"/>
          <w:szCs w:val="16"/>
        </w:rPr>
        <w:t>ервый полет Marinens Flyvebaatfabrikk M.F.1.</w:t>
      </w:r>
    </w:p>
    <w:p w14:paraId="7D09037E" w14:textId="77777777" w:rsidR="00193161" w:rsidRPr="00405303" w:rsidRDefault="00193161" w:rsidP="00C15251">
      <w:pPr>
        <w:jc w:val="both"/>
        <w:rPr>
          <w:bCs/>
          <w:color w:val="002060"/>
          <w:sz w:val="16"/>
          <w:szCs w:val="16"/>
        </w:rPr>
      </w:pPr>
      <w:r w:rsidRPr="00405303">
        <w:rPr>
          <w:bCs/>
          <w:color w:val="002060"/>
          <w:sz w:val="16"/>
          <w:szCs w:val="16"/>
        </w:rPr>
        <w:t>В начале 1915 года руководство норвежской морской авиации (Marinens Flyvaevasen) основало в Хортене Заводе военных гидросамолетов, эксплуатируемых ВМС Норвегии. В отсутствие национальной авиапромышленности данное предприятие, называвшееся "Marinens Flyvebaatfabrikk", вскоре стало строить собственные самолеты для нужд военных.</w:t>
      </w:r>
    </w:p>
    <w:p w14:paraId="5DD7EEB6" w14:textId="77777777" w:rsidR="00193161" w:rsidRPr="00405303" w:rsidRDefault="00193161" w:rsidP="00C15251">
      <w:pPr>
        <w:jc w:val="both"/>
        <w:rPr>
          <w:bCs/>
          <w:color w:val="002060"/>
          <w:sz w:val="16"/>
          <w:szCs w:val="16"/>
        </w:rPr>
      </w:pPr>
      <w:r w:rsidRPr="00405303">
        <w:rPr>
          <w:bCs/>
          <w:color w:val="002060"/>
          <w:sz w:val="16"/>
          <w:szCs w:val="16"/>
        </w:rPr>
        <w:t>В 1914 году известный норвежский исследователь Роальд Амундсен (Roald Amundsen) приобрел во Франции самолет Farman MF.7 для своей полярной экспедиции, но начавшаяся Первая Мировая война помешала его планам. MF.7 передали на Marinens Flyvebaatfabrikk для изучения и вскоре на заводе наладили выпуск доработанных под требования военных самолетов, получивших обозначение M.F.1.</w:t>
      </w:r>
    </w:p>
    <w:p w14:paraId="3FED925C" w14:textId="77777777" w:rsidR="00193161" w:rsidRPr="00405303" w:rsidRDefault="00193161" w:rsidP="00C15251">
      <w:pPr>
        <w:jc w:val="both"/>
        <w:rPr>
          <w:bCs/>
          <w:color w:val="002060"/>
          <w:sz w:val="16"/>
          <w:szCs w:val="16"/>
        </w:rPr>
      </w:pPr>
      <w:r w:rsidRPr="00405303">
        <w:rPr>
          <w:bCs/>
          <w:color w:val="002060"/>
          <w:sz w:val="16"/>
          <w:szCs w:val="16"/>
        </w:rPr>
        <w:t>Это был двухместный четырехстоечный биплан, оснащенный двигателем Hall-Scott A-3 мощностью 100-130 л.с. (75-97 кВт) с толкающим винтом. Вооружение самолета состояло из пистолета Colt M1911 у пилота и карабина Krag√Jørgensen с 120 патронами у наблюдателя.</w:t>
      </w:r>
    </w:p>
    <w:p w14:paraId="1814AFE3" w14:textId="77777777" w:rsidR="00193161" w:rsidRPr="00405303" w:rsidRDefault="00193161" w:rsidP="00C15251">
      <w:pPr>
        <w:jc w:val="both"/>
        <w:rPr>
          <w:bCs/>
          <w:color w:val="002060"/>
          <w:sz w:val="16"/>
          <w:szCs w:val="16"/>
        </w:rPr>
      </w:pPr>
      <w:r w:rsidRPr="00405303">
        <w:rPr>
          <w:bCs/>
          <w:color w:val="002060"/>
          <w:sz w:val="16"/>
          <w:szCs w:val="16"/>
        </w:rPr>
        <w:t>С 1915 по 1917 года для авиации ВМС Норвегии было построено 5 самолетов M.F.1. Четыре из них были утеряны в результате несчастных случаев в период с 1916 по 1918 года. Последний экземпляр самолета был выведен из эксплуатации летом 1922 года (22471).</w:t>
      </w:r>
    </w:p>
    <w:p w14:paraId="6CAC507C" w14:textId="77777777" w:rsidR="00193161" w:rsidRPr="00405303" w:rsidRDefault="00193161" w:rsidP="00C15251">
      <w:pPr>
        <w:jc w:val="both"/>
        <w:rPr>
          <w:bCs/>
          <w:color w:val="002060"/>
          <w:sz w:val="16"/>
          <w:szCs w:val="16"/>
        </w:rPr>
      </w:pPr>
    </w:p>
    <w:p w14:paraId="7808D0BA"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Англии:</w:t>
      </w:r>
    </w:p>
    <w:p w14:paraId="053C55B4" w14:textId="77777777" w:rsidR="004B4E35" w:rsidRPr="00405303" w:rsidRDefault="004B4E35" w:rsidP="00C15251">
      <w:pPr>
        <w:jc w:val="both"/>
        <w:rPr>
          <w:bCs/>
          <w:i/>
          <w:color w:val="002060"/>
          <w:sz w:val="16"/>
          <w:szCs w:val="16"/>
        </w:rPr>
      </w:pPr>
    </w:p>
    <w:p w14:paraId="76B07DAE" w14:textId="625C05F1" w:rsidR="004B4E35" w:rsidRPr="00405303" w:rsidRDefault="009E6F82" w:rsidP="00C15251">
      <w:pPr>
        <w:jc w:val="both"/>
        <w:rPr>
          <w:bCs/>
          <w:color w:val="002060"/>
          <w:sz w:val="16"/>
          <w:szCs w:val="16"/>
        </w:rPr>
      </w:pPr>
      <w:r w:rsidRPr="00405303">
        <w:rPr>
          <w:bCs/>
          <w:color w:val="002060"/>
          <w:sz w:val="16"/>
          <w:szCs w:val="16"/>
        </w:rPr>
        <w:lastRenderedPageBreak/>
        <w:t xml:space="preserve">22 мая (4 июня) 1915 года. Стояла прекрасная погода. Прибыв в точку назначения, две плавбазы стали на якорь и спустили самолеты на воду. На борту «Энгадайна» остались 3 «сопвича», которые были вооружены пулеметами и предназначались для борьбы с цеппелиннами. Четыре «сопвича» с плавбазы «Ривьера» взлетели без проблем и ушли на разведку. «Шорт» с «Энгадайна» попал в кильватерную струю эскадренного миноносца и повредил воздушный винт. Неудачи на этом не закончились. Вскоре 2 «сопвича» из-за неуверенной работы двигателей вернулись назад. Третий самолет заблудился, и его в конце концов подобрали голландские рыбаки. Только четвертому пилоту удалось выполнить задание — он разведал устье реки Эмс и сбросил бомбы на миноносцы. Вдогонку этому самолету вылетели немецкие гидросамолеты, но безуспешно. На обратном пути пилот потерял ориентировку, но «помогли» 4 цеппелина, уже находившиеся в районе флотилии Тирвитта и прекрасно видные издалека. </w:t>
      </w:r>
    </w:p>
    <w:p w14:paraId="6BD26B41" w14:textId="77777777" w:rsidR="004B4E35" w:rsidRPr="00405303" w:rsidRDefault="009E6F82" w:rsidP="00C15251">
      <w:pPr>
        <w:jc w:val="both"/>
        <w:rPr>
          <w:bCs/>
          <w:color w:val="002060"/>
          <w:sz w:val="16"/>
          <w:szCs w:val="16"/>
        </w:rPr>
      </w:pPr>
      <w:r w:rsidRPr="00405303">
        <w:rPr>
          <w:bCs/>
          <w:color w:val="002060"/>
          <w:sz w:val="16"/>
          <w:szCs w:val="16"/>
        </w:rPr>
        <w:t>Если разведка имела частичный успех, то замысел против цеппелинов не удался. Все 3 «сопвича», в срочном порядке спущенные с плавбазы «Энгадайн», на взлете повредили свои поплавки. Цеппелины величаво кружили над флотилией, не входя в зону действия зенитных средств. По всему было видно, что вскоре следует ожидать подхода немецких боевых кораблей, и тогда Тирвитт дал команду на возвращение на базу (11324).</w:t>
      </w:r>
    </w:p>
    <w:p w14:paraId="02697DF3" w14:textId="77777777" w:rsidR="004B4E35" w:rsidRPr="00405303" w:rsidRDefault="004B4E35" w:rsidP="00C15251">
      <w:pPr>
        <w:jc w:val="both"/>
        <w:rPr>
          <w:bCs/>
          <w:i/>
          <w:color w:val="002060"/>
          <w:sz w:val="16"/>
          <w:szCs w:val="16"/>
        </w:rPr>
      </w:pPr>
    </w:p>
    <w:p w14:paraId="0FD7C4D8"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за рубежом:</w:t>
      </w:r>
    </w:p>
    <w:p w14:paraId="63A75A2C" w14:textId="77777777" w:rsidR="004B4E35" w:rsidRPr="00405303" w:rsidRDefault="004B4E35" w:rsidP="00C15251">
      <w:pPr>
        <w:shd w:val="clear" w:color="auto" w:fill="FFFFFF"/>
        <w:jc w:val="both"/>
        <w:rPr>
          <w:bCs/>
          <w:i/>
          <w:color w:val="002060"/>
          <w:sz w:val="16"/>
          <w:szCs w:val="16"/>
        </w:rPr>
      </w:pPr>
    </w:p>
    <w:p w14:paraId="4A9FD05C" w14:textId="6A6C7DF0" w:rsidR="004B4E35" w:rsidRPr="00405303" w:rsidRDefault="009E6F82" w:rsidP="00C15251">
      <w:pPr>
        <w:jc w:val="both"/>
        <w:rPr>
          <w:bCs/>
          <w:color w:val="002060"/>
          <w:sz w:val="16"/>
          <w:szCs w:val="16"/>
        </w:rPr>
      </w:pPr>
      <w:r w:rsidRPr="00405303">
        <w:rPr>
          <w:bCs/>
          <w:color w:val="002060"/>
          <w:sz w:val="16"/>
          <w:szCs w:val="16"/>
        </w:rPr>
        <w:t>22 мая (4 июня)</w:t>
      </w:r>
      <w:r w:rsidR="00E05705" w:rsidRPr="00405303">
        <w:rPr>
          <w:bCs/>
          <w:color w:val="002060"/>
          <w:sz w:val="16"/>
          <w:szCs w:val="16"/>
        </w:rPr>
        <w:t xml:space="preserve"> 1915 г. состоялся</w:t>
      </w:r>
      <w:r w:rsidRPr="00405303">
        <w:rPr>
          <w:bCs/>
          <w:color w:val="002060"/>
          <w:sz w:val="16"/>
          <w:szCs w:val="16"/>
        </w:rPr>
        <w:t xml:space="preserve"> </w:t>
      </w:r>
      <w:r w:rsidR="00E05705" w:rsidRPr="00405303">
        <w:rPr>
          <w:bCs/>
          <w:color w:val="002060"/>
          <w:sz w:val="16"/>
          <w:szCs w:val="16"/>
        </w:rPr>
        <w:t xml:space="preserve">первый налет на австрийский порт Триест, </w:t>
      </w:r>
      <w:r w:rsidRPr="00405303">
        <w:rPr>
          <w:bCs/>
          <w:color w:val="002060"/>
          <w:sz w:val="16"/>
          <w:szCs w:val="16"/>
        </w:rPr>
        <w:t xml:space="preserve">когда его «навестил» </w:t>
      </w:r>
      <w:r w:rsidR="00E05705" w:rsidRPr="00405303">
        <w:rPr>
          <w:bCs/>
          <w:color w:val="002060"/>
          <w:sz w:val="16"/>
          <w:szCs w:val="16"/>
        </w:rPr>
        <w:t xml:space="preserve">итальянский дирижабль </w:t>
      </w:r>
      <w:r w:rsidRPr="00405303">
        <w:rPr>
          <w:bCs/>
          <w:color w:val="002060"/>
          <w:sz w:val="16"/>
          <w:szCs w:val="16"/>
        </w:rPr>
        <w:t>Р.4. Через два дня этот дирижабль повторил атаку, сбросив на город 308 кг бомб. Подобные налеты продолжались до весны 1916 года, правда с меньшей интенсивностью. В 1916 году началась бомбардировочная операция, в которой были задействованы дирижабли типа «М». Выбор целей тщательно продумывался и потому урон противнику был причинен достаточно большой (11324).</w:t>
      </w:r>
    </w:p>
    <w:p w14:paraId="70094012" w14:textId="77777777" w:rsidR="004B4E35" w:rsidRPr="00405303" w:rsidRDefault="004B4E35" w:rsidP="00C15251">
      <w:pPr>
        <w:shd w:val="clear" w:color="auto" w:fill="FFFFFF"/>
        <w:jc w:val="both"/>
        <w:rPr>
          <w:bCs/>
          <w:i/>
          <w:color w:val="002060"/>
          <w:sz w:val="16"/>
          <w:szCs w:val="16"/>
        </w:rPr>
      </w:pPr>
    </w:p>
    <w:p w14:paraId="5A27E868" w14:textId="72E9FE6C" w:rsidR="0021141E" w:rsidRPr="00405303" w:rsidRDefault="0021141E" w:rsidP="00C15251">
      <w:pPr>
        <w:jc w:val="both"/>
        <w:rPr>
          <w:bCs/>
          <w:i/>
          <w:color w:val="002060"/>
          <w:sz w:val="16"/>
          <w:szCs w:val="16"/>
        </w:rPr>
      </w:pPr>
      <w:r w:rsidRPr="00405303">
        <w:rPr>
          <w:bCs/>
          <w:i/>
          <w:color w:val="002060"/>
          <w:sz w:val="16"/>
          <w:szCs w:val="16"/>
        </w:rPr>
        <w:t>Другие оборонные отрасли:</w:t>
      </w:r>
    </w:p>
    <w:p w14:paraId="067BAA53" w14:textId="77777777" w:rsidR="0021141E" w:rsidRPr="00405303" w:rsidRDefault="0021141E" w:rsidP="00C15251">
      <w:pPr>
        <w:jc w:val="both"/>
        <w:rPr>
          <w:bCs/>
          <w:i/>
          <w:color w:val="002060"/>
          <w:sz w:val="16"/>
          <w:szCs w:val="16"/>
        </w:rPr>
      </w:pPr>
    </w:p>
    <w:p w14:paraId="5141D704" w14:textId="5715FD4A" w:rsidR="0021141E" w:rsidRPr="00405303" w:rsidRDefault="0021141E" w:rsidP="00C15251">
      <w:pPr>
        <w:jc w:val="both"/>
        <w:rPr>
          <w:bCs/>
          <w:color w:val="002060"/>
          <w:sz w:val="16"/>
          <w:szCs w:val="16"/>
        </w:rPr>
      </w:pPr>
      <w:r w:rsidRPr="00405303">
        <w:rPr>
          <w:bCs/>
          <w:color w:val="002060"/>
          <w:sz w:val="16"/>
          <w:szCs w:val="16"/>
        </w:rPr>
        <w:t xml:space="preserve">23 мая </w:t>
      </w:r>
      <w:r w:rsidR="006B3741" w:rsidRPr="00405303">
        <w:rPr>
          <w:bCs/>
          <w:color w:val="002060"/>
          <w:sz w:val="16"/>
          <w:szCs w:val="16"/>
        </w:rPr>
        <w:t xml:space="preserve">(5 июня) </w:t>
      </w:r>
      <w:r w:rsidRPr="00405303">
        <w:rPr>
          <w:bCs/>
          <w:color w:val="002060"/>
          <w:sz w:val="16"/>
          <w:szCs w:val="16"/>
        </w:rPr>
        <w:t>1915 г. ежемесячная потребность в винтовках была установлена уже в 200 ты</w:t>
      </w:r>
      <w:r w:rsidRPr="00405303">
        <w:rPr>
          <w:bCs/>
          <w:color w:val="002060"/>
          <w:sz w:val="16"/>
          <w:szCs w:val="16"/>
        </w:rPr>
        <w:softHyphen/>
        <w:t>сяч, то есть 2,4 млн в год, и на этом уровне исчислялась и далее. Как заявило в Думе 30 марта 1916 г. Военное мини</w:t>
      </w:r>
      <w:r w:rsidRPr="00405303">
        <w:rPr>
          <w:bCs/>
          <w:color w:val="002060"/>
          <w:sz w:val="16"/>
          <w:szCs w:val="16"/>
        </w:rPr>
        <w:softHyphen/>
        <w:t xml:space="preserve">стерство, необходимо «придерживаться уже выяснившейся на основании опыта текущей войны потребности в выпуске ежемесячно по 200 тысяч винтовок» (Там же. Оп. 2. Д. 1733. Л. 10; Ф. 29. Оп. 3. Д. 731. Л. 97; Ф. 1. </w:t>
      </w:r>
      <w:r w:rsidRPr="00405303">
        <w:rPr>
          <w:bCs/>
          <w:color w:val="002060"/>
          <w:sz w:val="16"/>
          <w:szCs w:val="16"/>
          <w:lang w:val="en-US" w:bidi="en-US"/>
        </w:rPr>
        <w:t>On</w:t>
      </w:r>
      <w:r w:rsidRPr="00405303">
        <w:rPr>
          <w:bCs/>
          <w:color w:val="002060"/>
          <w:sz w:val="16"/>
          <w:szCs w:val="16"/>
          <w:lang w:bidi="en-US"/>
        </w:rPr>
        <w:t xml:space="preserve">. </w:t>
      </w:r>
      <w:r w:rsidRPr="00405303">
        <w:rPr>
          <w:bCs/>
          <w:color w:val="002060"/>
          <w:sz w:val="16"/>
          <w:szCs w:val="16"/>
        </w:rPr>
        <w:t>1. Т. 46. Д. 1125. Л. 76.) (23452).</w:t>
      </w:r>
    </w:p>
    <w:p w14:paraId="65E29C60" w14:textId="77777777" w:rsidR="0021141E" w:rsidRPr="00405303" w:rsidRDefault="0021141E" w:rsidP="00C15251">
      <w:pPr>
        <w:jc w:val="both"/>
        <w:rPr>
          <w:bCs/>
          <w:color w:val="002060"/>
          <w:sz w:val="16"/>
          <w:szCs w:val="16"/>
        </w:rPr>
      </w:pPr>
    </w:p>
    <w:p w14:paraId="35C4F2E7" w14:textId="480BC46F"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5FA76893" w14:textId="77777777" w:rsidR="004B4E35" w:rsidRPr="00405303" w:rsidRDefault="004B4E35" w:rsidP="00C15251">
      <w:pPr>
        <w:jc w:val="both"/>
        <w:rPr>
          <w:bCs/>
          <w:i/>
          <w:color w:val="002060"/>
          <w:sz w:val="16"/>
          <w:szCs w:val="16"/>
        </w:rPr>
      </w:pPr>
    </w:p>
    <w:p w14:paraId="3463B56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23 мая (5 июня) 1915 года "Цеппелин" императорской германской армии, с бортовым номером LZ 27, возвращался на свою базу после неудачного рейда на Британские острова. Застигнутый неожиданной атакой англичан над Кале воздушный корабль направлялся в оккупированную Бельгию. Около 2.35 дня, находясь уже на подлете к городу Гент, экипаж "Цеппелина" чувствовал себя почти дома и ослабил наблюдение за воздухом. На земле под ними проплывали постройки монастыря св. Армана. От пейзажа внизу веяло спокойствием. Вдруг серия взрывов сотрясла оболочку гиганта. Наполненный водородом дирижабль моментально вспыхнул. Из всей команды избежал гибели, причем самым сверхъестественным образом, только штурман Альфред Мухлер. Когда его вышвырнуло из разрушающейся гондолы корабля, он упал не на землю, а на выставленную в монастыре для просушки кровать с мягким матрасом. Эту воздушную победу над германским дирижаблем одержал британский пилот - сублейтенант Р. А. Дж. Варнефорд из состава 1 -го воздушного крыла RNAS (Royal Navy Air Service - Авиационная служба королевского флота). В своем рапорте об этом воздушном бое он впоследствии записал: "Я находился сзади и выше "Цеппелина" на высоте примерно 11000 футов (около 3350 метров). Выключив двигатель, я начал снижаться. Когда дирижабль оказался точно подо мной, сбросил зажигательные бомбы, и когда я стал освобождаться от последней, сильный взрыв поднял и перевернул мой самолет. На короткое время он потерял управление. Выровняв его, я смог наблюдать, как горящая оболочка падает на землю". Но Варнефорд недолго мог любоваться гибелью противника, так как самому пришлось срочно приземляться. Последствием близкого взрыва для его самолета стало разрушение бензопровода к мотору и повреждение бензонасоса. На земле, прячась от конных разъездов неприятеля, ищущих приземлившийся английский самолет, он своими руками починил помпу и трубку питания. Отважный летчик вернулся на свою базу в 22.30 вечера, когда его уже считали пропавшим без вести. Газеты союзников пересказывали на все лады эту историю уничтожения германского рейдера. Лейтенант Варнефорд за свой поступок был отмечен высшей английской военной наградой. Его аэроплан решили сохранить для истории как пример боевой доблести. Однако следы самолета затерялись во времени и дальнейшая его судьба неизвестна. Журналисты окрестили маленький аппарат "Убийцей гигантов" ("Giant Killer"), сравнивая его с библейским Давидом, повергшим Голиафа. Самолет, получивший такую известность, был разведчик "Моран-Солнье"тип L. А через полгода еще один "Цеппелин" пал жертвой французского летчика Жана Наварра. И вновь аппаратом, уничтожившим немецкий дирижабль, стал "Моран-Солнье" L, правда, на этот раз уже оборудованный пулеметом (11265).</w:t>
      </w:r>
    </w:p>
    <w:p w14:paraId="70322C3E" w14:textId="77777777" w:rsidR="004B4E35" w:rsidRPr="00405303" w:rsidRDefault="004B4E35" w:rsidP="00C15251">
      <w:pPr>
        <w:pStyle w:val="a3"/>
        <w:jc w:val="both"/>
        <w:rPr>
          <w:bCs/>
          <w:i w:val="0"/>
          <w:color w:val="002060"/>
          <w:spacing w:val="0"/>
          <w:kern w:val="0"/>
          <w:position w:val="0"/>
          <w:sz w:val="16"/>
          <w:szCs w:val="16"/>
        </w:rPr>
      </w:pPr>
    </w:p>
    <w:p w14:paraId="5817BF4C" w14:textId="77777777" w:rsidR="00997767" w:rsidRPr="00405303" w:rsidRDefault="00997767" w:rsidP="00C15251">
      <w:pPr>
        <w:jc w:val="both"/>
        <w:rPr>
          <w:bCs/>
          <w:i/>
          <w:color w:val="002060"/>
          <w:sz w:val="16"/>
          <w:szCs w:val="16"/>
        </w:rPr>
      </w:pPr>
      <w:r w:rsidRPr="00405303">
        <w:rPr>
          <w:bCs/>
          <w:i/>
          <w:color w:val="002060"/>
          <w:sz w:val="16"/>
          <w:szCs w:val="16"/>
        </w:rPr>
        <w:t>Авиация и воздухоплавание Англии:</w:t>
      </w:r>
    </w:p>
    <w:p w14:paraId="2212B0C9" w14:textId="77777777" w:rsidR="00997767" w:rsidRPr="00405303" w:rsidRDefault="00997767" w:rsidP="00C15251">
      <w:pPr>
        <w:jc w:val="both"/>
        <w:rPr>
          <w:bCs/>
          <w:i/>
          <w:color w:val="002060"/>
          <w:sz w:val="16"/>
          <w:szCs w:val="16"/>
        </w:rPr>
      </w:pPr>
    </w:p>
    <w:p w14:paraId="44F20FD9" w14:textId="77777777" w:rsidR="00556D98" w:rsidRPr="00405303" w:rsidRDefault="00556D98" w:rsidP="00C15251">
      <w:pPr>
        <w:jc w:val="both"/>
        <w:rPr>
          <w:bCs/>
          <w:color w:val="002060"/>
          <w:sz w:val="16"/>
          <w:szCs w:val="16"/>
        </w:rPr>
      </w:pPr>
      <w:r w:rsidRPr="00405303">
        <w:rPr>
          <w:bCs/>
          <w:color w:val="002060"/>
          <w:sz w:val="16"/>
          <w:szCs w:val="16"/>
        </w:rPr>
        <w:t xml:space="preserve">23 мая (5 июня) в 1915 году британский пилот - суб-лейтенант Р.А.Дж.Варнефорд из состава 1-го воздушного крыла RNAS (Royal Navy Air Service - Авиационная служба королевского флота) на разведчике </w:t>
      </w:r>
      <w:hyperlink r:id="rId35" w:tgtFrame="_blank" w:history="1">
        <w:r w:rsidRPr="00405303">
          <w:rPr>
            <w:bCs/>
            <w:color w:val="002060"/>
            <w:sz w:val="16"/>
            <w:szCs w:val="16"/>
          </w:rPr>
          <w:t xml:space="preserve">«Моран-Солнье2 «тип L» </w:t>
        </w:r>
      </w:hyperlink>
      <w:r w:rsidRPr="00405303">
        <w:rPr>
          <w:bCs/>
          <w:color w:val="002060"/>
          <w:sz w:val="16"/>
          <w:szCs w:val="16"/>
        </w:rPr>
        <w:t>сбил «Цеппелин» императорской германской армии, с бортовым номером LZ27, возвращавшийся на свою базу после неудачного рейда на Британские острова. Застигнутый неожиданной атакой англичан над Кале воздушный корабль направлялся в оккупированную Бельгию. Около 2.35 дня, находясь уже на подлете к городу Гент, экипаж "Цеппелина" чувствовал себя почти дома и ослабил наблюдение за воздухом. На земле под ними проплывали постройки монастыря святого Армана. От пейзажа внизу веяло спокойствием. Вдруг серия взрывов сотрясла оболочку гиганта. Наполненный водородом дирижабль моментально вспыхнул. Из всей команды избежал гибели, причем самым сверхъестественным образом, только штурман Альфред Мухлер. Когда его вышвырнуло из разрушающейся гондолы корабля, он упал не на землю, а на выставленную в монастыре для просушки кровать с мягким матрасом. В своем рапорте об этом воздушном бое суб-лейтенант Р.А.Дж.Варнефорд написал: "Я находился сзади и выше "Цеппелина" на высоте примерно 11000 футов (около 3350 метров). Выключив двигатель, я начал снижаться. Когда дирижабль оказался точно подо мной, сбросил зажигательные бомбы, и когда я стал освобождаться от последней, сильный взрыв поднял и перевернул мой самолет. На короткое время он потерял управление. Выровняв его, я смог наблюдать, как горящая оболочка падает на землю". Но Варнефорд недолго мог любоваться гибелью противника, так как самому пришлось срочно приземляться. Последствием близкого взрыва для его самолета стало разрушение бензопровода к мотору и повреждение бензонасоса. На земле, прячась от конных разъездов неприятеля, ищущих приземлившийся английский самолет, он своими руками починил помпу и трубку питания. Отважный летчик вернулся на свою базу в 22.30 вечера, когда его уже считали пропавшим без вести (14913).</w:t>
      </w:r>
    </w:p>
    <w:p w14:paraId="1556DAF7" w14:textId="77777777" w:rsidR="00556D98" w:rsidRPr="00405303" w:rsidRDefault="00556D98" w:rsidP="00C15251">
      <w:pPr>
        <w:jc w:val="both"/>
        <w:rPr>
          <w:bCs/>
          <w:color w:val="002060"/>
          <w:sz w:val="16"/>
          <w:szCs w:val="16"/>
        </w:rPr>
      </w:pPr>
    </w:p>
    <w:p w14:paraId="5814E776" w14:textId="4574A418" w:rsidR="00997767" w:rsidRPr="00405303" w:rsidRDefault="00997767" w:rsidP="00C15251">
      <w:pPr>
        <w:jc w:val="both"/>
        <w:rPr>
          <w:bCs/>
          <w:color w:val="002060"/>
          <w:sz w:val="16"/>
          <w:szCs w:val="16"/>
        </w:rPr>
      </w:pPr>
      <w:r w:rsidRPr="00405303">
        <w:rPr>
          <w:bCs/>
          <w:color w:val="002060"/>
          <w:sz w:val="16"/>
          <w:szCs w:val="16"/>
        </w:rPr>
        <w:t xml:space="preserve">23 мая </w:t>
      </w:r>
      <w:r w:rsidR="00E05705" w:rsidRPr="00405303">
        <w:rPr>
          <w:bCs/>
          <w:color w:val="002060"/>
          <w:sz w:val="16"/>
          <w:szCs w:val="16"/>
        </w:rPr>
        <w:t>(</w:t>
      </w:r>
      <w:r w:rsidRPr="00405303">
        <w:rPr>
          <w:bCs/>
          <w:color w:val="002060"/>
          <w:sz w:val="16"/>
          <w:szCs w:val="16"/>
        </w:rPr>
        <w:t>5 июня) 1915</w:t>
      </w:r>
      <w:r w:rsidR="00DB4D64" w:rsidRPr="00405303">
        <w:rPr>
          <w:bCs/>
          <w:color w:val="002060"/>
          <w:sz w:val="16"/>
          <w:szCs w:val="16"/>
        </w:rPr>
        <w:t xml:space="preserve"> </w:t>
      </w:r>
      <w:r w:rsidRPr="00405303">
        <w:rPr>
          <w:bCs/>
          <w:color w:val="002060"/>
          <w:sz w:val="16"/>
          <w:szCs w:val="16"/>
        </w:rPr>
        <w:t>- Британский пилот - суб-лейтенант Р.А. Дж.Варнефорд из состава 1-го воздушного крыла RNAS (Royal Navy Air Service - Авиационная служба королевского флота) на разведчик е"Моран-Солнье" тип L. сбил "Цеппелин" императорской германской армии, с бортовым номером LZ27, возвращавшийся на свою базу после неудачного рейда на Британские острова. Застигнутый неожиданной атакой англичан над Кале воздушный корабль направлялся в оккупированную Бельгию.</w:t>
      </w:r>
    </w:p>
    <w:p w14:paraId="35008FF5" w14:textId="77777777" w:rsidR="00997767" w:rsidRPr="00405303" w:rsidRDefault="00997767" w:rsidP="00C15251">
      <w:pPr>
        <w:jc w:val="both"/>
        <w:rPr>
          <w:bCs/>
          <w:color w:val="002060"/>
          <w:sz w:val="16"/>
          <w:szCs w:val="16"/>
        </w:rPr>
      </w:pPr>
      <w:r w:rsidRPr="00405303">
        <w:rPr>
          <w:bCs/>
          <w:color w:val="002060"/>
          <w:sz w:val="16"/>
          <w:szCs w:val="16"/>
        </w:rPr>
        <w:t>Около 2.35 дня, находясь уже на подлёте к городу Гент, экипаж "Цеппелина" чувствовал себя почти дома и ослабил наблюдение за воздухом. На земле под ними проплывали постройки монастыря св.Армана. От пейзажа внизу веяло спокойствием. Вдруг серия взрывов сотрясла оболочку гиганта. Наполненный водородом дирижабль моментально вспыхнул. Из всей команды избежал гибели, причем самым сверхъестественным образом, только штурман Альфред Мухлер. Когда его вышвырнуло из разрушающейся гондолы корабля, он упал не на землю, а на выставленную в монастыре для просушки кровать с мягким матрасом.</w:t>
      </w:r>
    </w:p>
    <w:p w14:paraId="719F67AB" w14:textId="77777777" w:rsidR="00997767" w:rsidRPr="00405303" w:rsidRDefault="00997767" w:rsidP="00C15251">
      <w:pPr>
        <w:jc w:val="both"/>
        <w:rPr>
          <w:bCs/>
          <w:color w:val="002060"/>
          <w:sz w:val="16"/>
          <w:szCs w:val="16"/>
        </w:rPr>
      </w:pPr>
      <w:r w:rsidRPr="00405303">
        <w:rPr>
          <w:bCs/>
          <w:color w:val="002060"/>
          <w:sz w:val="16"/>
          <w:szCs w:val="16"/>
        </w:rPr>
        <w:lastRenderedPageBreak/>
        <w:t>В своём рапорте об этом воздушном бое суб-лейтенант Р.А. Дж.Варнефорд написал: "Я находился сзади и выше "Цеппелина" на высоте примерно 11000 футов (около 3350 метров). Выключив двигатель, я начал снижаться. Когда дирижабль оказался точно подо мной, сбросил зажигательные бомбы, и когда я стал освобождаться от последней, сильный взрыв поднял и перевернул мой самолёт. На короткое время он потерял управление. Выровняв его, я смог наблюдать, как горящая оболочка падает на землю".</w:t>
      </w:r>
    </w:p>
    <w:p w14:paraId="0B58F7C5" w14:textId="77777777" w:rsidR="00997767" w:rsidRPr="00405303" w:rsidRDefault="00997767" w:rsidP="00C15251">
      <w:pPr>
        <w:jc w:val="both"/>
        <w:rPr>
          <w:bCs/>
          <w:color w:val="002060"/>
          <w:sz w:val="16"/>
          <w:szCs w:val="16"/>
        </w:rPr>
      </w:pPr>
      <w:r w:rsidRPr="00405303">
        <w:rPr>
          <w:bCs/>
          <w:color w:val="002060"/>
          <w:sz w:val="16"/>
          <w:szCs w:val="16"/>
        </w:rPr>
        <w:t>Но Варнефорд недолго мог любоваться гибелью противника, так как самому пришлось срочно приземляться. Последствием близкого взрыва для его самолёта стало разрушение бензопровода к мотору и повреждение бензонасоса. На земле, прячась от конных разъездов неприятеля, ищущих приземлившийся английский самолёт, он своими руками починил помпу и трубку питания. Отважный лётчик вернулся на свою базу в 22.30 вечера, когда его уже считали пропавшим без вести (22470).</w:t>
      </w:r>
    </w:p>
    <w:p w14:paraId="6F2602BA" w14:textId="77777777" w:rsidR="00997767" w:rsidRPr="00405303" w:rsidRDefault="00997767" w:rsidP="00C15251">
      <w:pPr>
        <w:jc w:val="both"/>
        <w:rPr>
          <w:bCs/>
          <w:color w:val="002060"/>
          <w:sz w:val="16"/>
          <w:szCs w:val="16"/>
        </w:rPr>
      </w:pPr>
    </w:p>
    <w:p w14:paraId="5F2DBE9C" w14:textId="77777777" w:rsidR="00556D98" w:rsidRPr="00405303" w:rsidRDefault="00556D98" w:rsidP="00C15251">
      <w:pPr>
        <w:shd w:val="clear" w:color="auto" w:fill="FFFFFF"/>
        <w:jc w:val="both"/>
        <w:rPr>
          <w:bCs/>
          <w:i/>
          <w:color w:val="002060"/>
          <w:sz w:val="16"/>
          <w:szCs w:val="16"/>
        </w:rPr>
      </w:pPr>
      <w:r w:rsidRPr="00405303">
        <w:rPr>
          <w:bCs/>
          <w:i/>
          <w:color w:val="002060"/>
          <w:sz w:val="16"/>
          <w:szCs w:val="16"/>
        </w:rPr>
        <w:t>Авиация и воздухоплавание за рубежом:</w:t>
      </w:r>
    </w:p>
    <w:p w14:paraId="78F63FC2" w14:textId="77777777" w:rsidR="00556D98" w:rsidRPr="00405303" w:rsidRDefault="00556D98" w:rsidP="00C15251">
      <w:pPr>
        <w:shd w:val="clear" w:color="auto" w:fill="FFFFFF"/>
        <w:jc w:val="both"/>
        <w:rPr>
          <w:bCs/>
          <w:i/>
          <w:color w:val="002060"/>
          <w:sz w:val="16"/>
          <w:szCs w:val="16"/>
        </w:rPr>
      </w:pPr>
    </w:p>
    <w:p w14:paraId="4460B422" w14:textId="6F1ABC69" w:rsidR="00556D98" w:rsidRPr="00405303" w:rsidRDefault="00556D98" w:rsidP="00C15251">
      <w:pPr>
        <w:jc w:val="both"/>
        <w:rPr>
          <w:bCs/>
          <w:color w:val="002060"/>
          <w:sz w:val="16"/>
          <w:szCs w:val="16"/>
        </w:rPr>
      </w:pPr>
      <w:r w:rsidRPr="00405303">
        <w:rPr>
          <w:bCs/>
          <w:color w:val="002060"/>
          <w:sz w:val="16"/>
          <w:szCs w:val="16"/>
        </w:rPr>
        <w:t xml:space="preserve">23 и 19 мая (5 и 1 июня) 1915 г. австрийская авиация бомбила эллинг </w:t>
      </w:r>
      <w:r w:rsidR="00E05705" w:rsidRPr="00405303">
        <w:rPr>
          <w:bCs/>
          <w:color w:val="002060"/>
          <w:sz w:val="16"/>
          <w:szCs w:val="16"/>
        </w:rPr>
        <w:t xml:space="preserve">итальянских дирижаблей </w:t>
      </w:r>
      <w:r w:rsidRPr="00405303">
        <w:rPr>
          <w:bCs/>
          <w:color w:val="002060"/>
          <w:sz w:val="16"/>
          <w:szCs w:val="16"/>
        </w:rPr>
        <w:t>в Кампальто (11324).</w:t>
      </w:r>
    </w:p>
    <w:p w14:paraId="4CEB451B" w14:textId="77777777" w:rsidR="00556D98" w:rsidRPr="00405303" w:rsidRDefault="00556D98" w:rsidP="00C15251">
      <w:pPr>
        <w:shd w:val="clear" w:color="auto" w:fill="FFFFFF"/>
        <w:jc w:val="both"/>
        <w:rPr>
          <w:bCs/>
          <w:i/>
          <w:color w:val="002060"/>
          <w:sz w:val="16"/>
          <w:szCs w:val="16"/>
        </w:rPr>
      </w:pPr>
    </w:p>
    <w:p w14:paraId="33A820D7" w14:textId="77777777" w:rsidR="00E05705" w:rsidRPr="00405303" w:rsidRDefault="00E05705" w:rsidP="00C15251">
      <w:pPr>
        <w:jc w:val="both"/>
        <w:rPr>
          <w:bCs/>
          <w:i/>
          <w:color w:val="002060"/>
          <w:sz w:val="16"/>
          <w:szCs w:val="16"/>
        </w:rPr>
      </w:pPr>
      <w:r w:rsidRPr="00405303">
        <w:rPr>
          <w:bCs/>
          <w:i/>
          <w:color w:val="002060"/>
          <w:sz w:val="16"/>
          <w:szCs w:val="16"/>
        </w:rPr>
        <w:t>За рубежом:</w:t>
      </w:r>
    </w:p>
    <w:p w14:paraId="54009925" w14:textId="77777777" w:rsidR="00E05705" w:rsidRPr="00405303" w:rsidRDefault="00E05705" w:rsidP="00C15251">
      <w:pPr>
        <w:jc w:val="both"/>
        <w:rPr>
          <w:bCs/>
          <w:color w:val="002060"/>
          <w:sz w:val="16"/>
          <w:szCs w:val="16"/>
        </w:rPr>
      </w:pPr>
    </w:p>
    <w:p w14:paraId="35FFF8E5" w14:textId="77777777" w:rsidR="00E05705" w:rsidRPr="00405303" w:rsidRDefault="00E05705" w:rsidP="00C15251">
      <w:pPr>
        <w:jc w:val="both"/>
        <w:rPr>
          <w:bCs/>
          <w:color w:val="002060"/>
          <w:sz w:val="16"/>
          <w:szCs w:val="16"/>
        </w:rPr>
      </w:pPr>
      <w:r w:rsidRPr="00405303">
        <w:rPr>
          <w:bCs/>
          <w:color w:val="002060"/>
          <w:sz w:val="16"/>
          <w:szCs w:val="16"/>
        </w:rPr>
        <w:t>23 мая (5 июня) в 1915 году немецкое командование запретило своему флоту топить пассажирские судна (14913).</w:t>
      </w:r>
    </w:p>
    <w:p w14:paraId="37FC4042" w14:textId="77777777" w:rsidR="00E05705" w:rsidRPr="00405303" w:rsidRDefault="00E05705" w:rsidP="00C15251">
      <w:pPr>
        <w:jc w:val="both"/>
        <w:rPr>
          <w:bCs/>
          <w:color w:val="002060"/>
          <w:sz w:val="16"/>
          <w:szCs w:val="16"/>
        </w:rPr>
      </w:pPr>
    </w:p>
    <w:p w14:paraId="633A005C" w14:textId="77777777" w:rsidR="00E05705" w:rsidRPr="00405303" w:rsidRDefault="00E05705" w:rsidP="00C15251">
      <w:pPr>
        <w:jc w:val="both"/>
        <w:rPr>
          <w:bCs/>
          <w:color w:val="002060"/>
          <w:sz w:val="16"/>
          <w:szCs w:val="16"/>
        </w:rPr>
      </w:pPr>
      <w:r w:rsidRPr="00405303">
        <w:rPr>
          <w:bCs/>
          <w:color w:val="002060"/>
          <w:sz w:val="16"/>
          <w:szCs w:val="16"/>
        </w:rPr>
        <w:t>23 мая (5 июня) в 1915 году в Северном море на широте Питерхеда около группы промысловых судов всплыла германская подводная лодка. Это была субмарина «U-14» лейтенанта Хаммерле. Всплыв, лодка немедленно открыла огонь по ближайшему траулеру "Oceanic-II". Хаммерле, вероятно, не разглядел, что на палубе его противника стояли две 76-мм пушки. "Oceanic-II" открыл ответный огонь и дал сигнал, по которому ему на помощь бросились еще 4 подобных корабля. Субмарина оказалась под жестоким обстрелом, потеряла ход, а подошедший траулер "Hawk" нанес ей таранный удар. Лодка погрузилась, но почти сразу всплыла; экипаж начал выскакивать на палубу в спасательных жилетах и бросаться в воду Английские моряки спасли 6 офицеров и 21 матроса Лейтенант Хаммерле отказался покинуть лодку и вместе с ней пошел на дно.</w:t>
      </w:r>
    </w:p>
    <w:p w14:paraId="432CC833" w14:textId="77777777" w:rsidR="00E05705" w:rsidRPr="00405303" w:rsidRDefault="00E05705" w:rsidP="00C15251">
      <w:pPr>
        <w:jc w:val="both"/>
        <w:rPr>
          <w:bCs/>
          <w:color w:val="002060"/>
          <w:sz w:val="16"/>
          <w:szCs w:val="16"/>
        </w:rPr>
      </w:pPr>
      <w:r w:rsidRPr="00405303">
        <w:rPr>
          <w:bCs/>
          <w:color w:val="002060"/>
          <w:sz w:val="16"/>
          <w:szCs w:val="16"/>
        </w:rPr>
        <w:t>Подлодка «U-14» стала первой субмариной, погибшей от нового вида противолодочных средств — судна-ловушки, серьезно ограничившего в дальнейшем безнаказанность немецких подводных пиратов (14913).</w:t>
      </w:r>
    </w:p>
    <w:p w14:paraId="28093341" w14:textId="77777777" w:rsidR="00E05705" w:rsidRPr="00405303" w:rsidRDefault="00E05705" w:rsidP="00C15251">
      <w:pPr>
        <w:jc w:val="both"/>
        <w:rPr>
          <w:bCs/>
          <w:color w:val="002060"/>
          <w:sz w:val="16"/>
          <w:szCs w:val="16"/>
        </w:rPr>
      </w:pPr>
    </w:p>
    <w:p w14:paraId="7EB4D886"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Другие оборонные отрасли:</w:t>
      </w:r>
    </w:p>
    <w:p w14:paraId="7AE37666" w14:textId="77777777" w:rsidR="004B4E35" w:rsidRPr="00405303" w:rsidRDefault="004B4E35" w:rsidP="00C15251">
      <w:pPr>
        <w:pStyle w:val="a3"/>
        <w:jc w:val="both"/>
        <w:rPr>
          <w:bCs/>
          <w:color w:val="002060"/>
          <w:spacing w:val="0"/>
          <w:kern w:val="0"/>
          <w:position w:val="0"/>
          <w:sz w:val="16"/>
          <w:szCs w:val="16"/>
        </w:rPr>
      </w:pPr>
    </w:p>
    <w:p w14:paraId="1D9DCD11" w14:textId="7A462C86" w:rsidR="004B4E35" w:rsidRPr="00405303" w:rsidRDefault="00556D98" w:rsidP="00C15251">
      <w:pPr>
        <w:jc w:val="both"/>
        <w:rPr>
          <w:bCs/>
          <w:color w:val="002060"/>
          <w:sz w:val="16"/>
          <w:szCs w:val="16"/>
        </w:rPr>
      </w:pPr>
      <w:r w:rsidRPr="00405303">
        <w:rPr>
          <w:bCs/>
          <w:color w:val="002060"/>
          <w:sz w:val="16"/>
          <w:szCs w:val="16"/>
        </w:rPr>
        <w:t>С 24 мая (6 июня) 1915 г. с</w:t>
      </w:r>
      <w:r w:rsidR="009E6F82" w:rsidRPr="00405303">
        <w:rPr>
          <w:bCs/>
          <w:color w:val="002060"/>
          <w:sz w:val="16"/>
          <w:szCs w:val="16"/>
        </w:rPr>
        <w:t xml:space="preserve"> фирмой Вестингауз был</w:t>
      </w:r>
      <w:r w:rsidRPr="00405303">
        <w:rPr>
          <w:bCs/>
          <w:color w:val="002060"/>
          <w:sz w:val="16"/>
          <w:szCs w:val="16"/>
        </w:rPr>
        <w:t>о закл</w:t>
      </w:r>
      <w:r w:rsidR="009E6F82" w:rsidRPr="00405303">
        <w:rPr>
          <w:bCs/>
          <w:color w:val="002060"/>
          <w:sz w:val="16"/>
          <w:szCs w:val="16"/>
        </w:rPr>
        <w:t>ючен</w:t>
      </w:r>
      <w:r w:rsidRPr="00405303">
        <w:rPr>
          <w:bCs/>
          <w:color w:val="002060"/>
          <w:sz w:val="16"/>
          <w:szCs w:val="16"/>
        </w:rPr>
        <w:t xml:space="preserve">о несколько </w:t>
      </w:r>
      <w:r w:rsidR="009E6F82" w:rsidRPr="00405303">
        <w:rPr>
          <w:bCs/>
          <w:color w:val="002060"/>
          <w:sz w:val="16"/>
          <w:szCs w:val="16"/>
        </w:rPr>
        <w:t>контракт</w:t>
      </w:r>
      <w:r w:rsidRPr="00405303">
        <w:rPr>
          <w:bCs/>
          <w:color w:val="002060"/>
          <w:sz w:val="16"/>
          <w:szCs w:val="16"/>
        </w:rPr>
        <w:t>ов</w:t>
      </w:r>
      <w:r w:rsidR="009E6F82" w:rsidRPr="00405303">
        <w:rPr>
          <w:bCs/>
          <w:color w:val="002060"/>
          <w:sz w:val="16"/>
          <w:szCs w:val="16"/>
        </w:rPr>
        <w:t xml:space="preserve"> на поставку трехлинейных винтовок русского образца: </w:t>
      </w:r>
    </w:p>
    <w:p w14:paraId="49D0D8F3" w14:textId="77777777" w:rsidR="004B4E35" w:rsidRPr="00405303" w:rsidRDefault="009E6F82" w:rsidP="00C15251">
      <w:pPr>
        <w:jc w:val="both"/>
        <w:rPr>
          <w:bCs/>
          <w:color w:val="002060"/>
          <w:sz w:val="16"/>
          <w:szCs w:val="16"/>
        </w:rPr>
      </w:pPr>
      <w:r w:rsidRPr="00405303">
        <w:rPr>
          <w:bCs/>
          <w:color w:val="002060"/>
          <w:sz w:val="16"/>
          <w:szCs w:val="16"/>
        </w:rPr>
        <w:t xml:space="preserve">24 мая (6 июня) 1915 г. — 1 000 000 винтовок, </w:t>
      </w:r>
    </w:p>
    <w:p w14:paraId="6C1FAF9A" w14:textId="77777777" w:rsidR="004B4E35" w:rsidRPr="00405303" w:rsidRDefault="009E6F82" w:rsidP="00C15251">
      <w:pPr>
        <w:jc w:val="both"/>
        <w:rPr>
          <w:bCs/>
          <w:color w:val="002060"/>
          <w:sz w:val="16"/>
          <w:szCs w:val="16"/>
        </w:rPr>
      </w:pPr>
      <w:r w:rsidRPr="00405303">
        <w:rPr>
          <w:bCs/>
          <w:color w:val="002060"/>
          <w:sz w:val="16"/>
          <w:szCs w:val="16"/>
        </w:rPr>
        <w:t xml:space="preserve">17 августа 1915 г. — 800 000 винтовок, </w:t>
      </w:r>
    </w:p>
    <w:p w14:paraId="16A0922C" w14:textId="77777777" w:rsidR="004B4E35" w:rsidRPr="00405303" w:rsidRDefault="009E6F82" w:rsidP="00C15251">
      <w:pPr>
        <w:jc w:val="both"/>
        <w:rPr>
          <w:bCs/>
          <w:color w:val="002060"/>
          <w:sz w:val="16"/>
          <w:szCs w:val="16"/>
        </w:rPr>
      </w:pPr>
      <w:r w:rsidRPr="00405303">
        <w:rPr>
          <w:bCs/>
          <w:color w:val="002060"/>
          <w:sz w:val="16"/>
          <w:szCs w:val="16"/>
        </w:rPr>
        <w:t xml:space="preserve">те и другие по цене 25,75 доллара. Стоимость всего заказа 46 350 000 долларов. Начальный срок поставки — ноябрь 1915 г. и конечный — март 1917 года. Оба заказа даны британским правительством через банкирский дом Моргана. </w:t>
      </w:r>
    </w:p>
    <w:p w14:paraId="291452C4" w14:textId="77777777" w:rsidR="004B4E35" w:rsidRPr="00405303" w:rsidRDefault="009E6F82" w:rsidP="00C15251">
      <w:pPr>
        <w:jc w:val="both"/>
        <w:rPr>
          <w:bCs/>
          <w:color w:val="002060"/>
          <w:sz w:val="16"/>
          <w:szCs w:val="16"/>
        </w:rPr>
      </w:pPr>
      <w:r w:rsidRPr="00405303">
        <w:rPr>
          <w:bCs/>
          <w:color w:val="002060"/>
          <w:sz w:val="16"/>
          <w:szCs w:val="16"/>
        </w:rPr>
        <w:t xml:space="preserve">Для выполнения указанных заказов фирмой были приобретены четыре завода: три в Спрингфильде и один в Меридене. Из указанных четырех заводов два ранее изготовляли охотничьи ружья, а два — автомобильные части. На всех этих четырех заводах все оборудование для производства винтовок было поставлено заново. </w:t>
      </w:r>
    </w:p>
    <w:p w14:paraId="0BB7E633" w14:textId="77777777" w:rsidR="004B4E35" w:rsidRPr="00405303" w:rsidRDefault="009E6F82" w:rsidP="00C15251">
      <w:pPr>
        <w:jc w:val="both"/>
        <w:rPr>
          <w:bCs/>
          <w:color w:val="002060"/>
          <w:sz w:val="16"/>
          <w:szCs w:val="16"/>
        </w:rPr>
      </w:pPr>
      <w:r w:rsidRPr="00405303">
        <w:rPr>
          <w:bCs/>
          <w:color w:val="002060"/>
          <w:sz w:val="16"/>
          <w:szCs w:val="16"/>
        </w:rPr>
        <w:t xml:space="preserve">Кроме того, фирмой Вестингауз были привлечены к участию в работе 35 заводов в качестве субконтракторов, между коими было распределено изготовление отдельных частей винтовки. Субконтракторы были разбросаны по различным штатам Америки. </w:t>
      </w:r>
    </w:p>
    <w:p w14:paraId="2906E076" w14:textId="77777777" w:rsidR="004B4E35" w:rsidRPr="00405303" w:rsidRDefault="009E6F82" w:rsidP="00C15251">
      <w:pPr>
        <w:jc w:val="both"/>
        <w:rPr>
          <w:bCs/>
          <w:color w:val="002060"/>
          <w:sz w:val="16"/>
          <w:szCs w:val="16"/>
        </w:rPr>
      </w:pPr>
      <w:r w:rsidRPr="00405303">
        <w:rPr>
          <w:bCs/>
          <w:color w:val="002060"/>
          <w:sz w:val="16"/>
          <w:szCs w:val="16"/>
        </w:rPr>
        <w:t xml:space="preserve">Эта разбросанность весьма осложняла дело для заказчика, то есть России, так как ощущался сильнейший недостаток в знающих дело приемщиках и браковщиках для комплектования инспекции. К началу войны [и в] 1915 г. все наличие хороших производственных оружейников ограничивалось теми тремя-четырьмя десятками инженеров, кои к тому времени служили на русских оружейных заводах. Так как с началом войны работа оружейных заводов развивалась форсированным ходом, уделить из наличного штата кого-нибудь для организации приемки в Америке, конечно, ни один оружейный завод склонен не был. </w:t>
      </w:r>
    </w:p>
    <w:p w14:paraId="07DDCF9C" w14:textId="77777777" w:rsidR="004B4E35" w:rsidRPr="00405303" w:rsidRDefault="009E6F82" w:rsidP="00C15251">
      <w:pPr>
        <w:jc w:val="both"/>
        <w:rPr>
          <w:bCs/>
          <w:color w:val="002060"/>
          <w:sz w:val="16"/>
          <w:szCs w:val="16"/>
        </w:rPr>
      </w:pPr>
      <w:r w:rsidRPr="00405303">
        <w:rPr>
          <w:bCs/>
          <w:color w:val="002060"/>
          <w:sz w:val="16"/>
          <w:szCs w:val="16"/>
        </w:rPr>
        <w:t xml:space="preserve">По плану фирмы Вестингауз, окончательная сборка винтовок должна была вестись на ее четырех основных заводах (три в Спрингфильде и один в Меридене), куда с остальных заводов-субконтракторов должны были доставляться изготовленные детали. </w:t>
      </w:r>
    </w:p>
    <w:p w14:paraId="637244C0" w14:textId="77777777" w:rsidR="004B4E35" w:rsidRPr="00405303" w:rsidRDefault="009E6F82" w:rsidP="00C15251">
      <w:pPr>
        <w:jc w:val="both"/>
        <w:rPr>
          <w:bCs/>
          <w:color w:val="002060"/>
          <w:sz w:val="16"/>
          <w:szCs w:val="16"/>
        </w:rPr>
      </w:pPr>
      <w:r w:rsidRPr="00405303">
        <w:rPr>
          <w:bCs/>
          <w:color w:val="002060"/>
          <w:sz w:val="16"/>
          <w:szCs w:val="16"/>
        </w:rPr>
        <w:t xml:space="preserve">Еще до заключения с фирмой Вестингауз указанных контрактов ей были переданы в апреле 1915 г. образцы винтовки, а также спецификация и чертежи как винтовки, так и лекал, а осенью того же года был передан также весь набор лекал в натуре. </w:t>
      </w:r>
    </w:p>
    <w:p w14:paraId="31C4529E" w14:textId="77777777" w:rsidR="004B4E35" w:rsidRPr="00405303" w:rsidRDefault="009E6F82" w:rsidP="00C15251">
      <w:pPr>
        <w:jc w:val="both"/>
        <w:rPr>
          <w:bCs/>
          <w:color w:val="002060"/>
          <w:sz w:val="16"/>
          <w:szCs w:val="16"/>
        </w:rPr>
      </w:pPr>
      <w:r w:rsidRPr="00405303">
        <w:rPr>
          <w:bCs/>
          <w:color w:val="002060"/>
          <w:sz w:val="16"/>
          <w:szCs w:val="16"/>
        </w:rPr>
        <w:t xml:space="preserve">Тотчас по подписании контракта с Вестингаузом вышло недоразумение относительно определения момента, с коего должны течь сроки сдачи винтовок. Причиной была неясная формулировка этого вопроса в тексте контракта, который составлялся фирмой Морган по поручению из Лондона, без участия Русского заготовительного комитета. Пришлось уступить настояниям Вестингауза, и, таким образом, все намеченные частные сроки сдачи винтовок и окончание поставки сразу оттянулись на 4 месяца. </w:t>
      </w:r>
    </w:p>
    <w:p w14:paraId="53A23B35" w14:textId="77777777" w:rsidR="004B4E35" w:rsidRPr="00405303" w:rsidRDefault="009E6F82" w:rsidP="00C15251">
      <w:pPr>
        <w:jc w:val="both"/>
        <w:rPr>
          <w:bCs/>
          <w:color w:val="002060"/>
          <w:sz w:val="16"/>
          <w:szCs w:val="16"/>
        </w:rPr>
      </w:pPr>
      <w:r w:rsidRPr="00405303">
        <w:rPr>
          <w:bCs/>
          <w:color w:val="002060"/>
          <w:sz w:val="16"/>
          <w:szCs w:val="16"/>
        </w:rPr>
        <w:t xml:space="preserve">Надо отметить, что в присланных Вестингаузу из России лекалах оказалось расхождение с чертежами. Затем, в самых чертежах оказались некоторые неточности и неувязки. Наконец, сами лекала были не новые и в них был известный износ. Ко всему надо еще прибавить, что при обмере точных размеров американскими мерительными машинами получалась постоянная разница на 0,0006 дм по сравнению с русскими обмерами. </w:t>
      </w:r>
    </w:p>
    <w:p w14:paraId="11C648DB" w14:textId="77777777" w:rsidR="004B4E35" w:rsidRPr="00405303" w:rsidRDefault="009E6F82" w:rsidP="00C15251">
      <w:pPr>
        <w:jc w:val="both"/>
        <w:rPr>
          <w:bCs/>
          <w:color w:val="002060"/>
          <w:sz w:val="16"/>
          <w:szCs w:val="16"/>
        </w:rPr>
      </w:pPr>
      <w:r w:rsidRPr="00405303">
        <w:rPr>
          <w:bCs/>
          <w:color w:val="002060"/>
          <w:sz w:val="16"/>
          <w:szCs w:val="16"/>
        </w:rPr>
        <w:t xml:space="preserve">Что касается присланных образцовых винтовок, то и в них не все было благополучно: тоже оказалось расхождение некоторых размеров самих винтовок с лекалами и чертежами. Кроме того, сами винтовки имели некоторые дефекты. </w:t>
      </w:r>
    </w:p>
    <w:p w14:paraId="7EE5C2E9" w14:textId="77777777" w:rsidR="004B4E35" w:rsidRPr="00405303" w:rsidRDefault="009E6F82" w:rsidP="00C15251">
      <w:pPr>
        <w:jc w:val="both"/>
        <w:rPr>
          <w:bCs/>
          <w:color w:val="002060"/>
          <w:sz w:val="16"/>
          <w:szCs w:val="16"/>
        </w:rPr>
      </w:pPr>
      <w:r w:rsidRPr="00405303">
        <w:rPr>
          <w:bCs/>
          <w:color w:val="002060"/>
          <w:sz w:val="16"/>
          <w:szCs w:val="16"/>
        </w:rPr>
        <w:t xml:space="preserve">Все эти весьма досадные обстоятельства, лежавшие целиком на вине заказчика, конечно, были наилучшим образом учтены Вестингаузом и в дальнейшем служили ему отличной базой для оттяжки сроков поставки, претензий к заказчику об убытках и всякого рода препирательств с инспекцией приемок. По существу же дела, указанные погрешности в образцах и чертежах, конечно, не могли иметь заметного влияния на ход работы Вестингауза, и он не обратил бы на них внимания, если бы был в состоянии технически и организационно сразу хорошо справиться с делом. </w:t>
      </w:r>
    </w:p>
    <w:p w14:paraId="4F735E2D" w14:textId="77777777" w:rsidR="004B4E35" w:rsidRPr="00405303" w:rsidRDefault="009E6F82" w:rsidP="00C15251">
      <w:pPr>
        <w:jc w:val="both"/>
        <w:rPr>
          <w:bCs/>
          <w:color w:val="002060"/>
          <w:sz w:val="16"/>
          <w:szCs w:val="16"/>
        </w:rPr>
      </w:pPr>
      <w:r w:rsidRPr="00405303">
        <w:rPr>
          <w:bCs/>
          <w:color w:val="002060"/>
          <w:sz w:val="16"/>
          <w:szCs w:val="16"/>
        </w:rPr>
        <w:t xml:space="preserve">Более серьезной помехой делу надо считать отсутствие в русской инспекции достаточного числа опытных приемщиков и браковщиков, которые должны были бы в самом начале дела консультировать и инструктировать заводы контрагентов. Но такой помощи заводы, к сожалению, не получили. </w:t>
      </w:r>
    </w:p>
    <w:p w14:paraId="17F0D62B" w14:textId="77777777" w:rsidR="004B4E35" w:rsidRPr="00405303" w:rsidRDefault="009E6F82" w:rsidP="00C15251">
      <w:pPr>
        <w:jc w:val="both"/>
        <w:rPr>
          <w:bCs/>
          <w:color w:val="002060"/>
          <w:sz w:val="16"/>
          <w:szCs w:val="16"/>
        </w:rPr>
      </w:pPr>
      <w:r w:rsidRPr="00405303">
        <w:rPr>
          <w:bCs/>
          <w:color w:val="002060"/>
          <w:sz w:val="16"/>
          <w:szCs w:val="16"/>
        </w:rPr>
        <w:t xml:space="preserve">Первое и весьма крупное затруднение в работе Вестингауза вышло с точными лекалами, необходимыми для массовой фабрикации винтовок. Компания Вестингауза должна была, по контракту, в кратчайший срок предоставить в распоряжение русской приемки образцовые серии лекал. Как указано, первый контракт был заключен в мае 1915 года. Между тем даже в январе 1916 г. эти лекала еще не были Вестингаузом заказаны. Он ссылался на отсутствие на американском рынке подходящей стали (это в Америке-то!), затем — на отсутствие лекальщиков и, наконец, на указанные выше неточности в русских образцах лекал. После долгих настояний Вестингауз пообещал эти лекала представить в апреле 1916 г., но и этот срок не был выдержан, и лишь в мае, то есть через год после заключения контракта, было доставлено весьма ограниченное количество лекал, причем неполными комплектами. </w:t>
      </w:r>
    </w:p>
    <w:p w14:paraId="0D54DFBA" w14:textId="77777777" w:rsidR="004B4E35" w:rsidRPr="00405303" w:rsidRDefault="009E6F82" w:rsidP="00C15251">
      <w:pPr>
        <w:jc w:val="both"/>
        <w:rPr>
          <w:bCs/>
          <w:color w:val="002060"/>
          <w:sz w:val="16"/>
          <w:szCs w:val="16"/>
        </w:rPr>
      </w:pPr>
      <w:r w:rsidRPr="00405303">
        <w:rPr>
          <w:bCs/>
          <w:color w:val="002060"/>
          <w:sz w:val="16"/>
          <w:szCs w:val="16"/>
        </w:rPr>
        <w:t xml:space="preserve">Нужно сказать, что вопрос с лекалами так до конца заказа и не получил надлежащего разрешения. Уже 16 ноября 1916 г. председатель Заготовительного комитета доносил в Артиллерийское управление: "Завод Вестингауза до сих пор не установил у себя надлежащим образом производство винтовок и предъявляет к приемке такие винтовки, которые не удовлетворяют нашим техническим условиям, и главным образом — взаимозаменяемости частей, причем выход винтовок далеко не соответствует контрактным условиям. Происходит это вследствие того, что завод, не заботившийся до настоящего времени о приобретении лекал в надлежащем количестве, на основании спорного пункта контракта упорно отрицает право нашей инспекции проверять лекалами отдельные части винтовок до сборки их и утверждает, что для поверки должны представляться винтовки в собранном виде". </w:t>
      </w:r>
    </w:p>
    <w:p w14:paraId="0C17AD94"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Далее, еще через год, в августе 1917 г., старший приемщик доносит в Петроград, что к этому времени его настойчивые требования об установке полной лекальной поверки винтовок все-таки не выполнены и производится поверка лишь главных частей винтовки. </w:t>
      </w:r>
    </w:p>
    <w:p w14:paraId="036AB36D" w14:textId="77777777" w:rsidR="004B4E35" w:rsidRPr="00405303" w:rsidRDefault="009E6F82" w:rsidP="00C15251">
      <w:pPr>
        <w:jc w:val="both"/>
        <w:rPr>
          <w:bCs/>
          <w:color w:val="002060"/>
          <w:sz w:val="16"/>
          <w:szCs w:val="16"/>
        </w:rPr>
      </w:pPr>
      <w:r w:rsidRPr="00405303">
        <w:rPr>
          <w:bCs/>
          <w:color w:val="002060"/>
          <w:sz w:val="16"/>
          <w:szCs w:val="16"/>
        </w:rPr>
        <w:t xml:space="preserve">Вестингауз до конца не мог понять, что полная лекальность изготовления деталей винтовки является основой массового точного производства, благодаря этому не проявлял особых забот об обеспечении заводов лекалами, и это было одной из главных причин того, что заводы не могли, как будет видно ниже, правильно поставить массовое производство и быстро развернуть его. </w:t>
      </w:r>
    </w:p>
    <w:p w14:paraId="2F7219F7" w14:textId="77777777" w:rsidR="004B4E35" w:rsidRPr="00405303" w:rsidRDefault="009E6F82" w:rsidP="00C15251">
      <w:pPr>
        <w:jc w:val="both"/>
        <w:rPr>
          <w:bCs/>
          <w:color w:val="002060"/>
          <w:sz w:val="16"/>
          <w:szCs w:val="16"/>
        </w:rPr>
      </w:pPr>
      <w:r w:rsidRPr="00405303">
        <w:rPr>
          <w:bCs/>
          <w:color w:val="002060"/>
          <w:sz w:val="16"/>
          <w:szCs w:val="16"/>
        </w:rPr>
        <w:t xml:space="preserve">Что касается производства винтовок, то оно налаживалось весьма медленно как в техническом отношении, так и в организационном. Выпуск винтовок шел с большим опозданием против сроков, предусмотренных контрактом. Вся работа протекала на фоне непрерывных пререканий администрации завода с русской инспекцией. </w:t>
      </w:r>
    </w:p>
    <w:p w14:paraId="475AE981" w14:textId="77777777" w:rsidR="004B4E35" w:rsidRPr="00405303" w:rsidRDefault="009E6F82" w:rsidP="00C15251">
      <w:pPr>
        <w:jc w:val="both"/>
        <w:rPr>
          <w:bCs/>
          <w:color w:val="002060"/>
          <w:sz w:val="16"/>
          <w:szCs w:val="16"/>
        </w:rPr>
      </w:pPr>
      <w:r w:rsidRPr="00405303">
        <w:rPr>
          <w:bCs/>
          <w:color w:val="002060"/>
          <w:sz w:val="16"/>
          <w:szCs w:val="16"/>
        </w:rPr>
        <w:t xml:space="preserve">В июне 1916 г. Вестингауз обратился к Моргану с категорическим требованием изменить контрактные сроки. Затем уведомил, что он предъявляет иск к заказчику о возмещении убытков, понесенных фирмой. Отсрочка мотивировалась забастовкой, имевшей место на заводе. Что касается убытков, то главной причиной их, по заявлению фирмы, являются действия русской инспекции, которая задерживала разрешение различного рода технических вопросов, в особенности в отношении чертежей лекал, затем давала фирме разноречивые указания и распоряжения и, наконец, благодаря незнанию английского языка осложняла деловые сношения с фирмой. </w:t>
      </w:r>
    </w:p>
    <w:p w14:paraId="05BCCC5D" w14:textId="77777777" w:rsidR="004B4E35" w:rsidRPr="00405303" w:rsidRDefault="009E6F82" w:rsidP="00C15251">
      <w:pPr>
        <w:jc w:val="both"/>
        <w:rPr>
          <w:bCs/>
          <w:color w:val="002060"/>
          <w:sz w:val="16"/>
          <w:szCs w:val="16"/>
        </w:rPr>
      </w:pPr>
      <w:r w:rsidRPr="00405303">
        <w:rPr>
          <w:bCs/>
          <w:color w:val="002060"/>
          <w:sz w:val="16"/>
          <w:szCs w:val="16"/>
        </w:rPr>
        <w:t xml:space="preserve">В отношении несогласованности действий русской инспекции фирма была права. Инспекция не имела твердых директив от Заготовительного комитета, так как в самом Комитете существовали два резко противоположных взгляда на дело выполнения заказа. Большинство представителей Комитета придерживалось письменного указания начальника ГАУ — стремиться в возможно краткий срок получить возможно большее количество винтовок, поступаясь их качеством и ограничиваясь главным образом требованием их боеспособности. Другая же, меньшая часть Комитета, во главе с председателем инженером Залюбовским, настаивала на том, что необходимо настойчиво требовать от фирмы полной кондиционности изготовляемых ружей. При таких условиях была неизбежная двойственность директив Заготовительного комитета и путаница в действиях приемщиков, что остро ощущалось заводами и приносило вред делу. </w:t>
      </w:r>
    </w:p>
    <w:p w14:paraId="36F8BEBD" w14:textId="77777777" w:rsidR="004B4E35" w:rsidRPr="00405303" w:rsidRDefault="009E6F82" w:rsidP="00C15251">
      <w:pPr>
        <w:jc w:val="both"/>
        <w:rPr>
          <w:bCs/>
          <w:color w:val="002060"/>
          <w:sz w:val="16"/>
          <w:szCs w:val="16"/>
        </w:rPr>
      </w:pPr>
      <w:r w:rsidRPr="00405303">
        <w:rPr>
          <w:bCs/>
          <w:color w:val="002060"/>
          <w:sz w:val="16"/>
          <w:szCs w:val="16"/>
        </w:rPr>
        <w:t xml:space="preserve">Что касается фирмы, то она, само собой разумеется, присоединялась к взгляду большинства и резко протестовала против всяких на нее нажимов. В письме от 13 сентября 1916 г. директор фирмы указывает, что приложенная к контракту инструкция о приеме винтовок "составлена применительно к условиям производства и приемки на русских казенных заводах и совершенно неприемлема в условиях частнозаводской практики". </w:t>
      </w:r>
    </w:p>
    <w:p w14:paraId="7FBA1FEA" w14:textId="77777777" w:rsidR="004B4E35" w:rsidRPr="00405303" w:rsidRDefault="009E6F82" w:rsidP="00C15251">
      <w:pPr>
        <w:jc w:val="both"/>
        <w:rPr>
          <w:bCs/>
          <w:color w:val="002060"/>
          <w:sz w:val="16"/>
          <w:szCs w:val="16"/>
        </w:rPr>
      </w:pPr>
      <w:r w:rsidRPr="00405303">
        <w:rPr>
          <w:bCs/>
          <w:color w:val="002060"/>
          <w:sz w:val="16"/>
          <w:szCs w:val="16"/>
        </w:rPr>
        <w:t xml:space="preserve">Осуществление всяких жестких мер по отношению к фирме было крайне трудно, так как в этот момент хозяином положения являлась, конечно, фирма, а не Заготовительный комитет. В Америке хорошо было известно об острой потребности в ружьях, которую испытывала к этому времени Россия. И когда фирме предъявляли жесткие требования ввести то или иное мероприятие, направленное к улучшению качества ружей, фирма неизменно давала один и тот же ответ, смысл которого был следующий: "Ружья нужны вам, а не нам, и если вы не захотите принять те ружья, которые изготовляются в настоящий момент, то лучших вам придется ждать по крайней мере полгода". </w:t>
      </w:r>
    </w:p>
    <w:p w14:paraId="22674A3F" w14:textId="77777777" w:rsidR="004B4E35" w:rsidRPr="00405303" w:rsidRDefault="009E6F82" w:rsidP="00C15251">
      <w:pPr>
        <w:jc w:val="both"/>
        <w:rPr>
          <w:bCs/>
          <w:color w:val="002060"/>
          <w:sz w:val="16"/>
          <w:szCs w:val="16"/>
        </w:rPr>
      </w:pPr>
      <w:r w:rsidRPr="00405303">
        <w:rPr>
          <w:bCs/>
          <w:color w:val="002060"/>
          <w:sz w:val="16"/>
          <w:szCs w:val="16"/>
        </w:rPr>
        <w:t xml:space="preserve">В октябре 1916 г. директор фирмы Вестингауз вновь обратился к Заготовительному комитету с заявлением, что при создавшейся обстановке он не может нести ответственность за выполнение контракта в срок и что фирме грозит банкротство. Поэтому фирма требует: 1) внести изменения в условия приемки, 2) выдать дополнительные авансы, 3) продлить сроки поставки. </w:t>
      </w:r>
    </w:p>
    <w:p w14:paraId="6F981EA3" w14:textId="77777777" w:rsidR="004B4E35" w:rsidRPr="00405303" w:rsidRDefault="009E6F82" w:rsidP="00C15251">
      <w:pPr>
        <w:jc w:val="both"/>
        <w:rPr>
          <w:bCs/>
          <w:color w:val="002060"/>
          <w:sz w:val="16"/>
          <w:szCs w:val="16"/>
        </w:rPr>
      </w:pPr>
      <w:r w:rsidRPr="00405303">
        <w:rPr>
          <w:bCs/>
          <w:color w:val="002060"/>
          <w:sz w:val="16"/>
          <w:szCs w:val="16"/>
        </w:rPr>
        <w:t xml:space="preserve">Требования эти были удовлетворены, за исключением аванса, вопрос о котором был отложен. Частные сроки были значительно сдвинуты, и конечный срок поставки с 1 апреля 1917 г. переносился на 1 января 1918 г., то есть на 9 месяцев. Если прибавить четыре месяца оттяжки, имевшей место вначале из-за неясности в редакции контракта, то опоздание составляло уже 13 месяцев. </w:t>
      </w:r>
    </w:p>
    <w:p w14:paraId="39DC458E" w14:textId="77777777" w:rsidR="004B4E35" w:rsidRPr="00405303" w:rsidRDefault="009E6F82" w:rsidP="00C15251">
      <w:pPr>
        <w:jc w:val="both"/>
        <w:rPr>
          <w:bCs/>
          <w:color w:val="002060"/>
          <w:sz w:val="16"/>
          <w:szCs w:val="16"/>
        </w:rPr>
      </w:pPr>
      <w:r w:rsidRPr="00405303">
        <w:rPr>
          <w:bCs/>
          <w:color w:val="002060"/>
          <w:sz w:val="16"/>
          <w:szCs w:val="16"/>
        </w:rPr>
        <w:t xml:space="preserve">В разгар этих переговоров председатель Заготовительного комитета доносил в Петроград: "За два месяца со времени первого осмотра заводов Вестингауза почти никакого прогресса в производстве я не заметил. По-прежнему ощущается острый недостаток в лекалах, при наличии чего правильно установить производство технически невозможно; по-прежнему наиболее влиятельные чины заводоуправления проявляют явное нежелание подчиниться требованиям наших технических условий; по-прежнему в процессе производства не видно ясно продуманного плана — практически обоснованной схемы работ. Очевидно, администрация не отдает себе отчета, что именно нужно для правильной организации дела. Между тем дело остается на прежнем низком уровне, а подаваемые винтовки, хотя и принимаются нашими приемщиками, но лишь ввиду крайней надобности для нашей армии. В общем же винтовки эти по своему качеству не могут быть признаны удовлетворительными". </w:t>
      </w:r>
    </w:p>
    <w:p w14:paraId="5265399E" w14:textId="77777777" w:rsidR="004B4E35" w:rsidRPr="00405303" w:rsidRDefault="009E6F82" w:rsidP="00C15251">
      <w:pPr>
        <w:jc w:val="both"/>
        <w:rPr>
          <w:bCs/>
          <w:color w:val="002060"/>
          <w:sz w:val="16"/>
          <w:szCs w:val="16"/>
        </w:rPr>
      </w:pPr>
      <w:r w:rsidRPr="00405303">
        <w:rPr>
          <w:bCs/>
          <w:color w:val="002060"/>
          <w:sz w:val="16"/>
          <w:szCs w:val="16"/>
        </w:rPr>
        <w:t xml:space="preserve">Далее в письме председатель заявляет, что он поднял вопрос об устранении директора компании. Затем, говоря о русской инспекции, отмечает, что при всей добросовестности в работе, она не может оказать большой помощи в сложном деле постановки нового производства, так как в инспекции почти нет инженеров — специалистов оружейного дела, и просит прислать опытных инженеров-оружейников. </w:t>
      </w:r>
    </w:p>
    <w:p w14:paraId="106044DC" w14:textId="77777777" w:rsidR="004B4E35" w:rsidRPr="00405303" w:rsidRDefault="009E6F82" w:rsidP="00C15251">
      <w:pPr>
        <w:jc w:val="both"/>
        <w:rPr>
          <w:bCs/>
          <w:color w:val="002060"/>
          <w:sz w:val="16"/>
          <w:szCs w:val="16"/>
        </w:rPr>
      </w:pPr>
      <w:r w:rsidRPr="00405303">
        <w:rPr>
          <w:bCs/>
          <w:color w:val="002060"/>
          <w:sz w:val="16"/>
          <w:szCs w:val="16"/>
        </w:rPr>
        <w:t xml:space="preserve">После длинных переговоров между Петроградом и Лондоном Вестингаузу в авансе было отказано. В ответ на это фирма сделала краткое заявление, что она отказывается от дальнейшего выполнения заказа. Таким образом создался конфликт, для разрешения которого британское правительство командировало специальное лицо с тем, чтобы достигнуть соглашения сторон, на основе которого можно было бы довести ружейный заказ до благополучного конца. После двухмесячной работы, в середине марта 1917 г., переговоры с Вестингаузом временно приостановились ввиду решений, принятых на происходившей в то время союзной конференции в Петрограде, — ограничить американский ружейный заказ. Через месяц из Лондона было получено извещение, что ружейный заказ сокращаться не будет. </w:t>
      </w:r>
    </w:p>
    <w:p w14:paraId="583E52F5" w14:textId="77777777" w:rsidR="004B4E35" w:rsidRPr="00405303" w:rsidRDefault="009E6F82" w:rsidP="00C15251">
      <w:pPr>
        <w:jc w:val="both"/>
        <w:rPr>
          <w:bCs/>
          <w:color w:val="002060"/>
          <w:sz w:val="16"/>
          <w:szCs w:val="16"/>
        </w:rPr>
      </w:pPr>
      <w:r w:rsidRPr="00405303">
        <w:rPr>
          <w:bCs/>
          <w:color w:val="002060"/>
          <w:sz w:val="16"/>
          <w:szCs w:val="16"/>
        </w:rPr>
        <w:t xml:space="preserve">После длительных переговоров, которые все затягивались благодаря разногласию Заготовительного комитета с представителем Великобритании, а также разногласию в самом Комитете, наконец, состоялось соглашение с Вестингаузом. Оно вылилось в форму нового контракта, который заменил существовавший первоначальный. </w:t>
      </w:r>
    </w:p>
    <w:p w14:paraId="6A017331" w14:textId="77777777" w:rsidR="004B4E35" w:rsidRPr="00405303" w:rsidRDefault="009E6F82" w:rsidP="00C15251">
      <w:pPr>
        <w:jc w:val="both"/>
        <w:rPr>
          <w:bCs/>
          <w:color w:val="002060"/>
          <w:sz w:val="16"/>
          <w:szCs w:val="16"/>
        </w:rPr>
      </w:pPr>
      <w:r w:rsidRPr="00405303">
        <w:rPr>
          <w:bCs/>
          <w:color w:val="002060"/>
          <w:sz w:val="16"/>
          <w:szCs w:val="16"/>
        </w:rPr>
        <w:t>Основы нового контракта, заключенного 1 мая 1917 г., были следующие:</w:t>
      </w:r>
    </w:p>
    <w:p w14:paraId="54AD181C" w14:textId="77777777" w:rsidR="004B4E35" w:rsidRPr="00405303" w:rsidRDefault="009E6F82" w:rsidP="00C15251">
      <w:pPr>
        <w:jc w:val="both"/>
        <w:rPr>
          <w:bCs/>
          <w:color w:val="002060"/>
          <w:sz w:val="16"/>
          <w:szCs w:val="16"/>
        </w:rPr>
      </w:pPr>
      <w:r w:rsidRPr="00405303">
        <w:rPr>
          <w:bCs/>
          <w:color w:val="002060"/>
          <w:sz w:val="16"/>
          <w:szCs w:val="16"/>
        </w:rPr>
        <w:t xml:space="preserve">1) убытки Вестингауза ограничиваются 5 млн долларов; </w:t>
      </w:r>
    </w:p>
    <w:p w14:paraId="0F82C6F0" w14:textId="77777777" w:rsidR="004B4E35" w:rsidRPr="00405303" w:rsidRDefault="009E6F82" w:rsidP="00C15251">
      <w:pPr>
        <w:jc w:val="both"/>
        <w:rPr>
          <w:bCs/>
          <w:color w:val="002060"/>
          <w:sz w:val="16"/>
          <w:szCs w:val="16"/>
        </w:rPr>
      </w:pPr>
      <w:r w:rsidRPr="00405303">
        <w:rPr>
          <w:bCs/>
          <w:color w:val="002060"/>
          <w:sz w:val="16"/>
          <w:szCs w:val="16"/>
        </w:rPr>
        <w:t xml:space="preserve">2) количество законтрактованного заказа — 1 800 000 винтовок — уменьшается до 1 000 000, которые должны быть сданы к 1 января 1918 г.; </w:t>
      </w:r>
    </w:p>
    <w:p w14:paraId="271693B8" w14:textId="77777777" w:rsidR="004B4E35" w:rsidRPr="00405303" w:rsidRDefault="009E6F82" w:rsidP="00C15251">
      <w:pPr>
        <w:jc w:val="both"/>
        <w:rPr>
          <w:bCs/>
          <w:color w:val="002060"/>
          <w:sz w:val="16"/>
          <w:szCs w:val="16"/>
        </w:rPr>
      </w:pPr>
      <w:r w:rsidRPr="00405303">
        <w:rPr>
          <w:bCs/>
          <w:color w:val="002060"/>
          <w:sz w:val="16"/>
          <w:szCs w:val="16"/>
        </w:rPr>
        <w:t xml:space="preserve">3) цена винтовки устанавливается в 32 доллара 75 центов; </w:t>
      </w:r>
    </w:p>
    <w:p w14:paraId="282DCBF8" w14:textId="77777777" w:rsidR="004B4E35" w:rsidRPr="00405303" w:rsidRDefault="009E6F82" w:rsidP="00C15251">
      <w:pPr>
        <w:jc w:val="both"/>
        <w:rPr>
          <w:bCs/>
          <w:color w:val="002060"/>
          <w:sz w:val="16"/>
          <w:szCs w:val="16"/>
        </w:rPr>
      </w:pPr>
      <w:r w:rsidRPr="00405303">
        <w:rPr>
          <w:bCs/>
          <w:color w:val="002060"/>
          <w:sz w:val="16"/>
          <w:szCs w:val="16"/>
        </w:rPr>
        <w:t xml:space="preserve">4) предусматриваются опционы 400 тыс., 200 тыс. и 200 тыс. </w:t>
      </w:r>
    </w:p>
    <w:p w14:paraId="7FF69F90" w14:textId="77777777" w:rsidR="004B4E35" w:rsidRPr="00405303" w:rsidRDefault="009E6F82" w:rsidP="00C15251">
      <w:pPr>
        <w:jc w:val="both"/>
        <w:rPr>
          <w:bCs/>
          <w:color w:val="002060"/>
          <w:sz w:val="16"/>
          <w:szCs w:val="16"/>
        </w:rPr>
      </w:pPr>
      <w:r w:rsidRPr="00405303">
        <w:rPr>
          <w:bCs/>
          <w:color w:val="002060"/>
          <w:sz w:val="16"/>
          <w:szCs w:val="16"/>
        </w:rPr>
        <w:t xml:space="preserve">Ко времени подписания дополнительного контракта производство ружей на заводах Вестингауза развилось следующим образом (тыс. шт.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16"/>
        <w:gridCol w:w="792"/>
      </w:tblGrid>
      <w:tr w:rsidR="004B4E35" w:rsidRPr="00405303" w14:paraId="6898A24D" w14:textId="77777777">
        <w:tc>
          <w:tcPr>
            <w:tcW w:w="2016" w:type="dxa"/>
          </w:tcPr>
          <w:p w14:paraId="3354598A" w14:textId="77777777" w:rsidR="004B4E35" w:rsidRPr="00405303" w:rsidRDefault="009E6F82" w:rsidP="00C15251">
            <w:pPr>
              <w:jc w:val="both"/>
              <w:rPr>
                <w:bCs/>
                <w:color w:val="002060"/>
                <w:sz w:val="16"/>
                <w:szCs w:val="16"/>
              </w:rPr>
            </w:pPr>
            <w:r w:rsidRPr="00405303">
              <w:rPr>
                <w:bCs/>
                <w:color w:val="002060"/>
                <w:sz w:val="16"/>
                <w:szCs w:val="16"/>
              </w:rPr>
              <w:t>с января 1917 г.</w:t>
            </w:r>
          </w:p>
        </w:tc>
        <w:tc>
          <w:tcPr>
            <w:tcW w:w="792" w:type="dxa"/>
          </w:tcPr>
          <w:p w14:paraId="45FBD148" w14:textId="77777777" w:rsidR="004B4E35" w:rsidRPr="00405303" w:rsidRDefault="009E6F82" w:rsidP="00C15251">
            <w:pPr>
              <w:jc w:val="both"/>
              <w:rPr>
                <w:bCs/>
                <w:color w:val="002060"/>
                <w:sz w:val="16"/>
                <w:szCs w:val="16"/>
              </w:rPr>
            </w:pPr>
            <w:r w:rsidRPr="00405303">
              <w:rPr>
                <w:bCs/>
                <w:color w:val="002060"/>
                <w:sz w:val="16"/>
                <w:szCs w:val="16"/>
              </w:rPr>
              <w:t xml:space="preserve">по 40 </w:t>
            </w:r>
          </w:p>
        </w:tc>
      </w:tr>
      <w:tr w:rsidR="004B4E35" w:rsidRPr="00405303" w14:paraId="0278A76C" w14:textId="77777777">
        <w:tc>
          <w:tcPr>
            <w:tcW w:w="2016" w:type="dxa"/>
          </w:tcPr>
          <w:p w14:paraId="42975A6F" w14:textId="77777777" w:rsidR="004B4E35" w:rsidRPr="00405303" w:rsidRDefault="009E6F82" w:rsidP="00C15251">
            <w:pPr>
              <w:jc w:val="both"/>
              <w:rPr>
                <w:bCs/>
                <w:color w:val="002060"/>
                <w:sz w:val="16"/>
                <w:szCs w:val="16"/>
              </w:rPr>
            </w:pPr>
            <w:r w:rsidRPr="00405303">
              <w:rPr>
                <w:bCs/>
                <w:color w:val="002060"/>
                <w:sz w:val="16"/>
                <w:szCs w:val="16"/>
              </w:rPr>
              <w:t>с мая 1917 г.</w:t>
            </w:r>
          </w:p>
        </w:tc>
        <w:tc>
          <w:tcPr>
            <w:tcW w:w="792" w:type="dxa"/>
          </w:tcPr>
          <w:p w14:paraId="437534D5" w14:textId="77777777" w:rsidR="004B4E35" w:rsidRPr="00405303" w:rsidRDefault="009E6F82" w:rsidP="00C15251">
            <w:pPr>
              <w:jc w:val="both"/>
              <w:rPr>
                <w:bCs/>
                <w:color w:val="002060"/>
                <w:sz w:val="16"/>
                <w:szCs w:val="16"/>
              </w:rPr>
            </w:pPr>
            <w:r w:rsidRPr="00405303">
              <w:rPr>
                <w:bCs/>
                <w:color w:val="002060"/>
                <w:sz w:val="16"/>
                <w:szCs w:val="16"/>
              </w:rPr>
              <w:t xml:space="preserve">75 </w:t>
            </w:r>
          </w:p>
        </w:tc>
      </w:tr>
      <w:tr w:rsidR="004B4E35" w:rsidRPr="00405303" w14:paraId="70BCDBD4" w14:textId="77777777">
        <w:tc>
          <w:tcPr>
            <w:tcW w:w="2016" w:type="dxa"/>
          </w:tcPr>
          <w:p w14:paraId="69BB9E1E" w14:textId="77777777" w:rsidR="004B4E35" w:rsidRPr="00405303" w:rsidRDefault="009E6F82" w:rsidP="00C15251">
            <w:pPr>
              <w:jc w:val="both"/>
              <w:rPr>
                <w:bCs/>
                <w:color w:val="002060"/>
                <w:sz w:val="16"/>
                <w:szCs w:val="16"/>
              </w:rPr>
            </w:pPr>
            <w:r w:rsidRPr="00405303">
              <w:rPr>
                <w:bCs/>
                <w:color w:val="002060"/>
                <w:sz w:val="16"/>
                <w:szCs w:val="16"/>
              </w:rPr>
              <w:t>с июля 1917 г.</w:t>
            </w:r>
          </w:p>
        </w:tc>
        <w:tc>
          <w:tcPr>
            <w:tcW w:w="792" w:type="dxa"/>
          </w:tcPr>
          <w:p w14:paraId="5DADD478" w14:textId="77777777" w:rsidR="004B4E35" w:rsidRPr="00405303" w:rsidRDefault="009E6F82" w:rsidP="00C15251">
            <w:pPr>
              <w:jc w:val="both"/>
              <w:rPr>
                <w:bCs/>
                <w:color w:val="002060"/>
                <w:sz w:val="16"/>
                <w:szCs w:val="16"/>
              </w:rPr>
            </w:pPr>
            <w:r w:rsidRPr="00405303">
              <w:rPr>
                <w:bCs/>
                <w:color w:val="002060"/>
                <w:sz w:val="16"/>
                <w:szCs w:val="16"/>
              </w:rPr>
              <w:t xml:space="preserve">100 </w:t>
            </w:r>
          </w:p>
        </w:tc>
      </w:tr>
      <w:tr w:rsidR="004B4E35" w:rsidRPr="00405303" w14:paraId="67C8F8FF" w14:textId="77777777">
        <w:tc>
          <w:tcPr>
            <w:tcW w:w="2016" w:type="dxa"/>
          </w:tcPr>
          <w:p w14:paraId="184A44DC" w14:textId="77777777" w:rsidR="004B4E35" w:rsidRPr="00405303" w:rsidRDefault="009E6F82" w:rsidP="00C15251">
            <w:pPr>
              <w:jc w:val="both"/>
              <w:rPr>
                <w:bCs/>
                <w:color w:val="002060"/>
                <w:sz w:val="16"/>
                <w:szCs w:val="16"/>
              </w:rPr>
            </w:pPr>
            <w:r w:rsidRPr="00405303">
              <w:rPr>
                <w:bCs/>
                <w:color w:val="002060"/>
                <w:sz w:val="16"/>
                <w:szCs w:val="16"/>
              </w:rPr>
              <w:t>с октября 1917 г.</w:t>
            </w:r>
          </w:p>
        </w:tc>
        <w:tc>
          <w:tcPr>
            <w:tcW w:w="792" w:type="dxa"/>
          </w:tcPr>
          <w:p w14:paraId="744074AD" w14:textId="77777777" w:rsidR="004B4E35" w:rsidRPr="00405303" w:rsidRDefault="009E6F82" w:rsidP="00C15251">
            <w:pPr>
              <w:jc w:val="both"/>
              <w:rPr>
                <w:bCs/>
                <w:color w:val="002060"/>
                <w:sz w:val="16"/>
                <w:szCs w:val="16"/>
              </w:rPr>
            </w:pPr>
            <w:r w:rsidRPr="00405303">
              <w:rPr>
                <w:bCs/>
                <w:color w:val="002060"/>
                <w:sz w:val="16"/>
                <w:szCs w:val="16"/>
              </w:rPr>
              <w:t xml:space="preserve">120. </w:t>
            </w:r>
          </w:p>
        </w:tc>
      </w:tr>
    </w:tbl>
    <w:p w14:paraId="24053B0F" w14:textId="77777777" w:rsidR="004B4E35" w:rsidRPr="00405303" w:rsidRDefault="009E6F82" w:rsidP="00C15251">
      <w:pPr>
        <w:jc w:val="both"/>
        <w:rPr>
          <w:bCs/>
          <w:color w:val="002060"/>
          <w:sz w:val="16"/>
          <w:szCs w:val="16"/>
        </w:rPr>
      </w:pPr>
      <w:r w:rsidRPr="00405303">
        <w:rPr>
          <w:bCs/>
          <w:color w:val="002060"/>
          <w:sz w:val="16"/>
          <w:szCs w:val="16"/>
        </w:rPr>
        <w:t xml:space="preserve">Параллельно постепенно улучшалось и качество ружей. </w:t>
      </w:r>
    </w:p>
    <w:p w14:paraId="77B781EB" w14:textId="77777777" w:rsidR="004B4E35" w:rsidRPr="00405303" w:rsidRDefault="009E6F82" w:rsidP="00C15251">
      <w:pPr>
        <w:jc w:val="both"/>
        <w:rPr>
          <w:bCs/>
          <w:color w:val="002060"/>
          <w:sz w:val="16"/>
          <w:szCs w:val="16"/>
        </w:rPr>
      </w:pPr>
      <w:r w:rsidRPr="00405303">
        <w:rPr>
          <w:bCs/>
          <w:color w:val="002060"/>
          <w:sz w:val="16"/>
          <w:szCs w:val="16"/>
        </w:rPr>
        <w:t xml:space="preserve">19 декабря 1917 г. в связи с общей ликвидацией деятельности Заготовительного комитета Вестингауз был осведомлен о канцеляции заказа как по основному контракту, так и опционов, которые предполагалось использовать. Вследствие этого приступлено было к ликвидации контракта. </w:t>
      </w:r>
    </w:p>
    <w:p w14:paraId="55FFFB8C" w14:textId="77777777" w:rsidR="004B4E35" w:rsidRPr="00405303" w:rsidRDefault="009E6F82" w:rsidP="00C15251">
      <w:pPr>
        <w:jc w:val="both"/>
        <w:rPr>
          <w:bCs/>
          <w:color w:val="002060"/>
          <w:sz w:val="16"/>
          <w:szCs w:val="16"/>
        </w:rPr>
      </w:pPr>
      <w:r w:rsidRPr="00405303">
        <w:rPr>
          <w:bCs/>
          <w:color w:val="002060"/>
          <w:sz w:val="16"/>
          <w:szCs w:val="16"/>
        </w:rPr>
        <w:t xml:space="preserve">Американское правительство выразило желание приобрести у Вестингауза 200 тыс. трехлинейных винтовок, которые он должен продолжать готовить после окончания русского заказа, с тем что оборудование завода не пойдет в ликвидацию и будет подготовлено к помещению заказа американского правительства на 15 тыс. пулеметных браунингов. </w:t>
      </w:r>
    </w:p>
    <w:p w14:paraId="58620858" w14:textId="77777777" w:rsidR="004B4E35" w:rsidRPr="00405303" w:rsidRDefault="009E6F82" w:rsidP="00C15251">
      <w:pPr>
        <w:jc w:val="both"/>
        <w:rPr>
          <w:bCs/>
          <w:color w:val="002060"/>
          <w:sz w:val="16"/>
          <w:szCs w:val="16"/>
        </w:rPr>
      </w:pPr>
      <w:r w:rsidRPr="00405303">
        <w:rPr>
          <w:bCs/>
          <w:color w:val="002060"/>
          <w:sz w:val="16"/>
          <w:szCs w:val="16"/>
        </w:rPr>
        <w:t xml:space="preserve">В итоге всех указанных выше перипетий по 1 января 1918 г. было принято 1 073 560 ружей. Из этого количества в Россию было отправлено 769 520 ружей, а остальные 304 040 русских ружей были отправлены по распоряжению британского правительства в Англию. Всего за весь заказ было уплачено 40 907 873 доллара. </w:t>
      </w:r>
    </w:p>
    <w:p w14:paraId="43E6F3AE" w14:textId="77777777" w:rsidR="004B4E35" w:rsidRPr="00405303" w:rsidRDefault="009E6F82" w:rsidP="00C15251">
      <w:pPr>
        <w:jc w:val="both"/>
        <w:rPr>
          <w:bCs/>
          <w:color w:val="002060"/>
          <w:sz w:val="16"/>
          <w:szCs w:val="16"/>
        </w:rPr>
      </w:pPr>
      <w:r w:rsidRPr="00405303">
        <w:rPr>
          <w:bCs/>
          <w:color w:val="002060"/>
          <w:sz w:val="16"/>
          <w:szCs w:val="16"/>
        </w:rPr>
        <w:t xml:space="preserve">В итоге всех этих длинных и сложных перипетий первоначальный заказ на винтовки был выполнен Вестингаузом на 60% и срок исполнения этой части заказа был оттянут на 20 месяцев против контрактного. </w:t>
      </w:r>
    </w:p>
    <w:p w14:paraId="0E1F40A4" w14:textId="77777777" w:rsidR="004B4E35" w:rsidRPr="00405303" w:rsidRDefault="009E6F82" w:rsidP="00C15251">
      <w:pPr>
        <w:pStyle w:val="2"/>
        <w:spacing w:before="0" w:after="0"/>
        <w:jc w:val="both"/>
        <w:rPr>
          <w:b w:val="0"/>
          <w:bCs/>
          <w:color w:val="002060"/>
          <w:sz w:val="16"/>
          <w:szCs w:val="16"/>
        </w:rPr>
      </w:pPr>
      <w:r w:rsidRPr="00405303">
        <w:rPr>
          <w:rStyle w:val="12"/>
          <w:b w:val="0"/>
          <w:bCs/>
          <w:i w:val="0"/>
          <w:color w:val="002060"/>
          <w:sz w:val="16"/>
          <w:szCs w:val="16"/>
        </w:rPr>
        <w:t>Заказы на винтовки компании Ремингтон</w:t>
      </w:r>
    </w:p>
    <w:p w14:paraId="5FFF92AB" w14:textId="77777777" w:rsidR="004B4E35" w:rsidRPr="00405303" w:rsidRDefault="009E6F82" w:rsidP="00C15251">
      <w:pPr>
        <w:jc w:val="both"/>
        <w:rPr>
          <w:bCs/>
          <w:color w:val="002060"/>
          <w:sz w:val="16"/>
          <w:szCs w:val="16"/>
        </w:rPr>
      </w:pPr>
      <w:r w:rsidRPr="00405303">
        <w:rPr>
          <w:bCs/>
          <w:color w:val="002060"/>
          <w:sz w:val="16"/>
          <w:szCs w:val="16"/>
        </w:rPr>
        <w:lastRenderedPageBreak/>
        <w:t>Компании Ремингтон были даны следующие заказы на трехлинейные винтовки для России (тыс. шт.):</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848"/>
        <w:gridCol w:w="1476"/>
      </w:tblGrid>
      <w:tr w:rsidR="004B4E35" w:rsidRPr="00405303" w14:paraId="4F6C5E4D" w14:textId="77777777">
        <w:tc>
          <w:tcPr>
            <w:tcW w:w="4848" w:type="dxa"/>
          </w:tcPr>
          <w:p w14:paraId="6AAA81B6" w14:textId="77777777" w:rsidR="004B4E35" w:rsidRPr="00405303" w:rsidRDefault="009E6F82" w:rsidP="00C15251">
            <w:pPr>
              <w:jc w:val="both"/>
              <w:rPr>
                <w:bCs/>
                <w:color w:val="002060"/>
                <w:sz w:val="16"/>
                <w:szCs w:val="16"/>
              </w:rPr>
            </w:pPr>
            <w:r w:rsidRPr="00405303">
              <w:rPr>
                <w:bCs/>
                <w:color w:val="002060"/>
                <w:sz w:val="16"/>
                <w:szCs w:val="16"/>
              </w:rPr>
              <w:t>По контракту с русским правительством 26 января 1915 г.</w:t>
            </w:r>
          </w:p>
        </w:tc>
        <w:tc>
          <w:tcPr>
            <w:tcW w:w="1476" w:type="dxa"/>
          </w:tcPr>
          <w:p w14:paraId="2A3F09EC" w14:textId="77777777" w:rsidR="004B4E35" w:rsidRPr="00405303" w:rsidRDefault="009E6F82" w:rsidP="00C15251">
            <w:pPr>
              <w:jc w:val="both"/>
              <w:rPr>
                <w:bCs/>
                <w:color w:val="002060"/>
                <w:sz w:val="16"/>
                <w:szCs w:val="16"/>
              </w:rPr>
            </w:pPr>
            <w:r w:rsidRPr="00405303">
              <w:rPr>
                <w:bCs/>
                <w:color w:val="002060"/>
                <w:sz w:val="16"/>
                <w:szCs w:val="16"/>
              </w:rPr>
              <w:t xml:space="preserve">на 1000 </w:t>
            </w:r>
          </w:p>
        </w:tc>
      </w:tr>
      <w:tr w:rsidR="004B4E35" w:rsidRPr="00405303" w14:paraId="0158F08F" w14:textId="77777777">
        <w:tc>
          <w:tcPr>
            <w:tcW w:w="4848" w:type="dxa"/>
          </w:tcPr>
          <w:p w14:paraId="0B6A9953" w14:textId="77777777" w:rsidR="004B4E35" w:rsidRPr="00405303" w:rsidRDefault="009E6F82" w:rsidP="00C15251">
            <w:pPr>
              <w:jc w:val="both"/>
              <w:rPr>
                <w:bCs/>
                <w:color w:val="002060"/>
                <w:sz w:val="16"/>
                <w:szCs w:val="16"/>
              </w:rPr>
            </w:pPr>
            <w:r w:rsidRPr="00405303">
              <w:rPr>
                <w:bCs/>
                <w:color w:val="002060"/>
                <w:sz w:val="16"/>
                <w:szCs w:val="16"/>
              </w:rPr>
              <w:t>То же 16 июля 1915 г.</w:t>
            </w:r>
          </w:p>
        </w:tc>
        <w:tc>
          <w:tcPr>
            <w:tcW w:w="1476" w:type="dxa"/>
          </w:tcPr>
          <w:p w14:paraId="1388C778" w14:textId="77777777" w:rsidR="004B4E35" w:rsidRPr="00405303" w:rsidRDefault="009E6F82" w:rsidP="00C15251">
            <w:pPr>
              <w:jc w:val="both"/>
              <w:rPr>
                <w:bCs/>
                <w:color w:val="002060"/>
                <w:sz w:val="16"/>
                <w:szCs w:val="16"/>
              </w:rPr>
            </w:pPr>
            <w:r w:rsidRPr="00405303">
              <w:rPr>
                <w:bCs/>
                <w:color w:val="002060"/>
                <w:sz w:val="16"/>
                <w:szCs w:val="16"/>
              </w:rPr>
              <w:t xml:space="preserve">на 200 </w:t>
            </w:r>
          </w:p>
        </w:tc>
      </w:tr>
      <w:tr w:rsidR="004B4E35" w:rsidRPr="00405303" w14:paraId="32426FAA" w14:textId="77777777">
        <w:tc>
          <w:tcPr>
            <w:tcW w:w="4848" w:type="dxa"/>
          </w:tcPr>
          <w:p w14:paraId="4C1146A3" w14:textId="77777777" w:rsidR="004B4E35" w:rsidRPr="00405303" w:rsidRDefault="009E6F82" w:rsidP="00C15251">
            <w:pPr>
              <w:jc w:val="both"/>
              <w:rPr>
                <w:bCs/>
                <w:color w:val="002060"/>
                <w:sz w:val="16"/>
                <w:szCs w:val="16"/>
              </w:rPr>
            </w:pPr>
            <w:r w:rsidRPr="00405303">
              <w:rPr>
                <w:bCs/>
                <w:color w:val="002060"/>
                <w:sz w:val="16"/>
                <w:szCs w:val="16"/>
              </w:rPr>
              <w:t>По контракту с британским правительством 9 сентября 1915 г.</w:t>
            </w:r>
          </w:p>
        </w:tc>
        <w:tc>
          <w:tcPr>
            <w:tcW w:w="1476" w:type="dxa"/>
          </w:tcPr>
          <w:p w14:paraId="4DCFA6E5" w14:textId="77777777" w:rsidR="004B4E35" w:rsidRPr="00405303" w:rsidRDefault="009E6F82" w:rsidP="00C15251">
            <w:pPr>
              <w:jc w:val="both"/>
              <w:rPr>
                <w:bCs/>
                <w:color w:val="002060"/>
                <w:sz w:val="16"/>
                <w:szCs w:val="16"/>
              </w:rPr>
            </w:pPr>
            <w:r w:rsidRPr="00405303">
              <w:rPr>
                <w:bCs/>
                <w:color w:val="002060"/>
                <w:sz w:val="16"/>
                <w:szCs w:val="16"/>
              </w:rPr>
              <w:t xml:space="preserve">на 300 </w:t>
            </w:r>
          </w:p>
        </w:tc>
      </w:tr>
      <w:tr w:rsidR="004B4E35" w:rsidRPr="00405303" w14:paraId="455CAF69" w14:textId="77777777">
        <w:tc>
          <w:tcPr>
            <w:tcW w:w="4848" w:type="dxa"/>
          </w:tcPr>
          <w:p w14:paraId="39C2A9BF" w14:textId="77777777" w:rsidR="004B4E35" w:rsidRPr="00405303" w:rsidRDefault="009E6F82" w:rsidP="00C15251">
            <w:pPr>
              <w:jc w:val="both"/>
              <w:rPr>
                <w:bCs/>
                <w:color w:val="002060"/>
                <w:sz w:val="16"/>
                <w:szCs w:val="16"/>
              </w:rPr>
            </w:pPr>
            <w:r w:rsidRPr="00405303">
              <w:rPr>
                <w:bCs/>
                <w:color w:val="002060"/>
                <w:sz w:val="16"/>
                <w:szCs w:val="16"/>
              </w:rPr>
              <w:t>Итого</w:t>
            </w:r>
          </w:p>
        </w:tc>
        <w:tc>
          <w:tcPr>
            <w:tcW w:w="1476" w:type="dxa"/>
          </w:tcPr>
          <w:p w14:paraId="7BF6C7D2" w14:textId="77777777" w:rsidR="004B4E35" w:rsidRPr="00405303" w:rsidRDefault="009E6F82" w:rsidP="00C15251">
            <w:pPr>
              <w:jc w:val="both"/>
              <w:rPr>
                <w:bCs/>
                <w:color w:val="002060"/>
                <w:sz w:val="16"/>
                <w:szCs w:val="16"/>
              </w:rPr>
            </w:pPr>
            <w:r w:rsidRPr="00405303">
              <w:rPr>
                <w:bCs/>
                <w:color w:val="002060"/>
                <w:sz w:val="16"/>
                <w:szCs w:val="16"/>
              </w:rPr>
              <w:t xml:space="preserve">1 500 000 штук. </w:t>
            </w:r>
          </w:p>
        </w:tc>
      </w:tr>
    </w:tbl>
    <w:p w14:paraId="0FC22D2F" w14:textId="77777777" w:rsidR="004B4E35" w:rsidRPr="00405303" w:rsidRDefault="009E6F82" w:rsidP="00C15251">
      <w:pPr>
        <w:jc w:val="both"/>
        <w:rPr>
          <w:bCs/>
          <w:color w:val="002060"/>
          <w:sz w:val="16"/>
          <w:szCs w:val="16"/>
        </w:rPr>
      </w:pPr>
      <w:r w:rsidRPr="00405303">
        <w:rPr>
          <w:bCs/>
          <w:color w:val="002060"/>
          <w:sz w:val="16"/>
          <w:szCs w:val="16"/>
        </w:rPr>
        <w:t xml:space="preserve">Кроме того, заказано 300 000 черновых ружейных стволов по цене 4,75 доллара за штуку. Начальный срок поставки винтовок — ноябрь 1915 г. и конечный — март 1917 года. Цена — 30 долларов за винтовку франко-завод. </w:t>
      </w:r>
    </w:p>
    <w:p w14:paraId="274C15FA" w14:textId="77777777" w:rsidR="004B4E35" w:rsidRPr="00405303" w:rsidRDefault="009E6F82" w:rsidP="00C15251">
      <w:pPr>
        <w:jc w:val="both"/>
        <w:rPr>
          <w:bCs/>
          <w:color w:val="002060"/>
          <w:sz w:val="16"/>
          <w:szCs w:val="16"/>
        </w:rPr>
      </w:pPr>
      <w:r w:rsidRPr="00405303">
        <w:rPr>
          <w:bCs/>
          <w:color w:val="002060"/>
          <w:sz w:val="16"/>
          <w:szCs w:val="16"/>
        </w:rPr>
        <w:t xml:space="preserve">В противоположность Вестингаузу, разбросавшему выполнение заказа по нескольким десяткам заводов, Ремингтон сосредоточил выполнение заказа в одном месте. Для этого в Бриджпорте был выстроен и богато оборудован завод громадных размеров. Мощность его рассчитана была на 6000 винтовок в сутки, максимальная же сдача по плану выполнения контракта предусмотрена в 4500 штук. </w:t>
      </w:r>
    </w:p>
    <w:p w14:paraId="2CF3F09D" w14:textId="77777777" w:rsidR="004B4E35" w:rsidRPr="00405303" w:rsidRDefault="009E6F82" w:rsidP="00C15251">
      <w:pPr>
        <w:jc w:val="both"/>
        <w:rPr>
          <w:bCs/>
          <w:color w:val="002060"/>
          <w:sz w:val="16"/>
          <w:szCs w:val="16"/>
        </w:rPr>
      </w:pPr>
      <w:r w:rsidRPr="00405303">
        <w:rPr>
          <w:bCs/>
          <w:color w:val="002060"/>
          <w:sz w:val="16"/>
          <w:szCs w:val="16"/>
        </w:rPr>
        <w:t xml:space="preserve">Постройка завода началась в марте 1915 г. и закончилась в сентябре того же года. </w:t>
      </w:r>
    </w:p>
    <w:p w14:paraId="256273E1" w14:textId="77777777" w:rsidR="004B4E35" w:rsidRPr="00405303" w:rsidRDefault="009E6F82" w:rsidP="00C15251">
      <w:pPr>
        <w:jc w:val="both"/>
        <w:rPr>
          <w:bCs/>
          <w:color w:val="002060"/>
          <w:sz w:val="16"/>
          <w:szCs w:val="16"/>
        </w:rPr>
      </w:pPr>
      <w:r w:rsidRPr="00405303">
        <w:rPr>
          <w:bCs/>
          <w:color w:val="002060"/>
          <w:sz w:val="16"/>
          <w:szCs w:val="16"/>
        </w:rPr>
        <w:t xml:space="preserve">Предварительные данные, необходимые для постановки производства были сообщены заводу заблаговременно еще в 1914 году. Русские приемщики вместе с представителями завода начали разрабатывать необходимые чертежи и корректировать в них некоторые ошибки, наличие коих было указано в главе о Вестингаузе. Эта работа продолжалась по май 1915 года. В марте 1915 г. в распоряжении завода было несколько десятков винтовок, образцовые лекала и чертежи тех и других. Винтовки были не образцовые, так как изготовлялись в военное время по облегченным кондициям. Лекала — новые и вполне исправные. </w:t>
      </w:r>
    </w:p>
    <w:p w14:paraId="4D044518" w14:textId="77777777" w:rsidR="004B4E35" w:rsidRPr="00405303" w:rsidRDefault="009E6F82" w:rsidP="00C15251">
      <w:pPr>
        <w:jc w:val="both"/>
        <w:rPr>
          <w:bCs/>
          <w:color w:val="002060"/>
          <w:sz w:val="16"/>
          <w:szCs w:val="16"/>
        </w:rPr>
      </w:pPr>
      <w:r w:rsidRPr="00405303">
        <w:rPr>
          <w:bCs/>
          <w:color w:val="002060"/>
          <w:sz w:val="16"/>
          <w:szCs w:val="16"/>
        </w:rPr>
        <w:t xml:space="preserve">В конце 1915 г. прибыли на завод назначенные туда от Заготовительного комитета приемщики. Весьма быстро между администрацией завода и ними возник серьезный конфликт, в результате коего приемщику отказали в допуске в завод. Для ликвидации конфликта на завод прибыла большая комиссия. Один из приемщиков был отозван в Россию, и инцидент был исчерпан. </w:t>
      </w:r>
    </w:p>
    <w:p w14:paraId="37DB9910" w14:textId="77777777" w:rsidR="004B4E35" w:rsidRPr="00405303" w:rsidRDefault="009E6F82" w:rsidP="00C15251">
      <w:pPr>
        <w:jc w:val="both"/>
        <w:rPr>
          <w:bCs/>
          <w:color w:val="002060"/>
          <w:sz w:val="16"/>
          <w:szCs w:val="16"/>
        </w:rPr>
      </w:pPr>
      <w:r w:rsidRPr="00405303">
        <w:rPr>
          <w:bCs/>
          <w:color w:val="002060"/>
          <w:sz w:val="16"/>
          <w:szCs w:val="16"/>
        </w:rPr>
        <w:t xml:space="preserve">Сдача винтовок началась с большим запозданием, лишь в апреле 1916 года. Дело шло плохо и в отношении выпуска, и в отношении качеств изделия. Ввиду этого по настоянию русской инспекции директор завода был смещен. Новый директор, весьма опытный человек, предпринял коренную техническую перепланировку производства. Это вызвало резкий упадок достигнутого уже выпуска винтовок. Сдача, дошедшая в августе 1916 г. до 2000 шт. в сутки, снизилась </w:t>
      </w:r>
      <w:proofErr w:type="gramStart"/>
      <w:r w:rsidRPr="00405303">
        <w:rPr>
          <w:bCs/>
          <w:color w:val="002060"/>
          <w:sz w:val="16"/>
          <w:szCs w:val="16"/>
        </w:rPr>
        <w:t>больше</w:t>
      </w:r>
      <w:proofErr w:type="gramEnd"/>
      <w:r w:rsidRPr="00405303">
        <w:rPr>
          <w:bCs/>
          <w:color w:val="002060"/>
          <w:sz w:val="16"/>
          <w:szCs w:val="16"/>
        </w:rPr>
        <w:t xml:space="preserve"> чем вдвое. Но зато методы производства были значительно улучшены проведением правильно-лекального изготовления всех деталей. Это создавало прочную базу для быстрого и широкого разворачивания производства и улучшало качества изделия. Потребовалась перепланировка помещения цехов. </w:t>
      </w:r>
    </w:p>
    <w:p w14:paraId="7E8BD180" w14:textId="77777777" w:rsidR="004B4E35" w:rsidRPr="00405303" w:rsidRDefault="009E6F82" w:rsidP="00C15251">
      <w:pPr>
        <w:jc w:val="both"/>
        <w:rPr>
          <w:bCs/>
          <w:color w:val="002060"/>
          <w:sz w:val="16"/>
          <w:szCs w:val="16"/>
        </w:rPr>
      </w:pPr>
      <w:r w:rsidRPr="00405303">
        <w:rPr>
          <w:bCs/>
          <w:color w:val="002060"/>
          <w:sz w:val="16"/>
          <w:szCs w:val="16"/>
        </w:rPr>
        <w:t xml:space="preserve">По прошествии полутора лет со дня заключения контракта фактическое состояние производства по сравнению с контрактным планом представлялось в следующем виде: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984"/>
        <w:gridCol w:w="984"/>
        <w:gridCol w:w="984"/>
        <w:gridCol w:w="1128"/>
      </w:tblGrid>
      <w:tr w:rsidR="004B4E35" w:rsidRPr="00405303" w14:paraId="2D08C68B" w14:textId="77777777">
        <w:tc>
          <w:tcPr>
            <w:tcW w:w="1248" w:type="dxa"/>
          </w:tcPr>
          <w:p w14:paraId="54F121C5" w14:textId="77777777" w:rsidR="004B4E35" w:rsidRPr="00405303" w:rsidRDefault="009E6F82" w:rsidP="00C15251">
            <w:pPr>
              <w:jc w:val="both"/>
              <w:rPr>
                <w:bCs/>
                <w:color w:val="002060"/>
                <w:sz w:val="16"/>
                <w:szCs w:val="16"/>
              </w:rPr>
            </w:pPr>
            <w:r w:rsidRPr="00405303">
              <w:rPr>
                <w:bCs/>
                <w:color w:val="002060"/>
                <w:sz w:val="16"/>
                <w:szCs w:val="16"/>
              </w:rPr>
              <w:t xml:space="preserve">Сдача </w:t>
            </w:r>
          </w:p>
        </w:tc>
        <w:tc>
          <w:tcPr>
            <w:tcW w:w="1968" w:type="dxa"/>
            <w:gridSpan w:val="2"/>
          </w:tcPr>
          <w:p w14:paraId="41A96F96" w14:textId="77777777" w:rsidR="004B4E35" w:rsidRPr="00405303" w:rsidRDefault="009E6F82" w:rsidP="00C15251">
            <w:pPr>
              <w:jc w:val="both"/>
              <w:rPr>
                <w:bCs/>
                <w:color w:val="002060"/>
                <w:sz w:val="16"/>
                <w:szCs w:val="16"/>
              </w:rPr>
            </w:pPr>
            <w:r w:rsidRPr="00405303">
              <w:rPr>
                <w:bCs/>
                <w:color w:val="002060"/>
                <w:sz w:val="16"/>
                <w:szCs w:val="16"/>
              </w:rPr>
              <w:t>Надлежало по плану</w:t>
            </w:r>
          </w:p>
        </w:tc>
        <w:tc>
          <w:tcPr>
            <w:tcW w:w="2112" w:type="dxa"/>
            <w:gridSpan w:val="2"/>
          </w:tcPr>
          <w:p w14:paraId="1C2AB259" w14:textId="77777777" w:rsidR="004B4E35" w:rsidRPr="00405303" w:rsidRDefault="009E6F82" w:rsidP="00C15251">
            <w:pPr>
              <w:jc w:val="both"/>
              <w:rPr>
                <w:bCs/>
                <w:color w:val="002060"/>
                <w:sz w:val="16"/>
                <w:szCs w:val="16"/>
              </w:rPr>
            </w:pPr>
            <w:r w:rsidRPr="00405303">
              <w:rPr>
                <w:bCs/>
                <w:color w:val="002060"/>
                <w:sz w:val="16"/>
                <w:szCs w:val="16"/>
              </w:rPr>
              <w:t>Фактическая</w:t>
            </w:r>
          </w:p>
        </w:tc>
      </w:tr>
      <w:tr w:rsidR="004B4E35" w:rsidRPr="00405303" w14:paraId="364CAA39" w14:textId="77777777">
        <w:tc>
          <w:tcPr>
            <w:tcW w:w="1248" w:type="dxa"/>
          </w:tcPr>
          <w:p w14:paraId="44B57D8A" w14:textId="77777777" w:rsidR="004B4E35" w:rsidRPr="00405303" w:rsidRDefault="009E6F82" w:rsidP="00C15251">
            <w:pPr>
              <w:jc w:val="both"/>
              <w:rPr>
                <w:bCs/>
                <w:color w:val="002060"/>
                <w:sz w:val="16"/>
                <w:szCs w:val="16"/>
              </w:rPr>
            </w:pPr>
            <w:r w:rsidRPr="00405303">
              <w:rPr>
                <w:bCs/>
                <w:color w:val="002060"/>
                <w:sz w:val="16"/>
                <w:szCs w:val="16"/>
              </w:rPr>
              <w:t>винтовок</w:t>
            </w:r>
          </w:p>
        </w:tc>
        <w:tc>
          <w:tcPr>
            <w:tcW w:w="984" w:type="dxa"/>
          </w:tcPr>
          <w:p w14:paraId="019DF612" w14:textId="77777777" w:rsidR="004B4E35" w:rsidRPr="00405303" w:rsidRDefault="009E6F82" w:rsidP="00C15251">
            <w:pPr>
              <w:jc w:val="both"/>
              <w:rPr>
                <w:bCs/>
                <w:color w:val="002060"/>
                <w:sz w:val="16"/>
                <w:szCs w:val="16"/>
              </w:rPr>
            </w:pPr>
            <w:r w:rsidRPr="00405303">
              <w:rPr>
                <w:bCs/>
                <w:color w:val="002060"/>
                <w:sz w:val="16"/>
                <w:szCs w:val="16"/>
              </w:rPr>
              <w:t>В сутки</w:t>
            </w:r>
          </w:p>
        </w:tc>
        <w:tc>
          <w:tcPr>
            <w:tcW w:w="984" w:type="dxa"/>
          </w:tcPr>
          <w:p w14:paraId="23F5C956" w14:textId="77777777" w:rsidR="004B4E35" w:rsidRPr="00405303" w:rsidRDefault="009E6F82" w:rsidP="00C15251">
            <w:pPr>
              <w:jc w:val="both"/>
              <w:rPr>
                <w:bCs/>
                <w:color w:val="002060"/>
                <w:sz w:val="16"/>
                <w:szCs w:val="16"/>
              </w:rPr>
            </w:pPr>
            <w:r w:rsidRPr="00405303">
              <w:rPr>
                <w:bCs/>
                <w:color w:val="002060"/>
                <w:sz w:val="16"/>
                <w:szCs w:val="16"/>
              </w:rPr>
              <w:t>От начала работ</w:t>
            </w:r>
          </w:p>
        </w:tc>
        <w:tc>
          <w:tcPr>
            <w:tcW w:w="984" w:type="dxa"/>
          </w:tcPr>
          <w:p w14:paraId="2739B5F2" w14:textId="77777777" w:rsidR="004B4E35" w:rsidRPr="00405303" w:rsidRDefault="009E6F82" w:rsidP="00C15251">
            <w:pPr>
              <w:jc w:val="both"/>
              <w:rPr>
                <w:bCs/>
                <w:color w:val="002060"/>
                <w:sz w:val="16"/>
                <w:szCs w:val="16"/>
              </w:rPr>
            </w:pPr>
            <w:r w:rsidRPr="00405303">
              <w:rPr>
                <w:bCs/>
                <w:color w:val="002060"/>
                <w:sz w:val="16"/>
                <w:szCs w:val="16"/>
              </w:rPr>
              <w:t>В сутки</w:t>
            </w:r>
          </w:p>
        </w:tc>
        <w:tc>
          <w:tcPr>
            <w:tcW w:w="1128" w:type="dxa"/>
          </w:tcPr>
          <w:p w14:paraId="6C05D1C0" w14:textId="77777777" w:rsidR="004B4E35" w:rsidRPr="00405303" w:rsidRDefault="009E6F82" w:rsidP="00C15251">
            <w:pPr>
              <w:jc w:val="both"/>
              <w:rPr>
                <w:bCs/>
                <w:color w:val="002060"/>
                <w:sz w:val="16"/>
                <w:szCs w:val="16"/>
              </w:rPr>
            </w:pPr>
            <w:r w:rsidRPr="00405303">
              <w:rPr>
                <w:bCs/>
                <w:color w:val="002060"/>
                <w:sz w:val="16"/>
                <w:szCs w:val="16"/>
              </w:rPr>
              <w:t>От начала работ</w:t>
            </w:r>
          </w:p>
        </w:tc>
      </w:tr>
      <w:tr w:rsidR="004B4E35" w:rsidRPr="00405303" w14:paraId="1D22B471" w14:textId="77777777">
        <w:tc>
          <w:tcPr>
            <w:tcW w:w="1248" w:type="dxa"/>
          </w:tcPr>
          <w:p w14:paraId="362B2B7E" w14:textId="77777777" w:rsidR="004B4E35" w:rsidRPr="00405303" w:rsidRDefault="009E6F82" w:rsidP="00C15251">
            <w:pPr>
              <w:jc w:val="both"/>
              <w:rPr>
                <w:bCs/>
                <w:color w:val="002060"/>
                <w:sz w:val="16"/>
                <w:szCs w:val="16"/>
              </w:rPr>
            </w:pPr>
            <w:r w:rsidRPr="00405303">
              <w:rPr>
                <w:bCs/>
                <w:color w:val="002060"/>
                <w:sz w:val="16"/>
                <w:szCs w:val="16"/>
              </w:rPr>
              <w:t>Декабрь 1916 г.</w:t>
            </w:r>
          </w:p>
        </w:tc>
        <w:tc>
          <w:tcPr>
            <w:tcW w:w="984" w:type="dxa"/>
          </w:tcPr>
          <w:p w14:paraId="313051FF" w14:textId="77777777" w:rsidR="004B4E35" w:rsidRPr="00405303" w:rsidRDefault="009E6F82" w:rsidP="00C15251">
            <w:pPr>
              <w:jc w:val="both"/>
              <w:rPr>
                <w:bCs/>
                <w:color w:val="002060"/>
                <w:sz w:val="16"/>
                <w:szCs w:val="16"/>
              </w:rPr>
            </w:pPr>
            <w:r w:rsidRPr="00405303">
              <w:rPr>
                <w:bCs/>
                <w:color w:val="002060"/>
                <w:sz w:val="16"/>
                <w:szCs w:val="16"/>
              </w:rPr>
              <w:t>1.000</w:t>
            </w:r>
          </w:p>
        </w:tc>
        <w:tc>
          <w:tcPr>
            <w:tcW w:w="984" w:type="dxa"/>
          </w:tcPr>
          <w:p w14:paraId="25C67995" w14:textId="77777777" w:rsidR="004B4E35" w:rsidRPr="00405303" w:rsidRDefault="009E6F82" w:rsidP="00C15251">
            <w:pPr>
              <w:jc w:val="both"/>
              <w:rPr>
                <w:bCs/>
                <w:color w:val="002060"/>
                <w:sz w:val="16"/>
                <w:szCs w:val="16"/>
              </w:rPr>
            </w:pPr>
            <w:r w:rsidRPr="00405303">
              <w:rPr>
                <w:bCs/>
                <w:color w:val="002060"/>
                <w:sz w:val="16"/>
                <w:szCs w:val="16"/>
              </w:rPr>
              <w:t>1.000.000</w:t>
            </w:r>
          </w:p>
        </w:tc>
        <w:tc>
          <w:tcPr>
            <w:tcW w:w="984" w:type="dxa"/>
          </w:tcPr>
          <w:p w14:paraId="4A3309B8" w14:textId="77777777" w:rsidR="004B4E35" w:rsidRPr="00405303" w:rsidRDefault="009E6F82" w:rsidP="00C15251">
            <w:pPr>
              <w:jc w:val="both"/>
              <w:rPr>
                <w:bCs/>
                <w:color w:val="002060"/>
                <w:sz w:val="16"/>
                <w:szCs w:val="16"/>
              </w:rPr>
            </w:pPr>
            <w:r w:rsidRPr="00405303">
              <w:rPr>
                <w:bCs/>
                <w:color w:val="002060"/>
                <w:sz w:val="16"/>
                <w:szCs w:val="16"/>
              </w:rPr>
              <w:t>500</w:t>
            </w:r>
          </w:p>
        </w:tc>
        <w:tc>
          <w:tcPr>
            <w:tcW w:w="1128" w:type="dxa"/>
          </w:tcPr>
          <w:p w14:paraId="2308A15A" w14:textId="77777777" w:rsidR="004B4E35" w:rsidRPr="00405303" w:rsidRDefault="009E6F82" w:rsidP="00C15251">
            <w:pPr>
              <w:jc w:val="both"/>
              <w:rPr>
                <w:bCs/>
                <w:color w:val="002060"/>
                <w:sz w:val="16"/>
                <w:szCs w:val="16"/>
              </w:rPr>
            </w:pPr>
            <w:r w:rsidRPr="00405303">
              <w:rPr>
                <w:bCs/>
                <w:color w:val="002060"/>
                <w:sz w:val="16"/>
                <w:szCs w:val="16"/>
              </w:rPr>
              <w:t>70.000</w:t>
            </w:r>
          </w:p>
        </w:tc>
      </w:tr>
      <w:tr w:rsidR="004B4E35" w:rsidRPr="00405303" w14:paraId="5BA28086" w14:textId="77777777">
        <w:tc>
          <w:tcPr>
            <w:tcW w:w="1248" w:type="dxa"/>
          </w:tcPr>
          <w:p w14:paraId="5771161C" w14:textId="77777777" w:rsidR="004B4E35" w:rsidRPr="00405303" w:rsidRDefault="009E6F82" w:rsidP="00C15251">
            <w:pPr>
              <w:jc w:val="both"/>
              <w:rPr>
                <w:bCs/>
                <w:color w:val="002060"/>
                <w:sz w:val="16"/>
                <w:szCs w:val="16"/>
              </w:rPr>
            </w:pPr>
            <w:r w:rsidRPr="00405303">
              <w:rPr>
                <w:bCs/>
                <w:color w:val="002060"/>
                <w:sz w:val="16"/>
                <w:szCs w:val="16"/>
              </w:rPr>
              <w:t>Март 1917 г.</w:t>
            </w:r>
          </w:p>
        </w:tc>
        <w:tc>
          <w:tcPr>
            <w:tcW w:w="984" w:type="dxa"/>
          </w:tcPr>
          <w:p w14:paraId="286A1FD1" w14:textId="77777777" w:rsidR="004B4E35" w:rsidRPr="00405303" w:rsidRDefault="009E6F82" w:rsidP="00C15251">
            <w:pPr>
              <w:jc w:val="both"/>
              <w:rPr>
                <w:bCs/>
                <w:color w:val="002060"/>
                <w:sz w:val="16"/>
                <w:szCs w:val="16"/>
              </w:rPr>
            </w:pPr>
            <w:r w:rsidRPr="00405303">
              <w:rPr>
                <w:bCs/>
                <w:color w:val="002060"/>
                <w:sz w:val="16"/>
                <w:szCs w:val="16"/>
              </w:rPr>
              <w:t>4.000</w:t>
            </w:r>
          </w:p>
        </w:tc>
        <w:tc>
          <w:tcPr>
            <w:tcW w:w="984" w:type="dxa"/>
          </w:tcPr>
          <w:p w14:paraId="0A536122" w14:textId="77777777" w:rsidR="004B4E35" w:rsidRPr="00405303" w:rsidRDefault="009E6F82" w:rsidP="00C15251">
            <w:pPr>
              <w:jc w:val="both"/>
              <w:rPr>
                <w:bCs/>
                <w:color w:val="002060"/>
                <w:sz w:val="16"/>
                <w:szCs w:val="16"/>
              </w:rPr>
            </w:pPr>
            <w:r w:rsidRPr="00405303">
              <w:rPr>
                <w:bCs/>
                <w:color w:val="002060"/>
                <w:sz w:val="16"/>
                <w:szCs w:val="16"/>
              </w:rPr>
              <w:t>1.250.000</w:t>
            </w:r>
          </w:p>
        </w:tc>
        <w:tc>
          <w:tcPr>
            <w:tcW w:w="984" w:type="dxa"/>
          </w:tcPr>
          <w:p w14:paraId="3BC1FE6A" w14:textId="77777777" w:rsidR="004B4E35" w:rsidRPr="00405303" w:rsidRDefault="009E6F82" w:rsidP="00C15251">
            <w:pPr>
              <w:jc w:val="both"/>
              <w:rPr>
                <w:bCs/>
                <w:color w:val="002060"/>
                <w:sz w:val="16"/>
                <w:szCs w:val="16"/>
              </w:rPr>
            </w:pPr>
            <w:r w:rsidRPr="00405303">
              <w:rPr>
                <w:bCs/>
                <w:color w:val="002060"/>
                <w:sz w:val="16"/>
                <w:szCs w:val="16"/>
              </w:rPr>
              <w:t>1.200</w:t>
            </w:r>
          </w:p>
        </w:tc>
        <w:tc>
          <w:tcPr>
            <w:tcW w:w="1128" w:type="dxa"/>
          </w:tcPr>
          <w:p w14:paraId="1C49F0AB" w14:textId="77777777" w:rsidR="004B4E35" w:rsidRPr="00405303" w:rsidRDefault="009E6F82" w:rsidP="00C15251">
            <w:pPr>
              <w:jc w:val="both"/>
              <w:rPr>
                <w:bCs/>
                <w:color w:val="002060"/>
                <w:sz w:val="16"/>
                <w:szCs w:val="16"/>
              </w:rPr>
            </w:pPr>
            <w:r w:rsidRPr="00405303">
              <w:rPr>
                <w:bCs/>
                <w:color w:val="002060"/>
                <w:sz w:val="16"/>
                <w:szCs w:val="16"/>
              </w:rPr>
              <w:t>120.000</w:t>
            </w:r>
          </w:p>
        </w:tc>
      </w:tr>
      <w:tr w:rsidR="004B4E35" w:rsidRPr="00405303" w14:paraId="3DC86BDB" w14:textId="77777777">
        <w:tc>
          <w:tcPr>
            <w:tcW w:w="1248" w:type="dxa"/>
          </w:tcPr>
          <w:p w14:paraId="04297B8F" w14:textId="77777777" w:rsidR="004B4E35" w:rsidRPr="00405303" w:rsidRDefault="009E6F82" w:rsidP="00C15251">
            <w:pPr>
              <w:jc w:val="both"/>
              <w:rPr>
                <w:bCs/>
                <w:color w:val="002060"/>
                <w:sz w:val="16"/>
                <w:szCs w:val="16"/>
              </w:rPr>
            </w:pPr>
            <w:r w:rsidRPr="00405303">
              <w:rPr>
                <w:bCs/>
                <w:color w:val="002060"/>
                <w:sz w:val="16"/>
                <w:szCs w:val="16"/>
              </w:rPr>
              <w:t>Май 1917 г.</w:t>
            </w:r>
          </w:p>
        </w:tc>
        <w:tc>
          <w:tcPr>
            <w:tcW w:w="984" w:type="dxa"/>
          </w:tcPr>
          <w:p w14:paraId="4675DF7C" w14:textId="77777777" w:rsidR="004B4E35" w:rsidRPr="00405303" w:rsidRDefault="009E6F82" w:rsidP="00C15251">
            <w:pPr>
              <w:jc w:val="both"/>
              <w:rPr>
                <w:bCs/>
                <w:color w:val="002060"/>
                <w:sz w:val="16"/>
                <w:szCs w:val="16"/>
              </w:rPr>
            </w:pPr>
            <w:r w:rsidRPr="00405303">
              <w:rPr>
                <w:bCs/>
                <w:color w:val="002060"/>
                <w:sz w:val="16"/>
                <w:szCs w:val="16"/>
              </w:rPr>
              <w:t>4.000</w:t>
            </w:r>
          </w:p>
        </w:tc>
        <w:tc>
          <w:tcPr>
            <w:tcW w:w="984" w:type="dxa"/>
          </w:tcPr>
          <w:p w14:paraId="330B7D47" w14:textId="77777777" w:rsidR="004B4E35" w:rsidRPr="00405303" w:rsidRDefault="009E6F82" w:rsidP="00C15251">
            <w:pPr>
              <w:jc w:val="both"/>
              <w:rPr>
                <w:bCs/>
                <w:color w:val="002060"/>
                <w:sz w:val="16"/>
                <w:szCs w:val="16"/>
              </w:rPr>
            </w:pPr>
            <w:r w:rsidRPr="00405303">
              <w:rPr>
                <w:bCs/>
                <w:color w:val="002060"/>
                <w:sz w:val="16"/>
                <w:szCs w:val="16"/>
              </w:rPr>
              <w:t>1.450.000</w:t>
            </w:r>
          </w:p>
        </w:tc>
        <w:tc>
          <w:tcPr>
            <w:tcW w:w="984" w:type="dxa"/>
          </w:tcPr>
          <w:p w14:paraId="5AD1CF7A" w14:textId="77777777" w:rsidR="004B4E35" w:rsidRPr="00405303" w:rsidRDefault="009E6F82" w:rsidP="00C15251">
            <w:pPr>
              <w:jc w:val="both"/>
              <w:rPr>
                <w:bCs/>
                <w:color w:val="002060"/>
                <w:sz w:val="16"/>
                <w:szCs w:val="16"/>
              </w:rPr>
            </w:pPr>
            <w:r w:rsidRPr="00405303">
              <w:rPr>
                <w:bCs/>
                <w:color w:val="002060"/>
                <w:sz w:val="16"/>
                <w:szCs w:val="16"/>
              </w:rPr>
              <w:t>1.800</w:t>
            </w:r>
          </w:p>
        </w:tc>
        <w:tc>
          <w:tcPr>
            <w:tcW w:w="1128" w:type="dxa"/>
          </w:tcPr>
          <w:p w14:paraId="3E116E7C" w14:textId="77777777" w:rsidR="004B4E35" w:rsidRPr="00405303" w:rsidRDefault="009E6F82" w:rsidP="00C15251">
            <w:pPr>
              <w:jc w:val="both"/>
              <w:rPr>
                <w:bCs/>
                <w:color w:val="002060"/>
                <w:sz w:val="16"/>
                <w:szCs w:val="16"/>
              </w:rPr>
            </w:pPr>
            <w:r w:rsidRPr="00405303">
              <w:rPr>
                <w:bCs/>
                <w:color w:val="002060"/>
                <w:sz w:val="16"/>
                <w:szCs w:val="16"/>
              </w:rPr>
              <w:t>200.000</w:t>
            </w:r>
          </w:p>
        </w:tc>
      </w:tr>
    </w:tbl>
    <w:p w14:paraId="4CDE7E1C" w14:textId="77777777" w:rsidR="004B4E35" w:rsidRPr="00405303" w:rsidRDefault="009E6F82" w:rsidP="00C15251">
      <w:pPr>
        <w:jc w:val="both"/>
        <w:rPr>
          <w:bCs/>
          <w:color w:val="002060"/>
          <w:sz w:val="16"/>
          <w:szCs w:val="16"/>
        </w:rPr>
      </w:pPr>
      <w:r w:rsidRPr="00405303">
        <w:rPr>
          <w:bCs/>
          <w:color w:val="002060"/>
          <w:sz w:val="16"/>
          <w:szCs w:val="16"/>
        </w:rPr>
        <w:t xml:space="preserve">Таким образом, сдача катастрофически отставала от плана. Это обстоятельство, естественно, создавало для компании крайне тяжелое финансовое положение, угрожавшее крахом, так как поступлений платежей не было, а расходы шли своим порядком. </w:t>
      </w:r>
    </w:p>
    <w:p w14:paraId="0E98D1F0" w14:textId="77777777" w:rsidR="004B4E35" w:rsidRPr="00405303" w:rsidRDefault="009E6F82" w:rsidP="00C15251">
      <w:pPr>
        <w:jc w:val="both"/>
        <w:rPr>
          <w:bCs/>
          <w:color w:val="002060"/>
          <w:sz w:val="16"/>
          <w:szCs w:val="16"/>
        </w:rPr>
      </w:pPr>
      <w:r w:rsidRPr="00405303">
        <w:rPr>
          <w:bCs/>
          <w:color w:val="002060"/>
          <w:sz w:val="16"/>
          <w:szCs w:val="16"/>
        </w:rPr>
        <w:t xml:space="preserve">В декабре 1916 г. Заготовительным комитетом был канцелирован заказ на 300 000 винтовок. </w:t>
      </w:r>
    </w:p>
    <w:p w14:paraId="17BAAEE5" w14:textId="77777777" w:rsidR="004B4E35" w:rsidRPr="00405303" w:rsidRDefault="009E6F82" w:rsidP="00C15251">
      <w:pPr>
        <w:jc w:val="both"/>
        <w:rPr>
          <w:bCs/>
          <w:color w:val="002060"/>
          <w:sz w:val="16"/>
          <w:szCs w:val="16"/>
        </w:rPr>
      </w:pPr>
      <w:r w:rsidRPr="00405303">
        <w:rPr>
          <w:bCs/>
          <w:color w:val="002060"/>
          <w:sz w:val="16"/>
          <w:szCs w:val="16"/>
        </w:rPr>
        <w:t xml:space="preserve">В связи со всем этим Ремингтон возбудил вопрос о пересмотре контрактов, угрожая в противном случае остановить производство. Создавался, таким образом, конфликт, подобный тому, какой имел место с Вестингаузом. </w:t>
      </w:r>
    </w:p>
    <w:p w14:paraId="6FD43E56" w14:textId="77777777" w:rsidR="004B4E35" w:rsidRPr="00405303" w:rsidRDefault="009E6F82" w:rsidP="00C15251">
      <w:pPr>
        <w:jc w:val="both"/>
        <w:rPr>
          <w:bCs/>
          <w:color w:val="002060"/>
          <w:sz w:val="16"/>
          <w:szCs w:val="16"/>
        </w:rPr>
      </w:pPr>
      <w:r w:rsidRPr="00405303">
        <w:rPr>
          <w:bCs/>
          <w:color w:val="002060"/>
          <w:sz w:val="16"/>
          <w:szCs w:val="16"/>
        </w:rPr>
        <w:t xml:space="preserve">Председатель Заготовительного комитета по этому поводу доносит в Петроград: "Завод Ремингтон, вероятно, опираясь на Вестингауза, получающего всякие льготы, начал опять подавать брак и тоже начинает протестовать против наших правильных требований". </w:t>
      </w:r>
    </w:p>
    <w:p w14:paraId="3C685D75" w14:textId="77777777" w:rsidR="004B4E35" w:rsidRPr="00405303" w:rsidRDefault="009E6F82" w:rsidP="00C15251">
      <w:pPr>
        <w:jc w:val="both"/>
        <w:rPr>
          <w:bCs/>
          <w:color w:val="002060"/>
          <w:sz w:val="16"/>
          <w:szCs w:val="16"/>
        </w:rPr>
      </w:pPr>
      <w:r w:rsidRPr="00405303">
        <w:rPr>
          <w:bCs/>
          <w:color w:val="002060"/>
          <w:sz w:val="16"/>
          <w:szCs w:val="16"/>
        </w:rPr>
        <w:t xml:space="preserve">Очевиден был сговор банков, которые требуют — или брать такие ружья, какие нам дают, или же, в противном случае, грозят закрыть завод, предпочитая не нести дальнейших убытков. Такое давление банков понятно, поскольку некоторые из директоров компании были в то же время директорами банков. </w:t>
      </w:r>
    </w:p>
    <w:p w14:paraId="0AD620DB" w14:textId="77777777" w:rsidR="004B4E35" w:rsidRPr="00405303" w:rsidRDefault="009E6F82" w:rsidP="00C15251">
      <w:pPr>
        <w:jc w:val="both"/>
        <w:rPr>
          <w:bCs/>
          <w:color w:val="002060"/>
          <w:sz w:val="16"/>
          <w:szCs w:val="16"/>
        </w:rPr>
      </w:pPr>
      <w:r w:rsidRPr="00405303">
        <w:rPr>
          <w:bCs/>
          <w:color w:val="002060"/>
          <w:sz w:val="16"/>
          <w:szCs w:val="16"/>
        </w:rPr>
        <w:t xml:space="preserve">В периоде переговоров об изменении условий контракта Ремингтон возбудил вопрос о передаче его завода в полное техническое управление русским инженерам-оружейникам. Одновременно такой же вопрос поставил и Вестингауз. </w:t>
      </w:r>
    </w:p>
    <w:p w14:paraId="53B732BF" w14:textId="77777777" w:rsidR="004B4E35" w:rsidRPr="00405303" w:rsidRDefault="009E6F82" w:rsidP="00C15251">
      <w:pPr>
        <w:jc w:val="both"/>
        <w:rPr>
          <w:bCs/>
          <w:color w:val="002060"/>
          <w:sz w:val="16"/>
          <w:szCs w:val="16"/>
        </w:rPr>
      </w:pPr>
      <w:r w:rsidRPr="00405303">
        <w:rPr>
          <w:bCs/>
          <w:color w:val="002060"/>
          <w:sz w:val="16"/>
          <w:szCs w:val="16"/>
        </w:rPr>
        <w:t xml:space="preserve">В середине марта 1916 г. переговоры были задержаны почти на месяц союзной конференцией в Петрограде, после чего опять возобновились и шли успешно. </w:t>
      </w:r>
    </w:p>
    <w:p w14:paraId="3622A447" w14:textId="77777777" w:rsidR="004B4E35" w:rsidRPr="00405303" w:rsidRDefault="009E6F82" w:rsidP="00C15251">
      <w:pPr>
        <w:jc w:val="both"/>
        <w:rPr>
          <w:bCs/>
          <w:color w:val="002060"/>
          <w:sz w:val="16"/>
          <w:szCs w:val="16"/>
        </w:rPr>
      </w:pPr>
      <w:r w:rsidRPr="00405303">
        <w:rPr>
          <w:bCs/>
          <w:color w:val="002060"/>
          <w:sz w:val="16"/>
          <w:szCs w:val="16"/>
        </w:rPr>
        <w:t xml:space="preserve">После долгих переговоров и сношений с Лондоном и Петроградом был, наконец, 10 сентября 1917 г. подписан новый договор с фирмой Ремингтон, заменяющий предшествующие контракты. Основные положения нового договора сводились к следующему. </w:t>
      </w:r>
    </w:p>
    <w:p w14:paraId="6A04F7EE" w14:textId="77777777" w:rsidR="004B4E35" w:rsidRPr="00405303" w:rsidRDefault="009E6F82" w:rsidP="00C15251">
      <w:pPr>
        <w:jc w:val="both"/>
        <w:rPr>
          <w:bCs/>
          <w:color w:val="002060"/>
          <w:sz w:val="16"/>
          <w:szCs w:val="16"/>
        </w:rPr>
      </w:pPr>
      <w:r w:rsidRPr="00405303">
        <w:rPr>
          <w:bCs/>
          <w:color w:val="002060"/>
          <w:sz w:val="16"/>
          <w:szCs w:val="16"/>
        </w:rPr>
        <w:t xml:space="preserve">1) Заказ 1 500 000 ружей сокращается до 1 млн. </w:t>
      </w:r>
    </w:p>
    <w:p w14:paraId="5BA851E1" w14:textId="77777777" w:rsidR="004B4E35" w:rsidRPr="00405303" w:rsidRDefault="009E6F82" w:rsidP="00C15251">
      <w:pPr>
        <w:jc w:val="both"/>
        <w:rPr>
          <w:bCs/>
          <w:color w:val="002060"/>
          <w:sz w:val="16"/>
          <w:szCs w:val="16"/>
        </w:rPr>
      </w:pPr>
      <w:r w:rsidRPr="00405303">
        <w:rPr>
          <w:bCs/>
          <w:color w:val="002060"/>
          <w:sz w:val="16"/>
          <w:szCs w:val="16"/>
        </w:rPr>
        <w:t xml:space="preserve">2) Организуется общество Новый Ремингтон, в котором половина акций принадлежит старому Ремингтону, другая — русскому правительству. </w:t>
      </w:r>
    </w:p>
    <w:p w14:paraId="635A1E92" w14:textId="77777777" w:rsidR="004B4E35" w:rsidRPr="00405303" w:rsidRDefault="009E6F82" w:rsidP="00C15251">
      <w:pPr>
        <w:jc w:val="both"/>
        <w:rPr>
          <w:bCs/>
          <w:color w:val="002060"/>
          <w:sz w:val="16"/>
          <w:szCs w:val="16"/>
        </w:rPr>
      </w:pPr>
      <w:r w:rsidRPr="00405303">
        <w:rPr>
          <w:bCs/>
          <w:color w:val="002060"/>
          <w:sz w:val="16"/>
          <w:szCs w:val="16"/>
        </w:rPr>
        <w:t xml:space="preserve">3) Русское правительство вносит за акции 6 млн долларов, которые составляют половину капитала, затраченного фирмой в дело с начала работы по день нового контракта. </w:t>
      </w:r>
    </w:p>
    <w:p w14:paraId="1353AE38" w14:textId="77777777" w:rsidR="004B4E35" w:rsidRPr="00405303" w:rsidRDefault="009E6F82" w:rsidP="00C15251">
      <w:pPr>
        <w:jc w:val="both"/>
        <w:rPr>
          <w:bCs/>
          <w:color w:val="002060"/>
          <w:sz w:val="16"/>
          <w:szCs w:val="16"/>
        </w:rPr>
      </w:pPr>
      <w:r w:rsidRPr="00405303">
        <w:rPr>
          <w:bCs/>
          <w:color w:val="002060"/>
          <w:sz w:val="16"/>
          <w:szCs w:val="16"/>
        </w:rPr>
        <w:t xml:space="preserve">4) Старый Ремингтон уступает Новому 0,68 доли участия в недвижимом имуществе, заводе и инвентаре, что отвечает потребности ружейного контракта. Часть имущества по особой описи вполне отчуждается Новому Ремингтону. </w:t>
      </w:r>
    </w:p>
    <w:p w14:paraId="0C4F5265" w14:textId="77777777" w:rsidR="004B4E35" w:rsidRPr="00405303" w:rsidRDefault="009E6F82" w:rsidP="00C15251">
      <w:pPr>
        <w:jc w:val="both"/>
        <w:rPr>
          <w:bCs/>
          <w:color w:val="002060"/>
          <w:sz w:val="16"/>
          <w:szCs w:val="16"/>
        </w:rPr>
      </w:pPr>
      <w:r w:rsidRPr="00405303">
        <w:rPr>
          <w:bCs/>
          <w:color w:val="002060"/>
          <w:sz w:val="16"/>
          <w:szCs w:val="16"/>
        </w:rPr>
        <w:t xml:space="preserve">5) Новый Ремингтон управляется директоратом из шести директоров — три от Ремингтона и три от Русского заготовительного комитета. </w:t>
      </w:r>
    </w:p>
    <w:p w14:paraId="5A189B12" w14:textId="77777777" w:rsidR="004B4E35" w:rsidRPr="00405303" w:rsidRDefault="009E6F82" w:rsidP="00C15251">
      <w:pPr>
        <w:jc w:val="both"/>
        <w:rPr>
          <w:bCs/>
          <w:color w:val="002060"/>
          <w:sz w:val="16"/>
          <w:szCs w:val="16"/>
        </w:rPr>
      </w:pPr>
      <w:r w:rsidRPr="00405303">
        <w:rPr>
          <w:bCs/>
          <w:color w:val="002060"/>
          <w:sz w:val="16"/>
          <w:szCs w:val="16"/>
        </w:rPr>
        <w:t>6) Цена винтовки 30 долларов.</w:t>
      </w:r>
    </w:p>
    <w:p w14:paraId="7D01EC15" w14:textId="77777777" w:rsidR="004B4E35" w:rsidRPr="00405303" w:rsidRDefault="009E6F82" w:rsidP="00C15251">
      <w:pPr>
        <w:jc w:val="both"/>
        <w:rPr>
          <w:bCs/>
          <w:color w:val="002060"/>
          <w:sz w:val="16"/>
          <w:szCs w:val="16"/>
        </w:rPr>
      </w:pPr>
      <w:r w:rsidRPr="00405303">
        <w:rPr>
          <w:bCs/>
          <w:color w:val="002060"/>
          <w:sz w:val="16"/>
          <w:szCs w:val="16"/>
        </w:rPr>
        <w:t xml:space="preserve">7) По окончании договора Россия приобретает от Нового Ремингтона машины, инструмент и пр. оборудование для оружейного дела. </w:t>
      </w:r>
    </w:p>
    <w:p w14:paraId="4DCAED12" w14:textId="77777777" w:rsidR="004B4E35" w:rsidRPr="00405303" w:rsidRDefault="009E6F82" w:rsidP="00C15251">
      <w:pPr>
        <w:jc w:val="both"/>
        <w:rPr>
          <w:bCs/>
          <w:color w:val="002060"/>
          <w:sz w:val="16"/>
          <w:szCs w:val="16"/>
        </w:rPr>
      </w:pPr>
      <w:r w:rsidRPr="00405303">
        <w:rPr>
          <w:bCs/>
          <w:color w:val="002060"/>
          <w:sz w:val="16"/>
          <w:szCs w:val="16"/>
        </w:rPr>
        <w:t xml:space="preserve">Указанное соглашение было принято Заготовительным комитетом под давлением обстоятельств, так как иного выхода не было: ружья были до зарезу нужны, а крах фирмы во всех отношениях для России был неприемлем. </w:t>
      </w:r>
    </w:p>
    <w:p w14:paraId="7CF5A6B9" w14:textId="77777777" w:rsidR="004B4E35" w:rsidRPr="00405303" w:rsidRDefault="009E6F82" w:rsidP="00C15251">
      <w:pPr>
        <w:jc w:val="both"/>
        <w:rPr>
          <w:bCs/>
          <w:color w:val="002060"/>
          <w:sz w:val="16"/>
          <w:szCs w:val="16"/>
        </w:rPr>
      </w:pPr>
      <w:r w:rsidRPr="00405303">
        <w:rPr>
          <w:bCs/>
          <w:color w:val="002060"/>
          <w:sz w:val="16"/>
          <w:szCs w:val="16"/>
        </w:rPr>
        <w:t xml:space="preserve">Таким образом, с подписанием нового контракта производство стало быстро прогрессировать, в то время как в период переговоров и неопределенности оно значительно упало. С мая по сентябрь 1917 г. завод выпускал примерно по 30 000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80"/>
        <w:gridCol w:w="816"/>
      </w:tblGrid>
      <w:tr w:rsidR="004B4E35" w:rsidRPr="00405303" w14:paraId="467DE238" w14:textId="77777777">
        <w:tc>
          <w:tcPr>
            <w:tcW w:w="1680" w:type="dxa"/>
          </w:tcPr>
          <w:p w14:paraId="770A0994" w14:textId="77777777" w:rsidR="004B4E35" w:rsidRPr="00405303" w:rsidRDefault="009E6F82" w:rsidP="00C15251">
            <w:pPr>
              <w:jc w:val="both"/>
              <w:rPr>
                <w:bCs/>
                <w:color w:val="002060"/>
                <w:sz w:val="16"/>
                <w:szCs w:val="16"/>
              </w:rPr>
            </w:pPr>
            <w:r w:rsidRPr="00405303">
              <w:rPr>
                <w:bCs/>
                <w:color w:val="002060"/>
                <w:sz w:val="16"/>
                <w:szCs w:val="16"/>
              </w:rPr>
              <w:t>в сентябре 1917 г.</w:t>
            </w:r>
          </w:p>
        </w:tc>
        <w:tc>
          <w:tcPr>
            <w:tcW w:w="816" w:type="dxa"/>
          </w:tcPr>
          <w:p w14:paraId="571E7511" w14:textId="77777777" w:rsidR="004B4E35" w:rsidRPr="00405303" w:rsidRDefault="009E6F82" w:rsidP="00C15251">
            <w:pPr>
              <w:jc w:val="both"/>
              <w:rPr>
                <w:bCs/>
                <w:color w:val="002060"/>
                <w:sz w:val="16"/>
                <w:szCs w:val="16"/>
              </w:rPr>
            </w:pPr>
            <w:r w:rsidRPr="00405303">
              <w:rPr>
                <w:bCs/>
                <w:color w:val="002060"/>
                <w:sz w:val="16"/>
                <w:szCs w:val="16"/>
              </w:rPr>
              <w:t xml:space="preserve">52 000 </w:t>
            </w:r>
          </w:p>
        </w:tc>
      </w:tr>
      <w:tr w:rsidR="004B4E35" w:rsidRPr="00405303" w14:paraId="5855D1B3" w14:textId="77777777">
        <w:tc>
          <w:tcPr>
            <w:tcW w:w="1680" w:type="dxa"/>
          </w:tcPr>
          <w:p w14:paraId="665C5E66" w14:textId="77777777" w:rsidR="004B4E35" w:rsidRPr="00405303" w:rsidRDefault="009E6F82" w:rsidP="00C15251">
            <w:pPr>
              <w:jc w:val="both"/>
              <w:rPr>
                <w:bCs/>
                <w:color w:val="002060"/>
                <w:sz w:val="16"/>
                <w:szCs w:val="16"/>
              </w:rPr>
            </w:pPr>
            <w:r w:rsidRPr="00405303">
              <w:rPr>
                <w:bCs/>
                <w:color w:val="002060"/>
                <w:sz w:val="16"/>
                <w:szCs w:val="16"/>
              </w:rPr>
              <w:t>в октябре</w:t>
            </w:r>
          </w:p>
        </w:tc>
        <w:tc>
          <w:tcPr>
            <w:tcW w:w="816" w:type="dxa"/>
          </w:tcPr>
          <w:p w14:paraId="009E6A04" w14:textId="77777777" w:rsidR="004B4E35" w:rsidRPr="00405303" w:rsidRDefault="009E6F82" w:rsidP="00C15251">
            <w:pPr>
              <w:jc w:val="both"/>
              <w:rPr>
                <w:bCs/>
                <w:color w:val="002060"/>
                <w:sz w:val="16"/>
                <w:szCs w:val="16"/>
              </w:rPr>
            </w:pPr>
            <w:r w:rsidRPr="00405303">
              <w:rPr>
                <w:bCs/>
                <w:color w:val="002060"/>
                <w:sz w:val="16"/>
                <w:szCs w:val="16"/>
              </w:rPr>
              <w:t xml:space="preserve">70 000 </w:t>
            </w:r>
          </w:p>
        </w:tc>
      </w:tr>
      <w:tr w:rsidR="004B4E35" w:rsidRPr="00405303" w14:paraId="4B6D9A0A" w14:textId="77777777">
        <w:tc>
          <w:tcPr>
            <w:tcW w:w="1680" w:type="dxa"/>
          </w:tcPr>
          <w:p w14:paraId="6F5AAD59" w14:textId="77777777" w:rsidR="004B4E35" w:rsidRPr="00405303" w:rsidRDefault="009E6F82" w:rsidP="00C15251">
            <w:pPr>
              <w:jc w:val="both"/>
              <w:rPr>
                <w:bCs/>
                <w:color w:val="002060"/>
                <w:sz w:val="16"/>
                <w:szCs w:val="16"/>
              </w:rPr>
            </w:pPr>
            <w:r w:rsidRPr="00405303">
              <w:rPr>
                <w:bCs/>
                <w:color w:val="002060"/>
                <w:sz w:val="16"/>
                <w:szCs w:val="16"/>
              </w:rPr>
              <w:t>в ноябре</w:t>
            </w:r>
          </w:p>
        </w:tc>
        <w:tc>
          <w:tcPr>
            <w:tcW w:w="816" w:type="dxa"/>
          </w:tcPr>
          <w:p w14:paraId="04B9152A" w14:textId="77777777" w:rsidR="004B4E35" w:rsidRPr="00405303" w:rsidRDefault="009E6F82" w:rsidP="00C15251">
            <w:pPr>
              <w:jc w:val="both"/>
              <w:rPr>
                <w:bCs/>
                <w:color w:val="002060"/>
                <w:sz w:val="16"/>
                <w:szCs w:val="16"/>
              </w:rPr>
            </w:pPr>
            <w:r w:rsidRPr="00405303">
              <w:rPr>
                <w:bCs/>
                <w:color w:val="002060"/>
                <w:sz w:val="16"/>
                <w:szCs w:val="16"/>
              </w:rPr>
              <w:t xml:space="preserve">108 000 </w:t>
            </w:r>
          </w:p>
        </w:tc>
      </w:tr>
      <w:tr w:rsidR="004B4E35" w:rsidRPr="00405303" w14:paraId="71686ADC" w14:textId="77777777">
        <w:tc>
          <w:tcPr>
            <w:tcW w:w="1680" w:type="dxa"/>
          </w:tcPr>
          <w:p w14:paraId="46BB4ACC" w14:textId="77777777" w:rsidR="004B4E35" w:rsidRPr="00405303" w:rsidRDefault="009E6F82" w:rsidP="00C15251">
            <w:pPr>
              <w:jc w:val="both"/>
              <w:rPr>
                <w:bCs/>
                <w:color w:val="002060"/>
                <w:sz w:val="16"/>
                <w:szCs w:val="16"/>
              </w:rPr>
            </w:pPr>
            <w:r w:rsidRPr="00405303">
              <w:rPr>
                <w:bCs/>
                <w:color w:val="002060"/>
                <w:sz w:val="16"/>
                <w:szCs w:val="16"/>
              </w:rPr>
              <w:t>в декабре</w:t>
            </w:r>
          </w:p>
        </w:tc>
        <w:tc>
          <w:tcPr>
            <w:tcW w:w="816" w:type="dxa"/>
          </w:tcPr>
          <w:p w14:paraId="1A3153CC" w14:textId="77777777" w:rsidR="004B4E35" w:rsidRPr="00405303" w:rsidRDefault="009E6F82" w:rsidP="00C15251">
            <w:pPr>
              <w:jc w:val="both"/>
              <w:rPr>
                <w:bCs/>
                <w:color w:val="002060"/>
                <w:sz w:val="16"/>
                <w:szCs w:val="16"/>
              </w:rPr>
            </w:pPr>
            <w:r w:rsidRPr="00405303">
              <w:rPr>
                <w:bCs/>
                <w:color w:val="002060"/>
                <w:sz w:val="16"/>
                <w:szCs w:val="16"/>
              </w:rPr>
              <w:t xml:space="preserve">107 000 </w:t>
            </w:r>
          </w:p>
        </w:tc>
      </w:tr>
    </w:tbl>
    <w:p w14:paraId="4DD86B23" w14:textId="77777777" w:rsidR="004B4E35" w:rsidRPr="00405303" w:rsidRDefault="009E6F82" w:rsidP="00C15251">
      <w:pPr>
        <w:jc w:val="both"/>
        <w:rPr>
          <w:bCs/>
          <w:color w:val="002060"/>
          <w:sz w:val="16"/>
          <w:szCs w:val="16"/>
        </w:rPr>
      </w:pPr>
      <w:r w:rsidRPr="00405303">
        <w:rPr>
          <w:bCs/>
          <w:color w:val="002060"/>
          <w:sz w:val="16"/>
          <w:szCs w:val="16"/>
        </w:rPr>
        <w:t xml:space="preserve">В конце 1917 г. в связи с прекращением войны Россией началась общая ликвидация работ Заготовительного комитета. Ввиду этого с Ремингтоном было выработано в январе 1918 г. особое соглашение о ликвидации контрактов. </w:t>
      </w:r>
    </w:p>
    <w:p w14:paraId="0293093E" w14:textId="77777777" w:rsidR="004B4E35" w:rsidRPr="00405303" w:rsidRDefault="009E6F82" w:rsidP="00C15251">
      <w:pPr>
        <w:jc w:val="both"/>
        <w:rPr>
          <w:bCs/>
          <w:color w:val="002060"/>
          <w:sz w:val="16"/>
          <w:szCs w:val="16"/>
        </w:rPr>
      </w:pPr>
      <w:r w:rsidRPr="00405303">
        <w:rPr>
          <w:bCs/>
          <w:color w:val="002060"/>
          <w:sz w:val="16"/>
          <w:szCs w:val="16"/>
        </w:rPr>
        <w:t xml:space="preserve">Нет надобности входить в детали этого соглашения, оно чрезвычайно сложно, что и понятно при той исключительной сложности взаимоотношения сторон, которое создавалась при учреждении общества Новый Ремингтон. В общем счете всего сдано Ремингтоном 840 307 винтовок. К сожалению, не имеется данных, коими можно было бы установить, сколько же этих ружей попало в Россию и сколько Россия уплатила фирме за все время, чтобы подсчитать, во что обошлось ружье. </w:t>
      </w:r>
    </w:p>
    <w:p w14:paraId="5DD635BC" w14:textId="77777777" w:rsidR="004B4E35" w:rsidRPr="00405303" w:rsidRDefault="009E6F82" w:rsidP="00C15251">
      <w:pPr>
        <w:jc w:val="both"/>
        <w:rPr>
          <w:bCs/>
          <w:color w:val="002060"/>
          <w:sz w:val="16"/>
          <w:szCs w:val="16"/>
        </w:rPr>
      </w:pPr>
      <w:r w:rsidRPr="00405303">
        <w:rPr>
          <w:bCs/>
          <w:color w:val="002060"/>
          <w:sz w:val="16"/>
          <w:szCs w:val="16"/>
        </w:rPr>
        <w:t>В итоге заказ был выполнен Ремингтоном только в 55% его первоначального контрактного объема, причем часть эта исполнена с запозданием на 20 месяцев против контрактного срока для всего заказа (11329).</w:t>
      </w:r>
    </w:p>
    <w:p w14:paraId="7DD85F90" w14:textId="77777777" w:rsidR="004B4E35" w:rsidRPr="00405303" w:rsidRDefault="004B4E35" w:rsidP="00C15251">
      <w:pPr>
        <w:shd w:val="clear" w:color="auto" w:fill="FFFFFF"/>
        <w:jc w:val="both"/>
        <w:rPr>
          <w:bCs/>
          <w:i/>
          <w:color w:val="002060"/>
          <w:sz w:val="16"/>
          <w:szCs w:val="16"/>
        </w:rPr>
      </w:pPr>
    </w:p>
    <w:p w14:paraId="70D7083A" w14:textId="77777777" w:rsidR="00D340DA" w:rsidRPr="00405303" w:rsidRDefault="00D340DA" w:rsidP="00C15251">
      <w:pPr>
        <w:jc w:val="both"/>
        <w:rPr>
          <w:bCs/>
          <w:i/>
          <w:color w:val="002060"/>
          <w:sz w:val="16"/>
          <w:szCs w:val="16"/>
        </w:rPr>
      </w:pPr>
      <w:r w:rsidRPr="00405303">
        <w:rPr>
          <w:bCs/>
          <w:i/>
          <w:color w:val="002060"/>
          <w:sz w:val="16"/>
          <w:szCs w:val="16"/>
        </w:rPr>
        <w:t>Армия:</w:t>
      </w:r>
    </w:p>
    <w:p w14:paraId="04638F16" w14:textId="77777777" w:rsidR="00D340DA" w:rsidRPr="00405303" w:rsidRDefault="00D340DA" w:rsidP="00C15251">
      <w:pPr>
        <w:jc w:val="both"/>
        <w:rPr>
          <w:bCs/>
          <w:i/>
          <w:color w:val="002060"/>
          <w:sz w:val="16"/>
          <w:szCs w:val="16"/>
        </w:rPr>
      </w:pPr>
    </w:p>
    <w:p w14:paraId="7A74F5C3" w14:textId="5DB2F9F4" w:rsidR="00D340DA" w:rsidRPr="00405303" w:rsidRDefault="00D340DA" w:rsidP="00C15251">
      <w:pPr>
        <w:jc w:val="both"/>
        <w:rPr>
          <w:bCs/>
          <w:color w:val="002060"/>
          <w:sz w:val="16"/>
          <w:szCs w:val="16"/>
        </w:rPr>
      </w:pPr>
      <w:r w:rsidRPr="00405303">
        <w:rPr>
          <w:bCs/>
          <w:color w:val="002060"/>
          <w:sz w:val="16"/>
          <w:szCs w:val="16"/>
        </w:rPr>
        <w:t xml:space="preserve">24 мая </w:t>
      </w:r>
      <w:r w:rsidR="00556D98" w:rsidRPr="00405303">
        <w:rPr>
          <w:bCs/>
          <w:color w:val="002060"/>
          <w:sz w:val="16"/>
          <w:szCs w:val="16"/>
        </w:rPr>
        <w:t xml:space="preserve">(6 июня) </w:t>
      </w:r>
      <w:r w:rsidRPr="00405303">
        <w:rPr>
          <w:bCs/>
          <w:color w:val="002060"/>
          <w:sz w:val="16"/>
          <w:szCs w:val="16"/>
        </w:rPr>
        <w:t>в 1915 году русский генерал Лавр Корнилов (будущий лидер белого движения) отчислен из рядов русской армии в связи с нахождением в плену (14901).</w:t>
      </w:r>
    </w:p>
    <w:p w14:paraId="74053193" w14:textId="77777777" w:rsidR="00D340DA" w:rsidRPr="00405303" w:rsidRDefault="00D340DA" w:rsidP="00C15251">
      <w:pPr>
        <w:jc w:val="both"/>
        <w:rPr>
          <w:bCs/>
          <w:color w:val="002060"/>
          <w:sz w:val="16"/>
          <w:szCs w:val="16"/>
        </w:rPr>
      </w:pPr>
    </w:p>
    <w:p w14:paraId="18187030" w14:textId="5C042818" w:rsidR="001E3102" w:rsidRPr="00405303" w:rsidRDefault="001E3102" w:rsidP="00C15251">
      <w:pPr>
        <w:jc w:val="both"/>
        <w:rPr>
          <w:bCs/>
          <w:i/>
          <w:color w:val="002060"/>
          <w:sz w:val="16"/>
          <w:szCs w:val="16"/>
        </w:rPr>
      </w:pPr>
      <w:r w:rsidRPr="00405303">
        <w:rPr>
          <w:bCs/>
          <w:i/>
          <w:color w:val="002060"/>
          <w:sz w:val="16"/>
          <w:szCs w:val="16"/>
        </w:rPr>
        <w:t>Авиация:</w:t>
      </w:r>
    </w:p>
    <w:p w14:paraId="6C639831" w14:textId="77777777" w:rsidR="001E3102" w:rsidRPr="00405303" w:rsidRDefault="001E3102" w:rsidP="00C15251">
      <w:pPr>
        <w:jc w:val="both"/>
        <w:rPr>
          <w:bCs/>
          <w:i/>
          <w:color w:val="002060"/>
          <w:sz w:val="16"/>
          <w:szCs w:val="16"/>
        </w:rPr>
      </w:pPr>
    </w:p>
    <w:p w14:paraId="43D28E81" w14:textId="0668BFC2" w:rsidR="001E3102" w:rsidRPr="00405303" w:rsidRDefault="001E3102" w:rsidP="00C15251">
      <w:pPr>
        <w:jc w:val="both"/>
        <w:rPr>
          <w:bCs/>
          <w:color w:val="002060"/>
          <w:sz w:val="16"/>
          <w:szCs w:val="16"/>
        </w:rPr>
      </w:pPr>
      <w:bookmarkStart w:id="144" w:name="bookmark180"/>
      <w:bookmarkStart w:id="145" w:name="bookmark181"/>
      <w:r w:rsidRPr="00405303">
        <w:rPr>
          <w:bCs/>
          <w:color w:val="002060"/>
          <w:sz w:val="16"/>
          <w:szCs w:val="16"/>
        </w:rPr>
        <w:t>24 мая (6 июня) 1915 года ИМ-Киевский вылетел во Львов. Этот полет продолжался 4 часа 15 минут. Несколько дней спустя, 27 мая, ИМ-3 присоединился во Львове к ИМ-Киевскому. Перевод этих двух лучших судов в Галицию было вызвано концентрацией немецких войск в этом районе. В то же самое время, русская армия, которая не имела тогда достаточное количество артиллерии, боеприпасов и даже винтовок, начала отступление из Прикарпатья. Этим Муромцы помогали нашим войскам, совершая разведывательные полеты над наступающими войсками противника и сбрасывая бомбы на железнодорожные станции, склады, командные посты и другие цели. Этот период активной боевой работы считается наиболее эффективным в истории ЭВК. Можно сказать, что это была наиболее впечатляющий период этой истории, если рассматривать ее с точки зрения агрессивных военных действий и боевые результаты.</w:t>
      </w:r>
    </w:p>
    <w:p w14:paraId="7FB1CAB1" w14:textId="77777777" w:rsidR="001E3102" w:rsidRPr="00405303" w:rsidRDefault="001E3102" w:rsidP="00C15251">
      <w:pPr>
        <w:jc w:val="both"/>
        <w:rPr>
          <w:bCs/>
          <w:color w:val="002060"/>
          <w:sz w:val="16"/>
          <w:szCs w:val="16"/>
        </w:rPr>
      </w:pPr>
      <w:r w:rsidRPr="00405303">
        <w:rPr>
          <w:bCs/>
          <w:color w:val="002060"/>
          <w:sz w:val="16"/>
          <w:szCs w:val="16"/>
        </w:rPr>
        <w:t>К сожалению, вскоре после того, как Муромцы прибыли во Львов, командир ИМ-3 штабс-капитан Бродович подал запрос о своем переводе в легкую авиацию. Несомненно, это было сделано под влиянием штаба легкой авиации, который, как это указывалось ранее, не смотрел с одобрением на Муромцы и ЭВК, которые были выведены из-под его командования.</w:t>
      </w:r>
    </w:p>
    <w:p w14:paraId="62B9F4B7" w14:textId="77777777" w:rsidR="001E3102" w:rsidRPr="00405303" w:rsidRDefault="001E3102" w:rsidP="00C15251">
      <w:pPr>
        <w:jc w:val="both"/>
        <w:rPr>
          <w:bCs/>
          <w:color w:val="002060"/>
          <w:sz w:val="16"/>
          <w:szCs w:val="16"/>
        </w:rPr>
      </w:pPr>
      <w:r w:rsidRPr="00405303">
        <w:rPr>
          <w:bCs/>
          <w:color w:val="002060"/>
          <w:sz w:val="16"/>
          <w:szCs w:val="16"/>
        </w:rPr>
        <w:t>Отставка этого командира, который считался серьезным пилотом и отличным офицером, была еще одним ударом по операциям Муромцев, которые только стали по-настоящему эффективными. В дополнение к неблагоприятному впечатлению, которое его отставка оказала на мораль офицеров эскадрильи, потеря одного из лучших командиров произошла в то время, когда другие командир ЭВК, как ожидалось, должны были быть вовлечены напряженную и ответственную работу (23470).</w:t>
      </w:r>
    </w:p>
    <w:p w14:paraId="12EDF99C" w14:textId="77777777" w:rsidR="001E3102" w:rsidRPr="00405303" w:rsidRDefault="001E3102" w:rsidP="00C15251">
      <w:pPr>
        <w:jc w:val="both"/>
        <w:rPr>
          <w:bCs/>
          <w:color w:val="002060"/>
          <w:sz w:val="16"/>
          <w:szCs w:val="16"/>
        </w:rPr>
      </w:pPr>
    </w:p>
    <w:p w14:paraId="4E8D8314" w14:textId="2FAE55E2" w:rsidR="001E3102" w:rsidRPr="00405303" w:rsidRDefault="001E3102" w:rsidP="00C15251">
      <w:pPr>
        <w:jc w:val="both"/>
        <w:rPr>
          <w:bCs/>
          <w:color w:val="002060"/>
          <w:sz w:val="16"/>
          <w:szCs w:val="16"/>
        </w:rPr>
      </w:pPr>
      <w:r w:rsidRPr="00405303">
        <w:rPr>
          <w:bCs/>
          <w:color w:val="002060"/>
          <w:sz w:val="16"/>
          <w:szCs w:val="16"/>
        </w:rPr>
        <w:t>В течение 24-28 мая (6 – 10 июня) 11915 г. наша артиллерия уничтожила очередной немецкий аппарат, упавший за линией окопов противника. В городе Х. [в документах название не расшифровано] прицельной стрельбой стражника был сбит неприятельский летательный аппарат, проводивший бомбардировку городских кварталов. Одна из пуль пробила бензобак аэроплана. Офицер-наблюдатель погиб, летчик взят в плен. Позднее командующий сухопутной авиацией Германии генерал Э. фон Гёпнер был вынужден признать большие потери на Восточном (русско-германском) фронте среди летного состава (23405).</w:t>
      </w:r>
      <w:bookmarkEnd w:id="144"/>
      <w:bookmarkEnd w:id="145"/>
    </w:p>
    <w:p w14:paraId="25EA72F4" w14:textId="77777777" w:rsidR="001E3102" w:rsidRPr="00405303" w:rsidRDefault="001E3102" w:rsidP="00C15251">
      <w:pPr>
        <w:jc w:val="both"/>
        <w:rPr>
          <w:bCs/>
          <w:color w:val="002060"/>
          <w:sz w:val="16"/>
          <w:szCs w:val="16"/>
          <w:lang w:bidi="ru-RU"/>
        </w:rPr>
      </w:pPr>
    </w:p>
    <w:p w14:paraId="388E383A" w14:textId="7C949D4D" w:rsidR="003E7583" w:rsidRPr="00405303" w:rsidRDefault="003E7583" w:rsidP="00C15251">
      <w:pPr>
        <w:jc w:val="both"/>
        <w:rPr>
          <w:bCs/>
          <w:i/>
          <w:color w:val="002060"/>
          <w:sz w:val="16"/>
          <w:szCs w:val="16"/>
        </w:rPr>
      </w:pPr>
      <w:r w:rsidRPr="00405303">
        <w:rPr>
          <w:bCs/>
          <w:i/>
          <w:color w:val="002060"/>
          <w:sz w:val="16"/>
          <w:szCs w:val="16"/>
        </w:rPr>
        <w:t>За рубежом:</w:t>
      </w:r>
    </w:p>
    <w:p w14:paraId="430FE382" w14:textId="77777777" w:rsidR="003E7583" w:rsidRPr="00405303" w:rsidRDefault="003E7583" w:rsidP="00C15251">
      <w:pPr>
        <w:jc w:val="both"/>
        <w:rPr>
          <w:bCs/>
          <w:color w:val="002060"/>
          <w:sz w:val="16"/>
          <w:szCs w:val="16"/>
        </w:rPr>
      </w:pPr>
    </w:p>
    <w:p w14:paraId="5397D548" w14:textId="77777777" w:rsidR="003E7583" w:rsidRPr="00405303" w:rsidRDefault="003E7583" w:rsidP="00C15251">
      <w:pPr>
        <w:jc w:val="both"/>
        <w:rPr>
          <w:bCs/>
          <w:color w:val="002060"/>
          <w:sz w:val="16"/>
          <w:szCs w:val="16"/>
        </w:rPr>
      </w:pPr>
      <w:r w:rsidRPr="00405303">
        <w:rPr>
          <w:bCs/>
          <w:color w:val="002060"/>
          <w:sz w:val="16"/>
          <w:szCs w:val="16"/>
        </w:rPr>
        <w:t xml:space="preserve">24 мая (6 июня) в 1915 году кайзер Германии Вильгельм II пообещал, что немецкие подлодки не будут атаковать пассажирские лайнеры </w:t>
      </w:r>
    </w:p>
    <w:p w14:paraId="02DE09F2" w14:textId="77777777" w:rsidR="003E7583" w:rsidRPr="00405303" w:rsidRDefault="003E7583" w:rsidP="00C15251">
      <w:pPr>
        <w:jc w:val="both"/>
        <w:rPr>
          <w:bCs/>
          <w:color w:val="002060"/>
          <w:sz w:val="16"/>
          <w:szCs w:val="16"/>
        </w:rPr>
      </w:pPr>
    </w:p>
    <w:p w14:paraId="3D1E2288" w14:textId="77777777" w:rsidR="003E7583" w:rsidRPr="00405303" w:rsidRDefault="003E7583"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481F8BBB" w14:textId="77777777" w:rsidR="003E7583" w:rsidRPr="00405303" w:rsidRDefault="003E7583" w:rsidP="00C15251">
      <w:pPr>
        <w:pStyle w:val="a3"/>
        <w:jc w:val="both"/>
        <w:rPr>
          <w:bCs/>
          <w:color w:val="002060"/>
          <w:spacing w:val="0"/>
          <w:kern w:val="0"/>
          <w:position w:val="0"/>
          <w:sz w:val="16"/>
          <w:szCs w:val="16"/>
        </w:rPr>
      </w:pPr>
    </w:p>
    <w:p w14:paraId="444450F7" w14:textId="0BD856B8" w:rsidR="003E7583" w:rsidRPr="00405303" w:rsidRDefault="003E7583" w:rsidP="00C15251">
      <w:pPr>
        <w:shd w:val="clear" w:color="auto" w:fill="FFFFFF"/>
        <w:jc w:val="both"/>
        <w:rPr>
          <w:bCs/>
          <w:color w:val="002060"/>
          <w:sz w:val="16"/>
          <w:szCs w:val="16"/>
        </w:rPr>
      </w:pPr>
      <w:r w:rsidRPr="00405303">
        <w:rPr>
          <w:bCs/>
          <w:color w:val="002060"/>
          <w:sz w:val="16"/>
          <w:szCs w:val="16"/>
        </w:rPr>
        <w:t>25 мая (7 июня) 1915 военный летчик штабс-капитан Юрий Антонович Яблон</w:t>
      </w:r>
      <w:r w:rsidRPr="00405303">
        <w:rPr>
          <w:bCs/>
          <w:color w:val="002060"/>
          <w:sz w:val="16"/>
          <w:szCs w:val="16"/>
        </w:rPr>
        <w:softHyphen/>
        <w:t>ский обратился в военное ведомство с предложением бронировать самолеты и предохранять утечку бензина из пробитого бака путем деления последнего на отсеки и постановки автоматического клапана между отсеками и карбюратором. Предложение было одобрено комис</w:t>
      </w:r>
      <w:r w:rsidRPr="00405303">
        <w:rPr>
          <w:bCs/>
          <w:color w:val="002060"/>
          <w:sz w:val="16"/>
          <w:szCs w:val="16"/>
        </w:rPr>
        <w:softHyphen/>
        <w:t>сией под председательством полковника В.Ф.Найденова и приме</w:t>
      </w:r>
      <w:r w:rsidRPr="00405303">
        <w:rPr>
          <w:bCs/>
          <w:color w:val="002060"/>
          <w:sz w:val="16"/>
          <w:szCs w:val="16"/>
        </w:rPr>
        <w:softHyphen/>
        <w:t>нялось (ЦГВИА. ф.</w:t>
      </w:r>
      <w:r w:rsidR="00F878DC" w:rsidRPr="00405303">
        <w:rPr>
          <w:bCs/>
          <w:color w:val="002060"/>
          <w:sz w:val="16"/>
          <w:szCs w:val="16"/>
        </w:rPr>
        <w:t xml:space="preserve"> </w:t>
      </w:r>
      <w:r w:rsidRPr="00405303">
        <w:rPr>
          <w:bCs/>
          <w:color w:val="002060"/>
          <w:sz w:val="16"/>
          <w:szCs w:val="16"/>
        </w:rPr>
        <w:t>2008, д.</w:t>
      </w:r>
      <w:r w:rsidR="00F878DC" w:rsidRPr="00405303">
        <w:rPr>
          <w:bCs/>
          <w:color w:val="002060"/>
          <w:sz w:val="16"/>
          <w:szCs w:val="16"/>
        </w:rPr>
        <w:t xml:space="preserve"> </w:t>
      </w:r>
      <w:r w:rsidRPr="00405303">
        <w:rPr>
          <w:bCs/>
          <w:color w:val="002060"/>
          <w:sz w:val="16"/>
          <w:szCs w:val="16"/>
        </w:rPr>
        <w:t>350, л.</w:t>
      </w:r>
      <w:r w:rsidR="00F878DC" w:rsidRPr="00405303">
        <w:rPr>
          <w:bCs/>
          <w:color w:val="002060"/>
          <w:sz w:val="16"/>
          <w:szCs w:val="16"/>
        </w:rPr>
        <w:t xml:space="preserve"> </w:t>
      </w:r>
      <w:r w:rsidRPr="00405303">
        <w:rPr>
          <w:bCs/>
          <w:color w:val="002060"/>
          <w:sz w:val="16"/>
          <w:szCs w:val="16"/>
        </w:rPr>
        <w:t>358).</w:t>
      </w:r>
    </w:p>
    <w:p w14:paraId="0BE2FA89" w14:textId="77777777" w:rsidR="003E7583" w:rsidRPr="00405303" w:rsidRDefault="003E7583" w:rsidP="00C15251">
      <w:pPr>
        <w:shd w:val="clear" w:color="auto" w:fill="FFFFFF"/>
        <w:jc w:val="both"/>
        <w:rPr>
          <w:bCs/>
          <w:color w:val="002060"/>
          <w:sz w:val="16"/>
          <w:szCs w:val="16"/>
        </w:rPr>
      </w:pPr>
    </w:p>
    <w:p w14:paraId="2143B219" w14:textId="77777777" w:rsidR="00E05705" w:rsidRPr="00405303" w:rsidRDefault="00E05705" w:rsidP="00C15251">
      <w:pPr>
        <w:jc w:val="both"/>
        <w:rPr>
          <w:bCs/>
          <w:color w:val="002060"/>
          <w:sz w:val="16"/>
          <w:szCs w:val="16"/>
        </w:rPr>
      </w:pPr>
      <w:r w:rsidRPr="00405303">
        <w:rPr>
          <w:bCs/>
          <w:color w:val="002060"/>
          <w:sz w:val="16"/>
          <w:szCs w:val="16"/>
        </w:rPr>
        <w:t>25 мая (7 июня) 1915 г. военный летчик шт.-капитан Юрий Антонович Яблонский об</w:t>
      </w:r>
      <w:r w:rsidRPr="00405303">
        <w:rPr>
          <w:bCs/>
          <w:color w:val="002060"/>
          <w:sz w:val="16"/>
          <w:szCs w:val="16"/>
        </w:rPr>
        <w:softHyphen/>
        <w:t xml:space="preserve">ратился в военное ведомство с предложением бронировать самолеты и предохранять утечку бензина из пробитого бака путем деления последнего на отсеки и постановки автоматического клапана между отсеками и карбюратором. Предложение было одобрено комиссией под председательством полковника </w:t>
      </w:r>
      <w:proofErr w:type="gramStart"/>
      <w:r w:rsidRPr="00405303">
        <w:rPr>
          <w:bCs/>
          <w:color w:val="002060"/>
          <w:sz w:val="16"/>
          <w:szCs w:val="16"/>
        </w:rPr>
        <w:t>В .</w:t>
      </w:r>
      <w:proofErr w:type="gramEnd"/>
      <w:r w:rsidRPr="00405303">
        <w:rPr>
          <w:bCs/>
          <w:color w:val="002060"/>
          <w:sz w:val="16"/>
          <w:szCs w:val="16"/>
        </w:rPr>
        <w:t>Ф. Найденова.</w:t>
      </w:r>
    </w:p>
    <w:p w14:paraId="3D142793" w14:textId="77777777" w:rsidR="00E05705" w:rsidRPr="00405303" w:rsidRDefault="00E05705" w:rsidP="00C15251">
      <w:pPr>
        <w:jc w:val="both"/>
        <w:rPr>
          <w:bCs/>
          <w:color w:val="002060"/>
          <w:sz w:val="16"/>
          <w:szCs w:val="16"/>
        </w:rPr>
      </w:pPr>
      <w:r w:rsidRPr="00405303">
        <w:rPr>
          <w:bCs/>
          <w:color w:val="002060"/>
          <w:sz w:val="16"/>
          <w:szCs w:val="16"/>
        </w:rPr>
        <w:t>/ЦГВИА, ф. 2008, д. 350, л. 358/ (23320).</w:t>
      </w:r>
    </w:p>
    <w:p w14:paraId="493EF89C" w14:textId="77777777" w:rsidR="00E05705" w:rsidRPr="00405303" w:rsidRDefault="00E05705" w:rsidP="00C15251">
      <w:pPr>
        <w:jc w:val="both"/>
        <w:rPr>
          <w:bCs/>
          <w:color w:val="002060"/>
          <w:sz w:val="16"/>
          <w:szCs w:val="16"/>
        </w:rPr>
      </w:pPr>
    </w:p>
    <w:p w14:paraId="6F368327" w14:textId="77777777" w:rsidR="003E7583" w:rsidRPr="00405303" w:rsidRDefault="003E7583" w:rsidP="00C15251">
      <w:pPr>
        <w:pStyle w:val="a3"/>
        <w:jc w:val="both"/>
        <w:rPr>
          <w:bCs/>
          <w:color w:val="002060"/>
          <w:spacing w:val="0"/>
          <w:kern w:val="0"/>
          <w:position w:val="0"/>
          <w:sz w:val="16"/>
          <w:szCs w:val="16"/>
        </w:rPr>
      </w:pPr>
      <w:r w:rsidRPr="00405303">
        <w:rPr>
          <w:bCs/>
          <w:color w:val="002060"/>
          <w:spacing w:val="0"/>
          <w:kern w:val="0"/>
          <w:position w:val="0"/>
          <w:sz w:val="16"/>
          <w:szCs w:val="16"/>
        </w:rPr>
        <w:t>Другие оборонные отрасли:</w:t>
      </w:r>
    </w:p>
    <w:p w14:paraId="195262EF" w14:textId="77777777" w:rsidR="003E7583" w:rsidRPr="00405303" w:rsidRDefault="003E7583" w:rsidP="00C15251">
      <w:pPr>
        <w:pStyle w:val="a3"/>
        <w:jc w:val="both"/>
        <w:rPr>
          <w:bCs/>
          <w:color w:val="002060"/>
          <w:spacing w:val="0"/>
          <w:kern w:val="0"/>
          <w:position w:val="0"/>
          <w:sz w:val="16"/>
          <w:szCs w:val="16"/>
        </w:rPr>
      </w:pPr>
    </w:p>
    <w:p w14:paraId="08AA36BB" w14:textId="48BE526B" w:rsidR="003E7583" w:rsidRPr="00405303" w:rsidRDefault="003E7583" w:rsidP="00C15251">
      <w:pPr>
        <w:jc w:val="both"/>
        <w:rPr>
          <w:bCs/>
          <w:color w:val="002060"/>
          <w:sz w:val="16"/>
          <w:szCs w:val="16"/>
        </w:rPr>
      </w:pPr>
      <w:r w:rsidRPr="00405303">
        <w:rPr>
          <w:bCs/>
          <w:color w:val="002060"/>
          <w:sz w:val="16"/>
          <w:szCs w:val="16"/>
        </w:rPr>
        <w:t>25 мая (7 июня) 1915 г. «Радиотелеграфная лаборатория» (или «Радиотелеграфное депо») в подчинении минного отдела ГУ кораблестроения Морского ведомства было преобразовано в Радиотелеграфный завод. (ГС завод № 208 ИМ. Коминтерна НКОП, НКАП, НКЭП, п/я 89, Радиотелеграфный завод Морского ведомства, Петроградский государственный радиотелеграфный завод им. Коминтерна ВСНХ, Радиозавод им. Коминтерна НКТП, Завод-лаборатория мощного радиостроения им. Коминтерна, Комбинат мощного радиостроения (КМРС) им. Коминтерна НКТП, Новосибирский завод им. Коминтерна МРП, ОАО «Новосибирский завод им. Коминтерна» /г. Ленинград;</w:t>
      </w:r>
      <w:r w:rsidR="000F5756">
        <w:rPr>
          <w:bCs/>
          <w:color w:val="002060"/>
          <w:sz w:val="16"/>
          <w:szCs w:val="16"/>
        </w:rPr>
        <w:t xml:space="preserve"> </w:t>
      </w:r>
      <w:r w:rsidRPr="00405303">
        <w:rPr>
          <w:bCs/>
          <w:color w:val="002060"/>
          <w:sz w:val="16"/>
          <w:szCs w:val="16"/>
        </w:rPr>
        <w:t>г. Новосибирск/ /630015</w:t>
      </w:r>
      <w:r w:rsidR="000F5756">
        <w:rPr>
          <w:bCs/>
          <w:color w:val="002060"/>
          <w:sz w:val="16"/>
          <w:szCs w:val="16"/>
        </w:rPr>
        <w:t xml:space="preserve"> </w:t>
      </w:r>
      <w:r w:rsidRPr="00405303">
        <w:rPr>
          <w:bCs/>
          <w:color w:val="002060"/>
          <w:sz w:val="16"/>
          <w:szCs w:val="16"/>
        </w:rPr>
        <w:t>г. Новосибирск ул. Планетная, 32/</w:t>
      </w:r>
    </w:p>
    <w:p w14:paraId="0502577D" w14:textId="77777777" w:rsidR="003E7583" w:rsidRPr="00405303" w:rsidRDefault="003E7583" w:rsidP="00C15251">
      <w:pPr>
        <w:jc w:val="both"/>
        <w:rPr>
          <w:bCs/>
          <w:color w:val="002060"/>
          <w:sz w:val="16"/>
          <w:szCs w:val="16"/>
        </w:rPr>
      </w:pPr>
      <w:r w:rsidRPr="00405303">
        <w:rPr>
          <w:bCs/>
          <w:color w:val="002060"/>
          <w:sz w:val="16"/>
          <w:szCs w:val="16"/>
        </w:rPr>
        <w:t>) Производство радиостанций мощностью 10 и 25 кВт, радиоприемников и радиопеленгаторов, электронных ламп.</w:t>
      </w:r>
    </w:p>
    <w:p w14:paraId="45E308B0" w14:textId="77777777" w:rsidR="003E7583" w:rsidRPr="00405303" w:rsidRDefault="003E7583" w:rsidP="00C15251">
      <w:pPr>
        <w:jc w:val="both"/>
        <w:rPr>
          <w:bCs/>
          <w:color w:val="002060"/>
          <w:sz w:val="16"/>
          <w:szCs w:val="16"/>
        </w:rPr>
      </w:pPr>
      <w:r w:rsidRPr="00405303">
        <w:rPr>
          <w:bCs/>
          <w:color w:val="002060"/>
          <w:sz w:val="16"/>
          <w:szCs w:val="16"/>
        </w:rPr>
        <w:t>Пост, президиума ВСНХ от 18.01.1919 г. Радиотелеграфный завод передан в ведение СНХ Северного района, тогда же предполагалось передать его в ведение Петроградского отделения Гособъединения радиотелеграфных заводов ВСНХ. 21.02.1921 г. переименован в Петроградский государственный радиотелеграфный завод им. Коминтерна, в 1920-24 г. - в ведении «Севзапвоенпрома» ВСНХ, затем - ГЭТ ВСНХ. В 1928 г. Завод им. Коминтерна стал опытным производством ОРПУ. В 06.1930 г. Завод им. Коминтерна вместе с ОРПУ и Нижегородской радиолабораторией вошел в состав ЦРЛ. В 08.1931 г. переименован в Радиозавод им. Коминтерна. С 1930 г. - в ведении ВЭО, с 1931 г. - ВЭСО ВСНХ, с 1932 г. - ВЭСО НКТП, с конца 1933 г.- в ведении «Главэспрома» НКТП. В 02.1934 г. переименован в завод-лабораторию мощного радиостроения им. Коминтерна, 1.03.1935 г. завод преобразован в КМРС им. Коминтерна. В его составе- ОРПУ.</w:t>
      </w:r>
      <w:r w:rsidRPr="00405303">
        <w:rPr>
          <w:bCs/>
          <w:color w:val="002060"/>
          <w:sz w:val="16"/>
          <w:szCs w:val="16"/>
          <w:vertAlign w:val="superscript"/>
        </w:rPr>
        <w:t>101</w:t>
      </w:r>
      <w:r w:rsidRPr="00405303">
        <w:rPr>
          <w:bCs/>
          <w:color w:val="002060"/>
          <w:sz w:val="16"/>
          <w:szCs w:val="16"/>
        </w:rPr>
        <w:t xml:space="preserve"> По пр. НКОП № Обсс от 30.12.1936 г. КМРС им. Коминтерна переименован в завод № 208 им. Коминтерна 5ГУ НКОП, приказом № 116 от 31.03.1937 г. утвержден Устав ГС завода № 208 им. Коминтерна.'</w:t>
      </w:r>
      <w:r w:rsidRPr="00405303">
        <w:rPr>
          <w:bCs/>
          <w:color w:val="002060"/>
          <w:sz w:val="16"/>
          <w:szCs w:val="16"/>
          <w:vertAlign w:val="superscript"/>
        </w:rPr>
        <w:t>39</w:t>
      </w:r>
      <w:r w:rsidRPr="00405303">
        <w:rPr>
          <w:bCs/>
          <w:color w:val="002060"/>
          <w:sz w:val="16"/>
          <w:szCs w:val="16"/>
        </w:rPr>
        <w:t xml:space="preserve"> С 01.1939 г. из 5ГУ НКОП передан в НКАП. Устав завода утвержден в 01.1939 г. По Указу Президиума ВС от 17.04.1940 г. и приказу НКАП/НКЭП № 105/5 от 23.04.1940 г. завод передан в ведение вновь образованного НКЭП.</w:t>
      </w:r>
    </w:p>
    <w:p w14:paraId="31D11D35" w14:textId="77777777" w:rsidR="003E7583" w:rsidRPr="00405303" w:rsidRDefault="003E7583" w:rsidP="00C15251">
      <w:pPr>
        <w:jc w:val="both"/>
        <w:rPr>
          <w:bCs/>
          <w:color w:val="002060"/>
          <w:sz w:val="16"/>
          <w:szCs w:val="16"/>
        </w:rPr>
      </w:pPr>
      <w:r w:rsidRPr="00405303">
        <w:rPr>
          <w:bCs/>
          <w:color w:val="002060"/>
          <w:sz w:val="16"/>
          <w:szCs w:val="16"/>
        </w:rPr>
        <w:t xml:space="preserve">В кварцевой лаборатории разработаны техпроцессы и аппаратура для изготовления высокоточных </w:t>
      </w:r>
      <w:proofErr w:type="gramStart"/>
      <w:r w:rsidRPr="00405303">
        <w:rPr>
          <w:bCs/>
          <w:color w:val="002060"/>
          <w:sz w:val="16"/>
          <w:szCs w:val="16"/>
        </w:rPr>
        <w:t>пьезо- кварцевых</w:t>
      </w:r>
      <w:proofErr w:type="gramEnd"/>
      <w:r w:rsidRPr="00405303">
        <w:rPr>
          <w:bCs/>
          <w:color w:val="002060"/>
          <w:sz w:val="16"/>
          <w:szCs w:val="16"/>
        </w:rPr>
        <w:t xml:space="preserve"> эталонов частоты. Разработаны все антенные мачты-башни для мощных радиостанций (Ю.А. Савицкий).</w:t>
      </w:r>
    </w:p>
    <w:p w14:paraId="3E5A48DB" w14:textId="77777777" w:rsidR="003E7583" w:rsidRPr="00405303" w:rsidRDefault="003E7583" w:rsidP="00C15251">
      <w:pPr>
        <w:jc w:val="both"/>
        <w:rPr>
          <w:bCs/>
          <w:color w:val="002060"/>
          <w:sz w:val="16"/>
          <w:szCs w:val="16"/>
        </w:rPr>
      </w:pPr>
      <w:r w:rsidRPr="00405303">
        <w:rPr>
          <w:bCs/>
          <w:color w:val="002060"/>
          <w:sz w:val="16"/>
          <w:szCs w:val="16"/>
        </w:rPr>
        <w:t>Имелись лаборатории: Военно-морская (1932-34 г.), кварцевая (1937 г.), отраслевая радиолаборатория измерительных устройств (1937 г.).</w:t>
      </w:r>
    </w:p>
    <w:p w14:paraId="28A9C1CB" w14:textId="77777777" w:rsidR="003E7583" w:rsidRPr="00405303" w:rsidRDefault="003E7583" w:rsidP="00C15251">
      <w:pPr>
        <w:jc w:val="both"/>
        <w:rPr>
          <w:bCs/>
          <w:color w:val="002060"/>
          <w:sz w:val="16"/>
          <w:szCs w:val="16"/>
        </w:rPr>
      </w:pPr>
      <w:r w:rsidRPr="00405303">
        <w:rPr>
          <w:bCs/>
          <w:color w:val="002060"/>
          <w:sz w:val="16"/>
          <w:szCs w:val="16"/>
        </w:rPr>
        <w:t>22.10.1934 г. заводу поручена разработка опытных станций радиообнаружения самолетов в метровом и дециметровом диапазонах «Вега» и «Конус».</w:t>
      </w:r>
    </w:p>
    <w:p w14:paraId="137C401F" w14:textId="77777777" w:rsidR="003E7583" w:rsidRPr="00405303" w:rsidRDefault="003E7583" w:rsidP="00C15251">
      <w:pPr>
        <w:jc w:val="both"/>
        <w:rPr>
          <w:bCs/>
          <w:color w:val="002060"/>
          <w:sz w:val="16"/>
          <w:szCs w:val="16"/>
        </w:rPr>
      </w:pPr>
      <w:r w:rsidRPr="00405303">
        <w:rPr>
          <w:bCs/>
          <w:color w:val="002060"/>
          <w:sz w:val="16"/>
          <w:szCs w:val="16"/>
        </w:rPr>
        <w:t xml:space="preserve">Приказом № 0020 от 3.02.1937 г. заводу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w:t>
      </w:r>
      <w:proofErr w:type="gramStart"/>
      <w:r w:rsidRPr="00405303">
        <w:rPr>
          <w:bCs/>
          <w:color w:val="002060"/>
          <w:sz w:val="16"/>
          <w:szCs w:val="16"/>
        </w:rPr>
        <w:t>радио-измерительной</w:t>
      </w:r>
      <w:proofErr w:type="gramEnd"/>
      <w:r w:rsidRPr="00405303">
        <w:rPr>
          <w:bCs/>
          <w:color w:val="002060"/>
          <w:sz w:val="16"/>
          <w:szCs w:val="16"/>
        </w:rPr>
        <w:t xml:space="preserve"> аппаратуры: изготовить опытные частотно-измерительные гетеродины, субстандарты частоты, отдельные мультивибраторы, </w:t>
      </w:r>
      <w:r w:rsidRPr="00405303">
        <w:rPr>
          <w:bCs/>
          <w:color w:val="002060"/>
          <w:sz w:val="16"/>
          <w:szCs w:val="16"/>
          <w:lang w:val="en-US"/>
        </w:rPr>
        <w:t>KB</w:t>
      </w:r>
      <w:r w:rsidRPr="00405303">
        <w:rPr>
          <w:bCs/>
          <w:color w:val="002060"/>
          <w:sz w:val="16"/>
          <w:szCs w:val="16"/>
        </w:rPr>
        <w:t>и ДВ модулированные гетеродины, катодные осциллографы, ламповые вольтметры и мосты для измерения емкости и самоиндукции.</w:t>
      </w:r>
    </w:p>
    <w:p w14:paraId="20B4A1A8" w14:textId="77777777" w:rsidR="003E7583" w:rsidRPr="00405303" w:rsidRDefault="003E7583" w:rsidP="00C15251">
      <w:pPr>
        <w:jc w:val="both"/>
        <w:rPr>
          <w:bCs/>
          <w:color w:val="002060"/>
          <w:sz w:val="16"/>
          <w:szCs w:val="16"/>
        </w:rPr>
      </w:pPr>
      <w:r w:rsidRPr="00405303">
        <w:rPr>
          <w:bCs/>
          <w:color w:val="002060"/>
          <w:sz w:val="16"/>
          <w:szCs w:val="16"/>
        </w:rPr>
        <w:t xml:space="preserve">По решению СНК № СО-2195 от 15.07.1937 г. и пр. № 0175 от 10.08.1937 г. завод № 208 был реорганизован: </w:t>
      </w:r>
      <w:proofErr w:type="gramStart"/>
      <w:r w:rsidRPr="00405303">
        <w:rPr>
          <w:bCs/>
          <w:color w:val="002060"/>
          <w:sz w:val="16"/>
          <w:szCs w:val="16"/>
        </w:rPr>
        <w:t>В</w:t>
      </w:r>
      <w:proofErr w:type="gramEnd"/>
      <w:r w:rsidRPr="00405303">
        <w:rPr>
          <w:bCs/>
          <w:color w:val="002060"/>
          <w:sz w:val="16"/>
          <w:szCs w:val="16"/>
        </w:rPr>
        <w:t xml:space="preserve"> его составе оставлены предприятия № 1 и 2; предприятия № 3, 4 и 5 объединены в институт мощного радиостроения - институт № 33 5ГУ НКОП; предприятие № 6 выделено в самостоятельную лабораторию № 34 5ГУ НКОП.</w:t>
      </w:r>
    </w:p>
    <w:p w14:paraId="4CAA6CF1" w14:textId="77777777" w:rsidR="003E7583" w:rsidRPr="00405303" w:rsidRDefault="003E7583" w:rsidP="00C15251">
      <w:pPr>
        <w:jc w:val="both"/>
        <w:rPr>
          <w:bCs/>
          <w:color w:val="002060"/>
          <w:sz w:val="16"/>
          <w:szCs w:val="16"/>
        </w:rPr>
      </w:pPr>
      <w:r w:rsidRPr="00405303">
        <w:rPr>
          <w:bCs/>
          <w:color w:val="002060"/>
          <w:sz w:val="16"/>
          <w:szCs w:val="16"/>
        </w:rPr>
        <w:t>В 1937 г. строилась радиостанция им. Косиора ( г. Киев). В 06.1941 г. изготовлен войсковой подвижный РЛ комплекс «Редут» (РУС-2).</w:t>
      </w:r>
    </w:p>
    <w:p w14:paraId="41223B42" w14:textId="77777777" w:rsidR="003E7583" w:rsidRPr="00405303" w:rsidRDefault="003E7583" w:rsidP="00C15251">
      <w:pPr>
        <w:jc w:val="both"/>
        <w:rPr>
          <w:bCs/>
          <w:color w:val="002060"/>
          <w:sz w:val="16"/>
          <w:szCs w:val="16"/>
        </w:rPr>
      </w:pPr>
      <w:r w:rsidRPr="00405303">
        <w:rPr>
          <w:bCs/>
          <w:color w:val="002060"/>
          <w:sz w:val="16"/>
          <w:szCs w:val="16"/>
        </w:rPr>
        <w:t xml:space="preserve">По пр. № 151 от 19.04.1938 г. заводу требовалось сдать к 25.04.1938 г. строительству № 11 </w:t>
      </w:r>
      <w:proofErr w:type="gramStart"/>
      <w:r w:rsidRPr="00405303">
        <w:rPr>
          <w:bCs/>
          <w:color w:val="002060"/>
          <w:sz w:val="16"/>
          <w:szCs w:val="16"/>
        </w:rPr>
        <w:t>( г.</w:t>
      </w:r>
      <w:proofErr w:type="gramEnd"/>
      <w:r w:rsidRPr="00405303">
        <w:rPr>
          <w:bCs/>
          <w:color w:val="002060"/>
          <w:sz w:val="16"/>
          <w:szCs w:val="16"/>
        </w:rPr>
        <w:t xml:space="preserve"> Алма-Ата) передатчик мощностью 150 кВт.</w:t>
      </w:r>
    </w:p>
    <w:p w14:paraId="5948276B" w14:textId="77777777" w:rsidR="003E7583" w:rsidRPr="00405303" w:rsidRDefault="003E7583" w:rsidP="00C15251">
      <w:pPr>
        <w:jc w:val="both"/>
        <w:rPr>
          <w:bCs/>
          <w:color w:val="002060"/>
          <w:sz w:val="16"/>
          <w:szCs w:val="16"/>
        </w:rPr>
      </w:pPr>
      <w:r w:rsidRPr="00405303">
        <w:rPr>
          <w:bCs/>
          <w:color w:val="002060"/>
          <w:sz w:val="16"/>
          <w:szCs w:val="16"/>
        </w:rPr>
        <w:lastRenderedPageBreak/>
        <w:t>Приказом № 156с от 7/10.05.1938 г. была подчеркнута неудовлетворительная работа завода (план 1937 г. выполнен на 33,1%). Этим же приказом требовалось создать в 1938 г. лабораторию и КБ по модернизации и конструированию объектов мощного радиостроения.</w:t>
      </w:r>
    </w:p>
    <w:p w14:paraId="401D28E9" w14:textId="77777777" w:rsidR="003E7583" w:rsidRPr="00405303" w:rsidRDefault="003E7583" w:rsidP="00C15251">
      <w:pPr>
        <w:jc w:val="both"/>
        <w:rPr>
          <w:bCs/>
          <w:color w:val="002060"/>
          <w:sz w:val="16"/>
          <w:szCs w:val="16"/>
        </w:rPr>
      </w:pPr>
      <w:r w:rsidRPr="00405303">
        <w:rPr>
          <w:bCs/>
          <w:color w:val="002060"/>
          <w:sz w:val="16"/>
          <w:szCs w:val="16"/>
        </w:rPr>
        <w:t>В соответствии с пост. ГКО № 99сс от 11.07.1941 г. основная часть завода № 208 НКЭП эвакуирована в Новосибирск на площадку мебельной фабрики «Стандарт», в помещения Педагогического и Сельскохозяйственного институтов. По пр. НКЭП № 231сс от 16.08.1941 г. эвакуированные в Новосибирск цеха реорганизованы в самостоятельный завод № 615, по пр. № 325с от 27.10.1941 г. «в связи с окончанием эвакуации большей части оборудования» завод № 615 был переименован в ГС завод № 208 им. Коминтерна.</w:t>
      </w:r>
      <w:r w:rsidRPr="00405303">
        <w:rPr>
          <w:bCs/>
          <w:color w:val="002060"/>
          <w:sz w:val="16"/>
          <w:szCs w:val="16"/>
          <w:vertAlign w:val="superscript"/>
        </w:rPr>
        <w:t>149</w:t>
      </w:r>
    </w:p>
    <w:p w14:paraId="39B741D8" w14:textId="77777777" w:rsidR="003E7583" w:rsidRPr="00405303" w:rsidRDefault="003E7583" w:rsidP="00C15251">
      <w:pPr>
        <w:jc w:val="both"/>
        <w:rPr>
          <w:bCs/>
          <w:color w:val="002060"/>
          <w:sz w:val="16"/>
          <w:szCs w:val="16"/>
        </w:rPr>
      </w:pPr>
      <w:r w:rsidRPr="00405303">
        <w:rPr>
          <w:bCs/>
          <w:color w:val="002060"/>
          <w:sz w:val="16"/>
          <w:szCs w:val="16"/>
        </w:rPr>
        <w:t>Выпускал мощные радиостанции (единственный завод в СССР). В годы войны создана антенная лаборатория (П.П. Кузнецов).</w:t>
      </w:r>
    </w:p>
    <w:p w14:paraId="4665D515" w14:textId="77777777" w:rsidR="003E7583" w:rsidRPr="00405303" w:rsidRDefault="003E7583" w:rsidP="00C15251">
      <w:pPr>
        <w:jc w:val="both"/>
        <w:rPr>
          <w:bCs/>
          <w:color w:val="002060"/>
          <w:sz w:val="16"/>
          <w:szCs w:val="16"/>
        </w:rPr>
      </w:pPr>
      <w:r w:rsidRPr="00405303">
        <w:rPr>
          <w:bCs/>
          <w:color w:val="002060"/>
          <w:sz w:val="16"/>
          <w:szCs w:val="16"/>
        </w:rPr>
        <w:t>В Ленинграде на базе оставшегося оборудования по пр. № 325с от 27.10.1941 г. организован новый завод</w:t>
      </w:r>
    </w:p>
    <w:p w14:paraId="4BAC69C2" w14:textId="77777777" w:rsidR="003E7583" w:rsidRPr="00405303" w:rsidRDefault="003E7583" w:rsidP="00C15251">
      <w:pPr>
        <w:jc w:val="both"/>
        <w:rPr>
          <w:bCs/>
          <w:color w:val="002060"/>
          <w:sz w:val="16"/>
          <w:szCs w:val="16"/>
        </w:rPr>
      </w:pPr>
      <w:r w:rsidRPr="00405303">
        <w:rPr>
          <w:bCs/>
          <w:color w:val="002060"/>
          <w:sz w:val="16"/>
          <w:szCs w:val="16"/>
        </w:rPr>
        <w:t>№615.</w:t>
      </w:r>
    </w:p>
    <w:p w14:paraId="30621D3B" w14:textId="0DB741F2" w:rsidR="003E7583" w:rsidRPr="00405303" w:rsidRDefault="003E7583" w:rsidP="00C15251">
      <w:pPr>
        <w:jc w:val="both"/>
        <w:rPr>
          <w:bCs/>
          <w:color w:val="002060"/>
          <w:sz w:val="16"/>
          <w:szCs w:val="16"/>
        </w:rPr>
      </w:pPr>
      <w:r w:rsidRPr="00405303">
        <w:rPr>
          <w:bCs/>
          <w:color w:val="002060"/>
          <w:sz w:val="16"/>
          <w:szCs w:val="16"/>
        </w:rPr>
        <w:t xml:space="preserve">В соответствии с пост. ГКО № 3686сс от 4.07.1943 г. завод № 208 передан в ведение созданного ГУ </w:t>
      </w:r>
      <w:r w:rsidRPr="00405303">
        <w:rPr>
          <w:bCs/>
          <w:color w:val="002060"/>
          <w:sz w:val="16"/>
          <w:szCs w:val="16"/>
          <w:lang w:val="en-US"/>
        </w:rPr>
        <w:t>PJI</w:t>
      </w:r>
      <w:r w:rsidRPr="00405303">
        <w:rPr>
          <w:bCs/>
          <w:color w:val="002060"/>
          <w:sz w:val="16"/>
          <w:szCs w:val="16"/>
        </w:rPr>
        <w:t>промышленности НКЭП. В 1960-е</w:t>
      </w:r>
      <w:r w:rsidR="000F5756">
        <w:rPr>
          <w:bCs/>
          <w:color w:val="002060"/>
          <w:sz w:val="16"/>
          <w:szCs w:val="16"/>
        </w:rPr>
        <w:t xml:space="preserve"> </w:t>
      </w:r>
      <w:r w:rsidRPr="00405303">
        <w:rPr>
          <w:bCs/>
          <w:color w:val="002060"/>
          <w:sz w:val="16"/>
          <w:szCs w:val="16"/>
        </w:rPr>
        <w:t>г. - в ведении Управления радиотехнической и электронной промышленности Западно-Сибирского СНХ. В ~ 1983 г. на базе завода создано Сибирское ПО им. Коминтерна.</w:t>
      </w:r>
    </w:p>
    <w:p w14:paraId="3F082D89" w14:textId="50600723" w:rsidR="003E7583" w:rsidRPr="00405303" w:rsidRDefault="003E7583" w:rsidP="00C15251">
      <w:pPr>
        <w:jc w:val="both"/>
        <w:rPr>
          <w:bCs/>
          <w:color w:val="002060"/>
          <w:sz w:val="16"/>
          <w:szCs w:val="16"/>
        </w:rPr>
      </w:pPr>
      <w:r w:rsidRPr="00405303">
        <w:rPr>
          <w:bCs/>
          <w:color w:val="002060"/>
          <w:sz w:val="16"/>
          <w:szCs w:val="16"/>
        </w:rPr>
        <w:t>В 1960-е</w:t>
      </w:r>
      <w:r w:rsidR="000F5756">
        <w:rPr>
          <w:bCs/>
          <w:color w:val="002060"/>
          <w:sz w:val="16"/>
          <w:szCs w:val="16"/>
        </w:rPr>
        <w:t xml:space="preserve"> </w:t>
      </w:r>
      <w:r w:rsidRPr="00405303">
        <w:rPr>
          <w:bCs/>
          <w:color w:val="002060"/>
          <w:sz w:val="16"/>
          <w:szCs w:val="16"/>
        </w:rPr>
        <w:t>г. выпускал станции обнаружения и целеуказания.</w:t>
      </w:r>
      <w:r w:rsidRPr="00405303">
        <w:rPr>
          <w:bCs/>
          <w:color w:val="002060"/>
          <w:sz w:val="16"/>
          <w:szCs w:val="16"/>
          <w:vertAlign w:val="superscript"/>
        </w:rPr>
        <w:t>80</w:t>
      </w:r>
    </w:p>
    <w:p w14:paraId="37C7B716" w14:textId="59A19296" w:rsidR="003E7583" w:rsidRPr="00405303" w:rsidRDefault="003E7583" w:rsidP="00C15251">
      <w:pPr>
        <w:jc w:val="both"/>
        <w:rPr>
          <w:bCs/>
          <w:color w:val="002060"/>
          <w:sz w:val="16"/>
          <w:szCs w:val="16"/>
        </w:rPr>
      </w:pPr>
      <w:r w:rsidRPr="00405303">
        <w:rPr>
          <w:bCs/>
          <w:color w:val="002060"/>
          <w:sz w:val="16"/>
          <w:szCs w:val="16"/>
        </w:rPr>
        <w:t>В 1979 г. создан Тувинский филиал завода (с 1980-х</w:t>
      </w:r>
      <w:r w:rsidR="000F5756">
        <w:rPr>
          <w:bCs/>
          <w:color w:val="002060"/>
          <w:sz w:val="16"/>
          <w:szCs w:val="16"/>
        </w:rPr>
        <w:t xml:space="preserve"> </w:t>
      </w:r>
      <w:r w:rsidRPr="00405303">
        <w:rPr>
          <w:bCs/>
          <w:color w:val="002060"/>
          <w:sz w:val="16"/>
          <w:szCs w:val="16"/>
        </w:rPr>
        <w:t>г. - Тувинский машиностроительный завод).</w:t>
      </w:r>
    </w:p>
    <w:p w14:paraId="03C7AA6D" w14:textId="77777777" w:rsidR="003E7583" w:rsidRPr="00405303" w:rsidRDefault="003E7583" w:rsidP="00C15251">
      <w:pPr>
        <w:jc w:val="both"/>
        <w:rPr>
          <w:bCs/>
          <w:color w:val="002060"/>
          <w:sz w:val="16"/>
          <w:szCs w:val="16"/>
        </w:rPr>
      </w:pPr>
      <w:r w:rsidRPr="00405303">
        <w:rPr>
          <w:bCs/>
          <w:color w:val="002060"/>
          <w:sz w:val="16"/>
          <w:szCs w:val="16"/>
        </w:rPr>
        <w:t>По решению правительства № 22-р от 9.01.2004 г. и Указу Президента РФ № 1009 от 4.08.2004 г. вошло в число стратегических оборонных предприятий.</w:t>
      </w:r>
    </w:p>
    <w:p w14:paraId="1DE1CC80" w14:textId="77777777" w:rsidR="003E7583" w:rsidRPr="00405303" w:rsidRDefault="003E7583" w:rsidP="00C15251">
      <w:pPr>
        <w:jc w:val="both"/>
        <w:rPr>
          <w:bCs/>
          <w:color w:val="002060"/>
          <w:sz w:val="16"/>
          <w:szCs w:val="16"/>
        </w:rPr>
      </w:pPr>
      <w:r w:rsidRPr="00405303">
        <w:rPr>
          <w:bCs/>
          <w:color w:val="002060"/>
          <w:sz w:val="16"/>
          <w:szCs w:val="16"/>
        </w:rPr>
        <w:t>Численность персонала (1915 г.)- около 300 чел.</w:t>
      </w:r>
    </w:p>
    <w:p w14:paraId="7A6F071D" w14:textId="4B99B9B9" w:rsidR="003E7583" w:rsidRPr="00405303" w:rsidRDefault="003E7583" w:rsidP="00C15251">
      <w:pPr>
        <w:jc w:val="both"/>
        <w:rPr>
          <w:bCs/>
          <w:color w:val="002060"/>
          <w:sz w:val="16"/>
          <w:szCs w:val="16"/>
        </w:rPr>
      </w:pPr>
      <w:r w:rsidRPr="00405303">
        <w:rPr>
          <w:bCs/>
          <w:color w:val="002060"/>
          <w:sz w:val="16"/>
          <w:szCs w:val="16"/>
        </w:rPr>
        <w:t>Директор (-01-14.07.1937 г.)- М.А. Гущин, (14.07.1937-17.12.1938 г.)- А.И. Васильев, (17.12.1938 г.-)- В.П. Виноградов. И.О. Гендиректора (2007 г.)-</w:t>
      </w:r>
      <w:r w:rsidR="000F5756">
        <w:rPr>
          <w:bCs/>
          <w:color w:val="002060"/>
          <w:sz w:val="16"/>
          <w:szCs w:val="16"/>
        </w:rPr>
        <w:t xml:space="preserve"> </w:t>
      </w:r>
      <w:r w:rsidRPr="00405303">
        <w:rPr>
          <w:bCs/>
          <w:color w:val="002060"/>
          <w:sz w:val="16"/>
          <w:szCs w:val="16"/>
        </w:rPr>
        <w:t>Г.Н. Голубев.</w:t>
      </w:r>
    </w:p>
    <w:p w14:paraId="1070E1B8" w14:textId="77777777" w:rsidR="003E7583" w:rsidRPr="00405303" w:rsidRDefault="003E7583" w:rsidP="00C15251">
      <w:pPr>
        <w:jc w:val="both"/>
        <w:rPr>
          <w:bCs/>
          <w:color w:val="002060"/>
          <w:sz w:val="16"/>
          <w:szCs w:val="16"/>
        </w:rPr>
      </w:pPr>
      <w:r w:rsidRPr="00405303">
        <w:rPr>
          <w:bCs/>
          <w:color w:val="002060"/>
          <w:sz w:val="16"/>
          <w:szCs w:val="16"/>
        </w:rPr>
        <w:t xml:space="preserve">Зам. директора (01.1937 г.)- </w:t>
      </w:r>
      <w:r w:rsidRPr="00405303">
        <w:rPr>
          <w:bCs/>
          <w:color w:val="002060"/>
          <w:sz w:val="16"/>
          <w:szCs w:val="16"/>
          <w:lang w:val="en-US"/>
        </w:rPr>
        <w:t>A</w:t>
      </w:r>
      <w:r w:rsidRPr="00405303">
        <w:rPr>
          <w:bCs/>
          <w:color w:val="002060"/>
          <w:sz w:val="16"/>
          <w:szCs w:val="16"/>
        </w:rPr>
        <w:t>.</w:t>
      </w:r>
      <w:r w:rsidRPr="00405303">
        <w:rPr>
          <w:bCs/>
          <w:color w:val="002060"/>
          <w:sz w:val="16"/>
          <w:szCs w:val="16"/>
          <w:lang w:val="en-US"/>
        </w:rPr>
        <w:t>JI</w:t>
      </w:r>
      <w:r w:rsidRPr="00405303">
        <w:rPr>
          <w:bCs/>
          <w:color w:val="002060"/>
          <w:sz w:val="16"/>
          <w:szCs w:val="16"/>
        </w:rPr>
        <w:t xml:space="preserve">. Минц, (-27.03.1937; 16.05.1937 г.-)- </w:t>
      </w:r>
      <w:r w:rsidRPr="00405303">
        <w:rPr>
          <w:bCs/>
          <w:color w:val="002060"/>
          <w:sz w:val="16"/>
          <w:szCs w:val="16"/>
          <w:lang w:val="en-US"/>
        </w:rPr>
        <w:t>B</w:t>
      </w:r>
      <w:r w:rsidRPr="00405303">
        <w:rPr>
          <w:bCs/>
          <w:color w:val="002060"/>
          <w:sz w:val="16"/>
          <w:szCs w:val="16"/>
        </w:rPr>
        <w:t>.</w:t>
      </w:r>
      <w:r w:rsidRPr="00405303">
        <w:rPr>
          <w:bCs/>
          <w:color w:val="002060"/>
          <w:sz w:val="16"/>
          <w:szCs w:val="16"/>
          <w:lang w:val="en-US"/>
        </w:rPr>
        <w:t>C</w:t>
      </w:r>
      <w:r w:rsidRPr="00405303">
        <w:rPr>
          <w:bCs/>
          <w:color w:val="002060"/>
          <w:sz w:val="16"/>
          <w:szCs w:val="16"/>
        </w:rPr>
        <w:t>. Курков. Помощник директора по найму и увольнению (28.09.1938 г.-)- А.Е. Фомичев.</w:t>
      </w:r>
    </w:p>
    <w:p w14:paraId="558FFED3" w14:textId="77777777" w:rsidR="003E7583" w:rsidRPr="00405303" w:rsidRDefault="003E7583" w:rsidP="00C15251">
      <w:pPr>
        <w:jc w:val="both"/>
        <w:rPr>
          <w:bCs/>
          <w:color w:val="002060"/>
          <w:sz w:val="16"/>
          <w:szCs w:val="16"/>
        </w:rPr>
      </w:pPr>
      <w:r w:rsidRPr="00405303">
        <w:rPr>
          <w:bCs/>
          <w:color w:val="002060"/>
          <w:sz w:val="16"/>
          <w:szCs w:val="16"/>
        </w:rPr>
        <w:t>Гл. инженер (-01-27.03.1937 г.)- А.Л. Минц, (27.03-05.1937 г.-)- А.И. Васильев, (02.1938 г.)- Н.А. Романов, (1948-50 г.)- ЯЛ. Беликов.</w:t>
      </w:r>
    </w:p>
    <w:p w14:paraId="102FBA39" w14:textId="77777777" w:rsidR="003E7583" w:rsidRPr="00405303" w:rsidRDefault="003E7583" w:rsidP="00C15251">
      <w:pPr>
        <w:jc w:val="both"/>
        <w:rPr>
          <w:bCs/>
          <w:color w:val="002060"/>
          <w:sz w:val="16"/>
          <w:szCs w:val="16"/>
        </w:rPr>
      </w:pPr>
      <w:r w:rsidRPr="00405303">
        <w:rPr>
          <w:bCs/>
          <w:color w:val="002060"/>
          <w:sz w:val="16"/>
          <w:szCs w:val="16"/>
        </w:rPr>
        <w:t>Зам. гл. инженера (1928 г.-)- А.Л. Минц, В.Е. Гайслер.</w:t>
      </w:r>
    </w:p>
    <w:p w14:paraId="1207E0D2" w14:textId="77777777" w:rsidR="003E7583" w:rsidRPr="00405303" w:rsidRDefault="003E7583" w:rsidP="00C15251">
      <w:pPr>
        <w:jc w:val="both"/>
        <w:rPr>
          <w:bCs/>
          <w:color w:val="002060"/>
          <w:sz w:val="16"/>
          <w:szCs w:val="16"/>
        </w:rPr>
      </w:pPr>
      <w:r w:rsidRPr="00405303">
        <w:rPr>
          <w:bCs/>
          <w:color w:val="002060"/>
          <w:sz w:val="16"/>
          <w:szCs w:val="16"/>
        </w:rPr>
        <w:t>Заведующий производством (1930-е)- А. Г. Громов.</w:t>
      </w:r>
    </w:p>
    <w:p w14:paraId="53489009" w14:textId="77777777" w:rsidR="003E7583" w:rsidRPr="00405303" w:rsidRDefault="003E7583" w:rsidP="00C15251">
      <w:pPr>
        <w:jc w:val="both"/>
        <w:rPr>
          <w:bCs/>
          <w:color w:val="002060"/>
          <w:sz w:val="16"/>
          <w:szCs w:val="16"/>
        </w:rPr>
      </w:pPr>
      <w:r w:rsidRPr="00405303">
        <w:rPr>
          <w:bCs/>
          <w:color w:val="002060"/>
          <w:sz w:val="16"/>
          <w:szCs w:val="16"/>
        </w:rPr>
        <w:t>Научный руководитель (1936 г.-)- А.Л. Минц.</w:t>
      </w:r>
    </w:p>
    <w:p w14:paraId="21CA8881" w14:textId="77777777" w:rsidR="003E7583" w:rsidRPr="00405303" w:rsidRDefault="003E7583" w:rsidP="00C15251">
      <w:pPr>
        <w:jc w:val="both"/>
        <w:rPr>
          <w:bCs/>
          <w:color w:val="002060"/>
          <w:sz w:val="16"/>
          <w:szCs w:val="16"/>
        </w:rPr>
      </w:pPr>
      <w:r w:rsidRPr="00405303">
        <w:rPr>
          <w:bCs/>
          <w:color w:val="002060"/>
          <w:sz w:val="16"/>
          <w:szCs w:val="16"/>
        </w:rPr>
        <w:t>Заведующий мастерскими- А. Г. Громов. Начальники цехов: выпускного (-1947 г.)- А.К. Володин; (-1948 г.)- Я.П. Беликов, (-1953 г.)- В.В. Райзберг, (1930-е)- А.А. Форштер.</w:t>
      </w:r>
    </w:p>
    <w:p w14:paraId="71E39188" w14:textId="77777777" w:rsidR="003E7583" w:rsidRPr="00405303" w:rsidRDefault="003E7583" w:rsidP="00C15251">
      <w:pPr>
        <w:jc w:val="both"/>
        <w:rPr>
          <w:bCs/>
          <w:color w:val="002060"/>
          <w:sz w:val="16"/>
          <w:szCs w:val="16"/>
        </w:rPr>
      </w:pPr>
      <w:r w:rsidRPr="00405303">
        <w:rPr>
          <w:bCs/>
          <w:color w:val="002060"/>
          <w:sz w:val="16"/>
          <w:szCs w:val="16"/>
        </w:rPr>
        <w:t>Зам. начальника цеха: (-1945 г.)- А.В. Загорянский.</w:t>
      </w:r>
    </w:p>
    <w:p w14:paraId="4252F1FC" w14:textId="77777777" w:rsidR="003E7583" w:rsidRPr="00405303" w:rsidRDefault="003E7583" w:rsidP="00C15251">
      <w:pPr>
        <w:jc w:val="both"/>
        <w:rPr>
          <w:bCs/>
          <w:color w:val="002060"/>
          <w:sz w:val="16"/>
          <w:szCs w:val="16"/>
        </w:rPr>
      </w:pPr>
      <w:r w:rsidRPr="00405303">
        <w:rPr>
          <w:bCs/>
          <w:color w:val="002060"/>
          <w:sz w:val="16"/>
          <w:szCs w:val="16"/>
        </w:rPr>
        <w:t>Начальники отделов: радиовещательных передатчиков (1937 г.)- З.И. Модель; (1925-26 г.)- А.Ф. Шорин, (-1935 г.)- А.А. Форштер, А.А. Пистолькорс.</w:t>
      </w:r>
    </w:p>
    <w:p w14:paraId="031A39D3" w14:textId="77777777" w:rsidR="003E7583" w:rsidRPr="00405303" w:rsidRDefault="003E7583" w:rsidP="00C15251">
      <w:pPr>
        <w:jc w:val="both"/>
        <w:rPr>
          <w:bCs/>
          <w:color w:val="002060"/>
          <w:sz w:val="16"/>
          <w:szCs w:val="16"/>
        </w:rPr>
      </w:pPr>
      <w:r w:rsidRPr="00405303">
        <w:rPr>
          <w:bCs/>
          <w:color w:val="002060"/>
          <w:sz w:val="16"/>
          <w:szCs w:val="16"/>
        </w:rPr>
        <w:t>Заведующие лабораторией: А.А. Пистолькорс. Начальники лабораторий: кварцевой- П.П. Куровский; ЦЗТЛ- В.Е. Гайслер; отраслевой радиолаборатории измерительных устройств- П.П. Куровский; (1946 г.-)- В.Е. Гайслер, (</w:t>
      </w:r>
      <w:r w:rsidRPr="00405303">
        <w:rPr>
          <w:bCs/>
          <w:color w:val="002060"/>
          <w:sz w:val="16"/>
          <w:szCs w:val="16"/>
          <w:lang w:val="en-US"/>
        </w:rPr>
        <w:t>BOB</w:t>
      </w:r>
      <w:r w:rsidRPr="00405303">
        <w:rPr>
          <w:bCs/>
          <w:color w:val="002060"/>
          <w:sz w:val="16"/>
          <w:szCs w:val="16"/>
        </w:rPr>
        <w:t>)- А.В. Загорянский, (1950-е; 1981-92 г.)- В.В. Райзберг, (-1941 г.)- И.Л. Эристов.</w:t>
      </w:r>
    </w:p>
    <w:p w14:paraId="20290EFF" w14:textId="77777777" w:rsidR="003E7583" w:rsidRPr="00405303" w:rsidRDefault="003E7583" w:rsidP="00C15251">
      <w:pPr>
        <w:jc w:val="both"/>
        <w:rPr>
          <w:bCs/>
          <w:color w:val="002060"/>
          <w:sz w:val="16"/>
          <w:szCs w:val="16"/>
        </w:rPr>
      </w:pPr>
      <w:r w:rsidRPr="00405303">
        <w:rPr>
          <w:bCs/>
          <w:color w:val="002060"/>
          <w:sz w:val="16"/>
          <w:szCs w:val="16"/>
        </w:rPr>
        <w:t>Начальники бюро: проектно-монтажного (-1936 г.)- А.А. Пистолькорс.</w:t>
      </w:r>
    </w:p>
    <w:p w14:paraId="62312115" w14:textId="77777777" w:rsidR="003E7583" w:rsidRPr="00405303" w:rsidRDefault="003E7583" w:rsidP="00C15251">
      <w:pPr>
        <w:jc w:val="both"/>
        <w:rPr>
          <w:bCs/>
          <w:color w:val="002060"/>
          <w:sz w:val="16"/>
          <w:szCs w:val="16"/>
        </w:rPr>
      </w:pPr>
      <w:r w:rsidRPr="00405303">
        <w:rPr>
          <w:bCs/>
          <w:color w:val="002060"/>
          <w:sz w:val="16"/>
          <w:szCs w:val="16"/>
        </w:rPr>
        <w:t>Руководители групп: по проектированию радиостанции им. Косиора (1937 г.)- В.Д. Селивохин.</w:t>
      </w:r>
    </w:p>
    <w:p w14:paraId="11CF084F" w14:textId="77777777" w:rsidR="003E7583" w:rsidRPr="00405303" w:rsidRDefault="003E7583" w:rsidP="00C15251">
      <w:pPr>
        <w:jc w:val="both"/>
        <w:rPr>
          <w:bCs/>
          <w:color w:val="002060"/>
          <w:sz w:val="16"/>
          <w:szCs w:val="16"/>
        </w:rPr>
      </w:pPr>
      <w:r w:rsidRPr="00405303">
        <w:rPr>
          <w:bCs/>
          <w:color w:val="002060"/>
          <w:sz w:val="16"/>
          <w:szCs w:val="16"/>
        </w:rPr>
        <w:t>Начальник строительства радиостанции им. Косиора (1937 г.)- В.Д. Селивохин.</w:t>
      </w:r>
    </w:p>
    <w:p w14:paraId="4E7E84D5" w14:textId="77777777" w:rsidR="003E7583" w:rsidRPr="00405303" w:rsidRDefault="003E7583" w:rsidP="00C15251">
      <w:pPr>
        <w:jc w:val="both"/>
        <w:rPr>
          <w:bCs/>
          <w:color w:val="002060"/>
          <w:sz w:val="16"/>
          <w:szCs w:val="16"/>
        </w:rPr>
      </w:pPr>
      <w:r w:rsidRPr="00405303">
        <w:rPr>
          <w:bCs/>
          <w:color w:val="002060"/>
          <w:sz w:val="16"/>
          <w:szCs w:val="16"/>
        </w:rPr>
        <w:t>Зам. начальника строительства по техчасти радиостанции им. Косиора (1937 г.)- В.А. Енютин.</w:t>
      </w:r>
    </w:p>
    <w:p w14:paraId="66BAB9D1" w14:textId="77777777" w:rsidR="003E7583" w:rsidRPr="00405303" w:rsidRDefault="003E7583" w:rsidP="00C15251">
      <w:pPr>
        <w:jc w:val="both"/>
        <w:rPr>
          <w:bCs/>
          <w:color w:val="002060"/>
          <w:sz w:val="16"/>
          <w:szCs w:val="16"/>
        </w:rPr>
      </w:pPr>
      <w:r w:rsidRPr="00405303">
        <w:rPr>
          <w:bCs/>
          <w:color w:val="002060"/>
          <w:sz w:val="16"/>
          <w:szCs w:val="16"/>
        </w:rPr>
        <w:t>Создано: радиолокатор наведения луча прожектора на самолеты РАП-150 (1948).</w:t>
      </w:r>
    </w:p>
    <w:p w14:paraId="247769FC" w14:textId="77777777" w:rsidR="003E7583" w:rsidRPr="00405303" w:rsidRDefault="003E7583" w:rsidP="00C15251">
      <w:pPr>
        <w:jc w:val="both"/>
        <w:rPr>
          <w:bCs/>
          <w:color w:val="002060"/>
          <w:sz w:val="16"/>
          <w:szCs w:val="16"/>
        </w:rPr>
      </w:pPr>
      <w:r w:rsidRPr="00405303">
        <w:rPr>
          <w:bCs/>
          <w:color w:val="002060"/>
          <w:sz w:val="16"/>
          <w:szCs w:val="16"/>
        </w:rPr>
        <w:t>Производство: первый отечественный триод ЛЭ-1 (1922-);</w:t>
      </w:r>
      <w:r w:rsidRPr="00405303">
        <w:rPr>
          <w:bCs/>
          <w:color w:val="002060"/>
          <w:sz w:val="16"/>
          <w:szCs w:val="16"/>
          <w:vertAlign w:val="superscript"/>
        </w:rPr>
        <w:t>103</w:t>
      </w:r>
      <w:r w:rsidRPr="00405303">
        <w:rPr>
          <w:bCs/>
          <w:color w:val="002060"/>
          <w:sz w:val="16"/>
          <w:szCs w:val="16"/>
        </w:rPr>
        <w:t xml:space="preserve"> радиопеленгаторы: «Градус», для ПЛ «Пассат», типа «Телефункен» (1937); объект «Норд» (1938); РЛС: «Редут» РУС-2, 5Н64, 1С 12 для ЗРК «Круг», П-40;</w:t>
      </w:r>
      <w:r w:rsidRPr="00405303">
        <w:rPr>
          <w:bCs/>
          <w:color w:val="002060"/>
          <w:sz w:val="16"/>
          <w:szCs w:val="16"/>
          <w:vertAlign w:val="superscript"/>
        </w:rPr>
        <w:t xml:space="preserve">130 </w:t>
      </w:r>
      <w:r w:rsidRPr="00405303">
        <w:rPr>
          <w:bCs/>
          <w:color w:val="002060"/>
          <w:sz w:val="16"/>
          <w:szCs w:val="16"/>
        </w:rPr>
        <w:t>радиодальномер 1РЛ111Д; изделия 1Л23-6, 1Л24, 76Е6 системы опознавания «Пароль»; радиоприемник ФЭБ (11982).</w:t>
      </w:r>
    </w:p>
    <w:p w14:paraId="1429A0F9" w14:textId="77777777" w:rsidR="003E7583" w:rsidRPr="00405303" w:rsidRDefault="003E7583" w:rsidP="00C15251">
      <w:pPr>
        <w:jc w:val="both"/>
        <w:rPr>
          <w:bCs/>
          <w:color w:val="002060"/>
          <w:sz w:val="16"/>
          <w:szCs w:val="16"/>
        </w:rPr>
      </w:pPr>
    </w:p>
    <w:p w14:paraId="7BEAADFD" w14:textId="77777777" w:rsidR="00E136C6" w:rsidRPr="00405303" w:rsidRDefault="00E136C6"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7521B998" w14:textId="77777777" w:rsidR="00E136C6" w:rsidRPr="00405303" w:rsidRDefault="00E136C6" w:rsidP="00C15251">
      <w:pPr>
        <w:pStyle w:val="a3"/>
        <w:jc w:val="both"/>
        <w:rPr>
          <w:bCs/>
          <w:color w:val="002060"/>
          <w:spacing w:val="0"/>
          <w:kern w:val="0"/>
          <w:position w:val="0"/>
          <w:sz w:val="16"/>
          <w:szCs w:val="16"/>
        </w:rPr>
      </w:pPr>
    </w:p>
    <w:p w14:paraId="29D9F1A2" w14:textId="77777777" w:rsidR="00E136C6" w:rsidRPr="00405303" w:rsidRDefault="00E136C6" w:rsidP="00C15251">
      <w:pPr>
        <w:jc w:val="both"/>
        <w:rPr>
          <w:bCs/>
          <w:color w:val="002060"/>
          <w:sz w:val="16"/>
          <w:szCs w:val="16"/>
        </w:rPr>
      </w:pPr>
      <w:r w:rsidRPr="00405303">
        <w:rPr>
          <w:bCs/>
          <w:color w:val="002060"/>
          <w:sz w:val="16"/>
          <w:szCs w:val="16"/>
        </w:rPr>
        <w:t>25 мая (7 июня) 1915 г. приказом по войскам 5-й армии Владимир Лауниц</w:t>
      </w:r>
      <w:r w:rsidRPr="00405303">
        <w:rPr>
          <w:bCs/>
          <w:i/>
          <w:color w:val="002060"/>
          <w:sz w:val="16"/>
          <w:szCs w:val="16"/>
        </w:rPr>
        <w:t xml:space="preserve">, </w:t>
      </w:r>
      <w:r w:rsidRPr="00405303">
        <w:rPr>
          <w:bCs/>
          <w:iCs/>
          <w:color w:val="002060"/>
          <w:sz w:val="16"/>
          <w:szCs w:val="16"/>
        </w:rPr>
        <w:t>у которого</w:t>
      </w:r>
      <w:r w:rsidRPr="00405303">
        <w:rPr>
          <w:bCs/>
          <w:color w:val="002060"/>
          <w:sz w:val="16"/>
          <w:szCs w:val="16"/>
        </w:rPr>
        <w:t xml:space="preserve"> 12 мая 1915 во время выполнения разведки </w:t>
      </w:r>
      <w:r w:rsidRPr="00405303">
        <w:rPr>
          <w:bCs/>
          <w:i/>
          <w:color w:val="002060"/>
          <w:sz w:val="16"/>
          <w:szCs w:val="16"/>
        </w:rPr>
        <w:t xml:space="preserve">с </w:t>
      </w:r>
      <w:r w:rsidRPr="00405303">
        <w:rPr>
          <w:bCs/>
          <w:color w:val="002060"/>
          <w:sz w:val="16"/>
          <w:szCs w:val="16"/>
        </w:rPr>
        <w:t>летнабом 19-го КАО подпоручиком Рудовичем в моторе аппарата произошел взрыв</w:t>
      </w:r>
      <w:r w:rsidRPr="00405303">
        <w:rPr>
          <w:bCs/>
          <w:i/>
          <w:color w:val="002060"/>
          <w:sz w:val="16"/>
          <w:szCs w:val="16"/>
        </w:rPr>
        <w:t>, а</w:t>
      </w:r>
      <w:r w:rsidRPr="00405303">
        <w:rPr>
          <w:bCs/>
          <w:color w:val="002060"/>
          <w:sz w:val="16"/>
          <w:szCs w:val="16"/>
        </w:rPr>
        <w:t xml:space="preserve"> </w:t>
      </w:r>
      <w:r w:rsidRPr="00405303">
        <w:rPr>
          <w:bCs/>
          <w:i/>
          <w:color w:val="002060"/>
          <w:sz w:val="16"/>
          <w:szCs w:val="16"/>
        </w:rPr>
        <w:t>д</w:t>
      </w:r>
      <w:r w:rsidRPr="00405303">
        <w:rPr>
          <w:bCs/>
          <w:color w:val="002060"/>
          <w:sz w:val="16"/>
          <w:szCs w:val="16"/>
        </w:rPr>
        <w:t>о линии фронта оставалось 8 верст</w:t>
      </w:r>
      <w:r w:rsidRPr="00405303">
        <w:rPr>
          <w:bCs/>
          <w:i/>
          <w:color w:val="002060"/>
          <w:sz w:val="16"/>
          <w:szCs w:val="16"/>
        </w:rPr>
        <w:t xml:space="preserve">, </w:t>
      </w:r>
      <w:r w:rsidRPr="00405303">
        <w:rPr>
          <w:bCs/>
          <w:color w:val="002060"/>
          <w:sz w:val="16"/>
          <w:szCs w:val="16"/>
        </w:rPr>
        <w:t xml:space="preserve">не растерялся и стал планировать под сильным пулеметным и артиллерийским огнем. Ему удалось вывести аппарат из расположения противника и опуститься вблизи наших боевых позиций. Он спас самолет от захвата противником и офицера от плена. Во время планирования ефрейтор Лауниц был ранен в руку с раздроблением кости, но несмотря на это посадил, самолет был награжден солдатским Георгиевским крестом 4-й степени. В конце 1915 г. война на восточном фронте приняла позиционный характер. Кавалерия лишилась возможности проводить разведку. Только самолеты позволяли проникнуть в глубину расположения войск противника, чтобы собрать необходимые для командования сведения. При этом задачи воздушной разведки изменились: если в условиях маневренной войны на нее прежде всего возлагалось наблюдение за крупными силами неприятеля и направлением их движения, то теперь от авиаторов главным образом требовалось тщательно изучать систему обороны противника и наблюдать за ее состоянием и развитием. Привлекалась авиация и для выполнения других задач. Летом в Польше на Северо-Западном фронте германские войска окружили пограничную крепость Новогеоргиевск. В начале августа командование русского гарнизона ввиду опасности скорой капитуляции решило воспользоваться услугами летчиков Новогеоргиевского крепостного авиаотряда. Его начальник капитан Иван Массальский организовал отлет всех исправных самолетов, предварительно уничтожив авиационное имущество, которое нельзя было вывезти. Летчики поручик Константин Вакуловский, штабс-ротмистр Ливотов, капитан Массальский и другие по приказу коменданта крепости вылетели в непогоду под сильным обстрелом противника. Прорвавшись, они вывезли штандарты, Георгиевские кресты и секретные документы. Пролетев 4- 5 часов на небольшой высоте, авиаторы благополучно опустились в расположении своих войск. За этот подвиг они были награждены орденами Св. Георгия 4-й степени и Георгиевским оружием. В 1915 г. воздушные бои оставались редкостью. В большинстве случаев экипажи отправлялись на задания, располагая только карабинами и пистолетами, но и с таким оружием некоторые летчики добивались воздушных побед. Так, 25 февраля летчик°доброволец француз Пуаре с наблюдателем поручиком Шебалиным вылетели на трофейном "Эйлере" на разведку района Лович-Неборов-Болилов. Над своими позициями между Камионом и Сулишевым они атаковали немецкий аппарат. С дистанции 40-50 м по нему было произведено 5 выстрелов из карабина. Согласно донесению летчиков 2-го армейского авиаотряда, "после третьего выстрела самолет противника пошел с поворотом книзу и опустился под Скверневицами". 15-го июля во время разведки к востоку от Золотой Липы летчики 2-го Сибирского КАО поручик Покровский и корнет Плонский заметили неприятельский аэроплан. Из оружия у них были только пистолеты 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7-й... авиароты.&gt; Оба русских героя были награждены орденами Св. Георгия 4-й степени. Кстати, &lt;Авиатик&gt;, как и большийство других самолетов того времени, был весьма слабой машиной. Об этом свидетельствует следующий факт: 27 ноября австрийские летчики Дример и Хубнер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Недостаток вооружения во многом компенсировался храбростью русских авиаторов. 18-го марта одержал свою первую победу летчик 4-го КАО поручик А. А. 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В 1915 г. на русских аэропланах появились пулеметы. Для их применения наиболее пригодным оказался биплан Вуазен, на который часто устанавливался пулемет Кольт. Такой самолет становился грозным оружием, 24-го июня летчик прапорщик Иванов и наблюдатель поручик Алексеев из 26-го КАО атаковали в районе Тарнополя австрийский Альбатрос (бортовой номер 21-01) из 1-й авиароты,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Тлусте, наблюдатель выронил карабин. В одной из следующих атак Альбатрос </w:t>
      </w:r>
      <w:r w:rsidRPr="00405303">
        <w:rPr>
          <w:bCs/>
          <w:color w:val="002060"/>
          <w:sz w:val="16"/>
          <w:szCs w:val="16"/>
        </w:rPr>
        <w:lastRenderedPageBreak/>
        <w:t>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29179F9B" w14:textId="77777777" w:rsidR="00E136C6" w:rsidRPr="00405303" w:rsidRDefault="00E136C6" w:rsidP="00C15251">
      <w:pPr>
        <w:jc w:val="both"/>
        <w:rPr>
          <w:bCs/>
          <w:color w:val="002060"/>
          <w:sz w:val="16"/>
          <w:szCs w:val="16"/>
        </w:rPr>
      </w:pPr>
    </w:p>
    <w:p w14:paraId="0A52C94A" w14:textId="77777777" w:rsidR="00E136C6" w:rsidRPr="00405303" w:rsidRDefault="00E136C6"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25 мая (7 июня).1915 г. Владимир Лауниц, у которого 12 мая 1915 во время выполнения разведки с летнабом 19-го КАО подпоручиком Рудовичем в моторе аппарата произошел взрыв, а до линии фронта оставалось 8 верст, не растерялся и стал планировать под сильным пулеметным и артиллерийским огнем. Ему удалось вывести аппарат из расположения противника и опуститься вблизи наших боевых позиций. Он спас самолет от захвата противником и офицера от плена. Во время планирования ефрейтор Лауниц был ранен в руку с раздроблением кости, но несмотря на это посадил самолет, был награжден солдатским Георгиевским крестом 4-й степени (11278). </w:t>
      </w:r>
    </w:p>
    <w:p w14:paraId="2500D667" w14:textId="77777777" w:rsidR="00E136C6" w:rsidRPr="00405303" w:rsidRDefault="00E136C6" w:rsidP="00C15251">
      <w:pPr>
        <w:pStyle w:val="a3"/>
        <w:jc w:val="both"/>
        <w:rPr>
          <w:bCs/>
          <w:i w:val="0"/>
          <w:color w:val="002060"/>
          <w:spacing w:val="0"/>
          <w:kern w:val="0"/>
          <w:position w:val="0"/>
          <w:sz w:val="16"/>
          <w:szCs w:val="16"/>
        </w:rPr>
      </w:pPr>
    </w:p>
    <w:p w14:paraId="1365F01E" w14:textId="77777777" w:rsidR="00CD28F6" w:rsidRPr="00405303" w:rsidRDefault="00CD28F6" w:rsidP="00CD28F6">
      <w:pPr>
        <w:jc w:val="both"/>
        <w:rPr>
          <w:color w:val="0070C0"/>
          <w:sz w:val="16"/>
          <w:szCs w:val="16"/>
        </w:rPr>
      </w:pPr>
      <w:r w:rsidRPr="00405303">
        <w:rPr>
          <w:color w:val="0070C0"/>
          <w:sz w:val="16"/>
          <w:szCs w:val="16"/>
        </w:rPr>
        <w:t>25 мая (7 июня) 1915 г. механик ЭВК И. Арай, который «Будучи тяжело раненным осколками бомбы, мужественно перенес страдания, пока неприятельский аэроплан не скрылся с горизонта, и после произведенной ему операции по удалению правого глаза, зашития слепой кишки и отчасти раны плеча отказался от предложенной ему эвакуации и заявил, что по выздоровлению желает продолжить работу в ЭВК» был награжден Георгиевской медалью IV степени. Это награждение стало первым в Эскадре воздушных кораблей (ЭВК) (25135).</w:t>
      </w:r>
    </w:p>
    <w:p w14:paraId="48B96885" w14:textId="77777777" w:rsidR="00CD28F6" w:rsidRPr="00405303" w:rsidRDefault="00CD28F6" w:rsidP="00CD28F6">
      <w:pPr>
        <w:jc w:val="both"/>
        <w:rPr>
          <w:color w:val="0070C0"/>
          <w:sz w:val="16"/>
          <w:szCs w:val="16"/>
        </w:rPr>
      </w:pPr>
    </w:p>
    <w:p w14:paraId="2C2E01F0" w14:textId="77777777" w:rsidR="00E136C6" w:rsidRPr="00405303" w:rsidRDefault="00E136C6" w:rsidP="00C15251">
      <w:pPr>
        <w:shd w:val="clear" w:color="auto" w:fill="FFFFFF"/>
        <w:jc w:val="both"/>
        <w:rPr>
          <w:bCs/>
          <w:color w:val="002060"/>
          <w:sz w:val="16"/>
          <w:szCs w:val="16"/>
        </w:rPr>
      </w:pPr>
      <w:r w:rsidRPr="00405303">
        <w:rPr>
          <w:bCs/>
          <w:color w:val="002060"/>
          <w:sz w:val="16"/>
          <w:szCs w:val="16"/>
        </w:rPr>
        <w:t>25 мая (7 июня) 1915 г летчик Ново-Георгиевского крепостного авиаотряда подпоручик Константин Константинович Вакуловский, заметив на Висле шесть неприятельских пароходов с баржами, сбросил на них три бомбы, а потом, снизившись, сбросил в упор еще четыре, из которых двумя потопил одну баржку, а одна взорвалась на пароходе ("Техника воздухоплавания". 1915, №5).</w:t>
      </w:r>
    </w:p>
    <w:p w14:paraId="7C0D29D4" w14:textId="77777777" w:rsidR="00E136C6" w:rsidRPr="00405303" w:rsidRDefault="00E136C6" w:rsidP="00C15251">
      <w:pPr>
        <w:shd w:val="clear" w:color="auto" w:fill="FFFFFF"/>
        <w:jc w:val="both"/>
        <w:rPr>
          <w:bCs/>
          <w:color w:val="002060"/>
          <w:sz w:val="16"/>
          <w:szCs w:val="16"/>
        </w:rPr>
      </w:pPr>
    </w:p>
    <w:p w14:paraId="64DF18A8" w14:textId="77777777" w:rsidR="00E05705" w:rsidRPr="00405303" w:rsidRDefault="00E05705" w:rsidP="00C15251">
      <w:pPr>
        <w:jc w:val="both"/>
        <w:rPr>
          <w:bCs/>
          <w:color w:val="002060"/>
          <w:sz w:val="16"/>
          <w:szCs w:val="16"/>
        </w:rPr>
      </w:pPr>
      <w:r w:rsidRPr="00405303">
        <w:rPr>
          <w:bCs/>
          <w:color w:val="002060"/>
          <w:sz w:val="16"/>
          <w:szCs w:val="16"/>
        </w:rPr>
        <w:t>25 мая (7 июня) 1915 г. летчик Ново-георгиевского крепостного авиаотряда подпору</w:t>
      </w:r>
      <w:r w:rsidRPr="00405303">
        <w:rPr>
          <w:bCs/>
          <w:color w:val="002060"/>
          <w:sz w:val="16"/>
          <w:szCs w:val="16"/>
        </w:rPr>
        <w:softHyphen/>
        <w:t>чик Константин Константинович Вакуловский, заметив на Висле шесть неприятельских пароходов с баржами, сбросил на них три бомбы, а по</w:t>
      </w:r>
      <w:r w:rsidRPr="00405303">
        <w:rPr>
          <w:bCs/>
          <w:color w:val="002060"/>
          <w:sz w:val="16"/>
          <w:szCs w:val="16"/>
        </w:rPr>
        <w:softHyphen/>
        <w:t>том, снизившись, сбросил в упор еще четыре, из коих двумя потопил одну баржу, а одна взорвалась на пароходе.</w:t>
      </w:r>
    </w:p>
    <w:p w14:paraId="5DC1D3EC" w14:textId="77777777" w:rsidR="00E05705" w:rsidRPr="00405303" w:rsidRDefault="00E05705" w:rsidP="00C15251">
      <w:pPr>
        <w:jc w:val="both"/>
        <w:rPr>
          <w:bCs/>
          <w:color w:val="002060"/>
          <w:sz w:val="16"/>
          <w:szCs w:val="16"/>
        </w:rPr>
      </w:pPr>
      <w:r w:rsidRPr="00405303">
        <w:rPr>
          <w:bCs/>
          <w:color w:val="002060"/>
          <w:sz w:val="16"/>
          <w:szCs w:val="16"/>
        </w:rPr>
        <w:t>/"Новое время" за 1915; "Техника воздухоплавания", 1915 № 5/ (23320).</w:t>
      </w:r>
    </w:p>
    <w:p w14:paraId="6FEBFE57" w14:textId="77777777" w:rsidR="00E05705" w:rsidRPr="00405303" w:rsidRDefault="00E05705" w:rsidP="00C15251">
      <w:pPr>
        <w:jc w:val="both"/>
        <w:rPr>
          <w:bCs/>
          <w:color w:val="002060"/>
          <w:sz w:val="16"/>
          <w:szCs w:val="16"/>
        </w:rPr>
      </w:pPr>
    </w:p>
    <w:p w14:paraId="200A9B76" w14:textId="77777777" w:rsidR="00E136C6" w:rsidRPr="00405303" w:rsidRDefault="00E136C6" w:rsidP="00C15251">
      <w:pPr>
        <w:shd w:val="clear" w:color="auto" w:fill="FFFFFF"/>
        <w:jc w:val="both"/>
        <w:rPr>
          <w:bCs/>
          <w:i/>
          <w:color w:val="002060"/>
          <w:sz w:val="16"/>
          <w:szCs w:val="16"/>
        </w:rPr>
      </w:pPr>
      <w:r w:rsidRPr="00405303">
        <w:rPr>
          <w:bCs/>
          <w:i/>
          <w:color w:val="002060"/>
          <w:sz w:val="16"/>
          <w:szCs w:val="16"/>
        </w:rPr>
        <w:t>Авиация и воздухоплавание Англии:</w:t>
      </w:r>
    </w:p>
    <w:p w14:paraId="51FAB1A4" w14:textId="77777777" w:rsidR="00E136C6" w:rsidRPr="00405303" w:rsidRDefault="00E136C6" w:rsidP="00C15251">
      <w:pPr>
        <w:shd w:val="clear" w:color="auto" w:fill="FFFFFF"/>
        <w:jc w:val="both"/>
        <w:rPr>
          <w:bCs/>
          <w:i/>
          <w:color w:val="002060"/>
          <w:sz w:val="16"/>
          <w:szCs w:val="16"/>
        </w:rPr>
      </w:pPr>
    </w:p>
    <w:p w14:paraId="197DCE20" w14:textId="77777777" w:rsidR="00E136C6" w:rsidRPr="00405303" w:rsidRDefault="00E136C6" w:rsidP="00C15251">
      <w:pPr>
        <w:jc w:val="both"/>
        <w:rPr>
          <w:bCs/>
          <w:color w:val="002060"/>
          <w:sz w:val="16"/>
          <w:szCs w:val="16"/>
        </w:rPr>
      </w:pPr>
      <w:r w:rsidRPr="00405303">
        <w:rPr>
          <w:bCs/>
          <w:color w:val="002060"/>
          <w:sz w:val="16"/>
          <w:szCs w:val="16"/>
        </w:rPr>
        <w:t xml:space="preserve">25 мая (7 июня) 1915 г. англичане отыгрались. В этот день LZ-37 возвращался домой после неудачного рейда к южным берегам Англии. На свою беду дирижабль наткнулся на самолет «Моран-Сольнье тип L», который вылетел на бомбардировку базы цеппелинов в Беркаме. Английский пилот был приятно удивлен этой встречей и, недолго думая, атаковал воздушный корабль. Это был первый в истории воздушный бой самолета с цеппелином. Стрелок цеппелина оказался новичком и, ведя огонь с дальней дистанции, вскоре оказался без боезапаса. Англичанин, до этого момента барражируя на безопасном расстоянии, набрал высоту и спикировал на беззащитный LZ-37. Шесть девятикилограммовых бомб точно легли на хребет корпуса цеппелина... Горящие обломки корабля упали на женский монастырь вблизи бельгийского города Гент, убив при этом трех монашек. Из всего экипажа уцелел только один человек, который, падая, пробил крышу одной из кельи и угодил прямо на... кровать, на которой отдыхала монашка! </w:t>
      </w:r>
    </w:p>
    <w:p w14:paraId="0A596A89" w14:textId="77777777" w:rsidR="00E136C6" w:rsidRPr="00405303" w:rsidRDefault="00E136C6" w:rsidP="00C15251">
      <w:pPr>
        <w:jc w:val="both"/>
        <w:rPr>
          <w:bCs/>
          <w:color w:val="002060"/>
          <w:sz w:val="16"/>
          <w:szCs w:val="16"/>
        </w:rPr>
      </w:pPr>
      <w:r w:rsidRPr="00405303">
        <w:rPr>
          <w:bCs/>
          <w:color w:val="002060"/>
          <w:sz w:val="16"/>
          <w:szCs w:val="16"/>
        </w:rPr>
        <w:t xml:space="preserve">Героем воздушного боя стал кандидат в лейтенанты Реджинальд Уорнефорд. За эту победу пилот был награжден высшими наградами Великобритании и Франции. Судьба летчика не была к нему благосклонна — всего через неделю он погиб, облетывая новый самолет. </w:t>
      </w:r>
    </w:p>
    <w:p w14:paraId="2358B322" w14:textId="77777777" w:rsidR="00E136C6" w:rsidRPr="00405303" w:rsidRDefault="00E136C6" w:rsidP="00C15251">
      <w:pPr>
        <w:jc w:val="both"/>
        <w:rPr>
          <w:bCs/>
          <w:color w:val="002060"/>
          <w:sz w:val="16"/>
          <w:szCs w:val="16"/>
        </w:rPr>
      </w:pPr>
      <w:r w:rsidRPr="00405303">
        <w:rPr>
          <w:bCs/>
          <w:color w:val="002060"/>
          <w:sz w:val="16"/>
          <w:szCs w:val="16"/>
        </w:rPr>
        <w:t>Полет до Южной Англии и обратно продолжался от 20 до 26 часов, в основном при неблагоприятных погодных условиях. Немцы построили в оккупированной Бельгии воздухоплавательные базы, но из-за постоянных атак британской авиации не могли в полной мере их использовать, что в конце концов привело к перемещению баз на более дальнее расстояние от британских аэродромов. Морские дирижабли преимущественно базировались на побережье Северного моря (11342).</w:t>
      </w:r>
    </w:p>
    <w:p w14:paraId="1CDCDD05" w14:textId="77777777" w:rsidR="00E136C6" w:rsidRPr="00405303" w:rsidRDefault="00E136C6" w:rsidP="00C15251">
      <w:pPr>
        <w:jc w:val="both"/>
        <w:rPr>
          <w:bCs/>
          <w:i/>
          <w:color w:val="002060"/>
          <w:sz w:val="16"/>
          <w:szCs w:val="16"/>
        </w:rPr>
      </w:pPr>
    </w:p>
    <w:p w14:paraId="6017CF19" w14:textId="77777777" w:rsidR="00E136C6" w:rsidRPr="00405303" w:rsidRDefault="00E136C6" w:rsidP="00C15251">
      <w:pPr>
        <w:jc w:val="both"/>
        <w:rPr>
          <w:bCs/>
          <w:color w:val="002060"/>
          <w:sz w:val="16"/>
          <w:szCs w:val="16"/>
        </w:rPr>
      </w:pPr>
      <w:r w:rsidRPr="00405303">
        <w:rPr>
          <w:bCs/>
          <w:color w:val="002060"/>
          <w:sz w:val="16"/>
          <w:szCs w:val="16"/>
        </w:rPr>
        <w:t>25 мая (7 июня) 1915 г. британские аэропланы вызвали пожар в германском ангаре цеппелинов к северу от Брюсселя, и в тот же день британскому авиатору удалось взорвать немецкий цеппелин между Гентом и Брюсселем на огромной высоте в 1800 м. 3 июня 30 французских аэропланов бомбардировали главную квартиру гермайского кронпринца, сбросив около 180 снарядов и 1000 стрел, нанесших неприятелю значительный вред. Французские аппараты подверглись сильному обстрелу, но возвратились без повреждений. 8 июня погиб итальянский дирижабль, бросавший бомбы над Фиуме. 9 июня некоторые пункты итальянского побережья, в том числе Венеция, подверглись набегу австрийских аэропланов, был убит один человек и ранено несколько" (11999).</w:t>
      </w:r>
    </w:p>
    <w:p w14:paraId="0C70DA76" w14:textId="77777777" w:rsidR="00E136C6" w:rsidRPr="00405303" w:rsidRDefault="00E136C6" w:rsidP="00C15251">
      <w:pPr>
        <w:jc w:val="both"/>
        <w:rPr>
          <w:bCs/>
          <w:color w:val="002060"/>
          <w:sz w:val="16"/>
          <w:szCs w:val="16"/>
        </w:rPr>
      </w:pPr>
    </w:p>
    <w:p w14:paraId="570A5E8C" w14:textId="77777777" w:rsidR="00E136C6" w:rsidRPr="00405303" w:rsidRDefault="00E136C6" w:rsidP="00C15251">
      <w:pPr>
        <w:jc w:val="both"/>
        <w:rPr>
          <w:bCs/>
          <w:color w:val="002060"/>
          <w:sz w:val="16"/>
          <w:szCs w:val="16"/>
        </w:rPr>
      </w:pPr>
      <w:r w:rsidRPr="00405303">
        <w:rPr>
          <w:bCs/>
          <w:color w:val="002060"/>
          <w:sz w:val="16"/>
          <w:szCs w:val="16"/>
        </w:rPr>
        <w:t>25 мая (7 июня) 1915 года биплан «Фарман» с военно-морской базы в Дюнкерке уничтожил эллинг вместе с находящимся там LZ-38 на аэродроме в Брюсселе. [156] В тот же день произошел первый в истории воздушный бой самолета с цеппелином. LZ-37 был атакован младшим лейтенантом Уорнефордом. Британский летчик смог поднять свой «Моран-Солнье LA» над цеппелином и сбросить на воздушный корабль все шесть девятикилограммовых бомб. Объятый пламенем LZ-37 рухнул на землю вблизи бельгийского города Гент. Заслуга летчика была отмечена высшим орденом Британской империи — Крестом победы (11234).</w:t>
      </w:r>
    </w:p>
    <w:p w14:paraId="43D9F3F4" w14:textId="77777777" w:rsidR="00E136C6" w:rsidRPr="00405303" w:rsidRDefault="00E136C6" w:rsidP="00C15251">
      <w:pPr>
        <w:shd w:val="clear" w:color="auto" w:fill="FFFFFF"/>
        <w:jc w:val="both"/>
        <w:rPr>
          <w:bCs/>
          <w:i/>
          <w:color w:val="002060"/>
          <w:sz w:val="16"/>
          <w:szCs w:val="16"/>
        </w:rPr>
      </w:pPr>
    </w:p>
    <w:p w14:paraId="064BB86F" w14:textId="6BAD1479" w:rsidR="00D340DA" w:rsidRPr="00405303" w:rsidRDefault="00D340DA" w:rsidP="00C15251">
      <w:pPr>
        <w:jc w:val="both"/>
        <w:rPr>
          <w:bCs/>
          <w:i/>
          <w:color w:val="002060"/>
          <w:sz w:val="16"/>
          <w:szCs w:val="16"/>
        </w:rPr>
      </w:pPr>
      <w:r w:rsidRPr="00405303">
        <w:rPr>
          <w:bCs/>
          <w:i/>
          <w:color w:val="002060"/>
          <w:sz w:val="16"/>
          <w:szCs w:val="16"/>
        </w:rPr>
        <w:t>Авиация и воздухоплавание Германии:</w:t>
      </w:r>
    </w:p>
    <w:p w14:paraId="21EF40AF" w14:textId="77777777" w:rsidR="00D340DA" w:rsidRPr="00405303" w:rsidRDefault="00D340DA" w:rsidP="00C15251">
      <w:pPr>
        <w:jc w:val="both"/>
        <w:rPr>
          <w:bCs/>
          <w:i/>
          <w:color w:val="002060"/>
          <w:sz w:val="16"/>
          <w:szCs w:val="16"/>
        </w:rPr>
      </w:pPr>
    </w:p>
    <w:p w14:paraId="7291428D" w14:textId="50119659" w:rsidR="00D340DA" w:rsidRPr="00405303" w:rsidRDefault="00D340DA" w:rsidP="00C15251">
      <w:pPr>
        <w:jc w:val="both"/>
        <w:rPr>
          <w:bCs/>
          <w:color w:val="002060"/>
          <w:sz w:val="16"/>
          <w:szCs w:val="16"/>
        </w:rPr>
      </w:pPr>
      <w:r w:rsidRPr="00405303">
        <w:rPr>
          <w:bCs/>
          <w:color w:val="002060"/>
          <w:sz w:val="16"/>
          <w:szCs w:val="16"/>
        </w:rPr>
        <w:t>2</w:t>
      </w:r>
      <w:r w:rsidR="00556D98" w:rsidRPr="00405303">
        <w:rPr>
          <w:bCs/>
          <w:color w:val="002060"/>
          <w:sz w:val="16"/>
          <w:szCs w:val="16"/>
        </w:rPr>
        <w:t>5</w:t>
      </w:r>
      <w:r w:rsidRPr="00405303">
        <w:rPr>
          <w:bCs/>
          <w:color w:val="002060"/>
          <w:sz w:val="16"/>
          <w:szCs w:val="16"/>
        </w:rPr>
        <w:t xml:space="preserve"> мая (7 июня) в 1915 году цеппелин </w:t>
      </w:r>
      <w:hyperlink r:id="rId36" w:tgtFrame="_blank" w:history="1">
        <w:r w:rsidRPr="00405303">
          <w:rPr>
            <w:bCs/>
            <w:color w:val="002060"/>
            <w:sz w:val="16"/>
            <w:szCs w:val="16"/>
          </w:rPr>
          <w:t xml:space="preserve">«LZ-37» совместно с цеппелинами «LZ-382 и «LZ-39» </w:t>
        </w:r>
      </w:hyperlink>
      <w:r w:rsidRPr="00405303">
        <w:rPr>
          <w:bCs/>
          <w:color w:val="002060"/>
          <w:sz w:val="16"/>
          <w:szCs w:val="16"/>
        </w:rPr>
        <w:t>отправился из Брюгге на бомбардировку Лондона, но плохие метеоусловия вынудили их изменить курс и направиться на запасную цель - железнодорожный узел в районе Кале. «LZ-37» был обнаружен и атакован летчиком-истребителем младшим лейтенантом Р.А.Дж.Варнфордом из 1-ой эскадрильи морской авиации Великобритании, который взлетел из Люнкерка на аэроплане «Моран-Сольнье» «тип L». Вся огневая мощь Варнфорда заключалась в шести 9-килограммовых бомбах. Он следовал за цеппелином от Остенде до Гента, удерживаемый на расстоянии пулеметным огнем с дирижабля, и сделал один-единственный заход на цель: пройдя выше цеппелина метров на 45, пилот сбросил все шесть бомб. Последняя взорвалась, и объятый пламенем дирижабль упал на пригород Гента, убив при этом двух монахинь. Из всего экипажа обер-лейтенента Отто ван де Хагена в живых остался только один человек. Варнфорд благополучно вернулся на базу, совершив вынужденную посадку для ремонта лопнувшего бензопровода. Следующим вечером он получил известие о награждении крестом Виктории. Это был первый дирижабль, сбитый в воздушном бою. Р.Варнфорд погиб спустя 12 дней, когда у биплана конструкции Анри Фармана, на котором он выполнял полет, отвалился хвост (14915).</w:t>
      </w:r>
    </w:p>
    <w:p w14:paraId="49B31847" w14:textId="77777777" w:rsidR="00D340DA" w:rsidRPr="00405303" w:rsidRDefault="00D340DA" w:rsidP="00C15251">
      <w:pPr>
        <w:jc w:val="both"/>
        <w:rPr>
          <w:bCs/>
          <w:color w:val="002060"/>
          <w:sz w:val="16"/>
          <w:szCs w:val="16"/>
        </w:rPr>
      </w:pPr>
    </w:p>
    <w:p w14:paraId="4BC930A5" w14:textId="77777777" w:rsidR="00D340DA" w:rsidRPr="00405303" w:rsidRDefault="00D340DA" w:rsidP="00C15251">
      <w:pPr>
        <w:jc w:val="both"/>
        <w:rPr>
          <w:bCs/>
          <w:color w:val="002060"/>
          <w:sz w:val="16"/>
          <w:szCs w:val="16"/>
        </w:rPr>
      </w:pPr>
      <w:r w:rsidRPr="00405303">
        <w:rPr>
          <w:bCs/>
          <w:color w:val="002060"/>
          <w:sz w:val="16"/>
          <w:szCs w:val="16"/>
        </w:rPr>
        <w:lastRenderedPageBreak/>
        <w:t xml:space="preserve">25 мая (7 июня) 1915 - в ночь Германия попыталась произвести комбинированную атаку на британские морские и воздушные силы. Три цеппелина поднялись с аэродрома, базировавшегося </w:t>
      </w:r>
      <w:proofErr w:type="gramStart"/>
      <w:r w:rsidRPr="00405303">
        <w:rPr>
          <w:bCs/>
          <w:color w:val="002060"/>
          <w:sz w:val="16"/>
          <w:szCs w:val="16"/>
        </w:rPr>
        <w:t>в оккупированной Бельгии</w:t>
      </w:r>
      <w:proofErr w:type="gramEnd"/>
      <w:r w:rsidRPr="00405303">
        <w:rPr>
          <w:bCs/>
          <w:color w:val="002060"/>
          <w:sz w:val="16"/>
          <w:szCs w:val="16"/>
        </w:rPr>
        <w:t xml:space="preserve"> и направились к Англии. Один из них L.7 по техническим причинам сразу же совершил посадку. Два остальных пересекли Северное море, но из-за густого тумана были вынуждены повернуть обратно еще </w:t>
      </w:r>
      <w:proofErr w:type="gramStart"/>
      <w:r w:rsidRPr="00405303">
        <w:rPr>
          <w:bCs/>
          <w:color w:val="002060"/>
          <w:sz w:val="16"/>
          <w:szCs w:val="16"/>
        </w:rPr>
        <w:t>до того как</w:t>
      </w:r>
      <w:proofErr w:type="gramEnd"/>
      <w:r w:rsidRPr="00405303">
        <w:rPr>
          <w:bCs/>
          <w:color w:val="002060"/>
          <w:sz w:val="16"/>
          <w:szCs w:val="16"/>
        </w:rPr>
        <w:t xml:space="preserve"> добрались до Восточного побережья. Один из них - LZ-38 - был обнаружен британским пилотом, летавшим на "Фармане" MF-7. От взрывов бомб дирижабль </w:t>
      </w:r>
      <w:proofErr w:type="gramStart"/>
      <w:r w:rsidRPr="00405303">
        <w:rPr>
          <w:bCs/>
          <w:color w:val="002060"/>
          <w:sz w:val="16"/>
          <w:szCs w:val="16"/>
        </w:rPr>
        <w:t>снесло</w:t>
      </w:r>
      <w:proofErr w:type="gramEnd"/>
      <w:r w:rsidRPr="00405303">
        <w:rPr>
          <w:bCs/>
          <w:color w:val="002060"/>
          <w:sz w:val="16"/>
          <w:szCs w:val="16"/>
        </w:rPr>
        <w:t xml:space="preserve"> и он совершил вынужденную посадку в районе Брюсселя. Другой - LZ-37 - был обнаружен около Гента молодым английским пилотом младшим лейтенантом Рексом Варнефордом, которому удалось на самолете "Моран- Солнье" LA, несмотря на интенсивный огонь с цеппелина, зайти сверху и сбросить три килограммовые бомбы, последняя из которых разрушила цеппелин. 9 из 10 человек команды погибли сразу. Десятый - Альфред Мюллер выжил, оказавшись в гондоле цеппелина, которая рухнула на крышу собора Св. Елизаветы в Генте. Мюллера отшвырнуло метров на 30. Собор загорелся. Погибли 2 монаха. Силой взорвавшегося цеппелина самолет Варнефорда стало крутить так, что мотор заглох. Кое-как пилот дотянул до поля за Гентом и сел, поломав бензопровод. В баках оставалось еще немного бензина. Молодой летчик находился в 30-ти минутах ходьбы от германских позиций, и стал поспешно чинить бензопровод, надеясь взлететь. Через несколько минут вдали появилась немецкая кавалерия, явно направлявшаяся к его самолету. Однако молодому англичанину удалось взлететь прямо у них перед носом. Варнефорд перед взлетом успел крикнуть: "Привет кайзеру!"* За этот подвиг Варнефорд был награжден орденом Почетного легиона (11999).</w:t>
      </w:r>
    </w:p>
    <w:p w14:paraId="005BF7F2" w14:textId="77777777" w:rsidR="00D340DA" w:rsidRPr="00405303" w:rsidRDefault="00D340DA" w:rsidP="00C15251">
      <w:pPr>
        <w:jc w:val="both"/>
        <w:rPr>
          <w:bCs/>
          <w:color w:val="002060"/>
          <w:sz w:val="16"/>
          <w:szCs w:val="16"/>
        </w:rPr>
      </w:pPr>
    </w:p>
    <w:p w14:paraId="467BCBB5" w14:textId="77777777" w:rsidR="00A824EE" w:rsidRPr="00405303" w:rsidRDefault="00A824EE" w:rsidP="00C15251">
      <w:pPr>
        <w:jc w:val="both"/>
        <w:rPr>
          <w:bCs/>
          <w:color w:val="002060"/>
          <w:sz w:val="16"/>
          <w:szCs w:val="16"/>
        </w:rPr>
      </w:pPr>
      <w:r w:rsidRPr="00405303">
        <w:rPr>
          <w:bCs/>
          <w:color w:val="002060"/>
          <w:sz w:val="16"/>
          <w:szCs w:val="16"/>
        </w:rPr>
        <w:t>25 мая (7 июня) 1915 немецкий армейский Цеппелин LZ 37 становится первым дирижаблем, который разрушен в воздухе в бою, когда Flight Мичман Реджинальд Уорнефорд из Службы Royal Naval Air ' s 1 эскадрильи на Morane-Сольнье L разрушает его бомбардировкой с воздуха над Гентом, Бельгия. LZ 37 разбился в Синт-Амандсберге, Бельгия, в результате чего погиб один человек на земле и все члены экипажа, кроме одного. В течение 36 часов Уорнефорд становится вторым пилотом Содружества после Уильяма Родса-Мурхауса, который двумя месяцами ранее получил Крест Виктории (20338).</w:t>
      </w:r>
    </w:p>
    <w:p w14:paraId="1642BB25" w14:textId="77777777" w:rsidR="00A824EE" w:rsidRPr="00405303" w:rsidRDefault="00A824EE" w:rsidP="00C15251">
      <w:pPr>
        <w:jc w:val="both"/>
        <w:rPr>
          <w:bCs/>
          <w:color w:val="002060"/>
          <w:sz w:val="16"/>
          <w:szCs w:val="16"/>
        </w:rPr>
      </w:pPr>
    </w:p>
    <w:p w14:paraId="19122C7F" w14:textId="63A4C2A0" w:rsidR="00A824EE" w:rsidRPr="00405303" w:rsidRDefault="00A824EE" w:rsidP="00C15251">
      <w:pPr>
        <w:jc w:val="both"/>
        <w:rPr>
          <w:bCs/>
          <w:color w:val="002060"/>
          <w:sz w:val="16"/>
          <w:szCs w:val="16"/>
        </w:rPr>
      </w:pPr>
      <w:r w:rsidRPr="00405303">
        <w:rPr>
          <w:bCs/>
          <w:color w:val="002060"/>
          <w:sz w:val="16"/>
          <w:szCs w:val="16"/>
        </w:rPr>
        <w:t>25 мая (7 июня) 1915</w:t>
      </w:r>
      <w:r w:rsidR="00DB4D64" w:rsidRPr="00405303">
        <w:rPr>
          <w:bCs/>
          <w:color w:val="002060"/>
          <w:sz w:val="16"/>
          <w:szCs w:val="16"/>
        </w:rPr>
        <w:t xml:space="preserve"> </w:t>
      </w:r>
      <w:r w:rsidR="007F1D4A" w:rsidRPr="00405303">
        <w:rPr>
          <w:bCs/>
          <w:color w:val="002060"/>
          <w:sz w:val="16"/>
          <w:szCs w:val="16"/>
        </w:rPr>
        <w:t>ц</w:t>
      </w:r>
      <w:r w:rsidRPr="00405303">
        <w:rPr>
          <w:bCs/>
          <w:color w:val="002060"/>
          <w:sz w:val="16"/>
          <w:szCs w:val="16"/>
        </w:rPr>
        <w:t>еппелин LZ-37 совместно с цеппелинами LZ-38 и LZ-39 отправился из Брюгге на бомбардировку Лондона, но плохие метеоусловия вынудили их изменить курс и направиться на запасную цель - железнодорожный узел в районе Кале. LZ-37 был обнаружен и атакован летчиком-истребителем младшим лейтенантом Р.А.Дж.Варнфордом из 1-ой эскадрильи морской авиации Великобритании, который взлетел из Люнкерка на аэроплане "Моран-Сольнье" тип L. Вся огневая мощь Варнфорда заключалась в шести 9-килограммовых бомбах. Он следовал за цеппелином от Остенде до Гента, удерживаемый на расстоянии пулеметным огнем с дирижабля, и сделал один-единственный заход на цель: пройдя выше цеппелина метров на 45, пилот сбросил все шесть бомб. Последняя взорвалась, и объятый пламенем дирижабль упал на пригород Гента, убив при этом двух монахинь. Из всего экипажа обер-лейтенента Отто ван де Хагена в живых остался только один человек. Варнфорд благополучно вернулся на базу, совершив вынужденную посадку для ремонта лопнувшего бензопровода. Следующим вечером он получил известие о награждении крестом Виктории. Это был первый дирижабль, сбитый в воздушном бою. Р.Варнфорд погиб спустя 12 дней, когда у биплана конструкции Анри Фармана, на котором он выполнял полет, отвалился хвост (22468).</w:t>
      </w:r>
    </w:p>
    <w:p w14:paraId="6941C47F" w14:textId="77777777" w:rsidR="00A824EE" w:rsidRPr="00405303" w:rsidRDefault="00A824EE" w:rsidP="00C15251">
      <w:pPr>
        <w:jc w:val="both"/>
        <w:rPr>
          <w:bCs/>
          <w:color w:val="002060"/>
          <w:sz w:val="16"/>
          <w:szCs w:val="16"/>
        </w:rPr>
      </w:pPr>
    </w:p>
    <w:p w14:paraId="6343B5C2"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за рубежом:</w:t>
      </w:r>
    </w:p>
    <w:p w14:paraId="37A0D22F" w14:textId="77777777" w:rsidR="004B4E35" w:rsidRPr="00405303" w:rsidRDefault="004B4E35" w:rsidP="00C15251">
      <w:pPr>
        <w:shd w:val="clear" w:color="auto" w:fill="FFFFFF"/>
        <w:jc w:val="both"/>
        <w:rPr>
          <w:bCs/>
          <w:i/>
          <w:color w:val="002060"/>
          <w:sz w:val="16"/>
          <w:szCs w:val="16"/>
        </w:rPr>
      </w:pPr>
    </w:p>
    <w:p w14:paraId="24F474F4" w14:textId="038ACAC9" w:rsidR="004B4E35" w:rsidRPr="00405303" w:rsidRDefault="009E6F82" w:rsidP="00C15251">
      <w:pPr>
        <w:jc w:val="both"/>
        <w:rPr>
          <w:bCs/>
          <w:color w:val="002060"/>
          <w:sz w:val="16"/>
          <w:szCs w:val="16"/>
        </w:rPr>
      </w:pPr>
      <w:r w:rsidRPr="00405303">
        <w:rPr>
          <w:bCs/>
          <w:color w:val="002060"/>
          <w:sz w:val="16"/>
          <w:szCs w:val="16"/>
        </w:rPr>
        <w:t xml:space="preserve">25 мая (7 июня) 1915 года в 23.00 </w:t>
      </w:r>
      <w:r w:rsidR="007F1D4A" w:rsidRPr="00405303">
        <w:rPr>
          <w:bCs/>
          <w:color w:val="002060"/>
          <w:sz w:val="16"/>
          <w:szCs w:val="16"/>
        </w:rPr>
        <w:t xml:space="preserve">итальянский дирижабль </w:t>
      </w:r>
      <w:r w:rsidRPr="00405303">
        <w:rPr>
          <w:bCs/>
          <w:color w:val="002060"/>
          <w:sz w:val="16"/>
          <w:szCs w:val="16"/>
        </w:rPr>
        <w:t xml:space="preserve">«Читта ди Феррара» вылетел из Ези на бомбардировку Фиуме. На рассвете, находясь над городом на высоте 1000 м, он сбросил часть своих бомб на завод «Уайтхед», который производил торпеды, и уничтожил несколько производственных зданий. Затем дирижабль направился в сторону верфи «Данюбиус», но в этот момент разрушилась носовая часть его корпуса. Корабль совершил вынужденную посадку вблизи Люссэна. Из Пулы поднялся гидросамолет и атаковал пулеметным огнем беспомощный дирижабль, однако водород не загорелся. После нескольких бесплодных атак гидросамолет стал [350] обстреливать корабль с помощью сигнальных ракет, и одна из них сделала свое черное дело — дирижабль вспыхнул и взорвался. Обломки «Читта ди Феррара» подобрали 2 эсминца, вышедшие из Пулы. </w:t>
      </w:r>
    </w:p>
    <w:p w14:paraId="5137754E" w14:textId="77777777" w:rsidR="004B4E35" w:rsidRPr="00405303" w:rsidRDefault="009E6F82" w:rsidP="00C15251">
      <w:pPr>
        <w:jc w:val="both"/>
        <w:rPr>
          <w:bCs/>
          <w:color w:val="002060"/>
          <w:sz w:val="16"/>
          <w:szCs w:val="16"/>
        </w:rPr>
      </w:pPr>
      <w:r w:rsidRPr="00405303">
        <w:rPr>
          <w:bCs/>
          <w:color w:val="002060"/>
          <w:sz w:val="16"/>
          <w:szCs w:val="16"/>
        </w:rPr>
        <w:t>Дирижабль «Читта ди Ези» стал работать только по ночам, но это продолжалось недолго. Спустя месяц он был сбит артиллерийским огнем береговых батарей Пулы (11324).</w:t>
      </w:r>
    </w:p>
    <w:p w14:paraId="579C01CF" w14:textId="77777777" w:rsidR="004B4E35" w:rsidRPr="00405303" w:rsidRDefault="004B4E35" w:rsidP="00C15251">
      <w:pPr>
        <w:shd w:val="clear" w:color="auto" w:fill="FFFFFF"/>
        <w:jc w:val="both"/>
        <w:rPr>
          <w:bCs/>
          <w:i/>
          <w:color w:val="002060"/>
          <w:sz w:val="16"/>
          <w:szCs w:val="16"/>
        </w:rPr>
      </w:pPr>
    </w:p>
    <w:p w14:paraId="16FE3F30"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32CAD7E0" w14:textId="77777777" w:rsidR="004B4E35" w:rsidRPr="00405303" w:rsidRDefault="004B4E35" w:rsidP="00C15251">
      <w:pPr>
        <w:jc w:val="both"/>
        <w:rPr>
          <w:bCs/>
          <w:i/>
          <w:color w:val="002060"/>
          <w:sz w:val="16"/>
          <w:szCs w:val="16"/>
        </w:rPr>
      </w:pPr>
    </w:p>
    <w:p w14:paraId="2AC87223" w14:textId="37E6CD8D"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26 мая (8 июня) 1915 </w:t>
      </w:r>
      <w:r w:rsidR="007F1D4A" w:rsidRPr="00405303">
        <w:rPr>
          <w:bCs/>
          <w:color w:val="002060"/>
          <w:sz w:val="16"/>
          <w:szCs w:val="16"/>
        </w:rPr>
        <w:t>г. докладе, полученном начальником Авиации Черноморского флота И. И. Стаховским, который надеялся на быс</w:t>
      </w:r>
      <w:r w:rsidR="007F1D4A" w:rsidRPr="00405303">
        <w:rPr>
          <w:bCs/>
          <w:color w:val="002060"/>
          <w:sz w:val="16"/>
          <w:szCs w:val="16"/>
        </w:rPr>
        <w:softHyphen/>
        <w:t xml:space="preserve">трое развитие событий, </w:t>
      </w:r>
      <w:r w:rsidRPr="00405303">
        <w:rPr>
          <w:bCs/>
          <w:color w:val="002060"/>
          <w:sz w:val="16"/>
          <w:szCs w:val="16"/>
        </w:rPr>
        <w:t>сообщалось:</w:t>
      </w:r>
    </w:p>
    <w:p w14:paraId="66CF604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«&lt;...&gt; Щетинин к изготовлению запасных частей и старого типа лодок Кертисса еще не приступил. Он говорит, что поздно получил образцы, сейчас заканчивает чертежи и сроч</w:t>
      </w:r>
      <w:r w:rsidRPr="00405303">
        <w:rPr>
          <w:bCs/>
          <w:color w:val="002060"/>
          <w:sz w:val="16"/>
          <w:szCs w:val="16"/>
        </w:rPr>
        <w:softHyphen/>
        <w:t>но дает в работу &lt;...»&gt; (2808).</w:t>
      </w:r>
    </w:p>
    <w:p w14:paraId="3CAEAE5C" w14:textId="77777777" w:rsidR="004B4E35" w:rsidRPr="00405303" w:rsidRDefault="004B4E35" w:rsidP="00C15251">
      <w:pPr>
        <w:shd w:val="clear" w:color="auto" w:fill="FFFFFF"/>
        <w:jc w:val="both"/>
        <w:rPr>
          <w:bCs/>
          <w:color w:val="002060"/>
          <w:sz w:val="16"/>
          <w:szCs w:val="16"/>
        </w:rPr>
      </w:pPr>
    </w:p>
    <w:p w14:paraId="1463DC56"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56088BB5" w14:textId="77777777" w:rsidR="004B4E35" w:rsidRPr="00405303" w:rsidRDefault="004B4E35" w:rsidP="00C15251">
      <w:pPr>
        <w:jc w:val="both"/>
        <w:rPr>
          <w:bCs/>
          <w:i/>
          <w:color w:val="002060"/>
          <w:sz w:val="16"/>
          <w:szCs w:val="16"/>
        </w:rPr>
      </w:pPr>
    </w:p>
    <w:p w14:paraId="7B4EAA38" w14:textId="0B3D19E3" w:rsidR="004B4E35" w:rsidRPr="00405303" w:rsidRDefault="007F1D4A"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С</w:t>
      </w:r>
      <w:r w:rsidR="009E6F82" w:rsidRPr="00405303">
        <w:rPr>
          <w:bCs/>
          <w:i w:val="0"/>
          <w:color w:val="002060"/>
          <w:spacing w:val="0"/>
          <w:kern w:val="0"/>
          <w:position w:val="0"/>
          <w:sz w:val="16"/>
          <w:szCs w:val="16"/>
        </w:rPr>
        <w:t xml:space="preserve"> 26 по 28 мая (с 8 по 11 июня) 1915</w:t>
      </w:r>
      <w:r w:rsidR="009E6F82" w:rsidRPr="00405303">
        <w:rPr>
          <w:bCs/>
          <w:color w:val="002060"/>
          <w:spacing w:val="0"/>
          <w:kern w:val="0"/>
          <w:position w:val="0"/>
          <w:sz w:val="16"/>
          <w:szCs w:val="16"/>
        </w:rPr>
        <w:t xml:space="preserve"> г. </w:t>
      </w:r>
      <w:r w:rsidRPr="00405303">
        <w:rPr>
          <w:bCs/>
          <w:i w:val="0"/>
          <w:color w:val="002060"/>
          <w:spacing w:val="0"/>
          <w:kern w:val="0"/>
          <w:position w:val="0"/>
          <w:sz w:val="16"/>
          <w:szCs w:val="16"/>
        </w:rPr>
        <w:t xml:space="preserve">на 9-м очередном съезде представителей промышленности и торговли </w:t>
      </w:r>
      <w:r w:rsidR="009E6F82" w:rsidRPr="00405303">
        <w:rPr>
          <w:bCs/>
          <w:i w:val="0"/>
          <w:color w:val="002060"/>
          <w:spacing w:val="0"/>
          <w:kern w:val="0"/>
          <w:position w:val="0"/>
          <w:sz w:val="16"/>
          <w:szCs w:val="16"/>
        </w:rPr>
        <w:t xml:space="preserve">в Петрограде </w:t>
      </w:r>
      <w:r w:rsidRPr="00405303">
        <w:rPr>
          <w:bCs/>
          <w:i w:val="0"/>
          <w:color w:val="002060"/>
          <w:spacing w:val="0"/>
          <w:kern w:val="0"/>
          <w:position w:val="0"/>
          <w:sz w:val="16"/>
          <w:szCs w:val="16"/>
        </w:rPr>
        <w:t xml:space="preserve">был предложен и разработан план тесного сотрудничества правительства с частной промышленностью </w:t>
      </w:r>
      <w:r w:rsidR="009E6F82" w:rsidRPr="00405303">
        <w:rPr>
          <w:bCs/>
          <w:i w:val="0"/>
          <w:color w:val="002060"/>
          <w:spacing w:val="0"/>
          <w:kern w:val="0"/>
          <w:position w:val="0"/>
          <w:sz w:val="16"/>
          <w:szCs w:val="16"/>
        </w:rPr>
        <w:t>и по предложению Рябушкинского было решено создать общероссийскую общественную организацию буржуазии. По замыслу учредителей созданная организация должна была «прийти на помощь правительству в столь важном деле обеспечения армии всем необходимым для верного, скорого и полного поражения врага», «взять на себя»:</w:t>
      </w:r>
    </w:p>
    <w:p w14:paraId="13E5218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1) прием работ и распределение их по соответствующим предприятиям;</w:t>
      </w:r>
    </w:p>
    <w:p w14:paraId="5844033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2) надзор за выполнением их и заботу о снабжении работающих предприятий материалами и техническими силами;</w:t>
      </w:r>
    </w:p>
    <w:p w14:paraId="443B761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3) доставку на места вырабатываемых предметов (11270).</w:t>
      </w:r>
    </w:p>
    <w:p w14:paraId="382F5EC0" w14:textId="77777777" w:rsidR="004B4E35" w:rsidRPr="00405303" w:rsidRDefault="004B4E35" w:rsidP="00C15251">
      <w:pPr>
        <w:pStyle w:val="a3"/>
        <w:jc w:val="both"/>
        <w:rPr>
          <w:bCs/>
          <w:i w:val="0"/>
          <w:color w:val="002060"/>
          <w:spacing w:val="0"/>
          <w:kern w:val="0"/>
          <w:position w:val="0"/>
          <w:sz w:val="16"/>
          <w:szCs w:val="16"/>
        </w:rPr>
      </w:pPr>
    </w:p>
    <w:p w14:paraId="4BC9FF77" w14:textId="3C31E1C8" w:rsidR="00202720" w:rsidRPr="00405303" w:rsidRDefault="00202720" w:rsidP="00C15251">
      <w:pPr>
        <w:jc w:val="both"/>
        <w:rPr>
          <w:bCs/>
          <w:i/>
          <w:color w:val="002060"/>
          <w:sz w:val="16"/>
          <w:szCs w:val="16"/>
        </w:rPr>
      </w:pPr>
      <w:r w:rsidRPr="00405303">
        <w:rPr>
          <w:bCs/>
          <w:i/>
          <w:color w:val="002060"/>
          <w:sz w:val="16"/>
          <w:szCs w:val="16"/>
        </w:rPr>
        <w:t>Авиация:</w:t>
      </w:r>
    </w:p>
    <w:p w14:paraId="69F0ECD8" w14:textId="77777777" w:rsidR="00202720" w:rsidRPr="00405303" w:rsidRDefault="00202720" w:rsidP="00C15251">
      <w:pPr>
        <w:jc w:val="both"/>
        <w:rPr>
          <w:bCs/>
          <w:i/>
          <w:color w:val="002060"/>
          <w:sz w:val="16"/>
          <w:szCs w:val="16"/>
        </w:rPr>
      </w:pPr>
    </w:p>
    <w:p w14:paraId="5ABAFECC" w14:textId="4D5FB223" w:rsidR="00202720" w:rsidRPr="00405303" w:rsidRDefault="00202720" w:rsidP="00C15251">
      <w:pPr>
        <w:jc w:val="both"/>
        <w:rPr>
          <w:bCs/>
          <w:color w:val="002060"/>
          <w:sz w:val="16"/>
          <w:szCs w:val="16"/>
        </w:rPr>
      </w:pPr>
      <w:r w:rsidRPr="00405303">
        <w:rPr>
          <w:bCs/>
          <w:color w:val="002060"/>
          <w:sz w:val="16"/>
          <w:szCs w:val="16"/>
        </w:rPr>
        <w:t>26 мая (8 июня) 1915 г. сводной авиагруппой над н/п Червонный Шар был осуществлен перехват неприятельского «Альбатроса» (15-й полевой авиаотряд). Воспользовавшись лучшими летно-техническими качествами, немецкий самолет начал отрываться от преследования. Для его уничтожения летчик 4-го Сибирского авиаотряда старший унтер-офицер Воронин предпринял несколько неудачных попыток уничтожить его таранным (касательным) ударом. Чтобы исключить столкновения в воздухе, экипаж «Альбатроса» был вынужден снизить высоту полета, попал в зону огня русской зенитной артиллерии и оказался сбитым. Этот факт признала и германская сторона, подтвердив, что в результате падения самолета были госпитализированы раненые обер-лейтенант Р Розенбаум (умер на следующий день) и лейтенант В. Витке (23405).</w:t>
      </w:r>
    </w:p>
    <w:p w14:paraId="52CDBA44" w14:textId="77777777" w:rsidR="00202720" w:rsidRPr="00405303" w:rsidRDefault="00202720" w:rsidP="00C15251">
      <w:pPr>
        <w:jc w:val="both"/>
        <w:rPr>
          <w:bCs/>
          <w:color w:val="002060"/>
          <w:sz w:val="16"/>
          <w:szCs w:val="16"/>
          <w:lang w:bidi="ru-RU"/>
        </w:rPr>
      </w:pPr>
    </w:p>
    <w:p w14:paraId="0C52BD47" w14:textId="1F5A656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за рубежом:</w:t>
      </w:r>
    </w:p>
    <w:p w14:paraId="5D33F1E2" w14:textId="77777777" w:rsidR="004B4E35" w:rsidRPr="00405303" w:rsidRDefault="004B4E35" w:rsidP="00C15251">
      <w:pPr>
        <w:jc w:val="both"/>
        <w:rPr>
          <w:bCs/>
          <w:i/>
          <w:color w:val="002060"/>
          <w:sz w:val="16"/>
          <w:szCs w:val="16"/>
        </w:rPr>
      </w:pPr>
    </w:p>
    <w:p w14:paraId="2CD34192" w14:textId="7817ADA0" w:rsidR="004B4E35" w:rsidRPr="00405303" w:rsidRDefault="009E6F82" w:rsidP="00C15251">
      <w:pPr>
        <w:jc w:val="both"/>
        <w:rPr>
          <w:bCs/>
          <w:color w:val="002060"/>
          <w:sz w:val="16"/>
          <w:szCs w:val="16"/>
        </w:rPr>
      </w:pPr>
      <w:r w:rsidRPr="00405303">
        <w:rPr>
          <w:bCs/>
          <w:color w:val="002060"/>
          <w:sz w:val="16"/>
          <w:szCs w:val="16"/>
        </w:rPr>
        <w:t xml:space="preserve">26 мая (8 июня) </w:t>
      </w:r>
      <w:r w:rsidR="00B71AE2" w:rsidRPr="00405303">
        <w:rPr>
          <w:bCs/>
          <w:color w:val="002060"/>
          <w:sz w:val="16"/>
          <w:szCs w:val="16"/>
        </w:rPr>
        <w:t xml:space="preserve">1915 г. </w:t>
      </w:r>
      <w:r w:rsidRPr="00405303">
        <w:rPr>
          <w:bCs/>
          <w:color w:val="002060"/>
          <w:sz w:val="16"/>
          <w:szCs w:val="16"/>
        </w:rPr>
        <w:t>погиб итальянский дирижабль, бросавший бомбы над Фиуме</w:t>
      </w:r>
      <w:r w:rsidR="00B71AE2" w:rsidRPr="00405303">
        <w:rPr>
          <w:bCs/>
          <w:color w:val="002060"/>
          <w:sz w:val="16"/>
          <w:szCs w:val="16"/>
        </w:rPr>
        <w:t>, а</w:t>
      </w:r>
      <w:r w:rsidRPr="00405303">
        <w:rPr>
          <w:bCs/>
          <w:color w:val="002060"/>
          <w:sz w:val="16"/>
          <w:szCs w:val="16"/>
        </w:rPr>
        <w:t xml:space="preserve"> </w:t>
      </w:r>
      <w:r w:rsidR="00B71AE2" w:rsidRPr="00405303">
        <w:rPr>
          <w:bCs/>
          <w:color w:val="002060"/>
          <w:sz w:val="16"/>
          <w:szCs w:val="16"/>
        </w:rPr>
        <w:t>27 мая (</w:t>
      </w:r>
      <w:r w:rsidRPr="00405303">
        <w:rPr>
          <w:bCs/>
          <w:color w:val="002060"/>
          <w:sz w:val="16"/>
          <w:szCs w:val="16"/>
        </w:rPr>
        <w:t>9 июня</w:t>
      </w:r>
      <w:r w:rsidR="00B71AE2" w:rsidRPr="00405303">
        <w:rPr>
          <w:bCs/>
          <w:color w:val="002060"/>
          <w:sz w:val="16"/>
          <w:szCs w:val="16"/>
        </w:rPr>
        <w:t>)</w:t>
      </w:r>
      <w:r w:rsidRPr="00405303">
        <w:rPr>
          <w:bCs/>
          <w:color w:val="002060"/>
          <w:sz w:val="16"/>
          <w:szCs w:val="16"/>
        </w:rPr>
        <w:t xml:space="preserve"> некоторые пункты итальянского побережья, в том числе Венеция, подверглись набегу австрийских аэропланов, был убит один человек и ранено несколько" (11999).</w:t>
      </w:r>
    </w:p>
    <w:p w14:paraId="3F87490B" w14:textId="77777777" w:rsidR="004B4E35" w:rsidRPr="00405303" w:rsidRDefault="004B4E35" w:rsidP="00C15251">
      <w:pPr>
        <w:jc w:val="both"/>
        <w:rPr>
          <w:bCs/>
          <w:color w:val="002060"/>
          <w:sz w:val="16"/>
          <w:szCs w:val="16"/>
        </w:rPr>
      </w:pPr>
    </w:p>
    <w:p w14:paraId="4409FE04" w14:textId="77777777" w:rsidR="00D410C6" w:rsidRPr="00405303" w:rsidRDefault="00D410C6" w:rsidP="00C15251">
      <w:pPr>
        <w:jc w:val="both"/>
        <w:rPr>
          <w:bCs/>
          <w:i/>
          <w:color w:val="002060"/>
          <w:sz w:val="16"/>
          <w:szCs w:val="16"/>
        </w:rPr>
      </w:pPr>
      <w:r w:rsidRPr="00405303">
        <w:rPr>
          <w:bCs/>
          <w:i/>
          <w:color w:val="002060"/>
          <w:sz w:val="16"/>
          <w:szCs w:val="16"/>
        </w:rPr>
        <w:t>Другие оборонные отрасли:</w:t>
      </w:r>
    </w:p>
    <w:p w14:paraId="4E62C32F" w14:textId="77777777" w:rsidR="00D410C6" w:rsidRPr="00405303" w:rsidRDefault="00D410C6" w:rsidP="00C15251">
      <w:pPr>
        <w:jc w:val="both"/>
        <w:rPr>
          <w:bCs/>
          <w:i/>
          <w:color w:val="002060"/>
          <w:sz w:val="16"/>
          <w:szCs w:val="16"/>
        </w:rPr>
      </w:pPr>
    </w:p>
    <w:p w14:paraId="3DE6B2D9" w14:textId="4D4A4B62" w:rsidR="00D410C6" w:rsidRPr="00405303" w:rsidRDefault="00D410C6" w:rsidP="00C15251">
      <w:pPr>
        <w:pStyle w:val="ae"/>
        <w:spacing w:before="0" w:beforeAutospacing="0" w:after="0" w:afterAutospacing="0"/>
        <w:jc w:val="both"/>
        <w:textAlignment w:val="top"/>
        <w:rPr>
          <w:bCs/>
          <w:color w:val="002060"/>
          <w:sz w:val="16"/>
          <w:szCs w:val="16"/>
        </w:rPr>
      </w:pPr>
      <w:r w:rsidRPr="00405303">
        <w:rPr>
          <w:bCs/>
          <w:color w:val="002060"/>
          <w:sz w:val="16"/>
          <w:szCs w:val="16"/>
        </w:rPr>
        <w:t>27 мая (</w:t>
      </w:r>
      <w:r w:rsidR="00B71AE2" w:rsidRPr="00405303">
        <w:rPr>
          <w:bCs/>
          <w:color w:val="002060"/>
          <w:sz w:val="16"/>
          <w:szCs w:val="16"/>
        </w:rPr>
        <w:t>9</w:t>
      </w:r>
      <w:r w:rsidRPr="00405303">
        <w:rPr>
          <w:bCs/>
          <w:color w:val="002060"/>
          <w:sz w:val="16"/>
          <w:szCs w:val="16"/>
        </w:rPr>
        <w:t xml:space="preserve"> июня) 1915 года в Петрограде на IX-м Всероссийском съезде представителей промышленности и торговли в ответ на призыв товарища министра торговли и промышленности С.П. Веселаго о «мобилизации промышленности» была провозглашена идея создания Военно-промышленных комитетов (ВПК).</w:t>
      </w:r>
    </w:p>
    <w:p w14:paraId="56680154" w14:textId="77777777" w:rsidR="00D410C6" w:rsidRPr="00405303" w:rsidRDefault="00D410C6" w:rsidP="00C15251">
      <w:pPr>
        <w:pStyle w:val="ae"/>
        <w:spacing w:before="0" w:beforeAutospacing="0" w:after="0" w:afterAutospacing="0"/>
        <w:jc w:val="both"/>
        <w:textAlignment w:val="top"/>
        <w:rPr>
          <w:bCs/>
          <w:color w:val="002060"/>
          <w:sz w:val="16"/>
          <w:szCs w:val="16"/>
        </w:rPr>
      </w:pPr>
      <w:r w:rsidRPr="00405303">
        <w:rPr>
          <w:bCs/>
          <w:color w:val="002060"/>
          <w:sz w:val="16"/>
          <w:szCs w:val="16"/>
        </w:rPr>
        <w:t>От имени съезда его председателем членом Государственного Совета, Н.С. Авдаковым была направлена телеграмма Николаю-Николаевичу-мл., которая завершалась следующим пассажем: «Русский торгово-промышленный класс готов напрячь все силы свои и принять самое деятельное участие в организации снабжения армии всем необходимым снаряжением.» В ответ из Барановичей также последовало приветствие и поддержка патриотическому начинанию. Съезд в ответ на такую же телеграмму приветствовал и император, выразивший в телеграмме свою «благодарность за готовность придти на помощь правительству» в деле снабжения армии.</w:t>
      </w:r>
    </w:p>
    <w:p w14:paraId="6F07CCD4" w14:textId="77777777" w:rsidR="00D410C6" w:rsidRPr="00405303" w:rsidRDefault="00D410C6" w:rsidP="00C15251">
      <w:pPr>
        <w:pStyle w:val="ae"/>
        <w:spacing w:before="0" w:beforeAutospacing="0" w:after="0" w:afterAutospacing="0"/>
        <w:jc w:val="both"/>
        <w:textAlignment w:val="top"/>
        <w:rPr>
          <w:bCs/>
          <w:color w:val="002060"/>
          <w:sz w:val="16"/>
          <w:szCs w:val="16"/>
        </w:rPr>
      </w:pPr>
      <w:r w:rsidRPr="00405303">
        <w:rPr>
          <w:bCs/>
          <w:color w:val="002060"/>
          <w:sz w:val="16"/>
          <w:szCs w:val="16"/>
        </w:rPr>
        <w:t>Председатель Думы М.В. Родзянко 28 мая (10 июня) в своем приветственном слове съезду трактовал как санкцию: «Ни для кого, господа, теперь не секрет, что достигнуть этого участия промышленности, могучего участия в победе над врагом, возможно только путем объединения органов, ведающих заказы и поставки для действующей армии, с теми органами, которые будут несомненно работать над их осуществлением и завершением. Вот те главные цели, которые побудили созвать это совещание, и цели его вполне определены именно в том направлении, как я позволил себе изложить здесь. Они санкционированы Высочайшей властью и таким образом призваны к жизни.» (18405).</w:t>
      </w:r>
    </w:p>
    <w:p w14:paraId="1949CEA3" w14:textId="77777777" w:rsidR="00D410C6" w:rsidRPr="00405303" w:rsidRDefault="00D410C6" w:rsidP="00C15251">
      <w:pPr>
        <w:pStyle w:val="ae"/>
        <w:spacing w:before="0" w:beforeAutospacing="0" w:after="0" w:afterAutospacing="0"/>
        <w:jc w:val="both"/>
        <w:textAlignment w:val="top"/>
        <w:rPr>
          <w:bCs/>
          <w:color w:val="002060"/>
          <w:sz w:val="16"/>
          <w:szCs w:val="16"/>
        </w:rPr>
      </w:pPr>
    </w:p>
    <w:p w14:paraId="72B41656" w14:textId="2A747CBC" w:rsidR="006B3741" w:rsidRPr="00405303" w:rsidRDefault="006B3741" w:rsidP="00C15251">
      <w:pPr>
        <w:jc w:val="both"/>
        <w:rPr>
          <w:bCs/>
          <w:i/>
          <w:color w:val="002060"/>
          <w:sz w:val="16"/>
          <w:szCs w:val="16"/>
        </w:rPr>
      </w:pPr>
      <w:r w:rsidRPr="00405303">
        <w:rPr>
          <w:bCs/>
          <w:i/>
          <w:color w:val="002060"/>
          <w:sz w:val="16"/>
          <w:szCs w:val="16"/>
        </w:rPr>
        <w:t>Армия:</w:t>
      </w:r>
    </w:p>
    <w:p w14:paraId="34CFD2B8" w14:textId="77777777" w:rsidR="006B3741" w:rsidRPr="00405303" w:rsidRDefault="006B3741" w:rsidP="00C15251">
      <w:pPr>
        <w:jc w:val="both"/>
        <w:rPr>
          <w:bCs/>
          <w:i/>
          <w:color w:val="002060"/>
          <w:sz w:val="16"/>
          <w:szCs w:val="16"/>
        </w:rPr>
      </w:pPr>
    </w:p>
    <w:p w14:paraId="23D3B09E" w14:textId="33EE160E" w:rsidR="006B3741" w:rsidRPr="00405303" w:rsidRDefault="006B3741" w:rsidP="00C15251">
      <w:pPr>
        <w:jc w:val="both"/>
        <w:rPr>
          <w:bCs/>
          <w:color w:val="002060"/>
          <w:sz w:val="16"/>
          <w:szCs w:val="16"/>
          <w:lang w:bidi="en-US"/>
        </w:rPr>
      </w:pPr>
      <w:r w:rsidRPr="00405303">
        <w:rPr>
          <w:bCs/>
          <w:color w:val="002060"/>
          <w:sz w:val="16"/>
          <w:szCs w:val="16"/>
          <w:lang w:bidi="en-US"/>
        </w:rPr>
        <w:t>27 мая (9 июня) 1915 г. австро-германское наступление на Юго-Западном фронте России форсировало Днестр, взяло город Станислав и 12 июня достигло Коломеи. По мере продвижения немецких войск им приходилось с нуля создавать разветвленную административную систему, поскольку русские эвакуировали весь такой персонал во время отступления. На захваченной территории немецкая армия начала санитарную кампанию, чтобы научить людей основам гигиены и угрозам болезней. Немцы приложили усилия для ремонта систем социального обеспечения и коммунальных услуг. Немцы и русские столкнулись с массовым переселение обездоленных. Тысячи беженцев на ходу с большей вероятностью загрязняли воду, воровали еду и топливо, заражались вшами и заболевали сыпным тифом, который к тому времени уже был эндемичным (23525).</w:t>
      </w:r>
    </w:p>
    <w:p w14:paraId="0B2B6ABA" w14:textId="77777777" w:rsidR="006B3741" w:rsidRPr="00405303" w:rsidRDefault="006B3741" w:rsidP="00C15251">
      <w:pPr>
        <w:jc w:val="both"/>
        <w:rPr>
          <w:bCs/>
          <w:color w:val="002060"/>
          <w:sz w:val="16"/>
          <w:szCs w:val="16"/>
        </w:rPr>
      </w:pPr>
    </w:p>
    <w:p w14:paraId="39E57E71" w14:textId="01C9C679" w:rsidR="00956E0B" w:rsidRPr="00405303" w:rsidRDefault="00956E0B" w:rsidP="00C15251">
      <w:pPr>
        <w:jc w:val="both"/>
        <w:rPr>
          <w:bCs/>
          <w:i/>
          <w:color w:val="002060"/>
          <w:sz w:val="16"/>
          <w:szCs w:val="16"/>
        </w:rPr>
      </w:pPr>
      <w:r w:rsidRPr="00405303">
        <w:rPr>
          <w:bCs/>
          <w:i/>
          <w:color w:val="002060"/>
          <w:sz w:val="16"/>
          <w:szCs w:val="16"/>
        </w:rPr>
        <w:t>Военное воздухоплавание:</w:t>
      </w:r>
    </w:p>
    <w:p w14:paraId="343084ED" w14:textId="77777777" w:rsidR="00956E0B" w:rsidRPr="00405303" w:rsidRDefault="00956E0B" w:rsidP="00C15251">
      <w:pPr>
        <w:jc w:val="both"/>
        <w:rPr>
          <w:bCs/>
          <w:i/>
          <w:color w:val="002060"/>
          <w:sz w:val="16"/>
          <w:szCs w:val="16"/>
        </w:rPr>
      </w:pPr>
    </w:p>
    <w:p w14:paraId="26D7EF2C" w14:textId="77777777" w:rsidR="00956E0B" w:rsidRPr="00405303" w:rsidRDefault="00956E0B" w:rsidP="00C15251">
      <w:pPr>
        <w:jc w:val="both"/>
        <w:rPr>
          <w:bCs/>
          <w:color w:val="002060"/>
          <w:sz w:val="16"/>
          <w:szCs w:val="16"/>
        </w:rPr>
      </w:pPr>
      <w:r w:rsidRPr="00405303">
        <w:rPr>
          <w:rStyle w:val="42"/>
          <w:rFonts w:ascii="Times New Roman" w:hAnsi="Times New Roman" w:cs="Times New Roman"/>
          <w:bCs/>
          <w:color w:val="002060"/>
          <w:w w:val="100"/>
          <w:sz w:val="16"/>
          <w:szCs w:val="16"/>
        </w:rPr>
        <w:t>В ночь с 27 на 28 мая (9-10 июня) 1915 «Астра» повторила на</w:t>
      </w:r>
      <w:r w:rsidRPr="00405303">
        <w:rPr>
          <w:rStyle w:val="42"/>
          <w:rFonts w:ascii="Times New Roman" w:hAnsi="Times New Roman" w:cs="Times New Roman"/>
          <w:bCs/>
          <w:color w:val="002060"/>
          <w:w w:val="100"/>
          <w:sz w:val="16"/>
          <w:szCs w:val="16"/>
        </w:rPr>
        <w:softHyphen/>
        <w:t>лёт на г. Лык. Дирижабль поднялся в 20.45 из Белостока. С наступлением темноты и с перехо</w:t>
      </w:r>
      <w:r w:rsidRPr="00405303">
        <w:rPr>
          <w:rStyle w:val="42"/>
          <w:rFonts w:ascii="Times New Roman" w:hAnsi="Times New Roman" w:cs="Times New Roman"/>
          <w:bCs/>
          <w:color w:val="002060"/>
          <w:w w:val="100"/>
          <w:sz w:val="16"/>
          <w:szCs w:val="16"/>
        </w:rPr>
        <w:softHyphen/>
        <w:t>дом на территорию противника ориентирование затруднилось вследствие тумана, начинавшегося от Кнышина до оз. Штацер, и полного отсутствия огней у противника. Полёт проходил по компасу, а затем ориентировались по озёрам в районе Рай- города. При полёте над оз. Штацер «Астру» засёк прожектор из района Августова, и её обстреляла артиллерия со стороны Райгорода. Полёт про</w:t>
      </w:r>
      <w:r w:rsidRPr="00405303">
        <w:rPr>
          <w:rStyle w:val="42"/>
          <w:rFonts w:ascii="Times New Roman" w:hAnsi="Times New Roman" w:cs="Times New Roman"/>
          <w:bCs/>
          <w:color w:val="002060"/>
          <w:w w:val="100"/>
          <w:sz w:val="16"/>
          <w:szCs w:val="16"/>
        </w:rPr>
        <w:softHyphen/>
        <w:t>должался, но в районе д. Вишниевск «Астру» ос</w:t>
      </w:r>
      <w:r w:rsidRPr="00405303">
        <w:rPr>
          <w:rStyle w:val="42"/>
          <w:rFonts w:ascii="Times New Roman" w:hAnsi="Times New Roman" w:cs="Times New Roman"/>
          <w:bCs/>
          <w:color w:val="002060"/>
          <w:w w:val="100"/>
          <w:sz w:val="16"/>
          <w:szCs w:val="16"/>
        </w:rPr>
        <w:softHyphen/>
        <w:t>ветили прожектором и обстреляли артиллерий</w:t>
      </w:r>
      <w:r w:rsidRPr="00405303">
        <w:rPr>
          <w:rStyle w:val="42"/>
          <w:rFonts w:ascii="Times New Roman" w:hAnsi="Times New Roman" w:cs="Times New Roman"/>
          <w:bCs/>
          <w:color w:val="002060"/>
          <w:w w:val="100"/>
          <w:sz w:val="16"/>
          <w:szCs w:val="16"/>
        </w:rPr>
        <w:softHyphen/>
        <w:t>ским огнём из Лыка. Ввиду раннего обнаружения дирижабля, обстрелянного с двух сторон, и ско</w:t>
      </w:r>
      <w:r w:rsidRPr="00405303">
        <w:rPr>
          <w:rStyle w:val="42"/>
          <w:rFonts w:ascii="Times New Roman" w:hAnsi="Times New Roman" w:cs="Times New Roman"/>
          <w:bCs/>
          <w:color w:val="002060"/>
          <w:w w:val="100"/>
          <w:sz w:val="16"/>
          <w:szCs w:val="16"/>
        </w:rPr>
        <w:softHyphen/>
        <w:t>рого наступления рассвета командир «Астры» решил возвратиться. На обратном пути «Астру» обстреляла батарея из района Граева, и появился луч прожектора почти под самым дирижаблем. По «Астре» велась и пулемётная стрельба, осо</w:t>
      </w:r>
      <w:r w:rsidRPr="00405303">
        <w:rPr>
          <w:rStyle w:val="42"/>
          <w:rFonts w:ascii="Times New Roman" w:hAnsi="Times New Roman" w:cs="Times New Roman"/>
          <w:bCs/>
          <w:color w:val="002060"/>
          <w:w w:val="100"/>
          <w:sz w:val="16"/>
          <w:szCs w:val="16"/>
        </w:rPr>
        <w:softHyphen/>
        <w:t>бенно около д. Пржеходы. Большинство разры</w:t>
      </w:r>
      <w:r w:rsidRPr="00405303">
        <w:rPr>
          <w:rStyle w:val="42"/>
          <w:rFonts w:ascii="Times New Roman" w:hAnsi="Times New Roman" w:cs="Times New Roman"/>
          <w:bCs/>
          <w:color w:val="002060"/>
          <w:w w:val="100"/>
          <w:sz w:val="16"/>
          <w:szCs w:val="16"/>
        </w:rPr>
        <w:softHyphen/>
        <w:t>вов снарядов было выше аэростата. 28 мая в 1.40 «Астра» вернулась в Белосток, продержавшись в воздухе 4 ч 40 мин и пройдя около 200 км на высоте 1650 м.</w:t>
      </w:r>
    </w:p>
    <w:p w14:paraId="44FF3683" w14:textId="77777777" w:rsidR="00956E0B" w:rsidRPr="00405303" w:rsidRDefault="00956E0B" w:rsidP="00C15251">
      <w:pPr>
        <w:jc w:val="both"/>
        <w:rPr>
          <w:bCs/>
          <w:color w:val="002060"/>
          <w:sz w:val="16"/>
          <w:szCs w:val="16"/>
        </w:rPr>
      </w:pPr>
      <w:r w:rsidRPr="00405303">
        <w:rPr>
          <w:rStyle w:val="42"/>
          <w:rFonts w:ascii="Times New Roman" w:hAnsi="Times New Roman" w:cs="Times New Roman"/>
          <w:bCs/>
          <w:color w:val="002060"/>
          <w:w w:val="100"/>
          <w:sz w:val="16"/>
          <w:szCs w:val="16"/>
        </w:rPr>
        <w:t>При осмотре в оболочке дирижабля нашли 46 пулевых пробоин и два рваных отверстия, по-видимому, от рикошетов. Полёт выявил меры ПВО противника: абсолютное отсутствие огней в городах, бдительность артиллерии и наличие подвижных прожекторов (20120).</w:t>
      </w:r>
    </w:p>
    <w:p w14:paraId="0DDB1D07" w14:textId="77777777" w:rsidR="00956E0B" w:rsidRPr="00405303" w:rsidRDefault="00956E0B" w:rsidP="00C15251">
      <w:pPr>
        <w:jc w:val="both"/>
        <w:rPr>
          <w:bCs/>
          <w:color w:val="002060"/>
          <w:sz w:val="16"/>
          <w:szCs w:val="16"/>
        </w:rPr>
      </w:pPr>
    </w:p>
    <w:p w14:paraId="05B6708F" w14:textId="77777777" w:rsidR="00F878DC" w:rsidRPr="00405303" w:rsidRDefault="00F878DC" w:rsidP="00C15251">
      <w:pPr>
        <w:jc w:val="both"/>
        <w:rPr>
          <w:bCs/>
          <w:color w:val="002060"/>
          <w:sz w:val="16"/>
          <w:szCs w:val="16"/>
        </w:rPr>
      </w:pPr>
      <w:r w:rsidRPr="00405303">
        <w:rPr>
          <w:bCs/>
          <w:color w:val="002060"/>
          <w:sz w:val="16"/>
          <w:szCs w:val="16"/>
        </w:rPr>
        <w:t>27-28 мая (9-10 июня) 1915 г, дирижабль "Астра" под управлением капитана Р,Л.Пи</w:t>
      </w:r>
      <w:r w:rsidRPr="00405303">
        <w:rPr>
          <w:bCs/>
          <w:color w:val="002060"/>
          <w:sz w:val="16"/>
          <w:szCs w:val="16"/>
        </w:rPr>
        <w:softHyphen/>
        <w:t>жонского совершил ночной полет на разведку района Белосток-Кнышин-Лык, углубившись за линию фронта на 60-80 км, и с высоты 1200 м сбросил там 21 бомбу. Дирижабль был обстрелян с земли и частично поврежден, но вернулся на свою базу. Это был единственный боевой полет дирижабля за всю войну. Полет продолжался 4 часа 55 минут.</w:t>
      </w:r>
    </w:p>
    <w:p w14:paraId="4308E13C" w14:textId="77777777" w:rsidR="00F878DC" w:rsidRPr="00405303" w:rsidRDefault="00F878DC" w:rsidP="00C15251">
      <w:pPr>
        <w:jc w:val="both"/>
        <w:rPr>
          <w:bCs/>
          <w:color w:val="002060"/>
          <w:sz w:val="16"/>
          <w:szCs w:val="16"/>
        </w:rPr>
      </w:pPr>
      <w:r w:rsidRPr="00405303">
        <w:rPr>
          <w:bCs/>
          <w:color w:val="002060"/>
          <w:sz w:val="16"/>
          <w:szCs w:val="16"/>
        </w:rPr>
        <w:t>/ЦГВИА, ф. 2003, оп. 2, Д. 619/ (23320).</w:t>
      </w:r>
    </w:p>
    <w:p w14:paraId="46B598FB" w14:textId="77777777" w:rsidR="00F878DC" w:rsidRPr="00405303" w:rsidRDefault="00F878DC" w:rsidP="00C15251">
      <w:pPr>
        <w:jc w:val="both"/>
        <w:rPr>
          <w:bCs/>
          <w:color w:val="002060"/>
          <w:sz w:val="16"/>
          <w:szCs w:val="16"/>
        </w:rPr>
      </w:pPr>
    </w:p>
    <w:p w14:paraId="3F89132A" w14:textId="6E2BED7E" w:rsidR="004B4E35" w:rsidRPr="00405303" w:rsidRDefault="009E6F82" w:rsidP="00C15251">
      <w:pPr>
        <w:jc w:val="both"/>
        <w:rPr>
          <w:bCs/>
          <w:i/>
          <w:color w:val="002060"/>
          <w:sz w:val="16"/>
          <w:szCs w:val="16"/>
        </w:rPr>
      </w:pPr>
      <w:r w:rsidRPr="00405303">
        <w:rPr>
          <w:bCs/>
          <w:i/>
          <w:color w:val="002060"/>
          <w:sz w:val="16"/>
          <w:szCs w:val="16"/>
        </w:rPr>
        <w:t xml:space="preserve">Авиация и воздухоплавание </w:t>
      </w:r>
      <w:r w:rsidR="00B71AE2" w:rsidRPr="00405303">
        <w:rPr>
          <w:bCs/>
          <w:i/>
          <w:color w:val="002060"/>
          <w:sz w:val="16"/>
          <w:szCs w:val="16"/>
        </w:rPr>
        <w:t>за рубежом</w:t>
      </w:r>
      <w:r w:rsidRPr="00405303">
        <w:rPr>
          <w:bCs/>
          <w:i/>
          <w:color w:val="002060"/>
          <w:sz w:val="16"/>
          <w:szCs w:val="16"/>
        </w:rPr>
        <w:t>:</w:t>
      </w:r>
    </w:p>
    <w:p w14:paraId="08B104D5" w14:textId="77777777" w:rsidR="004B4E35" w:rsidRPr="00405303" w:rsidRDefault="004B4E35" w:rsidP="00C15251">
      <w:pPr>
        <w:jc w:val="both"/>
        <w:rPr>
          <w:bCs/>
          <w:i/>
          <w:color w:val="002060"/>
          <w:sz w:val="16"/>
          <w:szCs w:val="16"/>
        </w:rPr>
      </w:pPr>
    </w:p>
    <w:p w14:paraId="0A13194D" w14:textId="6FD92F8C" w:rsidR="004B4E35" w:rsidRPr="00405303" w:rsidRDefault="009E6F82" w:rsidP="00C15251">
      <w:pPr>
        <w:jc w:val="both"/>
        <w:rPr>
          <w:bCs/>
          <w:color w:val="002060"/>
          <w:sz w:val="16"/>
          <w:szCs w:val="16"/>
        </w:rPr>
      </w:pPr>
      <w:r w:rsidRPr="00405303">
        <w:rPr>
          <w:bCs/>
          <w:color w:val="002060"/>
          <w:sz w:val="16"/>
          <w:szCs w:val="16"/>
        </w:rPr>
        <w:t>27 мая (9 июня) некоторые пункты итальянского побережья, в том числе Венеция, подверглись набегу австрийских аэропланов, был убит один человек и ранено несколько" (11999).</w:t>
      </w:r>
    </w:p>
    <w:p w14:paraId="19BE621C" w14:textId="77777777" w:rsidR="004B4E35" w:rsidRPr="00405303" w:rsidRDefault="004B4E35" w:rsidP="00C15251">
      <w:pPr>
        <w:jc w:val="both"/>
        <w:rPr>
          <w:bCs/>
          <w:color w:val="002060"/>
          <w:sz w:val="16"/>
          <w:szCs w:val="16"/>
        </w:rPr>
      </w:pPr>
    </w:p>
    <w:p w14:paraId="37C69C6C"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596BA350" w14:textId="77777777" w:rsidR="004B4E35" w:rsidRPr="00405303" w:rsidRDefault="004B4E35" w:rsidP="00C15251">
      <w:pPr>
        <w:pStyle w:val="a3"/>
        <w:jc w:val="both"/>
        <w:rPr>
          <w:bCs/>
          <w:color w:val="002060"/>
          <w:spacing w:val="0"/>
          <w:kern w:val="0"/>
          <w:position w:val="0"/>
          <w:sz w:val="16"/>
          <w:szCs w:val="16"/>
        </w:rPr>
      </w:pPr>
    </w:p>
    <w:p w14:paraId="11652A3A" w14:textId="233FCDA5" w:rsidR="004B4E35" w:rsidRPr="00405303" w:rsidRDefault="009E6F82" w:rsidP="00C15251">
      <w:pPr>
        <w:shd w:val="clear" w:color="auto" w:fill="FFFFFF"/>
        <w:jc w:val="both"/>
        <w:rPr>
          <w:bCs/>
          <w:color w:val="002060"/>
          <w:sz w:val="16"/>
          <w:szCs w:val="16"/>
        </w:rPr>
      </w:pPr>
      <w:r w:rsidRPr="00405303">
        <w:rPr>
          <w:bCs/>
          <w:color w:val="002060"/>
          <w:sz w:val="16"/>
          <w:szCs w:val="16"/>
        </w:rPr>
        <w:t>27 мая (9 июня) 1915</w:t>
      </w:r>
      <w:r w:rsidR="00B71AE2" w:rsidRPr="00405303">
        <w:rPr>
          <w:bCs/>
          <w:color w:val="002060"/>
          <w:sz w:val="16"/>
          <w:szCs w:val="16"/>
        </w:rPr>
        <w:t xml:space="preserve"> г. появилось соглашение между С. С. Щетининым и МГШ</w:t>
      </w:r>
      <w:r w:rsidRPr="00405303">
        <w:rPr>
          <w:bCs/>
          <w:color w:val="002060"/>
          <w:sz w:val="16"/>
          <w:szCs w:val="16"/>
        </w:rPr>
        <w:t xml:space="preserve">, </w:t>
      </w:r>
      <w:r w:rsidR="00B71AE2" w:rsidRPr="00405303">
        <w:rPr>
          <w:bCs/>
          <w:color w:val="002060"/>
          <w:sz w:val="16"/>
          <w:szCs w:val="16"/>
        </w:rPr>
        <w:t>которое предусматривало</w:t>
      </w:r>
      <w:r w:rsidRPr="00405303">
        <w:rPr>
          <w:bCs/>
          <w:color w:val="002060"/>
          <w:sz w:val="16"/>
          <w:szCs w:val="16"/>
        </w:rPr>
        <w:t xml:space="preserve"> произ</w:t>
      </w:r>
      <w:r w:rsidRPr="00405303">
        <w:rPr>
          <w:bCs/>
          <w:color w:val="002060"/>
          <w:sz w:val="16"/>
          <w:szCs w:val="16"/>
        </w:rPr>
        <w:softHyphen/>
        <w:t xml:space="preserve">водство 12 аппаратов </w:t>
      </w:r>
      <w:r w:rsidR="00B71AE2" w:rsidRPr="00405303">
        <w:rPr>
          <w:bCs/>
          <w:color w:val="002060"/>
          <w:sz w:val="16"/>
          <w:szCs w:val="16"/>
        </w:rPr>
        <w:t xml:space="preserve">М-5 </w:t>
      </w:r>
      <w:r w:rsidRPr="00405303">
        <w:rPr>
          <w:bCs/>
          <w:color w:val="002060"/>
          <w:sz w:val="16"/>
          <w:szCs w:val="16"/>
        </w:rPr>
        <w:t>в период с 30 мая по 15 июля</w:t>
      </w:r>
      <w:r w:rsidR="00B71AE2" w:rsidRPr="00405303">
        <w:rPr>
          <w:bCs/>
          <w:color w:val="002060"/>
          <w:sz w:val="16"/>
          <w:szCs w:val="16"/>
        </w:rPr>
        <w:t>. Н</w:t>
      </w:r>
      <w:r w:rsidRPr="00405303">
        <w:rPr>
          <w:bCs/>
          <w:color w:val="002060"/>
          <w:sz w:val="16"/>
          <w:szCs w:val="16"/>
        </w:rPr>
        <w:t>есомненно, что столь близкий срок завершения сборки первых лодок мог объясняться только наличием у ПРТВ почти готовых гидро. Удивительно, но компания уложилась в обусловленные сроки, опоздав лишь на 5 дней, а приемка изделий флотом осуще</w:t>
      </w:r>
      <w:r w:rsidRPr="00405303">
        <w:rPr>
          <w:bCs/>
          <w:color w:val="002060"/>
          <w:sz w:val="16"/>
          <w:szCs w:val="16"/>
        </w:rPr>
        <w:softHyphen/>
        <w:t>ствлялась, скорее всего, лейтенантом Г. А. Фриде, опытным пилотом и одаренным изобретателем (2807).</w:t>
      </w:r>
    </w:p>
    <w:p w14:paraId="7111B7B4" w14:textId="77777777" w:rsidR="004B4E35" w:rsidRPr="00405303" w:rsidRDefault="004B4E35" w:rsidP="00C15251">
      <w:pPr>
        <w:shd w:val="clear" w:color="auto" w:fill="FFFFFF"/>
        <w:jc w:val="both"/>
        <w:rPr>
          <w:bCs/>
          <w:color w:val="002060"/>
          <w:sz w:val="16"/>
          <w:szCs w:val="16"/>
        </w:rPr>
      </w:pPr>
    </w:p>
    <w:p w14:paraId="481665D5" w14:textId="2E49E467" w:rsidR="004B4E35" w:rsidRPr="00405303" w:rsidRDefault="009E6F82" w:rsidP="00C15251">
      <w:pPr>
        <w:jc w:val="both"/>
        <w:rPr>
          <w:bCs/>
          <w:color w:val="002060"/>
          <w:sz w:val="16"/>
          <w:szCs w:val="16"/>
        </w:rPr>
      </w:pPr>
      <w:r w:rsidRPr="00405303">
        <w:rPr>
          <w:bCs/>
          <w:color w:val="002060"/>
          <w:sz w:val="16"/>
          <w:szCs w:val="16"/>
        </w:rPr>
        <w:t xml:space="preserve">27 мая (9 июня) </w:t>
      </w:r>
      <w:r w:rsidR="00B71AE2" w:rsidRPr="00405303">
        <w:rPr>
          <w:bCs/>
          <w:color w:val="002060"/>
          <w:sz w:val="16"/>
          <w:szCs w:val="16"/>
        </w:rPr>
        <w:t>появилось соглашение между С. С. Щетининым и МГШ, в соответствии с которым</w:t>
      </w:r>
      <w:r w:rsidRPr="00405303">
        <w:rPr>
          <w:bCs/>
          <w:color w:val="002060"/>
          <w:sz w:val="16"/>
          <w:szCs w:val="16"/>
        </w:rPr>
        <w:t xml:space="preserve"> за относительно короткий срок (с 30 мая до 15 июля 1915 г.) ПРТВ следовало построить 12 самолётов</w:t>
      </w:r>
      <w:r w:rsidR="00B71AE2" w:rsidRPr="00405303">
        <w:rPr>
          <w:bCs/>
          <w:color w:val="002060"/>
          <w:sz w:val="16"/>
          <w:szCs w:val="16"/>
        </w:rPr>
        <w:t xml:space="preserve"> М-5</w:t>
      </w:r>
      <w:r w:rsidRPr="00405303">
        <w:rPr>
          <w:bCs/>
          <w:color w:val="002060"/>
          <w:sz w:val="16"/>
          <w:szCs w:val="16"/>
        </w:rPr>
        <w:t>. Приёмкой самолётов занимался морской лейтенант Г.А. Фриде. Он также выполнял полёты на М-5, при</w:t>
      </w:r>
      <w:r w:rsidRPr="00405303">
        <w:rPr>
          <w:bCs/>
          <w:color w:val="002060"/>
          <w:sz w:val="16"/>
          <w:szCs w:val="16"/>
        </w:rPr>
        <w:softHyphen/>
        <w:t>знав лодку «выдающейся».</w:t>
      </w:r>
    </w:p>
    <w:p w14:paraId="1E4D7AA4" w14:textId="77777777" w:rsidR="004B4E35" w:rsidRPr="00405303" w:rsidRDefault="009E6F82" w:rsidP="00C15251">
      <w:pPr>
        <w:jc w:val="both"/>
        <w:rPr>
          <w:bCs/>
          <w:color w:val="002060"/>
          <w:sz w:val="16"/>
          <w:szCs w:val="16"/>
        </w:rPr>
      </w:pPr>
      <w:r w:rsidRPr="00405303">
        <w:rPr>
          <w:bCs/>
          <w:color w:val="002060"/>
          <w:sz w:val="16"/>
          <w:szCs w:val="16"/>
        </w:rPr>
        <w:t>Летающая лодка М-5 - одномо</w:t>
      </w:r>
      <w:r w:rsidRPr="00405303">
        <w:rPr>
          <w:bCs/>
          <w:color w:val="002060"/>
          <w:sz w:val="16"/>
          <w:szCs w:val="16"/>
        </w:rPr>
        <w:softHyphen/>
        <w:t>торный двухместный биплан с нор</w:t>
      </w:r>
      <w:r w:rsidRPr="00405303">
        <w:rPr>
          <w:bCs/>
          <w:color w:val="002060"/>
          <w:sz w:val="16"/>
          <w:szCs w:val="16"/>
        </w:rPr>
        <w:softHyphen/>
        <w:t>мальной схемой управления. Сило</w:t>
      </w:r>
      <w:r w:rsidRPr="00405303">
        <w:rPr>
          <w:bCs/>
          <w:color w:val="002060"/>
          <w:sz w:val="16"/>
          <w:szCs w:val="16"/>
        </w:rPr>
        <w:softHyphen/>
        <w:t>вая установка включала ротатив- ный двигатель «Гном-Моносупап» в 100 л.с. с толкающим винтом фир</w:t>
      </w:r>
      <w:r w:rsidRPr="00405303">
        <w:rPr>
          <w:bCs/>
          <w:color w:val="002060"/>
          <w:sz w:val="16"/>
          <w:szCs w:val="16"/>
        </w:rPr>
        <w:softHyphen/>
        <w:t>мы «Шовьер». Скорость полёта са</w:t>
      </w:r>
      <w:r w:rsidRPr="00405303">
        <w:rPr>
          <w:bCs/>
          <w:color w:val="002060"/>
          <w:sz w:val="16"/>
          <w:szCs w:val="16"/>
        </w:rPr>
        <w:softHyphen/>
        <w:t>молёта 90 - 105 км/ч, посадочная - 70 км/ч, продолжительность полё</w:t>
      </w:r>
      <w:r w:rsidRPr="00405303">
        <w:rPr>
          <w:bCs/>
          <w:color w:val="002060"/>
          <w:sz w:val="16"/>
          <w:szCs w:val="16"/>
        </w:rPr>
        <w:softHyphen/>
        <w:t>та до 3,5 час, полётный вес 1000 кг, размах крыльев 13,5 м, площадь - 36,5 м</w:t>
      </w:r>
      <w:r w:rsidRPr="00405303">
        <w:rPr>
          <w:bCs/>
          <w:color w:val="002060"/>
          <w:sz w:val="16"/>
          <w:szCs w:val="16"/>
          <w:vertAlign w:val="superscript"/>
        </w:rPr>
        <w:t>2</w:t>
      </w:r>
      <w:r w:rsidRPr="00405303">
        <w:rPr>
          <w:bCs/>
          <w:color w:val="002060"/>
          <w:sz w:val="16"/>
          <w:szCs w:val="16"/>
        </w:rPr>
        <w:t>. Вооружение: пулемет «Мак</w:t>
      </w:r>
      <w:r w:rsidRPr="00405303">
        <w:rPr>
          <w:bCs/>
          <w:color w:val="002060"/>
          <w:sz w:val="16"/>
          <w:szCs w:val="16"/>
        </w:rPr>
        <w:softHyphen/>
        <w:t>сим» с боезапасом 450 патронов или «Виккерс» Мк.1, бомбы калиб</w:t>
      </w:r>
      <w:r w:rsidRPr="00405303">
        <w:rPr>
          <w:bCs/>
          <w:color w:val="002060"/>
          <w:sz w:val="16"/>
          <w:szCs w:val="16"/>
        </w:rPr>
        <w:softHyphen/>
        <w:t>ром от 8 до 50 фунтов. При выпол</w:t>
      </w:r>
      <w:r w:rsidRPr="00405303">
        <w:rPr>
          <w:bCs/>
          <w:color w:val="002060"/>
          <w:sz w:val="16"/>
          <w:szCs w:val="16"/>
        </w:rPr>
        <w:softHyphen/>
        <w:t>нении воздушной разведки самолёт мог оснащаться радиотелеграфной станцией и фотоаппаратом Поттэ (полуавтоматический аппарат для воздушной съёмки с размером кад</w:t>
      </w:r>
      <w:r w:rsidRPr="00405303">
        <w:rPr>
          <w:bCs/>
          <w:color w:val="002060"/>
          <w:sz w:val="16"/>
          <w:szCs w:val="16"/>
        </w:rPr>
        <w:softHyphen/>
        <w:t>ра 13x18 см, фокусным расстояни</w:t>
      </w:r>
      <w:r w:rsidRPr="00405303">
        <w:rPr>
          <w:bCs/>
          <w:color w:val="002060"/>
          <w:sz w:val="16"/>
          <w:szCs w:val="16"/>
        </w:rPr>
        <w:softHyphen/>
        <w:t>ем 21 см, запасом плёнки на 50 кадров, весом 9 кг. Конструктор подполковник русской армии В.Ф.Поттэ).</w:t>
      </w:r>
    </w:p>
    <w:p w14:paraId="1D66AC63" w14:textId="77777777" w:rsidR="004B4E35" w:rsidRPr="00405303" w:rsidRDefault="009E6F82" w:rsidP="00C15251">
      <w:pPr>
        <w:jc w:val="both"/>
        <w:rPr>
          <w:bCs/>
          <w:color w:val="002060"/>
          <w:sz w:val="16"/>
          <w:szCs w:val="16"/>
        </w:rPr>
      </w:pPr>
      <w:r w:rsidRPr="00405303">
        <w:rPr>
          <w:bCs/>
          <w:color w:val="002060"/>
          <w:sz w:val="16"/>
          <w:szCs w:val="16"/>
        </w:rPr>
        <w:t>Если на Балтийском флоте, где было достаточно самолетов Ф.Б.А., особой нужды в М-5 не испытыва</w:t>
      </w:r>
      <w:r w:rsidRPr="00405303">
        <w:rPr>
          <w:bCs/>
          <w:color w:val="002060"/>
          <w:sz w:val="16"/>
          <w:szCs w:val="16"/>
        </w:rPr>
        <w:softHyphen/>
        <w:t>ли, то на Черноморском флоте са</w:t>
      </w:r>
      <w:r w:rsidRPr="00405303">
        <w:rPr>
          <w:bCs/>
          <w:color w:val="002060"/>
          <w:sz w:val="16"/>
          <w:szCs w:val="16"/>
        </w:rPr>
        <w:softHyphen/>
        <w:t>молёты М-5 принимали непосред</w:t>
      </w:r>
      <w:r w:rsidRPr="00405303">
        <w:rPr>
          <w:bCs/>
          <w:color w:val="002060"/>
          <w:sz w:val="16"/>
          <w:szCs w:val="16"/>
        </w:rPr>
        <w:softHyphen/>
        <w:t>ственное участие в боевых действи</w:t>
      </w:r>
      <w:r w:rsidRPr="00405303">
        <w:rPr>
          <w:bCs/>
          <w:color w:val="002060"/>
          <w:sz w:val="16"/>
          <w:szCs w:val="16"/>
        </w:rPr>
        <w:softHyphen/>
        <w:t>ях в составе береговых и корабель</w:t>
      </w:r>
      <w:r w:rsidRPr="00405303">
        <w:rPr>
          <w:bCs/>
          <w:color w:val="002060"/>
          <w:sz w:val="16"/>
          <w:szCs w:val="16"/>
        </w:rPr>
        <w:softHyphen/>
        <w:t>ных подразделений (11872).</w:t>
      </w:r>
    </w:p>
    <w:p w14:paraId="06F01E6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Вряд ли будет ошибкой сказать, что как патрульный аппарат небольшого радиуса действия «пятер</w:t>
      </w:r>
      <w:r w:rsidRPr="00405303">
        <w:rPr>
          <w:bCs/>
          <w:color w:val="002060"/>
          <w:sz w:val="16"/>
          <w:szCs w:val="16"/>
        </w:rPr>
        <w:softHyphen/>
        <w:t>ка» оказалась весьма эффективным видом авиационного вооружения флота: при своей относительной дешевизне она демонстрировала полную пригодность к выполнению возложенных задач, особенно в тех районах черноморского театра, где не встречала активного противодействия авиации противника. В этом своем качестве машина могла успешно летать не только до 1918 г., но и далее, чему есть примеры в хронике Гражданской войны. Еще одной сферой удачного применения модели стали учебные подразде</w:t>
      </w:r>
      <w:r w:rsidRPr="00405303">
        <w:rPr>
          <w:bCs/>
          <w:color w:val="002060"/>
          <w:sz w:val="16"/>
          <w:szCs w:val="16"/>
        </w:rPr>
        <w:softHyphen/>
        <w:t>ления, с которыми гидроаэропланы типа М-5 прошли долгий путь, начиная с лета 1915г., открыв небо многим стремившимся к нему людям. В общем, в период с 10 июля 1915 г. по 20 июня 1917г. Черномор</w:t>
      </w:r>
      <w:r w:rsidRPr="00405303">
        <w:rPr>
          <w:bCs/>
          <w:color w:val="002060"/>
          <w:sz w:val="16"/>
          <w:szCs w:val="16"/>
        </w:rPr>
        <w:softHyphen/>
        <w:t>ский флот принял 71 летающую лодку М-5, а около 60 машин данного типа достались морским авиашко</w:t>
      </w:r>
      <w:r w:rsidRPr="00405303">
        <w:rPr>
          <w:bCs/>
          <w:color w:val="002060"/>
          <w:sz w:val="16"/>
          <w:szCs w:val="16"/>
        </w:rPr>
        <w:softHyphen/>
        <w:t>лам; с июня 1915 г. по декабрь 1917г. полное число принятых военно-морскими силами М-5 составило, по крайней мере, 1?3 аппарата, но некоторые из них изначально изготовлялись как запасные.</w:t>
      </w:r>
    </w:p>
    <w:p w14:paraId="44CAC6A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4B4E35" w:rsidRPr="00405303" w14:paraId="1E630277" w14:textId="77777777">
        <w:tc>
          <w:tcPr>
            <w:tcW w:w="1548" w:type="dxa"/>
            <w:shd w:val="clear" w:color="auto" w:fill="FFFFFF"/>
          </w:tcPr>
          <w:p w14:paraId="3233FD30" w14:textId="77777777" w:rsidR="004B4E35" w:rsidRPr="00405303" w:rsidRDefault="009E6F82" w:rsidP="00C15251">
            <w:pPr>
              <w:jc w:val="both"/>
              <w:rPr>
                <w:bCs/>
                <w:color w:val="002060"/>
                <w:sz w:val="16"/>
                <w:szCs w:val="16"/>
              </w:rPr>
            </w:pPr>
            <w:r w:rsidRPr="00405303">
              <w:rPr>
                <w:bCs/>
                <w:color w:val="002060"/>
                <w:sz w:val="16"/>
                <w:szCs w:val="16"/>
              </w:rPr>
              <w:lastRenderedPageBreak/>
              <w:t>Дата контракта</w:t>
            </w:r>
          </w:p>
        </w:tc>
        <w:tc>
          <w:tcPr>
            <w:tcW w:w="1170" w:type="dxa"/>
            <w:shd w:val="clear" w:color="auto" w:fill="FFFFFF"/>
          </w:tcPr>
          <w:p w14:paraId="0F84F255" w14:textId="77777777" w:rsidR="004B4E35" w:rsidRPr="00405303" w:rsidRDefault="009E6F82" w:rsidP="00C15251">
            <w:pPr>
              <w:jc w:val="both"/>
              <w:rPr>
                <w:bCs/>
                <w:color w:val="002060"/>
                <w:sz w:val="16"/>
                <w:szCs w:val="16"/>
              </w:rPr>
            </w:pPr>
            <w:r w:rsidRPr="00405303">
              <w:rPr>
                <w:bCs/>
                <w:color w:val="002060"/>
                <w:sz w:val="16"/>
                <w:szCs w:val="16"/>
              </w:rPr>
              <w:t>Число заказанных аэропланов</w:t>
            </w:r>
          </w:p>
        </w:tc>
        <w:tc>
          <w:tcPr>
            <w:tcW w:w="6858" w:type="dxa"/>
            <w:shd w:val="clear" w:color="auto" w:fill="FFFFFF"/>
          </w:tcPr>
          <w:p w14:paraId="7A515CD3" w14:textId="77777777" w:rsidR="004B4E35" w:rsidRPr="00405303" w:rsidRDefault="009E6F82" w:rsidP="00C15251">
            <w:pPr>
              <w:jc w:val="both"/>
              <w:rPr>
                <w:bCs/>
                <w:color w:val="002060"/>
                <w:sz w:val="16"/>
                <w:szCs w:val="16"/>
              </w:rPr>
            </w:pPr>
            <w:r w:rsidRPr="00405303">
              <w:rPr>
                <w:bCs/>
                <w:color w:val="002060"/>
                <w:sz w:val="16"/>
                <w:szCs w:val="16"/>
              </w:rPr>
              <w:t>Условия</w:t>
            </w:r>
          </w:p>
        </w:tc>
      </w:tr>
      <w:tr w:rsidR="004B4E35" w:rsidRPr="00405303" w14:paraId="365C5F71" w14:textId="77777777">
        <w:tc>
          <w:tcPr>
            <w:tcW w:w="1548" w:type="dxa"/>
            <w:shd w:val="clear" w:color="auto" w:fill="FFFFFF"/>
          </w:tcPr>
          <w:p w14:paraId="576253CA" w14:textId="77777777" w:rsidR="004B4E35" w:rsidRPr="00405303" w:rsidRDefault="009E6F82" w:rsidP="00C15251">
            <w:pPr>
              <w:jc w:val="both"/>
              <w:rPr>
                <w:bCs/>
                <w:color w:val="002060"/>
                <w:sz w:val="16"/>
                <w:szCs w:val="16"/>
              </w:rPr>
            </w:pPr>
            <w:r w:rsidRPr="00405303">
              <w:rPr>
                <w:bCs/>
                <w:color w:val="002060"/>
                <w:sz w:val="16"/>
                <w:szCs w:val="16"/>
              </w:rPr>
              <w:t>Май 27 (9 июня) 1915</w:t>
            </w:r>
          </w:p>
        </w:tc>
        <w:tc>
          <w:tcPr>
            <w:tcW w:w="1170" w:type="dxa"/>
            <w:shd w:val="clear" w:color="auto" w:fill="FFFFFF"/>
          </w:tcPr>
          <w:p w14:paraId="72354DF0" w14:textId="77777777" w:rsidR="004B4E35" w:rsidRPr="00405303" w:rsidRDefault="009E6F82" w:rsidP="00C15251">
            <w:pPr>
              <w:jc w:val="both"/>
              <w:rPr>
                <w:bCs/>
                <w:color w:val="002060"/>
                <w:sz w:val="16"/>
                <w:szCs w:val="16"/>
              </w:rPr>
            </w:pPr>
            <w:r w:rsidRPr="00405303">
              <w:rPr>
                <w:bCs/>
                <w:color w:val="002060"/>
                <w:sz w:val="16"/>
                <w:szCs w:val="16"/>
              </w:rPr>
              <w:t>12</w:t>
            </w:r>
          </w:p>
        </w:tc>
        <w:tc>
          <w:tcPr>
            <w:tcW w:w="6858" w:type="dxa"/>
            <w:shd w:val="clear" w:color="auto" w:fill="FFFFFF"/>
          </w:tcPr>
          <w:p w14:paraId="01FBDD10" w14:textId="77777777" w:rsidR="004B4E35" w:rsidRPr="00405303" w:rsidRDefault="009E6F82" w:rsidP="00C15251">
            <w:pPr>
              <w:jc w:val="both"/>
              <w:rPr>
                <w:bCs/>
                <w:color w:val="002060"/>
                <w:sz w:val="16"/>
                <w:szCs w:val="16"/>
              </w:rPr>
            </w:pPr>
            <w:r w:rsidRPr="00405303">
              <w:rPr>
                <w:bCs/>
                <w:color w:val="002060"/>
                <w:sz w:val="16"/>
                <w:szCs w:val="16"/>
              </w:rPr>
              <w:t>9 тыс. 500 руб. за аппарат без мотора, срок исполнения с 30 мая по 15 июля 1915 г. (выполнен к 20 июля 1915 г.)</w:t>
            </w:r>
          </w:p>
        </w:tc>
      </w:tr>
      <w:tr w:rsidR="004B4E35" w:rsidRPr="00405303" w14:paraId="4E1D5786" w14:textId="77777777">
        <w:tc>
          <w:tcPr>
            <w:tcW w:w="1548" w:type="dxa"/>
            <w:shd w:val="clear" w:color="auto" w:fill="FFFFFF"/>
          </w:tcPr>
          <w:p w14:paraId="10C64779" w14:textId="77777777" w:rsidR="004B4E35" w:rsidRPr="00405303" w:rsidRDefault="009E6F82" w:rsidP="00C15251">
            <w:pPr>
              <w:jc w:val="both"/>
              <w:rPr>
                <w:bCs/>
                <w:color w:val="002060"/>
                <w:sz w:val="16"/>
                <w:szCs w:val="16"/>
              </w:rPr>
            </w:pPr>
            <w:r w:rsidRPr="00405303">
              <w:rPr>
                <w:bCs/>
                <w:color w:val="002060"/>
                <w:sz w:val="16"/>
                <w:szCs w:val="16"/>
              </w:rPr>
              <w:t>Июль 17 1915</w:t>
            </w:r>
          </w:p>
        </w:tc>
        <w:tc>
          <w:tcPr>
            <w:tcW w:w="1170" w:type="dxa"/>
            <w:shd w:val="clear" w:color="auto" w:fill="FFFFFF"/>
          </w:tcPr>
          <w:p w14:paraId="21B0BA23" w14:textId="77777777" w:rsidR="004B4E35" w:rsidRPr="00405303" w:rsidRDefault="009E6F82" w:rsidP="00C15251">
            <w:pPr>
              <w:jc w:val="both"/>
              <w:rPr>
                <w:bCs/>
                <w:color w:val="002060"/>
                <w:sz w:val="16"/>
                <w:szCs w:val="16"/>
              </w:rPr>
            </w:pPr>
            <w:r w:rsidRPr="00405303">
              <w:rPr>
                <w:bCs/>
                <w:color w:val="002060"/>
                <w:sz w:val="16"/>
                <w:szCs w:val="16"/>
              </w:rPr>
              <w:t>10</w:t>
            </w:r>
          </w:p>
        </w:tc>
        <w:tc>
          <w:tcPr>
            <w:tcW w:w="6858" w:type="dxa"/>
            <w:shd w:val="clear" w:color="auto" w:fill="FFFFFF"/>
          </w:tcPr>
          <w:p w14:paraId="13E187A4" w14:textId="77777777" w:rsidR="004B4E35" w:rsidRPr="00405303" w:rsidRDefault="009E6F82" w:rsidP="00C15251">
            <w:pPr>
              <w:jc w:val="both"/>
              <w:rPr>
                <w:bCs/>
                <w:color w:val="002060"/>
                <w:sz w:val="16"/>
                <w:szCs w:val="16"/>
              </w:rPr>
            </w:pPr>
            <w:r w:rsidRPr="00405303">
              <w:rPr>
                <w:bCs/>
                <w:color w:val="002060"/>
                <w:sz w:val="16"/>
                <w:szCs w:val="16"/>
              </w:rPr>
              <w:t>выполнен к 10 сентября 1915 г.</w:t>
            </w:r>
          </w:p>
        </w:tc>
      </w:tr>
      <w:tr w:rsidR="004B4E35" w:rsidRPr="00405303" w14:paraId="2EE55811" w14:textId="77777777">
        <w:tc>
          <w:tcPr>
            <w:tcW w:w="1548" w:type="dxa"/>
            <w:shd w:val="clear" w:color="auto" w:fill="FFFFFF"/>
          </w:tcPr>
          <w:p w14:paraId="56B38B51" w14:textId="77777777" w:rsidR="004B4E35" w:rsidRPr="00405303" w:rsidRDefault="009E6F82" w:rsidP="00C15251">
            <w:pPr>
              <w:jc w:val="both"/>
              <w:rPr>
                <w:bCs/>
                <w:color w:val="002060"/>
                <w:sz w:val="16"/>
                <w:szCs w:val="16"/>
              </w:rPr>
            </w:pPr>
            <w:r w:rsidRPr="00405303">
              <w:rPr>
                <w:bCs/>
                <w:color w:val="002060"/>
                <w:sz w:val="16"/>
                <w:szCs w:val="16"/>
              </w:rPr>
              <w:t>Август 10 1915</w:t>
            </w:r>
          </w:p>
        </w:tc>
        <w:tc>
          <w:tcPr>
            <w:tcW w:w="1170" w:type="dxa"/>
            <w:shd w:val="clear" w:color="auto" w:fill="FFFFFF"/>
          </w:tcPr>
          <w:p w14:paraId="40F481E2" w14:textId="77777777" w:rsidR="004B4E35" w:rsidRPr="00405303" w:rsidRDefault="009E6F82" w:rsidP="00C15251">
            <w:pPr>
              <w:jc w:val="both"/>
              <w:rPr>
                <w:bCs/>
                <w:color w:val="002060"/>
                <w:sz w:val="16"/>
                <w:szCs w:val="16"/>
              </w:rPr>
            </w:pPr>
            <w:r w:rsidRPr="00405303">
              <w:rPr>
                <w:bCs/>
                <w:color w:val="002060"/>
                <w:sz w:val="16"/>
                <w:szCs w:val="16"/>
              </w:rPr>
              <w:t>3</w:t>
            </w:r>
          </w:p>
        </w:tc>
        <w:tc>
          <w:tcPr>
            <w:tcW w:w="6858" w:type="dxa"/>
            <w:shd w:val="clear" w:color="auto" w:fill="FFFFFF"/>
          </w:tcPr>
          <w:p w14:paraId="7F27A4AC" w14:textId="77777777" w:rsidR="004B4E35" w:rsidRPr="00405303" w:rsidRDefault="009E6F82" w:rsidP="00C15251">
            <w:pPr>
              <w:jc w:val="both"/>
              <w:rPr>
                <w:bCs/>
                <w:color w:val="002060"/>
                <w:sz w:val="16"/>
                <w:szCs w:val="16"/>
              </w:rPr>
            </w:pPr>
            <w:r w:rsidRPr="00405303">
              <w:rPr>
                <w:bCs/>
                <w:color w:val="002060"/>
                <w:sz w:val="16"/>
                <w:szCs w:val="16"/>
              </w:rPr>
              <w:t>выполнен к 20 июля 1915г.</w:t>
            </w:r>
          </w:p>
        </w:tc>
      </w:tr>
      <w:tr w:rsidR="004B4E35" w:rsidRPr="00405303" w14:paraId="7712B678" w14:textId="77777777">
        <w:tc>
          <w:tcPr>
            <w:tcW w:w="1548" w:type="dxa"/>
            <w:shd w:val="clear" w:color="auto" w:fill="FFFFFF"/>
          </w:tcPr>
          <w:p w14:paraId="2F704823" w14:textId="77777777" w:rsidR="004B4E35" w:rsidRPr="00405303" w:rsidRDefault="009E6F82" w:rsidP="00C15251">
            <w:pPr>
              <w:jc w:val="both"/>
              <w:rPr>
                <w:bCs/>
                <w:color w:val="002060"/>
                <w:sz w:val="16"/>
                <w:szCs w:val="16"/>
              </w:rPr>
            </w:pPr>
            <w:r w:rsidRPr="00405303">
              <w:rPr>
                <w:bCs/>
                <w:color w:val="002060"/>
                <w:sz w:val="16"/>
                <w:szCs w:val="16"/>
              </w:rPr>
              <w:t>Ноябрь 12 1915</w:t>
            </w:r>
          </w:p>
        </w:tc>
        <w:tc>
          <w:tcPr>
            <w:tcW w:w="1170" w:type="dxa"/>
            <w:shd w:val="clear" w:color="auto" w:fill="FFFFFF"/>
          </w:tcPr>
          <w:p w14:paraId="018C36E4" w14:textId="77777777" w:rsidR="004B4E35" w:rsidRPr="00405303" w:rsidRDefault="009E6F82" w:rsidP="00C15251">
            <w:pPr>
              <w:jc w:val="both"/>
              <w:rPr>
                <w:bCs/>
                <w:color w:val="002060"/>
                <w:sz w:val="16"/>
                <w:szCs w:val="16"/>
              </w:rPr>
            </w:pPr>
            <w:r w:rsidRPr="00405303">
              <w:rPr>
                <w:bCs/>
                <w:color w:val="002060"/>
                <w:sz w:val="16"/>
                <w:szCs w:val="16"/>
              </w:rPr>
              <w:t>16</w:t>
            </w:r>
          </w:p>
        </w:tc>
        <w:tc>
          <w:tcPr>
            <w:tcW w:w="6858" w:type="dxa"/>
            <w:shd w:val="clear" w:color="auto" w:fill="FFFFFF"/>
          </w:tcPr>
          <w:p w14:paraId="7B2289F0" w14:textId="77777777" w:rsidR="004B4E35" w:rsidRPr="00405303" w:rsidRDefault="009E6F82" w:rsidP="00C15251">
            <w:pPr>
              <w:jc w:val="both"/>
              <w:rPr>
                <w:bCs/>
                <w:color w:val="002060"/>
                <w:sz w:val="16"/>
                <w:szCs w:val="16"/>
              </w:rPr>
            </w:pPr>
            <w:r w:rsidRPr="00405303">
              <w:rPr>
                <w:bCs/>
                <w:color w:val="002060"/>
                <w:sz w:val="16"/>
                <w:szCs w:val="16"/>
              </w:rPr>
              <w:t>10 тыс. 500 руб. за аппарат без мотора, срок исполнения ноябрь 1915-март 1916 гг. (выполнен к 27 мая 1916 г.) ПРИМЕЧАНИЯ: аппараты с номерами 440 и 441 имели депердюссеновскую систему управления</w:t>
            </w:r>
          </w:p>
        </w:tc>
      </w:tr>
      <w:tr w:rsidR="004B4E35" w:rsidRPr="00405303" w14:paraId="5D788B4E" w14:textId="77777777">
        <w:tc>
          <w:tcPr>
            <w:tcW w:w="1548" w:type="dxa"/>
            <w:shd w:val="clear" w:color="auto" w:fill="FFFFFF"/>
          </w:tcPr>
          <w:p w14:paraId="23EF0FC2" w14:textId="77777777" w:rsidR="004B4E35" w:rsidRPr="00405303" w:rsidRDefault="009E6F82" w:rsidP="00C15251">
            <w:pPr>
              <w:jc w:val="both"/>
              <w:rPr>
                <w:bCs/>
                <w:color w:val="002060"/>
                <w:sz w:val="16"/>
                <w:szCs w:val="16"/>
              </w:rPr>
            </w:pPr>
            <w:r w:rsidRPr="00405303">
              <w:rPr>
                <w:bCs/>
                <w:color w:val="002060"/>
                <w:sz w:val="16"/>
                <w:szCs w:val="16"/>
              </w:rPr>
              <w:t>Декабрь 21 1915</w:t>
            </w:r>
          </w:p>
        </w:tc>
        <w:tc>
          <w:tcPr>
            <w:tcW w:w="1170" w:type="dxa"/>
            <w:shd w:val="clear" w:color="auto" w:fill="FFFFFF"/>
          </w:tcPr>
          <w:p w14:paraId="253C4A30" w14:textId="77777777" w:rsidR="004B4E35" w:rsidRPr="00405303" w:rsidRDefault="009E6F82" w:rsidP="00C15251">
            <w:pPr>
              <w:jc w:val="both"/>
              <w:rPr>
                <w:bCs/>
                <w:color w:val="002060"/>
                <w:sz w:val="16"/>
                <w:szCs w:val="16"/>
              </w:rPr>
            </w:pPr>
            <w:r w:rsidRPr="00405303">
              <w:rPr>
                <w:bCs/>
                <w:color w:val="002060"/>
                <w:sz w:val="16"/>
                <w:szCs w:val="16"/>
              </w:rPr>
              <w:t>10</w:t>
            </w:r>
          </w:p>
        </w:tc>
        <w:tc>
          <w:tcPr>
            <w:tcW w:w="6858" w:type="dxa"/>
            <w:shd w:val="clear" w:color="auto" w:fill="FFFFFF"/>
          </w:tcPr>
          <w:p w14:paraId="14F6DC92" w14:textId="77777777" w:rsidR="004B4E35" w:rsidRPr="00405303" w:rsidRDefault="009E6F82" w:rsidP="00C15251">
            <w:pPr>
              <w:jc w:val="both"/>
              <w:rPr>
                <w:bCs/>
                <w:color w:val="002060"/>
                <w:sz w:val="16"/>
                <w:szCs w:val="16"/>
              </w:rPr>
            </w:pPr>
            <w:r w:rsidRPr="00405303">
              <w:rPr>
                <w:bCs/>
                <w:color w:val="002060"/>
                <w:sz w:val="16"/>
                <w:szCs w:val="16"/>
              </w:rPr>
              <w:t>10 корпусов без хвостовых оперений и мотора, но с сиденьями, по цене 4 тыс. 750 руб. за каждый</w:t>
            </w:r>
          </w:p>
        </w:tc>
      </w:tr>
      <w:tr w:rsidR="004B4E35" w:rsidRPr="00405303" w14:paraId="58665B78" w14:textId="77777777">
        <w:tc>
          <w:tcPr>
            <w:tcW w:w="1548" w:type="dxa"/>
            <w:shd w:val="clear" w:color="auto" w:fill="FFFFFF"/>
          </w:tcPr>
          <w:p w14:paraId="74850700" w14:textId="77777777" w:rsidR="004B4E35" w:rsidRPr="00405303" w:rsidRDefault="009E6F82" w:rsidP="00C15251">
            <w:pPr>
              <w:jc w:val="both"/>
              <w:rPr>
                <w:bCs/>
                <w:color w:val="002060"/>
                <w:sz w:val="16"/>
                <w:szCs w:val="16"/>
              </w:rPr>
            </w:pPr>
            <w:r w:rsidRPr="00405303">
              <w:rPr>
                <w:bCs/>
                <w:color w:val="002060"/>
                <w:sz w:val="16"/>
                <w:szCs w:val="16"/>
              </w:rPr>
              <w:t>Апрель 1 1916</w:t>
            </w:r>
          </w:p>
        </w:tc>
        <w:tc>
          <w:tcPr>
            <w:tcW w:w="1170" w:type="dxa"/>
            <w:shd w:val="clear" w:color="auto" w:fill="FFFFFF"/>
          </w:tcPr>
          <w:p w14:paraId="2E6A78C5" w14:textId="77777777" w:rsidR="004B4E35" w:rsidRPr="00405303" w:rsidRDefault="009E6F82" w:rsidP="00C15251">
            <w:pPr>
              <w:jc w:val="both"/>
              <w:rPr>
                <w:bCs/>
                <w:color w:val="002060"/>
                <w:sz w:val="16"/>
                <w:szCs w:val="16"/>
              </w:rPr>
            </w:pPr>
            <w:r w:rsidRPr="00405303">
              <w:rPr>
                <w:bCs/>
                <w:color w:val="002060"/>
                <w:sz w:val="16"/>
                <w:szCs w:val="16"/>
              </w:rPr>
              <w:t>35</w:t>
            </w:r>
          </w:p>
        </w:tc>
        <w:tc>
          <w:tcPr>
            <w:tcW w:w="6858" w:type="dxa"/>
            <w:shd w:val="clear" w:color="auto" w:fill="FFFFFF"/>
          </w:tcPr>
          <w:p w14:paraId="45A7FB74" w14:textId="77777777" w:rsidR="004B4E35" w:rsidRPr="00405303" w:rsidRDefault="009E6F82" w:rsidP="00C15251">
            <w:pPr>
              <w:jc w:val="both"/>
              <w:rPr>
                <w:bCs/>
                <w:color w:val="002060"/>
                <w:sz w:val="16"/>
                <w:szCs w:val="16"/>
              </w:rPr>
            </w:pPr>
            <w:r w:rsidRPr="00405303">
              <w:rPr>
                <w:bCs/>
                <w:color w:val="002060"/>
                <w:sz w:val="16"/>
                <w:szCs w:val="16"/>
              </w:rPr>
              <w:t>выполнен к 23 сентября 1916 г.</w:t>
            </w:r>
          </w:p>
        </w:tc>
      </w:tr>
      <w:tr w:rsidR="004B4E35" w:rsidRPr="00405303" w14:paraId="09CE7D3D" w14:textId="77777777">
        <w:tc>
          <w:tcPr>
            <w:tcW w:w="1548" w:type="dxa"/>
            <w:shd w:val="clear" w:color="auto" w:fill="FFFFFF"/>
          </w:tcPr>
          <w:p w14:paraId="69CFEBA0" w14:textId="77777777" w:rsidR="004B4E35" w:rsidRPr="00405303" w:rsidRDefault="009E6F82" w:rsidP="00C15251">
            <w:pPr>
              <w:jc w:val="both"/>
              <w:rPr>
                <w:bCs/>
                <w:color w:val="002060"/>
                <w:sz w:val="16"/>
                <w:szCs w:val="16"/>
              </w:rPr>
            </w:pPr>
            <w:r w:rsidRPr="00405303">
              <w:rPr>
                <w:bCs/>
                <w:color w:val="002060"/>
                <w:sz w:val="16"/>
                <w:szCs w:val="16"/>
              </w:rPr>
              <w:t>Июнь 16 1916</w:t>
            </w:r>
          </w:p>
        </w:tc>
        <w:tc>
          <w:tcPr>
            <w:tcW w:w="1170" w:type="dxa"/>
            <w:shd w:val="clear" w:color="auto" w:fill="FFFFFF"/>
          </w:tcPr>
          <w:p w14:paraId="688F3B94" w14:textId="77777777" w:rsidR="004B4E35" w:rsidRPr="00405303" w:rsidRDefault="009E6F82" w:rsidP="00C15251">
            <w:pPr>
              <w:jc w:val="both"/>
              <w:rPr>
                <w:bCs/>
                <w:color w:val="002060"/>
                <w:sz w:val="16"/>
                <w:szCs w:val="16"/>
              </w:rPr>
            </w:pPr>
            <w:r w:rsidRPr="00405303">
              <w:rPr>
                <w:bCs/>
                <w:color w:val="002060"/>
                <w:sz w:val="16"/>
                <w:szCs w:val="16"/>
              </w:rPr>
              <w:t>20</w:t>
            </w:r>
          </w:p>
        </w:tc>
        <w:tc>
          <w:tcPr>
            <w:tcW w:w="6858" w:type="dxa"/>
            <w:shd w:val="clear" w:color="auto" w:fill="FFFFFF"/>
          </w:tcPr>
          <w:p w14:paraId="59ED9087" w14:textId="77777777" w:rsidR="004B4E35" w:rsidRPr="00405303" w:rsidRDefault="009E6F82" w:rsidP="00C15251">
            <w:pPr>
              <w:jc w:val="both"/>
              <w:rPr>
                <w:bCs/>
                <w:color w:val="002060"/>
                <w:sz w:val="16"/>
                <w:szCs w:val="16"/>
              </w:rPr>
            </w:pPr>
            <w:r w:rsidRPr="00405303">
              <w:rPr>
                <w:bCs/>
                <w:color w:val="002060"/>
                <w:sz w:val="16"/>
                <w:szCs w:val="16"/>
              </w:rPr>
              <w:t>10 тыс. 500 руб. за аппарат без мотора, срок исполнения июль-август 1916 г. (выполнен к 20 мая 1917 г.)</w:t>
            </w:r>
          </w:p>
        </w:tc>
      </w:tr>
      <w:tr w:rsidR="004B4E35" w:rsidRPr="00405303" w14:paraId="53DD0421" w14:textId="77777777">
        <w:tc>
          <w:tcPr>
            <w:tcW w:w="1548" w:type="dxa"/>
            <w:shd w:val="clear" w:color="auto" w:fill="FFFFFF"/>
          </w:tcPr>
          <w:p w14:paraId="51A739BE" w14:textId="77777777" w:rsidR="004B4E35" w:rsidRPr="00405303" w:rsidRDefault="009E6F82" w:rsidP="00C15251">
            <w:pPr>
              <w:jc w:val="both"/>
              <w:rPr>
                <w:bCs/>
                <w:color w:val="002060"/>
                <w:sz w:val="16"/>
                <w:szCs w:val="16"/>
              </w:rPr>
            </w:pPr>
            <w:r w:rsidRPr="00405303">
              <w:rPr>
                <w:bCs/>
                <w:color w:val="002060"/>
                <w:sz w:val="16"/>
                <w:szCs w:val="16"/>
              </w:rPr>
              <w:t xml:space="preserve">Июнь </w:t>
            </w:r>
            <w:r w:rsidRPr="00405303">
              <w:rPr>
                <w:bCs/>
                <w:i/>
                <w:color w:val="002060"/>
                <w:sz w:val="16"/>
                <w:szCs w:val="16"/>
              </w:rPr>
              <w:t xml:space="preserve">1 </w:t>
            </w:r>
            <w:r w:rsidRPr="00405303">
              <w:rPr>
                <w:bCs/>
                <w:color w:val="002060"/>
                <w:sz w:val="16"/>
                <w:szCs w:val="16"/>
              </w:rPr>
              <w:t>1916</w:t>
            </w:r>
          </w:p>
        </w:tc>
        <w:tc>
          <w:tcPr>
            <w:tcW w:w="1170" w:type="dxa"/>
            <w:shd w:val="clear" w:color="auto" w:fill="FFFFFF"/>
          </w:tcPr>
          <w:p w14:paraId="175F0ACA" w14:textId="77777777" w:rsidR="004B4E35" w:rsidRPr="00405303" w:rsidRDefault="009E6F82" w:rsidP="00C15251">
            <w:pPr>
              <w:jc w:val="both"/>
              <w:rPr>
                <w:bCs/>
                <w:color w:val="002060"/>
                <w:sz w:val="16"/>
                <w:szCs w:val="16"/>
              </w:rPr>
            </w:pPr>
            <w:r w:rsidRPr="00405303">
              <w:rPr>
                <w:bCs/>
                <w:color w:val="002060"/>
                <w:sz w:val="16"/>
                <w:szCs w:val="16"/>
              </w:rPr>
              <w:t>20</w:t>
            </w:r>
          </w:p>
        </w:tc>
        <w:tc>
          <w:tcPr>
            <w:tcW w:w="6858" w:type="dxa"/>
            <w:shd w:val="clear" w:color="auto" w:fill="FFFFFF"/>
          </w:tcPr>
          <w:p w14:paraId="342D95EA" w14:textId="77777777" w:rsidR="004B4E35" w:rsidRPr="00405303" w:rsidRDefault="009E6F82" w:rsidP="00C15251">
            <w:pPr>
              <w:jc w:val="both"/>
              <w:rPr>
                <w:bCs/>
                <w:color w:val="002060"/>
                <w:sz w:val="16"/>
                <w:szCs w:val="16"/>
              </w:rPr>
            </w:pPr>
            <w:r w:rsidRPr="00405303">
              <w:rPr>
                <w:bCs/>
                <w:color w:val="002060"/>
                <w:sz w:val="16"/>
                <w:szCs w:val="16"/>
              </w:rPr>
              <w:t>заказ на 20 запасных аппаратов, но затем некоторые из них все же использовались как боевые; контракт выполнен к апрелю 1917 г.</w:t>
            </w:r>
          </w:p>
        </w:tc>
      </w:tr>
      <w:tr w:rsidR="004B4E35" w:rsidRPr="00405303" w14:paraId="1C78A2DB" w14:textId="77777777">
        <w:tc>
          <w:tcPr>
            <w:tcW w:w="1548" w:type="dxa"/>
            <w:shd w:val="clear" w:color="auto" w:fill="FFFFFF"/>
          </w:tcPr>
          <w:p w14:paraId="60F442D3" w14:textId="77777777" w:rsidR="004B4E35" w:rsidRPr="00405303" w:rsidRDefault="009E6F82" w:rsidP="00C15251">
            <w:pPr>
              <w:jc w:val="both"/>
              <w:rPr>
                <w:bCs/>
                <w:color w:val="002060"/>
                <w:sz w:val="16"/>
                <w:szCs w:val="16"/>
              </w:rPr>
            </w:pPr>
            <w:r w:rsidRPr="00405303">
              <w:rPr>
                <w:bCs/>
                <w:color w:val="002060"/>
                <w:sz w:val="16"/>
                <w:szCs w:val="16"/>
              </w:rPr>
              <w:t>Сентябрь 22 1916</w:t>
            </w:r>
          </w:p>
        </w:tc>
        <w:tc>
          <w:tcPr>
            <w:tcW w:w="1170" w:type="dxa"/>
            <w:shd w:val="clear" w:color="auto" w:fill="FFFFFF"/>
          </w:tcPr>
          <w:p w14:paraId="15B47484" w14:textId="77777777" w:rsidR="004B4E35" w:rsidRPr="00405303" w:rsidRDefault="009E6F82" w:rsidP="00C15251">
            <w:pPr>
              <w:jc w:val="both"/>
              <w:rPr>
                <w:bCs/>
                <w:color w:val="002060"/>
                <w:sz w:val="16"/>
                <w:szCs w:val="16"/>
              </w:rPr>
            </w:pPr>
            <w:r w:rsidRPr="00405303">
              <w:rPr>
                <w:bCs/>
                <w:color w:val="002060"/>
                <w:sz w:val="16"/>
                <w:szCs w:val="16"/>
              </w:rPr>
              <w:t>30</w:t>
            </w:r>
          </w:p>
        </w:tc>
        <w:tc>
          <w:tcPr>
            <w:tcW w:w="6858" w:type="dxa"/>
            <w:shd w:val="clear" w:color="auto" w:fill="FFFFFF"/>
          </w:tcPr>
          <w:p w14:paraId="46E6B9F4" w14:textId="77777777" w:rsidR="004B4E35" w:rsidRPr="00405303" w:rsidRDefault="009E6F82" w:rsidP="00C15251">
            <w:pPr>
              <w:jc w:val="both"/>
              <w:rPr>
                <w:bCs/>
                <w:color w:val="002060"/>
                <w:sz w:val="16"/>
                <w:szCs w:val="16"/>
              </w:rPr>
            </w:pPr>
            <w:r w:rsidRPr="00405303">
              <w:rPr>
                <w:bCs/>
                <w:color w:val="002060"/>
                <w:sz w:val="16"/>
                <w:szCs w:val="16"/>
              </w:rPr>
              <w:t>11 тыс. руб. за аппарат без мотора; полезная нагрузкасниже-на до 275 кг; срок исполнения с 1 октября по 1 декабря 1916 г. (выполнен к концу августа 1917 г.)</w:t>
            </w:r>
          </w:p>
        </w:tc>
      </w:tr>
      <w:tr w:rsidR="004B4E35" w:rsidRPr="00405303" w14:paraId="28B9B0AB" w14:textId="77777777">
        <w:tc>
          <w:tcPr>
            <w:tcW w:w="1548" w:type="dxa"/>
            <w:shd w:val="clear" w:color="auto" w:fill="FFFFFF"/>
          </w:tcPr>
          <w:p w14:paraId="5B0C5D89" w14:textId="77777777" w:rsidR="004B4E35" w:rsidRPr="00405303" w:rsidRDefault="009E6F82" w:rsidP="00C15251">
            <w:pPr>
              <w:jc w:val="both"/>
              <w:rPr>
                <w:bCs/>
                <w:color w:val="002060"/>
                <w:sz w:val="16"/>
                <w:szCs w:val="16"/>
              </w:rPr>
            </w:pPr>
            <w:r w:rsidRPr="00405303">
              <w:rPr>
                <w:bCs/>
                <w:color w:val="002060"/>
                <w:sz w:val="16"/>
                <w:szCs w:val="16"/>
              </w:rPr>
              <w:t>Апрель 27 1917</w:t>
            </w:r>
          </w:p>
        </w:tc>
        <w:tc>
          <w:tcPr>
            <w:tcW w:w="1170" w:type="dxa"/>
            <w:shd w:val="clear" w:color="auto" w:fill="FFFFFF"/>
          </w:tcPr>
          <w:p w14:paraId="046D3088" w14:textId="77777777" w:rsidR="004B4E35" w:rsidRPr="00405303" w:rsidRDefault="009E6F82" w:rsidP="00C15251">
            <w:pPr>
              <w:jc w:val="both"/>
              <w:rPr>
                <w:bCs/>
                <w:color w:val="002060"/>
                <w:sz w:val="16"/>
                <w:szCs w:val="16"/>
              </w:rPr>
            </w:pPr>
            <w:r w:rsidRPr="00405303">
              <w:rPr>
                <w:bCs/>
                <w:color w:val="002060"/>
                <w:sz w:val="16"/>
                <w:szCs w:val="16"/>
              </w:rPr>
              <w:t>70</w:t>
            </w:r>
          </w:p>
        </w:tc>
        <w:tc>
          <w:tcPr>
            <w:tcW w:w="6858" w:type="dxa"/>
            <w:shd w:val="clear" w:color="auto" w:fill="FFFFFF"/>
          </w:tcPr>
          <w:p w14:paraId="6BEB8A20" w14:textId="77777777" w:rsidR="004B4E35" w:rsidRPr="00405303" w:rsidRDefault="009E6F82" w:rsidP="00C15251">
            <w:pPr>
              <w:jc w:val="both"/>
              <w:rPr>
                <w:bCs/>
                <w:color w:val="002060"/>
                <w:sz w:val="16"/>
                <w:szCs w:val="16"/>
              </w:rPr>
            </w:pPr>
            <w:r w:rsidRPr="00405303">
              <w:rPr>
                <w:bCs/>
                <w:color w:val="002060"/>
                <w:sz w:val="16"/>
                <w:szCs w:val="16"/>
              </w:rPr>
              <w:t>II тыс. руб. за аппарат без мотора, с уплатой 10% лицензион</w:t>
            </w:r>
            <w:r w:rsidRPr="00405303">
              <w:rPr>
                <w:bCs/>
                <w:color w:val="002060"/>
                <w:sz w:val="16"/>
                <w:szCs w:val="16"/>
              </w:rPr>
              <w:softHyphen/>
              <w:t>ной стоимости ПРТВ; аппараты под мотор «Рон» 110 л. с. или «Гном-Моносупап» 100-110 л. с.; полезная нагрузка 300 кг, скороподъемность 500 м за 5 мин., 1000 м за 10 мин., 2000 м за 30 мин., скорость 100 км/ч, запасы бензина/масла 215/21 л; срок исполнения с 1 декабря 1917 г. по 1 апреля 1918 г. (аннулирован к 2 ноября 1917 г.)</w:t>
            </w:r>
          </w:p>
          <w:p w14:paraId="461EDAB8" w14:textId="77777777" w:rsidR="004B4E35" w:rsidRPr="00405303" w:rsidRDefault="009E6F82" w:rsidP="00C15251">
            <w:pPr>
              <w:jc w:val="both"/>
              <w:rPr>
                <w:bCs/>
                <w:color w:val="002060"/>
                <w:sz w:val="16"/>
                <w:szCs w:val="16"/>
              </w:rPr>
            </w:pPr>
            <w:r w:rsidRPr="00405303">
              <w:rPr>
                <w:bCs/>
                <w:color w:val="002060"/>
                <w:sz w:val="16"/>
                <w:szCs w:val="16"/>
              </w:rPr>
              <w:t>ПРИМЕЧАНИЯ: условный контракт, данный компании Ф. Мельцера в Петрограде</w:t>
            </w:r>
          </w:p>
        </w:tc>
      </w:tr>
      <w:tr w:rsidR="004B4E35" w:rsidRPr="00405303" w14:paraId="5AE40CFF" w14:textId="77777777">
        <w:tc>
          <w:tcPr>
            <w:tcW w:w="1548" w:type="dxa"/>
            <w:shd w:val="clear" w:color="auto" w:fill="FFFFFF"/>
          </w:tcPr>
          <w:p w14:paraId="76BB5234" w14:textId="77777777" w:rsidR="004B4E35" w:rsidRPr="00405303" w:rsidRDefault="009E6F82" w:rsidP="00C15251">
            <w:pPr>
              <w:jc w:val="both"/>
              <w:rPr>
                <w:bCs/>
                <w:color w:val="002060"/>
                <w:sz w:val="16"/>
                <w:szCs w:val="16"/>
              </w:rPr>
            </w:pPr>
            <w:r w:rsidRPr="00405303">
              <w:rPr>
                <w:bCs/>
                <w:color w:val="002060"/>
                <w:sz w:val="16"/>
                <w:szCs w:val="16"/>
              </w:rPr>
              <w:t>Апрель 29 1917</w:t>
            </w:r>
          </w:p>
        </w:tc>
        <w:tc>
          <w:tcPr>
            <w:tcW w:w="1170" w:type="dxa"/>
            <w:shd w:val="clear" w:color="auto" w:fill="FFFFFF"/>
          </w:tcPr>
          <w:p w14:paraId="0B4D9D0A" w14:textId="77777777" w:rsidR="004B4E35" w:rsidRPr="00405303" w:rsidRDefault="009E6F82" w:rsidP="00C15251">
            <w:pPr>
              <w:jc w:val="both"/>
              <w:rPr>
                <w:bCs/>
                <w:color w:val="002060"/>
                <w:sz w:val="16"/>
                <w:szCs w:val="16"/>
              </w:rPr>
            </w:pPr>
            <w:r w:rsidRPr="00405303">
              <w:rPr>
                <w:bCs/>
                <w:color w:val="002060"/>
                <w:sz w:val="16"/>
                <w:szCs w:val="16"/>
              </w:rPr>
              <w:t>10</w:t>
            </w:r>
          </w:p>
        </w:tc>
        <w:tc>
          <w:tcPr>
            <w:tcW w:w="6858" w:type="dxa"/>
            <w:shd w:val="clear" w:color="auto" w:fill="FFFFFF"/>
          </w:tcPr>
          <w:p w14:paraId="3B8E3DC2" w14:textId="77777777" w:rsidR="004B4E35" w:rsidRPr="00405303" w:rsidRDefault="009E6F82" w:rsidP="00C15251">
            <w:pPr>
              <w:jc w:val="both"/>
              <w:rPr>
                <w:bCs/>
                <w:color w:val="002060"/>
                <w:sz w:val="16"/>
                <w:szCs w:val="16"/>
              </w:rPr>
            </w:pPr>
            <w:r w:rsidRPr="00405303">
              <w:rPr>
                <w:bCs/>
                <w:color w:val="002060"/>
                <w:sz w:val="16"/>
                <w:szCs w:val="16"/>
              </w:rPr>
              <w:t>ПРИМЕЧАНИЯ: 10 запасных корпусов; выполнен к 25 мая 1917 г.; возможно, помимо корпусов поставлено и 20 запасных нижних крыльев</w:t>
            </w:r>
          </w:p>
        </w:tc>
      </w:tr>
      <w:tr w:rsidR="004B4E35" w:rsidRPr="00405303" w14:paraId="2405AA9D" w14:textId="77777777">
        <w:tc>
          <w:tcPr>
            <w:tcW w:w="1548" w:type="dxa"/>
            <w:shd w:val="clear" w:color="auto" w:fill="FFFFFF"/>
          </w:tcPr>
          <w:p w14:paraId="79D38473" w14:textId="77777777" w:rsidR="004B4E35" w:rsidRPr="00405303" w:rsidRDefault="009E6F82" w:rsidP="00C15251">
            <w:pPr>
              <w:jc w:val="both"/>
              <w:rPr>
                <w:bCs/>
                <w:color w:val="002060"/>
                <w:sz w:val="16"/>
                <w:szCs w:val="16"/>
              </w:rPr>
            </w:pPr>
            <w:r w:rsidRPr="00405303">
              <w:rPr>
                <w:bCs/>
                <w:color w:val="002060"/>
                <w:sz w:val="16"/>
                <w:szCs w:val="16"/>
              </w:rPr>
              <w:t>Май 26 1917</w:t>
            </w:r>
          </w:p>
        </w:tc>
        <w:tc>
          <w:tcPr>
            <w:tcW w:w="1170" w:type="dxa"/>
            <w:shd w:val="clear" w:color="auto" w:fill="FFFFFF"/>
          </w:tcPr>
          <w:p w14:paraId="428D2C9C" w14:textId="77777777" w:rsidR="004B4E35" w:rsidRPr="00405303" w:rsidRDefault="009E6F82" w:rsidP="00C15251">
            <w:pPr>
              <w:jc w:val="both"/>
              <w:rPr>
                <w:bCs/>
                <w:color w:val="002060"/>
                <w:sz w:val="16"/>
                <w:szCs w:val="16"/>
              </w:rPr>
            </w:pPr>
            <w:r w:rsidRPr="00405303">
              <w:rPr>
                <w:bCs/>
                <w:color w:val="002060"/>
                <w:sz w:val="16"/>
                <w:szCs w:val="16"/>
              </w:rPr>
              <w:t>25</w:t>
            </w:r>
          </w:p>
        </w:tc>
        <w:tc>
          <w:tcPr>
            <w:tcW w:w="6858" w:type="dxa"/>
            <w:shd w:val="clear" w:color="auto" w:fill="FFFFFF"/>
          </w:tcPr>
          <w:p w14:paraId="3CF527D3" w14:textId="77777777" w:rsidR="004B4E35" w:rsidRPr="00405303" w:rsidRDefault="009E6F82" w:rsidP="00C15251">
            <w:pPr>
              <w:jc w:val="both"/>
              <w:rPr>
                <w:bCs/>
                <w:color w:val="002060"/>
                <w:sz w:val="16"/>
                <w:szCs w:val="16"/>
              </w:rPr>
            </w:pPr>
            <w:r w:rsidRPr="00405303">
              <w:rPr>
                <w:bCs/>
                <w:color w:val="002060"/>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4B4E35" w:rsidRPr="00405303" w14:paraId="563BACC4" w14:textId="77777777">
        <w:tc>
          <w:tcPr>
            <w:tcW w:w="1548" w:type="dxa"/>
            <w:shd w:val="clear" w:color="auto" w:fill="FFFFFF"/>
          </w:tcPr>
          <w:p w14:paraId="086EFE2A" w14:textId="77777777" w:rsidR="004B4E35" w:rsidRPr="00405303" w:rsidRDefault="009E6F82" w:rsidP="00C15251">
            <w:pPr>
              <w:jc w:val="both"/>
              <w:rPr>
                <w:bCs/>
                <w:color w:val="002060"/>
                <w:sz w:val="16"/>
                <w:szCs w:val="16"/>
              </w:rPr>
            </w:pPr>
            <w:r w:rsidRPr="00405303">
              <w:rPr>
                <w:bCs/>
                <w:color w:val="002060"/>
                <w:sz w:val="16"/>
                <w:szCs w:val="16"/>
              </w:rPr>
              <w:t>Июль 28 1917</w:t>
            </w:r>
          </w:p>
        </w:tc>
        <w:tc>
          <w:tcPr>
            <w:tcW w:w="1170" w:type="dxa"/>
            <w:shd w:val="clear" w:color="auto" w:fill="FFFFFF"/>
          </w:tcPr>
          <w:p w14:paraId="25193C6B" w14:textId="77777777" w:rsidR="004B4E35" w:rsidRPr="00405303" w:rsidRDefault="009E6F82" w:rsidP="00C15251">
            <w:pPr>
              <w:jc w:val="both"/>
              <w:rPr>
                <w:bCs/>
                <w:color w:val="002060"/>
                <w:sz w:val="16"/>
                <w:szCs w:val="16"/>
              </w:rPr>
            </w:pPr>
            <w:r w:rsidRPr="00405303">
              <w:rPr>
                <w:bCs/>
                <w:color w:val="002060"/>
                <w:sz w:val="16"/>
                <w:szCs w:val="16"/>
              </w:rPr>
              <w:t>40</w:t>
            </w:r>
          </w:p>
        </w:tc>
        <w:tc>
          <w:tcPr>
            <w:tcW w:w="6858" w:type="dxa"/>
            <w:shd w:val="clear" w:color="auto" w:fill="FFFFFF"/>
          </w:tcPr>
          <w:p w14:paraId="542FA053" w14:textId="77777777" w:rsidR="004B4E35" w:rsidRPr="00405303" w:rsidRDefault="009E6F82" w:rsidP="00C15251">
            <w:pPr>
              <w:jc w:val="both"/>
              <w:rPr>
                <w:bCs/>
                <w:color w:val="002060"/>
                <w:sz w:val="16"/>
                <w:szCs w:val="16"/>
              </w:rPr>
            </w:pPr>
            <w:r w:rsidRPr="00405303">
              <w:rPr>
                <w:bCs/>
                <w:color w:val="002060"/>
                <w:sz w:val="16"/>
                <w:szCs w:val="16"/>
              </w:rPr>
              <w:t>16 тыс. руб. за аппарат под мотор «Рон» 125 л.с., срок исполнения с 1 сентября 1917 г. по 1 января 1918 г. (не выполнен)</w:t>
            </w:r>
          </w:p>
          <w:p w14:paraId="4226669F" w14:textId="77777777" w:rsidR="004B4E35" w:rsidRPr="00405303" w:rsidRDefault="009E6F82" w:rsidP="00C15251">
            <w:pPr>
              <w:jc w:val="both"/>
              <w:rPr>
                <w:bCs/>
                <w:color w:val="002060"/>
                <w:sz w:val="16"/>
                <w:szCs w:val="16"/>
              </w:rPr>
            </w:pPr>
            <w:r w:rsidRPr="00405303">
              <w:rPr>
                <w:bCs/>
                <w:color w:val="002060"/>
                <w:sz w:val="16"/>
                <w:szCs w:val="16"/>
              </w:rPr>
              <w:t>ПРИМЕЧАНИЯ: заказ дан Опытному заводу Д. П. Григоровича (см. главу 2 и раздел М-20)</w:t>
            </w:r>
          </w:p>
        </w:tc>
      </w:tr>
      <w:tr w:rsidR="004B4E35" w:rsidRPr="00405303" w14:paraId="1F6CDA5E" w14:textId="77777777">
        <w:tc>
          <w:tcPr>
            <w:tcW w:w="1548" w:type="dxa"/>
            <w:shd w:val="clear" w:color="auto" w:fill="FFFFFF"/>
          </w:tcPr>
          <w:p w14:paraId="4A5FAE39" w14:textId="77777777" w:rsidR="004B4E35" w:rsidRPr="00405303" w:rsidRDefault="009E6F82" w:rsidP="00C15251">
            <w:pPr>
              <w:jc w:val="both"/>
              <w:rPr>
                <w:bCs/>
                <w:color w:val="002060"/>
                <w:sz w:val="16"/>
                <w:szCs w:val="16"/>
              </w:rPr>
            </w:pPr>
            <w:r w:rsidRPr="00405303">
              <w:rPr>
                <w:bCs/>
                <w:color w:val="002060"/>
                <w:sz w:val="16"/>
                <w:szCs w:val="16"/>
              </w:rPr>
              <w:t>Август 31 1917</w:t>
            </w:r>
          </w:p>
        </w:tc>
        <w:tc>
          <w:tcPr>
            <w:tcW w:w="1170" w:type="dxa"/>
            <w:shd w:val="clear" w:color="auto" w:fill="FFFFFF"/>
          </w:tcPr>
          <w:p w14:paraId="53ABA470" w14:textId="77777777" w:rsidR="004B4E35" w:rsidRPr="00405303" w:rsidRDefault="009E6F82" w:rsidP="00C15251">
            <w:pPr>
              <w:jc w:val="both"/>
              <w:rPr>
                <w:bCs/>
                <w:color w:val="002060"/>
                <w:sz w:val="16"/>
                <w:szCs w:val="16"/>
              </w:rPr>
            </w:pPr>
            <w:r w:rsidRPr="00405303">
              <w:rPr>
                <w:bCs/>
                <w:color w:val="002060"/>
                <w:sz w:val="16"/>
                <w:szCs w:val="16"/>
              </w:rPr>
              <w:t>4</w:t>
            </w:r>
          </w:p>
        </w:tc>
        <w:tc>
          <w:tcPr>
            <w:tcW w:w="6858" w:type="dxa"/>
            <w:shd w:val="clear" w:color="auto" w:fill="FFFFFF"/>
          </w:tcPr>
          <w:p w14:paraId="7AD02D75" w14:textId="77777777" w:rsidR="004B4E35" w:rsidRPr="00405303" w:rsidRDefault="009E6F82" w:rsidP="00C15251">
            <w:pPr>
              <w:jc w:val="both"/>
              <w:rPr>
                <w:bCs/>
                <w:color w:val="002060"/>
                <w:sz w:val="16"/>
                <w:szCs w:val="16"/>
              </w:rPr>
            </w:pPr>
            <w:r w:rsidRPr="00405303">
              <w:rPr>
                <w:bCs/>
                <w:color w:val="002060"/>
                <w:sz w:val="16"/>
                <w:szCs w:val="16"/>
              </w:rPr>
              <w:t>контракт на ранее приобретенные аппараты (2807)</w:t>
            </w:r>
          </w:p>
        </w:tc>
      </w:tr>
    </w:tbl>
    <w:p w14:paraId="2E01FB2D" w14:textId="77777777" w:rsidR="004B4E35" w:rsidRPr="00405303" w:rsidRDefault="004B4E35" w:rsidP="00C15251">
      <w:pPr>
        <w:shd w:val="clear" w:color="auto" w:fill="FFFFFF"/>
        <w:jc w:val="both"/>
        <w:rPr>
          <w:bCs/>
          <w:color w:val="002060"/>
          <w:sz w:val="16"/>
          <w:szCs w:val="16"/>
        </w:rPr>
      </w:pPr>
    </w:p>
    <w:p w14:paraId="1D0DBB93" w14:textId="16D7EA9B" w:rsidR="004B4E35" w:rsidRPr="00405303" w:rsidRDefault="009E6F82" w:rsidP="00C15251">
      <w:pPr>
        <w:jc w:val="both"/>
        <w:rPr>
          <w:bCs/>
          <w:color w:val="002060"/>
          <w:sz w:val="16"/>
          <w:szCs w:val="16"/>
        </w:rPr>
      </w:pPr>
      <w:r w:rsidRPr="00405303">
        <w:rPr>
          <w:bCs/>
          <w:color w:val="002060"/>
          <w:sz w:val="16"/>
          <w:szCs w:val="16"/>
        </w:rPr>
        <w:t>27 мая (9 июня) 1915</w:t>
      </w:r>
      <w:r w:rsidR="00B71AE2" w:rsidRPr="00405303">
        <w:rPr>
          <w:bCs/>
          <w:color w:val="002060"/>
          <w:sz w:val="16"/>
          <w:szCs w:val="16"/>
        </w:rPr>
        <w:t xml:space="preserve"> г. в объяснительном письме </w:t>
      </w:r>
      <w:r w:rsidRPr="00405303">
        <w:rPr>
          <w:bCs/>
          <w:color w:val="002060"/>
          <w:sz w:val="16"/>
          <w:szCs w:val="16"/>
        </w:rPr>
        <w:t>В.А. Ле</w:t>
      </w:r>
      <w:r w:rsidRPr="00405303">
        <w:rPr>
          <w:bCs/>
          <w:color w:val="002060"/>
          <w:sz w:val="16"/>
          <w:szCs w:val="16"/>
        </w:rPr>
        <w:softHyphen/>
        <w:t>бедев впервые назвал "Альбатросы" именем "Лебедь Морской" (ЛМ) (2843).</w:t>
      </w:r>
    </w:p>
    <w:p w14:paraId="32E1C228" w14:textId="77777777" w:rsidR="004B4E35" w:rsidRPr="00405303" w:rsidRDefault="004B4E35" w:rsidP="00C15251">
      <w:pPr>
        <w:jc w:val="both"/>
        <w:rPr>
          <w:bCs/>
          <w:color w:val="002060"/>
          <w:sz w:val="16"/>
          <w:szCs w:val="16"/>
        </w:rPr>
      </w:pPr>
    </w:p>
    <w:p w14:paraId="19E24483" w14:textId="77777777" w:rsidR="004B4E35" w:rsidRPr="00405303" w:rsidRDefault="009E6F82" w:rsidP="00C15251">
      <w:pPr>
        <w:jc w:val="both"/>
        <w:rPr>
          <w:bCs/>
          <w:i/>
          <w:color w:val="002060"/>
          <w:sz w:val="16"/>
          <w:szCs w:val="16"/>
        </w:rPr>
      </w:pPr>
      <w:r w:rsidRPr="00405303">
        <w:rPr>
          <w:bCs/>
          <w:i/>
          <w:color w:val="002060"/>
          <w:sz w:val="16"/>
          <w:szCs w:val="16"/>
        </w:rPr>
        <w:t>Воздухоплавание:</w:t>
      </w:r>
    </w:p>
    <w:p w14:paraId="186B101D" w14:textId="77777777" w:rsidR="004B4E35" w:rsidRPr="00405303" w:rsidRDefault="004B4E35" w:rsidP="00C15251">
      <w:pPr>
        <w:jc w:val="both"/>
        <w:rPr>
          <w:bCs/>
          <w:i/>
          <w:color w:val="002060"/>
          <w:sz w:val="16"/>
          <w:szCs w:val="16"/>
        </w:rPr>
      </w:pPr>
    </w:p>
    <w:p w14:paraId="5E55D6B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27-28 мая (9-10 июня) 1915 Дирижабль "Астра" под управлением капитана Р.Л.Нижевского совершил ночной полет на разведку района Белосток-Кнышин-Лык, углубившись за линию фронта на 60-80 км, и с высоты 1200 м сбросил там 21 бомбу. Дирижабль был обстрелян с земли и частично поврежден, но вернулся на свою базу. Это был единст</w:t>
      </w:r>
      <w:r w:rsidRPr="00405303">
        <w:rPr>
          <w:bCs/>
          <w:color w:val="002060"/>
          <w:sz w:val="16"/>
          <w:szCs w:val="16"/>
        </w:rPr>
        <w:softHyphen/>
        <w:t>венный боевой полет дирижабля за всю войну. Полет продолжался 4 часа 55 минут (ЦГВИА. ф.2003, оп.2, д.619).</w:t>
      </w:r>
    </w:p>
    <w:p w14:paraId="1E1A19F2" w14:textId="77777777" w:rsidR="004B4E35" w:rsidRPr="00405303" w:rsidRDefault="004B4E35" w:rsidP="00C15251">
      <w:pPr>
        <w:shd w:val="clear" w:color="auto" w:fill="FFFFFF"/>
        <w:jc w:val="both"/>
        <w:rPr>
          <w:bCs/>
          <w:i/>
          <w:color w:val="002060"/>
          <w:sz w:val="16"/>
          <w:szCs w:val="16"/>
        </w:rPr>
      </w:pPr>
    </w:p>
    <w:p w14:paraId="6A6223FD"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520BA143" w14:textId="77777777" w:rsidR="004B4E35" w:rsidRPr="00405303" w:rsidRDefault="004B4E35" w:rsidP="00C15251">
      <w:pPr>
        <w:shd w:val="clear" w:color="auto" w:fill="FFFFFF"/>
        <w:jc w:val="both"/>
        <w:rPr>
          <w:bCs/>
          <w:i/>
          <w:color w:val="002060"/>
          <w:sz w:val="16"/>
          <w:szCs w:val="16"/>
        </w:rPr>
      </w:pPr>
    </w:p>
    <w:p w14:paraId="6F3483A1" w14:textId="77777777" w:rsidR="004B4E35" w:rsidRPr="00405303" w:rsidRDefault="009E6F82" w:rsidP="00C15251">
      <w:pPr>
        <w:jc w:val="both"/>
        <w:rPr>
          <w:bCs/>
          <w:color w:val="002060"/>
          <w:sz w:val="16"/>
          <w:szCs w:val="16"/>
        </w:rPr>
      </w:pPr>
      <w:r w:rsidRPr="00405303">
        <w:rPr>
          <w:bCs/>
          <w:color w:val="002060"/>
          <w:sz w:val="16"/>
          <w:szCs w:val="16"/>
        </w:rPr>
        <w:t xml:space="preserve">28 мая (10 июня) 1915 года «Императрица Мария» вступила в строй и совместно с крейсером «Кагул» образовала 1-ю тактическую маневренную группу. 30 июня 1915 года линкор с таким нежным и звучным названием, излучающим столько человеческого тепла и благородства, в охранении кораблей Черноморского флота впервые вошел в гавань Севастополя, был торжественно встречен экипажами кораблей и жителями города. </w:t>
      </w:r>
    </w:p>
    <w:p w14:paraId="4CAAA52F" w14:textId="77777777" w:rsidR="004B4E35" w:rsidRPr="00405303" w:rsidRDefault="009E6F82" w:rsidP="00C15251">
      <w:pPr>
        <w:jc w:val="both"/>
        <w:rPr>
          <w:bCs/>
          <w:color w:val="002060"/>
          <w:sz w:val="16"/>
          <w:szCs w:val="16"/>
        </w:rPr>
      </w:pPr>
      <w:r w:rsidRPr="00405303">
        <w:rPr>
          <w:bCs/>
          <w:color w:val="002060"/>
          <w:sz w:val="16"/>
          <w:szCs w:val="16"/>
        </w:rPr>
        <w:t xml:space="preserve">«Императрица Мария» успела принять активное участие в Первой мировой войне, в боевых операциях против германо-турецкого флота. </w:t>
      </w:r>
    </w:p>
    <w:p w14:paraId="498FD2EA" w14:textId="77777777" w:rsidR="004B4E35" w:rsidRPr="00405303" w:rsidRDefault="009E6F82" w:rsidP="00C15251">
      <w:pPr>
        <w:jc w:val="both"/>
        <w:rPr>
          <w:bCs/>
          <w:color w:val="002060"/>
          <w:sz w:val="16"/>
          <w:szCs w:val="16"/>
        </w:rPr>
      </w:pPr>
      <w:r w:rsidRPr="00405303">
        <w:rPr>
          <w:bCs/>
          <w:color w:val="002060"/>
          <w:sz w:val="16"/>
          <w:szCs w:val="16"/>
        </w:rPr>
        <w:t>С 13 по 15 октября 1915 года линкор прикрывал действия 2-й бригады линейных кораблей «Пантелеймон», «Иоаннн Златоуст» и «Евстафий». Со 2 по 4 и с 6 по 8 ноября 1915 года содействовал 2-й бригаде во время обстрела Варны и Евсинограда. С 5 февраля по 18 апреля 1916 года участвовал в Трапезундской наступательной операции. В течение июня — октября 1916 года «Императрица Мария» совершила 24 эффективных боевых похода. В частности, 22 мая 1916 года она осуществила перехват немецкого крейсера «Бреслау». Если бы немецкий крейсер не спрятался за плотной стеной дождя в проливе Босфор, то 305-мм снаряды русского линкора наверняка «почесали» бы его броневую спину (11646).</w:t>
      </w:r>
    </w:p>
    <w:p w14:paraId="2D9B48DB" w14:textId="77777777" w:rsidR="004B4E35" w:rsidRPr="00405303" w:rsidRDefault="004B4E35" w:rsidP="00C15251">
      <w:pPr>
        <w:pStyle w:val="a3"/>
        <w:jc w:val="both"/>
        <w:rPr>
          <w:bCs/>
          <w:i w:val="0"/>
          <w:color w:val="002060"/>
          <w:spacing w:val="0"/>
          <w:kern w:val="0"/>
          <w:position w:val="0"/>
          <w:sz w:val="16"/>
          <w:szCs w:val="16"/>
        </w:rPr>
      </w:pPr>
    </w:p>
    <w:p w14:paraId="3946B7F9"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690CB10F" w14:textId="77777777" w:rsidR="004B4E35" w:rsidRPr="00405303" w:rsidRDefault="004B4E35" w:rsidP="00C15251">
      <w:pPr>
        <w:jc w:val="both"/>
        <w:rPr>
          <w:bCs/>
          <w:i/>
          <w:color w:val="002060"/>
          <w:sz w:val="16"/>
          <w:szCs w:val="16"/>
        </w:rPr>
      </w:pPr>
    </w:p>
    <w:p w14:paraId="26F171FB" w14:textId="33EBAA6A" w:rsidR="004B4E35" w:rsidRPr="00405303" w:rsidRDefault="009E6F82" w:rsidP="00C15251">
      <w:pPr>
        <w:pStyle w:val="a3"/>
        <w:jc w:val="both"/>
        <w:rPr>
          <w:bCs/>
          <w:i w:val="0"/>
          <w:color w:val="002060"/>
          <w:spacing w:val="0"/>
          <w:kern w:val="0"/>
          <w:position w:val="0"/>
          <w:sz w:val="16"/>
          <w:szCs w:val="16"/>
        </w:rPr>
      </w:pPr>
      <w:bookmarkStart w:id="146" w:name="_Hlk117620216"/>
      <w:r w:rsidRPr="00405303">
        <w:rPr>
          <w:bCs/>
          <w:i w:val="0"/>
          <w:color w:val="002060"/>
          <w:spacing w:val="0"/>
          <w:kern w:val="0"/>
          <w:position w:val="0"/>
          <w:sz w:val="16"/>
          <w:szCs w:val="16"/>
        </w:rPr>
        <w:t xml:space="preserve">28 мая (10 июня) 1915 </w:t>
      </w:r>
      <w:r w:rsidR="00B94229" w:rsidRPr="00405303">
        <w:rPr>
          <w:bCs/>
          <w:i w:val="0"/>
          <w:color w:val="002060"/>
          <w:spacing w:val="0"/>
          <w:kern w:val="0"/>
          <w:position w:val="0"/>
          <w:sz w:val="16"/>
          <w:szCs w:val="16"/>
        </w:rPr>
        <w:t xml:space="preserve">г. </w:t>
      </w:r>
      <w:r w:rsidRPr="00405303">
        <w:rPr>
          <w:bCs/>
          <w:i w:val="0"/>
          <w:color w:val="002060"/>
          <w:spacing w:val="0"/>
          <w:kern w:val="0"/>
          <w:position w:val="0"/>
          <w:sz w:val="16"/>
          <w:szCs w:val="16"/>
        </w:rPr>
        <w:t>поручик И.С.Башко был назначен командиром "Киевского", а командиром 111-го стал поручик Д.А.Озерский (штабс-капитан С.М.Бродович подал рапорт о переводе в легкую авиацию). В июне оба корабля перелетели в Люблин, затем во Влодаву. 14 июня "Киевский" совершил удачный налет на станцию Пржеворск, где метким попаданием пудовой бомбы уничтожил состав с боеприпасами (30.000 снарядов!). Тем временем в Яблонну стали прибывать "Муромцы" типа В с английскими моторами "Санбим". После сборки и испытаний новые корабли (1-й, 11-й и V-й) в начале июля выполнили по 2 боевых задания. Обычно в полет члены экипажа брали один карабин, одно ружье-пулемет Мадсена с 250 патронами и 12-15 пудов бомб. Встреч с немецкими аэропланами практически не было, и потому на борт предпочитали брать больше бомб и горючего, нежели пулеметов, что чуть не привело к потере корабля. Надо отметить, что "Киевский" иногда "таскал" с собой 2 пулемета (Мадсен с Льюисом или Максимом). О первом воздушном бое стоит рассказать поподробнее (11277).</w:t>
      </w:r>
    </w:p>
    <w:p w14:paraId="17AE6262" w14:textId="77777777" w:rsidR="004B4E35" w:rsidRPr="00405303" w:rsidRDefault="004B4E35" w:rsidP="00C15251">
      <w:pPr>
        <w:pStyle w:val="a3"/>
        <w:jc w:val="both"/>
        <w:rPr>
          <w:bCs/>
          <w:i w:val="0"/>
          <w:color w:val="002060"/>
          <w:spacing w:val="0"/>
          <w:kern w:val="0"/>
          <w:position w:val="0"/>
          <w:sz w:val="16"/>
          <w:szCs w:val="16"/>
        </w:rPr>
      </w:pPr>
    </w:p>
    <w:bookmarkEnd w:id="146"/>
    <w:p w14:paraId="177A1DC5" w14:textId="0F35F07F" w:rsidR="00202720" w:rsidRPr="00405303" w:rsidRDefault="00202720" w:rsidP="00C15251">
      <w:pPr>
        <w:jc w:val="both"/>
        <w:rPr>
          <w:bCs/>
          <w:color w:val="002060"/>
          <w:sz w:val="16"/>
          <w:szCs w:val="16"/>
        </w:rPr>
      </w:pPr>
      <w:r w:rsidRPr="00405303">
        <w:rPr>
          <w:bCs/>
          <w:color w:val="002060"/>
          <w:sz w:val="16"/>
          <w:szCs w:val="16"/>
        </w:rPr>
        <w:t>28 мая (10 июня) 1915 г. новым командиром корабля «Илья Муромец» В-9 (ИМ В-9 № 150 «Корабль Киевский» «остроносый», борт № VI) экз. № 9, стратегический разведчик, тяжелый бомбардировщик назначен поручик И.С. Башко.</w:t>
      </w:r>
    </w:p>
    <w:p w14:paraId="42D4D992" w14:textId="77777777" w:rsidR="00202720" w:rsidRPr="00405303" w:rsidRDefault="00202720" w:rsidP="00C15251">
      <w:pPr>
        <w:jc w:val="both"/>
        <w:rPr>
          <w:bCs/>
          <w:color w:val="002060"/>
          <w:sz w:val="16"/>
          <w:szCs w:val="16"/>
        </w:rPr>
      </w:pPr>
      <w:r w:rsidRPr="00405303">
        <w:rPr>
          <w:bCs/>
          <w:color w:val="002060"/>
          <w:sz w:val="16"/>
          <w:szCs w:val="16"/>
        </w:rPr>
        <w:t>В июне 1915 г. корабль был перебазирован в Люблин (Lublin, ныне – восток Польши), а затем в том же месяце – в Влодаву (Włodawa, также восток Польши).</w:t>
      </w:r>
    </w:p>
    <w:p w14:paraId="7AAB890E" w14:textId="77777777" w:rsidR="00202720" w:rsidRPr="00405303" w:rsidRDefault="00202720" w:rsidP="00C15251">
      <w:pPr>
        <w:jc w:val="both"/>
        <w:rPr>
          <w:bCs/>
          <w:color w:val="002060"/>
          <w:sz w:val="16"/>
          <w:szCs w:val="16"/>
        </w:rPr>
      </w:pPr>
      <w:r w:rsidRPr="00405303">
        <w:rPr>
          <w:bCs/>
          <w:color w:val="002060"/>
          <w:sz w:val="16"/>
          <w:szCs w:val="16"/>
        </w:rPr>
        <w:t xml:space="preserve">14 июня 1915 г. корабль выполнил удачную бомбардировку станции Пржеворск (Przeworsk, ныне Подкарпатское воеводство на востоке Польши) в которой впервые была применена тяжелая бомба калибра 80 кг (5 пудов) вместе с другими. Для облегчения самолета были сняты внешние топливные баки. Удар получился </w:t>
      </w:r>
      <w:r w:rsidRPr="00405303">
        <w:rPr>
          <w:bCs/>
          <w:color w:val="002060"/>
          <w:sz w:val="16"/>
          <w:szCs w:val="16"/>
        </w:rPr>
        <w:lastRenderedPageBreak/>
        <w:t>чрезвычайно удачным – попадание одной бомбы калибра 16 кг в вагон с боеприпасами вызвало последовательную детонацию 30000 снарядов во всем стоящем на ее путях эшелоне. Результат был подтвержден аэрофотоснимком и данными агентурной разведки.</w:t>
      </w:r>
    </w:p>
    <w:p w14:paraId="21B5E82E" w14:textId="77777777" w:rsidR="00202720" w:rsidRPr="00405303" w:rsidRDefault="00202720" w:rsidP="00C15251">
      <w:pPr>
        <w:jc w:val="both"/>
        <w:rPr>
          <w:bCs/>
          <w:color w:val="002060"/>
          <w:sz w:val="16"/>
          <w:szCs w:val="16"/>
        </w:rPr>
      </w:pPr>
      <w:r w:rsidRPr="00405303">
        <w:rPr>
          <w:bCs/>
          <w:color w:val="002060"/>
          <w:sz w:val="16"/>
          <w:szCs w:val="16"/>
        </w:rPr>
        <w:t>5 июля 1915 г. (18.07.15 г. по н.ст.) корабль под управлением поручика И.С. Башко (помощник командира поручик М.В. Смирнов, артиллерийский офицер штабс-капитан А.А. Наумов, моторист вольноопределяющийся младший унтер-офицер А.М. Лавров) вылетел на разведку и бомбометание, имея на борту 10 бомб калибра 16 кг, 25 – калибра 11 кг, 12 зажигательных снарядов, один пулемет системы Мадсена обр. 1904 г. и карабин с общим боезапасом 260 патронов.</w:t>
      </w:r>
    </w:p>
    <w:p w14:paraId="5A98FD8F" w14:textId="77777777" w:rsidR="00202720" w:rsidRPr="00405303" w:rsidRDefault="00202720" w:rsidP="00C15251">
      <w:pPr>
        <w:jc w:val="both"/>
        <w:rPr>
          <w:bCs/>
          <w:color w:val="002060"/>
          <w:sz w:val="16"/>
          <w:szCs w:val="16"/>
        </w:rPr>
      </w:pPr>
      <w:r w:rsidRPr="00405303">
        <w:rPr>
          <w:bCs/>
          <w:color w:val="002060"/>
          <w:sz w:val="16"/>
          <w:szCs w:val="16"/>
        </w:rPr>
        <w:t>Над г. Шербжешин (Польша) в 40 км от линии фронта на высоте 3200…3500 м снизу был атакован немецким самолетом. Огонь по противнику был открыт своевременно, но был не точен, а после 35 выстрелов пулемет заклинил.</w:t>
      </w:r>
    </w:p>
    <w:p w14:paraId="3A44306A" w14:textId="77777777" w:rsidR="00202720" w:rsidRPr="00405303" w:rsidRDefault="00202720" w:rsidP="00C15251">
      <w:pPr>
        <w:jc w:val="both"/>
        <w:rPr>
          <w:bCs/>
          <w:color w:val="002060"/>
          <w:sz w:val="16"/>
          <w:szCs w:val="16"/>
        </w:rPr>
      </w:pPr>
      <w:r w:rsidRPr="00405303">
        <w:rPr>
          <w:bCs/>
          <w:color w:val="002060"/>
          <w:sz w:val="16"/>
          <w:szCs w:val="16"/>
        </w:rPr>
        <w:t xml:space="preserve">Противник в первой же атаке смог повредить два верхних топливных бака, бензопроводы левой группы моторов, бензиновый фильтр правой группы моторов, радиатор охлаждения мотора №2. Левая группа моторов была отключена. Одновременно были пробиты передние стекла кабины по правому борту и был ранен в ногу и в голову командир корабля Башко – после атаки его временно сменил Смирнов, после перевязки Башко вернулся к управлению самолетом, а Смирнов и Лавров руками пытались закрывать пробоину в топливном фильтре, через которую вытекал бензин. Вторая атака этого самолета противника была отбита </w:t>
      </w:r>
      <w:proofErr w:type="gramStart"/>
      <w:r w:rsidRPr="00405303">
        <w:rPr>
          <w:bCs/>
          <w:color w:val="002060"/>
          <w:sz w:val="16"/>
          <w:szCs w:val="16"/>
        </w:rPr>
        <w:t>ружейным огнем</w:t>
      </w:r>
      <w:proofErr w:type="gramEnd"/>
      <w:r w:rsidRPr="00405303">
        <w:rPr>
          <w:bCs/>
          <w:color w:val="002060"/>
          <w:sz w:val="16"/>
          <w:szCs w:val="16"/>
        </w:rPr>
        <w:t xml:space="preserve"> и он отошел. Корабль развернулся на маршрут возвращения.</w:t>
      </w:r>
    </w:p>
    <w:p w14:paraId="650227B3" w14:textId="77777777" w:rsidR="00202720" w:rsidRPr="00405303" w:rsidRDefault="00202720" w:rsidP="00C15251">
      <w:pPr>
        <w:jc w:val="both"/>
        <w:rPr>
          <w:bCs/>
          <w:color w:val="002060"/>
          <w:sz w:val="16"/>
          <w:szCs w:val="16"/>
        </w:rPr>
      </w:pPr>
      <w:r w:rsidRPr="00405303">
        <w:rPr>
          <w:bCs/>
          <w:color w:val="002060"/>
          <w:sz w:val="16"/>
          <w:szCs w:val="16"/>
        </w:rPr>
        <w:t xml:space="preserve">Сразу за первым появился второй самолет противника, который своим огнем пробил маслобак мотора № 2, но его повторная атака </w:t>
      </w:r>
      <w:proofErr w:type="gramStart"/>
      <w:r w:rsidRPr="00405303">
        <w:rPr>
          <w:bCs/>
          <w:color w:val="002060"/>
          <w:sz w:val="16"/>
          <w:szCs w:val="16"/>
        </w:rPr>
        <w:t>была отбита</w:t>
      </w:r>
      <w:proofErr w:type="gramEnd"/>
      <w:r w:rsidRPr="00405303">
        <w:rPr>
          <w:bCs/>
          <w:color w:val="002060"/>
          <w:sz w:val="16"/>
          <w:szCs w:val="16"/>
        </w:rPr>
        <w:t xml:space="preserve"> и он также отвалил.</w:t>
      </w:r>
    </w:p>
    <w:p w14:paraId="1EB9EC06" w14:textId="77777777" w:rsidR="00202720" w:rsidRPr="00405303" w:rsidRDefault="00202720" w:rsidP="00C15251">
      <w:pPr>
        <w:jc w:val="both"/>
        <w:rPr>
          <w:bCs/>
          <w:color w:val="002060"/>
          <w:sz w:val="16"/>
          <w:szCs w:val="16"/>
        </w:rPr>
      </w:pPr>
      <w:r w:rsidRPr="00405303">
        <w:rPr>
          <w:bCs/>
          <w:color w:val="002060"/>
          <w:sz w:val="16"/>
          <w:szCs w:val="16"/>
        </w:rPr>
        <w:t>Над линией фронта в полете со снижением на высоте 1400…1500 м корабль был атакован третьим самолетом противника и обстрелян артиллерией с земли. На подлете к г. Холм (Chełm, ныне – Люблинское воеводство, восток Польши) на высоте около 700 м по причине вытекания бензина все моторы остановились. На планировании экипаж не только смог пересечь линию фронта, но и найти аэродром 24-го АО у дер. Городище, где произвел экстренную посадку. Но летное поле на заболоченном лугу оказалось не приспособленным для тяжелого самолета – шасси увязли в грунте и были сломаны в левой части основных опор, разрушились винт мотора № 2, несколько нервюр и 4 стойки бипланной коробки возле него, треснул задний лонжерон среднего отсека нижнего правого полукрыла. При осмотре нашли не выявленные ранее пулевые пробоины:</w:t>
      </w:r>
    </w:p>
    <w:p w14:paraId="5DA06E88" w14:textId="77777777" w:rsidR="00202720" w:rsidRPr="00405303" w:rsidRDefault="00202720" w:rsidP="00C15251">
      <w:pPr>
        <w:jc w:val="both"/>
        <w:rPr>
          <w:bCs/>
          <w:color w:val="002060"/>
          <w:sz w:val="16"/>
          <w:szCs w:val="16"/>
        </w:rPr>
      </w:pPr>
      <w:r w:rsidRPr="00405303">
        <w:rPr>
          <w:bCs/>
          <w:color w:val="002060"/>
          <w:sz w:val="16"/>
          <w:szCs w:val="16"/>
        </w:rPr>
        <w:t>- 2 в винте, 1 в подкосе рамы мотора № 3;</w:t>
      </w:r>
    </w:p>
    <w:p w14:paraId="6EBD34C4" w14:textId="77777777" w:rsidR="00202720" w:rsidRPr="00405303" w:rsidRDefault="00202720" w:rsidP="00C15251">
      <w:pPr>
        <w:jc w:val="both"/>
        <w:rPr>
          <w:bCs/>
          <w:color w:val="002060"/>
          <w:sz w:val="16"/>
          <w:szCs w:val="16"/>
        </w:rPr>
      </w:pPr>
      <w:r w:rsidRPr="00405303">
        <w:rPr>
          <w:bCs/>
          <w:color w:val="002060"/>
          <w:sz w:val="16"/>
          <w:szCs w:val="16"/>
        </w:rPr>
        <w:t>- в грузовой раме и в магнето мотора № 2;</w:t>
      </w:r>
    </w:p>
    <w:p w14:paraId="6B9E297A" w14:textId="77777777" w:rsidR="00202720" w:rsidRPr="00405303" w:rsidRDefault="00202720" w:rsidP="00C15251">
      <w:pPr>
        <w:jc w:val="both"/>
        <w:rPr>
          <w:bCs/>
          <w:color w:val="002060"/>
          <w:sz w:val="16"/>
          <w:szCs w:val="16"/>
        </w:rPr>
      </w:pPr>
      <w:r w:rsidRPr="00405303">
        <w:rPr>
          <w:bCs/>
          <w:color w:val="002060"/>
          <w:sz w:val="16"/>
          <w:szCs w:val="16"/>
        </w:rPr>
        <w:t>- в стойке бипланной коробки за мотором № 1;</w:t>
      </w:r>
    </w:p>
    <w:p w14:paraId="2DAA2B47" w14:textId="77777777" w:rsidR="00202720" w:rsidRPr="00405303" w:rsidRDefault="00202720" w:rsidP="00C15251">
      <w:pPr>
        <w:jc w:val="both"/>
        <w:rPr>
          <w:bCs/>
          <w:color w:val="002060"/>
          <w:sz w:val="16"/>
          <w:szCs w:val="16"/>
        </w:rPr>
      </w:pPr>
      <w:r w:rsidRPr="00405303">
        <w:rPr>
          <w:bCs/>
          <w:color w:val="002060"/>
          <w:sz w:val="16"/>
          <w:szCs w:val="16"/>
        </w:rPr>
        <w:t>- несколько в обшивке;</w:t>
      </w:r>
    </w:p>
    <w:p w14:paraId="744B034E" w14:textId="77777777" w:rsidR="00202720" w:rsidRPr="00405303" w:rsidRDefault="00202720" w:rsidP="00C15251">
      <w:pPr>
        <w:jc w:val="both"/>
        <w:rPr>
          <w:bCs/>
          <w:color w:val="002060"/>
          <w:sz w:val="16"/>
          <w:szCs w:val="16"/>
        </w:rPr>
      </w:pPr>
      <w:r w:rsidRPr="00405303">
        <w:rPr>
          <w:bCs/>
          <w:color w:val="002060"/>
          <w:sz w:val="16"/>
          <w:szCs w:val="16"/>
        </w:rPr>
        <w:t>- 1 покрышке колеса шасси.</w:t>
      </w:r>
    </w:p>
    <w:p w14:paraId="7CCAB03B" w14:textId="77777777" w:rsidR="00202720" w:rsidRPr="00405303" w:rsidRDefault="00202720" w:rsidP="00C15251">
      <w:pPr>
        <w:jc w:val="both"/>
        <w:rPr>
          <w:bCs/>
          <w:color w:val="002060"/>
          <w:sz w:val="16"/>
          <w:szCs w:val="16"/>
        </w:rPr>
      </w:pPr>
      <w:r w:rsidRPr="00405303">
        <w:rPr>
          <w:bCs/>
          <w:color w:val="002060"/>
          <w:sz w:val="16"/>
          <w:szCs w:val="16"/>
        </w:rPr>
        <w:t>В этом бою безвозвратных потерь в экипаже нет, Башко, продолживший управление кораблем после ранения, награжден орденом Св. Георгия IV ст.</w:t>
      </w:r>
    </w:p>
    <w:p w14:paraId="06D7D307" w14:textId="77777777" w:rsidR="00202720" w:rsidRPr="00405303" w:rsidRDefault="00202720" w:rsidP="00C15251">
      <w:pPr>
        <w:jc w:val="both"/>
        <w:rPr>
          <w:bCs/>
          <w:color w:val="002060"/>
          <w:sz w:val="16"/>
          <w:szCs w:val="16"/>
        </w:rPr>
      </w:pPr>
      <w:r w:rsidRPr="00405303">
        <w:rPr>
          <w:bCs/>
          <w:color w:val="002060"/>
          <w:sz w:val="16"/>
          <w:szCs w:val="16"/>
        </w:rPr>
        <w:t>Корабль был более боевых вылетов не совершал и видимо был после этого полета был отправлен на РБВЗ для возможного ремонта. Но восстановить его не удалось и аэроплан был списан.</w:t>
      </w:r>
    </w:p>
    <w:p w14:paraId="20C7764E" w14:textId="77777777" w:rsidR="00202720" w:rsidRPr="00405303" w:rsidRDefault="00202720" w:rsidP="00C15251">
      <w:pPr>
        <w:jc w:val="both"/>
        <w:rPr>
          <w:bCs/>
          <w:color w:val="002060"/>
          <w:sz w:val="16"/>
          <w:szCs w:val="16"/>
        </w:rPr>
      </w:pPr>
      <w:r w:rsidRPr="00405303">
        <w:rPr>
          <w:bCs/>
          <w:color w:val="002060"/>
          <w:sz w:val="16"/>
          <w:szCs w:val="16"/>
        </w:rPr>
        <w:t>Корабль совершил 27 боевых вылетов и сбросил до 5760 кг (360 пудов) бомб (23563).</w:t>
      </w:r>
    </w:p>
    <w:p w14:paraId="1F12621C" w14:textId="77777777" w:rsidR="00202720" w:rsidRPr="00405303" w:rsidRDefault="00202720" w:rsidP="00C15251">
      <w:pPr>
        <w:jc w:val="both"/>
        <w:rPr>
          <w:bCs/>
          <w:color w:val="002060"/>
          <w:sz w:val="16"/>
          <w:szCs w:val="16"/>
          <w:lang w:bidi="ru-RU"/>
        </w:rPr>
      </w:pPr>
    </w:p>
    <w:p w14:paraId="3525113E"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6A134B84" w14:textId="77777777" w:rsidR="004B4E35" w:rsidRPr="00405303" w:rsidRDefault="004B4E35" w:rsidP="00C15251">
      <w:pPr>
        <w:jc w:val="both"/>
        <w:rPr>
          <w:bCs/>
          <w:i/>
          <w:color w:val="002060"/>
          <w:sz w:val="16"/>
          <w:szCs w:val="16"/>
        </w:rPr>
      </w:pPr>
    </w:p>
    <w:p w14:paraId="0144F88C" w14:textId="6088F326" w:rsidR="004B4E35" w:rsidRPr="00405303" w:rsidRDefault="009E6F82" w:rsidP="00C15251">
      <w:pPr>
        <w:jc w:val="both"/>
        <w:rPr>
          <w:bCs/>
          <w:color w:val="002060"/>
          <w:sz w:val="16"/>
          <w:szCs w:val="16"/>
        </w:rPr>
      </w:pPr>
      <w:r w:rsidRPr="00405303">
        <w:rPr>
          <w:bCs/>
          <w:color w:val="002060"/>
          <w:sz w:val="16"/>
          <w:szCs w:val="16"/>
        </w:rPr>
        <w:t xml:space="preserve">28 (10 июня) мая 1915 г. </w:t>
      </w:r>
      <w:r w:rsidR="00B94229" w:rsidRPr="00405303">
        <w:rPr>
          <w:bCs/>
          <w:color w:val="002060"/>
          <w:sz w:val="16"/>
          <w:szCs w:val="16"/>
        </w:rPr>
        <w:t>старший лейтенант И.И.Стаховский</w:t>
      </w:r>
      <w:r w:rsidR="000F5756">
        <w:rPr>
          <w:bCs/>
          <w:color w:val="002060"/>
          <w:sz w:val="16"/>
          <w:szCs w:val="16"/>
        </w:rPr>
        <w:t xml:space="preserve"> </w:t>
      </w:r>
      <w:r w:rsidRPr="00405303">
        <w:rPr>
          <w:bCs/>
          <w:color w:val="002060"/>
          <w:sz w:val="16"/>
          <w:szCs w:val="16"/>
        </w:rPr>
        <w:t>доложил великому князю Александру Михайловичу о налёте авиации с 8 по 22 мая и состоянии техники: "Четыре самолёта авиационного отряда Б-1 выполнили 34 полёта, налёт 7ч 17 мин. Три самолёта отряда Б-2 выполнили 72 полёта, налёт составил 19 ч 12 мин. Четыре самолёта отряда Б выполнили 90 полётов, налёт 30 ч 25 мин.</w:t>
      </w:r>
    </w:p>
    <w:p w14:paraId="4DFFD46C" w14:textId="77777777" w:rsidR="004B4E35" w:rsidRPr="00405303" w:rsidRDefault="009E6F82" w:rsidP="00C15251">
      <w:pPr>
        <w:jc w:val="both"/>
        <w:rPr>
          <w:bCs/>
          <w:color w:val="002060"/>
          <w:sz w:val="16"/>
          <w:szCs w:val="16"/>
        </w:rPr>
      </w:pPr>
      <w:r w:rsidRPr="00405303">
        <w:rPr>
          <w:bCs/>
          <w:color w:val="002060"/>
          <w:sz w:val="16"/>
          <w:szCs w:val="16"/>
        </w:rPr>
        <w:t>Состояние самолётного парко: прибыло 14 летающих лодок типа "К" с 18-ю моторами в 100 л.с. Лодки собираются и будут готовы через две недели. Для Батумского отряда в Петрограде подготовлены "Альбатросы", два мотора из 18 полученных отправлены в Петроград. Четыре самолёта "Кертисс" списаны".</w:t>
      </w:r>
    </w:p>
    <w:p w14:paraId="6A850A9A" w14:textId="77777777" w:rsidR="004B4E35" w:rsidRPr="00405303" w:rsidRDefault="009E6F82" w:rsidP="00C15251">
      <w:pPr>
        <w:jc w:val="both"/>
        <w:rPr>
          <w:bCs/>
          <w:color w:val="002060"/>
          <w:sz w:val="16"/>
          <w:szCs w:val="16"/>
        </w:rPr>
      </w:pPr>
      <w:r w:rsidRPr="00405303">
        <w:rPr>
          <w:bCs/>
          <w:color w:val="002060"/>
          <w:sz w:val="16"/>
          <w:szCs w:val="16"/>
        </w:rPr>
        <w:t>Централизованно заказать во Франции самолёты "Вуазен" и "Кодрон" не удалось, и в сентябре морской министр выделил флоту на приобретение авиатехники 946 тысяч рублей. Но реализовать их в условиях военного времени представлялось затруднительным.</w:t>
      </w:r>
    </w:p>
    <w:p w14:paraId="0CF4934F" w14:textId="77777777" w:rsidR="004B4E35" w:rsidRPr="00405303" w:rsidRDefault="009E6F82" w:rsidP="00C15251">
      <w:pPr>
        <w:jc w:val="both"/>
        <w:rPr>
          <w:bCs/>
          <w:color w:val="002060"/>
          <w:sz w:val="16"/>
          <w:szCs w:val="16"/>
        </w:rPr>
      </w:pPr>
      <w:r w:rsidRPr="00405303">
        <w:rPr>
          <w:bCs/>
          <w:color w:val="002060"/>
          <w:sz w:val="16"/>
          <w:szCs w:val="16"/>
        </w:rPr>
        <w:t xml:space="preserve">Старший лейтенант Стаховский регулярно представлял великому князю доклады о состоянии, деятельности авиации и, более того, налёте каждого лётчика. К сожалению, остаётся неизвестным, читал ли их адресат. Из доклада за первую половину июня следовало: "...выдержали практический экзамен но звание морского лётчика лейтенант Марченко, мичман Крыгин и прапорщик Кованько. Выдержали экзамен и произведены в авиационные унтер-офицеры 16 нижних чинов. Учреждена в Круглой бухте гидроавиационная станция, для которой впредь до готовности строительных робот сооружены разборные ангары. На станцию пока опирается один отряд. В ближайшем будущем предположено выделить туда же ещё отряд. Собрано восемь сомо- лётов "Кертисс-К", доработано с целью улучшения смазки семь моторов, остальные в роботе. Если результаты доработок окажутся </w:t>
      </w:r>
      <w:proofErr w:type="gramStart"/>
      <w:r w:rsidRPr="00405303">
        <w:rPr>
          <w:bCs/>
          <w:color w:val="002060"/>
          <w:sz w:val="16"/>
          <w:szCs w:val="16"/>
        </w:rPr>
        <w:t>успешными</w:t>
      </w:r>
      <w:proofErr w:type="gramEnd"/>
      <w:r w:rsidRPr="00405303">
        <w:rPr>
          <w:bCs/>
          <w:color w:val="002060"/>
          <w:sz w:val="16"/>
          <w:szCs w:val="16"/>
        </w:rPr>
        <w:t xml:space="preserve"> но будущей неделе будут готовы семь самолетов. Лодки типа "К" приспособлены для </w:t>
      </w:r>
      <w:proofErr w:type="gramStart"/>
      <w:r w:rsidRPr="00405303">
        <w:rPr>
          <w:bCs/>
          <w:color w:val="002060"/>
          <w:sz w:val="16"/>
          <w:szCs w:val="16"/>
        </w:rPr>
        <w:t>подъёма</w:t>
      </w:r>
      <w:proofErr w:type="gramEnd"/>
      <w:r w:rsidRPr="00405303">
        <w:rPr>
          <w:bCs/>
          <w:color w:val="002060"/>
          <w:sz w:val="16"/>
          <w:szCs w:val="16"/>
        </w:rPr>
        <w:t xml:space="preserve"> но вспомогательном крейсере. Опыты ИХ подъёма дали положительные результаты. До готовности лодок "К" обучение не производится, так кок имеемые восемь самолётов (шесть лодок "Кертисса" старого образца и две лодки Щетинина) берегутся для боевых целей" (11930).</w:t>
      </w:r>
    </w:p>
    <w:p w14:paraId="1DC3FD9E" w14:textId="77777777" w:rsidR="004B4E35" w:rsidRPr="00405303" w:rsidRDefault="004B4E35" w:rsidP="00C15251">
      <w:pPr>
        <w:jc w:val="both"/>
        <w:rPr>
          <w:bCs/>
          <w:color w:val="002060"/>
          <w:sz w:val="16"/>
          <w:szCs w:val="16"/>
        </w:rPr>
      </w:pPr>
    </w:p>
    <w:p w14:paraId="0D702BB3" w14:textId="5BC576F2" w:rsidR="006B3741" w:rsidRPr="00405303" w:rsidRDefault="006B3741" w:rsidP="00C15251">
      <w:pPr>
        <w:jc w:val="both"/>
        <w:rPr>
          <w:bCs/>
          <w:i/>
          <w:color w:val="002060"/>
          <w:sz w:val="16"/>
          <w:szCs w:val="16"/>
        </w:rPr>
      </w:pPr>
      <w:r w:rsidRPr="00405303">
        <w:rPr>
          <w:bCs/>
          <w:i/>
          <w:color w:val="002060"/>
          <w:sz w:val="16"/>
          <w:szCs w:val="16"/>
        </w:rPr>
        <w:t>Жизнь и внутренняя политика:</w:t>
      </w:r>
    </w:p>
    <w:p w14:paraId="4728236F" w14:textId="77777777" w:rsidR="006B3741" w:rsidRPr="00405303" w:rsidRDefault="006B3741" w:rsidP="00C15251">
      <w:pPr>
        <w:jc w:val="both"/>
        <w:rPr>
          <w:bCs/>
          <w:i/>
          <w:color w:val="002060"/>
          <w:sz w:val="16"/>
          <w:szCs w:val="16"/>
        </w:rPr>
      </w:pPr>
    </w:p>
    <w:p w14:paraId="69E42E37" w14:textId="77777777" w:rsidR="006B3741" w:rsidRPr="00405303" w:rsidRDefault="006B3741" w:rsidP="00C15251">
      <w:pPr>
        <w:jc w:val="both"/>
        <w:rPr>
          <w:bCs/>
          <w:color w:val="002060"/>
          <w:sz w:val="16"/>
          <w:szCs w:val="16"/>
          <w:lang w:bidi="en-US"/>
        </w:rPr>
      </w:pPr>
      <w:r w:rsidRPr="00405303">
        <w:rPr>
          <w:bCs/>
          <w:color w:val="002060"/>
          <w:sz w:val="16"/>
          <w:szCs w:val="16"/>
          <w:lang w:bidi="en-US"/>
        </w:rPr>
        <w:t>10 июня 1915 г. в Москве началась трехдневная антигерманская расправа и разграбление магазинов, в результате чего был объявлен этап блокады. Войска и полиция быстро восстановили порядок, но 800 немецких предприятий уже были разрушены (23525).</w:t>
      </w:r>
    </w:p>
    <w:p w14:paraId="71CDEC76" w14:textId="77777777" w:rsidR="006B3741" w:rsidRPr="00405303" w:rsidRDefault="006B3741" w:rsidP="00C15251">
      <w:pPr>
        <w:jc w:val="both"/>
        <w:rPr>
          <w:bCs/>
          <w:color w:val="002060"/>
          <w:sz w:val="16"/>
          <w:szCs w:val="16"/>
        </w:rPr>
      </w:pPr>
    </w:p>
    <w:p w14:paraId="6D455000" w14:textId="23491E9D" w:rsidR="00B94229" w:rsidRPr="00405303" w:rsidRDefault="00B94229" w:rsidP="00C15251">
      <w:pPr>
        <w:jc w:val="both"/>
        <w:rPr>
          <w:bCs/>
          <w:i/>
          <w:color w:val="002060"/>
          <w:sz w:val="16"/>
          <w:szCs w:val="16"/>
        </w:rPr>
      </w:pPr>
      <w:r w:rsidRPr="00405303">
        <w:rPr>
          <w:bCs/>
          <w:i/>
          <w:color w:val="002060"/>
          <w:sz w:val="16"/>
          <w:szCs w:val="16"/>
        </w:rPr>
        <w:t>Авиация и воздухоплавание Германии:</w:t>
      </w:r>
    </w:p>
    <w:p w14:paraId="171AF96D" w14:textId="77777777" w:rsidR="00B94229" w:rsidRPr="00405303" w:rsidRDefault="00B94229" w:rsidP="00C15251">
      <w:pPr>
        <w:jc w:val="both"/>
        <w:rPr>
          <w:bCs/>
          <w:i/>
          <w:color w:val="002060"/>
          <w:sz w:val="16"/>
          <w:szCs w:val="16"/>
        </w:rPr>
      </w:pPr>
    </w:p>
    <w:p w14:paraId="285F46A7" w14:textId="77777777" w:rsidR="00B94229" w:rsidRPr="00405303" w:rsidRDefault="00B94229" w:rsidP="00C15251">
      <w:pPr>
        <w:jc w:val="both"/>
        <w:rPr>
          <w:bCs/>
          <w:color w:val="002060"/>
          <w:sz w:val="16"/>
          <w:szCs w:val="16"/>
        </w:rPr>
      </w:pPr>
      <w:r w:rsidRPr="00405303">
        <w:rPr>
          <w:bCs/>
          <w:color w:val="002060"/>
          <w:sz w:val="16"/>
          <w:szCs w:val="16"/>
        </w:rPr>
        <w:t>28 мая (10 июня) 1915 г., согласно Рихтгофену: "я прибыл в Гроссенхайн, откуда отправился на фронт. Я торопился, чтобы прибыть туда как можно скорее, и все время боялся опоздать из-за какого-нибудь внезапного окончания мировой войны. На три месяца меня должны были направить на курсы пилотов, а за эти три месяца могут заключить мир! И мне никогда не придется повоевать летчиком! А уж в своих способностях наблюдателя, я, отслуживший в кавалерийской разведке, совершенно не сомневался. И посему я был очень счастлив, когда узнал, что меня посылают в единственное место, где сейчас шла настоящая война - меня послали в Россию.</w:t>
      </w:r>
    </w:p>
    <w:p w14:paraId="6A264D02" w14:textId="77777777" w:rsidR="00B94229" w:rsidRPr="00405303" w:rsidRDefault="00B94229" w:rsidP="00C15251">
      <w:pPr>
        <w:jc w:val="both"/>
        <w:rPr>
          <w:bCs/>
          <w:color w:val="002060"/>
          <w:sz w:val="16"/>
          <w:szCs w:val="16"/>
        </w:rPr>
      </w:pPr>
      <w:r w:rsidRPr="00405303">
        <w:rPr>
          <w:bCs/>
          <w:color w:val="002060"/>
          <w:sz w:val="16"/>
          <w:szCs w:val="16"/>
        </w:rPr>
        <w:t>А про Маккензена говорили с восторгом, что он прорвал русские позиции под Горлице, и я присоединился к его армии как раз в то время, когда она брала Раву Русскую. Проведя день на авиабазе, я отправился в знаменитую 69-ю эскадрилью. Поначалу я, конечно, был совсем дурачком, даже при том, что пилотом у меня был такой ас, как лейтенант Цоймер".</w:t>
      </w:r>
    </w:p>
    <w:p w14:paraId="5A65257C" w14:textId="77777777" w:rsidR="00B94229" w:rsidRPr="00405303" w:rsidRDefault="00B94229" w:rsidP="00C15251">
      <w:pPr>
        <w:jc w:val="both"/>
        <w:rPr>
          <w:bCs/>
          <w:color w:val="002060"/>
          <w:sz w:val="16"/>
          <w:szCs w:val="16"/>
        </w:rPr>
      </w:pPr>
      <w:r w:rsidRPr="00405303">
        <w:rPr>
          <w:bCs/>
          <w:color w:val="002060"/>
          <w:sz w:val="16"/>
          <w:szCs w:val="16"/>
        </w:rPr>
        <w:t>Книга Рихтгофена написана в конце 1917 г., когда понятие "ас", впервые появившееся в боях под Верденом, уже было широко в ходу. А в описываемые дни ие только не существовало понятия "ас", но еще и не было летчиков, сбивших не менее 5 самолетов.</w:t>
      </w:r>
    </w:p>
    <w:p w14:paraId="755BE521" w14:textId="77777777" w:rsidR="00B94229" w:rsidRPr="00405303" w:rsidRDefault="00B94229" w:rsidP="00C15251">
      <w:pPr>
        <w:jc w:val="both"/>
        <w:rPr>
          <w:bCs/>
          <w:color w:val="002060"/>
          <w:sz w:val="16"/>
          <w:szCs w:val="16"/>
        </w:rPr>
      </w:pPr>
      <w:r w:rsidRPr="00405303">
        <w:rPr>
          <w:bCs/>
          <w:color w:val="002060"/>
          <w:sz w:val="16"/>
          <w:szCs w:val="16"/>
        </w:rPr>
        <w:t>В России Рихтгофен был определен в 69-ю эскадрилью, базировавшуюся в Галиции. Он летал в качестве наблюдателя на двухместном "Альбатросе" (11999).</w:t>
      </w:r>
    </w:p>
    <w:p w14:paraId="61721015" w14:textId="77777777" w:rsidR="00B94229" w:rsidRPr="00405303" w:rsidRDefault="00B94229" w:rsidP="00C15251">
      <w:pPr>
        <w:jc w:val="both"/>
        <w:rPr>
          <w:bCs/>
          <w:color w:val="002060"/>
          <w:sz w:val="16"/>
          <w:szCs w:val="16"/>
        </w:rPr>
      </w:pPr>
    </w:p>
    <w:p w14:paraId="02E5478E" w14:textId="77777777" w:rsidR="00432504" w:rsidRPr="00405303" w:rsidRDefault="00432504" w:rsidP="00C15251">
      <w:pPr>
        <w:jc w:val="both"/>
        <w:rPr>
          <w:bCs/>
          <w:i/>
          <w:color w:val="002060"/>
          <w:sz w:val="16"/>
          <w:szCs w:val="16"/>
        </w:rPr>
      </w:pPr>
      <w:r w:rsidRPr="00405303">
        <w:rPr>
          <w:bCs/>
          <w:i/>
          <w:color w:val="002060"/>
          <w:sz w:val="16"/>
          <w:szCs w:val="16"/>
        </w:rPr>
        <w:t>Другие оборонные отрасли:</w:t>
      </w:r>
    </w:p>
    <w:p w14:paraId="30F6CC0F" w14:textId="77777777" w:rsidR="00432504" w:rsidRPr="00405303" w:rsidRDefault="00432504" w:rsidP="00C15251">
      <w:pPr>
        <w:jc w:val="both"/>
        <w:rPr>
          <w:bCs/>
          <w:i/>
          <w:color w:val="002060"/>
          <w:sz w:val="16"/>
          <w:szCs w:val="16"/>
        </w:rPr>
      </w:pPr>
    </w:p>
    <w:p w14:paraId="06FF1B25" w14:textId="4A1D1B60" w:rsidR="00432504" w:rsidRPr="00405303" w:rsidRDefault="00432504" w:rsidP="00C15251">
      <w:pPr>
        <w:pStyle w:val="p1"/>
        <w:spacing w:before="0" w:beforeAutospacing="0" w:after="0" w:afterAutospacing="0"/>
        <w:jc w:val="both"/>
        <w:rPr>
          <w:bCs/>
          <w:color w:val="002060"/>
          <w:sz w:val="16"/>
          <w:szCs w:val="16"/>
        </w:rPr>
      </w:pPr>
      <w:r w:rsidRPr="00405303">
        <w:rPr>
          <w:bCs/>
          <w:color w:val="002060"/>
          <w:sz w:val="16"/>
          <w:szCs w:val="16"/>
        </w:rPr>
        <w:t xml:space="preserve">29 мая </w:t>
      </w:r>
      <w:r w:rsidR="00B94229" w:rsidRPr="00405303">
        <w:rPr>
          <w:bCs/>
          <w:color w:val="002060"/>
          <w:sz w:val="16"/>
          <w:szCs w:val="16"/>
        </w:rPr>
        <w:t xml:space="preserve">(11 июня) </w:t>
      </w:r>
      <w:r w:rsidRPr="00405303">
        <w:rPr>
          <w:bCs/>
          <w:color w:val="002060"/>
          <w:sz w:val="16"/>
          <w:szCs w:val="16"/>
        </w:rPr>
        <w:t xml:space="preserve">1915 </w:t>
      </w:r>
      <w:r w:rsidR="00B94229" w:rsidRPr="00405303">
        <w:rPr>
          <w:bCs/>
          <w:color w:val="002060"/>
          <w:sz w:val="16"/>
          <w:szCs w:val="16"/>
        </w:rPr>
        <w:t xml:space="preserve">г. </w:t>
      </w:r>
      <w:r w:rsidRPr="00405303">
        <w:rPr>
          <w:bCs/>
          <w:color w:val="002060"/>
          <w:sz w:val="16"/>
          <w:szCs w:val="16"/>
        </w:rPr>
        <w:t xml:space="preserve">повторное обсуждение плана строительства ружейных заводов Советом министров резко выявило различие в подходе правительства к казенному и частному заводскому строительству. Возражая Сухомлинову, министр финансов Барк и государственный контролер П.А. Харитонов вновь ссылались на неудачный опыт устройства орудийного завода РАОАЗ в Царицыне и призывали к осторожности: в результате этого опыта «казна получает иностранные пушки по </w:t>
      </w:r>
      <w:r w:rsidRPr="00405303">
        <w:rPr>
          <w:bCs/>
          <w:color w:val="002060"/>
          <w:sz w:val="16"/>
          <w:szCs w:val="16"/>
        </w:rPr>
        <w:lastRenderedPageBreak/>
        <w:t>явно преувеличенным ценам», так как заказы пришлось передать в Англию. Содействие возникновению частного предприятия, «работающего исключительно на нужды государственной обороны» и обеспеченного заказами казны, «в лучшем случае равносильно» постройке частного завода на казенные деньги, а иногда сводится «к созданию лишь посредника» между казной и заграничными фирмами. Но с ними лучше уж иметь дело «без всяких дорого оплачиваемых комиссионеров». Совет министров «признал всю вескость» возражений Барка и Харитонова против частного завода.</w:t>
      </w:r>
    </w:p>
    <w:p w14:paraId="03C10DB2" w14:textId="77777777" w:rsidR="00432504" w:rsidRPr="00405303" w:rsidRDefault="00432504" w:rsidP="00C15251">
      <w:pPr>
        <w:pStyle w:val="p1"/>
        <w:spacing w:before="0" w:beforeAutospacing="0" w:after="0" w:afterAutospacing="0"/>
        <w:jc w:val="both"/>
        <w:rPr>
          <w:bCs/>
          <w:color w:val="002060"/>
          <w:sz w:val="16"/>
          <w:szCs w:val="16"/>
        </w:rPr>
      </w:pPr>
      <w:r w:rsidRPr="00405303">
        <w:rPr>
          <w:bCs/>
          <w:color w:val="002060"/>
          <w:sz w:val="16"/>
          <w:szCs w:val="16"/>
        </w:rPr>
        <w:t>Еще в марте Сухомлинов увидел, что нужно подумать, как теперь ликвидировать дело о ружейном заводе РАОАЗ. Его помощник стал добиваться от Балинского добровольного согласия считать этот заказ несостоявшимся. Не без труда, лишь к осени удалось Лукомскому в частных совещаниях с банкиром Я.И. Утиным, одним из директоров РАОАЗ, провести, по его словам, «такую комбинацию, в силу коей банки отказывались в пользу казны от заказанных ими станков для завода, а казна им обязывалась уплатить» за станки «с прибавлением известного коммерческого процента». Речь шла, как выяснилось позже, о заключенных «Виккерсом» 1–4 июля 1915 г. с фирмой Pratt &amp; Witney (Connecticut) контрактах на 2500 станков с приспособлениями, запасами резцов, комплектами лекал, рассчитанными в конечном счете на изготовление до 1000 винтовок в 9-часовой рабочий день (18409).</w:t>
      </w:r>
    </w:p>
    <w:p w14:paraId="2037226F" w14:textId="77777777" w:rsidR="00432504" w:rsidRPr="00405303" w:rsidRDefault="00432504" w:rsidP="00C15251">
      <w:pPr>
        <w:pStyle w:val="p1"/>
        <w:spacing w:before="0" w:beforeAutospacing="0" w:after="0" w:afterAutospacing="0"/>
        <w:jc w:val="both"/>
        <w:rPr>
          <w:bCs/>
          <w:color w:val="002060"/>
          <w:sz w:val="16"/>
          <w:szCs w:val="16"/>
        </w:rPr>
      </w:pPr>
    </w:p>
    <w:p w14:paraId="5502ED0B" w14:textId="05D01553" w:rsidR="00202720" w:rsidRPr="00405303" w:rsidRDefault="00202720" w:rsidP="00C15251">
      <w:pPr>
        <w:jc w:val="both"/>
        <w:rPr>
          <w:bCs/>
          <w:color w:val="002060"/>
          <w:sz w:val="16"/>
          <w:szCs w:val="16"/>
        </w:rPr>
      </w:pPr>
      <w:r w:rsidRPr="00405303">
        <w:rPr>
          <w:bCs/>
          <w:color w:val="002060"/>
          <w:sz w:val="16"/>
          <w:szCs w:val="16"/>
        </w:rPr>
        <w:t>29 мая (11 июня) 1915 г. повторное обсуждение плана строительства ружейных заводов Советом министров, резко выявило различие в подходе правительства к казенному и частному заводскому строительству. Возражая Сухомлино</w:t>
      </w:r>
      <w:r w:rsidRPr="00405303">
        <w:rPr>
          <w:bCs/>
          <w:color w:val="002060"/>
          <w:sz w:val="16"/>
          <w:szCs w:val="16"/>
        </w:rPr>
        <w:softHyphen/>
        <w:t>ву, министр финансов Барк и государственный контролер П.А. Харитонов вновь ссылались на неудачный опыт уст</w:t>
      </w:r>
      <w:r w:rsidRPr="00405303">
        <w:rPr>
          <w:bCs/>
          <w:color w:val="002060"/>
          <w:sz w:val="16"/>
          <w:szCs w:val="16"/>
        </w:rPr>
        <w:softHyphen/>
        <w:t>ройства орудийного завода РАОАЗ в Царицыне и призыва</w:t>
      </w:r>
      <w:r w:rsidRPr="00405303">
        <w:rPr>
          <w:bCs/>
          <w:color w:val="002060"/>
          <w:sz w:val="16"/>
          <w:szCs w:val="16"/>
        </w:rPr>
        <w:softHyphen/>
        <w:t>ли к осторожности: в результате этого опыта «казна полу</w:t>
      </w:r>
      <w:r w:rsidRPr="00405303">
        <w:rPr>
          <w:bCs/>
          <w:color w:val="002060"/>
          <w:sz w:val="16"/>
          <w:szCs w:val="16"/>
        </w:rPr>
        <w:softHyphen/>
        <w:t>чает иностранные пушки по явно преувеличенным ценам», так как заказы пришлось передать в Англию. Содействие возникновению частного предприятия, «работающего ис</w:t>
      </w:r>
      <w:r w:rsidRPr="00405303">
        <w:rPr>
          <w:bCs/>
          <w:color w:val="002060"/>
          <w:sz w:val="16"/>
          <w:szCs w:val="16"/>
        </w:rPr>
        <w:softHyphen/>
        <w:t>ключительно на нужды государственной обороны» и обе</w:t>
      </w:r>
      <w:r w:rsidRPr="00405303">
        <w:rPr>
          <w:bCs/>
          <w:color w:val="002060"/>
          <w:sz w:val="16"/>
          <w:szCs w:val="16"/>
        </w:rPr>
        <w:softHyphen/>
        <w:t>спеченного заказами казны, «в лучшем случае равносиль</w:t>
      </w:r>
      <w:r w:rsidRPr="00405303">
        <w:rPr>
          <w:bCs/>
          <w:color w:val="002060"/>
          <w:sz w:val="16"/>
          <w:szCs w:val="16"/>
        </w:rPr>
        <w:softHyphen/>
        <w:t>но» постройке частного завода на казенные деньги, а ино</w:t>
      </w:r>
      <w:r w:rsidRPr="00405303">
        <w:rPr>
          <w:bCs/>
          <w:color w:val="002060"/>
          <w:sz w:val="16"/>
          <w:szCs w:val="16"/>
        </w:rPr>
        <w:softHyphen/>
        <w:t>гда сводится «к созданию лишь посредника» между казной и заграничными фирмами. Но с ними лучше уж иметь дело «без всяких дорого оплачиваемых комиссионеров». Совет министров «признал всю вескость» возражений Барка и Ха</w:t>
      </w:r>
      <w:r w:rsidRPr="00405303">
        <w:rPr>
          <w:bCs/>
          <w:color w:val="002060"/>
          <w:sz w:val="16"/>
          <w:szCs w:val="16"/>
        </w:rPr>
        <w:softHyphen/>
        <w:t>ритонова против частного завода (23452).</w:t>
      </w:r>
    </w:p>
    <w:p w14:paraId="6C4CA040" w14:textId="77777777" w:rsidR="00202720" w:rsidRPr="00405303" w:rsidRDefault="00202720" w:rsidP="00C15251">
      <w:pPr>
        <w:jc w:val="both"/>
        <w:rPr>
          <w:bCs/>
          <w:color w:val="002060"/>
          <w:sz w:val="16"/>
          <w:szCs w:val="16"/>
          <w:lang w:bidi="ru-RU"/>
        </w:rPr>
      </w:pPr>
    </w:p>
    <w:p w14:paraId="52ACAE9C" w14:textId="524F2261" w:rsidR="00202720" w:rsidRPr="00405303" w:rsidRDefault="00202720" w:rsidP="00C15251">
      <w:pPr>
        <w:jc w:val="both"/>
        <w:rPr>
          <w:bCs/>
          <w:color w:val="002060"/>
          <w:sz w:val="16"/>
          <w:szCs w:val="16"/>
        </w:rPr>
      </w:pPr>
      <w:r w:rsidRPr="00405303">
        <w:rPr>
          <w:bCs/>
          <w:color w:val="002060"/>
          <w:sz w:val="16"/>
          <w:szCs w:val="16"/>
        </w:rPr>
        <w:t>29 мая (11 июня) 1915 г., Совет министров одобрил, а Николай II — 20 июня утвердил первые ассигнования на постройку новых казенных оружейных заводов. Проект ново</w:t>
      </w:r>
      <w:r w:rsidRPr="00405303">
        <w:rPr>
          <w:bCs/>
          <w:color w:val="002060"/>
          <w:sz w:val="16"/>
          <w:szCs w:val="16"/>
        </w:rPr>
        <w:softHyphen/>
        <w:t>го ружейного завода ГАУ составил помощник начальника ТОЗ П.П. Третьяков, а одновременно в Ижевске А.Г. Дубницкий подготовил проект нового сталелитейного завода (23452).</w:t>
      </w:r>
    </w:p>
    <w:p w14:paraId="45B37E26" w14:textId="77777777" w:rsidR="00202720" w:rsidRPr="00405303" w:rsidRDefault="00202720" w:rsidP="00C15251">
      <w:pPr>
        <w:jc w:val="both"/>
        <w:rPr>
          <w:bCs/>
          <w:color w:val="002060"/>
          <w:sz w:val="16"/>
          <w:szCs w:val="16"/>
        </w:rPr>
      </w:pPr>
    </w:p>
    <w:p w14:paraId="7E30BBB6"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2E9E2895" w14:textId="77777777" w:rsidR="004B4E35" w:rsidRPr="00405303" w:rsidRDefault="004B4E35" w:rsidP="00C15251">
      <w:pPr>
        <w:jc w:val="both"/>
        <w:rPr>
          <w:bCs/>
          <w:i/>
          <w:color w:val="002060"/>
          <w:sz w:val="16"/>
          <w:szCs w:val="16"/>
        </w:rPr>
      </w:pPr>
    </w:p>
    <w:p w14:paraId="0487B286" w14:textId="77777777" w:rsidR="004B4E35" w:rsidRPr="00405303" w:rsidRDefault="009E6F82" w:rsidP="00C15251">
      <w:pPr>
        <w:jc w:val="both"/>
        <w:rPr>
          <w:bCs/>
          <w:color w:val="002060"/>
          <w:sz w:val="16"/>
          <w:szCs w:val="16"/>
        </w:rPr>
      </w:pPr>
      <w:r w:rsidRPr="00405303">
        <w:rPr>
          <w:bCs/>
          <w:color w:val="002060"/>
          <w:sz w:val="16"/>
          <w:szCs w:val="16"/>
        </w:rPr>
        <w:t>29 мая (11 июня) 1915 г. вышел приказ Брусилова по VIII армии; «Еще в начале войны указывал как надо располагаться на отдых, чтобы не быть замеченными воздушными разведчиками. Между тем по-прежнему войсковые части, и в особенности парки и обозы, продолжают становиться строго придерживаясь уставных форм — квадратиками, без всякого применения к местности. Требую со смыслом располагаться на биваке, укрывая повозки под деревья, заборы или строения; а в случае невозможности — маскируя отдельные повозки ветвями, охапками сена и т. п. Коновязи разбивать по опушкам или внутри рощ, людей располагать по дворам или палатками, но рассредоточено, преимущественно в лесках. При совершении маршей пехота должна, завидя аэроплан, немедленно сворачивать на обочины, останавливаться и даже ложиться, пока не пролетит аэроплан, — словом, всячески стараться затруднять разведку летчикам противника... Надо придерживаться устава не как слепой стены; начальникам вдумчиво относиться к своим обязанностям и, учитывая новый народившийся фактор — воздушную разведку, — приложить все старания, чтобы затруднить таковую» (11289).</w:t>
      </w:r>
    </w:p>
    <w:p w14:paraId="64D882B6" w14:textId="77777777" w:rsidR="004B4E35" w:rsidRPr="00405303" w:rsidRDefault="004B4E35" w:rsidP="00C15251">
      <w:pPr>
        <w:jc w:val="both"/>
        <w:rPr>
          <w:bCs/>
          <w:color w:val="002060"/>
          <w:sz w:val="16"/>
          <w:szCs w:val="16"/>
        </w:rPr>
      </w:pPr>
    </w:p>
    <w:p w14:paraId="611B7D9F" w14:textId="77777777" w:rsidR="00432504" w:rsidRPr="00405303" w:rsidRDefault="00432504" w:rsidP="00C15251">
      <w:pPr>
        <w:jc w:val="both"/>
        <w:rPr>
          <w:bCs/>
          <w:i/>
          <w:color w:val="002060"/>
          <w:sz w:val="16"/>
          <w:szCs w:val="16"/>
        </w:rPr>
      </w:pPr>
      <w:r w:rsidRPr="00405303">
        <w:rPr>
          <w:bCs/>
          <w:i/>
          <w:color w:val="002060"/>
          <w:sz w:val="16"/>
          <w:szCs w:val="16"/>
        </w:rPr>
        <w:t>Авиация и воздухоплавание Германии:</w:t>
      </w:r>
    </w:p>
    <w:p w14:paraId="76AF201D" w14:textId="77777777" w:rsidR="00432504" w:rsidRPr="00405303" w:rsidRDefault="00432504" w:rsidP="00C15251">
      <w:pPr>
        <w:jc w:val="both"/>
        <w:rPr>
          <w:bCs/>
          <w:i/>
          <w:color w:val="002060"/>
          <w:sz w:val="16"/>
          <w:szCs w:val="16"/>
        </w:rPr>
      </w:pPr>
    </w:p>
    <w:p w14:paraId="376FF332" w14:textId="4B4715D3" w:rsidR="00432504" w:rsidRPr="00405303" w:rsidRDefault="00B94229" w:rsidP="00C15251">
      <w:pPr>
        <w:jc w:val="both"/>
        <w:rPr>
          <w:bCs/>
          <w:color w:val="002060"/>
          <w:sz w:val="16"/>
          <w:szCs w:val="16"/>
        </w:rPr>
      </w:pPr>
      <w:r w:rsidRPr="00405303">
        <w:rPr>
          <w:bCs/>
          <w:color w:val="002060"/>
          <w:sz w:val="16"/>
          <w:szCs w:val="16"/>
        </w:rPr>
        <w:t>30</w:t>
      </w:r>
      <w:r w:rsidR="00432504" w:rsidRPr="00405303">
        <w:rPr>
          <w:bCs/>
          <w:color w:val="002060"/>
          <w:sz w:val="16"/>
          <w:szCs w:val="16"/>
        </w:rPr>
        <w:t xml:space="preserve"> мая (12 июня) в 1915 году самолет </w:t>
      </w:r>
      <w:hyperlink r:id="rId37" w:tgtFrame="_blank" w:history="1">
        <w:r w:rsidR="00432504" w:rsidRPr="00405303">
          <w:rPr>
            <w:bCs/>
            <w:color w:val="002060"/>
            <w:sz w:val="16"/>
            <w:szCs w:val="16"/>
          </w:rPr>
          <w:t xml:space="preserve">«Фоккер» «E.I» </w:t>
        </w:r>
      </w:hyperlink>
      <w:r w:rsidR="00432504" w:rsidRPr="00405303">
        <w:rPr>
          <w:bCs/>
          <w:color w:val="002060"/>
          <w:sz w:val="16"/>
          <w:szCs w:val="16"/>
        </w:rPr>
        <w:t>приняли на вооружение (E - сокращение от Eindecker - моноплан). В том же месяце началось серийное производство. Первыми новые самолеты получили ставшие впоследствии знаменитыми асами пилоты Освальд Бельке и Макс Иммельман (14920).</w:t>
      </w:r>
    </w:p>
    <w:p w14:paraId="5CD185FA" w14:textId="77777777" w:rsidR="00432504" w:rsidRPr="00405303" w:rsidRDefault="00432504" w:rsidP="00C15251">
      <w:pPr>
        <w:jc w:val="both"/>
        <w:rPr>
          <w:bCs/>
          <w:color w:val="002060"/>
          <w:sz w:val="16"/>
          <w:szCs w:val="16"/>
        </w:rPr>
      </w:pPr>
    </w:p>
    <w:p w14:paraId="6D0DA63A"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3FAEFA2E" w14:textId="77777777" w:rsidR="004B4E35" w:rsidRPr="00405303" w:rsidRDefault="004B4E35" w:rsidP="00C15251">
      <w:pPr>
        <w:jc w:val="both"/>
        <w:rPr>
          <w:bCs/>
          <w:i/>
          <w:color w:val="002060"/>
          <w:sz w:val="16"/>
          <w:szCs w:val="16"/>
        </w:rPr>
      </w:pPr>
    </w:p>
    <w:p w14:paraId="36C07AF9" w14:textId="1218AF42" w:rsidR="004B4E35" w:rsidRPr="00405303" w:rsidRDefault="009E6F82" w:rsidP="00C15251">
      <w:pPr>
        <w:jc w:val="both"/>
        <w:rPr>
          <w:bCs/>
          <w:color w:val="002060"/>
          <w:sz w:val="16"/>
          <w:szCs w:val="16"/>
        </w:rPr>
      </w:pPr>
      <w:r w:rsidRPr="00405303">
        <w:rPr>
          <w:bCs/>
          <w:color w:val="002060"/>
          <w:sz w:val="16"/>
          <w:szCs w:val="16"/>
        </w:rPr>
        <w:t>30 мая (1</w:t>
      </w:r>
      <w:r w:rsidR="00B94229" w:rsidRPr="00405303">
        <w:rPr>
          <w:bCs/>
          <w:color w:val="002060"/>
          <w:sz w:val="16"/>
          <w:szCs w:val="16"/>
        </w:rPr>
        <w:t>2</w:t>
      </w:r>
      <w:r w:rsidRPr="00405303">
        <w:rPr>
          <w:bCs/>
          <w:color w:val="002060"/>
          <w:sz w:val="16"/>
          <w:szCs w:val="16"/>
        </w:rPr>
        <w:t xml:space="preserve"> июня) 1915 руководство </w:t>
      </w:r>
      <w:r w:rsidR="00B94229" w:rsidRPr="00405303">
        <w:rPr>
          <w:bCs/>
          <w:color w:val="002060"/>
          <w:sz w:val="16"/>
          <w:szCs w:val="16"/>
        </w:rPr>
        <w:t xml:space="preserve">общества Лебедева </w:t>
      </w:r>
      <w:r w:rsidRPr="00405303">
        <w:rPr>
          <w:bCs/>
          <w:color w:val="002060"/>
          <w:sz w:val="16"/>
          <w:szCs w:val="16"/>
        </w:rPr>
        <w:t>заявило, что самолеты не могут быть предъявлены ранее, чем через месяц, т.к. необходимо внести некоторые из</w:t>
      </w:r>
      <w:r w:rsidRPr="00405303">
        <w:rPr>
          <w:bCs/>
          <w:color w:val="002060"/>
          <w:sz w:val="16"/>
          <w:szCs w:val="16"/>
        </w:rPr>
        <w:softHyphen/>
        <w:t>менения в конструкцию фюзеляжа и шасси. В объяснительном письме от 27 мая В.А. Ле</w:t>
      </w:r>
      <w:r w:rsidRPr="00405303">
        <w:rPr>
          <w:bCs/>
          <w:color w:val="002060"/>
          <w:sz w:val="16"/>
          <w:szCs w:val="16"/>
        </w:rPr>
        <w:softHyphen/>
        <w:t>бедев впервые назвал эти "Альбатросы" именем "Лебедь Морской" (ЛМ) (2843).</w:t>
      </w:r>
    </w:p>
    <w:p w14:paraId="113A6825" w14:textId="77777777" w:rsidR="004B4E35" w:rsidRPr="00405303" w:rsidRDefault="004B4E35" w:rsidP="00C15251">
      <w:pPr>
        <w:jc w:val="both"/>
        <w:rPr>
          <w:bCs/>
          <w:color w:val="002060"/>
          <w:sz w:val="16"/>
          <w:szCs w:val="16"/>
        </w:rPr>
      </w:pPr>
    </w:p>
    <w:p w14:paraId="08BA0413"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633AFBF5" w14:textId="77777777" w:rsidR="004B4E35" w:rsidRPr="00405303" w:rsidRDefault="004B4E35" w:rsidP="00C15251">
      <w:pPr>
        <w:jc w:val="both"/>
        <w:rPr>
          <w:bCs/>
          <w:i/>
          <w:color w:val="002060"/>
          <w:sz w:val="16"/>
          <w:szCs w:val="16"/>
        </w:rPr>
      </w:pPr>
    </w:p>
    <w:p w14:paraId="429F1F53" w14:textId="36C318AC"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30 мая </w:t>
      </w:r>
      <w:r w:rsidR="00B94229" w:rsidRPr="00405303">
        <w:rPr>
          <w:bCs/>
          <w:i w:val="0"/>
          <w:color w:val="002060"/>
          <w:spacing w:val="0"/>
          <w:kern w:val="0"/>
          <w:position w:val="0"/>
          <w:sz w:val="16"/>
          <w:szCs w:val="16"/>
        </w:rPr>
        <w:t xml:space="preserve">(12 июня) </w:t>
      </w:r>
      <w:r w:rsidRPr="00405303">
        <w:rPr>
          <w:bCs/>
          <w:i w:val="0"/>
          <w:color w:val="002060"/>
          <w:spacing w:val="0"/>
          <w:kern w:val="0"/>
          <w:position w:val="0"/>
          <w:sz w:val="16"/>
          <w:szCs w:val="16"/>
        </w:rPr>
        <w:t xml:space="preserve">и 12 </w:t>
      </w:r>
      <w:r w:rsidR="00B94229" w:rsidRPr="00405303">
        <w:rPr>
          <w:bCs/>
          <w:i w:val="0"/>
          <w:color w:val="002060"/>
          <w:spacing w:val="0"/>
          <w:kern w:val="0"/>
          <w:position w:val="0"/>
          <w:sz w:val="16"/>
          <w:szCs w:val="16"/>
        </w:rPr>
        <w:t xml:space="preserve">(25) </w:t>
      </w:r>
      <w:r w:rsidRPr="00405303">
        <w:rPr>
          <w:bCs/>
          <w:i w:val="0"/>
          <w:color w:val="002060"/>
          <w:spacing w:val="0"/>
          <w:kern w:val="0"/>
          <w:position w:val="0"/>
          <w:sz w:val="16"/>
          <w:szCs w:val="16"/>
        </w:rPr>
        <w:t xml:space="preserve">июня 1915 г. </w:t>
      </w:r>
      <w:r w:rsidR="00B94229" w:rsidRPr="00405303">
        <w:rPr>
          <w:bCs/>
          <w:i w:val="0"/>
          <w:color w:val="002060"/>
          <w:spacing w:val="0"/>
          <w:kern w:val="0"/>
          <w:position w:val="0"/>
          <w:sz w:val="16"/>
          <w:szCs w:val="16"/>
        </w:rPr>
        <w:t xml:space="preserve">отрицательное отношение председателя комиссии к посредничеству фирмы Моргана нашло себе подтверждение в телеграммах ген. Сапожникова. </w:t>
      </w:r>
      <w:r w:rsidRPr="00405303">
        <w:rPr>
          <w:bCs/>
          <w:i w:val="0"/>
          <w:color w:val="002060"/>
          <w:spacing w:val="0"/>
          <w:kern w:val="0"/>
          <w:position w:val="0"/>
          <w:sz w:val="16"/>
          <w:szCs w:val="16"/>
        </w:rPr>
        <w:t xml:space="preserve">Исследовав на месте вопрос о возможности давать артиллерийские заказы непосредственно поставщикам при посредстве Моргана, ген. Сапожников донес, что "постоянный захват банкирским домом Моргана монополии на заказы союзных правительств несомненно есть в высшей степени прискорбное явление. При передаче военных заказов Моргану военно-торговые интересы страдают весьма сильно, что подтверждается неоднократно выражавшимся в английском парламенте негодованием на деятельность этой фирмы и современным печальным состоянием снабжения английской армии на театре войны. Дальнейшее развитие этой монополии, несомненно, может отразиться неблагоприятно и на наших будущих заказах, так как отвлечет в группу Моргана многих крупных поставщиков, заинтересованных преувеличенной прибылью. Насколько мне известно, финансирование наших заказов в Америке и в настоящее время уже находится исключительно в руках группы Моргана, что, несомненно, даст ей громадное влияние на рынок. </w:t>
      </w:r>
    </w:p>
    <w:p w14:paraId="6D81989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Обезвредить Моргана с нашей стороны можно было бы путем отнятия у него такой монополии нашего финансирования в Америке и обращения к другим банкирам". </w:t>
      </w:r>
    </w:p>
    <w:p w14:paraId="1FC849E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Далее ген. Сапожников приводил целый ряд примеров заказов, которые могли бы быть даны американским фирмам непосредственно, но благодаря посредничеству Моргана или не были даны совсем или были даны так, что являлись гораздо более выгодными Моргану и американским фабрикантам, чем русским интересам. Так, заказ на прессованный пироксилин был дан заводу, у которого не было прессов; пулеметы Браунинга-Кольта предполагалось покупать и заказывать у несуществующего завода и т. п. </w:t>
      </w:r>
    </w:p>
    <w:p w14:paraId="61C7E36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результате, замечает ген. Сапожников, "ни по одному контракту, заключенному через Моргана и генерала Рубана, приемщики не могут получить своевременно копий контрактов". </w:t>
      </w:r>
    </w:p>
    <w:p w14:paraId="4C6CDBD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другой телеграмме, датированной тем же числом, ген. Сапожников указывает на то, что "Морган совершенно не считается с присутствием в Америке русской приемной комиссии" и отказывается выдать ему копии контрактов, мотивируя это тем, что контракты заключены им не с русским, а с английским правительством. </w:t>
      </w:r>
    </w:p>
    <w:p w14:paraId="073B6C2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Одновременно с телеграммой ген. Сапожникова председатель комиссии получил телеграмму ген. Гермониуса, в которой он сообщает, что лорд Китченер сообщил ему о данном полномочии заказывать для России боевые припасы и пригласил его участвовать в комиссии, образованной при английском военном министерстве для распределения русских заказов, и что в первом же заседании этой комиссии был возбужден вопрос о заказе 9,5 млн. патронов для полевых пушек. При этом ген. Гермониус просил объяснить ему на чем же собственно основываются английские власти, регулируя будущее снабжение русской армии. </w:t>
      </w:r>
    </w:p>
    <w:p w14:paraId="0DB0D6D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Цифра 9,5 млн. была непонятна, ибо еще два месяца тому назад лорд Китченер предлагал нам заказать только 5 млн. </w:t>
      </w:r>
    </w:p>
    <w:p w14:paraId="542F5C5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lastRenderedPageBreak/>
        <w:t xml:space="preserve">Председатель Особой распорядительной комиссии, видя, что цело снабжения армии, полностью порученное ему, является предметом самостоятельных забот иностранных властей, некомпетентных в наших потребностях и действующих под сильным влиянием коммерческих учреждений (например Моргана), отправил наштаверху ген. Янушкевичу телеграмму следующего содержания: </w:t>
      </w:r>
    </w:p>
    <w:p w14:paraId="37F7163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бытность мою в Ставке вы мне выяснили, что предложения Китченера на заказы в случае поздних сроков будут отклонены. Из телеграммы Гермониуса видно, что Китченер уполномочен заказывать что угодно в неограниченном, количестве и даже на семнадцатый год. Имея в виду обе телеграммы Саложникова и тот факт, что все заказы Китченера будут даваться тому же Моргану, следует ожидать, что все нами ранее заказанное непосредственно в Америке будет парализовано Морганом, и вместо ускорения подачи заказов будет только замедление. Прошу мне указать, какую инструкцию я должен дать Гермониусу, и поставить меня в известность, какие полномочия даны Китченеру. Меня также тревожит вопрос, кто впоследствии будет ответственен перед контролем и законодательными учреждениями за длительные заграничные заказы, в которых никакой нужды нет, раз они будут даваться хотя союзным, но иностранным, правительством". </w:t>
      </w:r>
    </w:p>
    <w:p w14:paraId="1D1CA2F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6 (19) июня начальник Штаба верховного главнокомандующего ответил председателю комиссии, что "ориентировка Петрограда о возможных надеждах на усиленный приток снабжения и политические условия привели к необходимости принять предложение лорда Китченера, обещавшего полную гарантию исполнения заказов при 25-процентном задатке. </w:t>
      </w:r>
    </w:p>
    <w:p w14:paraId="6EA5774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Вся ответственность переходит на Штаб верховного главнокомандующего при согласии с необходимостью заказа совещания военного министра, в котором участвуют председатель и члены Думы". </w:t>
      </w:r>
    </w:p>
    <w:p w14:paraId="5CDF02C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одном из следующих заседаний английской комиссии количество 76-мм патронов 9,5 млн. было заменено уже 12 млн., причем единственной предоставляемой гарантией являлось право отказа в случае несвоевременного исполнения контракта. </w:t>
      </w:r>
    </w:p>
    <w:p w14:paraId="7279F6C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26 июня ген. Гермониус донес, что в пятом заседании комиссии вновь обсуждался вопрос о распределении русских заказов между американскими заводами, причем существенную роль в разрешении вопросов играли представители Моргана. При этом председатель английской комиссии предложил спросить верховного главнокомандующего, нужно ли еще заказывать снаряды сверх тех, о которых уже было условлено. Ген. Гермониус высказался, что подобное предложение не должно исходить от комиссии, так как ничего похожего на попечительство о русском снабжении не должно исходить от английского военного министерства. Тогда председатель заявил, что телеграмма будет послана от имени лорда Китченера. </w:t>
      </w:r>
    </w:p>
    <w:p w14:paraId="4BFD783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Таким образом, лорд Китченер окончательно сделал это дело своей монополией, отстранив от обсуждения вопроса даже ген. Гермониуса и сносясь только со Ставкой верховного главнокомандующего. </w:t>
      </w:r>
    </w:p>
    <w:p w14:paraId="55F92E0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дальнейшем против этой опеки Англии старалось бороться и Особое совещание по обороне государства, но толку из этого вышло также мало, ибо, очутившись в положении бедной приживалки у богатых родственников, царская Россия могла только делать вид протестующей, на самом же деле с нею считались очень мало. </w:t>
      </w:r>
    </w:p>
    <w:p w14:paraId="53683CF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Вскоре по делам "несостоятельной" России образовался целый "опекунский совет" союзниц, который и выделил в январе 1917 г. своих представителей на Межсоюзную конференцию в Петрограде, чтобы окончательно решить, как обойтись с назойливыми просьбами русских властей о разного рода "вспомоществованиях". Результаты этой конференции помещены в особом отчете, о котором неоднократно будет упоминаться. </w:t>
      </w:r>
    </w:p>
    <w:p w14:paraId="60F7382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Странное поведение Ставки в 1915 г. в отношении заказов боевых припасов за границей возможно объяснить, с одной стороны, политическими соображениями Ставки, всячески заискивавшей у "союзников", с другой стороны, растерянностью Ставки и боязнью проиграть войну из-за недостатка снарядов (11483).</w:t>
      </w:r>
    </w:p>
    <w:p w14:paraId="07311B84" w14:textId="77777777" w:rsidR="004B4E35" w:rsidRPr="00405303" w:rsidRDefault="004B4E35" w:rsidP="00C15251">
      <w:pPr>
        <w:pStyle w:val="a3"/>
        <w:jc w:val="both"/>
        <w:rPr>
          <w:bCs/>
          <w:i w:val="0"/>
          <w:color w:val="002060"/>
          <w:spacing w:val="0"/>
          <w:kern w:val="0"/>
          <w:position w:val="0"/>
          <w:sz w:val="16"/>
          <w:szCs w:val="16"/>
        </w:rPr>
      </w:pPr>
    </w:p>
    <w:p w14:paraId="2305F218" w14:textId="77777777" w:rsidR="00CD28F6" w:rsidRPr="00405303" w:rsidRDefault="00CD28F6" w:rsidP="00CD28F6">
      <w:pPr>
        <w:jc w:val="both"/>
        <w:rPr>
          <w:bCs/>
          <w:i/>
          <w:color w:val="002060"/>
          <w:sz w:val="16"/>
          <w:szCs w:val="16"/>
        </w:rPr>
      </w:pPr>
      <w:r w:rsidRPr="00405303">
        <w:rPr>
          <w:bCs/>
          <w:i/>
          <w:color w:val="002060"/>
          <w:sz w:val="16"/>
          <w:szCs w:val="16"/>
        </w:rPr>
        <w:t>Авиация:</w:t>
      </w:r>
    </w:p>
    <w:p w14:paraId="36254A47" w14:textId="77777777" w:rsidR="00CD28F6" w:rsidRPr="00405303" w:rsidRDefault="00CD28F6" w:rsidP="00CD28F6">
      <w:pPr>
        <w:jc w:val="both"/>
        <w:rPr>
          <w:bCs/>
          <w:i/>
          <w:color w:val="002060"/>
          <w:sz w:val="16"/>
          <w:szCs w:val="16"/>
        </w:rPr>
      </w:pPr>
    </w:p>
    <w:p w14:paraId="2325D499" w14:textId="77777777" w:rsidR="00CD28F6" w:rsidRPr="00405303" w:rsidRDefault="00CD28F6" w:rsidP="00CD28F6">
      <w:pPr>
        <w:widowControl w:val="0"/>
        <w:tabs>
          <w:tab w:val="left" w:pos="721"/>
        </w:tabs>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30 мая (12 июня) 1915 г. стал знаменательным днем в истории российской зенитной артиллерии. Скрытно прибыв в г. Пултуск с задачей «уничтожить неприятельских авиаторов, систематически бросающих бомбы в районе пехотных казарм по Цехановскому шоссе», расчеты Отдельной автомобильной батареи для стрельбы по воздушному флоту (капитан В.В. Тарновский) удачно обстреляли немецкий аэроплан, израсходовав 31 шрапнельный снаряд. Один из них достиг своей цели. По сведениям коменданта г. Пултуск, подбитый вражеский летательный аппарат не смог долететь до линии фронта и упал на наши позиции. Русские зенитчики праздновали первую свою победу. Впервые в отечественной истории воздушное судно противника было уничтожено из специального зенитного орудия, имевшего высокие тактико-технические возможности (25135).</w:t>
      </w:r>
    </w:p>
    <w:p w14:paraId="7D59BCA8" w14:textId="77777777" w:rsidR="00CD28F6" w:rsidRPr="00405303" w:rsidRDefault="00CD28F6" w:rsidP="00CD28F6">
      <w:pPr>
        <w:jc w:val="both"/>
        <w:rPr>
          <w:color w:val="0070C0"/>
          <w:sz w:val="16"/>
          <w:szCs w:val="16"/>
        </w:rPr>
      </w:pPr>
    </w:p>
    <w:p w14:paraId="01F93C0C"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Франции:</w:t>
      </w:r>
    </w:p>
    <w:p w14:paraId="51814876" w14:textId="77777777" w:rsidR="004B4E35" w:rsidRPr="00405303" w:rsidRDefault="004B4E35" w:rsidP="00C15251">
      <w:pPr>
        <w:shd w:val="clear" w:color="auto" w:fill="FFFFFF"/>
        <w:jc w:val="both"/>
        <w:rPr>
          <w:bCs/>
          <w:i/>
          <w:color w:val="002060"/>
          <w:sz w:val="16"/>
          <w:szCs w:val="16"/>
        </w:rPr>
      </w:pPr>
    </w:p>
    <w:p w14:paraId="67C5C83C" w14:textId="77777777" w:rsidR="004B4E35" w:rsidRPr="00405303" w:rsidRDefault="009E6F82" w:rsidP="00C15251">
      <w:pPr>
        <w:jc w:val="both"/>
        <w:rPr>
          <w:bCs/>
          <w:color w:val="002060"/>
          <w:sz w:val="16"/>
          <w:szCs w:val="16"/>
        </w:rPr>
      </w:pPr>
      <w:r w:rsidRPr="00405303">
        <w:rPr>
          <w:bCs/>
          <w:color w:val="002060"/>
          <w:sz w:val="16"/>
          <w:szCs w:val="16"/>
        </w:rPr>
        <w:t xml:space="preserve">30 мая (12 июня) 1915 - Французский летчик Каузак и наблюдатель Маршан из эскадрильи Гарро выполняли плановую двухчасовую разведку над Остенде и Диксмюнде. На железнодорожной станции в Остенде они заметили 20 составов, из которых 3 были с паровозами под парами. Они сфотографировали станцию и хотели возвращаться, но в этот момент в 10-ти метрах от их самолета разорвался снаряд. Верхний левый элерон фюзеляжа был перебит в двух местах, лонжерон и нервюра повреждены, масляный бак пробит, подкос шасси поврежден. Кроме того, в карте, сложенной в 8 слоев на груди </w:t>
      </w:r>
      <w:proofErr w:type="gramStart"/>
      <w:r w:rsidRPr="00405303">
        <w:rPr>
          <w:bCs/>
          <w:color w:val="002060"/>
          <w:sz w:val="16"/>
          <w:szCs w:val="16"/>
        </w:rPr>
        <w:t>наблюдателя</w:t>
      </w:r>
      <w:proofErr w:type="gramEnd"/>
      <w:r w:rsidRPr="00405303">
        <w:rPr>
          <w:bCs/>
          <w:color w:val="002060"/>
          <w:sz w:val="16"/>
          <w:szCs w:val="16"/>
        </w:rPr>
        <w:t xml:space="preserve"> застрял осколок. Однако им удалось дотянуть до своих позиций (11999).</w:t>
      </w:r>
    </w:p>
    <w:p w14:paraId="299F8FD2" w14:textId="77777777" w:rsidR="004B4E35" w:rsidRPr="00405303" w:rsidRDefault="004B4E35" w:rsidP="00C15251">
      <w:pPr>
        <w:jc w:val="both"/>
        <w:rPr>
          <w:bCs/>
          <w:color w:val="002060"/>
          <w:sz w:val="16"/>
          <w:szCs w:val="16"/>
        </w:rPr>
      </w:pPr>
    </w:p>
    <w:p w14:paraId="522E4841" w14:textId="0BE03ED7" w:rsidR="00202720" w:rsidRPr="00405303" w:rsidRDefault="00202720" w:rsidP="00C15251">
      <w:pPr>
        <w:jc w:val="both"/>
        <w:rPr>
          <w:bCs/>
          <w:i/>
          <w:color w:val="002060"/>
          <w:sz w:val="16"/>
          <w:szCs w:val="16"/>
        </w:rPr>
      </w:pPr>
      <w:r w:rsidRPr="00405303">
        <w:rPr>
          <w:bCs/>
          <w:i/>
          <w:color w:val="002060"/>
          <w:sz w:val="16"/>
          <w:szCs w:val="16"/>
        </w:rPr>
        <w:t>Авиация:</w:t>
      </w:r>
    </w:p>
    <w:p w14:paraId="38D398F0" w14:textId="77777777" w:rsidR="00202720" w:rsidRPr="00405303" w:rsidRDefault="00202720" w:rsidP="00C15251">
      <w:pPr>
        <w:jc w:val="both"/>
        <w:rPr>
          <w:bCs/>
          <w:i/>
          <w:color w:val="002060"/>
          <w:sz w:val="16"/>
          <w:szCs w:val="16"/>
        </w:rPr>
      </w:pPr>
    </w:p>
    <w:p w14:paraId="289F0FB2" w14:textId="77777777" w:rsidR="00202720" w:rsidRPr="00405303" w:rsidRDefault="00202720" w:rsidP="00C15251">
      <w:pPr>
        <w:jc w:val="both"/>
        <w:rPr>
          <w:bCs/>
          <w:color w:val="002060"/>
          <w:sz w:val="16"/>
          <w:szCs w:val="16"/>
        </w:rPr>
      </w:pPr>
      <w:r w:rsidRPr="00405303">
        <w:rPr>
          <w:bCs/>
          <w:color w:val="002060"/>
          <w:sz w:val="16"/>
          <w:szCs w:val="16"/>
        </w:rPr>
        <w:t>31 мая 1915 г. в районе М. [в документах название не расшифровано] немецкие летчики атаковали (безуспешно) автомобильную колонну Красного Креста. В начале июня воздушной бомбардировке подвергся лазарет на ст. Бобрувка (царство Польское) (23405).</w:t>
      </w:r>
    </w:p>
    <w:p w14:paraId="7929F7B4" w14:textId="77777777" w:rsidR="00202720" w:rsidRPr="00405303" w:rsidRDefault="00202720" w:rsidP="00C15251">
      <w:pPr>
        <w:jc w:val="both"/>
        <w:rPr>
          <w:bCs/>
          <w:color w:val="002060"/>
          <w:sz w:val="16"/>
          <w:szCs w:val="16"/>
          <w:lang w:bidi="ru-RU"/>
        </w:rPr>
      </w:pPr>
    </w:p>
    <w:p w14:paraId="695D45F3" w14:textId="5496D0C3" w:rsidR="00DC7430" w:rsidRPr="00405303" w:rsidRDefault="00DC7430" w:rsidP="00C15251">
      <w:pPr>
        <w:jc w:val="both"/>
        <w:rPr>
          <w:bCs/>
          <w:i/>
          <w:color w:val="002060"/>
          <w:sz w:val="16"/>
          <w:szCs w:val="16"/>
        </w:rPr>
      </w:pPr>
      <w:r w:rsidRPr="00405303">
        <w:rPr>
          <w:bCs/>
          <w:i/>
          <w:color w:val="002060"/>
          <w:sz w:val="16"/>
          <w:szCs w:val="16"/>
        </w:rPr>
        <w:t>Другие оборонные отрасли:</w:t>
      </w:r>
    </w:p>
    <w:p w14:paraId="3A51733D" w14:textId="77777777" w:rsidR="00DC7430" w:rsidRPr="00405303" w:rsidRDefault="00DC7430" w:rsidP="00C15251">
      <w:pPr>
        <w:jc w:val="both"/>
        <w:rPr>
          <w:bCs/>
          <w:i/>
          <w:color w:val="002060"/>
          <w:sz w:val="16"/>
          <w:szCs w:val="16"/>
        </w:rPr>
      </w:pPr>
    </w:p>
    <w:p w14:paraId="61BEBD94" w14:textId="77777777" w:rsidR="00DC7430" w:rsidRPr="00405303" w:rsidRDefault="00DC7430" w:rsidP="00C15251">
      <w:pPr>
        <w:jc w:val="both"/>
        <w:rPr>
          <w:bCs/>
          <w:color w:val="002060"/>
          <w:sz w:val="16"/>
          <w:szCs w:val="16"/>
        </w:rPr>
      </w:pPr>
      <w:r w:rsidRPr="00405303">
        <w:rPr>
          <w:bCs/>
          <w:color w:val="002060"/>
          <w:sz w:val="16"/>
          <w:szCs w:val="16"/>
        </w:rPr>
        <w:t xml:space="preserve">К концу мая 1915 г. рост цен составил: резина – 30%, железо – 70%, алюминий – 100%, латунь – 110%. </w:t>
      </w:r>
      <w:proofErr w:type="gramStart"/>
      <w:r w:rsidRPr="00405303">
        <w:rPr>
          <w:bCs/>
          <w:color w:val="002060"/>
          <w:sz w:val="16"/>
          <w:szCs w:val="16"/>
        </w:rPr>
        <w:t>Кроме этого</w:t>
      </w:r>
      <w:proofErr w:type="gramEnd"/>
      <w:r w:rsidRPr="00405303">
        <w:rPr>
          <w:bCs/>
          <w:color w:val="002060"/>
          <w:sz w:val="16"/>
          <w:szCs w:val="16"/>
        </w:rPr>
        <w:t xml:space="preserve"> срочность выполнения заказов потребовала от предприятий использовать сверхурочные работы, а это влекло к повышению издержек в связи с необходимостью уплаты рабочим дополнительной заработной платы.</w:t>
      </w:r>
    </w:p>
    <w:p w14:paraId="6D7BCF79" w14:textId="77777777" w:rsidR="00DC7430" w:rsidRPr="00405303" w:rsidRDefault="00DC7430" w:rsidP="00C15251">
      <w:pPr>
        <w:jc w:val="both"/>
        <w:rPr>
          <w:bCs/>
          <w:color w:val="002060"/>
          <w:sz w:val="16"/>
          <w:szCs w:val="16"/>
        </w:rPr>
      </w:pPr>
      <w:r w:rsidRPr="00405303">
        <w:rPr>
          <w:bCs/>
          <w:color w:val="002060"/>
          <w:sz w:val="16"/>
          <w:szCs w:val="16"/>
        </w:rPr>
        <w:t>К повышению цен вели также повышение всех видов налогов после начала войны, введение со второй половины 1914 г. обязательного страхования рабочих и больничных касс (18297).</w:t>
      </w:r>
    </w:p>
    <w:p w14:paraId="41D346B3" w14:textId="77777777" w:rsidR="00DC7430" w:rsidRPr="00405303" w:rsidRDefault="00DC7430" w:rsidP="00C15251">
      <w:pPr>
        <w:jc w:val="both"/>
        <w:rPr>
          <w:bCs/>
          <w:color w:val="002060"/>
          <w:sz w:val="16"/>
          <w:szCs w:val="16"/>
        </w:rPr>
      </w:pPr>
    </w:p>
    <w:p w14:paraId="7540F5EE" w14:textId="77777777" w:rsidR="00202720" w:rsidRPr="00405303" w:rsidRDefault="00202720" w:rsidP="00C15251">
      <w:pPr>
        <w:shd w:val="clear" w:color="auto" w:fill="FFFFFF"/>
        <w:jc w:val="both"/>
        <w:rPr>
          <w:bCs/>
          <w:i/>
          <w:color w:val="002060"/>
          <w:sz w:val="16"/>
          <w:szCs w:val="16"/>
        </w:rPr>
      </w:pPr>
      <w:r w:rsidRPr="00405303">
        <w:rPr>
          <w:bCs/>
          <w:i/>
          <w:color w:val="002060"/>
          <w:sz w:val="16"/>
          <w:szCs w:val="16"/>
        </w:rPr>
        <w:t>Армия:</w:t>
      </w:r>
    </w:p>
    <w:p w14:paraId="5827B28E" w14:textId="77777777" w:rsidR="00202720" w:rsidRPr="00405303" w:rsidRDefault="00202720" w:rsidP="00C15251">
      <w:pPr>
        <w:shd w:val="clear" w:color="auto" w:fill="FFFFFF"/>
        <w:jc w:val="both"/>
        <w:rPr>
          <w:bCs/>
          <w:i/>
          <w:color w:val="002060"/>
          <w:sz w:val="16"/>
          <w:szCs w:val="16"/>
        </w:rPr>
      </w:pPr>
    </w:p>
    <w:p w14:paraId="46CE06FE" w14:textId="77777777" w:rsidR="00202720" w:rsidRPr="00405303" w:rsidRDefault="00202720" w:rsidP="00C15251">
      <w:pPr>
        <w:jc w:val="both"/>
        <w:rPr>
          <w:bCs/>
          <w:color w:val="002060"/>
          <w:sz w:val="16"/>
          <w:szCs w:val="16"/>
          <w:lang w:bidi="en-US"/>
        </w:rPr>
      </w:pPr>
      <w:r w:rsidRPr="00405303">
        <w:rPr>
          <w:bCs/>
          <w:color w:val="002060"/>
          <w:sz w:val="16"/>
          <w:szCs w:val="16"/>
          <w:lang w:bidi="en-US"/>
        </w:rPr>
        <w:t>В конце мая 1915 г. русская армия оценила свои потери в 3 880 000 человек убитыми, ранеными и пропавшими без вести (23525).</w:t>
      </w:r>
    </w:p>
    <w:p w14:paraId="68EF17BC" w14:textId="77777777" w:rsidR="00202720" w:rsidRPr="00405303" w:rsidRDefault="00202720" w:rsidP="00C15251">
      <w:pPr>
        <w:jc w:val="both"/>
        <w:rPr>
          <w:bCs/>
          <w:color w:val="002060"/>
          <w:sz w:val="16"/>
          <w:szCs w:val="16"/>
        </w:rPr>
      </w:pPr>
    </w:p>
    <w:p w14:paraId="05F9DE9C" w14:textId="181F5824" w:rsidR="00202720" w:rsidRPr="00405303" w:rsidRDefault="00202720" w:rsidP="00C15251">
      <w:pPr>
        <w:shd w:val="clear" w:color="auto" w:fill="FFFFFF"/>
        <w:jc w:val="both"/>
        <w:rPr>
          <w:bCs/>
          <w:i/>
          <w:color w:val="002060"/>
          <w:sz w:val="16"/>
          <w:szCs w:val="16"/>
        </w:rPr>
      </w:pPr>
      <w:r w:rsidRPr="00405303">
        <w:rPr>
          <w:bCs/>
          <w:i/>
          <w:color w:val="002060"/>
          <w:sz w:val="16"/>
          <w:szCs w:val="16"/>
        </w:rPr>
        <w:t>Авиация:</w:t>
      </w:r>
    </w:p>
    <w:p w14:paraId="5DDDC529" w14:textId="77777777" w:rsidR="00202720" w:rsidRPr="00405303" w:rsidRDefault="00202720" w:rsidP="00C15251">
      <w:pPr>
        <w:shd w:val="clear" w:color="auto" w:fill="FFFFFF"/>
        <w:jc w:val="both"/>
        <w:rPr>
          <w:bCs/>
          <w:i/>
          <w:color w:val="002060"/>
          <w:sz w:val="16"/>
          <w:szCs w:val="16"/>
        </w:rPr>
      </w:pPr>
    </w:p>
    <w:p w14:paraId="36A54A0D" w14:textId="7220BE98" w:rsidR="004B4E35" w:rsidRPr="00405303" w:rsidRDefault="009E6F82" w:rsidP="00C15251">
      <w:pPr>
        <w:jc w:val="both"/>
        <w:rPr>
          <w:bCs/>
          <w:color w:val="002060"/>
          <w:sz w:val="16"/>
          <w:szCs w:val="16"/>
        </w:rPr>
      </w:pPr>
      <w:r w:rsidRPr="00405303">
        <w:rPr>
          <w:bCs/>
          <w:color w:val="002060"/>
          <w:sz w:val="16"/>
          <w:szCs w:val="16"/>
        </w:rPr>
        <w:t xml:space="preserve">В конце мая 1915 года "близнецы" </w:t>
      </w:r>
      <w:r w:rsidR="00B94229" w:rsidRPr="00405303">
        <w:rPr>
          <w:bCs/>
          <w:color w:val="002060"/>
          <w:sz w:val="16"/>
          <w:szCs w:val="16"/>
        </w:rPr>
        <w:t xml:space="preserve">ИМ </w:t>
      </w:r>
      <w:r w:rsidRPr="00405303">
        <w:rPr>
          <w:bCs/>
          <w:color w:val="002060"/>
          <w:sz w:val="16"/>
          <w:szCs w:val="16"/>
        </w:rPr>
        <w:t xml:space="preserve">были командированы во Львов, в распоряжение штаба 3-й армии. Бродович убыл из Эскадры, вместо него командиром III корабля назначили поручика Д.А. Озерского. В начале июня корабли перелетели в Люблин. 14 июня "Киевский" совершил, пожалуй, самый знаменитый и известный налёт за всю историю "Муромцев". Корабль, гружённый девятью пудовыми и одной пятипудовой бомбами, взял курс на станцию Пржеворск. Одна из сброшенных на станцию бомб попала в железнодорожный состав и сразу вызвала большой пожар - сполохи пламени, разлетающиеся во все стороны, сопровождались гулом взрывов и клубами густого чёрного дыма. Башко (ставший к тому времени уже командиром "Киевского") кружил над местом ешё минут 15, сделав четыре круга, </w:t>
      </w:r>
      <w:r w:rsidRPr="00405303">
        <w:rPr>
          <w:bCs/>
          <w:color w:val="002060"/>
          <w:sz w:val="16"/>
          <w:szCs w:val="16"/>
        </w:rPr>
        <w:lastRenderedPageBreak/>
        <w:t>доносил: "всё время из горевших вагонов вылетали как бы куски огня или дымки разрывов; некоторые дымки и вспышки были на очень большом расстоянии от этого места удачного попадания. Вероятнее всего предположить, что горел и взрывался поезд с какими-нибудь взрывчатыми веществами: снарядами, зарядами или горючим (бензином, спиртом и т.п.)". Позже из немецкой прессы стало известно, что был уничтожен поезд с 30 ООО снарядами.</w:t>
      </w:r>
    </w:p>
    <w:p w14:paraId="7E16965B" w14:textId="77777777" w:rsidR="004B4E35" w:rsidRPr="00405303" w:rsidRDefault="009E6F82" w:rsidP="00C15251">
      <w:pPr>
        <w:jc w:val="both"/>
        <w:rPr>
          <w:bCs/>
          <w:color w:val="002060"/>
          <w:sz w:val="16"/>
          <w:szCs w:val="16"/>
        </w:rPr>
      </w:pPr>
      <w:r w:rsidRPr="00405303">
        <w:rPr>
          <w:bCs/>
          <w:color w:val="002060"/>
          <w:sz w:val="16"/>
          <w:szCs w:val="16"/>
        </w:rPr>
        <w:t>Озерский тоже не терял времени зря. В этот день его III корабль нанёс визит на немецкий аэродром в Олешице. Впоследствии, по показаниям лётчиков из FFA21, взятых в плен в октябре 1915 года, стало известно, что пудовая бомба с "Муромца" попала в самолётную палатку и уничтожила находившийся в ней аппарат, а также ранила механика.</w:t>
      </w:r>
    </w:p>
    <w:p w14:paraId="439325C2" w14:textId="77777777" w:rsidR="004B4E35" w:rsidRPr="00405303" w:rsidRDefault="009E6F82" w:rsidP="00C15251">
      <w:pPr>
        <w:jc w:val="both"/>
        <w:rPr>
          <w:bCs/>
          <w:color w:val="002060"/>
          <w:sz w:val="16"/>
          <w:szCs w:val="16"/>
        </w:rPr>
      </w:pPr>
      <w:r w:rsidRPr="00405303">
        <w:rPr>
          <w:bCs/>
          <w:color w:val="002060"/>
          <w:sz w:val="16"/>
          <w:szCs w:val="16"/>
        </w:rPr>
        <w:t>Экипаж "Киевского" с 11 апреля по 14 июня совершил 10 полётов, в которых сбросил на головы врага две пягипудовые, две двухпудовые, 127 пудовых и 40 десятифунтовых бомб, т.е. 171Вомбу общим весом до 2500 кг. Орденом Св. Георгия 4-й степени были награждены командир корабля поручик И.С. Башко и артиллерийский офицер штабс-капитан А.А. Наумов, а поручик М.В. Смирнов получил Георгиевское оружие.</w:t>
      </w:r>
    </w:p>
    <w:p w14:paraId="7F1C5153" w14:textId="77777777" w:rsidR="004B4E35" w:rsidRPr="00405303" w:rsidRDefault="009E6F82" w:rsidP="00C15251">
      <w:pPr>
        <w:jc w:val="both"/>
        <w:rPr>
          <w:bCs/>
          <w:color w:val="002060"/>
          <w:sz w:val="16"/>
          <w:szCs w:val="16"/>
        </w:rPr>
      </w:pPr>
      <w:r w:rsidRPr="00405303">
        <w:rPr>
          <w:bCs/>
          <w:color w:val="002060"/>
          <w:sz w:val="16"/>
          <w:szCs w:val="16"/>
        </w:rPr>
        <w:t>Под натиском германских войск 3-я армия была вынуждена сдать часть Восточной Галиции и 22 июня "Киевский" и III корабль вынуждены были перелететь из Люблина во Влодаву.</w:t>
      </w:r>
    </w:p>
    <w:p w14:paraId="7C68D2C9" w14:textId="77777777" w:rsidR="004B4E35" w:rsidRPr="00405303" w:rsidRDefault="009E6F82" w:rsidP="00C15251">
      <w:pPr>
        <w:jc w:val="both"/>
        <w:rPr>
          <w:bCs/>
          <w:color w:val="002060"/>
          <w:sz w:val="16"/>
          <w:szCs w:val="16"/>
        </w:rPr>
      </w:pPr>
      <w:r w:rsidRPr="00405303">
        <w:rPr>
          <w:bCs/>
          <w:color w:val="002060"/>
          <w:sz w:val="16"/>
          <w:szCs w:val="16"/>
        </w:rPr>
        <w:t>Тем временем в Эскадре готовили к боевым действиям новые "Муромцы" типа В. Корабли новой серии вместо "Сальмсонов" и дефицитных "Аргусов" стали оборудовать моторами английской фирмы "Санбим" (Sunbeam). Двигатель мощностью в 150 л.с., носивший гордое имя "Крусейдер" (Crusader- крестоносец) имел восемь цилиндров, водяное охлаждение и V-образную схему. Как показала практика, это был не лучший вариант. Но, выбирать не приходилось...</w:t>
      </w:r>
    </w:p>
    <w:p w14:paraId="5C6B701D" w14:textId="77777777" w:rsidR="004B4E35" w:rsidRPr="00405303" w:rsidRDefault="009E6F82" w:rsidP="00C15251">
      <w:pPr>
        <w:jc w:val="both"/>
        <w:rPr>
          <w:bCs/>
          <w:color w:val="002060"/>
          <w:sz w:val="16"/>
          <w:szCs w:val="16"/>
        </w:rPr>
      </w:pPr>
      <w:r w:rsidRPr="00405303">
        <w:rPr>
          <w:bCs/>
          <w:color w:val="002060"/>
          <w:sz w:val="16"/>
          <w:szCs w:val="16"/>
        </w:rPr>
        <w:t xml:space="preserve">Алехнович получил V корабль "остроносый" тип В (№ I58), оснащённый четырьмя "Санбимами". Носовая часть фюзеляжа была как у № 151, только верхняя часть кабины была почти полностью остеклена (две сплошные рамы). Другой корабль, № 159. был оснащён двумя "Санбимами" и имел нос в Точности как у № I51. Сикорский чуть позже переставил моторы, развернув их на I80 градусов, сместив к задней кромке крыла и снабдив их толкающими винтами. Экипаж Панкратьева получил новый самолёт № I60, но уже с "тупым" носом, который не был ешё остеклён в нижней части. Машина также оснащалась четырьмя 150-сильными "Санбимами" (12041). </w:t>
      </w:r>
    </w:p>
    <w:p w14:paraId="20B8F58F" w14:textId="77777777" w:rsidR="004B4E35" w:rsidRPr="00405303" w:rsidRDefault="004B4E35" w:rsidP="00C15251">
      <w:pPr>
        <w:jc w:val="both"/>
        <w:rPr>
          <w:bCs/>
          <w:color w:val="002060"/>
          <w:sz w:val="16"/>
          <w:szCs w:val="16"/>
        </w:rPr>
      </w:pPr>
    </w:p>
    <w:p w14:paraId="47024040" w14:textId="77777777" w:rsidR="00202720" w:rsidRPr="00405303" w:rsidRDefault="00202720" w:rsidP="00C15251">
      <w:pPr>
        <w:jc w:val="both"/>
        <w:rPr>
          <w:bCs/>
          <w:color w:val="002060"/>
          <w:sz w:val="16"/>
          <w:szCs w:val="16"/>
        </w:rPr>
      </w:pPr>
      <w:r w:rsidRPr="00405303">
        <w:rPr>
          <w:bCs/>
          <w:color w:val="002060"/>
          <w:sz w:val="16"/>
          <w:szCs w:val="16"/>
          <w:lang w:bidi="en-US"/>
        </w:rPr>
        <w:t>В конце мая 1915 г. 1-й отряд ЭВК с самолетами ИМ-</w:t>
      </w:r>
      <w:r w:rsidRPr="00405303">
        <w:rPr>
          <w:bCs/>
          <w:color w:val="002060"/>
          <w:sz w:val="16"/>
          <w:szCs w:val="16"/>
          <w:lang w:val="en-US" w:bidi="en-US"/>
        </w:rPr>
        <w:t>VII</w:t>
      </w:r>
      <w:r w:rsidRPr="00405303">
        <w:rPr>
          <w:bCs/>
          <w:color w:val="002060"/>
          <w:sz w:val="16"/>
          <w:szCs w:val="16"/>
          <w:lang w:bidi="en-US"/>
        </w:rPr>
        <w:t xml:space="preserve"> (Киевский) и ИМ-</w:t>
      </w:r>
      <w:r w:rsidRPr="00405303">
        <w:rPr>
          <w:bCs/>
          <w:color w:val="002060"/>
          <w:sz w:val="16"/>
          <w:szCs w:val="16"/>
          <w:lang w:val="en-US" w:bidi="en-US"/>
        </w:rPr>
        <w:t>III</w:t>
      </w:r>
      <w:r w:rsidRPr="00405303">
        <w:rPr>
          <w:bCs/>
          <w:color w:val="002060"/>
          <w:sz w:val="16"/>
          <w:szCs w:val="16"/>
          <w:lang w:bidi="en-US"/>
        </w:rPr>
        <w:t xml:space="preserve"> (№2), ранее находившийся в Лемберге, был переброшен во Влодаву, в 74 км к северо-востоку от Люблина (23525).</w:t>
      </w:r>
    </w:p>
    <w:p w14:paraId="05E9131E" w14:textId="77777777" w:rsidR="00202720" w:rsidRPr="00405303" w:rsidRDefault="00202720" w:rsidP="00C15251">
      <w:pPr>
        <w:shd w:val="clear" w:color="auto" w:fill="FFFFFF"/>
        <w:jc w:val="both"/>
        <w:rPr>
          <w:bCs/>
          <w:i/>
          <w:color w:val="002060"/>
          <w:sz w:val="16"/>
          <w:szCs w:val="16"/>
        </w:rPr>
      </w:pPr>
    </w:p>
    <w:p w14:paraId="008A6F9B" w14:textId="77777777" w:rsidR="00CD28F6" w:rsidRPr="00405303" w:rsidRDefault="00CD28F6" w:rsidP="00CD28F6">
      <w:pPr>
        <w:jc w:val="both"/>
        <w:rPr>
          <w:color w:val="0070C0"/>
          <w:sz w:val="16"/>
          <w:szCs w:val="16"/>
        </w:rPr>
      </w:pPr>
      <w:r w:rsidRPr="00405303">
        <w:rPr>
          <w:color w:val="0070C0"/>
          <w:sz w:val="16"/>
          <w:szCs w:val="16"/>
        </w:rPr>
        <w:t>В конце мая 1915 г. Эскадра со всеми службами перебралась в Белосток (24965).</w:t>
      </w:r>
    </w:p>
    <w:p w14:paraId="59E83CD0" w14:textId="77777777" w:rsidR="00CD28F6" w:rsidRPr="00405303" w:rsidRDefault="00CD28F6" w:rsidP="00CD28F6">
      <w:pPr>
        <w:jc w:val="both"/>
        <w:rPr>
          <w:color w:val="0070C0"/>
          <w:sz w:val="16"/>
          <w:szCs w:val="16"/>
        </w:rPr>
      </w:pPr>
    </w:p>
    <w:p w14:paraId="1ECF5117" w14:textId="77777777" w:rsidR="00202720" w:rsidRPr="00405303" w:rsidRDefault="00202720" w:rsidP="00C15251">
      <w:pPr>
        <w:jc w:val="both"/>
        <w:rPr>
          <w:bCs/>
          <w:color w:val="002060"/>
          <w:sz w:val="16"/>
          <w:szCs w:val="16"/>
        </w:rPr>
      </w:pPr>
      <w:r w:rsidRPr="00405303">
        <w:rPr>
          <w:bCs/>
          <w:color w:val="002060"/>
          <w:sz w:val="16"/>
          <w:szCs w:val="16"/>
        </w:rPr>
        <w:t>В конце мая 1915 г. на станции Х. [в документах название не расшифровано] бомба, сброшенная с неприятельского аэроплана, попала в перевязочный питательный пункт и убила 13 нижних чинов (23405).</w:t>
      </w:r>
    </w:p>
    <w:p w14:paraId="1266990E" w14:textId="77777777" w:rsidR="00202720" w:rsidRPr="00405303" w:rsidRDefault="00202720" w:rsidP="00C15251">
      <w:pPr>
        <w:jc w:val="both"/>
        <w:rPr>
          <w:bCs/>
          <w:color w:val="002060"/>
          <w:sz w:val="16"/>
          <w:szCs w:val="16"/>
        </w:rPr>
      </w:pPr>
    </w:p>
    <w:p w14:paraId="3DA5C1EE" w14:textId="77777777" w:rsidR="00CD28F6" w:rsidRPr="00405303" w:rsidRDefault="00CD28F6" w:rsidP="00CD28F6">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В конце мая 1915 г. на станции Х. [в документах название не расшифровано] бомба, сброшенная с неприятельского аэроплана, попала в перевязочный питательный пункт и убила 13 нижних чинов (25135).</w:t>
      </w:r>
    </w:p>
    <w:p w14:paraId="1B0D9923" w14:textId="77777777" w:rsidR="00CD28F6" w:rsidRPr="00405303" w:rsidRDefault="00CD28F6" w:rsidP="00CD28F6">
      <w:pPr>
        <w:jc w:val="both"/>
        <w:rPr>
          <w:rStyle w:val="aa"/>
          <w:rFonts w:ascii="Times New Roman" w:hAnsi="Times New Roman"/>
          <w:color w:val="0070C0"/>
          <w:spacing w:val="0"/>
          <w:sz w:val="16"/>
          <w:szCs w:val="16"/>
        </w:rPr>
      </w:pPr>
    </w:p>
    <w:p w14:paraId="72B12D70" w14:textId="08321F5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12290E43" w14:textId="77777777" w:rsidR="004B4E35" w:rsidRPr="00405303" w:rsidRDefault="004B4E35" w:rsidP="00C15251">
      <w:pPr>
        <w:shd w:val="clear" w:color="auto" w:fill="FFFFFF"/>
        <w:jc w:val="both"/>
        <w:rPr>
          <w:bCs/>
          <w:i/>
          <w:color w:val="002060"/>
          <w:sz w:val="16"/>
          <w:szCs w:val="16"/>
        </w:rPr>
      </w:pPr>
    </w:p>
    <w:p w14:paraId="4C14DB75" w14:textId="77777777" w:rsidR="004B4E35" w:rsidRPr="00405303" w:rsidRDefault="009E6F82" w:rsidP="00C15251">
      <w:pPr>
        <w:jc w:val="both"/>
        <w:rPr>
          <w:bCs/>
          <w:color w:val="002060"/>
          <w:sz w:val="16"/>
          <w:szCs w:val="16"/>
        </w:rPr>
      </w:pPr>
      <w:r w:rsidRPr="00405303">
        <w:rPr>
          <w:bCs/>
          <w:color w:val="002060"/>
          <w:sz w:val="16"/>
          <w:szCs w:val="16"/>
        </w:rPr>
        <w:t>В конце мая 1915 г. произошло одно незначительное, но имевшее большие последствия событие - измученный бездельем под Верденом, Рихтгофен, тогда лейтенант кавалерии, написал рапорт командующему: "Ваше превосходительство! Я отправился на войну вовсе не для того, чтобы реквизировать сыр и яйца, а совершенно для иных целей!" Поначалу над ним посмеялись, но потом вняли желанию молодого лейтенанта, и он был зачислен в авиацию. Точно так же поступил впоследствии и младший брат Манфреда фон Рихтгофена - Лотар (11999).</w:t>
      </w:r>
    </w:p>
    <w:p w14:paraId="5733FD68" w14:textId="77777777" w:rsidR="004B4E35" w:rsidRPr="00405303" w:rsidRDefault="004B4E35" w:rsidP="00C15251">
      <w:pPr>
        <w:jc w:val="both"/>
        <w:rPr>
          <w:bCs/>
          <w:color w:val="002060"/>
          <w:sz w:val="16"/>
          <w:szCs w:val="16"/>
        </w:rPr>
      </w:pPr>
    </w:p>
    <w:p w14:paraId="008D59D3"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49BB9B5D" w14:textId="77777777" w:rsidR="004B4E35" w:rsidRPr="00405303" w:rsidRDefault="004B4E35" w:rsidP="00C15251">
      <w:pPr>
        <w:shd w:val="clear" w:color="auto" w:fill="FFFFFF"/>
        <w:jc w:val="both"/>
        <w:rPr>
          <w:bCs/>
          <w:i/>
          <w:color w:val="002060"/>
          <w:sz w:val="16"/>
          <w:szCs w:val="16"/>
        </w:rPr>
      </w:pPr>
    </w:p>
    <w:p w14:paraId="266304E7" w14:textId="77777777" w:rsidR="00202720" w:rsidRPr="00405303" w:rsidRDefault="00202720" w:rsidP="00C15251">
      <w:pPr>
        <w:jc w:val="both"/>
        <w:rPr>
          <w:bCs/>
          <w:color w:val="002060"/>
          <w:sz w:val="16"/>
          <w:szCs w:val="16"/>
        </w:rPr>
      </w:pPr>
      <w:r w:rsidRPr="00405303">
        <w:rPr>
          <w:bCs/>
          <w:color w:val="002060"/>
          <w:sz w:val="16"/>
          <w:szCs w:val="16"/>
        </w:rPr>
        <w:t>В мае 1915 г. Авиационное отделение РБВЗ в Петербурге переименовано в «Русско-Балтийский воздухоплавательный завод», но также использовалось наименование «Авиа-Балт» наряду со старым «Русско-Балтийский вагонный завод» (даже без уточнения «Воздухоплавательное отделение).</w:t>
      </w:r>
    </w:p>
    <w:p w14:paraId="3FBFCCBD" w14:textId="77777777" w:rsidR="00202720" w:rsidRPr="00405303" w:rsidRDefault="00202720" w:rsidP="00C15251">
      <w:pPr>
        <w:jc w:val="both"/>
        <w:rPr>
          <w:bCs/>
          <w:color w:val="002060"/>
          <w:sz w:val="16"/>
          <w:szCs w:val="16"/>
        </w:rPr>
      </w:pPr>
      <w:r w:rsidRPr="00405303">
        <w:rPr>
          <w:bCs/>
          <w:color w:val="002060"/>
          <w:sz w:val="16"/>
          <w:szCs w:val="16"/>
        </w:rPr>
        <w:t>По сравнению с самолетами ИМ-Б в конструкцию новой модификации были введены следующиеизменения (23563):</w:t>
      </w:r>
    </w:p>
    <w:p w14:paraId="3C1E38B1" w14:textId="77777777" w:rsidR="00202720" w:rsidRPr="00405303" w:rsidRDefault="00202720" w:rsidP="00C15251">
      <w:pPr>
        <w:jc w:val="both"/>
        <w:rPr>
          <w:bCs/>
          <w:color w:val="002060"/>
          <w:sz w:val="16"/>
          <w:szCs w:val="16"/>
        </w:rPr>
      </w:pPr>
    </w:p>
    <w:p w14:paraId="6C4B0A98" w14:textId="77777777" w:rsidR="00CD28F6" w:rsidRPr="00405303" w:rsidRDefault="00CD28F6" w:rsidP="00CD28F6">
      <w:pPr>
        <w:jc w:val="both"/>
        <w:rPr>
          <w:color w:val="0070C0"/>
          <w:sz w:val="16"/>
          <w:szCs w:val="16"/>
        </w:rPr>
      </w:pPr>
      <w:r w:rsidRPr="00405303">
        <w:rPr>
          <w:color w:val="0070C0"/>
          <w:sz w:val="16"/>
          <w:szCs w:val="16"/>
        </w:rPr>
        <w:t>В мае 1915 г. Воздухоплавательное отделение АО РБВЗ было переимено</w:t>
      </w:r>
      <w:r w:rsidRPr="00405303">
        <w:rPr>
          <w:color w:val="0070C0"/>
          <w:sz w:val="16"/>
          <w:szCs w:val="16"/>
        </w:rPr>
        <w:softHyphen/>
        <w:t>ванное в Русско-Балтийский воздухопла</w:t>
      </w:r>
      <w:r w:rsidRPr="00405303">
        <w:rPr>
          <w:color w:val="0070C0"/>
          <w:sz w:val="16"/>
          <w:szCs w:val="16"/>
        </w:rPr>
        <w:softHyphen/>
        <w:t>вательный завод (часто его сокращенно называли «Авиа- Балт») (25049).</w:t>
      </w:r>
    </w:p>
    <w:p w14:paraId="15E2515F" w14:textId="77777777" w:rsidR="00CD28F6" w:rsidRPr="00405303" w:rsidRDefault="00CD28F6" w:rsidP="00CD28F6">
      <w:pPr>
        <w:widowControl w:val="0"/>
        <w:tabs>
          <w:tab w:val="left" w:pos="642"/>
        </w:tabs>
        <w:jc w:val="both"/>
        <w:rPr>
          <w:color w:val="0070C0"/>
          <w:sz w:val="16"/>
          <w:szCs w:val="16"/>
        </w:rPr>
      </w:pPr>
    </w:p>
    <w:p w14:paraId="3D4422F7" w14:textId="77777777" w:rsidR="00DC7430" w:rsidRPr="00405303" w:rsidRDefault="00DC7430" w:rsidP="00C15251">
      <w:pPr>
        <w:jc w:val="both"/>
        <w:rPr>
          <w:bCs/>
          <w:color w:val="002060"/>
          <w:sz w:val="16"/>
          <w:szCs w:val="16"/>
        </w:rPr>
      </w:pPr>
      <w:r w:rsidRPr="00405303">
        <w:rPr>
          <w:bCs/>
          <w:color w:val="002060"/>
          <w:sz w:val="16"/>
          <w:szCs w:val="16"/>
        </w:rPr>
        <w:t>В мае 1915 г. А.В. Каульбарс представил доклад о выборе типов самолетов во Франции и Англии (19566).</w:t>
      </w:r>
    </w:p>
    <w:p w14:paraId="79FE3D69" w14:textId="77777777" w:rsidR="00DC7430" w:rsidRPr="00405303" w:rsidRDefault="00DC7430" w:rsidP="00C15251">
      <w:pPr>
        <w:jc w:val="both"/>
        <w:rPr>
          <w:bCs/>
          <w:color w:val="002060"/>
          <w:sz w:val="16"/>
          <w:szCs w:val="16"/>
        </w:rPr>
      </w:pPr>
    </w:p>
    <w:p w14:paraId="2986E3A0" w14:textId="77777777" w:rsidR="00DC7430" w:rsidRPr="00405303" w:rsidRDefault="00DC7430" w:rsidP="00C15251">
      <w:pPr>
        <w:pStyle w:val="ae"/>
        <w:spacing w:before="0" w:beforeAutospacing="0" w:after="0" w:afterAutospacing="0"/>
        <w:jc w:val="both"/>
        <w:rPr>
          <w:bCs/>
          <w:color w:val="002060"/>
          <w:sz w:val="16"/>
          <w:szCs w:val="16"/>
        </w:rPr>
      </w:pPr>
      <w:r w:rsidRPr="00405303">
        <w:rPr>
          <w:bCs/>
          <w:color w:val="002060"/>
          <w:sz w:val="16"/>
          <w:szCs w:val="16"/>
        </w:rPr>
        <w:t>В мае 1915 г. была завершена выработка плана снабжения армии авиаимуществом на срок с 1 июня 1915 г. до 1 июня 1916 г. Заложенные в плане показатели обеспечения авиационных фронтовых отрядов различными типами самолетов и моторов к ним, а также возмещение их убыли предполагали распределение большей части заказов в России. Регулярно проводимые учреждениями военного ведомства совещания по вопросам снабжения армии авиаимуществом стали важным фактором развития авиационной промышленности. Принятые на них программы, или их корректировки на заключительном этапе обязательно рассматривались Особым совещанием по обороне.</w:t>
      </w:r>
    </w:p>
    <w:p w14:paraId="36D73BFB" w14:textId="77777777" w:rsidR="00DC7430" w:rsidRPr="00405303" w:rsidRDefault="00DC7430" w:rsidP="00C15251">
      <w:pPr>
        <w:pStyle w:val="ae"/>
        <w:spacing w:before="0" w:beforeAutospacing="0" w:after="0" w:afterAutospacing="0"/>
        <w:jc w:val="both"/>
        <w:rPr>
          <w:bCs/>
          <w:color w:val="002060"/>
          <w:sz w:val="16"/>
          <w:szCs w:val="16"/>
        </w:rPr>
      </w:pPr>
      <w:r w:rsidRPr="00405303">
        <w:rPr>
          <w:bCs/>
          <w:color w:val="002060"/>
          <w:sz w:val="16"/>
          <w:szCs w:val="16"/>
        </w:rPr>
        <w:t>На основе этих планов в течение 1915 - 1916 гг. Особое совещание вело широкую выдачу заказов различным авиационным предприятиям с одновременным предоставлением авансов и ссуд. В июле 1915 г. было привлечено к исполнению заказов всего два моторных и шесть самолетостроительных завода. Тогда как только в сентябре - декабре 1915 г. в подготовительной комиссии по общим вопросам Особого совещания было обсуждено более десятка дел, связанных с выдачей заказов, ссуд, авансов, пособий авиационным заводам. И число рассматриваемых дел, и объемы, выдаваемых заказов, в 1916 г. значительно возросли (18369).</w:t>
      </w:r>
    </w:p>
    <w:p w14:paraId="7A24D144" w14:textId="77777777" w:rsidR="00DC7430" w:rsidRPr="00405303" w:rsidRDefault="00DC7430" w:rsidP="00C15251">
      <w:pPr>
        <w:pStyle w:val="ae"/>
        <w:spacing w:before="0" w:beforeAutospacing="0" w:after="0" w:afterAutospacing="0"/>
        <w:jc w:val="both"/>
        <w:rPr>
          <w:bCs/>
          <w:color w:val="002060"/>
          <w:sz w:val="16"/>
          <w:szCs w:val="16"/>
        </w:rPr>
      </w:pPr>
    </w:p>
    <w:p w14:paraId="717D09AC" w14:textId="7E402835" w:rsidR="004B4E35" w:rsidRPr="00405303" w:rsidRDefault="00B94229"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мае 1915 г. </w:t>
      </w:r>
      <w:r w:rsidRPr="00405303">
        <w:rPr>
          <w:bCs/>
          <w:color w:val="002060"/>
          <w:sz w:val="16"/>
          <w:szCs w:val="16"/>
        </w:rPr>
        <w:t xml:space="preserve">Воздухоплавательное отделение АО РБВЗ, переименованное </w:t>
      </w:r>
      <w:r w:rsidR="009E6F82" w:rsidRPr="00405303">
        <w:rPr>
          <w:bCs/>
          <w:color w:val="002060"/>
          <w:sz w:val="16"/>
          <w:szCs w:val="16"/>
        </w:rPr>
        <w:t>в Русско-Балтийский воздухоплавательный завод (часто его сокращенно называли «АвиаБалт» ) , приступило в сентябре 1915 г. к подготовке производства (по заводскому обозначению, заказа Nо. 213) . Однако не все пошло гладко. Только к концу месяца летчиками ЭВК были подготовлены замечания к первым опытным С-16, и И. И. Сикорский смог приступить к устранению отмеченных недостатков в конструкции серийных аппаратов, получивших обозначение С-16сер. Им были присвоены заводские номера с 201 по 215. Вместе с опытными С-16 Nо. 154,155 и 156 они должны были составить «контрактные» 18 машин. В конструкцию серийных самолетов И. И. Сикорский внес ряд небольших изменений по сравнению с опытными. Была изменена форма хвостового оперения. Другой стала площадь крыльев и т.д. коробка крыльев С-16сер. имела плоскости разных размеров, подобно опытному С-16 Nо. 156. С большими проблемами столкнулось производство Авиа-Балта в связи со срывом поставок полуфабрикатов и комплектующих изделий (стальных и латунных труб, листовой стали, колес, болтов и т. п,) , многие из которых доставлялись из-за границы, в основном из Швеции, В связи с этим Сикорскому и его помощникам пришлось срочно переконструировать часть деталей и даже наладить на заводе выпуск стальных труб. Из-за вносимых изменений вес серийных самолетов С-16сер. получился различным и колебался от 415,6 до 423,2 кг. Директор Авиа-Балта М. Ф. Климыссеев предпринял все меры для ускорения работ по построже серии С-16сер., благо, осенью 1915 г. появилось временное технологическое окно в производстве воздушных кораблей «Илья Муромец</w:t>
      </w:r>
      <w:proofErr w:type="gramStart"/>
      <w:r w:rsidR="009E6F82" w:rsidRPr="00405303">
        <w:rPr>
          <w:bCs/>
          <w:color w:val="002060"/>
          <w:sz w:val="16"/>
          <w:szCs w:val="16"/>
        </w:rPr>
        <w:t>» .</w:t>
      </w:r>
      <w:proofErr w:type="gramEnd"/>
      <w:r w:rsidR="009E6F82" w:rsidRPr="00405303">
        <w:rPr>
          <w:bCs/>
          <w:color w:val="002060"/>
          <w:sz w:val="16"/>
          <w:szCs w:val="16"/>
        </w:rPr>
        <w:t xml:space="preserve"> Все свободные рабочие были переведены на сборку легких самолетов, трудились сверхурочно, в выходные и в праздничные дни. Однако повторявшиеся одна за другой забастовки </w:t>
      </w:r>
      <w:r w:rsidR="009E6F82" w:rsidRPr="00405303">
        <w:rPr>
          <w:bCs/>
          <w:color w:val="002060"/>
          <w:sz w:val="16"/>
          <w:szCs w:val="16"/>
        </w:rPr>
        <w:lastRenderedPageBreak/>
        <w:t>свели на нет все эти усилия. К концу ноября стало очевидным, что к сроку удастся закончить от силы лишь четыре (Ко. 206- 209) из заказанных пятнадцати самолетов. Пришлось просить в ГВУ отсрочку, которая сопровождалась уплатой соответствующей неустойки. Только 4 января 1916 г. Авиа-Балт смог заявить о готовности представить к осмотру все 15 серийных самолетов С-16сер. Однако сдача их опять затянулась. Плохая погода прервала начатые 22 декабря 1915 г. прибывшим с фронта Г. И. Лавровым летно-сдаточные испытания самолетов. Во время одного из первых полетов на самолете Nо. 206 из-за сильных порывов ветра летчик не смог при посадке справиться с управлением. Самолет и двигатель были сильно повреждены и ремонтировались до марта1916 г. С отъездом Лаврова на фронт на заводе не осталось летчиков-сдатчиков. Ссылаясь на условия контракта (АО РБВЗ было обязано проводить сдаточные испытания с помощью заводских летчиков и за свой счет</w:t>
      </w:r>
      <w:proofErr w:type="gramStart"/>
      <w:r w:rsidR="009E6F82" w:rsidRPr="00405303">
        <w:rPr>
          <w:bCs/>
          <w:color w:val="002060"/>
          <w:sz w:val="16"/>
          <w:szCs w:val="16"/>
        </w:rPr>
        <w:t>) ,</w:t>
      </w:r>
      <w:proofErr w:type="gramEnd"/>
      <w:r w:rsidR="009E6F82" w:rsidRPr="00405303">
        <w:rPr>
          <w:bCs/>
          <w:color w:val="002060"/>
          <w:sz w:val="16"/>
          <w:szCs w:val="16"/>
        </w:rPr>
        <w:t xml:space="preserve"> ГВУ отказывалось предоставить своих летчиков. Несвоевременно поступали из ГВУ на завод и двигатели «Гном</w:t>
      </w:r>
      <w:proofErr w:type="gramStart"/>
      <w:r w:rsidR="009E6F82" w:rsidRPr="00405303">
        <w:rPr>
          <w:bCs/>
          <w:color w:val="002060"/>
          <w:sz w:val="16"/>
          <w:szCs w:val="16"/>
        </w:rPr>
        <w:t>» .</w:t>
      </w:r>
      <w:proofErr w:type="gramEnd"/>
      <w:r w:rsidR="009E6F82" w:rsidRPr="00405303">
        <w:rPr>
          <w:bCs/>
          <w:color w:val="002060"/>
          <w:sz w:val="16"/>
          <w:szCs w:val="16"/>
        </w:rPr>
        <w:t xml:space="preserve"> Кроме того, задержка поставок в армию С-16сер. способствовала и изменению взглядов на применение этих машин. В истории С-16 произошло важное событие -- расширилось назначение этого самолета. Если в середине 1915 г. «Сикорский маленький» , как иногда называли С-16 в войсках, предполагалось использовать в ЭВК в основном для тренировок летчиков воздушных кораблей, а также в качестве «разведчиков при намечаемых налетах Эскадры на определенные пункты» , то к концу этого года наметилось применение их в качестве истребителей на боевых базах для защиты воздушных кораблей против налетов неприятельского воздушного флота» . По новым утвержденным штатам ЭВК в ее составе предполагалось иметь теперь помимо 12 учебных аппаратов школы Эскадры еще по 14 легких самолетов (4 истребителя, 4разведчика и 6тренировочных) в составе каждого боевого отряда, число которых увеличилось с двух до трех. Подобно большинству других скаутов, С-16 превращался в классический одноместный истребитель. Он стал, таким образом, первым истребителем отечественной конструкции. Изменение назначения самолета С-16 ознаменовалось разработкой для него стационарного бортового вооружения. Одним из главных пропагандистов создания истребительной авиации в российском воздушном флоте был лейтенант Г, И. Лавров. В 1915 г. он сделал ряд предложений по созданию авиационного вооружения и формированию отрядов истребителей. Осенью этого года им был разработан и построен в мастерских ЭВК образец первого в России синхронизатора или, как тогда называли, приспособления для автоматической стрельбы через винт (11188).</w:t>
      </w:r>
    </w:p>
    <w:p w14:paraId="64E901F2" w14:textId="77777777" w:rsidR="004B4E35" w:rsidRPr="00405303" w:rsidRDefault="004B4E35" w:rsidP="00C15251">
      <w:pPr>
        <w:jc w:val="both"/>
        <w:rPr>
          <w:bCs/>
          <w:color w:val="002060"/>
          <w:sz w:val="16"/>
          <w:szCs w:val="16"/>
        </w:rPr>
      </w:pPr>
    </w:p>
    <w:p w14:paraId="39E99B9F" w14:textId="77777777" w:rsidR="004B4E35" w:rsidRPr="00405303" w:rsidRDefault="009E6F82" w:rsidP="00C15251">
      <w:pPr>
        <w:jc w:val="both"/>
        <w:rPr>
          <w:bCs/>
          <w:color w:val="002060"/>
          <w:sz w:val="16"/>
          <w:szCs w:val="16"/>
        </w:rPr>
      </w:pPr>
      <w:r w:rsidRPr="00405303">
        <w:rPr>
          <w:bCs/>
          <w:color w:val="002060"/>
          <w:sz w:val="16"/>
          <w:szCs w:val="16"/>
        </w:rPr>
        <w:t>В мае 1915 года воздухоплавательное отделение РБВЗ было реорганизовано в Рус- ско-Балтийский воздухоплавательный завод (или как его чаше называли "Авиа-Балт"). Его директором стал бывший заведующий отделением завода М.Ф. Климиксеев. В счёт утраченных при пожаре малых самолётов, 20 июня 1915 года завод заключил контракте ГВТУ за № 15976 на поставку ещё четырёх аэропланов типа "Илья Муромец" (№№ 158. 159, 163 и 165) с запасными частями на сумму 667.995 рублей. Казна платила за каждый корабль немалые деньги - цена не изменялась с 1914 года и составляла 150 тысяч рублей, тогда как одномоторный "маленький" аэроплан стоил от 7 до 14 тысяч.</w:t>
      </w:r>
    </w:p>
    <w:p w14:paraId="5203E479" w14:textId="77777777" w:rsidR="004B4E35" w:rsidRPr="00405303" w:rsidRDefault="009E6F82" w:rsidP="00C15251">
      <w:pPr>
        <w:jc w:val="both"/>
        <w:rPr>
          <w:bCs/>
          <w:color w:val="002060"/>
          <w:sz w:val="16"/>
          <w:szCs w:val="16"/>
        </w:rPr>
      </w:pPr>
      <w:r w:rsidRPr="00405303">
        <w:rPr>
          <w:bCs/>
          <w:color w:val="002060"/>
          <w:sz w:val="16"/>
          <w:szCs w:val="16"/>
        </w:rPr>
        <w:t>Как же собирались самолёты типа "Илья Муромец"? На заводе применялся метод по- агрегатной сборки. Сначала изготавливали и собирали отдельные части аппарата: фюзеляж, стойки шасси (центральные и две пары подмоторных), верхние и нижние планы (крылья), горизонтальное оперение. Нижний план в свою очередь собирался из двух располагаемых по бортам фюзеляжа подмоторных частей и двух присоединяемых к ним крайних, а верхний - из семи частей: двух надмоторных, двух крайних, двух приставочных поверхностей (так называемых над- крылков) и одной центральной части, располагаемой над фюзеляжем (в терминах того времени).</w:t>
      </w:r>
    </w:p>
    <w:p w14:paraId="7A60DB42" w14:textId="77777777" w:rsidR="004B4E35" w:rsidRPr="00405303" w:rsidRDefault="009E6F82" w:rsidP="00C15251">
      <w:pPr>
        <w:jc w:val="both"/>
        <w:rPr>
          <w:bCs/>
          <w:color w:val="002060"/>
          <w:sz w:val="16"/>
          <w:szCs w:val="16"/>
        </w:rPr>
      </w:pPr>
      <w:r w:rsidRPr="00405303">
        <w:rPr>
          <w:bCs/>
          <w:color w:val="002060"/>
          <w:sz w:val="16"/>
          <w:szCs w:val="16"/>
        </w:rPr>
        <w:t>Соответственные части верхнего и нижнего планов в мастерских завода собирались в коробки с помощью стоек и усиливались диагональными расчалками из струнной проволоки. Две моторные и две крайние коробки с надкрылками выверялись в стапелях и пригонялись друг к другу. Пока делались крылья, в сборочной мастерской устанавливался готовый фюзеляж, уже обтянутый материей и поставленный на центральное шасси, и над ним устанавливался центральный сектор верхнего плана. Затем к фюзеляжу крепилось горизонтальное оперение, состоявшее из двух консолей, и моторные коробки планов, под которые подводилось шасси. После этого на нижних планах коробок крыльев устанавливались фермы под моторы.</w:t>
      </w:r>
    </w:p>
    <w:p w14:paraId="70C862FE" w14:textId="77777777" w:rsidR="004B4E35" w:rsidRPr="00405303" w:rsidRDefault="009E6F82" w:rsidP="00C15251">
      <w:pPr>
        <w:jc w:val="both"/>
        <w:rPr>
          <w:bCs/>
          <w:color w:val="002060"/>
          <w:sz w:val="16"/>
          <w:szCs w:val="16"/>
        </w:rPr>
      </w:pPr>
      <w:r w:rsidRPr="00405303">
        <w:rPr>
          <w:bCs/>
          <w:color w:val="002060"/>
          <w:sz w:val="16"/>
          <w:szCs w:val="16"/>
        </w:rPr>
        <w:t>По окончании сборочных работ наступала очередь механиков, которые устанавливали двигатели на фермы, пригоняли к ним по месту бензо-, масло- и воздухопроводы, электрическую проводку и соответствующую арматуру, а также устанавливали бензиновые и масляные баки и измерительные приборы. По техническим условиям контракта баки для бензина и масла (с указателями уровня) должны были быть изготовлены из красной меди или латуни. Для управления высотой и боковыми наклонами аппарата ставился качающийся штурвал, для поворотов аппарата в горизонтальной плоскости - ножной рычаг. Кабина должна была оснащаться следующими приборами: двумя компасами, двумя барометрами-анероидами, двумя указателями скорости и часами с секундной стрелкой.</w:t>
      </w:r>
    </w:p>
    <w:p w14:paraId="528A9964" w14:textId="77777777" w:rsidR="004B4E35" w:rsidRPr="00405303" w:rsidRDefault="009E6F82" w:rsidP="00C15251">
      <w:pPr>
        <w:jc w:val="both"/>
        <w:rPr>
          <w:bCs/>
          <w:color w:val="002060"/>
          <w:sz w:val="16"/>
          <w:szCs w:val="16"/>
        </w:rPr>
      </w:pPr>
      <w:r w:rsidRPr="00405303">
        <w:rPr>
          <w:bCs/>
          <w:color w:val="002060"/>
          <w:sz w:val="16"/>
          <w:szCs w:val="16"/>
        </w:rPr>
        <w:t>Этими действиями сборка аэроплана на Сикорский сидит на фоне заводе заканчивалась, он разбирался и пере- готовых фюзеляжей возился на Корпусной аэродром.</w:t>
      </w:r>
      <w:r w:rsidRPr="00405303">
        <w:rPr>
          <w:bCs/>
          <w:color w:val="002060"/>
          <w:sz w:val="16"/>
          <w:szCs w:val="16"/>
        </w:rPr>
        <w:tab/>
        <w:t>"Муромцев" типа Г</w:t>
      </w:r>
    </w:p>
    <w:p w14:paraId="2A2B798E" w14:textId="77777777" w:rsidR="004B4E35" w:rsidRPr="00405303" w:rsidRDefault="009E6F82" w:rsidP="00C15251">
      <w:pPr>
        <w:jc w:val="both"/>
        <w:rPr>
          <w:bCs/>
          <w:color w:val="002060"/>
          <w:sz w:val="16"/>
          <w:szCs w:val="16"/>
        </w:rPr>
      </w:pPr>
      <w:r w:rsidRPr="00405303">
        <w:rPr>
          <w:bCs/>
          <w:color w:val="002060"/>
          <w:sz w:val="16"/>
          <w:szCs w:val="16"/>
        </w:rPr>
        <w:t>Там в распоряжении завода имелись одна сборочная мастерская и два ангара на один аппарат каждый. В ангарах можно было полностью собирать корабль, т.е. хватало места для стыковки крайних коробок с надкрылками. В четырёх верстах от завода Военное ведомство предоставило три железных ангара, о назначении которых пойдёт речь ниже.</w:t>
      </w:r>
    </w:p>
    <w:p w14:paraId="60E30976" w14:textId="77777777" w:rsidR="004B4E35" w:rsidRPr="00405303" w:rsidRDefault="009E6F82" w:rsidP="00C15251">
      <w:pPr>
        <w:jc w:val="both"/>
        <w:rPr>
          <w:bCs/>
          <w:color w:val="002060"/>
          <w:sz w:val="16"/>
          <w:szCs w:val="16"/>
        </w:rPr>
      </w:pPr>
      <w:r w:rsidRPr="00405303">
        <w:rPr>
          <w:bCs/>
          <w:color w:val="002060"/>
          <w:sz w:val="16"/>
          <w:szCs w:val="16"/>
        </w:rPr>
        <w:t>Доставленный с завода на Корпусной аэродром "Муромец", сначала поступал в сборочную мастерскую, где механиками производилась окончательная установка моторов. Такая работа занимала от трёх до четырёх дней.</w:t>
      </w:r>
    </w:p>
    <w:p w14:paraId="00EEDBA6" w14:textId="77777777" w:rsidR="004B4E35" w:rsidRPr="00405303" w:rsidRDefault="009E6F82" w:rsidP="00C15251">
      <w:pPr>
        <w:jc w:val="both"/>
        <w:rPr>
          <w:bCs/>
          <w:color w:val="002060"/>
          <w:sz w:val="16"/>
          <w:szCs w:val="16"/>
        </w:rPr>
      </w:pPr>
      <w:r w:rsidRPr="00405303">
        <w:rPr>
          <w:bCs/>
          <w:color w:val="002060"/>
          <w:sz w:val="16"/>
          <w:szCs w:val="16"/>
        </w:rPr>
        <w:t>Затем аппарат переводился в ангар, где к моторным планам присоединялись крайние коробки с надкрылками и производилась окончательная регулировка корабля, занимавшая два-три дня.</w:t>
      </w:r>
    </w:p>
    <w:p w14:paraId="666D125E" w14:textId="77777777" w:rsidR="004B4E35" w:rsidRPr="00405303" w:rsidRDefault="009E6F82" w:rsidP="00C15251">
      <w:pPr>
        <w:jc w:val="both"/>
        <w:rPr>
          <w:bCs/>
          <w:color w:val="002060"/>
          <w:sz w:val="16"/>
          <w:szCs w:val="16"/>
        </w:rPr>
      </w:pPr>
      <w:r w:rsidRPr="00405303">
        <w:rPr>
          <w:bCs/>
          <w:color w:val="002060"/>
          <w:sz w:val="16"/>
          <w:szCs w:val="16"/>
        </w:rPr>
        <w:t>Ещё день-два нужны были для регулировки двигателей.</w:t>
      </w:r>
    </w:p>
    <w:p w14:paraId="0166A0A8" w14:textId="77777777" w:rsidR="004B4E35" w:rsidRPr="00405303" w:rsidRDefault="009E6F82" w:rsidP="00C15251">
      <w:pPr>
        <w:jc w:val="both"/>
        <w:rPr>
          <w:bCs/>
          <w:color w:val="002060"/>
          <w:sz w:val="16"/>
          <w:szCs w:val="16"/>
        </w:rPr>
      </w:pPr>
      <w:r w:rsidRPr="00405303">
        <w:rPr>
          <w:bCs/>
          <w:color w:val="002060"/>
          <w:sz w:val="16"/>
          <w:szCs w:val="16"/>
        </w:rPr>
        <w:t>Таким образом, для подготовки "Муромца" к сдаточному полёту уходило от шести до девяти дней.</w:t>
      </w:r>
    </w:p>
    <w:p w14:paraId="592DF950" w14:textId="77777777" w:rsidR="004B4E35" w:rsidRPr="00405303" w:rsidRDefault="009E6F82" w:rsidP="00C15251">
      <w:pPr>
        <w:jc w:val="both"/>
        <w:rPr>
          <w:bCs/>
          <w:color w:val="002060"/>
          <w:sz w:val="16"/>
          <w:szCs w:val="16"/>
        </w:rPr>
      </w:pPr>
      <w:r w:rsidRPr="00405303">
        <w:rPr>
          <w:bCs/>
          <w:color w:val="002060"/>
          <w:sz w:val="16"/>
          <w:szCs w:val="16"/>
        </w:rPr>
        <w:t xml:space="preserve">После окончательной подготовки, аппараты должны были быть немедленно сданы и переправлены по воздуху (перелётом) в железные ангары Военного ведомства, так как условия местности не позволяли переправить самолёты "на руках". </w:t>
      </w:r>
    </w:p>
    <w:p w14:paraId="53C25950" w14:textId="77777777" w:rsidR="004B4E35" w:rsidRPr="00405303" w:rsidRDefault="009E6F82" w:rsidP="00C15251">
      <w:pPr>
        <w:jc w:val="both"/>
        <w:rPr>
          <w:bCs/>
          <w:color w:val="002060"/>
          <w:sz w:val="16"/>
          <w:szCs w:val="16"/>
        </w:rPr>
      </w:pPr>
      <w:r w:rsidRPr="00405303">
        <w:rPr>
          <w:bCs/>
          <w:color w:val="002060"/>
          <w:sz w:val="16"/>
          <w:szCs w:val="16"/>
        </w:rPr>
        <w:t>Мотор РБВЗ.6 Сдача "Муромцев" задерживалась тем, (РБЗ.В) 150л.с. что у завода не было собственного лётчика- сдатчика, приходилось запрашивать и ждать пилотов из Эскадры. Это обстоятельство ощутимо срывало сроки, и собранные самолёты только зря занимали немногочисленные ангары. Вскоре пришли к тому, что приёмку корабля можно проводить не только в Петрограде, но и в Эскадре, где за сдаточный полёт засчитывали первый боевой вылет.</w:t>
      </w:r>
    </w:p>
    <w:p w14:paraId="61E942E7" w14:textId="77777777" w:rsidR="004B4E35" w:rsidRPr="00405303" w:rsidRDefault="009E6F82" w:rsidP="00C15251">
      <w:pPr>
        <w:jc w:val="both"/>
        <w:rPr>
          <w:bCs/>
          <w:color w:val="002060"/>
          <w:sz w:val="16"/>
          <w:szCs w:val="16"/>
        </w:rPr>
      </w:pPr>
      <w:r w:rsidRPr="00405303">
        <w:rPr>
          <w:bCs/>
          <w:color w:val="002060"/>
          <w:sz w:val="16"/>
          <w:szCs w:val="16"/>
        </w:rPr>
        <w:t>Выпуск самолётов модификации В ("остроносых" и "тупоносых") позволил несколько "утолить голод" Эскадры и наладить относительно регулярную боевую работу. Но Сикорский прекрасно понимал, что необходимо совершенствовать "Муромца", поскольку топтание на месте на самом деле вело назад.</w:t>
      </w:r>
    </w:p>
    <w:p w14:paraId="4CB886E3" w14:textId="77777777" w:rsidR="004B4E35" w:rsidRPr="00405303" w:rsidRDefault="009E6F82" w:rsidP="00C15251">
      <w:pPr>
        <w:jc w:val="both"/>
        <w:rPr>
          <w:bCs/>
          <w:color w:val="002060"/>
          <w:sz w:val="16"/>
          <w:szCs w:val="16"/>
        </w:rPr>
      </w:pPr>
      <w:r w:rsidRPr="00405303">
        <w:rPr>
          <w:bCs/>
          <w:color w:val="002060"/>
          <w:sz w:val="16"/>
          <w:szCs w:val="16"/>
        </w:rPr>
        <w:t>"Моторный голод" был ахиллесовой пятой российской авиации практически с самого её зарождения. Отсутствие отечественных моторов необходимой мощности и перебои с поставками из-за рубежа привели руководство РБВЗ к решению наладить на заводе и производство собственных двигателей. Дело это оказалось не столь простым и разработка, испытания и запуск производства заняли много времени. Тем не менее, в 1915 году на рижском отделении РБВЗ под руководством инженера В.В. Киреева был создан и испытан шестицилиндровый рядный двигатель РБВЗ.6 (РБ3.6) в 150 л.с. Установленные на "Муромце" тип В (№167) летом 1915 года, они показали себя с самой лучшей стороны, мало уступая германским "Аргусам".</w:t>
      </w:r>
    </w:p>
    <w:p w14:paraId="5E1B8CAD" w14:textId="77777777" w:rsidR="004B4E35" w:rsidRPr="00405303" w:rsidRDefault="009E6F82" w:rsidP="00C15251">
      <w:pPr>
        <w:jc w:val="both"/>
        <w:rPr>
          <w:bCs/>
          <w:color w:val="002060"/>
          <w:sz w:val="16"/>
          <w:szCs w:val="16"/>
        </w:rPr>
      </w:pPr>
      <w:r w:rsidRPr="00405303">
        <w:rPr>
          <w:bCs/>
          <w:color w:val="002060"/>
          <w:sz w:val="16"/>
          <w:szCs w:val="16"/>
        </w:rPr>
        <w:t>Эвакуация рижского'завода осенью 1915 года не позволила расширить выпуск двигателей. В Москве к этому времени наладили лицензионный выпуск "Сальмсонов" М9 в 150 л.с., но не слишком удачный опыт их эксплуатации на "Муромцах" из-за большого лобового сопротивления, привёл к отказу от их использования.</w:t>
      </w:r>
    </w:p>
    <w:p w14:paraId="61F0BD5C" w14:textId="77777777" w:rsidR="004B4E35" w:rsidRPr="00405303" w:rsidRDefault="009E6F82" w:rsidP="00C15251">
      <w:pPr>
        <w:jc w:val="both"/>
        <w:rPr>
          <w:bCs/>
          <w:color w:val="002060"/>
          <w:sz w:val="16"/>
          <w:szCs w:val="16"/>
        </w:rPr>
      </w:pPr>
      <w:r w:rsidRPr="00405303">
        <w:rPr>
          <w:bCs/>
          <w:color w:val="002060"/>
          <w:sz w:val="16"/>
          <w:szCs w:val="16"/>
        </w:rPr>
        <w:t>Пока суть да дело, было решено закупить в Великобритании восьмицилиндровые V-образные двигатели водяного охлаждения "Санбим" в 150 л.с. На практике закупленные двигатели развивали не более 130 л.с., что заметно снижало боевые качества "Муромцев". В эксплуатации "Санбимы" оказались капризными и ненадёжными. Впервые установленные на них лобовые радиаторы заметно повышали сопротивление. Рекламации шли из Эскадры широким потоком, двигатели в массовом порядке отправлялись обратно на переборку и доработку. Но выбирать было не из чего...</w:t>
      </w:r>
    </w:p>
    <w:p w14:paraId="6B9D5D91" w14:textId="77777777" w:rsidR="004B4E35" w:rsidRPr="00405303" w:rsidRDefault="009E6F82" w:rsidP="00C15251">
      <w:pPr>
        <w:jc w:val="both"/>
        <w:rPr>
          <w:bCs/>
          <w:color w:val="002060"/>
          <w:sz w:val="16"/>
          <w:szCs w:val="16"/>
        </w:rPr>
      </w:pPr>
      <w:r w:rsidRPr="00405303">
        <w:rPr>
          <w:bCs/>
          <w:color w:val="002060"/>
          <w:sz w:val="16"/>
          <w:szCs w:val="16"/>
        </w:rPr>
        <w:t>Шидловский и Сикорский решили пойти на изменение конструкции для улучшения лётных характеристик своих воздушных гигантов. Улучшения было решено добиваться двумя путями. Первый путь заключался в совершенствовании винтомоторной установки, второй - в совершенствовании самого самолёта.</w:t>
      </w:r>
    </w:p>
    <w:p w14:paraId="0F1B7A24" w14:textId="77777777" w:rsidR="004B4E35" w:rsidRPr="00405303" w:rsidRDefault="009E6F82" w:rsidP="00C15251">
      <w:pPr>
        <w:jc w:val="both"/>
        <w:rPr>
          <w:bCs/>
          <w:color w:val="002060"/>
          <w:sz w:val="16"/>
          <w:szCs w:val="16"/>
        </w:rPr>
      </w:pPr>
      <w:r w:rsidRPr="00405303">
        <w:rPr>
          <w:bCs/>
          <w:color w:val="002060"/>
          <w:sz w:val="16"/>
          <w:szCs w:val="16"/>
        </w:rPr>
        <w:t>В первом направлении Сикорский решил уменьшить сопротивление двигательной установки и повысить КПД винтов. Во втором - увеличить площадь крыла и поддержать удельную нагрузку на крыло на прежнем уровне (12041).</w:t>
      </w:r>
    </w:p>
    <w:p w14:paraId="2C29714D" w14:textId="77777777" w:rsidR="004B4E35" w:rsidRPr="00405303" w:rsidRDefault="004B4E35" w:rsidP="00C15251">
      <w:pPr>
        <w:jc w:val="both"/>
        <w:rPr>
          <w:bCs/>
          <w:color w:val="002060"/>
          <w:sz w:val="16"/>
          <w:szCs w:val="16"/>
        </w:rPr>
      </w:pPr>
    </w:p>
    <w:p w14:paraId="73AB1A8B" w14:textId="2E9D9C69" w:rsidR="00B62E70" w:rsidRPr="00405303" w:rsidRDefault="00B62E70" w:rsidP="00C15251">
      <w:pPr>
        <w:jc w:val="both"/>
        <w:rPr>
          <w:bCs/>
          <w:color w:val="002060"/>
          <w:sz w:val="16"/>
          <w:szCs w:val="16"/>
        </w:rPr>
      </w:pPr>
      <w:r w:rsidRPr="00405303">
        <w:rPr>
          <w:bCs/>
          <w:color w:val="002060"/>
          <w:sz w:val="16"/>
          <w:szCs w:val="16"/>
        </w:rPr>
        <w:lastRenderedPageBreak/>
        <w:t>В мае 1915 года воздухоплавательное отделение РБВЗ было реорганизовано в Русско-Балтийский воздухоплавательный завод (или как его чаще называли «Авиа-Балт»). Его директором стаз бывший заведующий отделением завода М.</w:t>
      </w:r>
      <w:r w:rsidR="00DB4D64" w:rsidRPr="00405303">
        <w:rPr>
          <w:bCs/>
          <w:color w:val="002060"/>
          <w:sz w:val="16"/>
          <w:szCs w:val="16"/>
        </w:rPr>
        <w:t xml:space="preserve"> </w:t>
      </w:r>
      <w:r w:rsidRPr="00405303">
        <w:rPr>
          <w:bCs/>
          <w:color w:val="002060"/>
          <w:sz w:val="16"/>
          <w:szCs w:val="16"/>
        </w:rPr>
        <w:t>Ф.</w:t>
      </w:r>
      <w:r w:rsidR="00DB4D64" w:rsidRPr="00405303">
        <w:rPr>
          <w:bCs/>
          <w:color w:val="002060"/>
          <w:sz w:val="16"/>
          <w:szCs w:val="16"/>
        </w:rPr>
        <w:t xml:space="preserve"> </w:t>
      </w:r>
      <w:r w:rsidRPr="00405303">
        <w:rPr>
          <w:bCs/>
          <w:color w:val="002060"/>
          <w:sz w:val="16"/>
          <w:szCs w:val="16"/>
        </w:rPr>
        <w:t>Климиксеев. В счёт утраченных при пожаре малых самолётов, 20 июня 1915 года завод заключил контракте ГВТУ за №</w:t>
      </w:r>
      <w:r w:rsidR="00DB4D64" w:rsidRPr="00405303">
        <w:rPr>
          <w:bCs/>
          <w:color w:val="002060"/>
          <w:sz w:val="16"/>
          <w:szCs w:val="16"/>
        </w:rPr>
        <w:t xml:space="preserve"> </w:t>
      </w:r>
      <w:r w:rsidRPr="00405303">
        <w:rPr>
          <w:bCs/>
          <w:color w:val="002060"/>
          <w:sz w:val="16"/>
          <w:szCs w:val="16"/>
        </w:rPr>
        <w:t>15976 на поставку ещё четырёх аэропланов типа «Илья Муромец» (№№</w:t>
      </w:r>
      <w:r w:rsidR="00DB4D64" w:rsidRPr="00405303">
        <w:rPr>
          <w:bCs/>
          <w:color w:val="002060"/>
          <w:sz w:val="16"/>
          <w:szCs w:val="16"/>
        </w:rPr>
        <w:t xml:space="preserve"> </w:t>
      </w:r>
      <w:r w:rsidRPr="00405303">
        <w:rPr>
          <w:bCs/>
          <w:color w:val="002060"/>
          <w:sz w:val="16"/>
          <w:szCs w:val="16"/>
        </w:rPr>
        <w:t>158, 159, 163 и 165) с запасными частями на сумму 667</w:t>
      </w:r>
      <w:r w:rsidR="00DB4D64" w:rsidRPr="00405303">
        <w:rPr>
          <w:bCs/>
          <w:color w:val="002060"/>
          <w:sz w:val="16"/>
          <w:szCs w:val="16"/>
        </w:rPr>
        <w:t xml:space="preserve"> </w:t>
      </w:r>
      <w:r w:rsidRPr="00405303">
        <w:rPr>
          <w:bCs/>
          <w:color w:val="002060"/>
          <w:sz w:val="16"/>
          <w:szCs w:val="16"/>
        </w:rPr>
        <w:t>995 рублей. Казна платила за каждый корабль немалые деньги</w:t>
      </w:r>
      <w:r w:rsidR="00DB4D64" w:rsidRPr="00405303">
        <w:rPr>
          <w:bCs/>
          <w:color w:val="002060"/>
          <w:sz w:val="16"/>
          <w:szCs w:val="16"/>
        </w:rPr>
        <w:t xml:space="preserve"> </w:t>
      </w:r>
      <w:r w:rsidRPr="00405303">
        <w:rPr>
          <w:bCs/>
          <w:color w:val="002060"/>
          <w:sz w:val="16"/>
          <w:szCs w:val="16"/>
        </w:rPr>
        <w:t>— цена не изменялась с 1914 года и составляла 150 тысяч рублей, тогда как одномоторный «маленький» аэроплан стоил от 7 до 14 тысяч (20053).</w:t>
      </w:r>
    </w:p>
    <w:p w14:paraId="06263D09" w14:textId="77777777" w:rsidR="00B62E70" w:rsidRPr="00405303" w:rsidRDefault="00B62E70" w:rsidP="00C15251">
      <w:pPr>
        <w:jc w:val="both"/>
        <w:rPr>
          <w:bCs/>
          <w:color w:val="002060"/>
          <w:sz w:val="16"/>
          <w:szCs w:val="16"/>
        </w:rPr>
      </w:pPr>
    </w:p>
    <w:p w14:paraId="4CEC4F9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мае 1915 самолет М-5 прошел испыта</w:t>
      </w:r>
      <w:r w:rsidRPr="00405303">
        <w:rPr>
          <w:bCs/>
          <w:color w:val="002060"/>
          <w:sz w:val="16"/>
          <w:szCs w:val="16"/>
        </w:rPr>
        <w:softHyphen/>
        <w:t>ния, после чего последовал заказ на первые 12 таких ло</w:t>
      </w:r>
      <w:r w:rsidRPr="00405303">
        <w:rPr>
          <w:bCs/>
          <w:color w:val="002060"/>
          <w:sz w:val="16"/>
          <w:szCs w:val="16"/>
        </w:rPr>
        <w:softHyphen/>
        <w:t>док для Морского ведомства (11107).</w:t>
      </w:r>
    </w:p>
    <w:p w14:paraId="20B74687" w14:textId="77777777" w:rsidR="004B4E35" w:rsidRPr="00405303" w:rsidRDefault="004B4E35" w:rsidP="00C15251">
      <w:pPr>
        <w:shd w:val="clear" w:color="auto" w:fill="FFFFFF"/>
        <w:jc w:val="both"/>
        <w:rPr>
          <w:bCs/>
          <w:color w:val="002060"/>
          <w:sz w:val="16"/>
          <w:szCs w:val="16"/>
        </w:rPr>
      </w:pPr>
    </w:p>
    <w:p w14:paraId="34AEE790" w14:textId="449D12DB" w:rsidR="004B4E35" w:rsidRPr="00405303" w:rsidRDefault="00B94229"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мае</w:t>
      </w:r>
      <w:r w:rsidRPr="00405303">
        <w:rPr>
          <w:bCs/>
          <w:color w:val="002060"/>
          <w:sz w:val="16"/>
          <w:szCs w:val="16"/>
        </w:rPr>
        <w:t xml:space="preserve"> 1915 г., первый экземпляр М-5, построенный на заводе Щетинина в апреле 1915 г., </w:t>
      </w:r>
      <w:r w:rsidR="009E6F82" w:rsidRPr="00405303">
        <w:rPr>
          <w:bCs/>
          <w:color w:val="002060"/>
          <w:sz w:val="16"/>
          <w:szCs w:val="16"/>
        </w:rPr>
        <w:t>благополучно прошел испытания, и далее началась его многолетняя история использования.</w:t>
      </w:r>
    </w:p>
    <w:p w14:paraId="34F65A93" w14:textId="77777777" w:rsidR="004B4E35" w:rsidRPr="00405303" w:rsidRDefault="009E6F82" w:rsidP="00C15251">
      <w:pPr>
        <w:jc w:val="both"/>
        <w:rPr>
          <w:bCs/>
          <w:color w:val="002060"/>
          <w:sz w:val="16"/>
          <w:szCs w:val="16"/>
        </w:rPr>
      </w:pPr>
      <w:r w:rsidRPr="00405303">
        <w:rPr>
          <w:bCs/>
          <w:color w:val="002060"/>
          <w:sz w:val="16"/>
          <w:szCs w:val="16"/>
        </w:rPr>
        <w:t>Основная часть М-5 оснащалась двигателями "Гном Моносупап" 100 л.с. С этим двигателем получилось наиболее удачное соотношение мощности, полетного веса и размеров самолета, позволявшее летчикам оценивать его как приятный в полете, а по своей доступности и безопасности считать отличным учебным аппаратом. В последнем своем качестве М-5 положительно запомнился многим обучившимся на нем авиаторам и даже получил весьма благосклонное прозвище "пятак".</w:t>
      </w:r>
    </w:p>
    <w:p w14:paraId="69FD9C61" w14:textId="77777777" w:rsidR="004B4E35" w:rsidRPr="00405303" w:rsidRDefault="009E6F82" w:rsidP="00C15251">
      <w:pPr>
        <w:jc w:val="both"/>
        <w:rPr>
          <w:bCs/>
          <w:color w:val="002060"/>
          <w:sz w:val="16"/>
          <w:szCs w:val="16"/>
        </w:rPr>
      </w:pPr>
      <w:r w:rsidRPr="00405303">
        <w:rPr>
          <w:bCs/>
          <w:color w:val="002060"/>
          <w:sz w:val="16"/>
          <w:szCs w:val="16"/>
        </w:rPr>
        <w:t>Одновременно, М-5 обладал невысокими летными донными, его полетная скорость находилась в пределах 100 км/ч. Григорович неоднократно пытался улучшить характеристики М-5 путем установки более мощных двигателей, однако, единожды достигнутая гармония (с "Гном Моносупап") нарушалась и летные качества только ухудшались.</w:t>
      </w:r>
    </w:p>
    <w:p w14:paraId="4165336B" w14:textId="77777777" w:rsidR="004B4E35" w:rsidRPr="00405303" w:rsidRDefault="009E6F82" w:rsidP="00C15251">
      <w:pPr>
        <w:jc w:val="both"/>
        <w:rPr>
          <w:bCs/>
          <w:color w:val="002060"/>
          <w:sz w:val="16"/>
          <w:szCs w:val="16"/>
        </w:rPr>
      </w:pPr>
      <w:r w:rsidRPr="00405303">
        <w:rPr>
          <w:bCs/>
          <w:color w:val="002060"/>
          <w:sz w:val="16"/>
          <w:szCs w:val="16"/>
        </w:rPr>
        <w:t>На Балтике самолет не вызвал большого интереса: хотя М-5 имел легкое и приятное управление по всем трем осям, по летным характеристикам ФБА он не превосходил. А война там шла жестокая. С апреля 1915 г. обе стороны выполняли ежедневные разведывательные полеты, в июле состоялись первые воздушные стычки, б которых противники отчаянно обстреливали друг друга из карабинов и маузеров. В сентябре отмечались практически ежедневные воздушные бои, в которых соотношение сил (увы!) составляло обычно два к пяти в пользу немецких авиаторов.</w:t>
      </w:r>
    </w:p>
    <w:p w14:paraId="62726536" w14:textId="77777777" w:rsidR="004B4E35" w:rsidRPr="00405303" w:rsidRDefault="009E6F82" w:rsidP="00C15251">
      <w:pPr>
        <w:jc w:val="both"/>
        <w:rPr>
          <w:bCs/>
          <w:color w:val="002060"/>
          <w:sz w:val="16"/>
          <w:szCs w:val="16"/>
        </w:rPr>
      </w:pPr>
      <w:r w:rsidRPr="00405303">
        <w:rPr>
          <w:bCs/>
          <w:color w:val="002060"/>
          <w:sz w:val="16"/>
          <w:szCs w:val="16"/>
        </w:rPr>
        <w:t xml:space="preserve">На Черном море, ввиду превосходства русского флота, обстановка для авиации была более спокойной. При этом "Кертиссы", составлявшие ядро самолетного парка, обладали гораздо худшими летными характеристиками, чем даже ранние М-4 Григоровича. Поэтому прибытие 16 мая 1915 г. в Севастополь М-5 первого образца воспринималось как вполне положительное явление. Кроме того, по сравнению с французской лодкой ФБА, М-5 оказалась прочнее и гораздо лучше выдерживала посадку на крутую черноморскую волну. Все указанные обстоятельства привели к тому, что очень скоро </w:t>
      </w:r>
      <w:proofErr w:type="gramStart"/>
      <w:r w:rsidRPr="00405303">
        <w:rPr>
          <w:bCs/>
          <w:color w:val="002060"/>
          <w:sz w:val="16"/>
          <w:szCs w:val="16"/>
        </w:rPr>
        <w:t>последо-вал</w:t>
      </w:r>
      <w:proofErr w:type="gramEnd"/>
      <w:r w:rsidRPr="00405303">
        <w:rPr>
          <w:bCs/>
          <w:color w:val="002060"/>
          <w:sz w:val="16"/>
          <w:szCs w:val="16"/>
        </w:rPr>
        <w:t xml:space="preserve"> заказ на 12 таких лодок для авиации Черноморского флота.</w:t>
      </w:r>
    </w:p>
    <w:p w14:paraId="59A1C48C" w14:textId="77777777" w:rsidR="004B4E35" w:rsidRPr="00405303" w:rsidRDefault="009E6F82" w:rsidP="00C15251">
      <w:pPr>
        <w:jc w:val="both"/>
        <w:rPr>
          <w:bCs/>
          <w:color w:val="002060"/>
          <w:sz w:val="16"/>
          <w:szCs w:val="16"/>
        </w:rPr>
      </w:pPr>
      <w:r w:rsidRPr="00405303">
        <w:rPr>
          <w:bCs/>
          <w:color w:val="002060"/>
          <w:sz w:val="16"/>
          <w:szCs w:val="16"/>
        </w:rPr>
        <w:t>Серийное производство М-5 началось в июне 1915 г. и до конца года на заводе Щетинина их построили 37 штук. Затем их выпуск продолжался с различной интенсивностью на протяжении нескольких лет. Последние три экземпляра, предназначенные для учебных целей, сдали заказчику в 1921 году. До этого момента общее количество построенных М-5 составило порядка 200 экземпляров, большинство из них изготовили на заводах Щетинина, Мельцера, Григоровича в Петрограде, некоторое количество на заводе Анатра в Одессе, а после революции - на петроградском заводе №3.</w:t>
      </w:r>
    </w:p>
    <w:p w14:paraId="2DFE1955" w14:textId="77777777" w:rsidR="004B4E35" w:rsidRPr="00405303" w:rsidRDefault="009E6F82" w:rsidP="00C15251">
      <w:pPr>
        <w:jc w:val="both"/>
        <w:rPr>
          <w:bCs/>
          <w:color w:val="002060"/>
          <w:sz w:val="16"/>
          <w:szCs w:val="16"/>
        </w:rPr>
      </w:pPr>
      <w:r w:rsidRPr="00405303">
        <w:rPr>
          <w:bCs/>
          <w:color w:val="002060"/>
          <w:sz w:val="16"/>
          <w:szCs w:val="16"/>
        </w:rPr>
        <w:t xml:space="preserve">Наиболее активно М-5 использовались в авиации Черноморского флота, получившей в свое пользование за весь период более 70 таких гидропланов. 10 октября 1915 г. начальник авиации Черноморского флота старший лейтенант Ста- ховский писал в Морской генеральный штаб: "...Боевыми аппаратами можно считать лишь Щетинины типа М-5, коих имеется 17, но за недо-статком моторов из них могут действовать лишь 14". Дополним эти сведения: в ноябре 1916 г. на Черном море их числилось 45 экземпляров, в конце 1 917 г. - 24 экземпляра. </w:t>
      </w:r>
    </w:p>
    <w:p w14:paraId="081EAFFE" w14:textId="77777777" w:rsidR="004B4E35" w:rsidRPr="00405303" w:rsidRDefault="009E6F82" w:rsidP="00C15251">
      <w:pPr>
        <w:jc w:val="both"/>
        <w:rPr>
          <w:bCs/>
          <w:color w:val="002060"/>
          <w:sz w:val="16"/>
          <w:szCs w:val="16"/>
        </w:rPr>
      </w:pPr>
      <w:r w:rsidRPr="00405303">
        <w:rPr>
          <w:bCs/>
          <w:color w:val="002060"/>
          <w:sz w:val="16"/>
          <w:szCs w:val="16"/>
        </w:rPr>
        <w:t>Вооружение боевых М-5 состояло из одного пулемета "Максим", "Виккерс" или "Льюис", установленных на треноге перед правым членом экипажа, нескольких 8-ми или 50-ти фунтовых бомб. С ноября 1915 г. на отдельных экземплярах ус-танавливали радиотелеграфные станции разных типов с дальностью связи свыше 40 км и фотоаппараты "Потте".</w:t>
      </w:r>
    </w:p>
    <w:p w14:paraId="1C525C26" w14:textId="77777777" w:rsidR="004B4E35" w:rsidRPr="00405303" w:rsidRDefault="009E6F82" w:rsidP="00C15251">
      <w:pPr>
        <w:jc w:val="both"/>
        <w:rPr>
          <w:bCs/>
          <w:color w:val="002060"/>
          <w:sz w:val="16"/>
          <w:szCs w:val="16"/>
        </w:rPr>
      </w:pPr>
      <w:r w:rsidRPr="00405303">
        <w:rPr>
          <w:bCs/>
          <w:color w:val="002060"/>
          <w:sz w:val="16"/>
          <w:szCs w:val="16"/>
        </w:rPr>
        <w:t>Черноморские М-5 базировались в Севастополе (1-й и 2-й отряды Воздушной дивизии), Одессе и Батуме (Кавказский фронт). Кроме этого, часть аппаратов была приписана к 1, 2, 3-му корабельным авиаотрядам на гидрокрейсерах "Император Александр I", "Император Николай I", "Алмаз". В отдельных случаях самолеты транспортировали на крейсере "Память Меркурия". Самолеты корабельной авиации участвовали в рейдах к берегам Турции и Болгарии.</w:t>
      </w:r>
    </w:p>
    <w:p w14:paraId="1EA5CC1D" w14:textId="77777777" w:rsidR="004B4E35" w:rsidRPr="00405303" w:rsidRDefault="009E6F82" w:rsidP="00C15251">
      <w:pPr>
        <w:jc w:val="both"/>
        <w:rPr>
          <w:bCs/>
          <w:color w:val="002060"/>
          <w:sz w:val="16"/>
          <w:szCs w:val="16"/>
        </w:rPr>
      </w:pPr>
      <w:r w:rsidRPr="00405303">
        <w:rPr>
          <w:bCs/>
          <w:color w:val="002060"/>
          <w:sz w:val="16"/>
          <w:szCs w:val="16"/>
        </w:rPr>
        <w:t>Большую огласку получила атака турецкого порта Зонгулдак в январе 1916 г. Целью этой набеговой операции значилось нарушение турецких перевозок угля из Зон- гулдакского угольного района в Константинополь. Уголь доставляли морем по причине отсутствия полноценного железнодорожного сообщения. Эффективность русских боевых кораблей в противодей-ствии турецким перевозкам угля оценивалась высоко, однако в начале 1916 г. последовало решение нанести удар по Зонгулдаку с использованием авиации.</w:t>
      </w:r>
    </w:p>
    <w:p w14:paraId="599431C0" w14:textId="77777777" w:rsidR="004B4E35" w:rsidRPr="00405303" w:rsidRDefault="009E6F82" w:rsidP="00C15251">
      <w:pPr>
        <w:jc w:val="both"/>
        <w:rPr>
          <w:bCs/>
          <w:color w:val="002060"/>
          <w:sz w:val="16"/>
          <w:szCs w:val="16"/>
        </w:rPr>
      </w:pPr>
      <w:r w:rsidRPr="00405303">
        <w:rPr>
          <w:bCs/>
          <w:color w:val="002060"/>
          <w:sz w:val="16"/>
          <w:szCs w:val="16"/>
        </w:rPr>
        <w:t>В составе эскадры, вышедшей из Севастополя 24 января 1916 г. находились авиатранспорты "Император Александр I" и "Император Николай I", которые имели на борту 1 4 летающих лодок "Кертисс" и М-5. Авиационной группе ставилась задача атаковать турецкие объекты, недоступные корабельной артиллерии. Каждый гидроплан был вооружен двумя двухпудовыми и несколькими десятифунтовыми бомбами. Примерно в 15 милях к северу от Зонгулдака авиатранспорты спустили самолеты на воду, после чего вся группа стартовала в воздух. До цели долетели 1 1 машин, остальные по причине неисправностей вернулись назад. Бомбардировка порта велась в условиях плотной облачности и активного обстрела с земли. Тем не менее, ударом с воздуха удалось уничтожить турецкий пароход "Ирмингард" (1гт1пНагс1), несколько мелких судов и разрушить портовые объекты.</w:t>
      </w:r>
    </w:p>
    <w:p w14:paraId="25457BF4" w14:textId="77777777" w:rsidR="004B4E35" w:rsidRPr="00405303" w:rsidRDefault="009E6F82" w:rsidP="00C15251">
      <w:pPr>
        <w:jc w:val="both"/>
        <w:rPr>
          <w:bCs/>
          <w:color w:val="002060"/>
          <w:sz w:val="16"/>
          <w:szCs w:val="16"/>
        </w:rPr>
      </w:pPr>
      <w:r w:rsidRPr="00405303">
        <w:rPr>
          <w:bCs/>
          <w:color w:val="002060"/>
          <w:sz w:val="16"/>
          <w:szCs w:val="16"/>
        </w:rPr>
        <w:t>В 1916-17 гг. летающие лодки М-5 продолжали активно использоваться в интересах Черноморского флота и своим присутствием существенно повлияли на достижение успеха во многих боевых операциях. В начале 1918 г. практически все черноморские М-5 оказались в зоне белого движения и австрийской оккупации. В летном состоянии оставались лишь единичные экземпляры, которые просуществовали до 1919-20 гг.</w:t>
      </w:r>
    </w:p>
    <w:p w14:paraId="75B0F403" w14:textId="77777777" w:rsidR="004B4E35" w:rsidRPr="00405303" w:rsidRDefault="009E6F82" w:rsidP="00C15251">
      <w:pPr>
        <w:jc w:val="both"/>
        <w:rPr>
          <w:bCs/>
          <w:color w:val="002060"/>
          <w:sz w:val="16"/>
          <w:szCs w:val="16"/>
        </w:rPr>
      </w:pPr>
      <w:r w:rsidRPr="00405303">
        <w:rPr>
          <w:bCs/>
          <w:color w:val="002060"/>
          <w:sz w:val="16"/>
          <w:szCs w:val="16"/>
        </w:rPr>
        <w:t>На Балтике "пятаки" дебютировали как учебные машины при открытии в Петрограде 28 июля 1915 г. офицерской школы морской авиации. Поначалу в ней имелись 4 лодки М-5 и две французские ФБА. Одновременно с функционирующей школой в Петрограде решили открыть ее отделение в Баку - к обучению летчиков на Каспийском море приступили 22 ноября 1915 г.</w:t>
      </w:r>
    </w:p>
    <w:p w14:paraId="208E1605" w14:textId="77777777" w:rsidR="004B4E35" w:rsidRPr="00405303" w:rsidRDefault="009E6F82" w:rsidP="00C15251">
      <w:pPr>
        <w:jc w:val="both"/>
        <w:rPr>
          <w:bCs/>
          <w:color w:val="002060"/>
          <w:sz w:val="16"/>
          <w:szCs w:val="16"/>
        </w:rPr>
      </w:pPr>
      <w:r w:rsidRPr="00405303">
        <w:rPr>
          <w:bCs/>
          <w:color w:val="002060"/>
          <w:sz w:val="16"/>
          <w:szCs w:val="16"/>
        </w:rPr>
        <w:t>Бакинский филиал с начала 1917 г. стал самостоятельной летной школой с прекрасно оборудованными мастерскими, ангарами и спусками на воду. В лучшие времена здесь эксплуатировалось до 20 учебных гидросамолетов М-5. Часть из них в середине 1918 г. принимала участие в отражении турецкого наступления в Закавказье, действуя в интересах оставшихся подразделений русской армии. Между тем, активное использование вело к неуклонному снижению количества пригодных к полетам машин, поэтому в 1919 г. здесь оставалось лишь два экземпляра М-5. В последующих бурных событиях гражданской войны Бакинская школа и ее имущество перестали существовать.</w:t>
      </w:r>
    </w:p>
    <w:p w14:paraId="05EF8C45" w14:textId="77777777" w:rsidR="004B4E35" w:rsidRPr="00405303" w:rsidRDefault="009E6F82" w:rsidP="00C15251">
      <w:pPr>
        <w:jc w:val="both"/>
        <w:rPr>
          <w:bCs/>
          <w:color w:val="002060"/>
          <w:sz w:val="16"/>
          <w:szCs w:val="16"/>
        </w:rPr>
      </w:pPr>
      <w:r w:rsidRPr="00405303">
        <w:rPr>
          <w:bCs/>
          <w:color w:val="002060"/>
          <w:sz w:val="16"/>
          <w:szCs w:val="16"/>
        </w:rPr>
        <w:t>Точное количество учебных аппаратов, используемых петроградской школой неизвестно, скорее всего, в течение двух лет здесь их применялось до двух десятков экземпляров. В апреле 1918 г., в связи с угрозой немецкого вторжения, школу эвакуировали в Нижний Новгород - на Волгу отправились 5 учебных М-5. Такое же количество учебных "пятаков" насчитывалось в морской школе летчиков им. Троцкого, открытой 11 ноября 1918 г. на Гу- туевском острове в Петрограде. В период с мая по октябрь 1919 г. летающие лодки этой школы принимали участие в боевых действиях против армии генерала Юденича, наступавшей на Петроград. В декабре 1919 г. оба упомянутые учебные заведения объединили в Военно-морскую школу авиации и перевели в Самару на Волге. Объединенная школа базировалась на барже "Евпраксия", которая была оборудована ангаром и спуском для гидросамолетов. В период 1920- 1921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середины 1920-х годов. Известно, что в декабре 1925 г. в составе советской авиации числилось 22 таких учебных летающих лодки (очевидно совместно с М-20, отличавшейся в основном двигателем).</w:t>
      </w:r>
    </w:p>
    <w:p w14:paraId="51E4ED5C" w14:textId="77777777" w:rsidR="004B4E35" w:rsidRPr="00405303" w:rsidRDefault="009E6F82" w:rsidP="00C15251">
      <w:pPr>
        <w:jc w:val="both"/>
        <w:rPr>
          <w:bCs/>
          <w:color w:val="002060"/>
          <w:sz w:val="16"/>
          <w:szCs w:val="16"/>
        </w:rPr>
      </w:pPr>
      <w:r w:rsidRPr="00405303">
        <w:rPr>
          <w:bCs/>
          <w:color w:val="002060"/>
          <w:sz w:val="16"/>
          <w:szCs w:val="16"/>
        </w:rPr>
        <w:t>Помимо эксплуатации в России, по крайней мере, одна лодка М-5 после 1917 г. использовалась в Финляндии. Еще один экземпляр в ходе войны достался Турции, где сохранился до наших дней в авиационном музее Стамбула - Науа Мизеа (12083).</w:t>
      </w:r>
    </w:p>
    <w:p w14:paraId="5672C866" w14:textId="77777777" w:rsidR="004B4E35" w:rsidRPr="00405303" w:rsidRDefault="004B4E35" w:rsidP="00C15251">
      <w:pPr>
        <w:jc w:val="both"/>
        <w:rPr>
          <w:bCs/>
          <w:color w:val="002060"/>
          <w:sz w:val="16"/>
          <w:szCs w:val="16"/>
        </w:rPr>
      </w:pPr>
    </w:p>
    <w:p w14:paraId="257DC7E4" w14:textId="77777777" w:rsidR="00202720" w:rsidRPr="00405303" w:rsidRDefault="00202720" w:rsidP="00C15251">
      <w:pPr>
        <w:jc w:val="both"/>
        <w:rPr>
          <w:bCs/>
          <w:color w:val="002060"/>
          <w:sz w:val="16"/>
          <w:szCs w:val="16"/>
        </w:rPr>
      </w:pPr>
      <w:r w:rsidRPr="00405303">
        <w:rPr>
          <w:bCs/>
          <w:color w:val="002060"/>
          <w:sz w:val="16"/>
          <w:szCs w:val="16"/>
          <w:lang w:bidi="ru-RU"/>
        </w:rPr>
        <w:lastRenderedPageBreak/>
        <w:t>В мае 1915 гидросамолет М-5 успешно прошел испытания, после чего последовал заказ на первые 12 таких лодок для Морского ведомства. Се</w:t>
      </w:r>
      <w:r w:rsidRPr="00405303">
        <w:rPr>
          <w:bCs/>
          <w:color w:val="002060"/>
          <w:sz w:val="16"/>
          <w:szCs w:val="16"/>
          <w:lang w:bidi="ru-RU"/>
        </w:rPr>
        <w:softHyphen/>
        <w:t>рийное производство началось в июне 1915 г. и продолжалось до середины 1917 г. К этому сроку общее количество изготовлен</w:t>
      </w:r>
      <w:r w:rsidRPr="00405303">
        <w:rPr>
          <w:bCs/>
          <w:color w:val="002060"/>
          <w:sz w:val="16"/>
          <w:szCs w:val="16"/>
          <w:lang w:bidi="ru-RU"/>
        </w:rPr>
        <w:softHyphen/>
        <w:t>ных М-5 составило порядка 200 экземпля</w:t>
      </w:r>
      <w:r w:rsidRPr="00405303">
        <w:rPr>
          <w:bCs/>
          <w:color w:val="002060"/>
          <w:sz w:val="16"/>
          <w:szCs w:val="16"/>
          <w:lang w:bidi="ru-RU"/>
        </w:rPr>
        <w:softHyphen/>
        <w:t>ров, большинство их изготовили на заводе Щетинина в Петрограде и некоторое коли</w:t>
      </w:r>
      <w:r w:rsidRPr="00405303">
        <w:rPr>
          <w:bCs/>
          <w:color w:val="002060"/>
          <w:sz w:val="16"/>
          <w:szCs w:val="16"/>
          <w:lang w:bidi="ru-RU"/>
        </w:rPr>
        <w:softHyphen/>
        <w:t>чество на заводе Анатра в Одессе (23374).</w:t>
      </w:r>
    </w:p>
    <w:p w14:paraId="656A3F7B" w14:textId="77777777" w:rsidR="00202720" w:rsidRPr="00405303" w:rsidRDefault="00202720" w:rsidP="00C15251">
      <w:pPr>
        <w:jc w:val="both"/>
        <w:rPr>
          <w:bCs/>
          <w:color w:val="002060"/>
          <w:sz w:val="16"/>
          <w:szCs w:val="16"/>
          <w:lang w:bidi="ru-RU"/>
        </w:rPr>
      </w:pPr>
    </w:p>
    <w:p w14:paraId="702E26D5" w14:textId="77777777" w:rsidR="00CD28F6" w:rsidRPr="00405303" w:rsidRDefault="00CD28F6" w:rsidP="00CD28F6">
      <w:pPr>
        <w:jc w:val="both"/>
        <w:rPr>
          <w:color w:val="0070C0"/>
          <w:sz w:val="16"/>
          <w:szCs w:val="16"/>
        </w:rPr>
      </w:pPr>
      <w:r w:rsidRPr="00405303">
        <w:rPr>
          <w:color w:val="0070C0"/>
          <w:sz w:val="16"/>
          <w:szCs w:val="16"/>
        </w:rPr>
        <w:t>В мае 1915 г. первый заказ на 12 машин М-5 поступил от морского ведомства. Додки поступил в авиаотряды на Балтике и Черном море. Всего же за этот год ПРТВ передал флоту 25 таких самолетов. Самолет понравился моря</w:t>
      </w:r>
      <w:r w:rsidRPr="00405303">
        <w:rPr>
          <w:color w:val="0070C0"/>
          <w:sz w:val="16"/>
          <w:szCs w:val="16"/>
        </w:rPr>
        <w:softHyphen/>
        <w:t>кам, и в 1916 г. было заказано более 100 штук. Тем временем разворачивался выпуск новых мо</w:t>
      </w:r>
      <w:r w:rsidRPr="00405303">
        <w:rPr>
          <w:color w:val="0070C0"/>
          <w:sz w:val="16"/>
          <w:szCs w:val="16"/>
        </w:rPr>
        <w:softHyphen/>
        <w:t>делей летающих лодок Д. П. Григоровича.</w:t>
      </w:r>
    </w:p>
    <w:p w14:paraId="3594AB32" w14:textId="77777777" w:rsidR="00CD28F6" w:rsidRPr="00405303" w:rsidRDefault="00CD28F6" w:rsidP="00CD28F6">
      <w:pPr>
        <w:jc w:val="both"/>
        <w:rPr>
          <w:color w:val="0070C0"/>
          <w:sz w:val="16"/>
          <w:szCs w:val="16"/>
        </w:rPr>
      </w:pPr>
      <w:r w:rsidRPr="00405303">
        <w:rPr>
          <w:color w:val="0070C0"/>
          <w:sz w:val="16"/>
          <w:szCs w:val="16"/>
        </w:rPr>
        <w:t>С. С. Щетинин отказался от выпуска обычных самолетов и стал абсолютным лидером в про</w:t>
      </w:r>
      <w:r w:rsidRPr="00405303">
        <w:rPr>
          <w:color w:val="0070C0"/>
          <w:sz w:val="16"/>
          <w:szCs w:val="16"/>
        </w:rPr>
        <w:softHyphen/>
        <w:t>изводстве морских самолетов. За 1916-1917 гг. ПРТВ сдал флоту 462 гидросамолета: 121 М-5, 190 М-9 - увеличенный вариант М-5 с более мощным двигателем «Сальмсон», 61 летающую лодку-истребитель М-11, 54 М-15 - развитие са</w:t>
      </w:r>
      <w:r w:rsidRPr="00405303">
        <w:rPr>
          <w:color w:val="0070C0"/>
          <w:sz w:val="16"/>
          <w:szCs w:val="16"/>
        </w:rPr>
        <w:softHyphen/>
        <w:t>молета М-9 с меньшими размерами и 36 поплав</w:t>
      </w:r>
      <w:r w:rsidRPr="00405303">
        <w:rPr>
          <w:color w:val="0070C0"/>
          <w:sz w:val="16"/>
          <w:szCs w:val="16"/>
        </w:rPr>
        <w:softHyphen/>
        <w:t>ковых М-16, способных взлетать как с воды, так и со снега (24966).</w:t>
      </w:r>
    </w:p>
    <w:p w14:paraId="237873B5" w14:textId="77777777" w:rsidR="00CD28F6" w:rsidRPr="00405303" w:rsidRDefault="00CD28F6" w:rsidP="00CD28F6">
      <w:pPr>
        <w:jc w:val="both"/>
        <w:rPr>
          <w:color w:val="0070C0"/>
          <w:sz w:val="16"/>
          <w:szCs w:val="16"/>
        </w:rPr>
      </w:pPr>
    </w:p>
    <w:p w14:paraId="0C7ED310" w14:textId="77777777" w:rsidR="004B4E35" w:rsidRPr="00405303" w:rsidRDefault="009E6F82" w:rsidP="00C15251">
      <w:pPr>
        <w:jc w:val="both"/>
        <w:rPr>
          <w:bCs/>
          <w:color w:val="002060"/>
          <w:sz w:val="16"/>
          <w:szCs w:val="16"/>
        </w:rPr>
      </w:pPr>
      <w:r w:rsidRPr="00405303">
        <w:rPr>
          <w:bCs/>
          <w:color w:val="002060"/>
          <w:sz w:val="16"/>
          <w:szCs w:val="16"/>
        </w:rPr>
        <w:t>В мае 1915 г. Григорович по заказу морского ведомства присту</w:t>
      </w:r>
      <w:r w:rsidRPr="00405303">
        <w:rPr>
          <w:bCs/>
          <w:color w:val="002060"/>
          <w:sz w:val="16"/>
          <w:szCs w:val="16"/>
        </w:rPr>
        <w:softHyphen/>
        <w:t>пил к работе над более крупной лодкой с двигателем мощностью 150 л.с. Конструктивно и по летным характеристикам летающая лодка М-9 незначительно отличалась от М-5, превосходя последнюю по раз</w:t>
      </w:r>
      <w:r w:rsidRPr="00405303">
        <w:rPr>
          <w:bCs/>
          <w:color w:val="002060"/>
          <w:sz w:val="16"/>
          <w:szCs w:val="16"/>
        </w:rPr>
        <w:softHyphen/>
        <w:t>мерам и нагрузке. Лодка М-9 была одномоторным двухместным бипла</w:t>
      </w:r>
      <w:r w:rsidRPr="00405303">
        <w:rPr>
          <w:bCs/>
          <w:color w:val="002060"/>
          <w:sz w:val="16"/>
          <w:szCs w:val="16"/>
        </w:rPr>
        <w:softHyphen/>
        <w:t>ном с 9-цилиндрововым двигателя водяного охлаждения «Сальмсон». В конце 1915 г. прототип М-9 дос</w:t>
      </w:r>
      <w:r w:rsidRPr="00405303">
        <w:rPr>
          <w:bCs/>
          <w:color w:val="002060"/>
          <w:sz w:val="16"/>
          <w:szCs w:val="16"/>
        </w:rPr>
        <w:softHyphen/>
        <w:t>тавили в отделение Петроградской школы морских лётчиков в Баку, где она и прошла испытания, закончив</w:t>
      </w:r>
      <w:r w:rsidRPr="00405303">
        <w:rPr>
          <w:bCs/>
          <w:color w:val="002060"/>
          <w:sz w:val="16"/>
          <w:szCs w:val="16"/>
        </w:rPr>
        <w:softHyphen/>
        <w:t>шиеся к 9 января 1916 г. Лётные характеристики М-9, несмотря на более мощный двигатель, несуще</w:t>
      </w:r>
      <w:r w:rsidRPr="00405303">
        <w:rPr>
          <w:bCs/>
          <w:color w:val="002060"/>
          <w:sz w:val="16"/>
          <w:szCs w:val="16"/>
        </w:rPr>
        <w:softHyphen/>
        <w:t>ственно отличались от М-5. Так ско</w:t>
      </w:r>
      <w:r w:rsidRPr="00405303">
        <w:rPr>
          <w:bCs/>
          <w:color w:val="002060"/>
          <w:sz w:val="16"/>
          <w:szCs w:val="16"/>
        </w:rPr>
        <w:softHyphen/>
        <w:t>рость горизонтального полёта со</w:t>
      </w:r>
      <w:r w:rsidRPr="00405303">
        <w:rPr>
          <w:bCs/>
          <w:color w:val="002060"/>
          <w:sz w:val="16"/>
          <w:szCs w:val="16"/>
        </w:rPr>
        <w:softHyphen/>
        <w:t>ставляла 100-110 км/ч, правда, про</w:t>
      </w:r>
      <w:r w:rsidRPr="00405303">
        <w:rPr>
          <w:bCs/>
          <w:color w:val="002060"/>
          <w:sz w:val="16"/>
          <w:szCs w:val="16"/>
        </w:rPr>
        <w:softHyphen/>
        <w:t>должительность полёта возросла до 5 часов, скороподъёмность, по-пре</w:t>
      </w:r>
      <w:r w:rsidRPr="00405303">
        <w:rPr>
          <w:bCs/>
          <w:color w:val="002060"/>
          <w:sz w:val="16"/>
          <w:szCs w:val="16"/>
        </w:rPr>
        <w:softHyphen/>
        <w:t>жнему, оставляла желать лучшего, грузоподъёмность возросла незна</w:t>
      </w:r>
      <w:r w:rsidRPr="00405303">
        <w:rPr>
          <w:bCs/>
          <w:color w:val="002060"/>
          <w:sz w:val="16"/>
          <w:szCs w:val="16"/>
        </w:rPr>
        <w:softHyphen/>
        <w:t>чительно. Вооружение самолёта: подвижный пулемёт «Виккерс», «Лью</w:t>
      </w:r>
      <w:r w:rsidRPr="00405303">
        <w:rPr>
          <w:bCs/>
          <w:color w:val="002060"/>
          <w:sz w:val="16"/>
          <w:szCs w:val="16"/>
        </w:rPr>
        <w:softHyphen/>
        <w:t>ис» или «Максим», установленный в носовой части. В Акте испытаний отмечалось, что летающая лодка «легко выходит из воды», на разбе</w:t>
      </w:r>
      <w:r w:rsidRPr="00405303">
        <w:rPr>
          <w:bCs/>
          <w:color w:val="002060"/>
          <w:sz w:val="16"/>
          <w:szCs w:val="16"/>
        </w:rPr>
        <w:softHyphen/>
        <w:t>ге быстро поднимает хвост (?) и быстро отрывается, самолёт хоро</w:t>
      </w:r>
      <w:r w:rsidRPr="00405303">
        <w:rPr>
          <w:bCs/>
          <w:color w:val="002060"/>
          <w:sz w:val="16"/>
          <w:szCs w:val="16"/>
        </w:rPr>
        <w:softHyphen/>
        <w:t>шо сбалансирован, сохраняет ус</w:t>
      </w:r>
      <w:r w:rsidRPr="00405303">
        <w:rPr>
          <w:bCs/>
          <w:color w:val="002060"/>
          <w:sz w:val="16"/>
          <w:szCs w:val="16"/>
        </w:rPr>
        <w:softHyphen/>
        <w:t>тойчивость на виражах. Конечно, по столь исчерпывающим данным сложно судить о возможностях са</w:t>
      </w:r>
      <w:r w:rsidRPr="00405303">
        <w:rPr>
          <w:bCs/>
          <w:color w:val="002060"/>
          <w:sz w:val="16"/>
          <w:szCs w:val="16"/>
        </w:rPr>
        <w:softHyphen/>
        <w:t>молёта, поскольку не приводится никаких качественных показателей, и все оценки носят чисто эмоцио</w:t>
      </w:r>
      <w:r w:rsidRPr="00405303">
        <w:rPr>
          <w:bCs/>
          <w:color w:val="002060"/>
          <w:sz w:val="16"/>
          <w:szCs w:val="16"/>
        </w:rPr>
        <w:softHyphen/>
        <w:t>нальный характер. Тем не менее, ознакомившись с Актом, авиационный комитет Чёр- номорского флота на заседании 20 января 1916 г. принял рекоменда</w:t>
      </w:r>
      <w:r w:rsidRPr="00405303">
        <w:rPr>
          <w:bCs/>
          <w:color w:val="002060"/>
          <w:sz w:val="16"/>
          <w:szCs w:val="16"/>
        </w:rPr>
        <w:softHyphen/>
        <w:t>цию заказать 30 М-9. и даже при</w:t>
      </w:r>
      <w:r w:rsidRPr="00405303">
        <w:rPr>
          <w:bCs/>
          <w:color w:val="002060"/>
          <w:sz w:val="16"/>
          <w:szCs w:val="16"/>
        </w:rPr>
        <w:softHyphen/>
        <w:t>обрели прототип за 19 000 руб. для обучения. Впоследствии он посту</w:t>
      </w:r>
      <w:r w:rsidRPr="00405303">
        <w:rPr>
          <w:bCs/>
          <w:color w:val="002060"/>
          <w:sz w:val="16"/>
          <w:szCs w:val="16"/>
        </w:rPr>
        <w:softHyphen/>
        <w:t>пил в Севастополь. Практически сразу же выявились конструктивные недостатки бензосистемы. На са</w:t>
      </w:r>
      <w:r w:rsidRPr="00405303">
        <w:rPr>
          <w:bCs/>
          <w:color w:val="002060"/>
          <w:sz w:val="16"/>
          <w:szCs w:val="16"/>
        </w:rPr>
        <w:softHyphen/>
        <w:t>молётах М-9 бензиновый и масля</w:t>
      </w:r>
      <w:r w:rsidRPr="00405303">
        <w:rPr>
          <w:bCs/>
          <w:color w:val="002060"/>
          <w:sz w:val="16"/>
          <w:szCs w:val="16"/>
        </w:rPr>
        <w:softHyphen/>
        <w:t>ный баки разместили перед двига</w:t>
      </w:r>
      <w:r w:rsidRPr="00405303">
        <w:rPr>
          <w:bCs/>
          <w:color w:val="002060"/>
          <w:sz w:val="16"/>
          <w:szCs w:val="16"/>
        </w:rPr>
        <w:softHyphen/>
        <w:t>телем, что грозило гибелью экипа</w:t>
      </w:r>
      <w:r w:rsidRPr="00405303">
        <w:rPr>
          <w:bCs/>
          <w:color w:val="002060"/>
          <w:sz w:val="16"/>
          <w:szCs w:val="16"/>
        </w:rPr>
        <w:softHyphen/>
        <w:t>жу в случае пулевой пробоины и возгорания бензинового бака. Впоследствии основной бензобак (225 л.) установили в лодке, оста</w:t>
      </w:r>
      <w:r w:rsidRPr="00405303">
        <w:rPr>
          <w:bCs/>
          <w:color w:val="002060"/>
          <w:sz w:val="16"/>
          <w:szCs w:val="16"/>
        </w:rPr>
        <w:softHyphen/>
        <w:t>вив между стойками два расходных бензиновых бака и масляный, что несущественно решало проблему. На необходимости изменения кон</w:t>
      </w:r>
      <w:r w:rsidRPr="00405303">
        <w:rPr>
          <w:bCs/>
          <w:color w:val="002060"/>
          <w:sz w:val="16"/>
          <w:szCs w:val="16"/>
        </w:rPr>
        <w:softHyphen/>
        <w:t>струкции бензосистемы черномор</w:t>
      </w:r>
      <w:r w:rsidRPr="00405303">
        <w:rPr>
          <w:bCs/>
          <w:color w:val="002060"/>
          <w:sz w:val="16"/>
          <w:szCs w:val="16"/>
        </w:rPr>
        <w:softHyphen/>
        <w:t>цы обратили внимание ещё в ап</w:t>
      </w:r>
      <w:r w:rsidRPr="00405303">
        <w:rPr>
          <w:bCs/>
          <w:color w:val="002060"/>
          <w:sz w:val="16"/>
          <w:szCs w:val="16"/>
        </w:rPr>
        <w:softHyphen/>
        <w:t>реле. В мае 1916 г. на Чёрном море установили на самолёт небольшой прожектор, освещение приборов в кабине и огни зеленого цвета на законцовках крыла. На этом само</w:t>
      </w:r>
      <w:r w:rsidRPr="00405303">
        <w:rPr>
          <w:bCs/>
          <w:color w:val="002060"/>
          <w:sz w:val="16"/>
          <w:szCs w:val="16"/>
        </w:rPr>
        <w:softHyphen/>
        <w:t>лёте лейтенант Н.А.Рогозин выпол</w:t>
      </w:r>
      <w:r w:rsidRPr="00405303">
        <w:rPr>
          <w:bCs/>
          <w:color w:val="002060"/>
          <w:sz w:val="16"/>
          <w:szCs w:val="16"/>
        </w:rPr>
        <w:softHyphen/>
        <w:t>нил три полёта ночью с пассажи</w:t>
      </w:r>
      <w:r w:rsidRPr="00405303">
        <w:rPr>
          <w:bCs/>
          <w:color w:val="002060"/>
          <w:sz w:val="16"/>
          <w:szCs w:val="16"/>
        </w:rPr>
        <w:softHyphen/>
        <w:t>ром, подтвердив их возможность. Лейтенант В.В.Утгоф со своей сто</w:t>
      </w:r>
      <w:r w:rsidRPr="00405303">
        <w:rPr>
          <w:bCs/>
          <w:color w:val="002060"/>
          <w:sz w:val="16"/>
          <w:szCs w:val="16"/>
        </w:rPr>
        <w:softHyphen/>
        <w:t>роны считал полёты ночью более безопасными (в боевых условиях), но полагал необходимым устано</w:t>
      </w:r>
      <w:r w:rsidRPr="00405303">
        <w:rPr>
          <w:bCs/>
          <w:color w:val="002060"/>
          <w:sz w:val="16"/>
          <w:szCs w:val="16"/>
        </w:rPr>
        <w:softHyphen/>
        <w:t>вить на самолёт некоторое обору</w:t>
      </w:r>
      <w:r w:rsidRPr="00405303">
        <w:rPr>
          <w:bCs/>
          <w:color w:val="002060"/>
          <w:sz w:val="16"/>
          <w:szCs w:val="16"/>
        </w:rPr>
        <w:softHyphen/>
        <w:t xml:space="preserve">дование, </w:t>
      </w:r>
      <w:proofErr w:type="gramStart"/>
      <w:r w:rsidRPr="00405303">
        <w:rPr>
          <w:bCs/>
          <w:color w:val="002060"/>
          <w:sz w:val="16"/>
          <w:szCs w:val="16"/>
        </w:rPr>
        <w:t>и в частности</w:t>
      </w:r>
      <w:proofErr w:type="gramEnd"/>
      <w:r w:rsidRPr="00405303">
        <w:rPr>
          <w:bCs/>
          <w:color w:val="002060"/>
          <w:sz w:val="16"/>
          <w:szCs w:val="16"/>
        </w:rPr>
        <w:t xml:space="preserve"> прицел, вы</w:t>
      </w:r>
      <w:r w:rsidRPr="00405303">
        <w:rPr>
          <w:bCs/>
          <w:color w:val="002060"/>
          <w:sz w:val="16"/>
          <w:szCs w:val="16"/>
        </w:rPr>
        <w:softHyphen/>
        <w:t>сотомер, указатель скорости. Впос</w:t>
      </w:r>
      <w:r w:rsidRPr="00405303">
        <w:rPr>
          <w:bCs/>
          <w:color w:val="002060"/>
          <w:sz w:val="16"/>
          <w:szCs w:val="16"/>
        </w:rPr>
        <w:softHyphen/>
        <w:t>ледствии Стаховский предложил бо</w:t>
      </w:r>
      <w:r w:rsidRPr="00405303">
        <w:rPr>
          <w:bCs/>
          <w:color w:val="002060"/>
          <w:sz w:val="16"/>
          <w:szCs w:val="16"/>
        </w:rPr>
        <w:softHyphen/>
        <w:t>лее рациональную и удобную сис</w:t>
      </w:r>
      <w:r w:rsidRPr="00405303">
        <w:rPr>
          <w:bCs/>
          <w:color w:val="002060"/>
          <w:sz w:val="16"/>
          <w:szCs w:val="16"/>
        </w:rPr>
        <w:softHyphen/>
        <w:t>тему освещения приборной доски. Несмотря на ряд недостатков, летающая лодка М-9 постепенно вытесняла предшественниц. Она всё же обладала несколько лучшей по сравнению с М-5 мореходностью. Так, балтийцы в одном из докумен</w:t>
      </w:r>
      <w:r w:rsidRPr="00405303">
        <w:rPr>
          <w:bCs/>
          <w:color w:val="002060"/>
          <w:sz w:val="16"/>
          <w:szCs w:val="16"/>
        </w:rPr>
        <w:softHyphen/>
        <w:t>тов отмечали: «Сегодня поднялся на Щетинине-9 с волны высотой до 10 футов (Зм), при свежем ветре аппа</w:t>
      </w:r>
      <w:r w:rsidRPr="00405303">
        <w:rPr>
          <w:bCs/>
          <w:color w:val="002060"/>
          <w:sz w:val="16"/>
          <w:szCs w:val="16"/>
        </w:rPr>
        <w:softHyphen/>
        <w:t>рат показал хорошие мореходные качества и поднялся легко. При уда</w:t>
      </w:r>
      <w:r w:rsidRPr="00405303">
        <w:rPr>
          <w:bCs/>
          <w:color w:val="002060"/>
          <w:sz w:val="16"/>
          <w:szCs w:val="16"/>
        </w:rPr>
        <w:softHyphen/>
        <w:t>ре реданом о гребень волны был сорван и опрокинут главный бак и поломана бензиновая трубка, со</w:t>
      </w:r>
      <w:r w:rsidRPr="00405303">
        <w:rPr>
          <w:bCs/>
          <w:color w:val="002060"/>
          <w:sz w:val="16"/>
          <w:szCs w:val="16"/>
        </w:rPr>
        <w:softHyphen/>
        <w:t>единяющая его с расходным баком». Наверное, нужно быть изрядным оптимистом и делать вывод о высо</w:t>
      </w:r>
      <w:r w:rsidRPr="00405303">
        <w:rPr>
          <w:bCs/>
          <w:color w:val="002060"/>
          <w:sz w:val="16"/>
          <w:szCs w:val="16"/>
        </w:rPr>
        <w:softHyphen/>
        <w:t>ких мореходных качествах летаю</w:t>
      </w:r>
      <w:r w:rsidRPr="00405303">
        <w:rPr>
          <w:bCs/>
          <w:color w:val="002060"/>
          <w:sz w:val="16"/>
          <w:szCs w:val="16"/>
        </w:rPr>
        <w:softHyphen/>
        <w:t>щей лодки, на которой при разбе</w:t>
      </w:r>
      <w:r w:rsidRPr="00405303">
        <w:rPr>
          <w:bCs/>
          <w:color w:val="002060"/>
          <w:sz w:val="16"/>
          <w:szCs w:val="16"/>
        </w:rPr>
        <w:softHyphen/>
        <w:t>ге сорвался бак и повреждены тру</w:t>
      </w:r>
      <w:r w:rsidRPr="00405303">
        <w:rPr>
          <w:bCs/>
          <w:color w:val="002060"/>
          <w:sz w:val="16"/>
          <w:szCs w:val="16"/>
        </w:rPr>
        <w:softHyphen/>
        <w:t>бопроводы, но тем не менее...! Первые шаги новой техники, как это уже отмечалось не один раз, не всегда проходят гладко. Так и на Чёрном море, поначалу высказыва</w:t>
      </w:r>
      <w:r w:rsidRPr="00405303">
        <w:rPr>
          <w:bCs/>
          <w:color w:val="002060"/>
          <w:sz w:val="16"/>
          <w:szCs w:val="16"/>
        </w:rPr>
        <w:softHyphen/>
        <w:t>лось мнение о недоверии к М-9 и предпочтительности М-5. С началом войны встретились затруднения в применении самолё</w:t>
      </w:r>
      <w:r w:rsidRPr="00405303">
        <w:rPr>
          <w:bCs/>
          <w:color w:val="002060"/>
          <w:sz w:val="16"/>
          <w:szCs w:val="16"/>
        </w:rPr>
        <w:softHyphen/>
        <w:t>тов М-9, реальную угрозу для кото</w:t>
      </w:r>
      <w:r w:rsidRPr="00405303">
        <w:rPr>
          <w:bCs/>
          <w:color w:val="002060"/>
          <w:sz w:val="16"/>
          <w:szCs w:val="16"/>
        </w:rPr>
        <w:softHyphen/>
        <w:t>рых стали представлять немецкие поплавковые гидросамолёты «Аль</w:t>
      </w:r>
      <w:r w:rsidRPr="00405303">
        <w:rPr>
          <w:bCs/>
          <w:color w:val="002060"/>
          <w:sz w:val="16"/>
          <w:szCs w:val="16"/>
        </w:rPr>
        <w:softHyphen/>
        <w:t>батрос» с двигателями мощностью 225 л.с., имевшие скорость 160 км/ч. В дополнение ко всему вооруже</w:t>
      </w:r>
      <w:r w:rsidRPr="00405303">
        <w:rPr>
          <w:bCs/>
          <w:color w:val="002060"/>
          <w:sz w:val="16"/>
          <w:szCs w:val="16"/>
        </w:rPr>
        <w:softHyphen/>
        <w:t>ние их состояло из передней не</w:t>
      </w:r>
      <w:r w:rsidRPr="00405303">
        <w:rPr>
          <w:bCs/>
          <w:color w:val="002060"/>
          <w:sz w:val="16"/>
          <w:szCs w:val="16"/>
        </w:rPr>
        <w:softHyphen/>
        <w:t>подвижной и задней турельной стрелковых установок. Морское ведомство неоднократно обраща</w:t>
      </w:r>
      <w:r w:rsidRPr="00405303">
        <w:rPr>
          <w:bCs/>
          <w:color w:val="002060"/>
          <w:sz w:val="16"/>
          <w:szCs w:val="16"/>
        </w:rPr>
        <w:softHyphen/>
        <w:t>лось к Григоровичу с настоятель</w:t>
      </w:r>
      <w:r w:rsidRPr="00405303">
        <w:rPr>
          <w:bCs/>
          <w:color w:val="002060"/>
          <w:sz w:val="16"/>
          <w:szCs w:val="16"/>
        </w:rPr>
        <w:softHyphen/>
        <w:t>ным требованием оборудовать са</w:t>
      </w:r>
      <w:r w:rsidRPr="00405303">
        <w:rPr>
          <w:bCs/>
          <w:color w:val="002060"/>
          <w:sz w:val="16"/>
          <w:szCs w:val="16"/>
        </w:rPr>
        <w:softHyphen/>
        <w:t>молёт задней турельной установ</w:t>
      </w:r>
      <w:r w:rsidRPr="00405303">
        <w:rPr>
          <w:bCs/>
          <w:color w:val="002060"/>
          <w:sz w:val="16"/>
          <w:szCs w:val="16"/>
        </w:rPr>
        <w:softHyphen/>
        <w:t>кой, но безуспешно. По этой при</w:t>
      </w:r>
      <w:r w:rsidRPr="00405303">
        <w:rPr>
          <w:bCs/>
          <w:color w:val="002060"/>
          <w:sz w:val="16"/>
          <w:szCs w:val="16"/>
        </w:rPr>
        <w:softHyphen/>
        <w:t>чине лётчики отказывались летать на совершенно беззащитных тихо</w:t>
      </w:r>
      <w:r w:rsidRPr="00405303">
        <w:rPr>
          <w:bCs/>
          <w:color w:val="002060"/>
          <w:sz w:val="16"/>
          <w:szCs w:val="16"/>
        </w:rPr>
        <w:softHyphen/>
        <w:t>ходных самолётах. Приходилось М-9 применять преимущественно в груп</w:t>
      </w:r>
      <w:r w:rsidRPr="00405303">
        <w:rPr>
          <w:bCs/>
          <w:color w:val="002060"/>
          <w:sz w:val="16"/>
          <w:szCs w:val="16"/>
        </w:rPr>
        <w:softHyphen/>
        <w:t>пе, а начиная с 1917 г. - в сопро</w:t>
      </w:r>
      <w:r w:rsidRPr="00405303">
        <w:rPr>
          <w:bCs/>
          <w:color w:val="002060"/>
          <w:sz w:val="16"/>
          <w:szCs w:val="16"/>
        </w:rPr>
        <w:softHyphen/>
        <w:t>вождении сухопутных истребителей «Ньюпор-17», и «Ньюпор-21» (11872).</w:t>
      </w:r>
    </w:p>
    <w:p w14:paraId="7873D6C3" w14:textId="77777777" w:rsidR="004B4E35" w:rsidRPr="00405303" w:rsidRDefault="004B4E35" w:rsidP="00C15251">
      <w:pPr>
        <w:jc w:val="both"/>
        <w:rPr>
          <w:bCs/>
          <w:color w:val="002060"/>
          <w:sz w:val="16"/>
          <w:szCs w:val="16"/>
        </w:rPr>
      </w:pPr>
    </w:p>
    <w:p w14:paraId="711B899D" w14:textId="77777777" w:rsidR="004B4E35" w:rsidRPr="00405303" w:rsidRDefault="009E6F82" w:rsidP="00C15251">
      <w:pPr>
        <w:jc w:val="both"/>
        <w:rPr>
          <w:bCs/>
          <w:color w:val="002060"/>
          <w:sz w:val="16"/>
          <w:szCs w:val="16"/>
        </w:rPr>
      </w:pPr>
      <w:r w:rsidRPr="00405303">
        <w:rPr>
          <w:bCs/>
          <w:color w:val="002060"/>
          <w:sz w:val="16"/>
          <w:szCs w:val="16"/>
        </w:rPr>
        <w:t>В мае 1915 г. была завершена выработка плана снабжения армии авиаимуществом на срок с 1 июня 1915 г. до 1 июня 1916 г. Заложенные в плане показатели обеспечения авиационных фронтовых отрядов различными типами самолетов и моторов к ним, а также возмещение их убыли предполагали распределение большей части заказов в России [Там же. Оп. 2. Д. 12. Л. 207-208об; Там же. Оп. 21. Д. 12. Л. 42.]. Регулярно проводимые учреждениями военного ведомства совещания по вопросам снабжения армии авиаимуществом стали важным фактором развития авиационной промышленности [См.: Материалы ноябрьского совещания 1915 г. (РГВИА. Ф. 493. Оп. 4. Д. 52. Л. 93-94об.); апрельского и майского совещаний 1916 г. (РГВИА, Ф. 493. Оп. 4. Д. 83. Л. 113-114, 229-232об.) и др.]. Принятые на них программы, или их корректировки на заключительном этапе обязательно рассматривались Особым совещанием по обороне.</w:t>
      </w:r>
    </w:p>
    <w:p w14:paraId="487B4798" w14:textId="77777777" w:rsidR="004B4E35" w:rsidRPr="00405303" w:rsidRDefault="009E6F82" w:rsidP="00C15251">
      <w:pPr>
        <w:jc w:val="both"/>
        <w:rPr>
          <w:bCs/>
          <w:color w:val="002060"/>
          <w:sz w:val="16"/>
          <w:szCs w:val="16"/>
        </w:rPr>
      </w:pPr>
      <w:r w:rsidRPr="00405303">
        <w:rPr>
          <w:bCs/>
          <w:color w:val="002060"/>
          <w:sz w:val="16"/>
          <w:szCs w:val="16"/>
        </w:rPr>
        <w:t>На основе этих планов в течение 1915 - 1916 гг. Особое совещание вело широкую выдачу заказов различным авиационным предприятиям с одновременным предоставлением авансов и ссуд. В июле 1915 г. было привлечено к исполнению заказов всего два моторных и шесть самолетостроительных завода. Тогда как только в сентябре - декабре 1915 г. в подготовительной комиссии по общим вопросам Особого совещания было обсуждено более десятка дел, связанных с выдачей заказов, ссуд, авансов, пособий авиационным заводам [РГВИА. Ф. 369. Оп. 8. Д. 73. Л. 3-6об. Перечень по воздухоплавательно-авиационным вопросам, обсуждавшимся в Подготовительной комиссии по общим вопросам.]. И число рассматриваемых дел, и объемы, выдаваемых заказов, в 1916 г. значительно возросли.</w:t>
      </w:r>
    </w:p>
    <w:p w14:paraId="3C766577" w14:textId="77777777" w:rsidR="004B4E35" w:rsidRPr="00405303" w:rsidRDefault="009E6F82" w:rsidP="00C15251">
      <w:pPr>
        <w:jc w:val="both"/>
        <w:rPr>
          <w:bCs/>
          <w:color w:val="002060"/>
          <w:sz w:val="16"/>
          <w:szCs w:val="16"/>
        </w:rPr>
      </w:pPr>
      <w:r w:rsidRPr="00405303">
        <w:rPr>
          <w:bCs/>
          <w:color w:val="002060"/>
          <w:sz w:val="16"/>
          <w:szCs w:val="16"/>
        </w:rPr>
        <w:t>Уже с конца 1915 г. решения Особого совещания по обороне о выдаче заказов на авиационное имущество подразумевали, а часто прямо указывали на необходимость постройки нового завода или расширения старого. Недаром в отчете УВВФ за 1916 г. указывалось: «Принимавшиеся в 1916 г. меры к обеспечению авиации и воздухоплавания аэропланами, моторами и материалами шли, главным образом, по пути насаждения соответствующей отечественной промышленности, дабы в возможно большей степени освободиться от необходимости прибегать к услугам заграничной промышленности» [РГВИА. Ф. 493. Оп. 4. Д. 337. Л. 4.].</w:t>
      </w:r>
    </w:p>
    <w:p w14:paraId="251F5881" w14:textId="77777777" w:rsidR="004B4E35" w:rsidRPr="00405303" w:rsidRDefault="009E6F82" w:rsidP="00C15251">
      <w:pPr>
        <w:jc w:val="both"/>
        <w:rPr>
          <w:bCs/>
          <w:color w:val="002060"/>
          <w:sz w:val="16"/>
          <w:szCs w:val="16"/>
        </w:rPr>
      </w:pPr>
      <w:r w:rsidRPr="00405303">
        <w:rPr>
          <w:bCs/>
          <w:color w:val="002060"/>
          <w:sz w:val="16"/>
          <w:szCs w:val="16"/>
        </w:rPr>
        <w:t xml:space="preserve">Особую роль в расширении и налаживании работы отечественных авиационных предприятий сыграла созданная в июле 1916 г. подготовительная комиссия по авиационным вопросам Особого совещания по обороне, возглавлявшаяся И.В. Гурко. Комиссия занялась, прежде всего, выработкой программы отечественного авиастроения, включая развитие самолето- и моторостроительных заводов. До этого развитие авиационной промышленности шло в значительной мере стихийно, и организующим элементом были только программы снабжения армии авиаимуществом, которые определяли сумму заказов русским авиационным заводам. Программа развития авиационного дела в России обсуждалась на нескольких заседаниях подготовительной комиссии по авиационным вопросам в течение сентября - октября 1916 г. [РГВИА. Ф. 369. Оп. 8. Д. 74. Л. 1-17 об. Журнал авиационной комиссии от 8 и 19 сентября, 6, 12, 13, 19 и 24 октября 1916 г.]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мер, которые предлагались авиационной комиссией, были: создать возможности предприятиям использовать все имеющееся оборудование; увеличить оборудование действующих заводов; соорудить новые предприятия [Там же. Л. 8об.]. Решение первой задачи было сопряжено с 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аэроплановый и моторный заводы. Кроме того, в программе обращалось внимание на улучшение подготовки летных кадров и </w:t>
      </w:r>
      <w:r w:rsidRPr="00405303">
        <w:rPr>
          <w:bCs/>
          <w:color w:val="002060"/>
          <w:sz w:val="16"/>
          <w:szCs w:val="16"/>
        </w:rPr>
        <w:lastRenderedPageBreak/>
        <w:t>создание научного авиационного центра (так называемый Главный аэродром) [Там же. Л. 11об., 12-13.]. На заседании Особого совещания по обороне от 29 октября 1916 г. эта программа в целом была одобрена [Журналы Особого совещания по обороне государства. 1916 год. М., 1977. Вып. IV. С. 631-639.].</w:t>
      </w:r>
    </w:p>
    <w:p w14:paraId="3E931146" w14:textId="77777777" w:rsidR="004B4E35" w:rsidRPr="00405303" w:rsidRDefault="009E6F82" w:rsidP="00C15251">
      <w:pPr>
        <w:jc w:val="both"/>
        <w:rPr>
          <w:bCs/>
          <w:color w:val="002060"/>
          <w:sz w:val="16"/>
          <w:szCs w:val="16"/>
        </w:rPr>
      </w:pPr>
      <w:r w:rsidRPr="00405303">
        <w:rPr>
          <w:bCs/>
          <w:color w:val="002060"/>
          <w:sz w:val="16"/>
          <w:szCs w:val="16"/>
        </w:rPr>
        <w:t>Выдача казенных заказов и специальные меры поддержки отечественной промышленности, безусловно, стимулировали развитие производства и заводское строительство в области авиации. Если перед войной было всего 11 авиационных заводов и мастерских, то на начало 1917 г. в России насчитывалось 14 самолетостроительных предприятий, на которых было занято около 12 тыс. рабочих; производство авиационных двигателей было налажено на 7 заводах, насчитывающих около 3,5 тыс. рабочих. Таким образом, всего на 21 русском авиационном предприятии трудилось 15,5 тыс. рабочих [В число заводов не входят недостроенные предприятия. Количество заводов и численность рабочих установлены на основе подсчетов данных заводских совещаний и сведений УВВФ. РГВИА. Ф. 369. Оп. 1. Д. 471, 568; Там же. Оп. 8. Д. 43, 51; Там же. Оп. 21. Д. 145; Там же. Ф. 493. Оп. 9. Д. 493.]. Суммарная средняя производительность аэроплановых заводов в месяц в конце 1916 г. составляла 200 аппаратов (довоенная - 40), а моторных - около 100 двигателей (против 10-15 до войны) [РГВИА. Ф. 369. Оп. 8. Д. 74. Л. 18-18об.]. Попытаемся раскрыть эти обобщенные данные на материалах отдельных предприятий и истории их развития в 1915 - 1917 гг.</w:t>
      </w:r>
    </w:p>
    <w:p w14:paraId="2B0A7E0D" w14:textId="77777777" w:rsidR="004B4E35" w:rsidRPr="00405303" w:rsidRDefault="009E6F82" w:rsidP="00C15251">
      <w:pPr>
        <w:jc w:val="both"/>
        <w:rPr>
          <w:bCs/>
          <w:color w:val="002060"/>
          <w:sz w:val="16"/>
          <w:szCs w:val="16"/>
        </w:rPr>
      </w:pPr>
      <w:r w:rsidRPr="00405303">
        <w:rPr>
          <w:bCs/>
          <w:color w:val="002060"/>
          <w:sz w:val="16"/>
          <w:szCs w:val="16"/>
        </w:rPr>
        <w:t xml:space="preserve">В годы войны значительно расширились, используя прямую финансовую поддержку казны, предприятия акционерного общества воздухоплавания «В. А. Лебедев», учрежденного в 1913 г. одним из первых авиаторов России. Обществу первоначально принадлежало два завода в Петербурге - самолетостроительный и завод по производству воздушных винтов «Интеграл».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 [Там же. Ф. 493. Оп. 9. Д. 56. Л. 200.] В 1916 г. на самолетостроительном заводе имелись деревообделочный, механический, слесарный, сварочный, сборочный, малярный, сушильный цеха, столярная мастерская. В них трудилось около 1500 рабочих.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иностранных марок (Вуазен, Моран-Солье, Депердюссен) с применением двигателя «Сальмсон». Производительность завода к середине 1917 г. достигла 40-50 аппаратов в месяц (против 10 до войны) [Там же. Ф. 369. Оп. 8. Д. 74. Л. 18.], однако и при этом общество имело задолженность по выполнению контрактов. </w:t>
      </w:r>
    </w:p>
    <w:p w14:paraId="4C928779" w14:textId="77777777" w:rsidR="004B4E35" w:rsidRPr="00405303" w:rsidRDefault="009E6F82" w:rsidP="00C15251">
      <w:pPr>
        <w:jc w:val="both"/>
        <w:rPr>
          <w:bCs/>
          <w:color w:val="002060"/>
          <w:sz w:val="16"/>
          <w:szCs w:val="16"/>
        </w:rPr>
      </w:pPr>
      <w:r w:rsidRPr="00405303">
        <w:rPr>
          <w:bCs/>
          <w:color w:val="002060"/>
          <w:sz w:val="16"/>
          <w:szCs w:val="16"/>
        </w:rPr>
        <w:t>Еще в 1915 г. встал вопрос о более существенном расширении предприятия, но имеющаяся территория в Петрограде этого не позволяла. Осенью того же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[Там же. Ф. 493. Оп. 9. Д. 56.].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м2. Экономический кризис 1917 г. не позволил полностью закончить строительство и особенно оборудование новых филиалов. Наиболее законченный из них, Таганрогский стал впоследствии основой крупнейшего авиационного завода им. Димитрова.</w:t>
      </w:r>
    </w:p>
    <w:p w14:paraId="2C640320" w14:textId="77777777" w:rsidR="004B4E35" w:rsidRPr="00405303" w:rsidRDefault="009E6F82" w:rsidP="00C15251">
      <w:pPr>
        <w:jc w:val="both"/>
        <w:rPr>
          <w:bCs/>
          <w:color w:val="002060"/>
          <w:sz w:val="16"/>
          <w:szCs w:val="16"/>
        </w:rPr>
      </w:pPr>
      <w:r w:rsidRPr="00405303">
        <w:rPr>
          <w:bCs/>
          <w:color w:val="002060"/>
          <w:sz w:val="16"/>
          <w:szCs w:val="16"/>
        </w:rPr>
        <w:t>К числу первых самолетостроительных предприятий в России относился завод акционерного общества «Дукс», учрежденного в 1900 г. по инициативе Ю.А. Меллера. 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w:t>
      </w:r>
    </w:p>
    <w:p w14:paraId="13D8B81F" w14:textId="77777777" w:rsidR="004B4E35" w:rsidRPr="00405303" w:rsidRDefault="009E6F82" w:rsidP="00C15251">
      <w:pPr>
        <w:jc w:val="both"/>
        <w:rPr>
          <w:bCs/>
          <w:color w:val="002060"/>
          <w:sz w:val="16"/>
          <w:szCs w:val="16"/>
        </w:rPr>
      </w:pPr>
      <w:r w:rsidRPr="00405303">
        <w:rPr>
          <w:bCs/>
          <w:color w:val="002060"/>
          <w:sz w:val="16"/>
          <w:szCs w:val="16"/>
        </w:rPr>
        <w:t>Контракты, заключенные заводом в 1916 г., потребовали его дальнейшего расширения. К концу года на предприятии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w:t>
      </w:r>
    </w:p>
    <w:p w14:paraId="7C1C3A66" w14:textId="77777777" w:rsidR="004B4E35" w:rsidRPr="00405303" w:rsidRDefault="009E6F82" w:rsidP="00C15251">
      <w:pPr>
        <w:jc w:val="both"/>
        <w:rPr>
          <w:bCs/>
          <w:color w:val="002060"/>
          <w:sz w:val="16"/>
          <w:szCs w:val="16"/>
        </w:rPr>
      </w:pPr>
      <w:r w:rsidRPr="00405303">
        <w:rPr>
          <w:bCs/>
          <w:color w:val="002060"/>
          <w:sz w:val="16"/>
          <w:szCs w:val="16"/>
        </w:rPr>
        <w:t>К расширению производства, в том числе и через новое строительство, стремились и другие российские самолетостроительные заводы. Известный своими достижениями в области гидроавиации Петроградский завод Товарищества С.С. Щетинина на основании решения Особого совещания по обороне (ноябрь 1915 г.)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предприятие в 1917 г. получило заказ военного ведомства на поставку 180 «Спадов», его выполнение не началось, так как не прибыло оборудование, заказанное в США [Там же. Ф. 493. Оп. 4. Д. 51. Л. 3; Там же. Оп. 9. Д. 41. Л. 14об., 16об.].</w:t>
      </w:r>
    </w:p>
    <w:p w14:paraId="61F963A6" w14:textId="77777777" w:rsidR="004B4E35" w:rsidRPr="00405303" w:rsidRDefault="009E6F82" w:rsidP="00C15251">
      <w:pPr>
        <w:jc w:val="both"/>
        <w:rPr>
          <w:bCs/>
          <w:color w:val="002060"/>
          <w:sz w:val="16"/>
          <w:szCs w:val="16"/>
        </w:rPr>
      </w:pPr>
      <w:r w:rsidRPr="00405303">
        <w:rPr>
          <w:bCs/>
          <w:color w:val="002060"/>
          <w:sz w:val="16"/>
          <w:szCs w:val="16"/>
        </w:rPr>
        <w:t>Ведущим в группе южно-российских предприятий был авиационный завод банкира А.А. Анатра в Одессе. В годы войны на заводе были сделаны новые постройки, установлено дополнительно 200 станков. Одесский завод целиком работал на фронт. Расширение предприятия происходило в соответствии с казенными заказами и при материальной поддержке со стороны военного ведомства. С целью получения более значительных новых заказов А.А. Анатра осуществил постройку нового завода в Симферополе с аэропланным и моторным отделениями. Сооружение предприятия началось в феврале 1916 г. В выстроенных механическом, деревообделочном и сборочном цехах было установлено 150 станков.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[Там же. Ф. 493. Оп. 9. Л. 89; Там же. Д. 56. Л. 200.].</w:t>
      </w:r>
    </w:p>
    <w:p w14:paraId="3770B63D" w14:textId="77777777" w:rsidR="004B4E35" w:rsidRPr="00405303" w:rsidRDefault="009E6F82" w:rsidP="00C15251">
      <w:pPr>
        <w:jc w:val="both"/>
        <w:rPr>
          <w:bCs/>
          <w:color w:val="002060"/>
          <w:sz w:val="16"/>
          <w:szCs w:val="16"/>
        </w:rPr>
      </w:pPr>
      <w:r w:rsidRPr="00405303">
        <w:rPr>
          <w:bCs/>
          <w:color w:val="002060"/>
          <w:sz w:val="16"/>
          <w:szCs w:val="16"/>
        </w:rPr>
        <w:t>Благодаря регулярному получению правительственных заказов на изготовление учебных аппаратов, сопровождавшихся, как правило, выдачей 30- процентного аванса, в заводское предприятие превратилась авиационная мастерская В.В. Слюсаренко. В 1916 г. было учреждено акционерное общество Петроградского аэропланостроительного завода В.В. Слюсаренко, численность занятых рабочих на котором составляла около 300 человек. Была построена новая механическая мастерская, но оборудование предприятия оставалось незначительным [Там же. Оп. 4. Д. 84. Л. 1-8; Там же. Оп. 9. Д. 56. Л. 200.].</w:t>
      </w:r>
    </w:p>
    <w:p w14:paraId="7A0C2151" w14:textId="77777777" w:rsidR="004B4E35" w:rsidRPr="00405303" w:rsidRDefault="009E6F82" w:rsidP="00C15251">
      <w:pPr>
        <w:jc w:val="both"/>
        <w:rPr>
          <w:bCs/>
          <w:color w:val="002060"/>
          <w:sz w:val="16"/>
          <w:szCs w:val="16"/>
        </w:rPr>
      </w:pPr>
      <w:r w:rsidRPr="00405303">
        <w:rPr>
          <w:bCs/>
          <w:color w:val="002060"/>
          <w:sz w:val="16"/>
          <w:szCs w:val="16"/>
        </w:rPr>
        <w:t>В годы войны открылся ряд новых самолетостроительных предприятий, получавших заказы на изготовление аппаратов: московские мастерские летчика-спортсмена, проектировщика, итальянца Ф. Моска, А.А. Пороховщикова, торгового дома Безобразова, технической конторы «И.И. Стеглау», товарищества Липецких аэропланостроительных мастерских [РГВИА. Ф. 493. Оп. 9. Д. 56. Л. 200; Там же. Ф. 369. Оп. 8. Д. 74. Л. 18; Там же. Ф. 493. Оп. 4. Д. 384; Там же. Д. 56. Л. 200; Там же. Ф. 369. Оп. 8. Д. 74. Л. 18.] (11863).</w:t>
      </w:r>
    </w:p>
    <w:p w14:paraId="3E67147D" w14:textId="77777777" w:rsidR="004B4E35" w:rsidRPr="00405303" w:rsidRDefault="004B4E35" w:rsidP="00C15251">
      <w:pPr>
        <w:jc w:val="both"/>
        <w:rPr>
          <w:bCs/>
          <w:color w:val="002060"/>
          <w:sz w:val="16"/>
          <w:szCs w:val="16"/>
        </w:rPr>
      </w:pPr>
    </w:p>
    <w:p w14:paraId="72CDDAE5" w14:textId="67324170" w:rsidR="00744431" w:rsidRPr="00405303" w:rsidRDefault="00744431" w:rsidP="00C15251">
      <w:pPr>
        <w:pStyle w:val="ae"/>
        <w:shd w:val="clear" w:color="auto" w:fill="FFFFFF"/>
        <w:spacing w:before="0" w:beforeAutospacing="0" w:after="0" w:afterAutospacing="0"/>
        <w:jc w:val="both"/>
        <w:rPr>
          <w:bCs/>
          <w:color w:val="002060"/>
          <w:sz w:val="16"/>
          <w:szCs w:val="16"/>
        </w:rPr>
      </w:pPr>
      <w:bookmarkStart w:id="147" w:name="_Hlk83374130"/>
      <w:r w:rsidRPr="00405303">
        <w:rPr>
          <w:bCs/>
          <w:color w:val="002060"/>
          <w:sz w:val="16"/>
          <w:szCs w:val="16"/>
        </w:rPr>
        <w:t>В мае 1915 г. была завершена выработка плана снабжения армии авиаимуществом на срок с 1 июня 1915 г. до 1 июня 1916 г. Заложенные в плане показатели обеспечения авиационных фронтовых отрядов различными типами самолетов и моторов к ним, а также возмещение их убыли предполагали распределение большей части заказов в России (</w:t>
      </w:r>
      <w:hyperlink r:id="rId38" w:anchor="_edn32" w:history="1">
        <w:r w:rsidRPr="00405303">
          <w:rPr>
            <w:rStyle w:val="ad"/>
            <w:rFonts w:eastAsiaTheme="majorEastAsia"/>
            <w:bCs/>
            <w:color w:val="002060"/>
            <w:sz w:val="16"/>
            <w:szCs w:val="16"/>
          </w:rPr>
          <w:t>[</w:t>
        </w:r>
        <w:r w:rsidRPr="00405303">
          <w:rPr>
            <w:bCs/>
            <w:color w:val="002060"/>
            <w:sz w:val="16"/>
            <w:szCs w:val="16"/>
          </w:rPr>
          <w:t>РГВИАОп. 2. Д. 12. Л. 207-208об; Там же. Оп. 21. Д. 12. Л. 42).</w:t>
        </w:r>
      </w:hyperlink>
      <w:r w:rsidRPr="00405303">
        <w:rPr>
          <w:bCs/>
          <w:color w:val="002060"/>
          <w:sz w:val="16"/>
          <w:szCs w:val="16"/>
        </w:rPr>
        <w:t xml:space="preserve"> Регулярно проводимые учреждениями военного ведомства совещания по вопросам снабжения армии авиаимуществом стали важным фактором развития авиационной промышленности (</w:t>
      </w:r>
      <w:r w:rsidRPr="00405303">
        <w:rPr>
          <w:bCs/>
          <w:color w:val="002060"/>
          <w:sz w:val="16"/>
          <w:szCs w:val="16"/>
          <w:shd w:val="clear" w:color="auto" w:fill="FFFFFF"/>
        </w:rPr>
        <w:t>Материалы ноябрьского совещания 1915 г. (РГВИА. Ф. 493. Оп. 4. Д. 52. Л. 93-94об.); апрельского и</w:t>
      </w:r>
      <w:r w:rsidR="000F5756">
        <w:rPr>
          <w:bCs/>
          <w:color w:val="002060"/>
          <w:sz w:val="16"/>
          <w:szCs w:val="16"/>
          <w:shd w:val="clear" w:color="auto" w:fill="FFFFFF"/>
        </w:rPr>
        <w:t xml:space="preserve"> </w:t>
      </w:r>
      <w:r w:rsidRPr="00405303">
        <w:rPr>
          <w:bCs/>
          <w:color w:val="002060"/>
          <w:sz w:val="16"/>
          <w:szCs w:val="16"/>
          <w:shd w:val="clear" w:color="auto" w:fill="FFFFFF"/>
        </w:rPr>
        <w:t>майского совещаний 1916 г. (РГВИА, Ф. 493. Оп. 4. Д. 83. Л. 113-114, 229-232об.) и др.</w:t>
      </w:r>
      <w:r w:rsidRPr="00405303">
        <w:rPr>
          <w:bCs/>
          <w:color w:val="002060"/>
          <w:sz w:val="16"/>
          <w:szCs w:val="16"/>
        </w:rPr>
        <w:t>). Принятые на них программы, или их корректировки на заключительном этапе обязательно рассматривались Особым совещанием по обороне.</w:t>
      </w:r>
    </w:p>
    <w:p w14:paraId="5E536C50" w14:textId="7BB62BEA" w:rsidR="00744431" w:rsidRPr="00405303" w:rsidRDefault="00744431" w:rsidP="00C15251">
      <w:pPr>
        <w:pStyle w:val="ae"/>
        <w:shd w:val="clear" w:color="auto" w:fill="FFFFFF"/>
        <w:spacing w:before="0" w:beforeAutospacing="0" w:after="0" w:afterAutospacing="0"/>
        <w:jc w:val="both"/>
        <w:rPr>
          <w:bCs/>
          <w:color w:val="002060"/>
          <w:sz w:val="16"/>
          <w:szCs w:val="16"/>
        </w:rPr>
      </w:pPr>
      <w:r w:rsidRPr="00405303">
        <w:rPr>
          <w:bCs/>
          <w:color w:val="002060"/>
          <w:sz w:val="16"/>
          <w:szCs w:val="16"/>
        </w:rPr>
        <w:t>Накануне войны авиастроение было представлено восьмью самолетостроительными заводами и мастерскими, а также тремя авиамоторными</w:t>
      </w:r>
      <w:r w:rsidR="000F5756">
        <w:rPr>
          <w:bCs/>
          <w:color w:val="002060"/>
          <w:sz w:val="16"/>
          <w:szCs w:val="16"/>
        </w:rPr>
        <w:t xml:space="preserve"> </w:t>
      </w:r>
      <w:r w:rsidRPr="00405303">
        <w:rPr>
          <w:bCs/>
          <w:color w:val="002060"/>
          <w:sz w:val="16"/>
          <w:szCs w:val="16"/>
        </w:rPr>
        <w:t>предприятиями. Начавшаяся война очень скоро показала возможности применения авиации на фронте, что повлекло соответственно спрос на продукцию авиационных предприятий и быстрый рост требований к качеству самолетов и моторов.</w:t>
      </w:r>
    </w:p>
    <w:p w14:paraId="416F3345" w14:textId="5370326F" w:rsidR="00744431" w:rsidRPr="00405303" w:rsidRDefault="00744431" w:rsidP="00C15251">
      <w:pPr>
        <w:pStyle w:val="ae"/>
        <w:shd w:val="clear" w:color="auto" w:fill="FFFFFF"/>
        <w:spacing w:before="0" w:beforeAutospacing="0" w:after="0" w:afterAutospacing="0"/>
        <w:jc w:val="both"/>
        <w:rPr>
          <w:bCs/>
          <w:color w:val="002060"/>
          <w:sz w:val="16"/>
          <w:szCs w:val="16"/>
        </w:rPr>
      </w:pPr>
      <w:r w:rsidRPr="00405303">
        <w:rPr>
          <w:bCs/>
          <w:color w:val="002060"/>
          <w:sz w:val="16"/>
          <w:szCs w:val="16"/>
        </w:rPr>
        <w:t>В первый год войны заказы на авиаимущество русским заводам были очень невелики, соответственно незначительными являлись и их поставки самолетов и моторов. Заводы на свой страх и риск осуществляли попытки расширения производства и, конечно, вели разработку новых конструкций аппаратов и моторов. Определенное внимание было проявлено к</w:t>
      </w:r>
      <w:r w:rsidR="000F5756">
        <w:rPr>
          <w:bCs/>
          <w:color w:val="002060"/>
          <w:sz w:val="16"/>
          <w:szCs w:val="16"/>
        </w:rPr>
        <w:t xml:space="preserve"> </w:t>
      </w:r>
      <w:r w:rsidRPr="00405303">
        <w:rPr>
          <w:bCs/>
          <w:color w:val="002060"/>
          <w:sz w:val="16"/>
          <w:szCs w:val="16"/>
        </w:rPr>
        <w:t>увеличению производительности авиамоторных предприятий, так как это было наиболее узким местом отечественной авиационной промышленности, что повлекло громадные расходы военного ведомства по заказам моторов за рубежом и не менее сложную их последующую доставку. Уже в первые месяцы войны были приняты меры для расширения завода «Гном» в Москве; сооружения на новом месте эвакуированного из Риги в Москву завода «Мотор»; был устроен новый завод «Сальмсон»; заключено соглашение с акционерным обществом «Русский Рено» о постройке нового моторного завода; к работе по изготовлению запасных частей были привлечены еще 16 заводов и мастерских (</w:t>
      </w:r>
      <w:r w:rsidRPr="00405303">
        <w:rPr>
          <w:bCs/>
          <w:color w:val="002060"/>
          <w:sz w:val="16"/>
          <w:szCs w:val="16"/>
          <w:shd w:val="clear" w:color="auto" w:fill="FFFFFF"/>
        </w:rPr>
        <w:t>РГВИА. Там же. Оп. 1. Д. 168. Л. 7.</w:t>
      </w:r>
      <w:r w:rsidRPr="00405303">
        <w:rPr>
          <w:bCs/>
          <w:color w:val="002060"/>
          <w:sz w:val="16"/>
          <w:szCs w:val="16"/>
        </w:rPr>
        <w:t>).</w:t>
      </w:r>
    </w:p>
    <w:p w14:paraId="620EC1B8" w14:textId="77777777" w:rsidR="00744431" w:rsidRPr="00405303" w:rsidRDefault="00744431" w:rsidP="00C15251">
      <w:pPr>
        <w:pStyle w:val="ae"/>
        <w:shd w:val="clear" w:color="auto" w:fill="FFFFFF"/>
        <w:spacing w:before="0" w:beforeAutospacing="0" w:after="0" w:afterAutospacing="0"/>
        <w:jc w:val="both"/>
        <w:rPr>
          <w:bCs/>
          <w:color w:val="002060"/>
          <w:sz w:val="16"/>
          <w:szCs w:val="16"/>
        </w:rPr>
      </w:pPr>
      <w:r w:rsidRPr="00405303">
        <w:rPr>
          <w:bCs/>
          <w:color w:val="002060"/>
          <w:sz w:val="16"/>
          <w:szCs w:val="16"/>
        </w:rPr>
        <w:t>На основе этих планов в течение 1915 - 1916 гг. Особое совещание вело широкую выдачу заказов различным авиационным предприятиям с одновременным предоставлением авансов и ссуд. В июле 1915 г. было привлечено к исполнению заказов всего два моторных и шесть самолетостроительных завода. Тогда как только в сентябре - декабре 1915 г. в подготовительной комиссии по общим вопросам Особого совещания было обсуждено более десятка дел, связанных с выдачей заказов, ссуд, авансов, пособий авиационным заводам (</w:t>
      </w:r>
      <w:r w:rsidRPr="00405303">
        <w:rPr>
          <w:bCs/>
          <w:color w:val="002060"/>
          <w:sz w:val="16"/>
          <w:szCs w:val="16"/>
          <w:shd w:val="clear" w:color="auto" w:fill="FFFFFF"/>
        </w:rPr>
        <w:t>РГВИА. Ф. 369. Оп. 8. Д. 73. Л. 3-6об. Перечень по воздухоплавательно-авиационным вопросам, обсуждавшимся в Подготовительной комиссии по общим вопросам.</w:t>
      </w:r>
      <w:r w:rsidRPr="00405303">
        <w:rPr>
          <w:bCs/>
          <w:color w:val="002060"/>
          <w:sz w:val="16"/>
          <w:szCs w:val="16"/>
        </w:rPr>
        <w:t>). И число рассматриваемых дел, и объемы, выдаваемых заказов, в 1916 г. значительно возросли (21552).</w:t>
      </w:r>
    </w:p>
    <w:p w14:paraId="6B2AA002" w14:textId="77777777" w:rsidR="00744431" w:rsidRPr="00405303" w:rsidRDefault="00744431" w:rsidP="00C15251">
      <w:pPr>
        <w:jc w:val="both"/>
        <w:rPr>
          <w:bCs/>
          <w:color w:val="002060"/>
          <w:sz w:val="16"/>
          <w:szCs w:val="16"/>
        </w:rPr>
      </w:pPr>
    </w:p>
    <w:bookmarkEnd w:id="147"/>
    <w:p w14:paraId="1D9A51B2" w14:textId="77777777" w:rsidR="00FE3A5E" w:rsidRPr="00405303" w:rsidRDefault="00FE3A5E" w:rsidP="00C15251">
      <w:pPr>
        <w:jc w:val="both"/>
        <w:rPr>
          <w:bCs/>
          <w:color w:val="002060"/>
          <w:sz w:val="16"/>
          <w:szCs w:val="16"/>
        </w:rPr>
      </w:pPr>
      <w:r w:rsidRPr="00405303">
        <w:rPr>
          <w:bCs/>
          <w:color w:val="002060"/>
          <w:sz w:val="16"/>
          <w:szCs w:val="16"/>
        </w:rPr>
        <w:t>В мае 1915 г. была завершена выработка плана снабжения армии авиаимуществом на срок с 1 июня 1915 г. до 1 июня 1916 г. Заложенные в плане показатели обеспечения авиационных фронтовых отрядов различными типами самолетов и моторов к ним, а также возмещение их убыли предполагали распределение большей части заказов в России [Там же. Оп. 2. Д. 12. Л. 207-208об; Там же. Оп. 21. Д. 12. Л. 42.]. Регулярно проводимые учреждениями военного ведомства совещания по вопросам снабжения армии авиаимуществом стали важным фактором развития авиационной промышленности [См.: Материалы ноябрьского совещания 1915 г. (РГВИА. Ф. 493. Оп. 4. Д. 52. Л. 93-94об.); апрельского и майского совещаний 1916 г. (РГВИА, Ф. 493. Оп. 4. Д. 83. Л. 113-114, 229-232об.) и др.]. Принятые на них программы, или их корректировки на заключительном этапе обязательно рассматривались Особым совещанием по обороне.</w:t>
      </w:r>
    </w:p>
    <w:p w14:paraId="443CEC03" w14:textId="77777777" w:rsidR="00FE3A5E" w:rsidRPr="00405303" w:rsidRDefault="00FE3A5E" w:rsidP="00C15251">
      <w:pPr>
        <w:jc w:val="both"/>
        <w:rPr>
          <w:bCs/>
          <w:color w:val="002060"/>
          <w:sz w:val="16"/>
          <w:szCs w:val="16"/>
        </w:rPr>
      </w:pPr>
      <w:r w:rsidRPr="00405303">
        <w:rPr>
          <w:bCs/>
          <w:color w:val="002060"/>
          <w:sz w:val="16"/>
          <w:szCs w:val="16"/>
        </w:rPr>
        <w:t>На основе этих планов в течение 1915 - 1916 гг. Особое совещание вело широкую выдачу заказов различным авиационным предприятиям с одновременным предоставлением авансов и ссуд. В июле 1915 г. было привлечено к исполнению заказов всего два моторных и шесть самолетостроительных завода. Тогда как только в сентябре - декабре 1915 г. в подготовительной комиссии по общим вопросам Особого совещания было обсуждено более десятка дел, связанных с выдачей заказов, ссуд, авансов, пособий авиационным заводам [РГВИА. Ф. 369. Оп. 8. Д. 73. Л. 3-6об. Перечень по воздухоплавательно-авиационным вопросам, обсуждавшимся в Подготовительной комиссии по общим вопросам.]. И число рассматриваемых дел, и объемы, выдаваемых заказов, в 1916 г. значительно возросли.</w:t>
      </w:r>
    </w:p>
    <w:p w14:paraId="7036FA77" w14:textId="77777777" w:rsidR="00FE3A5E" w:rsidRPr="00405303" w:rsidRDefault="00FE3A5E" w:rsidP="00C15251">
      <w:pPr>
        <w:jc w:val="both"/>
        <w:rPr>
          <w:bCs/>
          <w:color w:val="002060"/>
          <w:sz w:val="16"/>
          <w:szCs w:val="16"/>
        </w:rPr>
      </w:pPr>
      <w:r w:rsidRPr="00405303">
        <w:rPr>
          <w:bCs/>
          <w:color w:val="002060"/>
          <w:sz w:val="16"/>
          <w:szCs w:val="16"/>
        </w:rPr>
        <w:t>Уже с конца 1915 г. решения Особого совещания по обороне о выдаче заказов на авиационное имущество подразумевали, а часто прямо указывали на необходимость постройки нового завода или расширения старого. Недаром в отчете УВВФ за 1916 г. указывалось: «Принимавшиеся в 1916 г. меры к обеспечению авиации и воздухоплавания аэропланами, моторами и материалами шли, главным образом, по пути насаждения соответствующей отечественной промышленности, дабы в возможно большей степени освободиться от необходимости прибегать к услугам заграничной промышленности» [РГВИА. Ф. 493. Оп. 4. Д. 337. Л. 4.].</w:t>
      </w:r>
    </w:p>
    <w:p w14:paraId="08339D19" w14:textId="77777777" w:rsidR="00FE3A5E" w:rsidRPr="00405303" w:rsidRDefault="00FE3A5E" w:rsidP="00C15251">
      <w:pPr>
        <w:jc w:val="both"/>
        <w:rPr>
          <w:bCs/>
          <w:color w:val="002060"/>
          <w:sz w:val="16"/>
          <w:szCs w:val="16"/>
        </w:rPr>
      </w:pPr>
      <w:r w:rsidRPr="00405303">
        <w:rPr>
          <w:bCs/>
          <w:color w:val="002060"/>
          <w:sz w:val="16"/>
          <w:szCs w:val="16"/>
        </w:rPr>
        <w:t>Особую роль в расширении и налаживании работы отечественных авиационных предприятий сыграла созданная в июле 1916 г. подготовительная комиссия по авиационным вопросам Особого совещания по обороне, возглавлявшаяся И.В. Гурко. Комиссия занялась, прежде всего, выработкой программы отечественного авиастроения, включая развитие самолето- и моторостроительных заводов. До этого развитие авиационной промышленности шло в значительной мере стихийно, и организующим элементом были только программы снабжения армии авиаимуществом, которые определяли сумму заказов русским авиационным заводам. Программа развития авиационного дела в России обсуждалась на нескольких заседаниях подготовительной комиссии по авиационным вопросам в течение сентября - октября 1916 г. [РГВИА. Ф. 369. Оп. 8. Д. 74. Л. 1-17 об. Журнал авиационной комиссии от 8 и 19 сентября, 6, 12, 13, 19 и 24 октября 1916 г.]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мер, которые предлагались авиационной комиссией, были: создать возможности предприятиям использовать все имеющееся оборудование; увеличить оборудование действующих заводов; соорудить новые предприятия [Там же. Л. 8об.]. Решение первой задачи было сопряжено с 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аэроплановый и моторный заводы. Кроме того, в программе обращалось внимание на улучшение подготовки летных кадров и создание научного авиационного центра (так называемый Главный аэродром) [Там же. Л. 11об., 12-13.]. На заседании Особого совещания по обороне от 29 октября 1916 г. эта программа в целом была одобрена [Журналы Особого совещания по обороне государства. 1916 год. М., 1977. Вып. IV. С. 631-639.].</w:t>
      </w:r>
    </w:p>
    <w:p w14:paraId="3F1E70EB" w14:textId="77777777" w:rsidR="00FE3A5E" w:rsidRPr="00405303" w:rsidRDefault="00FE3A5E" w:rsidP="00C15251">
      <w:pPr>
        <w:jc w:val="both"/>
        <w:rPr>
          <w:bCs/>
          <w:color w:val="002060"/>
          <w:sz w:val="16"/>
          <w:szCs w:val="16"/>
        </w:rPr>
      </w:pPr>
      <w:r w:rsidRPr="00405303">
        <w:rPr>
          <w:bCs/>
          <w:color w:val="002060"/>
          <w:sz w:val="16"/>
          <w:szCs w:val="16"/>
        </w:rPr>
        <w:t>Выдача казенных заказов и специальные меры поддержки отечественной промышленности, безусловно, стимулировали развитие производства и заводское строительство в области авиации. Если перед войной было всего 11 авиационных заводов и мастерских, то на начало 1917 г. в России насчитывалось 14 самолетостроительных предприятий, на которых было занято около 12 тыс. рабочих; производство авиационных двигателей было налажено на 7 заводах, насчитывающих около 3,5 тыс. рабочих. Таким образом, всего на 21 русском авиационном предприятии трудилось 15,5 тыс. рабочих [В число заводов не входят недостроенные предприятия. Количество заводов и численность рабочих установлены на основе подсчетов данных заводских совещаний и сведений УВВФ. РГВИА. Ф. 369. Оп. 1. Д. 471, 568; Там же. Оп. 8. Д. 43, 51; Там же. Оп. 21. Д. 145; Там же. Ф. 493. Оп. 9. Д. 493.]. Суммарная средняя производительность аэроплановых заводов в месяц в конце 1916 г. составляла 200 аппаратов (довоенная - 40), а моторных - около 100 двигателей (против 10-15 до войны) [РГВИА. Ф. 369. Оп. 8. Д. 74. Л. 18-18об.]. Попытаемся раскрыть эти обобщенные данные на материалах отдельных предприятий и истории их развития в 1915 - 1917 гг.</w:t>
      </w:r>
    </w:p>
    <w:p w14:paraId="0DDEC0FD" w14:textId="77777777" w:rsidR="00FE3A5E" w:rsidRPr="00405303" w:rsidRDefault="00FE3A5E" w:rsidP="00C15251">
      <w:pPr>
        <w:jc w:val="both"/>
        <w:rPr>
          <w:bCs/>
          <w:color w:val="002060"/>
          <w:sz w:val="16"/>
          <w:szCs w:val="16"/>
        </w:rPr>
      </w:pPr>
      <w:r w:rsidRPr="00405303">
        <w:rPr>
          <w:bCs/>
          <w:color w:val="002060"/>
          <w:sz w:val="16"/>
          <w:szCs w:val="16"/>
        </w:rPr>
        <w:t xml:space="preserve">В годы войны значительно расширились, используя прямую финансовую поддержку казны, предприятия акционерного общества воздухоплавания «В. А. Лебедев», учрежденного в 1913 г. одним из первых авиаторов России. Обществу первоначально принадлежало два завода в Петербурге - самолетостроительный и завод по производству воздушных винтов «Интеграл».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 [Там же. Ф. 493. Оп. 9. Д. 56. Л. 200.] В 1916 г. на самолетостроительном заводе имелись деревообделочный, механический, слесарный, сварочный, сборочный, малярный, сушильный цеха, столярная мастерская. В них трудилось около 1500 рабочих.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w:t>
      </w:r>
      <w:r w:rsidRPr="00405303">
        <w:rPr>
          <w:bCs/>
          <w:color w:val="002060"/>
          <w:sz w:val="16"/>
          <w:szCs w:val="16"/>
        </w:rPr>
        <w:lastRenderedPageBreak/>
        <w:t xml:space="preserve">иностранных марок (Вуазен, Моран-Солье, Депердюссен) с применением двигателя «Сальмсон». Производительность завода к середине 1917 г. достигла 40-50 аппаратов в месяц (против 10 до войны) [Там же. Ф. 369. Оп. 8. Д. 74. Л. 18.], однако и при этом общество имело задолженность по выполнению контрактов. </w:t>
      </w:r>
    </w:p>
    <w:p w14:paraId="359E66AE" w14:textId="77777777" w:rsidR="00FE3A5E" w:rsidRPr="00405303" w:rsidRDefault="00FE3A5E" w:rsidP="00C15251">
      <w:pPr>
        <w:jc w:val="both"/>
        <w:rPr>
          <w:bCs/>
          <w:color w:val="002060"/>
          <w:sz w:val="16"/>
          <w:szCs w:val="16"/>
        </w:rPr>
      </w:pPr>
      <w:r w:rsidRPr="00405303">
        <w:rPr>
          <w:bCs/>
          <w:color w:val="002060"/>
          <w:sz w:val="16"/>
          <w:szCs w:val="16"/>
        </w:rPr>
        <w:t>Еще в 1915 г. встал вопрос о более существенном расширении предприятия, но имеющаяся территория в Петрограде этого не позволяла. Осенью того же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[Там же. Ф. 493. Оп. 9. Д. 56.].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м2. Экономический кризис 1917 г. не позволил полностью закончить строительство и особенно оборудование новых филиалов. Наиболее законченный из них, Таганрогский стал впоследствии основой крупнейшего авиационного завода им. Димитрова.</w:t>
      </w:r>
    </w:p>
    <w:p w14:paraId="18D5E09A" w14:textId="77777777" w:rsidR="00FE3A5E" w:rsidRPr="00405303" w:rsidRDefault="00FE3A5E" w:rsidP="00C15251">
      <w:pPr>
        <w:jc w:val="both"/>
        <w:rPr>
          <w:bCs/>
          <w:color w:val="002060"/>
          <w:sz w:val="16"/>
          <w:szCs w:val="16"/>
        </w:rPr>
      </w:pPr>
      <w:r w:rsidRPr="00405303">
        <w:rPr>
          <w:bCs/>
          <w:color w:val="002060"/>
          <w:sz w:val="16"/>
          <w:szCs w:val="16"/>
        </w:rPr>
        <w:t>К числу первых самолетостроительных предприятий в России относился завод акционерного общества «Дукс», учрежденного в 1900 г. по инициативе Ю.А. Меллера. 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w:t>
      </w:r>
    </w:p>
    <w:p w14:paraId="6016410B" w14:textId="77777777" w:rsidR="00FE3A5E" w:rsidRPr="00405303" w:rsidRDefault="00FE3A5E" w:rsidP="00C15251">
      <w:pPr>
        <w:jc w:val="both"/>
        <w:rPr>
          <w:bCs/>
          <w:color w:val="002060"/>
          <w:sz w:val="16"/>
          <w:szCs w:val="16"/>
        </w:rPr>
      </w:pPr>
      <w:r w:rsidRPr="00405303">
        <w:rPr>
          <w:bCs/>
          <w:color w:val="002060"/>
          <w:sz w:val="16"/>
          <w:szCs w:val="16"/>
        </w:rPr>
        <w:t>Контракты, заключенные заводом в 1916 г., потребовали его дальнейшего расширения. К концу года на предприятии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w:t>
      </w:r>
    </w:p>
    <w:p w14:paraId="50CA3FAD" w14:textId="77777777" w:rsidR="00FE3A5E" w:rsidRPr="00405303" w:rsidRDefault="00FE3A5E" w:rsidP="00C15251">
      <w:pPr>
        <w:jc w:val="both"/>
        <w:rPr>
          <w:bCs/>
          <w:color w:val="002060"/>
          <w:sz w:val="16"/>
          <w:szCs w:val="16"/>
        </w:rPr>
      </w:pPr>
      <w:r w:rsidRPr="00405303">
        <w:rPr>
          <w:bCs/>
          <w:color w:val="002060"/>
          <w:sz w:val="16"/>
          <w:szCs w:val="16"/>
        </w:rPr>
        <w:t>К расширению производства, в том числе и через новое строительство, стремились и другие российские самолетостроительные заводы. Известный своими достижениями в области гидроавиации Петроградский завод Товарищества С.С. Щетинина на основании решения Особого совещания по обороне (ноябрь 1915 г.)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предприятие в 1917 г. получило заказ военного ведомства на поставку 180 «Спадов», его выполнение не началось, так как не прибыло оборудование, заказанное в США [Там же. Ф. 493. Оп. 4. Д. 51. Л. 3; Там же. Оп. 9. Д. 41. Л. 14об., 16об.].</w:t>
      </w:r>
    </w:p>
    <w:p w14:paraId="79F9B346" w14:textId="77777777" w:rsidR="00FE3A5E" w:rsidRPr="00405303" w:rsidRDefault="00FE3A5E" w:rsidP="00C15251">
      <w:pPr>
        <w:jc w:val="both"/>
        <w:rPr>
          <w:bCs/>
          <w:color w:val="002060"/>
          <w:sz w:val="16"/>
          <w:szCs w:val="16"/>
        </w:rPr>
      </w:pPr>
      <w:r w:rsidRPr="00405303">
        <w:rPr>
          <w:bCs/>
          <w:color w:val="002060"/>
          <w:sz w:val="16"/>
          <w:szCs w:val="16"/>
        </w:rPr>
        <w:t>Ведущим в группе южно-российских предприятий был авиационный завод банкира А.А. Анатра в Одессе. В годы войны на заводе были сделаны новые постройки, установлено дополнительно 200 станков. Одесский завод целиком работал на фронт. Расширение предприятия происходило в соответствии с казенными заказами и при материальной поддержке со стороны военного ведомства. С целью получения более значительных новых заказов А.А. Анатра осуществил постройку нового завода в Симферополе с аэропланным и моторным отделениями. Сооружение предприятия началось в феврале 1916 г. В выстроенных механическом, деревообделочном и сборочном цехах было установлено 150 станков.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[Там же. Ф. 493. Оп. 9. Л. 89; Там же. Д. 56. Л. 200.].</w:t>
      </w:r>
    </w:p>
    <w:p w14:paraId="7B5F860D" w14:textId="77777777" w:rsidR="00FE3A5E" w:rsidRPr="00405303" w:rsidRDefault="00FE3A5E" w:rsidP="00C15251">
      <w:pPr>
        <w:jc w:val="both"/>
        <w:rPr>
          <w:bCs/>
          <w:color w:val="002060"/>
          <w:sz w:val="16"/>
          <w:szCs w:val="16"/>
        </w:rPr>
      </w:pPr>
      <w:r w:rsidRPr="00405303">
        <w:rPr>
          <w:bCs/>
          <w:color w:val="002060"/>
          <w:sz w:val="16"/>
          <w:szCs w:val="16"/>
        </w:rPr>
        <w:t>Благодаря регулярному получению правительственных заказов на изготовление учебных аппаратов, сопровождавшихся, как правило, выдачей 30- процентного аванса, в заводское предприятие превратилась авиационная мастерская В.В. Слюсаренко. В 1916 г. было учреждено акционерное общество Петроградского аэропланостроительного завода В.В. Слюсаренко, численность занятых рабочих на котором составляла около 300 человек. Была построена новая механическая мастерская, но оборудование предприятия оставалось незначительным [Там же. Оп. 4. Д. 84. Л. 1-8; Там же. Оп. 9. Д. 56. Л. 200.].</w:t>
      </w:r>
    </w:p>
    <w:p w14:paraId="1AA6AA38" w14:textId="77777777" w:rsidR="00FE3A5E" w:rsidRPr="00405303" w:rsidRDefault="00FE3A5E" w:rsidP="00C15251">
      <w:pPr>
        <w:jc w:val="both"/>
        <w:rPr>
          <w:bCs/>
          <w:color w:val="002060"/>
          <w:sz w:val="16"/>
          <w:szCs w:val="16"/>
        </w:rPr>
      </w:pPr>
      <w:r w:rsidRPr="00405303">
        <w:rPr>
          <w:bCs/>
          <w:color w:val="002060"/>
          <w:sz w:val="16"/>
          <w:szCs w:val="16"/>
        </w:rPr>
        <w:t>В годы войны открылся ряд новых самолетостроительных предприятий, получавших заказы на изготовление аппаратов: московские мастерские летчика-спортсмена, проектировщика, итальянца Ф. Моска, А.А. Пороховщикова, торгового дома Безобразова, технической конторы «И.И. Стеглау», товарищества Липецких аэропланостроительных мастерских [РГВИА. Ф. 493. Оп. 9. Д. 56. Л. 200; Там же. Ф. 369. Оп. 8. Д. 74. Л. 18; Там же. Ф. 493. Оп. 4. Д. 384; Там же. Д. 56. Л. 200; Там же. Ф. 369. Оп. 8. Д. 74. Л. 18.] (11863).</w:t>
      </w:r>
    </w:p>
    <w:p w14:paraId="06DCE5D0" w14:textId="77777777" w:rsidR="00FE3A5E" w:rsidRPr="00405303" w:rsidRDefault="00FE3A5E" w:rsidP="00C15251">
      <w:pPr>
        <w:jc w:val="both"/>
        <w:rPr>
          <w:bCs/>
          <w:color w:val="002060"/>
          <w:sz w:val="16"/>
          <w:szCs w:val="16"/>
        </w:rPr>
      </w:pPr>
    </w:p>
    <w:p w14:paraId="62C40A6A" w14:textId="77777777" w:rsidR="00B62E70" w:rsidRPr="00405303" w:rsidRDefault="00B62E70" w:rsidP="00C15251">
      <w:pPr>
        <w:jc w:val="both"/>
        <w:rPr>
          <w:bCs/>
          <w:color w:val="002060"/>
          <w:sz w:val="16"/>
          <w:szCs w:val="16"/>
        </w:rPr>
      </w:pPr>
      <w:r w:rsidRPr="00405303">
        <w:rPr>
          <w:bCs/>
          <w:color w:val="002060"/>
          <w:sz w:val="16"/>
          <w:szCs w:val="16"/>
        </w:rPr>
        <w:t>В мае 1915 г. военно-морской атташе в США предложил приоб</w:t>
      </w:r>
      <w:r w:rsidRPr="00405303">
        <w:rPr>
          <w:bCs/>
          <w:color w:val="002060"/>
          <w:sz w:val="16"/>
          <w:szCs w:val="16"/>
        </w:rPr>
        <w:softHyphen/>
        <w:t>рести радиостанции «Де Фореста» и «Маркони». Решение никто не принял. В свою очередь торговый дом «Яков Прозоров с сыном» выс</w:t>
      </w:r>
      <w:r w:rsidRPr="00405303">
        <w:rPr>
          <w:bCs/>
          <w:color w:val="002060"/>
          <w:sz w:val="16"/>
          <w:szCs w:val="16"/>
        </w:rPr>
        <w:softHyphen/>
        <w:t>тупил посредником в приобретении аппаратов Рузе. Через военно-мор</w:t>
      </w:r>
      <w:r w:rsidRPr="00405303">
        <w:rPr>
          <w:bCs/>
          <w:color w:val="002060"/>
          <w:sz w:val="16"/>
          <w:szCs w:val="16"/>
        </w:rPr>
        <w:softHyphen/>
        <w:t>ского атташе во Франции аппара</w:t>
      </w:r>
      <w:r w:rsidRPr="00405303">
        <w:rPr>
          <w:bCs/>
          <w:color w:val="002060"/>
          <w:sz w:val="16"/>
          <w:szCs w:val="16"/>
        </w:rPr>
        <w:softHyphen/>
        <w:t>ты этого типа были закуплены. Ис</w:t>
      </w:r>
      <w:r w:rsidRPr="00405303">
        <w:rPr>
          <w:bCs/>
          <w:color w:val="002060"/>
          <w:sz w:val="16"/>
          <w:szCs w:val="16"/>
        </w:rPr>
        <w:softHyphen/>
        <w:t>пытания, проведенные в Ревеле, дали неплохие результаты. Морс</w:t>
      </w:r>
      <w:r w:rsidRPr="00405303">
        <w:rPr>
          <w:bCs/>
          <w:color w:val="002060"/>
          <w:sz w:val="16"/>
          <w:szCs w:val="16"/>
        </w:rPr>
        <w:softHyphen/>
        <w:t>кой генеральный штаб разрешил устанавливать их на самолеты, мощ</w:t>
      </w:r>
      <w:r w:rsidRPr="00405303">
        <w:rPr>
          <w:bCs/>
          <w:color w:val="002060"/>
          <w:sz w:val="16"/>
          <w:szCs w:val="16"/>
        </w:rPr>
        <w:softHyphen/>
        <w:t>ность двигателей у которых «150 сил и более». Но постоянно что-то ме</w:t>
      </w:r>
      <w:r w:rsidRPr="00405303">
        <w:rPr>
          <w:bCs/>
          <w:color w:val="002060"/>
          <w:sz w:val="16"/>
          <w:szCs w:val="16"/>
        </w:rPr>
        <w:softHyphen/>
        <w:t>шало осуществить задуманное. И пройдет почти сорок лет, когда самолеты смогут надежно связы</w:t>
      </w:r>
      <w:r w:rsidRPr="00405303">
        <w:rPr>
          <w:bCs/>
          <w:color w:val="002060"/>
          <w:sz w:val="16"/>
          <w:szCs w:val="16"/>
        </w:rPr>
        <w:softHyphen/>
        <w:t>ваться между собой и с наземными абонентами (11872).</w:t>
      </w:r>
    </w:p>
    <w:p w14:paraId="15D063F8" w14:textId="77777777" w:rsidR="00B62E70" w:rsidRPr="00405303" w:rsidRDefault="00B62E70" w:rsidP="00C15251">
      <w:pPr>
        <w:jc w:val="both"/>
        <w:rPr>
          <w:bCs/>
          <w:color w:val="002060"/>
          <w:sz w:val="16"/>
          <w:szCs w:val="16"/>
        </w:rPr>
      </w:pPr>
    </w:p>
    <w:p w14:paraId="59EA4460" w14:textId="77777777" w:rsidR="00202720" w:rsidRPr="00405303" w:rsidRDefault="00202720" w:rsidP="00C15251">
      <w:pPr>
        <w:jc w:val="both"/>
        <w:rPr>
          <w:bCs/>
          <w:color w:val="002060"/>
          <w:sz w:val="16"/>
          <w:szCs w:val="16"/>
        </w:rPr>
      </w:pPr>
      <w:r w:rsidRPr="00405303">
        <w:rPr>
          <w:bCs/>
          <w:color w:val="002060"/>
          <w:sz w:val="16"/>
          <w:szCs w:val="16"/>
          <w:lang w:bidi="ru-RU"/>
        </w:rPr>
        <w:t>До мая 1915 г. из выпущенных шести экземпляров «ИМ» тип Б, два из которых были оснащены че</w:t>
      </w:r>
      <w:r w:rsidRPr="00405303">
        <w:rPr>
          <w:bCs/>
          <w:color w:val="002060"/>
          <w:sz w:val="16"/>
          <w:szCs w:val="16"/>
          <w:lang w:bidi="ru-RU"/>
        </w:rPr>
        <w:softHyphen/>
        <w:t>тырьмя «Аргусами», остальные — 4-мя «Сальмсонами», лишь три корабля смогли просуществовать. Сложные климатические условия зимнего периода наряду с авариями определили малый срок службы для громоздких воздушных кораблей. Впрочем, для всех самолетов «Илья Муромец», при их деревянной конструкции и полотняной обшивке - срок эксплуатации редко превышал один летный сезон (23374).</w:t>
      </w:r>
    </w:p>
    <w:p w14:paraId="0B4DF4EA" w14:textId="77777777" w:rsidR="00202720" w:rsidRPr="00405303" w:rsidRDefault="00202720" w:rsidP="00C15251">
      <w:pPr>
        <w:jc w:val="both"/>
        <w:rPr>
          <w:bCs/>
          <w:color w:val="002060"/>
          <w:sz w:val="16"/>
          <w:szCs w:val="16"/>
          <w:lang w:bidi="ru-RU"/>
        </w:rPr>
      </w:pPr>
    </w:p>
    <w:p w14:paraId="48B966E9" w14:textId="77777777" w:rsidR="00202720" w:rsidRPr="00405303" w:rsidRDefault="00202720" w:rsidP="00C15251">
      <w:pPr>
        <w:jc w:val="both"/>
        <w:rPr>
          <w:bCs/>
          <w:color w:val="002060"/>
          <w:sz w:val="16"/>
          <w:szCs w:val="16"/>
        </w:rPr>
      </w:pPr>
      <w:r w:rsidRPr="00405303">
        <w:rPr>
          <w:bCs/>
          <w:color w:val="002060"/>
          <w:sz w:val="16"/>
          <w:szCs w:val="16"/>
        </w:rPr>
        <w:t>В мае 1915 г. на аэродром ЭВК Яблона отправлен с завода РБВЗ «Илья Муромец» В-14 (ИМ В-14 № 160 «остроносый», борт № II) экз. № 14, стратегический разведчик, тяжелый бомбардировщик.</w:t>
      </w:r>
    </w:p>
    <w:p w14:paraId="0BADD170" w14:textId="77777777" w:rsidR="00202720" w:rsidRPr="00405303" w:rsidRDefault="00202720" w:rsidP="00C15251">
      <w:pPr>
        <w:jc w:val="both"/>
        <w:rPr>
          <w:bCs/>
          <w:color w:val="002060"/>
          <w:sz w:val="16"/>
          <w:szCs w:val="16"/>
        </w:rPr>
      </w:pPr>
      <w:r w:rsidRPr="00405303">
        <w:rPr>
          <w:bCs/>
          <w:color w:val="002060"/>
          <w:sz w:val="16"/>
          <w:szCs w:val="16"/>
        </w:rPr>
        <w:t>Построен РБВЗ со следующими конструктивными особенностями:</w:t>
      </w:r>
    </w:p>
    <w:p w14:paraId="26487288" w14:textId="77777777" w:rsidR="00202720" w:rsidRPr="00405303" w:rsidRDefault="00202720" w:rsidP="00C15251">
      <w:pPr>
        <w:jc w:val="both"/>
        <w:rPr>
          <w:bCs/>
          <w:color w:val="002060"/>
          <w:sz w:val="16"/>
          <w:szCs w:val="16"/>
        </w:rPr>
      </w:pPr>
      <w:r w:rsidRPr="00405303">
        <w:rPr>
          <w:bCs/>
          <w:color w:val="002060"/>
          <w:sz w:val="16"/>
          <w:szCs w:val="16"/>
        </w:rPr>
        <w:t>- силовая установка с 4 двигателями водяного охлаждения Sunbeam Crusader по 150 л.с.;</w:t>
      </w:r>
    </w:p>
    <w:p w14:paraId="445E91C4" w14:textId="77777777" w:rsidR="00202720" w:rsidRPr="00405303" w:rsidRDefault="00202720" w:rsidP="00C15251">
      <w:pPr>
        <w:jc w:val="both"/>
        <w:rPr>
          <w:bCs/>
          <w:color w:val="002060"/>
          <w:sz w:val="16"/>
          <w:szCs w:val="16"/>
        </w:rPr>
      </w:pPr>
      <w:r w:rsidRPr="00405303">
        <w:rPr>
          <w:bCs/>
          <w:color w:val="002060"/>
          <w:sz w:val="16"/>
          <w:szCs w:val="16"/>
        </w:rPr>
        <w:lastRenderedPageBreak/>
        <w:t>- в бипланной коробке нет «продольных перегородок» – зашивки между верхними частями предпоследних пар стоек;</w:t>
      </w:r>
    </w:p>
    <w:p w14:paraId="7B0AD52E" w14:textId="77777777" w:rsidR="00202720" w:rsidRPr="00405303" w:rsidRDefault="00202720" w:rsidP="00C15251">
      <w:pPr>
        <w:jc w:val="both"/>
        <w:rPr>
          <w:bCs/>
          <w:color w:val="002060"/>
          <w:sz w:val="16"/>
          <w:szCs w:val="16"/>
        </w:rPr>
      </w:pPr>
      <w:r w:rsidRPr="00405303">
        <w:rPr>
          <w:bCs/>
          <w:color w:val="002060"/>
          <w:sz w:val="16"/>
          <w:szCs w:val="16"/>
        </w:rPr>
        <w:t>- НЧФ «остроносая» с кабиной летчика с 6 большими боковыми, 2 малыми верхними и несколькими малыми нижними стеклами.</w:t>
      </w:r>
    </w:p>
    <w:p w14:paraId="69A142C4" w14:textId="77777777" w:rsidR="00202720" w:rsidRPr="00405303" w:rsidRDefault="00202720" w:rsidP="00C15251">
      <w:pPr>
        <w:jc w:val="both"/>
        <w:rPr>
          <w:bCs/>
          <w:color w:val="002060"/>
          <w:sz w:val="16"/>
          <w:szCs w:val="16"/>
        </w:rPr>
      </w:pPr>
      <w:r w:rsidRPr="00405303">
        <w:rPr>
          <w:bCs/>
          <w:color w:val="002060"/>
          <w:sz w:val="16"/>
          <w:szCs w:val="16"/>
        </w:rPr>
        <w:t>07.05.15 г. 20.05.15 г. по н.ст.) принят штабс-капитаном Панкратьевым, который ранее командовал кораблем № 128 и получил бортовой № II.</w:t>
      </w:r>
    </w:p>
    <w:p w14:paraId="6A8B392F" w14:textId="77777777" w:rsidR="00202720" w:rsidRPr="00405303" w:rsidRDefault="00202720" w:rsidP="00C15251">
      <w:pPr>
        <w:jc w:val="both"/>
        <w:rPr>
          <w:bCs/>
          <w:color w:val="002060"/>
          <w:sz w:val="16"/>
          <w:szCs w:val="16"/>
        </w:rPr>
      </w:pPr>
      <w:r w:rsidRPr="00405303">
        <w:rPr>
          <w:bCs/>
          <w:color w:val="002060"/>
          <w:sz w:val="16"/>
          <w:szCs w:val="16"/>
        </w:rPr>
        <w:t>На январь 1916 г. корабль находился в ремонте, который был закончен не ранее марта 1916 г., когда он вернулся к боевой работе и был включен во вновь сформированный 1-й боевой отряд ЭВК, командиром которого был назначен Панкратьев. При этом корабль в составе отряда был перебазирован на аэродром Зегевольд (Schloss Segewold у г. Сигулда, в то время – Лифляндская губерния РИ, ныне – Латвия).</w:t>
      </w:r>
    </w:p>
    <w:p w14:paraId="7A1DB40F" w14:textId="77777777" w:rsidR="00202720" w:rsidRPr="00405303" w:rsidRDefault="00202720" w:rsidP="00C15251">
      <w:pPr>
        <w:jc w:val="both"/>
        <w:rPr>
          <w:bCs/>
          <w:color w:val="002060"/>
          <w:sz w:val="16"/>
          <w:szCs w:val="16"/>
        </w:rPr>
      </w:pPr>
      <w:r w:rsidRPr="00405303">
        <w:rPr>
          <w:bCs/>
          <w:color w:val="002060"/>
          <w:sz w:val="16"/>
          <w:szCs w:val="16"/>
        </w:rPr>
        <w:t>19.03.16 г. (01.04.16 по н.ст.) в боевом вылете корабль был атакован двумя самолетами противника, которые были опознаны как «Фоккеры». В воздушном бою один из неприятельских самолетов был сбит, но на борту ИМ В-14 был умер от тяжелого ранения в ногу разрывной пулей и кровопотери старший унтер-офицер Ушаков, а поручик Федоров был ранен в руку. Самолет противника упал на территории, занятой русскими войсками. В его кабине был найден майор фон Маккензен (Hauptmanvon Mackensen) – сын командующего 11-й армией ВС Германии Августа фон Макензена (August von Mackensen), но сам самолет принадлежал 14-й летной роте Кайзеровских и Королевских Воздушных войск Австро-Венгрии (Flik14) и в нем был также тяжело раненный пилот лейтенант Марек (Lt. Marek). В то время рота Flik 14 базировалась в Брест-Литовске (Гродненская губерния, Белоруссия) и вероятнее всего была вооружена самолетами Lohner B VII, Aviatik B II и (или) Lloyd C.II (самолеты Oeffag C II и Hansa Brandenburg C I она получила в 1916 г., но, по-видимому, позже). Это был первый случай, когда экипажу самолета «Илья Муромец» удалось сбить аэроплан противника.</w:t>
      </w:r>
    </w:p>
    <w:p w14:paraId="6091AA8B" w14:textId="77777777" w:rsidR="00202720" w:rsidRPr="00405303" w:rsidRDefault="00202720" w:rsidP="00C15251">
      <w:pPr>
        <w:jc w:val="both"/>
        <w:rPr>
          <w:bCs/>
          <w:color w:val="002060"/>
          <w:sz w:val="16"/>
          <w:szCs w:val="16"/>
        </w:rPr>
      </w:pPr>
      <w:r w:rsidRPr="00405303">
        <w:rPr>
          <w:bCs/>
          <w:color w:val="002060"/>
          <w:sz w:val="16"/>
          <w:szCs w:val="16"/>
        </w:rPr>
        <w:t>Списан в 1916 г. по завершении эксплуатации (23563).</w:t>
      </w:r>
    </w:p>
    <w:p w14:paraId="6F50AEDF" w14:textId="77777777" w:rsidR="00202720" w:rsidRPr="00405303" w:rsidRDefault="00202720" w:rsidP="00C15251">
      <w:pPr>
        <w:jc w:val="both"/>
        <w:rPr>
          <w:bCs/>
          <w:i/>
          <w:color w:val="002060"/>
          <w:sz w:val="16"/>
          <w:szCs w:val="16"/>
        </w:rPr>
      </w:pPr>
    </w:p>
    <w:p w14:paraId="6020DC39" w14:textId="72101DB5"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67AD635A" w14:textId="77777777" w:rsidR="004B4E35" w:rsidRPr="00405303" w:rsidRDefault="004B4E35" w:rsidP="00C15251">
      <w:pPr>
        <w:jc w:val="both"/>
        <w:rPr>
          <w:bCs/>
          <w:i/>
          <w:color w:val="002060"/>
          <w:sz w:val="16"/>
          <w:szCs w:val="16"/>
        </w:rPr>
      </w:pPr>
    </w:p>
    <w:p w14:paraId="4E367F65" w14:textId="77777777" w:rsidR="00202720" w:rsidRPr="00405303" w:rsidRDefault="00202720" w:rsidP="00C15251">
      <w:pPr>
        <w:jc w:val="both"/>
        <w:rPr>
          <w:bCs/>
          <w:color w:val="002060"/>
          <w:sz w:val="16"/>
          <w:szCs w:val="16"/>
          <w:lang w:bidi="en-US"/>
        </w:rPr>
      </w:pPr>
      <w:r w:rsidRPr="00405303">
        <w:rPr>
          <w:bCs/>
          <w:color w:val="002060"/>
          <w:sz w:val="16"/>
          <w:szCs w:val="16"/>
          <w:lang w:bidi="en-US"/>
        </w:rPr>
        <w:t>В мае 1915 г. царь наконец согласился сместить великого князя Сергея Михайловича с поста начальника Артиллерийского управления, заменив его генералом А. А. Маниковским. Затем царь санкционировал создание Центрального комитета военной промышленности, чтобы справиться с огромными и постоянными проблемами снабжения и мобилизовать российскую экономику для войны (23525).</w:t>
      </w:r>
    </w:p>
    <w:p w14:paraId="1BC217AB" w14:textId="77777777" w:rsidR="00202720" w:rsidRPr="00405303" w:rsidRDefault="00202720" w:rsidP="00C15251">
      <w:pPr>
        <w:jc w:val="both"/>
        <w:rPr>
          <w:bCs/>
          <w:color w:val="002060"/>
          <w:sz w:val="16"/>
          <w:szCs w:val="16"/>
          <w:lang w:bidi="en-US"/>
        </w:rPr>
      </w:pPr>
    </w:p>
    <w:p w14:paraId="52BA04B4" w14:textId="77777777" w:rsidR="00CD28F6" w:rsidRPr="00405303" w:rsidRDefault="00CD28F6" w:rsidP="00CD28F6">
      <w:pPr>
        <w:jc w:val="both"/>
        <w:rPr>
          <w:color w:val="0070C0"/>
          <w:sz w:val="16"/>
          <w:szCs w:val="16"/>
        </w:rPr>
      </w:pPr>
      <w:r w:rsidRPr="00405303">
        <w:rPr>
          <w:rStyle w:val="aa"/>
          <w:rFonts w:ascii="Times New Roman" w:hAnsi="Times New Roman"/>
          <w:color w:val="0070C0"/>
          <w:spacing w:val="0"/>
          <w:sz w:val="16"/>
          <w:szCs w:val="16"/>
        </w:rPr>
        <w:t>В мае 1915 г. крупный русский промыш</w:t>
      </w:r>
      <w:r w:rsidRPr="00405303">
        <w:rPr>
          <w:rStyle w:val="aa"/>
          <w:rFonts w:ascii="Times New Roman" w:hAnsi="Times New Roman"/>
          <w:color w:val="0070C0"/>
          <w:spacing w:val="0"/>
          <w:sz w:val="16"/>
          <w:szCs w:val="16"/>
        </w:rPr>
        <w:softHyphen/>
        <w:t>ленник П.П. Рябушинский выдвинул предло</w:t>
      </w:r>
      <w:r w:rsidRPr="00405303">
        <w:rPr>
          <w:rStyle w:val="aa"/>
          <w:rFonts w:ascii="Times New Roman" w:hAnsi="Times New Roman"/>
          <w:color w:val="0070C0"/>
          <w:spacing w:val="0"/>
          <w:sz w:val="16"/>
          <w:szCs w:val="16"/>
        </w:rPr>
        <w:softHyphen/>
        <w:t>жение о создании военно‑промышленных ко</w:t>
      </w:r>
      <w:r w:rsidRPr="00405303">
        <w:rPr>
          <w:rStyle w:val="aa"/>
          <w:rFonts w:ascii="Times New Roman" w:hAnsi="Times New Roman"/>
          <w:color w:val="0070C0"/>
          <w:spacing w:val="0"/>
          <w:sz w:val="16"/>
          <w:szCs w:val="16"/>
        </w:rPr>
        <w:softHyphen/>
        <w:t>митетов, призванных мобилизовать отечест</w:t>
      </w:r>
      <w:r w:rsidRPr="00405303">
        <w:rPr>
          <w:rStyle w:val="aa"/>
          <w:rFonts w:ascii="Times New Roman" w:hAnsi="Times New Roman"/>
          <w:color w:val="0070C0"/>
          <w:spacing w:val="0"/>
          <w:sz w:val="16"/>
          <w:szCs w:val="16"/>
        </w:rPr>
        <w:softHyphen/>
        <w:t>венную промышленность на военные нужды. Учрежденный в середине того же года Авто</w:t>
      </w:r>
      <w:r w:rsidRPr="00405303">
        <w:rPr>
          <w:rStyle w:val="aa"/>
          <w:rFonts w:ascii="Times New Roman" w:hAnsi="Times New Roman"/>
          <w:color w:val="0070C0"/>
          <w:spacing w:val="0"/>
          <w:sz w:val="16"/>
          <w:szCs w:val="16"/>
        </w:rPr>
        <w:softHyphen/>
        <w:t>мобильно‑авиационный отдел Центрального военно‑промышленного комитета провел ак</w:t>
      </w:r>
      <w:r w:rsidRPr="00405303">
        <w:rPr>
          <w:rStyle w:val="aa"/>
          <w:rFonts w:ascii="Times New Roman" w:hAnsi="Times New Roman"/>
          <w:color w:val="0070C0"/>
          <w:spacing w:val="0"/>
          <w:sz w:val="16"/>
          <w:szCs w:val="16"/>
        </w:rPr>
        <w:softHyphen/>
        <w:t>тивную агитационную работу с целью орга</w:t>
      </w:r>
      <w:r w:rsidRPr="00405303">
        <w:rPr>
          <w:rStyle w:val="aa"/>
          <w:rFonts w:ascii="Times New Roman" w:hAnsi="Times New Roman"/>
          <w:color w:val="0070C0"/>
          <w:spacing w:val="0"/>
          <w:sz w:val="16"/>
          <w:szCs w:val="16"/>
        </w:rPr>
        <w:softHyphen/>
        <w:t>низации производства автомобилей в России и привлек к обсуждению этого вопроса вни</w:t>
      </w:r>
      <w:r w:rsidRPr="00405303">
        <w:rPr>
          <w:rStyle w:val="aa"/>
          <w:rFonts w:ascii="Times New Roman" w:hAnsi="Times New Roman"/>
          <w:color w:val="0070C0"/>
          <w:spacing w:val="0"/>
          <w:sz w:val="16"/>
          <w:szCs w:val="16"/>
        </w:rPr>
        <w:softHyphen/>
        <w:t>мание Военного министерства, общественных организаций и целого ряда специалистов.</w:t>
      </w:r>
    </w:p>
    <w:p w14:paraId="45535850" w14:textId="77777777" w:rsidR="00CD28F6" w:rsidRPr="00405303" w:rsidRDefault="00CD28F6" w:rsidP="00CD28F6">
      <w:pPr>
        <w:widowControl w:val="0"/>
        <w:tabs>
          <w:tab w:val="left" w:pos="642"/>
        </w:tabs>
        <w:jc w:val="both"/>
        <w:rPr>
          <w:color w:val="0070C0"/>
          <w:sz w:val="16"/>
          <w:szCs w:val="16"/>
        </w:rPr>
      </w:pPr>
      <w:r w:rsidRPr="00405303">
        <w:rPr>
          <w:rStyle w:val="aa"/>
          <w:rFonts w:ascii="Times New Roman" w:hAnsi="Times New Roman"/>
          <w:color w:val="0070C0"/>
          <w:spacing w:val="0"/>
          <w:sz w:val="16"/>
          <w:szCs w:val="16"/>
        </w:rPr>
        <w:t>В результате Главное военно‑техниче</w:t>
      </w:r>
      <w:r w:rsidRPr="00405303">
        <w:rPr>
          <w:rStyle w:val="aa"/>
          <w:rFonts w:ascii="Times New Roman" w:hAnsi="Times New Roman"/>
          <w:color w:val="0070C0"/>
          <w:spacing w:val="0"/>
          <w:sz w:val="16"/>
          <w:szCs w:val="16"/>
        </w:rPr>
        <w:softHyphen/>
        <w:t>ское управление (ГВТУ) направило ходатай</w:t>
      </w:r>
      <w:r w:rsidRPr="00405303">
        <w:rPr>
          <w:rStyle w:val="aa"/>
          <w:rFonts w:ascii="Times New Roman" w:hAnsi="Times New Roman"/>
          <w:color w:val="0070C0"/>
          <w:spacing w:val="0"/>
          <w:sz w:val="16"/>
          <w:szCs w:val="16"/>
        </w:rPr>
        <w:softHyphen/>
        <w:t>ство в Совет Министров об отпуске средств на заказ автомобилей отечественного произ</w:t>
      </w:r>
      <w:r w:rsidRPr="00405303">
        <w:rPr>
          <w:rStyle w:val="aa"/>
          <w:rFonts w:ascii="Times New Roman" w:hAnsi="Times New Roman"/>
          <w:color w:val="0070C0"/>
          <w:spacing w:val="0"/>
          <w:sz w:val="16"/>
          <w:szCs w:val="16"/>
        </w:rPr>
        <w:softHyphen/>
        <w:t>водства (25109).</w:t>
      </w:r>
    </w:p>
    <w:p w14:paraId="296FD69F" w14:textId="77777777" w:rsidR="00CD28F6" w:rsidRPr="00405303" w:rsidRDefault="00CD28F6" w:rsidP="00CD28F6">
      <w:pPr>
        <w:widowControl w:val="0"/>
        <w:tabs>
          <w:tab w:val="left" w:pos="642"/>
        </w:tabs>
        <w:jc w:val="both"/>
        <w:rPr>
          <w:color w:val="0070C0"/>
          <w:sz w:val="16"/>
          <w:szCs w:val="16"/>
        </w:rPr>
      </w:pPr>
    </w:p>
    <w:p w14:paraId="0551A69D" w14:textId="77777777" w:rsidR="00202720" w:rsidRPr="00405303" w:rsidRDefault="00202720" w:rsidP="00C15251">
      <w:pPr>
        <w:jc w:val="both"/>
        <w:rPr>
          <w:bCs/>
          <w:color w:val="002060"/>
          <w:sz w:val="16"/>
          <w:szCs w:val="16"/>
        </w:rPr>
      </w:pPr>
      <w:r w:rsidRPr="00405303">
        <w:rPr>
          <w:bCs/>
          <w:color w:val="002060"/>
          <w:sz w:val="16"/>
          <w:szCs w:val="16"/>
        </w:rPr>
        <w:t>В мае 1915 г. для того, чтобы переложить ответственность за «кровавый» вопрос на оппозиционные круги, великие князья Николай Николаевич и Сергей Михайлович, возглавлявшие опера</w:t>
      </w:r>
      <w:r w:rsidRPr="00405303">
        <w:rPr>
          <w:bCs/>
          <w:color w:val="002060"/>
          <w:sz w:val="16"/>
          <w:szCs w:val="16"/>
        </w:rPr>
        <w:softHyphen/>
        <w:t>ции на фронте и артиллерийское снабжение в тылу, предприняли крупный политический маневр.</w:t>
      </w:r>
    </w:p>
    <w:p w14:paraId="2871836B" w14:textId="77777777" w:rsidR="00202720" w:rsidRPr="00405303" w:rsidRDefault="00202720" w:rsidP="00C15251">
      <w:pPr>
        <w:jc w:val="both"/>
        <w:rPr>
          <w:bCs/>
          <w:color w:val="002060"/>
          <w:sz w:val="16"/>
          <w:szCs w:val="16"/>
        </w:rPr>
      </w:pPr>
      <w:r w:rsidRPr="00405303">
        <w:rPr>
          <w:bCs/>
          <w:color w:val="002060"/>
          <w:sz w:val="16"/>
          <w:szCs w:val="16"/>
        </w:rPr>
        <w:t>В расчете выгородить себя, удобных подставных фигур они нашли в лице вождей цензовой «общественности»: нуж</w:t>
      </w:r>
      <w:r w:rsidRPr="00405303">
        <w:rPr>
          <w:bCs/>
          <w:color w:val="002060"/>
          <w:sz w:val="16"/>
          <w:szCs w:val="16"/>
        </w:rPr>
        <w:softHyphen/>
        <w:t>но было лишь вынудить их «не только критиковать, но и активно действовать», а для этого допустить «общественных деятелей», представителей легальной оппозиции к делам по снабжению армии. «Родзянко так много шумит, пусть же он теперь сам поработает, а участие его снимет у них возмож</w:t>
      </w:r>
      <w:r w:rsidRPr="00405303">
        <w:rPr>
          <w:bCs/>
          <w:color w:val="002060"/>
          <w:sz w:val="16"/>
          <w:szCs w:val="16"/>
        </w:rPr>
        <w:softHyphen/>
        <w:t>ность потом критиковать», — пояснял этот замысел Сухом</w:t>
      </w:r>
      <w:r w:rsidRPr="00405303">
        <w:rPr>
          <w:bCs/>
          <w:color w:val="002060"/>
          <w:sz w:val="16"/>
          <w:szCs w:val="16"/>
        </w:rPr>
        <w:softHyphen/>
        <w:t>линову Янушкевич. «Надо все сделать, чтобы Родзянко и всем членам Думы казалось, что это новое и важное дело, и чтобы они сознавали свою ответственность... Будет польза политическая», — развивал ту же мысль Кривошеин при об</w:t>
      </w:r>
      <w:r w:rsidRPr="00405303">
        <w:rPr>
          <w:bCs/>
          <w:color w:val="002060"/>
          <w:sz w:val="16"/>
          <w:szCs w:val="16"/>
        </w:rPr>
        <w:softHyphen/>
        <w:t>суждении в Совете министров вопроса о включении думцев в состав Особого совещания по обороне. «Это есть только совещание, собранное по соображениям тактического свой</w:t>
      </w:r>
      <w:r w:rsidRPr="00405303">
        <w:rPr>
          <w:bCs/>
          <w:color w:val="002060"/>
          <w:sz w:val="16"/>
          <w:szCs w:val="16"/>
        </w:rPr>
        <w:softHyphen/>
        <w:t>ства или политического». Или, как сказал Горемыкин, «со</w:t>
      </w:r>
      <w:r w:rsidRPr="00405303">
        <w:rPr>
          <w:bCs/>
          <w:color w:val="002060"/>
          <w:sz w:val="16"/>
          <w:szCs w:val="16"/>
        </w:rPr>
        <w:softHyphen/>
        <w:t>вещание при военном министре, у коего права, для [дезори</w:t>
      </w:r>
      <w:r w:rsidRPr="00405303">
        <w:rPr>
          <w:bCs/>
          <w:color w:val="002060"/>
          <w:sz w:val="16"/>
          <w:szCs w:val="16"/>
        </w:rPr>
        <w:softHyphen/>
        <w:t>ентации] общественного мнения» (Тарновский К.Н. Указ. соч. С. 44; Сидоров АЛ. Экономическое по</w:t>
      </w:r>
      <w:r w:rsidRPr="00405303">
        <w:rPr>
          <w:bCs/>
          <w:color w:val="002060"/>
          <w:sz w:val="16"/>
          <w:szCs w:val="16"/>
        </w:rPr>
        <w:softHyphen/>
        <w:t>ложение России. С. 58—60; Совет министров Российской империи в годы Первой мировой войны. Бумаги А.Н. Яхонтова. СПб., 1999. С. 397, 170-172).</w:t>
      </w:r>
    </w:p>
    <w:p w14:paraId="25CB640F" w14:textId="77777777" w:rsidR="00202720" w:rsidRPr="00405303" w:rsidRDefault="00202720" w:rsidP="00C15251">
      <w:pPr>
        <w:jc w:val="both"/>
        <w:rPr>
          <w:bCs/>
          <w:color w:val="002060"/>
          <w:sz w:val="16"/>
          <w:szCs w:val="16"/>
        </w:rPr>
      </w:pPr>
      <w:r w:rsidRPr="00405303">
        <w:rPr>
          <w:bCs/>
          <w:color w:val="002060"/>
          <w:sz w:val="16"/>
          <w:szCs w:val="16"/>
        </w:rPr>
        <w:t>К снабжению армии были допущены Земский и Город</w:t>
      </w:r>
      <w:r w:rsidRPr="00405303">
        <w:rPr>
          <w:bCs/>
          <w:color w:val="002060"/>
          <w:sz w:val="16"/>
          <w:szCs w:val="16"/>
        </w:rPr>
        <w:softHyphen/>
        <w:t>ской союзы, заводчикам разрешено создать независимые от власти военно-промышленные комитеты, депутаты Государ</w:t>
      </w:r>
      <w:r w:rsidRPr="00405303">
        <w:rPr>
          <w:bCs/>
          <w:color w:val="002060"/>
          <w:sz w:val="16"/>
          <w:szCs w:val="16"/>
        </w:rPr>
        <w:softHyphen/>
        <w:t>ственной думы, члены Государственного совета и Централь</w:t>
      </w:r>
      <w:r w:rsidRPr="00405303">
        <w:rPr>
          <w:bCs/>
          <w:color w:val="002060"/>
          <w:sz w:val="16"/>
          <w:szCs w:val="16"/>
        </w:rPr>
        <w:softHyphen/>
        <w:t>ного военно-промышленного комитета включены в состав Особого совещания по обороне. В этой новой обстановке одним из направлений политической борьбы, правитель</w:t>
      </w:r>
      <w:r w:rsidRPr="00405303">
        <w:rPr>
          <w:bCs/>
          <w:color w:val="002060"/>
          <w:sz w:val="16"/>
          <w:szCs w:val="16"/>
        </w:rPr>
        <w:softHyphen/>
        <w:t>ственной пропаганды становилось разоблачение хищниче</w:t>
      </w:r>
      <w:r w:rsidRPr="00405303">
        <w:rPr>
          <w:bCs/>
          <w:color w:val="002060"/>
          <w:sz w:val="16"/>
          <w:szCs w:val="16"/>
        </w:rPr>
        <w:softHyphen/>
        <w:t>ского поведения предпринимателей, извлекавших — при со</w:t>
      </w:r>
      <w:r w:rsidRPr="00405303">
        <w:rPr>
          <w:bCs/>
          <w:color w:val="002060"/>
          <w:sz w:val="16"/>
          <w:szCs w:val="16"/>
        </w:rPr>
        <w:softHyphen/>
        <w:t>действии представителей «общественных организаций» в органах снабжения — невиданные в мирное время прибыли. Одновременно, в августе, в Военном министерстве началась оптимизация денежной отчетности, направленная на искус</w:t>
      </w:r>
      <w:r w:rsidRPr="00405303">
        <w:rPr>
          <w:bCs/>
          <w:color w:val="002060"/>
          <w:sz w:val="16"/>
          <w:szCs w:val="16"/>
        </w:rPr>
        <w:softHyphen/>
        <w:t>ственное занижение фактических издержек по казенным за</w:t>
      </w:r>
      <w:r w:rsidRPr="00405303">
        <w:rPr>
          <w:bCs/>
          <w:color w:val="002060"/>
          <w:sz w:val="16"/>
          <w:szCs w:val="16"/>
        </w:rPr>
        <w:softHyphen/>
        <w:t>водам (23452).</w:t>
      </w:r>
    </w:p>
    <w:p w14:paraId="06CA522B" w14:textId="77777777" w:rsidR="00202720" w:rsidRPr="00405303" w:rsidRDefault="00202720" w:rsidP="00C15251">
      <w:pPr>
        <w:jc w:val="both"/>
        <w:rPr>
          <w:bCs/>
          <w:color w:val="002060"/>
          <w:sz w:val="16"/>
          <w:szCs w:val="16"/>
          <w:lang w:bidi="ru-RU"/>
        </w:rPr>
      </w:pPr>
    </w:p>
    <w:p w14:paraId="01C95C13" w14:textId="77777777" w:rsidR="00D42D7C" w:rsidRPr="00405303" w:rsidRDefault="00D42D7C" w:rsidP="00C15251">
      <w:pPr>
        <w:jc w:val="both"/>
        <w:rPr>
          <w:bCs/>
          <w:color w:val="002060"/>
          <w:sz w:val="16"/>
          <w:szCs w:val="16"/>
        </w:rPr>
      </w:pPr>
      <w:r w:rsidRPr="00405303">
        <w:rPr>
          <w:bCs/>
          <w:color w:val="002060"/>
          <w:sz w:val="16"/>
          <w:szCs w:val="16"/>
        </w:rPr>
        <w:t>В мае 1915 г. Электротехнический отдел извещает своих контрагентов о необходимости перед началом исполнения заказов представлять сведения о фирмах-поставщиках, сроках и объемах поставляемых ими материалов и комплектующих. С марта 1916 г. предприятия обязаны были ежемесячно представлять сведения о планируемых перевозках материалов металлургической промышленности для планирования под них необходимого количества подвижного состава.</w:t>
      </w:r>
    </w:p>
    <w:p w14:paraId="24DDF95B" w14:textId="77777777" w:rsidR="00D42D7C" w:rsidRPr="00405303" w:rsidRDefault="00D42D7C" w:rsidP="00C15251">
      <w:pPr>
        <w:jc w:val="both"/>
        <w:rPr>
          <w:bCs/>
          <w:color w:val="002060"/>
          <w:sz w:val="16"/>
          <w:szCs w:val="16"/>
        </w:rPr>
      </w:pPr>
      <w:r w:rsidRPr="00405303">
        <w:rPr>
          <w:bCs/>
          <w:color w:val="002060"/>
          <w:sz w:val="16"/>
          <w:szCs w:val="16"/>
        </w:rPr>
        <w:t>В июне 1916 г. такой порядок был распространен на перевозку всех материалов и грузов, необходимых для выполнения предприятиями военных заказов;</w:t>
      </w:r>
    </w:p>
    <w:p w14:paraId="72B3D13A" w14:textId="77777777" w:rsidR="00D42D7C" w:rsidRPr="00405303" w:rsidRDefault="00D42D7C" w:rsidP="00C15251">
      <w:pPr>
        <w:jc w:val="both"/>
        <w:rPr>
          <w:bCs/>
          <w:color w:val="002060"/>
          <w:sz w:val="16"/>
          <w:szCs w:val="16"/>
        </w:rPr>
      </w:pPr>
      <w:r w:rsidRPr="00405303">
        <w:rPr>
          <w:bCs/>
          <w:color w:val="002060"/>
          <w:sz w:val="16"/>
          <w:szCs w:val="16"/>
        </w:rPr>
        <w:t>- решение вопросов о предоставлении отсрочек от мобилизации рабочим и служащим предприятий. В соответствии с порядком, утвержденном на совещании в мобилизационном отделе Главного управления Генерального штаба 26 октября 1914 г., ходатайства заводов по поводу отсрочек поступали в Генштаб только через довольствующие управления Военного и Морского ведомств (18297).</w:t>
      </w:r>
    </w:p>
    <w:p w14:paraId="776EA59D" w14:textId="77777777" w:rsidR="00D42D7C" w:rsidRPr="00405303" w:rsidRDefault="00D42D7C" w:rsidP="00C15251">
      <w:pPr>
        <w:jc w:val="both"/>
        <w:rPr>
          <w:bCs/>
          <w:color w:val="002060"/>
          <w:sz w:val="16"/>
          <w:szCs w:val="16"/>
        </w:rPr>
      </w:pPr>
    </w:p>
    <w:p w14:paraId="6AD46880" w14:textId="77777777" w:rsidR="00D42D7C" w:rsidRPr="00405303" w:rsidRDefault="00D42D7C" w:rsidP="00C15251">
      <w:pPr>
        <w:jc w:val="both"/>
        <w:rPr>
          <w:bCs/>
          <w:color w:val="002060"/>
          <w:sz w:val="16"/>
          <w:szCs w:val="16"/>
        </w:rPr>
      </w:pPr>
      <w:r w:rsidRPr="00405303">
        <w:rPr>
          <w:bCs/>
          <w:color w:val="002060"/>
          <w:sz w:val="16"/>
          <w:szCs w:val="16"/>
        </w:rPr>
        <w:t>В мае 1915 г. когда царское, правительство приступило к мобилизации промышленности, оно прежде всего обратилось к услугам принадлежавших ему кадровых военных заводов, где и было главным образом сосредоточено производство артиллерийских орудий, винтовок, патронов, пороха и взрывчатых веществ. Однако производственная мощность этих заводов была крайне ограничена и совершенно не соответствовала запросам армии. Вместе с кадровыми военными заводами для выполнения заказов военного ведомства были мобилизованы и наиболее крупные частные металлообрабатывающие предприятия, в первую очередь те из них, которые, как, например, Путиловский, ещё до войны были заняты изготовлением вооружения (18381).</w:t>
      </w:r>
    </w:p>
    <w:p w14:paraId="71B9E910" w14:textId="77777777" w:rsidR="00D42D7C" w:rsidRPr="00405303" w:rsidRDefault="00D42D7C" w:rsidP="00C15251">
      <w:pPr>
        <w:jc w:val="both"/>
        <w:rPr>
          <w:bCs/>
          <w:color w:val="002060"/>
          <w:sz w:val="16"/>
          <w:szCs w:val="16"/>
        </w:rPr>
      </w:pPr>
    </w:p>
    <w:p w14:paraId="042F00AE" w14:textId="77777777" w:rsidR="00D42D7C" w:rsidRPr="00405303" w:rsidRDefault="00D42D7C" w:rsidP="00C15251">
      <w:pPr>
        <w:pStyle w:val="ae"/>
        <w:spacing w:before="0" w:beforeAutospacing="0" w:after="0" w:afterAutospacing="0"/>
        <w:jc w:val="both"/>
        <w:rPr>
          <w:bCs/>
          <w:color w:val="002060"/>
          <w:sz w:val="16"/>
          <w:szCs w:val="16"/>
        </w:rPr>
      </w:pPr>
      <w:r w:rsidRPr="00405303">
        <w:rPr>
          <w:bCs/>
          <w:color w:val="002060"/>
          <w:sz w:val="16"/>
          <w:szCs w:val="16"/>
        </w:rPr>
        <w:t>В мае 1915 г. Ставка вновь пересмотрела потребность в снарядах и патронах, установив месячную потребность в 110 парков. Это количество продержалось до ноября 1915 г. На снаряжение снарядов требовалось 134,4 тыс пуд пороха в месяц, казенные же заводы давали от 30 до 36 тыс. пуд. пушечного пороха (июнь—октябрь 1915 г.) Учитывая поступления с частного завода около 10 тыс. пуд. в месяц и из-за границы — около 27,5 тыс. пуд, всего летом 1915 г. поступало из всех источников около 50% необходимого количества пороха (66,7 тыс. пуд. от 134,4 тыс. пуд.).</w:t>
      </w:r>
    </w:p>
    <w:p w14:paraId="1A39BC0D" w14:textId="77777777" w:rsidR="00D42D7C" w:rsidRPr="00405303" w:rsidRDefault="00D42D7C" w:rsidP="00C15251">
      <w:pPr>
        <w:pStyle w:val="ae"/>
        <w:spacing w:before="0" w:beforeAutospacing="0" w:after="0" w:afterAutospacing="0"/>
        <w:jc w:val="both"/>
        <w:rPr>
          <w:bCs/>
          <w:color w:val="002060"/>
          <w:sz w:val="16"/>
          <w:szCs w:val="16"/>
        </w:rPr>
      </w:pPr>
      <w:r w:rsidRPr="00405303">
        <w:rPr>
          <w:bCs/>
          <w:color w:val="002060"/>
          <w:sz w:val="16"/>
          <w:szCs w:val="16"/>
        </w:rPr>
        <w:t>Вместо того чтобы развивать и увеличивать все стороны военного производства, чиновники Военного министерства предпочитали равняться по наиболее узкому месту — поставке корпусов и трубок — и одновременно переводить казенные деньги в Америку за тот же порох</w:t>
      </w:r>
      <w:bookmarkStart w:id="148" w:name="77r"/>
      <w:bookmarkEnd w:id="148"/>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"77p"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77</w:t>
      </w:r>
      <w:r w:rsidR="00617EB0" w:rsidRPr="00405303">
        <w:rPr>
          <w:bCs/>
          <w:color w:val="002060"/>
          <w:sz w:val="16"/>
          <w:szCs w:val="16"/>
          <w:vertAlign w:val="superscript"/>
        </w:rPr>
        <w:fldChar w:fldCharType="end"/>
      </w:r>
      <w:r w:rsidRPr="00405303">
        <w:rPr>
          <w:bCs/>
          <w:color w:val="002060"/>
          <w:sz w:val="16"/>
          <w:szCs w:val="16"/>
        </w:rPr>
        <w:t>.</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4543"/>
        <w:gridCol w:w="6786"/>
      </w:tblGrid>
      <w:tr w:rsidR="00D42D7C" w:rsidRPr="00405303" w14:paraId="2B43203F" w14:textId="77777777" w:rsidTr="007066FE">
        <w:trPr>
          <w:tblCellSpacing w:w="15" w:type="dxa"/>
          <w:jc w:val="center"/>
        </w:trPr>
        <w:tc>
          <w:tcPr>
            <w:tcW w:w="0" w:type="auto"/>
            <w:gridSpan w:val="2"/>
            <w:tcBorders>
              <w:top w:val="nil"/>
              <w:left w:val="nil"/>
              <w:bottom w:val="nil"/>
              <w:right w:val="nil"/>
            </w:tcBorders>
            <w:noWrap/>
            <w:vAlign w:val="center"/>
            <w:hideMark/>
          </w:tcPr>
          <w:p w14:paraId="33EFF1FA" w14:textId="77777777" w:rsidR="00D42D7C" w:rsidRPr="00405303" w:rsidRDefault="00D42D7C" w:rsidP="00C15251">
            <w:pPr>
              <w:jc w:val="both"/>
              <w:rPr>
                <w:bCs/>
                <w:iCs/>
                <w:color w:val="002060"/>
                <w:sz w:val="16"/>
                <w:szCs w:val="16"/>
              </w:rPr>
            </w:pPr>
            <w:r w:rsidRPr="00405303">
              <w:rPr>
                <w:bCs/>
                <w:iCs/>
                <w:color w:val="002060"/>
                <w:sz w:val="16"/>
                <w:szCs w:val="16"/>
              </w:rPr>
              <w:t>Ведомость</w:t>
            </w:r>
          </w:p>
          <w:p w14:paraId="1722C097" w14:textId="77777777" w:rsidR="00D42D7C" w:rsidRPr="00405303" w:rsidRDefault="00D42D7C" w:rsidP="00C15251">
            <w:pPr>
              <w:jc w:val="both"/>
              <w:rPr>
                <w:bCs/>
                <w:color w:val="002060"/>
                <w:sz w:val="16"/>
                <w:szCs w:val="16"/>
              </w:rPr>
            </w:pPr>
            <w:r w:rsidRPr="00405303">
              <w:rPr>
                <w:bCs/>
                <w:iCs/>
                <w:color w:val="002060"/>
                <w:sz w:val="16"/>
                <w:szCs w:val="16"/>
              </w:rPr>
              <w:t>о заказах боевых припасов для трехдюймовой артиллерии</w:t>
            </w:r>
            <w:r w:rsidRPr="00405303">
              <w:rPr>
                <w:bCs/>
                <w:color w:val="002060"/>
                <w:sz w:val="16"/>
                <w:szCs w:val="16"/>
                <w:vertAlign w:val="superscript"/>
              </w:rPr>
              <w:t>*</w:t>
            </w:r>
          </w:p>
        </w:tc>
      </w:tr>
      <w:tr w:rsidR="00D42D7C" w:rsidRPr="00405303" w14:paraId="23F16D1B" w14:textId="77777777" w:rsidTr="007066FE">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4938DDFD" w14:textId="77777777" w:rsidR="00D42D7C" w:rsidRPr="00405303" w:rsidRDefault="00D42D7C" w:rsidP="00C15251">
            <w:pPr>
              <w:jc w:val="both"/>
              <w:rPr>
                <w:bCs/>
                <w:color w:val="002060"/>
                <w:sz w:val="16"/>
                <w:szCs w:val="16"/>
              </w:rPr>
            </w:pPr>
            <w:r w:rsidRPr="00405303">
              <w:rPr>
                <w:bCs/>
                <w:color w:val="002060"/>
                <w:sz w:val="16"/>
                <w:szCs w:val="16"/>
              </w:rPr>
              <w:t>Вопросы начальника канцелярии</w:t>
            </w:r>
          </w:p>
          <w:p w14:paraId="25A9093B" w14:textId="77777777" w:rsidR="00D42D7C" w:rsidRPr="00405303" w:rsidRDefault="00D42D7C" w:rsidP="00C15251">
            <w:pPr>
              <w:jc w:val="both"/>
              <w:rPr>
                <w:bCs/>
                <w:color w:val="002060"/>
                <w:sz w:val="16"/>
                <w:szCs w:val="16"/>
              </w:rPr>
            </w:pPr>
            <w:r w:rsidRPr="00405303">
              <w:rPr>
                <w:bCs/>
                <w:color w:val="002060"/>
                <w:sz w:val="16"/>
                <w:szCs w:val="16"/>
              </w:rPr>
              <w:lastRenderedPageBreak/>
              <w:t>военного министра (А. С. Лу-</w:t>
            </w:r>
          </w:p>
          <w:p w14:paraId="60D3D980" w14:textId="77777777" w:rsidR="00D42D7C" w:rsidRPr="00405303" w:rsidRDefault="00D42D7C" w:rsidP="00C15251">
            <w:pPr>
              <w:jc w:val="both"/>
              <w:rPr>
                <w:bCs/>
                <w:color w:val="002060"/>
                <w:sz w:val="16"/>
                <w:szCs w:val="16"/>
              </w:rPr>
            </w:pPr>
            <w:r w:rsidRPr="00405303">
              <w:rPr>
                <w:bCs/>
                <w:color w:val="002060"/>
                <w:sz w:val="16"/>
                <w:szCs w:val="16"/>
              </w:rPr>
              <w:t>комского)</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A4BDEC3" w14:textId="77777777" w:rsidR="00D42D7C" w:rsidRPr="00405303" w:rsidRDefault="00D42D7C" w:rsidP="00C15251">
            <w:pPr>
              <w:jc w:val="both"/>
              <w:rPr>
                <w:bCs/>
                <w:color w:val="002060"/>
                <w:sz w:val="16"/>
                <w:szCs w:val="16"/>
              </w:rPr>
            </w:pPr>
            <w:r w:rsidRPr="00405303">
              <w:rPr>
                <w:bCs/>
                <w:color w:val="002060"/>
                <w:sz w:val="16"/>
                <w:szCs w:val="16"/>
              </w:rPr>
              <w:lastRenderedPageBreak/>
              <w:t>Ответы начальника Главного артиллерийского</w:t>
            </w:r>
          </w:p>
          <w:p w14:paraId="0BADC1D3" w14:textId="77777777" w:rsidR="00D42D7C" w:rsidRPr="00405303" w:rsidRDefault="00D42D7C" w:rsidP="00C15251">
            <w:pPr>
              <w:jc w:val="both"/>
              <w:rPr>
                <w:bCs/>
                <w:color w:val="002060"/>
                <w:sz w:val="16"/>
                <w:szCs w:val="16"/>
              </w:rPr>
            </w:pPr>
            <w:r w:rsidRPr="00405303">
              <w:rPr>
                <w:bCs/>
                <w:color w:val="002060"/>
                <w:sz w:val="16"/>
                <w:szCs w:val="16"/>
              </w:rPr>
              <w:lastRenderedPageBreak/>
              <w:t>управления (Д. Д. Кузьмина-Караваева)</w:t>
            </w:r>
          </w:p>
        </w:tc>
      </w:tr>
      <w:tr w:rsidR="00D42D7C" w:rsidRPr="00405303" w14:paraId="173F87A0" w14:textId="77777777" w:rsidTr="007066FE">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7FF37A26" w14:textId="014C7E98" w:rsidR="00D42D7C" w:rsidRPr="00405303" w:rsidRDefault="00D42D7C" w:rsidP="00C15251">
            <w:pPr>
              <w:numPr>
                <w:ilvl w:val="0"/>
                <w:numId w:val="1"/>
              </w:numPr>
              <w:overflowPunct/>
              <w:autoSpaceDE/>
              <w:autoSpaceDN/>
              <w:adjustRightInd/>
              <w:ind w:left="0" w:firstLine="0"/>
              <w:jc w:val="both"/>
              <w:textAlignment w:val="auto"/>
              <w:rPr>
                <w:bCs/>
                <w:color w:val="002060"/>
                <w:sz w:val="16"/>
                <w:szCs w:val="16"/>
              </w:rPr>
            </w:pPr>
            <w:r w:rsidRPr="00405303">
              <w:rPr>
                <w:bCs/>
                <w:color w:val="002060"/>
                <w:sz w:val="16"/>
                <w:szCs w:val="16"/>
              </w:rPr>
              <w:lastRenderedPageBreak/>
              <w:t>Какое количество пороха производится</w:t>
            </w:r>
            <w:r w:rsidR="00DB4D64" w:rsidRPr="00405303">
              <w:rPr>
                <w:bCs/>
                <w:color w:val="002060"/>
                <w:sz w:val="16"/>
                <w:szCs w:val="16"/>
              </w:rPr>
              <w:t xml:space="preserve"> </w:t>
            </w:r>
            <w:r w:rsidRPr="00405303">
              <w:rPr>
                <w:bCs/>
                <w:color w:val="002060"/>
                <w:sz w:val="16"/>
                <w:szCs w:val="16"/>
                <w:u w:val="single"/>
              </w:rPr>
              <w:t>ежемесячно</w:t>
            </w:r>
            <w:r w:rsidRPr="00405303">
              <w:rPr>
                <w:bCs/>
                <w:color w:val="002060"/>
                <w:sz w:val="16"/>
                <w:szCs w:val="16"/>
                <w:vertAlign w:val="superscript"/>
              </w:rPr>
              <w:t>**</w:t>
            </w:r>
            <w:r w:rsidR="00DB4D64" w:rsidRPr="00405303">
              <w:rPr>
                <w:bCs/>
                <w:color w:val="002060"/>
                <w:sz w:val="16"/>
                <w:szCs w:val="16"/>
              </w:rPr>
              <w:t xml:space="preserve"> </w:t>
            </w:r>
            <w:r w:rsidRPr="00405303">
              <w:rPr>
                <w:bCs/>
                <w:color w:val="002060"/>
                <w:sz w:val="16"/>
                <w:szCs w:val="16"/>
              </w:rPr>
              <w:t>в России для орудийных заводов и винтовочных патронов?</w:t>
            </w:r>
          </w:p>
        </w:tc>
        <w:tc>
          <w:tcPr>
            <w:tcW w:w="0" w:type="auto"/>
            <w:tcBorders>
              <w:top w:val="outset" w:sz="6" w:space="0" w:color="auto"/>
              <w:left w:val="outset" w:sz="6" w:space="0" w:color="auto"/>
              <w:bottom w:val="outset" w:sz="6" w:space="0" w:color="auto"/>
              <w:right w:val="outset" w:sz="6" w:space="0" w:color="auto"/>
            </w:tcBorders>
            <w:hideMark/>
          </w:tcPr>
          <w:p w14:paraId="3AA1FFBD" w14:textId="77777777" w:rsidR="00D42D7C" w:rsidRPr="00405303" w:rsidRDefault="00D42D7C" w:rsidP="00C15251">
            <w:pPr>
              <w:numPr>
                <w:ilvl w:val="0"/>
                <w:numId w:val="2"/>
              </w:numPr>
              <w:overflowPunct/>
              <w:autoSpaceDE/>
              <w:autoSpaceDN/>
              <w:adjustRightInd/>
              <w:ind w:left="0" w:firstLine="0"/>
              <w:jc w:val="both"/>
              <w:textAlignment w:val="auto"/>
              <w:rPr>
                <w:bCs/>
                <w:color w:val="002060"/>
                <w:sz w:val="16"/>
                <w:szCs w:val="16"/>
              </w:rPr>
            </w:pPr>
            <w:r w:rsidRPr="00405303">
              <w:rPr>
                <w:bCs/>
                <w:color w:val="002060"/>
                <w:sz w:val="16"/>
                <w:szCs w:val="16"/>
              </w:rPr>
              <w:t>Порох для военного ведомства изготовляют заводы Казанский, Шостенский, Охтенский и частный Шлиссельбургский.</w:t>
            </w:r>
          </w:p>
          <w:p w14:paraId="73DCB9EB" w14:textId="3D7AA479" w:rsidR="00D42D7C" w:rsidRPr="00405303" w:rsidRDefault="00D42D7C" w:rsidP="00C15251">
            <w:pPr>
              <w:pStyle w:val="ae"/>
              <w:spacing w:before="0" w:beforeAutospacing="0" w:after="0" w:afterAutospacing="0"/>
              <w:jc w:val="both"/>
              <w:rPr>
                <w:bCs/>
                <w:color w:val="002060"/>
                <w:sz w:val="16"/>
                <w:szCs w:val="16"/>
              </w:rPr>
            </w:pPr>
            <w:r w:rsidRPr="00405303">
              <w:rPr>
                <w:bCs/>
                <w:color w:val="002060"/>
                <w:sz w:val="16"/>
                <w:szCs w:val="16"/>
                <w:u w:val="single"/>
              </w:rPr>
              <w:t>Ежемесячно</w:t>
            </w:r>
            <w:r w:rsidRPr="00405303">
              <w:rPr>
                <w:bCs/>
                <w:color w:val="002060"/>
                <w:sz w:val="16"/>
                <w:szCs w:val="16"/>
                <w:vertAlign w:val="superscript"/>
              </w:rPr>
              <w:t>**</w:t>
            </w:r>
            <w:r w:rsidR="00DB4D64" w:rsidRPr="00405303">
              <w:rPr>
                <w:bCs/>
                <w:color w:val="002060"/>
                <w:sz w:val="16"/>
                <w:szCs w:val="16"/>
              </w:rPr>
              <w:t xml:space="preserve"> </w:t>
            </w:r>
            <w:r w:rsidRPr="00405303">
              <w:rPr>
                <w:bCs/>
                <w:color w:val="002060"/>
                <w:sz w:val="16"/>
                <w:szCs w:val="16"/>
              </w:rPr>
              <w:t>заводы подают следующее количество пороха</w:t>
            </w:r>
          </w:p>
          <w:tbl>
            <w:tblPr>
              <w:tblpPr w:leftFromText="45" w:rightFromText="45" w:vertAnchor="text"/>
              <w:tblW w:w="0" w:type="auto"/>
              <w:tblCellSpacing w:w="15" w:type="dxa"/>
              <w:tblCellMar>
                <w:left w:w="0" w:type="dxa"/>
                <w:right w:w="0" w:type="dxa"/>
              </w:tblCellMar>
              <w:tblLook w:val="04A0" w:firstRow="1" w:lastRow="0" w:firstColumn="1" w:lastColumn="0" w:noHBand="0" w:noVBand="1"/>
            </w:tblPr>
            <w:tblGrid>
              <w:gridCol w:w="1365"/>
              <w:gridCol w:w="190"/>
              <w:gridCol w:w="848"/>
            </w:tblGrid>
            <w:tr w:rsidR="00D42D7C" w:rsidRPr="00405303" w14:paraId="26B39F95" w14:textId="77777777" w:rsidTr="007066FE">
              <w:trPr>
                <w:tblCellSpacing w:w="15" w:type="dxa"/>
              </w:trPr>
              <w:tc>
                <w:tcPr>
                  <w:tcW w:w="0" w:type="auto"/>
                  <w:vAlign w:val="center"/>
                  <w:hideMark/>
                </w:tcPr>
                <w:p w14:paraId="75D5586A" w14:textId="77777777" w:rsidR="00D42D7C" w:rsidRPr="00405303" w:rsidRDefault="00D42D7C" w:rsidP="00C15251">
                  <w:pPr>
                    <w:jc w:val="both"/>
                    <w:rPr>
                      <w:bCs/>
                      <w:color w:val="002060"/>
                      <w:sz w:val="16"/>
                      <w:szCs w:val="16"/>
                    </w:rPr>
                  </w:pPr>
                  <w:r w:rsidRPr="00405303">
                    <w:rPr>
                      <w:bCs/>
                      <w:color w:val="002060"/>
                      <w:sz w:val="16"/>
                      <w:szCs w:val="16"/>
                    </w:rPr>
                    <w:t>Казанский</w:t>
                  </w:r>
                </w:p>
              </w:tc>
              <w:tc>
                <w:tcPr>
                  <w:tcW w:w="0" w:type="auto"/>
                  <w:vAlign w:val="center"/>
                  <w:hideMark/>
                </w:tcPr>
                <w:p w14:paraId="14ADD804" w14:textId="77777777" w:rsidR="00D42D7C" w:rsidRPr="00405303" w:rsidRDefault="00D42D7C" w:rsidP="00C15251">
                  <w:pPr>
                    <w:jc w:val="both"/>
                    <w:rPr>
                      <w:bCs/>
                      <w:color w:val="002060"/>
                      <w:sz w:val="16"/>
                      <w:szCs w:val="16"/>
                    </w:rPr>
                  </w:pPr>
                  <w:r w:rsidRPr="00405303">
                    <w:rPr>
                      <w:bCs/>
                      <w:color w:val="002060"/>
                      <w:sz w:val="16"/>
                      <w:szCs w:val="16"/>
                    </w:rPr>
                    <w:t>—</w:t>
                  </w:r>
                </w:p>
              </w:tc>
              <w:tc>
                <w:tcPr>
                  <w:tcW w:w="0" w:type="auto"/>
                  <w:vAlign w:val="center"/>
                  <w:hideMark/>
                </w:tcPr>
                <w:p w14:paraId="6C44CE84" w14:textId="39EDE3B7" w:rsidR="00D42D7C" w:rsidRPr="00405303" w:rsidRDefault="00D42D7C" w:rsidP="00C15251">
                  <w:pPr>
                    <w:jc w:val="both"/>
                    <w:rPr>
                      <w:bCs/>
                      <w:color w:val="002060"/>
                      <w:sz w:val="16"/>
                      <w:szCs w:val="16"/>
                    </w:rPr>
                  </w:pPr>
                  <w:r w:rsidRPr="00405303">
                    <w:rPr>
                      <w:bCs/>
                      <w:color w:val="002060"/>
                      <w:sz w:val="16"/>
                      <w:szCs w:val="16"/>
                    </w:rPr>
                    <w:t>9</w:t>
                  </w:r>
                  <w:r w:rsidR="00DB4D64" w:rsidRPr="00405303">
                    <w:rPr>
                      <w:bCs/>
                      <w:color w:val="002060"/>
                      <w:sz w:val="16"/>
                      <w:szCs w:val="16"/>
                    </w:rPr>
                    <w:t xml:space="preserve"> </w:t>
                  </w:r>
                  <w:r w:rsidRPr="00405303">
                    <w:rPr>
                      <w:bCs/>
                      <w:color w:val="002060"/>
                      <w:sz w:val="16"/>
                      <w:szCs w:val="16"/>
                    </w:rPr>
                    <w:t>875 пудов</w:t>
                  </w:r>
                </w:p>
              </w:tc>
            </w:tr>
            <w:tr w:rsidR="00D42D7C" w:rsidRPr="00405303" w14:paraId="1B2321C6" w14:textId="77777777" w:rsidTr="007066FE">
              <w:trPr>
                <w:tblCellSpacing w:w="15" w:type="dxa"/>
              </w:trPr>
              <w:tc>
                <w:tcPr>
                  <w:tcW w:w="0" w:type="auto"/>
                  <w:vAlign w:val="center"/>
                  <w:hideMark/>
                </w:tcPr>
                <w:p w14:paraId="53FDD3E5" w14:textId="77777777" w:rsidR="00D42D7C" w:rsidRPr="00405303" w:rsidRDefault="00D42D7C" w:rsidP="00C15251">
                  <w:pPr>
                    <w:jc w:val="both"/>
                    <w:rPr>
                      <w:bCs/>
                      <w:color w:val="002060"/>
                      <w:sz w:val="16"/>
                      <w:szCs w:val="16"/>
                    </w:rPr>
                  </w:pPr>
                  <w:r w:rsidRPr="00405303">
                    <w:rPr>
                      <w:bCs/>
                      <w:color w:val="002060"/>
                      <w:sz w:val="16"/>
                      <w:szCs w:val="16"/>
                    </w:rPr>
                    <w:t>Шостенский</w:t>
                  </w:r>
                </w:p>
              </w:tc>
              <w:tc>
                <w:tcPr>
                  <w:tcW w:w="0" w:type="auto"/>
                  <w:vAlign w:val="center"/>
                  <w:hideMark/>
                </w:tcPr>
                <w:p w14:paraId="4BB6DDF2" w14:textId="77777777" w:rsidR="00D42D7C" w:rsidRPr="00405303" w:rsidRDefault="00D42D7C" w:rsidP="00C15251">
                  <w:pPr>
                    <w:jc w:val="both"/>
                    <w:rPr>
                      <w:bCs/>
                      <w:color w:val="002060"/>
                      <w:sz w:val="16"/>
                      <w:szCs w:val="16"/>
                    </w:rPr>
                  </w:pPr>
                  <w:r w:rsidRPr="00405303">
                    <w:rPr>
                      <w:bCs/>
                      <w:color w:val="002060"/>
                      <w:sz w:val="16"/>
                      <w:szCs w:val="16"/>
                    </w:rPr>
                    <w:t>—</w:t>
                  </w:r>
                </w:p>
              </w:tc>
              <w:tc>
                <w:tcPr>
                  <w:tcW w:w="0" w:type="auto"/>
                  <w:vAlign w:val="center"/>
                  <w:hideMark/>
                </w:tcPr>
                <w:p w14:paraId="416D5A04" w14:textId="47AAC43D" w:rsidR="00D42D7C" w:rsidRPr="00405303" w:rsidRDefault="00D42D7C" w:rsidP="00C15251">
                  <w:pPr>
                    <w:jc w:val="both"/>
                    <w:rPr>
                      <w:bCs/>
                      <w:color w:val="002060"/>
                      <w:sz w:val="16"/>
                      <w:szCs w:val="16"/>
                    </w:rPr>
                  </w:pPr>
                  <w:r w:rsidRPr="00405303">
                    <w:rPr>
                      <w:bCs/>
                      <w:color w:val="002060"/>
                      <w:sz w:val="16"/>
                      <w:szCs w:val="16"/>
                    </w:rPr>
                    <w:t>11</w:t>
                  </w:r>
                  <w:r w:rsidR="00DB4D64" w:rsidRPr="00405303">
                    <w:rPr>
                      <w:bCs/>
                      <w:color w:val="002060"/>
                      <w:sz w:val="16"/>
                      <w:szCs w:val="16"/>
                    </w:rPr>
                    <w:t xml:space="preserve"> </w:t>
                  </w:r>
                  <w:proofErr w:type="gramStart"/>
                  <w:r w:rsidRPr="00405303">
                    <w:rPr>
                      <w:bCs/>
                      <w:color w:val="002060"/>
                      <w:sz w:val="16"/>
                      <w:szCs w:val="16"/>
                    </w:rPr>
                    <w:t>000</w:t>
                  </w:r>
                  <w:r w:rsidR="000F5756">
                    <w:rPr>
                      <w:bCs/>
                      <w:color w:val="002060"/>
                      <w:sz w:val="16"/>
                      <w:szCs w:val="16"/>
                    </w:rPr>
                    <w:t xml:space="preserve"> </w:t>
                  </w:r>
                  <w:r w:rsidR="00DB4D64" w:rsidRPr="00405303">
                    <w:rPr>
                      <w:bCs/>
                      <w:color w:val="002060"/>
                      <w:sz w:val="16"/>
                      <w:szCs w:val="16"/>
                    </w:rPr>
                    <w:t xml:space="preserve"> </w:t>
                  </w:r>
                  <w:r w:rsidRPr="00405303">
                    <w:rPr>
                      <w:bCs/>
                      <w:color w:val="002060"/>
                      <w:sz w:val="16"/>
                      <w:szCs w:val="16"/>
                    </w:rPr>
                    <w:t>»</w:t>
                  </w:r>
                  <w:proofErr w:type="gramEnd"/>
                </w:p>
              </w:tc>
            </w:tr>
            <w:tr w:rsidR="00D42D7C" w:rsidRPr="00405303" w14:paraId="0B5F6397" w14:textId="77777777" w:rsidTr="007066FE">
              <w:trPr>
                <w:tblCellSpacing w:w="15" w:type="dxa"/>
              </w:trPr>
              <w:tc>
                <w:tcPr>
                  <w:tcW w:w="0" w:type="auto"/>
                  <w:noWrap/>
                  <w:vAlign w:val="center"/>
                  <w:hideMark/>
                </w:tcPr>
                <w:p w14:paraId="2DD365FF" w14:textId="77777777" w:rsidR="00D42D7C" w:rsidRPr="00405303" w:rsidRDefault="00D42D7C" w:rsidP="00C15251">
                  <w:pPr>
                    <w:jc w:val="both"/>
                    <w:rPr>
                      <w:bCs/>
                      <w:color w:val="002060"/>
                      <w:sz w:val="16"/>
                      <w:szCs w:val="16"/>
                    </w:rPr>
                  </w:pPr>
                  <w:r w:rsidRPr="00405303">
                    <w:rPr>
                      <w:bCs/>
                      <w:color w:val="002060"/>
                      <w:sz w:val="16"/>
                      <w:szCs w:val="16"/>
                    </w:rPr>
                    <w:t>Охтенский</w:t>
                  </w:r>
                </w:p>
              </w:tc>
              <w:tc>
                <w:tcPr>
                  <w:tcW w:w="0" w:type="auto"/>
                  <w:noWrap/>
                  <w:vAlign w:val="center"/>
                  <w:hideMark/>
                </w:tcPr>
                <w:p w14:paraId="21FCC2E7" w14:textId="77777777" w:rsidR="00D42D7C" w:rsidRPr="00405303" w:rsidRDefault="00D42D7C" w:rsidP="00C15251">
                  <w:pPr>
                    <w:jc w:val="both"/>
                    <w:rPr>
                      <w:bCs/>
                      <w:color w:val="002060"/>
                      <w:sz w:val="16"/>
                      <w:szCs w:val="16"/>
                    </w:rPr>
                  </w:pPr>
                  <w:r w:rsidRPr="00405303">
                    <w:rPr>
                      <w:bCs/>
                      <w:color w:val="002060"/>
                      <w:sz w:val="16"/>
                      <w:szCs w:val="16"/>
                    </w:rPr>
                    <w:t>—</w:t>
                  </w:r>
                </w:p>
              </w:tc>
              <w:tc>
                <w:tcPr>
                  <w:tcW w:w="0" w:type="auto"/>
                  <w:noWrap/>
                  <w:vAlign w:val="center"/>
                  <w:hideMark/>
                </w:tcPr>
                <w:p w14:paraId="78CDD488" w14:textId="4BAB02F8" w:rsidR="00D42D7C" w:rsidRPr="00405303" w:rsidRDefault="00D42D7C" w:rsidP="00C15251">
                  <w:pPr>
                    <w:jc w:val="both"/>
                    <w:rPr>
                      <w:bCs/>
                      <w:color w:val="002060"/>
                      <w:sz w:val="16"/>
                      <w:szCs w:val="16"/>
                    </w:rPr>
                  </w:pPr>
                  <w:r w:rsidRPr="00405303">
                    <w:rPr>
                      <w:bCs/>
                      <w:color w:val="002060"/>
                      <w:sz w:val="16"/>
                      <w:szCs w:val="16"/>
                    </w:rPr>
                    <w:t>9</w:t>
                  </w:r>
                  <w:r w:rsidR="00DB4D64" w:rsidRPr="00405303">
                    <w:rPr>
                      <w:bCs/>
                      <w:color w:val="002060"/>
                      <w:sz w:val="16"/>
                      <w:szCs w:val="16"/>
                    </w:rPr>
                    <w:t xml:space="preserve"> </w:t>
                  </w:r>
                  <w:proofErr w:type="gramStart"/>
                  <w:r w:rsidRPr="00405303">
                    <w:rPr>
                      <w:bCs/>
                      <w:color w:val="002060"/>
                      <w:sz w:val="16"/>
                      <w:szCs w:val="16"/>
                    </w:rPr>
                    <w:t>350</w:t>
                  </w:r>
                  <w:r w:rsidR="000F5756">
                    <w:rPr>
                      <w:bCs/>
                      <w:color w:val="002060"/>
                      <w:sz w:val="16"/>
                      <w:szCs w:val="16"/>
                    </w:rPr>
                    <w:t xml:space="preserve"> </w:t>
                  </w:r>
                  <w:r w:rsidR="00DB4D64" w:rsidRPr="00405303">
                    <w:rPr>
                      <w:bCs/>
                      <w:color w:val="002060"/>
                      <w:sz w:val="16"/>
                      <w:szCs w:val="16"/>
                    </w:rPr>
                    <w:t xml:space="preserve"> </w:t>
                  </w:r>
                  <w:r w:rsidRPr="00405303">
                    <w:rPr>
                      <w:bCs/>
                      <w:color w:val="002060"/>
                      <w:sz w:val="16"/>
                      <w:szCs w:val="16"/>
                    </w:rPr>
                    <w:t>»</w:t>
                  </w:r>
                  <w:proofErr w:type="gramEnd"/>
                </w:p>
              </w:tc>
            </w:tr>
            <w:tr w:rsidR="00D42D7C" w:rsidRPr="00405303" w14:paraId="39A1502C" w14:textId="77777777" w:rsidTr="007066FE">
              <w:trPr>
                <w:tblCellSpacing w:w="15" w:type="dxa"/>
              </w:trPr>
              <w:tc>
                <w:tcPr>
                  <w:tcW w:w="0" w:type="auto"/>
                  <w:noWrap/>
                  <w:vAlign w:val="center"/>
                  <w:hideMark/>
                </w:tcPr>
                <w:p w14:paraId="657C46D5" w14:textId="77777777" w:rsidR="00D42D7C" w:rsidRPr="00405303" w:rsidRDefault="00D42D7C" w:rsidP="00C15251">
                  <w:pPr>
                    <w:jc w:val="both"/>
                    <w:rPr>
                      <w:bCs/>
                      <w:color w:val="002060"/>
                      <w:sz w:val="16"/>
                      <w:szCs w:val="16"/>
                    </w:rPr>
                  </w:pPr>
                  <w:r w:rsidRPr="00405303">
                    <w:rPr>
                      <w:bCs/>
                      <w:color w:val="002060"/>
                      <w:sz w:val="16"/>
                      <w:szCs w:val="16"/>
                    </w:rPr>
                    <w:t>Шлиссельбургский</w:t>
                  </w:r>
                </w:p>
              </w:tc>
              <w:tc>
                <w:tcPr>
                  <w:tcW w:w="0" w:type="auto"/>
                  <w:noWrap/>
                  <w:vAlign w:val="center"/>
                  <w:hideMark/>
                </w:tcPr>
                <w:p w14:paraId="6BB6554F" w14:textId="77777777" w:rsidR="00D42D7C" w:rsidRPr="00405303" w:rsidRDefault="00D42D7C" w:rsidP="00C15251">
                  <w:pPr>
                    <w:jc w:val="both"/>
                    <w:rPr>
                      <w:bCs/>
                      <w:color w:val="002060"/>
                      <w:sz w:val="16"/>
                      <w:szCs w:val="16"/>
                    </w:rPr>
                  </w:pPr>
                  <w:r w:rsidRPr="00405303">
                    <w:rPr>
                      <w:bCs/>
                      <w:color w:val="002060"/>
                      <w:sz w:val="16"/>
                      <w:szCs w:val="16"/>
                    </w:rPr>
                    <w:t>—</w:t>
                  </w:r>
                </w:p>
              </w:tc>
              <w:tc>
                <w:tcPr>
                  <w:tcW w:w="0" w:type="auto"/>
                  <w:noWrap/>
                  <w:vAlign w:val="center"/>
                  <w:hideMark/>
                </w:tcPr>
                <w:p w14:paraId="4CF3A22C" w14:textId="1343EC34" w:rsidR="00D42D7C" w:rsidRPr="00405303" w:rsidRDefault="00D42D7C" w:rsidP="00C15251">
                  <w:pPr>
                    <w:jc w:val="both"/>
                    <w:rPr>
                      <w:bCs/>
                      <w:color w:val="002060"/>
                      <w:sz w:val="16"/>
                      <w:szCs w:val="16"/>
                    </w:rPr>
                  </w:pPr>
                  <w:r w:rsidRPr="00405303">
                    <w:rPr>
                      <w:bCs/>
                      <w:color w:val="002060"/>
                      <w:sz w:val="16"/>
                      <w:szCs w:val="16"/>
                    </w:rPr>
                    <w:t>5</w:t>
                  </w:r>
                  <w:r w:rsidR="00DB4D64" w:rsidRPr="00405303">
                    <w:rPr>
                      <w:bCs/>
                      <w:color w:val="002060"/>
                      <w:sz w:val="16"/>
                      <w:szCs w:val="16"/>
                    </w:rPr>
                    <w:t xml:space="preserve"> </w:t>
                  </w:r>
                  <w:proofErr w:type="gramStart"/>
                  <w:r w:rsidRPr="00405303">
                    <w:rPr>
                      <w:bCs/>
                      <w:color w:val="002060"/>
                      <w:sz w:val="16"/>
                      <w:szCs w:val="16"/>
                    </w:rPr>
                    <w:t>000</w:t>
                  </w:r>
                  <w:r w:rsidR="000F5756">
                    <w:rPr>
                      <w:bCs/>
                      <w:color w:val="002060"/>
                      <w:sz w:val="16"/>
                      <w:szCs w:val="16"/>
                    </w:rPr>
                    <w:t xml:space="preserve"> </w:t>
                  </w:r>
                  <w:r w:rsidR="00DB4D64" w:rsidRPr="00405303">
                    <w:rPr>
                      <w:bCs/>
                      <w:color w:val="002060"/>
                      <w:sz w:val="16"/>
                      <w:szCs w:val="16"/>
                    </w:rPr>
                    <w:t xml:space="preserve"> </w:t>
                  </w:r>
                  <w:r w:rsidRPr="00405303">
                    <w:rPr>
                      <w:bCs/>
                      <w:color w:val="002060"/>
                      <w:sz w:val="16"/>
                      <w:szCs w:val="16"/>
                    </w:rPr>
                    <w:t>»</w:t>
                  </w:r>
                  <w:proofErr w:type="gramEnd"/>
                </w:p>
              </w:tc>
            </w:tr>
            <w:tr w:rsidR="00D42D7C" w:rsidRPr="00405303" w14:paraId="57D4DA33" w14:textId="77777777" w:rsidTr="007066FE">
              <w:trPr>
                <w:tblCellSpacing w:w="15" w:type="dxa"/>
              </w:trPr>
              <w:tc>
                <w:tcPr>
                  <w:tcW w:w="0" w:type="auto"/>
                  <w:gridSpan w:val="3"/>
                  <w:noWrap/>
                  <w:vAlign w:val="center"/>
                  <w:hideMark/>
                </w:tcPr>
                <w:p w14:paraId="7C8D67D2" w14:textId="77777777" w:rsidR="00D42D7C" w:rsidRPr="00405303" w:rsidRDefault="00000000" w:rsidP="00C15251">
                  <w:pPr>
                    <w:jc w:val="both"/>
                    <w:rPr>
                      <w:bCs/>
                      <w:color w:val="002060"/>
                      <w:sz w:val="16"/>
                      <w:szCs w:val="16"/>
                    </w:rPr>
                  </w:pPr>
                  <w:r>
                    <w:rPr>
                      <w:bCs/>
                      <w:color w:val="002060"/>
                      <w:sz w:val="16"/>
                      <w:szCs w:val="16"/>
                    </w:rPr>
                    <w:pict w14:anchorId="32391B14">
                      <v:rect id="_x0000_i1025" style="width:0;height:1.5pt" o:hralign="center" o:hrstd="t" o:hr="t" fillcolor="#d4d4d4" stroked="f"/>
                    </w:pict>
                  </w:r>
                </w:p>
              </w:tc>
            </w:tr>
            <w:tr w:rsidR="00D42D7C" w:rsidRPr="00405303" w14:paraId="1D39ADD0" w14:textId="77777777" w:rsidTr="007066FE">
              <w:trPr>
                <w:tblCellSpacing w:w="15" w:type="dxa"/>
              </w:trPr>
              <w:tc>
                <w:tcPr>
                  <w:tcW w:w="0" w:type="auto"/>
                  <w:noWrap/>
                  <w:vAlign w:val="center"/>
                  <w:hideMark/>
                </w:tcPr>
                <w:p w14:paraId="1BC3BA8F" w14:textId="77777777" w:rsidR="00D42D7C" w:rsidRPr="00405303" w:rsidRDefault="00D42D7C" w:rsidP="00C15251">
                  <w:pPr>
                    <w:jc w:val="both"/>
                    <w:rPr>
                      <w:bCs/>
                      <w:color w:val="002060"/>
                      <w:sz w:val="16"/>
                      <w:szCs w:val="16"/>
                    </w:rPr>
                  </w:pPr>
                  <w:r w:rsidRPr="00405303">
                    <w:rPr>
                      <w:bCs/>
                      <w:color w:val="002060"/>
                      <w:sz w:val="16"/>
                      <w:szCs w:val="16"/>
                      <w:u w:val="single"/>
                    </w:rPr>
                    <w:t>Всего</w:t>
                  </w:r>
                </w:p>
              </w:tc>
              <w:tc>
                <w:tcPr>
                  <w:tcW w:w="0" w:type="auto"/>
                  <w:gridSpan w:val="2"/>
                  <w:noWrap/>
                  <w:vAlign w:val="center"/>
                  <w:hideMark/>
                </w:tcPr>
                <w:p w14:paraId="3ED8C63B" w14:textId="77777777" w:rsidR="00D42D7C" w:rsidRPr="00405303" w:rsidRDefault="00D42D7C" w:rsidP="00C15251">
                  <w:pPr>
                    <w:jc w:val="both"/>
                    <w:rPr>
                      <w:bCs/>
                      <w:color w:val="002060"/>
                      <w:sz w:val="16"/>
                      <w:szCs w:val="16"/>
                    </w:rPr>
                  </w:pPr>
                  <w:r w:rsidRPr="00405303">
                    <w:rPr>
                      <w:bCs/>
                      <w:color w:val="002060"/>
                      <w:sz w:val="16"/>
                      <w:szCs w:val="16"/>
                    </w:rPr>
                    <w:t>35 225 пудов</w:t>
                  </w:r>
                </w:p>
              </w:tc>
            </w:tr>
          </w:tbl>
          <w:p w14:paraId="48CDB903" w14:textId="77777777" w:rsidR="00D42D7C" w:rsidRPr="00405303" w:rsidRDefault="00D42D7C" w:rsidP="00C15251">
            <w:pPr>
              <w:jc w:val="both"/>
              <w:rPr>
                <w:bCs/>
                <w:color w:val="002060"/>
                <w:sz w:val="16"/>
                <w:szCs w:val="16"/>
              </w:rPr>
            </w:pPr>
          </w:p>
        </w:tc>
      </w:tr>
      <w:tr w:rsidR="00D42D7C" w:rsidRPr="00405303" w14:paraId="21BE84BC" w14:textId="77777777" w:rsidTr="007066FE">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7B42CF4D" w14:textId="77777777" w:rsidR="00D42D7C" w:rsidRPr="00405303" w:rsidRDefault="00D42D7C" w:rsidP="00C15251">
            <w:pPr>
              <w:numPr>
                <w:ilvl w:val="0"/>
                <w:numId w:val="3"/>
              </w:numPr>
              <w:overflowPunct/>
              <w:autoSpaceDE/>
              <w:autoSpaceDN/>
              <w:adjustRightInd/>
              <w:ind w:left="0" w:firstLine="0"/>
              <w:jc w:val="both"/>
              <w:textAlignment w:val="auto"/>
              <w:rPr>
                <w:bCs/>
                <w:color w:val="002060"/>
                <w:sz w:val="16"/>
                <w:szCs w:val="16"/>
              </w:rPr>
            </w:pPr>
            <w:r w:rsidRPr="00405303">
              <w:rPr>
                <w:bCs/>
                <w:color w:val="002060"/>
                <w:sz w:val="16"/>
                <w:szCs w:val="16"/>
              </w:rPr>
              <w:t>Какого количества пороха при усиленном изготовлении шрапнелей и гранат по заказам их, уже данным по настоящее время, не будет хватать для их снаряжения и где предполагается получить недостающий порох?</w:t>
            </w:r>
          </w:p>
        </w:tc>
        <w:tc>
          <w:tcPr>
            <w:tcW w:w="0" w:type="auto"/>
            <w:tcBorders>
              <w:top w:val="outset" w:sz="6" w:space="0" w:color="auto"/>
              <w:left w:val="outset" w:sz="6" w:space="0" w:color="auto"/>
              <w:bottom w:val="outset" w:sz="6" w:space="0" w:color="auto"/>
              <w:right w:val="outset" w:sz="6" w:space="0" w:color="auto"/>
            </w:tcBorders>
            <w:hideMark/>
          </w:tcPr>
          <w:p w14:paraId="4D17B66E" w14:textId="76022961" w:rsidR="00D42D7C" w:rsidRPr="00405303" w:rsidRDefault="00D42D7C" w:rsidP="00C15251">
            <w:pPr>
              <w:numPr>
                <w:ilvl w:val="0"/>
                <w:numId w:val="4"/>
              </w:numPr>
              <w:overflowPunct/>
              <w:autoSpaceDE/>
              <w:autoSpaceDN/>
              <w:adjustRightInd/>
              <w:ind w:left="0" w:firstLine="0"/>
              <w:jc w:val="both"/>
              <w:textAlignment w:val="auto"/>
              <w:rPr>
                <w:bCs/>
                <w:color w:val="002060"/>
                <w:sz w:val="16"/>
                <w:szCs w:val="16"/>
              </w:rPr>
            </w:pPr>
            <w:r w:rsidRPr="00405303">
              <w:rPr>
                <w:bCs/>
                <w:color w:val="002060"/>
                <w:sz w:val="16"/>
                <w:szCs w:val="16"/>
              </w:rPr>
              <w:t>Получаемый от наших заводов пушечный порох в количестве около 275</w:t>
            </w:r>
            <w:r w:rsidR="00DB4D64" w:rsidRPr="00405303">
              <w:rPr>
                <w:bCs/>
                <w:color w:val="002060"/>
                <w:sz w:val="16"/>
                <w:szCs w:val="16"/>
              </w:rPr>
              <w:t xml:space="preserve"> </w:t>
            </w:r>
            <w:r w:rsidRPr="00405303">
              <w:rPr>
                <w:bCs/>
                <w:color w:val="002060"/>
                <w:sz w:val="16"/>
                <w:szCs w:val="16"/>
              </w:rPr>
              <w:t>000 пудов в год даст возможность приготовить около 4,5 млн. выстрелов полевой артиллерии. Для использования 7¾ млн. трехдюймовых полевых снарядов, изготовление которых в годичный срок желают принять и большей частью уже приняли русские заводы, потребуется около 480</w:t>
            </w:r>
            <w:r w:rsidR="00DB4D64" w:rsidRPr="00405303">
              <w:rPr>
                <w:bCs/>
                <w:color w:val="002060"/>
                <w:sz w:val="16"/>
                <w:szCs w:val="16"/>
              </w:rPr>
              <w:t xml:space="preserve"> </w:t>
            </w:r>
            <w:r w:rsidRPr="00405303">
              <w:rPr>
                <w:bCs/>
                <w:color w:val="002060"/>
                <w:sz w:val="16"/>
                <w:szCs w:val="16"/>
              </w:rPr>
              <w:t>000 пуд пороха СП, а так как в тот же срок с казенных пороховых и Шлиссельбургского заводов поступит около 250</w:t>
            </w:r>
            <w:r w:rsidR="00DB4D64" w:rsidRPr="00405303">
              <w:rPr>
                <w:bCs/>
                <w:color w:val="002060"/>
                <w:sz w:val="16"/>
                <w:szCs w:val="16"/>
              </w:rPr>
              <w:t xml:space="preserve"> </w:t>
            </w:r>
            <w:r w:rsidRPr="00405303">
              <w:rPr>
                <w:bCs/>
                <w:color w:val="002060"/>
                <w:sz w:val="16"/>
                <w:szCs w:val="16"/>
              </w:rPr>
              <w:t>000 пуд. такого пороха, то надлежит приобрести дополнительно около 230</w:t>
            </w:r>
            <w:r w:rsidR="00DB4D64" w:rsidRPr="00405303">
              <w:rPr>
                <w:bCs/>
                <w:color w:val="002060"/>
                <w:sz w:val="16"/>
                <w:szCs w:val="16"/>
              </w:rPr>
              <w:t xml:space="preserve"> </w:t>
            </w:r>
            <w:r w:rsidRPr="00405303">
              <w:rPr>
                <w:bCs/>
                <w:color w:val="002060"/>
                <w:sz w:val="16"/>
                <w:szCs w:val="16"/>
              </w:rPr>
              <w:t>000 пуд. пороха СП, в счет требуемого количества ныне заказано Американскому заводу Дюпон 66</w:t>
            </w:r>
            <w:r w:rsidR="00DB4D64" w:rsidRPr="00405303">
              <w:rPr>
                <w:bCs/>
                <w:color w:val="002060"/>
                <w:sz w:val="16"/>
                <w:szCs w:val="16"/>
              </w:rPr>
              <w:t xml:space="preserve"> </w:t>
            </w:r>
            <w:r w:rsidRPr="00405303">
              <w:rPr>
                <w:bCs/>
                <w:color w:val="002060"/>
                <w:sz w:val="16"/>
                <w:szCs w:val="16"/>
              </w:rPr>
              <w:t>670 пуд. и ведутся переговоры о дополнительном заказе тому же заводу 166</w:t>
            </w:r>
            <w:r w:rsidR="00DB4D64" w:rsidRPr="00405303">
              <w:rPr>
                <w:bCs/>
                <w:color w:val="002060"/>
                <w:sz w:val="16"/>
                <w:szCs w:val="16"/>
              </w:rPr>
              <w:t xml:space="preserve"> </w:t>
            </w:r>
            <w:r w:rsidRPr="00405303">
              <w:rPr>
                <w:bCs/>
                <w:color w:val="002060"/>
                <w:sz w:val="16"/>
                <w:szCs w:val="16"/>
              </w:rPr>
              <w:t>000 пуд. пороха</w:t>
            </w:r>
          </w:p>
        </w:tc>
      </w:tr>
      <w:tr w:rsidR="00D42D7C" w:rsidRPr="00405303" w14:paraId="40B3746E" w14:textId="77777777" w:rsidTr="007066FE">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24F6F3EB" w14:textId="77777777" w:rsidR="00D42D7C" w:rsidRPr="00405303" w:rsidRDefault="00D42D7C" w:rsidP="00C15251">
            <w:pPr>
              <w:numPr>
                <w:ilvl w:val="0"/>
                <w:numId w:val="5"/>
              </w:numPr>
              <w:overflowPunct/>
              <w:autoSpaceDE/>
              <w:autoSpaceDN/>
              <w:adjustRightInd/>
              <w:ind w:left="0" w:firstLine="0"/>
              <w:jc w:val="both"/>
              <w:textAlignment w:val="auto"/>
              <w:rPr>
                <w:bCs/>
                <w:color w:val="002060"/>
                <w:sz w:val="16"/>
                <w:szCs w:val="16"/>
              </w:rPr>
            </w:pPr>
            <w:r w:rsidRPr="00405303">
              <w:rPr>
                <w:bCs/>
                <w:color w:val="002060"/>
                <w:sz w:val="16"/>
                <w:szCs w:val="16"/>
              </w:rPr>
              <w:t>Какое количество трубок для трехдюймовых шрапнелей изготовляется ежемесячно на трубочных заводах — Петроградском и Самарском — по каждому отдельно и какое количество трубок для трехдюймовых шрапнелей можно рассчитывать к получению от завода Барановского?</w:t>
            </w:r>
          </w:p>
        </w:tc>
        <w:tc>
          <w:tcPr>
            <w:tcW w:w="0" w:type="auto"/>
            <w:tcBorders>
              <w:top w:val="outset" w:sz="6" w:space="0" w:color="auto"/>
              <w:left w:val="outset" w:sz="6" w:space="0" w:color="auto"/>
              <w:bottom w:val="outset" w:sz="6" w:space="0" w:color="auto"/>
              <w:right w:val="outset" w:sz="6" w:space="0" w:color="auto"/>
            </w:tcBorders>
            <w:hideMark/>
          </w:tcPr>
          <w:p w14:paraId="30F84D1F" w14:textId="5F914FE1" w:rsidR="00D42D7C" w:rsidRPr="00405303" w:rsidRDefault="00D42D7C" w:rsidP="00C15251">
            <w:pPr>
              <w:numPr>
                <w:ilvl w:val="0"/>
                <w:numId w:val="6"/>
              </w:numPr>
              <w:overflowPunct/>
              <w:autoSpaceDE/>
              <w:autoSpaceDN/>
              <w:adjustRightInd/>
              <w:ind w:left="0" w:firstLine="0"/>
              <w:jc w:val="both"/>
              <w:textAlignment w:val="auto"/>
              <w:rPr>
                <w:bCs/>
                <w:color w:val="002060"/>
                <w:sz w:val="16"/>
                <w:szCs w:val="16"/>
              </w:rPr>
            </w:pPr>
            <w:r w:rsidRPr="00405303">
              <w:rPr>
                <w:bCs/>
                <w:color w:val="002060"/>
                <w:sz w:val="16"/>
                <w:szCs w:val="16"/>
              </w:rPr>
              <w:t>Трубки 22-сек. для трехдюймовых шрапнелей изготовляют Петроградский и Самарский трубочные заводы, первый по 140</w:t>
            </w:r>
            <w:r w:rsidR="00DB4D64" w:rsidRPr="00405303">
              <w:rPr>
                <w:bCs/>
                <w:color w:val="002060"/>
                <w:sz w:val="16"/>
                <w:szCs w:val="16"/>
              </w:rPr>
              <w:t xml:space="preserve"> </w:t>
            </w:r>
            <w:r w:rsidRPr="00405303">
              <w:rPr>
                <w:bCs/>
                <w:color w:val="002060"/>
                <w:sz w:val="16"/>
                <w:szCs w:val="16"/>
              </w:rPr>
              <w:t>000 штук и второй — по 120</w:t>
            </w:r>
            <w:r w:rsidR="00DB4D64" w:rsidRPr="00405303">
              <w:rPr>
                <w:bCs/>
                <w:color w:val="002060"/>
                <w:sz w:val="16"/>
                <w:szCs w:val="16"/>
              </w:rPr>
              <w:t xml:space="preserve"> </w:t>
            </w:r>
            <w:r w:rsidRPr="00405303">
              <w:rPr>
                <w:bCs/>
                <w:color w:val="002060"/>
                <w:sz w:val="16"/>
                <w:szCs w:val="16"/>
              </w:rPr>
              <w:t>000 трубок ежемесячно. Завод Барановского, принявший заказ на трубки для трехдюймовых шрапнелей, обязался подавать с января месяца по 35</w:t>
            </w:r>
            <w:r w:rsidR="00DB4D64" w:rsidRPr="00405303">
              <w:rPr>
                <w:bCs/>
                <w:color w:val="002060"/>
                <w:sz w:val="16"/>
                <w:szCs w:val="16"/>
              </w:rPr>
              <w:t xml:space="preserve"> </w:t>
            </w:r>
            <w:r w:rsidRPr="00405303">
              <w:rPr>
                <w:bCs/>
                <w:color w:val="002060"/>
                <w:sz w:val="16"/>
                <w:szCs w:val="16"/>
              </w:rPr>
              <w:t>000 штук в месяц.</w:t>
            </w:r>
          </w:p>
        </w:tc>
      </w:tr>
      <w:tr w:rsidR="00D42D7C" w:rsidRPr="00405303" w14:paraId="5D781B37" w14:textId="77777777" w:rsidTr="007066FE">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3F867574" w14:textId="77777777" w:rsidR="00D42D7C" w:rsidRPr="00405303" w:rsidRDefault="00D42D7C" w:rsidP="00C15251">
            <w:pPr>
              <w:numPr>
                <w:ilvl w:val="0"/>
                <w:numId w:val="7"/>
              </w:numPr>
              <w:overflowPunct/>
              <w:autoSpaceDE/>
              <w:autoSpaceDN/>
              <w:adjustRightInd/>
              <w:ind w:left="0" w:firstLine="0"/>
              <w:jc w:val="both"/>
              <w:textAlignment w:val="auto"/>
              <w:rPr>
                <w:bCs/>
                <w:color w:val="002060"/>
                <w:sz w:val="16"/>
                <w:szCs w:val="16"/>
              </w:rPr>
            </w:pPr>
            <w:r w:rsidRPr="00405303">
              <w:rPr>
                <w:bCs/>
                <w:color w:val="002060"/>
                <w:sz w:val="16"/>
                <w:szCs w:val="16"/>
              </w:rPr>
              <w:t xml:space="preserve">Кроме трубок с указанных заводов можно ли надеяться получить их с других заводов в России и за границей и если можно, то с каких именно и </w:t>
            </w:r>
            <w:proofErr w:type="gramStart"/>
            <w:r w:rsidRPr="00405303">
              <w:rPr>
                <w:bCs/>
                <w:color w:val="002060"/>
                <w:sz w:val="16"/>
                <w:szCs w:val="16"/>
              </w:rPr>
              <w:t>в каком количестве</w:t>
            </w:r>
            <w:proofErr w:type="gramEnd"/>
            <w:r w:rsidRPr="00405303">
              <w:rPr>
                <w:bCs/>
                <w:color w:val="002060"/>
                <w:sz w:val="16"/>
                <w:szCs w:val="16"/>
              </w:rPr>
              <w:t xml:space="preserve"> и в какие сроки?</w:t>
            </w:r>
          </w:p>
        </w:tc>
        <w:tc>
          <w:tcPr>
            <w:tcW w:w="0" w:type="auto"/>
            <w:tcBorders>
              <w:top w:val="outset" w:sz="6" w:space="0" w:color="auto"/>
              <w:left w:val="outset" w:sz="6" w:space="0" w:color="auto"/>
              <w:bottom w:val="outset" w:sz="6" w:space="0" w:color="auto"/>
              <w:right w:val="outset" w:sz="6" w:space="0" w:color="auto"/>
            </w:tcBorders>
            <w:hideMark/>
          </w:tcPr>
          <w:p w14:paraId="2454C6A6" w14:textId="28031C29" w:rsidR="00D42D7C" w:rsidRPr="00405303" w:rsidRDefault="00D42D7C" w:rsidP="00C15251">
            <w:pPr>
              <w:numPr>
                <w:ilvl w:val="0"/>
                <w:numId w:val="8"/>
              </w:numPr>
              <w:overflowPunct/>
              <w:autoSpaceDE/>
              <w:autoSpaceDN/>
              <w:adjustRightInd/>
              <w:ind w:left="0" w:firstLine="0"/>
              <w:jc w:val="both"/>
              <w:textAlignment w:val="auto"/>
              <w:rPr>
                <w:bCs/>
                <w:color w:val="002060"/>
                <w:sz w:val="16"/>
                <w:szCs w:val="16"/>
              </w:rPr>
            </w:pPr>
            <w:r w:rsidRPr="00405303">
              <w:rPr>
                <w:bCs/>
                <w:color w:val="002060"/>
                <w:sz w:val="16"/>
                <w:szCs w:val="16"/>
              </w:rPr>
              <w:t>Утверждены представления в Военный совет о заказе 22-сек. трубок.</w:t>
            </w:r>
            <w:r w:rsidR="00DB4D64" w:rsidRPr="00405303">
              <w:rPr>
                <w:bCs/>
                <w:color w:val="002060"/>
                <w:sz w:val="16"/>
                <w:szCs w:val="16"/>
              </w:rPr>
              <w:t xml:space="preserve"> </w:t>
            </w:r>
          </w:p>
          <w:p w14:paraId="63558A2C" w14:textId="64C4CF72" w:rsidR="00D42D7C" w:rsidRPr="00405303" w:rsidRDefault="00D42D7C" w:rsidP="00C15251">
            <w:pPr>
              <w:numPr>
                <w:ilvl w:val="0"/>
                <w:numId w:val="8"/>
              </w:numPr>
              <w:overflowPunct/>
              <w:autoSpaceDE/>
              <w:autoSpaceDN/>
              <w:adjustRightInd/>
              <w:ind w:left="0" w:firstLine="0"/>
              <w:jc w:val="both"/>
              <w:textAlignment w:val="auto"/>
              <w:rPr>
                <w:bCs/>
                <w:color w:val="002060"/>
                <w:sz w:val="16"/>
                <w:szCs w:val="16"/>
              </w:rPr>
            </w:pPr>
            <w:r w:rsidRPr="00405303">
              <w:rPr>
                <w:bCs/>
                <w:color w:val="002060"/>
                <w:sz w:val="16"/>
                <w:szCs w:val="16"/>
              </w:rPr>
              <w:t>1) заводу Столль в России в количестве 75</w:t>
            </w:r>
            <w:r w:rsidR="00DB4D64" w:rsidRPr="00405303">
              <w:rPr>
                <w:bCs/>
                <w:color w:val="002060"/>
                <w:sz w:val="16"/>
                <w:szCs w:val="16"/>
              </w:rPr>
              <w:t xml:space="preserve"> </w:t>
            </w:r>
            <w:r w:rsidRPr="00405303">
              <w:rPr>
                <w:bCs/>
                <w:color w:val="002060"/>
                <w:sz w:val="16"/>
                <w:szCs w:val="16"/>
              </w:rPr>
              <w:t>000 штук с поставкой с мая 1915 г. по 62</w:t>
            </w:r>
            <w:r w:rsidR="00DB4D64" w:rsidRPr="00405303">
              <w:rPr>
                <w:bCs/>
                <w:color w:val="002060"/>
                <w:sz w:val="16"/>
                <w:szCs w:val="16"/>
              </w:rPr>
              <w:t xml:space="preserve"> </w:t>
            </w:r>
            <w:r w:rsidRPr="00405303">
              <w:rPr>
                <w:bCs/>
                <w:color w:val="002060"/>
                <w:sz w:val="16"/>
                <w:szCs w:val="16"/>
              </w:rPr>
              <w:t>000 штук в месяц (положение Военного совета от 15 октября с. г.).</w:t>
            </w:r>
            <w:r w:rsidR="00DB4D64" w:rsidRPr="00405303">
              <w:rPr>
                <w:bCs/>
                <w:color w:val="002060"/>
                <w:sz w:val="16"/>
                <w:szCs w:val="16"/>
              </w:rPr>
              <w:t xml:space="preserve"> </w:t>
            </w:r>
          </w:p>
          <w:p w14:paraId="63A298D7" w14:textId="2E298BD0" w:rsidR="00D42D7C" w:rsidRPr="00405303" w:rsidRDefault="00D42D7C" w:rsidP="00C15251">
            <w:pPr>
              <w:numPr>
                <w:ilvl w:val="0"/>
                <w:numId w:val="8"/>
              </w:numPr>
              <w:overflowPunct/>
              <w:autoSpaceDE/>
              <w:autoSpaceDN/>
              <w:adjustRightInd/>
              <w:ind w:left="0" w:firstLine="0"/>
              <w:jc w:val="both"/>
              <w:textAlignment w:val="auto"/>
              <w:rPr>
                <w:bCs/>
                <w:color w:val="002060"/>
                <w:sz w:val="16"/>
                <w:szCs w:val="16"/>
              </w:rPr>
            </w:pPr>
            <w:r w:rsidRPr="00405303">
              <w:rPr>
                <w:bCs/>
                <w:color w:val="002060"/>
                <w:sz w:val="16"/>
                <w:szCs w:val="16"/>
              </w:rPr>
              <w:t>2) заводу Виккерса в Англии — 1 млн. трубок с апреля месяца 1915 г. по 120</w:t>
            </w:r>
            <w:r w:rsidR="00DB4D64" w:rsidRPr="00405303">
              <w:rPr>
                <w:bCs/>
                <w:color w:val="002060"/>
                <w:sz w:val="16"/>
                <w:szCs w:val="16"/>
              </w:rPr>
              <w:t xml:space="preserve"> </w:t>
            </w:r>
            <w:r w:rsidRPr="00405303">
              <w:rPr>
                <w:bCs/>
                <w:color w:val="002060"/>
                <w:sz w:val="16"/>
                <w:szCs w:val="16"/>
              </w:rPr>
              <w:t>000 штук в месяц (положение Военного совета от 16 октября с. г.)</w:t>
            </w:r>
            <w:r w:rsidR="00DB4D64" w:rsidRPr="00405303">
              <w:rPr>
                <w:bCs/>
                <w:color w:val="002060"/>
                <w:sz w:val="16"/>
                <w:szCs w:val="16"/>
              </w:rPr>
              <w:t xml:space="preserve"> </w:t>
            </w:r>
          </w:p>
          <w:p w14:paraId="6FCE6EA8" w14:textId="1D7AAA1E" w:rsidR="00D42D7C" w:rsidRPr="00405303" w:rsidRDefault="00D42D7C" w:rsidP="00C15251">
            <w:pPr>
              <w:numPr>
                <w:ilvl w:val="0"/>
                <w:numId w:val="8"/>
              </w:numPr>
              <w:overflowPunct/>
              <w:autoSpaceDE/>
              <w:autoSpaceDN/>
              <w:adjustRightInd/>
              <w:ind w:left="0" w:firstLine="0"/>
              <w:jc w:val="both"/>
              <w:textAlignment w:val="auto"/>
              <w:rPr>
                <w:bCs/>
                <w:color w:val="002060"/>
                <w:sz w:val="16"/>
                <w:szCs w:val="16"/>
              </w:rPr>
            </w:pPr>
            <w:r w:rsidRPr="00405303">
              <w:rPr>
                <w:bCs/>
                <w:color w:val="002060"/>
                <w:sz w:val="16"/>
                <w:szCs w:val="16"/>
              </w:rPr>
              <w:t>3) ведутся переговоры о заказе Виккерсу 2 млн. готовых частей патронов с трубками, но без зарядов и о заказе обществу «Промет» 1 млн. 22-сек. трубок с поставкой, начиная с августа 1915 г. по 25 000 штук трубок, т. е. к ноябрю 1915 г. только 75</w:t>
            </w:r>
            <w:r w:rsidR="00DB4D64" w:rsidRPr="00405303">
              <w:rPr>
                <w:bCs/>
                <w:color w:val="002060"/>
                <w:sz w:val="16"/>
                <w:szCs w:val="16"/>
              </w:rPr>
              <w:t xml:space="preserve"> </w:t>
            </w:r>
            <w:r w:rsidRPr="00405303">
              <w:rPr>
                <w:bCs/>
                <w:color w:val="002060"/>
                <w:sz w:val="16"/>
                <w:szCs w:val="16"/>
              </w:rPr>
              <w:t>000 трубок.</w:t>
            </w:r>
          </w:p>
        </w:tc>
      </w:tr>
      <w:tr w:rsidR="00D42D7C" w:rsidRPr="00405303" w14:paraId="7E9B4613" w14:textId="77777777" w:rsidTr="007066FE">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63B8F44E" w14:textId="77777777" w:rsidR="00D42D7C" w:rsidRPr="00405303" w:rsidRDefault="00D42D7C" w:rsidP="00C15251">
            <w:pPr>
              <w:numPr>
                <w:ilvl w:val="0"/>
                <w:numId w:val="9"/>
              </w:numPr>
              <w:overflowPunct/>
              <w:autoSpaceDE/>
              <w:autoSpaceDN/>
              <w:adjustRightInd/>
              <w:ind w:left="0" w:firstLine="0"/>
              <w:jc w:val="both"/>
              <w:textAlignment w:val="auto"/>
              <w:rPr>
                <w:bCs/>
                <w:color w:val="002060"/>
                <w:sz w:val="16"/>
                <w:szCs w:val="16"/>
              </w:rPr>
            </w:pPr>
            <w:r w:rsidRPr="00405303">
              <w:rPr>
                <w:bCs/>
                <w:color w:val="002060"/>
                <w:sz w:val="16"/>
                <w:szCs w:val="16"/>
              </w:rPr>
              <w:t>Ведомость о подлежащих сдаче русскими заводами трехдюймовых шрапнелей и гранат с сентября 1914 г. по октябрь 1915 г. включительно с указанием по каждому заводу отдельно, помесячно, количества сдаваемых шрапнелей и гранат.</w:t>
            </w:r>
          </w:p>
        </w:tc>
        <w:tc>
          <w:tcPr>
            <w:tcW w:w="0" w:type="auto"/>
            <w:tcBorders>
              <w:top w:val="outset" w:sz="6" w:space="0" w:color="auto"/>
              <w:left w:val="outset" w:sz="6" w:space="0" w:color="auto"/>
              <w:bottom w:val="outset" w:sz="6" w:space="0" w:color="auto"/>
              <w:right w:val="outset" w:sz="6" w:space="0" w:color="auto"/>
            </w:tcBorders>
            <w:hideMark/>
          </w:tcPr>
          <w:p w14:paraId="498140AF" w14:textId="77777777" w:rsidR="00D42D7C" w:rsidRPr="00405303" w:rsidRDefault="00D42D7C" w:rsidP="00C15251">
            <w:pPr>
              <w:numPr>
                <w:ilvl w:val="0"/>
                <w:numId w:val="10"/>
              </w:numPr>
              <w:overflowPunct/>
              <w:autoSpaceDE/>
              <w:autoSpaceDN/>
              <w:adjustRightInd/>
              <w:ind w:left="0" w:firstLine="0"/>
              <w:jc w:val="both"/>
              <w:textAlignment w:val="auto"/>
              <w:rPr>
                <w:bCs/>
                <w:color w:val="002060"/>
                <w:sz w:val="16"/>
                <w:szCs w:val="16"/>
              </w:rPr>
            </w:pPr>
            <w:r w:rsidRPr="00405303">
              <w:rPr>
                <w:bCs/>
                <w:color w:val="002060"/>
                <w:sz w:val="16"/>
                <w:szCs w:val="16"/>
              </w:rPr>
              <w:t>Ведомость при сем прилагается</w:t>
            </w:r>
            <w:r w:rsidRPr="00405303">
              <w:rPr>
                <w:bCs/>
                <w:color w:val="002060"/>
                <w:sz w:val="16"/>
                <w:szCs w:val="16"/>
                <w:vertAlign w:val="superscript"/>
              </w:rPr>
              <w:t>***</w:t>
            </w:r>
          </w:p>
        </w:tc>
      </w:tr>
      <w:tr w:rsidR="00D42D7C" w:rsidRPr="00405303" w14:paraId="15AEE895" w14:textId="77777777" w:rsidTr="007066FE">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25DC3234" w14:textId="77777777" w:rsidR="00D42D7C" w:rsidRPr="00405303" w:rsidRDefault="00D42D7C" w:rsidP="00C15251">
            <w:pPr>
              <w:numPr>
                <w:ilvl w:val="0"/>
                <w:numId w:val="11"/>
              </w:numPr>
              <w:overflowPunct/>
              <w:autoSpaceDE/>
              <w:autoSpaceDN/>
              <w:adjustRightInd/>
              <w:ind w:left="0" w:firstLine="0"/>
              <w:jc w:val="both"/>
              <w:textAlignment w:val="auto"/>
              <w:rPr>
                <w:bCs/>
                <w:color w:val="002060"/>
                <w:sz w:val="16"/>
                <w:szCs w:val="16"/>
              </w:rPr>
            </w:pPr>
            <w:r w:rsidRPr="00405303">
              <w:rPr>
                <w:bCs/>
                <w:color w:val="002060"/>
                <w:sz w:val="16"/>
                <w:szCs w:val="16"/>
              </w:rPr>
              <w:t>Какие имеются предположения по изготовлению трехдюймовых шрапнелей и гранат?</w:t>
            </w:r>
          </w:p>
        </w:tc>
        <w:tc>
          <w:tcPr>
            <w:tcW w:w="0" w:type="auto"/>
            <w:tcBorders>
              <w:top w:val="outset" w:sz="6" w:space="0" w:color="auto"/>
              <w:left w:val="outset" w:sz="6" w:space="0" w:color="auto"/>
              <w:bottom w:val="outset" w:sz="6" w:space="0" w:color="auto"/>
              <w:right w:val="outset" w:sz="6" w:space="0" w:color="auto"/>
            </w:tcBorders>
            <w:hideMark/>
          </w:tcPr>
          <w:p w14:paraId="0B7EAC91" w14:textId="77777777" w:rsidR="00D42D7C" w:rsidRPr="00405303" w:rsidRDefault="00D42D7C" w:rsidP="00C15251">
            <w:pPr>
              <w:numPr>
                <w:ilvl w:val="0"/>
                <w:numId w:val="12"/>
              </w:numPr>
              <w:overflowPunct/>
              <w:autoSpaceDE/>
              <w:autoSpaceDN/>
              <w:adjustRightInd/>
              <w:ind w:left="0" w:firstLine="0"/>
              <w:jc w:val="both"/>
              <w:textAlignment w:val="auto"/>
              <w:rPr>
                <w:bCs/>
                <w:color w:val="002060"/>
                <w:sz w:val="16"/>
                <w:szCs w:val="16"/>
              </w:rPr>
            </w:pPr>
            <w:r w:rsidRPr="00405303">
              <w:rPr>
                <w:bCs/>
                <w:color w:val="002060"/>
                <w:sz w:val="16"/>
                <w:szCs w:val="16"/>
              </w:rPr>
              <w:t>Идут переговоды с фирмой Виккерса о заказе в Англии 2 млн. готовых трехдюймовых патронов (о чем говорено в п. 4)</w:t>
            </w:r>
          </w:p>
        </w:tc>
      </w:tr>
      <w:tr w:rsidR="00D42D7C" w:rsidRPr="00405303" w14:paraId="29857ECA" w14:textId="77777777" w:rsidTr="007066FE">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hideMark/>
          </w:tcPr>
          <w:p w14:paraId="721D4E8E" w14:textId="08C5D67B" w:rsidR="00D42D7C" w:rsidRPr="00405303" w:rsidRDefault="00D42D7C" w:rsidP="00C15251">
            <w:pPr>
              <w:jc w:val="both"/>
              <w:rPr>
                <w:bCs/>
                <w:iCs/>
                <w:color w:val="002060"/>
                <w:sz w:val="16"/>
                <w:szCs w:val="16"/>
              </w:rPr>
            </w:pPr>
            <w:r w:rsidRPr="00405303">
              <w:rPr>
                <w:bCs/>
                <w:iCs/>
                <w:color w:val="002060"/>
                <w:sz w:val="16"/>
                <w:szCs w:val="16"/>
                <w:vertAlign w:val="superscript"/>
              </w:rPr>
              <w:t>*</w:t>
            </w:r>
            <w:r w:rsidR="00DB4D64" w:rsidRPr="00405303">
              <w:rPr>
                <w:bCs/>
                <w:iCs/>
                <w:color w:val="002060"/>
                <w:sz w:val="16"/>
                <w:szCs w:val="16"/>
              </w:rPr>
              <w:t xml:space="preserve"> </w:t>
            </w:r>
            <w:r w:rsidRPr="00405303">
              <w:rPr>
                <w:bCs/>
                <w:iCs/>
                <w:color w:val="002060"/>
                <w:sz w:val="16"/>
                <w:szCs w:val="16"/>
              </w:rPr>
              <w:t>ЦГВИА, ф. 29, оп. 3/1810, св. 114, д. 885, лл. 35—36.</w:t>
            </w:r>
          </w:p>
          <w:p w14:paraId="695B80CA" w14:textId="324E04B8" w:rsidR="00D42D7C" w:rsidRPr="00405303" w:rsidRDefault="00D42D7C" w:rsidP="00C15251">
            <w:pPr>
              <w:pStyle w:val="ae"/>
              <w:spacing w:before="0" w:beforeAutospacing="0" w:after="0" w:afterAutospacing="0"/>
              <w:jc w:val="both"/>
              <w:rPr>
                <w:bCs/>
                <w:iCs/>
                <w:color w:val="002060"/>
                <w:sz w:val="16"/>
                <w:szCs w:val="16"/>
              </w:rPr>
            </w:pPr>
            <w:r w:rsidRPr="00405303">
              <w:rPr>
                <w:bCs/>
                <w:iCs/>
                <w:color w:val="002060"/>
                <w:sz w:val="16"/>
                <w:szCs w:val="16"/>
                <w:vertAlign w:val="superscript"/>
              </w:rPr>
              <w:t>**</w:t>
            </w:r>
            <w:r w:rsidR="00DB4D64" w:rsidRPr="00405303">
              <w:rPr>
                <w:bCs/>
                <w:iCs/>
                <w:color w:val="002060"/>
                <w:sz w:val="16"/>
                <w:szCs w:val="16"/>
              </w:rPr>
              <w:t xml:space="preserve"> </w:t>
            </w:r>
            <w:r w:rsidRPr="00405303">
              <w:rPr>
                <w:bCs/>
                <w:iCs/>
                <w:color w:val="002060"/>
                <w:sz w:val="16"/>
                <w:szCs w:val="16"/>
              </w:rPr>
              <w:t>Подчеркнуто в оригинале</w:t>
            </w:r>
          </w:p>
          <w:p w14:paraId="7668B21A" w14:textId="0E04E063" w:rsidR="00D42D7C" w:rsidRPr="00405303" w:rsidRDefault="00D42D7C" w:rsidP="00C15251">
            <w:pPr>
              <w:pStyle w:val="ae"/>
              <w:spacing w:before="0" w:beforeAutospacing="0" w:after="0" w:afterAutospacing="0"/>
              <w:jc w:val="both"/>
              <w:rPr>
                <w:bCs/>
                <w:color w:val="002060"/>
                <w:sz w:val="16"/>
                <w:szCs w:val="16"/>
              </w:rPr>
            </w:pPr>
            <w:r w:rsidRPr="00405303">
              <w:rPr>
                <w:bCs/>
                <w:iCs/>
                <w:color w:val="002060"/>
                <w:sz w:val="16"/>
                <w:szCs w:val="16"/>
                <w:vertAlign w:val="superscript"/>
              </w:rPr>
              <w:t>***</w:t>
            </w:r>
            <w:r w:rsidR="00DB4D64" w:rsidRPr="00405303">
              <w:rPr>
                <w:bCs/>
                <w:iCs/>
                <w:color w:val="002060"/>
                <w:sz w:val="16"/>
                <w:szCs w:val="16"/>
              </w:rPr>
              <w:t xml:space="preserve"> </w:t>
            </w:r>
            <w:r w:rsidRPr="00405303">
              <w:rPr>
                <w:bCs/>
                <w:iCs/>
                <w:color w:val="002060"/>
                <w:sz w:val="16"/>
                <w:szCs w:val="16"/>
              </w:rPr>
              <w:t>ЦГВИА, ф. 29, оп. 3/1810, св. 114, д. 855, лл. 37—38</w:t>
            </w:r>
          </w:p>
        </w:tc>
      </w:tr>
    </w:tbl>
    <w:p w14:paraId="015DE23B" w14:textId="77777777" w:rsidR="00D42D7C" w:rsidRPr="00405303" w:rsidRDefault="00D42D7C" w:rsidP="00C15251">
      <w:pPr>
        <w:pStyle w:val="ae"/>
        <w:spacing w:before="0" w:beforeAutospacing="0" w:after="0" w:afterAutospacing="0"/>
        <w:jc w:val="both"/>
        <w:rPr>
          <w:bCs/>
          <w:color w:val="002060"/>
          <w:sz w:val="16"/>
          <w:szCs w:val="16"/>
        </w:rPr>
      </w:pPr>
      <w:r w:rsidRPr="00405303">
        <w:rPr>
          <w:bCs/>
          <w:color w:val="002060"/>
          <w:sz w:val="16"/>
          <w:szCs w:val="16"/>
        </w:rPr>
        <w:t>В отношении винтовочного пороха чиновники не могли придумать никаких оговорок. Его производство за год войны увеличилось с 11 тыс. пуд. в месяц до 17—18 тыс. пуд. (август—октябрь 1915 г.), что могло обеспечить изготовление 840 млн. ружейных патронов, или ⅓ необходимого (200 млн. патронов в месяц). По истощении мобилизационных запасов из-за недостатка пороха патронные заводы несколько раз останавливали производство от нескольких часов до 9 дней (Луганский завод). С 19 апреля и до начала октября 1915 г. Луганский патронный завод простоял 26,5 полных дней, т. е. целый месяц. Единственная надежда была на покупку пороха и толуола за границей.</w:t>
      </w:r>
    </w:p>
    <w:p w14:paraId="09BC928E" w14:textId="77777777" w:rsidR="00D42D7C" w:rsidRPr="00405303" w:rsidRDefault="00D42D7C" w:rsidP="00C15251">
      <w:pPr>
        <w:pStyle w:val="ae"/>
        <w:spacing w:before="0" w:beforeAutospacing="0" w:after="0" w:afterAutospacing="0"/>
        <w:jc w:val="both"/>
        <w:rPr>
          <w:bCs/>
          <w:color w:val="002060"/>
          <w:sz w:val="16"/>
          <w:szCs w:val="16"/>
          <w:vertAlign w:val="superscript"/>
        </w:rPr>
      </w:pPr>
      <w:r w:rsidRPr="00405303">
        <w:rPr>
          <w:bCs/>
          <w:color w:val="002060"/>
          <w:sz w:val="16"/>
          <w:szCs w:val="16"/>
        </w:rPr>
        <w:t>Главным местом снабжения толуолом была Америка, где цены на толуол быстро росли. Недостаток валюты задерживал покупки России, и ГАУ взялось за организацию взрывчатых веществ внутри страны, поручив это дело профессору Михайловской артиллерийской академии академику В. Н. Ипатьеву. Вместе с группой артиллерийских офицеров Ипатьев изучил коксовые заводы и выяснил возможность производства толуола на юге России. Химический комитет при ГАУ приступил к организации производства толуола и других взрывчатых веществ, и уже в августе 1915 г. помощник военного министра А. П. Вернандер мог заявить, что теперь «мы имеем достаточное количество русского толуола» (18524).</w:t>
      </w:r>
      <w:bookmarkStart w:id="149" w:name="78r"/>
      <w:bookmarkEnd w:id="149"/>
      <w:r w:rsidRPr="00405303">
        <w:rPr>
          <w:bCs/>
          <w:color w:val="002060"/>
          <w:sz w:val="16"/>
          <w:szCs w:val="16"/>
          <w:vertAlign w:val="superscript"/>
        </w:rPr>
        <w:t xml:space="preserve"> </w:t>
      </w:r>
    </w:p>
    <w:p w14:paraId="224F1001" w14:textId="77777777" w:rsidR="00D42D7C" w:rsidRPr="00405303" w:rsidRDefault="00D42D7C" w:rsidP="00C15251">
      <w:pPr>
        <w:pStyle w:val="ae"/>
        <w:spacing w:before="0" w:beforeAutospacing="0" w:after="0" w:afterAutospacing="0"/>
        <w:jc w:val="both"/>
        <w:rPr>
          <w:bCs/>
          <w:color w:val="002060"/>
          <w:sz w:val="16"/>
          <w:szCs w:val="16"/>
        </w:rPr>
      </w:pPr>
    </w:p>
    <w:p w14:paraId="4E25C11B" w14:textId="4958119D" w:rsidR="004B4E35" w:rsidRPr="00405303" w:rsidRDefault="009E6F82" w:rsidP="00C15251">
      <w:pPr>
        <w:shd w:val="clear" w:color="auto" w:fill="FFFFFF"/>
        <w:jc w:val="both"/>
        <w:rPr>
          <w:bCs/>
          <w:color w:val="002060"/>
          <w:sz w:val="16"/>
          <w:szCs w:val="16"/>
        </w:rPr>
      </w:pPr>
      <w:r w:rsidRPr="00405303">
        <w:rPr>
          <w:bCs/>
          <w:color w:val="002060"/>
          <w:sz w:val="16"/>
          <w:szCs w:val="16"/>
        </w:rPr>
        <w:t>В мае 1915 г. было создано Особое совещание по усилению артиллерийского снабжения действующей армии. В июле 1915 г. оно было преобразовано в Особое совещание для объединения мероприятий по обеспечению действующей армии предметами боевого и материального снабжения. Затем в августе 1915 г. были созданы четыре особых совещания: по обороне, топли</w:t>
      </w:r>
      <w:r w:rsidRPr="00405303">
        <w:rPr>
          <w:bCs/>
          <w:color w:val="002060"/>
          <w:sz w:val="16"/>
          <w:szCs w:val="16"/>
        </w:rPr>
        <w:softHyphen/>
        <w:t>ву, перевозкам и продовольствию. Главным среди них было Особое совещание по обороне, председателем которого был военный ми</w:t>
      </w:r>
      <w:r w:rsidRPr="00405303">
        <w:rPr>
          <w:bCs/>
          <w:color w:val="002060"/>
          <w:sz w:val="16"/>
          <w:szCs w:val="16"/>
        </w:rPr>
        <w:softHyphen/>
        <w:t xml:space="preserve">нистр. Вплоть до Февральской революции 1917 г. Особое совещание по обороне являлось «высшим государственным установлением», осуществлявшим мобилизацию всей промышленности, организацию ее работы </w:t>
      </w:r>
      <w:proofErr w:type="gramStart"/>
      <w:r w:rsidRPr="00405303">
        <w:rPr>
          <w:bCs/>
          <w:color w:val="002060"/>
          <w:sz w:val="16"/>
          <w:szCs w:val="16"/>
        </w:rPr>
        <w:t>по боевому</w:t>
      </w:r>
      <w:proofErr w:type="gramEnd"/>
      <w:r w:rsidRPr="00405303">
        <w:rPr>
          <w:bCs/>
          <w:color w:val="002060"/>
          <w:sz w:val="16"/>
          <w:szCs w:val="16"/>
        </w:rPr>
        <w:t xml:space="preserve"> и материальному снабжению армии [6, с. 71].</w:t>
      </w:r>
    </w:p>
    <w:p w14:paraId="196DF6A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Наряду с Особым совещанием по обороне известную роль в мо</w:t>
      </w:r>
      <w:r w:rsidRPr="00405303">
        <w:rPr>
          <w:bCs/>
          <w:color w:val="002060"/>
          <w:sz w:val="16"/>
          <w:szCs w:val="16"/>
        </w:rPr>
        <w:softHyphen/>
        <w:t>билизации средней и мелкой промышленности на выполнение воен</w:t>
      </w:r>
      <w:r w:rsidRPr="00405303">
        <w:rPr>
          <w:bCs/>
          <w:color w:val="002060"/>
          <w:sz w:val="16"/>
          <w:szCs w:val="16"/>
        </w:rPr>
        <w:softHyphen/>
        <w:t>ных заказов сыграли Военно-промышленные комитеты (ВПК), ко</w:t>
      </w:r>
      <w:r w:rsidRPr="00405303">
        <w:rPr>
          <w:bCs/>
          <w:color w:val="002060"/>
          <w:sz w:val="16"/>
          <w:szCs w:val="16"/>
        </w:rPr>
        <w:softHyphen/>
        <w:t>торые представляли собой общественные организации, созданные в 1915 г. по решению 9-го Всероссийского съезда представителей тор</w:t>
      </w:r>
      <w:r w:rsidRPr="00405303">
        <w:rPr>
          <w:bCs/>
          <w:color w:val="002060"/>
          <w:sz w:val="16"/>
          <w:szCs w:val="16"/>
        </w:rPr>
        <w:softHyphen/>
        <w:t>говли и промышленности для содействия правительству «в деле снабжения армии и флота всеми необходимыми предметами снаря</w:t>
      </w:r>
      <w:r w:rsidRPr="00405303">
        <w:rPr>
          <w:bCs/>
          <w:color w:val="002060"/>
          <w:sz w:val="16"/>
          <w:szCs w:val="16"/>
        </w:rPr>
        <w:softHyphen/>
        <w:t>жения и довольствия». Создавая ВПК, промышленники стремились взять руководство экономикой в свои руки, но встретили противодействие царского правительства. ВПК стали лишь посредниками между государством и частной промышленностью (5484).</w:t>
      </w:r>
    </w:p>
    <w:p w14:paraId="2A9B10C6" w14:textId="77777777" w:rsidR="004B4E35" w:rsidRPr="00405303" w:rsidRDefault="004B4E35" w:rsidP="00C15251">
      <w:pPr>
        <w:shd w:val="clear" w:color="auto" w:fill="FFFFFF"/>
        <w:jc w:val="both"/>
        <w:rPr>
          <w:bCs/>
          <w:color w:val="002060"/>
          <w:sz w:val="16"/>
          <w:szCs w:val="16"/>
        </w:rPr>
      </w:pPr>
    </w:p>
    <w:p w14:paraId="2BA6D31F" w14:textId="2EB454A3" w:rsidR="004B4E35" w:rsidRPr="00405303" w:rsidRDefault="00C93371"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мае 1915 г. </w:t>
      </w:r>
      <w:r w:rsidRPr="00405303">
        <w:rPr>
          <w:bCs/>
          <w:color w:val="002060"/>
          <w:sz w:val="16"/>
          <w:szCs w:val="16"/>
        </w:rPr>
        <w:t xml:space="preserve">возникло Особое совещание для обсуждения и объединения мероприятий по обороне государства (далее - Особое совещание по обороне), которое </w:t>
      </w:r>
      <w:r w:rsidR="009E6F82" w:rsidRPr="00405303">
        <w:rPr>
          <w:bCs/>
          <w:color w:val="002060"/>
          <w:sz w:val="16"/>
          <w:szCs w:val="16"/>
        </w:rPr>
        <w:t xml:space="preserve">было окончательно утверждено законом 17 августа 1915 г., по которому являлось высшим государственным установлением, призванным осуществлять мобилизацию </w:t>
      </w:r>
      <w:r w:rsidR="009E6F82" w:rsidRPr="00405303">
        <w:rPr>
          <w:bCs/>
          <w:color w:val="002060"/>
          <w:sz w:val="16"/>
          <w:szCs w:val="16"/>
        </w:rPr>
        <w:lastRenderedPageBreak/>
        <w:t>российской промышленности, организовывать ее работу для обеспечения и улучшения снабжения армии не только выдачей соответствующих заказов, но и созданием, налаживанием новых производств на фабрично-заводских предприятиях Российской империи. Совещание имело чрезвычайно развитую структуру как в центре (около 20 постоянных и временных комиссий и комитетов), так и на местах (12 районных заводских совещаний, десятки фронтовых и районных эвакуационных подкомиссий). В статье широко используются документы из фондов Особого совещания по обороне государства [Материалы делопроизводственного комплекса Особого совещания находятся в нескольких архивохранилищах: РГВИА. Ф. 369 (Особое совещание по обороне); РГИА; Ф. 31 (Комитет по делам металлургической промышленности), Ф.1524 (Валютная комиссия); Ф. 1525 (Главное управление по заграничному снабжению); Архив ВИМАИВС и ВС. Ф. 13 (Особое совещание по обороне). Источниковедческое исследование комплекса и описание его фондов см.: Воронкова С.В. Материалы Особого совещания по обороне государства. М., 1975], а также ряда структур Военного министерства [РГВИА. Ф. 802 (Главное военно-техническое управление); Ф. 493 (Управление военно-воздушного флота); Ф. 814 (Делопроизводство ГВТУ по сооружению казенного завода военных самоходов); Ф. 815 (Делопроизводство ГВТУ по сооружению частных автомобильных заводов)].</w:t>
      </w:r>
    </w:p>
    <w:p w14:paraId="39FE14F1" w14:textId="77777777" w:rsidR="004B4E35" w:rsidRPr="00405303" w:rsidRDefault="009E6F82" w:rsidP="00C15251">
      <w:pPr>
        <w:jc w:val="both"/>
        <w:rPr>
          <w:bCs/>
          <w:color w:val="002060"/>
          <w:sz w:val="16"/>
          <w:szCs w:val="16"/>
        </w:rPr>
      </w:pPr>
      <w:r w:rsidRPr="00405303">
        <w:rPr>
          <w:bCs/>
          <w:color w:val="002060"/>
          <w:sz w:val="16"/>
          <w:szCs w:val="16"/>
        </w:rPr>
        <w:t>Война, начавшаяся в августе 1914 г., очень скоро проявилась как машинная война, которую успешно могли вести лишь страны, обладавшие достаточным экономическим потенциалом, имевшие развитую промышленность, особенно такие ее отрасли как топливная, металлургическая, машиностроительная и химическая. Россия очень скоро после начала войны оказалась в тисках острейшего хозяйственного кризиса, прежде всего, транспорта, нехватки топлива и металла, продовольствия и квалифицированных рабочих кадров, что вызвало серьезные трудности в вооружении и общем материально-техническом обеспечении армии, в условиях жизни населения страны. Это повлекло активное обсуждение в обществе и государственных структурах не только проблем преодоления кризиса вооружения русских войск, но и более общих вопросов развития отечественной индустрии [См. об этом: Воронкова С.В. Поиск путей модернизации экономики России в начале ХХ в. // Модернизация в Центральной и Восточной Европе. М., 2000].</w:t>
      </w:r>
    </w:p>
    <w:p w14:paraId="637642BB" w14:textId="77777777" w:rsidR="004B4E35" w:rsidRPr="00405303" w:rsidRDefault="009E6F82" w:rsidP="00C15251">
      <w:pPr>
        <w:jc w:val="both"/>
        <w:rPr>
          <w:bCs/>
          <w:color w:val="002060"/>
          <w:sz w:val="16"/>
          <w:szCs w:val="16"/>
        </w:rPr>
      </w:pPr>
      <w:r w:rsidRPr="00405303">
        <w:rPr>
          <w:bCs/>
          <w:color w:val="002060"/>
          <w:sz w:val="16"/>
          <w:szCs w:val="16"/>
        </w:rPr>
        <w:t>Война обнажила масштабность подчиненности российской промышленности индустрии других государств. Многие предприятия не могли осуществлять успешный выпуск продукции, не имея заграничного или сырья, или полуфабрикатов, или отдельных частей и деталей, агрегатов к ним, особенно при выпуске сложной машиностроительной продукции. При чем это было характерно, как для традиционных военных производств (снарядное, взрывчатых веществ), так и новейших (авиационное). Именно под флагом промышленной независимости шло выдвижение различных программ индустриального развития страны, естественно предусматривающих и развитие заводского строительства. Царское правительство, представительные организации русской буржуазии, стремясь выйти из кризиса вооружения армии, мобилизуя промышленные ресурсы страны на достижение военных успехов, пытались обеспечить и стабильность послевоенной экономики, что могло быть достигнуто только при условии развития промышленности.</w:t>
      </w:r>
    </w:p>
    <w:p w14:paraId="4AEAF053" w14:textId="77777777" w:rsidR="004B4E35" w:rsidRPr="00405303" w:rsidRDefault="009E6F82" w:rsidP="00C15251">
      <w:pPr>
        <w:jc w:val="both"/>
        <w:rPr>
          <w:bCs/>
          <w:color w:val="002060"/>
          <w:sz w:val="16"/>
          <w:szCs w:val="16"/>
        </w:rPr>
      </w:pPr>
      <w:r w:rsidRPr="00405303">
        <w:rPr>
          <w:bCs/>
          <w:color w:val="002060"/>
          <w:sz w:val="16"/>
          <w:szCs w:val="16"/>
        </w:rPr>
        <w:t>В истории заводского строительства в годы Первой мировой войны можно условно выделить три основных периода. Первый период охватывает время с начала войны и до весны 1915 г. Для него характерны незначительная выдача оборонных заказов и проявление, в основном, частной инициативы со стороны небольшой группы крупных предприятий в переоборудовании заводов для производства вооружений и боеприпасов, которые и до войны получали казенные заказы. Второй период начинается с весны 1915 г., когда полномасштабно проявился кризис вооружения русской армии, и государственная власть вынуждена была принимать энергичные меры для его ликвидации. В ходе решения этой проблемы предполагалось широкое привлечение частной промышленности к выпуску предметов вооружения и общего материально-технического обеспечения фронта. Основным методом выполнения этой задачи стала широкая выдача казенных заказов, которая, как правило, предполагала строительство новых заводов, реконструкцию предприятий и даже их отраслевую переориентацию. Этот период продолжался приблизительно до начала 1916 г., когда стала очевидной необходимость принятия более радикальных мер для развития отечественной промышленности. Третий период (с начала 1916 г. и до осени 1917 г.) характеризуется выработкой определенных «программ» заводского строительства, которые касались сооружения не отдельных предприятий, а определенных групп заведений соответствующей производственной направленности (11863).</w:t>
      </w:r>
    </w:p>
    <w:p w14:paraId="32128BAD" w14:textId="77777777" w:rsidR="004B4E35" w:rsidRPr="00405303" w:rsidRDefault="004B4E35" w:rsidP="00C15251">
      <w:pPr>
        <w:jc w:val="both"/>
        <w:rPr>
          <w:bCs/>
          <w:color w:val="002060"/>
          <w:sz w:val="16"/>
          <w:szCs w:val="16"/>
        </w:rPr>
      </w:pPr>
    </w:p>
    <w:p w14:paraId="0C85386E" w14:textId="5DE99C10" w:rsidR="004B4E35" w:rsidRPr="00405303" w:rsidRDefault="00C9337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w:t>
      </w:r>
      <w:r w:rsidR="009E6F82" w:rsidRPr="00405303">
        <w:rPr>
          <w:bCs/>
          <w:i w:val="0"/>
          <w:color w:val="002060"/>
          <w:spacing w:val="0"/>
          <w:kern w:val="0"/>
          <w:position w:val="0"/>
          <w:sz w:val="16"/>
          <w:szCs w:val="16"/>
        </w:rPr>
        <w:t xml:space="preserve"> мае 1915 г. </w:t>
      </w:r>
      <w:r w:rsidRPr="00405303">
        <w:rPr>
          <w:bCs/>
          <w:i w:val="0"/>
          <w:color w:val="002060"/>
          <w:spacing w:val="0"/>
          <w:kern w:val="0"/>
          <w:position w:val="0"/>
          <w:sz w:val="16"/>
          <w:szCs w:val="16"/>
        </w:rPr>
        <w:t xml:space="preserve">на одном из заседаний </w:t>
      </w:r>
      <w:r w:rsidR="009E6F82" w:rsidRPr="00405303">
        <w:rPr>
          <w:bCs/>
          <w:i w:val="0"/>
          <w:color w:val="002060"/>
          <w:spacing w:val="0"/>
          <w:kern w:val="0"/>
          <w:position w:val="0"/>
          <w:sz w:val="16"/>
          <w:szCs w:val="16"/>
        </w:rPr>
        <w:t>Особого совещания военный министр объяснял непрерывную подачу громадного количества материалов у немцев тем, что с начала войны там образовался «особый совет, объединивший мелких и крупных промышленников в целях использования промышленности для изготовления изделий государственной обороны».</w:t>
      </w:r>
    </w:p>
    <w:p w14:paraId="6DD2797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Представители частной промышленности начали настойчиво проводить в правительственных кругах ту мысль, что единственным выходом для возможного увеличения числа поставляемых снарядов для действующих армий явилось бы тесное сотрудничество правительства с частной промышленностью на основе определенного плана. План этот был предложен и разработан на 9-м очередном съезде представителей промышленности и торговли, проходившем с 26 по 28 мая 1915 г. в Петрограде и где по предложению Рябушкинского было решено создать общероссийскую общественную организацию буржуазии. По замыслу учредителей созданная организация должна была «прийти на помощь правительству в столь важном деле обеспечения армии всем необходимым для верного, скорого и полного поражения врага», «взять на себя»:</w:t>
      </w:r>
    </w:p>
    <w:p w14:paraId="3E8BFD6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1) прием работ и распределение их по соответствующим предприятиям;</w:t>
      </w:r>
    </w:p>
    <w:p w14:paraId="1B85A42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2) надзор за выполнением их и заботу о снабжении работающих предприятий материалами и техническими силами;</w:t>
      </w:r>
    </w:p>
    <w:p w14:paraId="70F71B1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3) доставку на места вырабатываемых предметов (11270).</w:t>
      </w:r>
    </w:p>
    <w:p w14:paraId="52D67680" w14:textId="77777777" w:rsidR="004B4E35" w:rsidRPr="00405303" w:rsidRDefault="004B4E35" w:rsidP="00C15251">
      <w:pPr>
        <w:pStyle w:val="a3"/>
        <w:jc w:val="both"/>
        <w:rPr>
          <w:bCs/>
          <w:i w:val="0"/>
          <w:color w:val="002060"/>
          <w:spacing w:val="0"/>
          <w:kern w:val="0"/>
          <w:position w:val="0"/>
          <w:sz w:val="16"/>
          <w:szCs w:val="16"/>
        </w:rPr>
      </w:pPr>
    </w:p>
    <w:p w14:paraId="1775CBAC" w14:textId="221D6F13" w:rsidR="004B4E35" w:rsidRPr="00405303" w:rsidRDefault="00C93371"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мае 1915 г.</w:t>
      </w:r>
      <w:r w:rsidRPr="00405303">
        <w:rPr>
          <w:bCs/>
          <w:color w:val="002060"/>
          <w:sz w:val="16"/>
          <w:szCs w:val="16"/>
        </w:rPr>
        <w:t>,</w:t>
      </w:r>
      <w:r w:rsidR="009E6F82" w:rsidRPr="00405303">
        <w:rPr>
          <w:bCs/>
          <w:color w:val="002060"/>
          <w:sz w:val="16"/>
          <w:szCs w:val="16"/>
        </w:rPr>
        <w:t xml:space="preserve"> </w:t>
      </w:r>
      <w:r w:rsidRPr="00405303">
        <w:rPr>
          <w:bCs/>
          <w:color w:val="002060"/>
          <w:sz w:val="16"/>
          <w:szCs w:val="16"/>
        </w:rPr>
        <w:t>не надеясь на Военное министерство, Став</w:t>
      </w:r>
      <w:r w:rsidRPr="00405303">
        <w:rPr>
          <w:bCs/>
          <w:color w:val="002060"/>
          <w:sz w:val="16"/>
          <w:szCs w:val="16"/>
        </w:rPr>
        <w:softHyphen/>
        <w:t xml:space="preserve">ка </w:t>
      </w:r>
      <w:r w:rsidR="009E6F82" w:rsidRPr="00405303">
        <w:rPr>
          <w:bCs/>
          <w:color w:val="002060"/>
          <w:sz w:val="16"/>
          <w:szCs w:val="16"/>
        </w:rPr>
        <w:t>обратилась к правительству с предложением об ор</w:t>
      </w:r>
      <w:r w:rsidR="009E6F82" w:rsidRPr="00405303">
        <w:rPr>
          <w:bCs/>
          <w:color w:val="002060"/>
          <w:sz w:val="16"/>
          <w:szCs w:val="16"/>
        </w:rPr>
        <w:softHyphen/>
        <w:t>ганизации Особого совещания по обороне государства, которое взя</w:t>
      </w:r>
      <w:r w:rsidR="009E6F82" w:rsidRPr="00405303">
        <w:rPr>
          <w:bCs/>
          <w:color w:val="002060"/>
          <w:sz w:val="16"/>
          <w:szCs w:val="16"/>
        </w:rPr>
        <w:softHyphen/>
        <w:t>ло бы на себя организацию и регулирование производства вооруже</w:t>
      </w:r>
      <w:r w:rsidR="009E6F82" w:rsidRPr="00405303">
        <w:rPr>
          <w:bCs/>
          <w:color w:val="002060"/>
          <w:sz w:val="16"/>
          <w:szCs w:val="16"/>
        </w:rPr>
        <w:softHyphen/>
        <w:t>ния и боеприпасов. Особое совещание было создано и сыграло важ</w:t>
      </w:r>
      <w:r w:rsidR="009E6F82" w:rsidRPr="00405303">
        <w:rPr>
          <w:bCs/>
          <w:color w:val="002060"/>
          <w:sz w:val="16"/>
          <w:szCs w:val="16"/>
        </w:rPr>
        <w:softHyphen/>
        <w:t>ную роль в мобилизации промышленности России для работы на нужды обороны.</w:t>
      </w:r>
    </w:p>
    <w:p w14:paraId="1D133D4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 изготовлению корпусов снарядов всех калибров во время пер</w:t>
      </w:r>
      <w:r w:rsidRPr="00405303">
        <w:rPr>
          <w:bCs/>
          <w:color w:val="002060"/>
          <w:sz w:val="16"/>
          <w:szCs w:val="16"/>
        </w:rPr>
        <w:softHyphen/>
        <w:t>вой мировой войны были привлечены около 50 крупных металлур</w:t>
      </w:r>
      <w:r w:rsidRPr="00405303">
        <w:rPr>
          <w:bCs/>
          <w:color w:val="002060"/>
          <w:sz w:val="16"/>
          <w:szCs w:val="16"/>
        </w:rPr>
        <w:softHyphen/>
        <w:t>гических и металлообрабатывающих заводов и несколько сотен дру</w:t>
      </w:r>
      <w:r w:rsidRPr="00405303">
        <w:rPr>
          <w:bCs/>
          <w:color w:val="002060"/>
          <w:sz w:val="16"/>
          <w:szCs w:val="16"/>
        </w:rPr>
        <w:softHyphen/>
        <w:t>гих заводов и мастерских.</w:t>
      </w:r>
    </w:p>
    <w:p w14:paraId="0623BF8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Группа Путиловского завода объединяла следующие предприя</w:t>
      </w:r>
      <w:r w:rsidRPr="00405303">
        <w:rPr>
          <w:bCs/>
          <w:color w:val="002060"/>
          <w:sz w:val="16"/>
          <w:szCs w:val="16"/>
        </w:rPr>
        <w:softHyphen/>
        <w:t>тия: Путиловский завод, завод Русского общества изготовления сна</w:t>
      </w:r>
      <w:r w:rsidRPr="00405303">
        <w:rPr>
          <w:bCs/>
          <w:color w:val="002060"/>
          <w:sz w:val="16"/>
          <w:szCs w:val="16"/>
        </w:rPr>
        <w:softHyphen/>
        <w:t>рядов (бывший «Парвиайнен»), Коломенский и Русско-Балтийский. Созданная ГАУ специальная организация во главе с начальни</w:t>
      </w:r>
      <w:r w:rsidRPr="00405303">
        <w:rPr>
          <w:bCs/>
          <w:color w:val="002060"/>
          <w:sz w:val="16"/>
          <w:szCs w:val="16"/>
        </w:rPr>
        <w:softHyphen/>
        <w:t>ком Брянского арсенала генералом С. Н. Банковым по производству снарядов французского образца вначале кооперировала 200 пред</w:t>
      </w:r>
      <w:r w:rsidRPr="00405303">
        <w:rPr>
          <w:bCs/>
          <w:color w:val="002060"/>
          <w:sz w:val="16"/>
          <w:szCs w:val="16"/>
        </w:rPr>
        <w:softHyphen/>
        <w:t>приятий, а к концу 1916 г. — до 500. В их числе было много перво</w:t>
      </w:r>
      <w:r w:rsidRPr="00405303">
        <w:rPr>
          <w:bCs/>
          <w:color w:val="002060"/>
          <w:sz w:val="16"/>
          <w:szCs w:val="16"/>
        </w:rPr>
        <w:softHyphen/>
        <w:t>классных заводов [21, 63].</w:t>
      </w:r>
    </w:p>
    <w:p w14:paraId="2477E1A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Значительное число более мелких предприятий действовало под руководством Центрального военно-промышленного комитета, Все</w:t>
      </w:r>
      <w:r w:rsidRPr="00405303">
        <w:rPr>
          <w:bCs/>
          <w:color w:val="002060"/>
          <w:sz w:val="16"/>
          <w:szCs w:val="16"/>
        </w:rPr>
        <w:softHyphen/>
        <w:t>российского союза земств и городов, Нижегородского биржевого комитета [5, с. 195].</w:t>
      </w:r>
    </w:p>
    <w:p w14:paraId="2619B42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целью создания более благоприятных условий для увеличения выпуска корпусов снарядов в начале 1915 г. ГАУ ослабило чрезмер</w:t>
      </w:r>
      <w:r w:rsidRPr="00405303">
        <w:rPr>
          <w:bCs/>
          <w:color w:val="002060"/>
          <w:sz w:val="16"/>
          <w:szCs w:val="16"/>
        </w:rPr>
        <w:softHyphen/>
        <w:t>но строгие требования к приему корпусов снарядов. Кроме того, из-за недостатка стали было принято решение изготовлять гранаты из обыкновенного и сталистого чугуна по упрощенному французскому образцу, т. е. цельнокорпусными без отдельной привинтной головки. Налаживание массового производства корпусов снарядов было связано с рядом трудностей. До войны основным источником приоб</w:t>
      </w:r>
      <w:r w:rsidRPr="00405303">
        <w:rPr>
          <w:bCs/>
          <w:color w:val="002060"/>
          <w:sz w:val="16"/>
          <w:szCs w:val="16"/>
        </w:rPr>
        <w:softHyphen/>
        <w:t>ретения металлообрабатывающих станков, специального оборудова</w:t>
      </w:r>
      <w:r w:rsidRPr="00405303">
        <w:rPr>
          <w:bCs/>
          <w:color w:val="002060"/>
          <w:sz w:val="16"/>
          <w:szCs w:val="16"/>
        </w:rPr>
        <w:softHyphen/>
        <w:t>ния и многих видов сырья являлся германский рынок. С началом войны он стал недоступным, пришлось организовывать многие про</w:t>
      </w:r>
      <w:r w:rsidRPr="00405303">
        <w:rPr>
          <w:bCs/>
          <w:color w:val="002060"/>
          <w:sz w:val="16"/>
          <w:szCs w:val="16"/>
        </w:rPr>
        <w:softHyphen/>
        <w:t>изводства внутри страны или искать поставщиков среди союзни</w:t>
      </w:r>
      <w:r w:rsidRPr="00405303">
        <w:rPr>
          <w:bCs/>
          <w:color w:val="002060"/>
          <w:sz w:val="16"/>
          <w:szCs w:val="16"/>
        </w:rPr>
        <w:softHyphen/>
        <w:t>ков. Многие материалы, необходимые для военного производства, стали дефицитными из-за резко возросшего спроса на них во всех воюющих державах. Осложнилась доставка импортных грузов из-за закрытия портов Балтийского моря.</w:t>
      </w:r>
    </w:p>
    <w:p w14:paraId="432194F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Затрудняло работу отсутствие опыта производства корпусов сна</w:t>
      </w:r>
      <w:r w:rsidRPr="00405303">
        <w:rPr>
          <w:bCs/>
          <w:color w:val="002060"/>
          <w:sz w:val="16"/>
          <w:szCs w:val="16"/>
        </w:rPr>
        <w:softHyphen/>
        <w:t>рядов, незнание специфики массового производства вообще и сна</w:t>
      </w:r>
      <w:r w:rsidRPr="00405303">
        <w:rPr>
          <w:bCs/>
          <w:color w:val="002060"/>
          <w:sz w:val="16"/>
          <w:szCs w:val="16"/>
        </w:rPr>
        <w:softHyphen/>
        <w:t>рядного в частности. На большинстве заводов не было хорошего обо</w:t>
      </w:r>
      <w:r w:rsidRPr="00405303">
        <w:rPr>
          <w:bCs/>
          <w:color w:val="002060"/>
          <w:sz w:val="16"/>
          <w:szCs w:val="16"/>
        </w:rPr>
        <w:softHyphen/>
        <w:t>рудования; рабочие не имели квалификации, требуемой для изготов</w:t>
      </w:r>
      <w:r w:rsidRPr="00405303">
        <w:rPr>
          <w:bCs/>
          <w:color w:val="002060"/>
          <w:sz w:val="16"/>
          <w:szCs w:val="16"/>
        </w:rPr>
        <w:softHyphen/>
        <w:t>ления такой точной продукции, как артиллерийские снаряды. Даже Путиловский завод, получивший крупный заказ в августе 1914 г., смог дать первую партию корпусов снарядов (26 711 шт.) только в ноябре 1914 г., Петроградский механический завод изготовил в де</w:t>
      </w:r>
      <w:r w:rsidRPr="00405303">
        <w:rPr>
          <w:bCs/>
          <w:color w:val="002060"/>
          <w:sz w:val="16"/>
          <w:szCs w:val="16"/>
        </w:rPr>
        <w:softHyphen/>
        <w:t>кабре 1914 г. всего 1009 корпусов. Балтийский, Николаевский и не</w:t>
      </w:r>
      <w:r w:rsidRPr="00405303">
        <w:rPr>
          <w:bCs/>
          <w:color w:val="002060"/>
          <w:sz w:val="16"/>
          <w:szCs w:val="16"/>
        </w:rPr>
        <w:softHyphen/>
        <w:t>которые другие заводы выдали первые партии снарядов лишь в янва</w:t>
      </w:r>
      <w:r w:rsidRPr="00405303">
        <w:rPr>
          <w:bCs/>
          <w:color w:val="002060"/>
          <w:sz w:val="16"/>
          <w:szCs w:val="16"/>
        </w:rPr>
        <w:softHyphen/>
        <w:t>ре—феврале 1915 г. (5484).</w:t>
      </w:r>
    </w:p>
    <w:p w14:paraId="7A5B8151" w14:textId="77777777" w:rsidR="004B4E35" w:rsidRPr="00405303" w:rsidRDefault="004B4E35" w:rsidP="00C15251">
      <w:pPr>
        <w:shd w:val="clear" w:color="auto" w:fill="FFFFFF"/>
        <w:jc w:val="both"/>
        <w:rPr>
          <w:bCs/>
          <w:color w:val="002060"/>
          <w:sz w:val="16"/>
          <w:szCs w:val="16"/>
        </w:rPr>
      </w:pPr>
    </w:p>
    <w:p w14:paraId="2C6447E4" w14:textId="77777777" w:rsidR="00C93371" w:rsidRPr="00405303" w:rsidRDefault="00C9337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lastRenderedPageBreak/>
        <w:t>В мае 1915 г. было создано Особое совещание по обеспечению армии предметами боевого и материального снабжения. По положению совещание подчинялось непосредственно верховной власти и "никакое правительственное место или лицо не могло давать ему предписаний и требовать от него отчетов". Председателем совещания являлся военный министр, которому предоставлялись обширные права "разрешать производство заготовлений всеми способами и на всех признанных им соответствующими условиями без ограничения суммы".</w:t>
      </w:r>
    </w:p>
    <w:p w14:paraId="1E26B6B8" w14:textId="77777777" w:rsidR="00C93371" w:rsidRPr="00405303" w:rsidRDefault="00C9337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Членами "Особого совещания по обороне государства" являлись наиболее видные представители Государственного совета и Государственной думы (по 10 человек, во главе с их председателями), старшие представители всех ведомств и от всех общественных организаций (Центрального военно-промышленного комитета, Союза земств и городов, торговых и промышленных кругов) и, кроме того, особо приглашался целый ряд сведущих лиц, могущих быть полезными делу обороны страны. </w:t>
      </w:r>
    </w:p>
    <w:p w14:paraId="4E3C6FDC" w14:textId="77777777" w:rsidR="00C93371" w:rsidRPr="00405303" w:rsidRDefault="00C9337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При таком "блестящем" составе этого полномочного Совещания дело обеспечения армии боевыми припасами все же не только не двинулось тем темпом, на какой рассчитывалось при его образовании, а, напротив, во многих отношениях пошло хуже, чем если бы дело снабжения оставалось в руках самих довольствующих управлений. </w:t>
      </w:r>
    </w:p>
    <w:p w14:paraId="7F9C1B8B" w14:textId="77777777" w:rsidR="00C93371" w:rsidRPr="00405303" w:rsidRDefault="00C9337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Совещание было слишком многоголовым, чтобы быть рабочим и достаточно продуктивным: 50-60 человек, да еще такого разношерстного состава, каким было это Совещание. </w:t>
      </w:r>
    </w:p>
    <w:p w14:paraId="22D98E6C" w14:textId="77777777" w:rsidR="00C93371" w:rsidRPr="00405303" w:rsidRDefault="00C9337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этом огромном составе все же было очень мало людей, действительно понимающих военную технику и причины неудовлетворительности снабжения нашей армии и могущих указать меры, необходимые для его усиления. Зато было много таких, которые видели в этом Совещании, главным образом, орудие политической борьбы и в соответствии с этим и вели линию своего поведения. </w:t>
      </w:r>
    </w:p>
    <w:p w14:paraId="0F398082" w14:textId="77777777" w:rsidR="00C93371" w:rsidRPr="00405303" w:rsidRDefault="00C9337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Среди персонального состава Совещания не замечалось людей, основательно знавших военную промышленность и понимавших возможность использования частной для военных </w:t>
      </w:r>
      <w:proofErr w:type="gramStart"/>
      <w:r w:rsidRPr="00405303">
        <w:rPr>
          <w:bCs/>
          <w:i w:val="0"/>
          <w:color w:val="002060"/>
          <w:spacing w:val="0"/>
          <w:kern w:val="0"/>
          <w:position w:val="0"/>
          <w:sz w:val="16"/>
          <w:szCs w:val="16"/>
        </w:rPr>
        <w:t>целей, несмотря на то, что</w:t>
      </w:r>
      <w:proofErr w:type="gramEnd"/>
      <w:r w:rsidRPr="00405303">
        <w:rPr>
          <w:bCs/>
          <w:i w:val="0"/>
          <w:color w:val="002060"/>
          <w:spacing w:val="0"/>
          <w:kern w:val="0"/>
          <w:position w:val="0"/>
          <w:sz w:val="16"/>
          <w:szCs w:val="16"/>
        </w:rPr>
        <w:t xml:space="preserve"> в Совещании заседали два "бывших" министра торговли и промышленности и иногда являлся и третий (Шаховской). И вообще надо признать, что мировая война "героев" не родила; в тылу она не выдвинула из среды участников всех совещаний и их многоголовых комиссий и подкомиссий ни одного действительно крупного государственного деятеля с глубоким пониманием истинного положения вещей и с недюжинным организаторским талантом. Все это были люди по преимуществу слова, кафедры и рисовки, привыкшие по каждому вопросу прежде всего "говорить" и говорить много, красиво, с "надрывом", причем каждый из них совершенно искренне считал, что если он "хорошо сказал" и произвел на слушателей ожидаемое "впечатление", то он свое дело сделал, - и глядел победителем. Каковы же будут дальнейшие результаты его говорения </w:t>
      </w:r>
      <w:proofErr w:type="gramStart"/>
      <w:r w:rsidRPr="00405303">
        <w:rPr>
          <w:bCs/>
          <w:i w:val="0"/>
          <w:color w:val="002060"/>
          <w:spacing w:val="0"/>
          <w:kern w:val="0"/>
          <w:position w:val="0"/>
          <w:sz w:val="16"/>
          <w:szCs w:val="16"/>
        </w:rPr>
        <w:t>- это</w:t>
      </w:r>
      <w:proofErr w:type="gramEnd"/>
      <w:r w:rsidRPr="00405303">
        <w:rPr>
          <w:bCs/>
          <w:i w:val="0"/>
          <w:color w:val="002060"/>
          <w:spacing w:val="0"/>
          <w:kern w:val="0"/>
          <w:position w:val="0"/>
          <w:sz w:val="16"/>
          <w:szCs w:val="16"/>
        </w:rPr>
        <w:t xml:space="preserve"> </w:t>
      </w:r>
      <w:proofErr w:type="gramStart"/>
      <w:r w:rsidRPr="00405303">
        <w:rPr>
          <w:bCs/>
          <w:i w:val="0"/>
          <w:color w:val="002060"/>
          <w:spacing w:val="0"/>
          <w:kern w:val="0"/>
          <w:position w:val="0"/>
          <w:sz w:val="16"/>
          <w:szCs w:val="16"/>
        </w:rPr>
        <w:t>его по существу</w:t>
      </w:r>
      <w:proofErr w:type="gramEnd"/>
      <w:r w:rsidRPr="00405303">
        <w:rPr>
          <w:bCs/>
          <w:i w:val="0"/>
          <w:color w:val="002060"/>
          <w:spacing w:val="0"/>
          <w:kern w:val="0"/>
          <w:position w:val="0"/>
          <w:sz w:val="16"/>
          <w:szCs w:val="16"/>
        </w:rPr>
        <w:t xml:space="preserve"> мало озабочивало... </w:t>
      </w:r>
    </w:p>
    <w:p w14:paraId="2C03A257" w14:textId="77777777" w:rsidR="00C93371" w:rsidRPr="00405303" w:rsidRDefault="00C9337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Если же в Особом совещании по обороне и были люди, понимавшие дело, то это были или совсем мало влиятельные люди, или же прикосновенные к "промышленности", а потому и заинтересованные больше всего в извлечении из войны личных выгод (11483).</w:t>
      </w:r>
    </w:p>
    <w:p w14:paraId="2277B667" w14:textId="77777777" w:rsidR="00C93371" w:rsidRPr="00405303" w:rsidRDefault="00C93371" w:rsidP="00C15251">
      <w:pPr>
        <w:pStyle w:val="a3"/>
        <w:jc w:val="both"/>
        <w:rPr>
          <w:bCs/>
          <w:i w:val="0"/>
          <w:color w:val="002060"/>
          <w:spacing w:val="0"/>
          <w:kern w:val="0"/>
          <w:position w:val="0"/>
          <w:sz w:val="16"/>
          <w:szCs w:val="16"/>
        </w:rPr>
      </w:pPr>
    </w:p>
    <w:p w14:paraId="333CC2EA" w14:textId="5E3ADFAD" w:rsidR="004B4E35" w:rsidRPr="00405303" w:rsidRDefault="009E6F82" w:rsidP="00C15251">
      <w:pPr>
        <w:jc w:val="both"/>
        <w:rPr>
          <w:bCs/>
          <w:color w:val="002060"/>
          <w:sz w:val="16"/>
          <w:szCs w:val="16"/>
        </w:rPr>
      </w:pPr>
      <w:r w:rsidRPr="00405303">
        <w:rPr>
          <w:bCs/>
          <w:color w:val="002060"/>
          <w:sz w:val="16"/>
          <w:szCs w:val="16"/>
        </w:rPr>
        <w:t xml:space="preserve">В мае 1915 г. ГАУ по своему почину произвело подсчеты и определило месячную потребность пулеметов в 800 штук. Этот расчет был одобрен ГУГШ. Вместе с тем ГАУ начиная с января 1915 г. </w:t>
      </w:r>
      <w:proofErr w:type="gramStart"/>
      <w:r w:rsidRPr="00405303">
        <w:rPr>
          <w:bCs/>
          <w:color w:val="002060"/>
          <w:sz w:val="16"/>
          <w:szCs w:val="16"/>
        </w:rPr>
        <w:t>по своему</w:t>
      </w:r>
      <w:proofErr w:type="gramEnd"/>
      <w:r w:rsidRPr="00405303">
        <w:rPr>
          <w:bCs/>
          <w:color w:val="002060"/>
          <w:sz w:val="16"/>
          <w:szCs w:val="16"/>
        </w:rPr>
        <w:t xml:space="preserve"> же почину стало форсировать производство пулеметов. Если принять выпуск февраля 1915 г. за единицу, то к декабрю этого года он выражался цифрой 2, к маю 1916 г. — 3,5 и к декабрю 1916 г. — 5. </w:t>
      </w:r>
    </w:p>
    <w:p w14:paraId="3D0E5197" w14:textId="77777777" w:rsidR="004B4E35" w:rsidRPr="00405303" w:rsidRDefault="009E6F82" w:rsidP="00C15251">
      <w:pPr>
        <w:jc w:val="both"/>
        <w:rPr>
          <w:bCs/>
          <w:color w:val="002060"/>
          <w:sz w:val="16"/>
          <w:szCs w:val="16"/>
        </w:rPr>
      </w:pPr>
      <w:r w:rsidRPr="00405303">
        <w:rPr>
          <w:bCs/>
          <w:color w:val="002060"/>
          <w:sz w:val="16"/>
          <w:szCs w:val="16"/>
        </w:rPr>
        <w:t xml:space="preserve">Этот темп разворачивания производства пулеметов на Тульском заводе нужно признать предельным, так как завод вел работу с исключительным напряжением, с одной стороны, форсируя технологические процессы, а с другой — усиливая оборудование. Большего выжать из завода было нельзя. </w:t>
      </w:r>
    </w:p>
    <w:p w14:paraId="695CEBBD" w14:textId="77777777" w:rsidR="004B4E35" w:rsidRPr="00405303" w:rsidRDefault="009E6F82" w:rsidP="00C15251">
      <w:pPr>
        <w:jc w:val="both"/>
        <w:rPr>
          <w:bCs/>
          <w:color w:val="002060"/>
          <w:sz w:val="16"/>
          <w:szCs w:val="16"/>
        </w:rPr>
      </w:pPr>
      <w:r w:rsidRPr="00405303">
        <w:rPr>
          <w:bCs/>
          <w:color w:val="002060"/>
          <w:sz w:val="16"/>
          <w:szCs w:val="16"/>
        </w:rPr>
        <w:t>Что касается потребности в пулеметах, то цифра 800 шт. в месяц, указанная выше, была увеличена в августе 1915 г. до 1000 шт. в месяц, в сентябре того же года до 2078 шт. в месяц, а к 1 января 1916 г. она уже оказалась 4990. Таким образам, сентябрьская цифра потребности почти вдвое превысила тот максимум, 1200 шт., который мог дать Тульский завод, а январская — в 5 раз. Дефицит в пулеметах пришлось пополнять заграничными заказами, принимая на вооружение армии без особого разбора все системы, какие возможно было получить, — Кольта, Льюиса, Гочкиса, Шоша и др. (11329)</w:t>
      </w:r>
    </w:p>
    <w:p w14:paraId="2CCCA25B" w14:textId="77777777" w:rsidR="004B4E35" w:rsidRPr="00405303" w:rsidRDefault="004B4E35" w:rsidP="00C15251">
      <w:pPr>
        <w:shd w:val="clear" w:color="auto" w:fill="FFFFFF"/>
        <w:jc w:val="both"/>
        <w:rPr>
          <w:bCs/>
          <w:i/>
          <w:color w:val="002060"/>
          <w:sz w:val="16"/>
          <w:szCs w:val="16"/>
        </w:rPr>
      </w:pPr>
    </w:p>
    <w:p w14:paraId="347A4B5E" w14:textId="666C0AFC" w:rsidR="00C93371" w:rsidRPr="00405303" w:rsidRDefault="00C93371"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мае 1915 года</w:t>
      </w:r>
      <w:r w:rsidRPr="00405303">
        <w:rPr>
          <w:bCs/>
          <w:color w:val="002060"/>
          <w:sz w:val="16"/>
          <w:szCs w:val="16"/>
        </w:rPr>
        <w:t xml:space="preserve"> была разрешениа постройка казенного азотного завода в Юзовке. Предварительно под руководством акад. Ипатьева были лабораторным порядком разработаны методы добывания азотной кислоты из аммиачных вод путем окисления аммиака кислородом воздуха в присутствии катализатора, а затем — получения аммиачной селитры путем действия добытой азотной кислоты на аммиак. </w:t>
      </w:r>
    </w:p>
    <w:p w14:paraId="7BCFBD06" w14:textId="52AA32CF" w:rsidR="004B4E35" w:rsidRPr="00405303" w:rsidRDefault="00C93371" w:rsidP="00C15251">
      <w:pPr>
        <w:jc w:val="both"/>
        <w:rPr>
          <w:bCs/>
          <w:color w:val="002060"/>
          <w:sz w:val="16"/>
          <w:szCs w:val="16"/>
        </w:rPr>
      </w:pPr>
      <w:r w:rsidRPr="00405303">
        <w:rPr>
          <w:bCs/>
          <w:color w:val="002060"/>
          <w:sz w:val="16"/>
          <w:szCs w:val="16"/>
        </w:rPr>
        <w:t xml:space="preserve">Проектная производительность завода была определена в 600 000 пудов аммиачной селитры в </w:t>
      </w:r>
      <w:proofErr w:type="gramStart"/>
      <w:r w:rsidRPr="00405303">
        <w:rPr>
          <w:bCs/>
          <w:color w:val="002060"/>
          <w:sz w:val="16"/>
          <w:szCs w:val="16"/>
        </w:rPr>
        <w:t>год.</w:t>
      </w:r>
      <w:r w:rsidR="009E6F82" w:rsidRPr="00405303">
        <w:rPr>
          <w:bCs/>
          <w:color w:val="002060"/>
          <w:sz w:val="16"/>
          <w:szCs w:val="16"/>
        </w:rPr>
        <w:t>.</w:t>
      </w:r>
      <w:proofErr w:type="gramEnd"/>
      <w:r w:rsidR="009E6F82" w:rsidRPr="00405303">
        <w:rPr>
          <w:bCs/>
          <w:color w:val="002060"/>
          <w:sz w:val="16"/>
          <w:szCs w:val="16"/>
        </w:rPr>
        <w:t xml:space="preserve"> Стоимость по ценам 1916 г. определена в 1,3 млн рублей. К началу 1917 г. завод был оборудован на 1/3 проектной производительности. В 1917 г. завод начал производство, но в 1918 г. в связи с недостатком топлива прекратил его. За это время изготовлено 150 000 пудов азотной кислоты с 30% моногидрата, которая обращена была в аммиачную селитру (11329). </w:t>
      </w:r>
    </w:p>
    <w:p w14:paraId="13D28019" w14:textId="77777777" w:rsidR="00C93371" w:rsidRPr="00405303" w:rsidRDefault="00C93371" w:rsidP="00C15251">
      <w:pPr>
        <w:jc w:val="both"/>
        <w:rPr>
          <w:bCs/>
          <w:color w:val="002060"/>
          <w:sz w:val="16"/>
          <w:szCs w:val="16"/>
        </w:rPr>
      </w:pPr>
    </w:p>
    <w:p w14:paraId="0ED8DEA9" w14:textId="0AB318FE" w:rsidR="004B4E35" w:rsidRPr="00405303" w:rsidRDefault="00C93371"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мае 1915 г., </w:t>
      </w:r>
      <w:r w:rsidRPr="00405303">
        <w:rPr>
          <w:bCs/>
          <w:color w:val="002060"/>
          <w:sz w:val="16"/>
          <w:szCs w:val="16"/>
        </w:rPr>
        <w:t xml:space="preserve">начав производство фенола </w:t>
      </w:r>
      <w:r w:rsidR="009E6F82" w:rsidRPr="00405303">
        <w:rPr>
          <w:bCs/>
          <w:color w:val="002060"/>
          <w:sz w:val="16"/>
          <w:szCs w:val="16"/>
        </w:rPr>
        <w:t xml:space="preserve">завод </w:t>
      </w:r>
      <w:r w:rsidRPr="00405303">
        <w:rPr>
          <w:bCs/>
          <w:color w:val="002060"/>
          <w:sz w:val="16"/>
          <w:szCs w:val="16"/>
        </w:rPr>
        <w:t xml:space="preserve">на базе завода Фарбверке в Москве </w:t>
      </w:r>
      <w:r w:rsidR="009E6F82" w:rsidRPr="00405303">
        <w:rPr>
          <w:bCs/>
          <w:color w:val="002060"/>
          <w:sz w:val="16"/>
          <w:szCs w:val="16"/>
        </w:rPr>
        <w:t xml:space="preserve">в декабре мог давать уже до 6000 пудов в месяц. Затем были устроены заводы синтетического фенола: у ст. Рубежной, при заводе "Русско-Краска", и у ст. Шахтной Донецкой области при заводе Парамонова. </w:t>
      </w:r>
    </w:p>
    <w:p w14:paraId="30E2B603" w14:textId="77777777" w:rsidR="004B4E35" w:rsidRPr="00405303" w:rsidRDefault="009E6F82" w:rsidP="00C15251">
      <w:pPr>
        <w:jc w:val="both"/>
        <w:rPr>
          <w:bCs/>
          <w:color w:val="002060"/>
          <w:sz w:val="16"/>
          <w:szCs w:val="16"/>
        </w:rPr>
      </w:pPr>
      <w:r w:rsidRPr="00405303">
        <w:rPr>
          <w:bCs/>
          <w:color w:val="002060"/>
          <w:sz w:val="16"/>
          <w:szCs w:val="16"/>
        </w:rPr>
        <w:t xml:space="preserve">Так как производство синтетического фенола в нормальных условиях спроса не может выдерживать конкуренцию с фенолом натуральным, то Химический комитет, заботясь о нормальном развитии химической промышленности в дальнейшем, когда кончится война, организовал также получение карболовой кислоты и крезолов из тяжелой каменноугольной смолы и очистку этих продуктов. С этой целью был Львовым построен завод при ст. Железной Екатеринославской железной дороги. </w:t>
      </w:r>
    </w:p>
    <w:p w14:paraId="046D68E9" w14:textId="77777777" w:rsidR="004B4E35" w:rsidRPr="00405303" w:rsidRDefault="009E6F82" w:rsidP="00C15251">
      <w:pPr>
        <w:jc w:val="both"/>
        <w:rPr>
          <w:bCs/>
          <w:color w:val="002060"/>
          <w:sz w:val="16"/>
          <w:szCs w:val="16"/>
        </w:rPr>
      </w:pPr>
      <w:r w:rsidRPr="00405303">
        <w:rPr>
          <w:bCs/>
          <w:color w:val="002060"/>
          <w:sz w:val="16"/>
          <w:szCs w:val="16"/>
        </w:rPr>
        <w:t xml:space="preserve">Выработка синтетического фенола в 1916 г. выражается в следующих цифрах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08"/>
        <w:gridCol w:w="792"/>
      </w:tblGrid>
      <w:tr w:rsidR="004B4E35" w:rsidRPr="00405303" w14:paraId="58F7CCEC" w14:textId="77777777">
        <w:tc>
          <w:tcPr>
            <w:tcW w:w="2808" w:type="dxa"/>
          </w:tcPr>
          <w:p w14:paraId="745E619F" w14:textId="77777777" w:rsidR="004B4E35" w:rsidRPr="00405303" w:rsidRDefault="009E6F82" w:rsidP="00C15251">
            <w:pPr>
              <w:jc w:val="both"/>
              <w:rPr>
                <w:bCs/>
                <w:color w:val="002060"/>
                <w:sz w:val="16"/>
                <w:szCs w:val="16"/>
              </w:rPr>
            </w:pPr>
            <w:r w:rsidRPr="00405303">
              <w:rPr>
                <w:bCs/>
                <w:color w:val="002060"/>
                <w:sz w:val="16"/>
                <w:szCs w:val="16"/>
              </w:rPr>
              <w:t>Первое полугодие 1916 г.</w:t>
            </w:r>
          </w:p>
        </w:tc>
        <w:tc>
          <w:tcPr>
            <w:tcW w:w="792" w:type="dxa"/>
          </w:tcPr>
          <w:p w14:paraId="63D40CB1" w14:textId="77777777" w:rsidR="004B4E35" w:rsidRPr="00405303" w:rsidRDefault="009E6F82" w:rsidP="00C15251">
            <w:pPr>
              <w:jc w:val="both"/>
              <w:rPr>
                <w:bCs/>
                <w:color w:val="002060"/>
                <w:sz w:val="16"/>
                <w:szCs w:val="16"/>
              </w:rPr>
            </w:pPr>
            <w:r w:rsidRPr="00405303">
              <w:rPr>
                <w:bCs/>
                <w:color w:val="002060"/>
                <w:sz w:val="16"/>
                <w:szCs w:val="16"/>
              </w:rPr>
              <w:t xml:space="preserve">51.8 </w:t>
            </w:r>
          </w:p>
        </w:tc>
      </w:tr>
      <w:tr w:rsidR="004B4E35" w:rsidRPr="00405303" w14:paraId="427235B9" w14:textId="77777777">
        <w:tc>
          <w:tcPr>
            <w:tcW w:w="2808" w:type="dxa"/>
          </w:tcPr>
          <w:p w14:paraId="357D65C8" w14:textId="77777777" w:rsidR="004B4E35" w:rsidRPr="00405303" w:rsidRDefault="009E6F82" w:rsidP="00C15251">
            <w:pPr>
              <w:jc w:val="both"/>
              <w:rPr>
                <w:bCs/>
                <w:color w:val="002060"/>
                <w:sz w:val="16"/>
                <w:szCs w:val="16"/>
              </w:rPr>
            </w:pPr>
            <w:r w:rsidRPr="00405303">
              <w:rPr>
                <w:bCs/>
                <w:color w:val="002060"/>
                <w:sz w:val="16"/>
                <w:szCs w:val="16"/>
              </w:rPr>
              <w:t>Второе полугодие 1916 г.</w:t>
            </w:r>
          </w:p>
        </w:tc>
        <w:tc>
          <w:tcPr>
            <w:tcW w:w="792" w:type="dxa"/>
          </w:tcPr>
          <w:p w14:paraId="26B680A6" w14:textId="77777777" w:rsidR="004B4E35" w:rsidRPr="00405303" w:rsidRDefault="009E6F82" w:rsidP="00C15251">
            <w:pPr>
              <w:jc w:val="both"/>
              <w:rPr>
                <w:bCs/>
                <w:color w:val="002060"/>
                <w:sz w:val="16"/>
                <w:szCs w:val="16"/>
              </w:rPr>
            </w:pPr>
            <w:r w:rsidRPr="00405303">
              <w:rPr>
                <w:bCs/>
                <w:color w:val="002060"/>
                <w:sz w:val="16"/>
                <w:szCs w:val="16"/>
              </w:rPr>
              <w:t xml:space="preserve">73.1 </w:t>
            </w:r>
          </w:p>
        </w:tc>
      </w:tr>
      <w:tr w:rsidR="004B4E35" w:rsidRPr="00405303" w14:paraId="45BDCA5C" w14:textId="77777777">
        <w:tc>
          <w:tcPr>
            <w:tcW w:w="2808" w:type="dxa"/>
          </w:tcPr>
          <w:p w14:paraId="3283D6BF" w14:textId="77777777" w:rsidR="004B4E35" w:rsidRPr="00405303" w:rsidRDefault="009E6F82" w:rsidP="00C15251">
            <w:pPr>
              <w:jc w:val="both"/>
              <w:rPr>
                <w:bCs/>
                <w:color w:val="002060"/>
                <w:sz w:val="16"/>
                <w:szCs w:val="16"/>
              </w:rPr>
            </w:pPr>
            <w:r w:rsidRPr="00405303">
              <w:rPr>
                <w:bCs/>
                <w:color w:val="002060"/>
                <w:sz w:val="16"/>
                <w:szCs w:val="16"/>
              </w:rPr>
              <w:t>Всего за 1916 г.</w:t>
            </w:r>
          </w:p>
        </w:tc>
        <w:tc>
          <w:tcPr>
            <w:tcW w:w="792" w:type="dxa"/>
          </w:tcPr>
          <w:p w14:paraId="06D21D61" w14:textId="77777777" w:rsidR="004B4E35" w:rsidRPr="00405303" w:rsidRDefault="009E6F82" w:rsidP="00C15251">
            <w:pPr>
              <w:jc w:val="both"/>
              <w:rPr>
                <w:bCs/>
                <w:color w:val="002060"/>
                <w:sz w:val="16"/>
                <w:szCs w:val="16"/>
              </w:rPr>
            </w:pPr>
            <w:r w:rsidRPr="00405303">
              <w:rPr>
                <w:bCs/>
                <w:color w:val="002060"/>
                <w:sz w:val="16"/>
                <w:szCs w:val="16"/>
              </w:rPr>
              <w:t>124.9.</w:t>
            </w:r>
          </w:p>
        </w:tc>
      </w:tr>
    </w:tbl>
    <w:p w14:paraId="1D090723" w14:textId="77777777" w:rsidR="004B4E35" w:rsidRPr="00405303" w:rsidRDefault="009E6F82" w:rsidP="00C15251">
      <w:pPr>
        <w:jc w:val="both"/>
        <w:rPr>
          <w:bCs/>
          <w:color w:val="002060"/>
          <w:sz w:val="16"/>
          <w:szCs w:val="16"/>
        </w:rPr>
      </w:pPr>
      <w:r w:rsidRPr="00405303">
        <w:rPr>
          <w:bCs/>
          <w:color w:val="002060"/>
          <w:sz w:val="16"/>
          <w:szCs w:val="16"/>
        </w:rPr>
        <w:t xml:space="preserve">До войны серная кислота вырабатывалась в России в количестве до 1,25 млн пудов в месяц. Колчедан, необходимый для этой цели, в четверть добывался на Урале, остальные же три четверти привозились из-за границы. </w:t>
      </w:r>
    </w:p>
    <w:p w14:paraId="7E6389C6" w14:textId="77777777" w:rsidR="004B4E35" w:rsidRPr="00405303" w:rsidRDefault="009E6F82" w:rsidP="00C15251">
      <w:pPr>
        <w:jc w:val="both"/>
        <w:rPr>
          <w:bCs/>
          <w:color w:val="002060"/>
          <w:sz w:val="16"/>
          <w:szCs w:val="16"/>
        </w:rPr>
      </w:pPr>
      <w:r w:rsidRPr="00405303">
        <w:rPr>
          <w:bCs/>
          <w:color w:val="002060"/>
          <w:sz w:val="16"/>
          <w:szCs w:val="16"/>
        </w:rPr>
        <w:t xml:space="preserve">В связи с военными операциями на Западном фронте сернокислотные заводы Прибалтики и Царства Польского прекратили работы, благодаря чему с общего счета нужно было скинуть 0,5 млн пудов месячной производительности. </w:t>
      </w:r>
    </w:p>
    <w:p w14:paraId="4BA97CBF" w14:textId="77777777" w:rsidR="004B4E35" w:rsidRPr="00405303" w:rsidRDefault="009E6F82" w:rsidP="00C15251">
      <w:pPr>
        <w:jc w:val="both"/>
        <w:rPr>
          <w:bCs/>
          <w:color w:val="002060"/>
          <w:sz w:val="16"/>
          <w:szCs w:val="16"/>
        </w:rPr>
      </w:pPr>
      <w:r w:rsidRPr="00405303">
        <w:rPr>
          <w:bCs/>
          <w:color w:val="002060"/>
          <w:sz w:val="16"/>
          <w:szCs w:val="16"/>
        </w:rPr>
        <w:t xml:space="preserve">Такое положение с серной кислотой являлось угрозой делу производства порохов и взрывчатых веществ, которые вместе с ростом производства основных материалов — толуола, бензола и пр. — должны были и дальше сильно расти, соответственно с заданиями высшего командования. Поэтому требовались энергичные мероприятия со стороны Комиссии Ипатьева по восстановлению и развитию сернокислотного дела и исходных материалов для него. </w:t>
      </w:r>
    </w:p>
    <w:p w14:paraId="40238321" w14:textId="77777777" w:rsidR="004B4E35" w:rsidRPr="00405303" w:rsidRDefault="009E6F82" w:rsidP="00C15251">
      <w:pPr>
        <w:jc w:val="both"/>
        <w:rPr>
          <w:bCs/>
          <w:color w:val="002060"/>
          <w:sz w:val="16"/>
          <w:szCs w:val="16"/>
        </w:rPr>
      </w:pPr>
      <w:r w:rsidRPr="00405303">
        <w:rPr>
          <w:bCs/>
          <w:color w:val="002060"/>
          <w:sz w:val="16"/>
          <w:szCs w:val="16"/>
        </w:rPr>
        <w:t xml:space="preserve">С целью выяснить вопрос о возможности постройки новых сернокислотных заводов и развития старых, а также усиления добычи колчедана, в июне 1915 г. был собран съезд кислотозаводчиков и представителей серноколчеданных рудников. На съезде была выработала детальная программа развития сернокислотного и колчеданного дела, и, по утверждении ее Особым совещанием по обороне, с лета 1915 г. было приступлено к осуществлению ее. </w:t>
      </w:r>
    </w:p>
    <w:p w14:paraId="2D6A575D" w14:textId="77777777" w:rsidR="004B4E35" w:rsidRPr="00405303" w:rsidRDefault="009E6F82" w:rsidP="00C15251">
      <w:pPr>
        <w:jc w:val="both"/>
        <w:rPr>
          <w:bCs/>
          <w:color w:val="002060"/>
          <w:sz w:val="16"/>
          <w:szCs w:val="16"/>
        </w:rPr>
      </w:pPr>
      <w:proofErr w:type="gramStart"/>
      <w:r w:rsidRPr="00405303">
        <w:rPr>
          <w:bCs/>
          <w:color w:val="002060"/>
          <w:sz w:val="16"/>
          <w:szCs w:val="16"/>
        </w:rPr>
        <w:t>Согласно программы</w:t>
      </w:r>
      <w:proofErr w:type="gramEnd"/>
      <w:r w:rsidRPr="00405303">
        <w:rPr>
          <w:bCs/>
          <w:color w:val="002060"/>
          <w:sz w:val="16"/>
          <w:szCs w:val="16"/>
        </w:rPr>
        <w:t xml:space="preserve">, намечена была постройка с лета 1915 г. до 20 заводов серной кислоты, которые должны были увеличить вдвое выработку кислоты. Часть этих заводов предположена была к оборудованию контактными системами. </w:t>
      </w:r>
    </w:p>
    <w:p w14:paraId="63A66479" w14:textId="77777777" w:rsidR="004B4E35" w:rsidRPr="00405303" w:rsidRDefault="009E6F82" w:rsidP="00C15251">
      <w:pPr>
        <w:jc w:val="both"/>
        <w:rPr>
          <w:bCs/>
          <w:color w:val="002060"/>
          <w:sz w:val="16"/>
          <w:szCs w:val="16"/>
        </w:rPr>
      </w:pPr>
      <w:r w:rsidRPr="00405303">
        <w:rPr>
          <w:bCs/>
          <w:color w:val="002060"/>
          <w:sz w:val="16"/>
          <w:szCs w:val="16"/>
        </w:rPr>
        <w:t xml:space="preserve">Для наблюдения на местах за производством кислоты и правильного распределения ее между заводами военной и частной промышленности, а также для наблюдения за строительством, Комиссией по заготовлению взрывчатых веществ были организованы районные бюро. Районов было установлено шесть: Петроградский, Московский, Верхневолжский, Казанский, Уральский, Южный и Кавказский. </w:t>
      </w:r>
    </w:p>
    <w:p w14:paraId="0169600F" w14:textId="77777777" w:rsidR="004B4E35" w:rsidRPr="00405303" w:rsidRDefault="009E6F82" w:rsidP="00C15251">
      <w:pPr>
        <w:jc w:val="both"/>
        <w:rPr>
          <w:bCs/>
          <w:color w:val="002060"/>
          <w:sz w:val="16"/>
          <w:szCs w:val="16"/>
        </w:rPr>
      </w:pPr>
      <w:r w:rsidRPr="00405303">
        <w:rPr>
          <w:bCs/>
          <w:color w:val="002060"/>
          <w:sz w:val="16"/>
          <w:szCs w:val="16"/>
        </w:rPr>
        <w:t xml:space="preserve">Весьма серьезным вопросом являлось правильное распределение кислоты между потребителями частной промышленности, так как в связи с кислотным кризисом на рынке началась спекуляция и искусственное вздутие цен на этот материал. </w:t>
      </w:r>
    </w:p>
    <w:p w14:paraId="4296DAB8" w14:textId="77777777" w:rsidR="004B4E35" w:rsidRPr="00405303" w:rsidRDefault="009E6F82" w:rsidP="00C15251">
      <w:pPr>
        <w:jc w:val="both"/>
        <w:rPr>
          <w:bCs/>
          <w:color w:val="002060"/>
          <w:sz w:val="16"/>
          <w:szCs w:val="16"/>
        </w:rPr>
      </w:pPr>
      <w:r w:rsidRPr="00405303">
        <w:rPr>
          <w:bCs/>
          <w:color w:val="002060"/>
          <w:sz w:val="16"/>
          <w:szCs w:val="16"/>
        </w:rPr>
        <w:t xml:space="preserve">Ниже приводится таблица, в которой по месяцам указаны: 1) программа работы по производству серной кислоты заводов, существовавших к осени 1915 г., 2) число вновь организованных заводов, вступивших в работу, 3) программа, работы последних и 4) суммарный выпуск серной кислоты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1503"/>
        <w:gridCol w:w="1092"/>
        <w:gridCol w:w="1792"/>
        <w:gridCol w:w="972"/>
      </w:tblGrid>
      <w:tr w:rsidR="004B4E35" w:rsidRPr="00405303" w14:paraId="1F9DF8EA" w14:textId="77777777">
        <w:tc>
          <w:tcPr>
            <w:tcW w:w="1248" w:type="dxa"/>
          </w:tcPr>
          <w:p w14:paraId="30519252" w14:textId="457A67CB" w:rsidR="004B4E35" w:rsidRPr="00405303" w:rsidRDefault="00DB4D64" w:rsidP="00C15251">
            <w:pPr>
              <w:jc w:val="both"/>
              <w:rPr>
                <w:bCs/>
                <w:color w:val="002060"/>
                <w:sz w:val="16"/>
                <w:szCs w:val="16"/>
              </w:rPr>
            </w:pPr>
            <w:r w:rsidRPr="00405303">
              <w:rPr>
                <w:bCs/>
                <w:color w:val="002060"/>
                <w:sz w:val="16"/>
                <w:szCs w:val="16"/>
              </w:rPr>
              <w:lastRenderedPageBreak/>
              <w:t xml:space="preserve"> </w:t>
            </w:r>
          </w:p>
        </w:tc>
        <w:tc>
          <w:tcPr>
            <w:tcW w:w="1503" w:type="dxa"/>
          </w:tcPr>
          <w:p w14:paraId="4467320D" w14:textId="77777777" w:rsidR="004B4E35" w:rsidRPr="00405303" w:rsidRDefault="009E6F82" w:rsidP="00C15251">
            <w:pPr>
              <w:jc w:val="both"/>
              <w:rPr>
                <w:bCs/>
                <w:color w:val="002060"/>
                <w:sz w:val="16"/>
                <w:szCs w:val="16"/>
              </w:rPr>
            </w:pPr>
            <w:r w:rsidRPr="00405303">
              <w:rPr>
                <w:bCs/>
                <w:color w:val="002060"/>
                <w:sz w:val="16"/>
                <w:szCs w:val="16"/>
              </w:rPr>
              <w:t>Существовавшие к осени 1915 г. заводы</w:t>
            </w:r>
          </w:p>
        </w:tc>
        <w:tc>
          <w:tcPr>
            <w:tcW w:w="1092" w:type="dxa"/>
          </w:tcPr>
          <w:p w14:paraId="45F7E388" w14:textId="77777777" w:rsidR="004B4E35" w:rsidRPr="00405303" w:rsidRDefault="009E6F82" w:rsidP="00C15251">
            <w:pPr>
              <w:jc w:val="both"/>
              <w:rPr>
                <w:bCs/>
                <w:color w:val="002060"/>
                <w:sz w:val="16"/>
                <w:szCs w:val="16"/>
              </w:rPr>
            </w:pPr>
            <w:r w:rsidRPr="00405303">
              <w:rPr>
                <w:bCs/>
                <w:color w:val="002060"/>
                <w:sz w:val="16"/>
                <w:szCs w:val="16"/>
              </w:rPr>
              <w:t>Число новых заводов</w:t>
            </w:r>
          </w:p>
        </w:tc>
        <w:tc>
          <w:tcPr>
            <w:tcW w:w="1792" w:type="dxa"/>
          </w:tcPr>
          <w:p w14:paraId="51E0A4D5" w14:textId="77777777" w:rsidR="004B4E35" w:rsidRPr="00405303" w:rsidRDefault="009E6F82" w:rsidP="00C15251">
            <w:pPr>
              <w:jc w:val="both"/>
              <w:rPr>
                <w:bCs/>
                <w:color w:val="002060"/>
                <w:sz w:val="16"/>
                <w:szCs w:val="16"/>
              </w:rPr>
            </w:pPr>
            <w:r w:rsidRPr="00405303">
              <w:rPr>
                <w:bCs/>
                <w:color w:val="002060"/>
                <w:sz w:val="16"/>
                <w:szCs w:val="16"/>
              </w:rPr>
              <w:t>Производительность новых заводов</w:t>
            </w:r>
          </w:p>
        </w:tc>
        <w:tc>
          <w:tcPr>
            <w:tcW w:w="972" w:type="dxa"/>
          </w:tcPr>
          <w:p w14:paraId="322063B6" w14:textId="77777777" w:rsidR="004B4E35" w:rsidRPr="00405303" w:rsidRDefault="009E6F82" w:rsidP="00C15251">
            <w:pPr>
              <w:jc w:val="both"/>
              <w:rPr>
                <w:bCs/>
                <w:color w:val="002060"/>
                <w:sz w:val="16"/>
                <w:szCs w:val="16"/>
              </w:rPr>
            </w:pPr>
            <w:r w:rsidRPr="00405303">
              <w:rPr>
                <w:bCs/>
                <w:color w:val="002060"/>
                <w:sz w:val="16"/>
                <w:szCs w:val="16"/>
              </w:rPr>
              <w:t xml:space="preserve">Итого старые и новые </w:t>
            </w:r>
          </w:p>
        </w:tc>
      </w:tr>
      <w:tr w:rsidR="004B4E35" w:rsidRPr="00405303" w14:paraId="7AD044BF" w14:textId="77777777">
        <w:tc>
          <w:tcPr>
            <w:tcW w:w="1248" w:type="dxa"/>
          </w:tcPr>
          <w:p w14:paraId="0A62DA8A" w14:textId="2895CF4E" w:rsidR="004B4E35" w:rsidRPr="00405303" w:rsidRDefault="00DB4D64" w:rsidP="00C15251">
            <w:pPr>
              <w:jc w:val="both"/>
              <w:rPr>
                <w:bCs/>
                <w:color w:val="002060"/>
                <w:sz w:val="16"/>
                <w:szCs w:val="16"/>
              </w:rPr>
            </w:pPr>
            <w:r w:rsidRPr="00405303">
              <w:rPr>
                <w:bCs/>
                <w:color w:val="002060"/>
                <w:sz w:val="16"/>
                <w:szCs w:val="16"/>
              </w:rPr>
              <w:t xml:space="preserve"> </w:t>
            </w:r>
          </w:p>
        </w:tc>
        <w:tc>
          <w:tcPr>
            <w:tcW w:w="4387" w:type="dxa"/>
            <w:gridSpan w:val="3"/>
          </w:tcPr>
          <w:p w14:paraId="0D669616" w14:textId="77777777" w:rsidR="004B4E35" w:rsidRPr="00405303" w:rsidRDefault="009E6F82" w:rsidP="00C15251">
            <w:pPr>
              <w:jc w:val="both"/>
              <w:rPr>
                <w:bCs/>
                <w:color w:val="002060"/>
                <w:sz w:val="16"/>
                <w:szCs w:val="16"/>
              </w:rPr>
            </w:pPr>
            <w:r w:rsidRPr="00405303">
              <w:rPr>
                <w:bCs/>
                <w:color w:val="002060"/>
                <w:sz w:val="16"/>
                <w:szCs w:val="16"/>
              </w:rPr>
              <w:t>Программа</w:t>
            </w:r>
          </w:p>
        </w:tc>
        <w:tc>
          <w:tcPr>
            <w:tcW w:w="972" w:type="dxa"/>
          </w:tcPr>
          <w:p w14:paraId="33987514" w14:textId="7F458084" w:rsidR="004B4E35" w:rsidRPr="00405303" w:rsidRDefault="00DB4D64" w:rsidP="00C15251">
            <w:pPr>
              <w:jc w:val="both"/>
              <w:rPr>
                <w:bCs/>
                <w:color w:val="002060"/>
                <w:sz w:val="16"/>
                <w:szCs w:val="16"/>
              </w:rPr>
            </w:pPr>
            <w:r w:rsidRPr="00405303">
              <w:rPr>
                <w:bCs/>
                <w:color w:val="002060"/>
                <w:sz w:val="16"/>
                <w:szCs w:val="16"/>
              </w:rPr>
              <w:t xml:space="preserve"> </w:t>
            </w:r>
          </w:p>
        </w:tc>
      </w:tr>
      <w:tr w:rsidR="004B4E35" w:rsidRPr="00405303" w14:paraId="47EFB03B" w14:textId="77777777">
        <w:tc>
          <w:tcPr>
            <w:tcW w:w="1248" w:type="dxa"/>
          </w:tcPr>
          <w:p w14:paraId="22EA5457" w14:textId="77777777" w:rsidR="004B4E35" w:rsidRPr="00405303" w:rsidRDefault="009E6F82" w:rsidP="00C15251">
            <w:pPr>
              <w:jc w:val="both"/>
              <w:rPr>
                <w:bCs/>
                <w:color w:val="002060"/>
                <w:sz w:val="16"/>
                <w:szCs w:val="16"/>
              </w:rPr>
            </w:pPr>
            <w:r w:rsidRPr="00405303">
              <w:rPr>
                <w:bCs/>
                <w:color w:val="002060"/>
                <w:sz w:val="16"/>
                <w:szCs w:val="16"/>
              </w:rPr>
              <w:t>Декабрь 1915 г.</w:t>
            </w:r>
          </w:p>
        </w:tc>
        <w:tc>
          <w:tcPr>
            <w:tcW w:w="1503" w:type="dxa"/>
          </w:tcPr>
          <w:p w14:paraId="12B25850"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5EF2AC35" w14:textId="77777777" w:rsidR="004B4E35" w:rsidRPr="00405303" w:rsidRDefault="009E6F82" w:rsidP="00C15251">
            <w:pPr>
              <w:jc w:val="both"/>
              <w:rPr>
                <w:bCs/>
                <w:color w:val="002060"/>
                <w:sz w:val="16"/>
                <w:szCs w:val="16"/>
              </w:rPr>
            </w:pPr>
            <w:r w:rsidRPr="00405303">
              <w:rPr>
                <w:bCs/>
                <w:color w:val="002060"/>
                <w:sz w:val="16"/>
                <w:szCs w:val="16"/>
              </w:rPr>
              <w:t>2</w:t>
            </w:r>
          </w:p>
        </w:tc>
        <w:tc>
          <w:tcPr>
            <w:tcW w:w="1792" w:type="dxa"/>
          </w:tcPr>
          <w:p w14:paraId="1EC56178" w14:textId="77777777" w:rsidR="004B4E35" w:rsidRPr="00405303" w:rsidRDefault="009E6F82" w:rsidP="00C15251">
            <w:pPr>
              <w:jc w:val="both"/>
              <w:rPr>
                <w:bCs/>
                <w:color w:val="002060"/>
                <w:sz w:val="16"/>
                <w:szCs w:val="16"/>
              </w:rPr>
            </w:pPr>
            <w:r w:rsidRPr="00405303">
              <w:rPr>
                <w:bCs/>
                <w:color w:val="002060"/>
                <w:sz w:val="16"/>
                <w:szCs w:val="16"/>
              </w:rPr>
              <w:t>75</w:t>
            </w:r>
          </w:p>
        </w:tc>
        <w:tc>
          <w:tcPr>
            <w:tcW w:w="972" w:type="dxa"/>
          </w:tcPr>
          <w:p w14:paraId="153907DF" w14:textId="77777777" w:rsidR="004B4E35" w:rsidRPr="00405303" w:rsidRDefault="009E6F82" w:rsidP="00C15251">
            <w:pPr>
              <w:jc w:val="both"/>
              <w:rPr>
                <w:bCs/>
                <w:color w:val="002060"/>
                <w:sz w:val="16"/>
                <w:szCs w:val="16"/>
              </w:rPr>
            </w:pPr>
            <w:r w:rsidRPr="00405303">
              <w:rPr>
                <w:bCs/>
                <w:color w:val="002060"/>
                <w:sz w:val="16"/>
                <w:szCs w:val="16"/>
              </w:rPr>
              <w:t>875</w:t>
            </w:r>
          </w:p>
        </w:tc>
      </w:tr>
      <w:tr w:rsidR="004B4E35" w:rsidRPr="00405303" w14:paraId="37B98723" w14:textId="77777777">
        <w:tc>
          <w:tcPr>
            <w:tcW w:w="1248" w:type="dxa"/>
          </w:tcPr>
          <w:p w14:paraId="5148A671" w14:textId="77777777" w:rsidR="004B4E35" w:rsidRPr="00405303" w:rsidRDefault="009E6F82" w:rsidP="00C15251">
            <w:pPr>
              <w:jc w:val="both"/>
              <w:rPr>
                <w:bCs/>
                <w:color w:val="002060"/>
                <w:sz w:val="16"/>
                <w:szCs w:val="16"/>
              </w:rPr>
            </w:pPr>
            <w:r w:rsidRPr="00405303">
              <w:rPr>
                <w:bCs/>
                <w:color w:val="002060"/>
                <w:sz w:val="16"/>
                <w:szCs w:val="16"/>
              </w:rPr>
              <w:t>Январь 1916 г.</w:t>
            </w:r>
          </w:p>
        </w:tc>
        <w:tc>
          <w:tcPr>
            <w:tcW w:w="1503" w:type="dxa"/>
          </w:tcPr>
          <w:p w14:paraId="6B26232D"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3120654B" w14:textId="77777777" w:rsidR="004B4E35" w:rsidRPr="00405303" w:rsidRDefault="009E6F82" w:rsidP="00C15251">
            <w:pPr>
              <w:jc w:val="both"/>
              <w:rPr>
                <w:bCs/>
                <w:color w:val="002060"/>
                <w:sz w:val="16"/>
                <w:szCs w:val="16"/>
              </w:rPr>
            </w:pPr>
            <w:r w:rsidRPr="00405303">
              <w:rPr>
                <w:bCs/>
                <w:color w:val="002060"/>
                <w:sz w:val="16"/>
                <w:szCs w:val="16"/>
              </w:rPr>
              <w:t>6</w:t>
            </w:r>
          </w:p>
        </w:tc>
        <w:tc>
          <w:tcPr>
            <w:tcW w:w="1792" w:type="dxa"/>
          </w:tcPr>
          <w:p w14:paraId="42DAB01C" w14:textId="77777777" w:rsidR="004B4E35" w:rsidRPr="00405303" w:rsidRDefault="009E6F82" w:rsidP="00C15251">
            <w:pPr>
              <w:jc w:val="both"/>
              <w:rPr>
                <w:bCs/>
                <w:color w:val="002060"/>
                <w:sz w:val="16"/>
                <w:szCs w:val="16"/>
              </w:rPr>
            </w:pPr>
            <w:r w:rsidRPr="00405303">
              <w:rPr>
                <w:bCs/>
                <w:color w:val="002060"/>
                <w:sz w:val="16"/>
                <w:szCs w:val="16"/>
              </w:rPr>
              <w:t>249,1</w:t>
            </w:r>
          </w:p>
        </w:tc>
        <w:tc>
          <w:tcPr>
            <w:tcW w:w="972" w:type="dxa"/>
          </w:tcPr>
          <w:p w14:paraId="5AA2EF0C" w14:textId="77777777" w:rsidR="004B4E35" w:rsidRPr="00405303" w:rsidRDefault="009E6F82" w:rsidP="00C15251">
            <w:pPr>
              <w:jc w:val="both"/>
              <w:rPr>
                <w:bCs/>
                <w:color w:val="002060"/>
                <w:sz w:val="16"/>
                <w:szCs w:val="16"/>
              </w:rPr>
            </w:pPr>
            <w:r w:rsidRPr="00405303">
              <w:rPr>
                <w:bCs/>
                <w:color w:val="002060"/>
                <w:sz w:val="16"/>
                <w:szCs w:val="16"/>
              </w:rPr>
              <w:t>1.049,1</w:t>
            </w:r>
          </w:p>
        </w:tc>
      </w:tr>
      <w:tr w:rsidR="004B4E35" w:rsidRPr="00405303" w14:paraId="57FC01F5" w14:textId="77777777">
        <w:tc>
          <w:tcPr>
            <w:tcW w:w="1248" w:type="dxa"/>
          </w:tcPr>
          <w:p w14:paraId="63821325" w14:textId="77777777" w:rsidR="004B4E35" w:rsidRPr="00405303" w:rsidRDefault="009E6F82" w:rsidP="00C15251">
            <w:pPr>
              <w:jc w:val="both"/>
              <w:rPr>
                <w:bCs/>
                <w:color w:val="002060"/>
                <w:sz w:val="16"/>
                <w:szCs w:val="16"/>
              </w:rPr>
            </w:pPr>
            <w:r w:rsidRPr="00405303">
              <w:rPr>
                <w:bCs/>
                <w:color w:val="002060"/>
                <w:sz w:val="16"/>
                <w:szCs w:val="16"/>
              </w:rPr>
              <w:t>Февраль</w:t>
            </w:r>
          </w:p>
        </w:tc>
        <w:tc>
          <w:tcPr>
            <w:tcW w:w="1503" w:type="dxa"/>
          </w:tcPr>
          <w:p w14:paraId="10254C95"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01F7B751" w14:textId="77777777" w:rsidR="004B4E35" w:rsidRPr="00405303" w:rsidRDefault="009E6F82" w:rsidP="00C15251">
            <w:pPr>
              <w:jc w:val="both"/>
              <w:rPr>
                <w:bCs/>
                <w:color w:val="002060"/>
                <w:sz w:val="16"/>
                <w:szCs w:val="16"/>
              </w:rPr>
            </w:pPr>
            <w:r w:rsidRPr="00405303">
              <w:rPr>
                <w:bCs/>
                <w:color w:val="002060"/>
                <w:sz w:val="16"/>
                <w:szCs w:val="16"/>
              </w:rPr>
              <w:t>8</w:t>
            </w:r>
          </w:p>
        </w:tc>
        <w:tc>
          <w:tcPr>
            <w:tcW w:w="1792" w:type="dxa"/>
          </w:tcPr>
          <w:p w14:paraId="174040F8" w14:textId="77777777" w:rsidR="004B4E35" w:rsidRPr="00405303" w:rsidRDefault="009E6F82" w:rsidP="00C15251">
            <w:pPr>
              <w:jc w:val="both"/>
              <w:rPr>
                <w:bCs/>
                <w:color w:val="002060"/>
                <w:sz w:val="16"/>
                <w:szCs w:val="16"/>
              </w:rPr>
            </w:pPr>
            <w:r w:rsidRPr="00405303">
              <w:rPr>
                <w:bCs/>
                <w:color w:val="002060"/>
                <w:sz w:val="16"/>
                <w:szCs w:val="16"/>
              </w:rPr>
              <w:t>342,6</w:t>
            </w:r>
          </w:p>
        </w:tc>
        <w:tc>
          <w:tcPr>
            <w:tcW w:w="972" w:type="dxa"/>
          </w:tcPr>
          <w:p w14:paraId="170939D3" w14:textId="77777777" w:rsidR="004B4E35" w:rsidRPr="00405303" w:rsidRDefault="009E6F82" w:rsidP="00C15251">
            <w:pPr>
              <w:jc w:val="both"/>
              <w:rPr>
                <w:bCs/>
                <w:color w:val="002060"/>
                <w:sz w:val="16"/>
                <w:szCs w:val="16"/>
              </w:rPr>
            </w:pPr>
            <w:r w:rsidRPr="00405303">
              <w:rPr>
                <w:bCs/>
                <w:color w:val="002060"/>
                <w:sz w:val="16"/>
                <w:szCs w:val="16"/>
              </w:rPr>
              <w:t>1.142,6</w:t>
            </w:r>
          </w:p>
        </w:tc>
      </w:tr>
      <w:tr w:rsidR="004B4E35" w:rsidRPr="00405303" w14:paraId="5CCD7F8D" w14:textId="77777777">
        <w:tc>
          <w:tcPr>
            <w:tcW w:w="1248" w:type="dxa"/>
          </w:tcPr>
          <w:p w14:paraId="79E3F795" w14:textId="77777777" w:rsidR="004B4E35" w:rsidRPr="00405303" w:rsidRDefault="009E6F82" w:rsidP="00C15251">
            <w:pPr>
              <w:jc w:val="both"/>
              <w:rPr>
                <w:bCs/>
                <w:color w:val="002060"/>
                <w:sz w:val="16"/>
                <w:szCs w:val="16"/>
              </w:rPr>
            </w:pPr>
            <w:r w:rsidRPr="00405303">
              <w:rPr>
                <w:bCs/>
                <w:color w:val="002060"/>
                <w:sz w:val="16"/>
                <w:szCs w:val="16"/>
              </w:rPr>
              <w:t>М«рт</w:t>
            </w:r>
          </w:p>
        </w:tc>
        <w:tc>
          <w:tcPr>
            <w:tcW w:w="1503" w:type="dxa"/>
          </w:tcPr>
          <w:p w14:paraId="399DF854"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7C4C8940" w14:textId="77777777" w:rsidR="004B4E35" w:rsidRPr="00405303" w:rsidRDefault="009E6F82" w:rsidP="00C15251">
            <w:pPr>
              <w:jc w:val="both"/>
              <w:rPr>
                <w:bCs/>
                <w:color w:val="002060"/>
                <w:sz w:val="16"/>
                <w:szCs w:val="16"/>
              </w:rPr>
            </w:pPr>
            <w:r w:rsidRPr="00405303">
              <w:rPr>
                <w:bCs/>
                <w:color w:val="002060"/>
                <w:sz w:val="16"/>
                <w:szCs w:val="16"/>
              </w:rPr>
              <w:t>11</w:t>
            </w:r>
          </w:p>
        </w:tc>
        <w:tc>
          <w:tcPr>
            <w:tcW w:w="1792" w:type="dxa"/>
          </w:tcPr>
          <w:p w14:paraId="1F3A5B2E" w14:textId="77777777" w:rsidR="004B4E35" w:rsidRPr="00405303" w:rsidRDefault="009E6F82" w:rsidP="00C15251">
            <w:pPr>
              <w:jc w:val="both"/>
              <w:rPr>
                <w:bCs/>
                <w:color w:val="002060"/>
                <w:sz w:val="16"/>
                <w:szCs w:val="16"/>
              </w:rPr>
            </w:pPr>
            <w:r w:rsidRPr="00405303">
              <w:rPr>
                <w:bCs/>
                <w:color w:val="002060"/>
                <w:sz w:val="16"/>
                <w:szCs w:val="16"/>
              </w:rPr>
              <w:t>479,9</w:t>
            </w:r>
          </w:p>
        </w:tc>
        <w:tc>
          <w:tcPr>
            <w:tcW w:w="972" w:type="dxa"/>
          </w:tcPr>
          <w:p w14:paraId="1CC8C22A" w14:textId="77777777" w:rsidR="004B4E35" w:rsidRPr="00405303" w:rsidRDefault="009E6F82" w:rsidP="00C15251">
            <w:pPr>
              <w:jc w:val="both"/>
              <w:rPr>
                <w:bCs/>
                <w:color w:val="002060"/>
                <w:sz w:val="16"/>
                <w:szCs w:val="16"/>
              </w:rPr>
            </w:pPr>
            <w:r w:rsidRPr="00405303">
              <w:rPr>
                <w:bCs/>
                <w:color w:val="002060"/>
                <w:sz w:val="16"/>
                <w:szCs w:val="16"/>
              </w:rPr>
              <w:t>1.279,9</w:t>
            </w:r>
          </w:p>
        </w:tc>
      </w:tr>
      <w:tr w:rsidR="004B4E35" w:rsidRPr="00405303" w14:paraId="7808E0A9" w14:textId="77777777">
        <w:tc>
          <w:tcPr>
            <w:tcW w:w="1248" w:type="dxa"/>
          </w:tcPr>
          <w:p w14:paraId="52A32A33" w14:textId="77777777" w:rsidR="004B4E35" w:rsidRPr="00405303" w:rsidRDefault="009E6F82" w:rsidP="00C15251">
            <w:pPr>
              <w:jc w:val="both"/>
              <w:rPr>
                <w:bCs/>
                <w:color w:val="002060"/>
                <w:sz w:val="16"/>
                <w:szCs w:val="16"/>
              </w:rPr>
            </w:pPr>
            <w:r w:rsidRPr="00405303">
              <w:rPr>
                <w:bCs/>
                <w:color w:val="002060"/>
                <w:sz w:val="16"/>
                <w:szCs w:val="16"/>
              </w:rPr>
              <w:t>Апрель</w:t>
            </w:r>
          </w:p>
        </w:tc>
        <w:tc>
          <w:tcPr>
            <w:tcW w:w="1503" w:type="dxa"/>
          </w:tcPr>
          <w:p w14:paraId="5896C888"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2B97F9BA" w14:textId="77777777" w:rsidR="004B4E35" w:rsidRPr="00405303" w:rsidRDefault="009E6F82" w:rsidP="00C15251">
            <w:pPr>
              <w:jc w:val="both"/>
              <w:rPr>
                <w:bCs/>
                <w:color w:val="002060"/>
                <w:sz w:val="16"/>
                <w:szCs w:val="16"/>
              </w:rPr>
            </w:pPr>
            <w:r w:rsidRPr="00405303">
              <w:rPr>
                <w:bCs/>
                <w:color w:val="002060"/>
                <w:sz w:val="16"/>
                <w:szCs w:val="16"/>
              </w:rPr>
              <w:t>15</w:t>
            </w:r>
          </w:p>
        </w:tc>
        <w:tc>
          <w:tcPr>
            <w:tcW w:w="1792" w:type="dxa"/>
          </w:tcPr>
          <w:p w14:paraId="005412C4" w14:textId="77777777" w:rsidR="004B4E35" w:rsidRPr="00405303" w:rsidRDefault="009E6F82" w:rsidP="00C15251">
            <w:pPr>
              <w:jc w:val="both"/>
              <w:rPr>
                <w:bCs/>
                <w:color w:val="002060"/>
                <w:sz w:val="16"/>
                <w:szCs w:val="16"/>
              </w:rPr>
            </w:pPr>
            <w:r w:rsidRPr="00405303">
              <w:rPr>
                <w:bCs/>
                <w:color w:val="002060"/>
                <w:sz w:val="16"/>
                <w:szCs w:val="16"/>
              </w:rPr>
              <w:t>632,1</w:t>
            </w:r>
          </w:p>
        </w:tc>
        <w:tc>
          <w:tcPr>
            <w:tcW w:w="972" w:type="dxa"/>
          </w:tcPr>
          <w:p w14:paraId="3460938A" w14:textId="77777777" w:rsidR="004B4E35" w:rsidRPr="00405303" w:rsidRDefault="009E6F82" w:rsidP="00C15251">
            <w:pPr>
              <w:jc w:val="both"/>
              <w:rPr>
                <w:bCs/>
                <w:color w:val="002060"/>
                <w:sz w:val="16"/>
                <w:szCs w:val="16"/>
              </w:rPr>
            </w:pPr>
            <w:r w:rsidRPr="00405303">
              <w:rPr>
                <w:bCs/>
                <w:color w:val="002060"/>
                <w:sz w:val="16"/>
                <w:szCs w:val="16"/>
              </w:rPr>
              <w:t>1.432,1</w:t>
            </w:r>
          </w:p>
        </w:tc>
      </w:tr>
      <w:tr w:rsidR="004B4E35" w:rsidRPr="00405303" w14:paraId="39115678" w14:textId="77777777">
        <w:tc>
          <w:tcPr>
            <w:tcW w:w="1248" w:type="dxa"/>
          </w:tcPr>
          <w:p w14:paraId="079F9F38" w14:textId="77777777" w:rsidR="004B4E35" w:rsidRPr="00405303" w:rsidRDefault="009E6F82" w:rsidP="00C15251">
            <w:pPr>
              <w:jc w:val="both"/>
              <w:rPr>
                <w:bCs/>
                <w:color w:val="002060"/>
                <w:sz w:val="16"/>
                <w:szCs w:val="16"/>
              </w:rPr>
            </w:pPr>
            <w:r w:rsidRPr="00405303">
              <w:rPr>
                <w:bCs/>
                <w:color w:val="002060"/>
                <w:sz w:val="16"/>
                <w:szCs w:val="16"/>
              </w:rPr>
              <w:t>Май</w:t>
            </w:r>
          </w:p>
        </w:tc>
        <w:tc>
          <w:tcPr>
            <w:tcW w:w="1503" w:type="dxa"/>
          </w:tcPr>
          <w:p w14:paraId="11ABE982"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0B29E29E" w14:textId="77777777" w:rsidR="004B4E35" w:rsidRPr="00405303" w:rsidRDefault="009E6F82" w:rsidP="00C15251">
            <w:pPr>
              <w:jc w:val="both"/>
              <w:rPr>
                <w:bCs/>
                <w:color w:val="002060"/>
                <w:sz w:val="16"/>
                <w:szCs w:val="16"/>
              </w:rPr>
            </w:pPr>
            <w:r w:rsidRPr="00405303">
              <w:rPr>
                <w:bCs/>
                <w:color w:val="002060"/>
                <w:sz w:val="16"/>
                <w:szCs w:val="16"/>
              </w:rPr>
              <w:t>18</w:t>
            </w:r>
          </w:p>
        </w:tc>
        <w:tc>
          <w:tcPr>
            <w:tcW w:w="1792" w:type="dxa"/>
          </w:tcPr>
          <w:p w14:paraId="60E77853" w14:textId="77777777" w:rsidR="004B4E35" w:rsidRPr="00405303" w:rsidRDefault="009E6F82" w:rsidP="00C15251">
            <w:pPr>
              <w:jc w:val="both"/>
              <w:rPr>
                <w:bCs/>
                <w:color w:val="002060"/>
                <w:sz w:val="16"/>
                <w:szCs w:val="16"/>
              </w:rPr>
            </w:pPr>
            <w:r w:rsidRPr="00405303">
              <w:rPr>
                <w:bCs/>
                <w:color w:val="002060"/>
                <w:sz w:val="16"/>
                <w:szCs w:val="16"/>
              </w:rPr>
              <w:t>739,8</w:t>
            </w:r>
          </w:p>
        </w:tc>
        <w:tc>
          <w:tcPr>
            <w:tcW w:w="972" w:type="dxa"/>
          </w:tcPr>
          <w:p w14:paraId="2AFFF972" w14:textId="77777777" w:rsidR="004B4E35" w:rsidRPr="00405303" w:rsidRDefault="009E6F82" w:rsidP="00C15251">
            <w:pPr>
              <w:jc w:val="both"/>
              <w:rPr>
                <w:bCs/>
                <w:color w:val="002060"/>
                <w:sz w:val="16"/>
                <w:szCs w:val="16"/>
              </w:rPr>
            </w:pPr>
            <w:r w:rsidRPr="00405303">
              <w:rPr>
                <w:bCs/>
                <w:color w:val="002060"/>
                <w:sz w:val="16"/>
                <w:szCs w:val="16"/>
              </w:rPr>
              <w:t>1.539,8</w:t>
            </w:r>
          </w:p>
        </w:tc>
      </w:tr>
      <w:tr w:rsidR="004B4E35" w:rsidRPr="00405303" w14:paraId="4AD5862C" w14:textId="77777777">
        <w:tc>
          <w:tcPr>
            <w:tcW w:w="1248" w:type="dxa"/>
          </w:tcPr>
          <w:p w14:paraId="692EFB14" w14:textId="77777777" w:rsidR="004B4E35" w:rsidRPr="00405303" w:rsidRDefault="009E6F82" w:rsidP="00C15251">
            <w:pPr>
              <w:jc w:val="both"/>
              <w:rPr>
                <w:bCs/>
                <w:color w:val="002060"/>
                <w:sz w:val="16"/>
                <w:szCs w:val="16"/>
              </w:rPr>
            </w:pPr>
            <w:r w:rsidRPr="00405303">
              <w:rPr>
                <w:bCs/>
                <w:color w:val="002060"/>
                <w:sz w:val="16"/>
                <w:szCs w:val="16"/>
              </w:rPr>
              <w:t>Июнь</w:t>
            </w:r>
          </w:p>
        </w:tc>
        <w:tc>
          <w:tcPr>
            <w:tcW w:w="1503" w:type="dxa"/>
          </w:tcPr>
          <w:p w14:paraId="4A632507"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5890538F" w14:textId="77777777" w:rsidR="004B4E35" w:rsidRPr="00405303" w:rsidRDefault="009E6F82" w:rsidP="00C15251">
            <w:pPr>
              <w:jc w:val="both"/>
              <w:rPr>
                <w:bCs/>
                <w:color w:val="002060"/>
                <w:sz w:val="16"/>
                <w:szCs w:val="16"/>
              </w:rPr>
            </w:pPr>
            <w:r w:rsidRPr="00405303">
              <w:rPr>
                <w:bCs/>
                <w:color w:val="002060"/>
                <w:sz w:val="16"/>
                <w:szCs w:val="16"/>
              </w:rPr>
              <w:t>18</w:t>
            </w:r>
          </w:p>
        </w:tc>
        <w:tc>
          <w:tcPr>
            <w:tcW w:w="1792" w:type="dxa"/>
          </w:tcPr>
          <w:p w14:paraId="33E282DF" w14:textId="77777777" w:rsidR="004B4E35" w:rsidRPr="00405303" w:rsidRDefault="009E6F82" w:rsidP="00C15251">
            <w:pPr>
              <w:jc w:val="both"/>
              <w:rPr>
                <w:bCs/>
                <w:color w:val="002060"/>
                <w:sz w:val="16"/>
                <w:szCs w:val="16"/>
              </w:rPr>
            </w:pPr>
            <w:r w:rsidRPr="00405303">
              <w:rPr>
                <w:bCs/>
                <w:color w:val="002060"/>
                <w:sz w:val="16"/>
                <w:szCs w:val="16"/>
              </w:rPr>
              <w:t>739,8</w:t>
            </w:r>
          </w:p>
        </w:tc>
        <w:tc>
          <w:tcPr>
            <w:tcW w:w="972" w:type="dxa"/>
          </w:tcPr>
          <w:p w14:paraId="13C36A66" w14:textId="77777777" w:rsidR="004B4E35" w:rsidRPr="00405303" w:rsidRDefault="009E6F82" w:rsidP="00C15251">
            <w:pPr>
              <w:jc w:val="both"/>
              <w:rPr>
                <w:bCs/>
                <w:color w:val="002060"/>
                <w:sz w:val="16"/>
                <w:szCs w:val="16"/>
              </w:rPr>
            </w:pPr>
            <w:r w:rsidRPr="00405303">
              <w:rPr>
                <w:bCs/>
                <w:color w:val="002060"/>
                <w:sz w:val="16"/>
                <w:szCs w:val="16"/>
              </w:rPr>
              <w:t>1.539,8</w:t>
            </w:r>
          </w:p>
        </w:tc>
      </w:tr>
      <w:tr w:rsidR="004B4E35" w:rsidRPr="00405303" w14:paraId="1BB3C37D" w14:textId="77777777">
        <w:tc>
          <w:tcPr>
            <w:tcW w:w="1248" w:type="dxa"/>
          </w:tcPr>
          <w:p w14:paraId="7C892BE2" w14:textId="77777777" w:rsidR="004B4E35" w:rsidRPr="00405303" w:rsidRDefault="009E6F82" w:rsidP="00C15251">
            <w:pPr>
              <w:jc w:val="both"/>
              <w:rPr>
                <w:bCs/>
                <w:color w:val="002060"/>
                <w:sz w:val="16"/>
                <w:szCs w:val="16"/>
              </w:rPr>
            </w:pPr>
            <w:r w:rsidRPr="00405303">
              <w:rPr>
                <w:bCs/>
                <w:color w:val="002060"/>
                <w:sz w:val="16"/>
                <w:szCs w:val="16"/>
              </w:rPr>
              <w:t>Июль</w:t>
            </w:r>
          </w:p>
        </w:tc>
        <w:tc>
          <w:tcPr>
            <w:tcW w:w="1503" w:type="dxa"/>
          </w:tcPr>
          <w:p w14:paraId="35657E81"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11B2E904" w14:textId="77777777" w:rsidR="004B4E35" w:rsidRPr="00405303" w:rsidRDefault="009E6F82" w:rsidP="00C15251">
            <w:pPr>
              <w:jc w:val="both"/>
              <w:rPr>
                <w:bCs/>
                <w:color w:val="002060"/>
                <w:sz w:val="16"/>
                <w:szCs w:val="16"/>
              </w:rPr>
            </w:pPr>
            <w:r w:rsidRPr="00405303">
              <w:rPr>
                <w:bCs/>
                <w:color w:val="002060"/>
                <w:sz w:val="16"/>
                <w:szCs w:val="16"/>
              </w:rPr>
              <w:t>23</w:t>
            </w:r>
          </w:p>
        </w:tc>
        <w:tc>
          <w:tcPr>
            <w:tcW w:w="1792" w:type="dxa"/>
          </w:tcPr>
          <w:p w14:paraId="17A2033D" w14:textId="77777777" w:rsidR="004B4E35" w:rsidRPr="00405303" w:rsidRDefault="009E6F82" w:rsidP="00C15251">
            <w:pPr>
              <w:jc w:val="both"/>
              <w:rPr>
                <w:bCs/>
                <w:color w:val="002060"/>
                <w:sz w:val="16"/>
                <w:szCs w:val="16"/>
              </w:rPr>
            </w:pPr>
            <w:r w:rsidRPr="00405303">
              <w:rPr>
                <w:bCs/>
                <w:color w:val="002060"/>
                <w:sz w:val="16"/>
                <w:szCs w:val="16"/>
              </w:rPr>
              <w:t>932,4</w:t>
            </w:r>
          </w:p>
        </w:tc>
        <w:tc>
          <w:tcPr>
            <w:tcW w:w="972" w:type="dxa"/>
          </w:tcPr>
          <w:p w14:paraId="3D630B42" w14:textId="77777777" w:rsidR="004B4E35" w:rsidRPr="00405303" w:rsidRDefault="009E6F82" w:rsidP="00C15251">
            <w:pPr>
              <w:jc w:val="both"/>
              <w:rPr>
                <w:bCs/>
                <w:color w:val="002060"/>
                <w:sz w:val="16"/>
                <w:szCs w:val="16"/>
              </w:rPr>
            </w:pPr>
            <w:r w:rsidRPr="00405303">
              <w:rPr>
                <w:bCs/>
                <w:color w:val="002060"/>
                <w:sz w:val="16"/>
                <w:szCs w:val="16"/>
              </w:rPr>
              <w:t>1.732,4</w:t>
            </w:r>
          </w:p>
        </w:tc>
      </w:tr>
      <w:tr w:rsidR="004B4E35" w:rsidRPr="00405303" w14:paraId="5896167A" w14:textId="77777777">
        <w:tc>
          <w:tcPr>
            <w:tcW w:w="1248" w:type="dxa"/>
          </w:tcPr>
          <w:p w14:paraId="5A5F4416" w14:textId="77777777" w:rsidR="004B4E35" w:rsidRPr="00405303" w:rsidRDefault="009E6F82" w:rsidP="00C15251">
            <w:pPr>
              <w:jc w:val="both"/>
              <w:rPr>
                <w:bCs/>
                <w:color w:val="002060"/>
                <w:sz w:val="16"/>
                <w:szCs w:val="16"/>
              </w:rPr>
            </w:pPr>
            <w:r w:rsidRPr="00405303">
              <w:rPr>
                <w:bCs/>
                <w:color w:val="002060"/>
                <w:sz w:val="16"/>
                <w:szCs w:val="16"/>
              </w:rPr>
              <w:t>Август</w:t>
            </w:r>
          </w:p>
        </w:tc>
        <w:tc>
          <w:tcPr>
            <w:tcW w:w="1503" w:type="dxa"/>
          </w:tcPr>
          <w:p w14:paraId="13C3EA3E"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5DFE15BA" w14:textId="77777777" w:rsidR="004B4E35" w:rsidRPr="00405303" w:rsidRDefault="009E6F82" w:rsidP="00C15251">
            <w:pPr>
              <w:jc w:val="both"/>
              <w:rPr>
                <w:bCs/>
                <w:color w:val="002060"/>
                <w:sz w:val="16"/>
                <w:szCs w:val="16"/>
              </w:rPr>
            </w:pPr>
            <w:r w:rsidRPr="00405303">
              <w:rPr>
                <w:bCs/>
                <w:color w:val="002060"/>
                <w:sz w:val="16"/>
                <w:szCs w:val="16"/>
              </w:rPr>
              <w:t>23</w:t>
            </w:r>
          </w:p>
        </w:tc>
        <w:tc>
          <w:tcPr>
            <w:tcW w:w="1792" w:type="dxa"/>
          </w:tcPr>
          <w:p w14:paraId="77946C2A" w14:textId="77777777" w:rsidR="004B4E35" w:rsidRPr="00405303" w:rsidRDefault="009E6F82" w:rsidP="00C15251">
            <w:pPr>
              <w:jc w:val="both"/>
              <w:rPr>
                <w:bCs/>
                <w:color w:val="002060"/>
                <w:sz w:val="16"/>
                <w:szCs w:val="16"/>
              </w:rPr>
            </w:pPr>
            <w:r w:rsidRPr="00405303">
              <w:rPr>
                <w:bCs/>
                <w:color w:val="002060"/>
                <w:sz w:val="16"/>
                <w:szCs w:val="16"/>
              </w:rPr>
              <w:t>932,4</w:t>
            </w:r>
          </w:p>
        </w:tc>
        <w:tc>
          <w:tcPr>
            <w:tcW w:w="972" w:type="dxa"/>
          </w:tcPr>
          <w:p w14:paraId="1406812B" w14:textId="77777777" w:rsidR="004B4E35" w:rsidRPr="00405303" w:rsidRDefault="009E6F82" w:rsidP="00C15251">
            <w:pPr>
              <w:jc w:val="both"/>
              <w:rPr>
                <w:bCs/>
                <w:color w:val="002060"/>
                <w:sz w:val="16"/>
                <w:szCs w:val="16"/>
              </w:rPr>
            </w:pPr>
            <w:r w:rsidRPr="00405303">
              <w:rPr>
                <w:bCs/>
                <w:color w:val="002060"/>
                <w:sz w:val="16"/>
                <w:szCs w:val="16"/>
              </w:rPr>
              <w:t>1.732,4</w:t>
            </w:r>
          </w:p>
        </w:tc>
      </w:tr>
      <w:tr w:rsidR="004B4E35" w:rsidRPr="00405303" w14:paraId="7D36B6B3" w14:textId="77777777">
        <w:tc>
          <w:tcPr>
            <w:tcW w:w="1248" w:type="dxa"/>
          </w:tcPr>
          <w:p w14:paraId="10E92795" w14:textId="77777777" w:rsidR="004B4E35" w:rsidRPr="00405303" w:rsidRDefault="009E6F82" w:rsidP="00C15251">
            <w:pPr>
              <w:jc w:val="both"/>
              <w:rPr>
                <w:bCs/>
                <w:color w:val="002060"/>
                <w:sz w:val="16"/>
                <w:szCs w:val="16"/>
              </w:rPr>
            </w:pPr>
            <w:r w:rsidRPr="00405303">
              <w:rPr>
                <w:bCs/>
                <w:color w:val="002060"/>
                <w:sz w:val="16"/>
                <w:szCs w:val="16"/>
              </w:rPr>
              <w:t>Сентябрь</w:t>
            </w:r>
          </w:p>
        </w:tc>
        <w:tc>
          <w:tcPr>
            <w:tcW w:w="1503" w:type="dxa"/>
          </w:tcPr>
          <w:p w14:paraId="5BA029C3"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2A6F053E" w14:textId="77777777" w:rsidR="004B4E35" w:rsidRPr="00405303" w:rsidRDefault="009E6F82" w:rsidP="00C15251">
            <w:pPr>
              <w:jc w:val="both"/>
              <w:rPr>
                <w:bCs/>
                <w:color w:val="002060"/>
                <w:sz w:val="16"/>
                <w:szCs w:val="16"/>
              </w:rPr>
            </w:pPr>
            <w:r w:rsidRPr="00405303">
              <w:rPr>
                <w:bCs/>
                <w:color w:val="002060"/>
                <w:sz w:val="16"/>
                <w:szCs w:val="16"/>
              </w:rPr>
              <w:t>28</w:t>
            </w:r>
          </w:p>
        </w:tc>
        <w:tc>
          <w:tcPr>
            <w:tcW w:w="1792" w:type="dxa"/>
          </w:tcPr>
          <w:p w14:paraId="0028E87B" w14:textId="77777777" w:rsidR="004B4E35" w:rsidRPr="00405303" w:rsidRDefault="009E6F82" w:rsidP="00C15251">
            <w:pPr>
              <w:jc w:val="both"/>
              <w:rPr>
                <w:bCs/>
                <w:color w:val="002060"/>
                <w:sz w:val="16"/>
                <w:szCs w:val="16"/>
              </w:rPr>
            </w:pPr>
            <w:r w:rsidRPr="00405303">
              <w:rPr>
                <w:bCs/>
                <w:color w:val="002060"/>
                <w:sz w:val="16"/>
                <w:szCs w:val="16"/>
              </w:rPr>
              <w:t>1.064,7</w:t>
            </w:r>
          </w:p>
        </w:tc>
        <w:tc>
          <w:tcPr>
            <w:tcW w:w="972" w:type="dxa"/>
          </w:tcPr>
          <w:p w14:paraId="3C6B58B4" w14:textId="77777777" w:rsidR="004B4E35" w:rsidRPr="00405303" w:rsidRDefault="009E6F82" w:rsidP="00C15251">
            <w:pPr>
              <w:jc w:val="both"/>
              <w:rPr>
                <w:bCs/>
                <w:color w:val="002060"/>
                <w:sz w:val="16"/>
                <w:szCs w:val="16"/>
              </w:rPr>
            </w:pPr>
            <w:r w:rsidRPr="00405303">
              <w:rPr>
                <w:bCs/>
                <w:color w:val="002060"/>
                <w:sz w:val="16"/>
                <w:szCs w:val="16"/>
              </w:rPr>
              <w:t>1.864,7</w:t>
            </w:r>
          </w:p>
        </w:tc>
      </w:tr>
      <w:tr w:rsidR="004B4E35" w:rsidRPr="00405303" w14:paraId="157054BA" w14:textId="77777777">
        <w:tc>
          <w:tcPr>
            <w:tcW w:w="1248" w:type="dxa"/>
          </w:tcPr>
          <w:p w14:paraId="370BD9EE" w14:textId="77777777" w:rsidR="004B4E35" w:rsidRPr="00405303" w:rsidRDefault="009E6F82" w:rsidP="00C15251">
            <w:pPr>
              <w:jc w:val="both"/>
              <w:rPr>
                <w:bCs/>
                <w:color w:val="002060"/>
                <w:sz w:val="16"/>
                <w:szCs w:val="16"/>
              </w:rPr>
            </w:pPr>
            <w:r w:rsidRPr="00405303">
              <w:rPr>
                <w:bCs/>
                <w:color w:val="002060"/>
                <w:sz w:val="16"/>
                <w:szCs w:val="16"/>
              </w:rPr>
              <w:t>Октябрь</w:t>
            </w:r>
          </w:p>
        </w:tc>
        <w:tc>
          <w:tcPr>
            <w:tcW w:w="1503" w:type="dxa"/>
          </w:tcPr>
          <w:p w14:paraId="5CB43E53"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09C7DF35" w14:textId="77777777" w:rsidR="004B4E35" w:rsidRPr="00405303" w:rsidRDefault="009E6F82" w:rsidP="00C15251">
            <w:pPr>
              <w:jc w:val="both"/>
              <w:rPr>
                <w:bCs/>
                <w:color w:val="002060"/>
                <w:sz w:val="16"/>
                <w:szCs w:val="16"/>
              </w:rPr>
            </w:pPr>
            <w:r w:rsidRPr="00405303">
              <w:rPr>
                <w:bCs/>
                <w:color w:val="002060"/>
                <w:sz w:val="16"/>
                <w:szCs w:val="16"/>
              </w:rPr>
              <w:t>28</w:t>
            </w:r>
          </w:p>
        </w:tc>
        <w:tc>
          <w:tcPr>
            <w:tcW w:w="1792" w:type="dxa"/>
          </w:tcPr>
          <w:p w14:paraId="53CA9AB1" w14:textId="77777777" w:rsidR="004B4E35" w:rsidRPr="00405303" w:rsidRDefault="009E6F82" w:rsidP="00C15251">
            <w:pPr>
              <w:jc w:val="both"/>
              <w:rPr>
                <w:bCs/>
                <w:color w:val="002060"/>
                <w:sz w:val="16"/>
                <w:szCs w:val="16"/>
              </w:rPr>
            </w:pPr>
            <w:r w:rsidRPr="00405303">
              <w:rPr>
                <w:bCs/>
                <w:color w:val="002060"/>
                <w:sz w:val="16"/>
                <w:szCs w:val="16"/>
              </w:rPr>
              <w:t>1.064,7</w:t>
            </w:r>
          </w:p>
        </w:tc>
        <w:tc>
          <w:tcPr>
            <w:tcW w:w="972" w:type="dxa"/>
          </w:tcPr>
          <w:p w14:paraId="1E9D591C" w14:textId="77777777" w:rsidR="004B4E35" w:rsidRPr="00405303" w:rsidRDefault="009E6F82" w:rsidP="00C15251">
            <w:pPr>
              <w:jc w:val="both"/>
              <w:rPr>
                <w:bCs/>
                <w:color w:val="002060"/>
                <w:sz w:val="16"/>
                <w:szCs w:val="16"/>
              </w:rPr>
            </w:pPr>
            <w:r w:rsidRPr="00405303">
              <w:rPr>
                <w:bCs/>
                <w:color w:val="002060"/>
                <w:sz w:val="16"/>
                <w:szCs w:val="16"/>
              </w:rPr>
              <w:t>1.864,7</w:t>
            </w:r>
          </w:p>
        </w:tc>
      </w:tr>
      <w:tr w:rsidR="004B4E35" w:rsidRPr="00405303" w14:paraId="03E2D837" w14:textId="77777777">
        <w:tc>
          <w:tcPr>
            <w:tcW w:w="1248" w:type="dxa"/>
          </w:tcPr>
          <w:p w14:paraId="116F16F9"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1503" w:type="dxa"/>
          </w:tcPr>
          <w:p w14:paraId="6DD11928"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09BF1769" w14:textId="77777777" w:rsidR="004B4E35" w:rsidRPr="00405303" w:rsidRDefault="009E6F82" w:rsidP="00C15251">
            <w:pPr>
              <w:jc w:val="both"/>
              <w:rPr>
                <w:bCs/>
                <w:color w:val="002060"/>
                <w:sz w:val="16"/>
                <w:szCs w:val="16"/>
              </w:rPr>
            </w:pPr>
            <w:r w:rsidRPr="00405303">
              <w:rPr>
                <w:bCs/>
                <w:color w:val="002060"/>
                <w:sz w:val="16"/>
                <w:szCs w:val="16"/>
              </w:rPr>
              <w:t>28</w:t>
            </w:r>
          </w:p>
        </w:tc>
        <w:tc>
          <w:tcPr>
            <w:tcW w:w="1792" w:type="dxa"/>
          </w:tcPr>
          <w:p w14:paraId="02F1BEA3" w14:textId="77777777" w:rsidR="004B4E35" w:rsidRPr="00405303" w:rsidRDefault="009E6F82" w:rsidP="00C15251">
            <w:pPr>
              <w:jc w:val="both"/>
              <w:rPr>
                <w:bCs/>
                <w:color w:val="002060"/>
                <w:sz w:val="16"/>
                <w:szCs w:val="16"/>
              </w:rPr>
            </w:pPr>
            <w:r w:rsidRPr="00405303">
              <w:rPr>
                <w:bCs/>
                <w:color w:val="002060"/>
                <w:sz w:val="16"/>
                <w:szCs w:val="16"/>
              </w:rPr>
              <w:t>1.064,7</w:t>
            </w:r>
          </w:p>
        </w:tc>
        <w:tc>
          <w:tcPr>
            <w:tcW w:w="972" w:type="dxa"/>
          </w:tcPr>
          <w:p w14:paraId="0F2B1C21" w14:textId="77777777" w:rsidR="004B4E35" w:rsidRPr="00405303" w:rsidRDefault="009E6F82" w:rsidP="00C15251">
            <w:pPr>
              <w:jc w:val="both"/>
              <w:rPr>
                <w:bCs/>
                <w:color w:val="002060"/>
                <w:sz w:val="16"/>
                <w:szCs w:val="16"/>
              </w:rPr>
            </w:pPr>
            <w:r w:rsidRPr="00405303">
              <w:rPr>
                <w:bCs/>
                <w:color w:val="002060"/>
                <w:sz w:val="16"/>
                <w:szCs w:val="16"/>
              </w:rPr>
              <w:t>1.864,7</w:t>
            </w:r>
          </w:p>
        </w:tc>
      </w:tr>
      <w:tr w:rsidR="004B4E35" w:rsidRPr="00405303" w14:paraId="15EAF70C" w14:textId="77777777">
        <w:tc>
          <w:tcPr>
            <w:tcW w:w="1248" w:type="dxa"/>
          </w:tcPr>
          <w:p w14:paraId="308D5F44"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1503" w:type="dxa"/>
          </w:tcPr>
          <w:p w14:paraId="3A8C90C4"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3D9A799B" w14:textId="77777777" w:rsidR="004B4E35" w:rsidRPr="00405303" w:rsidRDefault="009E6F82" w:rsidP="00C15251">
            <w:pPr>
              <w:jc w:val="both"/>
              <w:rPr>
                <w:bCs/>
                <w:color w:val="002060"/>
                <w:sz w:val="16"/>
                <w:szCs w:val="16"/>
              </w:rPr>
            </w:pPr>
            <w:r w:rsidRPr="00405303">
              <w:rPr>
                <w:bCs/>
                <w:color w:val="002060"/>
                <w:sz w:val="16"/>
                <w:szCs w:val="16"/>
              </w:rPr>
              <w:t>28</w:t>
            </w:r>
          </w:p>
        </w:tc>
        <w:tc>
          <w:tcPr>
            <w:tcW w:w="1792" w:type="dxa"/>
          </w:tcPr>
          <w:p w14:paraId="6A38174F" w14:textId="77777777" w:rsidR="004B4E35" w:rsidRPr="00405303" w:rsidRDefault="009E6F82" w:rsidP="00C15251">
            <w:pPr>
              <w:jc w:val="both"/>
              <w:rPr>
                <w:bCs/>
                <w:color w:val="002060"/>
                <w:sz w:val="16"/>
                <w:szCs w:val="16"/>
              </w:rPr>
            </w:pPr>
            <w:r w:rsidRPr="00405303">
              <w:rPr>
                <w:bCs/>
                <w:color w:val="002060"/>
                <w:sz w:val="16"/>
                <w:szCs w:val="16"/>
              </w:rPr>
              <w:t>1.064,7</w:t>
            </w:r>
          </w:p>
        </w:tc>
        <w:tc>
          <w:tcPr>
            <w:tcW w:w="972" w:type="dxa"/>
          </w:tcPr>
          <w:p w14:paraId="04E3100A" w14:textId="77777777" w:rsidR="004B4E35" w:rsidRPr="00405303" w:rsidRDefault="009E6F82" w:rsidP="00C15251">
            <w:pPr>
              <w:jc w:val="both"/>
              <w:rPr>
                <w:bCs/>
                <w:color w:val="002060"/>
                <w:sz w:val="16"/>
                <w:szCs w:val="16"/>
              </w:rPr>
            </w:pPr>
            <w:r w:rsidRPr="00405303">
              <w:rPr>
                <w:bCs/>
                <w:color w:val="002060"/>
                <w:sz w:val="16"/>
                <w:szCs w:val="16"/>
              </w:rPr>
              <w:t>1.864,7</w:t>
            </w:r>
          </w:p>
        </w:tc>
      </w:tr>
    </w:tbl>
    <w:p w14:paraId="72144FAA" w14:textId="77777777" w:rsidR="004B4E35" w:rsidRPr="00405303" w:rsidRDefault="009E6F82" w:rsidP="00C15251">
      <w:pPr>
        <w:jc w:val="both"/>
        <w:rPr>
          <w:bCs/>
          <w:color w:val="002060"/>
          <w:sz w:val="16"/>
          <w:szCs w:val="16"/>
        </w:rPr>
      </w:pPr>
      <w:r w:rsidRPr="00405303">
        <w:rPr>
          <w:bCs/>
          <w:color w:val="002060"/>
          <w:sz w:val="16"/>
          <w:szCs w:val="16"/>
        </w:rPr>
        <w:t>Фактически эта программа выполнялась на 80%.</w:t>
      </w:r>
    </w:p>
    <w:p w14:paraId="10411177" w14:textId="11FEE9CC" w:rsidR="004B4E35" w:rsidRPr="00405303" w:rsidRDefault="00DB4D64" w:rsidP="00C15251">
      <w:pPr>
        <w:jc w:val="both"/>
        <w:rPr>
          <w:bCs/>
          <w:color w:val="002060"/>
          <w:sz w:val="16"/>
          <w:szCs w:val="16"/>
        </w:rPr>
      </w:pPr>
      <w:r w:rsidRPr="00405303">
        <w:rPr>
          <w:bCs/>
          <w:color w:val="002060"/>
          <w:sz w:val="16"/>
          <w:szCs w:val="16"/>
        </w:rPr>
        <w:t xml:space="preserve"> </w:t>
      </w:r>
      <w:r w:rsidR="009E6F82" w:rsidRPr="00405303">
        <w:rPr>
          <w:bCs/>
          <w:color w:val="002060"/>
          <w:sz w:val="16"/>
          <w:szCs w:val="16"/>
        </w:rPr>
        <w:t xml:space="preserve">Что касается добычи колчедана, то в связи с программой сернокислотных заводов программа по колчедану была намечена следующая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52"/>
        <w:gridCol w:w="612"/>
        <w:gridCol w:w="650"/>
        <w:gridCol w:w="636"/>
        <w:gridCol w:w="728"/>
      </w:tblGrid>
      <w:tr w:rsidR="004B4E35" w:rsidRPr="00405303" w14:paraId="16101D59" w14:textId="77777777">
        <w:tc>
          <w:tcPr>
            <w:tcW w:w="2652" w:type="dxa"/>
          </w:tcPr>
          <w:p w14:paraId="2B47BA81" w14:textId="110F64FC" w:rsidR="004B4E35" w:rsidRPr="00405303" w:rsidRDefault="00DB4D64" w:rsidP="00C15251">
            <w:pPr>
              <w:jc w:val="both"/>
              <w:rPr>
                <w:bCs/>
                <w:color w:val="002060"/>
                <w:sz w:val="16"/>
                <w:szCs w:val="16"/>
              </w:rPr>
            </w:pPr>
            <w:r w:rsidRPr="00405303">
              <w:rPr>
                <w:bCs/>
                <w:color w:val="002060"/>
                <w:sz w:val="16"/>
                <w:szCs w:val="16"/>
              </w:rPr>
              <w:t xml:space="preserve"> </w:t>
            </w:r>
          </w:p>
        </w:tc>
        <w:tc>
          <w:tcPr>
            <w:tcW w:w="612" w:type="dxa"/>
          </w:tcPr>
          <w:p w14:paraId="79CAAA25" w14:textId="77777777" w:rsidR="004B4E35" w:rsidRPr="00405303" w:rsidRDefault="009E6F82" w:rsidP="00C15251">
            <w:pPr>
              <w:jc w:val="both"/>
              <w:rPr>
                <w:bCs/>
                <w:color w:val="002060"/>
                <w:sz w:val="16"/>
                <w:szCs w:val="16"/>
              </w:rPr>
            </w:pPr>
            <w:r w:rsidRPr="00405303">
              <w:rPr>
                <w:bCs/>
                <w:color w:val="002060"/>
                <w:sz w:val="16"/>
                <w:szCs w:val="16"/>
              </w:rPr>
              <w:t>Август 1915 г.</w:t>
            </w:r>
          </w:p>
        </w:tc>
        <w:tc>
          <w:tcPr>
            <w:tcW w:w="650" w:type="dxa"/>
          </w:tcPr>
          <w:p w14:paraId="6EEE51FD" w14:textId="77777777" w:rsidR="004B4E35" w:rsidRPr="00405303" w:rsidRDefault="009E6F82" w:rsidP="00C15251">
            <w:pPr>
              <w:jc w:val="both"/>
              <w:rPr>
                <w:bCs/>
                <w:color w:val="002060"/>
                <w:sz w:val="16"/>
                <w:szCs w:val="16"/>
              </w:rPr>
            </w:pPr>
            <w:r w:rsidRPr="00405303">
              <w:rPr>
                <w:bCs/>
                <w:color w:val="002060"/>
                <w:sz w:val="16"/>
                <w:szCs w:val="16"/>
              </w:rPr>
              <w:t>Январь 1916 г.</w:t>
            </w:r>
          </w:p>
        </w:tc>
        <w:tc>
          <w:tcPr>
            <w:tcW w:w="636" w:type="dxa"/>
          </w:tcPr>
          <w:p w14:paraId="47CC3D30" w14:textId="77777777" w:rsidR="004B4E35" w:rsidRPr="00405303" w:rsidRDefault="009E6F82" w:rsidP="00C15251">
            <w:pPr>
              <w:jc w:val="both"/>
              <w:rPr>
                <w:bCs/>
                <w:color w:val="002060"/>
                <w:sz w:val="16"/>
                <w:szCs w:val="16"/>
              </w:rPr>
            </w:pPr>
            <w:r w:rsidRPr="00405303">
              <w:rPr>
                <w:bCs/>
                <w:color w:val="002060"/>
                <w:sz w:val="16"/>
                <w:szCs w:val="16"/>
              </w:rPr>
              <w:t>Июнь 1916 г.</w:t>
            </w:r>
          </w:p>
        </w:tc>
        <w:tc>
          <w:tcPr>
            <w:tcW w:w="728" w:type="dxa"/>
          </w:tcPr>
          <w:p w14:paraId="01543208" w14:textId="77777777" w:rsidR="004B4E35" w:rsidRPr="00405303" w:rsidRDefault="009E6F82" w:rsidP="00C15251">
            <w:pPr>
              <w:jc w:val="both"/>
              <w:rPr>
                <w:bCs/>
                <w:color w:val="002060"/>
                <w:sz w:val="16"/>
                <w:szCs w:val="16"/>
              </w:rPr>
            </w:pPr>
            <w:r w:rsidRPr="00405303">
              <w:rPr>
                <w:bCs/>
                <w:color w:val="002060"/>
                <w:sz w:val="16"/>
                <w:szCs w:val="16"/>
              </w:rPr>
              <w:t>Декабрь 1916 г.</w:t>
            </w:r>
          </w:p>
        </w:tc>
      </w:tr>
      <w:tr w:rsidR="004B4E35" w:rsidRPr="00405303" w14:paraId="60863C1C" w14:textId="77777777">
        <w:tc>
          <w:tcPr>
            <w:tcW w:w="2652" w:type="dxa"/>
          </w:tcPr>
          <w:p w14:paraId="03429AE8" w14:textId="77777777" w:rsidR="004B4E35" w:rsidRPr="00405303" w:rsidRDefault="009E6F82" w:rsidP="00C15251">
            <w:pPr>
              <w:jc w:val="both"/>
              <w:rPr>
                <w:bCs/>
                <w:color w:val="002060"/>
                <w:sz w:val="16"/>
                <w:szCs w:val="16"/>
              </w:rPr>
            </w:pPr>
            <w:r w:rsidRPr="00405303">
              <w:rPr>
                <w:bCs/>
                <w:color w:val="002060"/>
                <w:sz w:val="16"/>
                <w:szCs w:val="16"/>
              </w:rPr>
              <w:t>Кыштымский горный округ</w:t>
            </w:r>
          </w:p>
        </w:tc>
        <w:tc>
          <w:tcPr>
            <w:tcW w:w="612" w:type="dxa"/>
          </w:tcPr>
          <w:p w14:paraId="2D3D5E68" w14:textId="77777777" w:rsidR="004B4E35" w:rsidRPr="00405303" w:rsidRDefault="009E6F82" w:rsidP="00C15251">
            <w:pPr>
              <w:jc w:val="both"/>
              <w:rPr>
                <w:bCs/>
                <w:color w:val="002060"/>
                <w:sz w:val="16"/>
                <w:szCs w:val="16"/>
              </w:rPr>
            </w:pPr>
            <w:r w:rsidRPr="00405303">
              <w:rPr>
                <w:bCs/>
                <w:color w:val="002060"/>
                <w:sz w:val="16"/>
                <w:szCs w:val="16"/>
              </w:rPr>
              <w:t>225</w:t>
            </w:r>
          </w:p>
        </w:tc>
        <w:tc>
          <w:tcPr>
            <w:tcW w:w="650" w:type="dxa"/>
          </w:tcPr>
          <w:p w14:paraId="265B8CBF"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636" w:type="dxa"/>
          </w:tcPr>
          <w:p w14:paraId="21333CC4"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728" w:type="dxa"/>
          </w:tcPr>
          <w:p w14:paraId="45AEDDF8" w14:textId="77777777" w:rsidR="004B4E35" w:rsidRPr="00405303" w:rsidRDefault="009E6F82" w:rsidP="00C15251">
            <w:pPr>
              <w:jc w:val="both"/>
              <w:rPr>
                <w:bCs/>
                <w:color w:val="002060"/>
                <w:sz w:val="16"/>
                <w:szCs w:val="16"/>
              </w:rPr>
            </w:pPr>
            <w:r w:rsidRPr="00405303">
              <w:rPr>
                <w:bCs/>
                <w:color w:val="002060"/>
                <w:sz w:val="16"/>
                <w:szCs w:val="16"/>
              </w:rPr>
              <w:t>800</w:t>
            </w:r>
          </w:p>
        </w:tc>
      </w:tr>
      <w:tr w:rsidR="004B4E35" w:rsidRPr="00405303" w14:paraId="581E5A5D" w14:textId="77777777">
        <w:tc>
          <w:tcPr>
            <w:tcW w:w="2652" w:type="dxa"/>
          </w:tcPr>
          <w:p w14:paraId="18BCEB92" w14:textId="77777777" w:rsidR="004B4E35" w:rsidRPr="00405303" w:rsidRDefault="009E6F82" w:rsidP="00C15251">
            <w:pPr>
              <w:jc w:val="both"/>
              <w:rPr>
                <w:bCs/>
                <w:color w:val="002060"/>
                <w:sz w:val="16"/>
                <w:szCs w:val="16"/>
              </w:rPr>
            </w:pPr>
            <w:r w:rsidRPr="00405303">
              <w:rPr>
                <w:bCs/>
                <w:color w:val="002060"/>
                <w:sz w:val="16"/>
                <w:szCs w:val="16"/>
              </w:rPr>
              <w:t>Верх-Исетский горный округ</w:t>
            </w:r>
          </w:p>
        </w:tc>
        <w:tc>
          <w:tcPr>
            <w:tcW w:w="612" w:type="dxa"/>
          </w:tcPr>
          <w:p w14:paraId="22A5FB02" w14:textId="77777777" w:rsidR="004B4E35" w:rsidRPr="00405303" w:rsidRDefault="009E6F82" w:rsidP="00C15251">
            <w:pPr>
              <w:jc w:val="both"/>
              <w:rPr>
                <w:bCs/>
                <w:color w:val="002060"/>
                <w:sz w:val="16"/>
                <w:szCs w:val="16"/>
              </w:rPr>
            </w:pPr>
            <w:r w:rsidRPr="00405303">
              <w:rPr>
                <w:bCs/>
                <w:color w:val="002060"/>
                <w:sz w:val="16"/>
                <w:szCs w:val="16"/>
              </w:rPr>
              <w:t>325</w:t>
            </w:r>
          </w:p>
        </w:tc>
        <w:tc>
          <w:tcPr>
            <w:tcW w:w="650" w:type="dxa"/>
          </w:tcPr>
          <w:p w14:paraId="549B53B1" w14:textId="77777777" w:rsidR="004B4E35" w:rsidRPr="00405303" w:rsidRDefault="009E6F82" w:rsidP="00C15251">
            <w:pPr>
              <w:jc w:val="both"/>
              <w:rPr>
                <w:bCs/>
                <w:color w:val="002060"/>
                <w:sz w:val="16"/>
                <w:szCs w:val="16"/>
              </w:rPr>
            </w:pPr>
            <w:r w:rsidRPr="00405303">
              <w:rPr>
                <w:bCs/>
                <w:color w:val="002060"/>
                <w:sz w:val="16"/>
                <w:szCs w:val="16"/>
              </w:rPr>
              <w:t>325</w:t>
            </w:r>
          </w:p>
        </w:tc>
        <w:tc>
          <w:tcPr>
            <w:tcW w:w="636" w:type="dxa"/>
          </w:tcPr>
          <w:p w14:paraId="65E69094" w14:textId="77777777" w:rsidR="004B4E35" w:rsidRPr="00405303" w:rsidRDefault="009E6F82" w:rsidP="00C15251">
            <w:pPr>
              <w:jc w:val="both"/>
              <w:rPr>
                <w:bCs/>
                <w:color w:val="002060"/>
                <w:sz w:val="16"/>
                <w:szCs w:val="16"/>
              </w:rPr>
            </w:pPr>
            <w:r w:rsidRPr="00405303">
              <w:rPr>
                <w:bCs/>
                <w:color w:val="002060"/>
                <w:sz w:val="16"/>
                <w:szCs w:val="16"/>
              </w:rPr>
              <w:t>325</w:t>
            </w:r>
          </w:p>
        </w:tc>
        <w:tc>
          <w:tcPr>
            <w:tcW w:w="728" w:type="dxa"/>
          </w:tcPr>
          <w:p w14:paraId="59457174" w14:textId="77777777" w:rsidR="004B4E35" w:rsidRPr="00405303" w:rsidRDefault="009E6F82" w:rsidP="00C15251">
            <w:pPr>
              <w:jc w:val="both"/>
              <w:rPr>
                <w:bCs/>
                <w:color w:val="002060"/>
                <w:sz w:val="16"/>
                <w:szCs w:val="16"/>
              </w:rPr>
            </w:pPr>
            <w:r w:rsidRPr="00405303">
              <w:rPr>
                <w:bCs/>
                <w:color w:val="002060"/>
                <w:sz w:val="16"/>
                <w:szCs w:val="16"/>
              </w:rPr>
              <w:t>325</w:t>
            </w:r>
          </w:p>
        </w:tc>
      </w:tr>
      <w:tr w:rsidR="004B4E35" w:rsidRPr="00405303" w14:paraId="5B493C97" w14:textId="77777777">
        <w:tc>
          <w:tcPr>
            <w:tcW w:w="2652" w:type="dxa"/>
          </w:tcPr>
          <w:p w14:paraId="1F7D78DB" w14:textId="77777777" w:rsidR="004B4E35" w:rsidRPr="00405303" w:rsidRDefault="009E6F82" w:rsidP="00C15251">
            <w:pPr>
              <w:jc w:val="both"/>
              <w:rPr>
                <w:bCs/>
                <w:color w:val="002060"/>
                <w:sz w:val="16"/>
                <w:szCs w:val="16"/>
              </w:rPr>
            </w:pPr>
            <w:r w:rsidRPr="00405303">
              <w:rPr>
                <w:bCs/>
                <w:color w:val="002060"/>
                <w:sz w:val="16"/>
                <w:szCs w:val="16"/>
              </w:rPr>
              <w:t>Сысертский горный округ</w:t>
            </w:r>
          </w:p>
        </w:tc>
        <w:tc>
          <w:tcPr>
            <w:tcW w:w="612" w:type="dxa"/>
          </w:tcPr>
          <w:p w14:paraId="2B921F95" w14:textId="77777777" w:rsidR="004B4E35" w:rsidRPr="00405303" w:rsidRDefault="009E6F82" w:rsidP="00C15251">
            <w:pPr>
              <w:jc w:val="both"/>
              <w:rPr>
                <w:bCs/>
                <w:color w:val="002060"/>
                <w:sz w:val="16"/>
                <w:szCs w:val="16"/>
              </w:rPr>
            </w:pPr>
            <w:r w:rsidRPr="00405303">
              <w:rPr>
                <w:bCs/>
                <w:color w:val="002060"/>
                <w:sz w:val="16"/>
                <w:szCs w:val="16"/>
              </w:rPr>
              <w:t>—</w:t>
            </w:r>
          </w:p>
        </w:tc>
        <w:tc>
          <w:tcPr>
            <w:tcW w:w="650" w:type="dxa"/>
          </w:tcPr>
          <w:p w14:paraId="1FD26F8C" w14:textId="77777777" w:rsidR="004B4E35" w:rsidRPr="00405303" w:rsidRDefault="009E6F82" w:rsidP="00C15251">
            <w:pPr>
              <w:jc w:val="both"/>
              <w:rPr>
                <w:bCs/>
                <w:color w:val="002060"/>
                <w:sz w:val="16"/>
                <w:szCs w:val="16"/>
              </w:rPr>
            </w:pPr>
            <w:r w:rsidRPr="00405303">
              <w:rPr>
                <w:bCs/>
                <w:color w:val="002060"/>
                <w:sz w:val="16"/>
                <w:szCs w:val="16"/>
              </w:rPr>
              <w:t>100</w:t>
            </w:r>
          </w:p>
        </w:tc>
        <w:tc>
          <w:tcPr>
            <w:tcW w:w="636" w:type="dxa"/>
          </w:tcPr>
          <w:p w14:paraId="670E0E39" w14:textId="77777777" w:rsidR="004B4E35" w:rsidRPr="00405303" w:rsidRDefault="009E6F82" w:rsidP="00C15251">
            <w:pPr>
              <w:jc w:val="both"/>
              <w:rPr>
                <w:bCs/>
                <w:color w:val="002060"/>
                <w:sz w:val="16"/>
                <w:szCs w:val="16"/>
              </w:rPr>
            </w:pPr>
            <w:r w:rsidRPr="00405303">
              <w:rPr>
                <w:bCs/>
                <w:color w:val="002060"/>
                <w:sz w:val="16"/>
                <w:szCs w:val="16"/>
              </w:rPr>
              <w:t>100</w:t>
            </w:r>
          </w:p>
        </w:tc>
        <w:tc>
          <w:tcPr>
            <w:tcW w:w="728" w:type="dxa"/>
          </w:tcPr>
          <w:p w14:paraId="21447BAC" w14:textId="77777777" w:rsidR="004B4E35" w:rsidRPr="00405303" w:rsidRDefault="009E6F82" w:rsidP="00C15251">
            <w:pPr>
              <w:jc w:val="both"/>
              <w:rPr>
                <w:bCs/>
                <w:color w:val="002060"/>
                <w:sz w:val="16"/>
                <w:szCs w:val="16"/>
              </w:rPr>
            </w:pPr>
            <w:r w:rsidRPr="00405303">
              <w:rPr>
                <w:bCs/>
                <w:color w:val="002060"/>
                <w:sz w:val="16"/>
                <w:szCs w:val="16"/>
              </w:rPr>
              <w:t>100</w:t>
            </w:r>
          </w:p>
        </w:tc>
      </w:tr>
      <w:tr w:rsidR="004B4E35" w:rsidRPr="00405303" w14:paraId="4E4D709B" w14:textId="77777777">
        <w:tc>
          <w:tcPr>
            <w:tcW w:w="2652" w:type="dxa"/>
          </w:tcPr>
          <w:p w14:paraId="23A65528" w14:textId="77777777" w:rsidR="004B4E35" w:rsidRPr="00405303" w:rsidRDefault="009E6F82" w:rsidP="00C15251">
            <w:pPr>
              <w:jc w:val="both"/>
              <w:rPr>
                <w:bCs/>
                <w:color w:val="002060"/>
                <w:sz w:val="16"/>
                <w:szCs w:val="16"/>
              </w:rPr>
            </w:pPr>
            <w:r w:rsidRPr="00405303">
              <w:rPr>
                <w:bCs/>
                <w:color w:val="002060"/>
                <w:sz w:val="16"/>
                <w:szCs w:val="16"/>
              </w:rPr>
              <w:t>Ревдинский горный округ</w:t>
            </w:r>
          </w:p>
        </w:tc>
        <w:tc>
          <w:tcPr>
            <w:tcW w:w="612" w:type="dxa"/>
          </w:tcPr>
          <w:p w14:paraId="3F1DB360" w14:textId="77777777" w:rsidR="004B4E35" w:rsidRPr="00405303" w:rsidRDefault="009E6F82" w:rsidP="00C15251">
            <w:pPr>
              <w:jc w:val="both"/>
              <w:rPr>
                <w:bCs/>
                <w:color w:val="002060"/>
                <w:sz w:val="16"/>
                <w:szCs w:val="16"/>
              </w:rPr>
            </w:pPr>
            <w:r w:rsidRPr="00405303">
              <w:rPr>
                <w:bCs/>
                <w:color w:val="002060"/>
                <w:sz w:val="16"/>
                <w:szCs w:val="16"/>
              </w:rPr>
              <w:t>—</w:t>
            </w:r>
          </w:p>
        </w:tc>
        <w:tc>
          <w:tcPr>
            <w:tcW w:w="650" w:type="dxa"/>
          </w:tcPr>
          <w:p w14:paraId="71774D87" w14:textId="77777777" w:rsidR="004B4E35" w:rsidRPr="00405303" w:rsidRDefault="009E6F82" w:rsidP="00C15251">
            <w:pPr>
              <w:jc w:val="both"/>
              <w:rPr>
                <w:bCs/>
                <w:color w:val="002060"/>
                <w:sz w:val="16"/>
                <w:szCs w:val="16"/>
              </w:rPr>
            </w:pPr>
            <w:r w:rsidRPr="00405303">
              <w:rPr>
                <w:bCs/>
                <w:color w:val="002060"/>
                <w:sz w:val="16"/>
                <w:szCs w:val="16"/>
              </w:rPr>
              <w:t>150</w:t>
            </w:r>
          </w:p>
        </w:tc>
        <w:tc>
          <w:tcPr>
            <w:tcW w:w="636" w:type="dxa"/>
          </w:tcPr>
          <w:p w14:paraId="08E62437" w14:textId="77777777" w:rsidR="004B4E35" w:rsidRPr="00405303" w:rsidRDefault="009E6F82" w:rsidP="00C15251">
            <w:pPr>
              <w:jc w:val="both"/>
              <w:rPr>
                <w:bCs/>
                <w:color w:val="002060"/>
                <w:sz w:val="16"/>
                <w:szCs w:val="16"/>
              </w:rPr>
            </w:pPr>
            <w:r w:rsidRPr="00405303">
              <w:rPr>
                <w:bCs/>
                <w:color w:val="002060"/>
                <w:sz w:val="16"/>
                <w:szCs w:val="16"/>
              </w:rPr>
              <w:t>150</w:t>
            </w:r>
          </w:p>
        </w:tc>
        <w:tc>
          <w:tcPr>
            <w:tcW w:w="728" w:type="dxa"/>
          </w:tcPr>
          <w:p w14:paraId="00080250" w14:textId="77777777" w:rsidR="004B4E35" w:rsidRPr="00405303" w:rsidRDefault="009E6F82" w:rsidP="00C15251">
            <w:pPr>
              <w:jc w:val="both"/>
              <w:rPr>
                <w:bCs/>
                <w:color w:val="002060"/>
                <w:sz w:val="16"/>
                <w:szCs w:val="16"/>
              </w:rPr>
            </w:pPr>
            <w:r w:rsidRPr="00405303">
              <w:rPr>
                <w:bCs/>
                <w:color w:val="002060"/>
                <w:sz w:val="16"/>
                <w:szCs w:val="16"/>
              </w:rPr>
              <w:t>150</w:t>
            </w:r>
          </w:p>
        </w:tc>
      </w:tr>
      <w:tr w:rsidR="004B4E35" w:rsidRPr="00405303" w14:paraId="318E7964" w14:textId="77777777">
        <w:tc>
          <w:tcPr>
            <w:tcW w:w="2652" w:type="dxa"/>
          </w:tcPr>
          <w:p w14:paraId="0BE5D756" w14:textId="77777777" w:rsidR="004B4E35" w:rsidRPr="00405303" w:rsidRDefault="009E6F82" w:rsidP="00C15251">
            <w:pPr>
              <w:jc w:val="both"/>
              <w:rPr>
                <w:bCs/>
                <w:color w:val="002060"/>
                <w:sz w:val="16"/>
                <w:szCs w:val="16"/>
              </w:rPr>
            </w:pPr>
            <w:r w:rsidRPr="00405303">
              <w:rPr>
                <w:bCs/>
                <w:color w:val="002060"/>
                <w:sz w:val="16"/>
                <w:szCs w:val="16"/>
              </w:rPr>
              <w:t>Рудники Ушакова</w:t>
            </w:r>
          </w:p>
        </w:tc>
        <w:tc>
          <w:tcPr>
            <w:tcW w:w="612" w:type="dxa"/>
          </w:tcPr>
          <w:p w14:paraId="0B82A402" w14:textId="77777777" w:rsidR="004B4E35" w:rsidRPr="00405303" w:rsidRDefault="009E6F82" w:rsidP="00C15251">
            <w:pPr>
              <w:jc w:val="both"/>
              <w:rPr>
                <w:bCs/>
                <w:color w:val="002060"/>
                <w:sz w:val="16"/>
                <w:szCs w:val="16"/>
              </w:rPr>
            </w:pPr>
            <w:r w:rsidRPr="00405303">
              <w:rPr>
                <w:bCs/>
                <w:color w:val="002060"/>
                <w:sz w:val="16"/>
                <w:szCs w:val="16"/>
              </w:rPr>
              <w:t>—</w:t>
            </w:r>
          </w:p>
        </w:tc>
        <w:tc>
          <w:tcPr>
            <w:tcW w:w="650" w:type="dxa"/>
          </w:tcPr>
          <w:p w14:paraId="2DDAA92F" w14:textId="77777777" w:rsidR="004B4E35" w:rsidRPr="00405303" w:rsidRDefault="009E6F82" w:rsidP="00C15251">
            <w:pPr>
              <w:jc w:val="both"/>
              <w:rPr>
                <w:bCs/>
                <w:color w:val="002060"/>
                <w:sz w:val="16"/>
                <w:szCs w:val="16"/>
              </w:rPr>
            </w:pPr>
            <w:r w:rsidRPr="00405303">
              <w:rPr>
                <w:bCs/>
                <w:color w:val="002060"/>
                <w:sz w:val="16"/>
                <w:szCs w:val="16"/>
              </w:rPr>
              <w:t>100</w:t>
            </w:r>
          </w:p>
        </w:tc>
        <w:tc>
          <w:tcPr>
            <w:tcW w:w="636" w:type="dxa"/>
          </w:tcPr>
          <w:p w14:paraId="38993C5A" w14:textId="77777777" w:rsidR="004B4E35" w:rsidRPr="00405303" w:rsidRDefault="009E6F82" w:rsidP="00C15251">
            <w:pPr>
              <w:jc w:val="both"/>
              <w:rPr>
                <w:bCs/>
                <w:color w:val="002060"/>
                <w:sz w:val="16"/>
                <w:szCs w:val="16"/>
              </w:rPr>
            </w:pPr>
            <w:r w:rsidRPr="00405303">
              <w:rPr>
                <w:bCs/>
                <w:color w:val="002060"/>
                <w:sz w:val="16"/>
                <w:szCs w:val="16"/>
              </w:rPr>
              <w:t>100</w:t>
            </w:r>
          </w:p>
        </w:tc>
        <w:tc>
          <w:tcPr>
            <w:tcW w:w="728" w:type="dxa"/>
          </w:tcPr>
          <w:p w14:paraId="69AD1F16" w14:textId="77777777" w:rsidR="004B4E35" w:rsidRPr="00405303" w:rsidRDefault="009E6F82" w:rsidP="00C15251">
            <w:pPr>
              <w:jc w:val="both"/>
              <w:rPr>
                <w:bCs/>
                <w:color w:val="002060"/>
                <w:sz w:val="16"/>
                <w:szCs w:val="16"/>
              </w:rPr>
            </w:pPr>
            <w:r w:rsidRPr="00405303">
              <w:rPr>
                <w:bCs/>
                <w:color w:val="002060"/>
                <w:sz w:val="16"/>
                <w:szCs w:val="16"/>
              </w:rPr>
              <w:t>100</w:t>
            </w:r>
          </w:p>
        </w:tc>
      </w:tr>
      <w:tr w:rsidR="004B4E35" w:rsidRPr="00405303" w14:paraId="344D1A17" w14:textId="77777777">
        <w:tc>
          <w:tcPr>
            <w:tcW w:w="2652" w:type="dxa"/>
          </w:tcPr>
          <w:p w14:paraId="41D3C878" w14:textId="77777777" w:rsidR="004B4E35" w:rsidRPr="00405303" w:rsidRDefault="009E6F82" w:rsidP="00C15251">
            <w:pPr>
              <w:jc w:val="both"/>
              <w:rPr>
                <w:bCs/>
                <w:color w:val="002060"/>
                <w:sz w:val="16"/>
                <w:szCs w:val="16"/>
              </w:rPr>
            </w:pPr>
            <w:r w:rsidRPr="00405303">
              <w:rPr>
                <w:bCs/>
                <w:color w:val="002060"/>
                <w:sz w:val="16"/>
                <w:szCs w:val="16"/>
              </w:rPr>
              <w:t xml:space="preserve">Прочие мелкие добычи </w:t>
            </w:r>
          </w:p>
          <w:p w14:paraId="74BE86F2" w14:textId="77777777" w:rsidR="004B4E35" w:rsidRPr="00405303" w:rsidRDefault="009E6F82" w:rsidP="00C15251">
            <w:pPr>
              <w:jc w:val="both"/>
              <w:rPr>
                <w:bCs/>
                <w:color w:val="002060"/>
                <w:sz w:val="16"/>
                <w:szCs w:val="16"/>
              </w:rPr>
            </w:pPr>
            <w:r w:rsidRPr="00405303">
              <w:rPr>
                <w:bCs/>
                <w:color w:val="002060"/>
                <w:sz w:val="16"/>
                <w:szCs w:val="16"/>
              </w:rPr>
              <w:t>(Кавказские, Донецкие, Подмосковные)</w:t>
            </w:r>
          </w:p>
        </w:tc>
        <w:tc>
          <w:tcPr>
            <w:tcW w:w="612" w:type="dxa"/>
          </w:tcPr>
          <w:p w14:paraId="4C4BEC92" w14:textId="77777777" w:rsidR="004B4E35" w:rsidRPr="00405303" w:rsidRDefault="009E6F82" w:rsidP="00C15251">
            <w:pPr>
              <w:jc w:val="both"/>
              <w:rPr>
                <w:bCs/>
                <w:color w:val="002060"/>
                <w:sz w:val="16"/>
                <w:szCs w:val="16"/>
              </w:rPr>
            </w:pPr>
            <w:r w:rsidRPr="00405303">
              <w:rPr>
                <w:bCs/>
                <w:color w:val="002060"/>
                <w:sz w:val="16"/>
                <w:szCs w:val="16"/>
              </w:rPr>
              <w:t>105</w:t>
            </w:r>
          </w:p>
        </w:tc>
        <w:tc>
          <w:tcPr>
            <w:tcW w:w="650" w:type="dxa"/>
          </w:tcPr>
          <w:p w14:paraId="17BF8438" w14:textId="77777777" w:rsidR="004B4E35" w:rsidRPr="00405303" w:rsidRDefault="009E6F82" w:rsidP="00C15251">
            <w:pPr>
              <w:jc w:val="both"/>
              <w:rPr>
                <w:bCs/>
                <w:color w:val="002060"/>
                <w:sz w:val="16"/>
                <w:szCs w:val="16"/>
              </w:rPr>
            </w:pPr>
            <w:r w:rsidRPr="00405303">
              <w:rPr>
                <w:bCs/>
                <w:color w:val="002060"/>
                <w:sz w:val="16"/>
                <w:szCs w:val="16"/>
              </w:rPr>
              <w:t>110</w:t>
            </w:r>
          </w:p>
        </w:tc>
        <w:tc>
          <w:tcPr>
            <w:tcW w:w="636" w:type="dxa"/>
          </w:tcPr>
          <w:p w14:paraId="29401064" w14:textId="77777777" w:rsidR="004B4E35" w:rsidRPr="00405303" w:rsidRDefault="009E6F82" w:rsidP="00C15251">
            <w:pPr>
              <w:jc w:val="both"/>
              <w:rPr>
                <w:bCs/>
                <w:color w:val="002060"/>
                <w:sz w:val="16"/>
                <w:szCs w:val="16"/>
              </w:rPr>
            </w:pPr>
            <w:r w:rsidRPr="00405303">
              <w:rPr>
                <w:bCs/>
                <w:color w:val="002060"/>
                <w:sz w:val="16"/>
                <w:szCs w:val="16"/>
              </w:rPr>
              <w:t>140</w:t>
            </w:r>
          </w:p>
        </w:tc>
        <w:tc>
          <w:tcPr>
            <w:tcW w:w="728" w:type="dxa"/>
          </w:tcPr>
          <w:p w14:paraId="19C1A113" w14:textId="77777777" w:rsidR="004B4E35" w:rsidRPr="00405303" w:rsidRDefault="009E6F82" w:rsidP="00C15251">
            <w:pPr>
              <w:jc w:val="both"/>
              <w:rPr>
                <w:bCs/>
                <w:color w:val="002060"/>
                <w:sz w:val="16"/>
                <w:szCs w:val="16"/>
              </w:rPr>
            </w:pPr>
            <w:r w:rsidRPr="00405303">
              <w:rPr>
                <w:bCs/>
                <w:color w:val="002060"/>
                <w:sz w:val="16"/>
                <w:szCs w:val="16"/>
              </w:rPr>
              <w:t>150</w:t>
            </w:r>
          </w:p>
        </w:tc>
      </w:tr>
    </w:tbl>
    <w:p w14:paraId="0CEEA313" w14:textId="77777777" w:rsidR="004B4E35" w:rsidRPr="00405303" w:rsidRDefault="009E6F82" w:rsidP="00C15251">
      <w:pPr>
        <w:jc w:val="both"/>
        <w:rPr>
          <w:bCs/>
          <w:color w:val="002060"/>
          <w:sz w:val="16"/>
          <w:szCs w:val="16"/>
        </w:rPr>
      </w:pPr>
      <w:r w:rsidRPr="00405303">
        <w:rPr>
          <w:bCs/>
          <w:color w:val="002060"/>
          <w:sz w:val="16"/>
          <w:szCs w:val="16"/>
        </w:rPr>
        <w:t xml:space="preserve">Не менее забот представлял вопрос с азотной кислотой. Для изготовления ее ежегодно в Россию необходимо было ввозить до 6 млн пудов чилийской селитры. Комиссия Ипатьева, а впоследствии Химический комитет взял на себя надзор за провозом и распределением ее. </w:t>
      </w:r>
    </w:p>
    <w:p w14:paraId="39F2C4A7" w14:textId="77777777" w:rsidR="004B4E35" w:rsidRPr="00405303" w:rsidRDefault="009E6F82" w:rsidP="00C15251">
      <w:pPr>
        <w:jc w:val="both"/>
        <w:rPr>
          <w:bCs/>
          <w:color w:val="002060"/>
          <w:sz w:val="16"/>
          <w:szCs w:val="16"/>
        </w:rPr>
      </w:pPr>
      <w:r w:rsidRPr="00405303">
        <w:rPr>
          <w:bCs/>
          <w:color w:val="002060"/>
          <w:sz w:val="16"/>
          <w:szCs w:val="16"/>
        </w:rPr>
        <w:t xml:space="preserve">Комитет занялся также исследованием залежей отечественной селитры, но эти месторождения оказались неблагонадежными. </w:t>
      </w:r>
    </w:p>
    <w:p w14:paraId="316F0FB6" w14:textId="77777777" w:rsidR="004B4E35" w:rsidRPr="00405303" w:rsidRDefault="009E6F82" w:rsidP="00C15251">
      <w:pPr>
        <w:jc w:val="both"/>
        <w:rPr>
          <w:bCs/>
          <w:color w:val="002060"/>
          <w:sz w:val="16"/>
          <w:szCs w:val="16"/>
        </w:rPr>
      </w:pPr>
      <w:r w:rsidRPr="00405303">
        <w:rPr>
          <w:bCs/>
          <w:color w:val="002060"/>
          <w:sz w:val="16"/>
          <w:szCs w:val="16"/>
        </w:rPr>
        <w:t xml:space="preserve">Имея в виду в будущем освободиться от иностранной зависимости, Химический комитет приступил к разработке вопроса о наилучшем для России методе получения азотной кислоты. </w:t>
      </w:r>
    </w:p>
    <w:p w14:paraId="0CBA992E" w14:textId="77777777" w:rsidR="004B4E35" w:rsidRPr="00405303" w:rsidRDefault="009E6F82" w:rsidP="00C15251">
      <w:pPr>
        <w:jc w:val="both"/>
        <w:rPr>
          <w:bCs/>
          <w:color w:val="002060"/>
          <w:sz w:val="16"/>
          <w:szCs w:val="16"/>
        </w:rPr>
      </w:pPr>
      <w:r w:rsidRPr="00405303">
        <w:rPr>
          <w:bCs/>
          <w:color w:val="002060"/>
          <w:sz w:val="16"/>
          <w:szCs w:val="16"/>
        </w:rPr>
        <w:t xml:space="preserve">В связи с установлением улавливания побочных продуктов коксования угля начала быстро расти выработка аммиачных вод. Были привлечены крупные научные силы к разработке практического метода превращения аммиака в азотную кислоту. Лабораторные изыскания и опытная заводская работа дали благоприятные результаты. После этого Химический комитет построил первый казенный завод в Юзовке для получения азотной кислоты переработкой аммиачных вод, производительностью на 50 тыс. пудов селитры в месяц. Этот завод должен был послужить образцом для постройки в дальнейшем таких же заводов. </w:t>
      </w:r>
    </w:p>
    <w:p w14:paraId="6D9327F0" w14:textId="77777777" w:rsidR="004B4E35" w:rsidRPr="00405303" w:rsidRDefault="009E6F82" w:rsidP="00C15251">
      <w:pPr>
        <w:jc w:val="both"/>
        <w:rPr>
          <w:bCs/>
          <w:color w:val="002060"/>
          <w:sz w:val="16"/>
          <w:szCs w:val="16"/>
        </w:rPr>
      </w:pPr>
      <w:r w:rsidRPr="00405303">
        <w:rPr>
          <w:bCs/>
          <w:color w:val="002060"/>
          <w:sz w:val="16"/>
          <w:szCs w:val="16"/>
        </w:rPr>
        <w:t xml:space="preserve">В целях разрешения полностью вопроса о связанном азоте Химическим комитетом был осенью 1916 г. разработан проект завода цианамида кальция производительностью на 2 000 000 пудов в год, который предположено было строить на Кавказе, в Грозном. </w:t>
      </w:r>
    </w:p>
    <w:p w14:paraId="4170252A" w14:textId="77777777" w:rsidR="004B4E35" w:rsidRPr="00405303" w:rsidRDefault="009E6F82" w:rsidP="00C15251">
      <w:pPr>
        <w:jc w:val="both"/>
        <w:rPr>
          <w:bCs/>
          <w:color w:val="002060"/>
          <w:sz w:val="16"/>
          <w:szCs w:val="16"/>
        </w:rPr>
      </w:pPr>
      <w:r w:rsidRPr="00405303">
        <w:rPr>
          <w:bCs/>
          <w:color w:val="002060"/>
          <w:sz w:val="16"/>
          <w:szCs w:val="16"/>
        </w:rPr>
        <w:t xml:space="preserve">Таким образом, Комиссия Ипатьева, а в дальнейшем Химический комитет, как видно из приведенного очерка, несли на себе все заботы о снабжении казенных и частных заводов пороха и взрывчатых веществ основными материалами для производства. </w:t>
      </w:r>
    </w:p>
    <w:p w14:paraId="064E8338" w14:textId="77777777" w:rsidR="004B4E35" w:rsidRPr="00405303" w:rsidRDefault="009E6F82" w:rsidP="00C15251">
      <w:pPr>
        <w:jc w:val="both"/>
        <w:rPr>
          <w:bCs/>
          <w:color w:val="002060"/>
          <w:sz w:val="16"/>
          <w:szCs w:val="16"/>
        </w:rPr>
      </w:pPr>
      <w:r w:rsidRPr="00405303">
        <w:rPr>
          <w:bCs/>
          <w:color w:val="002060"/>
          <w:sz w:val="16"/>
          <w:szCs w:val="16"/>
        </w:rPr>
        <w:t xml:space="preserve">Независимо от этого на Химическом комитете лежала обязанность привлечь частную промышленность к изготовлению самых взрывчатых веществ в дополнение к тем, которые изготовлялись казенными заводами. </w:t>
      </w:r>
    </w:p>
    <w:p w14:paraId="0D0CAF59" w14:textId="77777777" w:rsidR="004B4E35" w:rsidRPr="00405303" w:rsidRDefault="009E6F82" w:rsidP="00C15251">
      <w:pPr>
        <w:jc w:val="both"/>
        <w:rPr>
          <w:bCs/>
          <w:color w:val="002060"/>
          <w:sz w:val="16"/>
          <w:szCs w:val="16"/>
        </w:rPr>
      </w:pPr>
      <w:r w:rsidRPr="00405303">
        <w:rPr>
          <w:bCs/>
          <w:color w:val="002060"/>
          <w:sz w:val="16"/>
          <w:szCs w:val="16"/>
        </w:rPr>
        <w:t xml:space="preserve">Во время войны производство тротила было установлено на нескольких существовавших частных химических заводах (отдельные цеха) и построены новые тротиловые заводы. Общее число частных заводов, готовивших тротил во время войны, достигло восьми. </w:t>
      </w:r>
    </w:p>
    <w:p w14:paraId="3AAF9F0E" w14:textId="77777777" w:rsidR="004B4E35" w:rsidRPr="00405303" w:rsidRDefault="009E6F82" w:rsidP="00C15251">
      <w:pPr>
        <w:jc w:val="both"/>
        <w:rPr>
          <w:bCs/>
          <w:color w:val="002060"/>
          <w:sz w:val="16"/>
          <w:szCs w:val="16"/>
        </w:rPr>
      </w:pPr>
      <w:r w:rsidRPr="00405303">
        <w:rPr>
          <w:bCs/>
          <w:color w:val="002060"/>
          <w:sz w:val="16"/>
          <w:szCs w:val="16"/>
        </w:rPr>
        <w:t xml:space="preserve">Пикриновая кислота во время войны готовилась только на частных заводах: на пяти — нитрацией фенола и на двух — синтетическим путем из бензола. До войны ее готовили только два завода по первому способу. Синтетический способ был разработан в России уже во время войны в Центральной научно-технической лаборатории военного ведомства и представляет большой научный интерес. </w:t>
      </w:r>
    </w:p>
    <w:p w14:paraId="7E75BEFD" w14:textId="77777777" w:rsidR="004B4E35" w:rsidRPr="00405303" w:rsidRDefault="009E6F82" w:rsidP="00C15251">
      <w:pPr>
        <w:jc w:val="both"/>
        <w:rPr>
          <w:bCs/>
          <w:color w:val="002060"/>
          <w:sz w:val="16"/>
          <w:szCs w:val="16"/>
        </w:rPr>
      </w:pPr>
      <w:r w:rsidRPr="00405303">
        <w:rPr>
          <w:bCs/>
          <w:color w:val="002060"/>
          <w:sz w:val="16"/>
          <w:szCs w:val="16"/>
        </w:rPr>
        <w:t xml:space="preserve">Было установлено Химическим комитетом также производство тринитроксилола и динитронафталина, каждый на двух заводах. </w:t>
      </w:r>
    </w:p>
    <w:p w14:paraId="062CE720" w14:textId="77777777" w:rsidR="004B4E35" w:rsidRPr="00405303" w:rsidRDefault="009E6F82" w:rsidP="00C15251">
      <w:pPr>
        <w:jc w:val="both"/>
        <w:rPr>
          <w:bCs/>
          <w:color w:val="002060"/>
          <w:sz w:val="16"/>
          <w:szCs w:val="16"/>
        </w:rPr>
      </w:pPr>
      <w:r w:rsidRPr="00405303">
        <w:rPr>
          <w:bCs/>
          <w:color w:val="002060"/>
          <w:sz w:val="16"/>
          <w:szCs w:val="16"/>
        </w:rPr>
        <w:t xml:space="preserve">Изготовление аммиачной селитры, кроме упомянутого выше Юзовского казенного завода, было организовано Комиссией еще на двух заводах в Донецком бассейне. </w:t>
      </w:r>
    </w:p>
    <w:p w14:paraId="03AB69CE" w14:textId="77777777" w:rsidR="004B4E35" w:rsidRPr="00405303" w:rsidRDefault="009E6F82" w:rsidP="00C15251">
      <w:pPr>
        <w:jc w:val="both"/>
        <w:rPr>
          <w:bCs/>
          <w:color w:val="002060"/>
          <w:sz w:val="16"/>
          <w:szCs w:val="16"/>
        </w:rPr>
      </w:pPr>
      <w:r w:rsidRPr="00405303">
        <w:rPr>
          <w:bCs/>
          <w:color w:val="002060"/>
          <w:sz w:val="16"/>
          <w:szCs w:val="16"/>
        </w:rPr>
        <w:t xml:space="preserve">Фабрикация взрывчатых смесей на основе аммиачной селитры была организована Химическим комитетом в нескольких мастерских и заводах. </w:t>
      </w:r>
    </w:p>
    <w:p w14:paraId="6206B9A2" w14:textId="77777777" w:rsidR="004B4E35" w:rsidRPr="00405303" w:rsidRDefault="009E6F82" w:rsidP="00C15251">
      <w:pPr>
        <w:jc w:val="both"/>
        <w:rPr>
          <w:bCs/>
          <w:color w:val="002060"/>
          <w:sz w:val="16"/>
          <w:szCs w:val="16"/>
        </w:rPr>
      </w:pPr>
      <w:r w:rsidRPr="00405303">
        <w:rPr>
          <w:bCs/>
          <w:color w:val="002060"/>
          <w:sz w:val="16"/>
          <w:szCs w:val="16"/>
        </w:rPr>
        <w:t xml:space="preserve">Общее количество заводов, изготовлявших взрывчатые вещества, возросло с февраля 1915 г. по январь 1917 г. с 4 до 28. Общая мощность их по оборудованию в 1917 г. возросла до 218 000 пудов в месяц. Из них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4B4E35" w:rsidRPr="00405303" w14:paraId="3CB30673" w14:textId="77777777">
        <w:tc>
          <w:tcPr>
            <w:tcW w:w="1788" w:type="dxa"/>
          </w:tcPr>
          <w:p w14:paraId="370C65BA" w14:textId="77777777" w:rsidR="004B4E35" w:rsidRPr="00405303" w:rsidRDefault="009E6F82" w:rsidP="00C15251">
            <w:pPr>
              <w:jc w:val="both"/>
              <w:rPr>
                <w:bCs/>
                <w:color w:val="002060"/>
                <w:sz w:val="16"/>
                <w:szCs w:val="16"/>
              </w:rPr>
            </w:pPr>
            <w:r w:rsidRPr="00405303">
              <w:rPr>
                <w:bCs/>
                <w:color w:val="002060"/>
                <w:sz w:val="16"/>
                <w:szCs w:val="16"/>
              </w:rPr>
              <w:t>Тротила</w:t>
            </w:r>
          </w:p>
        </w:tc>
        <w:tc>
          <w:tcPr>
            <w:tcW w:w="936" w:type="dxa"/>
          </w:tcPr>
          <w:p w14:paraId="71A75D4B" w14:textId="77777777" w:rsidR="004B4E35" w:rsidRPr="00405303" w:rsidRDefault="009E6F82" w:rsidP="00C15251">
            <w:pPr>
              <w:jc w:val="both"/>
              <w:rPr>
                <w:bCs/>
                <w:color w:val="002060"/>
                <w:sz w:val="16"/>
                <w:szCs w:val="16"/>
              </w:rPr>
            </w:pPr>
            <w:r w:rsidRPr="00405303">
              <w:rPr>
                <w:bCs/>
                <w:color w:val="002060"/>
                <w:sz w:val="16"/>
                <w:szCs w:val="16"/>
              </w:rPr>
              <w:t xml:space="preserve">52.000 </w:t>
            </w:r>
          </w:p>
        </w:tc>
      </w:tr>
      <w:tr w:rsidR="004B4E35" w:rsidRPr="00405303" w14:paraId="05C59DBE" w14:textId="77777777">
        <w:tc>
          <w:tcPr>
            <w:tcW w:w="1788" w:type="dxa"/>
          </w:tcPr>
          <w:p w14:paraId="3B0B3B86" w14:textId="77777777" w:rsidR="004B4E35" w:rsidRPr="00405303" w:rsidRDefault="009E6F82" w:rsidP="00C15251">
            <w:pPr>
              <w:jc w:val="both"/>
              <w:rPr>
                <w:bCs/>
                <w:color w:val="002060"/>
                <w:sz w:val="16"/>
                <w:szCs w:val="16"/>
              </w:rPr>
            </w:pPr>
            <w:r w:rsidRPr="00405303">
              <w:rPr>
                <w:bCs/>
                <w:color w:val="002060"/>
                <w:sz w:val="16"/>
                <w:szCs w:val="16"/>
              </w:rPr>
              <w:t>Пикриновой кислоты</w:t>
            </w:r>
          </w:p>
        </w:tc>
        <w:tc>
          <w:tcPr>
            <w:tcW w:w="936" w:type="dxa"/>
          </w:tcPr>
          <w:p w14:paraId="38F7640A" w14:textId="77777777" w:rsidR="004B4E35" w:rsidRPr="00405303" w:rsidRDefault="009E6F82" w:rsidP="00C15251">
            <w:pPr>
              <w:jc w:val="both"/>
              <w:rPr>
                <w:bCs/>
                <w:color w:val="002060"/>
                <w:sz w:val="16"/>
                <w:szCs w:val="16"/>
              </w:rPr>
            </w:pPr>
            <w:r w:rsidRPr="00405303">
              <w:rPr>
                <w:bCs/>
                <w:color w:val="002060"/>
                <w:sz w:val="16"/>
                <w:szCs w:val="16"/>
              </w:rPr>
              <w:t xml:space="preserve">50.000 </w:t>
            </w:r>
          </w:p>
        </w:tc>
      </w:tr>
      <w:tr w:rsidR="004B4E35" w:rsidRPr="00405303" w14:paraId="54B15C62" w14:textId="77777777">
        <w:tc>
          <w:tcPr>
            <w:tcW w:w="1788" w:type="dxa"/>
          </w:tcPr>
          <w:p w14:paraId="094127CA" w14:textId="77777777" w:rsidR="004B4E35" w:rsidRPr="00405303" w:rsidRDefault="009E6F82" w:rsidP="00C15251">
            <w:pPr>
              <w:jc w:val="both"/>
              <w:rPr>
                <w:bCs/>
                <w:color w:val="002060"/>
                <w:sz w:val="16"/>
                <w:szCs w:val="16"/>
              </w:rPr>
            </w:pPr>
            <w:r w:rsidRPr="00405303">
              <w:rPr>
                <w:bCs/>
                <w:color w:val="002060"/>
                <w:sz w:val="16"/>
                <w:szCs w:val="16"/>
              </w:rPr>
              <w:t>Аммиачной селитры</w:t>
            </w:r>
          </w:p>
        </w:tc>
        <w:tc>
          <w:tcPr>
            <w:tcW w:w="936" w:type="dxa"/>
          </w:tcPr>
          <w:p w14:paraId="23A038D7" w14:textId="77777777" w:rsidR="004B4E35" w:rsidRPr="00405303" w:rsidRDefault="009E6F82" w:rsidP="00C15251">
            <w:pPr>
              <w:jc w:val="both"/>
              <w:rPr>
                <w:bCs/>
                <w:color w:val="002060"/>
                <w:sz w:val="16"/>
                <w:szCs w:val="16"/>
              </w:rPr>
            </w:pPr>
            <w:r w:rsidRPr="00405303">
              <w:rPr>
                <w:bCs/>
                <w:color w:val="002060"/>
                <w:sz w:val="16"/>
                <w:szCs w:val="16"/>
              </w:rPr>
              <w:t xml:space="preserve">60.000 </w:t>
            </w:r>
          </w:p>
        </w:tc>
      </w:tr>
      <w:tr w:rsidR="004B4E35" w:rsidRPr="00405303" w14:paraId="6DEAA8A0" w14:textId="77777777">
        <w:tc>
          <w:tcPr>
            <w:tcW w:w="1788" w:type="dxa"/>
          </w:tcPr>
          <w:p w14:paraId="3331F1FF" w14:textId="77777777" w:rsidR="004B4E35" w:rsidRPr="00405303" w:rsidRDefault="009E6F82" w:rsidP="00C15251">
            <w:pPr>
              <w:jc w:val="both"/>
              <w:rPr>
                <w:bCs/>
                <w:color w:val="002060"/>
                <w:sz w:val="16"/>
                <w:szCs w:val="16"/>
              </w:rPr>
            </w:pPr>
            <w:r w:rsidRPr="00405303">
              <w:rPr>
                <w:bCs/>
                <w:color w:val="002060"/>
                <w:sz w:val="16"/>
                <w:szCs w:val="16"/>
              </w:rPr>
              <w:t>Ксилола</w:t>
            </w:r>
          </w:p>
        </w:tc>
        <w:tc>
          <w:tcPr>
            <w:tcW w:w="936" w:type="dxa"/>
          </w:tcPr>
          <w:p w14:paraId="1E1D87AD" w14:textId="77777777" w:rsidR="004B4E35" w:rsidRPr="00405303" w:rsidRDefault="009E6F82" w:rsidP="00C15251">
            <w:pPr>
              <w:jc w:val="both"/>
              <w:rPr>
                <w:bCs/>
                <w:color w:val="002060"/>
                <w:sz w:val="16"/>
                <w:szCs w:val="16"/>
              </w:rPr>
            </w:pPr>
            <w:r w:rsidRPr="00405303">
              <w:rPr>
                <w:bCs/>
                <w:color w:val="002060"/>
                <w:sz w:val="16"/>
                <w:szCs w:val="16"/>
              </w:rPr>
              <w:t xml:space="preserve">9.000 </w:t>
            </w:r>
          </w:p>
        </w:tc>
      </w:tr>
      <w:tr w:rsidR="004B4E35" w:rsidRPr="00405303" w14:paraId="744EE4A9" w14:textId="77777777">
        <w:tc>
          <w:tcPr>
            <w:tcW w:w="1788" w:type="dxa"/>
          </w:tcPr>
          <w:p w14:paraId="5E53E57A" w14:textId="77777777" w:rsidR="004B4E35" w:rsidRPr="00405303" w:rsidRDefault="009E6F82" w:rsidP="00C15251">
            <w:pPr>
              <w:jc w:val="both"/>
              <w:rPr>
                <w:bCs/>
                <w:color w:val="002060"/>
                <w:sz w:val="16"/>
                <w:szCs w:val="16"/>
              </w:rPr>
            </w:pPr>
            <w:r w:rsidRPr="00405303">
              <w:rPr>
                <w:bCs/>
                <w:color w:val="002060"/>
                <w:sz w:val="16"/>
                <w:szCs w:val="16"/>
              </w:rPr>
              <w:t>Динитронафталина</w:t>
            </w:r>
          </w:p>
        </w:tc>
        <w:tc>
          <w:tcPr>
            <w:tcW w:w="936" w:type="dxa"/>
          </w:tcPr>
          <w:p w14:paraId="53977420" w14:textId="77777777" w:rsidR="004B4E35" w:rsidRPr="00405303" w:rsidRDefault="009E6F82" w:rsidP="00C15251">
            <w:pPr>
              <w:jc w:val="both"/>
              <w:rPr>
                <w:bCs/>
                <w:color w:val="002060"/>
                <w:sz w:val="16"/>
                <w:szCs w:val="16"/>
              </w:rPr>
            </w:pPr>
            <w:r w:rsidRPr="00405303">
              <w:rPr>
                <w:bCs/>
                <w:color w:val="002060"/>
                <w:sz w:val="16"/>
                <w:szCs w:val="16"/>
              </w:rPr>
              <w:t xml:space="preserve">12.000 </w:t>
            </w:r>
          </w:p>
        </w:tc>
      </w:tr>
    </w:tbl>
    <w:p w14:paraId="11A71CF6" w14:textId="77777777" w:rsidR="004B4E35" w:rsidRPr="00405303" w:rsidRDefault="009E6F82" w:rsidP="00C15251">
      <w:pPr>
        <w:jc w:val="both"/>
        <w:rPr>
          <w:bCs/>
          <w:color w:val="002060"/>
          <w:sz w:val="16"/>
          <w:szCs w:val="16"/>
        </w:rPr>
      </w:pPr>
      <w:r w:rsidRPr="00405303">
        <w:rPr>
          <w:bCs/>
          <w:color w:val="002060"/>
          <w:sz w:val="16"/>
          <w:szCs w:val="16"/>
        </w:rPr>
        <w:t xml:space="preserve">Фактически эта мощность не была использована полностью. </w:t>
      </w:r>
    </w:p>
    <w:p w14:paraId="530EBCB1" w14:textId="77777777" w:rsidR="004B4E35" w:rsidRPr="00405303" w:rsidRDefault="009E6F82" w:rsidP="00C15251">
      <w:pPr>
        <w:jc w:val="both"/>
        <w:rPr>
          <w:bCs/>
          <w:color w:val="002060"/>
          <w:sz w:val="16"/>
          <w:szCs w:val="16"/>
        </w:rPr>
      </w:pPr>
      <w:r w:rsidRPr="00405303">
        <w:rPr>
          <w:bCs/>
          <w:color w:val="002060"/>
          <w:sz w:val="16"/>
          <w:szCs w:val="16"/>
        </w:rPr>
        <w:t xml:space="preserve">Летом 1915 г. определенно выяснилась необходимость организовать производство целого ряда химических продуктов для газовой борьбы с противником. </w:t>
      </w:r>
    </w:p>
    <w:p w14:paraId="7769BC65" w14:textId="77777777" w:rsidR="004B4E35" w:rsidRPr="00405303" w:rsidRDefault="009E6F82" w:rsidP="00C15251">
      <w:pPr>
        <w:jc w:val="both"/>
        <w:rPr>
          <w:bCs/>
          <w:color w:val="002060"/>
          <w:sz w:val="16"/>
          <w:szCs w:val="16"/>
        </w:rPr>
      </w:pPr>
      <w:r w:rsidRPr="00405303">
        <w:rPr>
          <w:bCs/>
          <w:color w:val="002060"/>
          <w:sz w:val="16"/>
          <w:szCs w:val="16"/>
        </w:rPr>
        <w:t xml:space="preserve">Это дело проводилось с большой энергией и успехом, сначала специально для этой цели организованной Комиссией у[душающих] с[редств], а после Химическим комитетом, куда вошла Комиссия УС. Организации заводского производства предшествовал ряд научных изысканий. </w:t>
      </w:r>
    </w:p>
    <w:p w14:paraId="2E6D76B0" w14:textId="77777777" w:rsidR="004B4E35" w:rsidRPr="00405303" w:rsidRDefault="009E6F82" w:rsidP="00C15251">
      <w:pPr>
        <w:jc w:val="both"/>
        <w:rPr>
          <w:bCs/>
          <w:color w:val="002060"/>
          <w:sz w:val="16"/>
          <w:szCs w:val="16"/>
        </w:rPr>
      </w:pPr>
      <w:r w:rsidRPr="00405303">
        <w:rPr>
          <w:bCs/>
          <w:color w:val="002060"/>
          <w:sz w:val="16"/>
          <w:szCs w:val="16"/>
        </w:rPr>
        <w:t xml:space="preserve">Для выпуска из баллонов принят был сжиженный хлор. Производство было быстро организовано на двух заводах Донецкого бассейна и в период с осени 1915 г. к осени 1916 г. достигло 500-600 пудов в сутки, что вполне покрывало потребность фронта. </w:t>
      </w:r>
    </w:p>
    <w:p w14:paraId="386F0B7D" w14:textId="77777777" w:rsidR="004B4E35" w:rsidRPr="00405303" w:rsidRDefault="009E6F82" w:rsidP="00C15251">
      <w:pPr>
        <w:jc w:val="both"/>
        <w:rPr>
          <w:bCs/>
          <w:color w:val="002060"/>
          <w:sz w:val="16"/>
          <w:szCs w:val="16"/>
        </w:rPr>
      </w:pPr>
      <w:r w:rsidRPr="00405303">
        <w:rPr>
          <w:bCs/>
          <w:color w:val="002060"/>
          <w:sz w:val="16"/>
          <w:szCs w:val="16"/>
        </w:rPr>
        <w:t xml:space="preserve">Второе вещество, необходимое для баллоновой газовой борьбы, фосген, в России ранее вовсе не вырабатывалось. </w:t>
      </w:r>
    </w:p>
    <w:p w14:paraId="1718942D" w14:textId="77777777" w:rsidR="004B4E35" w:rsidRPr="00405303" w:rsidRDefault="009E6F82" w:rsidP="00C15251">
      <w:pPr>
        <w:jc w:val="both"/>
        <w:rPr>
          <w:bCs/>
          <w:color w:val="002060"/>
          <w:sz w:val="16"/>
          <w:szCs w:val="16"/>
        </w:rPr>
      </w:pPr>
      <w:r w:rsidRPr="00405303">
        <w:rPr>
          <w:bCs/>
          <w:color w:val="002060"/>
          <w:sz w:val="16"/>
          <w:szCs w:val="16"/>
        </w:rPr>
        <w:t xml:space="preserve">На это производство оборудовалось пять заводов, из коих один казенный. Из пяти только два своевременно справились с делом. С января по октябрь 1916 г. производство фосгена достигло 600 пудов в месяц. Установка его представляла большие технические трудности. </w:t>
      </w:r>
    </w:p>
    <w:p w14:paraId="24F94D0E" w14:textId="77777777" w:rsidR="004B4E35" w:rsidRPr="00405303" w:rsidRDefault="009E6F82" w:rsidP="00C15251">
      <w:pPr>
        <w:jc w:val="both"/>
        <w:rPr>
          <w:bCs/>
          <w:color w:val="002060"/>
          <w:sz w:val="16"/>
          <w:szCs w:val="16"/>
        </w:rPr>
      </w:pPr>
      <w:r w:rsidRPr="00405303">
        <w:rPr>
          <w:bCs/>
          <w:color w:val="002060"/>
          <w:sz w:val="16"/>
          <w:szCs w:val="16"/>
        </w:rPr>
        <w:t xml:space="preserve">Что касается других удушающих веществ, то Химический комитет поставил следующие производства: </w:t>
      </w:r>
    </w:p>
    <w:p w14:paraId="0B0DC93D"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Хлорпикрин — производство было поставлено на семи заводах. Из них один казенный (Глобинский). По 1 октября 1916 г. изготовлено 21 000 пудов. </w:t>
      </w:r>
    </w:p>
    <w:p w14:paraId="2AEDD0A6" w14:textId="77777777" w:rsidR="004B4E35" w:rsidRPr="00405303" w:rsidRDefault="009E6F82" w:rsidP="00C15251">
      <w:pPr>
        <w:jc w:val="both"/>
        <w:rPr>
          <w:bCs/>
          <w:color w:val="002060"/>
          <w:sz w:val="16"/>
          <w:szCs w:val="16"/>
        </w:rPr>
      </w:pPr>
      <w:r w:rsidRPr="00405303">
        <w:rPr>
          <w:bCs/>
          <w:color w:val="002060"/>
          <w:sz w:val="16"/>
          <w:szCs w:val="16"/>
        </w:rPr>
        <w:t xml:space="preserve">Хлористый сульфурин и хлористый ангидрид — на одном заводе, до 1 октября 1916 г. выработано: первого 14 000 пудов, а второго 18 000 пудов. </w:t>
      </w:r>
    </w:p>
    <w:p w14:paraId="006A3F95" w14:textId="77777777" w:rsidR="004B4E35" w:rsidRPr="00405303" w:rsidRDefault="009E6F82" w:rsidP="00C15251">
      <w:pPr>
        <w:jc w:val="both"/>
        <w:rPr>
          <w:bCs/>
          <w:color w:val="002060"/>
          <w:sz w:val="16"/>
          <w:szCs w:val="16"/>
        </w:rPr>
      </w:pPr>
      <w:r w:rsidRPr="00405303">
        <w:rPr>
          <w:bCs/>
          <w:color w:val="002060"/>
          <w:sz w:val="16"/>
          <w:szCs w:val="16"/>
        </w:rPr>
        <w:t xml:space="preserve">Хлорное олово — на одном заводе, до 1 октября 1916 г. выработано 14 000 пудов. </w:t>
      </w:r>
    </w:p>
    <w:p w14:paraId="0715F15A" w14:textId="77777777" w:rsidR="004B4E35" w:rsidRPr="00405303" w:rsidRDefault="009E6F82" w:rsidP="00C15251">
      <w:pPr>
        <w:jc w:val="both"/>
        <w:rPr>
          <w:bCs/>
          <w:color w:val="002060"/>
          <w:sz w:val="16"/>
          <w:szCs w:val="16"/>
        </w:rPr>
      </w:pPr>
      <w:r w:rsidRPr="00405303">
        <w:rPr>
          <w:bCs/>
          <w:color w:val="002060"/>
          <w:sz w:val="16"/>
          <w:szCs w:val="16"/>
        </w:rPr>
        <w:t xml:space="preserve">Цианистый калий — на одном заводе, за 1916 г. выработано 100 пудов. </w:t>
      </w:r>
    </w:p>
    <w:p w14:paraId="6FD8C257" w14:textId="77777777" w:rsidR="004B4E35" w:rsidRPr="00405303" w:rsidRDefault="009E6F82" w:rsidP="00C15251">
      <w:pPr>
        <w:jc w:val="both"/>
        <w:rPr>
          <w:bCs/>
          <w:color w:val="002060"/>
          <w:sz w:val="16"/>
          <w:szCs w:val="16"/>
        </w:rPr>
      </w:pPr>
      <w:r w:rsidRPr="00405303">
        <w:rPr>
          <w:bCs/>
          <w:color w:val="002060"/>
          <w:sz w:val="16"/>
          <w:szCs w:val="16"/>
        </w:rPr>
        <w:t xml:space="preserve">Хлороформ — на одном заводе, до 1 октября 1916 г. — 300 пудов. </w:t>
      </w:r>
    </w:p>
    <w:p w14:paraId="69A4753B" w14:textId="77777777" w:rsidR="004B4E35" w:rsidRPr="00405303" w:rsidRDefault="009E6F82" w:rsidP="00C15251">
      <w:pPr>
        <w:jc w:val="both"/>
        <w:rPr>
          <w:bCs/>
          <w:color w:val="002060"/>
          <w:sz w:val="16"/>
          <w:szCs w:val="16"/>
        </w:rPr>
      </w:pPr>
      <w:r w:rsidRPr="00405303">
        <w:rPr>
          <w:bCs/>
          <w:color w:val="002060"/>
          <w:sz w:val="16"/>
          <w:szCs w:val="16"/>
        </w:rPr>
        <w:t xml:space="preserve">Хлористый мышьяк — на одном заводе, до 1 октября 1916 г. — 2000 пудов. </w:t>
      </w:r>
    </w:p>
    <w:p w14:paraId="65325723" w14:textId="77777777" w:rsidR="004B4E35" w:rsidRPr="00405303" w:rsidRDefault="009E6F82" w:rsidP="00C15251">
      <w:pPr>
        <w:jc w:val="both"/>
        <w:rPr>
          <w:bCs/>
          <w:color w:val="002060"/>
          <w:sz w:val="16"/>
          <w:szCs w:val="16"/>
        </w:rPr>
      </w:pPr>
      <w:r w:rsidRPr="00405303">
        <w:rPr>
          <w:bCs/>
          <w:color w:val="002060"/>
          <w:sz w:val="16"/>
          <w:szCs w:val="16"/>
        </w:rPr>
        <w:t xml:space="preserve">Для производства бромбензола было установлено, впервые в России, производство брома. </w:t>
      </w:r>
    </w:p>
    <w:p w14:paraId="5745B979" w14:textId="77777777" w:rsidR="004B4E35" w:rsidRPr="00405303" w:rsidRDefault="009E6F82" w:rsidP="00C15251">
      <w:pPr>
        <w:jc w:val="both"/>
        <w:rPr>
          <w:bCs/>
          <w:color w:val="002060"/>
          <w:sz w:val="16"/>
          <w:szCs w:val="16"/>
        </w:rPr>
      </w:pPr>
      <w:r w:rsidRPr="00405303">
        <w:rPr>
          <w:bCs/>
          <w:color w:val="002060"/>
          <w:sz w:val="16"/>
          <w:szCs w:val="16"/>
        </w:rPr>
        <w:t xml:space="preserve">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 </w:t>
      </w:r>
    </w:p>
    <w:p w14:paraId="28E9360B" w14:textId="77777777" w:rsidR="004B4E35" w:rsidRPr="00405303" w:rsidRDefault="009E6F82" w:rsidP="00C15251">
      <w:pPr>
        <w:jc w:val="both"/>
        <w:rPr>
          <w:bCs/>
          <w:color w:val="002060"/>
          <w:sz w:val="16"/>
          <w:szCs w:val="16"/>
        </w:rPr>
      </w:pPr>
      <w:r w:rsidRPr="00405303">
        <w:rPr>
          <w:bCs/>
          <w:color w:val="002060"/>
          <w:sz w:val="16"/>
          <w:szCs w:val="16"/>
        </w:rPr>
        <w:t xml:space="preserve">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 </w:t>
      </w:r>
    </w:p>
    <w:p w14:paraId="15CB0ABB" w14:textId="77777777" w:rsidR="004B4E35" w:rsidRPr="00405303" w:rsidRDefault="009E6F82" w:rsidP="00C15251">
      <w:pPr>
        <w:jc w:val="both"/>
        <w:rPr>
          <w:bCs/>
          <w:color w:val="002060"/>
          <w:sz w:val="16"/>
          <w:szCs w:val="16"/>
        </w:rPr>
      </w:pPr>
      <w:r w:rsidRPr="00405303">
        <w:rPr>
          <w:bCs/>
          <w:color w:val="002060"/>
          <w:sz w:val="16"/>
          <w:szCs w:val="16"/>
        </w:rPr>
        <w:t xml:space="preserve">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 </w:t>
      </w:r>
    </w:p>
    <w:p w14:paraId="29676D65" w14:textId="77777777" w:rsidR="004B4E35" w:rsidRPr="00405303" w:rsidRDefault="009E6F82" w:rsidP="00C15251">
      <w:pPr>
        <w:jc w:val="both"/>
        <w:rPr>
          <w:bCs/>
          <w:color w:val="002060"/>
          <w:sz w:val="16"/>
          <w:szCs w:val="16"/>
        </w:rPr>
      </w:pPr>
      <w:r w:rsidRPr="00405303">
        <w:rPr>
          <w:bCs/>
          <w:color w:val="002060"/>
          <w:sz w:val="16"/>
          <w:szCs w:val="16"/>
        </w:rPr>
        <w:t xml:space="preserve">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 </w:t>
      </w:r>
    </w:p>
    <w:p w14:paraId="7FDC7DC6" w14:textId="77777777" w:rsidR="004B4E35" w:rsidRPr="00405303" w:rsidRDefault="009E6F82" w:rsidP="00C15251">
      <w:pPr>
        <w:jc w:val="both"/>
        <w:rPr>
          <w:bCs/>
          <w:color w:val="002060"/>
          <w:sz w:val="16"/>
          <w:szCs w:val="16"/>
        </w:rPr>
      </w:pPr>
      <w:r w:rsidRPr="00405303">
        <w:rPr>
          <w:bCs/>
          <w:color w:val="002060"/>
          <w:sz w:val="16"/>
          <w:szCs w:val="16"/>
        </w:rPr>
        <w:t xml:space="preserve">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 </w:t>
      </w:r>
    </w:p>
    <w:p w14:paraId="48D21D13" w14:textId="77777777" w:rsidR="004B4E35" w:rsidRPr="00405303" w:rsidRDefault="009E6F82" w:rsidP="00C15251">
      <w:pPr>
        <w:jc w:val="both"/>
        <w:rPr>
          <w:bCs/>
          <w:color w:val="002060"/>
          <w:sz w:val="16"/>
          <w:szCs w:val="16"/>
        </w:rPr>
      </w:pPr>
      <w:r w:rsidRPr="00405303">
        <w:rPr>
          <w:bCs/>
          <w:color w:val="002060"/>
          <w:sz w:val="16"/>
          <w:szCs w:val="16"/>
        </w:rPr>
        <w:t xml:space="preserve">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w:t>
      </w:r>
    </w:p>
    <w:p w14:paraId="3FB23D64" w14:textId="77777777" w:rsidR="004B4E35" w:rsidRPr="00405303" w:rsidRDefault="009E6F82" w:rsidP="00C15251">
      <w:pPr>
        <w:jc w:val="both"/>
        <w:rPr>
          <w:bCs/>
          <w:color w:val="002060"/>
          <w:sz w:val="16"/>
          <w:szCs w:val="16"/>
        </w:rPr>
      </w:pPr>
      <w:r w:rsidRPr="00405303">
        <w:rPr>
          <w:bCs/>
          <w:color w:val="002060"/>
          <w:sz w:val="16"/>
          <w:szCs w:val="16"/>
        </w:rPr>
        <w:t>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33E9F6DA" w14:textId="77777777" w:rsidR="004B4E35" w:rsidRPr="00405303" w:rsidRDefault="009E6F82" w:rsidP="00C15251">
      <w:pPr>
        <w:jc w:val="both"/>
        <w:rPr>
          <w:bCs/>
          <w:color w:val="002060"/>
          <w:sz w:val="16"/>
          <w:szCs w:val="16"/>
        </w:rPr>
      </w:pPr>
      <w:r w:rsidRPr="00405303">
        <w:rPr>
          <w:bCs/>
          <w:color w:val="002060"/>
          <w:sz w:val="16"/>
          <w:szCs w:val="16"/>
        </w:rPr>
        <w:t xml:space="preserve">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31AFD4A6" w14:textId="77777777" w:rsidR="004B4E35" w:rsidRPr="00405303" w:rsidRDefault="009E6F82" w:rsidP="00C15251">
      <w:pPr>
        <w:jc w:val="both"/>
        <w:rPr>
          <w:bCs/>
          <w:color w:val="002060"/>
          <w:sz w:val="16"/>
          <w:szCs w:val="16"/>
        </w:rPr>
      </w:pPr>
      <w:r w:rsidRPr="00405303">
        <w:rPr>
          <w:bCs/>
          <w:color w:val="002060"/>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417DBAC6" w14:textId="77777777" w:rsidR="004B4E35" w:rsidRPr="00405303" w:rsidRDefault="009E6F82" w:rsidP="00C15251">
      <w:pPr>
        <w:jc w:val="both"/>
        <w:rPr>
          <w:bCs/>
          <w:color w:val="002060"/>
          <w:sz w:val="16"/>
          <w:szCs w:val="16"/>
        </w:rPr>
      </w:pPr>
      <w:r w:rsidRPr="00405303">
        <w:rPr>
          <w:bCs/>
          <w:color w:val="002060"/>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0F7308F0" w14:textId="77777777" w:rsidR="004B4E35" w:rsidRPr="00405303" w:rsidRDefault="009E6F82" w:rsidP="00C15251">
      <w:pPr>
        <w:jc w:val="both"/>
        <w:rPr>
          <w:bCs/>
          <w:color w:val="002060"/>
          <w:sz w:val="16"/>
          <w:szCs w:val="16"/>
        </w:rPr>
      </w:pPr>
      <w:r w:rsidRPr="00405303">
        <w:rPr>
          <w:bCs/>
          <w:color w:val="002060"/>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4B2A8BD8" w14:textId="77777777" w:rsidR="004B4E35" w:rsidRPr="00405303" w:rsidRDefault="004B4E35" w:rsidP="00C15251">
      <w:pPr>
        <w:jc w:val="both"/>
        <w:rPr>
          <w:bCs/>
          <w:i/>
          <w:color w:val="002060"/>
          <w:sz w:val="16"/>
          <w:szCs w:val="16"/>
        </w:rPr>
      </w:pPr>
    </w:p>
    <w:p w14:paraId="54ACCBE7" w14:textId="248359F9" w:rsidR="004B4E35" w:rsidRPr="00405303" w:rsidRDefault="009E6F82" w:rsidP="00C15251">
      <w:pPr>
        <w:jc w:val="both"/>
        <w:rPr>
          <w:bCs/>
          <w:color w:val="002060"/>
          <w:sz w:val="16"/>
          <w:szCs w:val="16"/>
        </w:rPr>
      </w:pPr>
      <w:r w:rsidRPr="00405303">
        <w:rPr>
          <w:bCs/>
          <w:color w:val="002060"/>
          <w:sz w:val="16"/>
          <w:szCs w:val="16"/>
        </w:rPr>
        <w:t xml:space="preserve">В мае 1915 г. на германские </w:t>
      </w:r>
      <w:r w:rsidR="00C93371" w:rsidRPr="00405303">
        <w:rPr>
          <w:bCs/>
          <w:color w:val="002060"/>
          <w:sz w:val="16"/>
          <w:szCs w:val="16"/>
        </w:rPr>
        <w:t xml:space="preserve">оптические </w:t>
      </w:r>
      <w:r w:rsidRPr="00405303">
        <w:rPr>
          <w:bCs/>
          <w:color w:val="002060"/>
          <w:sz w:val="16"/>
          <w:szCs w:val="16"/>
        </w:rPr>
        <w:t xml:space="preserve">предприятия </w:t>
      </w:r>
      <w:r w:rsidR="00C93371" w:rsidRPr="00405303">
        <w:rPr>
          <w:bCs/>
          <w:color w:val="002060"/>
          <w:sz w:val="16"/>
          <w:szCs w:val="16"/>
        </w:rPr>
        <w:t xml:space="preserve">в России </w:t>
      </w:r>
      <w:r w:rsidRPr="00405303">
        <w:rPr>
          <w:bCs/>
          <w:color w:val="002060"/>
          <w:sz w:val="16"/>
          <w:szCs w:val="16"/>
        </w:rPr>
        <w:t>был официально наложен секвестр (внешнее управление). Из-за приближения фронта заводы вместе с рабочими были вывезены в Петроград в июле 1915 г., еще до начала массовой эвакуации Рижского промышленного района. В мае 1916 г. эти заводы были реквизированы, и на их основе создали казенный оптический завод ГАУ, расширенный за счет закупленных американских станков.</w:t>
      </w:r>
    </w:p>
    <w:p w14:paraId="04172CCC" w14:textId="77777777" w:rsidR="004B4E35" w:rsidRPr="00405303" w:rsidRDefault="009E6F82" w:rsidP="00C15251">
      <w:pPr>
        <w:jc w:val="both"/>
        <w:rPr>
          <w:bCs/>
          <w:color w:val="002060"/>
          <w:sz w:val="16"/>
          <w:szCs w:val="16"/>
        </w:rPr>
      </w:pPr>
      <w:r w:rsidRPr="00405303">
        <w:rPr>
          <w:bCs/>
          <w:color w:val="002060"/>
          <w:sz w:val="16"/>
          <w:szCs w:val="16"/>
        </w:rPr>
        <w:t>Столь же важным для обороны был оптический отдел Обуховского завода, выпускавший панорамы, бинокли, стереотрубы. Завод группы Шнейдера в основном собирал взрыватели и только осваивал производство стереотруб и перископов. Мелкие оптические заводы и мастерские также получили небольшие военные заказы. Почти все оптические предприятия оказались сосредоточены в Петрограде, отрезанном с началом войны от морских поставок импортного сырья, оборудования и топлива. Организовать достаточное снабжение столицы железнодорожным транспортом не удалось, и крупнейший промышленный центр империи задыхался от топливного кризиса. Именно из-за этого стали строить завод в Изюме, пытались организовать производство биноклей в Саратовском ремесленном училище (11645).</w:t>
      </w:r>
    </w:p>
    <w:p w14:paraId="081E335A" w14:textId="77777777" w:rsidR="004B4E35" w:rsidRPr="00405303" w:rsidRDefault="004B4E35" w:rsidP="00C15251">
      <w:pPr>
        <w:jc w:val="both"/>
        <w:rPr>
          <w:bCs/>
          <w:color w:val="002060"/>
          <w:sz w:val="16"/>
          <w:szCs w:val="16"/>
        </w:rPr>
      </w:pPr>
    </w:p>
    <w:p w14:paraId="7C44642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С мая 1915 г. по январь 1918 г. ген. Ванковым было заключено 442 договора с различными многочисленными предприятиями, включенными в его организацию. </w:t>
      </w:r>
    </w:p>
    <w:p w14:paraId="66C27F8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состав организации вошли как крупные заводы и предприятия: общество Коломенского завода, Густав Лист, Донецкое и Краматорское металлургические общества, общества Мальцевских заводов, Русской железнопрокатной промышленности и трубопрокатных заводов, Паровозостроительное и механическое общество, Южно-русское днепровское.общество, товарищество Кольчугина, Тверская мануфактура, Викула Морозов, Д. П. Рябушинский, Н. А. Второв, Компания Зингер, Р. Т. Эльворти, общество "Динамо" и т. д., так и мелкие заводы и мастерские, объединяемые и необъединяемые военно-промышленными комитетами; при этом в организацию входили не только металлургические и механические заводы и предприятия, но и мануфактурные, оптические, штамповальные и т. д. </w:t>
      </w:r>
    </w:p>
    <w:p w14:paraId="4EA2948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Предприятия эти были сведены в местные районы, во главе которых были поставлены заведующие; районы открывались по мере надобности в местном объединении заводов. Таких районов было открыто 7: Московский, Южный, Тамбовский, Петроградский, Одесский, Киевский, Ярославский. В одном Московском районе объединено было около 100 заводов, мастерских и комитетов; в Одесском до 70 предприятий, по большей части мелких мастерских Одесского областного военно-промышленного комитета; в Киевском 56 заводов и мелких мастерских и т. д. Кроме того, по заказам организации Ванкова работали отдельные военно-промышленные комитеты и заводы, не объединившиеся в районы. </w:t>
      </w:r>
    </w:p>
    <w:p w14:paraId="4E2944B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lastRenderedPageBreak/>
        <w:t xml:space="preserve">Для организации производства заводы были подразделены на группы: одна группа - для подготовки стали, другая - для изготовления корпусов гранаты, третья - для изготовления запальных стаканов взрывателя, четвертая - для изготовления ударных (детонаторных) трубок, пятая - для снаряжения снарядов и пр. </w:t>
      </w:r>
    </w:p>
    <w:p w14:paraId="203D8DA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Во главе каждой группы имелся завод с руководителями-специалистами, на котором давались разъяснения и производились всякого рода испытания. </w:t>
      </w:r>
    </w:p>
    <w:p w14:paraId="7470E8F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Организация Ванкова принимала необходимые меры к устранению разного рода препятствий к правильному производству и развитию работ, а именно: а) урегулирование очереди и порядка исполнения срочных заказов разных ведомств - морского, интендантского, инженерного и пр.; разрозненные действия ведомств доходили до того, что одно из ведомств начало реквизицию станков в Московском районе, вследствие чего возникло даже опасение, что работа района совершенна прекратится; б) освобождение рабочих-специалистов от призыва на службу в войска и возвращение заводам мастеровых-ратников и запасных, находящихся в тыловых войсковых частях и командах; в) урегулирование снабжения заводов топливом, материалами и машинами и оказание им, содействия в деле перевозки; еще на предварительном совещании заводчиков Московского района, происходившем в феврале 1915 г., выяснилось, что в течение месяца было доставлено донецкого угля только 22% затребованного и разрешенного горнозаводским комитетом количества, что из Архангельска не доставляются давно туда прибывшие из-за границы станки и пр.; г) устранение разного рода затруднений технического характера, встречавшихся при заводском производстве. При этом организация ген. Ванкова заняла совершенно самостоятельную позицию, независимую от Арткома ГАУ в экспериментально-техническом отношении по вопросам, касающимся контроля и пригодности стали для снарядов, выяснения причин разного рода пороков материала в снарядах, исследования и установления пригодности новых материалов для снарядов (сталистый чугун) и т. п. В этой работе организации Ванкова пришли на помощь научно-технические силы Москвы, в особенности профессора, преподаватели и лаборатории Высшего московского технического училища. </w:t>
      </w:r>
    </w:p>
    <w:p w14:paraId="2AA6DBC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При заготовлении снарядов организацией Ванкова был избран как более отвечающий обстоятельствам дела, по своей гибкости и применимости к обстановке, и вместе обеспечивающий интересы казны, так называемый прежним законом "комиссионерский способ заготовления", но с некоторыми отступлениями. </w:t>
      </w:r>
    </w:p>
    <w:p w14:paraId="5E4AE94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Этот способ заготовления обыкновенно применялся к предметам второстепенного для армии значения и в сравнительно небольших размерах. </w:t>
      </w:r>
    </w:p>
    <w:p w14:paraId="7AE3AC7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Заготовление гранат по французскому образцу организацией Ванкова-представляло первый и чуть ли не единственный в притом удачный опыт применения "комиссионерского способа" в отношении предметов первостепенной важности и в чрезвычайно широком размере. </w:t>
      </w:r>
    </w:p>
    <w:p w14:paraId="0B5C5E7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 мнению ген. Ванкова, организация порученного ему дела должна была бы </w:t>
      </w:r>
      <w:proofErr w:type="gramStart"/>
      <w:r w:rsidRPr="00405303">
        <w:rPr>
          <w:bCs/>
          <w:i w:val="0"/>
          <w:color w:val="002060"/>
          <w:spacing w:val="0"/>
          <w:kern w:val="0"/>
          <w:position w:val="0"/>
          <w:sz w:val="16"/>
          <w:szCs w:val="16"/>
        </w:rPr>
        <w:t>напоминать</w:t>
      </w:r>
      <w:proofErr w:type="gramEnd"/>
      <w:r w:rsidRPr="00405303">
        <w:rPr>
          <w:bCs/>
          <w:i w:val="0"/>
          <w:color w:val="002060"/>
          <w:spacing w:val="0"/>
          <w:kern w:val="0"/>
          <w:position w:val="0"/>
          <w:sz w:val="16"/>
          <w:szCs w:val="16"/>
        </w:rPr>
        <w:t xml:space="preserve"> как бы организацию крупного промышленного предприятия с директором-распорядителем во главе. По его мнению, канцелярская волокита могла убить дело; стоящее во главе дела лицо должно было "иметь право на месте решать бесповоротно и окончательно все возникающие экономическо-хозяйственные и технические вопросы". Лицо без таких широких полномочий не могло бы, по мнению Ванкова, добыть потребные сырые материалы и топливо без вредных задержек, какие в то время постоянно происходили даже с казенными грузами. </w:t>
      </w:r>
    </w:p>
    <w:p w14:paraId="71A10A9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Просимые ген. Ванковым права и полномочия были ему предоставлены далёко не в полном объеме (11483).</w:t>
      </w:r>
    </w:p>
    <w:p w14:paraId="4A1F48DF" w14:textId="77777777" w:rsidR="004B4E35" w:rsidRPr="00405303" w:rsidRDefault="004B4E35" w:rsidP="00C15251">
      <w:pPr>
        <w:pStyle w:val="a3"/>
        <w:jc w:val="both"/>
        <w:rPr>
          <w:bCs/>
          <w:i w:val="0"/>
          <w:color w:val="002060"/>
          <w:spacing w:val="0"/>
          <w:kern w:val="0"/>
          <w:position w:val="0"/>
          <w:sz w:val="16"/>
          <w:szCs w:val="16"/>
        </w:rPr>
      </w:pPr>
    </w:p>
    <w:p w14:paraId="7E2BE2BC"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С мая 1915 г. по январь 1918 г. генерал С. Н. Банков заключил 442 договора с различными предприятиями, включенными в его ор</w:t>
      </w:r>
      <w:r w:rsidRPr="00405303">
        <w:rPr>
          <w:bCs/>
          <w:color w:val="002060"/>
          <w:sz w:val="16"/>
          <w:szCs w:val="16"/>
        </w:rPr>
        <w:softHyphen/>
        <w:t>ганизацию. До конца 1917г. организация С. Н. Ванкова поставила в армию более 14 млн корпусов снарядов, в том числе 13 млн 683 тыс. 76-мм гранат — почти половину всех 76-мм гранат, изготовленных в России за годы войны. Организация С. Н. Ванкова изготовила также около полумиллиона корпусов 152-мм бомб. На фронт было отправ</w:t>
      </w:r>
      <w:r w:rsidRPr="00405303">
        <w:rPr>
          <w:bCs/>
          <w:color w:val="002060"/>
          <w:sz w:val="16"/>
          <w:szCs w:val="16"/>
        </w:rPr>
        <w:softHyphen/>
        <w:t>лено 8399236 шт. окончательно снаряженных 76-мм гранат и 225911 шт. 152-мм бомб (табл. 1.9) [5, с. 197].</w:t>
      </w:r>
    </w:p>
    <w:p w14:paraId="74A6484B"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Производство снарядов организацией уполномоченного ГАУ С. Н. Ванкова с сентября 1915 г. по декабрь 1917 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014"/>
        <w:gridCol w:w="1277"/>
        <w:gridCol w:w="998"/>
        <w:gridCol w:w="1114"/>
      </w:tblGrid>
      <w:tr w:rsidR="00575F6B" w:rsidRPr="00405303" w14:paraId="4848AF1F" w14:textId="77777777" w:rsidTr="00D34AC1">
        <w:trPr>
          <w:trHeight w:val="355"/>
        </w:trPr>
        <w:tc>
          <w:tcPr>
            <w:tcW w:w="3014" w:type="dxa"/>
          </w:tcPr>
          <w:p w14:paraId="2A306B25"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Название изделий</w:t>
            </w:r>
          </w:p>
          <w:p w14:paraId="1E8B34B3" w14:textId="77777777" w:rsidR="00575F6B" w:rsidRPr="00405303" w:rsidRDefault="00575F6B" w:rsidP="00C15251">
            <w:pPr>
              <w:shd w:val="clear" w:color="auto" w:fill="FFFFFF"/>
              <w:jc w:val="both"/>
              <w:rPr>
                <w:bCs/>
                <w:color w:val="002060"/>
                <w:sz w:val="16"/>
                <w:szCs w:val="16"/>
              </w:rPr>
            </w:pPr>
          </w:p>
        </w:tc>
        <w:tc>
          <w:tcPr>
            <w:tcW w:w="1277" w:type="dxa"/>
          </w:tcPr>
          <w:p w14:paraId="5D716ABA"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Всего принято</w:t>
            </w:r>
          </w:p>
          <w:p w14:paraId="63184825" w14:textId="77777777" w:rsidR="00575F6B" w:rsidRPr="00405303" w:rsidRDefault="00575F6B" w:rsidP="00C15251">
            <w:pPr>
              <w:shd w:val="clear" w:color="auto" w:fill="FFFFFF"/>
              <w:jc w:val="both"/>
              <w:rPr>
                <w:bCs/>
                <w:color w:val="002060"/>
                <w:sz w:val="16"/>
                <w:szCs w:val="16"/>
              </w:rPr>
            </w:pPr>
          </w:p>
        </w:tc>
        <w:tc>
          <w:tcPr>
            <w:tcW w:w="2112" w:type="dxa"/>
            <w:gridSpan w:val="2"/>
          </w:tcPr>
          <w:p w14:paraId="3594A6D5"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Из этого числа</w:t>
            </w:r>
          </w:p>
          <w:p w14:paraId="22D108BB" w14:textId="77777777" w:rsidR="00575F6B" w:rsidRPr="00405303" w:rsidRDefault="00575F6B" w:rsidP="00C15251">
            <w:pPr>
              <w:shd w:val="clear" w:color="auto" w:fill="FFFFFF"/>
              <w:jc w:val="both"/>
              <w:rPr>
                <w:bCs/>
                <w:color w:val="002060"/>
                <w:sz w:val="16"/>
                <w:szCs w:val="16"/>
              </w:rPr>
            </w:pPr>
          </w:p>
        </w:tc>
      </w:tr>
      <w:tr w:rsidR="00575F6B" w:rsidRPr="00405303" w14:paraId="1ACDA7F3" w14:textId="77777777" w:rsidTr="00D34AC1">
        <w:trPr>
          <w:trHeight w:val="269"/>
        </w:trPr>
        <w:tc>
          <w:tcPr>
            <w:tcW w:w="3014" w:type="dxa"/>
          </w:tcPr>
          <w:p w14:paraId="27731327" w14:textId="77777777" w:rsidR="00575F6B" w:rsidRPr="00405303" w:rsidRDefault="00575F6B" w:rsidP="00C15251">
            <w:pPr>
              <w:shd w:val="clear" w:color="auto" w:fill="FFFFFF"/>
              <w:jc w:val="both"/>
              <w:rPr>
                <w:bCs/>
                <w:color w:val="002060"/>
                <w:sz w:val="16"/>
                <w:szCs w:val="16"/>
              </w:rPr>
            </w:pPr>
          </w:p>
          <w:p w14:paraId="04B27F4F" w14:textId="77777777" w:rsidR="00575F6B" w:rsidRPr="00405303" w:rsidRDefault="00575F6B" w:rsidP="00C15251">
            <w:pPr>
              <w:shd w:val="clear" w:color="auto" w:fill="FFFFFF"/>
              <w:jc w:val="both"/>
              <w:rPr>
                <w:bCs/>
                <w:color w:val="002060"/>
                <w:sz w:val="16"/>
                <w:szCs w:val="16"/>
              </w:rPr>
            </w:pPr>
          </w:p>
        </w:tc>
        <w:tc>
          <w:tcPr>
            <w:tcW w:w="1277" w:type="dxa"/>
          </w:tcPr>
          <w:p w14:paraId="4ECABFC2"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с заводов до 1 января 1918 г.</w:t>
            </w:r>
          </w:p>
          <w:p w14:paraId="532B48F2" w14:textId="77777777" w:rsidR="00575F6B" w:rsidRPr="00405303" w:rsidRDefault="00575F6B" w:rsidP="00C15251">
            <w:pPr>
              <w:shd w:val="clear" w:color="auto" w:fill="FFFFFF"/>
              <w:jc w:val="both"/>
              <w:rPr>
                <w:bCs/>
                <w:color w:val="002060"/>
                <w:sz w:val="16"/>
                <w:szCs w:val="16"/>
              </w:rPr>
            </w:pPr>
          </w:p>
        </w:tc>
        <w:tc>
          <w:tcPr>
            <w:tcW w:w="998" w:type="dxa"/>
          </w:tcPr>
          <w:p w14:paraId="3E9A5317"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сдано окон-</w:t>
            </w:r>
          </w:p>
          <w:p w14:paraId="417277C4" w14:textId="77777777" w:rsidR="00575F6B" w:rsidRPr="00405303" w:rsidRDefault="00575F6B" w:rsidP="00C15251">
            <w:pPr>
              <w:shd w:val="clear" w:color="auto" w:fill="FFFFFF"/>
              <w:jc w:val="both"/>
              <w:rPr>
                <w:bCs/>
                <w:color w:val="002060"/>
                <w:sz w:val="16"/>
                <w:szCs w:val="16"/>
              </w:rPr>
            </w:pPr>
          </w:p>
        </w:tc>
        <w:tc>
          <w:tcPr>
            <w:tcW w:w="1114" w:type="dxa"/>
          </w:tcPr>
          <w:p w14:paraId="5F696EF2"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выдано для</w:t>
            </w:r>
          </w:p>
          <w:p w14:paraId="6AD22476" w14:textId="77777777" w:rsidR="00575F6B" w:rsidRPr="00405303" w:rsidRDefault="00575F6B" w:rsidP="00C15251">
            <w:pPr>
              <w:shd w:val="clear" w:color="auto" w:fill="FFFFFF"/>
              <w:jc w:val="both"/>
              <w:rPr>
                <w:bCs/>
                <w:color w:val="002060"/>
                <w:sz w:val="16"/>
                <w:szCs w:val="16"/>
              </w:rPr>
            </w:pPr>
          </w:p>
        </w:tc>
      </w:tr>
      <w:tr w:rsidR="00575F6B" w:rsidRPr="00405303" w14:paraId="3F808D39" w14:textId="77777777" w:rsidTr="00D34AC1">
        <w:trPr>
          <w:trHeight w:val="154"/>
        </w:trPr>
        <w:tc>
          <w:tcPr>
            <w:tcW w:w="3014" w:type="dxa"/>
          </w:tcPr>
          <w:p w14:paraId="5EB0CA1A" w14:textId="77777777" w:rsidR="00575F6B" w:rsidRPr="00405303" w:rsidRDefault="00575F6B" w:rsidP="00C15251">
            <w:pPr>
              <w:shd w:val="clear" w:color="auto" w:fill="FFFFFF"/>
              <w:jc w:val="both"/>
              <w:rPr>
                <w:bCs/>
                <w:color w:val="002060"/>
                <w:sz w:val="16"/>
                <w:szCs w:val="16"/>
              </w:rPr>
            </w:pPr>
          </w:p>
          <w:p w14:paraId="3F462375" w14:textId="77777777" w:rsidR="00575F6B" w:rsidRPr="00405303" w:rsidRDefault="00575F6B" w:rsidP="00C15251">
            <w:pPr>
              <w:shd w:val="clear" w:color="auto" w:fill="FFFFFF"/>
              <w:jc w:val="both"/>
              <w:rPr>
                <w:bCs/>
                <w:color w:val="002060"/>
                <w:sz w:val="16"/>
                <w:szCs w:val="16"/>
              </w:rPr>
            </w:pPr>
          </w:p>
        </w:tc>
        <w:tc>
          <w:tcPr>
            <w:tcW w:w="1277" w:type="dxa"/>
          </w:tcPr>
          <w:p w14:paraId="00CB1B72" w14:textId="77777777" w:rsidR="00575F6B" w:rsidRPr="00405303" w:rsidRDefault="00575F6B" w:rsidP="00C15251">
            <w:pPr>
              <w:shd w:val="clear" w:color="auto" w:fill="FFFFFF"/>
              <w:jc w:val="both"/>
              <w:rPr>
                <w:bCs/>
                <w:color w:val="002060"/>
                <w:sz w:val="16"/>
                <w:szCs w:val="16"/>
              </w:rPr>
            </w:pPr>
          </w:p>
          <w:p w14:paraId="0AE89306" w14:textId="77777777" w:rsidR="00575F6B" w:rsidRPr="00405303" w:rsidRDefault="00575F6B" w:rsidP="00C15251">
            <w:pPr>
              <w:shd w:val="clear" w:color="auto" w:fill="FFFFFF"/>
              <w:jc w:val="both"/>
              <w:rPr>
                <w:bCs/>
                <w:color w:val="002060"/>
                <w:sz w:val="16"/>
                <w:szCs w:val="16"/>
              </w:rPr>
            </w:pPr>
          </w:p>
        </w:tc>
        <w:tc>
          <w:tcPr>
            <w:tcW w:w="998" w:type="dxa"/>
          </w:tcPr>
          <w:p w14:paraId="175CFFE9"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чательно</w:t>
            </w:r>
          </w:p>
          <w:p w14:paraId="65D24B7F" w14:textId="77777777" w:rsidR="00575F6B" w:rsidRPr="00405303" w:rsidRDefault="00575F6B" w:rsidP="00C15251">
            <w:pPr>
              <w:shd w:val="clear" w:color="auto" w:fill="FFFFFF"/>
              <w:jc w:val="both"/>
              <w:rPr>
                <w:bCs/>
                <w:color w:val="002060"/>
                <w:sz w:val="16"/>
                <w:szCs w:val="16"/>
              </w:rPr>
            </w:pPr>
          </w:p>
        </w:tc>
        <w:tc>
          <w:tcPr>
            <w:tcW w:w="1114" w:type="dxa"/>
          </w:tcPr>
          <w:p w14:paraId="4FA73205"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снаряжения</w:t>
            </w:r>
          </w:p>
          <w:p w14:paraId="5C36DB1B" w14:textId="77777777" w:rsidR="00575F6B" w:rsidRPr="00405303" w:rsidRDefault="00575F6B" w:rsidP="00C15251">
            <w:pPr>
              <w:shd w:val="clear" w:color="auto" w:fill="FFFFFF"/>
              <w:jc w:val="both"/>
              <w:rPr>
                <w:bCs/>
                <w:color w:val="002060"/>
                <w:sz w:val="16"/>
                <w:szCs w:val="16"/>
              </w:rPr>
            </w:pPr>
          </w:p>
        </w:tc>
      </w:tr>
      <w:tr w:rsidR="00575F6B" w:rsidRPr="00405303" w14:paraId="5C59D5AA" w14:textId="77777777" w:rsidTr="00D34AC1">
        <w:trPr>
          <w:trHeight w:val="202"/>
        </w:trPr>
        <w:tc>
          <w:tcPr>
            <w:tcW w:w="3014" w:type="dxa"/>
          </w:tcPr>
          <w:p w14:paraId="41B6AB8F" w14:textId="77777777" w:rsidR="00575F6B" w:rsidRPr="00405303" w:rsidRDefault="00575F6B" w:rsidP="00C15251">
            <w:pPr>
              <w:shd w:val="clear" w:color="auto" w:fill="FFFFFF"/>
              <w:jc w:val="both"/>
              <w:rPr>
                <w:bCs/>
                <w:color w:val="002060"/>
                <w:sz w:val="16"/>
                <w:szCs w:val="16"/>
              </w:rPr>
            </w:pPr>
          </w:p>
          <w:p w14:paraId="17E05D5A" w14:textId="77777777" w:rsidR="00575F6B" w:rsidRPr="00405303" w:rsidRDefault="00575F6B" w:rsidP="00C15251">
            <w:pPr>
              <w:shd w:val="clear" w:color="auto" w:fill="FFFFFF"/>
              <w:jc w:val="both"/>
              <w:rPr>
                <w:bCs/>
                <w:color w:val="002060"/>
                <w:sz w:val="16"/>
                <w:szCs w:val="16"/>
              </w:rPr>
            </w:pPr>
          </w:p>
        </w:tc>
        <w:tc>
          <w:tcPr>
            <w:tcW w:w="1277" w:type="dxa"/>
          </w:tcPr>
          <w:p w14:paraId="1569F55A" w14:textId="77777777" w:rsidR="00575F6B" w:rsidRPr="00405303" w:rsidRDefault="00575F6B" w:rsidP="00C15251">
            <w:pPr>
              <w:shd w:val="clear" w:color="auto" w:fill="FFFFFF"/>
              <w:jc w:val="both"/>
              <w:rPr>
                <w:bCs/>
                <w:color w:val="002060"/>
                <w:sz w:val="16"/>
                <w:szCs w:val="16"/>
              </w:rPr>
            </w:pPr>
          </w:p>
          <w:p w14:paraId="1CF64541" w14:textId="77777777" w:rsidR="00575F6B" w:rsidRPr="00405303" w:rsidRDefault="00575F6B" w:rsidP="00C15251">
            <w:pPr>
              <w:shd w:val="clear" w:color="auto" w:fill="FFFFFF"/>
              <w:jc w:val="both"/>
              <w:rPr>
                <w:bCs/>
                <w:color w:val="002060"/>
                <w:sz w:val="16"/>
                <w:szCs w:val="16"/>
              </w:rPr>
            </w:pPr>
          </w:p>
        </w:tc>
        <w:tc>
          <w:tcPr>
            <w:tcW w:w="998" w:type="dxa"/>
          </w:tcPr>
          <w:p w14:paraId="2ECB9400"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снаряжен-</w:t>
            </w:r>
          </w:p>
          <w:p w14:paraId="52F97F1E" w14:textId="77777777" w:rsidR="00575F6B" w:rsidRPr="00405303" w:rsidRDefault="00575F6B" w:rsidP="00C15251">
            <w:pPr>
              <w:shd w:val="clear" w:color="auto" w:fill="FFFFFF"/>
              <w:jc w:val="both"/>
              <w:rPr>
                <w:bCs/>
                <w:color w:val="002060"/>
                <w:sz w:val="16"/>
                <w:szCs w:val="16"/>
              </w:rPr>
            </w:pPr>
          </w:p>
        </w:tc>
        <w:tc>
          <w:tcPr>
            <w:tcW w:w="1114" w:type="dxa"/>
          </w:tcPr>
          <w:p w14:paraId="488E87CD"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ОВ</w:t>
            </w:r>
          </w:p>
          <w:p w14:paraId="1EFC9E83" w14:textId="77777777" w:rsidR="00575F6B" w:rsidRPr="00405303" w:rsidRDefault="00575F6B" w:rsidP="00C15251">
            <w:pPr>
              <w:shd w:val="clear" w:color="auto" w:fill="FFFFFF"/>
              <w:jc w:val="both"/>
              <w:rPr>
                <w:bCs/>
                <w:color w:val="002060"/>
                <w:sz w:val="16"/>
                <w:szCs w:val="16"/>
              </w:rPr>
            </w:pPr>
          </w:p>
        </w:tc>
      </w:tr>
      <w:tr w:rsidR="00575F6B" w:rsidRPr="00405303" w14:paraId="664867D3" w14:textId="77777777" w:rsidTr="00D34AC1">
        <w:trPr>
          <w:trHeight w:val="240"/>
        </w:trPr>
        <w:tc>
          <w:tcPr>
            <w:tcW w:w="3014" w:type="dxa"/>
          </w:tcPr>
          <w:p w14:paraId="7D66BEEF" w14:textId="77777777" w:rsidR="00575F6B" w:rsidRPr="00405303" w:rsidRDefault="00575F6B" w:rsidP="00C15251">
            <w:pPr>
              <w:shd w:val="clear" w:color="auto" w:fill="FFFFFF"/>
              <w:jc w:val="both"/>
              <w:rPr>
                <w:bCs/>
                <w:color w:val="002060"/>
                <w:sz w:val="16"/>
                <w:szCs w:val="16"/>
              </w:rPr>
            </w:pPr>
          </w:p>
          <w:p w14:paraId="69B7D168" w14:textId="77777777" w:rsidR="00575F6B" w:rsidRPr="00405303" w:rsidRDefault="00575F6B" w:rsidP="00C15251">
            <w:pPr>
              <w:shd w:val="clear" w:color="auto" w:fill="FFFFFF"/>
              <w:jc w:val="both"/>
              <w:rPr>
                <w:bCs/>
                <w:color w:val="002060"/>
                <w:sz w:val="16"/>
                <w:szCs w:val="16"/>
              </w:rPr>
            </w:pPr>
          </w:p>
        </w:tc>
        <w:tc>
          <w:tcPr>
            <w:tcW w:w="1277" w:type="dxa"/>
          </w:tcPr>
          <w:p w14:paraId="4BE962EA" w14:textId="77777777" w:rsidR="00575F6B" w:rsidRPr="00405303" w:rsidRDefault="00575F6B" w:rsidP="00C15251">
            <w:pPr>
              <w:shd w:val="clear" w:color="auto" w:fill="FFFFFF"/>
              <w:jc w:val="both"/>
              <w:rPr>
                <w:bCs/>
                <w:color w:val="002060"/>
                <w:sz w:val="16"/>
                <w:szCs w:val="16"/>
              </w:rPr>
            </w:pPr>
          </w:p>
          <w:p w14:paraId="53848692" w14:textId="77777777" w:rsidR="00575F6B" w:rsidRPr="00405303" w:rsidRDefault="00575F6B" w:rsidP="00C15251">
            <w:pPr>
              <w:shd w:val="clear" w:color="auto" w:fill="FFFFFF"/>
              <w:jc w:val="both"/>
              <w:rPr>
                <w:bCs/>
                <w:color w:val="002060"/>
                <w:sz w:val="16"/>
                <w:szCs w:val="16"/>
              </w:rPr>
            </w:pPr>
          </w:p>
        </w:tc>
        <w:tc>
          <w:tcPr>
            <w:tcW w:w="998" w:type="dxa"/>
          </w:tcPr>
          <w:p w14:paraId="1E2B6788"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ных</w:t>
            </w:r>
          </w:p>
          <w:p w14:paraId="022F93BE" w14:textId="77777777" w:rsidR="00575F6B" w:rsidRPr="00405303" w:rsidRDefault="00575F6B" w:rsidP="00C15251">
            <w:pPr>
              <w:shd w:val="clear" w:color="auto" w:fill="FFFFFF"/>
              <w:jc w:val="both"/>
              <w:rPr>
                <w:bCs/>
                <w:color w:val="002060"/>
                <w:sz w:val="16"/>
                <w:szCs w:val="16"/>
              </w:rPr>
            </w:pPr>
          </w:p>
        </w:tc>
        <w:tc>
          <w:tcPr>
            <w:tcW w:w="1114" w:type="dxa"/>
          </w:tcPr>
          <w:p w14:paraId="76439080" w14:textId="77777777" w:rsidR="00575F6B" w:rsidRPr="00405303" w:rsidRDefault="00575F6B" w:rsidP="00C15251">
            <w:pPr>
              <w:shd w:val="clear" w:color="auto" w:fill="FFFFFF"/>
              <w:jc w:val="both"/>
              <w:rPr>
                <w:bCs/>
                <w:color w:val="002060"/>
                <w:sz w:val="16"/>
                <w:szCs w:val="16"/>
              </w:rPr>
            </w:pPr>
          </w:p>
          <w:p w14:paraId="190B6C5A" w14:textId="77777777" w:rsidR="00575F6B" w:rsidRPr="00405303" w:rsidRDefault="00575F6B" w:rsidP="00C15251">
            <w:pPr>
              <w:shd w:val="clear" w:color="auto" w:fill="FFFFFF"/>
              <w:jc w:val="both"/>
              <w:rPr>
                <w:bCs/>
                <w:color w:val="002060"/>
                <w:sz w:val="16"/>
                <w:szCs w:val="16"/>
              </w:rPr>
            </w:pPr>
          </w:p>
        </w:tc>
      </w:tr>
      <w:tr w:rsidR="00575F6B" w:rsidRPr="00405303" w14:paraId="670F5978" w14:textId="77777777" w:rsidTr="00D34AC1">
        <w:trPr>
          <w:trHeight w:val="259"/>
        </w:trPr>
        <w:tc>
          <w:tcPr>
            <w:tcW w:w="3014" w:type="dxa"/>
          </w:tcPr>
          <w:p w14:paraId="02C3ED29"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Корпуса 76-мм гранат</w:t>
            </w:r>
          </w:p>
          <w:p w14:paraId="316DF9C3" w14:textId="77777777" w:rsidR="00575F6B" w:rsidRPr="00405303" w:rsidRDefault="00575F6B" w:rsidP="00C15251">
            <w:pPr>
              <w:shd w:val="clear" w:color="auto" w:fill="FFFFFF"/>
              <w:jc w:val="both"/>
              <w:rPr>
                <w:bCs/>
                <w:color w:val="002060"/>
                <w:sz w:val="16"/>
                <w:szCs w:val="16"/>
              </w:rPr>
            </w:pPr>
          </w:p>
        </w:tc>
        <w:tc>
          <w:tcPr>
            <w:tcW w:w="1277" w:type="dxa"/>
          </w:tcPr>
          <w:p w14:paraId="63138CB3"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13 683,334</w:t>
            </w:r>
          </w:p>
          <w:p w14:paraId="00099E3A" w14:textId="77777777" w:rsidR="00575F6B" w:rsidRPr="00405303" w:rsidRDefault="00575F6B" w:rsidP="00C15251">
            <w:pPr>
              <w:shd w:val="clear" w:color="auto" w:fill="FFFFFF"/>
              <w:jc w:val="both"/>
              <w:rPr>
                <w:bCs/>
                <w:color w:val="002060"/>
                <w:sz w:val="16"/>
                <w:szCs w:val="16"/>
              </w:rPr>
            </w:pPr>
          </w:p>
        </w:tc>
        <w:tc>
          <w:tcPr>
            <w:tcW w:w="998" w:type="dxa"/>
          </w:tcPr>
          <w:p w14:paraId="0C07B977"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8 399,236</w:t>
            </w:r>
          </w:p>
          <w:p w14:paraId="1F62CC05" w14:textId="77777777" w:rsidR="00575F6B" w:rsidRPr="00405303" w:rsidRDefault="00575F6B" w:rsidP="00C15251">
            <w:pPr>
              <w:shd w:val="clear" w:color="auto" w:fill="FFFFFF"/>
              <w:jc w:val="both"/>
              <w:rPr>
                <w:bCs/>
                <w:color w:val="002060"/>
                <w:sz w:val="16"/>
                <w:szCs w:val="16"/>
              </w:rPr>
            </w:pPr>
          </w:p>
        </w:tc>
        <w:tc>
          <w:tcPr>
            <w:tcW w:w="1114" w:type="dxa"/>
          </w:tcPr>
          <w:p w14:paraId="2C39AF62"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2291,969</w:t>
            </w:r>
          </w:p>
          <w:p w14:paraId="3C0A0284" w14:textId="77777777" w:rsidR="00575F6B" w:rsidRPr="00405303" w:rsidRDefault="00575F6B" w:rsidP="00C15251">
            <w:pPr>
              <w:shd w:val="clear" w:color="auto" w:fill="FFFFFF"/>
              <w:jc w:val="both"/>
              <w:rPr>
                <w:bCs/>
                <w:color w:val="002060"/>
                <w:sz w:val="16"/>
                <w:szCs w:val="16"/>
              </w:rPr>
            </w:pPr>
          </w:p>
        </w:tc>
      </w:tr>
      <w:tr w:rsidR="00575F6B" w:rsidRPr="00405303" w14:paraId="4479EC0F" w14:textId="77777777" w:rsidTr="00D34AC1">
        <w:trPr>
          <w:trHeight w:val="163"/>
        </w:trPr>
        <w:tc>
          <w:tcPr>
            <w:tcW w:w="3014" w:type="dxa"/>
          </w:tcPr>
          <w:p w14:paraId="52E8306D"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Корпуса 122-мм бомб</w:t>
            </w:r>
          </w:p>
          <w:p w14:paraId="3096ABA7" w14:textId="77777777" w:rsidR="00575F6B" w:rsidRPr="00405303" w:rsidRDefault="00575F6B" w:rsidP="00C15251">
            <w:pPr>
              <w:shd w:val="clear" w:color="auto" w:fill="FFFFFF"/>
              <w:jc w:val="both"/>
              <w:rPr>
                <w:bCs/>
                <w:color w:val="002060"/>
                <w:sz w:val="16"/>
                <w:szCs w:val="16"/>
              </w:rPr>
            </w:pPr>
          </w:p>
        </w:tc>
        <w:tc>
          <w:tcPr>
            <w:tcW w:w="1277" w:type="dxa"/>
          </w:tcPr>
          <w:p w14:paraId="1F43E848"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104,956</w:t>
            </w:r>
          </w:p>
          <w:p w14:paraId="0B32D7FE" w14:textId="77777777" w:rsidR="00575F6B" w:rsidRPr="00405303" w:rsidRDefault="00575F6B" w:rsidP="00C15251">
            <w:pPr>
              <w:shd w:val="clear" w:color="auto" w:fill="FFFFFF"/>
              <w:jc w:val="both"/>
              <w:rPr>
                <w:bCs/>
                <w:color w:val="002060"/>
                <w:sz w:val="16"/>
                <w:szCs w:val="16"/>
              </w:rPr>
            </w:pPr>
          </w:p>
        </w:tc>
        <w:tc>
          <w:tcPr>
            <w:tcW w:w="998" w:type="dxa"/>
          </w:tcPr>
          <w:p w14:paraId="3894E9D7"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w:t>
            </w:r>
          </w:p>
          <w:p w14:paraId="43DBAA48" w14:textId="77777777" w:rsidR="00575F6B" w:rsidRPr="00405303" w:rsidRDefault="00575F6B" w:rsidP="00C15251">
            <w:pPr>
              <w:shd w:val="clear" w:color="auto" w:fill="FFFFFF"/>
              <w:jc w:val="both"/>
              <w:rPr>
                <w:bCs/>
                <w:color w:val="002060"/>
                <w:sz w:val="16"/>
                <w:szCs w:val="16"/>
              </w:rPr>
            </w:pPr>
          </w:p>
        </w:tc>
        <w:tc>
          <w:tcPr>
            <w:tcW w:w="1114" w:type="dxa"/>
          </w:tcPr>
          <w:p w14:paraId="5D206971"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w:t>
            </w:r>
          </w:p>
          <w:p w14:paraId="3F79F35C" w14:textId="77777777" w:rsidR="00575F6B" w:rsidRPr="00405303" w:rsidRDefault="00575F6B" w:rsidP="00C15251">
            <w:pPr>
              <w:shd w:val="clear" w:color="auto" w:fill="FFFFFF"/>
              <w:jc w:val="both"/>
              <w:rPr>
                <w:bCs/>
                <w:color w:val="002060"/>
                <w:sz w:val="16"/>
                <w:szCs w:val="16"/>
              </w:rPr>
            </w:pPr>
          </w:p>
        </w:tc>
      </w:tr>
      <w:tr w:rsidR="00575F6B" w:rsidRPr="00405303" w14:paraId="121A822C" w14:textId="77777777" w:rsidTr="00D34AC1">
        <w:trPr>
          <w:trHeight w:val="182"/>
        </w:trPr>
        <w:tc>
          <w:tcPr>
            <w:tcW w:w="3014" w:type="dxa"/>
          </w:tcPr>
          <w:p w14:paraId="1461DAE9"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Корпуса 152-мм бомб</w:t>
            </w:r>
          </w:p>
          <w:p w14:paraId="0917DFDC" w14:textId="77777777" w:rsidR="00575F6B" w:rsidRPr="00405303" w:rsidRDefault="00575F6B" w:rsidP="00C15251">
            <w:pPr>
              <w:shd w:val="clear" w:color="auto" w:fill="FFFFFF"/>
              <w:jc w:val="both"/>
              <w:rPr>
                <w:bCs/>
                <w:color w:val="002060"/>
                <w:sz w:val="16"/>
                <w:szCs w:val="16"/>
              </w:rPr>
            </w:pPr>
          </w:p>
        </w:tc>
        <w:tc>
          <w:tcPr>
            <w:tcW w:w="1277" w:type="dxa"/>
          </w:tcPr>
          <w:p w14:paraId="73F3ABC6"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488,487</w:t>
            </w:r>
          </w:p>
          <w:p w14:paraId="6611B540" w14:textId="77777777" w:rsidR="00575F6B" w:rsidRPr="00405303" w:rsidRDefault="00575F6B" w:rsidP="00C15251">
            <w:pPr>
              <w:shd w:val="clear" w:color="auto" w:fill="FFFFFF"/>
              <w:jc w:val="both"/>
              <w:rPr>
                <w:bCs/>
                <w:color w:val="002060"/>
                <w:sz w:val="16"/>
                <w:szCs w:val="16"/>
              </w:rPr>
            </w:pPr>
          </w:p>
        </w:tc>
        <w:tc>
          <w:tcPr>
            <w:tcW w:w="998" w:type="dxa"/>
          </w:tcPr>
          <w:p w14:paraId="50634EDC"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225,911</w:t>
            </w:r>
          </w:p>
          <w:p w14:paraId="0CD53C5F" w14:textId="77777777" w:rsidR="00575F6B" w:rsidRPr="00405303" w:rsidRDefault="00575F6B" w:rsidP="00C15251">
            <w:pPr>
              <w:shd w:val="clear" w:color="auto" w:fill="FFFFFF"/>
              <w:jc w:val="both"/>
              <w:rPr>
                <w:bCs/>
                <w:color w:val="002060"/>
                <w:sz w:val="16"/>
                <w:szCs w:val="16"/>
              </w:rPr>
            </w:pPr>
          </w:p>
        </w:tc>
        <w:tc>
          <w:tcPr>
            <w:tcW w:w="1114" w:type="dxa"/>
          </w:tcPr>
          <w:p w14:paraId="6B79B1F2"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134,692</w:t>
            </w:r>
          </w:p>
          <w:p w14:paraId="36AC7BEA" w14:textId="77777777" w:rsidR="00575F6B" w:rsidRPr="00405303" w:rsidRDefault="00575F6B" w:rsidP="00C15251">
            <w:pPr>
              <w:shd w:val="clear" w:color="auto" w:fill="FFFFFF"/>
              <w:jc w:val="both"/>
              <w:rPr>
                <w:bCs/>
                <w:color w:val="002060"/>
                <w:sz w:val="16"/>
                <w:szCs w:val="16"/>
              </w:rPr>
            </w:pPr>
          </w:p>
        </w:tc>
      </w:tr>
      <w:tr w:rsidR="00575F6B" w:rsidRPr="00405303" w14:paraId="5218CF92" w14:textId="77777777" w:rsidTr="00D34AC1">
        <w:trPr>
          <w:trHeight w:val="173"/>
        </w:trPr>
        <w:tc>
          <w:tcPr>
            <w:tcW w:w="3014" w:type="dxa"/>
          </w:tcPr>
          <w:p w14:paraId="1E009460"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Запальные стаканы 76-мм</w:t>
            </w:r>
          </w:p>
          <w:p w14:paraId="1748D7CE" w14:textId="77777777" w:rsidR="00575F6B" w:rsidRPr="00405303" w:rsidRDefault="00575F6B" w:rsidP="00C15251">
            <w:pPr>
              <w:shd w:val="clear" w:color="auto" w:fill="FFFFFF"/>
              <w:jc w:val="both"/>
              <w:rPr>
                <w:bCs/>
                <w:color w:val="002060"/>
                <w:sz w:val="16"/>
                <w:szCs w:val="16"/>
              </w:rPr>
            </w:pPr>
          </w:p>
        </w:tc>
        <w:tc>
          <w:tcPr>
            <w:tcW w:w="1277" w:type="dxa"/>
          </w:tcPr>
          <w:p w14:paraId="608BC4C3"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12 250,863</w:t>
            </w:r>
          </w:p>
          <w:p w14:paraId="6D085F41" w14:textId="77777777" w:rsidR="00575F6B" w:rsidRPr="00405303" w:rsidRDefault="00575F6B" w:rsidP="00C15251">
            <w:pPr>
              <w:shd w:val="clear" w:color="auto" w:fill="FFFFFF"/>
              <w:jc w:val="both"/>
              <w:rPr>
                <w:bCs/>
                <w:color w:val="002060"/>
                <w:sz w:val="16"/>
                <w:szCs w:val="16"/>
              </w:rPr>
            </w:pPr>
          </w:p>
        </w:tc>
        <w:tc>
          <w:tcPr>
            <w:tcW w:w="998" w:type="dxa"/>
          </w:tcPr>
          <w:p w14:paraId="753B2876"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w:t>
            </w:r>
          </w:p>
          <w:p w14:paraId="798C2DC6" w14:textId="77777777" w:rsidR="00575F6B" w:rsidRPr="00405303" w:rsidRDefault="00575F6B" w:rsidP="00C15251">
            <w:pPr>
              <w:shd w:val="clear" w:color="auto" w:fill="FFFFFF"/>
              <w:jc w:val="both"/>
              <w:rPr>
                <w:bCs/>
                <w:color w:val="002060"/>
                <w:sz w:val="16"/>
                <w:szCs w:val="16"/>
              </w:rPr>
            </w:pPr>
          </w:p>
        </w:tc>
        <w:tc>
          <w:tcPr>
            <w:tcW w:w="1114" w:type="dxa"/>
          </w:tcPr>
          <w:p w14:paraId="11C50F53"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w:t>
            </w:r>
          </w:p>
          <w:p w14:paraId="4FE9A982" w14:textId="77777777" w:rsidR="00575F6B" w:rsidRPr="00405303" w:rsidRDefault="00575F6B" w:rsidP="00C15251">
            <w:pPr>
              <w:shd w:val="clear" w:color="auto" w:fill="FFFFFF"/>
              <w:jc w:val="both"/>
              <w:rPr>
                <w:bCs/>
                <w:color w:val="002060"/>
                <w:sz w:val="16"/>
                <w:szCs w:val="16"/>
              </w:rPr>
            </w:pPr>
          </w:p>
        </w:tc>
      </w:tr>
      <w:tr w:rsidR="00575F6B" w:rsidRPr="00405303" w14:paraId="7A936349" w14:textId="77777777" w:rsidTr="00D34AC1">
        <w:trPr>
          <w:trHeight w:val="154"/>
        </w:trPr>
        <w:tc>
          <w:tcPr>
            <w:tcW w:w="3014" w:type="dxa"/>
          </w:tcPr>
          <w:p w14:paraId="1CDFEABC"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Запальные стаканы 152-мм</w:t>
            </w:r>
          </w:p>
          <w:p w14:paraId="553CE7D7" w14:textId="77777777" w:rsidR="00575F6B" w:rsidRPr="00405303" w:rsidRDefault="00575F6B" w:rsidP="00C15251">
            <w:pPr>
              <w:shd w:val="clear" w:color="auto" w:fill="FFFFFF"/>
              <w:jc w:val="both"/>
              <w:rPr>
                <w:bCs/>
                <w:color w:val="002060"/>
                <w:sz w:val="16"/>
                <w:szCs w:val="16"/>
              </w:rPr>
            </w:pPr>
          </w:p>
        </w:tc>
        <w:tc>
          <w:tcPr>
            <w:tcW w:w="1277" w:type="dxa"/>
          </w:tcPr>
          <w:p w14:paraId="1C971021"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730,294</w:t>
            </w:r>
          </w:p>
          <w:p w14:paraId="6A52807A" w14:textId="77777777" w:rsidR="00575F6B" w:rsidRPr="00405303" w:rsidRDefault="00575F6B" w:rsidP="00C15251">
            <w:pPr>
              <w:shd w:val="clear" w:color="auto" w:fill="FFFFFF"/>
              <w:jc w:val="both"/>
              <w:rPr>
                <w:bCs/>
                <w:color w:val="002060"/>
                <w:sz w:val="16"/>
                <w:szCs w:val="16"/>
              </w:rPr>
            </w:pPr>
          </w:p>
        </w:tc>
        <w:tc>
          <w:tcPr>
            <w:tcW w:w="998" w:type="dxa"/>
          </w:tcPr>
          <w:p w14:paraId="7A17B4E3"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w:t>
            </w:r>
          </w:p>
          <w:p w14:paraId="7A83703B" w14:textId="77777777" w:rsidR="00575F6B" w:rsidRPr="00405303" w:rsidRDefault="00575F6B" w:rsidP="00C15251">
            <w:pPr>
              <w:shd w:val="clear" w:color="auto" w:fill="FFFFFF"/>
              <w:jc w:val="both"/>
              <w:rPr>
                <w:bCs/>
                <w:color w:val="002060"/>
                <w:sz w:val="16"/>
                <w:szCs w:val="16"/>
              </w:rPr>
            </w:pPr>
          </w:p>
        </w:tc>
        <w:tc>
          <w:tcPr>
            <w:tcW w:w="1114" w:type="dxa"/>
          </w:tcPr>
          <w:p w14:paraId="1F758CBC"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w:t>
            </w:r>
          </w:p>
          <w:p w14:paraId="7BA4C12A" w14:textId="77777777" w:rsidR="00575F6B" w:rsidRPr="00405303" w:rsidRDefault="00575F6B" w:rsidP="00C15251">
            <w:pPr>
              <w:shd w:val="clear" w:color="auto" w:fill="FFFFFF"/>
              <w:jc w:val="both"/>
              <w:rPr>
                <w:bCs/>
                <w:color w:val="002060"/>
                <w:sz w:val="16"/>
                <w:szCs w:val="16"/>
              </w:rPr>
            </w:pPr>
          </w:p>
        </w:tc>
      </w:tr>
      <w:tr w:rsidR="00575F6B" w:rsidRPr="00405303" w14:paraId="1CE518B7" w14:textId="77777777" w:rsidTr="00D34AC1">
        <w:trPr>
          <w:trHeight w:val="173"/>
        </w:trPr>
        <w:tc>
          <w:tcPr>
            <w:tcW w:w="3014" w:type="dxa"/>
          </w:tcPr>
          <w:p w14:paraId="0354F19E"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Запальные стаканы к ОВ</w:t>
            </w:r>
          </w:p>
          <w:p w14:paraId="6CC5E4E1" w14:textId="77777777" w:rsidR="00575F6B" w:rsidRPr="00405303" w:rsidRDefault="00575F6B" w:rsidP="00C15251">
            <w:pPr>
              <w:shd w:val="clear" w:color="auto" w:fill="FFFFFF"/>
              <w:jc w:val="both"/>
              <w:rPr>
                <w:bCs/>
                <w:color w:val="002060"/>
                <w:sz w:val="16"/>
                <w:szCs w:val="16"/>
              </w:rPr>
            </w:pPr>
          </w:p>
        </w:tc>
        <w:tc>
          <w:tcPr>
            <w:tcW w:w="1277" w:type="dxa"/>
          </w:tcPr>
          <w:p w14:paraId="7EEA8B91"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646,572</w:t>
            </w:r>
          </w:p>
          <w:p w14:paraId="06F925F3" w14:textId="77777777" w:rsidR="00575F6B" w:rsidRPr="00405303" w:rsidRDefault="00575F6B" w:rsidP="00C15251">
            <w:pPr>
              <w:shd w:val="clear" w:color="auto" w:fill="FFFFFF"/>
              <w:jc w:val="both"/>
              <w:rPr>
                <w:bCs/>
                <w:color w:val="002060"/>
                <w:sz w:val="16"/>
                <w:szCs w:val="16"/>
              </w:rPr>
            </w:pPr>
          </w:p>
        </w:tc>
        <w:tc>
          <w:tcPr>
            <w:tcW w:w="998" w:type="dxa"/>
          </w:tcPr>
          <w:p w14:paraId="1F31A0E3"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w:t>
            </w:r>
          </w:p>
          <w:p w14:paraId="4DF5F47D" w14:textId="77777777" w:rsidR="00575F6B" w:rsidRPr="00405303" w:rsidRDefault="00575F6B" w:rsidP="00C15251">
            <w:pPr>
              <w:shd w:val="clear" w:color="auto" w:fill="FFFFFF"/>
              <w:jc w:val="both"/>
              <w:rPr>
                <w:bCs/>
                <w:color w:val="002060"/>
                <w:sz w:val="16"/>
                <w:szCs w:val="16"/>
              </w:rPr>
            </w:pPr>
          </w:p>
        </w:tc>
        <w:tc>
          <w:tcPr>
            <w:tcW w:w="1114" w:type="dxa"/>
          </w:tcPr>
          <w:p w14:paraId="6FB138F2"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w:t>
            </w:r>
          </w:p>
          <w:p w14:paraId="7CE29E70" w14:textId="77777777" w:rsidR="00575F6B" w:rsidRPr="00405303" w:rsidRDefault="00575F6B" w:rsidP="00C15251">
            <w:pPr>
              <w:shd w:val="clear" w:color="auto" w:fill="FFFFFF"/>
              <w:jc w:val="both"/>
              <w:rPr>
                <w:bCs/>
                <w:color w:val="002060"/>
                <w:sz w:val="16"/>
                <w:szCs w:val="16"/>
              </w:rPr>
            </w:pPr>
          </w:p>
        </w:tc>
      </w:tr>
      <w:tr w:rsidR="00575F6B" w:rsidRPr="00405303" w14:paraId="6474CD2C" w14:textId="77777777" w:rsidTr="00D34AC1">
        <w:trPr>
          <w:trHeight w:val="173"/>
        </w:trPr>
        <w:tc>
          <w:tcPr>
            <w:tcW w:w="3014" w:type="dxa"/>
          </w:tcPr>
          <w:p w14:paraId="1BF1D8DC"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Детонаторные трубки снаряженные</w:t>
            </w:r>
          </w:p>
          <w:p w14:paraId="28192220" w14:textId="77777777" w:rsidR="00575F6B" w:rsidRPr="00405303" w:rsidRDefault="00575F6B" w:rsidP="00C15251">
            <w:pPr>
              <w:shd w:val="clear" w:color="auto" w:fill="FFFFFF"/>
              <w:jc w:val="both"/>
              <w:rPr>
                <w:bCs/>
                <w:color w:val="002060"/>
                <w:sz w:val="16"/>
                <w:szCs w:val="16"/>
              </w:rPr>
            </w:pPr>
          </w:p>
        </w:tc>
        <w:tc>
          <w:tcPr>
            <w:tcW w:w="1277" w:type="dxa"/>
          </w:tcPr>
          <w:p w14:paraId="673EF3EC"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3 521,260</w:t>
            </w:r>
          </w:p>
          <w:p w14:paraId="75209DD1" w14:textId="77777777" w:rsidR="00575F6B" w:rsidRPr="00405303" w:rsidRDefault="00575F6B" w:rsidP="00C15251">
            <w:pPr>
              <w:shd w:val="clear" w:color="auto" w:fill="FFFFFF"/>
              <w:jc w:val="both"/>
              <w:rPr>
                <w:bCs/>
                <w:color w:val="002060"/>
                <w:sz w:val="16"/>
                <w:szCs w:val="16"/>
              </w:rPr>
            </w:pPr>
          </w:p>
        </w:tc>
        <w:tc>
          <w:tcPr>
            <w:tcW w:w="998" w:type="dxa"/>
          </w:tcPr>
          <w:p w14:paraId="7F534924"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w:t>
            </w:r>
          </w:p>
          <w:p w14:paraId="3929F1C6" w14:textId="77777777" w:rsidR="00575F6B" w:rsidRPr="00405303" w:rsidRDefault="00575F6B" w:rsidP="00C15251">
            <w:pPr>
              <w:shd w:val="clear" w:color="auto" w:fill="FFFFFF"/>
              <w:jc w:val="both"/>
              <w:rPr>
                <w:bCs/>
                <w:color w:val="002060"/>
                <w:sz w:val="16"/>
                <w:szCs w:val="16"/>
              </w:rPr>
            </w:pPr>
          </w:p>
        </w:tc>
        <w:tc>
          <w:tcPr>
            <w:tcW w:w="1114" w:type="dxa"/>
          </w:tcPr>
          <w:p w14:paraId="192D10F9"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w:t>
            </w:r>
          </w:p>
          <w:p w14:paraId="70F0E457" w14:textId="77777777" w:rsidR="00575F6B" w:rsidRPr="00405303" w:rsidRDefault="00575F6B" w:rsidP="00C15251">
            <w:pPr>
              <w:shd w:val="clear" w:color="auto" w:fill="FFFFFF"/>
              <w:jc w:val="both"/>
              <w:rPr>
                <w:bCs/>
                <w:color w:val="002060"/>
                <w:sz w:val="16"/>
                <w:szCs w:val="16"/>
              </w:rPr>
            </w:pPr>
          </w:p>
        </w:tc>
      </w:tr>
      <w:tr w:rsidR="00575F6B" w:rsidRPr="00405303" w14:paraId="1C146F36" w14:textId="77777777" w:rsidTr="00D34AC1">
        <w:trPr>
          <w:trHeight w:val="365"/>
        </w:trPr>
        <w:tc>
          <w:tcPr>
            <w:tcW w:w="3014" w:type="dxa"/>
          </w:tcPr>
          <w:p w14:paraId="6FEFFCA7"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Детонаторные трубки неснаряженные</w:t>
            </w:r>
          </w:p>
          <w:p w14:paraId="64BC938B" w14:textId="77777777" w:rsidR="00575F6B" w:rsidRPr="00405303" w:rsidRDefault="00575F6B" w:rsidP="00C15251">
            <w:pPr>
              <w:shd w:val="clear" w:color="auto" w:fill="FFFFFF"/>
              <w:jc w:val="both"/>
              <w:rPr>
                <w:bCs/>
                <w:color w:val="002060"/>
                <w:sz w:val="16"/>
                <w:szCs w:val="16"/>
              </w:rPr>
            </w:pPr>
          </w:p>
        </w:tc>
        <w:tc>
          <w:tcPr>
            <w:tcW w:w="1277" w:type="dxa"/>
          </w:tcPr>
          <w:p w14:paraId="31752585"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4 906,975</w:t>
            </w:r>
          </w:p>
          <w:p w14:paraId="762D39FA" w14:textId="77777777" w:rsidR="00575F6B" w:rsidRPr="00405303" w:rsidRDefault="00575F6B" w:rsidP="00C15251">
            <w:pPr>
              <w:shd w:val="clear" w:color="auto" w:fill="FFFFFF"/>
              <w:jc w:val="both"/>
              <w:rPr>
                <w:bCs/>
                <w:color w:val="002060"/>
                <w:sz w:val="16"/>
                <w:szCs w:val="16"/>
              </w:rPr>
            </w:pPr>
          </w:p>
        </w:tc>
        <w:tc>
          <w:tcPr>
            <w:tcW w:w="998" w:type="dxa"/>
          </w:tcPr>
          <w:p w14:paraId="401623C8"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w:t>
            </w:r>
          </w:p>
          <w:p w14:paraId="2C678227" w14:textId="77777777" w:rsidR="00575F6B" w:rsidRPr="00405303" w:rsidRDefault="00575F6B" w:rsidP="00C15251">
            <w:pPr>
              <w:shd w:val="clear" w:color="auto" w:fill="FFFFFF"/>
              <w:jc w:val="both"/>
              <w:rPr>
                <w:bCs/>
                <w:color w:val="002060"/>
                <w:sz w:val="16"/>
                <w:szCs w:val="16"/>
              </w:rPr>
            </w:pPr>
          </w:p>
        </w:tc>
        <w:tc>
          <w:tcPr>
            <w:tcW w:w="1114" w:type="dxa"/>
          </w:tcPr>
          <w:p w14:paraId="19F8EB7C"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w:t>
            </w:r>
          </w:p>
          <w:p w14:paraId="7D6EBB4D" w14:textId="77777777" w:rsidR="00575F6B" w:rsidRPr="00405303" w:rsidRDefault="00575F6B" w:rsidP="00C15251">
            <w:pPr>
              <w:shd w:val="clear" w:color="auto" w:fill="FFFFFF"/>
              <w:jc w:val="both"/>
              <w:rPr>
                <w:bCs/>
                <w:color w:val="002060"/>
                <w:sz w:val="16"/>
                <w:szCs w:val="16"/>
              </w:rPr>
            </w:pPr>
          </w:p>
        </w:tc>
      </w:tr>
    </w:tbl>
    <w:p w14:paraId="56FB365E"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Важной заслугой организации С. Н. Ванкова явилось создание производства корпусов 152-мм и 122-мм снарядов из сталистого чугуна [4, с. 310; 9]. Организация разработала и внедрила на 14 заво</w:t>
      </w:r>
      <w:r w:rsidRPr="00405303">
        <w:rPr>
          <w:bCs/>
          <w:color w:val="002060"/>
          <w:sz w:val="16"/>
          <w:szCs w:val="16"/>
        </w:rPr>
        <w:softHyphen/>
        <w:t>дах, главным образом южных, новые методы приемки снарядов из сталистого чугуна, отличные от французских.</w:t>
      </w:r>
    </w:p>
    <w:p w14:paraId="7E61A67C"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Главным в работе организации С. Н. Ванкова, впоследствии вид</w:t>
      </w:r>
      <w:r w:rsidRPr="00405303">
        <w:rPr>
          <w:bCs/>
          <w:color w:val="002060"/>
          <w:sz w:val="16"/>
          <w:szCs w:val="16"/>
        </w:rPr>
        <w:softHyphen/>
        <w:t xml:space="preserve">ного ученого, профессора, начальника Отдела металлов ВСНХ </w:t>
      </w:r>
      <w:proofErr w:type="gramStart"/>
      <w:r w:rsidRPr="00405303">
        <w:rPr>
          <w:bCs/>
          <w:color w:val="002060"/>
          <w:sz w:val="16"/>
          <w:szCs w:val="16"/>
        </w:rPr>
        <w:t>РСФСР,было</w:t>
      </w:r>
      <w:proofErr w:type="gramEnd"/>
      <w:r w:rsidRPr="00405303">
        <w:rPr>
          <w:bCs/>
          <w:color w:val="002060"/>
          <w:sz w:val="16"/>
          <w:szCs w:val="16"/>
        </w:rPr>
        <w:t xml:space="preserve"> то, что при всех сложностях военного времени удалось без всякой предварительной подготовки в короткие сроки организо</w:t>
      </w:r>
      <w:r w:rsidRPr="00405303">
        <w:rPr>
          <w:bCs/>
          <w:color w:val="002060"/>
          <w:sz w:val="16"/>
          <w:szCs w:val="16"/>
        </w:rPr>
        <w:softHyphen/>
        <w:t>вать согласованную и целенаправленную работу многих сотен пред</w:t>
      </w:r>
      <w:r w:rsidRPr="00405303">
        <w:rPr>
          <w:bCs/>
          <w:color w:val="002060"/>
          <w:sz w:val="16"/>
          <w:szCs w:val="16"/>
        </w:rPr>
        <w:softHyphen/>
        <w:t>приятий. Дело было начато в феврале 1915 г. В апреле организации С. Н. Ванкова были даны первые заказы. Производство корпусов на</w:t>
      </w:r>
      <w:r w:rsidRPr="00405303">
        <w:rPr>
          <w:bCs/>
          <w:color w:val="002060"/>
          <w:sz w:val="16"/>
          <w:szCs w:val="16"/>
        </w:rPr>
        <w:softHyphen/>
        <w:t>чали через 9 месяцев — в октябре 1915г. Снаряжение началось в ян варе 1916 г., т. е. через 11 месяцев. Максимальной интенсивности производство достигло в декабре 1916 г.</w:t>
      </w:r>
    </w:p>
    <w:p w14:paraId="033CEA4C"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Итоги работы русских заводов по изготовлению снарядов во время первой мировой войны [5, с. 198|</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98"/>
        <w:gridCol w:w="720"/>
        <w:gridCol w:w="960"/>
        <w:gridCol w:w="1066"/>
        <w:gridCol w:w="1018"/>
        <w:gridCol w:w="1142"/>
      </w:tblGrid>
      <w:tr w:rsidR="00575F6B" w:rsidRPr="00405303" w14:paraId="1411E7C4" w14:textId="77777777" w:rsidTr="00D34AC1">
        <w:trPr>
          <w:trHeight w:val="355"/>
        </w:trPr>
        <w:tc>
          <w:tcPr>
            <w:tcW w:w="1498" w:type="dxa"/>
          </w:tcPr>
          <w:p w14:paraId="52F513D7"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Название снарядов</w:t>
            </w:r>
          </w:p>
          <w:p w14:paraId="1F06FBB9" w14:textId="77777777" w:rsidR="00575F6B" w:rsidRPr="00405303" w:rsidRDefault="00575F6B" w:rsidP="00C15251">
            <w:pPr>
              <w:shd w:val="clear" w:color="auto" w:fill="FFFFFF"/>
              <w:jc w:val="both"/>
              <w:rPr>
                <w:bCs/>
                <w:color w:val="002060"/>
                <w:sz w:val="16"/>
                <w:szCs w:val="16"/>
              </w:rPr>
            </w:pPr>
          </w:p>
        </w:tc>
        <w:tc>
          <w:tcPr>
            <w:tcW w:w="720" w:type="dxa"/>
          </w:tcPr>
          <w:p w14:paraId="69F39FCD"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1914</w:t>
            </w:r>
          </w:p>
          <w:p w14:paraId="42467322" w14:textId="77777777" w:rsidR="00575F6B" w:rsidRPr="00405303" w:rsidRDefault="00575F6B" w:rsidP="00C15251">
            <w:pPr>
              <w:shd w:val="clear" w:color="auto" w:fill="FFFFFF"/>
              <w:jc w:val="both"/>
              <w:rPr>
                <w:bCs/>
                <w:color w:val="002060"/>
                <w:sz w:val="16"/>
                <w:szCs w:val="16"/>
              </w:rPr>
            </w:pPr>
          </w:p>
        </w:tc>
        <w:tc>
          <w:tcPr>
            <w:tcW w:w="960" w:type="dxa"/>
          </w:tcPr>
          <w:p w14:paraId="23BBBC44"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1915</w:t>
            </w:r>
          </w:p>
          <w:p w14:paraId="7432392B" w14:textId="77777777" w:rsidR="00575F6B" w:rsidRPr="00405303" w:rsidRDefault="00575F6B" w:rsidP="00C15251">
            <w:pPr>
              <w:shd w:val="clear" w:color="auto" w:fill="FFFFFF"/>
              <w:jc w:val="both"/>
              <w:rPr>
                <w:bCs/>
                <w:color w:val="002060"/>
                <w:sz w:val="16"/>
                <w:szCs w:val="16"/>
              </w:rPr>
            </w:pPr>
          </w:p>
        </w:tc>
        <w:tc>
          <w:tcPr>
            <w:tcW w:w="1066" w:type="dxa"/>
          </w:tcPr>
          <w:p w14:paraId="45C816DD"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1916</w:t>
            </w:r>
          </w:p>
          <w:p w14:paraId="2821FA06" w14:textId="77777777" w:rsidR="00575F6B" w:rsidRPr="00405303" w:rsidRDefault="00575F6B" w:rsidP="00C15251">
            <w:pPr>
              <w:shd w:val="clear" w:color="auto" w:fill="FFFFFF"/>
              <w:jc w:val="both"/>
              <w:rPr>
                <w:bCs/>
                <w:color w:val="002060"/>
                <w:sz w:val="16"/>
                <w:szCs w:val="16"/>
              </w:rPr>
            </w:pPr>
          </w:p>
        </w:tc>
        <w:tc>
          <w:tcPr>
            <w:tcW w:w="1018" w:type="dxa"/>
          </w:tcPr>
          <w:p w14:paraId="3A817493"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1917</w:t>
            </w:r>
          </w:p>
          <w:p w14:paraId="1361EE51" w14:textId="77777777" w:rsidR="00575F6B" w:rsidRPr="00405303" w:rsidRDefault="00575F6B" w:rsidP="00C15251">
            <w:pPr>
              <w:shd w:val="clear" w:color="auto" w:fill="FFFFFF"/>
              <w:jc w:val="both"/>
              <w:rPr>
                <w:bCs/>
                <w:color w:val="002060"/>
                <w:sz w:val="16"/>
                <w:szCs w:val="16"/>
              </w:rPr>
            </w:pPr>
          </w:p>
        </w:tc>
        <w:tc>
          <w:tcPr>
            <w:tcW w:w="1142" w:type="dxa"/>
          </w:tcPr>
          <w:p w14:paraId="2F0054C5"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Всего</w:t>
            </w:r>
          </w:p>
          <w:p w14:paraId="3AC0DE03" w14:textId="77777777" w:rsidR="00575F6B" w:rsidRPr="00405303" w:rsidRDefault="00575F6B" w:rsidP="00C15251">
            <w:pPr>
              <w:shd w:val="clear" w:color="auto" w:fill="FFFFFF"/>
              <w:jc w:val="both"/>
              <w:rPr>
                <w:bCs/>
                <w:color w:val="002060"/>
                <w:sz w:val="16"/>
                <w:szCs w:val="16"/>
              </w:rPr>
            </w:pPr>
          </w:p>
        </w:tc>
      </w:tr>
      <w:tr w:rsidR="00575F6B" w:rsidRPr="00405303" w14:paraId="48C19F37" w14:textId="77777777" w:rsidTr="00D34AC1">
        <w:trPr>
          <w:trHeight w:val="605"/>
        </w:trPr>
        <w:tc>
          <w:tcPr>
            <w:tcW w:w="1498" w:type="dxa"/>
          </w:tcPr>
          <w:p w14:paraId="0DF51968"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lastRenderedPageBreak/>
              <w:t xml:space="preserve">76-мм шрапнели 76-мм </w:t>
            </w:r>
            <w:proofErr w:type="gramStart"/>
            <w:r w:rsidRPr="00405303">
              <w:rPr>
                <w:bCs/>
                <w:color w:val="002060"/>
                <w:sz w:val="16"/>
                <w:szCs w:val="16"/>
              </w:rPr>
              <w:t>гранаты</w:t>
            </w:r>
            <w:proofErr w:type="gramEnd"/>
            <w:r w:rsidRPr="00405303">
              <w:rPr>
                <w:bCs/>
                <w:color w:val="002060"/>
                <w:sz w:val="16"/>
                <w:szCs w:val="16"/>
              </w:rPr>
              <w:t xml:space="preserve"> Всего 76-мм</w:t>
            </w:r>
          </w:p>
          <w:p w14:paraId="0EDC5E09" w14:textId="77777777" w:rsidR="00575F6B" w:rsidRPr="00405303" w:rsidRDefault="00575F6B" w:rsidP="00C15251">
            <w:pPr>
              <w:shd w:val="clear" w:color="auto" w:fill="FFFFFF"/>
              <w:jc w:val="both"/>
              <w:rPr>
                <w:bCs/>
                <w:color w:val="002060"/>
                <w:sz w:val="16"/>
                <w:szCs w:val="16"/>
              </w:rPr>
            </w:pPr>
          </w:p>
        </w:tc>
        <w:tc>
          <w:tcPr>
            <w:tcW w:w="720" w:type="dxa"/>
          </w:tcPr>
          <w:p w14:paraId="37103C0A"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78 800 78800</w:t>
            </w:r>
          </w:p>
          <w:p w14:paraId="04DC0B07" w14:textId="77777777" w:rsidR="00575F6B" w:rsidRPr="00405303" w:rsidRDefault="00575F6B" w:rsidP="00C15251">
            <w:pPr>
              <w:shd w:val="clear" w:color="auto" w:fill="FFFFFF"/>
              <w:jc w:val="both"/>
              <w:rPr>
                <w:bCs/>
                <w:color w:val="002060"/>
                <w:sz w:val="16"/>
                <w:szCs w:val="16"/>
              </w:rPr>
            </w:pPr>
          </w:p>
        </w:tc>
        <w:tc>
          <w:tcPr>
            <w:tcW w:w="960" w:type="dxa"/>
          </w:tcPr>
          <w:p w14:paraId="089FB249"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6 807 300 2018500 8 825 800</w:t>
            </w:r>
          </w:p>
          <w:p w14:paraId="71874A79" w14:textId="77777777" w:rsidR="00575F6B" w:rsidRPr="00405303" w:rsidRDefault="00575F6B" w:rsidP="00C15251">
            <w:pPr>
              <w:shd w:val="clear" w:color="auto" w:fill="FFFFFF"/>
              <w:jc w:val="both"/>
              <w:rPr>
                <w:bCs/>
                <w:color w:val="002060"/>
                <w:sz w:val="16"/>
                <w:szCs w:val="16"/>
              </w:rPr>
            </w:pPr>
          </w:p>
        </w:tc>
        <w:tc>
          <w:tcPr>
            <w:tcW w:w="1066" w:type="dxa"/>
          </w:tcPr>
          <w:p w14:paraId="6E40E762"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1 1 377 200 15521 800 26 899 000</w:t>
            </w:r>
          </w:p>
          <w:p w14:paraId="4AF99C4D" w14:textId="77777777" w:rsidR="00575F6B" w:rsidRPr="00405303" w:rsidRDefault="00575F6B" w:rsidP="00C15251">
            <w:pPr>
              <w:shd w:val="clear" w:color="auto" w:fill="FFFFFF"/>
              <w:jc w:val="both"/>
              <w:rPr>
                <w:bCs/>
                <w:color w:val="002060"/>
                <w:sz w:val="16"/>
                <w:szCs w:val="16"/>
              </w:rPr>
            </w:pPr>
          </w:p>
        </w:tc>
        <w:tc>
          <w:tcPr>
            <w:tcW w:w="1018" w:type="dxa"/>
          </w:tcPr>
          <w:p w14:paraId="64EE1FFF"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7 217 500 10 504 300 17 721 800</w:t>
            </w:r>
          </w:p>
          <w:p w14:paraId="1E4E544D" w14:textId="77777777" w:rsidR="00575F6B" w:rsidRPr="00405303" w:rsidRDefault="00575F6B" w:rsidP="00C15251">
            <w:pPr>
              <w:shd w:val="clear" w:color="auto" w:fill="FFFFFF"/>
              <w:jc w:val="both"/>
              <w:rPr>
                <w:bCs/>
                <w:color w:val="002060"/>
                <w:sz w:val="16"/>
                <w:szCs w:val="16"/>
              </w:rPr>
            </w:pPr>
          </w:p>
        </w:tc>
        <w:tc>
          <w:tcPr>
            <w:tcW w:w="1142" w:type="dxa"/>
          </w:tcPr>
          <w:p w14:paraId="3E04DF92"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25 480 800 28 044 600 53 525 400</w:t>
            </w:r>
          </w:p>
          <w:p w14:paraId="5C01B675" w14:textId="77777777" w:rsidR="00575F6B" w:rsidRPr="00405303" w:rsidRDefault="00575F6B" w:rsidP="00C15251">
            <w:pPr>
              <w:shd w:val="clear" w:color="auto" w:fill="FFFFFF"/>
              <w:jc w:val="both"/>
              <w:rPr>
                <w:bCs/>
                <w:color w:val="002060"/>
                <w:sz w:val="16"/>
                <w:szCs w:val="16"/>
              </w:rPr>
            </w:pPr>
          </w:p>
        </w:tc>
      </w:tr>
      <w:tr w:rsidR="00575F6B" w:rsidRPr="00405303" w14:paraId="098014C4" w14:textId="77777777" w:rsidTr="00D34AC1">
        <w:trPr>
          <w:trHeight w:val="355"/>
        </w:trPr>
        <w:tc>
          <w:tcPr>
            <w:tcW w:w="1498" w:type="dxa"/>
          </w:tcPr>
          <w:p w14:paraId="4705CC5C"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снарядов 122-мм гранаты и</w:t>
            </w:r>
          </w:p>
          <w:p w14:paraId="447DB4EC" w14:textId="77777777" w:rsidR="00575F6B" w:rsidRPr="00405303" w:rsidRDefault="00575F6B" w:rsidP="00C15251">
            <w:pPr>
              <w:shd w:val="clear" w:color="auto" w:fill="FFFFFF"/>
              <w:jc w:val="both"/>
              <w:rPr>
                <w:bCs/>
                <w:color w:val="002060"/>
                <w:sz w:val="16"/>
                <w:szCs w:val="16"/>
              </w:rPr>
            </w:pPr>
          </w:p>
        </w:tc>
        <w:tc>
          <w:tcPr>
            <w:tcW w:w="720" w:type="dxa"/>
          </w:tcPr>
          <w:p w14:paraId="259290DC"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24000</w:t>
            </w:r>
          </w:p>
          <w:p w14:paraId="02CC1A92" w14:textId="77777777" w:rsidR="00575F6B" w:rsidRPr="00405303" w:rsidRDefault="00575F6B" w:rsidP="00C15251">
            <w:pPr>
              <w:shd w:val="clear" w:color="auto" w:fill="FFFFFF"/>
              <w:jc w:val="both"/>
              <w:rPr>
                <w:bCs/>
                <w:color w:val="002060"/>
                <w:sz w:val="16"/>
                <w:szCs w:val="16"/>
              </w:rPr>
            </w:pPr>
          </w:p>
        </w:tc>
        <w:tc>
          <w:tcPr>
            <w:tcW w:w="960" w:type="dxa"/>
          </w:tcPr>
          <w:p w14:paraId="6B2413ED"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358 938</w:t>
            </w:r>
          </w:p>
          <w:p w14:paraId="621D507A" w14:textId="77777777" w:rsidR="00575F6B" w:rsidRPr="00405303" w:rsidRDefault="00575F6B" w:rsidP="00C15251">
            <w:pPr>
              <w:shd w:val="clear" w:color="auto" w:fill="FFFFFF"/>
              <w:jc w:val="both"/>
              <w:rPr>
                <w:bCs/>
                <w:color w:val="002060"/>
                <w:sz w:val="16"/>
                <w:szCs w:val="16"/>
              </w:rPr>
            </w:pPr>
          </w:p>
        </w:tc>
        <w:tc>
          <w:tcPr>
            <w:tcW w:w="1066" w:type="dxa"/>
          </w:tcPr>
          <w:p w14:paraId="19A53FF3"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2212512</w:t>
            </w:r>
          </w:p>
          <w:p w14:paraId="739308C5" w14:textId="77777777" w:rsidR="00575F6B" w:rsidRPr="00405303" w:rsidRDefault="00575F6B" w:rsidP="00C15251">
            <w:pPr>
              <w:shd w:val="clear" w:color="auto" w:fill="FFFFFF"/>
              <w:jc w:val="both"/>
              <w:rPr>
                <w:bCs/>
                <w:color w:val="002060"/>
                <w:sz w:val="16"/>
                <w:szCs w:val="16"/>
              </w:rPr>
            </w:pPr>
          </w:p>
        </w:tc>
        <w:tc>
          <w:tcPr>
            <w:tcW w:w="1018" w:type="dxa"/>
          </w:tcPr>
          <w:p w14:paraId="6AC44FF2"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3 238 404</w:t>
            </w:r>
          </w:p>
          <w:p w14:paraId="083BE3CA" w14:textId="77777777" w:rsidR="00575F6B" w:rsidRPr="00405303" w:rsidRDefault="00575F6B" w:rsidP="00C15251">
            <w:pPr>
              <w:shd w:val="clear" w:color="auto" w:fill="FFFFFF"/>
              <w:jc w:val="both"/>
              <w:rPr>
                <w:bCs/>
                <w:color w:val="002060"/>
                <w:sz w:val="16"/>
                <w:szCs w:val="16"/>
              </w:rPr>
            </w:pPr>
          </w:p>
        </w:tc>
        <w:tc>
          <w:tcPr>
            <w:tcW w:w="1142" w:type="dxa"/>
          </w:tcPr>
          <w:p w14:paraId="7C9E6D02"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5 833 854</w:t>
            </w:r>
          </w:p>
          <w:p w14:paraId="64C8E182" w14:textId="77777777" w:rsidR="00575F6B" w:rsidRPr="00405303" w:rsidRDefault="00575F6B" w:rsidP="00C15251">
            <w:pPr>
              <w:shd w:val="clear" w:color="auto" w:fill="FFFFFF"/>
              <w:jc w:val="both"/>
              <w:rPr>
                <w:bCs/>
                <w:color w:val="002060"/>
                <w:sz w:val="16"/>
                <w:szCs w:val="16"/>
              </w:rPr>
            </w:pPr>
          </w:p>
        </w:tc>
      </w:tr>
      <w:tr w:rsidR="00575F6B" w:rsidRPr="00405303" w14:paraId="79B864A8" w14:textId="77777777" w:rsidTr="00D34AC1">
        <w:trPr>
          <w:trHeight w:val="346"/>
        </w:trPr>
        <w:tc>
          <w:tcPr>
            <w:tcW w:w="1498" w:type="dxa"/>
          </w:tcPr>
          <w:p w14:paraId="11A96332"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шрапнели 107-мм гранаты и</w:t>
            </w:r>
          </w:p>
          <w:p w14:paraId="2A4F2D49" w14:textId="77777777" w:rsidR="00575F6B" w:rsidRPr="00405303" w:rsidRDefault="00575F6B" w:rsidP="00C15251">
            <w:pPr>
              <w:shd w:val="clear" w:color="auto" w:fill="FFFFFF"/>
              <w:jc w:val="both"/>
              <w:rPr>
                <w:bCs/>
                <w:color w:val="002060"/>
                <w:sz w:val="16"/>
                <w:szCs w:val="16"/>
              </w:rPr>
            </w:pPr>
          </w:p>
        </w:tc>
        <w:tc>
          <w:tcPr>
            <w:tcW w:w="720" w:type="dxa"/>
          </w:tcPr>
          <w:p w14:paraId="3A89253B"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_</w:t>
            </w:r>
          </w:p>
          <w:p w14:paraId="3A662EDC" w14:textId="77777777" w:rsidR="00575F6B" w:rsidRPr="00405303" w:rsidRDefault="00575F6B" w:rsidP="00C15251">
            <w:pPr>
              <w:shd w:val="clear" w:color="auto" w:fill="FFFFFF"/>
              <w:jc w:val="both"/>
              <w:rPr>
                <w:bCs/>
                <w:color w:val="002060"/>
                <w:sz w:val="16"/>
                <w:szCs w:val="16"/>
              </w:rPr>
            </w:pPr>
          </w:p>
        </w:tc>
        <w:tc>
          <w:tcPr>
            <w:tcW w:w="960" w:type="dxa"/>
          </w:tcPr>
          <w:p w14:paraId="7D20935F"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243 589</w:t>
            </w:r>
          </w:p>
          <w:p w14:paraId="65C2A177" w14:textId="77777777" w:rsidR="00575F6B" w:rsidRPr="00405303" w:rsidRDefault="00575F6B" w:rsidP="00C15251">
            <w:pPr>
              <w:shd w:val="clear" w:color="auto" w:fill="FFFFFF"/>
              <w:jc w:val="both"/>
              <w:rPr>
                <w:bCs/>
                <w:color w:val="002060"/>
                <w:sz w:val="16"/>
                <w:szCs w:val="16"/>
              </w:rPr>
            </w:pPr>
          </w:p>
        </w:tc>
        <w:tc>
          <w:tcPr>
            <w:tcW w:w="1066" w:type="dxa"/>
          </w:tcPr>
          <w:p w14:paraId="76B9391B"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720812</w:t>
            </w:r>
          </w:p>
          <w:p w14:paraId="3AD0A9B5" w14:textId="77777777" w:rsidR="00575F6B" w:rsidRPr="00405303" w:rsidRDefault="00575F6B" w:rsidP="00C15251">
            <w:pPr>
              <w:shd w:val="clear" w:color="auto" w:fill="FFFFFF"/>
              <w:jc w:val="both"/>
              <w:rPr>
                <w:bCs/>
                <w:color w:val="002060"/>
                <w:sz w:val="16"/>
                <w:szCs w:val="16"/>
              </w:rPr>
            </w:pPr>
          </w:p>
        </w:tc>
        <w:tc>
          <w:tcPr>
            <w:tcW w:w="1018" w:type="dxa"/>
          </w:tcPr>
          <w:p w14:paraId="720B69FB"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759 487</w:t>
            </w:r>
          </w:p>
          <w:p w14:paraId="3AEDAB3C" w14:textId="77777777" w:rsidR="00575F6B" w:rsidRPr="00405303" w:rsidRDefault="00575F6B" w:rsidP="00C15251">
            <w:pPr>
              <w:shd w:val="clear" w:color="auto" w:fill="FFFFFF"/>
              <w:jc w:val="both"/>
              <w:rPr>
                <w:bCs/>
                <w:color w:val="002060"/>
                <w:sz w:val="16"/>
                <w:szCs w:val="16"/>
              </w:rPr>
            </w:pPr>
          </w:p>
        </w:tc>
        <w:tc>
          <w:tcPr>
            <w:tcW w:w="1142" w:type="dxa"/>
          </w:tcPr>
          <w:p w14:paraId="4ACEE9BF"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1 723 888</w:t>
            </w:r>
          </w:p>
          <w:p w14:paraId="7EEA3321" w14:textId="77777777" w:rsidR="00575F6B" w:rsidRPr="00405303" w:rsidRDefault="00575F6B" w:rsidP="00C15251">
            <w:pPr>
              <w:shd w:val="clear" w:color="auto" w:fill="FFFFFF"/>
              <w:jc w:val="both"/>
              <w:rPr>
                <w:bCs/>
                <w:color w:val="002060"/>
                <w:sz w:val="16"/>
                <w:szCs w:val="16"/>
              </w:rPr>
            </w:pPr>
          </w:p>
        </w:tc>
      </w:tr>
      <w:tr w:rsidR="00575F6B" w:rsidRPr="00405303" w14:paraId="50CAFA78" w14:textId="77777777" w:rsidTr="00D34AC1">
        <w:trPr>
          <w:trHeight w:val="1190"/>
        </w:trPr>
        <w:tc>
          <w:tcPr>
            <w:tcW w:w="1498" w:type="dxa"/>
          </w:tcPr>
          <w:p w14:paraId="31FA81FC"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шрапнели 152-мм гранаты 203-мм фанаты 254-мм гранаты 280-мм гранаты 305-мм гранаты</w:t>
            </w:r>
          </w:p>
          <w:p w14:paraId="72596B3F" w14:textId="77777777" w:rsidR="00575F6B" w:rsidRPr="00405303" w:rsidRDefault="00575F6B" w:rsidP="00C15251">
            <w:pPr>
              <w:shd w:val="clear" w:color="auto" w:fill="FFFFFF"/>
              <w:jc w:val="both"/>
              <w:rPr>
                <w:bCs/>
                <w:color w:val="002060"/>
                <w:sz w:val="16"/>
                <w:szCs w:val="16"/>
              </w:rPr>
            </w:pPr>
          </w:p>
        </w:tc>
        <w:tc>
          <w:tcPr>
            <w:tcW w:w="720" w:type="dxa"/>
          </w:tcPr>
          <w:p w14:paraId="6B7453C2"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2100</w:t>
            </w:r>
          </w:p>
          <w:p w14:paraId="68BE2DB0" w14:textId="77777777" w:rsidR="00575F6B" w:rsidRPr="00405303" w:rsidRDefault="00575F6B" w:rsidP="00C15251">
            <w:pPr>
              <w:shd w:val="clear" w:color="auto" w:fill="FFFFFF"/>
              <w:jc w:val="both"/>
              <w:rPr>
                <w:bCs/>
                <w:color w:val="002060"/>
                <w:sz w:val="16"/>
                <w:szCs w:val="16"/>
              </w:rPr>
            </w:pPr>
          </w:p>
        </w:tc>
        <w:tc>
          <w:tcPr>
            <w:tcW w:w="960" w:type="dxa"/>
          </w:tcPr>
          <w:p w14:paraId="62EBAEA6"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131 724</w:t>
            </w:r>
          </w:p>
          <w:p w14:paraId="0697FDDC"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0 237 1 600</w:t>
            </w:r>
          </w:p>
          <w:p w14:paraId="0FF29573" w14:textId="77777777" w:rsidR="00575F6B" w:rsidRPr="00405303" w:rsidRDefault="00575F6B" w:rsidP="00C15251">
            <w:pPr>
              <w:shd w:val="clear" w:color="auto" w:fill="FFFFFF"/>
              <w:jc w:val="both"/>
              <w:rPr>
                <w:bCs/>
                <w:color w:val="002060"/>
                <w:sz w:val="16"/>
                <w:szCs w:val="16"/>
              </w:rPr>
            </w:pPr>
          </w:p>
        </w:tc>
        <w:tc>
          <w:tcPr>
            <w:tcW w:w="1066" w:type="dxa"/>
          </w:tcPr>
          <w:p w14:paraId="685C1CEA"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1 130433</w:t>
            </w:r>
          </w:p>
          <w:p w14:paraId="30CE296E"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8590 3 331</w:t>
            </w:r>
          </w:p>
          <w:p w14:paraId="7018346E" w14:textId="77777777" w:rsidR="00575F6B" w:rsidRPr="00405303" w:rsidRDefault="00575F6B" w:rsidP="00C15251">
            <w:pPr>
              <w:shd w:val="clear" w:color="auto" w:fill="FFFFFF"/>
              <w:jc w:val="both"/>
              <w:rPr>
                <w:bCs/>
                <w:color w:val="002060"/>
                <w:sz w:val="16"/>
                <w:szCs w:val="16"/>
              </w:rPr>
            </w:pPr>
          </w:p>
        </w:tc>
        <w:tc>
          <w:tcPr>
            <w:tcW w:w="1018" w:type="dxa"/>
          </w:tcPr>
          <w:p w14:paraId="6BA04723"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2676 164 3535 270 6520</w:t>
            </w:r>
          </w:p>
          <w:p w14:paraId="7ED5E832"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7372</w:t>
            </w:r>
          </w:p>
          <w:p w14:paraId="6F39C850" w14:textId="77777777" w:rsidR="00575F6B" w:rsidRPr="00405303" w:rsidRDefault="00575F6B" w:rsidP="00C15251">
            <w:pPr>
              <w:shd w:val="clear" w:color="auto" w:fill="FFFFFF"/>
              <w:jc w:val="both"/>
              <w:rPr>
                <w:bCs/>
                <w:color w:val="002060"/>
                <w:sz w:val="16"/>
                <w:szCs w:val="16"/>
              </w:rPr>
            </w:pPr>
          </w:p>
        </w:tc>
        <w:tc>
          <w:tcPr>
            <w:tcW w:w="1142" w:type="dxa"/>
          </w:tcPr>
          <w:p w14:paraId="16C69289"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3 938 321 3535 270 23447 12 303</w:t>
            </w:r>
          </w:p>
          <w:p w14:paraId="5AF053C8" w14:textId="77777777" w:rsidR="00575F6B" w:rsidRPr="00405303" w:rsidRDefault="00575F6B" w:rsidP="00C15251">
            <w:pPr>
              <w:shd w:val="clear" w:color="auto" w:fill="FFFFFF"/>
              <w:jc w:val="both"/>
              <w:rPr>
                <w:bCs/>
                <w:color w:val="002060"/>
                <w:sz w:val="16"/>
                <w:szCs w:val="16"/>
              </w:rPr>
            </w:pPr>
          </w:p>
        </w:tc>
      </w:tr>
      <w:tr w:rsidR="00575F6B" w:rsidRPr="00405303" w14:paraId="31D22B9B" w14:textId="77777777" w:rsidTr="00D34AC1">
        <w:trPr>
          <w:trHeight w:val="442"/>
        </w:trPr>
        <w:tc>
          <w:tcPr>
            <w:tcW w:w="1498" w:type="dxa"/>
          </w:tcPr>
          <w:p w14:paraId="15F7AD21"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Всего</w:t>
            </w:r>
          </w:p>
          <w:p w14:paraId="59B9952B" w14:textId="77777777" w:rsidR="00575F6B" w:rsidRPr="00405303" w:rsidRDefault="00575F6B" w:rsidP="00C15251">
            <w:pPr>
              <w:shd w:val="clear" w:color="auto" w:fill="FFFFFF"/>
              <w:jc w:val="both"/>
              <w:rPr>
                <w:bCs/>
                <w:color w:val="002060"/>
                <w:sz w:val="16"/>
                <w:szCs w:val="16"/>
              </w:rPr>
            </w:pPr>
          </w:p>
        </w:tc>
        <w:tc>
          <w:tcPr>
            <w:tcW w:w="720" w:type="dxa"/>
          </w:tcPr>
          <w:p w14:paraId="3F9C65B8"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104 900</w:t>
            </w:r>
          </w:p>
          <w:p w14:paraId="6DF7082D" w14:textId="77777777" w:rsidR="00575F6B" w:rsidRPr="00405303" w:rsidRDefault="00575F6B" w:rsidP="00C15251">
            <w:pPr>
              <w:shd w:val="clear" w:color="auto" w:fill="FFFFFF"/>
              <w:jc w:val="both"/>
              <w:rPr>
                <w:bCs/>
                <w:color w:val="002060"/>
                <w:sz w:val="16"/>
                <w:szCs w:val="16"/>
              </w:rPr>
            </w:pPr>
          </w:p>
        </w:tc>
        <w:tc>
          <w:tcPr>
            <w:tcW w:w="960" w:type="dxa"/>
          </w:tcPr>
          <w:p w14:paraId="3901995D"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9 567 888</w:t>
            </w:r>
          </w:p>
          <w:p w14:paraId="0D6557BC" w14:textId="77777777" w:rsidR="00575F6B" w:rsidRPr="00405303" w:rsidRDefault="00575F6B" w:rsidP="00C15251">
            <w:pPr>
              <w:shd w:val="clear" w:color="auto" w:fill="FFFFFF"/>
              <w:jc w:val="both"/>
              <w:rPr>
                <w:bCs/>
                <w:color w:val="002060"/>
                <w:sz w:val="16"/>
                <w:szCs w:val="16"/>
              </w:rPr>
            </w:pPr>
          </w:p>
        </w:tc>
        <w:tc>
          <w:tcPr>
            <w:tcW w:w="1066" w:type="dxa"/>
          </w:tcPr>
          <w:p w14:paraId="03E37DB3"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30 974 678</w:t>
            </w:r>
          </w:p>
          <w:p w14:paraId="4959EA8F" w14:textId="77777777" w:rsidR="00575F6B" w:rsidRPr="00405303" w:rsidRDefault="00575F6B" w:rsidP="00C15251">
            <w:pPr>
              <w:shd w:val="clear" w:color="auto" w:fill="FFFFFF"/>
              <w:jc w:val="both"/>
              <w:rPr>
                <w:bCs/>
                <w:color w:val="002060"/>
                <w:sz w:val="16"/>
                <w:szCs w:val="16"/>
              </w:rPr>
            </w:pPr>
          </w:p>
        </w:tc>
        <w:tc>
          <w:tcPr>
            <w:tcW w:w="1018" w:type="dxa"/>
          </w:tcPr>
          <w:p w14:paraId="19884213"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24 413 552</w:t>
            </w:r>
          </w:p>
          <w:p w14:paraId="1B5B8961" w14:textId="77777777" w:rsidR="00575F6B" w:rsidRPr="00405303" w:rsidRDefault="00575F6B" w:rsidP="00C15251">
            <w:pPr>
              <w:shd w:val="clear" w:color="auto" w:fill="FFFFFF"/>
              <w:jc w:val="both"/>
              <w:rPr>
                <w:bCs/>
                <w:color w:val="002060"/>
                <w:sz w:val="16"/>
                <w:szCs w:val="16"/>
              </w:rPr>
            </w:pPr>
          </w:p>
        </w:tc>
        <w:tc>
          <w:tcPr>
            <w:tcW w:w="1142" w:type="dxa"/>
          </w:tcPr>
          <w:p w14:paraId="21B203BD"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65061 018</w:t>
            </w:r>
          </w:p>
          <w:p w14:paraId="454637A9" w14:textId="77777777" w:rsidR="00575F6B" w:rsidRPr="00405303" w:rsidRDefault="00575F6B" w:rsidP="00C15251">
            <w:pPr>
              <w:shd w:val="clear" w:color="auto" w:fill="FFFFFF"/>
              <w:jc w:val="both"/>
              <w:rPr>
                <w:bCs/>
                <w:color w:val="002060"/>
                <w:sz w:val="16"/>
                <w:szCs w:val="16"/>
              </w:rPr>
            </w:pPr>
          </w:p>
        </w:tc>
      </w:tr>
    </w:tbl>
    <w:p w14:paraId="66DFB1A6"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Организация генерала С. Н. Ванкова сыграла огромную роль в снабжении русской армии боеприпасами в первую мировую войну [5, с. 130, 198].</w:t>
      </w:r>
    </w:p>
    <w:p w14:paraId="2EAF0D10" w14:textId="77777777" w:rsidR="00575F6B" w:rsidRPr="00405303" w:rsidRDefault="00575F6B" w:rsidP="00C15251">
      <w:pPr>
        <w:shd w:val="clear" w:color="auto" w:fill="FFFFFF"/>
        <w:jc w:val="both"/>
        <w:rPr>
          <w:bCs/>
          <w:color w:val="002060"/>
          <w:sz w:val="16"/>
          <w:szCs w:val="16"/>
        </w:rPr>
      </w:pPr>
      <w:r w:rsidRPr="00405303">
        <w:rPr>
          <w:bCs/>
          <w:color w:val="002060"/>
          <w:sz w:val="16"/>
          <w:szCs w:val="16"/>
        </w:rPr>
        <w:t>Всего казенные и частные заводы изготовили для нужд армии 65061018 снарядов, из них 76-мм — 53 525 400 (табл. 1.10) [5, с. 198] (5484).</w:t>
      </w:r>
    </w:p>
    <w:p w14:paraId="0C94FDE6" w14:textId="77777777" w:rsidR="00575F6B" w:rsidRPr="00405303" w:rsidRDefault="00575F6B" w:rsidP="00C15251">
      <w:pPr>
        <w:jc w:val="both"/>
        <w:rPr>
          <w:bCs/>
          <w:i/>
          <w:color w:val="002060"/>
          <w:sz w:val="16"/>
          <w:szCs w:val="16"/>
        </w:rPr>
      </w:pPr>
    </w:p>
    <w:p w14:paraId="13DE1721" w14:textId="76AD7986" w:rsidR="004B4E35" w:rsidRPr="00405303" w:rsidRDefault="0074197F"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мае 1915 г. </w:t>
      </w:r>
      <w:r w:rsidR="00575F6B" w:rsidRPr="00405303">
        <w:rPr>
          <w:bCs/>
          <w:color w:val="002060"/>
          <w:sz w:val="16"/>
          <w:szCs w:val="16"/>
        </w:rPr>
        <w:t>д</w:t>
      </w:r>
      <w:r w:rsidRPr="00405303">
        <w:rPr>
          <w:bCs/>
          <w:color w:val="002060"/>
          <w:sz w:val="16"/>
          <w:szCs w:val="16"/>
        </w:rPr>
        <w:t>ля объединения деятельности отдельны</w:t>
      </w:r>
      <w:r w:rsidR="00575F6B" w:rsidRPr="00405303">
        <w:rPr>
          <w:bCs/>
          <w:color w:val="002060"/>
          <w:sz w:val="16"/>
          <w:szCs w:val="16"/>
        </w:rPr>
        <w:t>х</w:t>
      </w:r>
      <w:r w:rsidRPr="00405303">
        <w:rPr>
          <w:bCs/>
          <w:color w:val="002060"/>
          <w:sz w:val="16"/>
          <w:szCs w:val="16"/>
        </w:rPr>
        <w:t xml:space="preserve"> русски</w:t>
      </w:r>
      <w:r w:rsidR="00575F6B" w:rsidRPr="00405303">
        <w:rPr>
          <w:bCs/>
          <w:color w:val="002060"/>
          <w:sz w:val="16"/>
          <w:szCs w:val="16"/>
        </w:rPr>
        <w:t>х</w:t>
      </w:r>
      <w:r w:rsidRPr="00405303">
        <w:rPr>
          <w:bCs/>
          <w:color w:val="002060"/>
          <w:sz w:val="16"/>
          <w:szCs w:val="16"/>
        </w:rPr>
        <w:t xml:space="preserve"> артиллерийские приемщики</w:t>
      </w:r>
      <w:r w:rsidR="00575F6B" w:rsidRPr="00405303">
        <w:rPr>
          <w:bCs/>
          <w:color w:val="002060"/>
          <w:sz w:val="16"/>
          <w:szCs w:val="16"/>
        </w:rPr>
        <w:t>, число которых в</w:t>
      </w:r>
      <w:r w:rsidRPr="00405303">
        <w:rPr>
          <w:bCs/>
          <w:color w:val="002060"/>
          <w:sz w:val="16"/>
          <w:szCs w:val="16"/>
        </w:rPr>
        <w:t xml:space="preserve"> первые месяцы 1915 г. ввиду умножения заказов, значительно возросло</w:t>
      </w:r>
      <w:r w:rsidR="00575F6B" w:rsidRPr="00405303">
        <w:rPr>
          <w:bCs/>
          <w:color w:val="002060"/>
          <w:sz w:val="16"/>
          <w:szCs w:val="16"/>
        </w:rPr>
        <w:t>,</w:t>
      </w:r>
      <w:r w:rsidRPr="00405303">
        <w:rPr>
          <w:bCs/>
          <w:color w:val="002060"/>
          <w:sz w:val="16"/>
          <w:szCs w:val="16"/>
        </w:rPr>
        <w:t xml:space="preserve"> </w:t>
      </w:r>
      <w:r w:rsidR="009E6F82" w:rsidRPr="00405303">
        <w:rPr>
          <w:bCs/>
          <w:color w:val="002060"/>
          <w:sz w:val="16"/>
          <w:szCs w:val="16"/>
        </w:rPr>
        <w:t xml:space="preserve">распоряжением военного ведомства была учреждена Особая артиллерийская комиссия по приему заказов в САСШ, которая немедленно открыла свои действия. </w:t>
      </w:r>
    </w:p>
    <w:p w14:paraId="4A29FCB8" w14:textId="77777777" w:rsidR="004B4E35" w:rsidRPr="00405303" w:rsidRDefault="009E6F82" w:rsidP="00C15251">
      <w:pPr>
        <w:jc w:val="both"/>
        <w:rPr>
          <w:bCs/>
          <w:color w:val="002060"/>
          <w:sz w:val="16"/>
          <w:szCs w:val="16"/>
        </w:rPr>
      </w:pPr>
      <w:r w:rsidRPr="00405303">
        <w:rPr>
          <w:bCs/>
          <w:color w:val="002060"/>
          <w:sz w:val="16"/>
          <w:szCs w:val="16"/>
        </w:rPr>
        <w:t xml:space="preserve">Вслед за Артиллерийской комиссией по образцу ее и для подобных задач была учреждена Комиссия военно-технического управления. Далее последовали такие же комиссии по другим ведомствам. Что касается морского ведомства, то его заготовительная деятельность была сосредоточена у русского морского агента в Америке, в помощь которому были командированы из России соответствующие специалисты. </w:t>
      </w:r>
    </w:p>
    <w:p w14:paraId="47D0ED5E" w14:textId="77777777" w:rsidR="004B4E35" w:rsidRPr="00405303" w:rsidRDefault="009E6F82" w:rsidP="00C15251">
      <w:pPr>
        <w:jc w:val="both"/>
        <w:rPr>
          <w:bCs/>
          <w:color w:val="002060"/>
          <w:sz w:val="16"/>
          <w:szCs w:val="16"/>
        </w:rPr>
      </w:pPr>
      <w:r w:rsidRPr="00405303">
        <w:rPr>
          <w:bCs/>
          <w:color w:val="002060"/>
          <w:sz w:val="16"/>
          <w:szCs w:val="16"/>
        </w:rPr>
        <w:t xml:space="preserve">В скором времени отчетливо возникла потребность объединить и координировать деятельность всех перечисленных комиссий, так как в своей заготовительной работе они, имея дело с одними и теми же американскими фирмами, невольно конкурировали между собой, повышая, таким образом, цены на изделия. Затем, комиссии эти во многих случаях вели параллельную работу, заготовляя на одних и тех же рынках часто одни и те же материалы и предметы. Кроме координации всех ведомственных комиссий в указанном выше отношении, представилось необходимым объединить их работу и со стороны финансовой с тем, чтобы облегчить производство на месте всех необходимых финансовых операций, а затем установить единый контроль над расходуемой заготовительными органами валютой. </w:t>
      </w:r>
    </w:p>
    <w:p w14:paraId="352F16C6" w14:textId="77777777" w:rsidR="004B4E35" w:rsidRPr="00405303" w:rsidRDefault="009E6F82" w:rsidP="00C15251">
      <w:pPr>
        <w:jc w:val="both"/>
        <w:rPr>
          <w:bCs/>
          <w:color w:val="002060"/>
          <w:sz w:val="16"/>
          <w:szCs w:val="16"/>
        </w:rPr>
      </w:pPr>
      <w:r w:rsidRPr="00405303">
        <w:rPr>
          <w:bCs/>
          <w:color w:val="002060"/>
          <w:sz w:val="16"/>
          <w:szCs w:val="16"/>
        </w:rPr>
        <w:t xml:space="preserve">После долгих трений, имевших место в Петрограде, был, наконец, учрежден 15 сентября 1915 г. "Комитет по заготовке в Америке предметов боевого и материального снабжения армии и флота". Положение о Комитете приняло силу закона 6 ноября 1915 года. Это положение определяло круг деятельности Комитета следующими основными задачами: </w:t>
      </w:r>
    </w:p>
    <w:p w14:paraId="6A898BC9" w14:textId="77777777" w:rsidR="004B4E35" w:rsidRPr="00405303" w:rsidRDefault="009E6F82" w:rsidP="00C15251">
      <w:pPr>
        <w:jc w:val="both"/>
        <w:rPr>
          <w:bCs/>
          <w:color w:val="002060"/>
          <w:sz w:val="16"/>
          <w:szCs w:val="16"/>
        </w:rPr>
      </w:pPr>
      <w:r w:rsidRPr="00405303">
        <w:rPr>
          <w:bCs/>
          <w:color w:val="002060"/>
          <w:sz w:val="16"/>
          <w:szCs w:val="16"/>
        </w:rPr>
        <w:t xml:space="preserve">1. Выяснение предметов боевого и материального снабжения, которые могли бы быть приобретены или заготовлены в Америке, выяснение для них цен, сроков и условий поставки. </w:t>
      </w:r>
    </w:p>
    <w:p w14:paraId="39C48067" w14:textId="77777777" w:rsidR="004B4E35" w:rsidRPr="00405303" w:rsidRDefault="009E6F82" w:rsidP="00C15251">
      <w:pPr>
        <w:jc w:val="both"/>
        <w:rPr>
          <w:bCs/>
          <w:color w:val="002060"/>
          <w:sz w:val="16"/>
          <w:szCs w:val="16"/>
        </w:rPr>
      </w:pPr>
      <w:r w:rsidRPr="00405303">
        <w:rPr>
          <w:bCs/>
          <w:color w:val="002060"/>
          <w:sz w:val="16"/>
          <w:szCs w:val="16"/>
        </w:rPr>
        <w:t xml:space="preserve">2. Заключение сделок на поставку предметов снабжения и доставление их в Россию в тех случаях, когда сделки эти должны совершаться в Америке. Избранные для них фирмы и условия заказов должны быть одобрены в Петрограде, а также Русским правительственным комитетом в Лондоне. </w:t>
      </w:r>
    </w:p>
    <w:p w14:paraId="427EB5DA" w14:textId="77777777" w:rsidR="004B4E35" w:rsidRPr="00405303" w:rsidRDefault="009E6F82" w:rsidP="00C15251">
      <w:pPr>
        <w:jc w:val="both"/>
        <w:rPr>
          <w:bCs/>
          <w:color w:val="002060"/>
          <w:sz w:val="16"/>
          <w:szCs w:val="16"/>
        </w:rPr>
      </w:pPr>
      <w:r w:rsidRPr="00405303">
        <w:rPr>
          <w:bCs/>
          <w:color w:val="002060"/>
          <w:sz w:val="16"/>
          <w:szCs w:val="16"/>
        </w:rPr>
        <w:t xml:space="preserve">3. Надзор за всеми заготовками для нужд обороны, выполняемыми в Америке, выяснение и устранение причин задержки в работе и организация приемки заказанных предметов. </w:t>
      </w:r>
    </w:p>
    <w:p w14:paraId="12133C26" w14:textId="77777777" w:rsidR="004B4E35" w:rsidRPr="00405303" w:rsidRDefault="009E6F82" w:rsidP="00C15251">
      <w:pPr>
        <w:jc w:val="both"/>
        <w:rPr>
          <w:bCs/>
          <w:color w:val="002060"/>
          <w:sz w:val="16"/>
          <w:szCs w:val="16"/>
        </w:rPr>
      </w:pPr>
      <w:r w:rsidRPr="00405303">
        <w:rPr>
          <w:bCs/>
          <w:color w:val="002060"/>
          <w:sz w:val="16"/>
          <w:szCs w:val="16"/>
        </w:rPr>
        <w:t xml:space="preserve">4. Выполнение поручений Особого совещания по обороне. </w:t>
      </w:r>
    </w:p>
    <w:p w14:paraId="06F72A04" w14:textId="77777777" w:rsidR="004B4E35" w:rsidRPr="00405303" w:rsidRDefault="009E6F82" w:rsidP="00C15251">
      <w:pPr>
        <w:jc w:val="both"/>
        <w:rPr>
          <w:bCs/>
          <w:color w:val="002060"/>
          <w:sz w:val="16"/>
          <w:szCs w:val="16"/>
        </w:rPr>
      </w:pPr>
      <w:r w:rsidRPr="00405303">
        <w:rPr>
          <w:bCs/>
          <w:color w:val="002060"/>
          <w:sz w:val="16"/>
          <w:szCs w:val="16"/>
        </w:rPr>
        <w:t xml:space="preserve">Заготовительный комитет в Америке, имея, таким образом, весьма широкий круг деятельности, все-таки был под фактическим контролем Лондонского правительственного комитета. </w:t>
      </w:r>
    </w:p>
    <w:p w14:paraId="5313955F" w14:textId="77777777" w:rsidR="004B4E35" w:rsidRPr="00405303" w:rsidRDefault="009E6F82" w:rsidP="00C15251">
      <w:pPr>
        <w:jc w:val="both"/>
        <w:rPr>
          <w:bCs/>
          <w:color w:val="002060"/>
          <w:sz w:val="16"/>
          <w:szCs w:val="16"/>
        </w:rPr>
      </w:pPr>
      <w:r w:rsidRPr="00405303">
        <w:rPr>
          <w:bCs/>
          <w:color w:val="002060"/>
          <w:sz w:val="16"/>
          <w:szCs w:val="16"/>
        </w:rPr>
        <w:t xml:space="preserve">18 марта 1916 г. утверждено было новое Положение о Заготовительном комитете, которое в основных чертах не разнилось от первого; коренным различием было лишь введение в состав Комитета представителя британского правительства. </w:t>
      </w:r>
    </w:p>
    <w:p w14:paraId="31564703" w14:textId="77777777" w:rsidR="004B4E35" w:rsidRPr="00405303" w:rsidRDefault="009E6F82" w:rsidP="00C15251">
      <w:pPr>
        <w:jc w:val="both"/>
        <w:rPr>
          <w:bCs/>
          <w:color w:val="002060"/>
          <w:sz w:val="16"/>
          <w:szCs w:val="16"/>
        </w:rPr>
      </w:pPr>
      <w:r w:rsidRPr="00405303">
        <w:rPr>
          <w:bCs/>
          <w:color w:val="002060"/>
          <w:sz w:val="16"/>
          <w:szCs w:val="16"/>
        </w:rPr>
        <w:t xml:space="preserve">Для выполнения отдельных задач, вмененных в обязанности Комитета, в составе его были организованы комиссии: финансовая, перевозок, организационная и наблюдения за заказами. </w:t>
      </w:r>
    </w:p>
    <w:p w14:paraId="55EF0E56" w14:textId="77777777" w:rsidR="004B4E35" w:rsidRPr="00405303" w:rsidRDefault="009E6F82" w:rsidP="00C15251">
      <w:pPr>
        <w:jc w:val="both"/>
        <w:rPr>
          <w:bCs/>
          <w:color w:val="002060"/>
          <w:sz w:val="16"/>
          <w:szCs w:val="16"/>
        </w:rPr>
      </w:pPr>
      <w:r w:rsidRPr="00405303">
        <w:rPr>
          <w:bCs/>
          <w:color w:val="002060"/>
          <w:sz w:val="16"/>
          <w:szCs w:val="16"/>
        </w:rPr>
        <w:t xml:space="preserve">Говоря о Заготовительном комитете, надлежит упомянуть об образовании при нем англо-русской Согласительной комиссии, которая в течение известного периода имела большое влияние на работу Комитета. История ее возникновения заключается в следующем. С самого начала размещения военных заказов в Америке неизбежно возникла конкуренция в этой области между Россией и Англией, вредно отзывавшаяся на успехе заготовок и бывшая вполне понятной причиной повышения цен. При таких условиях естественно потребовалась координация в заготовительной работе по английским и русским заказам. В равной мере требовалась согласованная работа и в области финансовой. Дело в том, что русское правительство было не в состоянии путем самостоятельных операций реализовать долларовый фонд в том масштабе, в каком это требовалось для заготовительных операций, и вынуждено было обращаться к содействию Англии. С другой стороны, Англия была готова идти в этом деле навстречу России, так как была ближайшим образом заинтересована в поддержке боевой мощи русской армии. Но, оказывая широкую материальную поддержку России и предоставляя ей денежные ресурсы, Англия, конечно, не могла не потребовать права ближайшего контроля над расходованием этих средств Русским заготовительным комитетом. </w:t>
      </w:r>
    </w:p>
    <w:p w14:paraId="4F05E7B0" w14:textId="77777777" w:rsidR="004B4E35" w:rsidRPr="00405303" w:rsidRDefault="009E6F82" w:rsidP="00C15251">
      <w:pPr>
        <w:jc w:val="both"/>
        <w:rPr>
          <w:bCs/>
          <w:color w:val="002060"/>
          <w:sz w:val="16"/>
          <w:szCs w:val="16"/>
        </w:rPr>
      </w:pPr>
      <w:r w:rsidRPr="00405303">
        <w:rPr>
          <w:bCs/>
          <w:color w:val="002060"/>
          <w:sz w:val="16"/>
          <w:szCs w:val="16"/>
        </w:rPr>
        <w:t xml:space="preserve">Ввиду этого в октябре 1915 г. между Англией и русским министром финансов состоялось соглашение, основы которого сводились к следующему: </w:t>
      </w:r>
    </w:p>
    <w:p w14:paraId="30961ABD" w14:textId="77777777" w:rsidR="004B4E35" w:rsidRPr="00405303" w:rsidRDefault="009E6F82" w:rsidP="00C15251">
      <w:pPr>
        <w:jc w:val="both"/>
        <w:rPr>
          <w:bCs/>
          <w:color w:val="002060"/>
          <w:sz w:val="16"/>
          <w:szCs w:val="16"/>
        </w:rPr>
      </w:pPr>
      <w:r w:rsidRPr="00405303">
        <w:rPr>
          <w:bCs/>
          <w:color w:val="002060"/>
          <w:sz w:val="16"/>
          <w:szCs w:val="16"/>
        </w:rPr>
        <w:t xml:space="preserve">1. Все предложения относительно поставок для России, подлежащие производству в Великобритании или Америке, должны рассматриваться в Англии. </w:t>
      </w:r>
    </w:p>
    <w:p w14:paraId="098C894C" w14:textId="77777777" w:rsidR="004B4E35" w:rsidRPr="00405303" w:rsidRDefault="009E6F82" w:rsidP="00C15251">
      <w:pPr>
        <w:jc w:val="both"/>
        <w:rPr>
          <w:bCs/>
          <w:color w:val="002060"/>
          <w:sz w:val="16"/>
          <w:szCs w:val="16"/>
        </w:rPr>
      </w:pPr>
      <w:r w:rsidRPr="00405303">
        <w:rPr>
          <w:bCs/>
          <w:color w:val="002060"/>
          <w:sz w:val="16"/>
          <w:szCs w:val="16"/>
        </w:rPr>
        <w:t xml:space="preserve">2. Все контракты в Англии и Америке могут быть заключены русским правительством только с ведома специальных в Лондоне представителей обеих держав и по возможность с их подписями. </w:t>
      </w:r>
    </w:p>
    <w:p w14:paraId="6F7BEAC5" w14:textId="77777777" w:rsidR="004B4E35" w:rsidRPr="00405303" w:rsidRDefault="009E6F82" w:rsidP="00C15251">
      <w:pPr>
        <w:jc w:val="both"/>
        <w:rPr>
          <w:bCs/>
          <w:color w:val="002060"/>
          <w:sz w:val="16"/>
          <w:szCs w:val="16"/>
        </w:rPr>
      </w:pPr>
      <w:r w:rsidRPr="00405303">
        <w:rPr>
          <w:bCs/>
          <w:color w:val="002060"/>
          <w:sz w:val="16"/>
          <w:szCs w:val="16"/>
        </w:rPr>
        <w:t xml:space="preserve">3. Ни одна поставка для России, платежи по которой должны быть произведены из кредитов, предоставленных английским правительством, не должна делаться без ведома представителей обеих держав. </w:t>
      </w:r>
    </w:p>
    <w:p w14:paraId="7FEA7050" w14:textId="77777777" w:rsidR="004B4E35" w:rsidRPr="00405303" w:rsidRDefault="009E6F82" w:rsidP="00C15251">
      <w:pPr>
        <w:jc w:val="both"/>
        <w:rPr>
          <w:bCs/>
          <w:color w:val="002060"/>
          <w:sz w:val="16"/>
          <w:szCs w:val="16"/>
        </w:rPr>
      </w:pPr>
      <w:r w:rsidRPr="00405303">
        <w:rPr>
          <w:bCs/>
          <w:color w:val="002060"/>
          <w:sz w:val="16"/>
          <w:szCs w:val="16"/>
        </w:rPr>
        <w:t xml:space="preserve">Однако это соглашение не давало еще полного координирования заготовительной работы Англии и русского правительства, так как некоторые русские заказы проходили помимо Русского заготовительного комитета и велись через Лондон, откуда британское правительство передавало их для исполнения Америке через банкирский дом Морган. </w:t>
      </w:r>
    </w:p>
    <w:p w14:paraId="5FE3AADE" w14:textId="77777777" w:rsidR="004B4E35" w:rsidRPr="00405303" w:rsidRDefault="009E6F82" w:rsidP="00C15251">
      <w:pPr>
        <w:jc w:val="both"/>
        <w:rPr>
          <w:bCs/>
          <w:color w:val="002060"/>
          <w:sz w:val="16"/>
          <w:szCs w:val="16"/>
        </w:rPr>
      </w:pPr>
      <w:r w:rsidRPr="00405303">
        <w:rPr>
          <w:bCs/>
          <w:color w:val="002060"/>
          <w:sz w:val="16"/>
          <w:szCs w:val="16"/>
        </w:rPr>
        <w:lastRenderedPageBreak/>
        <w:t>При этих условиях опять-таки возникала конкуренция в заготовках, проводимых Комитетом и Морганом, так как последний действовал совершенно независимо от Комитета. Был случай, что одна из заготовительных ведомостей из Петрограда была отправлена по двум адресам — в Комитет и Лондон, и по этой ведомости была произведена двойная заготовка, одна — Комитетом, другая — Морганом.</w:t>
      </w:r>
    </w:p>
    <w:p w14:paraId="3C1EDF97" w14:textId="77777777" w:rsidR="004B4E35" w:rsidRPr="00405303" w:rsidRDefault="009E6F82" w:rsidP="00C15251">
      <w:pPr>
        <w:jc w:val="both"/>
        <w:rPr>
          <w:bCs/>
          <w:color w:val="002060"/>
          <w:sz w:val="16"/>
          <w:szCs w:val="16"/>
        </w:rPr>
      </w:pPr>
      <w:r w:rsidRPr="00405303">
        <w:rPr>
          <w:bCs/>
          <w:color w:val="002060"/>
          <w:sz w:val="16"/>
          <w:szCs w:val="16"/>
        </w:rPr>
        <w:t xml:space="preserve">Для окончательного согласования заготовительных действий Комитетом был выдвинут вопрос об образовании Русско-английской согласительной комиссии, куда должны были войти, с одной стороны, представители Русского заготовительного комитета, а с другой — представители британского правительства. Образование Комиссии значительно упрощало прохождение заказов, так как этой Комиссии предоставлено было право обсуждать все основные заказы и разрешать многие важные вопросы, избегая, таким образом, тормозящей дело переписки с Лондоном. Затем, этой Комиссии было предоставлено право наблюдать за заказами, проводимыми через Моргана, и согласовывать их с заказами Комитета. </w:t>
      </w:r>
    </w:p>
    <w:p w14:paraId="07746EA3" w14:textId="77777777" w:rsidR="004B4E35" w:rsidRPr="00405303" w:rsidRDefault="009E6F82" w:rsidP="00C15251">
      <w:pPr>
        <w:jc w:val="both"/>
        <w:rPr>
          <w:bCs/>
          <w:color w:val="002060"/>
          <w:sz w:val="16"/>
          <w:szCs w:val="16"/>
        </w:rPr>
      </w:pPr>
      <w:r w:rsidRPr="00405303">
        <w:rPr>
          <w:bCs/>
          <w:color w:val="002060"/>
          <w:sz w:val="16"/>
          <w:szCs w:val="16"/>
        </w:rPr>
        <w:t xml:space="preserve">Комиссия начала свою деятельность в январе 1916 г. и продолжала до середины этого года. Своей работой она оказала громадную помощь Комитету. В середине года, с отъездом состоявшего в составе Комиссии представителя британского правительства, центр тяжести разрешения всех вопросов по заготовительной деятельности вновь автоматически перенесся в Лондон. </w:t>
      </w:r>
    </w:p>
    <w:p w14:paraId="18C52155" w14:textId="77777777" w:rsidR="004B4E35" w:rsidRPr="00405303" w:rsidRDefault="009E6F82" w:rsidP="00C15251">
      <w:pPr>
        <w:jc w:val="both"/>
        <w:rPr>
          <w:bCs/>
          <w:color w:val="002060"/>
          <w:sz w:val="16"/>
          <w:szCs w:val="16"/>
        </w:rPr>
      </w:pPr>
      <w:r w:rsidRPr="00405303">
        <w:rPr>
          <w:bCs/>
          <w:color w:val="002060"/>
          <w:sz w:val="16"/>
          <w:szCs w:val="16"/>
        </w:rPr>
        <w:t>Такова была в основных чертах организация дела русских военных заказов. В дальнейшем изложении истории отдельных крупных артиллерийских заказов попутно придется касаться организационной стороны (11329).</w:t>
      </w:r>
    </w:p>
    <w:p w14:paraId="5D9C839B" w14:textId="77777777" w:rsidR="004B4E35" w:rsidRPr="00405303" w:rsidRDefault="004B4E35" w:rsidP="00C15251">
      <w:pPr>
        <w:jc w:val="both"/>
        <w:rPr>
          <w:bCs/>
          <w:i/>
          <w:color w:val="002060"/>
          <w:sz w:val="16"/>
          <w:szCs w:val="16"/>
        </w:rPr>
      </w:pPr>
    </w:p>
    <w:p w14:paraId="0C3918D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мае 1915г. немецкое коман</w:t>
      </w:r>
      <w:r w:rsidRPr="00405303">
        <w:rPr>
          <w:bCs/>
          <w:color w:val="002060"/>
          <w:sz w:val="16"/>
          <w:szCs w:val="16"/>
        </w:rPr>
        <w:softHyphen/>
        <w:t>дование применило против русских войск удушающие газы (на р. Равке), что причинило русским войскам большие потери. Ставка обязала ГАУ начать изготовление отравляющих веществ, в частно</w:t>
      </w:r>
      <w:r w:rsidRPr="00405303">
        <w:rPr>
          <w:bCs/>
          <w:color w:val="002060"/>
          <w:sz w:val="16"/>
          <w:szCs w:val="16"/>
        </w:rPr>
        <w:softHyphen/>
        <w:t>сти хлора и фосгена. До войны в России не было таких производств.</w:t>
      </w:r>
    </w:p>
    <w:p w14:paraId="057987F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Специальная Комиссия удушающих средств занималась соз</w:t>
      </w:r>
      <w:r w:rsidRPr="00405303">
        <w:rPr>
          <w:bCs/>
          <w:color w:val="002060"/>
          <w:sz w:val="16"/>
          <w:szCs w:val="16"/>
        </w:rPr>
        <w:softHyphen/>
        <w:t>данием удушающих средств, организацией их производства, а также разработкой противогазов. В дальнейшем эту работу возложили на Химический комитет В. Н. Ипатьева, в который вошла и Комис</w:t>
      </w:r>
      <w:r w:rsidRPr="00405303">
        <w:rPr>
          <w:bCs/>
          <w:color w:val="002060"/>
          <w:sz w:val="16"/>
          <w:szCs w:val="16"/>
        </w:rPr>
        <w:softHyphen/>
        <w:t>сия удушающих средств.</w:t>
      </w:r>
    </w:p>
    <w:p w14:paraId="2262664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Организации заводского производства предшествовали обшир</w:t>
      </w:r>
      <w:r w:rsidRPr="00405303">
        <w:rPr>
          <w:bCs/>
          <w:color w:val="002060"/>
          <w:sz w:val="16"/>
          <w:szCs w:val="16"/>
        </w:rPr>
        <w:softHyphen/>
        <w:t>ные научные исследования, к которым были привлечены русские ученые Н. Д. Зелинский, Н. А. Шилов, А. А. Солонина, И. А. Крылов, А. Е. Фаворский, Л. А. Чугаев, Н. С. Курнаков, А. А. Яковкин, Г. В. Хлопин, В. Е. Тищенко и другие.</w:t>
      </w:r>
    </w:p>
    <w:p w14:paraId="33FB61B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Донбассе на двух заводах было организовано производство жидкого хлора. С осени 1915 г. до осени 1916 г. выпуск его достиг 500—600 пудов в сутки.</w:t>
      </w:r>
    </w:p>
    <w:p w14:paraId="4DE0060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Для производства фосгена оборудовали 5 заводов. С января по октябрь 1916 г. выпуск фосгена достиг 600 пудов в месяц. 60</w:t>
      </w:r>
    </w:p>
    <w:p w14:paraId="26548AB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Хлорпикрин изготовляли на 7 заводах (в том числе на одном ка</w:t>
      </w:r>
      <w:r w:rsidRPr="00405303">
        <w:rPr>
          <w:bCs/>
          <w:color w:val="002060"/>
          <w:sz w:val="16"/>
          <w:szCs w:val="16"/>
        </w:rPr>
        <w:softHyphen/>
        <w:t>зенном).</w:t>
      </w:r>
    </w:p>
    <w:p w14:paraId="1459991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Следует отметить также большую работу, проведенную Химиче</w:t>
      </w:r>
      <w:r w:rsidRPr="00405303">
        <w:rPr>
          <w:bCs/>
          <w:color w:val="002060"/>
          <w:sz w:val="16"/>
          <w:szCs w:val="16"/>
        </w:rPr>
        <w:softHyphen/>
        <w:t>ским комитетом, по организации массового производства противо</w:t>
      </w:r>
      <w:r w:rsidRPr="00405303">
        <w:rPr>
          <w:bCs/>
          <w:color w:val="002060"/>
          <w:sz w:val="16"/>
          <w:szCs w:val="16"/>
        </w:rPr>
        <w:softHyphen/>
        <w:t>газов Зелинского-Кумманта и других средств противохимической защиты.</w:t>
      </w:r>
    </w:p>
    <w:p w14:paraId="4C52092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Химический комитет организовал также такие новые для России химические производства, как выработка желтого фосфора для за</w:t>
      </w:r>
      <w:r w:rsidRPr="00405303">
        <w:rPr>
          <w:bCs/>
          <w:color w:val="002060"/>
          <w:sz w:val="16"/>
          <w:szCs w:val="16"/>
        </w:rPr>
        <w:softHyphen/>
        <w:t>жигательных боеприпасов, солей бария для пиротехнических сиг</w:t>
      </w:r>
      <w:r w:rsidRPr="00405303">
        <w:rPr>
          <w:bCs/>
          <w:color w:val="002060"/>
          <w:sz w:val="16"/>
          <w:szCs w:val="16"/>
        </w:rPr>
        <w:softHyphen/>
        <w:t>нальных патронов, хлороформа и др.</w:t>
      </w:r>
    </w:p>
    <w:p w14:paraId="0236E1B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ходе войны было значительно расширено производство поро</w:t>
      </w:r>
      <w:r w:rsidRPr="00405303">
        <w:rPr>
          <w:bCs/>
          <w:color w:val="002060"/>
          <w:sz w:val="16"/>
          <w:szCs w:val="16"/>
        </w:rPr>
        <w:softHyphen/>
        <w:t>ха на 5 заводах, заново были построены 34 завода по изготовлению серной и азотной кислот, 100 бензольных заводов и заводов по про</w:t>
      </w:r>
      <w:r w:rsidRPr="00405303">
        <w:rPr>
          <w:bCs/>
          <w:color w:val="002060"/>
          <w:sz w:val="16"/>
          <w:szCs w:val="16"/>
        </w:rPr>
        <w:softHyphen/>
        <w:t>изводству толуола, тротила и других взрывчатых веществ, 40 заво</w:t>
      </w:r>
      <w:r w:rsidRPr="00405303">
        <w:rPr>
          <w:bCs/>
          <w:color w:val="002060"/>
          <w:sz w:val="16"/>
          <w:szCs w:val="16"/>
        </w:rPr>
        <w:softHyphen/>
        <w:t>дов, занимавшихся изготовлением удушающих средств. Всего в Рос</w:t>
      </w:r>
      <w:r w:rsidRPr="00405303">
        <w:rPr>
          <w:bCs/>
          <w:color w:val="002060"/>
          <w:sz w:val="16"/>
          <w:szCs w:val="16"/>
        </w:rPr>
        <w:softHyphen/>
        <w:t>сии в 1914 г. действовали 7 химических заводов, в 1915 г. — 39, в 1916 г. — 163 и в 1917 г. — 175 химических предприятий разных типов, снабжавших армию. Это были крупные предприятия, на кото</w:t>
      </w:r>
      <w:r w:rsidRPr="00405303">
        <w:rPr>
          <w:bCs/>
          <w:color w:val="002060"/>
          <w:sz w:val="16"/>
          <w:szCs w:val="16"/>
        </w:rPr>
        <w:softHyphen/>
        <w:t>рых работали тысячи рабочих [6, с. 111; 7, с. 131].</w:t>
      </w:r>
    </w:p>
    <w:p w14:paraId="0E7CC45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Н. Ипатьев в своей книге о работе химической промышленно</w:t>
      </w:r>
      <w:r w:rsidRPr="00405303">
        <w:rPr>
          <w:bCs/>
          <w:color w:val="002060"/>
          <w:sz w:val="16"/>
          <w:szCs w:val="16"/>
        </w:rPr>
        <w:softHyphen/>
        <w:t>сти России на оборону писал: «Можно без преувеличения сказать, что потребность нашей армии и флота породила у нас мощную от</w:t>
      </w:r>
      <w:r w:rsidRPr="00405303">
        <w:rPr>
          <w:bCs/>
          <w:color w:val="002060"/>
          <w:sz w:val="16"/>
          <w:szCs w:val="16"/>
        </w:rPr>
        <w:softHyphen/>
        <w:t>расль промышленности — химическую, совершенно не зависимую от заграничного сырья» [19].</w:t>
      </w:r>
    </w:p>
    <w:p w14:paraId="6385790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 начальник Главного артиллерийского управления в годы войны генерал А. А. Маниковский, докладывая в октябре 1916 г. о необхо</w:t>
      </w:r>
      <w:r w:rsidRPr="00405303">
        <w:rPr>
          <w:bCs/>
          <w:color w:val="002060"/>
          <w:sz w:val="16"/>
          <w:szCs w:val="16"/>
        </w:rPr>
        <w:softHyphen/>
        <w:t>димости развития военной промышленности, писал: «Всем известно, в каком жалком положении пребывала у нас химическая промыш</w:t>
      </w:r>
      <w:r w:rsidRPr="00405303">
        <w:rPr>
          <w:bCs/>
          <w:color w:val="002060"/>
          <w:sz w:val="16"/>
          <w:szCs w:val="16"/>
        </w:rPr>
        <w:softHyphen/>
        <w:t>ленность, совершенно подавленная своей германской конкурент</w:t>
      </w:r>
      <w:r w:rsidRPr="00405303">
        <w:rPr>
          <w:bCs/>
          <w:color w:val="002060"/>
          <w:sz w:val="16"/>
          <w:szCs w:val="16"/>
        </w:rPr>
        <w:softHyphen/>
        <w:t>кой • • • Однако благодаря исключительной энергии и знанию дела ге</w:t>
      </w:r>
      <w:r w:rsidRPr="00405303">
        <w:rPr>
          <w:bCs/>
          <w:color w:val="002060"/>
          <w:sz w:val="16"/>
          <w:szCs w:val="16"/>
        </w:rPr>
        <w:softHyphen/>
        <w:t>нерал-лейтенанта Ипатьева она, наконец, развилась до такой степе</w:t>
      </w:r>
      <w:r w:rsidRPr="00405303">
        <w:rPr>
          <w:bCs/>
          <w:color w:val="002060"/>
          <w:sz w:val="16"/>
          <w:szCs w:val="16"/>
        </w:rPr>
        <w:softHyphen/>
        <w:t>ни, что в настоящее время мы можем смело смотреть в будущее» [5, с. 221; 6, с. 131] (5484).</w:t>
      </w:r>
    </w:p>
    <w:p w14:paraId="127FF0B6" w14:textId="77777777" w:rsidR="004B4E35" w:rsidRPr="00405303" w:rsidRDefault="004B4E35" w:rsidP="00C15251">
      <w:pPr>
        <w:shd w:val="clear" w:color="auto" w:fill="FFFFFF"/>
        <w:jc w:val="both"/>
        <w:rPr>
          <w:bCs/>
          <w:color w:val="002060"/>
          <w:sz w:val="16"/>
          <w:szCs w:val="16"/>
        </w:rPr>
      </w:pPr>
    </w:p>
    <w:p w14:paraId="5142255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мае 1915 г. военно-морской атташе в США предложил приоб</w:t>
      </w:r>
      <w:r w:rsidRPr="00405303">
        <w:rPr>
          <w:bCs/>
          <w:color w:val="002060"/>
          <w:sz w:val="16"/>
          <w:szCs w:val="16"/>
        </w:rPr>
        <w:softHyphen/>
        <w:t>рести радиостанции «Де Фореста» и «Маркони». Решение никто не принял. В свою очередь торговый дом «Яков Прозоров с сыном» выступил посредником в приобретении аппаратов Рузе. Через воен</w:t>
      </w:r>
      <w:r w:rsidRPr="00405303">
        <w:rPr>
          <w:bCs/>
          <w:color w:val="002060"/>
          <w:sz w:val="16"/>
          <w:szCs w:val="16"/>
        </w:rPr>
        <w:softHyphen/>
        <w:t>но-морского атташе во Франции аппараты этого типа были закуп</w:t>
      </w:r>
      <w:r w:rsidRPr="00405303">
        <w:rPr>
          <w:bCs/>
          <w:color w:val="002060"/>
          <w:sz w:val="16"/>
          <w:szCs w:val="16"/>
        </w:rPr>
        <w:softHyphen/>
        <w:t>лены. Испытания их, проведенные в Ревеле, дали неплохие резуль</w:t>
      </w:r>
      <w:r w:rsidRPr="00405303">
        <w:rPr>
          <w:bCs/>
          <w:color w:val="002060"/>
          <w:sz w:val="16"/>
          <w:szCs w:val="16"/>
        </w:rPr>
        <w:softHyphen/>
        <w:t>таты. Морской генеральный штаб разрешил устанавливать их на самолеты, мощность двигателей у которых «150 сил и более» (1085).</w:t>
      </w:r>
    </w:p>
    <w:p w14:paraId="719EA542" w14:textId="77777777" w:rsidR="004B4E35" w:rsidRPr="00405303" w:rsidRDefault="004B4E35" w:rsidP="00C15251">
      <w:pPr>
        <w:shd w:val="clear" w:color="auto" w:fill="FFFFFF"/>
        <w:jc w:val="both"/>
        <w:rPr>
          <w:bCs/>
          <w:color w:val="002060"/>
          <w:sz w:val="16"/>
          <w:szCs w:val="16"/>
        </w:rPr>
      </w:pPr>
    </w:p>
    <w:p w14:paraId="6FFE2015" w14:textId="77777777" w:rsidR="005D5BAF" w:rsidRPr="00405303" w:rsidRDefault="005D5BAF" w:rsidP="00C15251">
      <w:pPr>
        <w:shd w:val="clear" w:color="auto" w:fill="FFFFFF"/>
        <w:jc w:val="both"/>
        <w:rPr>
          <w:bCs/>
          <w:color w:val="002060"/>
          <w:sz w:val="16"/>
          <w:szCs w:val="16"/>
        </w:rPr>
      </w:pPr>
      <w:r w:rsidRPr="00405303">
        <w:rPr>
          <w:bCs/>
          <w:color w:val="002060"/>
          <w:sz w:val="16"/>
          <w:szCs w:val="16"/>
        </w:rPr>
        <w:t>В мае 1915 г. ГАУ выдало заказы на бронебойные винтовочные пули. Всего было заказано более 36 млн. пуль системы штабс-капитана Кутового со стальным сердечником, предназначенных «для стрельбы по бронеавтомобилям и стрелковым щитам» (12250).</w:t>
      </w:r>
    </w:p>
    <w:p w14:paraId="0321BDD1" w14:textId="77777777" w:rsidR="005D5BAF" w:rsidRPr="00405303" w:rsidRDefault="005D5BAF" w:rsidP="00C15251">
      <w:pPr>
        <w:shd w:val="clear" w:color="auto" w:fill="FFFFFF"/>
        <w:jc w:val="both"/>
        <w:rPr>
          <w:bCs/>
          <w:color w:val="002060"/>
          <w:sz w:val="16"/>
          <w:szCs w:val="16"/>
        </w:rPr>
      </w:pPr>
    </w:p>
    <w:p w14:paraId="6E36D973"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4940F003" w14:textId="77777777" w:rsidR="004B4E35" w:rsidRPr="00405303" w:rsidRDefault="004B4E35" w:rsidP="00C15251">
      <w:pPr>
        <w:pStyle w:val="a3"/>
        <w:jc w:val="both"/>
        <w:rPr>
          <w:bCs/>
          <w:color w:val="002060"/>
          <w:spacing w:val="0"/>
          <w:kern w:val="0"/>
          <w:position w:val="0"/>
          <w:sz w:val="16"/>
          <w:szCs w:val="16"/>
        </w:rPr>
      </w:pPr>
    </w:p>
    <w:p w14:paraId="5B4477D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мае 1915 г. два единственных, совершающих боевые полеты корабля — 111-й и "Киевский" были командированы во Львов на фронт 3-й армии. 28 мая поручик И.С.Башко был назначен командиром "Киевского", а командиром 111-го стал поручик Д.А.Озерский (штабс-капитан С.М.Бродович подал рапорт о переводе в легкую авиацию). В июне оба корабля перелетели в Люблин, затем во Влодаву. 14 июня "Киевский" совершил удачный налет на станцию Пржеворск, где метким попаданием пудовой бомбы уничтожил состав с боеприпасами (30.000 снарядов!). Тем временем в Яблонну стали прибывать "Муромцы" типа В с английскими моторами "Санбим". После сборки и испытаний новые корабли (1-й, 11-й и V-й) в начале июля выполнили по 2 боевых задания. Обычно в полет члены экипажа брали один карабин, одно ружье-пулемет Мадсена с 250 патронами и 12-15 пудов бомб. Встреч с немецкими аэропланами практически не было, и потому на борт предпочитали брать больше бомб и горючего, нежели пулеметов, что чуть не привело к потере корабля. Надо отметить, что "Киевский" иногда "таскал" с собой 2 пулемета (Мадсен с Льюисом или Максимом). О первом воздушном бое стоит рассказать поподробнее (11277).</w:t>
      </w:r>
    </w:p>
    <w:p w14:paraId="6CB610ED" w14:textId="77777777" w:rsidR="004B4E35" w:rsidRPr="00405303" w:rsidRDefault="004B4E35" w:rsidP="00C15251">
      <w:pPr>
        <w:pStyle w:val="a3"/>
        <w:jc w:val="both"/>
        <w:rPr>
          <w:bCs/>
          <w:i w:val="0"/>
          <w:color w:val="002060"/>
          <w:spacing w:val="0"/>
          <w:kern w:val="0"/>
          <w:position w:val="0"/>
          <w:sz w:val="16"/>
          <w:szCs w:val="16"/>
        </w:rPr>
      </w:pPr>
    </w:p>
    <w:p w14:paraId="1FB4392E" w14:textId="77777777" w:rsidR="004B4E35" w:rsidRPr="00405303" w:rsidRDefault="009E6F82" w:rsidP="00C15251">
      <w:pPr>
        <w:jc w:val="both"/>
        <w:rPr>
          <w:bCs/>
          <w:color w:val="002060"/>
          <w:sz w:val="16"/>
          <w:szCs w:val="16"/>
        </w:rPr>
      </w:pPr>
      <w:r w:rsidRPr="00405303">
        <w:rPr>
          <w:bCs/>
          <w:color w:val="002060"/>
          <w:sz w:val="16"/>
          <w:szCs w:val="16"/>
        </w:rPr>
        <w:t xml:space="preserve">В мае 1915 г. два единственных, совершающих боевые полеты корабля - Ш-й и "Киевский" были командированы во Львов на фронт 3-й армии. 28 мая поручик И.С.Башко был назначен командиром "Киевского", а командиром Ill-го стал поручик Д.А.Озерский (штабс-капитан С.М.Бродович подал рапорт о переводе в легкую авиацию). В июне оба корабля перелетели в Люблин, затем во Влодаву. 14 июня "Киевский" совершил удачный налет на станцию Пржеворск, где метким попаданием пудовой бомбы уничтожил состав с боеприпасами (30.000 снарядов!). </w:t>
      </w:r>
    </w:p>
    <w:p w14:paraId="60024E89" w14:textId="77777777" w:rsidR="004B4E35" w:rsidRPr="00405303" w:rsidRDefault="009E6F82" w:rsidP="00C15251">
      <w:pPr>
        <w:jc w:val="both"/>
        <w:rPr>
          <w:bCs/>
          <w:color w:val="002060"/>
          <w:sz w:val="16"/>
          <w:szCs w:val="16"/>
        </w:rPr>
      </w:pPr>
      <w:r w:rsidRPr="00405303">
        <w:rPr>
          <w:bCs/>
          <w:color w:val="002060"/>
          <w:sz w:val="16"/>
          <w:szCs w:val="16"/>
        </w:rPr>
        <w:t>Тем временем в Яблонну стали прибывать "Муромцы" типа В с английскими моторами "Санбим". После сборки и испытаний новые корабли (1-й, Н-й и V-й) в начале июля выполнили по 2 боевых задания. Обычно в полет члены экипажа брали один карабин, одно ружье- пулемет Мадсена с 250 патронами и 12-15 пудов бомб. Встреч с немецкими аэропланами практически не было, и потому на борт предпочитали брать больше бомб и горючего, нежели пулеметов, что чуть не привело к потере корабля. Надо отметить, что "Киевский" иногда "таскал" с собой 2 пулемета (Мадсен с Льюисом или Максимом). О первом воздушном бое стоит рассказать поподробнее (12038).</w:t>
      </w:r>
    </w:p>
    <w:p w14:paraId="538BB9C8" w14:textId="77777777" w:rsidR="004B4E35" w:rsidRPr="00405303" w:rsidRDefault="004B4E35" w:rsidP="00C15251">
      <w:pPr>
        <w:jc w:val="both"/>
        <w:rPr>
          <w:bCs/>
          <w:color w:val="002060"/>
          <w:sz w:val="16"/>
          <w:szCs w:val="16"/>
        </w:rPr>
      </w:pPr>
    </w:p>
    <w:p w14:paraId="32630998" w14:textId="240CF664" w:rsidR="004B4E35" w:rsidRPr="00405303" w:rsidRDefault="00575F6B"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С</w:t>
      </w:r>
      <w:r w:rsidR="009E6F82" w:rsidRPr="00405303">
        <w:rPr>
          <w:bCs/>
          <w:i w:val="0"/>
          <w:color w:val="002060"/>
          <w:spacing w:val="0"/>
          <w:kern w:val="0"/>
          <w:position w:val="0"/>
          <w:sz w:val="16"/>
          <w:szCs w:val="16"/>
        </w:rPr>
        <w:t xml:space="preserve"> мая по октябрь 1915 г. </w:t>
      </w:r>
      <w:r w:rsidRPr="00405303">
        <w:rPr>
          <w:bCs/>
          <w:i w:val="0"/>
          <w:color w:val="002060"/>
          <w:spacing w:val="0"/>
          <w:kern w:val="0"/>
          <w:position w:val="0"/>
          <w:sz w:val="16"/>
          <w:szCs w:val="16"/>
        </w:rPr>
        <w:t xml:space="preserve">111-й корабль тогоже полка, что и "Киевский", совершил </w:t>
      </w:r>
      <w:r w:rsidR="009E6F82" w:rsidRPr="00405303">
        <w:rPr>
          <w:bCs/>
          <w:i w:val="0"/>
          <w:color w:val="002060"/>
          <w:spacing w:val="0"/>
          <w:kern w:val="0"/>
          <w:position w:val="0"/>
          <w:sz w:val="16"/>
          <w:szCs w:val="16"/>
        </w:rPr>
        <w:t>более 30 полетов, часто проникая на п-рриторию врага на глубину до 190 верст. 2 ноября 1915 г. был потерян один из лучших кораблей Эскадры. Штабс-капитан Озерский, желая увеличить скорость "Муромца", приказал снять добавочные рули, чем уменьшил устойчивость аппарата. Это и стало причиной гибели экипажа. "Муромцы" этого отряда совершили до типа 1915 г. на Северном фронте 25 боевых вылетов. Зa весь 1915 год воздушные корабли выполнили около 100 боевых полетов, сбросив на противника до 1220 пудов бомб (11277).</w:t>
      </w:r>
    </w:p>
    <w:p w14:paraId="1C73E131" w14:textId="77777777" w:rsidR="004B4E35" w:rsidRPr="00405303" w:rsidRDefault="004B4E35" w:rsidP="00C15251">
      <w:pPr>
        <w:pStyle w:val="a3"/>
        <w:jc w:val="both"/>
        <w:rPr>
          <w:bCs/>
          <w:i w:val="0"/>
          <w:color w:val="002060"/>
          <w:spacing w:val="0"/>
          <w:kern w:val="0"/>
          <w:position w:val="0"/>
          <w:sz w:val="16"/>
          <w:szCs w:val="16"/>
        </w:rPr>
      </w:pPr>
    </w:p>
    <w:p w14:paraId="03C79D7C" w14:textId="77777777" w:rsidR="00EE7702" w:rsidRPr="00405303" w:rsidRDefault="00EE7702" w:rsidP="00C15251">
      <w:pPr>
        <w:shd w:val="clear" w:color="auto" w:fill="FFFFFF"/>
        <w:jc w:val="both"/>
        <w:rPr>
          <w:bCs/>
          <w:color w:val="002060"/>
          <w:sz w:val="16"/>
          <w:szCs w:val="16"/>
          <w:shd w:val="clear" w:color="auto" w:fill="FFFFFF"/>
        </w:rPr>
      </w:pPr>
      <w:bookmarkStart w:id="150" w:name="_Hlk49864145"/>
      <w:r w:rsidRPr="00405303">
        <w:rPr>
          <w:bCs/>
          <w:color w:val="002060"/>
          <w:sz w:val="16"/>
          <w:szCs w:val="16"/>
          <w:shd w:val="clear" w:color="auto" w:fill="FFFFFF"/>
        </w:rPr>
        <w:t>В мае 1915 года для прорыва на участке Горлица — Тарнов каждому германскому корпусу был придан один авиаотряд.</w:t>
      </w:r>
    </w:p>
    <w:p w14:paraId="1BF1410A" w14:textId="77777777" w:rsidR="00EE7702" w:rsidRPr="00405303" w:rsidRDefault="00EE7702" w:rsidP="00C15251">
      <w:pPr>
        <w:shd w:val="clear" w:color="auto" w:fill="FFFFFF"/>
        <w:jc w:val="both"/>
        <w:rPr>
          <w:bCs/>
          <w:color w:val="002060"/>
          <w:sz w:val="16"/>
          <w:szCs w:val="16"/>
          <w:shd w:val="clear" w:color="auto" w:fill="FFFFFF"/>
        </w:rPr>
      </w:pPr>
      <w:r w:rsidRPr="00405303">
        <w:rPr>
          <w:bCs/>
          <w:color w:val="002060"/>
          <w:sz w:val="16"/>
          <w:szCs w:val="16"/>
          <w:shd w:val="clear" w:color="auto" w:fill="FFFFFF"/>
        </w:rPr>
        <w:t>Штабу 11-й армии непосредственно была подчинена боевая эскадра, переброшенная в Краков из Восточной Пруссии; она применялась главным образом для разведки и часть ее была выделена в распоряжение 6-го австрийского корпуса.</w:t>
      </w:r>
    </w:p>
    <w:p w14:paraId="1158EFCE" w14:textId="77777777" w:rsidR="00EE7702" w:rsidRPr="00405303" w:rsidRDefault="00EE7702" w:rsidP="00C15251">
      <w:pPr>
        <w:shd w:val="clear" w:color="auto" w:fill="FFFFFF"/>
        <w:jc w:val="both"/>
        <w:rPr>
          <w:bCs/>
          <w:color w:val="002060"/>
          <w:sz w:val="16"/>
          <w:szCs w:val="16"/>
        </w:rPr>
      </w:pPr>
      <w:r w:rsidRPr="00405303">
        <w:rPr>
          <w:bCs/>
          <w:color w:val="002060"/>
          <w:sz w:val="16"/>
          <w:szCs w:val="16"/>
          <w:shd w:val="clear" w:color="auto" w:fill="FFFFFF"/>
        </w:rPr>
        <w:t>Удалось сделать непрерывную аэрофотосъемку неприятельских позиций, не привлекая внимания русских к пункту прорыва. Донесения летчиков были положены в основу распоряжений об атаке (19941).</w:t>
      </w:r>
    </w:p>
    <w:p w14:paraId="1BF47D24" w14:textId="77777777" w:rsidR="00EE7702" w:rsidRPr="00405303" w:rsidRDefault="00EE7702" w:rsidP="00C15251">
      <w:pPr>
        <w:shd w:val="clear" w:color="auto" w:fill="FFFFFF"/>
        <w:jc w:val="both"/>
        <w:rPr>
          <w:bCs/>
          <w:color w:val="002060"/>
          <w:sz w:val="16"/>
          <w:szCs w:val="16"/>
        </w:rPr>
      </w:pPr>
    </w:p>
    <w:bookmarkEnd w:id="150"/>
    <w:p w14:paraId="1017A13A" w14:textId="77777777" w:rsidR="00202720" w:rsidRPr="00405303" w:rsidRDefault="00202720" w:rsidP="00C15251">
      <w:pPr>
        <w:jc w:val="both"/>
        <w:rPr>
          <w:bCs/>
          <w:color w:val="002060"/>
          <w:sz w:val="16"/>
          <w:szCs w:val="16"/>
        </w:rPr>
      </w:pPr>
      <w:r w:rsidRPr="00405303">
        <w:rPr>
          <w:bCs/>
          <w:color w:val="002060"/>
          <w:sz w:val="16"/>
          <w:szCs w:val="16"/>
          <w:lang w:bidi="ru-RU"/>
        </w:rPr>
        <w:t>В мае 1915 г. в 16-й корпусной авиаотряд поступили три новых аппарата С-12. Указанные самолеты были вы</w:t>
      </w:r>
      <w:r w:rsidRPr="00405303">
        <w:rPr>
          <w:bCs/>
          <w:color w:val="002060"/>
          <w:sz w:val="16"/>
          <w:szCs w:val="16"/>
          <w:lang w:bidi="ru-RU"/>
        </w:rPr>
        <w:softHyphen/>
        <w:t>полнены двухместными, снабжены двига</w:t>
      </w:r>
      <w:r w:rsidRPr="00405303">
        <w:rPr>
          <w:bCs/>
          <w:color w:val="002060"/>
          <w:sz w:val="16"/>
          <w:szCs w:val="16"/>
          <w:lang w:bidi="ru-RU"/>
        </w:rPr>
        <w:softHyphen/>
        <w:t>телями «Рон» 80 л.с. и получили обозначе</w:t>
      </w:r>
      <w:r w:rsidRPr="00405303">
        <w:rPr>
          <w:bCs/>
          <w:color w:val="002060"/>
          <w:sz w:val="16"/>
          <w:szCs w:val="16"/>
          <w:lang w:bidi="ru-RU"/>
        </w:rPr>
        <w:softHyphen/>
        <w:t>ние С-12 бис. Использовались в Эскадре воздушных кораблей и в 16-м корпусном авиаотряде. шесть двухместных С-12 бис, которые на РБВЗ изготовили в 1917 г., эксплуати</w:t>
      </w:r>
      <w:r w:rsidRPr="00405303">
        <w:rPr>
          <w:bCs/>
          <w:color w:val="002060"/>
          <w:sz w:val="16"/>
          <w:szCs w:val="16"/>
          <w:lang w:bidi="ru-RU"/>
        </w:rPr>
        <w:softHyphen/>
        <w:t>ровались в «красном» Дивизионе воздуш</w:t>
      </w:r>
      <w:r w:rsidRPr="00405303">
        <w:rPr>
          <w:bCs/>
          <w:color w:val="002060"/>
          <w:sz w:val="16"/>
          <w:szCs w:val="16"/>
          <w:lang w:bidi="ru-RU"/>
        </w:rPr>
        <w:softHyphen/>
        <w:t>ных кораблей до его расформирования в 1922 г (23374).</w:t>
      </w:r>
    </w:p>
    <w:p w14:paraId="7590DDF2" w14:textId="77777777" w:rsidR="00202720" w:rsidRPr="00405303" w:rsidRDefault="00202720" w:rsidP="00C15251">
      <w:pPr>
        <w:jc w:val="both"/>
        <w:rPr>
          <w:bCs/>
          <w:color w:val="002060"/>
          <w:sz w:val="16"/>
          <w:szCs w:val="16"/>
          <w:lang w:bidi="ru-RU"/>
        </w:rPr>
      </w:pPr>
    </w:p>
    <w:p w14:paraId="519F8FBD" w14:textId="77777777" w:rsidR="00202720" w:rsidRPr="00405303" w:rsidRDefault="00202720" w:rsidP="00C15251">
      <w:pPr>
        <w:jc w:val="both"/>
        <w:rPr>
          <w:bCs/>
          <w:color w:val="002060"/>
          <w:sz w:val="16"/>
          <w:szCs w:val="16"/>
        </w:rPr>
      </w:pPr>
      <w:r w:rsidRPr="00405303">
        <w:rPr>
          <w:bCs/>
          <w:color w:val="002060"/>
          <w:sz w:val="16"/>
          <w:szCs w:val="16"/>
        </w:rPr>
        <w:t>В мае 1915 г. в связи с наступлением непри</w:t>
      </w:r>
      <w:r w:rsidRPr="00405303">
        <w:rPr>
          <w:bCs/>
          <w:color w:val="002060"/>
          <w:sz w:val="16"/>
          <w:szCs w:val="16"/>
        </w:rPr>
        <w:softHyphen/>
        <w:t>ятеля на Галицийском направлении по приказу Главного Командования во Львов из Эскадры были направлены два экипажа - «Киевский» и ВК-Ш. Так был создан отдельный боевой отряд Эскадры, который начал действовать в инте</w:t>
      </w:r>
      <w:r w:rsidRPr="00405303">
        <w:rPr>
          <w:bCs/>
          <w:color w:val="002060"/>
          <w:sz w:val="16"/>
          <w:szCs w:val="16"/>
        </w:rPr>
        <w:softHyphen/>
        <w:t>ресах 3-й армии. Командиром от</w:t>
      </w:r>
      <w:r w:rsidRPr="00405303">
        <w:rPr>
          <w:bCs/>
          <w:color w:val="002060"/>
          <w:sz w:val="16"/>
          <w:szCs w:val="16"/>
        </w:rPr>
        <w:softHyphen/>
        <w:t>ряда стал Г.Г. Горшков. К сожалению, Эскадре вскоре пришлось на время расстаться с этим доблестным офи</w:t>
      </w:r>
      <w:r w:rsidRPr="00405303">
        <w:rPr>
          <w:bCs/>
          <w:color w:val="002060"/>
          <w:sz w:val="16"/>
          <w:szCs w:val="16"/>
        </w:rPr>
        <w:softHyphen/>
        <w:t>цером. Горшков был назначен на</w:t>
      </w:r>
      <w:r w:rsidRPr="00405303">
        <w:rPr>
          <w:bCs/>
          <w:color w:val="002060"/>
          <w:sz w:val="16"/>
          <w:szCs w:val="16"/>
        </w:rPr>
        <w:softHyphen/>
        <w:t>чальником Гатчинской авиашколы.</w:t>
      </w:r>
    </w:p>
    <w:p w14:paraId="715A2531" w14:textId="77777777" w:rsidR="00202720" w:rsidRPr="00405303" w:rsidRDefault="00202720" w:rsidP="00C15251">
      <w:pPr>
        <w:jc w:val="both"/>
        <w:rPr>
          <w:bCs/>
          <w:color w:val="002060"/>
          <w:sz w:val="16"/>
          <w:szCs w:val="16"/>
        </w:rPr>
      </w:pPr>
      <w:r w:rsidRPr="00405303">
        <w:rPr>
          <w:bCs/>
          <w:color w:val="002060"/>
          <w:sz w:val="16"/>
          <w:szCs w:val="16"/>
        </w:rPr>
        <w:t>На Варшавском же направлении боевая работа тоже не прекраща</w:t>
      </w:r>
      <w:r w:rsidRPr="00405303">
        <w:rPr>
          <w:bCs/>
          <w:color w:val="002060"/>
          <w:sz w:val="16"/>
          <w:szCs w:val="16"/>
        </w:rPr>
        <w:softHyphen/>
        <w:t>лась. К этому времени на базу по</w:t>
      </w:r>
      <w:r w:rsidRPr="00405303">
        <w:rPr>
          <w:bCs/>
          <w:color w:val="002060"/>
          <w:sz w:val="16"/>
          <w:szCs w:val="16"/>
        </w:rPr>
        <w:softHyphen/>
        <w:t xml:space="preserve">ступили новые машины типа «В». На них экипажи </w:t>
      </w:r>
      <w:r w:rsidRPr="00405303">
        <w:rPr>
          <w:bCs/>
          <w:color w:val="002060"/>
          <w:sz w:val="16"/>
          <w:szCs w:val="16"/>
          <w:lang w:val="en-US" w:bidi="en-US"/>
        </w:rPr>
        <w:t>BK</w:t>
      </w:r>
      <w:r w:rsidRPr="00405303">
        <w:rPr>
          <w:bCs/>
          <w:color w:val="002060"/>
          <w:sz w:val="16"/>
          <w:szCs w:val="16"/>
          <w:lang w:bidi="en-US"/>
        </w:rPr>
        <w:t>-</w:t>
      </w:r>
      <w:r w:rsidRPr="00405303">
        <w:rPr>
          <w:bCs/>
          <w:color w:val="002060"/>
          <w:sz w:val="16"/>
          <w:szCs w:val="16"/>
          <w:lang w:val="en-US" w:bidi="en-US"/>
        </w:rPr>
        <w:t>I</w:t>
      </w:r>
      <w:r w:rsidRPr="00405303">
        <w:rPr>
          <w:bCs/>
          <w:color w:val="002060"/>
          <w:sz w:val="16"/>
          <w:szCs w:val="16"/>
          <w:lang w:bidi="en-US"/>
        </w:rPr>
        <w:t xml:space="preserve">, </w:t>
      </w:r>
      <w:r w:rsidRPr="00405303">
        <w:rPr>
          <w:bCs/>
          <w:color w:val="002060"/>
          <w:sz w:val="16"/>
          <w:szCs w:val="16"/>
        </w:rPr>
        <w:t xml:space="preserve">ВК-П, </w:t>
      </w:r>
      <w:r w:rsidRPr="00405303">
        <w:rPr>
          <w:bCs/>
          <w:color w:val="002060"/>
          <w:sz w:val="16"/>
          <w:szCs w:val="16"/>
          <w:lang w:val="en-US" w:bidi="en-US"/>
        </w:rPr>
        <w:t>BK</w:t>
      </w:r>
      <w:r w:rsidRPr="00405303">
        <w:rPr>
          <w:bCs/>
          <w:color w:val="002060"/>
          <w:sz w:val="16"/>
          <w:szCs w:val="16"/>
          <w:lang w:bidi="en-US"/>
        </w:rPr>
        <w:t>-</w:t>
      </w:r>
      <w:r w:rsidRPr="00405303">
        <w:rPr>
          <w:bCs/>
          <w:color w:val="002060"/>
          <w:sz w:val="16"/>
          <w:szCs w:val="16"/>
          <w:lang w:val="en-US" w:bidi="en-US"/>
        </w:rPr>
        <w:t>IV</w:t>
      </w:r>
      <w:r w:rsidRPr="00405303">
        <w:rPr>
          <w:bCs/>
          <w:color w:val="002060"/>
          <w:sz w:val="16"/>
          <w:szCs w:val="16"/>
          <w:lang w:bidi="en-US"/>
        </w:rPr>
        <w:t xml:space="preserve"> </w:t>
      </w:r>
      <w:r w:rsidRPr="00405303">
        <w:rPr>
          <w:bCs/>
          <w:color w:val="002060"/>
          <w:sz w:val="16"/>
          <w:szCs w:val="16"/>
        </w:rPr>
        <w:t xml:space="preserve">и </w:t>
      </w:r>
      <w:r w:rsidRPr="00405303">
        <w:rPr>
          <w:bCs/>
          <w:color w:val="002060"/>
          <w:sz w:val="16"/>
          <w:szCs w:val="16"/>
          <w:lang w:val="en-US" w:bidi="en-US"/>
        </w:rPr>
        <w:t>BK</w:t>
      </w:r>
      <w:r w:rsidRPr="00405303">
        <w:rPr>
          <w:bCs/>
          <w:color w:val="002060"/>
          <w:sz w:val="16"/>
          <w:szCs w:val="16"/>
          <w:lang w:bidi="en-US"/>
        </w:rPr>
        <w:t>-</w:t>
      </w:r>
      <w:r w:rsidRPr="00405303">
        <w:rPr>
          <w:bCs/>
          <w:color w:val="002060"/>
          <w:sz w:val="16"/>
          <w:szCs w:val="16"/>
          <w:lang w:val="en-US" w:bidi="en-US"/>
        </w:rPr>
        <w:t>V</w:t>
      </w:r>
      <w:r w:rsidRPr="00405303">
        <w:rPr>
          <w:bCs/>
          <w:color w:val="002060"/>
          <w:sz w:val="16"/>
          <w:szCs w:val="16"/>
          <w:lang w:bidi="en-US"/>
        </w:rPr>
        <w:t xml:space="preserve"> </w:t>
      </w:r>
      <w:r w:rsidRPr="00405303">
        <w:rPr>
          <w:bCs/>
          <w:color w:val="002060"/>
          <w:sz w:val="16"/>
          <w:szCs w:val="16"/>
        </w:rPr>
        <w:t>продолжили полёты во вра</w:t>
      </w:r>
      <w:r w:rsidRPr="00405303">
        <w:rPr>
          <w:bCs/>
          <w:color w:val="002060"/>
          <w:sz w:val="16"/>
          <w:szCs w:val="16"/>
        </w:rPr>
        <w:softHyphen/>
        <w:t>жеский тыл (23469).</w:t>
      </w:r>
    </w:p>
    <w:p w14:paraId="39A56F6F" w14:textId="77777777" w:rsidR="00202720" w:rsidRPr="00405303" w:rsidRDefault="00202720" w:rsidP="00C15251">
      <w:pPr>
        <w:jc w:val="both"/>
        <w:rPr>
          <w:bCs/>
          <w:i/>
          <w:color w:val="002060"/>
          <w:sz w:val="16"/>
          <w:szCs w:val="16"/>
        </w:rPr>
      </w:pPr>
    </w:p>
    <w:p w14:paraId="2405E9FE" w14:textId="77777777" w:rsidR="00CD28F6" w:rsidRPr="00405303" w:rsidRDefault="00CD28F6" w:rsidP="00CD28F6">
      <w:pPr>
        <w:widowControl w:val="0"/>
        <w:tabs>
          <w:tab w:val="left" w:pos="642"/>
        </w:tabs>
        <w:jc w:val="both"/>
        <w:rPr>
          <w:color w:val="0070C0"/>
          <w:sz w:val="16"/>
          <w:szCs w:val="16"/>
        </w:rPr>
      </w:pPr>
      <w:r w:rsidRPr="00405303">
        <w:rPr>
          <w:color w:val="0070C0"/>
          <w:sz w:val="16"/>
          <w:szCs w:val="16"/>
        </w:rPr>
        <w:t>В мае 1915 г. ЭВК была приданы отступавшей 3-й армии, и с 22 июня находились во Влодаве два экипажа: ИМ-3 под командованием поручика Д.А. Озерского и «ИМ-Киевский» под командованием поручика И.С. Башко (24965).</w:t>
      </w:r>
    </w:p>
    <w:p w14:paraId="11EE7F88" w14:textId="77777777" w:rsidR="00CD28F6" w:rsidRPr="00405303" w:rsidRDefault="00CD28F6" w:rsidP="00CD28F6">
      <w:pPr>
        <w:jc w:val="both"/>
        <w:rPr>
          <w:color w:val="0070C0"/>
          <w:sz w:val="16"/>
          <w:szCs w:val="16"/>
        </w:rPr>
      </w:pPr>
    </w:p>
    <w:p w14:paraId="059F381C" w14:textId="77777777" w:rsidR="00CD28F6" w:rsidRPr="00405303" w:rsidRDefault="00CD28F6" w:rsidP="00CD28F6">
      <w:pPr>
        <w:jc w:val="both"/>
        <w:rPr>
          <w:color w:val="0070C0"/>
          <w:sz w:val="16"/>
          <w:szCs w:val="16"/>
        </w:rPr>
      </w:pPr>
      <w:r w:rsidRPr="00405303">
        <w:rPr>
          <w:color w:val="0070C0"/>
          <w:sz w:val="16"/>
          <w:szCs w:val="16"/>
        </w:rPr>
        <w:t>В мае 1915 г. в связи с наступлением неприятеля на Галицийском направлении по приказу Главного командования во Львов из Эскадры были направлены два экипажа. Так был создан отдельный боевой отряд Эскадры под командованием Г.Г. Горшкова. Однако вскоре Г.Г. Горшков был назначен начальником Гатчинской авиашколы.</w:t>
      </w:r>
    </w:p>
    <w:p w14:paraId="48384A63" w14:textId="77777777" w:rsidR="00CD28F6" w:rsidRPr="00405303" w:rsidRDefault="00CD28F6" w:rsidP="00CD28F6">
      <w:pPr>
        <w:jc w:val="both"/>
        <w:rPr>
          <w:color w:val="0070C0"/>
          <w:sz w:val="16"/>
          <w:szCs w:val="16"/>
        </w:rPr>
      </w:pPr>
      <w:r w:rsidRPr="00405303">
        <w:rPr>
          <w:color w:val="0070C0"/>
          <w:sz w:val="16"/>
          <w:szCs w:val="16"/>
        </w:rPr>
        <w:t>На Варшавском же направлении боевая работа тоже не прекращалась. К этому времени на базу поступили новые машины типа «В». На них экипажи продолжили полеты во вражеский тыл (24965).</w:t>
      </w:r>
    </w:p>
    <w:p w14:paraId="328A84FE" w14:textId="77777777" w:rsidR="00CD28F6" w:rsidRPr="00405303" w:rsidRDefault="00CD28F6" w:rsidP="00CD28F6">
      <w:pPr>
        <w:jc w:val="both"/>
        <w:rPr>
          <w:color w:val="0070C0"/>
          <w:sz w:val="16"/>
          <w:szCs w:val="16"/>
        </w:rPr>
      </w:pPr>
    </w:p>
    <w:p w14:paraId="071CD3A0" w14:textId="77777777" w:rsidR="00CD28F6" w:rsidRPr="00405303" w:rsidRDefault="00CD28F6" w:rsidP="00CD28F6">
      <w:pPr>
        <w:jc w:val="both"/>
        <w:rPr>
          <w:color w:val="0070C0"/>
          <w:sz w:val="16"/>
          <w:szCs w:val="16"/>
        </w:rPr>
      </w:pPr>
      <w:r w:rsidRPr="00405303">
        <w:rPr>
          <w:color w:val="0070C0"/>
          <w:sz w:val="16"/>
          <w:szCs w:val="16"/>
        </w:rPr>
        <w:t>В мае 1915 г. особый До</w:t>
      </w:r>
      <w:r w:rsidRPr="00405303">
        <w:rPr>
          <w:color w:val="0070C0"/>
          <w:sz w:val="16"/>
          <w:szCs w:val="16"/>
        </w:rPr>
        <w:softHyphen/>
        <w:t>бровольческий авиационный отряд. стал 34-м корпусным авиаотрядом. Весной 1918 г. перешел в состав Рабоче-Кре</w:t>
      </w:r>
      <w:r w:rsidRPr="00405303">
        <w:rPr>
          <w:color w:val="0070C0"/>
          <w:sz w:val="16"/>
          <w:szCs w:val="16"/>
        </w:rPr>
        <w:softHyphen/>
        <w:t>стьянского Красного Воздушного фло</w:t>
      </w:r>
      <w:r w:rsidRPr="00405303">
        <w:rPr>
          <w:color w:val="0070C0"/>
          <w:sz w:val="16"/>
          <w:szCs w:val="16"/>
        </w:rPr>
        <w:softHyphen/>
        <w:t>та (РККВФ). В августе 1918 г. был пере</w:t>
      </w:r>
      <w:r w:rsidRPr="00405303">
        <w:rPr>
          <w:color w:val="0070C0"/>
          <w:sz w:val="16"/>
          <w:szCs w:val="16"/>
        </w:rPr>
        <w:softHyphen/>
        <w:t>формирован в 1-й Тамбовский авиаотряд 1-й Тамбовской авиагруппы РККВФ. В де</w:t>
      </w:r>
      <w:r w:rsidRPr="00405303">
        <w:rPr>
          <w:color w:val="0070C0"/>
          <w:sz w:val="16"/>
          <w:szCs w:val="16"/>
        </w:rPr>
        <w:softHyphen/>
        <w:t>кабре 1918 г. переформирован и переи</w:t>
      </w:r>
      <w:r w:rsidRPr="00405303">
        <w:rPr>
          <w:color w:val="0070C0"/>
          <w:sz w:val="16"/>
          <w:szCs w:val="16"/>
        </w:rPr>
        <w:softHyphen/>
        <w:t>менован в 5-й разведывательный авиао</w:t>
      </w:r>
      <w:r w:rsidRPr="00405303">
        <w:rPr>
          <w:color w:val="0070C0"/>
          <w:sz w:val="16"/>
          <w:szCs w:val="16"/>
        </w:rPr>
        <w:softHyphen/>
        <w:t>тряд РККВФ. С 1 ноября 1921 г. отряд пе</w:t>
      </w:r>
      <w:r w:rsidRPr="00405303">
        <w:rPr>
          <w:color w:val="0070C0"/>
          <w:sz w:val="16"/>
          <w:szCs w:val="16"/>
        </w:rPr>
        <w:softHyphen/>
        <w:t>реименован в 11-й отдельный авиацион</w:t>
      </w:r>
      <w:r w:rsidRPr="00405303">
        <w:rPr>
          <w:color w:val="0070C0"/>
          <w:sz w:val="16"/>
          <w:szCs w:val="16"/>
        </w:rPr>
        <w:softHyphen/>
        <w:t>ный отряд Воздушного флота Отдельной Кавказской армии. С ноября 1922 г. был расформирован. Личный состав и имуще</w:t>
      </w:r>
      <w:r w:rsidRPr="00405303">
        <w:rPr>
          <w:color w:val="0070C0"/>
          <w:sz w:val="16"/>
          <w:szCs w:val="16"/>
        </w:rPr>
        <w:softHyphen/>
        <w:t>ство из г. Тифлиса направлены в Москву, где осенью 1923 г. на их базе сформиро</w:t>
      </w:r>
      <w:r w:rsidRPr="00405303">
        <w:rPr>
          <w:color w:val="0070C0"/>
          <w:sz w:val="16"/>
          <w:szCs w:val="16"/>
        </w:rPr>
        <w:softHyphen/>
        <w:t>ван Отдельный авиаотряд «Ультиматум», позже ставшей знаменитой разведыва</w:t>
      </w:r>
      <w:r w:rsidRPr="00405303">
        <w:rPr>
          <w:color w:val="0070C0"/>
          <w:sz w:val="16"/>
          <w:szCs w:val="16"/>
        </w:rPr>
        <w:softHyphen/>
        <w:t>тельной эскадрильей (24962)</w:t>
      </w:r>
    </w:p>
    <w:p w14:paraId="77EF624F" w14:textId="77777777" w:rsidR="00CD28F6" w:rsidRPr="00405303" w:rsidRDefault="00CD28F6" w:rsidP="00CD28F6">
      <w:pPr>
        <w:jc w:val="both"/>
        <w:rPr>
          <w:color w:val="0070C0"/>
          <w:sz w:val="16"/>
          <w:szCs w:val="16"/>
        </w:rPr>
      </w:pPr>
    </w:p>
    <w:p w14:paraId="359B71F4" w14:textId="77777777" w:rsidR="00CD28F6" w:rsidRPr="00405303" w:rsidRDefault="00CD28F6" w:rsidP="00CD28F6">
      <w:pPr>
        <w:jc w:val="both"/>
        <w:rPr>
          <w:color w:val="0070C0"/>
          <w:sz w:val="16"/>
          <w:szCs w:val="16"/>
        </w:rPr>
      </w:pPr>
      <w:r w:rsidRPr="00405303">
        <w:rPr>
          <w:color w:val="0070C0"/>
          <w:sz w:val="16"/>
          <w:szCs w:val="16"/>
        </w:rPr>
        <w:t>В мае 1915 года появились на фронте новые германские машины, вооруженные синхронными пулеметами. Преимущества этих установок были так велики, что германская армия сразу же получила перевес.</w:t>
      </w:r>
    </w:p>
    <w:p w14:paraId="276F5DDB" w14:textId="77777777" w:rsidR="00CD28F6" w:rsidRPr="00405303" w:rsidRDefault="00CD28F6" w:rsidP="00CD28F6">
      <w:pPr>
        <w:jc w:val="both"/>
        <w:rPr>
          <w:color w:val="0070C0"/>
          <w:sz w:val="16"/>
          <w:szCs w:val="16"/>
        </w:rPr>
      </w:pPr>
      <w:r w:rsidRPr="00405303">
        <w:rPr>
          <w:color w:val="0070C0"/>
          <w:sz w:val="16"/>
          <w:szCs w:val="16"/>
        </w:rPr>
        <w:t>Примерно в это же время над решением задачи стрельбы через винт работали и русские конструкторы и умельцы. Так над защитой винта от попадания пуль при стрельбе работали Бартошевич, Кулебакин, которые применили отсекатели и броневую малюнетку перед винтом. При стрельбе с малюнеткой преграждался путь более 25% пуль от всего количества выстрелов.</w:t>
      </w:r>
    </w:p>
    <w:p w14:paraId="76706795" w14:textId="77777777" w:rsidR="00CD28F6" w:rsidRPr="00405303" w:rsidRDefault="00CD28F6" w:rsidP="00CD28F6">
      <w:pPr>
        <w:jc w:val="both"/>
        <w:rPr>
          <w:color w:val="0070C0"/>
          <w:sz w:val="16"/>
          <w:szCs w:val="16"/>
        </w:rPr>
      </w:pPr>
      <w:r w:rsidRPr="00405303">
        <w:rPr>
          <w:color w:val="0070C0"/>
          <w:sz w:val="16"/>
          <w:szCs w:val="16"/>
        </w:rPr>
        <w:t>Над созданием синхронных установок работали Серебренников, Смыслов, Шадский, Лавров, Масловский, Дыбовский и др. Первые самолеты С-XVI, МБ и др., вооруженные синхронизированными пулеметами Максим и Виккерс, были выпущены в России в декабре 1915 года на заводе Дукс, а затем и на РБВЗ. На некоторых из них сохранялись отсекатели или бронещитки (малюнетки) перед винтом. (25100).</w:t>
      </w:r>
    </w:p>
    <w:p w14:paraId="5142B4D7" w14:textId="77777777" w:rsidR="00CD28F6" w:rsidRPr="00405303" w:rsidRDefault="00CD28F6" w:rsidP="00CD28F6">
      <w:pPr>
        <w:jc w:val="both"/>
        <w:rPr>
          <w:color w:val="0070C0"/>
          <w:sz w:val="16"/>
          <w:szCs w:val="16"/>
        </w:rPr>
      </w:pPr>
    </w:p>
    <w:p w14:paraId="072083BC" w14:textId="77777777" w:rsidR="00CD28F6" w:rsidRPr="00405303" w:rsidRDefault="00CD28F6" w:rsidP="00CD28F6">
      <w:pPr>
        <w:jc w:val="both"/>
        <w:rPr>
          <w:color w:val="0070C0"/>
          <w:sz w:val="16"/>
          <w:szCs w:val="16"/>
        </w:rPr>
      </w:pPr>
      <w:r w:rsidRPr="00405303">
        <w:rPr>
          <w:rStyle w:val="aa"/>
          <w:rFonts w:ascii="Times New Roman" w:hAnsi="Times New Roman"/>
          <w:color w:val="0070C0"/>
          <w:spacing w:val="0"/>
          <w:sz w:val="16"/>
          <w:szCs w:val="16"/>
        </w:rPr>
        <w:t>В течение мая 1915 г. полосе Юго-Западного фронта австрийская сторона недосчиталась нескольких своих самолетов-корректировщиков (25135).</w:t>
      </w:r>
    </w:p>
    <w:p w14:paraId="056A7ECB" w14:textId="77777777" w:rsidR="00CD28F6" w:rsidRPr="00405303" w:rsidRDefault="00CD28F6" w:rsidP="00CD28F6">
      <w:pPr>
        <w:jc w:val="both"/>
        <w:rPr>
          <w:color w:val="0070C0"/>
          <w:sz w:val="16"/>
          <w:szCs w:val="16"/>
        </w:rPr>
      </w:pPr>
    </w:p>
    <w:p w14:paraId="618EEDC3" w14:textId="77777777" w:rsidR="00CD28F6" w:rsidRPr="00405303" w:rsidRDefault="00CD28F6" w:rsidP="00CD28F6">
      <w:pPr>
        <w:jc w:val="both"/>
        <w:rPr>
          <w:color w:val="0070C0"/>
          <w:sz w:val="16"/>
          <w:szCs w:val="16"/>
        </w:rPr>
      </w:pPr>
      <w:r w:rsidRPr="00405303">
        <w:rPr>
          <w:rStyle w:val="aa"/>
          <w:rFonts w:ascii="Times New Roman" w:hAnsi="Times New Roman"/>
          <w:color w:val="0070C0"/>
          <w:spacing w:val="0"/>
          <w:sz w:val="16"/>
          <w:szCs w:val="16"/>
        </w:rPr>
        <w:t>В мае 1915 года для нормального функционирования разнородных сил Петроградского района ВоздО приказом по 6-й армии за № 112 был принят пакет документов, конкретизировавший их задачи по воздушной обороне. При этом учитывался и фронтовой опыт текущей войны. В числе первых была введена в действие специальная инструкция по организации контроля воздушного пространства в Петроградском районе ВоздО. К концу того же года в зону общего наблюдения вошли восточное побережье Ботнического и Рижского заливов Балтийского моря, что позволило значительно увеличить отрезок времени от момента обнаружения воздушных целей до принятия мер по отражению их налета (25166).</w:t>
      </w:r>
    </w:p>
    <w:p w14:paraId="43443EA3" w14:textId="77777777" w:rsidR="00CD28F6" w:rsidRPr="00405303" w:rsidRDefault="00CD28F6" w:rsidP="00CD28F6">
      <w:pPr>
        <w:jc w:val="both"/>
        <w:rPr>
          <w:color w:val="0070C0"/>
          <w:sz w:val="16"/>
          <w:szCs w:val="16"/>
        </w:rPr>
      </w:pPr>
    </w:p>
    <w:p w14:paraId="703C260F" w14:textId="4B870099" w:rsidR="00202720" w:rsidRPr="00405303" w:rsidRDefault="00202720" w:rsidP="00C15251">
      <w:pPr>
        <w:jc w:val="both"/>
        <w:rPr>
          <w:bCs/>
          <w:i/>
          <w:color w:val="002060"/>
          <w:sz w:val="16"/>
          <w:szCs w:val="16"/>
        </w:rPr>
      </w:pPr>
      <w:r w:rsidRPr="00405303">
        <w:rPr>
          <w:bCs/>
          <w:i/>
          <w:color w:val="002060"/>
          <w:sz w:val="16"/>
          <w:szCs w:val="16"/>
        </w:rPr>
        <w:t>Морская авиация:</w:t>
      </w:r>
    </w:p>
    <w:p w14:paraId="120A0B99" w14:textId="77777777" w:rsidR="00202720" w:rsidRPr="00405303" w:rsidRDefault="00202720" w:rsidP="00C15251">
      <w:pPr>
        <w:jc w:val="both"/>
        <w:rPr>
          <w:bCs/>
          <w:i/>
          <w:color w:val="002060"/>
          <w:sz w:val="16"/>
          <w:szCs w:val="16"/>
        </w:rPr>
      </w:pPr>
    </w:p>
    <w:p w14:paraId="266B9831" w14:textId="77777777" w:rsidR="00202720" w:rsidRPr="00405303" w:rsidRDefault="00202720" w:rsidP="00C15251">
      <w:pPr>
        <w:jc w:val="both"/>
        <w:rPr>
          <w:bCs/>
          <w:color w:val="002060"/>
          <w:sz w:val="16"/>
          <w:szCs w:val="16"/>
          <w:lang w:bidi="en-US"/>
        </w:rPr>
      </w:pPr>
      <w:r w:rsidRPr="00405303">
        <w:rPr>
          <w:bCs/>
          <w:color w:val="002060"/>
          <w:sz w:val="16"/>
          <w:szCs w:val="16"/>
          <w:lang w:bidi="en-US"/>
        </w:rPr>
        <w:t>В мае 1915 г. начались учебно-тренировочные работы авиации Черноморского флота на Круглой бухте, одном из двух аэродромов под Севастополем. Станцией руководил лейтенант Б. Н. Лучанинов (23525).</w:t>
      </w:r>
    </w:p>
    <w:p w14:paraId="08BA5EB4" w14:textId="77777777" w:rsidR="00202720" w:rsidRPr="00405303" w:rsidRDefault="00202720" w:rsidP="00C15251">
      <w:pPr>
        <w:jc w:val="both"/>
        <w:rPr>
          <w:bCs/>
          <w:color w:val="002060"/>
          <w:sz w:val="16"/>
          <w:szCs w:val="16"/>
        </w:rPr>
      </w:pPr>
    </w:p>
    <w:p w14:paraId="1CD5F820" w14:textId="4E8CFE71" w:rsidR="004B4E35" w:rsidRPr="00405303" w:rsidRDefault="009E6F82" w:rsidP="00C15251">
      <w:pPr>
        <w:jc w:val="both"/>
        <w:rPr>
          <w:bCs/>
          <w:i/>
          <w:color w:val="002060"/>
          <w:sz w:val="16"/>
          <w:szCs w:val="16"/>
        </w:rPr>
      </w:pPr>
      <w:r w:rsidRPr="00405303">
        <w:rPr>
          <w:bCs/>
          <w:i/>
          <w:color w:val="002060"/>
          <w:sz w:val="16"/>
          <w:szCs w:val="16"/>
        </w:rPr>
        <w:t>Армия:</w:t>
      </w:r>
    </w:p>
    <w:p w14:paraId="579CA57C" w14:textId="77777777" w:rsidR="004B4E35" w:rsidRPr="00405303" w:rsidRDefault="004B4E35" w:rsidP="00C15251">
      <w:pPr>
        <w:jc w:val="both"/>
        <w:rPr>
          <w:bCs/>
          <w:i/>
          <w:color w:val="002060"/>
          <w:sz w:val="16"/>
          <w:szCs w:val="16"/>
        </w:rPr>
      </w:pPr>
    </w:p>
    <w:p w14:paraId="2F85794A" w14:textId="77777777" w:rsidR="00F635F7" w:rsidRPr="00405303" w:rsidRDefault="00F635F7" w:rsidP="00C15251">
      <w:pPr>
        <w:jc w:val="both"/>
        <w:rPr>
          <w:bCs/>
          <w:color w:val="002060"/>
          <w:sz w:val="16"/>
          <w:szCs w:val="16"/>
        </w:rPr>
      </w:pPr>
      <w:r w:rsidRPr="00405303">
        <w:rPr>
          <w:bCs/>
          <w:color w:val="002060"/>
          <w:sz w:val="16"/>
          <w:szCs w:val="16"/>
        </w:rPr>
        <w:t>С мая 1915 Главное управление Генерального штаба приняло решение о формировании следующих мотоциклетных рот или отделений — с 21-го по 45-е. Удовлетворить потребность военных за счет возможностей отечественной промышленности не представлялось возможным, поэтому подавляющее большинство мотоциклов было импортным. Всего в 1913–1917 гг. для военных нужд было приобретено 16 133 мотоцикла почти шести десятков марок. В общей сложности к началу 1917 г. сформировали и направили в действующую армию 2 мотоциклетные роты, 55 мотоциклетных отделений и 2 мотоциклетных команды. Помимо отдельных мотоциклетных, мотоциклы поступали на снабжение и других частей, и подразделений. Мотоциклы имелись в крепостях, в составе вновь формируемой Тяжелой артиллерии особого назначения (ТАОН), в структуре Всероссийского Земского Союза, у авиационных отрядов, во флоте и др. (19776).</w:t>
      </w:r>
    </w:p>
    <w:p w14:paraId="2E8ACD4C" w14:textId="77777777" w:rsidR="00F635F7" w:rsidRPr="00405303" w:rsidRDefault="00F635F7" w:rsidP="00C15251">
      <w:pPr>
        <w:jc w:val="both"/>
        <w:rPr>
          <w:bCs/>
          <w:color w:val="002060"/>
          <w:sz w:val="16"/>
          <w:szCs w:val="16"/>
        </w:rPr>
      </w:pPr>
    </w:p>
    <w:p w14:paraId="1DF2A60B" w14:textId="77777777" w:rsidR="00D42D7C" w:rsidRPr="00405303" w:rsidRDefault="00D42D7C" w:rsidP="00C15251">
      <w:pPr>
        <w:pStyle w:val="ae"/>
        <w:spacing w:before="0" w:beforeAutospacing="0" w:after="0" w:afterAutospacing="0"/>
        <w:jc w:val="both"/>
        <w:rPr>
          <w:bCs/>
          <w:color w:val="002060"/>
          <w:sz w:val="16"/>
          <w:szCs w:val="16"/>
        </w:rPr>
      </w:pPr>
      <w:r w:rsidRPr="00405303">
        <w:rPr>
          <w:bCs/>
          <w:color w:val="002060"/>
          <w:sz w:val="16"/>
          <w:szCs w:val="16"/>
        </w:rPr>
        <w:t>В мае 1915 года русские начали оборудование артиллерийской Або-Аландской шхерной позиции, которая была включена в крепость Петра Великого (18525).</w:t>
      </w:r>
    </w:p>
    <w:p w14:paraId="00D8A7C7" w14:textId="77777777" w:rsidR="00D42D7C" w:rsidRPr="00405303" w:rsidRDefault="00D42D7C" w:rsidP="00C15251">
      <w:pPr>
        <w:pStyle w:val="ae"/>
        <w:spacing w:before="0" w:beforeAutospacing="0" w:after="0" w:afterAutospacing="0"/>
        <w:jc w:val="both"/>
        <w:rPr>
          <w:bCs/>
          <w:color w:val="002060"/>
          <w:sz w:val="16"/>
          <w:szCs w:val="16"/>
        </w:rPr>
      </w:pPr>
    </w:p>
    <w:p w14:paraId="12A91E1D" w14:textId="55C57A56" w:rsidR="004B4E35" w:rsidRPr="00405303" w:rsidRDefault="00575F6B"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мае над Ковно</w:t>
      </w:r>
      <w:r w:rsidRPr="00405303">
        <w:rPr>
          <w:bCs/>
          <w:color w:val="002060"/>
          <w:sz w:val="16"/>
          <w:szCs w:val="16"/>
        </w:rPr>
        <w:t xml:space="preserve"> LZ-34 был сбит русской армией. 25-26 февраля (10-11 марта) 1915 и 2 - 3 (15-16) апреля 1915 года LZ-34 (базировался в Лигнице) и Z-XI (Позен) предприняли ряд атак на Варшаву, но ни одна из них не была доведена до логического конца из-за плохих метеоусловий над городом. Затем они бомбили Гродно, Ковно и другие крепости.</w:t>
      </w:r>
      <w:r w:rsidR="000F5756">
        <w:rPr>
          <w:bCs/>
          <w:color w:val="002060"/>
          <w:sz w:val="16"/>
          <w:szCs w:val="16"/>
        </w:rPr>
        <w:t xml:space="preserve"> </w:t>
      </w:r>
      <w:r w:rsidR="009E6F82" w:rsidRPr="00405303">
        <w:rPr>
          <w:bCs/>
          <w:color w:val="002060"/>
          <w:sz w:val="16"/>
          <w:szCs w:val="16"/>
        </w:rPr>
        <w:t>(11324).</w:t>
      </w:r>
    </w:p>
    <w:p w14:paraId="7CF50770" w14:textId="77777777" w:rsidR="004B4E35" w:rsidRPr="00405303" w:rsidRDefault="004B4E35" w:rsidP="00C15251">
      <w:pPr>
        <w:pStyle w:val="a3"/>
        <w:jc w:val="both"/>
        <w:rPr>
          <w:bCs/>
          <w:color w:val="002060"/>
          <w:spacing w:val="0"/>
          <w:kern w:val="0"/>
          <w:position w:val="0"/>
          <w:sz w:val="16"/>
          <w:szCs w:val="16"/>
        </w:rPr>
      </w:pPr>
    </w:p>
    <w:p w14:paraId="5F2B5546" w14:textId="77777777" w:rsidR="004B4E35" w:rsidRPr="00405303" w:rsidRDefault="009E6F82" w:rsidP="00C15251">
      <w:pPr>
        <w:jc w:val="both"/>
        <w:rPr>
          <w:bCs/>
          <w:color w:val="002060"/>
          <w:sz w:val="16"/>
          <w:szCs w:val="16"/>
        </w:rPr>
      </w:pPr>
      <w:r w:rsidRPr="00405303">
        <w:rPr>
          <w:bCs/>
          <w:color w:val="002060"/>
          <w:sz w:val="16"/>
          <w:szCs w:val="16"/>
        </w:rPr>
        <w:t xml:space="preserve">В мае 1915 года, в с связи со стабилизацией Западного фронта, Z-XII Лемана и LZ-39 переброили на Восточный фронт, в Польшу. Эти дирижабли стали базироваться в Алленштейне и обслуживали армию Кольвица, находившуюся в районе Нарева. «Наша главная задача, — писал Леман позднее, — состояла в том, чтобы держать в напряжении отступающего противника и прерывать его железнодорожное сообщение так, чтобы он не мог ускользнуть и задохнулся в «немецких объятиях». В то </w:t>
      </w:r>
      <w:r w:rsidRPr="00405303">
        <w:rPr>
          <w:bCs/>
          <w:color w:val="002060"/>
          <w:sz w:val="16"/>
          <w:szCs w:val="16"/>
        </w:rPr>
        <w:lastRenderedPageBreak/>
        <w:t xml:space="preserve">время как «Саксония» и LZ-39 действовали против русских крепостей, Леман и его Z-XII атаковали основную железнодорожную магистраль Варшава — Вильно (11324). </w:t>
      </w:r>
    </w:p>
    <w:p w14:paraId="1C735126" w14:textId="77777777" w:rsidR="004B4E35" w:rsidRPr="00405303" w:rsidRDefault="004B4E35" w:rsidP="00C15251">
      <w:pPr>
        <w:pStyle w:val="a3"/>
        <w:jc w:val="both"/>
        <w:rPr>
          <w:bCs/>
          <w:color w:val="002060"/>
          <w:spacing w:val="0"/>
          <w:kern w:val="0"/>
          <w:position w:val="0"/>
          <w:sz w:val="16"/>
          <w:szCs w:val="16"/>
        </w:rPr>
      </w:pPr>
    </w:p>
    <w:p w14:paraId="0EFCD5CE" w14:textId="6991676B" w:rsidR="004B4E35" w:rsidRPr="00405303" w:rsidRDefault="00575F6B"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мае </w:t>
      </w:r>
      <w:r w:rsidRPr="00405303">
        <w:rPr>
          <w:bCs/>
          <w:color w:val="002060"/>
          <w:sz w:val="16"/>
          <w:szCs w:val="16"/>
        </w:rPr>
        <w:t xml:space="preserve">1915 г. </w:t>
      </w:r>
      <w:r w:rsidR="009E6F82" w:rsidRPr="00405303">
        <w:rPr>
          <w:bCs/>
          <w:color w:val="002060"/>
          <w:sz w:val="16"/>
          <w:szCs w:val="16"/>
        </w:rPr>
        <w:t>Главное управление Генерального штаба (ГУГШ) решило сформировать еще 25 мотоциклетных от</w:t>
      </w:r>
      <w:r w:rsidR="009E6F82" w:rsidRPr="00405303">
        <w:rPr>
          <w:bCs/>
          <w:color w:val="002060"/>
          <w:sz w:val="16"/>
          <w:szCs w:val="16"/>
        </w:rPr>
        <w:softHyphen/>
        <w:t>делений (номера с 21 по 45). Мотоциклами снабжали и другие во</w:t>
      </w:r>
      <w:r w:rsidR="009E6F82" w:rsidRPr="00405303">
        <w:rPr>
          <w:bCs/>
          <w:color w:val="002060"/>
          <w:sz w:val="16"/>
          <w:szCs w:val="16"/>
        </w:rPr>
        <w:softHyphen/>
        <w:t>инские подразделения. Например, автомобильным частям - по пять единиц каждой. Весной 1915 г. Верховный Главнокоманду</w:t>
      </w:r>
      <w:r w:rsidR="009E6F82" w:rsidRPr="00405303">
        <w:rPr>
          <w:bCs/>
          <w:color w:val="002060"/>
          <w:sz w:val="16"/>
          <w:szCs w:val="16"/>
        </w:rPr>
        <w:softHyphen/>
        <w:t>ющий утвердил формирование армейских мотоциклетных ко</w:t>
      </w:r>
      <w:r w:rsidR="009E6F82" w:rsidRPr="00405303">
        <w:rPr>
          <w:bCs/>
          <w:color w:val="002060"/>
          <w:sz w:val="16"/>
          <w:szCs w:val="16"/>
        </w:rPr>
        <w:softHyphen/>
        <w:t>манд по 60 мотоциклистов и 64 мотоцикла. Тогда же утвердили табель снабжения мотоциклами штабов. И если к Генштабу при</w:t>
      </w:r>
      <w:r w:rsidR="009E6F82" w:rsidRPr="00405303">
        <w:rPr>
          <w:bCs/>
          <w:color w:val="002060"/>
          <w:sz w:val="16"/>
          <w:szCs w:val="16"/>
        </w:rPr>
        <w:softHyphen/>
        <w:t>писали 10 мотоциклов, то штабу пехотного или стрелкового пол</w:t>
      </w:r>
      <w:r w:rsidR="009E6F82" w:rsidRPr="00405303">
        <w:rPr>
          <w:bCs/>
          <w:color w:val="002060"/>
          <w:sz w:val="16"/>
          <w:szCs w:val="16"/>
        </w:rPr>
        <w:softHyphen/>
        <w:t>ка - всего два. Мотоциклами оснастили все 10 русских крепостей: Ковно, Гродно, Иван-город, Перемышль - по 10, Осовец, Крон</w:t>
      </w:r>
      <w:r w:rsidR="009E6F82" w:rsidRPr="00405303">
        <w:rPr>
          <w:bCs/>
          <w:color w:val="002060"/>
          <w:sz w:val="16"/>
          <w:szCs w:val="16"/>
        </w:rPr>
        <w:softHyphen/>
        <w:t>штадт, Севастополь, Каре - по 8, Выборг и Свеаборг - по 4. ГВТУ усиленно хлопотало об оснащении мотоциклами всех во</w:t>
      </w:r>
      <w:r w:rsidR="009E6F82" w:rsidRPr="00405303">
        <w:rPr>
          <w:bCs/>
          <w:color w:val="002060"/>
          <w:sz w:val="16"/>
          <w:szCs w:val="16"/>
        </w:rPr>
        <w:softHyphen/>
        <w:t>инских подразделений, в особенности новых мотоциклетных от</w:t>
      </w:r>
      <w:r w:rsidR="009E6F82" w:rsidRPr="00405303">
        <w:rPr>
          <w:bCs/>
          <w:color w:val="002060"/>
          <w:sz w:val="16"/>
          <w:szCs w:val="16"/>
        </w:rPr>
        <w:softHyphen/>
        <w:t>делений [2.28].</w:t>
      </w:r>
    </w:p>
    <w:p w14:paraId="14A2FFC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Приобретение мотоциклов для Русской Армии началось в ав</w:t>
      </w:r>
      <w:r w:rsidRPr="00405303">
        <w:rPr>
          <w:bCs/>
          <w:color w:val="002060"/>
          <w:sz w:val="16"/>
          <w:szCs w:val="16"/>
        </w:rPr>
        <w:softHyphen/>
        <w:t>густе 1914 г. Председатель особой комиссии и начальник ВАШ, полковник П.И. Секретов, дал оценку объёма первой партии мо</w:t>
      </w:r>
      <w:r w:rsidRPr="00405303">
        <w:rPr>
          <w:bCs/>
          <w:color w:val="002060"/>
          <w:sz w:val="16"/>
          <w:szCs w:val="16"/>
        </w:rPr>
        <w:softHyphen/>
        <w:t>тоциклов: следовало срочно приобрести 3 тыс. мотоциклов и 455 боковых колясок к ним. ГВТУ составило смету на приобретение этой техники [2.29]. 30 августа 1914 г. Военный Совет разрешил её приобретение. На том же заседании решили развернуть 12 ма</w:t>
      </w:r>
      <w:r w:rsidRPr="00405303">
        <w:rPr>
          <w:bCs/>
          <w:color w:val="002060"/>
          <w:sz w:val="16"/>
          <w:szCs w:val="16"/>
        </w:rPr>
        <w:softHyphen/>
        <w:t>стерских для ремонта мотоциклов [2.30].</w:t>
      </w:r>
    </w:p>
    <w:p w14:paraId="4C3A404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Заказ на первую партию - 3 тыс. мотоциклов - разделили по</w:t>
      </w:r>
      <w:r w:rsidRPr="00405303">
        <w:rPr>
          <w:bCs/>
          <w:color w:val="002060"/>
          <w:sz w:val="16"/>
          <w:szCs w:val="16"/>
        </w:rPr>
        <w:softHyphen/>
        <w:t>ровну между США и Великобританией и поручили шести фирмам, из них четырем английским [2.31]. В дальнейшем приобретение мотоциклов значительно расширили. О желании участвовать в этой деятельности заявили многие фирмы, посредники и частные лица, но первым выразил готовность представитель американ</w:t>
      </w:r>
      <w:r w:rsidRPr="00405303">
        <w:rPr>
          <w:bCs/>
          <w:color w:val="002060"/>
          <w:sz w:val="16"/>
          <w:szCs w:val="16"/>
        </w:rPr>
        <w:softHyphen/>
        <w:t>ской фирмы «Харлей-Дэвидсон», причём, на вполне приемлемых условиях: 100 шт. - немедленно, а через две недели - по 100 шт. еженедельно [2.32]. К тому времени выяснилось, что наиболее подходящим для русского театра военных действий оказался са</w:t>
      </w:r>
      <w:r w:rsidRPr="00405303">
        <w:rPr>
          <w:bCs/>
          <w:color w:val="002060"/>
          <w:sz w:val="16"/>
          <w:szCs w:val="16"/>
        </w:rPr>
        <w:softHyphen/>
        <w:t>мый мощный из серийно выпускавшихся в тот период мотоцик</w:t>
      </w:r>
      <w:r w:rsidRPr="00405303">
        <w:rPr>
          <w:bCs/>
          <w:color w:val="002060"/>
          <w:sz w:val="16"/>
          <w:szCs w:val="16"/>
        </w:rPr>
        <w:softHyphen/>
        <w:t>лов - фирмы «Индиан». То были машины заводских марок С-1, С-2, С-3, причём, каждая - с У-образным двухцилиндровым дви</w:t>
      </w:r>
      <w:r w:rsidRPr="00405303">
        <w:rPr>
          <w:bCs/>
          <w:color w:val="002060"/>
          <w:sz w:val="16"/>
          <w:szCs w:val="16"/>
        </w:rPr>
        <w:softHyphen/>
        <w:t>гателем мощностью 7 л.с. [2.31]. Этого следовало ожидать, ведь именно такие машины оказались лучшими в первом испытатель</w:t>
      </w:r>
      <w:r w:rsidRPr="00405303">
        <w:rPr>
          <w:bCs/>
          <w:color w:val="002060"/>
          <w:sz w:val="16"/>
          <w:szCs w:val="16"/>
        </w:rPr>
        <w:softHyphen/>
        <w:t>ном мотопробеге, организованном ГВТУ в 1914 г. [2.23, 2.24].</w:t>
      </w:r>
    </w:p>
    <w:p w14:paraId="71C0508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Технический комитет Военного ведомства сформулировал технические требования (ТТ), предъявляемые </w:t>
      </w:r>
      <w:proofErr w:type="gramStart"/>
      <w:r w:rsidRPr="00405303">
        <w:rPr>
          <w:bCs/>
          <w:color w:val="002060"/>
          <w:sz w:val="16"/>
          <w:szCs w:val="16"/>
        </w:rPr>
        <w:t>к импортным мо</w:t>
      </w:r>
      <w:r w:rsidRPr="00405303">
        <w:rPr>
          <w:bCs/>
          <w:color w:val="002060"/>
          <w:sz w:val="16"/>
          <w:szCs w:val="16"/>
        </w:rPr>
        <w:softHyphen/>
        <w:t>тоциклам</w:t>
      </w:r>
      <w:proofErr w:type="gramEnd"/>
      <w:r w:rsidRPr="00405303">
        <w:rPr>
          <w:bCs/>
          <w:color w:val="002060"/>
          <w:sz w:val="16"/>
          <w:szCs w:val="16"/>
        </w:rPr>
        <w:t xml:space="preserve"> и запретил установку на коляску мотоцикла пулемёта и стрельбу из него во время движения. На мотоциклах разрешалась только раздельная транспортировка пулемётов либо до 5 тыс. пу</w:t>
      </w:r>
      <w:r w:rsidRPr="00405303">
        <w:rPr>
          <w:bCs/>
          <w:color w:val="002060"/>
          <w:sz w:val="16"/>
          <w:szCs w:val="16"/>
        </w:rPr>
        <w:softHyphen/>
        <w:t>лемётных патронов [2.33]. Этот запрет задерживал прогресс веде</w:t>
      </w:r>
      <w:r w:rsidRPr="00405303">
        <w:rPr>
          <w:bCs/>
          <w:color w:val="002060"/>
          <w:sz w:val="16"/>
          <w:szCs w:val="16"/>
        </w:rPr>
        <w:softHyphen/>
        <w:t>ния боя в русской армии и нередко нарушался, чему способство</w:t>
      </w:r>
      <w:r w:rsidRPr="00405303">
        <w:rPr>
          <w:bCs/>
          <w:color w:val="002060"/>
          <w:sz w:val="16"/>
          <w:szCs w:val="16"/>
        </w:rPr>
        <w:softHyphen/>
        <w:t>вали примеры как противника, так и союзников. Германские под</w:t>
      </w:r>
      <w:r w:rsidRPr="00405303">
        <w:rPr>
          <w:bCs/>
          <w:color w:val="002060"/>
          <w:sz w:val="16"/>
          <w:szCs w:val="16"/>
        </w:rPr>
        <w:softHyphen/>
        <w:t>разделения нередко наступали при огневой поддержке мотоцик</w:t>
      </w:r>
      <w:r w:rsidRPr="00405303">
        <w:rPr>
          <w:bCs/>
          <w:color w:val="002060"/>
          <w:sz w:val="16"/>
          <w:szCs w:val="16"/>
        </w:rPr>
        <w:softHyphen/>
        <w:t>лов «N511 8 Р5» с боковым прицепом, оснащённым станковым пу</w:t>
      </w:r>
      <w:r w:rsidRPr="00405303">
        <w:rPr>
          <w:bCs/>
          <w:color w:val="002060"/>
          <w:sz w:val="16"/>
          <w:szCs w:val="16"/>
        </w:rPr>
        <w:softHyphen/>
        <w:t>лемётом, а союзные - с французскими мотоциклами «С1етеп1 М11е1агу» и английскими - «С1упо МПеШгу», с установленными в коляске пулемётами типа «Максим», приспособленными для стрельбы на ходу и защитными бронелистами [2.5]. Сведений об использовании подобных мотоциклов в русской армии не об</w:t>
      </w:r>
      <w:r w:rsidRPr="00405303">
        <w:rPr>
          <w:bCs/>
          <w:color w:val="002060"/>
          <w:sz w:val="16"/>
          <w:szCs w:val="16"/>
        </w:rPr>
        <w:softHyphen/>
        <w:t>наружено (11429).</w:t>
      </w:r>
    </w:p>
    <w:p w14:paraId="79DE7DD2" w14:textId="77777777" w:rsidR="004B4E35" w:rsidRPr="00405303" w:rsidRDefault="004B4E35" w:rsidP="00C15251">
      <w:pPr>
        <w:shd w:val="clear" w:color="auto" w:fill="FFFFFF"/>
        <w:jc w:val="both"/>
        <w:rPr>
          <w:bCs/>
          <w:color w:val="002060"/>
          <w:sz w:val="16"/>
          <w:szCs w:val="16"/>
        </w:rPr>
      </w:pPr>
    </w:p>
    <w:p w14:paraId="678DCA69" w14:textId="77777777" w:rsidR="00D42D7C" w:rsidRPr="00405303" w:rsidRDefault="00D42D7C" w:rsidP="00C15251">
      <w:pPr>
        <w:jc w:val="both"/>
        <w:rPr>
          <w:bCs/>
          <w:i/>
          <w:color w:val="002060"/>
          <w:sz w:val="16"/>
          <w:szCs w:val="16"/>
        </w:rPr>
      </w:pPr>
      <w:r w:rsidRPr="00405303">
        <w:rPr>
          <w:bCs/>
          <w:i/>
          <w:color w:val="002060"/>
          <w:sz w:val="16"/>
          <w:szCs w:val="16"/>
        </w:rPr>
        <w:t>Жизнь и внутренняя политика:</w:t>
      </w:r>
    </w:p>
    <w:p w14:paraId="459B185A" w14:textId="77777777" w:rsidR="00D42D7C" w:rsidRPr="00405303" w:rsidRDefault="00D42D7C" w:rsidP="00C15251">
      <w:pPr>
        <w:jc w:val="both"/>
        <w:rPr>
          <w:bCs/>
          <w:i/>
          <w:color w:val="002060"/>
          <w:sz w:val="16"/>
          <w:szCs w:val="16"/>
        </w:rPr>
      </w:pPr>
    </w:p>
    <w:p w14:paraId="6A021859" w14:textId="77777777" w:rsidR="00D42D7C" w:rsidRPr="00405303" w:rsidRDefault="00D42D7C" w:rsidP="00C15251">
      <w:pPr>
        <w:pStyle w:val="p1"/>
        <w:spacing w:before="0" w:beforeAutospacing="0" w:after="0" w:afterAutospacing="0"/>
        <w:jc w:val="both"/>
        <w:rPr>
          <w:bCs/>
          <w:color w:val="002060"/>
          <w:sz w:val="16"/>
          <w:szCs w:val="16"/>
        </w:rPr>
      </w:pPr>
      <w:r w:rsidRPr="00405303">
        <w:rPr>
          <w:bCs/>
          <w:color w:val="002060"/>
          <w:sz w:val="16"/>
          <w:szCs w:val="16"/>
        </w:rPr>
        <w:t>В мае 1915 г. великие князья Николай Николаевич и Сергей Михайлович, возглавлявшие операции на фронте и артиллерийское снабжение в тылу, предприняли крупный политический маневр.</w:t>
      </w:r>
    </w:p>
    <w:p w14:paraId="6D6CFE7F" w14:textId="77777777" w:rsidR="00D42D7C" w:rsidRPr="00405303" w:rsidRDefault="00D42D7C" w:rsidP="00C15251">
      <w:pPr>
        <w:pStyle w:val="p1"/>
        <w:spacing w:before="0" w:beforeAutospacing="0" w:after="0" w:afterAutospacing="0"/>
        <w:jc w:val="both"/>
        <w:rPr>
          <w:bCs/>
          <w:color w:val="002060"/>
          <w:sz w:val="16"/>
          <w:szCs w:val="16"/>
        </w:rPr>
      </w:pPr>
      <w:r w:rsidRPr="00405303">
        <w:rPr>
          <w:bCs/>
          <w:color w:val="002060"/>
          <w:sz w:val="16"/>
          <w:szCs w:val="16"/>
        </w:rPr>
        <w:t>В расчете выгородить себя, удобных подставных фигур они нашли в лице вождей цензовой «общественности»: нужно было лишь вынудить их «не только критиковать, но и активно действовать», а для этого допустить «общественных деятелей», представителей легальной оппозиции к делам по снабжению армии. «Родзянко так много шумит, пусть же он теперь сам поработает, а участие его снимет у них возможность потом критиковать», — пояснял этот замысел Сухомлинову Янушкевич. «Надо все сделать, чтобы Родзянко и всем членам Думы казалось, что это новое и важное дело, и чтобы они сознавали свою ответственность… Будет польза политическая», — развивал ту же мысль Кривошеий при обсуждении в Совете министров вопроса о включении думцев в состав Особого совещания по обороне. «Это есть только совещание, собранное по соображениям тактического свойства или политического». Или, как сказал Горемыкин, «совещание при военном министре, у коего права, для [дезориентации] общественного мнения».</w:t>
      </w:r>
    </w:p>
    <w:p w14:paraId="096C4B1F" w14:textId="77777777" w:rsidR="00D42D7C" w:rsidRPr="00405303" w:rsidRDefault="00D42D7C" w:rsidP="00C15251">
      <w:pPr>
        <w:pStyle w:val="p1"/>
        <w:spacing w:before="0" w:beforeAutospacing="0" w:after="0" w:afterAutospacing="0"/>
        <w:jc w:val="both"/>
        <w:rPr>
          <w:bCs/>
          <w:color w:val="002060"/>
          <w:sz w:val="16"/>
          <w:szCs w:val="16"/>
        </w:rPr>
      </w:pPr>
      <w:r w:rsidRPr="00405303">
        <w:rPr>
          <w:bCs/>
          <w:color w:val="002060"/>
          <w:sz w:val="16"/>
          <w:szCs w:val="16"/>
        </w:rPr>
        <w:t>К снабжению армии были допущены Земский и Городской союзы, заводчикам разрешено создать независимые от власти военно-промышленные комитеты, депутаты Государственной думы, члены Государственного совета и Центрального военно-промышленного комитета включены в состав Особого совещания по обороне. В этой новой обстановке одним из направлений политической борьбы, правительственной пропаганды становилось разоблачение хищнического поведения предпринимателей, извлекавших — при содействии представителей «общественных организаций» в органах снабжения — невиданные в мирное время прибыли. Одновременно, в августе, в Военном министерстве началась оптимизация денежной отчетности, направленная на искусственное занижение фактических издержек по казенным заводам (18409).</w:t>
      </w:r>
    </w:p>
    <w:p w14:paraId="1A8A96D7" w14:textId="77777777" w:rsidR="00D42D7C" w:rsidRPr="00405303" w:rsidRDefault="00D42D7C" w:rsidP="00C15251">
      <w:pPr>
        <w:pStyle w:val="p1"/>
        <w:spacing w:before="0" w:beforeAutospacing="0" w:after="0" w:afterAutospacing="0"/>
        <w:jc w:val="both"/>
        <w:rPr>
          <w:bCs/>
          <w:color w:val="002060"/>
          <w:sz w:val="16"/>
          <w:szCs w:val="16"/>
        </w:rPr>
      </w:pPr>
    </w:p>
    <w:p w14:paraId="51C980E2"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Внешняя политика:</w:t>
      </w:r>
    </w:p>
    <w:p w14:paraId="3A624295" w14:textId="77777777" w:rsidR="004B4E35" w:rsidRPr="00405303" w:rsidRDefault="004B4E35" w:rsidP="00C15251">
      <w:pPr>
        <w:shd w:val="clear" w:color="auto" w:fill="FFFFFF"/>
        <w:jc w:val="both"/>
        <w:rPr>
          <w:bCs/>
          <w:i/>
          <w:color w:val="002060"/>
          <w:sz w:val="16"/>
          <w:szCs w:val="16"/>
        </w:rPr>
      </w:pPr>
    </w:p>
    <w:p w14:paraId="7FE21763" w14:textId="387E51E5" w:rsidR="004B4E35" w:rsidRPr="00405303" w:rsidRDefault="009E6F82" w:rsidP="00C15251">
      <w:pPr>
        <w:jc w:val="both"/>
        <w:rPr>
          <w:bCs/>
          <w:color w:val="002060"/>
          <w:sz w:val="16"/>
          <w:szCs w:val="16"/>
        </w:rPr>
      </w:pPr>
      <w:r w:rsidRPr="00405303">
        <w:rPr>
          <w:bCs/>
          <w:color w:val="002060"/>
          <w:sz w:val="16"/>
          <w:szCs w:val="16"/>
        </w:rPr>
        <w:t xml:space="preserve">В мае 1915 г., то есть через 6-7 месяцев, завод </w:t>
      </w:r>
      <w:r w:rsidR="00575F6B" w:rsidRPr="00405303">
        <w:rPr>
          <w:bCs/>
          <w:color w:val="002060"/>
          <w:sz w:val="16"/>
          <w:szCs w:val="16"/>
        </w:rPr>
        <w:t xml:space="preserve">du Pont, основанный в октябре 1914 г. на совершенно голом месте, </w:t>
      </w:r>
      <w:r w:rsidRPr="00405303">
        <w:rPr>
          <w:bCs/>
          <w:color w:val="002060"/>
          <w:sz w:val="16"/>
          <w:szCs w:val="16"/>
        </w:rPr>
        <w:t xml:space="preserve">уже выпускал пироксилин и продолжал в то же время расширение. В августе выход пироксилина достиг 14 000 пудов в день. а весной 1916 г. — 28 000 пудов в день. Цифра громадная. Ни один из русских заводов в 1916 г., в период наибольшего напряжения, не давал более 1000-1100 пудов в сутки. </w:t>
      </w:r>
    </w:p>
    <w:p w14:paraId="1FA823E8" w14:textId="77777777" w:rsidR="004B4E35" w:rsidRPr="00405303" w:rsidRDefault="009E6F82" w:rsidP="00C15251">
      <w:pPr>
        <w:jc w:val="both"/>
        <w:rPr>
          <w:bCs/>
          <w:color w:val="002060"/>
          <w:sz w:val="16"/>
          <w:szCs w:val="16"/>
        </w:rPr>
      </w:pPr>
      <w:r w:rsidRPr="00405303">
        <w:rPr>
          <w:bCs/>
          <w:color w:val="002060"/>
          <w:sz w:val="16"/>
          <w:szCs w:val="16"/>
        </w:rPr>
        <w:t xml:space="preserve">Подобно этому фирма Aetne также на голом месте в пять месяцев воздвигла крупный пироксилиновый завод и в шесть месяцев — пороховой. </w:t>
      </w:r>
    </w:p>
    <w:p w14:paraId="10764756" w14:textId="77777777" w:rsidR="004B4E35" w:rsidRPr="00405303" w:rsidRDefault="009E6F82" w:rsidP="00C15251">
      <w:pPr>
        <w:jc w:val="both"/>
        <w:rPr>
          <w:bCs/>
          <w:color w:val="002060"/>
          <w:sz w:val="16"/>
          <w:szCs w:val="16"/>
        </w:rPr>
      </w:pPr>
      <w:r w:rsidRPr="00405303">
        <w:rPr>
          <w:bCs/>
          <w:color w:val="002060"/>
          <w:sz w:val="16"/>
          <w:szCs w:val="16"/>
        </w:rPr>
        <w:t xml:space="preserve">Большую особенность в американских пороховых заводах представляет характер построек и их распланировка. Все постройки делаются из досок и иногда покрываются графитовыми плитками. Кирпич и бетон применялись лишь для фундаментов под здания и машины. В России же дерево как строительный материал в пороховых заводах считается неприемлемым и допускается в виде исключения. Надо отметить, что указанные дощатые постройки практиковались в Америке во всяком климате. </w:t>
      </w:r>
    </w:p>
    <w:p w14:paraId="249B6FBB" w14:textId="77777777" w:rsidR="004B4E35" w:rsidRPr="00405303" w:rsidRDefault="009E6F82" w:rsidP="00C15251">
      <w:pPr>
        <w:jc w:val="both"/>
        <w:rPr>
          <w:bCs/>
          <w:color w:val="002060"/>
          <w:sz w:val="16"/>
          <w:szCs w:val="16"/>
        </w:rPr>
      </w:pPr>
      <w:r w:rsidRPr="00405303">
        <w:rPr>
          <w:bCs/>
          <w:color w:val="002060"/>
          <w:sz w:val="16"/>
          <w:szCs w:val="16"/>
        </w:rPr>
        <w:t xml:space="preserve">Что касается распланировки американских заводов, то между опасными зданиями расстояние в среднем держится около пяти сажен. Хранилища с готовым пироксилином вынесены за ограду завода, но от ограды удалены всего на 12 сажен. Между тем в России полагалось всегда соблюдать между пороховыми зданиями промежуток не менее 25 сажен. Особо опасные здания, например, сушильни, относились сажен за 80 от других зданий и располагались обычно по краю завода, причем окружались высокими земляными валами. В Америке земляные валы не применяются вовсе. </w:t>
      </w:r>
    </w:p>
    <w:p w14:paraId="7A1A2954" w14:textId="77777777" w:rsidR="004B4E35" w:rsidRPr="00405303" w:rsidRDefault="009E6F82" w:rsidP="00C15251">
      <w:pPr>
        <w:jc w:val="both"/>
        <w:rPr>
          <w:bCs/>
          <w:color w:val="002060"/>
          <w:sz w:val="16"/>
          <w:szCs w:val="16"/>
        </w:rPr>
      </w:pPr>
      <w:r w:rsidRPr="00405303">
        <w:rPr>
          <w:bCs/>
          <w:color w:val="002060"/>
          <w:sz w:val="16"/>
          <w:szCs w:val="16"/>
        </w:rPr>
        <w:t xml:space="preserve">По отношению к населенным пунктам пороховые заводы в Америке располагаются без соблюдения каких-либо норм дистанций. Так, например, пироксилиновые заводы фирмы Ноннабо расположены только в 300 шагах от края поселения. Если принять во внимание громадную производительность этих заводов и подсчитать, какое количество горючих и взрывчатых веществ находится одновременно на территории заводов, то легко себе представить, что в случае взрыва на заводе все прилегающие к нему поселения будут уничтожены без остатка. Если так опасно соседство порохового завода, то и обратно, для самого завода не менее опасны непосредственно вокруг завода близлежащие поселения, так как в случае возникновения в них пожара последний может легко перекинуться на завод. </w:t>
      </w:r>
    </w:p>
    <w:p w14:paraId="58B077E5" w14:textId="77777777" w:rsidR="004B4E35" w:rsidRPr="00405303" w:rsidRDefault="009E6F82" w:rsidP="00C15251">
      <w:pPr>
        <w:jc w:val="both"/>
        <w:rPr>
          <w:bCs/>
          <w:color w:val="002060"/>
          <w:sz w:val="16"/>
          <w:szCs w:val="16"/>
        </w:rPr>
      </w:pPr>
      <w:r w:rsidRPr="00405303">
        <w:rPr>
          <w:bCs/>
          <w:color w:val="002060"/>
          <w:sz w:val="16"/>
          <w:szCs w:val="16"/>
        </w:rPr>
        <w:t>Вообще в смысле безопасности американские заводы не проявляют и ничтожной доли той осмотрительности и щепетильности, которые вошли глубоко в традиции русского пороходелия.</w:t>
      </w:r>
    </w:p>
    <w:p w14:paraId="04F47A1D" w14:textId="77777777" w:rsidR="004B4E35" w:rsidRPr="00405303" w:rsidRDefault="009E6F82" w:rsidP="00C15251">
      <w:pPr>
        <w:jc w:val="both"/>
        <w:rPr>
          <w:bCs/>
          <w:color w:val="002060"/>
          <w:sz w:val="16"/>
          <w:szCs w:val="16"/>
        </w:rPr>
      </w:pPr>
      <w:r w:rsidRPr="00405303">
        <w:rPr>
          <w:bCs/>
          <w:color w:val="002060"/>
          <w:sz w:val="16"/>
          <w:szCs w:val="16"/>
        </w:rPr>
        <w:t xml:space="preserve">Выполнение американских заказов по порохам и взрывчатым веществам как в смысле сроков, так и в смысле качества продукции, шло весьма исправно, и здесь не имели места те трения, которые сопровождали заказы на патроны и винтовки. Это обстоятельство объясняется тем, что, с одной стороны, заказ исполнялся фирмой du Pont, которая задолго до Европейской войны изготовляла и пороха, и взрывчатые вещества, а с другой — весьма помогали делу опытные русские приемщики. Нужно указать, что первое время американцы не могли приспособиться к тем техническим требованиям, которые русское военное ведомство предъявляло к заказываемым порохам, и только благодаря деятельной консультации опытных и знающих русских приемщиков (инженер Жуковский и др.) они могли подойти к выполнению этих требований. Что касается вновь возникших пороходельных фирм, то они тоже в достаточной мере легко и исправно справлялись с заказом, так как </w:t>
      </w:r>
      <w:r w:rsidRPr="00405303">
        <w:rPr>
          <w:bCs/>
          <w:color w:val="002060"/>
          <w:sz w:val="16"/>
          <w:szCs w:val="16"/>
        </w:rPr>
        <w:lastRenderedPageBreak/>
        <w:t xml:space="preserve">в Америке до войны существовала хорошо развитая промышленность по изготовлению целлулоидных изделий и искусственной кожи, весьма родственная пороховой промышленности, ибо она оперирует с основным материалом, представляющим ничто иное, как азотный пироксилин. </w:t>
      </w:r>
    </w:p>
    <w:p w14:paraId="31FD6FEC" w14:textId="77777777" w:rsidR="004B4E35" w:rsidRPr="00405303" w:rsidRDefault="009E6F82" w:rsidP="00C15251">
      <w:pPr>
        <w:jc w:val="both"/>
        <w:rPr>
          <w:bCs/>
          <w:color w:val="002060"/>
          <w:sz w:val="16"/>
          <w:szCs w:val="16"/>
        </w:rPr>
      </w:pPr>
      <w:r w:rsidRPr="00405303">
        <w:rPr>
          <w:bCs/>
          <w:color w:val="002060"/>
          <w:sz w:val="16"/>
          <w:szCs w:val="16"/>
        </w:rPr>
        <w:t xml:space="preserve">Надо добавить, что, кроме заказов на пороха и взрывчатые вещества, в Америке размещены были еще значительные заказы на основные пороходельные материалы, а именно: селитру и линтер. </w:t>
      </w:r>
    </w:p>
    <w:p w14:paraId="62BB6BDA" w14:textId="77777777" w:rsidR="004B4E35" w:rsidRPr="00405303" w:rsidRDefault="009E6F82" w:rsidP="00C15251">
      <w:pPr>
        <w:jc w:val="both"/>
        <w:rPr>
          <w:bCs/>
          <w:color w:val="002060"/>
          <w:sz w:val="16"/>
          <w:szCs w:val="16"/>
        </w:rPr>
      </w:pPr>
      <w:r w:rsidRPr="00405303">
        <w:rPr>
          <w:bCs/>
          <w:color w:val="002060"/>
          <w:sz w:val="16"/>
          <w:szCs w:val="16"/>
        </w:rPr>
        <w:t>Порох для полевых пушек, заказанный в Америке, был изготовлен американскими заводами не в форме лент, принятых у нас, а в форме цилиндрического зерна с продольным каналом, принятым для американских порохов. Широкая практика стрельбы этим порохом русской артиллерии позволила хорошо ознакомиться с прекрасными свойствами этого пороха, имеющего большое преимущество перед порохом ленточным. Об этом вопросе будет подробно сказано в своем месте (11329).</w:t>
      </w:r>
    </w:p>
    <w:p w14:paraId="4B257019" w14:textId="77777777" w:rsidR="004B4E35" w:rsidRPr="00405303" w:rsidRDefault="004B4E35" w:rsidP="00C15251">
      <w:pPr>
        <w:shd w:val="clear" w:color="auto" w:fill="FFFFFF"/>
        <w:jc w:val="both"/>
        <w:rPr>
          <w:bCs/>
          <w:i/>
          <w:color w:val="002060"/>
          <w:sz w:val="16"/>
          <w:szCs w:val="16"/>
        </w:rPr>
      </w:pPr>
    </w:p>
    <w:p w14:paraId="764A4A1E"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 и воздухоплавание Германии:</w:t>
      </w:r>
    </w:p>
    <w:p w14:paraId="1B0A5557" w14:textId="77777777" w:rsidR="004B4E35" w:rsidRPr="00405303" w:rsidRDefault="004B4E35" w:rsidP="00C15251">
      <w:pPr>
        <w:pStyle w:val="a3"/>
        <w:jc w:val="both"/>
        <w:rPr>
          <w:bCs/>
          <w:color w:val="002060"/>
          <w:spacing w:val="0"/>
          <w:kern w:val="0"/>
          <w:position w:val="0"/>
          <w:sz w:val="16"/>
          <w:szCs w:val="16"/>
        </w:rPr>
      </w:pPr>
    </w:p>
    <w:p w14:paraId="7678A891" w14:textId="77777777" w:rsidR="004B4E35" w:rsidRPr="00405303" w:rsidRDefault="009E6F82" w:rsidP="00C15251">
      <w:pPr>
        <w:jc w:val="both"/>
        <w:rPr>
          <w:bCs/>
          <w:color w:val="002060"/>
          <w:sz w:val="16"/>
          <w:szCs w:val="16"/>
        </w:rPr>
      </w:pPr>
      <w:r w:rsidRPr="00405303">
        <w:rPr>
          <w:bCs/>
          <w:color w:val="002060"/>
          <w:sz w:val="16"/>
          <w:szCs w:val="16"/>
        </w:rPr>
        <w:t>Начиная с мая 1915 г. на фронт стали поступать германские самолеты, снабженные синхронизатором.</w:t>
      </w:r>
    </w:p>
    <w:p w14:paraId="0DE7CB33" w14:textId="77777777" w:rsidR="004B4E35" w:rsidRPr="00405303" w:rsidRDefault="009E6F82" w:rsidP="00C15251">
      <w:pPr>
        <w:jc w:val="both"/>
        <w:rPr>
          <w:bCs/>
          <w:color w:val="002060"/>
          <w:sz w:val="16"/>
          <w:szCs w:val="16"/>
        </w:rPr>
      </w:pPr>
      <w:r w:rsidRPr="00405303">
        <w:rPr>
          <w:bCs/>
          <w:color w:val="002060"/>
          <w:sz w:val="16"/>
          <w:szCs w:val="16"/>
        </w:rPr>
        <w:t>Вскоре один из таких самолетов был сбит, несмотря на запрет перелетать линию фронта, и секрет синхронизатора стал всеобщим достоянием.</w:t>
      </w:r>
    </w:p>
    <w:p w14:paraId="106B1535" w14:textId="77777777" w:rsidR="004B4E35" w:rsidRPr="00405303" w:rsidRDefault="009E6F82" w:rsidP="00C15251">
      <w:pPr>
        <w:jc w:val="both"/>
        <w:rPr>
          <w:bCs/>
          <w:color w:val="002060"/>
          <w:sz w:val="16"/>
          <w:szCs w:val="16"/>
        </w:rPr>
      </w:pPr>
      <w:r w:rsidRPr="00405303">
        <w:rPr>
          <w:bCs/>
          <w:color w:val="002060"/>
          <w:sz w:val="16"/>
          <w:szCs w:val="16"/>
        </w:rPr>
        <w:t>С этого момента наступает новый поворот в развитии военной авиации. Дифференциация самолетов по боевому назначению отныне становится неизбежной. Выделяются истребительная и штурмовая авиация (11999).</w:t>
      </w:r>
    </w:p>
    <w:p w14:paraId="77195623" w14:textId="77777777" w:rsidR="004B4E35" w:rsidRPr="00405303" w:rsidRDefault="004B4E35" w:rsidP="00C15251">
      <w:pPr>
        <w:jc w:val="both"/>
        <w:rPr>
          <w:bCs/>
          <w:color w:val="002060"/>
          <w:sz w:val="16"/>
          <w:szCs w:val="16"/>
        </w:rPr>
      </w:pPr>
    </w:p>
    <w:p w14:paraId="220A6C49" w14:textId="28009C0B" w:rsidR="004B4E35" w:rsidRPr="00405303" w:rsidRDefault="00575F6B"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мае 1915 года </w:t>
      </w:r>
      <w:r w:rsidRPr="00405303">
        <w:rPr>
          <w:bCs/>
          <w:color w:val="002060"/>
          <w:sz w:val="16"/>
          <w:szCs w:val="16"/>
        </w:rPr>
        <w:t xml:space="preserve">Намерение Антанты предпринять </w:t>
      </w:r>
      <w:r w:rsidR="009E6F82" w:rsidRPr="00405303">
        <w:rPr>
          <w:bCs/>
          <w:color w:val="002060"/>
          <w:sz w:val="16"/>
          <w:szCs w:val="16"/>
        </w:rPr>
        <w:t xml:space="preserve">наступление у Арраса было раскрыто нашими воздухоплаванием и авиацией по усиленной постройке батарейных позиций и дорог, а также по интенсивному железнодорожномудвижению. Чтобы непрерывно осведомлять командование о происходящем, при 6-й армии были сосредоточены самолеты </w:t>
      </w:r>
      <w:r w:rsidR="009E6F82" w:rsidRPr="00405303">
        <w:rPr>
          <w:rFonts w:eastAsia="Times-Roman"/>
          <w:bCs/>
          <w:color w:val="002060"/>
          <w:sz w:val="16"/>
          <w:szCs w:val="16"/>
        </w:rPr>
        <w:t>ｫ</w:t>
      </w:r>
      <w:r w:rsidR="009E6F82" w:rsidRPr="00405303">
        <w:rPr>
          <w:bCs/>
          <w:color w:val="002060"/>
          <w:sz w:val="16"/>
          <w:szCs w:val="16"/>
        </w:rPr>
        <w:t>„</w:t>
      </w:r>
      <w:r w:rsidR="009E6F82" w:rsidRPr="00405303">
        <w:rPr>
          <w:rFonts w:eastAsia="Times-Roman"/>
          <w:bCs/>
          <w:color w:val="002060"/>
          <w:sz w:val="16"/>
          <w:szCs w:val="16"/>
        </w:rPr>
        <w:t>ｻ</w:t>
      </w:r>
      <w:r w:rsidR="009E6F82" w:rsidRPr="00405303">
        <w:rPr>
          <w:bCs/>
          <w:color w:val="002060"/>
          <w:sz w:val="16"/>
          <w:szCs w:val="16"/>
        </w:rPr>
        <w:t xml:space="preserve"> из соседних армий. Им удалось прорвать воздушную оборону противника. Неприятельские бомбардировочные эскадры, производившие вопреки международному праву налеты на Южную Германию, также почувствовали усиление германских воздушных сил, понеся чувствительные потери</w:t>
      </w:r>
      <w:bookmarkStart w:id="151" w:name="_Hlk117621835"/>
      <w:r w:rsidR="009E6F82" w:rsidRPr="00405303">
        <w:rPr>
          <w:bCs/>
          <w:color w:val="002060"/>
          <w:sz w:val="16"/>
          <w:szCs w:val="16"/>
        </w:rPr>
        <w:t xml:space="preserve"> (11282)</w:t>
      </w:r>
      <w:bookmarkEnd w:id="151"/>
      <w:r w:rsidR="009E6F82" w:rsidRPr="00405303">
        <w:rPr>
          <w:bCs/>
          <w:color w:val="002060"/>
          <w:sz w:val="16"/>
          <w:szCs w:val="16"/>
        </w:rPr>
        <w:t>.</w:t>
      </w:r>
    </w:p>
    <w:p w14:paraId="04E8F1D5" w14:textId="77777777" w:rsidR="004B4E35" w:rsidRPr="00405303" w:rsidRDefault="004B4E35" w:rsidP="00C15251">
      <w:pPr>
        <w:jc w:val="both"/>
        <w:rPr>
          <w:bCs/>
          <w:color w:val="002060"/>
          <w:sz w:val="16"/>
          <w:szCs w:val="16"/>
        </w:rPr>
      </w:pPr>
    </w:p>
    <w:p w14:paraId="77922C87" w14:textId="51057DDF" w:rsidR="004B4E35" w:rsidRPr="00405303" w:rsidRDefault="00575F6B"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мае 1915 года каждому германскому корпусу был придан один авиаотряд. Штабу 11-й армии непосредственно была подчинена боевая эскадра, переброшенная в Краков из Восточной Пруссии; она применялась главным образом для разведки и часть ее была выделена в распоряжение 6-го австрийского корпуса. Удалось сделать непрерывную аэрофотосъемку неприятельских позиций, не привлекая внимания русских к пункту прорыва. Донесения летчиков были положены в основу распоряжений об атаке. Удавшийся прорыв повлек за собою передвижение всего восточного фронта. О работе авиации во время последовавших военных действий начальник штаба одного из участвовавших в них корпусов сказал следующее: «армия оказывалась совершенно бессильной, как только наталкивалась на сопротивление. В течение этого времени нам помогали почти исключительно летчики, снабжая нас точными разведывательными сведениями, на основании которых мы принимали все решения. Большинство этих отважных людей погибло</w:t>
      </w:r>
      <w:r w:rsidR="009E6F82" w:rsidRPr="00405303">
        <w:rPr>
          <w:rFonts w:eastAsia="Times-Roman"/>
          <w:bCs/>
          <w:color w:val="002060"/>
          <w:sz w:val="16"/>
          <w:szCs w:val="16"/>
        </w:rPr>
        <w:t>ｻ</w:t>
      </w:r>
      <w:r w:rsidR="009E6F82" w:rsidRPr="00405303">
        <w:rPr>
          <w:rFonts w:eastAsia="Times-Roman"/>
          <w:bCs/>
          <w:color w:val="002060"/>
          <w:sz w:val="16"/>
          <w:szCs w:val="16"/>
        </w:rPr>
        <w:t xml:space="preserve"> (11282)</w:t>
      </w:r>
      <w:r w:rsidR="009E6F82" w:rsidRPr="00405303">
        <w:rPr>
          <w:bCs/>
          <w:color w:val="002060"/>
          <w:sz w:val="16"/>
          <w:szCs w:val="16"/>
        </w:rPr>
        <w:t>.</w:t>
      </w:r>
    </w:p>
    <w:p w14:paraId="3DC32111" w14:textId="77777777" w:rsidR="004B4E35" w:rsidRPr="00405303" w:rsidRDefault="004B4E35" w:rsidP="00C15251">
      <w:pPr>
        <w:jc w:val="both"/>
        <w:rPr>
          <w:bCs/>
          <w:color w:val="002060"/>
          <w:sz w:val="16"/>
          <w:szCs w:val="16"/>
        </w:rPr>
      </w:pPr>
    </w:p>
    <w:p w14:paraId="67D21B86" w14:textId="77777777" w:rsidR="00E47869" w:rsidRPr="00405303" w:rsidRDefault="00E47869" w:rsidP="00C15251">
      <w:pPr>
        <w:jc w:val="both"/>
        <w:rPr>
          <w:bCs/>
          <w:color w:val="002060"/>
          <w:sz w:val="16"/>
          <w:szCs w:val="16"/>
        </w:rPr>
      </w:pPr>
      <w:r w:rsidRPr="00405303">
        <w:rPr>
          <w:bCs/>
          <w:color w:val="002060"/>
          <w:sz w:val="16"/>
          <w:szCs w:val="16"/>
        </w:rPr>
        <w:t>В мае 1915 года «тип G» «Сименс» начал летать, но массовым не стал. «Тип G» имел фюзеляж, за кабиной разделявшийся на две пирамидальные балки, расположенные друг над другом. Два мотора поставили в носу, а винты вывели перед бипланной коробкой (22794).</w:t>
      </w:r>
    </w:p>
    <w:p w14:paraId="0276D653" w14:textId="77777777" w:rsidR="00E47869" w:rsidRPr="00405303" w:rsidRDefault="00E47869" w:rsidP="00C15251">
      <w:pPr>
        <w:jc w:val="both"/>
        <w:rPr>
          <w:bCs/>
          <w:color w:val="002060"/>
          <w:sz w:val="16"/>
          <w:szCs w:val="16"/>
        </w:rPr>
      </w:pPr>
    </w:p>
    <w:p w14:paraId="2408DE2F" w14:textId="77777777" w:rsidR="00E47869" w:rsidRPr="00405303" w:rsidRDefault="00E47869" w:rsidP="00C15251">
      <w:pPr>
        <w:jc w:val="both"/>
        <w:rPr>
          <w:bCs/>
          <w:color w:val="002060"/>
          <w:sz w:val="16"/>
          <w:szCs w:val="16"/>
        </w:rPr>
      </w:pPr>
      <w:r w:rsidRPr="00405303">
        <w:rPr>
          <w:bCs/>
          <w:color w:val="002060"/>
          <w:sz w:val="16"/>
          <w:szCs w:val="16"/>
        </w:rPr>
        <w:t>В мае 1915-го провалились испытания «Магна Эмми» G I фирмы «Юнион», однако фирме позволили сделать и второй опытный экземпляр ее большого бомбардировщика.</w:t>
      </w:r>
    </w:p>
    <w:p w14:paraId="0340751E" w14:textId="77777777" w:rsidR="00E47869" w:rsidRPr="00405303" w:rsidRDefault="00E47869" w:rsidP="00C15251">
      <w:pPr>
        <w:jc w:val="both"/>
        <w:rPr>
          <w:bCs/>
          <w:color w:val="002060"/>
          <w:sz w:val="16"/>
          <w:szCs w:val="16"/>
        </w:rPr>
      </w:pPr>
      <w:r w:rsidRPr="00405303">
        <w:rPr>
          <w:bCs/>
          <w:color w:val="002060"/>
          <w:sz w:val="16"/>
          <w:szCs w:val="16"/>
        </w:rPr>
        <w:t>Это был уже третий авиационный проект предприятия. Первые два легких аэроплана «Юнион» тоже оказались неудачны, хотя были куда проще, и дирекция фирмы благоразумно избавилась от чертежей и тех людей в своих рядах, кто слишком уж рьяно требовал «продолжения банкета». Все это богатство досталось моторостроительному концерну «Даймлер», который сделал еще четыре тяжелых самолета, первоначально обозначенных Даймлер R I и R II как бомбардировщики «гигантские», но затем переквалифицированные в «большие» G I и G II.</w:t>
      </w:r>
    </w:p>
    <w:p w14:paraId="5AD9A151" w14:textId="77777777" w:rsidR="00E47869" w:rsidRPr="00405303" w:rsidRDefault="00E47869" w:rsidP="00C15251">
      <w:pPr>
        <w:jc w:val="both"/>
        <w:rPr>
          <w:bCs/>
          <w:color w:val="002060"/>
          <w:sz w:val="16"/>
          <w:szCs w:val="16"/>
        </w:rPr>
      </w:pPr>
      <w:r w:rsidRPr="00405303">
        <w:rPr>
          <w:bCs/>
          <w:color w:val="002060"/>
          <w:sz w:val="16"/>
          <w:szCs w:val="16"/>
        </w:rPr>
        <w:t>Из построенных двумя фирмами шести самолетов военные приняли три, формально зачислив их в учебные, а на деле они простояли до конца 1917 г., когда их тихо списали (23075).</w:t>
      </w:r>
    </w:p>
    <w:p w14:paraId="6A0E7AB7" w14:textId="77777777" w:rsidR="00E47869" w:rsidRPr="00405303" w:rsidRDefault="00E47869" w:rsidP="00C15251">
      <w:pPr>
        <w:jc w:val="both"/>
        <w:rPr>
          <w:bCs/>
          <w:color w:val="002060"/>
          <w:sz w:val="16"/>
          <w:szCs w:val="16"/>
        </w:rPr>
      </w:pPr>
    </w:p>
    <w:p w14:paraId="1EE0A466" w14:textId="77777777" w:rsidR="00202720" w:rsidRPr="00405303" w:rsidRDefault="00202720" w:rsidP="00C15251">
      <w:pPr>
        <w:jc w:val="both"/>
        <w:rPr>
          <w:bCs/>
          <w:color w:val="002060"/>
          <w:sz w:val="16"/>
          <w:szCs w:val="16"/>
        </w:rPr>
      </w:pPr>
      <w:r w:rsidRPr="00405303">
        <w:rPr>
          <w:bCs/>
          <w:color w:val="002060"/>
          <w:sz w:val="16"/>
          <w:szCs w:val="16"/>
        </w:rPr>
        <w:t>В мае 1915 совершил первый полет SSWR.I братьев Штеффен в Ноймюнстере, май 1915 года (23453).</w:t>
      </w:r>
    </w:p>
    <w:p w14:paraId="2B0F9A7F" w14:textId="77777777" w:rsidR="00202720" w:rsidRPr="00405303" w:rsidRDefault="00202720" w:rsidP="00C15251">
      <w:pPr>
        <w:jc w:val="both"/>
        <w:rPr>
          <w:bCs/>
          <w:color w:val="002060"/>
          <w:sz w:val="16"/>
          <w:szCs w:val="16"/>
          <w:lang w:bidi="ru-RU"/>
        </w:rPr>
      </w:pPr>
    </w:p>
    <w:p w14:paraId="10A6D1E2" w14:textId="77777777" w:rsidR="00202720" w:rsidRPr="00405303" w:rsidRDefault="00202720" w:rsidP="00C15251">
      <w:pPr>
        <w:jc w:val="both"/>
        <w:rPr>
          <w:bCs/>
          <w:color w:val="002060"/>
          <w:sz w:val="16"/>
          <w:szCs w:val="16"/>
        </w:rPr>
      </w:pPr>
      <w:r w:rsidRPr="00405303">
        <w:rPr>
          <w:bCs/>
          <w:color w:val="002060"/>
          <w:sz w:val="16"/>
          <w:szCs w:val="16"/>
        </w:rPr>
        <w:t>В мае 1915 года первым из тяжелых бомбардировщи</w:t>
      </w:r>
      <w:r w:rsidRPr="00405303">
        <w:rPr>
          <w:bCs/>
          <w:color w:val="002060"/>
          <w:sz w:val="16"/>
          <w:szCs w:val="16"/>
        </w:rPr>
        <w:softHyphen/>
        <w:t>ков Siemens-Schuckertwerke (SSW) вышел на ис</w:t>
      </w:r>
      <w:r w:rsidRPr="00405303">
        <w:rPr>
          <w:bCs/>
          <w:color w:val="002060"/>
          <w:sz w:val="16"/>
          <w:szCs w:val="16"/>
        </w:rPr>
        <w:softHyphen/>
        <w:t>пытания самолет Виллехада Форссмана (Villehad Forssman), вошедший в историю как «Forssman R». Аппарат представлял собой большой биплан с четырьмя двигателями «Мерседес» мощ</w:t>
      </w:r>
      <w:r w:rsidRPr="00405303">
        <w:rPr>
          <w:bCs/>
          <w:color w:val="002060"/>
          <w:sz w:val="16"/>
          <w:szCs w:val="16"/>
        </w:rPr>
        <w:softHyphen/>
        <w:t>ностью по 110 л.с., установленными в ряд на нижнем крыле. По своей схеме и даже внешне самолет Форссмана выглядел как копия русского «Ильи Муромца». Это не</w:t>
      </w:r>
      <w:r w:rsidRPr="00405303">
        <w:rPr>
          <w:bCs/>
          <w:color w:val="002060"/>
          <w:sz w:val="16"/>
          <w:szCs w:val="16"/>
        </w:rPr>
        <w:softHyphen/>
        <w:t>удивительно, так как до войны Виллехад Форссман работал в России, участвуя в строительстве дирижаблей для военного ведомства. Копия оказалась совершенно неудачной. На первых же под</w:t>
      </w:r>
      <w:r w:rsidRPr="00405303">
        <w:rPr>
          <w:bCs/>
          <w:color w:val="002060"/>
          <w:sz w:val="16"/>
          <w:szCs w:val="16"/>
        </w:rPr>
        <w:softHyphen/>
        <w:t>летах выявились недостаточная мощность моторов, неправильная центровка и плохая управляемость машины. По сравнению с «Муромцем» Игоря Сикорского самолет Форссмана был перетяжелен более чем на тонну и при этом обладал недостаточной прочностью отдельных узлов. После такой явной неудачи Форссман ушел из фирмы SSW. Позднее братья Штеффен суще</w:t>
      </w:r>
      <w:r w:rsidRPr="00405303">
        <w:rPr>
          <w:bCs/>
          <w:color w:val="002060"/>
          <w:sz w:val="16"/>
          <w:szCs w:val="16"/>
        </w:rPr>
        <w:softHyphen/>
        <w:t>ственно переделали этот самолет, так что он смог выполнить приемо-сдаточный по</w:t>
      </w:r>
      <w:r w:rsidRPr="00405303">
        <w:rPr>
          <w:bCs/>
          <w:color w:val="002060"/>
          <w:sz w:val="16"/>
          <w:szCs w:val="16"/>
        </w:rPr>
        <w:softHyphen/>
        <w:t>лет, и форма SSW передала его военному ведомству. Но больше аппарат Форссмана в воздух не поднимался (23453).</w:t>
      </w:r>
    </w:p>
    <w:p w14:paraId="6ACE731C" w14:textId="77777777" w:rsidR="00202720" w:rsidRPr="00405303" w:rsidRDefault="00202720" w:rsidP="00C15251">
      <w:pPr>
        <w:jc w:val="both"/>
        <w:rPr>
          <w:bCs/>
          <w:color w:val="002060"/>
          <w:sz w:val="16"/>
          <w:szCs w:val="16"/>
          <w:lang w:bidi="ru-RU"/>
        </w:rPr>
      </w:pPr>
    </w:p>
    <w:p w14:paraId="01D863EB"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Франции:</w:t>
      </w:r>
    </w:p>
    <w:p w14:paraId="657DE092" w14:textId="77777777" w:rsidR="004B4E35" w:rsidRPr="00405303" w:rsidRDefault="004B4E35" w:rsidP="00C15251">
      <w:pPr>
        <w:jc w:val="both"/>
        <w:rPr>
          <w:bCs/>
          <w:i/>
          <w:color w:val="002060"/>
          <w:sz w:val="16"/>
          <w:szCs w:val="16"/>
        </w:rPr>
      </w:pPr>
    </w:p>
    <w:p w14:paraId="291D35B5" w14:textId="77777777" w:rsidR="004B4E35" w:rsidRPr="00405303" w:rsidRDefault="009E6F82" w:rsidP="00C15251">
      <w:pPr>
        <w:pStyle w:val="Address"/>
        <w:jc w:val="both"/>
        <w:rPr>
          <w:bCs/>
          <w:i w:val="0"/>
          <w:color w:val="002060"/>
          <w:sz w:val="16"/>
          <w:szCs w:val="16"/>
        </w:rPr>
      </w:pPr>
      <w:r w:rsidRPr="00405303">
        <w:rPr>
          <w:bCs/>
          <w:i w:val="0"/>
          <w:color w:val="002060"/>
          <w:sz w:val="16"/>
          <w:szCs w:val="16"/>
        </w:rPr>
        <w:t xml:space="preserve">В мае 1915 года впервые немцами была установлена высадка спустившихся в этапном районе армии военных шпионов, снабженных почтовыми голубями для посылки донесений. Это были старшие французские офицеры, под штатским платьем носившие французский и немецкий мундиры. Первый — для того, чтобы сойти за военнопленного, а второй - для введения в заблуждение немцев. В 1915 году в руки немцев попало таким образом девять воздушных шпионов, из коих четверо было в форме, и пять аэропланов, а в 1917 году - семь воздушных шпионов и один аэроплан. Обычно каждый такой шпион был снабжен шестью почтовыми голубями. </w:t>
      </w:r>
    </w:p>
    <w:p w14:paraId="60A2241D" w14:textId="77777777" w:rsidR="004B4E35" w:rsidRPr="00405303" w:rsidRDefault="009E6F82" w:rsidP="00C15251">
      <w:pPr>
        <w:pStyle w:val="Address"/>
        <w:jc w:val="both"/>
        <w:rPr>
          <w:bCs/>
          <w:i w:val="0"/>
          <w:color w:val="002060"/>
          <w:sz w:val="16"/>
          <w:szCs w:val="16"/>
        </w:rPr>
      </w:pPr>
      <w:r w:rsidRPr="00405303">
        <w:rPr>
          <w:bCs/>
          <w:i w:val="0"/>
          <w:color w:val="002060"/>
          <w:sz w:val="16"/>
          <w:szCs w:val="16"/>
        </w:rPr>
        <w:t xml:space="preserve">Для относительно свободных сношений воюющих сторон оставались следующие окна - нейтральные страны Дания, Голландия и Швейцария, через которые и шел поток шпионов и их донесений. </w:t>
      </w:r>
    </w:p>
    <w:p w14:paraId="475051B0" w14:textId="77777777" w:rsidR="004B4E35" w:rsidRPr="00405303" w:rsidRDefault="009E6F82" w:rsidP="00C15251">
      <w:pPr>
        <w:pStyle w:val="Address"/>
        <w:jc w:val="both"/>
        <w:rPr>
          <w:bCs/>
          <w:i w:val="0"/>
          <w:color w:val="002060"/>
          <w:sz w:val="16"/>
          <w:szCs w:val="16"/>
        </w:rPr>
      </w:pPr>
      <w:r w:rsidRPr="00405303">
        <w:rPr>
          <w:bCs/>
          <w:i w:val="0"/>
          <w:color w:val="002060"/>
          <w:sz w:val="16"/>
          <w:szCs w:val="16"/>
        </w:rPr>
        <w:t>Путь этот был не только кружен, но и не безопасен со стороны неприятельской контрразведки, особенно при переходе государственных границ. Приходилось поэтому прибегать к техническим средствам для преодоления стены штыков и укреплений в виде аэропланов, воздушных шаров, парашютов, почтовых голубей, радио - для поддержания связи со своими агентами.</w:t>
      </w:r>
    </w:p>
    <w:p w14:paraId="6F5AAF04" w14:textId="77777777" w:rsidR="004B4E35" w:rsidRPr="00405303" w:rsidRDefault="009E6F82" w:rsidP="00C15251">
      <w:pPr>
        <w:pStyle w:val="Address"/>
        <w:jc w:val="both"/>
        <w:rPr>
          <w:bCs/>
          <w:i w:val="0"/>
          <w:color w:val="002060"/>
          <w:sz w:val="16"/>
          <w:szCs w:val="16"/>
        </w:rPr>
      </w:pPr>
      <w:r w:rsidRPr="00405303">
        <w:rPr>
          <w:bCs/>
          <w:i w:val="0"/>
          <w:color w:val="002060"/>
          <w:sz w:val="16"/>
          <w:szCs w:val="16"/>
        </w:rPr>
        <w:t>Значительные потери при спуске принудили наших союзников более целесообразно разрешить этот вопрос: англичан - путем пускания небольших воздушных шаров для свободного полета, а французов - спуском с аэроплана при помощи парашютов. Употребляемые англичанами воздушные шары обладали при диаметре в восемь с половиной метра вместимостью в 310 кубических метров, поднимали одного человека и имели дальность полета до 50 километров. Назначением этих шпионов было не столько посылка донесений, сколько организация разведывательного пункта в тылу германской армии с посылкой донесений в Голландию. (11204).</w:t>
      </w:r>
    </w:p>
    <w:p w14:paraId="04F923BE" w14:textId="77777777" w:rsidR="004B4E35" w:rsidRPr="00405303" w:rsidRDefault="004B4E35" w:rsidP="00C15251">
      <w:pPr>
        <w:pStyle w:val="Address"/>
        <w:jc w:val="both"/>
        <w:rPr>
          <w:bCs/>
          <w:i w:val="0"/>
          <w:color w:val="002060"/>
          <w:sz w:val="16"/>
          <w:szCs w:val="16"/>
        </w:rPr>
      </w:pPr>
    </w:p>
    <w:p w14:paraId="64DCEA17"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Англии:</w:t>
      </w:r>
    </w:p>
    <w:p w14:paraId="0A0D6BCB" w14:textId="77777777" w:rsidR="004B4E35" w:rsidRPr="00405303" w:rsidRDefault="004B4E35" w:rsidP="00C15251">
      <w:pPr>
        <w:jc w:val="both"/>
        <w:rPr>
          <w:bCs/>
          <w:i/>
          <w:color w:val="002060"/>
          <w:sz w:val="16"/>
          <w:szCs w:val="16"/>
        </w:rPr>
      </w:pPr>
    </w:p>
    <w:p w14:paraId="3FED12C1" w14:textId="54E8CB3A" w:rsidR="004B4E35" w:rsidRPr="00405303" w:rsidRDefault="00575F6B" w:rsidP="00C15251">
      <w:pPr>
        <w:jc w:val="both"/>
        <w:rPr>
          <w:bCs/>
          <w:color w:val="002060"/>
          <w:sz w:val="16"/>
          <w:szCs w:val="16"/>
        </w:rPr>
      </w:pPr>
      <w:r w:rsidRPr="00405303">
        <w:rPr>
          <w:bCs/>
          <w:color w:val="002060"/>
          <w:sz w:val="16"/>
          <w:szCs w:val="16"/>
        </w:rPr>
        <w:lastRenderedPageBreak/>
        <w:t>В</w:t>
      </w:r>
      <w:r w:rsidR="009E6F82" w:rsidRPr="00405303">
        <w:rPr>
          <w:bCs/>
          <w:color w:val="002060"/>
          <w:sz w:val="16"/>
          <w:szCs w:val="16"/>
        </w:rPr>
        <w:t xml:space="preserve"> мае 1915 года в Кэпеле и в июле того же года в Поулгейте близ Истборна</w:t>
      </w:r>
      <w:r w:rsidRPr="00405303">
        <w:rPr>
          <w:bCs/>
          <w:color w:val="002060"/>
          <w:sz w:val="16"/>
          <w:szCs w:val="16"/>
        </w:rPr>
        <w:t xml:space="preserve"> были построены воздухоплавательные базы для охраны Ла-Манша, </w:t>
      </w:r>
      <w:r w:rsidR="00F66D76" w:rsidRPr="00405303">
        <w:rPr>
          <w:bCs/>
          <w:color w:val="002060"/>
          <w:sz w:val="16"/>
          <w:szCs w:val="16"/>
        </w:rPr>
        <w:t xml:space="preserve">а также </w:t>
      </w:r>
      <w:r w:rsidRPr="00405303">
        <w:rPr>
          <w:bCs/>
          <w:color w:val="002060"/>
          <w:sz w:val="16"/>
          <w:szCs w:val="16"/>
        </w:rPr>
        <w:t>северн</w:t>
      </w:r>
      <w:r w:rsidR="00F66D76" w:rsidRPr="00405303">
        <w:rPr>
          <w:bCs/>
          <w:color w:val="002060"/>
          <w:sz w:val="16"/>
          <w:szCs w:val="16"/>
        </w:rPr>
        <w:t>ого</w:t>
      </w:r>
      <w:r w:rsidRPr="00405303">
        <w:rPr>
          <w:bCs/>
          <w:color w:val="002060"/>
          <w:sz w:val="16"/>
          <w:szCs w:val="16"/>
        </w:rPr>
        <w:t xml:space="preserve"> и южн</w:t>
      </w:r>
      <w:r w:rsidR="00F66D76" w:rsidRPr="00405303">
        <w:rPr>
          <w:bCs/>
          <w:color w:val="002060"/>
          <w:sz w:val="16"/>
          <w:szCs w:val="16"/>
        </w:rPr>
        <w:t>ого</w:t>
      </w:r>
      <w:r w:rsidRPr="00405303">
        <w:rPr>
          <w:bCs/>
          <w:color w:val="002060"/>
          <w:sz w:val="16"/>
          <w:szCs w:val="16"/>
        </w:rPr>
        <w:t xml:space="preserve"> подход</w:t>
      </w:r>
      <w:r w:rsidR="00F66D76" w:rsidRPr="00405303">
        <w:rPr>
          <w:bCs/>
          <w:color w:val="002060"/>
          <w:sz w:val="16"/>
          <w:szCs w:val="16"/>
        </w:rPr>
        <w:t>ов</w:t>
      </w:r>
      <w:r w:rsidRPr="00405303">
        <w:rPr>
          <w:bCs/>
          <w:color w:val="002060"/>
          <w:sz w:val="16"/>
          <w:szCs w:val="16"/>
        </w:rPr>
        <w:t xml:space="preserve"> к Ирландскому морю</w:t>
      </w:r>
      <w:r w:rsidR="009E6F82" w:rsidRPr="00405303">
        <w:rPr>
          <w:bCs/>
          <w:color w:val="002060"/>
          <w:sz w:val="16"/>
          <w:szCs w:val="16"/>
        </w:rPr>
        <w:t>. Одновременно был построен переносной эллинг в Маркизе во Франции. К концу 1915 года на базе Кэпел в эксплуатации находились 5 дирижаблей, в Поулгейте — 4 и в Маркизе — 1. Для патрулирования Северного пролива в июле 1915 года на западном побережье Англии была построена база в Льюс Бэй. Она начала функционировать в конце года, приняв в свои эллинги 3 дирижабля. На случай непредвиденных обстоятельств на ирландском побережье в Ларне, против Льюс Бэй, был построен переносной эллинг; на острове Англси организована база в сентябре 1915 года, и с этого момента дирижабли стали нести службу. К концу года их стало четыре (11324).</w:t>
      </w:r>
    </w:p>
    <w:p w14:paraId="04F53EF3" w14:textId="77777777" w:rsidR="004B4E35" w:rsidRPr="00405303" w:rsidRDefault="004B4E35" w:rsidP="00C15251">
      <w:pPr>
        <w:jc w:val="both"/>
        <w:rPr>
          <w:bCs/>
          <w:i/>
          <w:color w:val="002060"/>
          <w:sz w:val="16"/>
          <w:szCs w:val="16"/>
        </w:rPr>
      </w:pPr>
    </w:p>
    <w:p w14:paraId="4DE566FD" w14:textId="77777777" w:rsidR="00E47869" w:rsidRPr="00405303" w:rsidRDefault="00E47869" w:rsidP="00C15251">
      <w:pPr>
        <w:jc w:val="both"/>
        <w:rPr>
          <w:bCs/>
          <w:color w:val="002060"/>
          <w:sz w:val="16"/>
          <w:szCs w:val="16"/>
        </w:rPr>
      </w:pPr>
      <w:r w:rsidRPr="00405303">
        <w:rPr>
          <w:bCs/>
          <w:color w:val="002060"/>
          <w:sz w:val="16"/>
          <w:szCs w:val="16"/>
        </w:rPr>
        <w:t>В мае 1915 Британское военное министерство издает инструкции с указанием самолетов и вооружения, которые эскадрильи Королевского летного корпуса должны иметь в готовности для защиты Соединенного Королевства от немецких дирижаблей. Один самолет должен быть всегда готов к немедленному взлету, причем Martinsyde Scout предпочтительнее других самолетов. В инструкции также указывается конкретный состав и количество оружия, которое должен нести самолет, включая бомбы, гранаты и зажигательные дротики (20338).</w:t>
      </w:r>
    </w:p>
    <w:p w14:paraId="74ACE168" w14:textId="77777777" w:rsidR="00E47869" w:rsidRPr="00405303" w:rsidRDefault="00E47869" w:rsidP="00C15251">
      <w:pPr>
        <w:jc w:val="both"/>
        <w:rPr>
          <w:bCs/>
          <w:color w:val="002060"/>
          <w:sz w:val="16"/>
          <w:szCs w:val="16"/>
        </w:rPr>
      </w:pPr>
    </w:p>
    <w:p w14:paraId="27504965" w14:textId="77777777" w:rsidR="00E47869" w:rsidRPr="00405303" w:rsidRDefault="00E47869" w:rsidP="00C15251">
      <w:pPr>
        <w:jc w:val="both"/>
        <w:rPr>
          <w:bCs/>
          <w:color w:val="002060"/>
          <w:sz w:val="16"/>
          <w:szCs w:val="16"/>
        </w:rPr>
      </w:pPr>
      <w:r w:rsidRPr="00405303">
        <w:rPr>
          <w:bCs/>
          <w:color w:val="002060"/>
          <w:sz w:val="16"/>
          <w:szCs w:val="16"/>
        </w:rPr>
        <w:t>В мае 1915 открывается самая старая постоянно действующая база Королевских ВВС, RAF Northolt (на окраине Лондона), как бвзв для 4-й резервной авиационной эскадрильи Королевского летного корпуса (20338).</w:t>
      </w:r>
    </w:p>
    <w:p w14:paraId="4E1C6FD9" w14:textId="77777777" w:rsidR="00E47869" w:rsidRPr="00405303" w:rsidRDefault="00E47869" w:rsidP="00C15251">
      <w:pPr>
        <w:jc w:val="both"/>
        <w:rPr>
          <w:bCs/>
          <w:color w:val="002060"/>
          <w:sz w:val="16"/>
          <w:szCs w:val="16"/>
        </w:rPr>
      </w:pPr>
    </w:p>
    <w:p w14:paraId="4F7C92AB"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за рубежом:</w:t>
      </w:r>
    </w:p>
    <w:p w14:paraId="79139245" w14:textId="77777777" w:rsidR="004B4E35" w:rsidRPr="00405303" w:rsidRDefault="004B4E35" w:rsidP="00C15251">
      <w:pPr>
        <w:jc w:val="both"/>
        <w:rPr>
          <w:bCs/>
          <w:i/>
          <w:color w:val="002060"/>
          <w:sz w:val="16"/>
          <w:szCs w:val="16"/>
        </w:rPr>
      </w:pPr>
    </w:p>
    <w:p w14:paraId="7EDF4D56" w14:textId="77777777" w:rsidR="004B4E35" w:rsidRPr="00405303" w:rsidRDefault="009E6F82" w:rsidP="00C15251">
      <w:pPr>
        <w:jc w:val="both"/>
        <w:rPr>
          <w:bCs/>
          <w:color w:val="002060"/>
          <w:sz w:val="16"/>
          <w:szCs w:val="16"/>
        </w:rPr>
      </w:pPr>
      <w:r w:rsidRPr="00405303">
        <w:rPr>
          <w:bCs/>
          <w:color w:val="002060"/>
          <w:sz w:val="16"/>
          <w:szCs w:val="16"/>
        </w:rPr>
        <w:t xml:space="preserve">В мае 1915 года, в момент вступления в войну, Италия располагала пятью дирижаблями: МЛ, М.2, Р.4, Р.5 и V.I. Еще два дирижабля М.3 и М.4 строились. </w:t>
      </w:r>
    </w:p>
    <w:p w14:paraId="57A6C836" w14:textId="77777777" w:rsidR="004B4E35" w:rsidRPr="00405303" w:rsidRDefault="009E6F82" w:rsidP="00C15251">
      <w:pPr>
        <w:jc w:val="both"/>
        <w:rPr>
          <w:bCs/>
          <w:color w:val="002060"/>
          <w:sz w:val="16"/>
          <w:szCs w:val="16"/>
        </w:rPr>
      </w:pPr>
      <w:r w:rsidRPr="00405303">
        <w:rPr>
          <w:bCs/>
          <w:color w:val="002060"/>
          <w:sz w:val="16"/>
          <w:szCs w:val="16"/>
        </w:rPr>
        <w:t xml:space="preserve">Низкий уровень развития авиации предопределил преимущественное положение дирижаблестроения. Следующий корабль полужесткого типа был спроектирован Энрико Форланини и назван «Леонардо да Винчи I». Дирижабль также имел металлическую арматуру, помещенную снизу оболочки, в ее килевой части. При проектировании дирижабля Форланини стремился к устранению всякой наружной подвески с целью уменьшения лобового сопротивления. Схему общего вида дирижабля «Леонардо да Винчи I» мы приводим ниже. (Сечение дирижабля показано на рисунке справа.) </w:t>
      </w:r>
    </w:p>
    <w:p w14:paraId="345BB614" w14:textId="77777777" w:rsidR="004B4E35" w:rsidRPr="00405303" w:rsidRDefault="009E6F82" w:rsidP="00C15251">
      <w:pPr>
        <w:jc w:val="both"/>
        <w:rPr>
          <w:bCs/>
          <w:color w:val="002060"/>
          <w:sz w:val="16"/>
          <w:szCs w:val="16"/>
        </w:rPr>
      </w:pPr>
      <w:r w:rsidRPr="00405303">
        <w:rPr>
          <w:bCs/>
          <w:color w:val="002060"/>
          <w:sz w:val="16"/>
          <w:szCs w:val="16"/>
        </w:rPr>
        <w:t xml:space="preserve">Металлическая арматура состояла из отдельных, собранных из стальных труб и распорок элементов длиной около 4 м (схематически изображены на внизу справа). Соединение элементов между собой — при помощи фасонных стальных скреплений. Металлическая арматура состояла из: 1) верхней платформы, имевшей в плане овальную форму, которая соответствовала сечению оболочки; 2) вертикальной коробчатой фермы, проходившей вдоль нижнего меридиана оболочки; 3) соединительных тяг. Оболочка дирижабля делилась перегородкой на две части; верхнюю — газовое пространство и нижнюю — баллонет. Длинная гондола прикреплялась непосредственно [348] к коробчатой ферме металлической арматуры. </w:t>
      </w:r>
    </w:p>
    <w:p w14:paraId="3D64FDC6" w14:textId="77777777" w:rsidR="004B4E35" w:rsidRPr="00405303" w:rsidRDefault="009E6F82" w:rsidP="00C15251">
      <w:pPr>
        <w:jc w:val="both"/>
        <w:rPr>
          <w:bCs/>
          <w:color w:val="002060"/>
          <w:sz w:val="16"/>
          <w:szCs w:val="16"/>
        </w:rPr>
      </w:pPr>
      <w:r w:rsidRPr="00405303">
        <w:rPr>
          <w:bCs/>
          <w:color w:val="002060"/>
          <w:sz w:val="16"/>
          <w:szCs w:val="16"/>
        </w:rPr>
        <w:t xml:space="preserve">Гондола была обшита полотном и ближе к корме оболочки переходила в киль. Длина оболочки — 40 м, наибольший диаметр — 14 м. Этот дирижабль, имевший объем 3625 куб. м, при мощности одного мотора «Антуанет» в 50 л. с. развивал скорость 47 км/ч. </w:t>
      </w:r>
    </w:p>
    <w:p w14:paraId="66686CF8" w14:textId="77777777" w:rsidR="004B4E35" w:rsidRPr="00405303" w:rsidRDefault="009E6F82" w:rsidP="00C15251">
      <w:pPr>
        <w:jc w:val="both"/>
        <w:rPr>
          <w:bCs/>
          <w:color w:val="002060"/>
          <w:sz w:val="16"/>
          <w:szCs w:val="16"/>
        </w:rPr>
      </w:pPr>
      <w:r w:rsidRPr="00405303">
        <w:rPr>
          <w:bCs/>
          <w:color w:val="002060"/>
          <w:sz w:val="16"/>
          <w:szCs w:val="16"/>
        </w:rPr>
        <w:t>Наряду с постройкой вышеупомянутых воздушных кораблей до войны были созданы и другие — «Авсония» (1300 куб. м), N.3, «Леонардо да Винчи II» (8000 куб. м) и др. (11324).</w:t>
      </w:r>
    </w:p>
    <w:p w14:paraId="4F295057" w14:textId="77777777" w:rsidR="004B4E35" w:rsidRPr="00405303" w:rsidRDefault="004B4E35" w:rsidP="00C15251">
      <w:pPr>
        <w:jc w:val="both"/>
        <w:rPr>
          <w:bCs/>
          <w:i/>
          <w:color w:val="002060"/>
          <w:sz w:val="16"/>
          <w:szCs w:val="16"/>
        </w:rPr>
      </w:pPr>
    </w:p>
    <w:p w14:paraId="7EFC092C" w14:textId="77777777" w:rsidR="00D42D7C" w:rsidRPr="00405303" w:rsidRDefault="00D42D7C" w:rsidP="00C15251">
      <w:pPr>
        <w:jc w:val="both"/>
        <w:rPr>
          <w:bCs/>
          <w:i/>
          <w:color w:val="002060"/>
          <w:sz w:val="16"/>
          <w:szCs w:val="16"/>
        </w:rPr>
      </w:pPr>
      <w:r w:rsidRPr="00405303">
        <w:rPr>
          <w:bCs/>
          <w:i/>
          <w:color w:val="002060"/>
          <w:sz w:val="16"/>
          <w:szCs w:val="16"/>
        </w:rPr>
        <w:t>За рубежом:</w:t>
      </w:r>
    </w:p>
    <w:p w14:paraId="25F8C895" w14:textId="77777777" w:rsidR="00D42D7C" w:rsidRPr="00405303" w:rsidRDefault="00D42D7C" w:rsidP="00C15251">
      <w:pPr>
        <w:jc w:val="both"/>
        <w:rPr>
          <w:bCs/>
          <w:color w:val="002060"/>
          <w:sz w:val="16"/>
          <w:szCs w:val="16"/>
        </w:rPr>
      </w:pPr>
    </w:p>
    <w:p w14:paraId="5433CFAC" w14:textId="62257683" w:rsidR="00D42D7C" w:rsidRPr="00405303" w:rsidRDefault="00D42D7C" w:rsidP="00C15251">
      <w:pPr>
        <w:jc w:val="both"/>
        <w:rPr>
          <w:bCs/>
          <w:color w:val="002060"/>
          <w:sz w:val="16"/>
          <w:szCs w:val="16"/>
        </w:rPr>
      </w:pPr>
      <w:r w:rsidRPr="00405303">
        <w:rPr>
          <w:bCs/>
          <w:color w:val="002060"/>
          <w:sz w:val="16"/>
          <w:szCs w:val="16"/>
        </w:rPr>
        <w:t>В</w:t>
      </w:r>
      <w:r w:rsidR="000F5756">
        <w:rPr>
          <w:bCs/>
          <w:color w:val="002060"/>
          <w:sz w:val="16"/>
          <w:szCs w:val="16"/>
        </w:rPr>
        <w:t xml:space="preserve"> </w:t>
      </w:r>
      <w:r w:rsidRPr="00405303">
        <w:rPr>
          <w:bCs/>
          <w:color w:val="002060"/>
          <w:sz w:val="16"/>
          <w:szCs w:val="16"/>
        </w:rPr>
        <w:t>мае 1915 г.</w:t>
      </w:r>
      <w:r w:rsidR="000F5756">
        <w:rPr>
          <w:bCs/>
          <w:color w:val="002060"/>
          <w:sz w:val="16"/>
          <w:szCs w:val="16"/>
        </w:rPr>
        <w:t xml:space="preserve"> </w:t>
      </w:r>
      <w:r w:rsidRPr="00405303">
        <w:rPr>
          <w:bCs/>
          <w:color w:val="002060"/>
          <w:sz w:val="16"/>
          <w:szCs w:val="16"/>
        </w:rPr>
        <w:t>в Англии создается Министерство вооружений во главе с Ллойд Джорджем.</w:t>
      </w:r>
      <w:r w:rsidR="000F5756">
        <w:rPr>
          <w:bCs/>
          <w:color w:val="002060"/>
          <w:sz w:val="16"/>
          <w:szCs w:val="16"/>
        </w:rPr>
        <w:t xml:space="preserve"> </w:t>
      </w:r>
      <w:r w:rsidRPr="00405303">
        <w:rPr>
          <w:bCs/>
          <w:color w:val="002060"/>
          <w:sz w:val="16"/>
          <w:szCs w:val="16"/>
        </w:rPr>
        <w:t>К</w:t>
      </w:r>
      <w:r w:rsidR="000F5756">
        <w:rPr>
          <w:bCs/>
          <w:color w:val="002060"/>
          <w:sz w:val="16"/>
          <w:szCs w:val="16"/>
        </w:rPr>
        <w:t xml:space="preserve"> </w:t>
      </w:r>
      <w:r w:rsidRPr="00405303">
        <w:rPr>
          <w:bCs/>
          <w:color w:val="002060"/>
          <w:sz w:val="16"/>
          <w:szCs w:val="16"/>
        </w:rPr>
        <w:t>работе</w:t>
      </w:r>
      <w:r w:rsidR="000F5756">
        <w:rPr>
          <w:bCs/>
          <w:color w:val="002060"/>
          <w:sz w:val="16"/>
          <w:szCs w:val="16"/>
        </w:rPr>
        <w:t xml:space="preserve"> </w:t>
      </w:r>
      <w:r w:rsidRPr="00405303">
        <w:rPr>
          <w:bCs/>
          <w:color w:val="002060"/>
          <w:sz w:val="16"/>
          <w:szCs w:val="16"/>
        </w:rPr>
        <w:t>на нужды фронта привлекаются</w:t>
      </w:r>
      <w:r w:rsidR="000F5756">
        <w:rPr>
          <w:bCs/>
          <w:color w:val="002060"/>
          <w:sz w:val="16"/>
          <w:szCs w:val="16"/>
        </w:rPr>
        <w:t xml:space="preserve"> </w:t>
      </w:r>
      <w:r w:rsidRPr="00405303">
        <w:rPr>
          <w:bCs/>
          <w:color w:val="002060"/>
          <w:sz w:val="16"/>
          <w:szCs w:val="16"/>
        </w:rPr>
        <w:t>4052 промышленных предприятий, строятся десятки новых военных заводов. К концу войны в производстве вооружений, боеприпасов и</w:t>
      </w:r>
      <w:r w:rsidR="000F5756">
        <w:rPr>
          <w:bCs/>
          <w:color w:val="002060"/>
          <w:sz w:val="16"/>
          <w:szCs w:val="16"/>
        </w:rPr>
        <w:t xml:space="preserve"> </w:t>
      </w:r>
      <w:r w:rsidRPr="00405303">
        <w:rPr>
          <w:bCs/>
          <w:color w:val="002060"/>
          <w:sz w:val="16"/>
          <w:szCs w:val="16"/>
        </w:rPr>
        <w:t>военной техники</w:t>
      </w:r>
      <w:r w:rsidR="000F5756">
        <w:rPr>
          <w:bCs/>
          <w:color w:val="002060"/>
          <w:sz w:val="16"/>
          <w:szCs w:val="16"/>
        </w:rPr>
        <w:t xml:space="preserve"> </w:t>
      </w:r>
      <w:r w:rsidRPr="00405303">
        <w:rPr>
          <w:bCs/>
          <w:color w:val="002060"/>
          <w:sz w:val="16"/>
          <w:szCs w:val="16"/>
        </w:rPr>
        <w:t>участвовало</w:t>
      </w:r>
      <w:r w:rsidR="000F5756">
        <w:rPr>
          <w:bCs/>
          <w:color w:val="002060"/>
          <w:sz w:val="16"/>
          <w:szCs w:val="16"/>
        </w:rPr>
        <w:t xml:space="preserve"> </w:t>
      </w:r>
      <w:r w:rsidRPr="00405303">
        <w:rPr>
          <w:bCs/>
          <w:color w:val="002060"/>
          <w:sz w:val="16"/>
          <w:szCs w:val="16"/>
        </w:rPr>
        <w:t>более 2,8</w:t>
      </w:r>
      <w:r w:rsidR="000F5756">
        <w:rPr>
          <w:bCs/>
          <w:color w:val="002060"/>
          <w:sz w:val="16"/>
          <w:szCs w:val="16"/>
        </w:rPr>
        <w:t xml:space="preserve"> </w:t>
      </w:r>
      <w:r w:rsidRPr="00405303">
        <w:rPr>
          <w:bCs/>
          <w:color w:val="002060"/>
          <w:sz w:val="16"/>
          <w:szCs w:val="16"/>
        </w:rPr>
        <w:t>млн.</w:t>
      </w:r>
      <w:r w:rsidR="000F5756">
        <w:rPr>
          <w:bCs/>
          <w:color w:val="002060"/>
          <w:sz w:val="16"/>
          <w:szCs w:val="16"/>
        </w:rPr>
        <w:t xml:space="preserve"> </w:t>
      </w:r>
      <w:r w:rsidRPr="00405303">
        <w:rPr>
          <w:bCs/>
          <w:color w:val="002060"/>
          <w:sz w:val="16"/>
          <w:szCs w:val="16"/>
        </w:rPr>
        <w:t>человек.</w:t>
      </w:r>
      <w:r w:rsidR="000F5756">
        <w:rPr>
          <w:bCs/>
          <w:color w:val="002060"/>
          <w:sz w:val="16"/>
          <w:szCs w:val="16"/>
        </w:rPr>
        <w:t xml:space="preserve"> </w:t>
      </w:r>
      <w:r w:rsidRPr="00405303">
        <w:rPr>
          <w:bCs/>
          <w:color w:val="002060"/>
          <w:sz w:val="16"/>
          <w:szCs w:val="16"/>
        </w:rPr>
        <w:t>К снабжению армии были привлечены доминионы и колонии: Канада, Австралия, Новая Зеландия и др. Только Канада ежемесячно производила до 1,5 млн.</w:t>
      </w:r>
      <w:r w:rsidR="000F5756">
        <w:rPr>
          <w:bCs/>
          <w:color w:val="002060"/>
          <w:sz w:val="16"/>
          <w:szCs w:val="16"/>
        </w:rPr>
        <w:t xml:space="preserve"> </w:t>
      </w:r>
      <w:r w:rsidRPr="00405303">
        <w:rPr>
          <w:bCs/>
          <w:color w:val="002060"/>
          <w:sz w:val="16"/>
          <w:szCs w:val="16"/>
        </w:rPr>
        <w:t>снарядов (18389).</w:t>
      </w:r>
    </w:p>
    <w:p w14:paraId="62B2E7A1" w14:textId="77777777" w:rsidR="00D42D7C" w:rsidRPr="00405303" w:rsidRDefault="00D42D7C" w:rsidP="00C15251">
      <w:pPr>
        <w:jc w:val="both"/>
        <w:rPr>
          <w:bCs/>
          <w:color w:val="002060"/>
          <w:sz w:val="16"/>
          <w:szCs w:val="16"/>
        </w:rPr>
      </w:pPr>
    </w:p>
    <w:p w14:paraId="45B8FA84" w14:textId="590D6D37" w:rsidR="00D55569" w:rsidRPr="00405303" w:rsidRDefault="00D55569" w:rsidP="00C15251">
      <w:pPr>
        <w:pStyle w:val="ae"/>
        <w:spacing w:before="0" w:beforeAutospacing="0" w:after="0" w:afterAutospacing="0"/>
        <w:jc w:val="both"/>
        <w:rPr>
          <w:bCs/>
          <w:color w:val="002060"/>
          <w:sz w:val="16"/>
          <w:szCs w:val="16"/>
        </w:rPr>
      </w:pPr>
      <w:r w:rsidRPr="00405303">
        <w:rPr>
          <w:bCs/>
          <w:color w:val="002060"/>
          <w:sz w:val="16"/>
          <w:szCs w:val="16"/>
        </w:rPr>
        <w:t>В мае 1915 французы (</w:t>
      </w:r>
      <w:r w:rsidRPr="00405303">
        <w:rPr>
          <w:rStyle w:val="af"/>
          <w:rFonts w:eastAsia="Segoe UI"/>
          <w:bCs/>
          <w:color w:val="002060"/>
          <w:sz w:val="16"/>
          <w:szCs w:val="16"/>
        </w:rPr>
        <w:t>битва в Артуа</w:t>
      </w:r>
      <w:r w:rsidRPr="00405303">
        <w:rPr>
          <w:bCs/>
          <w:color w:val="002060"/>
          <w:sz w:val="16"/>
          <w:szCs w:val="16"/>
        </w:rPr>
        <w:t>) и англичане</w:t>
      </w:r>
      <w:r w:rsidR="00DB4D64" w:rsidRPr="00405303">
        <w:rPr>
          <w:bCs/>
          <w:color w:val="002060"/>
          <w:sz w:val="16"/>
          <w:szCs w:val="16"/>
        </w:rPr>
        <w:t xml:space="preserve"> </w:t>
      </w:r>
      <w:r w:rsidRPr="00405303">
        <w:rPr>
          <w:rStyle w:val="af"/>
          <w:rFonts w:eastAsia="Segoe UI"/>
          <w:bCs/>
          <w:color w:val="002060"/>
          <w:sz w:val="16"/>
          <w:szCs w:val="16"/>
        </w:rPr>
        <w:t>(битва под Нев-Шапелем</w:t>
      </w:r>
      <w:r w:rsidRPr="00405303">
        <w:rPr>
          <w:bCs/>
          <w:color w:val="002060"/>
          <w:sz w:val="16"/>
          <w:szCs w:val="16"/>
        </w:rPr>
        <w:t>) провели ряд масштабных наступательных операций, имевших целью уничтожение немецких позиций во Франции. Все операции провалились (20246).</w:t>
      </w:r>
    </w:p>
    <w:p w14:paraId="646F6F72" w14:textId="77777777" w:rsidR="00D55569" w:rsidRPr="00405303" w:rsidRDefault="00D55569" w:rsidP="00C15251">
      <w:pPr>
        <w:pStyle w:val="ae"/>
        <w:spacing w:before="0" w:beforeAutospacing="0" w:after="0" w:afterAutospacing="0"/>
        <w:jc w:val="both"/>
        <w:rPr>
          <w:bCs/>
          <w:color w:val="002060"/>
          <w:sz w:val="16"/>
          <w:szCs w:val="16"/>
        </w:rPr>
      </w:pPr>
      <w:bookmarkStart w:id="152" w:name="k28"/>
      <w:bookmarkEnd w:id="152"/>
    </w:p>
    <w:p w14:paraId="05024E98" w14:textId="47DA0B50"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 xml:space="preserve">С мая 1915 г. </w:t>
      </w:r>
      <w:r w:rsidRPr="00405303">
        <w:rPr>
          <w:rStyle w:val="af"/>
          <w:rFonts w:eastAsia="Segoe UI"/>
          <w:bCs/>
          <w:color w:val="002060"/>
          <w:sz w:val="16"/>
          <w:szCs w:val="16"/>
        </w:rPr>
        <w:t>Фосген</w:t>
      </w:r>
      <w:r w:rsidR="00DB4D64" w:rsidRPr="00405303">
        <w:rPr>
          <w:bCs/>
          <w:color w:val="002060"/>
          <w:sz w:val="16"/>
          <w:szCs w:val="16"/>
        </w:rPr>
        <w:t xml:space="preserve"> </w:t>
      </w:r>
      <w:r w:rsidRPr="00405303">
        <w:rPr>
          <w:bCs/>
          <w:color w:val="002060"/>
          <w:sz w:val="16"/>
          <w:szCs w:val="16"/>
        </w:rPr>
        <w:t>использовался немцами в газобаллонных атаках в смеси с</w:t>
      </w:r>
      <w:r w:rsidR="00DB4D64" w:rsidRPr="00405303">
        <w:rPr>
          <w:bCs/>
          <w:color w:val="002060"/>
          <w:sz w:val="16"/>
          <w:szCs w:val="16"/>
        </w:rPr>
        <w:t xml:space="preserve"> </w:t>
      </w:r>
      <w:r w:rsidRPr="00405303">
        <w:rPr>
          <w:rStyle w:val="af"/>
          <w:rFonts w:eastAsia="Segoe UI"/>
          <w:bCs/>
          <w:color w:val="002060"/>
          <w:sz w:val="16"/>
          <w:szCs w:val="16"/>
        </w:rPr>
        <w:t>хлором</w:t>
      </w:r>
      <w:r w:rsidRPr="00405303">
        <w:rPr>
          <w:bCs/>
          <w:color w:val="002060"/>
          <w:sz w:val="16"/>
          <w:szCs w:val="16"/>
        </w:rPr>
        <w:t>. Его применение преследовало цель преодолеть защитное действие «влажных масок» союзников. В дальнейшем он применялся всеми воюющими сторонами, в основном с помощью химических снарядов. Всего за годы Первой мировой войны его произвели 40 тыс. т.</w:t>
      </w:r>
    </w:p>
    <w:p w14:paraId="448DD6EA" w14:textId="3EE5B296" w:rsidR="0041701F" w:rsidRPr="00405303" w:rsidRDefault="0041701F" w:rsidP="00C15251">
      <w:pPr>
        <w:pStyle w:val="ae"/>
        <w:spacing w:before="0" w:beforeAutospacing="0" w:after="0" w:afterAutospacing="0"/>
        <w:jc w:val="both"/>
        <w:rPr>
          <w:bCs/>
          <w:color w:val="002060"/>
          <w:sz w:val="16"/>
          <w:szCs w:val="16"/>
        </w:rPr>
      </w:pPr>
      <w:r w:rsidRPr="00405303">
        <w:rPr>
          <w:rStyle w:val="af"/>
          <w:rFonts w:eastAsia="Segoe UI"/>
          <w:bCs/>
          <w:color w:val="002060"/>
          <w:sz w:val="16"/>
          <w:szCs w:val="16"/>
        </w:rPr>
        <w:t>Фосген</w:t>
      </w:r>
      <w:r w:rsidR="00DB4D64" w:rsidRPr="00405303">
        <w:rPr>
          <w:bCs/>
          <w:color w:val="002060"/>
          <w:sz w:val="16"/>
          <w:szCs w:val="16"/>
        </w:rPr>
        <w:t xml:space="preserve"> </w:t>
      </w:r>
      <w:r w:rsidRPr="00405303">
        <w:rPr>
          <w:bCs/>
          <w:color w:val="002060"/>
          <w:sz w:val="16"/>
          <w:szCs w:val="16"/>
        </w:rPr>
        <w:t>относился к быстроиспаряющимся («нестойким») веществам. Фосгеновые снаряды применялись тогда, когда предполагалась присутствие крупных сил противника. Их старались обстрелять прежде, чем они успеют надеть противогазовые маски. Если считать, что для надевания маски по нормативам того времени требовалось от 20 с до 4 мин. (если маска лежит в ранце или походной сумке), то отсюда ясно, что для того, чтобы действием фосгена застигнуть противника врасплох, необходим обстрел в продолжение 4 мин. Практически установлено, что для такого обстрела цели, занимающей по фронту 100 м, независимо от расстояния до нее, необходимо выпустить 75-мм снарядов от двухсот до четырехсот, а 155-мм — от 50 до 100 (20246).</w:t>
      </w:r>
    </w:p>
    <w:p w14:paraId="107AA39B" w14:textId="77777777" w:rsidR="0041701F" w:rsidRPr="00405303" w:rsidRDefault="0041701F" w:rsidP="00C15251">
      <w:pPr>
        <w:pStyle w:val="ae"/>
        <w:spacing w:before="0" w:beforeAutospacing="0" w:after="0" w:afterAutospacing="0"/>
        <w:jc w:val="both"/>
        <w:rPr>
          <w:bCs/>
          <w:color w:val="002060"/>
          <w:sz w:val="16"/>
          <w:szCs w:val="16"/>
        </w:rPr>
      </w:pPr>
      <w:r w:rsidRPr="00405303">
        <w:rPr>
          <w:rStyle w:val="af0"/>
          <w:rFonts w:eastAsia="Microsoft Sans Serif"/>
          <w:b w:val="0"/>
          <w:color w:val="002060"/>
          <w:sz w:val="16"/>
          <w:szCs w:val="16"/>
        </w:rPr>
        <w:t>Потери британских войск от шести германских газобаллонных атак смесью хлора с фосгеном за период с декабря 1915 г. по август 1916 г.</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7484"/>
        <w:gridCol w:w="3829"/>
      </w:tblGrid>
      <w:tr w:rsidR="0041701F" w:rsidRPr="00405303" w14:paraId="6C7921A4" w14:textId="77777777" w:rsidTr="00920A70">
        <w:trPr>
          <w:tblCellSpacing w:w="15" w:type="dxa"/>
        </w:trPr>
        <w:tc>
          <w:tcPr>
            <w:tcW w:w="9150" w:type="dxa"/>
            <w:tcBorders>
              <w:top w:val="outset" w:sz="6" w:space="0" w:color="auto"/>
              <w:left w:val="outset" w:sz="6" w:space="0" w:color="auto"/>
              <w:bottom w:val="outset" w:sz="6" w:space="0" w:color="auto"/>
              <w:right w:val="outset" w:sz="6" w:space="0" w:color="auto"/>
            </w:tcBorders>
            <w:hideMark/>
          </w:tcPr>
          <w:p w14:paraId="4BE3278E"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Процент поражения военнослужащих, подвергшихся хлорфосгенной атаке</w:t>
            </w:r>
          </w:p>
        </w:tc>
        <w:tc>
          <w:tcPr>
            <w:tcW w:w="4740" w:type="dxa"/>
            <w:tcBorders>
              <w:top w:val="outset" w:sz="6" w:space="0" w:color="auto"/>
              <w:left w:val="outset" w:sz="6" w:space="0" w:color="auto"/>
              <w:bottom w:val="outset" w:sz="6" w:space="0" w:color="auto"/>
              <w:right w:val="outset" w:sz="6" w:space="0" w:color="auto"/>
            </w:tcBorders>
            <w:hideMark/>
          </w:tcPr>
          <w:p w14:paraId="64715FE8"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4,1 %</w:t>
            </w:r>
          </w:p>
        </w:tc>
      </w:tr>
      <w:tr w:rsidR="0041701F" w:rsidRPr="00405303" w14:paraId="6E112A91" w14:textId="77777777" w:rsidTr="00920A70">
        <w:trPr>
          <w:tblCellSpacing w:w="15" w:type="dxa"/>
        </w:trPr>
        <w:tc>
          <w:tcPr>
            <w:tcW w:w="9150" w:type="dxa"/>
            <w:tcBorders>
              <w:top w:val="outset" w:sz="6" w:space="0" w:color="auto"/>
              <w:left w:val="outset" w:sz="6" w:space="0" w:color="auto"/>
              <w:bottom w:val="outset" w:sz="6" w:space="0" w:color="auto"/>
              <w:right w:val="outset" w:sz="6" w:space="0" w:color="auto"/>
            </w:tcBorders>
            <w:hideMark/>
          </w:tcPr>
          <w:p w14:paraId="7E0C9306"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Процент смертности от газа к общему количеству военнослужащих</w:t>
            </w:r>
          </w:p>
        </w:tc>
        <w:tc>
          <w:tcPr>
            <w:tcW w:w="4740" w:type="dxa"/>
            <w:tcBorders>
              <w:top w:val="outset" w:sz="6" w:space="0" w:color="auto"/>
              <w:left w:val="outset" w:sz="6" w:space="0" w:color="auto"/>
              <w:bottom w:val="outset" w:sz="6" w:space="0" w:color="auto"/>
              <w:right w:val="outset" w:sz="6" w:space="0" w:color="auto"/>
            </w:tcBorders>
            <w:hideMark/>
          </w:tcPr>
          <w:p w14:paraId="43715686"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0,7 %</w:t>
            </w:r>
          </w:p>
        </w:tc>
      </w:tr>
      <w:tr w:rsidR="0041701F" w:rsidRPr="00405303" w14:paraId="7F29DCEC" w14:textId="77777777" w:rsidTr="00920A70">
        <w:trPr>
          <w:tblCellSpacing w:w="15" w:type="dxa"/>
        </w:trPr>
        <w:tc>
          <w:tcPr>
            <w:tcW w:w="9150" w:type="dxa"/>
            <w:tcBorders>
              <w:top w:val="outset" w:sz="6" w:space="0" w:color="auto"/>
              <w:left w:val="outset" w:sz="6" w:space="0" w:color="auto"/>
              <w:bottom w:val="outset" w:sz="6" w:space="0" w:color="auto"/>
              <w:right w:val="outset" w:sz="6" w:space="0" w:color="auto"/>
            </w:tcBorders>
            <w:hideMark/>
          </w:tcPr>
          <w:p w14:paraId="239AFF5A"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Смертность от газа как процент к общему числу отравленных</w:t>
            </w:r>
          </w:p>
        </w:tc>
        <w:tc>
          <w:tcPr>
            <w:tcW w:w="4740" w:type="dxa"/>
            <w:tcBorders>
              <w:top w:val="outset" w:sz="6" w:space="0" w:color="auto"/>
              <w:left w:val="outset" w:sz="6" w:space="0" w:color="auto"/>
              <w:bottom w:val="outset" w:sz="6" w:space="0" w:color="auto"/>
              <w:right w:val="outset" w:sz="6" w:space="0" w:color="auto"/>
            </w:tcBorders>
            <w:hideMark/>
          </w:tcPr>
          <w:p w14:paraId="0C42F125"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23,6 %</w:t>
            </w:r>
          </w:p>
        </w:tc>
      </w:tr>
    </w:tbl>
    <w:p w14:paraId="040D4AB1"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(20246).</w:t>
      </w:r>
    </w:p>
    <w:p w14:paraId="0CF70CA5" w14:textId="77777777" w:rsidR="0041701F" w:rsidRPr="00405303" w:rsidRDefault="0041701F" w:rsidP="00C15251">
      <w:pPr>
        <w:pStyle w:val="ae"/>
        <w:spacing w:before="0" w:beforeAutospacing="0" w:after="0" w:afterAutospacing="0"/>
        <w:jc w:val="both"/>
        <w:rPr>
          <w:bCs/>
          <w:color w:val="002060"/>
          <w:sz w:val="16"/>
          <w:szCs w:val="16"/>
        </w:rPr>
      </w:pPr>
      <w:r w:rsidRPr="00405303">
        <w:rPr>
          <w:rStyle w:val="af0"/>
          <w:rFonts w:eastAsia="Microsoft Sans Serif"/>
          <w:b w:val="0"/>
          <w:color w:val="002060"/>
          <w:sz w:val="16"/>
          <w:szCs w:val="16"/>
        </w:rPr>
        <w:t>Составы и условные наименования смесей ОВ, получивших наибольшее боевое применение в Первую мировую войну</w:t>
      </w:r>
      <w:r w:rsidRPr="00405303">
        <w:rPr>
          <w:bCs/>
          <w:color w:val="002060"/>
          <w:sz w:val="16"/>
          <w:szCs w:val="16"/>
        </w:rPr>
        <w:t>*</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769"/>
        <w:gridCol w:w="1358"/>
        <w:gridCol w:w="4186"/>
      </w:tblGrid>
      <w:tr w:rsidR="0041701F" w:rsidRPr="00405303" w14:paraId="6BB7FC7E" w14:textId="77777777" w:rsidTr="00920A70">
        <w:trPr>
          <w:tblCellSpacing w:w="0" w:type="dxa"/>
        </w:trPr>
        <w:tc>
          <w:tcPr>
            <w:tcW w:w="2550" w:type="pct"/>
            <w:tcBorders>
              <w:top w:val="outset" w:sz="6" w:space="0" w:color="auto"/>
              <w:left w:val="outset" w:sz="6" w:space="0" w:color="auto"/>
              <w:bottom w:val="outset" w:sz="6" w:space="0" w:color="auto"/>
              <w:right w:val="outset" w:sz="6" w:space="0" w:color="auto"/>
            </w:tcBorders>
            <w:vAlign w:val="center"/>
            <w:hideMark/>
          </w:tcPr>
          <w:p w14:paraId="7CACCD16"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Состав</w:t>
            </w:r>
          </w:p>
        </w:tc>
        <w:tc>
          <w:tcPr>
            <w:tcW w:w="600" w:type="pct"/>
            <w:tcBorders>
              <w:top w:val="outset" w:sz="6" w:space="0" w:color="auto"/>
              <w:left w:val="outset" w:sz="6" w:space="0" w:color="auto"/>
              <w:bottom w:val="outset" w:sz="6" w:space="0" w:color="auto"/>
              <w:right w:val="outset" w:sz="6" w:space="0" w:color="auto"/>
            </w:tcBorders>
            <w:vAlign w:val="center"/>
            <w:hideMark/>
          </w:tcPr>
          <w:p w14:paraId="0C44B936"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Наименование</w:t>
            </w:r>
          </w:p>
        </w:tc>
        <w:tc>
          <w:tcPr>
            <w:tcW w:w="1850" w:type="pct"/>
            <w:tcBorders>
              <w:top w:val="outset" w:sz="6" w:space="0" w:color="auto"/>
              <w:left w:val="outset" w:sz="6" w:space="0" w:color="auto"/>
              <w:bottom w:val="outset" w:sz="6" w:space="0" w:color="auto"/>
              <w:right w:val="outset" w:sz="6" w:space="0" w:color="auto"/>
            </w:tcBorders>
            <w:vAlign w:val="center"/>
            <w:hideMark/>
          </w:tcPr>
          <w:p w14:paraId="4381F59A"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Применявшая страна</w:t>
            </w:r>
          </w:p>
        </w:tc>
      </w:tr>
      <w:tr w:rsidR="0041701F" w:rsidRPr="00405303" w14:paraId="4403C52B"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5E6F07"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Бромацетон – 80 %</w:t>
            </w:r>
          </w:p>
          <w:p w14:paraId="1DD61FC2"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Хлорацетон – 20 %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D2281" w14:textId="77777777" w:rsidR="0041701F" w:rsidRPr="00405303" w:rsidRDefault="0041701F" w:rsidP="00C15251">
            <w:pPr>
              <w:pStyle w:val="ae"/>
              <w:spacing w:before="0" w:beforeAutospacing="0" w:after="0" w:afterAutospacing="0"/>
              <w:jc w:val="both"/>
              <w:rPr>
                <w:bCs/>
                <w:color w:val="002060"/>
                <w:sz w:val="16"/>
                <w:szCs w:val="16"/>
              </w:rPr>
            </w:pPr>
            <w:r w:rsidRPr="00405303">
              <w:rPr>
                <w:rStyle w:val="af0"/>
                <w:rFonts w:eastAsia="Microsoft Sans Serif"/>
                <w:b w:val="0"/>
                <w:color w:val="002060"/>
                <w:sz w:val="16"/>
                <w:szCs w:val="16"/>
              </w:rPr>
              <w:t>Мартонит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17E36"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Франция</w:t>
            </w:r>
          </w:p>
        </w:tc>
      </w:tr>
      <w:tr w:rsidR="0041701F" w:rsidRPr="00405303" w14:paraId="37296C12"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AFDD82"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Бромметилэтилкетон – 80%</w:t>
            </w:r>
          </w:p>
          <w:p w14:paraId="78D1AABA"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Хлорметилэтилкетон – 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8F8DFE" w14:textId="77777777" w:rsidR="0041701F" w:rsidRPr="00405303" w:rsidRDefault="0041701F" w:rsidP="00C15251">
            <w:pPr>
              <w:pStyle w:val="ae"/>
              <w:spacing w:before="0" w:beforeAutospacing="0" w:after="0" w:afterAutospacing="0"/>
              <w:jc w:val="both"/>
              <w:rPr>
                <w:bCs/>
                <w:color w:val="002060"/>
                <w:sz w:val="16"/>
                <w:szCs w:val="16"/>
              </w:rPr>
            </w:pPr>
            <w:r w:rsidRPr="00405303">
              <w:rPr>
                <w:rStyle w:val="af0"/>
                <w:rFonts w:eastAsia="Microsoft Sans Serif"/>
                <w:b w:val="0"/>
                <w:color w:val="002060"/>
                <w:sz w:val="16"/>
                <w:szCs w:val="16"/>
              </w:rPr>
              <w:t>Гомомартонит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71CD3"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Франция</w:t>
            </w:r>
          </w:p>
        </w:tc>
      </w:tr>
      <w:tr w:rsidR="0041701F" w:rsidRPr="00405303" w14:paraId="5A8EF91A"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23C8D4"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Хлор (процентный состав менялся)</w:t>
            </w:r>
          </w:p>
          <w:p w14:paraId="36DC4223"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Фосген (процентный состав менялся)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1F961"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8CEB7"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Франция, Германия, Россия, США</w:t>
            </w:r>
          </w:p>
        </w:tc>
      </w:tr>
      <w:tr w:rsidR="0041701F" w:rsidRPr="00405303" w14:paraId="72A28EE4"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F7443F"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Хлор – 70 %</w:t>
            </w:r>
          </w:p>
          <w:p w14:paraId="5E01EAA5"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Хлорпикрин – 30 %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399E8"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40437"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Соединенное Королевство</w:t>
            </w:r>
          </w:p>
        </w:tc>
      </w:tr>
      <w:tr w:rsidR="0041701F" w:rsidRPr="00405303" w14:paraId="52F46587"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50A3A8"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Хлорпикрин – 65 %</w:t>
            </w:r>
          </w:p>
          <w:p w14:paraId="6DA35459"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Сероводород – 35 %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7BEE3"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2DB50"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Соединенное Королевство</w:t>
            </w:r>
          </w:p>
        </w:tc>
      </w:tr>
      <w:tr w:rsidR="0041701F" w:rsidRPr="00405303" w14:paraId="2476A154"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E7C13E"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lastRenderedPageBreak/>
              <w:t>Хлорпикрин – 80 %</w:t>
            </w:r>
          </w:p>
          <w:p w14:paraId="49ED08CB"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Хлорное олово – 20 %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7201A"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73C71"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Франция, Германия, США</w:t>
            </w:r>
          </w:p>
        </w:tc>
      </w:tr>
      <w:tr w:rsidR="0041701F" w:rsidRPr="00405303" w14:paraId="2C090872"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17EB07"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Хлорпикрин – 75 %</w:t>
            </w:r>
          </w:p>
          <w:p w14:paraId="0EA071BE"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Фосген – 25 %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845CA"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A1FF6"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Соединенное Королевство</w:t>
            </w:r>
          </w:p>
        </w:tc>
      </w:tr>
      <w:tr w:rsidR="0041701F" w:rsidRPr="00405303" w14:paraId="689C962F"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95BC5A"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Хлорпикрин – 56 %</w:t>
            </w:r>
          </w:p>
          <w:p w14:paraId="1867B8B7"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Хлористый сульфурил – 44 %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60D3C"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69EF2"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Россия</w:t>
            </w:r>
          </w:p>
        </w:tc>
      </w:tr>
      <w:tr w:rsidR="0041701F" w:rsidRPr="00405303" w14:paraId="5BC49EFF"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3A750B"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Хлорпикрин – 45 %</w:t>
            </w:r>
          </w:p>
          <w:p w14:paraId="0FA91D63"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Хлористый сульфурил – 35 %</w:t>
            </w:r>
          </w:p>
          <w:p w14:paraId="65D91224"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Хлорное олово – 20 %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9CB3D"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6CD09"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Россия</w:t>
            </w:r>
          </w:p>
        </w:tc>
      </w:tr>
      <w:tr w:rsidR="0041701F" w:rsidRPr="00405303" w14:paraId="59F41E4C"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14767A"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Хлорпикрин – 85-90 %</w:t>
            </w:r>
          </w:p>
          <w:p w14:paraId="2911F7FE"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Этилиодацетат – 15-19 %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3A4AA"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0DBFB"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Соединенное Королевство</w:t>
            </w:r>
          </w:p>
        </w:tc>
      </w:tr>
      <w:tr w:rsidR="0041701F" w:rsidRPr="00405303" w14:paraId="18329E40"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3B3BF4"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Иприт – 80 %</w:t>
            </w:r>
          </w:p>
          <w:p w14:paraId="4C77BA29"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Хлорбензол – 20 %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D8B6A"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A3726"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Соединенное Королевство</w:t>
            </w:r>
          </w:p>
        </w:tc>
      </w:tr>
      <w:tr w:rsidR="0041701F" w:rsidRPr="00405303" w14:paraId="6B3FE107"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EDB106"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Этилдихлор арсин – 80 %</w:t>
            </w:r>
          </w:p>
          <w:p w14:paraId="01AD20BB"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Дихлорметиловый эфир – 20 %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D4879"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2400D"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Германия</w:t>
            </w:r>
          </w:p>
        </w:tc>
      </w:tr>
      <w:tr w:rsidR="0041701F" w:rsidRPr="00405303" w14:paraId="7DF7CDE0"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A8AD20"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Дифенилцианарсин – 50 %</w:t>
            </w:r>
          </w:p>
          <w:p w14:paraId="3E066789"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N- этилкарбазол – 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ED47B"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A20C4"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Германия</w:t>
            </w:r>
          </w:p>
        </w:tc>
      </w:tr>
      <w:tr w:rsidR="0041701F" w:rsidRPr="00405303" w14:paraId="2F755755"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A1FFF0"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Этиловый эфир йодуксусной кислоты – 75 %</w:t>
            </w:r>
          </w:p>
          <w:p w14:paraId="2FE473E1"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Этиловый спирт – 25 %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E4279"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8FD96"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Соединенное Королевство</w:t>
            </w:r>
          </w:p>
        </w:tc>
      </w:tr>
      <w:tr w:rsidR="0041701F" w:rsidRPr="00405303" w14:paraId="5A9487F8"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A42AD3"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Иодистый бензил – 70 %</w:t>
            </w:r>
          </w:p>
          <w:p w14:paraId="0C0BBD6B"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Бензол – 30 %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E6067"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5218A"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Италия</w:t>
            </w:r>
          </w:p>
        </w:tc>
      </w:tr>
      <w:tr w:rsidR="0041701F" w:rsidRPr="00405303" w14:paraId="6CFC3A9C"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3110F6"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Фосген – 91 %</w:t>
            </w:r>
          </w:p>
          <w:p w14:paraId="68645501"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Сероуглерод – 5 %</w:t>
            </w:r>
          </w:p>
          <w:p w14:paraId="6C1DE492"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Хлороформ – 4 %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6B3BE"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A5FDC"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Италия</w:t>
            </w:r>
          </w:p>
        </w:tc>
      </w:tr>
      <w:tr w:rsidR="0041701F" w:rsidRPr="00405303" w14:paraId="00A2BB64"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615BA6"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Синильная кислота – 50 %</w:t>
            </w:r>
          </w:p>
          <w:p w14:paraId="6905B536"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Треххлористый мышьяк – 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5C484"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0C502"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Россия</w:t>
            </w:r>
          </w:p>
        </w:tc>
      </w:tr>
      <w:tr w:rsidR="0041701F" w:rsidRPr="00405303" w14:paraId="5C3C4C82"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FBA0C0"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Синильная кислота 50 %</w:t>
            </w:r>
          </w:p>
          <w:p w14:paraId="3952D326"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Хлороформ – 25 %</w:t>
            </w:r>
          </w:p>
          <w:p w14:paraId="397B1F50"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Треххлористый мышьяк – 25 %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D16FB"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769A2"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Соединенное Королевство</w:t>
            </w:r>
          </w:p>
        </w:tc>
      </w:tr>
      <w:tr w:rsidR="0041701F" w:rsidRPr="00405303" w14:paraId="6475FBED"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4FFD35"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Синильная кислота – 50 %</w:t>
            </w:r>
          </w:p>
          <w:p w14:paraId="67B195E5"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Треххлористый мышьяк – 30 %</w:t>
            </w:r>
          </w:p>
          <w:p w14:paraId="22D06283"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Хлорное олово – 15 %</w:t>
            </w:r>
          </w:p>
          <w:p w14:paraId="2F5FF9C8"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Хлороформ – 5 %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E3E5B" w14:textId="7A8B902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w:t>
            </w:r>
            <w:r w:rsidR="00DB4D64" w:rsidRPr="00405303">
              <w:rPr>
                <w:bCs/>
                <w:color w:val="002060"/>
                <w:sz w:val="16"/>
                <w:szCs w:val="16"/>
              </w:rPr>
              <w:t xml:space="preserve"> </w:t>
            </w:r>
            <w:r w:rsidRPr="00405303">
              <w:rPr>
                <w:rStyle w:val="af0"/>
                <w:rFonts w:eastAsia="Microsoft Sans Serif"/>
                <w:b w:val="0"/>
                <w:color w:val="002060"/>
                <w:sz w:val="16"/>
                <w:szCs w:val="16"/>
              </w:rPr>
              <w:t>Винсеннит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AF497"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Франция, Россия</w:t>
            </w:r>
          </w:p>
        </w:tc>
      </w:tr>
      <w:tr w:rsidR="0041701F" w:rsidRPr="00405303" w14:paraId="72E3D334"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4EA058"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Фосген – 50 %</w:t>
            </w:r>
          </w:p>
          <w:p w14:paraId="6C6A235D"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Треххлористый мышьяк – 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B86FE"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6A0CF"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Соединенное Королевство</w:t>
            </w:r>
          </w:p>
        </w:tc>
      </w:tr>
      <w:tr w:rsidR="0041701F" w:rsidRPr="00405303" w14:paraId="1E23D533"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2A5FF6"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Иприт – 80 %</w:t>
            </w:r>
          </w:p>
          <w:p w14:paraId="59B033C3"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Четыреххлористый углерод – 20 %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EA00C"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ECEE4"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Германия, Соединенное Королевство, Франция, США</w:t>
            </w:r>
          </w:p>
        </w:tc>
      </w:tr>
      <w:tr w:rsidR="0041701F" w:rsidRPr="00405303" w14:paraId="085CFFF8"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B6CD3B"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Фосген – 60 %</w:t>
            </w:r>
          </w:p>
          <w:p w14:paraId="02EC4A1F"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Хлорное олово – 40 %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43A23" w14:textId="6A16423A"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w:t>
            </w:r>
            <w:r w:rsidR="00DB4D64" w:rsidRPr="00405303">
              <w:rPr>
                <w:bCs/>
                <w:color w:val="002060"/>
                <w:sz w:val="16"/>
                <w:szCs w:val="16"/>
              </w:rPr>
              <w:t xml:space="preserve"> </w:t>
            </w:r>
            <w:r w:rsidRPr="00405303">
              <w:rPr>
                <w:rStyle w:val="af0"/>
                <w:rFonts w:eastAsia="Microsoft Sans Serif"/>
                <w:b w:val="0"/>
                <w:color w:val="002060"/>
                <w:sz w:val="16"/>
                <w:szCs w:val="16"/>
              </w:rPr>
              <w:t>Колоньит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7375E"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Соединенное Королевство, Франция,</w:t>
            </w:r>
          </w:p>
          <w:p w14:paraId="7F33FC24"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Россия</w:t>
            </w:r>
          </w:p>
        </w:tc>
      </w:tr>
      <w:tr w:rsidR="0041701F" w:rsidRPr="00405303" w14:paraId="463B19F0"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D48F8D"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Фосген – 60 %</w:t>
            </w:r>
          </w:p>
          <w:p w14:paraId="5F9418D8"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Хлорпикрин – 5 %</w:t>
            </w:r>
          </w:p>
          <w:p w14:paraId="4F8A03CA"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Хлорное олово – 35 %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036BE"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011978"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Россия</w:t>
            </w:r>
          </w:p>
        </w:tc>
      </w:tr>
      <w:tr w:rsidR="0041701F" w:rsidRPr="00405303" w14:paraId="00650BD3"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5EE414"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Метилсульфат – 75 %</w:t>
            </w:r>
          </w:p>
          <w:p w14:paraId="2760AF94"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Хлорметилсульфат – 25 %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C9236" w14:textId="77777777" w:rsidR="0041701F" w:rsidRPr="00405303" w:rsidRDefault="0041701F" w:rsidP="00C15251">
            <w:pPr>
              <w:pStyle w:val="ae"/>
              <w:spacing w:before="0" w:beforeAutospacing="0" w:after="0" w:afterAutospacing="0"/>
              <w:jc w:val="both"/>
              <w:rPr>
                <w:bCs/>
                <w:color w:val="002060"/>
                <w:sz w:val="16"/>
                <w:szCs w:val="16"/>
              </w:rPr>
            </w:pPr>
            <w:r w:rsidRPr="00405303">
              <w:rPr>
                <w:rStyle w:val="af0"/>
                <w:rFonts w:eastAsia="Microsoft Sans Serif"/>
                <w:b w:val="0"/>
                <w:color w:val="002060"/>
                <w:sz w:val="16"/>
                <w:szCs w:val="16"/>
              </w:rPr>
              <w:t>Рационит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20C78"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Франция</w:t>
            </w:r>
          </w:p>
        </w:tc>
      </w:tr>
      <w:tr w:rsidR="0041701F" w:rsidRPr="00405303" w14:paraId="101274BE"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8341EB"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 xml:space="preserve">Бромистый ксилил </w:t>
            </w:r>
            <w:proofErr w:type="gramStart"/>
            <w:r w:rsidRPr="00405303">
              <w:rPr>
                <w:bCs/>
                <w:color w:val="002060"/>
                <w:sz w:val="16"/>
                <w:szCs w:val="16"/>
              </w:rPr>
              <w:t>- ?</w:t>
            </w:r>
            <w:proofErr w:type="gramEnd"/>
          </w:p>
          <w:p w14:paraId="2984AAEB"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 xml:space="preserve">Бромистый ксилилен </w:t>
            </w:r>
            <w:proofErr w:type="gramStart"/>
            <w:r w:rsidRPr="00405303">
              <w:rPr>
                <w:bCs/>
                <w:color w:val="002060"/>
                <w:sz w:val="16"/>
                <w:szCs w:val="16"/>
              </w:rPr>
              <w:t>- ?</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14:paraId="619DB35D" w14:textId="77777777" w:rsidR="0041701F" w:rsidRPr="00405303" w:rsidRDefault="0041701F" w:rsidP="00C15251">
            <w:pPr>
              <w:pStyle w:val="ae"/>
              <w:spacing w:before="0" w:beforeAutospacing="0" w:after="0" w:afterAutospacing="0"/>
              <w:jc w:val="both"/>
              <w:rPr>
                <w:bCs/>
                <w:color w:val="002060"/>
                <w:sz w:val="16"/>
                <w:szCs w:val="16"/>
              </w:rPr>
            </w:pPr>
            <w:r w:rsidRPr="00405303">
              <w:rPr>
                <w:rStyle w:val="af0"/>
                <w:rFonts w:eastAsia="Microsoft Sans Serif"/>
                <w:b w:val="0"/>
                <w:color w:val="002060"/>
                <w:sz w:val="16"/>
                <w:szCs w:val="16"/>
              </w:rPr>
              <w:t>Вещество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6E740"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Германия</w:t>
            </w:r>
          </w:p>
        </w:tc>
      </w:tr>
      <w:tr w:rsidR="0041701F" w:rsidRPr="00405303" w14:paraId="020EA950"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15657B"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 xml:space="preserve">Бромистый ксилил </w:t>
            </w:r>
            <w:proofErr w:type="gramStart"/>
            <w:r w:rsidRPr="00405303">
              <w:rPr>
                <w:bCs/>
                <w:color w:val="002060"/>
                <w:sz w:val="16"/>
                <w:szCs w:val="16"/>
              </w:rPr>
              <w:t>- ?</w:t>
            </w:r>
            <w:proofErr w:type="gramEnd"/>
          </w:p>
          <w:p w14:paraId="62E2EBF5"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 xml:space="preserve">Бромистый ксилилен </w:t>
            </w:r>
            <w:proofErr w:type="gramStart"/>
            <w:r w:rsidRPr="00405303">
              <w:rPr>
                <w:bCs/>
                <w:color w:val="002060"/>
                <w:sz w:val="16"/>
                <w:szCs w:val="16"/>
              </w:rPr>
              <w:t>- ?</w:t>
            </w:r>
            <w:proofErr w:type="gramEnd"/>
          </w:p>
          <w:p w14:paraId="368312C3"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 xml:space="preserve">Неполностью хлорированный метиловый эфир муравьиной кислоты </w:t>
            </w:r>
            <w:proofErr w:type="gramStart"/>
            <w:r w:rsidRPr="00405303">
              <w:rPr>
                <w:bCs/>
                <w:color w:val="002060"/>
                <w:sz w:val="16"/>
                <w:szCs w:val="16"/>
              </w:rPr>
              <w:t>- ?</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14:paraId="5D7386E0" w14:textId="77777777" w:rsidR="0041701F" w:rsidRPr="00405303" w:rsidRDefault="0041701F" w:rsidP="00C15251">
            <w:pPr>
              <w:pStyle w:val="ae"/>
              <w:spacing w:before="0" w:beforeAutospacing="0" w:after="0" w:afterAutospacing="0"/>
              <w:jc w:val="both"/>
              <w:rPr>
                <w:bCs/>
                <w:color w:val="002060"/>
                <w:sz w:val="16"/>
                <w:szCs w:val="16"/>
              </w:rPr>
            </w:pPr>
            <w:r w:rsidRPr="00405303">
              <w:rPr>
                <w:rStyle w:val="af0"/>
                <w:rFonts w:eastAsia="Microsoft Sans Serif"/>
                <w:b w:val="0"/>
                <w:color w:val="002060"/>
                <w:sz w:val="16"/>
                <w:szCs w:val="16"/>
              </w:rPr>
              <w:t>«Т»-зеленый крест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A1685"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Германия</w:t>
            </w:r>
          </w:p>
        </w:tc>
      </w:tr>
    </w:tbl>
    <w:p w14:paraId="07820FFF" w14:textId="77777777" w:rsidR="0041701F" w:rsidRPr="00405303" w:rsidRDefault="0041701F" w:rsidP="00C15251">
      <w:pPr>
        <w:pStyle w:val="ae"/>
        <w:spacing w:before="0" w:beforeAutospacing="0" w:after="0" w:afterAutospacing="0"/>
        <w:jc w:val="both"/>
        <w:rPr>
          <w:bCs/>
          <w:color w:val="002060"/>
          <w:sz w:val="16"/>
          <w:szCs w:val="16"/>
        </w:rPr>
      </w:pPr>
      <w:r w:rsidRPr="00405303">
        <w:rPr>
          <w:bCs/>
          <w:color w:val="002060"/>
          <w:sz w:val="16"/>
          <w:szCs w:val="16"/>
        </w:rPr>
        <w:t>По Ю. Майеру (1927); Р. Ганслиану и Ф. Бергендорфу (1925) (20246).</w:t>
      </w:r>
    </w:p>
    <w:p w14:paraId="23AC6A61" w14:textId="77777777" w:rsidR="0041701F" w:rsidRPr="00405303" w:rsidRDefault="0041701F" w:rsidP="00C15251">
      <w:pPr>
        <w:pStyle w:val="ae"/>
        <w:spacing w:before="0" w:beforeAutospacing="0" w:after="0" w:afterAutospacing="0"/>
        <w:jc w:val="both"/>
        <w:rPr>
          <w:bCs/>
          <w:color w:val="002060"/>
          <w:sz w:val="16"/>
          <w:szCs w:val="16"/>
        </w:rPr>
      </w:pPr>
      <w:bookmarkStart w:id="153" w:name="k29"/>
      <w:bookmarkEnd w:id="153"/>
    </w:p>
    <w:p w14:paraId="046CE5C8" w14:textId="77777777" w:rsidR="004B4E35" w:rsidRPr="00405303" w:rsidRDefault="009E6F82" w:rsidP="00C15251">
      <w:pPr>
        <w:jc w:val="both"/>
        <w:rPr>
          <w:bCs/>
          <w:i/>
          <w:color w:val="002060"/>
          <w:sz w:val="16"/>
          <w:szCs w:val="16"/>
        </w:rPr>
      </w:pPr>
      <w:r w:rsidRPr="00405303">
        <w:rPr>
          <w:bCs/>
          <w:i/>
          <w:color w:val="002060"/>
          <w:sz w:val="16"/>
          <w:szCs w:val="16"/>
        </w:rPr>
        <w:t>Аэростатостроение:</w:t>
      </w:r>
    </w:p>
    <w:p w14:paraId="60B7D869" w14:textId="77777777" w:rsidR="004B4E35" w:rsidRPr="00405303" w:rsidRDefault="004B4E35" w:rsidP="00C15251">
      <w:pPr>
        <w:jc w:val="both"/>
        <w:rPr>
          <w:bCs/>
          <w:i/>
          <w:color w:val="002060"/>
          <w:sz w:val="16"/>
          <w:szCs w:val="16"/>
        </w:rPr>
      </w:pPr>
    </w:p>
    <w:p w14:paraId="07F61B2D" w14:textId="135CBA3C" w:rsidR="004B4E35" w:rsidRPr="00405303" w:rsidRDefault="00F66D76"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мае - июне 1915 г. </w:t>
      </w:r>
      <w:r w:rsidRPr="00405303">
        <w:rPr>
          <w:bCs/>
          <w:color w:val="002060"/>
          <w:sz w:val="16"/>
          <w:szCs w:val="16"/>
        </w:rPr>
        <w:t xml:space="preserve">лишь дирижабль «Астра» </w:t>
      </w:r>
      <w:r w:rsidR="009E6F82" w:rsidRPr="00405303">
        <w:rPr>
          <w:bCs/>
          <w:color w:val="002060"/>
          <w:sz w:val="16"/>
          <w:szCs w:val="16"/>
        </w:rPr>
        <w:t>выполнил три ночных полета с бомбометанием в расположение германских войск. В этих полетах дирижабль получил много повреждений и в дальнейшем почти не эксплуатировался. Во второй половине июня 1915 г. «Астру» демонтировали. Если в 1911 г. отечественные дирижабли были в состоянии конкурировать с отдельными заграничными управляемыми аэростатами, то через три года они уже значительно уступали зарубежным. Например, построенный в 1913 г. «Альбатрос» не превосходил по своим характеристикам французские дирижабли своего класса, появившиеся еще в 1910 г. Кроме того, как уже отмечалось, за рубежом приобретались не лучшие, а иногда даже выходившие из употребления аппараты. Так, купленный «Parseval XIV» значительно уступал построенному в Германии для своей армии дирижаблю «Parseval XVI». Тем не менее, в проектах и конструкциях дирижаблей отечественной постройки того времени было немало оригинальных технических решений, предложенных и реализованных намного раньше, чем на зарубежных управляемых аэростатах, и получивших широкое распространение на дальнейших этапах развития дирижаблестроения.</w:t>
      </w:r>
    </w:p>
    <w:p w14:paraId="077D3776" w14:textId="77777777" w:rsidR="004B4E35" w:rsidRPr="00405303" w:rsidRDefault="004B4E35" w:rsidP="00C15251">
      <w:pPr>
        <w:jc w:val="both"/>
        <w:rPr>
          <w:bCs/>
          <w:color w:val="002060"/>
          <w:sz w:val="16"/>
          <w:szCs w:val="16"/>
        </w:rPr>
      </w:pPr>
    </w:p>
    <w:p w14:paraId="69C5607D" w14:textId="77777777" w:rsidR="00D42D7C" w:rsidRPr="00405303" w:rsidRDefault="00D42D7C" w:rsidP="00C15251">
      <w:pPr>
        <w:jc w:val="both"/>
        <w:rPr>
          <w:bCs/>
          <w:i/>
          <w:color w:val="002060"/>
          <w:sz w:val="16"/>
          <w:szCs w:val="16"/>
        </w:rPr>
      </w:pPr>
      <w:r w:rsidRPr="00405303">
        <w:rPr>
          <w:bCs/>
          <w:i/>
          <w:color w:val="002060"/>
          <w:sz w:val="16"/>
          <w:szCs w:val="16"/>
        </w:rPr>
        <w:t>Армия:</w:t>
      </w:r>
    </w:p>
    <w:p w14:paraId="54138535" w14:textId="77777777" w:rsidR="00D42D7C" w:rsidRPr="00405303" w:rsidRDefault="00D42D7C" w:rsidP="00C15251">
      <w:pPr>
        <w:jc w:val="both"/>
        <w:rPr>
          <w:bCs/>
          <w:i/>
          <w:color w:val="002060"/>
          <w:sz w:val="16"/>
          <w:szCs w:val="16"/>
        </w:rPr>
      </w:pPr>
    </w:p>
    <w:p w14:paraId="0BEA2E61" w14:textId="77777777" w:rsidR="00D42D7C" w:rsidRPr="00405303" w:rsidRDefault="00D42D7C" w:rsidP="00C15251">
      <w:pPr>
        <w:pStyle w:val="20"/>
        <w:shd w:val="clear" w:color="auto" w:fill="auto"/>
        <w:spacing w:after="0" w:line="240" w:lineRule="auto"/>
        <w:ind w:firstLine="0"/>
        <w:jc w:val="both"/>
        <w:rPr>
          <w:rFonts w:ascii="Times New Roman" w:hAnsi="Times New Roman"/>
          <w:bCs/>
          <w:color w:val="002060"/>
          <w:spacing w:val="0"/>
          <w:sz w:val="16"/>
          <w:szCs w:val="16"/>
        </w:rPr>
      </w:pPr>
      <w:r w:rsidRPr="00405303">
        <w:rPr>
          <w:rFonts w:ascii="Times New Roman" w:hAnsi="Times New Roman"/>
          <w:bCs/>
          <w:color w:val="002060"/>
          <w:spacing w:val="0"/>
          <w:sz w:val="16"/>
          <w:szCs w:val="16"/>
        </w:rPr>
        <w:t xml:space="preserve">Период с мая по сентябрь 1915 года вошел в историю как «Великое отступление», в ходе которого русская армия была вынуждена оставить противнику почти все западные области. Причиной этой военной катастрофы стали отнюдь не ошибки командования, а жесточайший кризис военного снабжения. В популярной истории </w:t>
      </w:r>
      <w:r w:rsidRPr="00405303">
        <w:rPr>
          <w:rFonts w:ascii="Times New Roman" w:hAnsi="Times New Roman"/>
          <w:bCs/>
          <w:color w:val="002060"/>
          <w:spacing w:val="0"/>
          <w:sz w:val="16"/>
          <w:szCs w:val="16"/>
        </w:rPr>
        <w:lastRenderedPageBreak/>
        <w:t>его часто именуют как «снарядный голод», хотя это не совсем так. Как свидетельствуют документы тех лет, на самом деле русской армии не хватало почти всего, что нужно на войне, и в первую очередь — винтовок и патронов (15230).</w:t>
      </w:r>
    </w:p>
    <w:p w14:paraId="3201F6D6" w14:textId="77777777" w:rsidR="00D42D7C" w:rsidRPr="00405303" w:rsidRDefault="00D42D7C" w:rsidP="00C15251">
      <w:pPr>
        <w:pStyle w:val="20"/>
        <w:shd w:val="clear" w:color="auto" w:fill="auto"/>
        <w:spacing w:after="0" w:line="240" w:lineRule="auto"/>
        <w:ind w:firstLine="0"/>
        <w:jc w:val="both"/>
        <w:rPr>
          <w:rFonts w:ascii="Times New Roman" w:hAnsi="Times New Roman"/>
          <w:bCs/>
          <w:color w:val="002060"/>
          <w:spacing w:val="0"/>
          <w:sz w:val="16"/>
          <w:szCs w:val="16"/>
        </w:rPr>
      </w:pPr>
    </w:p>
    <w:p w14:paraId="38BD490C" w14:textId="77777777" w:rsidR="00F96AFA" w:rsidRPr="00405303" w:rsidRDefault="00F96AFA" w:rsidP="00C15251">
      <w:pPr>
        <w:jc w:val="both"/>
        <w:rPr>
          <w:bCs/>
          <w:color w:val="002060"/>
          <w:sz w:val="16"/>
          <w:szCs w:val="16"/>
        </w:rPr>
      </w:pPr>
      <w:r w:rsidRPr="00405303">
        <w:rPr>
          <w:bCs/>
          <w:color w:val="002060"/>
          <w:sz w:val="16"/>
          <w:szCs w:val="16"/>
        </w:rPr>
        <w:t>С мая по октябрь 1915 г. 111-й корабль тогоже полка</w:t>
      </w:r>
      <w:r w:rsidRPr="00405303">
        <w:rPr>
          <w:bCs/>
          <w:i/>
          <w:color w:val="002060"/>
          <w:sz w:val="16"/>
          <w:szCs w:val="16"/>
        </w:rPr>
        <w:t>, что</w:t>
      </w:r>
      <w:r w:rsidRPr="00405303">
        <w:rPr>
          <w:bCs/>
          <w:color w:val="002060"/>
          <w:sz w:val="16"/>
          <w:szCs w:val="16"/>
        </w:rPr>
        <w:t xml:space="preserve"> и "Киевский"</w:t>
      </w:r>
      <w:r w:rsidRPr="00405303">
        <w:rPr>
          <w:bCs/>
          <w:i/>
          <w:color w:val="002060"/>
          <w:sz w:val="16"/>
          <w:szCs w:val="16"/>
        </w:rPr>
        <w:t xml:space="preserve">, </w:t>
      </w:r>
      <w:r w:rsidRPr="00405303">
        <w:rPr>
          <w:bCs/>
          <w:color w:val="002060"/>
          <w:sz w:val="16"/>
          <w:szCs w:val="16"/>
        </w:rPr>
        <w:t>более 30 полетов, часто проникая на территорию врага на глубину до 190 верст. 2 ноября 1915 г. был потерян один из лучших кораблей Эскадры. Штабс-капитан Озерский, желая увеличить скорость "Муромца", приказал снять добавочные рули, чем уменьшил устойчивость аппарата. Это и стало причиной гибели экипажа. В своем последнем вылете во время бомбометания III-й корабль попал под силь</w:t>
      </w:r>
      <w:proofErr w:type="gramStart"/>
      <w:r w:rsidRPr="00405303">
        <w:rPr>
          <w:bCs/>
          <w:color w:val="002060"/>
          <w:sz w:val="16"/>
          <w:szCs w:val="16"/>
        </w:rPr>
        <w:t>- .</w:t>
      </w:r>
      <w:proofErr w:type="gramEnd"/>
      <w:r w:rsidRPr="00405303">
        <w:rPr>
          <w:bCs/>
          <w:color w:val="002060"/>
          <w:sz w:val="16"/>
          <w:szCs w:val="16"/>
        </w:rPr>
        <w:t xml:space="preserve"> ный огонь многочисленных противоаэропланных батарей. Осколками снарядов были повреждены тросы, ведшие к элеронам (крылышки для устойчивости при поворотах). Заметив плохое действие левого элерона, штабс-капитан Озерский стал поворачивать назад, действуя лишь рулем направления. Снижаясь с высоты 2800 м, аппарат внезапно наклонился на левую сторону и скользнул на крыло. Выравнить аппарат не удалось, он перешел на нос, затем в пологий штопор и упал на нашей территории, причем были убиты штабс-капитан Озерский, подполковник Звегинцев и унтер-офицер Фогт. Поручик Спасов уцелел каким-то чудом, хотя и получил очень тяжелые переломы и повреждения.</w:t>
      </w:r>
    </w:p>
    <w:p w14:paraId="50A8189E" w14:textId="77777777" w:rsidR="00F96AFA" w:rsidRPr="00405303" w:rsidRDefault="00F96AFA" w:rsidP="00C15251">
      <w:pPr>
        <w:jc w:val="both"/>
        <w:rPr>
          <w:bCs/>
          <w:color w:val="002060"/>
          <w:sz w:val="16"/>
          <w:szCs w:val="16"/>
        </w:rPr>
      </w:pPr>
      <w:r w:rsidRPr="00405303">
        <w:rPr>
          <w:bCs/>
          <w:color w:val="002060"/>
          <w:sz w:val="16"/>
          <w:szCs w:val="16"/>
        </w:rPr>
        <w:t>Тем временем ЭВК в июле 1915 г. перебазировалась из дер.Старая Яблонна в Лиду, а затем в Псков. В сентябре из Пскова был выделен боевой отряд на Северный фронт в распоряжение 12-й армии. Корабли (1-й лейтенант Лаврова, П-й штабс-капитана Панкратьева, V-й поручика Алехновича, IX-й штабс-капитана Нижевского и "Киевский" штабс-капитана Башко) перелетели на аэродром у станции Зегевольд под Ригой. Панкратьев получил новый корабль типа В №167 с моторами РБ3.6 (аналог "Аргуса"), который по своим характеристикам был прекрасной машиной наряду с "Киевским". "Муромцы" этого отряда совершили до конца 1915 г. на Северном фронте 25 боевых вылетов.</w:t>
      </w:r>
    </w:p>
    <w:p w14:paraId="5BC53545" w14:textId="77777777" w:rsidR="00F96AFA" w:rsidRPr="00405303" w:rsidRDefault="00F96AFA" w:rsidP="00C15251">
      <w:pPr>
        <w:jc w:val="both"/>
        <w:rPr>
          <w:bCs/>
          <w:color w:val="002060"/>
          <w:sz w:val="16"/>
          <w:szCs w:val="16"/>
        </w:rPr>
      </w:pPr>
      <w:r w:rsidRPr="00405303">
        <w:rPr>
          <w:bCs/>
          <w:color w:val="002060"/>
          <w:sz w:val="16"/>
          <w:szCs w:val="16"/>
        </w:rPr>
        <w:t>За весь 1915 год воздушные корабли выполнили около 100 боевых полетов, сбросив на противника до 1220 пудов бомб (12038).</w:t>
      </w:r>
    </w:p>
    <w:p w14:paraId="37998A08" w14:textId="77777777" w:rsidR="00F96AFA" w:rsidRPr="00405303" w:rsidRDefault="00F96AFA" w:rsidP="00C15251">
      <w:pPr>
        <w:jc w:val="both"/>
        <w:rPr>
          <w:bCs/>
          <w:color w:val="002060"/>
          <w:sz w:val="16"/>
          <w:szCs w:val="16"/>
        </w:rPr>
      </w:pPr>
    </w:p>
    <w:p w14:paraId="751BF799" w14:textId="66C112DF" w:rsidR="00202720" w:rsidRPr="00405303" w:rsidRDefault="00202720" w:rsidP="00C15251">
      <w:pPr>
        <w:jc w:val="both"/>
        <w:rPr>
          <w:bCs/>
          <w:i/>
          <w:color w:val="002060"/>
          <w:sz w:val="16"/>
          <w:szCs w:val="16"/>
        </w:rPr>
      </w:pPr>
      <w:r w:rsidRPr="00405303">
        <w:rPr>
          <w:bCs/>
          <w:i/>
          <w:color w:val="002060"/>
          <w:sz w:val="16"/>
          <w:szCs w:val="16"/>
        </w:rPr>
        <w:t>Авиация:</w:t>
      </w:r>
    </w:p>
    <w:p w14:paraId="4CF6983A" w14:textId="77777777" w:rsidR="00202720" w:rsidRPr="00405303" w:rsidRDefault="00202720" w:rsidP="00C15251">
      <w:pPr>
        <w:jc w:val="both"/>
        <w:rPr>
          <w:bCs/>
          <w:i/>
          <w:color w:val="002060"/>
          <w:sz w:val="16"/>
          <w:szCs w:val="16"/>
        </w:rPr>
      </w:pPr>
    </w:p>
    <w:p w14:paraId="38F03249" w14:textId="77777777" w:rsidR="00202720" w:rsidRPr="00405303" w:rsidRDefault="00202720" w:rsidP="00C15251">
      <w:pPr>
        <w:jc w:val="both"/>
        <w:rPr>
          <w:bCs/>
          <w:color w:val="002060"/>
          <w:sz w:val="16"/>
          <w:szCs w:val="16"/>
        </w:rPr>
      </w:pPr>
      <w:r w:rsidRPr="00405303">
        <w:rPr>
          <w:bCs/>
          <w:color w:val="002060"/>
          <w:sz w:val="16"/>
          <w:szCs w:val="16"/>
        </w:rPr>
        <w:t>В мае или июне 1915 г. на аэродром ЭВК Яблона с завода РБВЗ отправлен «Илья Муромец» В-16 (ИМ В-16 № 162, борт № VI) экз. № 16, стратегический разведчик, тяжелый бомбардировщик.</w:t>
      </w:r>
    </w:p>
    <w:p w14:paraId="71C5F242" w14:textId="77777777" w:rsidR="00202720" w:rsidRPr="00405303" w:rsidRDefault="00202720" w:rsidP="00C15251">
      <w:pPr>
        <w:jc w:val="both"/>
        <w:rPr>
          <w:bCs/>
          <w:color w:val="002060"/>
          <w:sz w:val="16"/>
          <w:szCs w:val="16"/>
        </w:rPr>
      </w:pPr>
      <w:r w:rsidRPr="00405303">
        <w:rPr>
          <w:bCs/>
          <w:color w:val="002060"/>
          <w:sz w:val="16"/>
          <w:szCs w:val="16"/>
        </w:rPr>
        <w:t>Построен с 4 двигателями водяного охлаждения Sunbeam Crusader по 150 л.с.</w:t>
      </w:r>
    </w:p>
    <w:p w14:paraId="51EBC2B7" w14:textId="77777777" w:rsidR="00202720" w:rsidRPr="00405303" w:rsidRDefault="00202720" w:rsidP="00C15251">
      <w:pPr>
        <w:jc w:val="both"/>
        <w:rPr>
          <w:bCs/>
          <w:color w:val="002060"/>
          <w:sz w:val="16"/>
          <w:szCs w:val="16"/>
        </w:rPr>
      </w:pPr>
      <w:r w:rsidRPr="00405303">
        <w:rPr>
          <w:bCs/>
          <w:color w:val="002060"/>
          <w:sz w:val="16"/>
          <w:szCs w:val="16"/>
        </w:rPr>
        <w:t>29.07.15 г. (11.08.15 г. по н.ст.) принят поручиком (далее – штабс-капитаном) С.Н. Головиным и получил бортовой № VI.</w:t>
      </w:r>
    </w:p>
    <w:p w14:paraId="5C99C051" w14:textId="77777777" w:rsidR="00202720" w:rsidRPr="00405303" w:rsidRDefault="00202720" w:rsidP="00C15251">
      <w:pPr>
        <w:jc w:val="both"/>
        <w:rPr>
          <w:bCs/>
          <w:color w:val="002060"/>
          <w:sz w:val="16"/>
          <w:szCs w:val="16"/>
        </w:rPr>
      </w:pPr>
      <w:r w:rsidRPr="00405303">
        <w:rPr>
          <w:bCs/>
          <w:color w:val="002060"/>
          <w:sz w:val="16"/>
          <w:szCs w:val="16"/>
        </w:rPr>
        <w:t>В августе (с середины августа по середину сентября по н.ст.) 1916 г. корабль выполнял боевые вылеты на поддержку наступления, предпринятого русским командованием на Рижском плацдарме и в Белоруссии – в этих полетах его экипаж отмечен как отличившийся.</w:t>
      </w:r>
    </w:p>
    <w:p w14:paraId="1173DB77" w14:textId="77777777" w:rsidR="00202720" w:rsidRPr="00405303" w:rsidRDefault="00202720" w:rsidP="00C15251">
      <w:pPr>
        <w:jc w:val="both"/>
        <w:rPr>
          <w:bCs/>
          <w:color w:val="002060"/>
          <w:sz w:val="16"/>
          <w:szCs w:val="16"/>
        </w:rPr>
      </w:pPr>
      <w:r w:rsidRPr="00405303">
        <w:rPr>
          <w:bCs/>
          <w:color w:val="002060"/>
          <w:sz w:val="16"/>
          <w:szCs w:val="16"/>
        </w:rPr>
        <w:t>10.09.16 г. (23.09.16 г. по н.ст.) над Рижским заливом возвращаясь с боевого задания корабль был атакован неприятельскими самолетами. Весь экипаж, включая командира С.Н. Головина был ранен, корабль получил 293 пробоины, но смог вернуться на аэродром и совершить нормальную посадку.</w:t>
      </w:r>
    </w:p>
    <w:p w14:paraId="24B71742" w14:textId="77777777" w:rsidR="00202720" w:rsidRPr="00405303" w:rsidRDefault="00202720" w:rsidP="00C15251">
      <w:pPr>
        <w:jc w:val="both"/>
        <w:rPr>
          <w:bCs/>
          <w:color w:val="002060"/>
          <w:sz w:val="16"/>
          <w:szCs w:val="16"/>
        </w:rPr>
      </w:pPr>
      <w:r w:rsidRPr="00405303">
        <w:rPr>
          <w:bCs/>
          <w:color w:val="002060"/>
          <w:sz w:val="16"/>
          <w:szCs w:val="16"/>
        </w:rPr>
        <w:t>В ноябре 1916 г. разбит (23563).</w:t>
      </w:r>
    </w:p>
    <w:p w14:paraId="1F040D34" w14:textId="77777777" w:rsidR="00202720" w:rsidRPr="00405303" w:rsidRDefault="00202720" w:rsidP="00C15251">
      <w:pPr>
        <w:jc w:val="both"/>
        <w:rPr>
          <w:bCs/>
          <w:color w:val="002060"/>
          <w:sz w:val="16"/>
          <w:szCs w:val="16"/>
        </w:rPr>
      </w:pPr>
    </w:p>
    <w:p w14:paraId="6476F89B" w14:textId="77777777" w:rsidR="00202720" w:rsidRPr="00405303" w:rsidRDefault="00202720" w:rsidP="00C15251">
      <w:pPr>
        <w:jc w:val="both"/>
        <w:rPr>
          <w:bCs/>
          <w:color w:val="002060"/>
          <w:sz w:val="16"/>
          <w:szCs w:val="16"/>
        </w:rPr>
      </w:pPr>
      <w:r w:rsidRPr="00405303">
        <w:rPr>
          <w:bCs/>
          <w:color w:val="002060"/>
          <w:sz w:val="16"/>
          <w:szCs w:val="16"/>
          <w:lang w:bidi="en-US"/>
        </w:rPr>
        <w:t>В мае-июне 1915 г. немцы изменили тактику противовоздушной обороны и вместо шрапнели стали использовать осколочные снаряды. Это наносило больший потенциальный ущерб и серьезно сказывалось на психологии экипажа противника (23525).</w:t>
      </w:r>
    </w:p>
    <w:p w14:paraId="432C3969" w14:textId="77777777" w:rsidR="00202720" w:rsidRPr="00405303" w:rsidRDefault="00202720" w:rsidP="00C15251">
      <w:pPr>
        <w:jc w:val="both"/>
        <w:rPr>
          <w:bCs/>
          <w:color w:val="002060"/>
          <w:sz w:val="16"/>
          <w:szCs w:val="16"/>
          <w:lang w:bidi="en-US"/>
        </w:rPr>
      </w:pPr>
    </w:p>
    <w:p w14:paraId="1067410B"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Франции:</w:t>
      </w:r>
    </w:p>
    <w:p w14:paraId="6436F98B" w14:textId="77777777" w:rsidR="004B4E35" w:rsidRPr="00405303" w:rsidRDefault="004B4E35" w:rsidP="00C15251">
      <w:pPr>
        <w:jc w:val="both"/>
        <w:rPr>
          <w:bCs/>
          <w:i/>
          <w:color w:val="002060"/>
          <w:sz w:val="16"/>
          <w:szCs w:val="16"/>
        </w:rPr>
      </w:pPr>
    </w:p>
    <w:p w14:paraId="2C102C54" w14:textId="27CCC96C" w:rsidR="004B4E35" w:rsidRPr="00405303" w:rsidRDefault="00F66D76"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С</w:t>
      </w:r>
      <w:r w:rsidR="009E6F82" w:rsidRPr="00405303">
        <w:rPr>
          <w:bCs/>
          <w:i w:val="0"/>
          <w:color w:val="002060"/>
          <w:spacing w:val="0"/>
          <w:kern w:val="0"/>
          <w:position w:val="0"/>
          <w:sz w:val="16"/>
          <w:szCs w:val="16"/>
        </w:rPr>
        <w:t xml:space="preserve"> мая 1915 по июнь 1916 года</w:t>
      </w:r>
      <w:r w:rsidRPr="00405303">
        <w:rPr>
          <w:bCs/>
          <w:i w:val="0"/>
          <w:color w:val="002060"/>
          <w:spacing w:val="0"/>
          <w:kern w:val="0"/>
          <w:position w:val="0"/>
          <w:sz w:val="16"/>
          <w:szCs w:val="16"/>
        </w:rPr>
        <w:t xml:space="preserve"> было построено всего 49 экземпляров "Моран-Солнье" тип N</w:t>
      </w:r>
      <w:r w:rsidR="009E6F82" w:rsidRPr="00405303">
        <w:rPr>
          <w:bCs/>
          <w:i w:val="0"/>
          <w:color w:val="002060"/>
          <w:spacing w:val="0"/>
          <w:kern w:val="0"/>
          <w:position w:val="0"/>
          <w:sz w:val="16"/>
          <w:szCs w:val="16"/>
        </w:rPr>
        <w:t>. Кроме версии "N" с мотором "Рон" в 60 л. с., строится модификация "I" с 80-сильным мотором и версия V с увеличенной продолжительностью полета до 3,5 часа (у "N" она составляла 1,5 час, у "I" - 1,75 часа). Эти "Мораны" поступили на вооружение в эскадрильи MS. 12 и 49, где на них воевали такие асы, как Жан Наварр и Адольф Пегу (11265).</w:t>
      </w:r>
    </w:p>
    <w:p w14:paraId="03815C66" w14:textId="77777777" w:rsidR="004B4E35" w:rsidRPr="00405303" w:rsidRDefault="004B4E35" w:rsidP="00C15251">
      <w:pPr>
        <w:pStyle w:val="a3"/>
        <w:jc w:val="both"/>
        <w:rPr>
          <w:bCs/>
          <w:i w:val="0"/>
          <w:color w:val="002060"/>
          <w:spacing w:val="0"/>
          <w:kern w:val="0"/>
          <w:position w:val="0"/>
          <w:sz w:val="16"/>
          <w:szCs w:val="16"/>
        </w:rPr>
      </w:pPr>
    </w:p>
    <w:p w14:paraId="49584AA8" w14:textId="69B0605C" w:rsidR="00C8399C" w:rsidRPr="00405303" w:rsidRDefault="00C8399C"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 и воздухоплавание Германии:</w:t>
      </w:r>
    </w:p>
    <w:p w14:paraId="18FBB77F" w14:textId="77777777" w:rsidR="00C8399C" w:rsidRPr="00405303" w:rsidRDefault="00C8399C" w:rsidP="00C15251">
      <w:pPr>
        <w:pStyle w:val="a3"/>
        <w:jc w:val="both"/>
        <w:rPr>
          <w:bCs/>
          <w:color w:val="002060"/>
          <w:spacing w:val="0"/>
          <w:kern w:val="0"/>
          <w:position w:val="0"/>
          <w:sz w:val="16"/>
          <w:szCs w:val="16"/>
        </w:rPr>
      </w:pPr>
    </w:p>
    <w:p w14:paraId="0BBB37D1" w14:textId="77777777" w:rsidR="00C8399C" w:rsidRPr="00405303" w:rsidRDefault="00C8399C" w:rsidP="00C15251">
      <w:pPr>
        <w:jc w:val="both"/>
        <w:rPr>
          <w:bCs/>
          <w:color w:val="002060"/>
          <w:sz w:val="16"/>
          <w:szCs w:val="16"/>
        </w:rPr>
      </w:pPr>
      <w:r w:rsidRPr="00405303">
        <w:rPr>
          <w:bCs/>
          <w:color w:val="002060"/>
          <w:sz w:val="16"/>
          <w:szCs w:val="16"/>
          <w:lang w:bidi="en-US"/>
        </w:rPr>
        <w:t>В мае-июне 1915 г. немцы изменили тактику противовоздушной обороны и вместо шрапнели стали использовать осколочные снаряды. Это наносило больший потенциальный ущерб и серьезно сказывалось на психологии экипажа противника (23525).</w:t>
      </w:r>
    </w:p>
    <w:p w14:paraId="2858F4A4" w14:textId="77777777" w:rsidR="00C8399C" w:rsidRPr="00405303" w:rsidRDefault="00C8399C" w:rsidP="00C15251">
      <w:pPr>
        <w:jc w:val="both"/>
        <w:rPr>
          <w:bCs/>
          <w:color w:val="002060"/>
          <w:sz w:val="16"/>
          <w:szCs w:val="16"/>
          <w:lang w:bidi="en-US"/>
        </w:rPr>
      </w:pPr>
    </w:p>
    <w:p w14:paraId="3FB3BA42" w14:textId="77777777" w:rsidR="0096614A" w:rsidRPr="00405303" w:rsidRDefault="0096614A" w:rsidP="0096614A">
      <w:pPr>
        <w:jc w:val="both"/>
        <w:rPr>
          <w:bCs/>
          <w:i/>
          <w:color w:val="002060"/>
          <w:sz w:val="16"/>
          <w:szCs w:val="16"/>
        </w:rPr>
      </w:pPr>
      <w:r w:rsidRPr="00405303">
        <w:rPr>
          <w:bCs/>
          <w:i/>
          <w:color w:val="002060"/>
          <w:sz w:val="16"/>
          <w:szCs w:val="16"/>
        </w:rPr>
        <w:t>Авиация и воздухоплавание Франции:</w:t>
      </w:r>
    </w:p>
    <w:p w14:paraId="6CFD4852" w14:textId="77777777" w:rsidR="0096614A" w:rsidRPr="00405303" w:rsidRDefault="0096614A" w:rsidP="0096614A">
      <w:pPr>
        <w:jc w:val="both"/>
        <w:rPr>
          <w:bCs/>
          <w:i/>
          <w:color w:val="002060"/>
          <w:sz w:val="16"/>
          <w:szCs w:val="16"/>
        </w:rPr>
      </w:pPr>
    </w:p>
    <w:p w14:paraId="675CA7E5" w14:textId="77777777" w:rsidR="0096614A" w:rsidRPr="00CF03EC" w:rsidRDefault="0096614A" w:rsidP="0096614A">
      <w:pPr>
        <w:jc w:val="both"/>
        <w:rPr>
          <w:color w:val="0070C0"/>
          <w:sz w:val="16"/>
          <w:szCs w:val="16"/>
        </w:rPr>
      </w:pPr>
      <w:r w:rsidRPr="00CF03EC">
        <w:rPr>
          <w:color w:val="0070C0"/>
          <w:sz w:val="16"/>
          <w:szCs w:val="16"/>
        </w:rPr>
        <w:t xml:space="preserve">К концу весны 1915 г. на Моранах Nm фирма поставила пулеметы и винты с отсекателями системы Гаро, а летом их наконец-то отправили на фронт. Один получил лучший летчик эскадрильи MS49 Эжен Жильбер, который к тому времени уже ухитрился сбить пять самолетов противника из карабина – 2 ноября и 17 декабря 1914 г., 10 января, 23 мая и 7 июня 1915 г. </w:t>
      </w:r>
    </w:p>
    <w:p w14:paraId="68A1F5A6" w14:textId="77777777" w:rsidR="0096614A" w:rsidRPr="00CF03EC" w:rsidRDefault="0096614A" w:rsidP="0096614A">
      <w:pPr>
        <w:jc w:val="both"/>
        <w:rPr>
          <w:color w:val="0070C0"/>
          <w:sz w:val="16"/>
          <w:szCs w:val="16"/>
        </w:rPr>
      </w:pPr>
      <w:r w:rsidRPr="00CF03EC">
        <w:rPr>
          <w:color w:val="0070C0"/>
          <w:sz w:val="16"/>
          <w:szCs w:val="16"/>
        </w:rPr>
        <w:t>На новом пулеметном Моране Nm Жильбер нанес надпись «Мститель» в память о Ролане Гарро, но расквитаться за своего кумира ему не удалось – 27 июня 1915 г. он полетел на этом самолете бомбить базу «цеппелинов» в Фридрихсхафене, заблудился и оказался интернирован в нейтральной Швейцарии.</w:t>
      </w:r>
    </w:p>
    <w:p w14:paraId="2859D778" w14:textId="77777777" w:rsidR="0096614A" w:rsidRPr="00CF03EC" w:rsidRDefault="0096614A" w:rsidP="0096614A">
      <w:pPr>
        <w:jc w:val="both"/>
        <w:rPr>
          <w:color w:val="0070C0"/>
          <w:sz w:val="16"/>
          <w:szCs w:val="16"/>
        </w:rPr>
      </w:pPr>
      <w:r w:rsidRPr="00CF03EC">
        <w:rPr>
          <w:color w:val="0070C0"/>
          <w:sz w:val="16"/>
          <w:szCs w:val="16"/>
        </w:rPr>
        <w:t>Хотя боевой дебют самолета Моран-Солнье Nm прошел довольно скромно, французские генералы и чиновники при всей их инертности и косности первыми в мире осознали необходимость иметь специальный самолет-истребитель и поняли, что для этого машины лучше пока нет. Пулеметами оснастили все оставшиеся самолеты такого типа, а фирме выдали заказ на постройку новых.</w:t>
      </w:r>
    </w:p>
    <w:p w14:paraId="19ABDB3B" w14:textId="77777777" w:rsidR="0096614A" w:rsidRPr="00CF03EC" w:rsidRDefault="0096614A" w:rsidP="0096614A">
      <w:pPr>
        <w:jc w:val="both"/>
        <w:rPr>
          <w:color w:val="0070C0"/>
          <w:sz w:val="16"/>
          <w:szCs w:val="16"/>
        </w:rPr>
      </w:pPr>
      <w:r w:rsidRPr="00CF03EC">
        <w:rPr>
          <w:color w:val="0070C0"/>
          <w:sz w:val="16"/>
          <w:szCs w:val="16"/>
        </w:rPr>
        <w:t>Распоряжением военного министерства им присвоили обозначение в новой, внедряемой во французской авиации с началом войны системе – M.S.5C1 как пятому типу самолетов фирмы «Моран-Солнье», а индекс С1 с этого момента присваивался всем одноместным истребителям. Французское слово </w:t>
      </w:r>
      <w:r w:rsidRPr="00CF03EC">
        <w:rPr>
          <w:i/>
          <w:iCs/>
          <w:color w:val="0070C0"/>
          <w:sz w:val="16"/>
          <w:szCs w:val="16"/>
        </w:rPr>
        <w:t>chasse</w:t>
      </w:r>
      <w:r w:rsidRPr="00CF03EC">
        <w:rPr>
          <w:color w:val="0070C0"/>
          <w:sz w:val="16"/>
          <w:szCs w:val="16"/>
        </w:rPr>
        <w:t> означало «охота» – такой самолет будет именно охотиться на самолеты противника, а не защищать от них другие аэропланы и тем более, не защищаться самому. А еще словом “</w:t>
      </w:r>
      <w:r w:rsidRPr="00CF03EC">
        <w:rPr>
          <w:i/>
          <w:iCs/>
          <w:color w:val="0070C0"/>
          <w:sz w:val="16"/>
          <w:szCs w:val="16"/>
        </w:rPr>
        <w:t>chasse”</w:t>
      </w:r>
      <w:r w:rsidRPr="00CF03EC">
        <w:rPr>
          <w:color w:val="0070C0"/>
          <w:sz w:val="16"/>
          <w:szCs w:val="16"/>
        </w:rPr>
        <w:t> в спорте так называли рывок, который делает бегун, всадник, велосипедист или автогонщик, чтобы обогнать противника (25772).</w:t>
      </w:r>
    </w:p>
    <w:p w14:paraId="71062898" w14:textId="77777777" w:rsidR="0096614A" w:rsidRPr="00CF03EC" w:rsidRDefault="0096614A" w:rsidP="0096614A">
      <w:pPr>
        <w:jc w:val="both"/>
        <w:rPr>
          <w:color w:val="0070C0"/>
          <w:sz w:val="16"/>
          <w:szCs w:val="16"/>
        </w:rPr>
      </w:pPr>
    </w:p>
    <w:p w14:paraId="2B84852F" w14:textId="5B34F083"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15F62488" w14:textId="77777777" w:rsidR="004B4E35" w:rsidRPr="00405303" w:rsidRDefault="004B4E35" w:rsidP="00C15251">
      <w:pPr>
        <w:pStyle w:val="a3"/>
        <w:jc w:val="both"/>
        <w:rPr>
          <w:bCs/>
          <w:color w:val="002060"/>
          <w:spacing w:val="0"/>
          <w:kern w:val="0"/>
          <w:position w:val="0"/>
          <w:sz w:val="16"/>
          <w:szCs w:val="16"/>
        </w:rPr>
      </w:pPr>
    </w:p>
    <w:p w14:paraId="1EE441B0" w14:textId="77777777" w:rsidR="00C463DD" w:rsidRPr="00405303" w:rsidRDefault="00C463DD" w:rsidP="00C15251">
      <w:pPr>
        <w:pStyle w:val="a00"/>
        <w:spacing w:after="0"/>
        <w:jc w:val="both"/>
        <w:rPr>
          <w:bCs/>
          <w:color w:val="002060"/>
          <w:sz w:val="16"/>
          <w:szCs w:val="16"/>
        </w:rPr>
      </w:pPr>
      <w:r w:rsidRPr="00405303">
        <w:rPr>
          <w:bCs/>
          <w:color w:val="002060"/>
          <w:sz w:val="16"/>
          <w:szCs w:val="16"/>
        </w:rPr>
        <w:t>Весной 1915 года Д.П.Г. строит летающую лодку М-5, а затем М-9. Гидросамолеты М-9 и М-5 создали мировую известность их конструктору, и в иностранной печати появился термин «русский стиль в гидроавиации». До появления в конце 1917 года в Германии поплавковых «Альбатросов» М-9 оставался непревзойденным военным гидросамолетом (15135).</w:t>
      </w:r>
    </w:p>
    <w:p w14:paraId="35B8ACF8" w14:textId="77777777" w:rsidR="00C463DD" w:rsidRPr="00405303" w:rsidRDefault="00C463DD" w:rsidP="00C15251">
      <w:pPr>
        <w:pStyle w:val="a00"/>
        <w:spacing w:after="0"/>
        <w:jc w:val="both"/>
        <w:rPr>
          <w:bCs/>
          <w:color w:val="002060"/>
          <w:sz w:val="16"/>
          <w:szCs w:val="16"/>
        </w:rPr>
      </w:pPr>
    </w:p>
    <w:p w14:paraId="08D06A22" w14:textId="294929BF" w:rsidR="00C463DD" w:rsidRPr="00405303" w:rsidRDefault="00C463DD" w:rsidP="00C15251">
      <w:pPr>
        <w:jc w:val="both"/>
        <w:rPr>
          <w:bCs/>
          <w:color w:val="002060"/>
          <w:sz w:val="16"/>
          <w:szCs w:val="16"/>
        </w:rPr>
      </w:pPr>
      <w:r w:rsidRPr="00405303">
        <w:rPr>
          <w:bCs/>
          <w:color w:val="002060"/>
          <w:sz w:val="16"/>
          <w:szCs w:val="16"/>
        </w:rPr>
        <w:t>Весной 1915 г. производство на Авиабалте было восстановлено. Военные к этому времени определили свое отношение к «Муромцам», и на</w:t>
      </w:r>
      <w:r w:rsidR="000F5756">
        <w:rPr>
          <w:bCs/>
          <w:color w:val="002060"/>
          <w:sz w:val="16"/>
          <w:szCs w:val="16"/>
        </w:rPr>
        <w:t xml:space="preserve"> </w:t>
      </w:r>
      <w:r w:rsidRPr="00405303">
        <w:rPr>
          <w:bCs/>
          <w:color w:val="002060"/>
          <w:sz w:val="16"/>
          <w:szCs w:val="16"/>
        </w:rPr>
        <w:t>РБВЗ</w:t>
      </w:r>
      <w:r w:rsidR="000F5756">
        <w:rPr>
          <w:bCs/>
          <w:color w:val="002060"/>
          <w:sz w:val="16"/>
          <w:szCs w:val="16"/>
        </w:rPr>
        <w:t xml:space="preserve"> </w:t>
      </w:r>
      <w:r w:rsidRPr="00405303">
        <w:rPr>
          <w:bCs/>
          <w:color w:val="002060"/>
          <w:sz w:val="16"/>
          <w:szCs w:val="16"/>
        </w:rPr>
        <w:t>началась лихорадочная подготовка к скорейшему выполнению заказа на 32 корабля. Заводу он был очень выгоден - за каждого «Муромца» военное ведомство по-прежнему платило 150 тыс. руб. Для сравнения можно отметить, что цена маленького самолета составляла от 7 до 14 тыс. руб. Вот в этих условиях Воздухоплавательное отделение и было выделено в самостоятельный Русско-Балтийский воздухоплавательный завод - «Авиа-Балт»,</w:t>
      </w:r>
      <w:r w:rsidR="000F5756">
        <w:rPr>
          <w:bCs/>
          <w:color w:val="002060"/>
          <w:sz w:val="16"/>
          <w:szCs w:val="16"/>
        </w:rPr>
        <w:t xml:space="preserve"> </w:t>
      </w:r>
      <w:r w:rsidRPr="00405303">
        <w:rPr>
          <w:bCs/>
          <w:color w:val="002060"/>
          <w:sz w:val="16"/>
          <w:szCs w:val="16"/>
        </w:rPr>
        <w:t>директором</w:t>
      </w:r>
      <w:r w:rsidR="000F5756">
        <w:rPr>
          <w:bCs/>
          <w:color w:val="002060"/>
          <w:sz w:val="16"/>
          <w:szCs w:val="16"/>
        </w:rPr>
        <w:t xml:space="preserve"> </w:t>
      </w:r>
      <w:r w:rsidRPr="00405303">
        <w:rPr>
          <w:bCs/>
          <w:color w:val="002060"/>
          <w:sz w:val="16"/>
          <w:szCs w:val="16"/>
        </w:rPr>
        <w:t xml:space="preserve">которого стал все тот же энергичный М. Ф. Климиксеев. В своей пояснительной записке о регистрации завода он отмечал: «Производство заключается в изготовлении аэропланов, Воздушных Кораблей и запасных частей к ним, а также их ремонт. Для изготовления аэропланов необходимы следующие мастерские: слесарно-механическая, моторная, деревообделочная - </w:t>
      </w:r>
      <w:r w:rsidRPr="00405303">
        <w:rPr>
          <w:bCs/>
          <w:color w:val="002060"/>
          <w:sz w:val="16"/>
          <w:szCs w:val="16"/>
        </w:rPr>
        <w:lastRenderedPageBreak/>
        <w:t xml:space="preserve">распиливающая лесной материал, столярная - производящая сборку отдельных частей аэропланов, обойная и, наконец, малярная. Центральными мастерскими являются: столярная и слесарно-механическая с наибольшим количеством рабочих, станков и прочего оборудования, остальные мастерские являются второстепенными и в них занято значительно меньшее число </w:t>
      </w:r>
      <w:proofErr w:type="gramStart"/>
      <w:r w:rsidRPr="00405303">
        <w:rPr>
          <w:bCs/>
          <w:color w:val="002060"/>
          <w:sz w:val="16"/>
          <w:szCs w:val="16"/>
        </w:rPr>
        <w:t>рабочих»…</w:t>
      </w:r>
      <w:proofErr w:type="gramEnd"/>
    </w:p>
    <w:p w14:paraId="3E844B21" w14:textId="77777777" w:rsidR="00C463DD" w:rsidRPr="00405303" w:rsidRDefault="00C463DD" w:rsidP="00C15251">
      <w:pPr>
        <w:jc w:val="both"/>
        <w:rPr>
          <w:bCs/>
          <w:color w:val="002060"/>
          <w:sz w:val="16"/>
          <w:szCs w:val="16"/>
        </w:rPr>
      </w:pPr>
    </w:p>
    <w:p w14:paraId="74431457" w14:textId="77777777" w:rsidR="00C463DD" w:rsidRPr="00405303" w:rsidRDefault="00C463DD" w:rsidP="00C15251">
      <w:pPr>
        <w:pStyle w:val="2"/>
        <w:spacing w:before="0" w:after="0"/>
        <w:jc w:val="both"/>
        <w:rPr>
          <w:b w:val="0"/>
          <w:bCs/>
          <w:color w:val="002060"/>
          <w:sz w:val="16"/>
          <w:szCs w:val="16"/>
        </w:rPr>
      </w:pPr>
      <w:r w:rsidRPr="00405303">
        <w:rPr>
          <w:b w:val="0"/>
          <w:bCs/>
          <w:color w:val="002060"/>
          <w:sz w:val="16"/>
          <w:szCs w:val="16"/>
        </w:rPr>
        <w:t>Весной 1915 г. качество продукции «Дукса» считалось «образцовым» (претензии не возникали), и в марте ГВТУ направило «наблюдающему за изготовлением авиационного имущества» на заводе «Дукс» капитану Быстрицкому распоряжение: «Выслать... наблюдающему на заводе Лебедева для образца следующее авиационное имущество: 1/ один аэроплан Моран-парасоль без мотора, 2/ один комплект запасных частей и 3/ один дополнительный комплект. Вместе с сим ГВТУ сообщает, что заводу Лебедева разрешается приобрести за свой счет на заводе «Дукс» для образца некоторые части аэроплана Моран-Парасоль.» (15464).</w:t>
      </w:r>
    </w:p>
    <w:p w14:paraId="4C704843" w14:textId="77777777" w:rsidR="00C463DD" w:rsidRPr="00405303" w:rsidRDefault="00C463DD" w:rsidP="00C15251">
      <w:pPr>
        <w:pStyle w:val="2"/>
        <w:spacing w:before="0" w:after="0"/>
        <w:jc w:val="both"/>
        <w:rPr>
          <w:b w:val="0"/>
          <w:bCs/>
          <w:color w:val="002060"/>
          <w:sz w:val="16"/>
          <w:szCs w:val="16"/>
        </w:rPr>
      </w:pPr>
    </w:p>
    <w:p w14:paraId="0A911985" w14:textId="77777777" w:rsidR="00C463DD" w:rsidRPr="00405303" w:rsidRDefault="00C463DD" w:rsidP="00C15251">
      <w:pPr>
        <w:pStyle w:val="16"/>
        <w:shd w:val="clear" w:color="auto" w:fill="auto"/>
        <w:spacing w:before="0" w:line="240" w:lineRule="auto"/>
        <w:ind w:firstLine="0"/>
        <w:jc w:val="both"/>
        <w:rPr>
          <w:bCs/>
          <w:color w:val="002060"/>
          <w:sz w:val="16"/>
          <w:szCs w:val="16"/>
        </w:rPr>
      </w:pPr>
      <w:r w:rsidRPr="00405303">
        <w:rPr>
          <w:bCs/>
          <w:color w:val="002060"/>
          <w:sz w:val="16"/>
          <w:szCs w:val="16"/>
        </w:rPr>
        <w:t>Весной 1915 г. Ботезат совместно с делопроизводителем Воздухо</w:t>
      </w:r>
      <w:r w:rsidRPr="00405303">
        <w:rPr>
          <w:bCs/>
          <w:color w:val="002060"/>
          <w:sz w:val="16"/>
          <w:szCs w:val="16"/>
        </w:rPr>
        <w:softHyphen/>
        <w:t>плавательного комитета ГВТУ военным инженером подполковником П. Т. Калинковским предложил «стрелу для метания с самолета» (15740).</w:t>
      </w:r>
    </w:p>
    <w:p w14:paraId="7B8CBB5C" w14:textId="77777777" w:rsidR="00C463DD" w:rsidRPr="00405303" w:rsidRDefault="00C463DD" w:rsidP="00C15251">
      <w:pPr>
        <w:pStyle w:val="16"/>
        <w:shd w:val="clear" w:color="auto" w:fill="auto"/>
        <w:spacing w:before="0" w:line="240" w:lineRule="auto"/>
        <w:ind w:firstLine="0"/>
        <w:jc w:val="both"/>
        <w:rPr>
          <w:bCs/>
          <w:color w:val="002060"/>
          <w:sz w:val="16"/>
          <w:szCs w:val="16"/>
        </w:rPr>
      </w:pPr>
    </w:p>
    <w:p w14:paraId="60FCB387" w14:textId="77777777" w:rsidR="004B4E35" w:rsidRPr="00405303" w:rsidRDefault="009E6F82" w:rsidP="00C15251">
      <w:pPr>
        <w:jc w:val="both"/>
        <w:rPr>
          <w:bCs/>
          <w:color w:val="002060"/>
          <w:sz w:val="16"/>
          <w:szCs w:val="16"/>
        </w:rPr>
      </w:pPr>
      <w:r w:rsidRPr="00405303">
        <w:rPr>
          <w:bCs/>
          <w:color w:val="002060"/>
          <w:sz w:val="16"/>
          <w:szCs w:val="16"/>
        </w:rPr>
        <w:t xml:space="preserve">Весной 1915 г. производство на Авиабалте было восстановлено после пожара. Военные к этому времени определили свое отношение к «Муромцам», и на РБВЗ началась лихорадочная подготовка к скорейшему выполнению заказа на 32 корабля. Заводу он был очень выгоден — за каждого «Муромца» военное ведомство по-прежнему платило 150 тыс. руб. Для сравнения можно отметить, что цена маленького самолета составляла от 7 до 14 тыс. руб. Вот в этих условиях Воздухоплавательное отделение и было выделено в самостоятельный Русско-Балтийский воздухоплавательный завод — «Авиа-Балт», директором которого стал все тот же энергичный М. Ф. Климиксеев. В своей пояснительной записке о регистрации завода он отмечал: «Производство заключается в изготовлении аэропланов, Воздушных Кораблей и запасных частей к ним, а также их ремонт. Для изготовления аэропланов необходимы следующие мастерские: слесарно-механическая, моторная, деревообделочная — распиливающая лесной материал, столярная — производящая сборку отдельных частей аэропланов, обойная и, наконец, малярная. Центральными мастерскими являются: столярная и слесарно-механическая с наибольшим количеством рабочих, станков и прочего оборудования, остальные мастерские являются второстепенными и в них занято значительно меньшее число </w:t>
      </w:r>
      <w:proofErr w:type="gramStart"/>
      <w:r w:rsidRPr="00405303">
        <w:rPr>
          <w:bCs/>
          <w:color w:val="002060"/>
          <w:sz w:val="16"/>
          <w:szCs w:val="16"/>
        </w:rPr>
        <w:t>рабочих»...</w:t>
      </w:r>
      <w:proofErr w:type="gramEnd"/>
      <w:r w:rsidRPr="00405303">
        <w:rPr>
          <w:bCs/>
          <w:color w:val="002060"/>
          <w:sz w:val="16"/>
          <w:szCs w:val="16"/>
        </w:rPr>
        <w:t xml:space="preserve"> (11196).</w:t>
      </w:r>
    </w:p>
    <w:p w14:paraId="59802CAA" w14:textId="77777777" w:rsidR="004B4E35" w:rsidRPr="00405303" w:rsidRDefault="004B4E35" w:rsidP="00C15251">
      <w:pPr>
        <w:jc w:val="both"/>
        <w:rPr>
          <w:bCs/>
          <w:color w:val="002060"/>
          <w:sz w:val="16"/>
          <w:szCs w:val="16"/>
        </w:rPr>
      </w:pPr>
    </w:p>
    <w:p w14:paraId="253E61CE" w14:textId="77777777" w:rsidR="004B4E35" w:rsidRPr="00405303" w:rsidRDefault="009E6F82" w:rsidP="00C15251">
      <w:pPr>
        <w:jc w:val="both"/>
        <w:rPr>
          <w:bCs/>
          <w:color w:val="002060"/>
          <w:sz w:val="16"/>
          <w:szCs w:val="16"/>
        </w:rPr>
      </w:pPr>
      <w:r w:rsidRPr="00405303">
        <w:rPr>
          <w:bCs/>
          <w:color w:val="002060"/>
          <w:sz w:val="16"/>
          <w:szCs w:val="16"/>
        </w:rPr>
        <w:t>Весной 1915 г. производство было восстановлено. Военные к этому времени определили свое отношение к "Муромцам", и на РБВЗ началась лихорадочная подготовка к скорейшему выполнению заказа на 32 корабля. Заводу он был очень выгоден - за каждого "Муромца" военное ведомство по-прежнему платило 150 тыс. руб. Для сравнения можно отметить, что цена маленького самолета составляла от 7 до 14 тыс. руб. Вот в этих условиях Воздухоплавательное отделение и было выделено в самостоятельный Русско-Балтийский воздухоплавательный завод - "Авиа-Балт", директором которого стал все тот же энергичный М. Ф. Климиксеев. В своей пояснительной записке о регистрации завода он отмечал: "Производство заключается в изготовлении аэропланов, Воздушных Кораблей и запасных частей к ним, а также их ремонт. Для изготовления аэропланов необходимы следующие мастерские: слесарно-механическая, моторная, деревообделочная - распиливающая лесной материал, столярная - производящая сборку отдельных частей аэропланов, обойная и, наконец, малярная. Центральными мастерскими являются: столярная и слесарно-механическая с наибольшим количеством рабочих, станков и прочего оборудования, остальные мастерские являются второстепенными и в них занято значительно меньшее число рабочих" ... [</w:t>
      </w:r>
      <w:proofErr w:type="gramStart"/>
      <w:r w:rsidRPr="00405303">
        <w:rPr>
          <w:bCs/>
          <w:color w:val="002060"/>
          <w:sz w:val="16"/>
          <w:szCs w:val="16"/>
        </w:rPr>
        <w:t>ЦГИАЛ,ф.</w:t>
      </w:r>
      <w:proofErr w:type="gramEnd"/>
      <w:r w:rsidRPr="00405303">
        <w:rPr>
          <w:bCs/>
          <w:color w:val="002060"/>
          <w:sz w:val="16"/>
          <w:szCs w:val="16"/>
        </w:rPr>
        <w:t xml:space="preserve"> </w:t>
      </w:r>
      <w:proofErr w:type="gramStart"/>
      <w:r w:rsidRPr="00405303">
        <w:rPr>
          <w:bCs/>
          <w:color w:val="002060"/>
          <w:sz w:val="16"/>
          <w:szCs w:val="16"/>
        </w:rPr>
        <w:t>869,ол</w:t>
      </w:r>
      <w:proofErr w:type="gramEnd"/>
      <w:r w:rsidRPr="00405303">
        <w:rPr>
          <w:bCs/>
          <w:color w:val="002060"/>
          <w:sz w:val="16"/>
          <w:szCs w:val="16"/>
        </w:rPr>
        <w:t xml:space="preserve">. </w:t>
      </w:r>
      <w:proofErr w:type="gramStart"/>
      <w:r w:rsidRPr="00405303">
        <w:rPr>
          <w:bCs/>
          <w:color w:val="002060"/>
          <w:sz w:val="16"/>
          <w:szCs w:val="16"/>
        </w:rPr>
        <w:t>15,д.</w:t>
      </w:r>
      <w:proofErr w:type="gramEnd"/>
      <w:r w:rsidRPr="00405303">
        <w:rPr>
          <w:bCs/>
          <w:color w:val="002060"/>
          <w:sz w:val="16"/>
          <w:szCs w:val="16"/>
        </w:rPr>
        <w:t xml:space="preserve"> </w:t>
      </w:r>
      <w:proofErr w:type="gramStart"/>
      <w:r w:rsidRPr="00405303">
        <w:rPr>
          <w:bCs/>
          <w:color w:val="002060"/>
          <w:sz w:val="16"/>
          <w:szCs w:val="16"/>
        </w:rPr>
        <w:t>1319,л.</w:t>
      </w:r>
      <w:proofErr w:type="gramEnd"/>
      <w:r w:rsidRPr="00405303">
        <w:rPr>
          <w:bCs/>
          <w:color w:val="002060"/>
          <w:sz w:val="16"/>
          <w:szCs w:val="16"/>
        </w:rPr>
        <w:t xml:space="preserve"> 23.] </w:t>
      </w:r>
    </w:p>
    <w:p w14:paraId="653AF2D3" w14:textId="77777777" w:rsidR="004B4E35" w:rsidRPr="00405303" w:rsidRDefault="004B4E35" w:rsidP="00C15251">
      <w:pPr>
        <w:jc w:val="both"/>
        <w:rPr>
          <w:bCs/>
          <w:color w:val="002060"/>
          <w:sz w:val="16"/>
          <w:szCs w:val="16"/>
        </w:rPr>
      </w:pPr>
    </w:p>
    <w:p w14:paraId="21828470" w14:textId="22D60B25" w:rsidR="004B4E35" w:rsidRPr="00405303" w:rsidRDefault="00F66D76"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есной 1915</w:t>
      </w:r>
      <w:r w:rsidRPr="00405303">
        <w:rPr>
          <w:bCs/>
          <w:color w:val="002060"/>
          <w:sz w:val="16"/>
          <w:szCs w:val="16"/>
        </w:rPr>
        <w:t xml:space="preserve"> </w:t>
      </w:r>
      <w:r w:rsidR="009E6F82" w:rsidRPr="00405303">
        <w:rPr>
          <w:bCs/>
          <w:color w:val="002060"/>
          <w:sz w:val="16"/>
          <w:szCs w:val="16"/>
        </w:rPr>
        <w:t>г.</w:t>
      </w:r>
      <w:r w:rsidRPr="00405303">
        <w:rPr>
          <w:bCs/>
          <w:color w:val="002060"/>
          <w:sz w:val="16"/>
          <w:szCs w:val="16"/>
        </w:rPr>
        <w:t xml:space="preserve"> появление М-5</w:t>
      </w:r>
      <w:r w:rsidR="000F5756">
        <w:rPr>
          <w:bCs/>
          <w:color w:val="002060"/>
          <w:sz w:val="16"/>
          <w:szCs w:val="16"/>
        </w:rPr>
        <w:t xml:space="preserve"> </w:t>
      </w:r>
      <w:r w:rsidR="009E6F82" w:rsidRPr="00405303">
        <w:rPr>
          <w:bCs/>
          <w:color w:val="002060"/>
          <w:sz w:val="16"/>
          <w:szCs w:val="16"/>
        </w:rPr>
        <w:t>пришлось на тот период, когда авиация Балтийского флота имела в своем распоряжении достаточное количество летающих лодок «ФБА» французской конструкции, а кам</w:t>
      </w:r>
      <w:r w:rsidR="009E6F82" w:rsidRPr="00405303">
        <w:rPr>
          <w:bCs/>
          <w:color w:val="002060"/>
          <w:sz w:val="16"/>
          <w:szCs w:val="16"/>
        </w:rPr>
        <w:softHyphen/>
        <w:t>панию 1916 и 1917 гг. на этом театре «сделали» аппараты Щетинина типа М-9 и «Фарманы МФ.11». В итоге в боевых условиях М-5 применяли лишь на Черном море, но зато там им пришлось испытать все и служить как в береговых, так и корабельных отрядах. В 1916 г. для их пилотов написали что-то типа наставления — «Бой в воздухе», в котором вкратце излагали тактические приемы использования маши</w:t>
      </w:r>
      <w:r w:rsidR="009E6F82" w:rsidRPr="00405303">
        <w:rPr>
          <w:bCs/>
          <w:color w:val="002060"/>
          <w:sz w:val="16"/>
          <w:szCs w:val="16"/>
        </w:rPr>
        <w:softHyphen/>
        <w:t>ны. Авиаторам сообщали, что для схватки с самолетами противника М-5 имел пулемет на вертлюжной установке и с хорошим углом обстрела по носу прямо, вверх и вправо и градусов на 60 влево</w:t>
      </w:r>
      <w:r w:rsidR="009E6F82" w:rsidRPr="00405303">
        <w:rPr>
          <w:bCs/>
          <w:color w:val="002060"/>
          <w:sz w:val="16"/>
          <w:szCs w:val="16"/>
          <w:vertAlign w:val="superscript"/>
        </w:rPr>
        <w:t>2</w:t>
      </w:r>
      <w:r w:rsidR="009E6F82" w:rsidRPr="00405303">
        <w:rPr>
          <w:bCs/>
          <w:color w:val="002060"/>
          <w:sz w:val="16"/>
          <w:szCs w:val="16"/>
        </w:rPr>
        <w:t>, при запасе патронов 450 штук. Летая парами, второй гидроплан левее и выше переднего, надлежало занять пози цию позади и немного ниже врага, после чего с дистанции 500 м ведущий открывал огонь очень коротки</w:t>
      </w:r>
      <w:r w:rsidR="009E6F82" w:rsidRPr="00405303">
        <w:rPr>
          <w:bCs/>
          <w:color w:val="002060"/>
          <w:sz w:val="16"/>
          <w:szCs w:val="16"/>
        </w:rPr>
        <w:softHyphen/>
        <w:t>ми очередями по 15-20 патронов, а с расстояния 100-150 м вел непрерывную стрельбу. На случай заеда</w:t>
      </w:r>
      <w:r w:rsidR="009E6F82" w:rsidRPr="00405303">
        <w:rPr>
          <w:bCs/>
          <w:color w:val="002060"/>
          <w:sz w:val="16"/>
          <w:szCs w:val="16"/>
        </w:rPr>
        <w:softHyphen/>
        <w:t>ния пулемета экипаж вооружался также пистолетом «Маузер» и/или револьвером «Наган». Более того, черноморские пилоты обладали подвесными бомбами системы лейтенанта В. В. Утгофа. Последние, опускаясь при помощи управлявшейся наблюдателем лебедки и проволочной привязи примерно на 100 м вниз, назначались, в теории, для атаки летящих целей, но на практике «зацепить» ими никого и ничего не удалось.</w:t>
      </w:r>
    </w:p>
    <w:p w14:paraId="271F72DD" w14:textId="77777777" w:rsidR="004B4E35" w:rsidRPr="00405303" w:rsidRDefault="009E6F82" w:rsidP="00C15251">
      <w:pPr>
        <w:shd w:val="clear" w:color="auto" w:fill="FFFFFF"/>
        <w:jc w:val="both"/>
        <w:rPr>
          <w:bCs/>
          <w:color w:val="002060"/>
          <w:sz w:val="16"/>
          <w:szCs w:val="16"/>
        </w:rPr>
      </w:pPr>
      <w:r w:rsidRPr="00405303">
        <w:rPr>
          <w:bCs/>
          <w:i/>
          <w:color w:val="002060"/>
          <w:sz w:val="16"/>
          <w:szCs w:val="16"/>
        </w:rPr>
        <w:t>Таблица 6</w:t>
      </w:r>
    </w:p>
    <w:p w14:paraId="7C86484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Табель предметов снабжения каждого действующего аппарата Авиации Черноморского флота</w:t>
      </w:r>
    </w:p>
    <w:p w14:paraId="468F83E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 штурманской части</w:t>
      </w:r>
    </w:p>
    <w:p w14:paraId="0AC483C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часы</w:t>
      </w:r>
    </w:p>
    <w:p w14:paraId="3000F02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часы ручные с секундомером</w:t>
      </w:r>
    </w:p>
    <w:p w14:paraId="2F09766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бинокль</w:t>
      </w:r>
    </w:p>
    <w:p w14:paraId="1910721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компас</w:t>
      </w:r>
    </w:p>
    <w:p w14:paraId="26F67F7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барограф</w:t>
      </w:r>
    </w:p>
    <w:p w14:paraId="5984527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счетчик оборотов</w:t>
      </w:r>
    </w:p>
    <w:p w14:paraId="445C8A7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указатель скорости</w:t>
      </w:r>
    </w:p>
    <w:p w14:paraId="2D385B3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рамка для карт</w:t>
      </w:r>
    </w:p>
    <w:p w14:paraId="660FDCA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кренометр</w:t>
      </w:r>
    </w:p>
    <w:p w14:paraId="099057F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анемометр и термометр</w:t>
      </w:r>
    </w:p>
    <w:p w14:paraId="018C920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 минно-атиллерийской части</w:t>
      </w:r>
    </w:p>
    <w:p w14:paraId="08C9E4F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револьвер «Браунинг» револьвер «</w:t>
      </w:r>
      <w:proofErr w:type="gramStart"/>
      <w:r w:rsidRPr="00405303">
        <w:rPr>
          <w:bCs/>
          <w:color w:val="002060"/>
          <w:sz w:val="16"/>
          <w:szCs w:val="16"/>
        </w:rPr>
        <w:t>Маузер»*</w:t>
      </w:r>
      <w:proofErr w:type="gramEnd"/>
      <w:r w:rsidRPr="00405303">
        <w:rPr>
          <w:bCs/>
          <w:color w:val="002060"/>
          <w:sz w:val="16"/>
          <w:szCs w:val="16"/>
        </w:rPr>
        <w:t>* прицел (бомбовый) прибор для сброса бомб пулемет и радиостанция</w:t>
      </w:r>
    </w:p>
    <w:p w14:paraId="44619ED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1 по 1 на каждую</w:t>
      </w:r>
    </w:p>
    <w:p w14:paraId="70176B8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береговую</w:t>
      </w:r>
    </w:p>
    <w:p w14:paraId="4D8595F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станцию</w:t>
      </w:r>
    </w:p>
    <w:p w14:paraId="18D67F3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 1 на каждую береговую станцию</w:t>
      </w:r>
    </w:p>
    <w:p w14:paraId="77DA549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роли бомбардировщика аппарат мог нести некоторое количество бомб весом от 8 до 50 фунтов каждая, сбрасывавшихся вручную (мелкие) или с «бомбоносов» (крупные), «на глазок» или с примене</w:t>
      </w:r>
      <w:r w:rsidRPr="00405303">
        <w:rPr>
          <w:bCs/>
          <w:color w:val="002060"/>
          <w:sz w:val="16"/>
          <w:szCs w:val="16"/>
        </w:rPr>
        <w:softHyphen/>
        <w:t>нием бомбовых прицелов системы штабс-капитана В. И. Толмачева. Интересно, что попадание в круг диаметром 100 м считалось удовлетворительным результатом метания.</w:t>
      </w:r>
    </w:p>
    <w:p w14:paraId="0DEB096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При выполнении разведывательных задач М-5 мог оснащаться радиотелеграфной станцией с даль</w:t>
      </w:r>
      <w:r w:rsidRPr="00405303">
        <w:rPr>
          <w:bCs/>
          <w:color w:val="002060"/>
          <w:sz w:val="16"/>
          <w:szCs w:val="16"/>
        </w:rPr>
        <w:softHyphen/>
        <w:t>ностью действия до 30-40 верст, нести сигнальные дымки, видимые на дистанции до 10 верст, и фотоаппарат «Поттэ». При патрулировании или активной разведке он нагружался двумя 50-фунтовыми и двумя-тремя 8-фунтовыми бомбами и пистолетом «Маузер», а так как «тащить» все вышеназванное одновременно не представлялось возможным, то приходилось выбирать в зависимости от реальной об</w:t>
      </w:r>
      <w:r w:rsidRPr="00405303">
        <w:rPr>
          <w:bCs/>
          <w:color w:val="002060"/>
          <w:sz w:val="16"/>
          <w:szCs w:val="16"/>
        </w:rPr>
        <w:softHyphen/>
        <w:t>становки. Разведывательный аппарат становился истребителем в течение 10-15 минут, а бомбардиров</w:t>
      </w:r>
      <w:r w:rsidRPr="00405303">
        <w:rPr>
          <w:bCs/>
          <w:color w:val="002060"/>
          <w:sz w:val="16"/>
          <w:szCs w:val="16"/>
        </w:rPr>
        <w:softHyphen/>
        <w:t>щиком — еще быстрее.</w:t>
      </w:r>
    </w:p>
    <w:p w14:paraId="0CD3ABD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основном, наставление касалось летающих лодок берегового базирования, задействовавшихся, главным образом, для противолодочного патрулирования и ближней разведки, тогда как самолеты ко</w:t>
      </w:r>
      <w:r w:rsidRPr="00405303">
        <w:rPr>
          <w:bCs/>
          <w:color w:val="002060"/>
          <w:sz w:val="16"/>
          <w:szCs w:val="16"/>
        </w:rPr>
        <w:softHyphen/>
        <w:t>рабельной авиации участвовали в рейдах к землям Турции и Болгарии, а позднее — к оккупированной Румынии, и применялись в качестве легких и патрульных бомбардировщиков, разведчиков-бомбарди</w:t>
      </w:r>
      <w:r w:rsidRPr="00405303">
        <w:rPr>
          <w:bCs/>
          <w:color w:val="002060"/>
          <w:sz w:val="16"/>
          <w:szCs w:val="16"/>
        </w:rPr>
        <w:softHyphen/>
        <w:t xml:space="preserve">ровщиков и даже патрульных истребителей (в 1917г.). Кроме того, армейским </w:t>
      </w:r>
      <w:r w:rsidRPr="00405303">
        <w:rPr>
          <w:bCs/>
          <w:color w:val="002060"/>
          <w:sz w:val="16"/>
          <w:szCs w:val="16"/>
        </w:rPr>
        <w:lastRenderedPageBreak/>
        <w:t>командованием планиро</w:t>
      </w:r>
      <w:r w:rsidRPr="00405303">
        <w:rPr>
          <w:bCs/>
          <w:color w:val="002060"/>
          <w:sz w:val="16"/>
          <w:szCs w:val="16"/>
        </w:rPr>
        <w:softHyphen/>
        <w:t>валось использовать гидропланы типа М-5 в приморских или озерных авиаотрядах противовоздушной обороны, но до этого дело не дошло (2807).</w:t>
      </w:r>
    </w:p>
    <w:p w14:paraId="2F739279" w14:textId="77777777" w:rsidR="004B4E35" w:rsidRPr="00405303" w:rsidRDefault="004B4E35" w:rsidP="00C15251">
      <w:pPr>
        <w:shd w:val="clear" w:color="auto" w:fill="FFFFFF"/>
        <w:jc w:val="both"/>
        <w:rPr>
          <w:bCs/>
          <w:color w:val="002060"/>
          <w:sz w:val="16"/>
          <w:szCs w:val="16"/>
        </w:rPr>
      </w:pPr>
    </w:p>
    <w:p w14:paraId="7FC6F71B" w14:textId="6D4A79B5" w:rsidR="004B4E35" w:rsidRPr="00405303" w:rsidRDefault="00F66D76"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есной 1915г. авантюра с нелицензированным выпуском рассматри</w:t>
      </w:r>
      <w:r w:rsidR="009E6F82" w:rsidRPr="00405303">
        <w:rPr>
          <w:bCs/>
          <w:color w:val="002060"/>
          <w:sz w:val="16"/>
          <w:szCs w:val="16"/>
        </w:rPr>
        <w:softHyphen/>
        <w:t>валась С. С. Щетининым вполне серьезно, и он даже мог подумывать о крупносерийном копирова</w:t>
      </w:r>
      <w:r w:rsidR="009E6F82" w:rsidRPr="00405303">
        <w:rPr>
          <w:bCs/>
          <w:color w:val="002060"/>
          <w:sz w:val="16"/>
          <w:szCs w:val="16"/>
        </w:rPr>
        <w:softHyphen/>
        <w:t>нии иностранной техники, соблазняясь отсутствием затрат на опытное производство. Если бы не удачные испытания М-5 и заинтересованность Морского ведомства в этой модели, то, вероятно, кертиссовский тип Ф публично удостоился бы названия М-6 — в частности, дабы избежать судебных разбирательств с американской фирмой. Справедливости ради надо заметить, что во флотских доку</w:t>
      </w:r>
      <w:r w:rsidR="009E6F82" w:rsidRPr="00405303">
        <w:rPr>
          <w:bCs/>
          <w:color w:val="002060"/>
          <w:sz w:val="16"/>
          <w:szCs w:val="16"/>
        </w:rPr>
        <w:softHyphen/>
        <w:t>ментах обозначение М-6 не встречается, а 5 доставшихся Черноморской авиации аппаратов только и получили, что окончание «к» (Кертисс), иногда добавлявшееся к их флотским номерам. Как бы там ни было с М-6, наряд от 26 августа действительно существовал, заслуживая отдельного упоми</w:t>
      </w:r>
      <w:r w:rsidR="009E6F82" w:rsidRPr="00405303">
        <w:rPr>
          <w:bCs/>
          <w:color w:val="002060"/>
          <w:sz w:val="16"/>
          <w:szCs w:val="16"/>
        </w:rPr>
        <w:softHyphen/>
        <w:t>нания в книге (2807).</w:t>
      </w:r>
    </w:p>
    <w:p w14:paraId="0F02CE22" w14:textId="77777777" w:rsidR="004B4E35" w:rsidRPr="00405303" w:rsidRDefault="004B4E35" w:rsidP="00C15251">
      <w:pPr>
        <w:shd w:val="clear" w:color="auto" w:fill="FFFFFF"/>
        <w:jc w:val="both"/>
        <w:rPr>
          <w:bCs/>
          <w:color w:val="002060"/>
          <w:sz w:val="16"/>
          <w:szCs w:val="16"/>
        </w:rPr>
      </w:pPr>
    </w:p>
    <w:p w14:paraId="79AAA39F" w14:textId="77777777" w:rsidR="004B4E35" w:rsidRPr="00405303" w:rsidRDefault="009E6F82" w:rsidP="00C15251">
      <w:pPr>
        <w:jc w:val="both"/>
        <w:rPr>
          <w:bCs/>
          <w:color w:val="002060"/>
          <w:sz w:val="16"/>
          <w:szCs w:val="16"/>
        </w:rPr>
      </w:pPr>
      <w:r w:rsidRPr="00405303">
        <w:rPr>
          <w:bCs/>
          <w:color w:val="002060"/>
          <w:sz w:val="16"/>
          <w:szCs w:val="16"/>
        </w:rPr>
        <w:t xml:space="preserve">Весной 1915 г. один "Лебедь"-VII находился на вооружении Гродненского крепостного авиаотряда. На нем летал военный летчик поручик Семенов. Еще один такой аппарат поступил в 7-й истребительный авиаотряд в декабре 1916 г. для тренировочных полетов, но в конце месяца его разбил на посадке прапорщик Янченко. Аппарат отправили для ремонта в тыл (11183). </w:t>
      </w:r>
    </w:p>
    <w:p w14:paraId="22541096" w14:textId="77777777" w:rsidR="004B4E35" w:rsidRPr="00405303" w:rsidRDefault="009E6F82" w:rsidP="00C15251">
      <w:pPr>
        <w:jc w:val="both"/>
        <w:rPr>
          <w:bCs/>
          <w:color w:val="002060"/>
          <w:sz w:val="16"/>
          <w:szCs w:val="16"/>
        </w:rPr>
      </w:pPr>
      <w:r w:rsidRPr="00405303">
        <w:rPr>
          <w:bCs/>
          <w:color w:val="002060"/>
          <w:sz w:val="16"/>
          <w:szCs w:val="16"/>
        </w:rPr>
        <w:t>"Лебедь"-VIII - Попытка усовершенствовать "Лебедь"-VII путем установки двухстоечной коробки крыльев с элеронами только на верхнем крыле. Чуть позже шасси заменили на новое, более современной конструкции без противокапотажных полозов. Кроме того, существенно увеличены размеры кабины для размещения рядом с пилотом наблюдателя. Новая модификация, получившая обозначение "Лебедь"-VIII, не принесла ожидаемого эффекта: грузоподъемность не повысилась, а летные качества ухудшились. Построено два экземпляра этого типа (11183).</w:t>
      </w:r>
    </w:p>
    <w:p w14:paraId="0E0D0DDB" w14:textId="77777777" w:rsidR="004B4E35" w:rsidRPr="00405303" w:rsidRDefault="004B4E35" w:rsidP="00C15251">
      <w:pPr>
        <w:jc w:val="both"/>
        <w:rPr>
          <w:bCs/>
          <w:color w:val="002060"/>
          <w:sz w:val="16"/>
          <w:szCs w:val="16"/>
        </w:rPr>
      </w:pPr>
    </w:p>
    <w:p w14:paraId="04660632" w14:textId="77777777" w:rsidR="00CD28F6" w:rsidRPr="00405303" w:rsidRDefault="00CD28F6" w:rsidP="00CD28F6">
      <w:pPr>
        <w:jc w:val="both"/>
        <w:rPr>
          <w:color w:val="0070C0"/>
          <w:sz w:val="16"/>
          <w:szCs w:val="16"/>
        </w:rPr>
      </w:pPr>
      <w:r w:rsidRPr="00405303">
        <w:rPr>
          <w:color w:val="0070C0"/>
          <w:sz w:val="16"/>
          <w:szCs w:val="16"/>
        </w:rPr>
        <w:t>Весной 1915 года проект аэроплана, будущего Лебедь-Гранд был представлен и утвержден заказчиком. Принятые в проекте основные геометрические параметры и расчетные весовые характеристики оказались в такой степени близкими к реальности, что практически не изменились к окончанию постройки аэроплана (25630).</w:t>
      </w:r>
    </w:p>
    <w:p w14:paraId="59086CAD" w14:textId="77777777" w:rsidR="00CD28F6" w:rsidRPr="00405303" w:rsidRDefault="00CD28F6" w:rsidP="00CD28F6">
      <w:pPr>
        <w:jc w:val="both"/>
        <w:rPr>
          <w:color w:val="0070C0"/>
          <w:sz w:val="16"/>
          <w:szCs w:val="16"/>
        </w:rPr>
      </w:pPr>
    </w:p>
    <w:p w14:paraId="7921A0F4" w14:textId="4BF2F8B7" w:rsidR="00F66D76" w:rsidRPr="00405303" w:rsidRDefault="00F66D76" w:rsidP="00C15251">
      <w:pPr>
        <w:jc w:val="both"/>
        <w:rPr>
          <w:bCs/>
          <w:color w:val="002060"/>
          <w:sz w:val="16"/>
          <w:szCs w:val="16"/>
        </w:rPr>
      </w:pPr>
      <w:r w:rsidRPr="00405303">
        <w:rPr>
          <w:bCs/>
          <w:color w:val="002060"/>
          <w:sz w:val="16"/>
          <w:szCs w:val="16"/>
        </w:rPr>
        <w:t>В</w:t>
      </w:r>
      <w:r w:rsidR="009E6F82" w:rsidRPr="00405303">
        <w:rPr>
          <w:bCs/>
          <w:color w:val="002060"/>
          <w:sz w:val="16"/>
          <w:szCs w:val="16"/>
        </w:rPr>
        <w:t>есной 1915 года</w:t>
      </w:r>
      <w:r w:rsidRPr="00405303">
        <w:rPr>
          <w:bCs/>
          <w:color w:val="002060"/>
          <w:sz w:val="16"/>
          <w:szCs w:val="16"/>
        </w:rPr>
        <w:t xml:space="preserve"> был представлен и утвержден заказчиком проект аэроплана Л. Д. Колпакова, который обратился в Военное ведомство с предложением о создании боевого аэроплана, предназначенного для выполнения дальней воздушной разведки, бомбардирования войск и военных объектов противника. Руководство ведомства отнеслось к этой идее положительно и, согласовав с авиационным отделом специфические тонкости, сформулировало задание, согласно которому будущий "Летающий крейсер" должен был бы иметь "скорость полета 150-160 км/ч, высоту порядка 4000-5000 м и при бомбовой нагрузке 550-600 кг...".</w:t>
      </w:r>
    </w:p>
    <w:p w14:paraId="25D9495A" w14:textId="00A482D1" w:rsidR="004B4E35" w:rsidRPr="00405303" w:rsidRDefault="009E6F82" w:rsidP="00C15251">
      <w:pPr>
        <w:jc w:val="both"/>
        <w:rPr>
          <w:bCs/>
          <w:color w:val="002060"/>
          <w:sz w:val="16"/>
          <w:szCs w:val="16"/>
        </w:rPr>
      </w:pPr>
      <w:r w:rsidRPr="00405303">
        <w:rPr>
          <w:bCs/>
          <w:color w:val="002060"/>
          <w:sz w:val="16"/>
          <w:szCs w:val="16"/>
        </w:rPr>
        <w:t xml:space="preserve">Принятые в проекте основные геометрические параметры и расчетные весовые характеристики оказались в такой степени близкими к реальности, что практически не изменились к окончанию постройки "Лебедя-14". Отклонения были вынужденными и оказались несущественными. Первоначальная ориентация на два мотора мощностью по 150 л.с. (было отмечено в задании) привела к выбору для самолета доступных двигателей "Бенц". Под такую силовую установку был рассчитан рабочий проект, а также выпущен ознакомительный альбом для военных и смотровая (тактическая) модель. После принятия представленных документов, носивших больше рекламный характер, чем практический, выяснилось, что далеко не всегда трофейные моторы (независимо от марки) могут быть доведены до требуемой мощности в связи с отсутствием для них формуляров, инструкций и прочей эксплуатационной документации. Имевшиеся моторы были не совсем и неодинаково исправны, нуждались в ремонте и длительной доводке. Больше, чем по 140 л.с. мощности, они дать не могли. Начавшиеся поставки союзников упростили задачу оснащения крейсера нужной силовой группой. Французская фирма "Сальмсон" предложила стационарные звездообразные моторы воздушного охлаждения нужной мощности. Они и были выбраны для самолета. Прежние двигатели "Бенц" хотели было поставить между парами внутренних стоек бипланной коробки. Для устройства подмоторного крепежа стойки получили бы форму ромба при общих точках опоры на верхнем и нижнем крыльях. Двигатели должны были быть установлены на горизонтальные подмоторные брусья, лежащие посередине высоты стоек. После замены моторов Л.Д.Колпаков принял решение об устройстве двух обтекаемых мотогондол, объединяющих все агрегаты и ситемы винтомоторных групп. Каждая мотогондола собиралась из тянущего двухлопастного винта (6=2,9 м), начинаясь с его кока, собственно двигателя "Сальмсон", размещенного в миделевом сечении гондолы и установленного на У-образных передних стойках бипланной коробки без моторных рам. Далее, в центральном отсеке каждой гондолы был устроен топливный бак на 420 л бензина, отделенный от двига-тел противопожарной перегородкой. Внутри хвостовых стекателей было помещено еще по одному баку, вернее, бачку, на 45 л моторного масла. Хвостовые опоры крепления мотогондол, лежащие в плоскости задних </w:t>
      </w:r>
      <w:proofErr w:type="gramStart"/>
      <w:r w:rsidRPr="00405303">
        <w:rPr>
          <w:bCs/>
          <w:color w:val="002060"/>
          <w:sz w:val="16"/>
          <w:szCs w:val="16"/>
        </w:rPr>
        <w:t>лонжерон-ных</w:t>
      </w:r>
      <w:proofErr w:type="gramEnd"/>
      <w:r w:rsidRPr="00405303">
        <w:rPr>
          <w:bCs/>
          <w:color w:val="002060"/>
          <w:sz w:val="16"/>
          <w:szCs w:val="16"/>
        </w:rPr>
        <w:t xml:space="preserve"> крыльев, имели У-образную форму и были составлены из алюминиевых труб каплевидного сечения, аналогично У-образным стойкам, на которых висели двигатели. Для передачи силы тяги ВМГ на конструкцию аэроплана к переднему лонжерону нижнего крыла были прикреплены два подкоса. Передний подкос, работающий на растяжение, шел от первого шпангоута гондолы, по оси которого был заделан люнет для удлиненного вала, передающего обороты на пропеллер. Задний подкос работал на сжатие, он разгружал хвостовое крепление гондолы, т.е. У-образную стойку крыльев, которая при даче газа работала на изгиб. Таким образом, наиболее сложно нагруженными точками конструкции самолета были узлы переднего лонжерона нижнего крыла, к которым подходили и крепились передние стержни стоек шасси (снизу), а внутри крыла была установлена еще и усиленная нервюра. Поэтому, в центральной части нижнего крыла элементы конструкции были усилены, выполнены более мощными (за счет включения стальных накладок, уголков и фитингов), чем в остальных регулярных зонах по размаху. По рекомендации профессора С. П. Тимошенко, центральная клетка бипланной коробки получила дополнительное усиление набором диагональных растяжек. Все пролеты между стойками также были расчалены по диагоналям стальными лентами. Концевые вылеты верхнего крыла были поддержаны подкосами от нижних заделок крайних вертикальных стоек и дополнительно подкреплены контрподкосами. Конструкция крыльев - деревянная, с полотняной обтяжкой. Элероны были только на верхнем крыле. Двухколесное шасси имело опорные стойки, установленные под нижним крылом в плоскости каждой мотогондолы на расстоянии от оси самолета 2,15 м. Между днищем фюзеляжа и полувилками пневматиков были установлены V-образные подкосы, качающиеся вокруг шарниров заделки в корпусе при движении аппарата по неровному грунту. Мощные многовитковые резиновые амортизаторы, стягивающие передние и задние стержни стоек шасси, допускали возможные перемещения колес при осадке в пределах 220-250 м. Ход за счет обжатия пневматиков был незначительным, а поэтому нерасчетным. Колеса (900x120 мм) имели ободы, сделанные из гнутого ясеня и легкие алюминиевые колпаки (6=3 мм), которые закрыли с двух сторон спицы каждого колеса и крепились к ободам на 8-ми винтах. Хвостовое оперение сотояло из киля, стабилизатора и рулей, имевших нарочито округлые формы передних и задних кромок, включая и осевую компенсацию руля поворота. Фюзеляж состоял из двух деревянных монококовых частей (впервые в России для крупных самолетов). Передняя его часть имела наружные обводы двойной кривизны, каркас состоял из семи шпангоутов и набора стрингеров, четыре из которых были усилены и фактиески выполняли функцию лонжеронов. На двух нижних продольных брусьях был постлан пол в кабинах переднего стрелка и летчика. В пределах рабочего места аэрофотографа пол был приопущен для удобства воздушной съемки через бортовые иллюминаторы. Задняя часть фюзеляжа имела также монококовую конструкцию и соединялась с головной частью фланцевым стыком. Она была набрана из десяти шпангоутов и комплекта разновеликих стрингеров. У самого стыкового фланца была устроена кабина для заднего стрелка. Все члены экипажа занимали свои места, пользуясь открытыми проемами. У фотографа был еще нижний аварийный люк, который мог применяться как окно для ручного бомбометания. Стрелковое вооружение "Лебедя-Гранда" состояло из трех пулеметов. В одном из проектных вариантов вооружения значилась пушка калибра 37 мм и два пулемета. Управление элеронами и рулевыми поверхностями хвостового оперения -тросовое, с прокладкой силовых коммуникаций внутри обшивки крыльев и фюзеляжа. В целом, конструкция аэроплана была тщательно продумана и добротно выполнена в производстве. "Лебедь-Гранд" обладал хорошей аэродинамикой и полноценным вооружением, будучи ярко выраженным типом дальнего разведчика или среднего бомбардировщика, в зависимости от назначения, вариантов целевого оснащения и боевой нагрузки. </w:t>
      </w:r>
    </w:p>
    <w:p w14:paraId="1BDFBD6A" w14:textId="77777777" w:rsidR="004B4E35" w:rsidRPr="00405303" w:rsidRDefault="009E6F82" w:rsidP="00C15251">
      <w:pPr>
        <w:jc w:val="both"/>
        <w:rPr>
          <w:bCs/>
          <w:color w:val="002060"/>
          <w:sz w:val="16"/>
          <w:szCs w:val="16"/>
        </w:rPr>
      </w:pPr>
      <w:r w:rsidRPr="00405303">
        <w:rPr>
          <w:bCs/>
          <w:color w:val="002060"/>
          <w:sz w:val="16"/>
          <w:szCs w:val="16"/>
        </w:rPr>
        <w:t>Однако, ему не удалось показать себя ни в одном из боевых качеств, предписанных заказчиками и создателями еще на стадии проектирования (11237).</w:t>
      </w:r>
    </w:p>
    <w:p w14:paraId="67A33C08" w14:textId="77777777" w:rsidR="00F66D76" w:rsidRPr="00405303" w:rsidRDefault="00F66D76" w:rsidP="00C15251">
      <w:pPr>
        <w:jc w:val="both"/>
        <w:rPr>
          <w:bCs/>
          <w:color w:val="002060"/>
          <w:sz w:val="16"/>
          <w:szCs w:val="16"/>
        </w:rPr>
      </w:pPr>
    </w:p>
    <w:p w14:paraId="66870BD0" w14:textId="77777777" w:rsidR="00F66D76" w:rsidRPr="00405303" w:rsidRDefault="00F66D76" w:rsidP="00C15251">
      <w:pPr>
        <w:jc w:val="both"/>
        <w:rPr>
          <w:bCs/>
          <w:color w:val="002060"/>
          <w:sz w:val="16"/>
          <w:szCs w:val="16"/>
        </w:rPr>
      </w:pPr>
      <w:r w:rsidRPr="00405303">
        <w:rPr>
          <w:bCs/>
          <w:color w:val="002060"/>
          <w:sz w:val="16"/>
          <w:szCs w:val="16"/>
        </w:rPr>
        <w:t xml:space="preserve">Весной 1915 года был представлен и утвержден заказчиком проект аэроплана Л. Д. Колпакова, который обратился в Военное ведомство с предложением о создании боевого аэроплана, предназначенного для выполнения дальней воздушной разведки, бомбардирования войск и военных объектов противника. Руководство ведомства </w:t>
      </w:r>
      <w:r w:rsidRPr="00405303">
        <w:rPr>
          <w:bCs/>
          <w:color w:val="002060"/>
          <w:sz w:val="16"/>
          <w:szCs w:val="16"/>
        </w:rPr>
        <w:lastRenderedPageBreak/>
        <w:t>отнеслось к этой идее положительно и, согласовав с авиационным отделом специфические тонкости, сформулировало задание, согласно которому будущий "Летающий крейсер" должен был бы иметь "скорость полета 150-160 км/ч, высоту порядка 4000-5000 м и при бомбовой нагрузке 550-600 кг...".</w:t>
      </w:r>
    </w:p>
    <w:p w14:paraId="1C425DB8" w14:textId="14B7BB90" w:rsidR="004B4E35" w:rsidRPr="00405303" w:rsidRDefault="009E6F82" w:rsidP="00C15251">
      <w:pPr>
        <w:jc w:val="both"/>
        <w:rPr>
          <w:bCs/>
          <w:color w:val="002060"/>
          <w:sz w:val="16"/>
          <w:szCs w:val="16"/>
        </w:rPr>
      </w:pPr>
      <w:r w:rsidRPr="00405303">
        <w:rPr>
          <w:bCs/>
          <w:color w:val="002060"/>
          <w:sz w:val="16"/>
          <w:szCs w:val="16"/>
        </w:rPr>
        <w:t xml:space="preserve">Принятые в проекте основные геометрические параметры и расчетные весовые характеристики оказались в такой степени близкими к реальности, что практически не изменились к окончанию постройки "Лебедя-14". Отклонения были вынужденными и оказались несущественными. Первоначальная ориентация на два мотора мощностью по 150 л.с. (было отмечено в задании) привела к выбору для самолета доступных двигателей "Бенц". Под такую силовую установку был рассчитан рабочий проект, а также выпущен ознакомительный альбом для военных и смотровая (тактическая) модель. После принятия представленных документов, носивших больше рекламный характер, чем практический, выяснилось, что далеко не всегда трофейные моторы (независимо от марки) могут быть доведены до требуемой мощности в связи с отсутствием для них формуляров, инструкций и прочей эксплуатационной документации. Имевшиеся моторы были не совсем и неодинаково исправны, нуждались в ремонте и длительной доводке. Больше, чем по 140 л.с. </w:t>
      </w:r>
      <w:proofErr w:type="gramStart"/>
      <w:r w:rsidRPr="00405303">
        <w:rPr>
          <w:bCs/>
          <w:color w:val="002060"/>
          <w:sz w:val="16"/>
          <w:szCs w:val="16"/>
        </w:rPr>
        <w:t>мощности,они</w:t>
      </w:r>
      <w:proofErr w:type="gramEnd"/>
      <w:r w:rsidRPr="00405303">
        <w:rPr>
          <w:bCs/>
          <w:color w:val="002060"/>
          <w:sz w:val="16"/>
          <w:szCs w:val="16"/>
        </w:rPr>
        <w:t xml:space="preserve"> дать не могли. Начавшиеся поставки союзников упростили задачу оснащения крейсера нужной силовой группой. Французская фирма "Сальмсон" предложила стационарные звездообразные моторы воздушного охлаждения нужной мощности. Они и были выбраны для самолета. Прежние двигатели "Бенц" хотели было поставить между парами внутренних стоек бипланной коробки. Для устройства подмоторного крепежа стойки получили бы форму ромба при общих точках опоры на верхнем и нижнем крыльях. Двигатели должны были быть установлены на горизонтальные подмоторные брусья, лежащие посередине высоты стоек. После замены моторов Л.Д.Колпаков принял решение об устройстве двух обтекаемых мотогондол, объединяющих все агрегаты и системы винтомоторных групп. Каждая мотогондола собиралась из тянущего двухлопастного винта (d=2,9 м), начинаясь с его кока, собственно двигателя "Сальмсон", размещенного в миделевом сечении гондолы и установленного на Y-образных передних стойках бипланной коробки без моторных рам. Далее, в центральном отсеке каждой гондолы был устроен топливный бак на 420 л бензина, отделенный от двигателя противопожарной перегородкой. Внутри хвостовых обтекателей было помещено еще по одному баку, вернее -бачку, на 45 л моторного масла. Хвостовые опоры крепления мотогондол, лежащие в плоскости задних лонжеронных крыльев, имели V-образную форму и были составлены из алюминиевых труб каплевидного сечения, аналогично Y-образным стойкам, на которых висели двигатели. Для передачи силы тяги ВМГ на конструкцию аэроплана к переднему лонжерону нижнего крыла были прикреплены два подкоса. Передний подкос, работающий на растяжение, шел от первого шпангоута гондолы, по оси которого был заделан люнет для удлиненного вала, передающего обороты на пропеллер. Задний подкос работал на сжатие, он разгружал хвостовое крепление гондолы, т.е. Y-образную стойку крыльев, которая при даче газа работала на изгиб. Таким образом, наиболее сложно нагруженными точками конструкции самолета были узлы переднего лонжерона нижнего крыла, к которым подходили и крепились передние стержни стоек шасси (снизу), а внутри крыла была установлена еще и усиленная нервюра. Поэтому, в центральной части нижнего крыла элементы конструкции были усилены, выполнены более мощными (за счет включения стальных накладок, уголков и фитингов), чем в остальных регулярных зонах по размаху. По рекомендации профессора С.П.Тимошенко, центральная клетка бипланной коробки получила дополнительное усиление набором диагональных растяжек. Все пролеты между стойками также были расчалены по диагоналям стальными лентами. Концевые вылеты верхнего крыла были поддержаны подкосами от нижних заделок крайних вертикальных стоек и дополнительно подкреплены контрподкосами. Конструкция крыльев - деревянная, с полотняной обтяжкой. Элероны были только на верхнем крыле. Двухколесное шасси имело опорные стойки, установленные под нижним крылом в плоскости каждой мотогондолы на расстоянии от оси самолета 2,15 м. Между днищем фюзеляжа и полувилками пневматиков были установлены Y-образные подкосы, качающиеся вокруг шарниров заделки в корпусе при движении аппарата по неровному грунту. Мощные многовитковые резиновые амортизаторы, стягивающие передние и задние стержни стоек шасси, допускали возможные перемещения колес при осадке в пределах 220-250 мм. Ход за счет обжатия пневматиков был незначительным, а поэтому нерасчетным. Колеса (900x120 мм) имели ободы, сделанные из гнутого ясеня и легкие алюминиевые колпаки (6=3 мм), которые закрыли с двух сторон спицы каждого колеса и крепились к ободам на 8-ми винтах. Хвостовое оперение состояло из киля, стабилизатора и рулей, имевших нарочито округлые формы передних и задних кромок, включая и осевую компенсацию руля поворота.</w:t>
      </w:r>
    </w:p>
    <w:p w14:paraId="39121DC8" w14:textId="77777777" w:rsidR="004B4E35" w:rsidRPr="00405303" w:rsidRDefault="009E6F82" w:rsidP="00C15251">
      <w:pPr>
        <w:jc w:val="both"/>
        <w:rPr>
          <w:bCs/>
          <w:color w:val="002060"/>
          <w:sz w:val="16"/>
          <w:szCs w:val="16"/>
        </w:rPr>
      </w:pPr>
      <w:r w:rsidRPr="00405303">
        <w:rPr>
          <w:bCs/>
          <w:color w:val="002060"/>
          <w:sz w:val="16"/>
          <w:szCs w:val="16"/>
        </w:rPr>
        <w:t>Фюзеляж состоял из двух деревянных монококовых частей (впервые в России для крупных самолетов). Передняя его часть имела наружные обводы двойной кривизны, каркас состоял из семи шпангоутов и набора стрингеров, четыре из которых были усилены и фактически выполняли функцию лонжеронов. На двух нижних продольных брусьях был постлан пол в кабинах переднего стрелка и летчика. В пределах рабочего места аэрофотографа пол был приопущен для удобства воздушной съемки через бортовые иллюминаторы. Задняя часть фюзеляжа имела также монококовую конструкцию и соединялась с головной частью фланцевым стыком. Она была набрана из десяти шпангоутов и комплекта разновеликих стрингеров. У самого стыкового фланца была устроена кабина для заднего стрелка. Все члены экипажа занимали свои места, пользуясь открытыми проемами. У фотографа был еще нижний аварийный люк, который мог применяться как окно для ручного бомбометания. Стрелковое вооружение "Лебедя-Гранда" состояло из трех пулеметов. В одном из проектных вариантов вооружения значилась пушка калибра 37 мм и два пулемета. Управление элеронами и рулевыми поверхностями хвостового оперения -тросовое, с прокладкой силовых коммуникаций внутри обшивки крыльев и фюзеляжа.</w:t>
      </w:r>
    </w:p>
    <w:p w14:paraId="070D5581" w14:textId="77777777" w:rsidR="004B4E35" w:rsidRPr="00405303" w:rsidRDefault="009E6F82" w:rsidP="00C15251">
      <w:pPr>
        <w:jc w:val="both"/>
        <w:rPr>
          <w:bCs/>
          <w:color w:val="002060"/>
          <w:sz w:val="16"/>
          <w:szCs w:val="16"/>
        </w:rPr>
      </w:pPr>
      <w:r w:rsidRPr="00405303">
        <w:rPr>
          <w:bCs/>
          <w:color w:val="002060"/>
          <w:sz w:val="16"/>
          <w:szCs w:val="16"/>
        </w:rPr>
        <w:t>В целом, конструкция аэроплана была тщательно продумана и добротно выполнена в производстве. "Лебедь-Гранд" обладал хорошей аэродинамикой и полноценным вооружением, будучи ярко выраженным типом дальнего разведчика или среднего бомбардировщика, в зависимости от назначения, вариантов целевого оснащения и боевой нагрузки.</w:t>
      </w:r>
    </w:p>
    <w:p w14:paraId="2595F328" w14:textId="77777777" w:rsidR="004B4E35" w:rsidRPr="00405303" w:rsidRDefault="009E6F82" w:rsidP="00C15251">
      <w:pPr>
        <w:jc w:val="both"/>
        <w:rPr>
          <w:bCs/>
          <w:color w:val="002060"/>
          <w:sz w:val="16"/>
          <w:szCs w:val="16"/>
        </w:rPr>
      </w:pPr>
      <w:r w:rsidRPr="00405303">
        <w:rPr>
          <w:bCs/>
          <w:color w:val="002060"/>
          <w:sz w:val="16"/>
          <w:szCs w:val="16"/>
        </w:rPr>
        <w:t>Однако, ему не удалось показать себя ни в одном из боевых качеств, предписанных заказчиками и создателями еще на стадии проектирования.</w:t>
      </w:r>
    </w:p>
    <w:p w14:paraId="049E0F57" w14:textId="77777777" w:rsidR="004B4E35" w:rsidRPr="00405303" w:rsidRDefault="009E6F82" w:rsidP="00C15251">
      <w:pPr>
        <w:jc w:val="both"/>
        <w:rPr>
          <w:bCs/>
          <w:color w:val="002060"/>
          <w:sz w:val="16"/>
          <w:szCs w:val="16"/>
        </w:rPr>
      </w:pPr>
      <w:r w:rsidRPr="00405303">
        <w:rPr>
          <w:bCs/>
          <w:color w:val="002060"/>
          <w:sz w:val="16"/>
          <w:szCs w:val="16"/>
        </w:rPr>
        <w:t>Постройка аппарата началась в середине 1916 года и продолжалась до второй половины 1917 года. Начавшиеся летные испытания до конца доведены не были, однако, было выявлено, что центровка машины была неудовлетворительной. На вооружение армии самолет, естественно, принят не был. Имевшиеся в конструкции недостатки можно было устранить, но отрицательное отношение Военного ведомства к машинам большого тоннажа не дало возможности довести "Лебедя-Гранда" до серийного производства. Ко всему прочему, политические события в Петрограде, да и в России в целом, не позволили проводить дальнейшее совершенствование авиационной техники. Обрушившийся на Российскую империю всеобщий крах выбил авиацию "как класс" на полных 6-7 лет, пока в 1923-24 гг. не начали появляться вновь первые низкопробные любительские авиетки и на верные 10-12 лет, пока в стране не появились первые крупносерийные самолеты, достойные всеобщего уважения.</w:t>
      </w:r>
    </w:p>
    <w:p w14:paraId="3EBF2CDC" w14:textId="77777777" w:rsidR="004B4E35" w:rsidRPr="00405303" w:rsidRDefault="009E6F82" w:rsidP="00C15251">
      <w:pPr>
        <w:jc w:val="both"/>
        <w:rPr>
          <w:bCs/>
          <w:color w:val="002060"/>
          <w:sz w:val="16"/>
          <w:szCs w:val="16"/>
        </w:rPr>
      </w:pPr>
      <w:r w:rsidRPr="00405303">
        <w:rPr>
          <w:bCs/>
          <w:color w:val="002060"/>
          <w:sz w:val="16"/>
          <w:szCs w:val="16"/>
        </w:rPr>
        <w:t>"Большой истребитель" инженера Л.Д.Колпакова-Мирошниченко стал "Лебединой песней" российской дореволюционной авиации</w:t>
      </w:r>
    </w:p>
    <w:p w14:paraId="4728CCDD" w14:textId="77777777" w:rsidR="004B4E35" w:rsidRPr="00405303" w:rsidRDefault="009E6F82" w:rsidP="00C15251">
      <w:pPr>
        <w:jc w:val="both"/>
        <w:rPr>
          <w:bCs/>
          <w:color w:val="002060"/>
          <w:sz w:val="16"/>
          <w:szCs w:val="16"/>
        </w:rPr>
      </w:pPr>
      <w:r w:rsidRPr="00405303">
        <w:rPr>
          <w:bCs/>
          <w:color w:val="002060"/>
          <w:sz w:val="16"/>
          <w:szCs w:val="16"/>
        </w:rPr>
        <w:t>Сам конструктор заявил о себе спустя несколько лет. В 1926 году появился его легкий бомбардировщик ЛБ-2ЛД. Он проходил летные испытания, но дальнейшего развития не получил в связи с появлением ТБ-1 А.Н.Туполева. Самолет во многом напоминал "Лебедь-Гранд".</w:t>
      </w:r>
    </w:p>
    <w:tbl>
      <w:tblPr>
        <w:tblW w:w="0" w:type="auto"/>
        <w:tblLayout w:type="fixed"/>
        <w:tblCellMar>
          <w:left w:w="0" w:type="dxa"/>
          <w:right w:w="0" w:type="dxa"/>
        </w:tblCellMar>
        <w:tblLook w:val="0000" w:firstRow="0" w:lastRow="0" w:firstColumn="0" w:lastColumn="0" w:noHBand="0" w:noVBand="0"/>
      </w:tblPr>
      <w:tblGrid>
        <w:gridCol w:w="5045"/>
        <w:gridCol w:w="4314"/>
      </w:tblGrid>
      <w:tr w:rsidR="00946658" w:rsidRPr="00405303" w14:paraId="7CF71B4A" w14:textId="77777777" w:rsidTr="00946658">
        <w:tc>
          <w:tcPr>
            <w:tcW w:w="9359" w:type="dxa"/>
            <w:gridSpan w:val="2"/>
          </w:tcPr>
          <w:p w14:paraId="03480511" w14:textId="77777777" w:rsidR="004B4E35" w:rsidRPr="00405303" w:rsidRDefault="009E6F82" w:rsidP="00C15251">
            <w:pPr>
              <w:jc w:val="both"/>
              <w:rPr>
                <w:bCs/>
                <w:color w:val="002060"/>
                <w:sz w:val="16"/>
                <w:szCs w:val="16"/>
              </w:rPr>
            </w:pPr>
            <w:r w:rsidRPr="00405303">
              <w:rPr>
                <w:bCs/>
                <w:color w:val="002060"/>
                <w:sz w:val="16"/>
                <w:szCs w:val="16"/>
              </w:rPr>
              <w:t>Основные летно-тактические характеристики самолета "Лебедь-Гранд"</w:t>
            </w:r>
          </w:p>
        </w:tc>
      </w:tr>
      <w:tr w:rsidR="004B4E35" w:rsidRPr="00405303" w14:paraId="3171DBD3" w14:textId="77777777">
        <w:tc>
          <w:tcPr>
            <w:tcW w:w="5045" w:type="dxa"/>
            <w:tcBorders>
              <w:top w:val="single" w:sz="12" w:space="0" w:color="auto"/>
              <w:left w:val="single" w:sz="12" w:space="0" w:color="auto"/>
              <w:bottom w:val="single" w:sz="6" w:space="0" w:color="auto"/>
              <w:right w:val="single" w:sz="6" w:space="0" w:color="auto"/>
            </w:tcBorders>
          </w:tcPr>
          <w:p w14:paraId="2EDED5FB" w14:textId="77777777" w:rsidR="004B4E35" w:rsidRPr="00405303" w:rsidRDefault="009E6F82" w:rsidP="00C15251">
            <w:pPr>
              <w:jc w:val="both"/>
              <w:rPr>
                <w:bCs/>
                <w:color w:val="002060"/>
                <w:sz w:val="16"/>
                <w:szCs w:val="16"/>
              </w:rPr>
            </w:pPr>
            <w:r w:rsidRPr="00405303">
              <w:rPr>
                <w:bCs/>
                <w:color w:val="002060"/>
                <w:sz w:val="16"/>
                <w:szCs w:val="16"/>
              </w:rPr>
              <w:t>Самолет</w:t>
            </w:r>
          </w:p>
        </w:tc>
        <w:tc>
          <w:tcPr>
            <w:tcW w:w="4314" w:type="dxa"/>
            <w:tcBorders>
              <w:top w:val="single" w:sz="12" w:space="0" w:color="auto"/>
              <w:left w:val="single" w:sz="6" w:space="0" w:color="auto"/>
              <w:bottom w:val="single" w:sz="6" w:space="0" w:color="auto"/>
              <w:right w:val="single" w:sz="12" w:space="0" w:color="auto"/>
            </w:tcBorders>
          </w:tcPr>
          <w:p w14:paraId="35C3BE8C" w14:textId="77777777" w:rsidR="004B4E35" w:rsidRPr="00405303" w:rsidRDefault="009E6F82" w:rsidP="00C15251">
            <w:pPr>
              <w:jc w:val="both"/>
              <w:rPr>
                <w:bCs/>
                <w:color w:val="002060"/>
                <w:sz w:val="16"/>
                <w:szCs w:val="16"/>
              </w:rPr>
            </w:pPr>
            <w:r w:rsidRPr="00405303">
              <w:rPr>
                <w:bCs/>
                <w:color w:val="002060"/>
                <w:sz w:val="16"/>
                <w:szCs w:val="16"/>
              </w:rPr>
              <w:t>"Лебедь-Гранд"</w:t>
            </w:r>
          </w:p>
        </w:tc>
      </w:tr>
      <w:tr w:rsidR="004B4E35" w:rsidRPr="00405303" w14:paraId="17440C24" w14:textId="77777777">
        <w:tc>
          <w:tcPr>
            <w:tcW w:w="5045" w:type="dxa"/>
            <w:tcBorders>
              <w:top w:val="single" w:sz="6" w:space="0" w:color="auto"/>
              <w:left w:val="single" w:sz="12" w:space="0" w:color="auto"/>
              <w:bottom w:val="single" w:sz="6" w:space="0" w:color="auto"/>
              <w:right w:val="single" w:sz="6" w:space="0" w:color="auto"/>
            </w:tcBorders>
          </w:tcPr>
          <w:p w14:paraId="780AF4C2" w14:textId="77777777" w:rsidR="004B4E35" w:rsidRPr="00405303" w:rsidRDefault="009E6F82" w:rsidP="00C15251">
            <w:pPr>
              <w:jc w:val="both"/>
              <w:rPr>
                <w:bCs/>
                <w:color w:val="002060"/>
                <w:sz w:val="16"/>
                <w:szCs w:val="16"/>
              </w:rPr>
            </w:pPr>
            <w:r w:rsidRPr="00405303">
              <w:rPr>
                <w:bCs/>
                <w:color w:val="002060"/>
                <w:sz w:val="16"/>
                <w:szCs w:val="16"/>
              </w:rPr>
              <w:t>Год выпуска</w:t>
            </w:r>
          </w:p>
        </w:tc>
        <w:tc>
          <w:tcPr>
            <w:tcW w:w="4314" w:type="dxa"/>
            <w:tcBorders>
              <w:top w:val="single" w:sz="6" w:space="0" w:color="auto"/>
              <w:left w:val="single" w:sz="6" w:space="0" w:color="auto"/>
              <w:bottom w:val="single" w:sz="6" w:space="0" w:color="auto"/>
              <w:right w:val="single" w:sz="12" w:space="0" w:color="auto"/>
            </w:tcBorders>
          </w:tcPr>
          <w:p w14:paraId="575C9EC7" w14:textId="77777777" w:rsidR="004B4E35" w:rsidRPr="00405303" w:rsidRDefault="009E6F82" w:rsidP="00C15251">
            <w:pPr>
              <w:jc w:val="both"/>
              <w:rPr>
                <w:bCs/>
                <w:color w:val="002060"/>
                <w:sz w:val="16"/>
                <w:szCs w:val="16"/>
              </w:rPr>
            </w:pPr>
            <w:r w:rsidRPr="00405303">
              <w:rPr>
                <w:bCs/>
                <w:color w:val="002060"/>
                <w:sz w:val="16"/>
                <w:szCs w:val="16"/>
              </w:rPr>
              <w:t>1917</w:t>
            </w:r>
          </w:p>
        </w:tc>
      </w:tr>
      <w:tr w:rsidR="004B4E35" w:rsidRPr="00405303" w14:paraId="7AD9160A" w14:textId="77777777">
        <w:tc>
          <w:tcPr>
            <w:tcW w:w="5045" w:type="dxa"/>
            <w:tcBorders>
              <w:top w:val="single" w:sz="6" w:space="0" w:color="auto"/>
              <w:left w:val="single" w:sz="12" w:space="0" w:color="auto"/>
              <w:bottom w:val="single" w:sz="6" w:space="0" w:color="auto"/>
              <w:right w:val="single" w:sz="6" w:space="0" w:color="auto"/>
            </w:tcBorders>
          </w:tcPr>
          <w:p w14:paraId="28927E5F" w14:textId="77777777" w:rsidR="004B4E35" w:rsidRPr="00405303" w:rsidRDefault="009E6F82" w:rsidP="00C15251">
            <w:pPr>
              <w:jc w:val="both"/>
              <w:rPr>
                <w:bCs/>
                <w:color w:val="002060"/>
                <w:sz w:val="16"/>
                <w:szCs w:val="16"/>
              </w:rPr>
            </w:pPr>
            <w:r w:rsidRPr="00405303">
              <w:rPr>
                <w:bCs/>
                <w:color w:val="002060"/>
                <w:sz w:val="16"/>
                <w:szCs w:val="16"/>
              </w:rPr>
              <w:t>Заводское обозначение</w:t>
            </w:r>
          </w:p>
        </w:tc>
        <w:tc>
          <w:tcPr>
            <w:tcW w:w="4314" w:type="dxa"/>
            <w:tcBorders>
              <w:top w:val="single" w:sz="6" w:space="0" w:color="auto"/>
              <w:left w:val="single" w:sz="6" w:space="0" w:color="auto"/>
              <w:bottom w:val="single" w:sz="6" w:space="0" w:color="auto"/>
              <w:right w:val="single" w:sz="12" w:space="0" w:color="auto"/>
            </w:tcBorders>
          </w:tcPr>
          <w:p w14:paraId="1706CC52" w14:textId="77777777" w:rsidR="004B4E35" w:rsidRPr="00405303" w:rsidRDefault="009E6F82" w:rsidP="00C15251">
            <w:pPr>
              <w:jc w:val="both"/>
              <w:rPr>
                <w:bCs/>
                <w:color w:val="002060"/>
                <w:sz w:val="16"/>
                <w:szCs w:val="16"/>
              </w:rPr>
            </w:pPr>
            <w:r w:rsidRPr="00405303">
              <w:rPr>
                <w:bCs/>
                <w:color w:val="002060"/>
                <w:sz w:val="16"/>
                <w:szCs w:val="16"/>
              </w:rPr>
              <w:t>Л-14</w:t>
            </w:r>
          </w:p>
        </w:tc>
      </w:tr>
      <w:tr w:rsidR="004B4E35" w:rsidRPr="00405303" w14:paraId="4D654128" w14:textId="77777777">
        <w:tc>
          <w:tcPr>
            <w:tcW w:w="5045" w:type="dxa"/>
            <w:tcBorders>
              <w:top w:val="single" w:sz="6" w:space="0" w:color="auto"/>
              <w:left w:val="single" w:sz="12" w:space="0" w:color="auto"/>
              <w:bottom w:val="single" w:sz="6" w:space="0" w:color="auto"/>
              <w:right w:val="single" w:sz="6" w:space="0" w:color="auto"/>
            </w:tcBorders>
          </w:tcPr>
          <w:p w14:paraId="752F7CEF" w14:textId="77777777" w:rsidR="004B4E35" w:rsidRPr="00405303" w:rsidRDefault="009E6F82" w:rsidP="00C15251">
            <w:pPr>
              <w:jc w:val="both"/>
              <w:rPr>
                <w:bCs/>
                <w:color w:val="002060"/>
                <w:sz w:val="16"/>
                <w:szCs w:val="16"/>
              </w:rPr>
            </w:pPr>
            <w:r w:rsidRPr="00405303">
              <w:rPr>
                <w:bCs/>
                <w:color w:val="002060"/>
                <w:sz w:val="16"/>
                <w:szCs w:val="16"/>
              </w:rPr>
              <w:t>Силовая установка</w:t>
            </w:r>
          </w:p>
        </w:tc>
        <w:tc>
          <w:tcPr>
            <w:tcW w:w="4314" w:type="dxa"/>
            <w:tcBorders>
              <w:top w:val="single" w:sz="6" w:space="0" w:color="auto"/>
              <w:left w:val="single" w:sz="6" w:space="0" w:color="auto"/>
              <w:bottom w:val="single" w:sz="6" w:space="0" w:color="auto"/>
              <w:right w:val="single" w:sz="12" w:space="0" w:color="auto"/>
            </w:tcBorders>
          </w:tcPr>
          <w:p w14:paraId="39D8CE0B" w14:textId="77777777" w:rsidR="004B4E35" w:rsidRPr="00405303" w:rsidRDefault="009E6F82" w:rsidP="00C15251">
            <w:pPr>
              <w:jc w:val="both"/>
              <w:rPr>
                <w:bCs/>
                <w:color w:val="002060"/>
                <w:sz w:val="16"/>
                <w:szCs w:val="16"/>
              </w:rPr>
            </w:pPr>
            <w:r w:rsidRPr="00405303">
              <w:rPr>
                <w:bCs/>
                <w:color w:val="002060"/>
                <w:sz w:val="16"/>
                <w:szCs w:val="16"/>
              </w:rPr>
              <w:t>2х"Сальмсон"</w:t>
            </w:r>
          </w:p>
        </w:tc>
      </w:tr>
      <w:tr w:rsidR="004B4E35" w:rsidRPr="00405303" w14:paraId="3D52A0D1" w14:textId="77777777">
        <w:tc>
          <w:tcPr>
            <w:tcW w:w="5045" w:type="dxa"/>
            <w:tcBorders>
              <w:top w:val="single" w:sz="6" w:space="0" w:color="auto"/>
              <w:left w:val="single" w:sz="12" w:space="0" w:color="auto"/>
              <w:bottom w:val="single" w:sz="6" w:space="0" w:color="auto"/>
              <w:right w:val="single" w:sz="6" w:space="0" w:color="auto"/>
            </w:tcBorders>
          </w:tcPr>
          <w:p w14:paraId="4081681C" w14:textId="77777777" w:rsidR="004B4E35" w:rsidRPr="00405303" w:rsidRDefault="009E6F82" w:rsidP="00C15251">
            <w:pPr>
              <w:jc w:val="both"/>
              <w:rPr>
                <w:bCs/>
                <w:color w:val="002060"/>
                <w:sz w:val="16"/>
                <w:szCs w:val="16"/>
              </w:rPr>
            </w:pPr>
            <w:r w:rsidRPr="00405303">
              <w:rPr>
                <w:bCs/>
                <w:color w:val="002060"/>
                <w:sz w:val="16"/>
                <w:szCs w:val="16"/>
              </w:rPr>
              <w:t>Мощность максимальная, л. с.</w:t>
            </w:r>
          </w:p>
        </w:tc>
        <w:tc>
          <w:tcPr>
            <w:tcW w:w="4314" w:type="dxa"/>
            <w:tcBorders>
              <w:top w:val="single" w:sz="6" w:space="0" w:color="auto"/>
              <w:left w:val="single" w:sz="6" w:space="0" w:color="auto"/>
              <w:bottom w:val="single" w:sz="6" w:space="0" w:color="auto"/>
              <w:right w:val="single" w:sz="12" w:space="0" w:color="auto"/>
            </w:tcBorders>
          </w:tcPr>
          <w:p w14:paraId="3F83C613" w14:textId="77777777" w:rsidR="004B4E35" w:rsidRPr="00405303" w:rsidRDefault="009E6F82" w:rsidP="00C15251">
            <w:pPr>
              <w:jc w:val="both"/>
              <w:rPr>
                <w:bCs/>
                <w:color w:val="002060"/>
                <w:sz w:val="16"/>
                <w:szCs w:val="16"/>
              </w:rPr>
            </w:pPr>
            <w:r w:rsidRPr="00405303">
              <w:rPr>
                <w:bCs/>
                <w:color w:val="002060"/>
                <w:sz w:val="16"/>
                <w:szCs w:val="16"/>
              </w:rPr>
              <w:t>2x150</w:t>
            </w:r>
          </w:p>
        </w:tc>
      </w:tr>
      <w:tr w:rsidR="004B4E35" w:rsidRPr="00405303" w14:paraId="7E451F83" w14:textId="77777777">
        <w:tc>
          <w:tcPr>
            <w:tcW w:w="5045" w:type="dxa"/>
            <w:tcBorders>
              <w:top w:val="single" w:sz="6" w:space="0" w:color="auto"/>
              <w:left w:val="single" w:sz="12" w:space="0" w:color="auto"/>
              <w:bottom w:val="single" w:sz="6" w:space="0" w:color="auto"/>
              <w:right w:val="single" w:sz="6" w:space="0" w:color="auto"/>
            </w:tcBorders>
          </w:tcPr>
          <w:p w14:paraId="25F04A91" w14:textId="77777777" w:rsidR="004B4E35" w:rsidRPr="00405303" w:rsidRDefault="009E6F82" w:rsidP="00C15251">
            <w:pPr>
              <w:jc w:val="both"/>
              <w:rPr>
                <w:bCs/>
                <w:color w:val="002060"/>
                <w:sz w:val="16"/>
                <w:szCs w:val="16"/>
              </w:rPr>
            </w:pPr>
            <w:r w:rsidRPr="00405303">
              <w:rPr>
                <w:bCs/>
                <w:color w:val="002060"/>
                <w:sz w:val="16"/>
                <w:szCs w:val="16"/>
              </w:rPr>
              <w:t>Скорость максимальная, км/ч</w:t>
            </w:r>
          </w:p>
        </w:tc>
        <w:tc>
          <w:tcPr>
            <w:tcW w:w="4314" w:type="dxa"/>
            <w:tcBorders>
              <w:top w:val="single" w:sz="6" w:space="0" w:color="auto"/>
              <w:left w:val="single" w:sz="6" w:space="0" w:color="auto"/>
              <w:bottom w:val="single" w:sz="6" w:space="0" w:color="auto"/>
              <w:right w:val="single" w:sz="12" w:space="0" w:color="auto"/>
            </w:tcBorders>
          </w:tcPr>
          <w:p w14:paraId="0E6971F3" w14:textId="77777777" w:rsidR="004B4E35" w:rsidRPr="00405303" w:rsidRDefault="009E6F82" w:rsidP="00C15251">
            <w:pPr>
              <w:jc w:val="both"/>
              <w:rPr>
                <w:bCs/>
                <w:color w:val="002060"/>
                <w:sz w:val="16"/>
                <w:szCs w:val="16"/>
              </w:rPr>
            </w:pPr>
            <w:r w:rsidRPr="00405303">
              <w:rPr>
                <w:bCs/>
                <w:color w:val="002060"/>
                <w:sz w:val="16"/>
                <w:szCs w:val="16"/>
              </w:rPr>
              <w:t>140</w:t>
            </w:r>
          </w:p>
        </w:tc>
      </w:tr>
      <w:tr w:rsidR="004B4E35" w:rsidRPr="00405303" w14:paraId="3149DAF5" w14:textId="77777777">
        <w:tc>
          <w:tcPr>
            <w:tcW w:w="5045" w:type="dxa"/>
            <w:tcBorders>
              <w:top w:val="single" w:sz="6" w:space="0" w:color="auto"/>
              <w:left w:val="single" w:sz="12" w:space="0" w:color="auto"/>
              <w:bottom w:val="single" w:sz="6" w:space="0" w:color="auto"/>
              <w:right w:val="single" w:sz="6" w:space="0" w:color="auto"/>
            </w:tcBorders>
          </w:tcPr>
          <w:p w14:paraId="3CD6D32F" w14:textId="77777777" w:rsidR="004B4E35" w:rsidRPr="00405303" w:rsidRDefault="009E6F82" w:rsidP="00C15251">
            <w:pPr>
              <w:jc w:val="both"/>
              <w:rPr>
                <w:bCs/>
                <w:color w:val="002060"/>
                <w:sz w:val="16"/>
                <w:szCs w:val="16"/>
              </w:rPr>
            </w:pPr>
            <w:r w:rsidRPr="00405303">
              <w:rPr>
                <w:bCs/>
                <w:color w:val="002060"/>
                <w:sz w:val="16"/>
                <w:szCs w:val="16"/>
              </w:rPr>
              <w:t>Потолок практический, м</w:t>
            </w:r>
          </w:p>
        </w:tc>
        <w:tc>
          <w:tcPr>
            <w:tcW w:w="4314" w:type="dxa"/>
            <w:tcBorders>
              <w:top w:val="single" w:sz="6" w:space="0" w:color="auto"/>
              <w:left w:val="single" w:sz="6" w:space="0" w:color="auto"/>
              <w:bottom w:val="single" w:sz="6" w:space="0" w:color="auto"/>
              <w:right w:val="single" w:sz="12" w:space="0" w:color="auto"/>
            </w:tcBorders>
          </w:tcPr>
          <w:p w14:paraId="18708FD0" w14:textId="77777777" w:rsidR="004B4E35" w:rsidRPr="00405303" w:rsidRDefault="009E6F82" w:rsidP="00C15251">
            <w:pPr>
              <w:jc w:val="both"/>
              <w:rPr>
                <w:bCs/>
                <w:color w:val="002060"/>
                <w:sz w:val="16"/>
                <w:szCs w:val="16"/>
              </w:rPr>
            </w:pPr>
            <w:r w:rsidRPr="00405303">
              <w:rPr>
                <w:bCs/>
                <w:color w:val="002060"/>
                <w:sz w:val="16"/>
                <w:szCs w:val="16"/>
              </w:rPr>
              <w:t>4000</w:t>
            </w:r>
          </w:p>
        </w:tc>
      </w:tr>
      <w:tr w:rsidR="004B4E35" w:rsidRPr="00405303" w14:paraId="176D6DED" w14:textId="77777777">
        <w:tc>
          <w:tcPr>
            <w:tcW w:w="5045" w:type="dxa"/>
            <w:tcBorders>
              <w:top w:val="single" w:sz="6" w:space="0" w:color="auto"/>
              <w:left w:val="single" w:sz="12" w:space="0" w:color="auto"/>
              <w:bottom w:val="single" w:sz="6" w:space="0" w:color="auto"/>
              <w:right w:val="single" w:sz="6" w:space="0" w:color="auto"/>
            </w:tcBorders>
          </w:tcPr>
          <w:p w14:paraId="7961ABE9" w14:textId="77777777" w:rsidR="004B4E35" w:rsidRPr="00405303" w:rsidRDefault="009E6F82" w:rsidP="00C15251">
            <w:pPr>
              <w:jc w:val="both"/>
              <w:rPr>
                <w:bCs/>
                <w:color w:val="002060"/>
                <w:sz w:val="16"/>
                <w:szCs w:val="16"/>
              </w:rPr>
            </w:pPr>
            <w:r w:rsidRPr="00405303">
              <w:rPr>
                <w:bCs/>
                <w:color w:val="002060"/>
                <w:sz w:val="16"/>
                <w:szCs w:val="16"/>
              </w:rPr>
              <w:t>Продолжительность полета, ч</w:t>
            </w:r>
          </w:p>
        </w:tc>
        <w:tc>
          <w:tcPr>
            <w:tcW w:w="4314" w:type="dxa"/>
            <w:tcBorders>
              <w:top w:val="single" w:sz="6" w:space="0" w:color="auto"/>
              <w:left w:val="single" w:sz="6" w:space="0" w:color="auto"/>
              <w:bottom w:val="single" w:sz="6" w:space="0" w:color="auto"/>
              <w:right w:val="single" w:sz="12" w:space="0" w:color="auto"/>
            </w:tcBorders>
          </w:tcPr>
          <w:p w14:paraId="330D11B7" w14:textId="77777777" w:rsidR="004B4E35" w:rsidRPr="00405303" w:rsidRDefault="009E6F82" w:rsidP="00C15251">
            <w:pPr>
              <w:jc w:val="both"/>
              <w:rPr>
                <w:bCs/>
                <w:color w:val="002060"/>
                <w:sz w:val="16"/>
                <w:szCs w:val="16"/>
              </w:rPr>
            </w:pPr>
            <w:r w:rsidRPr="00405303">
              <w:rPr>
                <w:bCs/>
                <w:color w:val="002060"/>
                <w:sz w:val="16"/>
                <w:szCs w:val="16"/>
              </w:rPr>
              <w:t>4-5</w:t>
            </w:r>
          </w:p>
        </w:tc>
      </w:tr>
      <w:tr w:rsidR="004B4E35" w:rsidRPr="00405303" w14:paraId="4487FD9A" w14:textId="77777777">
        <w:tc>
          <w:tcPr>
            <w:tcW w:w="5045" w:type="dxa"/>
            <w:tcBorders>
              <w:top w:val="single" w:sz="6" w:space="0" w:color="auto"/>
              <w:left w:val="single" w:sz="12" w:space="0" w:color="auto"/>
              <w:bottom w:val="single" w:sz="6" w:space="0" w:color="auto"/>
              <w:right w:val="single" w:sz="6" w:space="0" w:color="auto"/>
            </w:tcBorders>
          </w:tcPr>
          <w:p w14:paraId="5C1EEBC5" w14:textId="77777777" w:rsidR="004B4E35" w:rsidRPr="00405303" w:rsidRDefault="009E6F82" w:rsidP="00C15251">
            <w:pPr>
              <w:jc w:val="both"/>
              <w:rPr>
                <w:bCs/>
                <w:color w:val="002060"/>
                <w:sz w:val="16"/>
                <w:szCs w:val="16"/>
              </w:rPr>
            </w:pPr>
            <w:r w:rsidRPr="00405303">
              <w:rPr>
                <w:bCs/>
                <w:color w:val="002060"/>
                <w:sz w:val="16"/>
                <w:szCs w:val="16"/>
              </w:rPr>
              <w:t>Площадь крыльев, м</w:t>
            </w:r>
            <w:r w:rsidRPr="00405303">
              <w:rPr>
                <w:bCs/>
                <w:color w:val="002060"/>
                <w:sz w:val="16"/>
                <w:szCs w:val="16"/>
                <w:vertAlign w:val="superscript"/>
              </w:rPr>
              <w:t>2</w:t>
            </w:r>
          </w:p>
        </w:tc>
        <w:tc>
          <w:tcPr>
            <w:tcW w:w="4314" w:type="dxa"/>
            <w:tcBorders>
              <w:top w:val="single" w:sz="6" w:space="0" w:color="auto"/>
              <w:left w:val="single" w:sz="6" w:space="0" w:color="auto"/>
              <w:bottom w:val="single" w:sz="6" w:space="0" w:color="auto"/>
              <w:right w:val="single" w:sz="12" w:space="0" w:color="auto"/>
            </w:tcBorders>
          </w:tcPr>
          <w:p w14:paraId="2947DA21" w14:textId="77777777" w:rsidR="004B4E35" w:rsidRPr="00405303" w:rsidRDefault="009E6F82" w:rsidP="00C15251">
            <w:pPr>
              <w:jc w:val="both"/>
              <w:rPr>
                <w:bCs/>
                <w:color w:val="002060"/>
                <w:sz w:val="16"/>
                <w:szCs w:val="16"/>
              </w:rPr>
            </w:pPr>
            <w:r w:rsidRPr="00405303">
              <w:rPr>
                <w:bCs/>
                <w:color w:val="002060"/>
                <w:sz w:val="16"/>
                <w:szCs w:val="16"/>
              </w:rPr>
              <w:t>91,5</w:t>
            </w:r>
          </w:p>
        </w:tc>
      </w:tr>
      <w:tr w:rsidR="004B4E35" w:rsidRPr="00405303" w14:paraId="06F9E023" w14:textId="77777777">
        <w:tc>
          <w:tcPr>
            <w:tcW w:w="5045" w:type="dxa"/>
            <w:tcBorders>
              <w:top w:val="single" w:sz="6" w:space="0" w:color="auto"/>
              <w:left w:val="single" w:sz="12" w:space="0" w:color="auto"/>
              <w:bottom w:val="single" w:sz="6" w:space="0" w:color="auto"/>
              <w:right w:val="single" w:sz="6" w:space="0" w:color="auto"/>
            </w:tcBorders>
          </w:tcPr>
          <w:p w14:paraId="3018E014" w14:textId="77777777" w:rsidR="004B4E35" w:rsidRPr="00405303" w:rsidRDefault="009E6F82" w:rsidP="00C15251">
            <w:pPr>
              <w:jc w:val="both"/>
              <w:rPr>
                <w:bCs/>
                <w:color w:val="002060"/>
                <w:sz w:val="16"/>
                <w:szCs w:val="16"/>
              </w:rPr>
            </w:pPr>
            <w:r w:rsidRPr="00405303">
              <w:rPr>
                <w:bCs/>
                <w:color w:val="002060"/>
                <w:sz w:val="16"/>
                <w:szCs w:val="16"/>
              </w:rPr>
              <w:t>Взлетный вес кг</w:t>
            </w:r>
          </w:p>
        </w:tc>
        <w:tc>
          <w:tcPr>
            <w:tcW w:w="4314" w:type="dxa"/>
            <w:tcBorders>
              <w:top w:val="single" w:sz="6" w:space="0" w:color="auto"/>
              <w:left w:val="single" w:sz="6" w:space="0" w:color="auto"/>
              <w:bottom w:val="single" w:sz="6" w:space="0" w:color="auto"/>
              <w:right w:val="single" w:sz="12" w:space="0" w:color="auto"/>
            </w:tcBorders>
          </w:tcPr>
          <w:p w14:paraId="45591EA8" w14:textId="77777777" w:rsidR="004B4E35" w:rsidRPr="00405303" w:rsidRDefault="009E6F82" w:rsidP="00C15251">
            <w:pPr>
              <w:jc w:val="both"/>
              <w:rPr>
                <w:bCs/>
                <w:color w:val="002060"/>
                <w:sz w:val="16"/>
                <w:szCs w:val="16"/>
              </w:rPr>
            </w:pPr>
            <w:r w:rsidRPr="00405303">
              <w:rPr>
                <w:bCs/>
                <w:color w:val="002060"/>
                <w:sz w:val="16"/>
                <w:szCs w:val="16"/>
              </w:rPr>
              <w:t>3170</w:t>
            </w:r>
          </w:p>
        </w:tc>
      </w:tr>
      <w:tr w:rsidR="004B4E35" w:rsidRPr="00405303" w14:paraId="393CD17C" w14:textId="77777777">
        <w:tc>
          <w:tcPr>
            <w:tcW w:w="5045" w:type="dxa"/>
            <w:tcBorders>
              <w:top w:val="single" w:sz="6" w:space="0" w:color="auto"/>
              <w:left w:val="single" w:sz="12" w:space="0" w:color="auto"/>
              <w:bottom w:val="single" w:sz="6" w:space="0" w:color="auto"/>
              <w:right w:val="single" w:sz="6" w:space="0" w:color="auto"/>
            </w:tcBorders>
          </w:tcPr>
          <w:p w14:paraId="3B184EAB" w14:textId="77777777" w:rsidR="004B4E35" w:rsidRPr="00405303" w:rsidRDefault="009E6F82" w:rsidP="00C15251">
            <w:pPr>
              <w:jc w:val="both"/>
              <w:rPr>
                <w:bCs/>
                <w:color w:val="002060"/>
                <w:sz w:val="16"/>
                <w:szCs w:val="16"/>
              </w:rPr>
            </w:pPr>
            <w:r w:rsidRPr="00405303">
              <w:rPr>
                <w:bCs/>
                <w:color w:val="002060"/>
                <w:sz w:val="16"/>
                <w:szCs w:val="16"/>
              </w:rPr>
              <w:t>Вес пустого самолета, кг</w:t>
            </w:r>
          </w:p>
        </w:tc>
        <w:tc>
          <w:tcPr>
            <w:tcW w:w="4314" w:type="dxa"/>
            <w:tcBorders>
              <w:top w:val="single" w:sz="6" w:space="0" w:color="auto"/>
              <w:left w:val="single" w:sz="6" w:space="0" w:color="auto"/>
              <w:bottom w:val="single" w:sz="6" w:space="0" w:color="auto"/>
              <w:right w:val="single" w:sz="12" w:space="0" w:color="auto"/>
            </w:tcBorders>
          </w:tcPr>
          <w:p w14:paraId="2E8ED98D" w14:textId="77777777" w:rsidR="004B4E35" w:rsidRPr="00405303" w:rsidRDefault="009E6F82" w:rsidP="00C15251">
            <w:pPr>
              <w:jc w:val="both"/>
              <w:rPr>
                <w:bCs/>
                <w:color w:val="002060"/>
                <w:sz w:val="16"/>
                <w:szCs w:val="16"/>
              </w:rPr>
            </w:pPr>
            <w:r w:rsidRPr="00405303">
              <w:rPr>
                <w:bCs/>
                <w:color w:val="002060"/>
                <w:sz w:val="16"/>
                <w:szCs w:val="16"/>
              </w:rPr>
              <w:t>2210</w:t>
            </w:r>
          </w:p>
        </w:tc>
      </w:tr>
      <w:tr w:rsidR="004B4E35" w:rsidRPr="00405303" w14:paraId="72C3BFC3" w14:textId="77777777">
        <w:tc>
          <w:tcPr>
            <w:tcW w:w="5045" w:type="dxa"/>
            <w:tcBorders>
              <w:top w:val="single" w:sz="6" w:space="0" w:color="auto"/>
              <w:left w:val="single" w:sz="12" w:space="0" w:color="auto"/>
              <w:bottom w:val="single" w:sz="6" w:space="0" w:color="auto"/>
              <w:right w:val="single" w:sz="6" w:space="0" w:color="auto"/>
            </w:tcBorders>
          </w:tcPr>
          <w:p w14:paraId="6D3D6506" w14:textId="77777777" w:rsidR="004B4E35" w:rsidRPr="00405303" w:rsidRDefault="009E6F82" w:rsidP="00C15251">
            <w:pPr>
              <w:jc w:val="both"/>
              <w:rPr>
                <w:bCs/>
                <w:color w:val="002060"/>
                <w:sz w:val="16"/>
                <w:szCs w:val="16"/>
              </w:rPr>
            </w:pPr>
            <w:r w:rsidRPr="00405303">
              <w:rPr>
                <w:bCs/>
                <w:color w:val="002060"/>
                <w:sz w:val="16"/>
                <w:szCs w:val="16"/>
              </w:rPr>
              <w:t>Полезная нагрузка, кг</w:t>
            </w:r>
          </w:p>
        </w:tc>
        <w:tc>
          <w:tcPr>
            <w:tcW w:w="4314" w:type="dxa"/>
            <w:tcBorders>
              <w:top w:val="single" w:sz="6" w:space="0" w:color="auto"/>
              <w:left w:val="single" w:sz="6" w:space="0" w:color="auto"/>
              <w:bottom w:val="single" w:sz="6" w:space="0" w:color="auto"/>
              <w:right w:val="single" w:sz="12" w:space="0" w:color="auto"/>
            </w:tcBorders>
          </w:tcPr>
          <w:p w14:paraId="6759955B" w14:textId="77777777" w:rsidR="004B4E35" w:rsidRPr="00405303" w:rsidRDefault="009E6F82" w:rsidP="00C15251">
            <w:pPr>
              <w:jc w:val="both"/>
              <w:rPr>
                <w:bCs/>
                <w:color w:val="002060"/>
                <w:sz w:val="16"/>
                <w:szCs w:val="16"/>
              </w:rPr>
            </w:pPr>
            <w:r w:rsidRPr="00405303">
              <w:rPr>
                <w:bCs/>
                <w:color w:val="002060"/>
                <w:sz w:val="16"/>
                <w:szCs w:val="16"/>
              </w:rPr>
              <w:t>960</w:t>
            </w:r>
          </w:p>
        </w:tc>
      </w:tr>
      <w:tr w:rsidR="004B4E35" w:rsidRPr="00405303" w14:paraId="26B05C7C" w14:textId="77777777">
        <w:tc>
          <w:tcPr>
            <w:tcW w:w="5045" w:type="dxa"/>
            <w:tcBorders>
              <w:top w:val="single" w:sz="6" w:space="0" w:color="auto"/>
              <w:left w:val="single" w:sz="12" w:space="0" w:color="auto"/>
              <w:bottom w:val="single" w:sz="6" w:space="0" w:color="auto"/>
              <w:right w:val="single" w:sz="6" w:space="0" w:color="auto"/>
            </w:tcBorders>
          </w:tcPr>
          <w:p w14:paraId="5AA097C5" w14:textId="77777777" w:rsidR="004B4E35" w:rsidRPr="00405303" w:rsidRDefault="009E6F82" w:rsidP="00C15251">
            <w:pPr>
              <w:jc w:val="both"/>
              <w:rPr>
                <w:bCs/>
                <w:color w:val="002060"/>
                <w:sz w:val="16"/>
                <w:szCs w:val="16"/>
              </w:rPr>
            </w:pPr>
            <w:r w:rsidRPr="00405303">
              <w:rPr>
                <w:bCs/>
                <w:color w:val="002060"/>
                <w:sz w:val="16"/>
                <w:szCs w:val="16"/>
              </w:rPr>
              <w:lastRenderedPageBreak/>
              <w:t>Удельная нагрузка на крыло, кг/м</w:t>
            </w:r>
            <w:r w:rsidRPr="00405303">
              <w:rPr>
                <w:bCs/>
                <w:color w:val="002060"/>
                <w:sz w:val="16"/>
                <w:szCs w:val="16"/>
                <w:vertAlign w:val="superscript"/>
              </w:rPr>
              <w:t>2</w:t>
            </w:r>
          </w:p>
        </w:tc>
        <w:tc>
          <w:tcPr>
            <w:tcW w:w="4314" w:type="dxa"/>
            <w:tcBorders>
              <w:top w:val="single" w:sz="6" w:space="0" w:color="auto"/>
              <w:left w:val="single" w:sz="6" w:space="0" w:color="auto"/>
              <w:bottom w:val="single" w:sz="6" w:space="0" w:color="auto"/>
              <w:right w:val="single" w:sz="12" w:space="0" w:color="auto"/>
            </w:tcBorders>
          </w:tcPr>
          <w:p w14:paraId="5DEB4B30" w14:textId="77777777" w:rsidR="004B4E35" w:rsidRPr="00405303" w:rsidRDefault="009E6F82" w:rsidP="00C15251">
            <w:pPr>
              <w:jc w:val="both"/>
              <w:rPr>
                <w:bCs/>
                <w:color w:val="002060"/>
                <w:sz w:val="16"/>
                <w:szCs w:val="16"/>
              </w:rPr>
            </w:pPr>
            <w:r w:rsidRPr="00405303">
              <w:rPr>
                <w:bCs/>
                <w:color w:val="002060"/>
                <w:sz w:val="16"/>
                <w:szCs w:val="16"/>
              </w:rPr>
              <w:t>34,8</w:t>
            </w:r>
          </w:p>
        </w:tc>
      </w:tr>
      <w:tr w:rsidR="004B4E35" w:rsidRPr="00405303" w14:paraId="7F9B4841" w14:textId="77777777">
        <w:tc>
          <w:tcPr>
            <w:tcW w:w="5045" w:type="dxa"/>
            <w:tcBorders>
              <w:top w:val="single" w:sz="6" w:space="0" w:color="auto"/>
              <w:left w:val="single" w:sz="12" w:space="0" w:color="auto"/>
              <w:bottom w:val="single" w:sz="6" w:space="0" w:color="auto"/>
              <w:right w:val="single" w:sz="6" w:space="0" w:color="auto"/>
            </w:tcBorders>
          </w:tcPr>
          <w:p w14:paraId="56D8D80A" w14:textId="77777777" w:rsidR="004B4E35" w:rsidRPr="00405303" w:rsidRDefault="009E6F82" w:rsidP="00C15251">
            <w:pPr>
              <w:jc w:val="both"/>
              <w:rPr>
                <w:bCs/>
                <w:color w:val="002060"/>
                <w:sz w:val="16"/>
                <w:szCs w:val="16"/>
              </w:rPr>
            </w:pPr>
            <w:r w:rsidRPr="00405303">
              <w:rPr>
                <w:bCs/>
                <w:color w:val="002060"/>
                <w:sz w:val="16"/>
                <w:szCs w:val="16"/>
              </w:rPr>
              <w:t>Удельная нагрузка на мощность, кг/л.с.</w:t>
            </w:r>
          </w:p>
        </w:tc>
        <w:tc>
          <w:tcPr>
            <w:tcW w:w="4314" w:type="dxa"/>
            <w:tcBorders>
              <w:top w:val="single" w:sz="6" w:space="0" w:color="auto"/>
              <w:left w:val="single" w:sz="6" w:space="0" w:color="auto"/>
              <w:bottom w:val="single" w:sz="6" w:space="0" w:color="auto"/>
              <w:right w:val="single" w:sz="12" w:space="0" w:color="auto"/>
            </w:tcBorders>
          </w:tcPr>
          <w:p w14:paraId="57E4CD0D" w14:textId="77777777" w:rsidR="004B4E35" w:rsidRPr="00405303" w:rsidRDefault="009E6F82" w:rsidP="00C15251">
            <w:pPr>
              <w:jc w:val="both"/>
              <w:rPr>
                <w:bCs/>
                <w:color w:val="002060"/>
                <w:sz w:val="16"/>
                <w:szCs w:val="16"/>
              </w:rPr>
            </w:pPr>
            <w:r w:rsidRPr="00405303">
              <w:rPr>
                <w:bCs/>
                <w:color w:val="002060"/>
                <w:sz w:val="16"/>
                <w:szCs w:val="16"/>
              </w:rPr>
              <w:t>10,6</w:t>
            </w:r>
          </w:p>
        </w:tc>
      </w:tr>
      <w:tr w:rsidR="004B4E35" w:rsidRPr="00405303" w14:paraId="2EFF1E75" w14:textId="77777777">
        <w:tc>
          <w:tcPr>
            <w:tcW w:w="5045" w:type="dxa"/>
            <w:tcBorders>
              <w:top w:val="single" w:sz="6" w:space="0" w:color="auto"/>
              <w:left w:val="single" w:sz="12" w:space="0" w:color="auto"/>
              <w:bottom w:val="single" w:sz="12" w:space="0" w:color="auto"/>
              <w:right w:val="single" w:sz="6" w:space="0" w:color="auto"/>
            </w:tcBorders>
          </w:tcPr>
          <w:p w14:paraId="032FF255" w14:textId="77777777" w:rsidR="004B4E35" w:rsidRPr="00405303" w:rsidRDefault="009E6F82" w:rsidP="00C15251">
            <w:pPr>
              <w:jc w:val="both"/>
              <w:rPr>
                <w:bCs/>
                <w:color w:val="002060"/>
                <w:sz w:val="16"/>
                <w:szCs w:val="16"/>
              </w:rPr>
            </w:pPr>
            <w:r w:rsidRPr="00405303">
              <w:rPr>
                <w:bCs/>
                <w:color w:val="002060"/>
                <w:sz w:val="16"/>
                <w:szCs w:val="16"/>
              </w:rPr>
              <w:t>Весовая отдача, %</w:t>
            </w:r>
          </w:p>
        </w:tc>
        <w:tc>
          <w:tcPr>
            <w:tcW w:w="4314" w:type="dxa"/>
            <w:tcBorders>
              <w:top w:val="single" w:sz="6" w:space="0" w:color="auto"/>
              <w:left w:val="single" w:sz="6" w:space="0" w:color="auto"/>
              <w:bottom w:val="single" w:sz="12" w:space="0" w:color="auto"/>
              <w:right w:val="single" w:sz="12" w:space="0" w:color="auto"/>
            </w:tcBorders>
          </w:tcPr>
          <w:p w14:paraId="61705F26" w14:textId="77777777" w:rsidR="004B4E35" w:rsidRPr="00405303" w:rsidRDefault="009E6F82" w:rsidP="00C15251">
            <w:pPr>
              <w:jc w:val="both"/>
              <w:rPr>
                <w:bCs/>
                <w:color w:val="002060"/>
                <w:sz w:val="16"/>
                <w:szCs w:val="16"/>
              </w:rPr>
            </w:pPr>
            <w:r w:rsidRPr="00405303">
              <w:rPr>
                <w:bCs/>
                <w:color w:val="002060"/>
                <w:sz w:val="16"/>
                <w:szCs w:val="16"/>
              </w:rPr>
              <w:t>30,2</w:t>
            </w:r>
          </w:p>
        </w:tc>
      </w:tr>
    </w:tbl>
    <w:p w14:paraId="0C403D55" w14:textId="77777777" w:rsidR="004B4E35" w:rsidRPr="00405303" w:rsidRDefault="009E6F82" w:rsidP="00C15251">
      <w:pPr>
        <w:jc w:val="both"/>
        <w:rPr>
          <w:bCs/>
          <w:color w:val="002060"/>
          <w:sz w:val="16"/>
          <w:szCs w:val="16"/>
        </w:rPr>
      </w:pPr>
      <w:r w:rsidRPr="00405303">
        <w:rPr>
          <w:bCs/>
          <w:color w:val="002060"/>
          <w:sz w:val="16"/>
          <w:szCs w:val="16"/>
        </w:rPr>
        <w:t>(11918)</w:t>
      </w:r>
    </w:p>
    <w:p w14:paraId="177D9CA7" w14:textId="77777777" w:rsidR="004B4E35" w:rsidRPr="00405303" w:rsidRDefault="004B4E35" w:rsidP="00C15251">
      <w:pPr>
        <w:jc w:val="both"/>
        <w:rPr>
          <w:bCs/>
          <w:color w:val="002060"/>
          <w:sz w:val="16"/>
          <w:szCs w:val="16"/>
        </w:rPr>
      </w:pPr>
    </w:p>
    <w:p w14:paraId="0344FD1F" w14:textId="77777777" w:rsidR="00F66D76" w:rsidRPr="00405303" w:rsidRDefault="00F66D76"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есной 1915 года </w:t>
      </w:r>
      <w:r w:rsidRPr="00405303">
        <w:rPr>
          <w:bCs/>
          <w:color w:val="002060"/>
          <w:sz w:val="16"/>
          <w:szCs w:val="16"/>
        </w:rPr>
        <w:t xml:space="preserve">был закончен «МБ» </w:t>
      </w:r>
      <w:r w:rsidR="009E6F82" w:rsidRPr="00405303">
        <w:rPr>
          <w:bCs/>
          <w:color w:val="002060"/>
          <w:sz w:val="16"/>
          <w:szCs w:val="16"/>
        </w:rPr>
        <w:t>в неконвертируемом варианте.</w:t>
      </w:r>
    </w:p>
    <w:p w14:paraId="48540BFF" w14:textId="31533C31" w:rsidR="00F66D76" w:rsidRPr="00405303" w:rsidRDefault="00F66D76" w:rsidP="00C15251">
      <w:pPr>
        <w:jc w:val="both"/>
        <w:rPr>
          <w:bCs/>
          <w:color w:val="002060"/>
          <w:sz w:val="16"/>
          <w:szCs w:val="16"/>
        </w:rPr>
      </w:pPr>
      <w:r w:rsidRPr="00405303">
        <w:rPr>
          <w:bCs/>
          <w:color w:val="002060"/>
          <w:sz w:val="16"/>
          <w:szCs w:val="16"/>
        </w:rPr>
        <w:t xml:space="preserve">Двухместный разведчик </w:t>
      </w:r>
      <w:proofErr w:type="gramStart"/>
      <w:r w:rsidRPr="00405303">
        <w:rPr>
          <w:bCs/>
          <w:color w:val="002060"/>
          <w:sz w:val="16"/>
          <w:szCs w:val="16"/>
        </w:rPr>
        <w:t>«МБ» (или «Моска-Б») согласно проекту</w:t>
      </w:r>
      <w:proofErr w:type="gramEnd"/>
      <w:r w:rsidRPr="00405303">
        <w:rPr>
          <w:bCs/>
          <w:color w:val="002060"/>
          <w:sz w:val="16"/>
          <w:szCs w:val="16"/>
        </w:rPr>
        <w:t xml:space="preserve"> был расчалочным высокопланом с мотором «Гном» мощностью в 50 л. с. На двигатель большей мощности рассчитывать не приходилось, поскольку такие моторы были нужны для серийных самолетов, поставляемых на фронт. При определенной общности схемы аэродинамической компоновки с французским аэропланом «Моран-Ж» самолет «МБ» обладал интересной особенностью, отличающей его от многих аппаратов первой мировой войны — он был складным. Обе половины крыла можно было повернуть вокруг шарниров передних лонжеронов и уложить вдоль бортов фюзеляжа передней кромкой вверх. Стабилизатор подлежал складыванию с переломом вперед. В таком виде самолет занимал значительно меньше места, чем в полетной конфигурации, и мог быть установлен на железнодорожной платформе для дальних перевозок, а также транспортироваться на собственном шасси и на буксире за автомобилем, лошадью и, наконец, за счет солдатского фольклорного толкача. Кроме этого, такую машину, свернутую в «клубок», можно было бы выгодно базировать на маленьких аэродромах вблизи лесных массивов и других естественных укрытий. Для приведения в боевую готовность одного самолета, заранее укрытого от воздушной разведки противника, достаточно было усилий двух человек, чтобы выкатить его на старт, запустить мотор, развернуть и расчалить крылья со стабилизатором за 35— 40 минут. Заинтересовавшись такой перспективой, Военное ведомство выделило средства на постройку опытного экземпляра самолета.</w:t>
      </w:r>
    </w:p>
    <w:p w14:paraId="5B88F8ED" w14:textId="5B5D0A38" w:rsidR="004B4E35" w:rsidRPr="00405303" w:rsidRDefault="009E6F82" w:rsidP="00C15251">
      <w:pPr>
        <w:jc w:val="both"/>
        <w:rPr>
          <w:bCs/>
          <w:color w:val="002060"/>
          <w:sz w:val="16"/>
          <w:szCs w:val="16"/>
        </w:rPr>
      </w:pPr>
      <w:r w:rsidRPr="00405303">
        <w:rPr>
          <w:bCs/>
          <w:color w:val="002060"/>
          <w:sz w:val="16"/>
          <w:szCs w:val="16"/>
        </w:rPr>
        <w:t>После проведения испытаний было отмечено, что «аэроплан послушен рулям, прост на взлете и посадке, но для применения его в качестве воздушного разведчика необходимо увеличить мощность мотора. Серийное производство было разрешено только с двигателем «Рон» в 50 л. с, как и предполагали Ф. Моска и Н. Быстрицкий, зная о дефицитности двигателей большей мощности. При всем этом Военное ведомство указало заводу «Моска», что самолет «МБ» с мотором в 80 л. с. был бы более полезен не в качестве разведчика с экипажем из двух человек, а как легкий одноместный истребитель для эффективного действия авиации при охране больших военных объектов, что особо полезно в наступательных операциях.</w:t>
      </w:r>
    </w:p>
    <w:p w14:paraId="30C28F7D" w14:textId="77777777" w:rsidR="004B4E35" w:rsidRPr="00405303" w:rsidRDefault="009E6F82" w:rsidP="00C15251">
      <w:pPr>
        <w:jc w:val="both"/>
        <w:rPr>
          <w:bCs/>
          <w:color w:val="002060"/>
          <w:sz w:val="16"/>
          <w:szCs w:val="16"/>
        </w:rPr>
      </w:pPr>
      <w:r w:rsidRPr="00405303">
        <w:rPr>
          <w:bCs/>
          <w:color w:val="002060"/>
          <w:sz w:val="16"/>
          <w:szCs w:val="16"/>
        </w:rPr>
        <w:t>Авторы оригинального самолета оперативно отозвались на рекомендацию заказчика. Начатая серия складных разведчиков, которые отличались от опытного образца переделанным крылом и хвостовым оперением, была прервана на 12 экземплярах, с удовлетворением принятых военной приемкой и использовавшихся в боевых действиях вплоть до 1918 года. Некоторые самолеты дожили до гражданской войны и применялись как на стороне белых, так и красных.</w:t>
      </w:r>
    </w:p>
    <w:p w14:paraId="33077DC3" w14:textId="77777777" w:rsidR="004B4E35" w:rsidRPr="00405303" w:rsidRDefault="009E6F82" w:rsidP="00C15251">
      <w:pPr>
        <w:jc w:val="both"/>
        <w:rPr>
          <w:bCs/>
          <w:color w:val="002060"/>
          <w:sz w:val="16"/>
          <w:szCs w:val="16"/>
        </w:rPr>
      </w:pPr>
      <w:r w:rsidRPr="00405303">
        <w:rPr>
          <w:bCs/>
          <w:color w:val="002060"/>
          <w:sz w:val="16"/>
          <w:szCs w:val="16"/>
        </w:rPr>
        <w:t>Истребитель, переделанный из разведчика, получил обозначение «МБ бис» (или «Моска-Б бис». Он имел существенно меньшие габариты и вес, что в еще большей степени способствовало его транспортабельности, скрытности перед боевым применением и ускоренной подготовке к полету. Подготовку к боевому вылету два механика могли произвести за 25-30 минут, а заводчанам, например, нравилось, что сложенные самолеты занимали мало места на заводском дворе по мере из выкатки их сборочного цеха.</w:t>
      </w:r>
    </w:p>
    <w:p w14:paraId="41706307" w14:textId="77777777" w:rsidR="004B4E35" w:rsidRPr="00405303" w:rsidRDefault="009E6F82" w:rsidP="00C15251">
      <w:pPr>
        <w:jc w:val="both"/>
        <w:rPr>
          <w:bCs/>
          <w:color w:val="002060"/>
          <w:sz w:val="16"/>
          <w:szCs w:val="16"/>
        </w:rPr>
      </w:pPr>
      <w:r w:rsidRPr="00405303">
        <w:rPr>
          <w:bCs/>
          <w:color w:val="002060"/>
          <w:sz w:val="16"/>
          <w:szCs w:val="16"/>
        </w:rPr>
        <w:t>Оба самолета «МБ» и «МБ бис» имели одинаковую конструкцию и внутреннее устройство. В носовой части фюзеляжа был установлен ротативный двигатель, закрытый обтекаемым кожухом. Головная часть включала в себя бензобак емкостью 85 л, кабину экипажа с постом управления и была образована деревянными брусьями, скрепленными на болтах в мощную, но легкую ферму, к которой снаружи крепились стойки шасси, кабаны для верхних и нижних расчалок крыла и установочные элементы для пулемета типа «Люис» или «Кольт». В случае установки пулемета в горизонтальном положении для стрельбы через плоскость, ометаемую винтом, на лопасти пропеллера были надеты «отсекатели стрельбы». Это были стальные закаленные призмы, установленные острым ребром по направлению к пулемету. При стрельбе пуля, попавшая в винт, рикошетировала от косой грани отсекателя и улетала вправо или влево от самолета. Недостатками отсекателей являлось снижение КПД винта на 8-10% и потеря пуль от рикошетирования до 25% от каждой очереди. Установка пулемета под углом для стрельбы выше винта приводила к затруднениям прицеливания в полете и к резкому сокращению времени на ведение прицельного огня. Несмотря на недостатки, оба варианта установки пулеметного вооружения на истребителях «МБ бис», как выяснилось вскоре, вполне успешно применялись в воздушных боях.</w:t>
      </w:r>
    </w:p>
    <w:p w14:paraId="0F93DE6F" w14:textId="77777777" w:rsidR="004B4E35" w:rsidRPr="00405303" w:rsidRDefault="009E6F82" w:rsidP="00C15251">
      <w:pPr>
        <w:jc w:val="both"/>
        <w:rPr>
          <w:bCs/>
          <w:color w:val="002060"/>
          <w:sz w:val="16"/>
          <w:szCs w:val="16"/>
        </w:rPr>
      </w:pPr>
      <w:r w:rsidRPr="00405303">
        <w:rPr>
          <w:bCs/>
          <w:color w:val="002060"/>
          <w:sz w:val="16"/>
          <w:szCs w:val="16"/>
        </w:rPr>
        <w:t>Самолет «МБ бис» очень хорошо летал и «...Результаты его летных испытаний выявили полное соответствие аппарата боевым требованиям...» Так, наибольшая скорость горизонтального полета составляла 130-135 км/ч, высоту 2000 м он набирал за 8,3 минуты, практический потолок был равен 4200 м. Обладал он также неплохими маневренными качествами. Эти данные были получены на опытном образце «МБ бис» с мотором «Гном» в 80 л. с.</w:t>
      </w:r>
    </w:p>
    <w:p w14:paraId="36C90877" w14:textId="77777777" w:rsidR="004B4E35" w:rsidRPr="00405303" w:rsidRDefault="009E6F82" w:rsidP="00C15251">
      <w:pPr>
        <w:jc w:val="both"/>
        <w:rPr>
          <w:bCs/>
          <w:color w:val="002060"/>
          <w:sz w:val="16"/>
          <w:szCs w:val="16"/>
        </w:rPr>
      </w:pPr>
      <w:r w:rsidRPr="00405303">
        <w:rPr>
          <w:bCs/>
          <w:color w:val="002060"/>
          <w:sz w:val="16"/>
          <w:szCs w:val="16"/>
        </w:rPr>
        <w:t>После принятия самолета на вооружение воздушного флота в декабре 1916 года состоялось особое совещание по обороне государства, которое подавляющим большинством голосов отнесло «МБ бис» к «предпочтительным типам истребительных аппаратов» и решило выдать заводу «Моска» крупный заказ. С предприятием был подписан контракт на постройку 225 экземпляров самолетов этого типа. Одновременно заводу навязали постройку 100 машин «Ньюпор-11» и ряда последующих его модификаций с двигателями «Рон» в 80—110л. с. или «Испано-Сюиза» мощностью в 150 л. с. Весь заказ на 325 истребителей необходимо было выполнить к 1 июля 1917 года. Ф. Моска получил субсидию в 50 тыс. рублей.</w:t>
      </w:r>
    </w:p>
    <w:p w14:paraId="5956834A" w14:textId="77777777" w:rsidR="004B4E35" w:rsidRPr="00405303" w:rsidRDefault="009E6F82" w:rsidP="00C15251">
      <w:pPr>
        <w:jc w:val="both"/>
        <w:rPr>
          <w:bCs/>
          <w:color w:val="002060"/>
          <w:sz w:val="16"/>
          <w:szCs w:val="16"/>
        </w:rPr>
      </w:pPr>
      <w:r w:rsidRPr="00405303">
        <w:rPr>
          <w:bCs/>
          <w:color w:val="002060"/>
          <w:sz w:val="16"/>
          <w:szCs w:val="16"/>
        </w:rPr>
        <w:t>Для выполнения намеченных работ пришлось расширить и дооборудовать завод. Так, на Красной Пресне появился филиал, удвоивший производственные площади предприятия. Работы велись таким образом, чтобы в 1917 году довести регулярный месячный выпуск до 30—35 самолетов. Однако максимум, которого удалось достичь, составлял лишь 15 самолетов в месяц. С наибольшими затруднениями шло выполнение заказа по постройке истребителей «Моска-Б бис». К концу мая 1917 года завод сдал только 25 машин. Хозяин завода обращался в Военное ведомство с просьбой отсрочить выполнение заказа и снизить выпуск самолетов до 10 единиц в месяц по причинам подорожания «сырых материалов и рабочих рук» (шла большая война), недостатка оборотных средств, трудностей в получении банковских кредитов на то, что сырье и материалы, заказанные много месяцев назад, до сих пор не получены. Имущество завода «Моска» находилось под залогом Управления военно-воздушного флота, поскольку за полученную заводом ссуду в счет выполнения заказов требовалось определенное обеспечение. Банки и частные лица отказывались финансировать небольшое предприятие «приезжего итальяшки», вследствие чего его трудности с выполнением заказов только увеличивались.</w:t>
      </w:r>
    </w:p>
    <w:p w14:paraId="66F7815A" w14:textId="77777777" w:rsidR="004B4E35" w:rsidRPr="00405303" w:rsidRDefault="009E6F82" w:rsidP="00C15251">
      <w:pPr>
        <w:jc w:val="both"/>
        <w:rPr>
          <w:bCs/>
          <w:color w:val="002060"/>
          <w:sz w:val="16"/>
          <w:szCs w:val="16"/>
        </w:rPr>
      </w:pPr>
      <w:r w:rsidRPr="00405303">
        <w:rPr>
          <w:bCs/>
          <w:color w:val="002060"/>
          <w:sz w:val="16"/>
          <w:szCs w:val="16"/>
        </w:rPr>
        <w:t>В таких условиях завод «Моска» не смог выполнить своих обязательств. Общее число истребителей, построенных и принятых в казну, составляло только 20—25% плана. В чужой стране итальянец оказался недостаточно энергичным, чтобы успешно бороться с местным бюрократическим аппаратом. Кроме того, в немалой степени его делу мешали рутинные представления многих чинов как в Военном ведомстве, так и в деловых кругах России, которые более предпочтительно относились к аэропланам, созданным в Европе, нежели к отечественным.</w:t>
      </w:r>
    </w:p>
    <w:p w14:paraId="402A40DF" w14:textId="77777777" w:rsidR="004B4E35" w:rsidRPr="00405303" w:rsidRDefault="009E6F82" w:rsidP="00C15251">
      <w:pPr>
        <w:jc w:val="both"/>
        <w:rPr>
          <w:bCs/>
          <w:color w:val="002060"/>
          <w:sz w:val="16"/>
          <w:szCs w:val="16"/>
        </w:rPr>
      </w:pPr>
      <w:r w:rsidRPr="00405303">
        <w:rPr>
          <w:bCs/>
          <w:color w:val="002060"/>
          <w:sz w:val="16"/>
          <w:szCs w:val="16"/>
        </w:rPr>
        <w:t>До начала 1918 года было построено чуть больше полусотни истребителей «МБ-бис». После отъезда Франческо Эвджисто Моски на родину завод выпустил еще несколько экземпляров этого самолета из условий запаса двигателей, которые оставались на заводских складах. Судьба Н. И. Быстрицкого не известна. Законченные в постройке самолеты применялись Красной Армией для самых разнообразных целей.</w:t>
      </w:r>
    </w:p>
    <w:p w14:paraId="3007896C" w14:textId="77777777" w:rsidR="004B4E35" w:rsidRPr="00405303" w:rsidRDefault="009E6F82" w:rsidP="00C15251">
      <w:pPr>
        <w:jc w:val="both"/>
        <w:rPr>
          <w:bCs/>
          <w:color w:val="002060"/>
          <w:sz w:val="16"/>
          <w:szCs w:val="16"/>
        </w:rPr>
      </w:pPr>
      <w:r w:rsidRPr="00405303">
        <w:rPr>
          <w:bCs/>
          <w:color w:val="002060"/>
          <w:sz w:val="16"/>
          <w:szCs w:val="16"/>
        </w:rPr>
        <w:t>Из всех разновидностей самолетов семейства «МБ» наилучшими были образцы последних серий «МБ бис» с французскими моторами «Клерже» мощностью в110 л. с. За счет повышения энерговооруженности эти машины имели летно-тактические характеристики более высокие, чем у зарубежных истребителей.</w:t>
      </w:r>
    </w:p>
    <w:p w14:paraId="2C2FC8FB" w14:textId="77777777" w:rsidR="004B4E35" w:rsidRPr="00405303" w:rsidRDefault="009E6F82" w:rsidP="00C15251">
      <w:pPr>
        <w:jc w:val="both"/>
        <w:rPr>
          <w:bCs/>
          <w:color w:val="002060"/>
          <w:sz w:val="16"/>
          <w:szCs w:val="16"/>
        </w:rPr>
      </w:pPr>
      <w:r w:rsidRPr="00405303">
        <w:rPr>
          <w:bCs/>
          <w:color w:val="002060"/>
          <w:sz w:val="16"/>
          <w:szCs w:val="16"/>
        </w:rPr>
        <w:t xml:space="preserve">Интересной в практике завода «Моска» была такая эпизодическая работа. Инженер-механик В. С. Кулебакин предложил довольно простой отсекатель для пуль при стрельбе из пулемета, установленного над мотором в горизонтальном положении. Его разработали на основной территории завода для самолета «МБ-бис». Специальные полукруглые кулачки (так называемые «Солдатики»), связанные с валом мотора, показывались из-под капота в момент прохода лопасти пропеллера через траекторию полета пули, предохраняя винт от повреждений при стрельбе. С 23 по 28 июля 1917 года отсекатель системы Кулебакина был испытан на Ходынском стрельбище. В отчете было отмечено: «при стрельбе... винт и аппарат никаких повреждений от осколков и брызг пуль не имели. Отсекатель работал безупречно». В ходе испытаний в полете после 220 выстрелов ни винт, ни самолет, ни пилот не пострадали. Только 10-12% пуль попали в кулачки. Приспособление прапорщика Кулебакина не увеличивало лобовое сопротивление самолета. Пулемет, механически не связанный с отсекателем, работал непрерывно и равномерно независимо от оборотов мотора. Вес отсекателя вместе с передачей и узлами установки не превышал 5 кг. Расход мощности на его привод был ничтожным. Установка не требовала </w:t>
      </w:r>
      <w:r w:rsidRPr="00405303">
        <w:rPr>
          <w:bCs/>
          <w:color w:val="002060"/>
          <w:sz w:val="16"/>
          <w:szCs w:val="16"/>
        </w:rPr>
        <w:lastRenderedPageBreak/>
        <w:t>изменений и переделок мотора, самолета и пулемета, не влекла за собой применения специальных винтов и могла быть осуществлена силами аэродромных служб в отрядах и частях. К сожалению, это изобретение не применялось и кануло в ленту на фоне исторических событий 1917 года... (11918).</w:t>
      </w:r>
    </w:p>
    <w:p w14:paraId="403E095E" w14:textId="77777777" w:rsidR="004B4E35" w:rsidRPr="00405303" w:rsidRDefault="004B4E35" w:rsidP="00C15251">
      <w:pPr>
        <w:jc w:val="both"/>
        <w:rPr>
          <w:bCs/>
          <w:color w:val="002060"/>
          <w:sz w:val="16"/>
          <w:szCs w:val="16"/>
        </w:rPr>
      </w:pPr>
    </w:p>
    <w:p w14:paraId="26FA403B" w14:textId="5D27C4EF" w:rsidR="004B4E35" w:rsidRPr="00405303" w:rsidRDefault="00F66D76"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есной 1915г. возобновили</w:t>
      </w:r>
      <w:r w:rsidRPr="00405303">
        <w:rPr>
          <w:bCs/>
          <w:color w:val="002060"/>
          <w:sz w:val="16"/>
          <w:szCs w:val="16"/>
        </w:rPr>
        <w:t xml:space="preserve"> сдаточные полеты М-2</w:t>
      </w:r>
      <w:r w:rsidR="009E6F82" w:rsidRPr="00405303">
        <w:rPr>
          <w:bCs/>
          <w:color w:val="002060"/>
          <w:sz w:val="16"/>
          <w:szCs w:val="16"/>
        </w:rPr>
        <w:t>, и, в частности, высоту 1 тыс. 300 м брали за 15 минут. Двадцать пятого апреля списки авиационной части Службы связи Балтийского моря пополнили, наконец, этими двумя самолетами, получившими номера Щ-2 и Щ-3 (2807).</w:t>
      </w:r>
    </w:p>
    <w:p w14:paraId="697ECC2E" w14:textId="77777777" w:rsidR="004B4E35" w:rsidRPr="00405303" w:rsidRDefault="004B4E35" w:rsidP="00C15251">
      <w:pPr>
        <w:shd w:val="clear" w:color="auto" w:fill="FFFFFF"/>
        <w:jc w:val="both"/>
        <w:rPr>
          <w:bCs/>
          <w:color w:val="002060"/>
          <w:sz w:val="16"/>
          <w:szCs w:val="16"/>
        </w:rPr>
      </w:pPr>
    </w:p>
    <w:p w14:paraId="406BFC1E" w14:textId="255BD75F" w:rsidR="004B4E35" w:rsidRPr="00405303" w:rsidRDefault="00F66D76"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есной 1915 года </w:t>
      </w:r>
      <w:r w:rsidRPr="00405303">
        <w:rPr>
          <w:bCs/>
          <w:color w:val="002060"/>
          <w:sz w:val="16"/>
          <w:szCs w:val="16"/>
        </w:rPr>
        <w:t xml:space="preserve">испытанная </w:t>
      </w:r>
      <w:r w:rsidR="009E6F82" w:rsidRPr="00405303">
        <w:rPr>
          <w:bCs/>
          <w:color w:val="002060"/>
          <w:sz w:val="16"/>
          <w:szCs w:val="16"/>
        </w:rPr>
        <w:t>в Севастополе</w:t>
      </w:r>
      <w:r w:rsidRPr="00405303">
        <w:rPr>
          <w:bCs/>
          <w:color w:val="002060"/>
          <w:sz w:val="16"/>
          <w:szCs w:val="16"/>
        </w:rPr>
        <w:t xml:space="preserve"> М-4</w:t>
      </w:r>
      <w:r w:rsidR="009E6F82" w:rsidRPr="00405303">
        <w:rPr>
          <w:bCs/>
          <w:color w:val="002060"/>
          <w:sz w:val="16"/>
          <w:szCs w:val="16"/>
        </w:rPr>
        <w:t>, в результате всех улучшений была одобрена: две лодки заказали для Балтики и две -для Черного моря (11239).</w:t>
      </w:r>
    </w:p>
    <w:p w14:paraId="09B3EAF6" w14:textId="77777777" w:rsidR="004B4E35" w:rsidRPr="00405303" w:rsidRDefault="004B4E35" w:rsidP="00C15251">
      <w:pPr>
        <w:jc w:val="both"/>
        <w:rPr>
          <w:bCs/>
          <w:color w:val="002060"/>
          <w:sz w:val="16"/>
          <w:szCs w:val="16"/>
        </w:rPr>
      </w:pPr>
    </w:p>
    <w:p w14:paraId="56498D99" w14:textId="621CC67A"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До весны 1915г. фирма </w:t>
      </w:r>
      <w:r w:rsidR="00F66D76" w:rsidRPr="00405303">
        <w:rPr>
          <w:bCs/>
          <w:color w:val="002060"/>
          <w:sz w:val="16"/>
          <w:szCs w:val="16"/>
        </w:rPr>
        <w:t xml:space="preserve">Щетинина </w:t>
      </w:r>
      <w:r w:rsidRPr="00405303">
        <w:rPr>
          <w:bCs/>
          <w:color w:val="002060"/>
          <w:sz w:val="16"/>
          <w:szCs w:val="16"/>
        </w:rPr>
        <w:t>снабдила балтийских и черноморских авиаторов только четырьмя новыми лодками типа М-2/М-4, и лишь успех испытаний следующей модели М-5 принес Щетинину первые большие контракты от Морского ведомства, и дело пошло (2807).</w:t>
      </w:r>
    </w:p>
    <w:p w14:paraId="5ECA033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Сравнительно немного машин: 31 аппарат типа М-5, 5 летающих лодок «Кертисс» модель Ф и 2 аэроглиссера И. И. Голенищева-Кутузова, формировали на ПРТВ флотский заказ 1915 г., но уже в сентябре компания намеревалась возвести новые просторные цеха для строительства тяжелых гидроаэ</w:t>
      </w:r>
      <w:r w:rsidRPr="00405303">
        <w:rPr>
          <w:bCs/>
          <w:color w:val="002060"/>
          <w:sz w:val="16"/>
          <w:szCs w:val="16"/>
        </w:rPr>
        <w:softHyphen/>
        <w:t>ропланов типа М-8, над созданием которого работали. План не осуществился, тогда как в марте 1916г. С. С. Щетинин предложил открыть в течение полугода филиал в Ярославле, чья деятельность способ</w:t>
      </w:r>
      <w:r w:rsidRPr="00405303">
        <w:rPr>
          <w:bCs/>
          <w:color w:val="002060"/>
          <w:sz w:val="16"/>
          <w:szCs w:val="16"/>
        </w:rPr>
        <w:softHyphen/>
        <w:t>ствовала бы подъему месячной производительности с 20 до 60 самолетов. Благодаря новой удаче ПРТВ — летающей лодке типа М-9, проект обрел своих сторонников и во флотской среде, провинциальное отде</w:t>
      </w:r>
      <w:r w:rsidRPr="00405303">
        <w:rPr>
          <w:bCs/>
          <w:color w:val="002060"/>
          <w:sz w:val="16"/>
          <w:szCs w:val="16"/>
        </w:rPr>
        <w:softHyphen/>
        <w:t>ление фирмы представлялось им в виде гиганта с несколькими тысячами работающих. Увы, предприятие не успели ввести в строй, и единственно, чем удалось обзавестись на просторах страны, хак это неболь</w:t>
      </w:r>
      <w:r w:rsidRPr="00405303">
        <w:rPr>
          <w:bCs/>
          <w:color w:val="002060"/>
          <w:sz w:val="16"/>
          <w:szCs w:val="16"/>
        </w:rPr>
        <w:softHyphen/>
        <w:t>шой опытной станцией, учрежденной в Севастополе в сентябре-ноябре 1916г. для улучшения работы аналогичного заведения на Крестовском острове в столице. Создание крымской площадки являлось, без сомнения, необходимым, так как долгие балтийские зимы мешали заводским и сдаточным испытаниям гидропланов.</w:t>
      </w:r>
    </w:p>
    <w:p w14:paraId="06E95C2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 важности мероприятия свидетельствовала посланная начальником Воздухоплавательного отде</w:t>
      </w:r>
      <w:r w:rsidRPr="00405303">
        <w:rPr>
          <w:bCs/>
          <w:color w:val="002060"/>
          <w:sz w:val="16"/>
          <w:szCs w:val="16"/>
        </w:rPr>
        <w:softHyphen/>
        <w:t>ления Морского генерального штаба (МГШ) телеграмма:</w:t>
      </w:r>
    </w:p>
    <w:p w14:paraId="417FEBA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«23-го (сентября. —</w:t>
      </w:r>
      <w:r w:rsidRPr="00405303">
        <w:rPr>
          <w:bCs/>
          <w:i/>
          <w:color w:val="002060"/>
          <w:sz w:val="16"/>
          <w:szCs w:val="16"/>
        </w:rPr>
        <w:t xml:space="preserve">А. А.) </w:t>
      </w:r>
      <w:r w:rsidRPr="00405303">
        <w:rPr>
          <w:bCs/>
          <w:color w:val="002060"/>
          <w:sz w:val="16"/>
          <w:szCs w:val="16"/>
        </w:rPr>
        <w:t>курьерским выехал Севастополь директор авиационного за</w:t>
      </w:r>
      <w:r w:rsidRPr="00405303">
        <w:rPr>
          <w:bCs/>
          <w:color w:val="002060"/>
          <w:sz w:val="16"/>
          <w:szCs w:val="16"/>
        </w:rPr>
        <w:softHyphen/>
        <w:t>вода С. С. Щетинин имея целью открыть Севастополе испытательную станцию и отделение завода. Прошу об оказании Щетинину содействия».</w:t>
      </w:r>
    </w:p>
    <w:p w14:paraId="637F353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путешествии владельца ПРТВ сопровождал один из ведущих сотрудников фирмы инженер А. Н. Седельников, но, скорее всего, столь представительная делегация была ненужной, так как на Черном море визит промышленника восприняли с пониманием. Там считали, что в случае учреждения в Сева</w:t>
      </w:r>
      <w:r w:rsidRPr="00405303">
        <w:rPr>
          <w:bCs/>
          <w:color w:val="002060"/>
          <w:sz w:val="16"/>
          <w:szCs w:val="16"/>
        </w:rPr>
        <w:softHyphen/>
        <w:t>стополе опытно-сдаточного филиала увеличится поступление так необходимых флоту аппаратов и появится непосредственная связь конструкторов с авиаторами, ведущая к учету местных особеннос</w:t>
      </w:r>
      <w:r w:rsidRPr="00405303">
        <w:rPr>
          <w:bCs/>
          <w:color w:val="002060"/>
          <w:sz w:val="16"/>
          <w:szCs w:val="16"/>
        </w:rPr>
        <w:softHyphen/>
        <w:t>тей: иных, чем на Балтике, характера морской волны и условий боевой работы летающих лодок, зачастую действовавших вдали от главной базы. Совместный опыт ПРТВ и Авиации Черноморского флота обрел бы действенное применение, а потому выделение компании 1-2 ангаров в Круглой бухте выглядело разумным шагом.</w:t>
      </w:r>
    </w:p>
    <w:p w14:paraId="22293B8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Кроме станции в Круглой бухте, С. С. Щетинин надеялся основать в Севастополе сборочный цех, для чего просил о выделении участка земли общей площадью 82 тыс. 200 кв. м. Проект обсуждался, но к концу 1917г. владения ПРТВ выглядели следующим образом: контора, завод и испытательно-сбороч</w:t>
      </w:r>
      <w:r w:rsidRPr="00405303">
        <w:rPr>
          <w:bCs/>
          <w:color w:val="002060"/>
          <w:sz w:val="16"/>
          <w:szCs w:val="16"/>
        </w:rPr>
        <w:softHyphen/>
        <w:t>ное отделение, плюс испытательная станция в Петрограде (адреса, соответственно: Большая Гребецкая улица, дом 73, телеграфный код ГАМАЮН; Корпусная улица, дом 3; Комендантский аэродром; Крес</w:t>
      </w:r>
      <w:r w:rsidRPr="00405303">
        <w:rPr>
          <w:bCs/>
          <w:color w:val="002060"/>
          <w:sz w:val="16"/>
          <w:szCs w:val="16"/>
        </w:rPr>
        <w:softHyphen/>
        <w:t>товский остров) и еще одна сдаточно-испытательная станция в Севастополе (телеграфный адрес ГИДРОМЕГА).</w:t>
      </w:r>
    </w:p>
    <w:p w14:paraId="22DD548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Из сказанного очевидно, что Щетинин сумел изрядно расширить свои столичные владения. Шесто</w:t>
      </w:r>
      <w:r w:rsidRPr="00405303">
        <w:rPr>
          <w:bCs/>
          <w:color w:val="002060"/>
          <w:sz w:val="16"/>
          <w:szCs w:val="16"/>
        </w:rPr>
        <w:softHyphen/>
        <w:t>го июля 1916 г. он известил МГШ о ликвидации заказов Военного ведомства, следствием чего явилась посланная в Управление военно-воздушного флота просьба Воздухоплавательного отделения о перехо</w:t>
      </w:r>
      <w:r w:rsidRPr="00405303">
        <w:rPr>
          <w:bCs/>
          <w:color w:val="002060"/>
          <w:sz w:val="16"/>
          <w:szCs w:val="16"/>
        </w:rPr>
        <w:softHyphen/>
        <w:t>де ПРТВ на выполнение контрактов исключительно Морского министерства. Десятого октября лично Морской министр И. К. Григорович ходатайствовал перед командиром Петроградской крепости о пере</w:t>
      </w:r>
      <w:r w:rsidRPr="00405303">
        <w:rPr>
          <w:bCs/>
          <w:color w:val="002060"/>
          <w:sz w:val="16"/>
          <w:szCs w:val="16"/>
        </w:rPr>
        <w:softHyphen/>
        <w:t>даче участка площадью около 4 гектаров: обоснованием служил тот факт, что на Комендантском аэро</w:t>
      </w:r>
      <w:r w:rsidRPr="00405303">
        <w:rPr>
          <w:bCs/>
          <w:color w:val="002060"/>
          <w:sz w:val="16"/>
          <w:szCs w:val="16"/>
        </w:rPr>
        <w:softHyphen/>
        <w:t>дроме на арендуемой у Императорского всероссийского аэроклуба земле компания заканчивала возве</w:t>
      </w:r>
      <w:r w:rsidRPr="00405303">
        <w:rPr>
          <w:bCs/>
          <w:color w:val="002060"/>
          <w:sz w:val="16"/>
          <w:szCs w:val="16"/>
        </w:rPr>
        <w:softHyphen/>
        <w:t>дение нового завода и нуждалась в складе.</w:t>
      </w:r>
    </w:p>
    <w:p w14:paraId="2000988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Фабрикант имел все основания думать об увеличении производственных мощностей. В 1916 г. он получил заказы на 105 аппаратов типа М-5, 165 М-9, 75 М-11, 100 М-15, 50 М-16 и 10 ГАСН, а в следующем году общее число просимых у компании гидроаэропланов грозило достигнуть 1 тыс. 800-2 тыс. единиц. Однако при тогдашних условиях такой объем работ вряд ли мог быть исполнен, и в июле 1917г. месячный выпуск ПРТВ составлял около 40 аппаратов. По всей вероятности, Морское ведом</w:t>
      </w:r>
      <w:r w:rsidRPr="00405303">
        <w:rPr>
          <w:bCs/>
          <w:color w:val="002060"/>
          <w:sz w:val="16"/>
          <w:szCs w:val="16"/>
        </w:rPr>
        <w:softHyphen/>
        <w:t>ство и производитель возлагали все надежды на ярославльский филиал, которому предстояло также строить истребители «Спад» и многоцелевые бипланы типа «Ди-Эйч-Найн» («Де Хэвиллэнд-9»). Пер</w:t>
      </w:r>
      <w:r w:rsidRPr="00405303">
        <w:rPr>
          <w:bCs/>
          <w:color w:val="002060"/>
          <w:sz w:val="16"/>
          <w:szCs w:val="16"/>
        </w:rPr>
        <w:softHyphen/>
        <w:t>вую партию в 20-30 крылатых машин ожидали, по плану, в январе 1918г., но, как уже говорилось, вся программа обернулась всего лишь «воздушным замком», исчезнувшим вместе с налетевшими порывами злого холодного ветра (2807).</w:t>
      </w:r>
    </w:p>
    <w:p w14:paraId="51E7886B" w14:textId="77777777" w:rsidR="004B4E35" w:rsidRPr="00405303" w:rsidRDefault="004B4E35" w:rsidP="00C15251">
      <w:pPr>
        <w:shd w:val="clear" w:color="auto" w:fill="FFFFFF"/>
        <w:jc w:val="both"/>
        <w:rPr>
          <w:bCs/>
          <w:color w:val="002060"/>
          <w:sz w:val="16"/>
          <w:szCs w:val="16"/>
        </w:rPr>
      </w:pPr>
    </w:p>
    <w:p w14:paraId="776936FF" w14:textId="7C1B9E35" w:rsidR="004B4E35" w:rsidRPr="00405303" w:rsidRDefault="00F66D76" w:rsidP="00C15251">
      <w:pPr>
        <w:shd w:val="clear" w:color="auto" w:fill="FFFFFF"/>
        <w:jc w:val="both"/>
        <w:rPr>
          <w:bCs/>
          <w:color w:val="002060"/>
          <w:sz w:val="16"/>
          <w:szCs w:val="16"/>
        </w:rPr>
      </w:pPr>
      <w:r w:rsidRPr="00405303">
        <w:rPr>
          <w:bCs/>
          <w:color w:val="002060"/>
          <w:sz w:val="16"/>
          <w:szCs w:val="16"/>
        </w:rPr>
        <w:t>Д</w:t>
      </w:r>
      <w:r w:rsidR="009E6F82" w:rsidRPr="00405303">
        <w:rPr>
          <w:bCs/>
          <w:color w:val="002060"/>
          <w:sz w:val="16"/>
          <w:szCs w:val="16"/>
        </w:rPr>
        <w:t>о весны 1915</w:t>
      </w:r>
      <w:r w:rsidRPr="00405303">
        <w:rPr>
          <w:bCs/>
          <w:color w:val="002060"/>
          <w:sz w:val="16"/>
          <w:szCs w:val="16"/>
        </w:rPr>
        <w:t xml:space="preserve"> </w:t>
      </w:r>
      <w:r w:rsidR="009E6F82" w:rsidRPr="00405303">
        <w:rPr>
          <w:bCs/>
          <w:color w:val="002060"/>
          <w:sz w:val="16"/>
          <w:szCs w:val="16"/>
        </w:rPr>
        <w:t xml:space="preserve">г. </w:t>
      </w:r>
      <w:r w:rsidRPr="00405303">
        <w:rPr>
          <w:bCs/>
          <w:color w:val="002060"/>
          <w:sz w:val="16"/>
          <w:szCs w:val="16"/>
        </w:rPr>
        <w:t>затянулась сдача самолетов по первому контракту Червоннских мастерских. Контрак был выполнен, хотя установленные сроки выдержать не удалось</w:t>
      </w:r>
      <w:r w:rsidR="00957EEC" w:rsidRPr="00405303">
        <w:rPr>
          <w:bCs/>
          <w:color w:val="002060"/>
          <w:sz w:val="16"/>
          <w:szCs w:val="16"/>
        </w:rPr>
        <w:t>.</w:t>
      </w:r>
      <w:r w:rsidRPr="00405303">
        <w:rPr>
          <w:bCs/>
          <w:color w:val="002060"/>
          <w:sz w:val="16"/>
          <w:szCs w:val="16"/>
        </w:rPr>
        <w:t xml:space="preserve"> </w:t>
      </w:r>
      <w:r w:rsidR="009E6F82" w:rsidRPr="00405303">
        <w:rPr>
          <w:bCs/>
          <w:color w:val="002060"/>
          <w:sz w:val="16"/>
          <w:szCs w:val="16"/>
        </w:rPr>
        <w:t>Интересно, что в январе того года братья Фарман уполномочили своего земля</w:t>
      </w:r>
      <w:r w:rsidR="009E6F82" w:rsidRPr="00405303">
        <w:rPr>
          <w:bCs/>
          <w:color w:val="002060"/>
          <w:sz w:val="16"/>
          <w:szCs w:val="16"/>
        </w:rPr>
        <w:softHyphen/>
        <w:t xml:space="preserve">ка Пишофа войти с Терещенко </w:t>
      </w:r>
      <w:r w:rsidR="009E6F82" w:rsidRPr="00405303">
        <w:rPr>
          <w:bCs/>
          <w:i/>
          <w:color w:val="002060"/>
          <w:sz w:val="16"/>
          <w:szCs w:val="16"/>
        </w:rPr>
        <w:t>«в соглаше</w:t>
      </w:r>
      <w:r w:rsidR="009E6F82" w:rsidRPr="00405303">
        <w:rPr>
          <w:bCs/>
          <w:i/>
          <w:color w:val="002060"/>
          <w:sz w:val="16"/>
          <w:szCs w:val="16"/>
        </w:rPr>
        <w:softHyphen/>
        <w:t xml:space="preserve">ние относительно оплаты лиценса» </w:t>
      </w:r>
      <w:r w:rsidR="009E6F82" w:rsidRPr="00405303">
        <w:rPr>
          <w:bCs/>
          <w:color w:val="002060"/>
          <w:sz w:val="16"/>
          <w:szCs w:val="16"/>
        </w:rPr>
        <w:t>на по</w:t>
      </w:r>
      <w:r w:rsidR="009E6F82" w:rsidRPr="00405303">
        <w:rPr>
          <w:bCs/>
          <w:color w:val="002060"/>
          <w:sz w:val="16"/>
          <w:szCs w:val="16"/>
        </w:rPr>
        <w:softHyphen/>
        <w:t>строенные самолеты их разработки. Не прошло и месяца, как такая оплата была выполнена. Следует также отметить, что, кроме указанных выше восьми «Фарма-новХХП», военные получили от Терещенко еще 2 аэроплана этого же типа. Достоверно известно, что один из них был французской постройки. Вероятно, эти самолеты лишь собрали или отремонтировали в Червонном (11217).</w:t>
      </w:r>
    </w:p>
    <w:p w14:paraId="1A6FD85D" w14:textId="77777777" w:rsidR="004B4E35" w:rsidRPr="00405303" w:rsidRDefault="004B4E35" w:rsidP="00C15251">
      <w:pPr>
        <w:shd w:val="clear" w:color="auto" w:fill="FFFFFF"/>
        <w:jc w:val="both"/>
        <w:rPr>
          <w:bCs/>
          <w:color w:val="002060"/>
          <w:sz w:val="16"/>
          <w:szCs w:val="16"/>
        </w:rPr>
      </w:pPr>
    </w:p>
    <w:p w14:paraId="4FCC27D9" w14:textId="44975A13" w:rsidR="004B4E35" w:rsidRPr="00405303" w:rsidRDefault="00957EEC"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есной 1915 г. </w:t>
      </w:r>
      <w:r w:rsidRPr="00405303">
        <w:rPr>
          <w:bCs/>
          <w:color w:val="002060"/>
          <w:sz w:val="16"/>
          <w:szCs w:val="16"/>
        </w:rPr>
        <w:t xml:space="preserve">установка под пулемет "Кольт", разработанная именно на заводе Лебедева, прошла испытания </w:t>
      </w:r>
      <w:r w:rsidR="009E6F82" w:rsidRPr="00405303">
        <w:rPr>
          <w:bCs/>
          <w:color w:val="002060"/>
          <w:sz w:val="16"/>
          <w:szCs w:val="16"/>
        </w:rPr>
        <w:t>и была рекомендована в серийное производство (11183).</w:t>
      </w:r>
    </w:p>
    <w:p w14:paraId="66219548" w14:textId="77777777" w:rsidR="004B4E35" w:rsidRPr="00405303" w:rsidRDefault="004B4E35" w:rsidP="00C15251">
      <w:pPr>
        <w:shd w:val="clear" w:color="auto" w:fill="FFFFFF"/>
        <w:jc w:val="both"/>
        <w:rPr>
          <w:bCs/>
          <w:color w:val="002060"/>
          <w:sz w:val="16"/>
          <w:szCs w:val="16"/>
        </w:rPr>
      </w:pPr>
    </w:p>
    <w:p w14:paraId="3168E91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Весной 1915 г. ГА. Ботезат и инженер подполковник П.Т. Калинковский разработали стрелу для метания с самолета. Решением Военного совета от 23 июля 1915 г. было заказано 400000 таких стрел. В первую мировую войну стрелы наряду с бомбами эффективно применялись по скоплениям живой силы противника (11425).</w:t>
      </w:r>
    </w:p>
    <w:p w14:paraId="20C3BDFA" w14:textId="77777777" w:rsidR="004B4E35" w:rsidRPr="00405303" w:rsidRDefault="004B4E35" w:rsidP="00C15251">
      <w:pPr>
        <w:shd w:val="clear" w:color="auto" w:fill="FFFFFF"/>
        <w:jc w:val="both"/>
        <w:rPr>
          <w:bCs/>
          <w:color w:val="002060"/>
          <w:sz w:val="16"/>
          <w:szCs w:val="16"/>
        </w:rPr>
      </w:pPr>
    </w:p>
    <w:p w14:paraId="36298495" w14:textId="77777777" w:rsidR="005D5BAF" w:rsidRPr="00405303" w:rsidRDefault="005D5BAF" w:rsidP="00C15251">
      <w:pPr>
        <w:shd w:val="clear" w:color="auto" w:fill="FFFFFF"/>
        <w:jc w:val="both"/>
        <w:rPr>
          <w:bCs/>
          <w:color w:val="002060"/>
          <w:sz w:val="16"/>
          <w:szCs w:val="16"/>
        </w:rPr>
      </w:pPr>
      <w:r w:rsidRPr="00405303">
        <w:rPr>
          <w:bCs/>
          <w:color w:val="002060"/>
          <w:sz w:val="16"/>
          <w:szCs w:val="16"/>
        </w:rPr>
        <w:t>Весной 1915 г. для С-16 получили первый Гном 9С мощностью 80 л. с., а облетали первый самолет летом. С двумя летчиками С-16 не шел быстрее 120 км/ч, но без летнаба скорость росла до 144 км/ч, а высоту 1 000 м он набирал за 4 минуты — не хуже французских самолетов. Командир ЭВК Шидловский расхваливал С-16, показывая их строевым летчикам, войсковым начальникам, представителям Ставки ВГК, членам царской семьи и зарубежным гостям, зачастившим смотреть на «Муромцы» (22826).</w:t>
      </w:r>
    </w:p>
    <w:p w14:paraId="71D005CB" w14:textId="77777777" w:rsidR="005D5BAF" w:rsidRPr="00405303" w:rsidRDefault="005D5BAF" w:rsidP="00C15251">
      <w:pPr>
        <w:shd w:val="clear" w:color="auto" w:fill="FFFFFF"/>
        <w:jc w:val="both"/>
        <w:rPr>
          <w:bCs/>
          <w:color w:val="002060"/>
          <w:sz w:val="16"/>
          <w:szCs w:val="16"/>
        </w:rPr>
      </w:pPr>
    </w:p>
    <w:p w14:paraId="547B2964" w14:textId="77777777" w:rsidR="005D5BAF" w:rsidRPr="00405303" w:rsidRDefault="005D5BAF" w:rsidP="00C15251">
      <w:pPr>
        <w:jc w:val="both"/>
        <w:rPr>
          <w:bCs/>
          <w:color w:val="002060"/>
          <w:sz w:val="16"/>
          <w:szCs w:val="16"/>
        </w:rPr>
      </w:pPr>
      <w:r w:rsidRPr="00405303">
        <w:rPr>
          <w:bCs/>
          <w:color w:val="002060"/>
          <w:sz w:val="16"/>
          <w:szCs w:val="16"/>
        </w:rPr>
        <w:t xml:space="preserve">Весной 1915 г. производство было восстановлено. Военные к этому времени определили свое отношение к «Муромцам», и на РБВЗ началась лихорадочная подготовка к скорейшему выполнению заказа на 32 корабля. Заводу он был очень выгоден - за каждого «Муромца» военное ведомство по-прежнему платило 150 тыс. руб. Для сравнения можно отметить, что цена маленького самолета составляла от 7 до 14 тыс. руб. Вот в этих условиях Воздухоплавательное отделение и было выделено в самостоятельный Русско-Балтийский воздухоплавательный завод - «Авиа-Балт», директором которого стал все тот же энергичный М. Ф. Климиксеев. В своей пояснительной записке о регистрации завода он отмечал: «Производство заключается в изготовлении аэропланов, Воздушных Кораблей и запасных частей к ним, а также их ремонт. Для изготовления аэропланов необходимы следующие мастерские: слесарно-механическая, моторная, деревообделочная - распиливающая лесной материал, столярная - производящая сборку отдельных частей аэропланов, обойная и, наконец, малярная. Центральными мастерскими являются: столярная и слесарно-механическая с наибольшим количеством рабочих, станков и прочего оборудования, остальные мастерские являются второстепенными и в них занято значительно меньшее число </w:t>
      </w:r>
      <w:proofErr w:type="gramStart"/>
      <w:r w:rsidRPr="00405303">
        <w:rPr>
          <w:bCs/>
          <w:color w:val="002060"/>
          <w:sz w:val="16"/>
          <w:szCs w:val="16"/>
        </w:rPr>
        <w:t>рабочих »</w:t>
      </w:r>
      <w:proofErr w:type="gramEnd"/>
      <w:r w:rsidRPr="00405303">
        <w:rPr>
          <w:bCs/>
          <w:color w:val="002060"/>
          <w:sz w:val="16"/>
          <w:szCs w:val="16"/>
        </w:rPr>
        <w:t>…(19963).</w:t>
      </w:r>
    </w:p>
    <w:p w14:paraId="13EFC9DB" w14:textId="77777777" w:rsidR="005D5BAF" w:rsidRPr="00405303" w:rsidRDefault="005D5BAF" w:rsidP="00C15251">
      <w:pPr>
        <w:jc w:val="both"/>
        <w:rPr>
          <w:bCs/>
          <w:color w:val="002060"/>
          <w:sz w:val="16"/>
          <w:szCs w:val="16"/>
        </w:rPr>
      </w:pPr>
    </w:p>
    <w:p w14:paraId="145CB74E" w14:textId="77777777" w:rsidR="000415BF" w:rsidRPr="00405303" w:rsidRDefault="000415BF" w:rsidP="00C15251">
      <w:pPr>
        <w:jc w:val="both"/>
        <w:rPr>
          <w:bCs/>
          <w:color w:val="002060"/>
          <w:sz w:val="16"/>
          <w:szCs w:val="16"/>
        </w:rPr>
      </w:pPr>
      <w:r w:rsidRPr="00405303">
        <w:rPr>
          <w:bCs/>
          <w:color w:val="002060"/>
          <w:sz w:val="16"/>
          <w:szCs w:val="16"/>
          <w:lang w:bidi="ru-RU"/>
        </w:rPr>
        <w:t>Весной 1915 г. две летающие лодки из четырех, поначалу определяемые как М-2, в последующем как М-2/М-4 (или М-4), прибыли на Черное море.</w:t>
      </w:r>
    </w:p>
    <w:p w14:paraId="43F0D55F" w14:textId="77777777" w:rsidR="000415BF" w:rsidRPr="00405303" w:rsidRDefault="000415BF" w:rsidP="00C15251">
      <w:pPr>
        <w:jc w:val="both"/>
        <w:rPr>
          <w:bCs/>
          <w:color w:val="002060"/>
          <w:sz w:val="16"/>
          <w:szCs w:val="16"/>
        </w:rPr>
      </w:pPr>
      <w:r w:rsidRPr="00405303">
        <w:rPr>
          <w:bCs/>
          <w:color w:val="002060"/>
          <w:sz w:val="16"/>
          <w:szCs w:val="16"/>
          <w:lang w:bidi="ru-RU"/>
        </w:rPr>
        <w:lastRenderedPageBreak/>
        <w:t>После проведения сдаточных испытаний в апреле 1915 г. самолеты зачислили в со</w:t>
      </w:r>
      <w:r w:rsidRPr="00405303">
        <w:rPr>
          <w:bCs/>
          <w:color w:val="002060"/>
          <w:sz w:val="16"/>
          <w:szCs w:val="16"/>
          <w:lang w:bidi="ru-RU"/>
        </w:rPr>
        <w:softHyphen/>
        <w:t>став авиации Черноморского флота, и спу</w:t>
      </w:r>
      <w:r w:rsidRPr="00405303">
        <w:rPr>
          <w:bCs/>
          <w:color w:val="002060"/>
          <w:sz w:val="16"/>
          <w:szCs w:val="16"/>
          <w:lang w:bidi="ru-RU"/>
        </w:rPr>
        <w:softHyphen/>
        <w:t>стя короткое время один из них успешно использовали в боевой обстановке. 12 ап</w:t>
      </w:r>
      <w:r w:rsidRPr="00405303">
        <w:rPr>
          <w:bCs/>
          <w:color w:val="002060"/>
          <w:sz w:val="16"/>
          <w:szCs w:val="16"/>
          <w:lang w:bidi="ru-RU"/>
        </w:rPr>
        <w:softHyphen/>
        <w:t>реля аппарат с бортовым номером «29», спущенный с борта крейсера вспомога</w:t>
      </w:r>
      <w:r w:rsidRPr="00405303">
        <w:rPr>
          <w:bCs/>
          <w:color w:val="002060"/>
          <w:sz w:val="16"/>
          <w:szCs w:val="16"/>
          <w:lang w:bidi="ru-RU"/>
        </w:rPr>
        <w:softHyphen/>
        <w:t>тельного «Император Николай 1» в районе Босфора впервые атаковал турецкую кано</w:t>
      </w:r>
      <w:r w:rsidRPr="00405303">
        <w:rPr>
          <w:bCs/>
          <w:color w:val="002060"/>
          <w:sz w:val="16"/>
          <w:szCs w:val="16"/>
          <w:lang w:bidi="ru-RU"/>
        </w:rPr>
        <w:softHyphen/>
        <w:t>нерку.</w:t>
      </w:r>
    </w:p>
    <w:p w14:paraId="09367388" w14:textId="77777777" w:rsidR="000415BF" w:rsidRPr="00405303" w:rsidRDefault="000415BF" w:rsidP="00C15251">
      <w:pPr>
        <w:jc w:val="both"/>
        <w:rPr>
          <w:bCs/>
          <w:color w:val="002060"/>
          <w:sz w:val="16"/>
          <w:szCs w:val="16"/>
        </w:rPr>
      </w:pPr>
      <w:r w:rsidRPr="00405303">
        <w:rPr>
          <w:bCs/>
          <w:color w:val="002060"/>
          <w:sz w:val="16"/>
          <w:szCs w:val="16"/>
          <w:lang w:bidi="ru-RU"/>
        </w:rPr>
        <w:t>Отзывы об использовании летающих ло</w:t>
      </w:r>
      <w:r w:rsidRPr="00405303">
        <w:rPr>
          <w:bCs/>
          <w:color w:val="002060"/>
          <w:sz w:val="16"/>
          <w:szCs w:val="16"/>
          <w:lang w:bidi="ru-RU"/>
        </w:rPr>
        <w:softHyphen/>
        <w:t>док Щетинина-Григоровича на Черном мо</w:t>
      </w:r>
      <w:r w:rsidRPr="00405303">
        <w:rPr>
          <w:bCs/>
          <w:color w:val="002060"/>
          <w:sz w:val="16"/>
          <w:szCs w:val="16"/>
          <w:lang w:bidi="ru-RU"/>
        </w:rPr>
        <w:softHyphen/>
        <w:t>ре оказались вполне обнадеживающими, что позволило в ближайшем будущем со</w:t>
      </w:r>
      <w:r w:rsidRPr="00405303">
        <w:rPr>
          <w:bCs/>
          <w:color w:val="002060"/>
          <w:sz w:val="16"/>
          <w:szCs w:val="16"/>
          <w:lang w:bidi="ru-RU"/>
        </w:rPr>
        <w:softHyphen/>
        <w:t>здать новый, еще более совершенный М-5 (23374).</w:t>
      </w:r>
    </w:p>
    <w:p w14:paraId="08FAEFF7" w14:textId="77777777" w:rsidR="000415BF" w:rsidRPr="00405303" w:rsidRDefault="000415BF" w:rsidP="00C15251">
      <w:pPr>
        <w:jc w:val="both"/>
        <w:rPr>
          <w:bCs/>
          <w:color w:val="002060"/>
          <w:sz w:val="16"/>
          <w:szCs w:val="16"/>
          <w:lang w:bidi="ru-RU"/>
        </w:rPr>
      </w:pPr>
    </w:p>
    <w:p w14:paraId="1DD49C1E" w14:textId="77777777" w:rsidR="000415BF" w:rsidRPr="00405303" w:rsidRDefault="000415BF" w:rsidP="00C15251">
      <w:pPr>
        <w:jc w:val="both"/>
        <w:rPr>
          <w:bCs/>
          <w:color w:val="002060"/>
          <w:sz w:val="16"/>
          <w:szCs w:val="16"/>
        </w:rPr>
      </w:pPr>
      <w:r w:rsidRPr="00405303">
        <w:rPr>
          <w:bCs/>
          <w:color w:val="002060"/>
          <w:sz w:val="16"/>
          <w:szCs w:val="16"/>
          <w:lang w:bidi="ru-RU"/>
        </w:rPr>
        <w:t>Весной 1915 г. были гото</w:t>
      </w:r>
      <w:r w:rsidRPr="00405303">
        <w:rPr>
          <w:bCs/>
          <w:color w:val="002060"/>
          <w:sz w:val="16"/>
          <w:szCs w:val="16"/>
          <w:lang w:bidi="ru-RU"/>
        </w:rPr>
        <w:softHyphen/>
        <w:t xml:space="preserve">вы первые три опытных образца С-16 (РБВЗ </w:t>
      </w:r>
      <w:r w:rsidRPr="00405303">
        <w:rPr>
          <w:bCs/>
          <w:color w:val="002060"/>
          <w:sz w:val="16"/>
          <w:szCs w:val="16"/>
          <w:lang w:val="en-US" w:bidi="en-US"/>
        </w:rPr>
        <w:t>C</w:t>
      </w:r>
      <w:r w:rsidRPr="00405303">
        <w:rPr>
          <w:bCs/>
          <w:color w:val="002060"/>
          <w:sz w:val="16"/>
          <w:szCs w:val="16"/>
          <w:lang w:bidi="en-US"/>
        </w:rPr>
        <w:t>-</w:t>
      </w:r>
      <w:r w:rsidRPr="00405303">
        <w:rPr>
          <w:bCs/>
          <w:color w:val="002060"/>
          <w:sz w:val="16"/>
          <w:szCs w:val="16"/>
          <w:lang w:val="en-US" w:bidi="en-US"/>
        </w:rPr>
        <w:t>XVI</w:t>
      </w:r>
      <w:r w:rsidRPr="00405303">
        <w:rPr>
          <w:bCs/>
          <w:color w:val="002060"/>
          <w:sz w:val="16"/>
          <w:szCs w:val="16"/>
          <w:lang w:bidi="en-US"/>
        </w:rPr>
        <w:t xml:space="preserve">). </w:t>
      </w:r>
      <w:r w:rsidRPr="00405303">
        <w:rPr>
          <w:bCs/>
          <w:color w:val="002060"/>
          <w:sz w:val="16"/>
          <w:szCs w:val="16"/>
          <w:lang w:bidi="ru-RU"/>
        </w:rPr>
        <w:t>Один — заводской №154 — отличался небольшой стреловидностью крыльев, два других — заводские №155 и №156 — стреловидности не имели, но об</w:t>
      </w:r>
      <w:r w:rsidRPr="00405303">
        <w:rPr>
          <w:bCs/>
          <w:color w:val="002060"/>
          <w:sz w:val="16"/>
          <w:szCs w:val="16"/>
          <w:lang w:bidi="ru-RU"/>
        </w:rPr>
        <w:softHyphen/>
        <w:t>ладали увеличенным поперечным V крыль</w:t>
      </w:r>
      <w:r w:rsidRPr="00405303">
        <w:rPr>
          <w:bCs/>
          <w:color w:val="002060"/>
          <w:sz w:val="16"/>
          <w:szCs w:val="16"/>
          <w:lang w:bidi="ru-RU"/>
        </w:rPr>
        <w:softHyphen/>
        <w:t>ев. Все три аппарата отличались наличием элеронов на верхнем и нижнем крыле.</w:t>
      </w:r>
    </w:p>
    <w:p w14:paraId="0075E605" w14:textId="77777777" w:rsidR="000415BF" w:rsidRPr="00405303" w:rsidRDefault="000415BF" w:rsidP="00C15251">
      <w:pPr>
        <w:jc w:val="both"/>
        <w:rPr>
          <w:bCs/>
          <w:color w:val="002060"/>
          <w:sz w:val="16"/>
          <w:szCs w:val="16"/>
        </w:rPr>
      </w:pPr>
      <w:r w:rsidRPr="00405303">
        <w:rPr>
          <w:bCs/>
          <w:color w:val="002060"/>
          <w:sz w:val="16"/>
          <w:szCs w:val="16"/>
          <w:lang w:bidi="ru-RU"/>
        </w:rPr>
        <w:t>Эксплуатация, начавшаяся летом 1915 г. в Эскадре воздушных кораблей, выявила их положительные летные данные, поэтому очередной заказ, оформленный в октябре 1915 г. составил 15 С-16 (т.е. весь заказ, вместе с ранее поставленными тремя са</w:t>
      </w:r>
      <w:r w:rsidRPr="00405303">
        <w:rPr>
          <w:bCs/>
          <w:color w:val="002060"/>
          <w:sz w:val="16"/>
          <w:szCs w:val="16"/>
          <w:lang w:bidi="ru-RU"/>
        </w:rPr>
        <w:softHyphen/>
        <w:t>молетами, составил 18 экземпляров) (23374).</w:t>
      </w:r>
    </w:p>
    <w:p w14:paraId="46060D5B" w14:textId="77777777" w:rsidR="000415BF" w:rsidRPr="00405303" w:rsidRDefault="000415BF" w:rsidP="00C15251">
      <w:pPr>
        <w:jc w:val="both"/>
        <w:rPr>
          <w:bCs/>
          <w:color w:val="002060"/>
          <w:sz w:val="16"/>
          <w:szCs w:val="16"/>
        </w:rPr>
      </w:pPr>
    </w:p>
    <w:p w14:paraId="713B3718" w14:textId="77777777" w:rsidR="000415BF" w:rsidRPr="00405303" w:rsidRDefault="000415BF" w:rsidP="00C15251">
      <w:pPr>
        <w:jc w:val="both"/>
        <w:rPr>
          <w:bCs/>
          <w:color w:val="002060"/>
          <w:sz w:val="16"/>
          <w:szCs w:val="16"/>
        </w:rPr>
      </w:pPr>
      <w:r w:rsidRPr="00405303">
        <w:rPr>
          <w:bCs/>
          <w:color w:val="002060"/>
          <w:sz w:val="16"/>
          <w:szCs w:val="16"/>
        </w:rPr>
        <w:t>Весной 1915 г. на самолет С-16 (C-XVI, зав. № 155) 2-й опытный был установлен мотор Гном 9 (80 л.с.).</w:t>
      </w:r>
    </w:p>
    <w:p w14:paraId="07BD93A0" w14:textId="77777777" w:rsidR="000415BF" w:rsidRPr="00405303" w:rsidRDefault="000415BF" w:rsidP="00C15251">
      <w:pPr>
        <w:jc w:val="both"/>
        <w:rPr>
          <w:bCs/>
          <w:color w:val="002060"/>
          <w:sz w:val="16"/>
          <w:szCs w:val="16"/>
        </w:rPr>
      </w:pPr>
      <w:r w:rsidRPr="00405303">
        <w:rPr>
          <w:bCs/>
          <w:color w:val="002060"/>
          <w:sz w:val="16"/>
          <w:szCs w:val="16"/>
        </w:rPr>
        <w:t>Постройка началась Петербургским авиационным отделением РБВЗ в ноябре 1914 г. еще до облета первой машины и ее оплаты.</w:t>
      </w:r>
    </w:p>
    <w:p w14:paraId="0ED51700" w14:textId="77777777" w:rsidR="000415BF" w:rsidRPr="00405303" w:rsidRDefault="000415BF" w:rsidP="00C15251">
      <w:pPr>
        <w:jc w:val="both"/>
        <w:rPr>
          <w:bCs/>
          <w:color w:val="002060"/>
          <w:sz w:val="16"/>
          <w:szCs w:val="16"/>
        </w:rPr>
      </w:pPr>
      <w:r w:rsidRPr="00405303">
        <w:rPr>
          <w:bCs/>
          <w:color w:val="002060"/>
          <w:sz w:val="16"/>
          <w:szCs w:val="16"/>
        </w:rPr>
        <w:t>По сравнению с 1-м опытным самолетом имел ряд намеренных отличий:</w:t>
      </w:r>
    </w:p>
    <w:p w14:paraId="1FE0257B" w14:textId="77777777" w:rsidR="000415BF" w:rsidRPr="00405303" w:rsidRDefault="000415BF" w:rsidP="00C15251">
      <w:pPr>
        <w:jc w:val="both"/>
        <w:rPr>
          <w:bCs/>
          <w:color w:val="002060"/>
          <w:sz w:val="16"/>
          <w:szCs w:val="16"/>
        </w:rPr>
      </w:pPr>
      <w:r w:rsidRPr="00405303">
        <w:rPr>
          <w:bCs/>
          <w:color w:val="002060"/>
          <w:sz w:val="16"/>
          <w:szCs w:val="16"/>
        </w:rPr>
        <w:t>- сделаны новые крылья без стреловидности;</w:t>
      </w:r>
    </w:p>
    <w:p w14:paraId="750AA849" w14:textId="77777777" w:rsidR="000415BF" w:rsidRPr="00405303" w:rsidRDefault="000415BF" w:rsidP="00C15251">
      <w:pPr>
        <w:jc w:val="both"/>
        <w:rPr>
          <w:bCs/>
          <w:color w:val="002060"/>
          <w:sz w:val="16"/>
          <w:szCs w:val="16"/>
        </w:rPr>
      </w:pPr>
      <w:r w:rsidRPr="00405303">
        <w:rPr>
          <w:bCs/>
          <w:color w:val="002060"/>
          <w:sz w:val="16"/>
          <w:szCs w:val="16"/>
        </w:rPr>
        <w:t>- консоли крыльев установлены со значительным положительным углом поперечного V.</w:t>
      </w:r>
    </w:p>
    <w:p w14:paraId="34E6F919" w14:textId="77777777" w:rsidR="000415BF" w:rsidRPr="00405303" w:rsidRDefault="000415BF" w:rsidP="00C15251">
      <w:pPr>
        <w:jc w:val="both"/>
        <w:rPr>
          <w:bCs/>
          <w:color w:val="002060"/>
          <w:sz w:val="16"/>
          <w:szCs w:val="16"/>
        </w:rPr>
      </w:pPr>
      <w:r w:rsidRPr="00405303">
        <w:rPr>
          <w:bCs/>
          <w:color w:val="002060"/>
          <w:sz w:val="16"/>
          <w:szCs w:val="16"/>
        </w:rPr>
        <w:t>Закончен постройкой без установки мотора в последние дни 1914 или в начале 1915 г. В первых числах марта 1915 г. Председатель правления АО РБВЗ – командир ЭВК М.В. Шидловский распорядился передать самолет в распоряжение ЭВК, и он был отправлен 6 марта 1915 г. без мотора.</w:t>
      </w:r>
    </w:p>
    <w:p w14:paraId="1BEF023C" w14:textId="77777777" w:rsidR="000415BF" w:rsidRPr="00405303" w:rsidRDefault="000415BF" w:rsidP="00C15251">
      <w:pPr>
        <w:jc w:val="both"/>
        <w:rPr>
          <w:bCs/>
          <w:color w:val="002060"/>
          <w:sz w:val="16"/>
          <w:szCs w:val="16"/>
        </w:rPr>
      </w:pPr>
      <w:r w:rsidRPr="00405303">
        <w:rPr>
          <w:bCs/>
          <w:color w:val="002060"/>
          <w:sz w:val="16"/>
          <w:szCs w:val="16"/>
        </w:rPr>
        <w:t>Все три первых самолета были облетаны в ЭВК летом 1915 г. (не известно, который испытали первым).</w:t>
      </w:r>
    </w:p>
    <w:p w14:paraId="3B357C95" w14:textId="77777777" w:rsidR="000415BF" w:rsidRPr="00405303" w:rsidRDefault="000415BF" w:rsidP="00C15251">
      <w:pPr>
        <w:jc w:val="both"/>
        <w:rPr>
          <w:bCs/>
          <w:color w:val="002060"/>
          <w:sz w:val="16"/>
          <w:szCs w:val="16"/>
        </w:rPr>
      </w:pPr>
      <w:r w:rsidRPr="00405303">
        <w:rPr>
          <w:bCs/>
          <w:color w:val="002060"/>
          <w:sz w:val="16"/>
          <w:szCs w:val="16"/>
        </w:rPr>
        <w:t>Самолеты с моторами Гном 9 показали высокие качества скороподъемности и скорости, но с одним летчиком, в то же время их устойчивость и управляемость с двумя летчиками были нормальными, что позволяло их использовать по основному назначению – для тренировки пилотов ЭВК. С формированием Летной школы ЭВК передан в ее состав (к середине января 1916 г. самолет все еще не был принят в казну и оплачен).</w:t>
      </w:r>
    </w:p>
    <w:p w14:paraId="0DF9303B" w14:textId="77777777" w:rsidR="000415BF" w:rsidRPr="00405303" w:rsidRDefault="000415BF" w:rsidP="00C15251">
      <w:pPr>
        <w:jc w:val="both"/>
        <w:rPr>
          <w:bCs/>
          <w:color w:val="002060"/>
          <w:sz w:val="16"/>
          <w:szCs w:val="16"/>
        </w:rPr>
      </w:pPr>
      <w:r w:rsidRPr="00405303">
        <w:rPr>
          <w:bCs/>
          <w:color w:val="002060"/>
          <w:sz w:val="16"/>
          <w:szCs w:val="16"/>
        </w:rPr>
        <w:t>В ходе эксплуатации на самолете делались доработки:</w:t>
      </w:r>
    </w:p>
    <w:p w14:paraId="2BBC0194" w14:textId="77777777" w:rsidR="000415BF" w:rsidRPr="00405303" w:rsidRDefault="000415BF" w:rsidP="00C15251">
      <w:pPr>
        <w:jc w:val="both"/>
        <w:rPr>
          <w:bCs/>
          <w:color w:val="002060"/>
          <w:sz w:val="16"/>
          <w:szCs w:val="16"/>
        </w:rPr>
      </w:pPr>
      <w:r w:rsidRPr="00405303">
        <w:rPr>
          <w:bCs/>
          <w:color w:val="002060"/>
          <w:sz w:val="16"/>
          <w:szCs w:val="16"/>
        </w:rPr>
        <w:t>- был установлен 7-цилиндровый ротативный мотор Гном «Моносупап-А», 80 л.с.;</w:t>
      </w:r>
    </w:p>
    <w:p w14:paraId="669562CE" w14:textId="77777777" w:rsidR="000415BF" w:rsidRPr="00405303" w:rsidRDefault="000415BF" w:rsidP="00C15251">
      <w:pPr>
        <w:jc w:val="both"/>
        <w:rPr>
          <w:bCs/>
          <w:color w:val="002060"/>
          <w:sz w:val="16"/>
          <w:szCs w:val="16"/>
        </w:rPr>
      </w:pPr>
      <w:r w:rsidRPr="00405303">
        <w:rPr>
          <w:bCs/>
          <w:color w:val="002060"/>
          <w:sz w:val="16"/>
          <w:szCs w:val="16"/>
        </w:rPr>
        <w:t>- перед кабиной был установлен козырек из целлулоида, а за ней – высокая спинка, с которой инструктору (летнабу) сидеть стало удобнее, но скорость самолета понизилась ().</w:t>
      </w:r>
    </w:p>
    <w:p w14:paraId="0BFC6316" w14:textId="77777777" w:rsidR="000415BF" w:rsidRPr="00405303" w:rsidRDefault="000415BF" w:rsidP="00C15251">
      <w:pPr>
        <w:jc w:val="both"/>
        <w:rPr>
          <w:bCs/>
          <w:color w:val="002060"/>
          <w:sz w:val="16"/>
          <w:szCs w:val="16"/>
        </w:rPr>
      </w:pPr>
    </w:p>
    <w:p w14:paraId="6C720C32" w14:textId="77777777" w:rsidR="000415BF" w:rsidRPr="00405303" w:rsidRDefault="000415BF" w:rsidP="00C15251">
      <w:pPr>
        <w:jc w:val="both"/>
        <w:rPr>
          <w:bCs/>
          <w:color w:val="002060"/>
          <w:sz w:val="16"/>
          <w:szCs w:val="16"/>
        </w:rPr>
      </w:pPr>
      <w:r w:rsidRPr="00405303">
        <w:rPr>
          <w:bCs/>
          <w:color w:val="002060"/>
          <w:sz w:val="16"/>
          <w:szCs w:val="16"/>
        </w:rPr>
        <w:t>Весной 1915 г. производство на РБВЗ в Петрограде было восстановлено. Во</w:t>
      </w:r>
      <w:r w:rsidRPr="00405303">
        <w:rPr>
          <w:bCs/>
          <w:color w:val="002060"/>
          <w:sz w:val="16"/>
          <w:szCs w:val="16"/>
        </w:rPr>
        <w:softHyphen/>
        <w:t>енные к этому времени определили свое отношение к «Муромцам», и на РБВЗ началась лихорадочная подго</w:t>
      </w:r>
      <w:r w:rsidRPr="00405303">
        <w:rPr>
          <w:bCs/>
          <w:color w:val="002060"/>
          <w:sz w:val="16"/>
          <w:szCs w:val="16"/>
        </w:rPr>
        <w:softHyphen/>
        <w:t>товка к скорейшему выполнению заказа на 32 корабля. Заводу он был очень выгоден — за каждого «Муромца» военное ведомство по-прежнему платило 150 тыс. руб. Для сравнения можно отметить, что цена маленького самолета составляла от 7 до 14 тыс. руб.</w:t>
      </w:r>
    </w:p>
    <w:p w14:paraId="6E4AC5C2" w14:textId="77777777" w:rsidR="000415BF" w:rsidRPr="00405303" w:rsidRDefault="000415BF" w:rsidP="00C15251">
      <w:pPr>
        <w:jc w:val="both"/>
        <w:rPr>
          <w:bCs/>
          <w:color w:val="002060"/>
          <w:sz w:val="16"/>
          <w:szCs w:val="16"/>
        </w:rPr>
      </w:pPr>
      <w:r w:rsidRPr="00405303">
        <w:rPr>
          <w:bCs/>
          <w:color w:val="002060"/>
          <w:sz w:val="16"/>
          <w:szCs w:val="16"/>
        </w:rPr>
        <w:t>Вот в этих ус</w:t>
      </w:r>
      <w:r w:rsidRPr="00405303">
        <w:rPr>
          <w:bCs/>
          <w:color w:val="002060"/>
          <w:sz w:val="16"/>
          <w:szCs w:val="16"/>
        </w:rPr>
        <w:softHyphen/>
        <w:t>ловиях Воздухоплавательное отделение и было выделе</w:t>
      </w:r>
      <w:r w:rsidRPr="00405303">
        <w:rPr>
          <w:bCs/>
          <w:color w:val="002060"/>
          <w:sz w:val="16"/>
          <w:szCs w:val="16"/>
        </w:rPr>
        <w:softHyphen/>
        <w:t>но в самостоятельный Русско-Балтийский воздухопла</w:t>
      </w:r>
      <w:r w:rsidRPr="00405303">
        <w:rPr>
          <w:bCs/>
          <w:color w:val="002060"/>
          <w:sz w:val="16"/>
          <w:szCs w:val="16"/>
        </w:rPr>
        <w:softHyphen/>
        <w:t>вательный завод — «Авиа-Балт», директором которого стал все тот же энергичный М. Ф. Климиксеев. В своей пояснительной записке о регистрации завода он отмечал: «Производство заключается в изготовлении аэроп</w:t>
      </w:r>
      <w:r w:rsidRPr="00405303">
        <w:rPr>
          <w:bCs/>
          <w:color w:val="002060"/>
          <w:sz w:val="16"/>
          <w:szCs w:val="16"/>
        </w:rPr>
        <w:softHyphen/>
        <w:t>ланов, Воздушных Кораблей и запасных частей к ним, а также их ремонт. Для изготовления аэропланов необ</w:t>
      </w:r>
      <w:r w:rsidRPr="00405303">
        <w:rPr>
          <w:bCs/>
          <w:color w:val="002060"/>
          <w:sz w:val="16"/>
          <w:szCs w:val="16"/>
        </w:rPr>
        <w:softHyphen/>
        <w:t>ходимы следующие мастерские: слесарно-механиче</w:t>
      </w:r>
      <w:r w:rsidRPr="00405303">
        <w:rPr>
          <w:bCs/>
          <w:color w:val="002060"/>
          <w:sz w:val="16"/>
          <w:szCs w:val="16"/>
        </w:rPr>
        <w:softHyphen/>
        <w:t>ская, моторная, деревообделочная — распиливающая лесной материал, столярная — производящая сборку отдельных частей аэропланов, обойная и, наконец, ма</w:t>
      </w:r>
      <w:r w:rsidRPr="00405303">
        <w:rPr>
          <w:bCs/>
          <w:color w:val="002060"/>
          <w:sz w:val="16"/>
          <w:szCs w:val="16"/>
        </w:rPr>
        <w:softHyphen/>
        <w:t>лярная. Центральными мастерскими являются: сто</w:t>
      </w:r>
      <w:r w:rsidRPr="00405303">
        <w:rPr>
          <w:bCs/>
          <w:color w:val="002060"/>
          <w:sz w:val="16"/>
          <w:szCs w:val="16"/>
        </w:rPr>
        <w:softHyphen/>
        <w:t>лярная и слесарно-механическая с наибольшим коли</w:t>
      </w:r>
      <w:r w:rsidRPr="00405303">
        <w:rPr>
          <w:bCs/>
          <w:color w:val="002060"/>
          <w:sz w:val="16"/>
          <w:szCs w:val="16"/>
        </w:rPr>
        <w:softHyphen/>
        <w:t xml:space="preserve">чеством рабочих, станков и прочего оборудования, остальные мастерские являются второстепенными и в них занято значительно меньшее число </w:t>
      </w:r>
      <w:proofErr w:type="gramStart"/>
      <w:r w:rsidRPr="00405303">
        <w:rPr>
          <w:bCs/>
          <w:color w:val="002060"/>
          <w:sz w:val="16"/>
          <w:szCs w:val="16"/>
        </w:rPr>
        <w:t>рабочих »</w:t>
      </w:r>
      <w:proofErr w:type="gramEnd"/>
      <w:r w:rsidRPr="00405303">
        <w:rPr>
          <w:bCs/>
          <w:color w:val="002060"/>
          <w:sz w:val="16"/>
          <w:szCs w:val="16"/>
        </w:rPr>
        <w:t>...</w:t>
      </w:r>
    </w:p>
    <w:p w14:paraId="45919D63" w14:textId="77777777" w:rsidR="000415BF" w:rsidRPr="00405303" w:rsidRDefault="000415BF" w:rsidP="00C15251">
      <w:pPr>
        <w:jc w:val="both"/>
        <w:rPr>
          <w:bCs/>
          <w:color w:val="002060"/>
          <w:sz w:val="16"/>
          <w:szCs w:val="16"/>
        </w:rPr>
      </w:pPr>
      <w:r w:rsidRPr="00405303">
        <w:rPr>
          <w:bCs/>
          <w:color w:val="002060"/>
          <w:sz w:val="16"/>
          <w:szCs w:val="16"/>
        </w:rPr>
        <w:t>К середине 1915 г. на заводе уже работало 425 чело</w:t>
      </w:r>
      <w:r w:rsidRPr="00405303">
        <w:rPr>
          <w:bCs/>
          <w:color w:val="002060"/>
          <w:sz w:val="16"/>
          <w:szCs w:val="16"/>
        </w:rPr>
        <w:softHyphen/>
        <w:t>век, а в., его парке насчитывалось более 50 современных станков (24177).</w:t>
      </w:r>
    </w:p>
    <w:p w14:paraId="7E4FA6D1" w14:textId="77777777" w:rsidR="000415BF" w:rsidRPr="00405303" w:rsidRDefault="000415BF" w:rsidP="00C15251">
      <w:pPr>
        <w:jc w:val="both"/>
        <w:rPr>
          <w:bCs/>
          <w:color w:val="002060"/>
          <w:sz w:val="16"/>
          <w:szCs w:val="16"/>
        </w:rPr>
      </w:pPr>
    </w:p>
    <w:p w14:paraId="50BFA78C" w14:textId="77777777" w:rsidR="000415BF" w:rsidRPr="00405303" w:rsidRDefault="000415BF" w:rsidP="00C15251">
      <w:pPr>
        <w:jc w:val="both"/>
        <w:rPr>
          <w:bCs/>
          <w:color w:val="002060"/>
          <w:sz w:val="16"/>
          <w:szCs w:val="16"/>
        </w:rPr>
      </w:pPr>
      <w:r w:rsidRPr="00405303">
        <w:rPr>
          <w:bCs/>
          <w:color w:val="002060"/>
          <w:sz w:val="16"/>
          <w:szCs w:val="16"/>
        </w:rPr>
        <w:t>Весной 1915 г. на заводе ПРТВ был начат Серийный выпуск самолета М-5 лл М-5. Отпускная цена самолета М-5 без мотора была установлена 10500 р.</w:t>
      </w:r>
    </w:p>
    <w:p w14:paraId="638B7701" w14:textId="77777777" w:rsidR="000415BF" w:rsidRPr="00405303" w:rsidRDefault="000415BF" w:rsidP="00C15251">
      <w:pPr>
        <w:jc w:val="both"/>
        <w:rPr>
          <w:bCs/>
          <w:color w:val="002060"/>
          <w:sz w:val="16"/>
          <w:szCs w:val="16"/>
        </w:rPr>
      </w:pPr>
      <w:r w:rsidRPr="00405303">
        <w:rPr>
          <w:bCs/>
          <w:color w:val="002060"/>
          <w:sz w:val="16"/>
          <w:szCs w:val="16"/>
        </w:rPr>
        <w:t>За 1915 г. было выпущено несколько десятков (а возможно, и более сотни – точное число не известно) самолетов, в 1916-1917 гг. выпуск их продолжился, несмотря на внедрение в серийное производство более мощного гидросамолета М-9, который был существенно дороже (18000 руб. без двигателя, оборудования и вооружения – в 1,7 раза больше, чем М-5).</w:t>
      </w:r>
    </w:p>
    <w:p w14:paraId="786156B3" w14:textId="77777777" w:rsidR="000415BF" w:rsidRPr="00405303" w:rsidRDefault="000415BF" w:rsidP="00C15251">
      <w:pPr>
        <w:jc w:val="both"/>
        <w:rPr>
          <w:bCs/>
          <w:color w:val="002060"/>
          <w:sz w:val="16"/>
          <w:szCs w:val="16"/>
        </w:rPr>
      </w:pPr>
      <w:r w:rsidRPr="00405303">
        <w:rPr>
          <w:bCs/>
          <w:color w:val="002060"/>
          <w:sz w:val="16"/>
          <w:szCs w:val="16"/>
        </w:rPr>
        <w:t>Для исправления выявляемых дефектов, упрощения конструкции и приспособления ее к производству военного времени, когда возникала нехватка некоторых материалов, а также для расширения области применения летающих лодок М-5 в конструкцию и комплектацию серийных образцов вносились существенные изменения, в т.ч.:</w:t>
      </w:r>
    </w:p>
    <w:p w14:paraId="4947FC1A" w14:textId="77777777" w:rsidR="000415BF" w:rsidRPr="00405303" w:rsidRDefault="000415BF" w:rsidP="00C15251">
      <w:pPr>
        <w:jc w:val="both"/>
        <w:rPr>
          <w:bCs/>
          <w:color w:val="002060"/>
          <w:sz w:val="16"/>
          <w:szCs w:val="16"/>
        </w:rPr>
      </w:pPr>
      <w:r w:rsidRPr="00405303">
        <w:rPr>
          <w:bCs/>
          <w:color w:val="002060"/>
          <w:sz w:val="16"/>
          <w:szCs w:val="16"/>
        </w:rPr>
        <w:t xml:space="preserve">- на многих серийных самолетах стойки бипланной коробки деревянные (пустотелые, собранные </w:t>
      </w:r>
      <w:proofErr w:type="gramStart"/>
      <w:r w:rsidRPr="00405303">
        <w:rPr>
          <w:bCs/>
          <w:color w:val="002060"/>
          <w:sz w:val="16"/>
          <w:szCs w:val="16"/>
        </w:rPr>
        <w:t>на клею</w:t>
      </w:r>
      <w:proofErr w:type="gramEnd"/>
      <w:r w:rsidRPr="00405303">
        <w:rPr>
          <w:bCs/>
          <w:color w:val="002060"/>
          <w:sz w:val="16"/>
          <w:szCs w:val="16"/>
        </w:rPr>
        <w:t xml:space="preserve"> и стяжках из двух половин с продольными канавками) вместо стальных из труб сплюснутого сечения с обжатыми наконечниками, такие стойки крепятся к «паукам» навески растяжек не через проушины, а вставляясь в трубки соответствующего размера, которые вварены в основания «пауков», после чего в них совместно делается отверстие и проштыривается болом;</w:t>
      </w:r>
    </w:p>
    <w:p w14:paraId="699F3AA6" w14:textId="77777777" w:rsidR="000415BF" w:rsidRPr="00405303" w:rsidRDefault="000415BF" w:rsidP="00C15251">
      <w:pPr>
        <w:jc w:val="both"/>
        <w:rPr>
          <w:bCs/>
          <w:color w:val="002060"/>
          <w:sz w:val="16"/>
          <w:szCs w:val="16"/>
        </w:rPr>
      </w:pPr>
      <w:r w:rsidRPr="00405303">
        <w:rPr>
          <w:bCs/>
          <w:color w:val="002060"/>
          <w:sz w:val="16"/>
          <w:szCs w:val="16"/>
        </w:rPr>
        <w:t>- на части самолетов в корневой части передних кромок нижних крыльев сделаны подкрепленные гнутыми фанерными носками небольшие округлые вырезы между передним лонжероном и носком 2-й нервюры, чтобы эти места не повреждались обувью при входе в кабину и выходе из нее;</w:t>
      </w:r>
    </w:p>
    <w:p w14:paraId="1C99DDE7" w14:textId="77777777" w:rsidR="000415BF" w:rsidRPr="00405303" w:rsidRDefault="000415BF" w:rsidP="00C15251">
      <w:pPr>
        <w:jc w:val="both"/>
        <w:rPr>
          <w:bCs/>
          <w:color w:val="002060"/>
          <w:sz w:val="16"/>
          <w:szCs w:val="16"/>
        </w:rPr>
      </w:pPr>
      <w:r w:rsidRPr="00405303">
        <w:rPr>
          <w:bCs/>
          <w:color w:val="002060"/>
          <w:sz w:val="16"/>
          <w:szCs w:val="16"/>
        </w:rPr>
        <w:t>- на части самолетов выпуска 1916-1917 гг. сделаны жесткие задние кромки крыльев и элеронов – вместо канатиков по концам нервюр пущены рейки;</w:t>
      </w:r>
    </w:p>
    <w:p w14:paraId="55E2BA76" w14:textId="77777777" w:rsidR="000415BF" w:rsidRPr="00405303" w:rsidRDefault="000415BF" w:rsidP="00C15251">
      <w:pPr>
        <w:jc w:val="both"/>
        <w:rPr>
          <w:bCs/>
          <w:color w:val="002060"/>
          <w:sz w:val="16"/>
          <w:szCs w:val="16"/>
        </w:rPr>
      </w:pPr>
      <w:r w:rsidRPr="00405303">
        <w:rPr>
          <w:bCs/>
          <w:color w:val="002060"/>
          <w:sz w:val="16"/>
          <w:szCs w:val="16"/>
        </w:rPr>
        <w:t>- на части самолетов (а возможно, и на всех с 1916 г.) на бортах фюзеляжа у кабины установлены стальные кнехты для их швартовки и подъема краном для облегчения подъема на борт судна или на пристань без слипа;</w:t>
      </w:r>
    </w:p>
    <w:p w14:paraId="76182F02" w14:textId="77777777" w:rsidR="000415BF" w:rsidRPr="00405303" w:rsidRDefault="000415BF" w:rsidP="00C15251">
      <w:pPr>
        <w:jc w:val="both"/>
        <w:rPr>
          <w:bCs/>
          <w:color w:val="002060"/>
          <w:sz w:val="16"/>
          <w:szCs w:val="16"/>
        </w:rPr>
      </w:pPr>
      <w:r w:rsidRPr="00405303">
        <w:rPr>
          <w:bCs/>
          <w:color w:val="002060"/>
          <w:sz w:val="16"/>
          <w:szCs w:val="16"/>
        </w:rPr>
        <w:t>- по ходу выпуска перестали устанавливать механизм подъема стабилизатора, в связи с чем изменена конструкция его самого и крепления;</w:t>
      </w:r>
    </w:p>
    <w:p w14:paraId="18D06062" w14:textId="77777777" w:rsidR="000415BF" w:rsidRPr="00405303" w:rsidRDefault="000415BF" w:rsidP="00C15251">
      <w:pPr>
        <w:jc w:val="both"/>
        <w:rPr>
          <w:bCs/>
          <w:color w:val="002060"/>
          <w:sz w:val="16"/>
          <w:szCs w:val="16"/>
        </w:rPr>
      </w:pPr>
      <w:r w:rsidRPr="00405303">
        <w:rPr>
          <w:bCs/>
          <w:color w:val="002060"/>
          <w:sz w:val="16"/>
          <w:szCs w:val="16"/>
        </w:rPr>
        <w:t>- вместо свинцовых белил для проклейки швов стали применять цинковые (но с разрешением использовать и свинцовые);</w:t>
      </w:r>
    </w:p>
    <w:p w14:paraId="0D0E3E6F" w14:textId="77777777" w:rsidR="000415BF" w:rsidRPr="00405303" w:rsidRDefault="000415BF" w:rsidP="00C15251">
      <w:pPr>
        <w:jc w:val="both"/>
        <w:rPr>
          <w:bCs/>
          <w:color w:val="002060"/>
          <w:sz w:val="16"/>
          <w:szCs w:val="16"/>
        </w:rPr>
      </w:pPr>
      <w:r w:rsidRPr="00405303">
        <w:rPr>
          <w:bCs/>
          <w:color w:val="002060"/>
          <w:sz w:val="16"/>
          <w:szCs w:val="16"/>
        </w:rPr>
        <w:t>- на небольшой части самолетов ставили пулемет (обычно – неподвижный Виккерс Mk. I калибра 7,69 мм английского или французского производства) на ограниченно подвижной установке напротив места летнаба справа от ПСС;</w:t>
      </w:r>
    </w:p>
    <w:p w14:paraId="767DEFF4" w14:textId="77777777" w:rsidR="000415BF" w:rsidRPr="00405303" w:rsidRDefault="000415BF" w:rsidP="00C15251">
      <w:pPr>
        <w:jc w:val="both"/>
        <w:rPr>
          <w:bCs/>
          <w:color w:val="002060"/>
          <w:sz w:val="16"/>
          <w:szCs w:val="16"/>
        </w:rPr>
      </w:pPr>
      <w:r w:rsidRPr="00405303">
        <w:rPr>
          <w:bCs/>
          <w:color w:val="002060"/>
          <w:sz w:val="16"/>
          <w:szCs w:val="16"/>
        </w:rPr>
        <w:t>- на небольшой части самолетов по правому борту на месте летнаба ставили работающую в телеграфном режиме от аккумулятора радиостанцию с выпускной антенной с грузиком;</w:t>
      </w:r>
    </w:p>
    <w:p w14:paraId="586B565B" w14:textId="77777777" w:rsidR="000415BF" w:rsidRPr="00405303" w:rsidRDefault="000415BF" w:rsidP="00C15251">
      <w:pPr>
        <w:jc w:val="both"/>
        <w:rPr>
          <w:bCs/>
          <w:color w:val="002060"/>
          <w:sz w:val="16"/>
          <w:szCs w:val="16"/>
        </w:rPr>
      </w:pPr>
      <w:r w:rsidRPr="00405303">
        <w:rPr>
          <w:bCs/>
          <w:color w:val="002060"/>
          <w:sz w:val="16"/>
          <w:szCs w:val="16"/>
        </w:rPr>
        <w:t>- вместо покрытия бесцветным лаком самолет стали красить защитным (оливково-зеленым) цветом сверху и с боков и голубым снизу и др. (23594).</w:t>
      </w:r>
    </w:p>
    <w:p w14:paraId="28DCBE7F" w14:textId="77777777" w:rsidR="000415BF" w:rsidRPr="00405303" w:rsidRDefault="000415BF" w:rsidP="00C15251">
      <w:pPr>
        <w:jc w:val="both"/>
        <w:rPr>
          <w:bCs/>
          <w:color w:val="002060"/>
          <w:sz w:val="16"/>
          <w:szCs w:val="16"/>
        </w:rPr>
      </w:pPr>
    </w:p>
    <w:p w14:paraId="6F252FA7" w14:textId="77777777" w:rsidR="0009477E" w:rsidRPr="00405303" w:rsidRDefault="0009477E" w:rsidP="00C15251">
      <w:pPr>
        <w:jc w:val="both"/>
        <w:rPr>
          <w:bCs/>
          <w:color w:val="002060"/>
          <w:sz w:val="16"/>
          <w:szCs w:val="16"/>
        </w:rPr>
      </w:pPr>
      <w:r w:rsidRPr="00405303">
        <w:rPr>
          <w:bCs/>
          <w:color w:val="002060"/>
          <w:sz w:val="16"/>
          <w:szCs w:val="16"/>
        </w:rPr>
        <w:t>С весны 1915 г. самолет Ньюпор IV в ИВФ рассматривался как учебный, но применению его в таком качестве мешал отличающийся от других машин порядок работы управления. Тем не менее, в условиях недостатка других самолетов Ньюпор IV в этом качестве использовался в т.ч. и на фронте (23568).</w:t>
      </w:r>
    </w:p>
    <w:p w14:paraId="00A2002D" w14:textId="77777777" w:rsidR="0009477E" w:rsidRPr="00405303" w:rsidRDefault="0009477E" w:rsidP="00C15251">
      <w:pPr>
        <w:jc w:val="both"/>
        <w:rPr>
          <w:bCs/>
          <w:color w:val="002060"/>
          <w:sz w:val="16"/>
          <w:szCs w:val="16"/>
        </w:rPr>
      </w:pPr>
    </w:p>
    <w:p w14:paraId="5D413E32" w14:textId="77777777" w:rsidR="0009477E" w:rsidRPr="00405303" w:rsidRDefault="0009477E" w:rsidP="00C15251">
      <w:pPr>
        <w:jc w:val="both"/>
        <w:rPr>
          <w:bCs/>
          <w:color w:val="002060"/>
          <w:sz w:val="16"/>
          <w:szCs w:val="16"/>
        </w:rPr>
      </w:pPr>
      <w:r w:rsidRPr="00405303">
        <w:rPr>
          <w:bCs/>
          <w:color w:val="002060"/>
          <w:sz w:val="16"/>
          <w:szCs w:val="16"/>
        </w:rPr>
        <w:t>Весной 1915 г. на самолет С-16 был установлен новый мотор Гном 9С (80 л.с.), а сразу вслед за ним прямо с РБВЗ, не дожидаясь заключения договора и оплаты, отправили еще два самолета С-16, которые от первого отличались специально введенными изменениями, но также незначительнот и из-за невыдерживания чертежей, а кое в чем и их простого отсутствия (многие детали и узлы делались по устным распоряжениям инженеров и цеховых мастеров по месту) – никаких результатов испытаний пока еще не было, но на РБВЗ уже велась и работа по улучшению машины с учетом приобретаемого общего опыта.</w:t>
      </w:r>
    </w:p>
    <w:p w14:paraId="2AFBE473" w14:textId="77777777" w:rsidR="0009477E" w:rsidRPr="00405303" w:rsidRDefault="0009477E" w:rsidP="00C15251">
      <w:pPr>
        <w:jc w:val="both"/>
        <w:rPr>
          <w:bCs/>
          <w:color w:val="002060"/>
          <w:sz w:val="16"/>
          <w:szCs w:val="16"/>
        </w:rPr>
      </w:pPr>
      <w:r w:rsidRPr="00405303">
        <w:rPr>
          <w:bCs/>
          <w:color w:val="002060"/>
          <w:sz w:val="16"/>
          <w:szCs w:val="16"/>
        </w:rPr>
        <w:t>Все три первых самолета С-16 были облетаны в ЭВК летом 1915 г. и не известно, который собрали и испытали первым, не найдена пока и запись об этом событии с точной датой.</w:t>
      </w:r>
    </w:p>
    <w:p w14:paraId="1C77D2EA" w14:textId="77777777" w:rsidR="0009477E" w:rsidRPr="00405303" w:rsidRDefault="0009477E" w:rsidP="00C15251">
      <w:pPr>
        <w:jc w:val="both"/>
        <w:rPr>
          <w:bCs/>
          <w:color w:val="002060"/>
          <w:sz w:val="16"/>
          <w:szCs w:val="16"/>
        </w:rPr>
      </w:pPr>
      <w:r w:rsidRPr="00405303">
        <w:rPr>
          <w:bCs/>
          <w:color w:val="002060"/>
          <w:sz w:val="16"/>
          <w:szCs w:val="16"/>
        </w:rPr>
        <w:lastRenderedPageBreak/>
        <w:t>Самолеты с моторами Гном 9 показали высокие по тем временам качества скороподъемности и скорости (см. табл.), но только с одним летчиком, в то же время, несмотря на посредственные показатели скорости, скороподъемности и потолка их устойчивость и управляемость с двумя летчиками были нормальными, что позволяло их использовать по основному назначению – для тренировки пилотов ЭВК (23557).</w:t>
      </w:r>
    </w:p>
    <w:p w14:paraId="3BE32B42" w14:textId="77777777" w:rsidR="0009477E" w:rsidRPr="00405303" w:rsidRDefault="0009477E" w:rsidP="00C15251">
      <w:pPr>
        <w:jc w:val="both"/>
        <w:rPr>
          <w:bCs/>
          <w:color w:val="002060"/>
          <w:sz w:val="16"/>
          <w:szCs w:val="16"/>
        </w:rPr>
      </w:pPr>
    </w:p>
    <w:p w14:paraId="1F0C57D5" w14:textId="77777777" w:rsidR="0009477E" w:rsidRPr="00405303" w:rsidRDefault="0009477E" w:rsidP="00C15251">
      <w:pPr>
        <w:jc w:val="both"/>
        <w:rPr>
          <w:bCs/>
          <w:color w:val="002060"/>
          <w:sz w:val="16"/>
          <w:szCs w:val="16"/>
        </w:rPr>
      </w:pPr>
      <w:r w:rsidRPr="00405303">
        <w:rPr>
          <w:bCs/>
          <w:color w:val="002060"/>
          <w:sz w:val="16"/>
          <w:szCs w:val="16"/>
        </w:rPr>
        <w:t>Весной 1915 г. Шидловский передал в школу Эскадры все опытные лёгкие само</w:t>
      </w:r>
      <w:r w:rsidRPr="00405303">
        <w:rPr>
          <w:bCs/>
          <w:color w:val="002060"/>
          <w:sz w:val="16"/>
          <w:szCs w:val="16"/>
        </w:rPr>
        <w:softHyphen/>
        <w:t>лёты конструкции Сикорского (С-10, С-12 и С-16), являвшиеся соб</w:t>
      </w:r>
      <w:r w:rsidRPr="00405303">
        <w:rPr>
          <w:bCs/>
          <w:color w:val="002060"/>
          <w:sz w:val="16"/>
          <w:szCs w:val="16"/>
        </w:rPr>
        <w:softHyphen/>
        <w:t>ственностью РБВЗ. Затем ему уда</w:t>
      </w:r>
      <w:r w:rsidRPr="00405303">
        <w:rPr>
          <w:bCs/>
          <w:color w:val="002060"/>
          <w:sz w:val="16"/>
          <w:szCs w:val="16"/>
        </w:rPr>
        <w:softHyphen/>
        <w:t>лось получить от ГВТУ ещё не</w:t>
      </w:r>
      <w:r w:rsidRPr="00405303">
        <w:rPr>
          <w:bCs/>
          <w:color w:val="002060"/>
          <w:sz w:val="16"/>
          <w:szCs w:val="16"/>
        </w:rPr>
        <w:softHyphen/>
        <w:t>сколько учебных «фарманов», «вуазенов» и машин других типов. Вско</w:t>
      </w:r>
      <w:r w:rsidRPr="00405303">
        <w:rPr>
          <w:bCs/>
          <w:color w:val="002060"/>
          <w:sz w:val="16"/>
          <w:szCs w:val="16"/>
        </w:rPr>
        <w:softHyphen/>
        <w:t>ре школа ЭВК стала одним из луч</w:t>
      </w:r>
      <w:r w:rsidRPr="00405303">
        <w:rPr>
          <w:bCs/>
          <w:color w:val="002060"/>
          <w:sz w:val="16"/>
          <w:szCs w:val="16"/>
        </w:rPr>
        <w:softHyphen/>
        <w:t>ших лётных учебных заведений русской армии. Одним из первых квалификация «военный лётчик» была в ней присвоена бывшему «дирижаблисту» штабс-капитану РЛ. Нижевскому. Его назначили ко</w:t>
      </w:r>
      <w:r w:rsidRPr="00405303">
        <w:rPr>
          <w:bCs/>
          <w:color w:val="002060"/>
          <w:sz w:val="16"/>
          <w:szCs w:val="16"/>
        </w:rPr>
        <w:softHyphen/>
        <w:t xml:space="preserve">мандиром </w:t>
      </w:r>
      <w:r w:rsidRPr="00405303">
        <w:rPr>
          <w:bCs/>
          <w:color w:val="002060"/>
          <w:sz w:val="16"/>
          <w:szCs w:val="16"/>
          <w:lang w:val="en-US" w:bidi="en-US"/>
        </w:rPr>
        <w:t>BK</w:t>
      </w:r>
      <w:r w:rsidRPr="00405303">
        <w:rPr>
          <w:bCs/>
          <w:color w:val="002060"/>
          <w:sz w:val="16"/>
          <w:szCs w:val="16"/>
          <w:lang w:bidi="en-US"/>
        </w:rPr>
        <w:t>-</w:t>
      </w:r>
      <w:r w:rsidRPr="00405303">
        <w:rPr>
          <w:bCs/>
          <w:color w:val="002060"/>
          <w:sz w:val="16"/>
          <w:szCs w:val="16"/>
          <w:lang w:val="en-US" w:bidi="en-US"/>
        </w:rPr>
        <w:t>IX</w:t>
      </w:r>
      <w:r w:rsidRPr="00405303">
        <w:rPr>
          <w:bCs/>
          <w:color w:val="002060"/>
          <w:sz w:val="16"/>
          <w:szCs w:val="16"/>
          <w:lang w:bidi="en-US"/>
        </w:rPr>
        <w:t xml:space="preserve">, </w:t>
      </w:r>
      <w:r w:rsidRPr="00405303">
        <w:rPr>
          <w:bCs/>
          <w:color w:val="002060"/>
          <w:sz w:val="16"/>
          <w:szCs w:val="16"/>
        </w:rPr>
        <w:t xml:space="preserve">и вскоре экипаж этого корабля наряду с «Киевским», </w:t>
      </w:r>
      <w:r w:rsidRPr="00405303">
        <w:rPr>
          <w:bCs/>
          <w:color w:val="002060"/>
          <w:sz w:val="16"/>
          <w:szCs w:val="16"/>
          <w:lang w:val="en-US" w:bidi="en-US"/>
        </w:rPr>
        <w:t>BK</w:t>
      </w:r>
      <w:r w:rsidRPr="00405303">
        <w:rPr>
          <w:bCs/>
          <w:color w:val="002060"/>
          <w:sz w:val="16"/>
          <w:szCs w:val="16"/>
          <w:lang w:bidi="en-US"/>
        </w:rPr>
        <w:t>-</w:t>
      </w:r>
      <w:r w:rsidRPr="00405303">
        <w:rPr>
          <w:bCs/>
          <w:color w:val="002060"/>
          <w:sz w:val="16"/>
          <w:szCs w:val="16"/>
          <w:lang w:val="en-US" w:bidi="en-US"/>
        </w:rPr>
        <w:t>I</w:t>
      </w:r>
      <w:r w:rsidRPr="00405303">
        <w:rPr>
          <w:bCs/>
          <w:color w:val="002060"/>
          <w:sz w:val="16"/>
          <w:szCs w:val="16"/>
          <w:lang w:bidi="en-US"/>
        </w:rPr>
        <w:t xml:space="preserve"> </w:t>
      </w:r>
      <w:r w:rsidRPr="00405303">
        <w:rPr>
          <w:bCs/>
          <w:color w:val="002060"/>
          <w:sz w:val="16"/>
          <w:szCs w:val="16"/>
        </w:rPr>
        <w:t>и ВК-П стал одним из лучших в Эскадре.</w:t>
      </w:r>
    </w:p>
    <w:p w14:paraId="3792514F" w14:textId="77777777" w:rsidR="0009477E" w:rsidRPr="00405303" w:rsidRDefault="0009477E" w:rsidP="00C15251">
      <w:pPr>
        <w:jc w:val="both"/>
        <w:rPr>
          <w:bCs/>
          <w:color w:val="002060"/>
          <w:sz w:val="16"/>
          <w:szCs w:val="16"/>
        </w:rPr>
      </w:pPr>
      <w:r w:rsidRPr="00405303">
        <w:rPr>
          <w:bCs/>
          <w:color w:val="002060"/>
          <w:sz w:val="16"/>
          <w:szCs w:val="16"/>
        </w:rPr>
        <w:t>Школа для наземного состава была оборудована специализиро</w:t>
      </w:r>
      <w:r w:rsidRPr="00405303">
        <w:rPr>
          <w:bCs/>
          <w:color w:val="002060"/>
          <w:sz w:val="16"/>
          <w:szCs w:val="16"/>
        </w:rPr>
        <w:softHyphen/>
        <w:t>ванными классами, в которых про</w:t>
      </w:r>
      <w:r w:rsidRPr="00405303">
        <w:rPr>
          <w:bCs/>
          <w:color w:val="002060"/>
          <w:sz w:val="16"/>
          <w:szCs w:val="16"/>
        </w:rPr>
        <w:softHyphen/>
        <w:t>ходили подготовку механики, мо</w:t>
      </w:r>
      <w:r w:rsidRPr="00405303">
        <w:rPr>
          <w:bCs/>
          <w:color w:val="002060"/>
          <w:sz w:val="16"/>
          <w:szCs w:val="16"/>
        </w:rPr>
        <w:softHyphen/>
        <w:t>тористы, воздушные стрелки, шо</w:t>
      </w:r>
      <w:r w:rsidRPr="00405303">
        <w:rPr>
          <w:bCs/>
          <w:color w:val="002060"/>
          <w:sz w:val="16"/>
          <w:szCs w:val="16"/>
        </w:rPr>
        <w:softHyphen/>
        <w:t>феры, метеорологи, фотографы и сборщики самолётов.</w:t>
      </w:r>
    </w:p>
    <w:p w14:paraId="03460FC1" w14:textId="77777777" w:rsidR="0009477E" w:rsidRPr="00405303" w:rsidRDefault="0009477E" w:rsidP="00C15251">
      <w:pPr>
        <w:jc w:val="both"/>
        <w:rPr>
          <w:bCs/>
          <w:color w:val="002060"/>
          <w:sz w:val="16"/>
          <w:szCs w:val="16"/>
        </w:rPr>
      </w:pPr>
      <w:r w:rsidRPr="00405303">
        <w:rPr>
          <w:bCs/>
          <w:color w:val="002060"/>
          <w:sz w:val="16"/>
          <w:szCs w:val="16"/>
        </w:rPr>
        <w:t>С самого начала организации Эскадры её начальник М.В. Шидловский обратил особое внимание на создание при ней мощной ре</w:t>
      </w:r>
      <w:r w:rsidRPr="00405303">
        <w:rPr>
          <w:bCs/>
          <w:color w:val="002060"/>
          <w:sz w:val="16"/>
          <w:szCs w:val="16"/>
        </w:rPr>
        <w:softHyphen/>
        <w:t>монтно-сборочной базы. На осна</w:t>
      </w:r>
      <w:r w:rsidRPr="00405303">
        <w:rPr>
          <w:bCs/>
          <w:color w:val="002060"/>
          <w:sz w:val="16"/>
          <w:szCs w:val="16"/>
        </w:rPr>
        <w:softHyphen/>
        <w:t>щение базы он щедро направлял технологическое оборудование с РБВЗ. Инженеры и рабочие завода постоянно находились на базе в ко</w:t>
      </w:r>
      <w:r w:rsidRPr="00405303">
        <w:rPr>
          <w:bCs/>
          <w:color w:val="002060"/>
          <w:sz w:val="16"/>
          <w:szCs w:val="16"/>
        </w:rPr>
        <w:softHyphen/>
        <w:t>мандировке. «Муромцы» нужно бы</w:t>
      </w:r>
      <w:r w:rsidRPr="00405303">
        <w:rPr>
          <w:bCs/>
          <w:color w:val="002060"/>
          <w:sz w:val="16"/>
          <w:szCs w:val="16"/>
        </w:rPr>
        <w:softHyphen/>
        <w:t>ло не только собрать и отрегулировать после доставки в разобранном виде из Петрограда по железной дороге, их постоянно требовалось модифицировать, оперативно вно</w:t>
      </w:r>
      <w:r w:rsidRPr="00405303">
        <w:rPr>
          <w:bCs/>
          <w:color w:val="002060"/>
          <w:sz w:val="16"/>
          <w:szCs w:val="16"/>
        </w:rPr>
        <w:softHyphen/>
        <w:t>сить в конструкцию изменения и доработки в соответствии с на</w:t>
      </w:r>
      <w:r w:rsidRPr="00405303">
        <w:rPr>
          <w:bCs/>
          <w:color w:val="002060"/>
          <w:sz w:val="16"/>
          <w:szCs w:val="16"/>
        </w:rPr>
        <w:softHyphen/>
        <w:t>капливаемым опытом боевого при</w:t>
      </w:r>
      <w:r w:rsidRPr="00405303">
        <w:rPr>
          <w:bCs/>
          <w:color w:val="002060"/>
          <w:sz w:val="16"/>
          <w:szCs w:val="16"/>
        </w:rPr>
        <w:softHyphen/>
        <w:t>менения и наземной эксплуатации. Отправлять огромные летательные аппараты для доработок на завод в Петроград было слишком наклад</w:t>
      </w:r>
      <w:r w:rsidRPr="00405303">
        <w:rPr>
          <w:bCs/>
          <w:color w:val="002060"/>
          <w:sz w:val="16"/>
          <w:szCs w:val="16"/>
        </w:rPr>
        <w:softHyphen/>
        <w:t>но. И.И. Сикорский большую часть времени проводил не в тылу, а не</w:t>
      </w:r>
      <w:r w:rsidRPr="00405303">
        <w:rPr>
          <w:bCs/>
          <w:color w:val="002060"/>
          <w:sz w:val="16"/>
          <w:szCs w:val="16"/>
        </w:rPr>
        <w:softHyphen/>
        <w:t>посредственно в ЭВК, испытывая и доводя до работоспособного со</w:t>
      </w:r>
      <w:r w:rsidRPr="00405303">
        <w:rPr>
          <w:bCs/>
          <w:color w:val="002060"/>
          <w:sz w:val="16"/>
          <w:szCs w:val="16"/>
        </w:rPr>
        <w:softHyphen/>
        <w:t>стояния свои конструкторские идеи. Большое количество изобре</w:t>
      </w:r>
      <w:r w:rsidRPr="00405303">
        <w:rPr>
          <w:bCs/>
          <w:color w:val="002060"/>
          <w:sz w:val="16"/>
          <w:szCs w:val="16"/>
        </w:rPr>
        <w:softHyphen/>
        <w:t>тений и рацпредложений поступало и от служащих Эскадры: лётчиков и механиков. Технологическое обо</w:t>
      </w:r>
      <w:r w:rsidRPr="00405303">
        <w:rPr>
          <w:bCs/>
          <w:color w:val="002060"/>
          <w:sz w:val="16"/>
          <w:szCs w:val="16"/>
        </w:rPr>
        <w:softHyphen/>
        <w:t>рудование мастерских базы позво</w:t>
      </w:r>
      <w:r w:rsidRPr="00405303">
        <w:rPr>
          <w:bCs/>
          <w:color w:val="002060"/>
          <w:sz w:val="16"/>
          <w:szCs w:val="16"/>
        </w:rPr>
        <w:softHyphen/>
        <w:t>ляло воплощать в жизнь самые нео</w:t>
      </w:r>
      <w:r w:rsidRPr="00405303">
        <w:rPr>
          <w:bCs/>
          <w:color w:val="002060"/>
          <w:sz w:val="16"/>
          <w:szCs w:val="16"/>
        </w:rPr>
        <w:softHyphen/>
        <w:t>жиданные замыслы.</w:t>
      </w:r>
    </w:p>
    <w:p w14:paraId="31D7209A" w14:textId="77777777" w:rsidR="0009477E" w:rsidRPr="00405303" w:rsidRDefault="0009477E" w:rsidP="00C15251">
      <w:pPr>
        <w:jc w:val="both"/>
        <w:rPr>
          <w:bCs/>
          <w:color w:val="002060"/>
          <w:sz w:val="16"/>
          <w:szCs w:val="16"/>
        </w:rPr>
      </w:pPr>
      <w:r w:rsidRPr="00405303">
        <w:rPr>
          <w:bCs/>
          <w:color w:val="002060"/>
          <w:sz w:val="16"/>
          <w:szCs w:val="16"/>
        </w:rPr>
        <w:t>На базе ЭВК проводилась боль</w:t>
      </w:r>
      <w:r w:rsidRPr="00405303">
        <w:rPr>
          <w:bCs/>
          <w:color w:val="002060"/>
          <w:sz w:val="16"/>
          <w:szCs w:val="16"/>
        </w:rPr>
        <w:softHyphen/>
        <w:t>шая работа по оснащению «Муром</w:t>
      </w:r>
      <w:r w:rsidRPr="00405303">
        <w:rPr>
          <w:bCs/>
          <w:color w:val="002060"/>
          <w:sz w:val="16"/>
          <w:szCs w:val="16"/>
        </w:rPr>
        <w:softHyphen/>
        <w:t>цев» бомбардировочным и стрелко</w:t>
      </w:r>
      <w:r w:rsidRPr="00405303">
        <w:rPr>
          <w:bCs/>
          <w:color w:val="002060"/>
          <w:sz w:val="16"/>
          <w:szCs w:val="16"/>
        </w:rPr>
        <w:softHyphen/>
        <w:t>вым вооружением, устанавливалось фотооборудование для фиксации результатов бомбометания, а также для панорамной аэрофотосъемки (23469).</w:t>
      </w:r>
    </w:p>
    <w:p w14:paraId="250A8459" w14:textId="77777777" w:rsidR="0009477E" w:rsidRPr="00405303" w:rsidRDefault="0009477E" w:rsidP="00C15251">
      <w:pPr>
        <w:jc w:val="both"/>
        <w:rPr>
          <w:bCs/>
          <w:color w:val="002060"/>
          <w:sz w:val="16"/>
          <w:szCs w:val="16"/>
        </w:rPr>
      </w:pPr>
    </w:p>
    <w:p w14:paraId="5985635A" w14:textId="77777777" w:rsidR="0009477E" w:rsidRPr="00405303" w:rsidRDefault="0009477E" w:rsidP="00C15251">
      <w:pPr>
        <w:jc w:val="both"/>
        <w:rPr>
          <w:bCs/>
          <w:color w:val="002060"/>
          <w:sz w:val="16"/>
          <w:szCs w:val="16"/>
        </w:rPr>
      </w:pPr>
      <w:r w:rsidRPr="00405303">
        <w:rPr>
          <w:bCs/>
          <w:color w:val="002060"/>
          <w:sz w:val="16"/>
          <w:szCs w:val="16"/>
        </w:rPr>
        <w:t>Весной 1915 г. в Севастополе летчиком-приемщиком Морского министерства были проведены Государственные испытания М-4 на воде, которые подтвердили улучшение летных данных, и заводу ПРТВ была оплачена постройка четырех самолетов М-4 (вероятно, включая проходивший испытания первый экземпляр).</w:t>
      </w:r>
    </w:p>
    <w:p w14:paraId="6D416B81" w14:textId="77777777" w:rsidR="0009477E" w:rsidRPr="00405303" w:rsidRDefault="0009477E" w:rsidP="00C15251">
      <w:pPr>
        <w:jc w:val="both"/>
        <w:rPr>
          <w:bCs/>
          <w:color w:val="002060"/>
          <w:sz w:val="16"/>
          <w:szCs w:val="16"/>
        </w:rPr>
      </w:pPr>
      <w:r w:rsidRPr="00405303">
        <w:rPr>
          <w:bCs/>
          <w:color w:val="002060"/>
          <w:sz w:val="16"/>
          <w:szCs w:val="16"/>
        </w:rPr>
        <w:t>В середине 1915 г. два самолета М-4 переданы авиации Черноморского Флота и два – Балтийского. Подробных сведений об их использовании нет, т.к. в то время не был налажен учет типов летающих лодок отечественной разработки – они числились как «самолеты ПРТВ» или «самолеты Щетинина», как и машины крупносерийного типа М-5 и применялись с ними одновременно (23594).</w:t>
      </w:r>
    </w:p>
    <w:p w14:paraId="01C61EB7" w14:textId="77777777" w:rsidR="0009477E" w:rsidRPr="00405303" w:rsidRDefault="0009477E" w:rsidP="00C15251">
      <w:pPr>
        <w:jc w:val="both"/>
        <w:rPr>
          <w:bCs/>
          <w:color w:val="002060"/>
          <w:sz w:val="16"/>
          <w:szCs w:val="16"/>
        </w:rPr>
      </w:pPr>
    </w:p>
    <w:p w14:paraId="105BDB64"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2EFC4E51" w14:textId="77777777" w:rsidR="004B4E35" w:rsidRPr="00405303" w:rsidRDefault="004B4E35" w:rsidP="00C15251">
      <w:pPr>
        <w:shd w:val="clear" w:color="auto" w:fill="FFFFFF"/>
        <w:jc w:val="both"/>
        <w:rPr>
          <w:bCs/>
          <w:i/>
          <w:color w:val="002060"/>
          <w:sz w:val="16"/>
          <w:szCs w:val="16"/>
        </w:rPr>
      </w:pPr>
    </w:p>
    <w:p w14:paraId="3FDCEE21" w14:textId="77777777" w:rsidR="0009477E" w:rsidRPr="00405303" w:rsidRDefault="0009477E" w:rsidP="00C15251">
      <w:pPr>
        <w:jc w:val="both"/>
        <w:rPr>
          <w:bCs/>
          <w:color w:val="002060"/>
          <w:sz w:val="16"/>
          <w:szCs w:val="16"/>
        </w:rPr>
      </w:pPr>
      <w:r w:rsidRPr="00405303">
        <w:rPr>
          <w:bCs/>
          <w:color w:val="002060"/>
          <w:sz w:val="16"/>
          <w:szCs w:val="16"/>
        </w:rPr>
        <w:t>Весной 1915 г., пока длилось противостояние Сухомлинова с великим князем Сергеем Михайловичем, мешавшим ему учредить частное ружейное предприятие, проект ново</w:t>
      </w:r>
      <w:r w:rsidRPr="00405303">
        <w:rPr>
          <w:bCs/>
          <w:color w:val="002060"/>
          <w:sz w:val="16"/>
          <w:szCs w:val="16"/>
        </w:rPr>
        <w:softHyphen/>
        <w:t>го ружейного завода ГАУ составил помощник начальника ТОЗ П.П. Третьяков, одновременно в Ижевске А.Г. Дубницкий подготовил проект нового сталелитейного завода. Первые ассигнования на их постройку Совет министров одобрил 29 мая, Николай II — 20 июня (23452).</w:t>
      </w:r>
    </w:p>
    <w:p w14:paraId="19A84799" w14:textId="77777777" w:rsidR="0009477E" w:rsidRPr="00405303" w:rsidRDefault="0009477E" w:rsidP="00C15251">
      <w:pPr>
        <w:jc w:val="both"/>
        <w:rPr>
          <w:bCs/>
          <w:color w:val="002060"/>
          <w:sz w:val="16"/>
          <w:szCs w:val="16"/>
        </w:rPr>
      </w:pPr>
    </w:p>
    <w:p w14:paraId="20553BBD" w14:textId="77777777" w:rsidR="00C463DD" w:rsidRPr="00405303" w:rsidRDefault="00C463DD" w:rsidP="00C15251">
      <w:pPr>
        <w:pStyle w:val="p1"/>
        <w:spacing w:before="0" w:beforeAutospacing="0" w:after="0" w:afterAutospacing="0"/>
        <w:jc w:val="both"/>
        <w:rPr>
          <w:bCs/>
          <w:color w:val="002060"/>
          <w:sz w:val="16"/>
          <w:szCs w:val="16"/>
        </w:rPr>
      </w:pPr>
      <w:r w:rsidRPr="00405303">
        <w:rPr>
          <w:bCs/>
          <w:color w:val="002060"/>
          <w:sz w:val="16"/>
          <w:szCs w:val="16"/>
        </w:rPr>
        <w:t>Весной 1915 г., пока длилось противостояние Сухомлинова с великим князем Сергеем Михайловичем, мешавшим ему учредить частное ружейное предприятие, проект нового ружейного завода ГАУ составил помощник начальника ТОЗ П.П. Третьяков, одновременно в Ижевске А.Г. Дубницкий подготовил проект нового сталелитейного завода. Первые ассигнования на их постройку Совет министров одобрил 29 мая, Николай II–20 июня (18409).</w:t>
      </w:r>
    </w:p>
    <w:p w14:paraId="00E191FD" w14:textId="77777777" w:rsidR="00C463DD" w:rsidRPr="00405303" w:rsidRDefault="00C463DD" w:rsidP="00C15251">
      <w:pPr>
        <w:pStyle w:val="p1"/>
        <w:spacing w:before="0" w:beforeAutospacing="0" w:after="0" w:afterAutospacing="0"/>
        <w:jc w:val="both"/>
        <w:rPr>
          <w:bCs/>
          <w:color w:val="002060"/>
          <w:sz w:val="16"/>
          <w:szCs w:val="16"/>
        </w:rPr>
      </w:pPr>
    </w:p>
    <w:p w14:paraId="68AA3F98" w14:textId="686CE5C1" w:rsidR="00C463DD" w:rsidRPr="00405303" w:rsidRDefault="00C463DD" w:rsidP="00C15251">
      <w:pPr>
        <w:pStyle w:val="ae"/>
        <w:spacing w:before="0" w:beforeAutospacing="0" w:after="0" w:afterAutospacing="0"/>
        <w:jc w:val="both"/>
        <w:rPr>
          <w:bCs/>
          <w:color w:val="002060"/>
          <w:sz w:val="16"/>
          <w:szCs w:val="16"/>
        </w:rPr>
      </w:pPr>
      <w:r w:rsidRPr="00405303">
        <w:rPr>
          <w:bCs/>
          <w:color w:val="002060"/>
          <w:sz w:val="16"/>
          <w:szCs w:val="16"/>
        </w:rPr>
        <w:t>До весны 1915</w:t>
      </w:r>
      <w:r w:rsidR="00DB4D64" w:rsidRPr="00405303">
        <w:rPr>
          <w:bCs/>
          <w:color w:val="002060"/>
          <w:sz w:val="16"/>
          <w:szCs w:val="16"/>
        </w:rPr>
        <w:t xml:space="preserve"> </w:t>
      </w:r>
      <w:r w:rsidRPr="00405303">
        <w:rPr>
          <w:bCs/>
          <w:color w:val="002060"/>
          <w:sz w:val="16"/>
          <w:szCs w:val="16"/>
        </w:rPr>
        <w:t>г. в</w:t>
      </w:r>
      <w:r w:rsidR="00DB4D64" w:rsidRPr="00405303">
        <w:rPr>
          <w:bCs/>
          <w:color w:val="002060"/>
          <w:sz w:val="16"/>
          <w:szCs w:val="16"/>
        </w:rPr>
        <w:t xml:space="preserve"> </w:t>
      </w:r>
      <w:r w:rsidRPr="00405303">
        <w:rPr>
          <w:bCs/>
          <w:color w:val="002060"/>
          <w:sz w:val="16"/>
          <w:szCs w:val="16"/>
        </w:rPr>
        <w:t>России влияние правительства на хозяйственную жизнь страны было крайне незначительным. В законодательных актах, изданных в первые месяцы войны для регулирования хозяйственной жизни страны, отражалось стремление сохранить в неприкосновенности весь бюрократический государственный аппарат. Характерно, что в это время не было создано никаких дополнительных органов. Расширялись лишь полномочия существовавших военных властей. В дальнейшем, в течение 1914 и первой половины 1915</w:t>
      </w:r>
      <w:r w:rsidR="00DB4D64" w:rsidRPr="00405303">
        <w:rPr>
          <w:bCs/>
          <w:color w:val="002060"/>
          <w:sz w:val="16"/>
          <w:szCs w:val="16"/>
        </w:rPr>
        <w:t xml:space="preserve"> </w:t>
      </w:r>
      <w:r w:rsidRPr="00405303">
        <w:rPr>
          <w:bCs/>
          <w:color w:val="002060"/>
          <w:sz w:val="16"/>
          <w:szCs w:val="16"/>
        </w:rPr>
        <w:t>г., некоторым министрам было дано право вторгаться в сферу хозяйственных вопросов в целях лучшего обеспечения армии продовольствием и вооружением. Кроме неудачных попыток таксирования цен на продовольствие и организации государственных закупок некоторых продуктов, ничего предпринято не было (15736).</w:t>
      </w:r>
    </w:p>
    <w:p w14:paraId="66569C42" w14:textId="77777777" w:rsidR="00C463DD" w:rsidRPr="00405303" w:rsidRDefault="00C463DD" w:rsidP="00C15251">
      <w:pPr>
        <w:pStyle w:val="ae"/>
        <w:spacing w:before="0" w:beforeAutospacing="0" w:after="0" w:afterAutospacing="0"/>
        <w:jc w:val="both"/>
        <w:rPr>
          <w:bCs/>
          <w:color w:val="002060"/>
          <w:sz w:val="16"/>
          <w:szCs w:val="16"/>
        </w:rPr>
      </w:pPr>
    </w:p>
    <w:p w14:paraId="23B586D1" w14:textId="77777777" w:rsidR="00C463DD" w:rsidRPr="00405303" w:rsidRDefault="00C463DD" w:rsidP="00C15251">
      <w:pPr>
        <w:pStyle w:val="p1"/>
        <w:spacing w:before="0" w:beforeAutospacing="0" w:after="0" w:afterAutospacing="0"/>
        <w:jc w:val="both"/>
        <w:rPr>
          <w:bCs/>
          <w:color w:val="002060"/>
          <w:sz w:val="16"/>
          <w:szCs w:val="16"/>
        </w:rPr>
      </w:pPr>
      <w:r w:rsidRPr="00405303">
        <w:rPr>
          <w:bCs/>
          <w:color w:val="002060"/>
          <w:sz w:val="16"/>
          <w:szCs w:val="16"/>
        </w:rPr>
        <w:t xml:space="preserve">С весны 1915 в проблеме недостатка снарядок на первый план выступила нехватка дистанционных трубок для шрапнелей (с марта) и взрывателей для фугасных снарядов (к лету). По словам </w:t>
      </w:r>
      <w:proofErr w:type="gramStart"/>
      <w:r w:rsidRPr="00405303">
        <w:rPr>
          <w:bCs/>
          <w:color w:val="002060"/>
          <w:sz w:val="16"/>
          <w:szCs w:val="16"/>
        </w:rPr>
        <w:t>председатель »</w:t>
      </w:r>
      <w:proofErr w:type="gramEnd"/>
      <w:r w:rsidRPr="00405303">
        <w:rPr>
          <w:bCs/>
          <w:color w:val="002060"/>
          <w:sz w:val="16"/>
          <w:szCs w:val="16"/>
        </w:rPr>
        <w:t>, Верховной следственной комиссии Н.П. Петрова, лишь тогда критическое значение приобрело количество не корпусов снарядов, а трубок и взрывателей. Поначалу «число выстрелов… определялось не численностью сдававшихся трубок, а числом изготовлявшихся снарядов», оно отставало от числа трубок. Иначе представлялся ход дела составителю «Свода» о порохе и взрывчатых веществах С.Т. Варун-Секрету. По его мнению, наоборот, недопоставка корпусов стала сдерживать выпуск снарядов «только в последнее время», то есть к концу 1915 г., а до лета 1915 г. «главным тормозом снаряжательных работ», «главной помехой» являлся «не недостаток корпусов снарядов, присылаемых для снаряжения», а «недостаток взрывчатых веществ».</w:t>
      </w:r>
    </w:p>
    <w:p w14:paraId="0601B68D" w14:textId="77777777" w:rsidR="00C463DD" w:rsidRPr="00405303" w:rsidRDefault="00C463DD" w:rsidP="00C15251">
      <w:pPr>
        <w:pStyle w:val="p1"/>
        <w:spacing w:before="0" w:beforeAutospacing="0" w:after="0" w:afterAutospacing="0"/>
        <w:jc w:val="both"/>
        <w:rPr>
          <w:bCs/>
          <w:color w:val="002060"/>
          <w:sz w:val="16"/>
          <w:szCs w:val="16"/>
        </w:rPr>
      </w:pPr>
      <w:r w:rsidRPr="00405303">
        <w:rPr>
          <w:bCs/>
          <w:color w:val="002060"/>
          <w:sz w:val="16"/>
          <w:szCs w:val="16"/>
        </w:rPr>
        <w:t>В другом докладе Варун-Секрет сделал иное сопоставление — количества поступавших для снаряжения дистанционных трубок, корпусов и пороха, и теперь уже у него получилось, что «причиной неподачи» снарядов в нужном фронту количестве был «не недостаток пушечного пороха, а недостаток дистанционных трубок и корпусов снарядов (шрапнелей и гранат)». Разноголосицу суждений в Верховной комиссии разъясняют доклады Маниковского и Мышлаевского: металлопромышленность была не в состоянии дать требующееся количество корпусов снарядов ни в начале войны, ни во все остальное время; это не отменяет того факта, что сказывалась также нехватка и взрывчатых веществ, и пороха, и трубок, и взрывателей (18409).</w:t>
      </w:r>
    </w:p>
    <w:p w14:paraId="0AC502A9" w14:textId="77777777" w:rsidR="00C463DD" w:rsidRPr="00405303" w:rsidRDefault="00C463DD" w:rsidP="00C15251">
      <w:pPr>
        <w:pStyle w:val="p1"/>
        <w:spacing w:before="0" w:beforeAutospacing="0" w:after="0" w:afterAutospacing="0"/>
        <w:jc w:val="both"/>
        <w:rPr>
          <w:bCs/>
          <w:color w:val="002060"/>
          <w:sz w:val="16"/>
          <w:szCs w:val="16"/>
        </w:rPr>
      </w:pPr>
    </w:p>
    <w:p w14:paraId="4303D327" w14:textId="6EECA99B" w:rsidR="00C463DD" w:rsidRPr="00405303" w:rsidRDefault="00C463DD" w:rsidP="00C15251">
      <w:pPr>
        <w:pStyle w:val="ae"/>
        <w:spacing w:before="0" w:beforeAutospacing="0" w:after="0" w:afterAutospacing="0"/>
        <w:jc w:val="both"/>
        <w:rPr>
          <w:bCs/>
          <w:color w:val="002060"/>
          <w:sz w:val="16"/>
          <w:szCs w:val="16"/>
        </w:rPr>
      </w:pPr>
      <w:r w:rsidRPr="00405303">
        <w:rPr>
          <w:bCs/>
          <w:color w:val="002060"/>
          <w:sz w:val="16"/>
          <w:szCs w:val="16"/>
        </w:rPr>
        <w:t>Весной 1915</w:t>
      </w:r>
      <w:r w:rsidR="00DB4D64" w:rsidRPr="00405303">
        <w:rPr>
          <w:bCs/>
          <w:color w:val="002060"/>
          <w:sz w:val="16"/>
          <w:szCs w:val="16"/>
        </w:rPr>
        <w:t xml:space="preserve"> </w:t>
      </w:r>
      <w:r w:rsidRPr="00405303">
        <w:rPr>
          <w:bCs/>
          <w:color w:val="002060"/>
          <w:sz w:val="16"/>
          <w:szCs w:val="16"/>
        </w:rPr>
        <w:t>г., создалось критическое положение со снабжением фронта боеприпасами, выявился топливный и транспортный кризис, а экономическая база войны в результате потери Россией большей части территории Польши сократилась. Русскому правительству пришлось задуматься о серьезных изменениях в управлении хозяйством. Трудности в снабжении армии, острая нехватка вооружения и снаряжения, развал всего хозяйства страны требовали создания дополнительных органов, наделенных чрезвычайными правами и способных решительно вмешиваться в экономику России.</w:t>
      </w:r>
    </w:p>
    <w:p w14:paraId="04C85D22" w14:textId="381155D7" w:rsidR="00C463DD" w:rsidRPr="00405303" w:rsidRDefault="00C463DD" w:rsidP="00C15251">
      <w:pPr>
        <w:pStyle w:val="ae"/>
        <w:spacing w:before="0" w:beforeAutospacing="0" w:after="0" w:afterAutospacing="0"/>
        <w:jc w:val="both"/>
        <w:rPr>
          <w:bCs/>
          <w:color w:val="002060"/>
          <w:sz w:val="16"/>
          <w:szCs w:val="16"/>
        </w:rPr>
      </w:pPr>
      <w:r w:rsidRPr="00405303">
        <w:rPr>
          <w:bCs/>
          <w:color w:val="002060"/>
          <w:sz w:val="16"/>
          <w:szCs w:val="16"/>
        </w:rPr>
        <w:t>Начали с создания ряда особых комитетов, в ведение которых поступили наиболее угрожаемые участки хозяйства: по распределению, топлива (4 марта 1915</w:t>
      </w:r>
      <w:r w:rsidR="00DB4D64" w:rsidRPr="00405303">
        <w:rPr>
          <w:bCs/>
          <w:color w:val="002060"/>
          <w:sz w:val="16"/>
          <w:szCs w:val="16"/>
        </w:rPr>
        <w:t xml:space="preserve"> </w:t>
      </w:r>
      <w:r w:rsidRPr="00405303">
        <w:rPr>
          <w:bCs/>
          <w:color w:val="002060"/>
          <w:sz w:val="16"/>
          <w:szCs w:val="16"/>
        </w:rPr>
        <w:t>г.), главный продовольственный комитет при Министерстве торговли и промышленности (19 мая 1915</w:t>
      </w:r>
      <w:r w:rsidR="00DB4D64" w:rsidRPr="00405303">
        <w:rPr>
          <w:bCs/>
          <w:color w:val="002060"/>
          <w:sz w:val="16"/>
          <w:szCs w:val="16"/>
        </w:rPr>
        <w:t xml:space="preserve"> </w:t>
      </w:r>
      <w:r w:rsidRPr="00405303">
        <w:rPr>
          <w:bCs/>
          <w:color w:val="002060"/>
          <w:sz w:val="16"/>
          <w:szCs w:val="16"/>
        </w:rPr>
        <w:t>г.), комитет по перевозкам и др. Эти комитеты в основном занимались вопросами распределения и снабжения. Первой попыткой учреждения такого органа было образование в июне 1915</w:t>
      </w:r>
      <w:r w:rsidR="00DB4D64" w:rsidRPr="00405303">
        <w:rPr>
          <w:bCs/>
          <w:color w:val="002060"/>
          <w:sz w:val="16"/>
          <w:szCs w:val="16"/>
        </w:rPr>
        <w:t xml:space="preserve"> </w:t>
      </w:r>
      <w:r w:rsidRPr="00405303">
        <w:rPr>
          <w:bCs/>
          <w:color w:val="002060"/>
          <w:sz w:val="16"/>
          <w:szCs w:val="16"/>
        </w:rPr>
        <w:t>г. Особого совещания для объединения мероприятий по обеспечению действующей армии предметами боевого и материального снабжения под председательством военного министра. Во многом его создание было инициировано общественными деятелями, в том числе М.В. Родзянко. По его словам, Особое совещание должно было прекратить хищение государственных денег под прикрытием комиссии великого князя Сергея Михайловича, но оно выполняло лишь функции совещательного органа и было мало осведомлено о практической работе в этой сфере (15736).</w:t>
      </w:r>
    </w:p>
    <w:p w14:paraId="15A98C4A" w14:textId="77777777" w:rsidR="00C463DD" w:rsidRPr="00405303" w:rsidRDefault="00C463DD" w:rsidP="00C15251">
      <w:pPr>
        <w:pStyle w:val="ae"/>
        <w:spacing w:before="0" w:beforeAutospacing="0" w:after="0" w:afterAutospacing="0"/>
        <w:jc w:val="both"/>
        <w:rPr>
          <w:bCs/>
          <w:color w:val="002060"/>
          <w:sz w:val="16"/>
          <w:szCs w:val="16"/>
        </w:rPr>
      </w:pPr>
    </w:p>
    <w:p w14:paraId="2477A96F" w14:textId="3E6E0CCC" w:rsidR="00C463DD" w:rsidRPr="00405303" w:rsidRDefault="00C463DD" w:rsidP="00C15251">
      <w:pPr>
        <w:pStyle w:val="ae"/>
        <w:spacing w:before="0" w:beforeAutospacing="0" w:after="0" w:afterAutospacing="0"/>
        <w:jc w:val="both"/>
        <w:rPr>
          <w:bCs/>
          <w:color w:val="002060"/>
          <w:sz w:val="16"/>
          <w:szCs w:val="16"/>
        </w:rPr>
      </w:pPr>
      <w:r w:rsidRPr="00405303">
        <w:rPr>
          <w:bCs/>
          <w:color w:val="002060"/>
          <w:sz w:val="16"/>
          <w:szCs w:val="16"/>
        </w:rPr>
        <w:t>Весной 1915 г. при Уполномоченном ГАУ генерал-майоре С.Н. Ванкове</w:t>
      </w:r>
      <w:r w:rsidR="00DB4D64" w:rsidRPr="00405303">
        <w:rPr>
          <w:bCs/>
          <w:color w:val="002060"/>
          <w:sz w:val="16"/>
          <w:szCs w:val="16"/>
        </w:rPr>
        <w:t xml:space="preserve"> </w:t>
      </w:r>
      <w:r w:rsidRPr="00405303">
        <w:rPr>
          <w:bCs/>
          <w:color w:val="002060"/>
          <w:sz w:val="16"/>
          <w:szCs w:val="16"/>
        </w:rPr>
        <w:t xml:space="preserve">была создана организация для производства трехдюймовых гранат по французскому образцу (далее - Организация Ванкова). Впервые «комиссионерский» способ был применен для заготовления чрезвычайно важного предмета вооружения и в очень больших масштабах. Организация Ванкова была не просто раздаточной конторой. Она оказывала содействие заводам в снабжении их сырьем, топливом, рабочей силой, </w:t>
      </w:r>
      <w:r w:rsidRPr="00405303">
        <w:rPr>
          <w:bCs/>
          <w:color w:val="002060"/>
          <w:sz w:val="16"/>
          <w:szCs w:val="16"/>
        </w:rPr>
        <w:lastRenderedPageBreak/>
        <w:t>осуществляла финансирование их деятельности, предоставляла им техническую помощь и контролировала технологию производственного процесса. Создание организации было обусловлено кризисом артиллерийского снабжения русской армии на рубеже 1914-15 гг. и уже значительной перегруженностью заказами ГАУ</w:t>
      </w:r>
      <w:r w:rsidR="000F5756">
        <w:rPr>
          <w:bCs/>
          <w:color w:val="002060"/>
          <w:sz w:val="16"/>
          <w:szCs w:val="16"/>
        </w:rPr>
        <w:t xml:space="preserve"> </w:t>
      </w:r>
      <w:r w:rsidRPr="00405303">
        <w:rPr>
          <w:bCs/>
          <w:color w:val="002060"/>
          <w:sz w:val="16"/>
          <w:szCs w:val="16"/>
        </w:rPr>
        <w:t>большинства крупных металлообрабатывающих предприятий. Способ, использованный во Франции в ходе решения тех же проблем, предполагал привлечение мелких предприятий и мастерских для производства достаточно крупных заказов на отдельные части гранаты или отдельные операции по ее изготовлению под руководством и при техническом содействии наблюдающих военных специалистов и инженеров.</w:t>
      </w:r>
    </w:p>
    <w:p w14:paraId="1DABC3CB" w14:textId="77777777" w:rsidR="00C463DD" w:rsidRPr="00405303" w:rsidRDefault="00C463DD" w:rsidP="00C15251">
      <w:pPr>
        <w:pStyle w:val="ae"/>
        <w:spacing w:before="0" w:beforeAutospacing="0" w:after="0" w:afterAutospacing="0"/>
        <w:jc w:val="both"/>
        <w:rPr>
          <w:bCs/>
          <w:color w:val="002060"/>
          <w:sz w:val="16"/>
          <w:szCs w:val="16"/>
        </w:rPr>
      </w:pPr>
      <w:r w:rsidRPr="00405303">
        <w:rPr>
          <w:bCs/>
          <w:color w:val="002060"/>
          <w:sz w:val="16"/>
          <w:szCs w:val="16"/>
        </w:rPr>
        <w:t>Объем первого заказа (1 млн. трехдюймовых гранат, 1010 тыс. запальных стаканов и столько же детонаторных трубок) не предполагал расширения производства привлекаемых заводов, но многие из них уже с весны 1915 г. начали работы по переоборудованию и расширению предприятий, стремясь использовать летний строительный сезон. Эта деятельность получила новый импульс, когда в июне 1915 г. Военный Совет выдал новые заказы на 2,6 млн. корпусов гранат и соответственно такое же количество запальных стаканов и детонаторных трубок. В дальнейшем шло еще более значительное увеличение объемов заказов как на 3-дюймовые гранаты, так и на 6- и 48-дюймовые бомбы</w:t>
      </w:r>
      <w:bookmarkStart w:id="154" w:name="_ednref24"/>
      <w:r w:rsidR="00617EB0" w:rsidRPr="00405303">
        <w:rPr>
          <w:bCs/>
          <w:color w:val="002060"/>
          <w:sz w:val="16"/>
          <w:szCs w:val="16"/>
        </w:rPr>
        <w:fldChar w:fldCharType="begin"/>
      </w:r>
      <w:r w:rsidRPr="00405303">
        <w:rPr>
          <w:bCs/>
          <w:color w:val="002060"/>
          <w:sz w:val="16"/>
          <w:szCs w:val="16"/>
        </w:rPr>
        <w:instrText xml:space="preserve"> HYPERLINK "http://economicarggu.ru/2002_5/01.shtml" \l "_edn24" \o "" </w:instrText>
      </w:r>
      <w:r w:rsidR="00617EB0" w:rsidRPr="00405303">
        <w:rPr>
          <w:bCs/>
          <w:color w:val="002060"/>
          <w:sz w:val="16"/>
          <w:szCs w:val="16"/>
        </w:rPr>
      </w:r>
      <w:r w:rsidR="00617EB0" w:rsidRPr="00405303">
        <w:rPr>
          <w:bCs/>
          <w:color w:val="002060"/>
          <w:sz w:val="16"/>
          <w:szCs w:val="16"/>
        </w:rPr>
        <w:fldChar w:fldCharType="separate"/>
      </w:r>
      <w:r w:rsidRPr="00405303">
        <w:rPr>
          <w:rStyle w:val="ad"/>
          <w:bCs/>
          <w:color w:val="002060"/>
          <w:sz w:val="16"/>
          <w:szCs w:val="16"/>
        </w:rPr>
        <w:t>[24]</w:t>
      </w:r>
      <w:r w:rsidR="00617EB0" w:rsidRPr="00405303">
        <w:rPr>
          <w:bCs/>
          <w:color w:val="002060"/>
          <w:sz w:val="16"/>
          <w:szCs w:val="16"/>
        </w:rPr>
        <w:fldChar w:fldCharType="end"/>
      </w:r>
      <w:bookmarkEnd w:id="154"/>
      <w:r w:rsidRPr="00405303">
        <w:rPr>
          <w:bCs/>
          <w:color w:val="002060"/>
          <w:sz w:val="16"/>
          <w:szCs w:val="16"/>
        </w:rPr>
        <w:t>. Такая ситуация укрепляла интерес предпринимателей и стимулировала расширение ими производства на своих предприятиях.</w:t>
      </w:r>
    </w:p>
    <w:p w14:paraId="61830CA0" w14:textId="77777777" w:rsidR="00C463DD" w:rsidRPr="00405303" w:rsidRDefault="00C463DD" w:rsidP="00C15251">
      <w:pPr>
        <w:pStyle w:val="ae"/>
        <w:spacing w:before="0" w:beforeAutospacing="0" w:after="0" w:afterAutospacing="0"/>
        <w:jc w:val="both"/>
        <w:rPr>
          <w:bCs/>
          <w:color w:val="002060"/>
          <w:sz w:val="16"/>
          <w:szCs w:val="16"/>
        </w:rPr>
      </w:pPr>
      <w:r w:rsidRPr="00405303">
        <w:rPr>
          <w:bCs/>
          <w:color w:val="002060"/>
          <w:sz w:val="16"/>
          <w:szCs w:val="16"/>
        </w:rPr>
        <w:t>Как указывалось в отчете о деятельности Организации Ванкова, в системе российской промышленности было мало массовых механических производств, крайне невелик был опыт точных работ, то есть строго по чертежам и с соблюдением соответствующих размеров изделий</w:t>
      </w:r>
      <w:bookmarkStart w:id="155" w:name="_ednref25"/>
      <w:r w:rsidR="00617EB0" w:rsidRPr="00405303">
        <w:rPr>
          <w:bCs/>
          <w:color w:val="002060"/>
          <w:sz w:val="16"/>
          <w:szCs w:val="16"/>
        </w:rPr>
        <w:fldChar w:fldCharType="begin"/>
      </w:r>
      <w:r w:rsidRPr="00405303">
        <w:rPr>
          <w:bCs/>
          <w:color w:val="002060"/>
          <w:sz w:val="16"/>
          <w:szCs w:val="16"/>
        </w:rPr>
        <w:instrText xml:space="preserve"> HYPERLINK "http://economicarggu.ru/2002_5/01.shtml" \l "_edn25" \o "" </w:instrText>
      </w:r>
      <w:r w:rsidR="00617EB0" w:rsidRPr="00405303">
        <w:rPr>
          <w:bCs/>
          <w:color w:val="002060"/>
          <w:sz w:val="16"/>
          <w:szCs w:val="16"/>
        </w:rPr>
      </w:r>
      <w:r w:rsidR="00617EB0" w:rsidRPr="00405303">
        <w:rPr>
          <w:bCs/>
          <w:color w:val="002060"/>
          <w:sz w:val="16"/>
          <w:szCs w:val="16"/>
        </w:rPr>
        <w:fldChar w:fldCharType="separate"/>
      </w:r>
      <w:r w:rsidRPr="00405303">
        <w:rPr>
          <w:rStyle w:val="ad"/>
          <w:bCs/>
          <w:color w:val="002060"/>
          <w:sz w:val="16"/>
          <w:szCs w:val="16"/>
        </w:rPr>
        <w:t>[25]</w:t>
      </w:r>
      <w:r w:rsidR="00617EB0" w:rsidRPr="00405303">
        <w:rPr>
          <w:bCs/>
          <w:color w:val="002060"/>
          <w:sz w:val="16"/>
          <w:szCs w:val="16"/>
        </w:rPr>
        <w:fldChar w:fldCharType="end"/>
      </w:r>
      <w:bookmarkEnd w:id="155"/>
      <w:r w:rsidRPr="00405303">
        <w:rPr>
          <w:bCs/>
          <w:color w:val="002060"/>
          <w:sz w:val="16"/>
          <w:szCs w:val="16"/>
        </w:rPr>
        <w:t>. Основная масса предприятий (общее их число в отдельные периоды достигало 500 заведений), привлеченных организацией Ванкова, располагалась в Средней и Южной России, и большинство из них не являлись специализированными металлообрабатывающими предприятиями. Среди них были заведения пищевкусовой промышленности (мельницы, винные склады), ремонтные мастерские текстильных фабрик, лаборатории учебных заведений, кооперированные силами военно-промышленных комитетов объединения кустарных мастерских. Их отличала бедность станочного парка, недостаток квалифицированных кадров. Со стороны Организации Ванкова в этой связи принимались меры по обучению кадров, жесткому внедрению технологической дисциплины и стандартизации производства, увеличению оборудования путем закупок и распределения реквизированного оборудования, а также внесения изменений в способы изготовления изделий.</w:t>
      </w:r>
    </w:p>
    <w:p w14:paraId="7B8833B5" w14:textId="5F1BB712" w:rsidR="00C463DD" w:rsidRPr="00405303" w:rsidRDefault="00C463DD" w:rsidP="00C15251">
      <w:pPr>
        <w:pStyle w:val="ae"/>
        <w:spacing w:before="0" w:beforeAutospacing="0" w:after="0" w:afterAutospacing="0"/>
        <w:jc w:val="both"/>
        <w:rPr>
          <w:bCs/>
          <w:color w:val="002060"/>
          <w:sz w:val="16"/>
          <w:szCs w:val="16"/>
        </w:rPr>
      </w:pPr>
      <w:r w:rsidRPr="00405303">
        <w:rPr>
          <w:bCs/>
          <w:color w:val="002060"/>
          <w:sz w:val="16"/>
          <w:szCs w:val="16"/>
        </w:rPr>
        <w:t>Число крупных предприятий, специально построенных для исполнения заказов на 3-дюймовые гранаты, было невелико. Среди них, безусловно, выделяются предприятия известного промышленника и финансиста Н.А. Второва, который был специально привлечен для устройства снаряжательного завода и стал особым контрагентом Организации Ванкова. Для постройки было решено выбрать помещения и территорию реквизированной красочной фабрики немецкой фирмы «Фридрих Байер и К</w:t>
      </w:r>
      <w:r w:rsidRPr="00405303">
        <w:rPr>
          <w:bCs/>
          <w:color w:val="002060"/>
          <w:sz w:val="16"/>
          <w:szCs w:val="16"/>
          <w:vertAlign w:val="superscript"/>
        </w:rPr>
        <w:t>о»</w:t>
      </w:r>
      <w:r w:rsidR="00DB4D64" w:rsidRPr="00405303">
        <w:rPr>
          <w:bCs/>
          <w:color w:val="002060"/>
          <w:sz w:val="16"/>
          <w:szCs w:val="16"/>
        </w:rPr>
        <w:t xml:space="preserve"> </w:t>
      </w:r>
      <w:r w:rsidRPr="00405303">
        <w:rPr>
          <w:bCs/>
          <w:color w:val="002060"/>
          <w:sz w:val="16"/>
          <w:szCs w:val="16"/>
        </w:rPr>
        <w:t>в Москве. Решение о реквизиции было получено 15 мая 1915 г., а уже 20 мая приступили к переоборудованию старых и возведению новых зданий и специальных сооружений, в том числе и на арендованной по соседству земле дворцового ведомства. Завод был рассчитан на ежедневное снаряжение 6-7 тыс. гранат. В ходе начавшейся стройки стала очевидна необходимость сооружения второго предприятия. Второву было предложено еще до увеличения заказов на свой страх и риск оборудовать его из расчета 18 тыс. гранат в день. Закладка нового завода состоялась в день окончания сооружения первого - 28 июня 1915 г. Он был построен через четыре месяца. Второвым с середины 1916 г. строился также снарядный завод в Богородске Московской губернии. В октябре 1916 г. общая производительность новых заводов превысила проектную мощность и составила более 1 млн. гранат в месяц (18369).</w:t>
      </w:r>
    </w:p>
    <w:p w14:paraId="3334A1F0" w14:textId="3C11209E" w:rsidR="00C463DD" w:rsidRPr="00405303" w:rsidRDefault="00C463DD" w:rsidP="00C15251">
      <w:pPr>
        <w:pStyle w:val="ae"/>
        <w:spacing w:before="0" w:beforeAutospacing="0" w:after="0" w:afterAutospacing="0"/>
        <w:jc w:val="both"/>
        <w:rPr>
          <w:bCs/>
          <w:color w:val="002060"/>
          <w:sz w:val="16"/>
          <w:szCs w:val="16"/>
        </w:rPr>
      </w:pPr>
      <w:r w:rsidRPr="00405303">
        <w:rPr>
          <w:bCs/>
          <w:color w:val="002060"/>
          <w:sz w:val="16"/>
          <w:szCs w:val="16"/>
        </w:rPr>
        <w:t>В системе крупных</w:t>
      </w:r>
      <w:r w:rsidR="000F5756">
        <w:rPr>
          <w:bCs/>
          <w:color w:val="002060"/>
          <w:sz w:val="16"/>
          <w:szCs w:val="16"/>
        </w:rPr>
        <w:t xml:space="preserve"> </w:t>
      </w:r>
      <w:r w:rsidRPr="00405303">
        <w:rPr>
          <w:bCs/>
          <w:color w:val="002060"/>
          <w:sz w:val="16"/>
          <w:szCs w:val="16"/>
        </w:rPr>
        <w:t>промышленных предприятий Организации Ванкова, появившихся в годы Первой мировой войны, можно назвать отлично оборудованный Конотопский снарядный завод, построенный по инициативе М.И. Терещенко, и оснащенный прекрасными станками,</w:t>
      </w:r>
      <w:r w:rsidR="000F5756">
        <w:rPr>
          <w:bCs/>
          <w:color w:val="002060"/>
          <w:sz w:val="16"/>
          <w:szCs w:val="16"/>
        </w:rPr>
        <w:t xml:space="preserve"> </w:t>
      </w:r>
      <w:r w:rsidRPr="00405303">
        <w:rPr>
          <w:bCs/>
          <w:color w:val="002060"/>
          <w:sz w:val="16"/>
          <w:szCs w:val="16"/>
        </w:rPr>
        <w:t>Демиевский снарядный завод, устроенный по инициативе члена Государственной думы В.Я. Демченко в помещении казенного винного склада.</w:t>
      </w:r>
    </w:p>
    <w:p w14:paraId="05353F58" w14:textId="77777777" w:rsidR="00C463DD" w:rsidRPr="00405303" w:rsidRDefault="00C463DD" w:rsidP="00C15251">
      <w:pPr>
        <w:pStyle w:val="ae"/>
        <w:spacing w:before="0" w:beforeAutospacing="0" w:after="0" w:afterAutospacing="0"/>
        <w:jc w:val="both"/>
        <w:rPr>
          <w:bCs/>
          <w:color w:val="002060"/>
          <w:sz w:val="16"/>
          <w:szCs w:val="16"/>
        </w:rPr>
      </w:pPr>
      <w:r w:rsidRPr="00405303">
        <w:rPr>
          <w:bCs/>
          <w:color w:val="002060"/>
          <w:sz w:val="16"/>
          <w:szCs w:val="16"/>
        </w:rPr>
        <w:t>Деятельность Организации Ванкова на территории губерний Центрально-черноземной области, Среднего Поволжья привела к значительному росту численности промышленных предприятий и формированию кадров фабрично-заводских рабочих в этих регионах (18369).</w:t>
      </w:r>
    </w:p>
    <w:p w14:paraId="66CBCD90" w14:textId="77777777" w:rsidR="00C463DD" w:rsidRPr="00405303" w:rsidRDefault="00C463DD" w:rsidP="00C15251">
      <w:pPr>
        <w:pStyle w:val="ae"/>
        <w:spacing w:before="0" w:beforeAutospacing="0" w:after="0" w:afterAutospacing="0"/>
        <w:jc w:val="both"/>
        <w:rPr>
          <w:bCs/>
          <w:color w:val="002060"/>
          <w:sz w:val="16"/>
          <w:szCs w:val="16"/>
        </w:rPr>
      </w:pPr>
    </w:p>
    <w:p w14:paraId="0420AF85" w14:textId="77777777" w:rsidR="00CD28F6" w:rsidRPr="00405303" w:rsidRDefault="00CD28F6" w:rsidP="00CD28F6">
      <w:pPr>
        <w:jc w:val="both"/>
        <w:rPr>
          <w:color w:val="0070C0"/>
          <w:sz w:val="16"/>
          <w:szCs w:val="16"/>
        </w:rPr>
      </w:pPr>
      <w:r w:rsidRPr="00405303">
        <w:rPr>
          <w:color w:val="0070C0"/>
          <w:sz w:val="16"/>
          <w:szCs w:val="16"/>
          <w:lang w:val="en-US"/>
        </w:rPr>
        <w:t>C</w:t>
      </w:r>
      <w:r w:rsidRPr="00405303">
        <w:rPr>
          <w:color w:val="0070C0"/>
          <w:sz w:val="16"/>
          <w:szCs w:val="16"/>
        </w:rPr>
        <w:t xml:space="preserve"> весны 1915 года (то есть еще до массо</w:t>
      </w:r>
      <w:r w:rsidRPr="00405303">
        <w:rPr>
          <w:color w:val="0070C0"/>
          <w:sz w:val="16"/>
          <w:szCs w:val="16"/>
        </w:rPr>
        <w:softHyphen/>
        <w:t>вого применения их германскими войсками — идея уже явно носилась в воздухе) возоб</w:t>
      </w:r>
      <w:r w:rsidRPr="00405303">
        <w:rPr>
          <w:color w:val="0070C0"/>
          <w:sz w:val="16"/>
          <w:szCs w:val="16"/>
        </w:rPr>
        <w:softHyphen/>
        <w:t>новилось конструирование отечественных огнеметов (25021)</w:t>
      </w:r>
    </w:p>
    <w:p w14:paraId="74FA45B9" w14:textId="77777777" w:rsidR="00CD28F6" w:rsidRPr="00405303" w:rsidRDefault="00CD28F6" w:rsidP="00CD28F6">
      <w:pPr>
        <w:jc w:val="both"/>
        <w:rPr>
          <w:color w:val="0070C0"/>
          <w:sz w:val="16"/>
          <w:szCs w:val="16"/>
        </w:rPr>
      </w:pPr>
    </w:p>
    <w:p w14:paraId="3399E8CD" w14:textId="43F502B0" w:rsidR="00C463DD" w:rsidRPr="00405303" w:rsidRDefault="00C463DD" w:rsidP="00C15251">
      <w:pPr>
        <w:pStyle w:val="ae"/>
        <w:spacing w:before="0" w:beforeAutospacing="0" w:after="0" w:afterAutospacing="0"/>
        <w:jc w:val="both"/>
        <w:rPr>
          <w:bCs/>
          <w:color w:val="002060"/>
          <w:sz w:val="16"/>
          <w:szCs w:val="16"/>
        </w:rPr>
      </w:pPr>
      <w:r w:rsidRPr="00405303">
        <w:rPr>
          <w:bCs/>
          <w:color w:val="002060"/>
          <w:sz w:val="16"/>
          <w:szCs w:val="16"/>
        </w:rPr>
        <w:t>С весны 1915 г. были резко увеличены нормы боевого и материального обеспечения русской армии. Предоставление заказов предусматривало, как правило, или строительство нового предприятия, или значительное расширение старых, в том числе благодаря постройке новых цехов и отделений.</w:t>
      </w:r>
      <w:r w:rsidR="000F5756">
        <w:rPr>
          <w:bCs/>
          <w:color w:val="002060"/>
          <w:sz w:val="16"/>
          <w:szCs w:val="16"/>
        </w:rPr>
        <w:t xml:space="preserve"> </w:t>
      </w:r>
      <w:r w:rsidRPr="00405303">
        <w:rPr>
          <w:bCs/>
          <w:color w:val="002060"/>
          <w:sz w:val="16"/>
          <w:szCs w:val="16"/>
        </w:rPr>
        <w:t>Этот процесс особенно захватил металлообрабатывающие и химические производства, непосредственно связанные с выпуском вооружений, предметов боевого снабжения армии, но коснулся предприятий и других отраслей промышленности. Основу стихийного роста заводского строительства в годы войны составило стремление заводчиков получить дорогостоящие казенные заказы в условиях острого кризиса вооружений, который переживала русская армия уже с начала 1915 г. В то же время развитие этого процесса стимулировалось существовавшими и вновь созданными государственными структурами,</w:t>
      </w:r>
      <w:r w:rsidR="000F5756">
        <w:rPr>
          <w:bCs/>
          <w:color w:val="002060"/>
          <w:sz w:val="16"/>
          <w:szCs w:val="16"/>
        </w:rPr>
        <w:t xml:space="preserve"> </w:t>
      </w:r>
      <w:r w:rsidRPr="00405303">
        <w:rPr>
          <w:bCs/>
          <w:color w:val="002060"/>
          <w:sz w:val="16"/>
          <w:szCs w:val="16"/>
        </w:rPr>
        <w:t>в задачи которых входило привлечение более значительного круга отечественных предприятий к работе на оборону, оказание им финансового и технического содействия</w:t>
      </w:r>
      <w:r w:rsidR="000F5756">
        <w:rPr>
          <w:bCs/>
          <w:color w:val="002060"/>
          <w:sz w:val="16"/>
          <w:szCs w:val="16"/>
        </w:rPr>
        <w:t xml:space="preserve"> </w:t>
      </w:r>
      <w:r w:rsidRPr="00405303">
        <w:rPr>
          <w:bCs/>
          <w:color w:val="002060"/>
          <w:sz w:val="16"/>
          <w:szCs w:val="16"/>
        </w:rPr>
        <w:t>в налаживании нового производства, а также последующий контроль за работой этих предприятий для обеспечения своевременного исполнения заказов. Этими вопросами в первую очередь с начала войны занимались управления Военного и Морского министерств, предоставляя заказы частным предприятиям. Однако гораздо более существенной в этом процессе была роль чрезвычайных организаций военного времени (18369).</w:t>
      </w:r>
    </w:p>
    <w:p w14:paraId="3284D1FF" w14:textId="77777777" w:rsidR="00C463DD" w:rsidRPr="00405303" w:rsidRDefault="00C463DD" w:rsidP="00C15251">
      <w:pPr>
        <w:pStyle w:val="ae"/>
        <w:spacing w:before="0" w:beforeAutospacing="0" w:after="0" w:afterAutospacing="0"/>
        <w:jc w:val="both"/>
        <w:rPr>
          <w:bCs/>
          <w:color w:val="002060"/>
          <w:sz w:val="16"/>
          <w:szCs w:val="16"/>
        </w:rPr>
      </w:pPr>
    </w:p>
    <w:p w14:paraId="2C78EF17" w14:textId="7F9B5F62" w:rsidR="004B4E35" w:rsidRPr="00405303" w:rsidRDefault="00957EEC"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П</w:t>
      </w:r>
      <w:r w:rsidR="009E6F82" w:rsidRPr="00405303">
        <w:rPr>
          <w:bCs/>
          <w:i w:val="0"/>
          <w:color w:val="002060"/>
          <w:spacing w:val="0"/>
          <w:kern w:val="0"/>
          <w:position w:val="0"/>
          <w:sz w:val="16"/>
          <w:szCs w:val="16"/>
        </w:rPr>
        <w:t>осле весны 1915 г., с потерей части территории, правительство стало применять систему военных заказов частной промышленности. Перевод на военные рельсы частной промышленности дал положительные результаты: по производству снарядов гражданская промышленность превзошла казенные предприятия в 7—8 раз. Но из-за недостаточной базы производственных мощностей, в условиях падения производительности труда, русская промышленность не смогла полностью удовлетворить нужды фронта (11270).</w:t>
      </w:r>
    </w:p>
    <w:p w14:paraId="36791BD3" w14:textId="77777777" w:rsidR="004B4E35" w:rsidRPr="00405303" w:rsidRDefault="004B4E35" w:rsidP="00C15251">
      <w:pPr>
        <w:pStyle w:val="a3"/>
        <w:jc w:val="both"/>
        <w:rPr>
          <w:bCs/>
          <w:i w:val="0"/>
          <w:color w:val="002060"/>
          <w:spacing w:val="0"/>
          <w:kern w:val="0"/>
          <w:position w:val="0"/>
          <w:sz w:val="16"/>
          <w:szCs w:val="16"/>
        </w:rPr>
      </w:pPr>
    </w:p>
    <w:p w14:paraId="5F2D38A7" w14:textId="1BE63420" w:rsidR="004B4E35" w:rsidRPr="00405303" w:rsidRDefault="00957EEC"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w:t>
      </w:r>
      <w:r w:rsidR="009E6F82" w:rsidRPr="00405303">
        <w:rPr>
          <w:bCs/>
          <w:i w:val="0"/>
          <w:color w:val="002060"/>
          <w:spacing w:val="0"/>
          <w:kern w:val="0"/>
          <w:position w:val="0"/>
          <w:sz w:val="16"/>
          <w:szCs w:val="16"/>
        </w:rPr>
        <w:t xml:space="preserve">есной 1915 г. </w:t>
      </w:r>
      <w:r w:rsidRPr="00405303">
        <w:rPr>
          <w:bCs/>
          <w:i w:val="0"/>
          <w:color w:val="002060"/>
          <w:spacing w:val="0"/>
          <w:kern w:val="0"/>
          <w:position w:val="0"/>
          <w:sz w:val="16"/>
          <w:szCs w:val="16"/>
        </w:rPr>
        <w:t xml:space="preserve">после поражения на Галицийском фронте </w:t>
      </w:r>
      <w:r w:rsidR="009E6F82" w:rsidRPr="00405303">
        <w:rPr>
          <w:bCs/>
          <w:i w:val="0"/>
          <w:color w:val="002060"/>
          <w:spacing w:val="0"/>
          <w:kern w:val="0"/>
          <w:position w:val="0"/>
          <w:sz w:val="16"/>
          <w:szCs w:val="16"/>
        </w:rPr>
        <w:t xml:space="preserve">катастрофа с производством вооружения и со снабжением им армии обнаружилась со всей силой. Стала ясна необходимость создания централизованных государственных органов, ответственных не только за распределение и снабжение армии всеми необходимыми предметами снаряжения и вооружения, но и за всю постановку промышленного производства. По инициативе военного министра Поливанова после шумных дебатов в Государственной Думе было решено образовать четыре </w:t>
      </w:r>
      <w:r w:rsidR="009E6F82" w:rsidRPr="00405303">
        <w:rPr>
          <w:bCs/>
          <w:color w:val="002060"/>
          <w:spacing w:val="0"/>
          <w:kern w:val="0"/>
          <w:position w:val="0"/>
          <w:sz w:val="16"/>
          <w:szCs w:val="16"/>
        </w:rPr>
        <w:t>Особых совещания</w:t>
      </w:r>
      <w:r w:rsidR="009E6F82" w:rsidRPr="00405303">
        <w:rPr>
          <w:bCs/>
          <w:i w:val="0"/>
          <w:color w:val="002060"/>
          <w:spacing w:val="0"/>
          <w:kern w:val="0"/>
          <w:position w:val="0"/>
          <w:sz w:val="16"/>
          <w:szCs w:val="16"/>
        </w:rPr>
        <w:t>: по обороне, топливу, перевозкам, продовольствию.</w:t>
      </w:r>
    </w:p>
    <w:p w14:paraId="64E3580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Главную роль среди них играло Особое совещание по обороне, призванное осуществлять высший надзор за деятельностью всех государственных и частных промышленных предприятий, снабжавших армию и флот; содействовать организации новых заводов, распределять заказы и контролировать их исполнение. Совещание имело право требовать от всех предприятий принятия военных заказов и представления ими всяких сведений, характеризующих их деятельность; производить осмотр предприятий и проверять торговые книги и документы, удостоверяющие количество наличного оборудования, материалов и изделий; назначать и смещать в случае надобности членов правлений, директоров и управляющих как казенных, так и частных заводов.</w:t>
      </w:r>
    </w:p>
    <w:p w14:paraId="00B5CE7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каждое из совещаний должны были входить несколько членов Государственной думы и Государственного совета (в совещание по обороне входил председатель Думы), представители ведомств в преобладающем числе, небольшое число особо приглашаемых представителей общественных организаций. Всего около 40 человек — и почти все являлись представителями ведомств.</w:t>
      </w:r>
    </w:p>
    <w:p w14:paraId="59BE08E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Во главе Совещаний стоял военный министр — как председатель Особого совещания по обороне. Ему было предоставлено право контролировать деятельность других особых совещаний. Он имел право приостанавливать все распоряжения председателей других особых совещаний. Председатель мог закрывать предприятия, не выполнявшие казенные заказы; требовать выполнения заказов казны ранее других; секвестировать частные предприятия и назначать для управления ими уполномоченных. В случае необходимости он мог устранять от службы и смещать директоров, управляющих, советы предприятий, работающих на оборону, назначать во главу предприятий новых лиц, регулировать заработную плату.</w:t>
      </w:r>
    </w:p>
    <w:p w14:paraId="6A68CB8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lastRenderedPageBreak/>
        <w:t>Представителями председателя особого совещания по обороне на местах являлись районные уполномоченные, действовавшие в крупных промышленных центрах. При районных уполномоченных были образованы заводские совещания, в состав которых входили представители ведомств военного, морского, торговли и промышленности, путей сообщения и земледелия, а также представители местных организаций. С помощью заводских совещаний Особое совещание по обороне должно было контролировать выполнение военных заказов на огромном количестве промышленных предприятий.</w:t>
      </w:r>
    </w:p>
    <w:p w14:paraId="5153F8A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1916 г. под их контролем находилось 4872 предприятия. Процесс организационного оформления Особого совещания по обороне продолжался до начала 1916 г. В этот период были созданы следующие комиссии Совещания: подготовительная по общим вопросам; подготовительная по артиллерийским вопросам; наблюдательная; эвакуационная.</w:t>
      </w:r>
    </w:p>
    <w:p w14:paraId="1D76912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Были созданы также комиссии: реквизиционная, по пересмотру норм медицинского и санитарного снабжения армии, по учету и распределению иностранной валюты. Тогда же возникли: Комитет по делам металлургической промышленности, Русский заготовительный комитет в Америке, Русский правительственный комитет в Лондоне и Статистическое бюро при Особом совещании (11270).</w:t>
      </w:r>
    </w:p>
    <w:p w14:paraId="68AC773D" w14:textId="77777777" w:rsidR="004B4E35" w:rsidRPr="00405303" w:rsidRDefault="004B4E35" w:rsidP="00C15251">
      <w:pPr>
        <w:pStyle w:val="a3"/>
        <w:jc w:val="both"/>
        <w:rPr>
          <w:bCs/>
          <w:i w:val="0"/>
          <w:color w:val="002060"/>
          <w:spacing w:val="0"/>
          <w:kern w:val="0"/>
          <w:position w:val="0"/>
          <w:sz w:val="16"/>
          <w:szCs w:val="16"/>
        </w:rPr>
      </w:pPr>
    </w:p>
    <w:p w14:paraId="7017EEF3" w14:textId="30CB7E4E" w:rsidR="00957EEC" w:rsidRPr="00405303" w:rsidRDefault="00957EEC" w:rsidP="00C15251">
      <w:pPr>
        <w:jc w:val="both"/>
        <w:rPr>
          <w:bCs/>
          <w:i/>
          <w:iCs/>
          <w:color w:val="002060"/>
          <w:sz w:val="16"/>
          <w:szCs w:val="16"/>
        </w:rPr>
      </w:pPr>
      <w:r w:rsidRPr="00405303">
        <w:rPr>
          <w:bCs/>
          <w:i/>
          <w:iCs/>
          <w:color w:val="002060"/>
          <w:sz w:val="16"/>
          <w:szCs w:val="16"/>
        </w:rPr>
        <w:t>Авиация:</w:t>
      </w:r>
    </w:p>
    <w:p w14:paraId="0FFB6FB2" w14:textId="77777777" w:rsidR="00957EEC" w:rsidRPr="00405303" w:rsidRDefault="00957EEC" w:rsidP="00C15251">
      <w:pPr>
        <w:jc w:val="both"/>
        <w:rPr>
          <w:bCs/>
          <w:i/>
          <w:iCs/>
          <w:color w:val="002060"/>
          <w:sz w:val="16"/>
          <w:szCs w:val="16"/>
        </w:rPr>
      </w:pPr>
    </w:p>
    <w:p w14:paraId="31DBBFCE" w14:textId="433984FA" w:rsidR="004B4E35" w:rsidRPr="00405303" w:rsidRDefault="009E6F82" w:rsidP="00C15251">
      <w:pPr>
        <w:jc w:val="both"/>
        <w:rPr>
          <w:bCs/>
          <w:color w:val="002060"/>
          <w:sz w:val="16"/>
          <w:szCs w:val="16"/>
        </w:rPr>
      </w:pPr>
      <w:r w:rsidRPr="00405303">
        <w:rPr>
          <w:bCs/>
          <w:color w:val="002060"/>
          <w:sz w:val="16"/>
          <w:szCs w:val="16"/>
        </w:rPr>
        <w:t xml:space="preserve">К весне 1915 г. большая часть отрядов была перевооружена и вновь появилась на фронте. Начали работать и авиационные школы, но все снабжение материальной частью по-прежнему было неудовлетворительным: мы получали из Франции только те образцы, которые считались там устарелыми. </w:t>
      </w:r>
    </w:p>
    <w:p w14:paraId="565A1C80" w14:textId="77777777" w:rsidR="004B4E35" w:rsidRPr="00405303" w:rsidRDefault="009E6F82" w:rsidP="00C15251">
      <w:pPr>
        <w:jc w:val="both"/>
        <w:rPr>
          <w:bCs/>
          <w:color w:val="002060"/>
          <w:sz w:val="16"/>
          <w:szCs w:val="16"/>
        </w:rPr>
      </w:pPr>
      <w:r w:rsidRPr="00405303">
        <w:rPr>
          <w:bCs/>
          <w:color w:val="002060"/>
          <w:sz w:val="16"/>
          <w:szCs w:val="16"/>
        </w:rPr>
        <w:t xml:space="preserve">Осенью 1915 г. германское наступление на Сербию прервало нашу кратчайшую связь с Францией, и отправленные нам аппараты и моторы оказались отрезанными в Салониках. Пришлось их переслать в Архангельск, куда по причине раннего замерзания они не дошли и остались зимовать в Александровске (на Мурмане). </w:t>
      </w:r>
    </w:p>
    <w:p w14:paraId="5A042C18" w14:textId="77777777" w:rsidR="004B4E35" w:rsidRPr="00405303" w:rsidRDefault="009E6F82" w:rsidP="00C15251">
      <w:pPr>
        <w:jc w:val="both"/>
        <w:rPr>
          <w:bCs/>
          <w:color w:val="002060"/>
          <w:sz w:val="16"/>
          <w:szCs w:val="16"/>
        </w:rPr>
      </w:pPr>
      <w:r w:rsidRPr="00405303">
        <w:rPr>
          <w:bCs/>
          <w:color w:val="002060"/>
          <w:sz w:val="16"/>
          <w:szCs w:val="16"/>
        </w:rPr>
        <w:t xml:space="preserve">Вследствие этого к весне 1916 </w:t>
      </w:r>
      <w:proofErr w:type="gramStart"/>
      <w:r w:rsidRPr="00405303">
        <w:rPr>
          <w:bCs/>
          <w:color w:val="002060"/>
          <w:sz w:val="16"/>
          <w:szCs w:val="16"/>
        </w:rPr>
        <w:t>г.наша</w:t>
      </w:r>
      <w:proofErr w:type="gramEnd"/>
      <w:r w:rsidRPr="00405303">
        <w:rPr>
          <w:bCs/>
          <w:color w:val="002060"/>
          <w:sz w:val="16"/>
          <w:szCs w:val="16"/>
        </w:rPr>
        <w:t xml:space="preserve"> авиация вновь оказалась в критическом положении. Выписанные нами французские самолеты лежали частью на Мурмане, частью во Франции; аппараты, выстроенные в России, за неимением к ним моторов загромождали склады и заводы. Когда же в июне месяце 1916 г. прибыли наконец в отряды французские аппараты, то они оказались совершенно устарелыми, и мы оказались не в состоянии бороться в воздухе с неприятелем на равных шансах. Большинство воздушных боев между немецкими «фоккерами» и нашими аппаратами оканчивается не в нашу пользу, и длинный список доблестно погибших наших летчиков растет ежедневно. </w:t>
      </w:r>
    </w:p>
    <w:p w14:paraId="6D1C8D80" w14:textId="77777777" w:rsidR="004B4E35" w:rsidRPr="00405303" w:rsidRDefault="009E6F82" w:rsidP="00C15251">
      <w:pPr>
        <w:jc w:val="both"/>
        <w:rPr>
          <w:bCs/>
          <w:color w:val="002060"/>
          <w:sz w:val="16"/>
          <w:szCs w:val="16"/>
        </w:rPr>
      </w:pPr>
      <w:r w:rsidRPr="00405303">
        <w:rPr>
          <w:bCs/>
          <w:color w:val="002060"/>
          <w:sz w:val="16"/>
          <w:szCs w:val="16"/>
        </w:rPr>
        <w:t xml:space="preserve">К 1 сентября 1916 г. наши воздушные силы достигли следующего состава: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6336"/>
        <w:gridCol w:w="768"/>
      </w:tblGrid>
      <w:tr w:rsidR="004B4E35" w:rsidRPr="00405303" w14:paraId="54186015" w14:textId="77777777">
        <w:tc>
          <w:tcPr>
            <w:tcW w:w="6336" w:type="dxa"/>
          </w:tcPr>
          <w:p w14:paraId="7B6D6035" w14:textId="77777777" w:rsidR="004B4E35" w:rsidRPr="00405303" w:rsidRDefault="009E6F82" w:rsidP="00C15251">
            <w:pPr>
              <w:jc w:val="both"/>
              <w:rPr>
                <w:bCs/>
                <w:color w:val="002060"/>
                <w:sz w:val="16"/>
                <w:szCs w:val="16"/>
              </w:rPr>
            </w:pPr>
            <w:r w:rsidRPr="00405303">
              <w:rPr>
                <w:bCs/>
                <w:color w:val="002060"/>
                <w:sz w:val="16"/>
                <w:szCs w:val="16"/>
              </w:rPr>
              <w:t xml:space="preserve">Авиационных отрядов (эскадрилий) </w:t>
            </w:r>
          </w:p>
        </w:tc>
        <w:tc>
          <w:tcPr>
            <w:tcW w:w="768" w:type="dxa"/>
          </w:tcPr>
          <w:p w14:paraId="2E10C312" w14:textId="77777777" w:rsidR="004B4E35" w:rsidRPr="00405303" w:rsidRDefault="009E6F82" w:rsidP="00C15251">
            <w:pPr>
              <w:jc w:val="both"/>
              <w:rPr>
                <w:bCs/>
                <w:color w:val="002060"/>
                <w:sz w:val="16"/>
                <w:szCs w:val="16"/>
              </w:rPr>
            </w:pPr>
            <w:r w:rsidRPr="00405303">
              <w:rPr>
                <w:bCs/>
                <w:color w:val="002060"/>
                <w:sz w:val="16"/>
                <w:szCs w:val="16"/>
              </w:rPr>
              <w:t xml:space="preserve">75 </w:t>
            </w:r>
          </w:p>
        </w:tc>
      </w:tr>
      <w:tr w:rsidR="004B4E35" w:rsidRPr="00405303" w14:paraId="6C202B92" w14:textId="77777777">
        <w:tc>
          <w:tcPr>
            <w:tcW w:w="6336" w:type="dxa"/>
          </w:tcPr>
          <w:p w14:paraId="462AD79A" w14:textId="77777777" w:rsidR="004B4E35" w:rsidRPr="00405303" w:rsidRDefault="009E6F82" w:rsidP="00C15251">
            <w:pPr>
              <w:jc w:val="both"/>
              <w:rPr>
                <w:bCs/>
                <w:color w:val="002060"/>
                <w:sz w:val="16"/>
                <w:szCs w:val="16"/>
              </w:rPr>
            </w:pPr>
            <w:r w:rsidRPr="00405303">
              <w:rPr>
                <w:bCs/>
                <w:color w:val="002060"/>
                <w:sz w:val="16"/>
                <w:szCs w:val="16"/>
              </w:rPr>
              <w:t xml:space="preserve">Воздухоплавательных рот </w:t>
            </w:r>
          </w:p>
        </w:tc>
        <w:tc>
          <w:tcPr>
            <w:tcW w:w="768" w:type="dxa"/>
          </w:tcPr>
          <w:p w14:paraId="749DFDD8" w14:textId="77777777" w:rsidR="004B4E35" w:rsidRPr="00405303" w:rsidRDefault="009E6F82" w:rsidP="00C15251">
            <w:pPr>
              <w:jc w:val="both"/>
              <w:rPr>
                <w:bCs/>
                <w:color w:val="002060"/>
                <w:sz w:val="16"/>
                <w:szCs w:val="16"/>
              </w:rPr>
            </w:pPr>
            <w:r w:rsidRPr="00405303">
              <w:rPr>
                <w:bCs/>
                <w:color w:val="002060"/>
                <w:sz w:val="16"/>
                <w:szCs w:val="16"/>
              </w:rPr>
              <w:t xml:space="preserve">36 </w:t>
            </w:r>
          </w:p>
        </w:tc>
      </w:tr>
      <w:tr w:rsidR="004B4E35" w:rsidRPr="00405303" w14:paraId="78CA65CA" w14:textId="77777777">
        <w:tc>
          <w:tcPr>
            <w:tcW w:w="6336" w:type="dxa"/>
          </w:tcPr>
          <w:p w14:paraId="293473A8" w14:textId="77777777" w:rsidR="004B4E35" w:rsidRPr="00405303" w:rsidRDefault="009E6F82" w:rsidP="00C15251">
            <w:pPr>
              <w:jc w:val="both"/>
              <w:rPr>
                <w:bCs/>
                <w:color w:val="002060"/>
                <w:sz w:val="16"/>
                <w:szCs w:val="16"/>
              </w:rPr>
            </w:pPr>
            <w:r w:rsidRPr="00405303">
              <w:rPr>
                <w:bCs/>
                <w:color w:val="002060"/>
                <w:sz w:val="16"/>
                <w:szCs w:val="16"/>
              </w:rPr>
              <w:t xml:space="preserve">Самолетов </w:t>
            </w:r>
          </w:p>
        </w:tc>
        <w:tc>
          <w:tcPr>
            <w:tcW w:w="768" w:type="dxa"/>
          </w:tcPr>
          <w:p w14:paraId="5C45B1FF" w14:textId="77777777" w:rsidR="004B4E35" w:rsidRPr="00405303" w:rsidRDefault="009E6F82" w:rsidP="00C15251">
            <w:pPr>
              <w:jc w:val="both"/>
              <w:rPr>
                <w:bCs/>
                <w:color w:val="002060"/>
                <w:sz w:val="16"/>
                <w:szCs w:val="16"/>
              </w:rPr>
            </w:pPr>
            <w:r w:rsidRPr="00405303">
              <w:rPr>
                <w:bCs/>
                <w:color w:val="002060"/>
                <w:sz w:val="16"/>
                <w:szCs w:val="16"/>
              </w:rPr>
              <w:t xml:space="preserve">716 </w:t>
            </w:r>
          </w:p>
        </w:tc>
      </w:tr>
      <w:tr w:rsidR="004B4E35" w:rsidRPr="00405303" w14:paraId="7CD0055B" w14:textId="77777777">
        <w:tc>
          <w:tcPr>
            <w:tcW w:w="6336" w:type="dxa"/>
          </w:tcPr>
          <w:p w14:paraId="07AFF4A4" w14:textId="77777777" w:rsidR="004B4E35" w:rsidRPr="00405303" w:rsidRDefault="009E6F82" w:rsidP="00C15251">
            <w:pPr>
              <w:jc w:val="both"/>
              <w:rPr>
                <w:bCs/>
                <w:color w:val="002060"/>
                <w:sz w:val="16"/>
                <w:szCs w:val="16"/>
              </w:rPr>
            </w:pPr>
            <w:r w:rsidRPr="00405303">
              <w:rPr>
                <w:bCs/>
                <w:color w:val="002060"/>
                <w:sz w:val="16"/>
                <w:szCs w:val="16"/>
              </w:rPr>
              <w:t xml:space="preserve">Летчиков </w:t>
            </w:r>
          </w:p>
        </w:tc>
        <w:tc>
          <w:tcPr>
            <w:tcW w:w="768" w:type="dxa"/>
          </w:tcPr>
          <w:p w14:paraId="0448ED9B" w14:textId="77777777" w:rsidR="004B4E35" w:rsidRPr="00405303" w:rsidRDefault="009E6F82" w:rsidP="00C15251">
            <w:pPr>
              <w:jc w:val="both"/>
              <w:rPr>
                <w:bCs/>
                <w:color w:val="002060"/>
                <w:sz w:val="16"/>
                <w:szCs w:val="16"/>
              </w:rPr>
            </w:pPr>
            <w:r w:rsidRPr="00405303">
              <w:rPr>
                <w:bCs/>
                <w:color w:val="002060"/>
                <w:sz w:val="16"/>
                <w:szCs w:val="16"/>
              </w:rPr>
              <w:t xml:space="preserve">502 </w:t>
            </w:r>
          </w:p>
        </w:tc>
      </w:tr>
      <w:tr w:rsidR="004B4E35" w:rsidRPr="00405303" w14:paraId="108E518C" w14:textId="77777777">
        <w:tc>
          <w:tcPr>
            <w:tcW w:w="6336" w:type="dxa"/>
          </w:tcPr>
          <w:p w14:paraId="536A8126" w14:textId="77777777" w:rsidR="004B4E35" w:rsidRPr="00405303" w:rsidRDefault="009E6F82" w:rsidP="00C15251">
            <w:pPr>
              <w:jc w:val="both"/>
              <w:rPr>
                <w:bCs/>
                <w:color w:val="002060"/>
                <w:sz w:val="16"/>
                <w:szCs w:val="16"/>
              </w:rPr>
            </w:pPr>
            <w:r w:rsidRPr="00405303">
              <w:rPr>
                <w:bCs/>
                <w:color w:val="002060"/>
                <w:sz w:val="16"/>
                <w:szCs w:val="16"/>
              </w:rPr>
              <w:t xml:space="preserve">Наблюдателей </w:t>
            </w:r>
          </w:p>
        </w:tc>
        <w:tc>
          <w:tcPr>
            <w:tcW w:w="768" w:type="dxa"/>
          </w:tcPr>
          <w:p w14:paraId="37E969D8" w14:textId="77777777" w:rsidR="004B4E35" w:rsidRPr="00405303" w:rsidRDefault="009E6F82" w:rsidP="00C15251">
            <w:pPr>
              <w:jc w:val="both"/>
              <w:rPr>
                <w:bCs/>
                <w:color w:val="002060"/>
                <w:sz w:val="16"/>
                <w:szCs w:val="16"/>
              </w:rPr>
            </w:pPr>
            <w:r w:rsidRPr="00405303">
              <w:rPr>
                <w:bCs/>
                <w:color w:val="002060"/>
                <w:sz w:val="16"/>
                <w:szCs w:val="16"/>
              </w:rPr>
              <w:t xml:space="preserve">357 </w:t>
            </w:r>
          </w:p>
        </w:tc>
      </w:tr>
    </w:tbl>
    <w:p w14:paraId="3EDB25AD" w14:textId="77777777" w:rsidR="004B4E35" w:rsidRPr="00405303" w:rsidRDefault="009E6F82" w:rsidP="00C15251">
      <w:pPr>
        <w:jc w:val="both"/>
        <w:rPr>
          <w:bCs/>
          <w:color w:val="002060"/>
          <w:sz w:val="16"/>
          <w:szCs w:val="16"/>
        </w:rPr>
      </w:pPr>
      <w:r w:rsidRPr="00405303">
        <w:rPr>
          <w:bCs/>
          <w:color w:val="002060"/>
          <w:sz w:val="16"/>
          <w:szCs w:val="16"/>
        </w:rPr>
        <w:t xml:space="preserve">Если мы сравним вышенапечатанные цифры с соответствующими данными, приведенными для начала войны, то нельзя не констатировать роста наших воздушных сил. Но такое примитивное сравнение говорит слишком мало. Дело в том, что за тот же период времени возросла и самая численность Русской армии. К 1 сентября 1916 г. число пехотных дивизий в Действующей армии по сравнению с началом войны удвоилось. Таким образом, при сравнении сил наших воздушных войск начала войны и конца 1916 г. нужно принять во внимание, что во втором случае эти войска должны были обслуживать в два раза более численную армию. Подойдя к интересующему нас сравнению с такой точки зрения, мы должны прийти к заключению, что в конце 1916 г. Русская армия оказалась оборудованной авиацией лишь очень немногим лучше, нежели в начале войны. Но если принять во внимание то, что за 2,5 года войны германская армия, так </w:t>
      </w:r>
      <w:proofErr w:type="gramStart"/>
      <w:r w:rsidRPr="00405303">
        <w:rPr>
          <w:bCs/>
          <w:color w:val="002060"/>
          <w:sz w:val="16"/>
          <w:szCs w:val="16"/>
        </w:rPr>
        <w:t>же</w:t>
      </w:r>
      <w:proofErr w:type="gramEnd"/>
      <w:r w:rsidRPr="00405303">
        <w:rPr>
          <w:bCs/>
          <w:color w:val="002060"/>
          <w:sz w:val="16"/>
          <w:szCs w:val="16"/>
        </w:rPr>
        <w:t xml:space="preserve"> как и французская и британская, сделала громадные шаги по пути развития своих воздушных сил, то окажется, что к концу 1916 г. Русская армия стала еще беззащитнее в воздухе, чем была в 1914 году. В печатаемой ниже таблице приведены данные о произведенных нашей авиацией полетах с начала войны до 1 сентября 1916 г. </w:t>
      </w:r>
    </w:p>
    <w:p w14:paraId="78413210" w14:textId="77777777" w:rsidR="004B4E35" w:rsidRPr="00405303" w:rsidRDefault="009E6F82" w:rsidP="00C15251">
      <w:pPr>
        <w:jc w:val="both"/>
        <w:rPr>
          <w:bCs/>
          <w:color w:val="002060"/>
          <w:sz w:val="16"/>
          <w:szCs w:val="16"/>
        </w:rPr>
      </w:pPr>
      <w:r w:rsidRPr="00405303">
        <w:rPr>
          <w:bCs/>
          <w:color w:val="002060"/>
          <w:sz w:val="16"/>
          <w:szCs w:val="16"/>
        </w:rPr>
        <w:t xml:space="preserve">Число полетов, произведенных русской авиацией с начала войны по 1(14) сентября 1916 г.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893"/>
        <w:gridCol w:w="728"/>
        <w:gridCol w:w="728"/>
        <w:gridCol w:w="728"/>
        <w:gridCol w:w="1031"/>
        <w:gridCol w:w="1031"/>
        <w:gridCol w:w="1031"/>
        <w:gridCol w:w="1062"/>
        <w:gridCol w:w="1062"/>
        <w:gridCol w:w="1062"/>
      </w:tblGrid>
      <w:tr w:rsidR="00946658" w:rsidRPr="00405303" w14:paraId="51AC32C6" w14:textId="77777777" w:rsidTr="00946658">
        <w:tc>
          <w:tcPr>
            <w:tcW w:w="893" w:type="dxa"/>
          </w:tcPr>
          <w:p w14:paraId="782A964E" w14:textId="77777777" w:rsidR="004B4E35" w:rsidRPr="00405303" w:rsidRDefault="009E6F82" w:rsidP="00C15251">
            <w:pPr>
              <w:jc w:val="both"/>
              <w:rPr>
                <w:bCs/>
                <w:color w:val="002060"/>
                <w:sz w:val="16"/>
                <w:szCs w:val="16"/>
              </w:rPr>
            </w:pPr>
            <w:r w:rsidRPr="00405303">
              <w:rPr>
                <w:bCs/>
                <w:color w:val="002060"/>
                <w:sz w:val="16"/>
                <w:szCs w:val="16"/>
              </w:rPr>
              <w:t xml:space="preserve">Месяцы </w:t>
            </w:r>
          </w:p>
        </w:tc>
        <w:tc>
          <w:tcPr>
            <w:tcW w:w="8463" w:type="dxa"/>
            <w:gridSpan w:val="9"/>
          </w:tcPr>
          <w:p w14:paraId="14D53057" w14:textId="77777777" w:rsidR="004B4E35" w:rsidRPr="00405303" w:rsidRDefault="009E6F82" w:rsidP="00C15251">
            <w:pPr>
              <w:jc w:val="both"/>
              <w:rPr>
                <w:bCs/>
                <w:color w:val="002060"/>
                <w:sz w:val="16"/>
                <w:szCs w:val="16"/>
              </w:rPr>
            </w:pPr>
            <w:r w:rsidRPr="00405303">
              <w:rPr>
                <w:bCs/>
                <w:color w:val="002060"/>
                <w:sz w:val="16"/>
                <w:szCs w:val="16"/>
              </w:rPr>
              <w:t xml:space="preserve">Годы </w:t>
            </w:r>
          </w:p>
        </w:tc>
      </w:tr>
      <w:tr w:rsidR="00946658" w:rsidRPr="00405303" w14:paraId="627EFA55" w14:textId="77777777" w:rsidTr="00946658">
        <w:tc>
          <w:tcPr>
            <w:tcW w:w="893" w:type="dxa"/>
          </w:tcPr>
          <w:p w14:paraId="5624C679" w14:textId="77777777" w:rsidR="004B4E35" w:rsidRPr="00405303" w:rsidRDefault="004B4E35" w:rsidP="00C15251">
            <w:pPr>
              <w:jc w:val="both"/>
              <w:rPr>
                <w:bCs/>
                <w:color w:val="002060"/>
                <w:sz w:val="16"/>
                <w:szCs w:val="16"/>
              </w:rPr>
            </w:pPr>
          </w:p>
        </w:tc>
        <w:tc>
          <w:tcPr>
            <w:tcW w:w="2184" w:type="dxa"/>
            <w:gridSpan w:val="3"/>
          </w:tcPr>
          <w:p w14:paraId="5BDEE30D" w14:textId="77777777" w:rsidR="004B4E35" w:rsidRPr="00405303" w:rsidRDefault="009E6F82" w:rsidP="00C15251">
            <w:pPr>
              <w:jc w:val="both"/>
              <w:rPr>
                <w:bCs/>
                <w:color w:val="002060"/>
                <w:sz w:val="16"/>
                <w:szCs w:val="16"/>
              </w:rPr>
            </w:pPr>
            <w:r w:rsidRPr="00405303">
              <w:rPr>
                <w:bCs/>
                <w:color w:val="002060"/>
                <w:sz w:val="16"/>
                <w:szCs w:val="16"/>
              </w:rPr>
              <w:t xml:space="preserve">Летало летчиков </w:t>
            </w:r>
          </w:p>
        </w:tc>
        <w:tc>
          <w:tcPr>
            <w:tcW w:w="3093" w:type="dxa"/>
            <w:gridSpan w:val="3"/>
          </w:tcPr>
          <w:p w14:paraId="10B9546C" w14:textId="77777777" w:rsidR="004B4E35" w:rsidRPr="00405303" w:rsidRDefault="009E6F82" w:rsidP="00C15251">
            <w:pPr>
              <w:jc w:val="both"/>
              <w:rPr>
                <w:bCs/>
                <w:color w:val="002060"/>
                <w:sz w:val="16"/>
                <w:szCs w:val="16"/>
              </w:rPr>
            </w:pPr>
            <w:r w:rsidRPr="00405303">
              <w:rPr>
                <w:bCs/>
                <w:color w:val="002060"/>
                <w:sz w:val="16"/>
                <w:szCs w:val="16"/>
              </w:rPr>
              <w:t xml:space="preserve">Совершено всеми летчиками полетов </w:t>
            </w:r>
          </w:p>
        </w:tc>
        <w:tc>
          <w:tcPr>
            <w:tcW w:w="3186" w:type="dxa"/>
            <w:gridSpan w:val="3"/>
          </w:tcPr>
          <w:p w14:paraId="30E87FE3" w14:textId="77777777" w:rsidR="004B4E35" w:rsidRPr="00405303" w:rsidRDefault="009E6F82" w:rsidP="00C15251">
            <w:pPr>
              <w:jc w:val="both"/>
              <w:rPr>
                <w:bCs/>
                <w:color w:val="002060"/>
                <w:sz w:val="16"/>
                <w:szCs w:val="16"/>
              </w:rPr>
            </w:pPr>
            <w:r w:rsidRPr="00405303">
              <w:rPr>
                <w:bCs/>
                <w:color w:val="002060"/>
                <w:sz w:val="16"/>
                <w:szCs w:val="16"/>
              </w:rPr>
              <w:t xml:space="preserve">Общей продолжительностью (в часах) </w:t>
            </w:r>
          </w:p>
        </w:tc>
      </w:tr>
      <w:tr w:rsidR="004B4E35" w:rsidRPr="00405303" w14:paraId="7AA4038C" w14:textId="77777777">
        <w:tc>
          <w:tcPr>
            <w:tcW w:w="893" w:type="dxa"/>
          </w:tcPr>
          <w:p w14:paraId="3C568B09" w14:textId="77777777" w:rsidR="004B4E35" w:rsidRPr="00405303" w:rsidRDefault="004B4E35" w:rsidP="00C15251">
            <w:pPr>
              <w:jc w:val="both"/>
              <w:rPr>
                <w:bCs/>
                <w:color w:val="002060"/>
                <w:sz w:val="16"/>
                <w:szCs w:val="16"/>
              </w:rPr>
            </w:pPr>
          </w:p>
        </w:tc>
        <w:tc>
          <w:tcPr>
            <w:tcW w:w="728" w:type="dxa"/>
          </w:tcPr>
          <w:p w14:paraId="5F20B148" w14:textId="77777777" w:rsidR="004B4E35" w:rsidRPr="00405303" w:rsidRDefault="009E6F82" w:rsidP="00C15251">
            <w:pPr>
              <w:jc w:val="both"/>
              <w:rPr>
                <w:bCs/>
                <w:color w:val="002060"/>
                <w:sz w:val="16"/>
                <w:szCs w:val="16"/>
              </w:rPr>
            </w:pPr>
            <w:r w:rsidRPr="00405303">
              <w:rPr>
                <w:bCs/>
                <w:color w:val="002060"/>
                <w:sz w:val="16"/>
                <w:szCs w:val="16"/>
              </w:rPr>
              <w:t xml:space="preserve">1914 г. </w:t>
            </w:r>
          </w:p>
        </w:tc>
        <w:tc>
          <w:tcPr>
            <w:tcW w:w="728" w:type="dxa"/>
          </w:tcPr>
          <w:p w14:paraId="043E0F45" w14:textId="77777777" w:rsidR="004B4E35" w:rsidRPr="00405303" w:rsidRDefault="009E6F82" w:rsidP="00C15251">
            <w:pPr>
              <w:jc w:val="both"/>
              <w:rPr>
                <w:bCs/>
                <w:color w:val="002060"/>
                <w:sz w:val="16"/>
                <w:szCs w:val="16"/>
              </w:rPr>
            </w:pPr>
            <w:r w:rsidRPr="00405303">
              <w:rPr>
                <w:bCs/>
                <w:color w:val="002060"/>
                <w:sz w:val="16"/>
                <w:szCs w:val="16"/>
              </w:rPr>
              <w:t xml:space="preserve">1915 г. </w:t>
            </w:r>
          </w:p>
        </w:tc>
        <w:tc>
          <w:tcPr>
            <w:tcW w:w="728" w:type="dxa"/>
          </w:tcPr>
          <w:p w14:paraId="5BDC840F" w14:textId="77777777" w:rsidR="004B4E35" w:rsidRPr="00405303" w:rsidRDefault="009E6F82" w:rsidP="00C15251">
            <w:pPr>
              <w:jc w:val="both"/>
              <w:rPr>
                <w:bCs/>
                <w:color w:val="002060"/>
                <w:sz w:val="16"/>
                <w:szCs w:val="16"/>
              </w:rPr>
            </w:pPr>
            <w:r w:rsidRPr="00405303">
              <w:rPr>
                <w:bCs/>
                <w:color w:val="002060"/>
                <w:sz w:val="16"/>
                <w:szCs w:val="16"/>
              </w:rPr>
              <w:t xml:space="preserve">1916 г. </w:t>
            </w:r>
          </w:p>
        </w:tc>
        <w:tc>
          <w:tcPr>
            <w:tcW w:w="1031" w:type="dxa"/>
          </w:tcPr>
          <w:p w14:paraId="35C323EB" w14:textId="77777777" w:rsidR="004B4E35" w:rsidRPr="00405303" w:rsidRDefault="009E6F82" w:rsidP="00C15251">
            <w:pPr>
              <w:jc w:val="both"/>
              <w:rPr>
                <w:bCs/>
                <w:color w:val="002060"/>
                <w:sz w:val="16"/>
                <w:szCs w:val="16"/>
              </w:rPr>
            </w:pPr>
            <w:r w:rsidRPr="00405303">
              <w:rPr>
                <w:bCs/>
                <w:color w:val="002060"/>
                <w:sz w:val="16"/>
                <w:szCs w:val="16"/>
              </w:rPr>
              <w:t xml:space="preserve">1914 г. </w:t>
            </w:r>
          </w:p>
        </w:tc>
        <w:tc>
          <w:tcPr>
            <w:tcW w:w="1031" w:type="dxa"/>
          </w:tcPr>
          <w:p w14:paraId="1A45BA80" w14:textId="77777777" w:rsidR="004B4E35" w:rsidRPr="00405303" w:rsidRDefault="009E6F82" w:rsidP="00C15251">
            <w:pPr>
              <w:jc w:val="both"/>
              <w:rPr>
                <w:bCs/>
                <w:color w:val="002060"/>
                <w:sz w:val="16"/>
                <w:szCs w:val="16"/>
              </w:rPr>
            </w:pPr>
            <w:r w:rsidRPr="00405303">
              <w:rPr>
                <w:bCs/>
                <w:color w:val="002060"/>
                <w:sz w:val="16"/>
                <w:szCs w:val="16"/>
              </w:rPr>
              <w:t xml:space="preserve">1915 г. </w:t>
            </w:r>
          </w:p>
        </w:tc>
        <w:tc>
          <w:tcPr>
            <w:tcW w:w="1031" w:type="dxa"/>
          </w:tcPr>
          <w:p w14:paraId="001088F6" w14:textId="77777777" w:rsidR="004B4E35" w:rsidRPr="00405303" w:rsidRDefault="009E6F82" w:rsidP="00C15251">
            <w:pPr>
              <w:jc w:val="both"/>
              <w:rPr>
                <w:bCs/>
                <w:color w:val="002060"/>
                <w:sz w:val="16"/>
                <w:szCs w:val="16"/>
              </w:rPr>
            </w:pPr>
            <w:r w:rsidRPr="00405303">
              <w:rPr>
                <w:bCs/>
                <w:color w:val="002060"/>
                <w:sz w:val="16"/>
                <w:szCs w:val="16"/>
              </w:rPr>
              <w:t xml:space="preserve">1916 г. </w:t>
            </w:r>
          </w:p>
        </w:tc>
        <w:tc>
          <w:tcPr>
            <w:tcW w:w="1062" w:type="dxa"/>
          </w:tcPr>
          <w:p w14:paraId="1562EB49" w14:textId="77777777" w:rsidR="004B4E35" w:rsidRPr="00405303" w:rsidRDefault="009E6F82" w:rsidP="00C15251">
            <w:pPr>
              <w:jc w:val="both"/>
              <w:rPr>
                <w:bCs/>
                <w:color w:val="002060"/>
                <w:sz w:val="16"/>
                <w:szCs w:val="16"/>
              </w:rPr>
            </w:pPr>
            <w:r w:rsidRPr="00405303">
              <w:rPr>
                <w:bCs/>
                <w:color w:val="002060"/>
                <w:sz w:val="16"/>
                <w:szCs w:val="16"/>
              </w:rPr>
              <w:t xml:space="preserve">1914 г. </w:t>
            </w:r>
          </w:p>
        </w:tc>
        <w:tc>
          <w:tcPr>
            <w:tcW w:w="1062" w:type="dxa"/>
          </w:tcPr>
          <w:p w14:paraId="0EE8FF8E" w14:textId="77777777" w:rsidR="004B4E35" w:rsidRPr="00405303" w:rsidRDefault="009E6F82" w:rsidP="00C15251">
            <w:pPr>
              <w:jc w:val="both"/>
              <w:rPr>
                <w:bCs/>
                <w:color w:val="002060"/>
                <w:sz w:val="16"/>
                <w:szCs w:val="16"/>
              </w:rPr>
            </w:pPr>
            <w:r w:rsidRPr="00405303">
              <w:rPr>
                <w:bCs/>
                <w:color w:val="002060"/>
                <w:sz w:val="16"/>
                <w:szCs w:val="16"/>
              </w:rPr>
              <w:t xml:space="preserve">1915 г. </w:t>
            </w:r>
          </w:p>
        </w:tc>
        <w:tc>
          <w:tcPr>
            <w:tcW w:w="1062" w:type="dxa"/>
          </w:tcPr>
          <w:p w14:paraId="1BA095EA" w14:textId="77777777" w:rsidR="004B4E35" w:rsidRPr="00405303" w:rsidRDefault="009E6F82" w:rsidP="00C15251">
            <w:pPr>
              <w:jc w:val="both"/>
              <w:rPr>
                <w:bCs/>
                <w:color w:val="002060"/>
                <w:sz w:val="16"/>
                <w:szCs w:val="16"/>
              </w:rPr>
            </w:pPr>
            <w:r w:rsidRPr="00405303">
              <w:rPr>
                <w:bCs/>
                <w:color w:val="002060"/>
                <w:sz w:val="16"/>
                <w:szCs w:val="16"/>
              </w:rPr>
              <w:t xml:space="preserve">1916 г. </w:t>
            </w:r>
          </w:p>
        </w:tc>
      </w:tr>
      <w:tr w:rsidR="004B4E35" w:rsidRPr="00405303" w14:paraId="20585D3D" w14:textId="77777777">
        <w:tc>
          <w:tcPr>
            <w:tcW w:w="893" w:type="dxa"/>
          </w:tcPr>
          <w:p w14:paraId="0128FBD0" w14:textId="77777777" w:rsidR="004B4E35" w:rsidRPr="00405303" w:rsidRDefault="009E6F82" w:rsidP="00C15251">
            <w:pPr>
              <w:jc w:val="both"/>
              <w:rPr>
                <w:bCs/>
                <w:color w:val="002060"/>
                <w:sz w:val="16"/>
                <w:szCs w:val="16"/>
              </w:rPr>
            </w:pPr>
            <w:r w:rsidRPr="00405303">
              <w:rPr>
                <w:bCs/>
                <w:color w:val="002060"/>
                <w:sz w:val="16"/>
                <w:szCs w:val="16"/>
              </w:rPr>
              <w:t xml:space="preserve">Январь </w:t>
            </w:r>
          </w:p>
        </w:tc>
        <w:tc>
          <w:tcPr>
            <w:tcW w:w="728" w:type="dxa"/>
          </w:tcPr>
          <w:p w14:paraId="1C51080C"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728" w:type="dxa"/>
          </w:tcPr>
          <w:p w14:paraId="6BAE71A6" w14:textId="77777777" w:rsidR="004B4E35" w:rsidRPr="00405303" w:rsidRDefault="009E6F82" w:rsidP="00C15251">
            <w:pPr>
              <w:jc w:val="both"/>
              <w:rPr>
                <w:bCs/>
                <w:color w:val="002060"/>
                <w:sz w:val="16"/>
                <w:szCs w:val="16"/>
              </w:rPr>
            </w:pPr>
            <w:r w:rsidRPr="00405303">
              <w:rPr>
                <w:bCs/>
                <w:color w:val="002060"/>
                <w:sz w:val="16"/>
                <w:szCs w:val="16"/>
              </w:rPr>
              <w:t xml:space="preserve">148 </w:t>
            </w:r>
          </w:p>
        </w:tc>
        <w:tc>
          <w:tcPr>
            <w:tcW w:w="728" w:type="dxa"/>
          </w:tcPr>
          <w:p w14:paraId="1E4AE8FA" w14:textId="77777777" w:rsidR="004B4E35" w:rsidRPr="00405303" w:rsidRDefault="009E6F82" w:rsidP="00C15251">
            <w:pPr>
              <w:jc w:val="both"/>
              <w:rPr>
                <w:bCs/>
                <w:color w:val="002060"/>
                <w:sz w:val="16"/>
                <w:szCs w:val="16"/>
              </w:rPr>
            </w:pPr>
            <w:r w:rsidRPr="00405303">
              <w:rPr>
                <w:bCs/>
                <w:color w:val="002060"/>
                <w:sz w:val="16"/>
                <w:szCs w:val="16"/>
              </w:rPr>
              <w:t xml:space="preserve">196 </w:t>
            </w:r>
          </w:p>
        </w:tc>
        <w:tc>
          <w:tcPr>
            <w:tcW w:w="1031" w:type="dxa"/>
          </w:tcPr>
          <w:p w14:paraId="3AD87DD6"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31" w:type="dxa"/>
          </w:tcPr>
          <w:p w14:paraId="1E604B5E" w14:textId="77777777" w:rsidR="004B4E35" w:rsidRPr="00405303" w:rsidRDefault="009E6F82" w:rsidP="00C15251">
            <w:pPr>
              <w:jc w:val="both"/>
              <w:rPr>
                <w:bCs/>
                <w:color w:val="002060"/>
                <w:sz w:val="16"/>
                <w:szCs w:val="16"/>
              </w:rPr>
            </w:pPr>
            <w:r w:rsidRPr="00405303">
              <w:rPr>
                <w:bCs/>
                <w:color w:val="002060"/>
                <w:sz w:val="16"/>
                <w:szCs w:val="16"/>
              </w:rPr>
              <w:t xml:space="preserve">725 </w:t>
            </w:r>
          </w:p>
        </w:tc>
        <w:tc>
          <w:tcPr>
            <w:tcW w:w="1031" w:type="dxa"/>
          </w:tcPr>
          <w:p w14:paraId="6F3819B5" w14:textId="77777777" w:rsidR="004B4E35" w:rsidRPr="00405303" w:rsidRDefault="009E6F82" w:rsidP="00C15251">
            <w:pPr>
              <w:jc w:val="both"/>
              <w:rPr>
                <w:bCs/>
                <w:color w:val="002060"/>
                <w:sz w:val="16"/>
                <w:szCs w:val="16"/>
              </w:rPr>
            </w:pPr>
            <w:r w:rsidRPr="00405303">
              <w:rPr>
                <w:bCs/>
                <w:color w:val="002060"/>
                <w:sz w:val="16"/>
                <w:szCs w:val="16"/>
              </w:rPr>
              <w:t xml:space="preserve">944 </w:t>
            </w:r>
          </w:p>
        </w:tc>
        <w:tc>
          <w:tcPr>
            <w:tcW w:w="1062" w:type="dxa"/>
          </w:tcPr>
          <w:p w14:paraId="563F164F"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62" w:type="dxa"/>
          </w:tcPr>
          <w:p w14:paraId="4D47C1B8" w14:textId="77777777" w:rsidR="004B4E35" w:rsidRPr="00405303" w:rsidRDefault="009E6F82" w:rsidP="00C15251">
            <w:pPr>
              <w:jc w:val="both"/>
              <w:rPr>
                <w:bCs/>
                <w:color w:val="002060"/>
                <w:sz w:val="16"/>
                <w:szCs w:val="16"/>
              </w:rPr>
            </w:pPr>
            <w:r w:rsidRPr="00405303">
              <w:rPr>
                <w:bCs/>
                <w:color w:val="002060"/>
                <w:sz w:val="16"/>
                <w:szCs w:val="16"/>
              </w:rPr>
              <w:t xml:space="preserve">674 </w:t>
            </w:r>
          </w:p>
        </w:tc>
        <w:tc>
          <w:tcPr>
            <w:tcW w:w="1062" w:type="dxa"/>
          </w:tcPr>
          <w:p w14:paraId="54DF94B2" w14:textId="77777777" w:rsidR="004B4E35" w:rsidRPr="00405303" w:rsidRDefault="009E6F82" w:rsidP="00C15251">
            <w:pPr>
              <w:jc w:val="both"/>
              <w:rPr>
                <w:bCs/>
                <w:color w:val="002060"/>
                <w:sz w:val="16"/>
                <w:szCs w:val="16"/>
              </w:rPr>
            </w:pPr>
            <w:r w:rsidRPr="00405303">
              <w:rPr>
                <w:bCs/>
                <w:color w:val="002060"/>
                <w:sz w:val="16"/>
                <w:szCs w:val="16"/>
              </w:rPr>
              <w:t xml:space="preserve">1331 </w:t>
            </w:r>
          </w:p>
        </w:tc>
      </w:tr>
      <w:tr w:rsidR="004B4E35" w:rsidRPr="00405303" w14:paraId="0E18BDE5" w14:textId="77777777">
        <w:tc>
          <w:tcPr>
            <w:tcW w:w="893" w:type="dxa"/>
          </w:tcPr>
          <w:p w14:paraId="78FDA833" w14:textId="77777777" w:rsidR="004B4E35" w:rsidRPr="00405303" w:rsidRDefault="009E6F82" w:rsidP="00C15251">
            <w:pPr>
              <w:jc w:val="both"/>
              <w:rPr>
                <w:bCs/>
                <w:color w:val="002060"/>
                <w:sz w:val="16"/>
                <w:szCs w:val="16"/>
              </w:rPr>
            </w:pPr>
            <w:r w:rsidRPr="00405303">
              <w:rPr>
                <w:bCs/>
                <w:color w:val="002060"/>
                <w:sz w:val="16"/>
                <w:szCs w:val="16"/>
              </w:rPr>
              <w:t xml:space="preserve">Февраль </w:t>
            </w:r>
          </w:p>
        </w:tc>
        <w:tc>
          <w:tcPr>
            <w:tcW w:w="728" w:type="dxa"/>
          </w:tcPr>
          <w:p w14:paraId="362AB1D3"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728" w:type="dxa"/>
          </w:tcPr>
          <w:p w14:paraId="1EF4CAE3" w14:textId="77777777" w:rsidR="004B4E35" w:rsidRPr="00405303" w:rsidRDefault="009E6F82" w:rsidP="00C15251">
            <w:pPr>
              <w:jc w:val="both"/>
              <w:rPr>
                <w:bCs/>
                <w:color w:val="002060"/>
                <w:sz w:val="16"/>
                <w:szCs w:val="16"/>
              </w:rPr>
            </w:pPr>
            <w:r w:rsidRPr="00405303">
              <w:rPr>
                <w:bCs/>
                <w:color w:val="002060"/>
                <w:sz w:val="16"/>
                <w:szCs w:val="16"/>
              </w:rPr>
              <w:t xml:space="preserve">169 </w:t>
            </w:r>
          </w:p>
        </w:tc>
        <w:tc>
          <w:tcPr>
            <w:tcW w:w="728" w:type="dxa"/>
          </w:tcPr>
          <w:p w14:paraId="30183B23" w14:textId="77777777" w:rsidR="004B4E35" w:rsidRPr="00405303" w:rsidRDefault="009E6F82" w:rsidP="00C15251">
            <w:pPr>
              <w:jc w:val="both"/>
              <w:rPr>
                <w:bCs/>
                <w:color w:val="002060"/>
                <w:sz w:val="16"/>
                <w:szCs w:val="16"/>
              </w:rPr>
            </w:pPr>
            <w:r w:rsidRPr="00405303">
              <w:rPr>
                <w:bCs/>
                <w:color w:val="002060"/>
                <w:sz w:val="16"/>
                <w:szCs w:val="16"/>
              </w:rPr>
              <w:t xml:space="preserve">165 </w:t>
            </w:r>
          </w:p>
        </w:tc>
        <w:tc>
          <w:tcPr>
            <w:tcW w:w="1031" w:type="dxa"/>
          </w:tcPr>
          <w:p w14:paraId="2CA16AEF"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31" w:type="dxa"/>
          </w:tcPr>
          <w:p w14:paraId="479015A9" w14:textId="77777777" w:rsidR="004B4E35" w:rsidRPr="00405303" w:rsidRDefault="009E6F82" w:rsidP="00C15251">
            <w:pPr>
              <w:jc w:val="both"/>
              <w:rPr>
                <w:bCs/>
                <w:color w:val="002060"/>
                <w:sz w:val="16"/>
                <w:szCs w:val="16"/>
              </w:rPr>
            </w:pPr>
            <w:r w:rsidRPr="00405303">
              <w:rPr>
                <w:bCs/>
                <w:color w:val="002060"/>
                <w:sz w:val="16"/>
                <w:szCs w:val="16"/>
              </w:rPr>
              <w:t xml:space="preserve">967 </w:t>
            </w:r>
          </w:p>
        </w:tc>
        <w:tc>
          <w:tcPr>
            <w:tcW w:w="1031" w:type="dxa"/>
          </w:tcPr>
          <w:p w14:paraId="7D9BCF21" w14:textId="77777777" w:rsidR="004B4E35" w:rsidRPr="00405303" w:rsidRDefault="009E6F82" w:rsidP="00C15251">
            <w:pPr>
              <w:jc w:val="both"/>
              <w:rPr>
                <w:bCs/>
                <w:color w:val="002060"/>
                <w:sz w:val="16"/>
                <w:szCs w:val="16"/>
              </w:rPr>
            </w:pPr>
            <w:r w:rsidRPr="00405303">
              <w:rPr>
                <w:bCs/>
                <w:color w:val="002060"/>
                <w:sz w:val="16"/>
                <w:szCs w:val="16"/>
              </w:rPr>
              <w:t xml:space="preserve">728 </w:t>
            </w:r>
          </w:p>
        </w:tc>
        <w:tc>
          <w:tcPr>
            <w:tcW w:w="1062" w:type="dxa"/>
          </w:tcPr>
          <w:p w14:paraId="5D6623EA"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62" w:type="dxa"/>
          </w:tcPr>
          <w:p w14:paraId="327CBCD2" w14:textId="77777777" w:rsidR="004B4E35" w:rsidRPr="00405303" w:rsidRDefault="009E6F82" w:rsidP="00C15251">
            <w:pPr>
              <w:jc w:val="both"/>
              <w:rPr>
                <w:bCs/>
                <w:color w:val="002060"/>
                <w:sz w:val="16"/>
                <w:szCs w:val="16"/>
              </w:rPr>
            </w:pPr>
            <w:r w:rsidRPr="00405303">
              <w:rPr>
                <w:bCs/>
                <w:color w:val="002060"/>
                <w:sz w:val="16"/>
                <w:szCs w:val="16"/>
              </w:rPr>
              <w:t xml:space="preserve">965 </w:t>
            </w:r>
          </w:p>
        </w:tc>
        <w:tc>
          <w:tcPr>
            <w:tcW w:w="1062" w:type="dxa"/>
          </w:tcPr>
          <w:p w14:paraId="7664A4F2" w14:textId="77777777" w:rsidR="004B4E35" w:rsidRPr="00405303" w:rsidRDefault="009E6F82" w:rsidP="00C15251">
            <w:pPr>
              <w:jc w:val="both"/>
              <w:rPr>
                <w:bCs/>
                <w:color w:val="002060"/>
                <w:sz w:val="16"/>
                <w:szCs w:val="16"/>
              </w:rPr>
            </w:pPr>
            <w:r w:rsidRPr="00405303">
              <w:rPr>
                <w:bCs/>
                <w:color w:val="002060"/>
                <w:sz w:val="16"/>
                <w:szCs w:val="16"/>
              </w:rPr>
              <w:t xml:space="preserve">882 </w:t>
            </w:r>
          </w:p>
        </w:tc>
      </w:tr>
      <w:tr w:rsidR="004B4E35" w:rsidRPr="00405303" w14:paraId="01EB3904" w14:textId="77777777">
        <w:tc>
          <w:tcPr>
            <w:tcW w:w="893" w:type="dxa"/>
          </w:tcPr>
          <w:p w14:paraId="6639B5E8" w14:textId="77777777" w:rsidR="004B4E35" w:rsidRPr="00405303" w:rsidRDefault="009E6F82" w:rsidP="00C15251">
            <w:pPr>
              <w:jc w:val="both"/>
              <w:rPr>
                <w:bCs/>
                <w:color w:val="002060"/>
                <w:sz w:val="16"/>
                <w:szCs w:val="16"/>
              </w:rPr>
            </w:pPr>
            <w:r w:rsidRPr="00405303">
              <w:rPr>
                <w:bCs/>
                <w:color w:val="002060"/>
                <w:sz w:val="16"/>
                <w:szCs w:val="16"/>
              </w:rPr>
              <w:t xml:space="preserve">Март </w:t>
            </w:r>
          </w:p>
        </w:tc>
        <w:tc>
          <w:tcPr>
            <w:tcW w:w="728" w:type="dxa"/>
          </w:tcPr>
          <w:p w14:paraId="4F047C91"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728" w:type="dxa"/>
          </w:tcPr>
          <w:p w14:paraId="7A2BA71B" w14:textId="77777777" w:rsidR="004B4E35" w:rsidRPr="00405303" w:rsidRDefault="009E6F82" w:rsidP="00C15251">
            <w:pPr>
              <w:jc w:val="both"/>
              <w:rPr>
                <w:bCs/>
                <w:color w:val="002060"/>
                <w:sz w:val="16"/>
                <w:szCs w:val="16"/>
              </w:rPr>
            </w:pPr>
            <w:r w:rsidRPr="00405303">
              <w:rPr>
                <w:bCs/>
                <w:color w:val="002060"/>
                <w:sz w:val="16"/>
                <w:szCs w:val="16"/>
              </w:rPr>
              <w:t xml:space="preserve">180 </w:t>
            </w:r>
          </w:p>
        </w:tc>
        <w:tc>
          <w:tcPr>
            <w:tcW w:w="728" w:type="dxa"/>
          </w:tcPr>
          <w:p w14:paraId="77B6AE3E" w14:textId="77777777" w:rsidR="004B4E35" w:rsidRPr="00405303" w:rsidRDefault="009E6F82" w:rsidP="00C15251">
            <w:pPr>
              <w:jc w:val="both"/>
              <w:rPr>
                <w:bCs/>
                <w:color w:val="002060"/>
                <w:sz w:val="16"/>
                <w:szCs w:val="16"/>
              </w:rPr>
            </w:pPr>
            <w:r w:rsidRPr="00405303">
              <w:rPr>
                <w:bCs/>
                <w:color w:val="002060"/>
                <w:sz w:val="16"/>
                <w:szCs w:val="16"/>
              </w:rPr>
              <w:t xml:space="preserve">201 </w:t>
            </w:r>
          </w:p>
        </w:tc>
        <w:tc>
          <w:tcPr>
            <w:tcW w:w="1031" w:type="dxa"/>
          </w:tcPr>
          <w:p w14:paraId="36476F0B"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31" w:type="dxa"/>
          </w:tcPr>
          <w:p w14:paraId="6D7BCFD6" w14:textId="77777777" w:rsidR="004B4E35" w:rsidRPr="00405303" w:rsidRDefault="009E6F82" w:rsidP="00C15251">
            <w:pPr>
              <w:jc w:val="both"/>
              <w:rPr>
                <w:bCs/>
                <w:color w:val="002060"/>
                <w:sz w:val="16"/>
                <w:szCs w:val="16"/>
              </w:rPr>
            </w:pPr>
            <w:r w:rsidRPr="00405303">
              <w:rPr>
                <w:bCs/>
                <w:color w:val="002060"/>
                <w:sz w:val="16"/>
                <w:szCs w:val="16"/>
              </w:rPr>
              <w:t xml:space="preserve">1021 </w:t>
            </w:r>
          </w:p>
        </w:tc>
        <w:tc>
          <w:tcPr>
            <w:tcW w:w="1031" w:type="dxa"/>
          </w:tcPr>
          <w:p w14:paraId="41E13296" w14:textId="77777777" w:rsidR="004B4E35" w:rsidRPr="00405303" w:rsidRDefault="009E6F82" w:rsidP="00C15251">
            <w:pPr>
              <w:jc w:val="both"/>
              <w:rPr>
                <w:bCs/>
                <w:color w:val="002060"/>
                <w:sz w:val="16"/>
                <w:szCs w:val="16"/>
              </w:rPr>
            </w:pPr>
            <w:r w:rsidRPr="00405303">
              <w:rPr>
                <w:bCs/>
                <w:color w:val="002060"/>
                <w:sz w:val="16"/>
                <w:szCs w:val="16"/>
              </w:rPr>
              <w:t xml:space="preserve">1230 </w:t>
            </w:r>
          </w:p>
        </w:tc>
        <w:tc>
          <w:tcPr>
            <w:tcW w:w="1062" w:type="dxa"/>
          </w:tcPr>
          <w:p w14:paraId="775E896B"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62" w:type="dxa"/>
          </w:tcPr>
          <w:p w14:paraId="00CAC16A" w14:textId="77777777" w:rsidR="004B4E35" w:rsidRPr="00405303" w:rsidRDefault="009E6F82" w:rsidP="00C15251">
            <w:pPr>
              <w:jc w:val="both"/>
              <w:rPr>
                <w:bCs/>
                <w:color w:val="002060"/>
                <w:sz w:val="16"/>
                <w:szCs w:val="16"/>
              </w:rPr>
            </w:pPr>
            <w:r w:rsidRPr="00405303">
              <w:rPr>
                <w:bCs/>
                <w:color w:val="002060"/>
                <w:sz w:val="16"/>
                <w:szCs w:val="16"/>
              </w:rPr>
              <w:t xml:space="preserve">1123 </w:t>
            </w:r>
          </w:p>
        </w:tc>
        <w:tc>
          <w:tcPr>
            <w:tcW w:w="1062" w:type="dxa"/>
          </w:tcPr>
          <w:p w14:paraId="7D6AB694" w14:textId="77777777" w:rsidR="004B4E35" w:rsidRPr="00405303" w:rsidRDefault="009E6F82" w:rsidP="00C15251">
            <w:pPr>
              <w:jc w:val="both"/>
              <w:rPr>
                <w:bCs/>
                <w:color w:val="002060"/>
                <w:sz w:val="16"/>
                <w:szCs w:val="16"/>
              </w:rPr>
            </w:pPr>
            <w:r w:rsidRPr="00405303">
              <w:rPr>
                <w:bCs/>
                <w:color w:val="002060"/>
                <w:sz w:val="16"/>
                <w:szCs w:val="16"/>
              </w:rPr>
              <w:t xml:space="preserve">1816 </w:t>
            </w:r>
          </w:p>
        </w:tc>
      </w:tr>
      <w:tr w:rsidR="004B4E35" w:rsidRPr="00405303" w14:paraId="30234ECF" w14:textId="77777777">
        <w:tc>
          <w:tcPr>
            <w:tcW w:w="893" w:type="dxa"/>
          </w:tcPr>
          <w:p w14:paraId="37F70706" w14:textId="77777777" w:rsidR="004B4E35" w:rsidRPr="00405303" w:rsidRDefault="009E6F82" w:rsidP="00C15251">
            <w:pPr>
              <w:jc w:val="both"/>
              <w:rPr>
                <w:bCs/>
                <w:color w:val="002060"/>
                <w:sz w:val="16"/>
                <w:szCs w:val="16"/>
              </w:rPr>
            </w:pPr>
            <w:r w:rsidRPr="00405303">
              <w:rPr>
                <w:bCs/>
                <w:color w:val="002060"/>
                <w:sz w:val="16"/>
                <w:szCs w:val="16"/>
              </w:rPr>
              <w:t xml:space="preserve">Апрель </w:t>
            </w:r>
          </w:p>
        </w:tc>
        <w:tc>
          <w:tcPr>
            <w:tcW w:w="728" w:type="dxa"/>
          </w:tcPr>
          <w:p w14:paraId="1AD55058"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728" w:type="dxa"/>
          </w:tcPr>
          <w:p w14:paraId="0477FE50" w14:textId="77777777" w:rsidR="004B4E35" w:rsidRPr="00405303" w:rsidRDefault="009E6F82" w:rsidP="00C15251">
            <w:pPr>
              <w:jc w:val="both"/>
              <w:rPr>
                <w:bCs/>
                <w:color w:val="002060"/>
                <w:sz w:val="16"/>
                <w:szCs w:val="16"/>
              </w:rPr>
            </w:pPr>
            <w:r w:rsidRPr="00405303">
              <w:rPr>
                <w:bCs/>
                <w:color w:val="002060"/>
                <w:sz w:val="16"/>
                <w:szCs w:val="16"/>
              </w:rPr>
              <w:t xml:space="preserve">183 </w:t>
            </w:r>
          </w:p>
        </w:tc>
        <w:tc>
          <w:tcPr>
            <w:tcW w:w="728" w:type="dxa"/>
          </w:tcPr>
          <w:p w14:paraId="0A63FB56" w14:textId="77777777" w:rsidR="004B4E35" w:rsidRPr="00405303" w:rsidRDefault="009E6F82" w:rsidP="00C15251">
            <w:pPr>
              <w:jc w:val="both"/>
              <w:rPr>
                <w:bCs/>
                <w:color w:val="002060"/>
                <w:sz w:val="16"/>
                <w:szCs w:val="16"/>
              </w:rPr>
            </w:pPr>
            <w:r w:rsidRPr="00405303">
              <w:rPr>
                <w:bCs/>
                <w:color w:val="002060"/>
                <w:sz w:val="16"/>
                <w:szCs w:val="16"/>
              </w:rPr>
              <w:t xml:space="preserve">231 </w:t>
            </w:r>
          </w:p>
        </w:tc>
        <w:tc>
          <w:tcPr>
            <w:tcW w:w="1031" w:type="dxa"/>
          </w:tcPr>
          <w:p w14:paraId="38ADD587"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31" w:type="dxa"/>
          </w:tcPr>
          <w:p w14:paraId="7FE57A39" w14:textId="77777777" w:rsidR="004B4E35" w:rsidRPr="00405303" w:rsidRDefault="009E6F82" w:rsidP="00C15251">
            <w:pPr>
              <w:jc w:val="both"/>
              <w:rPr>
                <w:bCs/>
                <w:color w:val="002060"/>
                <w:sz w:val="16"/>
                <w:szCs w:val="16"/>
              </w:rPr>
            </w:pPr>
            <w:r w:rsidRPr="00405303">
              <w:rPr>
                <w:bCs/>
                <w:color w:val="002060"/>
                <w:sz w:val="16"/>
                <w:szCs w:val="16"/>
              </w:rPr>
              <w:t xml:space="preserve">1526 </w:t>
            </w:r>
          </w:p>
        </w:tc>
        <w:tc>
          <w:tcPr>
            <w:tcW w:w="1031" w:type="dxa"/>
          </w:tcPr>
          <w:p w14:paraId="218EE946" w14:textId="77777777" w:rsidR="004B4E35" w:rsidRPr="00405303" w:rsidRDefault="009E6F82" w:rsidP="00C15251">
            <w:pPr>
              <w:jc w:val="both"/>
              <w:rPr>
                <w:bCs/>
                <w:color w:val="002060"/>
                <w:sz w:val="16"/>
                <w:szCs w:val="16"/>
              </w:rPr>
            </w:pPr>
            <w:r w:rsidRPr="00405303">
              <w:rPr>
                <w:bCs/>
                <w:color w:val="002060"/>
                <w:sz w:val="16"/>
                <w:szCs w:val="16"/>
              </w:rPr>
              <w:t xml:space="preserve">1454 </w:t>
            </w:r>
          </w:p>
        </w:tc>
        <w:tc>
          <w:tcPr>
            <w:tcW w:w="1062" w:type="dxa"/>
          </w:tcPr>
          <w:p w14:paraId="0297F2FB"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62" w:type="dxa"/>
          </w:tcPr>
          <w:p w14:paraId="1A5144C7" w14:textId="77777777" w:rsidR="004B4E35" w:rsidRPr="00405303" w:rsidRDefault="009E6F82" w:rsidP="00C15251">
            <w:pPr>
              <w:jc w:val="both"/>
              <w:rPr>
                <w:bCs/>
                <w:color w:val="002060"/>
                <w:sz w:val="16"/>
                <w:szCs w:val="16"/>
              </w:rPr>
            </w:pPr>
            <w:r w:rsidRPr="00405303">
              <w:rPr>
                <w:bCs/>
                <w:color w:val="002060"/>
                <w:sz w:val="16"/>
                <w:szCs w:val="16"/>
              </w:rPr>
              <w:t xml:space="preserve">1912 </w:t>
            </w:r>
          </w:p>
        </w:tc>
        <w:tc>
          <w:tcPr>
            <w:tcW w:w="1062" w:type="dxa"/>
          </w:tcPr>
          <w:p w14:paraId="3AC8459C" w14:textId="77777777" w:rsidR="004B4E35" w:rsidRPr="00405303" w:rsidRDefault="009E6F82" w:rsidP="00C15251">
            <w:pPr>
              <w:jc w:val="both"/>
              <w:rPr>
                <w:bCs/>
                <w:color w:val="002060"/>
                <w:sz w:val="16"/>
                <w:szCs w:val="16"/>
              </w:rPr>
            </w:pPr>
            <w:r w:rsidRPr="00405303">
              <w:rPr>
                <w:bCs/>
                <w:color w:val="002060"/>
                <w:sz w:val="16"/>
                <w:szCs w:val="16"/>
              </w:rPr>
              <w:t xml:space="preserve">2059 </w:t>
            </w:r>
          </w:p>
        </w:tc>
      </w:tr>
      <w:tr w:rsidR="004B4E35" w:rsidRPr="00405303" w14:paraId="07A2403F" w14:textId="77777777">
        <w:tc>
          <w:tcPr>
            <w:tcW w:w="893" w:type="dxa"/>
          </w:tcPr>
          <w:p w14:paraId="55932C92" w14:textId="77777777" w:rsidR="004B4E35" w:rsidRPr="00405303" w:rsidRDefault="009E6F82" w:rsidP="00C15251">
            <w:pPr>
              <w:jc w:val="both"/>
              <w:rPr>
                <w:bCs/>
                <w:color w:val="002060"/>
                <w:sz w:val="16"/>
                <w:szCs w:val="16"/>
              </w:rPr>
            </w:pPr>
            <w:r w:rsidRPr="00405303">
              <w:rPr>
                <w:bCs/>
                <w:color w:val="002060"/>
                <w:sz w:val="16"/>
                <w:szCs w:val="16"/>
              </w:rPr>
              <w:t xml:space="preserve">Май </w:t>
            </w:r>
          </w:p>
        </w:tc>
        <w:tc>
          <w:tcPr>
            <w:tcW w:w="728" w:type="dxa"/>
          </w:tcPr>
          <w:p w14:paraId="0A21C0EC"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728" w:type="dxa"/>
          </w:tcPr>
          <w:p w14:paraId="4BF2D614" w14:textId="77777777" w:rsidR="004B4E35" w:rsidRPr="00405303" w:rsidRDefault="009E6F82" w:rsidP="00C15251">
            <w:pPr>
              <w:jc w:val="both"/>
              <w:rPr>
                <w:bCs/>
                <w:color w:val="002060"/>
                <w:sz w:val="16"/>
                <w:szCs w:val="16"/>
              </w:rPr>
            </w:pPr>
            <w:r w:rsidRPr="00405303">
              <w:rPr>
                <w:bCs/>
                <w:color w:val="002060"/>
                <w:sz w:val="16"/>
                <w:szCs w:val="16"/>
              </w:rPr>
              <w:t xml:space="preserve">193 </w:t>
            </w:r>
          </w:p>
        </w:tc>
        <w:tc>
          <w:tcPr>
            <w:tcW w:w="728" w:type="dxa"/>
          </w:tcPr>
          <w:p w14:paraId="3E0BADE2" w14:textId="77777777" w:rsidR="004B4E35" w:rsidRPr="00405303" w:rsidRDefault="009E6F82" w:rsidP="00C15251">
            <w:pPr>
              <w:jc w:val="both"/>
              <w:rPr>
                <w:bCs/>
                <w:color w:val="002060"/>
                <w:sz w:val="16"/>
                <w:szCs w:val="16"/>
              </w:rPr>
            </w:pPr>
            <w:r w:rsidRPr="00405303">
              <w:rPr>
                <w:bCs/>
                <w:color w:val="002060"/>
                <w:sz w:val="16"/>
                <w:szCs w:val="16"/>
              </w:rPr>
              <w:t xml:space="preserve">256 </w:t>
            </w:r>
          </w:p>
        </w:tc>
        <w:tc>
          <w:tcPr>
            <w:tcW w:w="1031" w:type="dxa"/>
          </w:tcPr>
          <w:p w14:paraId="611A912A"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31" w:type="dxa"/>
          </w:tcPr>
          <w:p w14:paraId="533FDED5" w14:textId="77777777" w:rsidR="004B4E35" w:rsidRPr="00405303" w:rsidRDefault="009E6F82" w:rsidP="00C15251">
            <w:pPr>
              <w:jc w:val="both"/>
              <w:rPr>
                <w:bCs/>
                <w:color w:val="002060"/>
                <w:sz w:val="16"/>
                <w:szCs w:val="16"/>
              </w:rPr>
            </w:pPr>
            <w:r w:rsidRPr="00405303">
              <w:rPr>
                <w:bCs/>
                <w:color w:val="002060"/>
                <w:sz w:val="16"/>
                <w:szCs w:val="16"/>
              </w:rPr>
              <w:t xml:space="preserve">1713 </w:t>
            </w:r>
          </w:p>
        </w:tc>
        <w:tc>
          <w:tcPr>
            <w:tcW w:w="1031" w:type="dxa"/>
          </w:tcPr>
          <w:p w14:paraId="545484C4" w14:textId="77777777" w:rsidR="004B4E35" w:rsidRPr="00405303" w:rsidRDefault="009E6F82" w:rsidP="00C15251">
            <w:pPr>
              <w:jc w:val="both"/>
              <w:rPr>
                <w:bCs/>
                <w:color w:val="002060"/>
                <w:sz w:val="16"/>
                <w:szCs w:val="16"/>
              </w:rPr>
            </w:pPr>
            <w:r w:rsidRPr="00405303">
              <w:rPr>
                <w:bCs/>
                <w:color w:val="002060"/>
                <w:sz w:val="16"/>
                <w:szCs w:val="16"/>
              </w:rPr>
              <w:t xml:space="preserve">2234 </w:t>
            </w:r>
          </w:p>
        </w:tc>
        <w:tc>
          <w:tcPr>
            <w:tcW w:w="1062" w:type="dxa"/>
          </w:tcPr>
          <w:p w14:paraId="497648EA"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62" w:type="dxa"/>
          </w:tcPr>
          <w:p w14:paraId="59D8208F" w14:textId="77777777" w:rsidR="004B4E35" w:rsidRPr="00405303" w:rsidRDefault="009E6F82" w:rsidP="00C15251">
            <w:pPr>
              <w:jc w:val="both"/>
              <w:rPr>
                <w:bCs/>
                <w:color w:val="002060"/>
                <w:sz w:val="16"/>
                <w:szCs w:val="16"/>
              </w:rPr>
            </w:pPr>
            <w:r w:rsidRPr="00405303">
              <w:rPr>
                <w:bCs/>
                <w:color w:val="002060"/>
                <w:sz w:val="16"/>
                <w:szCs w:val="16"/>
              </w:rPr>
              <w:t xml:space="preserve">1954 </w:t>
            </w:r>
          </w:p>
        </w:tc>
        <w:tc>
          <w:tcPr>
            <w:tcW w:w="1062" w:type="dxa"/>
          </w:tcPr>
          <w:p w14:paraId="5365E8D6" w14:textId="77777777" w:rsidR="004B4E35" w:rsidRPr="00405303" w:rsidRDefault="009E6F82" w:rsidP="00C15251">
            <w:pPr>
              <w:jc w:val="both"/>
              <w:rPr>
                <w:bCs/>
                <w:color w:val="002060"/>
                <w:sz w:val="16"/>
                <w:szCs w:val="16"/>
              </w:rPr>
            </w:pPr>
            <w:r w:rsidRPr="00405303">
              <w:rPr>
                <w:bCs/>
                <w:color w:val="002060"/>
                <w:sz w:val="16"/>
                <w:szCs w:val="16"/>
              </w:rPr>
              <w:t xml:space="preserve">3101 </w:t>
            </w:r>
          </w:p>
        </w:tc>
      </w:tr>
      <w:tr w:rsidR="004B4E35" w:rsidRPr="00405303" w14:paraId="3B1FC11A" w14:textId="77777777">
        <w:tc>
          <w:tcPr>
            <w:tcW w:w="893" w:type="dxa"/>
          </w:tcPr>
          <w:p w14:paraId="768776F1" w14:textId="77777777" w:rsidR="004B4E35" w:rsidRPr="00405303" w:rsidRDefault="009E6F82" w:rsidP="00C15251">
            <w:pPr>
              <w:jc w:val="both"/>
              <w:rPr>
                <w:bCs/>
                <w:color w:val="002060"/>
                <w:sz w:val="16"/>
                <w:szCs w:val="16"/>
              </w:rPr>
            </w:pPr>
            <w:r w:rsidRPr="00405303">
              <w:rPr>
                <w:bCs/>
                <w:color w:val="002060"/>
                <w:sz w:val="16"/>
                <w:szCs w:val="16"/>
              </w:rPr>
              <w:t xml:space="preserve">Июнь </w:t>
            </w:r>
          </w:p>
        </w:tc>
        <w:tc>
          <w:tcPr>
            <w:tcW w:w="728" w:type="dxa"/>
          </w:tcPr>
          <w:p w14:paraId="45EAF562"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728" w:type="dxa"/>
          </w:tcPr>
          <w:p w14:paraId="61D497ED" w14:textId="77777777" w:rsidR="004B4E35" w:rsidRPr="00405303" w:rsidRDefault="009E6F82" w:rsidP="00C15251">
            <w:pPr>
              <w:jc w:val="both"/>
              <w:rPr>
                <w:bCs/>
                <w:color w:val="002060"/>
                <w:sz w:val="16"/>
                <w:szCs w:val="16"/>
              </w:rPr>
            </w:pPr>
            <w:r w:rsidRPr="00405303">
              <w:rPr>
                <w:bCs/>
                <w:color w:val="002060"/>
                <w:sz w:val="16"/>
                <w:szCs w:val="16"/>
              </w:rPr>
              <w:t xml:space="preserve">191 </w:t>
            </w:r>
          </w:p>
        </w:tc>
        <w:tc>
          <w:tcPr>
            <w:tcW w:w="728" w:type="dxa"/>
          </w:tcPr>
          <w:p w14:paraId="33D54B72" w14:textId="77777777" w:rsidR="004B4E35" w:rsidRPr="00405303" w:rsidRDefault="009E6F82" w:rsidP="00C15251">
            <w:pPr>
              <w:jc w:val="both"/>
              <w:rPr>
                <w:bCs/>
                <w:color w:val="002060"/>
                <w:sz w:val="16"/>
                <w:szCs w:val="16"/>
              </w:rPr>
            </w:pPr>
            <w:r w:rsidRPr="00405303">
              <w:rPr>
                <w:bCs/>
                <w:color w:val="002060"/>
                <w:sz w:val="16"/>
                <w:szCs w:val="16"/>
              </w:rPr>
              <w:t xml:space="preserve">265 </w:t>
            </w:r>
          </w:p>
        </w:tc>
        <w:tc>
          <w:tcPr>
            <w:tcW w:w="1031" w:type="dxa"/>
          </w:tcPr>
          <w:p w14:paraId="18BC20EB"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31" w:type="dxa"/>
          </w:tcPr>
          <w:p w14:paraId="04479C4F" w14:textId="77777777" w:rsidR="004B4E35" w:rsidRPr="00405303" w:rsidRDefault="009E6F82" w:rsidP="00C15251">
            <w:pPr>
              <w:jc w:val="both"/>
              <w:rPr>
                <w:bCs/>
                <w:color w:val="002060"/>
                <w:sz w:val="16"/>
                <w:szCs w:val="16"/>
              </w:rPr>
            </w:pPr>
            <w:r w:rsidRPr="00405303">
              <w:rPr>
                <w:bCs/>
                <w:color w:val="002060"/>
                <w:sz w:val="16"/>
                <w:szCs w:val="16"/>
              </w:rPr>
              <w:t xml:space="preserve">1603 </w:t>
            </w:r>
          </w:p>
        </w:tc>
        <w:tc>
          <w:tcPr>
            <w:tcW w:w="1031" w:type="dxa"/>
          </w:tcPr>
          <w:p w14:paraId="4A443A5F" w14:textId="77777777" w:rsidR="004B4E35" w:rsidRPr="00405303" w:rsidRDefault="009E6F82" w:rsidP="00C15251">
            <w:pPr>
              <w:jc w:val="both"/>
              <w:rPr>
                <w:bCs/>
                <w:color w:val="002060"/>
                <w:sz w:val="16"/>
                <w:szCs w:val="16"/>
              </w:rPr>
            </w:pPr>
            <w:r w:rsidRPr="00405303">
              <w:rPr>
                <w:bCs/>
                <w:color w:val="002060"/>
                <w:sz w:val="16"/>
                <w:szCs w:val="16"/>
              </w:rPr>
              <w:t xml:space="preserve">1441 </w:t>
            </w:r>
          </w:p>
        </w:tc>
        <w:tc>
          <w:tcPr>
            <w:tcW w:w="1062" w:type="dxa"/>
          </w:tcPr>
          <w:p w14:paraId="368026C7"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62" w:type="dxa"/>
          </w:tcPr>
          <w:p w14:paraId="6D5C7915" w14:textId="77777777" w:rsidR="004B4E35" w:rsidRPr="00405303" w:rsidRDefault="009E6F82" w:rsidP="00C15251">
            <w:pPr>
              <w:jc w:val="both"/>
              <w:rPr>
                <w:bCs/>
                <w:color w:val="002060"/>
                <w:sz w:val="16"/>
                <w:szCs w:val="16"/>
              </w:rPr>
            </w:pPr>
            <w:r w:rsidRPr="00405303">
              <w:rPr>
                <w:bCs/>
                <w:color w:val="002060"/>
                <w:sz w:val="16"/>
                <w:szCs w:val="16"/>
              </w:rPr>
              <w:t xml:space="preserve">1728 </w:t>
            </w:r>
          </w:p>
        </w:tc>
        <w:tc>
          <w:tcPr>
            <w:tcW w:w="1062" w:type="dxa"/>
          </w:tcPr>
          <w:p w14:paraId="0F9DFDD6" w14:textId="77777777" w:rsidR="004B4E35" w:rsidRPr="00405303" w:rsidRDefault="009E6F82" w:rsidP="00C15251">
            <w:pPr>
              <w:jc w:val="both"/>
              <w:rPr>
                <w:bCs/>
                <w:color w:val="002060"/>
                <w:sz w:val="16"/>
                <w:szCs w:val="16"/>
              </w:rPr>
            </w:pPr>
            <w:r w:rsidRPr="00405303">
              <w:rPr>
                <w:bCs/>
                <w:color w:val="002060"/>
                <w:sz w:val="16"/>
                <w:szCs w:val="16"/>
              </w:rPr>
              <w:t xml:space="preserve">2592 </w:t>
            </w:r>
          </w:p>
        </w:tc>
      </w:tr>
      <w:tr w:rsidR="004B4E35" w:rsidRPr="00405303" w14:paraId="356B1F4A" w14:textId="77777777">
        <w:tc>
          <w:tcPr>
            <w:tcW w:w="893" w:type="dxa"/>
          </w:tcPr>
          <w:p w14:paraId="4C3FCB6D" w14:textId="77777777" w:rsidR="004B4E35" w:rsidRPr="00405303" w:rsidRDefault="009E6F82" w:rsidP="00C15251">
            <w:pPr>
              <w:jc w:val="both"/>
              <w:rPr>
                <w:bCs/>
                <w:color w:val="002060"/>
                <w:sz w:val="16"/>
                <w:szCs w:val="16"/>
              </w:rPr>
            </w:pPr>
            <w:r w:rsidRPr="00405303">
              <w:rPr>
                <w:bCs/>
                <w:color w:val="002060"/>
                <w:sz w:val="16"/>
                <w:szCs w:val="16"/>
              </w:rPr>
              <w:t xml:space="preserve">Июль </w:t>
            </w:r>
          </w:p>
        </w:tc>
        <w:tc>
          <w:tcPr>
            <w:tcW w:w="728" w:type="dxa"/>
          </w:tcPr>
          <w:p w14:paraId="466BEB4A" w14:textId="77777777" w:rsidR="004B4E35" w:rsidRPr="00405303" w:rsidRDefault="009E6F82" w:rsidP="00C15251">
            <w:pPr>
              <w:jc w:val="both"/>
              <w:rPr>
                <w:bCs/>
                <w:color w:val="002060"/>
                <w:sz w:val="16"/>
                <w:szCs w:val="16"/>
              </w:rPr>
            </w:pPr>
            <w:r w:rsidRPr="00405303">
              <w:rPr>
                <w:bCs/>
                <w:color w:val="002060"/>
                <w:sz w:val="16"/>
                <w:szCs w:val="16"/>
              </w:rPr>
              <w:t xml:space="preserve">129 </w:t>
            </w:r>
          </w:p>
        </w:tc>
        <w:tc>
          <w:tcPr>
            <w:tcW w:w="728" w:type="dxa"/>
          </w:tcPr>
          <w:p w14:paraId="352E55CB" w14:textId="77777777" w:rsidR="004B4E35" w:rsidRPr="00405303" w:rsidRDefault="009E6F82" w:rsidP="00C15251">
            <w:pPr>
              <w:jc w:val="both"/>
              <w:rPr>
                <w:bCs/>
                <w:color w:val="002060"/>
                <w:sz w:val="16"/>
                <w:szCs w:val="16"/>
              </w:rPr>
            </w:pPr>
            <w:r w:rsidRPr="00405303">
              <w:rPr>
                <w:bCs/>
                <w:color w:val="002060"/>
                <w:sz w:val="16"/>
                <w:szCs w:val="16"/>
              </w:rPr>
              <w:t xml:space="preserve">202 </w:t>
            </w:r>
          </w:p>
        </w:tc>
        <w:tc>
          <w:tcPr>
            <w:tcW w:w="728" w:type="dxa"/>
          </w:tcPr>
          <w:p w14:paraId="4D9E1367" w14:textId="77777777" w:rsidR="004B4E35" w:rsidRPr="00405303" w:rsidRDefault="009E6F82" w:rsidP="00C15251">
            <w:pPr>
              <w:jc w:val="both"/>
              <w:rPr>
                <w:bCs/>
                <w:color w:val="002060"/>
                <w:sz w:val="16"/>
                <w:szCs w:val="16"/>
              </w:rPr>
            </w:pPr>
            <w:r w:rsidRPr="00405303">
              <w:rPr>
                <w:bCs/>
                <w:color w:val="002060"/>
                <w:sz w:val="16"/>
                <w:szCs w:val="16"/>
              </w:rPr>
              <w:t xml:space="preserve">299 </w:t>
            </w:r>
          </w:p>
        </w:tc>
        <w:tc>
          <w:tcPr>
            <w:tcW w:w="1031" w:type="dxa"/>
          </w:tcPr>
          <w:p w14:paraId="445B3B46" w14:textId="77777777" w:rsidR="004B4E35" w:rsidRPr="00405303" w:rsidRDefault="009E6F82" w:rsidP="00C15251">
            <w:pPr>
              <w:jc w:val="both"/>
              <w:rPr>
                <w:bCs/>
                <w:color w:val="002060"/>
                <w:sz w:val="16"/>
                <w:szCs w:val="16"/>
              </w:rPr>
            </w:pPr>
            <w:r w:rsidRPr="00405303">
              <w:rPr>
                <w:bCs/>
                <w:color w:val="002060"/>
                <w:sz w:val="16"/>
                <w:szCs w:val="16"/>
              </w:rPr>
              <w:t xml:space="preserve">1162 </w:t>
            </w:r>
          </w:p>
        </w:tc>
        <w:tc>
          <w:tcPr>
            <w:tcW w:w="1031" w:type="dxa"/>
          </w:tcPr>
          <w:p w14:paraId="7AFDB2A2" w14:textId="77777777" w:rsidR="004B4E35" w:rsidRPr="00405303" w:rsidRDefault="009E6F82" w:rsidP="00C15251">
            <w:pPr>
              <w:jc w:val="both"/>
              <w:rPr>
                <w:bCs/>
                <w:color w:val="002060"/>
                <w:sz w:val="16"/>
                <w:szCs w:val="16"/>
              </w:rPr>
            </w:pPr>
            <w:r w:rsidRPr="00405303">
              <w:rPr>
                <w:bCs/>
                <w:color w:val="002060"/>
                <w:sz w:val="16"/>
                <w:szCs w:val="16"/>
              </w:rPr>
              <w:t xml:space="preserve">1841 </w:t>
            </w:r>
          </w:p>
        </w:tc>
        <w:tc>
          <w:tcPr>
            <w:tcW w:w="1031" w:type="dxa"/>
          </w:tcPr>
          <w:p w14:paraId="71BAF89E" w14:textId="77777777" w:rsidR="004B4E35" w:rsidRPr="00405303" w:rsidRDefault="009E6F82" w:rsidP="00C15251">
            <w:pPr>
              <w:jc w:val="both"/>
              <w:rPr>
                <w:bCs/>
                <w:color w:val="002060"/>
                <w:sz w:val="16"/>
                <w:szCs w:val="16"/>
              </w:rPr>
            </w:pPr>
            <w:r w:rsidRPr="00405303">
              <w:rPr>
                <w:bCs/>
                <w:color w:val="002060"/>
                <w:sz w:val="16"/>
                <w:szCs w:val="16"/>
              </w:rPr>
              <w:t xml:space="preserve">1347 </w:t>
            </w:r>
          </w:p>
        </w:tc>
        <w:tc>
          <w:tcPr>
            <w:tcW w:w="1062" w:type="dxa"/>
          </w:tcPr>
          <w:p w14:paraId="2CE0CAB3" w14:textId="77777777" w:rsidR="004B4E35" w:rsidRPr="00405303" w:rsidRDefault="009E6F82" w:rsidP="00C15251">
            <w:pPr>
              <w:jc w:val="both"/>
              <w:rPr>
                <w:bCs/>
                <w:color w:val="002060"/>
                <w:sz w:val="16"/>
                <w:szCs w:val="16"/>
              </w:rPr>
            </w:pPr>
            <w:r w:rsidRPr="00405303">
              <w:rPr>
                <w:bCs/>
                <w:color w:val="002060"/>
                <w:sz w:val="16"/>
                <w:szCs w:val="16"/>
              </w:rPr>
              <w:t xml:space="preserve">1151 </w:t>
            </w:r>
          </w:p>
        </w:tc>
        <w:tc>
          <w:tcPr>
            <w:tcW w:w="1062" w:type="dxa"/>
          </w:tcPr>
          <w:p w14:paraId="46CCEDE6" w14:textId="77777777" w:rsidR="004B4E35" w:rsidRPr="00405303" w:rsidRDefault="009E6F82" w:rsidP="00C15251">
            <w:pPr>
              <w:jc w:val="both"/>
              <w:rPr>
                <w:bCs/>
                <w:color w:val="002060"/>
                <w:sz w:val="16"/>
                <w:szCs w:val="16"/>
              </w:rPr>
            </w:pPr>
            <w:r w:rsidRPr="00405303">
              <w:rPr>
                <w:bCs/>
                <w:color w:val="002060"/>
                <w:sz w:val="16"/>
                <w:szCs w:val="16"/>
              </w:rPr>
              <w:t xml:space="preserve">2150 </w:t>
            </w:r>
          </w:p>
        </w:tc>
        <w:tc>
          <w:tcPr>
            <w:tcW w:w="1062" w:type="dxa"/>
          </w:tcPr>
          <w:p w14:paraId="3ECF6539" w14:textId="77777777" w:rsidR="004B4E35" w:rsidRPr="00405303" w:rsidRDefault="009E6F82" w:rsidP="00C15251">
            <w:pPr>
              <w:jc w:val="both"/>
              <w:rPr>
                <w:bCs/>
                <w:color w:val="002060"/>
                <w:sz w:val="16"/>
                <w:szCs w:val="16"/>
              </w:rPr>
            </w:pPr>
            <w:r w:rsidRPr="00405303">
              <w:rPr>
                <w:bCs/>
                <w:color w:val="002060"/>
                <w:sz w:val="16"/>
                <w:szCs w:val="16"/>
              </w:rPr>
              <w:t xml:space="preserve">2440 </w:t>
            </w:r>
          </w:p>
        </w:tc>
      </w:tr>
      <w:tr w:rsidR="004B4E35" w:rsidRPr="00405303" w14:paraId="65115FD4" w14:textId="77777777">
        <w:tc>
          <w:tcPr>
            <w:tcW w:w="893" w:type="dxa"/>
          </w:tcPr>
          <w:p w14:paraId="699C1CB7" w14:textId="77777777" w:rsidR="004B4E35" w:rsidRPr="00405303" w:rsidRDefault="009E6F82" w:rsidP="00C15251">
            <w:pPr>
              <w:jc w:val="both"/>
              <w:rPr>
                <w:bCs/>
                <w:color w:val="002060"/>
                <w:sz w:val="16"/>
                <w:szCs w:val="16"/>
              </w:rPr>
            </w:pPr>
            <w:r w:rsidRPr="00405303">
              <w:rPr>
                <w:bCs/>
                <w:color w:val="002060"/>
                <w:sz w:val="16"/>
                <w:szCs w:val="16"/>
              </w:rPr>
              <w:t xml:space="preserve">Август </w:t>
            </w:r>
          </w:p>
        </w:tc>
        <w:tc>
          <w:tcPr>
            <w:tcW w:w="728" w:type="dxa"/>
          </w:tcPr>
          <w:p w14:paraId="25069995"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728" w:type="dxa"/>
          </w:tcPr>
          <w:p w14:paraId="093EC1B3" w14:textId="77777777" w:rsidR="004B4E35" w:rsidRPr="00405303" w:rsidRDefault="009E6F82" w:rsidP="00C15251">
            <w:pPr>
              <w:jc w:val="both"/>
              <w:rPr>
                <w:bCs/>
                <w:color w:val="002060"/>
                <w:sz w:val="16"/>
                <w:szCs w:val="16"/>
              </w:rPr>
            </w:pPr>
            <w:r w:rsidRPr="00405303">
              <w:rPr>
                <w:bCs/>
                <w:color w:val="002060"/>
                <w:sz w:val="16"/>
                <w:szCs w:val="16"/>
              </w:rPr>
              <w:t xml:space="preserve">192 </w:t>
            </w:r>
          </w:p>
        </w:tc>
        <w:tc>
          <w:tcPr>
            <w:tcW w:w="728" w:type="dxa"/>
          </w:tcPr>
          <w:p w14:paraId="479997F7" w14:textId="77777777" w:rsidR="004B4E35" w:rsidRPr="00405303" w:rsidRDefault="009E6F82" w:rsidP="00C15251">
            <w:pPr>
              <w:jc w:val="both"/>
              <w:rPr>
                <w:bCs/>
                <w:color w:val="002060"/>
                <w:sz w:val="16"/>
                <w:szCs w:val="16"/>
              </w:rPr>
            </w:pPr>
            <w:r w:rsidRPr="00405303">
              <w:rPr>
                <w:bCs/>
                <w:color w:val="002060"/>
                <w:sz w:val="16"/>
                <w:szCs w:val="16"/>
              </w:rPr>
              <w:t xml:space="preserve">369 </w:t>
            </w:r>
          </w:p>
        </w:tc>
        <w:tc>
          <w:tcPr>
            <w:tcW w:w="1031" w:type="dxa"/>
          </w:tcPr>
          <w:p w14:paraId="6A67B173"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31" w:type="dxa"/>
          </w:tcPr>
          <w:p w14:paraId="270F7700" w14:textId="77777777" w:rsidR="004B4E35" w:rsidRPr="00405303" w:rsidRDefault="009E6F82" w:rsidP="00C15251">
            <w:pPr>
              <w:jc w:val="both"/>
              <w:rPr>
                <w:bCs/>
                <w:color w:val="002060"/>
                <w:sz w:val="16"/>
                <w:szCs w:val="16"/>
              </w:rPr>
            </w:pPr>
            <w:r w:rsidRPr="00405303">
              <w:rPr>
                <w:bCs/>
                <w:color w:val="002060"/>
                <w:sz w:val="16"/>
                <w:szCs w:val="16"/>
              </w:rPr>
              <w:t xml:space="preserve">1597 </w:t>
            </w:r>
          </w:p>
        </w:tc>
        <w:tc>
          <w:tcPr>
            <w:tcW w:w="1031" w:type="dxa"/>
          </w:tcPr>
          <w:p w14:paraId="1754F5E5" w14:textId="77777777" w:rsidR="004B4E35" w:rsidRPr="00405303" w:rsidRDefault="009E6F82" w:rsidP="00C15251">
            <w:pPr>
              <w:jc w:val="both"/>
              <w:rPr>
                <w:bCs/>
                <w:color w:val="002060"/>
                <w:sz w:val="16"/>
                <w:szCs w:val="16"/>
              </w:rPr>
            </w:pPr>
            <w:r w:rsidRPr="00405303">
              <w:rPr>
                <w:bCs/>
                <w:color w:val="002060"/>
                <w:sz w:val="16"/>
                <w:szCs w:val="16"/>
              </w:rPr>
              <w:t xml:space="preserve">2116 </w:t>
            </w:r>
          </w:p>
        </w:tc>
        <w:tc>
          <w:tcPr>
            <w:tcW w:w="1062" w:type="dxa"/>
          </w:tcPr>
          <w:p w14:paraId="316A2331"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62" w:type="dxa"/>
          </w:tcPr>
          <w:p w14:paraId="4FD4CFD7" w14:textId="77777777" w:rsidR="004B4E35" w:rsidRPr="00405303" w:rsidRDefault="009E6F82" w:rsidP="00C15251">
            <w:pPr>
              <w:jc w:val="both"/>
              <w:rPr>
                <w:bCs/>
                <w:color w:val="002060"/>
                <w:sz w:val="16"/>
                <w:szCs w:val="16"/>
              </w:rPr>
            </w:pPr>
            <w:r w:rsidRPr="00405303">
              <w:rPr>
                <w:bCs/>
                <w:color w:val="002060"/>
                <w:sz w:val="16"/>
                <w:szCs w:val="16"/>
              </w:rPr>
              <w:t xml:space="preserve">1672 </w:t>
            </w:r>
          </w:p>
        </w:tc>
        <w:tc>
          <w:tcPr>
            <w:tcW w:w="1062" w:type="dxa"/>
          </w:tcPr>
          <w:p w14:paraId="3236380F" w14:textId="77777777" w:rsidR="004B4E35" w:rsidRPr="00405303" w:rsidRDefault="009E6F82" w:rsidP="00C15251">
            <w:pPr>
              <w:jc w:val="both"/>
              <w:rPr>
                <w:bCs/>
                <w:color w:val="002060"/>
                <w:sz w:val="16"/>
                <w:szCs w:val="16"/>
              </w:rPr>
            </w:pPr>
            <w:r w:rsidRPr="00405303">
              <w:rPr>
                <w:bCs/>
                <w:color w:val="002060"/>
                <w:sz w:val="16"/>
                <w:szCs w:val="16"/>
              </w:rPr>
              <w:t xml:space="preserve">3444 </w:t>
            </w:r>
          </w:p>
        </w:tc>
      </w:tr>
      <w:tr w:rsidR="004B4E35" w:rsidRPr="00405303" w14:paraId="0B1ECE20" w14:textId="77777777">
        <w:tc>
          <w:tcPr>
            <w:tcW w:w="893" w:type="dxa"/>
          </w:tcPr>
          <w:p w14:paraId="669633B0" w14:textId="77777777" w:rsidR="004B4E35" w:rsidRPr="00405303" w:rsidRDefault="009E6F82" w:rsidP="00C15251">
            <w:pPr>
              <w:jc w:val="both"/>
              <w:rPr>
                <w:bCs/>
                <w:color w:val="002060"/>
                <w:sz w:val="16"/>
                <w:szCs w:val="16"/>
              </w:rPr>
            </w:pPr>
            <w:r w:rsidRPr="00405303">
              <w:rPr>
                <w:bCs/>
                <w:color w:val="002060"/>
                <w:sz w:val="16"/>
                <w:szCs w:val="16"/>
              </w:rPr>
              <w:t xml:space="preserve">Сентябрь </w:t>
            </w:r>
          </w:p>
        </w:tc>
        <w:tc>
          <w:tcPr>
            <w:tcW w:w="728" w:type="dxa"/>
          </w:tcPr>
          <w:p w14:paraId="2B49C174" w14:textId="77777777" w:rsidR="004B4E35" w:rsidRPr="00405303" w:rsidRDefault="009E6F82" w:rsidP="00C15251">
            <w:pPr>
              <w:jc w:val="both"/>
              <w:rPr>
                <w:bCs/>
                <w:color w:val="002060"/>
                <w:sz w:val="16"/>
                <w:szCs w:val="16"/>
              </w:rPr>
            </w:pPr>
            <w:r w:rsidRPr="00405303">
              <w:rPr>
                <w:bCs/>
                <w:color w:val="002060"/>
                <w:sz w:val="16"/>
                <w:szCs w:val="16"/>
              </w:rPr>
              <w:t xml:space="preserve">90 </w:t>
            </w:r>
          </w:p>
        </w:tc>
        <w:tc>
          <w:tcPr>
            <w:tcW w:w="728" w:type="dxa"/>
          </w:tcPr>
          <w:p w14:paraId="478F42CD" w14:textId="77777777" w:rsidR="004B4E35" w:rsidRPr="00405303" w:rsidRDefault="009E6F82" w:rsidP="00C15251">
            <w:pPr>
              <w:jc w:val="both"/>
              <w:rPr>
                <w:bCs/>
                <w:color w:val="002060"/>
                <w:sz w:val="16"/>
                <w:szCs w:val="16"/>
              </w:rPr>
            </w:pPr>
            <w:r w:rsidRPr="00405303">
              <w:rPr>
                <w:bCs/>
                <w:color w:val="002060"/>
                <w:sz w:val="16"/>
                <w:szCs w:val="16"/>
              </w:rPr>
              <w:t xml:space="preserve">189 </w:t>
            </w:r>
          </w:p>
        </w:tc>
        <w:tc>
          <w:tcPr>
            <w:tcW w:w="728" w:type="dxa"/>
          </w:tcPr>
          <w:p w14:paraId="5E028D22"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31" w:type="dxa"/>
          </w:tcPr>
          <w:p w14:paraId="22ED4950" w14:textId="77777777" w:rsidR="004B4E35" w:rsidRPr="00405303" w:rsidRDefault="009E6F82" w:rsidP="00C15251">
            <w:pPr>
              <w:jc w:val="both"/>
              <w:rPr>
                <w:bCs/>
                <w:color w:val="002060"/>
                <w:sz w:val="16"/>
                <w:szCs w:val="16"/>
              </w:rPr>
            </w:pPr>
            <w:r w:rsidRPr="00405303">
              <w:rPr>
                <w:bCs/>
                <w:color w:val="002060"/>
                <w:sz w:val="16"/>
                <w:szCs w:val="16"/>
              </w:rPr>
              <w:t xml:space="preserve">369 </w:t>
            </w:r>
          </w:p>
        </w:tc>
        <w:tc>
          <w:tcPr>
            <w:tcW w:w="1031" w:type="dxa"/>
          </w:tcPr>
          <w:p w14:paraId="0422547D" w14:textId="77777777" w:rsidR="004B4E35" w:rsidRPr="00405303" w:rsidRDefault="009E6F82" w:rsidP="00C15251">
            <w:pPr>
              <w:jc w:val="both"/>
              <w:rPr>
                <w:bCs/>
                <w:color w:val="002060"/>
                <w:sz w:val="16"/>
                <w:szCs w:val="16"/>
              </w:rPr>
            </w:pPr>
            <w:r w:rsidRPr="00405303">
              <w:rPr>
                <w:bCs/>
                <w:color w:val="002060"/>
                <w:sz w:val="16"/>
                <w:szCs w:val="16"/>
              </w:rPr>
              <w:t xml:space="preserve">1231 </w:t>
            </w:r>
          </w:p>
        </w:tc>
        <w:tc>
          <w:tcPr>
            <w:tcW w:w="1031" w:type="dxa"/>
          </w:tcPr>
          <w:p w14:paraId="340FEB65"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62" w:type="dxa"/>
          </w:tcPr>
          <w:p w14:paraId="61C64D11" w14:textId="77777777" w:rsidR="004B4E35" w:rsidRPr="00405303" w:rsidRDefault="009E6F82" w:rsidP="00C15251">
            <w:pPr>
              <w:jc w:val="both"/>
              <w:rPr>
                <w:bCs/>
                <w:color w:val="002060"/>
                <w:sz w:val="16"/>
                <w:szCs w:val="16"/>
              </w:rPr>
            </w:pPr>
            <w:r w:rsidRPr="00405303">
              <w:rPr>
                <w:bCs/>
                <w:color w:val="002060"/>
                <w:sz w:val="16"/>
                <w:szCs w:val="16"/>
              </w:rPr>
              <w:t xml:space="preserve">409 </w:t>
            </w:r>
          </w:p>
        </w:tc>
        <w:tc>
          <w:tcPr>
            <w:tcW w:w="1062" w:type="dxa"/>
          </w:tcPr>
          <w:p w14:paraId="0F877B0B" w14:textId="77777777" w:rsidR="004B4E35" w:rsidRPr="00405303" w:rsidRDefault="009E6F82" w:rsidP="00C15251">
            <w:pPr>
              <w:jc w:val="both"/>
              <w:rPr>
                <w:bCs/>
                <w:color w:val="002060"/>
                <w:sz w:val="16"/>
                <w:szCs w:val="16"/>
              </w:rPr>
            </w:pPr>
            <w:r w:rsidRPr="00405303">
              <w:rPr>
                <w:bCs/>
                <w:color w:val="002060"/>
                <w:sz w:val="16"/>
                <w:szCs w:val="16"/>
              </w:rPr>
              <w:t xml:space="preserve">1762 </w:t>
            </w:r>
          </w:p>
        </w:tc>
        <w:tc>
          <w:tcPr>
            <w:tcW w:w="1062" w:type="dxa"/>
          </w:tcPr>
          <w:p w14:paraId="5B87FDC1"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r>
      <w:tr w:rsidR="004B4E35" w:rsidRPr="00405303" w14:paraId="3CAB1C9A" w14:textId="77777777">
        <w:tc>
          <w:tcPr>
            <w:tcW w:w="893" w:type="dxa"/>
          </w:tcPr>
          <w:p w14:paraId="37D66284" w14:textId="77777777" w:rsidR="004B4E35" w:rsidRPr="00405303" w:rsidRDefault="009E6F82" w:rsidP="00C15251">
            <w:pPr>
              <w:jc w:val="both"/>
              <w:rPr>
                <w:bCs/>
                <w:color w:val="002060"/>
                <w:sz w:val="16"/>
                <w:szCs w:val="16"/>
              </w:rPr>
            </w:pPr>
            <w:r w:rsidRPr="00405303">
              <w:rPr>
                <w:bCs/>
                <w:color w:val="002060"/>
                <w:sz w:val="16"/>
                <w:szCs w:val="16"/>
              </w:rPr>
              <w:t xml:space="preserve">Октябрь </w:t>
            </w:r>
          </w:p>
        </w:tc>
        <w:tc>
          <w:tcPr>
            <w:tcW w:w="728" w:type="dxa"/>
          </w:tcPr>
          <w:p w14:paraId="368E20F8" w14:textId="77777777" w:rsidR="004B4E35" w:rsidRPr="00405303" w:rsidRDefault="009E6F82" w:rsidP="00C15251">
            <w:pPr>
              <w:jc w:val="both"/>
              <w:rPr>
                <w:bCs/>
                <w:color w:val="002060"/>
                <w:sz w:val="16"/>
                <w:szCs w:val="16"/>
              </w:rPr>
            </w:pPr>
            <w:r w:rsidRPr="00405303">
              <w:rPr>
                <w:bCs/>
                <w:color w:val="002060"/>
                <w:sz w:val="16"/>
                <w:szCs w:val="16"/>
              </w:rPr>
              <w:t xml:space="preserve">96 </w:t>
            </w:r>
          </w:p>
        </w:tc>
        <w:tc>
          <w:tcPr>
            <w:tcW w:w="728" w:type="dxa"/>
          </w:tcPr>
          <w:p w14:paraId="05939AB8" w14:textId="77777777" w:rsidR="004B4E35" w:rsidRPr="00405303" w:rsidRDefault="009E6F82" w:rsidP="00C15251">
            <w:pPr>
              <w:jc w:val="both"/>
              <w:rPr>
                <w:bCs/>
                <w:color w:val="002060"/>
                <w:sz w:val="16"/>
                <w:szCs w:val="16"/>
              </w:rPr>
            </w:pPr>
            <w:r w:rsidRPr="00405303">
              <w:rPr>
                <w:bCs/>
                <w:color w:val="002060"/>
                <w:sz w:val="16"/>
                <w:szCs w:val="16"/>
              </w:rPr>
              <w:t xml:space="preserve">181 </w:t>
            </w:r>
          </w:p>
        </w:tc>
        <w:tc>
          <w:tcPr>
            <w:tcW w:w="728" w:type="dxa"/>
          </w:tcPr>
          <w:p w14:paraId="0AA34968"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31" w:type="dxa"/>
          </w:tcPr>
          <w:p w14:paraId="3543D5FA" w14:textId="77777777" w:rsidR="004B4E35" w:rsidRPr="00405303" w:rsidRDefault="009E6F82" w:rsidP="00C15251">
            <w:pPr>
              <w:jc w:val="both"/>
              <w:rPr>
                <w:bCs/>
                <w:color w:val="002060"/>
                <w:sz w:val="16"/>
                <w:szCs w:val="16"/>
              </w:rPr>
            </w:pPr>
            <w:r w:rsidRPr="00405303">
              <w:rPr>
                <w:bCs/>
                <w:color w:val="002060"/>
                <w:sz w:val="16"/>
                <w:szCs w:val="16"/>
              </w:rPr>
              <w:t xml:space="preserve">506 </w:t>
            </w:r>
          </w:p>
        </w:tc>
        <w:tc>
          <w:tcPr>
            <w:tcW w:w="1031" w:type="dxa"/>
          </w:tcPr>
          <w:p w14:paraId="06749E55" w14:textId="77777777" w:rsidR="004B4E35" w:rsidRPr="00405303" w:rsidRDefault="009E6F82" w:rsidP="00C15251">
            <w:pPr>
              <w:jc w:val="both"/>
              <w:rPr>
                <w:bCs/>
                <w:color w:val="002060"/>
                <w:sz w:val="16"/>
                <w:szCs w:val="16"/>
              </w:rPr>
            </w:pPr>
            <w:r w:rsidRPr="00405303">
              <w:rPr>
                <w:bCs/>
                <w:color w:val="002060"/>
                <w:sz w:val="16"/>
                <w:szCs w:val="16"/>
              </w:rPr>
              <w:t xml:space="preserve">1040 </w:t>
            </w:r>
          </w:p>
        </w:tc>
        <w:tc>
          <w:tcPr>
            <w:tcW w:w="1031" w:type="dxa"/>
          </w:tcPr>
          <w:p w14:paraId="42EAD36F"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62" w:type="dxa"/>
          </w:tcPr>
          <w:p w14:paraId="45BE17C6" w14:textId="77777777" w:rsidR="004B4E35" w:rsidRPr="00405303" w:rsidRDefault="009E6F82" w:rsidP="00C15251">
            <w:pPr>
              <w:jc w:val="both"/>
              <w:rPr>
                <w:bCs/>
                <w:color w:val="002060"/>
                <w:sz w:val="16"/>
                <w:szCs w:val="16"/>
              </w:rPr>
            </w:pPr>
            <w:r w:rsidRPr="00405303">
              <w:rPr>
                <w:bCs/>
                <w:color w:val="002060"/>
                <w:sz w:val="16"/>
                <w:szCs w:val="16"/>
              </w:rPr>
              <w:t xml:space="preserve">521 </w:t>
            </w:r>
          </w:p>
        </w:tc>
        <w:tc>
          <w:tcPr>
            <w:tcW w:w="1062" w:type="dxa"/>
          </w:tcPr>
          <w:p w14:paraId="28A2E797" w14:textId="77777777" w:rsidR="004B4E35" w:rsidRPr="00405303" w:rsidRDefault="009E6F82" w:rsidP="00C15251">
            <w:pPr>
              <w:jc w:val="both"/>
              <w:rPr>
                <w:bCs/>
                <w:color w:val="002060"/>
                <w:sz w:val="16"/>
                <w:szCs w:val="16"/>
              </w:rPr>
            </w:pPr>
            <w:r w:rsidRPr="00405303">
              <w:rPr>
                <w:bCs/>
                <w:color w:val="002060"/>
                <w:sz w:val="16"/>
                <w:szCs w:val="16"/>
              </w:rPr>
              <w:t xml:space="preserve">1377 </w:t>
            </w:r>
          </w:p>
        </w:tc>
        <w:tc>
          <w:tcPr>
            <w:tcW w:w="1062" w:type="dxa"/>
          </w:tcPr>
          <w:p w14:paraId="0C9B4B79"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r>
      <w:tr w:rsidR="004B4E35" w:rsidRPr="00405303" w14:paraId="075D36E3" w14:textId="77777777">
        <w:tc>
          <w:tcPr>
            <w:tcW w:w="893" w:type="dxa"/>
          </w:tcPr>
          <w:p w14:paraId="0B7509E7" w14:textId="77777777" w:rsidR="004B4E35" w:rsidRPr="00405303" w:rsidRDefault="009E6F82" w:rsidP="00C15251">
            <w:pPr>
              <w:jc w:val="both"/>
              <w:rPr>
                <w:bCs/>
                <w:color w:val="002060"/>
                <w:sz w:val="16"/>
                <w:szCs w:val="16"/>
              </w:rPr>
            </w:pPr>
            <w:r w:rsidRPr="00405303">
              <w:rPr>
                <w:bCs/>
                <w:color w:val="002060"/>
                <w:sz w:val="16"/>
                <w:szCs w:val="16"/>
              </w:rPr>
              <w:t xml:space="preserve">Ноябрь </w:t>
            </w:r>
          </w:p>
        </w:tc>
        <w:tc>
          <w:tcPr>
            <w:tcW w:w="728" w:type="dxa"/>
          </w:tcPr>
          <w:p w14:paraId="2409A11C" w14:textId="77777777" w:rsidR="004B4E35" w:rsidRPr="00405303" w:rsidRDefault="009E6F82" w:rsidP="00C15251">
            <w:pPr>
              <w:jc w:val="both"/>
              <w:rPr>
                <w:bCs/>
                <w:color w:val="002060"/>
                <w:sz w:val="16"/>
                <w:szCs w:val="16"/>
              </w:rPr>
            </w:pPr>
            <w:r w:rsidRPr="00405303">
              <w:rPr>
                <w:bCs/>
                <w:color w:val="002060"/>
                <w:sz w:val="16"/>
                <w:szCs w:val="16"/>
              </w:rPr>
              <w:t xml:space="preserve">117 </w:t>
            </w:r>
          </w:p>
        </w:tc>
        <w:tc>
          <w:tcPr>
            <w:tcW w:w="728" w:type="dxa"/>
          </w:tcPr>
          <w:p w14:paraId="20767FDF" w14:textId="77777777" w:rsidR="004B4E35" w:rsidRPr="00405303" w:rsidRDefault="009E6F82" w:rsidP="00C15251">
            <w:pPr>
              <w:jc w:val="both"/>
              <w:rPr>
                <w:bCs/>
                <w:color w:val="002060"/>
                <w:sz w:val="16"/>
                <w:szCs w:val="16"/>
              </w:rPr>
            </w:pPr>
            <w:r w:rsidRPr="00405303">
              <w:rPr>
                <w:bCs/>
                <w:color w:val="002060"/>
                <w:sz w:val="16"/>
                <w:szCs w:val="16"/>
              </w:rPr>
              <w:t xml:space="preserve">176 </w:t>
            </w:r>
          </w:p>
        </w:tc>
        <w:tc>
          <w:tcPr>
            <w:tcW w:w="728" w:type="dxa"/>
          </w:tcPr>
          <w:p w14:paraId="7D145989"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31" w:type="dxa"/>
          </w:tcPr>
          <w:p w14:paraId="10BBE092" w14:textId="77777777" w:rsidR="004B4E35" w:rsidRPr="00405303" w:rsidRDefault="009E6F82" w:rsidP="00C15251">
            <w:pPr>
              <w:jc w:val="both"/>
              <w:rPr>
                <w:bCs/>
                <w:color w:val="002060"/>
                <w:sz w:val="16"/>
                <w:szCs w:val="16"/>
              </w:rPr>
            </w:pPr>
            <w:r w:rsidRPr="00405303">
              <w:rPr>
                <w:bCs/>
                <w:color w:val="002060"/>
                <w:sz w:val="16"/>
                <w:szCs w:val="16"/>
              </w:rPr>
              <w:t xml:space="preserve">720 </w:t>
            </w:r>
          </w:p>
        </w:tc>
        <w:tc>
          <w:tcPr>
            <w:tcW w:w="1031" w:type="dxa"/>
          </w:tcPr>
          <w:p w14:paraId="12A30800" w14:textId="77777777" w:rsidR="004B4E35" w:rsidRPr="00405303" w:rsidRDefault="009E6F82" w:rsidP="00C15251">
            <w:pPr>
              <w:jc w:val="both"/>
              <w:rPr>
                <w:bCs/>
                <w:color w:val="002060"/>
                <w:sz w:val="16"/>
                <w:szCs w:val="16"/>
              </w:rPr>
            </w:pPr>
            <w:r w:rsidRPr="00405303">
              <w:rPr>
                <w:bCs/>
                <w:color w:val="002060"/>
                <w:sz w:val="16"/>
                <w:szCs w:val="16"/>
              </w:rPr>
              <w:t xml:space="preserve">842 </w:t>
            </w:r>
          </w:p>
        </w:tc>
        <w:tc>
          <w:tcPr>
            <w:tcW w:w="1031" w:type="dxa"/>
          </w:tcPr>
          <w:p w14:paraId="13769C01"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62" w:type="dxa"/>
          </w:tcPr>
          <w:p w14:paraId="484B8816" w14:textId="77777777" w:rsidR="004B4E35" w:rsidRPr="00405303" w:rsidRDefault="009E6F82" w:rsidP="00C15251">
            <w:pPr>
              <w:jc w:val="both"/>
              <w:rPr>
                <w:bCs/>
                <w:color w:val="002060"/>
                <w:sz w:val="16"/>
                <w:szCs w:val="16"/>
              </w:rPr>
            </w:pPr>
            <w:r w:rsidRPr="00405303">
              <w:rPr>
                <w:bCs/>
                <w:color w:val="002060"/>
                <w:sz w:val="16"/>
                <w:szCs w:val="16"/>
              </w:rPr>
              <w:t xml:space="preserve">695 </w:t>
            </w:r>
          </w:p>
        </w:tc>
        <w:tc>
          <w:tcPr>
            <w:tcW w:w="1062" w:type="dxa"/>
          </w:tcPr>
          <w:p w14:paraId="14B096E7" w14:textId="77777777" w:rsidR="004B4E35" w:rsidRPr="00405303" w:rsidRDefault="009E6F82" w:rsidP="00C15251">
            <w:pPr>
              <w:jc w:val="both"/>
              <w:rPr>
                <w:bCs/>
                <w:color w:val="002060"/>
                <w:sz w:val="16"/>
                <w:szCs w:val="16"/>
              </w:rPr>
            </w:pPr>
            <w:r w:rsidRPr="00405303">
              <w:rPr>
                <w:bCs/>
                <w:color w:val="002060"/>
                <w:sz w:val="16"/>
                <w:szCs w:val="16"/>
              </w:rPr>
              <w:t xml:space="preserve">975 </w:t>
            </w:r>
          </w:p>
        </w:tc>
        <w:tc>
          <w:tcPr>
            <w:tcW w:w="1062" w:type="dxa"/>
          </w:tcPr>
          <w:p w14:paraId="5599C667"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r>
      <w:tr w:rsidR="004B4E35" w:rsidRPr="00405303" w14:paraId="6BB97307" w14:textId="77777777">
        <w:tc>
          <w:tcPr>
            <w:tcW w:w="893" w:type="dxa"/>
          </w:tcPr>
          <w:p w14:paraId="1E0F514C" w14:textId="77777777" w:rsidR="004B4E35" w:rsidRPr="00405303" w:rsidRDefault="009E6F82" w:rsidP="00C15251">
            <w:pPr>
              <w:jc w:val="both"/>
              <w:rPr>
                <w:bCs/>
                <w:color w:val="002060"/>
                <w:sz w:val="16"/>
                <w:szCs w:val="16"/>
              </w:rPr>
            </w:pPr>
            <w:r w:rsidRPr="00405303">
              <w:rPr>
                <w:bCs/>
                <w:color w:val="002060"/>
                <w:sz w:val="16"/>
                <w:szCs w:val="16"/>
              </w:rPr>
              <w:t xml:space="preserve">Декабрь </w:t>
            </w:r>
          </w:p>
        </w:tc>
        <w:tc>
          <w:tcPr>
            <w:tcW w:w="728" w:type="dxa"/>
          </w:tcPr>
          <w:p w14:paraId="4CAE983E" w14:textId="77777777" w:rsidR="004B4E35" w:rsidRPr="00405303" w:rsidRDefault="009E6F82" w:rsidP="00C15251">
            <w:pPr>
              <w:jc w:val="both"/>
              <w:rPr>
                <w:bCs/>
                <w:color w:val="002060"/>
                <w:sz w:val="16"/>
                <w:szCs w:val="16"/>
              </w:rPr>
            </w:pPr>
            <w:r w:rsidRPr="00405303">
              <w:rPr>
                <w:bCs/>
                <w:color w:val="002060"/>
                <w:sz w:val="16"/>
                <w:szCs w:val="16"/>
              </w:rPr>
              <w:t xml:space="preserve">117 </w:t>
            </w:r>
          </w:p>
        </w:tc>
        <w:tc>
          <w:tcPr>
            <w:tcW w:w="728" w:type="dxa"/>
          </w:tcPr>
          <w:p w14:paraId="61134EE0" w14:textId="77777777" w:rsidR="004B4E35" w:rsidRPr="00405303" w:rsidRDefault="009E6F82" w:rsidP="00C15251">
            <w:pPr>
              <w:jc w:val="both"/>
              <w:rPr>
                <w:bCs/>
                <w:color w:val="002060"/>
                <w:sz w:val="16"/>
                <w:szCs w:val="16"/>
              </w:rPr>
            </w:pPr>
            <w:r w:rsidRPr="00405303">
              <w:rPr>
                <w:bCs/>
                <w:color w:val="002060"/>
                <w:sz w:val="16"/>
                <w:szCs w:val="16"/>
              </w:rPr>
              <w:t xml:space="preserve">169 </w:t>
            </w:r>
          </w:p>
        </w:tc>
        <w:tc>
          <w:tcPr>
            <w:tcW w:w="728" w:type="dxa"/>
          </w:tcPr>
          <w:p w14:paraId="3CC5C4BC"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31" w:type="dxa"/>
          </w:tcPr>
          <w:p w14:paraId="0A194694" w14:textId="77777777" w:rsidR="004B4E35" w:rsidRPr="00405303" w:rsidRDefault="009E6F82" w:rsidP="00C15251">
            <w:pPr>
              <w:jc w:val="both"/>
              <w:rPr>
                <w:bCs/>
                <w:color w:val="002060"/>
                <w:sz w:val="16"/>
                <w:szCs w:val="16"/>
              </w:rPr>
            </w:pPr>
            <w:r w:rsidRPr="00405303">
              <w:rPr>
                <w:bCs/>
                <w:color w:val="002060"/>
                <w:sz w:val="16"/>
                <w:szCs w:val="16"/>
              </w:rPr>
              <w:t xml:space="preserve">472 </w:t>
            </w:r>
          </w:p>
        </w:tc>
        <w:tc>
          <w:tcPr>
            <w:tcW w:w="1031" w:type="dxa"/>
          </w:tcPr>
          <w:p w14:paraId="06B54CEC" w14:textId="77777777" w:rsidR="004B4E35" w:rsidRPr="00405303" w:rsidRDefault="009E6F82" w:rsidP="00C15251">
            <w:pPr>
              <w:jc w:val="both"/>
              <w:rPr>
                <w:bCs/>
                <w:color w:val="002060"/>
                <w:sz w:val="16"/>
                <w:szCs w:val="16"/>
              </w:rPr>
            </w:pPr>
            <w:r w:rsidRPr="00405303">
              <w:rPr>
                <w:bCs/>
                <w:color w:val="002060"/>
                <w:sz w:val="16"/>
                <w:szCs w:val="16"/>
              </w:rPr>
              <w:t xml:space="preserve">732 </w:t>
            </w:r>
          </w:p>
        </w:tc>
        <w:tc>
          <w:tcPr>
            <w:tcW w:w="1031" w:type="dxa"/>
          </w:tcPr>
          <w:p w14:paraId="7454B334"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1062" w:type="dxa"/>
          </w:tcPr>
          <w:p w14:paraId="706BB7F1" w14:textId="77777777" w:rsidR="004B4E35" w:rsidRPr="00405303" w:rsidRDefault="009E6F82" w:rsidP="00C15251">
            <w:pPr>
              <w:jc w:val="both"/>
              <w:rPr>
                <w:bCs/>
                <w:color w:val="002060"/>
                <w:sz w:val="16"/>
                <w:szCs w:val="16"/>
              </w:rPr>
            </w:pPr>
            <w:r w:rsidRPr="00405303">
              <w:rPr>
                <w:bCs/>
                <w:color w:val="002060"/>
                <w:sz w:val="16"/>
                <w:szCs w:val="16"/>
              </w:rPr>
              <w:t xml:space="preserve">412 </w:t>
            </w:r>
          </w:p>
        </w:tc>
        <w:tc>
          <w:tcPr>
            <w:tcW w:w="1062" w:type="dxa"/>
          </w:tcPr>
          <w:p w14:paraId="6F7C81AC" w14:textId="77777777" w:rsidR="004B4E35" w:rsidRPr="00405303" w:rsidRDefault="009E6F82" w:rsidP="00C15251">
            <w:pPr>
              <w:jc w:val="both"/>
              <w:rPr>
                <w:bCs/>
                <w:color w:val="002060"/>
                <w:sz w:val="16"/>
                <w:szCs w:val="16"/>
              </w:rPr>
            </w:pPr>
            <w:r w:rsidRPr="00405303">
              <w:rPr>
                <w:bCs/>
                <w:color w:val="002060"/>
                <w:sz w:val="16"/>
                <w:szCs w:val="16"/>
              </w:rPr>
              <w:t xml:space="preserve">873 </w:t>
            </w:r>
          </w:p>
        </w:tc>
        <w:tc>
          <w:tcPr>
            <w:tcW w:w="1062" w:type="dxa"/>
          </w:tcPr>
          <w:p w14:paraId="16879DB2"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r>
      <w:tr w:rsidR="004B4E35" w:rsidRPr="00405303" w14:paraId="5DF370AE" w14:textId="77777777">
        <w:tc>
          <w:tcPr>
            <w:tcW w:w="893" w:type="dxa"/>
          </w:tcPr>
          <w:p w14:paraId="447ECAAE" w14:textId="77777777" w:rsidR="004B4E35" w:rsidRPr="00405303" w:rsidRDefault="009E6F82" w:rsidP="00C15251">
            <w:pPr>
              <w:jc w:val="both"/>
              <w:rPr>
                <w:bCs/>
                <w:color w:val="002060"/>
                <w:sz w:val="16"/>
                <w:szCs w:val="16"/>
              </w:rPr>
            </w:pPr>
            <w:r w:rsidRPr="00405303">
              <w:rPr>
                <w:bCs/>
                <w:color w:val="002060"/>
                <w:sz w:val="16"/>
                <w:szCs w:val="16"/>
              </w:rPr>
              <w:t xml:space="preserve">ИТОГО </w:t>
            </w:r>
          </w:p>
        </w:tc>
        <w:tc>
          <w:tcPr>
            <w:tcW w:w="728" w:type="dxa"/>
          </w:tcPr>
          <w:p w14:paraId="4F3247DB" w14:textId="77777777" w:rsidR="004B4E35" w:rsidRPr="00405303" w:rsidRDefault="009E6F82" w:rsidP="00C15251">
            <w:pPr>
              <w:jc w:val="both"/>
              <w:rPr>
                <w:bCs/>
                <w:color w:val="002060"/>
                <w:sz w:val="16"/>
                <w:szCs w:val="16"/>
              </w:rPr>
            </w:pPr>
            <w:r w:rsidRPr="00405303">
              <w:rPr>
                <w:bCs/>
                <w:color w:val="002060"/>
                <w:sz w:val="16"/>
                <w:szCs w:val="16"/>
              </w:rPr>
              <w:t xml:space="preserve">549 </w:t>
            </w:r>
          </w:p>
        </w:tc>
        <w:tc>
          <w:tcPr>
            <w:tcW w:w="728" w:type="dxa"/>
          </w:tcPr>
          <w:p w14:paraId="56FB83CF" w14:textId="77777777" w:rsidR="004B4E35" w:rsidRPr="00405303" w:rsidRDefault="009E6F82" w:rsidP="00C15251">
            <w:pPr>
              <w:jc w:val="both"/>
              <w:rPr>
                <w:bCs/>
                <w:color w:val="002060"/>
                <w:sz w:val="16"/>
                <w:szCs w:val="16"/>
              </w:rPr>
            </w:pPr>
            <w:r w:rsidRPr="00405303">
              <w:rPr>
                <w:bCs/>
                <w:color w:val="002060"/>
                <w:sz w:val="16"/>
                <w:szCs w:val="16"/>
              </w:rPr>
              <w:t xml:space="preserve">2173 </w:t>
            </w:r>
          </w:p>
        </w:tc>
        <w:tc>
          <w:tcPr>
            <w:tcW w:w="728" w:type="dxa"/>
          </w:tcPr>
          <w:p w14:paraId="09FC8195" w14:textId="77777777" w:rsidR="004B4E35" w:rsidRPr="00405303" w:rsidRDefault="009E6F82" w:rsidP="00C15251">
            <w:pPr>
              <w:jc w:val="both"/>
              <w:rPr>
                <w:bCs/>
                <w:color w:val="002060"/>
                <w:sz w:val="16"/>
                <w:szCs w:val="16"/>
              </w:rPr>
            </w:pPr>
            <w:r w:rsidRPr="00405303">
              <w:rPr>
                <w:bCs/>
                <w:color w:val="002060"/>
                <w:sz w:val="16"/>
                <w:szCs w:val="16"/>
              </w:rPr>
              <w:t xml:space="preserve">1982 </w:t>
            </w:r>
          </w:p>
        </w:tc>
        <w:tc>
          <w:tcPr>
            <w:tcW w:w="1031" w:type="dxa"/>
          </w:tcPr>
          <w:p w14:paraId="3703DB64" w14:textId="77777777" w:rsidR="004B4E35" w:rsidRPr="00405303" w:rsidRDefault="009E6F82" w:rsidP="00C15251">
            <w:pPr>
              <w:jc w:val="both"/>
              <w:rPr>
                <w:bCs/>
                <w:color w:val="002060"/>
                <w:sz w:val="16"/>
                <w:szCs w:val="16"/>
              </w:rPr>
            </w:pPr>
            <w:r w:rsidRPr="00405303">
              <w:rPr>
                <w:bCs/>
                <w:color w:val="002060"/>
                <w:sz w:val="16"/>
                <w:szCs w:val="16"/>
              </w:rPr>
              <w:t xml:space="preserve">3229 </w:t>
            </w:r>
          </w:p>
        </w:tc>
        <w:tc>
          <w:tcPr>
            <w:tcW w:w="1031" w:type="dxa"/>
          </w:tcPr>
          <w:p w14:paraId="2A044FE4" w14:textId="77777777" w:rsidR="004B4E35" w:rsidRPr="00405303" w:rsidRDefault="009E6F82" w:rsidP="00C15251">
            <w:pPr>
              <w:jc w:val="both"/>
              <w:rPr>
                <w:bCs/>
                <w:color w:val="002060"/>
                <w:sz w:val="16"/>
                <w:szCs w:val="16"/>
              </w:rPr>
            </w:pPr>
            <w:r w:rsidRPr="00405303">
              <w:rPr>
                <w:bCs/>
                <w:color w:val="002060"/>
                <w:sz w:val="16"/>
                <w:szCs w:val="16"/>
              </w:rPr>
              <w:t xml:space="preserve">14838 </w:t>
            </w:r>
          </w:p>
        </w:tc>
        <w:tc>
          <w:tcPr>
            <w:tcW w:w="1031" w:type="dxa"/>
          </w:tcPr>
          <w:p w14:paraId="02799907" w14:textId="77777777" w:rsidR="004B4E35" w:rsidRPr="00405303" w:rsidRDefault="009E6F82" w:rsidP="00C15251">
            <w:pPr>
              <w:jc w:val="both"/>
              <w:rPr>
                <w:bCs/>
                <w:color w:val="002060"/>
                <w:sz w:val="16"/>
                <w:szCs w:val="16"/>
              </w:rPr>
            </w:pPr>
            <w:r w:rsidRPr="00405303">
              <w:rPr>
                <w:bCs/>
                <w:color w:val="002060"/>
                <w:sz w:val="16"/>
                <w:szCs w:val="16"/>
              </w:rPr>
              <w:t xml:space="preserve">11 521 </w:t>
            </w:r>
          </w:p>
        </w:tc>
        <w:tc>
          <w:tcPr>
            <w:tcW w:w="1062" w:type="dxa"/>
          </w:tcPr>
          <w:p w14:paraId="0DF041B1" w14:textId="77777777" w:rsidR="004B4E35" w:rsidRPr="00405303" w:rsidRDefault="009E6F82" w:rsidP="00C15251">
            <w:pPr>
              <w:jc w:val="both"/>
              <w:rPr>
                <w:bCs/>
                <w:color w:val="002060"/>
                <w:sz w:val="16"/>
                <w:szCs w:val="16"/>
              </w:rPr>
            </w:pPr>
            <w:r w:rsidRPr="00405303">
              <w:rPr>
                <w:bCs/>
                <w:color w:val="002060"/>
                <w:sz w:val="16"/>
                <w:szCs w:val="16"/>
              </w:rPr>
              <w:t xml:space="preserve">3458 </w:t>
            </w:r>
          </w:p>
        </w:tc>
        <w:tc>
          <w:tcPr>
            <w:tcW w:w="1062" w:type="dxa"/>
          </w:tcPr>
          <w:p w14:paraId="5514D3DB" w14:textId="77777777" w:rsidR="004B4E35" w:rsidRPr="00405303" w:rsidRDefault="009E6F82" w:rsidP="00C15251">
            <w:pPr>
              <w:jc w:val="both"/>
              <w:rPr>
                <w:bCs/>
                <w:color w:val="002060"/>
                <w:sz w:val="16"/>
                <w:szCs w:val="16"/>
              </w:rPr>
            </w:pPr>
            <w:r w:rsidRPr="00405303">
              <w:rPr>
                <w:bCs/>
                <w:color w:val="002060"/>
                <w:sz w:val="16"/>
                <w:szCs w:val="16"/>
              </w:rPr>
              <w:t xml:space="preserve">17 165 </w:t>
            </w:r>
          </w:p>
        </w:tc>
        <w:tc>
          <w:tcPr>
            <w:tcW w:w="1062" w:type="dxa"/>
          </w:tcPr>
          <w:p w14:paraId="1B105E04" w14:textId="77777777" w:rsidR="004B4E35" w:rsidRPr="00405303" w:rsidRDefault="009E6F82" w:rsidP="00C15251">
            <w:pPr>
              <w:jc w:val="both"/>
              <w:rPr>
                <w:bCs/>
                <w:color w:val="002060"/>
                <w:sz w:val="16"/>
                <w:szCs w:val="16"/>
              </w:rPr>
            </w:pPr>
            <w:r w:rsidRPr="00405303">
              <w:rPr>
                <w:bCs/>
                <w:color w:val="002060"/>
                <w:sz w:val="16"/>
                <w:szCs w:val="16"/>
              </w:rPr>
              <w:t xml:space="preserve">20 315 </w:t>
            </w:r>
          </w:p>
        </w:tc>
      </w:tr>
      <w:tr w:rsidR="00946658" w:rsidRPr="00405303" w14:paraId="2FEC4C26" w14:textId="77777777" w:rsidTr="00946658">
        <w:tc>
          <w:tcPr>
            <w:tcW w:w="893" w:type="dxa"/>
          </w:tcPr>
          <w:p w14:paraId="5F36AA03" w14:textId="77777777" w:rsidR="004B4E35" w:rsidRPr="00405303" w:rsidRDefault="009E6F82" w:rsidP="00C15251">
            <w:pPr>
              <w:jc w:val="both"/>
              <w:rPr>
                <w:bCs/>
                <w:color w:val="002060"/>
                <w:sz w:val="16"/>
                <w:szCs w:val="16"/>
              </w:rPr>
            </w:pPr>
            <w:r w:rsidRPr="00405303">
              <w:rPr>
                <w:bCs/>
                <w:color w:val="002060"/>
                <w:sz w:val="16"/>
                <w:szCs w:val="16"/>
              </w:rPr>
              <w:t xml:space="preserve">ВСЕГО </w:t>
            </w:r>
          </w:p>
        </w:tc>
        <w:tc>
          <w:tcPr>
            <w:tcW w:w="2184" w:type="dxa"/>
            <w:gridSpan w:val="3"/>
          </w:tcPr>
          <w:p w14:paraId="4F251705" w14:textId="77777777" w:rsidR="004B4E35" w:rsidRPr="00405303" w:rsidRDefault="009E6F82" w:rsidP="00C15251">
            <w:pPr>
              <w:jc w:val="both"/>
              <w:rPr>
                <w:bCs/>
                <w:color w:val="002060"/>
                <w:sz w:val="16"/>
                <w:szCs w:val="16"/>
              </w:rPr>
            </w:pPr>
            <w:r w:rsidRPr="00405303">
              <w:rPr>
                <w:bCs/>
                <w:color w:val="002060"/>
                <w:sz w:val="16"/>
                <w:szCs w:val="16"/>
              </w:rPr>
              <w:t xml:space="preserve">4704 </w:t>
            </w:r>
          </w:p>
        </w:tc>
        <w:tc>
          <w:tcPr>
            <w:tcW w:w="3093" w:type="dxa"/>
            <w:gridSpan w:val="3"/>
          </w:tcPr>
          <w:p w14:paraId="5CF1042A" w14:textId="77777777" w:rsidR="004B4E35" w:rsidRPr="00405303" w:rsidRDefault="009E6F82" w:rsidP="00C15251">
            <w:pPr>
              <w:jc w:val="both"/>
              <w:rPr>
                <w:bCs/>
                <w:color w:val="002060"/>
                <w:sz w:val="16"/>
                <w:szCs w:val="16"/>
              </w:rPr>
            </w:pPr>
            <w:r w:rsidRPr="00405303">
              <w:rPr>
                <w:bCs/>
                <w:color w:val="002060"/>
                <w:sz w:val="16"/>
                <w:szCs w:val="16"/>
              </w:rPr>
              <w:t xml:space="preserve">29588 </w:t>
            </w:r>
          </w:p>
        </w:tc>
        <w:tc>
          <w:tcPr>
            <w:tcW w:w="3186" w:type="dxa"/>
            <w:gridSpan w:val="3"/>
          </w:tcPr>
          <w:p w14:paraId="2539A7EF" w14:textId="77777777" w:rsidR="004B4E35" w:rsidRPr="00405303" w:rsidRDefault="009E6F82" w:rsidP="00C15251">
            <w:pPr>
              <w:jc w:val="both"/>
              <w:rPr>
                <w:bCs/>
                <w:color w:val="002060"/>
                <w:sz w:val="16"/>
                <w:szCs w:val="16"/>
              </w:rPr>
            </w:pPr>
            <w:r w:rsidRPr="00405303">
              <w:rPr>
                <w:bCs/>
                <w:color w:val="002060"/>
                <w:sz w:val="16"/>
                <w:szCs w:val="16"/>
              </w:rPr>
              <w:t xml:space="preserve">40938 </w:t>
            </w:r>
          </w:p>
        </w:tc>
      </w:tr>
    </w:tbl>
    <w:p w14:paraId="17321CDB" w14:textId="77777777" w:rsidR="004B4E35" w:rsidRPr="00405303" w:rsidRDefault="009E6F82" w:rsidP="00C15251">
      <w:pPr>
        <w:jc w:val="both"/>
        <w:rPr>
          <w:bCs/>
          <w:color w:val="002060"/>
          <w:sz w:val="16"/>
          <w:szCs w:val="16"/>
        </w:rPr>
      </w:pPr>
      <w:r w:rsidRPr="00405303">
        <w:rPr>
          <w:bCs/>
          <w:color w:val="002060"/>
          <w:sz w:val="16"/>
          <w:szCs w:val="16"/>
        </w:rPr>
        <w:t>Приводимые в этой таблице цифры ярко показывают, насколько незначительной по своим размерам была работа авиации в Русской армии. Возьмем для примера месяц самой интенсивной работы. Это — август 1916 г., в течение которого совершено было 2116 полетов с общей продолжительностью 3444 часа. Это дает в среднем на один день августа 68 полетов с общей продолжительностью в 111 часов. Но в это время Русская Действующая армия состояла из 14 армий (№№ 1–12, Особая и Кавказская) с общим составом более 200 пехотных и 50 кавалерийских дивизий. Протяжение боевой линии, не принимая в расчет Кавказского фронта, превосходит 1000 километров. И для обслуживания таких колоссальных сухопутных сил авиация может производить в день лишь 68 полетов с общей продолжительностью в 111 часов. Чрезвычайная слабость наших воздушных сил отчетливо сознавалась во всех инстанциях русского командования. «Брусилов, Каледин, Сахаров, — записывает в июне месяце в своих воспоминаниях председатель Государственной думы М. В. Родзянко, — просили обратить самое серьезное внимание на авиацию. В то время как немцы летают над нами, как птицы, и забрасывают нас бомбами, мы бессильны с ними бороться...» Отлично сознавала это наша Ставка и потому внесла на Междусоюзническую конференцию, собравшуюся в январе 1917 г., просьбу о присылке Русской армии в ближайшие после 1 января 1917 г. восемнадцать месяцев 5200 самолетов (11292).</w:t>
      </w:r>
    </w:p>
    <w:p w14:paraId="7889C93C" w14:textId="77777777" w:rsidR="004B4E35" w:rsidRPr="00405303" w:rsidRDefault="004B4E35" w:rsidP="00C15251">
      <w:pPr>
        <w:jc w:val="both"/>
        <w:rPr>
          <w:bCs/>
          <w:color w:val="002060"/>
          <w:sz w:val="16"/>
          <w:szCs w:val="16"/>
        </w:rPr>
      </w:pPr>
    </w:p>
    <w:p w14:paraId="2D8AEB37" w14:textId="1CE2B799" w:rsidR="004B4E35" w:rsidRPr="00405303" w:rsidRDefault="009E6F82" w:rsidP="00C15251">
      <w:pPr>
        <w:shd w:val="clear" w:color="auto" w:fill="FFFFFF"/>
        <w:jc w:val="both"/>
        <w:rPr>
          <w:bCs/>
          <w:color w:val="002060"/>
          <w:sz w:val="16"/>
          <w:szCs w:val="16"/>
        </w:rPr>
      </w:pPr>
      <w:r w:rsidRPr="00405303">
        <w:rPr>
          <w:bCs/>
          <w:color w:val="002060"/>
          <w:sz w:val="16"/>
          <w:szCs w:val="16"/>
        </w:rPr>
        <w:t>Весной 1915 г. Ставка опреде</w:t>
      </w:r>
      <w:r w:rsidRPr="00405303">
        <w:rPr>
          <w:bCs/>
          <w:color w:val="002060"/>
          <w:sz w:val="16"/>
          <w:szCs w:val="16"/>
        </w:rPr>
        <w:softHyphen/>
        <w:t>лила, по опыту минувших боев, ежемесячную потребность в 1,75 млн пушечных 76-мм патронов, а летом того же года Особое совещание по обороне государства повысило ее до 3 млн шт. [5, с. 187].</w:t>
      </w:r>
    </w:p>
    <w:p w14:paraId="456E63F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Перед ГАУ встала огромной сложности задача увеличить произ</w:t>
      </w:r>
      <w:r w:rsidRPr="00405303">
        <w:rPr>
          <w:bCs/>
          <w:color w:val="002060"/>
          <w:sz w:val="16"/>
          <w:szCs w:val="16"/>
        </w:rPr>
        <w:softHyphen/>
        <w:t>водство артиллерийских выстрелов по меньшей мере в 4—5 раз. Для этого надо было организовать быстрое увеличение выпуска всех эле ментов выстрела — снарядных корпусов, пороховых зарядов, взрыв</w:t>
      </w:r>
      <w:r w:rsidRPr="00405303">
        <w:rPr>
          <w:bCs/>
          <w:color w:val="002060"/>
          <w:sz w:val="16"/>
          <w:szCs w:val="16"/>
        </w:rPr>
        <w:softHyphen/>
        <w:t>чатых веществ, гильз, капсюльных втулок, дистанционных трубок и взрывателей и т. п.</w:t>
      </w:r>
    </w:p>
    <w:p w14:paraId="36FCC88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Дело с расширением производства артиллерийских выстрелов продвигалось медленно. Не надеясь на Военное министерство, Став</w:t>
      </w:r>
      <w:r w:rsidRPr="00405303">
        <w:rPr>
          <w:bCs/>
          <w:color w:val="002060"/>
          <w:sz w:val="16"/>
          <w:szCs w:val="16"/>
        </w:rPr>
        <w:softHyphen/>
        <w:t>ка в мае 1915 г. обратилась к правительству с предложением об ор</w:t>
      </w:r>
      <w:r w:rsidRPr="00405303">
        <w:rPr>
          <w:bCs/>
          <w:color w:val="002060"/>
          <w:sz w:val="16"/>
          <w:szCs w:val="16"/>
        </w:rPr>
        <w:softHyphen/>
        <w:t>ганизации Особого совещания по обороне государства, которое взя</w:t>
      </w:r>
      <w:r w:rsidRPr="00405303">
        <w:rPr>
          <w:bCs/>
          <w:color w:val="002060"/>
          <w:sz w:val="16"/>
          <w:szCs w:val="16"/>
        </w:rPr>
        <w:softHyphen/>
        <w:t>ло бы на себя организацию и регулирование производства вооруже</w:t>
      </w:r>
      <w:r w:rsidRPr="00405303">
        <w:rPr>
          <w:bCs/>
          <w:color w:val="002060"/>
          <w:sz w:val="16"/>
          <w:szCs w:val="16"/>
        </w:rPr>
        <w:softHyphen/>
        <w:t>ния и боеприпасов. Особое совещание было создано и сыграло важ</w:t>
      </w:r>
      <w:r w:rsidRPr="00405303">
        <w:rPr>
          <w:bCs/>
          <w:color w:val="002060"/>
          <w:sz w:val="16"/>
          <w:szCs w:val="16"/>
        </w:rPr>
        <w:softHyphen/>
        <w:t>ную роль в мобилизации промышленности России для работы на нужды обороны.</w:t>
      </w:r>
    </w:p>
    <w:p w14:paraId="1AA6A55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 изготовлению корпусов снарядов всех калибров во время пер</w:t>
      </w:r>
      <w:r w:rsidRPr="00405303">
        <w:rPr>
          <w:bCs/>
          <w:color w:val="002060"/>
          <w:sz w:val="16"/>
          <w:szCs w:val="16"/>
        </w:rPr>
        <w:softHyphen/>
        <w:t>вой мировой войны были привлечены около 50 крупных металлур</w:t>
      </w:r>
      <w:r w:rsidRPr="00405303">
        <w:rPr>
          <w:bCs/>
          <w:color w:val="002060"/>
          <w:sz w:val="16"/>
          <w:szCs w:val="16"/>
        </w:rPr>
        <w:softHyphen/>
        <w:t>гических и металлообрабатывающих заводов и несколько сотен дру</w:t>
      </w:r>
      <w:r w:rsidRPr="00405303">
        <w:rPr>
          <w:bCs/>
          <w:color w:val="002060"/>
          <w:sz w:val="16"/>
          <w:szCs w:val="16"/>
        </w:rPr>
        <w:softHyphen/>
        <w:t>гих заводов и мастерских.</w:t>
      </w:r>
    </w:p>
    <w:p w14:paraId="0620AA9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Группа Путиловского завода объединяла следующие предприя</w:t>
      </w:r>
      <w:r w:rsidRPr="00405303">
        <w:rPr>
          <w:bCs/>
          <w:color w:val="002060"/>
          <w:sz w:val="16"/>
          <w:szCs w:val="16"/>
        </w:rPr>
        <w:softHyphen/>
        <w:t>тия: Путиловский завод, завод Русского общества изготовления сна</w:t>
      </w:r>
      <w:r w:rsidRPr="00405303">
        <w:rPr>
          <w:bCs/>
          <w:color w:val="002060"/>
          <w:sz w:val="16"/>
          <w:szCs w:val="16"/>
        </w:rPr>
        <w:softHyphen/>
        <w:t>рядов (бывший «Парвиайнен»), Коломенский и Русско-Балтийский. Созданная ГАУ специальная организация во главе с начальни</w:t>
      </w:r>
      <w:r w:rsidRPr="00405303">
        <w:rPr>
          <w:bCs/>
          <w:color w:val="002060"/>
          <w:sz w:val="16"/>
          <w:szCs w:val="16"/>
        </w:rPr>
        <w:softHyphen/>
        <w:t>ком Брянского арсенала генералом С. Н. Банковым по производству снарядов французского образца вначале кооперировала 200 пред</w:t>
      </w:r>
      <w:r w:rsidRPr="00405303">
        <w:rPr>
          <w:bCs/>
          <w:color w:val="002060"/>
          <w:sz w:val="16"/>
          <w:szCs w:val="16"/>
        </w:rPr>
        <w:softHyphen/>
        <w:t>приятий, а к концу 1916 г. — до 500. В их числе было много перво</w:t>
      </w:r>
      <w:r w:rsidRPr="00405303">
        <w:rPr>
          <w:bCs/>
          <w:color w:val="002060"/>
          <w:sz w:val="16"/>
          <w:szCs w:val="16"/>
        </w:rPr>
        <w:softHyphen/>
        <w:t>классных заводов [21, 63].</w:t>
      </w:r>
    </w:p>
    <w:p w14:paraId="2E3DCD2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Значительное число более мелких предприятий действовало под руководством Центрального военно-промышленного комитета, Все</w:t>
      </w:r>
      <w:r w:rsidRPr="00405303">
        <w:rPr>
          <w:bCs/>
          <w:color w:val="002060"/>
          <w:sz w:val="16"/>
          <w:szCs w:val="16"/>
        </w:rPr>
        <w:softHyphen/>
        <w:t>российского союза земств и городов, Нижегородского биржевого комитета [5, с. 195].</w:t>
      </w:r>
    </w:p>
    <w:p w14:paraId="13F4510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целью создания более благоприятных условий для увеличения выпуска корпусов снарядов в начале 1915 г. ГАУ ослабило чрезмер</w:t>
      </w:r>
      <w:r w:rsidRPr="00405303">
        <w:rPr>
          <w:bCs/>
          <w:color w:val="002060"/>
          <w:sz w:val="16"/>
          <w:szCs w:val="16"/>
        </w:rPr>
        <w:softHyphen/>
        <w:t>но строгие требования к приему корпусов снарядов. Кроме того, из-за недостатка стали было принято решение изготовлять гранаты из обыкновенного и сталистого чугуна по упрощенному французскому образцу, т. е. цельнокорпусными без отдельной привинтной головки. Налаживание массового производства корпусов снарядов было связано с рядом трудностей. До войны основным источником приоб</w:t>
      </w:r>
      <w:r w:rsidRPr="00405303">
        <w:rPr>
          <w:bCs/>
          <w:color w:val="002060"/>
          <w:sz w:val="16"/>
          <w:szCs w:val="16"/>
        </w:rPr>
        <w:softHyphen/>
        <w:t>ретения металлообрабатывающих станков, специального оборудова</w:t>
      </w:r>
      <w:r w:rsidRPr="00405303">
        <w:rPr>
          <w:bCs/>
          <w:color w:val="002060"/>
          <w:sz w:val="16"/>
          <w:szCs w:val="16"/>
        </w:rPr>
        <w:softHyphen/>
        <w:t>ния и многих видов сырья являлся германский рынок. С началом войны он стал недоступным, пришлось организовывать многие про</w:t>
      </w:r>
      <w:r w:rsidRPr="00405303">
        <w:rPr>
          <w:bCs/>
          <w:color w:val="002060"/>
          <w:sz w:val="16"/>
          <w:szCs w:val="16"/>
        </w:rPr>
        <w:softHyphen/>
        <w:t>изводства внутри страны или искать поставщиков среди союзни</w:t>
      </w:r>
      <w:r w:rsidRPr="00405303">
        <w:rPr>
          <w:bCs/>
          <w:color w:val="002060"/>
          <w:sz w:val="16"/>
          <w:szCs w:val="16"/>
        </w:rPr>
        <w:softHyphen/>
        <w:t>ков. Многие материалы, необходимые для военного производства, стали дефицитными из-за резко возросшего спроса на них во всех воюющих державах. Осложнилась доставка импортных грузов из-за закрытия портов Балтийского моря.</w:t>
      </w:r>
    </w:p>
    <w:p w14:paraId="1ED41BD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Затрудняло работу отсутствие опыта производства корпусов сна</w:t>
      </w:r>
      <w:r w:rsidRPr="00405303">
        <w:rPr>
          <w:bCs/>
          <w:color w:val="002060"/>
          <w:sz w:val="16"/>
          <w:szCs w:val="16"/>
        </w:rPr>
        <w:softHyphen/>
        <w:t>рядов, незнание специфики массового производства вообще и сна</w:t>
      </w:r>
      <w:r w:rsidRPr="00405303">
        <w:rPr>
          <w:bCs/>
          <w:color w:val="002060"/>
          <w:sz w:val="16"/>
          <w:szCs w:val="16"/>
        </w:rPr>
        <w:softHyphen/>
        <w:t>рядного в частности. На большинстве заводов не было хорошего обо</w:t>
      </w:r>
      <w:r w:rsidRPr="00405303">
        <w:rPr>
          <w:bCs/>
          <w:color w:val="002060"/>
          <w:sz w:val="16"/>
          <w:szCs w:val="16"/>
        </w:rPr>
        <w:softHyphen/>
        <w:t>рудования; рабочие не имели квалификации, требуемой для изготов</w:t>
      </w:r>
      <w:r w:rsidRPr="00405303">
        <w:rPr>
          <w:bCs/>
          <w:color w:val="002060"/>
          <w:sz w:val="16"/>
          <w:szCs w:val="16"/>
        </w:rPr>
        <w:softHyphen/>
        <w:t>ления такой точной продукции, как артиллерийские снаряды. Даже Путиловский завод, получивший крупный заказ в августе 1914 г., смог дать первую партию корпусов снарядов (26 711 шт.) только в ноябре 1914 г., Петроградский механический завод изготовил в де</w:t>
      </w:r>
      <w:r w:rsidRPr="00405303">
        <w:rPr>
          <w:bCs/>
          <w:color w:val="002060"/>
          <w:sz w:val="16"/>
          <w:szCs w:val="16"/>
        </w:rPr>
        <w:softHyphen/>
        <w:t>кабре 1914 г. всего 1009 корпусов. Балтийский, Николаевский и не</w:t>
      </w:r>
      <w:r w:rsidRPr="00405303">
        <w:rPr>
          <w:bCs/>
          <w:color w:val="002060"/>
          <w:sz w:val="16"/>
          <w:szCs w:val="16"/>
        </w:rPr>
        <w:softHyphen/>
        <w:t>которые другие заводы выдали первые партии снарядов лишь в янва</w:t>
      </w:r>
      <w:r w:rsidRPr="00405303">
        <w:rPr>
          <w:bCs/>
          <w:color w:val="002060"/>
          <w:sz w:val="16"/>
          <w:szCs w:val="16"/>
        </w:rPr>
        <w:softHyphen/>
        <w:t>ре—феврале 1915 г. (5484).</w:t>
      </w:r>
    </w:p>
    <w:p w14:paraId="4A3C8203" w14:textId="77777777" w:rsidR="004B4E35" w:rsidRPr="00405303" w:rsidRDefault="004B4E35" w:rsidP="00C15251">
      <w:pPr>
        <w:shd w:val="clear" w:color="auto" w:fill="FFFFFF"/>
        <w:jc w:val="both"/>
        <w:rPr>
          <w:bCs/>
          <w:color w:val="002060"/>
          <w:sz w:val="16"/>
          <w:szCs w:val="16"/>
        </w:rPr>
      </w:pPr>
    </w:p>
    <w:p w14:paraId="0E54797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С весны 1915 г, формируется так называемая "Группа Царицынского завода" в составе Царицынского (номинально), Сормовского, Петроградского металлического заводов и завода Лесснера, которые под руководством правления РАОАЗ превращались в единую организацию. </w:t>
      </w:r>
    </w:p>
    <w:p w14:paraId="59C3C16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Заказы на металлообрабатывающие станки для производства малокалиберной артиллерии были сделаны американским и английским фирмам уже в период войны, что давало очень малую вероятность их своевременной доставки на заводы. Последовали также заказы и на комплектующие детали орудийных систем. Часть таких заказов разместили на российских предприятиях, а часть опять решили закупить за границей - в Швеции, Америке и Франции (11448).</w:t>
      </w:r>
    </w:p>
    <w:p w14:paraId="45DFBF6C" w14:textId="77777777" w:rsidR="004B4E35" w:rsidRPr="00405303" w:rsidRDefault="004B4E35" w:rsidP="00C15251">
      <w:pPr>
        <w:pStyle w:val="a3"/>
        <w:jc w:val="both"/>
        <w:rPr>
          <w:bCs/>
          <w:i w:val="0"/>
          <w:color w:val="002060"/>
          <w:spacing w:val="0"/>
          <w:kern w:val="0"/>
          <w:position w:val="0"/>
          <w:sz w:val="16"/>
          <w:szCs w:val="16"/>
        </w:rPr>
      </w:pPr>
    </w:p>
    <w:p w14:paraId="33BF69C0" w14:textId="2A1702A9" w:rsidR="004B4E35" w:rsidRPr="00405303" w:rsidRDefault="00957EEC" w:rsidP="00C15251">
      <w:pPr>
        <w:jc w:val="both"/>
        <w:rPr>
          <w:bCs/>
          <w:color w:val="002060"/>
          <w:sz w:val="16"/>
          <w:szCs w:val="16"/>
        </w:rPr>
      </w:pPr>
      <w:r w:rsidRPr="00405303">
        <w:rPr>
          <w:bCs/>
          <w:color w:val="002060"/>
          <w:sz w:val="16"/>
          <w:szCs w:val="16"/>
        </w:rPr>
        <w:t>В</w:t>
      </w:r>
      <w:r w:rsidR="009E6F82" w:rsidRPr="00405303">
        <w:rPr>
          <w:bCs/>
          <w:color w:val="002060"/>
          <w:sz w:val="16"/>
          <w:szCs w:val="16"/>
        </w:rPr>
        <w:t>есной 1915 г.</w:t>
      </w:r>
      <w:r w:rsidRPr="00405303">
        <w:rPr>
          <w:bCs/>
          <w:color w:val="002060"/>
          <w:sz w:val="16"/>
          <w:szCs w:val="16"/>
        </w:rPr>
        <w:t xml:space="preserve"> деятельность организации, созданной</w:t>
      </w:r>
      <w:r w:rsidR="009E6F82" w:rsidRPr="00405303">
        <w:rPr>
          <w:bCs/>
          <w:color w:val="002060"/>
          <w:sz w:val="16"/>
          <w:szCs w:val="16"/>
        </w:rPr>
        <w:t xml:space="preserve"> при Уполномоченном ГАУ генерал-майоре С.Н. Ванкове [О С.Н. Ванкове см.: Григорович К.П. С.Н. Ванков // Вестник металлопромышленности. 1929. № 6; Черняк А.Я. Семен Николаевич Ванков. 1859-1937. М., 1984.] для производства трехдюймовых гранат по французскому образцу (далее - Организация Ванкова)</w:t>
      </w:r>
      <w:r w:rsidRPr="00405303">
        <w:rPr>
          <w:bCs/>
          <w:color w:val="002060"/>
          <w:sz w:val="16"/>
          <w:szCs w:val="16"/>
        </w:rPr>
        <w:t xml:space="preserve"> оказала значительное влияние на расширение промышленного потенциала российской металлообрабатывающей промышленности, а также химических предприятий по производству взрывчатых веществ</w:t>
      </w:r>
      <w:r w:rsidR="009E6F82" w:rsidRPr="00405303">
        <w:rPr>
          <w:bCs/>
          <w:color w:val="002060"/>
          <w:sz w:val="16"/>
          <w:szCs w:val="16"/>
        </w:rPr>
        <w:t>. Впервые «комиссионерский» способ был применен для заготовления чрезвычайно важного предмета вооружения и в очень больших масштабах. Организация Ванкова была не просто раздаточной конторой. Она оказывала содействие заводам в снабжении их сырьем, топливом, рабочей силой, осуществляла финансирование их деятельности, предоставляла им техническую помощь и контролировала технологию производственного процесса. Создание организации было обусловлено кризисом артиллерийского снабжения русской армии на рубеже 1914-15 гг. и уже значительной перегруженностью заказами ГАУ большинства крупных металлообрабатывающих предприятий. Способ, использованный во Франции в ходе решения тех же проблем, предполагал привлечение мелких предприятий и мастерских для производства достаточно крупных заказов на отдельные части гранаты или отдельные операции по ее изготовлению под руководством и при техническом содействии наблюдающих военных специалистов и инженеров.</w:t>
      </w:r>
    </w:p>
    <w:p w14:paraId="5148CA95" w14:textId="77777777" w:rsidR="004B4E35" w:rsidRPr="00405303" w:rsidRDefault="009E6F82" w:rsidP="00C15251">
      <w:pPr>
        <w:jc w:val="both"/>
        <w:rPr>
          <w:bCs/>
          <w:color w:val="002060"/>
          <w:sz w:val="16"/>
          <w:szCs w:val="16"/>
        </w:rPr>
      </w:pPr>
      <w:r w:rsidRPr="00405303">
        <w:rPr>
          <w:bCs/>
          <w:color w:val="002060"/>
          <w:sz w:val="16"/>
          <w:szCs w:val="16"/>
        </w:rPr>
        <w:t xml:space="preserve">Объем первого заказа (1 млн. трехдюймовых гранат, 1010 тыс. запальных стаканов и столько же детонаторных трубок) не предполагал расширения производства привлекаемых заводов, но многие из них уже с весны 1915 г. начали работы по переоборудованию и расширению предприятий, стремясь использовать летний строительный сезон. Эта деятельность получила новый импульс, когда в июне 1915 г. Военный Совет выдал новые заказы на 2,6 млн. корпусов гранат и соответственно такое же количество запальных стаканов и детонаторных трубок. В дальнейшем шло еще более значительное увеличение объемов заказов как на 3-дюймовые гранаты, так и на 6- и 48-дюймовые бомбы [История организации ... Ванкова. С. 17.]. Такая ситуация укрепляла интерес предпринимателей и стимулировала расширение ими производства на своих предприятиях. </w:t>
      </w:r>
    </w:p>
    <w:p w14:paraId="70909C2E" w14:textId="77777777" w:rsidR="004B4E35" w:rsidRPr="00405303" w:rsidRDefault="009E6F82" w:rsidP="00C15251">
      <w:pPr>
        <w:jc w:val="both"/>
        <w:rPr>
          <w:bCs/>
          <w:color w:val="002060"/>
          <w:sz w:val="16"/>
          <w:szCs w:val="16"/>
        </w:rPr>
      </w:pPr>
      <w:r w:rsidRPr="00405303">
        <w:rPr>
          <w:bCs/>
          <w:color w:val="002060"/>
          <w:sz w:val="16"/>
          <w:szCs w:val="16"/>
        </w:rPr>
        <w:t xml:space="preserve">Как указывалось в отчете о деятельности Организации Ванкова, в системе российской промышленности было мало массовых механических производств, крайне невелик был опыт точных работ, то есть строго по чертежам и с соблюдением соответствующих размеров изделий [Там же. С. 48-50.]. Основная масса предприятий (общее их число в отдельные периоды достигало 500 заведений), привлеченных организацией Ванкова, располагалась в Средней и Южной России, и большинство из них не являлись специализированными металлообрабатывающими предприятиями. Среди них были заведения пищевкусовой промышленности (мельницы, винные склады), ремонтные мастерские текстильных фабрик, лаборатории учебных заведений, кооперированные силами военно-промышленных комитетов объединения кустарных мастерских. Их отличала бедность станочного парка, недостаток квалифицированных кадров. Со стороны Организации Ванкова в этой связи принимались меры по обучению кадров, жесткому внедрению технологической дисциплины и стандартизации производства, увеличению оборудования путем закупок и распределения реквизированного оборудования, а также внесения изменений в способы изготовления изделий </w:t>
      </w:r>
      <w:proofErr w:type="gramStart"/>
      <w:r w:rsidRPr="00405303">
        <w:rPr>
          <w:bCs/>
          <w:color w:val="002060"/>
          <w:sz w:val="16"/>
          <w:szCs w:val="16"/>
        </w:rPr>
        <w:t>[Например</w:t>
      </w:r>
      <w:proofErr w:type="gramEnd"/>
      <w:r w:rsidRPr="00405303">
        <w:rPr>
          <w:bCs/>
          <w:color w:val="002060"/>
          <w:sz w:val="16"/>
          <w:szCs w:val="16"/>
        </w:rPr>
        <w:t xml:space="preserve">, вместо вытачивания корпусов гранат использовалась их штамповка. На множество более простых операций было разделено производство запальных стаканов, что позволило осуществить их выпуск на простых токарных, револьверных и винторезных станках и при работе на них неквалифицированных рабочих. См об этом: История организации ...Ванкова. С. 85-88.]. </w:t>
      </w:r>
    </w:p>
    <w:p w14:paraId="76C479AF" w14:textId="77777777" w:rsidR="004B4E35" w:rsidRPr="00405303" w:rsidRDefault="009E6F82" w:rsidP="00C15251">
      <w:pPr>
        <w:jc w:val="both"/>
        <w:rPr>
          <w:bCs/>
          <w:color w:val="002060"/>
          <w:sz w:val="16"/>
          <w:szCs w:val="16"/>
        </w:rPr>
      </w:pPr>
      <w:r w:rsidRPr="00405303">
        <w:rPr>
          <w:bCs/>
          <w:color w:val="002060"/>
          <w:sz w:val="16"/>
          <w:szCs w:val="16"/>
        </w:rPr>
        <w:t>Число крупных предприятий, специально построенных для исполнения заказов на 3-дюймовые гранаты, было невелико. Среди них, безусловно, выделяются предприятия известного промышленника и финансиста Н.А. Второва, который был специально привлечен для устройства снаряжательного завода и стал особым контрагентом Организации Ванкова. Для постройки было решено выбрать помещения и территорию реквизированной красочной фабрики немецкой фирмы «Фридрих Байер и Ко» в Москве. Решение о реквизиции было получено 15 мая 1915 г., а уже 20 мая приступили к переоборудованию старых и возведению новых зданий и специальных сооружений, в том числе и на арендованной по соседству земле дворцового ведомства. Завод был рассчитан на ежедневное снаряжение 6-7 тыс. гранат. В ходе начавшейся стройки стала очевидна необходимость сооружения второго предприятия. Второву было предложено еще до увеличения заказов на свой страх и риск оборудовать его из расчета 18 тыс. гранат в день. Закладка нового завода состоялась в день окончания сооружения первого - 28 июня 1915 г. Он был построен через четыре месяца. Второвым с середины 1916 г. строился также снарядный завод в Богородске Московской губернии. В октябре 1916 г. общая производительность новых заводов превысила проектную мощность и составила более 1 млн. гранат в месяц [История организации... Ванкова. С. 87.].</w:t>
      </w:r>
    </w:p>
    <w:p w14:paraId="6A7D1AD8" w14:textId="77777777" w:rsidR="004B4E35" w:rsidRPr="00405303" w:rsidRDefault="009E6F82" w:rsidP="00C15251">
      <w:pPr>
        <w:jc w:val="both"/>
        <w:rPr>
          <w:bCs/>
          <w:color w:val="002060"/>
          <w:sz w:val="16"/>
          <w:szCs w:val="16"/>
        </w:rPr>
      </w:pPr>
      <w:r w:rsidRPr="00405303">
        <w:rPr>
          <w:bCs/>
          <w:color w:val="002060"/>
          <w:sz w:val="16"/>
          <w:szCs w:val="16"/>
        </w:rPr>
        <w:t>В системе крупных промышленных предприятий Организации Ванкова, появившихся в годы Первой мировой войны, можно назвать отлично оборудованный Конотопский снарядный завод, построенный по инициативе М.И. Терещенко, и оснащенный прекрасными станками, Демиевский снарядный завод, устроенный по инициативе члена Государственной думы В.Я. Демченко в помещении казенного винного склада [Там же. С. 163.].</w:t>
      </w:r>
    </w:p>
    <w:p w14:paraId="5C7BBC70"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Деятельность Организации Ванкова на территории губерний Центрально-черноземной области, Среднего Поволжья привела к значительному росту численности промышленных предприятий и формированию кадров фабрично-заводских рабочих в этих регионах. </w:t>
      </w:r>
    </w:p>
    <w:p w14:paraId="11F90B14" w14:textId="77777777" w:rsidR="004B4E35" w:rsidRPr="00405303" w:rsidRDefault="009E6F82" w:rsidP="00C15251">
      <w:pPr>
        <w:jc w:val="both"/>
        <w:rPr>
          <w:bCs/>
          <w:color w:val="002060"/>
          <w:sz w:val="16"/>
          <w:szCs w:val="16"/>
        </w:rPr>
      </w:pPr>
      <w:r w:rsidRPr="00405303">
        <w:rPr>
          <w:bCs/>
          <w:color w:val="002060"/>
          <w:sz w:val="16"/>
          <w:szCs w:val="16"/>
        </w:rPr>
        <w:t>Поскольку обе рассмотренные организации были созданы при ГАУ, то нельзя не сказать о записке начальника ГАУ генерал-лейтенанта А.А. Маниковского, поступившей в Особое совещание по обороне в октябре 1916 г. [РГВИА. Ф. 369. Оп. 3. Д. 119. В деле типографский экземпляр записки, принадлежавший Е.З. Барсукову. Там же ряд приложений к документу. Подробнее см.: Сидоров А.Л. К вопросу о строительстве казенных заводов в России в годы первой мировой войны // ИЗ. Т. 54. М., 1955; Поликарпов В.В. О так называемой «программе Маниковского» 1916 года // ИЗ. Т. 109. М., 1983.] Маниковский видел задачу заводского строительства в создании мощной отечественной промышленности с целью ликвидации зависимости России от других стран в сфере промышленного производства. Им особо оговаривалось значение послевоенных перспектив развития российской индустрии. Маниковский подчеркивал, что после войны конкуренция и экономическая борьба между странами возрастет, и делал такой вывод: «Если мы не будем готовы к ней [конкуренции - С.В.], то могучая техника, и наших друзей, и наших врагов, раздавит нашу все еще слабую технику».</w:t>
      </w:r>
    </w:p>
    <w:p w14:paraId="1A2AB172" w14:textId="77777777" w:rsidR="004B4E35" w:rsidRPr="00405303" w:rsidRDefault="009E6F82" w:rsidP="00C15251">
      <w:pPr>
        <w:jc w:val="both"/>
        <w:rPr>
          <w:bCs/>
          <w:color w:val="002060"/>
          <w:sz w:val="16"/>
          <w:szCs w:val="16"/>
        </w:rPr>
      </w:pPr>
      <w:r w:rsidRPr="00405303">
        <w:rPr>
          <w:bCs/>
          <w:color w:val="002060"/>
          <w:sz w:val="16"/>
          <w:szCs w:val="16"/>
        </w:rPr>
        <w:t xml:space="preserve">С точки зрения производственно-отраслевой ориентация программа была весьма ограничена. Ее автор рекомендовал сооружение в основном военных предприятий, прежде всего, артиллерийского вооружения и ряда химических заводов. В программе совершенно отсутствовали заводы новейших производств и весьма скупо были указаны объекты в базовых отраслях тяжелой промышленности. Маниковский предлагал сооружение сталелитейного завода на территории Области Войска Донского, алюминиевого на Азовско-Черноморском побережье и станкостроительного в Туле. Программа была сугубо прагматической, нацеленной на некоторое улучшение вооружения войск в условиях данной войны. Более общее значение имела идея создания в каждом отдельном производстве самостоятельной группы предприятий, ядром которой был казенный завод, но которая включала бы и частные заведения. Маниковский считал необходимым построить в первую очередь 37 казенных заводов, как технически более сильных, а главное более выгодных для казны, поставляющих продукцию по более низким ценам. </w:t>
      </w:r>
    </w:p>
    <w:p w14:paraId="72E61836" w14:textId="77777777" w:rsidR="004B4E35" w:rsidRPr="00405303" w:rsidRDefault="009E6F82" w:rsidP="00C15251">
      <w:pPr>
        <w:jc w:val="both"/>
        <w:rPr>
          <w:bCs/>
          <w:color w:val="002060"/>
          <w:sz w:val="16"/>
          <w:szCs w:val="16"/>
        </w:rPr>
      </w:pPr>
      <w:r w:rsidRPr="00405303">
        <w:rPr>
          <w:bCs/>
          <w:color w:val="002060"/>
          <w:sz w:val="16"/>
          <w:szCs w:val="16"/>
        </w:rPr>
        <w:t>Уже в момент обсуждения программы значительное число заводов были начаты постройкой. По данным конца 1916 г. насчитывалось 16 построенных предприятий и 21 сооружавшееся. Это явилось практически удвоением общего числа казенных заведений, которые подчинялись ГАУ до войны. Наибольшее количество новых заводов (18) приходилось на пороховые, химические предприятия, заводы и мастерские взрывчатых веществ. Значительное число (13) заведений возникло в системе снарядного, трубочного, снаряжательного производств, заводов взрывателей. В системе других оборонных предприятий новые заводы были единичны и, как правило, еще строились: Саратовский орудийный, новый Тульский оружейный, пулеметный в Коврове (строительство вел Датский ружейный синдикат), 3-й патронный в Симбирске [РГВИА. Ф. 369. Оп. 3. Д. 119. Л. 1об., 5, 67, 71.] (11863).</w:t>
      </w:r>
    </w:p>
    <w:p w14:paraId="003BB97F" w14:textId="77777777" w:rsidR="004B4E35" w:rsidRPr="00405303" w:rsidRDefault="004B4E35" w:rsidP="00C15251">
      <w:pPr>
        <w:jc w:val="both"/>
        <w:rPr>
          <w:bCs/>
          <w:color w:val="002060"/>
          <w:sz w:val="16"/>
          <w:szCs w:val="16"/>
        </w:rPr>
      </w:pPr>
    </w:p>
    <w:p w14:paraId="0E47E394" w14:textId="366BE9EA" w:rsidR="004B4E35" w:rsidRPr="00405303" w:rsidRDefault="007A17B0"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есной 1915 г. </w:t>
      </w:r>
      <w:r w:rsidRPr="00405303">
        <w:rPr>
          <w:bCs/>
          <w:color w:val="002060"/>
          <w:sz w:val="16"/>
          <w:szCs w:val="16"/>
        </w:rPr>
        <w:t xml:space="preserve">поворотным пунктом в истории химической промышленности России стало появление </w:t>
      </w:r>
      <w:r w:rsidR="009E6F82" w:rsidRPr="00405303">
        <w:rPr>
          <w:bCs/>
          <w:color w:val="002060"/>
          <w:sz w:val="16"/>
          <w:szCs w:val="16"/>
        </w:rPr>
        <w:t>на арене военных действий химического оружия. Военное министерство России (как и соответствующие органы других стран) поставило вопрос о создании своего, отечественного производства этого вида оружия. Для этого в конце 1915 г. была организована Комиссия по изысканию и заготовлению удушающих и зажигательных средств при ГАУ. В ее задачу входила научная и производственная разработка отечественного химического оружия и зажигательных средств борьбы. Достижение этой цели также опиралось на химические продукты, производившиеся мирной химической промышленностью (11423).</w:t>
      </w:r>
    </w:p>
    <w:p w14:paraId="76F25F35" w14:textId="77777777" w:rsidR="004B4E35" w:rsidRPr="00405303" w:rsidRDefault="009E6F82" w:rsidP="00C15251">
      <w:pPr>
        <w:jc w:val="both"/>
        <w:rPr>
          <w:bCs/>
          <w:color w:val="002060"/>
          <w:sz w:val="16"/>
          <w:szCs w:val="16"/>
        </w:rPr>
      </w:pPr>
      <w:r w:rsidRPr="00405303">
        <w:rPr>
          <w:bCs/>
          <w:color w:val="002060"/>
          <w:sz w:val="16"/>
          <w:szCs w:val="16"/>
        </w:rPr>
        <w:t>Таким образом, в годы первой мировой войны для обеспечения армии боеприпасами и химическим оружием государство было вынуждено вмешаться в развитие химической отрасли. Деятельность военно-химических заводов оказалась неотделима от предприятий, выпускавших продукцию мирного назначения. Поэтому увеличение продукции военной химии неизбежно вело за собой развитие мирной химической промышленности. Во главе развития этой отрасли стояло Военное министерство России (11423).</w:t>
      </w:r>
    </w:p>
    <w:p w14:paraId="4B3B7689" w14:textId="77777777" w:rsidR="004B4E35" w:rsidRPr="00405303" w:rsidRDefault="004B4E35" w:rsidP="00C15251">
      <w:pPr>
        <w:jc w:val="both"/>
        <w:rPr>
          <w:bCs/>
          <w:color w:val="002060"/>
          <w:sz w:val="16"/>
          <w:szCs w:val="16"/>
        </w:rPr>
      </w:pPr>
    </w:p>
    <w:p w14:paraId="6DD5657E" w14:textId="516BB405" w:rsidR="004B4E35" w:rsidRPr="00405303" w:rsidRDefault="00957EEC" w:rsidP="00C15251">
      <w:pPr>
        <w:jc w:val="both"/>
        <w:rPr>
          <w:bCs/>
          <w:color w:val="002060"/>
          <w:sz w:val="16"/>
          <w:szCs w:val="16"/>
        </w:rPr>
      </w:pPr>
      <w:r w:rsidRPr="00405303">
        <w:rPr>
          <w:bCs/>
          <w:color w:val="002060"/>
          <w:sz w:val="16"/>
          <w:szCs w:val="16"/>
        </w:rPr>
        <w:t>С</w:t>
      </w:r>
      <w:r w:rsidR="009E6F82" w:rsidRPr="00405303">
        <w:rPr>
          <w:bCs/>
          <w:color w:val="002060"/>
          <w:sz w:val="16"/>
          <w:szCs w:val="16"/>
        </w:rPr>
        <w:t xml:space="preserve"> весны 1915 г. полномасштабно проявился кризис вооружения русской армии, и государственная власть вынуждена была принимать энергичные меры для его ликвидации. В ходе решения этой проблемы предполагалось широкое привлечение частной промышленности к выпуску предметов вооружения и общего материально-технического обеспечения фронта. Основным методом выполнения этой задачи стала широкая выдача казенных заказов, которая, как правило, предполагала строительство новых заводов, реконструкцию предприятий и даже их отраслевую переориентацию. Этот период продолжался приблизительно до начала 1916 г., когда стала очевидной необходимость принятия более радикальных мер для развития отечественной промышленности. Третий период (с начала 1916 г. и до осени 1917 г.) характеризуется выработкой определенных «программ» заводского строительства, которые касались сооружения не отдельных предприятий, а определенных групп заведений соответствующей производственной направленности (11863).</w:t>
      </w:r>
    </w:p>
    <w:p w14:paraId="2EA3905B" w14:textId="77777777" w:rsidR="004B4E35" w:rsidRPr="00405303" w:rsidRDefault="004B4E35" w:rsidP="00C15251">
      <w:pPr>
        <w:jc w:val="both"/>
        <w:rPr>
          <w:bCs/>
          <w:color w:val="002060"/>
          <w:sz w:val="16"/>
          <w:szCs w:val="16"/>
        </w:rPr>
      </w:pPr>
    </w:p>
    <w:p w14:paraId="53E5B705" w14:textId="65C2A106" w:rsidR="004B4E35" w:rsidRPr="00405303" w:rsidRDefault="00957EEC" w:rsidP="00C15251">
      <w:pPr>
        <w:jc w:val="both"/>
        <w:rPr>
          <w:bCs/>
          <w:color w:val="002060"/>
          <w:sz w:val="16"/>
          <w:szCs w:val="16"/>
        </w:rPr>
      </w:pPr>
      <w:r w:rsidRPr="00405303">
        <w:rPr>
          <w:bCs/>
          <w:color w:val="002060"/>
          <w:sz w:val="16"/>
          <w:szCs w:val="16"/>
        </w:rPr>
        <w:t>С</w:t>
      </w:r>
      <w:r w:rsidR="009E6F82" w:rsidRPr="00405303">
        <w:rPr>
          <w:bCs/>
          <w:color w:val="002060"/>
          <w:sz w:val="16"/>
          <w:szCs w:val="16"/>
        </w:rPr>
        <w:t xml:space="preserve"> весны 1915 г., когда были резко увеличены нормы боевого и материального обеспечения русской армии. Предоставление заказов предусматривало, как правило, или строительство нового предприятия, или значительное расширение старых, в том числе благодаря постройке новых цехов и отделений. Этот процесс особенно захватил металлообрабатывающие и химические производства, непосредственно связанные с выпуском вооружений, предметов боевого снабжения армии, но коснулся предприятий и других отраслей промышленности. Основу стихийного роста заводского строительства в годы войны составило стремление заводчиков получить дорогостоящие казенные заказы в условиях острого кризиса вооружений, который переживала русская армия уже с начала 1915 г. В то же время развитие этого процесса стимулировалось существовавшими и вновь созданными государственными структурами, в задачи которых входило привлечение более значительного круга отечественных предприятий к работе на оборону, оказание им финансового и технического содействия в налаживании нового производства, а также последующий контроль за работой этих предприятий для обеспечения своевременного исполнения заказов. Этими вопросами в первую очередь с начала войны занимались управления Военного и Морского министерств, предоставляя заказы частным предприятиям. Однако гораздо более существенной в этом процессе была роль чрезвычайных организаций военного времени (11863).</w:t>
      </w:r>
    </w:p>
    <w:p w14:paraId="2EAB0AFE" w14:textId="77777777" w:rsidR="004B4E35" w:rsidRPr="00405303" w:rsidRDefault="004B4E35" w:rsidP="00C15251">
      <w:pPr>
        <w:jc w:val="both"/>
        <w:rPr>
          <w:bCs/>
          <w:color w:val="002060"/>
          <w:sz w:val="16"/>
          <w:szCs w:val="16"/>
        </w:rPr>
      </w:pPr>
    </w:p>
    <w:p w14:paraId="50F517D8" w14:textId="77777777" w:rsidR="004B4E35" w:rsidRPr="00405303" w:rsidRDefault="009E6F82" w:rsidP="00C15251">
      <w:pPr>
        <w:jc w:val="both"/>
        <w:rPr>
          <w:bCs/>
          <w:color w:val="002060"/>
          <w:sz w:val="16"/>
          <w:szCs w:val="16"/>
        </w:rPr>
      </w:pPr>
      <w:r w:rsidRPr="00405303">
        <w:rPr>
          <w:bCs/>
          <w:color w:val="002060"/>
          <w:sz w:val="16"/>
          <w:szCs w:val="16"/>
        </w:rPr>
        <w:t xml:space="preserve">Весной 1915 года (т.е. во время испытаний «Вездехода») Пороховщиков предложил броню собственной разработки: «Броня представляет собою комбинацию из упругих и жестких слоев металла и особых вязких и упругих прокладок». Котельное железо отжигалось «по способу, составляющему секрет изобретателя», а в качестве прокладки «после громадного числа опытов» он выбрал сушеную и прессованную морскую траву. Особо подчеркивал автор дешевизну «железной брони», возможность гнуть и варить ее. </w:t>
      </w:r>
    </w:p>
    <w:p w14:paraId="65A09F72" w14:textId="77777777" w:rsidR="004B4E35" w:rsidRPr="00405303" w:rsidRDefault="009E6F82" w:rsidP="00C15251">
      <w:pPr>
        <w:jc w:val="both"/>
        <w:rPr>
          <w:bCs/>
          <w:color w:val="002060"/>
          <w:sz w:val="16"/>
          <w:szCs w:val="16"/>
        </w:rPr>
      </w:pPr>
      <w:r w:rsidRPr="00405303">
        <w:rPr>
          <w:bCs/>
          <w:color w:val="002060"/>
          <w:sz w:val="16"/>
          <w:szCs w:val="16"/>
        </w:rPr>
        <w:t xml:space="preserve">Для демонстрации Пороховщиков забронировал в Риге автомобиль «Форд». Бронекорпус имел форму вытянутого пятиугольника с «откидным забралом» и обращенной назад вершиной. Броня прикрывала экипаж из шофера, наблюдателя и сидящего сзади пулеметчика, а также двигатель, коробку передач и тяги управления. 14 июня 1915г. этот бронеавтомобиль был представлен комиссии во главе с полковником Поклевским-Козелло и обстрелян с расстояния 50 м из германской и австрийской винтовок, револьвера «Наган» и пистолета «Браунинг». Комиссия отметила отсутствие сквозного пробития и то, что при бронировании не пришлось усиливать рессоры автомобиля. 31 января 1916 г. Пороховщиков представляет «Железную Броню» Автомобильно-авиационному отделу Центрального Военно-промышленного Комитета для «бронировки автомобилей и поездов». Он предлагает немедленно заказать его мастерской бронировку нескольких автомобилей, дабы они «могли принять участие в предстоящей весенней кампании». </w:t>
      </w:r>
    </w:p>
    <w:p w14:paraId="5E11BA6B" w14:textId="77777777" w:rsidR="004B4E35" w:rsidRPr="00405303" w:rsidRDefault="009E6F82" w:rsidP="00C15251">
      <w:pPr>
        <w:jc w:val="both"/>
        <w:rPr>
          <w:bCs/>
          <w:color w:val="002060"/>
          <w:sz w:val="16"/>
          <w:szCs w:val="16"/>
        </w:rPr>
      </w:pPr>
      <w:r w:rsidRPr="00405303">
        <w:rPr>
          <w:bCs/>
          <w:color w:val="002060"/>
          <w:sz w:val="16"/>
          <w:szCs w:val="16"/>
        </w:rPr>
        <w:t>На сообщения о первых успехах английских танков Пороховщиков отреагировал и практически — 19 января 1917 г. он представил в ГВТУ проект и модель «Вездехода №2». Это уже действительно было нечто подобное танку с экипажем в 4 человека и «броневой рубкой». Последняя состояла из трех независимо вращающихся поясов с пулеметом «Максим» в каждом. Еще один «Максим» крепился в лобовом листе корпуса. Идея движителя осталась прежней, добавились только колеса на концах заднего барабана (11745).</w:t>
      </w:r>
    </w:p>
    <w:p w14:paraId="69298B30" w14:textId="77777777" w:rsidR="004B4E35" w:rsidRPr="00405303" w:rsidRDefault="004B4E35" w:rsidP="00C15251">
      <w:pPr>
        <w:jc w:val="both"/>
        <w:rPr>
          <w:bCs/>
          <w:color w:val="002060"/>
          <w:sz w:val="16"/>
          <w:szCs w:val="16"/>
        </w:rPr>
      </w:pPr>
    </w:p>
    <w:p w14:paraId="79CD94FD" w14:textId="77777777" w:rsidR="00202AB0" w:rsidRPr="00405303" w:rsidRDefault="00202AB0" w:rsidP="00C15251">
      <w:pPr>
        <w:pStyle w:val="DefinitionList"/>
        <w:ind w:left="0"/>
        <w:jc w:val="both"/>
        <w:rPr>
          <w:bCs/>
          <w:color w:val="002060"/>
          <w:sz w:val="16"/>
          <w:szCs w:val="16"/>
        </w:rPr>
      </w:pPr>
      <w:r w:rsidRPr="00405303">
        <w:rPr>
          <w:bCs/>
          <w:color w:val="002060"/>
          <w:sz w:val="16"/>
          <w:szCs w:val="16"/>
        </w:rPr>
        <w:t xml:space="preserve">Весной 1915 года в районе Севастополя прошли испытания РРП под руководством лейтенанта Н. Е. Киреенко и дали положительный результат К декабрю 1915 было изготовлено и распределено по флотам 27 комплектов корабельных РРП. Разведывательный радиопеленгатор (РРП) имел антенну зонтичного типа, состоящую из 32 </w:t>
      </w:r>
      <w:r w:rsidRPr="00405303">
        <w:rPr>
          <w:bCs/>
          <w:color w:val="002060"/>
          <w:sz w:val="16"/>
          <w:szCs w:val="16"/>
        </w:rPr>
        <w:lastRenderedPageBreak/>
        <w:t>лучей-радиусов, ориентированных на местности согласно компасным румбам, почему иногда именовался "компасной радиостанцией" или "радиостанцией компасного типа" (позднее был разработан также вариант на 64 R). В марте 1914 года был введен в строй радиопеленгатор в Кильконде, в мае на полуострове Ганге и о.Даго. Важно отметить, что Ренгартен уже тогда обращал внимание на необходимость объединения РРП в единую сеть и организацию синхронного радиопеленгования. На Черном море в апреле был введен в строй РРП под Севастополем, в мае вошел в строй РРП под Одессой. Первые же 3 комплекта береговых РРП получил Тихоокеанский флот и ввел в строй их к марту 1914 года. Посты были размещены в б.Славянка, на острове Русском и на м.Путятина, притом к маю их удалось связать надежными линиями проводной связи. В мае был установлен еще 1 РРП на Сахалине на Корсаковом посту, что позволило пеленговать с высокой точностью выходы в эфир судов Японского флота. В начале июня 1914 года между МГШ и Адмирал-штабом было достигнуто соглашение о развертывании 2-х Радиопеленгаторов на Германской территории, обслуживаемых совместными командами. Один радиопеленгатор был установлен к августу 1914 года у Бельгийской границы, второй на острове Гельголанд. Еще один РРП был установлен практически на границе с Данией. В заключении стоит отметить, что первый корабельный РРП разработанный Ренгартеном был испытан на "Бутакове" в ноябре 1914 года, но испытания были признаны не совсем успешным. Ввиду этого проект нового корабельного РРП был предложен офицером МГШ П. Е. Стоговым, взявшим за основу созданный на заводе РОБТиТ (Российского Общества Беспроволочных Телеграфов и Телефонов) перевозной РРП, смонтированный на легковой автомашине. Антенна корабельного РРП представляла собой рамку из трех витков антенного провода, натянутых между мачтами в диаметральной плоскости корабля. Определение пеленга осуществлялось при циркуляции корабля по минимуму сигнала. (12284).</w:t>
      </w:r>
    </w:p>
    <w:p w14:paraId="5ED9A4F8" w14:textId="77777777" w:rsidR="00202AB0" w:rsidRPr="00405303" w:rsidRDefault="00202AB0" w:rsidP="00C15251">
      <w:pPr>
        <w:jc w:val="both"/>
        <w:rPr>
          <w:bCs/>
          <w:color w:val="002060"/>
          <w:sz w:val="16"/>
          <w:szCs w:val="16"/>
        </w:rPr>
      </w:pPr>
    </w:p>
    <w:p w14:paraId="3210DE49" w14:textId="77777777" w:rsidR="00F37161" w:rsidRPr="00405303" w:rsidRDefault="00F37161" w:rsidP="00C15251">
      <w:pPr>
        <w:pStyle w:val="ae"/>
        <w:spacing w:before="0" w:beforeAutospacing="0" w:after="0" w:afterAutospacing="0"/>
        <w:jc w:val="both"/>
        <w:rPr>
          <w:bCs/>
          <w:color w:val="002060"/>
          <w:sz w:val="16"/>
          <w:szCs w:val="16"/>
        </w:rPr>
      </w:pPr>
      <w:bookmarkStart w:id="156" w:name="_Hlk55460947"/>
      <w:r w:rsidRPr="00405303">
        <w:rPr>
          <w:bCs/>
          <w:color w:val="002060"/>
          <w:sz w:val="16"/>
          <w:szCs w:val="16"/>
        </w:rPr>
        <w:t xml:space="preserve">С весны 1915 г. возобновилось конструирование русских огнеметов, после того как их эффективность в бою была продемонстрирована немцами (20246). </w:t>
      </w:r>
    </w:p>
    <w:p w14:paraId="4C2C69D7" w14:textId="77777777" w:rsidR="00F37161" w:rsidRPr="00405303" w:rsidRDefault="00F37161" w:rsidP="00C15251">
      <w:pPr>
        <w:pStyle w:val="ae"/>
        <w:spacing w:before="0" w:beforeAutospacing="0" w:after="0" w:afterAutospacing="0"/>
        <w:jc w:val="both"/>
        <w:rPr>
          <w:bCs/>
          <w:color w:val="002060"/>
          <w:sz w:val="16"/>
          <w:szCs w:val="16"/>
        </w:rPr>
      </w:pPr>
    </w:p>
    <w:bookmarkEnd w:id="156"/>
    <w:p w14:paraId="5EE53658" w14:textId="77777777" w:rsidR="00F37161" w:rsidRPr="00405303" w:rsidRDefault="00F37161" w:rsidP="00C15251">
      <w:pPr>
        <w:shd w:val="clear" w:color="auto" w:fill="FFFFFF"/>
        <w:jc w:val="both"/>
        <w:rPr>
          <w:bCs/>
          <w:color w:val="002060"/>
          <w:sz w:val="16"/>
          <w:szCs w:val="16"/>
        </w:rPr>
      </w:pPr>
      <w:r w:rsidRPr="00405303">
        <w:rPr>
          <w:bCs/>
          <w:color w:val="002060"/>
          <w:sz w:val="16"/>
          <w:szCs w:val="16"/>
        </w:rPr>
        <w:t>Весной 1915 года (уже в ходе испытаний «Вездехода») Пороховщиков предлагает броню, «основанную на вполне новом и правильном принципе». По описанию Пороховщикова, «броня представляет собою комбинацию из упругих и жестких слоев металла и особых вязких и упругих прокладок». Листовое котельное железо отжигалось «по способу, составляющему секрет изобретателя». Такие железные листы можно было гнуть, сверлить, резать и сваривать. В качестве прокладки «после громадного числа опытов» автор выбрал сушеную и прессованную морскую траву. Особо подчеркивал автор дешевизну «железной брони» по сравнению со стальной. Для демонстрации возможностей брони Пороховщиков забронировал в Риге автомобиль «Форд» с двигателем в 11 л.с. Экипаж из 3 человек (шофер, наблюдатель и пулеметчик – сзади) защищала бронировка в форме вытянутого пятиугольника с «откидным забралом» перед шофером и наблюдателем, крыши не было. Броней прикрывались также двигатель, коробка передач и тяги управления. Броня состояла из двух слоев железа толщиной 4,5 и 3,5 мм и «прокладки». 14 июня 1915г. легкий бронеавтомобиль был представлен комиссии во главе с полковником Поклевским-Козелло и обстрелян с расстояния 50 м из германской и австрийской винтовок, револьвера «Наган» и пистолета «Браунинг». Не было зафиксировано ни одного сквозного пробивания. Особо комиссия отметила, что при бронировании не пришлось усиливать рессоры автомобиля, хотя о ходовых испытаниях не сообщалось. 11 октября на стрельбище для войск гвардии был обстрелян другой образец «железной брони», состоящий уже из трех листов железа толщиной 4, 2 и 4 мм с прокладками между ними. С 50 м из трехлинейной винтовки было выпущено три остроконечные пули. Все три пробили два железных листа, в третьем зафиксированы «значительные вдавливания без трещин». 15 октября эти результаты вместе с заявлением Пороховщикова были рассмотрены Техническим Комитетом ГВТУ в Журнале № 995. Управляющий делами Комитета генерал-майор Свидзинский указал, что броня Пороховщикова при толщине 10 мм (без прокладок) не превосходит применяемую на бронеавтомобилях 5- мм броню, но «представляет больший объем» и вес. «Железная броня» была признана неприемлемой, прошение Пороховщикова о заказе ему бронировки автомобилей отклонено. В виде опыта предложено было испытать такую же броню, но с прокладками из войлока. 10 декабря такой образец был обстрелян, причем оказалось, что замена экзотической морской травы обычным войлоком ничуть не ухудшила качеств изобретения Пороховщикова (20250).</w:t>
      </w:r>
    </w:p>
    <w:p w14:paraId="1A62B4A0" w14:textId="3C922A8D" w:rsidR="00F37161" w:rsidRPr="00405303" w:rsidRDefault="00F37161" w:rsidP="00C15251">
      <w:pPr>
        <w:shd w:val="clear" w:color="auto" w:fill="FFFFFF"/>
        <w:jc w:val="both"/>
        <w:rPr>
          <w:bCs/>
          <w:color w:val="002060"/>
          <w:sz w:val="16"/>
          <w:szCs w:val="16"/>
        </w:rPr>
      </w:pPr>
    </w:p>
    <w:p w14:paraId="4E464E7E" w14:textId="77777777" w:rsidR="00E136C6" w:rsidRPr="00405303" w:rsidRDefault="00E136C6" w:rsidP="00C15251">
      <w:pPr>
        <w:jc w:val="both"/>
        <w:rPr>
          <w:bCs/>
          <w:color w:val="002060"/>
          <w:sz w:val="16"/>
          <w:szCs w:val="16"/>
        </w:rPr>
      </w:pPr>
      <w:r w:rsidRPr="00405303">
        <w:rPr>
          <w:bCs/>
          <w:color w:val="002060"/>
          <w:sz w:val="16"/>
          <w:szCs w:val="16"/>
        </w:rPr>
        <w:t>Весной 1915 года во Львов прибыли два крупных четырехмоторных самолета типа "Илья Муромец". Самолеты приземлились во Львове 1 (14) и 2 (15) мая 1915 года. Их разместили в обширном элинге для дирижаблей на Левандовском аэродроме. В июне 1915 года во Львов вновь вступили австрийские войска, и на Левандовке вновь разместилось австрийское авиационное поразделение. В 1917-18 годах, когда Львов оказался в глубоком тылу, подразделение на аэродроме "Левандовка" получило статус этапного авиационного парка № 4, в котором ремонтировали боевые самолеты. В конце марта 1918 года через Львов пролегла одна из первых в мире регклярных линий авиапочтовой связи, которая была создана австрийской армией. С 20 марта 1918 года она функционировала по маршруту Вена - Краков - Львов - Проскуров (ныне Хмельницкий) - Киев. Корреспонденцию, бандероли и иные отправления специальные курьеры доставляли львовянам уже через несколько часов после приземления самолетов. Авиалиния действовала регулярно и постоянно до 5 ноября 1918 года. Перелет начинался из Вены в 4 ч. 30 мин. утра, а заканчивался в Киеве в 17 ч. 30 мин. То есть, расстояние в 1200 километров преодолевалось за 13 часов, а не за двое суток, как на железнодорожном транспорте в то время (12298).</w:t>
      </w:r>
    </w:p>
    <w:p w14:paraId="7A3E2158" w14:textId="77777777" w:rsidR="00E136C6" w:rsidRPr="00405303" w:rsidRDefault="00E136C6" w:rsidP="00C15251">
      <w:pPr>
        <w:jc w:val="both"/>
        <w:rPr>
          <w:bCs/>
          <w:color w:val="002060"/>
          <w:sz w:val="16"/>
          <w:szCs w:val="16"/>
        </w:rPr>
      </w:pPr>
    </w:p>
    <w:p w14:paraId="26C7E2E7" w14:textId="77777777" w:rsidR="00380E79" w:rsidRPr="00405303" w:rsidRDefault="00380E79" w:rsidP="00C15251">
      <w:pPr>
        <w:jc w:val="both"/>
        <w:rPr>
          <w:bCs/>
          <w:color w:val="002060"/>
          <w:sz w:val="16"/>
          <w:szCs w:val="16"/>
        </w:rPr>
      </w:pPr>
      <w:r w:rsidRPr="00405303">
        <w:rPr>
          <w:bCs/>
          <w:color w:val="002060"/>
          <w:sz w:val="16"/>
          <w:szCs w:val="16"/>
          <w:lang w:bidi="en-US"/>
        </w:rPr>
        <w:t>Весной 1915 года Российский военно-воздушный флот сообщил, что в настоящее время он «имеет в составе фронтовых частей 553 боеспособных самолета». Это может быть или не быть точным (23525).</w:t>
      </w:r>
    </w:p>
    <w:p w14:paraId="5D5890B5" w14:textId="77777777" w:rsidR="00380E79" w:rsidRPr="00405303" w:rsidRDefault="00380E79" w:rsidP="00C15251">
      <w:pPr>
        <w:jc w:val="both"/>
        <w:rPr>
          <w:bCs/>
          <w:color w:val="002060"/>
          <w:sz w:val="16"/>
          <w:szCs w:val="16"/>
        </w:rPr>
      </w:pPr>
    </w:p>
    <w:p w14:paraId="29B452F6" w14:textId="77777777" w:rsidR="00380E79" w:rsidRPr="00405303" w:rsidRDefault="00380E79" w:rsidP="00C15251">
      <w:pPr>
        <w:tabs>
          <w:tab w:val="left" w:pos="1843"/>
        </w:tabs>
        <w:jc w:val="both"/>
        <w:rPr>
          <w:bCs/>
          <w:color w:val="002060"/>
          <w:sz w:val="16"/>
          <w:szCs w:val="16"/>
        </w:rPr>
      </w:pPr>
      <w:bookmarkStart w:id="157" w:name="bookmark100"/>
      <w:bookmarkStart w:id="158" w:name="bookmark101"/>
      <w:bookmarkStart w:id="159" w:name="bookmark102"/>
      <w:bookmarkStart w:id="160" w:name="bookmark103"/>
      <w:bookmarkStart w:id="161" w:name="bookmark104"/>
      <w:r w:rsidRPr="00405303">
        <w:rPr>
          <w:bCs/>
          <w:color w:val="002060"/>
          <w:sz w:val="16"/>
          <w:szCs w:val="16"/>
        </w:rPr>
        <w:t>Вес</w:t>
      </w:r>
      <w:r w:rsidRPr="00405303">
        <w:rPr>
          <w:bCs/>
          <w:color w:val="002060"/>
          <w:sz w:val="16"/>
          <w:szCs w:val="16"/>
        </w:rPr>
        <w:softHyphen/>
        <w:t>ной 1915 г. «Киевский» и ВК-Ш по заданию командования мастерски провел разведку, результатом кото</w:t>
      </w:r>
      <w:r w:rsidRPr="00405303">
        <w:rPr>
          <w:bCs/>
          <w:color w:val="002060"/>
          <w:sz w:val="16"/>
          <w:szCs w:val="16"/>
        </w:rPr>
        <w:softHyphen/>
        <w:t>рой стало пленение русскими вой</w:t>
      </w:r>
      <w:r w:rsidRPr="00405303">
        <w:rPr>
          <w:bCs/>
          <w:color w:val="002060"/>
          <w:sz w:val="16"/>
          <w:szCs w:val="16"/>
        </w:rPr>
        <w:softHyphen/>
        <w:t>сками 15 тысяч немцев (23469).</w:t>
      </w:r>
    </w:p>
    <w:p w14:paraId="05DF6DBB" w14:textId="77777777" w:rsidR="00380E79" w:rsidRPr="00405303" w:rsidRDefault="00380E79" w:rsidP="00C15251">
      <w:pPr>
        <w:jc w:val="both"/>
        <w:rPr>
          <w:bCs/>
          <w:color w:val="002060"/>
          <w:sz w:val="16"/>
          <w:szCs w:val="16"/>
        </w:rPr>
      </w:pPr>
    </w:p>
    <w:p w14:paraId="6781418C" w14:textId="77777777" w:rsidR="00380E79" w:rsidRPr="00405303" w:rsidRDefault="00380E79" w:rsidP="00C15251">
      <w:pPr>
        <w:jc w:val="both"/>
        <w:rPr>
          <w:bCs/>
          <w:color w:val="002060"/>
          <w:sz w:val="16"/>
          <w:szCs w:val="16"/>
        </w:rPr>
      </w:pPr>
      <w:r w:rsidRPr="00405303">
        <w:rPr>
          <w:bCs/>
          <w:color w:val="002060"/>
          <w:sz w:val="16"/>
          <w:szCs w:val="16"/>
        </w:rPr>
        <w:t>Весной 1915 г. наметилась активизация действий немецкой авиации на русско-германском фронте. Среди объектов ее налетов все чаще выступали наши прифронтовые аэродромы и базы воздухоплавательных частей (расположенных преимущественно в крепостях). Так, 15 марта по аэродрому 23-го корпусного авиаотряда (поручик Иванов), действовавшего на Млавско-Праснышском направлении, противником был нанесен воздушный удар. В налете предположительно участвовало от 15 до 20 вражеских летательных аппаратов. По воспоминаниям летчика-наблюдателя авиаотряда П. Крейсона, налет «продолжался в течение одного часа. Большие разрушения материальной части авиационного отряда, два самолета выведены из строя. Мы, весь личный состав и механики, находящийся в тот момент на аэродроме, беспомощно метались по аэродрому во все время бомбардировки</w:t>
      </w:r>
      <w:hyperlink w:anchor="bookmark1166" w:tooltip="Current Document">
        <w:r w:rsidRPr="00405303">
          <w:rPr>
            <w:rStyle w:val="ad"/>
            <w:bCs/>
            <w:color w:val="002060"/>
            <w:sz w:val="16"/>
            <w:szCs w:val="16"/>
          </w:rPr>
          <w:t>»</w:t>
        </w:r>
      </w:hyperlink>
      <w:r w:rsidRPr="00405303">
        <w:rPr>
          <w:bCs/>
          <w:color w:val="002060"/>
          <w:sz w:val="16"/>
          <w:szCs w:val="16"/>
        </w:rPr>
        <w:t>. Также воздушной бомбардировке подверглись объекты и войска в Праснышском, Ломжинском и Осовец- Гродненском районах. 7 марта германский самолет сбросил бомбу над г. Белосток. Позднее немецкая авиация совершила налет на крепость Осовец (сброшено 20 бомб, без существенного вреда для ее гарнизона)</w:t>
      </w:r>
      <w:hyperlink w:anchor="bookmark1169" w:tooltip="Current Document">
        <w:r w:rsidRPr="00405303">
          <w:rPr>
            <w:rStyle w:val="ad"/>
            <w:bCs/>
            <w:color w:val="002060"/>
            <w:sz w:val="16"/>
            <w:szCs w:val="16"/>
          </w:rPr>
          <w:t>[—]</w:t>
        </w:r>
      </w:hyperlink>
      <w:r w:rsidRPr="00405303">
        <w:rPr>
          <w:bCs/>
          <w:color w:val="002060"/>
          <w:sz w:val="16"/>
          <w:szCs w:val="16"/>
        </w:rPr>
        <w:t>. 14 марта в районе Прасныша с борта германского самолета типа «Таубе» в д. Свиняры было сброшено три бомбы. В результате разрушена одна крестьянская изба, тяжелое ранение получили три местных жителя (23405).</w:t>
      </w:r>
      <w:bookmarkEnd w:id="157"/>
      <w:bookmarkEnd w:id="158"/>
      <w:bookmarkEnd w:id="159"/>
      <w:bookmarkEnd w:id="160"/>
      <w:bookmarkEnd w:id="161"/>
    </w:p>
    <w:p w14:paraId="64BC94EA" w14:textId="77777777" w:rsidR="00380E79" w:rsidRPr="00405303" w:rsidRDefault="00380E79" w:rsidP="00C15251">
      <w:pPr>
        <w:jc w:val="both"/>
        <w:rPr>
          <w:bCs/>
          <w:color w:val="002060"/>
          <w:sz w:val="16"/>
          <w:szCs w:val="16"/>
          <w:lang w:bidi="ru-RU"/>
        </w:rPr>
      </w:pPr>
    </w:p>
    <w:p w14:paraId="31A9B4EB" w14:textId="77777777" w:rsidR="00380E79" w:rsidRPr="00405303" w:rsidRDefault="00380E79" w:rsidP="00C15251">
      <w:pPr>
        <w:jc w:val="both"/>
        <w:rPr>
          <w:bCs/>
          <w:color w:val="002060"/>
          <w:sz w:val="16"/>
          <w:szCs w:val="16"/>
        </w:rPr>
      </w:pPr>
      <w:r w:rsidRPr="00405303">
        <w:rPr>
          <w:bCs/>
          <w:color w:val="002060"/>
          <w:sz w:val="16"/>
          <w:szCs w:val="16"/>
        </w:rPr>
        <w:t>Весной 1915 г. австрийцы и немцы начали наступление против русской Третьей армии под командованием генерала Леша. Два Муромца, ИМ-Киевский и ИМ-3 прибыли в район боевых действий и совершили разведывательные полеты глубоко во вражескую территорию. Эти самолеты оказали большую помощь Третьей армии, бдительно наблюдая за перемещениями и позицией неприятеля. Согласно корреспонденту одной газеты, захват 15000 вражеских войск неподалеку от Люблина в 1915 стал возможным благодаря разведывательной работе Муромцев. Легкие самолеты того времени не обладали достаточной дальностью для того, чтобы проникнуть глубоко в тыл противника. Только Муромцы были способны проводить разведывательные полеты на большое расстояние. Они патрулировали берега реки Сан и к западу от нее, собирая информацию о вражеских линиях коммуникаций, о движении поездов, о перемещении на фронт резервов, о появлении новых аэродромов и концентрации припасов и техники.</w:t>
      </w:r>
    </w:p>
    <w:p w14:paraId="568E6207" w14:textId="77777777" w:rsidR="00380E79" w:rsidRPr="00405303" w:rsidRDefault="00380E79" w:rsidP="00C15251">
      <w:pPr>
        <w:jc w:val="both"/>
        <w:rPr>
          <w:bCs/>
          <w:color w:val="002060"/>
          <w:sz w:val="16"/>
          <w:szCs w:val="16"/>
        </w:rPr>
      </w:pPr>
      <w:r w:rsidRPr="00405303">
        <w:rPr>
          <w:bCs/>
          <w:color w:val="002060"/>
          <w:sz w:val="16"/>
          <w:szCs w:val="16"/>
        </w:rPr>
        <w:t>В результате этой разведывательной деятельности, штаб Третьей армии получил ясную и детальную картину вражеских действий, не только на линии фронта, но также и в тыловых районах. Армейские разведчики горячо приветствовали эту ценную работу. Муромцы также бомбили вражеские позиции в тылу, сбрасывая большие бомбы на железнодорожные станции, поезда с военными припасами, склады и транспорт (23470).</w:t>
      </w:r>
    </w:p>
    <w:p w14:paraId="2F538B66" w14:textId="77777777" w:rsidR="00380E79" w:rsidRPr="00405303" w:rsidRDefault="00380E79" w:rsidP="00C15251">
      <w:pPr>
        <w:jc w:val="both"/>
        <w:rPr>
          <w:bCs/>
          <w:color w:val="002060"/>
          <w:sz w:val="16"/>
          <w:szCs w:val="16"/>
          <w:lang w:bidi="ru-RU"/>
        </w:rPr>
      </w:pPr>
    </w:p>
    <w:p w14:paraId="33178E43" w14:textId="77777777" w:rsidR="00380E79" w:rsidRPr="00405303" w:rsidRDefault="00380E79" w:rsidP="00C15251">
      <w:pPr>
        <w:jc w:val="both"/>
        <w:rPr>
          <w:bCs/>
          <w:color w:val="002060"/>
          <w:sz w:val="16"/>
          <w:szCs w:val="16"/>
        </w:rPr>
      </w:pPr>
      <w:r w:rsidRPr="00405303">
        <w:rPr>
          <w:bCs/>
          <w:color w:val="002060"/>
          <w:sz w:val="16"/>
          <w:szCs w:val="16"/>
        </w:rPr>
        <w:lastRenderedPageBreak/>
        <w:t>Весной 1915 г., в связи со стабилизацией франко-германского фронта, на Восточноевропейский театр войны прибыли два цеппелина для ведения боевой работы над территорией Польши: LZ-XII и LZ-39. Указанные дирижабли были перебазированы в г. Алленштейн и обслуживали армию генерала от артиллерии М. фон Гальвица, находившуюся в районе реки Нарев. Основной задачей цеппелинов было держать в напряжении отступавшие части русской армии и прерывать их железнодорожные сообщения при отходе с занимаемых ранее позиций. В то время как дирижабли «Саксония» и LZ-39 действовали против крепостей и укрепленных районов русских войск, в свою очередь LZ-XII осуществлял воздушные налеты на основную железнодорожную магистраль Варшава - Вильна (Вильнюс) (23405).</w:t>
      </w:r>
    </w:p>
    <w:p w14:paraId="29B981C0" w14:textId="77777777" w:rsidR="00380E79" w:rsidRPr="00405303" w:rsidRDefault="00380E79" w:rsidP="00C15251">
      <w:pPr>
        <w:jc w:val="both"/>
        <w:rPr>
          <w:bCs/>
          <w:color w:val="002060"/>
          <w:sz w:val="16"/>
          <w:szCs w:val="16"/>
          <w:lang w:bidi="ru-RU"/>
        </w:rPr>
      </w:pPr>
    </w:p>
    <w:p w14:paraId="11F39DF9" w14:textId="77777777" w:rsidR="00C50250" w:rsidRPr="00405303" w:rsidRDefault="00C50250" w:rsidP="00C50250">
      <w:pPr>
        <w:jc w:val="both"/>
        <w:rPr>
          <w:color w:val="0070C0"/>
          <w:sz w:val="16"/>
          <w:szCs w:val="16"/>
        </w:rPr>
      </w:pPr>
      <w:r w:rsidRPr="00405303">
        <w:rPr>
          <w:color w:val="0070C0"/>
          <w:sz w:val="16"/>
          <w:szCs w:val="16"/>
        </w:rPr>
        <w:t>Весной 1915 г. отдельный отряд ИМ провел разведку, результатом которой стало пленение 15 тысяч немцев. 14 июня 1915 г. командир корабля И.С. Башко точно вышел на цель, когда на станции Пржеворск стояло шесть составов. Один из них был с артиллерийскими снарядами. Результат - уничтожение более 30 тыс. артиллерийских снарядов, нескольких тонн взрывчатых веществ и вывод станции из строя на долгий срок. В июне 1915 г. было выполнено 100 боевых вылетов и сброшено на противника 19,5 т бомб (24965).</w:t>
      </w:r>
    </w:p>
    <w:p w14:paraId="4A00031E" w14:textId="77777777" w:rsidR="00C50250" w:rsidRPr="00405303" w:rsidRDefault="00C50250" w:rsidP="00C50250">
      <w:pPr>
        <w:jc w:val="both"/>
        <w:rPr>
          <w:color w:val="0070C0"/>
          <w:sz w:val="16"/>
          <w:szCs w:val="16"/>
        </w:rPr>
      </w:pPr>
    </w:p>
    <w:p w14:paraId="7D846F6F" w14:textId="77777777" w:rsidR="00C50250" w:rsidRPr="00405303" w:rsidRDefault="00C50250" w:rsidP="00C50250">
      <w:pPr>
        <w:jc w:val="both"/>
        <w:rPr>
          <w:color w:val="0070C0"/>
          <w:sz w:val="16"/>
          <w:szCs w:val="16"/>
        </w:rPr>
      </w:pPr>
      <w:r w:rsidRPr="00405303">
        <w:rPr>
          <w:color w:val="0070C0"/>
          <w:sz w:val="16"/>
          <w:szCs w:val="16"/>
        </w:rPr>
        <w:t>Весной 1915 г. результаты проведенной ЭВК разведки позволили окружить и взять в плен около 15 000 немцев (24977).</w:t>
      </w:r>
    </w:p>
    <w:p w14:paraId="5CB3F7D9" w14:textId="77777777" w:rsidR="00C50250" w:rsidRPr="00405303" w:rsidRDefault="00C50250" w:rsidP="00C50250">
      <w:pPr>
        <w:jc w:val="both"/>
        <w:rPr>
          <w:color w:val="0070C0"/>
          <w:sz w:val="16"/>
          <w:szCs w:val="16"/>
        </w:rPr>
      </w:pPr>
    </w:p>
    <w:p w14:paraId="7F3829DA" w14:textId="77777777" w:rsidR="00C50250" w:rsidRPr="00405303" w:rsidRDefault="00C50250" w:rsidP="00C50250">
      <w:pPr>
        <w:jc w:val="both"/>
        <w:rPr>
          <w:color w:val="0070C0"/>
          <w:sz w:val="16"/>
          <w:szCs w:val="16"/>
        </w:rPr>
      </w:pPr>
      <w:r w:rsidRPr="00405303">
        <w:rPr>
          <w:color w:val="0070C0"/>
          <w:sz w:val="16"/>
          <w:szCs w:val="16"/>
        </w:rPr>
        <w:t>Весной 1915 г. наметилась активизация действий немецкой авиации на русско-германском фронте. Среди объектов ее налетов все чаще выступали наши прифронтовые аэродромы и базы воздухоплавательных частей (расположенных преимущественно в крепостях) (25135).</w:t>
      </w:r>
    </w:p>
    <w:p w14:paraId="28AA9139" w14:textId="77777777" w:rsidR="00C50250" w:rsidRPr="00405303" w:rsidRDefault="00C50250" w:rsidP="00C50250">
      <w:pPr>
        <w:jc w:val="both"/>
        <w:rPr>
          <w:color w:val="0070C0"/>
          <w:sz w:val="16"/>
          <w:szCs w:val="16"/>
        </w:rPr>
      </w:pPr>
    </w:p>
    <w:p w14:paraId="32920974" w14:textId="77777777" w:rsidR="00C50250" w:rsidRPr="00405303" w:rsidRDefault="00C50250" w:rsidP="00C50250">
      <w:pPr>
        <w:jc w:val="both"/>
        <w:rPr>
          <w:color w:val="0070C0"/>
          <w:sz w:val="16"/>
          <w:szCs w:val="16"/>
        </w:rPr>
      </w:pPr>
      <w:r w:rsidRPr="00405303">
        <w:rPr>
          <w:color w:val="0070C0"/>
          <w:sz w:val="16"/>
          <w:szCs w:val="16"/>
        </w:rPr>
        <w:t>Весной 1915 г. заметно активизировала свою деятельность и австро-германская авиация. С целью предотвращения ее проникновения за линию фронта на отдельных его участках периодически организовывалась «воздушная завеса» (барраж). Благодаря такому способу защиты в течение последней недели апреля летчикам 1-го русского полевого авиаотряда (АО) удалось перехватить три вражеских летательных аппарата и заставить их ретироваться в свой тыл</w:t>
      </w:r>
      <w:hyperlink r:id="rId39" w:anchor="idm139863441350608" w:history="1">
        <w:r w:rsidRPr="00405303">
          <w:rPr>
            <w:rStyle w:val="ad"/>
            <w:color w:val="0070C0"/>
            <w:sz w:val="16"/>
            <w:szCs w:val="16"/>
            <w:vertAlign w:val="superscript"/>
          </w:rPr>
          <w:t>115</w:t>
        </w:r>
      </w:hyperlink>
      <w:r w:rsidRPr="00405303">
        <w:rPr>
          <w:color w:val="0070C0"/>
          <w:sz w:val="16"/>
          <w:szCs w:val="16"/>
        </w:rPr>
        <w:t>. По распоряжению командования 12-й армии СЗФ было организовано воздушное патрулирование в районе посада Снядово, где размещались основные силы армейской авиации (25135).</w:t>
      </w:r>
    </w:p>
    <w:p w14:paraId="27818780" w14:textId="77777777" w:rsidR="00C50250" w:rsidRPr="00405303" w:rsidRDefault="00C50250" w:rsidP="00C50250">
      <w:pPr>
        <w:jc w:val="both"/>
        <w:rPr>
          <w:color w:val="0070C0"/>
          <w:sz w:val="16"/>
          <w:szCs w:val="16"/>
        </w:rPr>
      </w:pPr>
    </w:p>
    <w:p w14:paraId="2F38039B" w14:textId="77777777" w:rsidR="00C50250" w:rsidRPr="00405303" w:rsidRDefault="00C50250" w:rsidP="00C50250">
      <w:pPr>
        <w:jc w:val="both"/>
        <w:rPr>
          <w:color w:val="0070C0"/>
          <w:sz w:val="16"/>
          <w:szCs w:val="16"/>
        </w:rPr>
      </w:pPr>
      <w:r w:rsidRPr="00405303">
        <w:rPr>
          <w:color w:val="0070C0"/>
          <w:sz w:val="16"/>
          <w:szCs w:val="16"/>
        </w:rPr>
        <w:t>Весной 1915 г., в связи со стабилизацией франко-германского фронта, на Восточноевропейский театр войны прибыли два цеппелина для ведения боевой работы над территорией Польши: LZ-XII и LZ-39. Указанные дирижабли были перебазированы в г. Алленштейн и обслуживали армию генерала от артиллерии М. фон Гальвица, находившуюся в районе реки Нарев. Основной задачей цеппелинов было держать в напряжении отступавшие части русской армии и прерывать их железнодорожные сообщения при отходе с занимаемых ранее позиций. В то время как дирижабли «Саксония» и LZ-39 действовали против крепостей и укрепленных районов русских войск, в свою очередь LZ-XII осуществлял воздушные налеты на основную железнодорожную магистраль Варшава – Вильна (Вильнюс) (25135).</w:t>
      </w:r>
    </w:p>
    <w:p w14:paraId="12EF1D70" w14:textId="77777777" w:rsidR="00C50250" w:rsidRPr="00405303" w:rsidRDefault="00C50250" w:rsidP="00C50250">
      <w:pPr>
        <w:jc w:val="both"/>
        <w:rPr>
          <w:color w:val="0070C0"/>
          <w:sz w:val="16"/>
          <w:szCs w:val="16"/>
        </w:rPr>
      </w:pPr>
    </w:p>
    <w:p w14:paraId="7A491A24" w14:textId="77777777" w:rsidR="00C50250" w:rsidRPr="00405303" w:rsidRDefault="00C50250" w:rsidP="00C50250">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Весной 1915 года произошло расширение зоны ответственности ВоздО г. Петроград и его окрестностей вследствие изменения границ ответственности 6-й армии. В подчинение последней (помимо имевшихся армейских корпусов и отдельных дивизий) передавались: Балтийский флот (с крепостями Свеаборг и морской Императора Петра Великого в г. Ревель, военными портами - Кронштадтский и Петроградский); войска Петроградского военного округа; администрация Финляндского генерал-губернатора; морской порт и военный гарнизон г. Архангельск, а также ряд приморских крепостей на побережье Финского залива и военно-учебных заведений. В результате в подчинение главкома 6-й армией практически переходил весь северо-западный регион страны, что послужило основанием формирования Петроградского района ВоздО с привлечением дополнительных сил и средств. С учреждением Финляндской пограничной охраны ее руководству было поручено принять все меры по «Воспрепятствованию полетам неприятельских воздухоплавательных аппаратов». Для организации воздушной обороны приморских районов Финского и Ботнического заливов также привлекались части расквартированного в Финляндии 42-го армейского корпуса, подразделения береговой обороны и корабли Балтфлота (25166).</w:t>
      </w:r>
    </w:p>
    <w:p w14:paraId="617CC9B7" w14:textId="77777777" w:rsidR="00C50250" w:rsidRPr="00405303" w:rsidRDefault="00C50250" w:rsidP="00C50250">
      <w:pPr>
        <w:jc w:val="both"/>
        <w:rPr>
          <w:color w:val="0070C0"/>
          <w:sz w:val="16"/>
          <w:szCs w:val="16"/>
        </w:rPr>
      </w:pPr>
    </w:p>
    <w:p w14:paraId="0B536E64" w14:textId="77777777" w:rsidR="00C50250" w:rsidRPr="00405303" w:rsidRDefault="00C50250" w:rsidP="00C50250">
      <w:pPr>
        <w:jc w:val="both"/>
        <w:rPr>
          <w:color w:val="0070C0"/>
          <w:sz w:val="16"/>
          <w:szCs w:val="16"/>
        </w:rPr>
      </w:pPr>
      <w:r w:rsidRPr="00405303">
        <w:rPr>
          <w:rStyle w:val="aa"/>
          <w:rFonts w:ascii="Times New Roman" w:hAnsi="Times New Roman"/>
          <w:color w:val="0070C0"/>
          <w:spacing w:val="0"/>
          <w:sz w:val="16"/>
          <w:szCs w:val="16"/>
        </w:rPr>
        <w:t>Весной 1915 года в организации Петроградского района ВоздО главная роль по-прежнему отводилась пассивным средствам воздушной обороны (зенитной артиллерии и пулеметным командам), но наметилась тенденция по укрупнению малочисленных зенитных подразделений (25166).</w:t>
      </w:r>
    </w:p>
    <w:p w14:paraId="1ABE9DF0" w14:textId="77777777" w:rsidR="00C50250" w:rsidRPr="00405303" w:rsidRDefault="00C50250" w:rsidP="00C50250">
      <w:pPr>
        <w:jc w:val="both"/>
        <w:rPr>
          <w:color w:val="0070C0"/>
          <w:sz w:val="16"/>
          <w:szCs w:val="16"/>
        </w:rPr>
      </w:pPr>
    </w:p>
    <w:p w14:paraId="5E9AB00F"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Морская авиация:</w:t>
      </w:r>
    </w:p>
    <w:p w14:paraId="6F6113DA" w14:textId="77777777" w:rsidR="004B4E35" w:rsidRPr="00405303" w:rsidRDefault="004B4E35" w:rsidP="00C15251">
      <w:pPr>
        <w:pStyle w:val="a3"/>
        <w:jc w:val="both"/>
        <w:rPr>
          <w:bCs/>
          <w:color w:val="002060"/>
          <w:spacing w:val="0"/>
          <w:kern w:val="0"/>
          <w:position w:val="0"/>
          <w:sz w:val="16"/>
          <w:szCs w:val="16"/>
        </w:rPr>
      </w:pPr>
    </w:p>
    <w:p w14:paraId="7A437B5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течение всей весны 1915 г. «Император Николай I» принимал участие в нескольких походах к Босфору, где его самолеты осуществляли боевые вылеты (11107).</w:t>
      </w:r>
    </w:p>
    <w:p w14:paraId="09DECCA3" w14:textId="77777777" w:rsidR="004B4E35" w:rsidRPr="00405303" w:rsidRDefault="004B4E35" w:rsidP="00C15251">
      <w:pPr>
        <w:shd w:val="clear" w:color="auto" w:fill="FFFFFF"/>
        <w:jc w:val="both"/>
        <w:rPr>
          <w:bCs/>
          <w:color w:val="002060"/>
          <w:sz w:val="16"/>
          <w:szCs w:val="16"/>
        </w:rPr>
      </w:pPr>
    </w:p>
    <w:p w14:paraId="146FFEC8" w14:textId="76A84987" w:rsidR="004B4E35" w:rsidRPr="00405303" w:rsidRDefault="009E6F82" w:rsidP="00C15251">
      <w:pPr>
        <w:shd w:val="clear" w:color="auto" w:fill="FFFFFF"/>
        <w:jc w:val="both"/>
        <w:rPr>
          <w:bCs/>
          <w:color w:val="002060"/>
          <w:sz w:val="16"/>
          <w:szCs w:val="16"/>
        </w:rPr>
      </w:pPr>
      <w:r w:rsidRPr="00405303">
        <w:rPr>
          <w:bCs/>
          <w:color w:val="002060"/>
          <w:sz w:val="16"/>
          <w:szCs w:val="16"/>
        </w:rPr>
        <w:t>Весной 1915 года воз</w:t>
      </w:r>
      <w:r w:rsidRPr="00405303">
        <w:rPr>
          <w:bCs/>
          <w:color w:val="002060"/>
          <w:sz w:val="16"/>
          <w:szCs w:val="16"/>
        </w:rPr>
        <w:softHyphen/>
        <w:t>духоплавательный парк флота состоял из разнотипных аэро</w:t>
      </w:r>
      <w:r w:rsidRPr="00405303">
        <w:rPr>
          <w:bCs/>
          <w:color w:val="002060"/>
          <w:sz w:val="16"/>
          <w:szCs w:val="16"/>
        </w:rPr>
        <w:softHyphen/>
        <w:t>планов: 15 лодочных и поплавковых (5 - «ФБА», 4 - «С-10», 2 - «А. Фарман», 2 - «М. Фарман», 2 - «М-5») и 7 колесных (5 -«А. Фарман», 2 - «Дюпердюссен»). Около трети их нуждались в ремонте.</w:t>
      </w:r>
    </w:p>
    <w:p w14:paraId="278E0A6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План развития системы базирования авиации подвергся ко</w:t>
      </w:r>
      <w:r w:rsidRPr="00405303">
        <w:rPr>
          <w:bCs/>
          <w:color w:val="002060"/>
          <w:sz w:val="16"/>
          <w:szCs w:val="16"/>
        </w:rPr>
        <w:softHyphen/>
        <w:t>ренному пересмотру в связи с укреплением обороны Рижско</w:t>
      </w:r>
      <w:r w:rsidRPr="00405303">
        <w:rPr>
          <w:bCs/>
          <w:color w:val="002060"/>
          <w:sz w:val="16"/>
          <w:szCs w:val="16"/>
        </w:rPr>
        <w:softHyphen/>
        <w:t>го залива и устья Финского залива, а также Або-Оландских островов. Особое внимание было уделено Ревельской авиастан</w:t>
      </w:r>
      <w:r w:rsidRPr="00405303">
        <w:rPr>
          <w:bCs/>
          <w:color w:val="002060"/>
          <w:sz w:val="16"/>
          <w:szCs w:val="16"/>
        </w:rPr>
        <w:softHyphen/>
        <w:t>ции, ранее предназначенной для снабжения авиатехникой и подготовки кадров. Возникла необходимость переноса ее с уз</w:t>
      </w:r>
      <w:r w:rsidRPr="00405303">
        <w:rPr>
          <w:bCs/>
          <w:color w:val="002060"/>
          <w:sz w:val="16"/>
          <w:szCs w:val="16"/>
        </w:rPr>
        <w:softHyphen/>
        <w:t>кого прибрежного участка на удобное место возле реки Бриги-товка. Она передавалась в распоряжение коменданта еще не оконченной строительством Морской крепости Императора Петра Великого. Кроме того, потребовалось обеспечить защи</w:t>
      </w:r>
      <w:r w:rsidRPr="00405303">
        <w:rPr>
          <w:bCs/>
          <w:color w:val="002060"/>
          <w:sz w:val="16"/>
          <w:szCs w:val="16"/>
        </w:rPr>
        <w:softHyphen/>
        <w:t>ту с воздуха Свеаборгской крепости и Гельсингфорского рейда, где в зимнее время стояли линейные корабли, скованные льдом. Вопрос о создании там воздушной станции адмирал Эссен по</w:t>
      </w:r>
      <w:r w:rsidRPr="00405303">
        <w:rPr>
          <w:bCs/>
          <w:color w:val="002060"/>
          <w:sz w:val="16"/>
          <w:szCs w:val="16"/>
        </w:rPr>
        <w:softHyphen/>
        <w:t xml:space="preserve">ставил 15 января 1915 года, считая достаточным на первых порах иметь </w:t>
      </w:r>
      <w:proofErr w:type="gramStart"/>
      <w:r w:rsidRPr="00405303">
        <w:rPr>
          <w:bCs/>
          <w:color w:val="002060"/>
          <w:sz w:val="16"/>
          <w:szCs w:val="16"/>
        </w:rPr>
        <w:t>4 колесных</w:t>
      </w:r>
      <w:proofErr w:type="gramEnd"/>
      <w:r w:rsidRPr="00405303">
        <w:rPr>
          <w:bCs/>
          <w:color w:val="002060"/>
          <w:sz w:val="16"/>
          <w:szCs w:val="16"/>
        </w:rPr>
        <w:t xml:space="preserve"> аэроплана, позаимствованных у ар</w:t>
      </w:r>
      <w:r w:rsidRPr="00405303">
        <w:rPr>
          <w:bCs/>
          <w:color w:val="002060"/>
          <w:sz w:val="16"/>
          <w:szCs w:val="16"/>
        </w:rPr>
        <w:softHyphen/>
        <w:t>мии. Постройка станции и формирование отряда затянулась до середины весны (11283).</w:t>
      </w:r>
    </w:p>
    <w:p w14:paraId="0F322A20" w14:textId="77777777" w:rsidR="004B4E35" w:rsidRPr="00405303" w:rsidRDefault="004B4E35" w:rsidP="00C15251">
      <w:pPr>
        <w:shd w:val="clear" w:color="auto" w:fill="FFFFFF"/>
        <w:jc w:val="both"/>
        <w:rPr>
          <w:bCs/>
          <w:color w:val="002060"/>
          <w:sz w:val="16"/>
          <w:szCs w:val="16"/>
        </w:rPr>
      </w:pPr>
    </w:p>
    <w:p w14:paraId="1286C826" w14:textId="501EE422"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Весной и летом 1915 года </w:t>
      </w:r>
      <w:r w:rsidR="00957EEC" w:rsidRPr="00405303">
        <w:rPr>
          <w:bCs/>
          <w:color w:val="002060"/>
          <w:sz w:val="16"/>
          <w:szCs w:val="16"/>
        </w:rPr>
        <w:t xml:space="preserve">Александр Михайлович </w:t>
      </w:r>
      <w:r w:rsidRPr="00405303">
        <w:rPr>
          <w:bCs/>
          <w:color w:val="002060"/>
          <w:sz w:val="16"/>
          <w:szCs w:val="16"/>
        </w:rPr>
        <w:t>стал ответ</w:t>
      </w:r>
      <w:r w:rsidRPr="00405303">
        <w:rPr>
          <w:bCs/>
          <w:color w:val="002060"/>
          <w:sz w:val="16"/>
          <w:szCs w:val="16"/>
        </w:rPr>
        <w:softHyphen/>
        <w:t>ственным за развитие сухопутной и морской авиации. Влиятельный член императорской фамилии убедил военно</w:t>
      </w:r>
      <w:r w:rsidRPr="00405303">
        <w:rPr>
          <w:bCs/>
          <w:color w:val="002060"/>
          <w:sz w:val="16"/>
          <w:szCs w:val="16"/>
        </w:rPr>
        <w:softHyphen/>
        <w:t>го министра передать в оперативное подчинение Черноморс</w:t>
      </w:r>
      <w:r w:rsidRPr="00405303">
        <w:rPr>
          <w:bCs/>
          <w:color w:val="002060"/>
          <w:sz w:val="16"/>
          <w:szCs w:val="16"/>
        </w:rPr>
        <w:softHyphen/>
        <w:t>кому флоту два авиаотряда с 12 колесными аэропланами. За</w:t>
      </w:r>
      <w:r w:rsidRPr="00405303">
        <w:rPr>
          <w:bCs/>
          <w:color w:val="002060"/>
          <w:sz w:val="16"/>
          <w:szCs w:val="16"/>
        </w:rPr>
        <w:softHyphen/>
        <w:t>тем в интересах взаимодействия флота с Кавказским фронтом оказал поддержку при формировании Батумского авиаотряда, укомплектованного трофейными «Альбатросами» (11283).</w:t>
      </w:r>
    </w:p>
    <w:p w14:paraId="57B907F6" w14:textId="77777777" w:rsidR="004B4E35" w:rsidRPr="00405303" w:rsidRDefault="004B4E35" w:rsidP="00C15251">
      <w:pPr>
        <w:shd w:val="clear" w:color="auto" w:fill="FFFFFF"/>
        <w:jc w:val="both"/>
        <w:rPr>
          <w:bCs/>
          <w:color w:val="002060"/>
          <w:sz w:val="16"/>
          <w:szCs w:val="16"/>
        </w:rPr>
      </w:pPr>
    </w:p>
    <w:p w14:paraId="4606773A" w14:textId="77777777" w:rsidR="00C50250" w:rsidRPr="00405303" w:rsidRDefault="00C50250" w:rsidP="00C50250">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 xml:space="preserve">Весной 1915 года </w:t>
      </w:r>
      <w:r w:rsidRPr="00405303">
        <w:rPr>
          <w:rStyle w:val="aa"/>
          <w:rFonts w:ascii="Times New Roman" w:hAnsi="Times New Roman"/>
          <w:color w:val="0070C0"/>
        </w:rPr>
        <w:t>д</w:t>
      </w:r>
      <w:r w:rsidRPr="00405303">
        <w:rPr>
          <w:rStyle w:val="aa"/>
          <w:rFonts w:ascii="Times New Roman" w:hAnsi="Times New Roman"/>
          <w:color w:val="0070C0"/>
          <w:spacing w:val="0"/>
          <w:sz w:val="16"/>
          <w:szCs w:val="16"/>
        </w:rPr>
        <w:t>ля усиления воздушной группировки противника в восточной части Балтийского моря была создана специальная группа морской авиации, базировавшаяся на авианесущих кораблях «Ансвальд» и «Глиндер» (г. Мемель (Клайпеда) Литва, позднее - г. Либава). В дальнейшем состав авиагруппы усилили за счет плавучей авиабазы «Санта-Елена» (г. Виндава) (25166).</w:t>
      </w:r>
    </w:p>
    <w:p w14:paraId="0118C59D" w14:textId="77777777" w:rsidR="00C50250" w:rsidRPr="00405303" w:rsidRDefault="00C50250" w:rsidP="00C50250">
      <w:pPr>
        <w:jc w:val="both"/>
        <w:rPr>
          <w:color w:val="0070C0"/>
          <w:sz w:val="16"/>
          <w:szCs w:val="16"/>
        </w:rPr>
      </w:pPr>
    </w:p>
    <w:p w14:paraId="2E61CDD6" w14:textId="77777777" w:rsidR="00C50250" w:rsidRPr="00405303" w:rsidRDefault="00C50250" w:rsidP="00C50250">
      <w:pPr>
        <w:jc w:val="both"/>
        <w:rPr>
          <w:color w:val="0070C0"/>
          <w:sz w:val="16"/>
          <w:szCs w:val="16"/>
        </w:rPr>
      </w:pPr>
      <w:r w:rsidRPr="00405303">
        <w:rPr>
          <w:rStyle w:val="aa"/>
          <w:rFonts w:ascii="Times New Roman" w:hAnsi="Times New Roman"/>
          <w:color w:val="0070C0"/>
          <w:spacing w:val="0"/>
          <w:sz w:val="16"/>
          <w:szCs w:val="16"/>
        </w:rPr>
        <w:t>Весной 1915 года к решению задач воздушного наблюдения подключилась вновь образованная Финляндская пограничная охрана. В оперативном отношении пограничники подчинялись командиру 42-го армейского корпуса (расквартированного на территории княжества), который формально являлся главой ФПО. Непосредственным руководителем пограничной охраны выступал его помощник генерал-майор Ф.М. Игнатьев, которому вменялась в обязанности организация защиты сухопутной полосы Финского и Ботнического заливов от возможных высадок неприятельских десантов. Для отражения последних задействовались также подразделения и части военного и морского ведомств, расположенных в Финляндии. Большую помощь ФПО оказывали военные агенты-разведчики, занимавшиеся агентурной работой в приграничной полосе. В соответствии со специально изданной инструкцией им предписывалось: «Немедленно сообщать по имеющемуся адресу (...) о движении и действиях неприятельских (...) аэропланов и воздушных кораблях».</w:t>
      </w:r>
    </w:p>
    <w:p w14:paraId="79224E40" w14:textId="77777777" w:rsidR="00C50250" w:rsidRPr="00405303" w:rsidRDefault="00C50250" w:rsidP="00C50250">
      <w:pPr>
        <w:jc w:val="both"/>
        <w:rPr>
          <w:color w:val="0070C0"/>
          <w:sz w:val="16"/>
          <w:szCs w:val="16"/>
        </w:rPr>
      </w:pPr>
      <w:r w:rsidRPr="00405303">
        <w:rPr>
          <w:rStyle w:val="aa"/>
          <w:rFonts w:ascii="Times New Roman" w:hAnsi="Times New Roman"/>
          <w:color w:val="0070C0"/>
          <w:spacing w:val="0"/>
          <w:sz w:val="16"/>
          <w:szCs w:val="16"/>
        </w:rPr>
        <w:lastRenderedPageBreak/>
        <w:t>Всем органам местной власти, командирам воинских частей и жандармерии надлежало способствовать работе агентов-разведчиков, при необходимости в любое время суток предоставлять им возможность передачи срочных донесений в вышестоящие штабы (25166_.</w:t>
      </w:r>
    </w:p>
    <w:p w14:paraId="3420EBD8" w14:textId="77777777" w:rsidR="00C50250" w:rsidRPr="00405303" w:rsidRDefault="00C50250" w:rsidP="00C50250">
      <w:pPr>
        <w:jc w:val="both"/>
        <w:rPr>
          <w:color w:val="0070C0"/>
          <w:sz w:val="16"/>
          <w:szCs w:val="16"/>
        </w:rPr>
      </w:pPr>
    </w:p>
    <w:p w14:paraId="6E047FA1" w14:textId="77777777" w:rsidR="00C50250" w:rsidRPr="00405303" w:rsidRDefault="00C50250" w:rsidP="00C50250">
      <w:pPr>
        <w:jc w:val="both"/>
        <w:rPr>
          <w:color w:val="0070C0"/>
          <w:sz w:val="16"/>
          <w:szCs w:val="16"/>
        </w:rPr>
      </w:pPr>
      <w:r w:rsidRPr="00405303">
        <w:rPr>
          <w:color w:val="0070C0"/>
          <w:sz w:val="16"/>
          <w:szCs w:val="16"/>
        </w:rPr>
        <w:t>К лету 1915 года общее количество германских гидроаэропланов в восточной части Балтийского моря увеличилось до 15 боевых машин, включая учебные и опытные летательные аппараты, находящиеся в Путциге (Пуцке). К этому времени морская авиация, действовавшая в Балтийском море, базировалась в городах Киль, Росток, Кезлин (Кошалин), Путциг (Германия), Либава, позднее – вблизи оз. Ангерн (Энгурес, Прибалтика). В задачи морской авиации входило наблюдение за русскими портами на Балтийском море, отражение действий русских крейсеров, обстреливавших примыкавший к берегу фланг германской армии, поиск подводных лодок и воздушная бомбардировка портов противника. Деятельность морской авиации достигла максимального напряжения в период захвата германскими войсками г. Рига и о. Эзель (Моонзундский архипелаг) осенью 1917 г. Частично гидроавиация использовалась и на сухопутном театре военных действий. Так, осенью 1915 г. гидроаэропланы привлекались в интересах 37-го авиационного отряда (Гросс-Платоне, южнее г. Митава/Елгава) на правом крыле русского Северного фронта.</w:t>
      </w:r>
    </w:p>
    <w:p w14:paraId="3DA12C3D" w14:textId="77777777" w:rsidR="00C50250" w:rsidRPr="00405303" w:rsidRDefault="00C50250" w:rsidP="00C50250">
      <w:pPr>
        <w:jc w:val="both"/>
        <w:rPr>
          <w:color w:val="0070C0"/>
          <w:sz w:val="16"/>
          <w:szCs w:val="16"/>
        </w:rPr>
      </w:pPr>
      <w:r w:rsidRPr="00405303">
        <w:rPr>
          <w:color w:val="0070C0"/>
          <w:sz w:val="16"/>
          <w:szCs w:val="16"/>
        </w:rPr>
        <w:t>Своими действиями воздушный противник часто игнорировал международные нормативно-правовые нормы. В российской печати неоднократно приводились примеры жестокости германских и австрийских летчиков. 25 марта в нарушении Женевской конвенции 1906 г. немецкая авиация подвергла бомбардировке на ст. Остроленка (царство Польское) расположение 526-го полевого госпиталя, развернутого у вокзала, и питательно-перевязочный пункт Красного Креста.</w:t>
      </w:r>
    </w:p>
    <w:p w14:paraId="6B2AF799" w14:textId="77777777" w:rsidR="00C50250" w:rsidRPr="00405303" w:rsidRDefault="00C50250" w:rsidP="00C50250">
      <w:pPr>
        <w:jc w:val="both"/>
        <w:rPr>
          <w:color w:val="0070C0"/>
          <w:sz w:val="16"/>
          <w:szCs w:val="16"/>
        </w:rPr>
      </w:pPr>
      <w:r w:rsidRPr="00405303">
        <w:rPr>
          <w:color w:val="0070C0"/>
          <w:sz w:val="16"/>
          <w:szCs w:val="16"/>
        </w:rPr>
        <w:t xml:space="preserve">Бомбы сбрасывались с малой высоты, несмотря на то обстоятельство, что госпиталь и питательно-перевязочный пункт были обозначены установленными знаками, так </w:t>
      </w:r>
      <w:proofErr w:type="gramStart"/>
      <w:r w:rsidRPr="00405303">
        <w:rPr>
          <w:color w:val="0070C0"/>
          <w:sz w:val="16"/>
          <w:szCs w:val="16"/>
        </w:rPr>
        <w:t>же</w:t>
      </w:r>
      <w:proofErr w:type="gramEnd"/>
      <w:r w:rsidRPr="00405303">
        <w:rPr>
          <w:color w:val="0070C0"/>
          <w:sz w:val="16"/>
          <w:szCs w:val="16"/>
        </w:rPr>
        <w:t xml:space="preserve"> как и санитарные эшелоны, находившиеся на железнодорожных путях у вокзала. Всего было сброшено около 100 мелких бомб, убито 12 и ранено около 20 человек. В тот же день австрийский самолет сбросил две бомбы на территорию русского госпиталя у ст. Воля-Ржзедзиньска (в районе г. Тарнов) (25135).</w:t>
      </w:r>
    </w:p>
    <w:p w14:paraId="6A69A7CF" w14:textId="77777777" w:rsidR="00C50250" w:rsidRPr="00405303" w:rsidRDefault="00C50250" w:rsidP="00C50250">
      <w:pPr>
        <w:jc w:val="both"/>
        <w:rPr>
          <w:color w:val="0070C0"/>
          <w:sz w:val="16"/>
          <w:szCs w:val="16"/>
        </w:rPr>
      </w:pPr>
    </w:p>
    <w:p w14:paraId="08B23F04" w14:textId="223A5410" w:rsidR="000415BF" w:rsidRPr="00405303" w:rsidRDefault="000415BF" w:rsidP="00C15251">
      <w:pPr>
        <w:shd w:val="clear" w:color="auto" w:fill="FFFFFF"/>
        <w:jc w:val="both"/>
        <w:rPr>
          <w:bCs/>
          <w:i/>
          <w:color w:val="002060"/>
          <w:sz w:val="16"/>
          <w:szCs w:val="16"/>
        </w:rPr>
      </w:pPr>
      <w:r w:rsidRPr="00405303">
        <w:rPr>
          <w:bCs/>
          <w:i/>
          <w:color w:val="002060"/>
          <w:sz w:val="16"/>
          <w:szCs w:val="16"/>
        </w:rPr>
        <w:t>Воздухоплавание:</w:t>
      </w:r>
    </w:p>
    <w:p w14:paraId="55B80FA6" w14:textId="77777777" w:rsidR="000415BF" w:rsidRPr="00405303" w:rsidRDefault="000415BF" w:rsidP="00C15251">
      <w:pPr>
        <w:shd w:val="clear" w:color="auto" w:fill="FFFFFF"/>
        <w:jc w:val="both"/>
        <w:rPr>
          <w:bCs/>
          <w:i/>
          <w:color w:val="002060"/>
          <w:sz w:val="16"/>
          <w:szCs w:val="16"/>
        </w:rPr>
      </w:pPr>
    </w:p>
    <w:p w14:paraId="4574556E" w14:textId="77777777" w:rsidR="000415BF" w:rsidRPr="00405303" w:rsidRDefault="000415BF" w:rsidP="00C15251">
      <w:pPr>
        <w:jc w:val="both"/>
        <w:rPr>
          <w:bCs/>
          <w:color w:val="002060"/>
          <w:sz w:val="16"/>
          <w:szCs w:val="16"/>
          <w:lang w:bidi="en-US"/>
        </w:rPr>
      </w:pPr>
      <w:r w:rsidRPr="00405303">
        <w:rPr>
          <w:bCs/>
          <w:color w:val="002060"/>
          <w:sz w:val="16"/>
          <w:szCs w:val="16"/>
          <w:lang w:bidi="en-US"/>
        </w:rPr>
        <w:t>С весны 1915 г. русские воздухоплавательные части стали подчиняться артиллерии. К лету на фронте служило двадцать пять полевых воздухоплавательных рот. Каждая армия имела две-три роты, подчиненные артиллерийским инспекторам корпуса. С весны 1916 г. воздухоплавательные роты были развернуты с двумя аэростатами, а одна треть была отправлена на фронт с тремя аэростатами (23525).</w:t>
      </w:r>
    </w:p>
    <w:p w14:paraId="1AFE3814" w14:textId="77777777" w:rsidR="000415BF" w:rsidRPr="00405303" w:rsidRDefault="000415BF" w:rsidP="00C15251">
      <w:pPr>
        <w:jc w:val="both"/>
        <w:rPr>
          <w:bCs/>
          <w:color w:val="002060"/>
          <w:sz w:val="16"/>
          <w:szCs w:val="16"/>
        </w:rPr>
      </w:pPr>
    </w:p>
    <w:p w14:paraId="70733E02" w14:textId="5380A121" w:rsidR="004B4E35" w:rsidRPr="00405303" w:rsidRDefault="009E6F82" w:rsidP="00C15251">
      <w:pPr>
        <w:shd w:val="clear" w:color="auto" w:fill="FFFFFF"/>
        <w:jc w:val="both"/>
        <w:rPr>
          <w:bCs/>
          <w:i/>
          <w:color w:val="002060"/>
          <w:sz w:val="16"/>
          <w:szCs w:val="16"/>
        </w:rPr>
      </w:pPr>
      <w:r w:rsidRPr="00405303">
        <w:rPr>
          <w:bCs/>
          <w:i/>
          <w:color w:val="002060"/>
          <w:sz w:val="16"/>
          <w:szCs w:val="16"/>
        </w:rPr>
        <w:t>Армия:</w:t>
      </w:r>
    </w:p>
    <w:p w14:paraId="101EC42C" w14:textId="77777777" w:rsidR="004B4E35" w:rsidRPr="00405303" w:rsidRDefault="004B4E35" w:rsidP="00C15251">
      <w:pPr>
        <w:shd w:val="clear" w:color="auto" w:fill="FFFFFF"/>
        <w:jc w:val="both"/>
        <w:rPr>
          <w:bCs/>
          <w:i/>
          <w:color w:val="002060"/>
          <w:sz w:val="16"/>
          <w:szCs w:val="16"/>
        </w:rPr>
      </w:pPr>
    </w:p>
    <w:p w14:paraId="77A85B62" w14:textId="2C822DBC" w:rsidR="004B4E35" w:rsidRPr="00405303" w:rsidRDefault="00957EEC"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есной I9I5 года </w:t>
      </w:r>
      <w:r w:rsidRPr="00405303">
        <w:rPr>
          <w:bCs/>
          <w:color w:val="002060"/>
          <w:sz w:val="16"/>
          <w:szCs w:val="16"/>
        </w:rPr>
        <w:t xml:space="preserve">развитие оперативной обстановки </w:t>
      </w:r>
      <w:r w:rsidR="009E6F82" w:rsidRPr="00405303">
        <w:rPr>
          <w:bCs/>
          <w:color w:val="002060"/>
          <w:sz w:val="16"/>
          <w:szCs w:val="16"/>
        </w:rPr>
        <w:t>потребовало формирование внутри Эскадры отдельных групп для действий в интересах отдельных армий (12041).</w:t>
      </w:r>
    </w:p>
    <w:p w14:paraId="10C6BFC8" w14:textId="77777777" w:rsidR="004B4E35" w:rsidRPr="00405303" w:rsidRDefault="004B4E35" w:rsidP="00C15251">
      <w:pPr>
        <w:jc w:val="both"/>
        <w:rPr>
          <w:bCs/>
          <w:color w:val="002060"/>
          <w:sz w:val="16"/>
          <w:szCs w:val="16"/>
        </w:rPr>
      </w:pPr>
    </w:p>
    <w:p w14:paraId="33B814D4" w14:textId="19214F07" w:rsidR="004B4E35" w:rsidRPr="00405303" w:rsidRDefault="009E6F82" w:rsidP="00C15251">
      <w:pPr>
        <w:shd w:val="clear" w:color="auto" w:fill="FFFFFF"/>
        <w:jc w:val="both"/>
        <w:rPr>
          <w:bCs/>
          <w:color w:val="002060"/>
          <w:sz w:val="16"/>
          <w:szCs w:val="16"/>
        </w:rPr>
      </w:pPr>
      <w:r w:rsidRPr="00405303">
        <w:rPr>
          <w:bCs/>
          <w:color w:val="002060"/>
          <w:sz w:val="16"/>
          <w:szCs w:val="16"/>
        </w:rPr>
        <w:t>Весной 1915 г. Верховный Главнокоманду</w:t>
      </w:r>
      <w:r w:rsidRPr="00405303">
        <w:rPr>
          <w:bCs/>
          <w:color w:val="002060"/>
          <w:sz w:val="16"/>
          <w:szCs w:val="16"/>
        </w:rPr>
        <w:softHyphen/>
        <w:t>ющий утвердил формирование армейских мотоциклетных ко</w:t>
      </w:r>
      <w:r w:rsidRPr="00405303">
        <w:rPr>
          <w:bCs/>
          <w:color w:val="002060"/>
          <w:sz w:val="16"/>
          <w:szCs w:val="16"/>
        </w:rPr>
        <w:softHyphen/>
        <w:t>манд по 60 мотоциклистов и 64 мотоцикла. Тогда же утвердили табель снабжения мотоциклами штабов. И если к Генштабу при</w:t>
      </w:r>
      <w:r w:rsidRPr="00405303">
        <w:rPr>
          <w:bCs/>
          <w:color w:val="002060"/>
          <w:sz w:val="16"/>
          <w:szCs w:val="16"/>
        </w:rPr>
        <w:softHyphen/>
        <w:t>писали 10 мотоциклов, то штабу пехотного или стрелкового пол</w:t>
      </w:r>
      <w:r w:rsidRPr="00405303">
        <w:rPr>
          <w:bCs/>
          <w:color w:val="002060"/>
          <w:sz w:val="16"/>
          <w:szCs w:val="16"/>
        </w:rPr>
        <w:softHyphen/>
        <w:t>ка - всего два. Мотоциклами оснастили все 10 русских крепостей: Ковно, Гродно, Иван-город, Перемышль - по 10, Осовец, Крон</w:t>
      </w:r>
      <w:r w:rsidRPr="00405303">
        <w:rPr>
          <w:bCs/>
          <w:color w:val="002060"/>
          <w:sz w:val="16"/>
          <w:szCs w:val="16"/>
        </w:rPr>
        <w:softHyphen/>
        <w:t>штадт, Севастополь, Каре - по 8, Выборг и Свеаборг - по 4. ГВТУ усиленно хлопотало об оснащении мотоциклами всех во</w:t>
      </w:r>
      <w:r w:rsidRPr="00405303">
        <w:rPr>
          <w:bCs/>
          <w:color w:val="002060"/>
          <w:sz w:val="16"/>
          <w:szCs w:val="16"/>
        </w:rPr>
        <w:softHyphen/>
        <w:t>инских подразделений, в особенности новых мотоциклетных от</w:t>
      </w:r>
      <w:r w:rsidRPr="00405303">
        <w:rPr>
          <w:bCs/>
          <w:color w:val="002060"/>
          <w:sz w:val="16"/>
          <w:szCs w:val="16"/>
        </w:rPr>
        <w:softHyphen/>
        <w:t>делений [2.28].</w:t>
      </w:r>
    </w:p>
    <w:p w14:paraId="3803D33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Приобретение мотоциклов для Русской Армии началось в ав</w:t>
      </w:r>
      <w:r w:rsidRPr="00405303">
        <w:rPr>
          <w:bCs/>
          <w:color w:val="002060"/>
          <w:sz w:val="16"/>
          <w:szCs w:val="16"/>
        </w:rPr>
        <w:softHyphen/>
        <w:t>густе 1914 г. Председатель особой комиссии и начальник ВАШ, полковник П.И. Секретов, дал оценку объёма первой партии мо</w:t>
      </w:r>
      <w:r w:rsidRPr="00405303">
        <w:rPr>
          <w:bCs/>
          <w:color w:val="002060"/>
          <w:sz w:val="16"/>
          <w:szCs w:val="16"/>
        </w:rPr>
        <w:softHyphen/>
        <w:t>тоциклов: следовало срочно приобрести 3 тыс. мотоциклов и 455 боковых колясок к ним. ГВТУ составило смету на приобретение этой техники [2.29]. 30 августа 1914 г. Военный Совет разрешил её приобретение. На том же заседании решили развернуть 12 ма</w:t>
      </w:r>
      <w:r w:rsidRPr="00405303">
        <w:rPr>
          <w:bCs/>
          <w:color w:val="002060"/>
          <w:sz w:val="16"/>
          <w:szCs w:val="16"/>
        </w:rPr>
        <w:softHyphen/>
        <w:t>стерских для ремонта мотоциклов [2.30].</w:t>
      </w:r>
    </w:p>
    <w:p w14:paraId="05C9F84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Заказ на первую партию - 3 тыс. мотоциклов - разделили по</w:t>
      </w:r>
      <w:r w:rsidRPr="00405303">
        <w:rPr>
          <w:bCs/>
          <w:color w:val="002060"/>
          <w:sz w:val="16"/>
          <w:szCs w:val="16"/>
        </w:rPr>
        <w:softHyphen/>
        <w:t>ровну между США и Великобританией и поручили шести фирмам, из них четырем английским [2.31]. В дальнейшем приобретение мотоциклов значительно расширили. О желании участвовать в этой деятельности заявили многие фирмы, посредники и частные лица, но первым выразил готовность представитель американ</w:t>
      </w:r>
      <w:r w:rsidRPr="00405303">
        <w:rPr>
          <w:bCs/>
          <w:color w:val="002060"/>
          <w:sz w:val="16"/>
          <w:szCs w:val="16"/>
        </w:rPr>
        <w:softHyphen/>
        <w:t>ской фирмы «Харлей-Дэвидсон», причём, на вполне приемлемых условиях: 100 шт. - немедленно, а через две недели - по 100 шт. еженедельно [2.32]. К тому времени выяснилось, что наиболее подходящим для русского театра военных действий оказался са</w:t>
      </w:r>
      <w:r w:rsidRPr="00405303">
        <w:rPr>
          <w:bCs/>
          <w:color w:val="002060"/>
          <w:sz w:val="16"/>
          <w:szCs w:val="16"/>
        </w:rPr>
        <w:softHyphen/>
        <w:t>мый мощный из серийно выпускавшихся в тот период мотоцик</w:t>
      </w:r>
      <w:r w:rsidRPr="00405303">
        <w:rPr>
          <w:bCs/>
          <w:color w:val="002060"/>
          <w:sz w:val="16"/>
          <w:szCs w:val="16"/>
        </w:rPr>
        <w:softHyphen/>
        <w:t>лов - фирмы «Индиан». То были машины заводских марок С-1, С-2, С-3, причём, каждая - с У-образным двухцилиндровым дви</w:t>
      </w:r>
      <w:r w:rsidRPr="00405303">
        <w:rPr>
          <w:bCs/>
          <w:color w:val="002060"/>
          <w:sz w:val="16"/>
          <w:szCs w:val="16"/>
        </w:rPr>
        <w:softHyphen/>
        <w:t>гателем мощностью 7 л.с. [2.31]. Этого следовало ожидать, ведь именно такие машины оказались лучшими в первом испытатель</w:t>
      </w:r>
      <w:r w:rsidRPr="00405303">
        <w:rPr>
          <w:bCs/>
          <w:color w:val="002060"/>
          <w:sz w:val="16"/>
          <w:szCs w:val="16"/>
        </w:rPr>
        <w:softHyphen/>
        <w:t>ном мотопробеге, организованном ГВТУ в 1914 г. [2.23, 2.24].</w:t>
      </w:r>
    </w:p>
    <w:p w14:paraId="3045E6A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Технический комитет Военного ведомства сформулировал технические требования (ТТ), предъявляемые </w:t>
      </w:r>
      <w:proofErr w:type="gramStart"/>
      <w:r w:rsidRPr="00405303">
        <w:rPr>
          <w:bCs/>
          <w:color w:val="002060"/>
          <w:sz w:val="16"/>
          <w:szCs w:val="16"/>
        </w:rPr>
        <w:t>к импортным мо</w:t>
      </w:r>
      <w:r w:rsidRPr="00405303">
        <w:rPr>
          <w:bCs/>
          <w:color w:val="002060"/>
          <w:sz w:val="16"/>
          <w:szCs w:val="16"/>
        </w:rPr>
        <w:softHyphen/>
        <w:t>тоциклам</w:t>
      </w:r>
      <w:proofErr w:type="gramEnd"/>
      <w:r w:rsidRPr="00405303">
        <w:rPr>
          <w:bCs/>
          <w:color w:val="002060"/>
          <w:sz w:val="16"/>
          <w:szCs w:val="16"/>
        </w:rPr>
        <w:t xml:space="preserve"> и запретил установку на коляску мотоцикла пулемёта и стрельбу из него во время движения. На мотоциклах разрешалась только раздельная транспортировка пулемётов либо до 5 тыс. пу</w:t>
      </w:r>
      <w:r w:rsidRPr="00405303">
        <w:rPr>
          <w:bCs/>
          <w:color w:val="002060"/>
          <w:sz w:val="16"/>
          <w:szCs w:val="16"/>
        </w:rPr>
        <w:softHyphen/>
        <w:t>лемётных патронов [2.33]. Этот запрет задерживал прогресс веде</w:t>
      </w:r>
      <w:r w:rsidRPr="00405303">
        <w:rPr>
          <w:bCs/>
          <w:color w:val="002060"/>
          <w:sz w:val="16"/>
          <w:szCs w:val="16"/>
        </w:rPr>
        <w:softHyphen/>
        <w:t>ния боя в русской армии и нередко нарушался, чему способство</w:t>
      </w:r>
      <w:r w:rsidRPr="00405303">
        <w:rPr>
          <w:bCs/>
          <w:color w:val="002060"/>
          <w:sz w:val="16"/>
          <w:szCs w:val="16"/>
        </w:rPr>
        <w:softHyphen/>
        <w:t>вали примеры как противника, так и союзников. Германские под</w:t>
      </w:r>
      <w:r w:rsidRPr="00405303">
        <w:rPr>
          <w:bCs/>
          <w:color w:val="002060"/>
          <w:sz w:val="16"/>
          <w:szCs w:val="16"/>
        </w:rPr>
        <w:softHyphen/>
        <w:t>разделения нередко наступали при огневой поддержке мотоцик</w:t>
      </w:r>
      <w:r w:rsidRPr="00405303">
        <w:rPr>
          <w:bCs/>
          <w:color w:val="002060"/>
          <w:sz w:val="16"/>
          <w:szCs w:val="16"/>
        </w:rPr>
        <w:softHyphen/>
        <w:t>лов «N511 8 Р5» с боковым прицепом, оснащённым станковым пу</w:t>
      </w:r>
      <w:r w:rsidRPr="00405303">
        <w:rPr>
          <w:bCs/>
          <w:color w:val="002060"/>
          <w:sz w:val="16"/>
          <w:szCs w:val="16"/>
        </w:rPr>
        <w:softHyphen/>
        <w:t>лемётом, а союзные - с французскими мотоциклами «С1етеп1 М11е1агу» и английскими - «С1упо МПеШгу», с установленными в коляске пулемётами типа «Максим», приспособленными для стрельбы на ходу и защитными бронелистами [2.5]. Сведений об использовании подобных мотоциклов в русской армии не об</w:t>
      </w:r>
      <w:r w:rsidRPr="00405303">
        <w:rPr>
          <w:bCs/>
          <w:color w:val="002060"/>
          <w:sz w:val="16"/>
          <w:szCs w:val="16"/>
        </w:rPr>
        <w:softHyphen/>
        <w:t>наружено (11429).</w:t>
      </w:r>
    </w:p>
    <w:p w14:paraId="04AF4781" w14:textId="77777777" w:rsidR="004B4E35" w:rsidRPr="00405303" w:rsidRDefault="004B4E35" w:rsidP="00C15251">
      <w:pPr>
        <w:shd w:val="clear" w:color="auto" w:fill="FFFFFF"/>
        <w:jc w:val="both"/>
        <w:rPr>
          <w:bCs/>
          <w:color w:val="002060"/>
          <w:sz w:val="16"/>
          <w:szCs w:val="16"/>
        </w:rPr>
      </w:pPr>
    </w:p>
    <w:p w14:paraId="5DF73171" w14:textId="413F27DD" w:rsidR="00CF64B9" w:rsidRPr="00405303" w:rsidRDefault="00CF64B9" w:rsidP="00C15251">
      <w:pPr>
        <w:jc w:val="both"/>
        <w:rPr>
          <w:bCs/>
          <w:color w:val="002060"/>
          <w:sz w:val="16"/>
          <w:szCs w:val="16"/>
        </w:rPr>
      </w:pPr>
      <w:r w:rsidRPr="00405303">
        <w:rPr>
          <w:bCs/>
          <w:color w:val="002060"/>
          <w:sz w:val="16"/>
          <w:szCs w:val="16"/>
        </w:rPr>
        <w:t>Весной 1915 г. штабс-капитан В.Р. Былинский обратился в штаб 10-й армии с рапортом, в котором писал: «Вступая в бой с противником, отлично вооруженным брониро-ванными пушечными и пулеметными батарея-ми на автомобилях, и не имея в своей армии аналогичных средств вооружения, сразу несли от их губительных действий большие потери, в моральном же отношении потери от падения духа в войсках, сознающих свою абсолютную беспомощность, были неисчислимы [...].</w:t>
      </w:r>
    </w:p>
    <w:p w14:paraId="6F309C68" w14:textId="77777777" w:rsidR="00CF64B9" w:rsidRPr="00405303" w:rsidRDefault="00CF64B9" w:rsidP="00C15251">
      <w:pPr>
        <w:jc w:val="both"/>
        <w:rPr>
          <w:bCs/>
          <w:color w:val="002060"/>
          <w:sz w:val="16"/>
          <w:szCs w:val="16"/>
        </w:rPr>
      </w:pPr>
      <w:r w:rsidRPr="00405303">
        <w:rPr>
          <w:bCs/>
          <w:color w:val="002060"/>
          <w:sz w:val="16"/>
          <w:szCs w:val="16"/>
        </w:rPr>
        <w:t>Совершенное отсутствие в районе 1-й и 10-й армий, где я с начала кампании пробыл в строю, каких бы то ни было броневых авто-мобилей, побудили меня сформировать своей конструкции и на свой счет отдельный авто- пушечно-пулеметный взвод [...]».</w:t>
      </w:r>
    </w:p>
    <w:p w14:paraId="36ED3240" w14:textId="77777777" w:rsidR="00CF64B9" w:rsidRPr="00405303" w:rsidRDefault="00CF64B9" w:rsidP="00C15251">
      <w:pPr>
        <w:jc w:val="both"/>
        <w:rPr>
          <w:bCs/>
          <w:color w:val="002060"/>
          <w:sz w:val="16"/>
          <w:szCs w:val="16"/>
        </w:rPr>
      </w:pPr>
      <w:r w:rsidRPr="00405303">
        <w:rPr>
          <w:bCs/>
          <w:color w:val="002060"/>
          <w:sz w:val="16"/>
          <w:szCs w:val="16"/>
        </w:rPr>
        <w:t>Инициативу Былинского поддержали — ему выделили два трофейных автомобиля «Мерседес» и откомандировали в Петроград на Обуховский завод для постройки броневиков и формирования «внепланового» пулеметно- автомобильного взвода. Заручившись под-держкой влиятельного приверженца мотори-зации армии генерал-майора свиты Его Импе-раторского Величества князя В.Н. Орлова, он вскоре получил и третью машину — немецкий грузовик «Ллойд» (Ыоуд) выпуска 1911 г. 23 ав-густа 1915 г. 25-й автопулеметный взвод под командованием Былинского был отправлен в 5-ю армию на Северный фронт.</w:t>
      </w:r>
    </w:p>
    <w:p w14:paraId="44AD8D74" w14:textId="77777777" w:rsidR="00CF64B9" w:rsidRPr="00405303" w:rsidRDefault="00CF64B9" w:rsidP="00C15251">
      <w:pPr>
        <w:jc w:val="both"/>
        <w:rPr>
          <w:bCs/>
          <w:color w:val="002060"/>
          <w:sz w:val="16"/>
          <w:szCs w:val="16"/>
        </w:rPr>
      </w:pPr>
      <w:r w:rsidRPr="00405303">
        <w:rPr>
          <w:bCs/>
          <w:color w:val="002060"/>
          <w:sz w:val="16"/>
          <w:szCs w:val="16"/>
        </w:rPr>
        <w:t xml:space="preserve">По приказу начальника Штаба Верховного Главнокомандующего от 7 июня 1916 г. </w:t>
      </w:r>
      <w:proofErr w:type="gramStart"/>
      <w:r w:rsidRPr="00405303">
        <w:rPr>
          <w:bCs/>
          <w:color w:val="002060"/>
          <w:sz w:val="16"/>
          <w:szCs w:val="16"/>
        </w:rPr>
        <w:t>пуле-метные</w:t>
      </w:r>
      <w:proofErr w:type="gramEnd"/>
      <w:r w:rsidRPr="00405303">
        <w:rPr>
          <w:bCs/>
          <w:color w:val="002060"/>
          <w:sz w:val="16"/>
          <w:szCs w:val="16"/>
        </w:rPr>
        <w:t xml:space="preserve"> автомобильные взводы были объеди-нены в броневые автомобильные дивизионы из расчета один дивизион на армию. При этом взвод переименовывался в отделение. На Кавказском фронте была сохранена взводная организация бронеавтомобильных частей. На 1 сентября 1916 г. в России действовали 12 </w:t>
      </w:r>
      <w:proofErr w:type="gramStart"/>
      <w:r w:rsidRPr="00405303">
        <w:rPr>
          <w:bCs/>
          <w:color w:val="002060"/>
          <w:sz w:val="16"/>
          <w:szCs w:val="16"/>
        </w:rPr>
        <w:t>ли-нейных</w:t>
      </w:r>
      <w:proofErr w:type="gramEnd"/>
      <w:r w:rsidRPr="00405303">
        <w:rPr>
          <w:bCs/>
          <w:color w:val="002060"/>
          <w:sz w:val="16"/>
          <w:szCs w:val="16"/>
        </w:rPr>
        <w:t xml:space="preserve"> броневых автомобильных дивизионов Русской армии, а также бельгийский и </w:t>
      </w:r>
      <w:proofErr w:type="gramStart"/>
      <w:r w:rsidRPr="00405303">
        <w:rPr>
          <w:bCs/>
          <w:color w:val="002060"/>
          <w:sz w:val="16"/>
          <w:szCs w:val="16"/>
        </w:rPr>
        <w:t>бри-танский</w:t>
      </w:r>
      <w:proofErr w:type="gramEnd"/>
      <w:r w:rsidRPr="00405303">
        <w:rPr>
          <w:bCs/>
          <w:color w:val="002060"/>
          <w:sz w:val="16"/>
          <w:szCs w:val="16"/>
        </w:rPr>
        <w:t xml:space="preserve"> бронедивизионы; в Петрограде </w:t>
      </w:r>
      <w:proofErr w:type="gramStart"/>
      <w:r w:rsidRPr="00405303">
        <w:rPr>
          <w:bCs/>
          <w:color w:val="002060"/>
          <w:sz w:val="16"/>
          <w:szCs w:val="16"/>
        </w:rPr>
        <w:t>рас-полагался</w:t>
      </w:r>
      <w:proofErr w:type="gramEnd"/>
      <w:r w:rsidRPr="00405303">
        <w:rPr>
          <w:bCs/>
          <w:color w:val="002060"/>
          <w:sz w:val="16"/>
          <w:szCs w:val="16"/>
        </w:rPr>
        <w:t xml:space="preserve"> Запасной бронедивизион. В начале 1917 г. к ним добавился дивизион особого </w:t>
      </w:r>
      <w:proofErr w:type="gramStart"/>
      <w:r w:rsidRPr="00405303">
        <w:rPr>
          <w:bCs/>
          <w:color w:val="002060"/>
          <w:sz w:val="16"/>
          <w:szCs w:val="16"/>
        </w:rPr>
        <w:t>на-значения</w:t>
      </w:r>
      <w:proofErr w:type="gramEnd"/>
      <w:r w:rsidRPr="00405303">
        <w:rPr>
          <w:bCs/>
          <w:color w:val="002060"/>
          <w:sz w:val="16"/>
          <w:szCs w:val="16"/>
        </w:rPr>
        <w:t>. Бронеавтомобили получили весьма широкое распространение в Русской армии. До октября 1917 г. организация подразделений, тактика боевого использования и количество бронеавтомобилей во многом превосходили показатели армий других стран.</w:t>
      </w:r>
    </w:p>
    <w:p w14:paraId="51186A90" w14:textId="77777777" w:rsidR="00CF64B9" w:rsidRPr="00405303" w:rsidRDefault="00CF64B9" w:rsidP="00C15251">
      <w:pPr>
        <w:jc w:val="both"/>
        <w:rPr>
          <w:bCs/>
          <w:color w:val="002060"/>
          <w:sz w:val="16"/>
          <w:szCs w:val="16"/>
        </w:rPr>
      </w:pPr>
      <w:r w:rsidRPr="00405303">
        <w:rPr>
          <w:bCs/>
          <w:color w:val="002060"/>
          <w:sz w:val="16"/>
          <w:szCs w:val="16"/>
        </w:rPr>
        <w:t xml:space="preserve">Что касается немцев, то только 27 октября 1914 г., когда 1-я автомобильная пулеметная рота Русской армии уже прибыла на фронт, военное министерство Пруссии обязало Транспортно-техническую испытательную </w:t>
      </w:r>
      <w:proofErr w:type="gramStart"/>
      <w:r w:rsidRPr="00405303">
        <w:rPr>
          <w:bCs/>
          <w:color w:val="002060"/>
          <w:sz w:val="16"/>
          <w:szCs w:val="16"/>
        </w:rPr>
        <w:t>ко-миссию</w:t>
      </w:r>
      <w:proofErr w:type="gramEnd"/>
      <w:r w:rsidRPr="00405303">
        <w:rPr>
          <w:bCs/>
          <w:color w:val="002060"/>
          <w:sz w:val="16"/>
          <w:szCs w:val="16"/>
        </w:rPr>
        <w:t xml:space="preserve"> разработать план мероприятий по </w:t>
      </w:r>
      <w:proofErr w:type="gramStart"/>
      <w:r w:rsidRPr="00405303">
        <w:rPr>
          <w:bCs/>
          <w:color w:val="002060"/>
          <w:sz w:val="16"/>
          <w:szCs w:val="16"/>
        </w:rPr>
        <w:t>по-стройке</w:t>
      </w:r>
      <w:proofErr w:type="gramEnd"/>
      <w:r w:rsidRPr="00405303">
        <w:rPr>
          <w:bCs/>
          <w:color w:val="002060"/>
          <w:sz w:val="16"/>
          <w:szCs w:val="16"/>
        </w:rPr>
        <w:t xml:space="preserve"> бронеавтомобилей и формированию броневых частей. К этому подключили также Оржейную испытательную комиссию и Отдел «А2» (Отдел инфантерии). 3 ноября </w:t>
      </w:r>
      <w:proofErr w:type="gramStart"/>
      <w:r w:rsidRPr="00405303">
        <w:rPr>
          <w:bCs/>
          <w:color w:val="002060"/>
          <w:sz w:val="16"/>
          <w:szCs w:val="16"/>
        </w:rPr>
        <w:t>совместны-ми</w:t>
      </w:r>
      <w:proofErr w:type="gramEnd"/>
      <w:r w:rsidRPr="00405303">
        <w:rPr>
          <w:bCs/>
          <w:color w:val="002060"/>
          <w:sz w:val="16"/>
          <w:szCs w:val="16"/>
        </w:rPr>
        <w:t xml:space="preserve"> усилиями были сформулированы состоящие из 16 пунктов требования к бронеавтомобилям. После их одобрения военным министерством на заводах «Бюссинг», «Даймлер» и «Эрхардт» разместили заказ на изготовление трех бро-нированных машин (12256).</w:t>
      </w:r>
    </w:p>
    <w:p w14:paraId="30BD04D5" w14:textId="77777777" w:rsidR="00CF64B9" w:rsidRPr="00405303" w:rsidRDefault="00CF64B9" w:rsidP="00C15251">
      <w:pPr>
        <w:jc w:val="both"/>
        <w:rPr>
          <w:bCs/>
          <w:color w:val="002060"/>
          <w:sz w:val="16"/>
          <w:szCs w:val="16"/>
        </w:rPr>
      </w:pPr>
    </w:p>
    <w:p w14:paraId="37E7DC54" w14:textId="77777777" w:rsidR="00FB2913" w:rsidRPr="00405303" w:rsidRDefault="00FB2913" w:rsidP="00C15251">
      <w:pPr>
        <w:pStyle w:val="20"/>
        <w:shd w:val="clear" w:color="auto" w:fill="auto"/>
        <w:spacing w:after="0" w:line="240" w:lineRule="auto"/>
        <w:ind w:firstLine="0"/>
        <w:jc w:val="both"/>
        <w:rPr>
          <w:rFonts w:ascii="Times New Roman" w:hAnsi="Times New Roman"/>
          <w:bCs/>
          <w:color w:val="002060"/>
          <w:spacing w:val="0"/>
          <w:sz w:val="16"/>
          <w:szCs w:val="16"/>
        </w:rPr>
      </w:pPr>
      <w:r w:rsidRPr="00405303">
        <w:rPr>
          <w:rFonts w:ascii="Times New Roman" w:hAnsi="Times New Roman"/>
          <w:bCs/>
          <w:color w:val="002060"/>
          <w:spacing w:val="0"/>
          <w:sz w:val="16"/>
          <w:szCs w:val="16"/>
        </w:rPr>
        <w:t>Весна 1915 года останется у меня навсегда в памяти, — вспоминал впоследствии генерал А.И. Деникин. — Великая трагедия Русской армии — отступление из Галиции. Ни патронов, ни снарядов. Изо дня в день кровавые бои, изо дня в день тяжелые переходы, бесконечная усталость…</w:t>
      </w:r>
    </w:p>
    <w:p w14:paraId="54FC4161" w14:textId="77777777" w:rsidR="00FB2913" w:rsidRPr="00405303" w:rsidRDefault="00FB2913" w:rsidP="00C15251">
      <w:pPr>
        <w:pStyle w:val="20"/>
        <w:shd w:val="clear" w:color="auto" w:fill="auto"/>
        <w:spacing w:after="0" w:line="240" w:lineRule="auto"/>
        <w:ind w:firstLine="0"/>
        <w:jc w:val="both"/>
        <w:rPr>
          <w:rFonts w:ascii="Times New Roman" w:hAnsi="Times New Roman"/>
          <w:bCs/>
          <w:color w:val="002060"/>
          <w:spacing w:val="0"/>
          <w:sz w:val="16"/>
          <w:szCs w:val="16"/>
        </w:rPr>
      </w:pPr>
      <w:r w:rsidRPr="00405303">
        <w:rPr>
          <w:rFonts w:ascii="Times New Roman" w:hAnsi="Times New Roman"/>
          <w:bCs/>
          <w:color w:val="002060"/>
          <w:spacing w:val="0"/>
          <w:sz w:val="16"/>
          <w:szCs w:val="16"/>
        </w:rPr>
        <w:lastRenderedPageBreak/>
        <w:t>Помню сражение под Перемышлем в середине мая. Одиннадцать дней жестокого боя 4-й стрелковой дивизии — одиннадцать дней страшного гула немецкой тяжелой артиллерии, буквально срывающей целые ряды окопов вместе с защитниками их. Мы почти не отвечали — нечем. Полки, истощенные до последней степени, отбивали одну атаку за другой — штыками или стрельбой в упор; лилась кровь, наши ряды редели, росли могильные холмы — два полка были почти уничтожены германским артиллерийским огнем…»</w:t>
      </w:r>
    </w:p>
    <w:p w14:paraId="6C650F49" w14:textId="77777777" w:rsidR="00FB2913" w:rsidRPr="00405303" w:rsidRDefault="00FB2913" w:rsidP="00C15251">
      <w:pPr>
        <w:pStyle w:val="20"/>
        <w:shd w:val="clear" w:color="auto" w:fill="auto"/>
        <w:spacing w:after="0" w:line="240" w:lineRule="auto"/>
        <w:ind w:firstLine="0"/>
        <w:jc w:val="both"/>
        <w:rPr>
          <w:rFonts w:ascii="Times New Roman" w:hAnsi="Times New Roman"/>
          <w:bCs/>
          <w:color w:val="002060"/>
          <w:spacing w:val="0"/>
          <w:sz w:val="16"/>
          <w:szCs w:val="16"/>
        </w:rPr>
      </w:pPr>
    </w:p>
    <w:p w14:paraId="7C0856AE"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Жизнь и внутренняя политика:</w:t>
      </w:r>
    </w:p>
    <w:p w14:paraId="66F25874" w14:textId="77777777" w:rsidR="004B4E35" w:rsidRPr="00405303" w:rsidRDefault="004B4E35" w:rsidP="00C15251">
      <w:pPr>
        <w:shd w:val="clear" w:color="auto" w:fill="FFFFFF"/>
        <w:jc w:val="both"/>
        <w:rPr>
          <w:bCs/>
          <w:i/>
          <w:color w:val="002060"/>
          <w:sz w:val="16"/>
          <w:szCs w:val="16"/>
        </w:rPr>
      </w:pPr>
    </w:p>
    <w:p w14:paraId="1EC184A6" w14:textId="30236175"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Весной 1915 г. после Галицийского поражения, правительство поддержало лозунг буржуазии о «мобилизации промышленности», согласилось решить вопрос о привлечении частных предпринимательских организаций к делу заготовления предметов военного довольствия. «Надо </w:t>
      </w:r>
      <w:proofErr w:type="gramStart"/>
      <w:r w:rsidRPr="00405303">
        <w:rPr>
          <w:bCs/>
          <w:i w:val="0"/>
          <w:color w:val="002060"/>
          <w:spacing w:val="0"/>
          <w:kern w:val="0"/>
          <w:position w:val="0"/>
          <w:sz w:val="16"/>
          <w:szCs w:val="16"/>
        </w:rPr>
        <w:t>не медля</w:t>
      </w:r>
      <w:proofErr w:type="gramEnd"/>
      <w:r w:rsidRPr="00405303">
        <w:rPr>
          <w:bCs/>
          <w:i w:val="0"/>
          <w:color w:val="002060"/>
          <w:spacing w:val="0"/>
          <w:kern w:val="0"/>
          <w:position w:val="0"/>
          <w:sz w:val="16"/>
          <w:szCs w:val="16"/>
        </w:rPr>
        <w:t xml:space="preserve"> ни одной минуты мобилизовывать всю промышленность и приспособить все фабрики и заводы только к нуждам войны», — призывала московская буржуазная газета «Утро России». Вопрос о привлечении частных предпринимательских организаций к делу заготовления предметов военного довольствия обсуждался и в ходе подготовительных заседаний к Особому совещанию по обороне (весна 1915 г.) (11270).</w:t>
      </w:r>
    </w:p>
    <w:p w14:paraId="010A9AD1" w14:textId="77777777" w:rsidR="004B4E35" w:rsidRPr="00405303" w:rsidRDefault="004B4E35" w:rsidP="00C15251">
      <w:pPr>
        <w:pStyle w:val="a3"/>
        <w:jc w:val="both"/>
        <w:rPr>
          <w:bCs/>
          <w:i w:val="0"/>
          <w:color w:val="002060"/>
          <w:spacing w:val="0"/>
          <w:kern w:val="0"/>
          <w:position w:val="0"/>
          <w:sz w:val="16"/>
          <w:szCs w:val="16"/>
        </w:rPr>
      </w:pPr>
    </w:p>
    <w:p w14:paraId="563D7BF1" w14:textId="77777777" w:rsidR="00C524DD" w:rsidRPr="00405303" w:rsidRDefault="00C524DD" w:rsidP="00C15251">
      <w:pPr>
        <w:jc w:val="both"/>
        <w:rPr>
          <w:bCs/>
          <w:color w:val="002060"/>
          <w:sz w:val="16"/>
          <w:szCs w:val="16"/>
        </w:rPr>
      </w:pPr>
      <w:r w:rsidRPr="00405303">
        <w:rPr>
          <w:bCs/>
          <w:color w:val="002060"/>
          <w:sz w:val="16"/>
          <w:szCs w:val="16"/>
        </w:rPr>
        <w:t xml:space="preserve">Весной 1915 года как бы в противовес ВПК создаются различные государственные комитеты с целью регулирования распределения топлива и военных перевозок. </w:t>
      </w:r>
    </w:p>
    <w:p w14:paraId="0FC8A6C5" w14:textId="77777777" w:rsidR="00C524DD" w:rsidRPr="00405303" w:rsidRDefault="00C524DD" w:rsidP="00C15251">
      <w:pPr>
        <w:jc w:val="both"/>
        <w:rPr>
          <w:bCs/>
          <w:color w:val="002060"/>
          <w:sz w:val="16"/>
          <w:szCs w:val="16"/>
        </w:rPr>
      </w:pPr>
    </w:p>
    <w:p w14:paraId="0EE1F47C"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0D6CE123" w14:textId="77777777" w:rsidR="004B4E35" w:rsidRPr="00405303" w:rsidRDefault="004B4E35" w:rsidP="00C15251">
      <w:pPr>
        <w:shd w:val="clear" w:color="auto" w:fill="FFFFFF"/>
        <w:jc w:val="both"/>
        <w:rPr>
          <w:bCs/>
          <w:i/>
          <w:color w:val="002060"/>
          <w:sz w:val="16"/>
          <w:szCs w:val="16"/>
        </w:rPr>
      </w:pPr>
    </w:p>
    <w:p w14:paraId="2505C183" w14:textId="77777777" w:rsidR="004B4E35" w:rsidRPr="00405303" w:rsidRDefault="009E6F82" w:rsidP="00C15251">
      <w:pPr>
        <w:jc w:val="both"/>
        <w:rPr>
          <w:bCs/>
          <w:color w:val="002060"/>
          <w:sz w:val="16"/>
          <w:szCs w:val="16"/>
        </w:rPr>
      </w:pPr>
      <w:r w:rsidRPr="00405303">
        <w:rPr>
          <w:bCs/>
          <w:color w:val="002060"/>
          <w:sz w:val="16"/>
          <w:szCs w:val="16"/>
        </w:rPr>
        <w:t xml:space="preserve">Весной 1915 года немцы ожидали дальнейшего сильного увеличения численности французского воздушного флота. Равным образом и Англия, до сих пор обращавшая мало внимания на свой воздушный флот, решила заняться его укреплением и с помощью французов смогли добиться значительных результатов в короткий срок. Если уже раньше отсутствие огневых средств на германских самолетах привело к серьезному ослаблению их разведывательной деятельности, то теперь грандиозное усиление воздушных флотов Антанты грозило полным вытеснением германской авиации с театра воздушной войны. Это угрожающее положение не укрылось от внимания начальника штаба действующей армии. Необходимо было оказать авиации, стоявшей в мирное время на заднем плане, мощную поддержку со стороны главного командования. Ввиду этого императорским приказом от 11 марта 1915 года предписывалось: </w:t>
      </w:r>
      <w:r w:rsidRPr="00405303">
        <w:rPr>
          <w:rFonts w:eastAsia="Times-Roman"/>
          <w:bCs/>
          <w:color w:val="002060"/>
          <w:sz w:val="16"/>
          <w:szCs w:val="16"/>
        </w:rPr>
        <w:t>ｫ</w:t>
      </w:r>
      <w:r w:rsidRPr="00405303">
        <w:rPr>
          <w:bCs/>
          <w:color w:val="002060"/>
          <w:sz w:val="16"/>
          <w:szCs w:val="16"/>
        </w:rPr>
        <w:t>Bо главе авиации и воздухоплавания поставить начальника полевого воздушного флота</w:t>
      </w:r>
      <w:r w:rsidRPr="00405303">
        <w:rPr>
          <w:rFonts w:eastAsia="Times-Roman"/>
          <w:bCs/>
          <w:color w:val="002060"/>
          <w:sz w:val="16"/>
          <w:szCs w:val="16"/>
        </w:rPr>
        <w:t>ｻ</w:t>
      </w:r>
      <w:r w:rsidRPr="00405303">
        <w:rPr>
          <w:bCs/>
          <w:color w:val="002060"/>
          <w:sz w:val="16"/>
          <w:szCs w:val="16"/>
        </w:rPr>
        <w:t>. Последнему была подчинена также сухопутная метеорологическая служба. Этим приказом порывалась злосчастная связь с управлением военных сообщений и открывался путь к быстрому развитию (11282).</w:t>
      </w:r>
    </w:p>
    <w:p w14:paraId="68DD8CDA" w14:textId="77777777" w:rsidR="004B4E35" w:rsidRPr="00405303" w:rsidRDefault="004B4E35" w:rsidP="00C15251">
      <w:pPr>
        <w:jc w:val="both"/>
        <w:rPr>
          <w:bCs/>
          <w:color w:val="002060"/>
          <w:sz w:val="16"/>
          <w:szCs w:val="16"/>
        </w:rPr>
      </w:pPr>
    </w:p>
    <w:p w14:paraId="1671699E" w14:textId="77777777" w:rsidR="004B4E35" w:rsidRPr="00405303" w:rsidRDefault="009E6F82" w:rsidP="00C15251">
      <w:pPr>
        <w:jc w:val="both"/>
        <w:rPr>
          <w:bCs/>
          <w:color w:val="002060"/>
          <w:sz w:val="16"/>
          <w:szCs w:val="16"/>
        </w:rPr>
      </w:pPr>
      <w:r w:rsidRPr="00405303">
        <w:rPr>
          <w:bCs/>
          <w:color w:val="002060"/>
          <w:sz w:val="16"/>
          <w:szCs w:val="16"/>
        </w:rPr>
        <w:t>Весной 1915 года по предложению начальника полевого воздушного флота штабы армий и корпусов представили доклады о состоянии и работе полевых воздухоплавательных частей; отзывы штабов были в общем благоприятны и указывали на необходимость увеличения числа таковых частей. Идя навстречу этому пожеланию, командование отправило на фронт все крепостные воздухоплавательные части, переформировав их в воздухоплавательные отряды (11282).</w:t>
      </w:r>
    </w:p>
    <w:p w14:paraId="17ED8919" w14:textId="77777777" w:rsidR="004B4E35" w:rsidRPr="00405303" w:rsidRDefault="004B4E35" w:rsidP="00C15251">
      <w:pPr>
        <w:jc w:val="both"/>
        <w:rPr>
          <w:bCs/>
          <w:color w:val="002060"/>
          <w:sz w:val="16"/>
          <w:szCs w:val="16"/>
        </w:rPr>
      </w:pPr>
    </w:p>
    <w:p w14:paraId="0EB14E7D" w14:textId="4241BC45" w:rsidR="004B4E35" w:rsidRPr="00405303" w:rsidRDefault="00957EEC" w:rsidP="00C15251">
      <w:pPr>
        <w:pStyle w:val="Blockquote"/>
        <w:spacing w:before="0" w:after="0"/>
        <w:ind w:left="0" w:right="0"/>
        <w:jc w:val="both"/>
        <w:rPr>
          <w:bCs/>
          <w:color w:val="002060"/>
          <w:sz w:val="16"/>
          <w:szCs w:val="16"/>
        </w:rPr>
      </w:pPr>
      <w:r w:rsidRPr="00405303">
        <w:rPr>
          <w:bCs/>
          <w:color w:val="002060"/>
          <w:sz w:val="16"/>
          <w:szCs w:val="16"/>
        </w:rPr>
        <w:t>В</w:t>
      </w:r>
      <w:r w:rsidR="009E6F82" w:rsidRPr="00405303">
        <w:rPr>
          <w:bCs/>
          <w:color w:val="002060"/>
          <w:sz w:val="16"/>
          <w:szCs w:val="16"/>
        </w:rPr>
        <w:t>есной 1915 года</w:t>
      </w:r>
      <w:r w:rsidRPr="00405303">
        <w:rPr>
          <w:bCs/>
          <w:color w:val="002060"/>
          <w:sz w:val="16"/>
          <w:szCs w:val="16"/>
        </w:rPr>
        <w:t xml:space="preserve"> были построены дирижабли от SL-3 до SL-5, которые имели объем 32 410 куб. м, четыре мотора «Майбах» МС-Х по 210 л. с., скорость [160] 83,2 км/ч и полезную нагрузку до 11 930 кг</w:t>
      </w:r>
      <w:r w:rsidR="009E6F82" w:rsidRPr="00405303">
        <w:rPr>
          <w:bCs/>
          <w:color w:val="002060"/>
          <w:sz w:val="16"/>
          <w:szCs w:val="16"/>
        </w:rPr>
        <w:t>. С осени 1915 по весну 1916 года в строй вступили 5 дирижаблей: с SL-6 no SL-10. Их объем увеличился до 38 780 куб. м. Начиная с SL-8 и далее, использовались моторы «Майбах» HSL мощностью по 240 л. с. Установка более мощных моторов позволила поднять максимальную скорость до 94 км/ч, а грузоподъемность достигла 18 350 кг. Появившийся летом 1916 года SL-11 стал продолжением дирижаблей серии SL-10, но с объемом, увеличившимся до 38 780 куб. м и грузоподъемностью 18 350 кг. Дирижабли «Шютте-Ланц» обладали хорошими летными характеристиками, но по сравнению с цеппелинами аналогичного объема имели меньшую грузоподъемность. Поэтому на флоте их использовали чаще для разведки и патрулирования, чем для выполнения бомбардировочных задач. Только построенный в конце 1917 года первый корабль SL-20 объемом 56 000 куб. м, мало чем уступавший цеппелинам, прибыл на Балтийское море, где еще успел принять участие в боевой работе. В Северном море ему уже не пришлось повоевать, так как в январе 1918 года он был уничтожен во время большого взрыва в Альгорне. Однотипный корабль SL-22 не соответствовал военным требованиям, и поэтому в боевых действиях участия не принимал (11234).</w:t>
      </w:r>
    </w:p>
    <w:p w14:paraId="431CD30C" w14:textId="77777777" w:rsidR="004B4E35" w:rsidRPr="00405303" w:rsidRDefault="004B4E35" w:rsidP="00C15251">
      <w:pPr>
        <w:pStyle w:val="Blockquote"/>
        <w:spacing w:before="0" w:after="0"/>
        <w:ind w:left="0" w:right="0"/>
        <w:jc w:val="both"/>
        <w:rPr>
          <w:bCs/>
          <w:color w:val="002060"/>
          <w:sz w:val="16"/>
          <w:szCs w:val="16"/>
        </w:rPr>
      </w:pPr>
    </w:p>
    <w:p w14:paraId="43D951B2" w14:textId="77777777" w:rsidR="004B4E35" w:rsidRPr="00405303" w:rsidRDefault="009E6F82" w:rsidP="00C15251">
      <w:pPr>
        <w:jc w:val="both"/>
        <w:rPr>
          <w:bCs/>
          <w:color w:val="002060"/>
          <w:sz w:val="16"/>
          <w:szCs w:val="16"/>
        </w:rPr>
      </w:pPr>
      <w:r w:rsidRPr="00405303">
        <w:rPr>
          <w:bCs/>
          <w:color w:val="002060"/>
          <w:sz w:val="16"/>
          <w:szCs w:val="16"/>
        </w:rPr>
        <w:t>Весной 1915 г. германская бомбардировочная эскадрилья ВАО была переброшена на Восточный фронт для участия в Горлицком прорыве. Одновременно с этим было создано еще одно бомбардировочное подразделение, названное по месту его первоначальной дислокации "Отделение голубиной почты Мец" (Brieftauben-Abteilung Metz) (11999).</w:t>
      </w:r>
    </w:p>
    <w:p w14:paraId="031FE772" w14:textId="77777777" w:rsidR="004B4E35" w:rsidRPr="00405303" w:rsidRDefault="004B4E35" w:rsidP="00C15251">
      <w:pPr>
        <w:jc w:val="both"/>
        <w:rPr>
          <w:bCs/>
          <w:color w:val="002060"/>
          <w:sz w:val="16"/>
          <w:szCs w:val="16"/>
        </w:rPr>
      </w:pPr>
    </w:p>
    <w:p w14:paraId="7ED51BEC" w14:textId="77777777" w:rsidR="00F37161" w:rsidRPr="00405303" w:rsidRDefault="00F37161" w:rsidP="00C15251">
      <w:pPr>
        <w:shd w:val="clear" w:color="auto" w:fill="FFFFFF"/>
        <w:jc w:val="both"/>
        <w:rPr>
          <w:bCs/>
          <w:color w:val="002060"/>
          <w:sz w:val="16"/>
          <w:szCs w:val="16"/>
        </w:rPr>
      </w:pPr>
      <w:r w:rsidRPr="00405303">
        <w:rPr>
          <w:bCs/>
          <w:color w:val="002060"/>
          <w:sz w:val="16"/>
          <w:szCs w:val="16"/>
        </w:rPr>
        <w:t>Весной 1915 г. появился Сименс-Шукерт R. Есть сведения, что фирма получила прямое указание скопировать русского «Илью Муромца» и действительно взяла его схему биплана с четырьмя тянущими моторами на крыле, но оперение сделали двухкилевым, а фюзеляж хотя и имел остекленную кабину, но больше напоминал производившийся в Германии французский Моран тип G, просто гипертрофированный. Самолет появился весной 1915 г., многократно переделывался, но боевой машиной так и не стал, применяясь для различных экспериментов и как тренировочный (23075).</w:t>
      </w:r>
    </w:p>
    <w:p w14:paraId="509D2931" w14:textId="77777777" w:rsidR="00F37161" w:rsidRPr="00405303" w:rsidRDefault="00F37161" w:rsidP="00C15251">
      <w:pPr>
        <w:shd w:val="clear" w:color="auto" w:fill="FFFFFF"/>
        <w:jc w:val="both"/>
        <w:rPr>
          <w:bCs/>
          <w:color w:val="002060"/>
          <w:sz w:val="16"/>
          <w:szCs w:val="16"/>
        </w:rPr>
      </w:pPr>
    </w:p>
    <w:p w14:paraId="79FEA25A" w14:textId="77777777" w:rsidR="004B4E35" w:rsidRPr="00405303" w:rsidRDefault="009E6F82" w:rsidP="00C15251">
      <w:pPr>
        <w:pStyle w:val="Blockquote"/>
        <w:spacing w:before="0" w:after="0"/>
        <w:ind w:left="0" w:right="0"/>
        <w:jc w:val="both"/>
        <w:rPr>
          <w:bCs/>
          <w:i/>
          <w:color w:val="002060"/>
          <w:sz w:val="16"/>
          <w:szCs w:val="16"/>
        </w:rPr>
      </w:pPr>
      <w:r w:rsidRPr="00405303">
        <w:rPr>
          <w:bCs/>
          <w:i/>
          <w:color w:val="002060"/>
          <w:sz w:val="16"/>
          <w:szCs w:val="16"/>
        </w:rPr>
        <w:t>Авиация и воздухоплавание Франции:</w:t>
      </w:r>
    </w:p>
    <w:p w14:paraId="38A761C4" w14:textId="77777777" w:rsidR="004B4E35" w:rsidRPr="00405303" w:rsidRDefault="004B4E35" w:rsidP="00C15251">
      <w:pPr>
        <w:pStyle w:val="Blockquote"/>
        <w:spacing w:before="0" w:after="0"/>
        <w:ind w:left="0" w:right="0"/>
        <w:jc w:val="both"/>
        <w:rPr>
          <w:bCs/>
          <w:i/>
          <w:color w:val="002060"/>
          <w:sz w:val="16"/>
          <w:szCs w:val="16"/>
        </w:rPr>
      </w:pPr>
    </w:p>
    <w:p w14:paraId="085E6B8E" w14:textId="6F0F0D1E" w:rsidR="004B4E35" w:rsidRPr="00405303" w:rsidRDefault="00D421C7" w:rsidP="00C15251">
      <w:pPr>
        <w:jc w:val="both"/>
        <w:rPr>
          <w:bCs/>
          <w:color w:val="002060"/>
          <w:sz w:val="16"/>
          <w:szCs w:val="16"/>
        </w:rPr>
      </w:pPr>
      <w:r w:rsidRPr="00405303">
        <w:rPr>
          <w:bCs/>
          <w:color w:val="002060"/>
          <w:sz w:val="16"/>
          <w:szCs w:val="16"/>
        </w:rPr>
        <w:t>В</w:t>
      </w:r>
      <w:r w:rsidR="009E6F82" w:rsidRPr="00405303">
        <w:rPr>
          <w:bCs/>
          <w:color w:val="002060"/>
          <w:sz w:val="16"/>
          <w:szCs w:val="16"/>
        </w:rPr>
        <w:t>есной 1915 года над линией фронта были введены коридоры безопасности, в которых стрельба в ночное время по любым дирижаблям была запрещена. Устанавливались небольшие световые маячки, помогавшие экипажам дирижаблей ориентироваться при возвращении с ночного боевого вылета (11324).</w:t>
      </w:r>
    </w:p>
    <w:p w14:paraId="2950E7C6" w14:textId="77777777" w:rsidR="004B4E35" w:rsidRPr="00405303" w:rsidRDefault="004B4E35" w:rsidP="00C15251">
      <w:pPr>
        <w:shd w:val="clear" w:color="auto" w:fill="FFFFFF"/>
        <w:jc w:val="both"/>
        <w:rPr>
          <w:bCs/>
          <w:i/>
          <w:color w:val="002060"/>
          <w:sz w:val="16"/>
          <w:szCs w:val="16"/>
        </w:rPr>
      </w:pPr>
    </w:p>
    <w:p w14:paraId="1FD871D2" w14:textId="77777777" w:rsidR="00FB2913" w:rsidRPr="00405303" w:rsidRDefault="00FB2913" w:rsidP="00C15251">
      <w:pPr>
        <w:pStyle w:val="2"/>
        <w:spacing w:before="0" w:after="0"/>
        <w:jc w:val="both"/>
        <w:rPr>
          <w:b w:val="0"/>
          <w:bCs/>
          <w:color w:val="002060"/>
          <w:sz w:val="16"/>
          <w:szCs w:val="16"/>
        </w:rPr>
      </w:pPr>
      <w:r w:rsidRPr="00405303">
        <w:rPr>
          <w:b w:val="0"/>
          <w:bCs/>
          <w:color w:val="002060"/>
          <w:sz w:val="16"/>
          <w:szCs w:val="16"/>
        </w:rPr>
        <w:t>Весной 1915 г. Гарро сбил несколько немецких самолетов, последний из них 16 апреля 1915 г. В тот день «два германских аэроплана — Таубе и Авиатик производили разведочный полет над расположением союзных войск, несмотря на встретивший их шрапнельный огонь. Вдруг они повернули по ветру, намереваясь лететь к себе обратно. Причиной этого было появление французского моноплана Моран-Сольнье, который пилотировал Гарро. Он описывал круги над бипланом, предоставив Таубе спасаться бегством. До земли доносились частые выстрелы из его скорострельной пушки (пулемета — А.Д.), которой изредка отвечали выстрели с Авиатика. Гарро сначала поднялся над врагом, потом резко повернул влево н, очутившись сзади врага, осыпал его пулями. Несмотря на все попытки германца маневрами уйти от Гарро, последний постоянно занимал выгодную позицию вверху и продолжал обстрел. Немец опускался все ниже и ниже. Наблюдатель его был уже убит и его оружие смолкло. Внезапно от выстрелов был пробит на Авиатике бензиновый бак; бензин вспыхнул и пламя охватило аппарат. Раздуваемое быстрым падением оно превратило аэроплан в горящий факел, упавший вскоре на землю.»" (15464).</w:t>
      </w:r>
    </w:p>
    <w:p w14:paraId="4D93456D" w14:textId="77777777" w:rsidR="00FB2913" w:rsidRPr="00405303" w:rsidRDefault="00FB2913" w:rsidP="00C15251">
      <w:pPr>
        <w:pStyle w:val="2"/>
        <w:spacing w:before="0" w:after="0"/>
        <w:jc w:val="both"/>
        <w:rPr>
          <w:b w:val="0"/>
          <w:bCs/>
          <w:color w:val="002060"/>
          <w:sz w:val="16"/>
          <w:szCs w:val="16"/>
        </w:rPr>
      </w:pPr>
    </w:p>
    <w:p w14:paraId="2C779282" w14:textId="77777777" w:rsidR="00F37161" w:rsidRPr="00405303" w:rsidRDefault="00F37161" w:rsidP="00C15251">
      <w:pPr>
        <w:shd w:val="clear" w:color="auto" w:fill="FFFFFF"/>
        <w:jc w:val="both"/>
        <w:rPr>
          <w:bCs/>
          <w:color w:val="002060"/>
          <w:sz w:val="16"/>
          <w:szCs w:val="16"/>
        </w:rPr>
      </w:pPr>
      <w:r w:rsidRPr="00405303">
        <w:rPr>
          <w:bCs/>
          <w:color w:val="002060"/>
          <w:sz w:val="16"/>
          <w:szCs w:val="16"/>
        </w:rPr>
        <w:t>Весной 1915 г. на нескольких самолетах Депердюссен тип Т в частях ВА Франции были смонтированы установки пулеметов Гочкисс обр. 1909, Кольт-Браунинг обр. 1895 г. (Colt–Browning M1895, калибр 7,62 мм) или Мадсен обр. 1915 (Madsen Mle. 1915, калибр 8,0 мм), представлявшие собой высокие кронштейны на фюзеляже для стрельбы поверх винта. Поскольку дистанционного спуска и перезарядки не было, летчик для стрельбы должен был бросать управление и вставать, что на самолете без достаточного запаса статической устойчивости было опасно. О боевом применении таких установок конкретных данных нет (23094).</w:t>
      </w:r>
    </w:p>
    <w:p w14:paraId="023C43B9" w14:textId="77777777" w:rsidR="00F37161" w:rsidRPr="00405303" w:rsidRDefault="00F37161" w:rsidP="00C15251">
      <w:pPr>
        <w:shd w:val="clear" w:color="auto" w:fill="FFFFFF"/>
        <w:jc w:val="both"/>
        <w:rPr>
          <w:bCs/>
          <w:color w:val="002060"/>
          <w:sz w:val="16"/>
          <w:szCs w:val="16"/>
        </w:rPr>
      </w:pPr>
    </w:p>
    <w:p w14:paraId="25DB5305"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Англии:</w:t>
      </w:r>
    </w:p>
    <w:p w14:paraId="6A0CBA49" w14:textId="77777777" w:rsidR="004B4E35" w:rsidRPr="00405303" w:rsidRDefault="004B4E35" w:rsidP="00C15251">
      <w:pPr>
        <w:jc w:val="both"/>
        <w:rPr>
          <w:bCs/>
          <w:i/>
          <w:color w:val="002060"/>
          <w:sz w:val="16"/>
          <w:szCs w:val="16"/>
        </w:rPr>
      </w:pPr>
    </w:p>
    <w:p w14:paraId="71119DA5" w14:textId="6E0A23A0" w:rsidR="004B4E35" w:rsidRPr="00405303" w:rsidRDefault="00D421C7" w:rsidP="00C15251">
      <w:pPr>
        <w:jc w:val="both"/>
        <w:rPr>
          <w:bCs/>
          <w:color w:val="002060"/>
          <w:sz w:val="16"/>
          <w:szCs w:val="16"/>
        </w:rPr>
      </w:pPr>
      <w:r w:rsidRPr="00405303">
        <w:rPr>
          <w:bCs/>
          <w:color w:val="002060"/>
          <w:sz w:val="16"/>
          <w:szCs w:val="16"/>
        </w:rPr>
        <w:lastRenderedPageBreak/>
        <w:t>В</w:t>
      </w:r>
      <w:r w:rsidR="009E6F82" w:rsidRPr="00405303">
        <w:rPr>
          <w:bCs/>
          <w:color w:val="002060"/>
          <w:sz w:val="16"/>
          <w:szCs w:val="16"/>
        </w:rPr>
        <w:t>есной 1915 г.</w:t>
      </w:r>
      <w:r w:rsidRPr="00405303">
        <w:rPr>
          <w:bCs/>
          <w:color w:val="002060"/>
          <w:sz w:val="16"/>
          <w:szCs w:val="16"/>
        </w:rPr>
        <w:t xml:space="preserve"> был готов гидросамолёт-бомбардировщик </w:t>
      </w:r>
      <w:r w:rsidRPr="00405303">
        <w:rPr>
          <w:bCs/>
          <w:color w:val="002060"/>
          <w:sz w:val="16"/>
          <w:szCs w:val="16"/>
          <w:lang w:val="en-US"/>
        </w:rPr>
        <w:t>ShortS</w:t>
      </w:r>
      <w:r w:rsidRPr="00405303">
        <w:rPr>
          <w:bCs/>
          <w:color w:val="002060"/>
          <w:sz w:val="16"/>
          <w:szCs w:val="16"/>
        </w:rPr>
        <w:t>.184</w:t>
      </w:r>
      <w:proofErr w:type="gramStart"/>
      <w:r w:rsidRPr="00405303">
        <w:rPr>
          <w:bCs/>
          <w:color w:val="002060"/>
          <w:sz w:val="16"/>
          <w:szCs w:val="16"/>
        </w:rPr>
        <w:t>. ,</w:t>
      </w:r>
      <w:proofErr w:type="gramEnd"/>
      <w:r w:rsidRPr="00405303">
        <w:rPr>
          <w:bCs/>
          <w:color w:val="002060"/>
          <w:sz w:val="16"/>
          <w:szCs w:val="16"/>
        </w:rPr>
        <w:t xml:space="preserve"> получивший флотский номер </w:t>
      </w:r>
      <w:r w:rsidRPr="00405303">
        <w:rPr>
          <w:bCs/>
          <w:color w:val="002060"/>
          <w:sz w:val="16"/>
          <w:szCs w:val="16"/>
          <w:lang w:val="en-US"/>
        </w:rPr>
        <w:t>N</w:t>
      </w:r>
      <w:r w:rsidRPr="00405303">
        <w:rPr>
          <w:bCs/>
          <w:color w:val="002060"/>
          <w:sz w:val="16"/>
          <w:szCs w:val="16"/>
        </w:rPr>
        <w:t>.1358</w:t>
      </w:r>
      <w:r w:rsidR="009E6F82" w:rsidRPr="00405303">
        <w:rPr>
          <w:bCs/>
          <w:color w:val="002060"/>
          <w:sz w:val="16"/>
          <w:szCs w:val="16"/>
        </w:rPr>
        <w:t xml:space="preserve">, но вот двигателей </w:t>
      </w:r>
      <w:r w:rsidR="009E6F82" w:rsidRPr="00405303">
        <w:rPr>
          <w:bCs/>
          <w:color w:val="002060"/>
          <w:sz w:val="16"/>
          <w:szCs w:val="16"/>
          <w:lang w:val="en-US"/>
        </w:rPr>
        <w:t>Sunbeam</w:t>
      </w:r>
      <w:r w:rsidRPr="00405303">
        <w:rPr>
          <w:bCs/>
          <w:color w:val="002060"/>
          <w:sz w:val="16"/>
          <w:szCs w:val="16"/>
        </w:rPr>
        <w:t xml:space="preserve"> </w:t>
      </w:r>
      <w:r w:rsidR="009E6F82" w:rsidRPr="00405303">
        <w:rPr>
          <w:bCs/>
          <w:color w:val="002060"/>
          <w:sz w:val="16"/>
          <w:szCs w:val="16"/>
        </w:rPr>
        <w:t>ещё не было. Гидроплан простоял целый год, но так и не взлетел. Одной из причин была неуверен</w:t>
      </w:r>
      <w:r w:rsidR="009E6F82" w:rsidRPr="00405303">
        <w:rPr>
          <w:bCs/>
          <w:color w:val="002060"/>
          <w:sz w:val="16"/>
          <w:szCs w:val="16"/>
        </w:rPr>
        <w:softHyphen/>
        <w:t>ность моряков в прочности поплав</w:t>
      </w:r>
      <w:r w:rsidR="009E6F82" w:rsidRPr="00405303">
        <w:rPr>
          <w:bCs/>
          <w:color w:val="002060"/>
          <w:sz w:val="16"/>
          <w:szCs w:val="16"/>
        </w:rPr>
        <w:softHyphen/>
        <w:t>кового шасси для такой огромной машины, размах крыла которой был равен 35 м.</w:t>
      </w:r>
    </w:p>
    <w:p w14:paraId="4BD9AD90" w14:textId="77777777" w:rsidR="004B4E35" w:rsidRPr="00405303" w:rsidRDefault="009E6F82" w:rsidP="00C15251">
      <w:pPr>
        <w:jc w:val="both"/>
        <w:rPr>
          <w:bCs/>
          <w:color w:val="002060"/>
          <w:sz w:val="16"/>
          <w:szCs w:val="16"/>
        </w:rPr>
      </w:pPr>
      <w:r w:rsidRPr="00405303">
        <w:rPr>
          <w:bCs/>
          <w:color w:val="002060"/>
          <w:sz w:val="16"/>
          <w:szCs w:val="16"/>
        </w:rPr>
        <w:t xml:space="preserve">Но хотя </w:t>
      </w:r>
      <w:r w:rsidRPr="00405303">
        <w:rPr>
          <w:bCs/>
          <w:color w:val="002060"/>
          <w:sz w:val="16"/>
          <w:szCs w:val="16"/>
          <w:lang w:val="en-US"/>
        </w:rPr>
        <w:t>Short</w:t>
      </w:r>
      <w:r w:rsidRPr="00405303">
        <w:rPr>
          <w:bCs/>
          <w:color w:val="002060"/>
          <w:sz w:val="16"/>
          <w:szCs w:val="16"/>
        </w:rPr>
        <w:t>184 - первый мор</w:t>
      </w:r>
      <w:r w:rsidRPr="00405303">
        <w:rPr>
          <w:bCs/>
          <w:color w:val="002060"/>
          <w:sz w:val="16"/>
          <w:szCs w:val="16"/>
        </w:rPr>
        <w:softHyphen/>
        <w:t>ской торпедоносец, применённый в бою (и добившийся победы), паль</w:t>
      </w:r>
      <w:r w:rsidRPr="00405303">
        <w:rPr>
          <w:bCs/>
          <w:color w:val="002060"/>
          <w:sz w:val="16"/>
          <w:szCs w:val="16"/>
        </w:rPr>
        <w:softHyphen/>
        <w:t>ма первенства в создании само</w:t>
      </w:r>
      <w:r w:rsidRPr="00405303">
        <w:rPr>
          <w:bCs/>
          <w:color w:val="002060"/>
          <w:sz w:val="16"/>
          <w:szCs w:val="16"/>
        </w:rPr>
        <w:softHyphen/>
        <w:t>лётов такого типа англичанам не принадлежит.</w:t>
      </w:r>
    </w:p>
    <w:p w14:paraId="78E4596E" w14:textId="77777777" w:rsidR="004B4E35" w:rsidRPr="00405303" w:rsidRDefault="009E6F82" w:rsidP="00C15251">
      <w:pPr>
        <w:jc w:val="both"/>
        <w:rPr>
          <w:bCs/>
          <w:color w:val="002060"/>
          <w:sz w:val="16"/>
          <w:szCs w:val="16"/>
        </w:rPr>
      </w:pPr>
      <w:r w:rsidRPr="00405303">
        <w:rPr>
          <w:bCs/>
          <w:color w:val="002060"/>
          <w:sz w:val="16"/>
          <w:szCs w:val="16"/>
        </w:rPr>
        <w:t>Ещё в феврале 1914 г. 33-лет</w:t>
      </w:r>
      <w:r w:rsidRPr="00405303">
        <w:rPr>
          <w:bCs/>
          <w:color w:val="002060"/>
          <w:sz w:val="16"/>
          <w:szCs w:val="16"/>
        </w:rPr>
        <w:softHyphen/>
        <w:t>ний капитан итальянской армии Алессандро Гуидони подвесил под «Фарман» с 80-сильным двигателем «Гном» торпеду и успешно сбросил её. Правда, «Фарман» был сухопут</w:t>
      </w:r>
      <w:r w:rsidRPr="00405303">
        <w:rPr>
          <w:bCs/>
          <w:color w:val="002060"/>
          <w:sz w:val="16"/>
          <w:szCs w:val="16"/>
        </w:rPr>
        <w:softHyphen/>
        <w:t>ным, на колёсном шасси, и к воп</w:t>
      </w:r>
      <w:r w:rsidRPr="00405303">
        <w:rPr>
          <w:bCs/>
          <w:color w:val="002060"/>
          <w:sz w:val="16"/>
          <w:szCs w:val="16"/>
        </w:rPr>
        <w:softHyphen/>
        <w:t>росу о первенстве морских торпе</w:t>
      </w:r>
      <w:r w:rsidRPr="00405303">
        <w:rPr>
          <w:bCs/>
          <w:color w:val="002060"/>
          <w:sz w:val="16"/>
          <w:szCs w:val="16"/>
        </w:rPr>
        <w:softHyphen/>
        <w:t>доносцев отношения не имеет.</w:t>
      </w:r>
    </w:p>
    <w:p w14:paraId="6B47D548" w14:textId="77777777" w:rsidR="004B4E35" w:rsidRPr="00405303" w:rsidRDefault="009E6F82" w:rsidP="00C15251">
      <w:pPr>
        <w:jc w:val="both"/>
        <w:rPr>
          <w:bCs/>
          <w:color w:val="002060"/>
          <w:sz w:val="16"/>
          <w:szCs w:val="16"/>
        </w:rPr>
      </w:pPr>
      <w:r w:rsidRPr="00405303">
        <w:rPr>
          <w:bCs/>
          <w:color w:val="002060"/>
          <w:sz w:val="16"/>
          <w:szCs w:val="16"/>
        </w:rPr>
        <w:t>Но в том же 1914 г. Гуидони со</w:t>
      </w:r>
      <w:r w:rsidRPr="00405303">
        <w:rPr>
          <w:bCs/>
          <w:color w:val="002060"/>
          <w:sz w:val="16"/>
          <w:szCs w:val="16"/>
        </w:rPr>
        <w:softHyphen/>
        <w:t>здал гидросамолёт специальной конструкции.</w:t>
      </w:r>
    </w:p>
    <w:p w14:paraId="3DCE22F8" w14:textId="77777777" w:rsidR="004B4E35" w:rsidRPr="00405303" w:rsidRDefault="009E6F82" w:rsidP="00C15251">
      <w:pPr>
        <w:jc w:val="both"/>
        <w:rPr>
          <w:bCs/>
          <w:color w:val="002060"/>
          <w:sz w:val="16"/>
          <w:szCs w:val="16"/>
        </w:rPr>
      </w:pPr>
      <w:r w:rsidRPr="00405303">
        <w:rPr>
          <w:bCs/>
          <w:color w:val="002060"/>
          <w:sz w:val="16"/>
          <w:szCs w:val="16"/>
        </w:rPr>
        <w:t>Это был расчалочный моноплан на двух больших поплавках. Для облегчения взлёта под поплавками были установлены подводные кры</w:t>
      </w:r>
      <w:r w:rsidRPr="00405303">
        <w:rPr>
          <w:bCs/>
          <w:color w:val="002060"/>
          <w:sz w:val="16"/>
          <w:szCs w:val="16"/>
        </w:rPr>
        <w:softHyphen/>
        <w:t>лья.</w:t>
      </w:r>
    </w:p>
    <w:p w14:paraId="282048A8" w14:textId="77777777" w:rsidR="004B4E35" w:rsidRPr="00405303" w:rsidRDefault="009E6F82" w:rsidP="00C15251">
      <w:pPr>
        <w:jc w:val="both"/>
        <w:rPr>
          <w:bCs/>
          <w:color w:val="002060"/>
          <w:sz w:val="16"/>
          <w:szCs w:val="16"/>
        </w:rPr>
      </w:pPr>
      <w:r w:rsidRPr="00405303">
        <w:rPr>
          <w:bCs/>
          <w:color w:val="002060"/>
          <w:sz w:val="16"/>
          <w:szCs w:val="16"/>
        </w:rPr>
        <w:t xml:space="preserve">Экипаж - всего один человек. Два мотора </w:t>
      </w:r>
      <w:r w:rsidRPr="00405303">
        <w:rPr>
          <w:bCs/>
          <w:color w:val="002060"/>
          <w:sz w:val="16"/>
          <w:szCs w:val="16"/>
          <w:lang w:val="en-US"/>
        </w:rPr>
        <w:t>Gnome</w:t>
      </w:r>
      <w:r w:rsidRPr="00405303">
        <w:rPr>
          <w:bCs/>
          <w:color w:val="002060"/>
          <w:sz w:val="16"/>
          <w:szCs w:val="16"/>
        </w:rPr>
        <w:t>по 160 л.с. были установлены в фюзеляже носками друг к другу и вращали винты, «про</w:t>
      </w:r>
      <w:r w:rsidRPr="00405303">
        <w:rPr>
          <w:bCs/>
          <w:color w:val="002060"/>
          <w:sz w:val="16"/>
          <w:szCs w:val="16"/>
        </w:rPr>
        <w:softHyphen/>
        <w:t>резающие» фюзеляж. Хвостовая часть держалась только на трубе, проходящей через валы винтов, и на расчалках.</w:t>
      </w:r>
    </w:p>
    <w:p w14:paraId="79901039" w14:textId="77777777" w:rsidR="004B4E35" w:rsidRPr="00405303" w:rsidRDefault="009E6F82" w:rsidP="00C15251">
      <w:pPr>
        <w:jc w:val="both"/>
        <w:rPr>
          <w:bCs/>
          <w:color w:val="002060"/>
          <w:sz w:val="16"/>
          <w:szCs w:val="16"/>
        </w:rPr>
      </w:pPr>
      <w:r w:rsidRPr="00405303">
        <w:rPr>
          <w:bCs/>
          <w:color w:val="002060"/>
          <w:sz w:val="16"/>
          <w:szCs w:val="16"/>
        </w:rPr>
        <w:t>Подобная конструкция была поз</w:t>
      </w:r>
      <w:r w:rsidRPr="00405303">
        <w:rPr>
          <w:bCs/>
          <w:color w:val="002060"/>
          <w:sz w:val="16"/>
          <w:szCs w:val="16"/>
        </w:rPr>
        <w:softHyphen/>
        <w:t>же применена в американских са</w:t>
      </w:r>
      <w:r w:rsidRPr="00405303">
        <w:rPr>
          <w:bCs/>
          <w:color w:val="002060"/>
          <w:sz w:val="16"/>
          <w:szCs w:val="16"/>
        </w:rPr>
        <w:softHyphen/>
        <w:t xml:space="preserve">молётах </w:t>
      </w:r>
      <w:r w:rsidRPr="00405303">
        <w:rPr>
          <w:bCs/>
          <w:color w:val="002060"/>
          <w:sz w:val="16"/>
          <w:szCs w:val="16"/>
          <w:lang w:val="en-US"/>
        </w:rPr>
        <w:t>GallaudetD</w:t>
      </w:r>
      <w:r w:rsidRPr="00405303">
        <w:rPr>
          <w:bCs/>
          <w:color w:val="002060"/>
          <w:sz w:val="16"/>
          <w:szCs w:val="16"/>
        </w:rPr>
        <w:t xml:space="preserve">-2 и </w:t>
      </w:r>
      <w:r w:rsidRPr="00405303">
        <w:rPr>
          <w:bCs/>
          <w:color w:val="002060"/>
          <w:sz w:val="16"/>
          <w:szCs w:val="16"/>
          <w:lang w:val="en-US"/>
        </w:rPr>
        <w:t>D</w:t>
      </w:r>
      <w:r w:rsidRPr="00405303">
        <w:rPr>
          <w:bCs/>
          <w:color w:val="002060"/>
          <w:sz w:val="16"/>
          <w:szCs w:val="16"/>
        </w:rPr>
        <w:t>-4</w:t>
      </w:r>
    </w:p>
    <w:p w14:paraId="26CB4794" w14:textId="77777777" w:rsidR="004B4E35" w:rsidRPr="00405303" w:rsidRDefault="009E6F82" w:rsidP="00C15251">
      <w:pPr>
        <w:jc w:val="both"/>
        <w:rPr>
          <w:bCs/>
          <w:color w:val="002060"/>
          <w:sz w:val="16"/>
          <w:szCs w:val="16"/>
        </w:rPr>
      </w:pPr>
      <w:r w:rsidRPr="00405303">
        <w:rPr>
          <w:bCs/>
          <w:color w:val="002060"/>
          <w:sz w:val="16"/>
          <w:szCs w:val="16"/>
        </w:rPr>
        <w:t>Итальянский самолёт был успеш</w:t>
      </w:r>
      <w:r w:rsidRPr="00405303">
        <w:rPr>
          <w:bCs/>
          <w:color w:val="002060"/>
          <w:sz w:val="16"/>
          <w:szCs w:val="16"/>
        </w:rPr>
        <w:softHyphen/>
        <w:t>но испытан, но на вооружение его не приняли. Он не получил и специ</w:t>
      </w:r>
      <w:r w:rsidRPr="00405303">
        <w:rPr>
          <w:bCs/>
          <w:color w:val="002060"/>
          <w:sz w:val="16"/>
          <w:szCs w:val="16"/>
        </w:rPr>
        <w:softHyphen/>
        <w:t>ального обозначения, так и остав</w:t>
      </w:r>
      <w:r w:rsidRPr="00405303">
        <w:rPr>
          <w:bCs/>
          <w:color w:val="002060"/>
          <w:sz w:val="16"/>
          <w:szCs w:val="16"/>
        </w:rPr>
        <w:softHyphen/>
        <w:t xml:space="preserve">шись в истории авиации как </w:t>
      </w:r>
      <w:r w:rsidRPr="00405303">
        <w:rPr>
          <w:bCs/>
          <w:color w:val="002060"/>
          <w:sz w:val="16"/>
          <w:szCs w:val="16"/>
          <w:lang w:val="en-US"/>
        </w:rPr>
        <w:t>Guidoniidrosilurante</w:t>
      </w:r>
      <w:r w:rsidRPr="00405303">
        <w:rPr>
          <w:bCs/>
          <w:color w:val="002060"/>
          <w:sz w:val="16"/>
          <w:szCs w:val="16"/>
        </w:rPr>
        <w:t>(гидросамолёт-торпе</w:t>
      </w:r>
      <w:r w:rsidRPr="00405303">
        <w:rPr>
          <w:bCs/>
          <w:color w:val="002060"/>
          <w:sz w:val="16"/>
          <w:szCs w:val="16"/>
        </w:rPr>
        <w:softHyphen/>
        <w:t>доносец Гуидони).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69"/>
        <w:gridCol w:w="1176"/>
        <w:gridCol w:w="1133"/>
        <w:gridCol w:w="1090"/>
        <w:gridCol w:w="1267"/>
      </w:tblGrid>
      <w:tr w:rsidR="004B4E35" w:rsidRPr="00405303" w14:paraId="541B93CC" w14:textId="77777777">
        <w:trPr>
          <w:trHeight w:val="494"/>
        </w:trPr>
        <w:tc>
          <w:tcPr>
            <w:tcW w:w="2069" w:type="dxa"/>
            <w:shd w:val="clear" w:color="auto" w:fill="FFFFFF"/>
          </w:tcPr>
          <w:p w14:paraId="5F85CFC1" w14:textId="77777777" w:rsidR="004B4E35" w:rsidRPr="00405303" w:rsidRDefault="009E6F82" w:rsidP="00C15251">
            <w:pPr>
              <w:jc w:val="both"/>
              <w:rPr>
                <w:bCs/>
                <w:color w:val="002060"/>
                <w:sz w:val="16"/>
                <w:szCs w:val="16"/>
              </w:rPr>
            </w:pPr>
            <w:r w:rsidRPr="00405303">
              <w:rPr>
                <w:bCs/>
                <w:color w:val="002060"/>
                <w:sz w:val="16"/>
                <w:szCs w:val="16"/>
              </w:rPr>
              <w:t>Модель</w:t>
            </w:r>
          </w:p>
        </w:tc>
        <w:tc>
          <w:tcPr>
            <w:tcW w:w="1176" w:type="dxa"/>
            <w:shd w:val="clear" w:color="auto" w:fill="FFFFFF"/>
          </w:tcPr>
          <w:p w14:paraId="2B801AE5" w14:textId="77777777" w:rsidR="004B4E35" w:rsidRPr="00405303" w:rsidRDefault="009E6F82" w:rsidP="00C15251">
            <w:pPr>
              <w:jc w:val="both"/>
              <w:rPr>
                <w:bCs/>
                <w:color w:val="002060"/>
                <w:sz w:val="16"/>
                <w:szCs w:val="16"/>
              </w:rPr>
            </w:pPr>
            <w:r w:rsidRPr="00405303">
              <w:rPr>
                <w:bCs/>
                <w:color w:val="002060"/>
                <w:sz w:val="16"/>
                <w:szCs w:val="16"/>
                <w:lang w:val="en-US"/>
              </w:rPr>
              <w:t>Guidoni Seaplane</w:t>
            </w:r>
          </w:p>
        </w:tc>
        <w:tc>
          <w:tcPr>
            <w:tcW w:w="1133" w:type="dxa"/>
            <w:shd w:val="clear" w:color="auto" w:fill="FFFFFF"/>
          </w:tcPr>
          <w:p w14:paraId="6C949FBA" w14:textId="77777777" w:rsidR="004B4E35" w:rsidRPr="00405303" w:rsidRDefault="009E6F82" w:rsidP="00C15251">
            <w:pPr>
              <w:jc w:val="both"/>
              <w:rPr>
                <w:bCs/>
                <w:color w:val="002060"/>
                <w:sz w:val="16"/>
                <w:szCs w:val="16"/>
              </w:rPr>
            </w:pPr>
            <w:r w:rsidRPr="00405303">
              <w:rPr>
                <w:bCs/>
                <w:color w:val="002060"/>
                <w:sz w:val="16"/>
                <w:szCs w:val="16"/>
                <w:lang w:val="en-US"/>
              </w:rPr>
              <w:t xml:space="preserve">Short </w:t>
            </w:r>
            <w:r w:rsidRPr="00405303">
              <w:rPr>
                <w:bCs/>
                <w:color w:val="002060"/>
                <w:sz w:val="16"/>
                <w:szCs w:val="16"/>
              </w:rPr>
              <w:t>184</w:t>
            </w:r>
          </w:p>
        </w:tc>
        <w:tc>
          <w:tcPr>
            <w:tcW w:w="1090" w:type="dxa"/>
            <w:shd w:val="clear" w:color="auto" w:fill="FFFFFF"/>
          </w:tcPr>
          <w:p w14:paraId="1CC088ED" w14:textId="77777777" w:rsidR="004B4E35" w:rsidRPr="00405303" w:rsidRDefault="009E6F82" w:rsidP="00C15251">
            <w:pPr>
              <w:jc w:val="both"/>
              <w:rPr>
                <w:bCs/>
                <w:color w:val="002060"/>
                <w:sz w:val="16"/>
                <w:szCs w:val="16"/>
              </w:rPr>
            </w:pPr>
            <w:r w:rsidRPr="00405303">
              <w:rPr>
                <w:bCs/>
                <w:color w:val="002060"/>
                <w:sz w:val="16"/>
                <w:szCs w:val="16"/>
                <w:lang w:val="en-US"/>
              </w:rPr>
              <w:t xml:space="preserve">AD. </w:t>
            </w:r>
            <w:r w:rsidRPr="00405303">
              <w:rPr>
                <w:bCs/>
                <w:color w:val="002060"/>
                <w:sz w:val="16"/>
                <w:szCs w:val="16"/>
              </w:rPr>
              <w:t>1000</w:t>
            </w:r>
          </w:p>
        </w:tc>
        <w:tc>
          <w:tcPr>
            <w:tcW w:w="1267" w:type="dxa"/>
            <w:shd w:val="clear" w:color="auto" w:fill="FFFFFF"/>
          </w:tcPr>
          <w:p w14:paraId="2151A45F" w14:textId="77777777" w:rsidR="004B4E35" w:rsidRPr="00405303" w:rsidRDefault="009E6F82" w:rsidP="00C15251">
            <w:pPr>
              <w:jc w:val="both"/>
              <w:rPr>
                <w:bCs/>
                <w:color w:val="002060"/>
                <w:sz w:val="16"/>
                <w:szCs w:val="16"/>
              </w:rPr>
            </w:pPr>
            <w:r w:rsidRPr="00405303">
              <w:rPr>
                <w:bCs/>
                <w:color w:val="002060"/>
                <w:sz w:val="16"/>
                <w:szCs w:val="16"/>
              </w:rPr>
              <w:t>ГАСН</w:t>
            </w:r>
          </w:p>
        </w:tc>
      </w:tr>
      <w:tr w:rsidR="004B4E35" w:rsidRPr="00405303" w14:paraId="4C92466F" w14:textId="77777777">
        <w:trPr>
          <w:trHeight w:val="648"/>
        </w:trPr>
        <w:tc>
          <w:tcPr>
            <w:tcW w:w="2069" w:type="dxa"/>
            <w:shd w:val="clear" w:color="auto" w:fill="FFFFFF"/>
          </w:tcPr>
          <w:p w14:paraId="4101D74B" w14:textId="77777777" w:rsidR="004B4E35" w:rsidRPr="00405303" w:rsidRDefault="009E6F82" w:rsidP="00C15251">
            <w:pPr>
              <w:jc w:val="both"/>
              <w:rPr>
                <w:bCs/>
                <w:color w:val="002060"/>
                <w:sz w:val="16"/>
                <w:szCs w:val="16"/>
              </w:rPr>
            </w:pPr>
            <w:r w:rsidRPr="00405303">
              <w:rPr>
                <w:bCs/>
                <w:color w:val="002060"/>
                <w:sz w:val="16"/>
                <w:szCs w:val="16"/>
              </w:rPr>
              <w:t>Первый полёт</w:t>
            </w:r>
          </w:p>
        </w:tc>
        <w:tc>
          <w:tcPr>
            <w:tcW w:w="1176" w:type="dxa"/>
            <w:shd w:val="clear" w:color="auto" w:fill="FFFFFF"/>
          </w:tcPr>
          <w:p w14:paraId="7EAD3E72" w14:textId="77777777" w:rsidR="004B4E35" w:rsidRPr="00405303" w:rsidRDefault="004B4E35" w:rsidP="00C15251">
            <w:pPr>
              <w:jc w:val="both"/>
              <w:rPr>
                <w:bCs/>
                <w:color w:val="002060"/>
                <w:sz w:val="16"/>
                <w:szCs w:val="16"/>
              </w:rPr>
            </w:pPr>
          </w:p>
        </w:tc>
        <w:tc>
          <w:tcPr>
            <w:tcW w:w="1133" w:type="dxa"/>
            <w:shd w:val="clear" w:color="auto" w:fill="FFFFFF"/>
          </w:tcPr>
          <w:p w14:paraId="57419253" w14:textId="77777777" w:rsidR="004B4E35" w:rsidRPr="00405303" w:rsidRDefault="009E6F82" w:rsidP="00C15251">
            <w:pPr>
              <w:jc w:val="both"/>
              <w:rPr>
                <w:bCs/>
                <w:color w:val="002060"/>
                <w:sz w:val="16"/>
                <w:szCs w:val="16"/>
              </w:rPr>
            </w:pPr>
            <w:r w:rsidRPr="00405303">
              <w:rPr>
                <w:bCs/>
                <w:color w:val="002060"/>
                <w:sz w:val="16"/>
                <w:szCs w:val="16"/>
              </w:rPr>
              <w:t>07.1915</w:t>
            </w:r>
          </w:p>
        </w:tc>
        <w:tc>
          <w:tcPr>
            <w:tcW w:w="1090" w:type="dxa"/>
            <w:shd w:val="clear" w:color="auto" w:fill="FFFFFF"/>
          </w:tcPr>
          <w:p w14:paraId="09975E2F" w14:textId="77777777" w:rsidR="004B4E35" w:rsidRPr="00405303" w:rsidRDefault="009E6F82" w:rsidP="00C15251">
            <w:pPr>
              <w:jc w:val="both"/>
              <w:rPr>
                <w:bCs/>
                <w:color w:val="002060"/>
                <w:sz w:val="16"/>
                <w:szCs w:val="16"/>
              </w:rPr>
            </w:pPr>
            <w:r w:rsidRPr="00405303">
              <w:rPr>
                <w:bCs/>
                <w:color w:val="002060"/>
                <w:sz w:val="16"/>
                <w:szCs w:val="16"/>
              </w:rPr>
              <w:t>Построен 03.1915, не летал</w:t>
            </w:r>
          </w:p>
        </w:tc>
        <w:tc>
          <w:tcPr>
            <w:tcW w:w="1267" w:type="dxa"/>
            <w:shd w:val="clear" w:color="auto" w:fill="FFFFFF"/>
          </w:tcPr>
          <w:p w14:paraId="0F04F75C" w14:textId="77777777" w:rsidR="004B4E35" w:rsidRPr="00405303" w:rsidRDefault="009E6F82" w:rsidP="00C15251">
            <w:pPr>
              <w:jc w:val="both"/>
              <w:rPr>
                <w:bCs/>
                <w:color w:val="002060"/>
                <w:sz w:val="16"/>
                <w:szCs w:val="16"/>
              </w:rPr>
            </w:pPr>
            <w:r w:rsidRPr="00405303">
              <w:rPr>
                <w:bCs/>
                <w:color w:val="002060"/>
                <w:sz w:val="16"/>
                <w:szCs w:val="16"/>
              </w:rPr>
              <w:t>24.08.1917</w:t>
            </w:r>
          </w:p>
        </w:tc>
      </w:tr>
      <w:tr w:rsidR="004B4E35" w:rsidRPr="00405303" w14:paraId="0BBFDB9F" w14:textId="77777777">
        <w:trPr>
          <w:trHeight w:val="221"/>
        </w:trPr>
        <w:tc>
          <w:tcPr>
            <w:tcW w:w="2069" w:type="dxa"/>
            <w:shd w:val="clear" w:color="auto" w:fill="FFFFFF"/>
          </w:tcPr>
          <w:p w14:paraId="22A4EB24" w14:textId="77777777" w:rsidR="004B4E35" w:rsidRPr="00405303" w:rsidRDefault="009E6F82" w:rsidP="00C15251">
            <w:pPr>
              <w:jc w:val="both"/>
              <w:rPr>
                <w:bCs/>
                <w:color w:val="002060"/>
                <w:sz w:val="16"/>
                <w:szCs w:val="16"/>
              </w:rPr>
            </w:pPr>
            <w:r w:rsidRPr="00405303">
              <w:rPr>
                <w:bCs/>
                <w:color w:val="002060"/>
                <w:sz w:val="16"/>
                <w:szCs w:val="16"/>
              </w:rPr>
              <w:t>Боевая нагрузка</w:t>
            </w:r>
          </w:p>
        </w:tc>
        <w:tc>
          <w:tcPr>
            <w:tcW w:w="1176" w:type="dxa"/>
            <w:shd w:val="clear" w:color="auto" w:fill="FFFFFF"/>
          </w:tcPr>
          <w:p w14:paraId="2BDD7D40" w14:textId="77777777" w:rsidR="004B4E35" w:rsidRPr="00405303" w:rsidRDefault="009E6F82" w:rsidP="00C15251">
            <w:pPr>
              <w:jc w:val="both"/>
              <w:rPr>
                <w:bCs/>
                <w:color w:val="002060"/>
                <w:sz w:val="16"/>
                <w:szCs w:val="16"/>
              </w:rPr>
            </w:pPr>
            <w:r w:rsidRPr="00405303">
              <w:rPr>
                <w:bCs/>
                <w:color w:val="002060"/>
                <w:sz w:val="16"/>
                <w:szCs w:val="16"/>
              </w:rPr>
              <w:t>357мм</w:t>
            </w:r>
          </w:p>
        </w:tc>
        <w:tc>
          <w:tcPr>
            <w:tcW w:w="1133" w:type="dxa"/>
            <w:shd w:val="clear" w:color="auto" w:fill="FFFFFF"/>
          </w:tcPr>
          <w:p w14:paraId="6B1ACA6D" w14:textId="77777777" w:rsidR="004B4E35" w:rsidRPr="00405303" w:rsidRDefault="009E6F82" w:rsidP="00C15251">
            <w:pPr>
              <w:jc w:val="both"/>
              <w:rPr>
                <w:bCs/>
                <w:color w:val="002060"/>
                <w:sz w:val="16"/>
                <w:szCs w:val="16"/>
              </w:rPr>
            </w:pPr>
            <w:r w:rsidRPr="00405303">
              <w:rPr>
                <w:bCs/>
                <w:color w:val="002060"/>
                <w:sz w:val="16"/>
                <w:szCs w:val="16"/>
              </w:rPr>
              <w:t>357мм</w:t>
            </w:r>
          </w:p>
        </w:tc>
        <w:tc>
          <w:tcPr>
            <w:tcW w:w="1090" w:type="dxa"/>
            <w:shd w:val="clear" w:color="auto" w:fill="FFFFFF"/>
          </w:tcPr>
          <w:p w14:paraId="7DD4B10E" w14:textId="77777777" w:rsidR="004B4E35" w:rsidRPr="00405303" w:rsidRDefault="009E6F82" w:rsidP="00C15251">
            <w:pPr>
              <w:jc w:val="both"/>
              <w:rPr>
                <w:bCs/>
                <w:color w:val="002060"/>
                <w:sz w:val="16"/>
                <w:szCs w:val="16"/>
              </w:rPr>
            </w:pPr>
            <w:r w:rsidRPr="00405303">
              <w:rPr>
                <w:bCs/>
                <w:color w:val="002060"/>
                <w:sz w:val="16"/>
                <w:szCs w:val="16"/>
              </w:rPr>
              <w:t>357мм</w:t>
            </w:r>
          </w:p>
        </w:tc>
        <w:tc>
          <w:tcPr>
            <w:tcW w:w="1267" w:type="dxa"/>
            <w:shd w:val="clear" w:color="auto" w:fill="FFFFFF"/>
          </w:tcPr>
          <w:p w14:paraId="639950DB" w14:textId="77777777" w:rsidR="004B4E35" w:rsidRPr="00405303" w:rsidRDefault="009E6F82" w:rsidP="00C15251">
            <w:pPr>
              <w:jc w:val="both"/>
              <w:rPr>
                <w:bCs/>
                <w:color w:val="002060"/>
                <w:sz w:val="16"/>
                <w:szCs w:val="16"/>
              </w:rPr>
            </w:pPr>
            <w:r w:rsidRPr="00405303">
              <w:rPr>
                <w:bCs/>
                <w:color w:val="002060"/>
                <w:sz w:val="16"/>
                <w:szCs w:val="16"/>
              </w:rPr>
              <w:t>450мм</w:t>
            </w:r>
          </w:p>
        </w:tc>
      </w:tr>
      <w:tr w:rsidR="004B4E35" w:rsidRPr="00405303" w14:paraId="7AA7F79F" w14:textId="77777777">
        <w:trPr>
          <w:trHeight w:val="240"/>
        </w:trPr>
        <w:tc>
          <w:tcPr>
            <w:tcW w:w="2069" w:type="dxa"/>
            <w:shd w:val="clear" w:color="auto" w:fill="FFFFFF"/>
          </w:tcPr>
          <w:p w14:paraId="5A59121D" w14:textId="77777777" w:rsidR="004B4E35" w:rsidRPr="00405303" w:rsidRDefault="009E6F82" w:rsidP="00C15251">
            <w:pPr>
              <w:jc w:val="both"/>
              <w:rPr>
                <w:bCs/>
                <w:color w:val="002060"/>
                <w:sz w:val="16"/>
                <w:szCs w:val="16"/>
              </w:rPr>
            </w:pPr>
            <w:r w:rsidRPr="00405303">
              <w:rPr>
                <w:bCs/>
                <w:color w:val="002060"/>
                <w:sz w:val="16"/>
                <w:szCs w:val="16"/>
              </w:rPr>
              <w:t>(торпеда)</w:t>
            </w:r>
          </w:p>
        </w:tc>
        <w:tc>
          <w:tcPr>
            <w:tcW w:w="1176" w:type="dxa"/>
            <w:shd w:val="clear" w:color="auto" w:fill="FFFFFF"/>
          </w:tcPr>
          <w:p w14:paraId="2618DAF2" w14:textId="77777777" w:rsidR="004B4E35" w:rsidRPr="00405303" w:rsidRDefault="004B4E35" w:rsidP="00C15251">
            <w:pPr>
              <w:jc w:val="both"/>
              <w:rPr>
                <w:bCs/>
                <w:color w:val="002060"/>
                <w:sz w:val="16"/>
                <w:szCs w:val="16"/>
              </w:rPr>
            </w:pPr>
          </w:p>
        </w:tc>
        <w:tc>
          <w:tcPr>
            <w:tcW w:w="1133" w:type="dxa"/>
            <w:shd w:val="clear" w:color="auto" w:fill="FFFFFF"/>
          </w:tcPr>
          <w:p w14:paraId="22944BC9" w14:textId="77777777" w:rsidR="004B4E35" w:rsidRPr="00405303" w:rsidRDefault="004B4E35" w:rsidP="00C15251">
            <w:pPr>
              <w:jc w:val="both"/>
              <w:rPr>
                <w:bCs/>
                <w:color w:val="002060"/>
                <w:sz w:val="16"/>
                <w:szCs w:val="16"/>
              </w:rPr>
            </w:pPr>
          </w:p>
        </w:tc>
        <w:tc>
          <w:tcPr>
            <w:tcW w:w="1090" w:type="dxa"/>
            <w:shd w:val="clear" w:color="auto" w:fill="FFFFFF"/>
          </w:tcPr>
          <w:p w14:paraId="2E2C17A4" w14:textId="77777777" w:rsidR="004B4E35" w:rsidRPr="00405303" w:rsidRDefault="004B4E35" w:rsidP="00C15251">
            <w:pPr>
              <w:jc w:val="both"/>
              <w:rPr>
                <w:bCs/>
                <w:color w:val="002060"/>
                <w:sz w:val="16"/>
                <w:szCs w:val="16"/>
              </w:rPr>
            </w:pPr>
          </w:p>
        </w:tc>
        <w:tc>
          <w:tcPr>
            <w:tcW w:w="1267" w:type="dxa"/>
            <w:shd w:val="clear" w:color="auto" w:fill="FFFFFF"/>
          </w:tcPr>
          <w:p w14:paraId="6C93BC34" w14:textId="77777777" w:rsidR="004B4E35" w:rsidRPr="00405303" w:rsidRDefault="004B4E35" w:rsidP="00C15251">
            <w:pPr>
              <w:jc w:val="both"/>
              <w:rPr>
                <w:bCs/>
                <w:color w:val="002060"/>
                <w:sz w:val="16"/>
                <w:szCs w:val="16"/>
              </w:rPr>
            </w:pPr>
          </w:p>
        </w:tc>
      </w:tr>
      <w:tr w:rsidR="004B4E35" w:rsidRPr="00405303" w14:paraId="3974A2FE" w14:textId="77777777">
        <w:trPr>
          <w:trHeight w:val="211"/>
        </w:trPr>
        <w:tc>
          <w:tcPr>
            <w:tcW w:w="2069" w:type="dxa"/>
            <w:shd w:val="clear" w:color="auto" w:fill="FFFFFF"/>
          </w:tcPr>
          <w:p w14:paraId="18D37BC9" w14:textId="77777777" w:rsidR="004B4E35" w:rsidRPr="00405303" w:rsidRDefault="009E6F82" w:rsidP="00C15251">
            <w:pPr>
              <w:jc w:val="both"/>
              <w:rPr>
                <w:bCs/>
                <w:color w:val="002060"/>
                <w:sz w:val="16"/>
                <w:szCs w:val="16"/>
              </w:rPr>
            </w:pPr>
            <w:r w:rsidRPr="00405303">
              <w:rPr>
                <w:bCs/>
                <w:color w:val="002060"/>
                <w:sz w:val="16"/>
                <w:szCs w:val="16"/>
              </w:rPr>
              <w:t>Двигатели</w:t>
            </w:r>
          </w:p>
        </w:tc>
        <w:tc>
          <w:tcPr>
            <w:tcW w:w="1176" w:type="dxa"/>
            <w:shd w:val="clear" w:color="auto" w:fill="FFFFFF"/>
          </w:tcPr>
          <w:p w14:paraId="04408C97" w14:textId="77777777" w:rsidR="004B4E35" w:rsidRPr="00405303" w:rsidRDefault="009E6F82" w:rsidP="00C15251">
            <w:pPr>
              <w:jc w:val="both"/>
              <w:rPr>
                <w:bCs/>
                <w:color w:val="002060"/>
                <w:sz w:val="16"/>
                <w:szCs w:val="16"/>
              </w:rPr>
            </w:pPr>
            <w:r w:rsidRPr="00405303">
              <w:rPr>
                <w:bCs/>
                <w:color w:val="002060"/>
                <w:sz w:val="16"/>
                <w:szCs w:val="16"/>
                <w:lang w:val="en-US"/>
              </w:rPr>
              <w:t>Gnome</w:t>
            </w:r>
          </w:p>
        </w:tc>
        <w:tc>
          <w:tcPr>
            <w:tcW w:w="1133" w:type="dxa"/>
            <w:shd w:val="clear" w:color="auto" w:fill="FFFFFF"/>
          </w:tcPr>
          <w:p w14:paraId="3B5E23AB" w14:textId="77777777" w:rsidR="004B4E35" w:rsidRPr="00405303" w:rsidRDefault="009E6F82" w:rsidP="00C15251">
            <w:pPr>
              <w:jc w:val="both"/>
              <w:rPr>
                <w:bCs/>
                <w:color w:val="002060"/>
                <w:sz w:val="16"/>
                <w:szCs w:val="16"/>
              </w:rPr>
            </w:pPr>
            <w:r w:rsidRPr="00405303">
              <w:rPr>
                <w:bCs/>
                <w:color w:val="002060"/>
                <w:sz w:val="16"/>
                <w:szCs w:val="16"/>
                <w:lang w:val="en-US"/>
              </w:rPr>
              <w:t>Sunbeam</w:t>
            </w:r>
          </w:p>
        </w:tc>
        <w:tc>
          <w:tcPr>
            <w:tcW w:w="1090" w:type="dxa"/>
            <w:shd w:val="clear" w:color="auto" w:fill="FFFFFF"/>
          </w:tcPr>
          <w:p w14:paraId="258B3469" w14:textId="77777777" w:rsidR="004B4E35" w:rsidRPr="00405303" w:rsidRDefault="009E6F82" w:rsidP="00C15251">
            <w:pPr>
              <w:jc w:val="both"/>
              <w:rPr>
                <w:bCs/>
                <w:color w:val="002060"/>
                <w:sz w:val="16"/>
                <w:szCs w:val="16"/>
              </w:rPr>
            </w:pPr>
            <w:r w:rsidRPr="00405303">
              <w:rPr>
                <w:bCs/>
                <w:color w:val="002060"/>
                <w:sz w:val="16"/>
                <w:szCs w:val="16"/>
                <w:lang w:val="en-US"/>
              </w:rPr>
              <w:t>Sunbeam</w:t>
            </w:r>
          </w:p>
        </w:tc>
        <w:tc>
          <w:tcPr>
            <w:tcW w:w="1267" w:type="dxa"/>
            <w:shd w:val="clear" w:color="auto" w:fill="FFFFFF"/>
          </w:tcPr>
          <w:p w14:paraId="68665917" w14:textId="77777777" w:rsidR="004B4E35" w:rsidRPr="00405303" w:rsidRDefault="009E6F82" w:rsidP="00C15251">
            <w:pPr>
              <w:jc w:val="both"/>
              <w:rPr>
                <w:bCs/>
                <w:color w:val="002060"/>
                <w:sz w:val="16"/>
                <w:szCs w:val="16"/>
              </w:rPr>
            </w:pPr>
            <w:r w:rsidRPr="00405303">
              <w:rPr>
                <w:bCs/>
                <w:color w:val="002060"/>
                <w:sz w:val="16"/>
                <w:szCs w:val="16"/>
                <w:lang w:val="en-US"/>
              </w:rPr>
              <w:t xml:space="preserve">Renault </w:t>
            </w:r>
            <w:r w:rsidRPr="00405303">
              <w:rPr>
                <w:bCs/>
                <w:color w:val="002060"/>
                <w:sz w:val="16"/>
                <w:szCs w:val="16"/>
              </w:rPr>
              <w:t xml:space="preserve">8 </w:t>
            </w:r>
            <w:r w:rsidRPr="00405303">
              <w:rPr>
                <w:bCs/>
                <w:color w:val="002060"/>
                <w:sz w:val="16"/>
                <w:szCs w:val="16"/>
                <w:lang w:val="en-US"/>
              </w:rPr>
              <w:t>Gd,</w:t>
            </w:r>
          </w:p>
        </w:tc>
      </w:tr>
      <w:tr w:rsidR="004B4E35" w:rsidRPr="00405303" w14:paraId="2C1B69D6" w14:textId="77777777">
        <w:trPr>
          <w:trHeight w:val="206"/>
        </w:trPr>
        <w:tc>
          <w:tcPr>
            <w:tcW w:w="2069" w:type="dxa"/>
            <w:shd w:val="clear" w:color="auto" w:fill="FFFFFF"/>
          </w:tcPr>
          <w:p w14:paraId="4A9DC9BB" w14:textId="77777777" w:rsidR="004B4E35" w:rsidRPr="00405303" w:rsidRDefault="004B4E35" w:rsidP="00C15251">
            <w:pPr>
              <w:jc w:val="both"/>
              <w:rPr>
                <w:bCs/>
                <w:color w:val="002060"/>
                <w:sz w:val="16"/>
                <w:szCs w:val="16"/>
              </w:rPr>
            </w:pPr>
          </w:p>
        </w:tc>
        <w:tc>
          <w:tcPr>
            <w:tcW w:w="1176" w:type="dxa"/>
            <w:shd w:val="clear" w:color="auto" w:fill="FFFFFF"/>
          </w:tcPr>
          <w:p w14:paraId="2250F482" w14:textId="77777777" w:rsidR="004B4E35" w:rsidRPr="00405303" w:rsidRDefault="009E6F82" w:rsidP="00C15251">
            <w:pPr>
              <w:jc w:val="both"/>
              <w:rPr>
                <w:bCs/>
                <w:color w:val="002060"/>
                <w:sz w:val="16"/>
                <w:szCs w:val="16"/>
              </w:rPr>
            </w:pPr>
            <w:r w:rsidRPr="00405303">
              <w:rPr>
                <w:bCs/>
                <w:color w:val="002060"/>
                <w:sz w:val="16"/>
                <w:szCs w:val="16"/>
                <w:lang w:val="en-US"/>
              </w:rPr>
              <w:t>Double</w:t>
            </w:r>
          </w:p>
        </w:tc>
        <w:tc>
          <w:tcPr>
            <w:tcW w:w="1133" w:type="dxa"/>
            <w:shd w:val="clear" w:color="auto" w:fill="FFFFFF"/>
          </w:tcPr>
          <w:p w14:paraId="16C0F672" w14:textId="77777777" w:rsidR="004B4E35" w:rsidRPr="00405303" w:rsidRDefault="009E6F82" w:rsidP="00C15251">
            <w:pPr>
              <w:jc w:val="both"/>
              <w:rPr>
                <w:bCs/>
                <w:color w:val="002060"/>
                <w:sz w:val="16"/>
                <w:szCs w:val="16"/>
              </w:rPr>
            </w:pPr>
            <w:r w:rsidRPr="00405303">
              <w:rPr>
                <w:bCs/>
                <w:color w:val="002060"/>
                <w:sz w:val="16"/>
                <w:szCs w:val="16"/>
                <w:lang w:val="en-US"/>
              </w:rPr>
              <w:t>Maori,</w:t>
            </w:r>
          </w:p>
        </w:tc>
        <w:tc>
          <w:tcPr>
            <w:tcW w:w="1090" w:type="dxa"/>
            <w:shd w:val="clear" w:color="auto" w:fill="FFFFFF"/>
          </w:tcPr>
          <w:p w14:paraId="03BB3761" w14:textId="77777777" w:rsidR="004B4E35" w:rsidRPr="00405303" w:rsidRDefault="009E6F82" w:rsidP="00C15251">
            <w:pPr>
              <w:jc w:val="both"/>
              <w:rPr>
                <w:bCs/>
                <w:color w:val="002060"/>
                <w:sz w:val="16"/>
                <w:szCs w:val="16"/>
              </w:rPr>
            </w:pPr>
            <w:r w:rsidRPr="00405303">
              <w:rPr>
                <w:bCs/>
                <w:color w:val="002060"/>
                <w:sz w:val="16"/>
                <w:szCs w:val="16"/>
                <w:lang w:val="en-US"/>
              </w:rPr>
              <w:t>Cossack</w:t>
            </w:r>
            <w:r w:rsidRPr="00405303">
              <w:rPr>
                <w:bCs/>
                <w:color w:val="002060"/>
                <w:sz w:val="16"/>
                <w:szCs w:val="16"/>
              </w:rPr>
              <w:t>,</w:t>
            </w:r>
          </w:p>
        </w:tc>
        <w:tc>
          <w:tcPr>
            <w:tcW w:w="1267" w:type="dxa"/>
            <w:shd w:val="clear" w:color="auto" w:fill="FFFFFF"/>
          </w:tcPr>
          <w:p w14:paraId="40482E0C" w14:textId="77777777" w:rsidR="004B4E35" w:rsidRPr="00405303" w:rsidRDefault="009E6F82" w:rsidP="00C15251">
            <w:pPr>
              <w:jc w:val="both"/>
              <w:rPr>
                <w:bCs/>
                <w:color w:val="002060"/>
                <w:sz w:val="16"/>
                <w:szCs w:val="16"/>
              </w:rPr>
            </w:pPr>
            <w:r w:rsidRPr="00405303">
              <w:rPr>
                <w:bCs/>
                <w:color w:val="002060"/>
                <w:sz w:val="16"/>
                <w:szCs w:val="16"/>
              </w:rPr>
              <w:t>2*220 л. с.</w:t>
            </w:r>
          </w:p>
        </w:tc>
      </w:tr>
      <w:tr w:rsidR="004B4E35" w:rsidRPr="00405303" w14:paraId="40A81556" w14:textId="77777777">
        <w:trPr>
          <w:trHeight w:val="211"/>
        </w:trPr>
        <w:tc>
          <w:tcPr>
            <w:tcW w:w="2069" w:type="dxa"/>
            <w:shd w:val="clear" w:color="auto" w:fill="FFFFFF"/>
          </w:tcPr>
          <w:p w14:paraId="32B80AAA" w14:textId="77777777" w:rsidR="004B4E35" w:rsidRPr="00405303" w:rsidRDefault="004B4E35" w:rsidP="00C15251">
            <w:pPr>
              <w:jc w:val="both"/>
              <w:rPr>
                <w:bCs/>
                <w:color w:val="002060"/>
                <w:sz w:val="16"/>
                <w:szCs w:val="16"/>
              </w:rPr>
            </w:pPr>
          </w:p>
        </w:tc>
        <w:tc>
          <w:tcPr>
            <w:tcW w:w="1176" w:type="dxa"/>
            <w:shd w:val="clear" w:color="auto" w:fill="FFFFFF"/>
          </w:tcPr>
          <w:p w14:paraId="597DE004" w14:textId="77777777" w:rsidR="004B4E35" w:rsidRPr="00405303" w:rsidRDefault="009E6F82" w:rsidP="00C15251">
            <w:pPr>
              <w:jc w:val="both"/>
              <w:rPr>
                <w:bCs/>
                <w:color w:val="002060"/>
                <w:sz w:val="16"/>
                <w:szCs w:val="16"/>
              </w:rPr>
            </w:pPr>
            <w:r w:rsidRPr="00405303">
              <w:rPr>
                <w:bCs/>
                <w:color w:val="002060"/>
                <w:sz w:val="16"/>
                <w:szCs w:val="16"/>
                <w:lang w:val="en-US"/>
              </w:rPr>
              <w:t>Lambda,</w:t>
            </w:r>
          </w:p>
        </w:tc>
        <w:tc>
          <w:tcPr>
            <w:tcW w:w="1133" w:type="dxa"/>
            <w:shd w:val="clear" w:color="auto" w:fill="FFFFFF"/>
          </w:tcPr>
          <w:p w14:paraId="4D07E580" w14:textId="77777777" w:rsidR="004B4E35" w:rsidRPr="00405303" w:rsidRDefault="009E6F82" w:rsidP="00C15251">
            <w:pPr>
              <w:jc w:val="both"/>
              <w:rPr>
                <w:bCs/>
                <w:color w:val="002060"/>
                <w:sz w:val="16"/>
                <w:szCs w:val="16"/>
              </w:rPr>
            </w:pPr>
            <w:r w:rsidRPr="00405303">
              <w:rPr>
                <w:bCs/>
                <w:color w:val="002060"/>
                <w:sz w:val="16"/>
                <w:szCs w:val="16"/>
              </w:rPr>
              <w:t>1*260 л.с.</w:t>
            </w:r>
          </w:p>
        </w:tc>
        <w:tc>
          <w:tcPr>
            <w:tcW w:w="1090" w:type="dxa"/>
            <w:shd w:val="clear" w:color="auto" w:fill="FFFFFF"/>
          </w:tcPr>
          <w:p w14:paraId="42FC367E" w14:textId="77777777" w:rsidR="004B4E35" w:rsidRPr="00405303" w:rsidRDefault="009E6F82" w:rsidP="00C15251">
            <w:pPr>
              <w:jc w:val="both"/>
              <w:rPr>
                <w:bCs/>
                <w:color w:val="002060"/>
                <w:sz w:val="16"/>
                <w:szCs w:val="16"/>
              </w:rPr>
            </w:pPr>
            <w:r w:rsidRPr="00405303">
              <w:rPr>
                <w:bCs/>
                <w:color w:val="002060"/>
                <w:sz w:val="16"/>
                <w:szCs w:val="16"/>
              </w:rPr>
              <w:t>3*320 л. с.</w:t>
            </w:r>
          </w:p>
        </w:tc>
        <w:tc>
          <w:tcPr>
            <w:tcW w:w="1267" w:type="dxa"/>
            <w:shd w:val="clear" w:color="auto" w:fill="FFFFFF"/>
          </w:tcPr>
          <w:p w14:paraId="60C35531" w14:textId="77777777" w:rsidR="004B4E35" w:rsidRPr="00405303" w:rsidRDefault="004B4E35" w:rsidP="00C15251">
            <w:pPr>
              <w:jc w:val="both"/>
              <w:rPr>
                <w:bCs/>
                <w:color w:val="002060"/>
                <w:sz w:val="16"/>
                <w:szCs w:val="16"/>
              </w:rPr>
            </w:pPr>
          </w:p>
        </w:tc>
      </w:tr>
      <w:tr w:rsidR="004B4E35" w:rsidRPr="00405303" w14:paraId="3983FFC5" w14:textId="77777777">
        <w:trPr>
          <w:trHeight w:val="221"/>
        </w:trPr>
        <w:tc>
          <w:tcPr>
            <w:tcW w:w="2069" w:type="dxa"/>
            <w:shd w:val="clear" w:color="auto" w:fill="FFFFFF"/>
          </w:tcPr>
          <w:p w14:paraId="0B476A99" w14:textId="77777777" w:rsidR="004B4E35" w:rsidRPr="00405303" w:rsidRDefault="004B4E35" w:rsidP="00C15251">
            <w:pPr>
              <w:jc w:val="both"/>
              <w:rPr>
                <w:bCs/>
                <w:color w:val="002060"/>
                <w:sz w:val="16"/>
                <w:szCs w:val="16"/>
              </w:rPr>
            </w:pPr>
          </w:p>
        </w:tc>
        <w:tc>
          <w:tcPr>
            <w:tcW w:w="1176" w:type="dxa"/>
            <w:shd w:val="clear" w:color="auto" w:fill="FFFFFF"/>
          </w:tcPr>
          <w:p w14:paraId="4DD127B4" w14:textId="77777777" w:rsidR="004B4E35" w:rsidRPr="00405303" w:rsidRDefault="009E6F82" w:rsidP="00C15251">
            <w:pPr>
              <w:jc w:val="both"/>
              <w:rPr>
                <w:bCs/>
                <w:color w:val="002060"/>
                <w:sz w:val="16"/>
                <w:szCs w:val="16"/>
              </w:rPr>
            </w:pPr>
            <w:r w:rsidRPr="00405303">
              <w:rPr>
                <w:bCs/>
                <w:color w:val="002060"/>
                <w:sz w:val="16"/>
                <w:szCs w:val="16"/>
              </w:rPr>
              <w:t>2*160 л.с.</w:t>
            </w:r>
          </w:p>
        </w:tc>
        <w:tc>
          <w:tcPr>
            <w:tcW w:w="1133" w:type="dxa"/>
            <w:shd w:val="clear" w:color="auto" w:fill="FFFFFF"/>
          </w:tcPr>
          <w:p w14:paraId="6BED001A" w14:textId="77777777" w:rsidR="004B4E35" w:rsidRPr="00405303" w:rsidRDefault="004B4E35" w:rsidP="00C15251">
            <w:pPr>
              <w:jc w:val="both"/>
              <w:rPr>
                <w:bCs/>
                <w:color w:val="002060"/>
                <w:sz w:val="16"/>
                <w:szCs w:val="16"/>
              </w:rPr>
            </w:pPr>
          </w:p>
        </w:tc>
        <w:tc>
          <w:tcPr>
            <w:tcW w:w="1090" w:type="dxa"/>
            <w:shd w:val="clear" w:color="auto" w:fill="FFFFFF"/>
          </w:tcPr>
          <w:p w14:paraId="7E29CBDE" w14:textId="77777777" w:rsidR="004B4E35" w:rsidRPr="00405303" w:rsidRDefault="004B4E35" w:rsidP="00C15251">
            <w:pPr>
              <w:jc w:val="both"/>
              <w:rPr>
                <w:bCs/>
                <w:color w:val="002060"/>
                <w:sz w:val="16"/>
                <w:szCs w:val="16"/>
              </w:rPr>
            </w:pPr>
          </w:p>
        </w:tc>
        <w:tc>
          <w:tcPr>
            <w:tcW w:w="1267" w:type="dxa"/>
            <w:shd w:val="clear" w:color="auto" w:fill="FFFFFF"/>
          </w:tcPr>
          <w:p w14:paraId="247F0F8B" w14:textId="77777777" w:rsidR="004B4E35" w:rsidRPr="00405303" w:rsidRDefault="004B4E35" w:rsidP="00C15251">
            <w:pPr>
              <w:jc w:val="both"/>
              <w:rPr>
                <w:bCs/>
                <w:color w:val="002060"/>
                <w:sz w:val="16"/>
                <w:szCs w:val="16"/>
              </w:rPr>
            </w:pPr>
          </w:p>
        </w:tc>
      </w:tr>
      <w:tr w:rsidR="004B4E35" w:rsidRPr="00405303" w14:paraId="1A30C452" w14:textId="77777777">
        <w:trPr>
          <w:trHeight w:val="240"/>
        </w:trPr>
        <w:tc>
          <w:tcPr>
            <w:tcW w:w="2069" w:type="dxa"/>
            <w:shd w:val="clear" w:color="auto" w:fill="FFFFFF"/>
          </w:tcPr>
          <w:p w14:paraId="17F7EBDB" w14:textId="77777777" w:rsidR="004B4E35" w:rsidRPr="00405303" w:rsidRDefault="009E6F82" w:rsidP="00C15251">
            <w:pPr>
              <w:jc w:val="both"/>
              <w:rPr>
                <w:bCs/>
                <w:color w:val="002060"/>
                <w:sz w:val="16"/>
                <w:szCs w:val="16"/>
              </w:rPr>
            </w:pPr>
            <w:r w:rsidRPr="00405303">
              <w:rPr>
                <w:bCs/>
                <w:color w:val="002060"/>
                <w:sz w:val="16"/>
                <w:szCs w:val="16"/>
              </w:rPr>
              <w:t>Взлётный вес, кг</w:t>
            </w:r>
          </w:p>
        </w:tc>
        <w:tc>
          <w:tcPr>
            <w:tcW w:w="1176" w:type="dxa"/>
            <w:shd w:val="clear" w:color="auto" w:fill="FFFFFF"/>
          </w:tcPr>
          <w:p w14:paraId="1D1FE862" w14:textId="77777777" w:rsidR="004B4E35" w:rsidRPr="00405303" w:rsidRDefault="009E6F82" w:rsidP="00C15251">
            <w:pPr>
              <w:jc w:val="both"/>
              <w:rPr>
                <w:bCs/>
                <w:color w:val="002060"/>
                <w:sz w:val="16"/>
                <w:szCs w:val="16"/>
              </w:rPr>
            </w:pPr>
            <w:r w:rsidRPr="00405303">
              <w:rPr>
                <w:bCs/>
                <w:color w:val="002060"/>
                <w:sz w:val="16"/>
                <w:szCs w:val="16"/>
              </w:rPr>
              <w:t>2800</w:t>
            </w:r>
          </w:p>
        </w:tc>
        <w:tc>
          <w:tcPr>
            <w:tcW w:w="1133" w:type="dxa"/>
            <w:shd w:val="clear" w:color="auto" w:fill="FFFFFF"/>
          </w:tcPr>
          <w:p w14:paraId="6C22B770" w14:textId="77777777" w:rsidR="004B4E35" w:rsidRPr="00405303" w:rsidRDefault="009E6F82" w:rsidP="00C15251">
            <w:pPr>
              <w:jc w:val="both"/>
              <w:rPr>
                <w:bCs/>
                <w:color w:val="002060"/>
                <w:sz w:val="16"/>
                <w:szCs w:val="16"/>
              </w:rPr>
            </w:pPr>
            <w:r w:rsidRPr="00405303">
              <w:rPr>
                <w:bCs/>
                <w:color w:val="002060"/>
                <w:sz w:val="16"/>
                <w:szCs w:val="16"/>
              </w:rPr>
              <w:t>2430</w:t>
            </w:r>
          </w:p>
        </w:tc>
        <w:tc>
          <w:tcPr>
            <w:tcW w:w="1090" w:type="dxa"/>
            <w:shd w:val="clear" w:color="auto" w:fill="FFFFFF"/>
          </w:tcPr>
          <w:p w14:paraId="0AE43A9A" w14:textId="77777777" w:rsidR="004B4E35" w:rsidRPr="00405303" w:rsidRDefault="004B4E35" w:rsidP="00C15251">
            <w:pPr>
              <w:jc w:val="both"/>
              <w:rPr>
                <w:bCs/>
                <w:color w:val="002060"/>
                <w:sz w:val="16"/>
                <w:szCs w:val="16"/>
              </w:rPr>
            </w:pPr>
          </w:p>
        </w:tc>
        <w:tc>
          <w:tcPr>
            <w:tcW w:w="1267" w:type="dxa"/>
            <w:shd w:val="clear" w:color="auto" w:fill="FFFFFF"/>
          </w:tcPr>
          <w:p w14:paraId="70A8E39C" w14:textId="77777777" w:rsidR="004B4E35" w:rsidRPr="00405303" w:rsidRDefault="004B4E35" w:rsidP="00C15251">
            <w:pPr>
              <w:jc w:val="both"/>
              <w:rPr>
                <w:bCs/>
                <w:color w:val="002060"/>
                <w:sz w:val="16"/>
                <w:szCs w:val="16"/>
              </w:rPr>
            </w:pPr>
          </w:p>
        </w:tc>
      </w:tr>
      <w:tr w:rsidR="004B4E35" w:rsidRPr="00405303" w14:paraId="144C0462" w14:textId="77777777">
        <w:trPr>
          <w:trHeight w:val="245"/>
        </w:trPr>
        <w:tc>
          <w:tcPr>
            <w:tcW w:w="2069" w:type="dxa"/>
            <w:shd w:val="clear" w:color="auto" w:fill="FFFFFF"/>
          </w:tcPr>
          <w:p w14:paraId="5BE83FF3" w14:textId="77777777" w:rsidR="004B4E35" w:rsidRPr="00405303" w:rsidRDefault="009E6F82" w:rsidP="00C15251">
            <w:pPr>
              <w:jc w:val="both"/>
              <w:rPr>
                <w:bCs/>
                <w:color w:val="002060"/>
                <w:sz w:val="16"/>
                <w:szCs w:val="16"/>
              </w:rPr>
            </w:pPr>
            <w:r w:rsidRPr="00405303">
              <w:rPr>
                <w:bCs/>
                <w:color w:val="002060"/>
                <w:sz w:val="16"/>
                <w:szCs w:val="16"/>
              </w:rPr>
              <w:t>Размах крыла, м</w:t>
            </w:r>
          </w:p>
        </w:tc>
        <w:tc>
          <w:tcPr>
            <w:tcW w:w="1176" w:type="dxa"/>
            <w:shd w:val="clear" w:color="auto" w:fill="FFFFFF"/>
          </w:tcPr>
          <w:p w14:paraId="77EA3606" w14:textId="77777777" w:rsidR="004B4E35" w:rsidRPr="00405303" w:rsidRDefault="009E6F82" w:rsidP="00C15251">
            <w:pPr>
              <w:jc w:val="both"/>
              <w:rPr>
                <w:bCs/>
                <w:color w:val="002060"/>
                <w:sz w:val="16"/>
                <w:szCs w:val="16"/>
              </w:rPr>
            </w:pPr>
            <w:r w:rsidRPr="00405303">
              <w:rPr>
                <w:bCs/>
                <w:color w:val="002060"/>
                <w:sz w:val="16"/>
                <w:szCs w:val="16"/>
              </w:rPr>
              <w:t>19</w:t>
            </w:r>
          </w:p>
        </w:tc>
        <w:tc>
          <w:tcPr>
            <w:tcW w:w="1133" w:type="dxa"/>
            <w:shd w:val="clear" w:color="auto" w:fill="FFFFFF"/>
          </w:tcPr>
          <w:p w14:paraId="6F2781D5" w14:textId="77777777" w:rsidR="004B4E35" w:rsidRPr="00405303" w:rsidRDefault="009E6F82" w:rsidP="00C15251">
            <w:pPr>
              <w:jc w:val="both"/>
              <w:rPr>
                <w:bCs/>
                <w:color w:val="002060"/>
                <w:sz w:val="16"/>
                <w:szCs w:val="16"/>
              </w:rPr>
            </w:pPr>
            <w:r w:rsidRPr="00405303">
              <w:rPr>
                <w:bCs/>
                <w:color w:val="002060"/>
                <w:sz w:val="16"/>
                <w:szCs w:val="16"/>
              </w:rPr>
              <w:t>19,35</w:t>
            </w:r>
          </w:p>
        </w:tc>
        <w:tc>
          <w:tcPr>
            <w:tcW w:w="1090" w:type="dxa"/>
            <w:shd w:val="clear" w:color="auto" w:fill="FFFFFF"/>
          </w:tcPr>
          <w:p w14:paraId="59ACB9BF" w14:textId="77777777" w:rsidR="004B4E35" w:rsidRPr="00405303" w:rsidRDefault="009E6F82" w:rsidP="00C15251">
            <w:pPr>
              <w:jc w:val="both"/>
              <w:rPr>
                <w:bCs/>
                <w:color w:val="002060"/>
                <w:sz w:val="16"/>
                <w:szCs w:val="16"/>
              </w:rPr>
            </w:pPr>
            <w:r w:rsidRPr="00405303">
              <w:rPr>
                <w:bCs/>
                <w:color w:val="002060"/>
                <w:sz w:val="16"/>
                <w:szCs w:val="16"/>
              </w:rPr>
              <w:t>35,05</w:t>
            </w:r>
          </w:p>
        </w:tc>
        <w:tc>
          <w:tcPr>
            <w:tcW w:w="1267" w:type="dxa"/>
            <w:shd w:val="clear" w:color="auto" w:fill="FFFFFF"/>
          </w:tcPr>
          <w:p w14:paraId="525EA77B" w14:textId="77777777" w:rsidR="004B4E35" w:rsidRPr="00405303" w:rsidRDefault="009E6F82" w:rsidP="00C15251">
            <w:pPr>
              <w:jc w:val="both"/>
              <w:rPr>
                <w:bCs/>
                <w:color w:val="002060"/>
                <w:sz w:val="16"/>
                <w:szCs w:val="16"/>
              </w:rPr>
            </w:pPr>
            <w:r w:rsidRPr="00405303">
              <w:rPr>
                <w:bCs/>
                <w:color w:val="002060"/>
                <w:sz w:val="16"/>
                <w:szCs w:val="16"/>
              </w:rPr>
              <w:t>28</w:t>
            </w:r>
          </w:p>
        </w:tc>
      </w:tr>
      <w:tr w:rsidR="004B4E35" w:rsidRPr="00405303" w14:paraId="56F59315" w14:textId="77777777">
        <w:trPr>
          <w:trHeight w:val="240"/>
        </w:trPr>
        <w:tc>
          <w:tcPr>
            <w:tcW w:w="2069" w:type="dxa"/>
            <w:shd w:val="clear" w:color="auto" w:fill="FFFFFF"/>
          </w:tcPr>
          <w:p w14:paraId="4350F041" w14:textId="77777777" w:rsidR="004B4E35" w:rsidRPr="00405303" w:rsidRDefault="009E6F82" w:rsidP="00C15251">
            <w:pPr>
              <w:jc w:val="both"/>
              <w:rPr>
                <w:bCs/>
                <w:color w:val="002060"/>
                <w:sz w:val="16"/>
                <w:szCs w:val="16"/>
              </w:rPr>
            </w:pPr>
            <w:r w:rsidRPr="00405303">
              <w:rPr>
                <w:bCs/>
                <w:color w:val="002060"/>
                <w:sz w:val="16"/>
                <w:szCs w:val="16"/>
              </w:rPr>
              <w:t>Длина, м</w:t>
            </w:r>
          </w:p>
        </w:tc>
        <w:tc>
          <w:tcPr>
            <w:tcW w:w="1176" w:type="dxa"/>
            <w:shd w:val="clear" w:color="auto" w:fill="FFFFFF"/>
          </w:tcPr>
          <w:p w14:paraId="131DC07D" w14:textId="77777777" w:rsidR="004B4E35" w:rsidRPr="00405303" w:rsidRDefault="009E6F82" w:rsidP="00C15251">
            <w:pPr>
              <w:jc w:val="both"/>
              <w:rPr>
                <w:bCs/>
                <w:color w:val="002060"/>
                <w:sz w:val="16"/>
                <w:szCs w:val="16"/>
              </w:rPr>
            </w:pPr>
            <w:r w:rsidRPr="00405303">
              <w:rPr>
                <w:bCs/>
                <w:color w:val="002060"/>
                <w:sz w:val="16"/>
                <w:szCs w:val="16"/>
              </w:rPr>
              <w:t>15</w:t>
            </w:r>
          </w:p>
        </w:tc>
        <w:tc>
          <w:tcPr>
            <w:tcW w:w="1133" w:type="dxa"/>
            <w:shd w:val="clear" w:color="auto" w:fill="FFFFFF"/>
          </w:tcPr>
          <w:p w14:paraId="776E2AD6" w14:textId="77777777" w:rsidR="004B4E35" w:rsidRPr="00405303" w:rsidRDefault="009E6F82" w:rsidP="00C15251">
            <w:pPr>
              <w:jc w:val="both"/>
              <w:rPr>
                <w:bCs/>
                <w:color w:val="002060"/>
                <w:sz w:val="16"/>
                <w:szCs w:val="16"/>
              </w:rPr>
            </w:pPr>
            <w:r w:rsidRPr="00405303">
              <w:rPr>
                <w:bCs/>
                <w:color w:val="002060"/>
                <w:sz w:val="16"/>
                <w:szCs w:val="16"/>
              </w:rPr>
              <w:t>12,4:</w:t>
            </w:r>
          </w:p>
        </w:tc>
        <w:tc>
          <w:tcPr>
            <w:tcW w:w="1090" w:type="dxa"/>
            <w:shd w:val="clear" w:color="auto" w:fill="FFFFFF"/>
          </w:tcPr>
          <w:p w14:paraId="586E531E" w14:textId="77777777" w:rsidR="004B4E35" w:rsidRPr="00405303" w:rsidRDefault="004B4E35" w:rsidP="00C15251">
            <w:pPr>
              <w:jc w:val="both"/>
              <w:rPr>
                <w:bCs/>
                <w:color w:val="002060"/>
                <w:sz w:val="16"/>
                <w:szCs w:val="16"/>
              </w:rPr>
            </w:pPr>
          </w:p>
        </w:tc>
        <w:tc>
          <w:tcPr>
            <w:tcW w:w="1267" w:type="dxa"/>
            <w:shd w:val="clear" w:color="auto" w:fill="FFFFFF"/>
          </w:tcPr>
          <w:p w14:paraId="1B779E03" w14:textId="77777777" w:rsidR="004B4E35" w:rsidRPr="00405303" w:rsidRDefault="009E6F82" w:rsidP="00C15251">
            <w:pPr>
              <w:jc w:val="both"/>
              <w:rPr>
                <w:bCs/>
                <w:color w:val="002060"/>
                <w:sz w:val="16"/>
                <w:szCs w:val="16"/>
              </w:rPr>
            </w:pPr>
            <w:r w:rsidRPr="00405303">
              <w:rPr>
                <w:bCs/>
                <w:color w:val="002060"/>
                <w:sz w:val="16"/>
                <w:szCs w:val="16"/>
              </w:rPr>
              <w:t>14,5</w:t>
            </w:r>
          </w:p>
        </w:tc>
      </w:tr>
      <w:tr w:rsidR="004B4E35" w:rsidRPr="00405303" w14:paraId="1365DFD9" w14:textId="77777777">
        <w:trPr>
          <w:trHeight w:val="235"/>
        </w:trPr>
        <w:tc>
          <w:tcPr>
            <w:tcW w:w="2069" w:type="dxa"/>
            <w:shd w:val="clear" w:color="auto" w:fill="FFFFFF"/>
          </w:tcPr>
          <w:p w14:paraId="26187D19" w14:textId="77777777" w:rsidR="004B4E35" w:rsidRPr="00405303" w:rsidRDefault="009E6F82" w:rsidP="00C15251">
            <w:pPr>
              <w:jc w:val="both"/>
              <w:rPr>
                <w:bCs/>
                <w:color w:val="002060"/>
                <w:sz w:val="16"/>
                <w:szCs w:val="16"/>
              </w:rPr>
            </w:pPr>
            <w:r w:rsidRPr="00405303">
              <w:rPr>
                <w:bCs/>
                <w:color w:val="002060"/>
                <w:sz w:val="16"/>
                <w:szCs w:val="16"/>
              </w:rPr>
              <w:t>Площадь крыла, м</w:t>
            </w:r>
            <w:r w:rsidRPr="00405303">
              <w:rPr>
                <w:bCs/>
                <w:color w:val="002060"/>
                <w:sz w:val="16"/>
                <w:szCs w:val="16"/>
                <w:vertAlign w:val="superscript"/>
              </w:rPr>
              <w:t>2</w:t>
            </w:r>
          </w:p>
        </w:tc>
        <w:tc>
          <w:tcPr>
            <w:tcW w:w="1176" w:type="dxa"/>
            <w:shd w:val="clear" w:color="auto" w:fill="FFFFFF"/>
          </w:tcPr>
          <w:p w14:paraId="1483F436" w14:textId="77777777" w:rsidR="004B4E35" w:rsidRPr="00405303" w:rsidRDefault="009E6F82" w:rsidP="00C15251">
            <w:pPr>
              <w:jc w:val="both"/>
              <w:rPr>
                <w:bCs/>
                <w:color w:val="002060"/>
                <w:sz w:val="16"/>
                <w:szCs w:val="16"/>
              </w:rPr>
            </w:pPr>
            <w:r w:rsidRPr="00405303">
              <w:rPr>
                <w:bCs/>
                <w:color w:val="002060"/>
                <w:sz w:val="16"/>
                <w:szCs w:val="16"/>
              </w:rPr>
              <w:t>70</w:t>
            </w:r>
          </w:p>
        </w:tc>
        <w:tc>
          <w:tcPr>
            <w:tcW w:w="1133" w:type="dxa"/>
            <w:shd w:val="clear" w:color="auto" w:fill="FFFFFF"/>
          </w:tcPr>
          <w:p w14:paraId="253C8413" w14:textId="77777777" w:rsidR="004B4E35" w:rsidRPr="00405303" w:rsidRDefault="009E6F82" w:rsidP="00C15251">
            <w:pPr>
              <w:jc w:val="both"/>
              <w:rPr>
                <w:bCs/>
                <w:color w:val="002060"/>
                <w:sz w:val="16"/>
                <w:szCs w:val="16"/>
              </w:rPr>
            </w:pPr>
            <w:r w:rsidRPr="00405303">
              <w:rPr>
                <w:bCs/>
                <w:color w:val="002060"/>
                <w:sz w:val="16"/>
                <w:szCs w:val="16"/>
              </w:rPr>
              <w:t>64</w:t>
            </w:r>
          </w:p>
        </w:tc>
        <w:tc>
          <w:tcPr>
            <w:tcW w:w="1090" w:type="dxa"/>
            <w:shd w:val="clear" w:color="auto" w:fill="FFFFFF"/>
          </w:tcPr>
          <w:p w14:paraId="1DA3992F" w14:textId="77777777" w:rsidR="004B4E35" w:rsidRPr="00405303" w:rsidRDefault="004B4E35" w:rsidP="00C15251">
            <w:pPr>
              <w:jc w:val="both"/>
              <w:rPr>
                <w:bCs/>
                <w:color w:val="002060"/>
                <w:sz w:val="16"/>
                <w:szCs w:val="16"/>
              </w:rPr>
            </w:pPr>
          </w:p>
        </w:tc>
        <w:tc>
          <w:tcPr>
            <w:tcW w:w="1267" w:type="dxa"/>
            <w:shd w:val="clear" w:color="auto" w:fill="FFFFFF"/>
          </w:tcPr>
          <w:p w14:paraId="2838501B" w14:textId="77777777" w:rsidR="004B4E35" w:rsidRPr="00405303" w:rsidRDefault="009E6F82" w:rsidP="00C15251">
            <w:pPr>
              <w:jc w:val="both"/>
              <w:rPr>
                <w:bCs/>
                <w:color w:val="002060"/>
                <w:sz w:val="16"/>
                <w:szCs w:val="16"/>
              </w:rPr>
            </w:pPr>
            <w:r w:rsidRPr="00405303">
              <w:rPr>
                <w:bCs/>
                <w:color w:val="002060"/>
                <w:sz w:val="16"/>
                <w:szCs w:val="16"/>
              </w:rPr>
              <w:t>150</w:t>
            </w:r>
          </w:p>
        </w:tc>
      </w:tr>
      <w:tr w:rsidR="004B4E35" w:rsidRPr="00405303" w14:paraId="6A78F0CE" w14:textId="77777777">
        <w:trPr>
          <w:trHeight w:val="245"/>
        </w:trPr>
        <w:tc>
          <w:tcPr>
            <w:tcW w:w="2069" w:type="dxa"/>
            <w:shd w:val="clear" w:color="auto" w:fill="FFFFFF"/>
          </w:tcPr>
          <w:p w14:paraId="4649389C" w14:textId="77777777" w:rsidR="004B4E35" w:rsidRPr="00405303" w:rsidRDefault="009E6F82" w:rsidP="00C15251">
            <w:pPr>
              <w:jc w:val="both"/>
              <w:rPr>
                <w:bCs/>
                <w:color w:val="002060"/>
                <w:sz w:val="16"/>
                <w:szCs w:val="16"/>
              </w:rPr>
            </w:pPr>
            <w:r w:rsidRPr="00405303">
              <w:rPr>
                <w:bCs/>
                <w:color w:val="002060"/>
                <w:sz w:val="16"/>
                <w:szCs w:val="16"/>
              </w:rPr>
              <w:t>Макс, скорость, км/ч</w:t>
            </w:r>
          </w:p>
        </w:tc>
        <w:tc>
          <w:tcPr>
            <w:tcW w:w="1176" w:type="dxa"/>
            <w:shd w:val="clear" w:color="auto" w:fill="FFFFFF"/>
          </w:tcPr>
          <w:p w14:paraId="020D9C08" w14:textId="77777777" w:rsidR="004B4E35" w:rsidRPr="00405303" w:rsidRDefault="004B4E35" w:rsidP="00C15251">
            <w:pPr>
              <w:jc w:val="both"/>
              <w:rPr>
                <w:bCs/>
                <w:color w:val="002060"/>
                <w:sz w:val="16"/>
                <w:szCs w:val="16"/>
              </w:rPr>
            </w:pPr>
          </w:p>
        </w:tc>
        <w:tc>
          <w:tcPr>
            <w:tcW w:w="1133" w:type="dxa"/>
            <w:shd w:val="clear" w:color="auto" w:fill="FFFFFF"/>
          </w:tcPr>
          <w:p w14:paraId="5F278CD6" w14:textId="77777777" w:rsidR="004B4E35" w:rsidRPr="00405303" w:rsidRDefault="009E6F82" w:rsidP="00C15251">
            <w:pPr>
              <w:jc w:val="both"/>
              <w:rPr>
                <w:bCs/>
                <w:color w:val="002060"/>
                <w:sz w:val="16"/>
                <w:szCs w:val="16"/>
              </w:rPr>
            </w:pPr>
            <w:r w:rsidRPr="00405303">
              <w:rPr>
                <w:bCs/>
                <w:color w:val="002060"/>
                <w:sz w:val="16"/>
                <w:szCs w:val="16"/>
              </w:rPr>
              <w:t>142</w:t>
            </w:r>
          </w:p>
        </w:tc>
        <w:tc>
          <w:tcPr>
            <w:tcW w:w="1090" w:type="dxa"/>
            <w:shd w:val="clear" w:color="auto" w:fill="FFFFFF"/>
          </w:tcPr>
          <w:p w14:paraId="0B52D4D9" w14:textId="77777777" w:rsidR="004B4E35" w:rsidRPr="00405303" w:rsidRDefault="004B4E35" w:rsidP="00C15251">
            <w:pPr>
              <w:jc w:val="both"/>
              <w:rPr>
                <w:bCs/>
                <w:color w:val="002060"/>
                <w:sz w:val="16"/>
                <w:szCs w:val="16"/>
              </w:rPr>
            </w:pPr>
          </w:p>
        </w:tc>
        <w:tc>
          <w:tcPr>
            <w:tcW w:w="1267" w:type="dxa"/>
            <w:shd w:val="clear" w:color="auto" w:fill="FFFFFF"/>
          </w:tcPr>
          <w:p w14:paraId="03BC50EB" w14:textId="77777777" w:rsidR="004B4E35" w:rsidRPr="00405303" w:rsidRDefault="009E6F82" w:rsidP="00C15251">
            <w:pPr>
              <w:jc w:val="both"/>
              <w:rPr>
                <w:bCs/>
                <w:color w:val="002060"/>
                <w:sz w:val="16"/>
                <w:szCs w:val="16"/>
              </w:rPr>
            </w:pPr>
            <w:r w:rsidRPr="00405303">
              <w:rPr>
                <w:bCs/>
                <w:color w:val="002060"/>
                <w:sz w:val="16"/>
                <w:szCs w:val="16"/>
              </w:rPr>
              <w:t>110</w:t>
            </w:r>
          </w:p>
        </w:tc>
      </w:tr>
      <w:tr w:rsidR="004B4E35" w:rsidRPr="00405303" w14:paraId="0BE11686" w14:textId="77777777">
        <w:trPr>
          <w:trHeight w:val="230"/>
        </w:trPr>
        <w:tc>
          <w:tcPr>
            <w:tcW w:w="2069" w:type="dxa"/>
            <w:shd w:val="clear" w:color="auto" w:fill="FFFFFF"/>
          </w:tcPr>
          <w:p w14:paraId="3CBAF9D6" w14:textId="77777777" w:rsidR="004B4E35" w:rsidRPr="00405303" w:rsidRDefault="009E6F82" w:rsidP="00C15251">
            <w:pPr>
              <w:jc w:val="both"/>
              <w:rPr>
                <w:bCs/>
                <w:color w:val="002060"/>
                <w:sz w:val="16"/>
                <w:szCs w:val="16"/>
              </w:rPr>
            </w:pPr>
            <w:r w:rsidRPr="00405303">
              <w:rPr>
                <w:bCs/>
                <w:color w:val="002060"/>
                <w:sz w:val="16"/>
                <w:szCs w:val="16"/>
              </w:rPr>
              <w:t>Дальность, км</w:t>
            </w:r>
          </w:p>
        </w:tc>
        <w:tc>
          <w:tcPr>
            <w:tcW w:w="1176" w:type="dxa"/>
            <w:shd w:val="clear" w:color="auto" w:fill="FFFFFF"/>
          </w:tcPr>
          <w:p w14:paraId="6C0F48E7" w14:textId="77777777" w:rsidR="004B4E35" w:rsidRPr="00405303" w:rsidRDefault="004B4E35" w:rsidP="00C15251">
            <w:pPr>
              <w:jc w:val="both"/>
              <w:rPr>
                <w:bCs/>
                <w:color w:val="002060"/>
                <w:sz w:val="16"/>
                <w:szCs w:val="16"/>
              </w:rPr>
            </w:pPr>
          </w:p>
        </w:tc>
        <w:tc>
          <w:tcPr>
            <w:tcW w:w="1133" w:type="dxa"/>
            <w:shd w:val="clear" w:color="auto" w:fill="FFFFFF"/>
          </w:tcPr>
          <w:p w14:paraId="216CAEAC" w14:textId="77777777" w:rsidR="004B4E35" w:rsidRPr="00405303" w:rsidRDefault="009E6F82" w:rsidP="00C15251">
            <w:pPr>
              <w:jc w:val="both"/>
              <w:rPr>
                <w:bCs/>
                <w:color w:val="002060"/>
                <w:sz w:val="16"/>
                <w:szCs w:val="16"/>
              </w:rPr>
            </w:pPr>
            <w:r w:rsidRPr="00405303">
              <w:rPr>
                <w:bCs/>
                <w:color w:val="002060"/>
                <w:sz w:val="16"/>
                <w:szCs w:val="16"/>
              </w:rPr>
              <w:t>330</w:t>
            </w:r>
          </w:p>
        </w:tc>
        <w:tc>
          <w:tcPr>
            <w:tcW w:w="1090" w:type="dxa"/>
            <w:shd w:val="clear" w:color="auto" w:fill="FFFFFF"/>
          </w:tcPr>
          <w:p w14:paraId="6175AD90" w14:textId="77777777" w:rsidR="004B4E35" w:rsidRPr="00405303" w:rsidRDefault="004B4E35" w:rsidP="00C15251">
            <w:pPr>
              <w:jc w:val="both"/>
              <w:rPr>
                <w:bCs/>
                <w:color w:val="002060"/>
                <w:sz w:val="16"/>
                <w:szCs w:val="16"/>
              </w:rPr>
            </w:pPr>
          </w:p>
        </w:tc>
        <w:tc>
          <w:tcPr>
            <w:tcW w:w="1267" w:type="dxa"/>
            <w:shd w:val="clear" w:color="auto" w:fill="FFFFFF"/>
          </w:tcPr>
          <w:p w14:paraId="7A90462D" w14:textId="77777777" w:rsidR="004B4E35" w:rsidRPr="00405303" w:rsidRDefault="004B4E35" w:rsidP="00C15251">
            <w:pPr>
              <w:jc w:val="both"/>
              <w:rPr>
                <w:bCs/>
                <w:color w:val="002060"/>
                <w:sz w:val="16"/>
                <w:szCs w:val="16"/>
              </w:rPr>
            </w:pPr>
          </w:p>
        </w:tc>
      </w:tr>
      <w:tr w:rsidR="004B4E35" w:rsidRPr="00405303" w14:paraId="38DB4741" w14:textId="77777777">
        <w:trPr>
          <w:trHeight w:val="230"/>
        </w:trPr>
        <w:tc>
          <w:tcPr>
            <w:tcW w:w="2069" w:type="dxa"/>
            <w:shd w:val="clear" w:color="auto" w:fill="FFFFFF"/>
          </w:tcPr>
          <w:p w14:paraId="5529D4FE" w14:textId="77777777" w:rsidR="004B4E35" w:rsidRPr="00405303" w:rsidRDefault="009E6F82" w:rsidP="00C15251">
            <w:pPr>
              <w:jc w:val="both"/>
              <w:rPr>
                <w:bCs/>
                <w:color w:val="002060"/>
                <w:sz w:val="16"/>
                <w:szCs w:val="16"/>
              </w:rPr>
            </w:pPr>
            <w:r w:rsidRPr="00405303">
              <w:rPr>
                <w:bCs/>
                <w:color w:val="002060"/>
                <w:sz w:val="16"/>
                <w:szCs w:val="16"/>
              </w:rPr>
              <w:t>Потолок, м</w:t>
            </w:r>
          </w:p>
        </w:tc>
        <w:tc>
          <w:tcPr>
            <w:tcW w:w="1176" w:type="dxa"/>
            <w:shd w:val="clear" w:color="auto" w:fill="FFFFFF"/>
          </w:tcPr>
          <w:p w14:paraId="40DCE499" w14:textId="77777777" w:rsidR="004B4E35" w:rsidRPr="00405303" w:rsidRDefault="004B4E35" w:rsidP="00C15251">
            <w:pPr>
              <w:jc w:val="both"/>
              <w:rPr>
                <w:bCs/>
                <w:color w:val="002060"/>
                <w:sz w:val="16"/>
                <w:szCs w:val="16"/>
              </w:rPr>
            </w:pPr>
          </w:p>
        </w:tc>
        <w:tc>
          <w:tcPr>
            <w:tcW w:w="1133" w:type="dxa"/>
            <w:shd w:val="clear" w:color="auto" w:fill="FFFFFF"/>
          </w:tcPr>
          <w:p w14:paraId="753A90A1" w14:textId="77777777" w:rsidR="004B4E35" w:rsidRPr="00405303" w:rsidRDefault="009E6F82" w:rsidP="00C15251">
            <w:pPr>
              <w:jc w:val="both"/>
              <w:rPr>
                <w:bCs/>
                <w:color w:val="002060"/>
                <w:sz w:val="16"/>
                <w:szCs w:val="16"/>
              </w:rPr>
            </w:pPr>
            <w:r w:rsidRPr="00405303">
              <w:rPr>
                <w:bCs/>
                <w:color w:val="002060"/>
                <w:sz w:val="16"/>
                <w:szCs w:val="16"/>
              </w:rPr>
              <w:t>2750</w:t>
            </w:r>
          </w:p>
        </w:tc>
        <w:tc>
          <w:tcPr>
            <w:tcW w:w="1090" w:type="dxa"/>
            <w:shd w:val="clear" w:color="auto" w:fill="FFFFFF"/>
          </w:tcPr>
          <w:p w14:paraId="62CB6287" w14:textId="77777777" w:rsidR="004B4E35" w:rsidRPr="00405303" w:rsidRDefault="004B4E35" w:rsidP="00C15251">
            <w:pPr>
              <w:jc w:val="both"/>
              <w:rPr>
                <w:bCs/>
                <w:color w:val="002060"/>
                <w:sz w:val="16"/>
                <w:szCs w:val="16"/>
              </w:rPr>
            </w:pPr>
          </w:p>
        </w:tc>
        <w:tc>
          <w:tcPr>
            <w:tcW w:w="1267" w:type="dxa"/>
            <w:shd w:val="clear" w:color="auto" w:fill="FFFFFF"/>
          </w:tcPr>
          <w:p w14:paraId="2F8FC091" w14:textId="77777777" w:rsidR="004B4E35" w:rsidRPr="00405303" w:rsidRDefault="004B4E35" w:rsidP="00C15251">
            <w:pPr>
              <w:jc w:val="both"/>
              <w:rPr>
                <w:bCs/>
                <w:color w:val="002060"/>
                <w:sz w:val="16"/>
                <w:szCs w:val="16"/>
              </w:rPr>
            </w:pPr>
          </w:p>
        </w:tc>
      </w:tr>
      <w:tr w:rsidR="004B4E35" w:rsidRPr="00405303" w14:paraId="6D24ADCB" w14:textId="77777777">
        <w:trPr>
          <w:trHeight w:val="293"/>
        </w:trPr>
        <w:tc>
          <w:tcPr>
            <w:tcW w:w="2069" w:type="dxa"/>
            <w:shd w:val="clear" w:color="auto" w:fill="FFFFFF"/>
          </w:tcPr>
          <w:p w14:paraId="4F495484" w14:textId="77777777" w:rsidR="004B4E35" w:rsidRPr="00405303" w:rsidRDefault="009E6F82" w:rsidP="00C15251">
            <w:pPr>
              <w:jc w:val="both"/>
              <w:rPr>
                <w:bCs/>
                <w:color w:val="002060"/>
                <w:sz w:val="16"/>
                <w:szCs w:val="16"/>
              </w:rPr>
            </w:pPr>
            <w:r w:rsidRPr="00405303">
              <w:rPr>
                <w:bCs/>
                <w:color w:val="002060"/>
                <w:sz w:val="16"/>
                <w:szCs w:val="16"/>
              </w:rPr>
              <w:t>Экипаж, чел</w:t>
            </w:r>
          </w:p>
        </w:tc>
        <w:tc>
          <w:tcPr>
            <w:tcW w:w="1176" w:type="dxa"/>
            <w:shd w:val="clear" w:color="auto" w:fill="FFFFFF"/>
          </w:tcPr>
          <w:p w14:paraId="4B3C25DE" w14:textId="77777777" w:rsidR="004B4E35" w:rsidRPr="00405303" w:rsidRDefault="009E6F82" w:rsidP="00C15251">
            <w:pPr>
              <w:jc w:val="both"/>
              <w:rPr>
                <w:bCs/>
                <w:color w:val="002060"/>
                <w:sz w:val="16"/>
                <w:szCs w:val="16"/>
              </w:rPr>
            </w:pPr>
            <w:r w:rsidRPr="00405303">
              <w:rPr>
                <w:bCs/>
                <w:color w:val="002060"/>
                <w:sz w:val="16"/>
                <w:szCs w:val="16"/>
              </w:rPr>
              <w:t>1</w:t>
            </w:r>
          </w:p>
        </w:tc>
        <w:tc>
          <w:tcPr>
            <w:tcW w:w="1133" w:type="dxa"/>
            <w:shd w:val="clear" w:color="auto" w:fill="FFFFFF"/>
          </w:tcPr>
          <w:p w14:paraId="5D858E4A" w14:textId="77777777" w:rsidR="004B4E35" w:rsidRPr="00405303" w:rsidRDefault="009E6F82" w:rsidP="00C15251">
            <w:pPr>
              <w:jc w:val="both"/>
              <w:rPr>
                <w:bCs/>
                <w:color w:val="002060"/>
                <w:sz w:val="16"/>
                <w:szCs w:val="16"/>
              </w:rPr>
            </w:pPr>
            <w:r w:rsidRPr="00405303">
              <w:rPr>
                <w:bCs/>
                <w:color w:val="002060"/>
                <w:sz w:val="16"/>
                <w:szCs w:val="16"/>
              </w:rPr>
              <w:t>2</w:t>
            </w:r>
          </w:p>
        </w:tc>
        <w:tc>
          <w:tcPr>
            <w:tcW w:w="1090" w:type="dxa"/>
            <w:shd w:val="clear" w:color="auto" w:fill="FFFFFF"/>
          </w:tcPr>
          <w:p w14:paraId="67B08226" w14:textId="77777777" w:rsidR="004B4E35" w:rsidRPr="00405303" w:rsidRDefault="009E6F82" w:rsidP="00C15251">
            <w:pPr>
              <w:jc w:val="both"/>
              <w:rPr>
                <w:bCs/>
                <w:color w:val="002060"/>
                <w:sz w:val="16"/>
                <w:szCs w:val="16"/>
              </w:rPr>
            </w:pPr>
            <w:r w:rsidRPr="00405303">
              <w:rPr>
                <w:bCs/>
                <w:color w:val="002060"/>
                <w:sz w:val="16"/>
                <w:szCs w:val="16"/>
              </w:rPr>
              <w:t>5</w:t>
            </w:r>
          </w:p>
        </w:tc>
        <w:tc>
          <w:tcPr>
            <w:tcW w:w="1267" w:type="dxa"/>
            <w:shd w:val="clear" w:color="auto" w:fill="FFFFFF"/>
          </w:tcPr>
          <w:p w14:paraId="797DE0C4" w14:textId="77777777" w:rsidR="004B4E35" w:rsidRPr="00405303" w:rsidRDefault="009E6F82" w:rsidP="00C15251">
            <w:pPr>
              <w:jc w:val="both"/>
              <w:rPr>
                <w:bCs/>
                <w:color w:val="002060"/>
                <w:sz w:val="16"/>
                <w:szCs w:val="16"/>
              </w:rPr>
            </w:pPr>
            <w:r w:rsidRPr="00405303">
              <w:rPr>
                <w:bCs/>
                <w:color w:val="002060"/>
                <w:sz w:val="16"/>
                <w:szCs w:val="16"/>
              </w:rPr>
              <w:t>5</w:t>
            </w:r>
          </w:p>
        </w:tc>
      </w:tr>
    </w:tbl>
    <w:p w14:paraId="332C48D9" w14:textId="77777777" w:rsidR="004B4E35" w:rsidRPr="00405303" w:rsidRDefault="009E6F82" w:rsidP="00C15251">
      <w:pPr>
        <w:jc w:val="both"/>
        <w:rPr>
          <w:bCs/>
          <w:color w:val="002060"/>
          <w:sz w:val="16"/>
          <w:szCs w:val="16"/>
        </w:rPr>
      </w:pPr>
      <w:r w:rsidRPr="00405303">
        <w:rPr>
          <w:bCs/>
          <w:color w:val="002060"/>
          <w:sz w:val="16"/>
          <w:szCs w:val="16"/>
        </w:rPr>
        <w:t>(11873).</w:t>
      </w:r>
    </w:p>
    <w:p w14:paraId="44F3694D" w14:textId="77777777" w:rsidR="004B4E35" w:rsidRPr="00405303" w:rsidRDefault="004B4E35" w:rsidP="00C15251">
      <w:pPr>
        <w:jc w:val="both"/>
        <w:rPr>
          <w:bCs/>
          <w:color w:val="002060"/>
          <w:sz w:val="16"/>
          <w:szCs w:val="16"/>
        </w:rPr>
      </w:pPr>
    </w:p>
    <w:p w14:paraId="38E3F445" w14:textId="77777777" w:rsidR="00E136C6" w:rsidRPr="00405303" w:rsidRDefault="00E136C6" w:rsidP="00C15251">
      <w:pPr>
        <w:jc w:val="both"/>
        <w:rPr>
          <w:bCs/>
          <w:color w:val="002060"/>
          <w:sz w:val="16"/>
          <w:szCs w:val="16"/>
        </w:rPr>
      </w:pPr>
      <w:r w:rsidRPr="00405303">
        <w:rPr>
          <w:bCs/>
          <w:color w:val="002060"/>
          <w:sz w:val="16"/>
          <w:szCs w:val="16"/>
        </w:rPr>
        <w:t xml:space="preserve">Весна 1915 года была отмечена несколькими воздушно-морскими столкновениями, во время которых английские разведывательные подлодки атаковали германские самолеты и цеппелины. </w:t>
      </w:r>
    </w:p>
    <w:p w14:paraId="6633B5F1" w14:textId="77777777" w:rsidR="00E136C6" w:rsidRPr="00405303" w:rsidRDefault="00E136C6" w:rsidP="00C15251">
      <w:pPr>
        <w:jc w:val="both"/>
        <w:rPr>
          <w:bCs/>
          <w:i/>
          <w:color w:val="002060"/>
          <w:sz w:val="16"/>
          <w:szCs w:val="16"/>
        </w:rPr>
      </w:pPr>
    </w:p>
    <w:p w14:paraId="491B78DA" w14:textId="1C1ED73B" w:rsidR="00FB2913" w:rsidRPr="00405303" w:rsidRDefault="00FB2913" w:rsidP="00C15251">
      <w:pPr>
        <w:jc w:val="both"/>
        <w:rPr>
          <w:bCs/>
          <w:i/>
          <w:color w:val="002060"/>
          <w:sz w:val="16"/>
          <w:szCs w:val="16"/>
        </w:rPr>
      </w:pPr>
      <w:r w:rsidRPr="00405303">
        <w:rPr>
          <w:bCs/>
          <w:i/>
          <w:color w:val="002060"/>
          <w:sz w:val="16"/>
          <w:szCs w:val="16"/>
        </w:rPr>
        <w:t>За рубежом:</w:t>
      </w:r>
    </w:p>
    <w:p w14:paraId="3DF820C8" w14:textId="77777777" w:rsidR="00FB2913" w:rsidRPr="00405303" w:rsidRDefault="00FB2913" w:rsidP="00C15251">
      <w:pPr>
        <w:jc w:val="both"/>
        <w:rPr>
          <w:bCs/>
          <w:color w:val="002060"/>
          <w:sz w:val="16"/>
          <w:szCs w:val="16"/>
        </w:rPr>
      </w:pPr>
    </w:p>
    <w:p w14:paraId="730E6D79" w14:textId="77777777" w:rsidR="00FB2913" w:rsidRPr="00405303" w:rsidRDefault="00FB2913" w:rsidP="00C15251">
      <w:pPr>
        <w:pStyle w:val="ae"/>
        <w:spacing w:before="0" w:beforeAutospacing="0" w:after="0" w:afterAutospacing="0"/>
        <w:jc w:val="both"/>
        <w:rPr>
          <w:bCs/>
          <w:color w:val="002060"/>
          <w:sz w:val="16"/>
          <w:szCs w:val="16"/>
        </w:rPr>
      </w:pPr>
      <w:r w:rsidRPr="00405303">
        <w:rPr>
          <w:bCs/>
          <w:color w:val="002060"/>
          <w:sz w:val="16"/>
          <w:szCs w:val="16"/>
        </w:rPr>
        <w:t>Весной 1915 года Austin Motor получила заказ на производство бронемашин второй серии. Вместо базы легкового автомобиля теперь использовалась база полуторатонного грузовика с усиленной рамой. Толщина брони 7 мм. Конструкцию корпуса изменили, понизив крышу водительского отделения и укоротив длину, демонтировали заднюю аварийную дверь. Машина получилась теснее, а одна (боковая) дверь увеличивала риск гибели экипажа. Зато броневики второй серии получили броневую защиту передних рессор и бронирование фары-прожектора. Кроме того, улучшили вытяжку пороховых газов в боевых отделениях и увеличили сектор стрельбы.</w:t>
      </w:r>
    </w:p>
    <w:p w14:paraId="0B8AAC7A" w14:textId="77777777" w:rsidR="00FB2913" w:rsidRPr="00405303" w:rsidRDefault="00FB2913" w:rsidP="00C15251">
      <w:pPr>
        <w:pStyle w:val="ae"/>
        <w:spacing w:before="0" w:beforeAutospacing="0" w:after="0" w:afterAutospacing="0"/>
        <w:jc w:val="both"/>
        <w:rPr>
          <w:bCs/>
          <w:color w:val="002060"/>
          <w:sz w:val="16"/>
          <w:szCs w:val="16"/>
        </w:rPr>
      </w:pPr>
      <w:r w:rsidRPr="00405303">
        <w:rPr>
          <w:bCs/>
          <w:color w:val="002060"/>
          <w:sz w:val="16"/>
          <w:szCs w:val="16"/>
        </w:rPr>
        <w:t>Всего в Россию был импортирован 61 броневик этой серии.</w:t>
      </w:r>
    </w:p>
    <w:p w14:paraId="62077EFD" w14:textId="77777777" w:rsidR="00FB2913" w:rsidRPr="00405303" w:rsidRDefault="00FB2913" w:rsidP="00C15251">
      <w:pPr>
        <w:pStyle w:val="ae"/>
        <w:spacing w:before="0" w:beforeAutospacing="0" w:after="0" w:afterAutospacing="0"/>
        <w:jc w:val="both"/>
        <w:rPr>
          <w:bCs/>
          <w:color w:val="002060"/>
          <w:sz w:val="16"/>
          <w:szCs w:val="16"/>
        </w:rPr>
      </w:pPr>
      <w:r w:rsidRPr="00405303">
        <w:rPr>
          <w:bCs/>
          <w:color w:val="002060"/>
          <w:sz w:val="16"/>
          <w:szCs w:val="16"/>
        </w:rPr>
        <w:t>Летом 1916 года в Austin Motor разместили заказ еще на 60 бронемашин. К этому времени накопился опыт боевого применения, который необходимо было учесть. Например, закрыли пуленепробиваемыми стеклами смотровые щели. В результате различных улучшений вес машины превысил пять тонн. В Россию новые «остины» прибыли летом 1917 года. Потребности армии были выше, но вскоре страну захлестнула волна революций. В Гражданскую «остины» воевали по обе стороны фронта (18519).</w:t>
      </w:r>
    </w:p>
    <w:p w14:paraId="549F925D" w14:textId="77777777" w:rsidR="00FB2913" w:rsidRPr="00405303" w:rsidRDefault="00FB2913" w:rsidP="00C15251">
      <w:pPr>
        <w:pStyle w:val="ae"/>
        <w:spacing w:before="0" w:beforeAutospacing="0" w:after="0" w:afterAutospacing="0"/>
        <w:jc w:val="both"/>
        <w:rPr>
          <w:bCs/>
          <w:color w:val="002060"/>
          <w:sz w:val="16"/>
          <w:szCs w:val="16"/>
        </w:rPr>
      </w:pPr>
    </w:p>
    <w:p w14:paraId="08BEED8E"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1FAC060D" w14:textId="77777777" w:rsidR="004B4E35" w:rsidRPr="00405303" w:rsidRDefault="004B4E35" w:rsidP="00C15251">
      <w:pPr>
        <w:jc w:val="both"/>
        <w:rPr>
          <w:bCs/>
          <w:i/>
          <w:color w:val="002060"/>
          <w:sz w:val="16"/>
          <w:szCs w:val="16"/>
        </w:rPr>
      </w:pPr>
    </w:p>
    <w:p w14:paraId="2570F3AC" w14:textId="7953BE13" w:rsidR="004B4E35" w:rsidRPr="00405303" w:rsidRDefault="009E6F82" w:rsidP="00C15251">
      <w:pPr>
        <w:jc w:val="both"/>
        <w:rPr>
          <w:bCs/>
          <w:color w:val="002060"/>
          <w:sz w:val="16"/>
          <w:szCs w:val="16"/>
        </w:rPr>
      </w:pPr>
      <w:r w:rsidRPr="00405303">
        <w:rPr>
          <w:bCs/>
          <w:color w:val="002060"/>
          <w:sz w:val="16"/>
          <w:szCs w:val="16"/>
        </w:rPr>
        <w:t xml:space="preserve">К лету 1915 г. </w:t>
      </w:r>
      <w:r w:rsidR="00D421C7" w:rsidRPr="00405303">
        <w:rPr>
          <w:bCs/>
          <w:color w:val="002060"/>
          <w:sz w:val="16"/>
          <w:szCs w:val="16"/>
        </w:rPr>
        <w:t>Г.А. Фриде</w:t>
      </w:r>
      <w:r w:rsidRPr="00405303">
        <w:rPr>
          <w:bCs/>
          <w:color w:val="002060"/>
          <w:sz w:val="16"/>
          <w:szCs w:val="16"/>
        </w:rPr>
        <w:t xml:space="preserve"> подготовил проект, с которым и пришел к В.А. Лебедеву. Без долгих колебаний тот согласился принять участие в работе над ап</w:t>
      </w:r>
      <w:r w:rsidRPr="00405303">
        <w:rPr>
          <w:bCs/>
          <w:color w:val="002060"/>
          <w:sz w:val="16"/>
          <w:szCs w:val="16"/>
        </w:rPr>
        <w:softHyphen/>
        <w:t>паратом, которая началась приблизительно в июле. Один из студентов Петроградского политехнического института, Н.Ф. Стефановский, выполнил для Фриде необходимые рас</w:t>
      </w:r>
      <w:r w:rsidRPr="00405303">
        <w:rPr>
          <w:bCs/>
          <w:color w:val="002060"/>
          <w:sz w:val="16"/>
          <w:szCs w:val="16"/>
        </w:rPr>
        <w:softHyphen/>
        <w:t>четы, а затем наблюдал за изготовлением машины на заводе (2843).</w:t>
      </w:r>
    </w:p>
    <w:p w14:paraId="7940C3E1" w14:textId="77777777" w:rsidR="004B4E35" w:rsidRPr="00405303" w:rsidRDefault="004B4E35" w:rsidP="00C15251">
      <w:pPr>
        <w:jc w:val="both"/>
        <w:rPr>
          <w:bCs/>
          <w:color w:val="002060"/>
          <w:sz w:val="16"/>
          <w:szCs w:val="16"/>
        </w:rPr>
      </w:pPr>
    </w:p>
    <w:p w14:paraId="49A6953D" w14:textId="77777777" w:rsidR="00F37161" w:rsidRPr="00405303" w:rsidRDefault="00F37161" w:rsidP="00C15251">
      <w:pPr>
        <w:jc w:val="both"/>
        <w:rPr>
          <w:bCs/>
          <w:color w:val="002060"/>
          <w:sz w:val="16"/>
          <w:szCs w:val="16"/>
        </w:rPr>
      </w:pPr>
      <w:r w:rsidRPr="00405303">
        <w:rPr>
          <w:bCs/>
          <w:color w:val="002060"/>
          <w:sz w:val="16"/>
          <w:szCs w:val="16"/>
        </w:rPr>
        <w:t>К лету 1915 г. в целом определились общий вид и компоновка воздушного корабля типа «В». После выпуска первых шести остроносых «Муромцев-В» примерно с №160 началось производство машин с характерным многогранным носом с большим стеклом посередине. С учетом эксплуатации в эскадре под руководством И. И. Сикорского в конструкцию строившихся кораблей вносились изменения, поэтому практически каждый построенный «Муромец» чем-то отличался от предыдущего. Это было необходимо для улучшения летно-технических характеристик и повышения боевой эффективности, что служило веским аргументом в пользу более широкого использования «Муромцев», однако очень осложняло производственный процесс (19963).</w:t>
      </w:r>
    </w:p>
    <w:p w14:paraId="16B826F2" w14:textId="77777777" w:rsidR="00F37161" w:rsidRPr="00405303" w:rsidRDefault="00F37161" w:rsidP="00C15251">
      <w:pPr>
        <w:jc w:val="both"/>
        <w:rPr>
          <w:bCs/>
          <w:color w:val="002060"/>
          <w:sz w:val="16"/>
          <w:szCs w:val="16"/>
        </w:rPr>
      </w:pPr>
    </w:p>
    <w:p w14:paraId="43721B0B" w14:textId="4569DD13" w:rsidR="00154671" w:rsidRPr="00405303" w:rsidRDefault="00154671" w:rsidP="00C15251">
      <w:pPr>
        <w:jc w:val="both"/>
        <w:rPr>
          <w:bCs/>
          <w:color w:val="002060"/>
          <w:sz w:val="16"/>
          <w:szCs w:val="16"/>
        </w:rPr>
      </w:pPr>
      <w:r w:rsidRPr="00405303">
        <w:rPr>
          <w:bCs/>
          <w:color w:val="002060"/>
          <w:sz w:val="16"/>
          <w:szCs w:val="16"/>
        </w:rPr>
        <w:lastRenderedPageBreak/>
        <w:t xml:space="preserve">К лету 1915 г. в целом определились общий вид и компоновка воздушного корабля типа "В". После выпуска первых шести остроносых "Муромцев-В" примерно с №160 началось производство машин с характерным многогранным носом с большим стеклом посередине. С учетом эксплуатации в эскадре под руководством И. И. Сикорского в конструкцию строившихся кораблей вносились изменения, поэтому практически каждый построенный "Муромец" чем-то отличался от предыдущего. Это было необходимо для улучшения летно-технических характеристик и повышения боевой эффективности, что служило веским аргументом в пользу более широкого использования "Муромцев", однако очень осложняло производственный процесс. </w:t>
      </w:r>
    </w:p>
    <w:p w14:paraId="0B845B0D" w14:textId="77777777" w:rsidR="00154671" w:rsidRPr="00405303" w:rsidRDefault="00154671" w:rsidP="00C15251">
      <w:pPr>
        <w:jc w:val="both"/>
        <w:rPr>
          <w:bCs/>
          <w:color w:val="002060"/>
          <w:sz w:val="16"/>
          <w:szCs w:val="16"/>
        </w:rPr>
      </w:pPr>
      <w:r w:rsidRPr="00405303">
        <w:rPr>
          <w:bCs/>
          <w:color w:val="002060"/>
          <w:sz w:val="16"/>
          <w:szCs w:val="16"/>
        </w:rPr>
        <w:t>Строительство "Муромцев" осуществлялось малыми сериями, в среднем по десять машин. Заранее заготовлялись материал и полуфабрикаты, приобретались комплектующие изделия. В мастерских завода изготовлялись части конструкции, а в столярно-сборочной собирались на параллельных стапелях фюзеляжи, коробки крыльев и хвостовые оперения. По мере готовности все они либо отправлялись в эскадру, либо собирались во временном деревянном ангаре на Корпусном аэродроме. Часто доработки в уже готовых частях конструкции приводили к остановке производства и загромождению производственных помещений. Кроме того, бывали случаи, когда на завод из эскадры возвращались готовые корабли, на которых предполагалось провести доработки, непосильные для фронтовой мастерской. Поначалу приходилось мириться. Создание первой в мире тяжелой авиации, естественно, сопровождалось многочисленными "болезнями роста". Особенно эти доработки были важны в 1915 г., когда от характеристик поставляемых в эскадру "Муромцев" зависела судьба великого дела (11230).</w:t>
      </w:r>
    </w:p>
    <w:p w14:paraId="6FA5C455" w14:textId="77777777" w:rsidR="00154671" w:rsidRPr="00405303" w:rsidRDefault="00154671" w:rsidP="00C15251">
      <w:pPr>
        <w:jc w:val="both"/>
        <w:rPr>
          <w:bCs/>
          <w:color w:val="002060"/>
          <w:sz w:val="16"/>
          <w:szCs w:val="16"/>
        </w:rPr>
      </w:pPr>
    </w:p>
    <w:p w14:paraId="154A029B" w14:textId="77777777" w:rsidR="00380E79" w:rsidRPr="00405303" w:rsidRDefault="00380E79" w:rsidP="00C15251">
      <w:pPr>
        <w:jc w:val="both"/>
        <w:rPr>
          <w:bCs/>
          <w:color w:val="002060"/>
          <w:sz w:val="16"/>
          <w:szCs w:val="16"/>
        </w:rPr>
      </w:pPr>
      <w:r w:rsidRPr="00405303">
        <w:rPr>
          <w:bCs/>
          <w:color w:val="002060"/>
          <w:sz w:val="16"/>
          <w:szCs w:val="16"/>
          <w:lang w:bidi="ru-RU"/>
        </w:rPr>
        <w:t>К лету 1915 г. по своему проекту Моска создает двухместный моноплан, оснащен</w:t>
      </w:r>
      <w:r w:rsidRPr="00405303">
        <w:rPr>
          <w:bCs/>
          <w:color w:val="002060"/>
          <w:sz w:val="16"/>
          <w:szCs w:val="16"/>
          <w:lang w:bidi="ru-RU"/>
        </w:rPr>
        <w:softHyphen/>
        <w:t>ный ротативным двигателем «Гном» мощ</w:t>
      </w:r>
      <w:r w:rsidRPr="00405303">
        <w:rPr>
          <w:bCs/>
          <w:color w:val="002060"/>
          <w:sz w:val="16"/>
          <w:szCs w:val="16"/>
          <w:lang w:bidi="ru-RU"/>
        </w:rPr>
        <w:softHyphen/>
        <w:t>ностью 50 л.с. Самолет во многом напоми</w:t>
      </w:r>
      <w:r w:rsidRPr="00405303">
        <w:rPr>
          <w:bCs/>
          <w:color w:val="002060"/>
          <w:sz w:val="16"/>
          <w:szCs w:val="16"/>
          <w:lang w:bidi="ru-RU"/>
        </w:rPr>
        <w:softHyphen/>
        <w:t xml:space="preserve">нал распространенные в русской авиации монопланы «Моран-Ж» и «Моран </w:t>
      </w:r>
      <w:r w:rsidRPr="00405303">
        <w:rPr>
          <w:bCs/>
          <w:color w:val="002060"/>
          <w:sz w:val="16"/>
          <w:szCs w:val="16"/>
          <w:lang w:val="en-US" w:bidi="en-US"/>
        </w:rPr>
        <w:t>L</w:t>
      </w:r>
      <w:r w:rsidRPr="00405303">
        <w:rPr>
          <w:bCs/>
          <w:color w:val="002060"/>
          <w:sz w:val="16"/>
          <w:szCs w:val="16"/>
          <w:lang w:bidi="en-US"/>
        </w:rPr>
        <w:t xml:space="preserve">», </w:t>
      </w:r>
      <w:r w:rsidRPr="00405303">
        <w:rPr>
          <w:bCs/>
          <w:color w:val="002060"/>
          <w:sz w:val="16"/>
          <w:szCs w:val="16"/>
          <w:lang w:bidi="ru-RU"/>
        </w:rPr>
        <w:t>однако на опытном образце имел нормальное хво</w:t>
      </w:r>
      <w:r w:rsidRPr="00405303">
        <w:rPr>
          <w:bCs/>
          <w:color w:val="002060"/>
          <w:sz w:val="16"/>
          <w:szCs w:val="16"/>
          <w:lang w:bidi="ru-RU"/>
        </w:rPr>
        <w:softHyphen/>
        <w:t>стовое оперение, оборудованное килем и стабилизатором. Крыло было слегка при</w:t>
      </w:r>
      <w:r w:rsidRPr="00405303">
        <w:rPr>
          <w:bCs/>
          <w:color w:val="002060"/>
          <w:sz w:val="16"/>
          <w:szCs w:val="16"/>
          <w:lang w:bidi="ru-RU"/>
        </w:rPr>
        <w:softHyphen/>
        <w:t>поднято над фюзеляжем, со значительным вырезом в центральной его части для об</w:t>
      </w:r>
      <w:r w:rsidRPr="00405303">
        <w:rPr>
          <w:bCs/>
          <w:color w:val="002060"/>
          <w:sz w:val="16"/>
          <w:szCs w:val="16"/>
          <w:lang w:bidi="ru-RU"/>
        </w:rPr>
        <w:softHyphen/>
        <w:t>легчения посадки экипажа и наилучшего обзора в воздухе. Особенностью аппарата являлась возможность быстрой его сборки и разборки для последующей транспорти</w:t>
      </w:r>
      <w:r w:rsidRPr="00405303">
        <w:rPr>
          <w:bCs/>
          <w:color w:val="002060"/>
          <w:sz w:val="16"/>
          <w:szCs w:val="16"/>
          <w:lang w:bidi="ru-RU"/>
        </w:rPr>
        <w:softHyphen/>
        <w:t>ровки. Удобство технического обслужива</w:t>
      </w:r>
      <w:r w:rsidRPr="00405303">
        <w:rPr>
          <w:bCs/>
          <w:color w:val="002060"/>
          <w:sz w:val="16"/>
          <w:szCs w:val="16"/>
          <w:lang w:bidi="ru-RU"/>
        </w:rPr>
        <w:softHyphen/>
        <w:t>ния фюзеляжа достигалось боковыми съемными панелями и откидываемым верхним гротом из фанеры. Этот грот по началу стягивался кожаными ремнями (по</w:t>
      </w:r>
      <w:r w:rsidRPr="00405303">
        <w:rPr>
          <w:bCs/>
          <w:color w:val="002060"/>
          <w:sz w:val="16"/>
          <w:szCs w:val="16"/>
          <w:lang w:bidi="ru-RU"/>
        </w:rPr>
        <w:softHyphen/>
        <w:t>добно тому, как это делалось на капотах автомобильных двигателей), впоследствии для его крепления использовалось шом</w:t>
      </w:r>
      <w:r w:rsidRPr="00405303">
        <w:rPr>
          <w:bCs/>
          <w:color w:val="002060"/>
          <w:sz w:val="16"/>
          <w:szCs w:val="16"/>
          <w:lang w:bidi="ru-RU"/>
        </w:rPr>
        <w:softHyphen/>
        <w:t>польное соединение.</w:t>
      </w:r>
    </w:p>
    <w:p w14:paraId="5352B3FF" w14:textId="77777777" w:rsidR="00380E79" w:rsidRPr="00405303" w:rsidRDefault="00380E79" w:rsidP="00C15251">
      <w:pPr>
        <w:jc w:val="both"/>
        <w:rPr>
          <w:bCs/>
          <w:color w:val="002060"/>
          <w:sz w:val="16"/>
          <w:szCs w:val="16"/>
        </w:rPr>
      </w:pPr>
      <w:r w:rsidRPr="00405303">
        <w:rPr>
          <w:bCs/>
          <w:color w:val="002060"/>
          <w:sz w:val="16"/>
          <w:szCs w:val="16"/>
          <w:lang w:bidi="ru-RU"/>
        </w:rPr>
        <w:t>После изготовления моноплан получил обозначение МБ — Моска-Быстрицкий.</w:t>
      </w:r>
    </w:p>
    <w:p w14:paraId="26D0269D" w14:textId="77777777" w:rsidR="00380E79" w:rsidRPr="00405303" w:rsidRDefault="00380E79" w:rsidP="00C15251">
      <w:pPr>
        <w:jc w:val="both"/>
        <w:rPr>
          <w:bCs/>
          <w:color w:val="002060"/>
          <w:sz w:val="16"/>
          <w:szCs w:val="16"/>
        </w:rPr>
      </w:pPr>
      <w:r w:rsidRPr="00405303">
        <w:rPr>
          <w:bCs/>
          <w:color w:val="002060"/>
          <w:sz w:val="16"/>
          <w:szCs w:val="16"/>
          <w:lang w:bidi="ru-RU"/>
        </w:rPr>
        <w:t>Роль штабс-капитана Быстрицкого в этом необычном творческом тандеме оп</w:t>
      </w:r>
      <w:r w:rsidRPr="00405303">
        <w:rPr>
          <w:bCs/>
          <w:color w:val="002060"/>
          <w:sz w:val="16"/>
          <w:szCs w:val="16"/>
          <w:lang w:bidi="ru-RU"/>
        </w:rPr>
        <w:softHyphen/>
        <w:t>ределялась вполне прозаически — обеспе</w:t>
      </w:r>
      <w:r w:rsidRPr="00405303">
        <w:rPr>
          <w:bCs/>
          <w:color w:val="002060"/>
          <w:sz w:val="16"/>
          <w:szCs w:val="16"/>
          <w:lang w:bidi="ru-RU"/>
        </w:rPr>
        <w:softHyphen/>
        <w:t>чение заказов от военного ведомства. Впоследствии Быстрицкий участвовал в работе русской военной миссии, осуще</w:t>
      </w:r>
      <w:r w:rsidRPr="00405303">
        <w:rPr>
          <w:bCs/>
          <w:color w:val="002060"/>
          <w:sz w:val="16"/>
          <w:szCs w:val="16"/>
          <w:lang w:bidi="ru-RU"/>
        </w:rPr>
        <w:softHyphen/>
        <w:t>ствлявшей получение военного имущества во Франции. Представитель русского гене</w:t>
      </w:r>
      <w:r w:rsidRPr="00405303">
        <w:rPr>
          <w:bCs/>
          <w:color w:val="002060"/>
          <w:sz w:val="16"/>
          <w:szCs w:val="16"/>
          <w:lang w:bidi="ru-RU"/>
        </w:rPr>
        <w:softHyphen/>
        <w:t>рального штаба в Париже, граф А.А. Игна</w:t>
      </w:r>
      <w:r w:rsidRPr="00405303">
        <w:rPr>
          <w:bCs/>
          <w:color w:val="002060"/>
          <w:sz w:val="16"/>
          <w:szCs w:val="16"/>
          <w:lang w:bidi="ru-RU"/>
        </w:rPr>
        <w:softHyphen/>
        <w:t>тьев в своей знаменитой книге «Пятьдесят лет в строю» так описал эту колоритную фигуру: «Летчиком Быстрицкий не был, однако в делах снабжения оказался боль</w:t>
      </w:r>
      <w:r w:rsidRPr="00405303">
        <w:rPr>
          <w:bCs/>
          <w:color w:val="002060"/>
          <w:sz w:val="16"/>
          <w:szCs w:val="16"/>
          <w:lang w:bidi="ru-RU"/>
        </w:rPr>
        <w:softHyphen/>
        <w:t>шим ловкачом. Внешне дисциплинирован</w:t>
      </w:r>
      <w:r w:rsidRPr="00405303">
        <w:rPr>
          <w:bCs/>
          <w:color w:val="002060"/>
          <w:sz w:val="16"/>
          <w:szCs w:val="16"/>
          <w:lang w:bidi="ru-RU"/>
        </w:rPr>
        <w:softHyphen/>
        <w:t>ный, а по существу натура анархическая, Быстрицкий, как человек пронырливый, на</w:t>
      </w:r>
      <w:r w:rsidRPr="00405303">
        <w:rPr>
          <w:bCs/>
          <w:color w:val="002060"/>
          <w:sz w:val="16"/>
          <w:szCs w:val="16"/>
          <w:lang w:bidi="ru-RU"/>
        </w:rPr>
        <w:softHyphen/>
        <w:t>шел новые средства для получения разре</w:t>
      </w:r>
      <w:r w:rsidRPr="00405303">
        <w:rPr>
          <w:bCs/>
          <w:color w:val="002060"/>
          <w:sz w:val="16"/>
          <w:szCs w:val="16"/>
          <w:lang w:bidi="ru-RU"/>
        </w:rPr>
        <w:softHyphen/>
        <w:t>шения на заказы от французского прави</w:t>
      </w:r>
      <w:r w:rsidRPr="00405303">
        <w:rPr>
          <w:bCs/>
          <w:color w:val="002060"/>
          <w:sz w:val="16"/>
          <w:szCs w:val="16"/>
          <w:lang w:bidi="ru-RU"/>
        </w:rPr>
        <w:softHyphen/>
        <w:t>тельства, до которых мы ... не додума</w:t>
      </w:r>
      <w:r w:rsidRPr="00405303">
        <w:rPr>
          <w:bCs/>
          <w:color w:val="002060"/>
          <w:sz w:val="16"/>
          <w:szCs w:val="16"/>
          <w:lang w:bidi="ru-RU"/>
        </w:rPr>
        <w:softHyphen/>
        <w:t>лись».</w:t>
      </w:r>
    </w:p>
    <w:p w14:paraId="1A661ADF" w14:textId="77777777" w:rsidR="00380E79" w:rsidRPr="00405303" w:rsidRDefault="00380E79" w:rsidP="00C15251">
      <w:pPr>
        <w:jc w:val="both"/>
        <w:rPr>
          <w:bCs/>
          <w:color w:val="002060"/>
          <w:sz w:val="16"/>
          <w:szCs w:val="16"/>
        </w:rPr>
      </w:pPr>
      <w:r w:rsidRPr="00405303">
        <w:rPr>
          <w:bCs/>
          <w:color w:val="002060"/>
          <w:sz w:val="16"/>
          <w:szCs w:val="16"/>
          <w:lang w:bidi="ru-RU"/>
        </w:rPr>
        <w:t>Испытания моноплана МБ прошли впол</w:t>
      </w:r>
      <w:r w:rsidRPr="00405303">
        <w:rPr>
          <w:bCs/>
          <w:color w:val="002060"/>
          <w:sz w:val="16"/>
          <w:szCs w:val="16"/>
          <w:lang w:bidi="ru-RU"/>
        </w:rPr>
        <w:softHyphen/>
        <w:t>не успешно и 29 октября 1915 г. завод Ф. Моска подписал контракт с военным ведомством на поставку 10 самолетов типа МБ (№1—№10). Машины сдали до середи</w:t>
      </w:r>
      <w:r w:rsidRPr="00405303">
        <w:rPr>
          <w:bCs/>
          <w:color w:val="002060"/>
          <w:sz w:val="16"/>
          <w:szCs w:val="16"/>
          <w:lang w:bidi="ru-RU"/>
        </w:rPr>
        <w:softHyphen/>
        <w:t>ны 1916 г., при этом они определялись как самолеты-истребители, хотя сведений об их вооружении не имеется. Основным от</w:t>
      </w:r>
      <w:r w:rsidRPr="00405303">
        <w:rPr>
          <w:bCs/>
          <w:color w:val="002060"/>
          <w:sz w:val="16"/>
          <w:szCs w:val="16"/>
          <w:lang w:bidi="ru-RU"/>
        </w:rPr>
        <w:softHyphen/>
        <w:t>личием серийных машин явилось хвосто</w:t>
      </w:r>
      <w:r w:rsidRPr="00405303">
        <w:rPr>
          <w:bCs/>
          <w:color w:val="002060"/>
          <w:sz w:val="16"/>
          <w:szCs w:val="16"/>
          <w:lang w:bidi="ru-RU"/>
        </w:rPr>
        <w:softHyphen/>
        <w:t>вое оперение оригинальной формы в виде крыла мотылька, снабженное лишь рулями высоты и поворота (23374).</w:t>
      </w:r>
    </w:p>
    <w:p w14:paraId="5A219B93" w14:textId="77777777" w:rsidR="00380E79" w:rsidRPr="00405303" w:rsidRDefault="00380E79" w:rsidP="00C15251">
      <w:pPr>
        <w:jc w:val="both"/>
        <w:rPr>
          <w:bCs/>
          <w:color w:val="002060"/>
          <w:sz w:val="16"/>
          <w:szCs w:val="16"/>
          <w:lang w:bidi="ru-RU"/>
        </w:rPr>
      </w:pPr>
    </w:p>
    <w:p w14:paraId="78863775" w14:textId="77777777" w:rsidR="00E274C3" w:rsidRPr="00405303" w:rsidRDefault="00E274C3" w:rsidP="00C15251">
      <w:pPr>
        <w:jc w:val="both"/>
        <w:rPr>
          <w:bCs/>
          <w:color w:val="002060"/>
          <w:sz w:val="16"/>
          <w:szCs w:val="16"/>
        </w:rPr>
      </w:pPr>
      <w:r w:rsidRPr="00405303">
        <w:rPr>
          <w:bCs/>
          <w:color w:val="002060"/>
          <w:sz w:val="16"/>
          <w:szCs w:val="16"/>
        </w:rPr>
        <w:t>К лету 1915 г. в целом определились общий вид и компоновка воздушного ко</w:t>
      </w:r>
      <w:r w:rsidRPr="00405303">
        <w:rPr>
          <w:bCs/>
          <w:color w:val="002060"/>
          <w:sz w:val="16"/>
          <w:szCs w:val="16"/>
        </w:rPr>
        <w:softHyphen/>
        <w:t>рабля типа «В». После выпуска первых шести остроно</w:t>
      </w:r>
      <w:r w:rsidRPr="00405303">
        <w:rPr>
          <w:bCs/>
          <w:color w:val="002060"/>
          <w:sz w:val="16"/>
          <w:szCs w:val="16"/>
        </w:rPr>
        <w:softHyphen/>
        <w:t>сых «Муромцев-В» примерно с №160 началось произ</w:t>
      </w:r>
      <w:r w:rsidRPr="00405303">
        <w:rPr>
          <w:bCs/>
          <w:color w:val="002060"/>
          <w:sz w:val="16"/>
          <w:szCs w:val="16"/>
        </w:rPr>
        <w:softHyphen/>
        <w:t>водство машин с характерным многогранным носом с большим стеклом посередине. С учетом эксплуатации в эскадре под руководством И. И. Сикорского в конструк</w:t>
      </w:r>
      <w:r w:rsidRPr="00405303">
        <w:rPr>
          <w:bCs/>
          <w:color w:val="002060"/>
          <w:sz w:val="16"/>
          <w:szCs w:val="16"/>
        </w:rPr>
        <w:softHyphen/>
        <w:t>цию строившихся кораблей вносились изменения, поэтому практически каждый построенный «Муромец» чем-то отличался от предыдущего. Это было необходи</w:t>
      </w:r>
      <w:r w:rsidRPr="00405303">
        <w:rPr>
          <w:bCs/>
          <w:color w:val="002060"/>
          <w:sz w:val="16"/>
          <w:szCs w:val="16"/>
        </w:rPr>
        <w:softHyphen/>
        <w:t>мо для улучшения летно-технических характеристик и повышения боевой эффективности, что служило вес</w:t>
      </w:r>
      <w:r w:rsidRPr="00405303">
        <w:rPr>
          <w:bCs/>
          <w:color w:val="002060"/>
          <w:sz w:val="16"/>
          <w:szCs w:val="16"/>
        </w:rPr>
        <w:softHyphen/>
        <w:t>ким аргументом в пользу более широкого использова</w:t>
      </w:r>
      <w:r w:rsidRPr="00405303">
        <w:rPr>
          <w:bCs/>
          <w:color w:val="002060"/>
          <w:sz w:val="16"/>
          <w:szCs w:val="16"/>
        </w:rPr>
        <w:softHyphen/>
        <w:t>ния «Муромцев», однако очень осложняло производст</w:t>
      </w:r>
      <w:r w:rsidRPr="00405303">
        <w:rPr>
          <w:bCs/>
          <w:color w:val="002060"/>
          <w:sz w:val="16"/>
          <w:szCs w:val="16"/>
        </w:rPr>
        <w:softHyphen/>
        <w:t>венный процесс.</w:t>
      </w:r>
    </w:p>
    <w:p w14:paraId="500A76E5" w14:textId="77777777" w:rsidR="00E274C3" w:rsidRPr="00405303" w:rsidRDefault="00E274C3" w:rsidP="00C15251">
      <w:pPr>
        <w:jc w:val="both"/>
        <w:rPr>
          <w:bCs/>
          <w:color w:val="002060"/>
          <w:sz w:val="16"/>
          <w:szCs w:val="16"/>
        </w:rPr>
      </w:pPr>
      <w:r w:rsidRPr="00405303">
        <w:rPr>
          <w:bCs/>
          <w:color w:val="002060"/>
          <w:sz w:val="16"/>
          <w:szCs w:val="16"/>
        </w:rPr>
        <w:t>Строительство «Муромцев» осуществлялось малы</w:t>
      </w:r>
      <w:r w:rsidRPr="00405303">
        <w:rPr>
          <w:bCs/>
          <w:color w:val="002060"/>
          <w:sz w:val="16"/>
          <w:szCs w:val="16"/>
        </w:rPr>
        <w:softHyphen/>
        <w:t>ми сериями, в среднем по десять машин. Заранее за</w:t>
      </w:r>
      <w:r w:rsidRPr="00405303">
        <w:rPr>
          <w:bCs/>
          <w:color w:val="002060"/>
          <w:sz w:val="16"/>
          <w:szCs w:val="16"/>
        </w:rPr>
        <w:softHyphen/>
        <w:t>готовлялись материал и полуфабрикаты, приобрета</w:t>
      </w:r>
      <w:r w:rsidRPr="00405303">
        <w:rPr>
          <w:bCs/>
          <w:color w:val="002060"/>
          <w:sz w:val="16"/>
          <w:szCs w:val="16"/>
        </w:rPr>
        <w:softHyphen/>
        <w:t>лись комплектующие изделия. В мастерских завода изготовлялись части конструкции, а в столярно-сбо</w:t>
      </w:r>
      <w:r w:rsidRPr="00405303">
        <w:rPr>
          <w:bCs/>
          <w:color w:val="002060"/>
          <w:sz w:val="16"/>
          <w:szCs w:val="16"/>
        </w:rPr>
        <w:softHyphen/>
        <w:t>рочной собирались на параллельных стапелях фюзе</w:t>
      </w:r>
      <w:r w:rsidRPr="00405303">
        <w:rPr>
          <w:bCs/>
          <w:color w:val="002060"/>
          <w:sz w:val="16"/>
          <w:szCs w:val="16"/>
        </w:rPr>
        <w:softHyphen/>
        <w:t>ляжи, коробки крыльев и хвостовые оперения. По ме</w:t>
      </w:r>
      <w:r w:rsidRPr="00405303">
        <w:rPr>
          <w:bCs/>
          <w:color w:val="002060"/>
          <w:sz w:val="16"/>
          <w:szCs w:val="16"/>
        </w:rPr>
        <w:softHyphen/>
        <w:t>ре готовности все они либо отправлялись в эскадру, либо собирались во временном деревянном ангаре на Корпусном аэродроме. Часто доработки в уже гото</w:t>
      </w:r>
      <w:r w:rsidRPr="00405303">
        <w:rPr>
          <w:bCs/>
          <w:color w:val="002060"/>
          <w:sz w:val="16"/>
          <w:szCs w:val="16"/>
        </w:rPr>
        <w:softHyphen/>
        <w:t>вых частях конструкции приводили к остановке про</w:t>
      </w:r>
      <w:r w:rsidRPr="00405303">
        <w:rPr>
          <w:bCs/>
          <w:color w:val="002060"/>
          <w:sz w:val="16"/>
          <w:szCs w:val="16"/>
        </w:rPr>
        <w:softHyphen/>
        <w:t>изводства и загромождению производственных поме</w:t>
      </w:r>
      <w:r w:rsidRPr="00405303">
        <w:rPr>
          <w:bCs/>
          <w:color w:val="002060"/>
          <w:sz w:val="16"/>
          <w:szCs w:val="16"/>
        </w:rPr>
        <w:softHyphen/>
        <w:t>щений. Кроме того, бывали случаи, когда на завод из эскадры возвращались готовые корабли, на которых предполагалось провести доработки, непосильные для фронтовой мастерской. Поначалу приходилось мириться. Создание первой в мире тяжелой авиации, естественно, сопровождалось многочисленными «бо</w:t>
      </w:r>
      <w:r w:rsidRPr="00405303">
        <w:rPr>
          <w:bCs/>
          <w:color w:val="002060"/>
          <w:sz w:val="16"/>
          <w:szCs w:val="16"/>
        </w:rPr>
        <w:softHyphen/>
        <w:t>лезнями роста». Особенно эти доработки были важны в 1915 г., когда от характеристик поставляемых в эс</w:t>
      </w:r>
      <w:r w:rsidRPr="00405303">
        <w:rPr>
          <w:bCs/>
          <w:color w:val="002060"/>
          <w:sz w:val="16"/>
          <w:szCs w:val="16"/>
        </w:rPr>
        <w:softHyphen/>
        <w:t>кадру «Муромцев» зависела судьба великого дела.</w:t>
      </w:r>
    </w:p>
    <w:p w14:paraId="3C7FFE8A" w14:textId="77777777" w:rsidR="00E274C3" w:rsidRPr="00405303" w:rsidRDefault="00E274C3" w:rsidP="00C15251">
      <w:pPr>
        <w:jc w:val="both"/>
        <w:rPr>
          <w:bCs/>
          <w:color w:val="002060"/>
          <w:sz w:val="16"/>
          <w:szCs w:val="16"/>
        </w:rPr>
      </w:pPr>
      <w:r w:rsidRPr="00405303">
        <w:rPr>
          <w:bCs/>
          <w:color w:val="002060"/>
          <w:sz w:val="16"/>
          <w:szCs w:val="16"/>
        </w:rPr>
        <w:t>Всего для выполнения заказа на 32 «Муромца» были заложены машины с заводскими номерами 162, 164, 166—195. Поскольку разбитые при сдаче корабли не считались принятыми, на случай возможных потерь к этим машинам прибавилось три (№196—198). Все зало</w:t>
      </w:r>
      <w:r w:rsidRPr="00405303">
        <w:rPr>
          <w:bCs/>
          <w:color w:val="002060"/>
          <w:sz w:val="16"/>
          <w:szCs w:val="16"/>
        </w:rPr>
        <w:softHyphen/>
        <w:t>женные в 1915 г. «Муромцы» предполагалось сделать в целом соответствующими типу «В». Однако вскоре по</w:t>
      </w:r>
      <w:r w:rsidRPr="00405303">
        <w:rPr>
          <w:bCs/>
          <w:color w:val="002060"/>
          <w:sz w:val="16"/>
          <w:szCs w:val="16"/>
        </w:rPr>
        <w:softHyphen/>
        <w:t>сле прибытия на фронт первых самолетов от летчиков стали поступать жалобы, что аппараты с полной на</w:t>
      </w:r>
      <w:r w:rsidRPr="00405303">
        <w:rPr>
          <w:bCs/>
          <w:color w:val="002060"/>
          <w:sz w:val="16"/>
          <w:szCs w:val="16"/>
        </w:rPr>
        <w:softHyphen/>
        <w:t>грузкой не в состоянии набирать высоту 2500—3000 м. Сборка «Муромцев» осенью 1915 г. опять остановилась. Из заказа на 32 самолета, намеченного к выполнению на этот год, удалось поставить в эскадру только четыре машины (№ 162, 164, 167 и 169). Корабль № 170 был разбит при сдаче на Корпусном аэродроме.</w:t>
      </w:r>
    </w:p>
    <w:p w14:paraId="1554DBB0" w14:textId="77777777" w:rsidR="00E274C3" w:rsidRPr="00405303" w:rsidRDefault="00E274C3" w:rsidP="00C15251">
      <w:pPr>
        <w:jc w:val="both"/>
        <w:rPr>
          <w:bCs/>
          <w:color w:val="002060"/>
          <w:sz w:val="16"/>
          <w:szCs w:val="16"/>
        </w:rPr>
      </w:pPr>
      <w:r w:rsidRPr="00405303">
        <w:rPr>
          <w:bCs/>
          <w:color w:val="002060"/>
          <w:sz w:val="16"/>
          <w:szCs w:val="16"/>
        </w:rPr>
        <w:t>Главной причиной невысоких характеристик боль</w:t>
      </w:r>
      <w:r w:rsidRPr="00405303">
        <w:rPr>
          <w:bCs/>
          <w:color w:val="002060"/>
          <w:sz w:val="16"/>
          <w:szCs w:val="16"/>
        </w:rPr>
        <w:softHyphen/>
        <w:t>шинства построенных в 1915 г. «Муромцев» явилось низкое качество поставленных на них английских дви</w:t>
      </w:r>
      <w:r w:rsidRPr="00405303">
        <w:rPr>
          <w:bCs/>
          <w:color w:val="002060"/>
          <w:sz w:val="16"/>
          <w:szCs w:val="16"/>
        </w:rPr>
        <w:softHyphen/>
        <w:t>гателей «Санбим». И вообще производство воздушных гигантов тормозилось «моторным голодом». «Авиа- Балт» был связан по рукам и ногам поставками двига</w:t>
      </w:r>
      <w:r w:rsidRPr="00405303">
        <w:rPr>
          <w:bCs/>
          <w:color w:val="002060"/>
          <w:sz w:val="16"/>
          <w:szCs w:val="16"/>
        </w:rPr>
        <w:softHyphen/>
        <w:t>телей из-за границы. Во время войны это было непро</w:t>
      </w:r>
      <w:r w:rsidRPr="00405303">
        <w:rPr>
          <w:bCs/>
          <w:color w:val="002060"/>
          <w:sz w:val="16"/>
          <w:szCs w:val="16"/>
        </w:rPr>
        <w:softHyphen/>
        <w:t>стым делом. Забегая вперед, можно отметить, что на «Муромцах» различных серий и модификаций стояло пятнадцать типов двигателей, что весьма осложняло эксплуатацию самолетов (24177).</w:t>
      </w:r>
    </w:p>
    <w:p w14:paraId="737CA376" w14:textId="77777777" w:rsidR="00E274C3" w:rsidRPr="00405303" w:rsidRDefault="00E274C3" w:rsidP="00C15251">
      <w:pPr>
        <w:jc w:val="both"/>
        <w:rPr>
          <w:bCs/>
          <w:color w:val="002060"/>
          <w:sz w:val="16"/>
          <w:szCs w:val="16"/>
          <w:lang w:bidi="ru-RU"/>
        </w:rPr>
      </w:pPr>
    </w:p>
    <w:p w14:paraId="44A789FF"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6A65CDD5" w14:textId="77777777" w:rsidR="004B4E35" w:rsidRPr="00405303" w:rsidRDefault="004B4E35" w:rsidP="00C15251">
      <w:pPr>
        <w:jc w:val="both"/>
        <w:rPr>
          <w:bCs/>
          <w:i/>
          <w:color w:val="002060"/>
          <w:sz w:val="16"/>
          <w:szCs w:val="16"/>
        </w:rPr>
      </w:pPr>
    </w:p>
    <w:p w14:paraId="5417C24D" w14:textId="1CAFEACC" w:rsidR="004B4E35" w:rsidRPr="00405303" w:rsidRDefault="009E6F82" w:rsidP="00C15251">
      <w:pPr>
        <w:jc w:val="both"/>
        <w:rPr>
          <w:bCs/>
          <w:color w:val="002060"/>
          <w:sz w:val="16"/>
          <w:szCs w:val="16"/>
        </w:rPr>
      </w:pPr>
      <w:r w:rsidRPr="00405303">
        <w:rPr>
          <w:bCs/>
          <w:color w:val="002060"/>
          <w:sz w:val="16"/>
          <w:szCs w:val="16"/>
        </w:rPr>
        <w:t xml:space="preserve">К лету 1915 г. закончилось сооружение шрапнельного завода Путиловского акционерного общества с производительностью до 240 тыс. штук в месяц. Был построен новый завод при Петроградском патронном заводе с месячной производительностью до 60 млн. патронов для 3-линейной винтовки [РГВИА. Ф. 369. Оп. 1. Д. 54. Л. 92об. См., также: Барсуков Е.З. Артиллерия русской армии. Т. II. Ч. III. Артиллерийское снабжение. М., 1948. С. 307.] (11863). </w:t>
      </w:r>
    </w:p>
    <w:p w14:paraId="2E85DDAA" w14:textId="77777777" w:rsidR="004B4E35" w:rsidRPr="00405303" w:rsidRDefault="004B4E35" w:rsidP="00C15251">
      <w:pPr>
        <w:jc w:val="both"/>
        <w:rPr>
          <w:bCs/>
          <w:color w:val="002060"/>
          <w:sz w:val="16"/>
          <w:szCs w:val="16"/>
        </w:rPr>
      </w:pPr>
    </w:p>
    <w:p w14:paraId="6095867E" w14:textId="41ABB52C" w:rsidR="00FB2913" w:rsidRPr="00405303" w:rsidRDefault="00FB2913" w:rsidP="00C15251">
      <w:pPr>
        <w:pStyle w:val="p1"/>
        <w:spacing w:before="0" w:beforeAutospacing="0" w:after="0" w:afterAutospacing="0"/>
        <w:jc w:val="both"/>
        <w:rPr>
          <w:bCs/>
          <w:color w:val="002060"/>
          <w:sz w:val="16"/>
          <w:szCs w:val="16"/>
        </w:rPr>
      </w:pPr>
      <w:r w:rsidRPr="00405303">
        <w:rPr>
          <w:bCs/>
          <w:color w:val="002060"/>
          <w:sz w:val="16"/>
          <w:szCs w:val="16"/>
        </w:rPr>
        <w:t>К лету 1915 г. разросшееся машиностроительное отделение Тульского завода выпускало по станку в день. К 1 ноября 1915 г. казенные ружейные заводы получили 358 из 402 заказанных для них в России станков; из них 231 был изготовлен на Тульском оружейном заводе. В 1916 г. ТОЗ изготовил 600 станков. Во второй половине октября Совет министров утвердил проект сооружения в Туле нового казенного машиностроительного завода для выпуска по 8 станков в день (2400 в год) при одной 9-часовой рабочей смене и до 14 тысяч станковых пулеметов (строительство уже было начато). Внося в октябре 1916 г. этот проект на утверждение Думы, Военное министерство поясняло, что новое предприятие «не только обеспечит потребность в станках названных (ружейных, патронных и трубочных</w:t>
      </w:r>
      <w:r w:rsidRPr="00405303">
        <w:rPr>
          <w:rStyle w:val="af"/>
          <w:rFonts w:eastAsiaTheme="majorEastAsia"/>
          <w:bCs/>
          <w:color w:val="002060"/>
          <w:sz w:val="16"/>
          <w:szCs w:val="16"/>
        </w:rPr>
        <w:t>)</w:t>
      </w:r>
      <w:r w:rsidR="00DB4D64" w:rsidRPr="00405303">
        <w:rPr>
          <w:rStyle w:val="af"/>
          <w:rFonts w:eastAsiaTheme="majorEastAsia"/>
          <w:bCs/>
          <w:color w:val="002060"/>
          <w:sz w:val="16"/>
          <w:szCs w:val="16"/>
        </w:rPr>
        <w:t xml:space="preserve"> </w:t>
      </w:r>
      <w:r w:rsidRPr="00405303">
        <w:rPr>
          <w:bCs/>
          <w:color w:val="002060"/>
          <w:sz w:val="16"/>
          <w:szCs w:val="16"/>
        </w:rPr>
        <w:t>заводов, но сможет изготовлять станки (близкие по своим типам к вышеупомянутым) и для других технических артиллерийских заведений». Предполагалось, что в механических и инструментальных мастерских самого этого завода будет размещено около 1000 станков (оборудование на 6 млн. руб. должен был поставить «Ремингтон</w:t>
      </w:r>
      <w:proofErr w:type="gramStart"/>
      <w:r w:rsidRPr="00405303">
        <w:rPr>
          <w:bCs/>
          <w:color w:val="002060"/>
          <w:sz w:val="16"/>
          <w:szCs w:val="16"/>
        </w:rPr>
        <w:t>»)</w:t>
      </w:r>
      <w:r w:rsidRPr="00405303">
        <w:rPr>
          <w:bCs/>
          <w:color w:val="002060"/>
          <w:sz w:val="16"/>
          <w:szCs w:val="16"/>
          <w:vertAlign w:val="superscript"/>
        </w:rPr>
        <w:t>{</w:t>
      </w:r>
      <w:proofErr w:type="gramEnd"/>
      <w:r w:rsidRPr="00405303">
        <w:rPr>
          <w:bCs/>
          <w:color w:val="002060"/>
          <w:sz w:val="16"/>
          <w:szCs w:val="16"/>
          <w:vertAlign w:val="superscript"/>
        </w:rPr>
        <w:t>232}</w:t>
      </w:r>
      <w:r w:rsidRPr="00405303">
        <w:rPr>
          <w:bCs/>
          <w:color w:val="002060"/>
          <w:sz w:val="16"/>
          <w:szCs w:val="16"/>
        </w:rPr>
        <w:t>. Проект оценивался в 32 млн. руб. (1,5 млн. — на отчуждение 122 частных усадеб, часть земли уступил город), первые крупные ассигнования произошли в феврале 1917 г.</w:t>
      </w:r>
      <w:r w:rsidR="00DB4D64" w:rsidRPr="00405303">
        <w:rPr>
          <w:bCs/>
          <w:color w:val="002060"/>
          <w:sz w:val="16"/>
          <w:szCs w:val="16"/>
        </w:rPr>
        <w:t xml:space="preserve"> </w:t>
      </w:r>
      <w:r w:rsidRPr="00405303">
        <w:rPr>
          <w:bCs/>
          <w:color w:val="002060"/>
          <w:sz w:val="16"/>
          <w:szCs w:val="16"/>
        </w:rPr>
        <w:t>Сооружение завода продолжалось недолгое время и после Октябрьской революции.</w:t>
      </w:r>
    </w:p>
    <w:p w14:paraId="63557167" w14:textId="77777777" w:rsidR="00FB2913" w:rsidRPr="00405303" w:rsidRDefault="00FB2913" w:rsidP="00C15251">
      <w:pPr>
        <w:pStyle w:val="p1"/>
        <w:spacing w:before="0" w:beforeAutospacing="0" w:after="0" w:afterAutospacing="0"/>
        <w:jc w:val="both"/>
        <w:rPr>
          <w:bCs/>
          <w:color w:val="002060"/>
          <w:sz w:val="16"/>
          <w:szCs w:val="16"/>
        </w:rPr>
      </w:pPr>
      <w:r w:rsidRPr="00405303">
        <w:rPr>
          <w:bCs/>
          <w:color w:val="002060"/>
          <w:sz w:val="16"/>
          <w:szCs w:val="16"/>
        </w:rPr>
        <w:t>Помимо Тульского, станкостроением занимались также Ижевский, петроградские патронный, трубочный заводы и даже пороховые. Кроме того, источником роста оборудования казенных производств служило перераспределение технических средств путем реквизиций на частных предприятиях (18409).</w:t>
      </w:r>
    </w:p>
    <w:p w14:paraId="5FEC7041" w14:textId="77777777" w:rsidR="00FB2913" w:rsidRPr="00405303" w:rsidRDefault="00FB2913" w:rsidP="00C15251">
      <w:pPr>
        <w:pStyle w:val="p1"/>
        <w:spacing w:before="0" w:beforeAutospacing="0" w:after="0" w:afterAutospacing="0"/>
        <w:jc w:val="both"/>
        <w:rPr>
          <w:bCs/>
          <w:color w:val="002060"/>
          <w:sz w:val="16"/>
          <w:szCs w:val="16"/>
        </w:rPr>
      </w:pPr>
    </w:p>
    <w:p w14:paraId="54369042" w14:textId="77777777" w:rsidR="00380E79" w:rsidRPr="00405303" w:rsidRDefault="00380E79" w:rsidP="00C15251">
      <w:pPr>
        <w:jc w:val="both"/>
        <w:rPr>
          <w:bCs/>
          <w:color w:val="002060"/>
          <w:sz w:val="16"/>
          <w:szCs w:val="16"/>
          <w:lang w:bidi="ru-RU"/>
        </w:rPr>
      </w:pPr>
      <w:r w:rsidRPr="00405303">
        <w:rPr>
          <w:bCs/>
          <w:color w:val="002060"/>
          <w:sz w:val="16"/>
          <w:szCs w:val="16"/>
        </w:rPr>
        <w:t>К лету 1915 г. разросшееся машиностроительное отделение Тульского завода выпускало по станку в день (23454).</w:t>
      </w:r>
    </w:p>
    <w:p w14:paraId="4C491EE6" w14:textId="77777777" w:rsidR="00380E79" w:rsidRPr="00405303" w:rsidRDefault="00380E79" w:rsidP="00C15251">
      <w:pPr>
        <w:jc w:val="both"/>
        <w:rPr>
          <w:bCs/>
          <w:color w:val="002060"/>
          <w:sz w:val="16"/>
          <w:szCs w:val="16"/>
          <w:lang w:bidi="ru-RU"/>
        </w:rPr>
      </w:pPr>
    </w:p>
    <w:p w14:paraId="0C9B66C7" w14:textId="77777777" w:rsidR="00FB2913" w:rsidRPr="00405303" w:rsidRDefault="00FB2913" w:rsidP="00C15251">
      <w:pPr>
        <w:shd w:val="clear" w:color="auto" w:fill="FFFFFF"/>
        <w:jc w:val="both"/>
        <w:rPr>
          <w:bCs/>
          <w:i/>
          <w:color w:val="002060"/>
          <w:sz w:val="16"/>
          <w:szCs w:val="16"/>
        </w:rPr>
      </w:pPr>
      <w:r w:rsidRPr="00405303">
        <w:rPr>
          <w:bCs/>
          <w:i/>
          <w:color w:val="002060"/>
          <w:sz w:val="16"/>
          <w:szCs w:val="16"/>
        </w:rPr>
        <w:t>Авиация:</w:t>
      </w:r>
    </w:p>
    <w:p w14:paraId="40C288C1" w14:textId="77777777" w:rsidR="00FB2913" w:rsidRPr="00405303" w:rsidRDefault="00FB2913" w:rsidP="00C15251">
      <w:pPr>
        <w:shd w:val="clear" w:color="auto" w:fill="FFFFFF"/>
        <w:jc w:val="both"/>
        <w:rPr>
          <w:bCs/>
          <w:i/>
          <w:color w:val="002060"/>
          <w:sz w:val="16"/>
          <w:szCs w:val="16"/>
        </w:rPr>
      </w:pPr>
    </w:p>
    <w:p w14:paraId="02053141" w14:textId="77777777" w:rsidR="00FB2913" w:rsidRPr="00405303" w:rsidRDefault="00FB2913" w:rsidP="00C15251">
      <w:pPr>
        <w:jc w:val="both"/>
        <w:rPr>
          <w:bCs/>
          <w:color w:val="002060"/>
          <w:sz w:val="16"/>
          <w:szCs w:val="16"/>
        </w:rPr>
      </w:pPr>
      <w:r w:rsidRPr="00405303">
        <w:rPr>
          <w:bCs/>
          <w:color w:val="002060"/>
          <w:sz w:val="16"/>
          <w:szCs w:val="16"/>
        </w:rPr>
        <w:t>К лету 1915 г. основной вид снабжения – техническое стало иметь устойчивый перекос в сторону поставок в авиаотряды многократно отремонтированной авиатехники, типы которой морально устарели (19566).</w:t>
      </w:r>
    </w:p>
    <w:p w14:paraId="1C3F35A0" w14:textId="77777777" w:rsidR="00FB2913" w:rsidRPr="00405303" w:rsidRDefault="00FB2913" w:rsidP="00C15251">
      <w:pPr>
        <w:jc w:val="both"/>
        <w:rPr>
          <w:bCs/>
          <w:color w:val="002060"/>
          <w:sz w:val="16"/>
          <w:szCs w:val="16"/>
        </w:rPr>
      </w:pPr>
    </w:p>
    <w:p w14:paraId="41D7BE8D" w14:textId="77777777" w:rsidR="0077504D" w:rsidRPr="00405303" w:rsidRDefault="0077504D" w:rsidP="00C15251">
      <w:pPr>
        <w:jc w:val="both"/>
        <w:rPr>
          <w:bCs/>
          <w:color w:val="002060"/>
          <w:sz w:val="16"/>
          <w:szCs w:val="16"/>
        </w:rPr>
      </w:pPr>
      <w:r w:rsidRPr="00405303">
        <w:rPr>
          <w:bCs/>
          <w:color w:val="002060"/>
          <w:sz w:val="16"/>
          <w:szCs w:val="16"/>
        </w:rPr>
        <w:t>К лету 1915 г., со значительным расширением боевых возможностей воздушного флота Германии, для прикрытия императорской резиденции с воздуха в Царском Селе по инициативе великого князя Александра Михайловича (руководителя авиации действующей армии) формируется специальный авиационный отряд (САО) (11162).</w:t>
      </w:r>
    </w:p>
    <w:p w14:paraId="0CB60124" w14:textId="77777777" w:rsidR="0077504D" w:rsidRPr="00405303" w:rsidRDefault="0077504D" w:rsidP="00C15251">
      <w:pPr>
        <w:jc w:val="both"/>
        <w:rPr>
          <w:bCs/>
          <w:color w:val="002060"/>
          <w:sz w:val="16"/>
          <w:szCs w:val="16"/>
        </w:rPr>
      </w:pPr>
    </w:p>
    <w:p w14:paraId="66B5B267" w14:textId="2CDF0333" w:rsidR="00380E79" w:rsidRPr="00405303" w:rsidRDefault="00380E79" w:rsidP="00C15251">
      <w:pPr>
        <w:jc w:val="both"/>
        <w:rPr>
          <w:bCs/>
          <w:i/>
          <w:color w:val="002060"/>
          <w:sz w:val="16"/>
          <w:szCs w:val="16"/>
        </w:rPr>
      </w:pPr>
      <w:r w:rsidRPr="00405303">
        <w:rPr>
          <w:bCs/>
          <w:i/>
          <w:color w:val="002060"/>
          <w:sz w:val="16"/>
          <w:szCs w:val="16"/>
        </w:rPr>
        <w:t>Морская авиация:</w:t>
      </w:r>
    </w:p>
    <w:p w14:paraId="41007D39" w14:textId="77777777" w:rsidR="00380E79" w:rsidRPr="00405303" w:rsidRDefault="00380E79" w:rsidP="00C15251">
      <w:pPr>
        <w:jc w:val="both"/>
        <w:rPr>
          <w:bCs/>
          <w:i/>
          <w:color w:val="002060"/>
          <w:sz w:val="16"/>
          <w:szCs w:val="16"/>
        </w:rPr>
      </w:pPr>
    </w:p>
    <w:p w14:paraId="53146AA3" w14:textId="77777777" w:rsidR="00380E79" w:rsidRPr="00405303" w:rsidRDefault="00380E79" w:rsidP="00C15251">
      <w:pPr>
        <w:jc w:val="both"/>
        <w:rPr>
          <w:bCs/>
          <w:color w:val="002060"/>
          <w:sz w:val="16"/>
          <w:szCs w:val="16"/>
        </w:rPr>
      </w:pPr>
      <w:r w:rsidRPr="00405303">
        <w:rPr>
          <w:bCs/>
          <w:color w:val="002060"/>
          <w:sz w:val="16"/>
          <w:szCs w:val="16"/>
        </w:rPr>
        <w:t>К лету 1915 года общее количество гидроаэропланов немецкой специальной группы морской авиации увеличилось до 15 боевых машин, включая учебные и опытные летательные аппараты, находящиеся в Путциге (Пуцке). К этому времени морская авиация, действовавшая в Балтийском море, базировалась в городах Киль, Росток, Кезлин (Кошалин), Путциг (Германия), Либава, позднее - вблизи оз. Ангерн (Энгурес, Прибалтика). В задачи морской авиации входило наблюдение за русскими портами на Балтийском море, отражение действий русских крейсеров, обстреливавших примыкавший к берегу фланг германской армии, поиск подводных лодок и воздушная бомбардировка портов противника. Деятельность морской авиации достигла максимального напряжения в период захвата германскими войсками г. Рига и о. Эзель (Моонзундский архипелаг) осенью 1917 г. Частично гидроавиация использовалась и на сухопутном театре военных действий. Так, осенью 1915 г. гидроаэропланы привлекались в интересах 37-го авиационного отряда (Гросс-Платоне, южнее г. Митава/Елгава) на правом крыле русского Северного фронта (23405).</w:t>
      </w:r>
    </w:p>
    <w:p w14:paraId="514BC8E7" w14:textId="77777777" w:rsidR="00380E79" w:rsidRPr="00405303" w:rsidRDefault="00380E79" w:rsidP="00C15251">
      <w:pPr>
        <w:jc w:val="both"/>
        <w:rPr>
          <w:bCs/>
          <w:color w:val="002060"/>
          <w:sz w:val="16"/>
          <w:szCs w:val="16"/>
          <w:lang w:bidi="ru-RU"/>
        </w:rPr>
      </w:pPr>
    </w:p>
    <w:p w14:paraId="3FF8F8A5" w14:textId="638A0576"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4D67A14A" w14:textId="77777777" w:rsidR="004B4E35" w:rsidRPr="00405303" w:rsidRDefault="004B4E35" w:rsidP="00C15251">
      <w:pPr>
        <w:jc w:val="both"/>
        <w:rPr>
          <w:bCs/>
          <w:i/>
          <w:color w:val="002060"/>
          <w:sz w:val="16"/>
          <w:szCs w:val="16"/>
        </w:rPr>
      </w:pPr>
    </w:p>
    <w:p w14:paraId="1BA37B70" w14:textId="77777777" w:rsidR="004B4E35" w:rsidRPr="00405303" w:rsidRDefault="009E6F82" w:rsidP="00C15251">
      <w:pPr>
        <w:jc w:val="both"/>
        <w:rPr>
          <w:bCs/>
          <w:color w:val="002060"/>
          <w:sz w:val="16"/>
          <w:szCs w:val="16"/>
        </w:rPr>
      </w:pPr>
      <w:r w:rsidRPr="00405303">
        <w:rPr>
          <w:bCs/>
          <w:color w:val="002060"/>
          <w:sz w:val="16"/>
          <w:szCs w:val="16"/>
        </w:rPr>
        <w:t xml:space="preserve">К лету 1915 года штаб дивизиона разработал детальные маршруты и графики налетов на Британские острова, в которых учитывались абсолютно все факторы, влиявшие на безопасность полетов: господствующие ветры, погодные условия, расположение объектов ПВО противника, запасные посадочные площадки, действия в непредвиденных ситуациях, при внезапной перемене погоды, нападении противника и др. </w:t>
      </w:r>
    </w:p>
    <w:p w14:paraId="69C32C36" w14:textId="77777777" w:rsidR="004B4E35" w:rsidRPr="00405303" w:rsidRDefault="009E6F82" w:rsidP="00C15251">
      <w:pPr>
        <w:jc w:val="both"/>
        <w:rPr>
          <w:bCs/>
          <w:color w:val="002060"/>
          <w:sz w:val="16"/>
          <w:szCs w:val="16"/>
        </w:rPr>
      </w:pPr>
      <w:r w:rsidRPr="00405303">
        <w:rPr>
          <w:bCs/>
          <w:color w:val="002060"/>
          <w:sz w:val="16"/>
          <w:szCs w:val="16"/>
        </w:rPr>
        <w:t xml:space="preserve">Точное следование графику полета означало для успеха рейда очень многое. Вне зависимости от времени года налет планировался таким образом, чтобы дирижабли появлялись над своими целями в самое темное время суток и обязательно в безлунную ночь, т. е. за 8 дней до и после новолуния. Поэтому взлет боевых цеппелинов назначался на середину дня с таким расчетом, чтобы над побережьем Англии корабли прошли перед самым закатом и штурманы успели бы напоследок уточнить свое место по береговым ориентирам. Определившись с местоположением и погодой над островами, экипажи корректировали курс и скорость своих дирижаблей таким образом, чтобы выйти на цель после полуночи. В это время воздушные корабли были наименее заметны с земли и аэростатов заграждения, а бомбардиры могли спокойно выбирать нужные объекты на ярко освещенных улицах британских городов. Отбомбившись, как на полигоне, цеппелины ложились на обратный курс и возвращались на свои базы еще до рассвета. </w:t>
      </w:r>
    </w:p>
    <w:p w14:paraId="7F83FA1E" w14:textId="77777777" w:rsidR="004B4E35" w:rsidRPr="00405303" w:rsidRDefault="009E6F82" w:rsidP="00C15251">
      <w:pPr>
        <w:jc w:val="both"/>
        <w:rPr>
          <w:bCs/>
          <w:color w:val="002060"/>
          <w:sz w:val="16"/>
          <w:szCs w:val="16"/>
        </w:rPr>
      </w:pPr>
      <w:r w:rsidRPr="00405303">
        <w:rPr>
          <w:bCs/>
          <w:color w:val="002060"/>
          <w:sz w:val="16"/>
          <w:szCs w:val="16"/>
        </w:rPr>
        <w:t xml:space="preserve">Первые боевые вылеты немецкие экипажи проводили просто в идеальных условиях. На цель </w:t>
      </w:r>
      <w:proofErr w:type="gramStart"/>
      <w:r w:rsidRPr="00405303">
        <w:rPr>
          <w:bCs/>
          <w:color w:val="002060"/>
          <w:sz w:val="16"/>
          <w:szCs w:val="16"/>
        </w:rPr>
        <w:t>выходили</w:t>
      </w:r>
      <w:proofErr w:type="gramEnd"/>
      <w:r w:rsidRPr="00405303">
        <w:rPr>
          <w:bCs/>
          <w:color w:val="002060"/>
          <w:sz w:val="16"/>
          <w:szCs w:val="16"/>
        </w:rPr>
        <w:t xml:space="preserve"> следуя вдоль освещенных дорог и русел рек, в которых отражались городские огни. Понятно, что англичане не собирались терпеть подобное безобразие, и вскоре ввели в действие систему затемнения. По командам с постов воздушного наблюдения и оповещения, обнаруживших цеппелины, целые города и графства погружались во мрак. В ответ немцы начали применять осветительные авиабомбы, правда, без особого успеха. </w:t>
      </w:r>
    </w:p>
    <w:p w14:paraId="051F3D53" w14:textId="77777777" w:rsidR="004B4E35" w:rsidRPr="00405303" w:rsidRDefault="009E6F82" w:rsidP="00C15251">
      <w:pPr>
        <w:jc w:val="both"/>
        <w:rPr>
          <w:bCs/>
          <w:color w:val="002060"/>
          <w:sz w:val="16"/>
          <w:szCs w:val="16"/>
        </w:rPr>
      </w:pPr>
      <w:r w:rsidRPr="00405303">
        <w:rPr>
          <w:bCs/>
          <w:color w:val="002060"/>
          <w:sz w:val="16"/>
          <w:szCs w:val="16"/>
        </w:rPr>
        <w:t xml:space="preserve">Для того чтобы бомбардир имел возможность обнаружить и правильно идентифицировать объект атаки во время 30-секундной вспышки бомбы, штурман должен был вывести дирижабль [119] на расстояние около полутора километров от заданной цели. Учитывая весьма примитивные навигационные приборы и отсутствие наземных ориентиров, скрытых затемнением, добиться подобной точности следования по маршруту было практически невозможно. Когда метеорологи предсказывали сплошную облачность над Британскими островами, дивизион предпринимал дневные налеты. Результаты оказались еще более разочаровывающими. Возвращаясь из полетов, командиры цеппелинов не могли не только назвать цели, на которые сбросили бомбы, но даже указать на карте свой маршрут. Это и неудивительно — «слепые» полеты стали возможны только в конце 30-х годов, после изобретения надежных и точных штурманских приборов и радионавигации. Правда, в цепи неудач встречались и счастливые исключения. </w:t>
      </w:r>
    </w:p>
    <w:p w14:paraId="1A804656" w14:textId="77777777" w:rsidR="004B4E35" w:rsidRPr="00405303" w:rsidRDefault="009E6F82" w:rsidP="00C15251">
      <w:pPr>
        <w:jc w:val="both"/>
        <w:rPr>
          <w:bCs/>
          <w:color w:val="002060"/>
          <w:sz w:val="16"/>
          <w:szCs w:val="16"/>
        </w:rPr>
      </w:pPr>
      <w:r w:rsidRPr="00405303">
        <w:rPr>
          <w:bCs/>
          <w:color w:val="002060"/>
          <w:sz w:val="16"/>
          <w:szCs w:val="16"/>
        </w:rPr>
        <w:t xml:space="preserve">Однажды дирижабль L-6 под управлением совсем еще молодого и неопытного лейтенанта фон Буттлара вылетел на бомбардировку военных заводов на территории Англии. Вот как описывал этот рейд он сам. </w:t>
      </w:r>
    </w:p>
    <w:p w14:paraId="46171906" w14:textId="77777777" w:rsidR="004B4E35" w:rsidRPr="00405303" w:rsidRDefault="009E6F82" w:rsidP="00C15251">
      <w:pPr>
        <w:jc w:val="both"/>
        <w:rPr>
          <w:bCs/>
          <w:color w:val="002060"/>
          <w:sz w:val="16"/>
          <w:szCs w:val="16"/>
        </w:rPr>
      </w:pPr>
      <w:r w:rsidRPr="00405303">
        <w:rPr>
          <w:bCs/>
          <w:color w:val="002060"/>
          <w:sz w:val="16"/>
          <w:szCs w:val="16"/>
        </w:rPr>
        <w:t xml:space="preserve">«Вечером, накануне полета я внимательно изучал синоптическую карту и нашел, что с погодой нам должно повезти. И что было особенно приятно — над Англией формировался обширный антициклон, который в сочетании с безлунной ночью сулил прекрасную видимость. Осталось дождаться утра и получить подтверждение от синоптиков. Мой вахтенный офицер в отношении погоды был настроен менее оптимистически. Ему очень не нравился небольшой циклончик, который угрожающе [120] навис над Северным морем. Разгоревшийся спор был остановлен ужином. </w:t>
      </w:r>
    </w:p>
    <w:p w14:paraId="7F27D577" w14:textId="77777777" w:rsidR="004B4E35" w:rsidRPr="00405303" w:rsidRDefault="009E6F82" w:rsidP="00C15251">
      <w:pPr>
        <w:jc w:val="both"/>
        <w:rPr>
          <w:bCs/>
          <w:color w:val="002060"/>
          <w:sz w:val="16"/>
          <w:szCs w:val="16"/>
        </w:rPr>
      </w:pPr>
      <w:r w:rsidRPr="00405303">
        <w:rPr>
          <w:bCs/>
          <w:color w:val="002060"/>
          <w:sz w:val="16"/>
          <w:szCs w:val="16"/>
        </w:rPr>
        <w:t xml:space="preserve">Утро не внесло в прогноз ничего нового, и мы отправились на осмотр корабля перед полетом. Газовые баллоны были хорошо наполнены, бензина взяли минимум в надежде на обратный попутный ветер, который железно пообещали нам синоптики. Хотя мы экономили с весом как могли, на борт были загружены только три фугасных 50-килограммовых бомбы и двадцать зажигательных, каждая весом примерно по 3,2 кг. </w:t>
      </w:r>
    </w:p>
    <w:p w14:paraId="363531B7" w14:textId="77777777" w:rsidR="004B4E35" w:rsidRPr="00405303" w:rsidRDefault="009E6F82" w:rsidP="00C15251">
      <w:pPr>
        <w:jc w:val="both"/>
        <w:rPr>
          <w:bCs/>
          <w:color w:val="002060"/>
          <w:sz w:val="16"/>
          <w:szCs w:val="16"/>
        </w:rPr>
      </w:pPr>
      <w:r w:rsidRPr="00405303">
        <w:rPr>
          <w:bCs/>
          <w:color w:val="002060"/>
          <w:sz w:val="16"/>
          <w:szCs w:val="16"/>
        </w:rPr>
        <w:t xml:space="preserve">Около десяти часов утра мы стартовали вместе с несколькими кораблями, уже через час прошли границу побережья и легли курсом на запад, оставляя слева от себя берег Голландии, который в течение длительного времени представлял из себя хороший ориентир. Измерения силы ветра и его направления, которые мы получили перед вылетом, и те данные, которые мы имели в результате собственных расчетов, не давали ясной картины того, что нас ожидает в ближайшие часы впереди на западе. Здесь следует сказать, что сеть метеостанций по пути следования воздушных кораблей еще не была развернута, поэтому приходилось полагаться только на интуицию наших синоптиков. Но настроение у нас было бодрое и, несмотря на то что наш путь вдоль побережья Голландии с точки зрения маскировки был, мягко говоря, не совсем выгодным и голландцы наверняка уже сообщили о нашем приближении противнику, мы следовали к берегам Англии с полной уверенностью в успехе нашего предприятия. Тем более, что пройти незамеченным через Северное море в дневное время суток было практически невозможно, так как англичане, наученные горьким опытом, выстроили заграждения из подводных лодок и разведывательных кораблей, которые справно информировали метрополию о приближении наших цеппелинов. </w:t>
      </w:r>
    </w:p>
    <w:p w14:paraId="31C0FA25" w14:textId="77777777" w:rsidR="004B4E35" w:rsidRPr="00405303" w:rsidRDefault="009E6F82" w:rsidP="00C15251">
      <w:pPr>
        <w:jc w:val="both"/>
        <w:rPr>
          <w:bCs/>
          <w:color w:val="002060"/>
          <w:sz w:val="16"/>
          <w:szCs w:val="16"/>
        </w:rPr>
      </w:pPr>
      <w:r w:rsidRPr="00405303">
        <w:rPr>
          <w:bCs/>
          <w:color w:val="002060"/>
          <w:sz w:val="16"/>
          <w:szCs w:val="16"/>
        </w:rPr>
        <w:t xml:space="preserve">Главной нашей заботой в полете были двигатели, только от них зависело — доберемся мы до Англии или придется возвращаться домой, не выполнив задания. В сумерках в районе Дузел мы оторвались от берега и на высоте 800 метров углубились в сторону моря, ближе к Англии. Мои расчеты показывали, что наш корабль должен достичь английского побережья между 23.00 и 23.15. Команда затемнила корабль, были выключены все огни в гондоле, и с этого момента радиосвязь с базой была прервана, чтобы противник не смог нас запеленговать и привести в действие свою систему ПВО. </w:t>
      </w:r>
    </w:p>
    <w:p w14:paraId="53492DEA" w14:textId="77777777" w:rsidR="004B4E35" w:rsidRPr="00405303" w:rsidRDefault="009E6F82" w:rsidP="00C15251">
      <w:pPr>
        <w:jc w:val="both"/>
        <w:rPr>
          <w:bCs/>
          <w:color w:val="002060"/>
          <w:sz w:val="16"/>
          <w:szCs w:val="16"/>
        </w:rPr>
      </w:pPr>
      <w:r w:rsidRPr="00405303">
        <w:rPr>
          <w:bCs/>
          <w:color w:val="002060"/>
          <w:sz w:val="16"/>
          <w:szCs w:val="16"/>
        </w:rPr>
        <w:t xml:space="preserve">По времени мы уже должны были подходить к побережью. Вахтенная команда с напряжением всматривалась вперед, пытаясь засечь берег. В гондоле прекратились все разговоры, и только двигатель продолжал успокаивающе урчать за переборкой. Часы медленно, </w:t>
      </w:r>
      <w:proofErr w:type="gramStart"/>
      <w:r w:rsidRPr="00405303">
        <w:rPr>
          <w:bCs/>
          <w:color w:val="002060"/>
          <w:sz w:val="16"/>
          <w:szCs w:val="16"/>
        </w:rPr>
        <w:t>но верно</w:t>
      </w:r>
      <w:proofErr w:type="gramEnd"/>
      <w:r w:rsidRPr="00405303">
        <w:rPr>
          <w:bCs/>
          <w:color w:val="002060"/>
          <w:sz w:val="16"/>
          <w:szCs w:val="16"/>
        </w:rPr>
        <w:t xml:space="preserve"> миновали расчетное время, однако никаких признаков суши не было. Внизу проплывали редкие огоньки пароходов, подтверждающие, что мы по-прежнему находимся над морем, а впереди — непроглядная темень. Однако наличие пароходов указывало и на то, что берег рядом. [121] Смотрю на часы и пугаюсь — полночь! Англии не видно. В половине первого никаких признаков берега! С момента последнего уверенного счисления своего местонахождения прошло больше четырех часов. Смотрю на датчик остатков горючего — он показывает страшную отметку, говорящую о том, что топлива осталось на семь часов... И мы все еще не над Англией?! </w:t>
      </w:r>
    </w:p>
    <w:p w14:paraId="397346FF"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И тут мне бросилось в глаза, что огонек очередного встретившегося на пути парохода уже длительное время стоит на одном месте, не приближаясь. Я взял его в перекрестье визира и обнаружил, что пароход очень медленно, но все-таки уходит от нас. Это была очень нехорошая новость, значит, нас сносит ветром. Прогноз синоптиков начал оправдываться, и действительно, на обратном пути ветер будет дуть нам </w:t>
      </w:r>
      <w:proofErr w:type="gramStart"/>
      <w:r w:rsidRPr="00405303">
        <w:rPr>
          <w:bCs/>
          <w:color w:val="002060"/>
          <w:sz w:val="16"/>
          <w:szCs w:val="16"/>
        </w:rPr>
        <w:t>в корму</w:t>
      </w:r>
      <w:proofErr w:type="gramEnd"/>
      <w:r w:rsidRPr="00405303">
        <w:rPr>
          <w:bCs/>
          <w:color w:val="002060"/>
          <w:sz w:val="16"/>
          <w:szCs w:val="16"/>
        </w:rPr>
        <w:t xml:space="preserve"> и мы сможем быстро добраться до своей территории. Правда, они «несколько» не угадали силу ветра, да и с его направлением не все в порядке — он был, скорее, северо-западный, чем западный! Расчеты, которые я быстро прикинул, намекали на то, что вернуться в район своей базы в Гаги на северо-востоке Фрисландии будет нелегко. Хорошо, если сумеем дотянуть до Нордхольца близ Гамбурга. </w:t>
      </w:r>
    </w:p>
    <w:p w14:paraId="16776813" w14:textId="77777777" w:rsidR="004B4E35" w:rsidRPr="00405303" w:rsidRDefault="009E6F82" w:rsidP="00C15251">
      <w:pPr>
        <w:jc w:val="both"/>
        <w:rPr>
          <w:bCs/>
          <w:color w:val="002060"/>
          <w:sz w:val="16"/>
          <w:szCs w:val="16"/>
        </w:rPr>
      </w:pPr>
      <w:r w:rsidRPr="00405303">
        <w:rPr>
          <w:bCs/>
          <w:color w:val="002060"/>
          <w:sz w:val="16"/>
          <w:szCs w:val="16"/>
        </w:rPr>
        <w:t xml:space="preserve">Принимаю решение следовать западным курсом еще до часа ночи. Несмотря на робкие протесты механика, увеличиваю обороты двигателей. Самым интересным в этой истории являлось то, что вся эта «увеселительная прогулка» была предпринята с целью сбросить на Англию какие-то три смешные бомбы. Посмотрел бы я на вас хотя бы через час полета зимой в продуваемой со всех щелей гондоле! От сквозняков можно было скрыться только в тесной штурманской рубке, однако дьявольский холод доставал повсюду. </w:t>
      </w:r>
    </w:p>
    <w:p w14:paraId="7DE066A8" w14:textId="77777777" w:rsidR="004B4E35" w:rsidRPr="00405303" w:rsidRDefault="009E6F82" w:rsidP="00C15251">
      <w:pPr>
        <w:jc w:val="both"/>
        <w:rPr>
          <w:bCs/>
          <w:color w:val="002060"/>
          <w:sz w:val="16"/>
          <w:szCs w:val="16"/>
        </w:rPr>
      </w:pPr>
      <w:r w:rsidRPr="00405303">
        <w:rPr>
          <w:bCs/>
          <w:color w:val="002060"/>
          <w:sz w:val="16"/>
          <w:szCs w:val="16"/>
        </w:rPr>
        <w:t xml:space="preserve">Час ночи и никакого берега! Мучительные думы поселились в моей голове. Повернуть назад или продолжать борьбу с ветром? Решение было тяжелым — еще пятнадцать минут! Внезапно тонкое лезвие света появилось на горизонте. Англия! Поездка все же была не напрасной... Жребий брошен! </w:t>
      </w:r>
    </w:p>
    <w:p w14:paraId="24CF3F5B" w14:textId="77777777" w:rsidR="004B4E35" w:rsidRPr="00405303" w:rsidRDefault="009E6F82" w:rsidP="00C15251">
      <w:pPr>
        <w:jc w:val="both"/>
        <w:rPr>
          <w:bCs/>
          <w:color w:val="002060"/>
          <w:sz w:val="16"/>
          <w:szCs w:val="16"/>
        </w:rPr>
      </w:pPr>
      <w:r w:rsidRPr="00405303">
        <w:rPr>
          <w:bCs/>
          <w:color w:val="002060"/>
          <w:sz w:val="16"/>
          <w:szCs w:val="16"/>
        </w:rPr>
        <w:t xml:space="preserve">Множество слабых огоньков ночного города, подернутых дымкой, которая мешает рассмотреть детали, уже совсем близко. Смотрю на карту и мучительно пытаюсь определить, где мы находимся и что за город под нами. Однако беспечность местных жителей, не соблюдавших светомаскировку, мало нам помогает. Мой помощник Шиллер уже занял место около рычагов бомбосбрасывателей и торопит меня, тыча пальцем в указатель уровня топлива, побыстрее освободиться от смертоносного груза. Но меня грызет одна мысль — где мы находимся? Решаю дать себе еще немного времени на размышление и направляю корабль южнее, чтобы зайти на город с юго-запада. Иду на высоте всего 1200 метров. Все мои попытки забраться повыше ни к чему не привели. А жаль, в случае остановки двигателя или при получении повреждения во время обстрела высота бы нам пригодилась. </w:t>
      </w:r>
    </w:p>
    <w:p w14:paraId="3DBE5782" w14:textId="77777777" w:rsidR="004B4E35" w:rsidRPr="00405303" w:rsidRDefault="009E6F82" w:rsidP="00C15251">
      <w:pPr>
        <w:jc w:val="both"/>
        <w:rPr>
          <w:bCs/>
          <w:color w:val="002060"/>
          <w:sz w:val="16"/>
          <w:szCs w:val="16"/>
        </w:rPr>
      </w:pPr>
      <w:r w:rsidRPr="00405303">
        <w:rPr>
          <w:bCs/>
          <w:color w:val="002060"/>
          <w:sz w:val="16"/>
          <w:szCs w:val="16"/>
        </w:rPr>
        <w:t xml:space="preserve">Первый сигнал о том, что нас обнаружили, подал в самый разгар [122] дискуссии о местоположении дирижабля одинокий прожектор, который стал лихорадочно рыскать по небу, пытаясь нас отыскать. Вскоре их стало много. Их лучи уже несколько раз проскользнули вблизи корабля, но небольшая облачность пока хранит нас. Внезапно мощный поток света ворвался в гондолу, мгновенно ослепил нас и исчез. Все бросились от окон на пол. Замечаю на земле вспышку красного цвета — это открыла огонь зенитная батарея. Я даю Шиллеру знак рукой. Корабль медленно разворачивается на город. Главный механик вместе с вахтенным офицером мчатся в бомбоотсек, чтобы по моей команде выдернуть предохранительные шплинты и тем самым освободить от зажимов зажигательные бомбы. </w:t>
      </w:r>
    </w:p>
    <w:p w14:paraId="4A2FDAB6" w14:textId="77777777" w:rsidR="004B4E35" w:rsidRPr="00405303" w:rsidRDefault="009E6F82" w:rsidP="00C15251">
      <w:pPr>
        <w:jc w:val="both"/>
        <w:rPr>
          <w:bCs/>
          <w:color w:val="002060"/>
          <w:sz w:val="16"/>
          <w:szCs w:val="16"/>
        </w:rPr>
      </w:pPr>
      <w:r w:rsidRPr="00405303">
        <w:rPr>
          <w:bCs/>
          <w:color w:val="002060"/>
          <w:sz w:val="16"/>
          <w:szCs w:val="16"/>
        </w:rPr>
        <w:t xml:space="preserve">Шрапнель начинает рваться в опасной близости от корабля. Пора! Мы освобождаемся от бомб, и корабль подпрыгивает до 1500 метров. Я высовываюсь наружу и до боли в глазах всматриваюсь вниз. Всполохи взрывов озарили пространство. Бомбы легли на город огромной цифрой «6», как бы отсалютовав номером нашего корабля. </w:t>
      </w:r>
    </w:p>
    <w:p w14:paraId="28E652B5" w14:textId="77777777" w:rsidR="004B4E35" w:rsidRPr="00405303" w:rsidRDefault="009E6F82" w:rsidP="00C15251">
      <w:pPr>
        <w:jc w:val="both"/>
        <w:rPr>
          <w:bCs/>
          <w:color w:val="002060"/>
          <w:sz w:val="16"/>
          <w:szCs w:val="16"/>
        </w:rPr>
      </w:pPr>
      <w:r w:rsidRPr="00405303">
        <w:rPr>
          <w:bCs/>
          <w:color w:val="002060"/>
          <w:sz w:val="16"/>
          <w:szCs w:val="16"/>
        </w:rPr>
        <w:t xml:space="preserve">Теперь быстро назад! На 1500 метрах мы легко ускользнули от огня зенитных батарей и вскоре были над Северным морем, следуя курсом на северо-восток. После того как улеглось первое бурное обсуждение результатов этой бомбардировки и спала нервная нагрузка, возник естественные вопрос: как называется место, которое мы бомбили? Наше последнее безупречно отмеченное местоположение, как я уже упоминал, было на побережье Голландии. Правда, тогда мы проделали эту операцию в наступающих сумерках и не учитывали усиливающегося ветра, который мог отнести нас на 10-20 миль южнее или севернее проложенного курса. После тщательного анализа пройденного пути мы были уверены только в одном — бомбили все-таки Англию! </w:t>
      </w:r>
    </w:p>
    <w:p w14:paraId="26FFB462" w14:textId="77777777" w:rsidR="004B4E35" w:rsidRPr="00405303" w:rsidRDefault="009E6F82" w:rsidP="00C15251">
      <w:pPr>
        <w:jc w:val="both"/>
        <w:rPr>
          <w:bCs/>
          <w:color w:val="002060"/>
          <w:sz w:val="16"/>
          <w:szCs w:val="16"/>
        </w:rPr>
      </w:pPr>
      <w:r w:rsidRPr="00405303">
        <w:rPr>
          <w:bCs/>
          <w:color w:val="002060"/>
          <w:sz w:val="16"/>
          <w:szCs w:val="16"/>
        </w:rPr>
        <w:t xml:space="preserve">Около двух часов ночи я проверил бензин и результат был неутешительный — его оставалось на четыре часа полета. Было совершенно исключено, что мы сможем достичь к шести часам утра Фландрии, и не исключено, что нам не видать и Нордхольца. У меня, конечно, была, тайная надежда на то, что наш механик припрятывает какое-то количество бензина. Но на все мои попытки выведать это, механик истово клялся, что он также чист передо мной, как тот пустой бензобак. Я ему пообещал, что оторву голову, если мы не дойдем до Гамбурга, и бутылку хорошего шнапса, о которой он знал, если сумеем добраться до него. Демонстрируя свое возмущение, но с едва заметной долей вдохновения, механик скрылся в двигательном отсеке. </w:t>
      </w:r>
    </w:p>
    <w:p w14:paraId="3AB7EA25" w14:textId="77777777" w:rsidR="004B4E35" w:rsidRPr="00405303" w:rsidRDefault="009E6F82" w:rsidP="00C15251">
      <w:pPr>
        <w:jc w:val="both"/>
        <w:rPr>
          <w:bCs/>
          <w:color w:val="002060"/>
          <w:sz w:val="16"/>
          <w:szCs w:val="16"/>
        </w:rPr>
      </w:pPr>
      <w:r w:rsidRPr="00405303">
        <w:rPr>
          <w:bCs/>
          <w:color w:val="002060"/>
          <w:sz w:val="16"/>
          <w:szCs w:val="16"/>
        </w:rPr>
        <w:t xml:space="preserve">Около 10 часов утра на горизонте показались портовые краны Гамбурга. И тут передний двигатель сбросил обороты, начал чихать и примерно через пять минут остановился. Тут же пришло сообщение из задней мотогондолы, что баки сухие. Нет бензина? Мы должны утонуть на виду у всего Гамбурга? Это смешно, в часе пути от базы! Глупо! Глупо! [123] </w:t>
      </w:r>
    </w:p>
    <w:p w14:paraId="3C9E5F6A" w14:textId="77777777" w:rsidR="004B4E35" w:rsidRPr="00405303" w:rsidRDefault="009E6F82" w:rsidP="00C15251">
      <w:pPr>
        <w:jc w:val="both"/>
        <w:rPr>
          <w:bCs/>
          <w:color w:val="002060"/>
          <w:sz w:val="16"/>
          <w:szCs w:val="16"/>
        </w:rPr>
      </w:pPr>
      <w:r w:rsidRPr="00405303">
        <w:rPr>
          <w:bCs/>
          <w:color w:val="002060"/>
          <w:sz w:val="16"/>
          <w:szCs w:val="16"/>
        </w:rPr>
        <w:t xml:space="preserve">Даю команду направить людей к каждому бензопроводу, каждому бензобаку, слить каждую каплю бензина. Таким образом было собрано какое-то количество драгоценного горючего. Стало ясно, что до базы дойти на остатках бензина будет практически невозможно, но сохранялся шанс использовать попутный ветер. И он представился. Когда наземная команда ухватилась за сброшенные концы, мы грянули дружное «Ура». </w:t>
      </w:r>
    </w:p>
    <w:p w14:paraId="22BF3469" w14:textId="77777777" w:rsidR="004B4E35" w:rsidRPr="00405303" w:rsidRDefault="009E6F82" w:rsidP="00C15251">
      <w:pPr>
        <w:jc w:val="both"/>
        <w:rPr>
          <w:bCs/>
          <w:color w:val="002060"/>
          <w:sz w:val="16"/>
          <w:szCs w:val="16"/>
        </w:rPr>
      </w:pPr>
      <w:r w:rsidRPr="00405303">
        <w:rPr>
          <w:bCs/>
          <w:color w:val="002060"/>
          <w:sz w:val="16"/>
          <w:szCs w:val="16"/>
        </w:rPr>
        <w:t xml:space="preserve">На земле меня встречал мой старый товарищ Басс, которому пришлось вернуться на своем корабле из этого же рейда, так и не достигнув Англии, и который был очень удивлен, узнав, что мы достигли цели. Его, к моему крайнему раздражению, почему-то очень интересовал вопрос, что мы бомбили? Эта проблема оставалась нерешенной. Пришлось ему доказывать, что это не главное, а самым важным является тот факт, что мы доказали возможность выполнения задания при столь неблагоприятных погодных условиях. Ему крыть было нечем. </w:t>
      </w:r>
    </w:p>
    <w:p w14:paraId="1C4A5DE3" w14:textId="77777777" w:rsidR="004B4E35" w:rsidRPr="00405303" w:rsidRDefault="009E6F82" w:rsidP="00C15251">
      <w:pPr>
        <w:jc w:val="both"/>
        <w:rPr>
          <w:bCs/>
          <w:color w:val="002060"/>
          <w:sz w:val="16"/>
          <w:szCs w:val="16"/>
        </w:rPr>
      </w:pPr>
      <w:r w:rsidRPr="00405303">
        <w:rPr>
          <w:bCs/>
          <w:color w:val="002060"/>
          <w:sz w:val="16"/>
          <w:szCs w:val="16"/>
        </w:rPr>
        <w:t xml:space="preserve">В это время ко мне подошел дежурный и сообщил, что звонил Штрассер и очень интересовался, где мы болтались всю ночь, и что он ждет нас вечером на нашей базе. Я мог бы позвонить ему сразу и объяснить причину прилета в Нордхольц, но что-то меня сдерживало от этого опрометчивого шага. В час дня Штрассер позвонил еще раз и был очень обрадован, узнав от меня, что полет завершился столь удачно и корабль не получил повреждений. Я ему сказал, что задержусь на один день, чтобы подновить водород, так как на нашей базе это было сделать невозможно. В конце разговора босс задал тот самый вопрос, от которого я поежился. Боже мой, до чего иногда бывают любопытными эти люди! Я должен был назвать ему конкретное место! Я стал что-то бормотать в телефон, невнятно называя названия двух городов, которые были неподалеку от предполагаемого места бомбардировки. В конце концов Штрассер сказал, что ничего не понял, и попросил телеграфировать на базу. С облегчением я положил трубку, сознавая, что выиграл некоторое время для передышки. </w:t>
      </w:r>
    </w:p>
    <w:p w14:paraId="6C009AB7" w14:textId="77777777" w:rsidR="004B4E35" w:rsidRPr="00405303" w:rsidRDefault="009E6F82" w:rsidP="00C15251">
      <w:pPr>
        <w:jc w:val="both"/>
        <w:rPr>
          <w:bCs/>
          <w:color w:val="002060"/>
          <w:sz w:val="16"/>
          <w:szCs w:val="16"/>
        </w:rPr>
      </w:pPr>
      <w:r w:rsidRPr="00405303">
        <w:rPr>
          <w:bCs/>
          <w:color w:val="002060"/>
          <w:sz w:val="16"/>
          <w:szCs w:val="16"/>
        </w:rPr>
        <w:t xml:space="preserve">Вызвал к себе вахтенного офицера и штурмана и приказал им составить подробный отчет о полете в семи экземплярах, как того требовала инструкция, а сам пошел спать. Вдогонку мне неслось — так что же мы бомбили? Черт бы их всех побрал! </w:t>
      </w:r>
    </w:p>
    <w:p w14:paraId="6E3C42BB" w14:textId="77777777" w:rsidR="004B4E35" w:rsidRPr="00405303" w:rsidRDefault="009E6F82" w:rsidP="00C15251">
      <w:pPr>
        <w:jc w:val="both"/>
        <w:rPr>
          <w:bCs/>
          <w:color w:val="002060"/>
          <w:sz w:val="16"/>
          <w:szCs w:val="16"/>
        </w:rPr>
      </w:pPr>
      <w:r w:rsidRPr="00405303">
        <w:rPr>
          <w:bCs/>
          <w:color w:val="002060"/>
          <w:sz w:val="16"/>
          <w:szCs w:val="16"/>
        </w:rPr>
        <w:t xml:space="preserve">Утром я решил съездить вместе с Шиллером в город и позавтракать в ближайшем кафе. Когда мы уселись за столики и хозяин кафе подал нам завтрак, я увидел за соседним столиком мужчину, который держал в руках свежий номер газеты «Цайтунг». На первой полосе большими буквами был набран заголовок: «Нападение дирижаблей на Англию». Я не поверил своим глазам! Выхватив газету у оторопевшего мужчины, мы впились в текст. Это было официальное сообщение штаба флота о вчерашней бомбардировке одного важного стратегического центра Англии. Долее следовало, что немецкий дирижабль в 1.16 напал на город Молдон в графстве Эссекс. [124] </w:t>
      </w:r>
    </w:p>
    <w:p w14:paraId="18D901A3" w14:textId="77777777" w:rsidR="004B4E35" w:rsidRPr="00405303" w:rsidRDefault="009E6F82" w:rsidP="00C15251">
      <w:pPr>
        <w:jc w:val="both"/>
        <w:rPr>
          <w:bCs/>
          <w:color w:val="002060"/>
          <w:sz w:val="16"/>
          <w:szCs w:val="16"/>
        </w:rPr>
      </w:pPr>
      <w:r w:rsidRPr="00405303">
        <w:rPr>
          <w:bCs/>
          <w:color w:val="002060"/>
          <w:sz w:val="16"/>
          <w:szCs w:val="16"/>
        </w:rPr>
        <w:t xml:space="preserve">Я не поверил своим глазам — Молдон, крупнейший центр английской металлургической промышленности считался одной из самых важных целей ночных рейдов Дивизиона воздушных кораблей. Сразу же атакую телефон, связываюсь с авторами отчета и сообщаю им место нашего налета. </w:t>
      </w:r>
    </w:p>
    <w:p w14:paraId="58208DE0" w14:textId="77777777" w:rsidR="004B4E35" w:rsidRPr="00405303" w:rsidRDefault="009E6F82" w:rsidP="00C15251">
      <w:pPr>
        <w:jc w:val="both"/>
        <w:rPr>
          <w:bCs/>
          <w:color w:val="002060"/>
          <w:sz w:val="16"/>
          <w:szCs w:val="16"/>
        </w:rPr>
      </w:pPr>
      <w:r w:rsidRPr="00405303">
        <w:rPr>
          <w:bCs/>
          <w:color w:val="002060"/>
          <w:sz w:val="16"/>
          <w:szCs w:val="16"/>
        </w:rPr>
        <w:t xml:space="preserve">Через две недели я был ознакомлен с приказом командования флота, где, в частности, было указано на героические действия команды L-6 и особо подчеркивалась «точная навигация на всем пути следования». </w:t>
      </w:r>
    </w:p>
    <w:p w14:paraId="73EFA509" w14:textId="77777777" w:rsidR="004B4E35" w:rsidRPr="00405303" w:rsidRDefault="009E6F82" w:rsidP="00C15251">
      <w:pPr>
        <w:jc w:val="both"/>
        <w:rPr>
          <w:bCs/>
          <w:color w:val="002060"/>
          <w:sz w:val="16"/>
          <w:szCs w:val="16"/>
        </w:rPr>
      </w:pPr>
      <w:r w:rsidRPr="00405303">
        <w:rPr>
          <w:bCs/>
          <w:color w:val="002060"/>
          <w:sz w:val="16"/>
          <w:szCs w:val="16"/>
        </w:rPr>
        <w:t xml:space="preserve">Пока немецкие аэронавты оттачивали мастерство ночных полетов, их английские оппоненты не сидели без дела. Британское командование было крайне озабочено нехваткой средств ПВО, и в первую очередь прожекторов и зенитных орудий. Эффективность вражеской разведки удручала их не меньше. Цеппелины ловко лавировали между зенитными батареями, оставаясь вне дальности эффективного огня. Если же позиции артиллерии обойти было невозможно, дирижабли просто поднимались выше, по-прежнему оставаясь неуязвимыми. </w:t>
      </w:r>
    </w:p>
    <w:p w14:paraId="4B9B423B" w14:textId="77777777" w:rsidR="004B4E35" w:rsidRPr="00405303" w:rsidRDefault="009E6F82" w:rsidP="00C15251">
      <w:pPr>
        <w:jc w:val="both"/>
        <w:rPr>
          <w:bCs/>
          <w:color w:val="002060"/>
          <w:sz w:val="16"/>
          <w:szCs w:val="16"/>
        </w:rPr>
      </w:pPr>
      <w:r w:rsidRPr="00405303">
        <w:rPr>
          <w:bCs/>
          <w:color w:val="002060"/>
          <w:sz w:val="16"/>
          <w:szCs w:val="16"/>
        </w:rPr>
        <w:t>Последний рейд вызвал панические настроения среди населения. Поползли слухи, что в скором времени следует ожидать массированных налетов на промышленные центры Англии. Но в течение следующего месяца воцарилось относительное спокойствие, прерываемое слабыми беспокоящими налетами отдельных немецких бомбардировщиков. Ночи стали такими короткими, что дирижабли не успевали уходить из опасной зоны ПВО, и Штрассер переключил их на разведку Северного моря.</w:t>
      </w:r>
    </w:p>
    <w:p w14:paraId="1E48A3EF"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У Петера Штрассера были все основания гордиться результатами работы своего дивизиона. Несмотря на </w:t>
      </w:r>
      <w:proofErr w:type="gramStart"/>
      <w:r w:rsidRPr="00405303">
        <w:rPr>
          <w:bCs/>
          <w:color w:val="002060"/>
          <w:sz w:val="16"/>
          <w:szCs w:val="16"/>
        </w:rPr>
        <w:t>то</w:t>
      </w:r>
      <w:proofErr w:type="gramEnd"/>
      <w:r w:rsidRPr="00405303">
        <w:rPr>
          <w:bCs/>
          <w:color w:val="002060"/>
          <w:sz w:val="16"/>
          <w:szCs w:val="16"/>
        </w:rPr>
        <w:t xml:space="preserve"> что налеты дирижаблей наносили противнику весьма незначительный материальный урон, их психологическое воздействие на население Британских островов и английское военное командование было колоссальным. Сбывались самые оптимистические предсказания «сумасшедшего лейтенанта»: с фронта на территорию метрополии в спешном порядке перебрасывались зенитные батареи, эскадрильи истребителей, прожекторные и звукоулавливающие установки. Воздушные тревоги нарушали ритмичность работы заводов, фабрик, судостроительных верфей, что отрицательно сказывалось на объемах выпуска военной продукции. Для разработки эффективных методов борьбы с ночными бомбардировками при Адмиралтействе Великобритании была создана специальная комиссия во главе с Уинстоном Черчиллем, первым лордом Адмиралтейства (морским министром). </w:t>
      </w:r>
    </w:p>
    <w:p w14:paraId="63C5BAC6" w14:textId="77777777" w:rsidR="004B4E35" w:rsidRPr="00405303" w:rsidRDefault="009E6F82" w:rsidP="00C15251">
      <w:pPr>
        <w:jc w:val="both"/>
        <w:rPr>
          <w:bCs/>
          <w:color w:val="002060"/>
          <w:sz w:val="16"/>
          <w:szCs w:val="16"/>
        </w:rPr>
      </w:pPr>
      <w:r w:rsidRPr="00405303">
        <w:rPr>
          <w:bCs/>
          <w:color w:val="002060"/>
          <w:sz w:val="16"/>
          <w:szCs w:val="16"/>
        </w:rPr>
        <w:t xml:space="preserve">Это был сильный и опасный противник. Черчилля не зря прозвали «бульдогом». Он терпеть не мог пассивных методов ведения войны и всегда предпочитал нападение обороне. Наряду с усилением ПВО Британии, он приказал наносить бомбовые удары по воздухоплавательным базам, расположенным на побережье Северного моря. За короткое время английские морские летчики уничтожили [125] и повредили 5 неприятельских цеппелинов. Особенно неприятным был налет на базу в Вильгельмсхафене, и не только потому, что одной 9-килограммовой бомбочкой, сброшенной с фанерно-перкалевого биплана «Авро 504С», были уничтожены сразу 2 дирижабля. Дело в том, что в Вильгельмсхафене размещался штаб Дивизиона воздушных кораблей, а противовоздушная оборона базы считалась практически непреодолимой. </w:t>
      </w:r>
    </w:p>
    <w:p w14:paraId="339B2B8D" w14:textId="77777777" w:rsidR="004B4E35" w:rsidRPr="00405303" w:rsidRDefault="009E6F82" w:rsidP="00C15251">
      <w:pPr>
        <w:jc w:val="both"/>
        <w:rPr>
          <w:bCs/>
          <w:color w:val="002060"/>
          <w:sz w:val="16"/>
          <w:szCs w:val="16"/>
        </w:rPr>
      </w:pPr>
      <w:r w:rsidRPr="00405303">
        <w:rPr>
          <w:bCs/>
          <w:color w:val="002060"/>
          <w:sz w:val="16"/>
          <w:szCs w:val="16"/>
        </w:rPr>
        <w:t>Затем Черчилль приказал развернуть на северном побережье Франции, в Дюнкерке, эскадрилью летающих лодок, главной задачей которых стала охота за цеппелинами в тот момент, когда они были наиболее уязвимы — во время набора высоты с полной бомбовой нагрузкой (11324).</w:t>
      </w:r>
    </w:p>
    <w:p w14:paraId="62E29018" w14:textId="77777777" w:rsidR="004B4E35" w:rsidRPr="00405303" w:rsidRDefault="004B4E35" w:rsidP="00C15251">
      <w:pPr>
        <w:jc w:val="both"/>
        <w:rPr>
          <w:bCs/>
          <w:i/>
          <w:color w:val="002060"/>
          <w:sz w:val="16"/>
          <w:szCs w:val="16"/>
        </w:rPr>
      </w:pPr>
    </w:p>
    <w:p w14:paraId="0276763F" w14:textId="77777777" w:rsidR="000B6BF8" w:rsidRPr="00405303" w:rsidRDefault="000B6BF8" w:rsidP="00C15251">
      <w:pPr>
        <w:jc w:val="both"/>
        <w:rPr>
          <w:bCs/>
          <w:i/>
          <w:color w:val="002060"/>
          <w:sz w:val="16"/>
          <w:szCs w:val="16"/>
        </w:rPr>
      </w:pPr>
      <w:r w:rsidRPr="00405303">
        <w:rPr>
          <w:bCs/>
          <w:i/>
          <w:color w:val="002060"/>
          <w:sz w:val="16"/>
          <w:szCs w:val="16"/>
        </w:rPr>
        <w:t>Авиация и воздухоплавание за рубежом:</w:t>
      </w:r>
    </w:p>
    <w:p w14:paraId="15A2FAA6" w14:textId="77777777" w:rsidR="000B6BF8" w:rsidRPr="00405303" w:rsidRDefault="000B6BF8" w:rsidP="00C15251">
      <w:pPr>
        <w:jc w:val="both"/>
        <w:rPr>
          <w:bCs/>
          <w:i/>
          <w:color w:val="002060"/>
          <w:sz w:val="16"/>
          <w:szCs w:val="16"/>
        </w:rPr>
      </w:pPr>
    </w:p>
    <w:p w14:paraId="287668C8" w14:textId="77777777" w:rsidR="000B6BF8" w:rsidRPr="00405303" w:rsidRDefault="000B6BF8" w:rsidP="00C15251">
      <w:pPr>
        <w:jc w:val="both"/>
        <w:rPr>
          <w:bCs/>
          <w:color w:val="002060"/>
          <w:sz w:val="16"/>
          <w:szCs w:val="16"/>
        </w:rPr>
      </w:pPr>
      <w:r w:rsidRPr="00405303">
        <w:rPr>
          <w:bCs/>
          <w:color w:val="002060"/>
          <w:sz w:val="16"/>
          <w:szCs w:val="16"/>
        </w:rPr>
        <w:t xml:space="preserve">К лету 1915 года все машины воюющих стран - России, Британии, Франции - Германии и </w:t>
      </w:r>
      <w:proofErr w:type="gramStart"/>
      <w:r w:rsidRPr="00405303">
        <w:rPr>
          <w:bCs/>
          <w:color w:val="002060"/>
          <w:sz w:val="16"/>
          <w:szCs w:val="16"/>
        </w:rPr>
        <w:t>Австро-Венгрии с другой стороны</w:t>
      </w:r>
      <w:proofErr w:type="gramEnd"/>
      <w:r w:rsidRPr="00405303">
        <w:rPr>
          <w:bCs/>
          <w:color w:val="002060"/>
          <w:sz w:val="16"/>
          <w:szCs w:val="16"/>
        </w:rPr>
        <w:t xml:space="preserve"> несли 1-3 синхронных пулемёта. Но, получилось так, что основным назначением самолёта - было сбить другой самолёт - 60-100кг мелких 5-15кг бомб, сбрасываемых </w:t>
      </w:r>
      <w:proofErr w:type="gramStart"/>
      <w:r w:rsidRPr="00405303">
        <w:rPr>
          <w:bCs/>
          <w:color w:val="002060"/>
          <w:sz w:val="16"/>
          <w:szCs w:val="16"/>
        </w:rPr>
        <w:t>"на глазок"</w:t>
      </w:r>
      <w:proofErr w:type="gramEnd"/>
      <w:r w:rsidRPr="00405303">
        <w:rPr>
          <w:bCs/>
          <w:color w:val="002060"/>
          <w:sz w:val="16"/>
          <w:szCs w:val="16"/>
        </w:rPr>
        <w:t xml:space="preserve"> могли наносить только "булавочные уколы" враждующим сторонам - так, считалось большой удачей поразить бомбой один танк или броневик за 5-6 </w:t>
      </w:r>
      <w:proofErr w:type="gramStart"/>
      <w:r w:rsidRPr="00405303">
        <w:rPr>
          <w:bCs/>
          <w:color w:val="002060"/>
          <w:sz w:val="16"/>
          <w:szCs w:val="16"/>
        </w:rPr>
        <w:t>самолёто-вылетов</w:t>
      </w:r>
      <w:proofErr w:type="gramEnd"/>
      <w:r w:rsidRPr="00405303">
        <w:rPr>
          <w:bCs/>
          <w:color w:val="002060"/>
          <w:sz w:val="16"/>
          <w:szCs w:val="16"/>
        </w:rPr>
        <w:t>! (11237).</w:t>
      </w:r>
    </w:p>
    <w:p w14:paraId="619E8D28" w14:textId="77777777" w:rsidR="000B6BF8" w:rsidRPr="00405303" w:rsidRDefault="000B6BF8" w:rsidP="00C15251">
      <w:pPr>
        <w:jc w:val="both"/>
        <w:rPr>
          <w:bCs/>
          <w:color w:val="002060"/>
          <w:sz w:val="16"/>
          <w:szCs w:val="16"/>
        </w:rPr>
      </w:pPr>
    </w:p>
    <w:p w14:paraId="28BEDAB0" w14:textId="77777777" w:rsidR="004B4E35" w:rsidRPr="00405303" w:rsidRDefault="009E6F82" w:rsidP="00C15251">
      <w:pPr>
        <w:jc w:val="both"/>
        <w:rPr>
          <w:bCs/>
          <w:i/>
          <w:color w:val="002060"/>
          <w:sz w:val="16"/>
          <w:szCs w:val="16"/>
        </w:rPr>
      </w:pPr>
      <w:r w:rsidRPr="00405303">
        <w:rPr>
          <w:bCs/>
          <w:i/>
          <w:color w:val="002060"/>
          <w:sz w:val="16"/>
          <w:szCs w:val="16"/>
        </w:rPr>
        <w:t>Жизнь и внутреняя политика:</w:t>
      </w:r>
    </w:p>
    <w:p w14:paraId="3CD84FFB" w14:textId="77777777" w:rsidR="004B4E35" w:rsidRPr="00405303" w:rsidRDefault="004B4E35" w:rsidP="00C15251">
      <w:pPr>
        <w:jc w:val="both"/>
        <w:rPr>
          <w:bCs/>
          <w:i/>
          <w:color w:val="002060"/>
          <w:sz w:val="16"/>
          <w:szCs w:val="16"/>
        </w:rPr>
      </w:pPr>
    </w:p>
    <w:p w14:paraId="518112F2" w14:textId="23CF4C62" w:rsidR="004B4E35" w:rsidRPr="00405303" w:rsidRDefault="009E6F82" w:rsidP="00C15251">
      <w:pPr>
        <w:jc w:val="both"/>
        <w:rPr>
          <w:bCs/>
          <w:color w:val="002060"/>
          <w:sz w:val="16"/>
          <w:szCs w:val="16"/>
        </w:rPr>
      </w:pPr>
      <w:r w:rsidRPr="00405303">
        <w:rPr>
          <w:bCs/>
          <w:color w:val="002060"/>
          <w:sz w:val="16"/>
          <w:szCs w:val="16"/>
        </w:rPr>
        <w:t>К июню 1915 года цены на ржаную муку, например, поднялись на 51 проц., на гречневую крупу — на 100, на хлопок — на 57, на шерсть — на 35 проц., в то время как цены на золото выросли только на 20 проц. (Кузовков Д.В. Материалы по теории и политике денежного обращения в России, 1914—1923 гг. // Вестник социалистической академии. 1923. Кн. 4. С. 109.). НА ПЕРВЫХ порах увеличение военных расходов и рост цен стимулировали экономику, способствовали увеличению производственной прибыли и доходов сельского населения. Возникли сотни новых акционерных предприятий, рос выпуск продукции военного назначения. Крестьянство, выручив немалые деньги от продажи сельскохозяйственной продукции, предъявило повышенный спрос на промышленные товары, в том числе на мебель, шелковые ткани, дорогостоящие зеркала, духи, туалетное мыло, сласти и т.п. Однако по мере усиления инфляции экономическое поведение деревни принципиально менялось. Видя непрерывное повышение цен, крестьяне практически перестали покупать промышленные товары, откладывая деньги до лучших времен и в то же время задерживая реализацию продуктов земледелия в расчете на дальнейшее повышение цен на них. Все это усугубляло разрыв между спросом и предложением, усиливало недостаток продовольствия, способствовало прогрессирующему росту цен (11177).</w:t>
      </w:r>
    </w:p>
    <w:p w14:paraId="5FC0A1AF" w14:textId="77777777" w:rsidR="004B4E35" w:rsidRPr="00405303" w:rsidRDefault="004B4E35" w:rsidP="00C15251">
      <w:pPr>
        <w:jc w:val="both"/>
        <w:rPr>
          <w:bCs/>
          <w:color w:val="002060"/>
          <w:sz w:val="16"/>
          <w:szCs w:val="16"/>
        </w:rPr>
      </w:pPr>
    </w:p>
    <w:p w14:paraId="65C9AFE1" w14:textId="6A56E103" w:rsidR="00EC0E95" w:rsidRPr="00405303" w:rsidRDefault="00EC0E95"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056D4506" w14:textId="77777777" w:rsidR="00EC0E95" w:rsidRPr="00405303" w:rsidRDefault="00EC0E95" w:rsidP="00C15251">
      <w:pPr>
        <w:shd w:val="clear" w:color="auto" w:fill="FFFFFF"/>
        <w:jc w:val="both"/>
        <w:rPr>
          <w:bCs/>
          <w:i/>
          <w:color w:val="002060"/>
          <w:sz w:val="16"/>
          <w:szCs w:val="16"/>
        </w:rPr>
      </w:pPr>
    </w:p>
    <w:p w14:paraId="2EFA28CE" w14:textId="77777777" w:rsidR="00EC0E95" w:rsidRPr="00405303" w:rsidRDefault="00EC0E95" w:rsidP="00C15251">
      <w:pPr>
        <w:shd w:val="clear" w:color="auto" w:fill="FFFFFF"/>
        <w:jc w:val="both"/>
        <w:rPr>
          <w:bCs/>
          <w:color w:val="002060"/>
          <w:sz w:val="16"/>
          <w:szCs w:val="16"/>
        </w:rPr>
      </w:pPr>
      <w:r w:rsidRPr="00405303">
        <w:rPr>
          <w:bCs/>
          <w:color w:val="002060"/>
          <w:sz w:val="16"/>
          <w:szCs w:val="16"/>
        </w:rPr>
        <w:t>1 (14) июня 1915 Особое совещание по инициативе председателя Госдумы М.В. Родзянко обратило внимание на проблему химического оружия уже на одном из первых своих заседаний в самом начале июня 1915 г. [Журнал № 5 Особого совещания… Заседание 1 июня 1915 г. / ЖОСО. 1915 год. С. 41.] (20236).</w:t>
      </w:r>
    </w:p>
    <w:p w14:paraId="4DFC3E0D" w14:textId="77777777" w:rsidR="00EC0E95" w:rsidRPr="00405303" w:rsidRDefault="00EC0E95" w:rsidP="00C15251">
      <w:pPr>
        <w:jc w:val="both"/>
        <w:rPr>
          <w:bCs/>
          <w:color w:val="002060"/>
          <w:sz w:val="16"/>
          <w:szCs w:val="16"/>
          <w:shd w:val="clear" w:color="auto" w:fill="FFFFFF"/>
        </w:rPr>
      </w:pPr>
    </w:p>
    <w:p w14:paraId="6D587DCC" w14:textId="7D61C1C1" w:rsidR="006B3741" w:rsidRPr="00405303" w:rsidRDefault="006B3741" w:rsidP="00C15251">
      <w:pPr>
        <w:shd w:val="clear" w:color="auto" w:fill="FFFFFF"/>
        <w:jc w:val="both"/>
        <w:rPr>
          <w:bCs/>
          <w:i/>
          <w:color w:val="002060"/>
          <w:sz w:val="16"/>
          <w:szCs w:val="16"/>
        </w:rPr>
      </w:pPr>
      <w:r w:rsidRPr="00405303">
        <w:rPr>
          <w:bCs/>
          <w:i/>
          <w:color w:val="002060"/>
          <w:sz w:val="16"/>
          <w:szCs w:val="16"/>
        </w:rPr>
        <w:t>Армия:</w:t>
      </w:r>
    </w:p>
    <w:p w14:paraId="5FEF52F7" w14:textId="77777777" w:rsidR="006B3741" w:rsidRPr="00405303" w:rsidRDefault="006B3741" w:rsidP="00C15251">
      <w:pPr>
        <w:shd w:val="clear" w:color="auto" w:fill="FFFFFF"/>
        <w:jc w:val="both"/>
        <w:rPr>
          <w:bCs/>
          <w:i/>
          <w:color w:val="002060"/>
          <w:sz w:val="16"/>
          <w:szCs w:val="16"/>
        </w:rPr>
      </w:pPr>
    </w:p>
    <w:p w14:paraId="7B4EAE4F" w14:textId="4DCCC4EF" w:rsidR="006B3741" w:rsidRPr="00405303" w:rsidRDefault="006B3741" w:rsidP="00C15251">
      <w:pPr>
        <w:jc w:val="both"/>
        <w:rPr>
          <w:bCs/>
          <w:color w:val="002060"/>
          <w:sz w:val="16"/>
          <w:szCs w:val="16"/>
          <w:lang w:bidi="en-US"/>
        </w:rPr>
      </w:pPr>
      <w:r w:rsidRPr="00405303">
        <w:rPr>
          <w:bCs/>
          <w:color w:val="002060"/>
          <w:sz w:val="16"/>
          <w:szCs w:val="16"/>
          <w:lang w:bidi="en-US"/>
        </w:rPr>
        <w:t xml:space="preserve">1 (14) июня 1915 г. немецкая Неманская армия начала наступление в Курляндии, двигаясь к Митаве. Дирижабль ВМС Германии </w:t>
      </w:r>
      <w:r w:rsidRPr="00405303">
        <w:rPr>
          <w:bCs/>
          <w:color w:val="002060"/>
          <w:sz w:val="16"/>
          <w:szCs w:val="16"/>
          <w:lang w:val="en-US" w:bidi="en-US"/>
        </w:rPr>
        <w:t>L</w:t>
      </w:r>
      <w:r w:rsidRPr="00405303">
        <w:rPr>
          <w:bCs/>
          <w:color w:val="002060"/>
          <w:sz w:val="16"/>
          <w:szCs w:val="16"/>
          <w:lang w:bidi="en-US"/>
        </w:rPr>
        <w:t>.5 (</w:t>
      </w:r>
      <w:r w:rsidRPr="00405303">
        <w:rPr>
          <w:bCs/>
          <w:color w:val="002060"/>
          <w:sz w:val="16"/>
          <w:szCs w:val="16"/>
          <w:lang w:val="en-US" w:bidi="en-US"/>
        </w:rPr>
        <w:t>LZ</w:t>
      </w:r>
      <w:r w:rsidRPr="00405303">
        <w:rPr>
          <w:bCs/>
          <w:color w:val="002060"/>
          <w:sz w:val="16"/>
          <w:szCs w:val="16"/>
          <w:lang w:bidi="en-US"/>
        </w:rPr>
        <w:t>.28) прибыл в Седдин, недалеко от Штольпе. 6 августа он был сильно поврежден наземным огнем русских под Ригой и был вынужден приземлиться у Плугян, где был разобран (23525).</w:t>
      </w:r>
    </w:p>
    <w:p w14:paraId="14821213" w14:textId="77777777" w:rsidR="006B3741" w:rsidRPr="00405303" w:rsidRDefault="006B3741" w:rsidP="00C15251">
      <w:pPr>
        <w:jc w:val="both"/>
        <w:rPr>
          <w:bCs/>
          <w:color w:val="002060"/>
          <w:sz w:val="16"/>
          <w:szCs w:val="16"/>
        </w:rPr>
      </w:pPr>
    </w:p>
    <w:p w14:paraId="1C303F9A" w14:textId="76DEE475" w:rsidR="00450FD5" w:rsidRPr="00405303" w:rsidRDefault="00450FD5"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0204B238" w14:textId="77777777" w:rsidR="00450FD5" w:rsidRPr="00405303" w:rsidRDefault="00450FD5" w:rsidP="00C15251">
      <w:pPr>
        <w:shd w:val="clear" w:color="auto" w:fill="FFFFFF"/>
        <w:jc w:val="both"/>
        <w:rPr>
          <w:bCs/>
          <w:i/>
          <w:color w:val="002060"/>
          <w:sz w:val="16"/>
          <w:szCs w:val="16"/>
        </w:rPr>
      </w:pPr>
    </w:p>
    <w:p w14:paraId="35BB1B57" w14:textId="77777777" w:rsidR="00450FD5" w:rsidRPr="00405303" w:rsidRDefault="00450FD5" w:rsidP="00C15251">
      <w:pPr>
        <w:jc w:val="both"/>
        <w:rPr>
          <w:rFonts w:eastAsia="Times-Roman"/>
          <w:bCs/>
          <w:color w:val="002060"/>
          <w:sz w:val="16"/>
          <w:szCs w:val="16"/>
        </w:rPr>
      </w:pPr>
      <w:r w:rsidRPr="00405303">
        <w:rPr>
          <w:rFonts w:eastAsia="Times-Roman"/>
          <w:bCs/>
          <w:color w:val="002060"/>
          <w:sz w:val="16"/>
          <w:szCs w:val="16"/>
        </w:rPr>
        <w:t xml:space="preserve">2 (15) </w:t>
      </w:r>
      <w:r w:rsidRPr="00405303">
        <w:rPr>
          <w:rFonts w:eastAsia="TimesNewRoman"/>
          <w:bCs/>
          <w:color w:val="002060"/>
          <w:sz w:val="16"/>
          <w:szCs w:val="16"/>
        </w:rPr>
        <w:t xml:space="preserve">июня </w:t>
      </w:r>
      <w:r w:rsidRPr="00405303">
        <w:rPr>
          <w:rFonts w:eastAsia="Times-Roman"/>
          <w:bCs/>
          <w:color w:val="002060"/>
          <w:sz w:val="16"/>
          <w:szCs w:val="16"/>
        </w:rPr>
        <w:t xml:space="preserve">1915 </w:t>
      </w:r>
      <w:r w:rsidRPr="00405303">
        <w:rPr>
          <w:rFonts w:eastAsia="TimesNewRoman"/>
          <w:bCs/>
          <w:color w:val="002060"/>
          <w:sz w:val="16"/>
          <w:szCs w:val="16"/>
        </w:rPr>
        <w:t>г</w:t>
      </w:r>
      <w:r w:rsidRPr="00405303">
        <w:rPr>
          <w:rFonts w:eastAsia="Times-Roman"/>
          <w:bCs/>
          <w:color w:val="002060"/>
          <w:sz w:val="16"/>
          <w:szCs w:val="16"/>
        </w:rPr>
        <w:t xml:space="preserve">. </w:t>
      </w:r>
      <w:r w:rsidRPr="00405303">
        <w:rPr>
          <w:rFonts w:eastAsia="TimesNewRoman"/>
          <w:bCs/>
          <w:color w:val="002060"/>
          <w:sz w:val="16"/>
          <w:szCs w:val="16"/>
        </w:rPr>
        <w:t xml:space="preserve">было отдано распоряжение о начале работ над созданием химических боеприпасов и снабжении ими войск </w:t>
      </w:r>
      <w:r w:rsidRPr="00405303">
        <w:rPr>
          <w:rFonts w:eastAsia="Times-Roman"/>
          <w:bCs/>
          <w:color w:val="002060"/>
          <w:sz w:val="16"/>
          <w:szCs w:val="16"/>
        </w:rPr>
        <w:t xml:space="preserve">[10]. </w:t>
      </w:r>
      <w:r w:rsidRPr="00405303">
        <w:rPr>
          <w:rFonts w:eastAsia="TimesNewRoman"/>
          <w:bCs/>
          <w:color w:val="002060"/>
          <w:sz w:val="16"/>
          <w:szCs w:val="16"/>
        </w:rPr>
        <w:t>При ГАУ была образована специальная комиссия по заготовлению удушающих средств под председательством начальника Центральной научно</w:t>
      </w:r>
      <w:r w:rsidRPr="00405303">
        <w:rPr>
          <w:rFonts w:eastAsia="Times-Roman"/>
          <w:bCs/>
          <w:color w:val="002060"/>
          <w:sz w:val="16"/>
          <w:szCs w:val="16"/>
        </w:rPr>
        <w:t>-</w:t>
      </w:r>
      <w:r w:rsidRPr="00405303">
        <w:rPr>
          <w:rFonts w:eastAsia="TimesNewRoman"/>
          <w:bCs/>
          <w:color w:val="002060"/>
          <w:sz w:val="16"/>
          <w:szCs w:val="16"/>
        </w:rPr>
        <w:t>технической лаборатории военного ведомства (20240)</w:t>
      </w:r>
      <w:r w:rsidRPr="00405303">
        <w:rPr>
          <w:rFonts w:eastAsia="Times-Roman"/>
          <w:bCs/>
          <w:color w:val="002060"/>
          <w:sz w:val="16"/>
          <w:szCs w:val="16"/>
        </w:rPr>
        <w:t>.</w:t>
      </w:r>
    </w:p>
    <w:p w14:paraId="6614B7EA" w14:textId="77777777" w:rsidR="00450FD5" w:rsidRPr="00405303" w:rsidRDefault="00450FD5" w:rsidP="00C15251">
      <w:pPr>
        <w:jc w:val="both"/>
        <w:rPr>
          <w:rFonts w:eastAsia="Times-Roman"/>
          <w:bCs/>
          <w:color w:val="002060"/>
          <w:sz w:val="16"/>
          <w:szCs w:val="16"/>
        </w:rPr>
      </w:pPr>
    </w:p>
    <w:p w14:paraId="43E067A5" w14:textId="0D2911D9" w:rsidR="00450FD5" w:rsidRPr="00405303" w:rsidRDefault="00450FD5" w:rsidP="00C15251">
      <w:pPr>
        <w:pStyle w:val="ae"/>
        <w:spacing w:before="0" w:beforeAutospacing="0" w:after="0" w:afterAutospacing="0"/>
        <w:jc w:val="both"/>
        <w:rPr>
          <w:bCs/>
          <w:color w:val="002060"/>
          <w:sz w:val="16"/>
          <w:szCs w:val="16"/>
        </w:rPr>
      </w:pPr>
      <w:r w:rsidRPr="00405303">
        <w:rPr>
          <w:bCs/>
          <w:color w:val="002060"/>
          <w:sz w:val="16"/>
          <w:szCs w:val="16"/>
        </w:rPr>
        <w:t>2 (15) июня 1915 г. начальник штаба верховного главнокомандующего (наштаверх) генерал от инфантерии</w:t>
      </w:r>
      <w:r w:rsidR="00DB4D64" w:rsidRPr="00405303">
        <w:rPr>
          <w:bCs/>
          <w:color w:val="002060"/>
          <w:sz w:val="16"/>
          <w:szCs w:val="16"/>
        </w:rPr>
        <w:t xml:space="preserve"> </w:t>
      </w:r>
      <w:hyperlink r:id="rId40" w:history="1">
        <w:r w:rsidRPr="00405303">
          <w:rPr>
            <w:rStyle w:val="ad"/>
            <w:bCs/>
            <w:color w:val="002060"/>
            <w:sz w:val="16"/>
            <w:szCs w:val="16"/>
          </w:rPr>
          <w:t>Н. Н. Янушкевич</w:t>
        </w:r>
      </w:hyperlink>
      <w:r w:rsidR="00DB4D64" w:rsidRPr="00405303">
        <w:rPr>
          <w:bCs/>
          <w:color w:val="002060"/>
          <w:sz w:val="16"/>
          <w:szCs w:val="16"/>
        </w:rPr>
        <w:t xml:space="preserve"> </w:t>
      </w:r>
      <w:r w:rsidRPr="00405303">
        <w:rPr>
          <w:bCs/>
          <w:color w:val="002060"/>
          <w:sz w:val="16"/>
          <w:szCs w:val="16"/>
        </w:rPr>
        <w:t>(1868-1918) телеграфировал военному министру</w:t>
      </w:r>
      <w:r w:rsidR="00DB4D64" w:rsidRPr="00405303">
        <w:rPr>
          <w:bCs/>
          <w:color w:val="002060"/>
          <w:sz w:val="16"/>
          <w:szCs w:val="16"/>
        </w:rPr>
        <w:t xml:space="preserve"> </w:t>
      </w:r>
      <w:hyperlink r:id="rId41" w:history="1">
        <w:r w:rsidRPr="00405303">
          <w:rPr>
            <w:rStyle w:val="ad"/>
            <w:bCs/>
            <w:color w:val="002060"/>
            <w:sz w:val="16"/>
            <w:szCs w:val="16"/>
          </w:rPr>
          <w:t>В. А. Сухомлинову</w:t>
        </w:r>
      </w:hyperlink>
      <w:r w:rsidR="00DB4D64" w:rsidRPr="00405303">
        <w:rPr>
          <w:bCs/>
          <w:color w:val="002060"/>
          <w:sz w:val="16"/>
          <w:szCs w:val="16"/>
        </w:rPr>
        <w:t xml:space="preserve"> </w:t>
      </w:r>
      <w:r w:rsidRPr="00405303">
        <w:rPr>
          <w:bCs/>
          <w:color w:val="002060"/>
          <w:sz w:val="16"/>
          <w:szCs w:val="16"/>
        </w:rPr>
        <w:t>(1848-1926): «Верховный главнокомандующий признает, что ввиду полной неразборчивости нашего противника в средствах борьбы единственной мерой воздействия на него является применение и с нашей стороны всех средств, употребляемых противником... Главковерх просит распоряжений о производстве необходимых испытаний в этой области и снабжения армий Северо-Западного и Юго-Западного фронтов соответственными приборами с запасом ядовитых газов». Летом 1915 г. химическим оружием заинтересовался и шеф русской авиации великий князь Александр Михайлович (20246).</w:t>
      </w:r>
    </w:p>
    <w:p w14:paraId="12F50467" w14:textId="77777777" w:rsidR="00450FD5" w:rsidRPr="00405303" w:rsidRDefault="00450FD5" w:rsidP="00C15251">
      <w:pPr>
        <w:pStyle w:val="ae"/>
        <w:spacing w:before="0" w:beforeAutospacing="0" w:after="0" w:afterAutospacing="0"/>
        <w:jc w:val="both"/>
        <w:rPr>
          <w:bCs/>
          <w:color w:val="002060"/>
          <w:sz w:val="16"/>
          <w:szCs w:val="16"/>
        </w:rPr>
      </w:pPr>
    </w:p>
    <w:p w14:paraId="3B2A629F"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641631CB" w14:textId="77777777" w:rsidR="004B4E35" w:rsidRPr="00405303" w:rsidRDefault="004B4E35" w:rsidP="00C15251">
      <w:pPr>
        <w:shd w:val="clear" w:color="auto" w:fill="FFFFFF"/>
        <w:jc w:val="both"/>
        <w:rPr>
          <w:bCs/>
          <w:i/>
          <w:color w:val="002060"/>
          <w:sz w:val="16"/>
          <w:szCs w:val="16"/>
        </w:rPr>
      </w:pPr>
    </w:p>
    <w:p w14:paraId="42813640" w14:textId="4B434551" w:rsidR="004B4E35" w:rsidRPr="00405303" w:rsidRDefault="009E6F82" w:rsidP="00C15251">
      <w:pPr>
        <w:jc w:val="both"/>
        <w:rPr>
          <w:bCs/>
          <w:color w:val="002060"/>
          <w:sz w:val="16"/>
          <w:szCs w:val="16"/>
        </w:rPr>
      </w:pPr>
      <w:r w:rsidRPr="00405303">
        <w:rPr>
          <w:bCs/>
          <w:color w:val="002060"/>
          <w:sz w:val="16"/>
          <w:szCs w:val="16"/>
        </w:rPr>
        <w:t xml:space="preserve">2 </w:t>
      </w:r>
      <w:r w:rsidR="007A17B0" w:rsidRPr="00405303">
        <w:rPr>
          <w:bCs/>
          <w:color w:val="002060"/>
          <w:sz w:val="16"/>
          <w:szCs w:val="16"/>
        </w:rPr>
        <w:t xml:space="preserve">(15) </w:t>
      </w:r>
      <w:r w:rsidRPr="00405303">
        <w:rPr>
          <w:bCs/>
          <w:color w:val="002060"/>
          <w:sz w:val="16"/>
          <w:szCs w:val="16"/>
        </w:rPr>
        <w:t>июня 1915 года был сбит один немецкий аэроплан в районе г. Пултуска (Польша)).</w:t>
      </w:r>
    </w:p>
    <w:p w14:paraId="720B189A" w14:textId="77777777" w:rsidR="004B4E35" w:rsidRPr="00405303" w:rsidRDefault="009E6F82" w:rsidP="00C15251">
      <w:pPr>
        <w:jc w:val="both"/>
        <w:rPr>
          <w:bCs/>
          <w:color w:val="002060"/>
          <w:sz w:val="16"/>
          <w:szCs w:val="16"/>
        </w:rPr>
      </w:pPr>
      <w:r w:rsidRPr="00405303">
        <w:rPr>
          <w:bCs/>
          <w:color w:val="002060"/>
          <w:sz w:val="16"/>
          <w:szCs w:val="16"/>
        </w:rPr>
        <w:t>Из 76 пушек поступивших в войска было установлено на автомобили лишь 36 пушек (9 батарей), 20 пушек были назначены на вооружение 10 железнодорожных двухорудийных батарей, которые стали сформировываться уже в 1917 г. (в том числе так называемый «стальной дивизион Путиловского завода»). Причем 6-я, 7-я и 8-я железнодорожные батареи для стрельбы по воздушному флоту были готовы к отправке на фронт лишь 27 ноября (10 декабря) 1917 г., то есть уже после Октябрьской революции, а приказ Ставки о сформировании 9-й и 10-й таких же батарей состоялся лишь 2 (15) декабря 1917, то есть в то время, когда война на русском фронте фактически закончилась. Наконец, 12 зенитных пушек обр. 1914 г. были даны в октябре 1917 г. на вооружение 1-й, 2-й и 3-й так называемых отдельных ездящих батарей для стрельбы по воздушному флоту; орудия в этих батареях были поставлены на подвижные деревянные платформы. По 4 зенитных 76-мм пушки на позиционных установках имели батарея для обороны Царского Села и батарея Офицерской артиллерийской школы.</w:t>
      </w:r>
    </w:p>
    <w:p w14:paraId="2EBBC69B" w14:textId="77777777" w:rsidR="004B4E35" w:rsidRPr="00405303" w:rsidRDefault="004B4E35" w:rsidP="00C15251">
      <w:pPr>
        <w:jc w:val="both"/>
        <w:rPr>
          <w:bCs/>
          <w:i/>
          <w:color w:val="002060"/>
          <w:sz w:val="16"/>
          <w:szCs w:val="16"/>
        </w:rPr>
      </w:pPr>
    </w:p>
    <w:p w14:paraId="45556837" w14:textId="77777777" w:rsidR="00402FF2" w:rsidRPr="00405303" w:rsidRDefault="00402FF2" w:rsidP="00402FF2">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3 (16) июня 1915 г. наша артиллерия в районе правого берега р. Пилица подбила очередной немецкий летательный аппарат, упавший позднее в расположении противника (25135).</w:t>
      </w:r>
    </w:p>
    <w:p w14:paraId="788BE3CA" w14:textId="77777777" w:rsidR="00402FF2" w:rsidRPr="00405303" w:rsidRDefault="00402FF2" w:rsidP="00402FF2">
      <w:pPr>
        <w:jc w:val="both"/>
        <w:rPr>
          <w:color w:val="0070C0"/>
          <w:sz w:val="16"/>
          <w:szCs w:val="16"/>
        </w:rPr>
      </w:pPr>
    </w:p>
    <w:p w14:paraId="74BEE91E"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5B0228AC" w14:textId="77777777" w:rsidR="004B4E35" w:rsidRPr="00405303" w:rsidRDefault="004B4E35" w:rsidP="00C15251">
      <w:pPr>
        <w:jc w:val="both"/>
        <w:rPr>
          <w:bCs/>
          <w:i/>
          <w:color w:val="002060"/>
          <w:sz w:val="16"/>
          <w:szCs w:val="16"/>
        </w:rPr>
      </w:pPr>
    </w:p>
    <w:p w14:paraId="7CDF233A" w14:textId="0ECB3693" w:rsidR="004B4E35" w:rsidRPr="00405303" w:rsidRDefault="009E6F82" w:rsidP="00C15251">
      <w:pPr>
        <w:jc w:val="both"/>
        <w:rPr>
          <w:bCs/>
          <w:color w:val="002060"/>
          <w:sz w:val="16"/>
          <w:szCs w:val="16"/>
        </w:rPr>
      </w:pPr>
      <w:r w:rsidRPr="00405303">
        <w:rPr>
          <w:bCs/>
          <w:color w:val="002060"/>
          <w:sz w:val="16"/>
          <w:szCs w:val="16"/>
        </w:rPr>
        <w:t>2 (15) июня 1915 года стал</w:t>
      </w:r>
      <w:r w:rsidR="002A027E" w:rsidRPr="00405303">
        <w:rPr>
          <w:bCs/>
          <w:color w:val="002060"/>
          <w:sz w:val="16"/>
          <w:szCs w:val="16"/>
        </w:rPr>
        <w:t>о</w:t>
      </w:r>
      <w:r w:rsidRPr="00405303">
        <w:rPr>
          <w:bCs/>
          <w:color w:val="002060"/>
          <w:sz w:val="16"/>
          <w:szCs w:val="16"/>
        </w:rPr>
        <w:t xml:space="preserve">, наверное, самым значительным в истории Дивизиона воздушных кораблей. Дирижабли L-10 и L-11 вылетели на бомбардировку целей в Центральной Англии. Но L-11 вернулся на базу из-за поломки карданного вала, соединявшего двигатель с воздушным винтом. Этот дефект был органически присущ [118] дирижаблям конструкции Цеппелина и попортил немало крови и инженерам, и аэронавтам. A L-10 под командованием капитан-лейтенанта Клауса Хирша продолжил полет и сбросил бомбы на военные объекты: машиностроительные и химические заводы в пригородах Тайна, Ярроу и Виллингтона. Успех был полным: зарево пожаров, вызванных бомбардировкой, было видно за 30 миль, 17 рабочих погибло, еще 72 получили ранения. Огонь зенитных батарей и двух велосипедных батальонов не принес результатов. На обратном пути в районе побережья L-10 подвергся зенитному обстрелу, но, набрав высоту, стал недосягаем. </w:t>
      </w:r>
    </w:p>
    <w:p w14:paraId="1757529F" w14:textId="77777777" w:rsidR="004B4E35" w:rsidRPr="00405303" w:rsidRDefault="009E6F82" w:rsidP="00C15251">
      <w:pPr>
        <w:jc w:val="both"/>
        <w:rPr>
          <w:bCs/>
          <w:color w:val="002060"/>
          <w:sz w:val="16"/>
          <w:szCs w:val="16"/>
        </w:rPr>
      </w:pPr>
      <w:r w:rsidRPr="00405303">
        <w:rPr>
          <w:bCs/>
          <w:color w:val="002060"/>
          <w:sz w:val="16"/>
          <w:szCs w:val="16"/>
        </w:rPr>
        <w:t>Петер Штрассер лично поздравил Хирша с первой значительной победой. В приказе по дивизиону он особо отметил безупречную навигацию на маршруте и точное соблюдение графика полета. К лету 1915 года штаб дивизиона разработал детальные маршруты и графики налетов на Британские острова, в которых учитывались абсолютно все факторы, влиявшие на безопасность полетов: господствующие ветры, погодные условия, расположение объектов ПВО противника, запасные посадочные площадки, действия в непредвиденных ситуациях, при внезапной перемене погоды, нападении противника и др. (11324)</w:t>
      </w:r>
    </w:p>
    <w:p w14:paraId="0C095CA1" w14:textId="77777777" w:rsidR="004B4E35" w:rsidRPr="00405303" w:rsidRDefault="004B4E35" w:rsidP="00C15251">
      <w:pPr>
        <w:jc w:val="both"/>
        <w:rPr>
          <w:bCs/>
          <w:i/>
          <w:color w:val="002060"/>
          <w:sz w:val="16"/>
          <w:szCs w:val="16"/>
        </w:rPr>
      </w:pPr>
    </w:p>
    <w:p w14:paraId="196B5980" w14:textId="3D07C016" w:rsidR="00450FD5" w:rsidRPr="00405303" w:rsidRDefault="00450FD5" w:rsidP="00C15251">
      <w:pPr>
        <w:jc w:val="both"/>
        <w:rPr>
          <w:bCs/>
          <w:i/>
          <w:color w:val="002060"/>
          <w:sz w:val="16"/>
          <w:szCs w:val="16"/>
        </w:rPr>
      </w:pPr>
      <w:r w:rsidRPr="00405303">
        <w:rPr>
          <w:bCs/>
          <w:i/>
          <w:color w:val="002060"/>
          <w:sz w:val="16"/>
          <w:szCs w:val="16"/>
        </w:rPr>
        <w:t>Авиация и воздухоплавание Франции:</w:t>
      </w:r>
    </w:p>
    <w:p w14:paraId="46553B9F" w14:textId="77777777" w:rsidR="00450FD5" w:rsidRPr="00405303" w:rsidRDefault="00450FD5" w:rsidP="00C15251">
      <w:pPr>
        <w:jc w:val="both"/>
        <w:rPr>
          <w:bCs/>
          <w:i/>
          <w:color w:val="002060"/>
          <w:sz w:val="16"/>
          <w:szCs w:val="16"/>
        </w:rPr>
      </w:pPr>
    </w:p>
    <w:p w14:paraId="636D9BCA" w14:textId="77777777" w:rsidR="00450FD5" w:rsidRPr="00405303" w:rsidRDefault="00450FD5" w:rsidP="00C15251">
      <w:pPr>
        <w:jc w:val="both"/>
        <w:rPr>
          <w:bCs/>
          <w:color w:val="002060"/>
          <w:sz w:val="16"/>
          <w:szCs w:val="16"/>
        </w:rPr>
      </w:pPr>
      <w:r w:rsidRPr="00405303">
        <w:rPr>
          <w:bCs/>
          <w:color w:val="002060"/>
          <w:sz w:val="16"/>
          <w:szCs w:val="16"/>
        </w:rPr>
        <w:t>2 (15) июня 1915 французские самолеты совершают налет на Баден и Карлсруэ, Германия (20338).</w:t>
      </w:r>
    </w:p>
    <w:p w14:paraId="7EFE7F9A" w14:textId="77777777" w:rsidR="00450FD5" w:rsidRPr="00405303" w:rsidRDefault="00450FD5" w:rsidP="00C15251">
      <w:pPr>
        <w:jc w:val="both"/>
        <w:rPr>
          <w:bCs/>
          <w:color w:val="002060"/>
          <w:sz w:val="16"/>
          <w:szCs w:val="16"/>
        </w:rPr>
      </w:pPr>
    </w:p>
    <w:p w14:paraId="5E334F2C" w14:textId="77777777" w:rsidR="00D37EFB" w:rsidRPr="00405303" w:rsidRDefault="00D37EFB" w:rsidP="00C15251">
      <w:pPr>
        <w:jc w:val="both"/>
        <w:rPr>
          <w:bCs/>
          <w:i/>
          <w:color w:val="002060"/>
          <w:sz w:val="16"/>
          <w:szCs w:val="16"/>
        </w:rPr>
      </w:pPr>
      <w:r w:rsidRPr="00405303">
        <w:rPr>
          <w:bCs/>
          <w:i/>
          <w:color w:val="002060"/>
          <w:sz w:val="16"/>
          <w:szCs w:val="16"/>
        </w:rPr>
        <w:t>Другие оборонные отрасли:</w:t>
      </w:r>
    </w:p>
    <w:p w14:paraId="71713E25" w14:textId="77777777" w:rsidR="00D37EFB" w:rsidRPr="00405303" w:rsidRDefault="00D37EFB" w:rsidP="00C15251">
      <w:pPr>
        <w:jc w:val="both"/>
        <w:rPr>
          <w:bCs/>
          <w:i/>
          <w:color w:val="002060"/>
          <w:sz w:val="16"/>
          <w:szCs w:val="16"/>
        </w:rPr>
      </w:pPr>
    </w:p>
    <w:p w14:paraId="206A189D" w14:textId="77777777" w:rsidR="00D37EFB" w:rsidRPr="00405303" w:rsidRDefault="00D37EFB" w:rsidP="00C15251">
      <w:pPr>
        <w:pStyle w:val="ae"/>
        <w:spacing w:before="0" w:beforeAutospacing="0" w:after="0" w:afterAutospacing="0"/>
        <w:jc w:val="both"/>
        <w:textAlignment w:val="top"/>
        <w:rPr>
          <w:bCs/>
          <w:color w:val="002060"/>
          <w:sz w:val="16"/>
          <w:szCs w:val="16"/>
        </w:rPr>
      </w:pPr>
      <w:r w:rsidRPr="00405303">
        <w:rPr>
          <w:bCs/>
          <w:color w:val="002060"/>
          <w:sz w:val="16"/>
          <w:szCs w:val="16"/>
        </w:rPr>
        <w:t>3 (16) июня 1915 ВПК во главе с П.П. Рябушинским создан в Москве, через два дня ВПК под председательством Авдакова возникает в Киеве (18405).</w:t>
      </w:r>
    </w:p>
    <w:p w14:paraId="213F0C97" w14:textId="77777777" w:rsidR="00D37EFB" w:rsidRPr="00405303" w:rsidRDefault="00D37EFB" w:rsidP="00C15251">
      <w:pPr>
        <w:pStyle w:val="ae"/>
        <w:spacing w:before="0" w:beforeAutospacing="0" w:after="0" w:afterAutospacing="0"/>
        <w:jc w:val="both"/>
        <w:textAlignment w:val="top"/>
        <w:rPr>
          <w:bCs/>
          <w:color w:val="002060"/>
          <w:sz w:val="16"/>
          <w:szCs w:val="16"/>
        </w:rPr>
      </w:pPr>
    </w:p>
    <w:p w14:paraId="0AD2B043" w14:textId="77777777" w:rsidR="00D37EFB" w:rsidRPr="00405303" w:rsidRDefault="00D37EFB" w:rsidP="00C15251">
      <w:pPr>
        <w:jc w:val="both"/>
        <w:rPr>
          <w:bCs/>
          <w:i/>
          <w:color w:val="002060"/>
          <w:sz w:val="16"/>
          <w:szCs w:val="16"/>
        </w:rPr>
      </w:pPr>
      <w:r w:rsidRPr="00405303">
        <w:rPr>
          <w:bCs/>
          <w:i/>
          <w:color w:val="002060"/>
          <w:sz w:val="16"/>
          <w:szCs w:val="16"/>
        </w:rPr>
        <w:t>Армия:</w:t>
      </w:r>
    </w:p>
    <w:p w14:paraId="4FC09EAE" w14:textId="77777777" w:rsidR="00D37EFB" w:rsidRPr="00405303" w:rsidRDefault="00D37EFB" w:rsidP="00C15251">
      <w:pPr>
        <w:jc w:val="both"/>
        <w:rPr>
          <w:bCs/>
          <w:i/>
          <w:color w:val="002060"/>
          <w:sz w:val="16"/>
          <w:szCs w:val="16"/>
        </w:rPr>
      </w:pPr>
    </w:p>
    <w:p w14:paraId="2B9456B9" w14:textId="22042891" w:rsidR="00D37EFB" w:rsidRPr="00405303" w:rsidRDefault="00D37EFB" w:rsidP="00C15251">
      <w:pPr>
        <w:jc w:val="both"/>
        <w:rPr>
          <w:bCs/>
          <w:color w:val="002060"/>
          <w:sz w:val="16"/>
          <w:szCs w:val="16"/>
        </w:rPr>
      </w:pPr>
      <w:r w:rsidRPr="00405303">
        <w:rPr>
          <w:bCs/>
          <w:color w:val="002060"/>
          <w:sz w:val="16"/>
          <w:szCs w:val="16"/>
        </w:rPr>
        <w:t xml:space="preserve">3 </w:t>
      </w:r>
      <w:r w:rsidR="002A027E" w:rsidRPr="00405303">
        <w:rPr>
          <w:bCs/>
          <w:color w:val="002060"/>
          <w:sz w:val="16"/>
          <w:szCs w:val="16"/>
        </w:rPr>
        <w:t xml:space="preserve">(16) </w:t>
      </w:r>
      <w:r w:rsidRPr="00405303">
        <w:rPr>
          <w:bCs/>
          <w:color w:val="002060"/>
          <w:sz w:val="16"/>
          <w:szCs w:val="16"/>
        </w:rPr>
        <w:t>июня в 1915 году русская армия оставляет Перемышль (первая мировая война) (14911).</w:t>
      </w:r>
    </w:p>
    <w:p w14:paraId="74CFC50E" w14:textId="77777777" w:rsidR="00D37EFB" w:rsidRPr="00405303" w:rsidRDefault="00D37EFB" w:rsidP="00C15251">
      <w:pPr>
        <w:jc w:val="both"/>
        <w:rPr>
          <w:bCs/>
          <w:color w:val="002060"/>
          <w:sz w:val="16"/>
          <w:szCs w:val="16"/>
        </w:rPr>
      </w:pPr>
    </w:p>
    <w:p w14:paraId="61C79FB9"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Франции:</w:t>
      </w:r>
    </w:p>
    <w:p w14:paraId="42475CF1" w14:textId="77777777" w:rsidR="004B4E35" w:rsidRPr="00405303" w:rsidRDefault="004B4E35" w:rsidP="00C15251">
      <w:pPr>
        <w:jc w:val="both"/>
        <w:rPr>
          <w:bCs/>
          <w:i/>
          <w:color w:val="002060"/>
          <w:sz w:val="16"/>
          <w:szCs w:val="16"/>
        </w:rPr>
      </w:pPr>
    </w:p>
    <w:p w14:paraId="1AA0063D" w14:textId="77777777" w:rsidR="004B4E35" w:rsidRPr="00405303" w:rsidRDefault="009E6F82" w:rsidP="00C15251">
      <w:pPr>
        <w:jc w:val="both"/>
        <w:rPr>
          <w:bCs/>
          <w:color w:val="002060"/>
          <w:sz w:val="16"/>
          <w:szCs w:val="16"/>
        </w:rPr>
      </w:pPr>
      <w:r w:rsidRPr="00405303">
        <w:rPr>
          <w:bCs/>
          <w:color w:val="002060"/>
          <w:sz w:val="16"/>
          <w:szCs w:val="16"/>
        </w:rPr>
        <w:t>3 (16) июня 1915 - Французский летчик Фор из эскадрильи Гарро после очередного полета на своем "Моране-Солнье" записал: "Моторы всегда отказывают; мы, однако, не имеем других. Вот уже 8 месяцев, как мы мучаемся с моторами "Рон". К сожалению, все те, кто конструирует это, не говорят об этом... об этом было уже время подумать..."</w:t>
      </w:r>
    </w:p>
    <w:p w14:paraId="081C1C7E" w14:textId="77777777" w:rsidR="004B4E35" w:rsidRPr="00405303" w:rsidRDefault="009E6F82" w:rsidP="00C15251">
      <w:pPr>
        <w:jc w:val="both"/>
        <w:rPr>
          <w:bCs/>
          <w:color w:val="002060"/>
          <w:sz w:val="16"/>
          <w:szCs w:val="16"/>
        </w:rPr>
      </w:pPr>
      <w:r w:rsidRPr="00405303">
        <w:rPr>
          <w:bCs/>
          <w:color w:val="002060"/>
          <w:sz w:val="16"/>
          <w:szCs w:val="16"/>
        </w:rPr>
        <w:t>Жак Дюваль: "Летчик-истребитель должен иметь право на безопасность производства маневра; он должен быть уверен, что его самолет не взорвется в воздухе и что у него не рассыпятся крылья..." (11999).</w:t>
      </w:r>
    </w:p>
    <w:p w14:paraId="397DC871" w14:textId="77777777" w:rsidR="004B4E35" w:rsidRPr="00405303" w:rsidRDefault="004B4E35" w:rsidP="00C15251">
      <w:pPr>
        <w:jc w:val="both"/>
        <w:rPr>
          <w:bCs/>
          <w:color w:val="002060"/>
          <w:sz w:val="16"/>
          <w:szCs w:val="16"/>
        </w:rPr>
      </w:pPr>
    </w:p>
    <w:p w14:paraId="297F7982"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1A653DA1" w14:textId="77777777" w:rsidR="004B4E35" w:rsidRPr="00405303" w:rsidRDefault="004B4E35" w:rsidP="00C15251">
      <w:pPr>
        <w:jc w:val="both"/>
        <w:rPr>
          <w:bCs/>
          <w:i/>
          <w:color w:val="002060"/>
          <w:sz w:val="16"/>
          <w:szCs w:val="16"/>
        </w:rPr>
      </w:pPr>
    </w:p>
    <w:p w14:paraId="38FA1551" w14:textId="13D23988"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4 (17) июня 1915 г.</w:t>
      </w:r>
      <w:r w:rsidR="002A027E" w:rsidRPr="00405303">
        <w:rPr>
          <w:bCs/>
          <w:i w:val="0"/>
          <w:color w:val="002060"/>
          <w:spacing w:val="0"/>
          <w:kern w:val="0"/>
          <w:position w:val="0"/>
          <w:sz w:val="16"/>
          <w:szCs w:val="16"/>
        </w:rPr>
        <w:t xml:space="preserve"> состоялось первое организационное заседание военно-промышленного комитета</w:t>
      </w:r>
      <w:r w:rsidRPr="00405303">
        <w:rPr>
          <w:bCs/>
          <w:i w:val="0"/>
          <w:color w:val="002060"/>
          <w:spacing w:val="0"/>
          <w:kern w:val="0"/>
          <w:position w:val="0"/>
          <w:sz w:val="16"/>
          <w:szCs w:val="16"/>
        </w:rPr>
        <w:t xml:space="preserve">, а 25 июня прошел I съезд ЦВПК. На этом заседании обсуждался проект положения о Центральном военно-промышленном комитете, который должен был придать созданным организациям юридический статус. В «Положении о военно-промышленных комитетах», утвержденном 27 августа 1915 г. царем, было записано, что эта организация создается «для содействия правительственным учреждениям в деле снабжения армии и флота всеми необходимыми предметами снаряжения и довольствия» и учреждаются «на время текущей войны». «Военно-промышленные комитеты являются общественными организациями, не преследующими коммерческих целей… Состав, средства, порядок деятельности и сношений центрального военно-промышленного комитета устанавливаются самим комитетом… Взаимоотношения правительственных учреждений с ВПК, содействующими им в деле снабжения армий и флота предметами снаряжения, определяются по ближайшему соглашению комитетов с подлежащими военными и гражданскими властями. </w:t>
      </w:r>
    </w:p>
    <w:p w14:paraId="6D10975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Центральный ВПК имеет право приобретать всякого рода движимое и недвижимое имущество, вступать в договоры, как с частными лицами, так равно и с казенными и общественными учреждениями…» (11270).</w:t>
      </w:r>
    </w:p>
    <w:p w14:paraId="308BF446" w14:textId="77777777" w:rsidR="004B4E35" w:rsidRPr="00405303" w:rsidRDefault="004B4E35" w:rsidP="00C15251">
      <w:pPr>
        <w:pStyle w:val="a3"/>
        <w:jc w:val="both"/>
        <w:rPr>
          <w:bCs/>
          <w:i w:val="0"/>
          <w:color w:val="002060"/>
          <w:spacing w:val="0"/>
          <w:kern w:val="0"/>
          <w:position w:val="0"/>
          <w:sz w:val="16"/>
          <w:szCs w:val="16"/>
        </w:rPr>
      </w:pPr>
    </w:p>
    <w:p w14:paraId="0426F67A"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65CA6003" w14:textId="77777777" w:rsidR="004B4E35" w:rsidRPr="00405303" w:rsidRDefault="004B4E35" w:rsidP="00C15251">
      <w:pPr>
        <w:jc w:val="both"/>
        <w:rPr>
          <w:bCs/>
          <w:i/>
          <w:color w:val="002060"/>
          <w:sz w:val="16"/>
          <w:szCs w:val="16"/>
        </w:rPr>
      </w:pPr>
    </w:p>
    <w:p w14:paraId="1FD24E0D" w14:textId="77777777" w:rsidR="004B4E35" w:rsidRPr="00405303" w:rsidRDefault="009E6F82" w:rsidP="00C15251">
      <w:pPr>
        <w:jc w:val="both"/>
        <w:rPr>
          <w:bCs/>
          <w:color w:val="002060"/>
          <w:sz w:val="16"/>
          <w:szCs w:val="16"/>
        </w:rPr>
      </w:pPr>
      <w:r w:rsidRPr="00405303">
        <w:rPr>
          <w:bCs/>
          <w:color w:val="002060"/>
          <w:sz w:val="16"/>
          <w:szCs w:val="16"/>
        </w:rPr>
        <w:t>4 (17) июня 1915 г. вышел приказ ВГК №422, в соответствии с которым в составе САО были предусмотрены должности пяти летчиков-офицеров, а также одного летчика и двух пулеметчиков из нижних чинов (предпочтение здесь отдавалось старшим унтер-офицерам). В качестве вооружения отряд имел 8 летательных аппаратов (4 действующих и 4 запасных). Непосредственно формирование отряда было возложено на начальника Военной авиационной школы (г. Гатчина) полковника С.А. Ульянина. В дальнейшем все вопросы по формированию САО были переложены на руководство 1 авиационной роты, расквартированной в Петрограде.</w:t>
      </w:r>
    </w:p>
    <w:p w14:paraId="6208FEF8" w14:textId="77777777" w:rsidR="004B4E35" w:rsidRPr="00405303" w:rsidRDefault="009E6F82" w:rsidP="00C15251">
      <w:pPr>
        <w:jc w:val="both"/>
        <w:rPr>
          <w:bCs/>
          <w:color w:val="002060"/>
          <w:sz w:val="16"/>
          <w:szCs w:val="16"/>
        </w:rPr>
      </w:pPr>
      <w:r w:rsidRPr="00405303">
        <w:rPr>
          <w:bCs/>
          <w:color w:val="002060"/>
          <w:sz w:val="16"/>
          <w:szCs w:val="16"/>
        </w:rPr>
        <w:t>В первый состав отряда были включены наиболее подготовленные летчики, имевшие уже определенный боевой опыт на фронте. В 20-х числах июня в отряд прибыл его командир штабс-капитан В. Павленко со своим аэропланом «Румплер» (11162).</w:t>
      </w:r>
    </w:p>
    <w:p w14:paraId="0E2A5D6B" w14:textId="77777777" w:rsidR="004B4E35" w:rsidRPr="00405303" w:rsidRDefault="004B4E35" w:rsidP="00C15251">
      <w:pPr>
        <w:jc w:val="both"/>
        <w:rPr>
          <w:bCs/>
          <w:color w:val="002060"/>
          <w:sz w:val="16"/>
          <w:szCs w:val="16"/>
        </w:rPr>
      </w:pPr>
    </w:p>
    <w:p w14:paraId="0A4E85E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 (17) июня 1915 Командир 33 КАО штабс-капитан Иван Иванович Масальский сбросил в районе Роговино в неприятельские окопы и на обозы 800 стрел и гвоздей, а 13 июня в районе Чаржаото сбросил шесть бомб с газами и 800 стрел и гвоздей. Было и такое оружие в авиации (ЦГВИА. ф.2008, д.119, л.54$ Приказ № 2471 по 1-й армии за 8 июля 1915 г.).</w:t>
      </w:r>
    </w:p>
    <w:p w14:paraId="0172981A" w14:textId="77777777" w:rsidR="004B4E35" w:rsidRPr="00405303" w:rsidRDefault="004B4E35" w:rsidP="00C15251">
      <w:pPr>
        <w:shd w:val="clear" w:color="auto" w:fill="FFFFFF"/>
        <w:jc w:val="both"/>
        <w:rPr>
          <w:bCs/>
          <w:color w:val="002060"/>
          <w:sz w:val="16"/>
          <w:szCs w:val="16"/>
        </w:rPr>
      </w:pPr>
    </w:p>
    <w:p w14:paraId="66C930F4" w14:textId="77777777" w:rsidR="003134AF" w:rsidRPr="00405303" w:rsidRDefault="003134AF" w:rsidP="00C15251">
      <w:pPr>
        <w:jc w:val="both"/>
        <w:rPr>
          <w:bCs/>
          <w:color w:val="002060"/>
          <w:sz w:val="16"/>
          <w:szCs w:val="16"/>
        </w:rPr>
      </w:pPr>
      <w:r w:rsidRPr="00405303">
        <w:rPr>
          <w:bCs/>
          <w:color w:val="002060"/>
          <w:sz w:val="16"/>
          <w:szCs w:val="16"/>
        </w:rPr>
        <w:t>4 (17) июня 1915 г. командир 33 KAO шт. -капитан Иван Иванович Масальский сбросил в Районе Роговино в неприятельские окопы и на обозы 800 стрел и гвоздей, а 13 июня в районе Чаржасте сбросил шесть бомб с газами и 800 стрел и гвоздей. Было и такое оружие в авиации.</w:t>
      </w:r>
    </w:p>
    <w:p w14:paraId="4F67F12F" w14:textId="77777777" w:rsidR="003134AF" w:rsidRPr="00405303" w:rsidRDefault="003134AF" w:rsidP="00C15251">
      <w:pPr>
        <w:jc w:val="both"/>
        <w:rPr>
          <w:bCs/>
          <w:color w:val="002060"/>
          <w:sz w:val="16"/>
          <w:szCs w:val="16"/>
        </w:rPr>
      </w:pPr>
      <w:r w:rsidRPr="00405303">
        <w:rPr>
          <w:bCs/>
          <w:color w:val="002060"/>
          <w:sz w:val="16"/>
          <w:szCs w:val="16"/>
        </w:rPr>
        <w:t>/ЦГВИА, ф. 2008, д. 119, л. 54; Приказ по 1-й армии за 8.7.15 № 2471/ (23320).</w:t>
      </w:r>
    </w:p>
    <w:p w14:paraId="619C6B2B" w14:textId="77777777" w:rsidR="003134AF" w:rsidRPr="00405303" w:rsidRDefault="003134AF" w:rsidP="00C15251">
      <w:pPr>
        <w:jc w:val="both"/>
        <w:rPr>
          <w:bCs/>
          <w:color w:val="002060"/>
          <w:sz w:val="16"/>
          <w:szCs w:val="16"/>
        </w:rPr>
      </w:pPr>
    </w:p>
    <w:p w14:paraId="5CEF5974" w14:textId="08000999" w:rsidR="00B83BDB" w:rsidRPr="00405303" w:rsidRDefault="00B83BDB" w:rsidP="00C15251">
      <w:pPr>
        <w:shd w:val="clear" w:color="auto" w:fill="FFFFFF"/>
        <w:jc w:val="both"/>
        <w:rPr>
          <w:bCs/>
          <w:color w:val="002060"/>
          <w:sz w:val="16"/>
          <w:szCs w:val="16"/>
          <w:shd w:val="clear" w:color="auto" w:fill="FFFFFF"/>
        </w:rPr>
      </w:pPr>
      <w:r w:rsidRPr="00405303">
        <w:rPr>
          <w:bCs/>
          <w:color w:val="002060"/>
          <w:sz w:val="16"/>
          <w:szCs w:val="16"/>
          <w:shd w:val="clear" w:color="auto" w:fill="FFFFFF"/>
        </w:rPr>
        <w:t xml:space="preserve">4 (17) июня 1915 г. </w:t>
      </w:r>
      <w:r w:rsidR="002A027E" w:rsidRPr="00405303">
        <w:rPr>
          <w:bCs/>
          <w:color w:val="002060"/>
          <w:sz w:val="16"/>
          <w:szCs w:val="16"/>
          <w:shd w:val="clear" w:color="auto" w:fill="FFFFFF"/>
        </w:rPr>
        <w:t xml:space="preserve">было </w:t>
      </w:r>
      <w:r w:rsidRPr="00405303">
        <w:rPr>
          <w:bCs/>
          <w:color w:val="002060"/>
          <w:sz w:val="16"/>
          <w:szCs w:val="16"/>
          <w:shd w:val="clear" w:color="auto" w:fill="FFFFFF"/>
        </w:rPr>
        <w:t>письмо великого князя Михаила Александровича супруге Н. С. Брасовой:</w:t>
      </w:r>
      <w:r w:rsidR="00DB4D64" w:rsidRPr="00405303">
        <w:rPr>
          <w:bCs/>
          <w:color w:val="002060"/>
          <w:sz w:val="16"/>
          <w:szCs w:val="16"/>
          <w:shd w:val="clear" w:color="auto" w:fill="FFFFFF"/>
        </w:rPr>
        <w:t xml:space="preserve"> </w:t>
      </w:r>
      <w:r w:rsidRPr="00405303">
        <w:rPr>
          <w:bCs/>
          <w:color w:val="002060"/>
          <w:sz w:val="16"/>
          <w:szCs w:val="16"/>
          <w:bdr w:val="none" w:sz="0" w:space="0" w:color="auto" w:frame="1"/>
          <w:shd w:val="clear" w:color="auto" w:fill="FFFFFF"/>
        </w:rPr>
        <w:t>«На днях мы пошли к нашим летчикам. Их человек 5-6. они очень симпатичные и напоминают мне моряков. Они получили</w:t>
      </w:r>
      <w:r w:rsidR="002A027E" w:rsidRPr="00405303">
        <w:rPr>
          <w:bCs/>
          <w:color w:val="002060"/>
          <w:sz w:val="16"/>
          <w:szCs w:val="16"/>
          <w:bdr w:val="none" w:sz="0" w:space="0" w:color="auto" w:frame="1"/>
          <w:shd w:val="clear" w:color="auto" w:fill="FFFFFF"/>
        </w:rPr>
        <w:t xml:space="preserve"> </w:t>
      </w:r>
      <w:r w:rsidRPr="00405303">
        <w:rPr>
          <w:bCs/>
          <w:color w:val="002060"/>
          <w:sz w:val="16"/>
          <w:szCs w:val="16"/>
          <w:bdr w:val="none" w:sz="0" w:space="0" w:color="auto" w:frame="1"/>
          <w:shd w:val="clear" w:color="auto" w:fill="FFFFFF"/>
        </w:rPr>
        <w:t xml:space="preserve">французский аппарат, который так хотели получить, системы “Voisin” мотор в 130 сил, скорость 120 верст в час, т.е. на 20 в[ерст] быстрее немецких аэропланов. В 20-х числах апреля я написал (по просьбе летчиков) письмо Александру Михайловичу], а когда вернулся сюда, просимый аппарат был уже получен, а на днях ожидается еще один той же </w:t>
      </w:r>
      <w:proofErr w:type="gramStart"/>
      <w:r w:rsidRPr="00405303">
        <w:rPr>
          <w:bCs/>
          <w:color w:val="002060"/>
          <w:sz w:val="16"/>
          <w:szCs w:val="16"/>
          <w:bdr w:val="none" w:sz="0" w:space="0" w:color="auto" w:frame="1"/>
          <w:shd w:val="clear" w:color="auto" w:fill="FFFFFF"/>
        </w:rPr>
        <w:t>системы»{</w:t>
      </w:r>
      <w:proofErr w:type="gramEnd"/>
      <w:r w:rsidRPr="00405303">
        <w:rPr>
          <w:bCs/>
          <w:color w:val="002060"/>
          <w:sz w:val="16"/>
          <w:szCs w:val="16"/>
          <w:shd w:val="clear" w:color="auto" w:fill="FFFFFF"/>
        </w:rPr>
        <w:t xml:space="preserve"> ГАРФ. Ф. 622. Oп. 1. Д. 20. Л. 89-90.</w:t>
      </w:r>
      <w:r w:rsidRPr="00405303">
        <w:rPr>
          <w:bCs/>
          <w:color w:val="002060"/>
          <w:sz w:val="16"/>
          <w:szCs w:val="16"/>
          <w:bdr w:val="none" w:sz="0" w:space="0" w:color="auto" w:frame="1"/>
          <w:shd w:val="clear" w:color="auto" w:fill="FFFFFF"/>
        </w:rPr>
        <w:t>} (19949)</w:t>
      </w:r>
      <w:r w:rsidRPr="00405303">
        <w:rPr>
          <w:bCs/>
          <w:color w:val="002060"/>
          <w:sz w:val="16"/>
          <w:szCs w:val="16"/>
          <w:shd w:val="clear" w:color="auto" w:fill="FFFFFF"/>
        </w:rPr>
        <w:t xml:space="preserve">. </w:t>
      </w:r>
    </w:p>
    <w:p w14:paraId="6547A3C9" w14:textId="77777777" w:rsidR="00B83BDB" w:rsidRPr="00405303" w:rsidRDefault="00B83BDB" w:rsidP="00C15251">
      <w:pPr>
        <w:shd w:val="clear" w:color="auto" w:fill="FFFFFF"/>
        <w:jc w:val="both"/>
        <w:rPr>
          <w:bCs/>
          <w:color w:val="002060"/>
          <w:sz w:val="16"/>
          <w:szCs w:val="16"/>
          <w:shd w:val="clear" w:color="auto" w:fill="FFFFFF"/>
        </w:rPr>
      </w:pPr>
    </w:p>
    <w:p w14:paraId="1B431FF2" w14:textId="77777777" w:rsidR="00402FF2" w:rsidRPr="00405303" w:rsidRDefault="00402FF2" w:rsidP="00402FF2">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В период 4-7 (17–20) июня 1915 г. германская авиация подвергла бомбардировке г. Радом, Остраленка, Пултуск, д. Снядово и Разводов (25135).</w:t>
      </w:r>
    </w:p>
    <w:p w14:paraId="792D3CA2" w14:textId="77777777" w:rsidR="00402FF2" w:rsidRPr="00405303" w:rsidRDefault="00402FF2" w:rsidP="00402FF2">
      <w:pPr>
        <w:jc w:val="both"/>
        <w:rPr>
          <w:color w:val="0070C0"/>
          <w:sz w:val="16"/>
          <w:szCs w:val="16"/>
        </w:rPr>
      </w:pPr>
    </w:p>
    <w:p w14:paraId="0B268F51" w14:textId="1529BCD8" w:rsidR="00014995" w:rsidRPr="00405303" w:rsidRDefault="00014995" w:rsidP="00C15251">
      <w:pPr>
        <w:pStyle w:val="a3"/>
        <w:jc w:val="both"/>
        <w:rPr>
          <w:bCs/>
          <w:color w:val="002060"/>
          <w:spacing w:val="0"/>
          <w:kern w:val="0"/>
          <w:position w:val="0"/>
          <w:sz w:val="16"/>
          <w:szCs w:val="16"/>
        </w:rPr>
      </w:pPr>
      <w:r w:rsidRPr="00405303">
        <w:rPr>
          <w:bCs/>
          <w:color w:val="002060"/>
          <w:spacing w:val="0"/>
          <w:kern w:val="0"/>
          <w:position w:val="0"/>
          <w:sz w:val="16"/>
          <w:szCs w:val="16"/>
        </w:rPr>
        <w:t>Морская авиация:</w:t>
      </w:r>
    </w:p>
    <w:p w14:paraId="0BF7FE6C" w14:textId="77777777" w:rsidR="00014995" w:rsidRPr="00405303" w:rsidRDefault="00014995" w:rsidP="00C15251">
      <w:pPr>
        <w:pStyle w:val="a3"/>
        <w:jc w:val="both"/>
        <w:rPr>
          <w:bCs/>
          <w:color w:val="002060"/>
          <w:spacing w:val="0"/>
          <w:kern w:val="0"/>
          <w:position w:val="0"/>
          <w:sz w:val="16"/>
          <w:szCs w:val="16"/>
        </w:rPr>
      </w:pPr>
    </w:p>
    <w:p w14:paraId="43E82E8E" w14:textId="42C6EE0F" w:rsidR="00014995" w:rsidRPr="00405303" w:rsidRDefault="00014995" w:rsidP="00C15251">
      <w:pPr>
        <w:jc w:val="both"/>
        <w:rPr>
          <w:bCs/>
          <w:color w:val="002060"/>
          <w:sz w:val="16"/>
          <w:szCs w:val="16"/>
        </w:rPr>
      </w:pPr>
      <w:r w:rsidRPr="00405303">
        <w:rPr>
          <w:bCs/>
          <w:color w:val="002060"/>
          <w:sz w:val="16"/>
          <w:szCs w:val="16"/>
        </w:rPr>
        <w:t xml:space="preserve">4 </w:t>
      </w:r>
      <w:r w:rsidR="003F1867" w:rsidRPr="00405303">
        <w:rPr>
          <w:bCs/>
          <w:color w:val="002060"/>
          <w:sz w:val="16"/>
          <w:szCs w:val="16"/>
        </w:rPr>
        <w:t xml:space="preserve">(17) </w:t>
      </w:r>
      <w:r w:rsidRPr="00405303">
        <w:rPr>
          <w:bCs/>
          <w:color w:val="002060"/>
          <w:sz w:val="16"/>
          <w:szCs w:val="16"/>
        </w:rPr>
        <w:t>июня 1915 г. утром германские гидроаэропланы совершили налет на группу наших миноносцев, находившихся в дозоре у Михайловского маяка (Ирбенский пролив). Одно из воздушных судов пересекло курс миноносцев и сбросило две бомбы на миноносец, двигавшийся в арьергарде кильватерной колонны. Затем были атакованы средний и головной русские корабли (без какого-либо ущерба). Некоторые из бомб кувыркались в воздухе и при ударе о воду не взрывались, взорвавшиеся бомбы давали большие столбы черного дыма. Оказавшись в зоне зенитного огня (стрельба велась из 100-мм орудий и пулеметов миноносцев), гидроаэроплан противника направился к маяку Церель, где подвергся обстрелу со стороны канонерской лодки «Грозящий». Чтобы не подвергать себя риску, немецкий экипаж изменил курс и направил свой летательный аппарат в открытое море (в сторону авиаматки)</w:t>
      </w:r>
      <w:hyperlink w:anchor="bookmark1247" w:tooltip="Current Document">
        <w:r w:rsidRPr="00405303">
          <w:rPr>
            <w:rStyle w:val="ad"/>
            <w:bCs/>
            <w:color w:val="002060"/>
            <w:sz w:val="16"/>
            <w:szCs w:val="16"/>
          </w:rPr>
          <w:t>[—]</w:t>
        </w:r>
      </w:hyperlink>
      <w:r w:rsidRPr="00405303">
        <w:rPr>
          <w:bCs/>
          <w:color w:val="002060"/>
          <w:sz w:val="16"/>
          <w:szCs w:val="16"/>
        </w:rPr>
        <w:t>.</w:t>
      </w:r>
    </w:p>
    <w:p w14:paraId="3D4ED5B4" w14:textId="77777777" w:rsidR="00014995" w:rsidRPr="00405303" w:rsidRDefault="00014995" w:rsidP="00C15251">
      <w:pPr>
        <w:jc w:val="both"/>
        <w:rPr>
          <w:bCs/>
          <w:color w:val="002060"/>
          <w:sz w:val="16"/>
          <w:szCs w:val="16"/>
        </w:rPr>
      </w:pPr>
      <w:r w:rsidRPr="00405303">
        <w:rPr>
          <w:bCs/>
          <w:color w:val="002060"/>
          <w:sz w:val="16"/>
          <w:szCs w:val="16"/>
        </w:rPr>
        <w:t xml:space="preserve">По некоторым сообщениям, в тот же день в 25 морских милях от о. Готланд германский гидроаэроплан атаковал нашу подводную лодку, </w:t>
      </w:r>
      <w:bookmarkStart w:id="162" w:name="bookmark184"/>
      <w:r w:rsidRPr="00405303">
        <w:rPr>
          <w:bCs/>
          <w:color w:val="002060"/>
          <w:sz w:val="16"/>
          <w:szCs w:val="16"/>
        </w:rPr>
        <w:t>находившуюся в то время в надводном положений (23405).</w:t>
      </w:r>
      <w:bookmarkEnd w:id="162"/>
    </w:p>
    <w:p w14:paraId="1469253F" w14:textId="77777777" w:rsidR="00014995" w:rsidRPr="00405303" w:rsidRDefault="00014995" w:rsidP="00C15251">
      <w:pPr>
        <w:jc w:val="both"/>
        <w:rPr>
          <w:bCs/>
          <w:color w:val="002060"/>
          <w:sz w:val="16"/>
          <w:szCs w:val="16"/>
          <w:lang w:bidi="ru-RU"/>
        </w:rPr>
      </w:pPr>
    </w:p>
    <w:p w14:paraId="3CF483E8" w14:textId="6154C435" w:rsidR="002A027E" w:rsidRPr="00405303" w:rsidRDefault="002A027E"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 и воздухоплавание Англии:</w:t>
      </w:r>
    </w:p>
    <w:p w14:paraId="0B7522B1" w14:textId="77777777" w:rsidR="002A027E" w:rsidRPr="00405303" w:rsidRDefault="002A027E" w:rsidP="00C15251">
      <w:pPr>
        <w:pStyle w:val="a3"/>
        <w:jc w:val="both"/>
        <w:rPr>
          <w:bCs/>
          <w:color w:val="002060"/>
          <w:spacing w:val="0"/>
          <w:kern w:val="0"/>
          <w:position w:val="0"/>
          <w:sz w:val="16"/>
          <w:szCs w:val="16"/>
        </w:rPr>
      </w:pPr>
    </w:p>
    <w:p w14:paraId="2E910A7E" w14:textId="77777777" w:rsidR="002A027E" w:rsidRPr="00405303" w:rsidRDefault="002A027E" w:rsidP="00C15251">
      <w:pPr>
        <w:jc w:val="both"/>
        <w:rPr>
          <w:bCs/>
          <w:color w:val="002060"/>
          <w:sz w:val="16"/>
          <w:szCs w:val="16"/>
        </w:rPr>
      </w:pPr>
      <w:r w:rsidRPr="00405303">
        <w:rPr>
          <w:bCs/>
          <w:color w:val="002060"/>
          <w:sz w:val="16"/>
          <w:szCs w:val="16"/>
        </w:rPr>
        <w:t>4 (17) июня -1915 вскоре после церемонии в Париже, на которой он получает Почетный легион Франции за сбитый 7 июня Zeppelin LZ 37, младший лейтенант Королевской морской авиации Реджинальд Уорнефорд погибает вместе с американским журналистом Генри Бичем Ньюманом в катастрофе в результате крушения нового биплана Фарман при взлете из Бука, Франция (20338).</w:t>
      </w:r>
    </w:p>
    <w:p w14:paraId="0D4C475D" w14:textId="77777777" w:rsidR="002A027E" w:rsidRPr="00405303" w:rsidRDefault="002A027E" w:rsidP="00C15251">
      <w:pPr>
        <w:jc w:val="both"/>
        <w:rPr>
          <w:bCs/>
          <w:color w:val="002060"/>
          <w:sz w:val="16"/>
          <w:szCs w:val="16"/>
        </w:rPr>
      </w:pPr>
    </w:p>
    <w:p w14:paraId="2441D9FD"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0D548FC3" w14:textId="77777777" w:rsidR="004B4E35" w:rsidRPr="00405303" w:rsidRDefault="004B4E35" w:rsidP="00C15251">
      <w:pPr>
        <w:jc w:val="both"/>
        <w:rPr>
          <w:bCs/>
          <w:i/>
          <w:color w:val="002060"/>
          <w:sz w:val="16"/>
          <w:szCs w:val="16"/>
        </w:rPr>
      </w:pPr>
    </w:p>
    <w:p w14:paraId="2EB7167A" w14:textId="60CDAF16" w:rsidR="006B3741" w:rsidRPr="00405303" w:rsidRDefault="006B3741" w:rsidP="00C15251">
      <w:pPr>
        <w:jc w:val="both"/>
        <w:rPr>
          <w:bCs/>
          <w:color w:val="002060"/>
          <w:sz w:val="16"/>
          <w:szCs w:val="16"/>
        </w:rPr>
      </w:pPr>
      <w:r w:rsidRPr="00405303">
        <w:rPr>
          <w:bCs/>
          <w:color w:val="002060"/>
          <w:sz w:val="16"/>
          <w:szCs w:val="16"/>
          <w:lang w:bidi="en-US"/>
        </w:rPr>
        <w:t>5 (18) июня 1915 г. в Москве открылась особая конференция, уполномоченная царем. Он создал Центральный комитет военной промышленности, которому было поручено справиться с огромными и постоянными проблемами снабжения (23525).</w:t>
      </w:r>
    </w:p>
    <w:p w14:paraId="40E6082F" w14:textId="77777777" w:rsidR="006B3741" w:rsidRPr="00405303" w:rsidRDefault="006B3741" w:rsidP="00C15251">
      <w:pPr>
        <w:jc w:val="both"/>
        <w:rPr>
          <w:bCs/>
          <w:color w:val="002060"/>
          <w:sz w:val="16"/>
          <w:szCs w:val="16"/>
          <w:lang w:bidi="en-US"/>
        </w:rPr>
      </w:pPr>
    </w:p>
    <w:p w14:paraId="53D4BFF3" w14:textId="728E9B60" w:rsidR="006B3741" w:rsidRPr="00405303" w:rsidRDefault="006B3741" w:rsidP="00C15251">
      <w:pPr>
        <w:jc w:val="both"/>
        <w:rPr>
          <w:bCs/>
          <w:color w:val="002060"/>
          <w:sz w:val="16"/>
          <w:szCs w:val="16"/>
        </w:rPr>
      </w:pPr>
      <w:r w:rsidRPr="00405303">
        <w:rPr>
          <w:bCs/>
          <w:color w:val="002060"/>
          <w:sz w:val="16"/>
          <w:szCs w:val="16"/>
          <w:lang w:bidi="en-US"/>
        </w:rPr>
        <w:t>5-6 (18-19) июня 1915 г. в Москве прошел съезд Союза земств и Союза городов под председательством князя Георгия Львова. Обсуждения выявили бессилие Комитета мобилизовать ресурсы страны на службу армии. Князь Львов требовал решения всей страны.</w:t>
      </w:r>
    </w:p>
    <w:p w14:paraId="23D4B50E" w14:textId="77777777" w:rsidR="006B3741" w:rsidRPr="00405303" w:rsidRDefault="006B3741" w:rsidP="00C15251">
      <w:pPr>
        <w:jc w:val="both"/>
        <w:rPr>
          <w:bCs/>
          <w:color w:val="002060"/>
          <w:sz w:val="16"/>
          <w:szCs w:val="16"/>
        </w:rPr>
      </w:pPr>
      <w:r w:rsidRPr="00405303">
        <w:rPr>
          <w:bCs/>
          <w:color w:val="002060"/>
          <w:sz w:val="16"/>
          <w:szCs w:val="16"/>
          <w:lang w:bidi="en-US"/>
        </w:rPr>
        <w:t>Были составлены практические программы, но различные бюрократические придирки, требования промышленников, да плюс происки Ставки, — все тормозило конкретные действия. В июне Алексей Путилов, богатый русский промышленник и производитель оружия, встретился в Петрограде с французским послом Палеологом, сообщив ему, что дни царизма сочтены; что революция неизбежна; Военный кризис — это не просто техническая проблема, нужно было решить вопрос о рабочей силе и производстве; наконец, что вся административная система России должна быть реформирована сверху донизу (23525).</w:t>
      </w:r>
    </w:p>
    <w:p w14:paraId="3232A384" w14:textId="77777777" w:rsidR="006B3741" w:rsidRPr="00405303" w:rsidRDefault="006B3741" w:rsidP="00C15251">
      <w:pPr>
        <w:jc w:val="both"/>
        <w:rPr>
          <w:bCs/>
          <w:color w:val="002060"/>
          <w:sz w:val="16"/>
          <w:szCs w:val="16"/>
          <w:lang w:bidi="ru-RU"/>
        </w:rPr>
      </w:pPr>
    </w:p>
    <w:p w14:paraId="318319E1" w14:textId="77777777" w:rsidR="002A027E"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5 (18) июня 1915 г., </w:t>
      </w:r>
      <w:r w:rsidR="002A027E" w:rsidRPr="00405303">
        <w:rPr>
          <w:bCs/>
          <w:i w:val="0"/>
          <w:color w:val="002060"/>
          <w:spacing w:val="0"/>
          <w:kern w:val="0"/>
          <w:position w:val="0"/>
          <w:sz w:val="16"/>
          <w:szCs w:val="16"/>
        </w:rPr>
        <w:t xml:space="preserve">начав работу, </w:t>
      </w:r>
      <w:r w:rsidRPr="00405303">
        <w:rPr>
          <w:bCs/>
          <w:i w:val="0"/>
          <w:color w:val="002060"/>
          <w:spacing w:val="0"/>
          <w:kern w:val="0"/>
          <w:position w:val="0"/>
          <w:sz w:val="16"/>
          <w:szCs w:val="16"/>
        </w:rPr>
        <w:t>Комитет военно-технической помощи осуществлял инструкторскую деятельность. Были организованы курсы военно-строительных техников, старших десятников, автомобильных механиков, автомобильных шоферов, авиационно-наблюдательные курсы, курсы фототехников, электротехников, инструкторов по термохимической обработке стали, инструкторов по газовому делу, химиков-браковщиков по пороху</w:t>
      </w:r>
      <w:r w:rsidR="002A027E" w:rsidRPr="00405303">
        <w:rPr>
          <w:bCs/>
          <w:i w:val="0"/>
          <w:color w:val="002060"/>
          <w:spacing w:val="0"/>
          <w:kern w:val="0"/>
          <w:position w:val="0"/>
          <w:sz w:val="16"/>
          <w:szCs w:val="16"/>
        </w:rPr>
        <w:t>.</w:t>
      </w:r>
    </w:p>
    <w:p w14:paraId="001BEA72" w14:textId="35A0E5CF" w:rsidR="004B4E35" w:rsidRPr="00405303" w:rsidRDefault="002A027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Кроме Земсоюза, Согора, Земгора и ВПК действовал в России в годы войны Комитет военно-технической помощи («Техпомощь»), который был консультативно-вспомогательной организацией ученых и техников. Его целью было установление связи между специалистами различных областей на почве обороны. Ядром Комитета было Русское техническое общество, которое в сентябре 1914 г. выделило организацию — Комиссию по промышленности. Затем Комиссия превратилась в Комитет путем слияния комиссий военно-технической и санитарно-технической помощи с девятнадцатью другими общественными организациями технического характера</w:t>
      </w:r>
      <w:r w:rsidR="009E6F82" w:rsidRPr="00405303">
        <w:rPr>
          <w:bCs/>
          <w:i w:val="0"/>
          <w:color w:val="002060"/>
          <w:spacing w:val="0"/>
          <w:kern w:val="0"/>
          <w:position w:val="0"/>
          <w:sz w:val="16"/>
          <w:szCs w:val="16"/>
        </w:rPr>
        <w:t xml:space="preserve"> (11270).</w:t>
      </w:r>
    </w:p>
    <w:p w14:paraId="49FDD4E4" w14:textId="77777777" w:rsidR="004B4E35" w:rsidRPr="00405303" w:rsidRDefault="004B4E35" w:rsidP="00C15251">
      <w:pPr>
        <w:pStyle w:val="a3"/>
        <w:jc w:val="both"/>
        <w:rPr>
          <w:bCs/>
          <w:i w:val="0"/>
          <w:color w:val="002060"/>
          <w:spacing w:val="0"/>
          <w:kern w:val="0"/>
          <w:position w:val="0"/>
          <w:sz w:val="16"/>
          <w:szCs w:val="16"/>
        </w:rPr>
      </w:pPr>
    </w:p>
    <w:p w14:paraId="2A7E3192" w14:textId="77777777" w:rsidR="008B1C92" w:rsidRPr="00405303" w:rsidRDefault="008B1C92" w:rsidP="00C15251">
      <w:pPr>
        <w:jc w:val="both"/>
        <w:rPr>
          <w:bCs/>
          <w:i/>
          <w:color w:val="002060"/>
          <w:sz w:val="16"/>
          <w:szCs w:val="16"/>
        </w:rPr>
      </w:pPr>
      <w:r w:rsidRPr="00405303">
        <w:rPr>
          <w:bCs/>
          <w:i/>
          <w:color w:val="002060"/>
          <w:sz w:val="16"/>
          <w:szCs w:val="16"/>
        </w:rPr>
        <w:t>За рубежом:</w:t>
      </w:r>
    </w:p>
    <w:p w14:paraId="46406F74" w14:textId="77777777" w:rsidR="008B1C92" w:rsidRPr="00405303" w:rsidRDefault="008B1C92" w:rsidP="00C15251">
      <w:pPr>
        <w:jc w:val="both"/>
        <w:rPr>
          <w:bCs/>
          <w:color w:val="002060"/>
          <w:sz w:val="16"/>
          <w:szCs w:val="16"/>
        </w:rPr>
      </w:pPr>
    </w:p>
    <w:p w14:paraId="31007E92" w14:textId="057C8240" w:rsidR="008B1C92" w:rsidRPr="00405303" w:rsidRDefault="008B1C92" w:rsidP="00C15251">
      <w:pPr>
        <w:jc w:val="both"/>
        <w:rPr>
          <w:bCs/>
          <w:color w:val="002060"/>
          <w:sz w:val="16"/>
          <w:szCs w:val="16"/>
        </w:rPr>
      </w:pPr>
      <w:r w:rsidRPr="00405303">
        <w:rPr>
          <w:bCs/>
          <w:color w:val="002060"/>
          <w:sz w:val="16"/>
          <w:szCs w:val="16"/>
        </w:rPr>
        <w:t>5 (18) июня в 1915 году в Глазго два английских торговца металлами посажены в тюрьму за торговлю с немецкой фирмой Круппа (14926).</w:t>
      </w:r>
    </w:p>
    <w:p w14:paraId="7B04812D" w14:textId="77777777" w:rsidR="008B1C92" w:rsidRPr="00405303" w:rsidRDefault="008B1C92" w:rsidP="00C15251">
      <w:pPr>
        <w:jc w:val="both"/>
        <w:rPr>
          <w:bCs/>
          <w:color w:val="002060"/>
          <w:sz w:val="16"/>
          <w:szCs w:val="16"/>
        </w:rPr>
      </w:pPr>
    </w:p>
    <w:p w14:paraId="29DD1D3D"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Другие оборонные отрасли:</w:t>
      </w:r>
    </w:p>
    <w:p w14:paraId="22B774A5" w14:textId="77777777" w:rsidR="004B4E35" w:rsidRPr="00405303" w:rsidRDefault="004B4E35" w:rsidP="00C15251">
      <w:pPr>
        <w:pStyle w:val="a3"/>
        <w:jc w:val="both"/>
        <w:rPr>
          <w:bCs/>
          <w:color w:val="002060"/>
          <w:spacing w:val="0"/>
          <w:kern w:val="0"/>
          <w:position w:val="0"/>
          <w:sz w:val="16"/>
          <w:szCs w:val="16"/>
        </w:rPr>
      </w:pPr>
    </w:p>
    <w:p w14:paraId="129523F9" w14:textId="3933940E"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6 (19) июня </w:t>
      </w:r>
      <w:r w:rsidR="002A027E" w:rsidRPr="00405303">
        <w:rPr>
          <w:bCs/>
          <w:i w:val="0"/>
          <w:color w:val="002060"/>
          <w:spacing w:val="0"/>
          <w:kern w:val="0"/>
          <w:position w:val="0"/>
          <w:sz w:val="16"/>
          <w:szCs w:val="16"/>
        </w:rPr>
        <w:t xml:space="preserve">1915 г. </w:t>
      </w:r>
      <w:r w:rsidRPr="00405303">
        <w:rPr>
          <w:bCs/>
          <w:i w:val="0"/>
          <w:color w:val="002060"/>
          <w:spacing w:val="0"/>
          <w:kern w:val="0"/>
          <w:position w:val="0"/>
          <w:sz w:val="16"/>
          <w:szCs w:val="16"/>
        </w:rPr>
        <w:t xml:space="preserve">начальник Штаба верховного главнокомандующего ответил председателю комиссии, что "ориентировка Петрограда о возможных надеждах на усиленный приток снабжения и политические условия привели к необходимости принять предложение лорда Китченера, обещавшего полную гарантию исполнения заказов при 25-процентном задатке. </w:t>
      </w:r>
    </w:p>
    <w:p w14:paraId="7E91D29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Вся ответственность переходит на Штаб верховного главнокомандующего при согласии с необходимостью заказа совещания военного министра, в котором участвуют председатель и члены Думы". </w:t>
      </w:r>
    </w:p>
    <w:p w14:paraId="3B498BA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одном из следующих заседаний английской комиссии количество 76-мм патронов 9,5 млн. было заменено уже 12 млн., причем единственной предоставляемой гарантией являлось право отказа в случае несвоевременного исполнения контракта. </w:t>
      </w:r>
    </w:p>
    <w:p w14:paraId="0F7E7B2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26 июня ген. Гермониус донес, что в пятом заседании комиссии вновь обсуждался вопрос о распределении русских заказов между американскими заводами, причем существенную роль в разрешении вопросов играли представители Моргана. При этом председатель английской комиссии предложил спросить верховного главнокомандующего, нужно ли еще заказывать снаряды сверх тех, о которых уже было условлено. Ген. Гермониус высказался, что подобное предложение не должно исходить от комиссии, так как ничего похожего на попечительство о русском снабжении не должно исходить от английского военного министерства. Тогда председатель заявил, что телеграмма будет послана от имени лорда Китченера. </w:t>
      </w:r>
    </w:p>
    <w:p w14:paraId="02465A1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Таким образом, лорд Китченер окончательно сделал это дело своей монополией, отстранив от обсуждения вопроса даже ген. Гермониуса и сносясь только со Ставкой верховного главнокомандующего. </w:t>
      </w:r>
    </w:p>
    <w:p w14:paraId="5FFAC13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дальнейшем против этой опеки Англии старалось бороться и Особое совещание по обороне государства, но толку из этого вышло также мало, ибо, очутившись в положении бедной приживалки у богатых родственников, царская Россия могла только делать вид протестующей, на самом же деле с нею считались очень мало. </w:t>
      </w:r>
    </w:p>
    <w:p w14:paraId="31D2BF1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Вскоре по делам "несостоятельной" России образовался целый "опекунский совет" союзниц, который и выделил в январе 1917 г. своих представителей на Межсоюзную конференцию в Петрограде, чтобы окончательно решить, как обойтись с назойливыми просьбами русских властей о разного рода "вспомоществованиях". Результаты этой конференции помещены в особом отчете, о котором неоднократно будет упоминаться. </w:t>
      </w:r>
    </w:p>
    <w:p w14:paraId="7CFA702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Странное поведение Ставки в 1915 г. в отношении заказов боевых припасов за границей возможно объяснить, с одной стороны, политическими соображениями Ставки, всячески заискивавшей у "союзников", с другой стороны, растерянностью Ставки и боязнью проиграть войну из-за недостатка снарядов (11483).</w:t>
      </w:r>
    </w:p>
    <w:p w14:paraId="2EACB5D3" w14:textId="77777777" w:rsidR="004B4E35" w:rsidRPr="00405303" w:rsidRDefault="004B4E35" w:rsidP="00C15251">
      <w:pPr>
        <w:pStyle w:val="a3"/>
        <w:jc w:val="both"/>
        <w:rPr>
          <w:bCs/>
          <w:i w:val="0"/>
          <w:color w:val="002060"/>
          <w:spacing w:val="0"/>
          <w:kern w:val="0"/>
          <w:position w:val="0"/>
          <w:sz w:val="16"/>
          <w:szCs w:val="16"/>
        </w:rPr>
      </w:pPr>
    </w:p>
    <w:p w14:paraId="32C821AA"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Другие оборонные отрасли:</w:t>
      </w:r>
    </w:p>
    <w:p w14:paraId="42C05192" w14:textId="77777777" w:rsidR="004B4E35" w:rsidRPr="00405303" w:rsidRDefault="004B4E35" w:rsidP="00C15251">
      <w:pPr>
        <w:pStyle w:val="a3"/>
        <w:jc w:val="both"/>
        <w:rPr>
          <w:bCs/>
          <w:color w:val="002060"/>
          <w:spacing w:val="0"/>
          <w:kern w:val="0"/>
          <w:position w:val="0"/>
          <w:sz w:val="16"/>
          <w:szCs w:val="16"/>
        </w:rPr>
      </w:pPr>
    </w:p>
    <w:p w14:paraId="3B59993F" w14:textId="77777777" w:rsidR="00EE308A" w:rsidRPr="00405303" w:rsidRDefault="00EE308A" w:rsidP="00C15251">
      <w:pPr>
        <w:jc w:val="both"/>
        <w:rPr>
          <w:rFonts w:eastAsia="Times-Roman"/>
          <w:bCs/>
          <w:color w:val="002060"/>
          <w:sz w:val="16"/>
          <w:szCs w:val="16"/>
        </w:rPr>
      </w:pPr>
      <w:r w:rsidRPr="00405303">
        <w:rPr>
          <w:rFonts w:eastAsia="Times-Roman"/>
          <w:bCs/>
          <w:color w:val="002060"/>
          <w:sz w:val="16"/>
          <w:szCs w:val="16"/>
        </w:rPr>
        <w:t xml:space="preserve">7 (20) </w:t>
      </w:r>
      <w:r w:rsidRPr="00405303">
        <w:rPr>
          <w:rFonts w:eastAsia="TimesNewRoman"/>
          <w:bCs/>
          <w:color w:val="002060"/>
          <w:sz w:val="16"/>
          <w:szCs w:val="16"/>
        </w:rPr>
        <w:t xml:space="preserve">июня </w:t>
      </w:r>
      <w:r w:rsidRPr="00405303">
        <w:rPr>
          <w:rFonts w:eastAsia="Times-Roman"/>
          <w:bCs/>
          <w:color w:val="002060"/>
          <w:sz w:val="16"/>
          <w:szCs w:val="16"/>
        </w:rPr>
        <w:t xml:space="preserve">1915 </w:t>
      </w:r>
      <w:r w:rsidRPr="00405303">
        <w:rPr>
          <w:rFonts w:eastAsia="TimesNewRoman"/>
          <w:bCs/>
          <w:color w:val="002060"/>
          <w:sz w:val="16"/>
          <w:szCs w:val="16"/>
        </w:rPr>
        <w:t>г</w:t>
      </w:r>
      <w:r w:rsidRPr="00405303">
        <w:rPr>
          <w:rFonts w:eastAsia="Times-Roman"/>
          <w:bCs/>
          <w:color w:val="002060"/>
          <w:sz w:val="16"/>
          <w:szCs w:val="16"/>
        </w:rPr>
        <w:t>.</w:t>
      </w:r>
      <w:r w:rsidRPr="00405303">
        <w:rPr>
          <w:rFonts w:eastAsia="TimesNewRoman"/>
          <w:bCs/>
          <w:color w:val="002060"/>
          <w:sz w:val="16"/>
          <w:szCs w:val="16"/>
        </w:rPr>
        <w:t xml:space="preserve"> Согласно утвержденного</w:t>
      </w:r>
      <w:r w:rsidRPr="00405303">
        <w:rPr>
          <w:rFonts w:eastAsia="Times-Roman"/>
          <w:bCs/>
          <w:color w:val="002060"/>
          <w:sz w:val="16"/>
          <w:szCs w:val="16"/>
        </w:rPr>
        <w:t xml:space="preserve"> </w:t>
      </w:r>
      <w:r w:rsidRPr="00405303">
        <w:rPr>
          <w:rFonts w:eastAsia="TimesNewRoman"/>
          <w:bCs/>
          <w:color w:val="002060"/>
          <w:sz w:val="16"/>
          <w:szCs w:val="16"/>
        </w:rPr>
        <w:t>положения председатель Особого совещания получил широкие полномочия по привлечению к выполнению военных заказов предприятий всех форм собственности</w:t>
      </w:r>
      <w:r w:rsidRPr="00405303">
        <w:rPr>
          <w:rFonts w:eastAsia="Times-Roman"/>
          <w:bCs/>
          <w:color w:val="002060"/>
          <w:sz w:val="16"/>
          <w:szCs w:val="16"/>
        </w:rPr>
        <w:t xml:space="preserve">, </w:t>
      </w:r>
      <w:r w:rsidRPr="00405303">
        <w:rPr>
          <w:rFonts w:eastAsia="TimesNewRoman"/>
          <w:bCs/>
          <w:color w:val="002060"/>
          <w:sz w:val="16"/>
          <w:szCs w:val="16"/>
        </w:rPr>
        <w:t>финансированию их деятельности в интересах снабжения армии</w:t>
      </w:r>
      <w:r w:rsidRPr="00405303">
        <w:rPr>
          <w:rFonts w:eastAsia="Times-Roman"/>
          <w:bCs/>
          <w:color w:val="002060"/>
          <w:sz w:val="16"/>
          <w:szCs w:val="16"/>
        </w:rPr>
        <w:t xml:space="preserve">, </w:t>
      </w:r>
      <w:r w:rsidRPr="00405303">
        <w:rPr>
          <w:rFonts w:eastAsia="TimesNewRoman"/>
          <w:bCs/>
          <w:color w:val="002060"/>
          <w:sz w:val="16"/>
          <w:szCs w:val="16"/>
        </w:rPr>
        <w:t>применению секвестра и реквизиций</w:t>
      </w:r>
      <w:r w:rsidRPr="00405303">
        <w:rPr>
          <w:rFonts w:eastAsia="Times-Roman"/>
          <w:bCs/>
          <w:color w:val="002060"/>
          <w:sz w:val="16"/>
          <w:szCs w:val="16"/>
        </w:rPr>
        <w:t xml:space="preserve">, </w:t>
      </w:r>
      <w:r w:rsidRPr="00405303">
        <w:rPr>
          <w:rFonts w:eastAsia="TimesNewRoman"/>
          <w:bCs/>
          <w:color w:val="002060"/>
          <w:sz w:val="16"/>
          <w:szCs w:val="16"/>
        </w:rPr>
        <w:t>контролю за ходом выполнения военных заказов и проч</w:t>
      </w:r>
      <w:r w:rsidRPr="00405303">
        <w:rPr>
          <w:rFonts w:eastAsia="Times-Roman"/>
          <w:bCs/>
          <w:color w:val="002060"/>
          <w:sz w:val="16"/>
          <w:szCs w:val="16"/>
        </w:rPr>
        <w:t>.</w:t>
      </w:r>
    </w:p>
    <w:p w14:paraId="7758DD40" w14:textId="77777777" w:rsidR="00EE308A" w:rsidRPr="00405303" w:rsidRDefault="00EE308A" w:rsidP="00C15251">
      <w:pPr>
        <w:jc w:val="both"/>
        <w:rPr>
          <w:rFonts w:eastAsia="Times-Roman"/>
          <w:bCs/>
          <w:color w:val="002060"/>
          <w:sz w:val="16"/>
          <w:szCs w:val="16"/>
        </w:rPr>
      </w:pPr>
      <w:r w:rsidRPr="00405303">
        <w:rPr>
          <w:rFonts w:eastAsia="TimesNewRoman"/>
          <w:bCs/>
          <w:color w:val="002060"/>
          <w:sz w:val="16"/>
          <w:szCs w:val="16"/>
        </w:rPr>
        <w:lastRenderedPageBreak/>
        <w:t xml:space="preserve">Решения военного министра </w:t>
      </w:r>
      <w:r w:rsidRPr="00405303">
        <w:rPr>
          <w:rFonts w:eastAsia="Times-Roman"/>
          <w:bCs/>
          <w:color w:val="002060"/>
          <w:sz w:val="16"/>
          <w:szCs w:val="16"/>
        </w:rPr>
        <w:t>«</w:t>
      </w:r>
      <w:r w:rsidRPr="00405303">
        <w:rPr>
          <w:rFonts w:eastAsia="TimesNewRoman"/>
          <w:bCs/>
          <w:color w:val="002060"/>
          <w:sz w:val="16"/>
          <w:szCs w:val="16"/>
        </w:rPr>
        <w:t>по вопросам</w:t>
      </w:r>
      <w:r w:rsidRPr="00405303">
        <w:rPr>
          <w:rFonts w:eastAsia="Times-Roman"/>
          <w:bCs/>
          <w:color w:val="002060"/>
          <w:sz w:val="16"/>
          <w:szCs w:val="16"/>
        </w:rPr>
        <w:t xml:space="preserve">, </w:t>
      </w:r>
      <w:r w:rsidRPr="00405303">
        <w:rPr>
          <w:rFonts w:eastAsia="TimesNewRoman"/>
          <w:bCs/>
          <w:color w:val="002060"/>
          <w:sz w:val="16"/>
          <w:szCs w:val="16"/>
        </w:rPr>
        <w:t>составляющим предмет ведения Совещания</w:t>
      </w:r>
      <w:r w:rsidRPr="00405303">
        <w:rPr>
          <w:rFonts w:eastAsia="Times-Roman"/>
          <w:bCs/>
          <w:color w:val="002060"/>
          <w:sz w:val="16"/>
          <w:szCs w:val="16"/>
        </w:rPr>
        <w:t xml:space="preserve">, </w:t>
      </w:r>
      <w:r w:rsidRPr="00405303">
        <w:rPr>
          <w:rFonts w:eastAsia="TimesNewRoman"/>
          <w:bCs/>
          <w:color w:val="002060"/>
          <w:sz w:val="16"/>
          <w:szCs w:val="16"/>
        </w:rPr>
        <w:t>сообщаются подлежащим военным и гражданским властям для безотлагательного исполнения</w:t>
      </w:r>
      <w:r w:rsidRPr="00405303">
        <w:rPr>
          <w:rFonts w:eastAsia="Times-Roman"/>
          <w:bCs/>
          <w:color w:val="002060"/>
          <w:sz w:val="16"/>
          <w:szCs w:val="16"/>
        </w:rPr>
        <w:t>» (20240).</w:t>
      </w:r>
    </w:p>
    <w:p w14:paraId="272CD883" w14:textId="77777777" w:rsidR="00EE308A" w:rsidRPr="00405303" w:rsidRDefault="00EE308A" w:rsidP="00C15251">
      <w:pPr>
        <w:jc w:val="both"/>
        <w:rPr>
          <w:rFonts w:eastAsia="Times-Roman"/>
          <w:bCs/>
          <w:color w:val="002060"/>
          <w:sz w:val="16"/>
          <w:szCs w:val="16"/>
        </w:rPr>
      </w:pPr>
    </w:p>
    <w:p w14:paraId="67062D92" w14:textId="104F6626" w:rsidR="00D37EFB" w:rsidRPr="00405303" w:rsidRDefault="00D37EFB" w:rsidP="00C15251">
      <w:pPr>
        <w:jc w:val="both"/>
        <w:rPr>
          <w:bCs/>
          <w:color w:val="002060"/>
          <w:sz w:val="16"/>
          <w:szCs w:val="16"/>
        </w:rPr>
      </w:pPr>
      <w:r w:rsidRPr="00405303">
        <w:rPr>
          <w:bCs/>
          <w:color w:val="002060"/>
          <w:sz w:val="16"/>
          <w:szCs w:val="16"/>
        </w:rPr>
        <w:t xml:space="preserve">7 </w:t>
      </w:r>
      <w:r w:rsidR="002A027E" w:rsidRPr="00405303">
        <w:rPr>
          <w:bCs/>
          <w:color w:val="002060"/>
          <w:sz w:val="16"/>
          <w:szCs w:val="16"/>
        </w:rPr>
        <w:t xml:space="preserve">(20) </w:t>
      </w:r>
      <w:r w:rsidRPr="00405303">
        <w:rPr>
          <w:bCs/>
          <w:color w:val="002060"/>
          <w:sz w:val="16"/>
          <w:szCs w:val="16"/>
        </w:rPr>
        <w:t>июня в 1915 году при русском императоре Николае II создан Военно-промышленный комитет (14915).</w:t>
      </w:r>
    </w:p>
    <w:p w14:paraId="730F2A94" w14:textId="77777777" w:rsidR="00D37EFB" w:rsidRPr="00405303" w:rsidRDefault="00D37EFB" w:rsidP="00C15251">
      <w:pPr>
        <w:jc w:val="both"/>
        <w:rPr>
          <w:bCs/>
          <w:color w:val="002060"/>
          <w:sz w:val="16"/>
          <w:szCs w:val="16"/>
        </w:rPr>
      </w:pPr>
    </w:p>
    <w:p w14:paraId="27E1693A" w14:textId="787AD323" w:rsidR="004B4E35" w:rsidRPr="00405303" w:rsidRDefault="009E6F82" w:rsidP="00C15251">
      <w:pPr>
        <w:jc w:val="both"/>
        <w:rPr>
          <w:bCs/>
          <w:color w:val="002060"/>
          <w:sz w:val="16"/>
          <w:szCs w:val="16"/>
        </w:rPr>
      </w:pPr>
      <w:r w:rsidRPr="00405303">
        <w:rPr>
          <w:bCs/>
          <w:color w:val="002060"/>
          <w:sz w:val="16"/>
          <w:szCs w:val="16"/>
        </w:rPr>
        <w:t>7</w:t>
      </w:r>
      <w:r w:rsidR="002A027E" w:rsidRPr="00405303">
        <w:rPr>
          <w:bCs/>
          <w:color w:val="002060"/>
          <w:sz w:val="16"/>
          <w:szCs w:val="16"/>
        </w:rPr>
        <w:t xml:space="preserve"> (</w:t>
      </w:r>
      <w:r w:rsidRPr="00405303">
        <w:rPr>
          <w:bCs/>
          <w:color w:val="002060"/>
          <w:sz w:val="16"/>
          <w:szCs w:val="16"/>
        </w:rPr>
        <w:t>20</w:t>
      </w:r>
      <w:r w:rsidR="002A027E" w:rsidRPr="00405303">
        <w:rPr>
          <w:bCs/>
          <w:color w:val="002060"/>
          <w:sz w:val="16"/>
          <w:szCs w:val="16"/>
        </w:rPr>
        <w:t>)</w:t>
      </w:r>
      <w:r w:rsidRPr="00405303">
        <w:rPr>
          <w:bCs/>
          <w:color w:val="002060"/>
          <w:sz w:val="16"/>
          <w:szCs w:val="16"/>
        </w:rPr>
        <w:t xml:space="preserve"> июня 1915 г. </w:t>
      </w:r>
      <w:r w:rsidR="002A027E" w:rsidRPr="00405303">
        <w:rPr>
          <w:bCs/>
          <w:color w:val="002060"/>
          <w:sz w:val="16"/>
          <w:szCs w:val="16"/>
        </w:rPr>
        <w:t xml:space="preserve">по настоянию председателя Государственной думы, несмотря на препятствия, встреченные в бюрократических кругах, </w:t>
      </w:r>
      <w:r w:rsidRPr="00405303">
        <w:rPr>
          <w:bCs/>
          <w:color w:val="002060"/>
          <w:sz w:val="16"/>
          <w:szCs w:val="16"/>
        </w:rPr>
        <w:t xml:space="preserve">последовало Высочайшее утверждение изданного в порядке 87-й статьи Основных государственных законов «Положения об Особом совещании для объединения мероприятий по обеспечению Действующей армии предметами боевого и материального снабжения». </w:t>
      </w:r>
    </w:p>
    <w:p w14:paraId="0D8E9A7C" w14:textId="77777777" w:rsidR="004B4E35" w:rsidRPr="00405303" w:rsidRDefault="009E6F82" w:rsidP="00C15251">
      <w:pPr>
        <w:jc w:val="both"/>
        <w:rPr>
          <w:bCs/>
          <w:color w:val="002060"/>
          <w:sz w:val="16"/>
          <w:szCs w:val="16"/>
        </w:rPr>
      </w:pPr>
      <w:r w:rsidRPr="00405303">
        <w:rPr>
          <w:bCs/>
          <w:color w:val="002060"/>
          <w:sz w:val="16"/>
          <w:szCs w:val="16"/>
        </w:rPr>
        <w:t xml:space="preserve">Председателем этого Совещания назначался военный министр. В состав Совещания должны были войти: председатель Государственной думы и по Высочайшему назначению по четыре члена от Государственной думы и от Государственного совета, четыре представителя от торговли и промышленности, представители министерств — Морского, Финансового, Путей сообщения, торговли и промышленности, а также чины Государственного контроля и чины Военного ведомства. Совещание подчинялось непосредственно верховной власти, и никакое правительственное место или лицо не могло давать ему предписаний и требовать от него отчетов. </w:t>
      </w:r>
    </w:p>
    <w:p w14:paraId="32C9344E" w14:textId="77777777" w:rsidR="004B4E35" w:rsidRPr="00405303" w:rsidRDefault="009E6F82" w:rsidP="00C15251">
      <w:pPr>
        <w:jc w:val="both"/>
        <w:rPr>
          <w:bCs/>
          <w:color w:val="002060"/>
          <w:sz w:val="16"/>
          <w:szCs w:val="16"/>
        </w:rPr>
      </w:pPr>
      <w:r w:rsidRPr="00405303">
        <w:rPr>
          <w:bCs/>
          <w:color w:val="002060"/>
          <w:sz w:val="16"/>
          <w:szCs w:val="16"/>
        </w:rPr>
        <w:t xml:space="preserve">Несочувствие, с которым было встречено министерством Сухомлинова образование Особого совещания, отразилось на первоначальной его работе. Но 12 (25) июня 1915 г. генерал Сухомлинов был уволен от должности военного министра и на его место избран генерал Поливанов. Последний широко пошел навстречу новому учреждению, видя в нем единственный способ восстановить доверие общественных кругов к работе Военного министерства, а также для широкого привлечения этих кругов к делу снабжения Армии. 18(31) июня генерал Поливанов вносит в Государственную думу новый законопроект, согласно которому, уже учрежденное Особое совещание получало наименование Особое совещание для объединения мероприятий по обороне государства. В нем по-прежнему состоял председателем военный министр, но состав его был расширен. В него входили: председатели Государственной думы и Государственного совета, по девять членов от каждого из этих законодательных учреждений, министры: морской, финансов, торговли и промышленности, внутренних дел, земледелия, путей сообщения, Государственного контроля, начальники главных управлений Военного министерства, представители промышленности и представители Земского и Городского союзов, а также представители только что возникшего Военно-промышленного комитета. </w:t>
      </w:r>
    </w:p>
    <w:p w14:paraId="6BE86315" w14:textId="77777777" w:rsidR="004B4E35" w:rsidRPr="00405303" w:rsidRDefault="009E6F82" w:rsidP="00C15251">
      <w:pPr>
        <w:jc w:val="both"/>
        <w:rPr>
          <w:bCs/>
          <w:color w:val="002060"/>
          <w:sz w:val="16"/>
          <w:szCs w:val="16"/>
        </w:rPr>
      </w:pPr>
      <w:proofErr w:type="gramStart"/>
      <w:r w:rsidRPr="00405303">
        <w:rPr>
          <w:bCs/>
          <w:color w:val="002060"/>
          <w:sz w:val="16"/>
          <w:szCs w:val="16"/>
        </w:rPr>
        <w:t>Кроме этого</w:t>
      </w:r>
      <w:proofErr w:type="gramEnd"/>
      <w:r w:rsidRPr="00405303">
        <w:rPr>
          <w:bCs/>
          <w:color w:val="002060"/>
          <w:sz w:val="16"/>
          <w:szCs w:val="16"/>
        </w:rPr>
        <w:t xml:space="preserve"> Особого совещания по объединению мероприятий по обороне, новый закон учреждал еще несколько Особых совещаний, а именно: </w:t>
      </w:r>
    </w:p>
    <w:p w14:paraId="4D2E1929" w14:textId="77777777" w:rsidR="004B4E35" w:rsidRPr="00405303" w:rsidRDefault="009E6F82" w:rsidP="00C15251">
      <w:pPr>
        <w:jc w:val="both"/>
        <w:rPr>
          <w:bCs/>
          <w:color w:val="002060"/>
          <w:sz w:val="16"/>
          <w:szCs w:val="16"/>
        </w:rPr>
      </w:pPr>
      <w:r w:rsidRPr="00405303">
        <w:rPr>
          <w:bCs/>
          <w:color w:val="002060"/>
          <w:sz w:val="16"/>
          <w:szCs w:val="16"/>
        </w:rPr>
        <w:t xml:space="preserve">Особое совещание по перевозкам. </w:t>
      </w:r>
    </w:p>
    <w:p w14:paraId="7C880F89" w14:textId="77777777" w:rsidR="004B4E35" w:rsidRPr="00405303" w:rsidRDefault="009E6F82" w:rsidP="00C15251">
      <w:pPr>
        <w:jc w:val="both"/>
        <w:rPr>
          <w:bCs/>
          <w:color w:val="002060"/>
          <w:sz w:val="16"/>
          <w:szCs w:val="16"/>
        </w:rPr>
      </w:pPr>
      <w:r w:rsidRPr="00405303">
        <w:rPr>
          <w:bCs/>
          <w:color w:val="002060"/>
          <w:sz w:val="16"/>
          <w:szCs w:val="16"/>
        </w:rPr>
        <w:t xml:space="preserve">Особое совещание по топливу. </w:t>
      </w:r>
    </w:p>
    <w:p w14:paraId="0AC8EC37" w14:textId="77777777" w:rsidR="004B4E35" w:rsidRPr="00405303" w:rsidRDefault="009E6F82" w:rsidP="00C15251">
      <w:pPr>
        <w:jc w:val="both"/>
        <w:rPr>
          <w:bCs/>
          <w:color w:val="002060"/>
          <w:sz w:val="16"/>
          <w:szCs w:val="16"/>
        </w:rPr>
      </w:pPr>
      <w:r w:rsidRPr="00405303">
        <w:rPr>
          <w:bCs/>
          <w:color w:val="002060"/>
          <w:sz w:val="16"/>
          <w:szCs w:val="16"/>
        </w:rPr>
        <w:t xml:space="preserve">Особое совещание по продовольствию. </w:t>
      </w:r>
    </w:p>
    <w:p w14:paraId="591AADC1" w14:textId="77777777" w:rsidR="004B4E35" w:rsidRPr="00405303" w:rsidRDefault="009E6F82" w:rsidP="00C15251">
      <w:pPr>
        <w:jc w:val="both"/>
        <w:rPr>
          <w:bCs/>
          <w:color w:val="002060"/>
          <w:sz w:val="16"/>
          <w:szCs w:val="16"/>
        </w:rPr>
      </w:pPr>
      <w:r w:rsidRPr="00405303">
        <w:rPr>
          <w:bCs/>
          <w:color w:val="002060"/>
          <w:sz w:val="16"/>
          <w:szCs w:val="16"/>
        </w:rPr>
        <w:t xml:space="preserve">Каждое из этих Совещаний находилось под председательством соответствующих министров (путей сообщений, торговли и промышленности, земледелия). </w:t>
      </w:r>
    </w:p>
    <w:p w14:paraId="6F88B2A8" w14:textId="77777777" w:rsidR="004B4E35" w:rsidRPr="00405303" w:rsidRDefault="009E6F82" w:rsidP="00C15251">
      <w:pPr>
        <w:jc w:val="both"/>
        <w:rPr>
          <w:bCs/>
          <w:color w:val="002060"/>
          <w:sz w:val="16"/>
          <w:szCs w:val="16"/>
        </w:rPr>
      </w:pPr>
      <w:r w:rsidRPr="00405303">
        <w:rPr>
          <w:bCs/>
          <w:color w:val="002060"/>
          <w:sz w:val="16"/>
          <w:szCs w:val="16"/>
        </w:rPr>
        <w:t xml:space="preserve">Целью этих Особых совещаний являлось внесение объединения в использовании транспорта, топлива и продовольствия. При необходимости согласовать действия всех совещаний собирались объединенные заседания под председательством военного министра. </w:t>
      </w:r>
    </w:p>
    <w:p w14:paraId="6A3AC64C" w14:textId="77777777" w:rsidR="004B4E35" w:rsidRPr="00405303" w:rsidRDefault="009E6F82" w:rsidP="00C15251">
      <w:pPr>
        <w:jc w:val="both"/>
        <w:rPr>
          <w:bCs/>
          <w:color w:val="002060"/>
          <w:sz w:val="16"/>
          <w:szCs w:val="16"/>
        </w:rPr>
      </w:pPr>
      <w:r w:rsidRPr="00405303">
        <w:rPr>
          <w:bCs/>
          <w:color w:val="002060"/>
          <w:sz w:val="16"/>
          <w:szCs w:val="16"/>
        </w:rPr>
        <w:t>Несомненно, что созданный для объединения работы тыла аппарат Особых совещаний являлся чрезвычайно громоздким. Эти многолюдные собрания не способны были к быстрой творческой работе. Нельзя не согласиться в известной справедливости критики Особого совещания по обороне, которую можно встретить в труде генерала Маниковского.</w:t>
      </w:r>
    </w:p>
    <w:p w14:paraId="6BD647C5"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«Во-первых, — пишет генерал Маниковский, — это Совещание было слишком многолюдным, чтобы быть рабочим и достаточно продуктивным, ибо — это уже бесспорная истина — никакое практическое дело нельзя делать тол ком в собрании 50–60 человек, да еще такого разношерстного состава, каким было это Совещание.</w:t>
      </w:r>
    </w:p>
    <w:p w14:paraId="168C3B91"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Во-вторых, в этом огромном составе все же было очень мало людей, действительно понимающих военную технику и причины неудовлетворительности снабжения нашей армии и могущих указать меры, необходимые для его усиления. Зато было много таких, которые видели в этом Совещании главным образом орудие политической борьбы и в соответствии с этим и вели линию поведения...»</w:t>
      </w:r>
    </w:p>
    <w:p w14:paraId="1CD5EBD7" w14:textId="77777777" w:rsidR="004B4E35" w:rsidRPr="00405303" w:rsidRDefault="009E6F82" w:rsidP="00C15251">
      <w:pPr>
        <w:jc w:val="both"/>
        <w:rPr>
          <w:bCs/>
          <w:color w:val="002060"/>
          <w:sz w:val="16"/>
          <w:szCs w:val="16"/>
        </w:rPr>
      </w:pPr>
      <w:r w:rsidRPr="00405303">
        <w:rPr>
          <w:bCs/>
          <w:color w:val="002060"/>
          <w:sz w:val="16"/>
          <w:szCs w:val="16"/>
        </w:rPr>
        <w:t xml:space="preserve">Приходится поэтому признать, что вывод, сделанный подполковником Ребулем в статье «Промышленная мобилизация в России во время войны», указывающий на отсутствие в России тесно объединенной работы тыла, по существу дела, верен. Коренное разрешение вопроса могло быть только одно: создание Министерства снабжения, которое и должно было действенно объединить всю работу по снабжению как армии, так и страны. Хотя этот вопрос и подымался некоторыми членами Государственной думы во время рассмотрения законоположения об Особых совещаниях, но он не встретил сочувствия в этом законодательном учреждении. В этот период войны, отношения между правительством и Государственной думой обострились. Правительство потеряло доверие общественных кругов. Общественные круги и выразительница их, Государственная дума, опасались, что вновь образованное Министерство снабжения сразу же станет столь же мертвящим бюрократическим учреждением, каковым оказалось Военное министерство. </w:t>
      </w:r>
    </w:p>
    <w:p w14:paraId="55C5597E" w14:textId="77777777" w:rsidR="004B4E35" w:rsidRPr="00405303" w:rsidRDefault="009E6F82" w:rsidP="00C15251">
      <w:pPr>
        <w:jc w:val="both"/>
        <w:rPr>
          <w:bCs/>
          <w:color w:val="002060"/>
          <w:sz w:val="16"/>
          <w:szCs w:val="16"/>
        </w:rPr>
      </w:pPr>
      <w:r w:rsidRPr="00405303">
        <w:rPr>
          <w:bCs/>
          <w:color w:val="002060"/>
          <w:sz w:val="16"/>
          <w:szCs w:val="16"/>
        </w:rPr>
        <w:t xml:space="preserve">Несмотря на вышеуказанную отрицательную сторону, присущую организации Особых совещаний, создание их, в особенности же Особого совещания для объединения мероприятий по обороне государства, сыграло положительную роль. </w:t>
      </w:r>
    </w:p>
    <w:p w14:paraId="0F070E11" w14:textId="77777777" w:rsidR="004B4E35" w:rsidRPr="00405303" w:rsidRDefault="009E6F82" w:rsidP="00C15251">
      <w:pPr>
        <w:jc w:val="both"/>
        <w:rPr>
          <w:bCs/>
          <w:color w:val="002060"/>
          <w:sz w:val="16"/>
          <w:szCs w:val="16"/>
        </w:rPr>
      </w:pPr>
      <w:r w:rsidRPr="00405303">
        <w:rPr>
          <w:bCs/>
          <w:color w:val="002060"/>
          <w:sz w:val="16"/>
          <w:szCs w:val="16"/>
        </w:rPr>
        <w:t xml:space="preserve">Даже такой сторонник генерала Сухомлинова, каким является его ближайший сотрудник генерал Лукомский, вынужден это признать. </w:t>
      </w:r>
    </w:p>
    <w:p w14:paraId="1CB36D1B"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«Но все же со времени образования Совещания, — пишет он в своей записке, — заказы стали даваться значительно шире.</w:t>
      </w:r>
    </w:p>
    <w:p w14:paraId="2A6D70DD"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Происходило это, конечно, отчасти вследствие того, что вообще к этому времени для военного министра и начальников главных довольствующих управлений более определенно выяснилась необходимость значительно усилить снабжение, но в значительной степени и оттого, что вошедшие в состав Совещания члены Государственной думы, особенно ее председатель, постоянно в резкой форме настаивали на необходимости производства новых заказов, считаясь лишь с требованиями фронта и стараясь их предусмотреть вперед».</w:t>
      </w:r>
    </w:p>
    <w:p w14:paraId="438F8FC6" w14:textId="77777777" w:rsidR="004B4E35" w:rsidRPr="00405303" w:rsidRDefault="009E6F82" w:rsidP="00C15251">
      <w:pPr>
        <w:jc w:val="both"/>
        <w:rPr>
          <w:bCs/>
          <w:color w:val="002060"/>
          <w:sz w:val="16"/>
          <w:szCs w:val="16"/>
        </w:rPr>
      </w:pPr>
      <w:r w:rsidRPr="00405303">
        <w:rPr>
          <w:bCs/>
          <w:color w:val="002060"/>
          <w:sz w:val="16"/>
          <w:szCs w:val="16"/>
        </w:rPr>
        <w:t xml:space="preserve">Беспристрастный историк должен произвести оценку значения учреждения Особого совещания по обороне несравненно шире. </w:t>
      </w:r>
    </w:p>
    <w:p w14:paraId="758B6F53" w14:textId="77777777" w:rsidR="004B4E35" w:rsidRPr="00405303" w:rsidRDefault="009E6F82" w:rsidP="00C15251">
      <w:pPr>
        <w:jc w:val="both"/>
        <w:rPr>
          <w:bCs/>
          <w:color w:val="002060"/>
          <w:sz w:val="16"/>
          <w:szCs w:val="16"/>
        </w:rPr>
      </w:pPr>
      <w:r w:rsidRPr="00405303">
        <w:rPr>
          <w:bCs/>
          <w:color w:val="002060"/>
          <w:sz w:val="16"/>
          <w:szCs w:val="16"/>
        </w:rPr>
        <w:t xml:space="preserve">Это была «живая вода», хлынувшая в бюрократическое болото. Это был прорыв общественных сил через плотину устарелых учреждений, способных только с большим запозданием плестись в хвосте требований жизни. Это был «контроль», освещающий «темные места» и подхлестывающий к работе, предусматривающий события. Поэтому учреждение Особого совещания по обороне являлось началом спасения России из того катастрофического положения, к которому привело армию министерство Сухомлинова. Рассматривая выше различные области боевого снабжения, мы видели, что везде начиная с осени 1915 г. наступает улучшение и к 1916 г. Русская армия не только выходит из агонии, но даже в состоянии одержать большую победу в Галиции. </w:t>
      </w:r>
    </w:p>
    <w:p w14:paraId="013ABF8A" w14:textId="77777777" w:rsidR="004B4E35" w:rsidRPr="00405303" w:rsidRDefault="009E6F82" w:rsidP="00C15251">
      <w:pPr>
        <w:jc w:val="both"/>
        <w:rPr>
          <w:bCs/>
          <w:color w:val="002060"/>
          <w:sz w:val="16"/>
          <w:szCs w:val="16"/>
        </w:rPr>
      </w:pPr>
      <w:r w:rsidRPr="00405303">
        <w:rPr>
          <w:bCs/>
          <w:color w:val="002060"/>
          <w:sz w:val="16"/>
          <w:szCs w:val="16"/>
        </w:rPr>
        <w:t xml:space="preserve">Особое совещание по обороне расширило возможность для общественных сил страны принять активное участие в деле снабжения армии. Уже это одно имело громадное значение, ибо самая мобилизация промышленности началась у нас по общественному почину. </w:t>
      </w:r>
    </w:p>
    <w:p w14:paraId="45D2B253" w14:textId="77777777" w:rsidR="004B4E35" w:rsidRPr="00405303" w:rsidRDefault="009E6F82" w:rsidP="00C15251">
      <w:pPr>
        <w:jc w:val="both"/>
        <w:rPr>
          <w:bCs/>
          <w:color w:val="002060"/>
          <w:sz w:val="16"/>
          <w:szCs w:val="16"/>
        </w:rPr>
      </w:pPr>
      <w:r w:rsidRPr="00405303">
        <w:rPr>
          <w:bCs/>
          <w:color w:val="002060"/>
          <w:sz w:val="16"/>
          <w:szCs w:val="16"/>
        </w:rPr>
        <w:t xml:space="preserve">Мобилизация промышленности </w:t>
      </w:r>
    </w:p>
    <w:p w14:paraId="3F1005E7" w14:textId="77777777" w:rsidR="004B4E35" w:rsidRPr="00405303" w:rsidRDefault="009E6F82" w:rsidP="00C15251">
      <w:pPr>
        <w:jc w:val="both"/>
        <w:rPr>
          <w:bCs/>
          <w:color w:val="002060"/>
          <w:sz w:val="16"/>
          <w:szCs w:val="16"/>
        </w:rPr>
      </w:pPr>
      <w:r w:rsidRPr="00405303">
        <w:rPr>
          <w:bCs/>
          <w:color w:val="002060"/>
          <w:sz w:val="16"/>
          <w:szCs w:val="16"/>
        </w:rPr>
        <w:t xml:space="preserve">Мобилизация промышленности как общественное движение зародилась на состоявшемся 8–11 июня 1915 г. в Петрограде IX очередном съезде представителей промышленности и торговли. На этом съезде была вынесена по обсуждении доклада «Промышленность и война» и после смелого выступления П. П. Рябушинского резолюция, в которой русская промышленность призывалась к объединению и дружной работе для обслуживания всех нужд войны. </w:t>
      </w:r>
    </w:p>
    <w:p w14:paraId="64BF3580" w14:textId="77777777" w:rsidR="004B4E35" w:rsidRPr="00405303" w:rsidRDefault="009E6F82" w:rsidP="00C15251">
      <w:pPr>
        <w:jc w:val="both"/>
        <w:rPr>
          <w:bCs/>
          <w:color w:val="002060"/>
          <w:sz w:val="16"/>
          <w:szCs w:val="16"/>
        </w:rPr>
      </w:pPr>
      <w:r w:rsidRPr="00405303">
        <w:rPr>
          <w:bCs/>
          <w:color w:val="002060"/>
          <w:sz w:val="16"/>
          <w:szCs w:val="16"/>
        </w:rPr>
        <w:t xml:space="preserve">Для этой цели Съезд нашел необходимым поручить всем торгово-промышленным организациям образовать районные комитеты, объединяющие местную промышленность и торговлю и имеющие задачей приспособить предприятия к изготовлению всего необходимого для армии и флота, а также согласовать для сего общую деятельность фабрик и заводов. Согласование же между собою работ отдельных районов и этих же работ с деятельностью правительственных учреждений Съезд постановил возложить на учреждаемый им в Петрограде Центральный военно-промышленный комитет, в состав которого должны были войти представители научно-технических сил, представители от отдельных торгово-промышленных организаций, от управления железных дорог и пароходств и от Всероссийских союзов земств и городов. </w:t>
      </w:r>
    </w:p>
    <w:p w14:paraId="16744D63"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Сформировавшийся таким образом Центральный военно-промышленный комитет приступил прежде всего к выяснению перечня предметов, в которых нуждаются армия и флот, чтобы вслед затем определить программу планомерного использования производительных сил страны для изготовления этих предметов. Так как, однако, единого плана в деле снабжения не было, то на практике Комитету пришлось вырабатывать свою программу частями, по мере заказов от Военного ведомства. В течение первых же двух месяцев были образованы местные военно-промышленные комитеты в 73 городах. </w:t>
      </w:r>
    </w:p>
    <w:p w14:paraId="06C9994C" w14:textId="77777777" w:rsidR="004B4E35" w:rsidRPr="00405303" w:rsidRDefault="009E6F82" w:rsidP="00C15251">
      <w:pPr>
        <w:jc w:val="both"/>
        <w:rPr>
          <w:bCs/>
          <w:color w:val="002060"/>
          <w:sz w:val="16"/>
          <w:szCs w:val="16"/>
        </w:rPr>
      </w:pPr>
      <w:r w:rsidRPr="00405303">
        <w:rPr>
          <w:bCs/>
          <w:color w:val="002060"/>
          <w:sz w:val="16"/>
          <w:szCs w:val="16"/>
        </w:rPr>
        <w:t>Главная нужда, которую Комитет испытывал на пути к развитию своей деятельности, — это был недостаток станков, ибо как для расширения производства на старых заводах, так и для устройства новых заводов станки были необходимы, а между тем станки привозились из-за границы.</w:t>
      </w:r>
    </w:p>
    <w:p w14:paraId="7F0AB346" w14:textId="77777777" w:rsidR="004B4E35" w:rsidRPr="00405303" w:rsidRDefault="009E6F82" w:rsidP="00C15251">
      <w:pPr>
        <w:jc w:val="both"/>
        <w:rPr>
          <w:bCs/>
          <w:color w:val="002060"/>
          <w:sz w:val="16"/>
          <w:szCs w:val="16"/>
        </w:rPr>
      </w:pPr>
      <w:r w:rsidRPr="00405303">
        <w:rPr>
          <w:bCs/>
          <w:color w:val="002060"/>
          <w:sz w:val="16"/>
          <w:szCs w:val="16"/>
        </w:rPr>
        <w:t xml:space="preserve">Одновременно с мобилизацией крупной промышленности Военно-промышленным комитетом началась и мобилизация средней и мелкой промышленности. В этой области усилия Военно-промышленного комитета встретились с работами Всероссийских союзов земств и городов. </w:t>
      </w:r>
    </w:p>
    <w:p w14:paraId="588C8D3F"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«Привлечение общественных сил к снабжению армии и учреждение Особого совещания, — записывает в конце июля в своих воспоминаниях председатель Государственной думы М. В. Родзянко, — было с удовлетворением встречено в стране; на фронте облегченно вздохнули, и горечь последних неудач была смягчена надеждой на более светлое будущее. Возможность работать для армии, активно участвовать в подготовке ее успехов помогла переживать плохие известия с фронта, где мы продолжали отступать».</w:t>
      </w:r>
    </w:p>
    <w:p w14:paraId="23139DCE" w14:textId="77777777" w:rsidR="004B4E35" w:rsidRPr="00405303" w:rsidRDefault="009E6F82" w:rsidP="00C15251">
      <w:pPr>
        <w:jc w:val="both"/>
        <w:rPr>
          <w:bCs/>
          <w:color w:val="002060"/>
          <w:sz w:val="16"/>
          <w:szCs w:val="16"/>
        </w:rPr>
      </w:pPr>
      <w:r w:rsidRPr="00405303">
        <w:rPr>
          <w:bCs/>
          <w:color w:val="002060"/>
          <w:sz w:val="16"/>
          <w:szCs w:val="16"/>
        </w:rPr>
        <w:t xml:space="preserve">Образование Военно-промышленного комитета не встретило особого сочувствия со стороны правительства, хотя уход Сухомлинова и очистил несколько атмосферу недоброжелательства к «вмешательству общественности вдела военные», несмотря на то что новый военный министр относился весьма сочувственно к возникновению Военно-промышленного комитета и к председателю последнего А. И. Гучкову. Помощник управляющего делами Совета министров А. Н. Яхонтов издал свои подробные записи заседаний Совета министров. Вот что записано у этого автора про начало заседания Совета министров 4/17 августа, на котором рассматривался проект «Положения о Военно-промышленном комитете» и на которое был приглашен председатель Центрального военно-промышленного комитета А. И. Гучков. </w:t>
      </w:r>
    </w:p>
    <w:p w14:paraId="42999B3D"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«Впервые со времен графа Витте в официальной части заседания присутствовало лицо «свободной профессии», с правительственной службой не связанное. Это был Александр Иванович Гучков, приглашенный на заседание по настоянию генерала Поливанова для участия в рассмотрении проекта положения о Военно-промышленном комитете. Все чувствовали себя как-то неловко, натянуто. У Гучкова был такой вид, будто он попал в стан разбойников и находится под давлением угрозы злых козней. Вернее, он напоминал застенчивого человека, явившегося в незнакомое общество с предрешенным намерением рассердиться при первом поводе и тем проявить свою самостоятельность. На делаемые по статьям проекта замечания Гучков отвечал с не вызываемой существом возражений резкостью и требовал либо одобрения положения о Комитете полностью, либо отказа в санкции этого учреждения, подчеркивая, что положение это выработано представителями общественных организаций, желающих бескорыстно послужить делу снабжения армии. В конце концов обсуждение было скомкано, и все как бы спешили отделаться от не особенно приятного свидания».</w:t>
      </w:r>
    </w:p>
    <w:p w14:paraId="19E53DDE" w14:textId="77777777" w:rsidR="004B4E35" w:rsidRPr="00405303" w:rsidRDefault="009E6F82" w:rsidP="00C15251">
      <w:pPr>
        <w:jc w:val="both"/>
        <w:rPr>
          <w:bCs/>
          <w:color w:val="002060"/>
          <w:sz w:val="16"/>
          <w:szCs w:val="16"/>
        </w:rPr>
      </w:pPr>
      <w:r w:rsidRPr="00405303">
        <w:rPr>
          <w:bCs/>
          <w:color w:val="002060"/>
          <w:sz w:val="16"/>
          <w:szCs w:val="16"/>
        </w:rPr>
        <w:t xml:space="preserve">«По выходе, однако, А. И. Гучкова из комнаты заседания, — замечает другой свидетель, а именно генерал Поливанов, — И. Л. Горемыкин проворчал неодобрительно и о многочисленности состава Центрального комитета, и о-том, что там проектировано ввести 10 представителей от рабочих, и о том, что он много шумит, а сделает ли что-нибудь — это мы увидим». </w:t>
      </w:r>
    </w:p>
    <w:p w14:paraId="0A8324CD" w14:textId="77777777" w:rsidR="004B4E35" w:rsidRPr="00405303" w:rsidRDefault="009E6F82" w:rsidP="00C15251">
      <w:pPr>
        <w:jc w:val="both"/>
        <w:rPr>
          <w:bCs/>
          <w:color w:val="002060"/>
          <w:sz w:val="16"/>
          <w:szCs w:val="16"/>
        </w:rPr>
      </w:pPr>
      <w:r w:rsidRPr="00405303">
        <w:rPr>
          <w:bCs/>
          <w:color w:val="002060"/>
          <w:sz w:val="16"/>
          <w:szCs w:val="16"/>
        </w:rPr>
        <w:t xml:space="preserve">Даже строгие критики нашей «общественности» все-таки вынуждены признать большую заслугу перед Родиной Военно-промышленного комитета. «Создавшийся Военно-промышленный комитет, — пишет генерал Лукомский, — имевший свои отделы во всех промышленных центрах России, давал основание считать, что с его помощью будет достигнуто полное напряжение отечественной промышленности, а армия и страна получат от внутреннего рынка все, что только Россия в состоянии дать. Действительно, надо отдать в этом отношении справедливость Военно-промышленному комитету, который, постепенно расширяя все более и более свою деятельность, объединяя фабрично-заводские предприятия и кустарные артели, а также создавая новые предприятия, принес в деле снабжения армии колоссальную помощь Военному ведомству. Можно, конечно, критиковать деятельность Военно-промышленного комитета в том отношении, что на организацию собственного аппарата он тратил очень значительные суммы; что хотя он и не поощрял, но, во всяком случае, очень слабо боролся с громадными аппетитами многих промышленников, стремившихся нажиться на казенных поставках. Обвинений в этом отношении против Военно-промышленного комитета было много, но считаю, что при существовавшей обстановке и при отсутствии правильной организации центрального органа снабжения приходил ось часто переплачивать, лишь бы скорее дать необходимое армии. Надо также иметь в виду, что Военно-промышленный комитет являлся не единственным заказчиком на внутреннем рынке. Кроме него, заказывали Городской и Земский союзы, и крупные заказы продолжали даваться главными довольствующими управлениями, а следовательно, Военно-промышленному комитету приходилось иметь дело уже с определившимися расценками на различные предметы снабжения». </w:t>
      </w:r>
    </w:p>
    <w:p w14:paraId="642773F5" w14:textId="77777777" w:rsidR="004B4E35" w:rsidRPr="00405303" w:rsidRDefault="009E6F82" w:rsidP="00C15251">
      <w:pPr>
        <w:jc w:val="both"/>
        <w:rPr>
          <w:bCs/>
          <w:color w:val="002060"/>
          <w:sz w:val="16"/>
          <w:szCs w:val="16"/>
        </w:rPr>
      </w:pPr>
      <w:r w:rsidRPr="00405303">
        <w:rPr>
          <w:bCs/>
          <w:color w:val="002060"/>
          <w:sz w:val="16"/>
          <w:szCs w:val="16"/>
        </w:rPr>
        <w:t xml:space="preserve">Упрек, который делает генерал Лукомский Военно-промышленному комитету в том, что он слабо боролся с аппетитами многих промышленников, чрезвычайно серьезен, но причины этого зла лежали глубже недр Военно-промышленного комитета. </w:t>
      </w:r>
    </w:p>
    <w:p w14:paraId="589873A4" w14:textId="77777777" w:rsidR="004B4E35" w:rsidRPr="00405303" w:rsidRDefault="009E6F82" w:rsidP="00C15251">
      <w:pPr>
        <w:jc w:val="both"/>
        <w:rPr>
          <w:bCs/>
          <w:color w:val="002060"/>
          <w:sz w:val="16"/>
          <w:szCs w:val="16"/>
        </w:rPr>
      </w:pPr>
      <w:r w:rsidRPr="00405303">
        <w:rPr>
          <w:bCs/>
          <w:color w:val="002060"/>
          <w:sz w:val="16"/>
          <w:szCs w:val="16"/>
        </w:rPr>
        <w:t xml:space="preserve">Осуществить надлежащую организацию тыла можно было только при условии издания Закона о всеобщей промышленной военной повинности, составленного на основании тех же принципов, что и «Закон о всеобщей воинской повинности». Государство, считающее себя вправе требовать от своих граждан жертвы кровью и жизнью, конечно, имеет еще большее право требовать от своих граждан, оставшихся в тылу, жертв личным трудом и имуществом. Вопрос этот для всех государств был новый. Он требовал большой научной и социальной зрелости. Он был под силу только сильному правительству. Наша же Верховная власть хотя и боролась все время за осуществление самодержавия, но, восстановив против себя общественные круги и не сумев удержать расположение к себе народных масс, по существу дела, являлась слабой. Мы видели выше, как Совет министров трижды отклонил законопроект о милитаризации заводов, работающих на оборону. Несомненно, что он боялся рабочих. Так же точно он не смел по-настоящему бороться со злоупотреблениями промышленников. </w:t>
      </w:r>
    </w:p>
    <w:p w14:paraId="6B993B29" w14:textId="77777777" w:rsidR="004B4E35" w:rsidRPr="00405303" w:rsidRDefault="009E6F82" w:rsidP="00C15251">
      <w:pPr>
        <w:jc w:val="both"/>
        <w:rPr>
          <w:bCs/>
          <w:color w:val="002060"/>
          <w:sz w:val="16"/>
          <w:szCs w:val="16"/>
        </w:rPr>
      </w:pPr>
      <w:r w:rsidRPr="00405303">
        <w:rPr>
          <w:bCs/>
          <w:color w:val="002060"/>
          <w:sz w:val="16"/>
          <w:szCs w:val="16"/>
        </w:rPr>
        <w:t xml:space="preserve">Бессилие правительства </w:t>
      </w:r>
    </w:p>
    <w:p w14:paraId="707F72E7" w14:textId="77777777" w:rsidR="004B4E35" w:rsidRPr="00405303" w:rsidRDefault="009E6F82" w:rsidP="00C15251">
      <w:pPr>
        <w:jc w:val="both"/>
        <w:rPr>
          <w:bCs/>
          <w:color w:val="002060"/>
          <w:sz w:val="16"/>
          <w:szCs w:val="16"/>
        </w:rPr>
      </w:pPr>
      <w:r w:rsidRPr="00405303">
        <w:rPr>
          <w:bCs/>
          <w:color w:val="002060"/>
          <w:sz w:val="16"/>
          <w:szCs w:val="16"/>
        </w:rPr>
        <w:t xml:space="preserve">В цитированных выше записях помощника управляющего делами Совета министров А. Н. Яхонтова, посвященных секретным заседаниям Совета министров в августе и сентябре 1915 г., ярко вырисовывается бессилие Совета министров в большинстве вопросов управления страной. Мы не будем здесь останавливаться на подробном рассмотрении причин этого бессилия. Их много, и многие из них обусловливаются событиями войны. Об этом мы будем говорить в III части нашего труда. Здесь же мы укажем на главную, которая резко сформулирована самими министрами в последних заседаниях. «Правительство не может висеть в безвоздушном пространстве и опираться на одну полицию», — говорит в заседании 8 сентября министр иностранных дел С. Д. Сазонов. </w:t>
      </w:r>
    </w:p>
    <w:p w14:paraId="6467EE0B" w14:textId="77777777" w:rsidR="004B4E35" w:rsidRPr="00405303" w:rsidRDefault="009E6F82" w:rsidP="00C15251">
      <w:pPr>
        <w:jc w:val="both"/>
        <w:rPr>
          <w:bCs/>
          <w:color w:val="002060"/>
          <w:sz w:val="16"/>
          <w:szCs w:val="16"/>
        </w:rPr>
      </w:pPr>
      <w:r w:rsidRPr="00405303">
        <w:rPr>
          <w:bCs/>
          <w:color w:val="002060"/>
          <w:sz w:val="16"/>
          <w:szCs w:val="16"/>
        </w:rPr>
        <w:t xml:space="preserve">На заседании через два дня другой видный министр, а именно министр земледелия А. В. Кривошеин, развивает ту же мысль: «Что мы ни говори, что мы ни обещай, как ни заигрывай с прогрессивным блоком и общественностью — нам все равно не поверят. Ведь требования Государственной думы и всей страны сводятся к вопросу не программы, а людей, которым вверяется власть. Поэтому мне думается, что центр наших суждений должен бы заключаться в постановке принципиального вопроса об отношении Его Императорского Величества к правительству настоящего состава и к требованиям страны об исполнительной власти, облеченной общественным доверием. Пускай Монарх решит, как ему угодно направить дальнейшую внутреннюю политику, по пути ли игнорирования таких пожеланий или же по пути примирения, избрав во втором случае пользующееся общественными симпатиями лицо и возложив на него образование правительства. Без разрешения этого кардинального вопроса мы все равно с места не сдвинемся. Лично я высказываюсь за второй путь действий — избрание Государем Императором лица и поручение ему составить кабинет, отвечающий чаяниям страны». </w:t>
      </w:r>
    </w:p>
    <w:p w14:paraId="02240C05" w14:textId="77777777" w:rsidR="004B4E35" w:rsidRPr="00405303" w:rsidRDefault="009E6F82" w:rsidP="00C15251">
      <w:pPr>
        <w:jc w:val="both"/>
        <w:rPr>
          <w:bCs/>
          <w:color w:val="002060"/>
          <w:sz w:val="16"/>
          <w:szCs w:val="16"/>
        </w:rPr>
      </w:pPr>
      <w:r w:rsidRPr="00405303">
        <w:rPr>
          <w:bCs/>
          <w:color w:val="002060"/>
          <w:sz w:val="16"/>
          <w:szCs w:val="16"/>
        </w:rPr>
        <w:t xml:space="preserve">С этим заявлением А. В. Кривошеина соглашаются большинство министров. </w:t>
      </w:r>
    </w:p>
    <w:p w14:paraId="3BEDBE22" w14:textId="77777777" w:rsidR="004B4E35" w:rsidRPr="00405303" w:rsidRDefault="009E6F82" w:rsidP="00C15251">
      <w:pPr>
        <w:jc w:val="both"/>
        <w:rPr>
          <w:bCs/>
          <w:color w:val="002060"/>
          <w:sz w:val="16"/>
          <w:szCs w:val="16"/>
        </w:rPr>
      </w:pPr>
      <w:r w:rsidRPr="00405303">
        <w:rPr>
          <w:bCs/>
          <w:color w:val="002060"/>
          <w:sz w:val="16"/>
          <w:szCs w:val="16"/>
        </w:rPr>
        <w:t xml:space="preserve">Государь избрал первый путь, и главный исполнительный орган, Совет министров, стал еще бессильнее. Социальный процесс изоляции правительства пошел еще быстрее. Авторитет его окончательно пал. При таких условиях правительство оказывается не только бессильным произвести какие-либо коренные органические реформы в структуре работы тыла, оно даже неспособно объединить в стройную организацию те крайние усилия, которые проявляет теперь вся страна, чтобы спасти свою армию от катастрофы. </w:t>
      </w:r>
    </w:p>
    <w:p w14:paraId="2AA3FF8A" w14:textId="77777777" w:rsidR="004B4E35" w:rsidRPr="00405303" w:rsidRDefault="009E6F82" w:rsidP="00C15251">
      <w:pPr>
        <w:jc w:val="both"/>
        <w:rPr>
          <w:bCs/>
          <w:color w:val="002060"/>
          <w:sz w:val="16"/>
          <w:szCs w:val="16"/>
        </w:rPr>
      </w:pPr>
      <w:r w:rsidRPr="00405303">
        <w:rPr>
          <w:bCs/>
          <w:color w:val="002060"/>
          <w:sz w:val="16"/>
          <w:szCs w:val="16"/>
        </w:rPr>
        <w:t xml:space="preserve">Эта неспособность правительства увеличивается еще тем, что самый подбор министров чрезвычайно неудачен. Последнее не случайно, а является лишь одним из звеньев того социального процесса, который происходит. Выбор Верховной власти до крайности ограничен. Все лучшие элементы должны быть заподозрены в </w:t>
      </w:r>
      <w:r w:rsidRPr="00405303">
        <w:rPr>
          <w:bCs/>
          <w:color w:val="002060"/>
          <w:sz w:val="16"/>
          <w:szCs w:val="16"/>
        </w:rPr>
        <w:lastRenderedPageBreak/>
        <w:t xml:space="preserve">оппозиции к власти. И вот на замену уволенного 15/28 марта генерала Поливанова назначается военным министром генерал Шуваев. Председатель Государственной думы М. В. Родзянко так характеризует генерала Шуваева: «...Честный, хороший человек, но недостаточно подготовлен для такого поста в военное время; его председательствование в Особом совещании делало заседания путаными и утомительными». </w:t>
      </w:r>
    </w:p>
    <w:p w14:paraId="708F0BCD" w14:textId="77777777" w:rsidR="004B4E35" w:rsidRPr="00405303" w:rsidRDefault="009E6F82" w:rsidP="00C15251">
      <w:pPr>
        <w:jc w:val="both"/>
        <w:rPr>
          <w:bCs/>
          <w:color w:val="002060"/>
          <w:sz w:val="16"/>
          <w:szCs w:val="16"/>
        </w:rPr>
      </w:pPr>
      <w:r w:rsidRPr="00405303">
        <w:rPr>
          <w:bCs/>
          <w:color w:val="002060"/>
          <w:sz w:val="16"/>
          <w:szCs w:val="16"/>
        </w:rPr>
        <w:t>Гораздо строже отзывается о нем французский министр снабжения г-н Тома, присланный французским правительством для ознакомления с нуждами русского военного снабжения. На просьбу председателя Государственной думы откровенно указать наши больные места в организации снабжения французский министр ответил: «Россия должна быть чрезвычайно богата и очень уверена в своих силах, чтобы позволять себе роскошь иметь правительство, подобное вашему, где премьер-министр является бедствием, а военный министр — катастрофой».</w:t>
      </w:r>
    </w:p>
    <w:p w14:paraId="3AC499EE" w14:textId="77777777" w:rsidR="004B4E35" w:rsidRPr="00405303" w:rsidRDefault="009E6F82" w:rsidP="00C15251">
      <w:pPr>
        <w:jc w:val="both"/>
        <w:rPr>
          <w:bCs/>
          <w:color w:val="002060"/>
          <w:sz w:val="16"/>
          <w:szCs w:val="16"/>
        </w:rPr>
      </w:pPr>
      <w:r w:rsidRPr="00405303">
        <w:rPr>
          <w:bCs/>
          <w:color w:val="002060"/>
          <w:sz w:val="16"/>
          <w:szCs w:val="16"/>
        </w:rPr>
        <w:t xml:space="preserve">Отзыв г-на Тома, быть может, слишком жесток. Но несомненно, что генерал Шуваев выше уровня обыкновенного строевого генерала или рядового интенданта подняться не мог. Выбор генерала Шуваева на должность военного министра обусловливался тем, что Верховная власть рассчитывала, что он будет бороться со все более и более усиливающейся ролью общественных сил в деле снабжения армии. «После ухода Поливанова, — пишет М. В. Родзянко, — Великий князь Сергей Михайлович повел агитацию против Особого совещания и убеждал Государя вовсе упразднить его. С Шуваевым на заседаниях происходили постоянные столкновения, и казалось, будто он нарочно вызывал резкости, чтобы иметь причины для ликвидации Совещания». </w:t>
      </w:r>
    </w:p>
    <w:p w14:paraId="23520D04" w14:textId="77777777" w:rsidR="004B4E35" w:rsidRPr="00405303" w:rsidRDefault="009E6F82" w:rsidP="00C15251">
      <w:pPr>
        <w:jc w:val="both"/>
        <w:rPr>
          <w:bCs/>
          <w:color w:val="002060"/>
          <w:sz w:val="16"/>
          <w:szCs w:val="16"/>
        </w:rPr>
      </w:pPr>
      <w:r w:rsidRPr="00405303">
        <w:rPr>
          <w:bCs/>
          <w:color w:val="002060"/>
          <w:sz w:val="16"/>
          <w:szCs w:val="16"/>
        </w:rPr>
        <w:t xml:space="preserve">Но генерал Шуваев не оправдал связанных с его назначением политических расчетов. </w:t>
      </w:r>
    </w:p>
    <w:p w14:paraId="1DCA05DB"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«В заседании 5 ноября случилось событие, которое оставило сильное впечатление не только в Думе, но и в стране. Во время заседания в зале заседаний появились военный министр Шуваев и морской — Григорович. Они обратились к председателю, сообщив о желании сделать заявление. Когда Марков 2-й окончил свою речь, на трибуну поднялся Шуваев и, сильно волнуясь, сказал, что он как старый солдат верит в доблесть Русской армии, что армия снабжена всем необходимым благодаря единодушной поддержке народа и народного представительства. Он привел цифры увеличения поступления боевых припасов в армию со времени учреждения Особого совещания по обороне. Закончил он просьбой и впредь поддерживать его доверием».</w:t>
      </w:r>
    </w:p>
    <w:p w14:paraId="6A4F6D43" w14:textId="77777777" w:rsidR="004B4E35" w:rsidRPr="00405303" w:rsidRDefault="009E6F82" w:rsidP="00C15251">
      <w:pPr>
        <w:jc w:val="both"/>
        <w:rPr>
          <w:bCs/>
          <w:color w:val="002060"/>
          <w:sz w:val="16"/>
          <w:szCs w:val="16"/>
        </w:rPr>
      </w:pPr>
      <w:r w:rsidRPr="00405303">
        <w:rPr>
          <w:bCs/>
          <w:color w:val="002060"/>
          <w:sz w:val="16"/>
          <w:szCs w:val="16"/>
        </w:rPr>
        <w:t xml:space="preserve">Вскоре после этого выступления, а именно в начале января 1917 года, генерал Шуваев был заменен на посту военного министра генералом Беляевым. Назначение последнего состоялось по выбору императрицы Александры Феодоровны как человека, вполне верного принятому курсу самодержавной политики. Генерал Беляев представлял собой тип «военного чиновника». Все свое трудолюбие и большую работоспособность он направлял по «бумажному» руслу. В армии он был очень непопулярен, ибо за ним установилась репутация человека, мертвящего всякое живое дело. За ним даже прочно установилась кличка «Мертвая голова». </w:t>
      </w:r>
    </w:p>
    <w:p w14:paraId="041F80DB" w14:textId="77777777" w:rsidR="004B4E35" w:rsidRPr="00405303" w:rsidRDefault="009E6F82" w:rsidP="00C15251">
      <w:pPr>
        <w:jc w:val="both"/>
        <w:rPr>
          <w:bCs/>
          <w:color w:val="002060"/>
          <w:sz w:val="16"/>
          <w:szCs w:val="16"/>
        </w:rPr>
      </w:pPr>
      <w:r w:rsidRPr="00405303">
        <w:rPr>
          <w:bCs/>
          <w:color w:val="002060"/>
          <w:sz w:val="16"/>
          <w:szCs w:val="16"/>
        </w:rPr>
        <w:t xml:space="preserve">Отрицательного влияния на дело снабжения назначение Беляева не могло оказать, так как в начале марта вспыхнула революция. </w:t>
      </w:r>
    </w:p>
    <w:p w14:paraId="479EF90C" w14:textId="77777777" w:rsidR="004B4E35" w:rsidRPr="00405303" w:rsidRDefault="009E6F82" w:rsidP="00C15251">
      <w:pPr>
        <w:jc w:val="both"/>
        <w:rPr>
          <w:bCs/>
          <w:color w:val="002060"/>
          <w:sz w:val="16"/>
          <w:szCs w:val="16"/>
        </w:rPr>
      </w:pPr>
      <w:r w:rsidRPr="00405303">
        <w:rPr>
          <w:bCs/>
          <w:color w:val="002060"/>
          <w:sz w:val="16"/>
          <w:szCs w:val="16"/>
        </w:rPr>
        <w:t xml:space="preserve">Революция </w:t>
      </w:r>
    </w:p>
    <w:p w14:paraId="38C510A2" w14:textId="77777777" w:rsidR="004B4E35" w:rsidRPr="00405303" w:rsidRDefault="009E6F82" w:rsidP="00C15251">
      <w:pPr>
        <w:jc w:val="both"/>
        <w:rPr>
          <w:bCs/>
          <w:color w:val="002060"/>
          <w:sz w:val="16"/>
          <w:szCs w:val="16"/>
        </w:rPr>
      </w:pPr>
      <w:r w:rsidRPr="00405303">
        <w:rPr>
          <w:bCs/>
          <w:color w:val="002060"/>
          <w:sz w:val="16"/>
          <w:szCs w:val="16"/>
        </w:rPr>
        <w:t xml:space="preserve">В разбушевавшейся революционной стихии сразу же начала падать на заводах и промышленных предприятиях трудовая дисциплина. Технический и административный персонал, который не был изгнан рабочими, не имел возможности руководить делом. Он был терроризован рабочими. В результате — крайняя небрежность в работе и все увеличивающееся падение производительности. Московская металлообрабатывающая промышленность уже в апреле пала на 32%, производительность петроградских фабрик и заводов — на 20–40%, добыча угля и общая производительность Донецкого бассейна к 1 июля — на 30% и т.д. Расстроилась также добыча нефти на бакинских и грозненских промыслах. </w:t>
      </w:r>
    </w:p>
    <w:p w14:paraId="7B1BF76E" w14:textId="77777777" w:rsidR="004B4E35" w:rsidRPr="00405303" w:rsidRDefault="004B4E35" w:rsidP="00C15251">
      <w:pPr>
        <w:jc w:val="both"/>
        <w:rPr>
          <w:bCs/>
          <w:color w:val="002060"/>
          <w:sz w:val="16"/>
          <w:szCs w:val="16"/>
        </w:rPr>
      </w:pPr>
    </w:p>
    <w:p w14:paraId="12651669" w14:textId="77777777" w:rsidR="002A027E" w:rsidRPr="00405303" w:rsidRDefault="002A027E" w:rsidP="00C15251">
      <w:pPr>
        <w:jc w:val="both"/>
        <w:rPr>
          <w:bCs/>
          <w:i/>
          <w:color w:val="002060"/>
          <w:sz w:val="16"/>
          <w:szCs w:val="16"/>
        </w:rPr>
      </w:pPr>
      <w:r w:rsidRPr="00405303">
        <w:rPr>
          <w:bCs/>
          <w:i/>
          <w:color w:val="002060"/>
          <w:sz w:val="16"/>
          <w:szCs w:val="16"/>
        </w:rPr>
        <w:t>Авиация и воздухоплавание Франции:</w:t>
      </w:r>
    </w:p>
    <w:p w14:paraId="4B197EC7" w14:textId="77777777" w:rsidR="002A027E" w:rsidRPr="00405303" w:rsidRDefault="002A027E" w:rsidP="00C15251">
      <w:pPr>
        <w:jc w:val="both"/>
        <w:rPr>
          <w:bCs/>
          <w:i/>
          <w:color w:val="002060"/>
          <w:sz w:val="16"/>
          <w:szCs w:val="16"/>
        </w:rPr>
      </w:pPr>
    </w:p>
    <w:p w14:paraId="2C2180D2" w14:textId="77777777" w:rsidR="002A027E" w:rsidRPr="00405303" w:rsidRDefault="002A027E" w:rsidP="00C15251">
      <w:pPr>
        <w:jc w:val="both"/>
        <w:rPr>
          <w:bCs/>
          <w:color w:val="002060"/>
          <w:sz w:val="16"/>
          <w:szCs w:val="16"/>
        </w:rPr>
      </w:pPr>
      <w:r w:rsidRPr="00405303">
        <w:rPr>
          <w:bCs/>
          <w:color w:val="002060"/>
          <w:sz w:val="16"/>
          <w:szCs w:val="16"/>
        </w:rPr>
        <w:t>7 (20) июня 1915 года дирижабль «Коммандант Куттель» впервые вышел на боевое задание и бомбардировал вокзал Вилльнев-ла-Аттоншанель в окрестностях Сен-Мишеля. 23 сентября германский снаряд прошел насквозь через газовый баллон, и дирижабль упал в лес, экипаж остался жив. Командиром этого корабля был известный воздухоплаватель граф де ля Во (11324).</w:t>
      </w:r>
    </w:p>
    <w:p w14:paraId="1C57BAAE" w14:textId="180DE0CD" w:rsidR="002A027E" w:rsidRPr="00405303" w:rsidRDefault="002A027E" w:rsidP="00C15251">
      <w:pPr>
        <w:shd w:val="clear" w:color="auto" w:fill="FFFFFF"/>
        <w:jc w:val="both"/>
        <w:rPr>
          <w:bCs/>
          <w:color w:val="002060"/>
          <w:sz w:val="16"/>
          <w:szCs w:val="16"/>
        </w:rPr>
      </w:pPr>
    </w:p>
    <w:p w14:paraId="6775D889" w14:textId="0B684C5C" w:rsidR="00940E68" w:rsidRPr="00405303" w:rsidRDefault="00940E68" w:rsidP="00C15251">
      <w:pPr>
        <w:shd w:val="clear" w:color="auto" w:fill="FFFFFF"/>
        <w:jc w:val="both"/>
        <w:rPr>
          <w:bCs/>
          <w:i/>
          <w:iCs/>
          <w:color w:val="002060"/>
          <w:sz w:val="16"/>
          <w:szCs w:val="16"/>
        </w:rPr>
      </w:pPr>
      <w:r w:rsidRPr="00405303">
        <w:rPr>
          <w:bCs/>
          <w:i/>
          <w:iCs/>
          <w:color w:val="002060"/>
          <w:sz w:val="16"/>
          <w:szCs w:val="16"/>
        </w:rPr>
        <w:t>За рубежом:</w:t>
      </w:r>
    </w:p>
    <w:p w14:paraId="5066934C" w14:textId="77777777" w:rsidR="00940E68" w:rsidRPr="00405303" w:rsidRDefault="00940E68" w:rsidP="00C15251">
      <w:pPr>
        <w:shd w:val="clear" w:color="auto" w:fill="FFFFFF"/>
        <w:jc w:val="both"/>
        <w:rPr>
          <w:bCs/>
          <w:i/>
          <w:iCs/>
          <w:color w:val="002060"/>
          <w:sz w:val="16"/>
          <w:szCs w:val="16"/>
        </w:rPr>
      </w:pPr>
    </w:p>
    <w:p w14:paraId="4DA62944" w14:textId="77777777" w:rsidR="00940E68" w:rsidRPr="00405303" w:rsidRDefault="00940E68" w:rsidP="00C15251">
      <w:pPr>
        <w:jc w:val="both"/>
        <w:rPr>
          <w:bCs/>
          <w:color w:val="002060"/>
          <w:sz w:val="16"/>
          <w:szCs w:val="16"/>
        </w:rPr>
      </w:pPr>
      <w:r w:rsidRPr="00405303">
        <w:rPr>
          <w:bCs/>
          <w:color w:val="002060"/>
          <w:sz w:val="16"/>
          <w:szCs w:val="16"/>
        </w:rPr>
        <w:t>7 (20) июня в 1915 году немецкое наступление в Арденнах (14928).</w:t>
      </w:r>
    </w:p>
    <w:p w14:paraId="7A89EB1E" w14:textId="77777777" w:rsidR="00940E68" w:rsidRPr="00405303" w:rsidRDefault="00940E68" w:rsidP="00C15251">
      <w:pPr>
        <w:jc w:val="both"/>
        <w:rPr>
          <w:bCs/>
          <w:color w:val="002060"/>
          <w:sz w:val="16"/>
          <w:szCs w:val="16"/>
        </w:rPr>
      </w:pPr>
    </w:p>
    <w:p w14:paraId="7AF03C54" w14:textId="77777777" w:rsidR="00D37EFB" w:rsidRPr="00405303" w:rsidRDefault="00D37EFB" w:rsidP="00C15251">
      <w:pPr>
        <w:jc w:val="both"/>
        <w:rPr>
          <w:bCs/>
          <w:i/>
          <w:color w:val="002060"/>
          <w:sz w:val="16"/>
          <w:szCs w:val="16"/>
        </w:rPr>
      </w:pPr>
      <w:r w:rsidRPr="00405303">
        <w:rPr>
          <w:bCs/>
          <w:i/>
          <w:color w:val="002060"/>
          <w:sz w:val="16"/>
          <w:szCs w:val="16"/>
        </w:rPr>
        <w:t>Другие оборонные отрасли:</w:t>
      </w:r>
    </w:p>
    <w:p w14:paraId="6D476F01" w14:textId="77777777" w:rsidR="00D37EFB" w:rsidRPr="00405303" w:rsidRDefault="00D37EFB" w:rsidP="00C15251">
      <w:pPr>
        <w:jc w:val="both"/>
        <w:rPr>
          <w:bCs/>
          <w:i/>
          <w:color w:val="002060"/>
          <w:sz w:val="16"/>
          <w:szCs w:val="16"/>
        </w:rPr>
      </w:pPr>
    </w:p>
    <w:p w14:paraId="687A6961" w14:textId="1B02DEF4" w:rsidR="00D37EFB" w:rsidRPr="00405303" w:rsidRDefault="00D37EFB" w:rsidP="00C15251">
      <w:pPr>
        <w:shd w:val="clear" w:color="auto" w:fill="FFFFFF"/>
        <w:jc w:val="both"/>
        <w:rPr>
          <w:bCs/>
          <w:color w:val="002060"/>
          <w:sz w:val="16"/>
          <w:szCs w:val="16"/>
        </w:rPr>
      </w:pPr>
      <w:r w:rsidRPr="00405303">
        <w:rPr>
          <w:bCs/>
          <w:color w:val="002060"/>
          <w:sz w:val="16"/>
          <w:szCs w:val="16"/>
        </w:rPr>
        <w:t>В начале июня 1915 г. перед Комиссией по заготовке взрывчатых веществ была поставлена задача увеличить выработку взрывчатых веществ с 60 до 165 тыс. пу</w:t>
      </w:r>
      <w:r w:rsidRPr="00405303">
        <w:rPr>
          <w:bCs/>
          <w:color w:val="002060"/>
          <w:sz w:val="16"/>
          <w:szCs w:val="16"/>
        </w:rPr>
        <w:softHyphen/>
        <w:t>дов в месяц. Это потребовало резкого увеличения производства сер</w:t>
      </w:r>
      <w:r w:rsidRPr="00405303">
        <w:rPr>
          <w:bCs/>
          <w:color w:val="002060"/>
          <w:sz w:val="16"/>
          <w:szCs w:val="16"/>
        </w:rPr>
        <w:softHyphen/>
        <w:t>ной и азотной кислот.</w:t>
      </w:r>
    </w:p>
    <w:p w14:paraId="3B299D5C" w14:textId="77777777" w:rsidR="00D37EFB" w:rsidRPr="00405303" w:rsidRDefault="00D37EFB" w:rsidP="00C15251">
      <w:pPr>
        <w:shd w:val="clear" w:color="auto" w:fill="FFFFFF"/>
        <w:jc w:val="both"/>
        <w:rPr>
          <w:bCs/>
          <w:color w:val="002060"/>
          <w:sz w:val="16"/>
          <w:szCs w:val="16"/>
        </w:rPr>
      </w:pPr>
      <w:r w:rsidRPr="00405303">
        <w:rPr>
          <w:bCs/>
          <w:color w:val="002060"/>
          <w:sz w:val="16"/>
          <w:szCs w:val="16"/>
        </w:rPr>
        <w:t>До войны в России производили до 1,25 млн пудов серной кисло</w:t>
      </w:r>
      <w:r w:rsidRPr="00405303">
        <w:rPr>
          <w:bCs/>
          <w:color w:val="002060"/>
          <w:sz w:val="16"/>
          <w:szCs w:val="16"/>
        </w:rPr>
        <w:softHyphen/>
        <w:t>ты в месяц. Для ее изготовления использовали в основном импорт</w:t>
      </w:r>
      <w:r w:rsidRPr="00405303">
        <w:rPr>
          <w:bCs/>
          <w:color w:val="002060"/>
          <w:sz w:val="16"/>
          <w:szCs w:val="16"/>
        </w:rPr>
        <w:softHyphen/>
        <w:t>ное сырье (серный колчедан).</w:t>
      </w:r>
    </w:p>
    <w:p w14:paraId="46869435" w14:textId="77777777" w:rsidR="00D37EFB" w:rsidRPr="00405303" w:rsidRDefault="00D37EFB" w:rsidP="00C15251">
      <w:pPr>
        <w:shd w:val="clear" w:color="auto" w:fill="FFFFFF"/>
        <w:jc w:val="both"/>
        <w:rPr>
          <w:bCs/>
          <w:color w:val="002060"/>
          <w:sz w:val="16"/>
          <w:szCs w:val="16"/>
        </w:rPr>
      </w:pPr>
      <w:r w:rsidRPr="00405303">
        <w:rPr>
          <w:bCs/>
          <w:color w:val="002060"/>
          <w:sz w:val="16"/>
          <w:szCs w:val="16"/>
        </w:rPr>
        <w:t>В связи с захватом немцами западных районов производство серной кислоты сократилось, что грозило сокращением производст</w:t>
      </w:r>
      <w:r w:rsidRPr="00405303">
        <w:rPr>
          <w:bCs/>
          <w:color w:val="002060"/>
          <w:sz w:val="16"/>
          <w:szCs w:val="16"/>
        </w:rPr>
        <w:softHyphen/>
        <w:t>ва взрывчатых веществ [42, с. 4471.</w:t>
      </w:r>
    </w:p>
    <w:p w14:paraId="33F0A187" w14:textId="77777777" w:rsidR="00D37EFB" w:rsidRPr="00405303" w:rsidRDefault="00D37EFB" w:rsidP="00C15251">
      <w:pPr>
        <w:shd w:val="clear" w:color="auto" w:fill="FFFFFF"/>
        <w:jc w:val="both"/>
        <w:rPr>
          <w:bCs/>
          <w:color w:val="002060"/>
          <w:sz w:val="16"/>
          <w:szCs w:val="16"/>
        </w:rPr>
      </w:pPr>
      <w:r w:rsidRPr="00405303">
        <w:rPr>
          <w:bCs/>
          <w:color w:val="002060"/>
          <w:sz w:val="16"/>
          <w:szCs w:val="16"/>
        </w:rPr>
        <w:t>Комиссия по взрывчатым веществам приняла меры для скорей</w:t>
      </w:r>
      <w:r w:rsidRPr="00405303">
        <w:rPr>
          <w:bCs/>
          <w:color w:val="002060"/>
          <w:sz w:val="16"/>
          <w:szCs w:val="16"/>
        </w:rPr>
        <w:softHyphen/>
        <w:t>шей организации производства минеральных кислот в России на оте</w:t>
      </w:r>
      <w:r w:rsidRPr="00405303">
        <w:rPr>
          <w:bCs/>
          <w:color w:val="002060"/>
          <w:sz w:val="16"/>
          <w:szCs w:val="16"/>
        </w:rPr>
        <w:softHyphen/>
        <w:t>чественном сырье. Особое совещание по обороне поручило Комиссии организовать в кратчайший срок добычу в необходимых количествах колчедана и производство серной кислоты. Уже летом и осенью 1915 г. началось строительство 20 новых сернокислотных заводов, которые должны были увеличить выработку серной кислоты вдвое.</w:t>
      </w:r>
    </w:p>
    <w:p w14:paraId="31717D94" w14:textId="77777777" w:rsidR="00D37EFB" w:rsidRPr="00405303" w:rsidRDefault="00D37EFB" w:rsidP="00C15251">
      <w:pPr>
        <w:shd w:val="clear" w:color="auto" w:fill="FFFFFF"/>
        <w:jc w:val="both"/>
        <w:rPr>
          <w:bCs/>
          <w:color w:val="002060"/>
          <w:sz w:val="16"/>
          <w:szCs w:val="16"/>
        </w:rPr>
      </w:pPr>
      <w:r w:rsidRPr="00405303">
        <w:rPr>
          <w:bCs/>
          <w:color w:val="002060"/>
          <w:sz w:val="16"/>
          <w:szCs w:val="16"/>
        </w:rPr>
        <w:t>В 1915—1917 гг. было построено 28 сернокислотных установок с суммарной месячной производительностью 1064,7 тыс. пудов. Обес</w:t>
      </w:r>
      <w:r w:rsidRPr="00405303">
        <w:rPr>
          <w:bCs/>
          <w:color w:val="002060"/>
          <w:sz w:val="16"/>
          <w:szCs w:val="16"/>
        </w:rPr>
        <w:softHyphen/>
        <w:t>печивалось ежегодное производство серной кислоты в 16 млн пудов [28, с. 114; 42, с. 447] (5484).</w:t>
      </w:r>
    </w:p>
    <w:p w14:paraId="69EB5FD2" w14:textId="77777777" w:rsidR="00D37EFB" w:rsidRPr="00405303" w:rsidRDefault="00D37EFB" w:rsidP="00C15251">
      <w:pPr>
        <w:shd w:val="clear" w:color="auto" w:fill="FFFFFF"/>
        <w:jc w:val="both"/>
        <w:rPr>
          <w:bCs/>
          <w:color w:val="002060"/>
          <w:sz w:val="16"/>
          <w:szCs w:val="16"/>
        </w:rPr>
      </w:pPr>
    </w:p>
    <w:p w14:paraId="05C7D8F4" w14:textId="77777777" w:rsidR="00D37EFB" w:rsidRPr="00405303" w:rsidRDefault="00D37EFB" w:rsidP="00C15251">
      <w:pPr>
        <w:pStyle w:val="a3"/>
        <w:jc w:val="both"/>
        <w:rPr>
          <w:bCs/>
          <w:color w:val="002060"/>
          <w:spacing w:val="0"/>
          <w:kern w:val="0"/>
          <w:position w:val="0"/>
          <w:sz w:val="16"/>
          <w:szCs w:val="16"/>
        </w:rPr>
      </w:pPr>
      <w:r w:rsidRPr="00405303">
        <w:rPr>
          <w:bCs/>
          <w:color w:val="002060"/>
          <w:spacing w:val="0"/>
          <w:kern w:val="0"/>
          <w:position w:val="0"/>
          <w:sz w:val="16"/>
          <w:szCs w:val="16"/>
        </w:rPr>
        <w:t>Армия:</w:t>
      </w:r>
    </w:p>
    <w:p w14:paraId="5EDABE10" w14:textId="77777777" w:rsidR="00D37EFB" w:rsidRPr="00405303" w:rsidRDefault="00D37EFB" w:rsidP="00C15251">
      <w:pPr>
        <w:pStyle w:val="a3"/>
        <w:jc w:val="both"/>
        <w:rPr>
          <w:bCs/>
          <w:color w:val="002060"/>
          <w:spacing w:val="0"/>
          <w:kern w:val="0"/>
          <w:position w:val="0"/>
          <w:sz w:val="16"/>
          <w:szCs w:val="16"/>
        </w:rPr>
      </w:pPr>
    </w:p>
    <w:p w14:paraId="08BA5936" w14:textId="3B4423A5" w:rsidR="00D37EFB" w:rsidRPr="00405303" w:rsidRDefault="00D37EFB" w:rsidP="00C15251">
      <w:pPr>
        <w:jc w:val="both"/>
        <w:rPr>
          <w:bCs/>
          <w:color w:val="002060"/>
          <w:sz w:val="16"/>
          <w:szCs w:val="16"/>
        </w:rPr>
      </w:pPr>
      <w:r w:rsidRPr="00405303">
        <w:rPr>
          <w:bCs/>
          <w:color w:val="002060"/>
          <w:sz w:val="16"/>
          <w:szCs w:val="16"/>
        </w:rPr>
        <w:t xml:space="preserve">В начале июня </w:t>
      </w:r>
      <w:r w:rsidR="002A027E" w:rsidRPr="00405303">
        <w:rPr>
          <w:bCs/>
          <w:color w:val="002060"/>
          <w:sz w:val="16"/>
          <w:szCs w:val="16"/>
        </w:rPr>
        <w:t xml:space="preserve">1915 </w:t>
      </w:r>
      <w:r w:rsidRPr="00405303">
        <w:rPr>
          <w:bCs/>
          <w:color w:val="002060"/>
          <w:sz w:val="16"/>
          <w:szCs w:val="16"/>
        </w:rPr>
        <w:t>корабли перелетели в Люблин. 14 июня "Киевский" совершил, пожалуй, самый знаменитый и известный налёт за всю историю "Муромцев". Корабль, гружённый девятью пудовыми и одной пятипудовой бомбами, взял курс на станцию Пржеворск. Одна из сброшенных на станцию бомб попала в железнодорожный состав и сразу вызвала большой пожар - сполохи пламени, разлетающиеся во все стороны, сопровождались гулом взрывов и клубами густого чёрного дыма. Башко (ставший к тому времени уже командиром "Киевского") кружил над местом ешё минут 15, сделав четыре круга, доносил: "всё время из горевших вагонов вылетали как бы куски огня или дымки разрывов; некоторые дымки и вспышки были на очень большом расстоянии от этого места удачного попадания. Вероятнее всего предположить, что горел и взрывался поезд с какими-нибудь взрывчатыми веществами: снарядами, зарядами или горючим (бензином, спиртом и т.п.)". Позже из немецкой прессы стало известно, что был уничтожен поезд с 30 ООО снарядами.</w:t>
      </w:r>
    </w:p>
    <w:p w14:paraId="6FFD2795" w14:textId="77777777" w:rsidR="00D37EFB" w:rsidRPr="00405303" w:rsidRDefault="00D37EFB" w:rsidP="00C15251">
      <w:pPr>
        <w:jc w:val="both"/>
        <w:rPr>
          <w:bCs/>
          <w:color w:val="002060"/>
          <w:sz w:val="16"/>
          <w:szCs w:val="16"/>
        </w:rPr>
      </w:pPr>
      <w:r w:rsidRPr="00405303">
        <w:rPr>
          <w:bCs/>
          <w:color w:val="002060"/>
          <w:sz w:val="16"/>
          <w:szCs w:val="16"/>
        </w:rPr>
        <w:t>Озерский тоже не терял времени зря. В этот день его III корабль нанёс визит на немецкий аэродром в Олешице. Впоследствии, по показаниям лётчиков из FFA21, взятых в плен в октябре 1915 года, стало известно, что пудовая бомба с "Муромца" попала в самолётную палатку и уничтожила находившийся в ней аппарат, а также ранила механика.</w:t>
      </w:r>
    </w:p>
    <w:p w14:paraId="5DE47D75" w14:textId="77777777" w:rsidR="00D37EFB" w:rsidRPr="00405303" w:rsidRDefault="00D37EFB" w:rsidP="00C15251">
      <w:pPr>
        <w:jc w:val="both"/>
        <w:rPr>
          <w:bCs/>
          <w:color w:val="002060"/>
          <w:sz w:val="16"/>
          <w:szCs w:val="16"/>
        </w:rPr>
      </w:pPr>
      <w:r w:rsidRPr="00405303">
        <w:rPr>
          <w:bCs/>
          <w:color w:val="002060"/>
          <w:sz w:val="16"/>
          <w:szCs w:val="16"/>
        </w:rPr>
        <w:t>Экипаж "Киевского" с 11 апреля по 14 июня совершил 10 полётов, в которых сбросил на головы врага две пягипудовые, две двухпудовые, 127 пудовых и 40 десятифунтовых бомб, т.е. 171Вомбу общим весом до 2500 кг. Орденом Св. Георгия 4-й степени были награждены командир корабля поручик И.С. Башко и артиллерийский офицер штабс-капитан А.А. Наумов, а поручик М.В. Смирнов получил Георгиевское оружие.</w:t>
      </w:r>
    </w:p>
    <w:p w14:paraId="21ADD4F0" w14:textId="77777777" w:rsidR="00D37EFB" w:rsidRPr="00405303" w:rsidRDefault="00D37EFB" w:rsidP="00C15251">
      <w:pPr>
        <w:jc w:val="both"/>
        <w:rPr>
          <w:bCs/>
          <w:color w:val="002060"/>
          <w:sz w:val="16"/>
          <w:szCs w:val="16"/>
        </w:rPr>
      </w:pPr>
      <w:r w:rsidRPr="00405303">
        <w:rPr>
          <w:bCs/>
          <w:color w:val="002060"/>
          <w:sz w:val="16"/>
          <w:szCs w:val="16"/>
        </w:rPr>
        <w:t>Под натиском германских войск 3-я армия была вынуждена сдать часть Восточной Галиции и 22 июня "Киевский" и III корабль вынуждены были перелететь из Люблина во Влодаву.</w:t>
      </w:r>
    </w:p>
    <w:p w14:paraId="24CEB017" w14:textId="77777777" w:rsidR="00D37EFB" w:rsidRPr="00405303" w:rsidRDefault="00D37EFB" w:rsidP="00C15251">
      <w:pPr>
        <w:jc w:val="both"/>
        <w:rPr>
          <w:bCs/>
          <w:color w:val="002060"/>
          <w:sz w:val="16"/>
          <w:szCs w:val="16"/>
        </w:rPr>
      </w:pPr>
      <w:r w:rsidRPr="00405303">
        <w:rPr>
          <w:bCs/>
          <w:color w:val="002060"/>
          <w:sz w:val="16"/>
          <w:szCs w:val="16"/>
        </w:rPr>
        <w:lastRenderedPageBreak/>
        <w:t>Тем временем в Эскадре готовили к боевым действиям новые "Муромцы" типа В. Корабли новой серии вместо "Сальмсонов" и дефицитных "Аргусов" стали оборудовать моторами английской фирмы "Санбим" (Sunbeam). Двигатель мощностью в 150 л.с., носивший гордое имя "Крусейдер" (Crusader- крестоносец) имел восемь цилиндров, водяное охлаждение и V-образную схему. Как показала практика, это был не лучший вариант. Но, выбирать не приходилось...</w:t>
      </w:r>
    </w:p>
    <w:p w14:paraId="28461EF9" w14:textId="77777777" w:rsidR="00D37EFB" w:rsidRPr="00405303" w:rsidRDefault="00D37EFB" w:rsidP="00C15251">
      <w:pPr>
        <w:jc w:val="both"/>
        <w:rPr>
          <w:bCs/>
          <w:color w:val="002060"/>
          <w:sz w:val="16"/>
          <w:szCs w:val="16"/>
        </w:rPr>
      </w:pPr>
      <w:r w:rsidRPr="00405303">
        <w:rPr>
          <w:bCs/>
          <w:color w:val="002060"/>
          <w:sz w:val="16"/>
          <w:szCs w:val="16"/>
        </w:rPr>
        <w:t xml:space="preserve">Алехнович получил V корабль "остроносый" тип В (№ I58), оснащённый четырьмя "Санбимами". Носовая часть фюзеляжа была как у № 151, только верхняя часть кабины была почти полностью остеклена (две сплошные рамы). Другой корабль, № 159. был оснащён двумя "Санбимами" и имел нос в Точности как у № I51. Сикорский чуть позже переставил моторы, развернув их на I80 градусов, сместив к задней кромке крыла и снабдив их толкающими винтами. Экипаж Панкратьева получил новый самолёт № I60, но уже с "тупым" носом, который не был ешё остеклён в нижней части. Машина также оснащалась четырьмя 150-сильными "Санбимами" (12041). </w:t>
      </w:r>
    </w:p>
    <w:p w14:paraId="251F0E46" w14:textId="77777777" w:rsidR="00D37EFB" w:rsidRPr="00405303" w:rsidRDefault="00D37EFB" w:rsidP="00C15251">
      <w:pPr>
        <w:jc w:val="both"/>
        <w:rPr>
          <w:bCs/>
          <w:color w:val="002060"/>
          <w:sz w:val="16"/>
          <w:szCs w:val="16"/>
        </w:rPr>
      </w:pPr>
    </w:p>
    <w:p w14:paraId="17590019" w14:textId="77777777" w:rsidR="00402FF2" w:rsidRPr="00405303" w:rsidRDefault="00402FF2" w:rsidP="00402FF2">
      <w:pPr>
        <w:jc w:val="both"/>
        <w:rPr>
          <w:color w:val="0070C0"/>
          <w:sz w:val="16"/>
          <w:szCs w:val="16"/>
        </w:rPr>
      </w:pPr>
      <w:r w:rsidRPr="00405303">
        <w:rPr>
          <w:rStyle w:val="aa"/>
          <w:rFonts w:ascii="Times New Roman" w:hAnsi="Times New Roman"/>
          <w:color w:val="0070C0"/>
          <w:spacing w:val="0"/>
          <w:sz w:val="16"/>
          <w:szCs w:val="16"/>
        </w:rPr>
        <w:t>В начале июня 1915 г. воздушной бомбардировке подвергся лазарет на ст. Бобрувка (царство Польское).</w:t>
      </w:r>
    </w:p>
    <w:p w14:paraId="4C657421" w14:textId="77777777" w:rsidR="00402FF2" w:rsidRPr="00405303" w:rsidRDefault="00402FF2" w:rsidP="00402FF2">
      <w:pPr>
        <w:jc w:val="both"/>
        <w:rPr>
          <w:color w:val="0070C0"/>
          <w:sz w:val="16"/>
          <w:szCs w:val="16"/>
        </w:rPr>
      </w:pPr>
      <w:r w:rsidRPr="00405303">
        <w:rPr>
          <w:rStyle w:val="aa"/>
          <w:rFonts w:ascii="Times New Roman" w:hAnsi="Times New Roman"/>
          <w:color w:val="0070C0"/>
          <w:spacing w:val="0"/>
          <w:sz w:val="16"/>
          <w:szCs w:val="16"/>
        </w:rPr>
        <w:t>В тот же период противник продолжал нести потери в своей авиации. В окрестностях г. Жирардов пулеметный обстрел неприятельского аэроплана типа «Таубе» привел к взрыву находившихся на него борту боеприпасов. Летательный аппарат упал на вражеских позициях недалеко от г. Рыпин. На одном из участков фронта (вблизи н/п Муравьев) вследствие порчи мотора в расположении русских войск опустился германский самолет. Его экипаж был взят в плен (25135).</w:t>
      </w:r>
    </w:p>
    <w:p w14:paraId="6B2506E7" w14:textId="77777777" w:rsidR="00402FF2" w:rsidRPr="00405303" w:rsidRDefault="00402FF2" w:rsidP="00402FF2">
      <w:pPr>
        <w:jc w:val="both"/>
        <w:rPr>
          <w:color w:val="0070C0"/>
          <w:sz w:val="16"/>
          <w:szCs w:val="16"/>
        </w:rPr>
      </w:pPr>
    </w:p>
    <w:p w14:paraId="0686C1DC" w14:textId="77777777" w:rsidR="00402FF2" w:rsidRPr="00405303" w:rsidRDefault="00402FF2" w:rsidP="00402FF2">
      <w:pPr>
        <w:jc w:val="both"/>
        <w:rPr>
          <w:color w:val="0070C0"/>
          <w:sz w:val="16"/>
          <w:szCs w:val="16"/>
        </w:rPr>
      </w:pPr>
      <w:r w:rsidRPr="00405303">
        <w:rPr>
          <w:rStyle w:val="aa"/>
          <w:rFonts w:ascii="Times New Roman" w:hAnsi="Times New Roman"/>
          <w:color w:val="0070C0"/>
          <w:spacing w:val="0"/>
          <w:sz w:val="16"/>
          <w:szCs w:val="16"/>
        </w:rPr>
        <w:t>В начале июня 1915 г. немецкий самолет появился над г. Шавли и сбросил бомбы на шоссе, около железнодорожного вокзала и рядом с городским костелом. Еще недооценивая опасности воздушных налетов, «шавельские обыватели без боязни с большим любопытством наблюдали за полетом аэроплана». Определенный интерес у жителей другого города, Митавы, вызвала доставка группы немецких пленных летчиков, спустившихся вблизи н/п Муравьев, вследствие неполадок мотора их аэроплана (25135).</w:t>
      </w:r>
    </w:p>
    <w:p w14:paraId="7AC7C4CC" w14:textId="77777777" w:rsidR="00402FF2" w:rsidRPr="00405303" w:rsidRDefault="00402FF2" w:rsidP="00402FF2">
      <w:pPr>
        <w:jc w:val="both"/>
        <w:rPr>
          <w:color w:val="0070C0"/>
          <w:sz w:val="16"/>
          <w:szCs w:val="16"/>
        </w:rPr>
      </w:pPr>
    </w:p>
    <w:p w14:paraId="1DF37BB1" w14:textId="14716F9C" w:rsidR="0025595F" w:rsidRPr="00405303" w:rsidRDefault="0025595F" w:rsidP="00C15251">
      <w:pPr>
        <w:shd w:val="clear" w:color="auto" w:fill="FFFFFF"/>
        <w:jc w:val="both"/>
        <w:rPr>
          <w:bCs/>
          <w:i/>
          <w:color w:val="002060"/>
          <w:sz w:val="16"/>
          <w:szCs w:val="16"/>
        </w:rPr>
      </w:pPr>
      <w:r w:rsidRPr="00405303">
        <w:rPr>
          <w:bCs/>
          <w:i/>
          <w:color w:val="002060"/>
          <w:sz w:val="16"/>
          <w:szCs w:val="16"/>
        </w:rPr>
        <w:t>Авиация:</w:t>
      </w:r>
    </w:p>
    <w:p w14:paraId="576A79FD" w14:textId="77777777" w:rsidR="0025595F" w:rsidRPr="00405303" w:rsidRDefault="0025595F" w:rsidP="00C15251">
      <w:pPr>
        <w:shd w:val="clear" w:color="auto" w:fill="FFFFFF"/>
        <w:jc w:val="both"/>
        <w:rPr>
          <w:bCs/>
          <w:i/>
          <w:color w:val="002060"/>
          <w:sz w:val="16"/>
          <w:szCs w:val="16"/>
        </w:rPr>
      </w:pPr>
    </w:p>
    <w:p w14:paraId="2AD6BAEC" w14:textId="77777777" w:rsidR="0025595F" w:rsidRPr="00405303" w:rsidRDefault="0025595F" w:rsidP="00C15251">
      <w:pPr>
        <w:jc w:val="both"/>
        <w:rPr>
          <w:bCs/>
          <w:color w:val="002060"/>
          <w:sz w:val="16"/>
          <w:szCs w:val="16"/>
        </w:rPr>
      </w:pPr>
      <w:bookmarkStart w:id="163" w:name="bookmark185"/>
      <w:r w:rsidRPr="00405303">
        <w:rPr>
          <w:bCs/>
          <w:color w:val="002060"/>
          <w:sz w:val="16"/>
          <w:szCs w:val="16"/>
        </w:rPr>
        <w:t>В начале июня 1915 г. немецкий самолет появился над г. Шавли и сбросил бомбы на шоссе, около железнодорожного вокзала и рядом с городским костелом. Еще недооценивая опасности воздушных налетов, «шавельские обыватели без боязни с большим любопытством наблюдали за полетом аэроплана». Определенный интерес у жителей другого города, Митавы, вызвала доставка группы немецких пленных летчиков, спустившихся вблизи н/п Муравьев, вследствие неполадок мотора их аэроплана (23405).</w:t>
      </w:r>
      <w:bookmarkEnd w:id="163"/>
    </w:p>
    <w:p w14:paraId="0ACDCBAD" w14:textId="77777777" w:rsidR="0025595F" w:rsidRPr="00405303" w:rsidRDefault="0025595F" w:rsidP="00C15251">
      <w:pPr>
        <w:jc w:val="both"/>
        <w:rPr>
          <w:bCs/>
          <w:color w:val="002060"/>
          <w:sz w:val="16"/>
          <w:szCs w:val="16"/>
          <w:lang w:bidi="ru-RU"/>
        </w:rPr>
      </w:pPr>
    </w:p>
    <w:p w14:paraId="140B5A75" w14:textId="77777777" w:rsidR="0025595F" w:rsidRPr="00405303" w:rsidRDefault="0025595F" w:rsidP="00C15251">
      <w:pPr>
        <w:jc w:val="both"/>
        <w:rPr>
          <w:bCs/>
          <w:color w:val="002060"/>
          <w:sz w:val="16"/>
          <w:szCs w:val="16"/>
        </w:rPr>
      </w:pPr>
      <w:r w:rsidRPr="00405303">
        <w:rPr>
          <w:bCs/>
          <w:color w:val="002060"/>
          <w:sz w:val="16"/>
          <w:szCs w:val="16"/>
        </w:rPr>
        <w:t>В начале июня 1915 г. воздушной бомбардировке подвергся лазарет на ст. Бобрувка (царство Польское) (23405).</w:t>
      </w:r>
    </w:p>
    <w:p w14:paraId="1299ED3C" w14:textId="77777777" w:rsidR="0025595F" w:rsidRPr="00405303" w:rsidRDefault="0025595F" w:rsidP="00C15251">
      <w:pPr>
        <w:jc w:val="both"/>
        <w:rPr>
          <w:bCs/>
          <w:color w:val="002060"/>
          <w:sz w:val="16"/>
          <w:szCs w:val="16"/>
          <w:lang w:bidi="ru-RU"/>
        </w:rPr>
      </w:pPr>
    </w:p>
    <w:p w14:paraId="337368C6" w14:textId="20DCF332" w:rsidR="00D37EFB" w:rsidRPr="00405303" w:rsidRDefault="00D37EFB" w:rsidP="00C15251">
      <w:pPr>
        <w:shd w:val="clear" w:color="auto" w:fill="FFFFFF"/>
        <w:jc w:val="both"/>
        <w:rPr>
          <w:bCs/>
          <w:i/>
          <w:color w:val="002060"/>
          <w:sz w:val="16"/>
          <w:szCs w:val="16"/>
        </w:rPr>
      </w:pPr>
      <w:r w:rsidRPr="00405303">
        <w:rPr>
          <w:bCs/>
          <w:i/>
          <w:color w:val="002060"/>
          <w:sz w:val="16"/>
          <w:szCs w:val="16"/>
        </w:rPr>
        <w:t>Морское воздухоплавание:</w:t>
      </w:r>
    </w:p>
    <w:p w14:paraId="6D87497F" w14:textId="77777777" w:rsidR="00D37EFB" w:rsidRPr="00405303" w:rsidRDefault="00D37EFB" w:rsidP="00C15251">
      <w:pPr>
        <w:shd w:val="clear" w:color="auto" w:fill="FFFFFF"/>
        <w:jc w:val="both"/>
        <w:rPr>
          <w:bCs/>
          <w:i/>
          <w:color w:val="002060"/>
          <w:sz w:val="16"/>
          <w:szCs w:val="16"/>
        </w:rPr>
      </w:pPr>
    </w:p>
    <w:p w14:paraId="7A1B779B" w14:textId="77777777" w:rsidR="00D37EFB" w:rsidRPr="00405303" w:rsidRDefault="00D37EFB" w:rsidP="00C15251">
      <w:pPr>
        <w:jc w:val="both"/>
        <w:rPr>
          <w:bCs/>
          <w:color w:val="002060"/>
          <w:sz w:val="16"/>
          <w:szCs w:val="16"/>
        </w:rPr>
      </w:pPr>
      <w:r w:rsidRPr="00405303">
        <w:rPr>
          <w:bCs/>
          <w:color w:val="002060"/>
          <w:sz w:val="16"/>
          <w:szCs w:val="16"/>
        </w:rPr>
        <w:t xml:space="preserve">В первых числах июня 1915 года миноносец «Пронзительный» захватил на Черном море турецкий пароход «Эдинджик». Увести пароход в Севастополь было невозможно: команда, покидая судно, спустила пары и выпустила воду из котлов. После тщательного осмотра судно было потоплено. Событие — ординарное. Но среди документов, обнаруженных на пароходе, оказалось частное письмо, в котором речь шла о прибытии в Константинополь германских подводных лодок. </w:t>
      </w:r>
    </w:p>
    <w:p w14:paraId="0AC879DC" w14:textId="77777777" w:rsidR="00D37EFB" w:rsidRPr="00405303" w:rsidRDefault="00D37EFB" w:rsidP="00C15251">
      <w:pPr>
        <w:jc w:val="both"/>
        <w:rPr>
          <w:bCs/>
          <w:color w:val="002060"/>
          <w:sz w:val="16"/>
          <w:szCs w:val="16"/>
        </w:rPr>
      </w:pPr>
      <w:r w:rsidRPr="00405303">
        <w:rPr>
          <w:bCs/>
          <w:color w:val="002060"/>
          <w:sz w:val="16"/>
          <w:szCs w:val="16"/>
        </w:rPr>
        <w:t xml:space="preserve">Это известие встревожило русское командование, которое пренебрегало противолодочной обороной, считая, что германские подлодки не могут прорваться через Эгейское море и Дарданеллы. </w:t>
      </w:r>
    </w:p>
    <w:p w14:paraId="47F7ACD6" w14:textId="77777777" w:rsidR="00D37EFB" w:rsidRPr="00405303" w:rsidRDefault="00D37EFB" w:rsidP="00C15251">
      <w:pPr>
        <w:jc w:val="both"/>
        <w:rPr>
          <w:bCs/>
          <w:color w:val="002060"/>
          <w:sz w:val="16"/>
          <w:szCs w:val="16"/>
        </w:rPr>
      </w:pPr>
      <w:r w:rsidRPr="00405303">
        <w:rPr>
          <w:bCs/>
          <w:color w:val="002060"/>
          <w:sz w:val="16"/>
          <w:szCs w:val="16"/>
        </w:rPr>
        <w:t xml:space="preserve">Подводная угроза застигла русское морское командование врасплох. Стали срочно искать средства противодействия вражеским подводным лодкам. Предполагалось, например, для дальней разведки в море использовать дирижабли. </w:t>
      </w:r>
    </w:p>
    <w:p w14:paraId="03AE6543" w14:textId="77777777" w:rsidR="00D37EFB" w:rsidRPr="00405303" w:rsidRDefault="00D37EFB" w:rsidP="00C15251">
      <w:pPr>
        <w:jc w:val="both"/>
        <w:rPr>
          <w:bCs/>
          <w:color w:val="002060"/>
          <w:sz w:val="16"/>
          <w:szCs w:val="16"/>
        </w:rPr>
      </w:pPr>
      <w:r w:rsidRPr="00405303">
        <w:rPr>
          <w:bCs/>
          <w:color w:val="002060"/>
          <w:sz w:val="16"/>
          <w:szCs w:val="16"/>
        </w:rPr>
        <w:t xml:space="preserve">В 1915 году, когда в России стало известно, что в Англии небольшие дирижабли успешно несут разведывательную и патрульную службу и приносят большую пользу своему морскому флоту, предупреждая его о присутствии подводных лодок и мин, морское ведомство согласилось закупить дирижабли у англичан для своего флота. К решительным мерам черноморцев вынудили действия двух германских лодок, одна из которых потопила 4 небольших парусника и обстреляла пристрелочную торпедную станцию у мыса Чауда, находившуюся на подступах к главной базе флота — Севастополю. Жертвой стал и миноносец, взорвавшийся на глазах гуляющей по Приморскому бульвару публики. Другая лодка под Одессой потопила транспорт «Патагония». </w:t>
      </w:r>
    </w:p>
    <w:p w14:paraId="546F74CF" w14:textId="77777777" w:rsidR="00D37EFB" w:rsidRPr="00405303" w:rsidRDefault="00D37EFB" w:rsidP="00C15251">
      <w:pPr>
        <w:jc w:val="both"/>
        <w:rPr>
          <w:bCs/>
          <w:color w:val="002060"/>
          <w:sz w:val="16"/>
          <w:szCs w:val="16"/>
        </w:rPr>
      </w:pPr>
      <w:r w:rsidRPr="00405303">
        <w:rPr>
          <w:bCs/>
          <w:color w:val="002060"/>
          <w:sz w:val="16"/>
          <w:szCs w:val="16"/>
        </w:rPr>
        <w:t>После этих событий и было решено срочно приобрести дирижабли. В Англии было заказано 4 дирижабля типа «Костал» объемом 4500 куб. м, которые могли развивать скорость до 80 км/ч. Для подготовки кадров воздухоплавателей для флота в Англию отправили двух морских офицеров и несколько матросов. Окончив школу, они должны были научиться летать на дирижаблях и пройти курс моторного дела (11324).</w:t>
      </w:r>
    </w:p>
    <w:p w14:paraId="52E10F40" w14:textId="77777777" w:rsidR="00D37EFB" w:rsidRPr="00405303" w:rsidRDefault="00D37EFB" w:rsidP="00C15251">
      <w:pPr>
        <w:shd w:val="clear" w:color="auto" w:fill="FFFFFF"/>
        <w:jc w:val="both"/>
        <w:rPr>
          <w:bCs/>
          <w:i/>
          <w:color w:val="002060"/>
          <w:sz w:val="16"/>
          <w:szCs w:val="16"/>
        </w:rPr>
      </w:pPr>
    </w:p>
    <w:p w14:paraId="1F12F33A" w14:textId="5C2D9656" w:rsidR="004B4E35" w:rsidRPr="00405303" w:rsidRDefault="002A027E" w:rsidP="00C15251">
      <w:pPr>
        <w:shd w:val="clear" w:color="auto" w:fill="FFFFFF"/>
        <w:jc w:val="both"/>
        <w:rPr>
          <w:bCs/>
          <w:i/>
          <w:color w:val="002060"/>
          <w:sz w:val="16"/>
          <w:szCs w:val="16"/>
        </w:rPr>
      </w:pPr>
      <w:r w:rsidRPr="00405303">
        <w:rPr>
          <w:bCs/>
          <w:i/>
          <w:color w:val="002060"/>
          <w:sz w:val="16"/>
          <w:szCs w:val="16"/>
        </w:rPr>
        <w:t>Другие оборонные отрасли</w:t>
      </w:r>
      <w:r w:rsidR="009E6F82" w:rsidRPr="00405303">
        <w:rPr>
          <w:bCs/>
          <w:i/>
          <w:color w:val="002060"/>
          <w:sz w:val="16"/>
          <w:szCs w:val="16"/>
        </w:rPr>
        <w:t>:</w:t>
      </w:r>
    </w:p>
    <w:p w14:paraId="3509BDE8" w14:textId="77777777" w:rsidR="004B4E35" w:rsidRPr="00405303" w:rsidRDefault="004B4E35" w:rsidP="00C15251">
      <w:pPr>
        <w:shd w:val="clear" w:color="auto" w:fill="FFFFFF"/>
        <w:jc w:val="both"/>
        <w:rPr>
          <w:bCs/>
          <w:i/>
          <w:color w:val="002060"/>
          <w:sz w:val="16"/>
          <w:szCs w:val="16"/>
        </w:rPr>
      </w:pPr>
    </w:p>
    <w:p w14:paraId="577C1961" w14:textId="00DB39EA" w:rsidR="004B4E35" w:rsidRPr="00405303" w:rsidRDefault="009E6F82" w:rsidP="00C15251">
      <w:pPr>
        <w:jc w:val="both"/>
        <w:rPr>
          <w:bCs/>
          <w:color w:val="002060"/>
          <w:sz w:val="16"/>
          <w:szCs w:val="16"/>
        </w:rPr>
      </w:pPr>
      <w:r w:rsidRPr="00405303">
        <w:rPr>
          <w:bCs/>
          <w:color w:val="002060"/>
          <w:sz w:val="16"/>
          <w:szCs w:val="16"/>
        </w:rPr>
        <w:t xml:space="preserve">8–11 </w:t>
      </w:r>
      <w:r w:rsidR="002A027E" w:rsidRPr="00405303">
        <w:rPr>
          <w:bCs/>
          <w:color w:val="002060"/>
          <w:sz w:val="16"/>
          <w:szCs w:val="16"/>
        </w:rPr>
        <w:t xml:space="preserve">(21-25) </w:t>
      </w:r>
      <w:r w:rsidRPr="00405303">
        <w:rPr>
          <w:bCs/>
          <w:color w:val="002060"/>
          <w:sz w:val="16"/>
          <w:szCs w:val="16"/>
        </w:rPr>
        <w:t xml:space="preserve">июня 1915 г. в Петрограде </w:t>
      </w:r>
      <w:r w:rsidR="002A027E" w:rsidRPr="00405303">
        <w:rPr>
          <w:bCs/>
          <w:color w:val="002060"/>
          <w:sz w:val="16"/>
          <w:szCs w:val="16"/>
        </w:rPr>
        <w:t xml:space="preserve">на </w:t>
      </w:r>
      <w:r w:rsidRPr="00405303">
        <w:rPr>
          <w:bCs/>
          <w:color w:val="002060"/>
          <w:sz w:val="16"/>
          <w:szCs w:val="16"/>
        </w:rPr>
        <w:t xml:space="preserve">IX очередном съезде представителей промышленности и торговли была вынесена по обсуждении доклада «Промышленность и война» и после смелого выступления П. П. Рябушинского резолюция, в которой русская промышленность призывалась к объединению и дружной работе для обслуживания всех нужд войны. </w:t>
      </w:r>
    </w:p>
    <w:p w14:paraId="4EE68FAE" w14:textId="77777777" w:rsidR="004B4E35" w:rsidRPr="00405303" w:rsidRDefault="009E6F82" w:rsidP="00C15251">
      <w:pPr>
        <w:jc w:val="both"/>
        <w:rPr>
          <w:bCs/>
          <w:color w:val="002060"/>
          <w:sz w:val="16"/>
          <w:szCs w:val="16"/>
        </w:rPr>
      </w:pPr>
      <w:r w:rsidRPr="00405303">
        <w:rPr>
          <w:bCs/>
          <w:color w:val="002060"/>
          <w:sz w:val="16"/>
          <w:szCs w:val="16"/>
        </w:rPr>
        <w:t xml:space="preserve">Для этой цели Съезд нашел необходимым поручить всем торгово-промышленным организациям образовать районные комитеты, объединяющие местную промышленность и торговлю и имеющие задачей приспособить предприятия к изготовлению всего необходимого для армии и флота, а также согласовать для сего общую деятельность фабрик и заводов. Согласование же между собою работ отдельных районов и этих же работ с деятельностью правительственных учреждений Съезд постановил возложить на учреждаемый им в Петрограде Центральный военно-промышленный комитет, в состав которого должны были войти представители научно-технических сил, представители от отдельных торгово-промышленных организаций, от управления железных дорог и пароходств и от Всероссийских союзов земств и городов. </w:t>
      </w:r>
    </w:p>
    <w:p w14:paraId="7E22E032" w14:textId="77777777" w:rsidR="004B4E35" w:rsidRPr="00405303" w:rsidRDefault="009E6F82" w:rsidP="00C15251">
      <w:pPr>
        <w:jc w:val="both"/>
        <w:rPr>
          <w:bCs/>
          <w:color w:val="002060"/>
          <w:sz w:val="16"/>
          <w:szCs w:val="16"/>
        </w:rPr>
      </w:pPr>
      <w:r w:rsidRPr="00405303">
        <w:rPr>
          <w:bCs/>
          <w:color w:val="002060"/>
          <w:sz w:val="16"/>
          <w:szCs w:val="16"/>
        </w:rPr>
        <w:t xml:space="preserve">Сформировавшийся таким образом Центральный военно-промышленный комитет приступил прежде всего к выяснению перечня предметов, в которых нуждаются армия и флот, чтобы вслед затем определить программу планомерного использования производительных сил страны для изготовления этих предметов. Так как, однако, единого плана в деле снабжения не было, то на практике Комитету пришлось вырабатывать свою программу частями, по мере заказов от Военного ведомства. В течение первых же двух месяцев были образованы местные военно-промышленные комитеты в 73 городах. </w:t>
      </w:r>
    </w:p>
    <w:p w14:paraId="1AFFE423" w14:textId="77777777" w:rsidR="004B4E35" w:rsidRPr="00405303" w:rsidRDefault="009E6F82" w:rsidP="00C15251">
      <w:pPr>
        <w:jc w:val="both"/>
        <w:rPr>
          <w:bCs/>
          <w:color w:val="002060"/>
          <w:sz w:val="16"/>
          <w:szCs w:val="16"/>
        </w:rPr>
      </w:pPr>
      <w:r w:rsidRPr="00405303">
        <w:rPr>
          <w:bCs/>
          <w:color w:val="002060"/>
          <w:sz w:val="16"/>
          <w:szCs w:val="16"/>
        </w:rPr>
        <w:t>Главная нужда, которую Комитет испытывал на пути к развитию своей деятельности, — это был недостаток станков, ибо как для расширения производства на старых заводах, так и для устройства новых заводов станки были необходимы, а между тем станки привозились из-за границы.</w:t>
      </w:r>
    </w:p>
    <w:p w14:paraId="65DFE3DC" w14:textId="77777777" w:rsidR="004B4E35" w:rsidRPr="00405303" w:rsidRDefault="009E6F82" w:rsidP="00C15251">
      <w:pPr>
        <w:jc w:val="both"/>
        <w:rPr>
          <w:bCs/>
          <w:color w:val="002060"/>
          <w:sz w:val="16"/>
          <w:szCs w:val="16"/>
        </w:rPr>
      </w:pPr>
      <w:r w:rsidRPr="00405303">
        <w:rPr>
          <w:bCs/>
          <w:color w:val="002060"/>
          <w:sz w:val="16"/>
          <w:szCs w:val="16"/>
        </w:rPr>
        <w:t xml:space="preserve">Одновременно с мобилизацией крупной промышленности Военно-промышленным комитетом началась и мобилизация средней и мелкой промышленности. В этой области усилия Военно-промышленного комитета встретились с работами Всероссийских союзов земств и городов. </w:t>
      </w:r>
    </w:p>
    <w:p w14:paraId="59356442"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«Привлечение общественных сил к снабжению армии и учреждение Особого совещания, — записывает в конце июля в своих воспоминаниях председатель Государственной думы М. В. Родзянко, — было с удовлетворением встречено в стране; на фронте облегченно вздохнули, и горечь последних неудач была смягчена надеждой на более светлое будущее. Возможность работать для армии, активно участвовать в подготовке ее успехов помогла переживать плохие известия с фронта, где мы продолжали отступать».</w:t>
      </w:r>
    </w:p>
    <w:p w14:paraId="7054230C" w14:textId="77777777" w:rsidR="004B4E35" w:rsidRPr="00405303" w:rsidRDefault="009E6F82" w:rsidP="00C15251">
      <w:pPr>
        <w:jc w:val="both"/>
        <w:rPr>
          <w:bCs/>
          <w:color w:val="002060"/>
          <w:sz w:val="16"/>
          <w:szCs w:val="16"/>
        </w:rPr>
      </w:pPr>
      <w:r w:rsidRPr="00405303">
        <w:rPr>
          <w:bCs/>
          <w:color w:val="002060"/>
          <w:sz w:val="16"/>
          <w:szCs w:val="16"/>
        </w:rPr>
        <w:t xml:space="preserve">Образование Военно-промышленного комитета не встретило особого сочувствия со стороны правительства, хотя уход Сухомлинова и очистил несколько атмосферу недоброжелательства к «вмешательству общественности вдела военные», несмотря на то что новый военный министр относился весьма сочувственно к </w:t>
      </w:r>
      <w:r w:rsidRPr="00405303">
        <w:rPr>
          <w:bCs/>
          <w:color w:val="002060"/>
          <w:sz w:val="16"/>
          <w:szCs w:val="16"/>
        </w:rPr>
        <w:lastRenderedPageBreak/>
        <w:t xml:space="preserve">возникновению Военно-промышленного комитета и к председателю последнего А. И. Гучкову. Помощник управляющего делами Совета министров А. Н. Яхонтов издал свои подробные записи заседаний Совета министров. Вот что записано у этого автора про начало заседания Совета министров 4/17 августа, на котором рассматривался проект «Положения о Военно-промышленном комитете» и на которое был приглашен председатель Центрального военно-промышленного комитета А. И. Гучков. </w:t>
      </w:r>
    </w:p>
    <w:p w14:paraId="66D172DA"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«Впервые со времен графа Витте в официальной части заседания присутствовало лицо «свободной профессии», с правительственной службой не связанное. Это был Александр Иванович Гучков, приглашенный на заседание по настоянию генерала Поливанова для участия в рассмотрении проекта положения о Военно-промышленном комитете. Все чувствовали себя как-то неловко, натянуто. У Гучкова был такой вид, будто он попал в стан разбойников и находится под давлением угрозы злых козней. Вернее, он напоминал застенчивого человека, явившегося в незнакомое общество с предрешенным намерением рассердиться при первом поводе и тем проявить свою самостоятельность. На делаемые по статьям проекта замечания Гучков отвечал с не вызываемой существом возражений резкостью и требовал либо одобрения положения о Комитете полностью, либо отказа в санкции этого учреждения, подчеркивая, что положение это выработано представителями общественных организаций, желающих бескорыстно послужить делу снабжения армии. В конце концов обсуждение было скомкано, и все как бы спешили отделаться от не особенно приятного свидания».</w:t>
      </w:r>
    </w:p>
    <w:p w14:paraId="0C2FF9D4" w14:textId="77777777" w:rsidR="004B4E35" w:rsidRPr="00405303" w:rsidRDefault="009E6F82" w:rsidP="00C15251">
      <w:pPr>
        <w:jc w:val="both"/>
        <w:rPr>
          <w:bCs/>
          <w:color w:val="002060"/>
          <w:sz w:val="16"/>
          <w:szCs w:val="16"/>
        </w:rPr>
      </w:pPr>
      <w:r w:rsidRPr="00405303">
        <w:rPr>
          <w:bCs/>
          <w:color w:val="002060"/>
          <w:sz w:val="16"/>
          <w:szCs w:val="16"/>
        </w:rPr>
        <w:t xml:space="preserve">«По выходе, однако, А. И. Гучкова из комнаты заседания, — замечает другой свидетель, а именно генерал Поливанов, — И. Л. Горемыкин проворчал неодобрительно и о многочисленности состава Центрального комитета, и о-том, что там проектировано ввести 10 представителей от рабочих, и о том, что он много шумит, а сделает ли что-нибудь — это мы увидим». </w:t>
      </w:r>
    </w:p>
    <w:p w14:paraId="278FEB52" w14:textId="77777777" w:rsidR="004B4E35" w:rsidRPr="00405303" w:rsidRDefault="009E6F82" w:rsidP="00C15251">
      <w:pPr>
        <w:jc w:val="both"/>
        <w:rPr>
          <w:bCs/>
          <w:color w:val="002060"/>
          <w:sz w:val="16"/>
          <w:szCs w:val="16"/>
        </w:rPr>
      </w:pPr>
      <w:r w:rsidRPr="00405303">
        <w:rPr>
          <w:bCs/>
          <w:color w:val="002060"/>
          <w:sz w:val="16"/>
          <w:szCs w:val="16"/>
        </w:rPr>
        <w:t xml:space="preserve">Даже строгие критики нашей «общественности» все-таки вынуждены признать большую заслугу перед Родиной Военно-промышленного комитета. «Создавшийся Военно-промышленный комитет, — пишет генерал Лукомский, — имевший свои отделы во всех промышленных центрах России, давал основание считать, что с его помощью будет достигнуто полное напряжение отечественной промышленности, а армия и страна получат от внутреннего рынка все, что только Россия в состоянии дать. Действительно, надо отдать в этом отношении справедливость Военно-промышленному комитету, который, постепенно расширяя все более и более свою деятельность, объединяя фабрично-заводские предприятия и кустарные артели, а также создавая новые предприятия, принес в деле снабжения армии колоссальную помощь Военному ведомству. Можно, конечно, критиковать деятельность Военно-промышленного комитета в том отношении, что на организацию собственного аппарата он тратил очень значительные суммы; что хотя он и не поощрял, но, во всяком случае, очень слабо боролся с громадными аппетитами многих промышленников, стремившихся нажиться на казенных поставках. Обвинений в этом отношении против Военно-промышленного комитета было много, но считаю, что при существовавшей обстановке и при отсутствии правильной организации центрального органа снабжения приходил ось часто переплачивать, лишь бы скорее дать необходимое армии. Надо также иметь в виду, что Военно-промышленный комитет являлся не единственным заказчиком на внутреннем рынке. Кроме него, заказывали Городской и Земский союзы, и крупные заказы продолжали даваться главными довольствующими управлениями, а следовательно, Военно-промышленному комитету приходилось иметь дело уже с определившимися расценками на различные предметы снабжения». </w:t>
      </w:r>
    </w:p>
    <w:p w14:paraId="57437032" w14:textId="77777777" w:rsidR="004B4E35" w:rsidRPr="00405303" w:rsidRDefault="009E6F82" w:rsidP="00C15251">
      <w:pPr>
        <w:jc w:val="both"/>
        <w:rPr>
          <w:bCs/>
          <w:color w:val="002060"/>
          <w:sz w:val="16"/>
          <w:szCs w:val="16"/>
        </w:rPr>
      </w:pPr>
      <w:r w:rsidRPr="00405303">
        <w:rPr>
          <w:bCs/>
          <w:color w:val="002060"/>
          <w:sz w:val="16"/>
          <w:szCs w:val="16"/>
        </w:rPr>
        <w:t xml:space="preserve">Упрек, который делает генерал Лукомский Военно-промышленному комитету в том, что он слабо боролся с аппетитами многих промышленников, чрезвычайно серьезен, но причины этого зла лежали глубже недр Военно-промышленного комитета. </w:t>
      </w:r>
    </w:p>
    <w:p w14:paraId="51340BF9" w14:textId="77777777" w:rsidR="004B4E35" w:rsidRPr="00405303" w:rsidRDefault="009E6F82" w:rsidP="00C15251">
      <w:pPr>
        <w:jc w:val="both"/>
        <w:rPr>
          <w:bCs/>
          <w:color w:val="002060"/>
          <w:sz w:val="16"/>
          <w:szCs w:val="16"/>
        </w:rPr>
      </w:pPr>
      <w:r w:rsidRPr="00405303">
        <w:rPr>
          <w:bCs/>
          <w:color w:val="002060"/>
          <w:sz w:val="16"/>
          <w:szCs w:val="16"/>
        </w:rPr>
        <w:t xml:space="preserve">Осуществить надлежащую организацию тыла можно было только при условии издания Закона о всеобщей промышленной военной повинности, составленного на основании тех же принципов, что и «Закон о всеобщей воинской повинности». Государство, считающее себя вправе требовать от своих граждан жертвы кровью и жизнью, конечно, имеет еще большее право требовать от своих граждан, оставшихся в тылу, жертв личным трудом и имуществом. Вопрос этот для всех государств был новый. Он требовал большой научной и социальной зрелости. Он был под силу только сильному правительству. Наша же Верховная власть хотя и боролась все время за осуществление самодержавия, но, восстановив против себя общественные круги и не сумев удержать расположение к себе народных масс, по существу дела, являлась слабой. Мы видели выше, как Совет министров трижды отклонил законопроект о милитаризации заводов, работающих на оборону. Несомненно, что он боялся рабочих. Так же точно он не смел по-настоящему бороться со злоупотреблениями промышленников. </w:t>
      </w:r>
    </w:p>
    <w:p w14:paraId="54BC392E" w14:textId="77777777" w:rsidR="004B4E35" w:rsidRPr="00405303" w:rsidRDefault="009E6F82" w:rsidP="00C15251">
      <w:pPr>
        <w:jc w:val="both"/>
        <w:rPr>
          <w:bCs/>
          <w:color w:val="002060"/>
          <w:sz w:val="16"/>
          <w:szCs w:val="16"/>
        </w:rPr>
      </w:pPr>
      <w:r w:rsidRPr="00405303">
        <w:rPr>
          <w:bCs/>
          <w:color w:val="002060"/>
          <w:sz w:val="16"/>
          <w:szCs w:val="16"/>
        </w:rPr>
        <w:t xml:space="preserve">Бессилие правительства </w:t>
      </w:r>
    </w:p>
    <w:p w14:paraId="53EA7EDD" w14:textId="77777777" w:rsidR="004B4E35" w:rsidRPr="00405303" w:rsidRDefault="009E6F82" w:rsidP="00C15251">
      <w:pPr>
        <w:jc w:val="both"/>
        <w:rPr>
          <w:bCs/>
          <w:color w:val="002060"/>
          <w:sz w:val="16"/>
          <w:szCs w:val="16"/>
        </w:rPr>
      </w:pPr>
      <w:r w:rsidRPr="00405303">
        <w:rPr>
          <w:bCs/>
          <w:color w:val="002060"/>
          <w:sz w:val="16"/>
          <w:szCs w:val="16"/>
        </w:rPr>
        <w:t xml:space="preserve">В цитированных выше записях помощника управляющего делами Совета министров А. Н. Яхонтова, посвященных секретным заседаниям Совета министров в августе и сентябре 1915 г., ярко вырисовывается бессилие Совета министров в большинстве вопросов управления страной. Мы не будем здесь останавливаться на подробном рассмотрении причин этого бессилия. Их много, и многие из них обусловливаются событиями войны. Об этом мы будем говорить в III части нашего труда. Здесь же мы укажем на главную, которая резко сформулирована самими министрами в последних заседаниях. «Правительство не может висеть в безвоздушном пространстве и опираться на одну полицию», — говорит в заседании 8 сентября министр иностранных дел С. Д. Сазонов. </w:t>
      </w:r>
    </w:p>
    <w:p w14:paraId="6611C65D" w14:textId="77777777" w:rsidR="004B4E35" w:rsidRPr="00405303" w:rsidRDefault="009E6F82" w:rsidP="00C15251">
      <w:pPr>
        <w:jc w:val="both"/>
        <w:rPr>
          <w:bCs/>
          <w:color w:val="002060"/>
          <w:sz w:val="16"/>
          <w:szCs w:val="16"/>
        </w:rPr>
      </w:pPr>
      <w:r w:rsidRPr="00405303">
        <w:rPr>
          <w:bCs/>
          <w:color w:val="002060"/>
          <w:sz w:val="16"/>
          <w:szCs w:val="16"/>
        </w:rPr>
        <w:t xml:space="preserve">На заседании через два дня другой видный министр, а именно министр земледелия А. В. Кривошеин, развивает ту же мысль: «Что мы ни говори, что мы ни обещай, как ни заигрывай с прогрессивным блоком и общественностью — нам все равно не поверят. Ведь требования Государственной думы и всей страны сводятся к вопросу не программы, а людей, которым вверяется власть. Поэтому мне думается, что центр наших суждений должен бы заключаться в постановке принципиального вопроса об отношении Его Императорского Величества к правительству настоящего состава и к требованиям страны об исполнительной власти, облеченной общественным доверием. Пускай Монарх решит, как ему угодно направить дальнейшую внутреннюю политику, по пути ли игнорирования таких пожеланий или же по пути примирения, избрав во втором случае пользующееся общественными симпатиями лицо и возложив на него образование правительства. Без разрешения этого кардинального вопроса мы все равно с места не сдвинемся. Лично я высказываюсь за второй путь действий — избрание Государем Императором лица и поручение ему составить кабинет, отвечающий чаяниям страны». </w:t>
      </w:r>
    </w:p>
    <w:p w14:paraId="52F3D512" w14:textId="77777777" w:rsidR="004B4E35" w:rsidRPr="00405303" w:rsidRDefault="009E6F82" w:rsidP="00C15251">
      <w:pPr>
        <w:jc w:val="both"/>
        <w:rPr>
          <w:bCs/>
          <w:color w:val="002060"/>
          <w:sz w:val="16"/>
          <w:szCs w:val="16"/>
        </w:rPr>
      </w:pPr>
      <w:r w:rsidRPr="00405303">
        <w:rPr>
          <w:bCs/>
          <w:color w:val="002060"/>
          <w:sz w:val="16"/>
          <w:szCs w:val="16"/>
        </w:rPr>
        <w:t xml:space="preserve">С этим заявлением А. В. Кривошеина соглашаются большинство министров. </w:t>
      </w:r>
    </w:p>
    <w:p w14:paraId="6F41F3F8" w14:textId="77777777" w:rsidR="004B4E35" w:rsidRPr="00405303" w:rsidRDefault="009E6F82" w:rsidP="00C15251">
      <w:pPr>
        <w:jc w:val="both"/>
        <w:rPr>
          <w:bCs/>
          <w:color w:val="002060"/>
          <w:sz w:val="16"/>
          <w:szCs w:val="16"/>
        </w:rPr>
      </w:pPr>
      <w:r w:rsidRPr="00405303">
        <w:rPr>
          <w:bCs/>
          <w:color w:val="002060"/>
          <w:sz w:val="16"/>
          <w:szCs w:val="16"/>
        </w:rPr>
        <w:t xml:space="preserve">Государь избрал первый путь, и главный исполнительный орган, Совет министров, стал еще бессильнее. Социальный процесс изоляции правительства пошел еще быстрее. Авторитет его окончательно пал. При таких условиях правительство оказывается не только бессильным произвести какие-либо коренные органические реформы в структуре работы тыла, оно даже неспособно объединить в стройную организацию те крайние усилия, которые проявляет теперь вся страна, чтобы спасти свою армию от катастрофы. </w:t>
      </w:r>
    </w:p>
    <w:p w14:paraId="50396887" w14:textId="77777777" w:rsidR="004B4E35" w:rsidRPr="00405303" w:rsidRDefault="009E6F82" w:rsidP="00C15251">
      <w:pPr>
        <w:jc w:val="both"/>
        <w:rPr>
          <w:bCs/>
          <w:color w:val="002060"/>
          <w:sz w:val="16"/>
          <w:szCs w:val="16"/>
        </w:rPr>
      </w:pPr>
      <w:r w:rsidRPr="00405303">
        <w:rPr>
          <w:bCs/>
          <w:color w:val="002060"/>
          <w:sz w:val="16"/>
          <w:szCs w:val="16"/>
        </w:rPr>
        <w:t xml:space="preserve">Эта неспособность правительства увеличивается еще тем, что самый подбор министров чрезвычайно неудачен. Последнее не случайно, а является лишь одним из звеньев того социального процесса, который происходит. Выбор Верховной власти до крайности ограничен. Все лучшие элементы должны быть заподозрены в оппозиции к власти. И вот на замену уволенного 15/28 марта генерала Поливанова назначается военным министром генерал Шуваев. Председатель Государственной думы М. В. Родзянко так характеризует генерала Шуваева: «...Честный, хороший человек, но недостаточно подготовлен для такого поста в военное время; его председательствование в Особом совещании делало заседания путаными и утомительными». </w:t>
      </w:r>
    </w:p>
    <w:p w14:paraId="456BF190" w14:textId="77777777" w:rsidR="004B4E35" w:rsidRPr="00405303" w:rsidRDefault="009E6F82" w:rsidP="00C15251">
      <w:pPr>
        <w:jc w:val="both"/>
        <w:rPr>
          <w:bCs/>
          <w:color w:val="002060"/>
          <w:sz w:val="16"/>
          <w:szCs w:val="16"/>
        </w:rPr>
      </w:pPr>
      <w:r w:rsidRPr="00405303">
        <w:rPr>
          <w:bCs/>
          <w:color w:val="002060"/>
          <w:sz w:val="16"/>
          <w:szCs w:val="16"/>
        </w:rPr>
        <w:t>Гораздо строже отзывается о нем французский министр снабжения г-н Тома, присланный французским правительством для ознакомления с нуждами русского военного снабжения. На просьбу председателя Государственной думы откровенно указать наши больные места в организации снабжения французский министр ответил: «Россия должна быть чрезвычайно богата и очень уверена в своих силах, чтобы позволять себе роскошь иметь правительство, подобное вашему, где премьер-министр является бедствием, а военный министр — катастрофой».</w:t>
      </w:r>
    </w:p>
    <w:p w14:paraId="591EF814" w14:textId="77777777" w:rsidR="004B4E35" w:rsidRPr="00405303" w:rsidRDefault="009E6F82" w:rsidP="00C15251">
      <w:pPr>
        <w:jc w:val="both"/>
        <w:rPr>
          <w:bCs/>
          <w:color w:val="002060"/>
          <w:sz w:val="16"/>
          <w:szCs w:val="16"/>
        </w:rPr>
      </w:pPr>
      <w:r w:rsidRPr="00405303">
        <w:rPr>
          <w:bCs/>
          <w:color w:val="002060"/>
          <w:sz w:val="16"/>
          <w:szCs w:val="16"/>
        </w:rPr>
        <w:t xml:space="preserve">Отзыв г-на Тома, быть может, слишком жесток. Но несомненно, что генерал Шуваев выше уровня обыкновенного строевого генерала или рядового интенданта подняться не мог. Выбор генерала Шуваева на должность военного министра обусловливался тем, что Верховная власть рассчитывала, что он будет бороться со все более и более усиливающейся ролью общественных сил в деле снабжения армии. «После ухода Поливанова, — пишет М. В. Родзянко, — Великий князь Сергей Михайлович повел агитацию против Особого совещания и убеждал Государя вовсе упразднить его. С Шуваевым на заседаниях происходили постоянные столкновения, и казалось, будто он нарочно вызывал резкости, чтобы иметь причины для ликвидации Совещания». </w:t>
      </w:r>
    </w:p>
    <w:p w14:paraId="141FFE25" w14:textId="77777777" w:rsidR="004B4E35" w:rsidRPr="00405303" w:rsidRDefault="009E6F82" w:rsidP="00C15251">
      <w:pPr>
        <w:jc w:val="both"/>
        <w:rPr>
          <w:bCs/>
          <w:color w:val="002060"/>
          <w:sz w:val="16"/>
          <w:szCs w:val="16"/>
        </w:rPr>
      </w:pPr>
      <w:r w:rsidRPr="00405303">
        <w:rPr>
          <w:bCs/>
          <w:color w:val="002060"/>
          <w:sz w:val="16"/>
          <w:szCs w:val="16"/>
        </w:rPr>
        <w:t xml:space="preserve">Но генерал Шуваев не оправдал связанных с его назначением политических расчетов. </w:t>
      </w:r>
    </w:p>
    <w:p w14:paraId="2A6593FB"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lastRenderedPageBreak/>
        <w:t>«В заседании 5 ноября случилось событие, которое оставило сильное впечатление не только в Думе, но и в стране. Во время заседания в зале заседаний появились военный министр Шуваев и морской — Григорович. Они обратились к председателю, сообщив о желании сделать заявление. Когда Марков 2-й окончил свою речь, на трибуну поднялся Шуваев и, сильно волнуясь, сказал, что он как старый солдат верит в доблесть Русской армии, что армия снабжена всем необходимым благодаря единодушной поддержке народа и народного представительства. Он привел цифры увеличения поступления боевых припасов в армию со времени учреждения Особого совещания по обороне. Закончил он просьбой и впредь поддерживать его доверием».</w:t>
      </w:r>
    </w:p>
    <w:p w14:paraId="15EAC30D" w14:textId="77777777" w:rsidR="004B4E35" w:rsidRPr="00405303" w:rsidRDefault="009E6F82" w:rsidP="00C15251">
      <w:pPr>
        <w:jc w:val="both"/>
        <w:rPr>
          <w:bCs/>
          <w:color w:val="002060"/>
          <w:sz w:val="16"/>
          <w:szCs w:val="16"/>
        </w:rPr>
      </w:pPr>
      <w:r w:rsidRPr="00405303">
        <w:rPr>
          <w:bCs/>
          <w:color w:val="002060"/>
          <w:sz w:val="16"/>
          <w:szCs w:val="16"/>
        </w:rPr>
        <w:t xml:space="preserve">Вскоре после этого выступления, а именно в начале января 1917 года, генерал Шуваев был заменен на посту военного министра генералом Беляевым. Назначение последнего состоялось по выбору императрицы Александры Феодоровны как человека, вполне верного принятому курсу самодержавной политики. Генерал Беляев представлял собой тип «военного чиновника». Все свое трудолюбие и большую работоспособность он направлял по «бумажному» руслу. В армии он был очень непопулярен, ибо за ним установилась репутация человека, мертвящего всякое живое дело. За ним даже прочно установилась кличка «Мертвая голова». </w:t>
      </w:r>
    </w:p>
    <w:p w14:paraId="6A498C68" w14:textId="77777777" w:rsidR="004B4E35" w:rsidRPr="00405303" w:rsidRDefault="009E6F82" w:rsidP="00C15251">
      <w:pPr>
        <w:jc w:val="both"/>
        <w:rPr>
          <w:bCs/>
          <w:color w:val="002060"/>
          <w:sz w:val="16"/>
          <w:szCs w:val="16"/>
        </w:rPr>
      </w:pPr>
      <w:r w:rsidRPr="00405303">
        <w:rPr>
          <w:bCs/>
          <w:color w:val="002060"/>
          <w:sz w:val="16"/>
          <w:szCs w:val="16"/>
        </w:rPr>
        <w:t xml:space="preserve">Отрицательного влияния на дело снабжения назначение Беляева не могло оказать, так как в начале марта вспыхнула революция. </w:t>
      </w:r>
    </w:p>
    <w:p w14:paraId="229C64F3" w14:textId="77777777" w:rsidR="004B4E35" w:rsidRPr="00405303" w:rsidRDefault="009E6F82" w:rsidP="00C15251">
      <w:pPr>
        <w:jc w:val="both"/>
        <w:rPr>
          <w:bCs/>
          <w:color w:val="002060"/>
          <w:sz w:val="16"/>
          <w:szCs w:val="16"/>
        </w:rPr>
      </w:pPr>
      <w:r w:rsidRPr="00405303">
        <w:rPr>
          <w:bCs/>
          <w:color w:val="002060"/>
          <w:sz w:val="16"/>
          <w:szCs w:val="16"/>
        </w:rPr>
        <w:t xml:space="preserve">Революция </w:t>
      </w:r>
    </w:p>
    <w:p w14:paraId="64D978B8" w14:textId="77777777" w:rsidR="004B4E35" w:rsidRPr="00405303" w:rsidRDefault="009E6F82" w:rsidP="00C15251">
      <w:pPr>
        <w:jc w:val="both"/>
        <w:rPr>
          <w:bCs/>
          <w:color w:val="002060"/>
          <w:sz w:val="16"/>
          <w:szCs w:val="16"/>
        </w:rPr>
      </w:pPr>
      <w:r w:rsidRPr="00405303">
        <w:rPr>
          <w:bCs/>
          <w:color w:val="002060"/>
          <w:sz w:val="16"/>
          <w:szCs w:val="16"/>
        </w:rPr>
        <w:t xml:space="preserve">В разбушевавшейся революционной стихии сразу же начала падать на заводах и промышленных предприятиях трудовая дисциплина. Технический и административный персонал, который не был изгнан рабочими, не имел возможности руководить делом. Он был терроризован рабочими. В результате — крайняя небрежность в работе и все увеличивающееся падение производительности. Московская металлообрабатывающая промышленность уже в апреле пала на 32%, производительность петроградских фабрик и заводов — на 20–40%, добыча угля и общая производительность Донецкого бассейна к 1 июля — на 30% и т.д. Расстроилась также добыча нефти на бакинских и грозненских промыслах. </w:t>
      </w:r>
    </w:p>
    <w:p w14:paraId="05F91EC3" w14:textId="2E69F087" w:rsidR="004B4E35" w:rsidRPr="00405303" w:rsidRDefault="004B4E35" w:rsidP="00C15251">
      <w:pPr>
        <w:jc w:val="both"/>
        <w:rPr>
          <w:bCs/>
          <w:color w:val="002060"/>
          <w:sz w:val="16"/>
          <w:szCs w:val="16"/>
        </w:rPr>
      </w:pPr>
    </w:p>
    <w:p w14:paraId="313D25CA" w14:textId="25BA9F5B" w:rsidR="003134AF" w:rsidRPr="00405303" w:rsidRDefault="003134AF" w:rsidP="00C15251">
      <w:pPr>
        <w:jc w:val="both"/>
        <w:rPr>
          <w:bCs/>
          <w:i/>
          <w:iCs/>
          <w:color w:val="002060"/>
          <w:sz w:val="16"/>
          <w:szCs w:val="16"/>
        </w:rPr>
      </w:pPr>
      <w:r w:rsidRPr="00405303">
        <w:rPr>
          <w:bCs/>
          <w:i/>
          <w:iCs/>
          <w:color w:val="002060"/>
          <w:sz w:val="16"/>
          <w:szCs w:val="16"/>
        </w:rPr>
        <w:t>Авиация:</w:t>
      </w:r>
    </w:p>
    <w:p w14:paraId="4542D3B2" w14:textId="77777777" w:rsidR="003134AF" w:rsidRPr="00405303" w:rsidRDefault="003134AF" w:rsidP="00C15251">
      <w:pPr>
        <w:jc w:val="both"/>
        <w:rPr>
          <w:bCs/>
          <w:i/>
          <w:iCs/>
          <w:color w:val="002060"/>
          <w:sz w:val="16"/>
          <w:szCs w:val="16"/>
        </w:rPr>
      </w:pPr>
    </w:p>
    <w:p w14:paraId="1096BD88" w14:textId="77777777" w:rsidR="003134AF" w:rsidRPr="00405303" w:rsidRDefault="003134AF" w:rsidP="00C15251">
      <w:pPr>
        <w:jc w:val="both"/>
        <w:rPr>
          <w:bCs/>
          <w:color w:val="002060"/>
          <w:sz w:val="16"/>
          <w:szCs w:val="16"/>
        </w:rPr>
      </w:pPr>
      <w:r w:rsidRPr="00405303">
        <w:rPr>
          <w:bCs/>
          <w:color w:val="002060"/>
          <w:sz w:val="16"/>
          <w:szCs w:val="16"/>
        </w:rPr>
        <w:t>8 (21) июня 1915 г. для обслуживания авиачастей 5-й и 12-й армий северного фронта сформирована 7-я авиационная рота, впоследствии переимено</w:t>
      </w:r>
      <w:r w:rsidRPr="00405303">
        <w:rPr>
          <w:bCs/>
          <w:color w:val="002060"/>
          <w:sz w:val="16"/>
          <w:szCs w:val="16"/>
        </w:rPr>
        <w:softHyphen/>
        <w:t>ванная с остальными шестью ротами в авиационный парк.</w:t>
      </w:r>
    </w:p>
    <w:p w14:paraId="01F1BD10" w14:textId="77777777" w:rsidR="003134AF" w:rsidRPr="00405303" w:rsidRDefault="003134AF" w:rsidP="00C15251">
      <w:pPr>
        <w:jc w:val="both"/>
        <w:rPr>
          <w:bCs/>
          <w:color w:val="002060"/>
          <w:sz w:val="16"/>
          <w:szCs w:val="16"/>
        </w:rPr>
      </w:pPr>
      <w:r w:rsidRPr="00405303">
        <w:rPr>
          <w:bCs/>
          <w:color w:val="002060"/>
          <w:sz w:val="16"/>
          <w:szCs w:val="16"/>
        </w:rPr>
        <w:t>/Приказ ВГК № 470 от 8 июня 1915/ (23320).</w:t>
      </w:r>
    </w:p>
    <w:p w14:paraId="31EEBA32" w14:textId="77777777" w:rsidR="003134AF" w:rsidRPr="00405303" w:rsidRDefault="003134AF" w:rsidP="00C15251">
      <w:pPr>
        <w:jc w:val="both"/>
        <w:rPr>
          <w:bCs/>
          <w:color w:val="002060"/>
          <w:sz w:val="16"/>
          <w:szCs w:val="16"/>
        </w:rPr>
      </w:pPr>
    </w:p>
    <w:p w14:paraId="722E1520" w14:textId="07D3A854" w:rsidR="006B3741" w:rsidRPr="00405303" w:rsidRDefault="006B3741" w:rsidP="00C15251">
      <w:pPr>
        <w:jc w:val="both"/>
        <w:rPr>
          <w:bCs/>
          <w:color w:val="002060"/>
          <w:sz w:val="16"/>
          <w:szCs w:val="16"/>
          <w:lang w:bidi="en-US"/>
        </w:rPr>
      </w:pPr>
      <w:r w:rsidRPr="00405303">
        <w:rPr>
          <w:bCs/>
          <w:color w:val="002060"/>
          <w:sz w:val="16"/>
          <w:szCs w:val="16"/>
          <w:lang w:bidi="en-US"/>
        </w:rPr>
        <w:t>8 (21) июня 1915 г. был издан приказ о расформировании Свеаборгского воздухоплавательного отделения и создании Свеаборгской крепостной воздухоплавательной роты под Гельсингфорсом в Финском заливе (23525).</w:t>
      </w:r>
    </w:p>
    <w:p w14:paraId="6CED4E67" w14:textId="77777777" w:rsidR="006B3741" w:rsidRPr="00405303" w:rsidRDefault="006B3741" w:rsidP="00C15251">
      <w:pPr>
        <w:jc w:val="both"/>
        <w:rPr>
          <w:bCs/>
          <w:color w:val="002060"/>
          <w:sz w:val="16"/>
          <w:szCs w:val="16"/>
        </w:rPr>
      </w:pPr>
    </w:p>
    <w:p w14:paraId="4D4AC275" w14:textId="77777777" w:rsidR="00494E6F" w:rsidRPr="00405303" w:rsidRDefault="00494E6F"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4812E316" w14:textId="77777777" w:rsidR="00494E6F" w:rsidRPr="00405303" w:rsidRDefault="00494E6F" w:rsidP="00C15251">
      <w:pPr>
        <w:shd w:val="clear" w:color="auto" w:fill="FFFFFF"/>
        <w:jc w:val="both"/>
        <w:rPr>
          <w:bCs/>
          <w:i/>
          <w:color w:val="002060"/>
          <w:sz w:val="16"/>
          <w:szCs w:val="16"/>
        </w:rPr>
      </w:pPr>
    </w:p>
    <w:p w14:paraId="179EA201" w14:textId="77777777" w:rsidR="00494E6F" w:rsidRPr="00405303" w:rsidRDefault="00494E6F" w:rsidP="00C15251">
      <w:pPr>
        <w:pStyle w:val="ae"/>
        <w:spacing w:before="0" w:beforeAutospacing="0" w:after="0" w:afterAutospacing="0"/>
        <w:jc w:val="both"/>
        <w:textAlignment w:val="top"/>
        <w:rPr>
          <w:bCs/>
          <w:color w:val="002060"/>
          <w:sz w:val="16"/>
          <w:szCs w:val="16"/>
        </w:rPr>
      </w:pPr>
      <w:r w:rsidRPr="00405303">
        <w:rPr>
          <w:bCs/>
          <w:color w:val="002060"/>
          <w:sz w:val="16"/>
          <w:szCs w:val="16"/>
        </w:rPr>
        <w:t>9 (22) июня 1915 под председательством Авдакова состоялось первое заседание Центрального ВПК(ЦВПК) (18405).</w:t>
      </w:r>
    </w:p>
    <w:p w14:paraId="3BB9C021" w14:textId="77777777" w:rsidR="00494E6F" w:rsidRPr="00405303" w:rsidRDefault="00494E6F" w:rsidP="00C15251">
      <w:pPr>
        <w:pStyle w:val="ae"/>
        <w:spacing w:before="0" w:beforeAutospacing="0" w:after="0" w:afterAutospacing="0"/>
        <w:jc w:val="both"/>
        <w:textAlignment w:val="top"/>
        <w:rPr>
          <w:bCs/>
          <w:color w:val="002060"/>
          <w:sz w:val="16"/>
          <w:szCs w:val="16"/>
        </w:rPr>
      </w:pPr>
    </w:p>
    <w:p w14:paraId="305C98AF" w14:textId="759D065F" w:rsidR="00014995" w:rsidRPr="00405303" w:rsidRDefault="00014995" w:rsidP="00C15251">
      <w:pPr>
        <w:shd w:val="clear" w:color="auto" w:fill="FFFFFF"/>
        <w:jc w:val="both"/>
        <w:rPr>
          <w:bCs/>
          <w:i/>
          <w:color w:val="002060"/>
          <w:sz w:val="16"/>
          <w:szCs w:val="16"/>
        </w:rPr>
      </w:pPr>
      <w:r w:rsidRPr="00405303">
        <w:rPr>
          <w:bCs/>
          <w:i/>
          <w:color w:val="002060"/>
          <w:sz w:val="16"/>
          <w:szCs w:val="16"/>
        </w:rPr>
        <w:t>Армия:</w:t>
      </w:r>
    </w:p>
    <w:p w14:paraId="00BE8230" w14:textId="77777777" w:rsidR="00014995" w:rsidRPr="00405303" w:rsidRDefault="00014995" w:rsidP="00C15251">
      <w:pPr>
        <w:shd w:val="clear" w:color="auto" w:fill="FFFFFF"/>
        <w:jc w:val="both"/>
        <w:rPr>
          <w:bCs/>
          <w:i/>
          <w:color w:val="002060"/>
          <w:sz w:val="16"/>
          <w:szCs w:val="16"/>
        </w:rPr>
      </w:pPr>
    </w:p>
    <w:p w14:paraId="279509EF" w14:textId="78D8C049" w:rsidR="00014995" w:rsidRPr="00405303" w:rsidRDefault="00014995" w:rsidP="00C15251">
      <w:pPr>
        <w:jc w:val="both"/>
        <w:rPr>
          <w:bCs/>
          <w:color w:val="002060"/>
          <w:sz w:val="16"/>
          <w:szCs w:val="16"/>
        </w:rPr>
      </w:pPr>
      <w:r w:rsidRPr="00405303">
        <w:rPr>
          <w:bCs/>
          <w:color w:val="002060"/>
          <w:sz w:val="16"/>
          <w:szCs w:val="16"/>
          <w:lang w:bidi="en-US"/>
        </w:rPr>
        <w:t xml:space="preserve">9 (22) июня 1915 г. немецкая 11-я армия захватила Львов (Лемберг). Русские войска уже в целом отступали к реке Буг, потеряв с начала наступления противника более 300 000 человек. В этот период немецкий барон Манфред фон Рихтгофен служил наблюдателем у </w:t>
      </w:r>
      <w:r w:rsidRPr="00405303">
        <w:rPr>
          <w:bCs/>
          <w:color w:val="002060"/>
          <w:sz w:val="16"/>
          <w:szCs w:val="16"/>
          <w:lang w:val="en-US" w:bidi="en-US"/>
        </w:rPr>
        <w:t>Fl</w:t>
      </w:r>
      <w:r w:rsidRPr="00405303">
        <w:rPr>
          <w:bCs/>
          <w:color w:val="002060"/>
          <w:sz w:val="16"/>
          <w:szCs w:val="16"/>
          <w:lang w:bidi="en-US"/>
        </w:rPr>
        <w:t>.</w:t>
      </w:r>
      <w:r w:rsidRPr="00405303">
        <w:rPr>
          <w:bCs/>
          <w:color w:val="002060"/>
          <w:sz w:val="16"/>
          <w:szCs w:val="16"/>
          <w:lang w:val="en-US" w:bidi="en-US"/>
        </w:rPr>
        <w:t>Abt</w:t>
      </w:r>
      <w:r w:rsidRPr="00405303">
        <w:rPr>
          <w:bCs/>
          <w:color w:val="002060"/>
          <w:sz w:val="16"/>
          <w:szCs w:val="16"/>
          <w:lang w:bidi="en-US"/>
        </w:rPr>
        <w:t>.69, базировавшегося в Рава Руска (23525).</w:t>
      </w:r>
    </w:p>
    <w:p w14:paraId="1BAAECE5" w14:textId="77777777" w:rsidR="00014995" w:rsidRPr="00405303" w:rsidRDefault="00014995" w:rsidP="00C15251">
      <w:pPr>
        <w:jc w:val="both"/>
        <w:rPr>
          <w:bCs/>
          <w:color w:val="002060"/>
          <w:sz w:val="16"/>
          <w:szCs w:val="16"/>
          <w:lang w:bidi="en-US"/>
        </w:rPr>
      </w:pPr>
    </w:p>
    <w:p w14:paraId="600C7B91" w14:textId="6B5A42B8"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59ED51C0" w14:textId="77777777" w:rsidR="004B4E35" w:rsidRPr="00405303" w:rsidRDefault="004B4E35" w:rsidP="00C15251">
      <w:pPr>
        <w:shd w:val="clear" w:color="auto" w:fill="FFFFFF"/>
        <w:jc w:val="both"/>
        <w:rPr>
          <w:bCs/>
          <w:i/>
          <w:color w:val="002060"/>
          <w:sz w:val="16"/>
          <w:szCs w:val="16"/>
        </w:rPr>
      </w:pPr>
    </w:p>
    <w:p w14:paraId="42CF68D8" w14:textId="77777777" w:rsidR="00402FF2" w:rsidRPr="00405303" w:rsidRDefault="00402FF2" w:rsidP="00402FF2">
      <w:pPr>
        <w:widowControl w:val="0"/>
        <w:tabs>
          <w:tab w:val="left" w:pos="642"/>
        </w:tabs>
        <w:jc w:val="both"/>
        <w:rPr>
          <w:color w:val="0070C0"/>
          <w:sz w:val="16"/>
          <w:szCs w:val="16"/>
        </w:rPr>
      </w:pPr>
      <w:r w:rsidRPr="00405303">
        <w:rPr>
          <w:color w:val="0070C0"/>
          <w:sz w:val="16"/>
          <w:szCs w:val="16"/>
        </w:rPr>
        <w:t>9 (22) июня 1915 г. два экипажа находились во Влодаве: ИМ-3 под командованием поручика Д.А. Озерского и «ИМ-Киевский» под командованием поручика И.С. Башко (24965).</w:t>
      </w:r>
    </w:p>
    <w:p w14:paraId="29F607CD" w14:textId="77777777" w:rsidR="00402FF2" w:rsidRPr="00405303" w:rsidRDefault="00402FF2" w:rsidP="00402FF2">
      <w:pPr>
        <w:jc w:val="both"/>
        <w:rPr>
          <w:color w:val="0070C0"/>
          <w:sz w:val="16"/>
          <w:szCs w:val="16"/>
        </w:rPr>
      </w:pPr>
    </w:p>
    <w:p w14:paraId="67B59ABD" w14:textId="4C8ED1D1" w:rsidR="004B4E35" w:rsidRPr="00405303" w:rsidRDefault="009E6F82" w:rsidP="00C15251">
      <w:pPr>
        <w:jc w:val="both"/>
        <w:rPr>
          <w:bCs/>
          <w:color w:val="002060"/>
          <w:sz w:val="16"/>
          <w:szCs w:val="16"/>
        </w:rPr>
      </w:pPr>
      <w:r w:rsidRPr="00405303">
        <w:rPr>
          <w:bCs/>
          <w:color w:val="002060"/>
          <w:sz w:val="16"/>
          <w:szCs w:val="16"/>
        </w:rPr>
        <w:t>9 (22) июня 1915 - Русские войска оставили Львов.</w:t>
      </w:r>
      <w:r w:rsidR="00F26B89" w:rsidRPr="00405303">
        <w:rPr>
          <w:bCs/>
          <w:color w:val="002060"/>
          <w:sz w:val="16"/>
          <w:szCs w:val="16"/>
        </w:rPr>
        <w:t xml:space="preserve"> </w:t>
      </w:r>
      <w:r w:rsidRPr="00405303">
        <w:rPr>
          <w:bCs/>
          <w:color w:val="002060"/>
          <w:sz w:val="16"/>
          <w:szCs w:val="16"/>
        </w:rPr>
        <w:t>После взятия Львова германское командование отозвало бомбардировочный дивизион ВАО с восточного фронта, оставив здесь лишь его часть, названную сначала "фон Либерман", а затем отряд № 66. Этот отряд вместе с отрядом "Мюллер" (№ 69) принимал активное участие в осаде Брест-Литовска, после чего с точностью установил отход русских войск в болотистый район Припяти (11999).</w:t>
      </w:r>
    </w:p>
    <w:p w14:paraId="3CFE33B5" w14:textId="77777777" w:rsidR="004B4E35" w:rsidRPr="00405303" w:rsidRDefault="004B4E35" w:rsidP="00C15251">
      <w:pPr>
        <w:jc w:val="both"/>
        <w:rPr>
          <w:bCs/>
          <w:color w:val="002060"/>
          <w:sz w:val="16"/>
          <w:szCs w:val="16"/>
        </w:rPr>
      </w:pPr>
    </w:p>
    <w:p w14:paraId="6F308278" w14:textId="77777777" w:rsidR="00402FF2" w:rsidRPr="00405303" w:rsidRDefault="00402FF2" w:rsidP="00402FF2">
      <w:pPr>
        <w:shd w:val="clear" w:color="auto" w:fill="FFFFFF"/>
        <w:jc w:val="both"/>
        <w:rPr>
          <w:bCs/>
          <w:i/>
          <w:color w:val="002060"/>
          <w:sz w:val="16"/>
          <w:szCs w:val="16"/>
        </w:rPr>
      </w:pPr>
      <w:r w:rsidRPr="00405303">
        <w:rPr>
          <w:bCs/>
          <w:i/>
          <w:color w:val="002060"/>
          <w:sz w:val="16"/>
          <w:szCs w:val="16"/>
        </w:rPr>
        <w:t>Авиация:</w:t>
      </w:r>
    </w:p>
    <w:p w14:paraId="330A284F" w14:textId="77777777" w:rsidR="00402FF2" w:rsidRPr="00405303" w:rsidRDefault="00402FF2" w:rsidP="00402FF2">
      <w:pPr>
        <w:shd w:val="clear" w:color="auto" w:fill="FFFFFF"/>
        <w:jc w:val="both"/>
        <w:rPr>
          <w:bCs/>
          <w:i/>
          <w:color w:val="002060"/>
          <w:sz w:val="16"/>
          <w:szCs w:val="16"/>
        </w:rPr>
      </w:pPr>
    </w:p>
    <w:p w14:paraId="320AE0A7" w14:textId="77777777" w:rsidR="00402FF2" w:rsidRPr="00405303" w:rsidRDefault="00402FF2" w:rsidP="00402FF2">
      <w:pPr>
        <w:jc w:val="both"/>
        <w:rPr>
          <w:color w:val="0070C0"/>
          <w:sz w:val="16"/>
          <w:szCs w:val="16"/>
        </w:rPr>
      </w:pPr>
      <w:r w:rsidRPr="00405303">
        <w:rPr>
          <w:rStyle w:val="aa"/>
          <w:rFonts w:ascii="Times New Roman" w:hAnsi="Times New Roman"/>
          <w:color w:val="0070C0"/>
          <w:spacing w:val="0"/>
          <w:sz w:val="16"/>
          <w:szCs w:val="16"/>
        </w:rPr>
        <w:t>10 (23) июня 1915 г. нападению с воздуха вновь подвергся г. Радом, а также г. Жирардов с человеческими жертвами среди мирного населения (25135).</w:t>
      </w:r>
    </w:p>
    <w:p w14:paraId="66593710" w14:textId="77777777" w:rsidR="00402FF2" w:rsidRPr="00405303" w:rsidRDefault="00402FF2" w:rsidP="00402FF2">
      <w:pPr>
        <w:jc w:val="both"/>
        <w:rPr>
          <w:color w:val="0070C0"/>
          <w:sz w:val="16"/>
          <w:szCs w:val="16"/>
        </w:rPr>
      </w:pPr>
    </w:p>
    <w:p w14:paraId="7F126FF5" w14:textId="77777777" w:rsidR="00783DFC" w:rsidRPr="00405303" w:rsidRDefault="00783DFC" w:rsidP="00C15251">
      <w:pPr>
        <w:jc w:val="both"/>
        <w:rPr>
          <w:bCs/>
          <w:i/>
          <w:color w:val="002060"/>
          <w:sz w:val="16"/>
          <w:szCs w:val="16"/>
        </w:rPr>
      </w:pPr>
      <w:r w:rsidRPr="00405303">
        <w:rPr>
          <w:bCs/>
          <w:i/>
          <w:color w:val="002060"/>
          <w:sz w:val="16"/>
          <w:szCs w:val="16"/>
        </w:rPr>
        <w:t>Жизнь и внутренняя политика:</w:t>
      </w:r>
    </w:p>
    <w:p w14:paraId="015DF59B" w14:textId="77777777" w:rsidR="00783DFC" w:rsidRPr="00405303" w:rsidRDefault="00783DFC" w:rsidP="00C15251">
      <w:pPr>
        <w:jc w:val="both"/>
        <w:rPr>
          <w:bCs/>
          <w:i/>
          <w:color w:val="002060"/>
          <w:sz w:val="16"/>
          <w:szCs w:val="16"/>
        </w:rPr>
      </w:pPr>
    </w:p>
    <w:p w14:paraId="0CA3E87E" w14:textId="2C283B12" w:rsidR="00783DFC" w:rsidRPr="00405303" w:rsidRDefault="00783DFC" w:rsidP="00C15251">
      <w:pPr>
        <w:jc w:val="both"/>
        <w:rPr>
          <w:bCs/>
          <w:color w:val="002060"/>
          <w:sz w:val="16"/>
          <w:szCs w:val="16"/>
        </w:rPr>
      </w:pPr>
      <w:r w:rsidRPr="00405303">
        <w:rPr>
          <w:bCs/>
          <w:color w:val="002060"/>
          <w:sz w:val="16"/>
          <w:szCs w:val="16"/>
        </w:rPr>
        <w:t xml:space="preserve">10 </w:t>
      </w:r>
      <w:r w:rsidR="00F26B89" w:rsidRPr="00405303">
        <w:rPr>
          <w:bCs/>
          <w:color w:val="002060"/>
          <w:sz w:val="16"/>
          <w:szCs w:val="16"/>
        </w:rPr>
        <w:t xml:space="preserve">(23) </w:t>
      </w:r>
      <w:r w:rsidRPr="00405303">
        <w:rPr>
          <w:bCs/>
          <w:color w:val="002060"/>
          <w:sz w:val="16"/>
          <w:szCs w:val="16"/>
        </w:rPr>
        <w:t>июня в 1915 году в Москве состоялись немецкие погромы (14918).</w:t>
      </w:r>
    </w:p>
    <w:p w14:paraId="071AF18F" w14:textId="77777777" w:rsidR="00783DFC" w:rsidRPr="00405303" w:rsidRDefault="00783DFC" w:rsidP="00C15251">
      <w:pPr>
        <w:jc w:val="both"/>
        <w:rPr>
          <w:bCs/>
          <w:color w:val="002060"/>
          <w:sz w:val="16"/>
          <w:szCs w:val="16"/>
        </w:rPr>
      </w:pPr>
    </w:p>
    <w:p w14:paraId="2FB1BA61" w14:textId="77777777" w:rsidR="00783DFC" w:rsidRPr="00405303" w:rsidRDefault="00783DFC" w:rsidP="00C15251">
      <w:pPr>
        <w:jc w:val="both"/>
        <w:rPr>
          <w:bCs/>
          <w:i/>
          <w:color w:val="002060"/>
          <w:sz w:val="16"/>
          <w:szCs w:val="16"/>
        </w:rPr>
      </w:pPr>
      <w:r w:rsidRPr="00405303">
        <w:rPr>
          <w:bCs/>
          <w:i/>
          <w:color w:val="002060"/>
          <w:sz w:val="16"/>
          <w:szCs w:val="16"/>
        </w:rPr>
        <w:t>Внешняя политика:</w:t>
      </w:r>
    </w:p>
    <w:p w14:paraId="5047D8A4" w14:textId="77777777" w:rsidR="00783DFC" w:rsidRPr="00405303" w:rsidRDefault="00783DFC" w:rsidP="00C15251">
      <w:pPr>
        <w:jc w:val="both"/>
        <w:rPr>
          <w:bCs/>
          <w:i/>
          <w:color w:val="002060"/>
          <w:sz w:val="16"/>
          <w:szCs w:val="16"/>
        </w:rPr>
      </w:pPr>
    </w:p>
    <w:p w14:paraId="6F4EF304" w14:textId="77777777" w:rsidR="00783DFC" w:rsidRPr="00405303" w:rsidRDefault="00783DFC" w:rsidP="00C15251">
      <w:pPr>
        <w:jc w:val="both"/>
        <w:rPr>
          <w:bCs/>
          <w:color w:val="002060"/>
          <w:sz w:val="16"/>
          <w:szCs w:val="16"/>
        </w:rPr>
      </w:pPr>
      <w:r w:rsidRPr="00405303">
        <w:rPr>
          <w:bCs/>
          <w:color w:val="002060"/>
          <w:sz w:val="16"/>
          <w:szCs w:val="16"/>
        </w:rPr>
        <w:t>10 (23) июня в 1915 году на встрече кайзера Германии и ведущих немецких промышленников целью войны поставлена аннексия Украины, Польши и Прибалтики (14931).</w:t>
      </w:r>
    </w:p>
    <w:p w14:paraId="42CDC41C" w14:textId="77777777" w:rsidR="00783DFC" w:rsidRPr="00405303" w:rsidRDefault="00783DFC" w:rsidP="00C15251">
      <w:pPr>
        <w:jc w:val="both"/>
        <w:rPr>
          <w:bCs/>
          <w:color w:val="002060"/>
          <w:sz w:val="16"/>
          <w:szCs w:val="16"/>
        </w:rPr>
      </w:pPr>
    </w:p>
    <w:p w14:paraId="1C44CF8B" w14:textId="60E1F95B" w:rsidR="00EE308A" w:rsidRPr="00405303" w:rsidRDefault="00EE308A" w:rsidP="00C15251">
      <w:pPr>
        <w:jc w:val="both"/>
        <w:rPr>
          <w:bCs/>
          <w:i/>
          <w:color w:val="002060"/>
          <w:sz w:val="16"/>
          <w:szCs w:val="16"/>
        </w:rPr>
      </w:pPr>
      <w:r w:rsidRPr="00405303">
        <w:rPr>
          <w:bCs/>
          <w:i/>
          <w:color w:val="002060"/>
          <w:sz w:val="16"/>
          <w:szCs w:val="16"/>
        </w:rPr>
        <w:t>Авиация и воздухоплавание Англии:</w:t>
      </w:r>
    </w:p>
    <w:p w14:paraId="16DABDE6" w14:textId="77777777" w:rsidR="00EE308A" w:rsidRPr="00405303" w:rsidRDefault="00EE308A" w:rsidP="00C15251">
      <w:pPr>
        <w:jc w:val="both"/>
        <w:rPr>
          <w:bCs/>
          <w:color w:val="002060"/>
          <w:sz w:val="16"/>
          <w:szCs w:val="16"/>
        </w:rPr>
      </w:pPr>
    </w:p>
    <w:p w14:paraId="2092683E" w14:textId="77777777" w:rsidR="00EE308A" w:rsidRPr="00405303" w:rsidRDefault="00EE308A" w:rsidP="00C15251">
      <w:pPr>
        <w:jc w:val="both"/>
        <w:rPr>
          <w:bCs/>
          <w:color w:val="002060"/>
          <w:sz w:val="16"/>
          <w:szCs w:val="16"/>
        </w:rPr>
      </w:pPr>
      <w:r w:rsidRPr="00405303">
        <w:rPr>
          <w:bCs/>
          <w:color w:val="002060"/>
          <w:sz w:val="16"/>
          <w:szCs w:val="16"/>
        </w:rPr>
        <w:t>10 (23) июня 1915 Королевский летный корпус издает постановление о том, что все самолеты с закрытыми фюзеляжами используют трехцветные круглые метки по бокам фюзеляжа. Раньше медальон использовался только на крыльях (20338).</w:t>
      </w:r>
    </w:p>
    <w:p w14:paraId="2BB5CD7E" w14:textId="77777777" w:rsidR="00EE308A" w:rsidRPr="00405303" w:rsidRDefault="00EE308A" w:rsidP="00C15251">
      <w:pPr>
        <w:jc w:val="both"/>
        <w:rPr>
          <w:bCs/>
          <w:color w:val="002060"/>
          <w:sz w:val="16"/>
          <w:szCs w:val="16"/>
        </w:rPr>
      </w:pPr>
    </w:p>
    <w:p w14:paraId="789932BC" w14:textId="7C34595C" w:rsidR="00EE308A" w:rsidRPr="00405303" w:rsidRDefault="00EE308A" w:rsidP="00C15251">
      <w:pPr>
        <w:jc w:val="both"/>
        <w:rPr>
          <w:bCs/>
          <w:color w:val="002060"/>
          <w:sz w:val="16"/>
          <w:szCs w:val="16"/>
        </w:rPr>
      </w:pPr>
      <w:r w:rsidRPr="00405303">
        <w:rPr>
          <w:bCs/>
          <w:color w:val="002060"/>
          <w:sz w:val="16"/>
          <w:szCs w:val="16"/>
        </w:rPr>
        <w:t>10 (23) июня 1915 г. S.E.4a экз. № 1 - опытный одноместный боевой самолет – «скаут» построенный. заводом фирмы в Фарнборо, был закончен по сборке</w:t>
      </w:r>
      <w:r w:rsidR="000F5756">
        <w:rPr>
          <w:bCs/>
          <w:color w:val="002060"/>
          <w:sz w:val="16"/>
          <w:szCs w:val="16"/>
        </w:rPr>
        <w:t xml:space="preserve"> </w:t>
      </w:r>
      <w:r w:rsidRPr="00405303">
        <w:rPr>
          <w:bCs/>
          <w:color w:val="002060"/>
          <w:sz w:val="16"/>
          <w:szCs w:val="16"/>
        </w:rPr>
        <w:t>Первый полет на самолете выполнил 25.06.15 г. Ф. Гоудден. Самолет предназначался для испытаний и в строевую часть не передавался.</w:t>
      </w:r>
      <w:r w:rsidR="000F5756">
        <w:rPr>
          <w:bCs/>
          <w:color w:val="002060"/>
          <w:sz w:val="16"/>
          <w:szCs w:val="16"/>
        </w:rPr>
        <w:t xml:space="preserve"> </w:t>
      </w:r>
      <w:r w:rsidRPr="00405303">
        <w:rPr>
          <w:bCs/>
          <w:color w:val="002060"/>
          <w:sz w:val="16"/>
          <w:szCs w:val="16"/>
        </w:rPr>
        <w:t xml:space="preserve"> Испытания показали, что: самолет имеет хорошую маневренность; использование зависающих элеронов уменьшает посадочную скорость на 8 км/ч, но система управления по крену с ними была сложна в использовании и производстве, имея больший вес, чем обычная (23152).</w:t>
      </w:r>
    </w:p>
    <w:p w14:paraId="283C5FF1" w14:textId="77777777" w:rsidR="00EE308A" w:rsidRPr="00405303" w:rsidRDefault="00EE308A" w:rsidP="00C15251">
      <w:pPr>
        <w:jc w:val="both"/>
        <w:rPr>
          <w:bCs/>
          <w:color w:val="002060"/>
          <w:sz w:val="16"/>
          <w:szCs w:val="16"/>
        </w:rPr>
      </w:pPr>
    </w:p>
    <w:p w14:paraId="6AE93020" w14:textId="77777777" w:rsidR="00783DFC" w:rsidRPr="00405303" w:rsidRDefault="00783DFC" w:rsidP="00C15251">
      <w:pPr>
        <w:jc w:val="both"/>
        <w:rPr>
          <w:bCs/>
          <w:i/>
          <w:color w:val="002060"/>
          <w:sz w:val="16"/>
          <w:szCs w:val="16"/>
        </w:rPr>
      </w:pPr>
      <w:r w:rsidRPr="00405303">
        <w:rPr>
          <w:bCs/>
          <w:i/>
          <w:color w:val="002060"/>
          <w:sz w:val="16"/>
          <w:szCs w:val="16"/>
        </w:rPr>
        <w:t>За рубежом:</w:t>
      </w:r>
    </w:p>
    <w:p w14:paraId="0EE8202F" w14:textId="77777777" w:rsidR="00783DFC" w:rsidRPr="00405303" w:rsidRDefault="00783DFC" w:rsidP="00C15251">
      <w:pPr>
        <w:jc w:val="both"/>
        <w:rPr>
          <w:bCs/>
          <w:color w:val="002060"/>
          <w:sz w:val="16"/>
          <w:szCs w:val="16"/>
        </w:rPr>
      </w:pPr>
    </w:p>
    <w:p w14:paraId="7A27558E" w14:textId="77777777" w:rsidR="00783DFC" w:rsidRPr="00405303" w:rsidRDefault="00783DFC" w:rsidP="00C15251">
      <w:pPr>
        <w:jc w:val="both"/>
        <w:rPr>
          <w:bCs/>
          <w:color w:val="002060"/>
          <w:sz w:val="16"/>
          <w:szCs w:val="16"/>
        </w:rPr>
      </w:pPr>
      <w:r w:rsidRPr="00405303">
        <w:rPr>
          <w:bCs/>
          <w:color w:val="002060"/>
          <w:sz w:val="16"/>
          <w:szCs w:val="16"/>
        </w:rPr>
        <w:t>10 (23) июня в 1915 году первое сражение на Изонцо (до 7 июля). Итальянские войска пытаются захватить удерживаемые австрийцами плацдармы на Изонцо (пограничная река в Северо-Восточной Италии) (14931).</w:t>
      </w:r>
    </w:p>
    <w:p w14:paraId="520A286A" w14:textId="77777777" w:rsidR="00783DFC" w:rsidRPr="00405303" w:rsidRDefault="00783DFC" w:rsidP="00C15251">
      <w:pPr>
        <w:jc w:val="both"/>
        <w:rPr>
          <w:bCs/>
          <w:color w:val="002060"/>
          <w:sz w:val="16"/>
          <w:szCs w:val="16"/>
        </w:rPr>
      </w:pPr>
    </w:p>
    <w:p w14:paraId="6ABD3FD9" w14:textId="77777777" w:rsidR="00783DFC" w:rsidRPr="00405303" w:rsidRDefault="00783DFC" w:rsidP="00C15251">
      <w:pPr>
        <w:jc w:val="both"/>
        <w:rPr>
          <w:bCs/>
          <w:i/>
          <w:color w:val="002060"/>
          <w:sz w:val="16"/>
          <w:szCs w:val="16"/>
        </w:rPr>
      </w:pPr>
      <w:r w:rsidRPr="00405303">
        <w:rPr>
          <w:bCs/>
          <w:i/>
          <w:color w:val="002060"/>
          <w:sz w:val="16"/>
          <w:szCs w:val="16"/>
        </w:rPr>
        <w:t>Армия:</w:t>
      </w:r>
    </w:p>
    <w:p w14:paraId="794763C3" w14:textId="77777777" w:rsidR="00783DFC" w:rsidRPr="00405303" w:rsidRDefault="00783DFC" w:rsidP="00C15251">
      <w:pPr>
        <w:jc w:val="both"/>
        <w:rPr>
          <w:bCs/>
          <w:i/>
          <w:color w:val="002060"/>
          <w:sz w:val="16"/>
          <w:szCs w:val="16"/>
        </w:rPr>
      </w:pPr>
    </w:p>
    <w:p w14:paraId="42CB1A50" w14:textId="0447E0A9" w:rsidR="00783DFC" w:rsidRPr="00405303" w:rsidRDefault="00783DFC" w:rsidP="00C15251">
      <w:pPr>
        <w:jc w:val="both"/>
        <w:rPr>
          <w:bCs/>
          <w:color w:val="002060"/>
          <w:sz w:val="16"/>
          <w:szCs w:val="16"/>
        </w:rPr>
      </w:pPr>
      <w:r w:rsidRPr="00405303">
        <w:rPr>
          <w:bCs/>
          <w:color w:val="002060"/>
          <w:sz w:val="16"/>
          <w:szCs w:val="16"/>
        </w:rPr>
        <w:t xml:space="preserve">11 </w:t>
      </w:r>
      <w:r w:rsidR="00F26B89" w:rsidRPr="00405303">
        <w:rPr>
          <w:bCs/>
          <w:color w:val="002060"/>
          <w:sz w:val="16"/>
          <w:szCs w:val="16"/>
        </w:rPr>
        <w:t xml:space="preserve">(24) </w:t>
      </w:r>
      <w:r w:rsidRPr="00405303">
        <w:rPr>
          <w:bCs/>
          <w:color w:val="002060"/>
          <w:sz w:val="16"/>
          <w:szCs w:val="16"/>
        </w:rPr>
        <w:t>июня в 1915 году во время Первой мировой войны 1914-1918 гг. отряд кораблей Черноморского флота в составе эскадренных миноносцев "Дерзкий" и "Гневный" вступил в бой с германским крейсером "Бреслау" (14919).</w:t>
      </w:r>
    </w:p>
    <w:p w14:paraId="04BD4D40" w14:textId="77777777" w:rsidR="00783DFC" w:rsidRPr="00405303" w:rsidRDefault="00783DFC" w:rsidP="00C15251">
      <w:pPr>
        <w:jc w:val="both"/>
        <w:rPr>
          <w:bCs/>
          <w:color w:val="002060"/>
          <w:sz w:val="16"/>
          <w:szCs w:val="16"/>
        </w:rPr>
      </w:pPr>
    </w:p>
    <w:p w14:paraId="0825198F" w14:textId="50458F65" w:rsidR="00014995" w:rsidRPr="00405303" w:rsidRDefault="00014995" w:rsidP="00C15251">
      <w:pPr>
        <w:jc w:val="both"/>
        <w:rPr>
          <w:bCs/>
          <w:color w:val="002060"/>
          <w:sz w:val="16"/>
          <w:szCs w:val="16"/>
        </w:rPr>
      </w:pPr>
      <w:r w:rsidRPr="00405303">
        <w:rPr>
          <w:bCs/>
          <w:color w:val="002060"/>
          <w:sz w:val="16"/>
          <w:szCs w:val="16"/>
          <w:lang w:bidi="en-US"/>
        </w:rPr>
        <w:t>11 (24) июня 1915 г. царь уволил генерала Сухомлинова с поста военного министра. Депутаты Думы обвинили его в «предательской халатности». Его сменил генерал А. А. Поливанов. Генерал А. С. Лукомский вскоре был назначен заместителем (23525).</w:t>
      </w:r>
    </w:p>
    <w:p w14:paraId="125241AB" w14:textId="77777777" w:rsidR="00014995" w:rsidRPr="00405303" w:rsidRDefault="00014995" w:rsidP="00C15251">
      <w:pPr>
        <w:jc w:val="both"/>
        <w:rPr>
          <w:bCs/>
          <w:color w:val="002060"/>
          <w:sz w:val="16"/>
          <w:szCs w:val="16"/>
          <w:lang w:bidi="en-US"/>
        </w:rPr>
      </w:pPr>
    </w:p>
    <w:p w14:paraId="6A5B25AC" w14:textId="77777777" w:rsidR="00402FF2" w:rsidRPr="00405303" w:rsidRDefault="00402FF2" w:rsidP="00402FF2">
      <w:pPr>
        <w:shd w:val="clear" w:color="auto" w:fill="FFFFFF"/>
        <w:jc w:val="both"/>
        <w:rPr>
          <w:bCs/>
          <w:i/>
          <w:color w:val="002060"/>
          <w:sz w:val="16"/>
          <w:szCs w:val="16"/>
        </w:rPr>
      </w:pPr>
      <w:r w:rsidRPr="00405303">
        <w:rPr>
          <w:bCs/>
          <w:i/>
          <w:color w:val="002060"/>
          <w:sz w:val="16"/>
          <w:szCs w:val="16"/>
        </w:rPr>
        <w:t>Авиация:</w:t>
      </w:r>
    </w:p>
    <w:p w14:paraId="45C12E52" w14:textId="77777777" w:rsidR="00402FF2" w:rsidRPr="00405303" w:rsidRDefault="00402FF2" w:rsidP="00402FF2">
      <w:pPr>
        <w:shd w:val="clear" w:color="auto" w:fill="FFFFFF"/>
        <w:jc w:val="both"/>
        <w:rPr>
          <w:bCs/>
          <w:i/>
          <w:color w:val="002060"/>
          <w:sz w:val="16"/>
          <w:szCs w:val="16"/>
        </w:rPr>
      </w:pPr>
    </w:p>
    <w:p w14:paraId="4F66E7CB" w14:textId="77777777" w:rsidR="00402FF2" w:rsidRPr="00405303" w:rsidRDefault="00402FF2" w:rsidP="00402FF2">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11 (24) июня 1915 г. огнем зенитной артиллерии в районе правого берега р. Пилица был сбит неприятельский летательный аппарат, упавший в расположении войск противника (25135).</w:t>
      </w:r>
    </w:p>
    <w:p w14:paraId="39D73DFF" w14:textId="77777777" w:rsidR="00402FF2" w:rsidRPr="00405303" w:rsidRDefault="00402FF2" w:rsidP="00402FF2">
      <w:pPr>
        <w:jc w:val="both"/>
        <w:rPr>
          <w:rStyle w:val="aa"/>
          <w:rFonts w:ascii="Times New Roman" w:hAnsi="Times New Roman"/>
          <w:color w:val="0070C0"/>
          <w:spacing w:val="0"/>
          <w:sz w:val="16"/>
          <w:szCs w:val="16"/>
        </w:rPr>
      </w:pPr>
    </w:p>
    <w:p w14:paraId="11724505" w14:textId="77777777" w:rsidR="00402FF2" w:rsidRPr="00405303" w:rsidRDefault="00402FF2" w:rsidP="00402FF2">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11 (24) июня 1925 г. рано утром над г. Люблин был обнаружен цеппелин, направлявшийся в сторону Брест-Литовска. Встреченный сильным артиллерийским огнем, его экипаж изменил первоначальный план и сбросил на город несколько бомб, не причинившие особого вреда (25135).</w:t>
      </w:r>
    </w:p>
    <w:p w14:paraId="67CE7B13" w14:textId="77777777" w:rsidR="00402FF2" w:rsidRPr="00405303" w:rsidRDefault="00402FF2" w:rsidP="00402FF2">
      <w:pPr>
        <w:jc w:val="both"/>
        <w:rPr>
          <w:rStyle w:val="aa"/>
          <w:rFonts w:ascii="Times New Roman" w:hAnsi="Times New Roman"/>
          <w:color w:val="0070C0"/>
          <w:spacing w:val="0"/>
          <w:sz w:val="16"/>
          <w:szCs w:val="16"/>
        </w:rPr>
      </w:pPr>
    </w:p>
    <w:p w14:paraId="6D495016" w14:textId="3507486C"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309252E8" w14:textId="77777777" w:rsidR="004B4E35" w:rsidRPr="00405303" w:rsidRDefault="004B4E35" w:rsidP="00C15251">
      <w:pPr>
        <w:shd w:val="clear" w:color="auto" w:fill="FFFFFF"/>
        <w:jc w:val="both"/>
        <w:rPr>
          <w:bCs/>
          <w:i/>
          <w:color w:val="002060"/>
          <w:sz w:val="16"/>
          <w:szCs w:val="16"/>
        </w:rPr>
      </w:pPr>
    </w:p>
    <w:p w14:paraId="78834BF2" w14:textId="70956E2F" w:rsidR="00783DFC" w:rsidRPr="00405303" w:rsidRDefault="00783DFC" w:rsidP="00C15251">
      <w:pPr>
        <w:jc w:val="both"/>
        <w:rPr>
          <w:bCs/>
          <w:color w:val="002060"/>
          <w:sz w:val="16"/>
          <w:szCs w:val="16"/>
        </w:rPr>
      </w:pPr>
      <w:r w:rsidRPr="00405303">
        <w:rPr>
          <w:bCs/>
          <w:color w:val="002060"/>
          <w:sz w:val="16"/>
          <w:szCs w:val="16"/>
        </w:rPr>
        <w:t xml:space="preserve">12 </w:t>
      </w:r>
      <w:r w:rsidR="00F26B89" w:rsidRPr="00405303">
        <w:rPr>
          <w:bCs/>
          <w:color w:val="002060"/>
          <w:sz w:val="16"/>
          <w:szCs w:val="16"/>
        </w:rPr>
        <w:t xml:space="preserve">(25) </w:t>
      </w:r>
      <w:r w:rsidRPr="00405303">
        <w:rPr>
          <w:bCs/>
          <w:color w:val="002060"/>
          <w:sz w:val="16"/>
          <w:szCs w:val="16"/>
        </w:rPr>
        <w:t xml:space="preserve">июня 1915 г. состоялось высочайшее утверждение штата расширенных к тому времени мастерских, открытых с началом войны при ОЭШ «для оборудования искровых, телеграфных, телефонных, прожекторных станций и частей, формируемых запасным электротехническим батальоном», а 17 июня того же года был секвестрован и включен в состав мастерских принадлежавший германскому подданному О. Трепплину завод товарищества на вере «К.Лоренц». Мастерским была оказана значительная финансовая помощь. В июне 1915 г. по решению Военного совета ей было выделено для закупки оборудования около 70 тыс. руб., в августе того же года решением Исполнительной комиссии при военном министре отпущено 150 тыс. руб. для оптовой закупки материалов. Затем четырежды – в марте, апреле, октябре 1916 г. и январе 1917 г. – последовали решения Подготовительной комиссии по общим вопросам об ассигновании мастерским из Военного фонда на общую сумму почти полтора миллиона рублей2. Параллельно шло расширение производственных площадей. 7 мая 1916 г. Особое совещание утверждает решение своей Реквизиционной комиссии о реквизиции всего оборудования и заводского имущества предприятия «К. Лоренца». А в июне и октябре 1916 г. таким же порядком ОЭШ были переданы помещения еще </w:t>
      </w:r>
      <w:proofErr w:type="gramStart"/>
      <w:r w:rsidRPr="00405303">
        <w:rPr>
          <w:bCs/>
          <w:color w:val="002060"/>
          <w:sz w:val="16"/>
          <w:szCs w:val="16"/>
        </w:rPr>
        <w:t>двух частных</w:t>
      </w:r>
      <w:proofErr w:type="gramEnd"/>
      <w:r w:rsidRPr="00405303">
        <w:rPr>
          <w:bCs/>
          <w:color w:val="002060"/>
          <w:sz w:val="16"/>
          <w:szCs w:val="16"/>
        </w:rPr>
        <w:t xml:space="preserve"> предприятий3. Все эти меры превратили мастерскую во вполне сформировавшееся промышленное предприятие, производственные мощности которого позволяли выпускать до 1000 телефонных и 400 телеграфных аппаратов в месяц (18297).</w:t>
      </w:r>
    </w:p>
    <w:p w14:paraId="60056F8F" w14:textId="77777777" w:rsidR="00783DFC" w:rsidRPr="00405303" w:rsidRDefault="00783DFC" w:rsidP="00C15251">
      <w:pPr>
        <w:jc w:val="both"/>
        <w:rPr>
          <w:bCs/>
          <w:color w:val="002060"/>
          <w:sz w:val="16"/>
          <w:szCs w:val="16"/>
        </w:rPr>
      </w:pPr>
    </w:p>
    <w:p w14:paraId="4B95A979" w14:textId="7BDC3A5E" w:rsidR="00783DFC" w:rsidRPr="00405303" w:rsidRDefault="00783DFC" w:rsidP="00C15251">
      <w:pPr>
        <w:pStyle w:val="ae"/>
        <w:spacing w:before="0" w:beforeAutospacing="0" w:after="0" w:afterAutospacing="0"/>
        <w:jc w:val="both"/>
        <w:rPr>
          <w:bCs/>
          <w:color w:val="002060"/>
          <w:sz w:val="16"/>
          <w:szCs w:val="16"/>
        </w:rPr>
      </w:pPr>
      <w:r w:rsidRPr="00405303">
        <w:rPr>
          <w:bCs/>
          <w:color w:val="002060"/>
          <w:sz w:val="16"/>
          <w:szCs w:val="16"/>
        </w:rPr>
        <w:t xml:space="preserve">12 </w:t>
      </w:r>
      <w:r w:rsidR="00F26B89" w:rsidRPr="00405303">
        <w:rPr>
          <w:bCs/>
          <w:color w:val="002060"/>
          <w:sz w:val="16"/>
          <w:szCs w:val="16"/>
        </w:rPr>
        <w:t xml:space="preserve">(25) </w:t>
      </w:r>
      <w:r w:rsidRPr="00405303">
        <w:rPr>
          <w:bCs/>
          <w:color w:val="002060"/>
          <w:sz w:val="16"/>
          <w:szCs w:val="16"/>
        </w:rPr>
        <w:t xml:space="preserve">июня 1915 г. военный министр внес в Совет министров правила об оставлении на предприятиях, работавших на оборону, военнообязанных рабочих и служащих. Их работа на предприятии объявлялась столь же обязательной, «как и служба в армии». По этим правилам, рабочие карались за оставление работы в предприятиях и за забастовки по военно-уголовным законам. Мышиная возня в правительстве закончилась. Новое предложение </w:t>
      </w:r>
      <w:proofErr w:type="gramStart"/>
      <w:r w:rsidRPr="00405303">
        <w:rPr>
          <w:bCs/>
          <w:color w:val="002060"/>
          <w:sz w:val="16"/>
          <w:szCs w:val="16"/>
        </w:rPr>
        <w:t>А. А. Поливанова по существу</w:t>
      </w:r>
      <w:proofErr w:type="gramEnd"/>
      <w:r w:rsidRPr="00405303">
        <w:rPr>
          <w:bCs/>
          <w:color w:val="002060"/>
          <w:sz w:val="16"/>
          <w:szCs w:val="16"/>
        </w:rPr>
        <w:t xml:space="preserve"> ничем не отличалось от предложений В. А. Сухомлинова милитаризовать промышленность. Проект односторонне был направлен против рабочих. Он привязывал рабочих к предприятиям и старался сделать из них послушное орудие воли начальства. Через несколько дней И. Л. Горемыкин известил А. А. Поливанова, что Совет министров «не встретил препятствия к направлению настоящего дела на законодательное рассмотрение»</w:t>
      </w:r>
      <w:bookmarkStart w:id="164" w:name="123r"/>
      <w:bookmarkEnd w:id="164"/>
      <w:r w:rsidRPr="00405303">
        <w:rPr>
          <w:bCs/>
          <w:color w:val="002060"/>
          <w:sz w:val="16"/>
          <w:szCs w:val="16"/>
        </w:rPr>
        <w:t xml:space="preserve"> (18524).</w:t>
      </w:r>
    </w:p>
    <w:p w14:paraId="47936FB5" w14:textId="77777777" w:rsidR="00783DFC" w:rsidRPr="00405303" w:rsidRDefault="00783DFC" w:rsidP="00C15251">
      <w:pPr>
        <w:pStyle w:val="ae"/>
        <w:spacing w:before="0" w:beforeAutospacing="0" w:after="0" w:afterAutospacing="0"/>
        <w:jc w:val="both"/>
        <w:rPr>
          <w:bCs/>
          <w:color w:val="002060"/>
          <w:sz w:val="16"/>
          <w:szCs w:val="16"/>
        </w:rPr>
      </w:pPr>
    </w:p>
    <w:p w14:paraId="7E314A0B" w14:textId="0915E808" w:rsidR="00783DFC" w:rsidRPr="00405303" w:rsidRDefault="00783DFC" w:rsidP="00C15251">
      <w:pPr>
        <w:pStyle w:val="ae"/>
        <w:spacing w:before="0" w:beforeAutospacing="0" w:after="0" w:afterAutospacing="0"/>
        <w:jc w:val="both"/>
        <w:rPr>
          <w:bCs/>
          <w:color w:val="002060"/>
          <w:sz w:val="16"/>
          <w:szCs w:val="16"/>
        </w:rPr>
      </w:pPr>
      <w:r w:rsidRPr="00405303">
        <w:rPr>
          <w:bCs/>
          <w:color w:val="002060"/>
          <w:sz w:val="16"/>
          <w:szCs w:val="16"/>
        </w:rPr>
        <w:t xml:space="preserve">12 </w:t>
      </w:r>
      <w:r w:rsidR="00F26B89" w:rsidRPr="00405303">
        <w:rPr>
          <w:bCs/>
          <w:color w:val="002060"/>
          <w:sz w:val="16"/>
          <w:szCs w:val="16"/>
        </w:rPr>
        <w:t xml:space="preserve">(25) </w:t>
      </w:r>
      <w:r w:rsidRPr="00405303">
        <w:rPr>
          <w:bCs/>
          <w:color w:val="002060"/>
          <w:sz w:val="16"/>
          <w:szCs w:val="16"/>
        </w:rPr>
        <w:t xml:space="preserve">и 30 июня </w:t>
      </w:r>
      <w:r w:rsidR="00F26B89" w:rsidRPr="00405303">
        <w:rPr>
          <w:bCs/>
          <w:color w:val="002060"/>
          <w:sz w:val="16"/>
          <w:szCs w:val="16"/>
        </w:rPr>
        <w:t xml:space="preserve">(13 июля) </w:t>
      </w:r>
      <w:r w:rsidRPr="00405303">
        <w:rPr>
          <w:bCs/>
          <w:color w:val="002060"/>
          <w:sz w:val="16"/>
          <w:szCs w:val="16"/>
        </w:rPr>
        <w:t>1915 г.</w:t>
      </w:r>
      <w:bookmarkStart w:id="165" w:name="122r"/>
      <w:bookmarkEnd w:id="165"/>
      <w:r w:rsidRPr="00405303">
        <w:rPr>
          <w:bCs/>
          <w:color w:val="002060"/>
          <w:sz w:val="16"/>
          <w:szCs w:val="16"/>
        </w:rPr>
        <w:t xml:space="preserve"> вопрос о милираризации промышленности, поднятый военным ведомством, обсуждался в Совете министров. В журнале заседания Совета министров кроме изложения истории вопроса повторены и мотивы, почему отклонялись ходатайства военного ведомства. Ссылаясь главным образом на соображения министра торговли и промышленности, которые были поддержаны другими членами Совета, Совет министров нашел, что ранее приводимые им мотивы «в полной мере применимы и к ныне намеченным в этой области правилам», и решил пойти навстречу ходатайствам военного ведомства, так как «не считал себя в праве препятствовать осуществлению заявленного военным ведомством предположения» (18524).</w:t>
      </w:r>
    </w:p>
    <w:p w14:paraId="43F2794A" w14:textId="77777777" w:rsidR="00783DFC" w:rsidRPr="00405303" w:rsidRDefault="00783DFC" w:rsidP="00C15251">
      <w:pPr>
        <w:pStyle w:val="ae"/>
        <w:spacing w:before="0" w:beforeAutospacing="0" w:after="0" w:afterAutospacing="0"/>
        <w:jc w:val="both"/>
        <w:rPr>
          <w:bCs/>
          <w:color w:val="002060"/>
          <w:sz w:val="16"/>
          <w:szCs w:val="16"/>
        </w:rPr>
      </w:pPr>
    </w:p>
    <w:p w14:paraId="6EFA9AE7" w14:textId="55093D9B"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12 (25) июня </w:t>
      </w:r>
      <w:r w:rsidR="00F26B89" w:rsidRPr="00405303">
        <w:rPr>
          <w:bCs/>
          <w:i w:val="0"/>
          <w:color w:val="002060"/>
          <w:spacing w:val="0"/>
          <w:kern w:val="0"/>
          <w:position w:val="0"/>
          <w:sz w:val="16"/>
          <w:szCs w:val="16"/>
        </w:rPr>
        <w:t>и 30 мая (12 и</w:t>
      </w:r>
      <w:r w:rsidR="0068337E" w:rsidRPr="00405303">
        <w:rPr>
          <w:bCs/>
          <w:i w:val="0"/>
          <w:color w:val="002060"/>
          <w:spacing w:val="0"/>
          <w:kern w:val="0"/>
          <w:position w:val="0"/>
          <w:sz w:val="16"/>
          <w:szCs w:val="16"/>
        </w:rPr>
        <w:t>ю</w:t>
      </w:r>
      <w:r w:rsidR="00F26B89" w:rsidRPr="00405303">
        <w:rPr>
          <w:bCs/>
          <w:i w:val="0"/>
          <w:color w:val="002060"/>
          <w:spacing w:val="0"/>
          <w:kern w:val="0"/>
          <w:position w:val="0"/>
          <w:sz w:val="16"/>
          <w:szCs w:val="16"/>
        </w:rPr>
        <w:t xml:space="preserve">ня) </w:t>
      </w:r>
      <w:r w:rsidRPr="00405303">
        <w:rPr>
          <w:bCs/>
          <w:i w:val="0"/>
          <w:color w:val="002060"/>
          <w:spacing w:val="0"/>
          <w:kern w:val="0"/>
          <w:position w:val="0"/>
          <w:sz w:val="16"/>
          <w:szCs w:val="16"/>
        </w:rPr>
        <w:t>1915 г.</w:t>
      </w:r>
      <w:r w:rsidR="0068337E" w:rsidRPr="00405303">
        <w:rPr>
          <w:bCs/>
          <w:i w:val="0"/>
          <w:color w:val="002060"/>
          <w:spacing w:val="0"/>
          <w:kern w:val="0"/>
          <w:position w:val="0"/>
          <w:sz w:val="16"/>
          <w:szCs w:val="16"/>
        </w:rPr>
        <w:t xml:space="preserve"> в телеграммах ген. Сапожникова нашло себе подтверждение отрицательное отношение председателя комиссии к посредничеству фирмы Моргана.</w:t>
      </w:r>
    </w:p>
    <w:p w14:paraId="1F157DD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Исследовав на месте вопрос о возможности давать артиллерийские заказы непосредственно поставщикам при посредстве Моргана, ген. Сапожников донес, что "постоянный захват банкирским домом Моргана монополии на заказы союзных правительств несомненно есть в высшей степени прискорбное явление. При передаче военных заказов Моргану военно-торговые интересы страдают весьма сильно, что подтверждается неоднократно выражавшимся в английском парламенте негодованием на деятельность этой фирмы и современным печальным состоянием снабжения английской армии на театре войны. Дальнейшее развитие этой монополии, несомненно, может отразиться неблагоприятно и на наших будущих заказах, так как отвлечет в группу Моргана многих крупных поставщиков, заинтересованных преувеличенной прибылью. Насколько мне известно, финансирование наших заказов в Америке и в настоящее время уже находится исключительно в руках группы Моргана, что, несомненно, даст ей громадное влияние на рынок. </w:t>
      </w:r>
    </w:p>
    <w:p w14:paraId="1689669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Обезвредить Моргана с нашей стороны можно было бы путем отнятия у него такой монополии нашего финансирования в Америке и обращения к другим банкирам". </w:t>
      </w:r>
    </w:p>
    <w:p w14:paraId="30308AC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Далее ген. Сапожников приводил целый ряд примеров заказов, которые могли бы быть даны американским фирмам непосредственно, но благодаря посредничеству Моргана или не были даны совсем или были даны так, что являлись гораздо более выгодными Моргану и американским фабрикантам, чем русским интересам. Так, заказ на прессованный пироксилин был дан заводу, у которого не было прессов; пулеметы Браунинга-Кольта предполагалось покупать и заказывать у несуществующего завода и т. п. </w:t>
      </w:r>
    </w:p>
    <w:p w14:paraId="51483C9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результате, замечает ген. Сапожников, "ни по одному контракту, заключенному через Моргана и генерала Рубана, приемщики не могут получить своевременно копий контрактов". </w:t>
      </w:r>
    </w:p>
    <w:p w14:paraId="5B4A7B2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другой телеграмме, датированной тем же числом, ген. Сапожников указывает на то, что "Морган совершенно не считается с присутствием в Америке русской приемной комиссии" и отказывается выдать ему копии контрактов, мотивируя это тем, что контракты заключены им не с русским, а с английским правительством. </w:t>
      </w:r>
    </w:p>
    <w:p w14:paraId="536437E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Одновременно с телеграммой ген. Сапожникова председатель комиссии получил телеграмму ген. Гермониуса, в которой он сообщает, что лорд Китченер сообщил ему о данном полномочии заказывать для России боевые припасы и пригласил его участвовать в комиссии, образованной при английском военном министерстве для распределения русских заказов, и что в первом же заседании этой комиссии был возбужден вопрос о заказе 9,5 млн. патронов для полевых пушек. При этом ген. Гермониус просил объяснить ему на чем же собственно основываются английские власти, регулируя будущее снабжение русской армии. </w:t>
      </w:r>
    </w:p>
    <w:p w14:paraId="46C1687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Цифра 9,5 млн. была непонятна, ибо еще два месяца тому назад лорд Китченер предлагал нам заказать только 5 млн. </w:t>
      </w:r>
    </w:p>
    <w:p w14:paraId="04D27FD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Председатель Особой распорядительной комиссии, видя, что цело снабжения армии, полностью порученное ему, является предметом самостоятельных забот иностранных властей, некомпетентных в наших потребностях и действующих под сильным влиянием коммерческих учреждений (например Моргана), отправил наштаверху ген. Янушкевичу телеграмму следующего содержания: </w:t>
      </w:r>
    </w:p>
    <w:p w14:paraId="1A80362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бытность мою в Ставке вы мне выяснили, что предложения Китченера на заказы в случае поздних сроков будут отклонены. Из телеграммы Гермониуса видно, что Китченер уполномочен заказывать что угодно в неограниченном, количестве и даже на семнадцатый год. Имея в виду обе телеграммы Саложникова и тот факт, что </w:t>
      </w:r>
      <w:r w:rsidRPr="00405303">
        <w:rPr>
          <w:bCs/>
          <w:i w:val="0"/>
          <w:color w:val="002060"/>
          <w:spacing w:val="0"/>
          <w:kern w:val="0"/>
          <w:position w:val="0"/>
          <w:sz w:val="16"/>
          <w:szCs w:val="16"/>
        </w:rPr>
        <w:lastRenderedPageBreak/>
        <w:t xml:space="preserve">все заказы Китченера будут даваться тому же Моргану, следует ожидать, что все нами ранее заказанное непосредственно в Америке будет парализовано Морганом, и вместо ускорения подачи заказов будет только замедление. Прошу мне указать, какую инструкцию я должен дать Гермониусу, и поставить меня в известность, какие полномочия даны Китченеру. Меня также тревожит вопрос, кто впоследствии будет ответственен перед контролем и законодательными учреждениями за длительные заграничные заказы, в которых никакой нужды нет, раз они будут даваться хотя союзным, но иностранным, правительством". </w:t>
      </w:r>
    </w:p>
    <w:p w14:paraId="43AB1D9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6 (19) июня начальник Штаба верховного главнокомандующего ответил председателю комиссии, что "ориентировка Петрограда о возможных надеждах на усиленный приток снабжения и политические условия привели к необходимости принять предложение лорда Китченера, обещавшего полную гарантию исполнения заказов при 25-процентном задатке. </w:t>
      </w:r>
    </w:p>
    <w:p w14:paraId="169BCB8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Вся ответственность переходит на Штаб верховного главнокомандующего при согласии с необходимостью заказа совещания военного министра, в котором участвуют председатель и члены Думы". </w:t>
      </w:r>
    </w:p>
    <w:p w14:paraId="71DBDC6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одном из следующих заседаний английской комиссии количество 76-мм патронов 9,5 млн. было заменено уже 12 млн., причем единственной предоставляемой гарантией являлось право отказа в случае несвоевременного исполнения контракта. </w:t>
      </w:r>
    </w:p>
    <w:p w14:paraId="1AA4080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26 июня ген. Гермониус донес, что в пятом заседании комиссии вновь обсуждался вопрос о распределении русских заказов между американскими заводами, причем существенную роль в разрешении вопросов играли представители Моргана. При этом председатель английской комиссии предложил спросить верховного главнокомандующего, нужно ли еще заказывать снаряды сверх тех, о которых уже было условлено. Ген. Гермониус высказался, что подобное предложение не должно исходить от комиссии, так как ничего похожего на попечительство о русском снабжении не должно исходить от английского военного министерства. Тогда председатель заявил, что телеграмма будет послана от имени лорда Китченера. </w:t>
      </w:r>
    </w:p>
    <w:p w14:paraId="21D4EAD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Таким образом, лорд Китченер окончательно сделал это дело своей монополией, отстранив от обсуждения вопроса даже ген. Гермониуса и сносясь только со Ставкой верховного главнокомандующего. </w:t>
      </w:r>
    </w:p>
    <w:p w14:paraId="0042A62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дальнейшем против этой опеки Англии старалось бороться и Особое совещание по обороне государства, но толку из этого вышло также мало, ибо, очутившись в положении бедной приживалки у богатых родственников, царская Россия могла только делать вид протестующей, на самом же деле с нею считались очень мало. </w:t>
      </w:r>
    </w:p>
    <w:p w14:paraId="17EC204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Вскоре по делам "несостоятельной" России образовался целый "опекунский совет" союзниц, который и выделил в январе 1917 г. своих представителей на Межсоюзную конференцию в Петрограде, чтобы окончательно решить, как обойтись с назойливыми просьбами русских властей о разного рода "вспомоществованиях". Результаты этой конференции помещены в особом отчете, о котором неоднократно будет упоминаться. </w:t>
      </w:r>
    </w:p>
    <w:p w14:paraId="589EE09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Странное поведение Ставки в 1915 г. в отношении заказов боевых припасов за границей возможно объяснить, с одной стороны, политическими соображениями Ставки, всячески заискивавшей у "союзников", с другой стороны, растерянностью Ставки и боязнью проиграть войну из-за недостатка снарядов (11483).</w:t>
      </w:r>
    </w:p>
    <w:p w14:paraId="6219F94A" w14:textId="77777777" w:rsidR="004B4E35" w:rsidRPr="00405303" w:rsidRDefault="004B4E35" w:rsidP="00C15251">
      <w:pPr>
        <w:pStyle w:val="a3"/>
        <w:jc w:val="both"/>
        <w:rPr>
          <w:bCs/>
          <w:i w:val="0"/>
          <w:color w:val="002060"/>
          <w:spacing w:val="0"/>
          <w:kern w:val="0"/>
          <w:position w:val="0"/>
          <w:sz w:val="16"/>
          <w:szCs w:val="16"/>
        </w:rPr>
      </w:pPr>
    </w:p>
    <w:p w14:paraId="197D7D67"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Армия:</w:t>
      </w:r>
    </w:p>
    <w:p w14:paraId="7E409302" w14:textId="77777777" w:rsidR="004B4E35" w:rsidRPr="00405303" w:rsidRDefault="004B4E35" w:rsidP="00C15251">
      <w:pPr>
        <w:shd w:val="clear" w:color="auto" w:fill="FFFFFF"/>
        <w:jc w:val="both"/>
        <w:rPr>
          <w:bCs/>
          <w:i/>
          <w:color w:val="002060"/>
          <w:sz w:val="16"/>
          <w:szCs w:val="16"/>
        </w:rPr>
      </w:pPr>
    </w:p>
    <w:p w14:paraId="0E54B595" w14:textId="46FE85FC" w:rsidR="00783DFC" w:rsidRPr="00405303" w:rsidRDefault="00783DFC" w:rsidP="00C15251">
      <w:pPr>
        <w:jc w:val="both"/>
        <w:rPr>
          <w:bCs/>
          <w:color w:val="002060"/>
          <w:sz w:val="16"/>
          <w:szCs w:val="16"/>
        </w:rPr>
      </w:pPr>
      <w:r w:rsidRPr="00405303">
        <w:rPr>
          <w:bCs/>
          <w:color w:val="002060"/>
          <w:sz w:val="16"/>
          <w:szCs w:val="16"/>
        </w:rPr>
        <w:t xml:space="preserve">12 </w:t>
      </w:r>
      <w:r w:rsidR="0068337E" w:rsidRPr="00405303">
        <w:rPr>
          <w:bCs/>
          <w:color w:val="002060"/>
          <w:sz w:val="16"/>
          <w:szCs w:val="16"/>
        </w:rPr>
        <w:t xml:space="preserve">(25) </w:t>
      </w:r>
      <w:r w:rsidRPr="00405303">
        <w:rPr>
          <w:bCs/>
          <w:color w:val="002060"/>
          <w:sz w:val="16"/>
          <w:szCs w:val="16"/>
        </w:rPr>
        <w:t xml:space="preserve">июня в 1915 году </w:t>
      </w:r>
      <w:hyperlink r:id="rId42" w:tgtFrame="_blank" w:history="1">
        <w:r w:rsidRPr="00405303">
          <w:rPr>
            <w:bCs/>
            <w:color w:val="002060"/>
            <w:sz w:val="16"/>
            <w:szCs w:val="16"/>
          </w:rPr>
          <w:t xml:space="preserve">противосамолетным подразделением </w:t>
        </w:r>
      </w:hyperlink>
      <w:r w:rsidRPr="00405303">
        <w:rPr>
          <w:bCs/>
          <w:color w:val="002060"/>
          <w:sz w:val="16"/>
          <w:szCs w:val="16"/>
        </w:rPr>
        <w:t>капитана В.В.Тарновского в районе города Пултуска (Польша) сбит немецкий аэроплан — впервые в русской армии из специальных зенитных орудий уничтожен самолет противника (14920).</w:t>
      </w:r>
    </w:p>
    <w:p w14:paraId="62C6C05C" w14:textId="77777777" w:rsidR="00783DFC" w:rsidRPr="00405303" w:rsidRDefault="00783DFC" w:rsidP="00C15251">
      <w:pPr>
        <w:jc w:val="both"/>
        <w:rPr>
          <w:bCs/>
          <w:color w:val="002060"/>
          <w:sz w:val="16"/>
          <w:szCs w:val="16"/>
        </w:rPr>
      </w:pPr>
    </w:p>
    <w:p w14:paraId="2CB98718" w14:textId="5FB7D6E1" w:rsidR="00CE794B" w:rsidRPr="00405303" w:rsidRDefault="00CE794B" w:rsidP="00C15251">
      <w:pPr>
        <w:jc w:val="both"/>
        <w:rPr>
          <w:bCs/>
          <w:color w:val="002060"/>
          <w:sz w:val="16"/>
          <w:szCs w:val="16"/>
        </w:rPr>
      </w:pPr>
      <w:r w:rsidRPr="00405303">
        <w:rPr>
          <w:bCs/>
          <w:color w:val="002060"/>
          <w:sz w:val="16"/>
          <w:szCs w:val="16"/>
        </w:rPr>
        <w:t xml:space="preserve">12 (25) июня 1915 г. стал знаменательным днем в истории российской зенитной артиллерии. Скрытно прибыв в г. Пултуск с задачей «уничтожить неприятельских авиаторов, систематически бросающих </w:t>
      </w:r>
      <w:bookmarkStart w:id="166" w:name="bookmark190"/>
      <w:r w:rsidRPr="00405303">
        <w:rPr>
          <w:bCs/>
          <w:color w:val="002060"/>
          <w:sz w:val="16"/>
          <w:szCs w:val="16"/>
        </w:rPr>
        <w:t>бомбы в районе пехотных казарм по Цехановскому шоссе», расчеты Отдельной автомобильной батареи для стрельбы по воздушному флоту (капитан В.В. Тарновский) удачно обстреляли немецкий аэроплан, израсходовав 31 шрапнельный снаряд. Один из них достиг своей цели. По сведениям коменданта г. Пултуск, подбитый вражеский летательный аппарат не смог долететь до линии фронта и упал на наши позиции. Русские зенитчики праздновали первую свою победу. Впервые в отечественной истории воздушное судно противника было уничтожено из специального зенитного орудия, имевшего высокие тактико-технические возможности (23405).</w:t>
      </w:r>
      <w:bookmarkEnd w:id="166"/>
    </w:p>
    <w:p w14:paraId="6480620F" w14:textId="77777777" w:rsidR="00CE794B" w:rsidRPr="00405303" w:rsidRDefault="00CE794B" w:rsidP="00C15251">
      <w:pPr>
        <w:jc w:val="both"/>
        <w:rPr>
          <w:bCs/>
          <w:color w:val="002060"/>
          <w:sz w:val="16"/>
          <w:szCs w:val="16"/>
          <w:lang w:bidi="ru-RU"/>
        </w:rPr>
      </w:pPr>
    </w:p>
    <w:p w14:paraId="7DCE8234" w14:textId="77777777" w:rsidR="00783DFC" w:rsidRPr="00405303" w:rsidRDefault="00783DFC" w:rsidP="00C15251">
      <w:pPr>
        <w:pStyle w:val="ae"/>
        <w:spacing w:before="0" w:beforeAutospacing="0" w:after="0" w:afterAutospacing="0"/>
        <w:jc w:val="both"/>
        <w:textAlignment w:val="top"/>
        <w:rPr>
          <w:bCs/>
          <w:color w:val="002060"/>
          <w:sz w:val="16"/>
          <w:szCs w:val="16"/>
        </w:rPr>
      </w:pPr>
      <w:r w:rsidRPr="00405303">
        <w:rPr>
          <w:bCs/>
          <w:color w:val="002060"/>
          <w:sz w:val="16"/>
          <w:szCs w:val="16"/>
        </w:rPr>
        <w:t>12 (25) июня 1915 г. вместо ген.-ад. ген. от кав. В.А. Сухомлинова на пост Военного министра был назначен ген. от инф. А.А. Поливанов. В отличие от своего предшественника, он активно поддерживал структуры ВПК (18405).</w:t>
      </w:r>
    </w:p>
    <w:p w14:paraId="7665FD99" w14:textId="77777777" w:rsidR="00783DFC" w:rsidRPr="00405303" w:rsidRDefault="00783DFC" w:rsidP="00C15251">
      <w:pPr>
        <w:pStyle w:val="ae"/>
        <w:spacing w:before="0" w:beforeAutospacing="0" w:after="0" w:afterAutospacing="0"/>
        <w:jc w:val="both"/>
        <w:textAlignment w:val="top"/>
        <w:rPr>
          <w:bCs/>
          <w:color w:val="002060"/>
          <w:sz w:val="16"/>
          <w:szCs w:val="16"/>
        </w:rPr>
      </w:pPr>
    </w:p>
    <w:p w14:paraId="41BEC866" w14:textId="24DC6B84" w:rsidR="004B4E35" w:rsidRPr="00405303" w:rsidRDefault="009E6F82" w:rsidP="00C15251">
      <w:pPr>
        <w:shd w:val="clear" w:color="auto" w:fill="FFFFFF"/>
        <w:jc w:val="both"/>
        <w:rPr>
          <w:bCs/>
          <w:color w:val="002060"/>
          <w:sz w:val="16"/>
          <w:szCs w:val="16"/>
        </w:rPr>
      </w:pPr>
      <w:r w:rsidRPr="00405303">
        <w:rPr>
          <w:bCs/>
          <w:color w:val="002060"/>
          <w:sz w:val="16"/>
          <w:szCs w:val="16"/>
        </w:rPr>
        <w:t>12 (25) ию</w:t>
      </w:r>
      <w:r w:rsidRPr="00405303">
        <w:rPr>
          <w:bCs/>
          <w:color w:val="002060"/>
          <w:sz w:val="16"/>
          <w:szCs w:val="16"/>
        </w:rPr>
        <w:softHyphen/>
        <w:t xml:space="preserve">ня 1915 </w:t>
      </w:r>
      <w:r w:rsidR="0068337E" w:rsidRPr="00405303">
        <w:rPr>
          <w:bCs/>
          <w:color w:val="002060"/>
          <w:sz w:val="16"/>
          <w:szCs w:val="16"/>
        </w:rPr>
        <w:t xml:space="preserve">г. </w:t>
      </w:r>
      <w:r w:rsidRPr="00405303">
        <w:rPr>
          <w:bCs/>
          <w:color w:val="002060"/>
          <w:sz w:val="16"/>
          <w:szCs w:val="16"/>
        </w:rPr>
        <w:t>батарея Тарновского скрытно прибыла в г.Пултуск с задачей «уничтожить непри</w:t>
      </w:r>
      <w:r w:rsidRPr="00405303">
        <w:rPr>
          <w:bCs/>
          <w:color w:val="002060"/>
          <w:sz w:val="16"/>
          <w:szCs w:val="16"/>
        </w:rPr>
        <w:softHyphen/>
        <w:t>ятельских авиаторов, систематически бро</w:t>
      </w:r>
      <w:r w:rsidRPr="00405303">
        <w:rPr>
          <w:bCs/>
          <w:color w:val="002060"/>
          <w:sz w:val="16"/>
          <w:szCs w:val="16"/>
        </w:rPr>
        <w:softHyphen/>
        <w:t>сающих бомбы в районе пехотных казарм по Цехановскому шоссе». Вечером того же дня в зону огня батареи попал немецкий аэро</w:t>
      </w:r>
      <w:r w:rsidRPr="00405303">
        <w:rPr>
          <w:bCs/>
          <w:color w:val="002060"/>
          <w:sz w:val="16"/>
          <w:szCs w:val="16"/>
        </w:rPr>
        <w:softHyphen/>
        <w:t>план. Поражённый шрапнельным снарядом, он не смог долететь до линии фронта и упал на наши позиции. Русские зенитчики праздновали первую свою победу. Для противника появление батареи Тарновского в Пултуске стало полной неожиданностью. Боясь раз</w:t>
      </w:r>
      <w:r w:rsidRPr="00405303">
        <w:rPr>
          <w:bCs/>
          <w:color w:val="002060"/>
          <w:sz w:val="16"/>
          <w:szCs w:val="16"/>
        </w:rPr>
        <w:softHyphen/>
        <w:t>делить судьбу своих товарищей, германские лётчики были вынуждены резко сократить количество полётов в этом районе, что «из</w:t>
      </w:r>
      <w:r w:rsidRPr="00405303">
        <w:rPr>
          <w:bCs/>
          <w:color w:val="002060"/>
          <w:sz w:val="16"/>
          <w:szCs w:val="16"/>
        </w:rPr>
        <w:softHyphen/>
        <w:t>бавило местных жителей от нападения нем</w:t>
      </w:r>
      <w:r w:rsidRPr="00405303">
        <w:rPr>
          <w:bCs/>
          <w:color w:val="002060"/>
          <w:sz w:val="16"/>
          <w:szCs w:val="16"/>
        </w:rPr>
        <w:softHyphen/>
        <w:t>цев». И лишь «только после обнаружения ухода батареи они вновь начали свою воз</w:t>
      </w:r>
      <w:r w:rsidRPr="00405303">
        <w:rPr>
          <w:bCs/>
          <w:color w:val="002060"/>
          <w:sz w:val="16"/>
          <w:szCs w:val="16"/>
        </w:rPr>
        <w:softHyphen/>
        <w:t>душную бомбардировку» (11391).</w:t>
      </w:r>
    </w:p>
    <w:p w14:paraId="4F1AC799" w14:textId="77777777" w:rsidR="004B4E35" w:rsidRPr="00405303" w:rsidRDefault="004B4E35" w:rsidP="00C15251">
      <w:pPr>
        <w:shd w:val="clear" w:color="auto" w:fill="FFFFFF"/>
        <w:jc w:val="both"/>
        <w:rPr>
          <w:bCs/>
          <w:color w:val="002060"/>
          <w:sz w:val="16"/>
          <w:szCs w:val="16"/>
        </w:rPr>
      </w:pPr>
    </w:p>
    <w:p w14:paraId="35D75127" w14:textId="37156A8A" w:rsidR="004B4E35" w:rsidRPr="00405303" w:rsidRDefault="009E6F82" w:rsidP="00C15251">
      <w:pPr>
        <w:jc w:val="both"/>
        <w:rPr>
          <w:bCs/>
          <w:color w:val="002060"/>
          <w:sz w:val="16"/>
          <w:szCs w:val="16"/>
        </w:rPr>
      </w:pPr>
      <w:r w:rsidRPr="00405303">
        <w:rPr>
          <w:bCs/>
          <w:color w:val="002060"/>
          <w:sz w:val="16"/>
          <w:szCs w:val="16"/>
        </w:rPr>
        <w:t xml:space="preserve">12 (25) июня 1915 г. генерал Сухомлинов был уволен от должности военного министра и на его место избран генерал Поливанов. Последний широко пошел навстречу новому учреждению, видя в нем единственный способ восстановить доверие общественных кругов к работе Военного министерства, а также для широкого привлечения этих кругов к делу снабжения Армии. 18(31) июня генерал Поливанов вносит в Государственную думу новый законопроект, согласно которому, уже учрежденное Особое совещание получало наименование Особое совещание для объединения мероприятий по обороне государства. В нем по-прежнему состоял председателем военный министр, но состав его был расширен. В него входили: председатели Государственной думы и Государственного совета, по девять членов от каждого из этих законодательных учреждений, министры: морской, финансов, торговли и промышленности, внутренних дел, земледелия, путей сообщения, Государственного контроля, начальники главных управлений Военного министерства, представители промышленности и представители Земского и Городского союзов, а также представители только что возникшего Военно-промышленного комитета. </w:t>
      </w:r>
    </w:p>
    <w:p w14:paraId="2051126C" w14:textId="77777777" w:rsidR="004B4E35" w:rsidRPr="00405303" w:rsidRDefault="009E6F82" w:rsidP="00C15251">
      <w:pPr>
        <w:jc w:val="both"/>
        <w:rPr>
          <w:bCs/>
          <w:color w:val="002060"/>
          <w:sz w:val="16"/>
          <w:szCs w:val="16"/>
        </w:rPr>
      </w:pPr>
      <w:proofErr w:type="gramStart"/>
      <w:r w:rsidRPr="00405303">
        <w:rPr>
          <w:bCs/>
          <w:color w:val="002060"/>
          <w:sz w:val="16"/>
          <w:szCs w:val="16"/>
        </w:rPr>
        <w:t>Кроме этого</w:t>
      </w:r>
      <w:proofErr w:type="gramEnd"/>
      <w:r w:rsidRPr="00405303">
        <w:rPr>
          <w:bCs/>
          <w:color w:val="002060"/>
          <w:sz w:val="16"/>
          <w:szCs w:val="16"/>
        </w:rPr>
        <w:t xml:space="preserve"> Особого совещания по объединению мероприятий по обороне, новый закон учреждал еще несколько Особых совещаний, а именно: </w:t>
      </w:r>
    </w:p>
    <w:p w14:paraId="613C7720" w14:textId="77777777" w:rsidR="004B4E35" w:rsidRPr="00405303" w:rsidRDefault="009E6F82" w:rsidP="00C15251">
      <w:pPr>
        <w:jc w:val="both"/>
        <w:rPr>
          <w:bCs/>
          <w:color w:val="002060"/>
          <w:sz w:val="16"/>
          <w:szCs w:val="16"/>
        </w:rPr>
      </w:pPr>
      <w:r w:rsidRPr="00405303">
        <w:rPr>
          <w:bCs/>
          <w:color w:val="002060"/>
          <w:sz w:val="16"/>
          <w:szCs w:val="16"/>
        </w:rPr>
        <w:t xml:space="preserve">Особое совещание по перевозкам. </w:t>
      </w:r>
    </w:p>
    <w:p w14:paraId="67B2E1D0" w14:textId="77777777" w:rsidR="004B4E35" w:rsidRPr="00405303" w:rsidRDefault="009E6F82" w:rsidP="00C15251">
      <w:pPr>
        <w:jc w:val="both"/>
        <w:rPr>
          <w:bCs/>
          <w:color w:val="002060"/>
          <w:sz w:val="16"/>
          <w:szCs w:val="16"/>
        </w:rPr>
      </w:pPr>
      <w:r w:rsidRPr="00405303">
        <w:rPr>
          <w:bCs/>
          <w:color w:val="002060"/>
          <w:sz w:val="16"/>
          <w:szCs w:val="16"/>
        </w:rPr>
        <w:t xml:space="preserve">Особое совещание по топливу. </w:t>
      </w:r>
    </w:p>
    <w:p w14:paraId="548DC493" w14:textId="77777777" w:rsidR="004B4E35" w:rsidRPr="00405303" w:rsidRDefault="009E6F82" w:rsidP="00C15251">
      <w:pPr>
        <w:jc w:val="both"/>
        <w:rPr>
          <w:bCs/>
          <w:color w:val="002060"/>
          <w:sz w:val="16"/>
          <w:szCs w:val="16"/>
        </w:rPr>
      </w:pPr>
      <w:r w:rsidRPr="00405303">
        <w:rPr>
          <w:bCs/>
          <w:color w:val="002060"/>
          <w:sz w:val="16"/>
          <w:szCs w:val="16"/>
        </w:rPr>
        <w:t xml:space="preserve">Особое совещание по продовольствию. </w:t>
      </w:r>
    </w:p>
    <w:p w14:paraId="5DBB1756" w14:textId="77777777" w:rsidR="004B4E35" w:rsidRPr="00405303" w:rsidRDefault="009E6F82" w:rsidP="00C15251">
      <w:pPr>
        <w:jc w:val="both"/>
        <w:rPr>
          <w:bCs/>
          <w:color w:val="002060"/>
          <w:sz w:val="16"/>
          <w:szCs w:val="16"/>
        </w:rPr>
      </w:pPr>
      <w:r w:rsidRPr="00405303">
        <w:rPr>
          <w:bCs/>
          <w:color w:val="002060"/>
          <w:sz w:val="16"/>
          <w:szCs w:val="16"/>
        </w:rPr>
        <w:t xml:space="preserve">Каждое из этих Совещаний находилось под председательством соответствующих министров (путей сообщений, торговли и промышленности, земледелия). </w:t>
      </w:r>
    </w:p>
    <w:p w14:paraId="6D7B3992" w14:textId="77777777" w:rsidR="004B4E35" w:rsidRPr="00405303" w:rsidRDefault="009E6F82" w:rsidP="00C15251">
      <w:pPr>
        <w:jc w:val="both"/>
        <w:rPr>
          <w:bCs/>
          <w:color w:val="002060"/>
          <w:sz w:val="16"/>
          <w:szCs w:val="16"/>
        </w:rPr>
      </w:pPr>
      <w:r w:rsidRPr="00405303">
        <w:rPr>
          <w:bCs/>
          <w:color w:val="002060"/>
          <w:sz w:val="16"/>
          <w:szCs w:val="16"/>
        </w:rPr>
        <w:t xml:space="preserve">Целью этих Особых совещаний являлось внесение объединения в использовании транспорта, топлива и продовольствия. При необходимости согласовать действия всех совещаний собирались объединенные заседания под председательством военного министра. </w:t>
      </w:r>
    </w:p>
    <w:p w14:paraId="2B5C957E" w14:textId="77777777" w:rsidR="004B4E35" w:rsidRPr="00405303" w:rsidRDefault="009E6F82" w:rsidP="00C15251">
      <w:pPr>
        <w:jc w:val="both"/>
        <w:rPr>
          <w:bCs/>
          <w:color w:val="002060"/>
          <w:sz w:val="16"/>
          <w:szCs w:val="16"/>
        </w:rPr>
      </w:pPr>
      <w:r w:rsidRPr="00405303">
        <w:rPr>
          <w:bCs/>
          <w:color w:val="002060"/>
          <w:sz w:val="16"/>
          <w:szCs w:val="16"/>
        </w:rPr>
        <w:t>Несомненно, что созданный для объединения работы тыла аппарат Особых совещаний являлся чрезвычайно громоздким. Эти многолюдные собрания не способны были к быстрой творческой работе. Нельзя не согласиться в известной справедливости критики Особого совещания по обороне, которую можно встретить в труде генерала Маниковского.</w:t>
      </w:r>
    </w:p>
    <w:p w14:paraId="19DFDB91"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«Во-первых, — пишет генерал Маниковский, — это Совещание было слишком многолюдным, чтобы быть рабочим и достаточно продуктивным, ибо — это уже бесспорная истина — никакое практическое дело нельзя делать тол ком в собрании 50–60 человек, да еще такого разношерстного состава, каким было это Совещание.</w:t>
      </w:r>
    </w:p>
    <w:p w14:paraId="3BF70685"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Во-вторых, в этом огромном составе все же было очень мало людей, действительно понимающих военную технику и причины неудовлетворительности снабжения нашей армии и могущих указать меры, необходимые для его усиления. Зато было много таких, которые видели в этом Совещании главным образом орудие политической борьбы и в соответствии с этим и вели линию поведения...»</w:t>
      </w:r>
    </w:p>
    <w:p w14:paraId="0EC1E2AD"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Приходится поэтому признать, что вывод, сделанный подполковником Ребулем в статье «Промышленная мобилизация в России во время войны», указывающий на отсутствие в России тесно объединенной работы тыла, по существу дела, верен. Коренное разрешение вопроса могло быть только одно: создание Министерства снабжения, которое и должно было действенно объединить всю работу по снабжению как армии, так и страны. Хотя этот вопрос и подымался некоторыми членами Государственной думы во время рассмотрения законоположения об Особых совещаниях, но он не встретил сочувствия в этом законодательном учреждении. В этот период войны, отношения между правительством и Государственной думой обострились. Правительство потеряло доверие общественных кругов. Общественные круги и выразительница их, Государственная дума, опасались, что вновь образованное Министерство снабжения сразу же станет столь же мертвящим бюрократическим учреждением, каковым оказалось Военное министерство. </w:t>
      </w:r>
    </w:p>
    <w:p w14:paraId="3F21CFD4" w14:textId="77777777" w:rsidR="004B4E35" w:rsidRPr="00405303" w:rsidRDefault="009E6F82" w:rsidP="00C15251">
      <w:pPr>
        <w:jc w:val="both"/>
        <w:rPr>
          <w:bCs/>
          <w:color w:val="002060"/>
          <w:sz w:val="16"/>
          <w:szCs w:val="16"/>
        </w:rPr>
      </w:pPr>
      <w:r w:rsidRPr="00405303">
        <w:rPr>
          <w:bCs/>
          <w:color w:val="002060"/>
          <w:sz w:val="16"/>
          <w:szCs w:val="16"/>
        </w:rPr>
        <w:t xml:space="preserve">Несмотря на вышеуказанную отрицательную сторону, присущую организации Особых совещаний, создание их, в особенности же Особого совещания для объединения мероприятий по обороне государства, сыграло положительную роль. </w:t>
      </w:r>
    </w:p>
    <w:p w14:paraId="0F2ECEB6" w14:textId="77777777" w:rsidR="004B4E35" w:rsidRPr="00405303" w:rsidRDefault="009E6F82" w:rsidP="00C15251">
      <w:pPr>
        <w:jc w:val="both"/>
        <w:rPr>
          <w:bCs/>
          <w:color w:val="002060"/>
          <w:sz w:val="16"/>
          <w:szCs w:val="16"/>
        </w:rPr>
      </w:pPr>
      <w:r w:rsidRPr="00405303">
        <w:rPr>
          <w:bCs/>
          <w:color w:val="002060"/>
          <w:sz w:val="16"/>
          <w:szCs w:val="16"/>
        </w:rPr>
        <w:t xml:space="preserve">Даже такой сторонник генерала Сухомлинова, каким является его ближайший сотрудник генерал Лукомский, вынужден это признать. </w:t>
      </w:r>
    </w:p>
    <w:p w14:paraId="11BCD5AA"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«Но все же со времени образования Совещания, — пишет он в своей записке, — заказы стали даваться значительно шире.</w:t>
      </w:r>
    </w:p>
    <w:p w14:paraId="145DA16B"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Происходило это, конечно, отчасти вследствие того, что вообще к этому времени для военного министра и начальников главных довольствующих управлений более определенно выяснилась необходимость значительно усилить снабжение, но в значительной степени и оттого, что вошедшие в состав Совещания члены Государственной думы, особенно ее председатель, постоянно в резкой форме настаивали на необходимости производства новых заказов, считаясь лишь с требованиями фронта и стараясь их предусмотреть вперед».</w:t>
      </w:r>
    </w:p>
    <w:p w14:paraId="6706445C" w14:textId="77777777" w:rsidR="004B4E35" w:rsidRPr="00405303" w:rsidRDefault="009E6F82" w:rsidP="00C15251">
      <w:pPr>
        <w:jc w:val="both"/>
        <w:rPr>
          <w:bCs/>
          <w:color w:val="002060"/>
          <w:sz w:val="16"/>
          <w:szCs w:val="16"/>
        </w:rPr>
      </w:pPr>
      <w:r w:rsidRPr="00405303">
        <w:rPr>
          <w:bCs/>
          <w:color w:val="002060"/>
          <w:sz w:val="16"/>
          <w:szCs w:val="16"/>
        </w:rPr>
        <w:t xml:space="preserve">Беспристрастный историк должен произвести оценку значения учреждения Особого совещания по обороне несравненно шире. </w:t>
      </w:r>
    </w:p>
    <w:p w14:paraId="767969FD" w14:textId="77777777" w:rsidR="004B4E35" w:rsidRPr="00405303" w:rsidRDefault="009E6F82" w:rsidP="00C15251">
      <w:pPr>
        <w:jc w:val="both"/>
        <w:rPr>
          <w:bCs/>
          <w:color w:val="002060"/>
          <w:sz w:val="16"/>
          <w:szCs w:val="16"/>
        </w:rPr>
      </w:pPr>
      <w:r w:rsidRPr="00405303">
        <w:rPr>
          <w:bCs/>
          <w:color w:val="002060"/>
          <w:sz w:val="16"/>
          <w:szCs w:val="16"/>
        </w:rPr>
        <w:t xml:space="preserve">Это была «живая вода», хлынувшая в бюрократическое болото. Это был прорыв общественных сил через плотину устарелых учреждений, способных только с большим запозданием плестись в хвосте требований жизни. Это был «контроль», освещающий «темные места» и подхлестывающий к работе, предусматривающий события. Поэтому учреждение Особого совещания по обороне являлось началом спасения России из того катастрофического положения, к которому привело армию министерство Сухомлинова. Рассматривая выше различные области боевого снабжения, мы видели, что везде начиная с осени 1915 г. наступает улучшение и к 1916 г. Русская армия не только выходит из агонии, но даже в состоянии одержать большую победу в Галиции. </w:t>
      </w:r>
    </w:p>
    <w:p w14:paraId="2AE416AF" w14:textId="77777777" w:rsidR="004B4E35" w:rsidRPr="00405303" w:rsidRDefault="009E6F82" w:rsidP="00C15251">
      <w:pPr>
        <w:jc w:val="both"/>
        <w:rPr>
          <w:bCs/>
          <w:color w:val="002060"/>
          <w:sz w:val="16"/>
          <w:szCs w:val="16"/>
        </w:rPr>
      </w:pPr>
      <w:r w:rsidRPr="00405303">
        <w:rPr>
          <w:bCs/>
          <w:color w:val="002060"/>
          <w:sz w:val="16"/>
          <w:szCs w:val="16"/>
        </w:rPr>
        <w:t xml:space="preserve">Особое совещание по обороне расширило возможность для общественных сил страны принять активное участие в деле снабжения армии. Уже это одно имело громадное значение, ибо самая мобилизация промышленности началась у нас по общественному почину. </w:t>
      </w:r>
    </w:p>
    <w:p w14:paraId="0B46F026" w14:textId="77777777" w:rsidR="004B4E35" w:rsidRPr="00405303" w:rsidRDefault="009E6F82" w:rsidP="00C15251">
      <w:pPr>
        <w:jc w:val="both"/>
        <w:rPr>
          <w:bCs/>
          <w:color w:val="002060"/>
          <w:sz w:val="16"/>
          <w:szCs w:val="16"/>
        </w:rPr>
      </w:pPr>
      <w:r w:rsidRPr="00405303">
        <w:rPr>
          <w:bCs/>
          <w:color w:val="002060"/>
          <w:sz w:val="16"/>
          <w:szCs w:val="16"/>
        </w:rPr>
        <w:t xml:space="preserve">Мобилизация промышленности </w:t>
      </w:r>
    </w:p>
    <w:p w14:paraId="3B779A9A" w14:textId="77777777" w:rsidR="004B4E35" w:rsidRPr="00405303" w:rsidRDefault="009E6F82" w:rsidP="00C15251">
      <w:pPr>
        <w:jc w:val="both"/>
        <w:rPr>
          <w:bCs/>
          <w:color w:val="002060"/>
          <w:sz w:val="16"/>
          <w:szCs w:val="16"/>
        </w:rPr>
      </w:pPr>
      <w:r w:rsidRPr="00405303">
        <w:rPr>
          <w:bCs/>
          <w:color w:val="002060"/>
          <w:sz w:val="16"/>
          <w:szCs w:val="16"/>
        </w:rPr>
        <w:t xml:space="preserve">Мобилизация промышленности как общественное движение зародилась на состоявшемся 8–11 июня 1915 г. в Петрограде IX очередном съезде представителей промышленности и торговли. На этом съезде была вынесена по обсуждении доклада «Промышленность и война» и после смелого выступления П. П. Рябушинского резолюция, в которой русская промышленность призывалась к объединению и дружной работе для обслуживания всех нужд войны. </w:t>
      </w:r>
    </w:p>
    <w:p w14:paraId="7672D3A5" w14:textId="77777777" w:rsidR="004B4E35" w:rsidRPr="00405303" w:rsidRDefault="009E6F82" w:rsidP="00C15251">
      <w:pPr>
        <w:jc w:val="both"/>
        <w:rPr>
          <w:bCs/>
          <w:color w:val="002060"/>
          <w:sz w:val="16"/>
          <w:szCs w:val="16"/>
        </w:rPr>
      </w:pPr>
      <w:r w:rsidRPr="00405303">
        <w:rPr>
          <w:bCs/>
          <w:color w:val="002060"/>
          <w:sz w:val="16"/>
          <w:szCs w:val="16"/>
        </w:rPr>
        <w:t xml:space="preserve">Для этой цели Съезд нашел необходимым поручить всем торгово-промышленным организациям образовать районные комитеты, объединяющие местную промышленность и торговлю и имеющие задачей приспособить предприятия к изготовлению всего необходимого для армии и флота, а также согласовать для сего общую деятельность фабрик и заводов. Согласование же между собою работ отдельных районов и этих же работ с деятельностью правительственных учреждений Съезд постановил возложить на учреждаемый им в Петрограде Центральный военно-промышленный комитет, в состав которого должны были войти представители научно-технических сил, представители от отдельных торгово-промышленных организаций, от управления железных дорог и пароходств и от Всероссийских союзов земств и городов. </w:t>
      </w:r>
    </w:p>
    <w:p w14:paraId="2E2E48A5" w14:textId="77777777" w:rsidR="004B4E35" w:rsidRPr="00405303" w:rsidRDefault="009E6F82" w:rsidP="00C15251">
      <w:pPr>
        <w:jc w:val="both"/>
        <w:rPr>
          <w:bCs/>
          <w:color w:val="002060"/>
          <w:sz w:val="16"/>
          <w:szCs w:val="16"/>
        </w:rPr>
      </w:pPr>
      <w:r w:rsidRPr="00405303">
        <w:rPr>
          <w:bCs/>
          <w:color w:val="002060"/>
          <w:sz w:val="16"/>
          <w:szCs w:val="16"/>
        </w:rPr>
        <w:t xml:space="preserve">Сформировавшийся таким образом Центральный военно-промышленный комитет приступил прежде всего к выяснению перечня предметов, в которых нуждаются армия и флот, чтобы вслед затем определить программу планомерного использования производительных сил страны для изготовления этих предметов. Так как, однако, единого плана в деле снабжения не было, то на практике Комитету пришлось вырабатывать свою программу частями, по мере заказов от Военного ведомства. В течение первых же двух месяцев были образованы местные военно-промышленные комитеты в 73 городах. </w:t>
      </w:r>
    </w:p>
    <w:p w14:paraId="40A5A467" w14:textId="77777777" w:rsidR="004B4E35" w:rsidRPr="00405303" w:rsidRDefault="009E6F82" w:rsidP="00C15251">
      <w:pPr>
        <w:jc w:val="both"/>
        <w:rPr>
          <w:bCs/>
          <w:color w:val="002060"/>
          <w:sz w:val="16"/>
          <w:szCs w:val="16"/>
        </w:rPr>
      </w:pPr>
      <w:r w:rsidRPr="00405303">
        <w:rPr>
          <w:bCs/>
          <w:color w:val="002060"/>
          <w:sz w:val="16"/>
          <w:szCs w:val="16"/>
        </w:rPr>
        <w:t>Главная нужда, которую Комитет испытывал на пути к развитию своей деятельности, — это был недостаток станков, ибо как для расширения производства на старых заводах, так и для устройства новых заводов станки были необходимы, а между тем станки привозились из-за границы.</w:t>
      </w:r>
    </w:p>
    <w:p w14:paraId="2DA0E1AE" w14:textId="77777777" w:rsidR="004B4E35" w:rsidRPr="00405303" w:rsidRDefault="009E6F82" w:rsidP="00C15251">
      <w:pPr>
        <w:jc w:val="both"/>
        <w:rPr>
          <w:bCs/>
          <w:color w:val="002060"/>
          <w:sz w:val="16"/>
          <w:szCs w:val="16"/>
        </w:rPr>
      </w:pPr>
      <w:r w:rsidRPr="00405303">
        <w:rPr>
          <w:bCs/>
          <w:color w:val="002060"/>
          <w:sz w:val="16"/>
          <w:szCs w:val="16"/>
        </w:rPr>
        <w:t xml:space="preserve">Одновременно с мобилизацией крупной промышленности Военно-промышленным комитетом началась и мобилизация средней и мелкой промышленности. В этой области усилия Военно-промышленного комитета встретились с работами Всероссийских союзов земств и городов. </w:t>
      </w:r>
    </w:p>
    <w:p w14:paraId="0FFE9705"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«Привлечение общественных сил к снабжению армии и учреждение Особого совещания, — записывает в конце июля в своих воспоминаниях председатель Государственной думы М. В. Родзянко, — было с удовлетворением встречено в стране; на фронте облегченно вздохнули, и горечь последних неудач была смягчена надеждой на более светлое будущее. Возможность работать для армии, активно участвовать в подготовке ее успехов помогла переживать плохие известия с фронта, где мы продолжали отступать».</w:t>
      </w:r>
    </w:p>
    <w:p w14:paraId="34F4673F" w14:textId="77777777" w:rsidR="004B4E35" w:rsidRPr="00405303" w:rsidRDefault="009E6F82" w:rsidP="00C15251">
      <w:pPr>
        <w:jc w:val="both"/>
        <w:rPr>
          <w:bCs/>
          <w:color w:val="002060"/>
          <w:sz w:val="16"/>
          <w:szCs w:val="16"/>
        </w:rPr>
      </w:pPr>
      <w:r w:rsidRPr="00405303">
        <w:rPr>
          <w:bCs/>
          <w:color w:val="002060"/>
          <w:sz w:val="16"/>
          <w:szCs w:val="16"/>
        </w:rPr>
        <w:t xml:space="preserve">Образование Военно-промышленного комитета не встретило особого сочувствия со стороны правительства, хотя уход Сухомлинова и очистил несколько атмосферу недоброжелательства к «вмешательству общественности вдела военные», несмотря на то что новый военный министр относился весьма сочувственно к возникновению Военно-промышленного комитета и к председателю последнего А. И. Гучкову. Помощник управляющего делами Совета министров А. Н. Яхонтов издал свои подробные записи заседаний Совета министров. Вот что записано у этого автора про начало заседания Совета министров 4/17 августа, на котором рассматривался проект «Положения о Военно-промышленном комитете» и на которое был приглашен председатель Центрального военно-промышленного комитета А. И. Гучков. </w:t>
      </w:r>
    </w:p>
    <w:p w14:paraId="1F2999DB"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«Впервые со времен графа Витте в официальной части заседания присутствовало лицо «свободной профессии», с правительственной службой не связанное. Это был Александр Иванович Гучков, приглашенный на заседание по настоянию генерала Поливанова для участия в рассмотрении проекта положения о Военно-промышленном комитете. Все чувствовали себя как-то неловко, натянуто. У Гучкова был такой вид, будто он попал в стан разбойников и находится под давлением угрозы злых козней. Вернее, он напоминал застенчивого человека, явившегося в незнакомое общество с предрешенным намерением рассердиться при первом поводе и тем проявить свою самостоятельность. На делаемые по статьям проекта замечания Гучков отвечал с не вызываемой существом возражений резкостью и требовал либо одобрения положения о Комитете полностью, либо отказа в санкции этого учреждения, подчеркивая, что положение это выработано представителями общественных организаций, желающих бескорыстно послужить делу снабжения армии. В конце концов обсуждение было скомкано, и все как бы спешили отделаться от не особенно приятного свидания».</w:t>
      </w:r>
    </w:p>
    <w:p w14:paraId="1A00225B" w14:textId="77777777" w:rsidR="004B4E35" w:rsidRPr="00405303" w:rsidRDefault="009E6F82" w:rsidP="00C15251">
      <w:pPr>
        <w:jc w:val="both"/>
        <w:rPr>
          <w:bCs/>
          <w:color w:val="002060"/>
          <w:sz w:val="16"/>
          <w:szCs w:val="16"/>
        </w:rPr>
      </w:pPr>
      <w:r w:rsidRPr="00405303">
        <w:rPr>
          <w:bCs/>
          <w:color w:val="002060"/>
          <w:sz w:val="16"/>
          <w:szCs w:val="16"/>
        </w:rPr>
        <w:t xml:space="preserve">«По выходе, однако, А. И. Гучкова из комнаты заседания, — замечает другой свидетель, а именно генерал Поливанов, — И. Л. Горемыкин проворчал неодобрительно и о многочисленности состава Центрального комитета, и о-том, что там проектировано ввести 10 представителей от рабочих, и о том, что он много шумит, а сделает ли что-нибудь — это мы увидим». </w:t>
      </w:r>
    </w:p>
    <w:p w14:paraId="1232AE97" w14:textId="77777777" w:rsidR="004B4E35" w:rsidRPr="00405303" w:rsidRDefault="009E6F82" w:rsidP="00C15251">
      <w:pPr>
        <w:jc w:val="both"/>
        <w:rPr>
          <w:bCs/>
          <w:color w:val="002060"/>
          <w:sz w:val="16"/>
          <w:szCs w:val="16"/>
        </w:rPr>
      </w:pPr>
      <w:r w:rsidRPr="00405303">
        <w:rPr>
          <w:bCs/>
          <w:color w:val="002060"/>
          <w:sz w:val="16"/>
          <w:szCs w:val="16"/>
        </w:rPr>
        <w:t xml:space="preserve">Даже строгие критики нашей «общественности» все-таки вынуждены признать большую заслугу перед Родиной Военно-промышленного комитета. «Создавшийся Военно-промышленный комитет, — пишет генерал Лукомский, — имевший свои отделы во всех промышленных центрах России, давал основание считать, что с его помощью будет достигнуто полное напряжение отечественной промышленности, а армия и страна получат от внутреннего рынка все, что только Россия в состоянии дать. Действительно, надо отдать в этом отношении справедливость Военно-промышленному комитету, который, постепенно расширяя все более и более свою деятельность, объединяя фабрично-заводские предприятия и кустарные артели, а также создавая новые предприятия, принес в деле снабжения армии колоссальную помощь Военному ведомству. Можно, конечно, критиковать деятельность Военно-промышленного комитета в том отношении, что на организацию собственного аппарата он тратил очень значительные суммы; что хотя он и не поощрял, но, во всяком случае, очень слабо боролся с громадными аппетитами многих промышленников, стремившихся нажиться на казенных поставках. Обвинений в этом отношении против Военно-промышленного комитета было много, но считаю, что при существовавшей обстановке и при отсутствии правильной организации центрального органа снабжения приходил ось часто переплачивать, лишь бы скорее </w:t>
      </w:r>
      <w:r w:rsidRPr="00405303">
        <w:rPr>
          <w:bCs/>
          <w:color w:val="002060"/>
          <w:sz w:val="16"/>
          <w:szCs w:val="16"/>
        </w:rPr>
        <w:lastRenderedPageBreak/>
        <w:t xml:space="preserve">дать необходимое армии. Надо также иметь в виду, что Военно-промышленный комитет являлся не единственным заказчиком на внутреннем рынке. Кроме него, заказывали Городской и Земский союзы, и крупные заказы продолжали даваться главными довольствующими управлениями, а следовательно, Военно-промышленному комитету приходилось иметь дело уже с определившимися расценками на различные предметы снабжения». </w:t>
      </w:r>
    </w:p>
    <w:p w14:paraId="3D608CCE" w14:textId="77777777" w:rsidR="004B4E35" w:rsidRPr="00405303" w:rsidRDefault="009E6F82" w:rsidP="00C15251">
      <w:pPr>
        <w:jc w:val="both"/>
        <w:rPr>
          <w:bCs/>
          <w:color w:val="002060"/>
          <w:sz w:val="16"/>
          <w:szCs w:val="16"/>
        </w:rPr>
      </w:pPr>
      <w:r w:rsidRPr="00405303">
        <w:rPr>
          <w:bCs/>
          <w:color w:val="002060"/>
          <w:sz w:val="16"/>
          <w:szCs w:val="16"/>
        </w:rPr>
        <w:t xml:space="preserve">Упрек, который делает генерал Лукомский Военно-промышленному комитету в том, что он слабо боролся с аппетитами многих промышленников, чрезвычайно серьезен, но причины этого зла лежали глубже недр Военно-промышленного комитета. </w:t>
      </w:r>
    </w:p>
    <w:p w14:paraId="3C068C49" w14:textId="77777777" w:rsidR="004B4E35" w:rsidRPr="00405303" w:rsidRDefault="009E6F82" w:rsidP="00C15251">
      <w:pPr>
        <w:jc w:val="both"/>
        <w:rPr>
          <w:bCs/>
          <w:color w:val="002060"/>
          <w:sz w:val="16"/>
          <w:szCs w:val="16"/>
        </w:rPr>
      </w:pPr>
      <w:r w:rsidRPr="00405303">
        <w:rPr>
          <w:bCs/>
          <w:color w:val="002060"/>
          <w:sz w:val="16"/>
          <w:szCs w:val="16"/>
        </w:rPr>
        <w:t xml:space="preserve">Осуществить надлежащую организацию тыла можно было только при условии издания Закона о всеобщей промышленной военной повинности, составленного на основании тех же принципов, что и «Закон о всеобщей воинской повинности». Государство, считающее себя вправе требовать от своих граждан жертвы кровью и жизнью, конечно, имеет еще большее право требовать от своих граждан, оставшихся в тылу, жертв личным трудом и имуществом. Вопрос этот для всех государств был новый. Он требовал большой научной и социальной зрелости. Он был под силу только сильному правительству. Наша же Верховная власть хотя и боролась все время за осуществление самодержавия, но, восстановив против себя общественные круги и не сумев удержать расположение к себе народных масс, по существу дела, являлась слабой. Мы видели выше, как Совет министров трижды отклонил законопроект о милитаризации заводов, работающих на оборону. Несомненно, что он боялся рабочих. Так же точно он не смел по-настоящему бороться со злоупотреблениями промышленников. </w:t>
      </w:r>
    </w:p>
    <w:p w14:paraId="62409101" w14:textId="77777777" w:rsidR="004B4E35" w:rsidRPr="00405303" w:rsidRDefault="009E6F82" w:rsidP="00C15251">
      <w:pPr>
        <w:jc w:val="both"/>
        <w:rPr>
          <w:bCs/>
          <w:color w:val="002060"/>
          <w:sz w:val="16"/>
          <w:szCs w:val="16"/>
        </w:rPr>
      </w:pPr>
      <w:r w:rsidRPr="00405303">
        <w:rPr>
          <w:bCs/>
          <w:color w:val="002060"/>
          <w:sz w:val="16"/>
          <w:szCs w:val="16"/>
        </w:rPr>
        <w:t xml:space="preserve">Бессилие правительства </w:t>
      </w:r>
    </w:p>
    <w:p w14:paraId="6207ADF3" w14:textId="77777777" w:rsidR="004B4E35" w:rsidRPr="00405303" w:rsidRDefault="009E6F82" w:rsidP="00C15251">
      <w:pPr>
        <w:jc w:val="both"/>
        <w:rPr>
          <w:bCs/>
          <w:color w:val="002060"/>
          <w:sz w:val="16"/>
          <w:szCs w:val="16"/>
        </w:rPr>
      </w:pPr>
      <w:r w:rsidRPr="00405303">
        <w:rPr>
          <w:bCs/>
          <w:color w:val="002060"/>
          <w:sz w:val="16"/>
          <w:szCs w:val="16"/>
        </w:rPr>
        <w:t xml:space="preserve">В цитированных выше записях помощника управляющего делами Совета министров А. Н. Яхонтова, посвященных секретным заседаниям Совета министров в августе и сентябре 1915 г., ярко вырисовывается бессилие Совета министров в большинстве вопросов управления страной. Мы не будем здесь останавливаться на подробном рассмотрении причин этого бессилия. Их много, и многие из них обусловливаются событиями войны. Об этом мы будем говорить в III части нашего труда. Здесь же мы укажем на главную, которая резко сформулирована самими министрами в последних заседаниях. «Правительство не может висеть в безвоздушном пространстве и опираться на одну полицию», — говорит в заседании 8 сентября министр иностранных дел С. Д. Сазонов. </w:t>
      </w:r>
    </w:p>
    <w:p w14:paraId="5BA93445" w14:textId="77777777" w:rsidR="004B4E35" w:rsidRPr="00405303" w:rsidRDefault="009E6F82" w:rsidP="00C15251">
      <w:pPr>
        <w:jc w:val="both"/>
        <w:rPr>
          <w:bCs/>
          <w:color w:val="002060"/>
          <w:sz w:val="16"/>
          <w:szCs w:val="16"/>
        </w:rPr>
      </w:pPr>
      <w:r w:rsidRPr="00405303">
        <w:rPr>
          <w:bCs/>
          <w:color w:val="002060"/>
          <w:sz w:val="16"/>
          <w:szCs w:val="16"/>
        </w:rPr>
        <w:t xml:space="preserve">На заседании через два дня другой видный министр, а именно министр земледелия А. В. Кривошеин, развивает ту же мысль: «Что мы ни говори, что мы ни обещай, как ни заигрывай с прогрессивным блоком и общественностью — нам все равно не поверят. Ведь требования Государственной думы и всей страны сводятся к вопросу не программы, а людей, которым вверяется власть. Поэтому мне думается, что центр наших суждений должен бы заключаться в постановке принципиального вопроса об отношении Его Императорского Величества к правительству настоящего состава и к требованиям страны об исполнительной власти, облеченной общественным доверием. Пускай Монарх решит, как ему угодно направить дальнейшую внутреннюю политику, по пути ли игнорирования таких пожеланий или же по пути примирения, избрав во втором случае пользующееся общественными симпатиями лицо и возложив на него образование правительства. Без разрешения этого кардинального вопроса мы все равно с места не сдвинемся. Лично я высказываюсь за второй путь действий — избрание Государем Императором лица и поручение ему составить кабинет, отвечающий чаяниям страны». </w:t>
      </w:r>
    </w:p>
    <w:p w14:paraId="0547119D" w14:textId="77777777" w:rsidR="004B4E35" w:rsidRPr="00405303" w:rsidRDefault="009E6F82" w:rsidP="00C15251">
      <w:pPr>
        <w:jc w:val="both"/>
        <w:rPr>
          <w:bCs/>
          <w:color w:val="002060"/>
          <w:sz w:val="16"/>
          <w:szCs w:val="16"/>
        </w:rPr>
      </w:pPr>
      <w:r w:rsidRPr="00405303">
        <w:rPr>
          <w:bCs/>
          <w:color w:val="002060"/>
          <w:sz w:val="16"/>
          <w:szCs w:val="16"/>
        </w:rPr>
        <w:t xml:space="preserve">С этим заявлением А. В. Кривошеина соглашаются большинство министров. </w:t>
      </w:r>
    </w:p>
    <w:p w14:paraId="127B5FA6" w14:textId="77777777" w:rsidR="004B4E35" w:rsidRPr="00405303" w:rsidRDefault="009E6F82" w:rsidP="00C15251">
      <w:pPr>
        <w:jc w:val="both"/>
        <w:rPr>
          <w:bCs/>
          <w:color w:val="002060"/>
          <w:sz w:val="16"/>
          <w:szCs w:val="16"/>
        </w:rPr>
      </w:pPr>
      <w:r w:rsidRPr="00405303">
        <w:rPr>
          <w:bCs/>
          <w:color w:val="002060"/>
          <w:sz w:val="16"/>
          <w:szCs w:val="16"/>
        </w:rPr>
        <w:t xml:space="preserve">Государь избрал первый путь, и главный исполнительный орган, Совет министров, стал еще бессильнее. Социальный процесс изоляции правительства пошел еще быстрее. Авторитет его окончательно пал. При таких условиях правительство оказывается не только бессильным произвести какие-либо коренные органические реформы в структуре работы тыла, оно даже неспособно объединить в стройную организацию те крайние усилия, которые проявляет теперь вся страна, чтобы спасти свою армию от катастрофы. </w:t>
      </w:r>
    </w:p>
    <w:p w14:paraId="22110BD8" w14:textId="77777777" w:rsidR="004B4E35" w:rsidRPr="00405303" w:rsidRDefault="009E6F82" w:rsidP="00C15251">
      <w:pPr>
        <w:jc w:val="both"/>
        <w:rPr>
          <w:bCs/>
          <w:color w:val="002060"/>
          <w:sz w:val="16"/>
          <w:szCs w:val="16"/>
        </w:rPr>
      </w:pPr>
      <w:r w:rsidRPr="00405303">
        <w:rPr>
          <w:bCs/>
          <w:color w:val="002060"/>
          <w:sz w:val="16"/>
          <w:szCs w:val="16"/>
        </w:rPr>
        <w:t xml:space="preserve">Эта неспособность правительства увеличивается еще тем, что самый подбор министров чрезвычайно неудачен. Последнее не случайно, а является лишь одним из звеньев того социального процесса, который происходит. Выбор Верховной власти до крайности ограничен. Все лучшие элементы должны быть заподозрены в оппозиции к власти. И вот на замену уволенного 15/28 марта генерала Поливанова назначается военным министром генерал Шуваев. Председатель Государственной думы М. В. Родзянко так характеризует генерала Шуваева: «...Честный, хороший человек, но недостаточно подготовлен для такого поста в военное время; его председательствование в Особом совещании делало заседания путаными и утомительными». </w:t>
      </w:r>
    </w:p>
    <w:p w14:paraId="03001B37" w14:textId="77777777" w:rsidR="004B4E35" w:rsidRPr="00405303" w:rsidRDefault="009E6F82" w:rsidP="00C15251">
      <w:pPr>
        <w:jc w:val="both"/>
        <w:rPr>
          <w:bCs/>
          <w:color w:val="002060"/>
          <w:sz w:val="16"/>
          <w:szCs w:val="16"/>
        </w:rPr>
      </w:pPr>
      <w:r w:rsidRPr="00405303">
        <w:rPr>
          <w:bCs/>
          <w:color w:val="002060"/>
          <w:sz w:val="16"/>
          <w:szCs w:val="16"/>
        </w:rPr>
        <w:t>Гораздо строже отзывается о нем французский министр снабжения г-н Тома, присланный французским правительством для ознакомления с нуждами русского военного снабжения. На просьбу председателя Государственной думы откровенно указать наши больные места в организации снабжения французский министр ответил: «Россия должна быть чрезвычайно богата и очень уверена в своих силах, чтобы позволять себе роскошь иметь правительство, подобное вашему, где премьер-министр является бедствием, а военный министр — катастрофой».</w:t>
      </w:r>
    </w:p>
    <w:p w14:paraId="3620B3DF" w14:textId="77777777" w:rsidR="004B4E35" w:rsidRPr="00405303" w:rsidRDefault="009E6F82" w:rsidP="00C15251">
      <w:pPr>
        <w:jc w:val="both"/>
        <w:rPr>
          <w:bCs/>
          <w:color w:val="002060"/>
          <w:sz w:val="16"/>
          <w:szCs w:val="16"/>
        </w:rPr>
      </w:pPr>
      <w:r w:rsidRPr="00405303">
        <w:rPr>
          <w:bCs/>
          <w:color w:val="002060"/>
          <w:sz w:val="16"/>
          <w:szCs w:val="16"/>
        </w:rPr>
        <w:t xml:space="preserve">Отзыв г-на Тома, быть может, слишком жесток. Но несомненно, что генерал Шуваев выше уровня обыкновенного строевого генерала или рядового интенданта подняться не мог. Выбор генерала Шуваева на должность военного министра обусловливался тем, что Верховная власть рассчитывала, что он будет бороться со все более и более усиливающейся ролью общественных сил в деле снабжения армии. «После ухода Поливанова, — пишет М. В. Родзянко, — Великий князь Сергей Михайлович повел агитацию против Особого совещания и убеждал Государя вовсе упразднить его. С Шуваевым на заседаниях происходили постоянные столкновения, и казалось, будто он нарочно вызывал резкости, чтобы иметь причины для ликвидации Совещания». </w:t>
      </w:r>
    </w:p>
    <w:p w14:paraId="1FA12FE8" w14:textId="77777777" w:rsidR="004B4E35" w:rsidRPr="00405303" w:rsidRDefault="009E6F82" w:rsidP="00C15251">
      <w:pPr>
        <w:jc w:val="both"/>
        <w:rPr>
          <w:bCs/>
          <w:color w:val="002060"/>
          <w:sz w:val="16"/>
          <w:szCs w:val="16"/>
        </w:rPr>
      </w:pPr>
      <w:r w:rsidRPr="00405303">
        <w:rPr>
          <w:bCs/>
          <w:color w:val="002060"/>
          <w:sz w:val="16"/>
          <w:szCs w:val="16"/>
        </w:rPr>
        <w:t xml:space="preserve">Но генерал Шуваев не оправдал связанных с его назначением политических расчетов. </w:t>
      </w:r>
    </w:p>
    <w:p w14:paraId="05B7A31D"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«В заседании 5 ноября случилось событие, которое оставило сильное впечатление не только в Думе, но и в стране. Во время заседания в зале заседаний появились военный министр Шуваев и морской — Григорович. Они обратились к председателю, сообщив о желании сделать заявление. Когда Марков 2-й окончил свою речь, на трибуну поднялся Шуваев и, сильно волнуясь, сказал, что он как старый солдат верит в доблесть Русской армии, что армия снабжена всем необходимым благодаря единодушной поддержке народа и народного представительства. Он привел цифры увеличения поступления боевых припасов в армию со времени учреждения Особого совещания по обороне. Закончил он просьбой и впредь поддерживать его доверием».</w:t>
      </w:r>
    </w:p>
    <w:p w14:paraId="70F93C1D" w14:textId="77777777" w:rsidR="004B4E35" w:rsidRPr="00405303" w:rsidRDefault="009E6F82" w:rsidP="00C15251">
      <w:pPr>
        <w:jc w:val="both"/>
        <w:rPr>
          <w:bCs/>
          <w:color w:val="002060"/>
          <w:sz w:val="16"/>
          <w:szCs w:val="16"/>
        </w:rPr>
      </w:pPr>
      <w:r w:rsidRPr="00405303">
        <w:rPr>
          <w:bCs/>
          <w:color w:val="002060"/>
          <w:sz w:val="16"/>
          <w:szCs w:val="16"/>
        </w:rPr>
        <w:t xml:space="preserve">Вскоре после этого выступления, а именно в начале января 1917 года, генерал Шуваев был заменен на посту военного министра генералом Беляевым. Назначение последнего состоялось по выбору императрицы Александры Феодоровны как человека, вполне верного принятому курсу самодержавной политики. Генерал Беляев представлял собой тип «военного чиновника». Все свое трудолюбие и большую работоспособность он направлял по «бумажному» руслу. В армии он был очень непопулярен, ибо за ним установилась репутация человека, мертвящего всякое живое дело. За ним даже прочно установилась кличка «Мертвая голова». </w:t>
      </w:r>
    </w:p>
    <w:p w14:paraId="248427A9" w14:textId="77777777" w:rsidR="004B4E35" w:rsidRPr="00405303" w:rsidRDefault="009E6F82" w:rsidP="00C15251">
      <w:pPr>
        <w:jc w:val="both"/>
        <w:rPr>
          <w:bCs/>
          <w:color w:val="002060"/>
          <w:sz w:val="16"/>
          <w:szCs w:val="16"/>
        </w:rPr>
      </w:pPr>
      <w:r w:rsidRPr="00405303">
        <w:rPr>
          <w:bCs/>
          <w:color w:val="002060"/>
          <w:sz w:val="16"/>
          <w:szCs w:val="16"/>
        </w:rPr>
        <w:t xml:space="preserve">Отрицательного влияния на дело снабжения назначение Беляева не могло оказать, так как в начале марта вспыхнула революция. </w:t>
      </w:r>
    </w:p>
    <w:p w14:paraId="7CF2536F" w14:textId="77777777" w:rsidR="004B4E35" w:rsidRPr="00405303" w:rsidRDefault="009E6F82" w:rsidP="00C15251">
      <w:pPr>
        <w:jc w:val="both"/>
        <w:rPr>
          <w:bCs/>
          <w:color w:val="002060"/>
          <w:sz w:val="16"/>
          <w:szCs w:val="16"/>
        </w:rPr>
      </w:pPr>
      <w:r w:rsidRPr="00405303">
        <w:rPr>
          <w:bCs/>
          <w:color w:val="002060"/>
          <w:sz w:val="16"/>
          <w:szCs w:val="16"/>
        </w:rPr>
        <w:t xml:space="preserve">Революция </w:t>
      </w:r>
    </w:p>
    <w:p w14:paraId="7777CFBE" w14:textId="77777777" w:rsidR="004B4E35" w:rsidRPr="00405303" w:rsidRDefault="009E6F82" w:rsidP="00C15251">
      <w:pPr>
        <w:jc w:val="both"/>
        <w:rPr>
          <w:bCs/>
          <w:color w:val="002060"/>
          <w:sz w:val="16"/>
          <w:szCs w:val="16"/>
        </w:rPr>
      </w:pPr>
      <w:r w:rsidRPr="00405303">
        <w:rPr>
          <w:bCs/>
          <w:color w:val="002060"/>
          <w:sz w:val="16"/>
          <w:szCs w:val="16"/>
        </w:rPr>
        <w:t xml:space="preserve">В разбушевавшейся революционной стихии сразу же начала падать на заводах и промышленных предприятиях трудовая дисциплина. Технический и административный персонал, который не был изгнан рабочими, не имел возможности руководить делом. Он был терроризован рабочими. В результате — крайняя небрежность в работе и все увеличивающееся падение производительности. Московская металлообрабатывающая промышленность уже в апреле пала на 32%, производительность петроградских фабрик и заводов — на 20–40%, добыча угля и общая производительность Донецкого бассейна к 1 июля — на 30% и т.д. Расстроилась также добыча нефти на бакинских и грозненских промыслах. </w:t>
      </w:r>
    </w:p>
    <w:p w14:paraId="4A69A721" w14:textId="77777777" w:rsidR="004B4E35" w:rsidRPr="00405303" w:rsidRDefault="004B4E35" w:rsidP="00C15251">
      <w:pPr>
        <w:jc w:val="both"/>
        <w:rPr>
          <w:bCs/>
          <w:color w:val="002060"/>
          <w:sz w:val="16"/>
          <w:szCs w:val="16"/>
        </w:rPr>
      </w:pPr>
    </w:p>
    <w:p w14:paraId="37192BDA" w14:textId="7854447E" w:rsidR="00014995" w:rsidRPr="00405303" w:rsidRDefault="00014995" w:rsidP="00C15251">
      <w:pPr>
        <w:jc w:val="both"/>
        <w:rPr>
          <w:bCs/>
          <w:color w:val="002060"/>
          <w:sz w:val="16"/>
          <w:szCs w:val="16"/>
          <w:lang w:bidi="en-US"/>
        </w:rPr>
      </w:pPr>
      <w:r w:rsidRPr="00405303">
        <w:rPr>
          <w:bCs/>
          <w:color w:val="002060"/>
          <w:sz w:val="16"/>
          <w:szCs w:val="16"/>
          <w:lang w:bidi="en-US"/>
        </w:rPr>
        <w:t>12 (25) июня 1915 г. поступило сообщение о первом воздушном бою на Русском фронте между самолетом типа «Альбатрос» КуК Флик 1 и русским «Вуазен» (подразделение неизвестно) под Черновцами. Примечание</w:t>
      </w:r>
      <w:proofErr w:type="gramStart"/>
      <w:r w:rsidRPr="00405303">
        <w:rPr>
          <w:bCs/>
          <w:color w:val="002060"/>
          <w:sz w:val="16"/>
          <w:szCs w:val="16"/>
          <w:lang w:bidi="en-US"/>
        </w:rPr>
        <w:t>: Очевидно</w:t>
      </w:r>
      <w:proofErr w:type="gramEnd"/>
      <w:r w:rsidRPr="00405303">
        <w:rPr>
          <w:bCs/>
          <w:color w:val="002060"/>
          <w:sz w:val="16"/>
          <w:szCs w:val="16"/>
          <w:lang w:bidi="en-US"/>
        </w:rPr>
        <w:t>, оба самолета выработали боезапас и улетели на свои аэродромы (23525).</w:t>
      </w:r>
    </w:p>
    <w:p w14:paraId="5BB40C21" w14:textId="77777777" w:rsidR="00014995" w:rsidRPr="00405303" w:rsidRDefault="00014995" w:rsidP="00C15251">
      <w:pPr>
        <w:jc w:val="both"/>
        <w:rPr>
          <w:bCs/>
          <w:color w:val="002060"/>
          <w:sz w:val="16"/>
          <w:szCs w:val="16"/>
        </w:rPr>
      </w:pPr>
    </w:p>
    <w:p w14:paraId="0D50C2B4" w14:textId="115D1CAC" w:rsidR="00402FF2" w:rsidRPr="00405303" w:rsidRDefault="00402FF2" w:rsidP="00402FF2">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6E4A38B2" w14:textId="77777777" w:rsidR="00402FF2" w:rsidRPr="00405303" w:rsidRDefault="00402FF2" w:rsidP="00402FF2">
      <w:pPr>
        <w:pStyle w:val="a3"/>
        <w:jc w:val="both"/>
        <w:rPr>
          <w:bCs/>
          <w:color w:val="002060"/>
          <w:spacing w:val="0"/>
          <w:kern w:val="0"/>
          <w:position w:val="0"/>
          <w:sz w:val="16"/>
          <w:szCs w:val="16"/>
        </w:rPr>
      </w:pPr>
    </w:p>
    <w:p w14:paraId="27ED18DD" w14:textId="77777777" w:rsidR="00402FF2" w:rsidRPr="00405303" w:rsidRDefault="00402FF2" w:rsidP="00402FF2">
      <w:pPr>
        <w:jc w:val="both"/>
        <w:rPr>
          <w:color w:val="0070C0"/>
          <w:sz w:val="16"/>
          <w:szCs w:val="16"/>
        </w:rPr>
      </w:pPr>
      <w:r w:rsidRPr="00405303">
        <w:rPr>
          <w:rStyle w:val="aa"/>
          <w:rFonts w:ascii="Times New Roman" w:hAnsi="Times New Roman"/>
          <w:color w:val="0070C0"/>
          <w:spacing w:val="0"/>
          <w:sz w:val="16"/>
          <w:szCs w:val="16"/>
        </w:rPr>
        <w:t>12 (25) июня 1915 г. одна из наших артиллерийских батарей в районе н/п Раома уничтожила другой вражеский самолет. Германские летчики при приземлении у д. Козлово сожгли свой аппарат и бежали в лес. Были приняты меры по их поимке (25135).</w:t>
      </w:r>
    </w:p>
    <w:p w14:paraId="4DDFA004" w14:textId="77777777" w:rsidR="00402FF2" w:rsidRPr="00405303" w:rsidRDefault="00402FF2" w:rsidP="00402FF2">
      <w:pPr>
        <w:jc w:val="both"/>
        <w:rPr>
          <w:color w:val="0070C0"/>
          <w:sz w:val="16"/>
          <w:szCs w:val="16"/>
        </w:rPr>
      </w:pPr>
    </w:p>
    <w:p w14:paraId="170A891B" w14:textId="77777777" w:rsidR="00402FF2" w:rsidRPr="00405303" w:rsidRDefault="00402FF2" w:rsidP="00402FF2">
      <w:pPr>
        <w:widowControl w:val="0"/>
        <w:tabs>
          <w:tab w:val="left" w:pos="726"/>
        </w:tabs>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lastRenderedPageBreak/>
        <w:t>12 (25) июня 1915 г. утром вблизи г. Радом огнем артиллерийского расчета сбит германский аэроплан. При приземлении его экипаж сжег свой аппарат и предпринял попытку скрыться, однако вскоре был пленен.</w:t>
      </w:r>
    </w:p>
    <w:p w14:paraId="0A3A8783" w14:textId="77777777" w:rsidR="00402FF2" w:rsidRPr="00405303" w:rsidRDefault="00402FF2" w:rsidP="00402FF2">
      <w:pPr>
        <w:widowControl w:val="0"/>
        <w:tabs>
          <w:tab w:val="left" w:pos="726"/>
        </w:tabs>
        <w:jc w:val="both"/>
        <w:rPr>
          <w:rStyle w:val="aa"/>
          <w:rFonts w:ascii="Times New Roman" w:hAnsi="Times New Roman"/>
          <w:color w:val="0070C0"/>
          <w:spacing w:val="0"/>
          <w:sz w:val="16"/>
          <w:szCs w:val="16"/>
        </w:rPr>
      </w:pPr>
    </w:p>
    <w:p w14:paraId="1D91BCF7" w14:textId="7CE83408" w:rsidR="005C5013" w:rsidRPr="00405303" w:rsidRDefault="005C5013"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 и воздухоплавание Англии:</w:t>
      </w:r>
    </w:p>
    <w:p w14:paraId="7B0B0201" w14:textId="77777777" w:rsidR="005C5013" w:rsidRPr="00405303" w:rsidRDefault="005C5013" w:rsidP="00C15251">
      <w:pPr>
        <w:pStyle w:val="a3"/>
        <w:jc w:val="both"/>
        <w:rPr>
          <w:bCs/>
          <w:color w:val="002060"/>
          <w:spacing w:val="0"/>
          <w:kern w:val="0"/>
          <w:position w:val="0"/>
          <w:sz w:val="16"/>
          <w:szCs w:val="16"/>
        </w:rPr>
      </w:pPr>
    </w:p>
    <w:p w14:paraId="6D169AF7" w14:textId="77777777" w:rsidR="005C5013" w:rsidRPr="00405303" w:rsidRDefault="005C5013" w:rsidP="00C15251">
      <w:pPr>
        <w:jc w:val="both"/>
        <w:rPr>
          <w:bCs/>
          <w:color w:val="002060"/>
          <w:sz w:val="16"/>
          <w:szCs w:val="16"/>
        </w:rPr>
      </w:pPr>
      <w:r w:rsidRPr="00405303">
        <w:rPr>
          <w:bCs/>
          <w:color w:val="002060"/>
          <w:sz w:val="16"/>
          <w:szCs w:val="16"/>
        </w:rPr>
        <w:t>12 (25) июня 1915 г. был облетан упрощенный RAF S.E.4, сделанный под дешевый и доступный мотор Гном 9 мощностью 80 л. с.</w:t>
      </w:r>
    </w:p>
    <w:p w14:paraId="1743E620" w14:textId="77777777" w:rsidR="005C5013" w:rsidRPr="00405303" w:rsidRDefault="005C5013" w:rsidP="00C15251">
      <w:pPr>
        <w:jc w:val="both"/>
        <w:rPr>
          <w:bCs/>
          <w:color w:val="002060"/>
          <w:sz w:val="16"/>
          <w:szCs w:val="16"/>
        </w:rPr>
      </w:pPr>
      <w:r w:rsidRPr="00405303">
        <w:rPr>
          <w:bCs/>
          <w:color w:val="002060"/>
          <w:sz w:val="16"/>
          <w:szCs w:val="16"/>
        </w:rPr>
        <w:t>Заказали таких истребителей только три, один из них разбился в сентябре 1915 г., остальные использовались не менее года. Хотя Королевский летный корпус (RFC) остро нуждался в истребителях, попробовать их в этом качестве почему-то не рискнули и дополнительный заказ не дали, но конструктор Генри Фолланд не унывал. Как только нашлось время, он взялся за новый проект, подключив к нему своего коллегу Джона Кенворти и старшего летчика-испытателя завода майора Фрэнка Гоуддена, у которого были хорошие задатки инженера (22792).</w:t>
      </w:r>
    </w:p>
    <w:p w14:paraId="22E01EC9" w14:textId="77777777" w:rsidR="005C5013" w:rsidRPr="00405303" w:rsidRDefault="005C5013" w:rsidP="00C15251">
      <w:pPr>
        <w:jc w:val="both"/>
        <w:rPr>
          <w:bCs/>
          <w:color w:val="002060"/>
          <w:sz w:val="16"/>
          <w:szCs w:val="16"/>
        </w:rPr>
      </w:pPr>
    </w:p>
    <w:p w14:paraId="523D879C"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1D8857B9" w14:textId="77777777" w:rsidR="004B4E35" w:rsidRPr="00405303" w:rsidRDefault="004B4E35" w:rsidP="00C15251">
      <w:pPr>
        <w:pStyle w:val="a3"/>
        <w:jc w:val="both"/>
        <w:rPr>
          <w:bCs/>
          <w:color w:val="002060"/>
          <w:spacing w:val="0"/>
          <w:kern w:val="0"/>
          <w:position w:val="0"/>
          <w:sz w:val="16"/>
          <w:szCs w:val="16"/>
        </w:rPr>
      </w:pPr>
    </w:p>
    <w:p w14:paraId="129A04D7" w14:textId="34F928D6"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13 (26) июня </w:t>
      </w:r>
      <w:r w:rsidR="0068337E" w:rsidRPr="00405303">
        <w:rPr>
          <w:bCs/>
          <w:color w:val="002060"/>
          <w:sz w:val="16"/>
          <w:szCs w:val="16"/>
        </w:rPr>
        <w:t xml:space="preserve">1915 г. Командир 33 КАО штабс-капитан Иван Иванович Масальский </w:t>
      </w:r>
      <w:r w:rsidRPr="00405303">
        <w:rPr>
          <w:bCs/>
          <w:color w:val="002060"/>
          <w:sz w:val="16"/>
          <w:szCs w:val="16"/>
        </w:rPr>
        <w:t>в районе Чаржаото сбросил шесть бомб с газами и 800 стрел и гвоздей. Было и такое оружие в авиации (ЦГВИА. ф.2008, д.119, л.54$ Приказ № 2471 по 1-й армии за 8 июля 1915 г.).</w:t>
      </w:r>
    </w:p>
    <w:p w14:paraId="39B85B29" w14:textId="77777777" w:rsidR="004B4E35" w:rsidRPr="00405303" w:rsidRDefault="004B4E35" w:rsidP="00C15251">
      <w:pPr>
        <w:shd w:val="clear" w:color="auto" w:fill="FFFFFF"/>
        <w:jc w:val="both"/>
        <w:rPr>
          <w:bCs/>
          <w:color w:val="002060"/>
          <w:sz w:val="16"/>
          <w:szCs w:val="16"/>
        </w:rPr>
      </w:pPr>
    </w:p>
    <w:p w14:paraId="708E106E"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15193251" w14:textId="77777777" w:rsidR="004B4E35" w:rsidRPr="00405303" w:rsidRDefault="004B4E35" w:rsidP="00C15251">
      <w:pPr>
        <w:shd w:val="clear" w:color="auto" w:fill="FFFFFF"/>
        <w:jc w:val="both"/>
        <w:rPr>
          <w:bCs/>
          <w:i/>
          <w:color w:val="002060"/>
          <w:sz w:val="16"/>
          <w:szCs w:val="16"/>
        </w:rPr>
      </w:pPr>
    </w:p>
    <w:p w14:paraId="02AC05B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14 (27) июня 1915 Заведующий авиацией великий князь Александр Ми</w:t>
      </w:r>
      <w:r w:rsidRPr="00405303">
        <w:rPr>
          <w:bCs/>
          <w:color w:val="002060"/>
          <w:sz w:val="16"/>
          <w:szCs w:val="16"/>
        </w:rPr>
        <w:softHyphen/>
        <w:t xml:space="preserve">хайлович в докладе царю о плохом качестве русских самолетов писал; "Аппараты русского изготовления "Фарманы" и "Ньюпоры" с самого </w:t>
      </w:r>
      <w:r w:rsidRPr="00405303">
        <w:rPr>
          <w:bCs/>
          <w:color w:val="002060"/>
          <w:sz w:val="16"/>
          <w:szCs w:val="16"/>
          <w:vertAlign w:val="superscript"/>
        </w:rPr>
        <w:t xml:space="preserve">5 </w:t>
      </w:r>
      <w:r w:rsidRPr="00405303">
        <w:rPr>
          <w:bCs/>
          <w:color w:val="002060"/>
          <w:sz w:val="16"/>
          <w:szCs w:val="16"/>
        </w:rPr>
        <w:t>начала войны не соответствовали даже минимальным требованиям боевых полетов, а изготовляемые на заводе Щетинина - прямо не годилисъ; вследствие этого были летчики, предпочитавшие вместо новых щетининских - даже старые, уже износившиеся аппараты других заводов" (ЦГВИА, ф.2003,. оп.2, д.618, л.133).</w:t>
      </w:r>
    </w:p>
    <w:p w14:paraId="1C636751" w14:textId="77777777" w:rsidR="004B4E35" w:rsidRPr="00405303" w:rsidRDefault="004B4E35" w:rsidP="00C15251">
      <w:pPr>
        <w:shd w:val="clear" w:color="auto" w:fill="FFFFFF"/>
        <w:jc w:val="both"/>
        <w:rPr>
          <w:bCs/>
          <w:color w:val="002060"/>
          <w:sz w:val="16"/>
          <w:szCs w:val="16"/>
        </w:rPr>
      </w:pPr>
    </w:p>
    <w:p w14:paraId="2C7F4640"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Другие оборонные отрасли:</w:t>
      </w:r>
    </w:p>
    <w:p w14:paraId="29B6DC18" w14:textId="77777777" w:rsidR="004B4E35" w:rsidRPr="00405303" w:rsidRDefault="004B4E35" w:rsidP="00C15251">
      <w:pPr>
        <w:pStyle w:val="a3"/>
        <w:jc w:val="both"/>
        <w:rPr>
          <w:bCs/>
          <w:color w:val="002060"/>
          <w:spacing w:val="0"/>
          <w:kern w:val="0"/>
          <w:position w:val="0"/>
          <w:sz w:val="16"/>
          <w:szCs w:val="16"/>
        </w:rPr>
      </w:pPr>
    </w:p>
    <w:p w14:paraId="05E269D8" w14:textId="7FAB7AC2" w:rsidR="004B4E35" w:rsidRPr="00405303" w:rsidRDefault="009E6F82" w:rsidP="00C15251">
      <w:pPr>
        <w:jc w:val="both"/>
        <w:rPr>
          <w:bCs/>
          <w:color w:val="002060"/>
          <w:sz w:val="16"/>
          <w:szCs w:val="16"/>
        </w:rPr>
      </w:pPr>
      <w:r w:rsidRPr="00405303">
        <w:rPr>
          <w:bCs/>
          <w:color w:val="002060"/>
          <w:sz w:val="16"/>
          <w:szCs w:val="16"/>
        </w:rPr>
        <w:t xml:space="preserve">14 </w:t>
      </w:r>
      <w:r w:rsidR="0068337E" w:rsidRPr="00405303">
        <w:rPr>
          <w:bCs/>
          <w:color w:val="002060"/>
          <w:sz w:val="16"/>
          <w:szCs w:val="16"/>
        </w:rPr>
        <w:t xml:space="preserve">(27) </w:t>
      </w:r>
      <w:r w:rsidRPr="00405303">
        <w:rPr>
          <w:bCs/>
          <w:color w:val="002060"/>
          <w:sz w:val="16"/>
          <w:szCs w:val="16"/>
        </w:rPr>
        <w:t>июня 1915</w:t>
      </w:r>
      <w:r w:rsidR="0068337E" w:rsidRPr="00405303">
        <w:rPr>
          <w:bCs/>
          <w:color w:val="002060"/>
          <w:sz w:val="16"/>
          <w:szCs w:val="16"/>
        </w:rPr>
        <w:t xml:space="preserve"> </w:t>
      </w:r>
      <w:r w:rsidRPr="00405303">
        <w:rPr>
          <w:bCs/>
          <w:color w:val="002060"/>
          <w:sz w:val="16"/>
          <w:szCs w:val="16"/>
        </w:rPr>
        <w:t xml:space="preserve">г. бронеавтомобиль </w:t>
      </w:r>
      <w:r w:rsidR="0068337E" w:rsidRPr="00405303">
        <w:rPr>
          <w:bCs/>
          <w:color w:val="002060"/>
          <w:sz w:val="16"/>
          <w:szCs w:val="16"/>
        </w:rPr>
        <w:t xml:space="preserve">«Форд», который Пороховщиков забронировал в Риге, </w:t>
      </w:r>
      <w:r w:rsidRPr="00405303">
        <w:rPr>
          <w:bCs/>
          <w:color w:val="002060"/>
          <w:sz w:val="16"/>
          <w:szCs w:val="16"/>
        </w:rPr>
        <w:t xml:space="preserve">был представлен комиссии во главе с полковником Поклевским-Козелло и обстрелян с расстояния 50 м из германской и австрийской винтовок, револьвера «Наган» и пистолета «Браунинг». Комиссия отметила отсутствие сквозного пробития и то, что при бронировании не пришлось усиливать рессоры автомобиля. </w:t>
      </w:r>
      <w:r w:rsidR="0068337E" w:rsidRPr="00405303">
        <w:rPr>
          <w:bCs/>
          <w:color w:val="002060"/>
          <w:sz w:val="16"/>
          <w:szCs w:val="16"/>
        </w:rPr>
        <w:t xml:space="preserve">Бронекорпус имел форму вытянутого пятиугольника с «откидным забралом» и обращенной назад вершиной. Броня прикрывала экипаж из шофера, наблюдателя и сидящего сзади пулеметчика, а также двигатель, коробку передач и тяги управления. </w:t>
      </w:r>
      <w:r w:rsidRPr="00405303">
        <w:rPr>
          <w:bCs/>
          <w:color w:val="002060"/>
          <w:sz w:val="16"/>
          <w:szCs w:val="16"/>
        </w:rPr>
        <w:t xml:space="preserve">31 января 1916 г. Пороховщиков представляет «Железную Броню» Автомобильно-авиационному отделу Центрального Военно-промышленного Комитета для «бронировки автомобилей и поездов». Он предлагает немедленно заказать его мастерской бронировку нескольких автомобилей, дабы они «могли принять участие в предстоящей весенней кампании». </w:t>
      </w:r>
    </w:p>
    <w:p w14:paraId="5A032B2E" w14:textId="77777777" w:rsidR="004B4E35" w:rsidRPr="00405303" w:rsidRDefault="009E6F82" w:rsidP="00C15251">
      <w:pPr>
        <w:jc w:val="both"/>
        <w:rPr>
          <w:bCs/>
          <w:color w:val="002060"/>
          <w:sz w:val="16"/>
          <w:szCs w:val="16"/>
        </w:rPr>
      </w:pPr>
      <w:r w:rsidRPr="00405303">
        <w:rPr>
          <w:bCs/>
          <w:color w:val="002060"/>
          <w:sz w:val="16"/>
          <w:szCs w:val="16"/>
        </w:rPr>
        <w:t>На сообщения о первых успехах английских танков Пороховщиков отреагировал и практически — 19 января 1917 г. он представил в ГВТУ проект и модель «Вездехода №2». Это уже действительно было нечто подобное танку с экипажем в 4 человека и «броневой рубкой». Последняя состояла из трех независимо вращающихся поясов с пулеметом «Максим» в каждом. Еще один «Максим» крепился в лобовом листе корпуса. Идея движителя осталась прежней, добавились только колеса на концах заднего барабана (11745).</w:t>
      </w:r>
    </w:p>
    <w:p w14:paraId="469C67E4" w14:textId="77777777" w:rsidR="004B4E35" w:rsidRPr="00405303" w:rsidRDefault="004B4E35" w:rsidP="00C15251">
      <w:pPr>
        <w:jc w:val="both"/>
        <w:rPr>
          <w:bCs/>
          <w:color w:val="002060"/>
          <w:sz w:val="16"/>
          <w:szCs w:val="16"/>
        </w:rPr>
      </w:pPr>
    </w:p>
    <w:p w14:paraId="275BFA3F" w14:textId="77777777" w:rsidR="00F53928" w:rsidRPr="00405303" w:rsidRDefault="00F53928" w:rsidP="00C15251">
      <w:pPr>
        <w:shd w:val="clear" w:color="auto" w:fill="FFFFFF"/>
        <w:jc w:val="both"/>
        <w:rPr>
          <w:bCs/>
          <w:color w:val="002060"/>
          <w:sz w:val="16"/>
          <w:szCs w:val="16"/>
        </w:rPr>
      </w:pPr>
      <w:r w:rsidRPr="00405303">
        <w:rPr>
          <w:bCs/>
          <w:color w:val="002060"/>
          <w:sz w:val="16"/>
          <w:szCs w:val="16"/>
        </w:rPr>
        <w:t>14 (27) июня 1915г. легкий бронеавтомобиль Пороховщикова был представлен комиссии во главе с полковником Поклевским-Козелло и обстрелян с расстояния 50 м из германской и австрийской винтовок, револьвера «Наган» и пистолета «Браунинг». Не было зафиксировано ни одного сквозного пробивания. Особо комиссия отметила, что при бронировании не пришлось усиливать рессоры автомобиля, хотя о ходовых испытаниях не сообщалось. 11 октября на стрельбище для войск гвардии был обстрелян другой образец «железной брони», состоящий уже из трех листов железа толщиной 4, 2 и 4 мм с прокладками между ними. С 50 м из трехлинейной винтовки было выпущено три остроконечные пули. Все три пробили два железных листа, в третьем зафиксированы «значительные вдавливания без трещин». 15 октября эти результаты вместе с заявлением Пороховщикова были рассмотрены Техническим Комитетом ГВТУ в Журнале № 995. Управляющий делами Комитета генерал-майор Свидзинский указал, что броня Пороховщикова при толщине 10 мм (без прокладок) не превосходит применяемую на бронеавтомобилях 5- мм броню, но «представляет больший объем» и вес. «Железная броня» была признана неприемлемой, прошение Пороховщикова о заказе ему бронировки автомобилей отклонено. В виде опыта предложено было испытать такую же броню, но с прокладками из войлока. 10 декабря такой образец был обстрелян, причем оказалось, что замена экзотической морской травы обычным войлоком ничуть не ухудшила качеств изобретения Пороховщикова (20250).</w:t>
      </w:r>
    </w:p>
    <w:p w14:paraId="0E9BFEAF" w14:textId="77777777" w:rsidR="00F53928" w:rsidRPr="00405303" w:rsidRDefault="00F53928" w:rsidP="00C15251">
      <w:pPr>
        <w:shd w:val="clear" w:color="auto" w:fill="FFFFFF"/>
        <w:jc w:val="both"/>
        <w:rPr>
          <w:bCs/>
          <w:color w:val="002060"/>
          <w:sz w:val="16"/>
          <w:szCs w:val="16"/>
        </w:rPr>
      </w:pPr>
    </w:p>
    <w:p w14:paraId="72FEA8C8" w14:textId="3E9F2FD2" w:rsidR="00014995" w:rsidRPr="00405303" w:rsidRDefault="00014995" w:rsidP="00C15251">
      <w:pPr>
        <w:pStyle w:val="a3"/>
        <w:jc w:val="both"/>
        <w:rPr>
          <w:bCs/>
          <w:color w:val="002060"/>
          <w:spacing w:val="0"/>
          <w:kern w:val="0"/>
          <w:position w:val="0"/>
          <w:sz w:val="16"/>
          <w:szCs w:val="16"/>
        </w:rPr>
      </w:pPr>
      <w:r w:rsidRPr="00405303">
        <w:rPr>
          <w:bCs/>
          <w:color w:val="002060"/>
          <w:spacing w:val="0"/>
          <w:kern w:val="0"/>
          <w:position w:val="0"/>
          <w:sz w:val="16"/>
          <w:szCs w:val="16"/>
        </w:rPr>
        <w:t>Армия:</w:t>
      </w:r>
    </w:p>
    <w:p w14:paraId="7E23AEA2" w14:textId="77777777" w:rsidR="00014995" w:rsidRPr="00405303" w:rsidRDefault="00014995" w:rsidP="00C15251">
      <w:pPr>
        <w:pStyle w:val="a3"/>
        <w:jc w:val="both"/>
        <w:rPr>
          <w:bCs/>
          <w:color w:val="002060"/>
          <w:spacing w:val="0"/>
          <w:kern w:val="0"/>
          <w:position w:val="0"/>
          <w:sz w:val="16"/>
          <w:szCs w:val="16"/>
        </w:rPr>
      </w:pPr>
    </w:p>
    <w:p w14:paraId="39EF83E0" w14:textId="78EC091A" w:rsidR="00014995" w:rsidRPr="00405303" w:rsidRDefault="00014995" w:rsidP="00C15251">
      <w:pPr>
        <w:jc w:val="both"/>
        <w:rPr>
          <w:bCs/>
          <w:color w:val="002060"/>
          <w:sz w:val="16"/>
          <w:szCs w:val="16"/>
          <w:lang w:bidi="en-US"/>
        </w:rPr>
      </w:pPr>
      <w:r w:rsidRPr="00405303">
        <w:rPr>
          <w:bCs/>
          <w:color w:val="002060"/>
          <w:sz w:val="16"/>
          <w:szCs w:val="16"/>
          <w:lang w:bidi="en-US"/>
        </w:rPr>
        <w:t>14 (27) июня 1915 г. немецкие войска Юго-Западного фронта захватили Галич. Русские отступали от Днестра на рубеж Гнила-Липа. К 3 июля они были вынуждены отступить к Злотой Липе. Русская армия постоянно сталкивалась с крайне неадекватной железнодорожной системой, что вызывало задержки в решающей переброске сил и создавало серьезные и постоянные проблемы со снабжением (23525).</w:t>
      </w:r>
    </w:p>
    <w:p w14:paraId="34A2E824" w14:textId="77777777" w:rsidR="00014995" w:rsidRPr="00405303" w:rsidRDefault="00014995" w:rsidP="00C15251">
      <w:pPr>
        <w:jc w:val="both"/>
        <w:rPr>
          <w:bCs/>
          <w:color w:val="002060"/>
          <w:sz w:val="16"/>
          <w:szCs w:val="16"/>
        </w:rPr>
      </w:pPr>
    </w:p>
    <w:p w14:paraId="794A6A0B" w14:textId="2E9DFDF0"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36D32E7E" w14:textId="77777777" w:rsidR="004B4E35" w:rsidRPr="00405303" w:rsidRDefault="004B4E35" w:rsidP="00C15251">
      <w:pPr>
        <w:pStyle w:val="a3"/>
        <w:jc w:val="both"/>
        <w:rPr>
          <w:bCs/>
          <w:color w:val="002060"/>
          <w:spacing w:val="0"/>
          <w:kern w:val="0"/>
          <w:position w:val="0"/>
          <w:sz w:val="16"/>
          <w:szCs w:val="16"/>
        </w:rPr>
      </w:pPr>
    </w:p>
    <w:p w14:paraId="5EAB736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14 (27) июня 1915 Воздушный корабль "Илья Муромец Киевский" под управлением летчика И.С.Башко, при артиллерийском офицере А.А.Наумове, бомбил станцию Пржеворск, где было большое скопление поездов. Прямым попаданием был взорван эшелон </w:t>
      </w:r>
      <w:proofErr w:type="gramStart"/>
      <w:r w:rsidRPr="00405303">
        <w:rPr>
          <w:bCs/>
          <w:color w:val="002060"/>
          <w:sz w:val="16"/>
          <w:szCs w:val="16"/>
        </w:rPr>
        <w:t>со .снарядами</w:t>
      </w:r>
      <w:proofErr w:type="gramEnd"/>
      <w:r w:rsidRPr="00405303">
        <w:rPr>
          <w:bCs/>
          <w:color w:val="002060"/>
          <w:sz w:val="16"/>
          <w:szCs w:val="16"/>
        </w:rPr>
        <w:t>, подожжены и другие, в результате чего противник потерял 30 тысяч артиллерийских снарядов, а станция была закупорена обломками на сутки. Эта бомбардировка была самой удачной за всю войну. I •Она была произведена штабс-капитаном Наумовым - специалистом своего дела, работавшим над теорией и практикой бомбометания ("Утро России". 1915 г., 22 июня; сводка военных действий за 15 июня 1915 г.).</w:t>
      </w:r>
    </w:p>
    <w:p w14:paraId="7277629A" w14:textId="77777777" w:rsidR="004B4E35" w:rsidRPr="00405303" w:rsidRDefault="004B4E35" w:rsidP="00C15251">
      <w:pPr>
        <w:shd w:val="clear" w:color="auto" w:fill="FFFFFF"/>
        <w:jc w:val="both"/>
        <w:rPr>
          <w:bCs/>
          <w:color w:val="002060"/>
          <w:sz w:val="16"/>
          <w:szCs w:val="16"/>
        </w:rPr>
      </w:pPr>
    </w:p>
    <w:p w14:paraId="1F494D4C" w14:textId="77777777" w:rsidR="003134AF" w:rsidRPr="00405303" w:rsidRDefault="003134AF" w:rsidP="00C15251">
      <w:pPr>
        <w:jc w:val="both"/>
        <w:rPr>
          <w:bCs/>
          <w:color w:val="002060"/>
          <w:sz w:val="16"/>
          <w:szCs w:val="16"/>
        </w:rPr>
      </w:pPr>
      <w:r w:rsidRPr="00405303">
        <w:rPr>
          <w:bCs/>
          <w:color w:val="002060"/>
          <w:sz w:val="16"/>
          <w:szCs w:val="16"/>
        </w:rPr>
        <w:t>14 (27) июня 1915 г. воздушный корабль «Илья Муромец киевский" под управлением летчика И.С.Башко, при артиллерийском офицере А.А.Наумове, бомбил ст. Пржеворск, где находилось большое скопление поездов. Прямым по</w:t>
      </w:r>
      <w:r w:rsidRPr="00405303">
        <w:rPr>
          <w:bCs/>
          <w:color w:val="002060"/>
          <w:sz w:val="16"/>
          <w:szCs w:val="16"/>
        </w:rPr>
        <w:softHyphen/>
        <w:t>паданием был взорван эшелон со снарядами, подожжены и другие, в ре</w:t>
      </w:r>
      <w:r w:rsidRPr="00405303">
        <w:rPr>
          <w:bCs/>
          <w:color w:val="002060"/>
          <w:sz w:val="16"/>
          <w:szCs w:val="16"/>
        </w:rPr>
        <w:softHyphen/>
        <w:t>зультате чего противник потерял 30 тысяч артиллерийских снарядов, а станция была закупорена обломками почти на сутки. Эта бомбарди</w:t>
      </w:r>
      <w:r w:rsidRPr="00405303">
        <w:rPr>
          <w:bCs/>
          <w:color w:val="002060"/>
          <w:sz w:val="16"/>
          <w:szCs w:val="16"/>
        </w:rPr>
        <w:softHyphen/>
        <w:t>ровка была самой удачной за всю войну. Она была произведена шт.- капитаном Наумовым - специалистам своего дела, работавшим над те</w:t>
      </w:r>
      <w:r w:rsidRPr="00405303">
        <w:rPr>
          <w:bCs/>
          <w:color w:val="002060"/>
          <w:sz w:val="16"/>
          <w:szCs w:val="16"/>
        </w:rPr>
        <w:softHyphen/>
        <w:t>орией и практикой бомбометания. '</w:t>
      </w:r>
    </w:p>
    <w:p w14:paraId="5A270E5C" w14:textId="77777777" w:rsidR="003134AF" w:rsidRPr="00405303" w:rsidRDefault="003134AF"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Утро России» за 22 июня 1915; сводка военных действий за 15.6.15/ (23320).</w:t>
      </w:r>
    </w:p>
    <w:p w14:paraId="275ED0A4" w14:textId="77777777" w:rsidR="003134AF" w:rsidRPr="00405303" w:rsidRDefault="003134AF" w:rsidP="00C15251">
      <w:pPr>
        <w:jc w:val="both"/>
        <w:rPr>
          <w:bCs/>
          <w:color w:val="002060"/>
          <w:sz w:val="16"/>
          <w:szCs w:val="16"/>
        </w:rPr>
      </w:pPr>
    </w:p>
    <w:p w14:paraId="690E9784" w14:textId="772CF694" w:rsidR="004B4E35" w:rsidRPr="00405303" w:rsidRDefault="009E6F82" w:rsidP="00C15251">
      <w:pPr>
        <w:jc w:val="both"/>
        <w:rPr>
          <w:bCs/>
          <w:color w:val="002060"/>
          <w:sz w:val="16"/>
          <w:szCs w:val="16"/>
        </w:rPr>
      </w:pPr>
      <w:r w:rsidRPr="00405303">
        <w:rPr>
          <w:bCs/>
          <w:color w:val="002060"/>
          <w:sz w:val="16"/>
          <w:szCs w:val="16"/>
        </w:rPr>
        <w:t xml:space="preserve">14 (27) июня 1915 г. </w:t>
      </w:r>
      <w:r w:rsidR="0068337E" w:rsidRPr="00405303">
        <w:rPr>
          <w:bCs/>
          <w:color w:val="002060"/>
          <w:sz w:val="16"/>
          <w:szCs w:val="16"/>
        </w:rPr>
        <w:t xml:space="preserve">состоялась бомбежка </w:t>
      </w:r>
      <w:r w:rsidR="008B1C92" w:rsidRPr="00405303">
        <w:rPr>
          <w:bCs/>
          <w:color w:val="002060"/>
          <w:sz w:val="16"/>
          <w:szCs w:val="16"/>
        </w:rPr>
        <w:t xml:space="preserve">ИМ </w:t>
      </w:r>
      <w:r w:rsidRPr="00405303">
        <w:rPr>
          <w:bCs/>
          <w:color w:val="002060"/>
          <w:sz w:val="16"/>
          <w:szCs w:val="16"/>
        </w:rPr>
        <w:t xml:space="preserve">станции Пржеворск. Командир корабля И. С. Башко точно вышел на цель, когда на станции стояло шесть составов. Было сделано три захода и сброшено пять бомб (три по два пуда и две пудовки). Бомбы точно накрыли цель, которая оказалась непростой. Один из составов был с артиллерийскими снарядами. Через несколько дней разведка донесла, что на станции уничтожено более 30 тыс. артиллерийских снарядов, несколько тонн взрывчатых </w:t>
      </w:r>
      <w:r w:rsidRPr="00405303">
        <w:rPr>
          <w:bCs/>
          <w:color w:val="002060"/>
          <w:sz w:val="16"/>
          <w:szCs w:val="16"/>
        </w:rPr>
        <w:lastRenderedPageBreak/>
        <w:t>веществ и большое количество патронов. Пожар продолжался два дня. Сгорело более 50 вагонов. Сама станция была надолго выведена из строя. Теперь немцы стали лихорадочно усиливать противовоздушную оборону, в том числе истребительную авиацию. С Западного фронта прибыло несколько отрядов самолетов "Фоккер" и "Бранденбург". Это были двухместные истребители с максимальной горизонтальной скоростью до 180 км/ч (11230).</w:t>
      </w:r>
    </w:p>
    <w:p w14:paraId="6FD7A09B" w14:textId="77777777" w:rsidR="004B4E35" w:rsidRPr="00405303" w:rsidRDefault="009E6F82" w:rsidP="00C15251">
      <w:pPr>
        <w:jc w:val="both"/>
        <w:rPr>
          <w:bCs/>
          <w:color w:val="002060"/>
          <w:sz w:val="16"/>
          <w:szCs w:val="16"/>
        </w:rPr>
      </w:pPr>
      <w:r w:rsidRPr="00405303">
        <w:rPr>
          <w:bCs/>
          <w:color w:val="002060"/>
          <w:sz w:val="16"/>
          <w:szCs w:val="16"/>
        </w:rPr>
        <w:t>Летчик-наблюдатель имел автоматическую винтовку или пулемет без синхронизатора. Вести огонь можно было только с бортов или вверх. Первым повстречался с истребителями экипаж того же Башко. Это случилось б июля 1915г. Был обычный полет на бомбежку продолжительностью 4 ч. Маршрут Владава - река Буг - дер. Гробовец - Янув - Белжеп - Шеб-ржешув - Красностав - Холм - Владава. Около деревни Гостынное заметили три батареи, которые нанесли на карту. К северо-западу от Явува увидели аэродром с "противоаэропланной батареей". На аэродром сбросили пять пудовых бомб, четыре из них разорвались среди палаток. На станции Любыч стояло три состава по 50 вагонов каждый. Туда полетели пять пудовых бомб. У станции Велжец заметили обоз из 400 повозок, сбросили серию из пяти двадцатифунтовых бомб. От последних двенадцати зажигательных освободились уже на обратном пути под Шебржешувом, когда до линии фронта оставалось 40 км. Здесь, на высоте 3,5 тыс. м корабль и был атакован истребителями "Бранденбург". Первого заметили в нижний люк, когда тот старался подойти к кораблю поближе незамеченным. За штурвалом сидел Смирнов. Башко немедленно сменил своего помощника. Все встали по своим местам. Артиллерийский офицер Наумов прильнул к "Мадсену" у левой двери. Истребитель, имея запас скорости, проскочил сбоку вверх и дал очередь из пулемета по левому борту "Муромца". Посыпались осколки стекол, щепки, вскрикнул командир. Он был ранен в голову и ногу, но оставался на месте. Истребитель заходил для повторной атаки. Тут моторист доложил - пробиты оба верхних бензобака, оба бензопровода левой группы моторов и фильтр правой группы. Он сразу перекрыл краники и зажал рукой пробоину в фильтре, из которой хлестал бензин. Теперь работали только правые двигатели. Командир, превозмогая боль, старался удержать корабль на курсе. Самолет разворачивало влево, и раненой ногой нужно было давить на правую педаль. Тем временем истребитель, имея превышение, изготовился для атаки. Пикирование, потом горка. Наумов выждал и на какую-то долю секунды опередив немецкого летчика, первым открыл огонь. Истребитель как будто вздрогнул и с плавным отворотом влево пошел на снижение. В короткой передышке Смирнов сменил командира. Моторист Лавров быстро сделал перевязку Башко, тот снова сел за штурвал. Лавров же опять бросился к пробитому фильтру. Так они со Смирновым по очереди зажимали пробоину - на высоте было прохладно и испаряющийся бензин сильно охлаждал руки. Их просто ломило от холода. Тем временем второй истребитель заходил для атаки. Наумов видел это, но ничего не мог поделать. При последней очереди пулемет замолк - перекос патрона. Теперь оставался только карабин Смирнова. Сам Смирнов стоял у фильтра, Лавров уже не мог. Он отморозил обе кисти рук. Второй истребитель прошел опять по левому борту "Муромца". Очередь пробила только маслобак двигателя уже недействующей группы. На вторую атаку немец не отважился. При подходе к линии фронта корабль был обстрелян с большого удаления третьим истребителем. Но эта атака оказалась неэффективной. Высота в этот момент уже составляла полторы тысячи метров. Корабль неумолимо снижался. При подходе к Холму на высоте 700 м остановились и правые двигатели. Командир, несмотря на ранение, удачно посадил тоже израненную машину на болотистом лугу возле аэродрома 24-го истребительного отряда около деревни Городище в пяти верстах от города Холм. При осмотре было выявлено много пробоин, и казалась невероятной такая живучесть самолета. Предсказания о "летающей мишени" не сбылись (11230).</w:t>
      </w:r>
    </w:p>
    <w:p w14:paraId="3E394B9A" w14:textId="77777777" w:rsidR="004B4E35" w:rsidRPr="00405303" w:rsidRDefault="009E6F82" w:rsidP="00C15251">
      <w:pPr>
        <w:jc w:val="both"/>
        <w:rPr>
          <w:bCs/>
          <w:color w:val="002060"/>
          <w:sz w:val="16"/>
          <w:szCs w:val="16"/>
        </w:rPr>
      </w:pPr>
      <w:r w:rsidRPr="00405303">
        <w:rPr>
          <w:bCs/>
          <w:color w:val="002060"/>
          <w:sz w:val="16"/>
          <w:szCs w:val="16"/>
        </w:rPr>
        <w:t>Молва об этом бое уже катилась по авиаотрядам. Командование по достоинству оценило мужество летных бойцов, и весь экипаж был примерно награжден. В приказе особо отмечались самоотверженные действия прапорщика Лаврова (11230).</w:t>
      </w:r>
    </w:p>
    <w:p w14:paraId="37161F00" w14:textId="77777777" w:rsidR="004B4E35" w:rsidRPr="00405303" w:rsidRDefault="004B4E35" w:rsidP="00C15251">
      <w:pPr>
        <w:jc w:val="both"/>
        <w:rPr>
          <w:bCs/>
          <w:color w:val="002060"/>
          <w:sz w:val="16"/>
          <w:szCs w:val="16"/>
        </w:rPr>
      </w:pPr>
    </w:p>
    <w:p w14:paraId="66B0047C" w14:textId="4D3F2EDF" w:rsidR="004B4E35" w:rsidRPr="00405303" w:rsidRDefault="009E6F82" w:rsidP="00C15251">
      <w:pPr>
        <w:jc w:val="both"/>
        <w:rPr>
          <w:bCs/>
          <w:color w:val="002060"/>
          <w:sz w:val="16"/>
          <w:szCs w:val="16"/>
        </w:rPr>
      </w:pPr>
      <w:bookmarkStart w:id="167" w:name="_Hlk117669373"/>
      <w:r w:rsidRPr="00405303">
        <w:rPr>
          <w:bCs/>
          <w:color w:val="002060"/>
          <w:sz w:val="16"/>
          <w:szCs w:val="16"/>
        </w:rPr>
        <w:t xml:space="preserve">14 </w:t>
      </w:r>
      <w:r w:rsidR="008B1C92" w:rsidRPr="00405303">
        <w:rPr>
          <w:bCs/>
          <w:color w:val="002060"/>
          <w:sz w:val="16"/>
          <w:szCs w:val="16"/>
        </w:rPr>
        <w:t xml:space="preserve">(27) </w:t>
      </w:r>
      <w:r w:rsidRPr="00405303">
        <w:rPr>
          <w:bCs/>
          <w:color w:val="002060"/>
          <w:sz w:val="16"/>
          <w:szCs w:val="16"/>
        </w:rPr>
        <w:t xml:space="preserve">июня </w:t>
      </w:r>
      <w:r w:rsidR="008B1C92" w:rsidRPr="00405303">
        <w:rPr>
          <w:bCs/>
          <w:color w:val="002060"/>
          <w:sz w:val="16"/>
          <w:szCs w:val="16"/>
        </w:rPr>
        <w:t xml:space="preserve">1915 г. </w:t>
      </w:r>
      <w:r w:rsidRPr="00405303">
        <w:rPr>
          <w:bCs/>
          <w:color w:val="002060"/>
          <w:sz w:val="16"/>
          <w:szCs w:val="16"/>
        </w:rPr>
        <w:t>"</w:t>
      </w:r>
      <w:r w:rsidR="008B1C92" w:rsidRPr="00405303">
        <w:rPr>
          <w:bCs/>
          <w:color w:val="002060"/>
          <w:sz w:val="16"/>
          <w:szCs w:val="16"/>
        </w:rPr>
        <w:t xml:space="preserve">ИМ </w:t>
      </w:r>
      <w:r w:rsidRPr="00405303">
        <w:rPr>
          <w:bCs/>
          <w:color w:val="002060"/>
          <w:sz w:val="16"/>
          <w:szCs w:val="16"/>
        </w:rPr>
        <w:t xml:space="preserve">Киевский" совершил удачный налет на станцию Пржеворск, где метким попаданием пудовой бомбы уничтожил состав с боеприпасами (30.000 снарядов!). </w:t>
      </w:r>
    </w:p>
    <w:p w14:paraId="09A8FFD0" w14:textId="77777777" w:rsidR="004B4E35" w:rsidRPr="00405303" w:rsidRDefault="009E6F82" w:rsidP="00C15251">
      <w:pPr>
        <w:jc w:val="both"/>
        <w:rPr>
          <w:bCs/>
          <w:color w:val="002060"/>
          <w:sz w:val="16"/>
          <w:szCs w:val="16"/>
        </w:rPr>
      </w:pPr>
      <w:r w:rsidRPr="00405303">
        <w:rPr>
          <w:bCs/>
          <w:color w:val="002060"/>
          <w:sz w:val="16"/>
          <w:szCs w:val="16"/>
        </w:rPr>
        <w:t>Тем временем в Яблонну стали прибывать "Муромцы" типа В с английскими моторами "Санбим". После сборки и испытаний новые корабли (1-й, Н-й и V-й) в начале июля выполнили по 2 боевых задания. Обычно в полет члены экипажа брали один карабин, одно ружье- пулемет Мадсена с 250 патронами и 12-15 пудов бомб. Встреч с немецкими аэропланами практически не было, и потому на борт предпочитали брать больше бомб и горючего, нежели пулеметов, что чуть не привело к потере корабля. Надо отметить, что "Киевский" иногда "таскал" с собой 2 пулемета (Мадсен с Льюисом или Максимом). О первом воздушном бое стоит рассказать поподробнее (12038).</w:t>
      </w:r>
    </w:p>
    <w:p w14:paraId="336A7E38" w14:textId="77777777" w:rsidR="004B4E35" w:rsidRPr="00405303" w:rsidRDefault="004B4E35" w:rsidP="00C15251">
      <w:pPr>
        <w:jc w:val="both"/>
        <w:rPr>
          <w:bCs/>
          <w:color w:val="002060"/>
          <w:sz w:val="16"/>
          <w:szCs w:val="16"/>
        </w:rPr>
      </w:pPr>
    </w:p>
    <w:bookmarkEnd w:id="167"/>
    <w:p w14:paraId="1778F1E7" w14:textId="2AC5AAB2" w:rsidR="004B4E35" w:rsidRPr="00405303" w:rsidRDefault="009E6F82" w:rsidP="00C15251">
      <w:pPr>
        <w:jc w:val="both"/>
        <w:rPr>
          <w:bCs/>
          <w:color w:val="002060"/>
          <w:sz w:val="16"/>
          <w:szCs w:val="16"/>
        </w:rPr>
      </w:pPr>
      <w:r w:rsidRPr="00405303">
        <w:rPr>
          <w:bCs/>
          <w:color w:val="002060"/>
          <w:sz w:val="16"/>
          <w:szCs w:val="16"/>
        </w:rPr>
        <w:t xml:space="preserve">14 </w:t>
      </w:r>
      <w:r w:rsidR="008B1C92" w:rsidRPr="00405303">
        <w:rPr>
          <w:bCs/>
          <w:color w:val="002060"/>
          <w:sz w:val="16"/>
          <w:szCs w:val="16"/>
        </w:rPr>
        <w:t xml:space="preserve">(27) </w:t>
      </w:r>
      <w:r w:rsidRPr="00405303">
        <w:rPr>
          <w:bCs/>
          <w:color w:val="002060"/>
          <w:sz w:val="16"/>
          <w:szCs w:val="16"/>
        </w:rPr>
        <w:t xml:space="preserve">июня </w:t>
      </w:r>
      <w:r w:rsidR="008B1C92" w:rsidRPr="00405303">
        <w:rPr>
          <w:bCs/>
          <w:color w:val="002060"/>
          <w:sz w:val="16"/>
          <w:szCs w:val="16"/>
        </w:rPr>
        <w:t xml:space="preserve">1915 г. </w:t>
      </w:r>
      <w:r w:rsidRPr="00405303">
        <w:rPr>
          <w:bCs/>
          <w:color w:val="002060"/>
          <w:sz w:val="16"/>
          <w:szCs w:val="16"/>
        </w:rPr>
        <w:t>"Киевский" совершил, пожалуй, самый знаменитый и известный налёт за всю историю "Муромцев". Корабль, гружённый девятью пудовыми и одной пятипудовой бомбами, взял курс на станцию Пржеворск. Одна из сброшенных на станцию бомб попала в железнодорожный состав и сразу вызвала большой пожар - сполохи пламени, разлетающиеся во все стороны, сопровождались гулом взрывов и клубами густого чёрного дыма. Башко (ставший к тому времени уже командиром "Киевского") кружил над местом ешё минут 15, сделав четыре круга, доносил: "всё время из горевших вагонов вылетали как бы куски огня или дымки разрывов; некоторые дымки и вспышки были на очень большом расстоянии от этого места удачного попадания. Вероятнее всего предположить, что горел и взрывался поезд с какими-нибудь взрывчатыми веществами: снарядами, зарядами или горючим (бензином, спиртом и т.п.)". Позже из немецкой прессы стало известно, что был уничтожен поезд с 30 ООО снарядами.</w:t>
      </w:r>
    </w:p>
    <w:p w14:paraId="15E4F04E" w14:textId="77777777" w:rsidR="004B4E35" w:rsidRPr="00405303" w:rsidRDefault="009E6F82" w:rsidP="00C15251">
      <w:pPr>
        <w:jc w:val="both"/>
        <w:rPr>
          <w:bCs/>
          <w:color w:val="002060"/>
          <w:sz w:val="16"/>
          <w:szCs w:val="16"/>
        </w:rPr>
      </w:pPr>
      <w:r w:rsidRPr="00405303">
        <w:rPr>
          <w:bCs/>
          <w:color w:val="002060"/>
          <w:sz w:val="16"/>
          <w:szCs w:val="16"/>
        </w:rPr>
        <w:t>Озерский тоже не терял времени зря. В этот день его III корабль нанёс визит на немецкий аэродром в Олешице. Впоследствии, по показаниям лётчиков из FFA21, взятых в плен в октябре 1915 года, стало известно, что пудовая бомба с "Муромца" попала в самолётную палатку и уничтожила находившийся в ней аппарат, а также ранила механика.</w:t>
      </w:r>
    </w:p>
    <w:p w14:paraId="0AE39B75" w14:textId="77777777" w:rsidR="004B4E35" w:rsidRPr="00405303" w:rsidRDefault="009E6F82" w:rsidP="00C15251">
      <w:pPr>
        <w:jc w:val="both"/>
        <w:rPr>
          <w:bCs/>
          <w:color w:val="002060"/>
          <w:sz w:val="16"/>
          <w:szCs w:val="16"/>
        </w:rPr>
      </w:pPr>
      <w:r w:rsidRPr="00405303">
        <w:rPr>
          <w:bCs/>
          <w:color w:val="002060"/>
          <w:sz w:val="16"/>
          <w:szCs w:val="16"/>
        </w:rPr>
        <w:t>Экипаж "Киевского" с 11 апреля по 14 июня совершил 10 полётов, в которых сбросил на головы врага две пягипудовые, две двухпудовые, 127 пудовых и 40 десятифунтовых бомб, т.е. 171Вомбу общим весом до 2500 кг. Орденом Св. Георгия 4-й степени были награждены командир корабля поручик И.С. Башко и артиллерийский офицер штабс-капитан А.А. Наумов, а поручик М.В. Смирнов получил Георгиевское оружие.</w:t>
      </w:r>
    </w:p>
    <w:p w14:paraId="58CF970B" w14:textId="77777777" w:rsidR="004B4E35" w:rsidRPr="00405303" w:rsidRDefault="009E6F82" w:rsidP="00C15251">
      <w:pPr>
        <w:jc w:val="both"/>
        <w:rPr>
          <w:bCs/>
          <w:color w:val="002060"/>
          <w:sz w:val="16"/>
          <w:szCs w:val="16"/>
        </w:rPr>
      </w:pPr>
      <w:r w:rsidRPr="00405303">
        <w:rPr>
          <w:bCs/>
          <w:color w:val="002060"/>
          <w:sz w:val="16"/>
          <w:szCs w:val="16"/>
        </w:rPr>
        <w:t>Под натиском германских войск 3-я армия была вынуждена сдать часть Восточной Галиции и 22 июня "Киевский" и III корабль вынуждены были перелететь из Люблина во Влодаву.</w:t>
      </w:r>
    </w:p>
    <w:p w14:paraId="2EE25C09" w14:textId="77777777" w:rsidR="004B4E35" w:rsidRPr="00405303" w:rsidRDefault="009E6F82" w:rsidP="00C15251">
      <w:pPr>
        <w:jc w:val="both"/>
        <w:rPr>
          <w:bCs/>
          <w:color w:val="002060"/>
          <w:sz w:val="16"/>
          <w:szCs w:val="16"/>
        </w:rPr>
      </w:pPr>
      <w:r w:rsidRPr="00405303">
        <w:rPr>
          <w:bCs/>
          <w:color w:val="002060"/>
          <w:sz w:val="16"/>
          <w:szCs w:val="16"/>
        </w:rPr>
        <w:t>Тем временем в Эскадре готовили к боевым действиям новые "Муромцы" типа В. Корабли новой серии вместо "Сальмсонов" и дефицитных "Аргусов" стали оборудовать моторами английской фирмы "Санбим" (Sunbeam). Двигатель мощностью в 150 л.с., носивший гордое имя "Крусейдер" (Crusader- крестоносец) имел восемь цилиндров, водяное охлаждение и V-образную схему. Как показала практика, это был не лучший вариант. Но, выбирать не приходилось...</w:t>
      </w:r>
    </w:p>
    <w:p w14:paraId="3CF19358" w14:textId="77777777" w:rsidR="004B4E35" w:rsidRPr="00405303" w:rsidRDefault="009E6F82" w:rsidP="00C15251">
      <w:pPr>
        <w:jc w:val="both"/>
        <w:rPr>
          <w:bCs/>
          <w:color w:val="002060"/>
          <w:sz w:val="16"/>
          <w:szCs w:val="16"/>
        </w:rPr>
      </w:pPr>
      <w:r w:rsidRPr="00405303">
        <w:rPr>
          <w:bCs/>
          <w:color w:val="002060"/>
          <w:sz w:val="16"/>
          <w:szCs w:val="16"/>
        </w:rPr>
        <w:t xml:space="preserve">Алехнович получил V корабль "остроносый" тип В (№ I58), оснащённый четырьмя "Санбимами". Носовая часть фюзеляжа была как у № 151, только верхняя часть кабины была почти полностью остеклена (две сплошные рамы). Другой корабль, № 159. был оснащён двумя "Санбимами" и имел нос в Точности как у № I51. Сикорский чуть позже переставил моторы, развернув их на I80 градусов, сместив к задней кромке крыла и снабдив их толкающими винтами. Экипаж Панкратьева получил новый самолёт № I60, но уже с "тупым" носом, который не был ешё остеклён в нижней части. Машина также оснащалась четырьмя 150-сильными "Санбимами" (12041). </w:t>
      </w:r>
    </w:p>
    <w:p w14:paraId="1AAE7B27" w14:textId="77777777" w:rsidR="004B4E35" w:rsidRPr="00405303" w:rsidRDefault="004B4E35" w:rsidP="00C15251">
      <w:pPr>
        <w:jc w:val="both"/>
        <w:rPr>
          <w:bCs/>
          <w:color w:val="002060"/>
          <w:sz w:val="16"/>
          <w:szCs w:val="16"/>
        </w:rPr>
      </w:pPr>
    </w:p>
    <w:p w14:paraId="32B73506" w14:textId="33CA5158"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14 (27) июня 1915 </w:t>
      </w:r>
      <w:r w:rsidR="008B1C92" w:rsidRPr="00405303">
        <w:rPr>
          <w:bCs/>
          <w:i w:val="0"/>
          <w:color w:val="002060"/>
          <w:spacing w:val="0"/>
          <w:kern w:val="0"/>
          <w:position w:val="0"/>
          <w:sz w:val="16"/>
          <w:szCs w:val="16"/>
        </w:rPr>
        <w:t xml:space="preserve">г. </w:t>
      </w:r>
      <w:r w:rsidRPr="00405303">
        <w:rPr>
          <w:bCs/>
          <w:i w:val="0"/>
          <w:color w:val="002060"/>
          <w:spacing w:val="0"/>
          <w:kern w:val="0"/>
          <w:position w:val="0"/>
          <w:sz w:val="16"/>
          <w:szCs w:val="16"/>
        </w:rPr>
        <w:t>"Киевский" совершил удачный налет на станцию Пржеворск, где метким попаданием пудовой бомбы уничтожил состав с боеприпасами (30.000 снарядов!). Тем временем в Яблонну стали прибывать "Муромцы" типа В с английскими моторами "Санбим". После сборки и испытаний новые корабли (1-й, 11-й и V-й) в начале июля выполнили по 2 боевых задания. Обычно в полет члены экипажа брали один карабин, одно ружье-пулемет Мадсена с 250 патронами и 12-15 пудов бомб. Встреч с немецкими аэропланами практически не было, и потому на борт предпочитали брать больше бомб и горючего, нежели пулеметов, что чуть не привело к потере корабля. Надо отметить, что "Киевский" иногда "таскал" с собой 2 пулемета (Мадсен с Льюисом или Максимом). О первом воздушном бое стоит рассказать поподробнее (11277).</w:t>
      </w:r>
    </w:p>
    <w:p w14:paraId="397A0750" w14:textId="77777777" w:rsidR="004B4E35" w:rsidRPr="00405303" w:rsidRDefault="004B4E35" w:rsidP="00C15251">
      <w:pPr>
        <w:pStyle w:val="a3"/>
        <w:jc w:val="both"/>
        <w:rPr>
          <w:bCs/>
          <w:i w:val="0"/>
          <w:color w:val="002060"/>
          <w:spacing w:val="0"/>
          <w:kern w:val="0"/>
          <w:position w:val="0"/>
          <w:sz w:val="16"/>
          <w:szCs w:val="16"/>
        </w:rPr>
      </w:pPr>
    </w:p>
    <w:p w14:paraId="197763A1" w14:textId="193BB5D4" w:rsidR="004B4E35" w:rsidRPr="00405303" w:rsidRDefault="009E6F82" w:rsidP="00C15251">
      <w:pPr>
        <w:jc w:val="both"/>
        <w:rPr>
          <w:bCs/>
          <w:color w:val="002060"/>
          <w:sz w:val="16"/>
          <w:szCs w:val="16"/>
        </w:rPr>
      </w:pPr>
      <w:r w:rsidRPr="00405303">
        <w:rPr>
          <w:bCs/>
          <w:color w:val="002060"/>
          <w:sz w:val="16"/>
          <w:szCs w:val="16"/>
        </w:rPr>
        <w:t xml:space="preserve">14 (27) июня </w:t>
      </w:r>
      <w:r w:rsidR="008B1C92" w:rsidRPr="00405303">
        <w:rPr>
          <w:bCs/>
          <w:color w:val="002060"/>
          <w:sz w:val="16"/>
          <w:szCs w:val="16"/>
        </w:rPr>
        <w:t>1915 г.</w:t>
      </w:r>
      <w:r w:rsidRPr="00405303">
        <w:rPr>
          <w:bCs/>
          <w:color w:val="002060"/>
          <w:sz w:val="16"/>
          <w:szCs w:val="16"/>
        </w:rPr>
        <w:t xml:space="preserve"> "ИМ-Киевский" пролетел над железнодорожной стацией Пржеворска, расположенного к югу от Ярослава. Эта четырехчасовая миссия включала также разведывательную работу в районе р. Сан и сброс четырех бомб на окопы в Лежайске. Над Пржеворском "ИМ-Киевский" сделал три круга, затем сбросил семь бомб на поезд с боеприпасами. Команда "ИМ" наблюдала взрывающиеся бомбы, языки пламени и огромный столб дыма, поднимающийся над пятью поездами с </w:t>
      </w:r>
      <w:r w:rsidRPr="00405303">
        <w:rPr>
          <w:bCs/>
          <w:color w:val="002060"/>
          <w:sz w:val="16"/>
          <w:szCs w:val="16"/>
        </w:rPr>
        <w:lastRenderedPageBreak/>
        <w:t>боеприпасами, стоявшими на станции. После нескольких минут бомбежки, станция Пржевор- ска была окутана дымом, рвались снаряды. Согласно свидетельствам военнопленных, позднее подтвержденным в немецких газетах, было уничтожено примерно 30 тысяч снарядов.</w:t>
      </w:r>
    </w:p>
    <w:p w14:paraId="1435C99E" w14:textId="77777777" w:rsidR="004B4E35" w:rsidRPr="00405303" w:rsidRDefault="009E6F82" w:rsidP="00C15251">
      <w:pPr>
        <w:jc w:val="both"/>
        <w:rPr>
          <w:bCs/>
          <w:color w:val="002060"/>
          <w:sz w:val="16"/>
          <w:szCs w:val="16"/>
        </w:rPr>
      </w:pPr>
      <w:r w:rsidRPr="00405303">
        <w:rPr>
          <w:bCs/>
          <w:color w:val="002060"/>
          <w:sz w:val="16"/>
          <w:szCs w:val="16"/>
        </w:rPr>
        <w:t>Противник потерял также и в живой силе. Кроме того, рейд привел к серьезным разрушениям железнодорожной станции и надолго прервал сообщение во всем районе. Вследствие рейда "Муромцев" в городе началась паника. За эту миссию лейтенант И.С. Башко, командир "ИМ-Киевского", и штабс-капитан Наумов, артиллерийский офицер, были награждены орденами св. Георгия IV степени. Заместитель командира лейтенант М.В. Смирнов получил Георгиевский меч, а механик Шкудов - Георгиевский крест. Это были первые члены ЭВК, получившие Георгиевские награды (11999).</w:t>
      </w:r>
    </w:p>
    <w:p w14:paraId="6E8479BA" w14:textId="77777777" w:rsidR="004B4E35" w:rsidRPr="00405303" w:rsidRDefault="004B4E35" w:rsidP="00C15251">
      <w:pPr>
        <w:jc w:val="both"/>
        <w:rPr>
          <w:bCs/>
          <w:color w:val="002060"/>
          <w:sz w:val="16"/>
          <w:szCs w:val="16"/>
        </w:rPr>
      </w:pPr>
    </w:p>
    <w:p w14:paraId="6B3ED1C6" w14:textId="12A111D1" w:rsidR="004B4E35" w:rsidRPr="00405303" w:rsidRDefault="009E6F82" w:rsidP="00C15251">
      <w:pPr>
        <w:jc w:val="both"/>
        <w:rPr>
          <w:bCs/>
          <w:color w:val="002060"/>
          <w:sz w:val="16"/>
          <w:szCs w:val="16"/>
        </w:rPr>
      </w:pPr>
      <w:r w:rsidRPr="00405303">
        <w:rPr>
          <w:bCs/>
          <w:color w:val="002060"/>
          <w:sz w:val="16"/>
          <w:szCs w:val="16"/>
        </w:rPr>
        <w:t xml:space="preserve">14 (27) июня </w:t>
      </w:r>
      <w:r w:rsidR="008B1C92" w:rsidRPr="00405303">
        <w:rPr>
          <w:bCs/>
          <w:color w:val="002060"/>
          <w:sz w:val="16"/>
          <w:szCs w:val="16"/>
        </w:rPr>
        <w:t xml:space="preserve">1915 г. </w:t>
      </w:r>
      <w:r w:rsidRPr="00405303">
        <w:rPr>
          <w:bCs/>
          <w:color w:val="002060"/>
          <w:sz w:val="16"/>
          <w:szCs w:val="16"/>
        </w:rPr>
        <w:t>экипаж И.С. Башко на станции Пржеворск поразил бомбами состав с артиллерийскими снарядами. Взрыв их уничтожил еще пять эшелонов и большую часть сооружений станции.</w:t>
      </w:r>
    </w:p>
    <w:p w14:paraId="640286D9" w14:textId="77777777" w:rsidR="004B4E35" w:rsidRPr="00405303" w:rsidRDefault="009E6F82" w:rsidP="00C15251">
      <w:pPr>
        <w:jc w:val="both"/>
        <w:rPr>
          <w:bCs/>
          <w:color w:val="002060"/>
          <w:sz w:val="16"/>
          <w:szCs w:val="16"/>
        </w:rPr>
      </w:pPr>
      <w:r w:rsidRPr="00405303">
        <w:rPr>
          <w:bCs/>
          <w:color w:val="002060"/>
          <w:sz w:val="16"/>
          <w:szCs w:val="16"/>
        </w:rPr>
        <w:t>Эскадра воздушных кораблей стала расти. В ноябре 1915 г. ее штат увеличили до трех отрядов и 20 самолетов. Шидловскому присвоили звание генерал-лейтенанта. Позже состав эскадры довели до 30 бомбардировщиков, разделенных на четыре отряда. Позже отрядов стало пять и хотели сформировать еще три. В состав отрядов "Муромцев" намеревались включить подразделения истребителей сопровождения. В начале 1917 г. появился проект создания на базе эскадры Военно-Воздушного Флота Резерва Верховного главнокомандующего (12036).</w:t>
      </w:r>
    </w:p>
    <w:p w14:paraId="4FFC1EA7" w14:textId="77777777" w:rsidR="004B4E35" w:rsidRPr="00405303" w:rsidRDefault="004B4E35" w:rsidP="00C15251">
      <w:pPr>
        <w:jc w:val="both"/>
        <w:rPr>
          <w:bCs/>
          <w:color w:val="002060"/>
          <w:sz w:val="16"/>
          <w:szCs w:val="16"/>
        </w:rPr>
      </w:pPr>
    </w:p>
    <w:p w14:paraId="071CDE66" w14:textId="77777777" w:rsidR="003134AF" w:rsidRPr="00405303" w:rsidRDefault="003134AF" w:rsidP="00C15251">
      <w:pPr>
        <w:jc w:val="both"/>
        <w:rPr>
          <w:bCs/>
          <w:color w:val="002060"/>
          <w:sz w:val="16"/>
          <w:szCs w:val="16"/>
        </w:rPr>
      </w:pPr>
      <w:r w:rsidRPr="00405303">
        <w:rPr>
          <w:bCs/>
          <w:color w:val="002060"/>
          <w:sz w:val="16"/>
          <w:szCs w:val="16"/>
        </w:rPr>
        <w:t>14 (27) июня 1915 г. Заведующий авиацией в.к. Александр Михайлович в докладе царю о плохом качестве русских самолетов писал: "Аппараты русского изготовления Фарманы и Ньюпоры с самого начала войны не соответ</w:t>
      </w:r>
      <w:r w:rsidRPr="00405303">
        <w:rPr>
          <w:bCs/>
          <w:color w:val="002060"/>
          <w:sz w:val="16"/>
          <w:szCs w:val="16"/>
        </w:rPr>
        <w:softHyphen/>
        <w:t>ствовали даже минимальным требованиям боевых полетов, а изгото вляемые на заводе Щетинина - прямо не годились; вследствие этого были летчики, предпочитавшие вместо новых щетининских - даже старые, уже износившиеся аппараты других заводов".</w:t>
      </w:r>
    </w:p>
    <w:p w14:paraId="798CA0BB" w14:textId="77777777" w:rsidR="003134AF" w:rsidRPr="00405303" w:rsidRDefault="003134AF" w:rsidP="00C15251">
      <w:pPr>
        <w:jc w:val="both"/>
        <w:rPr>
          <w:bCs/>
          <w:color w:val="002060"/>
          <w:sz w:val="16"/>
          <w:szCs w:val="16"/>
        </w:rPr>
      </w:pPr>
      <w:r w:rsidRPr="00405303">
        <w:rPr>
          <w:bCs/>
          <w:color w:val="002060"/>
          <w:sz w:val="16"/>
          <w:szCs w:val="16"/>
        </w:rPr>
        <w:t>/ЦГВИА, ф. 2003, оп. 2, Д. 618, Л. 133/ (23320).</w:t>
      </w:r>
    </w:p>
    <w:p w14:paraId="22FF102F" w14:textId="77777777" w:rsidR="003134AF" w:rsidRPr="00405303" w:rsidRDefault="003134AF" w:rsidP="00C15251">
      <w:pPr>
        <w:jc w:val="both"/>
        <w:rPr>
          <w:bCs/>
          <w:color w:val="002060"/>
          <w:sz w:val="16"/>
          <w:szCs w:val="16"/>
        </w:rPr>
      </w:pPr>
    </w:p>
    <w:p w14:paraId="74585737" w14:textId="77777777" w:rsidR="006D3773" w:rsidRPr="00405303" w:rsidRDefault="006D3773" w:rsidP="00C15251">
      <w:pPr>
        <w:jc w:val="both"/>
        <w:rPr>
          <w:bCs/>
          <w:color w:val="002060"/>
          <w:sz w:val="16"/>
          <w:szCs w:val="16"/>
        </w:rPr>
      </w:pPr>
      <w:r w:rsidRPr="00405303">
        <w:rPr>
          <w:bCs/>
          <w:color w:val="002060"/>
          <w:sz w:val="16"/>
          <w:szCs w:val="16"/>
        </w:rPr>
        <w:t>14 (27) июня в 1915 году «Илья Муромец» "Киевский", командир корабля поручик И.С.Башко совершил удачный налет на станцию Пржеворск, где метким попаданием пудовой бомбы уничтожил состав с боеприпасами (30.000 снарядов!) (14922).</w:t>
      </w:r>
    </w:p>
    <w:p w14:paraId="7C16E159" w14:textId="77777777" w:rsidR="006D3773" w:rsidRPr="00405303" w:rsidRDefault="006D3773" w:rsidP="00C15251">
      <w:pPr>
        <w:jc w:val="both"/>
        <w:rPr>
          <w:bCs/>
          <w:color w:val="002060"/>
          <w:sz w:val="16"/>
          <w:szCs w:val="16"/>
        </w:rPr>
      </w:pPr>
    </w:p>
    <w:p w14:paraId="75864B2C" w14:textId="6229D596" w:rsidR="00014995" w:rsidRPr="00405303" w:rsidRDefault="00014995" w:rsidP="00C15251">
      <w:pPr>
        <w:jc w:val="both"/>
        <w:rPr>
          <w:bCs/>
          <w:color w:val="002060"/>
          <w:sz w:val="16"/>
          <w:szCs w:val="16"/>
          <w:lang w:bidi="en-US"/>
        </w:rPr>
      </w:pPr>
      <w:r w:rsidRPr="00405303">
        <w:rPr>
          <w:bCs/>
          <w:color w:val="002060"/>
          <w:sz w:val="16"/>
          <w:szCs w:val="16"/>
          <w:lang w:bidi="en-US"/>
        </w:rPr>
        <w:t>14 (27) июня 1915 г. И.М.-Киевский под командованием Поручика И.С. Башко, базирующийся в Люблине, произвел очень успешный бомбардировочный налет на вражеские эшелоны с боеприпасами на станциях Пржеворск и Лежайская, нанеся им тяжелые повреждения (23525).</w:t>
      </w:r>
    </w:p>
    <w:p w14:paraId="3BFED95C" w14:textId="77777777" w:rsidR="00014995" w:rsidRPr="00405303" w:rsidRDefault="00014995" w:rsidP="00C15251">
      <w:pPr>
        <w:jc w:val="both"/>
        <w:rPr>
          <w:bCs/>
          <w:color w:val="002060"/>
          <w:sz w:val="16"/>
          <w:szCs w:val="16"/>
        </w:rPr>
      </w:pPr>
    </w:p>
    <w:p w14:paraId="3AE57A5C" w14:textId="1BACC1A2" w:rsidR="00014995" w:rsidRPr="00405303" w:rsidRDefault="00014995" w:rsidP="00C15251">
      <w:pPr>
        <w:jc w:val="both"/>
        <w:rPr>
          <w:bCs/>
          <w:color w:val="002060"/>
          <w:sz w:val="16"/>
          <w:szCs w:val="16"/>
        </w:rPr>
      </w:pPr>
      <w:r w:rsidRPr="00405303">
        <w:rPr>
          <w:bCs/>
          <w:color w:val="002060"/>
          <w:sz w:val="16"/>
          <w:szCs w:val="16"/>
          <w:lang w:bidi="en-US"/>
        </w:rPr>
        <w:t xml:space="preserve">14 (27) июня 1915 г. в секторе немецкой </w:t>
      </w:r>
      <w:r w:rsidRPr="00405303">
        <w:rPr>
          <w:bCs/>
          <w:color w:val="002060"/>
          <w:sz w:val="16"/>
          <w:szCs w:val="16"/>
          <w:lang w:val="en-US" w:bidi="en-US"/>
        </w:rPr>
        <w:t>ll</w:t>
      </w:r>
      <w:r w:rsidRPr="00405303">
        <w:rPr>
          <w:bCs/>
          <w:color w:val="002060"/>
          <w:sz w:val="16"/>
          <w:szCs w:val="16"/>
          <w:lang w:bidi="en-US"/>
        </w:rPr>
        <w:t>.</w:t>
      </w:r>
      <w:r w:rsidRPr="00405303">
        <w:rPr>
          <w:bCs/>
          <w:color w:val="002060"/>
          <w:sz w:val="16"/>
          <w:szCs w:val="16"/>
          <w:lang w:val="en-US" w:bidi="en-US"/>
        </w:rPr>
        <w:t>Armee</w:t>
      </w:r>
      <w:r w:rsidRPr="00405303">
        <w:rPr>
          <w:bCs/>
          <w:color w:val="002060"/>
          <w:sz w:val="16"/>
          <w:szCs w:val="16"/>
          <w:lang w:bidi="en-US"/>
        </w:rPr>
        <w:t xml:space="preserve">, </w:t>
      </w:r>
      <w:r w:rsidRPr="00405303">
        <w:rPr>
          <w:bCs/>
          <w:color w:val="002060"/>
          <w:sz w:val="16"/>
          <w:szCs w:val="16"/>
          <w:lang w:val="en-US" w:bidi="en-US"/>
        </w:rPr>
        <w:t>IM</w:t>
      </w:r>
      <w:r w:rsidRPr="00405303">
        <w:rPr>
          <w:bCs/>
          <w:color w:val="002060"/>
          <w:sz w:val="16"/>
          <w:szCs w:val="16"/>
          <w:lang w:bidi="en-US"/>
        </w:rPr>
        <w:t xml:space="preserve"> </w:t>
      </w:r>
      <w:r w:rsidRPr="00405303">
        <w:rPr>
          <w:bCs/>
          <w:color w:val="002060"/>
          <w:sz w:val="16"/>
          <w:szCs w:val="16"/>
          <w:lang w:bidi="ru-RU"/>
        </w:rPr>
        <w:t xml:space="preserve">- Ш </w:t>
      </w:r>
      <w:r w:rsidRPr="00405303">
        <w:rPr>
          <w:bCs/>
          <w:color w:val="002060"/>
          <w:sz w:val="16"/>
          <w:szCs w:val="16"/>
          <w:lang w:bidi="en-US"/>
        </w:rPr>
        <w:t>(№ 151) под командованием военного летчика Поручика Д. А. Озерского сбросил бомбы на немецкий аэродром в Олешице, повредив ангар и один самолет (23525).</w:t>
      </w:r>
    </w:p>
    <w:p w14:paraId="1093F065" w14:textId="77777777" w:rsidR="00014995" w:rsidRPr="00405303" w:rsidRDefault="00014995" w:rsidP="00C15251">
      <w:pPr>
        <w:jc w:val="both"/>
        <w:rPr>
          <w:bCs/>
          <w:color w:val="002060"/>
          <w:sz w:val="16"/>
          <w:szCs w:val="16"/>
          <w:lang w:bidi="ru-RU"/>
        </w:rPr>
      </w:pPr>
    </w:p>
    <w:p w14:paraId="535634B4" w14:textId="0CF3E700" w:rsidR="00CE794B" w:rsidRPr="00405303" w:rsidRDefault="00CE794B" w:rsidP="00C15251">
      <w:pPr>
        <w:jc w:val="both"/>
        <w:rPr>
          <w:bCs/>
          <w:color w:val="002060"/>
          <w:sz w:val="16"/>
          <w:szCs w:val="16"/>
        </w:rPr>
      </w:pPr>
      <w:r w:rsidRPr="00405303">
        <w:rPr>
          <w:bCs/>
          <w:color w:val="002060"/>
          <w:sz w:val="16"/>
          <w:szCs w:val="16"/>
        </w:rPr>
        <w:t>14 (27) июня 1915 г. командир корабля И.С. Баш</w:t>
      </w:r>
      <w:r w:rsidRPr="00405303">
        <w:rPr>
          <w:bCs/>
          <w:color w:val="002060"/>
          <w:sz w:val="16"/>
          <w:szCs w:val="16"/>
        </w:rPr>
        <w:softHyphen/>
        <w:t>ко точно вышел на цель, когда на станции Пржеворск стояло шесть составов. Один из них был с артил</w:t>
      </w:r>
      <w:r w:rsidRPr="00405303">
        <w:rPr>
          <w:bCs/>
          <w:color w:val="002060"/>
          <w:sz w:val="16"/>
          <w:szCs w:val="16"/>
        </w:rPr>
        <w:softHyphen/>
        <w:t>лерийскими снарядами. Результат - уничтожение более 30 тыс. артил</w:t>
      </w:r>
      <w:r w:rsidRPr="00405303">
        <w:rPr>
          <w:bCs/>
          <w:color w:val="002060"/>
          <w:sz w:val="16"/>
          <w:szCs w:val="16"/>
        </w:rPr>
        <w:softHyphen/>
        <w:t>лерийских снарядов, нескольких тонн взрывчатых веществ и вывод станции из строя на долгий срок (23469).</w:t>
      </w:r>
    </w:p>
    <w:p w14:paraId="2D30CDC9" w14:textId="77777777" w:rsidR="00CE794B" w:rsidRPr="00405303" w:rsidRDefault="00CE794B" w:rsidP="00C15251">
      <w:pPr>
        <w:jc w:val="both"/>
        <w:rPr>
          <w:bCs/>
          <w:color w:val="002060"/>
          <w:sz w:val="16"/>
          <w:szCs w:val="16"/>
          <w:lang w:bidi="ru-RU"/>
        </w:rPr>
      </w:pPr>
    </w:p>
    <w:p w14:paraId="44535D2E" w14:textId="704B724A" w:rsidR="00CE794B" w:rsidRPr="00405303" w:rsidRDefault="00CE794B" w:rsidP="00C15251">
      <w:pPr>
        <w:jc w:val="both"/>
        <w:rPr>
          <w:bCs/>
          <w:color w:val="002060"/>
          <w:sz w:val="16"/>
          <w:szCs w:val="16"/>
        </w:rPr>
      </w:pPr>
      <w:r w:rsidRPr="00405303">
        <w:rPr>
          <w:bCs/>
          <w:color w:val="002060"/>
          <w:sz w:val="16"/>
          <w:szCs w:val="16"/>
        </w:rPr>
        <w:t>14 (27) июня 1915 г. была успешная операция ИМ по бомбежке станции Пржеворск. Командир корабля И. С. Башко точно вышел на цель, когда на станции стояло шесть составов. Было сделано три захода и сброшено пять бомб (три по два пуда и две пудовки). Бомбы точно накрыли цель, которая оказа</w:t>
      </w:r>
      <w:r w:rsidRPr="00405303">
        <w:rPr>
          <w:bCs/>
          <w:color w:val="002060"/>
          <w:sz w:val="16"/>
          <w:szCs w:val="16"/>
        </w:rPr>
        <w:softHyphen/>
        <w:t>лась непростой. Один из составов был с артиллерийски</w:t>
      </w:r>
      <w:r w:rsidRPr="00405303">
        <w:rPr>
          <w:bCs/>
          <w:color w:val="002060"/>
          <w:sz w:val="16"/>
          <w:szCs w:val="16"/>
        </w:rPr>
        <w:softHyphen/>
        <w:t>ми снарядами. Через несколоько дней стало известно, что на станции уничтожено более 30 тыс. артиллерий</w:t>
      </w:r>
      <w:r w:rsidRPr="00405303">
        <w:rPr>
          <w:bCs/>
          <w:color w:val="002060"/>
          <w:sz w:val="16"/>
          <w:szCs w:val="16"/>
        </w:rPr>
        <w:softHyphen/>
        <w:t>ских снарядов, несколько тонн взрывчатых веществ и большое количество патронов. Пожар продолжался два дня. Сгорело более 50 вагонов. Сама станция была на</w:t>
      </w:r>
      <w:r w:rsidRPr="00405303">
        <w:rPr>
          <w:bCs/>
          <w:color w:val="002060"/>
          <w:sz w:val="16"/>
          <w:szCs w:val="16"/>
        </w:rPr>
        <w:softHyphen/>
        <w:t>долго выведена из строя (24177).</w:t>
      </w:r>
    </w:p>
    <w:p w14:paraId="4D2A7A4A" w14:textId="77777777" w:rsidR="00CE794B" w:rsidRPr="00405303" w:rsidRDefault="00CE794B" w:rsidP="00C15251">
      <w:pPr>
        <w:jc w:val="both"/>
        <w:rPr>
          <w:bCs/>
          <w:color w:val="002060"/>
          <w:sz w:val="16"/>
          <w:szCs w:val="16"/>
        </w:rPr>
      </w:pPr>
    </w:p>
    <w:p w14:paraId="71A234C8" w14:textId="5AF5305F" w:rsidR="00CE794B" w:rsidRPr="00405303" w:rsidRDefault="00CE794B" w:rsidP="00C15251">
      <w:pPr>
        <w:jc w:val="both"/>
        <w:rPr>
          <w:bCs/>
          <w:color w:val="002060"/>
          <w:sz w:val="16"/>
          <w:szCs w:val="16"/>
        </w:rPr>
      </w:pPr>
      <w:r w:rsidRPr="00405303">
        <w:rPr>
          <w:bCs/>
          <w:color w:val="002060"/>
          <w:sz w:val="16"/>
          <w:szCs w:val="16"/>
        </w:rPr>
        <w:t>14 (27) июня 1915 г. корабль «Илья Муромец» В-9 (ИМ В-9 № 150 «Корабль Киевский» «остроносый», борт № VI) экз. № 9, стратегический разведчик, тяжелый бомбардировщик выполнил удачную бомбардировку станции Пржеворск (Przeworsk, ныне Подкарпатское воеводство на востоке Польши) в которой впервые была применена тяжелая бомба калибра 80 кг (5 пудов) вместе с другими. Для облегчения самолета были сняты внешние топливные баки. Удар получился чрезвычайно удачным – попадание одной бомбы калибра 16 кг в вагон с боеприпасами вызвало последовательную детонацию 30000 снарядов во всем стоящем на ее путях эшелоне. Результат был подтвержден аэрофотоснимком и данными агентурной разведки.</w:t>
      </w:r>
    </w:p>
    <w:p w14:paraId="76CFDCEE" w14:textId="77777777" w:rsidR="00CE794B" w:rsidRPr="00405303" w:rsidRDefault="00CE794B" w:rsidP="00C15251">
      <w:pPr>
        <w:jc w:val="both"/>
        <w:rPr>
          <w:bCs/>
          <w:color w:val="002060"/>
          <w:sz w:val="16"/>
          <w:szCs w:val="16"/>
        </w:rPr>
      </w:pPr>
      <w:r w:rsidRPr="00405303">
        <w:rPr>
          <w:bCs/>
          <w:color w:val="002060"/>
          <w:sz w:val="16"/>
          <w:szCs w:val="16"/>
        </w:rPr>
        <w:t>5 июля 1915 г. (18.07.15 г. по н.ст.) корабль под управлением поручика И.С. Башко (помощник командира поручик М.В. Смирнов, артиллерийский офицер штабс-капитан А.А. Наумов, моторист вольноопределяющийся младший унтер-офицер А.М. Лавров) вылетел на разведку и бомбометание, имея на борту 10 бомб калибра 16 кг, 25 – калибра 11 кг, 12 зажигательных снарядов, один пулемет системы Мадсена обр. 1904 г. и карабин с общим боезапасом 260 патронов.</w:t>
      </w:r>
    </w:p>
    <w:p w14:paraId="1F5B9577" w14:textId="77777777" w:rsidR="00CE794B" w:rsidRPr="00405303" w:rsidRDefault="00CE794B" w:rsidP="00C15251">
      <w:pPr>
        <w:jc w:val="both"/>
        <w:rPr>
          <w:bCs/>
          <w:color w:val="002060"/>
          <w:sz w:val="16"/>
          <w:szCs w:val="16"/>
        </w:rPr>
      </w:pPr>
      <w:r w:rsidRPr="00405303">
        <w:rPr>
          <w:bCs/>
          <w:color w:val="002060"/>
          <w:sz w:val="16"/>
          <w:szCs w:val="16"/>
        </w:rPr>
        <w:t>Над г. Шербжешин (Польша) в 40 км от линии фронта на высоте 3200…3500 м снизу был атакован немецким самолетом. Огонь по противнику был открыт своевременно, но был не точен, а после 35 выстрелов пулемет заклинил.</w:t>
      </w:r>
    </w:p>
    <w:p w14:paraId="1781CB94" w14:textId="77777777" w:rsidR="00CE794B" w:rsidRPr="00405303" w:rsidRDefault="00CE794B" w:rsidP="00C15251">
      <w:pPr>
        <w:jc w:val="both"/>
        <w:rPr>
          <w:bCs/>
          <w:color w:val="002060"/>
          <w:sz w:val="16"/>
          <w:szCs w:val="16"/>
        </w:rPr>
      </w:pPr>
      <w:r w:rsidRPr="00405303">
        <w:rPr>
          <w:bCs/>
          <w:color w:val="002060"/>
          <w:sz w:val="16"/>
          <w:szCs w:val="16"/>
        </w:rPr>
        <w:t xml:space="preserve">Противник в первой же атаке смог повредить два верхних топливных бака, бензопроводы левой группы моторов, бензиновый фильтр правой группы моторов, радиатор охлаждения мотора №2. Левая группа моторов была отключена. Одновременно были пробиты передние стекла кабины по правому борту и был ранен в ногу и в голову командир корабля Башко – после атаки его временно сменил Смирнов, после перевязки Башко вернулся к управлению самолетом, а Смирнов и Лавров руками пытались закрывать пробоину в топливном фильтре, через которую вытекал бензин. Вторая атака этого самолета противника была отбита </w:t>
      </w:r>
      <w:proofErr w:type="gramStart"/>
      <w:r w:rsidRPr="00405303">
        <w:rPr>
          <w:bCs/>
          <w:color w:val="002060"/>
          <w:sz w:val="16"/>
          <w:szCs w:val="16"/>
        </w:rPr>
        <w:t>ружейным огнем</w:t>
      </w:r>
      <w:proofErr w:type="gramEnd"/>
      <w:r w:rsidRPr="00405303">
        <w:rPr>
          <w:bCs/>
          <w:color w:val="002060"/>
          <w:sz w:val="16"/>
          <w:szCs w:val="16"/>
        </w:rPr>
        <w:t xml:space="preserve"> и он отошел. Корабль развернулся на маршрут возвращения.</w:t>
      </w:r>
    </w:p>
    <w:p w14:paraId="696B9BF8" w14:textId="77777777" w:rsidR="00CE794B" w:rsidRPr="00405303" w:rsidRDefault="00CE794B" w:rsidP="00C15251">
      <w:pPr>
        <w:jc w:val="both"/>
        <w:rPr>
          <w:bCs/>
          <w:color w:val="002060"/>
          <w:sz w:val="16"/>
          <w:szCs w:val="16"/>
        </w:rPr>
      </w:pPr>
      <w:r w:rsidRPr="00405303">
        <w:rPr>
          <w:bCs/>
          <w:color w:val="002060"/>
          <w:sz w:val="16"/>
          <w:szCs w:val="16"/>
        </w:rPr>
        <w:t xml:space="preserve">Сразу за первым появился второй самолет противника, который своим огнем пробил маслобак мотора № 2, но его повторная атака </w:t>
      </w:r>
      <w:proofErr w:type="gramStart"/>
      <w:r w:rsidRPr="00405303">
        <w:rPr>
          <w:bCs/>
          <w:color w:val="002060"/>
          <w:sz w:val="16"/>
          <w:szCs w:val="16"/>
        </w:rPr>
        <w:t>была отбита</w:t>
      </w:r>
      <w:proofErr w:type="gramEnd"/>
      <w:r w:rsidRPr="00405303">
        <w:rPr>
          <w:bCs/>
          <w:color w:val="002060"/>
          <w:sz w:val="16"/>
          <w:szCs w:val="16"/>
        </w:rPr>
        <w:t xml:space="preserve"> и он также отвалил.</w:t>
      </w:r>
    </w:p>
    <w:p w14:paraId="604B6391" w14:textId="77777777" w:rsidR="00CE794B" w:rsidRPr="00405303" w:rsidRDefault="00CE794B" w:rsidP="00C15251">
      <w:pPr>
        <w:jc w:val="both"/>
        <w:rPr>
          <w:bCs/>
          <w:color w:val="002060"/>
          <w:sz w:val="16"/>
          <w:szCs w:val="16"/>
        </w:rPr>
      </w:pPr>
      <w:r w:rsidRPr="00405303">
        <w:rPr>
          <w:bCs/>
          <w:color w:val="002060"/>
          <w:sz w:val="16"/>
          <w:szCs w:val="16"/>
        </w:rPr>
        <w:t>Над линией фронта в полете со снижением на высоте 1400…1500 м корабль был атакован третьим самолетом противника и обстрелян артиллерией с земли. На подлете к г. Холм (Chełm, ныне – Люблинское воеводство, восток Польши) на высоте около 700 м по причине вытекания бензина все моторы остановились. На планировании экипаж не только смог пересечь линию фронта, но и найти аэродром 24-го АО у дер. Городище, где произвел экстренную посадку. Но летное поле на заболоченном лугу оказалось не приспособленным для тяжелого самолета – шасси увязли в грунте и были сломаны в левой части основных опор, разрушились винт мотора № 2, несколько нервюр и 4 стойки бипланной коробки возле него, треснул задний лонжерон среднего отсека нижнего правого полукрыла. При осмотре нашли не выявленные ранее пулевые пробоины:</w:t>
      </w:r>
    </w:p>
    <w:p w14:paraId="47378FC9" w14:textId="77777777" w:rsidR="00CE794B" w:rsidRPr="00405303" w:rsidRDefault="00CE794B" w:rsidP="00C15251">
      <w:pPr>
        <w:jc w:val="both"/>
        <w:rPr>
          <w:bCs/>
          <w:color w:val="002060"/>
          <w:sz w:val="16"/>
          <w:szCs w:val="16"/>
        </w:rPr>
      </w:pPr>
      <w:r w:rsidRPr="00405303">
        <w:rPr>
          <w:bCs/>
          <w:color w:val="002060"/>
          <w:sz w:val="16"/>
          <w:szCs w:val="16"/>
        </w:rPr>
        <w:t>- 2 в винте, 1 в подкосе рамы мотора № 3;</w:t>
      </w:r>
    </w:p>
    <w:p w14:paraId="3993F141" w14:textId="77777777" w:rsidR="00CE794B" w:rsidRPr="00405303" w:rsidRDefault="00CE794B" w:rsidP="00C15251">
      <w:pPr>
        <w:jc w:val="both"/>
        <w:rPr>
          <w:bCs/>
          <w:color w:val="002060"/>
          <w:sz w:val="16"/>
          <w:szCs w:val="16"/>
        </w:rPr>
      </w:pPr>
      <w:r w:rsidRPr="00405303">
        <w:rPr>
          <w:bCs/>
          <w:color w:val="002060"/>
          <w:sz w:val="16"/>
          <w:szCs w:val="16"/>
        </w:rPr>
        <w:t>- в грузовой раме и в магнето мотора № 2;</w:t>
      </w:r>
    </w:p>
    <w:p w14:paraId="7B9B1F47" w14:textId="77777777" w:rsidR="00CE794B" w:rsidRPr="00405303" w:rsidRDefault="00CE794B" w:rsidP="00C15251">
      <w:pPr>
        <w:jc w:val="both"/>
        <w:rPr>
          <w:bCs/>
          <w:color w:val="002060"/>
          <w:sz w:val="16"/>
          <w:szCs w:val="16"/>
        </w:rPr>
      </w:pPr>
      <w:r w:rsidRPr="00405303">
        <w:rPr>
          <w:bCs/>
          <w:color w:val="002060"/>
          <w:sz w:val="16"/>
          <w:szCs w:val="16"/>
        </w:rPr>
        <w:t>- в стойке бипланной коробки за мотором № 1;</w:t>
      </w:r>
    </w:p>
    <w:p w14:paraId="090BF0BD" w14:textId="77777777" w:rsidR="00CE794B" w:rsidRPr="00405303" w:rsidRDefault="00CE794B" w:rsidP="00C15251">
      <w:pPr>
        <w:jc w:val="both"/>
        <w:rPr>
          <w:bCs/>
          <w:color w:val="002060"/>
          <w:sz w:val="16"/>
          <w:szCs w:val="16"/>
        </w:rPr>
      </w:pPr>
      <w:r w:rsidRPr="00405303">
        <w:rPr>
          <w:bCs/>
          <w:color w:val="002060"/>
          <w:sz w:val="16"/>
          <w:szCs w:val="16"/>
        </w:rPr>
        <w:t>- несколько в обшивке;</w:t>
      </w:r>
    </w:p>
    <w:p w14:paraId="2A1F4593" w14:textId="77777777" w:rsidR="00CE794B" w:rsidRPr="00405303" w:rsidRDefault="00CE794B" w:rsidP="00C15251">
      <w:pPr>
        <w:jc w:val="both"/>
        <w:rPr>
          <w:bCs/>
          <w:color w:val="002060"/>
          <w:sz w:val="16"/>
          <w:szCs w:val="16"/>
        </w:rPr>
      </w:pPr>
      <w:r w:rsidRPr="00405303">
        <w:rPr>
          <w:bCs/>
          <w:color w:val="002060"/>
          <w:sz w:val="16"/>
          <w:szCs w:val="16"/>
        </w:rPr>
        <w:t>- 1 покрышке колеса шасси.</w:t>
      </w:r>
    </w:p>
    <w:p w14:paraId="0CBCD3C0" w14:textId="77777777" w:rsidR="00CE794B" w:rsidRPr="00405303" w:rsidRDefault="00CE794B" w:rsidP="00C15251">
      <w:pPr>
        <w:jc w:val="both"/>
        <w:rPr>
          <w:bCs/>
          <w:color w:val="002060"/>
          <w:sz w:val="16"/>
          <w:szCs w:val="16"/>
        </w:rPr>
      </w:pPr>
      <w:r w:rsidRPr="00405303">
        <w:rPr>
          <w:bCs/>
          <w:color w:val="002060"/>
          <w:sz w:val="16"/>
          <w:szCs w:val="16"/>
        </w:rPr>
        <w:t>В этом бою безвозвратных потерь в экипаже нет, Башко, продолживший управление кораблем после ранения, награжден орденом Св. Георгия IV ст.</w:t>
      </w:r>
    </w:p>
    <w:p w14:paraId="43141AD5" w14:textId="77777777" w:rsidR="00CE794B" w:rsidRPr="00405303" w:rsidRDefault="00CE794B" w:rsidP="00C15251">
      <w:pPr>
        <w:jc w:val="both"/>
        <w:rPr>
          <w:bCs/>
          <w:color w:val="002060"/>
          <w:sz w:val="16"/>
          <w:szCs w:val="16"/>
        </w:rPr>
      </w:pPr>
      <w:r w:rsidRPr="00405303">
        <w:rPr>
          <w:bCs/>
          <w:color w:val="002060"/>
          <w:sz w:val="16"/>
          <w:szCs w:val="16"/>
        </w:rPr>
        <w:t>Корабль был более боевых вылетов не совершал и видимо был после этого полета был отправлен на РБВЗ для возможного ремонта. Но восстановить его не удалось и аэроплан был списан.</w:t>
      </w:r>
    </w:p>
    <w:p w14:paraId="75562C0D" w14:textId="77777777" w:rsidR="00CE794B" w:rsidRPr="00405303" w:rsidRDefault="00CE794B" w:rsidP="00C15251">
      <w:pPr>
        <w:jc w:val="both"/>
        <w:rPr>
          <w:bCs/>
          <w:color w:val="002060"/>
          <w:sz w:val="16"/>
          <w:szCs w:val="16"/>
        </w:rPr>
      </w:pPr>
      <w:r w:rsidRPr="00405303">
        <w:rPr>
          <w:bCs/>
          <w:color w:val="002060"/>
          <w:sz w:val="16"/>
          <w:szCs w:val="16"/>
        </w:rPr>
        <w:t>Корабль совершил 27 боевых вылетов и сбросил до 5760 кг (360 пудов) бомб (23563).</w:t>
      </w:r>
    </w:p>
    <w:p w14:paraId="05E4E44A" w14:textId="77777777" w:rsidR="00CE794B" w:rsidRPr="00405303" w:rsidRDefault="00CE794B" w:rsidP="00C15251">
      <w:pPr>
        <w:jc w:val="both"/>
        <w:rPr>
          <w:bCs/>
          <w:color w:val="002060"/>
          <w:sz w:val="16"/>
          <w:szCs w:val="16"/>
          <w:lang w:bidi="ru-RU"/>
        </w:rPr>
      </w:pPr>
    </w:p>
    <w:p w14:paraId="6F8F4D5E" w14:textId="0994750E" w:rsidR="00402FF2" w:rsidRPr="00405303" w:rsidRDefault="00402FF2" w:rsidP="00402FF2">
      <w:pPr>
        <w:jc w:val="both"/>
        <w:rPr>
          <w:color w:val="0070C0"/>
          <w:sz w:val="16"/>
          <w:szCs w:val="16"/>
        </w:rPr>
      </w:pPr>
      <w:r w:rsidRPr="00405303">
        <w:rPr>
          <w:color w:val="0070C0"/>
          <w:sz w:val="16"/>
          <w:szCs w:val="16"/>
        </w:rPr>
        <w:lastRenderedPageBreak/>
        <w:t>14 (27) июня 1915 г. командир корабля ИМ отдельного отряда И.С. Башко точно вышел на цель, когда на станции Пржеворск стояло шесть составов. Один из них был с артиллерийскими снарядами. Результат - уничтожение более 30 тыс. артиллерийских снарядов, нескольких тонн взрывчатых веществ и вывод станции из строя на долгий срок. В июне 1915 г. было выполнено 100 боевых вылетов и сброшено на противника 19,5 т бомб (24965).</w:t>
      </w:r>
    </w:p>
    <w:p w14:paraId="67980B3A" w14:textId="77777777" w:rsidR="00402FF2" w:rsidRPr="00405303" w:rsidRDefault="00402FF2" w:rsidP="00402FF2">
      <w:pPr>
        <w:jc w:val="both"/>
        <w:rPr>
          <w:color w:val="0070C0"/>
          <w:sz w:val="16"/>
          <w:szCs w:val="16"/>
        </w:rPr>
      </w:pPr>
    </w:p>
    <w:p w14:paraId="4EF3A87B" w14:textId="04AF42C1" w:rsidR="00402FF2" w:rsidRPr="00405303" w:rsidRDefault="00402FF2" w:rsidP="00402FF2">
      <w:pPr>
        <w:jc w:val="both"/>
        <w:rPr>
          <w:color w:val="0070C0"/>
          <w:sz w:val="16"/>
          <w:szCs w:val="16"/>
        </w:rPr>
      </w:pPr>
      <w:r w:rsidRPr="00405303">
        <w:rPr>
          <w:color w:val="0070C0"/>
          <w:sz w:val="16"/>
          <w:szCs w:val="16"/>
        </w:rPr>
        <w:t>14 (27) июня 1915 г. экипаж И.С. Башко на станции Пржеворск поразил бомбами состав с артиллерийскими снарядами. Взрыв их уничтожил еще пять эшелонов и большую часть сооруже</w:t>
      </w:r>
      <w:r w:rsidRPr="00405303">
        <w:rPr>
          <w:color w:val="0070C0"/>
          <w:sz w:val="16"/>
          <w:szCs w:val="16"/>
        </w:rPr>
        <w:softHyphen/>
        <w:t>ний станции (24977).</w:t>
      </w:r>
    </w:p>
    <w:p w14:paraId="74934C8C" w14:textId="77777777" w:rsidR="00402FF2" w:rsidRPr="00405303" w:rsidRDefault="00402FF2" w:rsidP="00402FF2">
      <w:pPr>
        <w:jc w:val="both"/>
        <w:rPr>
          <w:color w:val="0070C0"/>
          <w:sz w:val="16"/>
          <w:szCs w:val="16"/>
        </w:rPr>
      </w:pPr>
    </w:p>
    <w:p w14:paraId="6E3352C3" w14:textId="77777777" w:rsidR="00402FF2" w:rsidRPr="00405303" w:rsidRDefault="00402FF2" w:rsidP="00402FF2">
      <w:pPr>
        <w:widowControl w:val="0"/>
        <w:tabs>
          <w:tab w:val="left" w:pos="726"/>
        </w:tabs>
        <w:jc w:val="both"/>
        <w:rPr>
          <w:color w:val="0070C0"/>
          <w:sz w:val="16"/>
          <w:szCs w:val="16"/>
        </w:rPr>
      </w:pPr>
      <w:r w:rsidRPr="00405303">
        <w:rPr>
          <w:rStyle w:val="aa"/>
          <w:rFonts w:ascii="Times New Roman" w:hAnsi="Times New Roman"/>
          <w:color w:val="0070C0"/>
          <w:spacing w:val="0"/>
          <w:sz w:val="16"/>
          <w:szCs w:val="16"/>
        </w:rPr>
        <w:t>14 (27) июня 1915 г. был сбит неприятельский самолет в полосе Северо-Западного фронта (район н/п Альт-Ауца Курляндской губ.) (25135).</w:t>
      </w:r>
    </w:p>
    <w:p w14:paraId="41FAF9B7" w14:textId="77777777" w:rsidR="00402FF2" w:rsidRPr="00405303" w:rsidRDefault="00402FF2" w:rsidP="00402FF2">
      <w:pPr>
        <w:jc w:val="both"/>
        <w:rPr>
          <w:color w:val="0070C0"/>
          <w:sz w:val="16"/>
          <w:szCs w:val="16"/>
        </w:rPr>
      </w:pPr>
    </w:p>
    <w:p w14:paraId="1630D51F"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6A6CC1AD" w14:textId="77777777" w:rsidR="004B4E35" w:rsidRPr="00405303" w:rsidRDefault="004B4E35" w:rsidP="00C15251">
      <w:pPr>
        <w:pStyle w:val="a3"/>
        <w:jc w:val="both"/>
        <w:rPr>
          <w:bCs/>
          <w:color w:val="002060"/>
          <w:spacing w:val="0"/>
          <w:kern w:val="0"/>
          <w:position w:val="0"/>
          <w:sz w:val="16"/>
          <w:szCs w:val="16"/>
        </w:rPr>
      </w:pPr>
    </w:p>
    <w:p w14:paraId="694F0B9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 (28) июня 1915 в Петрограде на Комендантском аэродроме состоя</w:t>
      </w:r>
      <w:r w:rsidRPr="00405303">
        <w:rPr>
          <w:bCs/>
          <w:color w:val="002060"/>
          <w:sz w:val="16"/>
          <w:szCs w:val="16"/>
        </w:rPr>
        <w:softHyphen/>
        <w:t>лось испытание авиабомб конструкции В.А.Слесарева и Е.В.Крыльцова. Бомбы Слесарева сбрасывались с высоты 400 м, бомбы Крылъцова (четырехпудовые) - с высоты 1000 м. Испытание дало хорошие ре</w:t>
      </w:r>
      <w:r w:rsidRPr="00405303">
        <w:rPr>
          <w:bCs/>
          <w:color w:val="002060"/>
          <w:sz w:val="16"/>
          <w:szCs w:val="16"/>
        </w:rPr>
        <w:softHyphen/>
        <w:t>зультаты (ЦГВИА. ф.2008, д.565, л.1).</w:t>
      </w:r>
    </w:p>
    <w:p w14:paraId="187DC3AE" w14:textId="210BDE7D" w:rsidR="004B4E35" w:rsidRPr="00405303" w:rsidRDefault="004B4E35" w:rsidP="00C15251">
      <w:pPr>
        <w:shd w:val="clear" w:color="auto" w:fill="FFFFFF"/>
        <w:jc w:val="both"/>
        <w:rPr>
          <w:bCs/>
          <w:color w:val="002060"/>
          <w:sz w:val="16"/>
          <w:szCs w:val="16"/>
        </w:rPr>
      </w:pPr>
    </w:p>
    <w:p w14:paraId="41463674" w14:textId="77777777" w:rsidR="0002695B" w:rsidRPr="00405303" w:rsidRDefault="0002695B" w:rsidP="00C15251">
      <w:pPr>
        <w:jc w:val="both"/>
        <w:rPr>
          <w:bCs/>
          <w:color w:val="002060"/>
          <w:sz w:val="16"/>
          <w:szCs w:val="16"/>
        </w:rPr>
      </w:pPr>
      <w:r w:rsidRPr="00405303">
        <w:rPr>
          <w:bCs/>
          <w:color w:val="002060"/>
          <w:sz w:val="16"/>
          <w:szCs w:val="16"/>
        </w:rPr>
        <w:t>15 (28) июня 1915 г. в Петро граде ни Комендантском аэродроме состоялось испытание авиабомб конструкции В.А.Слесарева и Е.Б.Крыльцова. Бомбы Кесарева сбрасывались о высота 400 м, бомбы Крыльцова /четырехпудовые/ - с высоты 1000 м. Испытание дало хорошие результаты.</w:t>
      </w:r>
    </w:p>
    <w:p w14:paraId="3DA3CF7D" w14:textId="77777777" w:rsidR="0002695B" w:rsidRPr="00405303" w:rsidRDefault="0002695B" w:rsidP="00C15251">
      <w:pPr>
        <w:jc w:val="both"/>
        <w:rPr>
          <w:bCs/>
          <w:color w:val="002060"/>
          <w:sz w:val="16"/>
          <w:szCs w:val="16"/>
        </w:rPr>
      </w:pPr>
      <w:r w:rsidRPr="00405303">
        <w:rPr>
          <w:bCs/>
          <w:color w:val="002060"/>
          <w:sz w:val="16"/>
          <w:szCs w:val="16"/>
        </w:rPr>
        <w:t>/ЦГВИА, ф. 2008, Д. 565, Л. 1/ (23320).</w:t>
      </w:r>
    </w:p>
    <w:p w14:paraId="505BD5F6" w14:textId="77777777" w:rsidR="0002695B" w:rsidRPr="00405303" w:rsidRDefault="0002695B" w:rsidP="00C15251">
      <w:pPr>
        <w:jc w:val="both"/>
        <w:rPr>
          <w:bCs/>
          <w:color w:val="002060"/>
          <w:sz w:val="16"/>
          <w:szCs w:val="16"/>
        </w:rPr>
      </w:pPr>
    </w:p>
    <w:p w14:paraId="5F6323B8" w14:textId="3FEF42F9" w:rsidR="0002695B" w:rsidRPr="00405303" w:rsidRDefault="0002695B" w:rsidP="00C15251">
      <w:pPr>
        <w:shd w:val="clear" w:color="auto" w:fill="FFFFFF"/>
        <w:jc w:val="both"/>
        <w:rPr>
          <w:bCs/>
          <w:i/>
          <w:iCs/>
          <w:color w:val="002060"/>
          <w:sz w:val="16"/>
          <w:szCs w:val="16"/>
        </w:rPr>
      </w:pPr>
      <w:r w:rsidRPr="00405303">
        <w:rPr>
          <w:bCs/>
          <w:i/>
          <w:iCs/>
          <w:color w:val="002060"/>
          <w:sz w:val="16"/>
          <w:szCs w:val="16"/>
        </w:rPr>
        <w:t>Авиация:</w:t>
      </w:r>
    </w:p>
    <w:p w14:paraId="2FDE7075" w14:textId="77777777" w:rsidR="0002695B" w:rsidRPr="00405303" w:rsidRDefault="0002695B" w:rsidP="00C15251">
      <w:pPr>
        <w:shd w:val="clear" w:color="auto" w:fill="FFFFFF"/>
        <w:jc w:val="both"/>
        <w:rPr>
          <w:bCs/>
          <w:i/>
          <w:iCs/>
          <w:color w:val="002060"/>
          <w:sz w:val="16"/>
          <w:szCs w:val="16"/>
        </w:rPr>
      </w:pPr>
    </w:p>
    <w:p w14:paraId="4ED05599" w14:textId="77777777" w:rsidR="0002695B" w:rsidRPr="00405303" w:rsidRDefault="0002695B" w:rsidP="00C15251">
      <w:pPr>
        <w:jc w:val="both"/>
        <w:rPr>
          <w:bCs/>
          <w:color w:val="002060"/>
          <w:sz w:val="16"/>
          <w:szCs w:val="16"/>
        </w:rPr>
      </w:pPr>
      <w:r w:rsidRPr="00405303">
        <w:rPr>
          <w:bCs/>
          <w:color w:val="002060"/>
          <w:sz w:val="16"/>
          <w:szCs w:val="16"/>
        </w:rPr>
        <w:t xml:space="preserve">15 (28) июня 1915 г. Авиационная школа ВАК возобновила свою деятельность /после убытия на фронт части школы во главе </w:t>
      </w:r>
      <w:proofErr w:type="gramStart"/>
      <w:r w:rsidRPr="00405303">
        <w:rPr>
          <w:bCs/>
          <w:color w:val="002060"/>
          <w:sz w:val="16"/>
          <w:szCs w:val="16"/>
        </w:rPr>
        <w:t>о ее начальником</w:t>
      </w:r>
      <w:proofErr w:type="gramEnd"/>
      <w:r w:rsidRPr="00405303">
        <w:rPr>
          <w:bCs/>
          <w:color w:val="002060"/>
          <w:sz w:val="16"/>
          <w:szCs w:val="16"/>
        </w:rPr>
        <w:t xml:space="preserve"> Яцуком/. Нач</w:t>
      </w:r>
      <w:r w:rsidRPr="00405303">
        <w:rPr>
          <w:bCs/>
          <w:color w:val="002060"/>
          <w:sz w:val="16"/>
          <w:szCs w:val="16"/>
        </w:rPr>
        <w:softHyphen/>
        <w:t>альником школы стал В.А.Лебедев, инструкторами - Х.Н.Славороссов и Б.З.Дановский. С 1в-го октября етого же года школа перешла в веде</w:t>
      </w:r>
      <w:proofErr w:type="gramStart"/>
      <w:r w:rsidRPr="00405303">
        <w:rPr>
          <w:bCs/>
          <w:color w:val="002060"/>
          <w:sz w:val="16"/>
          <w:szCs w:val="16"/>
        </w:rPr>
        <w:t>- &gt;</w:t>
      </w:r>
      <w:proofErr w:type="gramEnd"/>
      <w:r w:rsidRPr="00405303">
        <w:rPr>
          <w:bCs/>
          <w:color w:val="002060"/>
          <w:sz w:val="16"/>
          <w:szCs w:val="16"/>
        </w:rPr>
        <w:t xml:space="preserve"> Отдела воздушного флота.</w:t>
      </w:r>
    </w:p>
    <w:p w14:paraId="2970B277" w14:textId="77777777" w:rsidR="0002695B" w:rsidRPr="00405303" w:rsidRDefault="0002695B" w:rsidP="00C15251">
      <w:pPr>
        <w:jc w:val="both"/>
        <w:rPr>
          <w:bCs/>
          <w:color w:val="002060"/>
          <w:sz w:val="16"/>
          <w:szCs w:val="16"/>
        </w:rPr>
      </w:pPr>
      <w:r w:rsidRPr="00405303">
        <w:rPr>
          <w:bCs/>
          <w:color w:val="002060"/>
          <w:sz w:val="16"/>
          <w:szCs w:val="16"/>
        </w:rPr>
        <w:t>/Воздушный справояник,1916/ (23320).</w:t>
      </w:r>
    </w:p>
    <w:p w14:paraId="637B3793" w14:textId="77777777" w:rsidR="0002695B" w:rsidRPr="00405303" w:rsidRDefault="0002695B" w:rsidP="00C15251">
      <w:pPr>
        <w:jc w:val="both"/>
        <w:rPr>
          <w:bCs/>
          <w:color w:val="002060"/>
          <w:sz w:val="16"/>
          <w:szCs w:val="16"/>
        </w:rPr>
      </w:pPr>
    </w:p>
    <w:p w14:paraId="2BC8B9C9"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Армия:</w:t>
      </w:r>
    </w:p>
    <w:p w14:paraId="4E8C2A1D" w14:textId="77777777" w:rsidR="004B4E35" w:rsidRPr="00405303" w:rsidRDefault="004B4E35" w:rsidP="00C15251">
      <w:pPr>
        <w:shd w:val="clear" w:color="auto" w:fill="FFFFFF"/>
        <w:jc w:val="both"/>
        <w:rPr>
          <w:bCs/>
          <w:i/>
          <w:color w:val="002060"/>
          <w:sz w:val="16"/>
          <w:szCs w:val="16"/>
        </w:rPr>
      </w:pPr>
    </w:p>
    <w:p w14:paraId="4797751A" w14:textId="4829338D"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15 </w:t>
      </w:r>
      <w:r w:rsidR="008B1C92" w:rsidRPr="00405303">
        <w:rPr>
          <w:bCs/>
          <w:i w:val="0"/>
          <w:color w:val="002060"/>
          <w:spacing w:val="0"/>
          <w:kern w:val="0"/>
          <w:position w:val="0"/>
          <w:sz w:val="16"/>
          <w:szCs w:val="16"/>
        </w:rPr>
        <w:t xml:space="preserve">(28) </w:t>
      </w:r>
      <w:r w:rsidRPr="00405303">
        <w:rPr>
          <w:bCs/>
          <w:i w:val="0"/>
          <w:color w:val="002060"/>
          <w:spacing w:val="0"/>
          <w:kern w:val="0"/>
          <w:position w:val="0"/>
          <w:sz w:val="16"/>
          <w:szCs w:val="16"/>
        </w:rPr>
        <w:t>июня 1915 г.</w:t>
      </w:r>
      <w:r w:rsidR="008B1C92" w:rsidRPr="00405303">
        <w:rPr>
          <w:bCs/>
          <w:i w:val="0"/>
          <w:color w:val="002060"/>
          <w:spacing w:val="0"/>
          <w:kern w:val="0"/>
          <w:position w:val="0"/>
          <w:sz w:val="16"/>
          <w:szCs w:val="16"/>
        </w:rPr>
        <w:t xml:space="preserve"> Варшавское окарту присоединено к Западному фронту (в подчинении Варшавского окарту состояли только Варшавский арсенал и Варшавский артиллерийский склад с Брест-Литовским его отделом, расположенные всего в 200 км друг от друга, а затем в состав Минского военного округа включены сверх того еще: Бобруйский артсклад (в Калуге), подвижная починочная мастерская № 2 на ст. Средняя, Сызрано-Вяземской железной дороги, подвижная починочная мастерская № 3 в Клинцах, Черниговской губ., оружейная мастерская Западного фронта в Вязьме и передовой артиллерийский запас в гор. Орше, Могилевской губ... Как видим, здесь пошли еще дальше, чем на Юго-западном фронте, загнав чисто фронтовые учреждения, как починочные, так и оружейные мастерские, в глубокий тыл и подчинив их вдобавок окружному артиллерийскому управлению)</w:t>
      </w:r>
      <w:r w:rsidRPr="00405303">
        <w:rPr>
          <w:bCs/>
          <w:i w:val="0"/>
          <w:color w:val="002060"/>
          <w:spacing w:val="0"/>
          <w:kern w:val="0"/>
          <w:position w:val="0"/>
          <w:sz w:val="16"/>
          <w:szCs w:val="16"/>
        </w:rPr>
        <w:t>, но уже теперь очень рельефно выражается картина увеличения в нем делопроизводства и работы по сравнению с мирным временем. Действительно, с 15 июня по 15 декабря 1913 г. было входящих бумаг 6521 и исходящих - 6955, в 1915 г. за тот же период входящих - 22362 и исходящих - 18100, т. е. переписка возросла во всяком случае не менее, чем в три раза, но главное, надо учесть интенсивность и важность ее в настоящее время, когда ни оторочки, ни ошибки, поправимые в мирное время, недопустимы сейчас. Работа ближайшего тыла имеет такую тесную и существенную связь с действиями армий, что тыловым учреждениям должны быть даны все средства для выполнения своего дела".</w:t>
      </w:r>
    </w:p>
    <w:p w14:paraId="187435D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Это ценное признание из уст крупного начальника удалось услышать лишь в январе 1916 г.; до этого чаще приходилось слышать отзывы, указывающие на "осторожность" дополнительных формирований в перод войны, хотя, казалось бы, исправлять замеченные ошибки никогда не поздно (11483). </w:t>
      </w:r>
    </w:p>
    <w:p w14:paraId="3D43742B" w14:textId="77777777" w:rsidR="004B4E35" w:rsidRPr="00405303" w:rsidRDefault="004B4E35" w:rsidP="00C15251">
      <w:pPr>
        <w:pStyle w:val="a3"/>
        <w:jc w:val="both"/>
        <w:rPr>
          <w:bCs/>
          <w:i w:val="0"/>
          <w:color w:val="002060"/>
          <w:spacing w:val="0"/>
          <w:kern w:val="0"/>
          <w:position w:val="0"/>
          <w:sz w:val="16"/>
          <w:szCs w:val="16"/>
        </w:rPr>
      </w:pPr>
    </w:p>
    <w:p w14:paraId="5FCC6C63" w14:textId="77777777" w:rsidR="00783DFC" w:rsidRPr="00405303" w:rsidRDefault="00783DFC"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4066F8D7" w14:textId="77777777" w:rsidR="00783DFC" w:rsidRPr="00405303" w:rsidRDefault="00783DFC" w:rsidP="00C15251">
      <w:pPr>
        <w:pStyle w:val="a3"/>
        <w:jc w:val="both"/>
        <w:rPr>
          <w:bCs/>
          <w:color w:val="002060"/>
          <w:spacing w:val="0"/>
          <w:kern w:val="0"/>
          <w:position w:val="0"/>
          <w:sz w:val="16"/>
          <w:szCs w:val="16"/>
        </w:rPr>
      </w:pPr>
    </w:p>
    <w:p w14:paraId="49653901" w14:textId="77777777" w:rsidR="00783DFC" w:rsidRPr="00405303" w:rsidRDefault="00783DFC" w:rsidP="00C15251">
      <w:pPr>
        <w:pStyle w:val="2"/>
        <w:spacing w:before="0" w:after="0"/>
        <w:jc w:val="both"/>
        <w:rPr>
          <w:b w:val="0"/>
          <w:bCs/>
          <w:color w:val="002060"/>
          <w:sz w:val="16"/>
          <w:szCs w:val="16"/>
        </w:rPr>
      </w:pPr>
      <w:r w:rsidRPr="00405303">
        <w:rPr>
          <w:b w:val="0"/>
          <w:bCs/>
          <w:color w:val="002060"/>
          <w:sz w:val="16"/>
          <w:szCs w:val="16"/>
        </w:rPr>
        <w:t>В середине июня 1916 г. Меллер отправился в Крым и посетил Севастополь, где начальник Авиации и воздухоплавания Черноморского флота инженер-механик старший лейтенант И.И.Стаховский порекомендовал ему организовать на «Дуксе» серийный выпуск уже хорошо зарекомендовавших себя летающих лодок М-9. Вероятно, задание «Дуксу» отменили еще до начала реальной работы над проектом. Меллера подобная перспектива никак не устроила и он создал на заводе отдел гидропланов и решил разработать оригинальную модель летающей лодки своими силами. По рекомендации Н.Е.Жуковского создание конструкции гидросамолета «Дукс» возглавил студент ИМТУ А.Н.Туполев. Работу начали со сбора информации и сравнительной оценки характеристик гидросамолетов постройки Д. Григоровича и С.Щетинина, Г.Кертисса, Мориса и Анри Фарманов. 20 августа Меллер и Туполев приняли участие в совещании, устроенном руководством авиации ВМФ России для обмена опытом и оценки ситуации. Одновременно шло планирование будущих заказов. С целью ознакомления с новейшим зарубежным опытом в Великобританию и Францию срочно откомандировали инженера С.Г.Бутми (15464).</w:t>
      </w:r>
    </w:p>
    <w:p w14:paraId="4B48C097" w14:textId="77777777" w:rsidR="00783DFC" w:rsidRPr="00405303" w:rsidRDefault="00783DFC" w:rsidP="00C15251">
      <w:pPr>
        <w:pStyle w:val="2"/>
        <w:spacing w:before="0" w:after="0"/>
        <w:jc w:val="both"/>
        <w:rPr>
          <w:b w:val="0"/>
          <w:bCs/>
          <w:color w:val="002060"/>
          <w:sz w:val="16"/>
          <w:szCs w:val="16"/>
        </w:rPr>
      </w:pPr>
    </w:p>
    <w:p w14:paraId="411149E8" w14:textId="77777777" w:rsidR="00783DFC" w:rsidRPr="00405303" w:rsidRDefault="00783DFC" w:rsidP="00C15251">
      <w:pPr>
        <w:jc w:val="both"/>
        <w:rPr>
          <w:bCs/>
          <w:i/>
          <w:color w:val="002060"/>
          <w:sz w:val="16"/>
          <w:szCs w:val="16"/>
        </w:rPr>
      </w:pPr>
      <w:r w:rsidRPr="00405303">
        <w:rPr>
          <w:bCs/>
          <w:i/>
          <w:color w:val="002060"/>
          <w:sz w:val="16"/>
          <w:szCs w:val="16"/>
        </w:rPr>
        <w:t>Армия:</w:t>
      </w:r>
    </w:p>
    <w:p w14:paraId="4F4D1615" w14:textId="77777777" w:rsidR="00783DFC" w:rsidRPr="00405303" w:rsidRDefault="00783DFC" w:rsidP="00C15251">
      <w:pPr>
        <w:jc w:val="both"/>
        <w:rPr>
          <w:bCs/>
          <w:i/>
          <w:color w:val="002060"/>
          <w:sz w:val="16"/>
          <w:szCs w:val="16"/>
        </w:rPr>
      </w:pPr>
    </w:p>
    <w:p w14:paraId="5B55046F" w14:textId="1F1FD5BC" w:rsidR="00783DFC" w:rsidRPr="00405303" w:rsidRDefault="00783DFC" w:rsidP="00C15251">
      <w:pPr>
        <w:jc w:val="both"/>
        <w:rPr>
          <w:bCs/>
          <w:color w:val="002060"/>
          <w:sz w:val="16"/>
          <w:szCs w:val="16"/>
        </w:rPr>
      </w:pPr>
      <w:r w:rsidRPr="00405303">
        <w:rPr>
          <w:bCs/>
          <w:color w:val="002060"/>
          <w:sz w:val="16"/>
          <w:szCs w:val="16"/>
        </w:rPr>
        <w:t xml:space="preserve">16 </w:t>
      </w:r>
      <w:r w:rsidR="008B1C92" w:rsidRPr="00405303">
        <w:rPr>
          <w:bCs/>
          <w:color w:val="002060"/>
          <w:sz w:val="16"/>
          <w:szCs w:val="16"/>
        </w:rPr>
        <w:t xml:space="preserve">(29) </w:t>
      </w:r>
      <w:r w:rsidRPr="00405303">
        <w:rPr>
          <w:bCs/>
          <w:color w:val="002060"/>
          <w:sz w:val="16"/>
          <w:szCs w:val="16"/>
        </w:rPr>
        <w:t>июня в 1915 году началась третья битва за Львов между русскими и немецкими войсками (14924).</w:t>
      </w:r>
    </w:p>
    <w:p w14:paraId="67980A3C" w14:textId="77777777" w:rsidR="00783DFC" w:rsidRPr="00405303" w:rsidRDefault="00783DFC" w:rsidP="00C15251">
      <w:pPr>
        <w:jc w:val="both"/>
        <w:rPr>
          <w:bCs/>
          <w:color w:val="002060"/>
          <w:sz w:val="16"/>
          <w:szCs w:val="16"/>
        </w:rPr>
      </w:pPr>
    </w:p>
    <w:p w14:paraId="51B3AEA3" w14:textId="5340FF0C" w:rsidR="00CE794B" w:rsidRPr="00405303" w:rsidRDefault="00CE794B" w:rsidP="00C15251">
      <w:pPr>
        <w:jc w:val="both"/>
        <w:rPr>
          <w:bCs/>
          <w:i/>
          <w:color w:val="002060"/>
          <w:sz w:val="16"/>
          <w:szCs w:val="16"/>
        </w:rPr>
      </w:pPr>
      <w:r w:rsidRPr="00405303">
        <w:rPr>
          <w:bCs/>
          <w:i/>
          <w:color w:val="002060"/>
          <w:sz w:val="16"/>
          <w:szCs w:val="16"/>
        </w:rPr>
        <w:t>Авиация:</w:t>
      </w:r>
    </w:p>
    <w:p w14:paraId="2378E80C" w14:textId="77777777" w:rsidR="00CE794B" w:rsidRPr="00405303" w:rsidRDefault="00CE794B" w:rsidP="00C15251">
      <w:pPr>
        <w:jc w:val="both"/>
        <w:rPr>
          <w:bCs/>
          <w:i/>
          <w:color w:val="002060"/>
          <w:sz w:val="16"/>
          <w:szCs w:val="16"/>
        </w:rPr>
      </w:pPr>
    </w:p>
    <w:p w14:paraId="706AE1E8" w14:textId="54E4E905" w:rsidR="00CE794B" w:rsidRPr="00405303" w:rsidRDefault="00CE794B" w:rsidP="00C15251">
      <w:pPr>
        <w:jc w:val="both"/>
        <w:rPr>
          <w:bCs/>
          <w:color w:val="002060"/>
          <w:sz w:val="16"/>
          <w:szCs w:val="16"/>
        </w:rPr>
      </w:pPr>
      <w:bookmarkStart w:id="168" w:name="bookmark191"/>
      <w:bookmarkStart w:id="169" w:name="bookmark192"/>
      <w:bookmarkStart w:id="170" w:name="bookmark193"/>
      <w:r w:rsidRPr="00405303">
        <w:rPr>
          <w:bCs/>
          <w:color w:val="002060"/>
          <w:sz w:val="16"/>
          <w:szCs w:val="16"/>
        </w:rPr>
        <w:t>16 (29) июня 1915 г. наша артиллерия в районе правого берега р. Пилица подбила очередной немецкий летательный аппарат, упавший позднее в расположении противника (23405).</w:t>
      </w:r>
      <w:bookmarkEnd w:id="168"/>
      <w:bookmarkEnd w:id="169"/>
      <w:bookmarkEnd w:id="170"/>
    </w:p>
    <w:p w14:paraId="4F698168" w14:textId="77777777" w:rsidR="00CE794B" w:rsidRPr="00405303" w:rsidRDefault="00CE794B" w:rsidP="00C15251">
      <w:pPr>
        <w:jc w:val="both"/>
        <w:rPr>
          <w:bCs/>
          <w:color w:val="002060"/>
          <w:sz w:val="16"/>
          <w:szCs w:val="16"/>
          <w:lang w:bidi="ru-RU"/>
        </w:rPr>
      </w:pPr>
    </w:p>
    <w:p w14:paraId="4ECD9FEC" w14:textId="753F9660" w:rsidR="00783DFC" w:rsidRPr="00405303" w:rsidRDefault="00783DFC" w:rsidP="00C15251">
      <w:pPr>
        <w:jc w:val="both"/>
        <w:rPr>
          <w:bCs/>
          <w:i/>
          <w:color w:val="002060"/>
          <w:sz w:val="16"/>
          <w:szCs w:val="16"/>
        </w:rPr>
      </w:pPr>
      <w:r w:rsidRPr="00405303">
        <w:rPr>
          <w:bCs/>
          <w:i/>
          <w:color w:val="002060"/>
          <w:sz w:val="16"/>
          <w:szCs w:val="16"/>
        </w:rPr>
        <w:t>За рубежом:</w:t>
      </w:r>
    </w:p>
    <w:p w14:paraId="417D11CD" w14:textId="77777777" w:rsidR="00783DFC" w:rsidRPr="00405303" w:rsidRDefault="00783DFC" w:rsidP="00C15251">
      <w:pPr>
        <w:jc w:val="both"/>
        <w:rPr>
          <w:bCs/>
          <w:color w:val="002060"/>
          <w:sz w:val="16"/>
          <w:szCs w:val="16"/>
        </w:rPr>
      </w:pPr>
    </w:p>
    <w:p w14:paraId="7620C2FB" w14:textId="77777777" w:rsidR="00783DFC" w:rsidRPr="00405303" w:rsidRDefault="00783DFC" w:rsidP="00C15251">
      <w:pPr>
        <w:jc w:val="both"/>
        <w:rPr>
          <w:bCs/>
          <w:color w:val="002060"/>
          <w:sz w:val="16"/>
          <w:szCs w:val="16"/>
        </w:rPr>
      </w:pPr>
      <w:r w:rsidRPr="00405303">
        <w:rPr>
          <w:bCs/>
          <w:color w:val="002060"/>
          <w:sz w:val="16"/>
          <w:szCs w:val="16"/>
        </w:rPr>
        <w:t>16 (29) июня в 1915 году Австрия грозит правительству США эмбарго на поставки продовольствия, если Америка не прекратит торговых сношений со странами Антанты (14937).</w:t>
      </w:r>
    </w:p>
    <w:p w14:paraId="61E50B65" w14:textId="77777777" w:rsidR="00783DFC" w:rsidRPr="00405303" w:rsidRDefault="00783DFC" w:rsidP="00C15251">
      <w:pPr>
        <w:jc w:val="both"/>
        <w:rPr>
          <w:bCs/>
          <w:color w:val="002060"/>
          <w:sz w:val="16"/>
          <w:szCs w:val="16"/>
        </w:rPr>
      </w:pPr>
    </w:p>
    <w:p w14:paraId="2AF31768"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4AD5B1F8" w14:textId="77777777" w:rsidR="004B4E35" w:rsidRPr="00405303" w:rsidRDefault="004B4E35" w:rsidP="00C15251">
      <w:pPr>
        <w:shd w:val="clear" w:color="auto" w:fill="FFFFFF"/>
        <w:jc w:val="both"/>
        <w:rPr>
          <w:bCs/>
          <w:i/>
          <w:color w:val="002060"/>
          <w:sz w:val="16"/>
          <w:szCs w:val="16"/>
        </w:rPr>
      </w:pPr>
    </w:p>
    <w:p w14:paraId="031951FC" w14:textId="4CA95F5E" w:rsidR="004B4E35" w:rsidRPr="00405303" w:rsidRDefault="009E6F82" w:rsidP="00C15251">
      <w:pPr>
        <w:jc w:val="both"/>
        <w:rPr>
          <w:bCs/>
          <w:color w:val="002060"/>
          <w:sz w:val="16"/>
          <w:szCs w:val="16"/>
        </w:rPr>
      </w:pPr>
      <w:r w:rsidRPr="00405303">
        <w:rPr>
          <w:bCs/>
          <w:color w:val="002060"/>
          <w:sz w:val="16"/>
          <w:szCs w:val="16"/>
        </w:rPr>
        <w:t xml:space="preserve">17 </w:t>
      </w:r>
      <w:r w:rsidR="008B1C92" w:rsidRPr="00405303">
        <w:rPr>
          <w:bCs/>
          <w:color w:val="002060"/>
          <w:sz w:val="16"/>
          <w:szCs w:val="16"/>
        </w:rPr>
        <w:t xml:space="preserve">(30) </w:t>
      </w:r>
      <w:r w:rsidRPr="00405303">
        <w:rPr>
          <w:bCs/>
          <w:color w:val="002060"/>
          <w:sz w:val="16"/>
          <w:szCs w:val="16"/>
        </w:rPr>
        <w:t>июня 1915 года, отражая налет девяти немецких самолетов</w:t>
      </w:r>
      <w:r w:rsidR="008B1C92" w:rsidRPr="00405303">
        <w:rPr>
          <w:bCs/>
          <w:color w:val="002060"/>
          <w:sz w:val="16"/>
          <w:szCs w:val="16"/>
        </w:rPr>
        <w:t xml:space="preserve"> на Се6верном фронте</w:t>
      </w:r>
      <w:r w:rsidRPr="00405303">
        <w:rPr>
          <w:bCs/>
          <w:color w:val="002060"/>
          <w:sz w:val="16"/>
          <w:szCs w:val="16"/>
        </w:rPr>
        <w:t>, зенитчики сбили два из них, открыв счет самолетов противника, уничтоженных отечественной зенитной артиллерией (по другим данным, противосамолетным подразделением Тарновского2 июня 1915 года был сбит один немецкий аэроплан в районе г. Пултуска (Польша)).</w:t>
      </w:r>
    </w:p>
    <w:p w14:paraId="7D6AF0AF" w14:textId="77777777" w:rsidR="004B4E35" w:rsidRPr="00405303" w:rsidRDefault="009E6F82" w:rsidP="00C15251">
      <w:pPr>
        <w:jc w:val="both"/>
        <w:rPr>
          <w:bCs/>
          <w:color w:val="002060"/>
          <w:sz w:val="16"/>
          <w:szCs w:val="16"/>
        </w:rPr>
      </w:pPr>
      <w:r w:rsidRPr="00405303">
        <w:rPr>
          <w:bCs/>
          <w:color w:val="002060"/>
          <w:sz w:val="16"/>
          <w:szCs w:val="16"/>
        </w:rPr>
        <w:t xml:space="preserve">Из 76 пушек поступивших в войска было установлено на автомобили лишь 36 пушек (9 батарей), 20 пушек были назначены на вооружение 10 железнодорожных двухорудийных батарей, которые стали сформировываться уже в 1917 г. (в том числе так называемый «стальной дивизион Путиловского завода»). Причем 6-я, 7-я и </w:t>
      </w:r>
      <w:r w:rsidRPr="00405303">
        <w:rPr>
          <w:bCs/>
          <w:color w:val="002060"/>
          <w:sz w:val="16"/>
          <w:szCs w:val="16"/>
        </w:rPr>
        <w:lastRenderedPageBreak/>
        <w:t>8-я железнодорожные батареи для стрельбы по воздушному флоту были готовы к отправке на фронт лишь 27 ноября (10 декабря) 1917 г., то есть уже после Октябрьской революции, а приказ Ставки о сформировании 9-й и 10-й таких же батарей состоялся лишь 2 (15) декабря 1917, то есть в то время, когда война на русском фронте фактически закончилась. Наконец, 12 зенитных пушек обр. 1914 г. были даны в октябре 1917 г. на вооружение 1-й, 2-й и 3-й так называемых отдельных ездящих батарей для стрельбы по воздушному флоту; орудия в этих батареях были поставлены на подвижные деревянные платформы. По 4 зенитных 76-мм пушки на позиционных установках имели батарея для обороны Царского Села и батарея Офицерской артиллерийской школы.</w:t>
      </w:r>
    </w:p>
    <w:p w14:paraId="0AA05600" w14:textId="77777777" w:rsidR="004B4E35" w:rsidRPr="00405303" w:rsidRDefault="004B4E35" w:rsidP="00C15251">
      <w:pPr>
        <w:jc w:val="both"/>
        <w:rPr>
          <w:bCs/>
          <w:i/>
          <w:color w:val="002060"/>
          <w:sz w:val="16"/>
          <w:szCs w:val="16"/>
        </w:rPr>
      </w:pPr>
    </w:p>
    <w:p w14:paraId="4CE85EFC" w14:textId="0DD294AB" w:rsidR="00CE794B" w:rsidRPr="00405303" w:rsidRDefault="00CE794B" w:rsidP="00C15251">
      <w:pPr>
        <w:jc w:val="both"/>
        <w:rPr>
          <w:bCs/>
          <w:color w:val="002060"/>
          <w:sz w:val="16"/>
          <w:szCs w:val="16"/>
        </w:rPr>
      </w:pPr>
      <w:r w:rsidRPr="00405303">
        <w:rPr>
          <w:bCs/>
          <w:color w:val="002060"/>
          <w:sz w:val="16"/>
          <w:szCs w:val="16"/>
        </w:rPr>
        <w:t xml:space="preserve">В период 17-20 июня (30 июня по 3 июля) 1915 г. германская авиация подвергла бомбардировке г. Радом, Остраленка, Пултуск, д. Снядово и Разводов (23405). </w:t>
      </w:r>
    </w:p>
    <w:p w14:paraId="0990B694" w14:textId="77777777" w:rsidR="00CE794B" w:rsidRPr="00405303" w:rsidRDefault="00CE794B" w:rsidP="00C15251">
      <w:pPr>
        <w:jc w:val="both"/>
        <w:rPr>
          <w:bCs/>
          <w:color w:val="002060"/>
          <w:sz w:val="16"/>
          <w:szCs w:val="16"/>
          <w:lang w:bidi="ru-RU"/>
        </w:rPr>
      </w:pPr>
    </w:p>
    <w:p w14:paraId="42F8DC42" w14:textId="77777777" w:rsidR="003C22DB" w:rsidRPr="00405303" w:rsidRDefault="003C22DB" w:rsidP="003C22DB">
      <w:pPr>
        <w:jc w:val="both"/>
        <w:rPr>
          <w:color w:val="0070C0"/>
          <w:sz w:val="16"/>
          <w:szCs w:val="16"/>
        </w:rPr>
      </w:pPr>
      <w:r w:rsidRPr="00405303">
        <w:rPr>
          <w:rStyle w:val="aa"/>
          <w:rFonts w:ascii="Times New Roman" w:hAnsi="Times New Roman"/>
          <w:color w:val="0070C0"/>
          <w:spacing w:val="0"/>
          <w:sz w:val="16"/>
          <w:szCs w:val="16"/>
        </w:rPr>
        <w:t>17 (30) июня 1915 г. немецкий самолет провел бомбометание военных объектов в г. Жирардов (25135).</w:t>
      </w:r>
    </w:p>
    <w:p w14:paraId="6026AD09" w14:textId="77777777" w:rsidR="003C22DB" w:rsidRPr="00405303" w:rsidRDefault="003C22DB" w:rsidP="003C22DB">
      <w:pPr>
        <w:jc w:val="both"/>
        <w:rPr>
          <w:rStyle w:val="aa"/>
          <w:rFonts w:ascii="Times New Roman" w:hAnsi="Times New Roman"/>
          <w:color w:val="0070C0"/>
          <w:spacing w:val="0"/>
          <w:sz w:val="16"/>
          <w:szCs w:val="16"/>
        </w:rPr>
      </w:pPr>
    </w:p>
    <w:p w14:paraId="5E12C26E" w14:textId="77777777" w:rsidR="008B1C92" w:rsidRPr="00405303" w:rsidRDefault="008B1C92" w:rsidP="00C15251">
      <w:pPr>
        <w:jc w:val="both"/>
        <w:rPr>
          <w:bCs/>
          <w:i/>
          <w:color w:val="002060"/>
          <w:sz w:val="16"/>
          <w:szCs w:val="16"/>
        </w:rPr>
      </w:pPr>
      <w:r w:rsidRPr="00405303">
        <w:rPr>
          <w:bCs/>
          <w:i/>
          <w:color w:val="002060"/>
          <w:sz w:val="16"/>
          <w:szCs w:val="16"/>
        </w:rPr>
        <w:t>За рубежом:</w:t>
      </w:r>
    </w:p>
    <w:p w14:paraId="10B9D14D" w14:textId="77777777" w:rsidR="008B1C92" w:rsidRPr="00405303" w:rsidRDefault="008B1C92" w:rsidP="00C15251">
      <w:pPr>
        <w:jc w:val="both"/>
        <w:rPr>
          <w:bCs/>
          <w:color w:val="002060"/>
          <w:sz w:val="16"/>
          <w:szCs w:val="16"/>
        </w:rPr>
      </w:pPr>
    </w:p>
    <w:p w14:paraId="439F3A8F" w14:textId="77777777" w:rsidR="008B1C92" w:rsidRPr="00405303" w:rsidRDefault="008B1C92" w:rsidP="00C15251">
      <w:pPr>
        <w:jc w:val="both"/>
        <w:rPr>
          <w:bCs/>
          <w:color w:val="002060"/>
          <w:sz w:val="16"/>
          <w:szCs w:val="16"/>
        </w:rPr>
      </w:pPr>
      <w:r w:rsidRPr="00405303">
        <w:rPr>
          <w:bCs/>
          <w:color w:val="002060"/>
          <w:sz w:val="16"/>
          <w:szCs w:val="16"/>
        </w:rPr>
        <w:t>17 (30) июня в 1915 году два французских солдата становятся первыми в истории жертвами электрической охранной проволоки, протянутой немецкими войсками (14938).</w:t>
      </w:r>
    </w:p>
    <w:p w14:paraId="4E9653A5" w14:textId="77777777" w:rsidR="008B1C92" w:rsidRPr="00405303" w:rsidRDefault="008B1C92" w:rsidP="00C15251">
      <w:pPr>
        <w:jc w:val="both"/>
        <w:rPr>
          <w:bCs/>
          <w:color w:val="002060"/>
          <w:sz w:val="16"/>
          <w:szCs w:val="16"/>
        </w:rPr>
      </w:pPr>
    </w:p>
    <w:p w14:paraId="7EFB9E2E" w14:textId="55AF0001" w:rsidR="00F66D26" w:rsidRPr="00405303" w:rsidRDefault="00F66D26" w:rsidP="00F66D26">
      <w:pPr>
        <w:jc w:val="both"/>
        <w:rPr>
          <w:bCs/>
          <w:i/>
          <w:color w:val="002060"/>
          <w:sz w:val="16"/>
          <w:szCs w:val="16"/>
        </w:rPr>
      </w:pPr>
      <w:r>
        <w:rPr>
          <w:bCs/>
          <w:i/>
          <w:color w:val="002060"/>
          <w:sz w:val="16"/>
          <w:szCs w:val="16"/>
        </w:rPr>
        <w:t>Авиация и воздухлпоавание Германии</w:t>
      </w:r>
      <w:r w:rsidRPr="00405303">
        <w:rPr>
          <w:bCs/>
          <w:i/>
          <w:color w:val="002060"/>
          <w:sz w:val="16"/>
          <w:szCs w:val="16"/>
        </w:rPr>
        <w:t>:</w:t>
      </w:r>
    </w:p>
    <w:p w14:paraId="15F0406D" w14:textId="77777777" w:rsidR="00F66D26" w:rsidRPr="00405303" w:rsidRDefault="00F66D26" w:rsidP="00F66D26">
      <w:pPr>
        <w:jc w:val="both"/>
        <w:rPr>
          <w:bCs/>
          <w:color w:val="002060"/>
          <w:sz w:val="16"/>
          <w:szCs w:val="16"/>
        </w:rPr>
      </w:pPr>
    </w:p>
    <w:p w14:paraId="48019E64" w14:textId="77777777" w:rsidR="00F66D26" w:rsidRPr="00CF03EC" w:rsidRDefault="00F66D26" w:rsidP="00F66D26">
      <w:pPr>
        <w:jc w:val="both"/>
        <w:rPr>
          <w:color w:val="0070C0"/>
          <w:sz w:val="16"/>
          <w:szCs w:val="16"/>
        </w:rPr>
      </w:pPr>
      <w:r w:rsidRPr="00CF03EC">
        <w:rPr>
          <w:color w:val="0070C0"/>
          <w:sz w:val="16"/>
          <w:szCs w:val="16"/>
        </w:rPr>
        <w:t>17 июня (1 июля) 1915 г. лейтенант Винтгенс на самолете M.5K/MG W.Nr. (Werk Nummer – производственный номер) E.5/15 с синхронным пулеметом, заявил, что одержал первую воздушную победу: по собственной инициативе он атаковал и обстрелял французский разведчик Моран «Парасоль», и тому пришлось идти на вынужденную посадку. Это видели с земли, но сел он на своей территории и победу не засчитали, заявив, что не известно, в каком состоянии находится аппарат противника и его экипаж. Тем не менее, никто не отрицал, что Винтгенс помешал врагу выполнить свое задание и его, по крайней мере, похвалили и все же задумались и о таком использовании новой техники.</w:t>
      </w:r>
    </w:p>
    <w:p w14:paraId="012637FA" w14:textId="77777777" w:rsidR="00F66D26" w:rsidRPr="00CF03EC" w:rsidRDefault="00F66D26" w:rsidP="00F66D26">
      <w:pPr>
        <w:jc w:val="both"/>
        <w:rPr>
          <w:color w:val="0070C0"/>
          <w:sz w:val="16"/>
          <w:szCs w:val="16"/>
        </w:rPr>
      </w:pPr>
      <w:r w:rsidRPr="00CF03EC">
        <w:rPr>
          <w:color w:val="0070C0"/>
          <w:sz w:val="16"/>
          <w:szCs w:val="16"/>
        </w:rPr>
        <w:t>Через три дня Винтгенс сбил еще один «Парасоль», но этот факт признали официально только 15 июля 1915 г., когда дошел рапорт из пехоты, и вот тогда он все-таки стал считаться первым немецким пилотом, одержавшим победу в воздушном бою на специальном самолете-истребителе. К тому времени он служил уже в другом отряде – FFA 48 (25772).</w:t>
      </w:r>
    </w:p>
    <w:p w14:paraId="323E1689" w14:textId="77777777" w:rsidR="00F66D26" w:rsidRPr="00CF03EC" w:rsidRDefault="00F66D26" w:rsidP="00F66D26">
      <w:pPr>
        <w:jc w:val="both"/>
        <w:rPr>
          <w:color w:val="0070C0"/>
          <w:sz w:val="16"/>
          <w:szCs w:val="16"/>
        </w:rPr>
      </w:pPr>
    </w:p>
    <w:p w14:paraId="6FEB72A9" w14:textId="77777777" w:rsidR="009115C0" w:rsidRPr="00405303" w:rsidRDefault="009115C0" w:rsidP="00C15251">
      <w:pPr>
        <w:pStyle w:val="a3"/>
        <w:jc w:val="both"/>
        <w:rPr>
          <w:bCs/>
          <w:color w:val="002060"/>
          <w:spacing w:val="0"/>
          <w:kern w:val="0"/>
          <w:position w:val="0"/>
          <w:sz w:val="16"/>
          <w:szCs w:val="16"/>
        </w:rPr>
      </w:pPr>
      <w:r w:rsidRPr="00405303">
        <w:rPr>
          <w:bCs/>
          <w:color w:val="002060"/>
          <w:spacing w:val="0"/>
          <w:kern w:val="0"/>
          <w:position w:val="0"/>
          <w:sz w:val="16"/>
          <w:szCs w:val="16"/>
        </w:rPr>
        <w:t>Другие оборонные отрасли:</w:t>
      </w:r>
    </w:p>
    <w:p w14:paraId="369AA28D" w14:textId="77777777" w:rsidR="009115C0" w:rsidRPr="00405303" w:rsidRDefault="009115C0" w:rsidP="00C15251">
      <w:pPr>
        <w:pStyle w:val="a3"/>
        <w:jc w:val="both"/>
        <w:rPr>
          <w:bCs/>
          <w:color w:val="002060"/>
          <w:spacing w:val="0"/>
          <w:kern w:val="0"/>
          <w:position w:val="0"/>
          <w:sz w:val="16"/>
          <w:szCs w:val="16"/>
        </w:rPr>
      </w:pPr>
    </w:p>
    <w:p w14:paraId="655AC553" w14:textId="77777777" w:rsidR="009115C0" w:rsidRPr="00405303" w:rsidRDefault="009115C0" w:rsidP="00C15251">
      <w:pPr>
        <w:jc w:val="both"/>
        <w:rPr>
          <w:bCs/>
          <w:color w:val="002060"/>
          <w:sz w:val="16"/>
          <w:szCs w:val="16"/>
        </w:rPr>
      </w:pPr>
      <w:r w:rsidRPr="00405303">
        <w:rPr>
          <w:bCs/>
          <w:color w:val="002060"/>
          <w:sz w:val="16"/>
          <w:szCs w:val="16"/>
        </w:rPr>
        <w:t xml:space="preserve">18 июня (1 июля) 1915 г. генерал Поливанов вносит в Государственную думу новый законопроект, согласно которому, уже учрежденное Особое совещание получало наименование Особое совещание для объединения мероприятий по обороне государства. В нем по-прежнему состоял председателем военный министр, но состав его был расширен. В него входили: председатели Государственной думы и Государственного совета, по девять членов от каждого из этих законодательных учреждений, министры: морской, финансов, торговли и промышленности, внутренних дел, земледелия, путей сообщения, Государственного контроля, начальники главных управлений Военного министерства, представители промышленности и представители Земского и Городского союзов, а также представители только что возникшего Военно-промышленного комитета. </w:t>
      </w:r>
    </w:p>
    <w:p w14:paraId="6650F3A4" w14:textId="77777777" w:rsidR="009115C0" w:rsidRPr="00405303" w:rsidRDefault="009115C0" w:rsidP="00C15251">
      <w:pPr>
        <w:jc w:val="both"/>
        <w:rPr>
          <w:bCs/>
          <w:color w:val="002060"/>
          <w:sz w:val="16"/>
          <w:szCs w:val="16"/>
        </w:rPr>
      </w:pPr>
      <w:proofErr w:type="gramStart"/>
      <w:r w:rsidRPr="00405303">
        <w:rPr>
          <w:bCs/>
          <w:color w:val="002060"/>
          <w:sz w:val="16"/>
          <w:szCs w:val="16"/>
        </w:rPr>
        <w:t>Кроме этого</w:t>
      </w:r>
      <w:proofErr w:type="gramEnd"/>
      <w:r w:rsidRPr="00405303">
        <w:rPr>
          <w:bCs/>
          <w:color w:val="002060"/>
          <w:sz w:val="16"/>
          <w:szCs w:val="16"/>
        </w:rPr>
        <w:t xml:space="preserve"> Особого совещания по объединению мероприятий по обороне, новый закон учреждал еще несколько Особых совещаний, а именно: </w:t>
      </w:r>
    </w:p>
    <w:p w14:paraId="4A9FC966" w14:textId="77777777" w:rsidR="009115C0" w:rsidRPr="00405303" w:rsidRDefault="009115C0" w:rsidP="00C15251">
      <w:pPr>
        <w:jc w:val="both"/>
        <w:rPr>
          <w:bCs/>
          <w:color w:val="002060"/>
          <w:sz w:val="16"/>
          <w:szCs w:val="16"/>
        </w:rPr>
      </w:pPr>
      <w:r w:rsidRPr="00405303">
        <w:rPr>
          <w:bCs/>
          <w:color w:val="002060"/>
          <w:sz w:val="16"/>
          <w:szCs w:val="16"/>
        </w:rPr>
        <w:t xml:space="preserve">Особое совещание по перевозкам. </w:t>
      </w:r>
    </w:p>
    <w:p w14:paraId="6EFE1A54" w14:textId="77777777" w:rsidR="009115C0" w:rsidRPr="00405303" w:rsidRDefault="009115C0" w:rsidP="00C15251">
      <w:pPr>
        <w:jc w:val="both"/>
        <w:rPr>
          <w:bCs/>
          <w:color w:val="002060"/>
          <w:sz w:val="16"/>
          <w:szCs w:val="16"/>
        </w:rPr>
      </w:pPr>
      <w:r w:rsidRPr="00405303">
        <w:rPr>
          <w:bCs/>
          <w:color w:val="002060"/>
          <w:sz w:val="16"/>
          <w:szCs w:val="16"/>
        </w:rPr>
        <w:t xml:space="preserve">Особое совещание по топливу. </w:t>
      </w:r>
    </w:p>
    <w:p w14:paraId="25450546" w14:textId="77777777" w:rsidR="009115C0" w:rsidRPr="00405303" w:rsidRDefault="009115C0" w:rsidP="00C15251">
      <w:pPr>
        <w:jc w:val="both"/>
        <w:rPr>
          <w:bCs/>
          <w:color w:val="002060"/>
          <w:sz w:val="16"/>
          <w:szCs w:val="16"/>
        </w:rPr>
      </w:pPr>
      <w:r w:rsidRPr="00405303">
        <w:rPr>
          <w:bCs/>
          <w:color w:val="002060"/>
          <w:sz w:val="16"/>
          <w:szCs w:val="16"/>
        </w:rPr>
        <w:t xml:space="preserve">Особое совещание по продовольствию. </w:t>
      </w:r>
    </w:p>
    <w:p w14:paraId="63E8128A" w14:textId="77777777" w:rsidR="009115C0" w:rsidRPr="00405303" w:rsidRDefault="009115C0" w:rsidP="00C15251">
      <w:pPr>
        <w:jc w:val="both"/>
        <w:rPr>
          <w:bCs/>
          <w:color w:val="002060"/>
          <w:sz w:val="16"/>
          <w:szCs w:val="16"/>
        </w:rPr>
      </w:pPr>
      <w:r w:rsidRPr="00405303">
        <w:rPr>
          <w:bCs/>
          <w:color w:val="002060"/>
          <w:sz w:val="16"/>
          <w:szCs w:val="16"/>
        </w:rPr>
        <w:t xml:space="preserve">Каждое из этих Совещаний находилось под председательством соответствующих министров (путей сообщений, торговли и промышленности, земледелия). </w:t>
      </w:r>
    </w:p>
    <w:p w14:paraId="591C163E" w14:textId="77777777" w:rsidR="009115C0" w:rsidRPr="00405303" w:rsidRDefault="009115C0" w:rsidP="00C15251">
      <w:pPr>
        <w:jc w:val="both"/>
        <w:rPr>
          <w:bCs/>
          <w:color w:val="002060"/>
          <w:sz w:val="16"/>
          <w:szCs w:val="16"/>
        </w:rPr>
      </w:pPr>
      <w:r w:rsidRPr="00405303">
        <w:rPr>
          <w:bCs/>
          <w:color w:val="002060"/>
          <w:sz w:val="16"/>
          <w:szCs w:val="16"/>
        </w:rPr>
        <w:t xml:space="preserve">Целью этих Особых совещаний являлось внесение объединения в использовании транспорта, топлива и продовольствия. При необходимости согласовать действия всех совещаний собирались объединенные заседания под председательством военного министра. </w:t>
      </w:r>
    </w:p>
    <w:p w14:paraId="258E27C2" w14:textId="77777777" w:rsidR="009115C0" w:rsidRPr="00405303" w:rsidRDefault="009115C0" w:rsidP="00C15251">
      <w:pPr>
        <w:jc w:val="both"/>
        <w:rPr>
          <w:bCs/>
          <w:color w:val="002060"/>
          <w:sz w:val="16"/>
          <w:szCs w:val="16"/>
        </w:rPr>
      </w:pPr>
      <w:r w:rsidRPr="00405303">
        <w:rPr>
          <w:bCs/>
          <w:color w:val="002060"/>
          <w:sz w:val="16"/>
          <w:szCs w:val="16"/>
        </w:rPr>
        <w:t>Несомненно, что созданный для объединения работы тыла аппарат Особых совещаний являлся чрезвычайно громоздким. Эти многолюдные собрания не способны были к быстрой творческой работе. Нельзя не согласиться в известной справедливости критики Особого совещания по обороне, которую можно встретить в труде генерала Маниковского.</w:t>
      </w:r>
    </w:p>
    <w:p w14:paraId="59981225" w14:textId="77777777" w:rsidR="009115C0" w:rsidRPr="00405303" w:rsidRDefault="009115C0" w:rsidP="00C15251">
      <w:pPr>
        <w:pStyle w:val="Blockquote"/>
        <w:spacing w:before="0" w:after="0"/>
        <w:ind w:left="0" w:right="0"/>
        <w:jc w:val="both"/>
        <w:rPr>
          <w:bCs/>
          <w:color w:val="002060"/>
          <w:sz w:val="16"/>
          <w:szCs w:val="16"/>
        </w:rPr>
      </w:pPr>
      <w:r w:rsidRPr="00405303">
        <w:rPr>
          <w:bCs/>
          <w:color w:val="002060"/>
          <w:sz w:val="16"/>
          <w:szCs w:val="16"/>
        </w:rPr>
        <w:t>«Во-первых, — пишет генерал Маниковский, — это Совещание было слишком многолюдным, чтобы быть рабочим и достаточно продуктивным, ибо — это уже бесспорная истина — никакое практическое дело нельзя делать тол ком в собрании 50–60 человек, да еще такого разношерстного состава, каким было это Совещание.</w:t>
      </w:r>
    </w:p>
    <w:p w14:paraId="39FCF906" w14:textId="77777777" w:rsidR="009115C0" w:rsidRPr="00405303" w:rsidRDefault="009115C0" w:rsidP="00C15251">
      <w:pPr>
        <w:pStyle w:val="Blockquote"/>
        <w:spacing w:before="0" w:after="0"/>
        <w:ind w:left="0" w:right="0"/>
        <w:jc w:val="both"/>
        <w:rPr>
          <w:bCs/>
          <w:color w:val="002060"/>
          <w:sz w:val="16"/>
          <w:szCs w:val="16"/>
        </w:rPr>
      </w:pPr>
      <w:r w:rsidRPr="00405303">
        <w:rPr>
          <w:bCs/>
          <w:color w:val="002060"/>
          <w:sz w:val="16"/>
          <w:szCs w:val="16"/>
        </w:rPr>
        <w:t>Во-вторых, в этом огромном составе все же было очень мало людей, действительно понимающих военную технику и причины неудовлетворительности снабжения нашей армии и могущих указать меры, необходимые для его усиления. Зато было много таких, которые видели в этом Совещании главным образом орудие политической борьбы и в соответствии с этим и вели линию поведения...»</w:t>
      </w:r>
    </w:p>
    <w:p w14:paraId="38EA1E04" w14:textId="77777777" w:rsidR="009115C0" w:rsidRPr="00405303" w:rsidRDefault="009115C0" w:rsidP="00C15251">
      <w:pPr>
        <w:jc w:val="both"/>
        <w:rPr>
          <w:bCs/>
          <w:color w:val="002060"/>
          <w:sz w:val="16"/>
          <w:szCs w:val="16"/>
        </w:rPr>
      </w:pPr>
      <w:r w:rsidRPr="00405303">
        <w:rPr>
          <w:bCs/>
          <w:color w:val="002060"/>
          <w:sz w:val="16"/>
          <w:szCs w:val="16"/>
        </w:rPr>
        <w:t xml:space="preserve">Приходится поэтому признать, что вывод, сделанный подполковником Ребулем в статье «Промышленная мобилизация в России во время войны», указывающий на отсутствие в России тесно объединенной работы тыла, по существу дела, верен. Коренное разрешение вопроса могло быть только одно: создание Министерства снабжения, которое и должно было действенно объединить всю работу по снабжению как армии, так и страны. Хотя этот вопрос и подымался некоторыми членами Государственной думы во время рассмотрения законоположения об Особых совещаниях, но он не встретил сочувствия в этом законодательном учреждении. В этот период войны, отношения между правительством и Государственной думой обострились. Правительство потеряло доверие общественных кругов. Общественные круги и выразительница их, Государственная дума, опасались, что вновь образованное Министерство снабжения сразу же станет столь же мертвящим бюрократическим учреждением, каковым оказалось Военное министерство. </w:t>
      </w:r>
    </w:p>
    <w:p w14:paraId="088E5A32" w14:textId="77777777" w:rsidR="009115C0" w:rsidRPr="00405303" w:rsidRDefault="009115C0" w:rsidP="00C15251">
      <w:pPr>
        <w:jc w:val="both"/>
        <w:rPr>
          <w:bCs/>
          <w:color w:val="002060"/>
          <w:sz w:val="16"/>
          <w:szCs w:val="16"/>
        </w:rPr>
      </w:pPr>
      <w:r w:rsidRPr="00405303">
        <w:rPr>
          <w:bCs/>
          <w:color w:val="002060"/>
          <w:sz w:val="16"/>
          <w:szCs w:val="16"/>
        </w:rPr>
        <w:t xml:space="preserve">Несмотря на вышеуказанную отрицательную сторону, присущую организации Особых совещаний, создание их, в особенности же Особого совещания для объединения мероприятий по обороне государства, сыграло положительную роль. </w:t>
      </w:r>
    </w:p>
    <w:p w14:paraId="5826E25D" w14:textId="77777777" w:rsidR="009115C0" w:rsidRPr="00405303" w:rsidRDefault="009115C0" w:rsidP="00C15251">
      <w:pPr>
        <w:jc w:val="both"/>
        <w:rPr>
          <w:bCs/>
          <w:color w:val="002060"/>
          <w:sz w:val="16"/>
          <w:szCs w:val="16"/>
        </w:rPr>
      </w:pPr>
      <w:r w:rsidRPr="00405303">
        <w:rPr>
          <w:bCs/>
          <w:color w:val="002060"/>
          <w:sz w:val="16"/>
          <w:szCs w:val="16"/>
        </w:rPr>
        <w:t xml:space="preserve">Даже такой сторонник генерала Сухомлинова, каким является его ближайший сотрудник генерал Лукомский, вынужден это признать. </w:t>
      </w:r>
    </w:p>
    <w:p w14:paraId="66C6FE72" w14:textId="77777777" w:rsidR="009115C0" w:rsidRPr="00405303" w:rsidRDefault="009115C0" w:rsidP="00C15251">
      <w:pPr>
        <w:pStyle w:val="Blockquote"/>
        <w:spacing w:before="0" w:after="0"/>
        <w:ind w:left="0" w:right="0"/>
        <w:jc w:val="both"/>
        <w:rPr>
          <w:bCs/>
          <w:color w:val="002060"/>
          <w:sz w:val="16"/>
          <w:szCs w:val="16"/>
        </w:rPr>
      </w:pPr>
      <w:r w:rsidRPr="00405303">
        <w:rPr>
          <w:bCs/>
          <w:color w:val="002060"/>
          <w:sz w:val="16"/>
          <w:szCs w:val="16"/>
        </w:rPr>
        <w:t>«Но все же со времени образования Совещания, — пишет он в своей записке, — заказы стали даваться значительно шире.</w:t>
      </w:r>
    </w:p>
    <w:p w14:paraId="7B1C547F" w14:textId="77777777" w:rsidR="009115C0" w:rsidRPr="00405303" w:rsidRDefault="009115C0" w:rsidP="00C15251">
      <w:pPr>
        <w:pStyle w:val="Blockquote"/>
        <w:spacing w:before="0" w:after="0"/>
        <w:ind w:left="0" w:right="0"/>
        <w:jc w:val="both"/>
        <w:rPr>
          <w:bCs/>
          <w:color w:val="002060"/>
          <w:sz w:val="16"/>
          <w:szCs w:val="16"/>
        </w:rPr>
      </w:pPr>
      <w:r w:rsidRPr="00405303">
        <w:rPr>
          <w:bCs/>
          <w:color w:val="002060"/>
          <w:sz w:val="16"/>
          <w:szCs w:val="16"/>
        </w:rPr>
        <w:t>Происходило это, конечно, отчасти вследствие того, что вообще к этому времени для военного министра и начальников главных довольствующих управлений более определенно выяснилась необходимость значительно усилить снабжение, но в значительной степени и оттого, что вошедшие в состав Совещания члены Государственной думы, особенно ее председатель, постоянно в резкой форме настаивали на необходимости производства новых заказов, считаясь лишь с требованиями фронта и стараясь их предусмотреть вперед».</w:t>
      </w:r>
    </w:p>
    <w:p w14:paraId="08E27A5C" w14:textId="77777777" w:rsidR="009115C0" w:rsidRPr="00405303" w:rsidRDefault="009115C0" w:rsidP="00C15251">
      <w:pPr>
        <w:jc w:val="both"/>
        <w:rPr>
          <w:bCs/>
          <w:color w:val="002060"/>
          <w:sz w:val="16"/>
          <w:szCs w:val="16"/>
        </w:rPr>
      </w:pPr>
      <w:r w:rsidRPr="00405303">
        <w:rPr>
          <w:bCs/>
          <w:color w:val="002060"/>
          <w:sz w:val="16"/>
          <w:szCs w:val="16"/>
        </w:rPr>
        <w:t xml:space="preserve">Беспристрастный историк должен произвести оценку значения учреждения Особого совещания по обороне несравненно шире. </w:t>
      </w:r>
    </w:p>
    <w:p w14:paraId="737CD663" w14:textId="77777777" w:rsidR="009115C0" w:rsidRPr="00405303" w:rsidRDefault="009115C0" w:rsidP="00C15251">
      <w:pPr>
        <w:jc w:val="both"/>
        <w:rPr>
          <w:bCs/>
          <w:color w:val="002060"/>
          <w:sz w:val="16"/>
          <w:szCs w:val="16"/>
        </w:rPr>
      </w:pPr>
      <w:r w:rsidRPr="00405303">
        <w:rPr>
          <w:bCs/>
          <w:color w:val="002060"/>
          <w:sz w:val="16"/>
          <w:szCs w:val="16"/>
        </w:rPr>
        <w:t xml:space="preserve">Это была «живая вода», хлынувшая в бюрократическое болото. Это был прорыв общественных сил через плотину устарелых учреждений, способных только с большим запозданием плестись в хвосте требований жизни. Это был «контроль», освещающий «темные места» и подхлестывающий к работе, предусматривающий события. Поэтому учреждение Особого совещания по обороне являлось началом спасения России из того катастрофического положения, к которому привело армию министерство Сухомлинова. Рассматривая выше различные области боевого снабжения, мы видели, что везде начиная с осени 1915 г. наступает улучшение и к 1916 г. Русская армия не только выходит из агонии, но даже в состоянии одержать большую победу в Галиции. </w:t>
      </w:r>
    </w:p>
    <w:p w14:paraId="1739924C" w14:textId="77777777" w:rsidR="009115C0" w:rsidRPr="00405303" w:rsidRDefault="009115C0" w:rsidP="00C15251">
      <w:pPr>
        <w:jc w:val="both"/>
        <w:rPr>
          <w:bCs/>
          <w:color w:val="002060"/>
          <w:sz w:val="16"/>
          <w:szCs w:val="16"/>
        </w:rPr>
      </w:pPr>
      <w:r w:rsidRPr="00405303">
        <w:rPr>
          <w:bCs/>
          <w:color w:val="002060"/>
          <w:sz w:val="16"/>
          <w:szCs w:val="16"/>
        </w:rPr>
        <w:lastRenderedPageBreak/>
        <w:t xml:space="preserve">Особое совещание по обороне расширило возможность для общественных сил страны принять активное участие в деле снабжения армии. Уже это одно имело громадное значение, ибо самая мобилизация промышленности началась у нас по общественному почину. </w:t>
      </w:r>
    </w:p>
    <w:p w14:paraId="16AE2AAE" w14:textId="77777777" w:rsidR="009115C0" w:rsidRPr="00405303" w:rsidRDefault="009115C0" w:rsidP="00C15251">
      <w:pPr>
        <w:jc w:val="both"/>
        <w:rPr>
          <w:bCs/>
          <w:color w:val="002060"/>
          <w:sz w:val="16"/>
          <w:szCs w:val="16"/>
        </w:rPr>
      </w:pPr>
      <w:r w:rsidRPr="00405303">
        <w:rPr>
          <w:bCs/>
          <w:color w:val="002060"/>
          <w:sz w:val="16"/>
          <w:szCs w:val="16"/>
        </w:rPr>
        <w:t xml:space="preserve">Мобилизация промышленности </w:t>
      </w:r>
    </w:p>
    <w:p w14:paraId="32A80A1D" w14:textId="77777777" w:rsidR="009115C0" w:rsidRPr="00405303" w:rsidRDefault="009115C0" w:rsidP="00C15251">
      <w:pPr>
        <w:jc w:val="both"/>
        <w:rPr>
          <w:bCs/>
          <w:color w:val="002060"/>
          <w:sz w:val="16"/>
          <w:szCs w:val="16"/>
        </w:rPr>
      </w:pPr>
      <w:r w:rsidRPr="00405303">
        <w:rPr>
          <w:bCs/>
          <w:color w:val="002060"/>
          <w:sz w:val="16"/>
          <w:szCs w:val="16"/>
        </w:rPr>
        <w:t xml:space="preserve">Мобилизация промышленности как общественное движение зародилась на состоявшемся 8–11 июня 1915 г. в Петрограде IX очередном съезде представителей промышленности и торговли. На этом съезде была вынесена по обсуждении доклада «Промышленность и война» и после смелого выступления П. П. Рябушинского резолюция, в которой русская промышленность призывалась к объединению и дружной работе для обслуживания всех нужд войны. </w:t>
      </w:r>
    </w:p>
    <w:p w14:paraId="7398B726" w14:textId="77777777" w:rsidR="009115C0" w:rsidRPr="00405303" w:rsidRDefault="009115C0" w:rsidP="00C15251">
      <w:pPr>
        <w:jc w:val="both"/>
        <w:rPr>
          <w:bCs/>
          <w:color w:val="002060"/>
          <w:sz w:val="16"/>
          <w:szCs w:val="16"/>
        </w:rPr>
      </w:pPr>
      <w:r w:rsidRPr="00405303">
        <w:rPr>
          <w:bCs/>
          <w:color w:val="002060"/>
          <w:sz w:val="16"/>
          <w:szCs w:val="16"/>
        </w:rPr>
        <w:t xml:space="preserve">Для этой цели Съезд нашел необходимым поручить всем торгово-промышленным организациям образовать районные комитеты, объединяющие местную промышленность и торговлю и имеющие задачей приспособить предприятия к изготовлению всего необходимого для армии и флота, а также согласовать для сего общую деятельность фабрик и заводов. Согласование же между собою работ отдельных районов и этих же работ с деятельностью правительственных учреждений Съезд постановил возложить на учреждаемый им в Петрограде Центральный военно-промышленный комитет, в состав которого должны были войти представители научно-технических сил, представители от отдельных торгово-промышленных организаций, от управления железных дорог и пароходств и от Всероссийских союзов земств и городов. </w:t>
      </w:r>
    </w:p>
    <w:p w14:paraId="44B72AFC" w14:textId="77777777" w:rsidR="009115C0" w:rsidRPr="00405303" w:rsidRDefault="009115C0" w:rsidP="00C15251">
      <w:pPr>
        <w:jc w:val="both"/>
        <w:rPr>
          <w:bCs/>
          <w:color w:val="002060"/>
          <w:sz w:val="16"/>
          <w:szCs w:val="16"/>
        </w:rPr>
      </w:pPr>
      <w:r w:rsidRPr="00405303">
        <w:rPr>
          <w:bCs/>
          <w:color w:val="002060"/>
          <w:sz w:val="16"/>
          <w:szCs w:val="16"/>
        </w:rPr>
        <w:t xml:space="preserve">Сформировавшийся таким образом Центральный военно-промышленный комитет приступил прежде всего к выяснению перечня предметов, в которых нуждаются армия и флот, чтобы вслед затем определить программу планомерного использования производительных сил страны для изготовления этих предметов. Так как, однако, единого плана в деле снабжения не было, то на практике Комитету пришлось вырабатывать свою программу частями, по мере заказов от Военного ведомства. В течение первых же двух месяцев были образованы местные военно-промышленные комитеты в 73 городах. </w:t>
      </w:r>
    </w:p>
    <w:p w14:paraId="41F8DAE4" w14:textId="77777777" w:rsidR="009115C0" w:rsidRPr="00405303" w:rsidRDefault="009115C0" w:rsidP="00C15251">
      <w:pPr>
        <w:jc w:val="both"/>
        <w:rPr>
          <w:bCs/>
          <w:color w:val="002060"/>
          <w:sz w:val="16"/>
          <w:szCs w:val="16"/>
        </w:rPr>
      </w:pPr>
      <w:r w:rsidRPr="00405303">
        <w:rPr>
          <w:bCs/>
          <w:color w:val="002060"/>
          <w:sz w:val="16"/>
          <w:szCs w:val="16"/>
        </w:rPr>
        <w:t>Главная нужда, которую Комитет испытывал на пути к развитию своей деятельности, — это был недостаток станков, ибо как для расширения производства на старых заводах, так и для устройства новых заводов станки были необходимы, а между тем станки привозились из-за границы.</w:t>
      </w:r>
    </w:p>
    <w:p w14:paraId="02F23266" w14:textId="77777777" w:rsidR="009115C0" w:rsidRPr="00405303" w:rsidRDefault="009115C0" w:rsidP="00C15251">
      <w:pPr>
        <w:jc w:val="both"/>
        <w:rPr>
          <w:bCs/>
          <w:color w:val="002060"/>
          <w:sz w:val="16"/>
          <w:szCs w:val="16"/>
        </w:rPr>
      </w:pPr>
      <w:r w:rsidRPr="00405303">
        <w:rPr>
          <w:bCs/>
          <w:color w:val="002060"/>
          <w:sz w:val="16"/>
          <w:szCs w:val="16"/>
        </w:rPr>
        <w:t xml:space="preserve">Одновременно с мобилизацией крупной промышленности Военно-промышленным комитетом началась и мобилизация средней и мелкой промышленности. В этой области усилия Военно-промышленного комитета встретились с работами Всероссийских союзов земств и городов. </w:t>
      </w:r>
    </w:p>
    <w:p w14:paraId="2084372B" w14:textId="77777777" w:rsidR="009115C0" w:rsidRPr="00405303" w:rsidRDefault="009115C0" w:rsidP="00C15251">
      <w:pPr>
        <w:pStyle w:val="Blockquote"/>
        <w:spacing w:before="0" w:after="0"/>
        <w:ind w:left="0" w:right="0"/>
        <w:jc w:val="both"/>
        <w:rPr>
          <w:bCs/>
          <w:color w:val="002060"/>
          <w:sz w:val="16"/>
          <w:szCs w:val="16"/>
        </w:rPr>
      </w:pPr>
      <w:r w:rsidRPr="00405303">
        <w:rPr>
          <w:bCs/>
          <w:color w:val="002060"/>
          <w:sz w:val="16"/>
          <w:szCs w:val="16"/>
        </w:rPr>
        <w:t>«Привлечение общественных сил к снабжению армии и учреждение Особого совещания, — записывает в конце июля в своих воспоминаниях председатель Государственной думы М. В. Родзянко, — было с удовлетворением встречено в стране; на фронте облегченно вздохнули, и горечь последних неудач была смягчена надеждой на более светлое будущее. Возможность работать для армии, активно участвовать в подготовке ее успехов помогла переживать плохие известия с фронта, где мы продолжали отступать».</w:t>
      </w:r>
    </w:p>
    <w:p w14:paraId="0B452460" w14:textId="77777777" w:rsidR="009115C0" w:rsidRPr="00405303" w:rsidRDefault="009115C0" w:rsidP="00C15251">
      <w:pPr>
        <w:jc w:val="both"/>
        <w:rPr>
          <w:bCs/>
          <w:color w:val="002060"/>
          <w:sz w:val="16"/>
          <w:szCs w:val="16"/>
        </w:rPr>
      </w:pPr>
      <w:r w:rsidRPr="00405303">
        <w:rPr>
          <w:bCs/>
          <w:color w:val="002060"/>
          <w:sz w:val="16"/>
          <w:szCs w:val="16"/>
        </w:rPr>
        <w:t xml:space="preserve">Образование Военно-промышленного комитета не встретило особого сочувствия со стороны правительства, хотя уход Сухомлинова и очистил несколько атмосферу недоброжелательства к «вмешательству общественности вдела военные», несмотря на то что новый военный министр относился весьма сочувственно к возникновению Военно-промышленного комитета и к председателю последнего А. И. Гучкову. Помощник управляющего делами Совета министров А. Н. Яхонтов издал свои подробные записи заседаний Совета министров. Вот что записано у этого автора про начало заседания Совета министров 4/17 августа, на котором рассматривался проект «Положения о Военно-промышленном комитете» и на которое был приглашен председатель Центрального военно-промышленного комитета А. И. Гучков. </w:t>
      </w:r>
    </w:p>
    <w:p w14:paraId="76912062" w14:textId="77777777" w:rsidR="009115C0" w:rsidRPr="00405303" w:rsidRDefault="009115C0" w:rsidP="00C15251">
      <w:pPr>
        <w:pStyle w:val="Blockquote"/>
        <w:spacing w:before="0" w:after="0"/>
        <w:ind w:left="0" w:right="0"/>
        <w:jc w:val="both"/>
        <w:rPr>
          <w:bCs/>
          <w:color w:val="002060"/>
          <w:sz w:val="16"/>
          <w:szCs w:val="16"/>
        </w:rPr>
      </w:pPr>
      <w:r w:rsidRPr="00405303">
        <w:rPr>
          <w:bCs/>
          <w:color w:val="002060"/>
          <w:sz w:val="16"/>
          <w:szCs w:val="16"/>
        </w:rPr>
        <w:t>«Впервые со времен графа Витте в официальной части заседания присутствовало лицо «свободной профессии», с правительственной службой не связанное. Это был Александр Иванович Гучков, приглашенный на заседание по настоянию генерала Поливанова для участия в рассмотрении проекта положения о Военно-промышленном комитете. Все чувствовали себя как-то неловко, натянуто. У Гучкова был такой вид, будто он попал в стан разбойников и находится под давлением угрозы злых козней. Вернее, он напоминал застенчивого человека, явившегося в незнакомое общество с предрешенным намерением рассердиться при первом поводе и тем проявить свою самостоятельность. На делаемые по статьям проекта замечания Гучков отвечал с не вызываемой существом возражений резкостью и требовал либо одобрения положения о Комитете полностью, либо отказа в санкции этого учреждения, подчеркивая, что положение это выработано представителями общественных организаций, желающих бескорыстно послужить делу снабжения армии. В конце концов обсуждение было скомкано, и все как бы спешили отделаться от не особенно приятного свидания».</w:t>
      </w:r>
    </w:p>
    <w:p w14:paraId="38944191" w14:textId="77777777" w:rsidR="009115C0" w:rsidRPr="00405303" w:rsidRDefault="009115C0" w:rsidP="00C15251">
      <w:pPr>
        <w:jc w:val="both"/>
        <w:rPr>
          <w:bCs/>
          <w:color w:val="002060"/>
          <w:sz w:val="16"/>
          <w:szCs w:val="16"/>
        </w:rPr>
      </w:pPr>
      <w:r w:rsidRPr="00405303">
        <w:rPr>
          <w:bCs/>
          <w:color w:val="002060"/>
          <w:sz w:val="16"/>
          <w:szCs w:val="16"/>
        </w:rPr>
        <w:t xml:space="preserve">«По выходе, однако, А. И. Гучкова из комнаты заседания, — замечает другой свидетель, а именно генерал Поливанов, — И. Л. Горемыкин проворчал неодобрительно и о многочисленности состава Центрального комитета, и о-том, что там проектировано ввести 10 представителей от рабочих, и о том, что он много шумит, а сделает ли что-нибудь — это мы увидим». </w:t>
      </w:r>
    </w:p>
    <w:p w14:paraId="2AA43C28" w14:textId="77777777" w:rsidR="009115C0" w:rsidRPr="00405303" w:rsidRDefault="009115C0" w:rsidP="00C15251">
      <w:pPr>
        <w:jc w:val="both"/>
        <w:rPr>
          <w:bCs/>
          <w:color w:val="002060"/>
          <w:sz w:val="16"/>
          <w:szCs w:val="16"/>
        </w:rPr>
      </w:pPr>
      <w:r w:rsidRPr="00405303">
        <w:rPr>
          <w:bCs/>
          <w:color w:val="002060"/>
          <w:sz w:val="16"/>
          <w:szCs w:val="16"/>
        </w:rPr>
        <w:t xml:space="preserve">Даже строгие критики нашей «общественности» все-таки вынуждены признать большую заслугу перед Родиной Военно-промышленного комитета. «Создавшийся Военно-промышленный комитет, — пишет генерал Лукомский, — имевший свои отделы во всех промышленных центрах России, давал основание считать, что с его помощью будет достигнуто полное напряжение отечественной промышленности, а армия и страна получат от внутреннего рынка все, что только Россия в состоянии дать. Действительно, надо отдать в этом отношении справедливость Военно-промышленному комитету, который, постепенно расширяя все более и более свою деятельность, объединяя фабрично-заводские предприятия и кустарные артели, а также создавая новые предприятия, принес в деле снабжения армии колоссальную помощь Военному ведомству. Можно, конечно, критиковать деятельность Военно-промышленного комитета в том отношении, что на организацию собственного аппарата он тратил очень значительные суммы; что хотя он и не поощрял, но, во всяком случае, очень слабо боролся с громадными аппетитами многих промышленников, стремившихся нажиться на казенных поставках. Обвинений в этом отношении против Военно-промышленного комитета было много, но считаю, что при существовавшей обстановке и при отсутствии правильной организации центрального органа снабжения приходил ось часто переплачивать, лишь бы скорее дать необходимое армии. Надо также иметь в виду, что Военно-промышленный комитет являлся не единственным заказчиком на внутреннем рынке. Кроме него, заказывали Городской и Земский союзы, и крупные заказы продолжали даваться главными довольствующими управлениями, а следовательно, Военно-промышленному комитету приходилось иметь дело уже с определившимися расценками на различные предметы снабжения». </w:t>
      </w:r>
    </w:p>
    <w:p w14:paraId="79A49442" w14:textId="77777777" w:rsidR="009115C0" w:rsidRPr="00405303" w:rsidRDefault="009115C0" w:rsidP="00C15251">
      <w:pPr>
        <w:jc w:val="both"/>
        <w:rPr>
          <w:bCs/>
          <w:color w:val="002060"/>
          <w:sz w:val="16"/>
          <w:szCs w:val="16"/>
        </w:rPr>
      </w:pPr>
      <w:r w:rsidRPr="00405303">
        <w:rPr>
          <w:bCs/>
          <w:color w:val="002060"/>
          <w:sz w:val="16"/>
          <w:szCs w:val="16"/>
        </w:rPr>
        <w:t xml:space="preserve">Упрек, который делает генерал Лукомский Военно-промышленному комитету в том, что он слабо боролся с аппетитами многих промышленников, чрезвычайно серьезен, но причины этого зла лежали глубже недр Военно-промышленного комитета. </w:t>
      </w:r>
    </w:p>
    <w:p w14:paraId="39D89DFD" w14:textId="77777777" w:rsidR="009115C0" w:rsidRPr="00405303" w:rsidRDefault="009115C0" w:rsidP="00C15251">
      <w:pPr>
        <w:jc w:val="both"/>
        <w:rPr>
          <w:bCs/>
          <w:color w:val="002060"/>
          <w:sz w:val="16"/>
          <w:szCs w:val="16"/>
        </w:rPr>
      </w:pPr>
      <w:r w:rsidRPr="00405303">
        <w:rPr>
          <w:bCs/>
          <w:color w:val="002060"/>
          <w:sz w:val="16"/>
          <w:szCs w:val="16"/>
        </w:rPr>
        <w:t xml:space="preserve">Осуществить надлежащую организацию тыла можно было только при условии издания Закона о всеобщей промышленной военной повинности, составленного на основании тех же принципов, что и «Закон о всеобщей воинской повинности». Государство, считающее себя вправе требовать от своих граждан жертвы кровью и жизнью, конечно, имеет еще большее право требовать от своих граждан, оставшихся в тылу, жертв личным трудом и имуществом. Вопрос этот для всех государств был новый. Он требовал большой научной и социальной зрелости. Он был под силу только сильному правительству. Наша же Верховная власть хотя и боролась все время за осуществление самодержавия, но, восстановив против себя общественные круги и не сумев удержать расположение к себе народных масс, по существу дела, являлась слабой. Мы видели выше, как Совет министров трижды отклонил законопроект о милитаризации заводов, работающих на оборону. Несомненно, что он боялся рабочих. Так же точно он не смел по-настоящему бороться со злоупотреблениями промышленников. </w:t>
      </w:r>
    </w:p>
    <w:p w14:paraId="4631D00C" w14:textId="77777777" w:rsidR="009115C0" w:rsidRPr="00405303" w:rsidRDefault="009115C0" w:rsidP="00C15251">
      <w:pPr>
        <w:jc w:val="both"/>
        <w:rPr>
          <w:bCs/>
          <w:color w:val="002060"/>
          <w:sz w:val="16"/>
          <w:szCs w:val="16"/>
        </w:rPr>
      </w:pPr>
      <w:r w:rsidRPr="00405303">
        <w:rPr>
          <w:bCs/>
          <w:color w:val="002060"/>
          <w:sz w:val="16"/>
          <w:szCs w:val="16"/>
        </w:rPr>
        <w:t xml:space="preserve">Бессилие правительства </w:t>
      </w:r>
    </w:p>
    <w:p w14:paraId="00072DBC" w14:textId="77777777" w:rsidR="009115C0" w:rsidRPr="00405303" w:rsidRDefault="009115C0" w:rsidP="00C15251">
      <w:pPr>
        <w:jc w:val="both"/>
        <w:rPr>
          <w:bCs/>
          <w:color w:val="002060"/>
          <w:sz w:val="16"/>
          <w:szCs w:val="16"/>
        </w:rPr>
      </w:pPr>
      <w:r w:rsidRPr="00405303">
        <w:rPr>
          <w:bCs/>
          <w:color w:val="002060"/>
          <w:sz w:val="16"/>
          <w:szCs w:val="16"/>
        </w:rPr>
        <w:t xml:space="preserve">В цитированных выше записях помощника управляющего делами Совета министров А. Н. Яхонтова, посвященных секретным заседаниям Совета министров в августе и сентябре 1915 г., ярко вырисовывается бессилие Совета министров в большинстве вопросов управления страной. Мы не будем здесь останавливаться на подробном рассмотрении причин этого бессилия. Их много, и многие из них обусловливаются событиями войны. Об этом мы будем говорить в III части нашего труда. Здесь же мы укажем на главную, которая резко сформулирована самими министрами в последних заседаниях. «Правительство не может висеть в безвоздушном пространстве и опираться на одну полицию», — говорит в заседании 8 сентября министр иностранных дел С. Д. Сазонов. </w:t>
      </w:r>
    </w:p>
    <w:p w14:paraId="2E7242D0" w14:textId="77777777" w:rsidR="009115C0" w:rsidRPr="00405303" w:rsidRDefault="009115C0" w:rsidP="00C15251">
      <w:pPr>
        <w:jc w:val="both"/>
        <w:rPr>
          <w:bCs/>
          <w:color w:val="002060"/>
          <w:sz w:val="16"/>
          <w:szCs w:val="16"/>
        </w:rPr>
      </w:pPr>
      <w:r w:rsidRPr="00405303">
        <w:rPr>
          <w:bCs/>
          <w:color w:val="002060"/>
          <w:sz w:val="16"/>
          <w:szCs w:val="16"/>
        </w:rPr>
        <w:t xml:space="preserve">На заседании через два дня другой видный министр, а именно министр земледелия А. В. Кривошеин, развивает ту же мысль: «Что мы ни говори, что мы ни обещай, как ни заигрывай с прогрессивным блоком и общественностью — нам все равно не поверят. Ведь требования Государственной думы и всей страны сводятся к вопросу не программы, а людей, которым вверяется власть. Поэтому мне думается, что центр наших суждений должен бы заключаться в постановке принципиального вопроса </w:t>
      </w:r>
      <w:r w:rsidRPr="00405303">
        <w:rPr>
          <w:bCs/>
          <w:color w:val="002060"/>
          <w:sz w:val="16"/>
          <w:szCs w:val="16"/>
        </w:rPr>
        <w:lastRenderedPageBreak/>
        <w:t xml:space="preserve">об отношении Его Императорского Величества к правительству настоящего состава и к требованиям страны об исполнительной власти, облеченной общественным доверием. Пускай Монарх решит, как ему угодно направить дальнейшую внутреннюю политику, по пути ли игнорирования таких пожеланий или же по пути примирения, избрав во втором случае пользующееся общественными симпатиями лицо и возложив на него образование правительства. Без разрешения этого кардинального вопроса мы все равно с места не сдвинемся. Лично я высказываюсь за второй путь действий — избрание Государем Императором лица и поручение ему составить кабинет, отвечающий чаяниям страны». </w:t>
      </w:r>
    </w:p>
    <w:p w14:paraId="707A0445" w14:textId="77777777" w:rsidR="009115C0" w:rsidRPr="00405303" w:rsidRDefault="009115C0" w:rsidP="00C15251">
      <w:pPr>
        <w:jc w:val="both"/>
        <w:rPr>
          <w:bCs/>
          <w:color w:val="002060"/>
          <w:sz w:val="16"/>
          <w:szCs w:val="16"/>
        </w:rPr>
      </w:pPr>
      <w:r w:rsidRPr="00405303">
        <w:rPr>
          <w:bCs/>
          <w:color w:val="002060"/>
          <w:sz w:val="16"/>
          <w:szCs w:val="16"/>
        </w:rPr>
        <w:t xml:space="preserve">С этим заявлением А. В. Кривошеина соглашаются большинство министров. </w:t>
      </w:r>
    </w:p>
    <w:p w14:paraId="1402C953" w14:textId="77777777" w:rsidR="009115C0" w:rsidRPr="00405303" w:rsidRDefault="009115C0" w:rsidP="00C15251">
      <w:pPr>
        <w:jc w:val="both"/>
        <w:rPr>
          <w:bCs/>
          <w:color w:val="002060"/>
          <w:sz w:val="16"/>
          <w:szCs w:val="16"/>
        </w:rPr>
      </w:pPr>
      <w:r w:rsidRPr="00405303">
        <w:rPr>
          <w:bCs/>
          <w:color w:val="002060"/>
          <w:sz w:val="16"/>
          <w:szCs w:val="16"/>
        </w:rPr>
        <w:t xml:space="preserve">Государь избрал первый путь, и главный исполнительный орган, Совет министров, стал еще бессильнее. Социальный процесс изоляции правительства пошел еще быстрее. Авторитет его окончательно пал. При таких условиях правительство оказывается не только бессильным произвести какие-либо коренные органические реформы в структуре работы тыла, оно даже неспособно объединить в стройную организацию те крайние усилия, которые проявляет теперь вся страна, чтобы спасти свою армию от катастрофы. </w:t>
      </w:r>
    </w:p>
    <w:p w14:paraId="49F22B2D" w14:textId="77777777" w:rsidR="009115C0" w:rsidRPr="00405303" w:rsidRDefault="009115C0" w:rsidP="00C15251">
      <w:pPr>
        <w:jc w:val="both"/>
        <w:rPr>
          <w:bCs/>
          <w:color w:val="002060"/>
          <w:sz w:val="16"/>
          <w:szCs w:val="16"/>
        </w:rPr>
      </w:pPr>
      <w:r w:rsidRPr="00405303">
        <w:rPr>
          <w:bCs/>
          <w:color w:val="002060"/>
          <w:sz w:val="16"/>
          <w:szCs w:val="16"/>
        </w:rPr>
        <w:t xml:space="preserve">Эта неспособность правительства увеличивается еще тем, что самый подбор министров чрезвычайно неудачен. Последнее не случайно, а является лишь одним из звеньев того социального процесса, который происходит. Выбор Верховной власти до крайности ограничен. Все лучшие элементы должны быть заподозрены в оппозиции к власти. И вот на замену уволенного 15/28 марта генерала Поливанова назначается военным министром генерал Шуваев. Председатель Государственной думы М. В. Родзянко так характеризует генерала Шуваева: «...Честный, хороший человек, но недостаточно подготовлен для такого поста в военное время; его председательствование в Особом совещании делало заседания путаными и утомительными». </w:t>
      </w:r>
    </w:p>
    <w:p w14:paraId="6A6F35C3" w14:textId="77777777" w:rsidR="009115C0" w:rsidRPr="00405303" w:rsidRDefault="009115C0" w:rsidP="00C15251">
      <w:pPr>
        <w:jc w:val="both"/>
        <w:rPr>
          <w:bCs/>
          <w:color w:val="002060"/>
          <w:sz w:val="16"/>
          <w:szCs w:val="16"/>
        </w:rPr>
      </w:pPr>
      <w:r w:rsidRPr="00405303">
        <w:rPr>
          <w:bCs/>
          <w:color w:val="002060"/>
          <w:sz w:val="16"/>
          <w:szCs w:val="16"/>
        </w:rPr>
        <w:t>Гораздо строже отзывается о нем французский министр снабжения г-н Тома, присланный французским правительством для ознакомления с нуждами русского военного снабжения. На просьбу председателя Государственной думы откровенно указать наши больные места в организации снабжения французский министр ответил: «Россия должна быть чрезвычайно богата и очень уверена в своих силах, чтобы позволять себе роскошь иметь правительство, подобное вашему, где премьер-министр является бедствием, а военный министр — катастрофой».</w:t>
      </w:r>
    </w:p>
    <w:p w14:paraId="476E6091" w14:textId="77777777" w:rsidR="009115C0" w:rsidRPr="00405303" w:rsidRDefault="009115C0" w:rsidP="00C15251">
      <w:pPr>
        <w:jc w:val="both"/>
        <w:rPr>
          <w:bCs/>
          <w:color w:val="002060"/>
          <w:sz w:val="16"/>
          <w:szCs w:val="16"/>
        </w:rPr>
      </w:pPr>
      <w:r w:rsidRPr="00405303">
        <w:rPr>
          <w:bCs/>
          <w:color w:val="002060"/>
          <w:sz w:val="16"/>
          <w:szCs w:val="16"/>
        </w:rPr>
        <w:t xml:space="preserve">Отзыв г-на Тома, быть может, слишком жесток. Но несомненно, что генерал Шуваев выше уровня обыкновенного строевого генерала или рядового интенданта подняться не мог. Выбор генерала Шуваева на должность военного министра обусловливался тем, что Верховная власть рассчитывала, что он будет бороться со все более и более усиливающейся ролью общественных сил в деле снабжения армии. «После ухода Поливанова, — пишет М. В. Родзянко, — Великий князь Сергей Михайлович повел агитацию против Особого совещания и убеждал Государя вовсе упразднить его. С Шуваевым на заседаниях происходили постоянные столкновения, и казалось, будто он нарочно вызывал резкости, чтобы иметь причины для ликвидации Совещания». </w:t>
      </w:r>
    </w:p>
    <w:p w14:paraId="707B75A3" w14:textId="77777777" w:rsidR="009115C0" w:rsidRPr="00405303" w:rsidRDefault="009115C0" w:rsidP="00C15251">
      <w:pPr>
        <w:jc w:val="both"/>
        <w:rPr>
          <w:bCs/>
          <w:color w:val="002060"/>
          <w:sz w:val="16"/>
          <w:szCs w:val="16"/>
        </w:rPr>
      </w:pPr>
      <w:r w:rsidRPr="00405303">
        <w:rPr>
          <w:bCs/>
          <w:color w:val="002060"/>
          <w:sz w:val="16"/>
          <w:szCs w:val="16"/>
        </w:rPr>
        <w:t xml:space="preserve">Но генерал Шуваев не оправдал связанных с его назначением политических расчетов. </w:t>
      </w:r>
    </w:p>
    <w:p w14:paraId="4B5CDBAF" w14:textId="77777777" w:rsidR="009115C0" w:rsidRPr="00405303" w:rsidRDefault="009115C0" w:rsidP="00C15251">
      <w:pPr>
        <w:pStyle w:val="Blockquote"/>
        <w:spacing w:before="0" w:after="0"/>
        <w:ind w:left="0" w:right="0"/>
        <w:jc w:val="both"/>
        <w:rPr>
          <w:bCs/>
          <w:color w:val="002060"/>
          <w:sz w:val="16"/>
          <w:szCs w:val="16"/>
        </w:rPr>
      </w:pPr>
      <w:r w:rsidRPr="00405303">
        <w:rPr>
          <w:bCs/>
          <w:color w:val="002060"/>
          <w:sz w:val="16"/>
          <w:szCs w:val="16"/>
        </w:rPr>
        <w:t>«В заседании 5 ноября случилось событие, которое оставило сильное впечатление не только в Думе, но и в стране. Во время заседания в зале заседаний появились военный министр Шуваев и морской — Григорович. Они обратились к председателю, сообщив о желании сделать заявление. Когда Марков 2-й окончил свою речь, на трибуну поднялся Шуваев и, сильно волнуясь, сказал, что он как старый солдат верит в доблесть Русской армии, что армия снабжена всем необходимым благодаря единодушной поддержке народа и народного представительства. Он привел цифры увеличения поступления боевых припасов в армию со времени учреждения Особого совещания по обороне. Закончил он просьбой и впредь поддерживать его доверием».</w:t>
      </w:r>
    </w:p>
    <w:p w14:paraId="4464B0F3" w14:textId="77777777" w:rsidR="009115C0" w:rsidRPr="00405303" w:rsidRDefault="009115C0" w:rsidP="00C15251">
      <w:pPr>
        <w:jc w:val="both"/>
        <w:rPr>
          <w:bCs/>
          <w:color w:val="002060"/>
          <w:sz w:val="16"/>
          <w:szCs w:val="16"/>
        </w:rPr>
      </w:pPr>
      <w:r w:rsidRPr="00405303">
        <w:rPr>
          <w:bCs/>
          <w:color w:val="002060"/>
          <w:sz w:val="16"/>
          <w:szCs w:val="16"/>
        </w:rPr>
        <w:t xml:space="preserve">Вскоре после этого выступления, а именно в начале января 1917 года, генерал Шуваев был заменен на посту военного министра генералом Беляевым. Назначение последнего состоялось по выбору императрицы Александры Феодоровны как человека, вполне верного принятому курсу самодержавной политики. Генерал Беляев представлял собой тип «военного чиновника». Все свое трудолюбие и большую работоспособность он направлял по «бумажному» руслу. В армии он был очень непопулярен, ибо за ним установилась репутация человека, мертвящего всякое живое дело. За ним даже прочно установилась кличка «Мертвая голова». </w:t>
      </w:r>
    </w:p>
    <w:p w14:paraId="65E53517" w14:textId="77777777" w:rsidR="009115C0" w:rsidRPr="00405303" w:rsidRDefault="009115C0" w:rsidP="00C15251">
      <w:pPr>
        <w:jc w:val="both"/>
        <w:rPr>
          <w:bCs/>
          <w:color w:val="002060"/>
          <w:sz w:val="16"/>
          <w:szCs w:val="16"/>
        </w:rPr>
      </w:pPr>
      <w:r w:rsidRPr="00405303">
        <w:rPr>
          <w:bCs/>
          <w:color w:val="002060"/>
          <w:sz w:val="16"/>
          <w:szCs w:val="16"/>
        </w:rPr>
        <w:t xml:space="preserve">Отрицательного влияния на дело снабжения назначение Беляева не могло оказать, так как в начале марта вспыхнула революция. </w:t>
      </w:r>
    </w:p>
    <w:p w14:paraId="253292E4" w14:textId="77777777" w:rsidR="009115C0" w:rsidRPr="00405303" w:rsidRDefault="009115C0" w:rsidP="00C15251">
      <w:pPr>
        <w:jc w:val="both"/>
        <w:rPr>
          <w:bCs/>
          <w:color w:val="002060"/>
          <w:sz w:val="16"/>
          <w:szCs w:val="16"/>
        </w:rPr>
      </w:pPr>
      <w:r w:rsidRPr="00405303">
        <w:rPr>
          <w:bCs/>
          <w:color w:val="002060"/>
          <w:sz w:val="16"/>
          <w:szCs w:val="16"/>
        </w:rPr>
        <w:t xml:space="preserve">Революция </w:t>
      </w:r>
    </w:p>
    <w:p w14:paraId="2039FF02" w14:textId="77777777" w:rsidR="009115C0" w:rsidRPr="00405303" w:rsidRDefault="009115C0" w:rsidP="00C15251">
      <w:pPr>
        <w:jc w:val="both"/>
        <w:rPr>
          <w:bCs/>
          <w:color w:val="002060"/>
          <w:sz w:val="16"/>
          <w:szCs w:val="16"/>
        </w:rPr>
      </w:pPr>
      <w:r w:rsidRPr="00405303">
        <w:rPr>
          <w:bCs/>
          <w:color w:val="002060"/>
          <w:sz w:val="16"/>
          <w:szCs w:val="16"/>
        </w:rPr>
        <w:t xml:space="preserve">В разбушевавшейся революционной стихии сразу же начала падать на заводах и промышленных предприятиях трудовая дисциплина. Технический и административный персонал, который не был изгнан рабочими, не имел возможности руководить делом. Он был терроризован рабочими. В результате — крайняя небрежность в работе и все увеличивающееся падение производительности. Московская металлообрабатывающая промышленность уже в апреле пала на 32%, производительность петроградских фабрик и заводов — на 20–40%, добыча угля и общая производительность Донецкого бассейна к 1 июля — на 30% и т.д. Расстроилась также добыча нефти на бакинских и грозненских промыслах. </w:t>
      </w:r>
    </w:p>
    <w:p w14:paraId="6BF8C2D2" w14:textId="77777777" w:rsidR="009115C0" w:rsidRPr="00405303" w:rsidRDefault="009115C0" w:rsidP="00C15251">
      <w:pPr>
        <w:jc w:val="both"/>
        <w:rPr>
          <w:bCs/>
          <w:color w:val="002060"/>
          <w:sz w:val="16"/>
          <w:szCs w:val="16"/>
        </w:rPr>
      </w:pPr>
    </w:p>
    <w:p w14:paraId="373B4D38" w14:textId="77777777" w:rsidR="00DE7D74" w:rsidRPr="00405303" w:rsidRDefault="00DE7D74" w:rsidP="00C15251">
      <w:pPr>
        <w:shd w:val="clear" w:color="auto" w:fill="FFFFFF"/>
        <w:jc w:val="both"/>
        <w:rPr>
          <w:bCs/>
          <w:i/>
          <w:color w:val="002060"/>
          <w:sz w:val="16"/>
          <w:szCs w:val="16"/>
        </w:rPr>
      </w:pPr>
      <w:r w:rsidRPr="00405303">
        <w:rPr>
          <w:bCs/>
          <w:i/>
          <w:color w:val="002060"/>
          <w:sz w:val="16"/>
          <w:szCs w:val="16"/>
        </w:rPr>
        <w:t>Авиация:</w:t>
      </w:r>
    </w:p>
    <w:p w14:paraId="790E202D" w14:textId="77777777" w:rsidR="00DE7D74" w:rsidRPr="00405303" w:rsidRDefault="00DE7D74" w:rsidP="00C15251">
      <w:pPr>
        <w:shd w:val="clear" w:color="auto" w:fill="FFFFFF"/>
        <w:jc w:val="both"/>
        <w:rPr>
          <w:bCs/>
          <w:i/>
          <w:color w:val="002060"/>
          <w:sz w:val="16"/>
          <w:szCs w:val="16"/>
        </w:rPr>
      </w:pPr>
    </w:p>
    <w:p w14:paraId="2DF55F73" w14:textId="7EB35DA0" w:rsidR="00DE7D74" w:rsidRPr="00405303" w:rsidRDefault="00DE7D74" w:rsidP="00C15251">
      <w:pPr>
        <w:jc w:val="both"/>
        <w:rPr>
          <w:bCs/>
          <w:color w:val="002060"/>
          <w:sz w:val="16"/>
          <w:szCs w:val="16"/>
        </w:rPr>
      </w:pPr>
      <w:r w:rsidRPr="00405303">
        <w:rPr>
          <w:bCs/>
          <w:color w:val="002060"/>
          <w:sz w:val="16"/>
          <w:szCs w:val="16"/>
        </w:rPr>
        <w:t xml:space="preserve">18 июня </w:t>
      </w:r>
      <w:r w:rsidR="008B1C92" w:rsidRPr="00405303">
        <w:rPr>
          <w:bCs/>
          <w:color w:val="002060"/>
          <w:sz w:val="16"/>
          <w:szCs w:val="16"/>
        </w:rPr>
        <w:t xml:space="preserve">(1 июля) </w:t>
      </w:r>
      <w:r w:rsidRPr="00405303">
        <w:rPr>
          <w:bCs/>
          <w:color w:val="002060"/>
          <w:sz w:val="16"/>
          <w:szCs w:val="16"/>
        </w:rPr>
        <w:t>в 1915 году экипаж капитана И.С.Башко на самолете «Илья Муромец» на станции Пржеворск обнаружил вражеский состав с вооружением. Авиабомбы точно поразили цель. Состав с 35 тысяч снарядов, станционные пути и постройки были уничтожены. Одно из первых успешных бомбометаний авиации в России (14926).</w:t>
      </w:r>
    </w:p>
    <w:p w14:paraId="395B976B" w14:textId="77777777" w:rsidR="00DE7D74" w:rsidRPr="00405303" w:rsidRDefault="00DE7D74" w:rsidP="00C15251">
      <w:pPr>
        <w:jc w:val="both"/>
        <w:rPr>
          <w:bCs/>
          <w:color w:val="002060"/>
          <w:sz w:val="16"/>
          <w:szCs w:val="16"/>
        </w:rPr>
      </w:pPr>
    </w:p>
    <w:p w14:paraId="4AC809AA" w14:textId="77777777" w:rsidR="008B1C92" w:rsidRPr="00405303" w:rsidRDefault="008B1C9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7727A7A8" w14:textId="77777777" w:rsidR="008B1C92" w:rsidRPr="00405303" w:rsidRDefault="008B1C92" w:rsidP="00C15251">
      <w:pPr>
        <w:shd w:val="clear" w:color="auto" w:fill="FFFFFF"/>
        <w:jc w:val="both"/>
        <w:rPr>
          <w:bCs/>
          <w:i/>
          <w:color w:val="002060"/>
          <w:sz w:val="16"/>
          <w:szCs w:val="16"/>
        </w:rPr>
      </w:pPr>
    </w:p>
    <w:p w14:paraId="4757BD42" w14:textId="77777777" w:rsidR="008B1C92" w:rsidRPr="00405303" w:rsidRDefault="008B1C92" w:rsidP="00C15251">
      <w:pPr>
        <w:jc w:val="both"/>
        <w:rPr>
          <w:bCs/>
          <w:color w:val="002060"/>
          <w:sz w:val="16"/>
          <w:szCs w:val="16"/>
        </w:rPr>
      </w:pPr>
      <w:r w:rsidRPr="00405303">
        <w:rPr>
          <w:bCs/>
          <w:color w:val="002060"/>
          <w:sz w:val="16"/>
          <w:szCs w:val="16"/>
        </w:rPr>
        <w:t>18 июня (1 июля) 1915 Leutnant Курт Винтгенс на одном из первых пяти построенных Fokker Eindecker "E.5/15, вооруженных пулеметорм MG 14 Parabellum с синхронизаторои одерживает первую воздушную победу, сбивая двухместный наблюдательный самолет Morane-Saulnier L над Западным фронтом. Синхронизатор позволяет пулемету стрелять через вращающийся винт, не задевая его лопасти. Его победа положит начало периоду, который станет известен как «Бич Фоккеров», когда немецкие Фоккеры Айндеккерс нанесут большой урон самолетам союзников над Западным фронтом. Винтгенс сбил еще два двухместных самолета Morane Type L - по одному 4 и 15 июля, причем победа 15 июля стала его первой подтвержденной победой. И все это было достигнуто на E.5 / 15 (20338).</w:t>
      </w:r>
    </w:p>
    <w:p w14:paraId="0C04761B" w14:textId="77777777" w:rsidR="008B1C92" w:rsidRPr="00405303" w:rsidRDefault="008B1C92" w:rsidP="00C15251">
      <w:pPr>
        <w:jc w:val="both"/>
        <w:rPr>
          <w:bCs/>
          <w:color w:val="002060"/>
          <w:sz w:val="16"/>
          <w:szCs w:val="16"/>
        </w:rPr>
      </w:pPr>
    </w:p>
    <w:p w14:paraId="22339738" w14:textId="77777777" w:rsidR="008B1C92" w:rsidRPr="00405303" w:rsidRDefault="008B1C92" w:rsidP="00C15251">
      <w:pPr>
        <w:shd w:val="clear" w:color="auto" w:fill="FFFFFF"/>
        <w:jc w:val="both"/>
        <w:rPr>
          <w:bCs/>
          <w:i/>
          <w:color w:val="002060"/>
          <w:sz w:val="16"/>
          <w:szCs w:val="16"/>
        </w:rPr>
      </w:pPr>
      <w:r w:rsidRPr="00405303">
        <w:rPr>
          <w:bCs/>
          <w:i/>
          <w:color w:val="002060"/>
          <w:sz w:val="16"/>
          <w:szCs w:val="16"/>
        </w:rPr>
        <w:t>Авиация и воздухоплавание Франции:</w:t>
      </w:r>
    </w:p>
    <w:p w14:paraId="303CF5AB" w14:textId="77777777" w:rsidR="008B1C92" w:rsidRPr="00405303" w:rsidRDefault="008B1C92" w:rsidP="00C15251">
      <w:pPr>
        <w:shd w:val="clear" w:color="auto" w:fill="FFFFFF"/>
        <w:jc w:val="both"/>
        <w:rPr>
          <w:bCs/>
          <w:i/>
          <w:color w:val="002060"/>
          <w:sz w:val="16"/>
          <w:szCs w:val="16"/>
        </w:rPr>
      </w:pPr>
    </w:p>
    <w:p w14:paraId="2DA96F0C" w14:textId="77777777" w:rsidR="008B1C92" w:rsidRPr="00405303" w:rsidRDefault="008B1C92" w:rsidP="00C15251">
      <w:pPr>
        <w:jc w:val="both"/>
        <w:rPr>
          <w:bCs/>
          <w:color w:val="002060"/>
          <w:sz w:val="16"/>
          <w:szCs w:val="16"/>
        </w:rPr>
      </w:pPr>
      <w:r w:rsidRPr="00405303">
        <w:rPr>
          <w:bCs/>
          <w:color w:val="002060"/>
          <w:sz w:val="16"/>
          <w:szCs w:val="16"/>
        </w:rPr>
        <w:t>18 июня (1 июля) 1915 ВМС Франции запускает в эксплуатацию носитель гидросамолетов Па-де-Кале. Это первый пароход, служивший авианесущим судном (20338).</w:t>
      </w:r>
    </w:p>
    <w:p w14:paraId="5815F59A" w14:textId="77777777" w:rsidR="008B1C92" w:rsidRPr="00405303" w:rsidRDefault="008B1C92" w:rsidP="00C15251">
      <w:pPr>
        <w:jc w:val="both"/>
        <w:rPr>
          <w:bCs/>
          <w:color w:val="002060"/>
          <w:sz w:val="16"/>
          <w:szCs w:val="16"/>
        </w:rPr>
      </w:pPr>
    </w:p>
    <w:p w14:paraId="6466095F"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39825EF3" w14:textId="77777777" w:rsidR="004B4E35" w:rsidRPr="00405303" w:rsidRDefault="004B4E35" w:rsidP="00C15251">
      <w:pPr>
        <w:jc w:val="both"/>
        <w:rPr>
          <w:bCs/>
          <w:i/>
          <w:color w:val="002060"/>
          <w:sz w:val="16"/>
          <w:szCs w:val="16"/>
        </w:rPr>
      </w:pPr>
    </w:p>
    <w:p w14:paraId="59815729" w14:textId="64627E71"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19 июня </w:t>
      </w:r>
      <w:r w:rsidR="00311D9E" w:rsidRPr="00405303">
        <w:rPr>
          <w:bCs/>
          <w:color w:val="002060"/>
          <w:sz w:val="16"/>
          <w:szCs w:val="16"/>
        </w:rPr>
        <w:t xml:space="preserve">(2 июля) </w:t>
      </w:r>
      <w:r w:rsidRPr="00405303">
        <w:rPr>
          <w:bCs/>
          <w:color w:val="002060"/>
          <w:sz w:val="16"/>
          <w:szCs w:val="16"/>
        </w:rPr>
        <w:t xml:space="preserve">1915 г. </w:t>
      </w:r>
      <w:r w:rsidR="00311D9E" w:rsidRPr="00405303">
        <w:rPr>
          <w:bCs/>
          <w:color w:val="002060"/>
          <w:sz w:val="16"/>
          <w:szCs w:val="16"/>
        </w:rPr>
        <w:t>в ходе действия батареи повзводно с кратковременными выходами двух орудий под командой старшего офице</w:t>
      </w:r>
      <w:r w:rsidR="00311D9E" w:rsidRPr="00405303">
        <w:rPr>
          <w:bCs/>
          <w:color w:val="002060"/>
          <w:sz w:val="16"/>
          <w:szCs w:val="16"/>
        </w:rPr>
        <w:softHyphen/>
        <w:t>ра батареи штабс-капитана В.Величко для борьбы с вражеской авиацией в районе от</w:t>
      </w:r>
      <w:r w:rsidR="00311D9E" w:rsidRPr="00405303">
        <w:rPr>
          <w:bCs/>
          <w:color w:val="002060"/>
          <w:sz w:val="16"/>
          <w:szCs w:val="16"/>
        </w:rPr>
        <w:softHyphen/>
        <w:t xml:space="preserve">дельных польских городов </w:t>
      </w:r>
      <w:r w:rsidRPr="00405303">
        <w:rPr>
          <w:bCs/>
          <w:color w:val="002060"/>
          <w:sz w:val="16"/>
          <w:szCs w:val="16"/>
        </w:rPr>
        <w:t>вблизи г.Насельска они успешно обстреля</w:t>
      </w:r>
      <w:r w:rsidRPr="00405303">
        <w:rPr>
          <w:bCs/>
          <w:color w:val="002060"/>
          <w:sz w:val="16"/>
          <w:szCs w:val="16"/>
        </w:rPr>
        <w:softHyphen/>
        <w:t>ли немецкий аэроплан. После этого авиа</w:t>
      </w:r>
      <w:r w:rsidRPr="00405303">
        <w:rPr>
          <w:bCs/>
          <w:color w:val="002060"/>
          <w:sz w:val="16"/>
          <w:szCs w:val="16"/>
        </w:rPr>
        <w:softHyphen/>
        <w:t>ция противника на время оставила город в покое (11391).</w:t>
      </w:r>
    </w:p>
    <w:p w14:paraId="51F9934A" w14:textId="77777777" w:rsidR="004B4E35" w:rsidRPr="00405303" w:rsidRDefault="004B4E35" w:rsidP="00C15251">
      <w:pPr>
        <w:shd w:val="clear" w:color="auto" w:fill="FFFFFF"/>
        <w:jc w:val="both"/>
        <w:rPr>
          <w:bCs/>
          <w:color w:val="002060"/>
          <w:sz w:val="16"/>
          <w:szCs w:val="16"/>
        </w:rPr>
      </w:pPr>
    </w:p>
    <w:p w14:paraId="6E945E17" w14:textId="04EDC86A" w:rsidR="004B4E35" w:rsidRPr="00405303" w:rsidRDefault="00311D9E" w:rsidP="00C15251">
      <w:pPr>
        <w:jc w:val="both"/>
        <w:rPr>
          <w:bCs/>
          <w:i/>
          <w:color w:val="002060"/>
          <w:sz w:val="16"/>
          <w:szCs w:val="16"/>
        </w:rPr>
      </w:pPr>
      <w:r w:rsidRPr="00405303">
        <w:rPr>
          <w:bCs/>
          <w:i/>
          <w:color w:val="002060"/>
          <w:sz w:val="16"/>
          <w:szCs w:val="16"/>
        </w:rPr>
        <w:t>Армия</w:t>
      </w:r>
      <w:r w:rsidR="009E6F82" w:rsidRPr="00405303">
        <w:rPr>
          <w:bCs/>
          <w:i/>
          <w:color w:val="002060"/>
          <w:sz w:val="16"/>
          <w:szCs w:val="16"/>
        </w:rPr>
        <w:t>:</w:t>
      </w:r>
    </w:p>
    <w:p w14:paraId="4CEA7AE3" w14:textId="77777777" w:rsidR="004B4E35" w:rsidRPr="00405303" w:rsidRDefault="004B4E35" w:rsidP="00C15251">
      <w:pPr>
        <w:jc w:val="both"/>
        <w:rPr>
          <w:bCs/>
          <w:i/>
          <w:color w:val="002060"/>
          <w:sz w:val="16"/>
          <w:szCs w:val="16"/>
        </w:rPr>
      </w:pPr>
    </w:p>
    <w:p w14:paraId="5A792AE8" w14:textId="77777777" w:rsidR="004B4E35" w:rsidRPr="00405303" w:rsidRDefault="009E6F82" w:rsidP="00C15251">
      <w:pPr>
        <w:jc w:val="both"/>
        <w:rPr>
          <w:bCs/>
          <w:color w:val="002060"/>
          <w:sz w:val="16"/>
          <w:szCs w:val="16"/>
        </w:rPr>
      </w:pPr>
      <w:r w:rsidRPr="00405303">
        <w:rPr>
          <w:bCs/>
          <w:color w:val="002060"/>
          <w:sz w:val="16"/>
          <w:szCs w:val="16"/>
        </w:rPr>
        <w:t xml:space="preserve">19 июня (2 июля) 1915 - Русский флот выполняет свою главную задачу - недопущение прорыва немцев в Финский залив; у острова Готланд в Балтийском море происходит морской бой между русскими и германскими крейсерами. Русские крейсера выводят из строя германский минный заградитель "Альбатрос". В бою у </w:t>
      </w:r>
      <w:r w:rsidRPr="00405303">
        <w:rPr>
          <w:bCs/>
          <w:color w:val="002060"/>
          <w:sz w:val="16"/>
          <w:szCs w:val="16"/>
        </w:rPr>
        <w:lastRenderedPageBreak/>
        <w:t>Готланда штаб Балтийского флота впервые применяет радио для наведения своих сил на крейсера противника; радиопеленгованием командование флота обнаруживает в районе действий русских крейсеров крейсера противника, устанавливает за ними наблюдение и наводит на них свои крейсера.</w:t>
      </w:r>
    </w:p>
    <w:p w14:paraId="756FFB51" w14:textId="77777777" w:rsidR="004B4E35" w:rsidRPr="00405303" w:rsidRDefault="009E6F82" w:rsidP="00C15251">
      <w:pPr>
        <w:jc w:val="both"/>
        <w:rPr>
          <w:bCs/>
          <w:color w:val="002060"/>
          <w:sz w:val="16"/>
          <w:szCs w:val="16"/>
        </w:rPr>
      </w:pPr>
      <w:r w:rsidRPr="00405303">
        <w:rPr>
          <w:bCs/>
          <w:color w:val="002060"/>
          <w:sz w:val="16"/>
          <w:szCs w:val="16"/>
        </w:rPr>
        <w:t>Попытки Германии большими силами флота оказать содействие приморскому флангу своих войск в Рижском заливе успеха не имели. Балтийский флот развернул действия подводных лодок в сочетании с действиями надводных кораблей по нарушению морских сообщений противника. Германцы для защиты своих военных и торговых перевозок на Балтийском море усиливают противолодочную оборону, используя для этой цели не только силы военно- морского флота, но и авиацию (11999).</w:t>
      </w:r>
    </w:p>
    <w:p w14:paraId="640947FD" w14:textId="77777777" w:rsidR="004B4E35" w:rsidRPr="00405303" w:rsidRDefault="004B4E35" w:rsidP="00C15251">
      <w:pPr>
        <w:jc w:val="both"/>
        <w:rPr>
          <w:bCs/>
          <w:color w:val="002060"/>
          <w:sz w:val="16"/>
          <w:szCs w:val="16"/>
        </w:rPr>
      </w:pPr>
    </w:p>
    <w:p w14:paraId="1E0C14DC" w14:textId="77777777" w:rsidR="00940E68" w:rsidRPr="00405303" w:rsidRDefault="00940E68" w:rsidP="00C15251">
      <w:pPr>
        <w:jc w:val="both"/>
        <w:rPr>
          <w:bCs/>
          <w:i/>
          <w:color w:val="002060"/>
          <w:sz w:val="16"/>
          <w:szCs w:val="16"/>
        </w:rPr>
      </w:pPr>
      <w:r w:rsidRPr="00405303">
        <w:rPr>
          <w:bCs/>
          <w:i/>
          <w:color w:val="002060"/>
          <w:sz w:val="16"/>
          <w:szCs w:val="16"/>
        </w:rPr>
        <w:t>Внешняя политика:</w:t>
      </w:r>
    </w:p>
    <w:p w14:paraId="5088F491" w14:textId="77777777" w:rsidR="00940E68" w:rsidRPr="00405303" w:rsidRDefault="00940E68" w:rsidP="00C15251">
      <w:pPr>
        <w:jc w:val="both"/>
        <w:rPr>
          <w:bCs/>
          <w:i/>
          <w:color w:val="002060"/>
          <w:sz w:val="16"/>
          <w:szCs w:val="16"/>
        </w:rPr>
      </w:pPr>
    </w:p>
    <w:p w14:paraId="311B44CE" w14:textId="77777777" w:rsidR="00940E68" w:rsidRPr="00405303" w:rsidRDefault="00940E68" w:rsidP="00C15251">
      <w:pPr>
        <w:jc w:val="both"/>
        <w:rPr>
          <w:bCs/>
          <w:color w:val="002060"/>
          <w:sz w:val="16"/>
          <w:szCs w:val="16"/>
        </w:rPr>
      </w:pPr>
      <w:r w:rsidRPr="00405303">
        <w:rPr>
          <w:bCs/>
          <w:color w:val="002060"/>
          <w:sz w:val="16"/>
          <w:szCs w:val="16"/>
        </w:rPr>
        <w:t>19 июня (2 июля) в 1915 году кайзер Германии Вильгельм одобряет план создания польского государства с границей вплоть до Брест-Литовска (14940).</w:t>
      </w:r>
    </w:p>
    <w:p w14:paraId="7E2B5C69" w14:textId="77777777" w:rsidR="00940E68" w:rsidRPr="00405303" w:rsidRDefault="00940E68" w:rsidP="00C15251">
      <w:pPr>
        <w:jc w:val="both"/>
        <w:rPr>
          <w:bCs/>
          <w:color w:val="002060"/>
          <w:sz w:val="16"/>
          <w:szCs w:val="16"/>
        </w:rPr>
      </w:pPr>
    </w:p>
    <w:p w14:paraId="44427419" w14:textId="77777777" w:rsidR="00940E68" w:rsidRPr="00405303" w:rsidRDefault="00940E68" w:rsidP="00C15251">
      <w:pPr>
        <w:jc w:val="both"/>
        <w:rPr>
          <w:bCs/>
          <w:i/>
          <w:color w:val="002060"/>
          <w:sz w:val="16"/>
          <w:szCs w:val="16"/>
        </w:rPr>
      </w:pPr>
      <w:r w:rsidRPr="00405303">
        <w:rPr>
          <w:bCs/>
          <w:i/>
          <w:color w:val="002060"/>
          <w:sz w:val="16"/>
          <w:szCs w:val="16"/>
        </w:rPr>
        <w:t>За рубежом:</w:t>
      </w:r>
    </w:p>
    <w:p w14:paraId="446CB1AF" w14:textId="77777777" w:rsidR="00940E68" w:rsidRPr="00405303" w:rsidRDefault="00940E68" w:rsidP="00C15251">
      <w:pPr>
        <w:jc w:val="both"/>
        <w:rPr>
          <w:bCs/>
          <w:color w:val="002060"/>
          <w:sz w:val="16"/>
          <w:szCs w:val="16"/>
        </w:rPr>
      </w:pPr>
    </w:p>
    <w:p w14:paraId="18E94ECF" w14:textId="77777777" w:rsidR="00940E68" w:rsidRPr="00405303" w:rsidRDefault="00940E68" w:rsidP="00C15251">
      <w:pPr>
        <w:jc w:val="both"/>
        <w:rPr>
          <w:bCs/>
          <w:color w:val="002060"/>
          <w:sz w:val="16"/>
          <w:szCs w:val="16"/>
        </w:rPr>
      </w:pPr>
      <w:r w:rsidRPr="00405303">
        <w:rPr>
          <w:bCs/>
          <w:color w:val="002060"/>
          <w:sz w:val="16"/>
          <w:szCs w:val="16"/>
        </w:rPr>
        <w:t>19 июня (2 июля) в 1915 году принят закон о военном производстве в Англии (14940).</w:t>
      </w:r>
    </w:p>
    <w:p w14:paraId="49811292" w14:textId="77777777" w:rsidR="00940E68" w:rsidRPr="00405303" w:rsidRDefault="00940E68" w:rsidP="00C15251">
      <w:pPr>
        <w:jc w:val="both"/>
        <w:rPr>
          <w:bCs/>
          <w:color w:val="002060"/>
          <w:sz w:val="16"/>
          <w:szCs w:val="16"/>
        </w:rPr>
      </w:pPr>
    </w:p>
    <w:p w14:paraId="531B8E99"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633A6DAE" w14:textId="77777777" w:rsidR="004B4E35" w:rsidRPr="00405303" w:rsidRDefault="004B4E35" w:rsidP="00C15251">
      <w:pPr>
        <w:pStyle w:val="a3"/>
        <w:jc w:val="both"/>
        <w:rPr>
          <w:bCs/>
          <w:color w:val="002060"/>
          <w:spacing w:val="0"/>
          <w:kern w:val="0"/>
          <w:position w:val="0"/>
          <w:sz w:val="16"/>
          <w:szCs w:val="16"/>
        </w:rPr>
      </w:pPr>
    </w:p>
    <w:p w14:paraId="406796F1" w14:textId="30A0104A" w:rsidR="004B4E35" w:rsidRPr="00405303" w:rsidRDefault="009E6F82" w:rsidP="00C15251">
      <w:pPr>
        <w:jc w:val="both"/>
        <w:rPr>
          <w:bCs/>
          <w:color w:val="002060"/>
          <w:sz w:val="16"/>
          <w:szCs w:val="16"/>
        </w:rPr>
      </w:pPr>
      <w:r w:rsidRPr="00405303">
        <w:rPr>
          <w:bCs/>
          <w:color w:val="002060"/>
          <w:sz w:val="16"/>
          <w:szCs w:val="16"/>
        </w:rPr>
        <w:t xml:space="preserve">20 июня </w:t>
      </w:r>
      <w:r w:rsidR="00311D9E" w:rsidRPr="00405303">
        <w:rPr>
          <w:bCs/>
          <w:color w:val="002060"/>
          <w:sz w:val="16"/>
          <w:szCs w:val="16"/>
        </w:rPr>
        <w:t xml:space="preserve">(3 июля) </w:t>
      </w:r>
      <w:r w:rsidRPr="00405303">
        <w:rPr>
          <w:bCs/>
          <w:color w:val="002060"/>
          <w:sz w:val="16"/>
          <w:szCs w:val="16"/>
        </w:rPr>
        <w:t xml:space="preserve">1915 года </w:t>
      </w:r>
      <w:r w:rsidR="00311D9E" w:rsidRPr="00405303">
        <w:rPr>
          <w:bCs/>
          <w:color w:val="002060"/>
          <w:sz w:val="16"/>
          <w:szCs w:val="16"/>
        </w:rPr>
        <w:t>Русско-Балтийский воздухоплавательный завод (или как его чаше называли "Авиа-Балт"), директором которого стал бывший заведующий отделением завода М.Ф. Климиксеев, в счёт утраченных при пожаре малых самолётов,</w:t>
      </w:r>
      <w:r w:rsidRPr="00405303">
        <w:rPr>
          <w:bCs/>
          <w:color w:val="002060"/>
          <w:sz w:val="16"/>
          <w:szCs w:val="16"/>
        </w:rPr>
        <w:t xml:space="preserve"> заключил контракте ГВТУ за № 15976 на поставку ещё четырёх аэропланов типа "Илья Муромец" (№№ 158. 159, 163 и 165) с запасными частями на сумму 667.995 рублей. Казна платила за каждый корабль немалые деньги - цена не изменялась с 1914 года и составляла 150 тысяч рублей, тогда как одномоторный "маленький" аэроплан стоил от 7 до 14 тысяч.</w:t>
      </w:r>
    </w:p>
    <w:p w14:paraId="611678AF" w14:textId="77777777" w:rsidR="004B4E35" w:rsidRPr="00405303" w:rsidRDefault="009E6F82" w:rsidP="00C15251">
      <w:pPr>
        <w:jc w:val="both"/>
        <w:rPr>
          <w:bCs/>
          <w:color w:val="002060"/>
          <w:sz w:val="16"/>
          <w:szCs w:val="16"/>
        </w:rPr>
      </w:pPr>
      <w:r w:rsidRPr="00405303">
        <w:rPr>
          <w:bCs/>
          <w:color w:val="002060"/>
          <w:sz w:val="16"/>
          <w:szCs w:val="16"/>
        </w:rPr>
        <w:t>Как же собирались самолёты типа "Илья Муромец"? На заводе применялся метод по- агрегатной сборки. Сначала изготавливали и собирали отдельные части аппарата: фюзеляж, стойки шасси (центральные и две пары подмоторных), верхние и нижние планы (крылья), горизонтальное оперение. Нижний план в свою очередь собирался из двух располагаемых по бортам фюзеляжа подмоторных частей и двух присоединяемых к ним крайних, а верхний - из семи частей: двух надмоторных, двух крайних, двух приставочных поверхностей (так называемых над- крылков) и одной центральной части, располагаемой над фюзеляжем (в терминах того времени).</w:t>
      </w:r>
    </w:p>
    <w:p w14:paraId="3620C950" w14:textId="77777777" w:rsidR="004B4E35" w:rsidRPr="00405303" w:rsidRDefault="009E6F82" w:rsidP="00C15251">
      <w:pPr>
        <w:jc w:val="both"/>
        <w:rPr>
          <w:bCs/>
          <w:color w:val="002060"/>
          <w:sz w:val="16"/>
          <w:szCs w:val="16"/>
        </w:rPr>
      </w:pPr>
      <w:r w:rsidRPr="00405303">
        <w:rPr>
          <w:bCs/>
          <w:color w:val="002060"/>
          <w:sz w:val="16"/>
          <w:szCs w:val="16"/>
        </w:rPr>
        <w:t>Соответственные части верхнего и нижнего планов в мастерских завода собирались в коробки с помощью стоек и усиливались диагональными расчалками из струнной проволоки. Две моторные и две крайние коробки с надкрылками выверялись в стапелях и пригонялись друг к другу. Пока делались крылья, в сборочной мастерской устанавливался готовый фюзеляж, уже обтянутый материей и поставленный на центральное шасси, и над ним устанавливался центральный сектор верхнего плана. Затем к фюзеляжу крепилось горизонтальное оперение, состоявшее из двух консолей, и моторные коробки планов, под которые подводилось шасси. После этого на нижних планах коробок крыльев устанавливались фермы под моторы.</w:t>
      </w:r>
    </w:p>
    <w:p w14:paraId="22D7BF95" w14:textId="77777777" w:rsidR="004B4E35" w:rsidRPr="00405303" w:rsidRDefault="009E6F82" w:rsidP="00C15251">
      <w:pPr>
        <w:jc w:val="both"/>
        <w:rPr>
          <w:bCs/>
          <w:color w:val="002060"/>
          <w:sz w:val="16"/>
          <w:szCs w:val="16"/>
        </w:rPr>
      </w:pPr>
      <w:r w:rsidRPr="00405303">
        <w:rPr>
          <w:bCs/>
          <w:color w:val="002060"/>
          <w:sz w:val="16"/>
          <w:szCs w:val="16"/>
        </w:rPr>
        <w:t>По окончании сборочных работ наступала очередь механиков, которые устанавливали двигатели на фермы, пригоняли к ним по месту бензо-, масло- и воздухопроводы, электрическую проводку и соответствующую арматуру, а также устанавливали бензиновые и масляные баки и измерительные приборы. По техническим условиям контракта баки для бензина и масла (с указателями уровня) должны были быть изготовлены из красной меди или латуни. Для управления высотой и боковыми наклонами аппарата ставился качающийся штурвал, для поворотов аппарата в горизонтальной плоскости - ножной рычаг. Кабина должна была оснащаться следующими приборами: двумя компасами, двумя барометрами-анероидами, двумя указателями скорости и часами с секундной стрелкой.</w:t>
      </w:r>
    </w:p>
    <w:p w14:paraId="49DD6F7A" w14:textId="190FAD9A" w:rsidR="004B4E35" w:rsidRPr="00405303" w:rsidRDefault="009E6F82" w:rsidP="00C15251">
      <w:pPr>
        <w:jc w:val="both"/>
        <w:rPr>
          <w:bCs/>
          <w:color w:val="002060"/>
          <w:sz w:val="16"/>
          <w:szCs w:val="16"/>
        </w:rPr>
      </w:pPr>
      <w:r w:rsidRPr="00405303">
        <w:rPr>
          <w:bCs/>
          <w:color w:val="002060"/>
          <w:sz w:val="16"/>
          <w:szCs w:val="16"/>
        </w:rPr>
        <w:t>Этими действиями сборка аэроплана заканчивалась, он разбирался и пере- готовых фюзеляжей возился на Корпусной аэродром.</w:t>
      </w:r>
    </w:p>
    <w:p w14:paraId="4F0A6593" w14:textId="77777777" w:rsidR="004B4E35" w:rsidRPr="00405303" w:rsidRDefault="009E6F82" w:rsidP="00C15251">
      <w:pPr>
        <w:jc w:val="both"/>
        <w:rPr>
          <w:bCs/>
          <w:color w:val="002060"/>
          <w:sz w:val="16"/>
          <w:szCs w:val="16"/>
        </w:rPr>
      </w:pPr>
      <w:r w:rsidRPr="00405303">
        <w:rPr>
          <w:bCs/>
          <w:color w:val="002060"/>
          <w:sz w:val="16"/>
          <w:szCs w:val="16"/>
        </w:rPr>
        <w:t>Там в распоряжении завода имелись одна сборочная мастерская и два ангара на один аппарат каждый. В ангарах можно было полностью собирать корабль, т.е. хватало места для стыковки крайних коробок с надкрылками. В четырёх верстах от завода Военное ведомство предоставило три железных ангара, о назначении которых пойдёт речь ниже.</w:t>
      </w:r>
    </w:p>
    <w:p w14:paraId="5CE79277" w14:textId="77777777" w:rsidR="004B4E35" w:rsidRPr="00405303" w:rsidRDefault="009E6F82" w:rsidP="00C15251">
      <w:pPr>
        <w:jc w:val="both"/>
        <w:rPr>
          <w:bCs/>
          <w:color w:val="002060"/>
          <w:sz w:val="16"/>
          <w:szCs w:val="16"/>
        </w:rPr>
      </w:pPr>
      <w:r w:rsidRPr="00405303">
        <w:rPr>
          <w:bCs/>
          <w:color w:val="002060"/>
          <w:sz w:val="16"/>
          <w:szCs w:val="16"/>
        </w:rPr>
        <w:t>Доставленный с завода на Корпусной аэродром "Муромец", сначала поступал в сборочную мастерскую, где механиками производилась окончательная установка моторов. Такая работа занимала от трёх до четырёх дней.</w:t>
      </w:r>
    </w:p>
    <w:p w14:paraId="3AEAC5CF" w14:textId="77777777" w:rsidR="004B4E35" w:rsidRPr="00405303" w:rsidRDefault="009E6F82" w:rsidP="00C15251">
      <w:pPr>
        <w:jc w:val="both"/>
        <w:rPr>
          <w:bCs/>
          <w:color w:val="002060"/>
          <w:sz w:val="16"/>
          <w:szCs w:val="16"/>
        </w:rPr>
      </w:pPr>
      <w:r w:rsidRPr="00405303">
        <w:rPr>
          <w:bCs/>
          <w:color w:val="002060"/>
          <w:sz w:val="16"/>
          <w:szCs w:val="16"/>
        </w:rPr>
        <w:t>Затем аппарат переводился в ангар, где к моторным планам присоединялись крайние коробки с надкрылками и производилась окончательная регулировка корабля, занимавшая два-три дня.</w:t>
      </w:r>
    </w:p>
    <w:p w14:paraId="5BB36339" w14:textId="77777777" w:rsidR="004B4E35" w:rsidRPr="00405303" w:rsidRDefault="009E6F82" w:rsidP="00C15251">
      <w:pPr>
        <w:jc w:val="both"/>
        <w:rPr>
          <w:bCs/>
          <w:color w:val="002060"/>
          <w:sz w:val="16"/>
          <w:szCs w:val="16"/>
        </w:rPr>
      </w:pPr>
      <w:r w:rsidRPr="00405303">
        <w:rPr>
          <w:bCs/>
          <w:color w:val="002060"/>
          <w:sz w:val="16"/>
          <w:szCs w:val="16"/>
        </w:rPr>
        <w:t>Ещё день-два нужны были для регулировки двигателей.</w:t>
      </w:r>
    </w:p>
    <w:p w14:paraId="0BF2776C" w14:textId="77777777" w:rsidR="004B4E35" w:rsidRPr="00405303" w:rsidRDefault="009E6F82" w:rsidP="00C15251">
      <w:pPr>
        <w:jc w:val="both"/>
        <w:rPr>
          <w:bCs/>
          <w:color w:val="002060"/>
          <w:sz w:val="16"/>
          <w:szCs w:val="16"/>
        </w:rPr>
      </w:pPr>
      <w:r w:rsidRPr="00405303">
        <w:rPr>
          <w:bCs/>
          <w:color w:val="002060"/>
          <w:sz w:val="16"/>
          <w:szCs w:val="16"/>
        </w:rPr>
        <w:t>Таким образом, для подготовки "Муромца" к сдаточному полёту уходило от шести до девяти дней.</w:t>
      </w:r>
    </w:p>
    <w:p w14:paraId="6FDC2B6B" w14:textId="77777777" w:rsidR="004B4E35" w:rsidRPr="00405303" w:rsidRDefault="009E6F82" w:rsidP="00C15251">
      <w:pPr>
        <w:jc w:val="both"/>
        <w:rPr>
          <w:bCs/>
          <w:color w:val="002060"/>
          <w:sz w:val="16"/>
          <w:szCs w:val="16"/>
        </w:rPr>
      </w:pPr>
      <w:r w:rsidRPr="00405303">
        <w:rPr>
          <w:bCs/>
          <w:color w:val="002060"/>
          <w:sz w:val="16"/>
          <w:szCs w:val="16"/>
        </w:rPr>
        <w:t xml:space="preserve">После окончательной подготовки, аппараты должны были быть немедленно сданы и переправлены по воздуху (перелётом) в железные ангары Военного ведомства, так как условия местности не позволяли переправить самолёты "на руках". </w:t>
      </w:r>
    </w:p>
    <w:p w14:paraId="6C7AA91F" w14:textId="77777777" w:rsidR="004B4E35" w:rsidRPr="00405303" w:rsidRDefault="009E6F82" w:rsidP="00C15251">
      <w:pPr>
        <w:jc w:val="both"/>
        <w:rPr>
          <w:bCs/>
          <w:color w:val="002060"/>
          <w:sz w:val="16"/>
          <w:szCs w:val="16"/>
        </w:rPr>
      </w:pPr>
      <w:r w:rsidRPr="00405303">
        <w:rPr>
          <w:bCs/>
          <w:color w:val="002060"/>
          <w:sz w:val="16"/>
          <w:szCs w:val="16"/>
        </w:rPr>
        <w:t>Мотор РБВЗ.6 Сдача "Муромцев" задерживалась тем, (РБЗ.В) 150л.с. что у завода не было собственного лётчика- сдатчика, приходилось запрашивать и ждать пилотов из Эскадры. Это обстоятельство ощутимо срывало сроки, и собранные самолёты только зря занимали немногочисленные ангары. Вскоре пришли к тому, что приёмку корабля можно проводить не только в Петрограде, но и в Эскадре, где за сдаточный полёт засчитывали первый боевой вылет.</w:t>
      </w:r>
    </w:p>
    <w:p w14:paraId="38B6F0D7" w14:textId="77777777" w:rsidR="004B4E35" w:rsidRPr="00405303" w:rsidRDefault="009E6F82" w:rsidP="00C15251">
      <w:pPr>
        <w:jc w:val="both"/>
        <w:rPr>
          <w:bCs/>
          <w:color w:val="002060"/>
          <w:sz w:val="16"/>
          <w:szCs w:val="16"/>
        </w:rPr>
      </w:pPr>
      <w:r w:rsidRPr="00405303">
        <w:rPr>
          <w:bCs/>
          <w:color w:val="002060"/>
          <w:sz w:val="16"/>
          <w:szCs w:val="16"/>
        </w:rPr>
        <w:t>Выпуск самолётов модификации В ("остроносых" и "тупоносых") позволил несколько "утолить голод" Эскадры и наладить относительно регулярную боевую работу. Но Сикорский прекрасно понимал, что необходимо совершенствовать "Муромца", поскольку топтание на месте на самом деле вело назад.</w:t>
      </w:r>
    </w:p>
    <w:p w14:paraId="5D423535" w14:textId="77777777" w:rsidR="004B4E35" w:rsidRPr="00405303" w:rsidRDefault="009E6F82" w:rsidP="00C15251">
      <w:pPr>
        <w:jc w:val="both"/>
        <w:rPr>
          <w:bCs/>
          <w:color w:val="002060"/>
          <w:sz w:val="16"/>
          <w:szCs w:val="16"/>
        </w:rPr>
      </w:pPr>
      <w:r w:rsidRPr="00405303">
        <w:rPr>
          <w:bCs/>
          <w:color w:val="002060"/>
          <w:sz w:val="16"/>
          <w:szCs w:val="16"/>
        </w:rPr>
        <w:t>"Моторный голод" был ахиллесовой пятой российской авиации практически с самого её зарождения. Отсутствие отечественных моторов необходимой мощности и перебои с поставками из-за рубежа привели руководство РБВЗ к решению наладить на заводе и производство собственных двигателей. Дело это оказалось не столь простым и разработка, испытания и запуск производства заняли много времени. Тем не менее, в 1915 году на рижском отделении РБВЗ под руководством инженера В.В. Киреева был создан и испытан шестицилиндровый рядный двигатель РБВЗ.6 (РБ3.6) в 150 л.с. Установленные на "Муромце" тип В (№167) летом 1915 года, они показали себя с самой лучшей стороны, мало уступая германским "Аргусам".</w:t>
      </w:r>
    </w:p>
    <w:p w14:paraId="50000892" w14:textId="77777777" w:rsidR="004B4E35" w:rsidRPr="00405303" w:rsidRDefault="009E6F82" w:rsidP="00C15251">
      <w:pPr>
        <w:jc w:val="both"/>
        <w:rPr>
          <w:bCs/>
          <w:color w:val="002060"/>
          <w:sz w:val="16"/>
          <w:szCs w:val="16"/>
        </w:rPr>
      </w:pPr>
      <w:r w:rsidRPr="00405303">
        <w:rPr>
          <w:bCs/>
          <w:color w:val="002060"/>
          <w:sz w:val="16"/>
          <w:szCs w:val="16"/>
        </w:rPr>
        <w:t>Эвакуация рижского'завода осенью 1915 года не позволила расширить выпуск двигателей. В Москве к этому времени наладили лицензионный выпуск "Сальмсонов" М9 в 150 л.с., но не слишком удачный опыт их эксплуатации на "Муромцах" из-за большого лобового сопротивления, привёл к отказу от их использования.</w:t>
      </w:r>
    </w:p>
    <w:p w14:paraId="2C55AC78" w14:textId="77777777" w:rsidR="004B4E35" w:rsidRPr="00405303" w:rsidRDefault="009E6F82" w:rsidP="00C15251">
      <w:pPr>
        <w:jc w:val="both"/>
        <w:rPr>
          <w:bCs/>
          <w:color w:val="002060"/>
          <w:sz w:val="16"/>
          <w:szCs w:val="16"/>
        </w:rPr>
      </w:pPr>
      <w:r w:rsidRPr="00405303">
        <w:rPr>
          <w:bCs/>
          <w:color w:val="002060"/>
          <w:sz w:val="16"/>
          <w:szCs w:val="16"/>
        </w:rPr>
        <w:t>Пока суть да дело, было решено закупить в Великобритании восьмицилиндровые V-образные двигатели водяного охлаждения "Санбим" в 150 л.с. На практике закупленные двигатели развивали не более 130 л.с., что заметно снижало боевые качества "Муромцев". В эксплуатации "Санбимы" оказались капризными и ненадёжными. Впервые установленные на них лобовые радиаторы заметно повышали сопротивление. Рекламации шли из Эскадры широким потоком, двигатели в массовом порядке отправлялись обратно на переборку и доработку. Но выбирать было не из чего...</w:t>
      </w:r>
    </w:p>
    <w:p w14:paraId="6DC652DB" w14:textId="77777777" w:rsidR="004B4E35" w:rsidRPr="00405303" w:rsidRDefault="009E6F82" w:rsidP="00C15251">
      <w:pPr>
        <w:jc w:val="both"/>
        <w:rPr>
          <w:bCs/>
          <w:color w:val="002060"/>
          <w:sz w:val="16"/>
          <w:szCs w:val="16"/>
        </w:rPr>
      </w:pPr>
      <w:r w:rsidRPr="00405303">
        <w:rPr>
          <w:bCs/>
          <w:color w:val="002060"/>
          <w:sz w:val="16"/>
          <w:szCs w:val="16"/>
        </w:rPr>
        <w:t>Шидловский и Сикорский решили пойти на изменение конструкции для улучшения лётных характеристик своих воздушных гигантов. Улучшения было решено добиваться двумя путями. Первый путь заключался в совершенствовании винтомоторной установки, второй - в совершенствовании самого самолёта.</w:t>
      </w:r>
    </w:p>
    <w:p w14:paraId="6C657E89" w14:textId="77777777" w:rsidR="004B4E35" w:rsidRPr="00405303" w:rsidRDefault="009E6F82" w:rsidP="00C15251">
      <w:pPr>
        <w:jc w:val="both"/>
        <w:rPr>
          <w:bCs/>
          <w:color w:val="002060"/>
          <w:sz w:val="16"/>
          <w:szCs w:val="16"/>
        </w:rPr>
      </w:pPr>
      <w:r w:rsidRPr="00405303">
        <w:rPr>
          <w:bCs/>
          <w:color w:val="002060"/>
          <w:sz w:val="16"/>
          <w:szCs w:val="16"/>
        </w:rPr>
        <w:t>В первом направлении Сикорский решил уменьшить сопротивление двигательной установки и повысить КПД винтов. Во втором - увеличить площадь крыла и поддержать удельную нагрузку на крыло на прежнем уровне (12041).</w:t>
      </w:r>
    </w:p>
    <w:p w14:paraId="0CB44C07" w14:textId="77777777" w:rsidR="004B4E35" w:rsidRPr="00405303" w:rsidRDefault="004B4E35" w:rsidP="00C15251">
      <w:pPr>
        <w:jc w:val="both"/>
        <w:rPr>
          <w:bCs/>
          <w:color w:val="002060"/>
          <w:sz w:val="16"/>
          <w:szCs w:val="16"/>
        </w:rPr>
      </w:pPr>
    </w:p>
    <w:p w14:paraId="1B675730" w14:textId="77777777" w:rsidR="00CE794B" w:rsidRPr="00405303" w:rsidRDefault="00CE794B" w:rsidP="00C15251">
      <w:pPr>
        <w:jc w:val="both"/>
        <w:rPr>
          <w:bCs/>
          <w:color w:val="002060"/>
          <w:sz w:val="16"/>
          <w:szCs w:val="16"/>
        </w:rPr>
      </w:pPr>
      <w:r w:rsidRPr="00405303">
        <w:rPr>
          <w:bCs/>
          <w:color w:val="002060"/>
          <w:sz w:val="16"/>
          <w:szCs w:val="16"/>
        </w:rPr>
        <w:t>20 июня (3 июля) 1915 г. Военным министерством России был выдан дополнительный заказ РБВЗ на 4 самолета (23565).</w:t>
      </w:r>
    </w:p>
    <w:p w14:paraId="668891E5" w14:textId="77777777" w:rsidR="00CE794B" w:rsidRPr="00405303" w:rsidRDefault="00CE794B" w:rsidP="00C15251">
      <w:pPr>
        <w:jc w:val="both"/>
        <w:rPr>
          <w:bCs/>
          <w:color w:val="002060"/>
          <w:sz w:val="16"/>
          <w:szCs w:val="16"/>
          <w:lang w:bidi="ru-RU"/>
        </w:rPr>
      </w:pPr>
    </w:p>
    <w:p w14:paraId="7BD55E90"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Другие оборонные отрасли:</w:t>
      </w:r>
    </w:p>
    <w:p w14:paraId="4399B917" w14:textId="77777777" w:rsidR="004B4E35" w:rsidRPr="00405303" w:rsidRDefault="004B4E35" w:rsidP="00C15251">
      <w:pPr>
        <w:pStyle w:val="a3"/>
        <w:jc w:val="both"/>
        <w:rPr>
          <w:bCs/>
          <w:color w:val="002060"/>
          <w:spacing w:val="0"/>
          <w:kern w:val="0"/>
          <w:position w:val="0"/>
          <w:sz w:val="16"/>
          <w:szCs w:val="16"/>
        </w:rPr>
      </w:pPr>
    </w:p>
    <w:p w14:paraId="7B5E8E14" w14:textId="5967EF21" w:rsidR="005670E2" w:rsidRPr="00405303" w:rsidRDefault="005670E2" w:rsidP="00C15251">
      <w:pPr>
        <w:jc w:val="both"/>
        <w:rPr>
          <w:bCs/>
          <w:color w:val="002060"/>
          <w:sz w:val="16"/>
          <w:szCs w:val="16"/>
        </w:rPr>
      </w:pPr>
      <w:r w:rsidRPr="00405303">
        <w:rPr>
          <w:bCs/>
          <w:color w:val="002060"/>
          <w:sz w:val="16"/>
          <w:szCs w:val="16"/>
        </w:rPr>
        <w:t xml:space="preserve">20 июня </w:t>
      </w:r>
      <w:r w:rsidR="00311D9E" w:rsidRPr="00405303">
        <w:rPr>
          <w:bCs/>
          <w:color w:val="002060"/>
          <w:sz w:val="16"/>
          <w:szCs w:val="16"/>
        </w:rPr>
        <w:t xml:space="preserve">(3 июля) </w:t>
      </w:r>
      <w:r w:rsidRPr="00405303">
        <w:rPr>
          <w:bCs/>
          <w:color w:val="002060"/>
          <w:sz w:val="16"/>
          <w:szCs w:val="16"/>
        </w:rPr>
        <w:t>в 1915 году прошли первые испытания первого русского танка "Вездеход" конструкции А.А.Пороховщикова (14928).</w:t>
      </w:r>
    </w:p>
    <w:p w14:paraId="757D9697" w14:textId="77777777" w:rsidR="005670E2" w:rsidRPr="00405303" w:rsidRDefault="005670E2" w:rsidP="00C15251">
      <w:pPr>
        <w:jc w:val="both"/>
        <w:rPr>
          <w:bCs/>
          <w:color w:val="002060"/>
          <w:sz w:val="16"/>
          <w:szCs w:val="16"/>
        </w:rPr>
      </w:pPr>
    </w:p>
    <w:p w14:paraId="2A6379C8" w14:textId="77777777" w:rsidR="00311D9E" w:rsidRPr="00405303" w:rsidRDefault="00311D9E" w:rsidP="00C15251">
      <w:pPr>
        <w:jc w:val="both"/>
        <w:rPr>
          <w:bCs/>
          <w:color w:val="002060"/>
          <w:sz w:val="16"/>
          <w:szCs w:val="16"/>
        </w:rPr>
      </w:pPr>
      <w:r w:rsidRPr="00405303">
        <w:rPr>
          <w:bCs/>
          <w:color w:val="002060"/>
          <w:sz w:val="16"/>
          <w:szCs w:val="16"/>
        </w:rPr>
        <w:t>20 июня (3 июля) 1915 г. результаты официальных испытаний «Вездехода» Пороховщикова были зафиксированы комиссией в акте №4563: «…означенный «Вездеход» легко идет по довольно глубокому песку со скоростью около двадцати верст в час; в дальнейшем «Вездеход» перешел на среднем ходу канаву с пологими (около 40 градусов) откосами, шириной по верху три и глубиной около одного аршина… Все значительные выбоины и значительные неровности поверхности «полкового двора», где производились испытания, «Вездеход» брал легко, на полном ходу. Поворотливость вполне удовлетворительная; в общем «Вездеход» прошел по грунту и местности, непроходимой для обыкновенных автомобилей» (Редакционная статья «Родина танка — Россия» в газете «Известия» ВЦИК №205 (1644) от 13.09.22) (12111).</w:t>
      </w:r>
    </w:p>
    <w:p w14:paraId="4543AD6C" w14:textId="77777777" w:rsidR="00311D9E" w:rsidRPr="00405303" w:rsidRDefault="00311D9E" w:rsidP="00C15251">
      <w:pPr>
        <w:jc w:val="both"/>
        <w:rPr>
          <w:bCs/>
          <w:color w:val="002060"/>
          <w:sz w:val="16"/>
          <w:szCs w:val="16"/>
        </w:rPr>
      </w:pPr>
    </w:p>
    <w:p w14:paraId="1E574DB7" w14:textId="1D282A44" w:rsidR="004B4E35" w:rsidRPr="00405303" w:rsidRDefault="009E6F82" w:rsidP="00C15251">
      <w:pPr>
        <w:jc w:val="both"/>
        <w:rPr>
          <w:bCs/>
          <w:color w:val="002060"/>
          <w:sz w:val="16"/>
          <w:szCs w:val="16"/>
        </w:rPr>
      </w:pPr>
      <w:r w:rsidRPr="00405303">
        <w:rPr>
          <w:bCs/>
          <w:color w:val="002060"/>
          <w:sz w:val="16"/>
          <w:szCs w:val="16"/>
        </w:rPr>
        <w:t xml:space="preserve">20 июня (3 июля) 1915 года </w:t>
      </w:r>
      <w:r w:rsidR="00311D9E" w:rsidRPr="00405303">
        <w:rPr>
          <w:bCs/>
          <w:color w:val="002060"/>
          <w:sz w:val="16"/>
          <w:szCs w:val="16"/>
        </w:rPr>
        <w:t xml:space="preserve">императором было подписано </w:t>
      </w:r>
      <w:r w:rsidRPr="00405303">
        <w:rPr>
          <w:bCs/>
          <w:color w:val="002060"/>
          <w:sz w:val="16"/>
          <w:szCs w:val="16"/>
        </w:rPr>
        <w:t>«Положение об Особом совещании для объединения мероприятий по обеспечению действующей армии предметами боевого и материального снабжения» было составлено нечетко, и военному министру А.А. Поливанову пришлось переработать документ. Он, в частности, увеличил представительство Думы, ввел членов от ВПК, Земгора и др. 17 августа проект документа был согласован с Думой и в тот же день утвержден Николаем II.</w:t>
      </w:r>
    </w:p>
    <w:p w14:paraId="164D265F" w14:textId="77777777" w:rsidR="004B4E35" w:rsidRPr="00405303" w:rsidRDefault="009E6F82" w:rsidP="00C15251">
      <w:pPr>
        <w:jc w:val="both"/>
        <w:rPr>
          <w:bCs/>
          <w:color w:val="002060"/>
          <w:sz w:val="16"/>
          <w:szCs w:val="16"/>
        </w:rPr>
      </w:pPr>
      <w:r w:rsidRPr="00405303">
        <w:rPr>
          <w:bCs/>
          <w:color w:val="002060"/>
          <w:sz w:val="16"/>
          <w:szCs w:val="16"/>
        </w:rPr>
        <w:t>Новый контролирующий государственный орган назвали «Особым совещанием для обсуждения и объединения мероприятий по обороне государства». Одновременно были созданы еще четыре Особых совещания, в том числе Особое совещание по топливу, получившее широкую известность как Осотоп. Его возглавил министр (управляющий министерством) торговли и промышленности князь В.Н. Шаховской.</w:t>
      </w:r>
    </w:p>
    <w:p w14:paraId="28C5C987" w14:textId="77777777" w:rsidR="004B4E35" w:rsidRPr="00405303" w:rsidRDefault="009E6F82" w:rsidP="00C15251">
      <w:pPr>
        <w:jc w:val="both"/>
        <w:rPr>
          <w:bCs/>
          <w:color w:val="002060"/>
          <w:sz w:val="16"/>
          <w:szCs w:val="16"/>
        </w:rPr>
      </w:pPr>
      <w:r w:rsidRPr="00405303">
        <w:rPr>
          <w:bCs/>
          <w:color w:val="002060"/>
          <w:sz w:val="16"/>
          <w:szCs w:val="16"/>
        </w:rPr>
        <w:t>Первое заседание новой организации состоялось 26 августа 1915 года в Петрограде. На нем была создана нефтяная секция Осотопа во главе с председателем — членом Государственного совета А.А. Макаровым и его заместителем — представителем Центрального ВПК, крупным нефтепромышленником А.О. Гукасовым (Кроме того, в составе Осотопа были созданы секции: угольная, дровяная и торфяная, по перевозке и распределению топлива, а также нормировке его потребления, исполнительная – для спешных дел. См.: Монополистический капитал… С. 50—54.).</w:t>
      </w:r>
    </w:p>
    <w:p w14:paraId="46D110AA" w14:textId="77777777" w:rsidR="004B4E35" w:rsidRPr="00405303" w:rsidRDefault="009E6F82" w:rsidP="00C15251">
      <w:pPr>
        <w:jc w:val="both"/>
        <w:rPr>
          <w:bCs/>
          <w:color w:val="002060"/>
          <w:sz w:val="16"/>
          <w:szCs w:val="16"/>
        </w:rPr>
      </w:pPr>
      <w:r w:rsidRPr="00405303">
        <w:rPr>
          <w:bCs/>
          <w:color w:val="002060"/>
          <w:sz w:val="16"/>
          <w:szCs w:val="16"/>
        </w:rPr>
        <w:t>Статус Осотопа был весьма высок, он являлся, как сказано в положении, «высшим государственным установлением». Никакое правительственное учреждение или лицо не могло давать Особому совещанию предписаний или требовать от него отчета, а председатель Осотопа имел право требовать от всех правительственных и общественных учреждений, должностных и частных лиц, от частных обществ содействия в выполнении возложенных на Совещание задач, отчеты по заготовкам и поставкам топлива, мог также реквизировать топливо и устанавливать на него предельные цены и перераспределять его с учетом государственных интересов.</w:t>
      </w:r>
    </w:p>
    <w:p w14:paraId="5D7934AE" w14:textId="77777777" w:rsidR="004B4E35" w:rsidRPr="00405303" w:rsidRDefault="009E6F82" w:rsidP="00C15251">
      <w:pPr>
        <w:jc w:val="both"/>
        <w:rPr>
          <w:bCs/>
          <w:color w:val="002060"/>
          <w:sz w:val="16"/>
          <w:szCs w:val="16"/>
        </w:rPr>
      </w:pPr>
      <w:r w:rsidRPr="00405303">
        <w:rPr>
          <w:bCs/>
          <w:color w:val="002060"/>
          <w:sz w:val="16"/>
          <w:szCs w:val="16"/>
        </w:rPr>
        <w:t>Некоторые меры, например передачу топлива от одних учреждений другим, председатель Осотопа мог принимать единолично, другие вопросы, как правило, выносились на общее обсуждение.</w:t>
      </w:r>
    </w:p>
    <w:p w14:paraId="0DE6D8C5" w14:textId="77777777" w:rsidR="004B4E35" w:rsidRPr="00405303" w:rsidRDefault="009E6F82" w:rsidP="00C15251">
      <w:pPr>
        <w:jc w:val="both"/>
        <w:rPr>
          <w:bCs/>
          <w:color w:val="002060"/>
          <w:sz w:val="16"/>
          <w:szCs w:val="16"/>
        </w:rPr>
      </w:pPr>
      <w:r w:rsidRPr="00405303">
        <w:rPr>
          <w:bCs/>
          <w:color w:val="002060"/>
          <w:sz w:val="16"/>
          <w:szCs w:val="16"/>
        </w:rPr>
        <w:t>Для создания вертикали власти председатель назначал на местах уполномоченных, под председательством которых там создавались местные Особые совещания.</w:t>
      </w:r>
    </w:p>
    <w:p w14:paraId="6C16C412" w14:textId="77777777" w:rsidR="004B4E35" w:rsidRPr="00405303" w:rsidRDefault="009E6F82" w:rsidP="00C15251">
      <w:pPr>
        <w:jc w:val="both"/>
        <w:rPr>
          <w:bCs/>
          <w:color w:val="002060"/>
          <w:sz w:val="16"/>
          <w:szCs w:val="16"/>
        </w:rPr>
      </w:pPr>
      <w:r w:rsidRPr="00405303">
        <w:rPr>
          <w:bCs/>
          <w:color w:val="002060"/>
          <w:sz w:val="16"/>
          <w:szCs w:val="16"/>
        </w:rPr>
        <w:t>В состав последних входили представители властных и общественных (Земгора) организаций. Что касалось установления новых цен при секвестре и реквизиции топлива, а также при его казенных заготовках, то этим занимались особые губернские комиссии, в состав которых входили представители Военного, Морского и других министерств.</w:t>
      </w:r>
    </w:p>
    <w:p w14:paraId="406CE3D2" w14:textId="77777777" w:rsidR="004B4E35" w:rsidRPr="00405303" w:rsidRDefault="009E6F82" w:rsidP="00C15251">
      <w:pPr>
        <w:jc w:val="both"/>
        <w:rPr>
          <w:bCs/>
          <w:color w:val="002060"/>
          <w:sz w:val="16"/>
          <w:szCs w:val="16"/>
        </w:rPr>
      </w:pPr>
      <w:r w:rsidRPr="00405303">
        <w:rPr>
          <w:bCs/>
          <w:color w:val="002060"/>
          <w:sz w:val="16"/>
          <w:szCs w:val="16"/>
        </w:rPr>
        <w:t>ИЗ ШИРОКОГО круга вопросов, чем сразу же начал заниматься Осотоп, следует отметить два главных: установление порядка распределения нефтепродуктов среди потребителей и введение на нефть и нефтепродукты фиксированных цен (Там же. С. 117—125.).</w:t>
      </w:r>
    </w:p>
    <w:p w14:paraId="2C6CBDBE" w14:textId="77777777" w:rsidR="004B4E35" w:rsidRPr="00405303" w:rsidRDefault="009E6F82" w:rsidP="00C15251">
      <w:pPr>
        <w:jc w:val="both"/>
        <w:rPr>
          <w:bCs/>
          <w:color w:val="002060"/>
          <w:sz w:val="16"/>
          <w:szCs w:val="16"/>
        </w:rPr>
      </w:pPr>
      <w:r w:rsidRPr="00405303">
        <w:rPr>
          <w:bCs/>
          <w:color w:val="002060"/>
          <w:sz w:val="16"/>
          <w:szCs w:val="16"/>
        </w:rPr>
        <w:t>Для распределения топлива была введена должность главноуполномоченного по снабжению нефтью и нефтяными остатками (продуктами нефтепереработки) потребителей империи (статский советник С.П. Доможиров) и при нем совещание представителей Военного и Морского министерств, транспортных и нефтяных организаций и др. Функции главноуполномоченного в местных органах были возложены на районных уполномоченных. Кроме того, в Закавказском, а затем еще в 10 регионах были созданы районные заводские совещания, которые и должны были наблюдать за очередностью отгрузок, распределением и выполнением заказов. Они обязывались докладывать Военному министерству обо всех срывах, а Осотопу давали предложения об отстранении от должностей провинившихся руководителей предприятий и о проведении необходимых реквизиций.</w:t>
      </w:r>
    </w:p>
    <w:p w14:paraId="62B7DC51" w14:textId="77777777" w:rsidR="004B4E35" w:rsidRPr="00405303" w:rsidRDefault="009E6F82" w:rsidP="00C15251">
      <w:pPr>
        <w:jc w:val="both"/>
        <w:rPr>
          <w:bCs/>
          <w:color w:val="002060"/>
          <w:sz w:val="16"/>
          <w:szCs w:val="16"/>
        </w:rPr>
      </w:pPr>
      <w:r w:rsidRPr="00405303">
        <w:rPr>
          <w:bCs/>
          <w:color w:val="002060"/>
          <w:sz w:val="16"/>
          <w:szCs w:val="16"/>
        </w:rPr>
        <w:t>Что касается регулирования цен, то отметим, что 31 декабря 1915 года Осотоп принял решение № 509616 об установлении предельных продажных цен на нефть и нефтяные остатки на местах их добычи: для сырой нефти — 45 копеек и для нефтяных остатков на заводах — 47 копеек за пуд.</w:t>
      </w:r>
    </w:p>
    <w:p w14:paraId="428BF567" w14:textId="77777777" w:rsidR="004B4E35" w:rsidRPr="00405303" w:rsidRDefault="009E6F82" w:rsidP="00C15251">
      <w:pPr>
        <w:jc w:val="both"/>
        <w:rPr>
          <w:bCs/>
          <w:color w:val="002060"/>
          <w:sz w:val="16"/>
          <w:szCs w:val="16"/>
        </w:rPr>
      </w:pPr>
      <w:r w:rsidRPr="00405303">
        <w:rPr>
          <w:bCs/>
          <w:color w:val="002060"/>
          <w:sz w:val="16"/>
          <w:szCs w:val="16"/>
        </w:rPr>
        <w:t>При этом указывалось, что виновные в неисполнении данного решения будут подвергнуты заключению «в тюрьме или крепости на срок не свыше 3 месяцев, или штрафу не свыше 3 тыс. рублей» (11178).</w:t>
      </w:r>
    </w:p>
    <w:p w14:paraId="0E52526D" w14:textId="77777777" w:rsidR="004B4E35" w:rsidRPr="00405303" w:rsidRDefault="004B4E35" w:rsidP="00C15251">
      <w:pPr>
        <w:jc w:val="both"/>
        <w:rPr>
          <w:bCs/>
          <w:color w:val="002060"/>
          <w:sz w:val="16"/>
          <w:szCs w:val="16"/>
        </w:rPr>
      </w:pPr>
    </w:p>
    <w:p w14:paraId="0A4B5286" w14:textId="77777777" w:rsidR="00311D9E" w:rsidRPr="00405303" w:rsidRDefault="00311D9E" w:rsidP="00C15251">
      <w:pPr>
        <w:jc w:val="both"/>
        <w:rPr>
          <w:bCs/>
          <w:color w:val="002060"/>
          <w:sz w:val="16"/>
          <w:szCs w:val="16"/>
        </w:rPr>
      </w:pPr>
      <w:r w:rsidRPr="00405303">
        <w:rPr>
          <w:bCs/>
          <w:color w:val="002060"/>
          <w:sz w:val="16"/>
          <w:szCs w:val="16"/>
        </w:rPr>
        <w:t>20 июня (3 июля) в 1915 году в России создан Центральный военно-промышленный комитет, находившийся под давлением деловых кругов, которые стремились участвовать в управление военной экономикой и обвиняли правительство в бездеятельности (14928).</w:t>
      </w:r>
    </w:p>
    <w:p w14:paraId="06A981FA" w14:textId="77777777" w:rsidR="00311D9E" w:rsidRPr="00405303" w:rsidRDefault="00311D9E" w:rsidP="00C15251">
      <w:pPr>
        <w:jc w:val="both"/>
        <w:rPr>
          <w:bCs/>
          <w:color w:val="002060"/>
          <w:sz w:val="16"/>
          <w:szCs w:val="16"/>
        </w:rPr>
      </w:pPr>
    </w:p>
    <w:p w14:paraId="7098236A"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Франции:</w:t>
      </w:r>
    </w:p>
    <w:p w14:paraId="179393A5" w14:textId="77777777" w:rsidR="004B4E35" w:rsidRPr="00405303" w:rsidRDefault="004B4E35" w:rsidP="00C15251">
      <w:pPr>
        <w:jc w:val="both"/>
        <w:rPr>
          <w:bCs/>
          <w:i/>
          <w:color w:val="002060"/>
          <w:sz w:val="16"/>
          <w:szCs w:val="16"/>
        </w:rPr>
      </w:pPr>
    </w:p>
    <w:p w14:paraId="1393D76B" w14:textId="77777777" w:rsidR="004B4E35" w:rsidRPr="00405303" w:rsidRDefault="009E6F82" w:rsidP="00C15251">
      <w:pPr>
        <w:jc w:val="both"/>
        <w:rPr>
          <w:bCs/>
          <w:color w:val="002060"/>
          <w:sz w:val="16"/>
          <w:szCs w:val="16"/>
        </w:rPr>
      </w:pPr>
      <w:r w:rsidRPr="00405303">
        <w:rPr>
          <w:bCs/>
          <w:color w:val="002060"/>
          <w:sz w:val="16"/>
          <w:szCs w:val="16"/>
        </w:rPr>
        <w:t>20 июня (3 июля) 1915 - Французский военный летчик Брокар сбивает свой первый самолет противника.</w:t>
      </w:r>
    </w:p>
    <w:p w14:paraId="29BBD95F" w14:textId="77777777" w:rsidR="004B4E35" w:rsidRPr="00405303" w:rsidRDefault="009E6F82" w:rsidP="00C15251">
      <w:pPr>
        <w:jc w:val="both"/>
        <w:rPr>
          <w:bCs/>
          <w:color w:val="002060"/>
          <w:sz w:val="16"/>
          <w:szCs w:val="16"/>
        </w:rPr>
      </w:pPr>
      <w:r w:rsidRPr="00405303">
        <w:rPr>
          <w:bCs/>
          <w:color w:val="002060"/>
          <w:sz w:val="16"/>
          <w:szCs w:val="16"/>
        </w:rPr>
        <w:t>В 5 час. 20 мин. утра среди разрывов снарядов, выпускаемых французской артиллерией был замечен германский "Альбатрос", который шел в направлении Беллемантуар. Брокар на "Ньюпоре", вооруженном пулеметом, имея при себе карабин и маузер, вылетел на перехват. Он настиг германский самолет на высоте 2500 м недалеко от Компьена и с расстояния 200 м открыл огонь из пулемета. Пулемет заело.</w:t>
      </w:r>
    </w:p>
    <w:p w14:paraId="268EDF84" w14:textId="77777777" w:rsidR="004B4E35" w:rsidRPr="00405303" w:rsidRDefault="009E6F82" w:rsidP="00C15251">
      <w:pPr>
        <w:jc w:val="both"/>
        <w:rPr>
          <w:bCs/>
          <w:color w:val="002060"/>
          <w:sz w:val="16"/>
          <w:szCs w:val="16"/>
        </w:rPr>
      </w:pPr>
      <w:r w:rsidRPr="00405303">
        <w:rPr>
          <w:bCs/>
          <w:color w:val="002060"/>
          <w:sz w:val="16"/>
          <w:szCs w:val="16"/>
        </w:rPr>
        <w:t>Германский пилот, заметив атакующего француза, сделал вираж влево и дал возможность своему наблюдателю открыть огонь по нападавшему французу. В результате первых выстрелов оба крыла "Ньюпора" оказались пробиты пулями. Брокар, приблизившись к противнику на 80 м, открыл огонь из карабина. Когда обе обоймы карабина по 9 патронов в каждой кончились, Брокар начал стрелять из маузера. Однако и в маузере патроны закончились, а результат так и не был достигнут. Брокар все же не сдавался, и когда вновь приблизился к противнику на 50 м, смог, наконец, открыть огонь из пулемета. Французский летчик расстрелял всю ленту, прежде чем "Альбатрос" завалился и начал пикировать.</w:t>
      </w:r>
    </w:p>
    <w:p w14:paraId="522181CD" w14:textId="77777777" w:rsidR="004B4E35" w:rsidRPr="00405303" w:rsidRDefault="009E6F82" w:rsidP="00C15251">
      <w:pPr>
        <w:jc w:val="both"/>
        <w:rPr>
          <w:bCs/>
          <w:color w:val="002060"/>
          <w:sz w:val="16"/>
          <w:szCs w:val="16"/>
        </w:rPr>
      </w:pPr>
      <w:r w:rsidRPr="00405303">
        <w:rPr>
          <w:bCs/>
          <w:color w:val="002060"/>
          <w:sz w:val="16"/>
          <w:szCs w:val="16"/>
        </w:rPr>
        <w:t>На высоте около 1000 м германский наблюдатель вдруг встал и поднял руки вверх, делая при этом знаки с просьбой больше не стрелять. Брокар продолжал резко снижаться вслед за "Альбатросом" до высоты 400 м. Далее французу пришлось отстать; "Альбатрос" на малой высоте выровнялся и перетянул через линию фронта на свою территорию (11999).</w:t>
      </w:r>
    </w:p>
    <w:p w14:paraId="6A7D6DD0" w14:textId="77777777" w:rsidR="004B4E35" w:rsidRPr="00405303" w:rsidRDefault="004B4E35" w:rsidP="00C15251">
      <w:pPr>
        <w:jc w:val="both"/>
        <w:rPr>
          <w:bCs/>
          <w:color w:val="002060"/>
          <w:sz w:val="16"/>
          <w:szCs w:val="16"/>
        </w:rPr>
      </w:pPr>
    </w:p>
    <w:p w14:paraId="603A7FA4"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3F3FA52C" w14:textId="77777777" w:rsidR="004B4E35" w:rsidRPr="00405303" w:rsidRDefault="004B4E35" w:rsidP="00C15251">
      <w:pPr>
        <w:jc w:val="both"/>
        <w:rPr>
          <w:bCs/>
          <w:i/>
          <w:color w:val="002060"/>
          <w:sz w:val="16"/>
          <w:szCs w:val="16"/>
        </w:rPr>
      </w:pPr>
    </w:p>
    <w:p w14:paraId="1561839A" w14:textId="0E5F4E06" w:rsidR="004B4E35" w:rsidRPr="00405303" w:rsidRDefault="009E6F82" w:rsidP="00C15251">
      <w:pPr>
        <w:jc w:val="both"/>
        <w:rPr>
          <w:bCs/>
          <w:color w:val="002060"/>
          <w:sz w:val="16"/>
          <w:szCs w:val="16"/>
        </w:rPr>
      </w:pPr>
      <w:r w:rsidRPr="00405303">
        <w:rPr>
          <w:bCs/>
          <w:color w:val="002060"/>
          <w:sz w:val="16"/>
          <w:szCs w:val="16"/>
        </w:rPr>
        <w:t>21 июня (4 июля) - Германские летчики обнаружили отход русских войск к р. Днестр.</w:t>
      </w:r>
      <w:r w:rsidR="00940E68" w:rsidRPr="00405303">
        <w:rPr>
          <w:bCs/>
          <w:color w:val="002060"/>
          <w:sz w:val="16"/>
          <w:szCs w:val="16"/>
        </w:rPr>
        <w:t xml:space="preserve"> </w:t>
      </w:r>
      <w:r w:rsidRPr="00405303">
        <w:rPr>
          <w:bCs/>
          <w:color w:val="002060"/>
          <w:sz w:val="16"/>
          <w:szCs w:val="16"/>
        </w:rPr>
        <w:t>Русский летчик Ткачев, производя воздушную разведку в районе рек Лины и Стыри, вскрыл сосредоточение сильной ударной германской группировки (11999).</w:t>
      </w:r>
    </w:p>
    <w:p w14:paraId="59026DDB" w14:textId="77777777" w:rsidR="004B4E35" w:rsidRPr="00405303" w:rsidRDefault="004B4E35" w:rsidP="00C15251">
      <w:pPr>
        <w:jc w:val="both"/>
        <w:rPr>
          <w:bCs/>
          <w:color w:val="002060"/>
          <w:sz w:val="16"/>
          <w:szCs w:val="16"/>
        </w:rPr>
      </w:pPr>
    </w:p>
    <w:p w14:paraId="7761953C" w14:textId="152E2D58" w:rsidR="00CE794B" w:rsidRPr="00405303" w:rsidRDefault="00CE794B" w:rsidP="00C15251">
      <w:pPr>
        <w:jc w:val="both"/>
        <w:rPr>
          <w:bCs/>
          <w:color w:val="002060"/>
          <w:sz w:val="16"/>
          <w:szCs w:val="16"/>
        </w:rPr>
      </w:pPr>
      <w:r w:rsidRPr="00405303">
        <w:rPr>
          <w:bCs/>
          <w:color w:val="002060"/>
          <w:sz w:val="16"/>
          <w:szCs w:val="16"/>
          <w:lang w:bidi="ru-RU"/>
        </w:rPr>
        <w:t xml:space="preserve">21—24 (4-8) июня 1915 г. </w:t>
      </w:r>
    </w:p>
    <w:p w14:paraId="75A71BA0" w14:textId="77777777" w:rsidR="00CE794B" w:rsidRPr="00405303" w:rsidRDefault="00CE794B" w:rsidP="00C15251">
      <w:pPr>
        <w:jc w:val="both"/>
        <w:rPr>
          <w:bCs/>
          <w:color w:val="002060"/>
          <w:sz w:val="16"/>
          <w:szCs w:val="16"/>
        </w:rPr>
      </w:pPr>
      <w:r w:rsidRPr="00405303">
        <w:rPr>
          <w:bCs/>
          <w:color w:val="002060"/>
          <w:sz w:val="16"/>
          <w:szCs w:val="16"/>
          <w:lang w:bidi="ru-RU"/>
        </w:rPr>
        <w:t>«Летопись войны. 11-й и 12-й месяцы. Русский фронт. 21—24 июня 1915 г.</w:t>
      </w:r>
    </w:p>
    <w:p w14:paraId="26DBBAA5" w14:textId="77777777" w:rsidR="00CE794B" w:rsidRPr="00405303" w:rsidRDefault="00CE794B" w:rsidP="00C15251">
      <w:pPr>
        <w:jc w:val="both"/>
        <w:rPr>
          <w:bCs/>
          <w:color w:val="002060"/>
          <w:sz w:val="16"/>
          <w:szCs w:val="16"/>
        </w:rPr>
      </w:pPr>
      <w:r w:rsidRPr="00405303">
        <w:rPr>
          <w:bCs/>
          <w:color w:val="002060"/>
          <w:sz w:val="16"/>
          <w:szCs w:val="16"/>
          <w:lang w:bidi="ru-RU"/>
        </w:rPr>
        <w:t>Над Митавой ежедневно появляются неприятельские аэропланы. Бомбы с них не бросают. Наши обстреливают аэропла</w:t>
      </w:r>
      <w:r w:rsidRPr="00405303">
        <w:rPr>
          <w:bCs/>
          <w:color w:val="002060"/>
          <w:sz w:val="16"/>
          <w:szCs w:val="16"/>
          <w:lang w:bidi="ru-RU"/>
        </w:rPr>
        <w:softHyphen/>
        <w:t>ны. На днях в Митаву доставлены части германского аэроплана, подобранного в уезде (23374).</w:t>
      </w:r>
    </w:p>
    <w:p w14:paraId="5694069C" w14:textId="77777777" w:rsidR="00CE794B" w:rsidRPr="00405303" w:rsidRDefault="00CE794B" w:rsidP="00C15251">
      <w:pPr>
        <w:jc w:val="both"/>
        <w:rPr>
          <w:bCs/>
          <w:color w:val="002060"/>
          <w:sz w:val="16"/>
          <w:szCs w:val="16"/>
        </w:rPr>
      </w:pPr>
    </w:p>
    <w:p w14:paraId="5F443951" w14:textId="77777777" w:rsidR="003C22DB" w:rsidRPr="00405303" w:rsidRDefault="003C22DB" w:rsidP="003C22DB">
      <w:pPr>
        <w:jc w:val="both"/>
        <w:rPr>
          <w:color w:val="0070C0"/>
          <w:sz w:val="16"/>
          <w:szCs w:val="16"/>
        </w:rPr>
      </w:pPr>
      <w:r w:rsidRPr="00405303">
        <w:rPr>
          <w:rStyle w:val="aa"/>
          <w:rFonts w:ascii="Times New Roman" w:hAnsi="Times New Roman"/>
          <w:color w:val="0070C0"/>
          <w:spacing w:val="0"/>
          <w:sz w:val="16"/>
          <w:szCs w:val="16"/>
        </w:rPr>
        <w:t>В период 21-24 июня (4–7 июля 1915 г. ежедневно неприятельские аэропланы появлялись над Митавой, осуществлявшие воздушную разведку наших военных объектов. При каждом их появлении русские зенитчики открывали интенсивный огонь на поражение. Один из таких обстрелов привел к уничтожению вражеского летательного аппарата. Позднее его остатки были доставлены в Митаву для дальнейшего использования в интересах отечественного самолетостроения (25135).</w:t>
      </w:r>
    </w:p>
    <w:p w14:paraId="5757B82F" w14:textId="77777777" w:rsidR="003C22DB" w:rsidRPr="00405303" w:rsidRDefault="003C22DB" w:rsidP="003C22DB">
      <w:pPr>
        <w:jc w:val="both"/>
        <w:rPr>
          <w:color w:val="0070C0"/>
          <w:sz w:val="16"/>
          <w:szCs w:val="16"/>
        </w:rPr>
      </w:pPr>
    </w:p>
    <w:p w14:paraId="2AD6899F" w14:textId="136E7D05" w:rsidR="004571A2" w:rsidRPr="00405303" w:rsidRDefault="004571A2" w:rsidP="00C15251">
      <w:pPr>
        <w:jc w:val="both"/>
        <w:rPr>
          <w:bCs/>
          <w:i/>
          <w:color w:val="002060"/>
          <w:sz w:val="16"/>
          <w:szCs w:val="16"/>
        </w:rPr>
      </w:pPr>
      <w:r w:rsidRPr="00405303">
        <w:rPr>
          <w:bCs/>
          <w:i/>
          <w:color w:val="002060"/>
          <w:sz w:val="16"/>
          <w:szCs w:val="16"/>
        </w:rPr>
        <w:t>Авиация и воздухоплавание Германии:</w:t>
      </w:r>
    </w:p>
    <w:p w14:paraId="036A6245" w14:textId="77777777" w:rsidR="004571A2" w:rsidRPr="00405303" w:rsidRDefault="004571A2" w:rsidP="00C15251">
      <w:pPr>
        <w:jc w:val="both"/>
        <w:rPr>
          <w:bCs/>
          <w:i/>
          <w:color w:val="002060"/>
          <w:sz w:val="16"/>
          <w:szCs w:val="16"/>
        </w:rPr>
      </w:pPr>
    </w:p>
    <w:p w14:paraId="57C53C70" w14:textId="77777777" w:rsidR="004571A2" w:rsidRPr="00405303" w:rsidRDefault="004571A2" w:rsidP="00C15251">
      <w:pPr>
        <w:jc w:val="both"/>
        <w:rPr>
          <w:bCs/>
          <w:color w:val="002060"/>
          <w:sz w:val="16"/>
          <w:szCs w:val="16"/>
        </w:rPr>
      </w:pPr>
      <w:r w:rsidRPr="00405303">
        <w:rPr>
          <w:bCs/>
          <w:color w:val="002060"/>
          <w:sz w:val="16"/>
          <w:szCs w:val="16"/>
        </w:rPr>
        <w:t xml:space="preserve">21 июня (4 июля) 1915 отряд из шести дирижаблей ВМС Германии (пять Zeppelins и Schütte-Lanz ) намеревается атаковать силы Королевского флота, состоящие из легких крейсеров, эсминцев и носителя гидросамолетов HMS Engadine, действующего в Немецкой бухте, для проведения воздушной разведки Эмс лимана и Боркум и перехвата операций немецких дирижаблей. Британская разведка ничего не добивается, британские гидросамолеты не могут взлететь из-за сильного ветра, чтобы преследовать дирижаблию Дирижабли не наносят ущерба британским кораблям, </w:t>
      </w:r>
      <w:proofErr w:type="gramStart"/>
      <w:r w:rsidRPr="00405303">
        <w:rPr>
          <w:bCs/>
          <w:color w:val="002060"/>
          <w:sz w:val="16"/>
          <w:szCs w:val="16"/>
        </w:rPr>
        <w:t>и</w:t>
      </w:r>
      <w:proofErr w:type="gramEnd"/>
      <w:r w:rsidRPr="00405303">
        <w:rPr>
          <w:bCs/>
          <w:color w:val="002060"/>
          <w:sz w:val="16"/>
          <w:szCs w:val="16"/>
        </w:rPr>
        <w:t xml:space="preserve"> хотя британские корабли стреляют по некоторым из дирижаблей, они не могут ни один сбить (20338).</w:t>
      </w:r>
    </w:p>
    <w:p w14:paraId="44AC7379" w14:textId="77777777" w:rsidR="004571A2" w:rsidRPr="00405303" w:rsidRDefault="004571A2" w:rsidP="00C15251">
      <w:pPr>
        <w:jc w:val="both"/>
        <w:rPr>
          <w:bCs/>
          <w:color w:val="002060"/>
          <w:sz w:val="16"/>
          <w:szCs w:val="16"/>
        </w:rPr>
      </w:pPr>
    </w:p>
    <w:p w14:paraId="62A5B9AD" w14:textId="0DF7AC14" w:rsidR="00940E68" w:rsidRPr="00405303" w:rsidRDefault="00940E68" w:rsidP="00C15251">
      <w:pPr>
        <w:jc w:val="both"/>
        <w:rPr>
          <w:bCs/>
          <w:color w:val="002060"/>
          <w:sz w:val="16"/>
          <w:szCs w:val="16"/>
        </w:rPr>
      </w:pPr>
      <w:r w:rsidRPr="00405303">
        <w:rPr>
          <w:bCs/>
          <w:color w:val="002060"/>
          <w:sz w:val="16"/>
          <w:szCs w:val="16"/>
        </w:rPr>
        <w:t>2</w:t>
      </w:r>
      <w:r w:rsidR="00CE794B" w:rsidRPr="00405303">
        <w:rPr>
          <w:bCs/>
          <w:color w:val="002060"/>
          <w:sz w:val="16"/>
          <w:szCs w:val="16"/>
        </w:rPr>
        <w:t>1</w:t>
      </w:r>
      <w:r w:rsidRPr="00405303">
        <w:rPr>
          <w:bCs/>
          <w:color w:val="002060"/>
          <w:sz w:val="16"/>
          <w:szCs w:val="16"/>
        </w:rPr>
        <w:t xml:space="preserve"> июня (4 июля) в 1915 году немецкий пилот Плушов стал единственным военнопленным, которому удалось бежать из Англии в годы первой мировой войны (14942).</w:t>
      </w:r>
    </w:p>
    <w:p w14:paraId="0AD1080E" w14:textId="77777777" w:rsidR="00940E68" w:rsidRPr="00405303" w:rsidRDefault="00940E68" w:rsidP="00C15251">
      <w:pPr>
        <w:jc w:val="both"/>
        <w:rPr>
          <w:bCs/>
          <w:color w:val="002060"/>
          <w:sz w:val="16"/>
          <w:szCs w:val="16"/>
        </w:rPr>
      </w:pPr>
    </w:p>
    <w:p w14:paraId="4D3D4C44"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43A3A126" w14:textId="77777777" w:rsidR="004B4E35" w:rsidRPr="00405303" w:rsidRDefault="004B4E35" w:rsidP="00C15251">
      <w:pPr>
        <w:jc w:val="both"/>
        <w:rPr>
          <w:bCs/>
          <w:i/>
          <w:color w:val="002060"/>
          <w:sz w:val="16"/>
          <w:szCs w:val="16"/>
        </w:rPr>
      </w:pPr>
    </w:p>
    <w:p w14:paraId="7769FD7A" w14:textId="4F3A9A43"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22 июня (5 июля) 1915 </w:t>
      </w:r>
      <w:r w:rsidR="00940E68" w:rsidRPr="00405303">
        <w:rPr>
          <w:bCs/>
          <w:color w:val="002060"/>
          <w:sz w:val="16"/>
          <w:szCs w:val="16"/>
        </w:rPr>
        <w:t xml:space="preserve">г. </w:t>
      </w:r>
      <w:r w:rsidRPr="00405303">
        <w:rPr>
          <w:bCs/>
          <w:color w:val="002060"/>
          <w:sz w:val="16"/>
          <w:szCs w:val="16"/>
        </w:rPr>
        <w:t>на заводе Лебедева была закончена постройка “Святогора” (11066).</w:t>
      </w:r>
    </w:p>
    <w:p w14:paraId="382E26E2" w14:textId="77777777" w:rsidR="004B4E35" w:rsidRPr="00405303" w:rsidRDefault="004B4E35" w:rsidP="00C15251">
      <w:pPr>
        <w:shd w:val="clear" w:color="auto" w:fill="FFFFFF"/>
        <w:jc w:val="both"/>
        <w:rPr>
          <w:bCs/>
          <w:color w:val="002060"/>
          <w:sz w:val="16"/>
          <w:szCs w:val="16"/>
        </w:rPr>
      </w:pPr>
    </w:p>
    <w:p w14:paraId="5D9685CA" w14:textId="39F663A7" w:rsidR="00014DC9" w:rsidRPr="00405303" w:rsidRDefault="00014DC9" w:rsidP="00C15251">
      <w:pPr>
        <w:pStyle w:val="ae"/>
        <w:spacing w:before="0" w:beforeAutospacing="0" w:after="0" w:afterAutospacing="0"/>
        <w:jc w:val="both"/>
        <w:rPr>
          <w:bCs/>
          <w:color w:val="002060"/>
          <w:sz w:val="16"/>
          <w:szCs w:val="16"/>
        </w:rPr>
      </w:pPr>
      <w:r w:rsidRPr="00405303">
        <w:rPr>
          <w:bCs/>
          <w:color w:val="002060"/>
          <w:sz w:val="16"/>
          <w:szCs w:val="16"/>
        </w:rPr>
        <w:t xml:space="preserve">22 июня </w:t>
      </w:r>
      <w:r w:rsidR="00940E68" w:rsidRPr="00405303">
        <w:rPr>
          <w:bCs/>
          <w:color w:val="002060"/>
          <w:sz w:val="16"/>
          <w:szCs w:val="16"/>
        </w:rPr>
        <w:t xml:space="preserve">(5 июля) </w:t>
      </w:r>
      <w:r w:rsidRPr="00405303">
        <w:rPr>
          <w:bCs/>
          <w:color w:val="002060"/>
          <w:sz w:val="16"/>
          <w:szCs w:val="16"/>
        </w:rPr>
        <w:t>1915 года в основном закончилось изготовление самолета Святогор. Отсутствие двигателей, однако, не позволило сразу довести аппарат до летного состояния. В условиях продолжающейся войны получить запланированные двигатели «Mercedes» мощностью 300 л.с. не представлялось возможным. Попытка использовать силовую установку со сбитого немецкого дирижабля не удалась — двигатели «Maybach» оказались значительно повреждены. В январе 1916 года были получены французские двигатели «Renault» мощностью 220 л.с., которые и установили на «Святогор».</w:t>
      </w:r>
    </w:p>
    <w:p w14:paraId="7297807A" w14:textId="77777777" w:rsidR="00014DC9" w:rsidRPr="00405303" w:rsidRDefault="00014DC9" w:rsidP="00C15251">
      <w:pPr>
        <w:pStyle w:val="ae"/>
        <w:spacing w:before="0" w:beforeAutospacing="0" w:after="0" w:afterAutospacing="0"/>
        <w:jc w:val="both"/>
        <w:rPr>
          <w:bCs/>
          <w:color w:val="002060"/>
          <w:sz w:val="16"/>
          <w:szCs w:val="16"/>
        </w:rPr>
      </w:pPr>
      <w:r w:rsidRPr="00405303">
        <w:rPr>
          <w:bCs/>
          <w:color w:val="002060"/>
          <w:sz w:val="16"/>
          <w:szCs w:val="16"/>
        </w:rPr>
        <w:t>В этот период дальнейшее развитие работ по самолету Слесарева затормозилось по причине недостатка средств. Израсходованными оказались не только 100 тысяч Млынского, но и личные 65 тысяч рублей конструктора. В дополнительных ассигнованиях из государственной казны было отказано. Одновременно дальнейшая судьба самолета становилась не вполне определенной по причине значительного перетяжеления конструкции на 1500 кг. Признавалось, что при возросшем полетном весе мощности двух двигателей «Renault» для осуществления полета «Святогора» может быть недостаточно (18582).</w:t>
      </w:r>
    </w:p>
    <w:p w14:paraId="3928D051" w14:textId="77777777" w:rsidR="00014DC9" w:rsidRPr="00405303" w:rsidRDefault="00014DC9" w:rsidP="00C15251">
      <w:pPr>
        <w:pStyle w:val="ae"/>
        <w:spacing w:before="0" w:beforeAutospacing="0" w:after="0" w:afterAutospacing="0"/>
        <w:jc w:val="both"/>
        <w:rPr>
          <w:bCs/>
          <w:color w:val="002060"/>
          <w:sz w:val="16"/>
          <w:szCs w:val="16"/>
        </w:rPr>
      </w:pPr>
    </w:p>
    <w:p w14:paraId="71913D20" w14:textId="204CA313" w:rsidR="00CE794B" w:rsidRPr="00405303" w:rsidRDefault="00CE794B" w:rsidP="00C15251">
      <w:pPr>
        <w:jc w:val="both"/>
        <w:rPr>
          <w:bCs/>
          <w:color w:val="002060"/>
          <w:sz w:val="16"/>
          <w:szCs w:val="16"/>
        </w:rPr>
      </w:pPr>
      <w:r w:rsidRPr="00405303">
        <w:rPr>
          <w:bCs/>
          <w:color w:val="002060"/>
          <w:sz w:val="16"/>
          <w:szCs w:val="16"/>
          <w:lang w:bidi="ru-RU"/>
        </w:rPr>
        <w:t xml:space="preserve">22 июня </w:t>
      </w:r>
      <w:r w:rsidR="009109FF" w:rsidRPr="00405303">
        <w:rPr>
          <w:bCs/>
          <w:color w:val="002060"/>
          <w:sz w:val="16"/>
          <w:szCs w:val="16"/>
          <w:lang w:bidi="ru-RU"/>
        </w:rPr>
        <w:t xml:space="preserve">(5 июля) </w:t>
      </w:r>
      <w:r w:rsidRPr="00405303">
        <w:rPr>
          <w:bCs/>
          <w:color w:val="002060"/>
          <w:sz w:val="16"/>
          <w:szCs w:val="16"/>
          <w:lang w:bidi="ru-RU"/>
        </w:rPr>
        <w:t>1915 г. в основном закончилось начатое в дека</w:t>
      </w:r>
      <w:r w:rsidRPr="00405303">
        <w:rPr>
          <w:bCs/>
          <w:color w:val="002060"/>
          <w:sz w:val="16"/>
          <w:szCs w:val="16"/>
          <w:lang w:bidi="ru-RU"/>
        </w:rPr>
        <w:softHyphen/>
        <w:t>бре 1914 г. изготовление самолета «Святогор». Отсутствие двигателей, одна</w:t>
      </w:r>
      <w:r w:rsidRPr="00405303">
        <w:rPr>
          <w:bCs/>
          <w:color w:val="002060"/>
          <w:sz w:val="16"/>
          <w:szCs w:val="16"/>
          <w:lang w:bidi="ru-RU"/>
        </w:rPr>
        <w:softHyphen/>
        <w:t>ко, не позволило сразу довести аппарат до летного состояния. В условиях продолжаю</w:t>
      </w:r>
      <w:r w:rsidRPr="00405303">
        <w:rPr>
          <w:bCs/>
          <w:color w:val="002060"/>
          <w:sz w:val="16"/>
          <w:szCs w:val="16"/>
          <w:lang w:bidi="ru-RU"/>
        </w:rPr>
        <w:softHyphen/>
        <w:t>щейся войны получить запланированные двигатели «Мерседес» мощностью 300 л.с. не представлялось возможным. Попытка использовать силовую установку со сбито</w:t>
      </w:r>
      <w:r w:rsidRPr="00405303">
        <w:rPr>
          <w:bCs/>
          <w:color w:val="002060"/>
          <w:sz w:val="16"/>
          <w:szCs w:val="16"/>
          <w:lang w:bidi="ru-RU"/>
        </w:rPr>
        <w:softHyphen/>
        <w:t>го немецкого дирижабля не удалась — дви</w:t>
      </w:r>
      <w:r w:rsidRPr="00405303">
        <w:rPr>
          <w:bCs/>
          <w:color w:val="002060"/>
          <w:sz w:val="16"/>
          <w:szCs w:val="16"/>
          <w:lang w:bidi="ru-RU"/>
        </w:rPr>
        <w:softHyphen/>
        <w:t>гатели «Майбах» оказались значительно повреждены. В январе 1916 г. были полу</w:t>
      </w:r>
      <w:r w:rsidRPr="00405303">
        <w:rPr>
          <w:bCs/>
          <w:color w:val="002060"/>
          <w:sz w:val="16"/>
          <w:szCs w:val="16"/>
          <w:lang w:bidi="ru-RU"/>
        </w:rPr>
        <w:softHyphen/>
        <w:t>чены французские двигатели «Рено» мощ</w:t>
      </w:r>
      <w:r w:rsidRPr="00405303">
        <w:rPr>
          <w:bCs/>
          <w:color w:val="002060"/>
          <w:sz w:val="16"/>
          <w:szCs w:val="16"/>
          <w:lang w:bidi="ru-RU"/>
        </w:rPr>
        <w:softHyphen/>
        <w:t>ностью 220 л.с., которые и установили на «Святогор» (23374).</w:t>
      </w:r>
    </w:p>
    <w:p w14:paraId="6BE2E7DD" w14:textId="77777777" w:rsidR="00CE794B" w:rsidRPr="00405303" w:rsidRDefault="00CE794B" w:rsidP="00C15251">
      <w:pPr>
        <w:jc w:val="both"/>
        <w:rPr>
          <w:bCs/>
          <w:color w:val="002060"/>
          <w:sz w:val="16"/>
          <w:szCs w:val="16"/>
        </w:rPr>
      </w:pPr>
    </w:p>
    <w:p w14:paraId="6DDD1AA7" w14:textId="5C6FE615" w:rsidR="00CE794B" w:rsidRPr="00405303" w:rsidRDefault="00CE794B" w:rsidP="00C15251">
      <w:pPr>
        <w:shd w:val="clear" w:color="auto" w:fill="FFFFFF"/>
        <w:jc w:val="both"/>
        <w:rPr>
          <w:bCs/>
          <w:i/>
          <w:color w:val="002060"/>
          <w:sz w:val="16"/>
          <w:szCs w:val="16"/>
        </w:rPr>
      </w:pPr>
      <w:r w:rsidRPr="00405303">
        <w:rPr>
          <w:bCs/>
          <w:i/>
          <w:color w:val="002060"/>
          <w:sz w:val="16"/>
          <w:szCs w:val="16"/>
        </w:rPr>
        <w:t>Дркгие оборонные отрасли:</w:t>
      </w:r>
    </w:p>
    <w:p w14:paraId="7D94A409" w14:textId="77777777" w:rsidR="00CE794B" w:rsidRPr="00405303" w:rsidRDefault="00CE794B" w:rsidP="00C15251">
      <w:pPr>
        <w:shd w:val="clear" w:color="auto" w:fill="FFFFFF"/>
        <w:jc w:val="both"/>
        <w:rPr>
          <w:bCs/>
          <w:i/>
          <w:color w:val="002060"/>
          <w:sz w:val="16"/>
          <w:szCs w:val="16"/>
        </w:rPr>
      </w:pPr>
    </w:p>
    <w:p w14:paraId="1E980439" w14:textId="0DD12823" w:rsidR="00CE794B" w:rsidRPr="00405303" w:rsidRDefault="00CE794B"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 xml:space="preserve">22 июня </w:t>
      </w:r>
      <w:r w:rsidR="009109FF" w:rsidRPr="00405303">
        <w:rPr>
          <w:rFonts w:ascii="Times New Roman" w:hAnsi="Times New Roman" w:cs="Times New Roman"/>
          <w:bCs/>
          <w:color w:val="002060"/>
          <w:sz w:val="16"/>
          <w:szCs w:val="16"/>
        </w:rPr>
        <w:t xml:space="preserve">(5 июля) </w:t>
      </w:r>
      <w:r w:rsidRPr="00405303">
        <w:rPr>
          <w:rFonts w:ascii="Times New Roman" w:hAnsi="Times New Roman" w:cs="Times New Roman"/>
          <w:bCs/>
          <w:color w:val="002060"/>
          <w:sz w:val="16"/>
          <w:szCs w:val="16"/>
        </w:rPr>
        <w:t>1915 г. на заседании Московского ВПК Ю.И. Поплавский восклицал: «Происходит нечто неописуемое. Идет реквизиционная борьба чиновников с заводами, —. — Артиллерийское ведомство вместо того, чтобы самому заботиться раньше о себе, отнимает у других, с уже налаженных заводов снимает станки». При этом Поплав</w:t>
      </w:r>
      <w:r w:rsidRPr="00405303">
        <w:rPr>
          <w:rFonts w:ascii="Times New Roman" w:hAnsi="Times New Roman" w:cs="Times New Roman"/>
          <w:bCs/>
          <w:color w:val="002060"/>
          <w:sz w:val="16"/>
          <w:szCs w:val="16"/>
        </w:rPr>
        <w:softHyphen/>
        <w:t>ский в принципе был не против реквизиции, но смотря про</w:t>
      </w:r>
      <w:r w:rsidRPr="00405303">
        <w:rPr>
          <w:rFonts w:ascii="Times New Roman" w:hAnsi="Times New Roman" w:cs="Times New Roman"/>
          <w:bCs/>
          <w:color w:val="002060"/>
          <w:sz w:val="16"/>
          <w:szCs w:val="16"/>
        </w:rPr>
        <w:softHyphen/>
        <w:t>тив кого она обращена: «Пусть бы обратились в Ригу... в Риге 448 заводов...» (Совет запоздал: там уже орудовали ГАУ и Морское министерство.) Последствия циркуляра оказались настолько вредоносными, что 14 июля Военное министерство было вынуждено другим циркуляром распорядиться об «упо</w:t>
      </w:r>
      <w:r w:rsidRPr="00405303">
        <w:rPr>
          <w:rFonts w:ascii="Times New Roman" w:hAnsi="Times New Roman" w:cs="Times New Roman"/>
          <w:bCs/>
          <w:color w:val="002060"/>
          <w:sz w:val="16"/>
          <w:szCs w:val="16"/>
        </w:rPr>
        <w:softHyphen/>
        <w:t>рядочении этого дела», с тем чтобы начальники управлений, усмотрев «необходимость где-либо произвести реквизицию станков», прежде сообщали в комиссию по реквизиции стан</w:t>
      </w:r>
      <w:r w:rsidRPr="00405303">
        <w:rPr>
          <w:rFonts w:ascii="Times New Roman" w:hAnsi="Times New Roman" w:cs="Times New Roman"/>
          <w:bCs/>
          <w:color w:val="002060"/>
          <w:sz w:val="16"/>
          <w:szCs w:val="16"/>
        </w:rPr>
        <w:softHyphen/>
        <w:t>ков при ГАУ. Практической пользы от грозного распоряже</w:t>
      </w:r>
      <w:r w:rsidRPr="00405303">
        <w:rPr>
          <w:rFonts w:ascii="Times New Roman" w:hAnsi="Times New Roman" w:cs="Times New Roman"/>
          <w:bCs/>
          <w:color w:val="002060"/>
          <w:sz w:val="16"/>
          <w:szCs w:val="16"/>
        </w:rPr>
        <w:softHyphen/>
        <w:t>ния великого князя, по отзывам Маниковского и Залюбовского, не произошло «даже временно» (Буржуазия накануне Февральской революции. М.; Л., 1927. С. 9-10; ЖОСО 1915. С. 122; Залюбовский А.П. Указ. соч. С. 50—51) (23452).</w:t>
      </w:r>
    </w:p>
    <w:p w14:paraId="48E6BD1F" w14:textId="77777777" w:rsidR="00CE794B" w:rsidRPr="00405303" w:rsidRDefault="00CE794B" w:rsidP="00C15251">
      <w:pPr>
        <w:jc w:val="both"/>
        <w:rPr>
          <w:bCs/>
          <w:color w:val="002060"/>
          <w:sz w:val="16"/>
          <w:szCs w:val="16"/>
          <w:lang w:bidi="ru-RU"/>
        </w:rPr>
      </w:pPr>
    </w:p>
    <w:p w14:paraId="6DCC80F9" w14:textId="56545D85"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597CD095" w14:textId="77777777" w:rsidR="004B4E35" w:rsidRPr="00405303" w:rsidRDefault="004B4E35" w:rsidP="00C15251">
      <w:pPr>
        <w:shd w:val="clear" w:color="auto" w:fill="FFFFFF"/>
        <w:jc w:val="both"/>
        <w:rPr>
          <w:bCs/>
          <w:i/>
          <w:color w:val="002060"/>
          <w:sz w:val="16"/>
          <w:szCs w:val="16"/>
        </w:rPr>
      </w:pPr>
    </w:p>
    <w:p w14:paraId="26E6AA88" w14:textId="77777777" w:rsidR="003C22DB" w:rsidRPr="00405303" w:rsidRDefault="003C22DB" w:rsidP="003C22DB">
      <w:pPr>
        <w:jc w:val="both"/>
        <w:rPr>
          <w:color w:val="0070C0"/>
          <w:sz w:val="16"/>
          <w:szCs w:val="16"/>
        </w:rPr>
      </w:pPr>
      <w:r w:rsidRPr="00405303">
        <w:rPr>
          <w:color w:val="0070C0"/>
          <w:sz w:val="16"/>
          <w:szCs w:val="16"/>
        </w:rPr>
        <w:t>22 июня (5 июля) 1915 г. экипаж «Киевского» отдельного отряда первым повстречался с истребителями. Это случилось Отбомбившись, корабль лег на обратный путь и в 40 км от линии фронта на высоте 3500 м был атакован истребителями «Бранденбург». Истребитель дал очередь из пулемета по левому борту «муромца». Командир был ранен в голову и ногу. Пробиты оба верхних бака и оба бензопровода левой группы моторов. Теперь работали только правые двигатели. И.С. Башко, превозмогая боль, удержал корабль на курсе. Тем временем истребитель вновь вышел в атаку, но огнем из пулемета был отогнан. В атаку перешел второй истребитель. Его удалось отогнать стрельбой из карабина. При подходе к линии фронта корабль был обстрелян третьим истребителем. Остановились и правые двигатели. Командир, несмотря на ранение, удачно посадил машину в тылу русских войск. Весь экипаж был награжден. И.С. Башко получил орден Св. Георгия 4-й степени, первую столь высокую награду в ЭВК.</w:t>
      </w:r>
    </w:p>
    <w:p w14:paraId="7A28FDFE" w14:textId="77777777" w:rsidR="003C22DB" w:rsidRPr="00405303" w:rsidRDefault="003C22DB" w:rsidP="003C22DB">
      <w:pPr>
        <w:jc w:val="both"/>
        <w:rPr>
          <w:color w:val="0070C0"/>
          <w:sz w:val="16"/>
          <w:szCs w:val="16"/>
        </w:rPr>
      </w:pPr>
      <w:r w:rsidRPr="00405303">
        <w:rPr>
          <w:color w:val="0070C0"/>
          <w:sz w:val="16"/>
          <w:szCs w:val="16"/>
        </w:rPr>
        <w:t>Боевое донесение:</w:t>
      </w:r>
    </w:p>
    <w:p w14:paraId="11A4EA45" w14:textId="77777777" w:rsidR="003C22DB" w:rsidRPr="00405303" w:rsidRDefault="003C22DB" w:rsidP="003C22DB">
      <w:pPr>
        <w:jc w:val="both"/>
        <w:rPr>
          <w:color w:val="0070C0"/>
          <w:sz w:val="16"/>
          <w:szCs w:val="16"/>
        </w:rPr>
      </w:pPr>
      <w:r w:rsidRPr="00405303">
        <w:rPr>
          <w:color w:val="0070C0"/>
          <w:sz w:val="16"/>
          <w:szCs w:val="16"/>
        </w:rPr>
        <w:t>«...В полете на высоте около 3200-3500 м, Корабль был атакован тремя немецкими аппаратами. Первый из них был замечен в нижний люк, причем он был метров на 50 ниже Корабля. Корабль в это же время находился над Шебржешиным, верстах в 40 от передовых позиций под управлением поручика Смирнова. Тотчас же поручик Смирнов был сменен поручиком Башко. Немецкий аппарат, обладая большей скоростью и запасом мощности, быстро обогнал Корабль и оказался метров на 50 выше с правой стороны спереди, открыв пулеметный огонь по Кораблю. В гондоле Корабля в это время работа чинов экипажа распределялась следующим образом: поручик Смирнов находился возле Командира, штабс-Капитан Наумов открыл огонь из ружья-пулемета и вольноопределяющийся Лавров из карабина. При первой атаке пулеметным огнем с неприятельского аппарата были пробиты оба верхних бака с бензином, фильтр правой группы моторов, радиатор 2-го мотора, перебиты обе бензинопроводные трубки левой группы моторов, стекла передних окон правой стороны и ранен в голову и ногу Командир Корабля поручик Башко. Так как бензинопроводы к левым моторам оказались перебиты, то тотчас же левые краники от бензиновых баков были закрыты и выключен левый бак. Дальше полет Корабля был на двух правых моторах.</w:t>
      </w:r>
    </w:p>
    <w:p w14:paraId="7EBC093E" w14:textId="77777777" w:rsidR="003C22DB" w:rsidRPr="00405303" w:rsidRDefault="003C22DB" w:rsidP="003C22DB">
      <w:pPr>
        <w:jc w:val="both"/>
        <w:rPr>
          <w:color w:val="0070C0"/>
          <w:sz w:val="16"/>
          <w:szCs w:val="16"/>
        </w:rPr>
      </w:pPr>
      <w:r w:rsidRPr="00405303">
        <w:rPr>
          <w:color w:val="0070C0"/>
          <w:sz w:val="16"/>
          <w:szCs w:val="16"/>
        </w:rPr>
        <w:t xml:space="preserve">Немецкий аппарат, после того как первый раз пересек дорогу Кораблю, пытался вторично атаковать Корабль с левой стороны, но, встреченный пулеметным и ружейным огнем с Корабля, резко повернул направо и с громадным креном пошел на снижение по направлению к Замостью. После отбития атаки поручик Смирнов заменил Командира поручика Башко, которому вольноопределяющимся Лавровым была сделана перевязка. После перевязки поручик Башко опять стал управлять Кораблем, поручик Смирнов и вольноопределяющийся Лавров по очереди закрывали руками отверстия фильтра правой группы и принимали всевозможные меры к сохранению оставшегося бензина в баках для продолжения полета. При отражении атаки первого аппарата из ружья-пулемета была выпущена полностью кассета в 25 штук, из второй кассеты удалось выпустить всего 15 штук, затем внутри магазина заклинило </w:t>
      </w:r>
      <w:proofErr w:type="gramStart"/>
      <w:r w:rsidRPr="00405303">
        <w:rPr>
          <w:color w:val="0070C0"/>
          <w:sz w:val="16"/>
          <w:szCs w:val="16"/>
        </w:rPr>
        <w:t>патрон</w:t>
      </w:r>
      <w:proofErr w:type="gramEnd"/>
      <w:r w:rsidRPr="00405303">
        <w:rPr>
          <w:color w:val="0070C0"/>
          <w:sz w:val="16"/>
          <w:szCs w:val="16"/>
        </w:rPr>
        <w:t xml:space="preserve"> и дальнейшая стрельба из него была совершенно невозможна.</w:t>
      </w:r>
    </w:p>
    <w:p w14:paraId="0EBB87DD" w14:textId="77777777" w:rsidR="003C22DB" w:rsidRPr="00405303" w:rsidRDefault="003C22DB" w:rsidP="003C22DB">
      <w:pPr>
        <w:jc w:val="both"/>
        <w:rPr>
          <w:color w:val="0070C0"/>
          <w:sz w:val="16"/>
          <w:szCs w:val="16"/>
        </w:rPr>
      </w:pPr>
      <w:r w:rsidRPr="00405303">
        <w:rPr>
          <w:color w:val="0070C0"/>
          <w:sz w:val="16"/>
          <w:szCs w:val="16"/>
        </w:rPr>
        <w:t xml:space="preserve">Вслед за первым аппаратом тотчас же появился следующий немецкий аппарат, который пролетел только один раз выше Корабля слева и обстрелял его из пулемета, причем был пробит маслянный бак второго мотора. По этому аппарату открыл огонь из карабина поручик Смирнов, вольноопределяющийся Лавров находился в </w:t>
      </w:r>
      <w:r w:rsidRPr="00405303">
        <w:rPr>
          <w:color w:val="0070C0"/>
          <w:sz w:val="16"/>
          <w:szCs w:val="16"/>
        </w:rPr>
        <w:lastRenderedPageBreak/>
        <w:t>передней каюте у фильтра, а штабс-капитан Наумов ремонтировал ружье-пулемет. Так как ружье-пулемет совершенно отказало в действии, то поручик Смирнов передал карабин Наумову, а сам сменил вольноопределяющегося Лаврова, принимая меры к сохранению бензина, так как вольноопределяющийся Лавров поморозил обе кисти рук. Второй аппарат более Корабля не атаковал.</w:t>
      </w:r>
    </w:p>
    <w:p w14:paraId="4B57D1F9" w14:textId="77777777" w:rsidR="003C22DB" w:rsidRPr="00405303" w:rsidRDefault="003C22DB" w:rsidP="003C22DB">
      <w:pPr>
        <w:jc w:val="both"/>
        <w:rPr>
          <w:color w:val="0070C0"/>
          <w:sz w:val="16"/>
          <w:szCs w:val="16"/>
        </w:rPr>
      </w:pPr>
      <w:r w:rsidRPr="00405303">
        <w:rPr>
          <w:color w:val="0070C0"/>
          <w:sz w:val="16"/>
          <w:szCs w:val="16"/>
        </w:rPr>
        <w:t>На линии передовых позиций, Корабль был обстрелян из пулемета третьим немецким аппаратом, шедшим на большом отдалении слева и выше корабля. В то же время по кораблю стреляла и артиллерия. Высота в это время была около 1400-1500 м. При подходе к г. Холму на высоте 700 м остановились и правые моторы, так как вышел весь запас бензина, поэтому пришлось произвести вынужденный спуск. Последний был сделан в 4-5 верстах от г. Холма около д. Городище, возле аэродрома 24-го авиационного отряда на болотистом лугу. При этом колеса шасси увязли до лыж и поломаны: левая половина шасси, 4 стойки, винт второго мотора, несколько нервюр и надтреснул правый задний нижний лонжерон среднего отсека. При осмотре Корабля после посадки обнаружены кроме вышеуказанных следующие повреждения от пулеметного огня: пробит в двух местах винт 3-го мотора, перебит железный подкос у того же мотора, пробита покрышка, повреждено магнето второго мотора, пробита грузовая рама того же мотора, пробита стойка сзади первого мотора, передняя стойка у второго мотора и несколько пробоин в поверхности Корабля. Спуск произвел Командир Корабля Поручик Башко лично, несмотря на ранения» (24965).</w:t>
      </w:r>
    </w:p>
    <w:p w14:paraId="031F0923" w14:textId="77777777" w:rsidR="003C22DB" w:rsidRPr="00405303" w:rsidRDefault="003C22DB" w:rsidP="003C22DB">
      <w:pPr>
        <w:jc w:val="both"/>
        <w:rPr>
          <w:color w:val="0070C0"/>
          <w:sz w:val="16"/>
          <w:szCs w:val="16"/>
        </w:rPr>
      </w:pPr>
    </w:p>
    <w:p w14:paraId="28C670B5" w14:textId="6700DEAD" w:rsidR="004B4E35" w:rsidRPr="00405303" w:rsidRDefault="009E6F82" w:rsidP="00C15251">
      <w:pPr>
        <w:jc w:val="both"/>
        <w:rPr>
          <w:bCs/>
          <w:color w:val="002060"/>
          <w:sz w:val="16"/>
          <w:szCs w:val="16"/>
        </w:rPr>
      </w:pPr>
      <w:r w:rsidRPr="00405303">
        <w:rPr>
          <w:bCs/>
          <w:color w:val="002060"/>
          <w:sz w:val="16"/>
          <w:szCs w:val="16"/>
        </w:rPr>
        <w:t xml:space="preserve">22 июня </w:t>
      </w:r>
      <w:r w:rsidR="00940E68" w:rsidRPr="00405303">
        <w:rPr>
          <w:bCs/>
          <w:color w:val="002060"/>
          <w:sz w:val="16"/>
          <w:szCs w:val="16"/>
        </w:rPr>
        <w:t xml:space="preserve">(5 июля) 1915 г., когда под натиском германских войск 3-я армия была вынуждена сдать часть Восточной Галиции, ИМ </w:t>
      </w:r>
      <w:r w:rsidRPr="00405303">
        <w:rPr>
          <w:bCs/>
          <w:color w:val="002060"/>
          <w:sz w:val="16"/>
          <w:szCs w:val="16"/>
        </w:rPr>
        <w:t>"Киевский" и III корабль вынуждены были перелететь из Люблина во Влодаву.</w:t>
      </w:r>
    </w:p>
    <w:p w14:paraId="5FDEA94B" w14:textId="77777777" w:rsidR="004B4E35" w:rsidRPr="00405303" w:rsidRDefault="009E6F82" w:rsidP="00C15251">
      <w:pPr>
        <w:jc w:val="both"/>
        <w:rPr>
          <w:bCs/>
          <w:color w:val="002060"/>
          <w:sz w:val="16"/>
          <w:szCs w:val="16"/>
        </w:rPr>
      </w:pPr>
      <w:r w:rsidRPr="00405303">
        <w:rPr>
          <w:bCs/>
          <w:color w:val="002060"/>
          <w:sz w:val="16"/>
          <w:szCs w:val="16"/>
        </w:rPr>
        <w:t>Тем временем в Эскадре готовили к боевым действиям новые "Муромцы" типа В. Корабли новой серии вместо "Сальмсонов" и дефицитных "Аргусов" стали оборудовать моторами английской фирмы "Санбим" (Sunbeam). Двигатель мощностью в 150 л.с., носивший гордое имя "Крусейдер" (Crusader- крестоносец) имел восемь цилиндров, водяное охлаждение и V-образную схему. Как показала практика, это был не лучший вариант. Но, выбирать не приходилось...</w:t>
      </w:r>
    </w:p>
    <w:p w14:paraId="7C117E68" w14:textId="77777777" w:rsidR="004B4E35" w:rsidRPr="00405303" w:rsidRDefault="009E6F82" w:rsidP="00C15251">
      <w:pPr>
        <w:jc w:val="both"/>
        <w:rPr>
          <w:bCs/>
          <w:color w:val="002060"/>
          <w:sz w:val="16"/>
          <w:szCs w:val="16"/>
        </w:rPr>
      </w:pPr>
      <w:r w:rsidRPr="00405303">
        <w:rPr>
          <w:bCs/>
          <w:color w:val="002060"/>
          <w:sz w:val="16"/>
          <w:szCs w:val="16"/>
        </w:rPr>
        <w:t xml:space="preserve">Алехнович получил V корабль "остроносый" тип В (№ I58), оснащённый четырьмя "Санбимами". Носовая часть фюзеляжа была как у № 151, только верхняя часть кабины была почти полностью остеклена (две сплошные рамы). Другой корабль, № 159. был оснащён двумя "Санбимами" и имел нос в Точности как у № I51. Сикорский чуть позже переставил моторы, развернув их на I80 градусов, сместив к задней кромке крыла и снабдив их толкающими винтами. Экипаж Панкратьева получил новый самолёт № I60, но уже с "тупым" носом, который не был ешё остеклён в нижней части. Машина также оснащалась четырьмя 150-сильными "Санбимами" (12041). </w:t>
      </w:r>
    </w:p>
    <w:p w14:paraId="462B45A8" w14:textId="77777777" w:rsidR="004B4E35" w:rsidRPr="00405303" w:rsidRDefault="004B4E35" w:rsidP="00C15251">
      <w:pPr>
        <w:jc w:val="both"/>
        <w:rPr>
          <w:bCs/>
          <w:color w:val="002060"/>
          <w:sz w:val="16"/>
          <w:szCs w:val="16"/>
        </w:rPr>
      </w:pPr>
    </w:p>
    <w:p w14:paraId="21D4E80C" w14:textId="787B4992" w:rsidR="00801A7C" w:rsidRPr="00405303" w:rsidRDefault="00801A7C" w:rsidP="00C15251">
      <w:pPr>
        <w:jc w:val="both"/>
        <w:rPr>
          <w:bCs/>
          <w:i/>
          <w:color w:val="002060"/>
          <w:sz w:val="16"/>
          <w:szCs w:val="16"/>
        </w:rPr>
      </w:pPr>
      <w:r w:rsidRPr="00405303">
        <w:rPr>
          <w:bCs/>
          <w:i/>
          <w:color w:val="002060"/>
          <w:sz w:val="16"/>
          <w:szCs w:val="16"/>
        </w:rPr>
        <w:t>Военное воздухоплавание:</w:t>
      </w:r>
    </w:p>
    <w:p w14:paraId="7FD6E308" w14:textId="77777777" w:rsidR="00801A7C" w:rsidRPr="00405303" w:rsidRDefault="00801A7C" w:rsidP="00C15251">
      <w:pPr>
        <w:jc w:val="both"/>
        <w:rPr>
          <w:bCs/>
          <w:i/>
          <w:color w:val="002060"/>
          <w:sz w:val="16"/>
          <w:szCs w:val="16"/>
        </w:rPr>
      </w:pPr>
    </w:p>
    <w:p w14:paraId="79EAA5BF" w14:textId="1A14B1FE" w:rsidR="00801A7C" w:rsidRPr="00405303" w:rsidRDefault="00801A7C" w:rsidP="00C15251">
      <w:pPr>
        <w:jc w:val="both"/>
        <w:rPr>
          <w:bCs/>
          <w:color w:val="002060"/>
          <w:sz w:val="16"/>
          <w:szCs w:val="16"/>
        </w:rPr>
      </w:pPr>
      <w:r w:rsidRPr="00405303">
        <w:rPr>
          <w:rStyle w:val="42"/>
          <w:rFonts w:ascii="Times New Roman" w:hAnsi="Times New Roman" w:cs="Times New Roman"/>
          <w:bCs/>
          <w:color w:val="002060"/>
          <w:w w:val="100"/>
          <w:sz w:val="16"/>
          <w:szCs w:val="16"/>
        </w:rPr>
        <w:t>22, 23 и 26 июня (</w:t>
      </w:r>
      <w:r w:rsidR="00940E68" w:rsidRPr="00405303">
        <w:rPr>
          <w:rStyle w:val="42"/>
          <w:rFonts w:ascii="Times New Roman" w:hAnsi="Times New Roman" w:cs="Times New Roman"/>
          <w:bCs/>
          <w:color w:val="002060"/>
          <w:w w:val="100"/>
          <w:sz w:val="16"/>
          <w:szCs w:val="16"/>
        </w:rPr>
        <w:t>5</w:t>
      </w:r>
      <w:r w:rsidRPr="00405303">
        <w:rPr>
          <w:rStyle w:val="42"/>
          <w:rFonts w:ascii="Times New Roman" w:hAnsi="Times New Roman" w:cs="Times New Roman"/>
          <w:bCs/>
          <w:color w:val="002060"/>
          <w:w w:val="100"/>
          <w:sz w:val="16"/>
          <w:szCs w:val="16"/>
        </w:rPr>
        <w:t xml:space="preserve">, </w:t>
      </w:r>
      <w:r w:rsidR="00940E68" w:rsidRPr="00405303">
        <w:rPr>
          <w:rStyle w:val="42"/>
          <w:rFonts w:ascii="Times New Roman" w:hAnsi="Times New Roman" w:cs="Times New Roman"/>
          <w:bCs/>
          <w:color w:val="002060"/>
          <w:w w:val="100"/>
          <w:sz w:val="16"/>
          <w:szCs w:val="16"/>
        </w:rPr>
        <w:t>6</w:t>
      </w:r>
      <w:r w:rsidRPr="00405303">
        <w:rPr>
          <w:rStyle w:val="42"/>
          <w:rFonts w:ascii="Times New Roman" w:hAnsi="Times New Roman" w:cs="Times New Roman"/>
          <w:bCs/>
          <w:color w:val="002060"/>
          <w:w w:val="100"/>
          <w:sz w:val="16"/>
          <w:szCs w:val="16"/>
        </w:rPr>
        <w:t xml:space="preserve"> и 9 июня) 1915 </w:t>
      </w:r>
      <w:r w:rsidR="00940E68" w:rsidRPr="00405303">
        <w:rPr>
          <w:rStyle w:val="42"/>
          <w:rFonts w:ascii="Times New Roman" w:hAnsi="Times New Roman" w:cs="Times New Roman"/>
          <w:bCs/>
          <w:color w:val="002060"/>
          <w:w w:val="100"/>
          <w:sz w:val="16"/>
          <w:szCs w:val="16"/>
        </w:rPr>
        <w:t xml:space="preserve">г. </w:t>
      </w:r>
      <w:r w:rsidRPr="00405303">
        <w:rPr>
          <w:rStyle w:val="42"/>
          <w:rFonts w:ascii="Times New Roman" w:hAnsi="Times New Roman" w:cs="Times New Roman"/>
          <w:bCs/>
          <w:color w:val="002060"/>
          <w:w w:val="100"/>
          <w:sz w:val="16"/>
          <w:szCs w:val="16"/>
        </w:rPr>
        <w:t>Астра принял участие в небольших учебных полё</w:t>
      </w:r>
      <w:r w:rsidRPr="00405303">
        <w:rPr>
          <w:rStyle w:val="42"/>
          <w:rFonts w:ascii="Times New Roman" w:hAnsi="Times New Roman" w:cs="Times New Roman"/>
          <w:bCs/>
          <w:color w:val="002060"/>
          <w:w w:val="100"/>
          <w:sz w:val="16"/>
          <w:szCs w:val="16"/>
        </w:rPr>
        <w:softHyphen/>
        <w:t>тах, управляя в двух первых высотой, а в треть</w:t>
      </w:r>
      <w:r w:rsidRPr="00405303">
        <w:rPr>
          <w:rStyle w:val="42"/>
          <w:rFonts w:ascii="Times New Roman" w:hAnsi="Times New Roman" w:cs="Times New Roman"/>
          <w:bCs/>
          <w:color w:val="002060"/>
          <w:w w:val="100"/>
          <w:sz w:val="16"/>
          <w:szCs w:val="16"/>
        </w:rPr>
        <w:softHyphen/>
        <w:t>ем — рулём направления. 27 июня он успешно выполнил испытание на командование «Астрой»: подъём на высоту 500 м и спуск у эллинга после часового полёта. После участия Е.Д. Карамышева в семи полётах и новом поверочном испытании 5 июля командир 3-й воздухоплавательной роты подполковник Б.В. Голубов назначил его первым командиром «Астры». На него возлагался выбор времени для полёта, состав экипажа, задачи полё</w:t>
      </w:r>
      <w:r w:rsidRPr="00405303">
        <w:rPr>
          <w:rStyle w:val="42"/>
          <w:rFonts w:ascii="Times New Roman" w:hAnsi="Times New Roman" w:cs="Times New Roman"/>
          <w:bCs/>
          <w:color w:val="002060"/>
          <w:w w:val="100"/>
          <w:sz w:val="16"/>
          <w:szCs w:val="16"/>
        </w:rPr>
        <w:softHyphen/>
        <w:t>та, а также план выполнения его.</w:t>
      </w:r>
    </w:p>
    <w:p w14:paraId="39E59A55" w14:textId="77777777" w:rsidR="00801A7C" w:rsidRPr="00405303" w:rsidRDefault="00801A7C" w:rsidP="00C15251">
      <w:pPr>
        <w:jc w:val="both"/>
        <w:rPr>
          <w:bCs/>
          <w:color w:val="002060"/>
          <w:sz w:val="16"/>
          <w:szCs w:val="16"/>
        </w:rPr>
      </w:pPr>
      <w:r w:rsidRPr="00405303">
        <w:rPr>
          <w:rStyle w:val="42"/>
          <w:rFonts w:ascii="Times New Roman" w:hAnsi="Times New Roman" w:cs="Times New Roman"/>
          <w:bCs/>
          <w:color w:val="002060"/>
          <w:w w:val="100"/>
          <w:sz w:val="16"/>
          <w:szCs w:val="16"/>
        </w:rPr>
        <w:t>14 июля в 23.06 «Астра» вылетела в боевой полёт в район севернее крепости Осовец. Чтобы не дать себя обнаружить или выдать направле</w:t>
      </w:r>
      <w:r w:rsidRPr="00405303">
        <w:rPr>
          <w:rStyle w:val="42"/>
          <w:rFonts w:ascii="Times New Roman" w:hAnsi="Times New Roman" w:cs="Times New Roman"/>
          <w:bCs/>
          <w:color w:val="002060"/>
          <w:w w:val="100"/>
          <w:sz w:val="16"/>
          <w:szCs w:val="16"/>
        </w:rPr>
        <w:softHyphen/>
        <w:t>ние полёта, полетели не прямо к фронту, а как в обычный учебный полёт. Отлетев от Белосто</w:t>
      </w:r>
      <w:r w:rsidRPr="00405303">
        <w:rPr>
          <w:rStyle w:val="42"/>
          <w:rFonts w:ascii="Times New Roman" w:hAnsi="Times New Roman" w:cs="Times New Roman"/>
          <w:bCs/>
          <w:color w:val="002060"/>
          <w:w w:val="100"/>
          <w:sz w:val="16"/>
          <w:szCs w:val="16"/>
        </w:rPr>
        <w:softHyphen/>
        <w:t>ка, «Астра» изменила курс. В 2.45 дирижабль по</w:t>
      </w:r>
      <w:r w:rsidRPr="00405303">
        <w:rPr>
          <w:rStyle w:val="42"/>
          <w:rFonts w:ascii="Times New Roman" w:hAnsi="Times New Roman" w:cs="Times New Roman"/>
          <w:bCs/>
          <w:color w:val="002060"/>
          <w:w w:val="100"/>
          <w:sz w:val="16"/>
          <w:szCs w:val="16"/>
        </w:rPr>
        <w:softHyphen/>
        <w:t>дошёл к железной дороге на восточной опушке Балашевского леса, где его осветили два прожек</w:t>
      </w:r>
      <w:r w:rsidRPr="00405303">
        <w:rPr>
          <w:rStyle w:val="42"/>
          <w:rFonts w:ascii="Times New Roman" w:hAnsi="Times New Roman" w:cs="Times New Roman"/>
          <w:bCs/>
          <w:color w:val="002060"/>
          <w:w w:val="100"/>
          <w:sz w:val="16"/>
          <w:szCs w:val="16"/>
        </w:rPr>
        <w:softHyphen/>
        <w:t>тора. Уравняв свою скорость со скоростью ве</w:t>
      </w:r>
      <w:r w:rsidRPr="00405303">
        <w:rPr>
          <w:rStyle w:val="42"/>
          <w:rFonts w:ascii="Times New Roman" w:hAnsi="Times New Roman" w:cs="Times New Roman"/>
          <w:bCs/>
          <w:color w:val="002060"/>
          <w:w w:val="100"/>
          <w:sz w:val="16"/>
          <w:szCs w:val="16"/>
        </w:rPr>
        <w:softHyphen/>
        <w:t>тра, «Астра», остановилась на высоте 1500 м, и Е.Д. Карамышев приказал сбросить четыре пу</w:t>
      </w:r>
      <w:r w:rsidRPr="00405303">
        <w:rPr>
          <w:rStyle w:val="42"/>
          <w:rFonts w:ascii="Times New Roman" w:hAnsi="Times New Roman" w:cs="Times New Roman"/>
          <w:bCs/>
          <w:color w:val="002060"/>
          <w:w w:val="100"/>
          <w:sz w:val="16"/>
          <w:szCs w:val="16"/>
        </w:rPr>
        <w:softHyphen/>
        <w:t>довые бомбы: «Отдаю первую пудовую бомбу, лёгкий толчок гондолы — бомба пошла, слегка повиляв хвостом. Несколько секунд жуткой ти</w:t>
      </w:r>
      <w:r w:rsidRPr="00405303">
        <w:rPr>
          <w:rStyle w:val="42"/>
          <w:rFonts w:ascii="Times New Roman" w:hAnsi="Times New Roman" w:cs="Times New Roman"/>
          <w:bCs/>
          <w:color w:val="002060"/>
          <w:w w:val="100"/>
          <w:sz w:val="16"/>
          <w:szCs w:val="16"/>
        </w:rPr>
        <w:softHyphen/>
        <w:t>шины, потом яркий блеск на земле от полотна, — меняю слегка положение аэростата — отдаю вто</w:t>
      </w:r>
      <w:r w:rsidRPr="00405303">
        <w:rPr>
          <w:rStyle w:val="42"/>
          <w:rFonts w:ascii="Times New Roman" w:hAnsi="Times New Roman" w:cs="Times New Roman"/>
          <w:bCs/>
          <w:color w:val="002060"/>
          <w:w w:val="100"/>
          <w:sz w:val="16"/>
          <w:szCs w:val="16"/>
        </w:rPr>
        <w:softHyphen/>
        <w:t>рую бомбу, та же картина, но взрыв слева. Опять направляю положение аэростата и отдаю одну за другой две бомбы. 2 ярких блеска на самих рельсах, которые на миг далеко блеснули своими прямыми линиями»65. Затем с «Астры», описы</w:t>
      </w:r>
      <w:r w:rsidRPr="00405303">
        <w:rPr>
          <w:rStyle w:val="42"/>
          <w:rFonts w:ascii="Times New Roman" w:hAnsi="Times New Roman" w:cs="Times New Roman"/>
          <w:bCs/>
          <w:color w:val="002060"/>
          <w:w w:val="100"/>
          <w:sz w:val="16"/>
          <w:szCs w:val="16"/>
        </w:rPr>
        <w:softHyphen/>
        <w:t>вавшей восьмёрку над лесом, сбросили 120 зажи</w:t>
      </w:r>
      <w:r w:rsidRPr="00405303">
        <w:rPr>
          <w:rStyle w:val="42"/>
          <w:rFonts w:ascii="Times New Roman" w:hAnsi="Times New Roman" w:cs="Times New Roman"/>
          <w:bCs/>
          <w:color w:val="002060"/>
          <w:w w:val="100"/>
          <w:sz w:val="16"/>
          <w:szCs w:val="16"/>
        </w:rPr>
        <w:softHyphen/>
        <w:t>гательных снарядов и одну специальную бомбу. Дирижабль осветили с земли три прожектора (один из них подавили пулемётным огнём из гондолы). Начался обстрел из орудий, пулемётов и винтовок. Дирижабль повернул на Белосток, выйдя через 10 минут из сферы огня противника. Постепенно снижаясь с высоты 1650 м, «Астра» опустилась в Белостоке 15 июля в 4.08. В оболоч</w:t>
      </w:r>
      <w:r w:rsidRPr="00405303">
        <w:rPr>
          <w:rStyle w:val="42"/>
          <w:rFonts w:ascii="Times New Roman" w:hAnsi="Times New Roman" w:cs="Times New Roman"/>
          <w:bCs/>
          <w:color w:val="002060"/>
          <w:w w:val="100"/>
          <w:sz w:val="16"/>
          <w:szCs w:val="16"/>
        </w:rPr>
        <w:softHyphen/>
        <w:t>ке и в гондоле обнаружилось несколько новых пробоин.</w:t>
      </w:r>
    </w:p>
    <w:p w14:paraId="385E71CA" w14:textId="77777777" w:rsidR="00801A7C" w:rsidRPr="00405303" w:rsidRDefault="00801A7C" w:rsidP="00C15251">
      <w:pPr>
        <w:jc w:val="both"/>
        <w:rPr>
          <w:rStyle w:val="42"/>
          <w:rFonts w:ascii="Times New Roman" w:hAnsi="Times New Roman" w:cs="Times New Roman"/>
          <w:bCs/>
          <w:color w:val="002060"/>
          <w:w w:val="100"/>
          <w:sz w:val="16"/>
          <w:szCs w:val="16"/>
        </w:rPr>
      </w:pPr>
      <w:r w:rsidRPr="00405303">
        <w:rPr>
          <w:rStyle w:val="42"/>
          <w:rFonts w:ascii="Times New Roman" w:hAnsi="Times New Roman" w:cs="Times New Roman"/>
          <w:bCs/>
          <w:color w:val="002060"/>
          <w:w w:val="100"/>
          <w:sz w:val="16"/>
          <w:szCs w:val="16"/>
        </w:rPr>
        <w:t>В последующие дни из-за плохой погоды эки</w:t>
      </w:r>
      <w:r w:rsidRPr="00405303">
        <w:rPr>
          <w:rStyle w:val="42"/>
          <w:rFonts w:ascii="Times New Roman" w:hAnsi="Times New Roman" w:cs="Times New Roman"/>
          <w:bCs/>
          <w:color w:val="002060"/>
          <w:w w:val="100"/>
          <w:sz w:val="16"/>
          <w:szCs w:val="16"/>
        </w:rPr>
        <w:softHyphen/>
        <w:t>паж дирижабля выполнял тренировочные полё</w:t>
      </w:r>
      <w:r w:rsidRPr="00405303">
        <w:rPr>
          <w:rStyle w:val="42"/>
          <w:rFonts w:ascii="Times New Roman" w:hAnsi="Times New Roman" w:cs="Times New Roman"/>
          <w:bCs/>
          <w:color w:val="002060"/>
          <w:w w:val="100"/>
          <w:sz w:val="16"/>
          <w:szCs w:val="16"/>
        </w:rPr>
        <w:softHyphen/>
        <w:t>ты. Планировалась бомбардировка ст. Граево, где по агентурным данным находился завод удушли</w:t>
      </w:r>
      <w:r w:rsidRPr="00405303">
        <w:rPr>
          <w:rStyle w:val="42"/>
          <w:rFonts w:ascii="Times New Roman" w:hAnsi="Times New Roman" w:cs="Times New Roman"/>
          <w:bCs/>
          <w:color w:val="002060"/>
          <w:w w:val="100"/>
          <w:sz w:val="16"/>
          <w:szCs w:val="16"/>
        </w:rPr>
        <w:softHyphen/>
        <w:t>вых газов. 27 июля в 21.35 «Астра» пошла в боевой полёт, но уже в 23.40 из-за перерасхода балласта, вызванного охлаждением водорода в оболочке от мелкого дождя и тумана, вернулась, не дойдя до противника. 4 августа поступил приказ переле</w:t>
      </w:r>
      <w:r w:rsidRPr="00405303">
        <w:rPr>
          <w:rStyle w:val="42"/>
          <w:rFonts w:ascii="Times New Roman" w:hAnsi="Times New Roman" w:cs="Times New Roman"/>
          <w:bCs/>
          <w:color w:val="002060"/>
          <w:w w:val="100"/>
          <w:sz w:val="16"/>
          <w:szCs w:val="16"/>
        </w:rPr>
        <w:softHyphen/>
        <w:t>теть в Лиду (20120).</w:t>
      </w:r>
    </w:p>
    <w:p w14:paraId="1A403418" w14:textId="77777777" w:rsidR="00801A7C" w:rsidRPr="00405303" w:rsidRDefault="00801A7C" w:rsidP="00C15251">
      <w:pPr>
        <w:jc w:val="both"/>
        <w:rPr>
          <w:bCs/>
          <w:color w:val="002060"/>
          <w:sz w:val="16"/>
          <w:szCs w:val="16"/>
        </w:rPr>
      </w:pPr>
    </w:p>
    <w:p w14:paraId="051C0AD6" w14:textId="77777777" w:rsidR="00014DC9" w:rsidRPr="00405303" w:rsidRDefault="00014DC9" w:rsidP="00C15251">
      <w:pPr>
        <w:jc w:val="both"/>
        <w:rPr>
          <w:bCs/>
          <w:i/>
          <w:color w:val="002060"/>
          <w:sz w:val="16"/>
          <w:szCs w:val="16"/>
        </w:rPr>
      </w:pPr>
      <w:r w:rsidRPr="00405303">
        <w:rPr>
          <w:bCs/>
          <w:i/>
          <w:color w:val="002060"/>
          <w:sz w:val="16"/>
          <w:szCs w:val="16"/>
        </w:rPr>
        <w:t>Армия:</w:t>
      </w:r>
    </w:p>
    <w:p w14:paraId="1FD86E30" w14:textId="77777777" w:rsidR="00014DC9" w:rsidRPr="00405303" w:rsidRDefault="00014DC9" w:rsidP="00C15251">
      <w:pPr>
        <w:jc w:val="both"/>
        <w:rPr>
          <w:bCs/>
          <w:i/>
          <w:color w:val="002060"/>
          <w:sz w:val="16"/>
          <w:szCs w:val="16"/>
        </w:rPr>
      </w:pPr>
    </w:p>
    <w:p w14:paraId="4D07F4FD" w14:textId="7FAD534A" w:rsidR="00014DC9" w:rsidRPr="00405303" w:rsidRDefault="00014DC9" w:rsidP="00C15251">
      <w:pPr>
        <w:jc w:val="both"/>
        <w:rPr>
          <w:bCs/>
          <w:color w:val="002060"/>
          <w:sz w:val="16"/>
          <w:szCs w:val="16"/>
        </w:rPr>
      </w:pPr>
      <w:r w:rsidRPr="00405303">
        <w:rPr>
          <w:bCs/>
          <w:color w:val="002060"/>
          <w:sz w:val="16"/>
          <w:szCs w:val="16"/>
        </w:rPr>
        <w:t xml:space="preserve">22 июня </w:t>
      </w:r>
      <w:r w:rsidR="00940E68" w:rsidRPr="00405303">
        <w:rPr>
          <w:bCs/>
          <w:color w:val="002060"/>
          <w:sz w:val="16"/>
          <w:szCs w:val="16"/>
        </w:rPr>
        <w:t xml:space="preserve">(5 июля) </w:t>
      </w:r>
      <w:r w:rsidRPr="00405303">
        <w:rPr>
          <w:bCs/>
          <w:color w:val="002060"/>
          <w:sz w:val="16"/>
          <w:szCs w:val="16"/>
        </w:rPr>
        <w:t>в 1915 году сдачей Львова завершен Горлицкий прорыв немцами и австрийцами Юго-Западного фронта русской армии. Потери составили около 500 тысяч человек пленными, свыше 300 орудий. Русские войска оставили Нове Място, Горлицы, Кельцы, Сандомир, Перемышль, Стрый, Станислав, Раву-русскую и утратили контроль над Польшей, Литвой и Галицией (14930).</w:t>
      </w:r>
    </w:p>
    <w:p w14:paraId="454E67AD" w14:textId="77777777" w:rsidR="00014DC9" w:rsidRPr="00405303" w:rsidRDefault="00014DC9" w:rsidP="00C15251">
      <w:pPr>
        <w:jc w:val="both"/>
        <w:rPr>
          <w:bCs/>
          <w:color w:val="002060"/>
          <w:sz w:val="16"/>
          <w:szCs w:val="16"/>
        </w:rPr>
      </w:pPr>
    </w:p>
    <w:p w14:paraId="68A71120" w14:textId="77777777" w:rsidR="00325D89" w:rsidRPr="00405303" w:rsidRDefault="00325D89" w:rsidP="00C15251">
      <w:pPr>
        <w:jc w:val="both"/>
        <w:rPr>
          <w:bCs/>
          <w:i/>
          <w:color w:val="002060"/>
          <w:sz w:val="16"/>
          <w:szCs w:val="16"/>
        </w:rPr>
      </w:pPr>
      <w:r w:rsidRPr="00405303">
        <w:rPr>
          <w:bCs/>
          <w:i/>
          <w:color w:val="002060"/>
          <w:sz w:val="16"/>
          <w:szCs w:val="16"/>
        </w:rPr>
        <w:t>За рубежом:</w:t>
      </w:r>
    </w:p>
    <w:p w14:paraId="6C48E545" w14:textId="77777777" w:rsidR="00325D89" w:rsidRPr="00405303" w:rsidRDefault="00325D89" w:rsidP="00C15251">
      <w:pPr>
        <w:jc w:val="both"/>
        <w:rPr>
          <w:bCs/>
          <w:color w:val="002060"/>
          <w:sz w:val="16"/>
          <w:szCs w:val="16"/>
        </w:rPr>
      </w:pPr>
    </w:p>
    <w:p w14:paraId="43907071" w14:textId="77777777" w:rsidR="00325D89" w:rsidRPr="00405303" w:rsidRDefault="00325D89" w:rsidP="00C15251">
      <w:pPr>
        <w:jc w:val="both"/>
        <w:rPr>
          <w:bCs/>
          <w:color w:val="002060"/>
          <w:sz w:val="16"/>
          <w:szCs w:val="16"/>
        </w:rPr>
      </w:pPr>
      <w:r w:rsidRPr="00405303">
        <w:rPr>
          <w:bCs/>
          <w:color w:val="002060"/>
          <w:sz w:val="16"/>
          <w:szCs w:val="16"/>
        </w:rPr>
        <w:t>22 июня (5 июля) в 1915 году австрийцы взломали секретный «Красный шифр» итальянской армии (14943).</w:t>
      </w:r>
    </w:p>
    <w:p w14:paraId="173679F1" w14:textId="77777777" w:rsidR="00325D89" w:rsidRPr="00405303" w:rsidRDefault="00325D89" w:rsidP="00C15251">
      <w:pPr>
        <w:jc w:val="both"/>
        <w:rPr>
          <w:bCs/>
          <w:color w:val="002060"/>
          <w:sz w:val="16"/>
          <w:szCs w:val="16"/>
        </w:rPr>
      </w:pPr>
    </w:p>
    <w:p w14:paraId="0B35CB18" w14:textId="449EEA80" w:rsidR="00CE794B" w:rsidRPr="00405303" w:rsidRDefault="00CE794B" w:rsidP="00C15251">
      <w:pPr>
        <w:shd w:val="clear" w:color="auto" w:fill="FFFFFF"/>
        <w:jc w:val="both"/>
        <w:rPr>
          <w:bCs/>
          <w:i/>
          <w:color w:val="002060"/>
          <w:sz w:val="16"/>
          <w:szCs w:val="16"/>
        </w:rPr>
      </w:pPr>
      <w:r w:rsidRPr="00405303">
        <w:rPr>
          <w:bCs/>
          <w:i/>
          <w:color w:val="002060"/>
          <w:sz w:val="16"/>
          <w:szCs w:val="16"/>
        </w:rPr>
        <w:t>Авиация:</w:t>
      </w:r>
    </w:p>
    <w:p w14:paraId="5690F5BF" w14:textId="77777777" w:rsidR="00CE794B" w:rsidRPr="00405303" w:rsidRDefault="00CE794B" w:rsidP="00C15251">
      <w:pPr>
        <w:shd w:val="clear" w:color="auto" w:fill="FFFFFF"/>
        <w:jc w:val="both"/>
        <w:rPr>
          <w:bCs/>
          <w:i/>
          <w:color w:val="002060"/>
          <w:sz w:val="16"/>
          <w:szCs w:val="16"/>
        </w:rPr>
      </w:pPr>
    </w:p>
    <w:p w14:paraId="12307FEC" w14:textId="695DA319" w:rsidR="00CE794B" w:rsidRPr="00405303" w:rsidRDefault="00CE794B" w:rsidP="00C15251">
      <w:pPr>
        <w:jc w:val="both"/>
        <w:rPr>
          <w:bCs/>
          <w:color w:val="002060"/>
          <w:sz w:val="16"/>
          <w:szCs w:val="16"/>
        </w:rPr>
      </w:pPr>
      <w:r w:rsidRPr="00405303">
        <w:rPr>
          <w:bCs/>
          <w:color w:val="002060"/>
          <w:sz w:val="16"/>
          <w:szCs w:val="16"/>
        </w:rPr>
        <w:t>23 июня (6 июля) 1915 г. нападению с воздуха вновь подвергся г. Радом, а также г. Жирардов с человеческими жертвами среди мирного населения (23405).</w:t>
      </w:r>
    </w:p>
    <w:p w14:paraId="69A84AE9" w14:textId="77777777" w:rsidR="00CE794B" w:rsidRPr="00405303" w:rsidRDefault="00CE794B" w:rsidP="00C15251">
      <w:pPr>
        <w:jc w:val="both"/>
        <w:rPr>
          <w:bCs/>
          <w:color w:val="002060"/>
          <w:sz w:val="16"/>
          <w:szCs w:val="16"/>
        </w:rPr>
      </w:pPr>
    </w:p>
    <w:p w14:paraId="173CBF00" w14:textId="29BD19BB"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10782996" w14:textId="77777777" w:rsidR="004B4E35" w:rsidRPr="00405303" w:rsidRDefault="004B4E35" w:rsidP="00C15251">
      <w:pPr>
        <w:shd w:val="clear" w:color="auto" w:fill="FFFFFF"/>
        <w:jc w:val="both"/>
        <w:rPr>
          <w:bCs/>
          <w:i/>
          <w:color w:val="002060"/>
          <w:sz w:val="16"/>
          <w:szCs w:val="16"/>
        </w:rPr>
      </w:pPr>
    </w:p>
    <w:p w14:paraId="6CE01703" w14:textId="26BD2B7E" w:rsidR="004B4E35" w:rsidRPr="00405303" w:rsidRDefault="009E6F82" w:rsidP="00C15251">
      <w:pPr>
        <w:jc w:val="both"/>
        <w:rPr>
          <w:bCs/>
          <w:color w:val="002060"/>
          <w:sz w:val="16"/>
          <w:szCs w:val="16"/>
        </w:rPr>
      </w:pPr>
      <w:r w:rsidRPr="00405303">
        <w:rPr>
          <w:bCs/>
          <w:color w:val="002060"/>
          <w:sz w:val="16"/>
          <w:szCs w:val="16"/>
        </w:rPr>
        <w:t xml:space="preserve">23 июня </w:t>
      </w:r>
      <w:r w:rsidR="00325D89" w:rsidRPr="00405303">
        <w:rPr>
          <w:bCs/>
          <w:color w:val="002060"/>
          <w:sz w:val="16"/>
          <w:szCs w:val="16"/>
        </w:rPr>
        <w:t xml:space="preserve">(6 июля) </w:t>
      </w:r>
      <w:r w:rsidRPr="00405303">
        <w:rPr>
          <w:bCs/>
          <w:color w:val="002060"/>
          <w:sz w:val="16"/>
          <w:szCs w:val="16"/>
        </w:rPr>
        <w:t xml:space="preserve">1915 г. </w:t>
      </w:r>
      <w:r w:rsidR="00325D89" w:rsidRPr="00405303">
        <w:rPr>
          <w:bCs/>
          <w:color w:val="002060"/>
          <w:sz w:val="16"/>
          <w:szCs w:val="16"/>
        </w:rPr>
        <w:t xml:space="preserve">командующий Балтийским флотом вице-адмирал В.А.Конин в поисках выхода из создавшегося положения (действующая система базирования авиации, принимая во внимание возможности самолётов, позволяла вести разведку на ограниченных удалениях порядка 100 - 150 км, что не удовлетворяло интересам флота, а к началу войны постройку передовых воздушных станций на острове Дэгерэ и местечке Лапвик, соответственно 1-го и 2-го разрядов завершить не удалось) </w:t>
      </w:r>
      <w:r w:rsidRPr="00405303">
        <w:rPr>
          <w:bCs/>
          <w:color w:val="002060"/>
          <w:sz w:val="16"/>
          <w:szCs w:val="16"/>
        </w:rPr>
        <w:t>обратился к главнокомандующему 6-й армией с просьбой о выделении флоту из армейской авиации двух аэропланов "Илья Муромец", мотивируя следующим:</w:t>
      </w:r>
    </w:p>
    <w:p w14:paraId="6BDFBEC8" w14:textId="77777777" w:rsidR="004B4E35" w:rsidRPr="00405303" w:rsidRDefault="009E6F82" w:rsidP="00C15251">
      <w:pPr>
        <w:jc w:val="both"/>
        <w:rPr>
          <w:bCs/>
          <w:color w:val="002060"/>
          <w:sz w:val="16"/>
          <w:szCs w:val="16"/>
        </w:rPr>
      </w:pPr>
      <w:r w:rsidRPr="00405303">
        <w:rPr>
          <w:bCs/>
          <w:color w:val="002060"/>
          <w:sz w:val="16"/>
          <w:szCs w:val="16"/>
        </w:rPr>
        <w:t>"В последние месяцы, предшествовавшие войне, была сделана попытка использовать для морской воздушной разведки аппарат Си- корского типа "Илья Муромец" который переделали в гидроаэроплан. Эта переделка отозвалась крайне отрицательно на свойствах аппарата, проектированного для взлёта и посадки на земле. И хотя опыты в эюм отношении не были закончены, но можно сказать, что отчасти благодаря им аппарат Сикорского был потерян в первые дни войны. Имея теперь сведения о постановке дела для постройки аппаратов Сикорского для нужд армии, я ходатайствую о предоставлении возможности получить для нужд Балтийского флота несколько аппаратов этою типа.</w:t>
      </w:r>
    </w:p>
    <w:p w14:paraId="01A6DFB1" w14:textId="77777777" w:rsidR="004B4E35" w:rsidRPr="00405303" w:rsidRDefault="009E6F82" w:rsidP="00C15251">
      <w:pPr>
        <w:jc w:val="both"/>
        <w:rPr>
          <w:bCs/>
          <w:color w:val="002060"/>
          <w:sz w:val="16"/>
          <w:szCs w:val="16"/>
        </w:rPr>
      </w:pPr>
      <w:r w:rsidRPr="00405303">
        <w:rPr>
          <w:bCs/>
          <w:color w:val="002060"/>
          <w:sz w:val="16"/>
          <w:szCs w:val="16"/>
        </w:rPr>
        <w:t>При помощи этих мощных аэропланов явится возможность освещать воздушной разведкой необходимый для оперативных целей морской район и использовать их для активной борьбы с подводными лодками, требующей большого числа воздушных бомб значительного веса.</w:t>
      </w:r>
    </w:p>
    <w:p w14:paraId="79E04577" w14:textId="77777777" w:rsidR="004B4E35" w:rsidRPr="00405303" w:rsidRDefault="009E6F82" w:rsidP="00C15251">
      <w:pPr>
        <w:jc w:val="both"/>
        <w:rPr>
          <w:bCs/>
          <w:color w:val="002060"/>
          <w:sz w:val="16"/>
          <w:szCs w:val="16"/>
        </w:rPr>
      </w:pPr>
      <w:r w:rsidRPr="00405303">
        <w:rPr>
          <w:bCs/>
          <w:color w:val="002060"/>
          <w:sz w:val="16"/>
          <w:szCs w:val="16"/>
        </w:rPr>
        <w:lastRenderedPageBreak/>
        <w:t>Ещё одно обстоятельство, имеющее большое значение для воздушных операций, заставляет просить о снабжении Балтийского флота аппаратами Сикорского. Это низкие температуры нашего осеннего и зимнего периода, когда полёты аэропланов становятся крайне затруднительными из-за полной незащищённости лётчика - недостаток, который устранён на последних аппаратах Сикорского.</w:t>
      </w:r>
    </w:p>
    <w:p w14:paraId="2BD5E0F7" w14:textId="77777777" w:rsidR="004B4E35" w:rsidRPr="00405303" w:rsidRDefault="009E6F82" w:rsidP="00C15251">
      <w:pPr>
        <w:jc w:val="both"/>
        <w:rPr>
          <w:bCs/>
          <w:color w:val="002060"/>
          <w:sz w:val="16"/>
          <w:szCs w:val="16"/>
        </w:rPr>
      </w:pPr>
      <w:r w:rsidRPr="00405303">
        <w:rPr>
          <w:bCs/>
          <w:color w:val="002060"/>
          <w:sz w:val="16"/>
          <w:szCs w:val="16"/>
        </w:rPr>
        <w:t>Всё вышеизложенное побуждает меня ходатайствовать теперь же получить в распоряжение Балтийского флота два готовых аппарата типа "Илья Муромец", изготовленных для нужд нашей армии, а также просить Морской генеральный штаб о немедленном заказе этих аппаратов для будущего снабжения ими флота".</w:t>
      </w:r>
    </w:p>
    <w:p w14:paraId="472436FA" w14:textId="77777777" w:rsidR="004B4E35" w:rsidRPr="00405303" w:rsidRDefault="009E6F82" w:rsidP="00C15251">
      <w:pPr>
        <w:jc w:val="both"/>
        <w:rPr>
          <w:bCs/>
          <w:color w:val="002060"/>
          <w:sz w:val="16"/>
          <w:szCs w:val="16"/>
        </w:rPr>
      </w:pPr>
      <w:r w:rsidRPr="00405303">
        <w:rPr>
          <w:bCs/>
          <w:color w:val="002060"/>
          <w:sz w:val="16"/>
          <w:szCs w:val="16"/>
        </w:rPr>
        <w:t>Армейцы балтийцам не помогли, а РБВЗ едва справлялся с заказами для военного ведомства. Кроме того, последнее платило за самолёты больше и не мудрствовало с установкой их на поплавки, существенно ухудшавшие все характеристики и усложнявшие эксплуатацию (11927).</w:t>
      </w:r>
    </w:p>
    <w:p w14:paraId="535DE717" w14:textId="77777777" w:rsidR="004B4E35" w:rsidRPr="00405303" w:rsidRDefault="004B4E35" w:rsidP="00C15251">
      <w:pPr>
        <w:jc w:val="both"/>
        <w:rPr>
          <w:bCs/>
          <w:color w:val="002060"/>
          <w:sz w:val="16"/>
          <w:szCs w:val="16"/>
        </w:rPr>
      </w:pPr>
    </w:p>
    <w:p w14:paraId="54774821" w14:textId="77777777" w:rsidR="001C6F31" w:rsidRPr="00405303" w:rsidRDefault="001C6F31" w:rsidP="00C15251">
      <w:pPr>
        <w:jc w:val="both"/>
        <w:rPr>
          <w:bCs/>
          <w:i/>
          <w:color w:val="002060"/>
          <w:sz w:val="16"/>
          <w:szCs w:val="16"/>
        </w:rPr>
      </w:pPr>
      <w:r w:rsidRPr="00405303">
        <w:rPr>
          <w:bCs/>
          <w:i/>
          <w:color w:val="002060"/>
          <w:sz w:val="16"/>
          <w:szCs w:val="16"/>
        </w:rPr>
        <w:t>Армия:</w:t>
      </w:r>
    </w:p>
    <w:p w14:paraId="7F16ED9B" w14:textId="77777777" w:rsidR="001C6F31" w:rsidRPr="00405303" w:rsidRDefault="001C6F31" w:rsidP="00C15251">
      <w:pPr>
        <w:jc w:val="both"/>
        <w:rPr>
          <w:bCs/>
          <w:i/>
          <w:color w:val="002060"/>
          <w:sz w:val="16"/>
          <w:szCs w:val="16"/>
        </w:rPr>
      </w:pPr>
    </w:p>
    <w:p w14:paraId="2DA6486C" w14:textId="11E00AC8" w:rsidR="001C6F31" w:rsidRPr="00405303" w:rsidRDefault="001C6F31" w:rsidP="00C15251">
      <w:pPr>
        <w:jc w:val="both"/>
        <w:rPr>
          <w:bCs/>
          <w:color w:val="002060"/>
          <w:sz w:val="16"/>
          <w:szCs w:val="16"/>
        </w:rPr>
      </w:pPr>
      <w:r w:rsidRPr="00405303">
        <w:rPr>
          <w:bCs/>
          <w:color w:val="002060"/>
          <w:sz w:val="16"/>
          <w:szCs w:val="16"/>
        </w:rPr>
        <w:t xml:space="preserve">23 июня </w:t>
      </w:r>
      <w:r w:rsidR="00325D89" w:rsidRPr="00405303">
        <w:rPr>
          <w:bCs/>
          <w:color w:val="002060"/>
          <w:sz w:val="16"/>
          <w:szCs w:val="16"/>
        </w:rPr>
        <w:t xml:space="preserve">(6 июля) </w:t>
      </w:r>
      <w:r w:rsidRPr="00405303">
        <w:rPr>
          <w:bCs/>
          <w:color w:val="002060"/>
          <w:sz w:val="16"/>
          <w:szCs w:val="16"/>
        </w:rPr>
        <w:t>в 1915 году на Восточном фронте, на северо-востоке Австро-Венгрии, германские и австрийские войска отбивают у русской армии город Лемберг (современный украинский г. Львов) (14931).</w:t>
      </w:r>
    </w:p>
    <w:p w14:paraId="5F352D7A" w14:textId="77777777" w:rsidR="001C6F31" w:rsidRPr="00405303" w:rsidRDefault="001C6F31" w:rsidP="00C15251">
      <w:pPr>
        <w:jc w:val="both"/>
        <w:rPr>
          <w:bCs/>
          <w:color w:val="002060"/>
          <w:sz w:val="16"/>
          <w:szCs w:val="16"/>
        </w:rPr>
      </w:pPr>
    </w:p>
    <w:p w14:paraId="506A08D2" w14:textId="77777777" w:rsidR="004B7EE2" w:rsidRPr="00405303" w:rsidRDefault="004B7EE2" w:rsidP="00C15251">
      <w:pPr>
        <w:jc w:val="both"/>
        <w:rPr>
          <w:bCs/>
          <w:i/>
          <w:color w:val="002060"/>
          <w:sz w:val="16"/>
          <w:szCs w:val="16"/>
        </w:rPr>
      </w:pPr>
      <w:r w:rsidRPr="00405303">
        <w:rPr>
          <w:bCs/>
          <w:i/>
          <w:color w:val="002060"/>
          <w:sz w:val="16"/>
          <w:szCs w:val="16"/>
        </w:rPr>
        <w:t>Авиация и воздухоплавание Германии:</w:t>
      </w:r>
    </w:p>
    <w:p w14:paraId="0EE133D6" w14:textId="77777777" w:rsidR="004B7EE2" w:rsidRPr="00405303" w:rsidRDefault="004B7EE2" w:rsidP="00C15251">
      <w:pPr>
        <w:jc w:val="both"/>
        <w:rPr>
          <w:bCs/>
          <w:i/>
          <w:color w:val="002060"/>
          <w:sz w:val="16"/>
          <w:szCs w:val="16"/>
        </w:rPr>
      </w:pPr>
    </w:p>
    <w:p w14:paraId="301C9673" w14:textId="77777777" w:rsidR="004B7EE2" w:rsidRPr="00405303" w:rsidRDefault="004B7EE2" w:rsidP="00C15251">
      <w:pPr>
        <w:jc w:val="both"/>
        <w:rPr>
          <w:bCs/>
          <w:color w:val="002060"/>
          <w:sz w:val="16"/>
          <w:szCs w:val="16"/>
        </w:rPr>
      </w:pPr>
      <w:r w:rsidRPr="00405303">
        <w:rPr>
          <w:bCs/>
          <w:color w:val="002060"/>
          <w:sz w:val="16"/>
          <w:szCs w:val="16"/>
        </w:rPr>
        <w:t>23 июня (6 июля) 1915 немецкий ас Leutnant Бёлька с Leutnant фон Wühlisch в качестве наблюдателя и наводчика добивается своей первой победы на двухместном самолете Albatros CI над Блерио парасоль (20338).</w:t>
      </w:r>
    </w:p>
    <w:p w14:paraId="53C491D1" w14:textId="77777777" w:rsidR="004B7EE2" w:rsidRPr="00405303" w:rsidRDefault="004B7EE2" w:rsidP="00C15251">
      <w:pPr>
        <w:jc w:val="both"/>
        <w:rPr>
          <w:bCs/>
          <w:color w:val="002060"/>
          <w:sz w:val="16"/>
          <w:szCs w:val="16"/>
        </w:rPr>
      </w:pPr>
    </w:p>
    <w:p w14:paraId="2C61CC29"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3EE21BA2" w14:textId="77777777" w:rsidR="004B4E35" w:rsidRPr="00405303" w:rsidRDefault="004B4E35" w:rsidP="00C15251">
      <w:pPr>
        <w:shd w:val="clear" w:color="auto" w:fill="FFFFFF"/>
        <w:jc w:val="both"/>
        <w:rPr>
          <w:bCs/>
          <w:i/>
          <w:color w:val="002060"/>
          <w:sz w:val="16"/>
          <w:szCs w:val="16"/>
        </w:rPr>
      </w:pPr>
    </w:p>
    <w:p w14:paraId="034AEE6C" w14:textId="031C707A" w:rsidR="00445026" w:rsidRPr="00405303" w:rsidRDefault="00445026" w:rsidP="00C15251">
      <w:pPr>
        <w:shd w:val="clear" w:color="auto" w:fill="FFFFFF"/>
        <w:jc w:val="both"/>
        <w:rPr>
          <w:bCs/>
          <w:color w:val="002060"/>
          <w:sz w:val="16"/>
          <w:szCs w:val="16"/>
        </w:rPr>
      </w:pPr>
      <w:r w:rsidRPr="00405303">
        <w:rPr>
          <w:bCs/>
          <w:color w:val="002060"/>
          <w:sz w:val="16"/>
          <w:szCs w:val="16"/>
        </w:rPr>
        <w:t xml:space="preserve">24 июня </w:t>
      </w:r>
      <w:r w:rsidR="00325D89" w:rsidRPr="00405303">
        <w:rPr>
          <w:bCs/>
          <w:color w:val="002060"/>
          <w:sz w:val="16"/>
          <w:szCs w:val="16"/>
        </w:rPr>
        <w:t xml:space="preserve">(7 июля) </w:t>
      </w:r>
      <w:r w:rsidRPr="00405303">
        <w:rPr>
          <w:bCs/>
          <w:color w:val="002060"/>
          <w:sz w:val="16"/>
          <w:szCs w:val="16"/>
        </w:rPr>
        <w:t>1915 г. был заключен договор купли—продажи, удостоверенный нотариусом Е.Д.Полонским (он регистрировал все договора «Дукса»), по которому «Ю.А.Меллер продал АО «Дуке Ю.А.Меллер» собственно ему принадлежащее владение, заключающееся в участке земли со всеми на нем жилыми и нежилыми строениями, но без находящихся в них машин и прочей движимости, как не принадлежащих продавцу Меллер и составляющих собственность покупщика...» (участок № 1618 Н.Н.Плахово).</w:t>
      </w:r>
    </w:p>
    <w:p w14:paraId="6CA94D2B" w14:textId="77777777" w:rsidR="00445026" w:rsidRPr="00405303" w:rsidRDefault="00445026" w:rsidP="00C15251">
      <w:pPr>
        <w:shd w:val="clear" w:color="auto" w:fill="FFFFFF"/>
        <w:jc w:val="both"/>
        <w:rPr>
          <w:bCs/>
          <w:color w:val="002060"/>
          <w:sz w:val="16"/>
          <w:szCs w:val="16"/>
        </w:rPr>
      </w:pPr>
      <w:r w:rsidRPr="00405303">
        <w:rPr>
          <w:bCs/>
          <w:color w:val="002060"/>
          <w:sz w:val="16"/>
          <w:szCs w:val="16"/>
        </w:rPr>
        <w:t>При этом цена сделки (360.000 руб.) превышала сумму январского 1915 г. контракта на 10 «Фарманов-ХХНбис» и 44 «Морана» (356 тыс. руб.). До этого Меллер все приобретаемые им в личную собственность земли и возведенные на них сооружения сдавал в аренду АО «Дуке», т.е. фактически самому себе. Однако уместно отметить и некоторую «щепетильность» Меллера, не решившегося продавать самому себе цеха, склады и контору, и записавшего в договоре, что они «самим продавцом... никогда в качестве фабрики не эксплуатировались». Однако продавец не забыл записать в договоре, что на «покупщика переходят все обязанности прежнего собственника владения по вознаграждению всех потерпевших на фабрике в приобретенном владении рабочих и членов их семейств» (15221).</w:t>
      </w:r>
    </w:p>
    <w:p w14:paraId="360263B5" w14:textId="77777777" w:rsidR="00445026" w:rsidRPr="00405303" w:rsidRDefault="00445026" w:rsidP="00C15251">
      <w:pPr>
        <w:shd w:val="clear" w:color="auto" w:fill="FFFFFF"/>
        <w:jc w:val="both"/>
        <w:rPr>
          <w:bCs/>
          <w:color w:val="002060"/>
          <w:sz w:val="16"/>
          <w:szCs w:val="16"/>
        </w:rPr>
      </w:pPr>
    </w:p>
    <w:p w14:paraId="70594018" w14:textId="1BDDC657" w:rsidR="004B4E35" w:rsidRPr="00405303" w:rsidRDefault="009E6F82" w:rsidP="00C15251">
      <w:pPr>
        <w:pStyle w:val="a4"/>
        <w:spacing w:before="0" w:after="0"/>
        <w:jc w:val="both"/>
        <w:rPr>
          <w:bCs/>
          <w:color w:val="002060"/>
          <w:sz w:val="16"/>
          <w:szCs w:val="16"/>
        </w:rPr>
      </w:pPr>
      <w:r w:rsidRPr="00405303">
        <w:rPr>
          <w:bCs/>
          <w:color w:val="002060"/>
          <w:sz w:val="16"/>
          <w:szCs w:val="16"/>
        </w:rPr>
        <w:t xml:space="preserve">24 июня </w:t>
      </w:r>
      <w:r w:rsidR="00325D89" w:rsidRPr="00405303">
        <w:rPr>
          <w:bCs/>
          <w:color w:val="002060"/>
          <w:sz w:val="16"/>
          <w:szCs w:val="16"/>
        </w:rPr>
        <w:t xml:space="preserve">(7 июля) </w:t>
      </w:r>
      <w:r w:rsidRPr="00405303">
        <w:rPr>
          <w:bCs/>
          <w:color w:val="002060"/>
          <w:sz w:val="16"/>
          <w:szCs w:val="16"/>
        </w:rPr>
        <w:t>1915 г. инженером по авиационной части Черноморского флота инже</w:t>
      </w:r>
      <w:r w:rsidRPr="00405303">
        <w:rPr>
          <w:bCs/>
          <w:color w:val="002060"/>
          <w:sz w:val="16"/>
          <w:szCs w:val="16"/>
        </w:rPr>
        <w:softHyphen/>
        <w:t>нер-механиком лётчиком лейтенан</w:t>
      </w:r>
      <w:r w:rsidRPr="00405303">
        <w:rPr>
          <w:bCs/>
          <w:color w:val="002060"/>
          <w:sz w:val="16"/>
          <w:szCs w:val="16"/>
        </w:rPr>
        <w:softHyphen/>
        <w:t>том Михайловым</w:t>
      </w:r>
      <w:r w:rsidR="00325D89" w:rsidRPr="00405303">
        <w:rPr>
          <w:bCs/>
          <w:color w:val="002060"/>
          <w:sz w:val="16"/>
          <w:szCs w:val="16"/>
        </w:rPr>
        <w:t xml:space="preserve"> был представлен</w:t>
      </w:r>
      <w:r w:rsidR="00325D89" w:rsidRPr="00405303">
        <w:rPr>
          <w:bCs/>
          <w:color w:val="002060"/>
          <w:sz w:val="16"/>
          <w:szCs w:val="16"/>
        </w:rPr>
        <w:softHyphen/>
        <w:t>рапорт о том, что по</w:t>
      </w:r>
      <w:r w:rsidR="00325D89" w:rsidRPr="00405303">
        <w:rPr>
          <w:bCs/>
          <w:color w:val="002060"/>
          <w:sz w:val="16"/>
          <w:szCs w:val="16"/>
        </w:rPr>
        <w:softHyphen/>
        <w:t>ставщик (вероятнее всего фирма «Плюм и Оке», представлявшая аэропланную компанию «Кертисс»), не совсем добросовестно исполня</w:t>
      </w:r>
      <w:r w:rsidR="00325D89" w:rsidRPr="00405303">
        <w:rPr>
          <w:bCs/>
          <w:color w:val="002060"/>
          <w:sz w:val="16"/>
          <w:szCs w:val="16"/>
        </w:rPr>
        <w:softHyphen/>
        <w:t>ла свои обязательства</w:t>
      </w:r>
      <w:r w:rsidRPr="00405303">
        <w:rPr>
          <w:bCs/>
          <w:color w:val="002060"/>
          <w:sz w:val="16"/>
          <w:szCs w:val="16"/>
        </w:rPr>
        <w:t>. После знакомства с содержанием рапорта Авиацион</w:t>
      </w:r>
      <w:r w:rsidRPr="00405303">
        <w:rPr>
          <w:bCs/>
          <w:color w:val="002060"/>
          <w:sz w:val="16"/>
          <w:szCs w:val="16"/>
        </w:rPr>
        <w:softHyphen/>
        <w:t>ный комитет пришёл к довольно неутешительному заключению по лодкам «Кертисса»: «Лодка на од</w:t>
      </w:r>
      <w:r w:rsidRPr="00405303">
        <w:rPr>
          <w:bCs/>
          <w:color w:val="002060"/>
          <w:sz w:val="16"/>
          <w:szCs w:val="16"/>
        </w:rPr>
        <w:softHyphen/>
        <w:t>ном из закупленных самолетов не новая, а уже бывшая в эксплуата</w:t>
      </w:r>
      <w:r w:rsidRPr="00405303">
        <w:rPr>
          <w:bCs/>
          <w:color w:val="002060"/>
          <w:sz w:val="16"/>
          <w:szCs w:val="16"/>
        </w:rPr>
        <w:softHyphen/>
        <w:t>ции, также как и несколько двигателей; боковые поплавки стоят от са</w:t>
      </w:r>
      <w:r w:rsidRPr="00405303">
        <w:rPr>
          <w:bCs/>
          <w:color w:val="002060"/>
          <w:sz w:val="16"/>
          <w:szCs w:val="16"/>
        </w:rPr>
        <w:softHyphen/>
        <w:t>молетов первых серий; один из про</w:t>
      </w:r>
      <w:r w:rsidRPr="00405303">
        <w:rPr>
          <w:bCs/>
          <w:color w:val="002060"/>
          <w:sz w:val="16"/>
          <w:szCs w:val="16"/>
        </w:rPr>
        <w:softHyphen/>
        <w:t>пеллеров сломан. По самолёту «Аэромарин»: плоскости на двухмо</w:t>
      </w:r>
      <w:r w:rsidRPr="00405303">
        <w:rPr>
          <w:bCs/>
          <w:color w:val="002060"/>
          <w:sz w:val="16"/>
          <w:szCs w:val="16"/>
        </w:rPr>
        <w:softHyphen/>
        <w:t>торной летающей лодке принадле</w:t>
      </w:r>
      <w:r w:rsidRPr="00405303">
        <w:rPr>
          <w:bCs/>
          <w:color w:val="002060"/>
          <w:sz w:val="16"/>
          <w:szCs w:val="16"/>
        </w:rPr>
        <w:softHyphen/>
        <w:t>жат «земному» самолету; прислан</w:t>
      </w:r>
      <w:r w:rsidRPr="00405303">
        <w:rPr>
          <w:bCs/>
          <w:color w:val="002060"/>
          <w:sz w:val="16"/>
          <w:szCs w:val="16"/>
        </w:rPr>
        <w:softHyphen/>
        <w:t>ный двигатель «Кирхгам» (по-види</w:t>
      </w:r>
      <w:r w:rsidRPr="00405303">
        <w:rPr>
          <w:bCs/>
          <w:color w:val="002060"/>
          <w:sz w:val="16"/>
          <w:szCs w:val="16"/>
        </w:rPr>
        <w:softHyphen/>
        <w:t>мому, имеется в виду двигатель «Бир-кихтам. Прим.авт.) нельзя было ус</w:t>
      </w:r>
      <w:r w:rsidRPr="00405303">
        <w:rPr>
          <w:bCs/>
          <w:color w:val="002060"/>
          <w:sz w:val="16"/>
          <w:szCs w:val="16"/>
        </w:rPr>
        <w:softHyphen/>
        <w:t>тановить на самолет (не подходил по месту водяной радиатор; мото</w:t>
      </w:r>
      <w:r w:rsidRPr="00405303">
        <w:rPr>
          <w:bCs/>
          <w:color w:val="002060"/>
          <w:sz w:val="16"/>
          <w:szCs w:val="16"/>
        </w:rPr>
        <w:softHyphen/>
        <w:t>рама от другого двигателя; места для дополнительного бака не было), три других мотора «Кирхгам» ока</w:t>
      </w:r>
      <w:r w:rsidRPr="00405303">
        <w:rPr>
          <w:bCs/>
          <w:color w:val="002060"/>
          <w:sz w:val="16"/>
          <w:szCs w:val="16"/>
        </w:rPr>
        <w:softHyphen/>
        <w:t>зались различных модификаций и с дефектами».</w:t>
      </w:r>
    </w:p>
    <w:p w14:paraId="2AFCCCC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Изучив материалы, авиационный комитет Черноморского флота при</w:t>
      </w:r>
      <w:r w:rsidRPr="00405303">
        <w:rPr>
          <w:bCs/>
          <w:color w:val="002060"/>
          <w:sz w:val="16"/>
          <w:szCs w:val="16"/>
        </w:rPr>
        <w:softHyphen/>
        <w:t>шёл к выводу о непригодности при</w:t>
      </w:r>
      <w:r w:rsidRPr="00405303">
        <w:rPr>
          <w:bCs/>
          <w:color w:val="002060"/>
          <w:sz w:val="16"/>
          <w:szCs w:val="16"/>
        </w:rPr>
        <w:softHyphen/>
        <w:t>менения самолётов для боевых дей</w:t>
      </w:r>
      <w:r w:rsidRPr="00405303">
        <w:rPr>
          <w:bCs/>
          <w:color w:val="002060"/>
          <w:sz w:val="16"/>
          <w:szCs w:val="16"/>
        </w:rPr>
        <w:softHyphen/>
        <w:t>ствий: «...необходимы всесторонние испытания, и если они окажутся удовлетворительными, то аппараты следует использовать в качестве учебных и для проведения ближай</w:t>
      </w:r>
      <w:r w:rsidRPr="00405303">
        <w:rPr>
          <w:bCs/>
          <w:color w:val="002060"/>
          <w:sz w:val="16"/>
          <w:szCs w:val="16"/>
        </w:rPr>
        <w:softHyphen/>
        <w:t>ших разведок, не связанных с боевы</w:t>
      </w:r>
      <w:r w:rsidRPr="00405303">
        <w:rPr>
          <w:bCs/>
          <w:color w:val="002060"/>
          <w:sz w:val="16"/>
          <w:szCs w:val="16"/>
        </w:rPr>
        <w:softHyphen/>
        <w:t>ми требованиями». Другими слова</w:t>
      </w:r>
      <w:r w:rsidRPr="00405303">
        <w:rPr>
          <w:bCs/>
          <w:color w:val="002060"/>
          <w:sz w:val="16"/>
          <w:szCs w:val="16"/>
        </w:rPr>
        <w:softHyphen/>
        <w:t>ми - для полётов вблизи побережья.</w:t>
      </w:r>
    </w:p>
    <w:p w14:paraId="3F48FC6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Командующий Черноморским флотом адмирал А. Эбергард, оз</w:t>
      </w:r>
      <w:r w:rsidRPr="00405303">
        <w:rPr>
          <w:bCs/>
          <w:color w:val="002060"/>
          <w:sz w:val="16"/>
          <w:szCs w:val="16"/>
        </w:rPr>
        <w:softHyphen/>
        <w:t>накомившись с докладом Авиаци</w:t>
      </w:r>
      <w:r w:rsidRPr="00405303">
        <w:rPr>
          <w:bCs/>
          <w:color w:val="002060"/>
          <w:sz w:val="16"/>
          <w:szCs w:val="16"/>
        </w:rPr>
        <w:softHyphen/>
        <w:t>онного комитета, потребовал: «ап</w:t>
      </w:r>
      <w:r w:rsidRPr="00405303">
        <w:rPr>
          <w:bCs/>
          <w:color w:val="002060"/>
          <w:sz w:val="16"/>
          <w:szCs w:val="16"/>
        </w:rPr>
        <w:softHyphen/>
        <w:t>паратов не принимать и никому на них не летать, срочно довести до сведения Морского генерального шта</w:t>
      </w:r>
      <w:r w:rsidRPr="00405303">
        <w:rPr>
          <w:bCs/>
          <w:color w:val="002060"/>
          <w:sz w:val="16"/>
          <w:szCs w:val="16"/>
        </w:rPr>
        <w:softHyphen/>
        <w:t>ба о столь преступном снабжении».</w:t>
      </w:r>
    </w:p>
    <w:p w14:paraId="6E08F7C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 августу 1915 г. на Черном море находилось семь поплавковых самолетов «Кертисс-Р» и 30 летаю</w:t>
      </w:r>
      <w:r w:rsidRPr="00405303">
        <w:rPr>
          <w:bCs/>
          <w:color w:val="002060"/>
          <w:sz w:val="16"/>
          <w:szCs w:val="16"/>
        </w:rPr>
        <w:softHyphen/>
        <w:t>щих лодок «Кертисс-К» (некоторые в состоянии заводской поставки). Фирма «Кертисс» старалась как можно полнее удовлетворить инте</w:t>
      </w:r>
      <w:r w:rsidRPr="00405303">
        <w:rPr>
          <w:bCs/>
          <w:color w:val="002060"/>
          <w:sz w:val="16"/>
          <w:szCs w:val="16"/>
        </w:rPr>
        <w:softHyphen/>
        <w:t>ресы заказчика, но далеко не все получалось гладко. Поставка негод</w:t>
      </w:r>
      <w:r w:rsidRPr="00405303">
        <w:rPr>
          <w:bCs/>
          <w:color w:val="002060"/>
          <w:sz w:val="16"/>
          <w:szCs w:val="16"/>
        </w:rPr>
        <w:softHyphen/>
        <w:t>ных деталей стала возможной так</w:t>
      </w:r>
      <w:r w:rsidRPr="00405303">
        <w:rPr>
          <w:bCs/>
          <w:color w:val="002060"/>
          <w:sz w:val="16"/>
          <w:szCs w:val="16"/>
        </w:rPr>
        <w:softHyphen/>
        <w:t>же потому, что контрактом не ого</w:t>
      </w:r>
      <w:r w:rsidRPr="00405303">
        <w:rPr>
          <w:bCs/>
          <w:color w:val="002060"/>
          <w:sz w:val="16"/>
          <w:szCs w:val="16"/>
        </w:rPr>
        <w:softHyphen/>
        <w:t>варивалась ответственность за по</w:t>
      </w:r>
      <w:r w:rsidRPr="00405303">
        <w:rPr>
          <w:bCs/>
          <w:color w:val="002060"/>
          <w:sz w:val="16"/>
          <w:szCs w:val="16"/>
        </w:rPr>
        <w:softHyphen/>
        <w:t>добные деяния, а заказчик не уча</w:t>
      </w:r>
      <w:r w:rsidRPr="00405303">
        <w:rPr>
          <w:bCs/>
          <w:color w:val="002060"/>
          <w:sz w:val="16"/>
          <w:szCs w:val="16"/>
        </w:rPr>
        <w:softHyphen/>
        <w:t>ствовал в приемке самолетов в США. Однако, как следует из от</w:t>
      </w:r>
      <w:r w:rsidRPr="00405303">
        <w:rPr>
          <w:bCs/>
          <w:color w:val="002060"/>
          <w:sz w:val="16"/>
          <w:szCs w:val="16"/>
        </w:rPr>
        <w:softHyphen/>
        <w:t>ношения начальника авиации Чер</w:t>
      </w:r>
      <w:r w:rsidRPr="00405303">
        <w:rPr>
          <w:bCs/>
          <w:color w:val="002060"/>
          <w:sz w:val="16"/>
          <w:szCs w:val="16"/>
        </w:rPr>
        <w:softHyphen/>
        <w:t>номорского флота начальнику воз</w:t>
      </w:r>
      <w:r w:rsidRPr="00405303">
        <w:rPr>
          <w:bCs/>
          <w:color w:val="002060"/>
          <w:sz w:val="16"/>
          <w:szCs w:val="16"/>
        </w:rPr>
        <w:softHyphen/>
        <w:t>духоплавательного отделения Мор</w:t>
      </w:r>
      <w:r w:rsidRPr="00405303">
        <w:rPr>
          <w:bCs/>
          <w:color w:val="002060"/>
          <w:sz w:val="16"/>
          <w:szCs w:val="16"/>
        </w:rPr>
        <w:softHyphen/>
        <w:t>ского генерального штаба от 10 октября, изменялось отношение к иностранным самолётам: «уведом</w:t>
      </w:r>
      <w:r w:rsidRPr="00405303">
        <w:rPr>
          <w:bCs/>
          <w:color w:val="002060"/>
          <w:sz w:val="16"/>
          <w:szCs w:val="16"/>
        </w:rPr>
        <w:softHyphen/>
        <w:t>ляю ваше Высокопревосходитель</w:t>
      </w:r>
      <w:r w:rsidRPr="00405303">
        <w:rPr>
          <w:bCs/>
          <w:color w:val="002060"/>
          <w:sz w:val="16"/>
          <w:szCs w:val="16"/>
        </w:rPr>
        <w:softHyphen/>
        <w:t>ство, что боевыми аппаратами мож</w:t>
      </w:r>
      <w:r w:rsidRPr="00405303">
        <w:rPr>
          <w:bCs/>
          <w:color w:val="002060"/>
          <w:sz w:val="16"/>
          <w:szCs w:val="16"/>
        </w:rPr>
        <w:softHyphen/>
        <w:t>но считать лишь «Щетинины» типа М-5, коих имеется 17, но за недо</w:t>
      </w:r>
      <w:r w:rsidRPr="00405303">
        <w:rPr>
          <w:bCs/>
          <w:color w:val="002060"/>
          <w:sz w:val="16"/>
          <w:szCs w:val="16"/>
        </w:rPr>
        <w:softHyphen/>
        <w:t>статком моторов из них могут дей</w:t>
      </w:r>
      <w:r w:rsidRPr="00405303">
        <w:rPr>
          <w:bCs/>
          <w:color w:val="002060"/>
          <w:sz w:val="16"/>
          <w:szCs w:val="16"/>
        </w:rPr>
        <w:softHyphen/>
        <w:t>ствовать лишь 14, причём один с ненадёжным мотором. Аппараты «Кертисса» в 100НР годятся лишь для учебных полётов и для неответ</w:t>
      </w:r>
      <w:r w:rsidRPr="00405303">
        <w:rPr>
          <w:bCs/>
          <w:color w:val="002060"/>
          <w:sz w:val="16"/>
          <w:szCs w:val="16"/>
        </w:rPr>
        <w:softHyphen/>
        <w:t>ственных задач. Таковых имеется девять, из коих два нуждаются в капитальном ремонте» (11759).</w:t>
      </w:r>
    </w:p>
    <w:p w14:paraId="69158140" w14:textId="77777777" w:rsidR="004B4E35" w:rsidRPr="00405303" w:rsidRDefault="004B4E35" w:rsidP="00C15251">
      <w:pPr>
        <w:shd w:val="clear" w:color="auto" w:fill="FFFFFF"/>
        <w:jc w:val="both"/>
        <w:rPr>
          <w:bCs/>
          <w:color w:val="002060"/>
          <w:sz w:val="16"/>
          <w:szCs w:val="16"/>
        </w:rPr>
      </w:pPr>
    </w:p>
    <w:p w14:paraId="790C61DE"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6B1377E2" w14:textId="77777777" w:rsidR="004B4E35" w:rsidRPr="00405303" w:rsidRDefault="004B4E35" w:rsidP="00C15251">
      <w:pPr>
        <w:shd w:val="clear" w:color="auto" w:fill="FFFFFF"/>
        <w:jc w:val="both"/>
        <w:rPr>
          <w:bCs/>
          <w:i/>
          <w:color w:val="002060"/>
          <w:sz w:val="16"/>
          <w:szCs w:val="16"/>
        </w:rPr>
      </w:pPr>
    </w:p>
    <w:p w14:paraId="64EB0B37" w14:textId="260EBD71" w:rsidR="004B4E35" w:rsidRPr="00405303" w:rsidRDefault="009E6F82" w:rsidP="00C15251">
      <w:pPr>
        <w:jc w:val="both"/>
        <w:rPr>
          <w:bCs/>
          <w:color w:val="002060"/>
          <w:sz w:val="16"/>
          <w:szCs w:val="16"/>
        </w:rPr>
      </w:pPr>
      <w:r w:rsidRPr="00405303">
        <w:rPr>
          <w:bCs/>
          <w:color w:val="002060"/>
          <w:sz w:val="16"/>
          <w:szCs w:val="16"/>
        </w:rPr>
        <w:t>24-го июня (7 июля) 1915 летчик прапорщик Иванов и наблюдатель поручик Алексеев из 26-го КАО атаковали в районе Тарнополя австрийский Альбатрос (бортовой номер 21-01) из 1-й авиароты,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Тлусте,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281A2F66" w14:textId="77777777" w:rsidR="004B4E35" w:rsidRPr="00405303" w:rsidRDefault="004B4E35" w:rsidP="00C15251">
      <w:pPr>
        <w:jc w:val="both"/>
        <w:rPr>
          <w:bCs/>
          <w:color w:val="002060"/>
          <w:sz w:val="16"/>
          <w:szCs w:val="16"/>
        </w:rPr>
      </w:pPr>
    </w:p>
    <w:p w14:paraId="0F991D8C" w14:textId="3707B324"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24-го июня (</w:t>
      </w:r>
      <w:r w:rsidR="00325D89" w:rsidRPr="00405303">
        <w:rPr>
          <w:bCs/>
          <w:i w:val="0"/>
          <w:color w:val="002060"/>
          <w:spacing w:val="0"/>
          <w:kern w:val="0"/>
          <w:position w:val="0"/>
          <w:sz w:val="16"/>
          <w:szCs w:val="16"/>
        </w:rPr>
        <w:t>7</w:t>
      </w:r>
      <w:r w:rsidRPr="00405303">
        <w:rPr>
          <w:bCs/>
          <w:i w:val="0"/>
          <w:color w:val="002060"/>
          <w:spacing w:val="0"/>
          <w:kern w:val="0"/>
          <w:position w:val="0"/>
          <w:sz w:val="16"/>
          <w:szCs w:val="16"/>
        </w:rPr>
        <w:t xml:space="preserve"> июля) 1915 летчик прапорщик Иванов и наблюдатель поручик Алексеев из 26-го КАО атаковали в районе Тарнополя австрийский Альбатрос (бортовой номер 21-01) из 1-й авиароты,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w:t>
      </w:r>
      <w:r w:rsidRPr="00405303">
        <w:rPr>
          <w:bCs/>
          <w:i w:val="0"/>
          <w:color w:val="002060"/>
          <w:spacing w:val="0"/>
          <w:kern w:val="0"/>
          <w:position w:val="0"/>
          <w:sz w:val="16"/>
          <w:szCs w:val="16"/>
        </w:rPr>
        <w:lastRenderedPageBreak/>
        <w:t>безнадежным - пролетая над русским аэродромом в Тлусте,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(11278).</w:t>
      </w:r>
    </w:p>
    <w:p w14:paraId="000F2DE6" w14:textId="77777777" w:rsidR="004B4E35" w:rsidRPr="00405303" w:rsidRDefault="004B4E35" w:rsidP="00C15251">
      <w:pPr>
        <w:pStyle w:val="a3"/>
        <w:jc w:val="both"/>
        <w:rPr>
          <w:bCs/>
          <w:i w:val="0"/>
          <w:color w:val="002060"/>
          <w:spacing w:val="0"/>
          <w:kern w:val="0"/>
          <w:position w:val="0"/>
          <w:sz w:val="16"/>
          <w:szCs w:val="16"/>
        </w:rPr>
      </w:pPr>
    </w:p>
    <w:p w14:paraId="61608035" w14:textId="49352903"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24 июня (7 июля) 1915 </w:t>
      </w:r>
      <w:r w:rsidR="00325D89" w:rsidRPr="00405303">
        <w:rPr>
          <w:bCs/>
          <w:color w:val="002060"/>
          <w:sz w:val="16"/>
          <w:szCs w:val="16"/>
        </w:rPr>
        <w:t xml:space="preserve">г. </w:t>
      </w:r>
      <w:r w:rsidRPr="00405303">
        <w:rPr>
          <w:bCs/>
          <w:color w:val="002060"/>
          <w:sz w:val="16"/>
          <w:szCs w:val="16"/>
        </w:rPr>
        <w:t>летчик 26 'КАО прапорщик Владимир Яковлевич Иванов и летнаб поручик Анатолий Александрович Алексеев на самолете "Вуазен" провели интересный бой с немецким "Альбатросом".длив</w:t>
      </w:r>
      <w:r w:rsidRPr="00405303">
        <w:rPr>
          <w:bCs/>
          <w:color w:val="002060"/>
          <w:sz w:val="16"/>
          <w:szCs w:val="16"/>
        </w:rPr>
        <w:softHyphen/>
        <w:t>шийся полтора часа. Сближаясь на дистанцию 50-100 м и отстреливаясь, летчики заманили противника на свою территорию. При этом между отдельными схватками наши и вражеские летчики взаимно обменивались приветствиями. После нескольких схваток неприя</w:t>
      </w:r>
      <w:r w:rsidRPr="00405303">
        <w:rPr>
          <w:bCs/>
          <w:color w:val="002060"/>
          <w:sz w:val="16"/>
          <w:szCs w:val="16"/>
        </w:rPr>
        <w:softHyphen/>
        <w:t>тельский летчик был убит, а его летчик-наблюдатель ранен. "Альбатрос" загорелся и упал, экипаж погиб. Русский самолет вернулся с пятью пулевыми пробоинами ("Русский инвалид". 1915 г., I июля; "Искры".</w:t>
      </w:r>
      <w:proofErr w:type="gramStart"/>
      <w:r w:rsidRPr="00405303">
        <w:rPr>
          <w:bCs/>
          <w:color w:val="002060"/>
          <w:sz w:val="16"/>
          <w:szCs w:val="16"/>
        </w:rPr>
        <w:t>1915,№</w:t>
      </w:r>
      <w:proofErr w:type="gramEnd"/>
      <w:r w:rsidRPr="00405303">
        <w:rPr>
          <w:bCs/>
          <w:color w:val="002060"/>
          <w:sz w:val="16"/>
          <w:szCs w:val="16"/>
        </w:rPr>
        <w:t>27).</w:t>
      </w:r>
    </w:p>
    <w:p w14:paraId="4E235F2D" w14:textId="77777777" w:rsidR="004B4E35" w:rsidRPr="00405303" w:rsidRDefault="004B4E35" w:rsidP="00C15251">
      <w:pPr>
        <w:shd w:val="clear" w:color="auto" w:fill="FFFFFF"/>
        <w:jc w:val="both"/>
        <w:rPr>
          <w:bCs/>
          <w:color w:val="002060"/>
          <w:sz w:val="16"/>
          <w:szCs w:val="16"/>
        </w:rPr>
      </w:pPr>
    </w:p>
    <w:p w14:paraId="0DCE7F7A" w14:textId="77777777" w:rsidR="0002695B" w:rsidRPr="00405303" w:rsidRDefault="0002695B" w:rsidP="00C15251">
      <w:pPr>
        <w:jc w:val="both"/>
        <w:rPr>
          <w:bCs/>
          <w:color w:val="002060"/>
          <w:sz w:val="16"/>
          <w:szCs w:val="16"/>
        </w:rPr>
      </w:pPr>
      <w:r w:rsidRPr="00405303">
        <w:rPr>
          <w:bCs/>
          <w:color w:val="002060"/>
          <w:sz w:val="16"/>
          <w:szCs w:val="16"/>
        </w:rPr>
        <w:t>24 июня (7 июля) 1915 г. летчик 26 КАО прапорщик Владимир Яковлевич Иванов и летнаб поручик Анатолий Александрович Алексеев на самолете Вуазен провели интересный бой с немецким "Альбатросом", длившийся полтора часа. Сближаясь на дистанцию 50-100 м и отстреливаясь, летчики зама</w:t>
      </w:r>
      <w:r w:rsidRPr="00405303">
        <w:rPr>
          <w:bCs/>
          <w:color w:val="002060"/>
          <w:sz w:val="16"/>
          <w:szCs w:val="16"/>
        </w:rPr>
        <w:softHyphen/>
        <w:t xml:space="preserve">нили противника на свою территорию. При этом, между отдельными схватками наши и вражеские летчики взаимно обменивались приветствиями. После нескольких схваток неприятельский летчик был убит, а его летиаб </w:t>
      </w:r>
      <w:proofErr w:type="gramStart"/>
      <w:r w:rsidRPr="00405303">
        <w:rPr>
          <w:bCs/>
          <w:color w:val="002060"/>
          <w:sz w:val="16"/>
          <w:szCs w:val="16"/>
        </w:rPr>
        <w:t>ранен .</w:t>
      </w:r>
      <w:proofErr w:type="gramEnd"/>
      <w:r w:rsidRPr="00405303">
        <w:rPr>
          <w:bCs/>
          <w:color w:val="002060"/>
          <w:sz w:val="16"/>
          <w:szCs w:val="16"/>
        </w:rPr>
        <w:t>"Альбатрос" загорелся и упал, экипаж погиб. Наши вернулись о пятью пулевыми пробоинами в самолете.</w:t>
      </w:r>
    </w:p>
    <w:p w14:paraId="45FD2C22" w14:textId="77777777" w:rsidR="0002695B" w:rsidRPr="00405303" w:rsidRDefault="0002695B" w:rsidP="00C15251">
      <w:pPr>
        <w:jc w:val="both"/>
        <w:rPr>
          <w:bCs/>
          <w:color w:val="002060"/>
          <w:sz w:val="16"/>
          <w:szCs w:val="16"/>
        </w:rPr>
      </w:pPr>
      <w:r w:rsidRPr="00405303">
        <w:rPr>
          <w:bCs/>
          <w:color w:val="002060"/>
          <w:sz w:val="16"/>
          <w:szCs w:val="16"/>
        </w:rPr>
        <w:t>/"Русский инвалид" за 1 июля 1916; "Искры", 1915 № 27/ (23320).</w:t>
      </w:r>
    </w:p>
    <w:p w14:paraId="1C92F2C4" w14:textId="77777777" w:rsidR="0002695B" w:rsidRPr="00405303" w:rsidRDefault="0002695B" w:rsidP="00C15251">
      <w:pPr>
        <w:jc w:val="both"/>
        <w:rPr>
          <w:bCs/>
          <w:color w:val="002060"/>
          <w:sz w:val="16"/>
          <w:szCs w:val="16"/>
        </w:rPr>
      </w:pPr>
    </w:p>
    <w:p w14:paraId="70117739" w14:textId="66835A40" w:rsidR="00CE794B" w:rsidRPr="00405303" w:rsidRDefault="00CE794B" w:rsidP="00C15251">
      <w:pPr>
        <w:jc w:val="both"/>
        <w:rPr>
          <w:bCs/>
          <w:color w:val="002060"/>
          <w:sz w:val="16"/>
          <w:szCs w:val="16"/>
        </w:rPr>
      </w:pPr>
      <w:r w:rsidRPr="00405303">
        <w:rPr>
          <w:bCs/>
          <w:color w:val="002060"/>
          <w:sz w:val="16"/>
          <w:szCs w:val="16"/>
        </w:rPr>
        <w:t>24 июня (7 июля) 1915 г. огнем зенитной артиллерии в районе правого берега р. Пилица был сбит неприятельский летательный аппарат, упавший в расположении войск противника. На следующий день одна из наших артиллерийских батарей в районе н/п Раома уничтожила другой вражеский самолет. Германские летчики при приземлении у д. Козлово сожгли свой аппарат и бежали в лес. Были приняты меры по их поимке (23405).</w:t>
      </w:r>
    </w:p>
    <w:p w14:paraId="6917B306" w14:textId="77777777" w:rsidR="00CE794B" w:rsidRPr="00405303" w:rsidRDefault="00CE794B" w:rsidP="00C15251">
      <w:pPr>
        <w:jc w:val="both"/>
        <w:rPr>
          <w:bCs/>
          <w:color w:val="002060"/>
          <w:sz w:val="16"/>
          <w:szCs w:val="16"/>
        </w:rPr>
      </w:pPr>
    </w:p>
    <w:p w14:paraId="39C0B6EF" w14:textId="77777777" w:rsidR="003C22DB" w:rsidRPr="00405303" w:rsidRDefault="003C22DB" w:rsidP="003C22DB">
      <w:pPr>
        <w:jc w:val="both"/>
        <w:rPr>
          <w:color w:val="0070C0"/>
          <w:sz w:val="16"/>
          <w:szCs w:val="16"/>
        </w:rPr>
      </w:pPr>
      <w:bookmarkStart w:id="171" w:name="bookmark197"/>
      <w:r w:rsidRPr="00405303">
        <w:rPr>
          <w:color w:val="0070C0"/>
          <w:sz w:val="16"/>
          <w:szCs w:val="16"/>
        </w:rPr>
        <w:t>24 июня (7 июля) 1915 года на «Вуазене» с пулеметом «Кольт» на самодельной установке, одержали победу военный летчик прапорщик Иванов и поручик Алексеев из 26-го као. Они атаковали над аэродромом самолет «Альбатрос» В.I №21.01 из 7-й австрийской авиароты (Flik.7). Русские летчики преследовали противникадоТарнополя, обстреливая его из пулемёта с дистанции 50-100 метров. В этот раз преимущество в огневой мощи оказалось на нашей стороне. Австрийский наблюдатель был вооружен только карабином, из которого он пытался отстреливаться. В паузахмежду выстрелами и пулеметными очередями наши и австрийские летчики обменивались приветствиями (да, в те времена еще встречалось и такое!). После очередной атаки австрийский летнаб был убит. Карабин выпал из его рук. Раненый летчик пытался уйти от преследования, но вскоре «Альбатрос» вспыхнул, сорвался в пике и врезался в землю. Возможно (по крайней мере, мне пока не удалось найти более ранних примеров), это была первая воздушная победа, одержанная русскими летчиками в «классическом» воздушном бою с использованием огнестрельного оружия. Похороны австрийского экипажа прошли торжественно, со всеми воинскими почестями. Над могилой были установлены два «почти новых» пропеллера «Интеграл» и сделана надпись на русском языке: «Австрийскому лётчику лейтенанту Цизинскому и летчику унтер-офицеру Ковачу, героически погибшим 24 июня 1915 г. в воздушном бою». Могилу также украсил венок из искусственных цветов с белой лентой и надписью «В восхищении вашей храбростью - русский авиаотряд». Письмо и фотографии могилы были сброшены на следующий день за линией фронта (25147).</w:t>
      </w:r>
    </w:p>
    <w:p w14:paraId="3136BBDA" w14:textId="77777777" w:rsidR="003C22DB" w:rsidRPr="00405303" w:rsidRDefault="003C22DB" w:rsidP="003C22DB">
      <w:pPr>
        <w:jc w:val="both"/>
        <w:rPr>
          <w:color w:val="0070C0"/>
          <w:sz w:val="16"/>
          <w:szCs w:val="16"/>
        </w:rPr>
      </w:pPr>
    </w:p>
    <w:p w14:paraId="1BD1698C" w14:textId="77777777" w:rsidR="003C22DB" w:rsidRPr="00405303" w:rsidRDefault="003C22DB" w:rsidP="003C22DB">
      <w:pPr>
        <w:jc w:val="both"/>
        <w:rPr>
          <w:color w:val="0070C0"/>
          <w:sz w:val="16"/>
          <w:szCs w:val="16"/>
        </w:rPr>
      </w:pPr>
      <w:r w:rsidRPr="00405303">
        <w:rPr>
          <w:color w:val="0070C0"/>
          <w:sz w:val="16"/>
          <w:szCs w:val="16"/>
        </w:rPr>
        <w:t>24-го июня (7 июля) 1915 года летчик прапорщик Иванов и наблюдатель поручик Алексеев из 26-го КАО атаковали в районе Тарнополя австрийский «Альбатрос» (бортовой номер 21-01) из 1-й авиароты,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Тлусте,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)25151).</w:t>
      </w:r>
    </w:p>
    <w:p w14:paraId="4BCAE10C" w14:textId="77777777" w:rsidR="003C22DB" w:rsidRPr="00405303" w:rsidRDefault="003C22DB" w:rsidP="003C22DB">
      <w:pPr>
        <w:jc w:val="both"/>
        <w:rPr>
          <w:color w:val="0070C0"/>
          <w:sz w:val="16"/>
          <w:szCs w:val="16"/>
        </w:rPr>
      </w:pPr>
    </w:p>
    <w:p w14:paraId="4128643F" w14:textId="77777777" w:rsidR="003C22DB" w:rsidRPr="00405303" w:rsidRDefault="003C22DB" w:rsidP="003C22DB">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24 июня (7 июля) 1915 г. «в районе расположения Кавказской туземной конной дивизии» летчики 26-го КАО прапорщик И.Я. Иванов и поручик А.А. Алексеев на высоте 2 км осуществили перехват австрийского «Альбатроса». Сблизившись с противником, летчики обменялись друг с другом приветствиями и открыли… пулеметный огонь. Австрийские авиаторы, отстреливаясь, пытались оторваться от погони. Но это им сделать не удалось. Вскоре вражеский летчик был убит, а летевший с ним офицер-наблюдатель тяжело ранен. Неуправляемый «Альбатрос» (7-я (по другим данным – 1-я) австрийская авиационная рота) сделал в воздухе мертвую петлю и стал падать на землю в расположении наших войск. Перед падением вражеский самолет загорелся и, объятый пламенем, рухнул вблизи русских окопов.</w:t>
      </w:r>
    </w:p>
    <w:p w14:paraId="459AAB63" w14:textId="77777777" w:rsidR="003C22DB" w:rsidRPr="00405303" w:rsidRDefault="003C22DB" w:rsidP="003C22DB">
      <w:pPr>
        <w:jc w:val="both"/>
        <w:rPr>
          <w:color w:val="0070C0"/>
          <w:sz w:val="16"/>
          <w:szCs w:val="16"/>
        </w:rPr>
      </w:pPr>
      <w:r w:rsidRPr="00405303">
        <w:rPr>
          <w:rStyle w:val="aa"/>
          <w:rFonts w:ascii="Times New Roman" w:hAnsi="Times New Roman"/>
          <w:color w:val="0070C0"/>
          <w:spacing w:val="0"/>
          <w:sz w:val="16"/>
          <w:szCs w:val="16"/>
        </w:rPr>
        <w:t>9 июля 1915 г.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надписью по-русски: „австрийским летчикам… героически погибшим 24 июня [ст. ст.] 1915 г. в воздушном бою“. Могилу также украшал венок из искусственных цветов с белой лентой и с надписью: „В восхищении вашей храбрости русский авиаотряд“» (25135).</w:t>
      </w:r>
    </w:p>
    <w:p w14:paraId="59ADE163" w14:textId="77777777" w:rsidR="003C22DB" w:rsidRPr="00405303" w:rsidRDefault="003C22DB" w:rsidP="003C22DB">
      <w:pPr>
        <w:jc w:val="both"/>
        <w:rPr>
          <w:color w:val="0070C0"/>
          <w:sz w:val="16"/>
          <w:szCs w:val="16"/>
        </w:rPr>
      </w:pPr>
    </w:p>
    <w:p w14:paraId="7EAC666E" w14:textId="77777777" w:rsidR="003C22DB" w:rsidRPr="00405303" w:rsidRDefault="003C22DB" w:rsidP="003C22DB">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24 июня (7 июля) 1915 г. на рассвете нашими артиллерийскими батареями в окрестностях г. Люблин был подбит неприятельский аэроплан. При падении на землю он загорелся. Один из летчиков погиб, другой отделался легкими ушибами и взят в плен (25135).</w:t>
      </w:r>
    </w:p>
    <w:p w14:paraId="36E29780" w14:textId="77777777" w:rsidR="003C22DB" w:rsidRPr="00405303" w:rsidRDefault="003C22DB" w:rsidP="003C22DB">
      <w:pPr>
        <w:jc w:val="both"/>
        <w:rPr>
          <w:rStyle w:val="aa"/>
          <w:rFonts w:ascii="Times New Roman" w:hAnsi="Times New Roman"/>
          <w:color w:val="0070C0"/>
          <w:spacing w:val="0"/>
          <w:sz w:val="16"/>
          <w:szCs w:val="16"/>
        </w:rPr>
      </w:pPr>
    </w:p>
    <w:p w14:paraId="4D3BEDFB" w14:textId="6EED46FF" w:rsidR="00CE794B" w:rsidRPr="00405303" w:rsidRDefault="00CE794B" w:rsidP="00C15251">
      <w:pPr>
        <w:jc w:val="both"/>
        <w:rPr>
          <w:bCs/>
          <w:color w:val="002060"/>
          <w:sz w:val="16"/>
          <w:szCs w:val="16"/>
        </w:rPr>
      </w:pPr>
      <w:r w:rsidRPr="00405303">
        <w:rPr>
          <w:bCs/>
          <w:color w:val="002060"/>
          <w:sz w:val="16"/>
          <w:szCs w:val="16"/>
        </w:rPr>
        <w:t>24 июня (7 июля) 1915 г. рано утром над г. Люблин был обнаружен цеппелин, направлявшийся в сторону Брест-Литовска. Встреченный сильным артиллерийским огнем, его экипаж изменил первоначальный план и сбросил на город несколько бомб, не причинившие особого вреда (23405).</w:t>
      </w:r>
      <w:bookmarkEnd w:id="171"/>
    </w:p>
    <w:p w14:paraId="0F25993E" w14:textId="77777777" w:rsidR="00CE794B" w:rsidRPr="00405303" w:rsidRDefault="00CE794B" w:rsidP="00C15251">
      <w:pPr>
        <w:jc w:val="both"/>
        <w:rPr>
          <w:bCs/>
          <w:color w:val="002060"/>
          <w:sz w:val="16"/>
          <w:szCs w:val="16"/>
        </w:rPr>
      </w:pPr>
    </w:p>
    <w:p w14:paraId="3E07145E"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30A53DE1" w14:textId="77777777" w:rsidR="004B4E35" w:rsidRPr="00405303" w:rsidRDefault="004B4E35" w:rsidP="00C15251">
      <w:pPr>
        <w:jc w:val="both"/>
        <w:rPr>
          <w:bCs/>
          <w:i/>
          <w:color w:val="002060"/>
          <w:sz w:val="16"/>
          <w:szCs w:val="16"/>
        </w:rPr>
      </w:pPr>
    </w:p>
    <w:p w14:paraId="4E43B183" w14:textId="00A893F5"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25 июня (7 июля) 1915 </w:t>
      </w:r>
      <w:r w:rsidR="00325D89" w:rsidRPr="00405303">
        <w:rPr>
          <w:bCs/>
          <w:i w:val="0"/>
          <w:color w:val="002060"/>
          <w:spacing w:val="0"/>
          <w:kern w:val="0"/>
          <w:position w:val="0"/>
          <w:sz w:val="16"/>
          <w:szCs w:val="16"/>
        </w:rPr>
        <w:t xml:space="preserve">г. </w:t>
      </w:r>
      <w:r w:rsidRPr="00405303">
        <w:rPr>
          <w:bCs/>
          <w:i w:val="0"/>
          <w:color w:val="002060"/>
          <w:spacing w:val="0"/>
          <w:kern w:val="0"/>
          <w:position w:val="0"/>
          <w:sz w:val="16"/>
          <w:szCs w:val="16"/>
        </w:rPr>
        <w:t>прошел I съезд ЦВПК. На этом заседании обсуждался проект положения о Центральном военно-промышленном комитете, который должен был придать созданным организациям юридический статус. В «Положении о военно-промышленных комитетах», утвержденном 27 августа 1915 г. царем, было записано, что эта организация создается «для содействия правительственным учреждениям в деле снабжения армии и флота всеми необходимыми предметами снаряжения и довольствия» и учреждаются «на время текущей войны». «Военно-промышленные комитеты являются общественными организациями, не преследующими коммерческих целей… Состав, средства, порядок деятельности и сношений центрального военно-промышленного комитета устанавливаются самим комитетом… Взаимоотношения правительственных учреждений с ВПК, содействующими им в деле снабжения армий и флота предметами снаряжения, определяются по ближайшему соглашению комитетов с подлежащими военными и гражданскими властями. Центральный ВПК имеет право приобретать всякого рода движимое и недвижимое имущество, вступать в договоры, как с частными лицами, так равно и с казенными и общественными учреждениями…» (11270).</w:t>
      </w:r>
    </w:p>
    <w:p w14:paraId="15FDC117" w14:textId="77777777" w:rsidR="004B4E35" w:rsidRPr="00405303" w:rsidRDefault="004B4E35" w:rsidP="00C15251">
      <w:pPr>
        <w:pStyle w:val="a3"/>
        <w:jc w:val="both"/>
        <w:rPr>
          <w:bCs/>
          <w:i w:val="0"/>
          <w:color w:val="002060"/>
          <w:spacing w:val="0"/>
          <w:kern w:val="0"/>
          <w:position w:val="0"/>
          <w:sz w:val="16"/>
          <w:szCs w:val="16"/>
        </w:rPr>
      </w:pPr>
    </w:p>
    <w:p w14:paraId="42E5424F" w14:textId="7FC3819D"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25 июня (7 июля) 1915 г. </w:t>
      </w:r>
      <w:r w:rsidR="00325D89" w:rsidRPr="00405303">
        <w:rPr>
          <w:bCs/>
          <w:i w:val="0"/>
          <w:color w:val="002060"/>
          <w:spacing w:val="0"/>
          <w:kern w:val="0"/>
          <w:position w:val="0"/>
          <w:sz w:val="16"/>
          <w:szCs w:val="16"/>
        </w:rPr>
        <w:t xml:space="preserve">состав ЦВПК на I съезде </w:t>
      </w:r>
      <w:r w:rsidRPr="00405303">
        <w:rPr>
          <w:bCs/>
          <w:i w:val="0"/>
          <w:color w:val="002060"/>
          <w:spacing w:val="0"/>
          <w:kern w:val="0"/>
          <w:position w:val="0"/>
          <w:sz w:val="16"/>
          <w:szCs w:val="16"/>
        </w:rPr>
        <w:t>был определен следующим образом: председатель и его заместитель (избираются на съезде представителей военно-промышленных комитетов), 10 представителей от Совета съездов, представителей торговли и промышленности, по 3 представителя от каждого областного ВПК, председателя отделов ЦВПК, по 3 председателя от Городского и Земского союзов, по 2 представителя от петроградского и московского городских самоуправлений, 5 представителей от Комитета военно-технической помощи, 2 представителя от сельскохозяйственной палаты, 10 представителей от рабочих. Ближайшее заведование делами Центрального комитета возлагалось на бюро. В бюро входили известные промышленники и деятели буржуазии: Изнар, Бубликов, Жуковский, фон-Дитмар, Маргулиес, Федоров, Нобель, Рябушинский… В течение июня 1915 г. при ЦВПК были сформированы следующие отделы: механический, металлургический, химический, перевозочный, продовольственный, по обеспечению рабочим составом, вещевой, по снабжению топливом, финансовый, врачебно-санитарный, изобретений, юридический, а впоследствии образовался еще авиационный (11270).</w:t>
      </w:r>
    </w:p>
    <w:p w14:paraId="702D97F4" w14:textId="77777777" w:rsidR="004B4E35" w:rsidRPr="00405303" w:rsidRDefault="004B4E35" w:rsidP="00C15251">
      <w:pPr>
        <w:pStyle w:val="a3"/>
        <w:jc w:val="both"/>
        <w:rPr>
          <w:bCs/>
          <w:i w:val="0"/>
          <w:color w:val="002060"/>
          <w:spacing w:val="0"/>
          <w:kern w:val="0"/>
          <w:position w:val="0"/>
          <w:sz w:val="16"/>
          <w:szCs w:val="16"/>
        </w:rPr>
      </w:pPr>
    </w:p>
    <w:p w14:paraId="202B61E1" w14:textId="2AC5B3D4"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25 июня (7 июля) 1915 г.</w:t>
      </w:r>
      <w:r w:rsidR="00325D89" w:rsidRPr="00405303">
        <w:rPr>
          <w:bCs/>
          <w:i w:val="0"/>
          <w:color w:val="002060"/>
          <w:spacing w:val="0"/>
          <w:kern w:val="0"/>
          <w:position w:val="0"/>
          <w:sz w:val="16"/>
          <w:szCs w:val="16"/>
        </w:rPr>
        <w:t xml:space="preserve"> Военно-промышленные комитеты, действовавшие до начала 1918 г. провели I съезд - учредительный —</w:t>
      </w:r>
      <w:r w:rsidRPr="00405303">
        <w:rPr>
          <w:bCs/>
          <w:i w:val="0"/>
          <w:color w:val="002060"/>
          <w:spacing w:val="0"/>
          <w:kern w:val="0"/>
          <w:position w:val="0"/>
          <w:sz w:val="16"/>
          <w:szCs w:val="16"/>
        </w:rPr>
        <w:t xml:space="preserve">, II — в феврале 1916 г., и III — в мае 1917 г. Но уже со II съезда в деле снабжения, равно как во всех вопросах, связанных с организацией народного хозяйства, борьба «общества» и «правительства» приняла резкие формы, и работа общественных организаций стала самодовлеющей, противопоставленной тому, что делали правительственные органы. Усиливается нажим царского правительства на военно-промышленные комитеты. Предлогом послужило невыполнение ВПК заказов. Для «ущемления» деятельности их использовались те же тактические приемы, что и в борьбе с Земгором. Правительство, учредив одновременно с ВПК, как общественными органами буржуазии, свои правительственные, чисто бюрократические «особые совещания» и опираясь на них, стремилось полностью взять в свои руки регулирование всего народного хозяйства в целях обороны, </w:t>
      </w:r>
      <w:proofErr w:type="gramStart"/>
      <w:r w:rsidRPr="00405303">
        <w:rPr>
          <w:bCs/>
          <w:i w:val="0"/>
          <w:color w:val="002060"/>
          <w:spacing w:val="0"/>
          <w:kern w:val="0"/>
          <w:position w:val="0"/>
          <w:sz w:val="16"/>
          <w:szCs w:val="16"/>
        </w:rPr>
        <w:t>и в частности</w:t>
      </w:r>
      <w:proofErr w:type="gramEnd"/>
      <w:r w:rsidRPr="00405303">
        <w:rPr>
          <w:bCs/>
          <w:i w:val="0"/>
          <w:color w:val="002060"/>
          <w:spacing w:val="0"/>
          <w:kern w:val="0"/>
          <w:position w:val="0"/>
          <w:sz w:val="16"/>
          <w:szCs w:val="16"/>
        </w:rPr>
        <w:t xml:space="preserve"> полностью подчинить себе мобилизованную и милитаризованную промышленность. Одновременно с этим царское правительство организовало в Лондоне особый правительственный комитет для передачи и распределения военных заказов заграничным фирмам.</w:t>
      </w:r>
    </w:p>
    <w:p w14:paraId="3B56C07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Недовольство правительства вызвало и требование, выдвигаемое лидерами военно-промышленных комитетов, создать ответственное министерство, отменить национальные ограничения, расширить права буржуазии, но даже эти очень скромные политические заявления буржуазии сочтены были царским правительством «опасными». Департамент полиции обвинил ЦВПК в «конституционных» устремлениях, угрожающих «государственному порядку», и считал нужным принять против ВПК «меры пресечения». Так, в декабре 1916 г., когда намечался созыв III съезда ВПК, постоянно со стороны правящих кругов чувствовалось давление, а на открытие съезда прибыл в сопровождении полиции чиновник петербургского градоначальника и заявил, что он будет присутствовать на съезде с целью контроля его деятельности. Съезд по предложению Коновалова, решил прекратить свою работу. Но сразу уничтожить военно-промышленные комитеты правительству не удалось, поэтому сначала военно-промышленные комитеты были поставлены под усиленный полицейский надзор. 4—18 июня 1916 г. состоялся ряд совещаний Совета министров в связи с проектом установления над ВПК надзора МВД и Военного Министерства. Совет министров единодушно констатировал, что военно-промышленные комитеты преследуют цели, несогласные с политикой правительства. А в январе 1917 г. правительство арестовало рабочую группу Центрального военно-промышленного комитета. В связи с обострением оппозиционной борьбы правительство начинает также резко сокращать заказы военно-промышленным комитетам. На 1 февраля 1916 г. механический отдел ЦВПК получил заказов на 129 млн рублей, а в течение целого года, с 1 февраля 1916 по 1 февраля 1917 г. — только на 41 млн рублей. Таким образом, к ноябрю 1916 г. заказы Центрального военно-промышленного комитета были исчерпаны. На заседании бюро ЦВПК от 7 ноября 1916 г. указывалось, что в случае неполучения новых заказов ряд заводов и мастерских вынуждены будут сократить свою работу и уволить несколько тысяч рабочих. Еще хуже обстояло дело с распределением заказов на местах. Здесь фактически обеспечить заказами ЦВПК смогли менее половины предприятий (11270).</w:t>
      </w:r>
    </w:p>
    <w:p w14:paraId="0A236DC1" w14:textId="77777777" w:rsidR="004B4E35" w:rsidRPr="00405303" w:rsidRDefault="004B4E35" w:rsidP="00C15251">
      <w:pPr>
        <w:pStyle w:val="a3"/>
        <w:jc w:val="both"/>
        <w:rPr>
          <w:bCs/>
          <w:i w:val="0"/>
          <w:color w:val="002060"/>
          <w:spacing w:val="0"/>
          <w:kern w:val="0"/>
          <w:position w:val="0"/>
          <w:sz w:val="16"/>
          <w:szCs w:val="16"/>
        </w:rPr>
      </w:pPr>
    </w:p>
    <w:p w14:paraId="31B6E499" w14:textId="24765EE2" w:rsidR="009109FF" w:rsidRPr="00405303" w:rsidRDefault="009109FF"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7015011B" w14:textId="77777777" w:rsidR="009109FF" w:rsidRPr="00405303" w:rsidRDefault="009109FF" w:rsidP="00C15251">
      <w:pPr>
        <w:pStyle w:val="a3"/>
        <w:jc w:val="both"/>
        <w:rPr>
          <w:bCs/>
          <w:color w:val="002060"/>
          <w:spacing w:val="0"/>
          <w:kern w:val="0"/>
          <w:position w:val="0"/>
          <w:sz w:val="16"/>
          <w:szCs w:val="16"/>
        </w:rPr>
      </w:pPr>
    </w:p>
    <w:p w14:paraId="70D84D36" w14:textId="77777777" w:rsidR="009109FF" w:rsidRPr="00405303" w:rsidRDefault="009109FF" w:rsidP="00C15251">
      <w:pPr>
        <w:jc w:val="both"/>
        <w:rPr>
          <w:bCs/>
          <w:color w:val="002060"/>
          <w:sz w:val="16"/>
          <w:szCs w:val="16"/>
        </w:rPr>
      </w:pPr>
      <w:r w:rsidRPr="00405303">
        <w:rPr>
          <w:bCs/>
          <w:color w:val="002060"/>
          <w:sz w:val="16"/>
          <w:szCs w:val="16"/>
        </w:rPr>
        <w:t>25 июня 1915 г. утром вблизи г. Радом огнем артиллерийского расчета сбит германский аэроплан. При приземлении его экипаж сжег свой аппарат и предпринял попытку скрыться, однако вскоре был пленен. Через день такая же участь постигла другой неприятельский самолет в полосе Северо-Западного фронта (район н/п Альт-Ауца Курляндской губ.).</w:t>
      </w:r>
    </w:p>
    <w:p w14:paraId="3516F9BE" w14:textId="77777777" w:rsidR="009109FF" w:rsidRPr="00405303" w:rsidRDefault="009109FF" w:rsidP="00C15251">
      <w:pPr>
        <w:jc w:val="both"/>
        <w:rPr>
          <w:bCs/>
          <w:color w:val="002060"/>
          <w:sz w:val="16"/>
          <w:szCs w:val="16"/>
        </w:rPr>
      </w:pPr>
      <w:bookmarkStart w:id="172" w:name="bookmark194"/>
      <w:bookmarkStart w:id="173" w:name="bookmark195"/>
      <w:r w:rsidRPr="00405303">
        <w:rPr>
          <w:bCs/>
          <w:color w:val="002060"/>
          <w:sz w:val="16"/>
          <w:szCs w:val="16"/>
        </w:rPr>
        <w:t>Несмотря на потери, ВВФ Германии и Австро-Венгрии продолжал держать в напряжении прифронтовую полосу русских войск, в первую очередь на центральном направлении (23405).</w:t>
      </w:r>
      <w:bookmarkEnd w:id="172"/>
      <w:bookmarkEnd w:id="173"/>
    </w:p>
    <w:p w14:paraId="4D77C1DE" w14:textId="77777777" w:rsidR="009109FF" w:rsidRPr="00405303" w:rsidRDefault="009109FF" w:rsidP="00C15251">
      <w:pPr>
        <w:jc w:val="both"/>
        <w:rPr>
          <w:bCs/>
          <w:color w:val="002060"/>
          <w:sz w:val="16"/>
          <w:szCs w:val="16"/>
          <w:lang w:bidi="ru-RU"/>
        </w:rPr>
      </w:pPr>
    </w:p>
    <w:p w14:paraId="3BB7FF33" w14:textId="77777777" w:rsidR="00C81B52" w:rsidRPr="00405303" w:rsidRDefault="00C81B52" w:rsidP="00C81B52">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В период 25-26 июня (8–9) июля 1915 г. неприятельские летчики бомбардировали тыловые учреждения наших войск, расположенных в г. Люблин, Холм, на ст. Малкин</w:t>
      </w:r>
      <w:hyperlink w:anchor="bookmark1271" w:tooltip="Current Document">
        <w:r w:rsidRPr="00405303">
          <w:rPr>
            <w:rStyle w:val="aa"/>
            <w:rFonts w:ascii="Times New Roman" w:hAnsi="Times New Roman"/>
            <w:color w:val="0070C0"/>
            <w:spacing w:val="0"/>
            <w:sz w:val="16"/>
            <w:szCs w:val="16"/>
          </w:rPr>
          <w:t>а (25135)</w:t>
        </w:r>
      </w:hyperlink>
      <w:r w:rsidRPr="00405303">
        <w:rPr>
          <w:color w:val="0070C0"/>
          <w:sz w:val="16"/>
          <w:szCs w:val="16"/>
        </w:rPr>
        <w:t>.</w:t>
      </w:r>
    </w:p>
    <w:p w14:paraId="1CC60F29" w14:textId="77777777" w:rsidR="00C81B52" w:rsidRPr="00405303" w:rsidRDefault="00C81B52" w:rsidP="00C81B52">
      <w:pPr>
        <w:jc w:val="both"/>
        <w:rPr>
          <w:rStyle w:val="aa"/>
          <w:rFonts w:ascii="Times New Roman" w:hAnsi="Times New Roman"/>
          <w:color w:val="0070C0"/>
          <w:spacing w:val="0"/>
          <w:sz w:val="16"/>
          <w:szCs w:val="16"/>
        </w:rPr>
      </w:pPr>
    </w:p>
    <w:p w14:paraId="0C363FA3" w14:textId="506C9174"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1833FE60" w14:textId="77777777" w:rsidR="004B4E35" w:rsidRPr="00405303" w:rsidRDefault="004B4E35" w:rsidP="00C15251">
      <w:pPr>
        <w:pStyle w:val="a3"/>
        <w:jc w:val="both"/>
        <w:rPr>
          <w:bCs/>
          <w:color w:val="002060"/>
          <w:spacing w:val="0"/>
          <w:kern w:val="0"/>
          <w:position w:val="0"/>
          <w:sz w:val="16"/>
          <w:szCs w:val="16"/>
        </w:rPr>
      </w:pPr>
    </w:p>
    <w:p w14:paraId="5DECC19C" w14:textId="3C5DC7D2" w:rsidR="004B4E35" w:rsidRPr="00405303" w:rsidRDefault="009E6F82" w:rsidP="00C15251">
      <w:pPr>
        <w:jc w:val="both"/>
        <w:rPr>
          <w:bCs/>
          <w:color w:val="002060"/>
          <w:sz w:val="16"/>
          <w:szCs w:val="16"/>
        </w:rPr>
      </w:pPr>
      <w:r w:rsidRPr="00405303">
        <w:rPr>
          <w:bCs/>
          <w:color w:val="002060"/>
          <w:sz w:val="16"/>
          <w:szCs w:val="16"/>
        </w:rPr>
        <w:t xml:space="preserve">26 июня (9 июля) </w:t>
      </w:r>
      <w:r w:rsidR="00325D89" w:rsidRPr="00405303">
        <w:rPr>
          <w:bCs/>
          <w:color w:val="002060"/>
          <w:sz w:val="16"/>
          <w:szCs w:val="16"/>
        </w:rPr>
        <w:t>н</w:t>
      </w:r>
      <w:r w:rsidRPr="00405303">
        <w:rPr>
          <w:bCs/>
          <w:color w:val="002060"/>
          <w:sz w:val="16"/>
          <w:szCs w:val="16"/>
        </w:rPr>
        <w:t>еплохой зажигательный снаряд для метания с аэропланов удалось изготовить инженеру Голубу. Первые зажигательные бомбы изготовлялись с применением белого фосфора. Острый дефицит этого химического элемента заставил искать заменители. Военно-промышленный комитет Москвы обратился к приват-доценту Московского университета Е. И. Шпитальскому с просьбой добиться получения белого фосфора из красного. Ученый изготовил 50 авиабомб небольшого размера, не требующих фосфора. 27 июня 1915 г. они были переданы в распоряжение командира авиаотряда при 1-й армии капитана Медведева.</w:t>
      </w:r>
    </w:p>
    <w:p w14:paraId="5ECC57A9" w14:textId="77777777" w:rsidR="004B4E35" w:rsidRPr="00405303" w:rsidRDefault="009E6F82" w:rsidP="00C15251">
      <w:pPr>
        <w:jc w:val="both"/>
        <w:rPr>
          <w:bCs/>
          <w:color w:val="002060"/>
          <w:sz w:val="16"/>
          <w:szCs w:val="16"/>
        </w:rPr>
      </w:pPr>
      <w:r w:rsidRPr="00405303">
        <w:rPr>
          <w:bCs/>
          <w:color w:val="002060"/>
          <w:sz w:val="16"/>
          <w:szCs w:val="16"/>
        </w:rPr>
        <w:t>Испытание авиабомб в боевой обстановке дало положительные результаты.</w:t>
      </w:r>
    </w:p>
    <w:p w14:paraId="604BCE00" w14:textId="77777777" w:rsidR="004B4E35" w:rsidRPr="00405303" w:rsidRDefault="009E6F82" w:rsidP="00C15251">
      <w:pPr>
        <w:jc w:val="both"/>
        <w:rPr>
          <w:bCs/>
          <w:color w:val="002060"/>
          <w:sz w:val="16"/>
          <w:szCs w:val="16"/>
        </w:rPr>
      </w:pPr>
      <w:r w:rsidRPr="00405303">
        <w:rPr>
          <w:bCs/>
          <w:color w:val="002060"/>
          <w:sz w:val="16"/>
          <w:szCs w:val="16"/>
        </w:rPr>
        <w:t>Заведующий авиацией и воздухоплаванием в действующей армии в июле 1915 г. обратился к профессору Жуковскому с просьбой изыскать способы изготовления зажигательных снарядов малого и большого калибра. Для оргаии- зации опытов ГВТУ отпустило в его распоряжение 1500 рублей. К решению задачи Жуковский привлек своих учеников: Б. Н. Юрьева, Б. С. Стечкина, В. П. Ветчинкина и др. 14 сентября 1915 г. был составлен отчет об этих испытаниях (11999).</w:t>
      </w:r>
    </w:p>
    <w:p w14:paraId="572ACD82" w14:textId="77777777" w:rsidR="004B4E35" w:rsidRPr="00405303" w:rsidRDefault="004B4E35" w:rsidP="00C15251">
      <w:pPr>
        <w:jc w:val="both"/>
        <w:rPr>
          <w:bCs/>
          <w:color w:val="002060"/>
          <w:sz w:val="16"/>
          <w:szCs w:val="16"/>
        </w:rPr>
      </w:pPr>
    </w:p>
    <w:p w14:paraId="201AE991"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Другие оборонные отрасли:</w:t>
      </w:r>
    </w:p>
    <w:p w14:paraId="437F2463" w14:textId="77777777" w:rsidR="004B4E35" w:rsidRPr="00405303" w:rsidRDefault="004B4E35" w:rsidP="00C15251">
      <w:pPr>
        <w:pStyle w:val="a3"/>
        <w:jc w:val="both"/>
        <w:rPr>
          <w:bCs/>
          <w:color w:val="002060"/>
          <w:spacing w:val="0"/>
          <w:kern w:val="0"/>
          <w:position w:val="0"/>
          <w:sz w:val="16"/>
          <w:szCs w:val="16"/>
        </w:rPr>
      </w:pPr>
    </w:p>
    <w:p w14:paraId="1C75B48A" w14:textId="11C5E863"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26 июня (9 июля) </w:t>
      </w:r>
      <w:r w:rsidR="00325D89" w:rsidRPr="00405303">
        <w:rPr>
          <w:bCs/>
          <w:i w:val="0"/>
          <w:color w:val="002060"/>
          <w:spacing w:val="0"/>
          <w:kern w:val="0"/>
          <w:position w:val="0"/>
          <w:sz w:val="16"/>
          <w:szCs w:val="16"/>
        </w:rPr>
        <w:t xml:space="preserve">1915 г. </w:t>
      </w:r>
      <w:r w:rsidRPr="00405303">
        <w:rPr>
          <w:bCs/>
          <w:i w:val="0"/>
          <w:color w:val="002060"/>
          <w:spacing w:val="0"/>
          <w:kern w:val="0"/>
          <w:position w:val="0"/>
          <w:sz w:val="16"/>
          <w:szCs w:val="16"/>
        </w:rPr>
        <w:t xml:space="preserve">ген. Гермониус донес, что в пятом заседании комиссии вновь обсуждался вопрос о распределении русских заказов между американскими заводами, причем существенную роль в разрешении вопросов играли представители Моргана. При этом председатель английской комиссии предложил спросить верховного главнокомандующего, нужно ли еще заказывать снаряды сверх тех, о которых уже было условлено. Ген. Гермониус высказался, что подобное предложение не должно исходить от комиссии, так как ничего похожего на попечительство о русском снабжении не должно исходить от английского военного министерства. Тогда председатель заявил, что телеграмма будет послана от имени лорда Китченера. </w:t>
      </w:r>
    </w:p>
    <w:p w14:paraId="6A9BE40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Таким образом, лорд Китченер окончательно сделал это дело своей монополией, отстранив от обсуждения вопроса даже ген. Гермониуса и сносясь только со Ставкой верховного главнокомандующего. </w:t>
      </w:r>
    </w:p>
    <w:p w14:paraId="7987CED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дальнейшем против этой опеки Англии старалось бороться и Особое совещание по обороне государства, но толку из этого вышло также мало, ибо, очутившись в положении бедной приживалки у богатых родственников, царская Россия могла только делать вид протестующей, на самом же деле с нею считались очень мало. </w:t>
      </w:r>
    </w:p>
    <w:p w14:paraId="6A16CFF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Вскоре по делам "несостоятельной" России образовался целый "опекунский совет" союзниц, который и выделил в январе 1917 г. своих представителей на Межсоюзную конференцию в Петрограде, чтобы окончательно решить, как обойтись с назойливыми просьбами русских властей о разного рода "вспомоществованиях". Результаты этой конференции помещены в особом отчете, о котором неоднократно будет упоминаться. </w:t>
      </w:r>
    </w:p>
    <w:p w14:paraId="08352A0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Странное поведение Ставки в 1915 г. в отношении заказов боевых припасов за границей возможно объяснить, с одной стороны, политическими соображениями Ставки, всячески заискивавшей у "союзников", с другой стороны, растерянностью Ставки и боязнью проиграть войну из-за недостатка снарядов (11483).</w:t>
      </w:r>
    </w:p>
    <w:p w14:paraId="7A9AD6BD" w14:textId="77777777" w:rsidR="004B4E35" w:rsidRPr="00405303" w:rsidRDefault="004B4E35" w:rsidP="00C15251">
      <w:pPr>
        <w:pStyle w:val="a3"/>
        <w:jc w:val="both"/>
        <w:rPr>
          <w:bCs/>
          <w:i w:val="0"/>
          <w:color w:val="002060"/>
          <w:spacing w:val="0"/>
          <w:kern w:val="0"/>
          <w:position w:val="0"/>
          <w:sz w:val="16"/>
          <w:szCs w:val="16"/>
        </w:rPr>
      </w:pPr>
    </w:p>
    <w:p w14:paraId="12A0D2E0" w14:textId="39AF7ED3" w:rsidR="004B4E35" w:rsidRPr="00405303" w:rsidRDefault="009E6F82" w:rsidP="00C15251">
      <w:pPr>
        <w:jc w:val="both"/>
        <w:rPr>
          <w:bCs/>
          <w:color w:val="002060"/>
          <w:sz w:val="16"/>
          <w:szCs w:val="16"/>
        </w:rPr>
      </w:pPr>
      <w:r w:rsidRPr="00405303">
        <w:rPr>
          <w:bCs/>
          <w:color w:val="002060"/>
          <w:sz w:val="16"/>
          <w:szCs w:val="16"/>
        </w:rPr>
        <w:t xml:space="preserve">26 июня </w:t>
      </w:r>
      <w:r w:rsidR="00325D89" w:rsidRPr="00405303">
        <w:rPr>
          <w:bCs/>
          <w:color w:val="002060"/>
          <w:sz w:val="16"/>
          <w:szCs w:val="16"/>
        </w:rPr>
        <w:t xml:space="preserve">(9 июля) </w:t>
      </w:r>
      <w:r w:rsidRPr="00405303">
        <w:rPr>
          <w:bCs/>
          <w:color w:val="002060"/>
          <w:sz w:val="16"/>
          <w:szCs w:val="16"/>
        </w:rPr>
        <w:t xml:space="preserve">1915 г. </w:t>
      </w:r>
      <w:r w:rsidR="009E4EDB" w:rsidRPr="00405303">
        <w:rPr>
          <w:bCs/>
          <w:color w:val="002060"/>
          <w:sz w:val="16"/>
          <w:szCs w:val="16"/>
        </w:rPr>
        <w:t>Приказом командира Петроградского пор та контр-адмирала А.Г. Бутакова № 355 Радиотелеграфное депо, объединенное с мастерской и радиотелеграфной лабораторией, объединенные в единое предприятие (ЦГА СПб., ф. 945, оп. 6, л. 1.)</w:t>
      </w:r>
      <w:r w:rsidRPr="00405303">
        <w:rPr>
          <w:bCs/>
          <w:color w:val="002060"/>
          <w:sz w:val="16"/>
          <w:szCs w:val="16"/>
        </w:rPr>
        <w:t xml:space="preserve"> получа</w:t>
      </w:r>
      <w:r w:rsidR="009E4EDB" w:rsidRPr="00405303">
        <w:rPr>
          <w:bCs/>
          <w:color w:val="002060"/>
          <w:sz w:val="16"/>
          <w:szCs w:val="16"/>
        </w:rPr>
        <w:t>ю</w:t>
      </w:r>
      <w:r w:rsidRPr="00405303">
        <w:rPr>
          <w:bCs/>
          <w:color w:val="002060"/>
          <w:sz w:val="16"/>
          <w:szCs w:val="16"/>
        </w:rPr>
        <w:t>т наименование - «Радиотелеграфный завод Морского ведомства» (Глущенко А.А. Указ. соч. С. 321.).</w:t>
      </w:r>
    </w:p>
    <w:p w14:paraId="3EC69DD6" w14:textId="7E9EBC37" w:rsidR="004B4E35" w:rsidRPr="00405303" w:rsidRDefault="009E6F82" w:rsidP="00C15251">
      <w:pPr>
        <w:jc w:val="both"/>
        <w:rPr>
          <w:bCs/>
          <w:color w:val="002060"/>
          <w:sz w:val="16"/>
          <w:szCs w:val="16"/>
        </w:rPr>
      </w:pPr>
      <w:r w:rsidRPr="00405303">
        <w:rPr>
          <w:bCs/>
          <w:color w:val="002060"/>
          <w:sz w:val="16"/>
          <w:szCs w:val="16"/>
        </w:rPr>
        <w:t>Радиотелеграфный завод был почти единственным местом, где развивалась самостоятельная русская научная мысль в области радиотехники. Вопросами ра диовооружения флота здесь занимались крупнейшие отечественные радиоспе циалисты: М.В. Шулейкин (с осени 1914 г. по март 1918 г. – начальник лабора</w:t>
      </w:r>
      <w:r w:rsidR="000F5756">
        <w:rPr>
          <w:bCs/>
          <w:color w:val="002060"/>
          <w:sz w:val="16"/>
          <w:szCs w:val="16"/>
        </w:rPr>
        <w:t xml:space="preserve"> </w:t>
      </w:r>
      <w:r w:rsidRPr="00405303">
        <w:rPr>
          <w:bCs/>
          <w:color w:val="002060"/>
          <w:sz w:val="16"/>
          <w:szCs w:val="16"/>
        </w:rPr>
        <w:t>тории завода), Н.Н. Циклинский, А.А. Петровский, Л.Д. Исаков, В.А. Габель, В.И. Волынкин и др (Михаил Васильевич Шулейкин: Сб. статей / Под ред. Б.А. Введенского. - М.: Сов.радио, 1952. С. 25.).</w:t>
      </w:r>
    </w:p>
    <w:p w14:paraId="64A1F900" w14:textId="77777777" w:rsidR="004B4E35" w:rsidRPr="00405303" w:rsidRDefault="009E6F82" w:rsidP="00C15251">
      <w:pPr>
        <w:jc w:val="both"/>
        <w:rPr>
          <w:bCs/>
          <w:color w:val="002060"/>
          <w:sz w:val="16"/>
          <w:szCs w:val="16"/>
        </w:rPr>
      </w:pPr>
      <w:r w:rsidRPr="00405303">
        <w:rPr>
          <w:bCs/>
          <w:color w:val="002060"/>
          <w:sz w:val="16"/>
          <w:szCs w:val="16"/>
        </w:rPr>
        <w:t>В годы Первой мировой войны завод осуществлял снабжение и вооруже ние флота радиосредствами. Пик производства пришелся на 1916 г., когда на предприятии было произведено 77 передающих и 300 приемных радиостанций, около 500 мелких радиоприборов и осуществлена установка 30 станций (ЦГА СПб., ф. 945, оп. 3, д. 2, л. 53.).</w:t>
      </w:r>
    </w:p>
    <w:p w14:paraId="34DA622C" w14:textId="77777777" w:rsidR="004B4E35" w:rsidRPr="00405303" w:rsidRDefault="009E6F82" w:rsidP="00C15251">
      <w:pPr>
        <w:jc w:val="both"/>
        <w:rPr>
          <w:bCs/>
          <w:color w:val="002060"/>
          <w:sz w:val="16"/>
          <w:szCs w:val="16"/>
        </w:rPr>
      </w:pPr>
      <w:r w:rsidRPr="00405303">
        <w:rPr>
          <w:bCs/>
          <w:color w:val="002060"/>
          <w:sz w:val="16"/>
          <w:szCs w:val="16"/>
        </w:rPr>
        <w:t>После революции завод перешел в ведение Морского отдела Технического производственного управления Главного управления военной промышленности (ГУВП) (ЦГА СПб., ф. 945, оп. 3, д. 2, л. 29.). 9 февраля 1923 г. приказом по ГУВП предприятие получило наимено вание - «Петроградский радиотелеграфный завод им. Коминтерна» (ЦГА СПб., ф. 945, оп. 3, д. 2, л. 13.).</w:t>
      </w:r>
    </w:p>
    <w:p w14:paraId="38F4FE69" w14:textId="77777777" w:rsidR="004B4E35" w:rsidRPr="00405303" w:rsidRDefault="009E6F82" w:rsidP="00C15251">
      <w:pPr>
        <w:jc w:val="both"/>
        <w:rPr>
          <w:bCs/>
          <w:color w:val="002060"/>
          <w:sz w:val="16"/>
          <w:szCs w:val="16"/>
        </w:rPr>
      </w:pPr>
      <w:r w:rsidRPr="00405303">
        <w:rPr>
          <w:bCs/>
          <w:color w:val="002060"/>
          <w:sz w:val="16"/>
          <w:szCs w:val="16"/>
        </w:rPr>
        <w:t>Организатором еще одного отечественного радиотехнического предпри ятия был С. М. Айзенштейн. В 1908 г. он подал в Министерство торговли про шение об учреждении «Общества беспроволочных телеграфов и телефонов», а 3 октября этого же года император Николай II рассмотрел и утвердил устав нового общества (Глущенко А.А. Указ. соч. С. 379.).</w:t>
      </w:r>
    </w:p>
    <w:p w14:paraId="29D0E67A" w14:textId="77777777" w:rsidR="004B4E35" w:rsidRPr="00405303" w:rsidRDefault="009E6F82" w:rsidP="00C15251">
      <w:pPr>
        <w:jc w:val="both"/>
        <w:rPr>
          <w:bCs/>
          <w:color w:val="002060"/>
          <w:sz w:val="16"/>
          <w:szCs w:val="16"/>
        </w:rPr>
      </w:pPr>
      <w:r w:rsidRPr="00405303">
        <w:rPr>
          <w:bCs/>
          <w:color w:val="002060"/>
          <w:sz w:val="16"/>
          <w:szCs w:val="16"/>
        </w:rPr>
        <w:t>Общество выполняло заказы правительственных ведомств на изготовление, установку и ввод в эксплуатацию связных радиостанций. Оно имело собствен ные мастерские, а в 1909 г. построило в Петербурге специализированный завод на Лопухинской ул. (ныне ул. академика Павлова), д. 14а, директором которого стал С.М. Айзенштейн. Завод не только обеспечивал текущие потребности про изводства – там велись научные исследования и разработки. Одной из первых разработок Общества была полевая искровая радиостанция, установленная на четырех двуколках. Она обеспечивала уверенную связь на расстоянии 150 верст.</w:t>
      </w:r>
    </w:p>
    <w:p w14:paraId="4E26921D" w14:textId="77777777" w:rsidR="004B4E35" w:rsidRPr="00405303" w:rsidRDefault="009E6F82" w:rsidP="00C15251">
      <w:pPr>
        <w:jc w:val="both"/>
        <w:rPr>
          <w:bCs/>
          <w:color w:val="002060"/>
          <w:sz w:val="16"/>
          <w:szCs w:val="16"/>
        </w:rPr>
      </w:pPr>
      <w:r w:rsidRPr="00405303">
        <w:rPr>
          <w:bCs/>
          <w:color w:val="002060"/>
          <w:sz w:val="16"/>
          <w:szCs w:val="16"/>
        </w:rPr>
        <w:t>Аналогичная радиостанция компании Г. Маркони размещалась на 14 двуколках и обеспечивала связь на 45 верст. В 1910 г. Общество переименовывается в «Русское общество беспроволочных телеграфов и телефонов» (РОБТиТ).</w:t>
      </w:r>
    </w:p>
    <w:p w14:paraId="38C03A6D" w14:textId="77777777" w:rsidR="004B4E35" w:rsidRPr="00405303" w:rsidRDefault="009E6F82" w:rsidP="00C15251">
      <w:pPr>
        <w:jc w:val="both"/>
        <w:rPr>
          <w:bCs/>
          <w:color w:val="002060"/>
          <w:sz w:val="16"/>
          <w:szCs w:val="16"/>
        </w:rPr>
      </w:pPr>
      <w:r w:rsidRPr="00405303">
        <w:rPr>
          <w:bCs/>
          <w:color w:val="002060"/>
          <w:sz w:val="16"/>
          <w:szCs w:val="16"/>
        </w:rPr>
        <w:t>Для укрепления финансового состояния предприятия и его позиций на рынке в октябре 1911 г. РОБТиТ заключает договор с компанией Г. Маркони об обмене патентами и покупке этой компанией части акций РОБТиТ. Причем сам Г. Маркони получил право войти в состав правления общества (Гончаров В.Б., Петкау О.Г. Старейшее радиотехническое предприятие Санкт-Петербурга // Электросвязь. - 2003. - № 10. - С. 44.).</w:t>
      </w:r>
    </w:p>
    <w:p w14:paraId="418E43E9" w14:textId="77777777" w:rsidR="004B4E35" w:rsidRPr="00405303" w:rsidRDefault="009E6F82" w:rsidP="00C15251">
      <w:pPr>
        <w:jc w:val="both"/>
        <w:rPr>
          <w:bCs/>
          <w:color w:val="002060"/>
          <w:sz w:val="16"/>
          <w:szCs w:val="16"/>
        </w:rPr>
      </w:pPr>
      <w:r w:rsidRPr="00405303">
        <w:rPr>
          <w:bCs/>
          <w:color w:val="002060"/>
          <w:sz w:val="16"/>
          <w:szCs w:val="16"/>
        </w:rPr>
        <w:t xml:space="preserve">В годы Первой мировой войны РОБТиТ разработало обширную номенкла туру радиотехнического оборудования. Апогеем деятельности общества явилось строительство и ввод в действие в 1914-1915 гг. двух передающих радиостанций мощностью 300 кВт (в Царском Село и на Ходынском поле в Москве) и </w:t>
      </w:r>
      <w:proofErr w:type="gramStart"/>
      <w:r w:rsidRPr="00405303">
        <w:rPr>
          <w:bCs/>
          <w:color w:val="002060"/>
          <w:sz w:val="16"/>
          <w:szCs w:val="16"/>
        </w:rPr>
        <w:t>отдель ной</w:t>
      </w:r>
      <w:proofErr w:type="gramEnd"/>
      <w:r w:rsidRPr="00405303">
        <w:rPr>
          <w:bCs/>
          <w:color w:val="002060"/>
          <w:sz w:val="16"/>
          <w:szCs w:val="16"/>
        </w:rPr>
        <w:t xml:space="preserve"> приемной радиостанции в Твери, обеспечивавших связь России со своими союзниками по Антанте (Глущенко А.А. Указ. соч).</w:t>
      </w:r>
    </w:p>
    <w:p w14:paraId="09D01318" w14:textId="77777777" w:rsidR="004B4E35" w:rsidRPr="00405303" w:rsidRDefault="009E6F82" w:rsidP="00C15251">
      <w:pPr>
        <w:jc w:val="both"/>
        <w:rPr>
          <w:bCs/>
          <w:color w:val="002060"/>
          <w:sz w:val="16"/>
          <w:szCs w:val="16"/>
        </w:rPr>
      </w:pPr>
      <w:r w:rsidRPr="00405303">
        <w:rPr>
          <w:bCs/>
          <w:color w:val="002060"/>
          <w:sz w:val="16"/>
          <w:szCs w:val="16"/>
        </w:rPr>
        <w:t>В РОБТиТ, кроме самого С. М. Айзенштейна, работали многие талантли вые отечественные радиотехники и инженеры – Н.Н. Дмитриев, Р.В. Львович, Н.Д. Папалекси, И.Ю. Шейнберг, В.В. Ширков и др. В числе новаторских работ следует упомянуть об опытах по установлению радиосвязи с подводными лод ками и опытах по радиотелефонии (С.М. Айзенштейн), а также о разработке пер вых отечественных радиоламп – катодных реле (Н.Д. Папалекси).</w:t>
      </w:r>
    </w:p>
    <w:p w14:paraId="0E794435" w14:textId="77777777" w:rsidR="004B4E35" w:rsidRPr="00405303" w:rsidRDefault="009E6F82" w:rsidP="00C15251">
      <w:pPr>
        <w:jc w:val="both"/>
        <w:rPr>
          <w:bCs/>
          <w:color w:val="002060"/>
          <w:sz w:val="16"/>
          <w:szCs w:val="16"/>
        </w:rPr>
      </w:pPr>
      <w:r w:rsidRPr="00405303">
        <w:rPr>
          <w:bCs/>
          <w:color w:val="002060"/>
          <w:sz w:val="16"/>
          <w:szCs w:val="16"/>
        </w:rPr>
        <w:t>В условиях значительного спроса оборонных ведомств на радиотехниче ские изделия, РОБТиТ идет на расширение номенклатуры выпускаемых изделий, для чего требовалось расширение имеемых производственных площадей. С этой целью в 1916 г. предприятие строит в Москве (на Шаболовке) мастерские по производству электродвигателей и учреждает свое представительство. В конце 1917 – начале 1918 гг. Общество эвакуирует из Петрограда в Москву заводскую лабораторию, значительную часть оборудования и находившие на складе гото вые изделия. Оставшееся в Петрограде оборудование было законсервировано.</w:t>
      </w:r>
    </w:p>
    <w:p w14:paraId="5D3A597A" w14:textId="77777777" w:rsidR="004B4E35" w:rsidRPr="00405303" w:rsidRDefault="009E6F82" w:rsidP="00C15251">
      <w:pPr>
        <w:jc w:val="both"/>
        <w:rPr>
          <w:bCs/>
          <w:color w:val="002060"/>
          <w:sz w:val="16"/>
          <w:szCs w:val="16"/>
        </w:rPr>
      </w:pPr>
      <w:r w:rsidRPr="00405303">
        <w:rPr>
          <w:bCs/>
          <w:color w:val="002060"/>
          <w:sz w:val="16"/>
          <w:szCs w:val="16"/>
        </w:rPr>
        <w:t>Декретом Совета народных комиссаров от 28 марта 1918 г. завод РОБТиТ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 ский радиоаппаратный завод.</w:t>
      </w:r>
    </w:p>
    <w:p w14:paraId="22878E50" w14:textId="77777777" w:rsidR="004B4E35" w:rsidRPr="00405303" w:rsidRDefault="009E6F82" w:rsidP="00C15251">
      <w:pPr>
        <w:jc w:val="both"/>
        <w:rPr>
          <w:bCs/>
          <w:color w:val="002060"/>
          <w:sz w:val="16"/>
          <w:szCs w:val="16"/>
        </w:rPr>
      </w:pPr>
      <w:r w:rsidRPr="00405303">
        <w:rPr>
          <w:bCs/>
          <w:color w:val="002060"/>
          <w:sz w:val="16"/>
          <w:szCs w:val="16"/>
        </w:rPr>
        <w:t>Кроме вышеперечисленных заводов, составлявших ядро электротехниче ской промышленности слабых токов, производственно-исследовательские рабо ты в области средств связи, в первую очередь для нужд Военного ведомства, проводились на других промышленных объектах и в научно-исследовательских учреждениях (НИУ) Петербурга-Петрограда.</w:t>
      </w:r>
    </w:p>
    <w:p w14:paraId="456B699B" w14:textId="77777777" w:rsidR="004B4E35" w:rsidRPr="00405303" w:rsidRDefault="009E6F82" w:rsidP="00C15251">
      <w:pPr>
        <w:jc w:val="both"/>
        <w:rPr>
          <w:bCs/>
          <w:color w:val="002060"/>
          <w:sz w:val="16"/>
          <w:szCs w:val="16"/>
        </w:rPr>
      </w:pPr>
      <w:r w:rsidRPr="00405303">
        <w:rPr>
          <w:bCs/>
          <w:color w:val="002060"/>
          <w:sz w:val="16"/>
          <w:szCs w:val="16"/>
        </w:rPr>
        <w:t xml:space="preserve">Среди них необходимо отметить существовавшую в Петербурге </w:t>
      </w:r>
      <w:proofErr w:type="gramStart"/>
      <w:r w:rsidRPr="00405303">
        <w:rPr>
          <w:bCs/>
          <w:color w:val="002060"/>
          <w:sz w:val="16"/>
          <w:szCs w:val="16"/>
        </w:rPr>
        <w:t>при</w:t>
      </w:r>
      <w:proofErr w:type="gramEnd"/>
      <w:r w:rsidRPr="00405303">
        <w:rPr>
          <w:bCs/>
          <w:color w:val="002060"/>
          <w:sz w:val="16"/>
          <w:szCs w:val="16"/>
        </w:rPr>
        <w:t xml:space="preserve"> Ни колаевском военно-инженерном училище (Архив Военно-исторического музея артиллерии, инженерных войск и войск связи (архив ВИМАИВиВС), ф. 60р, оп. 1, д. 34, л. 2.) Военную электротехническую школу, которая с 1911 года стала называться Офицерской электротехнической школой (ОЭШ). Наряду с подготовкой специалистов для подразделений связи русской армии, в радиокабинете этой школы велись исследовательские работы (Центральная радиолаборатория в Ленинграде. [Очерк истории ЦРЛ – ИРПА] / Под ред. И.В. Бренева. – М.: Сов. радио, 1973. С. 13.).</w:t>
      </w:r>
    </w:p>
    <w:p w14:paraId="44BF3148" w14:textId="77777777" w:rsidR="004B4E35" w:rsidRPr="00405303" w:rsidRDefault="009E6F82" w:rsidP="00C15251">
      <w:pPr>
        <w:jc w:val="both"/>
        <w:rPr>
          <w:bCs/>
          <w:color w:val="002060"/>
          <w:sz w:val="16"/>
          <w:szCs w:val="16"/>
        </w:rPr>
      </w:pPr>
      <w:r w:rsidRPr="00405303">
        <w:rPr>
          <w:bCs/>
          <w:color w:val="002060"/>
          <w:sz w:val="16"/>
          <w:szCs w:val="16"/>
        </w:rPr>
        <w:t>В 1904 г. здесь была осуществлена модернизация первых армейских ра диостанций, разработанных под руководством А.С. Попова, для эксплуатации в полевых условиях (Члиянц Г. Из истории становления отечественной военной радиосвязи // Радиомир.КВ и УКВ. - 2002. - № 12. - С. 2.), а в 1911 г. была впервые разработана самолетная радиостан ция, которая в конце 1915 г. стала поступать на вооружение армии (Тележный Б.Г. Развитие радиосвязи в российской армии в период русско-японской и пер вой мировой войн // Электросвязь. - 2002. - № 2. - С. 47.).</w:t>
      </w:r>
    </w:p>
    <w:p w14:paraId="75D2660E" w14:textId="77777777" w:rsidR="004B4E35" w:rsidRPr="00405303" w:rsidRDefault="009E6F82" w:rsidP="00C15251">
      <w:pPr>
        <w:jc w:val="both"/>
        <w:rPr>
          <w:bCs/>
          <w:color w:val="002060"/>
          <w:sz w:val="16"/>
          <w:szCs w:val="16"/>
        </w:rPr>
      </w:pPr>
      <w:r w:rsidRPr="00405303">
        <w:rPr>
          <w:bCs/>
          <w:color w:val="002060"/>
          <w:sz w:val="16"/>
          <w:szCs w:val="16"/>
        </w:rPr>
        <w:t xml:space="preserve">Весной 1918 г. в связи с военной угрозой ОЭШ вместе с личным составом и имуществом была эвакуирована из Петрограда. Новым местом дислокации Офицерских курсов стал Сергиев Посад, а Запасного батальона и радиокабинета - Саратов. Впоследствии эти подразделения ОЭШ стали базой для </w:t>
      </w:r>
      <w:proofErr w:type="gramStart"/>
      <w:r w:rsidRPr="00405303">
        <w:rPr>
          <w:bCs/>
          <w:color w:val="002060"/>
          <w:sz w:val="16"/>
          <w:szCs w:val="16"/>
        </w:rPr>
        <w:t>создания</w:t>
      </w:r>
      <w:proofErr w:type="gramEnd"/>
      <w:r w:rsidRPr="00405303">
        <w:rPr>
          <w:bCs/>
          <w:color w:val="002060"/>
          <w:sz w:val="16"/>
          <w:szCs w:val="16"/>
        </w:rPr>
        <w:t xml:space="preserve"> но вых учреждений, работавших в области военной связи. Офицерские курсы 8 ноября 1919 г. приказом РВС были преобразованы в Высшую военную электротех ническую школу комсостава РККА (Архив ВИМАИВиВС, ф. 60р, оп. 1, д. 74, л. 5.), впоследствии ставшую известной как Во енная ордена Ленина Краснознаменная академия связи им. С.М. Буденного. На базе радиокабинета в Москве была создана Военная радиотехническая лаборатория, в свою очередь ставшая </w:t>
      </w:r>
      <w:proofErr w:type="gramStart"/>
      <w:r w:rsidRPr="00405303">
        <w:rPr>
          <w:bCs/>
          <w:color w:val="002060"/>
          <w:sz w:val="16"/>
          <w:szCs w:val="16"/>
        </w:rPr>
        <w:t>прообразом Научно</w:t>
      </w:r>
      <w:proofErr w:type="gramEnd"/>
      <w:r w:rsidRPr="00405303">
        <w:rPr>
          <w:bCs/>
          <w:color w:val="002060"/>
          <w:sz w:val="16"/>
          <w:szCs w:val="16"/>
        </w:rPr>
        <w:t>- испытательного института свя зи (НИИС) Рабоче-крестьянской Красной Армии (РККА).</w:t>
      </w:r>
    </w:p>
    <w:p w14:paraId="23A20B31" w14:textId="77777777" w:rsidR="004B4E35" w:rsidRPr="00405303" w:rsidRDefault="009E6F82" w:rsidP="00C15251">
      <w:pPr>
        <w:jc w:val="both"/>
        <w:rPr>
          <w:bCs/>
          <w:color w:val="002060"/>
          <w:sz w:val="16"/>
          <w:szCs w:val="16"/>
        </w:rPr>
      </w:pPr>
      <w:r w:rsidRPr="00405303">
        <w:rPr>
          <w:bCs/>
          <w:color w:val="002060"/>
          <w:sz w:val="16"/>
          <w:szCs w:val="16"/>
        </w:rPr>
        <w:t>Анализ процесса зарождения и развития отечественной базы производства средств связи, прежде всего петербургско-петроградской, позволяет прийти к некоторым принципиальным выводам.</w:t>
      </w:r>
    </w:p>
    <w:p w14:paraId="1A94240E" w14:textId="77777777" w:rsidR="004B4E35" w:rsidRPr="00405303" w:rsidRDefault="009E6F82" w:rsidP="00C15251">
      <w:pPr>
        <w:jc w:val="both"/>
        <w:rPr>
          <w:bCs/>
          <w:color w:val="002060"/>
          <w:sz w:val="16"/>
          <w:szCs w:val="16"/>
        </w:rPr>
      </w:pPr>
      <w:r w:rsidRPr="00405303">
        <w:rPr>
          <w:bCs/>
          <w:color w:val="002060"/>
          <w:sz w:val="16"/>
          <w:szCs w:val="16"/>
        </w:rPr>
        <w:t>Во-первых, большинство русских электротехнических предприятий воз никло и развивалось под эгидой крупнейших заграничных фирм. В довоенное время характерной чертой этих предприятий было то, что они пользовались всем опытом крупнейших заграничных предприятий и результатами научных дости жений интеллектуальных сил Запада, имея возможность применять практически испытанные конструкции, пользуясь приемами производства и получая из-за границы даже часть технически подготовленного технического персонала. В своей производственной деятельности эти предприятия могли обходиться без особо развитой технической организации, а тем более без постановки широко масштабных научных исследований в области техники слабого тока (Глущенко А.А. Указ. соч. С. 450.).</w:t>
      </w:r>
    </w:p>
    <w:p w14:paraId="4037EAFA" w14:textId="77777777" w:rsidR="004B4E35" w:rsidRPr="00405303" w:rsidRDefault="009E6F82" w:rsidP="00C15251">
      <w:pPr>
        <w:jc w:val="both"/>
        <w:rPr>
          <w:bCs/>
          <w:color w:val="002060"/>
          <w:sz w:val="16"/>
          <w:szCs w:val="16"/>
        </w:rPr>
      </w:pPr>
      <w:r w:rsidRPr="00405303">
        <w:rPr>
          <w:bCs/>
          <w:color w:val="002060"/>
          <w:sz w:val="16"/>
          <w:szCs w:val="16"/>
        </w:rPr>
        <w:t>Во-вторых, следует сказать, что эти так называемые «русские», а по суще ству иностранные предприятия в России сыграли существенную положительную роль в нашей стране. Они способствовали вовлечению значительного количества людей в производство и обслуживание технических средств новой, наукоемкой отрасли – электротехники слабых токов. Впоследствии эти кадры оказались нужными и полезными при становлении и последующем развертывании про мышленности средств связи СССР (Бренёв И. В. Начало радиотехники в России. - М., 1970. С. 144.).</w:t>
      </w:r>
    </w:p>
    <w:p w14:paraId="3C3E5402" w14:textId="77777777" w:rsidR="004B4E35" w:rsidRPr="00405303" w:rsidRDefault="009E6F82" w:rsidP="00C15251">
      <w:pPr>
        <w:jc w:val="both"/>
        <w:rPr>
          <w:bCs/>
          <w:color w:val="002060"/>
          <w:sz w:val="16"/>
          <w:szCs w:val="16"/>
        </w:rPr>
      </w:pPr>
      <w:r w:rsidRPr="00405303">
        <w:rPr>
          <w:bCs/>
          <w:color w:val="002060"/>
          <w:sz w:val="16"/>
          <w:szCs w:val="16"/>
        </w:rPr>
        <w:t>В-третьих, производство электрослаботочной продукции принадлежало к числу наиболее организованных и поставленных отраслей, и поэтому покрывало в дореволюционный период большую часть внутреннего спроса (Кафенгауз Л.Б. Эволюция промышленного производства России (последняя треть XIX – 30 е годы ХХ в.) - М.: Эпифания, 1994. С. 143.).</w:t>
      </w:r>
    </w:p>
    <w:p w14:paraId="3E29ACBD" w14:textId="77777777" w:rsidR="004B4E35" w:rsidRPr="00405303" w:rsidRDefault="009E6F82" w:rsidP="00C15251">
      <w:pPr>
        <w:jc w:val="both"/>
        <w:rPr>
          <w:bCs/>
          <w:color w:val="002060"/>
          <w:sz w:val="16"/>
          <w:szCs w:val="16"/>
        </w:rPr>
      </w:pPr>
      <w:r w:rsidRPr="00405303">
        <w:rPr>
          <w:bCs/>
          <w:color w:val="002060"/>
          <w:sz w:val="16"/>
          <w:szCs w:val="16"/>
        </w:rPr>
        <w:t xml:space="preserve">В-четвертых, период Первой мировой войны явился для электротехниче ской промышленности слабых токов периодом наивысшего расцвета. Война прервала связи русских заводов с их головными заграничными предприятиями, потребовалось создание своей промышленной базы. Была начата организация новых производств, </w:t>
      </w:r>
      <w:r w:rsidRPr="00405303">
        <w:rPr>
          <w:bCs/>
          <w:color w:val="002060"/>
          <w:sz w:val="16"/>
          <w:szCs w:val="16"/>
        </w:rPr>
        <w:lastRenderedPageBreak/>
        <w:t>началось строительство новых заводов. Само производство заводов претерпело существенный сдвиг в сторону военного производства, а проведенное во время войны расширение и дооборудование предприятий спо собствовало решению задач и целей мирного строительства.</w:t>
      </w:r>
    </w:p>
    <w:p w14:paraId="5FD4AA98" w14:textId="77777777" w:rsidR="004B4E35" w:rsidRPr="00405303" w:rsidRDefault="009E6F82" w:rsidP="00C15251">
      <w:pPr>
        <w:jc w:val="both"/>
        <w:rPr>
          <w:bCs/>
          <w:color w:val="002060"/>
          <w:sz w:val="16"/>
          <w:szCs w:val="16"/>
        </w:rPr>
      </w:pPr>
      <w:r w:rsidRPr="00405303">
        <w:rPr>
          <w:bCs/>
          <w:color w:val="002060"/>
          <w:sz w:val="16"/>
          <w:szCs w:val="16"/>
        </w:rPr>
        <w:t>Благодаря деятельности вышеперечисленных предприятий русская армия в годы Первой мировой войны имела на вооружении целый ряд электротехниче ских средств связи.</w:t>
      </w:r>
    </w:p>
    <w:p w14:paraId="7CA1848C" w14:textId="77777777" w:rsidR="004B4E35" w:rsidRPr="00405303" w:rsidRDefault="009E6F82" w:rsidP="00C15251">
      <w:pPr>
        <w:jc w:val="both"/>
        <w:rPr>
          <w:bCs/>
          <w:color w:val="002060"/>
          <w:sz w:val="16"/>
          <w:szCs w:val="16"/>
        </w:rPr>
      </w:pPr>
      <w:r w:rsidRPr="00405303">
        <w:rPr>
          <w:bCs/>
          <w:color w:val="002060"/>
          <w:sz w:val="16"/>
          <w:szCs w:val="16"/>
        </w:rPr>
        <w:t>В начале войны в войсках имелось около ста полевых, тридцати легких ка валерийских, двенадцати базисных и восьми крепостных радиостанций. Полевые радиостанции имелись трех типов: искровые РОБТиТ обр. 1908 г. и два типа ра диостанций производства «Сименс и Гальске» и РОБТиТ обр. 1910 г. (Бренев И.В. Указ. соч. С. 226.).</w:t>
      </w:r>
    </w:p>
    <w:p w14:paraId="5B66EE50" w14:textId="77777777" w:rsidR="004B4E35" w:rsidRPr="00405303" w:rsidRDefault="009E6F82" w:rsidP="00C15251">
      <w:pPr>
        <w:jc w:val="both"/>
        <w:rPr>
          <w:bCs/>
          <w:color w:val="002060"/>
          <w:sz w:val="16"/>
          <w:szCs w:val="16"/>
        </w:rPr>
      </w:pPr>
      <w:r w:rsidRPr="00405303">
        <w:rPr>
          <w:bCs/>
          <w:color w:val="002060"/>
          <w:sz w:val="16"/>
          <w:szCs w:val="16"/>
        </w:rPr>
        <w:t>В ходе войны были разработаны и поступили на вооружение действующей армии несколько типов телеграфных искровых радиостанций различных фирм: «Маркони», «Сименс и Гальске», РОБТиТ (Балаев Н.И. и др. Военные связисты в дни войны и мира / Н.И. Балаев, А.И. Бородни, Л.С.Гордон. - М.: Воениздат, 1968. С. 51.).</w:t>
      </w:r>
    </w:p>
    <w:p w14:paraId="16D14BDB" w14:textId="77777777" w:rsidR="004B4E35" w:rsidRPr="00405303" w:rsidRDefault="009E6F82" w:rsidP="00C15251">
      <w:pPr>
        <w:jc w:val="both"/>
        <w:rPr>
          <w:bCs/>
          <w:color w:val="002060"/>
          <w:sz w:val="16"/>
          <w:szCs w:val="16"/>
        </w:rPr>
      </w:pPr>
      <w:r w:rsidRPr="00405303">
        <w:rPr>
          <w:bCs/>
          <w:color w:val="002060"/>
          <w:sz w:val="16"/>
          <w:szCs w:val="16"/>
        </w:rPr>
        <w:t>Всего к концу 1916 г. на вооружении армии находилось более 1000 радио станций (Б.Г. Тележный. Указ.соч. // Электросвязь. - 2002. - № 2. - С. 47.). Кроме того, войска использовали местные стационарные искровые станции с дальностью действия до 640 и более километров (Балаев Н.И. и др. Указ.соч. С. 27.).</w:t>
      </w:r>
    </w:p>
    <w:p w14:paraId="7657CD66" w14:textId="77777777" w:rsidR="004B4E35" w:rsidRPr="00405303" w:rsidRDefault="009E6F82" w:rsidP="00C15251">
      <w:pPr>
        <w:jc w:val="both"/>
        <w:rPr>
          <w:bCs/>
          <w:color w:val="002060"/>
          <w:sz w:val="16"/>
          <w:szCs w:val="16"/>
        </w:rPr>
      </w:pPr>
      <w:r w:rsidRPr="00405303">
        <w:rPr>
          <w:bCs/>
          <w:color w:val="002060"/>
          <w:sz w:val="16"/>
          <w:szCs w:val="16"/>
        </w:rPr>
        <w:t xml:space="preserve">Основное производство радиостанций для ВМФ было организовано на «Радиотелеграфном заводе Морского ведомства». Силами отечественных </w:t>
      </w:r>
      <w:proofErr w:type="gramStart"/>
      <w:r w:rsidRPr="00405303">
        <w:rPr>
          <w:bCs/>
          <w:color w:val="002060"/>
          <w:sz w:val="16"/>
          <w:szCs w:val="16"/>
        </w:rPr>
        <w:t>радио специалистов</w:t>
      </w:r>
      <w:proofErr w:type="gramEnd"/>
      <w:r w:rsidRPr="00405303">
        <w:rPr>
          <w:bCs/>
          <w:color w:val="002060"/>
          <w:sz w:val="16"/>
          <w:szCs w:val="16"/>
        </w:rPr>
        <w:t xml:space="preserve"> были разработаны и поставлены на производство пять типов кора бельных и береговых искровых передатчиков мощностью от 0,2 до 25 кВт (Белов Ф.И. Этапы радиовооружения войск связи Советской Армии // Очерки по истории войск связи. – М.: ВНО при ЦДСА им. М.В. Фрунзе, 1969. – вып.1. – С. 62.).</w:t>
      </w:r>
    </w:p>
    <w:p w14:paraId="216FAEC7" w14:textId="77777777" w:rsidR="004B4E35" w:rsidRPr="00405303" w:rsidRDefault="009E6F82" w:rsidP="00C15251">
      <w:pPr>
        <w:jc w:val="both"/>
        <w:rPr>
          <w:bCs/>
          <w:color w:val="002060"/>
          <w:sz w:val="16"/>
          <w:szCs w:val="16"/>
        </w:rPr>
      </w:pPr>
      <w:r w:rsidRPr="00405303">
        <w:rPr>
          <w:bCs/>
          <w:color w:val="002060"/>
          <w:sz w:val="16"/>
          <w:szCs w:val="16"/>
        </w:rPr>
        <w:t>Основу арсенала телефонной техники, с которым русская армия встретила Первую мировую войну, составляли полевые телефонные аппараты с фониче ским вызовом обр. 1909 г., изготовленные заводами «Эриксона» и «Гейслера» (Архив ВИМАИВиВС, ф. 10р, оп. 1, д. 107, л. 164).</w:t>
      </w:r>
    </w:p>
    <w:p w14:paraId="5490D159" w14:textId="77777777" w:rsidR="004B4E35" w:rsidRPr="00405303" w:rsidRDefault="009E6F82" w:rsidP="00C15251">
      <w:pPr>
        <w:jc w:val="both"/>
        <w:rPr>
          <w:bCs/>
          <w:color w:val="002060"/>
          <w:sz w:val="16"/>
          <w:szCs w:val="16"/>
        </w:rPr>
      </w:pPr>
      <w:r w:rsidRPr="00405303">
        <w:rPr>
          <w:bCs/>
          <w:color w:val="002060"/>
          <w:sz w:val="16"/>
          <w:szCs w:val="16"/>
        </w:rPr>
        <w:t>Во время войны были выпущены полевые телефонные аппараты с индук торным вызовом девяти типов, с фоническим вызовом 16 типов, три типа аппа ратов облегченного типа, два образца полевых форпостных телефонов. Все эти аппараты отличались друг от друга габаритами, весом, схемами, но принципи альных различий не имели (Архив ВИМАИВиВС, ф. 10р, оп. 1, д. 107, л. 165.). Со второй половины войны число различных систем телефонов значительно возросло за счет появления аппаратов иностранных ма рок: английских, норвежских, японских, американских, германских, австрийских (Архив ВИМАИВиВС, ф. 10р, оп. 1, д. 107, л. 166.).</w:t>
      </w:r>
    </w:p>
    <w:p w14:paraId="52BC20FE" w14:textId="77777777" w:rsidR="004B4E35" w:rsidRPr="00405303" w:rsidRDefault="009E6F82" w:rsidP="00C15251">
      <w:pPr>
        <w:jc w:val="both"/>
        <w:rPr>
          <w:bCs/>
          <w:color w:val="002060"/>
          <w:sz w:val="16"/>
          <w:szCs w:val="16"/>
        </w:rPr>
      </w:pPr>
      <w:r w:rsidRPr="00405303">
        <w:rPr>
          <w:bCs/>
          <w:color w:val="002060"/>
          <w:sz w:val="16"/>
          <w:szCs w:val="16"/>
        </w:rPr>
        <w:t>Для устройства центральных телефонных станций в русской армии приме нялись фонические и индукторные коммутаторы, изготовляемые, в основном, фирмами «Эриксона» и «Гейслера» (Архив ВИМАИВиВС, ф. 10Р, оп. 1, д. 107, л. 186.).</w:t>
      </w:r>
    </w:p>
    <w:p w14:paraId="164A8C10" w14:textId="77777777" w:rsidR="004B4E35" w:rsidRPr="00405303" w:rsidRDefault="009E6F82" w:rsidP="00C15251">
      <w:pPr>
        <w:jc w:val="both"/>
        <w:rPr>
          <w:bCs/>
          <w:color w:val="002060"/>
          <w:sz w:val="16"/>
          <w:szCs w:val="16"/>
        </w:rPr>
      </w:pPr>
      <w:r w:rsidRPr="00405303">
        <w:rPr>
          <w:bCs/>
          <w:color w:val="002060"/>
          <w:sz w:val="16"/>
          <w:szCs w:val="16"/>
        </w:rPr>
        <w:t>Телеграфная связь обеспечивалась аппаратами Морзе образца 1904, 1910 и 1917 гг., а также быстродействующими и буквопечатающими аппаратами, экс плуатируемыми в гражданских ведомствах (Брежнев И.А. и др. Строительство советских Вооруженных Сил, управление войсками и развитие войск связи в период 1917-1941 гг). Аппарат Морзе был единственным, специально разработанным для армии, и применялся от штаба фронта до штаба дивизии (бригады). Из телеграфных коммутаторов наиболее широко применя лись ламельные (швейцарские) коммутаторы на 12, 24 и 30 ламелей.</w:t>
      </w:r>
    </w:p>
    <w:p w14:paraId="44EC08D8" w14:textId="77777777" w:rsidR="004B4E35" w:rsidRPr="00405303" w:rsidRDefault="009E6F82" w:rsidP="00C15251">
      <w:pPr>
        <w:jc w:val="both"/>
        <w:rPr>
          <w:bCs/>
          <w:color w:val="002060"/>
          <w:sz w:val="16"/>
          <w:szCs w:val="16"/>
        </w:rPr>
      </w:pPr>
      <w:r w:rsidRPr="00405303">
        <w:rPr>
          <w:bCs/>
          <w:color w:val="002060"/>
          <w:sz w:val="16"/>
          <w:szCs w:val="16"/>
        </w:rPr>
        <w:t>Именно такое наследство досталось войскам связи Красной Армии. Харак теризуя состояние материально-технической базы войск связи, И.А. Халепский писал: «Участники гражданской войны знают, что наследство из средств связи империалистической войны мы получили весьма бедное. Старая армия накануне своего развала весьма бедно была снабжена средствами связи и к моменту соз дания нашей армии мы абсолютно не располагали какими-либо складскими за пасами средств связи»6. Начавшаяся Гражданская война и сопутствующая ей хо зяйственная разруха только усугубили эту ситуацию. О тяжелом положении с обеспечением Красной Армии электротехническими средствами связи уже в 1920-е годы свидетельствуют факты самого широкого применения в этот период иных вспомогательных средств. Например, 26 июня 1925 г. приказом РВС СССР № 654 было введено «Положение о военно-голубиных станциях», на которые возлагались задачи подготовки голубиной связи и обслуживания ею частей и уч реждений РККА (Архив штаба ЛенВО, ф. 21, оп. 49530, д. 78, л. 489.).</w:t>
      </w:r>
    </w:p>
    <w:p w14:paraId="2E1C27CD" w14:textId="77777777" w:rsidR="004B4E35" w:rsidRPr="00405303" w:rsidRDefault="009E6F82" w:rsidP="00C15251">
      <w:pPr>
        <w:jc w:val="both"/>
        <w:rPr>
          <w:bCs/>
          <w:color w:val="002060"/>
          <w:sz w:val="16"/>
          <w:szCs w:val="16"/>
        </w:rPr>
      </w:pPr>
      <w:r w:rsidRPr="00405303">
        <w:rPr>
          <w:bCs/>
          <w:color w:val="002060"/>
          <w:sz w:val="16"/>
          <w:szCs w:val="16"/>
        </w:rPr>
        <w:t>До революции в русской армии самостоятельной структуры войск связи не существовало. В Красной Армии служба связи первоначально была разделена на три части. На протяжении 1918 г. РВС вынужден был четыре раза заниматься вопросами упорядочения руководства службой связи в РККА. Несмотря на это, положение продолжало оставаться ненормальным. Созданная в середине июня 1919 г. комиссия из представителей различных структур единодушно высказа лась за образование в РККА единого централизованного органа управления свя зью (Архив ВИМАИВиВС, ф. 60р, оп).</w:t>
      </w:r>
    </w:p>
    <w:p w14:paraId="092FBB71" w14:textId="77777777" w:rsidR="004B4E35" w:rsidRPr="00405303" w:rsidRDefault="009E6F82" w:rsidP="00C15251">
      <w:pPr>
        <w:jc w:val="both"/>
        <w:rPr>
          <w:bCs/>
          <w:color w:val="002060"/>
          <w:sz w:val="16"/>
          <w:szCs w:val="16"/>
        </w:rPr>
      </w:pPr>
      <w:r w:rsidRPr="00405303">
        <w:rPr>
          <w:bCs/>
          <w:color w:val="002060"/>
          <w:sz w:val="16"/>
          <w:szCs w:val="16"/>
        </w:rPr>
        <w:t>Приказом РВС № 1736/362 от 20 октября 1919 г. было создано Управление связи Красной Армии (УСКА). Однако на состоянии обеспечения войск имуще ством связи в значительной степени сказывалось то, что и после образования УСКА снабжение продолжало оставаться в ведении Главного военно инженерного управления (ГВИУ). Только 6 октября 1920 г. приказом РВС № 2052 снабжение имуществом связи было передано в ведение начальника УСКА вместе с телеграфно-телефонным и радиотелеграфными отделами, входившими до этого в состав ГВИУ.</w:t>
      </w:r>
    </w:p>
    <w:p w14:paraId="07369AF9" w14:textId="77777777" w:rsidR="004B4E35" w:rsidRPr="00405303" w:rsidRDefault="009E6F82" w:rsidP="00C15251">
      <w:pPr>
        <w:jc w:val="both"/>
        <w:rPr>
          <w:bCs/>
          <w:color w:val="002060"/>
          <w:sz w:val="16"/>
          <w:szCs w:val="16"/>
        </w:rPr>
      </w:pPr>
      <w:r w:rsidRPr="00405303">
        <w:rPr>
          <w:bCs/>
          <w:color w:val="002060"/>
          <w:sz w:val="16"/>
          <w:szCs w:val="16"/>
        </w:rPr>
        <w:t>Завершение активной фазы Гражданской войны положило начало процес су осмысления опыта прошедших войн, роли и места войск связи в системе управления войсками, характера и направления их дальнейшего развития (11870).</w:t>
      </w:r>
    </w:p>
    <w:p w14:paraId="01B91592" w14:textId="6CBBBAA0" w:rsidR="00893A04" w:rsidRPr="00405303" w:rsidRDefault="00893A04" w:rsidP="00C15251">
      <w:pPr>
        <w:pStyle w:val="a3"/>
        <w:jc w:val="both"/>
        <w:rPr>
          <w:bCs/>
          <w:color w:val="002060"/>
          <w:spacing w:val="0"/>
          <w:kern w:val="0"/>
          <w:position w:val="0"/>
          <w:sz w:val="16"/>
          <w:szCs w:val="16"/>
        </w:rPr>
      </w:pPr>
    </w:p>
    <w:p w14:paraId="300B1EE8" w14:textId="5B85C27A" w:rsidR="00893A04" w:rsidRPr="00405303" w:rsidRDefault="00893A04"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Автация:</w:t>
      </w:r>
    </w:p>
    <w:p w14:paraId="42C59744" w14:textId="77777777" w:rsidR="00893A04" w:rsidRPr="00405303" w:rsidRDefault="00893A04" w:rsidP="00C15251">
      <w:pPr>
        <w:pStyle w:val="a3"/>
        <w:jc w:val="both"/>
        <w:rPr>
          <w:bCs/>
          <w:color w:val="002060"/>
          <w:spacing w:val="0"/>
          <w:kern w:val="0"/>
          <w:position w:val="0"/>
          <w:sz w:val="16"/>
          <w:szCs w:val="16"/>
        </w:rPr>
      </w:pPr>
    </w:p>
    <w:p w14:paraId="3148DDAD" w14:textId="5C3B5B57" w:rsidR="00893A04" w:rsidRPr="00405303" w:rsidRDefault="00893A04" w:rsidP="00C15251">
      <w:pPr>
        <w:jc w:val="both"/>
        <w:rPr>
          <w:bCs/>
          <w:color w:val="002060"/>
          <w:sz w:val="16"/>
          <w:szCs w:val="16"/>
          <w:lang w:bidi="en-US"/>
        </w:rPr>
      </w:pPr>
      <w:r w:rsidRPr="00405303">
        <w:rPr>
          <w:bCs/>
          <w:color w:val="002060"/>
          <w:sz w:val="16"/>
          <w:szCs w:val="16"/>
          <w:lang w:bidi="en-US"/>
        </w:rPr>
        <w:t>26 июня (9 июля) 1915 г. штаб Ставки отдал приказ об общем отступлении. В этот же день ЭВК ИМ-Киевский под командованием военного летчика Поручика И.С. Башко выполнил четырехчасовой боевой вылет, обстреляв эшелоны с боеприпасами противника на станции Пржеворск южнее Ярослава, уничтожив более 30 000 артиллерийских снарядов (23525).</w:t>
      </w:r>
    </w:p>
    <w:p w14:paraId="536D04BF" w14:textId="77777777" w:rsidR="00893A04" w:rsidRPr="00405303" w:rsidRDefault="00893A04" w:rsidP="00C15251">
      <w:pPr>
        <w:jc w:val="both"/>
        <w:rPr>
          <w:bCs/>
          <w:color w:val="002060"/>
          <w:sz w:val="16"/>
          <w:szCs w:val="16"/>
        </w:rPr>
      </w:pPr>
    </w:p>
    <w:p w14:paraId="1FAA3592" w14:textId="77777777" w:rsidR="00C81B52" w:rsidRPr="00405303" w:rsidRDefault="00C81B52" w:rsidP="00C81B52">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26 июня (9 июля) 1915 г. над д. Дрвалы (Мазовецкое воеводство, царство Польское) в воздухе взорвался немецкий самолет. По-видимому, на борту аппарата произошла детонация перевозимых бомб. В результате неприятельский самолет развалился на четыре части. Летчик умер от полученных ожогов.</w:t>
      </w:r>
    </w:p>
    <w:p w14:paraId="5FD5D73D" w14:textId="77777777" w:rsidR="00C81B52" w:rsidRPr="00405303" w:rsidRDefault="00C81B52" w:rsidP="00C81B52">
      <w:pPr>
        <w:jc w:val="both"/>
        <w:rPr>
          <w:color w:val="0070C0"/>
          <w:sz w:val="16"/>
          <w:szCs w:val="16"/>
        </w:rPr>
      </w:pPr>
      <w:r w:rsidRPr="00405303">
        <w:rPr>
          <w:rStyle w:val="aa"/>
          <w:rFonts w:ascii="Times New Roman" w:hAnsi="Times New Roman"/>
          <w:color w:val="0070C0"/>
          <w:spacing w:val="0"/>
          <w:sz w:val="16"/>
          <w:szCs w:val="16"/>
        </w:rPr>
        <w:t>В районе долины р. Писса нашими подразделения был захвачен немецкий аэроплан, поступивший позднее на вооружение русской авиации (25135)</w:t>
      </w:r>
      <w:r w:rsidRPr="00405303">
        <w:rPr>
          <w:color w:val="0070C0"/>
          <w:sz w:val="16"/>
          <w:szCs w:val="16"/>
        </w:rPr>
        <w:t xml:space="preserve"> </w:t>
      </w:r>
    </w:p>
    <w:p w14:paraId="29AF17A7" w14:textId="77777777" w:rsidR="00C81B52" w:rsidRPr="00405303" w:rsidRDefault="00C81B52" w:rsidP="00C81B52">
      <w:pPr>
        <w:jc w:val="both"/>
        <w:rPr>
          <w:color w:val="0070C0"/>
          <w:sz w:val="16"/>
          <w:szCs w:val="16"/>
        </w:rPr>
      </w:pPr>
    </w:p>
    <w:p w14:paraId="467E9918" w14:textId="347D3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01C404CA" w14:textId="77777777" w:rsidR="004B4E35" w:rsidRPr="00405303" w:rsidRDefault="004B4E35" w:rsidP="00C15251">
      <w:pPr>
        <w:pStyle w:val="a3"/>
        <w:jc w:val="both"/>
        <w:rPr>
          <w:bCs/>
          <w:color w:val="002060"/>
          <w:spacing w:val="0"/>
          <w:kern w:val="0"/>
          <w:position w:val="0"/>
          <w:sz w:val="16"/>
          <w:szCs w:val="16"/>
        </w:rPr>
      </w:pPr>
    </w:p>
    <w:p w14:paraId="57F86F6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27 июня (10 июля) 1915 доцент Московского университета Е.И.Шпитальский передал фронту 50 авиабомб своей конструкции, небольшого размера и не требующих для воспламенения фосфора. Испытание дало поло-: жительные результаты» Командующий 1-й армией, где испытывались бомбы, выразил благодарность изобретателю и его сотрудникам, (ЦГВИА. ф,5037, кор.219).</w:t>
      </w:r>
    </w:p>
    <w:p w14:paraId="70D6C132" w14:textId="77777777" w:rsidR="004B4E35" w:rsidRPr="00405303" w:rsidRDefault="004B4E35" w:rsidP="00C15251">
      <w:pPr>
        <w:shd w:val="clear" w:color="auto" w:fill="FFFFFF"/>
        <w:jc w:val="both"/>
        <w:rPr>
          <w:bCs/>
          <w:color w:val="002060"/>
          <w:sz w:val="16"/>
          <w:szCs w:val="16"/>
        </w:rPr>
      </w:pPr>
    </w:p>
    <w:p w14:paraId="79BE98E4" w14:textId="5F2FF7A6"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27 июня </w:t>
      </w:r>
      <w:r w:rsidR="009E4EDB" w:rsidRPr="00405303">
        <w:rPr>
          <w:bCs/>
          <w:color w:val="002060"/>
          <w:sz w:val="16"/>
          <w:szCs w:val="16"/>
        </w:rPr>
        <w:t xml:space="preserve">(10 июля) </w:t>
      </w:r>
      <w:r w:rsidRPr="00405303">
        <w:rPr>
          <w:bCs/>
          <w:color w:val="002060"/>
          <w:sz w:val="16"/>
          <w:szCs w:val="16"/>
        </w:rPr>
        <w:t>1915 г. приват-доцентом Московского университета Е.И. Шпитальским были изготовлены 50 зажигательных авиабомб небольшо</w:t>
      </w:r>
      <w:r w:rsidRPr="00405303">
        <w:rPr>
          <w:bCs/>
          <w:color w:val="002060"/>
          <w:sz w:val="16"/>
          <w:szCs w:val="16"/>
        </w:rPr>
        <w:softHyphen/>
        <w:t>го размера, не требующих фосфора, которые были переданы в распоря</w:t>
      </w:r>
      <w:r w:rsidRPr="00405303">
        <w:rPr>
          <w:bCs/>
          <w:color w:val="002060"/>
          <w:sz w:val="16"/>
          <w:szCs w:val="16"/>
        </w:rPr>
        <w:softHyphen/>
        <w:t>жение командира авиаотряда при 1 -ой армии капитана Медведева. Испы</w:t>
      </w:r>
      <w:r w:rsidRPr="00405303">
        <w:rPr>
          <w:bCs/>
          <w:color w:val="002060"/>
          <w:sz w:val="16"/>
          <w:szCs w:val="16"/>
        </w:rPr>
        <w:softHyphen/>
        <w:t>тания в боевой обстановке дали положительные результаты. В конечном счете, в результате упорного труда многочисленных изобретателей была найдена наиболее рациональная конструкция зажи</w:t>
      </w:r>
      <w:r w:rsidRPr="00405303">
        <w:rPr>
          <w:bCs/>
          <w:color w:val="002060"/>
          <w:sz w:val="16"/>
          <w:szCs w:val="16"/>
        </w:rPr>
        <w:softHyphen/>
        <w:t>гательных авиабомб. До конца войны на вооружении состояли различные типы таких авиабомб, успешно применявшихся в ходе боевых действий (11425).</w:t>
      </w:r>
    </w:p>
    <w:p w14:paraId="1FFC5B3D" w14:textId="77777777" w:rsidR="004B4E35" w:rsidRPr="00405303" w:rsidRDefault="004B4E35" w:rsidP="00C15251">
      <w:pPr>
        <w:shd w:val="clear" w:color="auto" w:fill="FFFFFF"/>
        <w:jc w:val="both"/>
        <w:rPr>
          <w:bCs/>
          <w:color w:val="002060"/>
          <w:sz w:val="16"/>
          <w:szCs w:val="16"/>
        </w:rPr>
      </w:pPr>
    </w:p>
    <w:p w14:paraId="067B1167" w14:textId="7966A848" w:rsidR="004B4E35" w:rsidRPr="00405303" w:rsidRDefault="009E6F82" w:rsidP="00C15251">
      <w:pPr>
        <w:jc w:val="both"/>
        <w:rPr>
          <w:bCs/>
          <w:color w:val="002060"/>
          <w:sz w:val="16"/>
          <w:szCs w:val="16"/>
        </w:rPr>
      </w:pPr>
      <w:r w:rsidRPr="00405303">
        <w:rPr>
          <w:bCs/>
          <w:color w:val="002060"/>
          <w:sz w:val="16"/>
          <w:szCs w:val="16"/>
        </w:rPr>
        <w:t xml:space="preserve">27 июня (10 июля) 1915 г. </w:t>
      </w:r>
      <w:r w:rsidR="009E4EDB" w:rsidRPr="00405303">
        <w:rPr>
          <w:bCs/>
          <w:color w:val="002060"/>
          <w:sz w:val="16"/>
          <w:szCs w:val="16"/>
        </w:rPr>
        <w:t xml:space="preserve">50 авиабомб небольшого размера, не требующих фосфора приват-доцента Московского университета Е. И. Шпитальского </w:t>
      </w:r>
      <w:r w:rsidRPr="00405303">
        <w:rPr>
          <w:bCs/>
          <w:color w:val="002060"/>
          <w:sz w:val="16"/>
          <w:szCs w:val="16"/>
        </w:rPr>
        <w:t>были переданы в распоряжение командира авиаотряда при 1-й армии капитана Медведева.</w:t>
      </w:r>
    </w:p>
    <w:p w14:paraId="3A573F8F" w14:textId="77777777" w:rsidR="004B4E35" w:rsidRPr="00405303" w:rsidRDefault="009E6F82" w:rsidP="00C15251">
      <w:pPr>
        <w:jc w:val="both"/>
        <w:rPr>
          <w:bCs/>
          <w:color w:val="002060"/>
          <w:sz w:val="16"/>
          <w:szCs w:val="16"/>
        </w:rPr>
      </w:pPr>
      <w:r w:rsidRPr="00405303">
        <w:rPr>
          <w:bCs/>
          <w:color w:val="002060"/>
          <w:sz w:val="16"/>
          <w:szCs w:val="16"/>
        </w:rPr>
        <w:t>Испытание авиабомб в боевой обстановке дало положительные результаты.</w:t>
      </w:r>
    </w:p>
    <w:p w14:paraId="402E320E" w14:textId="77777777" w:rsidR="004B4E35" w:rsidRPr="00405303" w:rsidRDefault="009E6F82" w:rsidP="00C15251">
      <w:pPr>
        <w:jc w:val="both"/>
        <w:rPr>
          <w:bCs/>
          <w:color w:val="002060"/>
          <w:sz w:val="16"/>
          <w:szCs w:val="16"/>
        </w:rPr>
      </w:pPr>
      <w:r w:rsidRPr="00405303">
        <w:rPr>
          <w:bCs/>
          <w:color w:val="002060"/>
          <w:sz w:val="16"/>
          <w:szCs w:val="16"/>
        </w:rPr>
        <w:lastRenderedPageBreak/>
        <w:t>Заведующий авиацией и воздухоплаванием в действующей армии в июле 1915 г. обратился к профессору Жуковскому с просьбой изыскать способы изготовления зажигательных снарядов малого и большого калибра. Для оргаиизации опытов ГВТУ отпустило в его распоряжение 1500 рублей. К решению задачи Жуковский привлек своих учеников: Б. Н. Юрьева, Б. С. Стечкина, В. П. Ветчинкина и др. 14 сентября 1915 г. был составлен отчет об этих испытаниях (11999).</w:t>
      </w:r>
    </w:p>
    <w:p w14:paraId="47432C83" w14:textId="77777777" w:rsidR="004B4E35" w:rsidRPr="00405303" w:rsidRDefault="004B4E35" w:rsidP="00C15251">
      <w:pPr>
        <w:jc w:val="both"/>
        <w:rPr>
          <w:bCs/>
          <w:color w:val="002060"/>
          <w:sz w:val="16"/>
          <w:szCs w:val="16"/>
        </w:rPr>
      </w:pPr>
    </w:p>
    <w:p w14:paraId="1D11CD37" w14:textId="77777777" w:rsidR="0002695B" w:rsidRPr="00405303" w:rsidRDefault="0002695B" w:rsidP="00C15251">
      <w:pPr>
        <w:jc w:val="both"/>
        <w:rPr>
          <w:bCs/>
          <w:color w:val="002060"/>
          <w:sz w:val="16"/>
          <w:szCs w:val="16"/>
        </w:rPr>
      </w:pPr>
      <w:r w:rsidRPr="00405303">
        <w:rPr>
          <w:bCs/>
          <w:color w:val="002060"/>
          <w:sz w:val="16"/>
          <w:szCs w:val="16"/>
        </w:rPr>
        <w:t>27 июня (10 июля) 1915 г. доцент московского университета Е.И.Епитальский передал фронту 50 авиабомб своей конструкции, небольшого размера и не требующих для воспламенения фосфора. Испытание дало положительные результаты. Командующий 1-й армией, где испытывались бомбы, выразил благодарность изобретателю и его сотрудникам.</w:t>
      </w:r>
    </w:p>
    <w:p w14:paraId="4EFA65A9" w14:textId="77777777" w:rsidR="0002695B" w:rsidRPr="00405303" w:rsidRDefault="0002695B" w:rsidP="00C15251">
      <w:pPr>
        <w:jc w:val="both"/>
        <w:rPr>
          <w:bCs/>
          <w:color w:val="002060"/>
          <w:sz w:val="16"/>
          <w:szCs w:val="16"/>
        </w:rPr>
      </w:pPr>
      <w:r w:rsidRPr="00405303">
        <w:rPr>
          <w:bCs/>
          <w:color w:val="002060"/>
          <w:sz w:val="16"/>
          <w:szCs w:val="16"/>
        </w:rPr>
        <w:t>/ЦГВИА, ф. 5037, кор. 219/ (23320).</w:t>
      </w:r>
    </w:p>
    <w:p w14:paraId="771AE473" w14:textId="77777777" w:rsidR="0002695B" w:rsidRPr="00405303" w:rsidRDefault="0002695B" w:rsidP="00C15251">
      <w:pPr>
        <w:jc w:val="both"/>
        <w:rPr>
          <w:bCs/>
          <w:color w:val="002060"/>
          <w:sz w:val="16"/>
          <w:szCs w:val="16"/>
        </w:rPr>
      </w:pPr>
    </w:p>
    <w:p w14:paraId="70E5839E" w14:textId="08D900E0" w:rsidR="009109FF" w:rsidRPr="00405303" w:rsidRDefault="009109FF" w:rsidP="00C15251">
      <w:pPr>
        <w:shd w:val="clear" w:color="auto" w:fill="FFFFFF"/>
        <w:jc w:val="both"/>
        <w:rPr>
          <w:bCs/>
          <w:i/>
          <w:color w:val="002060"/>
          <w:sz w:val="16"/>
          <w:szCs w:val="16"/>
        </w:rPr>
      </w:pPr>
      <w:r w:rsidRPr="00405303">
        <w:rPr>
          <w:bCs/>
          <w:i/>
          <w:color w:val="002060"/>
          <w:sz w:val="16"/>
          <w:szCs w:val="16"/>
        </w:rPr>
        <w:t>Авиация:</w:t>
      </w:r>
    </w:p>
    <w:p w14:paraId="39F611CD" w14:textId="77777777" w:rsidR="009109FF" w:rsidRPr="00405303" w:rsidRDefault="009109FF" w:rsidP="00C15251">
      <w:pPr>
        <w:shd w:val="clear" w:color="auto" w:fill="FFFFFF"/>
        <w:jc w:val="both"/>
        <w:rPr>
          <w:bCs/>
          <w:i/>
          <w:color w:val="002060"/>
          <w:sz w:val="16"/>
          <w:szCs w:val="16"/>
        </w:rPr>
      </w:pPr>
    </w:p>
    <w:p w14:paraId="3015C23C" w14:textId="45139E59" w:rsidR="009109FF" w:rsidRPr="00405303" w:rsidRDefault="009109FF" w:rsidP="00C15251">
      <w:pPr>
        <w:jc w:val="both"/>
        <w:rPr>
          <w:bCs/>
          <w:color w:val="002060"/>
          <w:sz w:val="16"/>
          <w:szCs w:val="16"/>
        </w:rPr>
      </w:pPr>
      <w:r w:rsidRPr="00405303">
        <w:rPr>
          <w:bCs/>
          <w:color w:val="002060"/>
          <w:sz w:val="16"/>
          <w:szCs w:val="16"/>
        </w:rPr>
        <w:t xml:space="preserve">27 июня </w:t>
      </w:r>
      <w:r w:rsidR="00893A04" w:rsidRPr="00405303">
        <w:rPr>
          <w:bCs/>
          <w:color w:val="002060"/>
          <w:sz w:val="16"/>
          <w:szCs w:val="16"/>
        </w:rPr>
        <w:t xml:space="preserve">(10 июля) </w:t>
      </w:r>
      <w:r w:rsidRPr="00405303">
        <w:rPr>
          <w:bCs/>
          <w:color w:val="002060"/>
          <w:sz w:val="16"/>
          <w:szCs w:val="16"/>
        </w:rPr>
        <w:t>1915 г. ИМ-Киевский пролетел над железнодорожной стацией Пржеворска, расположенного к югу от Ярослава. Эта четырехчасовая миссия включала также разведывательную работу в районе реки Сан и сброс четырех бомб на окопы в Лежайске. Над Пржеворском ИМ-Киевский сделал три круга, затем сбросил семь бомб на поезд с боеприпасами. Команда Ильи Муромца наблюдала взрывающиеся бомбы, языки пламени и огромный столб дыма, поднимающийся над пятью поездами с боеприпасами, стоявшими на станции. После нескольких минут бомбежки, станция Пржеворска была окутана дымом, рвались снаряды. Согласно свидетельствам военнопленных, позднее подтвержденных в немецких газетах, было уничтожено примерно 30000 снарядов.</w:t>
      </w:r>
    </w:p>
    <w:p w14:paraId="4DC94CB1" w14:textId="77777777" w:rsidR="009109FF" w:rsidRPr="00405303" w:rsidRDefault="009109FF" w:rsidP="00C15251">
      <w:pPr>
        <w:jc w:val="both"/>
        <w:rPr>
          <w:bCs/>
          <w:color w:val="002060"/>
          <w:sz w:val="16"/>
          <w:szCs w:val="16"/>
        </w:rPr>
      </w:pPr>
      <w:r w:rsidRPr="00405303">
        <w:rPr>
          <w:bCs/>
          <w:color w:val="002060"/>
          <w:sz w:val="16"/>
          <w:szCs w:val="16"/>
        </w:rPr>
        <w:t>Противник потерял также и в живой силе. Кроме того, рейд привел к серьезным разрушениям железнодорожной станции и прервал сообщение во всем районе. Вследствие рейда Муромцев началась паника. За эту миссию лейтенант И. С. Башко, командир ИМ-Киевский, и штабс-капитан Наумов, артиллерийский офицер, были награждены орденами св. Георгия, IV степени. Заместитель командира лейтенант М. В. Смирнов получил Георгиевский меч, а механик Шкудов — Георгиевский крест. Это были первые члены ЭВК, получившие рыцарское звание св. Георгия (23470).</w:t>
      </w:r>
    </w:p>
    <w:p w14:paraId="3E8FF46C" w14:textId="77777777" w:rsidR="009109FF" w:rsidRPr="00405303" w:rsidRDefault="009109FF" w:rsidP="00C15251">
      <w:pPr>
        <w:jc w:val="both"/>
        <w:rPr>
          <w:bCs/>
          <w:color w:val="002060"/>
          <w:sz w:val="16"/>
          <w:szCs w:val="16"/>
          <w:lang w:bidi="ru-RU"/>
        </w:rPr>
      </w:pPr>
    </w:p>
    <w:p w14:paraId="4557274B" w14:textId="3D6201A9" w:rsidR="00893A04" w:rsidRPr="00405303" w:rsidRDefault="00893A04" w:rsidP="00C15251">
      <w:pPr>
        <w:jc w:val="both"/>
        <w:rPr>
          <w:bCs/>
          <w:color w:val="002060"/>
          <w:sz w:val="16"/>
          <w:szCs w:val="16"/>
          <w:lang w:bidi="en-US"/>
        </w:rPr>
      </w:pPr>
      <w:r w:rsidRPr="00405303">
        <w:rPr>
          <w:bCs/>
          <w:color w:val="002060"/>
          <w:sz w:val="16"/>
          <w:szCs w:val="16"/>
          <w:lang w:bidi="en-US"/>
        </w:rPr>
        <w:t>27 июня (10 июля) 1915 г., когда линия фронта претерпела серьезные изменения, Ставка Ставки приказала создать Северный фронт во главе с генералом Рузским, в состав сил которого входили 12-я и 5-я армии, а 6-я армия формировалась в Петрограде, удерживая Рижско-Двинский фронт. сектор. Бывший Северо-Западный фронт был переименован в Западный фронт 5 сентября 1915 года (23525).</w:t>
      </w:r>
    </w:p>
    <w:p w14:paraId="3B8B43E2" w14:textId="77777777" w:rsidR="00893A04" w:rsidRPr="00405303" w:rsidRDefault="00893A04" w:rsidP="00C15251">
      <w:pPr>
        <w:jc w:val="both"/>
        <w:rPr>
          <w:bCs/>
          <w:color w:val="002060"/>
          <w:sz w:val="16"/>
          <w:szCs w:val="16"/>
        </w:rPr>
      </w:pPr>
    </w:p>
    <w:p w14:paraId="770F66DE" w14:textId="2FF73697"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24EA4537" w14:textId="77777777" w:rsidR="004B4E35" w:rsidRPr="00405303" w:rsidRDefault="004B4E35" w:rsidP="00C15251">
      <w:pPr>
        <w:shd w:val="clear" w:color="auto" w:fill="FFFFFF"/>
        <w:jc w:val="both"/>
        <w:rPr>
          <w:bCs/>
          <w:i/>
          <w:color w:val="002060"/>
          <w:sz w:val="16"/>
          <w:szCs w:val="16"/>
        </w:rPr>
      </w:pPr>
    </w:p>
    <w:p w14:paraId="4A6E1E7B" w14:textId="7A0722D8" w:rsidR="004B4E35" w:rsidRPr="00405303" w:rsidRDefault="009E4EDB" w:rsidP="00C15251">
      <w:pPr>
        <w:jc w:val="both"/>
        <w:rPr>
          <w:bCs/>
          <w:color w:val="002060"/>
          <w:sz w:val="16"/>
          <w:szCs w:val="16"/>
        </w:rPr>
      </w:pPr>
      <w:r w:rsidRPr="00405303">
        <w:rPr>
          <w:bCs/>
          <w:color w:val="002060"/>
          <w:sz w:val="16"/>
          <w:szCs w:val="16"/>
        </w:rPr>
        <w:t xml:space="preserve">До </w:t>
      </w:r>
      <w:r w:rsidR="009E6F82" w:rsidRPr="00405303">
        <w:rPr>
          <w:bCs/>
          <w:color w:val="002060"/>
          <w:sz w:val="16"/>
          <w:szCs w:val="16"/>
        </w:rPr>
        <w:t>27 июня</w:t>
      </w:r>
      <w:r w:rsidRPr="00405303">
        <w:rPr>
          <w:bCs/>
          <w:color w:val="002060"/>
          <w:sz w:val="16"/>
          <w:szCs w:val="16"/>
        </w:rPr>
        <w:t xml:space="preserve"> (10 июля) 1915 г. выполнение дополнительных работ, по указаниям наблюдающего за переоборудованием полковника Корпуса корабельных инженеров И.Е.Храповицкого (официальная должность — корабельный инженер, наблюдающий за постройкой легких крейсеров «Адмирал Бутаков» и «Адмирал Спиридов» на Путиловской верфи) и командира судна капитана 2 ранга Б.П.Дудорова, задержало готовность «Орлицы»</w:t>
      </w:r>
      <w:r w:rsidR="009E6F82" w:rsidRPr="00405303">
        <w:rPr>
          <w:bCs/>
          <w:color w:val="002060"/>
          <w:sz w:val="16"/>
          <w:szCs w:val="16"/>
        </w:rPr>
        <w:t>. Однако мелкие работы (на сумму около 35 тыс. руб.) на «Орлице» выполнялись вплоть до ноября 1915 года, даже в период ее участия в боевых действиях (11333).</w:t>
      </w:r>
    </w:p>
    <w:p w14:paraId="7D9423CE" w14:textId="77777777" w:rsidR="004B4E35" w:rsidRPr="00405303" w:rsidRDefault="004B4E35" w:rsidP="00C15251">
      <w:pPr>
        <w:shd w:val="clear" w:color="auto" w:fill="FFFFFF"/>
        <w:jc w:val="both"/>
        <w:rPr>
          <w:bCs/>
          <w:color w:val="002060"/>
          <w:sz w:val="16"/>
          <w:szCs w:val="16"/>
        </w:rPr>
      </w:pPr>
    </w:p>
    <w:p w14:paraId="372E8ED9"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Другие оборонные отрасли:</w:t>
      </w:r>
    </w:p>
    <w:p w14:paraId="102ADBCC" w14:textId="77777777" w:rsidR="004B4E35" w:rsidRPr="00405303" w:rsidRDefault="004B4E35" w:rsidP="00C15251">
      <w:pPr>
        <w:pStyle w:val="a3"/>
        <w:jc w:val="both"/>
        <w:rPr>
          <w:bCs/>
          <w:color w:val="002060"/>
          <w:spacing w:val="0"/>
          <w:kern w:val="0"/>
          <w:position w:val="0"/>
          <w:sz w:val="16"/>
          <w:szCs w:val="16"/>
        </w:rPr>
      </w:pPr>
    </w:p>
    <w:p w14:paraId="0EBFF49E" w14:textId="404B0363" w:rsidR="004B4E35" w:rsidRPr="00405303" w:rsidRDefault="009E6F82" w:rsidP="00C15251">
      <w:pPr>
        <w:jc w:val="both"/>
        <w:rPr>
          <w:bCs/>
          <w:color w:val="002060"/>
          <w:sz w:val="16"/>
          <w:szCs w:val="16"/>
        </w:rPr>
      </w:pPr>
      <w:r w:rsidRPr="00405303">
        <w:rPr>
          <w:bCs/>
          <w:color w:val="002060"/>
          <w:sz w:val="16"/>
          <w:szCs w:val="16"/>
        </w:rPr>
        <w:t xml:space="preserve">28 июня </w:t>
      </w:r>
      <w:r w:rsidR="009E4EDB" w:rsidRPr="00405303">
        <w:rPr>
          <w:bCs/>
          <w:color w:val="002060"/>
          <w:sz w:val="16"/>
          <w:szCs w:val="16"/>
        </w:rPr>
        <w:t xml:space="preserve">(11 июля) </w:t>
      </w:r>
      <w:r w:rsidRPr="00405303">
        <w:rPr>
          <w:bCs/>
          <w:color w:val="002060"/>
          <w:sz w:val="16"/>
          <w:szCs w:val="16"/>
        </w:rPr>
        <w:t xml:space="preserve">1915 г. </w:t>
      </w:r>
      <w:r w:rsidR="009E4EDB" w:rsidRPr="00405303">
        <w:rPr>
          <w:bCs/>
          <w:color w:val="002060"/>
          <w:sz w:val="16"/>
          <w:szCs w:val="16"/>
        </w:rPr>
        <w:t xml:space="preserve">в день окончания сооружения первого завода Второва состоялась закладка нового завода, чтобы довести ежедневное снаряжение с 6-7 тыс. гранат до 18 тыс. гранат в день. </w:t>
      </w:r>
      <w:r w:rsidRPr="00405303">
        <w:rPr>
          <w:bCs/>
          <w:color w:val="002060"/>
          <w:sz w:val="16"/>
          <w:szCs w:val="16"/>
        </w:rPr>
        <w:t>Он был построен через четыре месяца. Второвым с середины 1916 г. строился также снарядный завод в Богородске Московской губернии. В октябре 1916 г. общая производительность новых заводов превысила проектную мощность и составила более 1 млн. гранат в месяц [История организации... Ванкова. С. 87.].</w:t>
      </w:r>
    </w:p>
    <w:p w14:paraId="7518034C" w14:textId="77777777" w:rsidR="004B4E35" w:rsidRPr="00405303" w:rsidRDefault="009E6F82" w:rsidP="00C15251">
      <w:pPr>
        <w:jc w:val="both"/>
        <w:rPr>
          <w:bCs/>
          <w:color w:val="002060"/>
          <w:sz w:val="16"/>
          <w:szCs w:val="16"/>
        </w:rPr>
      </w:pPr>
      <w:r w:rsidRPr="00405303">
        <w:rPr>
          <w:bCs/>
          <w:color w:val="002060"/>
          <w:sz w:val="16"/>
          <w:szCs w:val="16"/>
        </w:rPr>
        <w:t>В системе крупных промышленных предприятий Организации Ванкова, появившихся в годы Первой мировой войны, можно назвать отлично оборудованный Конотопский снарядный завод, построенный по инициативе М.И. Терещенко, и оснащенный прекрасными станками, Демиевский снарядный завод, устроенный по инициативе члена Государственной думы В.Я. Демченко в помещении казенного винного склада [Там же. С. 163.].</w:t>
      </w:r>
    </w:p>
    <w:p w14:paraId="354379C3" w14:textId="77777777" w:rsidR="004B4E35" w:rsidRPr="00405303" w:rsidRDefault="009E6F82" w:rsidP="00C15251">
      <w:pPr>
        <w:jc w:val="both"/>
        <w:rPr>
          <w:bCs/>
          <w:color w:val="002060"/>
          <w:sz w:val="16"/>
          <w:szCs w:val="16"/>
        </w:rPr>
      </w:pPr>
      <w:r w:rsidRPr="00405303">
        <w:rPr>
          <w:bCs/>
          <w:color w:val="002060"/>
          <w:sz w:val="16"/>
          <w:szCs w:val="16"/>
        </w:rPr>
        <w:t xml:space="preserve">Деятельность Организации Ванкова на территории губерний Центрально-черноземной области, Среднего Поволжья привела к значительному росту численности промышленных предприятий и формированию кадров фабрично-заводских рабочих в этих регионах. </w:t>
      </w:r>
    </w:p>
    <w:p w14:paraId="78A3111E" w14:textId="77777777" w:rsidR="004B4E35" w:rsidRPr="00405303" w:rsidRDefault="009E6F82" w:rsidP="00C15251">
      <w:pPr>
        <w:jc w:val="both"/>
        <w:rPr>
          <w:bCs/>
          <w:color w:val="002060"/>
          <w:sz w:val="16"/>
          <w:szCs w:val="16"/>
        </w:rPr>
      </w:pPr>
      <w:r w:rsidRPr="00405303">
        <w:rPr>
          <w:bCs/>
          <w:color w:val="002060"/>
          <w:sz w:val="16"/>
          <w:szCs w:val="16"/>
        </w:rPr>
        <w:t>Поскольку обе рассмотренные организации были созданы при ГАУ, то нельзя не сказать о записке начальника ГАУ генерал-лейтенанта А.А. Маниковского, поступившей в Особое совещание по обороне в октябре 1916 г. [РГВИА. Ф. 369. Оп. 3. Д. 119. В деле типографский экземпляр записки, принадлежавший Е.З. Барсукову. Там же ряд приложений к документу. Подробнее см.: Сидоров А.Л. К вопросу о строительстве казенных заводов в России в годы первой мировой войны // ИЗ. Т. 54. М., 1955; Поликарпов В.В. О так называемой «программе Маниковского» 1916 года // ИЗ. Т. 109. М., 1983.] Маниковский видел задачу заводского строительства в создании мощной отечественной промышленности с целью ликвидации зависимости России от других стран в сфере промышленного производства. Им особо оговаривалось значение послевоенных перспектив развития российской индустрии. Маниковский подчеркивал, что после войны конкуренция и экономическая борьба между странами возрастет, и делал такой вывод: «Если мы не будем готовы к ней [конкуренции - С.В.], то могучая техника, и наших друзей, и наших врагов, раздавит нашу все еще слабую технику».</w:t>
      </w:r>
    </w:p>
    <w:p w14:paraId="22D49F97" w14:textId="77777777" w:rsidR="004B4E35" w:rsidRPr="00405303" w:rsidRDefault="009E6F82" w:rsidP="00C15251">
      <w:pPr>
        <w:jc w:val="both"/>
        <w:rPr>
          <w:bCs/>
          <w:color w:val="002060"/>
          <w:sz w:val="16"/>
          <w:szCs w:val="16"/>
        </w:rPr>
      </w:pPr>
      <w:r w:rsidRPr="00405303">
        <w:rPr>
          <w:bCs/>
          <w:color w:val="002060"/>
          <w:sz w:val="16"/>
          <w:szCs w:val="16"/>
        </w:rPr>
        <w:t xml:space="preserve">С точки зрения производственно-отраслевой ориентация программа была весьма ограничена. Ее автор рекомендовал сооружение в основном военных предприятий, прежде всего, артиллерийского вооружения и ряда химических заводов. В программе совершенно отсутствовали заводы новейших производств и весьма скупо были указаны объекты в базовых отраслях тяжелой промышленности. Маниковский предлагал сооружение сталелитейного завода на территории Области Войска Донского, алюминиевого на Азовско-Черноморском побережье и станкостроительного в Туле. Программа была сугубо прагматической, нацеленной на некоторое улучшение вооружения войск в условиях данной войны. Более общее значение имела идея создания в каждом отдельном производстве самостоятельной группы предприятий, ядром которой был казенный завод, но которая включала бы и частные заведения. Маниковский считал необходимым построить в первую очередь 37 казенных заводов, как технически более сильных, а главное более выгодных для казны, поставляющих продукцию по более низким ценам. </w:t>
      </w:r>
    </w:p>
    <w:p w14:paraId="51FB28B7" w14:textId="77777777" w:rsidR="004B4E35" w:rsidRPr="00405303" w:rsidRDefault="009E6F82" w:rsidP="00C15251">
      <w:pPr>
        <w:jc w:val="both"/>
        <w:rPr>
          <w:bCs/>
          <w:color w:val="002060"/>
          <w:sz w:val="16"/>
          <w:szCs w:val="16"/>
        </w:rPr>
      </w:pPr>
      <w:r w:rsidRPr="00405303">
        <w:rPr>
          <w:bCs/>
          <w:color w:val="002060"/>
          <w:sz w:val="16"/>
          <w:szCs w:val="16"/>
        </w:rPr>
        <w:t>Уже в момент обсуждения программы значительное число заводов были начаты постройкой. По данным конца 1916 г. насчитывалось 16 построенных предприятий и 21 сооружавшееся. Это явилось практически удвоением общего числа казенных заведений, которые подчинялись ГАУ до войны. Наибольшее количество новых заводов (18) приходилось на пороховые, химические предприятия, заводы и мастерские взрывчатых веществ. Значительное число (13) заведений возникло в системе снарядного, трубочного, снаряжательного производств, заводов взрывателей. В системе других оборонных предприятий новые заводы были единичны и, как правило, еще строились: Саратовский орудийный, новый Тульский оружейный, пулеметный в Коврове (строительство вел Датский ружейный синдикат), 3-й патронный в Симбирске [РГВИА. Ф. 369. Оп. 3. Д. 119. Л. 1об., 5, 67, 71.] (11863).</w:t>
      </w:r>
    </w:p>
    <w:p w14:paraId="2B55CB8C" w14:textId="77777777" w:rsidR="004B4E35" w:rsidRPr="00405303" w:rsidRDefault="004B4E35" w:rsidP="00C15251">
      <w:pPr>
        <w:jc w:val="both"/>
        <w:rPr>
          <w:bCs/>
          <w:color w:val="002060"/>
          <w:sz w:val="16"/>
          <w:szCs w:val="16"/>
        </w:rPr>
      </w:pPr>
    </w:p>
    <w:p w14:paraId="4E126B0D" w14:textId="76E08370" w:rsidR="006D3773" w:rsidRPr="00405303" w:rsidRDefault="006D3773" w:rsidP="00C15251">
      <w:pPr>
        <w:jc w:val="both"/>
        <w:rPr>
          <w:bCs/>
          <w:color w:val="002060"/>
          <w:sz w:val="16"/>
          <w:szCs w:val="16"/>
        </w:rPr>
      </w:pPr>
      <w:r w:rsidRPr="00405303">
        <w:rPr>
          <w:bCs/>
          <w:color w:val="002060"/>
          <w:sz w:val="16"/>
          <w:szCs w:val="16"/>
        </w:rPr>
        <w:t>С 28 июня (11 июля) 1915 г. сразу после пуска завода А на прилегающей территории было начато строительство еще одного снаряжательного завода «О», который вступил в строй в 10.1915г. Мощность заводов составляла 12 и 16 тыс. снарядов в сутки соответственно, затем общая мощность была доведена до 40 тыс. Уже 10.07.1915г. завод получил заказ на снаряжение 1,6 млн. снарядов, а всего по 1917г. были выданы заказы на 17 млн. снарядов. В 12.1915г. было начато строительство специального корпуса для снаряжения химических боеприпасов. Мощность этого производства составляла до 2500 снарядов в сутки. В конце 1916г. освоено снаряжение в небольших количествах 122-мм и 155-мм снарядов.</w:t>
      </w:r>
    </w:p>
    <w:p w14:paraId="33A1C377" w14:textId="77777777" w:rsidR="006D3773" w:rsidRPr="00405303" w:rsidRDefault="006D3773" w:rsidP="00C15251">
      <w:pPr>
        <w:jc w:val="both"/>
        <w:rPr>
          <w:bCs/>
          <w:color w:val="002060"/>
          <w:sz w:val="16"/>
          <w:szCs w:val="16"/>
        </w:rPr>
      </w:pPr>
      <w:r w:rsidRPr="00405303">
        <w:rPr>
          <w:bCs/>
          <w:color w:val="002060"/>
          <w:sz w:val="16"/>
          <w:szCs w:val="16"/>
        </w:rPr>
        <w:t>В 1915г. было снаряжено лишь 52,4 тыс. снарядов; в 1916г. - 7,3 млн. (в т.ч. 930 тыс. химических); в 1917г. - 6,7 млн. (в т.ч. 800 тыс. химических).</w:t>
      </w:r>
    </w:p>
    <w:p w14:paraId="5FD47BBA" w14:textId="77777777" w:rsidR="006D3773" w:rsidRPr="00405303" w:rsidRDefault="006D3773" w:rsidP="00C15251">
      <w:pPr>
        <w:jc w:val="both"/>
        <w:rPr>
          <w:bCs/>
          <w:color w:val="002060"/>
          <w:sz w:val="16"/>
          <w:szCs w:val="16"/>
        </w:rPr>
      </w:pPr>
      <w:r w:rsidRPr="00405303">
        <w:rPr>
          <w:bCs/>
          <w:color w:val="002060"/>
          <w:sz w:val="16"/>
          <w:szCs w:val="16"/>
        </w:rPr>
        <w:lastRenderedPageBreak/>
        <w:t>В 1916г. был построен третий снаряжательный завод в Богородском уезде.</w:t>
      </w:r>
    </w:p>
    <w:p w14:paraId="759B840E" w14:textId="77777777" w:rsidR="006D3773" w:rsidRPr="00405303" w:rsidRDefault="006D3773" w:rsidP="00C15251">
      <w:pPr>
        <w:jc w:val="both"/>
        <w:rPr>
          <w:bCs/>
          <w:color w:val="002060"/>
          <w:sz w:val="16"/>
          <w:szCs w:val="16"/>
        </w:rPr>
      </w:pPr>
      <w:r w:rsidRPr="00405303">
        <w:rPr>
          <w:bCs/>
          <w:color w:val="002060"/>
          <w:sz w:val="16"/>
          <w:szCs w:val="16"/>
        </w:rPr>
        <w:t>В 12.1917г. Второв передал оба завода в ведение ГАУ. В 11.1918г. помещения бывшей фабрики Байера передали под фабрику Гознака, а снаряжательные мастерские - под склады ГАУ. В 1931г. на площадке фабрики Гознака был организован завод по изготовлению штампов, приспособлений и пресс-форм, в 1938г. он был передан в ведение 1ГУ НКОП. В 1939г. завод был влит в состав завода № 1 ОАП НКАП.</w:t>
      </w:r>
    </w:p>
    <w:p w14:paraId="6A260618" w14:textId="77777777" w:rsidR="006D3773" w:rsidRPr="00405303" w:rsidRDefault="006D3773" w:rsidP="00C15251">
      <w:pPr>
        <w:jc w:val="both"/>
        <w:rPr>
          <w:bCs/>
          <w:color w:val="002060"/>
          <w:sz w:val="16"/>
          <w:szCs w:val="16"/>
        </w:rPr>
      </w:pPr>
      <w:r w:rsidRPr="00405303">
        <w:rPr>
          <w:bCs/>
          <w:color w:val="002060"/>
          <w:sz w:val="16"/>
          <w:szCs w:val="16"/>
        </w:rPr>
        <w:t>Численность персонала (1916г.)- около 2000 чел. (11982)</w:t>
      </w:r>
    </w:p>
    <w:p w14:paraId="4FC4AE0B" w14:textId="77777777" w:rsidR="006D3773" w:rsidRPr="00405303" w:rsidRDefault="006D3773" w:rsidP="00C15251">
      <w:pPr>
        <w:jc w:val="both"/>
        <w:rPr>
          <w:bCs/>
          <w:color w:val="002060"/>
          <w:sz w:val="16"/>
          <w:szCs w:val="16"/>
        </w:rPr>
      </w:pPr>
    </w:p>
    <w:p w14:paraId="156E9640"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Морская авиация:</w:t>
      </w:r>
    </w:p>
    <w:p w14:paraId="4E86C74D" w14:textId="77777777" w:rsidR="004B4E35" w:rsidRPr="00405303" w:rsidRDefault="004B4E35" w:rsidP="00C15251">
      <w:pPr>
        <w:pStyle w:val="a3"/>
        <w:jc w:val="both"/>
        <w:rPr>
          <w:bCs/>
          <w:color w:val="002060"/>
          <w:spacing w:val="0"/>
          <w:kern w:val="0"/>
          <w:position w:val="0"/>
          <w:sz w:val="16"/>
          <w:szCs w:val="16"/>
        </w:rPr>
      </w:pPr>
    </w:p>
    <w:p w14:paraId="2398BBB4" w14:textId="2F697D95" w:rsidR="004B4E35" w:rsidRPr="00405303" w:rsidRDefault="009E6F82" w:rsidP="00C15251">
      <w:pPr>
        <w:shd w:val="clear" w:color="auto" w:fill="FFFFFF"/>
        <w:jc w:val="both"/>
        <w:rPr>
          <w:bCs/>
          <w:color w:val="002060"/>
          <w:sz w:val="16"/>
          <w:szCs w:val="16"/>
        </w:rPr>
      </w:pPr>
      <w:r w:rsidRPr="00405303">
        <w:rPr>
          <w:bCs/>
          <w:color w:val="002060"/>
          <w:sz w:val="16"/>
          <w:szCs w:val="16"/>
        </w:rPr>
        <w:t>28 июня (1</w:t>
      </w:r>
      <w:r w:rsidR="009E4EDB" w:rsidRPr="00405303">
        <w:rPr>
          <w:bCs/>
          <w:color w:val="002060"/>
          <w:sz w:val="16"/>
          <w:szCs w:val="16"/>
        </w:rPr>
        <w:t>1</w:t>
      </w:r>
      <w:r w:rsidRPr="00405303">
        <w:rPr>
          <w:bCs/>
          <w:color w:val="002060"/>
          <w:sz w:val="16"/>
          <w:szCs w:val="16"/>
        </w:rPr>
        <w:t xml:space="preserve"> июля) 1915 в рапорте командующего вице-адмирала В.А. Канина на имя Главнокомандующего 6-й армией и Балтийским флотом говорилось:</w:t>
      </w:r>
    </w:p>
    <w:p w14:paraId="35659CFE" w14:textId="77777777" w:rsidR="004B4E35" w:rsidRPr="00405303" w:rsidRDefault="009E6F82" w:rsidP="00C15251">
      <w:pPr>
        <w:jc w:val="both"/>
        <w:rPr>
          <w:bCs/>
          <w:color w:val="002060"/>
          <w:sz w:val="16"/>
          <w:szCs w:val="16"/>
        </w:rPr>
      </w:pPr>
      <w:r w:rsidRPr="00405303">
        <w:rPr>
          <w:bCs/>
          <w:color w:val="002060"/>
          <w:sz w:val="16"/>
          <w:szCs w:val="16"/>
        </w:rPr>
        <w:t xml:space="preserve">"... В последние </w:t>
      </w:r>
      <w:proofErr w:type="gramStart"/>
      <w:r w:rsidRPr="00405303">
        <w:rPr>
          <w:bCs/>
          <w:color w:val="002060"/>
          <w:sz w:val="16"/>
          <w:szCs w:val="16"/>
        </w:rPr>
        <w:t>месяцы,предшествовавшие</w:t>
      </w:r>
      <w:proofErr w:type="gramEnd"/>
      <w:r w:rsidRPr="00405303">
        <w:rPr>
          <w:bCs/>
          <w:color w:val="002060"/>
          <w:sz w:val="16"/>
          <w:szCs w:val="16"/>
        </w:rPr>
        <w:t xml:space="preserve"> войне, была сделана попытка использовать для морской воздушной разведки аппарат Сикорского типа "Илья Муромец", который переделали в гидроаэроплан. Эта переделка отозвалась крайне неудовлетворительно на свойствах аппарата, проектированного для взлета и посадки на земле </w:t>
      </w:r>
      <w:proofErr w:type="gramStart"/>
      <w:r w:rsidRPr="00405303">
        <w:rPr>
          <w:bCs/>
          <w:color w:val="002060"/>
          <w:sz w:val="16"/>
          <w:szCs w:val="16"/>
        </w:rPr>
        <w:t>и</w:t>
      </w:r>
      <w:proofErr w:type="gramEnd"/>
      <w:r w:rsidRPr="00405303">
        <w:rPr>
          <w:bCs/>
          <w:color w:val="002060"/>
          <w:sz w:val="16"/>
          <w:szCs w:val="16"/>
        </w:rPr>
        <w:t xml:space="preserve"> хотя опыты п этом отношении не были закончены, но можно сказать, что отчасти благодаря им аппарат Сикорского был потерян в первые дни войны. Имея теперь сведения о поста</w:t>
      </w:r>
      <w:r w:rsidRPr="00405303">
        <w:rPr>
          <w:bCs/>
          <w:color w:val="002060"/>
          <w:sz w:val="16"/>
          <w:szCs w:val="16"/>
        </w:rPr>
        <w:softHyphen/>
        <w:t>новке дела для постройки аппаратов Сикорского для нужд армии, я ходатайствую о предоставлении возможности получить для нужд Балтийского флота несколько аппа</w:t>
      </w:r>
      <w:r w:rsidRPr="00405303">
        <w:rPr>
          <w:bCs/>
          <w:color w:val="002060"/>
          <w:sz w:val="16"/>
          <w:szCs w:val="16"/>
        </w:rPr>
        <w:softHyphen/>
        <w:t>ратов этого типа.</w:t>
      </w:r>
    </w:p>
    <w:p w14:paraId="1644836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При помощи этих мощных аэропланов явится возможность освещать разведкой не</w:t>
      </w:r>
      <w:r w:rsidRPr="00405303">
        <w:rPr>
          <w:bCs/>
          <w:color w:val="002060"/>
          <w:sz w:val="16"/>
          <w:szCs w:val="16"/>
        </w:rPr>
        <w:softHyphen/>
        <w:t>обходимый для оперативных целей морской район и использовать их для активной борьбы с подводными лодками, требующей большого числа воздушных бомб значи</w:t>
      </w:r>
      <w:r w:rsidRPr="00405303">
        <w:rPr>
          <w:bCs/>
          <w:color w:val="002060"/>
          <w:sz w:val="16"/>
          <w:szCs w:val="16"/>
        </w:rPr>
        <w:softHyphen/>
        <w:t>тельного веса.</w:t>
      </w:r>
    </w:p>
    <w:p w14:paraId="5D71088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Еще одно обстоятельство, имеющее большое значение для воздушных операций, за</w:t>
      </w:r>
      <w:r w:rsidRPr="00405303">
        <w:rPr>
          <w:bCs/>
          <w:color w:val="002060"/>
          <w:sz w:val="16"/>
          <w:szCs w:val="16"/>
        </w:rPr>
        <w:softHyphen/>
        <w:t>ставляет просить о снабжении Балтийского флота аппаратами Сикорского — это низ</w:t>
      </w:r>
      <w:r w:rsidRPr="00405303">
        <w:rPr>
          <w:bCs/>
          <w:color w:val="002060"/>
          <w:sz w:val="16"/>
          <w:szCs w:val="16"/>
        </w:rPr>
        <w:softHyphen/>
        <w:t>кие температуры нашего осеннего и зимнего периода, когда полеты аэропланов ста</w:t>
      </w:r>
      <w:r w:rsidRPr="00405303">
        <w:rPr>
          <w:bCs/>
          <w:color w:val="002060"/>
          <w:sz w:val="16"/>
          <w:szCs w:val="16"/>
        </w:rPr>
        <w:softHyphen/>
        <w:t>новятся крайне затруднительными из-за полной незащищенности летчиков — недо</w:t>
      </w:r>
      <w:r w:rsidRPr="00405303">
        <w:rPr>
          <w:bCs/>
          <w:color w:val="002060"/>
          <w:sz w:val="16"/>
          <w:szCs w:val="16"/>
        </w:rPr>
        <w:softHyphen/>
        <w:t>статок, который устранен на последних аппаратах Сикорского..." (2843).</w:t>
      </w:r>
    </w:p>
    <w:p w14:paraId="546169FA" w14:textId="77777777" w:rsidR="004B4E35" w:rsidRPr="00405303" w:rsidRDefault="004B4E35" w:rsidP="00C15251">
      <w:pPr>
        <w:shd w:val="clear" w:color="auto" w:fill="FFFFFF"/>
        <w:jc w:val="both"/>
        <w:rPr>
          <w:bCs/>
          <w:color w:val="002060"/>
          <w:sz w:val="16"/>
          <w:szCs w:val="16"/>
        </w:rPr>
      </w:pPr>
    </w:p>
    <w:p w14:paraId="382B7F7A" w14:textId="052C4CE5" w:rsidR="004B4E35" w:rsidRPr="00405303" w:rsidRDefault="009E6F82" w:rsidP="00C15251">
      <w:pPr>
        <w:jc w:val="both"/>
        <w:rPr>
          <w:bCs/>
          <w:color w:val="002060"/>
          <w:sz w:val="16"/>
          <w:szCs w:val="16"/>
        </w:rPr>
      </w:pPr>
      <w:r w:rsidRPr="00405303">
        <w:rPr>
          <w:bCs/>
          <w:color w:val="002060"/>
          <w:sz w:val="16"/>
          <w:szCs w:val="16"/>
        </w:rPr>
        <w:t>28 июня (1</w:t>
      </w:r>
      <w:r w:rsidR="009E4EDB" w:rsidRPr="00405303">
        <w:rPr>
          <w:bCs/>
          <w:color w:val="002060"/>
          <w:sz w:val="16"/>
          <w:szCs w:val="16"/>
        </w:rPr>
        <w:t>1</w:t>
      </w:r>
      <w:r w:rsidRPr="00405303">
        <w:rPr>
          <w:bCs/>
          <w:color w:val="002060"/>
          <w:sz w:val="16"/>
          <w:szCs w:val="16"/>
        </w:rPr>
        <w:t xml:space="preserve"> июля) 1915г. в Петрограде на Гутуевом острове была открыта 1-я офицерская школа морской авиации. После заморозков, в октябре, часть морской школы: в виде филиала была переведена в незамерзающий Баку; с 25 февраля 1916г. филиал этот стал самостоятельной Бакинской школой морской авиации (РГВИА, ф.493. оп.2. д.З, л.106.).</w:t>
      </w:r>
    </w:p>
    <w:p w14:paraId="77C6351F" w14:textId="77777777" w:rsidR="004B4E35" w:rsidRPr="00405303" w:rsidRDefault="009E6F82" w:rsidP="00C15251">
      <w:pPr>
        <w:jc w:val="both"/>
        <w:rPr>
          <w:bCs/>
          <w:color w:val="002060"/>
          <w:sz w:val="16"/>
          <w:szCs w:val="16"/>
        </w:rPr>
      </w:pPr>
      <w:r w:rsidRPr="00405303">
        <w:rPr>
          <w:bCs/>
          <w:color w:val="002060"/>
          <w:sz w:val="16"/>
          <w:szCs w:val="16"/>
        </w:rPr>
        <w:t>Подготовка своих летчиков явилась очень важным мероприятием в деле совершенствования авиации флота и повышения уровня боевой готовности ее частей. До этого морское ведомство платило военному 1,5 тыс. руб. за каждого летчикаофицера, подготовленного в военно-авиационных школах и направленного для дальнейшего службы в авиационной части морской авиации (РГАВМФ, 1915-1916 гг., д.14144, лл.6-7.).</w:t>
      </w:r>
    </w:p>
    <w:p w14:paraId="09F0E33F" w14:textId="77777777" w:rsidR="004B4E35" w:rsidRPr="00405303" w:rsidRDefault="004B4E35" w:rsidP="00C15251">
      <w:pPr>
        <w:jc w:val="both"/>
        <w:rPr>
          <w:bCs/>
          <w:color w:val="002060"/>
          <w:sz w:val="16"/>
          <w:szCs w:val="16"/>
        </w:rPr>
      </w:pPr>
    </w:p>
    <w:p w14:paraId="794A9A76" w14:textId="02B07A9F" w:rsidR="004B4E35" w:rsidRPr="00405303" w:rsidRDefault="009E6F82" w:rsidP="00C15251">
      <w:pPr>
        <w:shd w:val="clear" w:color="auto" w:fill="FFFFFF"/>
        <w:jc w:val="both"/>
        <w:rPr>
          <w:bCs/>
          <w:color w:val="002060"/>
          <w:sz w:val="16"/>
          <w:szCs w:val="16"/>
        </w:rPr>
      </w:pPr>
      <w:r w:rsidRPr="00405303">
        <w:rPr>
          <w:bCs/>
          <w:color w:val="002060"/>
          <w:sz w:val="16"/>
          <w:szCs w:val="16"/>
        </w:rPr>
        <w:t>28 июня (1</w:t>
      </w:r>
      <w:r w:rsidR="009E4EDB" w:rsidRPr="00405303">
        <w:rPr>
          <w:bCs/>
          <w:color w:val="002060"/>
          <w:sz w:val="16"/>
          <w:szCs w:val="16"/>
        </w:rPr>
        <w:t>1</w:t>
      </w:r>
      <w:r w:rsidRPr="00405303">
        <w:rPr>
          <w:bCs/>
          <w:color w:val="002060"/>
          <w:sz w:val="16"/>
          <w:szCs w:val="16"/>
        </w:rPr>
        <w:t xml:space="preserve"> июля) 1915 года</w:t>
      </w:r>
      <w:r w:rsidR="0064595E" w:rsidRPr="00405303">
        <w:rPr>
          <w:bCs/>
          <w:color w:val="002060"/>
          <w:sz w:val="16"/>
          <w:szCs w:val="16"/>
        </w:rPr>
        <w:t>, поскольку Качинская школа Отдела воздушного флота к обу</w:t>
      </w:r>
      <w:r w:rsidR="0064595E" w:rsidRPr="00405303">
        <w:rPr>
          <w:bCs/>
          <w:color w:val="002060"/>
          <w:sz w:val="16"/>
          <w:szCs w:val="16"/>
        </w:rPr>
        <w:softHyphen/>
        <w:t>чению морских летчиков относилась не лучшим образом (из-за отсутствия гидроаэропланов), хотя плата за каждого достиг</w:t>
      </w:r>
      <w:r w:rsidR="0064595E" w:rsidRPr="00405303">
        <w:rPr>
          <w:bCs/>
          <w:color w:val="002060"/>
          <w:sz w:val="16"/>
          <w:szCs w:val="16"/>
        </w:rPr>
        <w:softHyphen/>
        <w:t>ла 12000 рублей,</w:t>
      </w:r>
      <w:r w:rsidR="009E4EDB" w:rsidRPr="00405303">
        <w:rPr>
          <w:bCs/>
          <w:color w:val="002060"/>
          <w:sz w:val="16"/>
          <w:szCs w:val="16"/>
        </w:rPr>
        <w:t xml:space="preserve"> на Гутуевском острове </w:t>
      </w:r>
      <w:r w:rsidR="0064595E" w:rsidRPr="00405303">
        <w:rPr>
          <w:bCs/>
          <w:color w:val="002060"/>
          <w:sz w:val="16"/>
          <w:szCs w:val="16"/>
        </w:rPr>
        <w:t>с</w:t>
      </w:r>
      <w:r w:rsidR="009E4EDB" w:rsidRPr="00405303">
        <w:rPr>
          <w:bCs/>
          <w:color w:val="002060"/>
          <w:sz w:val="16"/>
          <w:szCs w:val="16"/>
        </w:rPr>
        <w:t>фициально стала действовать</w:t>
      </w:r>
      <w:r w:rsidR="0064595E" w:rsidRPr="00405303">
        <w:rPr>
          <w:bCs/>
          <w:color w:val="002060"/>
          <w:sz w:val="16"/>
          <w:szCs w:val="16"/>
        </w:rPr>
        <w:t xml:space="preserve"> школу в столице</w:t>
      </w:r>
      <w:r w:rsidRPr="00405303">
        <w:rPr>
          <w:bCs/>
          <w:color w:val="002060"/>
          <w:sz w:val="16"/>
          <w:szCs w:val="16"/>
        </w:rPr>
        <w:t>, получив для обучения офицеров, окончивших теоретические кур</w:t>
      </w:r>
      <w:r w:rsidRPr="00405303">
        <w:rPr>
          <w:bCs/>
          <w:color w:val="002060"/>
          <w:sz w:val="16"/>
          <w:szCs w:val="16"/>
        </w:rPr>
        <w:softHyphen/>
        <w:t>сы, 6 летающих лодок. Первое время школу возглавлял по со</w:t>
      </w:r>
      <w:r w:rsidRPr="00405303">
        <w:rPr>
          <w:bCs/>
          <w:color w:val="002060"/>
          <w:sz w:val="16"/>
          <w:szCs w:val="16"/>
        </w:rPr>
        <w:softHyphen/>
        <w:t>вместительству начальник воздухоплавательного отделения Морского генерального штаба старший лейтенант А. Тучков, его помощником по хозяйственной части и инструктором по обучению на «М-5» стали бывшие черноморские пилоты лейте</w:t>
      </w:r>
      <w:r w:rsidRPr="00405303">
        <w:rPr>
          <w:bCs/>
          <w:color w:val="002060"/>
          <w:sz w:val="16"/>
          <w:szCs w:val="16"/>
        </w:rPr>
        <w:softHyphen/>
        <w:t>нанты Г. Фриде и Б. Миклашевский, а инструктором по обуче</w:t>
      </w:r>
      <w:r w:rsidRPr="00405303">
        <w:rPr>
          <w:bCs/>
          <w:color w:val="002060"/>
          <w:sz w:val="16"/>
          <w:szCs w:val="16"/>
        </w:rPr>
        <w:softHyphen/>
        <w:t>нию на «ФБА» штабс-капитан А. Грузинов - вполне соответ</w:t>
      </w:r>
      <w:r w:rsidRPr="00405303">
        <w:rPr>
          <w:bCs/>
          <w:color w:val="002060"/>
          <w:sz w:val="16"/>
          <w:szCs w:val="16"/>
        </w:rPr>
        <w:softHyphen/>
        <w:t>ствующие этим назначениям (11283).</w:t>
      </w:r>
    </w:p>
    <w:p w14:paraId="3E149202" w14:textId="77777777" w:rsidR="004B4E35" w:rsidRPr="00405303" w:rsidRDefault="004B4E35" w:rsidP="00C15251">
      <w:pPr>
        <w:shd w:val="clear" w:color="auto" w:fill="FFFFFF"/>
        <w:jc w:val="both"/>
        <w:rPr>
          <w:bCs/>
          <w:color w:val="002060"/>
          <w:sz w:val="16"/>
          <w:szCs w:val="16"/>
        </w:rPr>
      </w:pPr>
    </w:p>
    <w:p w14:paraId="7739DE21" w14:textId="77777777" w:rsidR="006D3773" w:rsidRPr="00405303" w:rsidRDefault="006D3773" w:rsidP="00C15251">
      <w:pPr>
        <w:jc w:val="both"/>
        <w:rPr>
          <w:bCs/>
          <w:i/>
          <w:iCs/>
          <w:color w:val="002060"/>
          <w:sz w:val="16"/>
          <w:szCs w:val="16"/>
        </w:rPr>
      </w:pPr>
      <w:r w:rsidRPr="00405303">
        <w:rPr>
          <w:bCs/>
          <w:i/>
          <w:iCs/>
          <w:color w:val="002060"/>
          <w:sz w:val="16"/>
          <w:szCs w:val="16"/>
        </w:rPr>
        <w:t>За рубежом:</w:t>
      </w:r>
    </w:p>
    <w:p w14:paraId="020B8311" w14:textId="77777777" w:rsidR="006D3773" w:rsidRPr="00405303" w:rsidRDefault="006D3773" w:rsidP="00C15251">
      <w:pPr>
        <w:jc w:val="both"/>
        <w:rPr>
          <w:bCs/>
          <w:i/>
          <w:iCs/>
          <w:color w:val="002060"/>
          <w:sz w:val="16"/>
          <w:szCs w:val="16"/>
        </w:rPr>
      </w:pPr>
    </w:p>
    <w:p w14:paraId="0EAFC605" w14:textId="10235A81" w:rsidR="006D3773" w:rsidRPr="00405303" w:rsidRDefault="006D3773" w:rsidP="00C15251">
      <w:pPr>
        <w:jc w:val="both"/>
        <w:rPr>
          <w:bCs/>
          <w:color w:val="002060"/>
          <w:sz w:val="16"/>
          <w:szCs w:val="16"/>
        </w:rPr>
      </w:pPr>
      <w:r w:rsidRPr="00405303">
        <w:rPr>
          <w:bCs/>
          <w:color w:val="002060"/>
          <w:sz w:val="16"/>
          <w:szCs w:val="16"/>
        </w:rPr>
        <w:t>28 июня (11 июля) в 1915 году крейсер «Кенигсберг» тонет у самого берега, и, унося с борта тяжело раненного капитана Лоофа, последние моряки спускаются на берег. Все ценное, в том числе часть артиллерии, удается с крейсера снять. Команда крейсера присоединяется к отрядам фон Леттов-Форбека, и еще в течение двух лет пушки «Кенигсберга» будут вступать в бой в джунглях и на плоскогорьях Восточной Африки, в сотнях километров от берега (14949).</w:t>
      </w:r>
    </w:p>
    <w:p w14:paraId="084C730E" w14:textId="77777777" w:rsidR="006D3773" w:rsidRPr="00405303" w:rsidRDefault="006D3773" w:rsidP="00C15251">
      <w:pPr>
        <w:jc w:val="both"/>
        <w:rPr>
          <w:bCs/>
          <w:color w:val="002060"/>
          <w:sz w:val="16"/>
          <w:szCs w:val="16"/>
        </w:rPr>
      </w:pPr>
    </w:p>
    <w:p w14:paraId="6C8177AC" w14:textId="77777777" w:rsidR="00C81B52" w:rsidRPr="00405303" w:rsidRDefault="00C81B52" w:rsidP="00C81B52">
      <w:pPr>
        <w:pStyle w:val="a3"/>
        <w:jc w:val="both"/>
        <w:rPr>
          <w:bCs/>
          <w:iCs/>
          <w:color w:val="002060"/>
          <w:spacing w:val="0"/>
          <w:kern w:val="0"/>
          <w:position w:val="0"/>
          <w:sz w:val="16"/>
          <w:szCs w:val="16"/>
        </w:rPr>
      </w:pPr>
      <w:r w:rsidRPr="00405303">
        <w:rPr>
          <w:bCs/>
          <w:iCs/>
          <w:color w:val="002060"/>
          <w:spacing w:val="0"/>
          <w:kern w:val="0"/>
          <w:position w:val="0"/>
          <w:sz w:val="16"/>
          <w:szCs w:val="16"/>
        </w:rPr>
        <w:t>Авиация:</w:t>
      </w:r>
    </w:p>
    <w:p w14:paraId="3DD8FF4A" w14:textId="77777777" w:rsidR="00C81B52" w:rsidRPr="00405303" w:rsidRDefault="00C81B52" w:rsidP="00C81B52">
      <w:pPr>
        <w:pStyle w:val="a3"/>
        <w:jc w:val="both"/>
        <w:rPr>
          <w:bCs/>
          <w:iCs/>
          <w:color w:val="002060"/>
          <w:spacing w:val="0"/>
          <w:kern w:val="0"/>
          <w:position w:val="0"/>
          <w:sz w:val="16"/>
          <w:szCs w:val="16"/>
        </w:rPr>
      </w:pPr>
    </w:p>
    <w:p w14:paraId="32FFACB8" w14:textId="77777777" w:rsidR="00C81B52" w:rsidRPr="00405303" w:rsidRDefault="00C81B52" w:rsidP="00C81B52">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29 июня (12 июля) 1915 г. Инструкция № 7 «Для действия специального авиационного отряда для воздушной обороны [И]мператорской резиденции» гласила: «В темную ночь вылет бесцелен, так как разыскание противника невозможно, а для своих войск является крайне трудным отличить свой воздухоплавательный аппарат от неприятельского».</w:t>
      </w:r>
    </w:p>
    <w:p w14:paraId="1591D042" w14:textId="77777777" w:rsidR="00C81B52" w:rsidRPr="00405303" w:rsidRDefault="00C81B52" w:rsidP="00C81B52">
      <w:pPr>
        <w:jc w:val="both"/>
        <w:rPr>
          <w:color w:val="0070C0"/>
          <w:sz w:val="16"/>
          <w:szCs w:val="16"/>
        </w:rPr>
      </w:pPr>
      <w:r w:rsidRPr="00405303">
        <w:rPr>
          <w:rStyle w:val="aa"/>
          <w:rFonts w:ascii="Times New Roman" w:hAnsi="Times New Roman"/>
          <w:color w:val="0070C0"/>
          <w:spacing w:val="0"/>
          <w:sz w:val="16"/>
          <w:szCs w:val="16"/>
        </w:rPr>
        <w:t>В случае возможного воздушного налета противника на Царское Село дежурным самолетам САО предстояло взлетать прямо с Кузьминского шоссе. Время для подготовки к подъему в воздух ограничивалось 20 минутами. При этом авиационному отряду запрещалось действовать зоне зенитного артиллерийского огня. Чтобы исключить несанкционированный обстрел своих самолетов заведующий обороной Императорской резиденции был обязан предупреждать отдельно каждый взвод Отдельной батареи о подъеме в воздух каждого летательного аппарата.</w:t>
      </w:r>
    </w:p>
    <w:p w14:paraId="15EF3D69" w14:textId="77777777" w:rsidR="00C81B52" w:rsidRPr="00405303" w:rsidRDefault="00C81B52" w:rsidP="00C81B52">
      <w:pPr>
        <w:jc w:val="both"/>
        <w:rPr>
          <w:color w:val="0070C0"/>
          <w:sz w:val="16"/>
          <w:szCs w:val="16"/>
        </w:rPr>
      </w:pPr>
      <w:r w:rsidRPr="00405303">
        <w:rPr>
          <w:rStyle w:val="aa"/>
          <w:rFonts w:ascii="Times New Roman" w:hAnsi="Times New Roman"/>
          <w:color w:val="0070C0"/>
          <w:spacing w:val="0"/>
          <w:sz w:val="16"/>
          <w:szCs w:val="16"/>
        </w:rPr>
        <w:t>В ночное время дежурному летчику разрешалось вылетать только в случае «особо благоприятных» условий (периода белых ночей) (25166).</w:t>
      </w:r>
    </w:p>
    <w:p w14:paraId="161398EC" w14:textId="77777777" w:rsidR="00C81B52" w:rsidRPr="00405303" w:rsidRDefault="00C81B52" w:rsidP="00C81B52">
      <w:pPr>
        <w:jc w:val="both"/>
        <w:rPr>
          <w:color w:val="0070C0"/>
          <w:sz w:val="16"/>
          <w:szCs w:val="16"/>
        </w:rPr>
      </w:pPr>
    </w:p>
    <w:p w14:paraId="66A749F1" w14:textId="12EA9724" w:rsidR="009109FF" w:rsidRPr="00405303" w:rsidRDefault="009109FF" w:rsidP="00C15251">
      <w:pPr>
        <w:jc w:val="both"/>
        <w:rPr>
          <w:bCs/>
          <w:i/>
          <w:color w:val="002060"/>
          <w:sz w:val="16"/>
          <w:szCs w:val="16"/>
        </w:rPr>
      </w:pPr>
      <w:r w:rsidRPr="00405303">
        <w:rPr>
          <w:bCs/>
          <w:i/>
          <w:color w:val="002060"/>
          <w:sz w:val="16"/>
          <w:szCs w:val="16"/>
        </w:rPr>
        <w:t>Самолетостроение:</w:t>
      </w:r>
    </w:p>
    <w:p w14:paraId="52D3DE34" w14:textId="77777777" w:rsidR="009109FF" w:rsidRPr="00405303" w:rsidRDefault="009109FF" w:rsidP="00C15251">
      <w:pPr>
        <w:jc w:val="both"/>
        <w:rPr>
          <w:bCs/>
          <w:i/>
          <w:color w:val="002060"/>
          <w:sz w:val="16"/>
          <w:szCs w:val="16"/>
        </w:rPr>
      </w:pPr>
    </w:p>
    <w:p w14:paraId="25005453" w14:textId="102DCD7D" w:rsidR="009109FF" w:rsidRPr="00405303" w:rsidRDefault="009109FF" w:rsidP="00C15251">
      <w:pPr>
        <w:jc w:val="both"/>
        <w:rPr>
          <w:bCs/>
          <w:color w:val="002060"/>
          <w:sz w:val="16"/>
          <w:szCs w:val="16"/>
        </w:rPr>
      </w:pPr>
      <w:r w:rsidRPr="00405303">
        <w:rPr>
          <w:bCs/>
          <w:color w:val="002060"/>
          <w:sz w:val="16"/>
          <w:szCs w:val="16"/>
        </w:rPr>
        <w:t>30 июня (13 июля) 1916 г. из Франции и Великобритании с просьбой прислать чертежи и фото самолетов М-5 и М-9 для ознакомления и внедрения сделанных на них усовершенствований в конструкции французских и английских летающих лодок, что и было сделано (23594).</w:t>
      </w:r>
    </w:p>
    <w:p w14:paraId="18AFA90E" w14:textId="77777777" w:rsidR="009109FF" w:rsidRPr="00405303" w:rsidRDefault="009109FF" w:rsidP="00C15251">
      <w:pPr>
        <w:jc w:val="both"/>
        <w:rPr>
          <w:bCs/>
          <w:color w:val="002060"/>
          <w:sz w:val="16"/>
          <w:szCs w:val="16"/>
        </w:rPr>
      </w:pPr>
    </w:p>
    <w:p w14:paraId="36323B5B" w14:textId="3ACC833F"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401BE9BA" w14:textId="77777777" w:rsidR="004B4E35" w:rsidRPr="00405303" w:rsidRDefault="004B4E35" w:rsidP="00C15251">
      <w:pPr>
        <w:jc w:val="both"/>
        <w:rPr>
          <w:bCs/>
          <w:i/>
          <w:color w:val="002060"/>
          <w:sz w:val="16"/>
          <w:szCs w:val="16"/>
        </w:rPr>
      </w:pPr>
    </w:p>
    <w:p w14:paraId="0242CA61" w14:textId="2B9240F8" w:rsidR="004B4E35" w:rsidRPr="00405303" w:rsidRDefault="009E6F82" w:rsidP="00C15251">
      <w:pPr>
        <w:jc w:val="both"/>
        <w:rPr>
          <w:bCs/>
          <w:color w:val="002060"/>
          <w:sz w:val="16"/>
          <w:szCs w:val="16"/>
        </w:rPr>
      </w:pPr>
      <w:r w:rsidRPr="00405303">
        <w:rPr>
          <w:bCs/>
          <w:color w:val="002060"/>
          <w:sz w:val="16"/>
          <w:szCs w:val="16"/>
        </w:rPr>
        <w:t xml:space="preserve">30 июня </w:t>
      </w:r>
      <w:r w:rsidR="0064595E" w:rsidRPr="00405303">
        <w:rPr>
          <w:bCs/>
          <w:color w:val="002060"/>
          <w:sz w:val="16"/>
          <w:szCs w:val="16"/>
        </w:rPr>
        <w:t xml:space="preserve">(13 июля) </w:t>
      </w:r>
      <w:r w:rsidRPr="00405303">
        <w:rPr>
          <w:bCs/>
          <w:color w:val="002060"/>
          <w:sz w:val="16"/>
          <w:szCs w:val="16"/>
        </w:rPr>
        <w:t xml:space="preserve">1915 года линкор </w:t>
      </w:r>
      <w:r w:rsidR="0064595E" w:rsidRPr="00405303">
        <w:rPr>
          <w:bCs/>
          <w:color w:val="002060"/>
          <w:sz w:val="16"/>
          <w:szCs w:val="16"/>
        </w:rPr>
        <w:t>«Императрица Мария»</w:t>
      </w:r>
      <w:r w:rsidRPr="00405303">
        <w:rPr>
          <w:bCs/>
          <w:color w:val="002060"/>
          <w:sz w:val="16"/>
          <w:szCs w:val="16"/>
        </w:rPr>
        <w:t xml:space="preserve"> в охранении кораблей Черноморского флота впервые вошел в гавань Севастополя, был торжественно встречен экипажами кораблей и жителями города. </w:t>
      </w:r>
    </w:p>
    <w:p w14:paraId="575A91D3" w14:textId="77777777" w:rsidR="004B4E35" w:rsidRPr="00405303" w:rsidRDefault="009E6F82" w:rsidP="00C15251">
      <w:pPr>
        <w:jc w:val="both"/>
        <w:rPr>
          <w:bCs/>
          <w:color w:val="002060"/>
          <w:sz w:val="16"/>
          <w:szCs w:val="16"/>
        </w:rPr>
      </w:pPr>
      <w:r w:rsidRPr="00405303">
        <w:rPr>
          <w:bCs/>
          <w:color w:val="002060"/>
          <w:sz w:val="16"/>
          <w:szCs w:val="16"/>
        </w:rPr>
        <w:t xml:space="preserve">«Императрица Мария» успела принять активное участие в Первой мировой войне, в боевых операциях против германо-турецкого флота. </w:t>
      </w:r>
    </w:p>
    <w:p w14:paraId="48993A66" w14:textId="77777777" w:rsidR="004B4E35" w:rsidRPr="00405303" w:rsidRDefault="009E6F82" w:rsidP="00C15251">
      <w:pPr>
        <w:jc w:val="both"/>
        <w:rPr>
          <w:bCs/>
          <w:color w:val="002060"/>
          <w:sz w:val="16"/>
          <w:szCs w:val="16"/>
        </w:rPr>
      </w:pPr>
      <w:r w:rsidRPr="00405303">
        <w:rPr>
          <w:bCs/>
          <w:color w:val="002060"/>
          <w:sz w:val="16"/>
          <w:szCs w:val="16"/>
        </w:rPr>
        <w:t>С 13 по 15 октября 1915 года линкор прикрывал действия 2-й бригады линейных кораблей «Пантелеймон», «Иоаннн Златоуст» и «Евстафий». Со 2 по 4 и с 6 по 8 ноября 1915 года содействовал 2-й бригаде во время обстрела Варны и Евсинограда. С 5 февраля по 18 апреля 1916 года участвовал в Трапезундской наступательной операции. В течение июня — октября 1916 года «Императрица Мария» совершила 24 эффективных боевых похода. В частности, 22 мая 1916 года она осуществила перехват немецкого крейсера «Бреслау». Если бы немецкий крейсер не спрятался за плотной стеной дождя в проливе Босфор, то 305-мм снаряды русского линкора наверняка «почесали» бы его броневую спину (11646).</w:t>
      </w:r>
    </w:p>
    <w:p w14:paraId="3962375E" w14:textId="42343FDA" w:rsidR="004B4E35" w:rsidRPr="00405303" w:rsidRDefault="004B4E35" w:rsidP="00C15251">
      <w:pPr>
        <w:pStyle w:val="a3"/>
        <w:jc w:val="both"/>
        <w:rPr>
          <w:bCs/>
          <w:i w:val="0"/>
          <w:color w:val="002060"/>
          <w:spacing w:val="0"/>
          <w:kern w:val="0"/>
          <w:position w:val="0"/>
          <w:sz w:val="16"/>
          <w:szCs w:val="16"/>
        </w:rPr>
      </w:pPr>
    </w:p>
    <w:p w14:paraId="563268C6" w14:textId="2BD35449" w:rsidR="009109FF" w:rsidRPr="00405303" w:rsidRDefault="009109FF" w:rsidP="00C15251">
      <w:pPr>
        <w:pStyle w:val="a3"/>
        <w:jc w:val="both"/>
        <w:rPr>
          <w:bCs/>
          <w:iCs/>
          <w:color w:val="002060"/>
          <w:spacing w:val="0"/>
          <w:kern w:val="0"/>
          <w:position w:val="0"/>
          <w:sz w:val="16"/>
          <w:szCs w:val="16"/>
        </w:rPr>
      </w:pPr>
      <w:r w:rsidRPr="00405303">
        <w:rPr>
          <w:bCs/>
          <w:iCs/>
          <w:color w:val="002060"/>
          <w:spacing w:val="0"/>
          <w:kern w:val="0"/>
          <w:position w:val="0"/>
          <w:sz w:val="16"/>
          <w:szCs w:val="16"/>
        </w:rPr>
        <w:t>Армия:</w:t>
      </w:r>
    </w:p>
    <w:p w14:paraId="49DB0084" w14:textId="77777777" w:rsidR="009109FF" w:rsidRPr="00405303" w:rsidRDefault="009109FF" w:rsidP="00C15251">
      <w:pPr>
        <w:pStyle w:val="a3"/>
        <w:jc w:val="both"/>
        <w:rPr>
          <w:bCs/>
          <w:iCs/>
          <w:color w:val="002060"/>
          <w:spacing w:val="0"/>
          <w:kern w:val="0"/>
          <w:position w:val="0"/>
          <w:sz w:val="16"/>
          <w:szCs w:val="16"/>
        </w:rPr>
      </w:pPr>
    </w:p>
    <w:p w14:paraId="3F057DF7" w14:textId="04C153D5" w:rsidR="009109FF" w:rsidRPr="00405303" w:rsidRDefault="009109FF" w:rsidP="00C15251">
      <w:pPr>
        <w:jc w:val="both"/>
        <w:rPr>
          <w:bCs/>
          <w:color w:val="002060"/>
          <w:sz w:val="16"/>
          <w:szCs w:val="16"/>
        </w:rPr>
      </w:pPr>
      <w:r w:rsidRPr="00405303">
        <w:rPr>
          <w:bCs/>
          <w:color w:val="002060"/>
          <w:sz w:val="16"/>
          <w:szCs w:val="16"/>
          <w:lang w:bidi="en-US"/>
        </w:rPr>
        <w:t>30 июня (13 июля) 1915 г. новый военный министр России генерал Поливанов предупредил своих коллег, что «деморализация, намерение сдаться и дезертирство приобретают высокие масштабы» (23525).</w:t>
      </w:r>
    </w:p>
    <w:p w14:paraId="50BE42F9" w14:textId="77777777" w:rsidR="009109FF" w:rsidRPr="00405303" w:rsidRDefault="009109FF" w:rsidP="00C15251">
      <w:pPr>
        <w:jc w:val="both"/>
        <w:rPr>
          <w:bCs/>
          <w:color w:val="002060"/>
          <w:sz w:val="16"/>
          <w:szCs w:val="16"/>
        </w:rPr>
      </w:pPr>
    </w:p>
    <w:p w14:paraId="69826988" w14:textId="66EA696A" w:rsidR="0002695B" w:rsidRPr="00405303" w:rsidRDefault="0002695B" w:rsidP="00C15251">
      <w:pPr>
        <w:pStyle w:val="a3"/>
        <w:jc w:val="both"/>
        <w:rPr>
          <w:bCs/>
          <w:iCs/>
          <w:color w:val="002060"/>
          <w:spacing w:val="0"/>
          <w:kern w:val="0"/>
          <w:position w:val="0"/>
          <w:sz w:val="16"/>
          <w:szCs w:val="16"/>
        </w:rPr>
      </w:pPr>
      <w:r w:rsidRPr="00405303">
        <w:rPr>
          <w:bCs/>
          <w:iCs/>
          <w:color w:val="002060"/>
          <w:spacing w:val="0"/>
          <w:kern w:val="0"/>
          <w:position w:val="0"/>
          <w:sz w:val="16"/>
          <w:szCs w:val="16"/>
        </w:rPr>
        <w:t>Авиация:</w:t>
      </w:r>
    </w:p>
    <w:p w14:paraId="5D3E26C1" w14:textId="77777777" w:rsidR="0002695B" w:rsidRPr="00405303" w:rsidRDefault="0002695B" w:rsidP="00C15251">
      <w:pPr>
        <w:pStyle w:val="a3"/>
        <w:jc w:val="both"/>
        <w:rPr>
          <w:bCs/>
          <w:iCs/>
          <w:color w:val="002060"/>
          <w:spacing w:val="0"/>
          <w:kern w:val="0"/>
          <w:position w:val="0"/>
          <w:sz w:val="16"/>
          <w:szCs w:val="16"/>
        </w:rPr>
      </w:pPr>
    </w:p>
    <w:p w14:paraId="469A1F33" w14:textId="77777777" w:rsidR="0002695B" w:rsidRPr="00405303" w:rsidRDefault="0002695B" w:rsidP="00C15251">
      <w:pPr>
        <w:jc w:val="both"/>
        <w:rPr>
          <w:bCs/>
          <w:color w:val="002060"/>
          <w:sz w:val="16"/>
          <w:szCs w:val="16"/>
        </w:rPr>
      </w:pPr>
      <w:r w:rsidRPr="00405303">
        <w:rPr>
          <w:bCs/>
          <w:color w:val="002060"/>
          <w:sz w:val="16"/>
          <w:szCs w:val="16"/>
        </w:rPr>
        <w:t>30 июня (13 июля) 1915 г. командир 33 КAO И.И.Масальский повторно сбросил на скопление противника в районе Прасныша бомбы с удушливыми газами, а летчик Ново-Георгиевского крепостного отряда К.К.Вакуловский сбросил в районе Плоцка зажигательные бомбы в засеянные поля. Возникший при этом пoжap охватил все поле.</w:t>
      </w:r>
    </w:p>
    <w:p w14:paraId="21ABC3FE" w14:textId="77777777" w:rsidR="0002695B" w:rsidRPr="00405303" w:rsidRDefault="0002695B" w:rsidP="00C15251">
      <w:pPr>
        <w:jc w:val="both"/>
        <w:rPr>
          <w:bCs/>
          <w:color w:val="002060"/>
          <w:sz w:val="16"/>
          <w:szCs w:val="16"/>
        </w:rPr>
      </w:pPr>
      <w:r w:rsidRPr="00405303">
        <w:rPr>
          <w:bCs/>
          <w:color w:val="002060"/>
          <w:sz w:val="16"/>
          <w:szCs w:val="16"/>
        </w:rPr>
        <w:t>/ЦГВИА, ф. 2003, оп. 2, д. 119, лл. 52,54/ (23320).</w:t>
      </w:r>
    </w:p>
    <w:p w14:paraId="558AA04B" w14:textId="77777777" w:rsidR="0002695B" w:rsidRPr="00405303" w:rsidRDefault="0002695B" w:rsidP="00C15251">
      <w:pPr>
        <w:jc w:val="both"/>
        <w:rPr>
          <w:bCs/>
          <w:color w:val="002060"/>
          <w:sz w:val="16"/>
          <w:szCs w:val="16"/>
        </w:rPr>
      </w:pPr>
    </w:p>
    <w:p w14:paraId="70E45970" w14:textId="54CD9C28" w:rsidR="009109FF" w:rsidRPr="00405303" w:rsidRDefault="009109FF" w:rsidP="00C15251">
      <w:pPr>
        <w:jc w:val="both"/>
        <w:rPr>
          <w:bCs/>
          <w:color w:val="002060"/>
          <w:sz w:val="16"/>
          <w:szCs w:val="16"/>
        </w:rPr>
      </w:pPr>
      <w:r w:rsidRPr="00405303">
        <w:rPr>
          <w:bCs/>
          <w:color w:val="002060"/>
          <w:sz w:val="16"/>
          <w:szCs w:val="16"/>
        </w:rPr>
        <w:t>30 июня (13 июля) 1915 г. немецкий самолет провел бомбометание военных объектов в г. Жирардов (23405).</w:t>
      </w:r>
    </w:p>
    <w:p w14:paraId="0348011F" w14:textId="77777777" w:rsidR="009109FF" w:rsidRPr="00405303" w:rsidRDefault="009109FF" w:rsidP="00C15251">
      <w:pPr>
        <w:jc w:val="both"/>
        <w:rPr>
          <w:bCs/>
          <w:color w:val="002060"/>
          <w:sz w:val="16"/>
          <w:szCs w:val="16"/>
          <w:lang w:bidi="ru-RU"/>
        </w:rPr>
      </w:pPr>
    </w:p>
    <w:p w14:paraId="2C53A0C5" w14:textId="77777777" w:rsidR="00C81B52" w:rsidRPr="00405303" w:rsidRDefault="00C81B52" w:rsidP="00C81B52">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30 июня (13 июля) 1915 г. с германского самолета было сброшено три бомбы в один из наших полевых госпиталей, не причинившие ему никаких потерь и повреждений.</w:t>
      </w:r>
    </w:p>
    <w:p w14:paraId="1F4B6183" w14:textId="77777777" w:rsidR="00C81B52" w:rsidRPr="00405303" w:rsidRDefault="00C81B52" w:rsidP="00C81B52">
      <w:pPr>
        <w:jc w:val="both"/>
        <w:rPr>
          <w:color w:val="0070C0"/>
          <w:sz w:val="16"/>
          <w:szCs w:val="16"/>
        </w:rPr>
      </w:pPr>
      <w:r w:rsidRPr="00405303">
        <w:rPr>
          <w:rStyle w:val="aa"/>
          <w:rFonts w:ascii="Times New Roman" w:hAnsi="Times New Roman"/>
          <w:color w:val="0070C0"/>
          <w:spacing w:val="0"/>
          <w:sz w:val="16"/>
          <w:szCs w:val="16"/>
        </w:rPr>
        <w:t>На Млавском направлении наш аэроплан, совершавший воздушную разведку позиций противника, был атакован двумя неприятельскими «Альбатросами». В перестрелке экипажей из винтовок на высоте 2 км немецкие летчики безрезультатно расстреляли все свои патроны и вскоре покинули поле боя (25135).</w:t>
      </w:r>
    </w:p>
    <w:p w14:paraId="29E89E0E" w14:textId="77777777" w:rsidR="00C81B52" w:rsidRPr="00405303" w:rsidRDefault="00C81B52" w:rsidP="00C81B52">
      <w:pPr>
        <w:jc w:val="both"/>
        <w:rPr>
          <w:color w:val="0070C0"/>
          <w:sz w:val="16"/>
          <w:szCs w:val="16"/>
        </w:rPr>
      </w:pPr>
    </w:p>
    <w:p w14:paraId="1C9ED359" w14:textId="625B3D1C" w:rsidR="00323177" w:rsidRPr="00405303" w:rsidRDefault="00323177" w:rsidP="00C15251">
      <w:pPr>
        <w:jc w:val="both"/>
        <w:rPr>
          <w:bCs/>
          <w:color w:val="002060"/>
          <w:sz w:val="16"/>
          <w:szCs w:val="16"/>
          <w:lang w:bidi="en-US"/>
        </w:rPr>
      </w:pPr>
      <w:r w:rsidRPr="00405303">
        <w:rPr>
          <w:bCs/>
          <w:color w:val="002060"/>
          <w:sz w:val="16"/>
          <w:szCs w:val="16"/>
          <w:lang w:bidi="en-US"/>
        </w:rPr>
        <w:t>30 июня (13 июля) 1915 г. немецкая армейская группа «Гальвиц» при поддержке трех цеппелинов начала атаки на 1-ю русскую армию северо-восточнее Варшавы на реке Нарев. В дождь и сильный туман немецкие летчики сообщили об общем отступлении русских. Далее, 15 июля, немецкая Неменская Армия открыла наступление на Ковно (23525).</w:t>
      </w:r>
    </w:p>
    <w:p w14:paraId="141EB096" w14:textId="77777777" w:rsidR="00323177" w:rsidRPr="00405303" w:rsidRDefault="00323177" w:rsidP="00C15251">
      <w:pPr>
        <w:jc w:val="both"/>
        <w:rPr>
          <w:bCs/>
          <w:color w:val="002060"/>
          <w:sz w:val="16"/>
          <w:szCs w:val="16"/>
        </w:rPr>
      </w:pPr>
    </w:p>
    <w:p w14:paraId="07F2E299" w14:textId="77777777" w:rsidR="000616D6" w:rsidRPr="00405303" w:rsidRDefault="000616D6" w:rsidP="00C15251">
      <w:pPr>
        <w:jc w:val="both"/>
        <w:rPr>
          <w:bCs/>
          <w:i/>
          <w:color w:val="002060"/>
          <w:sz w:val="16"/>
          <w:szCs w:val="16"/>
        </w:rPr>
      </w:pPr>
      <w:r w:rsidRPr="00405303">
        <w:rPr>
          <w:bCs/>
          <w:i/>
          <w:color w:val="002060"/>
          <w:sz w:val="16"/>
          <w:szCs w:val="16"/>
        </w:rPr>
        <w:t>Другие оборонные отрасли:</w:t>
      </w:r>
    </w:p>
    <w:p w14:paraId="0BEBCC12" w14:textId="77777777" w:rsidR="000616D6" w:rsidRPr="00405303" w:rsidRDefault="000616D6" w:rsidP="00C15251">
      <w:pPr>
        <w:jc w:val="both"/>
        <w:rPr>
          <w:bCs/>
          <w:i/>
          <w:color w:val="002060"/>
          <w:sz w:val="16"/>
          <w:szCs w:val="16"/>
        </w:rPr>
      </w:pPr>
    </w:p>
    <w:p w14:paraId="700082C3" w14:textId="77777777" w:rsidR="00445026" w:rsidRPr="00405303" w:rsidRDefault="00445026" w:rsidP="00C15251">
      <w:pPr>
        <w:pStyle w:val="ae"/>
        <w:spacing w:before="0" w:beforeAutospacing="0" w:after="0" w:afterAutospacing="0"/>
        <w:jc w:val="both"/>
        <w:rPr>
          <w:bCs/>
          <w:color w:val="002060"/>
          <w:sz w:val="16"/>
          <w:szCs w:val="16"/>
        </w:rPr>
      </w:pPr>
      <w:r w:rsidRPr="00405303">
        <w:rPr>
          <w:bCs/>
          <w:color w:val="002060"/>
          <w:sz w:val="16"/>
          <w:szCs w:val="16"/>
        </w:rPr>
        <w:t>В конце июня 1915 г., т. е. через год после начала войны было принято последнее решение о новом удвоении производства пороха в 450 тыс. пуд. На протяжении первого года войны трижды принимать решение о расширении трех казенных заводов с 290 тыс. пуд. пороха до 910 тыс. пуд. в год</w:t>
      </w:r>
      <w:bookmarkStart w:id="174" w:name="74r"/>
      <w:bookmarkEnd w:id="174"/>
      <w:r w:rsidRPr="00405303">
        <w:rPr>
          <w:bCs/>
          <w:color w:val="002060"/>
          <w:sz w:val="16"/>
          <w:szCs w:val="16"/>
        </w:rPr>
        <w:t>. Фактически речь шла о постройке новых заводов на территории старых. Это правильное решение было принято с большим опозданием и не могло быть выполнено в строительный сезон 1915 г. Правительство дало заказы на 170 тыс. пуд. пороха частному Шлиссельбургскому заводу и на 150 тыс. пуд. заводу Барановского. Шлиссельбургский завод поставил к осени 1915 г. около 100 тыс. пуд. пороха, завод же Барановского и осенью 1915 г. не приступил к производству пороха.</w:t>
      </w:r>
    </w:p>
    <w:p w14:paraId="5EA563D5" w14:textId="77777777" w:rsidR="00445026" w:rsidRPr="00405303" w:rsidRDefault="00445026" w:rsidP="00C15251">
      <w:pPr>
        <w:pStyle w:val="ae"/>
        <w:spacing w:before="0" w:beforeAutospacing="0" w:after="0" w:afterAutospacing="0"/>
        <w:jc w:val="both"/>
        <w:rPr>
          <w:bCs/>
          <w:color w:val="002060"/>
          <w:sz w:val="16"/>
          <w:szCs w:val="16"/>
        </w:rPr>
      </w:pPr>
      <w:r w:rsidRPr="00405303">
        <w:rPr>
          <w:bCs/>
          <w:color w:val="002060"/>
          <w:sz w:val="16"/>
          <w:szCs w:val="16"/>
        </w:rPr>
        <w:t>Однако принятые меры могли обеспечить лишь незначительную часть потребностей в порохе. Так, в октябре 1914 г. заводы давали лишь 21 тыс. пуд из необходимых 88 тыс., или около 25% необходимого. Недоставало 67 тыс. пуд. в месяц, которые надо было покрывать заграничным ввозом.</w:t>
      </w:r>
    </w:p>
    <w:p w14:paraId="09F3B8ED" w14:textId="77777777" w:rsidR="00445026" w:rsidRPr="00405303" w:rsidRDefault="00445026" w:rsidP="00C15251">
      <w:pPr>
        <w:pStyle w:val="ae"/>
        <w:spacing w:before="0" w:beforeAutospacing="0" w:after="0" w:afterAutospacing="0"/>
        <w:jc w:val="both"/>
        <w:rPr>
          <w:bCs/>
          <w:color w:val="002060"/>
          <w:sz w:val="16"/>
          <w:szCs w:val="16"/>
        </w:rPr>
      </w:pPr>
      <w:r w:rsidRPr="00405303">
        <w:rPr>
          <w:bCs/>
          <w:color w:val="002060"/>
          <w:sz w:val="16"/>
          <w:szCs w:val="16"/>
        </w:rPr>
        <w:t>Внутреннее производство покрывало всего лишь от ¼ до ⅓ потребности. Однако работники ГАУ и член Верховной следственной комиссии С. Т. Варун-Секрет, проводивший следствие о снабжении армии порохом, утверждали, что «недостаток пушечного пороха... не мог служить первопричиной недостаточного и неполного снабжения армии огнестрельными припасами, что артиллерийское ведомство даже с некоторым избытком могло дать пушечный порох сравнительно с тем количеством остальных элементов выстрелов (снаряды и трубки), которые оно могло посылать в армию с начала войны и до октября месяца 1915 года»</w:t>
      </w:r>
      <w:bookmarkStart w:id="175" w:name="75r"/>
      <w:bookmarkEnd w:id="175"/>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"75p"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75</w:t>
      </w:r>
      <w:r w:rsidR="00617EB0" w:rsidRPr="00405303">
        <w:rPr>
          <w:bCs/>
          <w:color w:val="002060"/>
          <w:sz w:val="16"/>
          <w:szCs w:val="16"/>
          <w:vertAlign w:val="superscript"/>
        </w:rPr>
        <w:fldChar w:fldCharType="end"/>
      </w:r>
      <w:r w:rsidRPr="00405303">
        <w:rPr>
          <w:bCs/>
          <w:color w:val="002060"/>
          <w:sz w:val="16"/>
          <w:szCs w:val="16"/>
        </w:rPr>
        <w:t>. Эта явно ошибочная позиция преследовала задачу реабилитировать военное ведомство. Такое «заключение» находится в вопиющем противоречии с фактами. В ноябре 1914 г. военный министр предложил ГАУ принять «самые решительные меры для изыскания способов получить необходимый ему порох»</w:t>
      </w:r>
      <w:bookmarkStart w:id="176" w:name="76r"/>
      <w:bookmarkEnd w:id="176"/>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"76p"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76</w:t>
      </w:r>
      <w:r w:rsidR="00617EB0" w:rsidRPr="00405303">
        <w:rPr>
          <w:bCs/>
          <w:color w:val="002060"/>
          <w:sz w:val="16"/>
          <w:szCs w:val="16"/>
          <w:vertAlign w:val="superscript"/>
        </w:rPr>
        <w:fldChar w:fldCharType="end"/>
      </w:r>
      <w:r w:rsidRPr="00405303">
        <w:rPr>
          <w:bCs/>
          <w:color w:val="002060"/>
          <w:sz w:val="16"/>
          <w:szCs w:val="16"/>
        </w:rPr>
        <w:t>. На снаряжение снарядов предлагалось употреблять черный, дымный порох. Так же остро обстояло дело и через год (18524).</w:t>
      </w:r>
    </w:p>
    <w:p w14:paraId="660A07B4" w14:textId="77777777" w:rsidR="00445026" w:rsidRPr="00405303" w:rsidRDefault="00445026" w:rsidP="00C15251">
      <w:pPr>
        <w:pStyle w:val="ae"/>
        <w:spacing w:before="0" w:beforeAutospacing="0" w:after="0" w:afterAutospacing="0"/>
        <w:jc w:val="both"/>
        <w:rPr>
          <w:bCs/>
          <w:color w:val="002060"/>
          <w:sz w:val="16"/>
          <w:szCs w:val="16"/>
        </w:rPr>
      </w:pPr>
    </w:p>
    <w:p w14:paraId="044E4B23" w14:textId="3E6E6426" w:rsidR="00E274C3" w:rsidRPr="00405303" w:rsidRDefault="00E274C3" w:rsidP="00C15251">
      <w:pPr>
        <w:jc w:val="both"/>
        <w:rPr>
          <w:bCs/>
          <w:i/>
          <w:color w:val="002060"/>
          <w:sz w:val="16"/>
          <w:szCs w:val="16"/>
        </w:rPr>
      </w:pPr>
      <w:r w:rsidRPr="00405303">
        <w:rPr>
          <w:bCs/>
          <w:i/>
          <w:color w:val="002060"/>
          <w:sz w:val="16"/>
          <w:szCs w:val="16"/>
        </w:rPr>
        <w:t>Авиация:</w:t>
      </w:r>
    </w:p>
    <w:p w14:paraId="3CB6697C" w14:textId="77777777" w:rsidR="00E274C3" w:rsidRPr="00405303" w:rsidRDefault="00E274C3" w:rsidP="00C15251">
      <w:pPr>
        <w:jc w:val="both"/>
        <w:rPr>
          <w:bCs/>
          <w:i/>
          <w:color w:val="002060"/>
          <w:sz w:val="16"/>
          <w:szCs w:val="16"/>
        </w:rPr>
      </w:pPr>
    </w:p>
    <w:p w14:paraId="3CF98B6B" w14:textId="77777777" w:rsidR="00E274C3" w:rsidRPr="00405303" w:rsidRDefault="00E274C3" w:rsidP="00C15251">
      <w:pPr>
        <w:jc w:val="both"/>
        <w:rPr>
          <w:bCs/>
          <w:color w:val="002060"/>
          <w:sz w:val="16"/>
          <w:szCs w:val="16"/>
        </w:rPr>
      </w:pPr>
      <w:bookmarkStart w:id="177" w:name="bookmark198"/>
      <w:r w:rsidRPr="00405303">
        <w:rPr>
          <w:bCs/>
          <w:color w:val="002060"/>
          <w:sz w:val="16"/>
          <w:szCs w:val="16"/>
        </w:rPr>
        <w:t>В последнюю неделю июня 1915 г. наиболее интенсивно неприятельская авиация работала в районе г. Жирардов, н/п Альт-Ауца, Новый Двор, Янов и др., чередуя ведение воздушной разведки с их бомбардировкой (23405).</w:t>
      </w:r>
      <w:bookmarkEnd w:id="177"/>
    </w:p>
    <w:p w14:paraId="4C666BC0" w14:textId="77777777" w:rsidR="00E274C3" w:rsidRPr="00405303" w:rsidRDefault="00E274C3" w:rsidP="00C15251">
      <w:pPr>
        <w:jc w:val="both"/>
        <w:rPr>
          <w:bCs/>
          <w:color w:val="002060"/>
          <w:sz w:val="16"/>
          <w:szCs w:val="16"/>
          <w:lang w:bidi="ru-RU"/>
        </w:rPr>
      </w:pPr>
    </w:p>
    <w:p w14:paraId="0EF263D1" w14:textId="77777777" w:rsidR="00C81B52" w:rsidRPr="00405303" w:rsidRDefault="00C81B52" w:rsidP="00C81B52">
      <w:pPr>
        <w:jc w:val="both"/>
        <w:rPr>
          <w:color w:val="0070C0"/>
          <w:sz w:val="16"/>
          <w:szCs w:val="16"/>
        </w:rPr>
      </w:pPr>
      <w:r w:rsidRPr="00405303">
        <w:rPr>
          <w:rStyle w:val="aa"/>
          <w:rFonts w:ascii="Times New Roman" w:hAnsi="Times New Roman"/>
          <w:color w:val="0070C0"/>
          <w:spacing w:val="0"/>
          <w:sz w:val="16"/>
          <w:szCs w:val="16"/>
        </w:rPr>
        <w:t>В последнюю неделю июня 1915 г. наиболее интенсивно неприятельская авиация работала в районе г. Жирардов, н/п Альт-Ауца, Новый Двор, Янов и др., чередуя ведение воздушной разведки с их бомбардировкой (25135).</w:t>
      </w:r>
    </w:p>
    <w:p w14:paraId="03EBFA62" w14:textId="77777777" w:rsidR="00C81B52" w:rsidRPr="00405303" w:rsidRDefault="00C81B52" w:rsidP="00C81B52">
      <w:pPr>
        <w:jc w:val="both"/>
        <w:rPr>
          <w:rStyle w:val="aa"/>
          <w:rFonts w:ascii="Times New Roman" w:hAnsi="Times New Roman"/>
          <w:color w:val="0070C0"/>
          <w:spacing w:val="0"/>
          <w:sz w:val="16"/>
          <w:szCs w:val="16"/>
        </w:rPr>
      </w:pPr>
    </w:p>
    <w:p w14:paraId="29D679A8" w14:textId="4AA5262D"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2405DFC6" w14:textId="77777777" w:rsidR="004B4E35" w:rsidRPr="00405303" w:rsidRDefault="004B4E35" w:rsidP="00C15251">
      <w:pPr>
        <w:jc w:val="both"/>
        <w:rPr>
          <w:bCs/>
          <w:i/>
          <w:color w:val="002060"/>
          <w:sz w:val="16"/>
          <w:szCs w:val="16"/>
        </w:rPr>
      </w:pPr>
    </w:p>
    <w:p w14:paraId="10667C2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кон</w:t>
      </w:r>
      <w:r w:rsidRPr="00405303">
        <w:rPr>
          <w:bCs/>
          <w:color w:val="002060"/>
          <w:sz w:val="16"/>
          <w:szCs w:val="16"/>
        </w:rPr>
        <w:softHyphen/>
        <w:t>це июня 1915 «Николай I» совместно с другими кораблями со</w:t>
      </w:r>
      <w:r w:rsidRPr="00405303">
        <w:rPr>
          <w:bCs/>
          <w:color w:val="002060"/>
          <w:sz w:val="16"/>
          <w:szCs w:val="16"/>
        </w:rPr>
        <w:softHyphen/>
        <w:t>провождал переход новейшего русского линкора «Импе</w:t>
      </w:r>
      <w:r w:rsidRPr="00405303">
        <w:rPr>
          <w:bCs/>
          <w:color w:val="002060"/>
          <w:sz w:val="16"/>
          <w:szCs w:val="16"/>
        </w:rPr>
        <w:softHyphen/>
        <w:t>ратрица Мария» из Одессы в Севастополь (11107).</w:t>
      </w:r>
    </w:p>
    <w:p w14:paraId="46B6D4F7" w14:textId="77777777" w:rsidR="004B4E35" w:rsidRPr="00405303" w:rsidRDefault="004B4E35" w:rsidP="00C15251">
      <w:pPr>
        <w:shd w:val="clear" w:color="auto" w:fill="FFFFFF"/>
        <w:jc w:val="both"/>
        <w:rPr>
          <w:bCs/>
          <w:color w:val="002060"/>
          <w:sz w:val="16"/>
          <w:szCs w:val="16"/>
        </w:rPr>
      </w:pPr>
    </w:p>
    <w:p w14:paraId="6F14E2EA" w14:textId="77777777" w:rsidR="004B4E35" w:rsidRPr="00405303" w:rsidRDefault="009E6F82" w:rsidP="00C15251">
      <w:pPr>
        <w:jc w:val="both"/>
        <w:rPr>
          <w:bCs/>
          <w:color w:val="002060"/>
          <w:sz w:val="16"/>
          <w:szCs w:val="16"/>
        </w:rPr>
      </w:pPr>
      <w:r w:rsidRPr="00405303">
        <w:rPr>
          <w:bCs/>
          <w:color w:val="002060"/>
          <w:sz w:val="16"/>
          <w:szCs w:val="16"/>
        </w:rPr>
        <w:t>В конце июня 1915 г. переговоры старшего лейтенанта Тучкова с начальником воздушного района службы связи Балтийского моря старшим лейтенантом Щербаковым, свидетельствуют о первых попытках в этом направлении. "...Вчера на заводе встретил лётчика поручика Станюковича и его наблюдателя штабс-капитана Думбадзе, которого Литвинов хорошо знает, они мне рассказали, что несут морскую разведку около Виндавы и Либавы, бросали бомбу в Либавской газани в крейсер и миноносец, иногда выходят в море на аппарате "Вуазен" с расчётом спланировать на берег, два раза видели в море эскадру, но не знали чью, решили бомб не бросать в корабли и полки, находящиеся вне Либавы так как это могут быть свои. Лётчики находятся в распоряжении штаба 5-й армии около Митавы. Советую войти в тесное соприкосновение с нашей, и их разведками. Предложил Виндаву, кок пункт встречи аэропланов и гидро. Необходимо принять срочные меры для предупреждения возможностей воздушного боя между своими самолётами. Необходимо выработать отличительные знаки нашим подлодкам и миноносцами. Тучков".</w:t>
      </w:r>
    </w:p>
    <w:p w14:paraId="0F522D63" w14:textId="77777777" w:rsidR="004B4E35" w:rsidRPr="00405303" w:rsidRDefault="009E6F82" w:rsidP="00C15251">
      <w:pPr>
        <w:jc w:val="both"/>
        <w:rPr>
          <w:bCs/>
          <w:color w:val="002060"/>
          <w:sz w:val="16"/>
          <w:szCs w:val="16"/>
        </w:rPr>
      </w:pPr>
      <w:r w:rsidRPr="00405303">
        <w:rPr>
          <w:bCs/>
          <w:color w:val="002060"/>
          <w:sz w:val="16"/>
          <w:szCs w:val="16"/>
        </w:rPr>
        <w:t>Щербачёв доложил: "Немедля обсужу вопрос с лётчиками, с ка- перангом Подгурским и войду в контакт с Ренгартеном.</w:t>
      </w:r>
    </w:p>
    <w:p w14:paraId="5EA3E489" w14:textId="77777777" w:rsidR="004B4E35" w:rsidRPr="00405303" w:rsidRDefault="009E6F82" w:rsidP="00C15251">
      <w:pPr>
        <w:jc w:val="both"/>
        <w:rPr>
          <w:bCs/>
          <w:color w:val="002060"/>
          <w:sz w:val="16"/>
          <w:szCs w:val="16"/>
        </w:rPr>
      </w:pPr>
      <w:r w:rsidRPr="00405303">
        <w:rPr>
          <w:bCs/>
          <w:color w:val="002060"/>
          <w:sz w:val="16"/>
          <w:szCs w:val="16"/>
        </w:rPr>
        <w:t>...Военным летчикам показывал лодку "Ф.В.А", говорил, что будут летать такие аппараты. С их стороны было высказано предположение возможности спутать летающую лодку с "Альбатросом" ввиду сходства гондол, хотя лётчики и наблюдатели берутся их отличить, но просят хотя бы разной окраски стабилизатора, например, предлагают покрасить ета в белый цвет" (11927).</w:t>
      </w:r>
    </w:p>
    <w:p w14:paraId="5083571A" w14:textId="77777777" w:rsidR="004B4E35" w:rsidRPr="00405303" w:rsidRDefault="004B4E35" w:rsidP="00C15251">
      <w:pPr>
        <w:jc w:val="both"/>
        <w:rPr>
          <w:bCs/>
          <w:color w:val="002060"/>
          <w:sz w:val="16"/>
          <w:szCs w:val="16"/>
        </w:rPr>
      </w:pPr>
    </w:p>
    <w:p w14:paraId="59B15989"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Воздухоплавание:</w:t>
      </w:r>
    </w:p>
    <w:p w14:paraId="03C4B57D" w14:textId="77777777" w:rsidR="004B4E35" w:rsidRPr="00405303" w:rsidRDefault="004B4E35" w:rsidP="00C15251">
      <w:pPr>
        <w:shd w:val="clear" w:color="auto" w:fill="FFFFFF"/>
        <w:jc w:val="both"/>
        <w:rPr>
          <w:bCs/>
          <w:i/>
          <w:color w:val="002060"/>
          <w:sz w:val="16"/>
          <w:szCs w:val="16"/>
        </w:rPr>
      </w:pPr>
    </w:p>
    <w:p w14:paraId="2C733249" w14:textId="24D336E6" w:rsidR="004B4E35" w:rsidRPr="00405303" w:rsidRDefault="009E6F82" w:rsidP="00C15251">
      <w:pPr>
        <w:shd w:val="clear" w:color="auto" w:fill="FFFFFF"/>
        <w:jc w:val="both"/>
        <w:rPr>
          <w:bCs/>
          <w:color w:val="002060"/>
          <w:sz w:val="16"/>
          <w:szCs w:val="16"/>
        </w:rPr>
      </w:pPr>
      <w:r w:rsidRPr="00405303">
        <w:rPr>
          <w:bCs/>
          <w:color w:val="002060"/>
          <w:sz w:val="16"/>
          <w:szCs w:val="16"/>
        </w:rPr>
        <w:t>Во второй половине июня 1915 г. «Астру» демонтировали. Если в 1911 г. отечественные дирижабли были в состоянии конкурировать с отдельными заграничными управляемыми аэростатами, то через три года они уже значительно уступали зарубежным. Например, построенный в 1913 г. «Альбатрос» не превосходил по своим характеристикам французские дирижабли своего класса, появившиеся еще в 1910 г. Кроме того, как уже отмечалось, за рубежом приобретались не лучшие, а иногда даже выходившие из употребления аппараты. Так, купленный «Parseval XIV» значительно уступал построенному в Германии для своей армии дирижаблю «Parseval XVI». Тем не менее, в проектах и конструкциях дирижаблей отечественной постройки того времени было немало оригинальных технических решений, предложенных и реализованных намного раньше, чем на зарубежных управляемых аэростатах, и получивших широкое распространение на дальнейших этапах развития дирижаблестроения.</w:t>
      </w:r>
    </w:p>
    <w:p w14:paraId="5A5CE4FF" w14:textId="77777777" w:rsidR="004B4E35" w:rsidRPr="00405303" w:rsidRDefault="004B4E35" w:rsidP="00C15251">
      <w:pPr>
        <w:jc w:val="both"/>
        <w:rPr>
          <w:bCs/>
          <w:color w:val="002060"/>
          <w:sz w:val="16"/>
          <w:szCs w:val="16"/>
        </w:rPr>
      </w:pPr>
    </w:p>
    <w:p w14:paraId="4C9DA7D4" w14:textId="4FBC84A8" w:rsidR="004B4E35" w:rsidRPr="00405303" w:rsidRDefault="009E6F82" w:rsidP="00C15251">
      <w:pPr>
        <w:jc w:val="both"/>
        <w:rPr>
          <w:bCs/>
          <w:color w:val="002060"/>
          <w:sz w:val="16"/>
          <w:szCs w:val="16"/>
        </w:rPr>
      </w:pPr>
      <w:r w:rsidRPr="00405303">
        <w:rPr>
          <w:bCs/>
          <w:color w:val="002060"/>
          <w:sz w:val="16"/>
          <w:szCs w:val="16"/>
        </w:rPr>
        <w:lastRenderedPageBreak/>
        <w:t xml:space="preserve">Во второй половине июня 1915 года дирижабль </w:t>
      </w:r>
      <w:r w:rsidR="0064595E" w:rsidRPr="00405303">
        <w:rPr>
          <w:bCs/>
          <w:color w:val="002060"/>
          <w:sz w:val="16"/>
          <w:szCs w:val="16"/>
        </w:rPr>
        <w:t xml:space="preserve">«Астра» </w:t>
      </w:r>
      <w:r w:rsidRPr="00405303">
        <w:rPr>
          <w:bCs/>
          <w:color w:val="002060"/>
          <w:sz w:val="16"/>
          <w:szCs w:val="16"/>
        </w:rPr>
        <w:t>был разоружен (11324).</w:t>
      </w:r>
    </w:p>
    <w:p w14:paraId="573C5B29" w14:textId="77777777" w:rsidR="004B4E35" w:rsidRPr="00405303" w:rsidRDefault="004B4E35" w:rsidP="00C15251">
      <w:pPr>
        <w:shd w:val="clear" w:color="auto" w:fill="FFFFFF"/>
        <w:jc w:val="both"/>
        <w:rPr>
          <w:bCs/>
          <w:i/>
          <w:color w:val="002060"/>
          <w:sz w:val="16"/>
          <w:szCs w:val="16"/>
        </w:rPr>
      </w:pPr>
    </w:p>
    <w:p w14:paraId="41822A5B"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399FC591" w14:textId="77777777" w:rsidR="004B4E35" w:rsidRPr="00405303" w:rsidRDefault="004B4E35" w:rsidP="00C15251">
      <w:pPr>
        <w:shd w:val="clear" w:color="auto" w:fill="FFFFFF"/>
        <w:jc w:val="both"/>
        <w:rPr>
          <w:bCs/>
          <w:i/>
          <w:color w:val="002060"/>
          <w:sz w:val="16"/>
          <w:szCs w:val="16"/>
        </w:rPr>
      </w:pPr>
    </w:p>
    <w:p w14:paraId="416B23B7" w14:textId="5CC5F243" w:rsidR="004B4E35" w:rsidRPr="00405303" w:rsidRDefault="009E6F82" w:rsidP="00C15251">
      <w:pPr>
        <w:jc w:val="both"/>
        <w:rPr>
          <w:bCs/>
          <w:color w:val="002060"/>
          <w:sz w:val="16"/>
          <w:szCs w:val="16"/>
        </w:rPr>
      </w:pPr>
      <w:r w:rsidRPr="00405303">
        <w:rPr>
          <w:bCs/>
          <w:color w:val="002060"/>
          <w:sz w:val="16"/>
          <w:szCs w:val="16"/>
        </w:rPr>
        <w:t>В июне 1915 г. ГВТУ согласились, и "Авиа-Балт" немедленно закрыл наряд очередными самолетами "Илья Муромец-В" (заводские № 158, 159, 163 и 165). Один из них (№ 159) был двухмоторным с "Санбимами" по 225 л. с. Эта машина стала последней специально созданной для учебных целей. В дальнейшем в эскадре в качестве учебных использовались отслужившие свой срок боевые самолеты (11230).</w:t>
      </w:r>
    </w:p>
    <w:p w14:paraId="46460DBB" w14:textId="77777777" w:rsidR="004B4E35" w:rsidRPr="00405303" w:rsidRDefault="004B4E35" w:rsidP="00C15251">
      <w:pPr>
        <w:jc w:val="both"/>
        <w:rPr>
          <w:bCs/>
          <w:color w:val="002060"/>
          <w:sz w:val="16"/>
          <w:szCs w:val="16"/>
        </w:rPr>
      </w:pPr>
    </w:p>
    <w:p w14:paraId="0889882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июне 1915 г. на</w:t>
      </w:r>
      <w:r w:rsidRPr="00405303">
        <w:rPr>
          <w:bCs/>
          <w:color w:val="002060"/>
          <w:sz w:val="16"/>
          <w:szCs w:val="16"/>
        </w:rPr>
        <w:softHyphen/>
        <w:t>чалось серийное производство М-5 и продолжалось до середины 1917 г. Общее количество изготовленных М-5 составило около 200 экземпляров, большинство построили на заводе Ще</w:t>
      </w:r>
      <w:r w:rsidRPr="00405303">
        <w:rPr>
          <w:bCs/>
          <w:color w:val="002060"/>
          <w:sz w:val="16"/>
          <w:szCs w:val="16"/>
        </w:rPr>
        <w:softHyphen/>
        <w:t>тинина в Петрограде и некоторое количество - на заводе Анатра в Одессе.</w:t>
      </w:r>
    </w:p>
    <w:p w14:paraId="1F38925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Наиболее активно М-5 использовались в авиации Чер</w:t>
      </w:r>
      <w:r w:rsidRPr="00405303">
        <w:rPr>
          <w:bCs/>
          <w:color w:val="002060"/>
          <w:sz w:val="16"/>
          <w:szCs w:val="16"/>
        </w:rPr>
        <w:softHyphen/>
        <w:t>номорского флота, получившей в свое пользование за весь период 71 такой гидроплан. Вооружение боевых М-5 состояло из одного пулемета «Максим», «Виккерс» или «Льюис», установленного на треноге перед правым чле</w:t>
      </w:r>
      <w:r w:rsidRPr="00405303">
        <w:rPr>
          <w:bCs/>
          <w:color w:val="002060"/>
          <w:sz w:val="16"/>
          <w:szCs w:val="16"/>
        </w:rPr>
        <w:softHyphen/>
        <w:t>ном экипажа, нескольких восьми- или двух 50-фунтовых бомб (11107).</w:t>
      </w:r>
    </w:p>
    <w:p w14:paraId="5851DA9B" w14:textId="77777777" w:rsidR="004B4E35" w:rsidRPr="00405303" w:rsidRDefault="004B4E35" w:rsidP="00C15251">
      <w:pPr>
        <w:shd w:val="clear" w:color="auto" w:fill="FFFFFF"/>
        <w:jc w:val="both"/>
        <w:rPr>
          <w:bCs/>
          <w:color w:val="002060"/>
          <w:sz w:val="16"/>
          <w:szCs w:val="16"/>
        </w:rPr>
      </w:pPr>
    </w:p>
    <w:p w14:paraId="573C5A74" w14:textId="77140E56" w:rsidR="000616D6" w:rsidRPr="00405303" w:rsidRDefault="000616D6" w:rsidP="00C15251">
      <w:pPr>
        <w:jc w:val="both"/>
        <w:rPr>
          <w:bCs/>
          <w:color w:val="002060"/>
          <w:sz w:val="16"/>
          <w:szCs w:val="16"/>
        </w:rPr>
      </w:pPr>
      <w:r w:rsidRPr="00405303">
        <w:rPr>
          <w:bCs/>
          <w:color w:val="002060"/>
          <w:sz w:val="16"/>
          <w:szCs w:val="16"/>
        </w:rPr>
        <w:t>В июне 1915 г. ГВТУ согласились с Правлением</w:t>
      </w:r>
      <w:r w:rsidR="000F5756">
        <w:rPr>
          <w:bCs/>
          <w:color w:val="002060"/>
          <w:sz w:val="16"/>
          <w:szCs w:val="16"/>
        </w:rPr>
        <w:t xml:space="preserve"> </w:t>
      </w:r>
      <w:r w:rsidRPr="00405303">
        <w:rPr>
          <w:bCs/>
          <w:color w:val="002060"/>
          <w:sz w:val="16"/>
          <w:szCs w:val="16"/>
        </w:rPr>
        <w:t>РБВЗ, которое вышло в ГВТУ с предложением поставить на ту же сумму контракта вместо легких аппаратов четыре «Муромца» для замены отработавших свой ресурс первых Кораблей, и «Авиа-Балт» немедленно закрыл наряд очередными самолетами «Илья Муромец-В» (заводские № 158, 159, 163 и 165). Один из них (№ 159) был двухмоторным с «Санбимами» по 225 л. с. Эта машина стала последней специально созданной для учебных целей. В дальнейшем в эскадре в качестве учебных использовались отслужившие свой срок боевые самолеты. Следующие корабли «Илья Муромец-В» сдавались уже в счет заказа на 32 машины (15127).</w:t>
      </w:r>
    </w:p>
    <w:p w14:paraId="4166EE6E" w14:textId="77777777" w:rsidR="000616D6" w:rsidRPr="00405303" w:rsidRDefault="000616D6" w:rsidP="00C15251">
      <w:pPr>
        <w:jc w:val="both"/>
        <w:rPr>
          <w:bCs/>
          <w:color w:val="002060"/>
          <w:sz w:val="16"/>
          <w:szCs w:val="16"/>
        </w:rPr>
      </w:pPr>
    </w:p>
    <w:p w14:paraId="04C6DAB9" w14:textId="1E795CEE" w:rsidR="00AB5B6C" w:rsidRPr="00405303" w:rsidRDefault="0064595E" w:rsidP="00C15251">
      <w:pPr>
        <w:jc w:val="both"/>
        <w:rPr>
          <w:bCs/>
          <w:color w:val="002060"/>
          <w:sz w:val="16"/>
          <w:szCs w:val="16"/>
        </w:rPr>
      </w:pPr>
      <w:r w:rsidRPr="00405303">
        <w:rPr>
          <w:bCs/>
          <w:color w:val="002060"/>
          <w:sz w:val="16"/>
          <w:szCs w:val="16"/>
        </w:rPr>
        <w:t>В</w:t>
      </w:r>
      <w:r w:rsidR="00AB5B6C" w:rsidRPr="00405303">
        <w:rPr>
          <w:bCs/>
          <w:color w:val="002060"/>
          <w:sz w:val="16"/>
          <w:szCs w:val="16"/>
        </w:rPr>
        <w:t xml:space="preserve"> июне 1915 г. </w:t>
      </w:r>
      <w:r w:rsidRPr="00405303">
        <w:rPr>
          <w:bCs/>
          <w:color w:val="002060"/>
          <w:sz w:val="16"/>
          <w:szCs w:val="16"/>
        </w:rPr>
        <w:t>началось серийное про</w:t>
      </w:r>
      <w:r w:rsidRPr="00405303">
        <w:rPr>
          <w:bCs/>
          <w:color w:val="002060"/>
          <w:sz w:val="16"/>
          <w:szCs w:val="16"/>
        </w:rPr>
        <w:softHyphen/>
        <w:t xml:space="preserve">изводство М-5 </w:t>
      </w:r>
      <w:r w:rsidR="00AB5B6C" w:rsidRPr="00405303">
        <w:rPr>
          <w:bCs/>
          <w:color w:val="002060"/>
          <w:sz w:val="16"/>
          <w:szCs w:val="16"/>
        </w:rPr>
        <w:t>и продол</w:t>
      </w:r>
      <w:r w:rsidR="00AB5B6C" w:rsidRPr="00405303">
        <w:rPr>
          <w:bCs/>
          <w:color w:val="002060"/>
          <w:sz w:val="16"/>
          <w:szCs w:val="16"/>
        </w:rPr>
        <w:softHyphen/>
        <w:t>жалось до середины 1917 г. До этого момен</w:t>
      </w:r>
      <w:r w:rsidR="00AB5B6C" w:rsidRPr="00405303">
        <w:rPr>
          <w:bCs/>
          <w:color w:val="002060"/>
          <w:sz w:val="16"/>
          <w:szCs w:val="16"/>
        </w:rPr>
        <w:softHyphen/>
        <w:t>та обшее количество изготовленных М-5 со</w:t>
      </w:r>
      <w:r w:rsidR="00AB5B6C" w:rsidRPr="00405303">
        <w:rPr>
          <w:bCs/>
          <w:color w:val="002060"/>
          <w:sz w:val="16"/>
          <w:szCs w:val="16"/>
        </w:rPr>
        <w:softHyphen/>
        <w:t>ставило порядка 200 экземпляров, большин</w:t>
      </w:r>
      <w:r w:rsidR="00AB5B6C" w:rsidRPr="00405303">
        <w:rPr>
          <w:bCs/>
          <w:color w:val="002060"/>
          <w:sz w:val="16"/>
          <w:szCs w:val="16"/>
        </w:rPr>
        <w:softHyphen/>
        <w:t>ство из них изготовили на заводе Щетинина в Петрограде и некоторое количество на за</w:t>
      </w:r>
      <w:r w:rsidR="00AB5B6C" w:rsidRPr="00405303">
        <w:rPr>
          <w:bCs/>
          <w:color w:val="002060"/>
          <w:sz w:val="16"/>
          <w:szCs w:val="16"/>
        </w:rPr>
        <w:softHyphen/>
        <w:t>воде Анатра в Одессе.</w:t>
      </w:r>
    </w:p>
    <w:p w14:paraId="5BC1A1D4" w14:textId="77777777" w:rsidR="00AB5B6C" w:rsidRPr="00405303" w:rsidRDefault="00AB5B6C" w:rsidP="00C15251">
      <w:pPr>
        <w:jc w:val="both"/>
        <w:rPr>
          <w:bCs/>
          <w:color w:val="002060"/>
          <w:sz w:val="16"/>
          <w:szCs w:val="16"/>
        </w:rPr>
      </w:pPr>
      <w:r w:rsidRPr="00405303">
        <w:rPr>
          <w:bCs/>
          <w:color w:val="002060"/>
          <w:sz w:val="16"/>
          <w:szCs w:val="16"/>
        </w:rPr>
        <w:t>Наиболее активно М-5 использовались в авиации Черноморского флота, получив</w:t>
      </w:r>
      <w:r w:rsidRPr="00405303">
        <w:rPr>
          <w:bCs/>
          <w:color w:val="002060"/>
          <w:sz w:val="16"/>
          <w:szCs w:val="16"/>
        </w:rPr>
        <w:softHyphen/>
        <w:t>шей в свое пользование за весь период 71 та</w:t>
      </w:r>
      <w:r w:rsidRPr="00405303">
        <w:rPr>
          <w:bCs/>
          <w:color w:val="002060"/>
          <w:sz w:val="16"/>
          <w:szCs w:val="16"/>
        </w:rPr>
        <w:softHyphen/>
        <w:t>кой гидроплан. Вооружение боевых М-5 со</w:t>
      </w:r>
      <w:r w:rsidRPr="00405303">
        <w:rPr>
          <w:bCs/>
          <w:color w:val="002060"/>
          <w:sz w:val="16"/>
          <w:szCs w:val="16"/>
        </w:rPr>
        <w:softHyphen/>
        <w:t>стояло из одного пулемета «Максим», «Вик- черс» или «Льюис», установленных на трено</w:t>
      </w:r>
      <w:r w:rsidRPr="00405303">
        <w:rPr>
          <w:bCs/>
          <w:color w:val="002060"/>
          <w:sz w:val="16"/>
          <w:szCs w:val="16"/>
        </w:rPr>
        <w:softHyphen/>
        <w:t>ге перед правым членом экипажа, несколь</w:t>
      </w:r>
      <w:r w:rsidRPr="00405303">
        <w:rPr>
          <w:bCs/>
          <w:color w:val="002060"/>
          <w:sz w:val="16"/>
          <w:szCs w:val="16"/>
        </w:rPr>
        <w:softHyphen/>
        <w:t>ких 8-ми или двух 50-ти фунтовых бомб. С ноября 1915 г. на отдельных экземплярах устанавливали радиотелеграфные станции с дальностью связи свыше 40 км и фотоаппа</w:t>
      </w:r>
      <w:r w:rsidRPr="00405303">
        <w:rPr>
          <w:bCs/>
          <w:color w:val="002060"/>
          <w:sz w:val="16"/>
          <w:szCs w:val="16"/>
        </w:rPr>
        <w:softHyphen/>
        <w:t>раты «Потте».</w:t>
      </w:r>
    </w:p>
    <w:p w14:paraId="2E6A2BD1" w14:textId="77777777" w:rsidR="00AB5B6C" w:rsidRPr="00405303" w:rsidRDefault="00AB5B6C" w:rsidP="00C15251">
      <w:pPr>
        <w:jc w:val="both"/>
        <w:rPr>
          <w:bCs/>
          <w:color w:val="002060"/>
          <w:sz w:val="16"/>
          <w:szCs w:val="16"/>
        </w:rPr>
      </w:pPr>
      <w:r w:rsidRPr="00405303">
        <w:rPr>
          <w:bCs/>
          <w:color w:val="002060"/>
          <w:sz w:val="16"/>
          <w:szCs w:val="16"/>
        </w:rPr>
        <w:t>Черноморские М-5 базировались в Севас- -ополе (1-й и 2-й отряды Воздушной диви</w:t>
      </w:r>
      <w:r w:rsidRPr="00405303">
        <w:rPr>
          <w:rStyle w:val="aa"/>
          <w:rFonts w:ascii="Times New Roman" w:eastAsia="SimSun" w:hAnsi="Times New Roman"/>
          <w:bCs/>
          <w:color w:val="002060"/>
          <w:spacing w:val="0"/>
          <w:sz w:val="16"/>
          <w:szCs w:val="16"/>
        </w:rPr>
        <w:t xml:space="preserve"> зии), Одессе и Батуме (Кавказский фронт). Кроме этого, часть аппаратов была приписа</w:t>
      </w:r>
      <w:r w:rsidRPr="00405303">
        <w:rPr>
          <w:rStyle w:val="aa"/>
          <w:rFonts w:ascii="Times New Roman" w:eastAsia="SimSun" w:hAnsi="Times New Roman"/>
          <w:bCs/>
          <w:color w:val="002060"/>
          <w:spacing w:val="0"/>
          <w:sz w:val="16"/>
          <w:szCs w:val="16"/>
        </w:rPr>
        <w:softHyphen/>
        <w:t>на к 1, 2, 3-му корабельным авиаотрядам на гидрокрейсерах «Александр I» и «Николай I». В начале 1918 г. практически все черномор</w:t>
      </w:r>
      <w:r w:rsidRPr="00405303">
        <w:rPr>
          <w:rStyle w:val="aa"/>
          <w:rFonts w:ascii="Times New Roman" w:eastAsia="SimSun" w:hAnsi="Times New Roman"/>
          <w:bCs/>
          <w:color w:val="002060"/>
          <w:spacing w:val="0"/>
          <w:sz w:val="16"/>
          <w:szCs w:val="16"/>
        </w:rPr>
        <w:softHyphen/>
        <w:t>ские М-5 оказались в зоне белого движения и австрийской оккупации. В летном состоя</w:t>
      </w:r>
      <w:r w:rsidRPr="00405303">
        <w:rPr>
          <w:rStyle w:val="aa"/>
          <w:rFonts w:ascii="Times New Roman" w:eastAsia="SimSun" w:hAnsi="Times New Roman"/>
          <w:bCs/>
          <w:color w:val="002060"/>
          <w:spacing w:val="0"/>
          <w:sz w:val="16"/>
          <w:szCs w:val="16"/>
        </w:rPr>
        <w:softHyphen/>
        <w:t>нии оставались лишь единичные экземпля</w:t>
      </w:r>
      <w:r w:rsidRPr="00405303">
        <w:rPr>
          <w:rStyle w:val="aa"/>
          <w:rFonts w:ascii="Times New Roman" w:eastAsia="SimSun" w:hAnsi="Times New Roman"/>
          <w:bCs/>
          <w:color w:val="002060"/>
          <w:spacing w:val="0"/>
          <w:sz w:val="16"/>
          <w:szCs w:val="16"/>
        </w:rPr>
        <w:softHyphen/>
        <w:t>ры, которые просуществовали до 1919-20 гг.</w:t>
      </w:r>
    </w:p>
    <w:p w14:paraId="3A1FB6AF" w14:textId="77777777" w:rsidR="00AB5B6C" w:rsidRPr="00405303" w:rsidRDefault="00AB5B6C" w:rsidP="00C15251">
      <w:pPr>
        <w:pStyle w:val="110"/>
        <w:shd w:val="clear" w:color="auto" w:fill="auto"/>
        <w:spacing w:line="240" w:lineRule="auto"/>
        <w:jc w:val="both"/>
        <w:rPr>
          <w:rFonts w:ascii="Times New Roman" w:hAnsi="Times New Roman"/>
          <w:bCs/>
          <w:color w:val="002060"/>
          <w:sz w:val="16"/>
          <w:szCs w:val="16"/>
        </w:rPr>
      </w:pPr>
      <w:r w:rsidRPr="00405303">
        <w:rPr>
          <w:rFonts w:ascii="Times New Roman" w:hAnsi="Times New Roman"/>
          <w:bCs/>
          <w:color w:val="002060"/>
          <w:sz w:val="16"/>
          <w:szCs w:val="16"/>
        </w:rPr>
        <w:t>Летные и технические характеристики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84"/>
        <w:gridCol w:w="8333"/>
      </w:tblGrid>
      <w:tr w:rsidR="00AB5B6C" w:rsidRPr="00405303" w14:paraId="2ADD5B2A" w14:textId="77777777" w:rsidTr="00F11369">
        <w:tc>
          <w:tcPr>
            <w:tcW w:w="3184" w:type="dxa"/>
          </w:tcPr>
          <w:p w14:paraId="6DB03588" w14:textId="77777777" w:rsidR="00AB5B6C" w:rsidRPr="00405303" w:rsidRDefault="00AB5B6C" w:rsidP="00C15251">
            <w:pPr>
              <w:jc w:val="both"/>
              <w:rPr>
                <w:bCs/>
                <w:color w:val="002060"/>
                <w:sz w:val="16"/>
                <w:szCs w:val="16"/>
              </w:rPr>
            </w:pPr>
            <w:r w:rsidRPr="00405303">
              <w:rPr>
                <w:bCs/>
                <w:color w:val="002060"/>
                <w:sz w:val="16"/>
                <w:szCs w:val="16"/>
              </w:rPr>
              <w:t>Размах верхнего крыла (м)</w:t>
            </w:r>
          </w:p>
        </w:tc>
        <w:tc>
          <w:tcPr>
            <w:tcW w:w="8333" w:type="dxa"/>
          </w:tcPr>
          <w:p w14:paraId="1C029A12" w14:textId="77777777" w:rsidR="00AB5B6C" w:rsidRPr="00405303" w:rsidRDefault="00AB5B6C" w:rsidP="00C15251">
            <w:pPr>
              <w:jc w:val="both"/>
              <w:rPr>
                <w:bCs/>
                <w:color w:val="002060"/>
                <w:sz w:val="16"/>
                <w:szCs w:val="16"/>
              </w:rPr>
            </w:pPr>
            <w:r w:rsidRPr="00405303">
              <w:rPr>
                <w:bCs/>
                <w:color w:val="002060"/>
                <w:sz w:val="16"/>
                <w:szCs w:val="16"/>
              </w:rPr>
              <w:t>13,50 (13,62*)</w:t>
            </w:r>
          </w:p>
        </w:tc>
      </w:tr>
      <w:tr w:rsidR="00AB5B6C" w:rsidRPr="00405303" w14:paraId="5F143C31" w14:textId="77777777" w:rsidTr="00F11369">
        <w:tc>
          <w:tcPr>
            <w:tcW w:w="3184" w:type="dxa"/>
          </w:tcPr>
          <w:p w14:paraId="08FF1DB2" w14:textId="77777777" w:rsidR="00AB5B6C" w:rsidRPr="00405303" w:rsidRDefault="00AB5B6C" w:rsidP="00C15251">
            <w:pPr>
              <w:jc w:val="both"/>
              <w:rPr>
                <w:bCs/>
                <w:color w:val="002060"/>
                <w:sz w:val="16"/>
                <w:szCs w:val="16"/>
              </w:rPr>
            </w:pPr>
            <w:r w:rsidRPr="00405303">
              <w:rPr>
                <w:bCs/>
                <w:color w:val="002060"/>
                <w:sz w:val="16"/>
                <w:szCs w:val="16"/>
              </w:rPr>
              <w:t>Длина в линии полета (м)</w:t>
            </w:r>
          </w:p>
        </w:tc>
        <w:tc>
          <w:tcPr>
            <w:tcW w:w="8333" w:type="dxa"/>
          </w:tcPr>
          <w:p w14:paraId="3E22FB6C" w14:textId="77777777" w:rsidR="00AB5B6C" w:rsidRPr="00405303" w:rsidRDefault="00AB5B6C" w:rsidP="00C15251">
            <w:pPr>
              <w:jc w:val="both"/>
              <w:rPr>
                <w:bCs/>
                <w:color w:val="002060"/>
                <w:sz w:val="16"/>
                <w:szCs w:val="16"/>
              </w:rPr>
            </w:pPr>
            <w:r w:rsidRPr="00405303">
              <w:rPr>
                <w:bCs/>
                <w:color w:val="002060"/>
                <w:sz w:val="16"/>
                <w:szCs w:val="16"/>
              </w:rPr>
              <w:t>8,21(8,62*)</w:t>
            </w:r>
          </w:p>
        </w:tc>
      </w:tr>
      <w:tr w:rsidR="00AB5B6C" w:rsidRPr="00405303" w14:paraId="4E6F671F" w14:textId="77777777" w:rsidTr="00F11369">
        <w:tc>
          <w:tcPr>
            <w:tcW w:w="3184" w:type="dxa"/>
          </w:tcPr>
          <w:p w14:paraId="26561B77" w14:textId="77777777" w:rsidR="00AB5B6C" w:rsidRPr="00405303" w:rsidRDefault="00AB5B6C" w:rsidP="00C15251">
            <w:pPr>
              <w:jc w:val="both"/>
              <w:rPr>
                <w:bCs/>
                <w:color w:val="002060"/>
                <w:sz w:val="16"/>
                <w:szCs w:val="16"/>
              </w:rPr>
            </w:pPr>
            <w:r w:rsidRPr="00405303">
              <w:rPr>
                <w:bCs/>
                <w:color w:val="002060"/>
                <w:sz w:val="16"/>
                <w:szCs w:val="16"/>
              </w:rPr>
              <w:t>Площадь крыльев (м</w:t>
            </w:r>
            <w:r w:rsidRPr="00405303">
              <w:rPr>
                <w:bCs/>
                <w:color w:val="002060"/>
                <w:sz w:val="16"/>
                <w:szCs w:val="16"/>
                <w:vertAlign w:val="superscript"/>
              </w:rPr>
              <w:t>2</w:t>
            </w:r>
            <w:r w:rsidRPr="00405303">
              <w:rPr>
                <w:bCs/>
                <w:color w:val="002060"/>
                <w:sz w:val="16"/>
                <w:szCs w:val="16"/>
              </w:rPr>
              <w:t>)</w:t>
            </w:r>
          </w:p>
        </w:tc>
        <w:tc>
          <w:tcPr>
            <w:tcW w:w="8333" w:type="dxa"/>
          </w:tcPr>
          <w:p w14:paraId="50685AC7" w14:textId="77777777" w:rsidR="00AB5B6C" w:rsidRPr="00405303" w:rsidRDefault="00AB5B6C" w:rsidP="00C15251">
            <w:pPr>
              <w:jc w:val="both"/>
              <w:rPr>
                <w:bCs/>
                <w:color w:val="002060"/>
                <w:sz w:val="16"/>
                <w:szCs w:val="16"/>
              </w:rPr>
            </w:pPr>
            <w:r w:rsidRPr="00405303">
              <w:rPr>
                <w:bCs/>
                <w:color w:val="002060"/>
                <w:sz w:val="16"/>
                <w:szCs w:val="16"/>
              </w:rPr>
              <w:t>36,6(37,96*)</w:t>
            </w:r>
          </w:p>
        </w:tc>
      </w:tr>
      <w:tr w:rsidR="00AB5B6C" w:rsidRPr="00405303" w14:paraId="19B03A99" w14:textId="77777777" w:rsidTr="00F11369">
        <w:tc>
          <w:tcPr>
            <w:tcW w:w="3184" w:type="dxa"/>
          </w:tcPr>
          <w:p w14:paraId="22D40082" w14:textId="77777777" w:rsidR="00AB5B6C" w:rsidRPr="00405303" w:rsidRDefault="00AB5B6C" w:rsidP="00C15251">
            <w:pPr>
              <w:jc w:val="both"/>
              <w:rPr>
                <w:bCs/>
                <w:color w:val="002060"/>
                <w:sz w:val="16"/>
                <w:szCs w:val="16"/>
              </w:rPr>
            </w:pPr>
            <w:r w:rsidRPr="00405303">
              <w:rPr>
                <w:bCs/>
                <w:color w:val="002060"/>
                <w:sz w:val="16"/>
                <w:szCs w:val="16"/>
              </w:rPr>
              <w:t>Вес пустого (кг)</w:t>
            </w:r>
          </w:p>
        </w:tc>
        <w:tc>
          <w:tcPr>
            <w:tcW w:w="8333" w:type="dxa"/>
          </w:tcPr>
          <w:p w14:paraId="3A243273" w14:textId="77777777" w:rsidR="00AB5B6C" w:rsidRPr="00405303" w:rsidRDefault="00AB5B6C" w:rsidP="00C15251">
            <w:pPr>
              <w:jc w:val="both"/>
              <w:rPr>
                <w:bCs/>
                <w:color w:val="002060"/>
                <w:sz w:val="16"/>
                <w:szCs w:val="16"/>
              </w:rPr>
            </w:pPr>
            <w:r w:rsidRPr="00405303">
              <w:rPr>
                <w:bCs/>
                <w:color w:val="002060"/>
                <w:sz w:val="16"/>
                <w:szCs w:val="16"/>
              </w:rPr>
              <w:t>660</w:t>
            </w:r>
          </w:p>
        </w:tc>
      </w:tr>
      <w:tr w:rsidR="00AB5B6C" w:rsidRPr="00405303" w14:paraId="0292EC1B" w14:textId="77777777" w:rsidTr="00F11369">
        <w:tc>
          <w:tcPr>
            <w:tcW w:w="3184" w:type="dxa"/>
          </w:tcPr>
          <w:p w14:paraId="18C4CABD" w14:textId="77777777" w:rsidR="00AB5B6C" w:rsidRPr="00405303" w:rsidRDefault="00AB5B6C" w:rsidP="00C15251">
            <w:pPr>
              <w:jc w:val="both"/>
              <w:rPr>
                <w:bCs/>
                <w:color w:val="002060"/>
                <w:sz w:val="16"/>
                <w:szCs w:val="16"/>
              </w:rPr>
            </w:pPr>
            <w:r w:rsidRPr="00405303">
              <w:rPr>
                <w:bCs/>
                <w:color w:val="002060"/>
                <w:sz w:val="16"/>
                <w:szCs w:val="16"/>
              </w:rPr>
              <w:t>Полетный вес (кг)</w:t>
            </w:r>
          </w:p>
        </w:tc>
        <w:tc>
          <w:tcPr>
            <w:tcW w:w="8333" w:type="dxa"/>
          </w:tcPr>
          <w:p w14:paraId="50A26F41" w14:textId="77777777" w:rsidR="00AB5B6C" w:rsidRPr="00405303" w:rsidRDefault="00AB5B6C" w:rsidP="00C15251">
            <w:pPr>
              <w:jc w:val="both"/>
              <w:rPr>
                <w:bCs/>
                <w:color w:val="002060"/>
                <w:sz w:val="16"/>
                <w:szCs w:val="16"/>
              </w:rPr>
            </w:pPr>
            <w:r w:rsidRPr="00405303">
              <w:rPr>
                <w:bCs/>
                <w:color w:val="002060"/>
                <w:sz w:val="16"/>
                <w:szCs w:val="16"/>
              </w:rPr>
              <w:t>960</w:t>
            </w:r>
          </w:p>
        </w:tc>
      </w:tr>
      <w:tr w:rsidR="00AB5B6C" w:rsidRPr="00405303" w14:paraId="20616B55" w14:textId="77777777" w:rsidTr="00F11369">
        <w:tc>
          <w:tcPr>
            <w:tcW w:w="3184" w:type="dxa"/>
          </w:tcPr>
          <w:p w14:paraId="597872F7" w14:textId="77777777" w:rsidR="00AB5B6C" w:rsidRPr="00405303" w:rsidRDefault="00AB5B6C" w:rsidP="00C15251">
            <w:pPr>
              <w:jc w:val="both"/>
              <w:rPr>
                <w:bCs/>
                <w:color w:val="002060"/>
                <w:sz w:val="16"/>
                <w:szCs w:val="16"/>
              </w:rPr>
            </w:pPr>
            <w:r w:rsidRPr="00405303">
              <w:rPr>
                <w:bCs/>
                <w:color w:val="002060"/>
                <w:sz w:val="16"/>
                <w:szCs w:val="16"/>
              </w:rPr>
              <w:t>Полетная скорость (км/ч)</w:t>
            </w:r>
          </w:p>
        </w:tc>
        <w:tc>
          <w:tcPr>
            <w:tcW w:w="8333" w:type="dxa"/>
          </w:tcPr>
          <w:p w14:paraId="7CDF5F8C" w14:textId="77777777" w:rsidR="00AB5B6C" w:rsidRPr="00405303" w:rsidRDefault="00AB5B6C" w:rsidP="00C15251">
            <w:pPr>
              <w:jc w:val="both"/>
              <w:rPr>
                <w:bCs/>
                <w:color w:val="002060"/>
                <w:sz w:val="16"/>
                <w:szCs w:val="16"/>
              </w:rPr>
            </w:pPr>
            <w:r w:rsidRPr="00405303">
              <w:rPr>
                <w:bCs/>
                <w:color w:val="002060"/>
                <w:sz w:val="16"/>
                <w:szCs w:val="16"/>
              </w:rPr>
              <w:t>90-105</w:t>
            </w:r>
          </w:p>
        </w:tc>
      </w:tr>
      <w:tr w:rsidR="00AB5B6C" w:rsidRPr="00405303" w14:paraId="7F81491C" w14:textId="77777777" w:rsidTr="00F11369">
        <w:tc>
          <w:tcPr>
            <w:tcW w:w="3184" w:type="dxa"/>
          </w:tcPr>
          <w:p w14:paraId="545F5DE4" w14:textId="77777777" w:rsidR="00AB5B6C" w:rsidRPr="00405303" w:rsidRDefault="00AB5B6C" w:rsidP="00C15251">
            <w:pPr>
              <w:jc w:val="both"/>
              <w:rPr>
                <w:bCs/>
                <w:color w:val="002060"/>
                <w:sz w:val="16"/>
                <w:szCs w:val="16"/>
              </w:rPr>
            </w:pPr>
            <w:r w:rsidRPr="00405303">
              <w:rPr>
                <w:bCs/>
                <w:color w:val="002060"/>
                <w:sz w:val="16"/>
                <w:szCs w:val="16"/>
              </w:rPr>
              <w:t>Время набора высоты 2000 м (мин) 25-45</w:t>
            </w:r>
          </w:p>
        </w:tc>
        <w:tc>
          <w:tcPr>
            <w:tcW w:w="8333" w:type="dxa"/>
          </w:tcPr>
          <w:p w14:paraId="69A1CEA4" w14:textId="77777777" w:rsidR="00AB5B6C" w:rsidRPr="00405303" w:rsidRDefault="00AB5B6C" w:rsidP="00C15251">
            <w:pPr>
              <w:jc w:val="both"/>
              <w:rPr>
                <w:bCs/>
                <w:color w:val="002060"/>
                <w:sz w:val="16"/>
                <w:szCs w:val="16"/>
              </w:rPr>
            </w:pPr>
          </w:p>
        </w:tc>
      </w:tr>
      <w:tr w:rsidR="00AB5B6C" w:rsidRPr="00405303" w14:paraId="603DB3D7" w14:textId="77777777" w:rsidTr="00F11369">
        <w:tc>
          <w:tcPr>
            <w:tcW w:w="3184" w:type="dxa"/>
          </w:tcPr>
          <w:p w14:paraId="1DDEA7B7" w14:textId="77777777" w:rsidR="00AB5B6C" w:rsidRPr="00405303" w:rsidRDefault="00AB5B6C" w:rsidP="00C15251">
            <w:pPr>
              <w:jc w:val="both"/>
              <w:rPr>
                <w:bCs/>
                <w:color w:val="002060"/>
                <w:sz w:val="16"/>
                <w:szCs w:val="16"/>
              </w:rPr>
            </w:pPr>
            <w:r w:rsidRPr="00405303">
              <w:rPr>
                <w:bCs/>
                <w:color w:val="002060"/>
                <w:sz w:val="16"/>
                <w:szCs w:val="16"/>
              </w:rPr>
              <w:t>Потолок (м)</w:t>
            </w:r>
          </w:p>
        </w:tc>
        <w:tc>
          <w:tcPr>
            <w:tcW w:w="8333" w:type="dxa"/>
          </w:tcPr>
          <w:p w14:paraId="01D4EABB" w14:textId="77777777" w:rsidR="00AB5B6C" w:rsidRPr="00405303" w:rsidRDefault="00AB5B6C" w:rsidP="00C15251">
            <w:pPr>
              <w:jc w:val="both"/>
              <w:rPr>
                <w:bCs/>
                <w:color w:val="002060"/>
                <w:sz w:val="16"/>
                <w:szCs w:val="16"/>
              </w:rPr>
            </w:pPr>
            <w:r w:rsidRPr="00405303">
              <w:rPr>
                <w:bCs/>
                <w:color w:val="002060"/>
                <w:sz w:val="16"/>
                <w:szCs w:val="16"/>
              </w:rPr>
              <w:t>3300</w:t>
            </w:r>
          </w:p>
        </w:tc>
      </w:tr>
      <w:tr w:rsidR="00AB5B6C" w:rsidRPr="00405303" w14:paraId="0BADC079" w14:textId="77777777" w:rsidTr="00F11369">
        <w:tc>
          <w:tcPr>
            <w:tcW w:w="3184" w:type="dxa"/>
          </w:tcPr>
          <w:p w14:paraId="3A2929E2" w14:textId="77777777" w:rsidR="00AB5B6C" w:rsidRPr="00405303" w:rsidRDefault="00AB5B6C" w:rsidP="00C15251">
            <w:pPr>
              <w:jc w:val="both"/>
              <w:rPr>
                <w:bCs/>
                <w:color w:val="002060"/>
                <w:sz w:val="16"/>
                <w:szCs w:val="16"/>
              </w:rPr>
            </w:pPr>
            <w:r w:rsidRPr="00405303">
              <w:rPr>
                <w:bCs/>
                <w:color w:val="002060"/>
                <w:sz w:val="16"/>
                <w:szCs w:val="16"/>
              </w:rPr>
              <w:t>Продолжительность полета (час)</w:t>
            </w:r>
          </w:p>
        </w:tc>
        <w:tc>
          <w:tcPr>
            <w:tcW w:w="8333" w:type="dxa"/>
          </w:tcPr>
          <w:p w14:paraId="5838875C" w14:textId="77777777" w:rsidR="00AB5B6C" w:rsidRPr="00405303" w:rsidRDefault="00AB5B6C" w:rsidP="00C15251">
            <w:pPr>
              <w:jc w:val="both"/>
              <w:rPr>
                <w:bCs/>
                <w:color w:val="002060"/>
                <w:sz w:val="16"/>
                <w:szCs w:val="16"/>
              </w:rPr>
            </w:pPr>
            <w:r w:rsidRPr="00405303">
              <w:rPr>
                <w:bCs/>
                <w:color w:val="002060"/>
                <w:sz w:val="16"/>
                <w:szCs w:val="16"/>
              </w:rPr>
              <w:t>3,5-4</w:t>
            </w:r>
          </w:p>
        </w:tc>
      </w:tr>
    </w:tbl>
    <w:p w14:paraId="23BD9296" w14:textId="77777777" w:rsidR="00AB5B6C" w:rsidRPr="00405303" w:rsidRDefault="00AB5B6C" w:rsidP="00C15251">
      <w:pPr>
        <w:pStyle w:val="a7"/>
        <w:shd w:val="clear" w:color="auto" w:fill="auto"/>
        <w:spacing w:line="240" w:lineRule="auto"/>
        <w:ind w:firstLine="0"/>
        <w:jc w:val="both"/>
        <w:rPr>
          <w:rFonts w:ascii="Times New Roman" w:hAnsi="Times New Roman"/>
          <w:b w:val="0"/>
          <w:bCs/>
          <w:color w:val="002060"/>
          <w:sz w:val="16"/>
          <w:szCs w:val="16"/>
        </w:rPr>
      </w:pPr>
      <w:r w:rsidRPr="00405303">
        <w:rPr>
          <w:rFonts w:ascii="Times New Roman" w:hAnsi="Times New Roman"/>
          <w:b w:val="0"/>
          <w:bCs/>
          <w:color w:val="002060"/>
          <w:sz w:val="16"/>
          <w:szCs w:val="16"/>
        </w:rPr>
        <w:t>* по другим данным (12301).</w:t>
      </w:r>
    </w:p>
    <w:p w14:paraId="3AAD59E9" w14:textId="77777777" w:rsidR="00AB5B6C" w:rsidRPr="00405303" w:rsidRDefault="00AB5B6C" w:rsidP="00C15251">
      <w:pPr>
        <w:jc w:val="both"/>
        <w:rPr>
          <w:bCs/>
          <w:color w:val="002060"/>
          <w:sz w:val="16"/>
          <w:szCs w:val="16"/>
        </w:rPr>
      </w:pPr>
    </w:p>
    <w:p w14:paraId="2DD82CB7" w14:textId="4ED326F5" w:rsidR="004B4E35" w:rsidRPr="00405303" w:rsidRDefault="0064595E"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июне 1915 г. </w:t>
      </w:r>
      <w:r w:rsidRPr="00405303">
        <w:rPr>
          <w:bCs/>
          <w:color w:val="002060"/>
          <w:sz w:val="16"/>
          <w:szCs w:val="16"/>
        </w:rPr>
        <w:t xml:space="preserve">началось серийное производство М-5 </w:t>
      </w:r>
      <w:r w:rsidR="009E6F82" w:rsidRPr="00405303">
        <w:rPr>
          <w:bCs/>
          <w:color w:val="002060"/>
          <w:sz w:val="16"/>
          <w:szCs w:val="16"/>
        </w:rPr>
        <w:t>и до конца года на заводе Щетинина их построили 37 штук. Затем их выпуск продолжался с различной интенсивностью на протяжении нескольких лет. Последние три экземпляра, предназначенные для учебных целей, сдали заказчику в 1921 году. До этого момента общее количество построенных М-5 составило порядка 200 экземпляров, большинство из них изготовили на заводах Щетинина, Мельцера, Григоровича в Петрограде, некоторое количество на заводе Анатра в Одессе, а после революции - на петроградском заводе №3.</w:t>
      </w:r>
    </w:p>
    <w:p w14:paraId="5938343B" w14:textId="77777777" w:rsidR="004B4E35" w:rsidRPr="00405303" w:rsidRDefault="009E6F82" w:rsidP="00C15251">
      <w:pPr>
        <w:jc w:val="both"/>
        <w:rPr>
          <w:bCs/>
          <w:color w:val="002060"/>
          <w:sz w:val="16"/>
          <w:szCs w:val="16"/>
        </w:rPr>
      </w:pPr>
      <w:r w:rsidRPr="00405303">
        <w:rPr>
          <w:bCs/>
          <w:color w:val="002060"/>
          <w:sz w:val="16"/>
          <w:szCs w:val="16"/>
        </w:rPr>
        <w:t xml:space="preserve">Наиболее активно М-5 использовались в авиации Черноморского флота, получившей в свое пользование за весь период более 70 таких гидропланов. 10 октября 1915 г. начальник авиации Черноморского флота старший лейтенант Ста- ховский писал в Морской генеральный штаб: "...Боевыми аппаратами можно считать лишь Щетинины типа М-5, коих имеется 17, но за недо-статком моторов из них могут действовать лишь 14". Дополним эти сведения: в ноябре 1916 г. на Черном море их числилось 45 экземпляров, в конце 1 917 г. - 24 экземпляра. </w:t>
      </w:r>
    </w:p>
    <w:p w14:paraId="5C38ADC6" w14:textId="77777777" w:rsidR="004B4E35" w:rsidRPr="00405303" w:rsidRDefault="009E6F82" w:rsidP="00C15251">
      <w:pPr>
        <w:jc w:val="both"/>
        <w:rPr>
          <w:bCs/>
          <w:color w:val="002060"/>
          <w:sz w:val="16"/>
          <w:szCs w:val="16"/>
        </w:rPr>
      </w:pPr>
      <w:r w:rsidRPr="00405303">
        <w:rPr>
          <w:bCs/>
          <w:color w:val="002060"/>
          <w:sz w:val="16"/>
          <w:szCs w:val="16"/>
        </w:rPr>
        <w:t>Вооружение боевых М-5 состояло из одного пулемета "Максим", "Виккерс" или "Льюис", установленных на треноге перед правым членом экипажа, нескольких 8-ми или 50-ти фунтовых бомб. С ноября 1915 г. на отдельных экземплярах ус-танавливали радиотелеграфные станции разных типов с дальностью связи свыше 40 км и фотоаппараты "Потте".</w:t>
      </w:r>
    </w:p>
    <w:p w14:paraId="056F65D1" w14:textId="77777777" w:rsidR="004B4E35" w:rsidRPr="00405303" w:rsidRDefault="009E6F82" w:rsidP="00C15251">
      <w:pPr>
        <w:jc w:val="both"/>
        <w:rPr>
          <w:bCs/>
          <w:color w:val="002060"/>
          <w:sz w:val="16"/>
          <w:szCs w:val="16"/>
        </w:rPr>
      </w:pPr>
      <w:r w:rsidRPr="00405303">
        <w:rPr>
          <w:bCs/>
          <w:color w:val="002060"/>
          <w:sz w:val="16"/>
          <w:szCs w:val="16"/>
        </w:rPr>
        <w:t>Черноморские М-5 базировались в Севастополе (1-й и 2-й отряды Воздушной дивизии), Одессе и Батуме (Кавказский фронт). Кроме этого, часть аппаратов была приписана к 1, 2, 3-му корабельным авиаотрядам на гидрокрейсерах "Император Александр I", "Император Николай I", "Алмаз". В отдельных случаях самолеты транспортировали на крейсере "Память Меркурия". Самолеты корабельной авиации участвовали в рейдах к берегам Турции и Болгарии.</w:t>
      </w:r>
    </w:p>
    <w:p w14:paraId="1DA1B116" w14:textId="77777777" w:rsidR="004B4E35" w:rsidRPr="00405303" w:rsidRDefault="009E6F82" w:rsidP="00C15251">
      <w:pPr>
        <w:jc w:val="both"/>
        <w:rPr>
          <w:bCs/>
          <w:color w:val="002060"/>
          <w:sz w:val="16"/>
          <w:szCs w:val="16"/>
        </w:rPr>
      </w:pPr>
      <w:r w:rsidRPr="00405303">
        <w:rPr>
          <w:bCs/>
          <w:color w:val="002060"/>
          <w:sz w:val="16"/>
          <w:szCs w:val="16"/>
        </w:rPr>
        <w:t>Большую огласку получила атака турецкого порта Зонгулдак в январе 1916 г. Целью этой набеговой операции значилось нарушение турецких перевозок угля из Зон- гулдакского угольного района в Константинополь. Уголь доставляли морем по причине отсутствия полноценного железнодорожного сообщения. Эффективность русских боевых кораблей в противодей-ствии турецким перевозкам угля оценивалась высоко, однако в начале 1916 г. последовало решение нанести удар по Зонгулдаку с использованием авиации.</w:t>
      </w:r>
    </w:p>
    <w:p w14:paraId="5F134845" w14:textId="77777777" w:rsidR="004B4E35" w:rsidRPr="00405303" w:rsidRDefault="009E6F82" w:rsidP="00C15251">
      <w:pPr>
        <w:jc w:val="both"/>
        <w:rPr>
          <w:bCs/>
          <w:color w:val="002060"/>
          <w:sz w:val="16"/>
          <w:szCs w:val="16"/>
        </w:rPr>
      </w:pPr>
      <w:r w:rsidRPr="00405303">
        <w:rPr>
          <w:bCs/>
          <w:color w:val="002060"/>
          <w:sz w:val="16"/>
          <w:szCs w:val="16"/>
        </w:rPr>
        <w:t>В составе эскадры, вышедшей из Севастополя 24 января 1916 г. находились авиатранспорты "Император Александр I" и "Император Николай I", которые имели на борту 1 4 летающих лодок "Кертисс" и М-5. Авиационной группе ставилась задача атаковать турецкие объекты, недоступные корабельной артиллерии. Каждый гидроплан был вооружен двумя двухпудовыми и несколькими десятифунтовыми бомбами. Примерно в 15 милях к северу от Зонгулдака авиатранспорты спустили самолеты на воду, после чего вся группа стартовала в воздух. До цели долетели 1 1 машин, остальные по причине неисправностей вернулись назад. Бомбардировка порта велась в условиях плотной облачности и активного обстрела с земли. Тем не менее, ударом с воздуха удалось уничтожить турецкий пароход "Ирмингард" (1гт1пНагс1), несколько мелких судов и разрушить портовые объекты.</w:t>
      </w:r>
    </w:p>
    <w:p w14:paraId="01C87083" w14:textId="77777777" w:rsidR="004B4E35" w:rsidRPr="00405303" w:rsidRDefault="009E6F82" w:rsidP="00C15251">
      <w:pPr>
        <w:jc w:val="both"/>
        <w:rPr>
          <w:bCs/>
          <w:color w:val="002060"/>
          <w:sz w:val="16"/>
          <w:szCs w:val="16"/>
        </w:rPr>
      </w:pPr>
      <w:r w:rsidRPr="00405303">
        <w:rPr>
          <w:bCs/>
          <w:color w:val="002060"/>
          <w:sz w:val="16"/>
          <w:szCs w:val="16"/>
        </w:rPr>
        <w:t>В 1916-17 гг. летающие лодки М-5 продолжали активно использоваться в интересах Черноморского флота и своим присутствием существенно повлияли на достижение успеха во многих боевых операциях. В начале 1918 г. практически все черноморские М-5 оказались в зоне белого движения и австрийской оккупации. В летном состоянии оставались лишь единичные экземпляры, которые просуществовали до 1919-20 гг.</w:t>
      </w:r>
    </w:p>
    <w:p w14:paraId="01910538" w14:textId="77777777" w:rsidR="004B4E35" w:rsidRPr="00405303" w:rsidRDefault="009E6F82" w:rsidP="00C15251">
      <w:pPr>
        <w:jc w:val="both"/>
        <w:rPr>
          <w:bCs/>
          <w:color w:val="002060"/>
          <w:sz w:val="16"/>
          <w:szCs w:val="16"/>
        </w:rPr>
      </w:pPr>
      <w:r w:rsidRPr="00405303">
        <w:rPr>
          <w:bCs/>
          <w:color w:val="002060"/>
          <w:sz w:val="16"/>
          <w:szCs w:val="16"/>
        </w:rPr>
        <w:t>На Балтике "пятаки" дебютировали как учебные машины при открытии в Петрограде 28 июля 1915 г. офицерской школы морской авиации. Поначалу в ней имелись 4 лодки М-5 и две французские ФБА. Одновременно с функционирующей школой в Петрограде решили открыть ее отделение в Баку - к обучению летчиков на Каспийском море приступили 22 ноября 1915 г.</w:t>
      </w:r>
    </w:p>
    <w:p w14:paraId="3381EE98" w14:textId="77777777" w:rsidR="004B4E35" w:rsidRPr="00405303" w:rsidRDefault="009E6F82" w:rsidP="00C15251">
      <w:pPr>
        <w:jc w:val="both"/>
        <w:rPr>
          <w:bCs/>
          <w:color w:val="002060"/>
          <w:sz w:val="16"/>
          <w:szCs w:val="16"/>
        </w:rPr>
      </w:pPr>
      <w:r w:rsidRPr="00405303">
        <w:rPr>
          <w:bCs/>
          <w:color w:val="002060"/>
          <w:sz w:val="16"/>
          <w:szCs w:val="16"/>
        </w:rPr>
        <w:lastRenderedPageBreak/>
        <w:t>Бакинский филиал с начала 1917 г. стал самостоятельной летной школой с прекрасно оборудованными мастерскими, ангарами и спусками на воду. В лучшие времена здесь эксплуатировалось до 20 учебных гидросамолетов М-5. Часть из них в середине 1918 г. принимала участие в отражении турецкого наступления в Закавказье, действуя в интересах оставшихся подразделений русской армии. Между тем, активное использование вело к неуклонному снижению количества пригодных к полетам машин, поэтому в 1919 г. здесь оставалось лишь два экземпляра М-5. В последующих бурных событиях гражданской войны Бакинская школа и ее имущество перестали существовать.</w:t>
      </w:r>
    </w:p>
    <w:p w14:paraId="1AAAFF01" w14:textId="77777777" w:rsidR="004B4E35" w:rsidRPr="00405303" w:rsidRDefault="009E6F82" w:rsidP="00C15251">
      <w:pPr>
        <w:jc w:val="both"/>
        <w:rPr>
          <w:bCs/>
          <w:color w:val="002060"/>
          <w:sz w:val="16"/>
          <w:szCs w:val="16"/>
        </w:rPr>
      </w:pPr>
      <w:r w:rsidRPr="00405303">
        <w:rPr>
          <w:bCs/>
          <w:color w:val="002060"/>
          <w:sz w:val="16"/>
          <w:szCs w:val="16"/>
        </w:rPr>
        <w:t>Точное количество учебных аппаратов, используемых петроградской школой неизвестно, скорее всего, в течение двух лет здесь их применялось до двух десятков экземпляров. В апреле 1918 г., в связи с угрозой немецкого вторжения, школу эвакуировали в Нижний Новгород - на Волгу отправились 5 учебных М-5. Такое же количество учебных "пятаков" насчитывалось в морской школе летчиков им. Троцкого, открытой 11 ноября 1918 г. на Гу- туевском острове в Петрограде. В период с мая по октябрь 1919 г. летающие лодки этой школы принимали участие в боевых действиях против армии генерала Юденича, наступавшей на Петроград. В декабре 1919 г. оба упомянутые учебные заведения объединили в Военно-морскую школу авиации и перевели в Самару на Волге. Объединенная школа базировалась на барже "Евпраксия", которая была оборудована ангаром и спуском для гидросамолетов. В период 1920- 1921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середины 1920-х годов. Известно, что в декабре 1925 г. в составе советской авиации числилось 22 таких учебных летающих лодки (очевидно совместно с М-20, отличавшейся в основном двигателем).</w:t>
      </w:r>
    </w:p>
    <w:p w14:paraId="2D057C21" w14:textId="77777777" w:rsidR="004B4E35" w:rsidRPr="00405303" w:rsidRDefault="009E6F82" w:rsidP="00C15251">
      <w:pPr>
        <w:jc w:val="both"/>
        <w:rPr>
          <w:bCs/>
          <w:color w:val="002060"/>
          <w:sz w:val="16"/>
          <w:szCs w:val="16"/>
        </w:rPr>
      </w:pPr>
      <w:r w:rsidRPr="00405303">
        <w:rPr>
          <w:bCs/>
          <w:color w:val="002060"/>
          <w:sz w:val="16"/>
          <w:szCs w:val="16"/>
        </w:rPr>
        <w:t>Помимо эксплуатации в России, по крайней мере, одна лодка М-5 после 1917 г. использовалась в Финляндии. Еще один экземпляр в ходе войны достался Турции, где сохранился до наших дней в авиационном музее Стамбула - Науа Мизеа (12083).</w:t>
      </w:r>
    </w:p>
    <w:p w14:paraId="4677C701" w14:textId="77777777" w:rsidR="004B4E35" w:rsidRPr="00405303" w:rsidRDefault="004B4E35" w:rsidP="00C15251">
      <w:pPr>
        <w:jc w:val="both"/>
        <w:rPr>
          <w:bCs/>
          <w:color w:val="002060"/>
          <w:sz w:val="16"/>
          <w:szCs w:val="16"/>
        </w:rPr>
      </w:pPr>
    </w:p>
    <w:p w14:paraId="7C1A5EB8" w14:textId="71CC406B" w:rsidR="004B4E35" w:rsidRPr="00405303" w:rsidRDefault="0064595E"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июне 1915 г. </w:t>
      </w:r>
      <w:r w:rsidRPr="00405303">
        <w:rPr>
          <w:bCs/>
          <w:color w:val="002060"/>
          <w:sz w:val="16"/>
          <w:szCs w:val="16"/>
        </w:rPr>
        <w:t xml:space="preserve">поручик Григоров изобрел </w:t>
      </w:r>
      <w:r w:rsidR="009E6F82" w:rsidRPr="00405303">
        <w:rPr>
          <w:bCs/>
          <w:color w:val="002060"/>
          <w:sz w:val="16"/>
          <w:szCs w:val="16"/>
        </w:rPr>
        <w:t>покрыти</w:t>
      </w:r>
      <w:r w:rsidRPr="00405303">
        <w:rPr>
          <w:bCs/>
          <w:color w:val="002060"/>
          <w:sz w:val="16"/>
          <w:szCs w:val="16"/>
        </w:rPr>
        <w:t>е</w:t>
      </w:r>
      <w:r w:rsidR="009E6F82" w:rsidRPr="00405303">
        <w:rPr>
          <w:bCs/>
          <w:color w:val="002060"/>
          <w:sz w:val="16"/>
          <w:szCs w:val="16"/>
        </w:rPr>
        <w:t xml:space="preserve"> бензиновых баков последовательно слоями из ваты толщиной 14-18 мм, резины - 4 мм и брезента. Это препятствовало утечке бензина и масла в случае пробития баков, а также служило хорошим утеплителем.</w:t>
      </w:r>
    </w:p>
    <w:p w14:paraId="1AB0A9D7" w14:textId="77777777" w:rsidR="004B4E35" w:rsidRPr="00405303" w:rsidRDefault="009E6F82" w:rsidP="00C15251">
      <w:pPr>
        <w:jc w:val="both"/>
        <w:rPr>
          <w:bCs/>
          <w:color w:val="002060"/>
          <w:sz w:val="16"/>
          <w:szCs w:val="16"/>
        </w:rPr>
      </w:pPr>
      <w:r w:rsidRPr="00405303">
        <w:rPr>
          <w:bCs/>
          <w:color w:val="002060"/>
          <w:sz w:val="16"/>
          <w:szCs w:val="16"/>
        </w:rPr>
        <w:t>Приспособление поручика Григорова было испытано в июле 1916 г. и Технический комитет УВВФ постановил: "защита баков системы штабс-капитана Григорова для аэропланов "Фарман-30" с технической стороны является приемлемой".</w:t>
      </w:r>
    </w:p>
    <w:p w14:paraId="06704D4A" w14:textId="77777777" w:rsidR="004B4E35" w:rsidRPr="00405303" w:rsidRDefault="009E6F82" w:rsidP="00C15251">
      <w:pPr>
        <w:jc w:val="both"/>
        <w:rPr>
          <w:bCs/>
          <w:color w:val="002060"/>
          <w:sz w:val="16"/>
          <w:szCs w:val="16"/>
        </w:rPr>
      </w:pPr>
      <w:r w:rsidRPr="00405303">
        <w:rPr>
          <w:bCs/>
          <w:color w:val="002060"/>
          <w:sz w:val="16"/>
          <w:szCs w:val="16"/>
        </w:rPr>
        <w:t>Это решение было утверждено начальником военно- воздушного флота 26 января 1917 г.</w:t>
      </w:r>
    </w:p>
    <w:p w14:paraId="1D51BB7E" w14:textId="77777777" w:rsidR="004B4E35" w:rsidRPr="00405303" w:rsidRDefault="009E6F82" w:rsidP="00C15251">
      <w:pPr>
        <w:jc w:val="both"/>
        <w:rPr>
          <w:bCs/>
          <w:color w:val="002060"/>
          <w:sz w:val="16"/>
          <w:szCs w:val="16"/>
        </w:rPr>
      </w:pPr>
      <w:r w:rsidRPr="00405303">
        <w:rPr>
          <w:bCs/>
          <w:color w:val="002060"/>
          <w:sz w:val="16"/>
          <w:szCs w:val="16"/>
        </w:rPr>
        <w:t>За все это время большое количество летчиков успело сгореть в воздухе из-за попадания пуль в бензобаки самолетов (11999).</w:t>
      </w:r>
    </w:p>
    <w:p w14:paraId="63929FAC" w14:textId="10F7E6DA" w:rsidR="004B4E35" w:rsidRPr="00405303" w:rsidRDefault="004B4E35" w:rsidP="00C15251">
      <w:pPr>
        <w:jc w:val="both"/>
        <w:rPr>
          <w:bCs/>
          <w:color w:val="002060"/>
          <w:sz w:val="16"/>
          <w:szCs w:val="16"/>
        </w:rPr>
      </w:pPr>
    </w:p>
    <w:p w14:paraId="348D1FC1" w14:textId="77777777" w:rsidR="0064595E" w:rsidRPr="00405303" w:rsidRDefault="0064595E" w:rsidP="00C15251">
      <w:pPr>
        <w:jc w:val="both"/>
        <w:rPr>
          <w:bCs/>
          <w:color w:val="002060"/>
          <w:sz w:val="16"/>
          <w:szCs w:val="16"/>
        </w:rPr>
      </w:pPr>
      <w:r w:rsidRPr="00405303">
        <w:rPr>
          <w:bCs/>
          <w:color w:val="002060"/>
          <w:sz w:val="16"/>
          <w:szCs w:val="16"/>
        </w:rPr>
        <w:t>В июне 1915 г. ГВТУ согласились, и «Авиа-Балт» немедленно закрыл наряд очередными самолетами «Илья Муромец-В» (заводские № 158, 159, 163 и 165). Один из них (№ 159) был двухмоторным с «Санбимами» по 225 л. с. Эта машина стала последней специально созданной для учебных целей. В дальнейшем в эскадре в качестве учебных использовались отслужившие свой срок боевые самолеты. Следующие корабли «Илья Муромец-В» сдавались уже в счет заказа на 32 машины (19963).</w:t>
      </w:r>
    </w:p>
    <w:p w14:paraId="2507F88C" w14:textId="77777777" w:rsidR="0064595E" w:rsidRPr="00405303" w:rsidRDefault="0064595E" w:rsidP="00C15251">
      <w:pPr>
        <w:jc w:val="both"/>
        <w:rPr>
          <w:rStyle w:val="42"/>
          <w:rFonts w:ascii="Times New Roman" w:hAnsi="Times New Roman" w:cs="Times New Roman"/>
          <w:bCs/>
          <w:color w:val="002060"/>
          <w:w w:val="100"/>
          <w:sz w:val="16"/>
          <w:szCs w:val="16"/>
        </w:rPr>
      </w:pPr>
    </w:p>
    <w:p w14:paraId="3DD6C6A3" w14:textId="77777777" w:rsidR="0064595E" w:rsidRPr="00405303" w:rsidRDefault="0064595E" w:rsidP="00C15251">
      <w:pPr>
        <w:jc w:val="both"/>
        <w:rPr>
          <w:rStyle w:val="42"/>
          <w:rFonts w:ascii="Times New Roman" w:hAnsi="Times New Roman" w:cs="Times New Roman"/>
          <w:bCs/>
          <w:color w:val="002060"/>
          <w:w w:val="100"/>
          <w:sz w:val="16"/>
          <w:szCs w:val="16"/>
        </w:rPr>
      </w:pPr>
      <w:r w:rsidRPr="00405303">
        <w:rPr>
          <w:bCs/>
          <w:color w:val="002060"/>
          <w:sz w:val="16"/>
          <w:szCs w:val="16"/>
        </w:rPr>
        <w:t>В июне 1915 г. инженер В.В. Кузнецов, известный своими научными работами в Кучинском аэродинамическом институте и Павловской аэрологической обсерватории, представил военному ведомству подробно разработанное описание устройства для автоматического сбрасывания снарядов с аэростатов. Изобретатель считал возможным сбрасывать их с таким расчетом, чтобы они ложились «приблизительно в заранее намеченных пунктах в зависимости от направления и скорости ветра, дующего на разных высотах в данный момент». С этой целью он предлагал перед запуском аэростата со снарядами с помощью шара определить скорость и направление воздушных течений. Подробно описывая способы таких определений, В.В. Кузнецов утверждал, что исследования атмосферы до 4000 м можно сделать за 20-25 мин. Затем следует пускать резиновый шар большего размера со снарядом, который через определенный промежуток времени оторвется от шара с помощью автоматического приспособления. Определяя по длине окружности шара его вертикальную скорость, момент отрыва снаряда от шара следует рассчитывать так, чтобы снаряд упал на определенном расстоянии. Изобретатель высчитал, что для снаряда массой 4 кг нужно изготовить оболочку массой 1,2 кг с объемом водорода в 6,5 м</w:t>
      </w:r>
      <w:proofErr w:type="gramStart"/>
      <w:r w:rsidRPr="00405303">
        <w:rPr>
          <w:bCs/>
          <w:color w:val="002060"/>
          <w:sz w:val="16"/>
          <w:szCs w:val="16"/>
        </w:rPr>
        <w:t>3 .</w:t>
      </w:r>
      <w:proofErr w:type="gramEnd"/>
      <w:r w:rsidRPr="00405303">
        <w:rPr>
          <w:bCs/>
          <w:color w:val="002060"/>
          <w:sz w:val="16"/>
          <w:szCs w:val="16"/>
        </w:rPr>
        <w:t xml:space="preserve"> Стоимость такого шара исчислялась в 30 руб. (22857)</w:t>
      </w:r>
    </w:p>
    <w:p w14:paraId="738F2265" w14:textId="77777777" w:rsidR="0064595E" w:rsidRPr="00405303" w:rsidRDefault="0064595E" w:rsidP="00C15251">
      <w:pPr>
        <w:jc w:val="both"/>
        <w:rPr>
          <w:rStyle w:val="42"/>
          <w:rFonts w:ascii="Times New Roman" w:hAnsi="Times New Roman" w:cs="Times New Roman"/>
          <w:bCs/>
          <w:color w:val="002060"/>
          <w:w w:val="100"/>
          <w:sz w:val="16"/>
          <w:szCs w:val="16"/>
        </w:rPr>
      </w:pPr>
    </w:p>
    <w:p w14:paraId="52384AA3" w14:textId="77777777" w:rsidR="00E274C3" w:rsidRPr="00405303" w:rsidRDefault="00E274C3" w:rsidP="00C15251">
      <w:pPr>
        <w:jc w:val="both"/>
        <w:rPr>
          <w:bCs/>
          <w:color w:val="002060"/>
          <w:sz w:val="16"/>
          <w:szCs w:val="16"/>
          <w:lang w:bidi="ru-RU"/>
        </w:rPr>
      </w:pPr>
      <w:r w:rsidRPr="00405303">
        <w:rPr>
          <w:bCs/>
          <w:color w:val="002060"/>
          <w:sz w:val="16"/>
          <w:szCs w:val="16"/>
        </w:rPr>
        <w:t>В июне 1915 г. ГВТУ согласилось с предложением РБВЗ, и «Авиа-Балт» немедленно закрыл наряд очередными самолетами «Илья Муромец-В» (заводские М 158, 159, 163 и 165). Один из них (№ 159) был двухмоторным с «Санбимами» по 225 л. с. Эта машина стала последней специально созданной для учебных целей. В дальнейшем в эскадре в качестве учебных использовались отслужившие свой срок бое</w:t>
      </w:r>
      <w:r w:rsidRPr="00405303">
        <w:rPr>
          <w:bCs/>
          <w:color w:val="002060"/>
          <w:sz w:val="16"/>
          <w:szCs w:val="16"/>
        </w:rPr>
        <w:softHyphen/>
        <w:t>вые самолеты.</w:t>
      </w:r>
      <w:r w:rsidRPr="00405303">
        <w:rPr>
          <w:bCs/>
          <w:color w:val="002060"/>
          <w:sz w:val="16"/>
          <w:szCs w:val="16"/>
        </w:rPr>
        <w:tab/>
      </w:r>
    </w:p>
    <w:p w14:paraId="54944154" w14:textId="77777777" w:rsidR="00E274C3" w:rsidRPr="00405303" w:rsidRDefault="00E274C3" w:rsidP="00C15251">
      <w:pPr>
        <w:jc w:val="both"/>
        <w:rPr>
          <w:bCs/>
          <w:color w:val="002060"/>
          <w:sz w:val="16"/>
          <w:szCs w:val="16"/>
        </w:rPr>
      </w:pPr>
      <w:r w:rsidRPr="00405303">
        <w:rPr>
          <w:bCs/>
          <w:color w:val="002060"/>
          <w:sz w:val="16"/>
          <w:szCs w:val="16"/>
        </w:rPr>
        <w:t>Хотя заказ на «Муромцев» был восстановлен, их произ</w:t>
      </w:r>
      <w:r w:rsidRPr="00405303">
        <w:rPr>
          <w:bCs/>
          <w:color w:val="002060"/>
          <w:sz w:val="16"/>
          <w:szCs w:val="16"/>
        </w:rPr>
        <w:softHyphen/>
        <w:t>водство тормозилось из-за отсутствия свободных пло</w:t>
      </w:r>
      <w:r w:rsidRPr="00405303">
        <w:rPr>
          <w:bCs/>
          <w:color w:val="002060"/>
          <w:sz w:val="16"/>
          <w:szCs w:val="16"/>
        </w:rPr>
        <w:softHyphen/>
        <w:t>щадей и необходимости выполнения контракта по лег</w:t>
      </w:r>
      <w:r w:rsidRPr="00405303">
        <w:rPr>
          <w:bCs/>
          <w:color w:val="002060"/>
          <w:sz w:val="16"/>
          <w:szCs w:val="16"/>
        </w:rPr>
        <w:softHyphen/>
        <w:t>ким «Сикорским». Поскольку завод делал ставку на тяжелые машины, Правление РБВЗ вышло в ГВТУ с предложением поставить на ту же сумму контракта вместо легких аппаратов четыре «Муромца» для заме</w:t>
      </w:r>
      <w:r w:rsidRPr="00405303">
        <w:rPr>
          <w:bCs/>
          <w:color w:val="002060"/>
          <w:sz w:val="16"/>
          <w:szCs w:val="16"/>
        </w:rPr>
        <w:softHyphen/>
        <w:t>ны отработавших свой ресурс первых Кораблей (24177).</w:t>
      </w:r>
    </w:p>
    <w:p w14:paraId="569B25DB" w14:textId="77777777" w:rsidR="00E274C3" w:rsidRPr="00405303" w:rsidRDefault="00E274C3" w:rsidP="00C15251">
      <w:pPr>
        <w:jc w:val="both"/>
        <w:rPr>
          <w:bCs/>
          <w:color w:val="002060"/>
          <w:sz w:val="16"/>
          <w:szCs w:val="16"/>
          <w:lang w:bidi="ru-RU"/>
        </w:rPr>
      </w:pPr>
    </w:p>
    <w:p w14:paraId="19082372" w14:textId="77777777" w:rsidR="00E274C3" w:rsidRPr="00405303" w:rsidRDefault="00E274C3" w:rsidP="00C15251">
      <w:pPr>
        <w:jc w:val="both"/>
        <w:rPr>
          <w:bCs/>
          <w:color w:val="002060"/>
          <w:sz w:val="16"/>
          <w:szCs w:val="16"/>
        </w:rPr>
      </w:pPr>
      <w:r w:rsidRPr="00405303">
        <w:rPr>
          <w:bCs/>
          <w:color w:val="002060"/>
          <w:sz w:val="16"/>
          <w:szCs w:val="16"/>
          <w:lang w:bidi="ru-RU"/>
        </w:rPr>
        <w:t>В июне 1915 г. началось се</w:t>
      </w:r>
      <w:r w:rsidRPr="00405303">
        <w:rPr>
          <w:bCs/>
          <w:color w:val="002060"/>
          <w:sz w:val="16"/>
          <w:szCs w:val="16"/>
          <w:lang w:bidi="ru-RU"/>
        </w:rPr>
        <w:softHyphen/>
        <w:t>рийное производство гидросамолетов М-5 Григоровича и продолжалось до середины 1917 г. К этому сроку общее количество изготовлен</w:t>
      </w:r>
      <w:r w:rsidRPr="00405303">
        <w:rPr>
          <w:bCs/>
          <w:color w:val="002060"/>
          <w:sz w:val="16"/>
          <w:szCs w:val="16"/>
          <w:lang w:bidi="ru-RU"/>
        </w:rPr>
        <w:softHyphen/>
        <w:t>ных М-5 составило порядка 200 экземпля</w:t>
      </w:r>
      <w:r w:rsidRPr="00405303">
        <w:rPr>
          <w:bCs/>
          <w:color w:val="002060"/>
          <w:sz w:val="16"/>
          <w:szCs w:val="16"/>
          <w:lang w:bidi="ru-RU"/>
        </w:rPr>
        <w:softHyphen/>
        <w:t>ров, большинство их изготовили на заводе Щетинина в Петрограде и некоторое коли</w:t>
      </w:r>
      <w:r w:rsidRPr="00405303">
        <w:rPr>
          <w:bCs/>
          <w:color w:val="002060"/>
          <w:sz w:val="16"/>
          <w:szCs w:val="16"/>
          <w:lang w:bidi="ru-RU"/>
        </w:rPr>
        <w:softHyphen/>
        <w:t>чество на заводе Анатра в Одессе (23374).</w:t>
      </w:r>
    </w:p>
    <w:p w14:paraId="68447A91" w14:textId="77777777" w:rsidR="00E274C3" w:rsidRPr="00405303" w:rsidRDefault="00E274C3" w:rsidP="00C15251">
      <w:pPr>
        <w:jc w:val="both"/>
        <w:rPr>
          <w:bCs/>
          <w:color w:val="002060"/>
          <w:sz w:val="16"/>
          <w:szCs w:val="16"/>
          <w:lang w:bidi="ru-RU"/>
        </w:rPr>
      </w:pPr>
    </w:p>
    <w:p w14:paraId="1495EB39" w14:textId="77777777" w:rsidR="00C81B52" w:rsidRPr="00405303" w:rsidRDefault="00C81B52" w:rsidP="00C81B52">
      <w:pPr>
        <w:jc w:val="both"/>
        <w:rPr>
          <w:color w:val="0070C0"/>
          <w:sz w:val="16"/>
          <w:szCs w:val="16"/>
        </w:rPr>
      </w:pPr>
      <w:r w:rsidRPr="00405303">
        <w:rPr>
          <w:color w:val="0070C0"/>
          <w:sz w:val="16"/>
          <w:szCs w:val="16"/>
        </w:rPr>
        <w:t xml:space="preserve">В июне 1915 г. лл «Гаккель Х» уже с 130-сильными двигателями Renault 12Db прошля весь комплекс испытаний </w:t>
      </w:r>
      <w:proofErr w:type="gramStart"/>
      <w:r w:rsidRPr="00405303">
        <w:rPr>
          <w:color w:val="0070C0"/>
          <w:sz w:val="16"/>
          <w:szCs w:val="16"/>
        </w:rPr>
        <w:t>и по сути</w:t>
      </w:r>
      <w:proofErr w:type="gramEnd"/>
      <w:r w:rsidRPr="00405303">
        <w:rPr>
          <w:color w:val="0070C0"/>
          <w:sz w:val="16"/>
          <w:szCs w:val="16"/>
        </w:rPr>
        <w:t xml:space="preserve"> подтвердил заявленные данные, </w:t>
      </w:r>
      <w:proofErr w:type="gramStart"/>
      <w:r w:rsidRPr="00405303">
        <w:rPr>
          <w:color w:val="0070C0"/>
          <w:sz w:val="16"/>
          <w:szCs w:val="16"/>
        </w:rPr>
        <w:t>оказалось</w:t>
      </w:r>
      <w:proofErr w:type="gramEnd"/>
      <w:r w:rsidRPr="00405303">
        <w:rPr>
          <w:color w:val="0070C0"/>
          <w:sz w:val="16"/>
          <w:szCs w:val="16"/>
        </w:rPr>
        <w:t xml:space="preserve"> что лодка уже не нужна. Ее характеристики кроме грузоподъемности и дальности, не сильно отличались от более дешёвой в производстве М-5, да и нагрузку, использовать в полной мере удавалось (25220).</w:t>
      </w:r>
    </w:p>
    <w:p w14:paraId="566DB0F6" w14:textId="77777777" w:rsidR="00C81B52" w:rsidRPr="00405303" w:rsidRDefault="00C81B52" w:rsidP="00C81B52">
      <w:pPr>
        <w:jc w:val="both"/>
        <w:rPr>
          <w:rStyle w:val="aa"/>
          <w:rFonts w:ascii="Times New Roman" w:hAnsi="Times New Roman"/>
          <w:color w:val="0070C0"/>
          <w:spacing w:val="0"/>
          <w:sz w:val="16"/>
          <w:szCs w:val="16"/>
        </w:rPr>
      </w:pPr>
    </w:p>
    <w:p w14:paraId="55276BF5" w14:textId="77777777" w:rsidR="0064595E" w:rsidRPr="00405303" w:rsidRDefault="0064595E" w:rsidP="00C15251">
      <w:pPr>
        <w:jc w:val="both"/>
        <w:rPr>
          <w:bCs/>
          <w:i/>
          <w:color w:val="002060"/>
          <w:sz w:val="16"/>
          <w:szCs w:val="16"/>
        </w:rPr>
      </w:pPr>
      <w:r w:rsidRPr="00405303">
        <w:rPr>
          <w:bCs/>
          <w:i/>
          <w:color w:val="002060"/>
          <w:sz w:val="16"/>
          <w:szCs w:val="16"/>
        </w:rPr>
        <w:t>Аэростатостроение:</w:t>
      </w:r>
    </w:p>
    <w:p w14:paraId="64658C2A" w14:textId="77777777" w:rsidR="0064595E" w:rsidRPr="00405303" w:rsidRDefault="0064595E" w:rsidP="00C15251">
      <w:pPr>
        <w:jc w:val="both"/>
        <w:rPr>
          <w:bCs/>
          <w:i/>
          <w:color w:val="002060"/>
          <w:sz w:val="16"/>
          <w:szCs w:val="16"/>
        </w:rPr>
      </w:pPr>
    </w:p>
    <w:p w14:paraId="26BF1242" w14:textId="77777777" w:rsidR="0064595E" w:rsidRPr="00405303" w:rsidRDefault="0064595E" w:rsidP="00C15251">
      <w:pPr>
        <w:jc w:val="both"/>
        <w:rPr>
          <w:bCs/>
          <w:color w:val="002060"/>
          <w:sz w:val="16"/>
          <w:szCs w:val="16"/>
        </w:rPr>
      </w:pPr>
      <w:r w:rsidRPr="00405303">
        <w:rPr>
          <w:rStyle w:val="42"/>
          <w:rFonts w:ascii="Times New Roman" w:hAnsi="Times New Roman" w:cs="Times New Roman"/>
          <w:bCs/>
          <w:color w:val="002060"/>
          <w:w w:val="100"/>
          <w:sz w:val="16"/>
          <w:szCs w:val="16"/>
        </w:rPr>
        <w:t>В июне 1915 г. фирма Клеман Баяр построила для России дирижабль объёмом 20 000 м3. Так как лётно-технические характеристики дирижабля уже не со</w:t>
      </w:r>
      <w:r w:rsidRPr="00405303">
        <w:rPr>
          <w:rStyle w:val="42"/>
          <w:rFonts w:ascii="Times New Roman" w:hAnsi="Times New Roman" w:cs="Times New Roman"/>
          <w:bCs/>
          <w:color w:val="002060"/>
          <w:w w:val="100"/>
          <w:sz w:val="16"/>
          <w:szCs w:val="16"/>
        </w:rPr>
        <w:softHyphen/>
        <w:t>ответствовали боевой практике, то великий князь Александр Михайлович передал фирме через рус</w:t>
      </w:r>
      <w:r w:rsidRPr="00405303">
        <w:rPr>
          <w:rStyle w:val="42"/>
          <w:rFonts w:ascii="Times New Roman" w:hAnsi="Times New Roman" w:cs="Times New Roman"/>
          <w:bCs/>
          <w:color w:val="002060"/>
          <w:w w:val="100"/>
          <w:sz w:val="16"/>
          <w:szCs w:val="16"/>
        </w:rPr>
        <w:softHyphen/>
        <w:t>ского военного агента во Франции подполковни</w:t>
      </w:r>
      <w:r w:rsidRPr="00405303">
        <w:rPr>
          <w:rStyle w:val="42"/>
          <w:rFonts w:ascii="Times New Roman" w:hAnsi="Times New Roman" w:cs="Times New Roman"/>
          <w:bCs/>
          <w:color w:val="002060"/>
          <w:w w:val="100"/>
          <w:sz w:val="16"/>
          <w:szCs w:val="16"/>
        </w:rPr>
        <w:softHyphen/>
        <w:t>ка А.А. Игнатьева новые требования к дирижа</w:t>
      </w:r>
      <w:r w:rsidRPr="00405303">
        <w:rPr>
          <w:rStyle w:val="42"/>
          <w:rFonts w:ascii="Times New Roman" w:hAnsi="Times New Roman" w:cs="Times New Roman"/>
          <w:bCs/>
          <w:color w:val="002060"/>
          <w:w w:val="100"/>
          <w:sz w:val="16"/>
          <w:szCs w:val="16"/>
        </w:rPr>
        <w:softHyphen/>
        <w:t>блю: трёхчасовой полёт с 1000 кг бомб на борту на высоте 2500 м при крейсерской скорости не менее 79 км/ч, ориентирование в полёте должно вестись только по компасу. Для приёмки дирижабля во Францию откомандировали комиссию полков</w:t>
      </w:r>
      <w:r w:rsidRPr="00405303">
        <w:rPr>
          <w:rStyle w:val="42"/>
          <w:rFonts w:ascii="Times New Roman" w:hAnsi="Times New Roman" w:cs="Times New Roman"/>
          <w:bCs/>
          <w:color w:val="002060"/>
          <w:w w:val="100"/>
          <w:sz w:val="16"/>
          <w:szCs w:val="16"/>
        </w:rPr>
        <w:softHyphen/>
        <w:t>ника К.А. Антонова. Телеграммой от 16 апреля 1916 г., подписанной Антоновым и Игнатьевым, сообщалось о приостановке фирмой работ по ди</w:t>
      </w:r>
      <w:r w:rsidRPr="00405303">
        <w:rPr>
          <w:rStyle w:val="42"/>
          <w:rFonts w:ascii="Times New Roman" w:hAnsi="Times New Roman" w:cs="Times New Roman"/>
          <w:bCs/>
          <w:color w:val="002060"/>
          <w:w w:val="100"/>
          <w:sz w:val="16"/>
          <w:szCs w:val="16"/>
        </w:rPr>
        <w:softHyphen/>
        <w:t>рижаблю до выплаты 377 тыс. франков (пример</w:t>
      </w:r>
      <w:r w:rsidRPr="00405303">
        <w:rPr>
          <w:rStyle w:val="42"/>
          <w:rFonts w:ascii="Times New Roman" w:hAnsi="Times New Roman" w:cs="Times New Roman"/>
          <w:bCs/>
          <w:color w:val="002060"/>
          <w:w w:val="100"/>
          <w:sz w:val="16"/>
          <w:szCs w:val="16"/>
        </w:rPr>
        <w:softHyphen/>
        <w:t>но трети стоимости дирижабля). «Прошу в крат</w:t>
      </w:r>
      <w:r w:rsidRPr="00405303">
        <w:rPr>
          <w:rStyle w:val="42"/>
          <w:rFonts w:ascii="Times New Roman" w:hAnsi="Times New Roman" w:cs="Times New Roman"/>
          <w:bCs/>
          <w:color w:val="002060"/>
          <w:w w:val="100"/>
          <w:sz w:val="16"/>
          <w:szCs w:val="16"/>
        </w:rPr>
        <w:softHyphen/>
        <w:t>кий срок уведомить, будут ли переведены деньги Клеману и одновременно указать предельный срок навигации на Архангельске, дабы, отсчи</w:t>
      </w:r>
      <w:r w:rsidRPr="00405303">
        <w:rPr>
          <w:rStyle w:val="42"/>
          <w:rFonts w:ascii="Times New Roman" w:hAnsi="Times New Roman" w:cs="Times New Roman"/>
          <w:bCs/>
          <w:color w:val="002060"/>
          <w:w w:val="100"/>
          <w:sz w:val="16"/>
          <w:szCs w:val="16"/>
        </w:rPr>
        <w:softHyphen/>
        <w:t>тав время, необходимое на испытания, разборку, укупорку и перевозку, рассчитать предельный срок предъявления дирижабля фирмой. В случае, если этот срок не допустит отправки дирижабля в этот навигационный период, следовало бы от</w:t>
      </w:r>
      <w:r w:rsidRPr="00405303">
        <w:rPr>
          <w:rStyle w:val="42"/>
          <w:rFonts w:ascii="Times New Roman" w:hAnsi="Times New Roman" w:cs="Times New Roman"/>
          <w:bCs/>
          <w:color w:val="002060"/>
          <w:w w:val="100"/>
          <w:sz w:val="16"/>
          <w:szCs w:val="16"/>
        </w:rPr>
        <w:softHyphen/>
        <w:t>казаться от этого аэростата, так как он должен будет полететь до весны 17 г.». 30 апреля Алек</w:t>
      </w:r>
      <w:r w:rsidRPr="00405303">
        <w:rPr>
          <w:rStyle w:val="42"/>
          <w:rFonts w:ascii="Times New Roman" w:hAnsi="Times New Roman" w:cs="Times New Roman"/>
          <w:bCs/>
          <w:color w:val="002060"/>
          <w:w w:val="100"/>
          <w:sz w:val="16"/>
          <w:szCs w:val="16"/>
        </w:rPr>
        <w:softHyphen/>
        <w:t>сандр Михайлович обратился к начальнику ГВТУ генералу Милеанту: «...Если деньги ещё не упла</w:t>
      </w:r>
      <w:r w:rsidRPr="00405303">
        <w:rPr>
          <w:rStyle w:val="42"/>
          <w:rFonts w:ascii="Times New Roman" w:hAnsi="Times New Roman" w:cs="Times New Roman"/>
          <w:bCs/>
          <w:color w:val="002060"/>
          <w:w w:val="100"/>
          <w:sz w:val="16"/>
          <w:szCs w:val="16"/>
        </w:rPr>
        <w:softHyphen/>
        <w:t>чены, предлагал бы от аэростата отказаться, а ко</w:t>
      </w:r>
      <w:r w:rsidRPr="00405303">
        <w:rPr>
          <w:rStyle w:val="42"/>
          <w:rFonts w:ascii="Times New Roman" w:hAnsi="Times New Roman" w:cs="Times New Roman"/>
          <w:bCs/>
          <w:color w:val="002060"/>
          <w:w w:val="100"/>
          <w:sz w:val="16"/>
          <w:szCs w:val="16"/>
        </w:rPr>
        <w:softHyphen/>
        <w:t>миссию отозвать». Решение запоздало, так как Антонов 5 мая 1916 г. доложил об уплате фир</w:t>
      </w:r>
      <w:r w:rsidRPr="00405303">
        <w:rPr>
          <w:rStyle w:val="42"/>
          <w:rFonts w:ascii="Times New Roman" w:hAnsi="Times New Roman" w:cs="Times New Roman"/>
          <w:bCs/>
          <w:color w:val="002060"/>
          <w:w w:val="100"/>
          <w:sz w:val="16"/>
          <w:szCs w:val="16"/>
        </w:rPr>
        <w:softHyphen/>
        <w:t>ме денег и выдаче письменного обязательства о принятии дирижабля лишь в случае выполне</w:t>
      </w:r>
      <w:r w:rsidRPr="00405303">
        <w:rPr>
          <w:rStyle w:val="42"/>
          <w:rFonts w:ascii="Times New Roman" w:hAnsi="Times New Roman" w:cs="Times New Roman"/>
          <w:bCs/>
          <w:color w:val="002060"/>
          <w:w w:val="100"/>
          <w:sz w:val="16"/>
          <w:szCs w:val="16"/>
        </w:rPr>
        <w:softHyphen/>
        <w:t>ния условий, предъявленных великим князем, со сроком предъявления дирижабля к испытаниям до 15 июля, и теперь организовывал доставку дирижабля в Россию: «.Навигация приблизи</w:t>
      </w:r>
      <w:r w:rsidRPr="00405303">
        <w:rPr>
          <w:rStyle w:val="42"/>
          <w:rFonts w:ascii="Times New Roman" w:hAnsi="Times New Roman" w:cs="Times New Roman"/>
          <w:bCs/>
          <w:color w:val="002060"/>
          <w:w w:val="100"/>
          <w:sz w:val="16"/>
          <w:szCs w:val="16"/>
        </w:rPr>
        <w:softHyphen/>
        <w:t>тельно середина ноября», — сообщил телеграм</w:t>
      </w:r>
      <w:r w:rsidRPr="00405303">
        <w:rPr>
          <w:rStyle w:val="42"/>
          <w:rFonts w:ascii="Times New Roman" w:hAnsi="Times New Roman" w:cs="Times New Roman"/>
          <w:bCs/>
          <w:color w:val="002060"/>
          <w:w w:val="100"/>
          <w:sz w:val="16"/>
          <w:szCs w:val="16"/>
        </w:rPr>
        <w:softHyphen/>
        <w:t>мой великий князь и здесь же добавил: «Игнатьев сообщил, что французское правительство пред</w:t>
      </w:r>
      <w:r w:rsidRPr="00405303">
        <w:rPr>
          <w:rStyle w:val="42"/>
          <w:rFonts w:ascii="Times New Roman" w:hAnsi="Times New Roman" w:cs="Times New Roman"/>
          <w:bCs/>
          <w:color w:val="002060"/>
          <w:w w:val="100"/>
          <w:sz w:val="16"/>
          <w:szCs w:val="16"/>
        </w:rPr>
        <w:softHyphen/>
        <w:t>полагает заказать фирме Шнейдер каркассиро- ванный дирижабль типа и качества последних цеппелинов. Возможна постройка одновременно второго дирижабля для нас. Срок — весна буду</w:t>
      </w:r>
      <w:r w:rsidRPr="00405303">
        <w:rPr>
          <w:rStyle w:val="42"/>
          <w:rFonts w:ascii="Times New Roman" w:hAnsi="Times New Roman" w:cs="Times New Roman"/>
          <w:bCs/>
          <w:color w:val="002060"/>
          <w:w w:val="100"/>
          <w:sz w:val="16"/>
          <w:szCs w:val="16"/>
        </w:rPr>
        <w:softHyphen/>
        <w:t>щего года. Прошу Ваше заключение». Подпол</w:t>
      </w:r>
      <w:r w:rsidRPr="00405303">
        <w:rPr>
          <w:rStyle w:val="42"/>
          <w:rFonts w:ascii="Times New Roman" w:hAnsi="Times New Roman" w:cs="Times New Roman"/>
          <w:bCs/>
          <w:color w:val="002060"/>
          <w:w w:val="100"/>
          <w:sz w:val="16"/>
          <w:szCs w:val="16"/>
        </w:rPr>
        <w:softHyphen/>
        <w:t>ковник Б.В. Голубов выступил категорически против этой покупки: «По моему мнению, такого заказа давать не следовало бы: 1) отсутствие соот</w:t>
      </w:r>
      <w:r w:rsidRPr="00405303">
        <w:rPr>
          <w:rStyle w:val="42"/>
          <w:rFonts w:ascii="Times New Roman" w:hAnsi="Times New Roman" w:cs="Times New Roman"/>
          <w:bCs/>
          <w:color w:val="002060"/>
          <w:w w:val="100"/>
          <w:sz w:val="16"/>
          <w:szCs w:val="16"/>
        </w:rPr>
        <w:softHyphen/>
        <w:t>ветствующих эллингов; 2) отсутствие подготов</w:t>
      </w:r>
      <w:r w:rsidRPr="00405303">
        <w:rPr>
          <w:rStyle w:val="42"/>
          <w:rFonts w:ascii="Times New Roman" w:hAnsi="Times New Roman" w:cs="Times New Roman"/>
          <w:bCs/>
          <w:color w:val="002060"/>
          <w:w w:val="100"/>
          <w:sz w:val="16"/>
          <w:szCs w:val="16"/>
        </w:rPr>
        <w:softHyphen/>
        <w:t>ленных экипажей для управляемых аэростатов такого типа; 3) недостаток водорода; 4) построй</w:t>
      </w:r>
      <w:r w:rsidRPr="00405303">
        <w:rPr>
          <w:rStyle w:val="42"/>
          <w:rFonts w:ascii="Times New Roman" w:hAnsi="Times New Roman" w:cs="Times New Roman"/>
          <w:bCs/>
          <w:color w:val="002060"/>
          <w:w w:val="100"/>
          <w:sz w:val="16"/>
          <w:szCs w:val="16"/>
        </w:rPr>
        <w:softHyphen/>
        <w:t>ка больших аэропланов, которые в конечном результате несомненно заменят аэростаты»71.</w:t>
      </w:r>
    </w:p>
    <w:p w14:paraId="0B2C3024" w14:textId="77777777" w:rsidR="0064595E" w:rsidRPr="00405303" w:rsidRDefault="0064595E" w:rsidP="00C15251">
      <w:pPr>
        <w:jc w:val="both"/>
        <w:rPr>
          <w:bCs/>
          <w:color w:val="002060"/>
          <w:sz w:val="16"/>
          <w:szCs w:val="16"/>
        </w:rPr>
      </w:pPr>
      <w:r w:rsidRPr="00405303">
        <w:rPr>
          <w:rStyle w:val="42"/>
          <w:rFonts w:ascii="Times New Roman" w:hAnsi="Times New Roman" w:cs="Times New Roman"/>
          <w:bCs/>
          <w:color w:val="002060"/>
          <w:w w:val="100"/>
          <w:sz w:val="16"/>
          <w:szCs w:val="16"/>
        </w:rPr>
        <w:lastRenderedPageBreak/>
        <w:t>Исходя из сроков навигации Антонов пред</w:t>
      </w:r>
      <w:r w:rsidRPr="00405303">
        <w:rPr>
          <w:rStyle w:val="42"/>
          <w:rFonts w:ascii="Times New Roman" w:hAnsi="Times New Roman" w:cs="Times New Roman"/>
          <w:bCs/>
          <w:color w:val="002060"/>
          <w:w w:val="100"/>
          <w:sz w:val="16"/>
          <w:szCs w:val="16"/>
        </w:rPr>
        <w:softHyphen/>
        <w:t>лагал провести лётные испытания дирижабля с 1 сентября по 1 октября 1916 г., затем подго</w:t>
      </w:r>
      <w:r w:rsidRPr="00405303">
        <w:rPr>
          <w:rStyle w:val="42"/>
          <w:rFonts w:ascii="Times New Roman" w:hAnsi="Times New Roman" w:cs="Times New Roman"/>
          <w:bCs/>
          <w:color w:val="002060"/>
          <w:w w:val="100"/>
          <w:sz w:val="16"/>
          <w:szCs w:val="16"/>
        </w:rPr>
        <w:softHyphen/>
        <w:t>товить к транспортировке и 1 ноября отправить из Бреста (порт на атлантическом побережье Франции) в Архангельск на английском паро</w:t>
      </w:r>
      <w:r w:rsidRPr="00405303">
        <w:rPr>
          <w:rStyle w:val="42"/>
          <w:rFonts w:ascii="Times New Roman" w:hAnsi="Times New Roman" w:cs="Times New Roman"/>
          <w:bCs/>
          <w:color w:val="002060"/>
          <w:w w:val="100"/>
          <w:sz w:val="16"/>
          <w:szCs w:val="16"/>
        </w:rPr>
        <w:softHyphen/>
        <w:t>ходе. Внезапно английское правительство уве</w:t>
      </w:r>
      <w:r w:rsidRPr="00405303">
        <w:rPr>
          <w:rStyle w:val="42"/>
          <w:rFonts w:ascii="Times New Roman" w:hAnsi="Times New Roman" w:cs="Times New Roman"/>
          <w:bCs/>
          <w:color w:val="002060"/>
          <w:w w:val="100"/>
          <w:sz w:val="16"/>
          <w:szCs w:val="16"/>
        </w:rPr>
        <w:softHyphen/>
        <w:t>домило союзников, что оно будет отправлять грузы в Архангельск только до 1 октября. Это означало, что дирижабль мог попасть в Россию только в следующую навигацию, не ранее мая 1917 г. Антонов предложил также рискованный план перелёта дирижабля в Россию над террито</w:t>
      </w:r>
      <w:r w:rsidRPr="00405303">
        <w:rPr>
          <w:rStyle w:val="42"/>
          <w:rFonts w:ascii="Times New Roman" w:hAnsi="Times New Roman" w:cs="Times New Roman"/>
          <w:bCs/>
          <w:color w:val="002060"/>
          <w:w w:val="100"/>
          <w:sz w:val="16"/>
          <w:szCs w:val="16"/>
        </w:rPr>
        <w:softHyphen/>
        <w:t>рией противника по одному из трёх маршрутов: из Англии в Гатчину протяжённостью 2600 км, в Бердичев — через Италию, Балканский полу</w:t>
      </w:r>
      <w:r w:rsidRPr="00405303">
        <w:rPr>
          <w:rStyle w:val="42"/>
          <w:rFonts w:ascii="Times New Roman" w:hAnsi="Times New Roman" w:cs="Times New Roman"/>
          <w:bCs/>
          <w:color w:val="002060"/>
          <w:w w:val="100"/>
          <w:sz w:val="16"/>
          <w:szCs w:val="16"/>
        </w:rPr>
        <w:softHyphen/>
        <w:t>остров, ориентируясь по рекам Дунай и Прут (1500 км), безостановочный перелёт над Герма</w:t>
      </w:r>
      <w:r w:rsidRPr="00405303">
        <w:rPr>
          <w:rStyle w:val="42"/>
          <w:rFonts w:ascii="Times New Roman" w:hAnsi="Times New Roman" w:cs="Times New Roman"/>
          <w:bCs/>
          <w:color w:val="002060"/>
          <w:w w:val="100"/>
          <w:sz w:val="16"/>
          <w:szCs w:val="16"/>
        </w:rPr>
        <w:softHyphen/>
        <w:t>нией и Австрией до Бердичева (1800 км)72 (20120).(20120).</w:t>
      </w:r>
    </w:p>
    <w:p w14:paraId="393F9777" w14:textId="77777777" w:rsidR="0064595E" w:rsidRPr="00405303" w:rsidRDefault="0064595E" w:rsidP="00C15251">
      <w:pPr>
        <w:jc w:val="both"/>
        <w:rPr>
          <w:bCs/>
          <w:color w:val="002060"/>
          <w:sz w:val="16"/>
          <w:szCs w:val="16"/>
        </w:rPr>
      </w:pPr>
    </w:p>
    <w:p w14:paraId="57A28785" w14:textId="77777777" w:rsidR="0064595E" w:rsidRPr="00405303" w:rsidRDefault="0064595E" w:rsidP="00C15251">
      <w:pPr>
        <w:jc w:val="both"/>
        <w:rPr>
          <w:bCs/>
          <w:color w:val="002060"/>
          <w:sz w:val="16"/>
          <w:szCs w:val="16"/>
        </w:rPr>
      </w:pPr>
      <w:r w:rsidRPr="00405303">
        <w:rPr>
          <w:rStyle w:val="42"/>
          <w:rFonts w:ascii="Times New Roman" w:hAnsi="Times New Roman" w:cs="Times New Roman"/>
          <w:bCs/>
          <w:color w:val="002060"/>
          <w:w w:val="100"/>
          <w:sz w:val="16"/>
          <w:szCs w:val="16"/>
        </w:rPr>
        <w:t>В июне 1915 г. ме</w:t>
      </w:r>
      <w:r w:rsidRPr="00405303">
        <w:rPr>
          <w:rStyle w:val="42"/>
          <w:rFonts w:ascii="Times New Roman" w:hAnsi="Times New Roman" w:cs="Times New Roman"/>
          <w:bCs/>
          <w:color w:val="002060"/>
          <w:w w:val="100"/>
          <w:sz w:val="16"/>
          <w:szCs w:val="16"/>
        </w:rPr>
        <w:softHyphen/>
        <w:t>теоролог В.В. Кузнецов представил Военному ведомству подробное описание устройства для автоматического бросания снарядов с аэроста</w:t>
      </w:r>
      <w:r w:rsidRPr="00405303">
        <w:rPr>
          <w:rStyle w:val="42"/>
          <w:rFonts w:ascii="Times New Roman" w:hAnsi="Times New Roman" w:cs="Times New Roman"/>
          <w:bCs/>
          <w:color w:val="002060"/>
          <w:w w:val="100"/>
          <w:sz w:val="16"/>
          <w:szCs w:val="16"/>
        </w:rPr>
        <w:softHyphen/>
        <w:t>тов. Изобретатель считал возможным сбрасы</w:t>
      </w:r>
      <w:r w:rsidRPr="00405303">
        <w:rPr>
          <w:rStyle w:val="42"/>
          <w:rFonts w:ascii="Times New Roman" w:hAnsi="Times New Roman" w:cs="Times New Roman"/>
          <w:bCs/>
          <w:color w:val="002060"/>
          <w:w w:val="100"/>
          <w:sz w:val="16"/>
          <w:szCs w:val="16"/>
        </w:rPr>
        <w:softHyphen/>
        <w:t>вать их с таким расчётом, чтобы они ложились «приблизительно в заранее намеченных пунктах в зависимости от направления и скорости ветра, дующего на разных высотах в данный момент». Для этого требовалось предварительно провести исследование атмосферы до высоты 4000 м при помощи шаров-зондов. Затем следовало пустить резиновый шар большого размера со снарядом, который через заданный промежуток времени оторвётся от шара с помощью автоматического приспособления. Зная по длине окружности шара его вертикальную скорость, а по результатам зон</w:t>
      </w:r>
      <w:r w:rsidRPr="00405303">
        <w:rPr>
          <w:rStyle w:val="42"/>
          <w:rFonts w:ascii="Times New Roman" w:hAnsi="Times New Roman" w:cs="Times New Roman"/>
          <w:bCs/>
          <w:color w:val="002060"/>
          <w:w w:val="100"/>
          <w:sz w:val="16"/>
          <w:szCs w:val="16"/>
        </w:rPr>
        <w:softHyphen/>
        <w:t>дирования — скорости ветра на разных высотах, момент отрыва снаряда от шара рассчитывался так, чтобы снаряд упал на заданном расстоянии. В.В. Кузнецов считал, что для снаряда массой 4 кг нужно изготовить оболочку массой 1,2 кг с объ</w:t>
      </w:r>
      <w:r w:rsidRPr="00405303">
        <w:rPr>
          <w:rStyle w:val="42"/>
          <w:rFonts w:ascii="Times New Roman" w:hAnsi="Times New Roman" w:cs="Times New Roman"/>
          <w:bCs/>
          <w:color w:val="002060"/>
          <w:w w:val="100"/>
          <w:sz w:val="16"/>
          <w:szCs w:val="16"/>
        </w:rPr>
        <w:softHyphen/>
        <w:t>ёмом водорода в 6,5 м3. Стоимость такого шара составляла 30 рублей. Предложение отвергли из- за невозможности прицельного бомбометания, малой массы снаряда и преобладания на театре военных действий западных ветров.</w:t>
      </w:r>
    </w:p>
    <w:p w14:paraId="1135EA9C" w14:textId="77777777" w:rsidR="0064595E" w:rsidRPr="00405303" w:rsidRDefault="0064595E" w:rsidP="00C15251">
      <w:pPr>
        <w:jc w:val="both"/>
        <w:rPr>
          <w:bCs/>
          <w:color w:val="002060"/>
          <w:sz w:val="16"/>
          <w:szCs w:val="16"/>
        </w:rPr>
      </w:pPr>
      <w:r w:rsidRPr="00405303">
        <w:rPr>
          <w:rStyle w:val="42"/>
          <w:rFonts w:ascii="Times New Roman" w:hAnsi="Times New Roman" w:cs="Times New Roman"/>
          <w:bCs/>
          <w:color w:val="002060"/>
          <w:w w:val="100"/>
          <w:sz w:val="16"/>
          <w:szCs w:val="16"/>
        </w:rPr>
        <w:t>Другие подобные проекты носили откровен</w:t>
      </w:r>
      <w:r w:rsidRPr="00405303">
        <w:rPr>
          <w:rStyle w:val="42"/>
          <w:rFonts w:ascii="Times New Roman" w:hAnsi="Times New Roman" w:cs="Times New Roman"/>
          <w:bCs/>
          <w:color w:val="002060"/>
          <w:w w:val="100"/>
          <w:sz w:val="16"/>
          <w:szCs w:val="16"/>
        </w:rPr>
        <w:softHyphen/>
        <w:t>но дилетантский характер. Например, 1 июля 1915 г. изобретатель Ф.А. Лаврентьев из Петро</w:t>
      </w:r>
      <w:r w:rsidRPr="00405303">
        <w:rPr>
          <w:rStyle w:val="42"/>
          <w:rFonts w:ascii="Times New Roman" w:hAnsi="Times New Roman" w:cs="Times New Roman"/>
          <w:bCs/>
          <w:color w:val="002060"/>
          <w:w w:val="100"/>
          <w:sz w:val="16"/>
          <w:szCs w:val="16"/>
        </w:rPr>
        <w:softHyphen/>
        <w:t>града предложил проект зажигательной воз</w:t>
      </w:r>
      <w:r w:rsidRPr="00405303">
        <w:rPr>
          <w:rStyle w:val="42"/>
          <w:rFonts w:ascii="Times New Roman" w:hAnsi="Times New Roman" w:cs="Times New Roman"/>
          <w:bCs/>
          <w:color w:val="002060"/>
          <w:w w:val="100"/>
          <w:sz w:val="16"/>
          <w:szCs w:val="16"/>
        </w:rPr>
        <w:softHyphen/>
        <w:t>душной мины, представлявшей собой кониче</w:t>
      </w:r>
      <w:r w:rsidRPr="00405303">
        <w:rPr>
          <w:rStyle w:val="42"/>
          <w:rFonts w:ascii="Times New Roman" w:hAnsi="Times New Roman" w:cs="Times New Roman"/>
          <w:bCs/>
          <w:color w:val="002060"/>
          <w:w w:val="100"/>
          <w:sz w:val="16"/>
          <w:szCs w:val="16"/>
        </w:rPr>
        <w:softHyphen/>
        <w:t>ский сосуд-фляжку, наполненный бензином. Тлеющий трут задаёт промежуток времени, по истечении которого сосуд открывается, и горя</w:t>
      </w:r>
      <w:r w:rsidRPr="00405303">
        <w:rPr>
          <w:rStyle w:val="42"/>
          <w:rFonts w:ascii="Times New Roman" w:hAnsi="Times New Roman" w:cs="Times New Roman"/>
          <w:bCs/>
          <w:color w:val="002060"/>
          <w:w w:val="100"/>
          <w:sz w:val="16"/>
          <w:szCs w:val="16"/>
        </w:rPr>
        <w:softHyphen/>
        <w:t>щая жидкость выливается. Такие бомбы, выпу</w:t>
      </w:r>
      <w:r w:rsidRPr="00405303">
        <w:rPr>
          <w:rStyle w:val="42"/>
          <w:rFonts w:ascii="Times New Roman" w:hAnsi="Times New Roman" w:cs="Times New Roman"/>
          <w:bCs/>
          <w:color w:val="002060"/>
          <w:w w:val="100"/>
          <w:sz w:val="16"/>
          <w:szCs w:val="16"/>
        </w:rPr>
        <w:softHyphen/>
        <w:t>щенные в большом числе с высоких мест, аэро</w:t>
      </w:r>
      <w:r w:rsidRPr="00405303">
        <w:rPr>
          <w:rStyle w:val="42"/>
          <w:rFonts w:ascii="Times New Roman" w:hAnsi="Times New Roman" w:cs="Times New Roman"/>
          <w:bCs/>
          <w:color w:val="002060"/>
          <w:w w:val="100"/>
          <w:sz w:val="16"/>
          <w:szCs w:val="16"/>
        </w:rPr>
        <w:softHyphen/>
        <w:t>планов и аэростатов, должны были уничтожить урожай на корню и в скирдах в Германии. Изо</w:t>
      </w:r>
      <w:r w:rsidRPr="00405303">
        <w:rPr>
          <w:rStyle w:val="42"/>
          <w:rFonts w:ascii="Times New Roman" w:hAnsi="Times New Roman" w:cs="Times New Roman"/>
          <w:bCs/>
          <w:color w:val="002060"/>
          <w:w w:val="100"/>
          <w:sz w:val="16"/>
          <w:szCs w:val="16"/>
        </w:rPr>
        <w:softHyphen/>
        <w:t>бретатель, по-видимому, сам сомневался в этич</w:t>
      </w:r>
      <w:r w:rsidRPr="00405303">
        <w:rPr>
          <w:rStyle w:val="42"/>
          <w:rFonts w:ascii="Times New Roman" w:hAnsi="Times New Roman" w:cs="Times New Roman"/>
          <w:bCs/>
          <w:color w:val="002060"/>
          <w:w w:val="100"/>
          <w:sz w:val="16"/>
          <w:szCs w:val="16"/>
        </w:rPr>
        <w:softHyphen/>
        <w:t>ности проекта, но успокаивал совесть нехитрым трюизмом: «Образ действия как бы грубый, но цель благородная. А другого языка, пожалуй, пруссаки и не понимают»44.</w:t>
      </w:r>
    </w:p>
    <w:p w14:paraId="5C762EB9" w14:textId="77777777" w:rsidR="0064595E" w:rsidRPr="00405303" w:rsidRDefault="0064595E" w:rsidP="00C15251">
      <w:pPr>
        <w:jc w:val="both"/>
        <w:rPr>
          <w:bCs/>
          <w:color w:val="002060"/>
          <w:sz w:val="16"/>
          <w:szCs w:val="16"/>
        </w:rPr>
      </w:pPr>
      <w:r w:rsidRPr="00405303">
        <w:rPr>
          <w:rStyle w:val="42"/>
          <w:rFonts w:ascii="Times New Roman" w:hAnsi="Times New Roman" w:cs="Times New Roman"/>
          <w:bCs/>
          <w:color w:val="002060"/>
          <w:w w:val="100"/>
          <w:sz w:val="16"/>
          <w:szCs w:val="16"/>
        </w:rPr>
        <w:t>Все эти проекты реализованы не были, но идея беспилотных бомбардировок не умерла, и к кон</w:t>
      </w:r>
      <w:r w:rsidRPr="00405303">
        <w:rPr>
          <w:rStyle w:val="42"/>
          <w:rFonts w:ascii="Times New Roman" w:hAnsi="Times New Roman" w:cs="Times New Roman"/>
          <w:bCs/>
          <w:color w:val="002060"/>
          <w:w w:val="100"/>
          <w:sz w:val="16"/>
          <w:szCs w:val="16"/>
        </w:rPr>
        <w:softHyphen/>
        <w:t>цу войны за рубежом появились первые набро</w:t>
      </w:r>
      <w:r w:rsidRPr="00405303">
        <w:rPr>
          <w:rStyle w:val="42"/>
          <w:rFonts w:ascii="Times New Roman" w:hAnsi="Times New Roman" w:cs="Times New Roman"/>
          <w:bCs/>
          <w:color w:val="002060"/>
          <w:w w:val="100"/>
          <w:sz w:val="16"/>
          <w:szCs w:val="16"/>
        </w:rPr>
        <w:softHyphen/>
        <w:t>ски самолётов-снарядов и баллистических ракет (20120).</w:t>
      </w:r>
    </w:p>
    <w:p w14:paraId="3CEB570F" w14:textId="77777777" w:rsidR="0064595E" w:rsidRPr="00405303" w:rsidRDefault="0064595E" w:rsidP="00C15251">
      <w:pPr>
        <w:jc w:val="both"/>
        <w:rPr>
          <w:rStyle w:val="42"/>
          <w:rFonts w:ascii="Times New Roman" w:hAnsi="Times New Roman" w:cs="Times New Roman"/>
          <w:bCs/>
          <w:color w:val="002060"/>
          <w:w w:val="100"/>
          <w:sz w:val="16"/>
          <w:szCs w:val="16"/>
        </w:rPr>
      </w:pPr>
    </w:p>
    <w:p w14:paraId="2B77AAD9" w14:textId="77777777" w:rsidR="0064595E" w:rsidRPr="00405303" w:rsidRDefault="0064595E" w:rsidP="00C15251">
      <w:pPr>
        <w:jc w:val="both"/>
        <w:rPr>
          <w:bCs/>
          <w:i/>
          <w:color w:val="002060"/>
          <w:sz w:val="16"/>
          <w:szCs w:val="16"/>
        </w:rPr>
      </w:pPr>
      <w:r w:rsidRPr="00405303">
        <w:rPr>
          <w:bCs/>
          <w:i/>
          <w:color w:val="002060"/>
          <w:sz w:val="16"/>
          <w:szCs w:val="16"/>
        </w:rPr>
        <w:t>Другие оборонные отрасли:</w:t>
      </w:r>
    </w:p>
    <w:p w14:paraId="28E21CDA" w14:textId="77777777" w:rsidR="0064595E" w:rsidRPr="00405303" w:rsidRDefault="0064595E" w:rsidP="00C15251">
      <w:pPr>
        <w:jc w:val="both"/>
        <w:rPr>
          <w:bCs/>
          <w:i/>
          <w:color w:val="002060"/>
          <w:sz w:val="16"/>
          <w:szCs w:val="16"/>
        </w:rPr>
      </w:pPr>
    </w:p>
    <w:p w14:paraId="05799EC1" w14:textId="77777777" w:rsidR="0064595E" w:rsidRPr="00405303" w:rsidRDefault="0064595E" w:rsidP="00C15251">
      <w:pPr>
        <w:pStyle w:val="ae"/>
        <w:spacing w:before="0" w:beforeAutospacing="0" w:after="0" w:afterAutospacing="0"/>
        <w:jc w:val="both"/>
        <w:rPr>
          <w:bCs/>
          <w:color w:val="002060"/>
          <w:sz w:val="16"/>
          <w:szCs w:val="16"/>
        </w:rPr>
      </w:pPr>
      <w:r w:rsidRPr="00405303">
        <w:rPr>
          <w:bCs/>
          <w:color w:val="002060"/>
          <w:sz w:val="16"/>
          <w:szCs w:val="16"/>
        </w:rPr>
        <w:t>В июне 1915 г. по признанию самой Ставки, «заграничные заказы в общем на 9,3 млн. снарядов не принесли армиям никакой пользы». Вместо миллионных заказов снарядов и дистанционных трубок в Россию было поставлено 5 тыс. патронов (18524).</w:t>
      </w:r>
    </w:p>
    <w:p w14:paraId="25CC1780" w14:textId="77777777" w:rsidR="0064595E" w:rsidRPr="00405303" w:rsidRDefault="0064595E" w:rsidP="00C15251">
      <w:pPr>
        <w:pStyle w:val="ae"/>
        <w:spacing w:before="0" w:beforeAutospacing="0" w:after="0" w:afterAutospacing="0"/>
        <w:jc w:val="both"/>
        <w:rPr>
          <w:bCs/>
          <w:color w:val="002060"/>
          <w:sz w:val="16"/>
          <w:szCs w:val="16"/>
        </w:rPr>
      </w:pPr>
    </w:p>
    <w:p w14:paraId="21AE449F" w14:textId="77777777" w:rsidR="0064595E" w:rsidRPr="00405303" w:rsidRDefault="0064595E" w:rsidP="00C15251">
      <w:pPr>
        <w:pStyle w:val="ae"/>
        <w:spacing w:before="0" w:beforeAutospacing="0" w:after="0" w:afterAutospacing="0"/>
        <w:jc w:val="both"/>
        <w:rPr>
          <w:bCs/>
          <w:color w:val="002060"/>
          <w:sz w:val="16"/>
          <w:szCs w:val="16"/>
        </w:rPr>
      </w:pPr>
      <w:r w:rsidRPr="00405303">
        <w:rPr>
          <w:bCs/>
          <w:color w:val="002060"/>
          <w:sz w:val="16"/>
          <w:szCs w:val="16"/>
        </w:rPr>
        <w:t>В июне 1915 г., когда не хватало до 90 млн. патронов, был особенно острый недостаток в патронах и с Кавказского фронта пришлось срочно перебросить до 15 млн. патронов. Расход патронов усилился ввиду отсутствия снарядов для артиллерии. На совещании у начальника штаба Ставки Е. К. Смысловский доложил, что патронные заводы могут давать не более 100 млн. патронов в месяц, а это составляло от ½ до ⅓ потребностей армии (18524).</w:t>
      </w:r>
    </w:p>
    <w:p w14:paraId="358B474D" w14:textId="77777777" w:rsidR="0064595E" w:rsidRPr="00405303" w:rsidRDefault="0064595E" w:rsidP="00C15251">
      <w:pPr>
        <w:pStyle w:val="ae"/>
        <w:spacing w:before="0" w:beforeAutospacing="0" w:after="0" w:afterAutospacing="0"/>
        <w:jc w:val="both"/>
        <w:rPr>
          <w:bCs/>
          <w:color w:val="002060"/>
          <w:sz w:val="16"/>
          <w:szCs w:val="16"/>
        </w:rPr>
      </w:pPr>
    </w:p>
    <w:p w14:paraId="3B3B3003" w14:textId="77777777" w:rsidR="0064595E" w:rsidRPr="00405303" w:rsidRDefault="0064595E" w:rsidP="00C15251">
      <w:pPr>
        <w:jc w:val="both"/>
        <w:rPr>
          <w:bCs/>
          <w:color w:val="002060"/>
          <w:sz w:val="16"/>
          <w:szCs w:val="16"/>
        </w:rPr>
      </w:pPr>
      <w:r w:rsidRPr="00405303">
        <w:rPr>
          <w:bCs/>
          <w:color w:val="002060"/>
          <w:sz w:val="16"/>
          <w:szCs w:val="16"/>
        </w:rPr>
        <w:t>В июне 1915 г. ГАУ запросило и Петроградский орудийный завод, но выяснилось, что он не мог бы одновременно с 42-лин. пушками исполнять наряд на 3-дм пушки, считавшийся в условиях маневренной войны более срочным. Тогда ГАУ адресовалось к Обуховскому заводу, и, хотя там не рассчитывали начать выпуск 42-лин. пушек раньше осени 1916 г. (по 12 в месяц), заказ на 400 пушек все же пришлось дать ему. А требовалось 808. По февраль 1917 г. Обуховский завод выпустил 51 пушку [там же: Ф. 29. Оп. 3. Д. 939. Л. 252 (10 ноября 1915 - Доклад ГАУ помощнику военного министра А.С. Лукомскому, 10.XI.1915.]. Все 42-лин. (107-мм) тяжелые пушки, имевшиеся к середине 1915 г., были французского изготовления (контракт 1910 г.) (18408).</w:t>
      </w:r>
    </w:p>
    <w:p w14:paraId="68ADB12A" w14:textId="77777777" w:rsidR="0064595E" w:rsidRPr="00405303" w:rsidRDefault="0064595E" w:rsidP="00C15251">
      <w:pPr>
        <w:jc w:val="both"/>
        <w:rPr>
          <w:bCs/>
          <w:color w:val="002060"/>
          <w:sz w:val="16"/>
          <w:szCs w:val="16"/>
        </w:rPr>
      </w:pPr>
    </w:p>
    <w:p w14:paraId="6A727C6F" w14:textId="77777777" w:rsidR="0064595E" w:rsidRPr="00405303" w:rsidRDefault="0064595E" w:rsidP="00C15251">
      <w:pPr>
        <w:jc w:val="both"/>
        <w:rPr>
          <w:bCs/>
          <w:color w:val="002060"/>
          <w:sz w:val="16"/>
          <w:szCs w:val="16"/>
        </w:rPr>
      </w:pPr>
      <w:r w:rsidRPr="00405303">
        <w:rPr>
          <w:bCs/>
          <w:color w:val="002060"/>
          <w:sz w:val="16"/>
          <w:szCs w:val="16"/>
        </w:rPr>
        <w:t>В июне 1915 года П. П. Третьяков был назначен начальником Тульского оружейного завода и возглавлял его до мая 1918 года. Внёс огромный вклад в увеличение объёма производства винтовок Мосина, пистолетов Нагана, пулемётов. После продолжительной командировки в г. Ковров в 1920 году вернулся на ТОЗ. Работал начальником пулеметного отдела, заместителем технического директора завода. С 1 апреля 1927 года вступил в должность заведующего Проектно-конструкторским бюро ручного оружия, подготовил его открытие с октября 1927 года, обеспечил комплектование кадрами и организацию работы.</w:t>
      </w:r>
    </w:p>
    <w:p w14:paraId="451CA8E8" w14:textId="77777777" w:rsidR="0064595E" w:rsidRPr="00405303" w:rsidRDefault="0064595E" w:rsidP="00C15251">
      <w:pPr>
        <w:jc w:val="both"/>
        <w:rPr>
          <w:bCs/>
          <w:color w:val="002060"/>
          <w:sz w:val="16"/>
          <w:szCs w:val="16"/>
        </w:rPr>
      </w:pPr>
      <w:r w:rsidRPr="00405303">
        <w:rPr>
          <w:bCs/>
          <w:color w:val="002060"/>
          <w:sz w:val="16"/>
          <w:szCs w:val="16"/>
        </w:rPr>
        <w:t>Конечно, более квалифицированного специалиста, чем П. П. Третьяков, для руководства ПКБ трудно было найти. Он в совершенстве знал не только принципы работы пулемётной автоматики, войсковые требования к системе в целом, организацию производства, размеры всех деталей, приёмных калибров, допуски и т. д. русского “Максима” образца 1910 года, но и состояние пулемётного дела за рубежом.</w:t>
      </w:r>
    </w:p>
    <w:p w14:paraId="7788AC69" w14:textId="77777777" w:rsidR="0064595E" w:rsidRPr="00405303" w:rsidRDefault="0064595E" w:rsidP="00C15251">
      <w:pPr>
        <w:jc w:val="both"/>
        <w:rPr>
          <w:bCs/>
          <w:color w:val="002060"/>
          <w:sz w:val="16"/>
          <w:szCs w:val="16"/>
        </w:rPr>
      </w:pPr>
      <w:r w:rsidRPr="00405303">
        <w:rPr>
          <w:bCs/>
          <w:color w:val="002060"/>
          <w:sz w:val="16"/>
          <w:szCs w:val="16"/>
        </w:rPr>
        <w:t>Его поездки на оружейные заводы Англии (1903, 1913 годах), Франции (1913 г.), Германии (1925 г.) дали огромный фактический материал для осмысления мирового опыта. Кругозор его помог комплексно подойти к решению организационных вопросов, разработке документов, регламентирующих деятельность бюро, комплектованию кадров, обеспечению ПКБ помещением, необходимыми инвентарём, оборудованием, инструментарием, литературой, образцами иностранного оружия и т. д.</w:t>
      </w:r>
    </w:p>
    <w:p w14:paraId="514B3A12" w14:textId="77777777" w:rsidR="0064595E" w:rsidRPr="00405303" w:rsidRDefault="0064595E" w:rsidP="00C15251">
      <w:pPr>
        <w:jc w:val="both"/>
        <w:rPr>
          <w:bCs/>
          <w:color w:val="002060"/>
          <w:sz w:val="16"/>
          <w:szCs w:val="16"/>
        </w:rPr>
      </w:pPr>
      <w:r w:rsidRPr="00405303">
        <w:rPr>
          <w:bCs/>
          <w:color w:val="002060"/>
          <w:sz w:val="16"/>
          <w:szCs w:val="16"/>
        </w:rPr>
        <w:t>Ритм работы П. П. Третьякова после назначения его заведующим бюро был невероятно напряжённым. Уже в апреле-мае составлены ведомости необходимых инвентаря, мерительного и чертёжного инструмента, заявка на приобретение 66 точно поименованных станков, приборов, единиц другого оборудования – в основном, немецкой фирмы “Шухарт Шютте”.</w:t>
      </w:r>
    </w:p>
    <w:p w14:paraId="4DFF9D2E" w14:textId="77777777" w:rsidR="0064595E" w:rsidRPr="00405303" w:rsidRDefault="0064595E" w:rsidP="00C15251">
      <w:pPr>
        <w:jc w:val="both"/>
        <w:rPr>
          <w:bCs/>
          <w:color w:val="002060"/>
          <w:sz w:val="16"/>
          <w:szCs w:val="16"/>
        </w:rPr>
      </w:pPr>
      <w:r w:rsidRPr="00405303">
        <w:rPr>
          <w:bCs/>
          <w:color w:val="002060"/>
          <w:sz w:val="16"/>
          <w:szCs w:val="16"/>
        </w:rPr>
        <w:t>В июне П. П. Третьяковым было разработано “Положение о заведующем Проектно-конструкторским бюро ручного оружия”, а в июле был утверждён предложенный им штат ПКБ в количестве 26 человек. К 1 октября заполнить все вакансии не удалось, но, тем не менее, на 18 из 26 назначения были произведены. Все сотрудники расположились в двухэтажном небольшом здании на территории завода. На первом этаже - работники мастерской и сама мастерская, на втором – комнаты заведующего, конструкторов, чертёжников и канцелярии. В 1927 году была разработана пятилетняя государственная программа перевооружения армии (15470).</w:t>
      </w:r>
    </w:p>
    <w:p w14:paraId="623DC2FA" w14:textId="77777777" w:rsidR="0064595E" w:rsidRPr="00405303" w:rsidRDefault="0064595E" w:rsidP="00C15251">
      <w:pPr>
        <w:jc w:val="both"/>
        <w:rPr>
          <w:bCs/>
          <w:color w:val="002060"/>
          <w:sz w:val="16"/>
          <w:szCs w:val="16"/>
        </w:rPr>
      </w:pPr>
    </w:p>
    <w:p w14:paraId="766DE5C8" w14:textId="77777777" w:rsidR="0064595E" w:rsidRPr="00405303" w:rsidRDefault="0064595E" w:rsidP="00C15251">
      <w:pPr>
        <w:pStyle w:val="p1"/>
        <w:spacing w:before="0" w:beforeAutospacing="0" w:after="0" w:afterAutospacing="0"/>
        <w:jc w:val="both"/>
        <w:rPr>
          <w:bCs/>
          <w:color w:val="002060"/>
          <w:sz w:val="16"/>
          <w:szCs w:val="16"/>
        </w:rPr>
      </w:pPr>
      <w:r w:rsidRPr="00405303">
        <w:rPr>
          <w:bCs/>
          <w:color w:val="002060"/>
          <w:sz w:val="16"/>
          <w:szCs w:val="16"/>
        </w:rPr>
        <w:t>В июне 1915 г. Г.А. Крестовников утверждал: «Производства таких крупных отраслей, как… автомобилей, у нас совсем нет», и это не расходится с данными С.В. Воронковой: «Россия вступила в Первую мировую войну, совершенно не имея автомобильной промышленности». Дж. Купер и Р. Льюис оспаривают вывод Воронковой и приводят сведения о выпуске машин заводами Г.А. Лесснера («наиболее важный» автомобильный завод между 1906 и 1909 гг.), И.П. Пузырева и Русско-Балтийским: «В период непосредственно перед войной существовали три фирмы, строившие автомобили на регулярной основе».</w:t>
      </w:r>
    </w:p>
    <w:p w14:paraId="7115183F" w14:textId="77777777" w:rsidR="0064595E" w:rsidRPr="00405303" w:rsidRDefault="0064595E" w:rsidP="00C15251">
      <w:pPr>
        <w:pStyle w:val="p1"/>
        <w:spacing w:before="0" w:beforeAutospacing="0" w:after="0" w:afterAutospacing="0"/>
        <w:jc w:val="both"/>
        <w:rPr>
          <w:bCs/>
          <w:color w:val="002060"/>
          <w:sz w:val="16"/>
          <w:szCs w:val="16"/>
        </w:rPr>
      </w:pPr>
      <w:r w:rsidRPr="00405303">
        <w:rPr>
          <w:bCs/>
          <w:color w:val="002060"/>
          <w:sz w:val="16"/>
          <w:szCs w:val="16"/>
        </w:rPr>
        <w:t>Их уточнение неубедительно, поскольку они не упоминают, что «Лесснер» прекратил эту деятельность в 1909 г. и более не существовал в качестве автомобильного предприятия. А. о. Г.А. Лесснера, осваивавшее производство автомобилей с 1901 г. по лицензии от германской фирмы «Даймлер», как считается, «действительно наладило автомобильное производство, а не являлось лишь сборочным цехом». Но за шесть лет этот завод выпустил около сотни машин, то есть до 17 экземпляров в год. Затем — «в условиях рынка и свободной конкуренции» — это производство «оказалось недостаточно рентабельным». В 1909 г. Г.А. Лесснер расторг контракт с Даймлером и, «оставив автомобили, обратился к более выгодным поставкам торпед и оборудования для военных кораблей», а выпуск автомобилей «был прекращен».</w:t>
      </w:r>
    </w:p>
    <w:p w14:paraId="51502CFC" w14:textId="77777777" w:rsidR="0064595E" w:rsidRPr="00405303" w:rsidRDefault="0064595E" w:rsidP="00C15251">
      <w:pPr>
        <w:pStyle w:val="p1"/>
        <w:spacing w:before="0" w:beforeAutospacing="0" w:after="0" w:afterAutospacing="0"/>
        <w:jc w:val="both"/>
        <w:rPr>
          <w:bCs/>
          <w:color w:val="002060"/>
          <w:sz w:val="16"/>
          <w:szCs w:val="16"/>
        </w:rPr>
      </w:pPr>
      <w:r w:rsidRPr="00405303">
        <w:rPr>
          <w:bCs/>
          <w:color w:val="002060"/>
          <w:sz w:val="16"/>
          <w:szCs w:val="16"/>
        </w:rPr>
        <w:t>«Русский автомобильный завод И.П. Пузырева» упомянут в исследованиях по истории русского автомобилестроения как изготовитель «десятков машин» в год. Но при конкретизации оказалось, что за время действия на этом поприще (1911–1913 гг.) он выпустил 38 экземпляров, то есть по 13 машин в год. 8 января 1914 г. завод Пузырева сгорел («пострадал от огня», по выражению Купера — Льюиса), а вскоре умер и его хозяин.</w:t>
      </w:r>
    </w:p>
    <w:p w14:paraId="0BDAA261" w14:textId="77777777" w:rsidR="0064595E" w:rsidRPr="00405303" w:rsidRDefault="0064595E" w:rsidP="00C15251">
      <w:pPr>
        <w:pStyle w:val="p1"/>
        <w:spacing w:before="0" w:beforeAutospacing="0" w:after="0" w:afterAutospacing="0"/>
        <w:jc w:val="both"/>
        <w:rPr>
          <w:bCs/>
          <w:color w:val="002060"/>
          <w:sz w:val="16"/>
          <w:szCs w:val="16"/>
        </w:rPr>
      </w:pPr>
      <w:r w:rsidRPr="00405303">
        <w:rPr>
          <w:bCs/>
          <w:color w:val="002060"/>
          <w:sz w:val="16"/>
          <w:szCs w:val="16"/>
        </w:rPr>
        <w:t>От имени малолетних наследников Пузырева остатками предприятия распоряжался их опекун Л.Н. Чернушевич.</w:t>
      </w:r>
    </w:p>
    <w:p w14:paraId="5D942D1E" w14:textId="77777777" w:rsidR="0064595E" w:rsidRPr="00405303" w:rsidRDefault="0064595E" w:rsidP="00C15251">
      <w:pPr>
        <w:pStyle w:val="p1"/>
        <w:spacing w:before="0" w:beforeAutospacing="0" w:after="0" w:afterAutospacing="0"/>
        <w:jc w:val="both"/>
        <w:rPr>
          <w:bCs/>
          <w:color w:val="002060"/>
          <w:sz w:val="16"/>
          <w:szCs w:val="16"/>
        </w:rPr>
      </w:pPr>
      <w:r w:rsidRPr="00405303">
        <w:rPr>
          <w:bCs/>
          <w:color w:val="002060"/>
          <w:sz w:val="16"/>
          <w:szCs w:val="16"/>
        </w:rPr>
        <w:lastRenderedPageBreak/>
        <w:t>Он попытался возродить автомобильное производство на новом месте, на Волге, и весной 1916 г. купил в Симбирске пришедший в упадок старый чугунолитейный завод М.В. Андреева за 600 тысяч руб. (вместе с землей). В мае 1916 г. началось сооружение моторного завода (двигатели для автомобилей, самолетов и подводных лодок). К осени 1916 г. фирма «Л.Н. Чернушевич и наследники И.П. Пузы-рева» построила главный корпус для размещения литейной, кузницы, производственных цехов, испытательной станции, а также формовочной, сушилки и машинного отделения. Из Петрограда были доставлены образцы двигателей и часть станков, установлены небольшие нефтяные двигатели и электрогенератор — и на этом у хозяев кончились деньги. После недолгих попыток организовать силами 50 рабочих ремонт автомобилей и изготовление деталей карбюраторов владельцы в августе 1917 г. объявили о продаже своего завода.</w:t>
      </w:r>
    </w:p>
    <w:p w14:paraId="1893B57D" w14:textId="77777777" w:rsidR="0064595E" w:rsidRPr="00405303" w:rsidRDefault="0064595E" w:rsidP="00C15251">
      <w:pPr>
        <w:pStyle w:val="p1"/>
        <w:spacing w:before="0" w:beforeAutospacing="0" w:after="0" w:afterAutospacing="0"/>
        <w:jc w:val="both"/>
        <w:rPr>
          <w:bCs/>
          <w:color w:val="002060"/>
          <w:sz w:val="16"/>
          <w:szCs w:val="16"/>
        </w:rPr>
      </w:pPr>
      <w:r w:rsidRPr="00405303">
        <w:rPr>
          <w:bCs/>
          <w:color w:val="002060"/>
          <w:sz w:val="16"/>
          <w:szCs w:val="16"/>
        </w:rPr>
        <w:t>Действительно существующим являлся до конца войны лишь «Русско-Балтийский завод» с годовой производительностью менее 100 автомобилей при значительном использовании заграничных материалов, деталей и узлов. На этом заводе (до его эвакуации в 1915 г.) в автомобильном отделе к 1914 г. числилось 85 рабочих. Как признала Следственная комиссия по делу Сухомлинова, до 1916 г. единственным в России заводом, выпускавшим «самодвижущиеся повозки», оставался «Русско-Балтийский вагонный завод», «производительность которого весьма незначительна» (18409).</w:t>
      </w:r>
    </w:p>
    <w:p w14:paraId="75A62ADD" w14:textId="77777777" w:rsidR="0064595E" w:rsidRPr="00405303" w:rsidRDefault="0064595E" w:rsidP="00C15251">
      <w:pPr>
        <w:pStyle w:val="p1"/>
        <w:spacing w:before="0" w:beforeAutospacing="0" w:after="0" w:afterAutospacing="0"/>
        <w:jc w:val="both"/>
        <w:rPr>
          <w:bCs/>
          <w:color w:val="002060"/>
          <w:sz w:val="16"/>
          <w:szCs w:val="16"/>
        </w:rPr>
      </w:pPr>
    </w:p>
    <w:p w14:paraId="02C751CE" w14:textId="1A012654" w:rsidR="0064595E" w:rsidRPr="00405303" w:rsidRDefault="0064595E" w:rsidP="00C15251">
      <w:pPr>
        <w:pStyle w:val="ae"/>
        <w:spacing w:before="0" w:beforeAutospacing="0" w:after="0" w:afterAutospacing="0"/>
        <w:jc w:val="both"/>
        <w:rPr>
          <w:bCs/>
          <w:color w:val="002060"/>
          <w:sz w:val="16"/>
          <w:szCs w:val="16"/>
        </w:rPr>
      </w:pPr>
      <w:r w:rsidRPr="00405303">
        <w:rPr>
          <w:bCs/>
          <w:color w:val="002060"/>
          <w:sz w:val="16"/>
          <w:szCs w:val="16"/>
        </w:rPr>
        <w:t>В июне 1915</w:t>
      </w:r>
      <w:r w:rsidR="00DB4D64" w:rsidRPr="00405303">
        <w:rPr>
          <w:bCs/>
          <w:color w:val="002060"/>
          <w:sz w:val="16"/>
          <w:szCs w:val="16"/>
        </w:rPr>
        <w:t xml:space="preserve"> </w:t>
      </w:r>
      <w:r w:rsidRPr="00405303">
        <w:rPr>
          <w:bCs/>
          <w:color w:val="002060"/>
          <w:sz w:val="16"/>
          <w:szCs w:val="16"/>
        </w:rPr>
        <w:t>г. было создано Особое совещание для объединения мероприятий по обеспечению действующей армии предметами боевого и материального снабжения под председательством военного министра. Во многом его создание было инициировано общественными деятелями, в том числе М.В. Родзянко. По его словам, Особое совещание должно было прекратить хищение государственных денег под прикрытием комиссии великого князя Сергея Михайловича, но оно выполняло лишь функции совещательного органа и было мало осведомлено о практической работе в этой сфере (15736).</w:t>
      </w:r>
    </w:p>
    <w:p w14:paraId="339A0682" w14:textId="77777777" w:rsidR="0064595E" w:rsidRPr="00405303" w:rsidRDefault="0064595E" w:rsidP="00C15251">
      <w:pPr>
        <w:jc w:val="both"/>
        <w:rPr>
          <w:bCs/>
          <w:color w:val="002060"/>
          <w:sz w:val="16"/>
          <w:szCs w:val="16"/>
        </w:rPr>
      </w:pPr>
    </w:p>
    <w:p w14:paraId="36F86553" w14:textId="77777777" w:rsidR="0064595E" w:rsidRPr="00405303" w:rsidRDefault="0064595E" w:rsidP="00C15251">
      <w:pPr>
        <w:jc w:val="both"/>
        <w:rPr>
          <w:bCs/>
          <w:color w:val="002060"/>
          <w:sz w:val="16"/>
          <w:szCs w:val="16"/>
        </w:rPr>
      </w:pPr>
      <w:r w:rsidRPr="00405303">
        <w:rPr>
          <w:rStyle w:val="af0"/>
          <w:b w:val="0"/>
          <w:color w:val="002060"/>
          <w:sz w:val="16"/>
          <w:szCs w:val="16"/>
        </w:rPr>
        <w:t>В июне 1915 г. на I съезде военно-промышленных комитетов (ВПК) для руководства системой областных и местных ВПК с целью мобилизации промышленности для нужд войны бвл образован ЦВПК. ЦВПК возглавлял председатель, в состав комитета входили члены Совета съездов представителей промышленности и торговли, представители областных ВПК, ВЗС, ВСГ, министерств, Комитета военно-технической помощи, научно-технических учреждений, рабочих (Рабочая группа). Аппарат ЦВПК на 1917 г. состоял из бюро и 26 отраслевых и функциональных отделов.</w:t>
      </w:r>
    </w:p>
    <w:p w14:paraId="7253DF31" w14:textId="77777777" w:rsidR="0064595E" w:rsidRPr="00405303" w:rsidRDefault="0064595E" w:rsidP="00C15251">
      <w:pPr>
        <w:jc w:val="both"/>
        <w:rPr>
          <w:bCs/>
          <w:color w:val="002060"/>
          <w:sz w:val="16"/>
          <w:szCs w:val="16"/>
        </w:rPr>
      </w:pPr>
      <w:r w:rsidRPr="00405303">
        <w:rPr>
          <w:rStyle w:val="af0"/>
          <w:b w:val="0"/>
          <w:color w:val="002060"/>
          <w:sz w:val="16"/>
          <w:szCs w:val="16"/>
        </w:rPr>
        <w:t>ЦВПК распределял военные заказы между областными и местными ВПК, отдельными предприятиями, участвовал в организации новых предприятий и производств, сотрудничал с Особым совещанием по обороне государства.</w:t>
      </w:r>
    </w:p>
    <w:p w14:paraId="16A643EE" w14:textId="77777777" w:rsidR="0064595E" w:rsidRPr="00405303" w:rsidRDefault="0064595E" w:rsidP="00C15251">
      <w:pPr>
        <w:jc w:val="both"/>
        <w:rPr>
          <w:bCs/>
          <w:color w:val="002060"/>
          <w:sz w:val="16"/>
          <w:szCs w:val="16"/>
        </w:rPr>
      </w:pPr>
      <w:r w:rsidRPr="00405303">
        <w:rPr>
          <w:rStyle w:val="af0"/>
          <w:b w:val="0"/>
          <w:color w:val="002060"/>
          <w:sz w:val="16"/>
          <w:szCs w:val="16"/>
        </w:rPr>
        <w:t>31 марта 1918 г. переименован в Центральный народно-промышленный комитет. Ликвидирован 24 июля 1918 г. (18370).</w:t>
      </w:r>
    </w:p>
    <w:p w14:paraId="0388AEF2" w14:textId="77777777" w:rsidR="0064595E" w:rsidRPr="00405303" w:rsidRDefault="0064595E" w:rsidP="00C15251">
      <w:pPr>
        <w:jc w:val="both"/>
        <w:rPr>
          <w:bCs/>
          <w:color w:val="002060"/>
          <w:sz w:val="16"/>
          <w:szCs w:val="16"/>
        </w:rPr>
      </w:pPr>
    </w:p>
    <w:p w14:paraId="2DAC3735" w14:textId="77777777" w:rsidR="0064595E" w:rsidRPr="00405303" w:rsidRDefault="0064595E" w:rsidP="00C15251">
      <w:pPr>
        <w:jc w:val="both"/>
        <w:rPr>
          <w:bCs/>
          <w:color w:val="002060"/>
          <w:sz w:val="16"/>
          <w:szCs w:val="16"/>
        </w:rPr>
      </w:pPr>
      <w:r w:rsidRPr="00405303">
        <w:rPr>
          <w:bCs/>
          <w:color w:val="002060"/>
          <w:sz w:val="16"/>
          <w:szCs w:val="16"/>
        </w:rPr>
        <w:t>В июне 1915 г. был учрежден торговый дом «Всеобщая русская компания радиотелеграфа, радиотелефона и электрических измерительных приборов» (ВРКР), техническим директором которого стал приват-доцент Петроградского университета Е.Л. Габрилович1. Им был приобретен ряд патентов французских фирм: Французской Генеральной компании радиотелеграфа, «Companie pour fabrication ues Compteurs» и др., а также использовались собственные разработки. В Петрограде были оборудованы завод на улице Сердобольской и мастерские на Херсонской улице. Уже в 1915 г. торговый дом получил первые заказы ГВТУ. А 16 марта 1916 г. был утвержден устав одноименного акционерного общества с основным капиталом в 2 млн. руб. (18297).</w:t>
      </w:r>
    </w:p>
    <w:p w14:paraId="42CEB60F" w14:textId="77777777" w:rsidR="0064595E" w:rsidRPr="00405303" w:rsidRDefault="0064595E" w:rsidP="00C15251">
      <w:pPr>
        <w:jc w:val="both"/>
        <w:rPr>
          <w:bCs/>
          <w:color w:val="002060"/>
          <w:sz w:val="16"/>
          <w:szCs w:val="16"/>
        </w:rPr>
      </w:pPr>
    </w:p>
    <w:p w14:paraId="0F2B3412" w14:textId="77777777" w:rsidR="0064595E" w:rsidRPr="00405303" w:rsidRDefault="0064595E" w:rsidP="00C15251">
      <w:pPr>
        <w:jc w:val="both"/>
        <w:rPr>
          <w:bCs/>
          <w:color w:val="002060"/>
          <w:sz w:val="16"/>
          <w:szCs w:val="16"/>
        </w:rPr>
      </w:pPr>
      <w:r w:rsidRPr="00405303">
        <w:rPr>
          <w:bCs/>
          <w:color w:val="002060"/>
          <w:sz w:val="16"/>
          <w:szCs w:val="16"/>
        </w:rPr>
        <w:t>В июне 1915 г. была основана АО «Всеобщая Русская компания радиотелеграфа» и уже в октябре этого года была привлечена ГВТУ к поставкам электроизмерительных приборов и магнето для переносных радиостанций. Имея привилегии на использование патентов ряда французских фирм и директора предприятия Л.Е. Габриловича на общую сумму 1 173 296 руб., ВРКР приступила к разработке собственных образцов маломощных раций. С этой целью на заводе было создано техническою бюро, усилиями которого был создан образец легкой полевой приемо-передающей станции полкового звена с источником питания в виде магнето собственного производства, с дальностью действия до 10 км. (18297).</w:t>
      </w:r>
    </w:p>
    <w:p w14:paraId="0779491F" w14:textId="77777777" w:rsidR="0064595E" w:rsidRPr="00405303" w:rsidRDefault="0064595E" w:rsidP="00C15251">
      <w:pPr>
        <w:jc w:val="both"/>
        <w:rPr>
          <w:bCs/>
          <w:color w:val="002060"/>
          <w:sz w:val="16"/>
          <w:szCs w:val="16"/>
        </w:rPr>
      </w:pPr>
    </w:p>
    <w:p w14:paraId="52F6CEAD" w14:textId="77777777" w:rsidR="0064595E" w:rsidRPr="00405303" w:rsidRDefault="0064595E" w:rsidP="00C15251">
      <w:pPr>
        <w:pStyle w:val="p1"/>
        <w:spacing w:before="0" w:beforeAutospacing="0" w:after="0" w:afterAutospacing="0"/>
        <w:jc w:val="both"/>
        <w:rPr>
          <w:bCs/>
          <w:color w:val="002060"/>
          <w:sz w:val="16"/>
          <w:szCs w:val="16"/>
        </w:rPr>
      </w:pPr>
      <w:r w:rsidRPr="00405303">
        <w:rPr>
          <w:bCs/>
          <w:color w:val="002060"/>
          <w:sz w:val="16"/>
          <w:szCs w:val="16"/>
        </w:rPr>
        <w:t>В июне 1915 г. Г.А. Крестовников утверждал: «Производства таких крупных отраслей, как… автомобилей, у нас совсем нет», и это не расходится с данными С.В. Воронковой: «Россия вступила в Первую мировую войну, совершенно не имея автомобильной промышленности»</w:t>
      </w:r>
      <w:r w:rsidRPr="00405303">
        <w:rPr>
          <w:bCs/>
          <w:color w:val="002060"/>
          <w:sz w:val="16"/>
          <w:szCs w:val="16"/>
          <w:vertAlign w:val="superscript"/>
        </w:rPr>
        <w:t>{578}</w:t>
      </w:r>
      <w:r w:rsidRPr="00405303">
        <w:rPr>
          <w:bCs/>
          <w:color w:val="002060"/>
          <w:sz w:val="16"/>
          <w:szCs w:val="16"/>
        </w:rPr>
        <w:t>. Дж. Купер и Р. Льюис оспаривают вывод Воронковой и приводят сведения о выпуске машин заводами Г.А. Лесснера («наиболее важный» автомобильный завод между 1906 и 1909 гг.), И.П. Пузырева и Русско-Балтийским: «В период непосредственно перед войной существовали три фирмы, строившие автомобили на регулярной основе»</w:t>
      </w:r>
      <w:r w:rsidRPr="00405303">
        <w:rPr>
          <w:bCs/>
          <w:color w:val="002060"/>
          <w:sz w:val="16"/>
          <w:szCs w:val="16"/>
          <w:vertAlign w:val="superscript"/>
        </w:rPr>
        <w:t>{579}</w:t>
      </w:r>
      <w:r w:rsidRPr="00405303">
        <w:rPr>
          <w:bCs/>
          <w:color w:val="002060"/>
          <w:sz w:val="16"/>
          <w:szCs w:val="16"/>
        </w:rPr>
        <w:t>.</w:t>
      </w:r>
    </w:p>
    <w:p w14:paraId="6163A753" w14:textId="77777777" w:rsidR="0064595E" w:rsidRPr="00405303" w:rsidRDefault="0064595E" w:rsidP="00C15251">
      <w:pPr>
        <w:pStyle w:val="p1"/>
        <w:spacing w:before="0" w:beforeAutospacing="0" w:after="0" w:afterAutospacing="0"/>
        <w:jc w:val="both"/>
        <w:rPr>
          <w:bCs/>
          <w:color w:val="002060"/>
          <w:sz w:val="16"/>
          <w:szCs w:val="16"/>
        </w:rPr>
      </w:pPr>
      <w:r w:rsidRPr="00405303">
        <w:rPr>
          <w:bCs/>
          <w:color w:val="002060"/>
          <w:sz w:val="16"/>
          <w:szCs w:val="16"/>
        </w:rPr>
        <w:t>Их уточнение неубедительно, поскольку они не упоминают, что «Лесснер» прекратил эту деятельность в 1909 г. и более не существовал в качестве автомобильного предприятия. А. о. Г.А. Лесснера, осваивавшее производство автомобилей с 1901 г. по лицензии от германской фирмы «Даймлер», как считается, «действительно наладило автомобильное производство, а не являлось лишь сборочным цехом». Но за шесть лет этот завод выпустил около сотни машин, то есть до 17 экземпляров в год. Затем — «в условиях рынка и свободной конкуренции» — это производство «оказалось недостаточно рентабельным». В 1909 г. Г.А. Лесснер расторг контракт с Даймлером и, «оставив автомобили, обратился к более выгодным поставкам торпед и оборудования для военных кораблей», а выпуск автомобилей «был прекращен»</w:t>
      </w:r>
      <w:r w:rsidRPr="00405303">
        <w:rPr>
          <w:bCs/>
          <w:color w:val="002060"/>
          <w:sz w:val="16"/>
          <w:szCs w:val="16"/>
          <w:vertAlign w:val="superscript"/>
        </w:rPr>
        <w:t>{580}</w:t>
      </w:r>
      <w:r w:rsidRPr="00405303">
        <w:rPr>
          <w:bCs/>
          <w:color w:val="002060"/>
          <w:sz w:val="16"/>
          <w:szCs w:val="16"/>
        </w:rPr>
        <w:t>.</w:t>
      </w:r>
    </w:p>
    <w:p w14:paraId="47170B3F" w14:textId="77777777" w:rsidR="0064595E" w:rsidRPr="00405303" w:rsidRDefault="0064595E" w:rsidP="00C15251">
      <w:pPr>
        <w:pStyle w:val="p1"/>
        <w:spacing w:before="0" w:beforeAutospacing="0" w:after="0" w:afterAutospacing="0"/>
        <w:jc w:val="both"/>
        <w:rPr>
          <w:bCs/>
          <w:color w:val="002060"/>
          <w:sz w:val="16"/>
          <w:szCs w:val="16"/>
        </w:rPr>
      </w:pPr>
      <w:r w:rsidRPr="00405303">
        <w:rPr>
          <w:bCs/>
          <w:color w:val="002060"/>
          <w:sz w:val="16"/>
          <w:szCs w:val="16"/>
        </w:rPr>
        <w:t>«Русский автомобильный завод И.П. Пузырева» упомянут в исследованиях по истории русского автомобилестроения как изготовитель «десятков машин» в год. Но при конкретизации оказалось, что за время действия на этом поприще (1911–1913 гг.) он выпустил 38 экземпляров, то есть по 13 машин в год. 8 января 1914 г. завод Пузырева сгорел («пострадал от огня», по выражению Купера — Льюиса), а вскоре умер и его хозяин (18366).</w:t>
      </w:r>
    </w:p>
    <w:p w14:paraId="5A173F89" w14:textId="77777777" w:rsidR="0064595E" w:rsidRPr="00405303" w:rsidRDefault="0064595E" w:rsidP="00C15251">
      <w:pPr>
        <w:pStyle w:val="p1"/>
        <w:spacing w:before="0" w:beforeAutospacing="0" w:after="0" w:afterAutospacing="0"/>
        <w:jc w:val="both"/>
        <w:rPr>
          <w:bCs/>
          <w:color w:val="002060"/>
          <w:sz w:val="16"/>
          <w:szCs w:val="16"/>
        </w:rPr>
      </w:pPr>
    </w:p>
    <w:p w14:paraId="48ED47D5" w14:textId="413B5DE6" w:rsidR="0064595E" w:rsidRPr="00405303" w:rsidRDefault="0064595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Начиная с июня 1915 г. по март 1917 г., ген. Ванков получил еще 23 разных наряда и не только на 76-мм гранаты, но и на гаубичные гранаты разных калибров и даже на снаряды для Румынии (11483).</w:t>
      </w:r>
    </w:p>
    <w:p w14:paraId="51E980C8" w14:textId="77777777" w:rsidR="0064595E" w:rsidRPr="00405303" w:rsidRDefault="0064595E" w:rsidP="00C15251">
      <w:pPr>
        <w:pStyle w:val="a3"/>
        <w:jc w:val="both"/>
        <w:rPr>
          <w:bCs/>
          <w:i w:val="0"/>
          <w:color w:val="002060"/>
          <w:spacing w:val="0"/>
          <w:kern w:val="0"/>
          <w:position w:val="0"/>
          <w:sz w:val="16"/>
          <w:szCs w:val="16"/>
        </w:rPr>
      </w:pPr>
    </w:p>
    <w:p w14:paraId="05FE60A9" w14:textId="779FEEC5" w:rsidR="0064595E" w:rsidRPr="00405303" w:rsidRDefault="0064595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июне 1915 г. выяснилось, что для преодоления всех постоянно возраставших препятствий совершенно недостаточно полномочий, предоставленных ген. Ванкову, вследствие чего он 15 (28) того же июня обратился к начальнику ГАУ со следующим официальным письмом: </w:t>
      </w:r>
    </w:p>
    <w:p w14:paraId="0ACEEB5F" w14:textId="77777777" w:rsidR="0064595E" w:rsidRPr="00405303" w:rsidRDefault="0064595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 Необходимо, чтобы все секвестрованные на юге России и в средней России заводы были переданы мне для установки на ниx производства гранат или с помощью передачи их другим изготовляющим гранаты заводам или при помощи установки на них работ наймом техников и потребных мастеровых. Такие заводы ныне совершенно бездействуют. </w:t>
      </w:r>
    </w:p>
    <w:p w14:paraId="3F2842ED" w14:textId="77777777" w:rsidR="0064595E" w:rsidRPr="00405303" w:rsidRDefault="0064595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 Необходимо дать власть на предмет секвестра станков. приборов и машин, a если нужно, то и секвестра и реквизиции всех заводов, которые ио тем или иным соображениям замедляют производство гранат или не желают изготовлять их. </w:t>
      </w:r>
    </w:p>
    <w:p w14:paraId="069C4668" w14:textId="77777777" w:rsidR="0064595E" w:rsidRPr="00405303" w:rsidRDefault="0064595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3. Необходимо устранить конкуренцию на заводах дачей нарядов на гранаты разными организациями или лицами. Эта конкуренция повышает цены и может удлинить срок. </w:t>
      </w:r>
    </w:p>
    <w:p w14:paraId="3445C21F" w14:textId="77777777" w:rsidR="0064595E" w:rsidRPr="00405303" w:rsidRDefault="0064595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4. Необходимо предоставить мне право брать артиллерийских и других техников по моему усмотрению со всех заводов и учреждений. Мне нужны еще 40 артиллерийских техников или прапорщиков-инженеров, так как по числу 13 + 36=49 заводов прикомандированных ко мне 9 прапорщиков, из которых 3 химика, крайне недостаточно для этих; 49 заводов, привлеченных мною к работе по заготовлению, снарядов. </w:t>
      </w:r>
    </w:p>
    <w:p w14:paraId="7334FDE5" w14:textId="77777777" w:rsidR="0064595E" w:rsidRPr="00405303" w:rsidRDefault="0064595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5. Предоставить мне право устранять администрацию частных заводов, которые по каким-либо соображениям замедлят производство снарядов, и ставить на ее место военную или гражданскую администрацию. </w:t>
      </w:r>
    </w:p>
    <w:p w14:paraId="52FD23D7" w14:textId="77777777" w:rsidR="0064595E" w:rsidRPr="00405303" w:rsidRDefault="0064595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6. Необходимо централизовать по исполняемым заводами нарядам все отделы военного и морского ведомств в руках уполномоченного. </w:t>
      </w:r>
    </w:p>
    <w:p w14:paraId="5454CD70" w14:textId="77777777" w:rsidR="0064595E" w:rsidRPr="00405303" w:rsidRDefault="0064595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7. Необходимо закрепить мастеровых разных цехов за заводами без права перехода с одного завода на другой без разрешения военной администрации завода, дабы рабочие не переходили с завода на завод из-за увеличения платы. </w:t>
      </w:r>
    </w:p>
    <w:p w14:paraId="545A35D3" w14:textId="77777777" w:rsidR="0064595E" w:rsidRPr="00405303" w:rsidRDefault="0064595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lastRenderedPageBreak/>
        <w:t xml:space="preserve">8. Крайне желательно и полезно объявить все заводы Московского и Киевского </w:t>
      </w:r>
      <w:proofErr w:type="gramStart"/>
      <w:r w:rsidRPr="00405303">
        <w:rPr>
          <w:bCs/>
          <w:i w:val="0"/>
          <w:color w:val="002060"/>
          <w:spacing w:val="0"/>
          <w:kern w:val="0"/>
          <w:position w:val="0"/>
          <w:sz w:val="16"/>
          <w:szCs w:val="16"/>
        </w:rPr>
        <w:t>округов .мобилизованными</w:t>
      </w:r>
      <w:proofErr w:type="gramEnd"/>
      <w:r w:rsidRPr="00405303">
        <w:rPr>
          <w:bCs/>
          <w:i w:val="0"/>
          <w:color w:val="002060"/>
          <w:spacing w:val="0"/>
          <w:kern w:val="0"/>
          <w:position w:val="0"/>
          <w:sz w:val="16"/>
          <w:szCs w:val="16"/>
        </w:rPr>
        <w:t xml:space="preserve"> на военном положении. Ни один завод без разрешения уполномоченного не должен работать. </w:t>
      </w:r>
    </w:p>
    <w:p w14:paraId="23CFCE53" w14:textId="77777777" w:rsidR="0064595E" w:rsidRPr="00405303" w:rsidRDefault="0064595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9. Ни один станок, ни один предмет без разрешения уполномоченного с этих заводов не может быть забираем или, секвестрован. </w:t>
      </w:r>
    </w:p>
    <w:p w14:paraId="762B047D" w14:textId="77777777" w:rsidR="0064595E" w:rsidRPr="00405303" w:rsidRDefault="0064595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10. Ход и порядок работ на всех заводах Московского и Киевского округов устанавливается уполномоченным. </w:t>
      </w:r>
    </w:p>
    <w:p w14:paraId="6B583468" w14:textId="77777777" w:rsidR="0064595E" w:rsidRPr="00405303" w:rsidRDefault="0064595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11. Необходимо устранить задержку в даче вагонов для доставки топлива и материалов заводам. </w:t>
      </w:r>
    </w:p>
    <w:p w14:paraId="31DF6382" w14:textId="77777777" w:rsidR="0064595E" w:rsidRPr="00405303" w:rsidRDefault="0064595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12. Необходимо освободить от явки по мобилизации мастеровых-ратников 2-го разряда, работающих на заводах, выполняющих срочные заказы по изготовлению снарядов, дабы, этим призывом не обессиливать рабочий персонал заводов. </w:t>
      </w:r>
    </w:p>
    <w:p w14:paraId="61F93117" w14:textId="77777777" w:rsidR="0064595E" w:rsidRPr="00405303" w:rsidRDefault="0064595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13. Необходимо вернуть, насколько это возможно, токарей, и инструментальщиков-специалистов из войсковых частей и командировать их, оставляя на военной службе, на заводы, работающие на государственную оборону, с таким </w:t>
      </w:r>
      <w:proofErr w:type="gramStart"/>
      <w:r w:rsidRPr="00405303">
        <w:rPr>
          <w:bCs/>
          <w:i w:val="0"/>
          <w:color w:val="002060"/>
          <w:spacing w:val="0"/>
          <w:kern w:val="0"/>
          <w:position w:val="0"/>
          <w:sz w:val="16"/>
          <w:szCs w:val="16"/>
        </w:rPr>
        <w:t>расчетом,,</w:t>
      </w:r>
      <w:proofErr w:type="gramEnd"/>
      <w:r w:rsidRPr="00405303">
        <w:rPr>
          <w:bCs/>
          <w:i w:val="0"/>
          <w:color w:val="002060"/>
          <w:spacing w:val="0"/>
          <w:kern w:val="0"/>
          <w:position w:val="0"/>
          <w:sz w:val="16"/>
          <w:szCs w:val="16"/>
        </w:rPr>
        <w:t xml:space="preserve"> чтобы использовать полностью имеющееся оборудование заводов, если возможно, работая тремя сменами рабочих по 8 часов, т. е. все 24 часа в сутки. </w:t>
      </w:r>
    </w:p>
    <w:p w14:paraId="2FDD2868" w14:textId="77777777" w:rsidR="0064595E" w:rsidRPr="00405303" w:rsidRDefault="0064595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14. Из ежемесячной работы с заводчиками выясняется польза выдавать им заказ по их оборудованию на более продолжительный срок, примерно, около одного года. </w:t>
      </w:r>
    </w:p>
    <w:p w14:paraId="5263EA95" w14:textId="77777777" w:rsidR="0064595E" w:rsidRPr="00405303" w:rsidRDefault="0064595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Вот те вопросы, которые за два месяца усиленной работы предъявила мне к разрешению сама жизнь. Многие из этих, вопросов оставались неразрешенными за неимением права разрешать их. </w:t>
      </w:r>
    </w:p>
    <w:p w14:paraId="5E2B36EF" w14:textId="77777777" w:rsidR="0064595E" w:rsidRPr="00405303" w:rsidRDefault="0064595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Быть может, для мирного времени о них писать нельзя, но по обстоятельствам военного времени вопросы эти должны быль рассматриваемы и разрешаемы быстро, решительно и. окончательно, дабы не задерживать производства". </w:t>
      </w:r>
    </w:p>
    <w:p w14:paraId="3AE762BD" w14:textId="77777777" w:rsidR="0064595E" w:rsidRPr="00405303" w:rsidRDefault="0064595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И ген. Ванков до известной степени был прав и был бы прав вполне, если бы армия нуждалась только в том предмете, изготовлением коего ведал он, т. е. только в корпусах и взрывателях для 76-мм гранат (французского образца). Но так как, кроме них, армии нужно было еще очень многое даже для составления того же выстрела (именно еще: гильзу, капсюльную втулку, заряд пороха и заряд взрывчатого вещества), </w:t>
      </w:r>
      <w:proofErr w:type="gramStart"/>
      <w:r w:rsidRPr="00405303">
        <w:rPr>
          <w:bCs/>
          <w:i w:val="0"/>
          <w:color w:val="002060"/>
          <w:spacing w:val="0"/>
          <w:kern w:val="0"/>
          <w:position w:val="0"/>
          <w:sz w:val="16"/>
          <w:szCs w:val="16"/>
        </w:rPr>
        <w:t>а кроме того</w:t>
      </w:r>
      <w:proofErr w:type="gramEnd"/>
      <w:r w:rsidRPr="00405303">
        <w:rPr>
          <w:bCs/>
          <w:i w:val="0"/>
          <w:color w:val="002060"/>
          <w:spacing w:val="0"/>
          <w:kern w:val="0"/>
          <w:position w:val="0"/>
          <w:sz w:val="16"/>
          <w:szCs w:val="16"/>
        </w:rPr>
        <w:t xml:space="preserve"> и другие выстрелы (для других крупных калибров) и другие предметы (винтовки, пулеметы, орудия, лафеты, порох, взрывчатые вещества и т. д.), то, конечно, всех просимых Ванковым прав предоставить ему полностью было нельзя. </w:t>
      </w:r>
    </w:p>
    <w:p w14:paraId="59C3C66C" w14:textId="77777777" w:rsidR="0064595E" w:rsidRPr="00405303" w:rsidRDefault="0064595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Их надо было поделить между всеми заготовителями всех предметов снабжения армии и флота согласно удельному вест каждого из них, что мог бы и должен был сделать единый министр снабжения. </w:t>
      </w:r>
    </w:p>
    <w:p w14:paraId="46A00E4D" w14:textId="77777777" w:rsidR="0064595E" w:rsidRPr="00405303" w:rsidRDefault="0064595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 поводу организации Ванкова существуют разные мнения. Сам начальник ГАУ ген. Маниковский упрекал С. П. Ванкова, что он не сокращал производства 76-мм снарядов и всячески развивал его в ущерб производству тяжелых снарядов. А. А. Свечин, говоря в своей "Стратегии" о мобилизации промышленности, подчеркивает вред организации Ванкова, как организации односторонней, неблагоприятно повлиявшей на работу транспорта и прочих отраслей народного хозяйства. </w:t>
      </w:r>
    </w:p>
    <w:p w14:paraId="05517D7D" w14:textId="77777777" w:rsidR="0064595E" w:rsidRPr="00405303" w:rsidRDefault="0064595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Несомненно, что чрезмерно широкое, одпосторонее развитие организации Ванкова шло в ущерб развитию русской промышленности по изготовлению многих других предметов боевого снабжения и в первую очередь тяжелых снарядов. Но во всяком случае упреки в этом С. Н. Ванкова обращены не по адресу. В этом прежде всего повинен был военный министр с его Особым совещанием, от которых зависело определение рода и количества предметов снабжения армии, подлежащих заготовлению, и распределение заказов. Что же касается С. Н. Ванкова</w:t>
      </w:r>
      <w:proofErr w:type="gramStart"/>
      <w:r w:rsidRPr="00405303">
        <w:rPr>
          <w:bCs/>
          <w:i w:val="0"/>
          <w:color w:val="002060"/>
          <w:spacing w:val="0"/>
          <w:kern w:val="0"/>
          <w:position w:val="0"/>
          <w:sz w:val="16"/>
          <w:szCs w:val="16"/>
        </w:rPr>
        <w:t>.</w:t>
      </w:r>
      <w:proofErr w:type="gramEnd"/>
      <w:r w:rsidRPr="00405303">
        <w:rPr>
          <w:bCs/>
          <w:i w:val="0"/>
          <w:color w:val="002060"/>
          <w:spacing w:val="0"/>
          <w:kern w:val="0"/>
          <w:position w:val="0"/>
          <w:sz w:val="16"/>
          <w:szCs w:val="16"/>
        </w:rPr>
        <w:t xml:space="preserve"> то он с исключительным успехом выполнил данное ему задание и дал весьма поучительный принтер в истории русской промышленности, показав, как возможно и нужно ее использовать в отношении производства даже таких предметов боевого снабжения, к изготовлению которых она совершенно не была подготовлена. </w:t>
      </w:r>
    </w:p>
    <w:p w14:paraId="2247CBE6" w14:textId="77777777" w:rsidR="0064595E" w:rsidRPr="00405303" w:rsidRDefault="0064595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Надо полагать, что организация Ванкова также успешно выполнила бы заказы на тяжелые снаряды, если бы стала получать их не с мая 1916 г., а одновременно с заказами 76-мм гранат, т. е. годом раньше. </w:t>
      </w:r>
    </w:p>
    <w:p w14:paraId="376605D4" w14:textId="77777777" w:rsidR="0064595E" w:rsidRPr="00405303" w:rsidRDefault="0064595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работах организации ген. Ванкова по заготовлению снарядов по французскому образцу сыграла большую роль, в положительном смысле, французская миссия (11483).</w:t>
      </w:r>
    </w:p>
    <w:p w14:paraId="5FFA7699" w14:textId="77777777" w:rsidR="0064595E" w:rsidRPr="00405303" w:rsidRDefault="0064595E" w:rsidP="00C15251">
      <w:pPr>
        <w:pStyle w:val="a3"/>
        <w:jc w:val="both"/>
        <w:rPr>
          <w:bCs/>
          <w:i w:val="0"/>
          <w:color w:val="002060"/>
          <w:spacing w:val="0"/>
          <w:kern w:val="0"/>
          <w:position w:val="0"/>
          <w:sz w:val="16"/>
          <w:szCs w:val="16"/>
        </w:rPr>
      </w:pPr>
    </w:p>
    <w:p w14:paraId="26A4AA98" w14:textId="77777777" w:rsidR="0064595E" w:rsidRPr="00405303" w:rsidRDefault="0064595E" w:rsidP="00C15251">
      <w:pPr>
        <w:jc w:val="both"/>
        <w:rPr>
          <w:bCs/>
          <w:color w:val="002060"/>
          <w:sz w:val="16"/>
          <w:szCs w:val="16"/>
        </w:rPr>
      </w:pPr>
      <w:r w:rsidRPr="00405303">
        <w:rPr>
          <w:bCs/>
          <w:color w:val="002060"/>
          <w:sz w:val="16"/>
          <w:szCs w:val="16"/>
        </w:rPr>
        <w:t xml:space="preserve">В июне 1915 года постройка Нижегородского завода взрывчатых веществ была утверждена правительством. </w:t>
      </w:r>
    </w:p>
    <w:p w14:paraId="163148FC" w14:textId="77777777" w:rsidR="0064595E" w:rsidRPr="00405303" w:rsidRDefault="0064595E" w:rsidP="00C15251">
      <w:pPr>
        <w:jc w:val="both"/>
        <w:rPr>
          <w:bCs/>
          <w:color w:val="002060"/>
          <w:sz w:val="16"/>
          <w:szCs w:val="16"/>
        </w:rPr>
      </w:pPr>
      <w:r w:rsidRPr="00405303">
        <w:rPr>
          <w:bCs/>
          <w:color w:val="002060"/>
          <w:sz w:val="16"/>
          <w:szCs w:val="16"/>
        </w:rPr>
        <w:t xml:space="preserve">Место для завода было выбрано сначала у ст. Заколпье, по Нижегородской железной дороге, а затем, окончательно, у ст. Растяпино той же дороги, в 30 верстах от г. Нижнего. По сметам, составленным в 1914 г., стоимость завода определялась в 9,6 млн рублей. В 1915 г. эта сумма была увеличена до 17,4 млн рублей. </w:t>
      </w:r>
    </w:p>
    <w:p w14:paraId="7BC9B520" w14:textId="77777777" w:rsidR="0064595E" w:rsidRPr="00405303" w:rsidRDefault="0064595E" w:rsidP="00C15251">
      <w:pPr>
        <w:jc w:val="both"/>
        <w:rPr>
          <w:bCs/>
          <w:color w:val="002060"/>
          <w:sz w:val="16"/>
          <w:szCs w:val="16"/>
        </w:rPr>
      </w:pPr>
      <w:r w:rsidRPr="00405303">
        <w:rPr>
          <w:bCs/>
          <w:color w:val="002060"/>
          <w:sz w:val="16"/>
          <w:szCs w:val="16"/>
        </w:rPr>
        <w:t xml:space="preserve">Завод был проектирован для производства в год (пудов): </w:t>
      </w:r>
    </w:p>
    <w:p w14:paraId="043674B4" w14:textId="77777777" w:rsidR="0064595E" w:rsidRPr="00405303" w:rsidRDefault="0064595E" w:rsidP="00C15251">
      <w:pPr>
        <w:jc w:val="both"/>
        <w:rPr>
          <w:bCs/>
          <w:color w:val="002060"/>
          <w:sz w:val="16"/>
          <w:szCs w:val="16"/>
        </w:rPr>
      </w:pPr>
      <w:r w:rsidRPr="00405303">
        <w:rPr>
          <w:bCs/>
          <w:color w:val="002060"/>
          <w:sz w:val="16"/>
          <w:szCs w:val="16"/>
        </w:rPr>
        <w:t xml:space="preserve">а) тротила до 550 000, </w:t>
      </w:r>
    </w:p>
    <w:p w14:paraId="3827DC68" w14:textId="77777777" w:rsidR="0064595E" w:rsidRPr="00405303" w:rsidRDefault="0064595E" w:rsidP="00C15251">
      <w:pPr>
        <w:jc w:val="both"/>
        <w:rPr>
          <w:bCs/>
          <w:color w:val="002060"/>
          <w:sz w:val="16"/>
          <w:szCs w:val="16"/>
        </w:rPr>
      </w:pPr>
      <w:r w:rsidRPr="00405303">
        <w:rPr>
          <w:bCs/>
          <w:color w:val="002060"/>
          <w:sz w:val="16"/>
          <w:szCs w:val="16"/>
        </w:rPr>
        <w:t xml:space="preserve">б) тетрила до 12 000 и </w:t>
      </w:r>
    </w:p>
    <w:p w14:paraId="6C3F5267" w14:textId="77777777" w:rsidR="0064595E" w:rsidRPr="00405303" w:rsidRDefault="0064595E" w:rsidP="00C15251">
      <w:pPr>
        <w:jc w:val="both"/>
        <w:rPr>
          <w:bCs/>
          <w:color w:val="002060"/>
          <w:sz w:val="16"/>
          <w:szCs w:val="16"/>
        </w:rPr>
      </w:pPr>
      <w:r w:rsidRPr="00405303">
        <w:rPr>
          <w:bCs/>
          <w:color w:val="002060"/>
          <w:sz w:val="16"/>
          <w:szCs w:val="16"/>
        </w:rPr>
        <w:t xml:space="preserve">в) снаряжения снарядов крупных, средних и малых калибров в количестве, соответствующем тротилу. </w:t>
      </w:r>
    </w:p>
    <w:p w14:paraId="54492457" w14:textId="77777777" w:rsidR="0064595E" w:rsidRPr="00405303" w:rsidRDefault="0064595E" w:rsidP="00C15251">
      <w:pPr>
        <w:jc w:val="both"/>
        <w:rPr>
          <w:bCs/>
          <w:color w:val="002060"/>
          <w:sz w:val="16"/>
          <w:szCs w:val="16"/>
        </w:rPr>
      </w:pPr>
      <w:r w:rsidRPr="00405303">
        <w:rPr>
          <w:bCs/>
          <w:color w:val="002060"/>
          <w:sz w:val="16"/>
          <w:szCs w:val="16"/>
        </w:rPr>
        <w:t xml:space="preserve">Вскоре это задание было увеличено до 630 000 пудов тротила и 13 700 пудов тетрила. </w:t>
      </w:r>
    </w:p>
    <w:p w14:paraId="1503FF3D" w14:textId="77777777" w:rsidR="0064595E" w:rsidRPr="00405303" w:rsidRDefault="0064595E" w:rsidP="00C15251">
      <w:pPr>
        <w:jc w:val="both"/>
        <w:rPr>
          <w:bCs/>
          <w:color w:val="002060"/>
          <w:sz w:val="16"/>
          <w:szCs w:val="16"/>
        </w:rPr>
      </w:pPr>
      <w:r w:rsidRPr="00405303">
        <w:rPr>
          <w:bCs/>
          <w:color w:val="002060"/>
          <w:sz w:val="16"/>
          <w:szCs w:val="16"/>
        </w:rPr>
        <w:t xml:space="preserve">Строительный сезон 1915 г. был упущен, и постройка началась, только в 1916 году. К началу 1917 г. были возведены вчерне некоторые постройки и заказаны механизмы. С революцией строительство почти приостановилось. В последующие годы возникал неоднократно вопрос о ликвидации Нижегородского завода. Однако благодаря энергии управляющего заводом И.А. Невструева и заводских инженеров строительство всякими способами, без разрешения из центра, продолжалось и было к концу 1923 г. продвинуто в такой мере, что возможность ликвидации завода была уже исключена (11329). </w:t>
      </w:r>
    </w:p>
    <w:p w14:paraId="556394A3" w14:textId="77777777" w:rsidR="0064595E" w:rsidRPr="00405303" w:rsidRDefault="0064595E" w:rsidP="00C15251">
      <w:pPr>
        <w:pStyle w:val="a3"/>
        <w:jc w:val="both"/>
        <w:rPr>
          <w:bCs/>
          <w:i w:val="0"/>
          <w:color w:val="002060"/>
          <w:spacing w:val="0"/>
          <w:kern w:val="0"/>
          <w:position w:val="0"/>
          <w:sz w:val="16"/>
          <w:szCs w:val="16"/>
        </w:rPr>
      </w:pPr>
    </w:p>
    <w:p w14:paraId="7A88B5E9" w14:textId="39B62237" w:rsidR="0064595E" w:rsidRPr="00405303" w:rsidRDefault="0064595E" w:rsidP="00C15251">
      <w:pPr>
        <w:jc w:val="both"/>
        <w:rPr>
          <w:bCs/>
          <w:color w:val="002060"/>
          <w:sz w:val="16"/>
          <w:szCs w:val="16"/>
        </w:rPr>
      </w:pPr>
      <w:r w:rsidRPr="00405303">
        <w:rPr>
          <w:bCs/>
          <w:color w:val="002060"/>
          <w:sz w:val="16"/>
          <w:szCs w:val="16"/>
        </w:rPr>
        <w:t xml:space="preserve">В июне 1915 г. Военный Совет выдал новые заказы на 2,6 млн. корпусов гранат и соответственно такое же количество запальных стаканов и детонаторных трубок. В дальнейшем шло еще более значительное увеличение объемов заказов как на 3-дюймовые гранаты, так и на 6- и 48-дюймовые бомбы [История организации ... Ванкова. С. 17.]. Такая ситуация укрепляла интерес предпринимателей и стимулировала расширение ими производства на своих предприятиях. </w:t>
      </w:r>
    </w:p>
    <w:p w14:paraId="69B7AF24" w14:textId="77777777" w:rsidR="0064595E" w:rsidRPr="00405303" w:rsidRDefault="0064595E" w:rsidP="00C15251">
      <w:pPr>
        <w:jc w:val="both"/>
        <w:rPr>
          <w:bCs/>
          <w:color w:val="002060"/>
          <w:sz w:val="16"/>
          <w:szCs w:val="16"/>
        </w:rPr>
      </w:pPr>
      <w:r w:rsidRPr="00405303">
        <w:rPr>
          <w:bCs/>
          <w:color w:val="002060"/>
          <w:sz w:val="16"/>
          <w:szCs w:val="16"/>
        </w:rPr>
        <w:t xml:space="preserve">Как указывалось в отчете о деятельности Организации Ванкова, в системе российской промышленности было мало массовых механических производств, крайне невелик был опыт точных работ, то есть строго по чертежам и с соблюдением соответствующих размеров изделий [Там же. С. 48-50.]. Основная масса предприятий (общее их число в отдельные периоды достигало 500 заведений), привлеченных организацией Ванкова, располагалась в Средней и Южной России, и большинство из них не являлись специализированными металлообрабатывающими предприятиями. Среди них были заведения пищевкусовой промышленности (мельницы, винные склады), ремонтные мастерские текстильных фабрик, лаборатории учебных заведений, кооперированные силами военно-промышленных комитетов объединения кустарных мастерских. Их отличала бедность станочного парка, недостаток квалифицированных кадров. Со стороны Организации Ванкова в этой связи принимались меры по обучению кадров, жесткому внедрению технологической дисциплины и стандартизации производства, увеличению оборудования путем закупок и распределения реквизированного оборудования, а также внесения изменений в способы изготовления изделий </w:t>
      </w:r>
      <w:proofErr w:type="gramStart"/>
      <w:r w:rsidRPr="00405303">
        <w:rPr>
          <w:bCs/>
          <w:color w:val="002060"/>
          <w:sz w:val="16"/>
          <w:szCs w:val="16"/>
        </w:rPr>
        <w:t>[Например</w:t>
      </w:r>
      <w:proofErr w:type="gramEnd"/>
      <w:r w:rsidRPr="00405303">
        <w:rPr>
          <w:bCs/>
          <w:color w:val="002060"/>
          <w:sz w:val="16"/>
          <w:szCs w:val="16"/>
        </w:rPr>
        <w:t xml:space="preserve">, вместо вытачивания корпусов гранат использовалась их штамповка. На множество более простых операций было разделено производство запальных стаканов, что позволило осуществить их выпуск на простых токарных, револьверных и винторезных станках и при работе на них неквалифицированных рабочих. См об этом: История организации ...Ванкова. С. 85-88.]. </w:t>
      </w:r>
    </w:p>
    <w:p w14:paraId="46C6EFE3" w14:textId="77777777" w:rsidR="0064595E" w:rsidRPr="00405303" w:rsidRDefault="0064595E" w:rsidP="00C15251">
      <w:pPr>
        <w:jc w:val="both"/>
        <w:rPr>
          <w:bCs/>
          <w:color w:val="002060"/>
          <w:sz w:val="16"/>
          <w:szCs w:val="16"/>
        </w:rPr>
      </w:pPr>
      <w:r w:rsidRPr="00405303">
        <w:rPr>
          <w:bCs/>
          <w:color w:val="002060"/>
          <w:sz w:val="16"/>
          <w:szCs w:val="16"/>
        </w:rPr>
        <w:t xml:space="preserve">Число крупных предприятий, специально построенных для исполнения заказов на 3-дюймовые гранаты, было невелико. Среди них, безусловно, выделяются предприятия известного промышленника и финансиста Н.А. Второва, который был специально привлечен для устройства снаряжательного завода и стал особым контрагентом Организации Ванкова. Для постройки было решено выбрать помещения и территорию реквизированной красочной фабрики немецкой фирмы «Фридрих Байер и Ко» в Москве. Решение о реквизиции было получено 15 мая 1915 г., а уже 20 мая приступили к переоборудованию старых и возведению новых зданий и специальных сооружений, в том числе и на арендованной по соседству земле дворцового ведомства. Завод был рассчитан на ежедневное снаряжение 6-7 тыс. гранат. В ходе начавшейся стройки стала очевидна необходимость сооружения второго предприятия. Второву было предложено еще до увеличения заказов на свой страх и риск оборудовать его из расчета 18 тыс. гранат в день. Закладка нового завода состоялась в день окончания сооружения первого - 28 июня 1915 г. Он был построен </w:t>
      </w:r>
      <w:r w:rsidRPr="00405303">
        <w:rPr>
          <w:bCs/>
          <w:color w:val="002060"/>
          <w:sz w:val="16"/>
          <w:szCs w:val="16"/>
        </w:rPr>
        <w:lastRenderedPageBreak/>
        <w:t>через четыре месяца. Второвым с середины 1916 г. строился также снарядный завод в Богородске Московской губернии. В октябре 1916 г. общая производительность новых заводов превысила проектную мощность и составила более 1 млн. гранат в месяц [История организации... Ванкова. С. 87.].</w:t>
      </w:r>
    </w:p>
    <w:p w14:paraId="58EDC250" w14:textId="77777777" w:rsidR="0064595E" w:rsidRPr="00405303" w:rsidRDefault="0064595E" w:rsidP="00C15251">
      <w:pPr>
        <w:jc w:val="both"/>
        <w:rPr>
          <w:bCs/>
          <w:color w:val="002060"/>
          <w:sz w:val="16"/>
          <w:szCs w:val="16"/>
        </w:rPr>
      </w:pPr>
      <w:r w:rsidRPr="00405303">
        <w:rPr>
          <w:bCs/>
          <w:color w:val="002060"/>
          <w:sz w:val="16"/>
          <w:szCs w:val="16"/>
        </w:rPr>
        <w:t>В системе крупных промышленных предприятий Организации Ванкова, появившихся в годы Первой мировой войны, можно назвать отлично оборудованный Конотопский снарядный завод, построенный по инициативе М.И. Терещенко, и оснащенный прекрасными станками, Демиевский снарядный завод, устроенный по инициативе члена Государственной думы В.Я. Демченко в помещении казенного винного склада [Там же. С. 163.].</w:t>
      </w:r>
    </w:p>
    <w:p w14:paraId="344451A7" w14:textId="77777777" w:rsidR="0064595E" w:rsidRPr="00405303" w:rsidRDefault="0064595E" w:rsidP="00C15251">
      <w:pPr>
        <w:jc w:val="both"/>
        <w:rPr>
          <w:bCs/>
          <w:color w:val="002060"/>
          <w:sz w:val="16"/>
          <w:szCs w:val="16"/>
        </w:rPr>
      </w:pPr>
      <w:r w:rsidRPr="00405303">
        <w:rPr>
          <w:bCs/>
          <w:color w:val="002060"/>
          <w:sz w:val="16"/>
          <w:szCs w:val="16"/>
        </w:rPr>
        <w:t xml:space="preserve">Деятельность Организации Ванкова на территории губерний Центрально-черноземной области, Среднего Поволжья привела к значительному росту численности промышленных предприятий и формированию кадров фабрично-заводских рабочих в этих регионах. </w:t>
      </w:r>
    </w:p>
    <w:p w14:paraId="3BFD3E4C" w14:textId="77777777" w:rsidR="0064595E" w:rsidRPr="00405303" w:rsidRDefault="0064595E" w:rsidP="00C15251">
      <w:pPr>
        <w:jc w:val="both"/>
        <w:rPr>
          <w:bCs/>
          <w:color w:val="002060"/>
          <w:sz w:val="16"/>
          <w:szCs w:val="16"/>
        </w:rPr>
      </w:pPr>
      <w:r w:rsidRPr="00405303">
        <w:rPr>
          <w:bCs/>
          <w:color w:val="002060"/>
          <w:sz w:val="16"/>
          <w:szCs w:val="16"/>
        </w:rPr>
        <w:t>Поскольку обе рассмотренные организации были созданы при ГАУ, то нельзя не сказать о записке начальника ГАУ генерал-лейтенанта А.А. Маниковского, поступившей в Особое совещание по обороне в октябре 1916 г. [РГВИА. Ф. 369. Оп. 3. Д. 119. В деле типографский экземпляр записки, принадлежавший Е.З. Барсукову. Там же ряд приложений к документу. Подробнее см.: Сидоров А.Л. К вопросу о строительстве казенных заводов в России в годы первой мировой войны // ИЗ. Т. 54. М., 1955; Поликарпов В.В. О так называемой «программе Маниковского» 1916 года // ИЗ. Т. 109. М., 1983.] Маниковский видел задачу заводского строительства в создании мощной отечественной промышленности с целью ликвидации зависимости России от других стран в сфере промышленного производства. Им особо оговаривалось значение послевоенных перспектив развития российской индустрии. Маниковский подчеркивал, что после войны конкуренция и экономическая борьба между странами возрастет, и делал такой вывод: «Если мы не будем готовы к ней [конкуренции - С.В.], то могучая техника, и наших друзей, и наших врагов, раздавит нашу все еще слабую технику».</w:t>
      </w:r>
    </w:p>
    <w:p w14:paraId="7D4BC026" w14:textId="77777777" w:rsidR="0064595E" w:rsidRPr="00405303" w:rsidRDefault="0064595E" w:rsidP="00C15251">
      <w:pPr>
        <w:jc w:val="both"/>
        <w:rPr>
          <w:bCs/>
          <w:color w:val="002060"/>
          <w:sz w:val="16"/>
          <w:szCs w:val="16"/>
        </w:rPr>
      </w:pPr>
      <w:r w:rsidRPr="00405303">
        <w:rPr>
          <w:bCs/>
          <w:color w:val="002060"/>
          <w:sz w:val="16"/>
          <w:szCs w:val="16"/>
        </w:rPr>
        <w:t xml:space="preserve">С точки зрения производственно-отраслевой ориентация программа была весьма ограничена. Ее автор рекомендовал сооружение в основном военных предприятий, прежде всего, артиллерийского вооружения и ряда химических заводов. В программе совершенно отсутствовали заводы новейших производств и весьма скупо были указаны объекты в базовых отраслях тяжелой промышленности. Маниковский предлагал сооружение сталелитейного завода на территории Области Войска Донского, алюминиевого на Азовско-Черноморском побережье и станкостроительного в Туле. Программа была сугубо прагматической, нацеленной на некоторое улучшение вооружения войск в условиях данной войны. Более общее значение имела идея создания в каждом отдельном производстве самостоятельной группы предприятий, ядром которой был казенный завод, но которая включала бы и частные заведения. Маниковский считал необходимым построить в первую очередь 37 казенных заводов, как технически более сильных, а главное более выгодных для казны, поставляющих продукцию по более низким ценам. </w:t>
      </w:r>
    </w:p>
    <w:p w14:paraId="5E176A23" w14:textId="77777777" w:rsidR="0064595E" w:rsidRPr="00405303" w:rsidRDefault="0064595E" w:rsidP="00C15251">
      <w:pPr>
        <w:jc w:val="both"/>
        <w:rPr>
          <w:bCs/>
          <w:color w:val="002060"/>
          <w:sz w:val="16"/>
          <w:szCs w:val="16"/>
        </w:rPr>
      </w:pPr>
      <w:r w:rsidRPr="00405303">
        <w:rPr>
          <w:bCs/>
          <w:color w:val="002060"/>
          <w:sz w:val="16"/>
          <w:szCs w:val="16"/>
        </w:rPr>
        <w:t>Уже в момент обсуждения программы значительное число заводов были начаты постройкой. По данным конца 1916 г. насчитывалось 16 построенных предприятий и 21 сооружавшееся. Это явилось практически удвоением общего числа казенных заведений, которые подчинялись ГАУ до войны. Наибольшее количество новых заводов (18) приходилось на пороховые, химические предприятия, заводы и мастерские взрывчатых веществ. Значительное число (13) заведений возникло в системе снарядного, трубочного, снаряжательного производств, заводов взрывателей. В системе других оборонных предприятий новые заводы были единичны и, как правило, еще строились: Саратовский орудийный, новый Тульский оружейный, пулеметный в Коврове (строительство вел Датский ружейный синдикат), 3-й патронный в Симбирске [РГВИА. Ф. 369. Оп. 3. Д. 119. Л. 1об., 5, 67, 71.] (11863).</w:t>
      </w:r>
    </w:p>
    <w:p w14:paraId="434FB621" w14:textId="77777777" w:rsidR="0064595E" w:rsidRPr="00405303" w:rsidRDefault="0064595E" w:rsidP="00C15251">
      <w:pPr>
        <w:jc w:val="both"/>
        <w:rPr>
          <w:bCs/>
          <w:color w:val="002060"/>
          <w:sz w:val="16"/>
          <w:szCs w:val="16"/>
        </w:rPr>
      </w:pPr>
    </w:p>
    <w:p w14:paraId="640ADBAA" w14:textId="28B216F5" w:rsidR="0064595E" w:rsidRPr="00405303" w:rsidRDefault="0064595E" w:rsidP="00C15251">
      <w:pPr>
        <w:jc w:val="both"/>
        <w:rPr>
          <w:bCs/>
          <w:color w:val="002060"/>
          <w:sz w:val="16"/>
          <w:szCs w:val="16"/>
        </w:rPr>
      </w:pPr>
      <w:r w:rsidRPr="00405303">
        <w:rPr>
          <w:bCs/>
          <w:color w:val="002060"/>
          <w:sz w:val="16"/>
          <w:szCs w:val="16"/>
        </w:rPr>
        <w:t>В июне 1915 г. съезд владельцев колчеданных рудников и заводчиков сернокислотных предприятий наметил вполне приемлемую для казны программу расширения добычи колчеданов и производства серной кислоты. В основу всех расчетов была положена цена на колчедан в 30 коп. за пуд. Летом и осенью 1915 г. началось строительство около 20 новых сернокислотных заводов. Оно должно было завершиться через год, но уже к январю 1916 г. производство серной кислоты увеличилось до 1 млн пуд. в месяц, а к марту 1916 г. было уже выработано 1,3 млн пуд.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Пг., 1921.) (11781).</w:t>
      </w:r>
    </w:p>
    <w:p w14:paraId="0F99F422" w14:textId="77777777" w:rsidR="0064595E" w:rsidRPr="00405303" w:rsidRDefault="0064595E" w:rsidP="00C15251">
      <w:pPr>
        <w:jc w:val="both"/>
        <w:rPr>
          <w:bCs/>
          <w:color w:val="002060"/>
          <w:sz w:val="16"/>
          <w:szCs w:val="16"/>
        </w:rPr>
      </w:pPr>
    </w:p>
    <w:p w14:paraId="6F062326" w14:textId="1F5A16A2" w:rsidR="0064595E" w:rsidRPr="00405303" w:rsidRDefault="0011454E" w:rsidP="00C15251">
      <w:pPr>
        <w:shd w:val="clear" w:color="auto" w:fill="FFFFFF"/>
        <w:jc w:val="both"/>
        <w:rPr>
          <w:bCs/>
          <w:color w:val="002060"/>
          <w:sz w:val="16"/>
          <w:szCs w:val="16"/>
        </w:rPr>
      </w:pPr>
      <w:r w:rsidRPr="00405303">
        <w:rPr>
          <w:bCs/>
          <w:color w:val="002060"/>
          <w:sz w:val="16"/>
          <w:szCs w:val="16"/>
        </w:rPr>
        <w:t>В</w:t>
      </w:r>
      <w:r w:rsidR="0064595E" w:rsidRPr="00405303">
        <w:rPr>
          <w:bCs/>
          <w:color w:val="002060"/>
          <w:sz w:val="16"/>
          <w:szCs w:val="16"/>
        </w:rPr>
        <w:t xml:space="preserve"> июне 1915 г. </w:t>
      </w:r>
      <w:r w:rsidRPr="00405303">
        <w:rPr>
          <w:bCs/>
          <w:color w:val="002060"/>
          <w:sz w:val="16"/>
          <w:szCs w:val="16"/>
        </w:rPr>
        <w:t xml:space="preserve">правительством было утверждено строительство Нижегородского завода взрывчатых веществ. </w:t>
      </w:r>
      <w:r w:rsidR="0064595E" w:rsidRPr="00405303">
        <w:rPr>
          <w:bCs/>
          <w:color w:val="002060"/>
          <w:sz w:val="16"/>
          <w:szCs w:val="16"/>
        </w:rPr>
        <w:t>Завод был запроектиро</w:t>
      </w:r>
      <w:r w:rsidR="0064595E" w:rsidRPr="00405303">
        <w:rPr>
          <w:bCs/>
          <w:color w:val="002060"/>
          <w:sz w:val="16"/>
          <w:szCs w:val="16"/>
        </w:rPr>
        <w:softHyphen/>
        <w:t>ван первоначально для производства в год: до 550 тыс. пудов троти</w:t>
      </w:r>
      <w:r w:rsidR="0064595E" w:rsidRPr="00405303">
        <w:rPr>
          <w:bCs/>
          <w:color w:val="002060"/>
          <w:sz w:val="16"/>
          <w:szCs w:val="16"/>
        </w:rPr>
        <w:softHyphen/>
        <w:t>ла, до 12 тыс. пудов тетрила и снаряжения снарядов крупных, сред</w:t>
      </w:r>
      <w:r w:rsidR="0064595E" w:rsidRPr="00405303">
        <w:rPr>
          <w:bCs/>
          <w:color w:val="002060"/>
          <w:sz w:val="16"/>
          <w:szCs w:val="16"/>
        </w:rPr>
        <w:softHyphen/>
        <w:t>них и малых калибров в количествах, соответствующих выработке тротила, но вскоре проектное задание было увеличено до 630 тыс. пудов тротила и 13,7 тыс. пудов тетрила.</w:t>
      </w:r>
    </w:p>
    <w:p w14:paraId="597F50C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Строительство начали только в 1916 г. К началу 1917 г. возвели некоторые постройки и заказали оборудование. После Октябрьской революции строительство завода практически прекратилось. В по</w:t>
      </w:r>
      <w:r w:rsidRPr="00405303">
        <w:rPr>
          <w:bCs/>
          <w:color w:val="002060"/>
          <w:sz w:val="16"/>
          <w:szCs w:val="16"/>
        </w:rPr>
        <w:softHyphen/>
        <w:t>следующие годы неоднократно возникал вопрос о ликвидации строи</w:t>
      </w:r>
      <w:r w:rsidRPr="00405303">
        <w:rPr>
          <w:bCs/>
          <w:color w:val="002060"/>
          <w:sz w:val="16"/>
          <w:szCs w:val="16"/>
        </w:rPr>
        <w:softHyphen/>
        <w:t>тельства, но благодаря энергии и настойчивости управляющего за</w:t>
      </w:r>
      <w:r w:rsidRPr="00405303">
        <w:rPr>
          <w:bCs/>
          <w:color w:val="002060"/>
          <w:sz w:val="16"/>
          <w:szCs w:val="16"/>
        </w:rPr>
        <w:softHyphen/>
        <w:t>водом И. А. Невструева и коллектива инженерно-технических ра</w:t>
      </w:r>
      <w:r w:rsidRPr="00405303">
        <w:rPr>
          <w:bCs/>
          <w:color w:val="002060"/>
          <w:sz w:val="16"/>
          <w:szCs w:val="16"/>
        </w:rPr>
        <w:softHyphen/>
        <w:t>ботников этого не случилось. Строительство завода продолжалось без разрешения и поддержки из центра [5, с. 136]. Был разработан проект Уфимского завода взрывчатых веществ, но строительство его так и не было начато (5484).</w:t>
      </w:r>
    </w:p>
    <w:p w14:paraId="044BCD2D" w14:textId="77777777" w:rsidR="0064595E" w:rsidRPr="00405303" w:rsidRDefault="0064595E" w:rsidP="00C15251">
      <w:pPr>
        <w:shd w:val="clear" w:color="auto" w:fill="FFFFFF"/>
        <w:jc w:val="both"/>
        <w:rPr>
          <w:bCs/>
          <w:color w:val="002060"/>
          <w:sz w:val="16"/>
          <w:szCs w:val="16"/>
        </w:rPr>
      </w:pPr>
    </w:p>
    <w:p w14:paraId="40E2655A" w14:textId="1EF28F57" w:rsidR="0064595E" w:rsidRPr="00405303" w:rsidRDefault="0064595E" w:rsidP="00C15251">
      <w:pPr>
        <w:shd w:val="clear" w:color="auto" w:fill="FFFFFF"/>
        <w:jc w:val="both"/>
        <w:rPr>
          <w:bCs/>
          <w:color w:val="002060"/>
          <w:sz w:val="16"/>
          <w:szCs w:val="16"/>
        </w:rPr>
      </w:pPr>
      <w:r w:rsidRPr="00405303">
        <w:rPr>
          <w:bCs/>
          <w:color w:val="002060"/>
          <w:sz w:val="16"/>
          <w:szCs w:val="16"/>
        </w:rPr>
        <w:t xml:space="preserve">С июня 1915 г. по март 1917 г. генерал С. Н. </w:t>
      </w:r>
      <w:r w:rsidR="0011454E" w:rsidRPr="00405303">
        <w:rPr>
          <w:bCs/>
          <w:color w:val="002060"/>
          <w:sz w:val="16"/>
          <w:szCs w:val="16"/>
        </w:rPr>
        <w:t>В</w:t>
      </w:r>
      <w:r w:rsidRPr="00405303">
        <w:rPr>
          <w:bCs/>
          <w:color w:val="002060"/>
          <w:sz w:val="16"/>
          <w:szCs w:val="16"/>
        </w:rPr>
        <w:t>анков получил 23 заказа, всего на 14 млн 540 тыс. гранат и к ним на 17 млн 90 тыс. запальных стаканов и 17 млн 540 тыс. детонаторных трубок. Из этого числа 1 млн корпусов был приспособлен для снаряжения отравляющими веществами.</w:t>
      </w:r>
    </w:p>
    <w:p w14:paraId="48571000"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Кроме 76-мм гранат организации С. Н. Ванкова в разное время было поручено изготовить 2 млн 400 тыс. снарядов среднего и круп</w:t>
      </w:r>
      <w:r w:rsidRPr="00405303">
        <w:rPr>
          <w:bCs/>
          <w:color w:val="002060"/>
          <w:sz w:val="16"/>
          <w:szCs w:val="16"/>
        </w:rPr>
        <w:softHyphen/>
        <w:t>ного калибров (от 105 до 305 мм).</w:t>
      </w:r>
    </w:p>
    <w:p w14:paraId="4F0DB5D4"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В рамках организации С. Н. Ванкова кооперировалось до 500 предприятий, распределенных по семи районам (Южный, Одесский, Киевский, Тамбовский, Петроградский, Ярославский и Москов</w:t>
      </w:r>
      <w:r w:rsidRPr="00405303">
        <w:rPr>
          <w:bCs/>
          <w:color w:val="002060"/>
          <w:sz w:val="16"/>
          <w:szCs w:val="16"/>
        </w:rPr>
        <w:softHyphen/>
        <w:t>ский). В одном Московском районе были объединены около 1000 за</w:t>
      </w:r>
      <w:r w:rsidRPr="00405303">
        <w:rPr>
          <w:bCs/>
          <w:color w:val="002060"/>
          <w:sz w:val="16"/>
          <w:szCs w:val="16"/>
        </w:rPr>
        <w:softHyphen/>
        <w:t>водов, мастерских и комитетов.</w:t>
      </w:r>
    </w:p>
    <w:p w14:paraId="5C055A15"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Для лучшей организации производства заводы были подразделе</w:t>
      </w:r>
      <w:r w:rsidRPr="00405303">
        <w:rPr>
          <w:bCs/>
          <w:color w:val="002060"/>
          <w:sz w:val="16"/>
          <w:szCs w:val="16"/>
        </w:rPr>
        <w:softHyphen/>
        <w:t>ны на группы по характеру изготовляемых изделий (подготовка ста</w:t>
      </w:r>
      <w:r w:rsidRPr="00405303">
        <w:rPr>
          <w:bCs/>
          <w:color w:val="002060"/>
          <w:sz w:val="16"/>
          <w:szCs w:val="16"/>
        </w:rPr>
        <w:softHyphen/>
        <w:t>ли, изготовление корпусов гранат, изготовление запальных стаканов, изготовление детонаторных трубок, снаряжение боеприпасов и пр.). Во главе каждой группы стоял головной завод со штатом техниче</w:t>
      </w:r>
      <w:r w:rsidRPr="00405303">
        <w:rPr>
          <w:bCs/>
          <w:color w:val="002060"/>
          <w:sz w:val="16"/>
          <w:szCs w:val="16"/>
        </w:rPr>
        <w:softHyphen/>
        <w:t>ских специалистов для оказания технической и организационной по</w:t>
      </w:r>
      <w:r w:rsidRPr="00405303">
        <w:rPr>
          <w:bCs/>
          <w:color w:val="002060"/>
          <w:sz w:val="16"/>
          <w:szCs w:val="16"/>
        </w:rPr>
        <w:softHyphen/>
        <w:t>мощи скооперированным предприятиям.</w:t>
      </w:r>
    </w:p>
    <w:p w14:paraId="545DD030"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Производство снарядов создавалось заново. Многие заводы с первых же месяцев войны растеряли значительную часть квалифи</w:t>
      </w:r>
      <w:r w:rsidRPr="00405303">
        <w:rPr>
          <w:bCs/>
          <w:color w:val="002060"/>
          <w:sz w:val="16"/>
          <w:szCs w:val="16"/>
        </w:rPr>
        <w:softHyphen/>
        <w:t>цированных рабочих и инженерно-технического персонала, призван</w:t>
      </w:r>
      <w:r w:rsidRPr="00405303">
        <w:rPr>
          <w:bCs/>
          <w:color w:val="002060"/>
          <w:sz w:val="16"/>
          <w:szCs w:val="16"/>
        </w:rPr>
        <w:softHyphen/>
        <w:t>ных на фронт.</w:t>
      </w:r>
    </w:p>
    <w:p w14:paraId="2E08A53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Заводы, ранее не имевшие дела с военной продукцией, оказались совершенно неподготовленными к быстрому налаживанию произ</w:t>
      </w:r>
      <w:r w:rsidRPr="00405303">
        <w:rPr>
          <w:bCs/>
          <w:color w:val="002060"/>
          <w:sz w:val="16"/>
          <w:szCs w:val="16"/>
        </w:rPr>
        <w:softHyphen/>
        <w:t>водства корпусов снарядов. В большинстве случаев не было соответ</w:t>
      </w:r>
      <w:r w:rsidRPr="00405303">
        <w:rPr>
          <w:bCs/>
          <w:color w:val="002060"/>
          <w:sz w:val="16"/>
          <w:szCs w:val="16"/>
        </w:rPr>
        <w:softHyphen/>
        <w:t>ствующего оборудования, навыков и приемов массового производст</w:t>
      </w:r>
      <w:r w:rsidRPr="00405303">
        <w:rPr>
          <w:bCs/>
          <w:color w:val="002060"/>
          <w:sz w:val="16"/>
          <w:szCs w:val="16"/>
        </w:rPr>
        <w:softHyphen/>
        <w:t>ва, привычки к точным работам со строгими допусками.</w:t>
      </w:r>
    </w:p>
    <w:p w14:paraId="1CB81344"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Для снаряжения взрывчатыми веществами снарядов и детонато</w:t>
      </w:r>
      <w:r w:rsidRPr="00405303">
        <w:rPr>
          <w:bCs/>
          <w:color w:val="002060"/>
          <w:sz w:val="16"/>
          <w:szCs w:val="16"/>
        </w:rPr>
        <w:softHyphen/>
        <w:t>рных трубок московский промышленник Н. А. Второе оборудовал на бывшей фабрике красителей Байера в Москве завод, рассчитанный на снаряжение 750 тыс. трехдюймовых гранат в месяц. Работы по снаряжению начались в сентябре 1915 г.</w:t>
      </w:r>
    </w:p>
    <w:p w14:paraId="5CC7E614"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Затем по договору с ГАУ Н. А. Второе начал строительство в Богородском уезде Московской губернии второго снаряжательного завода.</w:t>
      </w:r>
    </w:p>
    <w:p w14:paraId="7BD266F4"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1.8. Сведения о производстве корпусов снарядов (тыс. шт.) на Путиловском заводе в период 1914—1917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66"/>
        <w:gridCol w:w="979"/>
        <w:gridCol w:w="1085"/>
        <w:gridCol w:w="960"/>
        <w:gridCol w:w="1037"/>
      </w:tblGrid>
      <w:tr w:rsidR="0064595E" w:rsidRPr="00405303" w14:paraId="2B434277" w14:textId="77777777" w:rsidTr="00D34AC1">
        <w:trPr>
          <w:trHeight w:val="374"/>
        </w:trPr>
        <w:tc>
          <w:tcPr>
            <w:tcW w:w="2266" w:type="dxa"/>
          </w:tcPr>
          <w:p w14:paraId="51C488BD"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Корпуса снарядов 1914</w:t>
            </w:r>
          </w:p>
          <w:p w14:paraId="7BBE9C4A" w14:textId="77777777" w:rsidR="0064595E" w:rsidRPr="00405303" w:rsidRDefault="0064595E" w:rsidP="00C15251">
            <w:pPr>
              <w:shd w:val="clear" w:color="auto" w:fill="FFFFFF"/>
              <w:jc w:val="both"/>
              <w:rPr>
                <w:bCs/>
                <w:color w:val="002060"/>
                <w:sz w:val="16"/>
                <w:szCs w:val="16"/>
              </w:rPr>
            </w:pPr>
          </w:p>
        </w:tc>
        <w:tc>
          <w:tcPr>
            <w:tcW w:w="979" w:type="dxa"/>
          </w:tcPr>
          <w:p w14:paraId="5A7EB6B8"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1915</w:t>
            </w:r>
          </w:p>
          <w:p w14:paraId="4A34AA27" w14:textId="77777777" w:rsidR="0064595E" w:rsidRPr="00405303" w:rsidRDefault="0064595E" w:rsidP="00C15251">
            <w:pPr>
              <w:shd w:val="clear" w:color="auto" w:fill="FFFFFF"/>
              <w:jc w:val="both"/>
              <w:rPr>
                <w:bCs/>
                <w:color w:val="002060"/>
                <w:sz w:val="16"/>
                <w:szCs w:val="16"/>
              </w:rPr>
            </w:pPr>
          </w:p>
        </w:tc>
        <w:tc>
          <w:tcPr>
            <w:tcW w:w="1085" w:type="dxa"/>
          </w:tcPr>
          <w:p w14:paraId="617076ED"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1916</w:t>
            </w:r>
          </w:p>
          <w:p w14:paraId="328F5D5B" w14:textId="77777777" w:rsidR="0064595E" w:rsidRPr="00405303" w:rsidRDefault="0064595E" w:rsidP="00C15251">
            <w:pPr>
              <w:shd w:val="clear" w:color="auto" w:fill="FFFFFF"/>
              <w:jc w:val="both"/>
              <w:rPr>
                <w:bCs/>
                <w:color w:val="002060"/>
                <w:sz w:val="16"/>
                <w:szCs w:val="16"/>
              </w:rPr>
            </w:pPr>
          </w:p>
        </w:tc>
        <w:tc>
          <w:tcPr>
            <w:tcW w:w="960" w:type="dxa"/>
          </w:tcPr>
          <w:p w14:paraId="40FD3E2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1917</w:t>
            </w:r>
          </w:p>
          <w:p w14:paraId="4E47478C" w14:textId="77777777" w:rsidR="0064595E" w:rsidRPr="00405303" w:rsidRDefault="0064595E" w:rsidP="00C15251">
            <w:pPr>
              <w:shd w:val="clear" w:color="auto" w:fill="FFFFFF"/>
              <w:jc w:val="both"/>
              <w:rPr>
                <w:bCs/>
                <w:color w:val="002060"/>
                <w:sz w:val="16"/>
                <w:szCs w:val="16"/>
              </w:rPr>
            </w:pPr>
          </w:p>
        </w:tc>
        <w:tc>
          <w:tcPr>
            <w:tcW w:w="1037" w:type="dxa"/>
          </w:tcPr>
          <w:p w14:paraId="1F90A1B9"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Всего</w:t>
            </w:r>
          </w:p>
          <w:p w14:paraId="0A990436" w14:textId="77777777" w:rsidR="0064595E" w:rsidRPr="00405303" w:rsidRDefault="0064595E" w:rsidP="00C15251">
            <w:pPr>
              <w:shd w:val="clear" w:color="auto" w:fill="FFFFFF"/>
              <w:jc w:val="both"/>
              <w:rPr>
                <w:bCs/>
                <w:color w:val="002060"/>
                <w:sz w:val="16"/>
                <w:szCs w:val="16"/>
              </w:rPr>
            </w:pPr>
          </w:p>
        </w:tc>
      </w:tr>
      <w:tr w:rsidR="0064595E" w:rsidRPr="00405303" w14:paraId="4EB1B5BD" w14:textId="77777777" w:rsidTr="00D34AC1">
        <w:trPr>
          <w:trHeight w:val="307"/>
        </w:trPr>
        <w:tc>
          <w:tcPr>
            <w:tcW w:w="2266" w:type="dxa"/>
          </w:tcPr>
          <w:p w14:paraId="4E59A792"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76-мм шрапнелей 75,0</w:t>
            </w:r>
          </w:p>
          <w:p w14:paraId="607E6BCC" w14:textId="77777777" w:rsidR="0064595E" w:rsidRPr="00405303" w:rsidRDefault="0064595E" w:rsidP="00C15251">
            <w:pPr>
              <w:shd w:val="clear" w:color="auto" w:fill="FFFFFF"/>
              <w:jc w:val="both"/>
              <w:rPr>
                <w:bCs/>
                <w:color w:val="002060"/>
                <w:sz w:val="16"/>
                <w:szCs w:val="16"/>
              </w:rPr>
            </w:pPr>
          </w:p>
        </w:tc>
        <w:tc>
          <w:tcPr>
            <w:tcW w:w="979" w:type="dxa"/>
          </w:tcPr>
          <w:p w14:paraId="6CFA5031"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2659,0</w:t>
            </w:r>
          </w:p>
          <w:p w14:paraId="59E354E5" w14:textId="77777777" w:rsidR="0064595E" w:rsidRPr="00405303" w:rsidRDefault="0064595E" w:rsidP="00C15251">
            <w:pPr>
              <w:shd w:val="clear" w:color="auto" w:fill="FFFFFF"/>
              <w:jc w:val="both"/>
              <w:rPr>
                <w:bCs/>
                <w:color w:val="002060"/>
                <w:sz w:val="16"/>
                <w:szCs w:val="16"/>
              </w:rPr>
            </w:pPr>
          </w:p>
        </w:tc>
        <w:tc>
          <w:tcPr>
            <w:tcW w:w="1085" w:type="dxa"/>
          </w:tcPr>
          <w:p w14:paraId="013CC104"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3124,5</w:t>
            </w:r>
          </w:p>
          <w:p w14:paraId="12C5788B" w14:textId="77777777" w:rsidR="0064595E" w:rsidRPr="00405303" w:rsidRDefault="0064595E" w:rsidP="00C15251">
            <w:pPr>
              <w:shd w:val="clear" w:color="auto" w:fill="FFFFFF"/>
              <w:jc w:val="both"/>
              <w:rPr>
                <w:bCs/>
                <w:color w:val="002060"/>
                <w:sz w:val="16"/>
                <w:szCs w:val="16"/>
              </w:rPr>
            </w:pPr>
          </w:p>
        </w:tc>
        <w:tc>
          <w:tcPr>
            <w:tcW w:w="960" w:type="dxa"/>
          </w:tcPr>
          <w:p w14:paraId="3CAE27EA"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2580,4</w:t>
            </w:r>
          </w:p>
          <w:p w14:paraId="003E22ED" w14:textId="77777777" w:rsidR="0064595E" w:rsidRPr="00405303" w:rsidRDefault="0064595E" w:rsidP="00C15251">
            <w:pPr>
              <w:shd w:val="clear" w:color="auto" w:fill="FFFFFF"/>
              <w:jc w:val="both"/>
              <w:rPr>
                <w:bCs/>
                <w:color w:val="002060"/>
                <w:sz w:val="16"/>
                <w:szCs w:val="16"/>
              </w:rPr>
            </w:pPr>
          </w:p>
        </w:tc>
        <w:tc>
          <w:tcPr>
            <w:tcW w:w="1037" w:type="dxa"/>
          </w:tcPr>
          <w:p w14:paraId="6ACE90E6"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8438,9</w:t>
            </w:r>
          </w:p>
          <w:p w14:paraId="1199A73E" w14:textId="77777777" w:rsidR="0064595E" w:rsidRPr="00405303" w:rsidRDefault="0064595E" w:rsidP="00C15251">
            <w:pPr>
              <w:shd w:val="clear" w:color="auto" w:fill="FFFFFF"/>
              <w:jc w:val="both"/>
              <w:rPr>
                <w:bCs/>
                <w:color w:val="002060"/>
                <w:sz w:val="16"/>
                <w:szCs w:val="16"/>
              </w:rPr>
            </w:pPr>
          </w:p>
        </w:tc>
      </w:tr>
      <w:tr w:rsidR="0064595E" w:rsidRPr="00405303" w14:paraId="0F8C2A2E" w14:textId="77777777" w:rsidTr="00D34AC1">
        <w:trPr>
          <w:trHeight w:val="154"/>
        </w:trPr>
        <w:tc>
          <w:tcPr>
            <w:tcW w:w="2266" w:type="dxa"/>
          </w:tcPr>
          <w:p w14:paraId="1295E0B1"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 xml:space="preserve">76-мм </w:t>
            </w:r>
            <w:proofErr w:type="gramStart"/>
            <w:r w:rsidRPr="00405303">
              <w:rPr>
                <w:bCs/>
                <w:color w:val="002060"/>
                <w:sz w:val="16"/>
                <w:szCs w:val="16"/>
              </w:rPr>
              <w:t>гранат .</w:t>
            </w:r>
            <w:proofErr w:type="gramEnd"/>
            <w:r w:rsidRPr="00405303">
              <w:rPr>
                <w:bCs/>
                <w:color w:val="002060"/>
                <w:sz w:val="16"/>
                <w:szCs w:val="16"/>
              </w:rPr>
              <w:t xml:space="preserve"> —</w:t>
            </w:r>
          </w:p>
          <w:p w14:paraId="1AD98F4A" w14:textId="77777777" w:rsidR="0064595E" w:rsidRPr="00405303" w:rsidRDefault="0064595E" w:rsidP="00C15251">
            <w:pPr>
              <w:shd w:val="clear" w:color="auto" w:fill="FFFFFF"/>
              <w:jc w:val="both"/>
              <w:rPr>
                <w:bCs/>
                <w:color w:val="002060"/>
                <w:sz w:val="16"/>
                <w:szCs w:val="16"/>
              </w:rPr>
            </w:pPr>
          </w:p>
        </w:tc>
        <w:tc>
          <w:tcPr>
            <w:tcW w:w="979" w:type="dxa"/>
          </w:tcPr>
          <w:p w14:paraId="275ACB12"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218,6</w:t>
            </w:r>
          </w:p>
          <w:p w14:paraId="612D4C6D" w14:textId="77777777" w:rsidR="0064595E" w:rsidRPr="00405303" w:rsidRDefault="0064595E" w:rsidP="00C15251">
            <w:pPr>
              <w:shd w:val="clear" w:color="auto" w:fill="FFFFFF"/>
              <w:jc w:val="both"/>
              <w:rPr>
                <w:bCs/>
                <w:color w:val="002060"/>
                <w:sz w:val="16"/>
                <w:szCs w:val="16"/>
              </w:rPr>
            </w:pPr>
          </w:p>
        </w:tc>
        <w:tc>
          <w:tcPr>
            <w:tcW w:w="1085" w:type="dxa"/>
          </w:tcPr>
          <w:p w14:paraId="21D9D81A"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1996,4</w:t>
            </w:r>
          </w:p>
          <w:p w14:paraId="3D442381" w14:textId="77777777" w:rsidR="0064595E" w:rsidRPr="00405303" w:rsidRDefault="0064595E" w:rsidP="00C15251">
            <w:pPr>
              <w:shd w:val="clear" w:color="auto" w:fill="FFFFFF"/>
              <w:jc w:val="both"/>
              <w:rPr>
                <w:bCs/>
                <w:color w:val="002060"/>
                <w:sz w:val="16"/>
                <w:szCs w:val="16"/>
              </w:rPr>
            </w:pPr>
          </w:p>
        </w:tc>
        <w:tc>
          <w:tcPr>
            <w:tcW w:w="960" w:type="dxa"/>
          </w:tcPr>
          <w:p w14:paraId="7A12DF55"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798,5</w:t>
            </w:r>
          </w:p>
          <w:p w14:paraId="410EA70E" w14:textId="77777777" w:rsidR="0064595E" w:rsidRPr="00405303" w:rsidRDefault="0064595E" w:rsidP="00C15251">
            <w:pPr>
              <w:shd w:val="clear" w:color="auto" w:fill="FFFFFF"/>
              <w:jc w:val="both"/>
              <w:rPr>
                <w:bCs/>
                <w:color w:val="002060"/>
                <w:sz w:val="16"/>
                <w:szCs w:val="16"/>
              </w:rPr>
            </w:pPr>
          </w:p>
        </w:tc>
        <w:tc>
          <w:tcPr>
            <w:tcW w:w="1037" w:type="dxa"/>
          </w:tcPr>
          <w:p w14:paraId="6A2BA291"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3013,5</w:t>
            </w:r>
          </w:p>
          <w:p w14:paraId="270896C1" w14:textId="77777777" w:rsidR="0064595E" w:rsidRPr="00405303" w:rsidRDefault="0064595E" w:rsidP="00C15251">
            <w:pPr>
              <w:shd w:val="clear" w:color="auto" w:fill="FFFFFF"/>
              <w:jc w:val="both"/>
              <w:rPr>
                <w:bCs/>
                <w:color w:val="002060"/>
                <w:sz w:val="16"/>
                <w:szCs w:val="16"/>
              </w:rPr>
            </w:pPr>
          </w:p>
        </w:tc>
      </w:tr>
      <w:tr w:rsidR="0064595E" w:rsidRPr="00405303" w14:paraId="30B32AA1" w14:textId="77777777" w:rsidTr="00D34AC1">
        <w:trPr>
          <w:trHeight w:val="173"/>
        </w:trPr>
        <w:tc>
          <w:tcPr>
            <w:tcW w:w="2266" w:type="dxa"/>
          </w:tcPr>
          <w:p w14:paraId="0F3AE5C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107-мм шрапнелей —</w:t>
            </w:r>
          </w:p>
          <w:p w14:paraId="618EC110" w14:textId="77777777" w:rsidR="0064595E" w:rsidRPr="00405303" w:rsidRDefault="0064595E" w:rsidP="00C15251">
            <w:pPr>
              <w:shd w:val="clear" w:color="auto" w:fill="FFFFFF"/>
              <w:jc w:val="both"/>
              <w:rPr>
                <w:bCs/>
                <w:color w:val="002060"/>
                <w:sz w:val="16"/>
                <w:szCs w:val="16"/>
              </w:rPr>
            </w:pPr>
          </w:p>
        </w:tc>
        <w:tc>
          <w:tcPr>
            <w:tcW w:w="979" w:type="dxa"/>
          </w:tcPr>
          <w:p w14:paraId="3C91699D"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49,43</w:t>
            </w:r>
          </w:p>
          <w:p w14:paraId="318D8DF8" w14:textId="77777777" w:rsidR="0064595E" w:rsidRPr="00405303" w:rsidRDefault="0064595E" w:rsidP="00C15251">
            <w:pPr>
              <w:shd w:val="clear" w:color="auto" w:fill="FFFFFF"/>
              <w:jc w:val="both"/>
              <w:rPr>
                <w:bCs/>
                <w:color w:val="002060"/>
                <w:sz w:val="16"/>
                <w:szCs w:val="16"/>
              </w:rPr>
            </w:pPr>
          </w:p>
        </w:tc>
        <w:tc>
          <w:tcPr>
            <w:tcW w:w="1085" w:type="dxa"/>
          </w:tcPr>
          <w:p w14:paraId="1E8C2615"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107,48</w:t>
            </w:r>
          </w:p>
          <w:p w14:paraId="019DB5F2" w14:textId="77777777" w:rsidR="0064595E" w:rsidRPr="00405303" w:rsidRDefault="0064595E" w:rsidP="00C15251">
            <w:pPr>
              <w:shd w:val="clear" w:color="auto" w:fill="FFFFFF"/>
              <w:jc w:val="both"/>
              <w:rPr>
                <w:bCs/>
                <w:color w:val="002060"/>
                <w:sz w:val="16"/>
                <w:szCs w:val="16"/>
              </w:rPr>
            </w:pPr>
          </w:p>
        </w:tc>
        <w:tc>
          <w:tcPr>
            <w:tcW w:w="960" w:type="dxa"/>
          </w:tcPr>
          <w:p w14:paraId="1A59AEE0"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62,41</w:t>
            </w:r>
          </w:p>
          <w:p w14:paraId="7D96966C" w14:textId="77777777" w:rsidR="0064595E" w:rsidRPr="00405303" w:rsidRDefault="0064595E" w:rsidP="00C15251">
            <w:pPr>
              <w:shd w:val="clear" w:color="auto" w:fill="FFFFFF"/>
              <w:jc w:val="both"/>
              <w:rPr>
                <w:bCs/>
                <w:color w:val="002060"/>
                <w:sz w:val="16"/>
                <w:szCs w:val="16"/>
              </w:rPr>
            </w:pPr>
          </w:p>
        </w:tc>
        <w:tc>
          <w:tcPr>
            <w:tcW w:w="1037" w:type="dxa"/>
          </w:tcPr>
          <w:p w14:paraId="1515AAC8"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218,32</w:t>
            </w:r>
          </w:p>
          <w:p w14:paraId="7B4567FC" w14:textId="77777777" w:rsidR="0064595E" w:rsidRPr="00405303" w:rsidRDefault="0064595E" w:rsidP="00C15251">
            <w:pPr>
              <w:shd w:val="clear" w:color="auto" w:fill="FFFFFF"/>
              <w:jc w:val="both"/>
              <w:rPr>
                <w:bCs/>
                <w:color w:val="002060"/>
                <w:sz w:val="16"/>
                <w:szCs w:val="16"/>
              </w:rPr>
            </w:pPr>
          </w:p>
        </w:tc>
      </w:tr>
      <w:tr w:rsidR="0064595E" w:rsidRPr="00405303" w14:paraId="2556E1E8" w14:textId="77777777" w:rsidTr="00D34AC1">
        <w:trPr>
          <w:trHeight w:val="163"/>
        </w:trPr>
        <w:tc>
          <w:tcPr>
            <w:tcW w:w="2266" w:type="dxa"/>
          </w:tcPr>
          <w:p w14:paraId="64773488"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107-мм бомб —</w:t>
            </w:r>
          </w:p>
          <w:p w14:paraId="4C2741A3" w14:textId="77777777" w:rsidR="0064595E" w:rsidRPr="00405303" w:rsidRDefault="0064595E" w:rsidP="00C15251">
            <w:pPr>
              <w:shd w:val="clear" w:color="auto" w:fill="FFFFFF"/>
              <w:jc w:val="both"/>
              <w:rPr>
                <w:bCs/>
                <w:color w:val="002060"/>
                <w:sz w:val="16"/>
                <w:szCs w:val="16"/>
              </w:rPr>
            </w:pPr>
          </w:p>
        </w:tc>
        <w:tc>
          <w:tcPr>
            <w:tcW w:w="979" w:type="dxa"/>
          </w:tcPr>
          <w:p w14:paraId="190DEA33"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63,25</w:t>
            </w:r>
          </w:p>
          <w:p w14:paraId="45DE7427" w14:textId="77777777" w:rsidR="0064595E" w:rsidRPr="00405303" w:rsidRDefault="0064595E" w:rsidP="00C15251">
            <w:pPr>
              <w:shd w:val="clear" w:color="auto" w:fill="FFFFFF"/>
              <w:jc w:val="both"/>
              <w:rPr>
                <w:bCs/>
                <w:color w:val="002060"/>
                <w:sz w:val="16"/>
                <w:szCs w:val="16"/>
              </w:rPr>
            </w:pPr>
          </w:p>
        </w:tc>
        <w:tc>
          <w:tcPr>
            <w:tcW w:w="1085" w:type="dxa"/>
          </w:tcPr>
          <w:p w14:paraId="021ADCE8"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148,1</w:t>
            </w:r>
          </w:p>
          <w:p w14:paraId="5B995080" w14:textId="77777777" w:rsidR="0064595E" w:rsidRPr="00405303" w:rsidRDefault="0064595E" w:rsidP="00C15251">
            <w:pPr>
              <w:shd w:val="clear" w:color="auto" w:fill="FFFFFF"/>
              <w:jc w:val="both"/>
              <w:rPr>
                <w:bCs/>
                <w:color w:val="002060"/>
                <w:sz w:val="16"/>
                <w:szCs w:val="16"/>
              </w:rPr>
            </w:pPr>
          </w:p>
        </w:tc>
        <w:tc>
          <w:tcPr>
            <w:tcW w:w="960" w:type="dxa"/>
          </w:tcPr>
          <w:p w14:paraId="23B21C64"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301,38</w:t>
            </w:r>
          </w:p>
          <w:p w14:paraId="02F7E34D" w14:textId="77777777" w:rsidR="0064595E" w:rsidRPr="00405303" w:rsidRDefault="0064595E" w:rsidP="00C15251">
            <w:pPr>
              <w:shd w:val="clear" w:color="auto" w:fill="FFFFFF"/>
              <w:jc w:val="both"/>
              <w:rPr>
                <w:bCs/>
                <w:color w:val="002060"/>
                <w:sz w:val="16"/>
                <w:szCs w:val="16"/>
              </w:rPr>
            </w:pPr>
          </w:p>
        </w:tc>
        <w:tc>
          <w:tcPr>
            <w:tcW w:w="1037" w:type="dxa"/>
          </w:tcPr>
          <w:p w14:paraId="7AD7B292"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512,73</w:t>
            </w:r>
          </w:p>
          <w:p w14:paraId="3FEA94AF" w14:textId="77777777" w:rsidR="0064595E" w:rsidRPr="00405303" w:rsidRDefault="0064595E" w:rsidP="00C15251">
            <w:pPr>
              <w:shd w:val="clear" w:color="auto" w:fill="FFFFFF"/>
              <w:jc w:val="both"/>
              <w:rPr>
                <w:bCs/>
                <w:color w:val="002060"/>
                <w:sz w:val="16"/>
                <w:szCs w:val="16"/>
              </w:rPr>
            </w:pPr>
          </w:p>
        </w:tc>
      </w:tr>
      <w:tr w:rsidR="0064595E" w:rsidRPr="00405303" w14:paraId="24B415FB" w14:textId="77777777" w:rsidTr="00D34AC1">
        <w:trPr>
          <w:trHeight w:val="192"/>
        </w:trPr>
        <w:tc>
          <w:tcPr>
            <w:tcW w:w="2266" w:type="dxa"/>
          </w:tcPr>
          <w:p w14:paraId="11253D14"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122-мм шрапнелей —</w:t>
            </w:r>
          </w:p>
          <w:p w14:paraId="5CA4D9CB" w14:textId="77777777" w:rsidR="0064595E" w:rsidRPr="00405303" w:rsidRDefault="0064595E" w:rsidP="00C15251">
            <w:pPr>
              <w:shd w:val="clear" w:color="auto" w:fill="FFFFFF"/>
              <w:jc w:val="both"/>
              <w:rPr>
                <w:bCs/>
                <w:color w:val="002060"/>
                <w:sz w:val="16"/>
                <w:szCs w:val="16"/>
              </w:rPr>
            </w:pPr>
          </w:p>
        </w:tc>
        <w:tc>
          <w:tcPr>
            <w:tcW w:w="979" w:type="dxa"/>
          </w:tcPr>
          <w:p w14:paraId="3B441D0F"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lastRenderedPageBreak/>
              <w:t>16,5</w:t>
            </w:r>
          </w:p>
          <w:p w14:paraId="3F1B99E6" w14:textId="77777777" w:rsidR="0064595E" w:rsidRPr="00405303" w:rsidRDefault="0064595E" w:rsidP="00C15251">
            <w:pPr>
              <w:shd w:val="clear" w:color="auto" w:fill="FFFFFF"/>
              <w:jc w:val="both"/>
              <w:rPr>
                <w:bCs/>
                <w:color w:val="002060"/>
                <w:sz w:val="16"/>
                <w:szCs w:val="16"/>
              </w:rPr>
            </w:pPr>
          </w:p>
        </w:tc>
        <w:tc>
          <w:tcPr>
            <w:tcW w:w="1085" w:type="dxa"/>
          </w:tcPr>
          <w:p w14:paraId="20EBD10B"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lastRenderedPageBreak/>
              <w:t>4,7</w:t>
            </w:r>
          </w:p>
          <w:p w14:paraId="11BF4739" w14:textId="77777777" w:rsidR="0064595E" w:rsidRPr="00405303" w:rsidRDefault="0064595E" w:rsidP="00C15251">
            <w:pPr>
              <w:shd w:val="clear" w:color="auto" w:fill="FFFFFF"/>
              <w:jc w:val="both"/>
              <w:rPr>
                <w:bCs/>
                <w:color w:val="002060"/>
                <w:sz w:val="16"/>
                <w:szCs w:val="16"/>
              </w:rPr>
            </w:pPr>
          </w:p>
        </w:tc>
        <w:tc>
          <w:tcPr>
            <w:tcW w:w="960" w:type="dxa"/>
          </w:tcPr>
          <w:p w14:paraId="721C2055"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lastRenderedPageBreak/>
              <w:t>—</w:t>
            </w:r>
          </w:p>
          <w:p w14:paraId="3C1159C9" w14:textId="77777777" w:rsidR="0064595E" w:rsidRPr="00405303" w:rsidRDefault="0064595E" w:rsidP="00C15251">
            <w:pPr>
              <w:shd w:val="clear" w:color="auto" w:fill="FFFFFF"/>
              <w:jc w:val="both"/>
              <w:rPr>
                <w:bCs/>
                <w:color w:val="002060"/>
                <w:sz w:val="16"/>
                <w:szCs w:val="16"/>
              </w:rPr>
            </w:pPr>
          </w:p>
        </w:tc>
        <w:tc>
          <w:tcPr>
            <w:tcW w:w="1037" w:type="dxa"/>
          </w:tcPr>
          <w:p w14:paraId="00AE4612"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lastRenderedPageBreak/>
              <w:t>21,2</w:t>
            </w:r>
          </w:p>
          <w:p w14:paraId="38C2D00B" w14:textId="77777777" w:rsidR="0064595E" w:rsidRPr="00405303" w:rsidRDefault="0064595E" w:rsidP="00C15251">
            <w:pPr>
              <w:shd w:val="clear" w:color="auto" w:fill="FFFFFF"/>
              <w:jc w:val="both"/>
              <w:rPr>
                <w:bCs/>
                <w:color w:val="002060"/>
                <w:sz w:val="16"/>
                <w:szCs w:val="16"/>
              </w:rPr>
            </w:pPr>
          </w:p>
        </w:tc>
      </w:tr>
      <w:tr w:rsidR="0064595E" w:rsidRPr="00405303" w14:paraId="1B9659AC" w14:textId="77777777" w:rsidTr="00D34AC1">
        <w:trPr>
          <w:trHeight w:val="154"/>
        </w:trPr>
        <w:tc>
          <w:tcPr>
            <w:tcW w:w="2266" w:type="dxa"/>
          </w:tcPr>
          <w:p w14:paraId="2BBC1746"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lastRenderedPageBreak/>
              <w:t>122-мм бомб —</w:t>
            </w:r>
          </w:p>
          <w:p w14:paraId="69D5B124" w14:textId="77777777" w:rsidR="0064595E" w:rsidRPr="00405303" w:rsidRDefault="0064595E" w:rsidP="00C15251">
            <w:pPr>
              <w:shd w:val="clear" w:color="auto" w:fill="FFFFFF"/>
              <w:jc w:val="both"/>
              <w:rPr>
                <w:bCs/>
                <w:color w:val="002060"/>
                <w:sz w:val="16"/>
                <w:szCs w:val="16"/>
              </w:rPr>
            </w:pPr>
          </w:p>
        </w:tc>
        <w:tc>
          <w:tcPr>
            <w:tcW w:w="979" w:type="dxa"/>
          </w:tcPr>
          <w:p w14:paraId="45F9B4A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1,07</w:t>
            </w:r>
          </w:p>
          <w:p w14:paraId="179541B1" w14:textId="77777777" w:rsidR="0064595E" w:rsidRPr="00405303" w:rsidRDefault="0064595E" w:rsidP="00C15251">
            <w:pPr>
              <w:shd w:val="clear" w:color="auto" w:fill="FFFFFF"/>
              <w:jc w:val="both"/>
              <w:rPr>
                <w:bCs/>
                <w:color w:val="002060"/>
                <w:sz w:val="16"/>
                <w:szCs w:val="16"/>
              </w:rPr>
            </w:pPr>
          </w:p>
        </w:tc>
        <w:tc>
          <w:tcPr>
            <w:tcW w:w="1085" w:type="dxa"/>
          </w:tcPr>
          <w:p w14:paraId="5405EBE8"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274,38</w:t>
            </w:r>
          </w:p>
          <w:p w14:paraId="0237FD80" w14:textId="77777777" w:rsidR="0064595E" w:rsidRPr="00405303" w:rsidRDefault="0064595E" w:rsidP="00C15251">
            <w:pPr>
              <w:shd w:val="clear" w:color="auto" w:fill="FFFFFF"/>
              <w:jc w:val="both"/>
              <w:rPr>
                <w:bCs/>
                <w:color w:val="002060"/>
                <w:sz w:val="16"/>
                <w:szCs w:val="16"/>
              </w:rPr>
            </w:pPr>
          </w:p>
        </w:tc>
        <w:tc>
          <w:tcPr>
            <w:tcW w:w="960" w:type="dxa"/>
          </w:tcPr>
          <w:p w14:paraId="3904BF4A"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324,77</w:t>
            </w:r>
          </w:p>
          <w:p w14:paraId="062B3EAC" w14:textId="77777777" w:rsidR="0064595E" w:rsidRPr="00405303" w:rsidRDefault="0064595E" w:rsidP="00C15251">
            <w:pPr>
              <w:shd w:val="clear" w:color="auto" w:fill="FFFFFF"/>
              <w:jc w:val="both"/>
              <w:rPr>
                <w:bCs/>
                <w:color w:val="002060"/>
                <w:sz w:val="16"/>
                <w:szCs w:val="16"/>
              </w:rPr>
            </w:pPr>
          </w:p>
        </w:tc>
        <w:tc>
          <w:tcPr>
            <w:tcW w:w="1037" w:type="dxa"/>
          </w:tcPr>
          <w:p w14:paraId="44100D39"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600,22</w:t>
            </w:r>
          </w:p>
          <w:p w14:paraId="36D81B26" w14:textId="77777777" w:rsidR="0064595E" w:rsidRPr="00405303" w:rsidRDefault="0064595E" w:rsidP="00C15251">
            <w:pPr>
              <w:shd w:val="clear" w:color="auto" w:fill="FFFFFF"/>
              <w:jc w:val="both"/>
              <w:rPr>
                <w:bCs/>
                <w:color w:val="002060"/>
                <w:sz w:val="16"/>
                <w:szCs w:val="16"/>
              </w:rPr>
            </w:pPr>
          </w:p>
        </w:tc>
      </w:tr>
      <w:tr w:rsidR="0064595E" w:rsidRPr="00405303" w14:paraId="036C27E0" w14:textId="77777777" w:rsidTr="00D34AC1">
        <w:trPr>
          <w:trHeight w:val="173"/>
        </w:trPr>
        <w:tc>
          <w:tcPr>
            <w:tcW w:w="2266" w:type="dxa"/>
          </w:tcPr>
          <w:p w14:paraId="71FADF4B"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152-мм бомб —</w:t>
            </w:r>
          </w:p>
          <w:p w14:paraId="405528D9" w14:textId="77777777" w:rsidR="0064595E" w:rsidRPr="00405303" w:rsidRDefault="0064595E" w:rsidP="00C15251">
            <w:pPr>
              <w:shd w:val="clear" w:color="auto" w:fill="FFFFFF"/>
              <w:jc w:val="both"/>
              <w:rPr>
                <w:bCs/>
                <w:color w:val="002060"/>
                <w:sz w:val="16"/>
                <w:szCs w:val="16"/>
              </w:rPr>
            </w:pPr>
          </w:p>
        </w:tc>
        <w:tc>
          <w:tcPr>
            <w:tcW w:w="979" w:type="dxa"/>
          </w:tcPr>
          <w:p w14:paraId="1E0CD630"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6,13</w:t>
            </w:r>
          </w:p>
          <w:p w14:paraId="6D81C29B" w14:textId="77777777" w:rsidR="0064595E" w:rsidRPr="00405303" w:rsidRDefault="0064595E" w:rsidP="00C15251">
            <w:pPr>
              <w:shd w:val="clear" w:color="auto" w:fill="FFFFFF"/>
              <w:jc w:val="both"/>
              <w:rPr>
                <w:bCs/>
                <w:color w:val="002060"/>
                <w:sz w:val="16"/>
                <w:szCs w:val="16"/>
              </w:rPr>
            </w:pPr>
          </w:p>
        </w:tc>
        <w:tc>
          <w:tcPr>
            <w:tcW w:w="1085" w:type="dxa"/>
          </w:tcPr>
          <w:p w14:paraId="2613A5FA"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369,69</w:t>
            </w:r>
          </w:p>
          <w:p w14:paraId="5AD3306D" w14:textId="77777777" w:rsidR="0064595E" w:rsidRPr="00405303" w:rsidRDefault="0064595E" w:rsidP="00C15251">
            <w:pPr>
              <w:shd w:val="clear" w:color="auto" w:fill="FFFFFF"/>
              <w:jc w:val="both"/>
              <w:rPr>
                <w:bCs/>
                <w:color w:val="002060"/>
                <w:sz w:val="16"/>
                <w:szCs w:val="16"/>
              </w:rPr>
            </w:pPr>
          </w:p>
        </w:tc>
        <w:tc>
          <w:tcPr>
            <w:tcW w:w="960" w:type="dxa"/>
          </w:tcPr>
          <w:p w14:paraId="72F59FCF"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619,6</w:t>
            </w:r>
          </w:p>
          <w:p w14:paraId="5400BCB6" w14:textId="77777777" w:rsidR="0064595E" w:rsidRPr="00405303" w:rsidRDefault="0064595E" w:rsidP="00C15251">
            <w:pPr>
              <w:shd w:val="clear" w:color="auto" w:fill="FFFFFF"/>
              <w:jc w:val="both"/>
              <w:rPr>
                <w:bCs/>
                <w:color w:val="002060"/>
                <w:sz w:val="16"/>
                <w:szCs w:val="16"/>
              </w:rPr>
            </w:pPr>
          </w:p>
        </w:tc>
        <w:tc>
          <w:tcPr>
            <w:tcW w:w="1037" w:type="dxa"/>
          </w:tcPr>
          <w:p w14:paraId="3B547D57"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995,5</w:t>
            </w:r>
          </w:p>
          <w:p w14:paraId="335949AC" w14:textId="77777777" w:rsidR="0064595E" w:rsidRPr="00405303" w:rsidRDefault="0064595E" w:rsidP="00C15251">
            <w:pPr>
              <w:shd w:val="clear" w:color="auto" w:fill="FFFFFF"/>
              <w:jc w:val="both"/>
              <w:rPr>
                <w:bCs/>
                <w:color w:val="002060"/>
                <w:sz w:val="16"/>
                <w:szCs w:val="16"/>
              </w:rPr>
            </w:pPr>
          </w:p>
        </w:tc>
      </w:tr>
      <w:tr w:rsidR="0064595E" w:rsidRPr="00405303" w14:paraId="6BCE094A" w14:textId="77777777" w:rsidTr="00D34AC1">
        <w:trPr>
          <w:trHeight w:val="173"/>
        </w:trPr>
        <w:tc>
          <w:tcPr>
            <w:tcW w:w="2266" w:type="dxa"/>
          </w:tcPr>
          <w:p w14:paraId="67426E6D"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280-мм бомб —</w:t>
            </w:r>
          </w:p>
          <w:p w14:paraId="7A933252" w14:textId="77777777" w:rsidR="0064595E" w:rsidRPr="00405303" w:rsidRDefault="0064595E" w:rsidP="00C15251">
            <w:pPr>
              <w:shd w:val="clear" w:color="auto" w:fill="FFFFFF"/>
              <w:jc w:val="both"/>
              <w:rPr>
                <w:bCs/>
                <w:color w:val="002060"/>
                <w:sz w:val="16"/>
                <w:szCs w:val="16"/>
              </w:rPr>
            </w:pPr>
          </w:p>
        </w:tc>
        <w:tc>
          <w:tcPr>
            <w:tcW w:w="979" w:type="dxa"/>
          </w:tcPr>
          <w:p w14:paraId="7BFE751D"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0,818</w:t>
            </w:r>
          </w:p>
          <w:p w14:paraId="6BDFC727" w14:textId="77777777" w:rsidR="0064595E" w:rsidRPr="00405303" w:rsidRDefault="0064595E" w:rsidP="00C15251">
            <w:pPr>
              <w:shd w:val="clear" w:color="auto" w:fill="FFFFFF"/>
              <w:jc w:val="both"/>
              <w:rPr>
                <w:bCs/>
                <w:color w:val="002060"/>
                <w:sz w:val="16"/>
                <w:szCs w:val="16"/>
              </w:rPr>
            </w:pPr>
          </w:p>
        </w:tc>
        <w:tc>
          <w:tcPr>
            <w:tcW w:w="1085" w:type="dxa"/>
          </w:tcPr>
          <w:p w14:paraId="02E8197C"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2,252</w:t>
            </w:r>
          </w:p>
          <w:p w14:paraId="1D265655" w14:textId="77777777" w:rsidR="0064595E" w:rsidRPr="00405303" w:rsidRDefault="0064595E" w:rsidP="00C15251">
            <w:pPr>
              <w:shd w:val="clear" w:color="auto" w:fill="FFFFFF"/>
              <w:jc w:val="both"/>
              <w:rPr>
                <w:bCs/>
                <w:color w:val="002060"/>
                <w:sz w:val="16"/>
                <w:szCs w:val="16"/>
              </w:rPr>
            </w:pPr>
          </w:p>
        </w:tc>
        <w:tc>
          <w:tcPr>
            <w:tcW w:w="960" w:type="dxa"/>
          </w:tcPr>
          <w:p w14:paraId="62CABBC4"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3.074</w:t>
            </w:r>
          </w:p>
          <w:p w14:paraId="16924A96" w14:textId="77777777" w:rsidR="0064595E" w:rsidRPr="00405303" w:rsidRDefault="0064595E" w:rsidP="00C15251">
            <w:pPr>
              <w:shd w:val="clear" w:color="auto" w:fill="FFFFFF"/>
              <w:jc w:val="both"/>
              <w:rPr>
                <w:bCs/>
                <w:color w:val="002060"/>
                <w:sz w:val="16"/>
                <w:szCs w:val="16"/>
              </w:rPr>
            </w:pPr>
          </w:p>
        </w:tc>
        <w:tc>
          <w:tcPr>
            <w:tcW w:w="1037" w:type="dxa"/>
          </w:tcPr>
          <w:p w14:paraId="0544240D"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6,144</w:t>
            </w:r>
          </w:p>
          <w:p w14:paraId="2227CC1C" w14:textId="77777777" w:rsidR="0064595E" w:rsidRPr="00405303" w:rsidRDefault="0064595E" w:rsidP="00C15251">
            <w:pPr>
              <w:shd w:val="clear" w:color="auto" w:fill="FFFFFF"/>
              <w:jc w:val="both"/>
              <w:rPr>
                <w:bCs/>
                <w:color w:val="002060"/>
                <w:sz w:val="16"/>
                <w:szCs w:val="16"/>
              </w:rPr>
            </w:pPr>
          </w:p>
        </w:tc>
      </w:tr>
      <w:tr w:rsidR="0064595E" w:rsidRPr="00405303" w14:paraId="5E1F024A" w14:textId="77777777" w:rsidTr="00D34AC1">
        <w:trPr>
          <w:trHeight w:val="365"/>
        </w:trPr>
        <w:tc>
          <w:tcPr>
            <w:tcW w:w="2266" w:type="dxa"/>
          </w:tcPr>
          <w:p w14:paraId="5A4741C9"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305-мм бомб —</w:t>
            </w:r>
          </w:p>
          <w:p w14:paraId="7AB3970E" w14:textId="77777777" w:rsidR="0064595E" w:rsidRPr="00405303" w:rsidRDefault="0064595E" w:rsidP="00C15251">
            <w:pPr>
              <w:shd w:val="clear" w:color="auto" w:fill="FFFFFF"/>
              <w:jc w:val="both"/>
              <w:rPr>
                <w:bCs/>
                <w:color w:val="002060"/>
                <w:sz w:val="16"/>
                <w:szCs w:val="16"/>
              </w:rPr>
            </w:pPr>
          </w:p>
        </w:tc>
        <w:tc>
          <w:tcPr>
            <w:tcW w:w="979" w:type="dxa"/>
          </w:tcPr>
          <w:p w14:paraId="56B6E886"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w:t>
            </w:r>
          </w:p>
          <w:p w14:paraId="42034102" w14:textId="77777777" w:rsidR="0064595E" w:rsidRPr="00405303" w:rsidRDefault="0064595E" w:rsidP="00C15251">
            <w:pPr>
              <w:shd w:val="clear" w:color="auto" w:fill="FFFFFF"/>
              <w:jc w:val="both"/>
              <w:rPr>
                <w:bCs/>
                <w:color w:val="002060"/>
                <w:sz w:val="16"/>
                <w:szCs w:val="16"/>
              </w:rPr>
            </w:pPr>
          </w:p>
        </w:tc>
        <w:tc>
          <w:tcPr>
            <w:tcW w:w="1085" w:type="dxa"/>
          </w:tcPr>
          <w:p w14:paraId="11E1CBE3"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0,506</w:t>
            </w:r>
          </w:p>
          <w:p w14:paraId="1E5774FF" w14:textId="77777777" w:rsidR="0064595E" w:rsidRPr="00405303" w:rsidRDefault="0064595E" w:rsidP="00C15251">
            <w:pPr>
              <w:shd w:val="clear" w:color="auto" w:fill="FFFFFF"/>
              <w:jc w:val="both"/>
              <w:rPr>
                <w:bCs/>
                <w:color w:val="002060"/>
                <w:sz w:val="16"/>
                <w:szCs w:val="16"/>
              </w:rPr>
            </w:pPr>
          </w:p>
        </w:tc>
        <w:tc>
          <w:tcPr>
            <w:tcW w:w="960" w:type="dxa"/>
          </w:tcPr>
          <w:p w14:paraId="1C301096"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0,298</w:t>
            </w:r>
          </w:p>
          <w:p w14:paraId="7AF91BF0" w14:textId="77777777" w:rsidR="0064595E" w:rsidRPr="00405303" w:rsidRDefault="0064595E" w:rsidP="00C15251">
            <w:pPr>
              <w:shd w:val="clear" w:color="auto" w:fill="FFFFFF"/>
              <w:jc w:val="both"/>
              <w:rPr>
                <w:bCs/>
                <w:color w:val="002060"/>
                <w:sz w:val="16"/>
                <w:szCs w:val="16"/>
              </w:rPr>
            </w:pPr>
          </w:p>
        </w:tc>
        <w:tc>
          <w:tcPr>
            <w:tcW w:w="1037" w:type="dxa"/>
          </w:tcPr>
          <w:p w14:paraId="41B1B109"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0,804</w:t>
            </w:r>
          </w:p>
          <w:p w14:paraId="58E18102" w14:textId="77777777" w:rsidR="0064595E" w:rsidRPr="00405303" w:rsidRDefault="0064595E" w:rsidP="00C15251">
            <w:pPr>
              <w:shd w:val="clear" w:color="auto" w:fill="FFFFFF"/>
              <w:jc w:val="both"/>
              <w:rPr>
                <w:bCs/>
                <w:color w:val="002060"/>
                <w:sz w:val="16"/>
                <w:szCs w:val="16"/>
              </w:rPr>
            </w:pPr>
          </w:p>
        </w:tc>
      </w:tr>
    </w:tbl>
    <w:p w14:paraId="66A7C58B"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Всего на Московском снаряжательном заводе с января 1916 г. по декабрь 1917 г. было изготовлено 4971 тыс. снарядов разных калиб</w:t>
      </w:r>
      <w:r w:rsidRPr="00405303">
        <w:rPr>
          <w:bCs/>
          <w:color w:val="002060"/>
          <w:sz w:val="16"/>
          <w:szCs w:val="16"/>
        </w:rPr>
        <w:softHyphen/>
        <w:t>ров.</w:t>
      </w:r>
    </w:p>
    <w:p w14:paraId="4D525E94"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С мая 1915 г. по январь 1918 г. генерал С. Н. Банков заключил 442 договора с различными предприятиями, включенными в его ор</w:t>
      </w:r>
      <w:r w:rsidRPr="00405303">
        <w:rPr>
          <w:bCs/>
          <w:color w:val="002060"/>
          <w:sz w:val="16"/>
          <w:szCs w:val="16"/>
        </w:rPr>
        <w:softHyphen/>
        <w:t>ганизацию. До конца 1917г. организация С. Н. Ванкова поставила в армию более 14 млн корпусов снарядов, в том числе 13 млн 683 тыс. 76-мм гранат — почти половину всех 76-мм гранат, изготовленных в России за годы войны. Организация С. Н. Ванкова изготовила также около полумиллиона корпусов 152-мм бомб. На фронт было отправ</w:t>
      </w:r>
      <w:r w:rsidRPr="00405303">
        <w:rPr>
          <w:bCs/>
          <w:color w:val="002060"/>
          <w:sz w:val="16"/>
          <w:szCs w:val="16"/>
        </w:rPr>
        <w:softHyphen/>
        <w:t>лено 8399236 шт. окончательно снаряженных 76-мм гранат и 225911 шт. 152-мм бомб (табл. 1.9) [5, с. 197].</w:t>
      </w:r>
    </w:p>
    <w:p w14:paraId="6C0341FC"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1.9. Производство снарядов организацией уполномоченного ГАУ С. Н. Ванкова с сентября 1915 г. по декабрь 1917 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014"/>
        <w:gridCol w:w="1277"/>
        <w:gridCol w:w="998"/>
        <w:gridCol w:w="1114"/>
      </w:tblGrid>
      <w:tr w:rsidR="0064595E" w:rsidRPr="00405303" w14:paraId="233A0118" w14:textId="77777777" w:rsidTr="00D34AC1">
        <w:trPr>
          <w:trHeight w:val="355"/>
        </w:trPr>
        <w:tc>
          <w:tcPr>
            <w:tcW w:w="3014" w:type="dxa"/>
          </w:tcPr>
          <w:p w14:paraId="540741C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Название изделий</w:t>
            </w:r>
          </w:p>
          <w:p w14:paraId="35744CFC" w14:textId="77777777" w:rsidR="0064595E" w:rsidRPr="00405303" w:rsidRDefault="0064595E" w:rsidP="00C15251">
            <w:pPr>
              <w:shd w:val="clear" w:color="auto" w:fill="FFFFFF"/>
              <w:jc w:val="both"/>
              <w:rPr>
                <w:bCs/>
                <w:color w:val="002060"/>
                <w:sz w:val="16"/>
                <w:szCs w:val="16"/>
              </w:rPr>
            </w:pPr>
          </w:p>
        </w:tc>
        <w:tc>
          <w:tcPr>
            <w:tcW w:w="1277" w:type="dxa"/>
          </w:tcPr>
          <w:p w14:paraId="49BA2E85"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Всего принято</w:t>
            </w:r>
          </w:p>
          <w:p w14:paraId="06978F65" w14:textId="77777777" w:rsidR="0064595E" w:rsidRPr="00405303" w:rsidRDefault="0064595E" w:rsidP="00C15251">
            <w:pPr>
              <w:shd w:val="clear" w:color="auto" w:fill="FFFFFF"/>
              <w:jc w:val="both"/>
              <w:rPr>
                <w:bCs/>
                <w:color w:val="002060"/>
                <w:sz w:val="16"/>
                <w:szCs w:val="16"/>
              </w:rPr>
            </w:pPr>
          </w:p>
        </w:tc>
        <w:tc>
          <w:tcPr>
            <w:tcW w:w="2112" w:type="dxa"/>
            <w:gridSpan w:val="2"/>
          </w:tcPr>
          <w:p w14:paraId="7F64B874"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Из этого числа</w:t>
            </w:r>
          </w:p>
          <w:p w14:paraId="56054522" w14:textId="77777777" w:rsidR="0064595E" w:rsidRPr="00405303" w:rsidRDefault="0064595E" w:rsidP="00C15251">
            <w:pPr>
              <w:shd w:val="clear" w:color="auto" w:fill="FFFFFF"/>
              <w:jc w:val="both"/>
              <w:rPr>
                <w:bCs/>
                <w:color w:val="002060"/>
                <w:sz w:val="16"/>
                <w:szCs w:val="16"/>
              </w:rPr>
            </w:pPr>
          </w:p>
        </w:tc>
      </w:tr>
      <w:tr w:rsidR="0064595E" w:rsidRPr="00405303" w14:paraId="2AC9DA92" w14:textId="77777777" w:rsidTr="00D34AC1">
        <w:trPr>
          <w:trHeight w:val="269"/>
        </w:trPr>
        <w:tc>
          <w:tcPr>
            <w:tcW w:w="3014" w:type="dxa"/>
          </w:tcPr>
          <w:p w14:paraId="0348C419" w14:textId="77777777" w:rsidR="0064595E" w:rsidRPr="00405303" w:rsidRDefault="0064595E" w:rsidP="00C15251">
            <w:pPr>
              <w:shd w:val="clear" w:color="auto" w:fill="FFFFFF"/>
              <w:jc w:val="both"/>
              <w:rPr>
                <w:bCs/>
                <w:color w:val="002060"/>
                <w:sz w:val="16"/>
                <w:szCs w:val="16"/>
              </w:rPr>
            </w:pPr>
          </w:p>
          <w:p w14:paraId="1997A669" w14:textId="77777777" w:rsidR="0064595E" w:rsidRPr="00405303" w:rsidRDefault="0064595E" w:rsidP="00C15251">
            <w:pPr>
              <w:shd w:val="clear" w:color="auto" w:fill="FFFFFF"/>
              <w:jc w:val="both"/>
              <w:rPr>
                <w:bCs/>
                <w:color w:val="002060"/>
                <w:sz w:val="16"/>
                <w:szCs w:val="16"/>
              </w:rPr>
            </w:pPr>
          </w:p>
        </w:tc>
        <w:tc>
          <w:tcPr>
            <w:tcW w:w="1277" w:type="dxa"/>
          </w:tcPr>
          <w:p w14:paraId="69D7CDE1"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с заводов до 1 января 1918 г.</w:t>
            </w:r>
          </w:p>
          <w:p w14:paraId="17022960" w14:textId="77777777" w:rsidR="0064595E" w:rsidRPr="00405303" w:rsidRDefault="0064595E" w:rsidP="00C15251">
            <w:pPr>
              <w:shd w:val="clear" w:color="auto" w:fill="FFFFFF"/>
              <w:jc w:val="both"/>
              <w:rPr>
                <w:bCs/>
                <w:color w:val="002060"/>
                <w:sz w:val="16"/>
                <w:szCs w:val="16"/>
              </w:rPr>
            </w:pPr>
          </w:p>
        </w:tc>
        <w:tc>
          <w:tcPr>
            <w:tcW w:w="998" w:type="dxa"/>
          </w:tcPr>
          <w:p w14:paraId="48FA0C49"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сдано окон-</w:t>
            </w:r>
          </w:p>
          <w:p w14:paraId="3BB62024" w14:textId="77777777" w:rsidR="0064595E" w:rsidRPr="00405303" w:rsidRDefault="0064595E" w:rsidP="00C15251">
            <w:pPr>
              <w:shd w:val="clear" w:color="auto" w:fill="FFFFFF"/>
              <w:jc w:val="both"/>
              <w:rPr>
                <w:bCs/>
                <w:color w:val="002060"/>
                <w:sz w:val="16"/>
                <w:szCs w:val="16"/>
              </w:rPr>
            </w:pPr>
          </w:p>
        </w:tc>
        <w:tc>
          <w:tcPr>
            <w:tcW w:w="1114" w:type="dxa"/>
          </w:tcPr>
          <w:p w14:paraId="54FBD3D4"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выдано для</w:t>
            </w:r>
          </w:p>
          <w:p w14:paraId="5BFA422F" w14:textId="77777777" w:rsidR="0064595E" w:rsidRPr="00405303" w:rsidRDefault="0064595E" w:rsidP="00C15251">
            <w:pPr>
              <w:shd w:val="clear" w:color="auto" w:fill="FFFFFF"/>
              <w:jc w:val="both"/>
              <w:rPr>
                <w:bCs/>
                <w:color w:val="002060"/>
                <w:sz w:val="16"/>
                <w:szCs w:val="16"/>
              </w:rPr>
            </w:pPr>
          </w:p>
        </w:tc>
      </w:tr>
      <w:tr w:rsidR="0064595E" w:rsidRPr="00405303" w14:paraId="2CCCC95C" w14:textId="77777777" w:rsidTr="00D34AC1">
        <w:trPr>
          <w:trHeight w:val="154"/>
        </w:trPr>
        <w:tc>
          <w:tcPr>
            <w:tcW w:w="3014" w:type="dxa"/>
          </w:tcPr>
          <w:p w14:paraId="1CD2D02F" w14:textId="77777777" w:rsidR="0064595E" w:rsidRPr="00405303" w:rsidRDefault="0064595E" w:rsidP="00C15251">
            <w:pPr>
              <w:shd w:val="clear" w:color="auto" w:fill="FFFFFF"/>
              <w:jc w:val="both"/>
              <w:rPr>
                <w:bCs/>
                <w:color w:val="002060"/>
                <w:sz w:val="16"/>
                <w:szCs w:val="16"/>
              </w:rPr>
            </w:pPr>
          </w:p>
          <w:p w14:paraId="5E8956F1" w14:textId="77777777" w:rsidR="0064595E" w:rsidRPr="00405303" w:rsidRDefault="0064595E" w:rsidP="00C15251">
            <w:pPr>
              <w:shd w:val="clear" w:color="auto" w:fill="FFFFFF"/>
              <w:jc w:val="both"/>
              <w:rPr>
                <w:bCs/>
                <w:color w:val="002060"/>
                <w:sz w:val="16"/>
                <w:szCs w:val="16"/>
              </w:rPr>
            </w:pPr>
          </w:p>
        </w:tc>
        <w:tc>
          <w:tcPr>
            <w:tcW w:w="1277" w:type="dxa"/>
          </w:tcPr>
          <w:p w14:paraId="55D93A69" w14:textId="77777777" w:rsidR="0064595E" w:rsidRPr="00405303" w:rsidRDefault="0064595E" w:rsidP="00C15251">
            <w:pPr>
              <w:shd w:val="clear" w:color="auto" w:fill="FFFFFF"/>
              <w:jc w:val="both"/>
              <w:rPr>
                <w:bCs/>
                <w:color w:val="002060"/>
                <w:sz w:val="16"/>
                <w:szCs w:val="16"/>
              </w:rPr>
            </w:pPr>
          </w:p>
          <w:p w14:paraId="09A2A657" w14:textId="77777777" w:rsidR="0064595E" w:rsidRPr="00405303" w:rsidRDefault="0064595E" w:rsidP="00C15251">
            <w:pPr>
              <w:shd w:val="clear" w:color="auto" w:fill="FFFFFF"/>
              <w:jc w:val="both"/>
              <w:rPr>
                <w:bCs/>
                <w:color w:val="002060"/>
                <w:sz w:val="16"/>
                <w:szCs w:val="16"/>
              </w:rPr>
            </w:pPr>
          </w:p>
        </w:tc>
        <w:tc>
          <w:tcPr>
            <w:tcW w:w="998" w:type="dxa"/>
          </w:tcPr>
          <w:p w14:paraId="3FD40310"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чательно</w:t>
            </w:r>
          </w:p>
          <w:p w14:paraId="43866424" w14:textId="77777777" w:rsidR="0064595E" w:rsidRPr="00405303" w:rsidRDefault="0064595E" w:rsidP="00C15251">
            <w:pPr>
              <w:shd w:val="clear" w:color="auto" w:fill="FFFFFF"/>
              <w:jc w:val="both"/>
              <w:rPr>
                <w:bCs/>
                <w:color w:val="002060"/>
                <w:sz w:val="16"/>
                <w:szCs w:val="16"/>
              </w:rPr>
            </w:pPr>
          </w:p>
        </w:tc>
        <w:tc>
          <w:tcPr>
            <w:tcW w:w="1114" w:type="dxa"/>
          </w:tcPr>
          <w:p w14:paraId="15BC7F10"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снаряжения</w:t>
            </w:r>
          </w:p>
          <w:p w14:paraId="7B635550" w14:textId="77777777" w:rsidR="0064595E" w:rsidRPr="00405303" w:rsidRDefault="0064595E" w:rsidP="00C15251">
            <w:pPr>
              <w:shd w:val="clear" w:color="auto" w:fill="FFFFFF"/>
              <w:jc w:val="both"/>
              <w:rPr>
                <w:bCs/>
                <w:color w:val="002060"/>
                <w:sz w:val="16"/>
                <w:szCs w:val="16"/>
              </w:rPr>
            </w:pPr>
          </w:p>
        </w:tc>
      </w:tr>
      <w:tr w:rsidR="0064595E" w:rsidRPr="00405303" w14:paraId="017F633E" w14:textId="77777777" w:rsidTr="00D34AC1">
        <w:trPr>
          <w:trHeight w:val="202"/>
        </w:trPr>
        <w:tc>
          <w:tcPr>
            <w:tcW w:w="3014" w:type="dxa"/>
          </w:tcPr>
          <w:p w14:paraId="4755AC75" w14:textId="77777777" w:rsidR="0064595E" w:rsidRPr="00405303" w:rsidRDefault="0064595E" w:rsidP="00C15251">
            <w:pPr>
              <w:shd w:val="clear" w:color="auto" w:fill="FFFFFF"/>
              <w:jc w:val="both"/>
              <w:rPr>
                <w:bCs/>
                <w:color w:val="002060"/>
                <w:sz w:val="16"/>
                <w:szCs w:val="16"/>
              </w:rPr>
            </w:pPr>
          </w:p>
          <w:p w14:paraId="3CC5DCC5" w14:textId="77777777" w:rsidR="0064595E" w:rsidRPr="00405303" w:rsidRDefault="0064595E" w:rsidP="00C15251">
            <w:pPr>
              <w:shd w:val="clear" w:color="auto" w:fill="FFFFFF"/>
              <w:jc w:val="both"/>
              <w:rPr>
                <w:bCs/>
                <w:color w:val="002060"/>
                <w:sz w:val="16"/>
                <w:szCs w:val="16"/>
              </w:rPr>
            </w:pPr>
          </w:p>
        </w:tc>
        <w:tc>
          <w:tcPr>
            <w:tcW w:w="1277" w:type="dxa"/>
          </w:tcPr>
          <w:p w14:paraId="0DB34A5C" w14:textId="77777777" w:rsidR="0064595E" w:rsidRPr="00405303" w:rsidRDefault="0064595E" w:rsidP="00C15251">
            <w:pPr>
              <w:shd w:val="clear" w:color="auto" w:fill="FFFFFF"/>
              <w:jc w:val="both"/>
              <w:rPr>
                <w:bCs/>
                <w:color w:val="002060"/>
                <w:sz w:val="16"/>
                <w:szCs w:val="16"/>
              </w:rPr>
            </w:pPr>
          </w:p>
          <w:p w14:paraId="32386844" w14:textId="77777777" w:rsidR="0064595E" w:rsidRPr="00405303" w:rsidRDefault="0064595E" w:rsidP="00C15251">
            <w:pPr>
              <w:shd w:val="clear" w:color="auto" w:fill="FFFFFF"/>
              <w:jc w:val="both"/>
              <w:rPr>
                <w:bCs/>
                <w:color w:val="002060"/>
                <w:sz w:val="16"/>
                <w:szCs w:val="16"/>
              </w:rPr>
            </w:pPr>
          </w:p>
        </w:tc>
        <w:tc>
          <w:tcPr>
            <w:tcW w:w="998" w:type="dxa"/>
          </w:tcPr>
          <w:p w14:paraId="3904BF10"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снаряжен-</w:t>
            </w:r>
          </w:p>
          <w:p w14:paraId="062291CC" w14:textId="77777777" w:rsidR="0064595E" w:rsidRPr="00405303" w:rsidRDefault="0064595E" w:rsidP="00C15251">
            <w:pPr>
              <w:shd w:val="clear" w:color="auto" w:fill="FFFFFF"/>
              <w:jc w:val="both"/>
              <w:rPr>
                <w:bCs/>
                <w:color w:val="002060"/>
                <w:sz w:val="16"/>
                <w:szCs w:val="16"/>
              </w:rPr>
            </w:pPr>
          </w:p>
        </w:tc>
        <w:tc>
          <w:tcPr>
            <w:tcW w:w="1114" w:type="dxa"/>
          </w:tcPr>
          <w:p w14:paraId="773FEF6F"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ОВ</w:t>
            </w:r>
          </w:p>
          <w:p w14:paraId="6AD17B98" w14:textId="77777777" w:rsidR="0064595E" w:rsidRPr="00405303" w:rsidRDefault="0064595E" w:rsidP="00C15251">
            <w:pPr>
              <w:shd w:val="clear" w:color="auto" w:fill="FFFFFF"/>
              <w:jc w:val="both"/>
              <w:rPr>
                <w:bCs/>
                <w:color w:val="002060"/>
                <w:sz w:val="16"/>
                <w:szCs w:val="16"/>
              </w:rPr>
            </w:pPr>
          </w:p>
        </w:tc>
      </w:tr>
      <w:tr w:rsidR="0064595E" w:rsidRPr="00405303" w14:paraId="39040CAB" w14:textId="77777777" w:rsidTr="00D34AC1">
        <w:trPr>
          <w:trHeight w:val="240"/>
        </w:trPr>
        <w:tc>
          <w:tcPr>
            <w:tcW w:w="3014" w:type="dxa"/>
          </w:tcPr>
          <w:p w14:paraId="0F0F0018" w14:textId="77777777" w:rsidR="0064595E" w:rsidRPr="00405303" w:rsidRDefault="0064595E" w:rsidP="00C15251">
            <w:pPr>
              <w:shd w:val="clear" w:color="auto" w:fill="FFFFFF"/>
              <w:jc w:val="both"/>
              <w:rPr>
                <w:bCs/>
                <w:color w:val="002060"/>
                <w:sz w:val="16"/>
                <w:szCs w:val="16"/>
              </w:rPr>
            </w:pPr>
          </w:p>
          <w:p w14:paraId="4D833F88" w14:textId="77777777" w:rsidR="0064595E" w:rsidRPr="00405303" w:rsidRDefault="0064595E" w:rsidP="00C15251">
            <w:pPr>
              <w:shd w:val="clear" w:color="auto" w:fill="FFFFFF"/>
              <w:jc w:val="both"/>
              <w:rPr>
                <w:bCs/>
                <w:color w:val="002060"/>
                <w:sz w:val="16"/>
                <w:szCs w:val="16"/>
              </w:rPr>
            </w:pPr>
          </w:p>
        </w:tc>
        <w:tc>
          <w:tcPr>
            <w:tcW w:w="1277" w:type="dxa"/>
          </w:tcPr>
          <w:p w14:paraId="3F292D32" w14:textId="77777777" w:rsidR="0064595E" w:rsidRPr="00405303" w:rsidRDefault="0064595E" w:rsidP="00C15251">
            <w:pPr>
              <w:shd w:val="clear" w:color="auto" w:fill="FFFFFF"/>
              <w:jc w:val="both"/>
              <w:rPr>
                <w:bCs/>
                <w:color w:val="002060"/>
                <w:sz w:val="16"/>
                <w:szCs w:val="16"/>
              </w:rPr>
            </w:pPr>
          </w:p>
          <w:p w14:paraId="29B79ECC" w14:textId="77777777" w:rsidR="0064595E" w:rsidRPr="00405303" w:rsidRDefault="0064595E" w:rsidP="00C15251">
            <w:pPr>
              <w:shd w:val="clear" w:color="auto" w:fill="FFFFFF"/>
              <w:jc w:val="both"/>
              <w:rPr>
                <w:bCs/>
                <w:color w:val="002060"/>
                <w:sz w:val="16"/>
                <w:szCs w:val="16"/>
              </w:rPr>
            </w:pPr>
          </w:p>
        </w:tc>
        <w:tc>
          <w:tcPr>
            <w:tcW w:w="998" w:type="dxa"/>
          </w:tcPr>
          <w:p w14:paraId="0453C477"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ных</w:t>
            </w:r>
          </w:p>
          <w:p w14:paraId="1CA4C03B" w14:textId="77777777" w:rsidR="0064595E" w:rsidRPr="00405303" w:rsidRDefault="0064595E" w:rsidP="00C15251">
            <w:pPr>
              <w:shd w:val="clear" w:color="auto" w:fill="FFFFFF"/>
              <w:jc w:val="both"/>
              <w:rPr>
                <w:bCs/>
                <w:color w:val="002060"/>
                <w:sz w:val="16"/>
                <w:szCs w:val="16"/>
              </w:rPr>
            </w:pPr>
          </w:p>
        </w:tc>
        <w:tc>
          <w:tcPr>
            <w:tcW w:w="1114" w:type="dxa"/>
          </w:tcPr>
          <w:p w14:paraId="776F5758" w14:textId="77777777" w:rsidR="0064595E" w:rsidRPr="00405303" w:rsidRDefault="0064595E" w:rsidP="00C15251">
            <w:pPr>
              <w:shd w:val="clear" w:color="auto" w:fill="FFFFFF"/>
              <w:jc w:val="both"/>
              <w:rPr>
                <w:bCs/>
                <w:color w:val="002060"/>
                <w:sz w:val="16"/>
                <w:szCs w:val="16"/>
              </w:rPr>
            </w:pPr>
          </w:p>
          <w:p w14:paraId="0576C8DA" w14:textId="77777777" w:rsidR="0064595E" w:rsidRPr="00405303" w:rsidRDefault="0064595E" w:rsidP="00C15251">
            <w:pPr>
              <w:shd w:val="clear" w:color="auto" w:fill="FFFFFF"/>
              <w:jc w:val="both"/>
              <w:rPr>
                <w:bCs/>
                <w:color w:val="002060"/>
                <w:sz w:val="16"/>
                <w:szCs w:val="16"/>
              </w:rPr>
            </w:pPr>
          </w:p>
        </w:tc>
      </w:tr>
      <w:tr w:rsidR="0064595E" w:rsidRPr="00405303" w14:paraId="2F345CD9" w14:textId="77777777" w:rsidTr="00D34AC1">
        <w:trPr>
          <w:trHeight w:val="259"/>
        </w:trPr>
        <w:tc>
          <w:tcPr>
            <w:tcW w:w="3014" w:type="dxa"/>
          </w:tcPr>
          <w:p w14:paraId="6B66BBCF"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Корпуса 76-мм гранат</w:t>
            </w:r>
          </w:p>
          <w:p w14:paraId="5F3FDD2C" w14:textId="77777777" w:rsidR="0064595E" w:rsidRPr="00405303" w:rsidRDefault="0064595E" w:rsidP="00C15251">
            <w:pPr>
              <w:shd w:val="clear" w:color="auto" w:fill="FFFFFF"/>
              <w:jc w:val="both"/>
              <w:rPr>
                <w:bCs/>
                <w:color w:val="002060"/>
                <w:sz w:val="16"/>
                <w:szCs w:val="16"/>
              </w:rPr>
            </w:pPr>
          </w:p>
        </w:tc>
        <w:tc>
          <w:tcPr>
            <w:tcW w:w="1277" w:type="dxa"/>
          </w:tcPr>
          <w:p w14:paraId="3014CD42"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13 683,334</w:t>
            </w:r>
          </w:p>
          <w:p w14:paraId="29132283" w14:textId="77777777" w:rsidR="0064595E" w:rsidRPr="00405303" w:rsidRDefault="0064595E" w:rsidP="00C15251">
            <w:pPr>
              <w:shd w:val="clear" w:color="auto" w:fill="FFFFFF"/>
              <w:jc w:val="both"/>
              <w:rPr>
                <w:bCs/>
                <w:color w:val="002060"/>
                <w:sz w:val="16"/>
                <w:szCs w:val="16"/>
              </w:rPr>
            </w:pPr>
          </w:p>
        </w:tc>
        <w:tc>
          <w:tcPr>
            <w:tcW w:w="998" w:type="dxa"/>
          </w:tcPr>
          <w:p w14:paraId="5E1FC4A5"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8 399,236</w:t>
            </w:r>
          </w:p>
          <w:p w14:paraId="03C7CB9B" w14:textId="77777777" w:rsidR="0064595E" w:rsidRPr="00405303" w:rsidRDefault="0064595E" w:rsidP="00C15251">
            <w:pPr>
              <w:shd w:val="clear" w:color="auto" w:fill="FFFFFF"/>
              <w:jc w:val="both"/>
              <w:rPr>
                <w:bCs/>
                <w:color w:val="002060"/>
                <w:sz w:val="16"/>
                <w:szCs w:val="16"/>
              </w:rPr>
            </w:pPr>
          </w:p>
        </w:tc>
        <w:tc>
          <w:tcPr>
            <w:tcW w:w="1114" w:type="dxa"/>
          </w:tcPr>
          <w:p w14:paraId="22DAAEBC"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2291,969</w:t>
            </w:r>
          </w:p>
          <w:p w14:paraId="3A6E2954" w14:textId="77777777" w:rsidR="0064595E" w:rsidRPr="00405303" w:rsidRDefault="0064595E" w:rsidP="00C15251">
            <w:pPr>
              <w:shd w:val="clear" w:color="auto" w:fill="FFFFFF"/>
              <w:jc w:val="both"/>
              <w:rPr>
                <w:bCs/>
                <w:color w:val="002060"/>
                <w:sz w:val="16"/>
                <w:szCs w:val="16"/>
              </w:rPr>
            </w:pPr>
          </w:p>
        </w:tc>
      </w:tr>
      <w:tr w:rsidR="0064595E" w:rsidRPr="00405303" w14:paraId="415EE9BA" w14:textId="77777777" w:rsidTr="00D34AC1">
        <w:trPr>
          <w:trHeight w:val="163"/>
        </w:trPr>
        <w:tc>
          <w:tcPr>
            <w:tcW w:w="3014" w:type="dxa"/>
          </w:tcPr>
          <w:p w14:paraId="06DAC8CD"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Корпуса 122-мм бомб</w:t>
            </w:r>
          </w:p>
          <w:p w14:paraId="12561D64" w14:textId="77777777" w:rsidR="0064595E" w:rsidRPr="00405303" w:rsidRDefault="0064595E" w:rsidP="00C15251">
            <w:pPr>
              <w:shd w:val="clear" w:color="auto" w:fill="FFFFFF"/>
              <w:jc w:val="both"/>
              <w:rPr>
                <w:bCs/>
                <w:color w:val="002060"/>
                <w:sz w:val="16"/>
                <w:szCs w:val="16"/>
              </w:rPr>
            </w:pPr>
          </w:p>
        </w:tc>
        <w:tc>
          <w:tcPr>
            <w:tcW w:w="1277" w:type="dxa"/>
          </w:tcPr>
          <w:p w14:paraId="0CB252A8"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104,956</w:t>
            </w:r>
          </w:p>
          <w:p w14:paraId="3019BBE4" w14:textId="77777777" w:rsidR="0064595E" w:rsidRPr="00405303" w:rsidRDefault="0064595E" w:rsidP="00C15251">
            <w:pPr>
              <w:shd w:val="clear" w:color="auto" w:fill="FFFFFF"/>
              <w:jc w:val="both"/>
              <w:rPr>
                <w:bCs/>
                <w:color w:val="002060"/>
                <w:sz w:val="16"/>
                <w:szCs w:val="16"/>
              </w:rPr>
            </w:pPr>
          </w:p>
        </w:tc>
        <w:tc>
          <w:tcPr>
            <w:tcW w:w="998" w:type="dxa"/>
          </w:tcPr>
          <w:p w14:paraId="6649F0E5"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w:t>
            </w:r>
          </w:p>
          <w:p w14:paraId="3DAB5D94" w14:textId="77777777" w:rsidR="0064595E" w:rsidRPr="00405303" w:rsidRDefault="0064595E" w:rsidP="00C15251">
            <w:pPr>
              <w:shd w:val="clear" w:color="auto" w:fill="FFFFFF"/>
              <w:jc w:val="both"/>
              <w:rPr>
                <w:bCs/>
                <w:color w:val="002060"/>
                <w:sz w:val="16"/>
                <w:szCs w:val="16"/>
              </w:rPr>
            </w:pPr>
          </w:p>
        </w:tc>
        <w:tc>
          <w:tcPr>
            <w:tcW w:w="1114" w:type="dxa"/>
          </w:tcPr>
          <w:p w14:paraId="7231CF2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w:t>
            </w:r>
          </w:p>
          <w:p w14:paraId="7BE5FE6F" w14:textId="77777777" w:rsidR="0064595E" w:rsidRPr="00405303" w:rsidRDefault="0064595E" w:rsidP="00C15251">
            <w:pPr>
              <w:shd w:val="clear" w:color="auto" w:fill="FFFFFF"/>
              <w:jc w:val="both"/>
              <w:rPr>
                <w:bCs/>
                <w:color w:val="002060"/>
                <w:sz w:val="16"/>
                <w:szCs w:val="16"/>
              </w:rPr>
            </w:pPr>
          </w:p>
        </w:tc>
      </w:tr>
      <w:tr w:rsidR="0064595E" w:rsidRPr="00405303" w14:paraId="31D6344F" w14:textId="77777777" w:rsidTr="00D34AC1">
        <w:trPr>
          <w:trHeight w:val="182"/>
        </w:trPr>
        <w:tc>
          <w:tcPr>
            <w:tcW w:w="3014" w:type="dxa"/>
          </w:tcPr>
          <w:p w14:paraId="713952B8"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Корпуса 152-мм бомб</w:t>
            </w:r>
          </w:p>
          <w:p w14:paraId="3F2747FE" w14:textId="77777777" w:rsidR="0064595E" w:rsidRPr="00405303" w:rsidRDefault="0064595E" w:rsidP="00C15251">
            <w:pPr>
              <w:shd w:val="clear" w:color="auto" w:fill="FFFFFF"/>
              <w:jc w:val="both"/>
              <w:rPr>
                <w:bCs/>
                <w:color w:val="002060"/>
                <w:sz w:val="16"/>
                <w:szCs w:val="16"/>
              </w:rPr>
            </w:pPr>
          </w:p>
        </w:tc>
        <w:tc>
          <w:tcPr>
            <w:tcW w:w="1277" w:type="dxa"/>
          </w:tcPr>
          <w:p w14:paraId="6101AB85"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488,487</w:t>
            </w:r>
          </w:p>
          <w:p w14:paraId="181DFBC3" w14:textId="77777777" w:rsidR="0064595E" w:rsidRPr="00405303" w:rsidRDefault="0064595E" w:rsidP="00C15251">
            <w:pPr>
              <w:shd w:val="clear" w:color="auto" w:fill="FFFFFF"/>
              <w:jc w:val="both"/>
              <w:rPr>
                <w:bCs/>
                <w:color w:val="002060"/>
                <w:sz w:val="16"/>
                <w:szCs w:val="16"/>
              </w:rPr>
            </w:pPr>
          </w:p>
        </w:tc>
        <w:tc>
          <w:tcPr>
            <w:tcW w:w="998" w:type="dxa"/>
          </w:tcPr>
          <w:p w14:paraId="515037A3"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225,911</w:t>
            </w:r>
          </w:p>
          <w:p w14:paraId="0D735337" w14:textId="77777777" w:rsidR="0064595E" w:rsidRPr="00405303" w:rsidRDefault="0064595E" w:rsidP="00C15251">
            <w:pPr>
              <w:shd w:val="clear" w:color="auto" w:fill="FFFFFF"/>
              <w:jc w:val="both"/>
              <w:rPr>
                <w:bCs/>
                <w:color w:val="002060"/>
                <w:sz w:val="16"/>
                <w:szCs w:val="16"/>
              </w:rPr>
            </w:pPr>
          </w:p>
        </w:tc>
        <w:tc>
          <w:tcPr>
            <w:tcW w:w="1114" w:type="dxa"/>
          </w:tcPr>
          <w:p w14:paraId="1C4C2725"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134,692</w:t>
            </w:r>
          </w:p>
          <w:p w14:paraId="308678D4" w14:textId="77777777" w:rsidR="0064595E" w:rsidRPr="00405303" w:rsidRDefault="0064595E" w:rsidP="00C15251">
            <w:pPr>
              <w:shd w:val="clear" w:color="auto" w:fill="FFFFFF"/>
              <w:jc w:val="both"/>
              <w:rPr>
                <w:bCs/>
                <w:color w:val="002060"/>
                <w:sz w:val="16"/>
                <w:szCs w:val="16"/>
              </w:rPr>
            </w:pPr>
          </w:p>
        </w:tc>
      </w:tr>
      <w:tr w:rsidR="0064595E" w:rsidRPr="00405303" w14:paraId="5EB843AF" w14:textId="77777777" w:rsidTr="00D34AC1">
        <w:trPr>
          <w:trHeight w:val="173"/>
        </w:trPr>
        <w:tc>
          <w:tcPr>
            <w:tcW w:w="3014" w:type="dxa"/>
          </w:tcPr>
          <w:p w14:paraId="01A185A2"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Запальные стаканы 76-мм</w:t>
            </w:r>
          </w:p>
          <w:p w14:paraId="2C903D8B" w14:textId="77777777" w:rsidR="0064595E" w:rsidRPr="00405303" w:rsidRDefault="0064595E" w:rsidP="00C15251">
            <w:pPr>
              <w:shd w:val="clear" w:color="auto" w:fill="FFFFFF"/>
              <w:jc w:val="both"/>
              <w:rPr>
                <w:bCs/>
                <w:color w:val="002060"/>
                <w:sz w:val="16"/>
                <w:szCs w:val="16"/>
              </w:rPr>
            </w:pPr>
          </w:p>
        </w:tc>
        <w:tc>
          <w:tcPr>
            <w:tcW w:w="1277" w:type="dxa"/>
          </w:tcPr>
          <w:p w14:paraId="3495BEFC"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12 250,863</w:t>
            </w:r>
          </w:p>
          <w:p w14:paraId="6FCCA572" w14:textId="77777777" w:rsidR="0064595E" w:rsidRPr="00405303" w:rsidRDefault="0064595E" w:rsidP="00C15251">
            <w:pPr>
              <w:shd w:val="clear" w:color="auto" w:fill="FFFFFF"/>
              <w:jc w:val="both"/>
              <w:rPr>
                <w:bCs/>
                <w:color w:val="002060"/>
                <w:sz w:val="16"/>
                <w:szCs w:val="16"/>
              </w:rPr>
            </w:pPr>
          </w:p>
        </w:tc>
        <w:tc>
          <w:tcPr>
            <w:tcW w:w="998" w:type="dxa"/>
          </w:tcPr>
          <w:p w14:paraId="18F3EB15"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w:t>
            </w:r>
          </w:p>
          <w:p w14:paraId="608E4CA2" w14:textId="77777777" w:rsidR="0064595E" w:rsidRPr="00405303" w:rsidRDefault="0064595E" w:rsidP="00C15251">
            <w:pPr>
              <w:shd w:val="clear" w:color="auto" w:fill="FFFFFF"/>
              <w:jc w:val="both"/>
              <w:rPr>
                <w:bCs/>
                <w:color w:val="002060"/>
                <w:sz w:val="16"/>
                <w:szCs w:val="16"/>
              </w:rPr>
            </w:pPr>
          </w:p>
        </w:tc>
        <w:tc>
          <w:tcPr>
            <w:tcW w:w="1114" w:type="dxa"/>
          </w:tcPr>
          <w:p w14:paraId="4E1ED20B"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w:t>
            </w:r>
          </w:p>
          <w:p w14:paraId="0F6CDF1E" w14:textId="77777777" w:rsidR="0064595E" w:rsidRPr="00405303" w:rsidRDefault="0064595E" w:rsidP="00C15251">
            <w:pPr>
              <w:shd w:val="clear" w:color="auto" w:fill="FFFFFF"/>
              <w:jc w:val="both"/>
              <w:rPr>
                <w:bCs/>
                <w:color w:val="002060"/>
                <w:sz w:val="16"/>
                <w:szCs w:val="16"/>
              </w:rPr>
            </w:pPr>
          </w:p>
        </w:tc>
      </w:tr>
      <w:tr w:rsidR="0064595E" w:rsidRPr="00405303" w14:paraId="43982F81" w14:textId="77777777" w:rsidTr="00D34AC1">
        <w:trPr>
          <w:trHeight w:val="154"/>
        </w:trPr>
        <w:tc>
          <w:tcPr>
            <w:tcW w:w="3014" w:type="dxa"/>
          </w:tcPr>
          <w:p w14:paraId="5E097CD8"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Запальные стаканы 152-мм</w:t>
            </w:r>
          </w:p>
          <w:p w14:paraId="2D07565E" w14:textId="77777777" w:rsidR="0064595E" w:rsidRPr="00405303" w:rsidRDefault="0064595E" w:rsidP="00C15251">
            <w:pPr>
              <w:shd w:val="clear" w:color="auto" w:fill="FFFFFF"/>
              <w:jc w:val="both"/>
              <w:rPr>
                <w:bCs/>
                <w:color w:val="002060"/>
                <w:sz w:val="16"/>
                <w:szCs w:val="16"/>
              </w:rPr>
            </w:pPr>
          </w:p>
        </w:tc>
        <w:tc>
          <w:tcPr>
            <w:tcW w:w="1277" w:type="dxa"/>
          </w:tcPr>
          <w:p w14:paraId="0D891D35"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730,294</w:t>
            </w:r>
          </w:p>
          <w:p w14:paraId="6032318D" w14:textId="77777777" w:rsidR="0064595E" w:rsidRPr="00405303" w:rsidRDefault="0064595E" w:rsidP="00C15251">
            <w:pPr>
              <w:shd w:val="clear" w:color="auto" w:fill="FFFFFF"/>
              <w:jc w:val="both"/>
              <w:rPr>
                <w:bCs/>
                <w:color w:val="002060"/>
                <w:sz w:val="16"/>
                <w:szCs w:val="16"/>
              </w:rPr>
            </w:pPr>
          </w:p>
        </w:tc>
        <w:tc>
          <w:tcPr>
            <w:tcW w:w="998" w:type="dxa"/>
          </w:tcPr>
          <w:p w14:paraId="00A3CA04"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w:t>
            </w:r>
          </w:p>
          <w:p w14:paraId="26899C20" w14:textId="77777777" w:rsidR="0064595E" w:rsidRPr="00405303" w:rsidRDefault="0064595E" w:rsidP="00C15251">
            <w:pPr>
              <w:shd w:val="clear" w:color="auto" w:fill="FFFFFF"/>
              <w:jc w:val="both"/>
              <w:rPr>
                <w:bCs/>
                <w:color w:val="002060"/>
                <w:sz w:val="16"/>
                <w:szCs w:val="16"/>
              </w:rPr>
            </w:pPr>
          </w:p>
        </w:tc>
        <w:tc>
          <w:tcPr>
            <w:tcW w:w="1114" w:type="dxa"/>
          </w:tcPr>
          <w:p w14:paraId="08373299"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w:t>
            </w:r>
          </w:p>
          <w:p w14:paraId="489CD4B0" w14:textId="77777777" w:rsidR="0064595E" w:rsidRPr="00405303" w:rsidRDefault="0064595E" w:rsidP="00C15251">
            <w:pPr>
              <w:shd w:val="clear" w:color="auto" w:fill="FFFFFF"/>
              <w:jc w:val="both"/>
              <w:rPr>
                <w:bCs/>
                <w:color w:val="002060"/>
                <w:sz w:val="16"/>
                <w:szCs w:val="16"/>
              </w:rPr>
            </w:pPr>
          </w:p>
        </w:tc>
      </w:tr>
      <w:tr w:rsidR="0064595E" w:rsidRPr="00405303" w14:paraId="7D0E712C" w14:textId="77777777" w:rsidTr="00D34AC1">
        <w:trPr>
          <w:trHeight w:val="173"/>
        </w:trPr>
        <w:tc>
          <w:tcPr>
            <w:tcW w:w="3014" w:type="dxa"/>
          </w:tcPr>
          <w:p w14:paraId="406335A4"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Запальные стаканы к ОВ</w:t>
            </w:r>
          </w:p>
          <w:p w14:paraId="390D9CE2" w14:textId="77777777" w:rsidR="0064595E" w:rsidRPr="00405303" w:rsidRDefault="0064595E" w:rsidP="00C15251">
            <w:pPr>
              <w:shd w:val="clear" w:color="auto" w:fill="FFFFFF"/>
              <w:jc w:val="both"/>
              <w:rPr>
                <w:bCs/>
                <w:color w:val="002060"/>
                <w:sz w:val="16"/>
                <w:szCs w:val="16"/>
              </w:rPr>
            </w:pPr>
          </w:p>
        </w:tc>
        <w:tc>
          <w:tcPr>
            <w:tcW w:w="1277" w:type="dxa"/>
          </w:tcPr>
          <w:p w14:paraId="5A486EC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646,572</w:t>
            </w:r>
          </w:p>
          <w:p w14:paraId="27CFB379" w14:textId="77777777" w:rsidR="0064595E" w:rsidRPr="00405303" w:rsidRDefault="0064595E" w:rsidP="00C15251">
            <w:pPr>
              <w:shd w:val="clear" w:color="auto" w:fill="FFFFFF"/>
              <w:jc w:val="both"/>
              <w:rPr>
                <w:bCs/>
                <w:color w:val="002060"/>
                <w:sz w:val="16"/>
                <w:szCs w:val="16"/>
              </w:rPr>
            </w:pPr>
          </w:p>
        </w:tc>
        <w:tc>
          <w:tcPr>
            <w:tcW w:w="998" w:type="dxa"/>
          </w:tcPr>
          <w:p w14:paraId="6624EC3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w:t>
            </w:r>
          </w:p>
          <w:p w14:paraId="3187E4B6" w14:textId="77777777" w:rsidR="0064595E" w:rsidRPr="00405303" w:rsidRDefault="0064595E" w:rsidP="00C15251">
            <w:pPr>
              <w:shd w:val="clear" w:color="auto" w:fill="FFFFFF"/>
              <w:jc w:val="both"/>
              <w:rPr>
                <w:bCs/>
                <w:color w:val="002060"/>
                <w:sz w:val="16"/>
                <w:szCs w:val="16"/>
              </w:rPr>
            </w:pPr>
          </w:p>
        </w:tc>
        <w:tc>
          <w:tcPr>
            <w:tcW w:w="1114" w:type="dxa"/>
          </w:tcPr>
          <w:p w14:paraId="455DD9F5"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w:t>
            </w:r>
          </w:p>
          <w:p w14:paraId="3C7F5C8D" w14:textId="77777777" w:rsidR="0064595E" w:rsidRPr="00405303" w:rsidRDefault="0064595E" w:rsidP="00C15251">
            <w:pPr>
              <w:shd w:val="clear" w:color="auto" w:fill="FFFFFF"/>
              <w:jc w:val="both"/>
              <w:rPr>
                <w:bCs/>
                <w:color w:val="002060"/>
                <w:sz w:val="16"/>
                <w:szCs w:val="16"/>
              </w:rPr>
            </w:pPr>
          </w:p>
        </w:tc>
      </w:tr>
      <w:tr w:rsidR="0064595E" w:rsidRPr="00405303" w14:paraId="4FA17FF6" w14:textId="77777777" w:rsidTr="00D34AC1">
        <w:trPr>
          <w:trHeight w:val="173"/>
        </w:trPr>
        <w:tc>
          <w:tcPr>
            <w:tcW w:w="3014" w:type="dxa"/>
          </w:tcPr>
          <w:p w14:paraId="2E18B107"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Детонаторные трубки снаряженные</w:t>
            </w:r>
          </w:p>
          <w:p w14:paraId="044C1FC1" w14:textId="77777777" w:rsidR="0064595E" w:rsidRPr="00405303" w:rsidRDefault="0064595E" w:rsidP="00C15251">
            <w:pPr>
              <w:shd w:val="clear" w:color="auto" w:fill="FFFFFF"/>
              <w:jc w:val="both"/>
              <w:rPr>
                <w:bCs/>
                <w:color w:val="002060"/>
                <w:sz w:val="16"/>
                <w:szCs w:val="16"/>
              </w:rPr>
            </w:pPr>
          </w:p>
        </w:tc>
        <w:tc>
          <w:tcPr>
            <w:tcW w:w="1277" w:type="dxa"/>
          </w:tcPr>
          <w:p w14:paraId="776AEA27"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3 521,260</w:t>
            </w:r>
          </w:p>
          <w:p w14:paraId="5BA5DF77" w14:textId="77777777" w:rsidR="0064595E" w:rsidRPr="00405303" w:rsidRDefault="0064595E" w:rsidP="00C15251">
            <w:pPr>
              <w:shd w:val="clear" w:color="auto" w:fill="FFFFFF"/>
              <w:jc w:val="both"/>
              <w:rPr>
                <w:bCs/>
                <w:color w:val="002060"/>
                <w:sz w:val="16"/>
                <w:szCs w:val="16"/>
              </w:rPr>
            </w:pPr>
          </w:p>
        </w:tc>
        <w:tc>
          <w:tcPr>
            <w:tcW w:w="998" w:type="dxa"/>
          </w:tcPr>
          <w:p w14:paraId="057AB778"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w:t>
            </w:r>
          </w:p>
          <w:p w14:paraId="4FDD24E6" w14:textId="77777777" w:rsidR="0064595E" w:rsidRPr="00405303" w:rsidRDefault="0064595E" w:rsidP="00C15251">
            <w:pPr>
              <w:shd w:val="clear" w:color="auto" w:fill="FFFFFF"/>
              <w:jc w:val="both"/>
              <w:rPr>
                <w:bCs/>
                <w:color w:val="002060"/>
                <w:sz w:val="16"/>
                <w:szCs w:val="16"/>
              </w:rPr>
            </w:pPr>
          </w:p>
        </w:tc>
        <w:tc>
          <w:tcPr>
            <w:tcW w:w="1114" w:type="dxa"/>
          </w:tcPr>
          <w:p w14:paraId="71DD6F22"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w:t>
            </w:r>
          </w:p>
          <w:p w14:paraId="56FD548D" w14:textId="77777777" w:rsidR="0064595E" w:rsidRPr="00405303" w:rsidRDefault="0064595E" w:rsidP="00C15251">
            <w:pPr>
              <w:shd w:val="clear" w:color="auto" w:fill="FFFFFF"/>
              <w:jc w:val="both"/>
              <w:rPr>
                <w:bCs/>
                <w:color w:val="002060"/>
                <w:sz w:val="16"/>
                <w:szCs w:val="16"/>
              </w:rPr>
            </w:pPr>
          </w:p>
        </w:tc>
      </w:tr>
      <w:tr w:rsidR="0064595E" w:rsidRPr="00405303" w14:paraId="460D9157" w14:textId="77777777" w:rsidTr="00D34AC1">
        <w:trPr>
          <w:trHeight w:val="365"/>
        </w:trPr>
        <w:tc>
          <w:tcPr>
            <w:tcW w:w="3014" w:type="dxa"/>
          </w:tcPr>
          <w:p w14:paraId="01B6D8F0"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Детонаторные трубки неснаряженные</w:t>
            </w:r>
          </w:p>
          <w:p w14:paraId="5EAD171F" w14:textId="77777777" w:rsidR="0064595E" w:rsidRPr="00405303" w:rsidRDefault="0064595E" w:rsidP="00C15251">
            <w:pPr>
              <w:shd w:val="clear" w:color="auto" w:fill="FFFFFF"/>
              <w:jc w:val="both"/>
              <w:rPr>
                <w:bCs/>
                <w:color w:val="002060"/>
                <w:sz w:val="16"/>
                <w:szCs w:val="16"/>
              </w:rPr>
            </w:pPr>
          </w:p>
        </w:tc>
        <w:tc>
          <w:tcPr>
            <w:tcW w:w="1277" w:type="dxa"/>
          </w:tcPr>
          <w:p w14:paraId="315CF959"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4 906,975</w:t>
            </w:r>
          </w:p>
          <w:p w14:paraId="56D6AA31" w14:textId="77777777" w:rsidR="0064595E" w:rsidRPr="00405303" w:rsidRDefault="0064595E" w:rsidP="00C15251">
            <w:pPr>
              <w:shd w:val="clear" w:color="auto" w:fill="FFFFFF"/>
              <w:jc w:val="both"/>
              <w:rPr>
                <w:bCs/>
                <w:color w:val="002060"/>
                <w:sz w:val="16"/>
                <w:szCs w:val="16"/>
              </w:rPr>
            </w:pPr>
          </w:p>
        </w:tc>
        <w:tc>
          <w:tcPr>
            <w:tcW w:w="998" w:type="dxa"/>
          </w:tcPr>
          <w:p w14:paraId="044BF1FF"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w:t>
            </w:r>
          </w:p>
          <w:p w14:paraId="708F6F18" w14:textId="77777777" w:rsidR="0064595E" w:rsidRPr="00405303" w:rsidRDefault="0064595E" w:rsidP="00C15251">
            <w:pPr>
              <w:shd w:val="clear" w:color="auto" w:fill="FFFFFF"/>
              <w:jc w:val="both"/>
              <w:rPr>
                <w:bCs/>
                <w:color w:val="002060"/>
                <w:sz w:val="16"/>
                <w:szCs w:val="16"/>
              </w:rPr>
            </w:pPr>
          </w:p>
        </w:tc>
        <w:tc>
          <w:tcPr>
            <w:tcW w:w="1114" w:type="dxa"/>
          </w:tcPr>
          <w:p w14:paraId="49A5D30B"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w:t>
            </w:r>
          </w:p>
          <w:p w14:paraId="799E396A" w14:textId="77777777" w:rsidR="0064595E" w:rsidRPr="00405303" w:rsidRDefault="0064595E" w:rsidP="00C15251">
            <w:pPr>
              <w:shd w:val="clear" w:color="auto" w:fill="FFFFFF"/>
              <w:jc w:val="both"/>
              <w:rPr>
                <w:bCs/>
                <w:color w:val="002060"/>
                <w:sz w:val="16"/>
                <w:szCs w:val="16"/>
              </w:rPr>
            </w:pPr>
          </w:p>
        </w:tc>
      </w:tr>
    </w:tbl>
    <w:p w14:paraId="118D9DEF"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Важной заслугой организации С. Н. Ванкова явилось создание производства корпусов 152-мм и 122-мм снарядов из сталистого чугуна [4, с. 310; 9]. Организация разработала и внедрила на 14 заво</w:t>
      </w:r>
      <w:r w:rsidRPr="00405303">
        <w:rPr>
          <w:bCs/>
          <w:color w:val="002060"/>
          <w:sz w:val="16"/>
          <w:szCs w:val="16"/>
        </w:rPr>
        <w:softHyphen/>
        <w:t>дах, главным образом южных, новые методы приемки снарядов из сталистого чугуна, отличные от французских.</w:t>
      </w:r>
    </w:p>
    <w:p w14:paraId="00F09FD0"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Главным в работе организации С. Н. Ванкова, впоследствии вид</w:t>
      </w:r>
      <w:r w:rsidRPr="00405303">
        <w:rPr>
          <w:bCs/>
          <w:color w:val="002060"/>
          <w:sz w:val="16"/>
          <w:szCs w:val="16"/>
        </w:rPr>
        <w:softHyphen/>
        <w:t>ного ученого, профессора, начальника Отдела металлов ВСНХ РСФСР, было то, что при всех сложностях военного времени удалось без всякой предварительной подготовки в короткие сроки организо</w:t>
      </w:r>
      <w:r w:rsidRPr="00405303">
        <w:rPr>
          <w:bCs/>
          <w:color w:val="002060"/>
          <w:sz w:val="16"/>
          <w:szCs w:val="16"/>
        </w:rPr>
        <w:softHyphen/>
        <w:t>вать согласованную и целенаправленную работу многих сотен пред</w:t>
      </w:r>
      <w:r w:rsidRPr="00405303">
        <w:rPr>
          <w:bCs/>
          <w:color w:val="002060"/>
          <w:sz w:val="16"/>
          <w:szCs w:val="16"/>
        </w:rPr>
        <w:softHyphen/>
        <w:t>приятий. Дело было начато в феврале 1915 г. В апреле организации С. Н. Ванкова были даны первые заказы. Производство корпусов на</w:t>
      </w:r>
      <w:r w:rsidRPr="00405303">
        <w:rPr>
          <w:bCs/>
          <w:color w:val="002060"/>
          <w:sz w:val="16"/>
          <w:szCs w:val="16"/>
        </w:rPr>
        <w:softHyphen/>
        <w:t>чали через 9 месяцев — в октябре 1915г. Снаряжение началось в ян-</w:t>
      </w:r>
    </w:p>
    <w:p w14:paraId="2A2F94B4"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1.10. Итоги работы русских заводов по изготовлению снарядов во время первой мировой войны [5, с. 198|</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98"/>
        <w:gridCol w:w="720"/>
        <w:gridCol w:w="960"/>
        <w:gridCol w:w="1066"/>
        <w:gridCol w:w="1018"/>
        <w:gridCol w:w="1142"/>
      </w:tblGrid>
      <w:tr w:rsidR="0064595E" w:rsidRPr="00405303" w14:paraId="5430FF76" w14:textId="77777777" w:rsidTr="00D34AC1">
        <w:trPr>
          <w:trHeight w:val="355"/>
        </w:trPr>
        <w:tc>
          <w:tcPr>
            <w:tcW w:w="1498" w:type="dxa"/>
          </w:tcPr>
          <w:p w14:paraId="7E688253"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Название снарядов</w:t>
            </w:r>
          </w:p>
          <w:p w14:paraId="0A5C93B1" w14:textId="77777777" w:rsidR="0064595E" w:rsidRPr="00405303" w:rsidRDefault="0064595E" w:rsidP="00C15251">
            <w:pPr>
              <w:shd w:val="clear" w:color="auto" w:fill="FFFFFF"/>
              <w:jc w:val="both"/>
              <w:rPr>
                <w:bCs/>
                <w:color w:val="002060"/>
                <w:sz w:val="16"/>
                <w:szCs w:val="16"/>
              </w:rPr>
            </w:pPr>
          </w:p>
        </w:tc>
        <w:tc>
          <w:tcPr>
            <w:tcW w:w="720" w:type="dxa"/>
          </w:tcPr>
          <w:p w14:paraId="1C9AADF7"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1914</w:t>
            </w:r>
          </w:p>
          <w:p w14:paraId="7510AD33" w14:textId="77777777" w:rsidR="0064595E" w:rsidRPr="00405303" w:rsidRDefault="0064595E" w:rsidP="00C15251">
            <w:pPr>
              <w:shd w:val="clear" w:color="auto" w:fill="FFFFFF"/>
              <w:jc w:val="both"/>
              <w:rPr>
                <w:bCs/>
                <w:color w:val="002060"/>
                <w:sz w:val="16"/>
                <w:szCs w:val="16"/>
              </w:rPr>
            </w:pPr>
          </w:p>
        </w:tc>
        <w:tc>
          <w:tcPr>
            <w:tcW w:w="960" w:type="dxa"/>
          </w:tcPr>
          <w:p w14:paraId="1BD180E1"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1915</w:t>
            </w:r>
          </w:p>
          <w:p w14:paraId="4F49FB40" w14:textId="77777777" w:rsidR="0064595E" w:rsidRPr="00405303" w:rsidRDefault="0064595E" w:rsidP="00C15251">
            <w:pPr>
              <w:shd w:val="clear" w:color="auto" w:fill="FFFFFF"/>
              <w:jc w:val="both"/>
              <w:rPr>
                <w:bCs/>
                <w:color w:val="002060"/>
                <w:sz w:val="16"/>
                <w:szCs w:val="16"/>
              </w:rPr>
            </w:pPr>
          </w:p>
        </w:tc>
        <w:tc>
          <w:tcPr>
            <w:tcW w:w="1066" w:type="dxa"/>
          </w:tcPr>
          <w:p w14:paraId="643892FA"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1916</w:t>
            </w:r>
          </w:p>
          <w:p w14:paraId="696B5AA8" w14:textId="77777777" w:rsidR="0064595E" w:rsidRPr="00405303" w:rsidRDefault="0064595E" w:rsidP="00C15251">
            <w:pPr>
              <w:shd w:val="clear" w:color="auto" w:fill="FFFFFF"/>
              <w:jc w:val="both"/>
              <w:rPr>
                <w:bCs/>
                <w:color w:val="002060"/>
                <w:sz w:val="16"/>
                <w:szCs w:val="16"/>
              </w:rPr>
            </w:pPr>
          </w:p>
        </w:tc>
        <w:tc>
          <w:tcPr>
            <w:tcW w:w="1018" w:type="dxa"/>
          </w:tcPr>
          <w:p w14:paraId="5681D711"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1917</w:t>
            </w:r>
          </w:p>
          <w:p w14:paraId="4E248091" w14:textId="77777777" w:rsidR="0064595E" w:rsidRPr="00405303" w:rsidRDefault="0064595E" w:rsidP="00C15251">
            <w:pPr>
              <w:shd w:val="clear" w:color="auto" w:fill="FFFFFF"/>
              <w:jc w:val="both"/>
              <w:rPr>
                <w:bCs/>
                <w:color w:val="002060"/>
                <w:sz w:val="16"/>
                <w:szCs w:val="16"/>
              </w:rPr>
            </w:pPr>
          </w:p>
        </w:tc>
        <w:tc>
          <w:tcPr>
            <w:tcW w:w="1142" w:type="dxa"/>
          </w:tcPr>
          <w:p w14:paraId="696508E6"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Всего</w:t>
            </w:r>
          </w:p>
          <w:p w14:paraId="641351AB" w14:textId="77777777" w:rsidR="0064595E" w:rsidRPr="00405303" w:rsidRDefault="0064595E" w:rsidP="00C15251">
            <w:pPr>
              <w:shd w:val="clear" w:color="auto" w:fill="FFFFFF"/>
              <w:jc w:val="both"/>
              <w:rPr>
                <w:bCs/>
                <w:color w:val="002060"/>
                <w:sz w:val="16"/>
                <w:szCs w:val="16"/>
              </w:rPr>
            </w:pPr>
          </w:p>
        </w:tc>
      </w:tr>
      <w:tr w:rsidR="0064595E" w:rsidRPr="00405303" w14:paraId="23976DCD" w14:textId="77777777" w:rsidTr="00D34AC1">
        <w:trPr>
          <w:trHeight w:val="605"/>
        </w:trPr>
        <w:tc>
          <w:tcPr>
            <w:tcW w:w="1498" w:type="dxa"/>
          </w:tcPr>
          <w:p w14:paraId="76C532BF"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 xml:space="preserve">76-мм шрапнели 76-мм </w:t>
            </w:r>
            <w:proofErr w:type="gramStart"/>
            <w:r w:rsidRPr="00405303">
              <w:rPr>
                <w:bCs/>
                <w:color w:val="002060"/>
                <w:sz w:val="16"/>
                <w:szCs w:val="16"/>
              </w:rPr>
              <w:t>гранаты</w:t>
            </w:r>
            <w:proofErr w:type="gramEnd"/>
            <w:r w:rsidRPr="00405303">
              <w:rPr>
                <w:bCs/>
                <w:color w:val="002060"/>
                <w:sz w:val="16"/>
                <w:szCs w:val="16"/>
              </w:rPr>
              <w:t xml:space="preserve"> Всего 76-мм</w:t>
            </w:r>
          </w:p>
          <w:p w14:paraId="0638C446" w14:textId="77777777" w:rsidR="0064595E" w:rsidRPr="00405303" w:rsidRDefault="0064595E" w:rsidP="00C15251">
            <w:pPr>
              <w:shd w:val="clear" w:color="auto" w:fill="FFFFFF"/>
              <w:jc w:val="both"/>
              <w:rPr>
                <w:bCs/>
                <w:color w:val="002060"/>
                <w:sz w:val="16"/>
                <w:szCs w:val="16"/>
              </w:rPr>
            </w:pPr>
          </w:p>
        </w:tc>
        <w:tc>
          <w:tcPr>
            <w:tcW w:w="720" w:type="dxa"/>
          </w:tcPr>
          <w:p w14:paraId="4ACE60B6"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78 800 78800</w:t>
            </w:r>
          </w:p>
          <w:p w14:paraId="6A60F131" w14:textId="77777777" w:rsidR="0064595E" w:rsidRPr="00405303" w:rsidRDefault="0064595E" w:rsidP="00C15251">
            <w:pPr>
              <w:shd w:val="clear" w:color="auto" w:fill="FFFFFF"/>
              <w:jc w:val="both"/>
              <w:rPr>
                <w:bCs/>
                <w:color w:val="002060"/>
                <w:sz w:val="16"/>
                <w:szCs w:val="16"/>
              </w:rPr>
            </w:pPr>
          </w:p>
        </w:tc>
        <w:tc>
          <w:tcPr>
            <w:tcW w:w="960" w:type="dxa"/>
          </w:tcPr>
          <w:p w14:paraId="2411E528"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6 807 300 2018500 8 825 800</w:t>
            </w:r>
          </w:p>
          <w:p w14:paraId="5D90E8C6" w14:textId="77777777" w:rsidR="0064595E" w:rsidRPr="00405303" w:rsidRDefault="0064595E" w:rsidP="00C15251">
            <w:pPr>
              <w:shd w:val="clear" w:color="auto" w:fill="FFFFFF"/>
              <w:jc w:val="both"/>
              <w:rPr>
                <w:bCs/>
                <w:color w:val="002060"/>
                <w:sz w:val="16"/>
                <w:szCs w:val="16"/>
              </w:rPr>
            </w:pPr>
          </w:p>
        </w:tc>
        <w:tc>
          <w:tcPr>
            <w:tcW w:w="1066" w:type="dxa"/>
          </w:tcPr>
          <w:p w14:paraId="1B3EEB71"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1 1 377 200 15521 800 26 899 000</w:t>
            </w:r>
          </w:p>
          <w:p w14:paraId="57DB1D06" w14:textId="77777777" w:rsidR="0064595E" w:rsidRPr="00405303" w:rsidRDefault="0064595E" w:rsidP="00C15251">
            <w:pPr>
              <w:shd w:val="clear" w:color="auto" w:fill="FFFFFF"/>
              <w:jc w:val="both"/>
              <w:rPr>
                <w:bCs/>
                <w:color w:val="002060"/>
                <w:sz w:val="16"/>
                <w:szCs w:val="16"/>
              </w:rPr>
            </w:pPr>
          </w:p>
        </w:tc>
        <w:tc>
          <w:tcPr>
            <w:tcW w:w="1018" w:type="dxa"/>
          </w:tcPr>
          <w:p w14:paraId="0BF55A41"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7 217 500 10 504 300 17 721 800</w:t>
            </w:r>
          </w:p>
          <w:p w14:paraId="5E9438BE" w14:textId="77777777" w:rsidR="0064595E" w:rsidRPr="00405303" w:rsidRDefault="0064595E" w:rsidP="00C15251">
            <w:pPr>
              <w:shd w:val="clear" w:color="auto" w:fill="FFFFFF"/>
              <w:jc w:val="both"/>
              <w:rPr>
                <w:bCs/>
                <w:color w:val="002060"/>
                <w:sz w:val="16"/>
                <w:szCs w:val="16"/>
              </w:rPr>
            </w:pPr>
          </w:p>
        </w:tc>
        <w:tc>
          <w:tcPr>
            <w:tcW w:w="1142" w:type="dxa"/>
          </w:tcPr>
          <w:p w14:paraId="7751B5A6"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25 480 800 28 044 600 53 525 400</w:t>
            </w:r>
          </w:p>
          <w:p w14:paraId="14B29F56" w14:textId="77777777" w:rsidR="0064595E" w:rsidRPr="00405303" w:rsidRDefault="0064595E" w:rsidP="00C15251">
            <w:pPr>
              <w:shd w:val="clear" w:color="auto" w:fill="FFFFFF"/>
              <w:jc w:val="both"/>
              <w:rPr>
                <w:bCs/>
                <w:color w:val="002060"/>
                <w:sz w:val="16"/>
                <w:szCs w:val="16"/>
              </w:rPr>
            </w:pPr>
          </w:p>
        </w:tc>
      </w:tr>
      <w:tr w:rsidR="0064595E" w:rsidRPr="00405303" w14:paraId="74F823E4" w14:textId="77777777" w:rsidTr="00D34AC1">
        <w:trPr>
          <w:trHeight w:val="355"/>
        </w:trPr>
        <w:tc>
          <w:tcPr>
            <w:tcW w:w="1498" w:type="dxa"/>
          </w:tcPr>
          <w:p w14:paraId="035C16DC"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снарядов 122-мм гранаты и</w:t>
            </w:r>
          </w:p>
          <w:p w14:paraId="7EE5B109" w14:textId="77777777" w:rsidR="0064595E" w:rsidRPr="00405303" w:rsidRDefault="0064595E" w:rsidP="00C15251">
            <w:pPr>
              <w:shd w:val="clear" w:color="auto" w:fill="FFFFFF"/>
              <w:jc w:val="both"/>
              <w:rPr>
                <w:bCs/>
                <w:color w:val="002060"/>
                <w:sz w:val="16"/>
                <w:szCs w:val="16"/>
              </w:rPr>
            </w:pPr>
          </w:p>
        </w:tc>
        <w:tc>
          <w:tcPr>
            <w:tcW w:w="720" w:type="dxa"/>
          </w:tcPr>
          <w:p w14:paraId="4CC5B289"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24000</w:t>
            </w:r>
          </w:p>
          <w:p w14:paraId="575F0CCE" w14:textId="77777777" w:rsidR="0064595E" w:rsidRPr="00405303" w:rsidRDefault="0064595E" w:rsidP="00C15251">
            <w:pPr>
              <w:shd w:val="clear" w:color="auto" w:fill="FFFFFF"/>
              <w:jc w:val="both"/>
              <w:rPr>
                <w:bCs/>
                <w:color w:val="002060"/>
                <w:sz w:val="16"/>
                <w:szCs w:val="16"/>
              </w:rPr>
            </w:pPr>
          </w:p>
        </w:tc>
        <w:tc>
          <w:tcPr>
            <w:tcW w:w="960" w:type="dxa"/>
          </w:tcPr>
          <w:p w14:paraId="747B2F46"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358 938</w:t>
            </w:r>
          </w:p>
          <w:p w14:paraId="34D1749C" w14:textId="77777777" w:rsidR="0064595E" w:rsidRPr="00405303" w:rsidRDefault="0064595E" w:rsidP="00C15251">
            <w:pPr>
              <w:shd w:val="clear" w:color="auto" w:fill="FFFFFF"/>
              <w:jc w:val="both"/>
              <w:rPr>
                <w:bCs/>
                <w:color w:val="002060"/>
                <w:sz w:val="16"/>
                <w:szCs w:val="16"/>
              </w:rPr>
            </w:pPr>
          </w:p>
        </w:tc>
        <w:tc>
          <w:tcPr>
            <w:tcW w:w="1066" w:type="dxa"/>
          </w:tcPr>
          <w:p w14:paraId="627358F7"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2212512</w:t>
            </w:r>
          </w:p>
          <w:p w14:paraId="7E28E2D4" w14:textId="77777777" w:rsidR="0064595E" w:rsidRPr="00405303" w:rsidRDefault="0064595E" w:rsidP="00C15251">
            <w:pPr>
              <w:shd w:val="clear" w:color="auto" w:fill="FFFFFF"/>
              <w:jc w:val="both"/>
              <w:rPr>
                <w:bCs/>
                <w:color w:val="002060"/>
                <w:sz w:val="16"/>
                <w:szCs w:val="16"/>
              </w:rPr>
            </w:pPr>
          </w:p>
        </w:tc>
        <w:tc>
          <w:tcPr>
            <w:tcW w:w="1018" w:type="dxa"/>
          </w:tcPr>
          <w:p w14:paraId="0192DCD3"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3 238 404</w:t>
            </w:r>
          </w:p>
          <w:p w14:paraId="7A2E3D3A" w14:textId="77777777" w:rsidR="0064595E" w:rsidRPr="00405303" w:rsidRDefault="0064595E" w:rsidP="00C15251">
            <w:pPr>
              <w:shd w:val="clear" w:color="auto" w:fill="FFFFFF"/>
              <w:jc w:val="both"/>
              <w:rPr>
                <w:bCs/>
                <w:color w:val="002060"/>
                <w:sz w:val="16"/>
                <w:szCs w:val="16"/>
              </w:rPr>
            </w:pPr>
          </w:p>
        </w:tc>
        <w:tc>
          <w:tcPr>
            <w:tcW w:w="1142" w:type="dxa"/>
          </w:tcPr>
          <w:p w14:paraId="5AEFCB36"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5 833 854</w:t>
            </w:r>
          </w:p>
          <w:p w14:paraId="3C53C6A3" w14:textId="77777777" w:rsidR="0064595E" w:rsidRPr="00405303" w:rsidRDefault="0064595E" w:rsidP="00C15251">
            <w:pPr>
              <w:shd w:val="clear" w:color="auto" w:fill="FFFFFF"/>
              <w:jc w:val="both"/>
              <w:rPr>
                <w:bCs/>
                <w:color w:val="002060"/>
                <w:sz w:val="16"/>
                <w:szCs w:val="16"/>
              </w:rPr>
            </w:pPr>
          </w:p>
        </w:tc>
      </w:tr>
      <w:tr w:rsidR="0064595E" w:rsidRPr="00405303" w14:paraId="3528167D" w14:textId="77777777" w:rsidTr="00D34AC1">
        <w:trPr>
          <w:trHeight w:val="346"/>
        </w:trPr>
        <w:tc>
          <w:tcPr>
            <w:tcW w:w="1498" w:type="dxa"/>
          </w:tcPr>
          <w:p w14:paraId="6E85E95F"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шрапнели 107-мм гранаты и</w:t>
            </w:r>
          </w:p>
          <w:p w14:paraId="2256D1FB" w14:textId="77777777" w:rsidR="0064595E" w:rsidRPr="00405303" w:rsidRDefault="0064595E" w:rsidP="00C15251">
            <w:pPr>
              <w:shd w:val="clear" w:color="auto" w:fill="FFFFFF"/>
              <w:jc w:val="both"/>
              <w:rPr>
                <w:bCs/>
                <w:color w:val="002060"/>
                <w:sz w:val="16"/>
                <w:szCs w:val="16"/>
              </w:rPr>
            </w:pPr>
          </w:p>
        </w:tc>
        <w:tc>
          <w:tcPr>
            <w:tcW w:w="720" w:type="dxa"/>
          </w:tcPr>
          <w:p w14:paraId="77C25662"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_</w:t>
            </w:r>
          </w:p>
          <w:p w14:paraId="7578E363" w14:textId="77777777" w:rsidR="0064595E" w:rsidRPr="00405303" w:rsidRDefault="0064595E" w:rsidP="00C15251">
            <w:pPr>
              <w:shd w:val="clear" w:color="auto" w:fill="FFFFFF"/>
              <w:jc w:val="both"/>
              <w:rPr>
                <w:bCs/>
                <w:color w:val="002060"/>
                <w:sz w:val="16"/>
                <w:szCs w:val="16"/>
              </w:rPr>
            </w:pPr>
          </w:p>
        </w:tc>
        <w:tc>
          <w:tcPr>
            <w:tcW w:w="960" w:type="dxa"/>
          </w:tcPr>
          <w:p w14:paraId="39B83B7C"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243 589</w:t>
            </w:r>
          </w:p>
          <w:p w14:paraId="6BCEDAE3" w14:textId="77777777" w:rsidR="0064595E" w:rsidRPr="00405303" w:rsidRDefault="0064595E" w:rsidP="00C15251">
            <w:pPr>
              <w:shd w:val="clear" w:color="auto" w:fill="FFFFFF"/>
              <w:jc w:val="both"/>
              <w:rPr>
                <w:bCs/>
                <w:color w:val="002060"/>
                <w:sz w:val="16"/>
                <w:szCs w:val="16"/>
              </w:rPr>
            </w:pPr>
          </w:p>
        </w:tc>
        <w:tc>
          <w:tcPr>
            <w:tcW w:w="1066" w:type="dxa"/>
          </w:tcPr>
          <w:p w14:paraId="79B0244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720812</w:t>
            </w:r>
          </w:p>
          <w:p w14:paraId="756DCFA0" w14:textId="77777777" w:rsidR="0064595E" w:rsidRPr="00405303" w:rsidRDefault="0064595E" w:rsidP="00C15251">
            <w:pPr>
              <w:shd w:val="clear" w:color="auto" w:fill="FFFFFF"/>
              <w:jc w:val="both"/>
              <w:rPr>
                <w:bCs/>
                <w:color w:val="002060"/>
                <w:sz w:val="16"/>
                <w:szCs w:val="16"/>
              </w:rPr>
            </w:pPr>
          </w:p>
        </w:tc>
        <w:tc>
          <w:tcPr>
            <w:tcW w:w="1018" w:type="dxa"/>
          </w:tcPr>
          <w:p w14:paraId="10C320B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759 487</w:t>
            </w:r>
          </w:p>
          <w:p w14:paraId="28CBD6FE" w14:textId="77777777" w:rsidR="0064595E" w:rsidRPr="00405303" w:rsidRDefault="0064595E" w:rsidP="00C15251">
            <w:pPr>
              <w:shd w:val="clear" w:color="auto" w:fill="FFFFFF"/>
              <w:jc w:val="both"/>
              <w:rPr>
                <w:bCs/>
                <w:color w:val="002060"/>
                <w:sz w:val="16"/>
                <w:szCs w:val="16"/>
              </w:rPr>
            </w:pPr>
          </w:p>
        </w:tc>
        <w:tc>
          <w:tcPr>
            <w:tcW w:w="1142" w:type="dxa"/>
          </w:tcPr>
          <w:p w14:paraId="2F038A11"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1 723 888</w:t>
            </w:r>
          </w:p>
          <w:p w14:paraId="35D48611" w14:textId="77777777" w:rsidR="0064595E" w:rsidRPr="00405303" w:rsidRDefault="0064595E" w:rsidP="00C15251">
            <w:pPr>
              <w:shd w:val="clear" w:color="auto" w:fill="FFFFFF"/>
              <w:jc w:val="both"/>
              <w:rPr>
                <w:bCs/>
                <w:color w:val="002060"/>
                <w:sz w:val="16"/>
                <w:szCs w:val="16"/>
              </w:rPr>
            </w:pPr>
          </w:p>
        </w:tc>
      </w:tr>
      <w:tr w:rsidR="0064595E" w:rsidRPr="00405303" w14:paraId="4505804E" w14:textId="77777777" w:rsidTr="00D34AC1">
        <w:trPr>
          <w:trHeight w:val="1190"/>
        </w:trPr>
        <w:tc>
          <w:tcPr>
            <w:tcW w:w="1498" w:type="dxa"/>
          </w:tcPr>
          <w:p w14:paraId="5DF38ADB"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шрапнели 152-мм гранаты 203-мм фанаты 254-мм гранаты 280-мм гранаты 305-мм гранаты</w:t>
            </w:r>
          </w:p>
          <w:p w14:paraId="6322DE68" w14:textId="77777777" w:rsidR="0064595E" w:rsidRPr="00405303" w:rsidRDefault="0064595E" w:rsidP="00C15251">
            <w:pPr>
              <w:shd w:val="clear" w:color="auto" w:fill="FFFFFF"/>
              <w:jc w:val="both"/>
              <w:rPr>
                <w:bCs/>
                <w:color w:val="002060"/>
                <w:sz w:val="16"/>
                <w:szCs w:val="16"/>
              </w:rPr>
            </w:pPr>
          </w:p>
        </w:tc>
        <w:tc>
          <w:tcPr>
            <w:tcW w:w="720" w:type="dxa"/>
          </w:tcPr>
          <w:p w14:paraId="4BBB165F"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2100</w:t>
            </w:r>
          </w:p>
          <w:p w14:paraId="63560523" w14:textId="77777777" w:rsidR="0064595E" w:rsidRPr="00405303" w:rsidRDefault="0064595E" w:rsidP="00C15251">
            <w:pPr>
              <w:shd w:val="clear" w:color="auto" w:fill="FFFFFF"/>
              <w:jc w:val="both"/>
              <w:rPr>
                <w:bCs/>
                <w:color w:val="002060"/>
                <w:sz w:val="16"/>
                <w:szCs w:val="16"/>
              </w:rPr>
            </w:pPr>
          </w:p>
        </w:tc>
        <w:tc>
          <w:tcPr>
            <w:tcW w:w="960" w:type="dxa"/>
          </w:tcPr>
          <w:p w14:paraId="76100C9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131 724</w:t>
            </w:r>
          </w:p>
          <w:p w14:paraId="60C101BB"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0 237 1 600</w:t>
            </w:r>
          </w:p>
          <w:p w14:paraId="676C5858" w14:textId="77777777" w:rsidR="0064595E" w:rsidRPr="00405303" w:rsidRDefault="0064595E" w:rsidP="00C15251">
            <w:pPr>
              <w:shd w:val="clear" w:color="auto" w:fill="FFFFFF"/>
              <w:jc w:val="both"/>
              <w:rPr>
                <w:bCs/>
                <w:color w:val="002060"/>
                <w:sz w:val="16"/>
                <w:szCs w:val="16"/>
              </w:rPr>
            </w:pPr>
          </w:p>
        </w:tc>
        <w:tc>
          <w:tcPr>
            <w:tcW w:w="1066" w:type="dxa"/>
          </w:tcPr>
          <w:p w14:paraId="42861A03"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1 130433</w:t>
            </w:r>
          </w:p>
          <w:p w14:paraId="2DA0AA1A"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8590 3 331</w:t>
            </w:r>
          </w:p>
          <w:p w14:paraId="07AA6617" w14:textId="77777777" w:rsidR="0064595E" w:rsidRPr="00405303" w:rsidRDefault="0064595E" w:rsidP="00C15251">
            <w:pPr>
              <w:shd w:val="clear" w:color="auto" w:fill="FFFFFF"/>
              <w:jc w:val="both"/>
              <w:rPr>
                <w:bCs/>
                <w:color w:val="002060"/>
                <w:sz w:val="16"/>
                <w:szCs w:val="16"/>
              </w:rPr>
            </w:pPr>
          </w:p>
        </w:tc>
        <w:tc>
          <w:tcPr>
            <w:tcW w:w="1018" w:type="dxa"/>
          </w:tcPr>
          <w:p w14:paraId="2F1B2E23"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2676 164 3535 270 6520</w:t>
            </w:r>
          </w:p>
          <w:p w14:paraId="40C5CDE1"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7372</w:t>
            </w:r>
          </w:p>
          <w:p w14:paraId="7F78106B" w14:textId="77777777" w:rsidR="0064595E" w:rsidRPr="00405303" w:rsidRDefault="0064595E" w:rsidP="00C15251">
            <w:pPr>
              <w:shd w:val="clear" w:color="auto" w:fill="FFFFFF"/>
              <w:jc w:val="both"/>
              <w:rPr>
                <w:bCs/>
                <w:color w:val="002060"/>
                <w:sz w:val="16"/>
                <w:szCs w:val="16"/>
              </w:rPr>
            </w:pPr>
          </w:p>
        </w:tc>
        <w:tc>
          <w:tcPr>
            <w:tcW w:w="1142" w:type="dxa"/>
          </w:tcPr>
          <w:p w14:paraId="3C1AD75A"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3 938 321 3535 270 23447 12 303</w:t>
            </w:r>
          </w:p>
          <w:p w14:paraId="6CC4628C" w14:textId="77777777" w:rsidR="0064595E" w:rsidRPr="00405303" w:rsidRDefault="0064595E" w:rsidP="00C15251">
            <w:pPr>
              <w:shd w:val="clear" w:color="auto" w:fill="FFFFFF"/>
              <w:jc w:val="both"/>
              <w:rPr>
                <w:bCs/>
                <w:color w:val="002060"/>
                <w:sz w:val="16"/>
                <w:szCs w:val="16"/>
              </w:rPr>
            </w:pPr>
          </w:p>
        </w:tc>
      </w:tr>
      <w:tr w:rsidR="0064595E" w:rsidRPr="00405303" w14:paraId="3D500400" w14:textId="77777777" w:rsidTr="00D34AC1">
        <w:trPr>
          <w:trHeight w:val="442"/>
        </w:trPr>
        <w:tc>
          <w:tcPr>
            <w:tcW w:w="1498" w:type="dxa"/>
          </w:tcPr>
          <w:p w14:paraId="7F181C74"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lastRenderedPageBreak/>
              <w:t>Всего</w:t>
            </w:r>
          </w:p>
          <w:p w14:paraId="5B089276" w14:textId="77777777" w:rsidR="0064595E" w:rsidRPr="00405303" w:rsidRDefault="0064595E" w:rsidP="00C15251">
            <w:pPr>
              <w:shd w:val="clear" w:color="auto" w:fill="FFFFFF"/>
              <w:jc w:val="both"/>
              <w:rPr>
                <w:bCs/>
                <w:color w:val="002060"/>
                <w:sz w:val="16"/>
                <w:szCs w:val="16"/>
              </w:rPr>
            </w:pPr>
          </w:p>
        </w:tc>
        <w:tc>
          <w:tcPr>
            <w:tcW w:w="720" w:type="dxa"/>
          </w:tcPr>
          <w:p w14:paraId="72E7B0AD"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104 900</w:t>
            </w:r>
          </w:p>
          <w:p w14:paraId="3D71C7B2" w14:textId="77777777" w:rsidR="0064595E" w:rsidRPr="00405303" w:rsidRDefault="0064595E" w:rsidP="00C15251">
            <w:pPr>
              <w:shd w:val="clear" w:color="auto" w:fill="FFFFFF"/>
              <w:jc w:val="both"/>
              <w:rPr>
                <w:bCs/>
                <w:color w:val="002060"/>
                <w:sz w:val="16"/>
                <w:szCs w:val="16"/>
              </w:rPr>
            </w:pPr>
          </w:p>
        </w:tc>
        <w:tc>
          <w:tcPr>
            <w:tcW w:w="960" w:type="dxa"/>
          </w:tcPr>
          <w:p w14:paraId="5106D267"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9 567 888</w:t>
            </w:r>
          </w:p>
          <w:p w14:paraId="0DC291FD" w14:textId="77777777" w:rsidR="0064595E" w:rsidRPr="00405303" w:rsidRDefault="0064595E" w:rsidP="00C15251">
            <w:pPr>
              <w:shd w:val="clear" w:color="auto" w:fill="FFFFFF"/>
              <w:jc w:val="both"/>
              <w:rPr>
                <w:bCs/>
                <w:color w:val="002060"/>
                <w:sz w:val="16"/>
                <w:szCs w:val="16"/>
              </w:rPr>
            </w:pPr>
          </w:p>
        </w:tc>
        <w:tc>
          <w:tcPr>
            <w:tcW w:w="1066" w:type="dxa"/>
          </w:tcPr>
          <w:p w14:paraId="7C673ED8"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30 974 678</w:t>
            </w:r>
          </w:p>
          <w:p w14:paraId="1FE2DD8E" w14:textId="77777777" w:rsidR="0064595E" w:rsidRPr="00405303" w:rsidRDefault="0064595E" w:rsidP="00C15251">
            <w:pPr>
              <w:shd w:val="clear" w:color="auto" w:fill="FFFFFF"/>
              <w:jc w:val="both"/>
              <w:rPr>
                <w:bCs/>
                <w:color w:val="002060"/>
                <w:sz w:val="16"/>
                <w:szCs w:val="16"/>
              </w:rPr>
            </w:pPr>
          </w:p>
        </w:tc>
        <w:tc>
          <w:tcPr>
            <w:tcW w:w="1018" w:type="dxa"/>
          </w:tcPr>
          <w:p w14:paraId="5D5A5871"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24 413 552</w:t>
            </w:r>
          </w:p>
          <w:p w14:paraId="6DFFC84E" w14:textId="77777777" w:rsidR="0064595E" w:rsidRPr="00405303" w:rsidRDefault="0064595E" w:rsidP="00C15251">
            <w:pPr>
              <w:shd w:val="clear" w:color="auto" w:fill="FFFFFF"/>
              <w:jc w:val="both"/>
              <w:rPr>
                <w:bCs/>
                <w:color w:val="002060"/>
                <w:sz w:val="16"/>
                <w:szCs w:val="16"/>
              </w:rPr>
            </w:pPr>
          </w:p>
        </w:tc>
        <w:tc>
          <w:tcPr>
            <w:tcW w:w="1142" w:type="dxa"/>
          </w:tcPr>
          <w:p w14:paraId="08B44FB3"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65061 018</w:t>
            </w:r>
          </w:p>
          <w:p w14:paraId="08624725" w14:textId="77777777" w:rsidR="0064595E" w:rsidRPr="00405303" w:rsidRDefault="0064595E" w:rsidP="00C15251">
            <w:pPr>
              <w:shd w:val="clear" w:color="auto" w:fill="FFFFFF"/>
              <w:jc w:val="both"/>
              <w:rPr>
                <w:bCs/>
                <w:color w:val="002060"/>
                <w:sz w:val="16"/>
                <w:szCs w:val="16"/>
              </w:rPr>
            </w:pPr>
          </w:p>
        </w:tc>
      </w:tr>
    </w:tbl>
    <w:p w14:paraId="41B63843"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варе 1916 г., т. е. через 11 месяцев. Максимальной интенсивности производство достигло в декабре 1916 г.</w:t>
      </w:r>
    </w:p>
    <w:p w14:paraId="06992807"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Организация генерала С. Н. Ванкова сыграла огромную роль в снабжении русской армии боеприпасами в первую мировую войну [5, с. 130, 198].</w:t>
      </w:r>
    </w:p>
    <w:p w14:paraId="3CA1452C"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Всего казенные и частные заводы изготовили для нужд армии 65061018 снарядов, из них 76-мм — 53 525 400 (табл. 1.10) [5, с. 198] (5484).</w:t>
      </w:r>
    </w:p>
    <w:p w14:paraId="11E77E68" w14:textId="77777777" w:rsidR="0064595E" w:rsidRPr="00405303" w:rsidRDefault="0064595E" w:rsidP="00C15251">
      <w:pPr>
        <w:jc w:val="both"/>
        <w:rPr>
          <w:bCs/>
          <w:i/>
          <w:color w:val="002060"/>
          <w:sz w:val="16"/>
          <w:szCs w:val="16"/>
        </w:rPr>
      </w:pPr>
    </w:p>
    <w:p w14:paraId="78E911F4"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В июне 1915 г. была подготовлена Записка члена Государственного совета Г. А. Крестовникова о положении механической промышленности в России</w:t>
      </w:r>
    </w:p>
    <w:p w14:paraId="2062A3FF"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Несколько цифр и соображений для правильного освещения положения нашей меха</w:t>
      </w:r>
      <w:r w:rsidRPr="00405303">
        <w:rPr>
          <w:bCs/>
          <w:color w:val="002060"/>
          <w:sz w:val="16"/>
          <w:szCs w:val="16"/>
        </w:rPr>
        <w:softHyphen/>
        <w:t>нической промышленности и той помощи, на которую может рассчитывать от нее воен</w:t>
      </w:r>
      <w:r w:rsidRPr="00405303">
        <w:rPr>
          <w:bCs/>
          <w:color w:val="002060"/>
          <w:sz w:val="16"/>
          <w:szCs w:val="16"/>
        </w:rPr>
        <w:softHyphen/>
        <w:t>ное ведомство в делах снабжения нашей доблестной армии снарядами.</w:t>
      </w:r>
    </w:p>
    <w:p w14:paraId="033A25E9"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Механическая промышленность, как известно, у наших врагов, особенно в Герма</w:t>
      </w:r>
      <w:r w:rsidRPr="00405303">
        <w:rPr>
          <w:bCs/>
          <w:color w:val="002060"/>
          <w:sz w:val="16"/>
          <w:szCs w:val="16"/>
        </w:rPr>
        <w:softHyphen/>
        <w:t>нии, находится на весьма высокой степени развития. За удовлетворением потребности своей страны Германия изготовляла массу машин на вывоз в другие страны, на экспорт.</w:t>
      </w:r>
    </w:p>
    <w:p w14:paraId="68CD1EE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Вывоз машин, аппаратов, автомобилей, оружия и других предметов механической промышленности у наших врагов— в Германии и Австрии, по статистическим данным этих стран за 1912 г., в переводе на русский вес и русскую ценность выражался в следую</w:t>
      </w:r>
      <w:r w:rsidRPr="00405303">
        <w:rPr>
          <w:bCs/>
          <w:color w:val="002060"/>
          <w:sz w:val="16"/>
          <w:szCs w:val="16"/>
        </w:rPr>
        <w:softHyphen/>
        <w:t>щих цифрах: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64595E" w:rsidRPr="00405303" w14:paraId="41359F4C" w14:textId="77777777" w:rsidTr="00D34AC1">
        <w:tc>
          <w:tcPr>
            <w:tcW w:w="3736" w:type="dxa"/>
            <w:shd w:val="clear" w:color="auto" w:fill="FFFFFF"/>
          </w:tcPr>
          <w:p w14:paraId="20286EA7" w14:textId="77777777" w:rsidR="0064595E" w:rsidRPr="00405303" w:rsidRDefault="0064595E" w:rsidP="00C15251">
            <w:pPr>
              <w:jc w:val="both"/>
              <w:rPr>
                <w:bCs/>
                <w:color w:val="002060"/>
                <w:sz w:val="16"/>
                <w:szCs w:val="16"/>
              </w:rPr>
            </w:pPr>
            <w:r w:rsidRPr="00405303">
              <w:rPr>
                <w:bCs/>
                <w:color w:val="002060"/>
                <w:sz w:val="16"/>
                <w:szCs w:val="16"/>
              </w:rPr>
              <w:t>Вывоз</w:t>
            </w:r>
          </w:p>
        </w:tc>
        <w:tc>
          <w:tcPr>
            <w:tcW w:w="3736" w:type="dxa"/>
            <w:shd w:val="clear" w:color="auto" w:fill="FFFFFF"/>
          </w:tcPr>
          <w:p w14:paraId="4A29AD25" w14:textId="77777777" w:rsidR="0064595E" w:rsidRPr="00405303" w:rsidRDefault="0064595E" w:rsidP="00C15251">
            <w:pPr>
              <w:jc w:val="both"/>
              <w:rPr>
                <w:bCs/>
                <w:color w:val="002060"/>
                <w:sz w:val="16"/>
                <w:szCs w:val="16"/>
              </w:rPr>
            </w:pPr>
            <w:r w:rsidRPr="00405303">
              <w:rPr>
                <w:bCs/>
                <w:color w:val="002060"/>
                <w:sz w:val="16"/>
                <w:szCs w:val="16"/>
              </w:rPr>
              <w:t>Из Германии</w:t>
            </w:r>
          </w:p>
        </w:tc>
        <w:tc>
          <w:tcPr>
            <w:tcW w:w="3736" w:type="dxa"/>
            <w:shd w:val="clear" w:color="auto" w:fill="FFFFFF"/>
          </w:tcPr>
          <w:p w14:paraId="3BE45249" w14:textId="77777777" w:rsidR="0064595E" w:rsidRPr="00405303" w:rsidRDefault="0064595E" w:rsidP="00C15251">
            <w:pPr>
              <w:jc w:val="both"/>
              <w:rPr>
                <w:bCs/>
                <w:color w:val="002060"/>
                <w:sz w:val="16"/>
                <w:szCs w:val="16"/>
              </w:rPr>
            </w:pPr>
            <w:r w:rsidRPr="00405303">
              <w:rPr>
                <w:bCs/>
                <w:color w:val="002060"/>
                <w:sz w:val="16"/>
                <w:szCs w:val="16"/>
              </w:rPr>
              <w:t>Из Австрии</w:t>
            </w:r>
          </w:p>
        </w:tc>
      </w:tr>
      <w:tr w:rsidR="0064595E" w:rsidRPr="00405303" w14:paraId="0CFE45D5" w14:textId="77777777" w:rsidTr="00D34AC1">
        <w:tc>
          <w:tcPr>
            <w:tcW w:w="3736" w:type="dxa"/>
            <w:shd w:val="clear" w:color="auto" w:fill="FFFFFF"/>
          </w:tcPr>
          <w:p w14:paraId="412D0C36" w14:textId="77777777" w:rsidR="0064595E" w:rsidRPr="00405303" w:rsidRDefault="0064595E" w:rsidP="00C15251">
            <w:pPr>
              <w:jc w:val="both"/>
              <w:rPr>
                <w:bCs/>
                <w:color w:val="002060"/>
                <w:sz w:val="16"/>
                <w:szCs w:val="16"/>
              </w:rPr>
            </w:pPr>
            <w:r w:rsidRPr="00405303">
              <w:rPr>
                <w:bCs/>
                <w:color w:val="002060"/>
                <w:sz w:val="16"/>
                <w:szCs w:val="16"/>
              </w:rPr>
              <w:t>Количество</w:t>
            </w:r>
          </w:p>
        </w:tc>
        <w:tc>
          <w:tcPr>
            <w:tcW w:w="3736" w:type="dxa"/>
            <w:shd w:val="clear" w:color="auto" w:fill="FFFFFF"/>
          </w:tcPr>
          <w:p w14:paraId="783A5924" w14:textId="77777777" w:rsidR="0064595E" w:rsidRPr="00405303" w:rsidRDefault="0064595E" w:rsidP="00C15251">
            <w:pPr>
              <w:jc w:val="both"/>
              <w:rPr>
                <w:bCs/>
                <w:color w:val="002060"/>
                <w:sz w:val="16"/>
                <w:szCs w:val="16"/>
              </w:rPr>
            </w:pPr>
            <w:r w:rsidRPr="00405303">
              <w:rPr>
                <w:bCs/>
                <w:color w:val="002060"/>
                <w:sz w:val="16"/>
                <w:szCs w:val="16"/>
              </w:rPr>
              <w:t>42 991 397 пуд.</w:t>
            </w:r>
          </w:p>
        </w:tc>
        <w:tc>
          <w:tcPr>
            <w:tcW w:w="3736" w:type="dxa"/>
            <w:shd w:val="clear" w:color="auto" w:fill="FFFFFF"/>
          </w:tcPr>
          <w:p w14:paraId="717ABF00" w14:textId="77777777" w:rsidR="0064595E" w:rsidRPr="00405303" w:rsidRDefault="0064595E" w:rsidP="00C15251">
            <w:pPr>
              <w:jc w:val="both"/>
              <w:rPr>
                <w:bCs/>
                <w:color w:val="002060"/>
                <w:sz w:val="16"/>
                <w:szCs w:val="16"/>
              </w:rPr>
            </w:pPr>
            <w:r w:rsidRPr="00405303">
              <w:rPr>
                <w:bCs/>
                <w:color w:val="002060"/>
                <w:sz w:val="16"/>
                <w:szCs w:val="16"/>
              </w:rPr>
              <w:t>2 199 176 пуд.</w:t>
            </w:r>
          </w:p>
        </w:tc>
      </w:tr>
      <w:tr w:rsidR="0064595E" w:rsidRPr="00405303" w14:paraId="536FBFB5" w14:textId="77777777" w:rsidTr="00D34AC1">
        <w:tc>
          <w:tcPr>
            <w:tcW w:w="3736" w:type="dxa"/>
            <w:shd w:val="clear" w:color="auto" w:fill="FFFFFF"/>
          </w:tcPr>
          <w:p w14:paraId="11C9C656" w14:textId="77777777" w:rsidR="0064595E" w:rsidRPr="00405303" w:rsidRDefault="0064595E" w:rsidP="00C15251">
            <w:pPr>
              <w:jc w:val="both"/>
              <w:rPr>
                <w:bCs/>
                <w:color w:val="002060"/>
                <w:sz w:val="16"/>
                <w:szCs w:val="16"/>
              </w:rPr>
            </w:pPr>
            <w:r w:rsidRPr="00405303">
              <w:rPr>
                <w:bCs/>
                <w:color w:val="002060"/>
                <w:sz w:val="16"/>
                <w:szCs w:val="16"/>
              </w:rPr>
              <w:t>Ценность</w:t>
            </w:r>
          </w:p>
        </w:tc>
        <w:tc>
          <w:tcPr>
            <w:tcW w:w="3736" w:type="dxa"/>
            <w:shd w:val="clear" w:color="auto" w:fill="FFFFFF"/>
          </w:tcPr>
          <w:p w14:paraId="04CA8F70" w14:textId="77777777" w:rsidR="0064595E" w:rsidRPr="00405303" w:rsidRDefault="0064595E" w:rsidP="00C15251">
            <w:pPr>
              <w:jc w:val="both"/>
              <w:rPr>
                <w:bCs/>
                <w:color w:val="002060"/>
                <w:sz w:val="16"/>
                <w:szCs w:val="16"/>
              </w:rPr>
            </w:pPr>
            <w:r w:rsidRPr="00405303">
              <w:rPr>
                <w:bCs/>
                <w:color w:val="002060"/>
                <w:sz w:val="16"/>
                <w:szCs w:val="16"/>
              </w:rPr>
              <w:t>419 736 817 руб.</w:t>
            </w:r>
          </w:p>
        </w:tc>
        <w:tc>
          <w:tcPr>
            <w:tcW w:w="3736" w:type="dxa"/>
            <w:shd w:val="clear" w:color="auto" w:fill="FFFFFF"/>
          </w:tcPr>
          <w:p w14:paraId="69ED6605" w14:textId="77777777" w:rsidR="0064595E" w:rsidRPr="00405303" w:rsidRDefault="0064595E" w:rsidP="00C15251">
            <w:pPr>
              <w:jc w:val="both"/>
              <w:rPr>
                <w:bCs/>
                <w:color w:val="002060"/>
                <w:sz w:val="16"/>
                <w:szCs w:val="16"/>
              </w:rPr>
            </w:pPr>
            <w:r w:rsidRPr="00405303">
              <w:rPr>
                <w:bCs/>
                <w:color w:val="002060"/>
                <w:sz w:val="16"/>
                <w:szCs w:val="16"/>
              </w:rPr>
              <w:t>19 153 717 руб.</w:t>
            </w:r>
          </w:p>
        </w:tc>
      </w:tr>
    </w:tbl>
    <w:p w14:paraId="011A6032"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С таким вывозом, как из Германии, соперничает только Англия.</w:t>
      </w:r>
    </w:p>
    <w:p w14:paraId="6BE8FEA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Подробности оборотов по ввозу и вывозу машин, аппаратов и пр. в разных странах см. в прилагаемых таблицах*.</w:t>
      </w:r>
    </w:p>
    <w:p w14:paraId="647F52F8"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Здесь отмечу только, что одних машин для обработки металлов Германия вывезла 3 481 941 пуд на сумму 29 773 678 рублей.</w:t>
      </w:r>
    </w:p>
    <w:p w14:paraId="039EDFEB"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Совершенно обратное положение занимает механическая промышленность в Рос</w:t>
      </w:r>
      <w:r w:rsidRPr="00405303">
        <w:rPr>
          <w:bCs/>
          <w:color w:val="002060"/>
          <w:sz w:val="16"/>
          <w:szCs w:val="16"/>
        </w:rPr>
        <w:softHyphen/>
        <w:t>сии. Под влиянием, с одной стороны, той же Германии, выговаривавшей в торговых договорах с Россией для разного рода машин пониженные таможенные ставки, а глав</w:t>
      </w:r>
      <w:r w:rsidRPr="00405303">
        <w:rPr>
          <w:bCs/>
          <w:color w:val="002060"/>
          <w:sz w:val="16"/>
          <w:szCs w:val="16"/>
        </w:rPr>
        <w:softHyphen/>
        <w:t>ным образом под влиянием не сознания нашего общества и нашего правительства в необходимости и важности иметь в стране свое, независимое от иностранцев, машино</w:t>
      </w:r>
      <w:r w:rsidRPr="00405303">
        <w:rPr>
          <w:bCs/>
          <w:color w:val="002060"/>
          <w:sz w:val="16"/>
          <w:szCs w:val="16"/>
        </w:rPr>
        <w:softHyphen/>
        <w:t>строение, русское машиностроение никогда не имело тех условий, при которых оно мог</w:t>
      </w:r>
      <w:r w:rsidRPr="00405303">
        <w:rPr>
          <w:bCs/>
          <w:color w:val="002060"/>
          <w:sz w:val="16"/>
          <w:szCs w:val="16"/>
        </w:rPr>
        <w:softHyphen/>
        <w:t xml:space="preserve">ло бы получить более или менее широкое развитие. Установленные по конвенциям, а частью и без конвенций, под влиянием взглядов общества и правительства, таможенные ставки на разного рода машины дают возможность изготовлять в России лишь весьма ограниченное количество машин, и </w:t>
      </w:r>
      <w:proofErr w:type="gramStart"/>
      <w:r w:rsidRPr="00405303">
        <w:rPr>
          <w:bCs/>
          <w:color w:val="002060"/>
          <w:sz w:val="16"/>
          <w:szCs w:val="16"/>
        </w:rPr>
        <w:t>притом наиболее простых</w:t>
      </w:r>
      <w:proofErr w:type="gramEnd"/>
      <w:r w:rsidRPr="00405303">
        <w:rPr>
          <w:bCs/>
          <w:color w:val="002060"/>
          <w:sz w:val="16"/>
          <w:szCs w:val="16"/>
        </w:rPr>
        <w:t xml:space="preserve"> и дешевых, для изготов</w:t>
      </w:r>
      <w:r w:rsidRPr="00405303">
        <w:rPr>
          <w:bCs/>
          <w:color w:val="002060"/>
          <w:sz w:val="16"/>
          <w:szCs w:val="16"/>
        </w:rPr>
        <w:softHyphen/>
        <w:t>ления которых не требуется и сложного оборудования фабрик и заводов. Потребность же страны в машинах удовлетворялась главным образом привозом из-за границы, приво</w:t>
      </w:r>
      <w:r w:rsidRPr="00405303">
        <w:rPr>
          <w:bCs/>
          <w:color w:val="002060"/>
          <w:sz w:val="16"/>
          <w:szCs w:val="16"/>
        </w:rPr>
        <w:softHyphen/>
        <w:t>зом, возраставшим ежегодно в колоссальных размерах.</w:t>
      </w:r>
    </w:p>
    <w:p w14:paraId="0100FC76"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Общий ввоз в Россию машин, аппаратов, автомобилей, оружия и других предметов механической промышленности (ст. ст. 152</w:t>
      </w:r>
      <w:r w:rsidRPr="00405303">
        <w:rPr>
          <w:bCs/>
          <w:color w:val="002060"/>
          <w:sz w:val="16"/>
          <w:szCs w:val="16"/>
          <w:vertAlign w:val="superscript"/>
        </w:rPr>
        <w:t>1</w:t>
      </w:r>
      <w:r w:rsidRPr="00405303">
        <w:rPr>
          <w:bCs/>
          <w:color w:val="002060"/>
          <w:sz w:val="16"/>
          <w:szCs w:val="16"/>
        </w:rPr>
        <w:t>, 159, 167, 169'</w:t>
      </w:r>
      <w:r w:rsidRPr="00405303">
        <w:rPr>
          <w:bCs/>
          <w:color w:val="002060"/>
          <w:sz w:val="16"/>
          <w:szCs w:val="16"/>
          <w:vertAlign w:val="superscript"/>
        </w:rPr>
        <w:t>ж</w:t>
      </w:r>
      <w:r w:rsidRPr="00405303">
        <w:rPr>
          <w:bCs/>
          <w:color w:val="002060"/>
          <w:sz w:val="16"/>
          <w:szCs w:val="16"/>
        </w:rPr>
        <w:t>'</w:t>
      </w:r>
      <w:r w:rsidRPr="00405303">
        <w:rPr>
          <w:bCs/>
          <w:color w:val="002060"/>
          <w:sz w:val="16"/>
          <w:szCs w:val="16"/>
          <w:vertAlign w:val="superscript"/>
        </w:rPr>
        <w:t>и</w:t>
      </w:r>
      <w:r w:rsidRPr="00405303">
        <w:rPr>
          <w:bCs/>
          <w:color w:val="002060"/>
          <w:sz w:val="16"/>
          <w:szCs w:val="16"/>
        </w:rPr>
        <w:t>, 169</w:t>
      </w:r>
      <w:r w:rsidRPr="00405303">
        <w:rPr>
          <w:bCs/>
          <w:color w:val="002060"/>
          <w:sz w:val="16"/>
          <w:szCs w:val="16"/>
          <w:vertAlign w:val="superscript"/>
        </w:rPr>
        <w:t>2</w:t>
      </w:r>
      <w:r w:rsidRPr="00405303">
        <w:rPr>
          <w:bCs/>
          <w:color w:val="002060"/>
          <w:sz w:val="16"/>
          <w:szCs w:val="16"/>
        </w:rPr>
        <w:t>, 173</w:t>
      </w:r>
      <w:r w:rsidRPr="00405303">
        <w:rPr>
          <w:bCs/>
          <w:color w:val="002060"/>
          <w:sz w:val="16"/>
          <w:szCs w:val="16"/>
          <w:vertAlign w:val="superscript"/>
        </w:rPr>
        <w:t>3</w:t>
      </w:r>
      <w:r w:rsidRPr="00405303">
        <w:rPr>
          <w:bCs/>
          <w:color w:val="002060"/>
          <w:sz w:val="16"/>
          <w:szCs w:val="16"/>
        </w:rPr>
        <w:t>, 173</w:t>
      </w:r>
      <w:r w:rsidRPr="00405303">
        <w:rPr>
          <w:bCs/>
          <w:color w:val="002060"/>
          <w:sz w:val="16"/>
          <w:szCs w:val="16"/>
          <w:vertAlign w:val="superscript"/>
        </w:rPr>
        <w:t>6</w:t>
      </w:r>
      <w:r w:rsidRPr="00405303">
        <w:rPr>
          <w:bCs/>
          <w:color w:val="002060"/>
          <w:sz w:val="16"/>
          <w:szCs w:val="16"/>
        </w:rPr>
        <w:t>, 173</w:t>
      </w:r>
      <w:r w:rsidRPr="00405303">
        <w:rPr>
          <w:bCs/>
          <w:color w:val="002060"/>
          <w:sz w:val="16"/>
          <w:szCs w:val="16"/>
          <w:vertAlign w:val="superscript"/>
        </w:rPr>
        <w:t>7</w:t>
      </w:r>
      <w:r w:rsidRPr="00405303">
        <w:rPr>
          <w:bCs/>
          <w:color w:val="002060"/>
          <w:sz w:val="16"/>
          <w:szCs w:val="16"/>
        </w:rPr>
        <w:t>, 174 Обзора внешней торговли) по годам составлял:</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64595E" w:rsidRPr="00405303" w14:paraId="0216BD3D" w14:textId="77777777" w:rsidTr="00D34AC1">
        <w:tc>
          <w:tcPr>
            <w:tcW w:w="1601" w:type="dxa"/>
            <w:shd w:val="clear" w:color="auto" w:fill="FFFFFF"/>
          </w:tcPr>
          <w:p w14:paraId="1DE1F64A" w14:textId="77777777" w:rsidR="0064595E" w:rsidRPr="00405303" w:rsidRDefault="0064595E" w:rsidP="00C15251">
            <w:pPr>
              <w:jc w:val="both"/>
              <w:rPr>
                <w:bCs/>
                <w:color w:val="002060"/>
                <w:sz w:val="16"/>
                <w:szCs w:val="16"/>
              </w:rPr>
            </w:pPr>
          </w:p>
        </w:tc>
        <w:tc>
          <w:tcPr>
            <w:tcW w:w="1601" w:type="dxa"/>
            <w:shd w:val="clear" w:color="auto" w:fill="FFFFFF"/>
          </w:tcPr>
          <w:p w14:paraId="00B229F0" w14:textId="77777777" w:rsidR="0064595E" w:rsidRPr="00405303" w:rsidRDefault="0064595E" w:rsidP="00C15251">
            <w:pPr>
              <w:jc w:val="both"/>
              <w:rPr>
                <w:bCs/>
                <w:color w:val="002060"/>
                <w:sz w:val="16"/>
                <w:szCs w:val="16"/>
              </w:rPr>
            </w:pPr>
            <w:r w:rsidRPr="00405303">
              <w:rPr>
                <w:bCs/>
                <w:color w:val="002060"/>
                <w:sz w:val="16"/>
                <w:szCs w:val="16"/>
              </w:rPr>
              <w:t>В 1903 г.</w:t>
            </w:r>
          </w:p>
        </w:tc>
        <w:tc>
          <w:tcPr>
            <w:tcW w:w="1601" w:type="dxa"/>
            <w:shd w:val="clear" w:color="auto" w:fill="FFFFFF"/>
          </w:tcPr>
          <w:p w14:paraId="4DFF8BE1" w14:textId="77777777" w:rsidR="0064595E" w:rsidRPr="00405303" w:rsidRDefault="0064595E" w:rsidP="00C15251">
            <w:pPr>
              <w:jc w:val="both"/>
              <w:rPr>
                <w:bCs/>
                <w:color w:val="002060"/>
                <w:sz w:val="16"/>
                <w:szCs w:val="16"/>
              </w:rPr>
            </w:pPr>
            <w:r w:rsidRPr="00405303">
              <w:rPr>
                <w:bCs/>
                <w:color w:val="002060"/>
                <w:sz w:val="16"/>
                <w:szCs w:val="16"/>
              </w:rPr>
              <w:t>В 1905 г.</w:t>
            </w:r>
          </w:p>
        </w:tc>
        <w:tc>
          <w:tcPr>
            <w:tcW w:w="1601" w:type="dxa"/>
            <w:shd w:val="clear" w:color="auto" w:fill="FFFFFF"/>
          </w:tcPr>
          <w:p w14:paraId="5FA614F6" w14:textId="77777777" w:rsidR="0064595E" w:rsidRPr="00405303" w:rsidRDefault="0064595E" w:rsidP="00C15251">
            <w:pPr>
              <w:jc w:val="both"/>
              <w:rPr>
                <w:bCs/>
                <w:color w:val="002060"/>
                <w:sz w:val="16"/>
                <w:szCs w:val="16"/>
              </w:rPr>
            </w:pPr>
            <w:r w:rsidRPr="00405303">
              <w:rPr>
                <w:bCs/>
                <w:color w:val="002060"/>
                <w:sz w:val="16"/>
                <w:szCs w:val="16"/>
              </w:rPr>
              <w:t>В 1907 г.</w:t>
            </w:r>
          </w:p>
        </w:tc>
        <w:tc>
          <w:tcPr>
            <w:tcW w:w="1601" w:type="dxa"/>
            <w:shd w:val="clear" w:color="auto" w:fill="FFFFFF"/>
          </w:tcPr>
          <w:p w14:paraId="017F0361" w14:textId="77777777" w:rsidR="0064595E" w:rsidRPr="00405303" w:rsidRDefault="0064595E" w:rsidP="00C15251">
            <w:pPr>
              <w:jc w:val="both"/>
              <w:rPr>
                <w:bCs/>
                <w:color w:val="002060"/>
                <w:sz w:val="16"/>
                <w:szCs w:val="16"/>
              </w:rPr>
            </w:pPr>
            <w:r w:rsidRPr="00405303">
              <w:rPr>
                <w:bCs/>
                <w:color w:val="002060"/>
                <w:sz w:val="16"/>
                <w:szCs w:val="16"/>
              </w:rPr>
              <w:t>В 1909 г.</w:t>
            </w:r>
          </w:p>
        </w:tc>
        <w:tc>
          <w:tcPr>
            <w:tcW w:w="1601" w:type="dxa"/>
            <w:shd w:val="clear" w:color="auto" w:fill="FFFFFF"/>
          </w:tcPr>
          <w:p w14:paraId="00B143D5" w14:textId="77777777" w:rsidR="0064595E" w:rsidRPr="00405303" w:rsidRDefault="0064595E" w:rsidP="00C15251">
            <w:pPr>
              <w:jc w:val="both"/>
              <w:rPr>
                <w:bCs/>
                <w:color w:val="002060"/>
                <w:sz w:val="16"/>
                <w:szCs w:val="16"/>
              </w:rPr>
            </w:pPr>
            <w:r w:rsidRPr="00405303">
              <w:rPr>
                <w:bCs/>
                <w:color w:val="002060"/>
                <w:sz w:val="16"/>
                <w:szCs w:val="16"/>
              </w:rPr>
              <w:t>В 1911 г.</w:t>
            </w:r>
          </w:p>
        </w:tc>
        <w:tc>
          <w:tcPr>
            <w:tcW w:w="1601" w:type="dxa"/>
            <w:shd w:val="clear" w:color="auto" w:fill="FFFFFF"/>
          </w:tcPr>
          <w:p w14:paraId="2B840092" w14:textId="77777777" w:rsidR="0064595E" w:rsidRPr="00405303" w:rsidRDefault="0064595E" w:rsidP="00C15251">
            <w:pPr>
              <w:jc w:val="both"/>
              <w:rPr>
                <w:bCs/>
                <w:color w:val="002060"/>
                <w:sz w:val="16"/>
                <w:szCs w:val="16"/>
              </w:rPr>
            </w:pPr>
            <w:r w:rsidRPr="00405303">
              <w:rPr>
                <w:bCs/>
                <w:color w:val="002060"/>
                <w:sz w:val="16"/>
                <w:szCs w:val="16"/>
              </w:rPr>
              <w:t>В 1913 г.</w:t>
            </w:r>
          </w:p>
        </w:tc>
      </w:tr>
      <w:tr w:rsidR="0064595E" w:rsidRPr="00405303" w14:paraId="4D4E25FE" w14:textId="77777777" w:rsidTr="00D34AC1">
        <w:tc>
          <w:tcPr>
            <w:tcW w:w="1601" w:type="dxa"/>
            <w:shd w:val="clear" w:color="auto" w:fill="FFFFFF"/>
          </w:tcPr>
          <w:p w14:paraId="3D669055" w14:textId="77777777" w:rsidR="0064595E" w:rsidRPr="00405303" w:rsidRDefault="0064595E" w:rsidP="00C15251">
            <w:pPr>
              <w:jc w:val="both"/>
              <w:rPr>
                <w:bCs/>
                <w:color w:val="002060"/>
                <w:sz w:val="16"/>
                <w:szCs w:val="16"/>
              </w:rPr>
            </w:pPr>
            <w:r w:rsidRPr="00405303">
              <w:rPr>
                <w:bCs/>
                <w:color w:val="002060"/>
                <w:sz w:val="16"/>
                <w:szCs w:val="16"/>
              </w:rPr>
              <w:t>Количество в пуд.</w:t>
            </w:r>
          </w:p>
        </w:tc>
        <w:tc>
          <w:tcPr>
            <w:tcW w:w="1601" w:type="dxa"/>
            <w:shd w:val="clear" w:color="auto" w:fill="FFFFFF"/>
          </w:tcPr>
          <w:p w14:paraId="22BBF3CC" w14:textId="77777777" w:rsidR="0064595E" w:rsidRPr="00405303" w:rsidRDefault="0064595E" w:rsidP="00C15251">
            <w:pPr>
              <w:jc w:val="both"/>
              <w:rPr>
                <w:bCs/>
                <w:color w:val="002060"/>
                <w:sz w:val="16"/>
                <w:szCs w:val="16"/>
              </w:rPr>
            </w:pPr>
            <w:r w:rsidRPr="00405303">
              <w:rPr>
                <w:bCs/>
                <w:color w:val="002060"/>
                <w:sz w:val="16"/>
                <w:szCs w:val="16"/>
              </w:rPr>
              <w:t>8 921 470</w:t>
            </w:r>
          </w:p>
        </w:tc>
        <w:tc>
          <w:tcPr>
            <w:tcW w:w="1601" w:type="dxa"/>
            <w:shd w:val="clear" w:color="auto" w:fill="FFFFFF"/>
          </w:tcPr>
          <w:p w14:paraId="1F84A2EB" w14:textId="77777777" w:rsidR="0064595E" w:rsidRPr="00405303" w:rsidRDefault="0064595E" w:rsidP="00C15251">
            <w:pPr>
              <w:jc w:val="both"/>
              <w:rPr>
                <w:bCs/>
                <w:color w:val="002060"/>
                <w:sz w:val="16"/>
                <w:szCs w:val="16"/>
              </w:rPr>
            </w:pPr>
            <w:r w:rsidRPr="00405303">
              <w:rPr>
                <w:bCs/>
                <w:color w:val="002060"/>
                <w:sz w:val="16"/>
                <w:szCs w:val="16"/>
              </w:rPr>
              <w:t>8 211 482</w:t>
            </w:r>
          </w:p>
        </w:tc>
        <w:tc>
          <w:tcPr>
            <w:tcW w:w="1601" w:type="dxa"/>
            <w:shd w:val="clear" w:color="auto" w:fill="FFFFFF"/>
          </w:tcPr>
          <w:p w14:paraId="3E6AC1A0" w14:textId="77777777" w:rsidR="0064595E" w:rsidRPr="00405303" w:rsidRDefault="0064595E" w:rsidP="00C15251">
            <w:pPr>
              <w:jc w:val="both"/>
              <w:rPr>
                <w:bCs/>
                <w:color w:val="002060"/>
                <w:sz w:val="16"/>
                <w:szCs w:val="16"/>
              </w:rPr>
            </w:pPr>
            <w:r w:rsidRPr="00405303">
              <w:rPr>
                <w:bCs/>
                <w:color w:val="002060"/>
                <w:sz w:val="16"/>
                <w:szCs w:val="16"/>
              </w:rPr>
              <w:t>9 970 779</w:t>
            </w:r>
          </w:p>
        </w:tc>
        <w:tc>
          <w:tcPr>
            <w:tcW w:w="1601" w:type="dxa"/>
            <w:shd w:val="clear" w:color="auto" w:fill="FFFFFF"/>
          </w:tcPr>
          <w:p w14:paraId="2092F011" w14:textId="77777777" w:rsidR="0064595E" w:rsidRPr="00405303" w:rsidRDefault="0064595E" w:rsidP="00C15251">
            <w:pPr>
              <w:jc w:val="both"/>
              <w:rPr>
                <w:bCs/>
                <w:color w:val="002060"/>
                <w:sz w:val="16"/>
                <w:szCs w:val="16"/>
              </w:rPr>
            </w:pPr>
            <w:r w:rsidRPr="00405303">
              <w:rPr>
                <w:bCs/>
                <w:color w:val="002060"/>
                <w:sz w:val="16"/>
                <w:szCs w:val="16"/>
              </w:rPr>
              <w:t>12 284 863</w:t>
            </w:r>
          </w:p>
        </w:tc>
        <w:tc>
          <w:tcPr>
            <w:tcW w:w="1601" w:type="dxa"/>
            <w:shd w:val="clear" w:color="auto" w:fill="FFFFFF"/>
          </w:tcPr>
          <w:p w14:paraId="401086F4" w14:textId="77777777" w:rsidR="0064595E" w:rsidRPr="00405303" w:rsidRDefault="0064595E" w:rsidP="00C15251">
            <w:pPr>
              <w:jc w:val="both"/>
              <w:rPr>
                <w:bCs/>
                <w:color w:val="002060"/>
                <w:sz w:val="16"/>
                <w:szCs w:val="16"/>
              </w:rPr>
            </w:pPr>
            <w:r w:rsidRPr="00405303">
              <w:rPr>
                <w:bCs/>
                <w:color w:val="002060"/>
                <w:sz w:val="16"/>
                <w:szCs w:val="16"/>
              </w:rPr>
              <w:t>19 123 298</w:t>
            </w:r>
          </w:p>
        </w:tc>
        <w:tc>
          <w:tcPr>
            <w:tcW w:w="1601" w:type="dxa"/>
            <w:shd w:val="clear" w:color="auto" w:fill="FFFFFF"/>
          </w:tcPr>
          <w:p w14:paraId="5516231E" w14:textId="77777777" w:rsidR="0064595E" w:rsidRPr="00405303" w:rsidRDefault="0064595E" w:rsidP="00C15251">
            <w:pPr>
              <w:jc w:val="both"/>
              <w:rPr>
                <w:bCs/>
                <w:color w:val="002060"/>
                <w:sz w:val="16"/>
                <w:szCs w:val="16"/>
              </w:rPr>
            </w:pPr>
            <w:r w:rsidRPr="00405303">
              <w:rPr>
                <w:bCs/>
                <w:color w:val="002060"/>
                <w:sz w:val="16"/>
                <w:szCs w:val="16"/>
              </w:rPr>
              <w:t>21 159 467</w:t>
            </w:r>
          </w:p>
        </w:tc>
      </w:tr>
      <w:tr w:rsidR="0064595E" w:rsidRPr="00405303" w14:paraId="08EB7BFD" w14:textId="77777777" w:rsidTr="00D34AC1">
        <w:tc>
          <w:tcPr>
            <w:tcW w:w="1601" w:type="dxa"/>
            <w:shd w:val="clear" w:color="auto" w:fill="FFFFFF"/>
          </w:tcPr>
          <w:p w14:paraId="4A1450EC" w14:textId="77777777" w:rsidR="0064595E" w:rsidRPr="00405303" w:rsidRDefault="0064595E" w:rsidP="00C15251">
            <w:pPr>
              <w:jc w:val="both"/>
              <w:rPr>
                <w:bCs/>
                <w:color w:val="002060"/>
                <w:sz w:val="16"/>
                <w:szCs w:val="16"/>
              </w:rPr>
            </w:pPr>
            <w:r w:rsidRPr="00405303">
              <w:rPr>
                <w:bCs/>
                <w:color w:val="002060"/>
                <w:sz w:val="16"/>
                <w:szCs w:val="16"/>
              </w:rPr>
              <w:t>Количество шт.</w:t>
            </w:r>
          </w:p>
        </w:tc>
        <w:tc>
          <w:tcPr>
            <w:tcW w:w="1601" w:type="dxa"/>
            <w:shd w:val="clear" w:color="auto" w:fill="FFFFFF"/>
          </w:tcPr>
          <w:p w14:paraId="08714ACD" w14:textId="77777777" w:rsidR="0064595E" w:rsidRPr="00405303" w:rsidRDefault="0064595E" w:rsidP="00C15251">
            <w:pPr>
              <w:jc w:val="both"/>
              <w:rPr>
                <w:bCs/>
                <w:color w:val="002060"/>
                <w:sz w:val="16"/>
                <w:szCs w:val="16"/>
              </w:rPr>
            </w:pPr>
            <w:r w:rsidRPr="00405303">
              <w:rPr>
                <w:bCs/>
                <w:color w:val="002060"/>
                <w:sz w:val="16"/>
                <w:szCs w:val="16"/>
              </w:rPr>
              <w:t>9358</w:t>
            </w:r>
          </w:p>
        </w:tc>
        <w:tc>
          <w:tcPr>
            <w:tcW w:w="1601" w:type="dxa"/>
            <w:shd w:val="clear" w:color="auto" w:fill="FFFFFF"/>
          </w:tcPr>
          <w:p w14:paraId="7D4F3E82" w14:textId="77777777" w:rsidR="0064595E" w:rsidRPr="00405303" w:rsidRDefault="0064595E" w:rsidP="00C15251">
            <w:pPr>
              <w:jc w:val="both"/>
              <w:rPr>
                <w:bCs/>
                <w:color w:val="002060"/>
                <w:sz w:val="16"/>
                <w:szCs w:val="16"/>
              </w:rPr>
            </w:pPr>
            <w:r w:rsidRPr="00405303">
              <w:rPr>
                <w:bCs/>
                <w:color w:val="002060"/>
                <w:sz w:val="16"/>
                <w:szCs w:val="16"/>
              </w:rPr>
              <w:t>6407</w:t>
            </w:r>
          </w:p>
        </w:tc>
        <w:tc>
          <w:tcPr>
            <w:tcW w:w="1601" w:type="dxa"/>
            <w:shd w:val="clear" w:color="auto" w:fill="FFFFFF"/>
          </w:tcPr>
          <w:p w14:paraId="641E0F97" w14:textId="77777777" w:rsidR="0064595E" w:rsidRPr="00405303" w:rsidRDefault="0064595E" w:rsidP="00C15251">
            <w:pPr>
              <w:jc w:val="both"/>
              <w:rPr>
                <w:bCs/>
                <w:color w:val="002060"/>
                <w:sz w:val="16"/>
                <w:szCs w:val="16"/>
              </w:rPr>
            </w:pPr>
            <w:r w:rsidRPr="00405303">
              <w:rPr>
                <w:bCs/>
                <w:color w:val="002060"/>
                <w:sz w:val="16"/>
                <w:szCs w:val="16"/>
              </w:rPr>
              <w:t>13 034</w:t>
            </w:r>
          </w:p>
        </w:tc>
        <w:tc>
          <w:tcPr>
            <w:tcW w:w="1601" w:type="dxa"/>
            <w:shd w:val="clear" w:color="auto" w:fill="FFFFFF"/>
          </w:tcPr>
          <w:p w14:paraId="7048F230" w14:textId="77777777" w:rsidR="0064595E" w:rsidRPr="00405303" w:rsidRDefault="0064595E" w:rsidP="00C15251">
            <w:pPr>
              <w:jc w:val="both"/>
              <w:rPr>
                <w:bCs/>
                <w:color w:val="002060"/>
                <w:sz w:val="16"/>
                <w:szCs w:val="16"/>
              </w:rPr>
            </w:pPr>
            <w:r w:rsidRPr="00405303">
              <w:rPr>
                <w:bCs/>
                <w:color w:val="002060"/>
                <w:sz w:val="16"/>
                <w:szCs w:val="16"/>
              </w:rPr>
              <w:t>11 145</w:t>
            </w:r>
          </w:p>
        </w:tc>
        <w:tc>
          <w:tcPr>
            <w:tcW w:w="1601" w:type="dxa"/>
            <w:shd w:val="clear" w:color="auto" w:fill="FFFFFF"/>
          </w:tcPr>
          <w:p w14:paraId="39800F94" w14:textId="77777777" w:rsidR="0064595E" w:rsidRPr="00405303" w:rsidRDefault="0064595E" w:rsidP="00C15251">
            <w:pPr>
              <w:jc w:val="both"/>
              <w:rPr>
                <w:bCs/>
                <w:color w:val="002060"/>
                <w:sz w:val="16"/>
                <w:szCs w:val="16"/>
              </w:rPr>
            </w:pPr>
            <w:r w:rsidRPr="00405303">
              <w:rPr>
                <w:bCs/>
                <w:color w:val="002060"/>
                <w:sz w:val="16"/>
                <w:szCs w:val="16"/>
              </w:rPr>
              <w:t>21 333</w:t>
            </w:r>
          </w:p>
        </w:tc>
        <w:tc>
          <w:tcPr>
            <w:tcW w:w="1601" w:type="dxa"/>
            <w:shd w:val="clear" w:color="auto" w:fill="FFFFFF"/>
          </w:tcPr>
          <w:p w14:paraId="00E2693A" w14:textId="77777777" w:rsidR="0064595E" w:rsidRPr="00405303" w:rsidRDefault="0064595E" w:rsidP="00C15251">
            <w:pPr>
              <w:jc w:val="both"/>
              <w:rPr>
                <w:bCs/>
                <w:color w:val="002060"/>
                <w:sz w:val="16"/>
                <w:szCs w:val="16"/>
              </w:rPr>
            </w:pPr>
            <w:r w:rsidRPr="00405303">
              <w:rPr>
                <w:bCs/>
                <w:color w:val="002060"/>
                <w:sz w:val="16"/>
                <w:szCs w:val="16"/>
              </w:rPr>
              <w:t>27 690</w:t>
            </w:r>
          </w:p>
        </w:tc>
      </w:tr>
      <w:tr w:rsidR="0064595E" w:rsidRPr="00405303" w14:paraId="7AF8E230" w14:textId="77777777" w:rsidTr="00D34AC1">
        <w:tc>
          <w:tcPr>
            <w:tcW w:w="1601" w:type="dxa"/>
            <w:shd w:val="clear" w:color="auto" w:fill="FFFFFF"/>
          </w:tcPr>
          <w:p w14:paraId="4D0048F1" w14:textId="77777777" w:rsidR="0064595E" w:rsidRPr="00405303" w:rsidRDefault="0064595E" w:rsidP="00C15251">
            <w:pPr>
              <w:jc w:val="both"/>
              <w:rPr>
                <w:bCs/>
                <w:color w:val="002060"/>
                <w:sz w:val="16"/>
                <w:szCs w:val="16"/>
              </w:rPr>
            </w:pPr>
            <w:r w:rsidRPr="00405303">
              <w:rPr>
                <w:bCs/>
                <w:color w:val="002060"/>
                <w:sz w:val="16"/>
                <w:szCs w:val="16"/>
              </w:rPr>
              <w:t>Ценность в руб.</w:t>
            </w:r>
          </w:p>
        </w:tc>
        <w:tc>
          <w:tcPr>
            <w:tcW w:w="1601" w:type="dxa"/>
            <w:shd w:val="clear" w:color="auto" w:fill="FFFFFF"/>
          </w:tcPr>
          <w:p w14:paraId="1EFB1517" w14:textId="77777777" w:rsidR="0064595E" w:rsidRPr="00405303" w:rsidRDefault="0064595E" w:rsidP="00C15251">
            <w:pPr>
              <w:jc w:val="both"/>
              <w:rPr>
                <w:bCs/>
                <w:color w:val="002060"/>
                <w:sz w:val="16"/>
                <w:szCs w:val="16"/>
              </w:rPr>
            </w:pPr>
            <w:r w:rsidRPr="00405303">
              <w:rPr>
                <w:bCs/>
                <w:color w:val="002060"/>
                <w:sz w:val="16"/>
                <w:szCs w:val="16"/>
              </w:rPr>
              <w:t>68 236 183</w:t>
            </w:r>
          </w:p>
        </w:tc>
        <w:tc>
          <w:tcPr>
            <w:tcW w:w="1601" w:type="dxa"/>
            <w:shd w:val="clear" w:color="auto" w:fill="FFFFFF"/>
          </w:tcPr>
          <w:p w14:paraId="2164D2BF" w14:textId="77777777" w:rsidR="0064595E" w:rsidRPr="00405303" w:rsidRDefault="0064595E" w:rsidP="00C15251">
            <w:pPr>
              <w:jc w:val="both"/>
              <w:rPr>
                <w:bCs/>
                <w:color w:val="002060"/>
                <w:sz w:val="16"/>
                <w:szCs w:val="16"/>
              </w:rPr>
            </w:pPr>
            <w:r w:rsidRPr="00405303">
              <w:rPr>
                <w:bCs/>
                <w:color w:val="002060"/>
                <w:sz w:val="16"/>
                <w:szCs w:val="16"/>
              </w:rPr>
              <w:t>63 410 633</w:t>
            </w:r>
          </w:p>
        </w:tc>
        <w:tc>
          <w:tcPr>
            <w:tcW w:w="1601" w:type="dxa"/>
            <w:shd w:val="clear" w:color="auto" w:fill="FFFFFF"/>
          </w:tcPr>
          <w:p w14:paraId="33F5B67D" w14:textId="77777777" w:rsidR="0064595E" w:rsidRPr="00405303" w:rsidRDefault="0064595E" w:rsidP="00C15251">
            <w:pPr>
              <w:jc w:val="both"/>
              <w:rPr>
                <w:bCs/>
                <w:color w:val="002060"/>
                <w:sz w:val="16"/>
                <w:szCs w:val="16"/>
              </w:rPr>
            </w:pPr>
            <w:r w:rsidRPr="00405303">
              <w:rPr>
                <w:bCs/>
                <w:color w:val="002060"/>
                <w:sz w:val="16"/>
                <w:szCs w:val="16"/>
              </w:rPr>
              <w:t>80 657 152</w:t>
            </w:r>
          </w:p>
        </w:tc>
        <w:tc>
          <w:tcPr>
            <w:tcW w:w="1601" w:type="dxa"/>
            <w:shd w:val="clear" w:color="auto" w:fill="FFFFFF"/>
          </w:tcPr>
          <w:p w14:paraId="7466AFBA" w14:textId="77777777" w:rsidR="0064595E" w:rsidRPr="00405303" w:rsidRDefault="0064595E" w:rsidP="00C15251">
            <w:pPr>
              <w:jc w:val="both"/>
              <w:rPr>
                <w:bCs/>
                <w:color w:val="002060"/>
                <w:sz w:val="16"/>
                <w:szCs w:val="16"/>
              </w:rPr>
            </w:pPr>
            <w:r w:rsidRPr="00405303">
              <w:rPr>
                <w:bCs/>
                <w:color w:val="002060"/>
                <w:sz w:val="16"/>
                <w:szCs w:val="16"/>
              </w:rPr>
              <w:t>107 801 257</w:t>
            </w:r>
          </w:p>
        </w:tc>
        <w:tc>
          <w:tcPr>
            <w:tcW w:w="1601" w:type="dxa"/>
            <w:shd w:val="clear" w:color="auto" w:fill="FFFFFF"/>
          </w:tcPr>
          <w:p w14:paraId="22705601" w14:textId="77777777" w:rsidR="0064595E" w:rsidRPr="00405303" w:rsidRDefault="0064595E" w:rsidP="00C15251">
            <w:pPr>
              <w:jc w:val="both"/>
              <w:rPr>
                <w:bCs/>
                <w:color w:val="002060"/>
                <w:sz w:val="16"/>
                <w:szCs w:val="16"/>
              </w:rPr>
            </w:pPr>
            <w:r w:rsidRPr="00405303">
              <w:rPr>
                <w:bCs/>
                <w:color w:val="002060"/>
                <w:sz w:val="16"/>
                <w:szCs w:val="16"/>
              </w:rPr>
              <w:t>169 990 757</w:t>
            </w:r>
          </w:p>
        </w:tc>
        <w:tc>
          <w:tcPr>
            <w:tcW w:w="1601" w:type="dxa"/>
            <w:shd w:val="clear" w:color="auto" w:fill="FFFFFF"/>
          </w:tcPr>
          <w:p w14:paraId="4AA01956" w14:textId="77777777" w:rsidR="0064595E" w:rsidRPr="00405303" w:rsidRDefault="0064595E" w:rsidP="00C15251">
            <w:pPr>
              <w:jc w:val="both"/>
              <w:rPr>
                <w:bCs/>
                <w:color w:val="002060"/>
                <w:sz w:val="16"/>
                <w:szCs w:val="16"/>
              </w:rPr>
            </w:pPr>
            <w:r w:rsidRPr="00405303">
              <w:rPr>
                <w:bCs/>
                <w:color w:val="002060"/>
                <w:sz w:val="16"/>
                <w:szCs w:val="16"/>
              </w:rPr>
              <w:t>206 949 753</w:t>
            </w:r>
          </w:p>
        </w:tc>
      </w:tr>
    </w:tbl>
    <w:p w14:paraId="390A457F"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Подробности оборота по ввозу и вывозу машин изложены в прилагаемой таблице.</w:t>
      </w:r>
    </w:p>
    <w:p w14:paraId="5A18EEE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Некоторые крупные отделы механической промышленности установленными у нас условиями умышленно не допускаются к существованию. Не говоря уже о совершенно беспошлинном пропуске в Россию более сложных сельскохозяйственных машин, по</w:t>
      </w:r>
      <w:r w:rsidRPr="00405303">
        <w:rPr>
          <w:bCs/>
          <w:color w:val="002060"/>
          <w:sz w:val="16"/>
          <w:szCs w:val="16"/>
        </w:rPr>
        <w:softHyphen/>
        <w:t>шлинные ставки в 75 коп. на все прочие земледельческие машины, когда железо и сталь как сырой материал для этих машин ограждены той же ставкой в 75 коп., и отнесение автомобилей к пошлинным ставкам, когда-то установленным для простых экипажей (по конвенции с Францией автомобиль на 4 места, вполне отделанный, хотя бы разукрашен</w:t>
      </w:r>
      <w:r w:rsidRPr="00405303">
        <w:rPr>
          <w:bCs/>
          <w:color w:val="002060"/>
          <w:sz w:val="16"/>
          <w:szCs w:val="16"/>
        </w:rPr>
        <w:softHyphen/>
        <w:t>ный атласами и бронзой, пропускается за 225 руб. со шт., а двухместный по 125 руб. со шт.; шасси 75 руб. со шт.) не было ли явным запрещением работы этих машин в России? Их и не работали, кроме самых простых дешевых земледельческих машин. Высчитывав</w:t>
      </w:r>
      <w:r w:rsidRPr="00405303">
        <w:rPr>
          <w:bCs/>
          <w:color w:val="002060"/>
          <w:sz w:val="16"/>
          <w:szCs w:val="16"/>
        </w:rPr>
        <w:softHyphen/>
        <w:t>шиеся в копейках из боязни, чтобы механические заводы не нажили лишнего, крайне низкие ставки для разных других машин, пониженные еще конвенционными соглаше</w:t>
      </w:r>
      <w:r w:rsidRPr="00405303">
        <w:rPr>
          <w:bCs/>
          <w:color w:val="002060"/>
          <w:sz w:val="16"/>
          <w:szCs w:val="16"/>
        </w:rPr>
        <w:softHyphen/>
        <w:t>ниями, привели к тому, что в России совершенно прекратилась и теперь почти отсут</w:t>
      </w:r>
      <w:r w:rsidRPr="00405303">
        <w:rPr>
          <w:bCs/>
          <w:color w:val="002060"/>
          <w:sz w:val="16"/>
          <w:szCs w:val="16"/>
        </w:rPr>
        <w:softHyphen/>
        <w:t>ствует выработка машин-орудий для обработки металлов и дерева. Все эти сорта машин в массе ввозились к нам из-за границы.</w:t>
      </w:r>
    </w:p>
    <w:p w14:paraId="0992F97B"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Посмотрим, как отразилось открытие военных действий на механическую промыш</w:t>
      </w:r>
      <w:r w:rsidRPr="00405303">
        <w:rPr>
          <w:bCs/>
          <w:color w:val="002060"/>
          <w:sz w:val="16"/>
          <w:szCs w:val="16"/>
        </w:rPr>
        <w:softHyphen/>
        <w:t>ленность в Германии, Австрии и в России.</w:t>
      </w:r>
    </w:p>
    <w:p w14:paraId="66798F11"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С началом войны и прекращением вывоза, все механические заводы хотя бы одной Германии, производившие этот вывоз на 419 737 816 руб., должны были бы прекратить свою деятельность, но они ее не прекратили, а перевели на выделку снарядов. Имея хороший освободившийся для того инструмент, имея вполне опытных и готовых рабо</w:t>
      </w:r>
      <w:r w:rsidRPr="00405303">
        <w:rPr>
          <w:bCs/>
          <w:color w:val="002060"/>
          <w:sz w:val="16"/>
          <w:szCs w:val="16"/>
        </w:rPr>
        <w:softHyphen/>
        <w:t>чих, заводы эти произвели и производят теперь ту массу снарядов, которая своей неисто</w:t>
      </w:r>
      <w:r w:rsidRPr="00405303">
        <w:rPr>
          <w:bCs/>
          <w:color w:val="002060"/>
          <w:sz w:val="16"/>
          <w:szCs w:val="16"/>
        </w:rPr>
        <w:softHyphen/>
        <w:t>щимостью поражает весь мир. Машин-орудий (строгательных, токарных, сверлильных) Германия экспортировала на 29 773 678 рублей. Теперь, в течение года войны, Германия на тех же заводах изготовила приблизительно на ту же сумму новых машин, но исключи</w:t>
      </w:r>
      <w:r w:rsidRPr="00405303">
        <w:rPr>
          <w:bCs/>
          <w:color w:val="002060"/>
          <w:sz w:val="16"/>
          <w:szCs w:val="16"/>
        </w:rPr>
        <w:softHyphen/>
        <w:t>тельно для изготовления снарядов и тем еще более увеличила свою производительную способность по выделке снарядов; заводы земледельческих машин и заводы, изготовля</w:t>
      </w:r>
      <w:r w:rsidRPr="00405303">
        <w:rPr>
          <w:bCs/>
          <w:color w:val="002060"/>
          <w:sz w:val="16"/>
          <w:szCs w:val="16"/>
        </w:rPr>
        <w:softHyphen/>
        <w:t>ющие автомобили, по своему оборудованию оказались особенно пригодными для рабо</w:t>
      </w:r>
      <w:r w:rsidRPr="00405303">
        <w:rPr>
          <w:bCs/>
          <w:color w:val="002060"/>
          <w:sz w:val="16"/>
          <w:szCs w:val="16"/>
        </w:rPr>
        <w:softHyphen/>
        <w:t>ты на них снарядов. Все пригодное оборудование всех заводов, работавших по остальным специальностям на экспорт, тоже превращено на изготовление снарядов. Я полагаю, что, при всей своей предусмотрительности, и в Германии не ожидали той помощи в деле изготовления снарядов, какую дает ей теперь сильно развивавшаяся все время, и особен</w:t>
      </w:r>
      <w:r w:rsidRPr="00405303">
        <w:rPr>
          <w:bCs/>
          <w:color w:val="002060"/>
          <w:sz w:val="16"/>
          <w:szCs w:val="16"/>
        </w:rPr>
        <w:softHyphen/>
        <w:t>но за последние годы, механическая промышленность.</w:t>
      </w:r>
    </w:p>
    <w:p w14:paraId="60725F88"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Совсем другая картина у нас. Наши механические заводы удовлетворяли лишь ничтож</w:t>
      </w:r>
      <w:r w:rsidRPr="00405303">
        <w:rPr>
          <w:bCs/>
          <w:color w:val="002060"/>
          <w:sz w:val="16"/>
          <w:szCs w:val="16"/>
        </w:rPr>
        <w:softHyphen/>
        <w:t>ную часть внутренней потребности в машинах страны, да притом еще машинами наиболее простыми, не требовавшими сложных орудий производства. Поэтому на большинстве на</w:t>
      </w:r>
      <w:r w:rsidRPr="00405303">
        <w:rPr>
          <w:bCs/>
          <w:color w:val="002060"/>
          <w:sz w:val="16"/>
          <w:szCs w:val="16"/>
        </w:rPr>
        <w:softHyphen/>
        <w:t>ших заводов чрезвычайно мало имеется машин, на которых можно работать снаряды. Про</w:t>
      </w:r>
      <w:r w:rsidRPr="00405303">
        <w:rPr>
          <w:bCs/>
          <w:color w:val="002060"/>
          <w:sz w:val="16"/>
          <w:szCs w:val="16"/>
        </w:rPr>
        <w:softHyphen/>
        <w:t>изводства таких крупных отраслей, как машин-орудий для обработки металлов и дерева, и автомобилей у нас совсем нет. Остальные наши заводы, как земледельческих машин, так и разных других механических производств, конечно, завалены теперь спросом на удовлет</w:t>
      </w:r>
      <w:r w:rsidRPr="00405303">
        <w:rPr>
          <w:bCs/>
          <w:color w:val="002060"/>
          <w:sz w:val="16"/>
          <w:szCs w:val="16"/>
        </w:rPr>
        <w:softHyphen/>
        <w:t>ворение внутренней потребности, ибо за невозможностью выписать нужную машину или часть ее из-за границы обращаются, несмотря на предубеждение, к местным заводам. Кро</w:t>
      </w:r>
      <w:r w:rsidRPr="00405303">
        <w:rPr>
          <w:bCs/>
          <w:color w:val="002060"/>
          <w:sz w:val="16"/>
          <w:szCs w:val="16"/>
        </w:rPr>
        <w:softHyphen/>
        <w:t>ме того, все эти заводы завалены ремонтом по своим специальностям. Ведь не надо забы</w:t>
      </w:r>
      <w:r w:rsidRPr="00405303">
        <w:rPr>
          <w:bCs/>
          <w:color w:val="002060"/>
          <w:sz w:val="16"/>
          <w:szCs w:val="16"/>
        </w:rPr>
        <w:softHyphen/>
        <w:t>вать, что масса частей машин для ремонта привозилась из-за границы и вместе с машина</w:t>
      </w:r>
      <w:r w:rsidRPr="00405303">
        <w:rPr>
          <w:bCs/>
          <w:color w:val="002060"/>
          <w:sz w:val="16"/>
          <w:szCs w:val="16"/>
        </w:rPr>
        <w:softHyphen/>
        <w:t>ми и отдельно. Только цифра отдельно привозимых частей машин для ремонта, учитыва</w:t>
      </w:r>
      <w:r w:rsidRPr="00405303">
        <w:rPr>
          <w:bCs/>
          <w:color w:val="002060"/>
          <w:sz w:val="16"/>
          <w:szCs w:val="16"/>
        </w:rPr>
        <w:softHyphen/>
        <w:t>емая нашей статистикой, за последние годы достигала 1 768 089 пуд. на 19 961 990 руб. Требованием исполнения этого ремонта по каким бы то ни было ценам, ибо без ремонта останавливается производство не только на данной машине, но и весьма часто на фабри</w:t>
      </w:r>
      <w:r w:rsidRPr="00405303">
        <w:rPr>
          <w:bCs/>
          <w:color w:val="002060"/>
          <w:sz w:val="16"/>
          <w:szCs w:val="16"/>
        </w:rPr>
        <w:softHyphen/>
        <w:t>ках и заводах и на ряде последующих машин, завалены теперь наши заводы и по их силе и оборудованию справиться с этой задачей не смогут.</w:t>
      </w:r>
    </w:p>
    <w:p w14:paraId="1EC7D4E0"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Вот разница положения у нас, где механическая промышленность все время искусст</w:t>
      </w:r>
      <w:r w:rsidRPr="00405303">
        <w:rPr>
          <w:bCs/>
          <w:color w:val="002060"/>
          <w:sz w:val="16"/>
          <w:szCs w:val="16"/>
        </w:rPr>
        <w:softHyphen/>
        <w:t>венно угнеталась, и в других странах, где она процветала. Война у наших врагов освобо</w:t>
      </w:r>
      <w:r w:rsidRPr="00405303">
        <w:rPr>
          <w:bCs/>
          <w:color w:val="002060"/>
          <w:sz w:val="16"/>
          <w:szCs w:val="16"/>
        </w:rPr>
        <w:softHyphen/>
        <w:t>дила готовые инструменты и силы для работы снарядов, а у нас, напротив, все наши заводы завалены работой больше, чем когда-либо, и работой, безусловно, для государ</w:t>
      </w:r>
      <w:r w:rsidRPr="00405303">
        <w:rPr>
          <w:bCs/>
          <w:color w:val="002060"/>
          <w:sz w:val="16"/>
          <w:szCs w:val="16"/>
        </w:rPr>
        <w:softHyphen/>
        <w:t>ства необходимой, ибо поддержание производства в стране для государства также чрез</w:t>
      </w:r>
      <w:r w:rsidRPr="00405303">
        <w:rPr>
          <w:bCs/>
          <w:color w:val="002060"/>
          <w:sz w:val="16"/>
          <w:szCs w:val="16"/>
        </w:rPr>
        <w:softHyphen/>
        <w:t>вычайно важно. Вот при таких-то условиях к незначительному количеству наших меха</w:t>
      </w:r>
      <w:r w:rsidRPr="00405303">
        <w:rPr>
          <w:bCs/>
          <w:color w:val="002060"/>
          <w:sz w:val="16"/>
          <w:szCs w:val="16"/>
        </w:rPr>
        <w:softHyphen/>
        <w:t>нических заводов обращаются за изготовлением снарядов.</w:t>
      </w:r>
    </w:p>
    <w:p w14:paraId="733E6180"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Надо сказать, что патриотизм заставил все заводы охотно откликнуться на этот призыв, и теперь, последнее время, администрации всех механических заводов только и заняты изучением способов изготовления снарядов. Но что могут дать все эти заводы военному ведомству? Пригодных машин для изготовления снарядов на заводах вообще оказывается немного, и все они, как указано выше, переобременены работой. Выделить для изготовле ния снарядов оказывается возможным лишь незначительное из них число, и притом в непременный ущерб текущего производства завода, столь нужного теперь для поддержа</w:t>
      </w:r>
      <w:r w:rsidRPr="00405303">
        <w:rPr>
          <w:bCs/>
          <w:color w:val="002060"/>
          <w:sz w:val="16"/>
          <w:szCs w:val="16"/>
        </w:rPr>
        <w:softHyphen/>
        <w:t xml:space="preserve">ния работы в стране. Употребление большого количества таких станков для изготовления снарядов равносильно было бы такому сокращению производства в остальных отделах завода, что ведение на </w:t>
      </w:r>
      <w:r w:rsidRPr="00405303">
        <w:rPr>
          <w:bCs/>
          <w:color w:val="002060"/>
          <w:sz w:val="16"/>
          <w:szCs w:val="16"/>
        </w:rPr>
        <w:lastRenderedPageBreak/>
        <w:t>заводе самого производства оказалось бы невозможным. Итак, не только по сравнению с Германией и Австрией, но и абсолютно мобилизация наших суще</w:t>
      </w:r>
      <w:r w:rsidRPr="00405303">
        <w:rPr>
          <w:bCs/>
          <w:color w:val="002060"/>
          <w:sz w:val="16"/>
          <w:szCs w:val="16"/>
        </w:rPr>
        <w:softHyphen/>
        <w:t>ствующих промышленных заводов может дать лишь ничтожное количество снарядов.</w:t>
      </w:r>
    </w:p>
    <w:p w14:paraId="3B2F5A52"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Цель этой записки никак не разочаровывать, никак не оспаривать полезность приня</w:t>
      </w:r>
      <w:r w:rsidRPr="00405303">
        <w:rPr>
          <w:bCs/>
          <w:color w:val="002060"/>
          <w:sz w:val="16"/>
          <w:szCs w:val="16"/>
        </w:rPr>
        <w:softHyphen/>
        <w:t>тых мероприятий, но предостеречь от увлечения и осветить дело, как оно есть. Под вли</w:t>
      </w:r>
      <w:r w:rsidRPr="00405303">
        <w:rPr>
          <w:bCs/>
          <w:color w:val="002060"/>
          <w:sz w:val="16"/>
          <w:szCs w:val="16"/>
        </w:rPr>
        <w:softHyphen/>
        <w:t xml:space="preserve">янием большого интереса, возбужденного теперь поднятым вопросом о мобилизации промышленности для работы на армию, в среде мало осведомленной публики начинают слагаться совершенно ложные представления о силе нашего промышленного развития. В Московском губернском земстве, например, были произнесены речи, оставшиеся без опровержения, в которых промышленность русская обвинялась в уклонении от работы на армию и предлагалось принять меры разыскать уклоняющихся и принять против них радикальные меры, до расстрела включительно. </w:t>
      </w:r>
      <w:proofErr w:type="gramStart"/>
      <w:r w:rsidRPr="00405303">
        <w:rPr>
          <w:bCs/>
          <w:color w:val="002060"/>
          <w:sz w:val="16"/>
          <w:szCs w:val="16"/>
        </w:rPr>
        <w:t xml:space="preserve">По газетным сведениям </w:t>
      </w:r>
      <w:proofErr w:type="gramEnd"/>
      <w:r w:rsidRPr="00405303">
        <w:rPr>
          <w:bCs/>
          <w:color w:val="002060"/>
          <w:sz w:val="16"/>
          <w:szCs w:val="16"/>
        </w:rPr>
        <w:t>можно заклю</w:t>
      </w:r>
      <w:r w:rsidRPr="00405303">
        <w:rPr>
          <w:bCs/>
          <w:color w:val="002060"/>
          <w:sz w:val="16"/>
          <w:szCs w:val="16"/>
        </w:rPr>
        <w:softHyphen/>
        <w:t xml:space="preserve">чить, что и в среде органов </w:t>
      </w:r>
      <w:proofErr w:type="gramStart"/>
      <w:r w:rsidRPr="00405303">
        <w:rPr>
          <w:bCs/>
          <w:color w:val="002060"/>
          <w:sz w:val="16"/>
          <w:szCs w:val="16"/>
        </w:rPr>
        <w:t>правительства</w:t>
      </w:r>
      <w:proofErr w:type="gramEnd"/>
      <w:r w:rsidRPr="00405303">
        <w:rPr>
          <w:bCs/>
          <w:color w:val="002060"/>
          <w:sz w:val="16"/>
          <w:szCs w:val="16"/>
        </w:rPr>
        <w:t xml:space="preserve"> и в прессе на мобилизацию промышленности возлагаются преувеличенные надежды. Конечно, разные отрасли промышленности раз</w:t>
      </w:r>
      <w:r w:rsidRPr="00405303">
        <w:rPr>
          <w:bCs/>
          <w:color w:val="002060"/>
          <w:sz w:val="16"/>
          <w:szCs w:val="16"/>
        </w:rPr>
        <w:softHyphen/>
        <w:t>виты у нас разно, многие довольно сильны и удовлетворяют требованиям, и я твердо знаю, что все они служили во время войны нашей армии с полным сознанием лежащего на них государственного долга, но наша механическая промышленность, о которой толь</w:t>
      </w:r>
      <w:r w:rsidRPr="00405303">
        <w:rPr>
          <w:bCs/>
          <w:color w:val="002060"/>
          <w:sz w:val="16"/>
          <w:szCs w:val="16"/>
        </w:rPr>
        <w:softHyphen/>
        <w:t>ко и говорит эта записка, настолько слаба, что едва ли что может дать серьезное.</w:t>
      </w:r>
    </w:p>
    <w:p w14:paraId="22A8C825"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Другая цель этой записки — в момент наибольшей боли и нужды указать на те ошибки и неправильности взглядов в нашей экономической и государственной политике, которые привели нас к существующему положению, и предупредить от подобных же ошибок в ближайшем будущем, так как, несмотря на этот недостаток, я вполне уверен, что Россия выйдет из этой войны победительницей. Никогда самые ярые защитники протекциониз</w:t>
      </w:r>
      <w:r w:rsidRPr="00405303">
        <w:rPr>
          <w:bCs/>
          <w:color w:val="002060"/>
          <w:sz w:val="16"/>
          <w:szCs w:val="16"/>
        </w:rPr>
        <w:softHyphen/>
        <w:t>ма, трактовавшие о необходимости развития промышленности внутри страны, основыва</w:t>
      </w:r>
      <w:r w:rsidRPr="00405303">
        <w:rPr>
          <w:bCs/>
          <w:color w:val="002060"/>
          <w:sz w:val="16"/>
          <w:szCs w:val="16"/>
        </w:rPr>
        <w:softHyphen/>
        <w:t>ясь лишь на соображениях экономических, не предвидели того государственного значе</w:t>
      </w:r>
      <w:r w:rsidRPr="00405303">
        <w:rPr>
          <w:bCs/>
          <w:color w:val="002060"/>
          <w:sz w:val="16"/>
          <w:szCs w:val="16"/>
        </w:rPr>
        <w:softHyphen/>
        <w:t>ния развитой в стране промышленности, какое обнаружилось теперь, во время этой бес</w:t>
      </w:r>
      <w:r w:rsidRPr="00405303">
        <w:rPr>
          <w:bCs/>
          <w:color w:val="002060"/>
          <w:sz w:val="16"/>
          <w:szCs w:val="16"/>
        </w:rPr>
        <w:softHyphen/>
        <w:t>примерной в истории войны. Теперь оказалось, что в деле развития в стране выработки земледельческих машин, автомобилей и пр. страна заинтересована не только со стороны экономической, но и общегосударственной, так как этими заводами усиливается оборона и вообще военная мощь государства. Не в интересах только землевладельцев и потребите</w:t>
      </w:r>
      <w:r w:rsidRPr="00405303">
        <w:rPr>
          <w:bCs/>
          <w:color w:val="002060"/>
          <w:sz w:val="16"/>
          <w:szCs w:val="16"/>
        </w:rPr>
        <w:softHyphen/>
        <w:t>лей автомобилей надлежало бы решать эти вопросы. Ведь теперь, кажется, не может быть не ясно, что современная война ведется главным образом силами промышленности. Пуш</w:t>
      </w:r>
      <w:r w:rsidRPr="00405303">
        <w:rPr>
          <w:bCs/>
          <w:color w:val="002060"/>
          <w:sz w:val="16"/>
          <w:szCs w:val="16"/>
        </w:rPr>
        <w:softHyphen/>
        <w:t>ка, шрапнель, ружье, автомобиль, аэроплан, вагон, паровоз, даже обмундировка: сапоги, штаны, шинель и пр., пр. — все это продукты промышленности, и как без снарядов, так и без сапог (которые пришлось нам тоже заказывать за границей) воевать нельзя.</w:t>
      </w:r>
    </w:p>
    <w:p w14:paraId="4012EA70"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Не ясно ли, что ради сохранения своей самостоятельности в международной борьбе, ради силы и мощи государства Россия во что бы то ни стало должна, и в ближайшее время, развить у себя все главные отрасли механической промышленности, быть незави</w:t>
      </w:r>
      <w:r w:rsidRPr="00405303">
        <w:rPr>
          <w:bCs/>
          <w:color w:val="002060"/>
          <w:sz w:val="16"/>
          <w:szCs w:val="16"/>
        </w:rPr>
        <w:softHyphen/>
        <w:t>симой, иметь резервы в виде готовых инструментов и обученных рабочих на частных заводах, которые в годины бедствий являлись бы на помощь государству. Благодаря пре</w:t>
      </w:r>
      <w:r w:rsidRPr="00405303">
        <w:rPr>
          <w:bCs/>
          <w:color w:val="002060"/>
          <w:sz w:val="16"/>
          <w:szCs w:val="16"/>
        </w:rPr>
        <w:softHyphen/>
        <w:t>жней политике мы отстали во многих отраслях машиностроения, а некоторых и вовсе не имеем. Первые годы будем работать и хуже, и дороже, но за науку и за свои ошибки надо заплатить. Наука и уменье даром не даются. Но эта переплата за науку все же будет выгоднее тех переплат, какие мы несем теперь, обращаясь за всем за границу. Отсюда ясно, что для устройства у себя внутри хозяйства так, как это нам надо, нам нужно, прежде всего, иметь развязанные руки. Поэтому никаких торговых договоров, никаких срочных конвенций у нас ни с кем не должно быть. Жили мы с правом на автономный тариф до таможенной войны с Германией, и надо восстановить это свое право на самостоятель</w:t>
      </w:r>
      <w:r w:rsidRPr="00405303">
        <w:rPr>
          <w:bCs/>
          <w:color w:val="002060"/>
          <w:sz w:val="16"/>
          <w:szCs w:val="16"/>
        </w:rPr>
        <w:softHyphen/>
        <w:t>ность. Заключение первого торгового договора было первым актом нашего экономичес</w:t>
      </w:r>
      <w:r w:rsidRPr="00405303">
        <w:rPr>
          <w:bCs/>
          <w:color w:val="002060"/>
          <w:sz w:val="16"/>
          <w:szCs w:val="16"/>
        </w:rPr>
        <w:softHyphen/>
        <w:t>кого порабощения Германией. После этого первого промаха Германия при всяком бла</w:t>
      </w:r>
      <w:r w:rsidRPr="00405303">
        <w:rPr>
          <w:bCs/>
          <w:color w:val="002060"/>
          <w:sz w:val="16"/>
          <w:szCs w:val="16"/>
        </w:rPr>
        <w:softHyphen/>
        <w:t>гоприятном случае, при всяком пересмотре только усиливала свой гнет, требуя себе но</w:t>
      </w:r>
      <w:r w:rsidRPr="00405303">
        <w:rPr>
          <w:bCs/>
          <w:color w:val="002060"/>
          <w:sz w:val="16"/>
          <w:szCs w:val="16"/>
        </w:rPr>
        <w:softHyphen/>
        <w:t>вых и новых льгот и уступок. Пишу об этом теперь потому, что то и дело в прессе появля ются известия о предложениях нашему правительству теперь, во время войны, в тяжелое для него время, разных соблазнительных проектов договоров. Появились недавно также известия, будто и наше Министерство торговли и промышленности через Русско-Фран</w:t>
      </w:r>
      <w:r w:rsidRPr="00405303">
        <w:rPr>
          <w:bCs/>
          <w:color w:val="002060"/>
          <w:sz w:val="16"/>
          <w:szCs w:val="16"/>
        </w:rPr>
        <w:softHyphen/>
        <w:t>цузскую палату осведомляется о желаниях Франции при возобновлении с ней догово</w:t>
      </w:r>
      <w:r w:rsidRPr="00405303">
        <w:rPr>
          <w:bCs/>
          <w:color w:val="002060"/>
          <w:sz w:val="16"/>
          <w:szCs w:val="16"/>
        </w:rPr>
        <w:softHyphen/>
        <w:t>ров. Словом, сознание страшного вреда торговых договоров для нас у массы публики и даже у нашей прессы еще не вполне выяснилось. С объявлением войны пал немецкий договор. Остались второстепенные договоры с Францией, Португалией и Сербией, зак</w:t>
      </w:r>
      <w:r w:rsidRPr="00405303">
        <w:rPr>
          <w:bCs/>
          <w:color w:val="002060"/>
          <w:sz w:val="16"/>
          <w:szCs w:val="16"/>
        </w:rPr>
        <w:softHyphen/>
        <w:t>люченные на условии пересмотра или отказа от них по предупреждении за год вперед. Избави Бог нас от заключения каких-либо новых договоров, с кем бы то ни было.</w:t>
      </w:r>
    </w:p>
    <w:p w14:paraId="30B8B0F7"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Напротив, пишущий сие считал бы необходимым теперь же денонсировать всем стра</w:t>
      </w:r>
      <w:r w:rsidRPr="00405303">
        <w:rPr>
          <w:bCs/>
          <w:color w:val="002060"/>
          <w:sz w:val="16"/>
          <w:szCs w:val="16"/>
        </w:rPr>
        <w:softHyphen/>
        <w:t>нам, с которыми мы имеем торговые договоры, о нашем желании в срок (через год) их пересмотра. Это необходимо, чтобы приблизить время нашей полной свободы — устра</w:t>
      </w:r>
      <w:r w:rsidRPr="00405303">
        <w:rPr>
          <w:bCs/>
          <w:color w:val="002060"/>
          <w:sz w:val="16"/>
          <w:szCs w:val="16"/>
        </w:rPr>
        <w:softHyphen/>
        <w:t xml:space="preserve">ивать свои дела, как нам это нужно, в частности же денонсирование теперь же договора с Францией важно потому, что </w:t>
      </w:r>
      <w:proofErr w:type="gramStart"/>
      <w:r w:rsidRPr="00405303">
        <w:rPr>
          <w:bCs/>
          <w:color w:val="002060"/>
          <w:sz w:val="16"/>
          <w:szCs w:val="16"/>
        </w:rPr>
        <w:t>по этому</w:t>
      </w:r>
      <w:proofErr w:type="gramEnd"/>
      <w:r w:rsidRPr="00405303">
        <w:rPr>
          <w:bCs/>
          <w:color w:val="002060"/>
          <w:sz w:val="16"/>
          <w:szCs w:val="16"/>
        </w:rPr>
        <w:t xml:space="preserve"> именно договору Россия лишена возможности иметь у себя одну из крупных отраслей механической промышленности, имеющей [тен</w:t>
      </w:r>
      <w:r w:rsidRPr="00405303">
        <w:rPr>
          <w:bCs/>
          <w:color w:val="002060"/>
          <w:sz w:val="16"/>
          <w:szCs w:val="16"/>
        </w:rPr>
        <w:softHyphen/>
        <w:t>денцию] с каждым годом все более развиваться, — постройку автомобилей. Конвенцион</w:t>
      </w:r>
      <w:r w:rsidRPr="00405303">
        <w:rPr>
          <w:bCs/>
          <w:color w:val="002060"/>
          <w:sz w:val="16"/>
          <w:szCs w:val="16"/>
        </w:rPr>
        <w:softHyphen/>
        <w:t>ные ставки на автомобили в размере взимавшихся при ввозе экипажей обусловлены по договору с Францией. Наше правительство, соглашаясь на эти ставки, вероятно, в то время смотрело на автомобили как на инструмент для спорта и забавы и не уясняло себе всего значения, какое приобретает автомобиль для передвижения и людей, и грузов, и как орудие, могущее заменять живую животную силу везде, где таковая употреблялась. Тогда не имели представления, что автомобилем можно пахать и пр., тем более не имели представления о значении автомобиля в военном деле.</w:t>
      </w:r>
    </w:p>
    <w:p w14:paraId="3869CB3F"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Выторговывая у России эту льготу и лишая возможности свою союзницу иметь у себя столь важное для России производство, Франция, в сущности, сыграла в руку Германии, которая ввозила к нам главную массу автомобилей, во всяком случае, значительно боль</w:t>
      </w:r>
      <w:r w:rsidRPr="00405303">
        <w:rPr>
          <w:bCs/>
          <w:color w:val="002060"/>
          <w:sz w:val="16"/>
          <w:szCs w:val="16"/>
        </w:rPr>
        <w:softHyphen/>
        <w:t>шую, чем Франция. Я считаю, что Россия не может оставаться в прежнем положении; она должна сама для себя строить автомобильные машины всех сортов, тем более что при ее пространствах она представляет собой такой рынок, который будет требовать их с каждым годом все более и более. Между тем, пока существует конвенционный договор с Франци</w:t>
      </w:r>
      <w:r w:rsidRPr="00405303">
        <w:rPr>
          <w:bCs/>
          <w:color w:val="002060"/>
          <w:sz w:val="16"/>
          <w:szCs w:val="16"/>
        </w:rPr>
        <w:softHyphen/>
        <w:t>ей, никто в России не может и думать об устройстве автомобильных заводов. Если будет немедленно денонсирован договор с Францией, то нет сомнения, что многие начнут ком</w:t>
      </w:r>
      <w:r w:rsidRPr="00405303">
        <w:rPr>
          <w:bCs/>
          <w:color w:val="002060"/>
          <w:sz w:val="16"/>
          <w:szCs w:val="16"/>
        </w:rPr>
        <w:softHyphen/>
        <w:t>бинировать устройство таких заводов, а в течение года со дня денонсирования, когда все равно строить в России автомобильных машин, по договору с Францией, нельзя, выяснят</w:t>
      </w:r>
      <w:r w:rsidRPr="00405303">
        <w:rPr>
          <w:bCs/>
          <w:color w:val="002060"/>
          <w:sz w:val="16"/>
          <w:szCs w:val="16"/>
        </w:rPr>
        <w:softHyphen/>
        <w:t>ся от людей, интересующихся этим делом, и те условия, какие нужны для водворения этой промышленности в России, и, может быть, подвинется уже и устройство заводов.</w:t>
      </w:r>
    </w:p>
    <w:p w14:paraId="4DA70FB8"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Г. Крестовников</w:t>
      </w:r>
    </w:p>
    <w:p w14:paraId="1D12EBE6"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 xml:space="preserve">Приложения </w:t>
      </w:r>
      <w:proofErr w:type="gramStart"/>
      <w:r w:rsidRPr="00405303">
        <w:rPr>
          <w:bCs/>
          <w:color w:val="002060"/>
          <w:sz w:val="16"/>
          <w:szCs w:val="16"/>
        </w:rPr>
        <w:t>„ .</w:t>
      </w:r>
      <w:proofErr w:type="gramEnd"/>
      <w:r w:rsidRPr="00405303">
        <w:rPr>
          <w:bCs/>
          <w:color w:val="002060"/>
          <w:sz w:val="16"/>
          <w:szCs w:val="16"/>
        </w:rPr>
        <w:t>_ ,,</w:t>
      </w:r>
    </w:p>
    <w:p w14:paraId="79F0992A"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Таблица № 1</w:t>
      </w:r>
    </w:p>
    <w:p w14:paraId="1E30CC75"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Привоз и вывоз машин, аппаратов, автомобилей, оружия и других предметов механической промышленности в странах нам враждебных и нам союзных</w:t>
      </w:r>
    </w:p>
    <w:tbl>
      <w:tblPr>
        <w:tblW w:w="0" w:type="auto"/>
        <w:tblInd w:w="40" w:type="dxa"/>
        <w:tblLayout w:type="fixed"/>
        <w:tblCellMar>
          <w:left w:w="40" w:type="dxa"/>
          <w:right w:w="40" w:type="dxa"/>
        </w:tblCellMar>
        <w:tblLook w:val="0000" w:firstRow="0" w:lastRow="0" w:firstColumn="0" w:lastColumn="0" w:noHBand="0" w:noVBand="0"/>
      </w:tblPr>
      <w:tblGrid>
        <w:gridCol w:w="1574"/>
        <w:gridCol w:w="854"/>
        <w:gridCol w:w="1363"/>
        <w:gridCol w:w="1363"/>
        <w:gridCol w:w="1363"/>
        <w:gridCol w:w="1392"/>
      </w:tblGrid>
      <w:tr w:rsidR="0064595E" w:rsidRPr="00405303" w14:paraId="4E95BB5C" w14:textId="77777777" w:rsidTr="00D34AC1">
        <w:trPr>
          <w:trHeight w:val="269"/>
        </w:trPr>
        <w:tc>
          <w:tcPr>
            <w:tcW w:w="1574" w:type="dxa"/>
            <w:tcBorders>
              <w:top w:val="single" w:sz="6" w:space="0" w:color="auto"/>
              <w:left w:val="single" w:sz="6" w:space="0" w:color="auto"/>
              <w:right w:val="single" w:sz="6" w:space="0" w:color="auto"/>
            </w:tcBorders>
          </w:tcPr>
          <w:p w14:paraId="51206311" w14:textId="77777777" w:rsidR="0064595E" w:rsidRPr="00405303" w:rsidRDefault="0064595E" w:rsidP="00C15251">
            <w:pPr>
              <w:shd w:val="clear" w:color="auto" w:fill="FFFFFF"/>
              <w:jc w:val="both"/>
              <w:rPr>
                <w:bCs/>
                <w:color w:val="002060"/>
                <w:sz w:val="16"/>
                <w:szCs w:val="16"/>
              </w:rPr>
            </w:pPr>
          </w:p>
          <w:p w14:paraId="628576B7" w14:textId="77777777" w:rsidR="0064595E" w:rsidRPr="00405303" w:rsidRDefault="0064595E" w:rsidP="00C15251">
            <w:pPr>
              <w:shd w:val="clear" w:color="auto" w:fill="FFFFFF"/>
              <w:jc w:val="both"/>
              <w:rPr>
                <w:bCs/>
                <w:color w:val="002060"/>
                <w:sz w:val="16"/>
                <w:szCs w:val="16"/>
              </w:rPr>
            </w:pPr>
          </w:p>
        </w:tc>
        <w:tc>
          <w:tcPr>
            <w:tcW w:w="854" w:type="dxa"/>
            <w:tcBorders>
              <w:top w:val="single" w:sz="6" w:space="0" w:color="auto"/>
              <w:left w:val="single" w:sz="6" w:space="0" w:color="auto"/>
              <w:right w:val="single" w:sz="6" w:space="0" w:color="auto"/>
            </w:tcBorders>
          </w:tcPr>
          <w:p w14:paraId="352827C4"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Год</w:t>
            </w:r>
          </w:p>
          <w:p w14:paraId="608A6983" w14:textId="77777777" w:rsidR="0064595E" w:rsidRPr="00405303" w:rsidRDefault="0064595E" w:rsidP="00C15251">
            <w:pPr>
              <w:shd w:val="clear" w:color="auto" w:fill="FFFFFF"/>
              <w:jc w:val="both"/>
              <w:rPr>
                <w:bCs/>
                <w:color w:val="002060"/>
                <w:sz w:val="16"/>
                <w:szCs w:val="16"/>
              </w:rPr>
            </w:pPr>
          </w:p>
        </w:tc>
        <w:tc>
          <w:tcPr>
            <w:tcW w:w="2726" w:type="dxa"/>
            <w:gridSpan w:val="2"/>
            <w:tcBorders>
              <w:top w:val="single" w:sz="6" w:space="0" w:color="auto"/>
              <w:left w:val="single" w:sz="6" w:space="0" w:color="auto"/>
              <w:bottom w:val="single" w:sz="6" w:space="0" w:color="auto"/>
              <w:right w:val="single" w:sz="6" w:space="0" w:color="auto"/>
            </w:tcBorders>
          </w:tcPr>
          <w:p w14:paraId="38FEA23A"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Количество, пуды</w:t>
            </w:r>
          </w:p>
          <w:p w14:paraId="1BA26A88" w14:textId="77777777" w:rsidR="0064595E" w:rsidRPr="00405303" w:rsidRDefault="0064595E" w:rsidP="00C15251">
            <w:pPr>
              <w:shd w:val="clear" w:color="auto" w:fill="FFFFFF"/>
              <w:jc w:val="both"/>
              <w:rPr>
                <w:bCs/>
                <w:color w:val="002060"/>
                <w:sz w:val="16"/>
                <w:szCs w:val="16"/>
              </w:rPr>
            </w:pPr>
          </w:p>
        </w:tc>
        <w:tc>
          <w:tcPr>
            <w:tcW w:w="2755" w:type="dxa"/>
            <w:gridSpan w:val="2"/>
            <w:tcBorders>
              <w:top w:val="single" w:sz="6" w:space="0" w:color="auto"/>
              <w:left w:val="single" w:sz="6" w:space="0" w:color="auto"/>
              <w:bottom w:val="single" w:sz="6" w:space="0" w:color="auto"/>
              <w:right w:val="single" w:sz="6" w:space="0" w:color="auto"/>
            </w:tcBorders>
          </w:tcPr>
          <w:p w14:paraId="40DDA69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Ценность, рубли</w:t>
            </w:r>
          </w:p>
          <w:p w14:paraId="124DD29E" w14:textId="77777777" w:rsidR="0064595E" w:rsidRPr="00405303" w:rsidRDefault="0064595E" w:rsidP="00C15251">
            <w:pPr>
              <w:shd w:val="clear" w:color="auto" w:fill="FFFFFF"/>
              <w:jc w:val="both"/>
              <w:rPr>
                <w:bCs/>
                <w:color w:val="002060"/>
                <w:sz w:val="16"/>
                <w:szCs w:val="16"/>
              </w:rPr>
            </w:pPr>
          </w:p>
        </w:tc>
      </w:tr>
      <w:tr w:rsidR="0064595E" w:rsidRPr="00405303" w14:paraId="3CADB7CC" w14:textId="77777777" w:rsidTr="00D34AC1">
        <w:trPr>
          <w:trHeight w:val="288"/>
        </w:trPr>
        <w:tc>
          <w:tcPr>
            <w:tcW w:w="1574" w:type="dxa"/>
            <w:tcBorders>
              <w:left w:val="single" w:sz="6" w:space="0" w:color="auto"/>
              <w:bottom w:val="single" w:sz="6" w:space="0" w:color="auto"/>
              <w:right w:val="single" w:sz="6" w:space="0" w:color="auto"/>
            </w:tcBorders>
          </w:tcPr>
          <w:p w14:paraId="61418898" w14:textId="77777777" w:rsidR="0064595E" w:rsidRPr="00405303" w:rsidRDefault="0064595E" w:rsidP="00C15251">
            <w:pPr>
              <w:jc w:val="both"/>
              <w:rPr>
                <w:bCs/>
                <w:color w:val="002060"/>
                <w:sz w:val="16"/>
                <w:szCs w:val="16"/>
              </w:rPr>
            </w:pPr>
          </w:p>
          <w:p w14:paraId="2A2216B2" w14:textId="77777777" w:rsidR="0064595E" w:rsidRPr="00405303" w:rsidRDefault="0064595E" w:rsidP="00C15251">
            <w:pPr>
              <w:jc w:val="both"/>
              <w:rPr>
                <w:bCs/>
                <w:color w:val="002060"/>
                <w:sz w:val="16"/>
                <w:szCs w:val="16"/>
              </w:rPr>
            </w:pPr>
          </w:p>
        </w:tc>
        <w:tc>
          <w:tcPr>
            <w:tcW w:w="854" w:type="dxa"/>
            <w:tcBorders>
              <w:left w:val="single" w:sz="6" w:space="0" w:color="auto"/>
              <w:bottom w:val="single" w:sz="6" w:space="0" w:color="auto"/>
              <w:right w:val="single" w:sz="6" w:space="0" w:color="auto"/>
            </w:tcBorders>
          </w:tcPr>
          <w:p w14:paraId="78CD7E95" w14:textId="77777777" w:rsidR="0064595E" w:rsidRPr="00405303" w:rsidRDefault="0064595E" w:rsidP="00C15251">
            <w:pPr>
              <w:jc w:val="both"/>
              <w:rPr>
                <w:bCs/>
                <w:color w:val="002060"/>
                <w:sz w:val="16"/>
                <w:szCs w:val="16"/>
              </w:rPr>
            </w:pPr>
          </w:p>
          <w:p w14:paraId="7E7E04C0" w14:textId="77777777" w:rsidR="0064595E" w:rsidRPr="00405303" w:rsidRDefault="0064595E" w:rsidP="00C15251">
            <w:pPr>
              <w:jc w:val="both"/>
              <w:rPr>
                <w:bCs/>
                <w:color w:val="002060"/>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38925DF"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Привоз</w:t>
            </w:r>
          </w:p>
          <w:p w14:paraId="7F7EBA0B" w14:textId="77777777" w:rsidR="0064595E" w:rsidRPr="00405303" w:rsidRDefault="0064595E" w:rsidP="00C15251">
            <w:pPr>
              <w:shd w:val="clear" w:color="auto" w:fill="FFFFFF"/>
              <w:jc w:val="both"/>
              <w:rPr>
                <w:bCs/>
                <w:color w:val="002060"/>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BB436A0"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Вывоз</w:t>
            </w:r>
          </w:p>
          <w:p w14:paraId="0BA07112" w14:textId="77777777" w:rsidR="0064595E" w:rsidRPr="00405303" w:rsidRDefault="0064595E" w:rsidP="00C15251">
            <w:pPr>
              <w:shd w:val="clear" w:color="auto" w:fill="FFFFFF"/>
              <w:jc w:val="both"/>
              <w:rPr>
                <w:bCs/>
                <w:color w:val="002060"/>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51E63F5"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Привоз</w:t>
            </w:r>
          </w:p>
          <w:p w14:paraId="19ED6C1F" w14:textId="77777777" w:rsidR="0064595E" w:rsidRPr="00405303" w:rsidRDefault="0064595E" w:rsidP="00C15251">
            <w:pPr>
              <w:shd w:val="clear" w:color="auto" w:fill="FFFFFF"/>
              <w:jc w:val="both"/>
              <w:rPr>
                <w:bCs/>
                <w:color w:val="002060"/>
                <w:sz w:val="16"/>
                <w:szCs w:val="16"/>
              </w:rPr>
            </w:pPr>
          </w:p>
        </w:tc>
        <w:tc>
          <w:tcPr>
            <w:tcW w:w="1392" w:type="dxa"/>
            <w:tcBorders>
              <w:top w:val="single" w:sz="6" w:space="0" w:color="auto"/>
              <w:left w:val="single" w:sz="6" w:space="0" w:color="auto"/>
              <w:bottom w:val="single" w:sz="6" w:space="0" w:color="auto"/>
              <w:right w:val="single" w:sz="6" w:space="0" w:color="auto"/>
            </w:tcBorders>
          </w:tcPr>
          <w:p w14:paraId="4459AAF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Вывоз</w:t>
            </w:r>
          </w:p>
          <w:p w14:paraId="3F01A1EC" w14:textId="77777777" w:rsidR="0064595E" w:rsidRPr="00405303" w:rsidRDefault="0064595E" w:rsidP="00C15251">
            <w:pPr>
              <w:shd w:val="clear" w:color="auto" w:fill="FFFFFF"/>
              <w:jc w:val="both"/>
              <w:rPr>
                <w:bCs/>
                <w:color w:val="002060"/>
                <w:sz w:val="16"/>
                <w:szCs w:val="16"/>
              </w:rPr>
            </w:pPr>
          </w:p>
        </w:tc>
      </w:tr>
      <w:tr w:rsidR="0064595E" w:rsidRPr="00405303" w14:paraId="05EA7D74" w14:textId="77777777" w:rsidTr="00D34AC1">
        <w:trPr>
          <w:trHeight w:val="230"/>
        </w:trPr>
        <w:tc>
          <w:tcPr>
            <w:tcW w:w="1574" w:type="dxa"/>
            <w:tcBorders>
              <w:top w:val="single" w:sz="6" w:space="0" w:color="auto"/>
              <w:left w:val="single" w:sz="6" w:space="0" w:color="auto"/>
              <w:right w:val="single" w:sz="6" w:space="0" w:color="auto"/>
            </w:tcBorders>
          </w:tcPr>
          <w:p w14:paraId="6F70D783"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Россия</w:t>
            </w:r>
          </w:p>
          <w:p w14:paraId="5708A497" w14:textId="77777777" w:rsidR="0064595E" w:rsidRPr="00405303" w:rsidRDefault="0064595E" w:rsidP="00C15251">
            <w:pPr>
              <w:shd w:val="clear" w:color="auto" w:fill="FFFFFF"/>
              <w:jc w:val="both"/>
              <w:rPr>
                <w:bCs/>
                <w:color w:val="002060"/>
                <w:sz w:val="16"/>
                <w:szCs w:val="16"/>
              </w:rPr>
            </w:pPr>
          </w:p>
        </w:tc>
        <w:tc>
          <w:tcPr>
            <w:tcW w:w="854" w:type="dxa"/>
            <w:tcBorders>
              <w:top w:val="single" w:sz="6" w:space="0" w:color="auto"/>
              <w:left w:val="single" w:sz="6" w:space="0" w:color="auto"/>
              <w:right w:val="single" w:sz="6" w:space="0" w:color="auto"/>
            </w:tcBorders>
          </w:tcPr>
          <w:p w14:paraId="019F1332"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1913</w:t>
            </w:r>
          </w:p>
          <w:p w14:paraId="4EB00C93" w14:textId="77777777" w:rsidR="0064595E" w:rsidRPr="00405303" w:rsidRDefault="0064595E" w:rsidP="00C15251">
            <w:pPr>
              <w:shd w:val="clear" w:color="auto" w:fill="FFFFFF"/>
              <w:jc w:val="both"/>
              <w:rPr>
                <w:bCs/>
                <w:color w:val="002060"/>
                <w:sz w:val="16"/>
                <w:szCs w:val="16"/>
              </w:rPr>
            </w:pPr>
          </w:p>
        </w:tc>
        <w:tc>
          <w:tcPr>
            <w:tcW w:w="1363" w:type="dxa"/>
            <w:tcBorders>
              <w:top w:val="single" w:sz="6" w:space="0" w:color="auto"/>
              <w:left w:val="single" w:sz="6" w:space="0" w:color="auto"/>
              <w:right w:val="single" w:sz="6" w:space="0" w:color="auto"/>
            </w:tcBorders>
          </w:tcPr>
          <w:p w14:paraId="52DF5212"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21 159467*</w:t>
            </w:r>
          </w:p>
          <w:p w14:paraId="5C5C6CB5" w14:textId="77777777" w:rsidR="0064595E" w:rsidRPr="00405303" w:rsidRDefault="0064595E" w:rsidP="00C15251">
            <w:pPr>
              <w:shd w:val="clear" w:color="auto" w:fill="FFFFFF"/>
              <w:jc w:val="both"/>
              <w:rPr>
                <w:bCs/>
                <w:color w:val="002060"/>
                <w:sz w:val="16"/>
                <w:szCs w:val="16"/>
              </w:rPr>
            </w:pPr>
          </w:p>
        </w:tc>
        <w:tc>
          <w:tcPr>
            <w:tcW w:w="1363" w:type="dxa"/>
            <w:tcBorders>
              <w:top w:val="single" w:sz="6" w:space="0" w:color="auto"/>
              <w:left w:val="single" w:sz="6" w:space="0" w:color="auto"/>
              <w:right w:val="single" w:sz="6" w:space="0" w:color="auto"/>
            </w:tcBorders>
          </w:tcPr>
          <w:p w14:paraId="60C3325F"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187 599**</w:t>
            </w:r>
          </w:p>
          <w:p w14:paraId="3B703F74" w14:textId="77777777" w:rsidR="0064595E" w:rsidRPr="00405303" w:rsidRDefault="0064595E" w:rsidP="00C15251">
            <w:pPr>
              <w:shd w:val="clear" w:color="auto" w:fill="FFFFFF"/>
              <w:jc w:val="both"/>
              <w:rPr>
                <w:bCs/>
                <w:color w:val="002060"/>
                <w:sz w:val="16"/>
                <w:szCs w:val="16"/>
              </w:rPr>
            </w:pPr>
          </w:p>
        </w:tc>
        <w:tc>
          <w:tcPr>
            <w:tcW w:w="1363" w:type="dxa"/>
            <w:tcBorders>
              <w:top w:val="single" w:sz="6" w:space="0" w:color="auto"/>
              <w:left w:val="single" w:sz="6" w:space="0" w:color="auto"/>
              <w:right w:val="single" w:sz="6" w:space="0" w:color="auto"/>
            </w:tcBorders>
          </w:tcPr>
          <w:p w14:paraId="5C3F0FEB"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206 949 753</w:t>
            </w:r>
          </w:p>
          <w:p w14:paraId="7A528ED9" w14:textId="77777777" w:rsidR="0064595E" w:rsidRPr="00405303" w:rsidRDefault="0064595E" w:rsidP="00C15251">
            <w:pPr>
              <w:shd w:val="clear" w:color="auto" w:fill="FFFFFF"/>
              <w:jc w:val="both"/>
              <w:rPr>
                <w:bCs/>
                <w:color w:val="002060"/>
                <w:sz w:val="16"/>
                <w:szCs w:val="16"/>
              </w:rPr>
            </w:pPr>
          </w:p>
        </w:tc>
        <w:tc>
          <w:tcPr>
            <w:tcW w:w="1392" w:type="dxa"/>
            <w:tcBorders>
              <w:top w:val="single" w:sz="6" w:space="0" w:color="auto"/>
              <w:left w:val="single" w:sz="6" w:space="0" w:color="auto"/>
              <w:right w:val="single" w:sz="6" w:space="0" w:color="auto"/>
            </w:tcBorders>
          </w:tcPr>
          <w:p w14:paraId="4C3F0AED"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3 047 121</w:t>
            </w:r>
          </w:p>
          <w:p w14:paraId="2992F5C0" w14:textId="77777777" w:rsidR="0064595E" w:rsidRPr="00405303" w:rsidRDefault="0064595E" w:rsidP="00C15251">
            <w:pPr>
              <w:shd w:val="clear" w:color="auto" w:fill="FFFFFF"/>
              <w:jc w:val="both"/>
              <w:rPr>
                <w:bCs/>
                <w:color w:val="002060"/>
                <w:sz w:val="16"/>
                <w:szCs w:val="16"/>
              </w:rPr>
            </w:pPr>
          </w:p>
        </w:tc>
      </w:tr>
      <w:tr w:rsidR="0064595E" w:rsidRPr="00405303" w14:paraId="193CB932" w14:textId="77777777" w:rsidTr="00D34AC1">
        <w:trPr>
          <w:trHeight w:val="173"/>
        </w:trPr>
        <w:tc>
          <w:tcPr>
            <w:tcW w:w="1574" w:type="dxa"/>
            <w:tcBorders>
              <w:left w:val="single" w:sz="6" w:space="0" w:color="auto"/>
              <w:right w:val="single" w:sz="6" w:space="0" w:color="auto"/>
            </w:tcBorders>
          </w:tcPr>
          <w:p w14:paraId="0FDB6F2F"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Англия</w:t>
            </w:r>
          </w:p>
          <w:p w14:paraId="70451FB5" w14:textId="77777777" w:rsidR="0064595E" w:rsidRPr="00405303" w:rsidRDefault="0064595E" w:rsidP="00C15251">
            <w:pPr>
              <w:shd w:val="clear" w:color="auto" w:fill="FFFFFF"/>
              <w:jc w:val="both"/>
              <w:rPr>
                <w:bCs/>
                <w:color w:val="002060"/>
                <w:sz w:val="16"/>
                <w:szCs w:val="16"/>
              </w:rPr>
            </w:pPr>
          </w:p>
        </w:tc>
        <w:tc>
          <w:tcPr>
            <w:tcW w:w="854" w:type="dxa"/>
            <w:tcBorders>
              <w:left w:val="single" w:sz="6" w:space="0" w:color="auto"/>
              <w:right w:val="single" w:sz="6" w:space="0" w:color="auto"/>
            </w:tcBorders>
          </w:tcPr>
          <w:p w14:paraId="26DE6774"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1912</w:t>
            </w:r>
          </w:p>
          <w:p w14:paraId="3D339AFE"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7FCDD18B"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6 081 007</w:t>
            </w:r>
          </w:p>
          <w:p w14:paraId="15ECC872"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37D27623"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44 121 966</w:t>
            </w:r>
          </w:p>
          <w:p w14:paraId="200AE373"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5CC4783C"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141 494 583</w:t>
            </w:r>
          </w:p>
          <w:p w14:paraId="78457E3E" w14:textId="77777777" w:rsidR="0064595E" w:rsidRPr="00405303" w:rsidRDefault="0064595E" w:rsidP="00C15251">
            <w:pPr>
              <w:shd w:val="clear" w:color="auto" w:fill="FFFFFF"/>
              <w:jc w:val="both"/>
              <w:rPr>
                <w:bCs/>
                <w:color w:val="002060"/>
                <w:sz w:val="16"/>
                <w:szCs w:val="16"/>
              </w:rPr>
            </w:pPr>
          </w:p>
        </w:tc>
        <w:tc>
          <w:tcPr>
            <w:tcW w:w="1392" w:type="dxa"/>
            <w:tcBorders>
              <w:left w:val="single" w:sz="6" w:space="0" w:color="auto"/>
              <w:right w:val="single" w:sz="6" w:space="0" w:color="auto"/>
            </w:tcBorders>
          </w:tcPr>
          <w:p w14:paraId="1D0918AC"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420 204 303</w:t>
            </w:r>
          </w:p>
          <w:p w14:paraId="0104339D" w14:textId="77777777" w:rsidR="0064595E" w:rsidRPr="00405303" w:rsidRDefault="0064595E" w:rsidP="00C15251">
            <w:pPr>
              <w:shd w:val="clear" w:color="auto" w:fill="FFFFFF"/>
              <w:jc w:val="both"/>
              <w:rPr>
                <w:bCs/>
                <w:color w:val="002060"/>
                <w:sz w:val="16"/>
                <w:szCs w:val="16"/>
              </w:rPr>
            </w:pPr>
          </w:p>
        </w:tc>
      </w:tr>
      <w:tr w:rsidR="0064595E" w:rsidRPr="00405303" w14:paraId="16597DFC" w14:textId="77777777" w:rsidTr="00D34AC1">
        <w:trPr>
          <w:trHeight w:val="182"/>
        </w:trPr>
        <w:tc>
          <w:tcPr>
            <w:tcW w:w="1574" w:type="dxa"/>
            <w:tcBorders>
              <w:left w:val="single" w:sz="6" w:space="0" w:color="auto"/>
              <w:right w:val="single" w:sz="6" w:space="0" w:color="auto"/>
            </w:tcBorders>
          </w:tcPr>
          <w:p w14:paraId="49997E9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Франция</w:t>
            </w:r>
          </w:p>
          <w:p w14:paraId="209B555F" w14:textId="77777777" w:rsidR="0064595E" w:rsidRPr="00405303" w:rsidRDefault="0064595E" w:rsidP="00C15251">
            <w:pPr>
              <w:shd w:val="clear" w:color="auto" w:fill="FFFFFF"/>
              <w:jc w:val="both"/>
              <w:rPr>
                <w:bCs/>
                <w:color w:val="002060"/>
                <w:sz w:val="16"/>
                <w:szCs w:val="16"/>
              </w:rPr>
            </w:pPr>
          </w:p>
        </w:tc>
        <w:tc>
          <w:tcPr>
            <w:tcW w:w="854" w:type="dxa"/>
            <w:tcBorders>
              <w:left w:val="single" w:sz="6" w:space="0" w:color="auto"/>
              <w:right w:val="single" w:sz="6" w:space="0" w:color="auto"/>
            </w:tcBorders>
          </w:tcPr>
          <w:p w14:paraId="0226D0C4"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1912</w:t>
            </w:r>
          </w:p>
          <w:p w14:paraId="2623ABF9"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41892ED9"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13 940 432</w:t>
            </w:r>
          </w:p>
          <w:p w14:paraId="46D71EF0"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45CAAA70"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6 948 205</w:t>
            </w:r>
          </w:p>
          <w:p w14:paraId="0AF96EF2"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1E21EEB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123 581 547</w:t>
            </w:r>
          </w:p>
          <w:p w14:paraId="16D0A4AD" w14:textId="77777777" w:rsidR="0064595E" w:rsidRPr="00405303" w:rsidRDefault="0064595E" w:rsidP="00C15251">
            <w:pPr>
              <w:shd w:val="clear" w:color="auto" w:fill="FFFFFF"/>
              <w:jc w:val="both"/>
              <w:rPr>
                <w:bCs/>
                <w:color w:val="002060"/>
                <w:sz w:val="16"/>
                <w:szCs w:val="16"/>
              </w:rPr>
            </w:pPr>
          </w:p>
        </w:tc>
        <w:tc>
          <w:tcPr>
            <w:tcW w:w="1392" w:type="dxa"/>
            <w:tcBorders>
              <w:left w:val="single" w:sz="6" w:space="0" w:color="auto"/>
              <w:right w:val="single" w:sz="6" w:space="0" w:color="auto"/>
            </w:tcBorders>
          </w:tcPr>
          <w:p w14:paraId="5D4A366C"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130 115 256</w:t>
            </w:r>
          </w:p>
          <w:p w14:paraId="0316A235" w14:textId="77777777" w:rsidR="0064595E" w:rsidRPr="00405303" w:rsidRDefault="0064595E" w:rsidP="00C15251">
            <w:pPr>
              <w:shd w:val="clear" w:color="auto" w:fill="FFFFFF"/>
              <w:jc w:val="both"/>
              <w:rPr>
                <w:bCs/>
                <w:color w:val="002060"/>
                <w:sz w:val="16"/>
                <w:szCs w:val="16"/>
              </w:rPr>
            </w:pPr>
          </w:p>
        </w:tc>
      </w:tr>
      <w:tr w:rsidR="0064595E" w:rsidRPr="00405303" w14:paraId="1E1E3FD3" w14:textId="77777777" w:rsidTr="00D34AC1">
        <w:trPr>
          <w:trHeight w:val="154"/>
        </w:trPr>
        <w:tc>
          <w:tcPr>
            <w:tcW w:w="1574" w:type="dxa"/>
            <w:tcBorders>
              <w:left w:val="single" w:sz="6" w:space="0" w:color="auto"/>
              <w:right w:val="single" w:sz="6" w:space="0" w:color="auto"/>
            </w:tcBorders>
          </w:tcPr>
          <w:p w14:paraId="0242DEE8"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Италия</w:t>
            </w:r>
          </w:p>
          <w:p w14:paraId="5A6E10CB" w14:textId="77777777" w:rsidR="0064595E" w:rsidRPr="00405303" w:rsidRDefault="0064595E" w:rsidP="00C15251">
            <w:pPr>
              <w:shd w:val="clear" w:color="auto" w:fill="FFFFFF"/>
              <w:jc w:val="both"/>
              <w:rPr>
                <w:bCs/>
                <w:color w:val="002060"/>
                <w:sz w:val="16"/>
                <w:szCs w:val="16"/>
              </w:rPr>
            </w:pPr>
          </w:p>
        </w:tc>
        <w:tc>
          <w:tcPr>
            <w:tcW w:w="854" w:type="dxa"/>
            <w:tcBorders>
              <w:left w:val="single" w:sz="6" w:space="0" w:color="auto"/>
              <w:right w:val="single" w:sz="6" w:space="0" w:color="auto"/>
            </w:tcBorders>
          </w:tcPr>
          <w:p w14:paraId="4B872386"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1912</w:t>
            </w:r>
          </w:p>
          <w:p w14:paraId="1A6AAC1D"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0959A59C"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6 454 910</w:t>
            </w:r>
          </w:p>
          <w:p w14:paraId="4F3319AD"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766CF10A"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1 047 614</w:t>
            </w:r>
          </w:p>
          <w:p w14:paraId="4C67FBC0"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4C31DCFA"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67 619 071</w:t>
            </w:r>
          </w:p>
          <w:p w14:paraId="2FF72FB3" w14:textId="77777777" w:rsidR="0064595E" w:rsidRPr="00405303" w:rsidRDefault="0064595E" w:rsidP="00C15251">
            <w:pPr>
              <w:shd w:val="clear" w:color="auto" w:fill="FFFFFF"/>
              <w:jc w:val="both"/>
              <w:rPr>
                <w:bCs/>
                <w:color w:val="002060"/>
                <w:sz w:val="16"/>
                <w:szCs w:val="16"/>
              </w:rPr>
            </w:pPr>
          </w:p>
        </w:tc>
        <w:tc>
          <w:tcPr>
            <w:tcW w:w="1392" w:type="dxa"/>
            <w:tcBorders>
              <w:left w:val="single" w:sz="6" w:space="0" w:color="auto"/>
              <w:right w:val="single" w:sz="6" w:space="0" w:color="auto"/>
            </w:tcBorders>
          </w:tcPr>
          <w:p w14:paraId="38EDA771"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24 031 334</w:t>
            </w:r>
          </w:p>
          <w:p w14:paraId="103D637C" w14:textId="77777777" w:rsidR="0064595E" w:rsidRPr="00405303" w:rsidRDefault="0064595E" w:rsidP="00C15251">
            <w:pPr>
              <w:shd w:val="clear" w:color="auto" w:fill="FFFFFF"/>
              <w:jc w:val="both"/>
              <w:rPr>
                <w:bCs/>
                <w:color w:val="002060"/>
                <w:sz w:val="16"/>
                <w:szCs w:val="16"/>
              </w:rPr>
            </w:pPr>
          </w:p>
        </w:tc>
      </w:tr>
      <w:tr w:rsidR="0064595E" w:rsidRPr="00405303" w14:paraId="7A3E1D2E" w14:textId="77777777" w:rsidTr="00D34AC1">
        <w:trPr>
          <w:trHeight w:val="173"/>
        </w:trPr>
        <w:tc>
          <w:tcPr>
            <w:tcW w:w="1574" w:type="dxa"/>
            <w:tcBorders>
              <w:left w:val="single" w:sz="6" w:space="0" w:color="auto"/>
              <w:right w:val="single" w:sz="6" w:space="0" w:color="auto"/>
            </w:tcBorders>
          </w:tcPr>
          <w:p w14:paraId="098348D6"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Бельгия</w:t>
            </w:r>
          </w:p>
          <w:p w14:paraId="0C8E02A7" w14:textId="77777777" w:rsidR="0064595E" w:rsidRPr="00405303" w:rsidRDefault="0064595E" w:rsidP="00C15251">
            <w:pPr>
              <w:shd w:val="clear" w:color="auto" w:fill="FFFFFF"/>
              <w:jc w:val="both"/>
              <w:rPr>
                <w:bCs/>
                <w:color w:val="002060"/>
                <w:sz w:val="16"/>
                <w:szCs w:val="16"/>
              </w:rPr>
            </w:pPr>
          </w:p>
        </w:tc>
        <w:tc>
          <w:tcPr>
            <w:tcW w:w="854" w:type="dxa"/>
            <w:tcBorders>
              <w:left w:val="single" w:sz="6" w:space="0" w:color="auto"/>
              <w:right w:val="single" w:sz="6" w:space="0" w:color="auto"/>
            </w:tcBorders>
          </w:tcPr>
          <w:p w14:paraId="3F086A07"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1912</w:t>
            </w:r>
          </w:p>
          <w:p w14:paraId="40D87293"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4AB037AF"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6 815 189</w:t>
            </w:r>
          </w:p>
          <w:p w14:paraId="65551CF3"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0D447118"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13 423 458</w:t>
            </w:r>
          </w:p>
          <w:p w14:paraId="15B35EE4"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1D4C1B02"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45 549 837</w:t>
            </w:r>
          </w:p>
          <w:p w14:paraId="0BB4EED3" w14:textId="77777777" w:rsidR="0064595E" w:rsidRPr="00405303" w:rsidRDefault="0064595E" w:rsidP="00C15251">
            <w:pPr>
              <w:shd w:val="clear" w:color="auto" w:fill="FFFFFF"/>
              <w:jc w:val="both"/>
              <w:rPr>
                <w:bCs/>
                <w:color w:val="002060"/>
                <w:sz w:val="16"/>
                <w:szCs w:val="16"/>
              </w:rPr>
            </w:pPr>
          </w:p>
        </w:tc>
        <w:tc>
          <w:tcPr>
            <w:tcW w:w="1392" w:type="dxa"/>
            <w:tcBorders>
              <w:left w:val="single" w:sz="6" w:space="0" w:color="auto"/>
              <w:right w:val="single" w:sz="6" w:space="0" w:color="auto"/>
            </w:tcBorders>
          </w:tcPr>
          <w:p w14:paraId="373AD8FD"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93 613 726</w:t>
            </w:r>
          </w:p>
          <w:p w14:paraId="67A32E8F" w14:textId="77777777" w:rsidR="0064595E" w:rsidRPr="00405303" w:rsidRDefault="0064595E" w:rsidP="00C15251">
            <w:pPr>
              <w:shd w:val="clear" w:color="auto" w:fill="FFFFFF"/>
              <w:jc w:val="both"/>
              <w:rPr>
                <w:bCs/>
                <w:color w:val="002060"/>
                <w:sz w:val="16"/>
                <w:szCs w:val="16"/>
              </w:rPr>
            </w:pPr>
          </w:p>
        </w:tc>
      </w:tr>
      <w:tr w:rsidR="0064595E" w:rsidRPr="00405303" w14:paraId="26355E52" w14:textId="77777777" w:rsidTr="00D34AC1">
        <w:trPr>
          <w:trHeight w:val="163"/>
        </w:trPr>
        <w:tc>
          <w:tcPr>
            <w:tcW w:w="1574" w:type="dxa"/>
            <w:tcBorders>
              <w:left w:val="single" w:sz="6" w:space="0" w:color="auto"/>
              <w:right w:val="single" w:sz="6" w:space="0" w:color="auto"/>
            </w:tcBorders>
          </w:tcPr>
          <w:p w14:paraId="3BF269D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Япония</w:t>
            </w:r>
          </w:p>
          <w:p w14:paraId="5DD442BD" w14:textId="77777777" w:rsidR="0064595E" w:rsidRPr="00405303" w:rsidRDefault="0064595E" w:rsidP="00C15251">
            <w:pPr>
              <w:shd w:val="clear" w:color="auto" w:fill="FFFFFF"/>
              <w:jc w:val="both"/>
              <w:rPr>
                <w:bCs/>
                <w:color w:val="002060"/>
                <w:sz w:val="16"/>
                <w:szCs w:val="16"/>
              </w:rPr>
            </w:pPr>
          </w:p>
        </w:tc>
        <w:tc>
          <w:tcPr>
            <w:tcW w:w="854" w:type="dxa"/>
            <w:tcBorders>
              <w:left w:val="single" w:sz="6" w:space="0" w:color="auto"/>
              <w:right w:val="single" w:sz="6" w:space="0" w:color="auto"/>
            </w:tcBorders>
          </w:tcPr>
          <w:p w14:paraId="33112560"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1913</w:t>
            </w:r>
          </w:p>
          <w:p w14:paraId="33D3B01D"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5B181303"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сведении нет</w:t>
            </w:r>
          </w:p>
          <w:p w14:paraId="459E490F"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64659EA9" w14:textId="77777777" w:rsidR="0064595E" w:rsidRPr="00405303" w:rsidRDefault="0064595E" w:rsidP="00C15251">
            <w:pPr>
              <w:shd w:val="clear" w:color="auto" w:fill="FFFFFF"/>
              <w:jc w:val="both"/>
              <w:rPr>
                <w:bCs/>
                <w:color w:val="002060"/>
                <w:sz w:val="16"/>
                <w:szCs w:val="16"/>
              </w:rPr>
            </w:pPr>
          </w:p>
          <w:p w14:paraId="2984ADE9"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6210886D"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49 510 829</w:t>
            </w:r>
          </w:p>
          <w:p w14:paraId="2F4EB410" w14:textId="77777777" w:rsidR="0064595E" w:rsidRPr="00405303" w:rsidRDefault="0064595E" w:rsidP="00C15251">
            <w:pPr>
              <w:shd w:val="clear" w:color="auto" w:fill="FFFFFF"/>
              <w:jc w:val="both"/>
              <w:rPr>
                <w:bCs/>
                <w:color w:val="002060"/>
                <w:sz w:val="16"/>
                <w:szCs w:val="16"/>
              </w:rPr>
            </w:pPr>
          </w:p>
        </w:tc>
        <w:tc>
          <w:tcPr>
            <w:tcW w:w="1392" w:type="dxa"/>
            <w:tcBorders>
              <w:left w:val="single" w:sz="6" w:space="0" w:color="auto"/>
              <w:right w:val="single" w:sz="6" w:space="0" w:color="auto"/>
            </w:tcBorders>
          </w:tcPr>
          <w:p w14:paraId="795E83F4"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6 254 605</w:t>
            </w:r>
          </w:p>
          <w:p w14:paraId="39F9260C" w14:textId="77777777" w:rsidR="0064595E" w:rsidRPr="00405303" w:rsidRDefault="0064595E" w:rsidP="00C15251">
            <w:pPr>
              <w:shd w:val="clear" w:color="auto" w:fill="FFFFFF"/>
              <w:jc w:val="both"/>
              <w:rPr>
                <w:bCs/>
                <w:color w:val="002060"/>
                <w:sz w:val="16"/>
                <w:szCs w:val="16"/>
              </w:rPr>
            </w:pPr>
          </w:p>
        </w:tc>
      </w:tr>
      <w:tr w:rsidR="0064595E" w:rsidRPr="00405303" w14:paraId="089922C3" w14:textId="77777777" w:rsidTr="00D34AC1">
        <w:trPr>
          <w:trHeight w:val="182"/>
        </w:trPr>
        <w:tc>
          <w:tcPr>
            <w:tcW w:w="1574" w:type="dxa"/>
            <w:tcBorders>
              <w:left w:val="single" w:sz="6" w:space="0" w:color="auto"/>
              <w:right w:val="single" w:sz="6" w:space="0" w:color="auto"/>
            </w:tcBorders>
          </w:tcPr>
          <w:p w14:paraId="68703FF6"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Германия</w:t>
            </w:r>
          </w:p>
          <w:p w14:paraId="3552A7D8" w14:textId="77777777" w:rsidR="0064595E" w:rsidRPr="00405303" w:rsidRDefault="0064595E" w:rsidP="00C15251">
            <w:pPr>
              <w:shd w:val="clear" w:color="auto" w:fill="FFFFFF"/>
              <w:jc w:val="both"/>
              <w:rPr>
                <w:bCs/>
                <w:color w:val="002060"/>
                <w:sz w:val="16"/>
                <w:szCs w:val="16"/>
              </w:rPr>
            </w:pPr>
          </w:p>
        </w:tc>
        <w:tc>
          <w:tcPr>
            <w:tcW w:w="854" w:type="dxa"/>
            <w:tcBorders>
              <w:left w:val="single" w:sz="6" w:space="0" w:color="auto"/>
              <w:right w:val="single" w:sz="6" w:space="0" w:color="auto"/>
            </w:tcBorders>
          </w:tcPr>
          <w:p w14:paraId="3EFDDD64"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lastRenderedPageBreak/>
              <w:t>1912</w:t>
            </w:r>
          </w:p>
          <w:p w14:paraId="2C230997"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5733AB8A"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lastRenderedPageBreak/>
              <w:t>5 160 905</w:t>
            </w:r>
          </w:p>
          <w:p w14:paraId="7448A41F"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21CD350C"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lastRenderedPageBreak/>
              <w:t>42 991 397</w:t>
            </w:r>
          </w:p>
          <w:p w14:paraId="5878C388"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2BF21EC3"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lastRenderedPageBreak/>
              <w:t>46 513 443</w:t>
            </w:r>
          </w:p>
          <w:p w14:paraId="0292D6F7" w14:textId="77777777" w:rsidR="0064595E" w:rsidRPr="00405303" w:rsidRDefault="0064595E" w:rsidP="00C15251">
            <w:pPr>
              <w:shd w:val="clear" w:color="auto" w:fill="FFFFFF"/>
              <w:jc w:val="both"/>
              <w:rPr>
                <w:bCs/>
                <w:color w:val="002060"/>
                <w:sz w:val="16"/>
                <w:szCs w:val="16"/>
              </w:rPr>
            </w:pPr>
          </w:p>
        </w:tc>
        <w:tc>
          <w:tcPr>
            <w:tcW w:w="1392" w:type="dxa"/>
            <w:tcBorders>
              <w:left w:val="single" w:sz="6" w:space="0" w:color="auto"/>
              <w:right w:val="single" w:sz="6" w:space="0" w:color="auto"/>
            </w:tcBorders>
          </w:tcPr>
          <w:p w14:paraId="564D7714"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lastRenderedPageBreak/>
              <w:t>419 736 817</w:t>
            </w:r>
          </w:p>
          <w:p w14:paraId="74DE20B1" w14:textId="77777777" w:rsidR="0064595E" w:rsidRPr="00405303" w:rsidRDefault="0064595E" w:rsidP="00C15251">
            <w:pPr>
              <w:shd w:val="clear" w:color="auto" w:fill="FFFFFF"/>
              <w:jc w:val="both"/>
              <w:rPr>
                <w:bCs/>
                <w:color w:val="002060"/>
                <w:sz w:val="16"/>
                <w:szCs w:val="16"/>
              </w:rPr>
            </w:pPr>
          </w:p>
        </w:tc>
      </w:tr>
      <w:tr w:rsidR="0064595E" w:rsidRPr="00405303" w14:paraId="656F6D99" w14:textId="77777777" w:rsidTr="00D34AC1">
        <w:trPr>
          <w:trHeight w:val="173"/>
        </w:trPr>
        <w:tc>
          <w:tcPr>
            <w:tcW w:w="1574" w:type="dxa"/>
            <w:tcBorders>
              <w:left w:val="single" w:sz="6" w:space="0" w:color="auto"/>
              <w:right w:val="single" w:sz="6" w:space="0" w:color="auto"/>
            </w:tcBorders>
          </w:tcPr>
          <w:p w14:paraId="75D73B13"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lastRenderedPageBreak/>
              <w:t>Австро-Венгрия</w:t>
            </w:r>
          </w:p>
          <w:p w14:paraId="5D02367F" w14:textId="77777777" w:rsidR="0064595E" w:rsidRPr="00405303" w:rsidRDefault="0064595E" w:rsidP="00C15251">
            <w:pPr>
              <w:shd w:val="clear" w:color="auto" w:fill="FFFFFF"/>
              <w:jc w:val="both"/>
              <w:rPr>
                <w:bCs/>
                <w:color w:val="002060"/>
                <w:sz w:val="16"/>
                <w:szCs w:val="16"/>
              </w:rPr>
            </w:pPr>
          </w:p>
        </w:tc>
        <w:tc>
          <w:tcPr>
            <w:tcW w:w="854" w:type="dxa"/>
            <w:tcBorders>
              <w:left w:val="single" w:sz="6" w:space="0" w:color="auto"/>
              <w:right w:val="single" w:sz="6" w:space="0" w:color="auto"/>
            </w:tcBorders>
          </w:tcPr>
          <w:p w14:paraId="38F183DF"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1912</w:t>
            </w:r>
          </w:p>
          <w:p w14:paraId="245CE4C5"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1AC11C7B"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9 146 805***</w:t>
            </w:r>
          </w:p>
          <w:p w14:paraId="7D6E5606"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0CE71EF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2 199 176</w:t>
            </w:r>
          </w:p>
          <w:p w14:paraId="199C9EAA"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287F8F90"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84 224 636</w:t>
            </w:r>
          </w:p>
          <w:p w14:paraId="40B35CCE" w14:textId="77777777" w:rsidR="0064595E" w:rsidRPr="00405303" w:rsidRDefault="0064595E" w:rsidP="00C15251">
            <w:pPr>
              <w:shd w:val="clear" w:color="auto" w:fill="FFFFFF"/>
              <w:jc w:val="both"/>
              <w:rPr>
                <w:bCs/>
                <w:color w:val="002060"/>
                <w:sz w:val="16"/>
                <w:szCs w:val="16"/>
              </w:rPr>
            </w:pPr>
          </w:p>
        </w:tc>
        <w:tc>
          <w:tcPr>
            <w:tcW w:w="1392" w:type="dxa"/>
            <w:tcBorders>
              <w:left w:val="single" w:sz="6" w:space="0" w:color="auto"/>
              <w:right w:val="single" w:sz="6" w:space="0" w:color="auto"/>
            </w:tcBorders>
          </w:tcPr>
          <w:p w14:paraId="3BFC2E57"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19 153 717</w:t>
            </w:r>
          </w:p>
          <w:p w14:paraId="548AA1D6" w14:textId="77777777" w:rsidR="0064595E" w:rsidRPr="00405303" w:rsidRDefault="0064595E" w:rsidP="00C15251">
            <w:pPr>
              <w:shd w:val="clear" w:color="auto" w:fill="FFFFFF"/>
              <w:jc w:val="both"/>
              <w:rPr>
                <w:bCs/>
                <w:color w:val="002060"/>
                <w:sz w:val="16"/>
                <w:szCs w:val="16"/>
              </w:rPr>
            </w:pPr>
          </w:p>
        </w:tc>
      </w:tr>
      <w:tr w:rsidR="0064595E" w:rsidRPr="00405303" w14:paraId="6C084B32" w14:textId="77777777" w:rsidTr="00D34AC1">
        <w:trPr>
          <w:trHeight w:val="259"/>
        </w:trPr>
        <w:tc>
          <w:tcPr>
            <w:tcW w:w="1574" w:type="dxa"/>
            <w:tcBorders>
              <w:left w:val="single" w:sz="6" w:space="0" w:color="auto"/>
              <w:bottom w:val="single" w:sz="6" w:space="0" w:color="auto"/>
              <w:right w:val="single" w:sz="6" w:space="0" w:color="auto"/>
            </w:tcBorders>
          </w:tcPr>
          <w:p w14:paraId="7ECC8522"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Константинополь</w:t>
            </w:r>
          </w:p>
          <w:p w14:paraId="071C618A" w14:textId="77777777" w:rsidR="0064595E" w:rsidRPr="00405303" w:rsidRDefault="0064595E" w:rsidP="00C15251">
            <w:pPr>
              <w:shd w:val="clear" w:color="auto" w:fill="FFFFFF"/>
              <w:jc w:val="both"/>
              <w:rPr>
                <w:bCs/>
                <w:color w:val="002060"/>
                <w:sz w:val="16"/>
                <w:szCs w:val="16"/>
              </w:rPr>
            </w:pPr>
          </w:p>
        </w:tc>
        <w:tc>
          <w:tcPr>
            <w:tcW w:w="854" w:type="dxa"/>
            <w:tcBorders>
              <w:left w:val="single" w:sz="6" w:space="0" w:color="auto"/>
              <w:bottom w:val="single" w:sz="6" w:space="0" w:color="auto"/>
              <w:right w:val="single" w:sz="6" w:space="0" w:color="auto"/>
            </w:tcBorders>
          </w:tcPr>
          <w:p w14:paraId="66D6AC18"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1907/8</w:t>
            </w:r>
          </w:p>
          <w:p w14:paraId="54950110"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bottom w:val="single" w:sz="6" w:space="0" w:color="auto"/>
              <w:right w:val="single" w:sz="6" w:space="0" w:color="auto"/>
            </w:tcBorders>
          </w:tcPr>
          <w:p w14:paraId="7356B5AD"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105 858</w:t>
            </w:r>
          </w:p>
          <w:p w14:paraId="60849925"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bottom w:val="single" w:sz="6" w:space="0" w:color="auto"/>
              <w:right w:val="single" w:sz="6" w:space="0" w:color="auto"/>
            </w:tcBorders>
          </w:tcPr>
          <w:p w14:paraId="59F3FE7A"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449</w:t>
            </w:r>
          </w:p>
          <w:p w14:paraId="00766697"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bottom w:val="single" w:sz="6" w:space="0" w:color="auto"/>
              <w:right w:val="single" w:sz="6" w:space="0" w:color="auto"/>
            </w:tcBorders>
          </w:tcPr>
          <w:p w14:paraId="594A6148"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1 112 513</w:t>
            </w:r>
          </w:p>
          <w:p w14:paraId="1582EA5E" w14:textId="77777777" w:rsidR="0064595E" w:rsidRPr="00405303" w:rsidRDefault="0064595E" w:rsidP="00C15251">
            <w:pPr>
              <w:shd w:val="clear" w:color="auto" w:fill="FFFFFF"/>
              <w:jc w:val="both"/>
              <w:rPr>
                <w:bCs/>
                <w:color w:val="002060"/>
                <w:sz w:val="16"/>
                <w:szCs w:val="16"/>
              </w:rPr>
            </w:pPr>
          </w:p>
        </w:tc>
        <w:tc>
          <w:tcPr>
            <w:tcW w:w="1392" w:type="dxa"/>
            <w:tcBorders>
              <w:left w:val="single" w:sz="6" w:space="0" w:color="auto"/>
              <w:bottom w:val="single" w:sz="6" w:space="0" w:color="auto"/>
              <w:right w:val="single" w:sz="6" w:space="0" w:color="auto"/>
            </w:tcBorders>
          </w:tcPr>
          <w:p w14:paraId="5A65C39B"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19 621</w:t>
            </w:r>
          </w:p>
          <w:p w14:paraId="0D0DF8A3" w14:textId="77777777" w:rsidR="0064595E" w:rsidRPr="00405303" w:rsidRDefault="0064595E" w:rsidP="00C15251">
            <w:pPr>
              <w:shd w:val="clear" w:color="auto" w:fill="FFFFFF"/>
              <w:jc w:val="both"/>
              <w:rPr>
                <w:bCs/>
                <w:color w:val="002060"/>
                <w:sz w:val="16"/>
                <w:szCs w:val="16"/>
              </w:rPr>
            </w:pPr>
          </w:p>
        </w:tc>
      </w:tr>
    </w:tbl>
    <w:p w14:paraId="1539B008" w14:textId="77777777" w:rsidR="0064595E" w:rsidRPr="00405303" w:rsidRDefault="0064595E" w:rsidP="00C15251">
      <w:pPr>
        <w:shd w:val="clear" w:color="auto" w:fill="FFFFFF"/>
        <w:jc w:val="both"/>
        <w:rPr>
          <w:bCs/>
          <w:color w:val="002060"/>
          <w:sz w:val="16"/>
          <w:szCs w:val="16"/>
        </w:rPr>
      </w:pPr>
      <w:proofErr w:type="gramStart"/>
      <w:r w:rsidRPr="00405303">
        <w:rPr>
          <w:bCs/>
          <w:color w:val="002060"/>
          <w:sz w:val="16"/>
          <w:szCs w:val="16"/>
        </w:rPr>
        <w:t>* Кроме того</w:t>
      </w:r>
      <w:proofErr w:type="gramEnd"/>
      <w:r w:rsidRPr="00405303">
        <w:rPr>
          <w:bCs/>
          <w:color w:val="002060"/>
          <w:sz w:val="16"/>
          <w:szCs w:val="16"/>
        </w:rPr>
        <w:t>, 5416 автомобилей, 20176 мотоциклетов и велосипедов и 249 вагонов и платформ. (Прим. док.) *</w:t>
      </w:r>
      <w:proofErr w:type="gramStart"/>
      <w:r w:rsidRPr="00405303">
        <w:rPr>
          <w:bCs/>
          <w:color w:val="002060"/>
          <w:sz w:val="16"/>
          <w:szCs w:val="16"/>
        </w:rPr>
        <w:t>* Кроме того</w:t>
      </w:r>
      <w:proofErr w:type="gramEnd"/>
      <w:r w:rsidRPr="00405303">
        <w:rPr>
          <w:bCs/>
          <w:color w:val="002060"/>
          <w:sz w:val="16"/>
          <w:szCs w:val="16"/>
        </w:rPr>
        <w:t>, 207 автомобилей, 345 велосипедов и 17 вагонов и железнодорожных цистерн. (Прим. док.) *** В том числе из Германии 6 697 009 пудов. (Прим, док.)</w:t>
      </w:r>
    </w:p>
    <w:p w14:paraId="6122E7EA"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Россия</w:t>
      </w:r>
    </w:p>
    <w:p w14:paraId="1327E104"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Привоз и вывоз в 1913 г. машин, аппаратов, автомобилей, оружия и других предметов механической промышленности</w:t>
      </w:r>
    </w:p>
    <w:tbl>
      <w:tblPr>
        <w:tblW w:w="0" w:type="auto"/>
        <w:tblInd w:w="40" w:type="dxa"/>
        <w:tblLayout w:type="fixed"/>
        <w:tblCellMar>
          <w:left w:w="40" w:type="dxa"/>
          <w:right w:w="40" w:type="dxa"/>
        </w:tblCellMar>
        <w:tblLook w:val="0000" w:firstRow="0" w:lastRow="0" w:firstColumn="0" w:lastColumn="0" w:noHBand="0" w:noVBand="0"/>
      </w:tblPr>
      <w:tblGrid>
        <w:gridCol w:w="2467"/>
        <w:gridCol w:w="1363"/>
        <w:gridCol w:w="1373"/>
        <w:gridCol w:w="1354"/>
        <w:gridCol w:w="1315"/>
      </w:tblGrid>
      <w:tr w:rsidR="0064595E" w:rsidRPr="00405303" w14:paraId="2214037D" w14:textId="77777777" w:rsidTr="00D34AC1">
        <w:trPr>
          <w:trHeight w:val="259"/>
        </w:trPr>
        <w:tc>
          <w:tcPr>
            <w:tcW w:w="2467" w:type="dxa"/>
            <w:tcBorders>
              <w:top w:val="single" w:sz="6" w:space="0" w:color="auto"/>
              <w:left w:val="single" w:sz="6" w:space="0" w:color="auto"/>
              <w:right w:val="single" w:sz="6" w:space="0" w:color="auto"/>
            </w:tcBorders>
          </w:tcPr>
          <w:p w14:paraId="7BF0043B" w14:textId="77777777" w:rsidR="0064595E" w:rsidRPr="00405303" w:rsidRDefault="0064595E" w:rsidP="00C15251">
            <w:pPr>
              <w:shd w:val="clear" w:color="auto" w:fill="FFFFFF"/>
              <w:jc w:val="both"/>
              <w:rPr>
                <w:bCs/>
                <w:color w:val="002060"/>
                <w:sz w:val="16"/>
                <w:szCs w:val="16"/>
              </w:rPr>
            </w:pPr>
          </w:p>
          <w:p w14:paraId="41DF4AF6" w14:textId="77777777" w:rsidR="0064595E" w:rsidRPr="00405303" w:rsidRDefault="0064595E" w:rsidP="00C15251">
            <w:pPr>
              <w:shd w:val="clear" w:color="auto" w:fill="FFFFFF"/>
              <w:jc w:val="both"/>
              <w:rPr>
                <w:bCs/>
                <w:color w:val="002060"/>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2E4B9F34"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Количество, пуды</w:t>
            </w:r>
          </w:p>
          <w:p w14:paraId="26274D95" w14:textId="77777777" w:rsidR="0064595E" w:rsidRPr="00405303" w:rsidRDefault="0064595E" w:rsidP="00C15251">
            <w:pPr>
              <w:shd w:val="clear" w:color="auto" w:fill="FFFFFF"/>
              <w:jc w:val="both"/>
              <w:rPr>
                <w:bCs/>
                <w:color w:val="002060"/>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4CD80FBD"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Ценность, рубли</w:t>
            </w:r>
          </w:p>
          <w:p w14:paraId="17E0B1DC" w14:textId="77777777" w:rsidR="0064595E" w:rsidRPr="00405303" w:rsidRDefault="0064595E" w:rsidP="00C15251">
            <w:pPr>
              <w:shd w:val="clear" w:color="auto" w:fill="FFFFFF"/>
              <w:jc w:val="both"/>
              <w:rPr>
                <w:bCs/>
                <w:color w:val="002060"/>
                <w:sz w:val="16"/>
                <w:szCs w:val="16"/>
              </w:rPr>
            </w:pPr>
          </w:p>
        </w:tc>
      </w:tr>
      <w:tr w:rsidR="0064595E" w:rsidRPr="00405303" w14:paraId="4BA7D4D9" w14:textId="77777777" w:rsidTr="00D34AC1">
        <w:trPr>
          <w:trHeight w:val="259"/>
        </w:trPr>
        <w:tc>
          <w:tcPr>
            <w:tcW w:w="2467" w:type="dxa"/>
            <w:tcBorders>
              <w:left w:val="single" w:sz="6" w:space="0" w:color="auto"/>
              <w:bottom w:val="single" w:sz="6" w:space="0" w:color="auto"/>
              <w:right w:val="single" w:sz="6" w:space="0" w:color="auto"/>
            </w:tcBorders>
          </w:tcPr>
          <w:p w14:paraId="74D69F95" w14:textId="77777777" w:rsidR="0064595E" w:rsidRPr="00405303" w:rsidRDefault="0064595E" w:rsidP="00C15251">
            <w:pPr>
              <w:jc w:val="both"/>
              <w:rPr>
                <w:bCs/>
                <w:color w:val="002060"/>
                <w:sz w:val="16"/>
                <w:szCs w:val="16"/>
              </w:rPr>
            </w:pPr>
          </w:p>
          <w:p w14:paraId="68B51AC7" w14:textId="77777777" w:rsidR="0064595E" w:rsidRPr="00405303" w:rsidRDefault="0064595E" w:rsidP="00C15251">
            <w:pPr>
              <w:jc w:val="both"/>
              <w:rPr>
                <w:bCs/>
                <w:color w:val="002060"/>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6D123A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Привоз</w:t>
            </w:r>
          </w:p>
          <w:p w14:paraId="20528675" w14:textId="77777777" w:rsidR="0064595E" w:rsidRPr="00405303" w:rsidRDefault="0064595E" w:rsidP="00C15251">
            <w:pPr>
              <w:shd w:val="clear" w:color="auto" w:fill="FFFFFF"/>
              <w:jc w:val="both"/>
              <w:rPr>
                <w:bCs/>
                <w:color w:val="002060"/>
                <w:sz w:val="16"/>
                <w:szCs w:val="16"/>
              </w:rPr>
            </w:pPr>
          </w:p>
        </w:tc>
        <w:tc>
          <w:tcPr>
            <w:tcW w:w="1373" w:type="dxa"/>
            <w:tcBorders>
              <w:top w:val="single" w:sz="6" w:space="0" w:color="auto"/>
              <w:left w:val="single" w:sz="6" w:space="0" w:color="auto"/>
              <w:bottom w:val="single" w:sz="6" w:space="0" w:color="auto"/>
              <w:right w:val="single" w:sz="6" w:space="0" w:color="auto"/>
            </w:tcBorders>
          </w:tcPr>
          <w:p w14:paraId="18FCEB7B"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Вывоз</w:t>
            </w:r>
          </w:p>
          <w:p w14:paraId="39E29145" w14:textId="77777777" w:rsidR="0064595E" w:rsidRPr="00405303" w:rsidRDefault="0064595E" w:rsidP="00C15251">
            <w:pPr>
              <w:shd w:val="clear" w:color="auto" w:fill="FFFFFF"/>
              <w:jc w:val="both"/>
              <w:rPr>
                <w:bCs/>
                <w:color w:val="002060"/>
                <w:sz w:val="16"/>
                <w:szCs w:val="16"/>
              </w:rPr>
            </w:pPr>
          </w:p>
        </w:tc>
        <w:tc>
          <w:tcPr>
            <w:tcW w:w="1354" w:type="dxa"/>
            <w:tcBorders>
              <w:top w:val="single" w:sz="6" w:space="0" w:color="auto"/>
              <w:left w:val="single" w:sz="6" w:space="0" w:color="auto"/>
              <w:bottom w:val="single" w:sz="6" w:space="0" w:color="auto"/>
              <w:right w:val="single" w:sz="6" w:space="0" w:color="auto"/>
            </w:tcBorders>
          </w:tcPr>
          <w:p w14:paraId="43EBD7C3"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Привоз</w:t>
            </w:r>
          </w:p>
          <w:p w14:paraId="49C1298F" w14:textId="77777777" w:rsidR="0064595E" w:rsidRPr="00405303" w:rsidRDefault="0064595E" w:rsidP="00C15251">
            <w:pPr>
              <w:shd w:val="clear" w:color="auto" w:fill="FFFFFF"/>
              <w:jc w:val="both"/>
              <w:rPr>
                <w:bCs/>
                <w:color w:val="002060"/>
                <w:sz w:val="16"/>
                <w:szCs w:val="16"/>
              </w:rPr>
            </w:pPr>
          </w:p>
        </w:tc>
        <w:tc>
          <w:tcPr>
            <w:tcW w:w="1315" w:type="dxa"/>
            <w:tcBorders>
              <w:top w:val="single" w:sz="6" w:space="0" w:color="auto"/>
              <w:left w:val="single" w:sz="6" w:space="0" w:color="auto"/>
              <w:bottom w:val="single" w:sz="6" w:space="0" w:color="auto"/>
              <w:right w:val="single" w:sz="6" w:space="0" w:color="auto"/>
            </w:tcBorders>
          </w:tcPr>
          <w:p w14:paraId="12642500"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Вывоз</w:t>
            </w:r>
          </w:p>
          <w:p w14:paraId="26EC2082" w14:textId="77777777" w:rsidR="0064595E" w:rsidRPr="00405303" w:rsidRDefault="0064595E" w:rsidP="00C15251">
            <w:pPr>
              <w:shd w:val="clear" w:color="auto" w:fill="FFFFFF"/>
              <w:jc w:val="both"/>
              <w:rPr>
                <w:bCs/>
                <w:color w:val="002060"/>
                <w:sz w:val="16"/>
                <w:szCs w:val="16"/>
              </w:rPr>
            </w:pPr>
          </w:p>
        </w:tc>
      </w:tr>
      <w:tr w:rsidR="0064595E" w:rsidRPr="00405303" w14:paraId="192B6375" w14:textId="77777777" w:rsidTr="00D34AC1">
        <w:trPr>
          <w:trHeight w:val="211"/>
        </w:trPr>
        <w:tc>
          <w:tcPr>
            <w:tcW w:w="2467" w:type="dxa"/>
            <w:tcBorders>
              <w:top w:val="single" w:sz="6" w:space="0" w:color="auto"/>
              <w:left w:val="single" w:sz="6" w:space="0" w:color="auto"/>
              <w:right w:val="single" w:sz="6" w:space="0" w:color="auto"/>
            </w:tcBorders>
          </w:tcPr>
          <w:p w14:paraId="009D5676"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Всего</w:t>
            </w:r>
          </w:p>
          <w:p w14:paraId="2F0AA73D" w14:textId="77777777" w:rsidR="0064595E" w:rsidRPr="00405303" w:rsidRDefault="0064595E" w:rsidP="00C15251">
            <w:pPr>
              <w:shd w:val="clear" w:color="auto" w:fill="FFFFFF"/>
              <w:jc w:val="both"/>
              <w:rPr>
                <w:bCs/>
                <w:color w:val="002060"/>
                <w:sz w:val="16"/>
                <w:szCs w:val="16"/>
              </w:rPr>
            </w:pPr>
          </w:p>
        </w:tc>
        <w:tc>
          <w:tcPr>
            <w:tcW w:w="1363" w:type="dxa"/>
            <w:tcBorders>
              <w:top w:val="single" w:sz="6" w:space="0" w:color="auto"/>
              <w:left w:val="single" w:sz="6" w:space="0" w:color="auto"/>
              <w:right w:val="single" w:sz="6" w:space="0" w:color="auto"/>
            </w:tcBorders>
          </w:tcPr>
          <w:p w14:paraId="46BE95B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21 159467*</w:t>
            </w:r>
          </w:p>
          <w:p w14:paraId="1883836A" w14:textId="77777777" w:rsidR="0064595E" w:rsidRPr="00405303" w:rsidRDefault="0064595E" w:rsidP="00C15251">
            <w:pPr>
              <w:shd w:val="clear" w:color="auto" w:fill="FFFFFF"/>
              <w:jc w:val="both"/>
              <w:rPr>
                <w:bCs/>
                <w:color w:val="002060"/>
                <w:sz w:val="16"/>
                <w:szCs w:val="16"/>
              </w:rPr>
            </w:pPr>
          </w:p>
        </w:tc>
        <w:tc>
          <w:tcPr>
            <w:tcW w:w="1373" w:type="dxa"/>
            <w:tcBorders>
              <w:top w:val="single" w:sz="6" w:space="0" w:color="auto"/>
              <w:left w:val="single" w:sz="6" w:space="0" w:color="auto"/>
              <w:right w:val="single" w:sz="6" w:space="0" w:color="auto"/>
            </w:tcBorders>
          </w:tcPr>
          <w:p w14:paraId="08552C2A"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187 599**</w:t>
            </w:r>
          </w:p>
          <w:p w14:paraId="468BF2A4" w14:textId="77777777" w:rsidR="0064595E" w:rsidRPr="00405303" w:rsidRDefault="0064595E" w:rsidP="00C15251">
            <w:pPr>
              <w:shd w:val="clear" w:color="auto" w:fill="FFFFFF"/>
              <w:jc w:val="both"/>
              <w:rPr>
                <w:bCs/>
                <w:color w:val="002060"/>
                <w:sz w:val="16"/>
                <w:szCs w:val="16"/>
              </w:rPr>
            </w:pPr>
          </w:p>
        </w:tc>
        <w:tc>
          <w:tcPr>
            <w:tcW w:w="1354" w:type="dxa"/>
            <w:tcBorders>
              <w:top w:val="single" w:sz="6" w:space="0" w:color="auto"/>
              <w:left w:val="single" w:sz="6" w:space="0" w:color="auto"/>
              <w:right w:val="single" w:sz="6" w:space="0" w:color="auto"/>
            </w:tcBorders>
          </w:tcPr>
          <w:p w14:paraId="01E85DF1"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206 949 753</w:t>
            </w:r>
          </w:p>
          <w:p w14:paraId="4A688A4B" w14:textId="77777777" w:rsidR="0064595E" w:rsidRPr="00405303" w:rsidRDefault="0064595E" w:rsidP="00C15251">
            <w:pPr>
              <w:shd w:val="clear" w:color="auto" w:fill="FFFFFF"/>
              <w:jc w:val="both"/>
              <w:rPr>
                <w:bCs/>
                <w:color w:val="002060"/>
                <w:sz w:val="16"/>
                <w:szCs w:val="16"/>
              </w:rPr>
            </w:pPr>
          </w:p>
        </w:tc>
        <w:tc>
          <w:tcPr>
            <w:tcW w:w="1315" w:type="dxa"/>
            <w:tcBorders>
              <w:top w:val="single" w:sz="6" w:space="0" w:color="auto"/>
              <w:left w:val="single" w:sz="6" w:space="0" w:color="auto"/>
              <w:right w:val="single" w:sz="6" w:space="0" w:color="auto"/>
            </w:tcBorders>
          </w:tcPr>
          <w:p w14:paraId="278E2B61"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3 047 121</w:t>
            </w:r>
          </w:p>
          <w:p w14:paraId="1422E156" w14:textId="77777777" w:rsidR="0064595E" w:rsidRPr="00405303" w:rsidRDefault="0064595E" w:rsidP="00C15251">
            <w:pPr>
              <w:shd w:val="clear" w:color="auto" w:fill="FFFFFF"/>
              <w:jc w:val="both"/>
              <w:rPr>
                <w:bCs/>
                <w:color w:val="002060"/>
                <w:sz w:val="16"/>
                <w:szCs w:val="16"/>
              </w:rPr>
            </w:pPr>
          </w:p>
        </w:tc>
      </w:tr>
      <w:tr w:rsidR="0064595E" w:rsidRPr="00405303" w14:paraId="38511475" w14:textId="77777777" w:rsidTr="00D34AC1">
        <w:trPr>
          <w:trHeight w:val="211"/>
        </w:trPr>
        <w:tc>
          <w:tcPr>
            <w:tcW w:w="2467" w:type="dxa"/>
            <w:tcBorders>
              <w:left w:val="single" w:sz="6" w:space="0" w:color="auto"/>
              <w:right w:val="single" w:sz="6" w:space="0" w:color="auto"/>
            </w:tcBorders>
          </w:tcPr>
          <w:p w14:paraId="3093305C"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В том числе:</w:t>
            </w:r>
          </w:p>
          <w:p w14:paraId="19B2FD62"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02AF68C7" w14:textId="77777777" w:rsidR="0064595E" w:rsidRPr="00405303" w:rsidRDefault="0064595E" w:rsidP="00C15251">
            <w:pPr>
              <w:shd w:val="clear" w:color="auto" w:fill="FFFFFF"/>
              <w:jc w:val="both"/>
              <w:rPr>
                <w:bCs/>
                <w:color w:val="002060"/>
                <w:sz w:val="16"/>
                <w:szCs w:val="16"/>
              </w:rPr>
            </w:pPr>
          </w:p>
          <w:p w14:paraId="1E535B68" w14:textId="77777777" w:rsidR="0064595E" w:rsidRPr="00405303" w:rsidRDefault="0064595E" w:rsidP="00C15251">
            <w:pPr>
              <w:shd w:val="clear" w:color="auto" w:fill="FFFFFF"/>
              <w:jc w:val="both"/>
              <w:rPr>
                <w:bCs/>
                <w:color w:val="002060"/>
                <w:sz w:val="16"/>
                <w:szCs w:val="16"/>
              </w:rPr>
            </w:pPr>
          </w:p>
        </w:tc>
        <w:tc>
          <w:tcPr>
            <w:tcW w:w="1373" w:type="dxa"/>
            <w:tcBorders>
              <w:left w:val="single" w:sz="6" w:space="0" w:color="auto"/>
              <w:right w:val="single" w:sz="6" w:space="0" w:color="auto"/>
            </w:tcBorders>
          </w:tcPr>
          <w:p w14:paraId="7EE678B3" w14:textId="77777777" w:rsidR="0064595E" w:rsidRPr="00405303" w:rsidRDefault="0064595E" w:rsidP="00C15251">
            <w:pPr>
              <w:shd w:val="clear" w:color="auto" w:fill="FFFFFF"/>
              <w:jc w:val="both"/>
              <w:rPr>
                <w:bCs/>
                <w:color w:val="002060"/>
                <w:sz w:val="16"/>
                <w:szCs w:val="16"/>
              </w:rPr>
            </w:pPr>
          </w:p>
          <w:p w14:paraId="6AB16CA7" w14:textId="77777777" w:rsidR="0064595E" w:rsidRPr="00405303" w:rsidRDefault="0064595E" w:rsidP="00C15251">
            <w:pPr>
              <w:shd w:val="clear" w:color="auto" w:fill="FFFFFF"/>
              <w:jc w:val="both"/>
              <w:rPr>
                <w:bCs/>
                <w:color w:val="002060"/>
                <w:sz w:val="16"/>
                <w:szCs w:val="16"/>
              </w:rPr>
            </w:pPr>
          </w:p>
        </w:tc>
        <w:tc>
          <w:tcPr>
            <w:tcW w:w="1354" w:type="dxa"/>
            <w:tcBorders>
              <w:left w:val="single" w:sz="6" w:space="0" w:color="auto"/>
              <w:right w:val="single" w:sz="6" w:space="0" w:color="auto"/>
            </w:tcBorders>
          </w:tcPr>
          <w:p w14:paraId="33A225CD" w14:textId="77777777" w:rsidR="0064595E" w:rsidRPr="00405303" w:rsidRDefault="0064595E" w:rsidP="00C15251">
            <w:pPr>
              <w:shd w:val="clear" w:color="auto" w:fill="FFFFFF"/>
              <w:jc w:val="both"/>
              <w:rPr>
                <w:bCs/>
                <w:color w:val="002060"/>
                <w:sz w:val="16"/>
                <w:szCs w:val="16"/>
              </w:rPr>
            </w:pPr>
          </w:p>
          <w:p w14:paraId="6E90E8DC" w14:textId="77777777" w:rsidR="0064595E" w:rsidRPr="00405303" w:rsidRDefault="0064595E" w:rsidP="00C15251">
            <w:pPr>
              <w:shd w:val="clear" w:color="auto" w:fill="FFFFFF"/>
              <w:jc w:val="both"/>
              <w:rPr>
                <w:bCs/>
                <w:color w:val="002060"/>
                <w:sz w:val="16"/>
                <w:szCs w:val="16"/>
              </w:rPr>
            </w:pPr>
          </w:p>
        </w:tc>
        <w:tc>
          <w:tcPr>
            <w:tcW w:w="1315" w:type="dxa"/>
            <w:tcBorders>
              <w:left w:val="single" w:sz="6" w:space="0" w:color="auto"/>
              <w:right w:val="single" w:sz="6" w:space="0" w:color="auto"/>
            </w:tcBorders>
          </w:tcPr>
          <w:p w14:paraId="48423363" w14:textId="77777777" w:rsidR="0064595E" w:rsidRPr="00405303" w:rsidRDefault="0064595E" w:rsidP="00C15251">
            <w:pPr>
              <w:shd w:val="clear" w:color="auto" w:fill="FFFFFF"/>
              <w:jc w:val="both"/>
              <w:rPr>
                <w:bCs/>
                <w:color w:val="002060"/>
                <w:sz w:val="16"/>
                <w:szCs w:val="16"/>
              </w:rPr>
            </w:pPr>
          </w:p>
          <w:p w14:paraId="2EBA335C" w14:textId="77777777" w:rsidR="0064595E" w:rsidRPr="00405303" w:rsidRDefault="0064595E" w:rsidP="00C15251">
            <w:pPr>
              <w:shd w:val="clear" w:color="auto" w:fill="FFFFFF"/>
              <w:jc w:val="both"/>
              <w:rPr>
                <w:bCs/>
                <w:color w:val="002060"/>
                <w:sz w:val="16"/>
                <w:szCs w:val="16"/>
              </w:rPr>
            </w:pPr>
          </w:p>
        </w:tc>
      </w:tr>
      <w:tr w:rsidR="0064595E" w:rsidRPr="00405303" w14:paraId="6D1C95C7" w14:textId="77777777" w:rsidTr="00D34AC1">
        <w:trPr>
          <w:trHeight w:val="240"/>
        </w:trPr>
        <w:tc>
          <w:tcPr>
            <w:tcW w:w="2467" w:type="dxa"/>
            <w:tcBorders>
              <w:left w:val="single" w:sz="6" w:space="0" w:color="auto"/>
              <w:right w:val="single" w:sz="6" w:space="0" w:color="auto"/>
            </w:tcBorders>
          </w:tcPr>
          <w:p w14:paraId="198AA3A6"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 Двигателей (кроме элек-</w:t>
            </w:r>
          </w:p>
          <w:p w14:paraId="76B4D44B"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12413BE8"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1 607 655</w:t>
            </w:r>
          </w:p>
          <w:p w14:paraId="6BA3F418" w14:textId="77777777" w:rsidR="0064595E" w:rsidRPr="00405303" w:rsidRDefault="0064595E" w:rsidP="00C15251">
            <w:pPr>
              <w:shd w:val="clear" w:color="auto" w:fill="FFFFFF"/>
              <w:jc w:val="both"/>
              <w:rPr>
                <w:bCs/>
                <w:color w:val="002060"/>
                <w:sz w:val="16"/>
                <w:szCs w:val="16"/>
              </w:rPr>
            </w:pPr>
          </w:p>
        </w:tc>
        <w:tc>
          <w:tcPr>
            <w:tcW w:w="1373" w:type="dxa"/>
            <w:tcBorders>
              <w:left w:val="single" w:sz="6" w:space="0" w:color="auto"/>
              <w:right w:val="single" w:sz="6" w:space="0" w:color="auto"/>
            </w:tcBorders>
          </w:tcPr>
          <w:p w14:paraId="0BD81B22"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см. пп. 10 и 1 1</w:t>
            </w:r>
          </w:p>
          <w:p w14:paraId="7C9595BB" w14:textId="77777777" w:rsidR="0064595E" w:rsidRPr="00405303" w:rsidRDefault="0064595E" w:rsidP="00C15251">
            <w:pPr>
              <w:shd w:val="clear" w:color="auto" w:fill="FFFFFF"/>
              <w:jc w:val="both"/>
              <w:rPr>
                <w:bCs/>
                <w:color w:val="002060"/>
                <w:sz w:val="16"/>
                <w:szCs w:val="16"/>
              </w:rPr>
            </w:pPr>
          </w:p>
        </w:tc>
        <w:tc>
          <w:tcPr>
            <w:tcW w:w="1354" w:type="dxa"/>
            <w:tcBorders>
              <w:left w:val="single" w:sz="6" w:space="0" w:color="auto"/>
              <w:right w:val="single" w:sz="6" w:space="0" w:color="auto"/>
            </w:tcBorders>
          </w:tcPr>
          <w:p w14:paraId="119E117C"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16 048 881</w:t>
            </w:r>
          </w:p>
          <w:p w14:paraId="781180E9" w14:textId="77777777" w:rsidR="0064595E" w:rsidRPr="00405303" w:rsidRDefault="0064595E" w:rsidP="00C15251">
            <w:pPr>
              <w:shd w:val="clear" w:color="auto" w:fill="FFFFFF"/>
              <w:jc w:val="both"/>
              <w:rPr>
                <w:bCs/>
                <w:color w:val="002060"/>
                <w:sz w:val="16"/>
                <w:szCs w:val="16"/>
              </w:rPr>
            </w:pPr>
          </w:p>
        </w:tc>
        <w:tc>
          <w:tcPr>
            <w:tcW w:w="1315" w:type="dxa"/>
            <w:tcBorders>
              <w:left w:val="single" w:sz="6" w:space="0" w:color="auto"/>
              <w:right w:val="single" w:sz="6" w:space="0" w:color="auto"/>
            </w:tcBorders>
          </w:tcPr>
          <w:p w14:paraId="528B53B1"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см. пп. 10 и II</w:t>
            </w:r>
          </w:p>
          <w:p w14:paraId="4616A09E" w14:textId="77777777" w:rsidR="0064595E" w:rsidRPr="00405303" w:rsidRDefault="0064595E" w:rsidP="00C15251">
            <w:pPr>
              <w:shd w:val="clear" w:color="auto" w:fill="FFFFFF"/>
              <w:jc w:val="both"/>
              <w:rPr>
                <w:bCs/>
                <w:color w:val="002060"/>
                <w:sz w:val="16"/>
                <w:szCs w:val="16"/>
              </w:rPr>
            </w:pPr>
          </w:p>
        </w:tc>
      </w:tr>
      <w:tr w:rsidR="0064595E" w:rsidRPr="00405303" w14:paraId="678E2584" w14:textId="77777777" w:rsidTr="00D34AC1">
        <w:trPr>
          <w:trHeight w:val="163"/>
        </w:trPr>
        <w:tc>
          <w:tcPr>
            <w:tcW w:w="2467" w:type="dxa"/>
            <w:tcBorders>
              <w:left w:val="single" w:sz="6" w:space="0" w:color="auto"/>
              <w:right w:val="single" w:sz="6" w:space="0" w:color="auto"/>
            </w:tcBorders>
          </w:tcPr>
          <w:p w14:paraId="7CAADEF6"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трических)</w:t>
            </w:r>
          </w:p>
          <w:p w14:paraId="42388452"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0D39087F" w14:textId="77777777" w:rsidR="0064595E" w:rsidRPr="00405303" w:rsidRDefault="0064595E" w:rsidP="00C15251">
            <w:pPr>
              <w:shd w:val="clear" w:color="auto" w:fill="FFFFFF"/>
              <w:jc w:val="both"/>
              <w:rPr>
                <w:bCs/>
                <w:color w:val="002060"/>
                <w:sz w:val="16"/>
                <w:szCs w:val="16"/>
              </w:rPr>
            </w:pPr>
          </w:p>
          <w:p w14:paraId="6007A748" w14:textId="77777777" w:rsidR="0064595E" w:rsidRPr="00405303" w:rsidRDefault="0064595E" w:rsidP="00C15251">
            <w:pPr>
              <w:shd w:val="clear" w:color="auto" w:fill="FFFFFF"/>
              <w:jc w:val="both"/>
              <w:rPr>
                <w:bCs/>
                <w:color w:val="002060"/>
                <w:sz w:val="16"/>
                <w:szCs w:val="16"/>
              </w:rPr>
            </w:pPr>
          </w:p>
        </w:tc>
        <w:tc>
          <w:tcPr>
            <w:tcW w:w="1373" w:type="dxa"/>
            <w:tcBorders>
              <w:left w:val="single" w:sz="6" w:space="0" w:color="auto"/>
              <w:right w:val="single" w:sz="6" w:space="0" w:color="auto"/>
            </w:tcBorders>
          </w:tcPr>
          <w:p w14:paraId="20A9695F" w14:textId="77777777" w:rsidR="0064595E" w:rsidRPr="00405303" w:rsidRDefault="0064595E" w:rsidP="00C15251">
            <w:pPr>
              <w:shd w:val="clear" w:color="auto" w:fill="FFFFFF"/>
              <w:jc w:val="both"/>
              <w:rPr>
                <w:bCs/>
                <w:color w:val="002060"/>
                <w:sz w:val="16"/>
                <w:szCs w:val="16"/>
              </w:rPr>
            </w:pPr>
          </w:p>
          <w:p w14:paraId="1E3C30CA" w14:textId="77777777" w:rsidR="0064595E" w:rsidRPr="00405303" w:rsidRDefault="0064595E" w:rsidP="00C15251">
            <w:pPr>
              <w:shd w:val="clear" w:color="auto" w:fill="FFFFFF"/>
              <w:jc w:val="both"/>
              <w:rPr>
                <w:bCs/>
                <w:color w:val="002060"/>
                <w:sz w:val="16"/>
                <w:szCs w:val="16"/>
              </w:rPr>
            </w:pPr>
          </w:p>
        </w:tc>
        <w:tc>
          <w:tcPr>
            <w:tcW w:w="1354" w:type="dxa"/>
            <w:tcBorders>
              <w:left w:val="single" w:sz="6" w:space="0" w:color="auto"/>
              <w:right w:val="single" w:sz="6" w:space="0" w:color="auto"/>
            </w:tcBorders>
          </w:tcPr>
          <w:p w14:paraId="06286F9B" w14:textId="77777777" w:rsidR="0064595E" w:rsidRPr="00405303" w:rsidRDefault="0064595E" w:rsidP="00C15251">
            <w:pPr>
              <w:shd w:val="clear" w:color="auto" w:fill="FFFFFF"/>
              <w:jc w:val="both"/>
              <w:rPr>
                <w:bCs/>
                <w:color w:val="002060"/>
                <w:sz w:val="16"/>
                <w:szCs w:val="16"/>
              </w:rPr>
            </w:pPr>
          </w:p>
          <w:p w14:paraId="584E45F4" w14:textId="77777777" w:rsidR="0064595E" w:rsidRPr="00405303" w:rsidRDefault="0064595E" w:rsidP="00C15251">
            <w:pPr>
              <w:shd w:val="clear" w:color="auto" w:fill="FFFFFF"/>
              <w:jc w:val="both"/>
              <w:rPr>
                <w:bCs/>
                <w:color w:val="002060"/>
                <w:sz w:val="16"/>
                <w:szCs w:val="16"/>
              </w:rPr>
            </w:pPr>
          </w:p>
        </w:tc>
        <w:tc>
          <w:tcPr>
            <w:tcW w:w="1315" w:type="dxa"/>
            <w:tcBorders>
              <w:left w:val="single" w:sz="6" w:space="0" w:color="auto"/>
              <w:right w:val="single" w:sz="6" w:space="0" w:color="auto"/>
            </w:tcBorders>
          </w:tcPr>
          <w:p w14:paraId="4DDE87C4" w14:textId="77777777" w:rsidR="0064595E" w:rsidRPr="00405303" w:rsidRDefault="0064595E" w:rsidP="00C15251">
            <w:pPr>
              <w:shd w:val="clear" w:color="auto" w:fill="FFFFFF"/>
              <w:jc w:val="both"/>
              <w:rPr>
                <w:bCs/>
                <w:color w:val="002060"/>
                <w:sz w:val="16"/>
                <w:szCs w:val="16"/>
              </w:rPr>
            </w:pPr>
          </w:p>
          <w:p w14:paraId="6D0B5A25" w14:textId="77777777" w:rsidR="0064595E" w:rsidRPr="00405303" w:rsidRDefault="0064595E" w:rsidP="00C15251">
            <w:pPr>
              <w:shd w:val="clear" w:color="auto" w:fill="FFFFFF"/>
              <w:jc w:val="both"/>
              <w:rPr>
                <w:bCs/>
                <w:color w:val="002060"/>
                <w:sz w:val="16"/>
                <w:szCs w:val="16"/>
              </w:rPr>
            </w:pPr>
          </w:p>
        </w:tc>
      </w:tr>
      <w:tr w:rsidR="0064595E" w:rsidRPr="00405303" w14:paraId="14FF3C0C" w14:textId="77777777" w:rsidTr="00D34AC1">
        <w:trPr>
          <w:trHeight w:val="154"/>
        </w:trPr>
        <w:tc>
          <w:tcPr>
            <w:tcW w:w="2467" w:type="dxa"/>
            <w:tcBorders>
              <w:left w:val="single" w:sz="6" w:space="0" w:color="auto"/>
              <w:right w:val="single" w:sz="6" w:space="0" w:color="auto"/>
            </w:tcBorders>
          </w:tcPr>
          <w:p w14:paraId="53421E55"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 Сельскохозяйственных</w:t>
            </w:r>
          </w:p>
          <w:p w14:paraId="2A927381"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4F65E06C"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8 016 928</w:t>
            </w:r>
          </w:p>
          <w:p w14:paraId="125F70CB" w14:textId="77777777" w:rsidR="0064595E" w:rsidRPr="00405303" w:rsidRDefault="0064595E" w:rsidP="00C15251">
            <w:pPr>
              <w:shd w:val="clear" w:color="auto" w:fill="FFFFFF"/>
              <w:jc w:val="both"/>
              <w:rPr>
                <w:bCs/>
                <w:color w:val="002060"/>
                <w:sz w:val="16"/>
                <w:szCs w:val="16"/>
              </w:rPr>
            </w:pPr>
          </w:p>
        </w:tc>
        <w:tc>
          <w:tcPr>
            <w:tcW w:w="1373" w:type="dxa"/>
            <w:tcBorders>
              <w:left w:val="single" w:sz="6" w:space="0" w:color="auto"/>
              <w:right w:val="single" w:sz="6" w:space="0" w:color="auto"/>
            </w:tcBorders>
          </w:tcPr>
          <w:p w14:paraId="7276E240"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см. пп. 10 и 11</w:t>
            </w:r>
          </w:p>
          <w:p w14:paraId="55D2AE87" w14:textId="77777777" w:rsidR="0064595E" w:rsidRPr="00405303" w:rsidRDefault="0064595E" w:rsidP="00C15251">
            <w:pPr>
              <w:shd w:val="clear" w:color="auto" w:fill="FFFFFF"/>
              <w:jc w:val="both"/>
              <w:rPr>
                <w:bCs/>
                <w:color w:val="002060"/>
                <w:sz w:val="16"/>
                <w:szCs w:val="16"/>
              </w:rPr>
            </w:pPr>
          </w:p>
        </w:tc>
        <w:tc>
          <w:tcPr>
            <w:tcW w:w="1354" w:type="dxa"/>
            <w:tcBorders>
              <w:left w:val="single" w:sz="6" w:space="0" w:color="auto"/>
              <w:right w:val="single" w:sz="6" w:space="0" w:color="auto"/>
            </w:tcBorders>
          </w:tcPr>
          <w:p w14:paraId="0E7E65DC"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46 001 091</w:t>
            </w:r>
          </w:p>
          <w:p w14:paraId="22166338" w14:textId="77777777" w:rsidR="0064595E" w:rsidRPr="00405303" w:rsidRDefault="0064595E" w:rsidP="00C15251">
            <w:pPr>
              <w:shd w:val="clear" w:color="auto" w:fill="FFFFFF"/>
              <w:jc w:val="both"/>
              <w:rPr>
                <w:bCs/>
                <w:color w:val="002060"/>
                <w:sz w:val="16"/>
                <w:szCs w:val="16"/>
              </w:rPr>
            </w:pPr>
          </w:p>
        </w:tc>
        <w:tc>
          <w:tcPr>
            <w:tcW w:w="1315" w:type="dxa"/>
            <w:tcBorders>
              <w:left w:val="single" w:sz="6" w:space="0" w:color="auto"/>
              <w:right w:val="single" w:sz="6" w:space="0" w:color="auto"/>
            </w:tcBorders>
          </w:tcPr>
          <w:p w14:paraId="4FE91AF5"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см. пп. 10 и 11</w:t>
            </w:r>
          </w:p>
          <w:p w14:paraId="3CBC0B03" w14:textId="77777777" w:rsidR="0064595E" w:rsidRPr="00405303" w:rsidRDefault="0064595E" w:rsidP="00C15251">
            <w:pPr>
              <w:shd w:val="clear" w:color="auto" w:fill="FFFFFF"/>
              <w:jc w:val="both"/>
              <w:rPr>
                <w:bCs/>
                <w:color w:val="002060"/>
                <w:sz w:val="16"/>
                <w:szCs w:val="16"/>
              </w:rPr>
            </w:pPr>
          </w:p>
        </w:tc>
      </w:tr>
      <w:tr w:rsidR="0064595E" w:rsidRPr="00405303" w14:paraId="3E443F7D" w14:textId="77777777" w:rsidTr="00D34AC1">
        <w:trPr>
          <w:trHeight w:val="182"/>
        </w:trPr>
        <w:tc>
          <w:tcPr>
            <w:tcW w:w="2467" w:type="dxa"/>
            <w:tcBorders>
              <w:left w:val="single" w:sz="6" w:space="0" w:color="auto"/>
              <w:right w:val="single" w:sz="6" w:space="0" w:color="auto"/>
            </w:tcBorders>
          </w:tcPr>
          <w:p w14:paraId="1EAF568D"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машин и локомобилей</w:t>
            </w:r>
          </w:p>
          <w:p w14:paraId="47982FEC"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34733C43" w14:textId="77777777" w:rsidR="0064595E" w:rsidRPr="00405303" w:rsidRDefault="0064595E" w:rsidP="00C15251">
            <w:pPr>
              <w:shd w:val="clear" w:color="auto" w:fill="FFFFFF"/>
              <w:jc w:val="both"/>
              <w:rPr>
                <w:bCs/>
                <w:color w:val="002060"/>
                <w:sz w:val="16"/>
                <w:szCs w:val="16"/>
              </w:rPr>
            </w:pPr>
          </w:p>
          <w:p w14:paraId="43DBB3C7" w14:textId="77777777" w:rsidR="0064595E" w:rsidRPr="00405303" w:rsidRDefault="0064595E" w:rsidP="00C15251">
            <w:pPr>
              <w:shd w:val="clear" w:color="auto" w:fill="FFFFFF"/>
              <w:jc w:val="both"/>
              <w:rPr>
                <w:bCs/>
                <w:color w:val="002060"/>
                <w:sz w:val="16"/>
                <w:szCs w:val="16"/>
              </w:rPr>
            </w:pPr>
          </w:p>
        </w:tc>
        <w:tc>
          <w:tcPr>
            <w:tcW w:w="1373" w:type="dxa"/>
            <w:tcBorders>
              <w:left w:val="single" w:sz="6" w:space="0" w:color="auto"/>
              <w:right w:val="single" w:sz="6" w:space="0" w:color="auto"/>
            </w:tcBorders>
          </w:tcPr>
          <w:p w14:paraId="5E8CA02C" w14:textId="77777777" w:rsidR="0064595E" w:rsidRPr="00405303" w:rsidRDefault="0064595E" w:rsidP="00C15251">
            <w:pPr>
              <w:shd w:val="clear" w:color="auto" w:fill="FFFFFF"/>
              <w:jc w:val="both"/>
              <w:rPr>
                <w:bCs/>
                <w:color w:val="002060"/>
                <w:sz w:val="16"/>
                <w:szCs w:val="16"/>
              </w:rPr>
            </w:pPr>
          </w:p>
          <w:p w14:paraId="53E9B1BE" w14:textId="77777777" w:rsidR="0064595E" w:rsidRPr="00405303" w:rsidRDefault="0064595E" w:rsidP="00C15251">
            <w:pPr>
              <w:shd w:val="clear" w:color="auto" w:fill="FFFFFF"/>
              <w:jc w:val="both"/>
              <w:rPr>
                <w:bCs/>
                <w:color w:val="002060"/>
                <w:sz w:val="16"/>
                <w:szCs w:val="16"/>
              </w:rPr>
            </w:pPr>
          </w:p>
        </w:tc>
        <w:tc>
          <w:tcPr>
            <w:tcW w:w="1354" w:type="dxa"/>
            <w:tcBorders>
              <w:left w:val="single" w:sz="6" w:space="0" w:color="auto"/>
              <w:right w:val="single" w:sz="6" w:space="0" w:color="auto"/>
            </w:tcBorders>
          </w:tcPr>
          <w:p w14:paraId="4754A63B" w14:textId="77777777" w:rsidR="0064595E" w:rsidRPr="00405303" w:rsidRDefault="0064595E" w:rsidP="00C15251">
            <w:pPr>
              <w:shd w:val="clear" w:color="auto" w:fill="FFFFFF"/>
              <w:jc w:val="both"/>
              <w:rPr>
                <w:bCs/>
                <w:color w:val="002060"/>
                <w:sz w:val="16"/>
                <w:szCs w:val="16"/>
              </w:rPr>
            </w:pPr>
          </w:p>
          <w:p w14:paraId="157A07F8" w14:textId="77777777" w:rsidR="0064595E" w:rsidRPr="00405303" w:rsidRDefault="0064595E" w:rsidP="00C15251">
            <w:pPr>
              <w:shd w:val="clear" w:color="auto" w:fill="FFFFFF"/>
              <w:jc w:val="both"/>
              <w:rPr>
                <w:bCs/>
                <w:color w:val="002060"/>
                <w:sz w:val="16"/>
                <w:szCs w:val="16"/>
              </w:rPr>
            </w:pPr>
          </w:p>
        </w:tc>
        <w:tc>
          <w:tcPr>
            <w:tcW w:w="1315" w:type="dxa"/>
            <w:tcBorders>
              <w:left w:val="single" w:sz="6" w:space="0" w:color="auto"/>
              <w:right w:val="single" w:sz="6" w:space="0" w:color="auto"/>
            </w:tcBorders>
          </w:tcPr>
          <w:p w14:paraId="0590631B" w14:textId="77777777" w:rsidR="0064595E" w:rsidRPr="00405303" w:rsidRDefault="0064595E" w:rsidP="00C15251">
            <w:pPr>
              <w:shd w:val="clear" w:color="auto" w:fill="FFFFFF"/>
              <w:jc w:val="both"/>
              <w:rPr>
                <w:bCs/>
                <w:color w:val="002060"/>
                <w:sz w:val="16"/>
                <w:szCs w:val="16"/>
              </w:rPr>
            </w:pPr>
          </w:p>
          <w:p w14:paraId="0F36A428" w14:textId="77777777" w:rsidR="0064595E" w:rsidRPr="00405303" w:rsidRDefault="0064595E" w:rsidP="00C15251">
            <w:pPr>
              <w:shd w:val="clear" w:color="auto" w:fill="FFFFFF"/>
              <w:jc w:val="both"/>
              <w:rPr>
                <w:bCs/>
                <w:color w:val="002060"/>
                <w:sz w:val="16"/>
                <w:szCs w:val="16"/>
              </w:rPr>
            </w:pPr>
          </w:p>
        </w:tc>
      </w:tr>
      <w:tr w:rsidR="0064595E" w:rsidRPr="00405303" w14:paraId="015241F7" w14:textId="77777777" w:rsidTr="00D34AC1">
        <w:trPr>
          <w:trHeight w:val="154"/>
        </w:trPr>
        <w:tc>
          <w:tcPr>
            <w:tcW w:w="2467" w:type="dxa"/>
            <w:tcBorders>
              <w:left w:val="single" w:sz="6" w:space="0" w:color="auto"/>
              <w:right w:val="single" w:sz="6" w:space="0" w:color="auto"/>
            </w:tcBorders>
          </w:tcPr>
          <w:p w14:paraId="5B4477A6"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для них</w:t>
            </w:r>
          </w:p>
          <w:p w14:paraId="6CAF01F4"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10EAE800" w14:textId="77777777" w:rsidR="0064595E" w:rsidRPr="00405303" w:rsidRDefault="0064595E" w:rsidP="00C15251">
            <w:pPr>
              <w:shd w:val="clear" w:color="auto" w:fill="FFFFFF"/>
              <w:jc w:val="both"/>
              <w:rPr>
                <w:bCs/>
                <w:color w:val="002060"/>
                <w:sz w:val="16"/>
                <w:szCs w:val="16"/>
              </w:rPr>
            </w:pPr>
          </w:p>
          <w:p w14:paraId="1ED3134E" w14:textId="77777777" w:rsidR="0064595E" w:rsidRPr="00405303" w:rsidRDefault="0064595E" w:rsidP="00C15251">
            <w:pPr>
              <w:shd w:val="clear" w:color="auto" w:fill="FFFFFF"/>
              <w:jc w:val="both"/>
              <w:rPr>
                <w:bCs/>
                <w:color w:val="002060"/>
                <w:sz w:val="16"/>
                <w:szCs w:val="16"/>
              </w:rPr>
            </w:pPr>
          </w:p>
        </w:tc>
        <w:tc>
          <w:tcPr>
            <w:tcW w:w="1373" w:type="dxa"/>
            <w:tcBorders>
              <w:left w:val="single" w:sz="6" w:space="0" w:color="auto"/>
              <w:right w:val="single" w:sz="6" w:space="0" w:color="auto"/>
            </w:tcBorders>
          </w:tcPr>
          <w:p w14:paraId="22985FDE" w14:textId="77777777" w:rsidR="0064595E" w:rsidRPr="00405303" w:rsidRDefault="0064595E" w:rsidP="00C15251">
            <w:pPr>
              <w:shd w:val="clear" w:color="auto" w:fill="FFFFFF"/>
              <w:jc w:val="both"/>
              <w:rPr>
                <w:bCs/>
                <w:color w:val="002060"/>
                <w:sz w:val="16"/>
                <w:szCs w:val="16"/>
              </w:rPr>
            </w:pPr>
          </w:p>
          <w:p w14:paraId="4AA29AE5" w14:textId="77777777" w:rsidR="0064595E" w:rsidRPr="00405303" w:rsidRDefault="0064595E" w:rsidP="00C15251">
            <w:pPr>
              <w:shd w:val="clear" w:color="auto" w:fill="FFFFFF"/>
              <w:jc w:val="both"/>
              <w:rPr>
                <w:bCs/>
                <w:color w:val="002060"/>
                <w:sz w:val="16"/>
                <w:szCs w:val="16"/>
              </w:rPr>
            </w:pPr>
          </w:p>
        </w:tc>
        <w:tc>
          <w:tcPr>
            <w:tcW w:w="1354" w:type="dxa"/>
            <w:tcBorders>
              <w:left w:val="single" w:sz="6" w:space="0" w:color="auto"/>
              <w:right w:val="single" w:sz="6" w:space="0" w:color="auto"/>
            </w:tcBorders>
          </w:tcPr>
          <w:p w14:paraId="5B1D1576" w14:textId="77777777" w:rsidR="0064595E" w:rsidRPr="00405303" w:rsidRDefault="0064595E" w:rsidP="00C15251">
            <w:pPr>
              <w:shd w:val="clear" w:color="auto" w:fill="FFFFFF"/>
              <w:jc w:val="both"/>
              <w:rPr>
                <w:bCs/>
                <w:color w:val="002060"/>
                <w:sz w:val="16"/>
                <w:szCs w:val="16"/>
              </w:rPr>
            </w:pPr>
          </w:p>
          <w:p w14:paraId="05CD3AA5" w14:textId="77777777" w:rsidR="0064595E" w:rsidRPr="00405303" w:rsidRDefault="0064595E" w:rsidP="00C15251">
            <w:pPr>
              <w:shd w:val="clear" w:color="auto" w:fill="FFFFFF"/>
              <w:jc w:val="both"/>
              <w:rPr>
                <w:bCs/>
                <w:color w:val="002060"/>
                <w:sz w:val="16"/>
                <w:szCs w:val="16"/>
              </w:rPr>
            </w:pPr>
          </w:p>
        </w:tc>
        <w:tc>
          <w:tcPr>
            <w:tcW w:w="1315" w:type="dxa"/>
            <w:tcBorders>
              <w:left w:val="single" w:sz="6" w:space="0" w:color="auto"/>
              <w:right w:val="single" w:sz="6" w:space="0" w:color="auto"/>
            </w:tcBorders>
          </w:tcPr>
          <w:p w14:paraId="2D4F7933" w14:textId="77777777" w:rsidR="0064595E" w:rsidRPr="00405303" w:rsidRDefault="0064595E" w:rsidP="00C15251">
            <w:pPr>
              <w:shd w:val="clear" w:color="auto" w:fill="FFFFFF"/>
              <w:jc w:val="both"/>
              <w:rPr>
                <w:bCs/>
                <w:color w:val="002060"/>
                <w:sz w:val="16"/>
                <w:szCs w:val="16"/>
              </w:rPr>
            </w:pPr>
          </w:p>
          <w:p w14:paraId="5CE96847" w14:textId="77777777" w:rsidR="0064595E" w:rsidRPr="00405303" w:rsidRDefault="0064595E" w:rsidP="00C15251">
            <w:pPr>
              <w:shd w:val="clear" w:color="auto" w:fill="FFFFFF"/>
              <w:jc w:val="both"/>
              <w:rPr>
                <w:bCs/>
                <w:color w:val="002060"/>
                <w:sz w:val="16"/>
                <w:szCs w:val="16"/>
              </w:rPr>
            </w:pPr>
          </w:p>
        </w:tc>
      </w:tr>
      <w:tr w:rsidR="0064595E" w:rsidRPr="00405303" w14:paraId="62051070" w14:textId="77777777" w:rsidTr="00D34AC1">
        <w:trPr>
          <w:trHeight w:val="202"/>
        </w:trPr>
        <w:tc>
          <w:tcPr>
            <w:tcW w:w="2467" w:type="dxa"/>
            <w:tcBorders>
              <w:left w:val="single" w:sz="6" w:space="0" w:color="auto"/>
              <w:right w:val="single" w:sz="6" w:space="0" w:color="auto"/>
            </w:tcBorders>
          </w:tcPr>
          <w:p w14:paraId="4BB94FDC"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3. Станков для обработки</w:t>
            </w:r>
          </w:p>
          <w:p w14:paraId="1F398E6E"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7E19D94A"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1 140 903</w:t>
            </w:r>
          </w:p>
          <w:p w14:paraId="40B1E917" w14:textId="77777777" w:rsidR="0064595E" w:rsidRPr="00405303" w:rsidRDefault="0064595E" w:rsidP="00C15251">
            <w:pPr>
              <w:shd w:val="clear" w:color="auto" w:fill="FFFFFF"/>
              <w:jc w:val="both"/>
              <w:rPr>
                <w:bCs/>
                <w:color w:val="002060"/>
                <w:sz w:val="16"/>
                <w:szCs w:val="16"/>
              </w:rPr>
            </w:pPr>
          </w:p>
        </w:tc>
        <w:tc>
          <w:tcPr>
            <w:tcW w:w="1373" w:type="dxa"/>
            <w:tcBorders>
              <w:left w:val="single" w:sz="6" w:space="0" w:color="auto"/>
              <w:right w:val="single" w:sz="6" w:space="0" w:color="auto"/>
            </w:tcBorders>
          </w:tcPr>
          <w:p w14:paraId="0447DEEA"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см. пп. 10 и 11</w:t>
            </w:r>
          </w:p>
          <w:p w14:paraId="543F7C64" w14:textId="77777777" w:rsidR="0064595E" w:rsidRPr="00405303" w:rsidRDefault="0064595E" w:rsidP="00C15251">
            <w:pPr>
              <w:shd w:val="clear" w:color="auto" w:fill="FFFFFF"/>
              <w:jc w:val="both"/>
              <w:rPr>
                <w:bCs/>
                <w:color w:val="002060"/>
                <w:sz w:val="16"/>
                <w:szCs w:val="16"/>
              </w:rPr>
            </w:pPr>
          </w:p>
        </w:tc>
        <w:tc>
          <w:tcPr>
            <w:tcW w:w="1354" w:type="dxa"/>
            <w:tcBorders>
              <w:left w:val="single" w:sz="6" w:space="0" w:color="auto"/>
              <w:right w:val="single" w:sz="6" w:space="0" w:color="auto"/>
            </w:tcBorders>
          </w:tcPr>
          <w:p w14:paraId="2293E9D0"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12 787 605</w:t>
            </w:r>
          </w:p>
          <w:p w14:paraId="1F7D901B" w14:textId="77777777" w:rsidR="0064595E" w:rsidRPr="00405303" w:rsidRDefault="0064595E" w:rsidP="00C15251">
            <w:pPr>
              <w:shd w:val="clear" w:color="auto" w:fill="FFFFFF"/>
              <w:jc w:val="both"/>
              <w:rPr>
                <w:bCs/>
                <w:color w:val="002060"/>
                <w:sz w:val="16"/>
                <w:szCs w:val="16"/>
              </w:rPr>
            </w:pPr>
          </w:p>
        </w:tc>
        <w:tc>
          <w:tcPr>
            <w:tcW w:w="1315" w:type="dxa"/>
            <w:tcBorders>
              <w:left w:val="single" w:sz="6" w:space="0" w:color="auto"/>
              <w:right w:val="single" w:sz="6" w:space="0" w:color="auto"/>
            </w:tcBorders>
          </w:tcPr>
          <w:p w14:paraId="2F0E107C"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см. пп. 10 и 1 1</w:t>
            </w:r>
          </w:p>
          <w:p w14:paraId="499B331F" w14:textId="77777777" w:rsidR="0064595E" w:rsidRPr="00405303" w:rsidRDefault="0064595E" w:rsidP="00C15251">
            <w:pPr>
              <w:shd w:val="clear" w:color="auto" w:fill="FFFFFF"/>
              <w:jc w:val="both"/>
              <w:rPr>
                <w:bCs/>
                <w:color w:val="002060"/>
                <w:sz w:val="16"/>
                <w:szCs w:val="16"/>
              </w:rPr>
            </w:pPr>
          </w:p>
        </w:tc>
      </w:tr>
      <w:tr w:rsidR="0064595E" w:rsidRPr="00405303" w14:paraId="066FFA42" w14:textId="77777777" w:rsidTr="00D34AC1">
        <w:trPr>
          <w:trHeight w:val="134"/>
        </w:trPr>
        <w:tc>
          <w:tcPr>
            <w:tcW w:w="2467" w:type="dxa"/>
            <w:tcBorders>
              <w:left w:val="single" w:sz="6" w:space="0" w:color="auto"/>
              <w:right w:val="single" w:sz="6" w:space="0" w:color="auto"/>
            </w:tcBorders>
          </w:tcPr>
          <w:p w14:paraId="77549344"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металлов</w:t>
            </w:r>
          </w:p>
          <w:p w14:paraId="02A29E34"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339BE62A" w14:textId="77777777" w:rsidR="0064595E" w:rsidRPr="00405303" w:rsidRDefault="0064595E" w:rsidP="00C15251">
            <w:pPr>
              <w:shd w:val="clear" w:color="auto" w:fill="FFFFFF"/>
              <w:jc w:val="both"/>
              <w:rPr>
                <w:bCs/>
                <w:color w:val="002060"/>
                <w:sz w:val="16"/>
                <w:szCs w:val="16"/>
              </w:rPr>
            </w:pPr>
          </w:p>
          <w:p w14:paraId="7ED9B8B7" w14:textId="77777777" w:rsidR="0064595E" w:rsidRPr="00405303" w:rsidRDefault="0064595E" w:rsidP="00C15251">
            <w:pPr>
              <w:shd w:val="clear" w:color="auto" w:fill="FFFFFF"/>
              <w:jc w:val="both"/>
              <w:rPr>
                <w:bCs/>
                <w:color w:val="002060"/>
                <w:sz w:val="16"/>
                <w:szCs w:val="16"/>
              </w:rPr>
            </w:pPr>
          </w:p>
        </w:tc>
        <w:tc>
          <w:tcPr>
            <w:tcW w:w="1373" w:type="dxa"/>
            <w:tcBorders>
              <w:left w:val="single" w:sz="6" w:space="0" w:color="auto"/>
              <w:right w:val="single" w:sz="6" w:space="0" w:color="auto"/>
            </w:tcBorders>
          </w:tcPr>
          <w:p w14:paraId="01904510" w14:textId="77777777" w:rsidR="0064595E" w:rsidRPr="00405303" w:rsidRDefault="0064595E" w:rsidP="00C15251">
            <w:pPr>
              <w:shd w:val="clear" w:color="auto" w:fill="FFFFFF"/>
              <w:jc w:val="both"/>
              <w:rPr>
                <w:bCs/>
                <w:color w:val="002060"/>
                <w:sz w:val="16"/>
                <w:szCs w:val="16"/>
              </w:rPr>
            </w:pPr>
          </w:p>
          <w:p w14:paraId="16B61E9A" w14:textId="77777777" w:rsidR="0064595E" w:rsidRPr="00405303" w:rsidRDefault="0064595E" w:rsidP="00C15251">
            <w:pPr>
              <w:shd w:val="clear" w:color="auto" w:fill="FFFFFF"/>
              <w:jc w:val="both"/>
              <w:rPr>
                <w:bCs/>
                <w:color w:val="002060"/>
                <w:sz w:val="16"/>
                <w:szCs w:val="16"/>
              </w:rPr>
            </w:pPr>
          </w:p>
        </w:tc>
        <w:tc>
          <w:tcPr>
            <w:tcW w:w="1354" w:type="dxa"/>
            <w:tcBorders>
              <w:left w:val="single" w:sz="6" w:space="0" w:color="auto"/>
              <w:right w:val="single" w:sz="6" w:space="0" w:color="auto"/>
            </w:tcBorders>
          </w:tcPr>
          <w:p w14:paraId="63C0BEBB" w14:textId="77777777" w:rsidR="0064595E" w:rsidRPr="00405303" w:rsidRDefault="0064595E" w:rsidP="00C15251">
            <w:pPr>
              <w:shd w:val="clear" w:color="auto" w:fill="FFFFFF"/>
              <w:jc w:val="both"/>
              <w:rPr>
                <w:bCs/>
                <w:color w:val="002060"/>
                <w:sz w:val="16"/>
                <w:szCs w:val="16"/>
              </w:rPr>
            </w:pPr>
          </w:p>
          <w:p w14:paraId="7461E788" w14:textId="77777777" w:rsidR="0064595E" w:rsidRPr="00405303" w:rsidRDefault="0064595E" w:rsidP="00C15251">
            <w:pPr>
              <w:shd w:val="clear" w:color="auto" w:fill="FFFFFF"/>
              <w:jc w:val="both"/>
              <w:rPr>
                <w:bCs/>
                <w:color w:val="002060"/>
                <w:sz w:val="16"/>
                <w:szCs w:val="16"/>
              </w:rPr>
            </w:pPr>
          </w:p>
        </w:tc>
        <w:tc>
          <w:tcPr>
            <w:tcW w:w="1315" w:type="dxa"/>
            <w:tcBorders>
              <w:left w:val="single" w:sz="6" w:space="0" w:color="auto"/>
              <w:right w:val="single" w:sz="6" w:space="0" w:color="auto"/>
            </w:tcBorders>
          </w:tcPr>
          <w:p w14:paraId="6AFC3B99" w14:textId="77777777" w:rsidR="0064595E" w:rsidRPr="00405303" w:rsidRDefault="0064595E" w:rsidP="00C15251">
            <w:pPr>
              <w:shd w:val="clear" w:color="auto" w:fill="FFFFFF"/>
              <w:jc w:val="both"/>
              <w:rPr>
                <w:bCs/>
                <w:color w:val="002060"/>
                <w:sz w:val="16"/>
                <w:szCs w:val="16"/>
              </w:rPr>
            </w:pPr>
          </w:p>
          <w:p w14:paraId="69874BB3" w14:textId="77777777" w:rsidR="0064595E" w:rsidRPr="00405303" w:rsidRDefault="0064595E" w:rsidP="00C15251">
            <w:pPr>
              <w:shd w:val="clear" w:color="auto" w:fill="FFFFFF"/>
              <w:jc w:val="both"/>
              <w:rPr>
                <w:bCs/>
                <w:color w:val="002060"/>
                <w:sz w:val="16"/>
                <w:szCs w:val="16"/>
              </w:rPr>
            </w:pPr>
          </w:p>
        </w:tc>
      </w:tr>
      <w:tr w:rsidR="0064595E" w:rsidRPr="00405303" w14:paraId="61E1A8EC" w14:textId="77777777" w:rsidTr="00D34AC1">
        <w:trPr>
          <w:trHeight w:val="182"/>
        </w:trPr>
        <w:tc>
          <w:tcPr>
            <w:tcW w:w="2467" w:type="dxa"/>
            <w:tcBorders>
              <w:left w:val="single" w:sz="6" w:space="0" w:color="auto"/>
              <w:right w:val="single" w:sz="6" w:space="0" w:color="auto"/>
            </w:tcBorders>
          </w:tcPr>
          <w:p w14:paraId="10E05C7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4. Электрических машин</w:t>
            </w:r>
          </w:p>
          <w:p w14:paraId="0A490F30"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2FD86DD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702 250</w:t>
            </w:r>
          </w:p>
          <w:p w14:paraId="1CFBB7CA" w14:textId="77777777" w:rsidR="0064595E" w:rsidRPr="00405303" w:rsidRDefault="0064595E" w:rsidP="00C15251">
            <w:pPr>
              <w:shd w:val="clear" w:color="auto" w:fill="FFFFFF"/>
              <w:jc w:val="both"/>
              <w:rPr>
                <w:bCs/>
                <w:color w:val="002060"/>
                <w:sz w:val="16"/>
                <w:szCs w:val="16"/>
              </w:rPr>
            </w:pPr>
          </w:p>
        </w:tc>
        <w:tc>
          <w:tcPr>
            <w:tcW w:w="1373" w:type="dxa"/>
            <w:tcBorders>
              <w:left w:val="single" w:sz="6" w:space="0" w:color="auto"/>
              <w:right w:val="single" w:sz="6" w:space="0" w:color="auto"/>
            </w:tcBorders>
          </w:tcPr>
          <w:p w14:paraId="7FC68790" w14:textId="77777777" w:rsidR="0064595E" w:rsidRPr="00405303" w:rsidRDefault="0064595E" w:rsidP="00C15251">
            <w:pPr>
              <w:shd w:val="clear" w:color="auto" w:fill="FFFFFF"/>
              <w:jc w:val="both"/>
              <w:rPr>
                <w:bCs/>
                <w:color w:val="002060"/>
                <w:sz w:val="16"/>
                <w:szCs w:val="16"/>
              </w:rPr>
            </w:pPr>
          </w:p>
          <w:p w14:paraId="7E4B8E94" w14:textId="77777777" w:rsidR="0064595E" w:rsidRPr="00405303" w:rsidRDefault="0064595E" w:rsidP="00C15251">
            <w:pPr>
              <w:shd w:val="clear" w:color="auto" w:fill="FFFFFF"/>
              <w:jc w:val="both"/>
              <w:rPr>
                <w:bCs/>
                <w:color w:val="002060"/>
                <w:sz w:val="16"/>
                <w:szCs w:val="16"/>
              </w:rPr>
            </w:pPr>
          </w:p>
        </w:tc>
        <w:tc>
          <w:tcPr>
            <w:tcW w:w="1354" w:type="dxa"/>
            <w:tcBorders>
              <w:left w:val="single" w:sz="6" w:space="0" w:color="auto"/>
              <w:right w:val="single" w:sz="6" w:space="0" w:color="auto"/>
            </w:tcBorders>
          </w:tcPr>
          <w:p w14:paraId="33A9B9E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18 947 880</w:t>
            </w:r>
          </w:p>
          <w:p w14:paraId="114EA42C" w14:textId="77777777" w:rsidR="0064595E" w:rsidRPr="00405303" w:rsidRDefault="0064595E" w:rsidP="00C15251">
            <w:pPr>
              <w:shd w:val="clear" w:color="auto" w:fill="FFFFFF"/>
              <w:jc w:val="both"/>
              <w:rPr>
                <w:bCs/>
                <w:color w:val="002060"/>
                <w:sz w:val="16"/>
                <w:szCs w:val="16"/>
              </w:rPr>
            </w:pPr>
          </w:p>
        </w:tc>
        <w:tc>
          <w:tcPr>
            <w:tcW w:w="1315" w:type="dxa"/>
            <w:tcBorders>
              <w:left w:val="single" w:sz="6" w:space="0" w:color="auto"/>
              <w:right w:val="single" w:sz="6" w:space="0" w:color="auto"/>
            </w:tcBorders>
          </w:tcPr>
          <w:p w14:paraId="10FCF51E" w14:textId="77777777" w:rsidR="0064595E" w:rsidRPr="00405303" w:rsidRDefault="0064595E" w:rsidP="00C15251">
            <w:pPr>
              <w:shd w:val="clear" w:color="auto" w:fill="FFFFFF"/>
              <w:jc w:val="both"/>
              <w:rPr>
                <w:bCs/>
                <w:color w:val="002060"/>
                <w:sz w:val="16"/>
                <w:szCs w:val="16"/>
              </w:rPr>
            </w:pPr>
          </w:p>
          <w:p w14:paraId="53543E2A" w14:textId="77777777" w:rsidR="0064595E" w:rsidRPr="00405303" w:rsidRDefault="0064595E" w:rsidP="00C15251">
            <w:pPr>
              <w:shd w:val="clear" w:color="auto" w:fill="FFFFFF"/>
              <w:jc w:val="both"/>
              <w:rPr>
                <w:bCs/>
                <w:color w:val="002060"/>
                <w:sz w:val="16"/>
                <w:szCs w:val="16"/>
              </w:rPr>
            </w:pPr>
          </w:p>
        </w:tc>
      </w:tr>
      <w:tr w:rsidR="0064595E" w:rsidRPr="00405303" w14:paraId="7D720FC2" w14:textId="77777777" w:rsidTr="00D34AC1">
        <w:trPr>
          <w:trHeight w:val="182"/>
        </w:trPr>
        <w:tc>
          <w:tcPr>
            <w:tcW w:w="2467" w:type="dxa"/>
            <w:tcBorders>
              <w:left w:val="single" w:sz="6" w:space="0" w:color="auto"/>
              <w:right w:val="single" w:sz="6" w:space="0" w:color="auto"/>
            </w:tcBorders>
          </w:tcPr>
          <w:p w14:paraId="291A5382"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(двигателей, трансформа-</w:t>
            </w:r>
          </w:p>
          <w:p w14:paraId="720259AC"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5F370535" w14:textId="77777777" w:rsidR="0064595E" w:rsidRPr="00405303" w:rsidRDefault="0064595E" w:rsidP="00C15251">
            <w:pPr>
              <w:shd w:val="clear" w:color="auto" w:fill="FFFFFF"/>
              <w:jc w:val="both"/>
              <w:rPr>
                <w:bCs/>
                <w:color w:val="002060"/>
                <w:sz w:val="16"/>
                <w:szCs w:val="16"/>
              </w:rPr>
            </w:pPr>
          </w:p>
          <w:p w14:paraId="5CCFA77B" w14:textId="77777777" w:rsidR="0064595E" w:rsidRPr="00405303" w:rsidRDefault="0064595E" w:rsidP="00C15251">
            <w:pPr>
              <w:shd w:val="clear" w:color="auto" w:fill="FFFFFF"/>
              <w:jc w:val="both"/>
              <w:rPr>
                <w:bCs/>
                <w:color w:val="002060"/>
                <w:sz w:val="16"/>
                <w:szCs w:val="16"/>
              </w:rPr>
            </w:pPr>
          </w:p>
        </w:tc>
        <w:tc>
          <w:tcPr>
            <w:tcW w:w="1373" w:type="dxa"/>
            <w:tcBorders>
              <w:left w:val="single" w:sz="6" w:space="0" w:color="auto"/>
              <w:right w:val="single" w:sz="6" w:space="0" w:color="auto"/>
            </w:tcBorders>
          </w:tcPr>
          <w:p w14:paraId="255902BC" w14:textId="77777777" w:rsidR="0064595E" w:rsidRPr="00405303" w:rsidRDefault="0064595E" w:rsidP="00C15251">
            <w:pPr>
              <w:shd w:val="clear" w:color="auto" w:fill="FFFFFF"/>
              <w:jc w:val="both"/>
              <w:rPr>
                <w:bCs/>
                <w:color w:val="002060"/>
                <w:sz w:val="16"/>
                <w:szCs w:val="16"/>
              </w:rPr>
            </w:pPr>
          </w:p>
          <w:p w14:paraId="62CAB319" w14:textId="77777777" w:rsidR="0064595E" w:rsidRPr="00405303" w:rsidRDefault="0064595E" w:rsidP="00C15251">
            <w:pPr>
              <w:shd w:val="clear" w:color="auto" w:fill="FFFFFF"/>
              <w:jc w:val="both"/>
              <w:rPr>
                <w:bCs/>
                <w:color w:val="002060"/>
                <w:sz w:val="16"/>
                <w:szCs w:val="16"/>
              </w:rPr>
            </w:pPr>
          </w:p>
        </w:tc>
        <w:tc>
          <w:tcPr>
            <w:tcW w:w="1354" w:type="dxa"/>
            <w:tcBorders>
              <w:left w:val="single" w:sz="6" w:space="0" w:color="auto"/>
              <w:right w:val="single" w:sz="6" w:space="0" w:color="auto"/>
            </w:tcBorders>
          </w:tcPr>
          <w:p w14:paraId="1545A6E4" w14:textId="77777777" w:rsidR="0064595E" w:rsidRPr="00405303" w:rsidRDefault="0064595E" w:rsidP="00C15251">
            <w:pPr>
              <w:shd w:val="clear" w:color="auto" w:fill="FFFFFF"/>
              <w:jc w:val="both"/>
              <w:rPr>
                <w:bCs/>
                <w:color w:val="002060"/>
                <w:sz w:val="16"/>
                <w:szCs w:val="16"/>
              </w:rPr>
            </w:pPr>
          </w:p>
          <w:p w14:paraId="2C204661" w14:textId="77777777" w:rsidR="0064595E" w:rsidRPr="00405303" w:rsidRDefault="0064595E" w:rsidP="00C15251">
            <w:pPr>
              <w:shd w:val="clear" w:color="auto" w:fill="FFFFFF"/>
              <w:jc w:val="both"/>
              <w:rPr>
                <w:bCs/>
                <w:color w:val="002060"/>
                <w:sz w:val="16"/>
                <w:szCs w:val="16"/>
              </w:rPr>
            </w:pPr>
          </w:p>
        </w:tc>
        <w:tc>
          <w:tcPr>
            <w:tcW w:w="1315" w:type="dxa"/>
            <w:tcBorders>
              <w:left w:val="single" w:sz="6" w:space="0" w:color="auto"/>
              <w:right w:val="single" w:sz="6" w:space="0" w:color="auto"/>
            </w:tcBorders>
          </w:tcPr>
          <w:p w14:paraId="6D38D100" w14:textId="77777777" w:rsidR="0064595E" w:rsidRPr="00405303" w:rsidRDefault="0064595E" w:rsidP="00C15251">
            <w:pPr>
              <w:shd w:val="clear" w:color="auto" w:fill="FFFFFF"/>
              <w:jc w:val="both"/>
              <w:rPr>
                <w:bCs/>
                <w:color w:val="002060"/>
                <w:sz w:val="16"/>
                <w:szCs w:val="16"/>
              </w:rPr>
            </w:pPr>
          </w:p>
          <w:p w14:paraId="37B6DE11" w14:textId="77777777" w:rsidR="0064595E" w:rsidRPr="00405303" w:rsidRDefault="0064595E" w:rsidP="00C15251">
            <w:pPr>
              <w:shd w:val="clear" w:color="auto" w:fill="FFFFFF"/>
              <w:jc w:val="both"/>
              <w:rPr>
                <w:bCs/>
                <w:color w:val="002060"/>
                <w:sz w:val="16"/>
                <w:szCs w:val="16"/>
              </w:rPr>
            </w:pPr>
          </w:p>
        </w:tc>
      </w:tr>
      <w:tr w:rsidR="0064595E" w:rsidRPr="00405303" w14:paraId="0D28FDCC" w14:textId="77777777" w:rsidTr="00D34AC1">
        <w:trPr>
          <w:trHeight w:val="173"/>
        </w:trPr>
        <w:tc>
          <w:tcPr>
            <w:tcW w:w="2467" w:type="dxa"/>
            <w:tcBorders>
              <w:left w:val="single" w:sz="6" w:space="0" w:color="auto"/>
              <w:right w:val="single" w:sz="6" w:space="0" w:color="auto"/>
            </w:tcBorders>
          </w:tcPr>
          <w:p w14:paraId="1BD380A9"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торов, аккумуляторов и</w:t>
            </w:r>
          </w:p>
          <w:p w14:paraId="1BFB9E8D"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1EFE41D2" w14:textId="77777777" w:rsidR="0064595E" w:rsidRPr="00405303" w:rsidRDefault="0064595E" w:rsidP="00C15251">
            <w:pPr>
              <w:shd w:val="clear" w:color="auto" w:fill="FFFFFF"/>
              <w:jc w:val="both"/>
              <w:rPr>
                <w:bCs/>
                <w:color w:val="002060"/>
                <w:sz w:val="16"/>
                <w:szCs w:val="16"/>
              </w:rPr>
            </w:pPr>
          </w:p>
          <w:p w14:paraId="1B2FCA6A" w14:textId="77777777" w:rsidR="0064595E" w:rsidRPr="00405303" w:rsidRDefault="0064595E" w:rsidP="00C15251">
            <w:pPr>
              <w:shd w:val="clear" w:color="auto" w:fill="FFFFFF"/>
              <w:jc w:val="both"/>
              <w:rPr>
                <w:bCs/>
                <w:color w:val="002060"/>
                <w:sz w:val="16"/>
                <w:szCs w:val="16"/>
              </w:rPr>
            </w:pPr>
          </w:p>
        </w:tc>
        <w:tc>
          <w:tcPr>
            <w:tcW w:w="1373" w:type="dxa"/>
            <w:tcBorders>
              <w:left w:val="single" w:sz="6" w:space="0" w:color="auto"/>
              <w:right w:val="single" w:sz="6" w:space="0" w:color="auto"/>
            </w:tcBorders>
          </w:tcPr>
          <w:p w14:paraId="13751608" w14:textId="77777777" w:rsidR="0064595E" w:rsidRPr="00405303" w:rsidRDefault="0064595E" w:rsidP="00C15251">
            <w:pPr>
              <w:shd w:val="clear" w:color="auto" w:fill="FFFFFF"/>
              <w:jc w:val="both"/>
              <w:rPr>
                <w:bCs/>
                <w:color w:val="002060"/>
                <w:sz w:val="16"/>
                <w:szCs w:val="16"/>
              </w:rPr>
            </w:pPr>
          </w:p>
          <w:p w14:paraId="0DDAFC5D" w14:textId="77777777" w:rsidR="0064595E" w:rsidRPr="00405303" w:rsidRDefault="0064595E" w:rsidP="00C15251">
            <w:pPr>
              <w:shd w:val="clear" w:color="auto" w:fill="FFFFFF"/>
              <w:jc w:val="both"/>
              <w:rPr>
                <w:bCs/>
                <w:color w:val="002060"/>
                <w:sz w:val="16"/>
                <w:szCs w:val="16"/>
              </w:rPr>
            </w:pPr>
          </w:p>
        </w:tc>
        <w:tc>
          <w:tcPr>
            <w:tcW w:w="1354" w:type="dxa"/>
            <w:tcBorders>
              <w:left w:val="single" w:sz="6" w:space="0" w:color="auto"/>
              <w:right w:val="single" w:sz="6" w:space="0" w:color="auto"/>
            </w:tcBorders>
          </w:tcPr>
          <w:p w14:paraId="25102BE4" w14:textId="77777777" w:rsidR="0064595E" w:rsidRPr="00405303" w:rsidRDefault="0064595E" w:rsidP="00C15251">
            <w:pPr>
              <w:shd w:val="clear" w:color="auto" w:fill="FFFFFF"/>
              <w:jc w:val="both"/>
              <w:rPr>
                <w:bCs/>
                <w:color w:val="002060"/>
                <w:sz w:val="16"/>
                <w:szCs w:val="16"/>
              </w:rPr>
            </w:pPr>
          </w:p>
          <w:p w14:paraId="787094D4" w14:textId="77777777" w:rsidR="0064595E" w:rsidRPr="00405303" w:rsidRDefault="0064595E" w:rsidP="00C15251">
            <w:pPr>
              <w:shd w:val="clear" w:color="auto" w:fill="FFFFFF"/>
              <w:jc w:val="both"/>
              <w:rPr>
                <w:bCs/>
                <w:color w:val="002060"/>
                <w:sz w:val="16"/>
                <w:szCs w:val="16"/>
              </w:rPr>
            </w:pPr>
          </w:p>
        </w:tc>
        <w:tc>
          <w:tcPr>
            <w:tcW w:w="1315" w:type="dxa"/>
            <w:tcBorders>
              <w:left w:val="single" w:sz="6" w:space="0" w:color="auto"/>
              <w:right w:val="single" w:sz="6" w:space="0" w:color="auto"/>
            </w:tcBorders>
          </w:tcPr>
          <w:p w14:paraId="120A8267" w14:textId="77777777" w:rsidR="0064595E" w:rsidRPr="00405303" w:rsidRDefault="0064595E" w:rsidP="00C15251">
            <w:pPr>
              <w:shd w:val="clear" w:color="auto" w:fill="FFFFFF"/>
              <w:jc w:val="both"/>
              <w:rPr>
                <w:bCs/>
                <w:color w:val="002060"/>
                <w:sz w:val="16"/>
                <w:szCs w:val="16"/>
              </w:rPr>
            </w:pPr>
          </w:p>
          <w:p w14:paraId="383966C9" w14:textId="77777777" w:rsidR="0064595E" w:rsidRPr="00405303" w:rsidRDefault="0064595E" w:rsidP="00C15251">
            <w:pPr>
              <w:shd w:val="clear" w:color="auto" w:fill="FFFFFF"/>
              <w:jc w:val="both"/>
              <w:rPr>
                <w:bCs/>
                <w:color w:val="002060"/>
                <w:sz w:val="16"/>
                <w:szCs w:val="16"/>
              </w:rPr>
            </w:pPr>
          </w:p>
        </w:tc>
      </w:tr>
      <w:tr w:rsidR="0064595E" w:rsidRPr="00405303" w14:paraId="6D080609" w14:textId="77777777" w:rsidTr="00D34AC1">
        <w:trPr>
          <w:trHeight w:val="154"/>
        </w:trPr>
        <w:tc>
          <w:tcPr>
            <w:tcW w:w="2467" w:type="dxa"/>
            <w:tcBorders>
              <w:left w:val="single" w:sz="6" w:space="0" w:color="auto"/>
              <w:right w:val="single" w:sz="6" w:space="0" w:color="auto"/>
            </w:tcBorders>
          </w:tcPr>
          <w:p w14:paraId="789D273D"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разных электрических</w:t>
            </w:r>
          </w:p>
          <w:p w14:paraId="3FF74ED7"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0D98555E" w14:textId="77777777" w:rsidR="0064595E" w:rsidRPr="00405303" w:rsidRDefault="0064595E" w:rsidP="00C15251">
            <w:pPr>
              <w:shd w:val="clear" w:color="auto" w:fill="FFFFFF"/>
              <w:jc w:val="both"/>
              <w:rPr>
                <w:bCs/>
                <w:color w:val="002060"/>
                <w:sz w:val="16"/>
                <w:szCs w:val="16"/>
              </w:rPr>
            </w:pPr>
          </w:p>
          <w:p w14:paraId="280FA0A9" w14:textId="77777777" w:rsidR="0064595E" w:rsidRPr="00405303" w:rsidRDefault="0064595E" w:rsidP="00C15251">
            <w:pPr>
              <w:shd w:val="clear" w:color="auto" w:fill="FFFFFF"/>
              <w:jc w:val="both"/>
              <w:rPr>
                <w:bCs/>
                <w:color w:val="002060"/>
                <w:sz w:val="16"/>
                <w:szCs w:val="16"/>
              </w:rPr>
            </w:pPr>
          </w:p>
        </w:tc>
        <w:tc>
          <w:tcPr>
            <w:tcW w:w="1373" w:type="dxa"/>
            <w:tcBorders>
              <w:left w:val="single" w:sz="6" w:space="0" w:color="auto"/>
              <w:right w:val="single" w:sz="6" w:space="0" w:color="auto"/>
            </w:tcBorders>
          </w:tcPr>
          <w:p w14:paraId="7A933EFE" w14:textId="77777777" w:rsidR="0064595E" w:rsidRPr="00405303" w:rsidRDefault="0064595E" w:rsidP="00C15251">
            <w:pPr>
              <w:shd w:val="clear" w:color="auto" w:fill="FFFFFF"/>
              <w:jc w:val="both"/>
              <w:rPr>
                <w:bCs/>
                <w:color w:val="002060"/>
                <w:sz w:val="16"/>
                <w:szCs w:val="16"/>
              </w:rPr>
            </w:pPr>
          </w:p>
          <w:p w14:paraId="7DE4A10A" w14:textId="77777777" w:rsidR="0064595E" w:rsidRPr="00405303" w:rsidRDefault="0064595E" w:rsidP="00C15251">
            <w:pPr>
              <w:shd w:val="clear" w:color="auto" w:fill="FFFFFF"/>
              <w:jc w:val="both"/>
              <w:rPr>
                <w:bCs/>
                <w:color w:val="002060"/>
                <w:sz w:val="16"/>
                <w:szCs w:val="16"/>
              </w:rPr>
            </w:pPr>
          </w:p>
        </w:tc>
        <w:tc>
          <w:tcPr>
            <w:tcW w:w="1354" w:type="dxa"/>
            <w:tcBorders>
              <w:left w:val="single" w:sz="6" w:space="0" w:color="auto"/>
              <w:right w:val="single" w:sz="6" w:space="0" w:color="auto"/>
            </w:tcBorders>
          </w:tcPr>
          <w:p w14:paraId="4702E5C2" w14:textId="77777777" w:rsidR="0064595E" w:rsidRPr="00405303" w:rsidRDefault="0064595E" w:rsidP="00C15251">
            <w:pPr>
              <w:shd w:val="clear" w:color="auto" w:fill="FFFFFF"/>
              <w:jc w:val="both"/>
              <w:rPr>
                <w:bCs/>
                <w:color w:val="002060"/>
                <w:sz w:val="16"/>
                <w:szCs w:val="16"/>
              </w:rPr>
            </w:pPr>
          </w:p>
          <w:p w14:paraId="55351752" w14:textId="77777777" w:rsidR="0064595E" w:rsidRPr="00405303" w:rsidRDefault="0064595E" w:rsidP="00C15251">
            <w:pPr>
              <w:shd w:val="clear" w:color="auto" w:fill="FFFFFF"/>
              <w:jc w:val="both"/>
              <w:rPr>
                <w:bCs/>
                <w:color w:val="002060"/>
                <w:sz w:val="16"/>
                <w:szCs w:val="16"/>
              </w:rPr>
            </w:pPr>
          </w:p>
        </w:tc>
        <w:tc>
          <w:tcPr>
            <w:tcW w:w="1315" w:type="dxa"/>
            <w:tcBorders>
              <w:left w:val="single" w:sz="6" w:space="0" w:color="auto"/>
              <w:right w:val="single" w:sz="6" w:space="0" w:color="auto"/>
            </w:tcBorders>
          </w:tcPr>
          <w:p w14:paraId="70CC8871" w14:textId="77777777" w:rsidR="0064595E" w:rsidRPr="00405303" w:rsidRDefault="0064595E" w:rsidP="00C15251">
            <w:pPr>
              <w:shd w:val="clear" w:color="auto" w:fill="FFFFFF"/>
              <w:jc w:val="both"/>
              <w:rPr>
                <w:bCs/>
                <w:color w:val="002060"/>
                <w:sz w:val="16"/>
                <w:szCs w:val="16"/>
              </w:rPr>
            </w:pPr>
          </w:p>
          <w:p w14:paraId="719B4737" w14:textId="77777777" w:rsidR="0064595E" w:rsidRPr="00405303" w:rsidRDefault="0064595E" w:rsidP="00C15251">
            <w:pPr>
              <w:shd w:val="clear" w:color="auto" w:fill="FFFFFF"/>
              <w:jc w:val="both"/>
              <w:rPr>
                <w:bCs/>
                <w:color w:val="002060"/>
                <w:sz w:val="16"/>
                <w:szCs w:val="16"/>
              </w:rPr>
            </w:pPr>
          </w:p>
        </w:tc>
      </w:tr>
      <w:tr w:rsidR="0064595E" w:rsidRPr="00405303" w14:paraId="0528C21F" w14:textId="77777777" w:rsidTr="00D34AC1">
        <w:trPr>
          <w:trHeight w:val="163"/>
        </w:trPr>
        <w:tc>
          <w:tcPr>
            <w:tcW w:w="2467" w:type="dxa"/>
            <w:tcBorders>
              <w:left w:val="single" w:sz="6" w:space="0" w:color="auto"/>
              <w:right w:val="single" w:sz="6" w:space="0" w:color="auto"/>
            </w:tcBorders>
          </w:tcPr>
          <w:p w14:paraId="67DC6740"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аппаратов)</w:t>
            </w:r>
          </w:p>
          <w:p w14:paraId="0D71F651"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680342C3" w14:textId="77777777" w:rsidR="0064595E" w:rsidRPr="00405303" w:rsidRDefault="0064595E" w:rsidP="00C15251">
            <w:pPr>
              <w:shd w:val="clear" w:color="auto" w:fill="FFFFFF"/>
              <w:jc w:val="both"/>
              <w:rPr>
                <w:bCs/>
                <w:color w:val="002060"/>
                <w:sz w:val="16"/>
                <w:szCs w:val="16"/>
              </w:rPr>
            </w:pPr>
          </w:p>
          <w:p w14:paraId="60251BAA" w14:textId="77777777" w:rsidR="0064595E" w:rsidRPr="00405303" w:rsidRDefault="0064595E" w:rsidP="00C15251">
            <w:pPr>
              <w:shd w:val="clear" w:color="auto" w:fill="FFFFFF"/>
              <w:jc w:val="both"/>
              <w:rPr>
                <w:bCs/>
                <w:color w:val="002060"/>
                <w:sz w:val="16"/>
                <w:szCs w:val="16"/>
              </w:rPr>
            </w:pPr>
          </w:p>
        </w:tc>
        <w:tc>
          <w:tcPr>
            <w:tcW w:w="1373" w:type="dxa"/>
            <w:tcBorders>
              <w:left w:val="single" w:sz="6" w:space="0" w:color="auto"/>
              <w:right w:val="single" w:sz="6" w:space="0" w:color="auto"/>
            </w:tcBorders>
          </w:tcPr>
          <w:p w14:paraId="0AA32705" w14:textId="77777777" w:rsidR="0064595E" w:rsidRPr="00405303" w:rsidRDefault="0064595E" w:rsidP="00C15251">
            <w:pPr>
              <w:shd w:val="clear" w:color="auto" w:fill="FFFFFF"/>
              <w:jc w:val="both"/>
              <w:rPr>
                <w:bCs/>
                <w:color w:val="002060"/>
                <w:sz w:val="16"/>
                <w:szCs w:val="16"/>
              </w:rPr>
            </w:pPr>
          </w:p>
          <w:p w14:paraId="301CB1A0" w14:textId="77777777" w:rsidR="0064595E" w:rsidRPr="00405303" w:rsidRDefault="0064595E" w:rsidP="00C15251">
            <w:pPr>
              <w:shd w:val="clear" w:color="auto" w:fill="FFFFFF"/>
              <w:jc w:val="both"/>
              <w:rPr>
                <w:bCs/>
                <w:color w:val="002060"/>
                <w:sz w:val="16"/>
                <w:szCs w:val="16"/>
              </w:rPr>
            </w:pPr>
          </w:p>
        </w:tc>
        <w:tc>
          <w:tcPr>
            <w:tcW w:w="1354" w:type="dxa"/>
            <w:tcBorders>
              <w:left w:val="single" w:sz="6" w:space="0" w:color="auto"/>
              <w:right w:val="single" w:sz="6" w:space="0" w:color="auto"/>
            </w:tcBorders>
          </w:tcPr>
          <w:p w14:paraId="57D7138D" w14:textId="77777777" w:rsidR="0064595E" w:rsidRPr="00405303" w:rsidRDefault="0064595E" w:rsidP="00C15251">
            <w:pPr>
              <w:shd w:val="clear" w:color="auto" w:fill="FFFFFF"/>
              <w:jc w:val="both"/>
              <w:rPr>
                <w:bCs/>
                <w:color w:val="002060"/>
                <w:sz w:val="16"/>
                <w:szCs w:val="16"/>
              </w:rPr>
            </w:pPr>
          </w:p>
          <w:p w14:paraId="7115EC8D" w14:textId="77777777" w:rsidR="0064595E" w:rsidRPr="00405303" w:rsidRDefault="0064595E" w:rsidP="00C15251">
            <w:pPr>
              <w:shd w:val="clear" w:color="auto" w:fill="FFFFFF"/>
              <w:jc w:val="both"/>
              <w:rPr>
                <w:bCs/>
                <w:color w:val="002060"/>
                <w:sz w:val="16"/>
                <w:szCs w:val="16"/>
              </w:rPr>
            </w:pPr>
          </w:p>
        </w:tc>
        <w:tc>
          <w:tcPr>
            <w:tcW w:w="1315" w:type="dxa"/>
            <w:tcBorders>
              <w:left w:val="single" w:sz="6" w:space="0" w:color="auto"/>
              <w:right w:val="single" w:sz="6" w:space="0" w:color="auto"/>
            </w:tcBorders>
          </w:tcPr>
          <w:p w14:paraId="7120BF60" w14:textId="77777777" w:rsidR="0064595E" w:rsidRPr="00405303" w:rsidRDefault="0064595E" w:rsidP="00C15251">
            <w:pPr>
              <w:shd w:val="clear" w:color="auto" w:fill="FFFFFF"/>
              <w:jc w:val="both"/>
              <w:rPr>
                <w:bCs/>
                <w:color w:val="002060"/>
                <w:sz w:val="16"/>
                <w:szCs w:val="16"/>
              </w:rPr>
            </w:pPr>
          </w:p>
          <w:p w14:paraId="105AC448" w14:textId="77777777" w:rsidR="0064595E" w:rsidRPr="00405303" w:rsidRDefault="0064595E" w:rsidP="00C15251">
            <w:pPr>
              <w:shd w:val="clear" w:color="auto" w:fill="FFFFFF"/>
              <w:jc w:val="both"/>
              <w:rPr>
                <w:bCs/>
                <w:color w:val="002060"/>
                <w:sz w:val="16"/>
                <w:szCs w:val="16"/>
              </w:rPr>
            </w:pPr>
          </w:p>
        </w:tc>
      </w:tr>
      <w:tr w:rsidR="0064595E" w:rsidRPr="00405303" w14:paraId="157E4791" w14:textId="77777777" w:rsidTr="00D34AC1">
        <w:trPr>
          <w:trHeight w:val="192"/>
        </w:trPr>
        <w:tc>
          <w:tcPr>
            <w:tcW w:w="2467" w:type="dxa"/>
            <w:tcBorders>
              <w:left w:val="single" w:sz="6" w:space="0" w:color="auto"/>
              <w:right w:val="single" w:sz="6" w:space="0" w:color="auto"/>
            </w:tcBorders>
          </w:tcPr>
          <w:p w14:paraId="07ABC913"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5. Телеграфных и телефон-</w:t>
            </w:r>
          </w:p>
          <w:p w14:paraId="644D9F03"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10DA3060"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8540</w:t>
            </w:r>
          </w:p>
          <w:p w14:paraId="1D7E9723" w14:textId="77777777" w:rsidR="0064595E" w:rsidRPr="00405303" w:rsidRDefault="0064595E" w:rsidP="00C15251">
            <w:pPr>
              <w:shd w:val="clear" w:color="auto" w:fill="FFFFFF"/>
              <w:jc w:val="both"/>
              <w:rPr>
                <w:bCs/>
                <w:color w:val="002060"/>
                <w:sz w:val="16"/>
                <w:szCs w:val="16"/>
              </w:rPr>
            </w:pPr>
          </w:p>
        </w:tc>
        <w:tc>
          <w:tcPr>
            <w:tcW w:w="1373" w:type="dxa"/>
            <w:tcBorders>
              <w:left w:val="single" w:sz="6" w:space="0" w:color="auto"/>
              <w:right w:val="single" w:sz="6" w:space="0" w:color="auto"/>
            </w:tcBorders>
          </w:tcPr>
          <w:p w14:paraId="1C78DF67" w14:textId="77777777" w:rsidR="0064595E" w:rsidRPr="00405303" w:rsidRDefault="0064595E" w:rsidP="00C15251">
            <w:pPr>
              <w:shd w:val="clear" w:color="auto" w:fill="FFFFFF"/>
              <w:jc w:val="both"/>
              <w:rPr>
                <w:bCs/>
                <w:color w:val="002060"/>
                <w:sz w:val="16"/>
                <w:szCs w:val="16"/>
              </w:rPr>
            </w:pPr>
          </w:p>
          <w:p w14:paraId="641F230B" w14:textId="77777777" w:rsidR="0064595E" w:rsidRPr="00405303" w:rsidRDefault="0064595E" w:rsidP="00C15251">
            <w:pPr>
              <w:shd w:val="clear" w:color="auto" w:fill="FFFFFF"/>
              <w:jc w:val="both"/>
              <w:rPr>
                <w:bCs/>
                <w:color w:val="002060"/>
                <w:sz w:val="16"/>
                <w:szCs w:val="16"/>
              </w:rPr>
            </w:pPr>
          </w:p>
        </w:tc>
        <w:tc>
          <w:tcPr>
            <w:tcW w:w="1354" w:type="dxa"/>
            <w:tcBorders>
              <w:left w:val="single" w:sz="6" w:space="0" w:color="auto"/>
              <w:right w:val="single" w:sz="6" w:space="0" w:color="auto"/>
            </w:tcBorders>
          </w:tcPr>
          <w:p w14:paraId="199058C8"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367 313</w:t>
            </w:r>
          </w:p>
          <w:p w14:paraId="51AAA6D4" w14:textId="77777777" w:rsidR="0064595E" w:rsidRPr="00405303" w:rsidRDefault="0064595E" w:rsidP="00C15251">
            <w:pPr>
              <w:shd w:val="clear" w:color="auto" w:fill="FFFFFF"/>
              <w:jc w:val="both"/>
              <w:rPr>
                <w:bCs/>
                <w:color w:val="002060"/>
                <w:sz w:val="16"/>
                <w:szCs w:val="16"/>
              </w:rPr>
            </w:pPr>
          </w:p>
        </w:tc>
        <w:tc>
          <w:tcPr>
            <w:tcW w:w="1315" w:type="dxa"/>
            <w:tcBorders>
              <w:left w:val="single" w:sz="6" w:space="0" w:color="auto"/>
              <w:right w:val="single" w:sz="6" w:space="0" w:color="auto"/>
            </w:tcBorders>
          </w:tcPr>
          <w:p w14:paraId="1ACEF95F" w14:textId="77777777" w:rsidR="0064595E" w:rsidRPr="00405303" w:rsidRDefault="0064595E" w:rsidP="00C15251">
            <w:pPr>
              <w:shd w:val="clear" w:color="auto" w:fill="FFFFFF"/>
              <w:jc w:val="both"/>
              <w:rPr>
                <w:bCs/>
                <w:color w:val="002060"/>
                <w:sz w:val="16"/>
                <w:szCs w:val="16"/>
              </w:rPr>
            </w:pPr>
          </w:p>
          <w:p w14:paraId="114169A3" w14:textId="77777777" w:rsidR="0064595E" w:rsidRPr="00405303" w:rsidRDefault="0064595E" w:rsidP="00C15251">
            <w:pPr>
              <w:shd w:val="clear" w:color="auto" w:fill="FFFFFF"/>
              <w:jc w:val="both"/>
              <w:rPr>
                <w:bCs/>
                <w:color w:val="002060"/>
                <w:sz w:val="16"/>
                <w:szCs w:val="16"/>
              </w:rPr>
            </w:pPr>
          </w:p>
        </w:tc>
      </w:tr>
      <w:tr w:rsidR="0064595E" w:rsidRPr="00405303" w14:paraId="224129DE" w14:textId="77777777" w:rsidTr="00D34AC1">
        <w:trPr>
          <w:trHeight w:val="144"/>
        </w:trPr>
        <w:tc>
          <w:tcPr>
            <w:tcW w:w="2467" w:type="dxa"/>
            <w:tcBorders>
              <w:left w:val="single" w:sz="6" w:space="0" w:color="auto"/>
              <w:right w:val="single" w:sz="6" w:space="0" w:color="auto"/>
            </w:tcBorders>
          </w:tcPr>
          <w:p w14:paraId="288C45B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ных аппаратов</w:t>
            </w:r>
          </w:p>
          <w:p w14:paraId="285C491D"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776DB520" w14:textId="77777777" w:rsidR="0064595E" w:rsidRPr="00405303" w:rsidRDefault="0064595E" w:rsidP="00C15251">
            <w:pPr>
              <w:shd w:val="clear" w:color="auto" w:fill="FFFFFF"/>
              <w:jc w:val="both"/>
              <w:rPr>
                <w:bCs/>
                <w:color w:val="002060"/>
                <w:sz w:val="16"/>
                <w:szCs w:val="16"/>
              </w:rPr>
            </w:pPr>
          </w:p>
          <w:p w14:paraId="46CA736D" w14:textId="77777777" w:rsidR="0064595E" w:rsidRPr="00405303" w:rsidRDefault="0064595E" w:rsidP="00C15251">
            <w:pPr>
              <w:shd w:val="clear" w:color="auto" w:fill="FFFFFF"/>
              <w:jc w:val="both"/>
              <w:rPr>
                <w:bCs/>
                <w:color w:val="002060"/>
                <w:sz w:val="16"/>
                <w:szCs w:val="16"/>
              </w:rPr>
            </w:pPr>
          </w:p>
        </w:tc>
        <w:tc>
          <w:tcPr>
            <w:tcW w:w="1373" w:type="dxa"/>
            <w:tcBorders>
              <w:left w:val="single" w:sz="6" w:space="0" w:color="auto"/>
              <w:right w:val="single" w:sz="6" w:space="0" w:color="auto"/>
            </w:tcBorders>
          </w:tcPr>
          <w:p w14:paraId="5FBAFE87" w14:textId="77777777" w:rsidR="0064595E" w:rsidRPr="00405303" w:rsidRDefault="0064595E" w:rsidP="00C15251">
            <w:pPr>
              <w:shd w:val="clear" w:color="auto" w:fill="FFFFFF"/>
              <w:jc w:val="both"/>
              <w:rPr>
                <w:bCs/>
                <w:color w:val="002060"/>
                <w:sz w:val="16"/>
                <w:szCs w:val="16"/>
              </w:rPr>
            </w:pPr>
          </w:p>
          <w:p w14:paraId="23C36A65" w14:textId="77777777" w:rsidR="0064595E" w:rsidRPr="00405303" w:rsidRDefault="0064595E" w:rsidP="00C15251">
            <w:pPr>
              <w:shd w:val="clear" w:color="auto" w:fill="FFFFFF"/>
              <w:jc w:val="both"/>
              <w:rPr>
                <w:bCs/>
                <w:color w:val="002060"/>
                <w:sz w:val="16"/>
                <w:szCs w:val="16"/>
              </w:rPr>
            </w:pPr>
          </w:p>
        </w:tc>
        <w:tc>
          <w:tcPr>
            <w:tcW w:w="1354" w:type="dxa"/>
            <w:tcBorders>
              <w:left w:val="single" w:sz="6" w:space="0" w:color="auto"/>
              <w:right w:val="single" w:sz="6" w:space="0" w:color="auto"/>
            </w:tcBorders>
          </w:tcPr>
          <w:p w14:paraId="1AD56701" w14:textId="77777777" w:rsidR="0064595E" w:rsidRPr="00405303" w:rsidRDefault="0064595E" w:rsidP="00C15251">
            <w:pPr>
              <w:shd w:val="clear" w:color="auto" w:fill="FFFFFF"/>
              <w:jc w:val="both"/>
              <w:rPr>
                <w:bCs/>
                <w:color w:val="002060"/>
                <w:sz w:val="16"/>
                <w:szCs w:val="16"/>
              </w:rPr>
            </w:pPr>
          </w:p>
          <w:p w14:paraId="07DD61B1" w14:textId="77777777" w:rsidR="0064595E" w:rsidRPr="00405303" w:rsidRDefault="0064595E" w:rsidP="00C15251">
            <w:pPr>
              <w:shd w:val="clear" w:color="auto" w:fill="FFFFFF"/>
              <w:jc w:val="both"/>
              <w:rPr>
                <w:bCs/>
                <w:color w:val="002060"/>
                <w:sz w:val="16"/>
                <w:szCs w:val="16"/>
              </w:rPr>
            </w:pPr>
          </w:p>
        </w:tc>
        <w:tc>
          <w:tcPr>
            <w:tcW w:w="1315" w:type="dxa"/>
            <w:tcBorders>
              <w:left w:val="single" w:sz="6" w:space="0" w:color="auto"/>
              <w:right w:val="single" w:sz="6" w:space="0" w:color="auto"/>
            </w:tcBorders>
          </w:tcPr>
          <w:p w14:paraId="52F96BFC" w14:textId="77777777" w:rsidR="0064595E" w:rsidRPr="00405303" w:rsidRDefault="0064595E" w:rsidP="00C15251">
            <w:pPr>
              <w:shd w:val="clear" w:color="auto" w:fill="FFFFFF"/>
              <w:jc w:val="both"/>
              <w:rPr>
                <w:bCs/>
                <w:color w:val="002060"/>
                <w:sz w:val="16"/>
                <w:szCs w:val="16"/>
              </w:rPr>
            </w:pPr>
          </w:p>
          <w:p w14:paraId="45B09496" w14:textId="77777777" w:rsidR="0064595E" w:rsidRPr="00405303" w:rsidRDefault="0064595E" w:rsidP="00C15251">
            <w:pPr>
              <w:shd w:val="clear" w:color="auto" w:fill="FFFFFF"/>
              <w:jc w:val="both"/>
              <w:rPr>
                <w:bCs/>
                <w:color w:val="002060"/>
                <w:sz w:val="16"/>
                <w:szCs w:val="16"/>
              </w:rPr>
            </w:pPr>
          </w:p>
        </w:tc>
      </w:tr>
      <w:tr w:rsidR="0064595E" w:rsidRPr="00405303" w14:paraId="61CD2AE0" w14:textId="77777777" w:rsidTr="00D34AC1">
        <w:trPr>
          <w:trHeight w:val="192"/>
        </w:trPr>
        <w:tc>
          <w:tcPr>
            <w:tcW w:w="2467" w:type="dxa"/>
            <w:tcBorders>
              <w:left w:val="single" w:sz="6" w:space="0" w:color="auto"/>
              <w:right w:val="single" w:sz="6" w:space="0" w:color="auto"/>
            </w:tcBorders>
          </w:tcPr>
          <w:p w14:paraId="38EFE84A"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6. Оружие и принадлежно-</w:t>
            </w:r>
          </w:p>
          <w:p w14:paraId="66AF3306"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6A456CB5"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16 892</w:t>
            </w:r>
          </w:p>
          <w:p w14:paraId="04683B71" w14:textId="77777777" w:rsidR="0064595E" w:rsidRPr="00405303" w:rsidRDefault="0064595E" w:rsidP="00C15251">
            <w:pPr>
              <w:shd w:val="clear" w:color="auto" w:fill="FFFFFF"/>
              <w:jc w:val="both"/>
              <w:rPr>
                <w:bCs/>
                <w:color w:val="002060"/>
                <w:sz w:val="16"/>
                <w:szCs w:val="16"/>
              </w:rPr>
            </w:pPr>
          </w:p>
        </w:tc>
        <w:tc>
          <w:tcPr>
            <w:tcW w:w="1373" w:type="dxa"/>
            <w:tcBorders>
              <w:left w:val="single" w:sz="6" w:space="0" w:color="auto"/>
              <w:right w:val="single" w:sz="6" w:space="0" w:color="auto"/>
            </w:tcBorders>
          </w:tcPr>
          <w:p w14:paraId="2DBD0FC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296</w:t>
            </w:r>
          </w:p>
          <w:p w14:paraId="49141CB0" w14:textId="77777777" w:rsidR="0064595E" w:rsidRPr="00405303" w:rsidRDefault="0064595E" w:rsidP="00C15251">
            <w:pPr>
              <w:shd w:val="clear" w:color="auto" w:fill="FFFFFF"/>
              <w:jc w:val="both"/>
              <w:rPr>
                <w:bCs/>
                <w:color w:val="002060"/>
                <w:sz w:val="16"/>
                <w:szCs w:val="16"/>
              </w:rPr>
            </w:pPr>
          </w:p>
        </w:tc>
        <w:tc>
          <w:tcPr>
            <w:tcW w:w="1354" w:type="dxa"/>
            <w:tcBorders>
              <w:left w:val="single" w:sz="6" w:space="0" w:color="auto"/>
              <w:right w:val="single" w:sz="6" w:space="0" w:color="auto"/>
            </w:tcBorders>
          </w:tcPr>
          <w:p w14:paraId="239D7763"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2 477 888</w:t>
            </w:r>
          </w:p>
          <w:p w14:paraId="6AF9D692" w14:textId="77777777" w:rsidR="0064595E" w:rsidRPr="00405303" w:rsidRDefault="0064595E" w:rsidP="00C15251">
            <w:pPr>
              <w:shd w:val="clear" w:color="auto" w:fill="FFFFFF"/>
              <w:jc w:val="both"/>
              <w:rPr>
                <w:bCs/>
                <w:color w:val="002060"/>
                <w:sz w:val="16"/>
                <w:szCs w:val="16"/>
              </w:rPr>
            </w:pPr>
          </w:p>
        </w:tc>
        <w:tc>
          <w:tcPr>
            <w:tcW w:w="1315" w:type="dxa"/>
            <w:tcBorders>
              <w:left w:val="single" w:sz="6" w:space="0" w:color="auto"/>
              <w:right w:val="single" w:sz="6" w:space="0" w:color="auto"/>
            </w:tcBorders>
          </w:tcPr>
          <w:p w14:paraId="0DA9956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24 443</w:t>
            </w:r>
          </w:p>
          <w:p w14:paraId="3DD65023" w14:textId="77777777" w:rsidR="0064595E" w:rsidRPr="00405303" w:rsidRDefault="0064595E" w:rsidP="00C15251">
            <w:pPr>
              <w:shd w:val="clear" w:color="auto" w:fill="FFFFFF"/>
              <w:jc w:val="both"/>
              <w:rPr>
                <w:bCs/>
                <w:color w:val="002060"/>
                <w:sz w:val="16"/>
                <w:szCs w:val="16"/>
              </w:rPr>
            </w:pPr>
          </w:p>
        </w:tc>
      </w:tr>
      <w:tr w:rsidR="0064595E" w:rsidRPr="00405303" w14:paraId="7F314662" w14:textId="77777777" w:rsidTr="00D34AC1">
        <w:trPr>
          <w:trHeight w:val="144"/>
        </w:trPr>
        <w:tc>
          <w:tcPr>
            <w:tcW w:w="2467" w:type="dxa"/>
            <w:tcBorders>
              <w:left w:val="single" w:sz="6" w:space="0" w:color="auto"/>
              <w:right w:val="single" w:sz="6" w:space="0" w:color="auto"/>
            </w:tcBorders>
          </w:tcPr>
          <w:p w14:paraId="16F2BD40"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сти к нему</w:t>
            </w:r>
          </w:p>
          <w:p w14:paraId="79530CF9"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0225ACAA" w14:textId="77777777" w:rsidR="0064595E" w:rsidRPr="00405303" w:rsidRDefault="0064595E" w:rsidP="00C15251">
            <w:pPr>
              <w:shd w:val="clear" w:color="auto" w:fill="FFFFFF"/>
              <w:jc w:val="both"/>
              <w:rPr>
                <w:bCs/>
                <w:color w:val="002060"/>
                <w:sz w:val="16"/>
                <w:szCs w:val="16"/>
              </w:rPr>
            </w:pPr>
          </w:p>
          <w:p w14:paraId="7A5DA123" w14:textId="77777777" w:rsidR="0064595E" w:rsidRPr="00405303" w:rsidRDefault="0064595E" w:rsidP="00C15251">
            <w:pPr>
              <w:shd w:val="clear" w:color="auto" w:fill="FFFFFF"/>
              <w:jc w:val="both"/>
              <w:rPr>
                <w:bCs/>
                <w:color w:val="002060"/>
                <w:sz w:val="16"/>
                <w:szCs w:val="16"/>
              </w:rPr>
            </w:pPr>
          </w:p>
        </w:tc>
        <w:tc>
          <w:tcPr>
            <w:tcW w:w="1373" w:type="dxa"/>
            <w:tcBorders>
              <w:left w:val="single" w:sz="6" w:space="0" w:color="auto"/>
              <w:right w:val="single" w:sz="6" w:space="0" w:color="auto"/>
            </w:tcBorders>
          </w:tcPr>
          <w:p w14:paraId="74FBC26F" w14:textId="77777777" w:rsidR="0064595E" w:rsidRPr="00405303" w:rsidRDefault="0064595E" w:rsidP="00C15251">
            <w:pPr>
              <w:shd w:val="clear" w:color="auto" w:fill="FFFFFF"/>
              <w:jc w:val="both"/>
              <w:rPr>
                <w:bCs/>
                <w:color w:val="002060"/>
                <w:sz w:val="16"/>
                <w:szCs w:val="16"/>
              </w:rPr>
            </w:pPr>
          </w:p>
          <w:p w14:paraId="795F23DE" w14:textId="77777777" w:rsidR="0064595E" w:rsidRPr="00405303" w:rsidRDefault="0064595E" w:rsidP="00C15251">
            <w:pPr>
              <w:shd w:val="clear" w:color="auto" w:fill="FFFFFF"/>
              <w:jc w:val="both"/>
              <w:rPr>
                <w:bCs/>
                <w:color w:val="002060"/>
                <w:sz w:val="16"/>
                <w:szCs w:val="16"/>
              </w:rPr>
            </w:pPr>
          </w:p>
        </w:tc>
        <w:tc>
          <w:tcPr>
            <w:tcW w:w="1354" w:type="dxa"/>
            <w:tcBorders>
              <w:left w:val="single" w:sz="6" w:space="0" w:color="auto"/>
              <w:right w:val="single" w:sz="6" w:space="0" w:color="auto"/>
            </w:tcBorders>
          </w:tcPr>
          <w:p w14:paraId="51EFEC1D" w14:textId="77777777" w:rsidR="0064595E" w:rsidRPr="00405303" w:rsidRDefault="0064595E" w:rsidP="00C15251">
            <w:pPr>
              <w:shd w:val="clear" w:color="auto" w:fill="FFFFFF"/>
              <w:jc w:val="both"/>
              <w:rPr>
                <w:bCs/>
                <w:color w:val="002060"/>
                <w:sz w:val="16"/>
                <w:szCs w:val="16"/>
              </w:rPr>
            </w:pPr>
          </w:p>
          <w:p w14:paraId="7C420719" w14:textId="77777777" w:rsidR="0064595E" w:rsidRPr="00405303" w:rsidRDefault="0064595E" w:rsidP="00C15251">
            <w:pPr>
              <w:shd w:val="clear" w:color="auto" w:fill="FFFFFF"/>
              <w:jc w:val="both"/>
              <w:rPr>
                <w:bCs/>
                <w:color w:val="002060"/>
                <w:sz w:val="16"/>
                <w:szCs w:val="16"/>
              </w:rPr>
            </w:pPr>
          </w:p>
        </w:tc>
        <w:tc>
          <w:tcPr>
            <w:tcW w:w="1315" w:type="dxa"/>
            <w:tcBorders>
              <w:left w:val="single" w:sz="6" w:space="0" w:color="auto"/>
              <w:right w:val="single" w:sz="6" w:space="0" w:color="auto"/>
            </w:tcBorders>
          </w:tcPr>
          <w:p w14:paraId="0C173FDF" w14:textId="77777777" w:rsidR="0064595E" w:rsidRPr="00405303" w:rsidRDefault="0064595E" w:rsidP="00C15251">
            <w:pPr>
              <w:shd w:val="clear" w:color="auto" w:fill="FFFFFF"/>
              <w:jc w:val="both"/>
              <w:rPr>
                <w:bCs/>
                <w:color w:val="002060"/>
                <w:sz w:val="16"/>
                <w:szCs w:val="16"/>
              </w:rPr>
            </w:pPr>
          </w:p>
          <w:p w14:paraId="72FA162A" w14:textId="77777777" w:rsidR="0064595E" w:rsidRPr="00405303" w:rsidRDefault="0064595E" w:rsidP="00C15251">
            <w:pPr>
              <w:shd w:val="clear" w:color="auto" w:fill="FFFFFF"/>
              <w:jc w:val="both"/>
              <w:rPr>
                <w:bCs/>
                <w:color w:val="002060"/>
                <w:sz w:val="16"/>
                <w:szCs w:val="16"/>
              </w:rPr>
            </w:pPr>
          </w:p>
        </w:tc>
      </w:tr>
      <w:tr w:rsidR="0064595E" w:rsidRPr="00405303" w14:paraId="20491A46" w14:textId="77777777" w:rsidTr="00D34AC1">
        <w:trPr>
          <w:trHeight w:val="163"/>
        </w:trPr>
        <w:tc>
          <w:tcPr>
            <w:tcW w:w="2467" w:type="dxa"/>
            <w:tcBorders>
              <w:left w:val="single" w:sz="6" w:space="0" w:color="auto"/>
              <w:right w:val="single" w:sz="6" w:space="0" w:color="auto"/>
            </w:tcBorders>
          </w:tcPr>
          <w:p w14:paraId="20662AF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7. Автомобилей</w:t>
            </w:r>
          </w:p>
          <w:p w14:paraId="0A8C22D3"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3D20B63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5416</w:t>
            </w:r>
          </w:p>
          <w:p w14:paraId="2AFC4E34" w14:textId="77777777" w:rsidR="0064595E" w:rsidRPr="00405303" w:rsidRDefault="0064595E" w:rsidP="00C15251">
            <w:pPr>
              <w:shd w:val="clear" w:color="auto" w:fill="FFFFFF"/>
              <w:jc w:val="both"/>
              <w:rPr>
                <w:bCs/>
                <w:color w:val="002060"/>
                <w:sz w:val="16"/>
                <w:szCs w:val="16"/>
              </w:rPr>
            </w:pPr>
          </w:p>
        </w:tc>
        <w:tc>
          <w:tcPr>
            <w:tcW w:w="1373" w:type="dxa"/>
            <w:tcBorders>
              <w:left w:val="single" w:sz="6" w:space="0" w:color="auto"/>
              <w:right w:val="single" w:sz="6" w:space="0" w:color="auto"/>
            </w:tcBorders>
          </w:tcPr>
          <w:p w14:paraId="2C50E706"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207</w:t>
            </w:r>
          </w:p>
          <w:p w14:paraId="36BBAB9E" w14:textId="77777777" w:rsidR="0064595E" w:rsidRPr="00405303" w:rsidRDefault="0064595E" w:rsidP="00C15251">
            <w:pPr>
              <w:shd w:val="clear" w:color="auto" w:fill="FFFFFF"/>
              <w:jc w:val="both"/>
              <w:rPr>
                <w:bCs/>
                <w:color w:val="002060"/>
                <w:sz w:val="16"/>
                <w:szCs w:val="16"/>
              </w:rPr>
            </w:pPr>
          </w:p>
        </w:tc>
        <w:tc>
          <w:tcPr>
            <w:tcW w:w="1354" w:type="dxa"/>
            <w:tcBorders>
              <w:left w:val="single" w:sz="6" w:space="0" w:color="auto"/>
              <w:right w:val="single" w:sz="6" w:space="0" w:color="auto"/>
            </w:tcBorders>
          </w:tcPr>
          <w:p w14:paraId="58B3AF74"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17 380 770</w:t>
            </w:r>
          </w:p>
          <w:p w14:paraId="005ED3EE" w14:textId="77777777" w:rsidR="0064595E" w:rsidRPr="00405303" w:rsidRDefault="0064595E" w:rsidP="00C15251">
            <w:pPr>
              <w:shd w:val="clear" w:color="auto" w:fill="FFFFFF"/>
              <w:jc w:val="both"/>
              <w:rPr>
                <w:bCs/>
                <w:color w:val="002060"/>
                <w:sz w:val="16"/>
                <w:szCs w:val="16"/>
              </w:rPr>
            </w:pPr>
          </w:p>
        </w:tc>
        <w:tc>
          <w:tcPr>
            <w:tcW w:w="1315" w:type="dxa"/>
            <w:tcBorders>
              <w:left w:val="single" w:sz="6" w:space="0" w:color="auto"/>
              <w:right w:val="single" w:sz="6" w:space="0" w:color="auto"/>
            </w:tcBorders>
          </w:tcPr>
          <w:p w14:paraId="50F4FC52"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559 299</w:t>
            </w:r>
          </w:p>
          <w:p w14:paraId="6180ABBB" w14:textId="77777777" w:rsidR="0064595E" w:rsidRPr="00405303" w:rsidRDefault="0064595E" w:rsidP="00C15251">
            <w:pPr>
              <w:shd w:val="clear" w:color="auto" w:fill="FFFFFF"/>
              <w:jc w:val="both"/>
              <w:rPr>
                <w:bCs/>
                <w:color w:val="002060"/>
                <w:sz w:val="16"/>
                <w:szCs w:val="16"/>
              </w:rPr>
            </w:pPr>
          </w:p>
        </w:tc>
      </w:tr>
      <w:tr w:rsidR="0064595E" w:rsidRPr="00405303" w14:paraId="267CCBB7" w14:textId="77777777" w:rsidTr="00D34AC1">
        <w:trPr>
          <w:trHeight w:val="192"/>
        </w:trPr>
        <w:tc>
          <w:tcPr>
            <w:tcW w:w="2467" w:type="dxa"/>
            <w:tcBorders>
              <w:left w:val="single" w:sz="6" w:space="0" w:color="auto"/>
              <w:right w:val="single" w:sz="6" w:space="0" w:color="auto"/>
            </w:tcBorders>
          </w:tcPr>
          <w:p w14:paraId="2F81B424"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8. Мотоциклетов и велоси-</w:t>
            </w:r>
          </w:p>
          <w:p w14:paraId="1DE89236"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7E3DDFE1"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20 176</w:t>
            </w:r>
          </w:p>
          <w:p w14:paraId="26C2B8C5" w14:textId="77777777" w:rsidR="0064595E" w:rsidRPr="00405303" w:rsidRDefault="0064595E" w:rsidP="00C15251">
            <w:pPr>
              <w:shd w:val="clear" w:color="auto" w:fill="FFFFFF"/>
              <w:jc w:val="both"/>
              <w:rPr>
                <w:bCs/>
                <w:color w:val="002060"/>
                <w:sz w:val="16"/>
                <w:szCs w:val="16"/>
              </w:rPr>
            </w:pPr>
          </w:p>
        </w:tc>
        <w:tc>
          <w:tcPr>
            <w:tcW w:w="1373" w:type="dxa"/>
            <w:tcBorders>
              <w:left w:val="single" w:sz="6" w:space="0" w:color="auto"/>
              <w:right w:val="single" w:sz="6" w:space="0" w:color="auto"/>
            </w:tcBorders>
          </w:tcPr>
          <w:p w14:paraId="17372520"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345</w:t>
            </w:r>
          </w:p>
          <w:p w14:paraId="39980202" w14:textId="77777777" w:rsidR="0064595E" w:rsidRPr="00405303" w:rsidRDefault="0064595E" w:rsidP="00C15251">
            <w:pPr>
              <w:shd w:val="clear" w:color="auto" w:fill="FFFFFF"/>
              <w:jc w:val="both"/>
              <w:rPr>
                <w:bCs/>
                <w:color w:val="002060"/>
                <w:sz w:val="16"/>
                <w:szCs w:val="16"/>
              </w:rPr>
            </w:pPr>
          </w:p>
        </w:tc>
        <w:tc>
          <w:tcPr>
            <w:tcW w:w="1354" w:type="dxa"/>
            <w:tcBorders>
              <w:left w:val="single" w:sz="6" w:space="0" w:color="auto"/>
              <w:right w:val="single" w:sz="6" w:space="0" w:color="auto"/>
            </w:tcBorders>
          </w:tcPr>
          <w:p w14:paraId="1791E836"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2 471 891</w:t>
            </w:r>
          </w:p>
          <w:p w14:paraId="53861F28" w14:textId="77777777" w:rsidR="0064595E" w:rsidRPr="00405303" w:rsidRDefault="0064595E" w:rsidP="00C15251">
            <w:pPr>
              <w:shd w:val="clear" w:color="auto" w:fill="FFFFFF"/>
              <w:jc w:val="both"/>
              <w:rPr>
                <w:bCs/>
                <w:color w:val="002060"/>
                <w:sz w:val="16"/>
                <w:szCs w:val="16"/>
              </w:rPr>
            </w:pPr>
          </w:p>
        </w:tc>
        <w:tc>
          <w:tcPr>
            <w:tcW w:w="1315" w:type="dxa"/>
            <w:tcBorders>
              <w:left w:val="single" w:sz="6" w:space="0" w:color="auto"/>
              <w:right w:val="single" w:sz="6" w:space="0" w:color="auto"/>
            </w:tcBorders>
          </w:tcPr>
          <w:p w14:paraId="5B661C91"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34 83</w:t>
            </w:r>
          </w:p>
          <w:p w14:paraId="7762DB1C" w14:textId="77777777" w:rsidR="0064595E" w:rsidRPr="00405303" w:rsidRDefault="0064595E" w:rsidP="00C15251">
            <w:pPr>
              <w:shd w:val="clear" w:color="auto" w:fill="FFFFFF"/>
              <w:jc w:val="both"/>
              <w:rPr>
                <w:bCs/>
                <w:color w:val="002060"/>
                <w:sz w:val="16"/>
                <w:szCs w:val="16"/>
              </w:rPr>
            </w:pPr>
          </w:p>
        </w:tc>
      </w:tr>
      <w:tr w:rsidR="0064595E" w:rsidRPr="00405303" w14:paraId="712A9503" w14:textId="77777777" w:rsidTr="00D34AC1">
        <w:trPr>
          <w:trHeight w:val="154"/>
        </w:trPr>
        <w:tc>
          <w:tcPr>
            <w:tcW w:w="2467" w:type="dxa"/>
            <w:tcBorders>
              <w:left w:val="single" w:sz="6" w:space="0" w:color="auto"/>
              <w:right w:val="single" w:sz="6" w:space="0" w:color="auto"/>
            </w:tcBorders>
          </w:tcPr>
          <w:p w14:paraId="1C9FFFC7"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педов</w:t>
            </w:r>
          </w:p>
          <w:p w14:paraId="41243608"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2539A859" w14:textId="77777777" w:rsidR="0064595E" w:rsidRPr="00405303" w:rsidRDefault="0064595E" w:rsidP="00C15251">
            <w:pPr>
              <w:shd w:val="clear" w:color="auto" w:fill="FFFFFF"/>
              <w:jc w:val="both"/>
              <w:rPr>
                <w:bCs/>
                <w:color w:val="002060"/>
                <w:sz w:val="16"/>
                <w:szCs w:val="16"/>
              </w:rPr>
            </w:pPr>
          </w:p>
          <w:p w14:paraId="2FFC3733" w14:textId="77777777" w:rsidR="0064595E" w:rsidRPr="00405303" w:rsidRDefault="0064595E" w:rsidP="00C15251">
            <w:pPr>
              <w:shd w:val="clear" w:color="auto" w:fill="FFFFFF"/>
              <w:jc w:val="both"/>
              <w:rPr>
                <w:bCs/>
                <w:color w:val="002060"/>
                <w:sz w:val="16"/>
                <w:szCs w:val="16"/>
              </w:rPr>
            </w:pPr>
          </w:p>
        </w:tc>
        <w:tc>
          <w:tcPr>
            <w:tcW w:w="1373" w:type="dxa"/>
            <w:tcBorders>
              <w:left w:val="single" w:sz="6" w:space="0" w:color="auto"/>
              <w:right w:val="single" w:sz="6" w:space="0" w:color="auto"/>
            </w:tcBorders>
          </w:tcPr>
          <w:p w14:paraId="79DE6356" w14:textId="77777777" w:rsidR="0064595E" w:rsidRPr="00405303" w:rsidRDefault="0064595E" w:rsidP="00C15251">
            <w:pPr>
              <w:shd w:val="clear" w:color="auto" w:fill="FFFFFF"/>
              <w:jc w:val="both"/>
              <w:rPr>
                <w:bCs/>
                <w:color w:val="002060"/>
                <w:sz w:val="16"/>
                <w:szCs w:val="16"/>
              </w:rPr>
            </w:pPr>
          </w:p>
          <w:p w14:paraId="6395C2D7" w14:textId="77777777" w:rsidR="0064595E" w:rsidRPr="00405303" w:rsidRDefault="0064595E" w:rsidP="00C15251">
            <w:pPr>
              <w:shd w:val="clear" w:color="auto" w:fill="FFFFFF"/>
              <w:jc w:val="both"/>
              <w:rPr>
                <w:bCs/>
                <w:color w:val="002060"/>
                <w:sz w:val="16"/>
                <w:szCs w:val="16"/>
              </w:rPr>
            </w:pPr>
          </w:p>
        </w:tc>
        <w:tc>
          <w:tcPr>
            <w:tcW w:w="1354" w:type="dxa"/>
            <w:tcBorders>
              <w:left w:val="single" w:sz="6" w:space="0" w:color="auto"/>
              <w:right w:val="single" w:sz="6" w:space="0" w:color="auto"/>
            </w:tcBorders>
          </w:tcPr>
          <w:p w14:paraId="0360A1D4" w14:textId="77777777" w:rsidR="0064595E" w:rsidRPr="00405303" w:rsidRDefault="0064595E" w:rsidP="00C15251">
            <w:pPr>
              <w:shd w:val="clear" w:color="auto" w:fill="FFFFFF"/>
              <w:jc w:val="both"/>
              <w:rPr>
                <w:bCs/>
                <w:color w:val="002060"/>
                <w:sz w:val="16"/>
                <w:szCs w:val="16"/>
              </w:rPr>
            </w:pPr>
          </w:p>
          <w:p w14:paraId="2D2CEED3" w14:textId="77777777" w:rsidR="0064595E" w:rsidRPr="00405303" w:rsidRDefault="0064595E" w:rsidP="00C15251">
            <w:pPr>
              <w:shd w:val="clear" w:color="auto" w:fill="FFFFFF"/>
              <w:jc w:val="both"/>
              <w:rPr>
                <w:bCs/>
                <w:color w:val="002060"/>
                <w:sz w:val="16"/>
                <w:szCs w:val="16"/>
              </w:rPr>
            </w:pPr>
          </w:p>
        </w:tc>
        <w:tc>
          <w:tcPr>
            <w:tcW w:w="1315" w:type="dxa"/>
            <w:tcBorders>
              <w:left w:val="single" w:sz="6" w:space="0" w:color="auto"/>
              <w:right w:val="single" w:sz="6" w:space="0" w:color="auto"/>
            </w:tcBorders>
          </w:tcPr>
          <w:p w14:paraId="2FD2DFF5" w14:textId="77777777" w:rsidR="0064595E" w:rsidRPr="00405303" w:rsidRDefault="0064595E" w:rsidP="00C15251">
            <w:pPr>
              <w:shd w:val="clear" w:color="auto" w:fill="FFFFFF"/>
              <w:jc w:val="both"/>
              <w:rPr>
                <w:bCs/>
                <w:color w:val="002060"/>
                <w:sz w:val="16"/>
                <w:szCs w:val="16"/>
              </w:rPr>
            </w:pPr>
          </w:p>
          <w:p w14:paraId="47E68289" w14:textId="77777777" w:rsidR="0064595E" w:rsidRPr="00405303" w:rsidRDefault="0064595E" w:rsidP="00C15251">
            <w:pPr>
              <w:shd w:val="clear" w:color="auto" w:fill="FFFFFF"/>
              <w:jc w:val="both"/>
              <w:rPr>
                <w:bCs/>
                <w:color w:val="002060"/>
                <w:sz w:val="16"/>
                <w:szCs w:val="16"/>
              </w:rPr>
            </w:pPr>
          </w:p>
        </w:tc>
      </w:tr>
      <w:tr w:rsidR="0064595E" w:rsidRPr="00405303" w14:paraId="171CA14D" w14:textId="77777777" w:rsidTr="00D34AC1">
        <w:trPr>
          <w:trHeight w:val="173"/>
        </w:trPr>
        <w:tc>
          <w:tcPr>
            <w:tcW w:w="2467" w:type="dxa"/>
            <w:tcBorders>
              <w:left w:val="single" w:sz="6" w:space="0" w:color="auto"/>
              <w:right w:val="single" w:sz="6" w:space="0" w:color="auto"/>
            </w:tcBorders>
          </w:tcPr>
          <w:p w14:paraId="09A38CBA"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9. Вагонов, железнодорож-</w:t>
            </w:r>
          </w:p>
          <w:p w14:paraId="625A8021"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44F2538C" w14:textId="77777777" w:rsidR="0064595E" w:rsidRPr="00405303" w:rsidRDefault="0064595E" w:rsidP="00C15251">
            <w:pPr>
              <w:shd w:val="clear" w:color="auto" w:fill="FFFFFF"/>
              <w:jc w:val="both"/>
              <w:rPr>
                <w:bCs/>
                <w:color w:val="002060"/>
                <w:sz w:val="16"/>
                <w:szCs w:val="16"/>
              </w:rPr>
            </w:pPr>
          </w:p>
          <w:p w14:paraId="1F7BE85F" w14:textId="77777777" w:rsidR="0064595E" w:rsidRPr="00405303" w:rsidRDefault="0064595E" w:rsidP="00C15251">
            <w:pPr>
              <w:shd w:val="clear" w:color="auto" w:fill="FFFFFF"/>
              <w:jc w:val="both"/>
              <w:rPr>
                <w:bCs/>
                <w:color w:val="002060"/>
                <w:sz w:val="16"/>
                <w:szCs w:val="16"/>
              </w:rPr>
            </w:pPr>
          </w:p>
        </w:tc>
        <w:tc>
          <w:tcPr>
            <w:tcW w:w="1373" w:type="dxa"/>
            <w:tcBorders>
              <w:left w:val="single" w:sz="6" w:space="0" w:color="auto"/>
              <w:right w:val="single" w:sz="6" w:space="0" w:color="auto"/>
            </w:tcBorders>
          </w:tcPr>
          <w:p w14:paraId="6F8E3510" w14:textId="77777777" w:rsidR="0064595E" w:rsidRPr="00405303" w:rsidRDefault="0064595E" w:rsidP="00C15251">
            <w:pPr>
              <w:shd w:val="clear" w:color="auto" w:fill="FFFFFF"/>
              <w:jc w:val="both"/>
              <w:rPr>
                <w:bCs/>
                <w:color w:val="002060"/>
                <w:sz w:val="16"/>
                <w:szCs w:val="16"/>
              </w:rPr>
            </w:pPr>
          </w:p>
          <w:p w14:paraId="3D969BA0" w14:textId="77777777" w:rsidR="0064595E" w:rsidRPr="00405303" w:rsidRDefault="0064595E" w:rsidP="00C15251">
            <w:pPr>
              <w:shd w:val="clear" w:color="auto" w:fill="FFFFFF"/>
              <w:jc w:val="both"/>
              <w:rPr>
                <w:bCs/>
                <w:color w:val="002060"/>
                <w:sz w:val="16"/>
                <w:szCs w:val="16"/>
              </w:rPr>
            </w:pPr>
          </w:p>
        </w:tc>
        <w:tc>
          <w:tcPr>
            <w:tcW w:w="1354" w:type="dxa"/>
            <w:tcBorders>
              <w:left w:val="single" w:sz="6" w:space="0" w:color="auto"/>
              <w:right w:val="single" w:sz="6" w:space="0" w:color="auto"/>
            </w:tcBorders>
          </w:tcPr>
          <w:p w14:paraId="55DD29DB" w14:textId="77777777" w:rsidR="0064595E" w:rsidRPr="00405303" w:rsidRDefault="0064595E" w:rsidP="00C15251">
            <w:pPr>
              <w:shd w:val="clear" w:color="auto" w:fill="FFFFFF"/>
              <w:jc w:val="both"/>
              <w:rPr>
                <w:bCs/>
                <w:color w:val="002060"/>
                <w:sz w:val="16"/>
                <w:szCs w:val="16"/>
              </w:rPr>
            </w:pPr>
          </w:p>
          <w:p w14:paraId="209BA382" w14:textId="77777777" w:rsidR="0064595E" w:rsidRPr="00405303" w:rsidRDefault="0064595E" w:rsidP="00C15251">
            <w:pPr>
              <w:shd w:val="clear" w:color="auto" w:fill="FFFFFF"/>
              <w:jc w:val="both"/>
              <w:rPr>
                <w:bCs/>
                <w:color w:val="002060"/>
                <w:sz w:val="16"/>
                <w:szCs w:val="16"/>
              </w:rPr>
            </w:pPr>
          </w:p>
        </w:tc>
        <w:tc>
          <w:tcPr>
            <w:tcW w:w="1315" w:type="dxa"/>
            <w:tcBorders>
              <w:left w:val="single" w:sz="6" w:space="0" w:color="auto"/>
              <w:right w:val="single" w:sz="6" w:space="0" w:color="auto"/>
            </w:tcBorders>
          </w:tcPr>
          <w:p w14:paraId="0DDC69C0" w14:textId="77777777" w:rsidR="0064595E" w:rsidRPr="00405303" w:rsidRDefault="0064595E" w:rsidP="00C15251">
            <w:pPr>
              <w:shd w:val="clear" w:color="auto" w:fill="FFFFFF"/>
              <w:jc w:val="both"/>
              <w:rPr>
                <w:bCs/>
                <w:color w:val="002060"/>
                <w:sz w:val="16"/>
                <w:szCs w:val="16"/>
              </w:rPr>
            </w:pPr>
          </w:p>
          <w:p w14:paraId="5BD1B514" w14:textId="77777777" w:rsidR="0064595E" w:rsidRPr="00405303" w:rsidRDefault="0064595E" w:rsidP="00C15251">
            <w:pPr>
              <w:shd w:val="clear" w:color="auto" w:fill="FFFFFF"/>
              <w:jc w:val="both"/>
              <w:rPr>
                <w:bCs/>
                <w:color w:val="002060"/>
                <w:sz w:val="16"/>
                <w:szCs w:val="16"/>
              </w:rPr>
            </w:pPr>
          </w:p>
        </w:tc>
      </w:tr>
      <w:tr w:rsidR="0064595E" w:rsidRPr="00405303" w14:paraId="6847E8B5" w14:textId="77777777" w:rsidTr="00D34AC1">
        <w:trPr>
          <w:trHeight w:val="192"/>
        </w:trPr>
        <w:tc>
          <w:tcPr>
            <w:tcW w:w="2467" w:type="dxa"/>
            <w:tcBorders>
              <w:left w:val="single" w:sz="6" w:space="0" w:color="auto"/>
              <w:right w:val="single" w:sz="6" w:space="0" w:color="auto"/>
            </w:tcBorders>
          </w:tcPr>
          <w:p w14:paraId="4064C311"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ных платформ, цистерн</w:t>
            </w:r>
          </w:p>
          <w:p w14:paraId="749C3093"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27006998"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249</w:t>
            </w:r>
          </w:p>
          <w:p w14:paraId="55DFBF2A" w14:textId="77777777" w:rsidR="0064595E" w:rsidRPr="00405303" w:rsidRDefault="0064595E" w:rsidP="00C15251">
            <w:pPr>
              <w:shd w:val="clear" w:color="auto" w:fill="FFFFFF"/>
              <w:jc w:val="both"/>
              <w:rPr>
                <w:bCs/>
                <w:color w:val="002060"/>
                <w:sz w:val="16"/>
                <w:szCs w:val="16"/>
              </w:rPr>
            </w:pPr>
          </w:p>
        </w:tc>
        <w:tc>
          <w:tcPr>
            <w:tcW w:w="1373" w:type="dxa"/>
            <w:tcBorders>
              <w:left w:val="single" w:sz="6" w:space="0" w:color="auto"/>
              <w:right w:val="single" w:sz="6" w:space="0" w:color="auto"/>
            </w:tcBorders>
          </w:tcPr>
          <w:p w14:paraId="03B58B06"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17</w:t>
            </w:r>
          </w:p>
          <w:p w14:paraId="66A313B5" w14:textId="77777777" w:rsidR="0064595E" w:rsidRPr="00405303" w:rsidRDefault="0064595E" w:rsidP="00C15251">
            <w:pPr>
              <w:shd w:val="clear" w:color="auto" w:fill="FFFFFF"/>
              <w:jc w:val="both"/>
              <w:rPr>
                <w:bCs/>
                <w:color w:val="002060"/>
                <w:sz w:val="16"/>
                <w:szCs w:val="16"/>
              </w:rPr>
            </w:pPr>
          </w:p>
        </w:tc>
        <w:tc>
          <w:tcPr>
            <w:tcW w:w="1354" w:type="dxa"/>
            <w:tcBorders>
              <w:left w:val="single" w:sz="6" w:space="0" w:color="auto"/>
              <w:right w:val="single" w:sz="6" w:space="0" w:color="auto"/>
            </w:tcBorders>
          </w:tcPr>
          <w:p w14:paraId="1937FF3E"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678 100</w:t>
            </w:r>
          </w:p>
          <w:p w14:paraId="1447A400" w14:textId="77777777" w:rsidR="0064595E" w:rsidRPr="00405303" w:rsidRDefault="0064595E" w:rsidP="00C15251">
            <w:pPr>
              <w:shd w:val="clear" w:color="auto" w:fill="FFFFFF"/>
              <w:jc w:val="both"/>
              <w:rPr>
                <w:bCs/>
                <w:color w:val="002060"/>
                <w:sz w:val="16"/>
                <w:szCs w:val="16"/>
              </w:rPr>
            </w:pPr>
          </w:p>
        </w:tc>
        <w:tc>
          <w:tcPr>
            <w:tcW w:w="1315" w:type="dxa"/>
            <w:tcBorders>
              <w:left w:val="single" w:sz="6" w:space="0" w:color="auto"/>
              <w:right w:val="single" w:sz="6" w:space="0" w:color="auto"/>
            </w:tcBorders>
          </w:tcPr>
          <w:p w14:paraId="1B6B4980"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38 650</w:t>
            </w:r>
          </w:p>
          <w:p w14:paraId="7DEF817F" w14:textId="77777777" w:rsidR="0064595E" w:rsidRPr="00405303" w:rsidRDefault="0064595E" w:rsidP="00C15251">
            <w:pPr>
              <w:shd w:val="clear" w:color="auto" w:fill="FFFFFF"/>
              <w:jc w:val="both"/>
              <w:rPr>
                <w:bCs/>
                <w:color w:val="002060"/>
                <w:sz w:val="16"/>
                <w:szCs w:val="16"/>
              </w:rPr>
            </w:pPr>
          </w:p>
        </w:tc>
      </w:tr>
      <w:tr w:rsidR="0064595E" w:rsidRPr="00405303" w14:paraId="280F3620" w14:textId="77777777" w:rsidTr="00D34AC1">
        <w:trPr>
          <w:trHeight w:val="125"/>
        </w:trPr>
        <w:tc>
          <w:tcPr>
            <w:tcW w:w="2467" w:type="dxa"/>
            <w:tcBorders>
              <w:left w:val="single" w:sz="6" w:space="0" w:color="auto"/>
              <w:right w:val="single" w:sz="6" w:space="0" w:color="auto"/>
            </w:tcBorders>
          </w:tcPr>
          <w:p w14:paraId="29B76676"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и т. и.</w:t>
            </w:r>
          </w:p>
          <w:p w14:paraId="7BE27642"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39DFC76D" w14:textId="77777777" w:rsidR="0064595E" w:rsidRPr="00405303" w:rsidRDefault="0064595E" w:rsidP="00C15251">
            <w:pPr>
              <w:shd w:val="clear" w:color="auto" w:fill="FFFFFF"/>
              <w:jc w:val="both"/>
              <w:rPr>
                <w:bCs/>
                <w:color w:val="002060"/>
                <w:sz w:val="16"/>
                <w:szCs w:val="16"/>
              </w:rPr>
            </w:pPr>
          </w:p>
          <w:p w14:paraId="58F26767" w14:textId="77777777" w:rsidR="0064595E" w:rsidRPr="00405303" w:rsidRDefault="0064595E" w:rsidP="00C15251">
            <w:pPr>
              <w:shd w:val="clear" w:color="auto" w:fill="FFFFFF"/>
              <w:jc w:val="both"/>
              <w:rPr>
                <w:bCs/>
                <w:color w:val="002060"/>
                <w:sz w:val="16"/>
                <w:szCs w:val="16"/>
              </w:rPr>
            </w:pPr>
          </w:p>
        </w:tc>
        <w:tc>
          <w:tcPr>
            <w:tcW w:w="1373" w:type="dxa"/>
            <w:tcBorders>
              <w:left w:val="single" w:sz="6" w:space="0" w:color="auto"/>
              <w:right w:val="single" w:sz="6" w:space="0" w:color="auto"/>
            </w:tcBorders>
          </w:tcPr>
          <w:p w14:paraId="6675CD35" w14:textId="77777777" w:rsidR="0064595E" w:rsidRPr="00405303" w:rsidRDefault="0064595E" w:rsidP="00C15251">
            <w:pPr>
              <w:shd w:val="clear" w:color="auto" w:fill="FFFFFF"/>
              <w:jc w:val="both"/>
              <w:rPr>
                <w:bCs/>
                <w:color w:val="002060"/>
                <w:sz w:val="16"/>
                <w:szCs w:val="16"/>
              </w:rPr>
            </w:pPr>
          </w:p>
          <w:p w14:paraId="504E4E95" w14:textId="77777777" w:rsidR="0064595E" w:rsidRPr="00405303" w:rsidRDefault="0064595E" w:rsidP="00C15251">
            <w:pPr>
              <w:shd w:val="clear" w:color="auto" w:fill="FFFFFF"/>
              <w:jc w:val="both"/>
              <w:rPr>
                <w:bCs/>
                <w:color w:val="002060"/>
                <w:sz w:val="16"/>
                <w:szCs w:val="16"/>
              </w:rPr>
            </w:pPr>
          </w:p>
        </w:tc>
        <w:tc>
          <w:tcPr>
            <w:tcW w:w="1354" w:type="dxa"/>
            <w:tcBorders>
              <w:left w:val="single" w:sz="6" w:space="0" w:color="auto"/>
              <w:right w:val="single" w:sz="6" w:space="0" w:color="auto"/>
            </w:tcBorders>
          </w:tcPr>
          <w:p w14:paraId="67298C48" w14:textId="77777777" w:rsidR="0064595E" w:rsidRPr="00405303" w:rsidRDefault="0064595E" w:rsidP="00C15251">
            <w:pPr>
              <w:shd w:val="clear" w:color="auto" w:fill="FFFFFF"/>
              <w:jc w:val="both"/>
              <w:rPr>
                <w:bCs/>
                <w:color w:val="002060"/>
                <w:sz w:val="16"/>
                <w:szCs w:val="16"/>
              </w:rPr>
            </w:pPr>
          </w:p>
          <w:p w14:paraId="3FF7A469" w14:textId="77777777" w:rsidR="0064595E" w:rsidRPr="00405303" w:rsidRDefault="0064595E" w:rsidP="00C15251">
            <w:pPr>
              <w:shd w:val="clear" w:color="auto" w:fill="FFFFFF"/>
              <w:jc w:val="both"/>
              <w:rPr>
                <w:bCs/>
                <w:color w:val="002060"/>
                <w:sz w:val="16"/>
                <w:szCs w:val="16"/>
              </w:rPr>
            </w:pPr>
          </w:p>
        </w:tc>
        <w:tc>
          <w:tcPr>
            <w:tcW w:w="1315" w:type="dxa"/>
            <w:tcBorders>
              <w:left w:val="single" w:sz="6" w:space="0" w:color="auto"/>
              <w:right w:val="single" w:sz="6" w:space="0" w:color="auto"/>
            </w:tcBorders>
          </w:tcPr>
          <w:p w14:paraId="1A6B2C75" w14:textId="77777777" w:rsidR="0064595E" w:rsidRPr="00405303" w:rsidRDefault="0064595E" w:rsidP="00C15251">
            <w:pPr>
              <w:shd w:val="clear" w:color="auto" w:fill="FFFFFF"/>
              <w:jc w:val="both"/>
              <w:rPr>
                <w:bCs/>
                <w:color w:val="002060"/>
                <w:sz w:val="16"/>
                <w:szCs w:val="16"/>
              </w:rPr>
            </w:pPr>
          </w:p>
          <w:p w14:paraId="1C9555F4" w14:textId="77777777" w:rsidR="0064595E" w:rsidRPr="00405303" w:rsidRDefault="0064595E" w:rsidP="00C15251">
            <w:pPr>
              <w:shd w:val="clear" w:color="auto" w:fill="FFFFFF"/>
              <w:jc w:val="both"/>
              <w:rPr>
                <w:bCs/>
                <w:color w:val="002060"/>
                <w:sz w:val="16"/>
                <w:szCs w:val="16"/>
              </w:rPr>
            </w:pPr>
          </w:p>
        </w:tc>
      </w:tr>
      <w:tr w:rsidR="0064595E" w:rsidRPr="00405303" w14:paraId="126E65B6" w14:textId="77777777" w:rsidTr="00D34AC1">
        <w:trPr>
          <w:trHeight w:val="192"/>
        </w:trPr>
        <w:tc>
          <w:tcPr>
            <w:tcW w:w="2467" w:type="dxa"/>
            <w:tcBorders>
              <w:left w:val="single" w:sz="6" w:space="0" w:color="auto"/>
              <w:right w:val="single" w:sz="6" w:space="0" w:color="auto"/>
            </w:tcBorders>
          </w:tcPr>
          <w:p w14:paraId="6A9C4436"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10. Прочих машин</w:t>
            </w:r>
          </w:p>
          <w:p w14:paraId="07F1BC9D"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right w:val="single" w:sz="6" w:space="0" w:color="auto"/>
            </w:tcBorders>
          </w:tcPr>
          <w:p w14:paraId="5FDD8336"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7 898 210</w:t>
            </w:r>
          </w:p>
          <w:p w14:paraId="4FFFA6F4" w14:textId="77777777" w:rsidR="0064595E" w:rsidRPr="00405303" w:rsidRDefault="0064595E" w:rsidP="00C15251">
            <w:pPr>
              <w:shd w:val="clear" w:color="auto" w:fill="FFFFFF"/>
              <w:jc w:val="both"/>
              <w:rPr>
                <w:bCs/>
                <w:color w:val="002060"/>
                <w:sz w:val="16"/>
                <w:szCs w:val="16"/>
              </w:rPr>
            </w:pPr>
          </w:p>
        </w:tc>
        <w:tc>
          <w:tcPr>
            <w:tcW w:w="1373" w:type="dxa"/>
            <w:tcBorders>
              <w:left w:val="single" w:sz="6" w:space="0" w:color="auto"/>
              <w:right w:val="single" w:sz="6" w:space="0" w:color="auto"/>
            </w:tcBorders>
          </w:tcPr>
          <w:p w14:paraId="1DB4AD8B" w14:textId="77777777" w:rsidR="0064595E" w:rsidRPr="00405303" w:rsidRDefault="0064595E" w:rsidP="00C15251">
            <w:pPr>
              <w:shd w:val="clear" w:color="auto" w:fill="FFFFFF"/>
              <w:jc w:val="both"/>
              <w:rPr>
                <w:bCs/>
                <w:color w:val="002060"/>
                <w:sz w:val="16"/>
                <w:szCs w:val="16"/>
              </w:rPr>
            </w:pPr>
          </w:p>
          <w:p w14:paraId="37726B3D" w14:textId="77777777" w:rsidR="0064595E" w:rsidRPr="00405303" w:rsidRDefault="0064595E" w:rsidP="00C15251">
            <w:pPr>
              <w:shd w:val="clear" w:color="auto" w:fill="FFFFFF"/>
              <w:jc w:val="both"/>
              <w:rPr>
                <w:bCs/>
                <w:color w:val="002060"/>
                <w:sz w:val="16"/>
                <w:szCs w:val="16"/>
              </w:rPr>
            </w:pPr>
          </w:p>
        </w:tc>
        <w:tc>
          <w:tcPr>
            <w:tcW w:w="1354" w:type="dxa"/>
            <w:tcBorders>
              <w:left w:val="single" w:sz="6" w:space="0" w:color="auto"/>
              <w:right w:val="single" w:sz="6" w:space="0" w:color="auto"/>
            </w:tcBorders>
          </w:tcPr>
          <w:p w14:paraId="3B88D069"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69 856 334</w:t>
            </w:r>
          </w:p>
          <w:p w14:paraId="0AB03067" w14:textId="77777777" w:rsidR="0064595E" w:rsidRPr="00405303" w:rsidRDefault="0064595E" w:rsidP="00C15251">
            <w:pPr>
              <w:shd w:val="clear" w:color="auto" w:fill="FFFFFF"/>
              <w:jc w:val="both"/>
              <w:rPr>
                <w:bCs/>
                <w:color w:val="002060"/>
                <w:sz w:val="16"/>
                <w:szCs w:val="16"/>
              </w:rPr>
            </w:pPr>
          </w:p>
        </w:tc>
        <w:tc>
          <w:tcPr>
            <w:tcW w:w="1315" w:type="dxa"/>
            <w:tcBorders>
              <w:left w:val="single" w:sz="6" w:space="0" w:color="auto"/>
              <w:right w:val="single" w:sz="6" w:space="0" w:color="auto"/>
            </w:tcBorders>
          </w:tcPr>
          <w:p w14:paraId="243D943F" w14:textId="77777777" w:rsidR="0064595E" w:rsidRPr="00405303" w:rsidRDefault="0064595E" w:rsidP="00C15251">
            <w:pPr>
              <w:shd w:val="clear" w:color="auto" w:fill="FFFFFF"/>
              <w:jc w:val="both"/>
              <w:rPr>
                <w:bCs/>
                <w:color w:val="002060"/>
                <w:sz w:val="16"/>
                <w:szCs w:val="16"/>
              </w:rPr>
            </w:pPr>
          </w:p>
          <w:p w14:paraId="696CEA88" w14:textId="77777777" w:rsidR="0064595E" w:rsidRPr="00405303" w:rsidRDefault="0064595E" w:rsidP="00C15251">
            <w:pPr>
              <w:shd w:val="clear" w:color="auto" w:fill="FFFFFF"/>
              <w:jc w:val="both"/>
              <w:rPr>
                <w:bCs/>
                <w:color w:val="002060"/>
                <w:sz w:val="16"/>
                <w:szCs w:val="16"/>
              </w:rPr>
            </w:pPr>
          </w:p>
        </w:tc>
      </w:tr>
      <w:tr w:rsidR="0064595E" w:rsidRPr="00405303" w14:paraId="75945BAB" w14:textId="77777777" w:rsidTr="00D34AC1">
        <w:trPr>
          <w:trHeight w:val="288"/>
        </w:trPr>
        <w:tc>
          <w:tcPr>
            <w:tcW w:w="2467" w:type="dxa"/>
            <w:tcBorders>
              <w:left w:val="single" w:sz="6" w:space="0" w:color="auto"/>
              <w:bottom w:val="single" w:sz="6" w:space="0" w:color="auto"/>
              <w:right w:val="single" w:sz="6" w:space="0" w:color="auto"/>
            </w:tcBorders>
          </w:tcPr>
          <w:p w14:paraId="3040A5B9"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11. Частей машин</w:t>
            </w:r>
          </w:p>
          <w:p w14:paraId="3B22834C" w14:textId="77777777" w:rsidR="0064595E" w:rsidRPr="00405303" w:rsidRDefault="0064595E" w:rsidP="00C15251">
            <w:pPr>
              <w:shd w:val="clear" w:color="auto" w:fill="FFFFFF"/>
              <w:jc w:val="both"/>
              <w:rPr>
                <w:bCs/>
                <w:color w:val="002060"/>
                <w:sz w:val="16"/>
                <w:szCs w:val="16"/>
              </w:rPr>
            </w:pPr>
          </w:p>
        </w:tc>
        <w:tc>
          <w:tcPr>
            <w:tcW w:w="1363" w:type="dxa"/>
            <w:tcBorders>
              <w:left w:val="single" w:sz="6" w:space="0" w:color="auto"/>
              <w:bottom w:val="single" w:sz="6" w:space="0" w:color="auto"/>
              <w:right w:val="single" w:sz="6" w:space="0" w:color="auto"/>
            </w:tcBorders>
          </w:tcPr>
          <w:p w14:paraId="3613D353"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1 768 089</w:t>
            </w:r>
          </w:p>
          <w:p w14:paraId="319EF364" w14:textId="77777777" w:rsidR="0064595E" w:rsidRPr="00405303" w:rsidRDefault="0064595E" w:rsidP="00C15251">
            <w:pPr>
              <w:shd w:val="clear" w:color="auto" w:fill="FFFFFF"/>
              <w:jc w:val="both"/>
              <w:rPr>
                <w:bCs/>
                <w:color w:val="002060"/>
                <w:sz w:val="16"/>
                <w:szCs w:val="16"/>
              </w:rPr>
            </w:pPr>
          </w:p>
        </w:tc>
        <w:tc>
          <w:tcPr>
            <w:tcW w:w="1373" w:type="dxa"/>
            <w:tcBorders>
              <w:left w:val="single" w:sz="6" w:space="0" w:color="auto"/>
              <w:bottom w:val="single" w:sz="6" w:space="0" w:color="auto"/>
              <w:right w:val="single" w:sz="6" w:space="0" w:color="auto"/>
            </w:tcBorders>
          </w:tcPr>
          <w:p w14:paraId="39EC0DCF" w14:textId="77777777" w:rsidR="0064595E" w:rsidRPr="00405303" w:rsidRDefault="0064595E" w:rsidP="00C15251">
            <w:pPr>
              <w:shd w:val="clear" w:color="auto" w:fill="FFFFFF"/>
              <w:jc w:val="both"/>
              <w:rPr>
                <w:bCs/>
                <w:color w:val="002060"/>
                <w:sz w:val="16"/>
                <w:szCs w:val="16"/>
              </w:rPr>
            </w:pPr>
          </w:p>
          <w:p w14:paraId="2FDA86CE" w14:textId="77777777" w:rsidR="0064595E" w:rsidRPr="00405303" w:rsidRDefault="0064595E" w:rsidP="00C15251">
            <w:pPr>
              <w:shd w:val="clear" w:color="auto" w:fill="FFFFFF"/>
              <w:jc w:val="both"/>
              <w:rPr>
                <w:bCs/>
                <w:color w:val="002060"/>
                <w:sz w:val="16"/>
                <w:szCs w:val="16"/>
              </w:rPr>
            </w:pPr>
          </w:p>
        </w:tc>
        <w:tc>
          <w:tcPr>
            <w:tcW w:w="1354" w:type="dxa"/>
            <w:tcBorders>
              <w:left w:val="single" w:sz="6" w:space="0" w:color="auto"/>
              <w:bottom w:val="single" w:sz="6" w:space="0" w:color="auto"/>
              <w:right w:val="single" w:sz="6" w:space="0" w:color="auto"/>
            </w:tcBorders>
          </w:tcPr>
          <w:p w14:paraId="6D72670C"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19 961 990</w:t>
            </w:r>
          </w:p>
          <w:p w14:paraId="58E82BDF" w14:textId="77777777" w:rsidR="0064595E" w:rsidRPr="00405303" w:rsidRDefault="0064595E" w:rsidP="00C15251">
            <w:pPr>
              <w:shd w:val="clear" w:color="auto" w:fill="FFFFFF"/>
              <w:jc w:val="both"/>
              <w:rPr>
                <w:bCs/>
                <w:color w:val="002060"/>
                <w:sz w:val="16"/>
                <w:szCs w:val="16"/>
              </w:rPr>
            </w:pPr>
          </w:p>
        </w:tc>
        <w:tc>
          <w:tcPr>
            <w:tcW w:w="1315" w:type="dxa"/>
            <w:tcBorders>
              <w:left w:val="single" w:sz="6" w:space="0" w:color="auto"/>
              <w:bottom w:val="single" w:sz="6" w:space="0" w:color="auto"/>
              <w:right w:val="single" w:sz="6" w:space="0" w:color="auto"/>
            </w:tcBorders>
          </w:tcPr>
          <w:p w14:paraId="5DE7F53C" w14:textId="77777777" w:rsidR="0064595E" w:rsidRPr="00405303" w:rsidRDefault="0064595E" w:rsidP="00C15251">
            <w:pPr>
              <w:shd w:val="clear" w:color="auto" w:fill="FFFFFF"/>
              <w:jc w:val="both"/>
              <w:rPr>
                <w:bCs/>
                <w:color w:val="002060"/>
                <w:sz w:val="16"/>
                <w:szCs w:val="16"/>
              </w:rPr>
            </w:pPr>
          </w:p>
          <w:p w14:paraId="26B7D5DE" w14:textId="77777777" w:rsidR="0064595E" w:rsidRPr="00405303" w:rsidRDefault="0064595E" w:rsidP="00C15251">
            <w:pPr>
              <w:shd w:val="clear" w:color="auto" w:fill="FFFFFF"/>
              <w:jc w:val="both"/>
              <w:rPr>
                <w:bCs/>
                <w:color w:val="002060"/>
                <w:sz w:val="16"/>
                <w:szCs w:val="16"/>
              </w:rPr>
            </w:pPr>
          </w:p>
        </w:tc>
      </w:tr>
    </w:tbl>
    <w:p w14:paraId="578DADE6"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РГВИА. Ф. 369. Оп. 1. Д. 96. Л. 339-342. Типогр. экз. (10707).</w:t>
      </w:r>
    </w:p>
    <w:p w14:paraId="71553747" w14:textId="77777777" w:rsidR="0064595E" w:rsidRPr="00405303" w:rsidRDefault="0064595E" w:rsidP="00C15251">
      <w:pPr>
        <w:shd w:val="clear" w:color="auto" w:fill="FFFFFF"/>
        <w:jc w:val="both"/>
        <w:rPr>
          <w:bCs/>
          <w:color w:val="002060"/>
          <w:sz w:val="16"/>
          <w:szCs w:val="16"/>
        </w:rPr>
      </w:pPr>
    </w:p>
    <w:p w14:paraId="6D36A01E" w14:textId="3AB05122" w:rsidR="0064595E" w:rsidRPr="00405303" w:rsidRDefault="0064595E" w:rsidP="00C15251">
      <w:pPr>
        <w:shd w:val="clear" w:color="auto" w:fill="FFFFFF"/>
        <w:jc w:val="both"/>
        <w:rPr>
          <w:bCs/>
          <w:color w:val="002060"/>
          <w:sz w:val="16"/>
          <w:szCs w:val="16"/>
        </w:rPr>
      </w:pPr>
      <w:r w:rsidRPr="00405303">
        <w:rPr>
          <w:bCs/>
          <w:color w:val="002060"/>
          <w:sz w:val="16"/>
          <w:szCs w:val="16"/>
        </w:rPr>
        <w:t xml:space="preserve">В июне 1915 г. опытный образец орудия </w:t>
      </w:r>
      <w:r w:rsidR="0011454E" w:rsidRPr="00405303">
        <w:rPr>
          <w:bCs/>
          <w:color w:val="002060"/>
          <w:sz w:val="16"/>
          <w:szCs w:val="16"/>
        </w:rPr>
        <w:t xml:space="preserve">инженера Ф. Лендера по приспособлению морского 57-мм орудия Гочкиса для ведения огня под углом до 65 градусов, </w:t>
      </w:r>
      <w:r w:rsidRPr="00405303">
        <w:rPr>
          <w:bCs/>
          <w:color w:val="002060"/>
          <w:sz w:val="16"/>
          <w:szCs w:val="16"/>
        </w:rPr>
        <w:t>прошел испытания на Ар</w:t>
      </w:r>
      <w:r w:rsidRPr="00405303">
        <w:rPr>
          <w:bCs/>
          <w:color w:val="002060"/>
          <w:sz w:val="16"/>
          <w:szCs w:val="16"/>
        </w:rPr>
        <w:softHyphen/>
        <w:t>тиллерийском полигоне стрельбой как с наземной стацио</w:t>
      </w:r>
      <w:r w:rsidRPr="00405303">
        <w:rPr>
          <w:bCs/>
          <w:color w:val="002060"/>
          <w:sz w:val="16"/>
          <w:szCs w:val="16"/>
        </w:rPr>
        <w:softHyphen/>
        <w:t>нарной тумбы, так и в кузове 3-тонного грузовика «Остин» с бронированной кабиной. Машина оказалась перегружен</w:t>
      </w:r>
      <w:r w:rsidRPr="00405303">
        <w:rPr>
          <w:bCs/>
          <w:color w:val="002060"/>
          <w:sz w:val="16"/>
          <w:szCs w:val="16"/>
        </w:rPr>
        <w:softHyphen/>
        <w:t>ной (при массе машины в 5200 кг она имела двигатель мощностью всего 30 л.с.), но на хорошей дороге могла раз</w:t>
      </w:r>
      <w:r w:rsidRPr="00405303">
        <w:rPr>
          <w:bCs/>
          <w:color w:val="002060"/>
          <w:sz w:val="16"/>
          <w:szCs w:val="16"/>
        </w:rPr>
        <w:softHyphen/>
        <w:t xml:space="preserve">вить скорость </w:t>
      </w:r>
      <w:r w:rsidRPr="00405303">
        <w:rPr>
          <w:bCs/>
          <w:color w:val="002060"/>
          <w:sz w:val="16"/>
          <w:szCs w:val="16"/>
        </w:rPr>
        <w:lastRenderedPageBreak/>
        <w:t>в 22 версты в час (около 35 км/ч). Новый вариант зенитной САУ в целом понравился воен</w:t>
      </w:r>
      <w:r w:rsidRPr="00405303">
        <w:rPr>
          <w:bCs/>
          <w:color w:val="002060"/>
          <w:sz w:val="16"/>
          <w:szCs w:val="16"/>
        </w:rPr>
        <w:softHyphen/>
        <w:t>ным, и по результатам испытаний было принято решение на</w:t>
      </w:r>
      <w:r w:rsidRPr="00405303">
        <w:rPr>
          <w:bCs/>
          <w:color w:val="002060"/>
          <w:sz w:val="16"/>
          <w:szCs w:val="16"/>
        </w:rPr>
        <w:softHyphen/>
        <w:t>чать формирование артиллерийских батарей указанного типа и отправку их на фронт. Но вскоре после этого во время по</w:t>
      </w:r>
      <w:r w:rsidRPr="00405303">
        <w:rPr>
          <w:bCs/>
          <w:color w:val="002060"/>
          <w:sz w:val="16"/>
          <w:szCs w:val="16"/>
        </w:rPr>
        <w:softHyphen/>
        <w:t>жара в Брест-Литовске запас указанных орудий был утрачен, и данный тип САУ превратился в неперспективный (11417).</w:t>
      </w:r>
    </w:p>
    <w:p w14:paraId="63A98C84" w14:textId="77777777" w:rsidR="0064595E" w:rsidRPr="00405303" w:rsidRDefault="0064595E" w:rsidP="00C15251">
      <w:pPr>
        <w:shd w:val="clear" w:color="auto" w:fill="FFFFFF"/>
        <w:jc w:val="both"/>
        <w:rPr>
          <w:bCs/>
          <w:color w:val="002060"/>
          <w:sz w:val="16"/>
          <w:szCs w:val="16"/>
        </w:rPr>
      </w:pPr>
    </w:p>
    <w:p w14:paraId="7A809A43" w14:textId="23C135F6" w:rsidR="0064595E" w:rsidRPr="00405303" w:rsidRDefault="0064595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течение июня 1915 г. при ЦВПК были сформированы следующие отделы: механический, металлургический, химический, перевозочный, продовольственный, по обеспечению рабочим составом, вещевой, по снабжению топливом, финансовый, врачебно-санитарный, изобретений, юридический, а впоследствии образовался еще авиационный (11270).</w:t>
      </w:r>
    </w:p>
    <w:p w14:paraId="32AAF546" w14:textId="77777777" w:rsidR="0064595E" w:rsidRPr="00405303" w:rsidRDefault="0064595E" w:rsidP="00C15251">
      <w:pPr>
        <w:pStyle w:val="a3"/>
        <w:jc w:val="both"/>
        <w:rPr>
          <w:bCs/>
          <w:i w:val="0"/>
          <w:color w:val="002060"/>
          <w:spacing w:val="0"/>
          <w:kern w:val="0"/>
          <w:position w:val="0"/>
          <w:sz w:val="16"/>
          <w:szCs w:val="16"/>
        </w:rPr>
      </w:pPr>
    </w:p>
    <w:p w14:paraId="63905EDC" w14:textId="77777777" w:rsidR="0064595E" w:rsidRPr="00405303" w:rsidRDefault="0064595E" w:rsidP="00C15251">
      <w:pPr>
        <w:shd w:val="clear" w:color="auto" w:fill="FFFFFF"/>
        <w:jc w:val="both"/>
        <w:rPr>
          <w:bCs/>
          <w:color w:val="002060"/>
          <w:sz w:val="16"/>
          <w:szCs w:val="16"/>
        </w:rPr>
      </w:pPr>
      <w:r w:rsidRPr="00405303">
        <w:rPr>
          <w:bCs/>
          <w:color w:val="002060"/>
          <w:sz w:val="16"/>
          <w:szCs w:val="16"/>
        </w:rPr>
        <w:t>В июне 1915 г. Военный совет подтвердил мнение начальника ГВТУ о необходимости заказа 300 тыс. шашек дымовой завесы, которые помимо своего прямого назначения применялись и для борьбы с отравляющими газами противника, на сумму 672 тыс. руб. Производство их было налажено на специально построенном заводе в Усть-Ижорском саперном лагере под контролем инспектора инженерной части Петроградского военного округа. 21 апреля 1916 г. мощность завода была доведена до 125 тыс. шашек в месяц. Исходя из требований Ставки ВГК и необходимости снабжения шашками вновь формируемых химических команд, предприятию было заказано 2 млн. изделий на сумму 8 млн. руб. При этом для выполнения заказа в Англии и Франции закупались нафталин и бертолетова соль [Журнал № 63 ПКОВ. Заседание 21 апреля 1916 г. / Архив ВИМАИВиВС. Ф. 13. Оп. 87/1. Д. 52. Л. 106–107.] (20236).</w:t>
      </w:r>
    </w:p>
    <w:p w14:paraId="3494155C" w14:textId="77777777" w:rsidR="0064595E" w:rsidRPr="00405303" w:rsidRDefault="0064595E" w:rsidP="00C15251">
      <w:pPr>
        <w:jc w:val="both"/>
        <w:rPr>
          <w:bCs/>
          <w:color w:val="002060"/>
          <w:sz w:val="16"/>
          <w:szCs w:val="16"/>
          <w:shd w:val="clear" w:color="auto" w:fill="FFFFFF"/>
        </w:rPr>
      </w:pPr>
    </w:p>
    <w:p w14:paraId="3004326E" w14:textId="77777777" w:rsidR="0064595E" w:rsidRPr="00405303" w:rsidRDefault="0064595E" w:rsidP="00C15251">
      <w:pPr>
        <w:pStyle w:val="ae"/>
        <w:spacing w:before="0" w:beforeAutospacing="0" w:after="0" w:afterAutospacing="0"/>
        <w:jc w:val="both"/>
        <w:rPr>
          <w:bCs/>
          <w:color w:val="002060"/>
          <w:sz w:val="16"/>
          <w:szCs w:val="16"/>
        </w:rPr>
      </w:pPr>
      <w:r w:rsidRPr="00405303">
        <w:rPr>
          <w:bCs/>
          <w:color w:val="002060"/>
          <w:sz w:val="16"/>
          <w:szCs w:val="16"/>
        </w:rPr>
        <w:t>В июне 1915 в лаборатории Министерства финансов Зелинским были произведены предварительные опыты по оценке защитных свойств активированного древесного угля. В пустой комнате сжигалась сера, и, когда концентрация сернистого газа достигала величины, при которой в комнату невозможно было войти без противогаза, в нее входили люди с надетыми угольными респираторами (носовой платок, в котором был завернут зерненный уголь). Было точно установлено, что в такой невыносимой атмосфере, «дыша через респиратор», можно было оставаться в течение многих минут и до получаса, не испытывая никаких неприятных ощущений.</w:t>
      </w:r>
    </w:p>
    <w:p w14:paraId="2C0F6ECB" w14:textId="77777777" w:rsidR="0064595E" w:rsidRPr="00405303" w:rsidRDefault="0064595E" w:rsidP="00C15251">
      <w:pPr>
        <w:pStyle w:val="ae"/>
        <w:spacing w:before="0" w:beforeAutospacing="0" w:after="0" w:afterAutospacing="0"/>
        <w:jc w:val="both"/>
        <w:rPr>
          <w:bCs/>
          <w:color w:val="002060"/>
          <w:sz w:val="16"/>
          <w:szCs w:val="16"/>
        </w:rPr>
      </w:pPr>
      <w:r w:rsidRPr="00405303">
        <w:rPr>
          <w:bCs/>
          <w:color w:val="002060"/>
          <w:sz w:val="16"/>
          <w:szCs w:val="16"/>
        </w:rPr>
        <w:t>Зелинский направил подробный отчет об этих испытаниях в Управление санитарной и эвакуационной части, возглавляемое А. П. Ольденбург-ским, и... не получил никакого ответа.</w:t>
      </w:r>
    </w:p>
    <w:p w14:paraId="671A2A80" w14:textId="77777777" w:rsidR="0064595E" w:rsidRPr="00405303" w:rsidRDefault="0064595E" w:rsidP="00C15251">
      <w:pPr>
        <w:pStyle w:val="ae"/>
        <w:spacing w:before="0" w:beforeAutospacing="0" w:after="0" w:afterAutospacing="0"/>
        <w:jc w:val="both"/>
        <w:rPr>
          <w:bCs/>
          <w:color w:val="002060"/>
          <w:sz w:val="16"/>
          <w:szCs w:val="16"/>
        </w:rPr>
      </w:pPr>
      <w:r w:rsidRPr="00405303">
        <w:rPr>
          <w:bCs/>
          <w:color w:val="002060"/>
          <w:sz w:val="16"/>
          <w:szCs w:val="16"/>
        </w:rPr>
        <w:t>В июне 1915 г. Зелинский доложил о найденном им средстве на заседании противогазовой комиссии при Русском техническом обществе в Петрограде (в Соляном городке). К докладу отнеслись как к рядовому сообщению. Председательствующий вяло поблагодарил Зелинского. Николай Дмитриевич напрямую обратился к всемогущему принцу, тот «поставил его на место», порекомендовав впредь обращаться только к его помощнику. 12 августа Зелинский выступил с сообщением об адсорбирующих свойствах активированного древесного угля на экстренном заседании Экспериментальной комиссии по изучению клиники, профилактики и методов борьбы с газовыми отравлениями в Москве. В своем сообщении Зелинский указывал на то, что защитное действие древесного угля является универсальным и к тому же этот уголь имеется в России во вполне достаточном количестве. На этот раз его доклад вызвал большой интерес. Комиссия решила немедленно приступить к испытаниям противогазовых свойств древесного угля (20246).</w:t>
      </w:r>
    </w:p>
    <w:p w14:paraId="71DD58A6" w14:textId="77777777" w:rsidR="0064595E" w:rsidRPr="00405303" w:rsidRDefault="0064595E" w:rsidP="00C15251">
      <w:pPr>
        <w:pStyle w:val="ae"/>
        <w:spacing w:before="0" w:beforeAutospacing="0" w:after="0" w:afterAutospacing="0"/>
        <w:jc w:val="both"/>
        <w:rPr>
          <w:bCs/>
          <w:color w:val="002060"/>
          <w:sz w:val="16"/>
          <w:szCs w:val="16"/>
        </w:rPr>
      </w:pPr>
    </w:p>
    <w:p w14:paraId="0062B3CA" w14:textId="77777777" w:rsidR="0064595E" w:rsidRPr="00405303" w:rsidRDefault="0064595E" w:rsidP="00C15251">
      <w:pPr>
        <w:jc w:val="both"/>
        <w:rPr>
          <w:bCs/>
          <w:color w:val="002060"/>
          <w:sz w:val="16"/>
          <w:szCs w:val="16"/>
        </w:rPr>
      </w:pPr>
      <w:r w:rsidRPr="00405303">
        <w:rPr>
          <w:bCs/>
          <w:color w:val="002060"/>
          <w:sz w:val="16"/>
          <w:szCs w:val="16"/>
        </w:rPr>
        <w:t>С июня 1915 г. А.С.Лукомский одновременно, был помощником (фактически заместителем) военного министра, возглавлял канцелярию Особого совещания по обороне государства. На посту помощника министра провёл ряд мероприятий, начиная с обеспечения армии пулеметами и сапогами и заканчивая образованием районных подкомиссий по эвакуации. Убедил Особое совещание в необходимости содействия развитию аэропланового строительства и в приёмке аэропланов фронтом, а также способствовал снабжению армии осветительными приборами.</w:t>
      </w:r>
    </w:p>
    <w:p w14:paraId="6597F0A5" w14:textId="1E3A0239" w:rsidR="0064595E" w:rsidRPr="00405303" w:rsidRDefault="0064595E" w:rsidP="00C15251">
      <w:pPr>
        <w:jc w:val="both"/>
        <w:rPr>
          <w:bCs/>
          <w:i/>
          <w:color w:val="002060"/>
          <w:sz w:val="16"/>
          <w:szCs w:val="16"/>
        </w:rPr>
      </w:pPr>
    </w:p>
    <w:p w14:paraId="33FC447E" w14:textId="77777777" w:rsidR="00B92EC9" w:rsidRPr="00405303" w:rsidRDefault="00B92EC9" w:rsidP="00C15251">
      <w:pPr>
        <w:jc w:val="both"/>
        <w:rPr>
          <w:bCs/>
          <w:color w:val="002060"/>
          <w:sz w:val="16"/>
          <w:szCs w:val="16"/>
        </w:rPr>
      </w:pPr>
      <w:r w:rsidRPr="00405303">
        <w:rPr>
          <w:bCs/>
          <w:color w:val="002060"/>
          <w:sz w:val="16"/>
          <w:szCs w:val="16"/>
        </w:rPr>
        <w:t>В июне 1915 г. Г.А. Крестовников утверждал: «Производства таких крупных отраслей, как... ав</w:t>
      </w:r>
      <w:r w:rsidRPr="00405303">
        <w:rPr>
          <w:bCs/>
          <w:color w:val="002060"/>
          <w:sz w:val="16"/>
          <w:szCs w:val="16"/>
        </w:rPr>
        <w:softHyphen/>
        <w:t>томобилей, у нас совсем нет», и это не расходится с данными С.В. Воронковой: «Россия вступила в Первую мировую вой</w:t>
      </w:r>
      <w:r w:rsidRPr="00405303">
        <w:rPr>
          <w:bCs/>
          <w:color w:val="002060"/>
          <w:sz w:val="16"/>
          <w:szCs w:val="16"/>
        </w:rPr>
        <w:softHyphen/>
        <w:t>ну, совершенно не имея автомобильной промышленности» (ВПР. Т. 1. С. 507; Воронкова С.В. Указ. соч. С. 147). Дж. Купер и Р. Льюис оспаривают вывод Воронковой и при</w:t>
      </w:r>
      <w:r w:rsidRPr="00405303">
        <w:rPr>
          <w:bCs/>
          <w:color w:val="002060"/>
          <w:sz w:val="16"/>
          <w:szCs w:val="16"/>
        </w:rPr>
        <w:softHyphen/>
        <w:t>водят сведения о выпуске машин заводами Г.А. Лесснера («наиболее важный» автомобильный завод между 1906 и 1909 гг.), И.П. Пузырева и Русско-Балтийским: «В период непосредственно перед войной существовали три фирмы, строившие автомобили на регулярной основе».</w:t>
      </w:r>
    </w:p>
    <w:p w14:paraId="6FDC68A4" w14:textId="77777777" w:rsidR="00B92EC9" w:rsidRPr="00405303" w:rsidRDefault="00B92EC9"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Их уточнение неубедительно, поскольку они не упоми</w:t>
      </w:r>
      <w:r w:rsidRPr="00405303">
        <w:rPr>
          <w:rFonts w:ascii="Times New Roman" w:hAnsi="Times New Roman" w:cs="Times New Roman"/>
          <w:bCs/>
          <w:color w:val="002060"/>
          <w:sz w:val="16"/>
          <w:szCs w:val="16"/>
        </w:rPr>
        <w:softHyphen/>
        <w:t>нают, что «Лесснер» прекратил эту деятельность в 1909 г. и более не существовал в качестве автомобильного предпри</w:t>
      </w:r>
      <w:r w:rsidRPr="00405303">
        <w:rPr>
          <w:rFonts w:ascii="Times New Roman" w:hAnsi="Times New Roman" w:cs="Times New Roman"/>
          <w:bCs/>
          <w:color w:val="002060"/>
          <w:sz w:val="16"/>
          <w:szCs w:val="16"/>
        </w:rPr>
        <w:softHyphen/>
        <w:t>ятия. А. о. Г.А. Лесснера, осваивавшее производство ав</w:t>
      </w:r>
      <w:r w:rsidRPr="00405303">
        <w:rPr>
          <w:rFonts w:ascii="Times New Roman" w:hAnsi="Times New Roman" w:cs="Times New Roman"/>
          <w:bCs/>
          <w:color w:val="002060"/>
          <w:sz w:val="16"/>
          <w:szCs w:val="16"/>
        </w:rPr>
        <w:softHyphen/>
        <w:t>томобилей с 1901 г. по лицензии от германской фирмы «Даймлер», как считается, «действительно наладило авто</w:t>
      </w:r>
      <w:r w:rsidRPr="00405303">
        <w:rPr>
          <w:rFonts w:ascii="Times New Roman" w:hAnsi="Times New Roman" w:cs="Times New Roman"/>
          <w:bCs/>
          <w:color w:val="002060"/>
          <w:sz w:val="16"/>
          <w:szCs w:val="16"/>
        </w:rPr>
        <w:softHyphen/>
        <w:t>мобильное производство, а не являлось лишь сборочным цехом». Но за шесть лет этот завод выпустил около сотни машин, то есть до 17 экземпляров в год. Затем — «в усло</w:t>
      </w:r>
      <w:r w:rsidRPr="00405303">
        <w:rPr>
          <w:rFonts w:ascii="Times New Roman" w:hAnsi="Times New Roman" w:cs="Times New Roman"/>
          <w:bCs/>
          <w:color w:val="002060"/>
          <w:sz w:val="16"/>
          <w:szCs w:val="16"/>
        </w:rPr>
        <w:softHyphen/>
        <w:t>виях рынка и свободной конкуренции» — это производ</w:t>
      </w:r>
      <w:r w:rsidRPr="00405303">
        <w:rPr>
          <w:rFonts w:ascii="Times New Roman" w:hAnsi="Times New Roman" w:cs="Times New Roman"/>
          <w:bCs/>
          <w:color w:val="002060"/>
          <w:sz w:val="16"/>
          <w:szCs w:val="16"/>
        </w:rPr>
        <w:softHyphen/>
        <w:t>ство «оказалось недостаточно рентабельным». В 1909 г. Г.А. Лесснер расторг контракт с Даймлером и, «оставив автомобили, обратился к более выгодным поставкам торпед и оборудования для военных кораблей», а выпуск автомо</w:t>
      </w:r>
      <w:r w:rsidRPr="00405303">
        <w:rPr>
          <w:rFonts w:ascii="Times New Roman" w:hAnsi="Times New Roman" w:cs="Times New Roman"/>
          <w:bCs/>
          <w:color w:val="002060"/>
          <w:sz w:val="16"/>
          <w:szCs w:val="16"/>
        </w:rPr>
        <w:softHyphen/>
        <w:t>билей «был прекращен» (</w:t>
      </w:r>
      <w:r w:rsidRPr="00405303">
        <w:rPr>
          <w:rFonts w:ascii="Times New Roman" w:hAnsi="Times New Roman" w:cs="Times New Roman"/>
          <w:bCs/>
          <w:color w:val="002060"/>
          <w:sz w:val="16"/>
          <w:szCs w:val="16"/>
          <w:lang w:val="en-US" w:bidi="en-US"/>
        </w:rPr>
        <w:t>From</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Tsarism</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to</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the</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New</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Economic</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Policy</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P</w:t>
      </w:r>
      <w:r w:rsidRPr="00405303">
        <w:rPr>
          <w:rFonts w:ascii="Times New Roman" w:hAnsi="Times New Roman" w:cs="Times New Roman"/>
          <w:bCs/>
          <w:color w:val="002060"/>
          <w:sz w:val="16"/>
          <w:szCs w:val="16"/>
          <w:lang w:bidi="en-US"/>
        </w:rPr>
        <w:t xml:space="preserve">. 193—194. </w:t>
      </w:r>
      <w:r w:rsidRPr="00405303">
        <w:rPr>
          <w:rFonts w:ascii="Times New Roman" w:hAnsi="Times New Roman" w:cs="Times New Roman"/>
          <w:bCs/>
          <w:color w:val="002060"/>
          <w:sz w:val="16"/>
          <w:szCs w:val="16"/>
        </w:rPr>
        <w:t>О трех авто</w:t>
      </w:r>
      <w:r w:rsidRPr="00405303">
        <w:rPr>
          <w:rFonts w:ascii="Times New Roman" w:hAnsi="Times New Roman" w:cs="Times New Roman"/>
          <w:bCs/>
          <w:color w:val="002060"/>
          <w:sz w:val="16"/>
          <w:szCs w:val="16"/>
        </w:rPr>
        <w:softHyphen/>
        <w:t>мобильных заводах, не называя их, пишут также С.И. Сметанин (Сме</w:t>
      </w:r>
      <w:r w:rsidRPr="00405303">
        <w:rPr>
          <w:rFonts w:ascii="Times New Roman" w:hAnsi="Times New Roman" w:cs="Times New Roman"/>
          <w:bCs/>
          <w:color w:val="002060"/>
          <w:sz w:val="16"/>
          <w:szCs w:val="16"/>
        </w:rPr>
        <w:softHyphen/>
        <w:t>танин С.И. Второй этап индустриализации России // Экономическая история России XIX—XX вв. Современный взгляд. М., 2001. С. 280) и Э.М. Щагин (Указ. соч. С. 161), о народившейся «новой отрасли про</w:t>
      </w:r>
      <w:r w:rsidRPr="00405303">
        <w:rPr>
          <w:rFonts w:ascii="Times New Roman" w:hAnsi="Times New Roman" w:cs="Times New Roman"/>
          <w:bCs/>
          <w:color w:val="002060"/>
          <w:sz w:val="16"/>
          <w:szCs w:val="16"/>
        </w:rPr>
        <w:softHyphen/>
        <w:t>мышленности» — авторы учебного пособия: Кулешов С.В., Свириденко Ю.П., Федулин А.А. Модернизация России (XIX—XX вв.). М., 2007. С. 56; Шугуров Л.М. Автомобили России и СССР. М., 1993. Ч. 1. С. 28; Шляхтинский К. В. Автомобиль в России. М., 1993. С. 83; История авто</w:t>
      </w:r>
      <w:r w:rsidRPr="00405303">
        <w:rPr>
          <w:rFonts w:ascii="Times New Roman" w:hAnsi="Times New Roman" w:cs="Times New Roman"/>
          <w:bCs/>
          <w:color w:val="002060"/>
          <w:sz w:val="16"/>
          <w:szCs w:val="16"/>
        </w:rPr>
        <w:softHyphen/>
        <w:t>мобильного транспорта России до 1917 [года]. М., 1994. С. 39—40) (23452).</w:t>
      </w:r>
    </w:p>
    <w:p w14:paraId="75A757BB" w14:textId="77777777" w:rsidR="00B92EC9" w:rsidRPr="00405303" w:rsidRDefault="00B92EC9" w:rsidP="00C15251">
      <w:pPr>
        <w:jc w:val="both"/>
        <w:rPr>
          <w:bCs/>
          <w:color w:val="002060"/>
          <w:sz w:val="16"/>
          <w:szCs w:val="16"/>
          <w:lang w:bidi="ru-RU"/>
        </w:rPr>
      </w:pPr>
    </w:p>
    <w:p w14:paraId="2FDDA063" w14:textId="77777777" w:rsidR="00B92EC9" w:rsidRPr="00405303" w:rsidRDefault="00B92EC9" w:rsidP="00C15251">
      <w:pPr>
        <w:jc w:val="both"/>
        <w:rPr>
          <w:bCs/>
          <w:color w:val="002060"/>
          <w:sz w:val="16"/>
          <w:szCs w:val="16"/>
        </w:rPr>
      </w:pPr>
      <w:r w:rsidRPr="00405303">
        <w:rPr>
          <w:bCs/>
          <w:color w:val="002060"/>
          <w:sz w:val="16"/>
          <w:szCs w:val="16"/>
          <w:lang w:bidi="en-US"/>
        </w:rPr>
        <w:t>В июне Алексей Путилов, богатый русский промышленник и производитель оружия, встретился в Петрограде с французским послом Палеологом, сообщив ему, что дни царизма сочтены; что революция неизбежна; Военный кризис — это не просто техническая проблема, нужно было решить вопрос о рабочей силе и производстве; наконец, что вся административная система России должна быть реформирована сверху донизу (23525).</w:t>
      </w:r>
    </w:p>
    <w:p w14:paraId="645ECEC1" w14:textId="77777777" w:rsidR="00B92EC9" w:rsidRPr="00405303" w:rsidRDefault="00B92EC9" w:rsidP="00C15251">
      <w:pPr>
        <w:jc w:val="both"/>
        <w:rPr>
          <w:bCs/>
          <w:color w:val="002060"/>
          <w:sz w:val="16"/>
          <w:szCs w:val="16"/>
          <w:lang w:bidi="ru-RU"/>
        </w:rPr>
      </w:pPr>
    </w:p>
    <w:p w14:paraId="0774BE2F" w14:textId="77777777" w:rsidR="0011454E" w:rsidRPr="00405303" w:rsidRDefault="0011454E"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24B0BF15" w14:textId="77777777" w:rsidR="0011454E" w:rsidRPr="00405303" w:rsidRDefault="0011454E" w:rsidP="00C15251">
      <w:pPr>
        <w:pStyle w:val="a3"/>
        <w:jc w:val="both"/>
        <w:rPr>
          <w:bCs/>
          <w:color w:val="002060"/>
          <w:spacing w:val="0"/>
          <w:kern w:val="0"/>
          <w:position w:val="0"/>
          <w:sz w:val="16"/>
          <w:szCs w:val="16"/>
        </w:rPr>
      </w:pPr>
    </w:p>
    <w:p w14:paraId="2B9F5056" w14:textId="1B189405" w:rsidR="0011454E" w:rsidRPr="00405303" w:rsidRDefault="0011454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июне 1915 оба корабля перелетели в Люблин, затем во Влодаву. 14 июня "Киевский" совершил удачный налет на станцию Пржеворск, где метким попаданием пудовой бомбы уничтожил состав с боеприпасами (30.000 снарядов!). Тем временем в Яблонну стали прибывать "Муромцы" типа В с английскими моторами "Санбим". После сборки и испытаний новые корабли (1-й, 11-й и V-й) в начале июля выполнили по 2 боевых задания. Обычно в полет члены экипажа брали один карабин, одно ружье-пулемет Мадсена с 250 патронами и 12-15 пудов бомб. Встреч с немецкими аэропланами практически не было, и потому на борт предпочитали брать больше бомб и горючего, нежели пулеметов, что чуть не привело к потере корабля. Надо отметить, что "Киевский" иногда "таскал" с собой 2 пулемета (Мадсен с Льюисом или Максимом). О первом воздушном бое стоит рассказать поподробнее (11277).</w:t>
      </w:r>
    </w:p>
    <w:p w14:paraId="19D9C691" w14:textId="7D2F9965" w:rsidR="0011454E" w:rsidRPr="00405303" w:rsidRDefault="0011454E" w:rsidP="00C15251">
      <w:pPr>
        <w:pStyle w:val="a3"/>
        <w:jc w:val="both"/>
        <w:rPr>
          <w:bCs/>
          <w:i w:val="0"/>
          <w:color w:val="002060"/>
          <w:spacing w:val="0"/>
          <w:kern w:val="0"/>
          <w:position w:val="0"/>
          <w:sz w:val="16"/>
          <w:szCs w:val="16"/>
        </w:rPr>
      </w:pPr>
    </w:p>
    <w:p w14:paraId="0B305CEE" w14:textId="77777777" w:rsidR="00C81B52" w:rsidRPr="00405303" w:rsidRDefault="00C81B52" w:rsidP="00C81B52">
      <w:pPr>
        <w:jc w:val="both"/>
        <w:rPr>
          <w:color w:val="0070C0"/>
          <w:sz w:val="16"/>
          <w:szCs w:val="16"/>
        </w:rPr>
      </w:pPr>
      <w:r w:rsidRPr="00405303">
        <w:rPr>
          <w:color w:val="0070C0"/>
          <w:sz w:val="16"/>
          <w:szCs w:val="16"/>
        </w:rPr>
        <w:t>В июне 1915 г. Управление ЭВК было преобразовано в Эскадру воздушных кораблей. 20 сентября 1915 г. приказом командира Эскадры было официально объявлено о формировании в Зегевольде боевого отряда. В ноябре 1915 г. ЭВК получила статус соединения и новый штат, который предусматривал выделение от Эскадры трех боевых отрядов, по одному на каждый из фронтов (24965).</w:t>
      </w:r>
    </w:p>
    <w:p w14:paraId="5969D9E5" w14:textId="77777777" w:rsidR="00C81B52" w:rsidRPr="00405303" w:rsidRDefault="00C81B52" w:rsidP="00C81B52">
      <w:pPr>
        <w:jc w:val="both"/>
        <w:rPr>
          <w:color w:val="0070C0"/>
          <w:sz w:val="16"/>
          <w:szCs w:val="16"/>
        </w:rPr>
      </w:pPr>
    </w:p>
    <w:p w14:paraId="4CD91250" w14:textId="0AA5783B" w:rsidR="00C81B52" w:rsidRPr="00405303" w:rsidRDefault="00C81B52" w:rsidP="00C81B52">
      <w:pPr>
        <w:jc w:val="both"/>
        <w:rPr>
          <w:color w:val="0070C0"/>
          <w:sz w:val="16"/>
          <w:szCs w:val="16"/>
        </w:rPr>
      </w:pPr>
      <w:r w:rsidRPr="00405303">
        <w:rPr>
          <w:rStyle w:val="aa"/>
          <w:rFonts w:ascii="Times New Roman" w:hAnsi="Times New Roman"/>
          <w:color w:val="0070C0"/>
          <w:spacing w:val="0"/>
          <w:sz w:val="16"/>
          <w:szCs w:val="16"/>
        </w:rPr>
        <w:t>В июне 1915 года, несмотря на установленное единоначалие в системе организации Петроградского района ВоздО,</w:t>
      </w:r>
      <w:r w:rsidR="000F5756">
        <w:rPr>
          <w:rStyle w:val="aa"/>
          <w:rFonts w:ascii="Times New Roman" w:hAnsi="Times New Roman"/>
          <w:color w:val="0070C0"/>
          <w:spacing w:val="0"/>
          <w:sz w:val="16"/>
          <w:szCs w:val="16"/>
        </w:rPr>
        <w:t xml:space="preserve"> </w:t>
      </w:r>
      <w:r w:rsidRPr="00405303">
        <w:rPr>
          <w:rStyle w:val="aa"/>
          <w:rFonts w:ascii="Times New Roman" w:hAnsi="Times New Roman"/>
          <w:color w:val="0070C0"/>
          <w:spacing w:val="0"/>
          <w:sz w:val="16"/>
          <w:szCs w:val="16"/>
        </w:rPr>
        <w:t xml:space="preserve">была учреждена нештатная должность «заведующего обороной Императорской резиденции от воздушного нападения» (командир - подполковник В.Н. Мальцев) с подчинением ему зенитно-артиллерийской обороны в Царском Селе, сформированного САО и ряда войсковых подразделений. По вопросам боевого применения указанных сил и средств заведующий обороной подчинялся непосредственно Дворцовому коменданту. О важности Императорской резиденции, как объекта ВоздО, говорит тот факт, что зона </w:t>
      </w:r>
      <w:r w:rsidRPr="00405303">
        <w:rPr>
          <w:rStyle w:val="aa"/>
          <w:rFonts w:ascii="Times New Roman" w:hAnsi="Times New Roman"/>
          <w:color w:val="0070C0"/>
          <w:spacing w:val="0"/>
          <w:sz w:val="16"/>
          <w:szCs w:val="16"/>
        </w:rPr>
        <w:lastRenderedPageBreak/>
        <w:t>его ответственности ограничивалась лишь территорией Царского Села и абсолютно не затрагивала воздушное пространство над российской столицей. У руководства специального (охранного) авиаотряда был поставлен штабс-капитан В.А. Павленко. Летный состав отряда комплектовался из числа авиаторов с богатым боевым опытом. Сам командир САО за отличия и личную храбрость на фронте был отмечен орденами и золотым Георгиевским оружием.</w:t>
      </w:r>
    </w:p>
    <w:p w14:paraId="3EA06506" w14:textId="77777777" w:rsidR="00C81B52" w:rsidRPr="00405303" w:rsidRDefault="00C81B52" w:rsidP="00C81B52">
      <w:pPr>
        <w:jc w:val="both"/>
        <w:rPr>
          <w:color w:val="0070C0"/>
          <w:sz w:val="16"/>
          <w:szCs w:val="16"/>
        </w:rPr>
      </w:pPr>
      <w:r w:rsidRPr="00405303">
        <w:rPr>
          <w:rStyle w:val="aa"/>
          <w:rFonts w:ascii="Times New Roman" w:hAnsi="Times New Roman"/>
          <w:color w:val="0070C0"/>
          <w:spacing w:val="0"/>
          <w:sz w:val="16"/>
          <w:szCs w:val="16"/>
        </w:rPr>
        <w:t>На вооружении авиаотряда имелось восемь самолетов (4 действующих и 4 запасных). Однако для решения охранных задач требовалось полное оснащение их автоматическим оружием. Имевшиеся на ЛА ружья-пулеметы Мадсена при стрельбе часто давали отказ и не пользовались уважением среди летчиков отряда. Позднее их заменили пулеметами системы Льюиса (25166).</w:t>
      </w:r>
    </w:p>
    <w:p w14:paraId="2A50687B" w14:textId="77777777" w:rsidR="00C81B52" w:rsidRPr="00405303" w:rsidRDefault="00C81B52" w:rsidP="00C81B52">
      <w:pPr>
        <w:jc w:val="both"/>
        <w:rPr>
          <w:color w:val="0070C0"/>
          <w:sz w:val="16"/>
          <w:szCs w:val="16"/>
        </w:rPr>
      </w:pPr>
    </w:p>
    <w:p w14:paraId="261CB520" w14:textId="6FC95D98" w:rsidR="00321B81" w:rsidRPr="00405303" w:rsidRDefault="00321B81" w:rsidP="00C15251">
      <w:pPr>
        <w:pStyle w:val="a3"/>
        <w:jc w:val="both"/>
        <w:rPr>
          <w:bCs/>
          <w:iCs/>
          <w:color w:val="002060"/>
          <w:spacing w:val="0"/>
          <w:kern w:val="0"/>
          <w:position w:val="0"/>
          <w:sz w:val="16"/>
          <w:szCs w:val="16"/>
        </w:rPr>
      </w:pPr>
      <w:r w:rsidRPr="00405303">
        <w:rPr>
          <w:bCs/>
          <w:iCs/>
          <w:color w:val="002060"/>
          <w:spacing w:val="0"/>
          <w:kern w:val="0"/>
          <w:position w:val="0"/>
          <w:sz w:val="16"/>
          <w:szCs w:val="16"/>
        </w:rPr>
        <w:t>Морская авиация:</w:t>
      </w:r>
    </w:p>
    <w:p w14:paraId="32D87276" w14:textId="77777777" w:rsidR="00321B81" w:rsidRPr="00405303" w:rsidRDefault="00321B81" w:rsidP="00C15251">
      <w:pPr>
        <w:pStyle w:val="a3"/>
        <w:jc w:val="both"/>
        <w:rPr>
          <w:bCs/>
          <w:iCs/>
          <w:color w:val="002060"/>
          <w:spacing w:val="0"/>
          <w:kern w:val="0"/>
          <w:position w:val="0"/>
          <w:sz w:val="16"/>
          <w:szCs w:val="16"/>
        </w:rPr>
      </w:pPr>
    </w:p>
    <w:p w14:paraId="52A35B8D" w14:textId="081A8A12" w:rsidR="0011454E" w:rsidRPr="00405303" w:rsidRDefault="00321B81" w:rsidP="00C15251">
      <w:pPr>
        <w:jc w:val="both"/>
        <w:rPr>
          <w:bCs/>
          <w:color w:val="002060"/>
          <w:sz w:val="16"/>
          <w:szCs w:val="16"/>
        </w:rPr>
      </w:pPr>
      <w:r w:rsidRPr="00405303">
        <w:rPr>
          <w:bCs/>
          <w:color w:val="002060"/>
          <w:sz w:val="16"/>
          <w:szCs w:val="16"/>
        </w:rPr>
        <w:t>В</w:t>
      </w:r>
      <w:r w:rsidR="0011454E" w:rsidRPr="00405303">
        <w:rPr>
          <w:bCs/>
          <w:color w:val="002060"/>
          <w:sz w:val="16"/>
          <w:szCs w:val="16"/>
        </w:rPr>
        <w:t xml:space="preserve"> июне 1915 г. </w:t>
      </w:r>
      <w:r w:rsidRPr="00405303">
        <w:rPr>
          <w:bCs/>
          <w:color w:val="002060"/>
          <w:sz w:val="16"/>
          <w:szCs w:val="16"/>
        </w:rPr>
        <w:t xml:space="preserve">на дамбе Гутуевского острова (район Петроградского порта) была учреждена Петроградская офицерская школа морских летчиков. </w:t>
      </w:r>
      <w:r w:rsidR="0011454E" w:rsidRPr="00405303">
        <w:rPr>
          <w:bCs/>
          <w:color w:val="002060"/>
          <w:sz w:val="16"/>
          <w:szCs w:val="16"/>
        </w:rPr>
        <w:t>Первоначально ее содержал Отдел воздушного флота (ОВФ), имевший лишь косвенное отношение к военно-морским силам. Для работы в зимний период в конце 1915 г. появился филиал в Баку, преобразованный в феврале 1917 г. в самостоятельное учебное заведение Морского ведом</w:t>
      </w:r>
      <w:r w:rsidR="0011454E" w:rsidRPr="00405303">
        <w:rPr>
          <w:bCs/>
          <w:color w:val="002060"/>
          <w:sz w:val="16"/>
          <w:szCs w:val="16"/>
        </w:rPr>
        <w:softHyphen/>
        <w:t>ства, управлявшего с конца 1916 г. и Петроградской школой (2807).</w:t>
      </w:r>
    </w:p>
    <w:p w14:paraId="5FFC16DF" w14:textId="77777777" w:rsidR="0011454E" w:rsidRPr="00405303" w:rsidRDefault="0011454E" w:rsidP="00C15251">
      <w:pPr>
        <w:jc w:val="both"/>
        <w:rPr>
          <w:bCs/>
          <w:color w:val="002060"/>
          <w:sz w:val="16"/>
          <w:szCs w:val="16"/>
        </w:rPr>
      </w:pPr>
    </w:p>
    <w:p w14:paraId="6506635E" w14:textId="77777777" w:rsidR="0011454E" w:rsidRPr="00405303" w:rsidRDefault="0011454E" w:rsidP="00C15251">
      <w:pPr>
        <w:pStyle w:val="a3"/>
        <w:jc w:val="both"/>
        <w:rPr>
          <w:bCs/>
          <w:color w:val="002060"/>
          <w:spacing w:val="0"/>
          <w:kern w:val="0"/>
          <w:position w:val="0"/>
          <w:sz w:val="16"/>
          <w:szCs w:val="16"/>
        </w:rPr>
      </w:pPr>
      <w:r w:rsidRPr="00405303">
        <w:rPr>
          <w:bCs/>
          <w:color w:val="002060"/>
          <w:spacing w:val="0"/>
          <w:kern w:val="0"/>
          <w:position w:val="0"/>
          <w:sz w:val="16"/>
          <w:szCs w:val="16"/>
        </w:rPr>
        <w:t>Воздухоплавание:</w:t>
      </w:r>
    </w:p>
    <w:p w14:paraId="411EFEBD" w14:textId="77777777" w:rsidR="0011454E" w:rsidRPr="00405303" w:rsidRDefault="0011454E" w:rsidP="00C15251">
      <w:pPr>
        <w:pStyle w:val="a3"/>
        <w:jc w:val="both"/>
        <w:rPr>
          <w:bCs/>
          <w:color w:val="002060"/>
          <w:spacing w:val="0"/>
          <w:kern w:val="0"/>
          <w:position w:val="0"/>
          <w:sz w:val="16"/>
          <w:szCs w:val="16"/>
        </w:rPr>
      </w:pPr>
    </w:p>
    <w:p w14:paraId="1C94D1DC" w14:textId="4592DF86" w:rsidR="0011454E" w:rsidRPr="00405303" w:rsidRDefault="0011454E" w:rsidP="00C15251">
      <w:pPr>
        <w:jc w:val="both"/>
        <w:rPr>
          <w:bCs/>
          <w:color w:val="002060"/>
          <w:sz w:val="16"/>
          <w:szCs w:val="16"/>
        </w:rPr>
      </w:pPr>
      <w:r w:rsidRPr="00405303">
        <w:rPr>
          <w:bCs/>
          <w:color w:val="002060"/>
          <w:sz w:val="16"/>
          <w:szCs w:val="16"/>
        </w:rPr>
        <w:t xml:space="preserve">В июне </w:t>
      </w:r>
      <w:r w:rsidR="00321B81" w:rsidRPr="00405303">
        <w:rPr>
          <w:bCs/>
          <w:color w:val="002060"/>
          <w:sz w:val="16"/>
          <w:szCs w:val="16"/>
        </w:rPr>
        <w:t xml:space="preserve">1915 </w:t>
      </w:r>
      <w:r w:rsidRPr="00405303">
        <w:rPr>
          <w:bCs/>
          <w:color w:val="002060"/>
          <w:sz w:val="16"/>
          <w:szCs w:val="16"/>
        </w:rPr>
        <w:t>Древницкий прибыл в Курск. Он совершил здесь два по</w:t>
      </w:r>
      <w:r w:rsidRPr="00405303">
        <w:rPr>
          <w:bCs/>
          <w:color w:val="002060"/>
          <w:sz w:val="16"/>
          <w:szCs w:val="16"/>
        </w:rPr>
        <w:softHyphen/>
        <w:t>лета из сада Купеческого собра</w:t>
      </w:r>
      <w:r w:rsidRPr="00405303">
        <w:rPr>
          <w:bCs/>
          <w:color w:val="002060"/>
          <w:sz w:val="16"/>
          <w:szCs w:val="16"/>
        </w:rPr>
        <w:softHyphen/>
        <w:t>ния и убедился, что еще остались у него силы, а зрители все так же восторженно его принимают. «Гром аплодисментов встретил смельчака-авиатора, — писала газета 'Курская быль", — когда после прыжка он возвратился в сад».</w:t>
      </w:r>
    </w:p>
    <w:p w14:paraId="1443B6D2" w14:textId="77777777" w:rsidR="0011454E" w:rsidRPr="00405303" w:rsidRDefault="0011454E" w:rsidP="00C15251">
      <w:pPr>
        <w:jc w:val="both"/>
        <w:rPr>
          <w:bCs/>
          <w:color w:val="002060"/>
          <w:sz w:val="16"/>
          <w:szCs w:val="16"/>
        </w:rPr>
      </w:pPr>
      <w:r w:rsidRPr="00405303">
        <w:rPr>
          <w:bCs/>
          <w:color w:val="002060"/>
          <w:sz w:val="16"/>
          <w:szCs w:val="16"/>
        </w:rPr>
        <w:t>Следующей была Тула. Пры</w:t>
      </w:r>
      <w:r w:rsidRPr="00405303">
        <w:rPr>
          <w:bCs/>
          <w:color w:val="002060"/>
          <w:sz w:val="16"/>
          <w:szCs w:val="16"/>
        </w:rPr>
        <w:softHyphen/>
        <w:t>гал он с управляемым парашю</w:t>
      </w:r>
      <w:r w:rsidRPr="00405303">
        <w:rPr>
          <w:bCs/>
          <w:color w:val="002060"/>
          <w:sz w:val="16"/>
          <w:szCs w:val="16"/>
        </w:rPr>
        <w:softHyphen/>
        <w:t>том, и газеты это отметили.</w:t>
      </w:r>
    </w:p>
    <w:p w14:paraId="04C95E39" w14:textId="77777777" w:rsidR="0011454E" w:rsidRPr="00405303" w:rsidRDefault="0011454E" w:rsidP="00C15251">
      <w:pPr>
        <w:jc w:val="both"/>
        <w:rPr>
          <w:bCs/>
          <w:color w:val="002060"/>
          <w:sz w:val="16"/>
          <w:szCs w:val="16"/>
        </w:rPr>
      </w:pPr>
      <w:r w:rsidRPr="00405303">
        <w:rPr>
          <w:bCs/>
          <w:color w:val="002060"/>
          <w:sz w:val="16"/>
          <w:szCs w:val="16"/>
        </w:rPr>
        <w:t>Война была в разгаре. С фрон</w:t>
      </w:r>
      <w:r w:rsidRPr="00405303">
        <w:rPr>
          <w:bCs/>
          <w:color w:val="002060"/>
          <w:sz w:val="16"/>
          <w:szCs w:val="16"/>
        </w:rPr>
        <w:softHyphen/>
        <w:t>та приходили тревожные вести о применении немцами отравляющих газов. В стране шла кампания по заготовке защитных марлевых по</w:t>
      </w:r>
      <w:r w:rsidRPr="00405303">
        <w:rPr>
          <w:bCs/>
          <w:color w:val="002060"/>
          <w:sz w:val="16"/>
          <w:szCs w:val="16"/>
        </w:rPr>
        <w:softHyphen/>
        <w:t>вязок, масок, пропитанных особы</w:t>
      </w:r>
      <w:r w:rsidRPr="00405303">
        <w:rPr>
          <w:bCs/>
          <w:color w:val="002060"/>
          <w:sz w:val="16"/>
          <w:szCs w:val="16"/>
        </w:rPr>
        <w:softHyphen/>
        <w:t>ми веществами. На фронт отправ</w:t>
      </w:r>
      <w:r w:rsidRPr="00405303">
        <w:rPr>
          <w:bCs/>
          <w:color w:val="002060"/>
          <w:sz w:val="16"/>
          <w:szCs w:val="16"/>
        </w:rPr>
        <w:softHyphen/>
        <w:t>лялись десятки тысяч таких «проти</w:t>
      </w:r>
      <w:r w:rsidRPr="00405303">
        <w:rPr>
          <w:bCs/>
          <w:color w:val="002060"/>
          <w:sz w:val="16"/>
          <w:szCs w:val="16"/>
        </w:rPr>
        <w:softHyphen/>
        <w:t>вогазов». Общество Красного Кре</w:t>
      </w:r>
      <w:r w:rsidRPr="00405303">
        <w:rPr>
          <w:bCs/>
          <w:color w:val="002060"/>
          <w:sz w:val="16"/>
          <w:szCs w:val="16"/>
        </w:rPr>
        <w:softHyphen/>
        <w:t>ста организовывало мастерские, изготавливавшие противогазовые повязки, устраивало спектакли и концерты, сборы с которых шли на закупку марли и других материа</w:t>
      </w:r>
      <w:r w:rsidRPr="00405303">
        <w:rPr>
          <w:bCs/>
          <w:color w:val="002060"/>
          <w:sz w:val="16"/>
          <w:szCs w:val="16"/>
        </w:rPr>
        <w:softHyphen/>
        <w:t>лов.</w:t>
      </w:r>
    </w:p>
    <w:p w14:paraId="3C307292" w14:textId="77777777" w:rsidR="0011454E" w:rsidRPr="00405303" w:rsidRDefault="0011454E" w:rsidP="00C15251">
      <w:pPr>
        <w:jc w:val="both"/>
        <w:rPr>
          <w:bCs/>
          <w:color w:val="002060"/>
          <w:sz w:val="16"/>
          <w:szCs w:val="16"/>
        </w:rPr>
      </w:pPr>
      <w:r w:rsidRPr="00405303">
        <w:rPr>
          <w:bCs/>
          <w:color w:val="002060"/>
          <w:sz w:val="16"/>
          <w:szCs w:val="16"/>
        </w:rPr>
        <w:t>Юзеф Древницкий в Туле тоже внес свою лепту в это благородное дело. Было объявлено, что треть сбора от второго полета (он со</w:t>
      </w:r>
      <w:r w:rsidRPr="00405303">
        <w:rPr>
          <w:bCs/>
          <w:color w:val="002060"/>
          <w:sz w:val="16"/>
          <w:szCs w:val="16"/>
        </w:rPr>
        <w:softHyphen/>
        <w:t>стоялся 12 июля) будет передана на изготовление «противогазов».</w:t>
      </w:r>
    </w:p>
    <w:p w14:paraId="29A817EB" w14:textId="77777777" w:rsidR="0011454E" w:rsidRPr="00405303" w:rsidRDefault="0011454E" w:rsidP="00C15251">
      <w:pPr>
        <w:jc w:val="both"/>
        <w:rPr>
          <w:bCs/>
          <w:color w:val="002060"/>
          <w:sz w:val="16"/>
          <w:szCs w:val="16"/>
        </w:rPr>
      </w:pPr>
      <w:r w:rsidRPr="00405303">
        <w:rPr>
          <w:bCs/>
          <w:color w:val="002060"/>
          <w:sz w:val="16"/>
          <w:szCs w:val="16"/>
        </w:rPr>
        <w:t>Лихолетье чувствовалось во всем: в подавленном настроении людей, в нехватке самых необходи</w:t>
      </w:r>
      <w:r w:rsidRPr="00405303">
        <w:rPr>
          <w:bCs/>
          <w:color w:val="002060"/>
          <w:sz w:val="16"/>
          <w:szCs w:val="16"/>
        </w:rPr>
        <w:softHyphen/>
        <w:t>мых товаров, росте цен и сниже</w:t>
      </w:r>
      <w:r w:rsidRPr="00405303">
        <w:rPr>
          <w:bCs/>
          <w:color w:val="002060"/>
          <w:sz w:val="16"/>
          <w:szCs w:val="16"/>
        </w:rPr>
        <w:softHyphen/>
        <w:t>нии качества продуктов. Так было во всех городах России.</w:t>
      </w:r>
    </w:p>
    <w:p w14:paraId="30AA53C9" w14:textId="77777777" w:rsidR="0011454E" w:rsidRPr="00405303" w:rsidRDefault="0011454E" w:rsidP="00C15251">
      <w:pPr>
        <w:jc w:val="both"/>
        <w:rPr>
          <w:bCs/>
          <w:color w:val="002060"/>
          <w:sz w:val="16"/>
          <w:szCs w:val="16"/>
        </w:rPr>
      </w:pPr>
      <w:r w:rsidRPr="00405303">
        <w:rPr>
          <w:bCs/>
          <w:color w:val="002060"/>
          <w:sz w:val="16"/>
          <w:szCs w:val="16"/>
        </w:rPr>
        <w:t>Далее Юзеф Древницкий летал в Калуге, Иваново-Вознесенске, Ярославле и Вологде. В сентябре он был в Вятке, а затем, в заверше</w:t>
      </w:r>
      <w:r w:rsidRPr="00405303">
        <w:rPr>
          <w:bCs/>
          <w:color w:val="002060"/>
          <w:sz w:val="16"/>
          <w:szCs w:val="16"/>
        </w:rPr>
        <w:softHyphen/>
        <w:t>ние своей поездки, посетил Пермь. Осенняя непогода заставила его возвратиться в Москву. После 1915 года он уже не летал, многолетняя воздухоплавательная деятельность бесстрашного аэронавта-ларашю- тиста закончилась.</w:t>
      </w:r>
    </w:p>
    <w:p w14:paraId="115D0F74" w14:textId="77777777" w:rsidR="0011454E" w:rsidRPr="00405303" w:rsidRDefault="0011454E" w:rsidP="00C15251">
      <w:pPr>
        <w:jc w:val="both"/>
        <w:rPr>
          <w:bCs/>
          <w:color w:val="002060"/>
          <w:sz w:val="16"/>
          <w:szCs w:val="16"/>
        </w:rPr>
      </w:pPr>
      <w:r w:rsidRPr="00405303">
        <w:rPr>
          <w:bCs/>
          <w:color w:val="002060"/>
          <w:sz w:val="16"/>
          <w:szCs w:val="16"/>
        </w:rPr>
        <w:t>Сколько же совершил он за свою жизнь полетов и прыжков? Точно ответить на этот вопрос невозмож</w:t>
      </w:r>
      <w:r w:rsidRPr="00405303">
        <w:rPr>
          <w:bCs/>
          <w:color w:val="002060"/>
          <w:sz w:val="16"/>
          <w:szCs w:val="16"/>
        </w:rPr>
        <w:softHyphen/>
        <w:t>но. Приезжая в тот или иной го</w:t>
      </w:r>
      <w:r w:rsidRPr="00405303">
        <w:rPr>
          <w:bCs/>
          <w:color w:val="002060"/>
          <w:sz w:val="16"/>
          <w:szCs w:val="16"/>
        </w:rPr>
        <w:softHyphen/>
        <w:t>род, Юзеф Маврикиевич иногда сам объявлял о количестве совер</w:t>
      </w:r>
      <w:r w:rsidRPr="00405303">
        <w:rPr>
          <w:bCs/>
          <w:color w:val="002060"/>
          <w:sz w:val="16"/>
          <w:szCs w:val="16"/>
        </w:rPr>
        <w:softHyphen/>
        <w:t>шенных им ранее подъемов в воз</w:t>
      </w:r>
      <w:r w:rsidRPr="00405303">
        <w:rPr>
          <w:bCs/>
          <w:color w:val="002060"/>
          <w:sz w:val="16"/>
          <w:szCs w:val="16"/>
        </w:rPr>
        <w:softHyphen/>
        <w:t>дух. К августу 1895 года, по сооб</w:t>
      </w:r>
      <w:r w:rsidRPr="00405303">
        <w:rPr>
          <w:bCs/>
          <w:color w:val="002060"/>
          <w:sz w:val="16"/>
          <w:szCs w:val="16"/>
        </w:rPr>
        <w:softHyphen/>
        <w:t>щению нижегородской газеты, у него насчитывалось двести пятьде</w:t>
      </w:r>
      <w:r w:rsidRPr="00405303">
        <w:rPr>
          <w:bCs/>
          <w:color w:val="002060"/>
          <w:sz w:val="16"/>
          <w:szCs w:val="16"/>
        </w:rPr>
        <w:softHyphen/>
        <w:t>сят полетов. К концу лета 1897 года — триста. Рубеж в четыреста поле</w:t>
      </w:r>
      <w:r w:rsidRPr="00405303">
        <w:rPr>
          <w:bCs/>
          <w:color w:val="002060"/>
          <w:sz w:val="16"/>
          <w:szCs w:val="16"/>
        </w:rPr>
        <w:softHyphen/>
        <w:t>тов он преодолел в 1909 году. А в июне 1912 года в Виннице выпол</w:t>
      </w:r>
      <w:r w:rsidRPr="00405303">
        <w:rPr>
          <w:bCs/>
          <w:color w:val="002060"/>
          <w:sz w:val="16"/>
          <w:szCs w:val="16"/>
        </w:rPr>
        <w:softHyphen/>
        <w:t>нил свой пятьсот пятый полет. Пос</w:t>
      </w:r>
      <w:r w:rsidRPr="00405303">
        <w:rPr>
          <w:bCs/>
          <w:color w:val="002060"/>
          <w:sz w:val="16"/>
          <w:szCs w:val="16"/>
        </w:rPr>
        <w:softHyphen/>
        <w:t>ле этого, как удалось подсчитать, он совершил еще не менее сорока пяти полетов. Автору этих строк удалось собрать достоверные све</w:t>
      </w:r>
      <w:r w:rsidRPr="00405303">
        <w:rPr>
          <w:bCs/>
          <w:color w:val="002060"/>
          <w:sz w:val="16"/>
          <w:szCs w:val="16"/>
        </w:rPr>
        <w:softHyphen/>
        <w:t>дения о сто семидесяти четырех воздушных путешествиях Юзефа Древницкого. Из них сто пятьдесят три окончились прыжками с пара</w:t>
      </w:r>
      <w:r w:rsidRPr="00405303">
        <w:rPr>
          <w:bCs/>
          <w:color w:val="002060"/>
          <w:sz w:val="16"/>
          <w:szCs w:val="16"/>
        </w:rPr>
        <w:softHyphen/>
        <w:t>шютом.</w:t>
      </w:r>
    </w:p>
    <w:p w14:paraId="3A2688EB" w14:textId="77777777" w:rsidR="0011454E" w:rsidRPr="00405303" w:rsidRDefault="0011454E" w:rsidP="00C15251">
      <w:pPr>
        <w:jc w:val="both"/>
        <w:rPr>
          <w:bCs/>
          <w:color w:val="002060"/>
          <w:sz w:val="16"/>
          <w:szCs w:val="16"/>
        </w:rPr>
      </w:pPr>
      <w:r w:rsidRPr="00405303">
        <w:rPr>
          <w:bCs/>
          <w:color w:val="002060"/>
          <w:sz w:val="16"/>
          <w:szCs w:val="16"/>
        </w:rPr>
        <w:t>Прыжков было несколько мень</w:t>
      </w:r>
      <w:r w:rsidRPr="00405303">
        <w:rPr>
          <w:bCs/>
          <w:color w:val="002060"/>
          <w:sz w:val="16"/>
          <w:szCs w:val="16"/>
        </w:rPr>
        <w:softHyphen/>
        <w:t>ше, чем полетов, так как, по раз</w:t>
      </w:r>
      <w:r w:rsidRPr="00405303">
        <w:rPr>
          <w:bCs/>
          <w:color w:val="002060"/>
          <w:sz w:val="16"/>
          <w:szCs w:val="16"/>
        </w:rPr>
        <w:softHyphen/>
        <w:t>ным причинам, аэронавту подчас приходилось опускаться вместе с монгольфьером. По числу прыжков с парашютом, совершенных в те далекие годы, с Юзефом Древниц- ким никто не мог сравниться не только в России, но, вероятно, и за границей. По количеству же лет, отданных этому опасному делу, ему уж точно не было равных нигде.</w:t>
      </w:r>
    </w:p>
    <w:p w14:paraId="735F668D" w14:textId="77777777" w:rsidR="0011454E" w:rsidRPr="00405303" w:rsidRDefault="0011454E" w:rsidP="00C15251">
      <w:pPr>
        <w:jc w:val="both"/>
        <w:rPr>
          <w:bCs/>
          <w:color w:val="002060"/>
          <w:sz w:val="16"/>
          <w:szCs w:val="16"/>
        </w:rPr>
      </w:pPr>
      <w:r w:rsidRPr="00405303">
        <w:rPr>
          <w:bCs/>
          <w:color w:val="002060"/>
          <w:sz w:val="16"/>
          <w:szCs w:val="16"/>
        </w:rPr>
        <w:t>С 1910 года первые русские авиаторы, подобно братьям Древницким, начали совершать турне по России и демонстрировать полеты на аэропланах, казавшиеся тогда удивительными. Случалось, что вы</w:t>
      </w:r>
      <w:r w:rsidRPr="00405303">
        <w:rPr>
          <w:bCs/>
          <w:color w:val="002060"/>
          <w:sz w:val="16"/>
          <w:szCs w:val="16"/>
        </w:rPr>
        <w:softHyphen/>
        <w:t>ступления Юзефа Древницкого про</w:t>
      </w:r>
      <w:r w:rsidRPr="00405303">
        <w:rPr>
          <w:bCs/>
          <w:color w:val="002060"/>
          <w:sz w:val="16"/>
          <w:szCs w:val="16"/>
        </w:rPr>
        <w:softHyphen/>
        <w:t>ходили одновременно с авиацион</w:t>
      </w:r>
      <w:r w:rsidRPr="00405303">
        <w:rPr>
          <w:bCs/>
          <w:color w:val="002060"/>
          <w:sz w:val="16"/>
          <w:szCs w:val="16"/>
        </w:rPr>
        <w:softHyphen/>
        <w:t>ными. Например, в Киеве он летал одновременно с авиатором Кузмин- ским, в Петербурге — с Уточкиным.</w:t>
      </w:r>
    </w:p>
    <w:p w14:paraId="2DEE1E7E" w14:textId="77777777" w:rsidR="0011454E" w:rsidRPr="00405303" w:rsidRDefault="0011454E" w:rsidP="00C15251">
      <w:pPr>
        <w:jc w:val="both"/>
        <w:rPr>
          <w:bCs/>
          <w:color w:val="002060"/>
          <w:sz w:val="16"/>
          <w:szCs w:val="16"/>
        </w:rPr>
      </w:pPr>
      <w:r w:rsidRPr="00405303">
        <w:rPr>
          <w:bCs/>
          <w:color w:val="002060"/>
          <w:sz w:val="16"/>
          <w:szCs w:val="16"/>
        </w:rPr>
        <w:t>Юзеф Маврикиевич понимал, что проигрывает авиаторам. В об</w:t>
      </w:r>
      <w:r w:rsidRPr="00405303">
        <w:rPr>
          <w:bCs/>
          <w:color w:val="002060"/>
          <w:sz w:val="16"/>
          <w:szCs w:val="16"/>
        </w:rPr>
        <w:softHyphen/>
        <w:t>щественном мнении они олицетво</w:t>
      </w:r>
      <w:r w:rsidRPr="00405303">
        <w:rPr>
          <w:bCs/>
          <w:color w:val="002060"/>
          <w:sz w:val="16"/>
          <w:szCs w:val="16"/>
        </w:rPr>
        <w:softHyphen/>
        <w:t>ряли собой победу человека над воздухом, свидетельствовали о на</w:t>
      </w:r>
      <w:r w:rsidRPr="00405303">
        <w:rPr>
          <w:bCs/>
          <w:color w:val="002060"/>
          <w:sz w:val="16"/>
          <w:szCs w:val="16"/>
        </w:rPr>
        <w:softHyphen/>
        <w:t>чале новой эры. Его же подъемы на</w:t>
      </w:r>
    </w:p>
    <w:p w14:paraId="23149793" w14:textId="77777777" w:rsidR="0011454E" w:rsidRPr="00405303" w:rsidRDefault="0011454E" w:rsidP="00C15251">
      <w:pPr>
        <w:jc w:val="both"/>
        <w:rPr>
          <w:bCs/>
          <w:color w:val="002060"/>
          <w:sz w:val="16"/>
          <w:szCs w:val="16"/>
        </w:rPr>
      </w:pPr>
      <w:r w:rsidRPr="00405303">
        <w:rPr>
          <w:bCs/>
          <w:color w:val="002060"/>
          <w:sz w:val="16"/>
          <w:szCs w:val="16"/>
        </w:rPr>
        <w:t>закопченном монгольфьере выг</w:t>
      </w:r>
      <w:r w:rsidRPr="00405303">
        <w:rPr>
          <w:bCs/>
          <w:color w:val="002060"/>
          <w:sz w:val="16"/>
          <w:szCs w:val="16"/>
        </w:rPr>
        <w:softHyphen/>
        <w:t>лядели совсем иначе. По этому поводу пятигорская газета «Кав</w:t>
      </w:r>
      <w:r w:rsidRPr="00405303">
        <w:rPr>
          <w:bCs/>
          <w:color w:val="002060"/>
          <w:sz w:val="16"/>
          <w:szCs w:val="16"/>
        </w:rPr>
        <w:softHyphen/>
        <w:t>казский край» в июне 1911 года писала: «Тому, кто видел полеты на "Форманах", "Блерио* и дру</w:t>
      </w:r>
      <w:r w:rsidRPr="00405303">
        <w:rPr>
          <w:bCs/>
          <w:color w:val="002060"/>
          <w:sz w:val="16"/>
          <w:szCs w:val="16"/>
        </w:rPr>
        <w:softHyphen/>
        <w:t>гих аппаратах, подъем на воздуш</w:t>
      </w:r>
      <w:r w:rsidRPr="00405303">
        <w:rPr>
          <w:bCs/>
          <w:color w:val="002060"/>
          <w:sz w:val="16"/>
          <w:szCs w:val="16"/>
        </w:rPr>
        <w:softHyphen/>
        <w:t>ном шаре кажется уже анахро</w:t>
      </w:r>
      <w:r w:rsidRPr="00405303">
        <w:rPr>
          <w:bCs/>
          <w:color w:val="002060"/>
          <w:sz w:val="16"/>
          <w:szCs w:val="16"/>
        </w:rPr>
        <w:softHyphen/>
        <w:t>низмом».</w:t>
      </w:r>
    </w:p>
    <w:p w14:paraId="6807A709" w14:textId="77777777" w:rsidR="0011454E" w:rsidRPr="00405303" w:rsidRDefault="0011454E" w:rsidP="00C15251">
      <w:pPr>
        <w:jc w:val="both"/>
        <w:rPr>
          <w:bCs/>
          <w:color w:val="002060"/>
          <w:sz w:val="16"/>
          <w:szCs w:val="16"/>
        </w:rPr>
      </w:pPr>
      <w:r w:rsidRPr="00405303">
        <w:rPr>
          <w:bCs/>
          <w:color w:val="002060"/>
          <w:sz w:val="16"/>
          <w:szCs w:val="16"/>
        </w:rPr>
        <w:t>Древницкий и сам с интере</w:t>
      </w:r>
      <w:r w:rsidRPr="00405303">
        <w:rPr>
          <w:bCs/>
          <w:color w:val="002060"/>
          <w:sz w:val="16"/>
          <w:szCs w:val="16"/>
        </w:rPr>
        <w:softHyphen/>
        <w:t>сом относился к авиации, был знаком со многими русскими лет</w:t>
      </w:r>
      <w:r w:rsidRPr="00405303">
        <w:rPr>
          <w:bCs/>
          <w:color w:val="002060"/>
          <w:sz w:val="16"/>
          <w:szCs w:val="16"/>
        </w:rPr>
        <w:softHyphen/>
        <w:t>чиками. Некоторые его газетные публикации касались авиации, ее истории. Нередко перед полетом он рассказывал зрителям о воз</w:t>
      </w:r>
      <w:r w:rsidRPr="00405303">
        <w:rPr>
          <w:bCs/>
          <w:color w:val="002060"/>
          <w:sz w:val="16"/>
          <w:szCs w:val="16"/>
        </w:rPr>
        <w:softHyphen/>
        <w:t>духоплавании, и разговор неиз</w:t>
      </w:r>
      <w:r w:rsidRPr="00405303">
        <w:rPr>
          <w:bCs/>
          <w:color w:val="002060"/>
          <w:sz w:val="16"/>
          <w:szCs w:val="16"/>
        </w:rPr>
        <w:softHyphen/>
        <w:t>менно заканчивался сообщени</w:t>
      </w:r>
      <w:r w:rsidRPr="00405303">
        <w:rPr>
          <w:bCs/>
          <w:color w:val="002060"/>
          <w:sz w:val="16"/>
          <w:szCs w:val="16"/>
        </w:rPr>
        <w:softHyphen/>
        <w:t>ями о достижениях авиации. Как уже ранее говорилось, Юзеф Маврикиевич мечтал стать авиа</w:t>
      </w:r>
      <w:r w:rsidRPr="00405303">
        <w:rPr>
          <w:bCs/>
          <w:color w:val="002060"/>
          <w:sz w:val="16"/>
          <w:szCs w:val="16"/>
        </w:rPr>
        <w:softHyphen/>
        <w:t>тором, хотел научиться летать на аэропланах и получить «бреве» — диплом летчика.</w:t>
      </w:r>
    </w:p>
    <w:p w14:paraId="089FECCC" w14:textId="77777777" w:rsidR="0011454E" w:rsidRPr="00405303" w:rsidRDefault="0011454E" w:rsidP="00C15251">
      <w:pPr>
        <w:jc w:val="both"/>
        <w:rPr>
          <w:bCs/>
          <w:color w:val="002060"/>
          <w:sz w:val="16"/>
          <w:szCs w:val="16"/>
        </w:rPr>
      </w:pPr>
      <w:r w:rsidRPr="00405303">
        <w:rPr>
          <w:bCs/>
          <w:color w:val="002060"/>
          <w:sz w:val="16"/>
          <w:szCs w:val="16"/>
        </w:rPr>
        <w:t>Но мечте этой осуществиться было не суждено. Здоровье Юзе</w:t>
      </w:r>
      <w:r w:rsidRPr="00405303">
        <w:rPr>
          <w:bCs/>
          <w:color w:val="002060"/>
          <w:sz w:val="16"/>
          <w:szCs w:val="16"/>
        </w:rPr>
        <w:softHyphen/>
        <w:t>фа Маврикиевича ухудшалось с каждым годом. Сказались не толь</w:t>
      </w:r>
      <w:r w:rsidRPr="00405303">
        <w:rPr>
          <w:bCs/>
          <w:color w:val="002060"/>
          <w:sz w:val="16"/>
          <w:szCs w:val="16"/>
        </w:rPr>
        <w:softHyphen/>
        <w:t>ко многочисленные аварии, но и колоссальная нервная нагрузка, которую он испытывал в течение многих-многих лет. В 1917 году Юзефа Маврикиевича положили в Сухаревскую больницу, в психиат</w:t>
      </w:r>
      <w:r w:rsidRPr="00405303">
        <w:rPr>
          <w:bCs/>
          <w:color w:val="002060"/>
          <w:sz w:val="16"/>
          <w:szCs w:val="16"/>
        </w:rPr>
        <w:softHyphen/>
        <w:t>рическое отделение</w:t>
      </w:r>
      <w:proofErr w:type="gramStart"/>
      <w:r w:rsidRPr="00405303">
        <w:rPr>
          <w:bCs/>
          <w:color w:val="002060"/>
          <w:sz w:val="16"/>
          <w:szCs w:val="16"/>
        </w:rPr>
        <w:t>, Там</w:t>
      </w:r>
      <w:proofErr w:type="gramEnd"/>
      <w:r w:rsidRPr="00405303">
        <w:rPr>
          <w:bCs/>
          <w:color w:val="002060"/>
          <w:sz w:val="16"/>
          <w:szCs w:val="16"/>
        </w:rPr>
        <w:t xml:space="preserve"> он и умер то ли в июле, то ли в сентябре. Похоронили Юзефа Древницкого на Ваганьковском кладбище. Со временем могила была забыта и потеряна.</w:t>
      </w:r>
    </w:p>
    <w:p w14:paraId="7A4C107E" w14:textId="77777777" w:rsidR="0011454E" w:rsidRPr="00405303" w:rsidRDefault="0011454E" w:rsidP="00C15251">
      <w:pPr>
        <w:jc w:val="both"/>
        <w:rPr>
          <w:bCs/>
          <w:color w:val="002060"/>
          <w:sz w:val="16"/>
          <w:szCs w:val="16"/>
        </w:rPr>
      </w:pPr>
      <w:r w:rsidRPr="00405303">
        <w:rPr>
          <w:bCs/>
          <w:color w:val="002060"/>
          <w:sz w:val="16"/>
          <w:szCs w:val="16"/>
        </w:rPr>
        <w:t>Одним из тех, кто знал Юзефа Древницкого, встречался с ним, был пионер русской авиации Борис Илиодорович Россинский. Вспоми</w:t>
      </w:r>
      <w:r w:rsidRPr="00405303">
        <w:rPr>
          <w:bCs/>
          <w:color w:val="002060"/>
          <w:sz w:val="16"/>
          <w:szCs w:val="16"/>
        </w:rPr>
        <w:softHyphen/>
        <w:t>ная смелые полеты Древницкого, он писал автору этой статьи: «На меня его эксперименты производили не</w:t>
      </w:r>
      <w:r w:rsidRPr="00405303">
        <w:rPr>
          <w:bCs/>
          <w:color w:val="002060"/>
          <w:sz w:val="16"/>
          <w:szCs w:val="16"/>
        </w:rPr>
        <w:softHyphen/>
        <w:t>изгладимое впечатление. Я бы ска</w:t>
      </w:r>
      <w:r w:rsidRPr="00405303">
        <w:rPr>
          <w:bCs/>
          <w:color w:val="002060"/>
          <w:sz w:val="16"/>
          <w:szCs w:val="16"/>
        </w:rPr>
        <w:softHyphen/>
        <w:t>зал, что это была своего рода "под</w:t>
      </w:r>
      <w:r w:rsidRPr="00405303">
        <w:rPr>
          <w:bCs/>
          <w:color w:val="002060"/>
          <w:sz w:val="16"/>
          <w:szCs w:val="16"/>
        </w:rPr>
        <w:softHyphen/>
        <w:t>кормка" развивающегося во мне стремления быть летающим чело</w:t>
      </w:r>
      <w:r w:rsidRPr="00405303">
        <w:rPr>
          <w:bCs/>
          <w:color w:val="002060"/>
          <w:sz w:val="16"/>
          <w:szCs w:val="16"/>
        </w:rPr>
        <w:softHyphen/>
        <w:t>веком. Ю.М. Древницкий был тогда очень популярным деятелем возду</w:t>
      </w:r>
      <w:r w:rsidRPr="00405303">
        <w:rPr>
          <w:bCs/>
          <w:color w:val="002060"/>
          <w:sz w:val="16"/>
          <w:szCs w:val="16"/>
        </w:rPr>
        <w:softHyphen/>
        <w:t>хоплавания, и его гастроли по го</w:t>
      </w:r>
      <w:r w:rsidRPr="00405303">
        <w:rPr>
          <w:bCs/>
          <w:color w:val="002060"/>
          <w:sz w:val="16"/>
          <w:szCs w:val="16"/>
        </w:rPr>
        <w:softHyphen/>
        <w:t>родам России, конечно, разжигали страсти молодого поколения, напо</w:t>
      </w:r>
      <w:r w:rsidRPr="00405303">
        <w:rPr>
          <w:bCs/>
          <w:color w:val="002060"/>
          <w:sz w:val="16"/>
          <w:szCs w:val="16"/>
        </w:rPr>
        <w:softHyphen/>
        <w:t>добие меня. Когда в 1910 году я начал летать на "Блерио" на Хо- дынском поле в Москве, то встре</w:t>
      </w:r>
      <w:r w:rsidRPr="00405303">
        <w:rPr>
          <w:bCs/>
          <w:color w:val="002060"/>
          <w:sz w:val="16"/>
          <w:szCs w:val="16"/>
        </w:rPr>
        <w:softHyphen/>
        <w:t>чался с Древницким уже как авиа</w:t>
      </w:r>
      <w:r w:rsidRPr="00405303">
        <w:rPr>
          <w:bCs/>
          <w:color w:val="002060"/>
          <w:sz w:val="16"/>
          <w:szCs w:val="16"/>
        </w:rPr>
        <w:softHyphen/>
        <w:t>тор, и он говорил, что необходимо применять парашют для спасения летчиков. Он горел на своем лю</w:t>
      </w:r>
      <w:r w:rsidRPr="00405303">
        <w:rPr>
          <w:bCs/>
          <w:color w:val="002060"/>
          <w:sz w:val="16"/>
          <w:szCs w:val="16"/>
        </w:rPr>
        <w:softHyphen/>
        <w:t>бимом деле и, несмотря на получа</w:t>
      </w:r>
      <w:r w:rsidRPr="00405303">
        <w:rPr>
          <w:bCs/>
          <w:color w:val="002060"/>
          <w:sz w:val="16"/>
          <w:szCs w:val="16"/>
        </w:rPr>
        <w:softHyphen/>
        <w:t>емые увечья, не бросал его, как и мы, энтузиасты того времени» (12270).</w:t>
      </w:r>
    </w:p>
    <w:p w14:paraId="5321AF6D" w14:textId="77777777" w:rsidR="0011454E" w:rsidRPr="00405303" w:rsidRDefault="0011454E" w:rsidP="00C15251">
      <w:pPr>
        <w:jc w:val="both"/>
        <w:rPr>
          <w:bCs/>
          <w:color w:val="002060"/>
          <w:sz w:val="16"/>
          <w:szCs w:val="16"/>
        </w:rPr>
      </w:pPr>
    </w:p>
    <w:p w14:paraId="4E53D9F7" w14:textId="77777777" w:rsidR="0011454E" w:rsidRPr="00405303" w:rsidRDefault="0011454E"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 и воздухоплавание Германии:</w:t>
      </w:r>
    </w:p>
    <w:p w14:paraId="01DDABC1" w14:textId="77777777" w:rsidR="0011454E" w:rsidRPr="00405303" w:rsidRDefault="0011454E" w:rsidP="00C15251">
      <w:pPr>
        <w:pStyle w:val="a3"/>
        <w:jc w:val="both"/>
        <w:rPr>
          <w:bCs/>
          <w:color w:val="002060"/>
          <w:spacing w:val="0"/>
          <w:kern w:val="0"/>
          <w:position w:val="0"/>
          <w:sz w:val="16"/>
          <w:szCs w:val="16"/>
        </w:rPr>
      </w:pPr>
    </w:p>
    <w:p w14:paraId="2A6A04DD" w14:textId="77777777" w:rsidR="001220B5" w:rsidRPr="00CF03EC" w:rsidRDefault="001220B5" w:rsidP="001220B5">
      <w:pPr>
        <w:jc w:val="both"/>
        <w:rPr>
          <w:color w:val="0070C0"/>
          <w:sz w:val="16"/>
          <w:szCs w:val="16"/>
        </w:rPr>
      </w:pPr>
      <w:r w:rsidRPr="00CF03EC">
        <w:rPr>
          <w:color w:val="0070C0"/>
          <w:sz w:val="16"/>
          <w:szCs w:val="16"/>
        </w:rPr>
        <w:t>В июне 1915 г. после коротких испытаний Фоккер M.5K/MG (Maschinengewehr, по-немецки пулемет), на который нанесли новый регистрационный номер А.16/15, отправили на аэродром Дуэ у города Лилль на севере Франции – главную базу немецкой армейской авиации на Западном фронте. Пилотом на нее назначили лейтенанта Отто Паршау из полевого авиаотряда (Feldflieger Abteilung) FFA 6b – он поддерживал приятельские отношения с Антоном Фоккером и успел полетать на M.5K/MG в Берлине в ходе испытаний, но пока ни разу не проверял главного – еще не стрелял из пулемета.</w:t>
      </w:r>
    </w:p>
    <w:p w14:paraId="404950DA" w14:textId="77777777" w:rsidR="001220B5" w:rsidRPr="00CF03EC" w:rsidRDefault="001220B5" w:rsidP="001220B5">
      <w:pPr>
        <w:jc w:val="both"/>
        <w:rPr>
          <w:color w:val="0070C0"/>
          <w:sz w:val="16"/>
          <w:szCs w:val="16"/>
        </w:rPr>
      </w:pPr>
      <w:r w:rsidRPr="00CF03EC">
        <w:rPr>
          <w:color w:val="0070C0"/>
          <w:sz w:val="16"/>
          <w:szCs w:val="16"/>
        </w:rPr>
        <w:t xml:space="preserve">Паршау сразу же попытался атаковать французские самолеты, но синхронизатор ни разу не сработал. Истребитель пришлось вернуть на </w:t>
      </w:r>
      <w:proofErr w:type="gramStart"/>
      <w:r w:rsidRPr="00CF03EC">
        <w:rPr>
          <w:color w:val="0070C0"/>
          <w:sz w:val="16"/>
          <w:szCs w:val="16"/>
        </w:rPr>
        <w:t>завод</w:t>
      </w:r>
      <w:proofErr w:type="gramEnd"/>
      <w:r w:rsidRPr="00CF03EC">
        <w:rPr>
          <w:color w:val="0070C0"/>
          <w:sz w:val="16"/>
          <w:szCs w:val="16"/>
        </w:rPr>
        <w:t xml:space="preserve"> где «хитрую механику» отладили. Заодно Фоккер переделал и самолет, сместив крыло чуть вниз – до того M.5K/MG, как и французский прототип имел высокорасположенное крыло, а теперь стал среднепланом. Трудно сказать, насколько самолет выиграл от этого в летных данных, но теперь его стало возможно четко отличить от «Морана», а из кабины стало лучше видно вниз (25772).</w:t>
      </w:r>
    </w:p>
    <w:p w14:paraId="57AF885F" w14:textId="77777777" w:rsidR="001220B5" w:rsidRPr="00CF03EC" w:rsidRDefault="001220B5" w:rsidP="001220B5">
      <w:pPr>
        <w:jc w:val="both"/>
        <w:rPr>
          <w:color w:val="0070C0"/>
          <w:sz w:val="16"/>
          <w:szCs w:val="16"/>
        </w:rPr>
      </w:pPr>
    </w:p>
    <w:p w14:paraId="040F81CD" w14:textId="77777777" w:rsidR="001220B5" w:rsidRPr="00CF03EC" w:rsidRDefault="001220B5" w:rsidP="001220B5">
      <w:pPr>
        <w:jc w:val="both"/>
        <w:rPr>
          <w:color w:val="0070C0"/>
          <w:sz w:val="16"/>
          <w:szCs w:val="16"/>
        </w:rPr>
      </w:pPr>
      <w:r w:rsidRPr="00CF03EC">
        <w:rPr>
          <w:color w:val="0070C0"/>
          <w:sz w:val="16"/>
          <w:szCs w:val="16"/>
        </w:rPr>
        <w:lastRenderedPageBreak/>
        <w:t>В июне месяце 1915 г. два Фоккера M.5K/MG придали авиаотряду FFA 62 – тоже как дополнительные с задачей прикрытия разведчиков. Их приняли переведенный в этот отряд Освальд Бёльке и Макс Иммельман. Лейтенант Отто Паршау сдал изношенный головной A.16/15 на фирму, получил другой M.5K/MG W.Nr. E.1/15, и продолжил свою боевую карьеру на нем (25772).</w:t>
      </w:r>
    </w:p>
    <w:p w14:paraId="61F34E6B" w14:textId="77777777" w:rsidR="001220B5" w:rsidRPr="00CF03EC" w:rsidRDefault="001220B5" w:rsidP="001220B5">
      <w:pPr>
        <w:jc w:val="both"/>
        <w:rPr>
          <w:color w:val="0070C0"/>
          <w:sz w:val="16"/>
          <w:szCs w:val="16"/>
        </w:rPr>
      </w:pPr>
    </w:p>
    <w:p w14:paraId="3012C87B" w14:textId="1EDD20FE" w:rsidR="0011454E" w:rsidRPr="00405303" w:rsidRDefault="0011454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июне 1915 года над Бельгией </w:t>
      </w:r>
      <w:r w:rsidR="00321B81" w:rsidRPr="00405303">
        <w:rPr>
          <w:bCs/>
          <w:i w:val="0"/>
          <w:color w:val="002060"/>
          <w:spacing w:val="0"/>
          <w:kern w:val="0"/>
          <w:position w:val="0"/>
          <w:sz w:val="16"/>
          <w:szCs w:val="16"/>
        </w:rPr>
        <w:t xml:space="preserve">авиабомбами </w:t>
      </w:r>
      <w:r w:rsidRPr="00405303">
        <w:rPr>
          <w:bCs/>
          <w:i w:val="0"/>
          <w:color w:val="002060"/>
          <w:spacing w:val="0"/>
          <w:kern w:val="0"/>
          <w:position w:val="0"/>
          <w:sz w:val="16"/>
          <w:szCs w:val="16"/>
        </w:rPr>
        <w:t xml:space="preserve">был сбит первый немецкий цеппелин LZ 37. </w:t>
      </w:r>
      <w:r w:rsidR="00321B81" w:rsidRPr="00405303">
        <w:rPr>
          <w:bCs/>
          <w:i w:val="0"/>
          <w:color w:val="002060"/>
          <w:spacing w:val="0"/>
          <w:kern w:val="0"/>
          <w:position w:val="0"/>
          <w:sz w:val="16"/>
          <w:szCs w:val="16"/>
        </w:rPr>
        <w:t xml:space="preserve">В 1915-1916 годах появились специальные средства борьбы с дирижаблями. Самолеты сыпали сверху на дирижабль стальные стрелы, которые до того применялись для борьбы с пехотой и конницей. Стрелы пробивали обшивку, из которой выходил газ. Но таким способом удалось сбить только один дирижабль. </w:t>
      </w:r>
      <w:r w:rsidRPr="00405303">
        <w:rPr>
          <w:bCs/>
          <w:i w:val="0"/>
          <w:color w:val="002060"/>
          <w:spacing w:val="0"/>
          <w:kern w:val="0"/>
          <w:position w:val="0"/>
          <w:sz w:val="16"/>
          <w:szCs w:val="16"/>
        </w:rPr>
        <w:t>Но наиболее эффективным средством борьбы с дирижаблями оказался обычный пулемет, стреляющий зажигательными патронами. В результате дирижабли стали применять только по ночам, поэтому пришлось создать ночные истребители. Самолеты получили дополнительное оснащение: прицелы с подсветкой, осветительные ракеты системы Гольта, позиционные огни. Пилоты ночных истребителей проходили дополнительный курс подготовки, оборудовались ночные аэродромы. Вокруг Лондона организовали сеть аэродромов системы ПВО. Самолеты использовались не самые современные, но после доработки, они вполне справлялись с задачами, ставящимися перед ночными истребителями. Выяснилось, что самолеты В.Е. 2с, которые считались неудачными, отлично подошли на роль ночного истребителя. Самолеты переоборудовали, сделав одноместными, а в вырезе правого крыла установили пулемет, направленный вправо и вверх. Первый успех ночной истребитель одержал 3 сентября 1916 года, когда лейтенант У.Л. Робинсон на самолете В.Е. 2с (№ 2092) сбил дирижабль "Шютте-Лянц" SL 11. Следующий дирижабль (L.32) сбил 24 сентября лейтенант Ф. Сори, также летавший на В.Е. 2с. Всего истребители В.Е. 2с сбили пять цеппелинов.. Для борьбы с дирижаблями применялись и другие самолеты. Хорошо показал себя в роли ночного истребителя легкий бомбардировщик DH. 4, который вместо бомб нес пять пулеметов. 5 августа 1917 года налет на Великобританию совершило несколько цеппелинов, в том числе новейший L.70. Англичане своевременно обнаружили немцев. На перехват вылетело 13 английских самолетов, в том числе DH. 4 № А.8032 с экипажем Э. Кедбери и Р. Лек. Самолет набрал высоту 5000 м и оказался под цеппелином, шедшим на 200 м выше. Залп пяти пулеметов оказался достаточным. Зажигательные пули инициировали на цеппелине пожар и взрыв, после чего дирижабль рухнул в море. Весь экипаж цеппелина погиб, в том числе находившийся на его борту Петер Штрессер, командующий флотом немецких цеппелинов и организатор налетов на Великобританию. Вскоре немцы прекратили использовать цеппелины для налетов на Великобританию, заменив их бомбардировщиками "Гота" G. IV и G. V, а также гигантами серии "R". Для борьбы с цеппелинами пытались использовать специальные самолеты "Сопвич" LRTTr. имевшие большой размах крыла и значительную дальность полета. Стрелок на LRTTr располагался на уровне верхнего крыла, имея круговой сектор обстрела (11262).</w:t>
      </w:r>
    </w:p>
    <w:p w14:paraId="5BA1E775" w14:textId="77777777" w:rsidR="0011454E" w:rsidRPr="00405303" w:rsidRDefault="0011454E" w:rsidP="00C15251">
      <w:pPr>
        <w:pStyle w:val="a3"/>
        <w:jc w:val="both"/>
        <w:rPr>
          <w:bCs/>
          <w:i w:val="0"/>
          <w:color w:val="002060"/>
          <w:spacing w:val="0"/>
          <w:kern w:val="0"/>
          <w:position w:val="0"/>
          <w:sz w:val="16"/>
          <w:szCs w:val="16"/>
        </w:rPr>
      </w:pPr>
    </w:p>
    <w:p w14:paraId="6D395D00" w14:textId="77777777" w:rsidR="0011454E" w:rsidRPr="00405303" w:rsidRDefault="0011454E" w:rsidP="00C15251">
      <w:pPr>
        <w:jc w:val="both"/>
        <w:rPr>
          <w:bCs/>
          <w:color w:val="002060"/>
          <w:sz w:val="16"/>
          <w:szCs w:val="16"/>
        </w:rPr>
      </w:pPr>
      <w:r w:rsidRPr="00405303">
        <w:rPr>
          <w:bCs/>
          <w:color w:val="002060"/>
          <w:sz w:val="16"/>
          <w:szCs w:val="16"/>
        </w:rPr>
        <w:t xml:space="preserve">В июне и в июле 1915 наряду с самолетами в небо взлетали и настоящие боевые самолеты — одноместные. Чтобы новое изобретение не попало в руки противника, самолетам было запрещено перелетать через неприятельские линии. Хотя район их действия этим сокращался, появление их на фронте полностью перевернуло обстановку борьбы за воздух. Лишь изредка одиночные французские летчики стали принимать бой. Качественному превосходству германских самолетов неприятель противопоставил численное. Таким путем возникли объединения из многих самолетов, прикрывавших друг друга благодаря целесообразному эшелонированию по фронту и по высоте. Такое движение самолетов — </w:t>
      </w:r>
      <w:r w:rsidRPr="00405303">
        <w:rPr>
          <w:rFonts w:eastAsia="Times-Roman"/>
          <w:bCs/>
          <w:color w:val="002060"/>
          <w:sz w:val="16"/>
          <w:szCs w:val="16"/>
        </w:rPr>
        <w:t>ｫｻ</w:t>
      </w:r>
      <w:r w:rsidRPr="00405303">
        <w:rPr>
          <w:bCs/>
          <w:color w:val="002060"/>
          <w:sz w:val="16"/>
          <w:szCs w:val="16"/>
        </w:rPr>
        <w:t xml:space="preserve"> — стало применяться затем и нашими самолетами </w:t>
      </w:r>
      <w:r w:rsidRPr="00405303">
        <w:rPr>
          <w:rFonts w:eastAsia="Times-Roman"/>
          <w:bCs/>
          <w:color w:val="002060"/>
          <w:sz w:val="16"/>
          <w:szCs w:val="16"/>
        </w:rPr>
        <w:t>ｫｻ</w:t>
      </w:r>
      <w:r w:rsidRPr="00405303">
        <w:rPr>
          <w:bCs/>
          <w:color w:val="002060"/>
          <w:sz w:val="16"/>
          <w:szCs w:val="16"/>
        </w:rPr>
        <w:t xml:space="preserve">. Для облегчения быстрого введения в бой оказалось целесообразным все авиаотрядов каждой армии соединить вместе в один или несколько отрядов одноместных боевых самолетов. Впоследствии они послужили основой организации истребительных эскадрилий. Сражающиеся на земле войска были чрезвычайно довольны тем, что наша авиация могла теперь отгонять от них неприятельские самолеты, которые ранее изрядно им досаждали. Впрочем, встречались и курьезные требования. Так, например, штаб одной из армий уже через несколько дней после получения первого самолета </w:t>
      </w:r>
      <w:r w:rsidRPr="00405303">
        <w:rPr>
          <w:rFonts w:eastAsia="Times-Roman"/>
          <w:bCs/>
          <w:color w:val="002060"/>
          <w:sz w:val="16"/>
          <w:szCs w:val="16"/>
        </w:rPr>
        <w:t>ｫ</w:t>
      </w:r>
      <w:r w:rsidRPr="00405303">
        <w:rPr>
          <w:bCs/>
          <w:color w:val="002060"/>
          <w:sz w:val="16"/>
          <w:szCs w:val="16"/>
        </w:rPr>
        <w:t>„</w:t>
      </w:r>
      <w:r w:rsidRPr="00405303">
        <w:rPr>
          <w:rFonts w:eastAsia="Times-Roman"/>
          <w:bCs/>
          <w:color w:val="002060"/>
          <w:sz w:val="16"/>
          <w:szCs w:val="16"/>
        </w:rPr>
        <w:t>ｻ</w:t>
      </w:r>
      <w:r w:rsidRPr="00405303">
        <w:rPr>
          <w:bCs/>
          <w:color w:val="002060"/>
          <w:sz w:val="16"/>
          <w:szCs w:val="16"/>
        </w:rPr>
        <w:t xml:space="preserve"> выражал свое недовольство тем, что как-то раз неприятельскому летчику удалось залететь далеко в глубь нашего расположения, хотя </w:t>
      </w:r>
      <w:r w:rsidRPr="00405303">
        <w:rPr>
          <w:rFonts w:eastAsia="Times-Roman"/>
          <w:bCs/>
          <w:color w:val="002060"/>
          <w:sz w:val="16"/>
          <w:szCs w:val="16"/>
        </w:rPr>
        <w:t>ｫ</w:t>
      </w:r>
      <w:r w:rsidRPr="00405303">
        <w:rPr>
          <w:bCs/>
          <w:color w:val="002060"/>
          <w:sz w:val="16"/>
          <w:szCs w:val="16"/>
        </w:rPr>
        <w:t xml:space="preserve"> располагает теперь одним боевым самолетом</w:t>
      </w:r>
      <w:r w:rsidRPr="00405303">
        <w:rPr>
          <w:rFonts w:eastAsia="Times-Roman"/>
          <w:bCs/>
          <w:color w:val="002060"/>
          <w:sz w:val="16"/>
          <w:szCs w:val="16"/>
        </w:rPr>
        <w:t>ｻ</w:t>
      </w:r>
      <w:r w:rsidRPr="00405303">
        <w:rPr>
          <w:rFonts w:eastAsia="Times-Roman"/>
          <w:bCs/>
          <w:color w:val="002060"/>
          <w:sz w:val="16"/>
          <w:szCs w:val="16"/>
        </w:rPr>
        <w:t xml:space="preserve"> (11282)</w:t>
      </w:r>
      <w:r w:rsidRPr="00405303">
        <w:rPr>
          <w:bCs/>
          <w:color w:val="002060"/>
          <w:sz w:val="16"/>
          <w:szCs w:val="16"/>
        </w:rPr>
        <w:t>.</w:t>
      </w:r>
    </w:p>
    <w:p w14:paraId="4CB1BF9C" w14:textId="77777777" w:rsidR="0011454E" w:rsidRPr="00405303" w:rsidRDefault="0011454E" w:rsidP="00C15251">
      <w:pPr>
        <w:jc w:val="both"/>
        <w:rPr>
          <w:bCs/>
          <w:color w:val="002060"/>
          <w:sz w:val="16"/>
          <w:szCs w:val="16"/>
        </w:rPr>
      </w:pPr>
    </w:p>
    <w:p w14:paraId="368CCD7E" w14:textId="77777777" w:rsidR="0011454E" w:rsidRPr="00405303" w:rsidRDefault="0011454E" w:rsidP="00C15251">
      <w:pPr>
        <w:jc w:val="both"/>
        <w:rPr>
          <w:bCs/>
          <w:color w:val="002060"/>
          <w:sz w:val="16"/>
          <w:szCs w:val="16"/>
        </w:rPr>
      </w:pPr>
      <w:r w:rsidRPr="00405303">
        <w:rPr>
          <w:bCs/>
          <w:color w:val="002060"/>
          <w:sz w:val="16"/>
          <w:szCs w:val="16"/>
        </w:rPr>
        <w:t>В июне 1915 во время разведки для защиты немецких тральщиков в Северном море немецкий флотский Zeppelin L5 встречает на малой высоте отряд легких крейсеров и эсминцев Королевского флота. Легкий крейсер HMS Arethusa быстро запускает гидросамолет Sopwith, который быстро приближается к L5, когда его пилот ошибочно принимает дым британских эсминцев за сигнал отзыва и отказывается от погони, что приводит к одной из самых многообещающих ранних возможностей для перехвата дирижабля самолетом (20338).</w:t>
      </w:r>
    </w:p>
    <w:p w14:paraId="52B41D75" w14:textId="77777777" w:rsidR="0011454E" w:rsidRPr="00405303" w:rsidRDefault="0011454E" w:rsidP="00C15251">
      <w:pPr>
        <w:jc w:val="both"/>
        <w:rPr>
          <w:bCs/>
          <w:color w:val="002060"/>
          <w:sz w:val="16"/>
          <w:szCs w:val="16"/>
        </w:rPr>
      </w:pPr>
    </w:p>
    <w:p w14:paraId="62DB04AB" w14:textId="77777777" w:rsidR="0011454E" w:rsidRPr="00405303" w:rsidRDefault="0011454E" w:rsidP="00C15251">
      <w:pPr>
        <w:jc w:val="both"/>
        <w:rPr>
          <w:bCs/>
          <w:i/>
          <w:color w:val="002060"/>
          <w:sz w:val="16"/>
          <w:szCs w:val="16"/>
        </w:rPr>
      </w:pPr>
      <w:r w:rsidRPr="00405303">
        <w:rPr>
          <w:bCs/>
          <w:i/>
          <w:color w:val="002060"/>
          <w:sz w:val="16"/>
          <w:szCs w:val="16"/>
        </w:rPr>
        <w:t>Авиация и воздухоплавание Англии:</w:t>
      </w:r>
    </w:p>
    <w:p w14:paraId="074EF4EF" w14:textId="77777777" w:rsidR="0011454E" w:rsidRPr="00405303" w:rsidRDefault="0011454E" w:rsidP="00C15251">
      <w:pPr>
        <w:jc w:val="both"/>
        <w:rPr>
          <w:bCs/>
          <w:i/>
          <w:color w:val="002060"/>
          <w:sz w:val="16"/>
          <w:szCs w:val="16"/>
        </w:rPr>
      </w:pPr>
    </w:p>
    <w:p w14:paraId="540D06E1" w14:textId="77777777" w:rsidR="0011454E" w:rsidRPr="00405303" w:rsidRDefault="0011454E" w:rsidP="00C15251">
      <w:pPr>
        <w:jc w:val="both"/>
        <w:rPr>
          <w:bCs/>
          <w:color w:val="002060"/>
          <w:sz w:val="16"/>
          <w:szCs w:val="16"/>
        </w:rPr>
      </w:pPr>
      <w:r w:rsidRPr="00405303">
        <w:rPr>
          <w:bCs/>
          <w:color w:val="002060"/>
          <w:sz w:val="16"/>
          <w:szCs w:val="16"/>
        </w:rPr>
        <w:t>Начиная с июня 1915 года 6-й противовоздушный легкий дивизион крейсеров базировалась на Хамбере. Подлодки Е-4 и Е-6 вооружили 100-мм пушками для борьбы с цеппелинами в Германской бухте. Входившие в состав отряда из Гарвича крейсера «Аврора» и «Пенелопа» приняли на борт гидросамолеты, которые могли быть использованы в благоприятных обстоятельствах (11234).</w:t>
      </w:r>
    </w:p>
    <w:p w14:paraId="12CDBFF4" w14:textId="77777777" w:rsidR="0011454E" w:rsidRPr="00405303" w:rsidRDefault="0011454E" w:rsidP="00C15251">
      <w:pPr>
        <w:jc w:val="both"/>
        <w:rPr>
          <w:bCs/>
          <w:i/>
          <w:color w:val="002060"/>
          <w:sz w:val="16"/>
          <w:szCs w:val="16"/>
        </w:rPr>
      </w:pPr>
    </w:p>
    <w:p w14:paraId="7B171C02" w14:textId="5D8A461B" w:rsidR="0011454E" w:rsidRPr="00405303" w:rsidRDefault="0011454E" w:rsidP="00C15251">
      <w:pPr>
        <w:jc w:val="both"/>
        <w:rPr>
          <w:bCs/>
          <w:color w:val="002060"/>
          <w:sz w:val="16"/>
          <w:szCs w:val="16"/>
        </w:rPr>
      </w:pPr>
      <w:r w:rsidRPr="00405303">
        <w:rPr>
          <w:bCs/>
          <w:color w:val="002060"/>
          <w:sz w:val="16"/>
          <w:szCs w:val="16"/>
        </w:rPr>
        <w:t xml:space="preserve">В июне 1915 года на основе морского дирижабля № 10 (с оболочкой «Астра-Торрес») возник тип «С» (coastal — береговой) с характерной трехарочной оболочкой объемом 4810 куб. м. Длинная гондола с кабиной, в которой располагались 5 членов экипажа, была образована двумя фюзеляжами самолетов «Авро 510», состыкованными хвостовыми частями друг к другу. Спереди стоял мотор «Бреге» мощностью 110 л. с., а сзади толкающий «Фиат» мощностью 260 л. с., но на серийных машинах использовались два «Санбима» по 150 л. с. Дирижабли типа «С» развивали скорость 83,5 км/ч. Были изготовлены 31 дирижабль этого типа и еще 12 дирижаблей усовершенствованного типа «С. Star» с большей оболочкой объемом 5950 куб. м. Моторная установка была такой же, как и на опытном типе «С». Они могли находиться в воздухе до 24 часов. Береговые дирижабли несли службу в области Ландс Энд, в устье реки Хамбер, над заливом Ферт-оф-Форт, на север от Абердина и над побережьем у Норфолка. В конце войны они были оснащены 18-дюймовыми противолодочными торпедами, однако успешно воспользоваться этим оружием не удалось. Дирижаблей этого типа построили около сорока. По заключению Адмиралтейства, воздушные корабли серии «С» во время войны выполнили все задания с оценкой «отлично». </w:t>
      </w:r>
    </w:p>
    <w:p w14:paraId="409A78DB" w14:textId="77777777" w:rsidR="0011454E" w:rsidRPr="00405303" w:rsidRDefault="0011454E" w:rsidP="00C15251">
      <w:pPr>
        <w:jc w:val="both"/>
        <w:rPr>
          <w:bCs/>
          <w:color w:val="002060"/>
          <w:sz w:val="16"/>
          <w:szCs w:val="16"/>
        </w:rPr>
      </w:pPr>
      <w:r w:rsidRPr="00405303">
        <w:rPr>
          <w:bCs/>
          <w:color w:val="002060"/>
          <w:sz w:val="16"/>
          <w:szCs w:val="16"/>
        </w:rPr>
        <w:t xml:space="preserve">Специально для патрулирования над Северным морем и для решения совместных боевых задач с флотом были созданы большие дирижабли типа «N.S.» (North Sea), также с трехарочной оболочкой, но объемом 10 200 куб. м и двумя моторами «Фиат» мощностью по 260 л. с. Гондола была длинной и просторной с закрытой кабиной, где размещалось от шести до девяти человек. Дирижабль мог нести 360 кг бомб. Вооружение включало четыре пулемета Льюис: 3 находились в гондоле и 1 в верхней части оболочки. Было построено 12 воздушных кораблей этого типа, первый приступил к патрульной службе в январе 1917 года. Они развивали скорость 92,5 км/ч и номинально могли находиться в воздухе 24 часа, но практически обычно летали намного дольше. Например, N.S.1 в июне 1917 года продержался в воздухе 49,5 часов, а дирижабль N.S.11 в 1919 году установил мировой рекорд — 101 час полета на расстояние 6400 км. При большой продолжительности [277] полета экипаж работал в две смены. Начало карьеры типа «N.S.» омрачалось частыми авариями, вызванными малой живучестью (200 часов) длинных приводных валов воздушных винтов, но после </w:t>
      </w:r>
      <w:proofErr w:type="gramStart"/>
      <w:r w:rsidRPr="00405303">
        <w:rPr>
          <w:bCs/>
          <w:color w:val="002060"/>
          <w:sz w:val="16"/>
          <w:szCs w:val="16"/>
        </w:rPr>
        <w:t>того</w:t>
      </w:r>
      <w:proofErr w:type="gramEnd"/>
      <w:r w:rsidRPr="00405303">
        <w:rPr>
          <w:bCs/>
          <w:color w:val="002060"/>
          <w:sz w:val="16"/>
          <w:szCs w:val="16"/>
        </w:rPr>
        <w:t xml:space="preserve"> как винты стали устанавливаться непосредственно на вал двигателя, все пришло в норму (11324).</w:t>
      </w:r>
    </w:p>
    <w:p w14:paraId="011B346B" w14:textId="77777777" w:rsidR="0011454E" w:rsidRPr="00405303" w:rsidRDefault="0011454E" w:rsidP="00C15251">
      <w:pPr>
        <w:jc w:val="both"/>
        <w:rPr>
          <w:bCs/>
          <w:color w:val="002060"/>
          <w:sz w:val="16"/>
          <w:szCs w:val="16"/>
        </w:rPr>
      </w:pPr>
    </w:p>
    <w:p w14:paraId="4F657FD5" w14:textId="516547D8" w:rsidR="00536A95" w:rsidRPr="00405303" w:rsidRDefault="00536A95" w:rsidP="00536A95">
      <w:pPr>
        <w:jc w:val="both"/>
        <w:rPr>
          <w:bCs/>
          <w:i/>
          <w:color w:val="002060"/>
          <w:sz w:val="16"/>
          <w:szCs w:val="16"/>
        </w:rPr>
      </w:pPr>
      <w:r w:rsidRPr="00405303">
        <w:rPr>
          <w:bCs/>
          <w:i/>
          <w:color w:val="002060"/>
          <w:sz w:val="16"/>
          <w:szCs w:val="16"/>
        </w:rPr>
        <w:t>Авиация и воздухоплавание за рубежом:</w:t>
      </w:r>
    </w:p>
    <w:p w14:paraId="03E5F1BD" w14:textId="77777777" w:rsidR="00536A95" w:rsidRPr="00405303" w:rsidRDefault="00536A95" w:rsidP="00536A95">
      <w:pPr>
        <w:jc w:val="both"/>
        <w:rPr>
          <w:bCs/>
          <w:i/>
          <w:color w:val="002060"/>
          <w:sz w:val="16"/>
          <w:szCs w:val="16"/>
        </w:rPr>
      </w:pPr>
    </w:p>
    <w:p w14:paraId="1FA3DFA7" w14:textId="77777777" w:rsidR="00536A95" w:rsidRPr="00405303" w:rsidRDefault="00536A95" w:rsidP="00536A95">
      <w:pPr>
        <w:jc w:val="both"/>
        <w:rPr>
          <w:color w:val="0070C0"/>
          <w:sz w:val="16"/>
          <w:szCs w:val="16"/>
        </w:rPr>
      </w:pPr>
      <w:r w:rsidRPr="00405303">
        <w:rPr>
          <w:color w:val="0070C0"/>
          <w:sz w:val="16"/>
          <w:szCs w:val="16"/>
        </w:rPr>
        <w:t>В июне 1915 г. в Италии первыми бомбардировщиками стали бипланы Са. 1. За ними последовали Са.2 и Са.З, отличающиеся более мощными силовы</w:t>
      </w:r>
      <w:r w:rsidRPr="00405303">
        <w:rPr>
          <w:color w:val="0070C0"/>
          <w:sz w:val="16"/>
          <w:szCs w:val="16"/>
        </w:rPr>
        <w:softHyphen/>
        <w:t>ми установками. Совершенно уникальным стал Са.4 — единственный в мире серийно строившийся много</w:t>
      </w:r>
      <w:r w:rsidRPr="00405303">
        <w:rPr>
          <w:color w:val="0070C0"/>
          <w:sz w:val="16"/>
          <w:szCs w:val="16"/>
        </w:rPr>
        <w:softHyphen/>
        <w:t>моторный триплан.</w:t>
      </w:r>
    </w:p>
    <w:p w14:paraId="6CC7D2A5" w14:textId="77777777" w:rsidR="00536A95" w:rsidRPr="00405303" w:rsidRDefault="00536A95" w:rsidP="00536A95">
      <w:pPr>
        <w:jc w:val="both"/>
        <w:rPr>
          <w:color w:val="0070C0"/>
          <w:sz w:val="16"/>
          <w:szCs w:val="16"/>
        </w:rPr>
      </w:pPr>
      <w:r w:rsidRPr="00405303">
        <w:rPr>
          <w:color w:val="0070C0"/>
          <w:sz w:val="16"/>
          <w:szCs w:val="16"/>
        </w:rPr>
        <w:t>Однако реальные его летные дан</w:t>
      </w:r>
      <w:r w:rsidRPr="00405303">
        <w:rPr>
          <w:color w:val="0070C0"/>
          <w:sz w:val="16"/>
          <w:szCs w:val="16"/>
        </w:rPr>
        <w:softHyphen/>
        <w:t>ные оказались не слишком высокими, и Дж. Капрони в следующей модели Са.5 вернулся к схеме биплана. Растиражированные в сотнях экземпляров самолеты «Капрони» позволили итальянским военным создать несколько бомбардировочных групп, каждая из кото</w:t>
      </w:r>
      <w:r w:rsidRPr="00405303">
        <w:rPr>
          <w:color w:val="0070C0"/>
          <w:sz w:val="16"/>
          <w:szCs w:val="16"/>
        </w:rPr>
        <w:softHyphen/>
        <w:t>рых состояла из трех и более эскадрилий. Более того, такие самолеты поставлялись и союзникам — в первую очередь, Франции, а также Великобритании и США (24992).</w:t>
      </w:r>
    </w:p>
    <w:p w14:paraId="48E900FF" w14:textId="77777777" w:rsidR="00536A95" w:rsidRPr="00405303" w:rsidRDefault="00536A95" w:rsidP="00536A95">
      <w:pPr>
        <w:jc w:val="both"/>
        <w:rPr>
          <w:color w:val="0070C0"/>
          <w:sz w:val="16"/>
          <w:szCs w:val="16"/>
        </w:rPr>
      </w:pPr>
    </w:p>
    <w:p w14:paraId="0BB68B98" w14:textId="77777777" w:rsidR="0011454E" w:rsidRPr="00405303" w:rsidRDefault="0011454E" w:rsidP="00C15251">
      <w:pPr>
        <w:jc w:val="both"/>
        <w:rPr>
          <w:bCs/>
          <w:i/>
          <w:color w:val="002060"/>
          <w:sz w:val="16"/>
          <w:szCs w:val="16"/>
        </w:rPr>
      </w:pPr>
      <w:r w:rsidRPr="00405303">
        <w:rPr>
          <w:bCs/>
          <w:i/>
          <w:color w:val="002060"/>
          <w:sz w:val="16"/>
          <w:szCs w:val="16"/>
        </w:rPr>
        <w:t>За рубежом:</w:t>
      </w:r>
    </w:p>
    <w:p w14:paraId="75160BD3" w14:textId="77777777" w:rsidR="0011454E" w:rsidRPr="00405303" w:rsidRDefault="0011454E" w:rsidP="00C15251">
      <w:pPr>
        <w:jc w:val="both"/>
        <w:rPr>
          <w:bCs/>
          <w:i/>
          <w:color w:val="002060"/>
          <w:sz w:val="16"/>
          <w:szCs w:val="16"/>
        </w:rPr>
      </w:pPr>
    </w:p>
    <w:p w14:paraId="69D09F8A" w14:textId="77777777" w:rsidR="0011454E" w:rsidRPr="00405303" w:rsidRDefault="0011454E" w:rsidP="00C15251">
      <w:pPr>
        <w:jc w:val="both"/>
        <w:rPr>
          <w:bCs/>
          <w:color w:val="002060"/>
          <w:sz w:val="16"/>
          <w:szCs w:val="16"/>
        </w:rPr>
      </w:pPr>
      <w:r w:rsidRPr="00405303">
        <w:rPr>
          <w:bCs/>
          <w:color w:val="002060"/>
          <w:sz w:val="16"/>
          <w:szCs w:val="16"/>
        </w:rPr>
        <w:t>В июне 1915 года во Львов вновь вступили австрийские войска, и на Левандовке вновь разместилось австрийское авиационное поразделение. В 1917-18 годах, когда Львов оказался в глубоком тылу, подразделение на аэродроме "Левандовка" получило статус этапного авиационного парка № 4, в котором ремонтировали боевые самолеты. В конце марта 1918 года через Львов пролегла одна из первых в мире регклярных линий авиапочтовой связи, которая была создана австрийской армией. С 20 марта 1918 года она функционировала по маршруту Вена - Краков - Львов - Проскуров (ныне Хмельницкий) - Киев. Корреспонденцию, бандероли и иные отправления специальные курьеры доставляли львовянам уже через несколько часов после приземления самолетов. Авиалиния действовала регулярно и постоянно до 5 ноября 1918 года. Перелет начинался из Вены в 4 ч. 30 мин. утра, а заканчивался в Киеве в 17 ч. 30 мин. То есть, расстояние в 1200 километров преодолевалось за 13 часов, а не за двое суток, как на железнодорожном транспорте в то время (12298).</w:t>
      </w:r>
    </w:p>
    <w:p w14:paraId="0385595D" w14:textId="77777777" w:rsidR="0011454E" w:rsidRPr="00405303" w:rsidRDefault="0011454E" w:rsidP="00C15251">
      <w:pPr>
        <w:jc w:val="both"/>
        <w:rPr>
          <w:bCs/>
          <w:color w:val="002060"/>
          <w:sz w:val="16"/>
          <w:szCs w:val="16"/>
        </w:rPr>
      </w:pPr>
    </w:p>
    <w:p w14:paraId="4F67962E" w14:textId="054CFE7A" w:rsidR="00141157" w:rsidRPr="00405303" w:rsidRDefault="00141157" w:rsidP="00141157">
      <w:pPr>
        <w:jc w:val="both"/>
        <w:rPr>
          <w:bCs/>
          <w:i/>
          <w:color w:val="002060"/>
          <w:sz w:val="16"/>
          <w:szCs w:val="16"/>
        </w:rPr>
      </w:pPr>
      <w:r w:rsidRPr="00405303">
        <w:rPr>
          <w:bCs/>
          <w:i/>
          <w:color w:val="002060"/>
          <w:sz w:val="16"/>
          <w:szCs w:val="16"/>
        </w:rPr>
        <w:t>Другие оборонные отрасли:</w:t>
      </w:r>
    </w:p>
    <w:p w14:paraId="53F9361B" w14:textId="77777777" w:rsidR="00141157" w:rsidRPr="00405303" w:rsidRDefault="00141157" w:rsidP="00141157">
      <w:pPr>
        <w:jc w:val="both"/>
        <w:rPr>
          <w:bCs/>
          <w:i/>
          <w:color w:val="002060"/>
          <w:sz w:val="16"/>
          <w:szCs w:val="16"/>
        </w:rPr>
      </w:pPr>
    </w:p>
    <w:p w14:paraId="52BADEDE" w14:textId="77777777" w:rsidR="00141157" w:rsidRPr="00405303" w:rsidRDefault="00141157" w:rsidP="00141157">
      <w:pPr>
        <w:jc w:val="both"/>
        <w:rPr>
          <w:color w:val="0070C0"/>
          <w:sz w:val="16"/>
          <w:szCs w:val="16"/>
        </w:rPr>
      </w:pPr>
      <w:r w:rsidRPr="00405303">
        <w:rPr>
          <w:color w:val="0070C0"/>
          <w:sz w:val="16"/>
          <w:szCs w:val="16"/>
        </w:rPr>
        <w:t xml:space="preserve">В июне 1915 – июне 1917 г. на предприятиях Организации Ванкова было изготовлено 16 млн 3-дюймовых, 700 тыс. 6-дюймовых, а также свыше 1 млн снарядов и бомб других калибров, что позволило преодолеть кризис в снабжении боеприпасами основной части русской артиллерии, наметившийся осенью 1914 </w:t>
      </w:r>
      <w:proofErr w:type="gramStart"/>
      <w:r w:rsidRPr="00405303">
        <w:rPr>
          <w:color w:val="0070C0"/>
          <w:sz w:val="16"/>
          <w:szCs w:val="16"/>
        </w:rPr>
        <w:t>г.(</w:t>
      </w:r>
      <w:proofErr w:type="gramEnd"/>
      <w:r w:rsidRPr="00405303">
        <w:rPr>
          <w:color w:val="0070C0"/>
          <w:sz w:val="16"/>
          <w:szCs w:val="16"/>
        </w:rPr>
        <w:t>Экономическая история России (с древнейших времен до 1917 г.): Энциклопедия. В 2 т. М., 2008. Т. 1. С. 334-335) (25601).</w:t>
      </w:r>
    </w:p>
    <w:p w14:paraId="6604C65C" w14:textId="77777777" w:rsidR="00141157" w:rsidRPr="00405303" w:rsidRDefault="00141157" w:rsidP="00141157">
      <w:pPr>
        <w:jc w:val="both"/>
        <w:rPr>
          <w:color w:val="0070C0"/>
          <w:sz w:val="16"/>
          <w:szCs w:val="16"/>
        </w:rPr>
      </w:pPr>
    </w:p>
    <w:p w14:paraId="5E687A43" w14:textId="77777777" w:rsidR="00141157" w:rsidRPr="00405303" w:rsidRDefault="00141157" w:rsidP="00141157">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69274AC8" w14:textId="77777777" w:rsidR="00141157" w:rsidRPr="00405303" w:rsidRDefault="00141157" w:rsidP="00141157">
      <w:pPr>
        <w:pStyle w:val="a3"/>
        <w:jc w:val="both"/>
        <w:rPr>
          <w:bCs/>
          <w:color w:val="002060"/>
          <w:spacing w:val="0"/>
          <w:kern w:val="0"/>
          <w:position w:val="0"/>
          <w:sz w:val="16"/>
          <w:szCs w:val="16"/>
        </w:rPr>
      </w:pPr>
    </w:p>
    <w:p w14:paraId="05329944" w14:textId="77777777" w:rsidR="00141157" w:rsidRPr="00405303" w:rsidRDefault="00141157" w:rsidP="00141157">
      <w:pPr>
        <w:jc w:val="both"/>
        <w:rPr>
          <w:color w:val="0070C0"/>
          <w:sz w:val="16"/>
          <w:szCs w:val="16"/>
        </w:rPr>
      </w:pPr>
      <w:r w:rsidRPr="00405303">
        <w:rPr>
          <w:color w:val="0070C0"/>
          <w:sz w:val="16"/>
          <w:szCs w:val="16"/>
        </w:rPr>
        <w:t>В июне - июле 1915 г. эскадра со всеми службами перебралась в город Лиду (8 кораблей) (24965).</w:t>
      </w:r>
    </w:p>
    <w:p w14:paraId="012E7CDB" w14:textId="77777777" w:rsidR="00141157" w:rsidRPr="00405303" w:rsidRDefault="00141157" w:rsidP="00141157">
      <w:pPr>
        <w:jc w:val="both"/>
        <w:rPr>
          <w:color w:val="0070C0"/>
          <w:sz w:val="16"/>
          <w:szCs w:val="16"/>
        </w:rPr>
      </w:pPr>
    </w:p>
    <w:p w14:paraId="26677FB0" w14:textId="77777777" w:rsidR="00D72639" w:rsidRPr="00405303" w:rsidRDefault="00D72639" w:rsidP="00D72639">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6B9A574E" w14:textId="77777777" w:rsidR="00D72639" w:rsidRPr="00405303" w:rsidRDefault="00D72639" w:rsidP="00D72639">
      <w:pPr>
        <w:pStyle w:val="a3"/>
        <w:jc w:val="both"/>
        <w:rPr>
          <w:bCs/>
          <w:color w:val="002060"/>
          <w:spacing w:val="0"/>
          <w:kern w:val="0"/>
          <w:position w:val="0"/>
          <w:sz w:val="16"/>
          <w:szCs w:val="16"/>
        </w:rPr>
      </w:pPr>
    </w:p>
    <w:p w14:paraId="1E39AB7E" w14:textId="77777777" w:rsidR="00D72639" w:rsidRPr="00405303" w:rsidRDefault="00D72639" w:rsidP="00D72639">
      <w:pPr>
        <w:jc w:val="both"/>
        <w:rPr>
          <w:color w:val="0070C0"/>
          <w:sz w:val="16"/>
          <w:szCs w:val="16"/>
        </w:rPr>
      </w:pPr>
      <w:r w:rsidRPr="00405303">
        <w:rPr>
          <w:color w:val="0070C0"/>
          <w:sz w:val="16"/>
          <w:szCs w:val="16"/>
        </w:rPr>
        <w:t>В первой половине 1915 года было сформировано два авиационных отряда для борьбы с воздушным противником: отряд воздушной обороны города Варшавы и отряд охраны Императорской резиденции. Эти отряды можно считать первыми в России частями истребительной авиации и одновременно - первыми авиачастями ПВО. Летали они на двухместных самолетах, первоначально с ружьями-пулеметами (ручными пулеметами) «Мадсен», которые были весьма ненадежны. В сентябре 1915 г. авиаотряд охраны Императорской резиденции получил триоблегченных пулемета «Максим». Летчики и механики своими силами установили их на самолеты (25147).</w:t>
      </w:r>
    </w:p>
    <w:p w14:paraId="2574CAF4" w14:textId="77777777" w:rsidR="00D72639" w:rsidRPr="00405303" w:rsidRDefault="00D72639" w:rsidP="00D72639">
      <w:pPr>
        <w:jc w:val="both"/>
        <w:rPr>
          <w:color w:val="0070C0"/>
          <w:sz w:val="16"/>
          <w:szCs w:val="16"/>
        </w:rPr>
      </w:pPr>
    </w:p>
    <w:p w14:paraId="397F7967" w14:textId="2FDBB153" w:rsidR="00D71F82" w:rsidRPr="00405303" w:rsidRDefault="00D71F82" w:rsidP="00D71F82">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r>
        <w:rPr>
          <w:bCs/>
          <w:color w:val="002060"/>
          <w:spacing w:val="0"/>
          <w:kern w:val="0"/>
          <w:position w:val="0"/>
          <w:sz w:val="16"/>
          <w:szCs w:val="16"/>
        </w:rPr>
        <w:t xml:space="preserve"> и воздухоплавание Германии</w:t>
      </w:r>
      <w:r w:rsidRPr="00405303">
        <w:rPr>
          <w:bCs/>
          <w:color w:val="002060"/>
          <w:spacing w:val="0"/>
          <w:kern w:val="0"/>
          <w:position w:val="0"/>
          <w:sz w:val="16"/>
          <w:szCs w:val="16"/>
        </w:rPr>
        <w:t>:</w:t>
      </w:r>
    </w:p>
    <w:p w14:paraId="6A612501" w14:textId="77777777" w:rsidR="00D71F82" w:rsidRPr="00405303" w:rsidRDefault="00D71F82" w:rsidP="00D71F82">
      <w:pPr>
        <w:pStyle w:val="a3"/>
        <w:jc w:val="both"/>
        <w:rPr>
          <w:bCs/>
          <w:color w:val="002060"/>
          <w:spacing w:val="0"/>
          <w:kern w:val="0"/>
          <w:position w:val="0"/>
          <w:sz w:val="16"/>
          <w:szCs w:val="16"/>
        </w:rPr>
      </w:pPr>
    </w:p>
    <w:p w14:paraId="12322620" w14:textId="77777777" w:rsidR="00D71F82" w:rsidRPr="00CF03EC" w:rsidRDefault="00D71F82" w:rsidP="00D71F82">
      <w:pPr>
        <w:jc w:val="both"/>
        <w:rPr>
          <w:color w:val="0070C0"/>
          <w:sz w:val="16"/>
          <w:szCs w:val="16"/>
        </w:rPr>
      </w:pPr>
      <w:r w:rsidRPr="00CF03EC">
        <w:rPr>
          <w:color w:val="0070C0"/>
          <w:sz w:val="16"/>
          <w:szCs w:val="16"/>
        </w:rPr>
        <w:t>В начале лета 1915 г. завод «Фоккер» в дальнем предместье Берлина Геррис на юго-западе от Шверина сдал первые серийные пулеметные «Айндеккеры», построенные по типу доработанного M.5K/MG «с нуля». Дело пошло, и бюджетные деньги потекли в кассу фирмы золотым дождем – причем в основном в виде авансов и кредитов за заказанные, но не сделанные пока самолеты (25772).</w:t>
      </w:r>
    </w:p>
    <w:p w14:paraId="28ED5E1C" w14:textId="77777777" w:rsidR="00D71F82" w:rsidRPr="00CF03EC" w:rsidRDefault="00D71F82" w:rsidP="00D71F82">
      <w:pPr>
        <w:jc w:val="both"/>
        <w:rPr>
          <w:color w:val="0070C0"/>
          <w:sz w:val="16"/>
          <w:szCs w:val="16"/>
        </w:rPr>
      </w:pPr>
    </w:p>
    <w:p w14:paraId="327417CE" w14:textId="2E2B550A" w:rsidR="0064595E" w:rsidRPr="00405303" w:rsidRDefault="0064595E" w:rsidP="00C15251">
      <w:pPr>
        <w:jc w:val="both"/>
        <w:rPr>
          <w:bCs/>
          <w:i/>
          <w:color w:val="002060"/>
          <w:sz w:val="16"/>
          <w:szCs w:val="16"/>
        </w:rPr>
      </w:pPr>
      <w:r w:rsidRPr="00405303">
        <w:rPr>
          <w:bCs/>
          <w:i/>
          <w:color w:val="002060"/>
          <w:sz w:val="16"/>
          <w:szCs w:val="16"/>
        </w:rPr>
        <w:t>Самолетостроение:</w:t>
      </w:r>
    </w:p>
    <w:p w14:paraId="6F40AAA2" w14:textId="77777777" w:rsidR="0064595E" w:rsidRPr="00405303" w:rsidRDefault="0064595E" w:rsidP="00C15251">
      <w:pPr>
        <w:jc w:val="both"/>
        <w:rPr>
          <w:bCs/>
          <w:i/>
          <w:color w:val="002060"/>
          <w:sz w:val="16"/>
          <w:szCs w:val="16"/>
        </w:rPr>
      </w:pPr>
    </w:p>
    <w:p w14:paraId="579DD7F0"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Летом 1915 года началось проектирование самолет завода «Анатра» «Анаде» («Анаде-Д», «Анаде-Декан», «Декан»). Аэро</w:t>
      </w:r>
      <w:r w:rsidRPr="00405303">
        <w:rPr>
          <w:bCs/>
          <w:color w:val="002060"/>
          <w:sz w:val="16"/>
          <w:szCs w:val="16"/>
        </w:rPr>
        <w:softHyphen/>
        <w:t>план представлял собой двухстоечный биплан с дви</w:t>
      </w:r>
      <w:r w:rsidRPr="00405303">
        <w:rPr>
          <w:bCs/>
          <w:color w:val="002060"/>
          <w:sz w:val="16"/>
          <w:szCs w:val="16"/>
        </w:rPr>
        <w:softHyphen/>
        <w:t>гателем «Гном-Моносупап» в 100 л.с. На некоторых самолетах ставился двигатель «Клерже» мощностью 110 л.с. В этом случае самолет назывался «Анакле» или «Анаклер». Конструкция самолета была простой и рациональ</w:t>
      </w:r>
      <w:r w:rsidRPr="00405303">
        <w:rPr>
          <w:bCs/>
          <w:color w:val="002060"/>
          <w:sz w:val="16"/>
          <w:szCs w:val="16"/>
        </w:rPr>
        <w:softHyphen/>
        <w:t>ной. Расчалочный фюзеляж — четырехгранного сечения, слегка округленный по вер</w:t>
      </w:r>
      <w:r w:rsidRPr="00405303">
        <w:rPr>
          <w:bCs/>
          <w:color w:val="002060"/>
          <w:sz w:val="16"/>
          <w:szCs w:val="16"/>
        </w:rPr>
        <w:softHyphen/>
        <w:t>ху. Передняя часть обшита фанерой, а задняя — полот</w:t>
      </w:r>
      <w:r w:rsidRPr="00405303">
        <w:rPr>
          <w:bCs/>
          <w:color w:val="002060"/>
          <w:sz w:val="16"/>
          <w:szCs w:val="16"/>
        </w:rPr>
        <w:softHyphen/>
        <w:t>ном. Крылья нормальные двухлонжеронные. Бензобак, на случай прострела, разде</w:t>
      </w:r>
      <w:r w:rsidRPr="00405303">
        <w:rPr>
          <w:bCs/>
          <w:color w:val="002060"/>
          <w:sz w:val="16"/>
          <w:szCs w:val="16"/>
        </w:rPr>
        <w:softHyphen/>
        <w:t>лен на три отсека. Вооруже</w:t>
      </w:r>
      <w:r w:rsidRPr="00405303">
        <w:rPr>
          <w:bCs/>
          <w:color w:val="002060"/>
          <w:sz w:val="16"/>
          <w:szCs w:val="16"/>
        </w:rPr>
        <w:softHyphen/>
        <w:t>ние — пулемет на шкворне</w:t>
      </w:r>
      <w:r w:rsidRPr="00405303">
        <w:rPr>
          <w:bCs/>
          <w:color w:val="002060"/>
          <w:sz w:val="16"/>
          <w:szCs w:val="16"/>
        </w:rPr>
        <w:softHyphen/>
        <w:t>вой установке у наблюдате</w:t>
      </w:r>
      <w:r w:rsidRPr="00405303">
        <w:rPr>
          <w:bCs/>
          <w:color w:val="002060"/>
          <w:sz w:val="16"/>
          <w:szCs w:val="16"/>
        </w:rPr>
        <w:softHyphen/>
        <w:t>ля. Бомбовая нагрузка — 25-30 кг. В ходе первых испыта</w:t>
      </w:r>
      <w:r w:rsidRPr="00405303">
        <w:rPr>
          <w:bCs/>
          <w:color w:val="002060"/>
          <w:sz w:val="16"/>
          <w:szCs w:val="16"/>
        </w:rPr>
        <w:softHyphen/>
        <w:t>ний в конце 1915 года обна</w:t>
      </w:r>
      <w:r w:rsidRPr="00405303">
        <w:rPr>
          <w:bCs/>
          <w:color w:val="002060"/>
          <w:sz w:val="16"/>
          <w:szCs w:val="16"/>
        </w:rPr>
        <w:softHyphen/>
        <w:t>ружилась неустойчивость в продольном и поперечном направлениях. Эталонный экземпляр утвердили после ряда доработок, сводивших</w:t>
      </w:r>
      <w:r w:rsidRPr="00405303">
        <w:rPr>
          <w:bCs/>
          <w:color w:val="002060"/>
          <w:sz w:val="16"/>
          <w:szCs w:val="16"/>
        </w:rPr>
        <w:softHyphen/>
        <w:t>ся по существу к достижению более передней центровки (553).</w:t>
      </w:r>
    </w:p>
    <w:p w14:paraId="5D720726" w14:textId="77777777" w:rsidR="00F01B26" w:rsidRPr="00405303" w:rsidRDefault="00F01B26" w:rsidP="00C15251">
      <w:pPr>
        <w:shd w:val="clear" w:color="auto" w:fill="FFFFFF"/>
        <w:jc w:val="both"/>
        <w:rPr>
          <w:bCs/>
          <w:color w:val="002060"/>
          <w:sz w:val="16"/>
          <w:szCs w:val="16"/>
        </w:rPr>
      </w:pPr>
    </w:p>
    <w:p w14:paraId="7A892B65" w14:textId="77777777" w:rsidR="00F01B26" w:rsidRPr="00405303" w:rsidRDefault="00F01B26"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Летом 1915 года на завод был доставлен трофейный немецкий самолет «Альбатрос» выпуска 1914 года. Лебедев оценил конструктивные достоинства «пленника» и запустил его в серийное производство. В самом деле, этот двухместный специализированный двухстоечный биплан-разведчик с двигателем «мерседес» мощностью 160 л. с. мог развивать скорость до 134 км/ч и находиться в воздухе около трех часов. Правда, рядных «мерседесов» в России не было, и поэтому требовались определенные конструкторские доработки по установке на машину более распространенных в России двигателей. Часть самолетов, получивших на заводе название «Лебедь-ХI» и «Лебедь-ХII», оснащалась моторами «Сальмсон» — оригинальными звездообразными двигателями с водяным охлаждением мощностью 150 л. с. Это был единственный мотор, имевший мощность, достаточную для самолетов такого класса и выпускавшийся в России серийно. «Сальмсон», правда, имел значительно больший «лоб», нежели рядные «мерседесы», но Лебедева это не смутило, и при установке «звезды» на копию «Альбатроса» он не удосужился даже подумать о сколько-нибудь плавном переходе от мотора к фюзеляжу (11272).</w:t>
      </w:r>
    </w:p>
    <w:p w14:paraId="7B52C5C9" w14:textId="77777777" w:rsidR="00F01B26" w:rsidRPr="00405303" w:rsidRDefault="00F01B26" w:rsidP="00C15251">
      <w:pPr>
        <w:pStyle w:val="a3"/>
        <w:jc w:val="both"/>
        <w:rPr>
          <w:bCs/>
          <w:i w:val="0"/>
          <w:color w:val="002060"/>
          <w:spacing w:val="0"/>
          <w:kern w:val="0"/>
          <w:position w:val="0"/>
          <w:sz w:val="16"/>
          <w:szCs w:val="16"/>
        </w:rPr>
      </w:pPr>
    </w:p>
    <w:p w14:paraId="317AB937" w14:textId="77777777" w:rsidR="00F01B26" w:rsidRPr="00405303" w:rsidRDefault="00F01B26" w:rsidP="00C15251">
      <w:pPr>
        <w:jc w:val="both"/>
        <w:rPr>
          <w:bCs/>
          <w:color w:val="002060"/>
          <w:sz w:val="16"/>
          <w:szCs w:val="16"/>
        </w:rPr>
      </w:pPr>
      <w:r w:rsidRPr="00405303">
        <w:rPr>
          <w:bCs/>
          <w:color w:val="002060"/>
          <w:sz w:val="16"/>
          <w:szCs w:val="16"/>
        </w:rPr>
        <w:t xml:space="preserve">Летом 1915 г. в Петроград на завод Лебедева был доставлен трофейный немецкий самолет "Альбатрос" образца 1914 г. с мотором "Бенц" 150 л.с., послуживший основой для копирования. В дальнейшем такая практика использования трофейных самолетов была широко использована на заводе Лебедева. При этом трофейные экземпляры подвергались во время ремонта небольшим изменениям, в основном из-за установки других моторов. </w:t>
      </w:r>
    </w:p>
    <w:p w14:paraId="4C203CEF" w14:textId="77777777" w:rsidR="00F01B26" w:rsidRPr="00405303" w:rsidRDefault="00F01B26" w:rsidP="00C15251">
      <w:pPr>
        <w:jc w:val="both"/>
        <w:rPr>
          <w:bCs/>
          <w:color w:val="002060"/>
          <w:sz w:val="16"/>
          <w:szCs w:val="16"/>
        </w:rPr>
      </w:pPr>
      <w:r w:rsidRPr="00405303">
        <w:rPr>
          <w:bCs/>
          <w:color w:val="002060"/>
          <w:sz w:val="16"/>
          <w:szCs w:val="16"/>
        </w:rPr>
        <w:t xml:space="preserve">Среди трофеев особенно ценились неповрежденные или слегка поврежденные самолеты, совершившие вынужденную посадку в тылу русских войск, но получить их с фронта было очень нелегко. Из-за острой нехватки техники командование авиачастей старалось использовать трофейные аэропланы по прямому назначению. После небольшого ремонта при отряде или в авиапарке на них летали русские экипажи и очень хвалили немецкие машины за надежность работы двигателей и грузоподъемность. Поэтому несмотря на то, что трофейные самолеты появились в распоряжении армии с началом боевых действий, первый "Альбатрос" завод Лебедева получил только через год после начала войны. Военные чаще всего старались отправить в тыл лишь "бренные останки" самолетов и безнадежно испорченные двигатели. </w:t>
      </w:r>
    </w:p>
    <w:p w14:paraId="0BCE8162" w14:textId="77777777" w:rsidR="00F01B26" w:rsidRPr="00405303" w:rsidRDefault="00F01B26" w:rsidP="00C15251">
      <w:pPr>
        <w:jc w:val="both"/>
        <w:rPr>
          <w:bCs/>
          <w:color w:val="002060"/>
          <w:sz w:val="16"/>
          <w:szCs w:val="16"/>
        </w:rPr>
      </w:pPr>
      <w:r w:rsidRPr="00405303">
        <w:rPr>
          <w:bCs/>
          <w:color w:val="002060"/>
          <w:sz w:val="16"/>
          <w:szCs w:val="16"/>
        </w:rPr>
        <w:t>Позже Лебедеву удалось достигнуть договоренности с командованием авиации о поставке трофейных самолетов на завод с целью изучения новейших достижений немецких конструкторов. Лебедев обещал возвращать эти самолеты на фронт после изучения и ремонта. Так была достигнута взаимная выгода - Лебедев получал доступ к техническим новинкам противника, а фронт получал отремонтированные самолеты. Правда, надежды на использование передовым техническим решениям не оправдались, так как немцы применяли на восточном фронте самолеты далеко не "первой свежести". К тому же перед отправкой в тыл трофейные самолеты нещадно "потрошились" и прибывали на завод с вывернутыми из двигателей свечами, "пустой" приборной доской и вставленными "чужими" деталями. На это Лебедев не раз жаловался командованию и просил воспрепятствовать "раздеванию" посылаемых самолетов, обеспечивая их надлежащей охраной (11183).</w:t>
      </w:r>
    </w:p>
    <w:p w14:paraId="0C4636F1" w14:textId="77777777" w:rsidR="00F01B26" w:rsidRPr="00405303" w:rsidRDefault="00F01B26" w:rsidP="00C15251">
      <w:pPr>
        <w:jc w:val="both"/>
        <w:rPr>
          <w:bCs/>
          <w:color w:val="002060"/>
          <w:sz w:val="16"/>
          <w:szCs w:val="16"/>
        </w:rPr>
      </w:pPr>
      <w:r w:rsidRPr="00405303">
        <w:rPr>
          <w:bCs/>
          <w:color w:val="002060"/>
          <w:sz w:val="16"/>
          <w:szCs w:val="16"/>
        </w:rPr>
        <w:t xml:space="preserve">Однако ремонт и копирование даже устаревших немецких конструкций были выгодны Лебедеву, поскольку Военное ведомство покупало отремонтированный трофейный самолет и аппарат новой конструкции по одинаковой цене - 13700 рублей за планер без мотора. </w:t>
      </w:r>
    </w:p>
    <w:p w14:paraId="7CB660B6" w14:textId="77777777" w:rsidR="00F01B26" w:rsidRPr="00405303" w:rsidRDefault="00F01B26" w:rsidP="00C15251">
      <w:pPr>
        <w:jc w:val="both"/>
        <w:rPr>
          <w:bCs/>
          <w:color w:val="002060"/>
          <w:sz w:val="16"/>
          <w:szCs w:val="16"/>
        </w:rPr>
      </w:pPr>
      <w:r w:rsidRPr="00405303">
        <w:rPr>
          <w:bCs/>
          <w:color w:val="002060"/>
          <w:sz w:val="16"/>
          <w:szCs w:val="16"/>
        </w:rPr>
        <w:lastRenderedPageBreak/>
        <w:t xml:space="preserve">С увеличением выпуска самолетов Лебедев взял на завод двух новых летчиков-испытателей - Алексея Петровича Гончарова и Василия Яковлевича Михайлова. На момент начала войны детище Лебедева отличалось от других русских авиационных заводов значительными производственными мощностями. В 1916 году предприятие выпускало в среднем по одному аэроплану в день, в отдельные месяцы - до полутора машин в день. Для приемки заводской продукции на завод Лебедева были назначены от Военного ведомства прапорщик Попов и подпоручик Лавров в качестве "наблюдающих за изготовлением авиационного имущества" (военная приемка, говоря по-современному). </w:t>
      </w:r>
    </w:p>
    <w:p w14:paraId="7BA929EA" w14:textId="77777777" w:rsidR="00F01B26" w:rsidRPr="00405303" w:rsidRDefault="00F01B26" w:rsidP="00C15251">
      <w:pPr>
        <w:jc w:val="both"/>
        <w:rPr>
          <w:bCs/>
          <w:color w:val="002060"/>
          <w:sz w:val="16"/>
          <w:szCs w:val="16"/>
        </w:rPr>
      </w:pPr>
      <w:r w:rsidRPr="00405303">
        <w:rPr>
          <w:bCs/>
          <w:color w:val="002060"/>
          <w:sz w:val="16"/>
          <w:szCs w:val="16"/>
        </w:rPr>
        <w:t>Кроме трофейных "Альбатросов", завод ремонитровал и копировал самолеты других немецких фирм: "Румплер", "Авиатик", LVG и др. Копии английских "Сопвичей" - "Таблоида" и "Полуторастоечного" - были выпущены лишь в нескольких экземплярах. При этом Лебедев не стеснялся давать "клонам" новые названия. Так, "Таблоид" имел заводское обозначение "Лебедь"-VII (1183).</w:t>
      </w:r>
    </w:p>
    <w:p w14:paraId="23B9E355" w14:textId="77777777" w:rsidR="00F01B26" w:rsidRPr="00405303" w:rsidRDefault="00F01B26" w:rsidP="00C15251">
      <w:pPr>
        <w:jc w:val="both"/>
        <w:rPr>
          <w:bCs/>
          <w:color w:val="002060"/>
          <w:sz w:val="16"/>
          <w:szCs w:val="16"/>
        </w:rPr>
      </w:pPr>
      <w:r w:rsidRPr="00405303">
        <w:rPr>
          <w:bCs/>
          <w:color w:val="002060"/>
          <w:sz w:val="16"/>
          <w:szCs w:val="16"/>
        </w:rPr>
        <w:t xml:space="preserve">Кроме самолетов, завод выпускал запасные части к аэропланам, авиационные лыжи, винты и радиаторы. </w:t>
      </w:r>
    </w:p>
    <w:p w14:paraId="2D52E7F5" w14:textId="77777777" w:rsidR="00F01B26" w:rsidRPr="00405303" w:rsidRDefault="00F01B26" w:rsidP="00C15251">
      <w:pPr>
        <w:jc w:val="both"/>
        <w:rPr>
          <w:bCs/>
          <w:color w:val="002060"/>
          <w:sz w:val="16"/>
          <w:szCs w:val="16"/>
        </w:rPr>
      </w:pPr>
      <w:r w:rsidRPr="00405303">
        <w:rPr>
          <w:bCs/>
          <w:color w:val="002060"/>
          <w:sz w:val="16"/>
          <w:szCs w:val="16"/>
        </w:rPr>
        <w:t xml:space="preserve">Велась и достаточно интенсивная работа над экспериментальными самолетами. Лебедев привлекал творческих людей и создавал им хорошие условия для труда. Однако ему не хватало терпения довести многие опытные машины "до ума", в основном из-за того, что создание экспериментальных конструкций не сулило Лебедеву немедленных доходов. Основную прибыль он извлекал из серийного производства самолетов, а опытные машины были скрее увлечением, хобби. </w:t>
      </w:r>
    </w:p>
    <w:p w14:paraId="60995EB2" w14:textId="77777777" w:rsidR="00F01B26" w:rsidRPr="00405303" w:rsidRDefault="00F01B26" w:rsidP="00C15251">
      <w:pPr>
        <w:jc w:val="both"/>
        <w:rPr>
          <w:bCs/>
          <w:color w:val="002060"/>
          <w:sz w:val="16"/>
          <w:szCs w:val="16"/>
        </w:rPr>
      </w:pPr>
      <w:r w:rsidRPr="00405303">
        <w:rPr>
          <w:bCs/>
          <w:color w:val="002060"/>
          <w:sz w:val="16"/>
          <w:szCs w:val="16"/>
        </w:rPr>
        <w:t>В годы войны "Акционерным обществом воздухоплавания А.В.Лебедева" были построены опытные самолеты русских конструкторов: "Святогор" В.Слесарева ,"Лебедь-Гранд" Л.Колпакова, "Морской Парасоль" Г.Фриде, "Лебедь"-ХVII С.Гуревича и летающая лодка "ВМ-4" А.Виллиша (11183).</w:t>
      </w:r>
    </w:p>
    <w:p w14:paraId="76D2B172" w14:textId="77777777" w:rsidR="00F01B26" w:rsidRPr="00405303" w:rsidRDefault="00F01B26" w:rsidP="00C15251">
      <w:pPr>
        <w:shd w:val="clear" w:color="auto" w:fill="FFFFFF"/>
        <w:jc w:val="both"/>
        <w:rPr>
          <w:bCs/>
          <w:color w:val="002060"/>
          <w:sz w:val="16"/>
          <w:szCs w:val="16"/>
        </w:rPr>
      </w:pPr>
    </w:p>
    <w:p w14:paraId="0BEE5A01" w14:textId="77777777" w:rsidR="00F01B26" w:rsidRPr="00405303" w:rsidRDefault="00F01B26" w:rsidP="00C15251">
      <w:pPr>
        <w:jc w:val="both"/>
        <w:rPr>
          <w:bCs/>
          <w:color w:val="002060"/>
          <w:sz w:val="16"/>
          <w:szCs w:val="16"/>
        </w:rPr>
      </w:pPr>
      <w:r w:rsidRPr="00405303">
        <w:rPr>
          <w:bCs/>
          <w:color w:val="002060"/>
          <w:sz w:val="16"/>
          <w:szCs w:val="16"/>
        </w:rPr>
        <w:t xml:space="preserve">Летом 1915 года во время боевых действий на Балтике был захвачен немецкий самолет «Альбатрос» с мотором в 150 л.с. в исправном состоянии. Лебедев сумел убедить передать са-молет ему </w:t>
      </w:r>
      <w:proofErr w:type="gramStart"/>
      <w:r w:rsidRPr="00405303">
        <w:rPr>
          <w:bCs/>
          <w:color w:val="002060"/>
          <w:sz w:val="16"/>
          <w:szCs w:val="16"/>
        </w:rPr>
        <w:t>на завод</w:t>
      </w:r>
      <w:proofErr w:type="gramEnd"/>
      <w:r w:rsidRPr="00405303">
        <w:rPr>
          <w:bCs/>
          <w:color w:val="002060"/>
          <w:sz w:val="16"/>
          <w:szCs w:val="16"/>
        </w:rPr>
        <w:t xml:space="preserve"> и вскоре трофейный «Альбатрос» был доставлен на Комендантский аэро-дром. На заводе этот самолет </w:t>
      </w:r>
      <w:proofErr w:type="gramStart"/>
      <w:r w:rsidRPr="00405303">
        <w:rPr>
          <w:bCs/>
          <w:color w:val="002060"/>
          <w:sz w:val="16"/>
          <w:szCs w:val="16"/>
        </w:rPr>
        <w:t>стали копировать</w:t>
      </w:r>
      <w:proofErr w:type="gramEnd"/>
      <w:r w:rsidRPr="00405303">
        <w:rPr>
          <w:bCs/>
          <w:color w:val="002060"/>
          <w:sz w:val="16"/>
          <w:szCs w:val="16"/>
        </w:rPr>
        <w:t xml:space="preserve"> несколько видоизменяя его применительно к различным моторам. Уже осенью того же года глава фирмы выбивает заказ в Морском </w:t>
      </w:r>
      <w:proofErr w:type="gramStart"/>
      <w:r w:rsidRPr="00405303">
        <w:rPr>
          <w:bCs/>
          <w:color w:val="002060"/>
          <w:sz w:val="16"/>
          <w:szCs w:val="16"/>
        </w:rPr>
        <w:t>Гене-ральном</w:t>
      </w:r>
      <w:proofErr w:type="gramEnd"/>
      <w:r w:rsidRPr="00405303">
        <w:rPr>
          <w:bCs/>
          <w:color w:val="002060"/>
          <w:sz w:val="16"/>
          <w:szCs w:val="16"/>
        </w:rPr>
        <w:t xml:space="preserve"> Штабе на переделку партии французских сухопутных самолетов типа «Морис-Фарман» на морские. Заказ был успешно выполнен, все самолеты были поставлены в срок.</w:t>
      </w:r>
    </w:p>
    <w:p w14:paraId="51FF87F1" w14:textId="77777777" w:rsidR="00F01B26" w:rsidRPr="00405303" w:rsidRDefault="00F01B26" w:rsidP="00C15251">
      <w:pPr>
        <w:jc w:val="both"/>
        <w:rPr>
          <w:bCs/>
          <w:color w:val="002060"/>
          <w:sz w:val="16"/>
          <w:szCs w:val="16"/>
        </w:rPr>
      </w:pPr>
      <w:r w:rsidRPr="00405303">
        <w:rPr>
          <w:bCs/>
          <w:color w:val="002060"/>
          <w:sz w:val="16"/>
          <w:szCs w:val="16"/>
        </w:rPr>
        <w:t xml:space="preserve">Окрыленный первыми успехами Владимир Лебедев набирает все новые и новые заказы на строительство самолетов.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цехами и столярной мастерской. Число </w:t>
      </w:r>
      <w:proofErr w:type="gramStart"/>
      <w:r w:rsidRPr="00405303">
        <w:rPr>
          <w:bCs/>
          <w:color w:val="002060"/>
          <w:sz w:val="16"/>
          <w:szCs w:val="16"/>
        </w:rPr>
        <w:t>рабо-тающих</w:t>
      </w:r>
      <w:proofErr w:type="gramEnd"/>
      <w:r w:rsidRPr="00405303">
        <w:rPr>
          <w:bCs/>
          <w:color w:val="002060"/>
          <w:sz w:val="16"/>
          <w:szCs w:val="16"/>
        </w:rPr>
        <w:t xml:space="preserve"> перевалило за тысячу и продолжало расти. Но ограниченность территории затрудняли дальнейшее расширение завода. Некоторые российские авиапромышленники создают свои </w:t>
      </w:r>
      <w:proofErr w:type="gramStart"/>
      <w:r w:rsidRPr="00405303">
        <w:rPr>
          <w:bCs/>
          <w:color w:val="002060"/>
          <w:sz w:val="16"/>
          <w:szCs w:val="16"/>
        </w:rPr>
        <w:t>фи-лиалы</w:t>
      </w:r>
      <w:proofErr w:type="gramEnd"/>
      <w:r w:rsidRPr="00405303">
        <w:rPr>
          <w:bCs/>
          <w:color w:val="002060"/>
          <w:sz w:val="16"/>
          <w:szCs w:val="16"/>
        </w:rPr>
        <w:t xml:space="preserve"> в других городах. А. Анатра строит отделение завода в Симферополе, С. Щетинин в </w:t>
      </w:r>
      <w:proofErr w:type="gramStart"/>
      <w:r w:rsidRPr="00405303">
        <w:rPr>
          <w:bCs/>
          <w:color w:val="002060"/>
          <w:sz w:val="16"/>
          <w:szCs w:val="16"/>
        </w:rPr>
        <w:t>Яро-славле</w:t>
      </w:r>
      <w:proofErr w:type="gramEnd"/>
      <w:r w:rsidRPr="00405303">
        <w:rPr>
          <w:bCs/>
          <w:color w:val="002060"/>
          <w:sz w:val="16"/>
          <w:szCs w:val="16"/>
        </w:rPr>
        <w:t xml:space="preserve">. </w:t>
      </w:r>
      <w:proofErr w:type="gramStart"/>
      <w:r w:rsidRPr="00405303">
        <w:rPr>
          <w:bCs/>
          <w:color w:val="002060"/>
          <w:sz w:val="16"/>
          <w:szCs w:val="16"/>
        </w:rPr>
        <w:t>В. Лебедев</w:t>
      </w:r>
      <w:proofErr w:type="gramEnd"/>
      <w:r w:rsidRPr="00405303">
        <w:rPr>
          <w:bCs/>
          <w:color w:val="002060"/>
          <w:sz w:val="16"/>
          <w:szCs w:val="16"/>
        </w:rPr>
        <w:t xml:space="preserve">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w:t>
      </w:r>
    </w:p>
    <w:p w14:paraId="530F0F80" w14:textId="77777777" w:rsidR="00F01B26" w:rsidRPr="00405303" w:rsidRDefault="00F01B26" w:rsidP="00C15251">
      <w:pPr>
        <w:jc w:val="both"/>
        <w:rPr>
          <w:bCs/>
          <w:color w:val="002060"/>
          <w:sz w:val="16"/>
          <w:szCs w:val="16"/>
        </w:rPr>
      </w:pPr>
      <w:r w:rsidRPr="00405303">
        <w:rPr>
          <w:bCs/>
          <w:color w:val="002060"/>
          <w:sz w:val="16"/>
          <w:szCs w:val="16"/>
        </w:rPr>
        <w:t xml:space="preserve">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w:t>
      </w:r>
      <w:proofErr w:type="gramStart"/>
      <w:r w:rsidRPr="00405303">
        <w:rPr>
          <w:bCs/>
          <w:color w:val="002060"/>
          <w:sz w:val="16"/>
          <w:szCs w:val="16"/>
        </w:rPr>
        <w:t>за-вершена</w:t>
      </w:r>
      <w:proofErr w:type="gramEnd"/>
      <w:r w:rsidRPr="00405303">
        <w:rPr>
          <w:bCs/>
          <w:color w:val="002060"/>
          <w:sz w:val="16"/>
          <w:szCs w:val="16"/>
        </w:rPr>
        <w:t>,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w:t>
      </w:r>
    </w:p>
    <w:p w14:paraId="03D2915F" w14:textId="77777777" w:rsidR="00F01B26" w:rsidRPr="00405303" w:rsidRDefault="00F01B26" w:rsidP="00C15251">
      <w:pPr>
        <w:jc w:val="both"/>
        <w:rPr>
          <w:bCs/>
          <w:color w:val="002060"/>
          <w:sz w:val="16"/>
          <w:szCs w:val="16"/>
        </w:rPr>
      </w:pPr>
      <w:r w:rsidRPr="00405303">
        <w:rPr>
          <w:bCs/>
          <w:color w:val="002060"/>
          <w:sz w:val="16"/>
          <w:szCs w:val="16"/>
        </w:rPr>
        <w:t xml:space="preserve">Однако здесь Лебедева ожидают трудности; недостаток рабочей силы, отсутствие топлива, серьезные транспортные проблемы и, </w:t>
      </w:r>
      <w:proofErr w:type="gramStart"/>
      <w:r w:rsidRPr="00405303">
        <w:rPr>
          <w:bCs/>
          <w:color w:val="002060"/>
          <w:sz w:val="16"/>
          <w:szCs w:val="16"/>
        </w:rPr>
        <w:t>на- конец</w:t>
      </w:r>
      <w:proofErr w:type="gramEnd"/>
      <w:r w:rsidRPr="00405303">
        <w:rPr>
          <w:bCs/>
          <w:color w:val="002060"/>
          <w:sz w:val="16"/>
          <w:szCs w:val="16"/>
        </w:rPr>
        <w:t>, сложные климатические условия. И его взор устремляется на юг. Он уже давно присматривается к Таганрогу</w:t>
      </w:r>
      <w:proofErr w:type="gramStart"/>
      <w:r w:rsidRPr="00405303">
        <w:rPr>
          <w:bCs/>
          <w:color w:val="002060"/>
          <w:sz w:val="16"/>
          <w:szCs w:val="16"/>
        </w:rPr>
        <w:t>...(</w:t>
      </w:r>
      <w:proofErr w:type="gramEnd"/>
      <w:r w:rsidRPr="00405303">
        <w:rPr>
          <w:bCs/>
          <w:color w:val="002060"/>
          <w:sz w:val="16"/>
          <w:szCs w:val="16"/>
        </w:rPr>
        <w:t>11642).</w:t>
      </w:r>
    </w:p>
    <w:p w14:paraId="401FA441" w14:textId="77777777" w:rsidR="00F01B26" w:rsidRPr="00405303" w:rsidRDefault="00F01B26" w:rsidP="00C15251">
      <w:pPr>
        <w:jc w:val="both"/>
        <w:rPr>
          <w:bCs/>
          <w:color w:val="002060"/>
          <w:sz w:val="16"/>
          <w:szCs w:val="16"/>
        </w:rPr>
      </w:pPr>
    </w:p>
    <w:p w14:paraId="18ED3B0A" w14:textId="77777777" w:rsidR="00F01B26" w:rsidRPr="00405303" w:rsidRDefault="00F01B26" w:rsidP="00C15251">
      <w:pPr>
        <w:jc w:val="both"/>
        <w:rPr>
          <w:bCs/>
          <w:color w:val="002060"/>
          <w:sz w:val="16"/>
          <w:szCs w:val="16"/>
        </w:rPr>
      </w:pPr>
      <w:r w:rsidRPr="00405303">
        <w:rPr>
          <w:bCs/>
          <w:color w:val="002060"/>
          <w:sz w:val="16"/>
          <w:szCs w:val="16"/>
        </w:rPr>
        <w:t xml:space="preserve">Летом 1915 г. был закончен постройкой "Лебедь-Морской" ЛМ-1 ("Альбатрос" типа А.2 М.Л.), но сдача его Морскому ведомству затянулась из-за неприбытия заказанных в Англии моторов "Санбим". Трехстоечный биплан, двухместный разведчик на трех поплавках, проектировавшийся под двигатель "Рено" 200 л.с. Из-за отсутствия оного пришлось установить мотор меньшей мощности - "Санбим" 150 л.с. Испытания первого ЛМ-1 (зав. № 217) провел в октябре 1915 г. пилот А.Налетов, достигший высоты 500 м за 11,5 мин. Полезная нагрузка составляла 365 кг при взлетном весе 1455 кг. После испытаний гидроплан был куплен Морским ведомством и в декабре передан на хранение в Петроградскую школу морских летчиков. </w:t>
      </w:r>
    </w:p>
    <w:p w14:paraId="5FFEB7E9" w14:textId="77777777" w:rsidR="00F01B26" w:rsidRPr="00405303" w:rsidRDefault="00F01B26" w:rsidP="00C15251">
      <w:pPr>
        <w:jc w:val="both"/>
        <w:rPr>
          <w:bCs/>
          <w:color w:val="002060"/>
          <w:sz w:val="16"/>
          <w:szCs w:val="16"/>
        </w:rPr>
      </w:pPr>
      <w:r w:rsidRPr="00405303">
        <w:rPr>
          <w:bCs/>
          <w:color w:val="002060"/>
          <w:sz w:val="16"/>
          <w:szCs w:val="16"/>
        </w:rPr>
        <w:t>Через год еще один аппарат этого типа (зав. № 218), к тому времени уже устаревший, был все же куплен Морским ведомством. За срыв сроков сдачи этого самолета на завод Лебедева наложили штраф, но руководство завода в свою очередь обвинило заказчика, не приславшего вовремя комиссию для приемки давно готового самолета. Споры тянулись до весны 1917 г. Второй экземпляр ЛМ-1 некоторое время оставался невостребованным. Его поставили на колесное шасси и решили передать Военному ведомству. Осенью в Ревеле началось формирование сухопутного авиаотряда Морской крепости Петра Великого, туда и был передан самолет № 218 (11183).</w:t>
      </w:r>
    </w:p>
    <w:p w14:paraId="49E25836" w14:textId="77777777" w:rsidR="00F01B26" w:rsidRPr="00405303" w:rsidRDefault="00F01B26" w:rsidP="00C15251">
      <w:pPr>
        <w:jc w:val="both"/>
        <w:rPr>
          <w:bCs/>
          <w:color w:val="002060"/>
          <w:sz w:val="16"/>
          <w:szCs w:val="16"/>
        </w:rPr>
      </w:pPr>
    </w:p>
    <w:p w14:paraId="0B5EDF0B"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Летом 1915 возвращенный на должность начальника службы авиации Балтийского флота капитан 2 ранга Дудоров по-прежнему от</w:t>
      </w:r>
      <w:r w:rsidRPr="00405303">
        <w:rPr>
          <w:bCs/>
          <w:color w:val="002060"/>
          <w:sz w:val="16"/>
          <w:szCs w:val="16"/>
        </w:rPr>
        <w:softHyphen/>
        <w:t>давал предпочтение летающим лодкам французских типов, хотя представитель Морского генерального штаба капитан 2 ранга Тучков настойчиво рекомендовал воспользоваться опытом черноморцев, успешно применявших летающие лод</w:t>
      </w:r>
      <w:r w:rsidRPr="00405303">
        <w:rPr>
          <w:bCs/>
          <w:color w:val="002060"/>
          <w:sz w:val="16"/>
          <w:szCs w:val="16"/>
        </w:rPr>
        <w:softHyphen/>
        <w:t>ки американских типов. Доставленные в Ревель 14 аппара</w:t>
      </w:r>
      <w:r w:rsidRPr="00405303">
        <w:rPr>
          <w:bCs/>
          <w:color w:val="002060"/>
          <w:sz w:val="16"/>
          <w:szCs w:val="16"/>
        </w:rPr>
        <w:softHyphen/>
        <w:t>тов «Кертисс-К», но без технической документации, оказа</w:t>
      </w:r>
      <w:r w:rsidRPr="00405303">
        <w:rPr>
          <w:bCs/>
          <w:color w:val="002060"/>
          <w:sz w:val="16"/>
          <w:szCs w:val="16"/>
        </w:rPr>
        <w:softHyphen/>
        <w:t>лись мертвым грузом. Поскольку приезд туда американских специалистов не со</w:t>
      </w:r>
      <w:r w:rsidRPr="00405303">
        <w:rPr>
          <w:bCs/>
          <w:color w:val="002060"/>
          <w:sz w:val="16"/>
          <w:szCs w:val="16"/>
        </w:rPr>
        <w:softHyphen/>
        <w:t>стоялся, груз хранился в транспортировочнои укупорке до кон</w:t>
      </w:r>
      <w:r w:rsidRPr="00405303">
        <w:rPr>
          <w:bCs/>
          <w:color w:val="002060"/>
          <w:sz w:val="16"/>
          <w:szCs w:val="16"/>
        </w:rPr>
        <w:softHyphen/>
        <w:t>ца года. Это вызвало нарекания и обвинения в безответствен</w:t>
      </w:r>
      <w:r w:rsidRPr="00405303">
        <w:rPr>
          <w:bCs/>
          <w:color w:val="002060"/>
          <w:sz w:val="16"/>
          <w:szCs w:val="16"/>
        </w:rPr>
        <w:softHyphen/>
        <w:t>ном отношении к обязательствам. Петроградский торговый дом «Плюйм-Окс», представлявший интересы фирмы «Кертисс», был уведомлен Морским ведомством о снятии с себя ответственности за случившееся, а также о согласии послать в Нью-Йорк компетентного чиновника для заключения нового контракта.</w:t>
      </w:r>
    </w:p>
    <w:p w14:paraId="519F7127" w14:textId="77777777" w:rsidR="00F01B26" w:rsidRPr="00405303" w:rsidRDefault="00F01B26" w:rsidP="00C15251">
      <w:pPr>
        <w:shd w:val="clear" w:color="auto" w:fill="FFFFFF"/>
        <w:jc w:val="both"/>
        <w:rPr>
          <w:bCs/>
          <w:color w:val="002060"/>
          <w:sz w:val="16"/>
          <w:szCs w:val="16"/>
        </w:rPr>
      </w:pPr>
    </w:p>
    <w:p w14:paraId="6CC4BBEF" w14:textId="77777777" w:rsidR="00F01B26" w:rsidRPr="00405303" w:rsidRDefault="00F01B26" w:rsidP="00C15251">
      <w:pPr>
        <w:jc w:val="both"/>
        <w:rPr>
          <w:bCs/>
          <w:color w:val="002060"/>
          <w:sz w:val="16"/>
          <w:szCs w:val="16"/>
        </w:rPr>
      </w:pPr>
      <w:r w:rsidRPr="00405303">
        <w:rPr>
          <w:bCs/>
          <w:color w:val="002060"/>
          <w:sz w:val="16"/>
          <w:szCs w:val="16"/>
        </w:rPr>
        <w:t>Летом 1915 г. почти одновременно М-2 и М-3 получили при жесткой посадке довольно серьезные повреждения конструкции и до октября находились в долговременном ремонте. В ноябре того же года их списали.</w:t>
      </w:r>
    </w:p>
    <w:p w14:paraId="526AA6B3" w14:textId="77777777" w:rsidR="00F01B26" w:rsidRPr="00405303" w:rsidRDefault="00F01B26" w:rsidP="00C15251">
      <w:pPr>
        <w:jc w:val="both"/>
        <w:rPr>
          <w:bCs/>
          <w:color w:val="002060"/>
          <w:sz w:val="16"/>
          <w:szCs w:val="16"/>
        </w:rPr>
      </w:pPr>
      <w:r w:rsidRPr="00405303">
        <w:rPr>
          <w:bCs/>
          <w:color w:val="002060"/>
          <w:sz w:val="16"/>
          <w:szCs w:val="16"/>
        </w:rPr>
        <w:t>На Черном море летом 1914 г. еще царила довольно благодушная обстановка. Казалось, война далеко, а время для реорганизаций еще есть. В сентябре морская авиация Черноморского флота насчитывала всего шесть боевых машин. По-ложение резко изменилось в октябре, когда после набега немецких крейсеров "Гебен"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608A0A00" w14:textId="77777777" w:rsidR="00F01B26" w:rsidRPr="00405303" w:rsidRDefault="00F01B26" w:rsidP="00C15251">
      <w:pPr>
        <w:jc w:val="both"/>
        <w:rPr>
          <w:bCs/>
          <w:color w:val="002060"/>
          <w:sz w:val="16"/>
          <w:szCs w:val="16"/>
        </w:rPr>
      </w:pPr>
      <w:r w:rsidRPr="00405303">
        <w:rPr>
          <w:bCs/>
          <w:color w:val="002060"/>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2AAE8E33" w14:textId="77777777" w:rsidR="00F01B26" w:rsidRPr="00405303" w:rsidRDefault="00F01B26" w:rsidP="00C15251">
      <w:pPr>
        <w:jc w:val="both"/>
        <w:rPr>
          <w:bCs/>
          <w:color w:val="002060"/>
          <w:sz w:val="16"/>
          <w:szCs w:val="16"/>
        </w:rPr>
      </w:pPr>
      <w:r w:rsidRPr="00405303">
        <w:rPr>
          <w:bCs/>
          <w:color w:val="002060"/>
          <w:sz w:val="16"/>
          <w:szCs w:val="16"/>
        </w:rPr>
        <w:t xml:space="preserve">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"Кер- тисс" (СигН$$)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w:t>
      </w:r>
      <w:proofErr w:type="gramStart"/>
      <w:r w:rsidRPr="00405303">
        <w:rPr>
          <w:bCs/>
          <w:color w:val="002060"/>
          <w:sz w:val="16"/>
          <w:szCs w:val="16"/>
        </w:rPr>
        <w:t>ис-пользовании</w:t>
      </w:r>
      <w:proofErr w:type="gramEnd"/>
      <w:r w:rsidRPr="00405303">
        <w:rPr>
          <w:bCs/>
          <w:color w:val="002060"/>
          <w:sz w:val="16"/>
          <w:szCs w:val="16"/>
        </w:rPr>
        <w:t xml:space="preserve"> летающих лодок Щетинина-Григоровича, позволило вполне уверенно продолжать строительство следующих гидросамолетов (12083).</w:t>
      </w:r>
    </w:p>
    <w:p w14:paraId="0591F919" w14:textId="77777777" w:rsidR="00F01B26" w:rsidRPr="00405303" w:rsidRDefault="00F01B26" w:rsidP="00C15251">
      <w:pPr>
        <w:jc w:val="both"/>
        <w:rPr>
          <w:bCs/>
          <w:color w:val="002060"/>
          <w:sz w:val="16"/>
          <w:szCs w:val="16"/>
        </w:rPr>
      </w:pPr>
    </w:p>
    <w:p w14:paraId="4C0DDAE5"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С лета 1915г. гидроаэропланы типа М-5 прошли долгий путь, открыв небо многим стремившимся к нему людям. В общем, в период с 10 июля 1915 г. по 20 июня 1917г. Черномор</w:t>
      </w:r>
      <w:r w:rsidRPr="00405303">
        <w:rPr>
          <w:bCs/>
          <w:color w:val="002060"/>
          <w:sz w:val="16"/>
          <w:szCs w:val="16"/>
        </w:rPr>
        <w:softHyphen/>
        <w:t>ский флот принял 71 летающую лодку М-5, а около 60 машин данного типа достались морским авиашко</w:t>
      </w:r>
      <w:r w:rsidRPr="00405303">
        <w:rPr>
          <w:bCs/>
          <w:color w:val="002060"/>
          <w:sz w:val="16"/>
          <w:szCs w:val="16"/>
        </w:rPr>
        <w:softHyphen/>
        <w:t>лам; с июня 1915 г. по декабрь 1917г. полное число принятых военно-морскими силами М-5 составило, по крайней мере, 1?3 аппарата, но некоторые из них изначально изготовлялись как запасные.</w:t>
      </w:r>
    </w:p>
    <w:p w14:paraId="4A93607A"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F01B26" w:rsidRPr="00405303" w14:paraId="62F82D33" w14:textId="77777777" w:rsidTr="006606CA">
        <w:tc>
          <w:tcPr>
            <w:tcW w:w="1548" w:type="dxa"/>
            <w:shd w:val="clear" w:color="auto" w:fill="FFFFFF"/>
          </w:tcPr>
          <w:p w14:paraId="12E907A2" w14:textId="77777777" w:rsidR="00F01B26" w:rsidRPr="00405303" w:rsidRDefault="00F01B26" w:rsidP="00C15251">
            <w:pPr>
              <w:jc w:val="both"/>
              <w:rPr>
                <w:bCs/>
                <w:color w:val="002060"/>
                <w:sz w:val="16"/>
                <w:szCs w:val="16"/>
              </w:rPr>
            </w:pPr>
            <w:r w:rsidRPr="00405303">
              <w:rPr>
                <w:bCs/>
                <w:color w:val="002060"/>
                <w:sz w:val="16"/>
                <w:szCs w:val="16"/>
              </w:rPr>
              <w:lastRenderedPageBreak/>
              <w:t>Дата контракта</w:t>
            </w:r>
          </w:p>
        </w:tc>
        <w:tc>
          <w:tcPr>
            <w:tcW w:w="1170" w:type="dxa"/>
            <w:shd w:val="clear" w:color="auto" w:fill="FFFFFF"/>
          </w:tcPr>
          <w:p w14:paraId="10D68721" w14:textId="77777777" w:rsidR="00F01B26" w:rsidRPr="00405303" w:rsidRDefault="00F01B26" w:rsidP="00C15251">
            <w:pPr>
              <w:jc w:val="both"/>
              <w:rPr>
                <w:bCs/>
                <w:color w:val="002060"/>
                <w:sz w:val="16"/>
                <w:szCs w:val="16"/>
              </w:rPr>
            </w:pPr>
            <w:r w:rsidRPr="00405303">
              <w:rPr>
                <w:bCs/>
                <w:color w:val="002060"/>
                <w:sz w:val="16"/>
                <w:szCs w:val="16"/>
              </w:rPr>
              <w:t>Число заказанных аэропланов</w:t>
            </w:r>
          </w:p>
        </w:tc>
        <w:tc>
          <w:tcPr>
            <w:tcW w:w="6858" w:type="dxa"/>
            <w:shd w:val="clear" w:color="auto" w:fill="FFFFFF"/>
          </w:tcPr>
          <w:p w14:paraId="110AB616" w14:textId="77777777" w:rsidR="00F01B26" w:rsidRPr="00405303" w:rsidRDefault="00F01B26" w:rsidP="00C15251">
            <w:pPr>
              <w:jc w:val="both"/>
              <w:rPr>
                <w:bCs/>
                <w:color w:val="002060"/>
                <w:sz w:val="16"/>
                <w:szCs w:val="16"/>
              </w:rPr>
            </w:pPr>
            <w:r w:rsidRPr="00405303">
              <w:rPr>
                <w:bCs/>
                <w:color w:val="002060"/>
                <w:sz w:val="16"/>
                <w:szCs w:val="16"/>
              </w:rPr>
              <w:t>Условия</w:t>
            </w:r>
          </w:p>
        </w:tc>
      </w:tr>
      <w:tr w:rsidR="00F01B26" w:rsidRPr="00405303" w14:paraId="5BB05128" w14:textId="77777777" w:rsidTr="006606CA">
        <w:tc>
          <w:tcPr>
            <w:tcW w:w="1548" w:type="dxa"/>
            <w:shd w:val="clear" w:color="auto" w:fill="FFFFFF"/>
          </w:tcPr>
          <w:p w14:paraId="65EAFB1B" w14:textId="77777777" w:rsidR="00F01B26" w:rsidRPr="00405303" w:rsidRDefault="00F01B26" w:rsidP="00C15251">
            <w:pPr>
              <w:jc w:val="both"/>
              <w:rPr>
                <w:bCs/>
                <w:color w:val="002060"/>
                <w:sz w:val="16"/>
                <w:szCs w:val="16"/>
              </w:rPr>
            </w:pPr>
            <w:r w:rsidRPr="00405303">
              <w:rPr>
                <w:bCs/>
                <w:color w:val="002060"/>
                <w:sz w:val="16"/>
                <w:szCs w:val="16"/>
              </w:rPr>
              <w:t>Май 27 1915</w:t>
            </w:r>
          </w:p>
        </w:tc>
        <w:tc>
          <w:tcPr>
            <w:tcW w:w="1170" w:type="dxa"/>
            <w:shd w:val="clear" w:color="auto" w:fill="FFFFFF"/>
          </w:tcPr>
          <w:p w14:paraId="02B02523" w14:textId="77777777" w:rsidR="00F01B26" w:rsidRPr="00405303" w:rsidRDefault="00F01B26" w:rsidP="00C15251">
            <w:pPr>
              <w:jc w:val="both"/>
              <w:rPr>
                <w:bCs/>
                <w:color w:val="002060"/>
                <w:sz w:val="16"/>
                <w:szCs w:val="16"/>
              </w:rPr>
            </w:pPr>
            <w:r w:rsidRPr="00405303">
              <w:rPr>
                <w:bCs/>
                <w:color w:val="002060"/>
                <w:sz w:val="16"/>
                <w:szCs w:val="16"/>
              </w:rPr>
              <w:t>12</w:t>
            </w:r>
          </w:p>
        </w:tc>
        <w:tc>
          <w:tcPr>
            <w:tcW w:w="6858" w:type="dxa"/>
            <w:shd w:val="clear" w:color="auto" w:fill="FFFFFF"/>
          </w:tcPr>
          <w:p w14:paraId="3A8D5987" w14:textId="77777777" w:rsidR="00F01B26" w:rsidRPr="00405303" w:rsidRDefault="00F01B26" w:rsidP="00C15251">
            <w:pPr>
              <w:jc w:val="both"/>
              <w:rPr>
                <w:bCs/>
                <w:color w:val="002060"/>
                <w:sz w:val="16"/>
                <w:szCs w:val="16"/>
              </w:rPr>
            </w:pPr>
            <w:r w:rsidRPr="00405303">
              <w:rPr>
                <w:bCs/>
                <w:color w:val="002060"/>
                <w:sz w:val="16"/>
                <w:szCs w:val="16"/>
              </w:rPr>
              <w:t>9 тыс. 500 руб. за аппарат без мотора, срок исполнения с 30 мая по 15 июля 1915 г. (выполнен к 20 июля 1915 г.)</w:t>
            </w:r>
          </w:p>
        </w:tc>
      </w:tr>
      <w:tr w:rsidR="00F01B26" w:rsidRPr="00405303" w14:paraId="3C633CB0" w14:textId="77777777" w:rsidTr="006606CA">
        <w:tc>
          <w:tcPr>
            <w:tcW w:w="1548" w:type="dxa"/>
            <w:shd w:val="clear" w:color="auto" w:fill="FFFFFF"/>
          </w:tcPr>
          <w:p w14:paraId="16265675" w14:textId="77777777" w:rsidR="00F01B26" w:rsidRPr="00405303" w:rsidRDefault="00F01B26" w:rsidP="00C15251">
            <w:pPr>
              <w:jc w:val="both"/>
              <w:rPr>
                <w:bCs/>
                <w:color w:val="002060"/>
                <w:sz w:val="16"/>
                <w:szCs w:val="16"/>
              </w:rPr>
            </w:pPr>
            <w:r w:rsidRPr="00405303">
              <w:rPr>
                <w:bCs/>
                <w:color w:val="002060"/>
                <w:sz w:val="16"/>
                <w:szCs w:val="16"/>
              </w:rPr>
              <w:t>Июль 17 1915</w:t>
            </w:r>
          </w:p>
        </w:tc>
        <w:tc>
          <w:tcPr>
            <w:tcW w:w="1170" w:type="dxa"/>
            <w:shd w:val="clear" w:color="auto" w:fill="FFFFFF"/>
          </w:tcPr>
          <w:p w14:paraId="57CF81B2" w14:textId="77777777" w:rsidR="00F01B26" w:rsidRPr="00405303" w:rsidRDefault="00F01B26" w:rsidP="00C15251">
            <w:pPr>
              <w:jc w:val="both"/>
              <w:rPr>
                <w:bCs/>
                <w:color w:val="002060"/>
                <w:sz w:val="16"/>
                <w:szCs w:val="16"/>
              </w:rPr>
            </w:pPr>
            <w:r w:rsidRPr="00405303">
              <w:rPr>
                <w:bCs/>
                <w:color w:val="002060"/>
                <w:sz w:val="16"/>
                <w:szCs w:val="16"/>
              </w:rPr>
              <w:t>10</w:t>
            </w:r>
          </w:p>
        </w:tc>
        <w:tc>
          <w:tcPr>
            <w:tcW w:w="6858" w:type="dxa"/>
            <w:shd w:val="clear" w:color="auto" w:fill="FFFFFF"/>
          </w:tcPr>
          <w:p w14:paraId="4EAF7689" w14:textId="77777777" w:rsidR="00F01B26" w:rsidRPr="00405303" w:rsidRDefault="00F01B26" w:rsidP="00C15251">
            <w:pPr>
              <w:jc w:val="both"/>
              <w:rPr>
                <w:bCs/>
                <w:color w:val="002060"/>
                <w:sz w:val="16"/>
                <w:szCs w:val="16"/>
              </w:rPr>
            </w:pPr>
            <w:r w:rsidRPr="00405303">
              <w:rPr>
                <w:bCs/>
                <w:color w:val="002060"/>
                <w:sz w:val="16"/>
                <w:szCs w:val="16"/>
              </w:rPr>
              <w:t>выполнен к 10 сентября 1915 г.</w:t>
            </w:r>
          </w:p>
        </w:tc>
      </w:tr>
      <w:tr w:rsidR="00F01B26" w:rsidRPr="00405303" w14:paraId="3AF231AB" w14:textId="77777777" w:rsidTr="006606CA">
        <w:tc>
          <w:tcPr>
            <w:tcW w:w="1548" w:type="dxa"/>
            <w:shd w:val="clear" w:color="auto" w:fill="FFFFFF"/>
          </w:tcPr>
          <w:p w14:paraId="461BFA63" w14:textId="77777777" w:rsidR="00F01B26" w:rsidRPr="00405303" w:rsidRDefault="00F01B26" w:rsidP="00C15251">
            <w:pPr>
              <w:jc w:val="both"/>
              <w:rPr>
                <w:bCs/>
                <w:color w:val="002060"/>
                <w:sz w:val="16"/>
                <w:szCs w:val="16"/>
              </w:rPr>
            </w:pPr>
            <w:r w:rsidRPr="00405303">
              <w:rPr>
                <w:bCs/>
                <w:color w:val="002060"/>
                <w:sz w:val="16"/>
                <w:szCs w:val="16"/>
              </w:rPr>
              <w:t>Август 10 1915</w:t>
            </w:r>
          </w:p>
        </w:tc>
        <w:tc>
          <w:tcPr>
            <w:tcW w:w="1170" w:type="dxa"/>
            <w:shd w:val="clear" w:color="auto" w:fill="FFFFFF"/>
          </w:tcPr>
          <w:p w14:paraId="3A61889F" w14:textId="77777777" w:rsidR="00F01B26" w:rsidRPr="00405303" w:rsidRDefault="00F01B26" w:rsidP="00C15251">
            <w:pPr>
              <w:jc w:val="both"/>
              <w:rPr>
                <w:bCs/>
                <w:color w:val="002060"/>
                <w:sz w:val="16"/>
                <w:szCs w:val="16"/>
              </w:rPr>
            </w:pPr>
            <w:r w:rsidRPr="00405303">
              <w:rPr>
                <w:bCs/>
                <w:color w:val="002060"/>
                <w:sz w:val="16"/>
                <w:szCs w:val="16"/>
              </w:rPr>
              <w:t>3</w:t>
            </w:r>
          </w:p>
        </w:tc>
        <w:tc>
          <w:tcPr>
            <w:tcW w:w="6858" w:type="dxa"/>
            <w:shd w:val="clear" w:color="auto" w:fill="FFFFFF"/>
          </w:tcPr>
          <w:p w14:paraId="4AC321BD" w14:textId="77777777" w:rsidR="00F01B26" w:rsidRPr="00405303" w:rsidRDefault="00F01B26" w:rsidP="00C15251">
            <w:pPr>
              <w:jc w:val="both"/>
              <w:rPr>
                <w:bCs/>
                <w:color w:val="002060"/>
                <w:sz w:val="16"/>
                <w:szCs w:val="16"/>
              </w:rPr>
            </w:pPr>
            <w:r w:rsidRPr="00405303">
              <w:rPr>
                <w:bCs/>
                <w:color w:val="002060"/>
                <w:sz w:val="16"/>
                <w:szCs w:val="16"/>
              </w:rPr>
              <w:t>выполнен к 20 июля 1915г.</w:t>
            </w:r>
          </w:p>
        </w:tc>
      </w:tr>
      <w:tr w:rsidR="00F01B26" w:rsidRPr="00405303" w14:paraId="713C2328" w14:textId="77777777" w:rsidTr="006606CA">
        <w:tc>
          <w:tcPr>
            <w:tcW w:w="1548" w:type="dxa"/>
            <w:shd w:val="clear" w:color="auto" w:fill="FFFFFF"/>
          </w:tcPr>
          <w:p w14:paraId="78683712" w14:textId="77777777" w:rsidR="00F01B26" w:rsidRPr="00405303" w:rsidRDefault="00F01B26" w:rsidP="00C15251">
            <w:pPr>
              <w:jc w:val="both"/>
              <w:rPr>
                <w:bCs/>
                <w:color w:val="002060"/>
                <w:sz w:val="16"/>
                <w:szCs w:val="16"/>
              </w:rPr>
            </w:pPr>
            <w:r w:rsidRPr="00405303">
              <w:rPr>
                <w:bCs/>
                <w:color w:val="002060"/>
                <w:sz w:val="16"/>
                <w:szCs w:val="16"/>
              </w:rPr>
              <w:t>Ноябрь 12 1915</w:t>
            </w:r>
          </w:p>
        </w:tc>
        <w:tc>
          <w:tcPr>
            <w:tcW w:w="1170" w:type="dxa"/>
            <w:shd w:val="clear" w:color="auto" w:fill="FFFFFF"/>
          </w:tcPr>
          <w:p w14:paraId="5115B875" w14:textId="77777777" w:rsidR="00F01B26" w:rsidRPr="00405303" w:rsidRDefault="00F01B26" w:rsidP="00C15251">
            <w:pPr>
              <w:jc w:val="both"/>
              <w:rPr>
                <w:bCs/>
                <w:color w:val="002060"/>
                <w:sz w:val="16"/>
                <w:szCs w:val="16"/>
              </w:rPr>
            </w:pPr>
            <w:r w:rsidRPr="00405303">
              <w:rPr>
                <w:bCs/>
                <w:color w:val="002060"/>
                <w:sz w:val="16"/>
                <w:szCs w:val="16"/>
              </w:rPr>
              <w:t>16</w:t>
            </w:r>
          </w:p>
        </w:tc>
        <w:tc>
          <w:tcPr>
            <w:tcW w:w="6858" w:type="dxa"/>
            <w:shd w:val="clear" w:color="auto" w:fill="FFFFFF"/>
          </w:tcPr>
          <w:p w14:paraId="4952315A" w14:textId="77777777" w:rsidR="00F01B26" w:rsidRPr="00405303" w:rsidRDefault="00F01B26" w:rsidP="00C15251">
            <w:pPr>
              <w:jc w:val="both"/>
              <w:rPr>
                <w:bCs/>
                <w:color w:val="002060"/>
                <w:sz w:val="16"/>
                <w:szCs w:val="16"/>
              </w:rPr>
            </w:pPr>
            <w:r w:rsidRPr="00405303">
              <w:rPr>
                <w:bCs/>
                <w:color w:val="002060"/>
                <w:sz w:val="16"/>
                <w:szCs w:val="16"/>
              </w:rPr>
              <w:t>10 тыс. 500 руб. за аппарат без мотора, срок исполнения ноябрь 1915-март 1916 гг. (выполнен к 27 мая 1916 г.) ПРИМЕЧАНИЯ: аппараты с номерами 440 и 441 имели депердюссеновскую систему управления</w:t>
            </w:r>
          </w:p>
        </w:tc>
      </w:tr>
      <w:tr w:rsidR="00F01B26" w:rsidRPr="00405303" w14:paraId="1F7BA598" w14:textId="77777777" w:rsidTr="006606CA">
        <w:tc>
          <w:tcPr>
            <w:tcW w:w="1548" w:type="dxa"/>
            <w:shd w:val="clear" w:color="auto" w:fill="FFFFFF"/>
          </w:tcPr>
          <w:p w14:paraId="2B1DB117" w14:textId="77777777" w:rsidR="00F01B26" w:rsidRPr="00405303" w:rsidRDefault="00F01B26" w:rsidP="00C15251">
            <w:pPr>
              <w:jc w:val="both"/>
              <w:rPr>
                <w:bCs/>
                <w:color w:val="002060"/>
                <w:sz w:val="16"/>
                <w:szCs w:val="16"/>
              </w:rPr>
            </w:pPr>
            <w:r w:rsidRPr="00405303">
              <w:rPr>
                <w:bCs/>
                <w:color w:val="002060"/>
                <w:sz w:val="16"/>
                <w:szCs w:val="16"/>
              </w:rPr>
              <w:t>Декабрь 21 1915</w:t>
            </w:r>
          </w:p>
        </w:tc>
        <w:tc>
          <w:tcPr>
            <w:tcW w:w="1170" w:type="dxa"/>
            <w:shd w:val="clear" w:color="auto" w:fill="FFFFFF"/>
          </w:tcPr>
          <w:p w14:paraId="2D1F8710" w14:textId="77777777" w:rsidR="00F01B26" w:rsidRPr="00405303" w:rsidRDefault="00F01B26" w:rsidP="00C15251">
            <w:pPr>
              <w:jc w:val="both"/>
              <w:rPr>
                <w:bCs/>
                <w:color w:val="002060"/>
                <w:sz w:val="16"/>
                <w:szCs w:val="16"/>
              </w:rPr>
            </w:pPr>
            <w:r w:rsidRPr="00405303">
              <w:rPr>
                <w:bCs/>
                <w:color w:val="002060"/>
                <w:sz w:val="16"/>
                <w:szCs w:val="16"/>
              </w:rPr>
              <w:t>10</w:t>
            </w:r>
          </w:p>
        </w:tc>
        <w:tc>
          <w:tcPr>
            <w:tcW w:w="6858" w:type="dxa"/>
            <w:shd w:val="clear" w:color="auto" w:fill="FFFFFF"/>
          </w:tcPr>
          <w:p w14:paraId="2D8D4422" w14:textId="77777777" w:rsidR="00F01B26" w:rsidRPr="00405303" w:rsidRDefault="00F01B26" w:rsidP="00C15251">
            <w:pPr>
              <w:jc w:val="both"/>
              <w:rPr>
                <w:bCs/>
                <w:color w:val="002060"/>
                <w:sz w:val="16"/>
                <w:szCs w:val="16"/>
              </w:rPr>
            </w:pPr>
            <w:r w:rsidRPr="00405303">
              <w:rPr>
                <w:bCs/>
                <w:color w:val="002060"/>
                <w:sz w:val="16"/>
                <w:szCs w:val="16"/>
              </w:rPr>
              <w:t>10 корпусов без хвостовых оперений и мотора, но с сиденьями, по цене 4 тыс. 750 руб. за каждый</w:t>
            </w:r>
          </w:p>
        </w:tc>
      </w:tr>
      <w:tr w:rsidR="00F01B26" w:rsidRPr="00405303" w14:paraId="55BDF8C0" w14:textId="77777777" w:rsidTr="006606CA">
        <w:tc>
          <w:tcPr>
            <w:tcW w:w="1548" w:type="dxa"/>
            <w:shd w:val="clear" w:color="auto" w:fill="FFFFFF"/>
          </w:tcPr>
          <w:p w14:paraId="658C7881" w14:textId="77777777" w:rsidR="00F01B26" w:rsidRPr="00405303" w:rsidRDefault="00F01B26" w:rsidP="00C15251">
            <w:pPr>
              <w:jc w:val="both"/>
              <w:rPr>
                <w:bCs/>
                <w:color w:val="002060"/>
                <w:sz w:val="16"/>
                <w:szCs w:val="16"/>
              </w:rPr>
            </w:pPr>
            <w:r w:rsidRPr="00405303">
              <w:rPr>
                <w:bCs/>
                <w:color w:val="002060"/>
                <w:sz w:val="16"/>
                <w:szCs w:val="16"/>
              </w:rPr>
              <w:t>Апрель 1 1916</w:t>
            </w:r>
          </w:p>
        </w:tc>
        <w:tc>
          <w:tcPr>
            <w:tcW w:w="1170" w:type="dxa"/>
            <w:shd w:val="clear" w:color="auto" w:fill="FFFFFF"/>
          </w:tcPr>
          <w:p w14:paraId="58F7E738" w14:textId="77777777" w:rsidR="00F01B26" w:rsidRPr="00405303" w:rsidRDefault="00F01B26" w:rsidP="00C15251">
            <w:pPr>
              <w:jc w:val="both"/>
              <w:rPr>
                <w:bCs/>
                <w:color w:val="002060"/>
                <w:sz w:val="16"/>
                <w:szCs w:val="16"/>
              </w:rPr>
            </w:pPr>
            <w:r w:rsidRPr="00405303">
              <w:rPr>
                <w:bCs/>
                <w:color w:val="002060"/>
                <w:sz w:val="16"/>
                <w:szCs w:val="16"/>
              </w:rPr>
              <w:t>35</w:t>
            </w:r>
          </w:p>
        </w:tc>
        <w:tc>
          <w:tcPr>
            <w:tcW w:w="6858" w:type="dxa"/>
            <w:shd w:val="clear" w:color="auto" w:fill="FFFFFF"/>
          </w:tcPr>
          <w:p w14:paraId="396E40F0" w14:textId="77777777" w:rsidR="00F01B26" w:rsidRPr="00405303" w:rsidRDefault="00F01B26" w:rsidP="00C15251">
            <w:pPr>
              <w:jc w:val="both"/>
              <w:rPr>
                <w:bCs/>
                <w:color w:val="002060"/>
                <w:sz w:val="16"/>
                <w:szCs w:val="16"/>
              </w:rPr>
            </w:pPr>
            <w:r w:rsidRPr="00405303">
              <w:rPr>
                <w:bCs/>
                <w:color w:val="002060"/>
                <w:sz w:val="16"/>
                <w:szCs w:val="16"/>
              </w:rPr>
              <w:t>выполнен к 23 сентября 1916 г.</w:t>
            </w:r>
          </w:p>
        </w:tc>
      </w:tr>
      <w:tr w:rsidR="00F01B26" w:rsidRPr="00405303" w14:paraId="022C52BC" w14:textId="77777777" w:rsidTr="006606CA">
        <w:tc>
          <w:tcPr>
            <w:tcW w:w="1548" w:type="dxa"/>
            <w:shd w:val="clear" w:color="auto" w:fill="FFFFFF"/>
          </w:tcPr>
          <w:p w14:paraId="73FCB51D" w14:textId="77777777" w:rsidR="00F01B26" w:rsidRPr="00405303" w:rsidRDefault="00F01B26" w:rsidP="00C15251">
            <w:pPr>
              <w:jc w:val="both"/>
              <w:rPr>
                <w:bCs/>
                <w:color w:val="002060"/>
                <w:sz w:val="16"/>
                <w:szCs w:val="16"/>
              </w:rPr>
            </w:pPr>
            <w:r w:rsidRPr="00405303">
              <w:rPr>
                <w:bCs/>
                <w:color w:val="002060"/>
                <w:sz w:val="16"/>
                <w:szCs w:val="16"/>
              </w:rPr>
              <w:t>Июнь 16 1916</w:t>
            </w:r>
          </w:p>
        </w:tc>
        <w:tc>
          <w:tcPr>
            <w:tcW w:w="1170" w:type="dxa"/>
            <w:shd w:val="clear" w:color="auto" w:fill="FFFFFF"/>
          </w:tcPr>
          <w:p w14:paraId="40BD11CC" w14:textId="77777777" w:rsidR="00F01B26" w:rsidRPr="00405303" w:rsidRDefault="00F01B26" w:rsidP="00C15251">
            <w:pPr>
              <w:jc w:val="both"/>
              <w:rPr>
                <w:bCs/>
                <w:color w:val="002060"/>
                <w:sz w:val="16"/>
                <w:szCs w:val="16"/>
              </w:rPr>
            </w:pPr>
            <w:r w:rsidRPr="00405303">
              <w:rPr>
                <w:bCs/>
                <w:color w:val="002060"/>
                <w:sz w:val="16"/>
                <w:szCs w:val="16"/>
              </w:rPr>
              <w:t>20</w:t>
            </w:r>
          </w:p>
        </w:tc>
        <w:tc>
          <w:tcPr>
            <w:tcW w:w="6858" w:type="dxa"/>
            <w:shd w:val="clear" w:color="auto" w:fill="FFFFFF"/>
          </w:tcPr>
          <w:p w14:paraId="3060871E" w14:textId="77777777" w:rsidR="00F01B26" w:rsidRPr="00405303" w:rsidRDefault="00F01B26" w:rsidP="00C15251">
            <w:pPr>
              <w:jc w:val="both"/>
              <w:rPr>
                <w:bCs/>
                <w:color w:val="002060"/>
                <w:sz w:val="16"/>
                <w:szCs w:val="16"/>
              </w:rPr>
            </w:pPr>
            <w:r w:rsidRPr="00405303">
              <w:rPr>
                <w:bCs/>
                <w:color w:val="002060"/>
                <w:sz w:val="16"/>
                <w:szCs w:val="16"/>
              </w:rPr>
              <w:t>10 тыс. 500 руб. за аппарат без мотора, срок исполнения июль-август 1916 г. (выполнен к 20 мая 1917 г.)</w:t>
            </w:r>
          </w:p>
        </w:tc>
      </w:tr>
      <w:tr w:rsidR="00F01B26" w:rsidRPr="00405303" w14:paraId="73A92667" w14:textId="77777777" w:rsidTr="006606CA">
        <w:tc>
          <w:tcPr>
            <w:tcW w:w="1548" w:type="dxa"/>
            <w:shd w:val="clear" w:color="auto" w:fill="FFFFFF"/>
          </w:tcPr>
          <w:p w14:paraId="796E98B0" w14:textId="77777777" w:rsidR="00F01B26" w:rsidRPr="00405303" w:rsidRDefault="00F01B26" w:rsidP="00C15251">
            <w:pPr>
              <w:jc w:val="both"/>
              <w:rPr>
                <w:bCs/>
                <w:color w:val="002060"/>
                <w:sz w:val="16"/>
                <w:szCs w:val="16"/>
              </w:rPr>
            </w:pPr>
            <w:r w:rsidRPr="00405303">
              <w:rPr>
                <w:bCs/>
                <w:color w:val="002060"/>
                <w:sz w:val="16"/>
                <w:szCs w:val="16"/>
              </w:rPr>
              <w:t xml:space="preserve">Июнь </w:t>
            </w:r>
            <w:r w:rsidRPr="00405303">
              <w:rPr>
                <w:bCs/>
                <w:i/>
                <w:color w:val="002060"/>
                <w:sz w:val="16"/>
                <w:szCs w:val="16"/>
              </w:rPr>
              <w:t xml:space="preserve">1 </w:t>
            </w:r>
            <w:r w:rsidRPr="00405303">
              <w:rPr>
                <w:bCs/>
                <w:color w:val="002060"/>
                <w:sz w:val="16"/>
                <w:szCs w:val="16"/>
              </w:rPr>
              <w:t>1916</w:t>
            </w:r>
          </w:p>
        </w:tc>
        <w:tc>
          <w:tcPr>
            <w:tcW w:w="1170" w:type="dxa"/>
            <w:shd w:val="clear" w:color="auto" w:fill="FFFFFF"/>
          </w:tcPr>
          <w:p w14:paraId="22E48018" w14:textId="77777777" w:rsidR="00F01B26" w:rsidRPr="00405303" w:rsidRDefault="00F01B26" w:rsidP="00C15251">
            <w:pPr>
              <w:jc w:val="both"/>
              <w:rPr>
                <w:bCs/>
                <w:color w:val="002060"/>
                <w:sz w:val="16"/>
                <w:szCs w:val="16"/>
              </w:rPr>
            </w:pPr>
            <w:r w:rsidRPr="00405303">
              <w:rPr>
                <w:bCs/>
                <w:color w:val="002060"/>
                <w:sz w:val="16"/>
                <w:szCs w:val="16"/>
              </w:rPr>
              <w:t>20</w:t>
            </w:r>
          </w:p>
        </w:tc>
        <w:tc>
          <w:tcPr>
            <w:tcW w:w="6858" w:type="dxa"/>
            <w:shd w:val="clear" w:color="auto" w:fill="FFFFFF"/>
          </w:tcPr>
          <w:p w14:paraId="3312CF58" w14:textId="77777777" w:rsidR="00F01B26" w:rsidRPr="00405303" w:rsidRDefault="00F01B26" w:rsidP="00C15251">
            <w:pPr>
              <w:jc w:val="both"/>
              <w:rPr>
                <w:bCs/>
                <w:color w:val="002060"/>
                <w:sz w:val="16"/>
                <w:szCs w:val="16"/>
              </w:rPr>
            </w:pPr>
            <w:r w:rsidRPr="00405303">
              <w:rPr>
                <w:bCs/>
                <w:color w:val="002060"/>
                <w:sz w:val="16"/>
                <w:szCs w:val="16"/>
              </w:rPr>
              <w:t>заказ на 20 запасных аппаратов, но затем некоторые из них все же использовались как боевые; контракт выполнен к апрелю 1917 г.</w:t>
            </w:r>
          </w:p>
        </w:tc>
      </w:tr>
      <w:tr w:rsidR="00F01B26" w:rsidRPr="00405303" w14:paraId="3EC11B41" w14:textId="77777777" w:rsidTr="006606CA">
        <w:tc>
          <w:tcPr>
            <w:tcW w:w="1548" w:type="dxa"/>
            <w:shd w:val="clear" w:color="auto" w:fill="FFFFFF"/>
          </w:tcPr>
          <w:p w14:paraId="3B33298A" w14:textId="77777777" w:rsidR="00F01B26" w:rsidRPr="00405303" w:rsidRDefault="00F01B26" w:rsidP="00C15251">
            <w:pPr>
              <w:jc w:val="both"/>
              <w:rPr>
                <w:bCs/>
                <w:color w:val="002060"/>
                <w:sz w:val="16"/>
                <w:szCs w:val="16"/>
              </w:rPr>
            </w:pPr>
            <w:r w:rsidRPr="00405303">
              <w:rPr>
                <w:bCs/>
                <w:color w:val="002060"/>
                <w:sz w:val="16"/>
                <w:szCs w:val="16"/>
              </w:rPr>
              <w:t>Сентябрь 22 1916</w:t>
            </w:r>
          </w:p>
        </w:tc>
        <w:tc>
          <w:tcPr>
            <w:tcW w:w="1170" w:type="dxa"/>
            <w:shd w:val="clear" w:color="auto" w:fill="FFFFFF"/>
          </w:tcPr>
          <w:p w14:paraId="34CD712B" w14:textId="77777777" w:rsidR="00F01B26" w:rsidRPr="00405303" w:rsidRDefault="00F01B26" w:rsidP="00C15251">
            <w:pPr>
              <w:jc w:val="both"/>
              <w:rPr>
                <w:bCs/>
                <w:color w:val="002060"/>
                <w:sz w:val="16"/>
                <w:szCs w:val="16"/>
              </w:rPr>
            </w:pPr>
            <w:r w:rsidRPr="00405303">
              <w:rPr>
                <w:bCs/>
                <w:color w:val="002060"/>
                <w:sz w:val="16"/>
                <w:szCs w:val="16"/>
              </w:rPr>
              <w:t>30</w:t>
            </w:r>
          </w:p>
        </w:tc>
        <w:tc>
          <w:tcPr>
            <w:tcW w:w="6858" w:type="dxa"/>
            <w:shd w:val="clear" w:color="auto" w:fill="FFFFFF"/>
          </w:tcPr>
          <w:p w14:paraId="487B56E3" w14:textId="77777777" w:rsidR="00F01B26" w:rsidRPr="00405303" w:rsidRDefault="00F01B26" w:rsidP="00C15251">
            <w:pPr>
              <w:jc w:val="both"/>
              <w:rPr>
                <w:bCs/>
                <w:color w:val="002060"/>
                <w:sz w:val="16"/>
                <w:szCs w:val="16"/>
              </w:rPr>
            </w:pPr>
            <w:r w:rsidRPr="00405303">
              <w:rPr>
                <w:bCs/>
                <w:color w:val="002060"/>
                <w:sz w:val="16"/>
                <w:szCs w:val="16"/>
              </w:rPr>
              <w:t>11 тыс. руб. за аппарат без мотора; полезная нагрузкасниже-на до 275 кг; срок исполнения с 1 октября по 1 декабря 1916 г. (выполнен к концу августа 1917 г.)</w:t>
            </w:r>
          </w:p>
        </w:tc>
      </w:tr>
      <w:tr w:rsidR="00F01B26" w:rsidRPr="00405303" w14:paraId="5C58C886" w14:textId="77777777" w:rsidTr="006606CA">
        <w:tc>
          <w:tcPr>
            <w:tcW w:w="1548" w:type="dxa"/>
            <w:shd w:val="clear" w:color="auto" w:fill="FFFFFF"/>
          </w:tcPr>
          <w:p w14:paraId="113F6FD2" w14:textId="77777777" w:rsidR="00F01B26" w:rsidRPr="00405303" w:rsidRDefault="00F01B26" w:rsidP="00C15251">
            <w:pPr>
              <w:jc w:val="both"/>
              <w:rPr>
                <w:bCs/>
                <w:color w:val="002060"/>
                <w:sz w:val="16"/>
                <w:szCs w:val="16"/>
              </w:rPr>
            </w:pPr>
            <w:r w:rsidRPr="00405303">
              <w:rPr>
                <w:bCs/>
                <w:color w:val="002060"/>
                <w:sz w:val="16"/>
                <w:szCs w:val="16"/>
              </w:rPr>
              <w:t>Апрель 27 1917</w:t>
            </w:r>
          </w:p>
        </w:tc>
        <w:tc>
          <w:tcPr>
            <w:tcW w:w="1170" w:type="dxa"/>
            <w:shd w:val="clear" w:color="auto" w:fill="FFFFFF"/>
          </w:tcPr>
          <w:p w14:paraId="49B191A5" w14:textId="77777777" w:rsidR="00F01B26" w:rsidRPr="00405303" w:rsidRDefault="00F01B26" w:rsidP="00C15251">
            <w:pPr>
              <w:jc w:val="both"/>
              <w:rPr>
                <w:bCs/>
                <w:color w:val="002060"/>
                <w:sz w:val="16"/>
                <w:szCs w:val="16"/>
              </w:rPr>
            </w:pPr>
            <w:r w:rsidRPr="00405303">
              <w:rPr>
                <w:bCs/>
                <w:color w:val="002060"/>
                <w:sz w:val="16"/>
                <w:szCs w:val="16"/>
              </w:rPr>
              <w:t>70</w:t>
            </w:r>
          </w:p>
        </w:tc>
        <w:tc>
          <w:tcPr>
            <w:tcW w:w="6858" w:type="dxa"/>
            <w:shd w:val="clear" w:color="auto" w:fill="FFFFFF"/>
          </w:tcPr>
          <w:p w14:paraId="3C2D5649" w14:textId="77777777" w:rsidR="00F01B26" w:rsidRPr="00405303" w:rsidRDefault="00F01B26" w:rsidP="00C15251">
            <w:pPr>
              <w:jc w:val="both"/>
              <w:rPr>
                <w:bCs/>
                <w:color w:val="002060"/>
                <w:sz w:val="16"/>
                <w:szCs w:val="16"/>
              </w:rPr>
            </w:pPr>
            <w:r w:rsidRPr="00405303">
              <w:rPr>
                <w:bCs/>
                <w:color w:val="002060"/>
                <w:sz w:val="16"/>
                <w:szCs w:val="16"/>
              </w:rPr>
              <w:t>II тыс. руб. за аппарат без мотора, с уплатой 10% лицензион</w:t>
            </w:r>
            <w:r w:rsidRPr="00405303">
              <w:rPr>
                <w:bCs/>
                <w:color w:val="002060"/>
                <w:sz w:val="16"/>
                <w:szCs w:val="16"/>
              </w:rPr>
              <w:softHyphen/>
              <w:t>ной стоимости ПРТВ; аппараты под мотор «Рон» 110 л. с. или «Гном-Моносупап» 100-110 л. с.; полезная нагрузка 300 кг, скороподъемность 500 м за 5 мин., 1000 м за 10 мин., 2000 м за 30 мин., скорость 100 км/ч, запасы бензина/масла 215/21 л; срок исполнения с 1 декабря 1917 г. по 1 апреля 1918 г. (аннулирован к 2 ноября 1917 г.)</w:t>
            </w:r>
          </w:p>
          <w:p w14:paraId="32540536" w14:textId="77777777" w:rsidR="00F01B26" w:rsidRPr="00405303" w:rsidRDefault="00F01B26" w:rsidP="00C15251">
            <w:pPr>
              <w:jc w:val="both"/>
              <w:rPr>
                <w:bCs/>
                <w:color w:val="002060"/>
                <w:sz w:val="16"/>
                <w:szCs w:val="16"/>
              </w:rPr>
            </w:pPr>
            <w:r w:rsidRPr="00405303">
              <w:rPr>
                <w:bCs/>
                <w:color w:val="002060"/>
                <w:sz w:val="16"/>
                <w:szCs w:val="16"/>
              </w:rPr>
              <w:t>ПРИМЕЧАНИЯ: условный контракт, данный компании Ф. Мельцера в Петрограде</w:t>
            </w:r>
          </w:p>
        </w:tc>
      </w:tr>
      <w:tr w:rsidR="00F01B26" w:rsidRPr="00405303" w14:paraId="550C481B" w14:textId="77777777" w:rsidTr="006606CA">
        <w:tc>
          <w:tcPr>
            <w:tcW w:w="1548" w:type="dxa"/>
            <w:shd w:val="clear" w:color="auto" w:fill="FFFFFF"/>
          </w:tcPr>
          <w:p w14:paraId="5511A9B3" w14:textId="77777777" w:rsidR="00F01B26" w:rsidRPr="00405303" w:rsidRDefault="00F01B26" w:rsidP="00C15251">
            <w:pPr>
              <w:jc w:val="both"/>
              <w:rPr>
                <w:bCs/>
                <w:color w:val="002060"/>
                <w:sz w:val="16"/>
                <w:szCs w:val="16"/>
              </w:rPr>
            </w:pPr>
            <w:r w:rsidRPr="00405303">
              <w:rPr>
                <w:bCs/>
                <w:color w:val="002060"/>
                <w:sz w:val="16"/>
                <w:szCs w:val="16"/>
              </w:rPr>
              <w:t>Апрель 29 1917</w:t>
            </w:r>
          </w:p>
        </w:tc>
        <w:tc>
          <w:tcPr>
            <w:tcW w:w="1170" w:type="dxa"/>
            <w:shd w:val="clear" w:color="auto" w:fill="FFFFFF"/>
          </w:tcPr>
          <w:p w14:paraId="21A81CE2" w14:textId="77777777" w:rsidR="00F01B26" w:rsidRPr="00405303" w:rsidRDefault="00F01B26" w:rsidP="00C15251">
            <w:pPr>
              <w:jc w:val="both"/>
              <w:rPr>
                <w:bCs/>
                <w:color w:val="002060"/>
                <w:sz w:val="16"/>
                <w:szCs w:val="16"/>
              </w:rPr>
            </w:pPr>
            <w:r w:rsidRPr="00405303">
              <w:rPr>
                <w:bCs/>
                <w:color w:val="002060"/>
                <w:sz w:val="16"/>
                <w:szCs w:val="16"/>
              </w:rPr>
              <w:t>10</w:t>
            </w:r>
          </w:p>
        </w:tc>
        <w:tc>
          <w:tcPr>
            <w:tcW w:w="6858" w:type="dxa"/>
            <w:shd w:val="clear" w:color="auto" w:fill="FFFFFF"/>
          </w:tcPr>
          <w:p w14:paraId="4968D04F" w14:textId="77777777" w:rsidR="00F01B26" w:rsidRPr="00405303" w:rsidRDefault="00F01B26" w:rsidP="00C15251">
            <w:pPr>
              <w:jc w:val="both"/>
              <w:rPr>
                <w:bCs/>
                <w:color w:val="002060"/>
                <w:sz w:val="16"/>
                <w:szCs w:val="16"/>
              </w:rPr>
            </w:pPr>
            <w:r w:rsidRPr="00405303">
              <w:rPr>
                <w:bCs/>
                <w:color w:val="002060"/>
                <w:sz w:val="16"/>
                <w:szCs w:val="16"/>
              </w:rPr>
              <w:t>ПРИМЕЧАНИЯ: 10 запасных корпусов; выполнен к 25 мая 1917 г.; возможно, помимо корпусов поставлено и 20 запасных нижних крыльев</w:t>
            </w:r>
          </w:p>
        </w:tc>
      </w:tr>
      <w:tr w:rsidR="00F01B26" w:rsidRPr="00405303" w14:paraId="61017DA2" w14:textId="77777777" w:rsidTr="006606CA">
        <w:tc>
          <w:tcPr>
            <w:tcW w:w="1548" w:type="dxa"/>
            <w:shd w:val="clear" w:color="auto" w:fill="FFFFFF"/>
          </w:tcPr>
          <w:p w14:paraId="533712BE" w14:textId="77777777" w:rsidR="00F01B26" w:rsidRPr="00405303" w:rsidRDefault="00F01B26" w:rsidP="00C15251">
            <w:pPr>
              <w:jc w:val="both"/>
              <w:rPr>
                <w:bCs/>
                <w:color w:val="002060"/>
                <w:sz w:val="16"/>
                <w:szCs w:val="16"/>
              </w:rPr>
            </w:pPr>
            <w:r w:rsidRPr="00405303">
              <w:rPr>
                <w:bCs/>
                <w:color w:val="002060"/>
                <w:sz w:val="16"/>
                <w:szCs w:val="16"/>
              </w:rPr>
              <w:t>Май 26 1917</w:t>
            </w:r>
          </w:p>
        </w:tc>
        <w:tc>
          <w:tcPr>
            <w:tcW w:w="1170" w:type="dxa"/>
            <w:shd w:val="clear" w:color="auto" w:fill="FFFFFF"/>
          </w:tcPr>
          <w:p w14:paraId="02D6E230" w14:textId="77777777" w:rsidR="00F01B26" w:rsidRPr="00405303" w:rsidRDefault="00F01B26" w:rsidP="00C15251">
            <w:pPr>
              <w:jc w:val="both"/>
              <w:rPr>
                <w:bCs/>
                <w:color w:val="002060"/>
                <w:sz w:val="16"/>
                <w:szCs w:val="16"/>
              </w:rPr>
            </w:pPr>
            <w:r w:rsidRPr="00405303">
              <w:rPr>
                <w:bCs/>
                <w:color w:val="002060"/>
                <w:sz w:val="16"/>
                <w:szCs w:val="16"/>
              </w:rPr>
              <w:t>25</w:t>
            </w:r>
          </w:p>
        </w:tc>
        <w:tc>
          <w:tcPr>
            <w:tcW w:w="6858" w:type="dxa"/>
            <w:shd w:val="clear" w:color="auto" w:fill="FFFFFF"/>
          </w:tcPr>
          <w:p w14:paraId="08AFF2C7" w14:textId="77777777" w:rsidR="00F01B26" w:rsidRPr="00405303" w:rsidRDefault="00F01B26" w:rsidP="00C15251">
            <w:pPr>
              <w:jc w:val="both"/>
              <w:rPr>
                <w:bCs/>
                <w:color w:val="002060"/>
                <w:sz w:val="16"/>
                <w:szCs w:val="16"/>
              </w:rPr>
            </w:pPr>
            <w:r w:rsidRPr="00405303">
              <w:rPr>
                <w:bCs/>
                <w:color w:val="002060"/>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F01B26" w:rsidRPr="00405303" w14:paraId="29630CD3" w14:textId="77777777" w:rsidTr="006606CA">
        <w:tc>
          <w:tcPr>
            <w:tcW w:w="1548" w:type="dxa"/>
            <w:shd w:val="clear" w:color="auto" w:fill="FFFFFF"/>
          </w:tcPr>
          <w:p w14:paraId="113D894F" w14:textId="77777777" w:rsidR="00F01B26" w:rsidRPr="00405303" w:rsidRDefault="00F01B26" w:rsidP="00C15251">
            <w:pPr>
              <w:jc w:val="both"/>
              <w:rPr>
                <w:bCs/>
                <w:color w:val="002060"/>
                <w:sz w:val="16"/>
                <w:szCs w:val="16"/>
              </w:rPr>
            </w:pPr>
            <w:r w:rsidRPr="00405303">
              <w:rPr>
                <w:bCs/>
                <w:color w:val="002060"/>
                <w:sz w:val="16"/>
                <w:szCs w:val="16"/>
              </w:rPr>
              <w:t>Июль 28 1917</w:t>
            </w:r>
          </w:p>
        </w:tc>
        <w:tc>
          <w:tcPr>
            <w:tcW w:w="1170" w:type="dxa"/>
            <w:shd w:val="clear" w:color="auto" w:fill="FFFFFF"/>
          </w:tcPr>
          <w:p w14:paraId="00C9619D" w14:textId="77777777" w:rsidR="00F01B26" w:rsidRPr="00405303" w:rsidRDefault="00F01B26" w:rsidP="00C15251">
            <w:pPr>
              <w:jc w:val="both"/>
              <w:rPr>
                <w:bCs/>
                <w:color w:val="002060"/>
                <w:sz w:val="16"/>
                <w:szCs w:val="16"/>
              </w:rPr>
            </w:pPr>
            <w:r w:rsidRPr="00405303">
              <w:rPr>
                <w:bCs/>
                <w:color w:val="002060"/>
                <w:sz w:val="16"/>
                <w:szCs w:val="16"/>
              </w:rPr>
              <w:t>40</w:t>
            </w:r>
          </w:p>
        </w:tc>
        <w:tc>
          <w:tcPr>
            <w:tcW w:w="6858" w:type="dxa"/>
            <w:shd w:val="clear" w:color="auto" w:fill="FFFFFF"/>
          </w:tcPr>
          <w:p w14:paraId="48B26335" w14:textId="77777777" w:rsidR="00F01B26" w:rsidRPr="00405303" w:rsidRDefault="00F01B26" w:rsidP="00C15251">
            <w:pPr>
              <w:jc w:val="both"/>
              <w:rPr>
                <w:bCs/>
                <w:color w:val="002060"/>
                <w:sz w:val="16"/>
                <w:szCs w:val="16"/>
              </w:rPr>
            </w:pPr>
            <w:r w:rsidRPr="00405303">
              <w:rPr>
                <w:bCs/>
                <w:color w:val="002060"/>
                <w:sz w:val="16"/>
                <w:szCs w:val="16"/>
              </w:rPr>
              <w:t>16 тыс. руб. за аппарат под мотор «Рон» 125 л.с., срок исполнения с 1 сентября 1917 г. по 1 января 1918 г. (не выполнен)</w:t>
            </w:r>
          </w:p>
          <w:p w14:paraId="7E94B14F" w14:textId="77777777" w:rsidR="00F01B26" w:rsidRPr="00405303" w:rsidRDefault="00F01B26" w:rsidP="00C15251">
            <w:pPr>
              <w:jc w:val="both"/>
              <w:rPr>
                <w:bCs/>
                <w:color w:val="002060"/>
                <w:sz w:val="16"/>
                <w:szCs w:val="16"/>
              </w:rPr>
            </w:pPr>
            <w:r w:rsidRPr="00405303">
              <w:rPr>
                <w:bCs/>
                <w:color w:val="002060"/>
                <w:sz w:val="16"/>
                <w:szCs w:val="16"/>
              </w:rPr>
              <w:t>ПРИМЕЧАНИЯ: заказ дан Опытному заводу Д. П. Григоровича (см. главу 2 и раздел М-20)</w:t>
            </w:r>
          </w:p>
        </w:tc>
      </w:tr>
      <w:tr w:rsidR="00F01B26" w:rsidRPr="00405303" w14:paraId="6FDFC1D6" w14:textId="77777777" w:rsidTr="006606CA">
        <w:tc>
          <w:tcPr>
            <w:tcW w:w="1548" w:type="dxa"/>
            <w:shd w:val="clear" w:color="auto" w:fill="FFFFFF"/>
          </w:tcPr>
          <w:p w14:paraId="57EFCE7F" w14:textId="77777777" w:rsidR="00F01B26" w:rsidRPr="00405303" w:rsidRDefault="00F01B26" w:rsidP="00C15251">
            <w:pPr>
              <w:jc w:val="both"/>
              <w:rPr>
                <w:bCs/>
                <w:color w:val="002060"/>
                <w:sz w:val="16"/>
                <w:szCs w:val="16"/>
              </w:rPr>
            </w:pPr>
            <w:r w:rsidRPr="00405303">
              <w:rPr>
                <w:bCs/>
                <w:color w:val="002060"/>
                <w:sz w:val="16"/>
                <w:szCs w:val="16"/>
              </w:rPr>
              <w:t>Август 31 1917</w:t>
            </w:r>
          </w:p>
        </w:tc>
        <w:tc>
          <w:tcPr>
            <w:tcW w:w="1170" w:type="dxa"/>
            <w:shd w:val="clear" w:color="auto" w:fill="FFFFFF"/>
          </w:tcPr>
          <w:p w14:paraId="25D1C1CB" w14:textId="77777777" w:rsidR="00F01B26" w:rsidRPr="00405303" w:rsidRDefault="00F01B26" w:rsidP="00C15251">
            <w:pPr>
              <w:jc w:val="both"/>
              <w:rPr>
                <w:bCs/>
                <w:color w:val="002060"/>
                <w:sz w:val="16"/>
                <w:szCs w:val="16"/>
              </w:rPr>
            </w:pPr>
            <w:r w:rsidRPr="00405303">
              <w:rPr>
                <w:bCs/>
                <w:color w:val="002060"/>
                <w:sz w:val="16"/>
                <w:szCs w:val="16"/>
              </w:rPr>
              <w:t>4</w:t>
            </w:r>
          </w:p>
        </w:tc>
        <w:tc>
          <w:tcPr>
            <w:tcW w:w="6858" w:type="dxa"/>
            <w:shd w:val="clear" w:color="auto" w:fill="FFFFFF"/>
          </w:tcPr>
          <w:p w14:paraId="7B04528C" w14:textId="77777777" w:rsidR="00F01B26" w:rsidRPr="00405303" w:rsidRDefault="00F01B26" w:rsidP="00C15251">
            <w:pPr>
              <w:jc w:val="both"/>
              <w:rPr>
                <w:bCs/>
                <w:color w:val="002060"/>
                <w:sz w:val="16"/>
                <w:szCs w:val="16"/>
              </w:rPr>
            </w:pPr>
            <w:r w:rsidRPr="00405303">
              <w:rPr>
                <w:bCs/>
                <w:color w:val="002060"/>
                <w:sz w:val="16"/>
                <w:szCs w:val="16"/>
              </w:rPr>
              <w:t>контракт на ранее приобретенные аппараты (2807)</w:t>
            </w:r>
          </w:p>
        </w:tc>
      </w:tr>
    </w:tbl>
    <w:p w14:paraId="761C2E0B" w14:textId="77777777" w:rsidR="00F01B26" w:rsidRPr="00405303" w:rsidRDefault="00F01B26" w:rsidP="00C15251">
      <w:pPr>
        <w:shd w:val="clear" w:color="auto" w:fill="FFFFFF"/>
        <w:jc w:val="both"/>
        <w:rPr>
          <w:bCs/>
          <w:color w:val="002060"/>
          <w:sz w:val="16"/>
          <w:szCs w:val="16"/>
        </w:rPr>
      </w:pPr>
    </w:p>
    <w:p w14:paraId="321F4D37"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Летом 1915 г. из Риги в Москву был эвакуирован завод товарищества «Мо</w:t>
      </w:r>
      <w:r w:rsidRPr="00405303">
        <w:rPr>
          <w:bCs/>
          <w:color w:val="002060"/>
          <w:sz w:val="16"/>
          <w:szCs w:val="16"/>
        </w:rPr>
        <w:softHyphen/>
        <w:t>тор». Военное ведомство после пере</w:t>
      </w:r>
      <w:r w:rsidRPr="00405303">
        <w:rPr>
          <w:bCs/>
          <w:color w:val="002060"/>
          <w:sz w:val="16"/>
          <w:szCs w:val="16"/>
        </w:rPr>
        <w:softHyphen/>
        <w:t>езда предприятия в Москву предложи</w:t>
      </w:r>
      <w:r w:rsidRPr="00405303">
        <w:rPr>
          <w:bCs/>
          <w:color w:val="002060"/>
          <w:sz w:val="16"/>
          <w:szCs w:val="16"/>
        </w:rPr>
        <w:softHyphen/>
        <w:t>ло его дирекции перейти на производ</w:t>
      </w:r>
      <w:r w:rsidRPr="00405303">
        <w:rPr>
          <w:bCs/>
          <w:color w:val="002060"/>
          <w:sz w:val="16"/>
          <w:szCs w:val="16"/>
        </w:rPr>
        <w:softHyphen/>
        <w:t>ство запасных частей для ротативных двигателей, доведя месячную произво</w:t>
      </w:r>
      <w:r w:rsidRPr="00405303">
        <w:rPr>
          <w:bCs/>
          <w:color w:val="002060"/>
          <w:sz w:val="16"/>
          <w:szCs w:val="16"/>
        </w:rPr>
        <w:softHyphen/>
        <w:t>дительность до 100-120 комплектов. Одновременно предлагалось освоить выпуск двигателей «Рон». Для обеспе</w:t>
      </w:r>
      <w:r w:rsidRPr="00405303">
        <w:rPr>
          <w:bCs/>
          <w:color w:val="002060"/>
          <w:sz w:val="16"/>
          <w:szCs w:val="16"/>
        </w:rPr>
        <w:softHyphen/>
        <w:t>чения этого задания заводу была пре</w:t>
      </w:r>
      <w:r w:rsidRPr="00405303">
        <w:rPr>
          <w:bCs/>
          <w:color w:val="002060"/>
          <w:sz w:val="16"/>
          <w:szCs w:val="16"/>
        </w:rPr>
        <w:softHyphen/>
        <w:t>доставлена возможность закупки в Аме</w:t>
      </w:r>
      <w:r w:rsidRPr="00405303">
        <w:rPr>
          <w:bCs/>
          <w:color w:val="002060"/>
          <w:sz w:val="16"/>
          <w:szCs w:val="16"/>
        </w:rPr>
        <w:softHyphen/>
        <w:t>рике необходимых станков. В помощь заводу было привлечено Егорьевское техническое училище. Начальником производства был назначен А.Д. Шве</w:t>
      </w:r>
      <w:r w:rsidRPr="00405303">
        <w:rPr>
          <w:bCs/>
          <w:color w:val="002060"/>
          <w:sz w:val="16"/>
          <w:szCs w:val="16"/>
        </w:rPr>
        <w:softHyphen/>
        <w:t>цов, впоследствии создавший ряд за</w:t>
      </w:r>
      <w:r w:rsidRPr="00405303">
        <w:rPr>
          <w:bCs/>
          <w:color w:val="002060"/>
          <w:sz w:val="16"/>
          <w:szCs w:val="16"/>
        </w:rPr>
        <w:softHyphen/>
        <w:t>мечательных двигателей воздушного охлаждения. На заводе было занято около 300 рабочих. Его коллектив ос</w:t>
      </w:r>
      <w:r w:rsidRPr="00405303">
        <w:rPr>
          <w:bCs/>
          <w:color w:val="002060"/>
          <w:sz w:val="16"/>
          <w:szCs w:val="16"/>
        </w:rPr>
        <w:softHyphen/>
        <w:t>воил производство двигателей «Рон» и в конце 1916 г. довел месячную произ</w:t>
      </w:r>
      <w:r w:rsidRPr="00405303">
        <w:rPr>
          <w:bCs/>
          <w:color w:val="002060"/>
          <w:sz w:val="16"/>
          <w:szCs w:val="16"/>
        </w:rPr>
        <w:softHyphen/>
        <w:t>водительность до 20 экземпляров (11165).</w:t>
      </w:r>
    </w:p>
    <w:p w14:paraId="75E1FC23" w14:textId="77777777" w:rsidR="00F01B26" w:rsidRPr="00405303" w:rsidRDefault="00F01B26" w:rsidP="00C15251">
      <w:pPr>
        <w:shd w:val="clear" w:color="auto" w:fill="FFFFFF"/>
        <w:jc w:val="both"/>
        <w:rPr>
          <w:bCs/>
          <w:color w:val="002060"/>
          <w:sz w:val="16"/>
          <w:szCs w:val="16"/>
        </w:rPr>
      </w:pPr>
    </w:p>
    <w:p w14:paraId="56F4E0AF" w14:textId="77777777" w:rsidR="00E5375E" w:rsidRPr="00405303" w:rsidRDefault="00E5375E" w:rsidP="00E5375E">
      <w:pPr>
        <w:jc w:val="both"/>
        <w:rPr>
          <w:color w:val="0070C0"/>
          <w:sz w:val="16"/>
          <w:szCs w:val="16"/>
        </w:rPr>
      </w:pPr>
      <w:r w:rsidRPr="00405303">
        <w:rPr>
          <w:color w:val="0070C0"/>
          <w:sz w:val="16"/>
          <w:szCs w:val="16"/>
        </w:rPr>
        <w:t>Летом 1915 г. в ЭВК началась эксплуатация первых С-16. В основном они использовались для тренировки летчиков. В целом отзывы о С-16 были очень хорошие. Самолет был легок в управлении. Его летно-технические характеристики вполне соответство</w:t>
      </w:r>
      <w:r w:rsidRPr="00405303">
        <w:rPr>
          <w:color w:val="0070C0"/>
          <w:sz w:val="16"/>
          <w:szCs w:val="16"/>
        </w:rPr>
        <w:softHyphen/>
        <w:t xml:space="preserve">вали требованиям начала 1915 г. Особенно отмечалась хорошая скорость полета - до 144 км/ч. Вероятно она достигалась при тренировочных полетах с одним </w:t>
      </w:r>
      <w:proofErr w:type="gramStart"/>
      <w:r w:rsidRPr="00405303">
        <w:rPr>
          <w:color w:val="0070C0"/>
          <w:sz w:val="16"/>
          <w:szCs w:val="16"/>
        </w:rPr>
        <w:t>летчи</w:t>
      </w:r>
      <w:r w:rsidRPr="00405303">
        <w:rPr>
          <w:color w:val="0070C0"/>
          <w:sz w:val="16"/>
          <w:szCs w:val="16"/>
        </w:rPr>
        <w:softHyphen/>
        <w:t>ком На</w:t>
      </w:r>
      <w:proofErr w:type="gramEnd"/>
      <w:r w:rsidRPr="00405303">
        <w:rPr>
          <w:color w:val="0070C0"/>
          <w:sz w:val="16"/>
          <w:szCs w:val="16"/>
        </w:rPr>
        <w:t xml:space="preserve"> борту, так как официально считалось, что при полной заявленной нагрузке 225 кг скорость равна 125,5 км/ч. Неплохой признавалась и скороподъем</w:t>
      </w:r>
      <w:r w:rsidRPr="00405303">
        <w:rPr>
          <w:color w:val="0070C0"/>
          <w:sz w:val="16"/>
          <w:szCs w:val="16"/>
        </w:rPr>
        <w:softHyphen/>
        <w:t>ность: 1000 м за 4 мин.</w:t>
      </w:r>
    </w:p>
    <w:p w14:paraId="0B5C8433" w14:textId="77777777" w:rsidR="00E5375E" w:rsidRPr="00405303" w:rsidRDefault="00E5375E" w:rsidP="00E5375E">
      <w:pPr>
        <w:jc w:val="both"/>
        <w:rPr>
          <w:color w:val="0070C0"/>
          <w:sz w:val="16"/>
          <w:szCs w:val="16"/>
        </w:rPr>
      </w:pPr>
      <w:r w:rsidRPr="00405303">
        <w:rPr>
          <w:color w:val="0070C0"/>
          <w:sz w:val="16"/>
          <w:szCs w:val="16"/>
        </w:rPr>
        <w:t>Самолет С-16 осматривали летчики других авиацион</w:t>
      </w:r>
      <w:r w:rsidRPr="00405303">
        <w:rPr>
          <w:color w:val="0070C0"/>
          <w:sz w:val="16"/>
          <w:szCs w:val="16"/>
        </w:rPr>
        <w:softHyphen/>
        <w:t>ных частей, высшее командование Императорской Рус</w:t>
      </w:r>
      <w:r w:rsidRPr="00405303">
        <w:rPr>
          <w:color w:val="0070C0"/>
          <w:sz w:val="16"/>
          <w:szCs w:val="16"/>
        </w:rPr>
        <w:softHyphen/>
        <w:t>ской армии, члены Царской фамилии и многочислен</w:t>
      </w:r>
      <w:r w:rsidRPr="00405303">
        <w:rPr>
          <w:color w:val="0070C0"/>
          <w:sz w:val="16"/>
          <w:szCs w:val="16"/>
        </w:rPr>
        <w:softHyphen/>
        <w:t>ные иностранные делегации, посещавшие ЭВК с целью ознакомления с самолетами И.И. Сикорского.</w:t>
      </w:r>
    </w:p>
    <w:p w14:paraId="77485E35" w14:textId="77777777" w:rsidR="00E5375E" w:rsidRPr="00405303" w:rsidRDefault="00E5375E" w:rsidP="00E5375E">
      <w:pPr>
        <w:jc w:val="both"/>
        <w:rPr>
          <w:color w:val="0070C0"/>
          <w:sz w:val="16"/>
          <w:szCs w:val="16"/>
        </w:rPr>
      </w:pPr>
      <w:r w:rsidRPr="00405303">
        <w:rPr>
          <w:color w:val="0070C0"/>
          <w:sz w:val="16"/>
          <w:szCs w:val="16"/>
        </w:rPr>
        <w:t>Встал вопрос о приобретении в казну имеющихся С-16 и заказе новых машин того же типа. Предполагав</w:t>
      </w:r>
      <w:r w:rsidRPr="00405303">
        <w:rPr>
          <w:color w:val="0070C0"/>
          <w:sz w:val="16"/>
          <w:szCs w:val="16"/>
        </w:rPr>
        <w:softHyphen/>
        <w:t>шаяся замена заказа на С-10А заказом на С-16 не состоялась. Военное ведомство приобрело у АО РБВЗ четыре «муромца» в счет несданных 45 легких самоле</w:t>
      </w:r>
      <w:r w:rsidRPr="00405303">
        <w:rPr>
          <w:color w:val="0070C0"/>
          <w:sz w:val="16"/>
          <w:szCs w:val="16"/>
        </w:rPr>
        <w:softHyphen/>
        <w:t>тов Сикорского. В то же время легкие самолеты требо</w:t>
      </w:r>
      <w:r w:rsidRPr="00405303">
        <w:rPr>
          <w:color w:val="0070C0"/>
          <w:sz w:val="16"/>
          <w:szCs w:val="16"/>
        </w:rPr>
        <w:softHyphen/>
        <w:t>вались для укомплектования ЭВК (25049).</w:t>
      </w:r>
    </w:p>
    <w:p w14:paraId="2E53149C" w14:textId="77777777" w:rsidR="00E5375E" w:rsidRPr="00405303" w:rsidRDefault="00E5375E" w:rsidP="00E5375E">
      <w:pPr>
        <w:jc w:val="both"/>
        <w:rPr>
          <w:color w:val="0070C0"/>
          <w:sz w:val="16"/>
          <w:szCs w:val="16"/>
        </w:rPr>
      </w:pPr>
    </w:p>
    <w:p w14:paraId="7992BDA7"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Летом 1915 г. инженером В.В. Киреевым в авиационном отделе РБВЗ был разработан двигатель РБЗ-6 мощностью 150 л.с. по типу не</w:t>
      </w:r>
      <w:r w:rsidRPr="00405303">
        <w:rPr>
          <w:bCs/>
          <w:color w:val="002060"/>
          <w:sz w:val="16"/>
          <w:szCs w:val="16"/>
        </w:rPr>
        <w:softHyphen/>
        <w:t>мецкого двигателя «Аргус» (мощностью 140 л.с.). С этого времени на</w:t>
      </w:r>
      <w:r w:rsidRPr="00405303">
        <w:rPr>
          <w:bCs/>
          <w:color w:val="002060"/>
          <w:sz w:val="16"/>
          <w:szCs w:val="16"/>
        </w:rPr>
        <w:softHyphen/>
        <w:t>чался серийный выпуск двигателей РБЗ-6, и их стали устанавливать на самолет «Илья Муромец». К осени 1916г. выпускалось по 10-15 двигате</w:t>
      </w:r>
      <w:r w:rsidRPr="00405303">
        <w:rPr>
          <w:bCs/>
          <w:color w:val="002060"/>
          <w:sz w:val="16"/>
          <w:szCs w:val="16"/>
        </w:rPr>
        <w:softHyphen/>
        <w:t>лей в месяц (11425).</w:t>
      </w:r>
    </w:p>
    <w:p w14:paraId="0D82A216" w14:textId="77777777" w:rsidR="00F01B26" w:rsidRPr="00405303" w:rsidRDefault="00F01B26" w:rsidP="00C15251">
      <w:pPr>
        <w:shd w:val="clear" w:color="auto" w:fill="FFFFFF"/>
        <w:jc w:val="both"/>
        <w:rPr>
          <w:bCs/>
          <w:color w:val="002060"/>
          <w:sz w:val="16"/>
          <w:szCs w:val="16"/>
        </w:rPr>
      </w:pPr>
    </w:p>
    <w:p w14:paraId="6790E78D" w14:textId="77777777" w:rsidR="00F01B26" w:rsidRPr="00405303" w:rsidRDefault="00F01B26" w:rsidP="00C15251">
      <w:pPr>
        <w:jc w:val="both"/>
        <w:rPr>
          <w:bCs/>
          <w:color w:val="002060"/>
          <w:sz w:val="16"/>
          <w:szCs w:val="16"/>
        </w:rPr>
      </w:pPr>
      <w:r w:rsidRPr="00405303">
        <w:rPr>
          <w:bCs/>
          <w:color w:val="002060"/>
          <w:sz w:val="16"/>
          <w:szCs w:val="16"/>
        </w:rPr>
        <w:t>Летом 1915 года под руководством инженера В. В. Киреева был разработан рядный 6-цилиндровый двигатель воздушного охлаждения РБВЗ-6 в 150 л. с. по типу германского «Аргуса» в 140 л. с. Этот мотор строили серийно, к осени 1916 года на русских заводах выпускали по 10—15 моторов. Их ставили на различные модификации самолетов «Илья Муромец».</w:t>
      </w:r>
    </w:p>
    <w:p w14:paraId="3D1009F4" w14:textId="77777777" w:rsidR="00F01B26" w:rsidRPr="00405303" w:rsidRDefault="00F01B26" w:rsidP="00C15251">
      <w:pPr>
        <w:jc w:val="both"/>
        <w:rPr>
          <w:bCs/>
          <w:color w:val="002060"/>
          <w:sz w:val="16"/>
          <w:szCs w:val="16"/>
        </w:rPr>
      </w:pPr>
      <w:r w:rsidRPr="00405303">
        <w:rPr>
          <w:bCs/>
          <w:color w:val="002060"/>
          <w:sz w:val="16"/>
          <w:szCs w:val="16"/>
        </w:rPr>
        <w:t>В 1916 году в городе Александровск Запорожской губернии (ныне г. Запорожье Республика Украина) был организован моторостроительный завод «Дюфлон и Константинович». По замыслу он должен был обеспечивать самолеты русской армии моторами по типу трофейных «Мерседесов» в 100 л.с. и «Бенц» в 150 л. с. В 1916—1917 годах на заводе под руководством инженера Воробьева шла работа над чертежами двигателей М-100 по типу 100-сильного «Мерседеса». В работе принимал активное участие студент В. Я. Климов, впоследствии генеральный конструктор авиадвигателей. До конца 1917 года завод так и не успел организовать серийный выпуск моторов</w:t>
      </w:r>
      <w:hyperlink r:id="rId43" w:anchor="note37" w:history="1">
        <w:r w:rsidRPr="00405303">
          <w:rPr>
            <w:rStyle w:val="13"/>
            <w:bCs/>
            <w:color w:val="002060"/>
            <w:sz w:val="16"/>
            <w:szCs w:val="16"/>
            <w:vertAlign w:val="superscript"/>
          </w:rPr>
          <w:t>[37]</w:t>
        </w:r>
      </w:hyperlink>
      <w:r w:rsidRPr="00405303">
        <w:rPr>
          <w:bCs/>
          <w:color w:val="002060"/>
          <w:sz w:val="16"/>
          <w:szCs w:val="16"/>
        </w:rPr>
        <w:t>.</w:t>
      </w:r>
    </w:p>
    <w:p w14:paraId="2B5AA78A" w14:textId="77777777" w:rsidR="00F01B26" w:rsidRPr="00405303" w:rsidRDefault="00F01B26" w:rsidP="00C15251">
      <w:pPr>
        <w:jc w:val="both"/>
        <w:rPr>
          <w:bCs/>
          <w:color w:val="002060"/>
          <w:sz w:val="16"/>
          <w:szCs w:val="16"/>
        </w:rPr>
      </w:pPr>
      <w:r w:rsidRPr="00405303">
        <w:rPr>
          <w:bCs/>
          <w:color w:val="002060"/>
          <w:sz w:val="16"/>
          <w:szCs w:val="16"/>
        </w:rPr>
        <w:t>Во время Первой мировой войны началось активное изучение трофейной техники. Однажды русские подбили немецкий самолет. Германский летчик, чтобы не выдать секрета нового пулемета, выбросил одну из его деталей в болото. Он пытался уничтожить и сам пулемет, но не смог. Отечественных оружейников заинтересовал новый принцип оружия, но для того, чтобы разобраться в нем, нужно было восстановить недостающую деталь. И тогда В. А. Дегтярев, ставший впоследствии знаменитым оружейным конструктором и вторым (после И. В. Сталина) Героем Социалистического Труда, без проблем справился со стоящей перед ним задачей (11765).</w:t>
      </w:r>
    </w:p>
    <w:p w14:paraId="4FDA2110" w14:textId="77777777" w:rsidR="00F01B26" w:rsidRPr="00405303" w:rsidRDefault="00F01B26" w:rsidP="00C15251">
      <w:pPr>
        <w:jc w:val="both"/>
        <w:rPr>
          <w:bCs/>
          <w:color w:val="002060"/>
          <w:sz w:val="16"/>
          <w:szCs w:val="16"/>
        </w:rPr>
      </w:pPr>
    </w:p>
    <w:p w14:paraId="77367B0F" w14:textId="535B0F5D" w:rsidR="000616D6" w:rsidRPr="00405303" w:rsidRDefault="000616D6" w:rsidP="00C15251">
      <w:pPr>
        <w:jc w:val="both"/>
        <w:rPr>
          <w:bCs/>
          <w:color w:val="002060"/>
          <w:sz w:val="16"/>
          <w:szCs w:val="16"/>
        </w:rPr>
      </w:pPr>
      <w:r w:rsidRPr="00405303">
        <w:rPr>
          <w:bCs/>
          <w:color w:val="002060"/>
          <w:sz w:val="16"/>
          <w:szCs w:val="16"/>
        </w:rPr>
        <w:lastRenderedPageBreak/>
        <w:t>Летом 1915 г. в Петроград на завод Лебедева был доставлен трофейный немецкий самолет "Альбатрос" образца 1914 г. с мотором "Бенц" 150 л.с., послуживший основой для копирования. к концу 1915 г. самолет с двигателем "Сальмсон" мощностью 150 л. с. был построен и получил наименование "Лебедь</w:t>
      </w:r>
      <w:r w:rsidR="00DB4D64" w:rsidRPr="00405303">
        <w:rPr>
          <w:bCs/>
          <w:color w:val="002060"/>
          <w:sz w:val="16"/>
          <w:szCs w:val="16"/>
        </w:rPr>
        <w:t xml:space="preserve"> </w:t>
      </w:r>
      <w:r w:rsidRPr="00405303">
        <w:rPr>
          <w:bCs/>
          <w:color w:val="002060"/>
          <w:sz w:val="16"/>
          <w:szCs w:val="16"/>
          <w:lang w:val="en-US"/>
        </w:rPr>
        <w:t>XII</w:t>
      </w:r>
      <w:r w:rsidRPr="00405303">
        <w:rPr>
          <w:bCs/>
          <w:color w:val="002060"/>
          <w:sz w:val="16"/>
          <w:szCs w:val="16"/>
        </w:rPr>
        <w:t>".</w:t>
      </w:r>
    </w:p>
    <w:p w14:paraId="001BF001" w14:textId="77777777" w:rsidR="000616D6" w:rsidRPr="00405303" w:rsidRDefault="000616D6" w:rsidP="00C15251">
      <w:pPr>
        <w:jc w:val="both"/>
        <w:rPr>
          <w:bCs/>
          <w:color w:val="002060"/>
          <w:sz w:val="16"/>
          <w:szCs w:val="16"/>
        </w:rPr>
      </w:pPr>
      <w:r w:rsidRPr="00405303">
        <w:rPr>
          <w:bCs/>
          <w:color w:val="002060"/>
          <w:sz w:val="16"/>
          <w:szCs w:val="16"/>
        </w:rPr>
        <w:t>В дальнейшем такая практика использования трофейных самолетов была широко использована на заводе Лебедева. При этом трофейные экземпляры подвергались во время ремонта небольшим изменениям, в основном из-за установки других моторов (18255).</w:t>
      </w:r>
    </w:p>
    <w:p w14:paraId="4AD30C16" w14:textId="77777777" w:rsidR="000616D6" w:rsidRPr="00405303" w:rsidRDefault="000616D6" w:rsidP="00C15251">
      <w:pPr>
        <w:pStyle w:val="ae"/>
        <w:spacing w:before="0" w:beforeAutospacing="0" w:after="0" w:afterAutospacing="0"/>
        <w:jc w:val="both"/>
        <w:rPr>
          <w:bCs/>
          <w:color w:val="002060"/>
          <w:sz w:val="16"/>
          <w:szCs w:val="16"/>
          <w:shd w:val="clear" w:color="auto" w:fill="FFFFFF"/>
        </w:rPr>
      </w:pPr>
      <w:r w:rsidRPr="00405303">
        <w:rPr>
          <w:bCs/>
          <w:color w:val="002060"/>
          <w:sz w:val="16"/>
          <w:szCs w:val="16"/>
          <w:shd w:val="clear" w:color="auto" w:fill="FFFFFF"/>
        </w:rPr>
        <w:t>Лебедеву удалось достигнуть договоренности с командованием авиации о поставке трофейных самолетов на завод с целью изучения новейших достижений немецких конструкторов. Лебедев обещал возвращать эти самолеты на фронт после изучения и ремонта. Так была достигнута взаимная выгода — Лебедев получал доступ к техническим новинкам противника, а фронт получал отремонтированные самолеты. Правда, надежды на использование передовым техническим решениям не оправдались, так как немцы применяли на восточном фронте самолеты далеко не «первой свежести». К тому же перед отправкой в тыл трофейные самолеты нещадно «потрошились» и прибывали на завод с вывернутыми из двигателей свечами, «пустой» приборной доской и вставленными «чужими» деталями. На это Лебедев не раз жаловался командованию и просил воспрепятствовать «раздеванию» посылаемых самолетов, обеспечивая их надлежащей охраной. Однако ремонт и копирование даже устаревших немецких конструкций были выгодны Лебедеву, поскольку Военное ведомство покупало отремонтированный трофейный самолет и аппарат новой конструкции по одинаковой цене — 13700 рублей за планер без мотора. Кроме трофейных «Альбатросов», завод ремонтировал и копировал самолеты других немецких фирм: «Румплер», «Авиатик» и др. (18256)</w:t>
      </w:r>
    </w:p>
    <w:p w14:paraId="1D838AE7" w14:textId="77777777" w:rsidR="000616D6" w:rsidRPr="00405303" w:rsidRDefault="000616D6" w:rsidP="00C15251">
      <w:pPr>
        <w:pStyle w:val="ae"/>
        <w:spacing w:before="0" w:beforeAutospacing="0" w:after="0" w:afterAutospacing="0"/>
        <w:jc w:val="both"/>
        <w:rPr>
          <w:bCs/>
          <w:color w:val="002060"/>
          <w:sz w:val="16"/>
          <w:szCs w:val="16"/>
        </w:rPr>
      </w:pPr>
    </w:p>
    <w:p w14:paraId="5A7478CA" w14:textId="77777777" w:rsidR="000616D6" w:rsidRPr="00405303" w:rsidRDefault="000616D6" w:rsidP="00C15251">
      <w:pPr>
        <w:jc w:val="both"/>
        <w:rPr>
          <w:bCs/>
          <w:color w:val="002060"/>
          <w:sz w:val="16"/>
          <w:szCs w:val="16"/>
        </w:rPr>
      </w:pPr>
      <w:r w:rsidRPr="00405303">
        <w:rPr>
          <w:bCs/>
          <w:color w:val="002060"/>
          <w:sz w:val="16"/>
          <w:szCs w:val="16"/>
        </w:rPr>
        <w:t>Летом 1915 г. из Риги в Москву был эвакуирован завод товарищества «Мотор». Военное ведомство после переезда предприятия в Москву предложило его дирекции перейти на производство запасных частей для ротативных двигателей, доведя месячную производительность до 100-120 комплектов. Одновременно предлагалось освоить выпуск двигателей «Рон». Для обеспечения этого задания заводу была предоставлена возможность закупки в Америке необходимых станков. В помощь заводу было привлечено Егорьевское техническое училище. Начальником производства был назначен А.Д. Швецов, впоследствии создавший ряд замечательных двигателей воздушного охлаждения. На заводе было занято около 300 рабочих. Его коллектив освоил производство двигателей «Рон» и в конце 1916 г. довел месячную производительность до 20 экземпляров (19015).</w:t>
      </w:r>
    </w:p>
    <w:p w14:paraId="414AB20D" w14:textId="77777777" w:rsidR="000616D6" w:rsidRPr="00405303" w:rsidRDefault="000616D6" w:rsidP="00C15251">
      <w:pPr>
        <w:jc w:val="both"/>
        <w:rPr>
          <w:bCs/>
          <w:color w:val="002060"/>
          <w:sz w:val="16"/>
          <w:szCs w:val="16"/>
        </w:rPr>
      </w:pPr>
    </w:p>
    <w:p w14:paraId="699D804D" w14:textId="09766540" w:rsidR="000616D6" w:rsidRPr="00405303" w:rsidRDefault="000616D6" w:rsidP="00C15251">
      <w:pPr>
        <w:jc w:val="both"/>
        <w:rPr>
          <w:bCs/>
          <w:color w:val="002060"/>
          <w:sz w:val="16"/>
          <w:szCs w:val="16"/>
        </w:rPr>
      </w:pPr>
      <w:r w:rsidRPr="00405303">
        <w:rPr>
          <w:bCs/>
          <w:color w:val="002060"/>
          <w:sz w:val="16"/>
          <w:szCs w:val="16"/>
        </w:rPr>
        <w:t xml:space="preserve">Летом 1915 г., когда немцы подошли к Риге, началась </w:t>
      </w:r>
      <w:proofErr w:type="gramStart"/>
      <w:r w:rsidRPr="00405303">
        <w:rPr>
          <w:bCs/>
          <w:color w:val="002060"/>
          <w:sz w:val="16"/>
          <w:szCs w:val="16"/>
        </w:rPr>
        <w:t>эвакуация</w:t>
      </w:r>
      <w:r w:rsidR="000F5756">
        <w:rPr>
          <w:bCs/>
          <w:color w:val="002060"/>
          <w:sz w:val="16"/>
          <w:szCs w:val="16"/>
        </w:rPr>
        <w:t xml:space="preserve"> </w:t>
      </w:r>
      <w:r w:rsidR="00DB4D64" w:rsidRPr="00405303">
        <w:rPr>
          <w:bCs/>
          <w:color w:val="002060"/>
          <w:sz w:val="16"/>
          <w:szCs w:val="16"/>
        </w:rPr>
        <w:t xml:space="preserve"> </w:t>
      </w:r>
      <w:r w:rsidRPr="00405303">
        <w:rPr>
          <w:bCs/>
          <w:color w:val="002060"/>
          <w:sz w:val="16"/>
          <w:szCs w:val="16"/>
        </w:rPr>
        <w:t>РБВЗ</w:t>
      </w:r>
      <w:proofErr w:type="gramEnd"/>
      <w:r w:rsidR="000F5756">
        <w:rPr>
          <w:bCs/>
          <w:color w:val="002060"/>
          <w:sz w:val="16"/>
          <w:szCs w:val="16"/>
        </w:rPr>
        <w:t xml:space="preserve"> </w:t>
      </w:r>
      <w:r w:rsidR="00DB4D64" w:rsidRPr="00405303">
        <w:rPr>
          <w:bCs/>
          <w:color w:val="002060"/>
          <w:sz w:val="16"/>
          <w:szCs w:val="16"/>
        </w:rPr>
        <w:t xml:space="preserve"> </w:t>
      </w:r>
      <w:proofErr w:type="gramStart"/>
      <w:r w:rsidRPr="00405303">
        <w:rPr>
          <w:bCs/>
          <w:color w:val="002060"/>
          <w:sz w:val="16"/>
          <w:szCs w:val="16"/>
        </w:rPr>
        <w:t>в</w:t>
      </w:r>
      <w:r w:rsidR="000F5756">
        <w:rPr>
          <w:bCs/>
          <w:color w:val="002060"/>
          <w:sz w:val="16"/>
          <w:szCs w:val="16"/>
        </w:rPr>
        <w:t xml:space="preserve"> </w:t>
      </w:r>
      <w:r w:rsidR="00DB4D64" w:rsidRPr="00405303">
        <w:rPr>
          <w:bCs/>
          <w:color w:val="002060"/>
          <w:sz w:val="16"/>
          <w:szCs w:val="16"/>
        </w:rPr>
        <w:t xml:space="preserve"> </w:t>
      </w:r>
      <w:r w:rsidRPr="00405303">
        <w:rPr>
          <w:bCs/>
          <w:color w:val="002060"/>
          <w:sz w:val="16"/>
          <w:szCs w:val="16"/>
        </w:rPr>
        <w:t>Петроград</w:t>
      </w:r>
      <w:proofErr w:type="gramEnd"/>
      <w:r w:rsidR="000F5756">
        <w:rPr>
          <w:bCs/>
          <w:color w:val="002060"/>
          <w:sz w:val="16"/>
          <w:szCs w:val="16"/>
        </w:rPr>
        <w:t xml:space="preserve"> </w:t>
      </w:r>
      <w:r w:rsidRPr="00405303">
        <w:rPr>
          <w:bCs/>
          <w:color w:val="002060"/>
          <w:sz w:val="16"/>
          <w:szCs w:val="16"/>
        </w:rPr>
        <w:t>и Тверь. На Васильевском острове</w:t>
      </w:r>
      <w:r w:rsidR="000F5756">
        <w:rPr>
          <w:bCs/>
          <w:color w:val="002060"/>
          <w:sz w:val="16"/>
          <w:szCs w:val="16"/>
        </w:rPr>
        <w:t xml:space="preserve"> </w:t>
      </w:r>
      <w:r w:rsidRPr="00405303">
        <w:rPr>
          <w:bCs/>
          <w:color w:val="002060"/>
          <w:sz w:val="16"/>
          <w:szCs w:val="16"/>
        </w:rPr>
        <w:t>Петрограда</w:t>
      </w:r>
      <w:r w:rsidR="000F5756">
        <w:rPr>
          <w:bCs/>
          <w:color w:val="002060"/>
          <w:sz w:val="16"/>
          <w:szCs w:val="16"/>
        </w:rPr>
        <w:t xml:space="preserve"> </w:t>
      </w:r>
      <w:r w:rsidRPr="00405303">
        <w:rPr>
          <w:bCs/>
          <w:color w:val="002060"/>
          <w:sz w:val="16"/>
          <w:szCs w:val="16"/>
        </w:rPr>
        <w:t>появился Механический завод</w:t>
      </w:r>
      <w:r w:rsidR="000F5756">
        <w:rPr>
          <w:bCs/>
          <w:color w:val="002060"/>
          <w:sz w:val="16"/>
          <w:szCs w:val="16"/>
        </w:rPr>
        <w:t xml:space="preserve"> </w:t>
      </w:r>
      <w:proofErr w:type="gramStart"/>
      <w:r w:rsidRPr="00405303">
        <w:rPr>
          <w:bCs/>
          <w:color w:val="002060"/>
          <w:sz w:val="16"/>
          <w:szCs w:val="16"/>
        </w:rPr>
        <w:t>РБВЗ</w:t>
      </w:r>
      <w:r w:rsidR="00DB4D64" w:rsidRPr="00405303">
        <w:rPr>
          <w:bCs/>
          <w:color w:val="002060"/>
          <w:sz w:val="16"/>
          <w:szCs w:val="16"/>
        </w:rPr>
        <w:t xml:space="preserve"> </w:t>
      </w:r>
      <w:r w:rsidRPr="00405303">
        <w:rPr>
          <w:bCs/>
          <w:color w:val="002060"/>
          <w:sz w:val="16"/>
          <w:szCs w:val="16"/>
        </w:rPr>
        <w:t>,</w:t>
      </w:r>
      <w:proofErr w:type="gramEnd"/>
      <w:r w:rsidRPr="00405303">
        <w:rPr>
          <w:bCs/>
          <w:color w:val="002060"/>
          <w:sz w:val="16"/>
          <w:szCs w:val="16"/>
        </w:rPr>
        <w:t xml:space="preserve"> а на базе авиационного отделения было образовано фактически два производства: старое, на Строгановской набережной, и новое — у Корпусного аэродрома. Последнее специализировалось на сборке «Муромцев». Все указанные предприятия были тесно связаны кооперацией между собой. Об интенсивности развития авиационного производства на Строгановской набережной за первые два года войны говорят следующие цифры: если в первую половину 1914 г. на заводе работали лишь днем 270 человек по 9 часов, то в конце 1914 г. — 470 человек по 10–11 часов, причем в механическом цехе — 230, в столярном —111, в сборочном — 74, в малярном — 29. Станочный парк насчитывал 18 деревообрабатывающих станков, 15 — токарно-винторезных, 2 — револьверных, 2 — автоматических, 1 — фрезерный, 5 — сверлильных, 1 — долбежный. Директором авиационного отделения (в годы войны предприятие иногда называли «Авиабалт») являлся М. Ф. Климиксеев (15125).</w:t>
      </w:r>
    </w:p>
    <w:p w14:paraId="5A4FF32C" w14:textId="77777777" w:rsidR="000616D6" w:rsidRPr="00405303" w:rsidRDefault="000616D6" w:rsidP="00C15251">
      <w:pPr>
        <w:jc w:val="both"/>
        <w:rPr>
          <w:bCs/>
          <w:color w:val="002060"/>
          <w:sz w:val="16"/>
          <w:szCs w:val="16"/>
        </w:rPr>
      </w:pPr>
    </w:p>
    <w:p w14:paraId="4830B9B9" w14:textId="77777777" w:rsidR="000616D6" w:rsidRPr="00405303" w:rsidRDefault="000616D6" w:rsidP="00C15251">
      <w:pPr>
        <w:pStyle w:val="16"/>
        <w:shd w:val="clear" w:color="auto" w:fill="auto"/>
        <w:spacing w:before="0" w:line="240" w:lineRule="auto"/>
        <w:ind w:firstLine="0"/>
        <w:jc w:val="both"/>
        <w:rPr>
          <w:bCs/>
          <w:color w:val="002060"/>
          <w:sz w:val="16"/>
          <w:szCs w:val="16"/>
        </w:rPr>
      </w:pPr>
      <w:r w:rsidRPr="00405303">
        <w:rPr>
          <w:bCs/>
          <w:color w:val="002060"/>
          <w:sz w:val="16"/>
          <w:szCs w:val="16"/>
        </w:rPr>
        <w:t>Летом 1915 г. Ботезатом были закончены проекты самолетов, но уже без громкого названия «абсолютно устойчивые». Ученым было разработано два типа самолета: «истребитель, предназначающийся для борьбы с воздушным флотом противника», вооруженный пулеметом и рассчитанный на скорость до 150 км/ч, и «бомбометатель — при скорости 120 км/ч несет на себе 20 пу</w:t>
      </w:r>
      <w:r w:rsidRPr="00405303">
        <w:rPr>
          <w:bCs/>
          <w:color w:val="002060"/>
          <w:sz w:val="16"/>
          <w:szCs w:val="16"/>
        </w:rPr>
        <w:softHyphen/>
        <w:t>дов бомб». Оба самолета разрабатывались под новый перспективный двига</w:t>
      </w:r>
      <w:r w:rsidRPr="00405303">
        <w:rPr>
          <w:bCs/>
          <w:color w:val="002060"/>
          <w:sz w:val="16"/>
          <w:szCs w:val="16"/>
        </w:rPr>
        <w:softHyphen/>
        <w:t>тель «Рено» в 220 л. с. Производство этих двигателей должно было начаться в России сразу на двух заводах — в Рыбинске и Петербурге. Авиационное отде</w:t>
      </w:r>
      <w:r w:rsidRPr="00405303">
        <w:rPr>
          <w:bCs/>
          <w:color w:val="002060"/>
          <w:sz w:val="16"/>
          <w:szCs w:val="16"/>
        </w:rPr>
        <w:softHyphen/>
        <w:t>ление «ДЕКА» соглашалось построить и испытать оба опытных самолета за 20 месяцев по вполне умеренной для того времени цене — 36 тыс. рублей. Дви</w:t>
      </w:r>
      <w:r w:rsidRPr="00405303">
        <w:rPr>
          <w:bCs/>
          <w:color w:val="002060"/>
          <w:sz w:val="16"/>
          <w:szCs w:val="16"/>
        </w:rPr>
        <w:softHyphen/>
        <w:t>гатели и вооружение военное ведомство должно было поставить за свой счет.</w:t>
      </w:r>
    </w:p>
    <w:p w14:paraId="1051C6C7" w14:textId="77777777" w:rsidR="000616D6" w:rsidRPr="00405303" w:rsidRDefault="000616D6" w:rsidP="00C15251">
      <w:pPr>
        <w:pStyle w:val="16"/>
        <w:shd w:val="clear" w:color="auto" w:fill="auto"/>
        <w:spacing w:before="0" w:line="240" w:lineRule="auto"/>
        <w:ind w:firstLine="0"/>
        <w:jc w:val="both"/>
        <w:rPr>
          <w:bCs/>
          <w:color w:val="002060"/>
          <w:sz w:val="16"/>
          <w:szCs w:val="16"/>
        </w:rPr>
      </w:pPr>
      <w:r w:rsidRPr="00405303">
        <w:rPr>
          <w:bCs/>
          <w:color w:val="002060"/>
          <w:sz w:val="16"/>
          <w:szCs w:val="16"/>
        </w:rPr>
        <w:t>Относительно собственного вознаграждения Г. А. Ботезат согласился «до</w:t>
      </w:r>
      <w:r w:rsidRPr="00405303">
        <w:rPr>
          <w:bCs/>
          <w:color w:val="002060"/>
          <w:sz w:val="16"/>
          <w:szCs w:val="16"/>
        </w:rPr>
        <w:softHyphen/>
        <w:t>вольствоваться авторским вознаграждением в размере 6 % от полной заказ</w:t>
      </w:r>
      <w:r w:rsidRPr="00405303">
        <w:rPr>
          <w:bCs/>
          <w:color w:val="002060"/>
          <w:sz w:val="16"/>
          <w:szCs w:val="16"/>
        </w:rPr>
        <w:softHyphen/>
        <w:t>ной стоимости каждого заказываемого аэроплана, т. е. примерно тем же воз</w:t>
      </w:r>
      <w:r w:rsidRPr="00405303">
        <w:rPr>
          <w:bCs/>
          <w:color w:val="002060"/>
          <w:sz w:val="16"/>
          <w:szCs w:val="16"/>
        </w:rPr>
        <w:softHyphen/>
        <w:t>награждением, которое уплачивается военным ведомством иностранным кон</w:t>
      </w:r>
      <w:r w:rsidRPr="00405303">
        <w:rPr>
          <w:bCs/>
          <w:color w:val="002060"/>
          <w:sz w:val="16"/>
          <w:szCs w:val="16"/>
        </w:rPr>
        <w:softHyphen/>
        <w:t>структорам» (15740).</w:t>
      </w:r>
    </w:p>
    <w:p w14:paraId="2C43683B" w14:textId="77777777" w:rsidR="000616D6" w:rsidRPr="00405303" w:rsidRDefault="000616D6" w:rsidP="00C15251">
      <w:pPr>
        <w:pStyle w:val="16"/>
        <w:shd w:val="clear" w:color="auto" w:fill="auto"/>
        <w:spacing w:before="0" w:line="240" w:lineRule="auto"/>
        <w:ind w:firstLine="0"/>
        <w:jc w:val="both"/>
        <w:rPr>
          <w:bCs/>
          <w:color w:val="002060"/>
          <w:sz w:val="16"/>
          <w:szCs w:val="16"/>
        </w:rPr>
      </w:pPr>
    </w:p>
    <w:p w14:paraId="31027228" w14:textId="77777777" w:rsidR="000616D6" w:rsidRPr="00405303" w:rsidRDefault="000616D6" w:rsidP="00C15251">
      <w:pPr>
        <w:pStyle w:val="22"/>
        <w:shd w:val="clear" w:color="auto" w:fill="auto"/>
        <w:spacing w:line="240" w:lineRule="auto"/>
        <w:ind w:firstLine="0"/>
        <w:jc w:val="both"/>
        <w:rPr>
          <w:bCs/>
          <w:color w:val="002060"/>
          <w:sz w:val="16"/>
          <w:szCs w:val="16"/>
        </w:rPr>
      </w:pPr>
      <w:r w:rsidRPr="00405303">
        <w:rPr>
          <w:bCs/>
          <w:color w:val="002060"/>
          <w:sz w:val="16"/>
          <w:szCs w:val="16"/>
        </w:rPr>
        <w:t>В течение лета 1915 г. Григорашвили спроектировал и построил на заводе «Ф. Мельцер» ряд воздушных винтов собственной конструкции. Пять вин</w:t>
      </w:r>
      <w:r w:rsidRPr="00405303">
        <w:rPr>
          <w:bCs/>
          <w:color w:val="002060"/>
          <w:sz w:val="16"/>
          <w:szCs w:val="16"/>
        </w:rPr>
        <w:softHyphen/>
        <w:t>тов были представлены в гатчинскую авиашколу. Об испытаниях одного из них начальник воздухоплавательного отдела ГВТУ, полковник Семковский, сообщил начальнику Управления следующее: «Инженер Григорашвили пред</w:t>
      </w:r>
      <w:r w:rsidRPr="00405303">
        <w:rPr>
          <w:bCs/>
          <w:color w:val="002060"/>
          <w:sz w:val="16"/>
          <w:szCs w:val="16"/>
        </w:rPr>
        <w:softHyphen/>
        <w:t>ставил в Военную авиационную школу для испытаний воздушный винт. Хотя испытания этого винта, ввиду его случайной поломки, и не могли быть произ</w:t>
      </w:r>
      <w:r w:rsidRPr="00405303">
        <w:rPr>
          <w:bCs/>
          <w:color w:val="002060"/>
          <w:sz w:val="16"/>
          <w:szCs w:val="16"/>
        </w:rPr>
        <w:softHyphen/>
        <w:t>ведены в полной мере, тем не менее уже в настоящее время выяснились неко</w:t>
      </w:r>
      <w:r w:rsidRPr="00405303">
        <w:rPr>
          <w:bCs/>
          <w:color w:val="002060"/>
          <w:sz w:val="16"/>
          <w:szCs w:val="16"/>
        </w:rPr>
        <w:softHyphen/>
        <w:t>торые положительные качества винта, а главным образом то, что дальнейшие работы конструктора по усовершенствованию винта, по-видимому, могли бы привести к хорошим результатам. Вследствие чего, по мнению начальника Военной авиационной школы, желательно поставить испытания в более ши</w:t>
      </w:r>
      <w:r w:rsidRPr="00405303">
        <w:rPr>
          <w:bCs/>
          <w:color w:val="002060"/>
          <w:sz w:val="16"/>
          <w:szCs w:val="16"/>
        </w:rPr>
        <w:softHyphen/>
        <w:t>роком масштабе, заказав для этой цели инженеру Григорашвили еще несколь</w:t>
      </w:r>
      <w:r w:rsidRPr="00405303">
        <w:rPr>
          <w:bCs/>
          <w:color w:val="002060"/>
          <w:sz w:val="16"/>
          <w:szCs w:val="16"/>
        </w:rPr>
        <w:softHyphen/>
        <w:t>ко винтов, каковые передать затем в школу». Командование императорско</w:t>
      </w:r>
      <w:r w:rsidRPr="00405303">
        <w:rPr>
          <w:bCs/>
          <w:color w:val="002060"/>
          <w:sz w:val="16"/>
          <w:szCs w:val="16"/>
        </w:rPr>
        <w:softHyphen/>
        <w:t>го Военно-Воздушного Флота прекрасно осознавало необходимость освобож</w:t>
      </w:r>
      <w:r w:rsidRPr="00405303">
        <w:rPr>
          <w:bCs/>
          <w:color w:val="002060"/>
          <w:sz w:val="16"/>
          <w:szCs w:val="16"/>
        </w:rPr>
        <w:softHyphen/>
        <w:t>дения отечественной авиационной промышленности от иностранной зависи</w:t>
      </w:r>
      <w:r w:rsidRPr="00405303">
        <w:rPr>
          <w:bCs/>
          <w:color w:val="002060"/>
          <w:sz w:val="16"/>
          <w:szCs w:val="16"/>
        </w:rPr>
        <w:softHyphen/>
        <w:t>мости и поощряло любые шаги в данном направлении (15740).</w:t>
      </w:r>
    </w:p>
    <w:p w14:paraId="45E23063" w14:textId="77777777" w:rsidR="000616D6" w:rsidRPr="00405303" w:rsidRDefault="000616D6" w:rsidP="00C15251">
      <w:pPr>
        <w:pStyle w:val="22"/>
        <w:shd w:val="clear" w:color="auto" w:fill="auto"/>
        <w:spacing w:line="240" w:lineRule="auto"/>
        <w:ind w:firstLine="0"/>
        <w:jc w:val="both"/>
        <w:rPr>
          <w:bCs/>
          <w:color w:val="002060"/>
          <w:sz w:val="16"/>
          <w:szCs w:val="16"/>
        </w:rPr>
      </w:pPr>
    </w:p>
    <w:p w14:paraId="56947B8F" w14:textId="77777777" w:rsidR="000D0C70" w:rsidRPr="00405303" w:rsidRDefault="000D0C70" w:rsidP="00C15251">
      <w:pPr>
        <w:jc w:val="both"/>
        <w:rPr>
          <w:bCs/>
          <w:color w:val="002060"/>
          <w:sz w:val="16"/>
          <w:szCs w:val="16"/>
        </w:rPr>
      </w:pPr>
      <w:r w:rsidRPr="00405303">
        <w:rPr>
          <w:bCs/>
          <w:color w:val="002060"/>
          <w:sz w:val="16"/>
          <w:szCs w:val="16"/>
        </w:rPr>
        <w:t>Летом 1915 г. на заводе РБВЗ возникла нехватка полуфабрикатов и комплектующих, стальных и латунных труб, листовой стали, колес, болтов и т.п., в т.ч. покупавшихся во Франции, в Швеции и в США. Пришлось искать других поставщиков, а частью налаживать их выпуск у себя. Например:</w:t>
      </w:r>
    </w:p>
    <w:p w14:paraId="1954F717" w14:textId="77777777" w:rsidR="000D0C70" w:rsidRPr="00405303" w:rsidRDefault="000D0C70" w:rsidP="00C15251">
      <w:pPr>
        <w:jc w:val="both"/>
        <w:rPr>
          <w:bCs/>
          <w:color w:val="002060"/>
          <w:sz w:val="16"/>
          <w:szCs w:val="16"/>
        </w:rPr>
      </w:pPr>
      <w:r w:rsidRPr="00405303">
        <w:rPr>
          <w:bCs/>
          <w:color w:val="002060"/>
          <w:sz w:val="16"/>
          <w:szCs w:val="16"/>
        </w:rPr>
        <w:t>- на РБВЗ было освоено производство стальных труб;</w:t>
      </w:r>
    </w:p>
    <w:p w14:paraId="6B97F489" w14:textId="77777777" w:rsidR="000D0C70" w:rsidRPr="00405303" w:rsidRDefault="000D0C70" w:rsidP="00C15251">
      <w:pPr>
        <w:jc w:val="both"/>
        <w:rPr>
          <w:bCs/>
          <w:color w:val="002060"/>
          <w:sz w:val="16"/>
          <w:szCs w:val="16"/>
        </w:rPr>
      </w:pPr>
      <w:r w:rsidRPr="00405303">
        <w:rPr>
          <w:bCs/>
          <w:color w:val="002060"/>
          <w:sz w:val="16"/>
          <w:szCs w:val="16"/>
        </w:rPr>
        <w:t>- детали из орегонской сосны заменены еловыми с увеличением сечений.</w:t>
      </w:r>
    </w:p>
    <w:p w14:paraId="3F8D1B0A" w14:textId="77777777" w:rsidR="000D0C70" w:rsidRPr="00405303" w:rsidRDefault="000D0C70" w:rsidP="00C15251">
      <w:pPr>
        <w:jc w:val="both"/>
        <w:rPr>
          <w:bCs/>
          <w:color w:val="002060"/>
          <w:sz w:val="16"/>
          <w:szCs w:val="16"/>
        </w:rPr>
      </w:pPr>
      <w:r w:rsidRPr="00405303">
        <w:rPr>
          <w:bCs/>
          <w:color w:val="002060"/>
          <w:sz w:val="16"/>
          <w:szCs w:val="16"/>
        </w:rPr>
        <w:t>Но это потребовало времени, и график поставок самолетов С-16 был сорван. В срок были построены только первые четыре самолета с № 206 по 209, остальные – с задержкой и выплатой неустойки. Но и эти четыре самолета сданы не были.</w:t>
      </w:r>
    </w:p>
    <w:p w14:paraId="23531E6F" w14:textId="77777777" w:rsidR="000D0C70" w:rsidRPr="00405303" w:rsidRDefault="000D0C70" w:rsidP="00C15251">
      <w:pPr>
        <w:jc w:val="both"/>
        <w:rPr>
          <w:bCs/>
          <w:color w:val="002060"/>
          <w:sz w:val="16"/>
          <w:szCs w:val="16"/>
        </w:rPr>
      </w:pPr>
      <w:r w:rsidRPr="00405303">
        <w:rPr>
          <w:bCs/>
          <w:color w:val="002060"/>
          <w:sz w:val="16"/>
          <w:szCs w:val="16"/>
        </w:rPr>
        <w:t>Кроме того, из-за того, что на разных самолетах приходилось использовать разные полуфабрикаты по их наличию, вес конструкции был не одинаков – от 415,6 до 423,2 кг (23557).</w:t>
      </w:r>
    </w:p>
    <w:p w14:paraId="46C34CF5" w14:textId="77777777" w:rsidR="000D0C70" w:rsidRPr="00405303" w:rsidRDefault="000D0C70" w:rsidP="00C15251">
      <w:pPr>
        <w:jc w:val="both"/>
        <w:rPr>
          <w:bCs/>
          <w:color w:val="002060"/>
          <w:sz w:val="16"/>
          <w:szCs w:val="16"/>
        </w:rPr>
      </w:pPr>
    </w:p>
    <w:p w14:paraId="4D6C3B87" w14:textId="77777777" w:rsidR="000D0C70" w:rsidRPr="00405303" w:rsidRDefault="000D0C70" w:rsidP="00C15251">
      <w:pPr>
        <w:jc w:val="both"/>
        <w:rPr>
          <w:bCs/>
          <w:color w:val="002060"/>
          <w:sz w:val="16"/>
          <w:szCs w:val="16"/>
        </w:rPr>
      </w:pPr>
      <w:r w:rsidRPr="00405303">
        <w:rPr>
          <w:bCs/>
          <w:color w:val="002060"/>
          <w:sz w:val="16"/>
          <w:szCs w:val="16"/>
        </w:rPr>
        <w:t>Летом 1915 на Александро-Михайловском аэродро</w:t>
      </w:r>
      <w:r w:rsidRPr="00405303">
        <w:rPr>
          <w:bCs/>
          <w:color w:val="002060"/>
          <w:sz w:val="16"/>
          <w:szCs w:val="16"/>
        </w:rPr>
        <w:softHyphen/>
        <w:t>ме дорабатывали триплан Безобразова 1-го типа. На него был установлен двигатель «Гном» 80 л.с. и винт «Gremont» 250x195. В 1915 г. лейтенант Фриде первым из русских лет</w:t>
      </w:r>
      <w:r w:rsidRPr="00405303">
        <w:rPr>
          <w:bCs/>
          <w:color w:val="002060"/>
          <w:sz w:val="16"/>
          <w:szCs w:val="16"/>
        </w:rPr>
        <w:softHyphen/>
        <w:t>чиков пилотировал триплан тип 1 с двига</w:t>
      </w:r>
      <w:r w:rsidRPr="00405303">
        <w:rPr>
          <w:bCs/>
          <w:color w:val="002060"/>
          <w:sz w:val="16"/>
          <w:szCs w:val="16"/>
        </w:rPr>
        <w:softHyphen/>
        <w:t>телями «Гном» 60 и 80 л. с. Дальнейшая судьба этого образца неизвестна (23374).</w:t>
      </w:r>
    </w:p>
    <w:p w14:paraId="4C3492CB" w14:textId="77777777" w:rsidR="000D0C70" w:rsidRPr="00405303" w:rsidRDefault="000D0C70" w:rsidP="00C15251">
      <w:pPr>
        <w:jc w:val="both"/>
        <w:rPr>
          <w:bCs/>
          <w:color w:val="002060"/>
          <w:sz w:val="16"/>
          <w:szCs w:val="16"/>
        </w:rPr>
      </w:pPr>
    </w:p>
    <w:p w14:paraId="17F04D0A" w14:textId="77777777" w:rsidR="000D0C70" w:rsidRPr="00405303" w:rsidRDefault="000D0C70" w:rsidP="00C15251">
      <w:pPr>
        <w:jc w:val="both"/>
        <w:rPr>
          <w:bCs/>
          <w:color w:val="002060"/>
          <w:sz w:val="16"/>
          <w:szCs w:val="16"/>
        </w:rPr>
      </w:pPr>
      <w:r w:rsidRPr="00405303">
        <w:rPr>
          <w:bCs/>
          <w:color w:val="002060"/>
          <w:sz w:val="16"/>
          <w:szCs w:val="16"/>
        </w:rPr>
        <w:t>Летом 1915 г. начавшаяся эксплуатация С-16 (РБВЗ C-</w:t>
      </w:r>
      <w:proofErr w:type="gramStart"/>
      <w:r w:rsidRPr="00405303">
        <w:rPr>
          <w:bCs/>
          <w:color w:val="002060"/>
          <w:sz w:val="16"/>
          <w:szCs w:val="16"/>
        </w:rPr>
        <w:t>XVI)в</w:t>
      </w:r>
      <w:proofErr w:type="gramEnd"/>
      <w:r w:rsidRPr="00405303">
        <w:rPr>
          <w:bCs/>
          <w:color w:val="002060"/>
          <w:sz w:val="16"/>
          <w:szCs w:val="16"/>
        </w:rPr>
        <w:t xml:space="preserve"> Эскадре воздушных кораблей, выявила их положительные летные данные, поэтому очередной заказ, оформленный в октябре 1915 г. составил 15 С-16 (т.е. весь заказ, вместе с ранее поставленными тремя са</w:t>
      </w:r>
      <w:r w:rsidRPr="00405303">
        <w:rPr>
          <w:bCs/>
          <w:color w:val="002060"/>
          <w:sz w:val="16"/>
          <w:szCs w:val="16"/>
        </w:rPr>
        <w:softHyphen/>
        <w:t>молетами, составил 18 экземпляров) (23374).</w:t>
      </w:r>
    </w:p>
    <w:p w14:paraId="78C8438F" w14:textId="77777777" w:rsidR="000D0C70" w:rsidRPr="00405303" w:rsidRDefault="000D0C70" w:rsidP="00C15251">
      <w:pPr>
        <w:jc w:val="both"/>
        <w:rPr>
          <w:bCs/>
          <w:color w:val="002060"/>
          <w:sz w:val="16"/>
          <w:szCs w:val="16"/>
        </w:rPr>
      </w:pPr>
    </w:p>
    <w:p w14:paraId="35D4B75E" w14:textId="77777777" w:rsidR="000D0C70" w:rsidRPr="00405303" w:rsidRDefault="000D0C70" w:rsidP="00C15251">
      <w:pPr>
        <w:jc w:val="both"/>
        <w:rPr>
          <w:bCs/>
          <w:color w:val="002060"/>
          <w:sz w:val="16"/>
          <w:szCs w:val="16"/>
        </w:rPr>
      </w:pPr>
      <w:r w:rsidRPr="00405303">
        <w:rPr>
          <w:bCs/>
          <w:color w:val="002060"/>
          <w:sz w:val="16"/>
          <w:szCs w:val="16"/>
        </w:rPr>
        <w:t>Летом 1915 г. все три первых самолета С-16 были облетаны в ЭВК и не известно, который собрали и испытали первым, не найдена пока и запись об этом событии с точной датой.</w:t>
      </w:r>
    </w:p>
    <w:p w14:paraId="3C8B52B6" w14:textId="77777777" w:rsidR="000D0C70" w:rsidRPr="00405303" w:rsidRDefault="000D0C70" w:rsidP="00C15251">
      <w:pPr>
        <w:jc w:val="both"/>
        <w:rPr>
          <w:bCs/>
          <w:color w:val="002060"/>
          <w:sz w:val="16"/>
          <w:szCs w:val="16"/>
        </w:rPr>
      </w:pPr>
      <w:r w:rsidRPr="00405303">
        <w:rPr>
          <w:bCs/>
          <w:color w:val="002060"/>
          <w:sz w:val="16"/>
          <w:szCs w:val="16"/>
        </w:rPr>
        <w:t>Самолеты с моторами Гном 9 показали высокие по тем временам качества скороподъемности и скорости (см. табл.), но только с одним летчиком, в то же время, несмотря на посредственные показатели скорости, скороподъемности и потолка их устойчивость и управляемость с двумя летчиками были нормальными, что позволяло их использовать по основному назначению – для тренировки пилотов ЭВК (23557).</w:t>
      </w:r>
    </w:p>
    <w:p w14:paraId="47F0E77C" w14:textId="77777777" w:rsidR="000D0C70" w:rsidRPr="00405303" w:rsidRDefault="000D0C70" w:rsidP="00C15251">
      <w:pPr>
        <w:jc w:val="both"/>
        <w:rPr>
          <w:bCs/>
          <w:color w:val="002060"/>
          <w:sz w:val="16"/>
          <w:szCs w:val="16"/>
        </w:rPr>
      </w:pPr>
    </w:p>
    <w:p w14:paraId="7FED51F1" w14:textId="77777777" w:rsidR="000D0C70" w:rsidRPr="00405303" w:rsidRDefault="000D0C70" w:rsidP="00C15251">
      <w:pPr>
        <w:jc w:val="both"/>
        <w:rPr>
          <w:bCs/>
          <w:color w:val="002060"/>
          <w:sz w:val="16"/>
          <w:szCs w:val="16"/>
        </w:rPr>
      </w:pPr>
      <w:r w:rsidRPr="00405303">
        <w:rPr>
          <w:bCs/>
          <w:color w:val="002060"/>
          <w:sz w:val="16"/>
          <w:szCs w:val="16"/>
        </w:rPr>
        <w:lastRenderedPageBreak/>
        <w:t>Летом 1915 г. на предприятии Моска работало всего 22 человека. Завод находился на арендованной территории площадью 3 тыс. квадратных саженей (1 сажень = 2,134 м), большую часть которой занимал пруд. Этот пруд являлся основным источником воды, т. к. водопровода на заводе не было. Слабость механического производства заставляла заказывать многие детали на стороне. Первый правительственный заказ был, как приято для новичков, на учебные «Фарман-4». Но уже в 1915 г. Ф. Моска при участии военного приемщика штабс-капитана Быстрицкого организовал выпуск собственных самолетов. Количество сотрудников увеличилось до 300, однако по размерам и объемам производства завод Моска оставался карликом по сравнению с расположенным по соседству «Дуксом». До конца 1917 г. на предприятии Моска произвели всего несколько десятков аэропланов (23472).</w:t>
      </w:r>
    </w:p>
    <w:p w14:paraId="4E6D78D8" w14:textId="77777777" w:rsidR="000D0C70" w:rsidRPr="00405303" w:rsidRDefault="000D0C70" w:rsidP="00C15251">
      <w:pPr>
        <w:jc w:val="both"/>
        <w:rPr>
          <w:bCs/>
          <w:color w:val="002060"/>
          <w:sz w:val="16"/>
          <w:szCs w:val="16"/>
        </w:rPr>
      </w:pPr>
    </w:p>
    <w:p w14:paraId="58C1DEB1" w14:textId="77777777" w:rsidR="000D0C70" w:rsidRPr="00405303" w:rsidRDefault="000D0C70" w:rsidP="00C15251">
      <w:pPr>
        <w:jc w:val="both"/>
        <w:rPr>
          <w:bCs/>
          <w:color w:val="002060"/>
          <w:sz w:val="16"/>
          <w:szCs w:val="16"/>
        </w:rPr>
      </w:pPr>
      <w:r w:rsidRPr="00405303">
        <w:rPr>
          <w:bCs/>
          <w:color w:val="002060"/>
          <w:sz w:val="16"/>
          <w:szCs w:val="16"/>
          <w:lang w:bidi="ru-RU"/>
        </w:rPr>
        <w:t>Летом 1915 г. Георгий Иванович Ботезат (1882-1940 гг.) предложил проекты истребителя и бомбарди</w:t>
      </w:r>
      <w:r w:rsidRPr="00405303">
        <w:rPr>
          <w:bCs/>
          <w:color w:val="002060"/>
          <w:sz w:val="16"/>
          <w:szCs w:val="16"/>
          <w:lang w:bidi="ru-RU"/>
        </w:rPr>
        <w:softHyphen/>
        <w:t>ровщика, которые являлись, скорее, практическими аппаратами с оптимальными весовыми и размерными характеристиками.</w:t>
      </w:r>
    </w:p>
    <w:p w14:paraId="20891F8B" w14:textId="77777777" w:rsidR="000D0C70" w:rsidRPr="00405303" w:rsidRDefault="000D0C70" w:rsidP="00C15251">
      <w:pPr>
        <w:jc w:val="both"/>
        <w:rPr>
          <w:bCs/>
          <w:color w:val="002060"/>
          <w:sz w:val="16"/>
          <w:szCs w:val="16"/>
        </w:rPr>
      </w:pPr>
      <w:r w:rsidRPr="00405303">
        <w:rPr>
          <w:bCs/>
          <w:color w:val="002060"/>
          <w:sz w:val="16"/>
          <w:szCs w:val="16"/>
          <w:lang w:bidi="ru-RU"/>
        </w:rPr>
        <w:t>Строился только один из них, который определялся как истребитель и представ</w:t>
      </w:r>
      <w:r w:rsidRPr="00405303">
        <w:rPr>
          <w:bCs/>
          <w:color w:val="002060"/>
          <w:sz w:val="16"/>
          <w:szCs w:val="16"/>
          <w:lang w:bidi="ru-RU"/>
        </w:rPr>
        <w:softHyphen/>
        <w:t>лял собой крупный трехстоечный биплан с толкающим винтом, закрытой 3-местной пилотской кабиной-гондолой и ферменной хвостовой частью по типу французского самолета «Вуазен». Солидные размеры ап</w:t>
      </w:r>
      <w:r w:rsidRPr="00405303">
        <w:rPr>
          <w:bCs/>
          <w:color w:val="002060"/>
          <w:sz w:val="16"/>
          <w:szCs w:val="16"/>
          <w:lang w:bidi="ru-RU"/>
        </w:rPr>
        <w:softHyphen/>
        <w:t>парата имели свое объяснение — в даль</w:t>
      </w:r>
      <w:r w:rsidRPr="00405303">
        <w:rPr>
          <w:bCs/>
          <w:color w:val="002060"/>
          <w:sz w:val="16"/>
          <w:szCs w:val="16"/>
          <w:lang w:bidi="ru-RU"/>
        </w:rPr>
        <w:softHyphen/>
        <w:t>нейшем в носовой части гондолы экипажа предполагалось разместить 37-мм пушку.</w:t>
      </w:r>
    </w:p>
    <w:p w14:paraId="478BD8E9" w14:textId="77777777" w:rsidR="000D0C70" w:rsidRPr="00405303" w:rsidRDefault="000D0C70" w:rsidP="00C15251">
      <w:pPr>
        <w:jc w:val="both"/>
        <w:rPr>
          <w:bCs/>
          <w:color w:val="002060"/>
          <w:sz w:val="16"/>
          <w:szCs w:val="16"/>
        </w:rPr>
      </w:pPr>
      <w:r w:rsidRPr="00405303">
        <w:rPr>
          <w:bCs/>
          <w:color w:val="002060"/>
          <w:sz w:val="16"/>
          <w:szCs w:val="16"/>
          <w:lang w:bidi="ru-RU"/>
        </w:rPr>
        <w:t>Двигатель «Рено» 220 л.с. размещался в кормовой части обтекаемой кабины, при этом имелась возможность обслуживания и ремонта силовой установки во время по</w:t>
      </w:r>
      <w:r w:rsidRPr="00405303">
        <w:rPr>
          <w:bCs/>
          <w:color w:val="002060"/>
          <w:sz w:val="16"/>
          <w:szCs w:val="16"/>
          <w:lang w:bidi="ru-RU"/>
        </w:rPr>
        <w:softHyphen/>
        <w:t>лета.</w:t>
      </w:r>
    </w:p>
    <w:p w14:paraId="5B0D2C13" w14:textId="77777777" w:rsidR="000D0C70" w:rsidRPr="00405303" w:rsidRDefault="000D0C70" w:rsidP="00C15251">
      <w:pPr>
        <w:jc w:val="both"/>
        <w:rPr>
          <w:bCs/>
          <w:color w:val="002060"/>
          <w:sz w:val="16"/>
          <w:szCs w:val="16"/>
        </w:rPr>
      </w:pPr>
      <w:r w:rsidRPr="00405303">
        <w:rPr>
          <w:bCs/>
          <w:color w:val="002060"/>
          <w:sz w:val="16"/>
          <w:szCs w:val="16"/>
          <w:lang w:bidi="ru-RU"/>
        </w:rPr>
        <w:t>Самолет строился в мастерских авиаци</w:t>
      </w:r>
      <w:r w:rsidRPr="00405303">
        <w:rPr>
          <w:bCs/>
          <w:color w:val="002060"/>
          <w:sz w:val="16"/>
          <w:szCs w:val="16"/>
          <w:lang w:bidi="ru-RU"/>
        </w:rPr>
        <w:softHyphen/>
        <w:t>онного отделения акционерного общества ДЕКА (Товарищество Дюфлон, Константи</w:t>
      </w:r>
      <w:r w:rsidRPr="00405303">
        <w:rPr>
          <w:bCs/>
          <w:color w:val="002060"/>
          <w:sz w:val="16"/>
          <w:szCs w:val="16"/>
          <w:lang w:bidi="ru-RU"/>
        </w:rPr>
        <w:softHyphen/>
        <w:t>нович и Ко) и в основном был готов осенью 1917 г.</w:t>
      </w:r>
    </w:p>
    <w:p w14:paraId="2360AF0B" w14:textId="77777777" w:rsidR="000D0C70" w:rsidRPr="00405303" w:rsidRDefault="000D0C70" w:rsidP="00C15251">
      <w:pPr>
        <w:jc w:val="both"/>
        <w:rPr>
          <w:bCs/>
          <w:color w:val="002060"/>
          <w:sz w:val="16"/>
          <w:szCs w:val="16"/>
        </w:rPr>
      </w:pPr>
      <w:r w:rsidRPr="00405303">
        <w:rPr>
          <w:bCs/>
          <w:color w:val="002060"/>
          <w:sz w:val="16"/>
          <w:szCs w:val="16"/>
          <w:lang w:bidi="ru-RU"/>
        </w:rPr>
        <w:t>Испытания самолета состоялись 20 дека</w:t>
      </w:r>
      <w:r w:rsidRPr="00405303">
        <w:rPr>
          <w:bCs/>
          <w:color w:val="002060"/>
          <w:sz w:val="16"/>
          <w:szCs w:val="16"/>
          <w:lang w:bidi="ru-RU"/>
        </w:rPr>
        <w:softHyphen/>
        <w:t>бря 1917 г. К сожалению, летчик, взявший</w:t>
      </w:r>
      <w:r w:rsidRPr="00405303">
        <w:rPr>
          <w:bCs/>
          <w:color w:val="002060"/>
          <w:sz w:val="16"/>
          <w:szCs w:val="16"/>
          <w:lang w:bidi="ru-RU"/>
        </w:rPr>
        <w:softHyphen/>
        <w:t>ся за проведение первого полета (имя его история умалчивает), оказался недостаточ</w:t>
      </w:r>
      <w:r w:rsidRPr="00405303">
        <w:rPr>
          <w:bCs/>
          <w:color w:val="002060"/>
          <w:sz w:val="16"/>
          <w:szCs w:val="16"/>
          <w:lang w:bidi="ru-RU"/>
        </w:rPr>
        <w:softHyphen/>
        <w:t>но профессиональным, не справился с уп</w:t>
      </w:r>
      <w:r w:rsidRPr="00405303">
        <w:rPr>
          <w:bCs/>
          <w:color w:val="002060"/>
          <w:sz w:val="16"/>
          <w:szCs w:val="16"/>
          <w:lang w:bidi="ru-RU"/>
        </w:rPr>
        <w:softHyphen/>
        <w:t>равлением и самолет разбил. Хотя даже спустя год, в начале 1919 г., высказыва</w:t>
      </w:r>
      <w:r w:rsidRPr="00405303">
        <w:rPr>
          <w:bCs/>
          <w:color w:val="002060"/>
          <w:sz w:val="16"/>
          <w:szCs w:val="16"/>
          <w:lang w:bidi="ru-RU"/>
        </w:rPr>
        <w:softHyphen/>
        <w:t>лись предложения о восстановлении само</w:t>
      </w:r>
      <w:r w:rsidRPr="00405303">
        <w:rPr>
          <w:bCs/>
          <w:color w:val="002060"/>
          <w:sz w:val="16"/>
          <w:szCs w:val="16"/>
          <w:lang w:bidi="ru-RU"/>
        </w:rPr>
        <w:softHyphen/>
        <w:t>лета Ботезата, дальнейшего продолжения работа не имела (23374).</w:t>
      </w:r>
    </w:p>
    <w:p w14:paraId="4F28002D" w14:textId="77777777" w:rsidR="000D0C70" w:rsidRPr="00405303" w:rsidRDefault="000D0C70" w:rsidP="00C15251">
      <w:pPr>
        <w:jc w:val="both"/>
        <w:rPr>
          <w:bCs/>
          <w:color w:val="002060"/>
          <w:sz w:val="16"/>
          <w:szCs w:val="16"/>
        </w:rPr>
      </w:pPr>
    </w:p>
    <w:p w14:paraId="4C9BAD9E" w14:textId="77777777" w:rsidR="000D0C70" w:rsidRPr="00405303" w:rsidRDefault="000D0C70" w:rsidP="00C15251">
      <w:pPr>
        <w:jc w:val="both"/>
        <w:rPr>
          <w:bCs/>
          <w:color w:val="002060"/>
          <w:sz w:val="16"/>
          <w:szCs w:val="16"/>
        </w:rPr>
      </w:pPr>
      <w:r w:rsidRPr="00405303">
        <w:rPr>
          <w:bCs/>
          <w:color w:val="002060"/>
          <w:sz w:val="16"/>
          <w:szCs w:val="16"/>
        </w:rPr>
        <w:t>Летом 1915 года во время немецкого наступления весь завод Калепа был эвакуирован из Риги в Москву. К концу 1916 года они выпускали по 20 двигателей Le Rhone в месяц. Они также производили запчасти для роторных двигателей. В течение 1916 года завод построил российские варианты двигателя Mercedes мощностью 168 л.с. В 1917 году Мотор получил заказ на 300 двигателей Rhone мощностью 1 л.с. Неизвестно, сколько их было завершено. В 1915 г. было 205 рабочих, в 1916 г. — 215, а к 1916 г. — 297 рабочих (23535).</w:t>
      </w:r>
    </w:p>
    <w:p w14:paraId="0B605620" w14:textId="77777777" w:rsidR="000D0C70" w:rsidRPr="00405303" w:rsidRDefault="000D0C70" w:rsidP="00C15251">
      <w:pPr>
        <w:jc w:val="both"/>
        <w:rPr>
          <w:bCs/>
          <w:color w:val="002060"/>
          <w:sz w:val="16"/>
          <w:szCs w:val="16"/>
        </w:rPr>
      </w:pPr>
    </w:p>
    <w:p w14:paraId="38859070" w14:textId="77777777" w:rsidR="00F01B26" w:rsidRPr="00405303" w:rsidRDefault="00F01B26" w:rsidP="00C15251">
      <w:pPr>
        <w:shd w:val="clear" w:color="auto" w:fill="FFFFFF"/>
        <w:jc w:val="both"/>
        <w:rPr>
          <w:bCs/>
          <w:i/>
          <w:color w:val="002060"/>
          <w:sz w:val="16"/>
          <w:szCs w:val="16"/>
        </w:rPr>
      </w:pPr>
      <w:r w:rsidRPr="00405303">
        <w:rPr>
          <w:bCs/>
          <w:i/>
          <w:color w:val="002060"/>
          <w:sz w:val="16"/>
          <w:szCs w:val="16"/>
        </w:rPr>
        <w:t>Аэростатостроение:</w:t>
      </w:r>
    </w:p>
    <w:p w14:paraId="7702E543" w14:textId="77777777" w:rsidR="00F01B26" w:rsidRPr="00405303" w:rsidRDefault="00F01B26" w:rsidP="00C15251">
      <w:pPr>
        <w:shd w:val="clear" w:color="auto" w:fill="FFFFFF"/>
        <w:jc w:val="both"/>
        <w:rPr>
          <w:bCs/>
          <w:i/>
          <w:color w:val="002060"/>
          <w:sz w:val="16"/>
          <w:szCs w:val="16"/>
        </w:rPr>
      </w:pPr>
    </w:p>
    <w:p w14:paraId="45222D9B" w14:textId="77777777" w:rsidR="00F01B26" w:rsidRPr="00405303" w:rsidRDefault="00F01B26" w:rsidP="00C15251">
      <w:pPr>
        <w:jc w:val="both"/>
        <w:rPr>
          <w:bCs/>
          <w:color w:val="002060"/>
          <w:sz w:val="16"/>
          <w:szCs w:val="16"/>
        </w:rPr>
      </w:pPr>
      <w:r w:rsidRPr="00405303">
        <w:rPr>
          <w:rStyle w:val="42"/>
          <w:rFonts w:ascii="Times New Roman" w:hAnsi="Times New Roman" w:cs="Times New Roman"/>
          <w:bCs/>
          <w:color w:val="002060"/>
          <w:w w:val="100"/>
          <w:sz w:val="16"/>
          <w:szCs w:val="16"/>
        </w:rPr>
        <w:t>Летом 1915 г. по предложению великого князя Александра Михайловича в ТРАРМ из оболочки Беркута сшили девять газгольдеров. Газопрони</w:t>
      </w:r>
      <w:r w:rsidRPr="00405303">
        <w:rPr>
          <w:rStyle w:val="42"/>
          <w:rFonts w:ascii="Times New Roman" w:hAnsi="Times New Roman" w:cs="Times New Roman"/>
          <w:bCs/>
          <w:color w:val="002060"/>
          <w:w w:val="100"/>
          <w:sz w:val="16"/>
          <w:szCs w:val="16"/>
        </w:rPr>
        <w:softHyphen/>
        <w:t>цаемость ткани признали удовлетворительной, но все-таки её покрыли составом «трармоль» (20120).</w:t>
      </w:r>
    </w:p>
    <w:p w14:paraId="4B3C6D4C" w14:textId="77777777" w:rsidR="00F01B26" w:rsidRPr="00405303" w:rsidRDefault="00F01B26" w:rsidP="00C15251">
      <w:pPr>
        <w:jc w:val="both"/>
        <w:rPr>
          <w:bCs/>
          <w:color w:val="002060"/>
          <w:sz w:val="16"/>
          <w:szCs w:val="16"/>
        </w:rPr>
      </w:pPr>
    </w:p>
    <w:p w14:paraId="6839DC37" w14:textId="77777777" w:rsidR="00F01B26" w:rsidRPr="00405303" w:rsidRDefault="00F01B26" w:rsidP="00C15251">
      <w:pPr>
        <w:pStyle w:val="ae"/>
        <w:spacing w:before="0" w:beforeAutospacing="0" w:after="0" w:afterAutospacing="0"/>
        <w:jc w:val="both"/>
        <w:rPr>
          <w:bCs/>
          <w:color w:val="002060"/>
          <w:sz w:val="16"/>
          <w:szCs w:val="16"/>
        </w:rPr>
      </w:pPr>
      <w:r w:rsidRPr="00405303">
        <w:rPr>
          <w:bCs/>
          <w:color w:val="002060"/>
          <w:sz w:val="16"/>
          <w:szCs w:val="16"/>
        </w:rPr>
        <w:t>Летом 1915 г. был изменен рецепт пропитки масок, и в нее была введена сода (в достаточном количестве), а также глицерин как предохраняющее средство от быстрого высыхания маски. Тогда же было организовано производство сухой смеси солей, из которой изготовлялась простым растворением пропитывающая жидкость. Такая смесь доставлялась на фронт в запаянных жестяных коробках, причем содержимого каждой из них было достаточно для пропитки 100 масок (Фигуровский Н. А., 1956) (20246).</w:t>
      </w:r>
    </w:p>
    <w:p w14:paraId="0EC2217F" w14:textId="77777777" w:rsidR="00F01B26" w:rsidRPr="00405303" w:rsidRDefault="00F01B26" w:rsidP="00C15251">
      <w:pPr>
        <w:pStyle w:val="ae"/>
        <w:spacing w:before="0" w:beforeAutospacing="0" w:after="0" w:afterAutospacing="0"/>
        <w:jc w:val="both"/>
        <w:rPr>
          <w:bCs/>
          <w:color w:val="002060"/>
          <w:sz w:val="16"/>
          <w:szCs w:val="16"/>
        </w:rPr>
      </w:pPr>
    </w:p>
    <w:p w14:paraId="488BADBF" w14:textId="77777777" w:rsidR="00F01B26" w:rsidRPr="00405303" w:rsidRDefault="00F01B26" w:rsidP="00C15251">
      <w:pPr>
        <w:jc w:val="both"/>
        <w:rPr>
          <w:bCs/>
          <w:color w:val="002060"/>
          <w:sz w:val="16"/>
          <w:szCs w:val="16"/>
        </w:rPr>
      </w:pPr>
      <w:r w:rsidRPr="00405303">
        <w:rPr>
          <w:rStyle w:val="42"/>
          <w:rFonts w:ascii="Times New Roman" w:hAnsi="Times New Roman" w:cs="Times New Roman"/>
          <w:bCs/>
          <w:color w:val="002060"/>
          <w:w w:val="100"/>
          <w:sz w:val="16"/>
          <w:szCs w:val="16"/>
        </w:rPr>
        <w:t xml:space="preserve">Летом 1915 г. по предложению великого князя Александра Михайловича в ТРАРМ из оболочки </w:t>
      </w:r>
      <w:r w:rsidRPr="00405303">
        <w:rPr>
          <w:rStyle w:val="af1"/>
          <w:rFonts w:ascii="Times New Roman" w:eastAsia="Segoe UI" w:hAnsi="Times New Roman" w:cs="Times New Roman"/>
          <w:b w:val="0"/>
          <w:color w:val="002060"/>
          <w:sz w:val="16"/>
          <w:szCs w:val="16"/>
        </w:rPr>
        <w:t>«Беркута», который</w:t>
      </w:r>
      <w:r w:rsidRPr="00405303">
        <w:rPr>
          <w:rStyle w:val="42"/>
          <w:rFonts w:ascii="Times New Roman" w:hAnsi="Times New Roman" w:cs="Times New Roman"/>
          <w:bCs/>
          <w:color w:val="002060"/>
          <w:w w:val="100"/>
          <w:sz w:val="16"/>
          <w:szCs w:val="16"/>
        </w:rPr>
        <w:t xml:space="preserve"> хранился в сложенном виде в Воздухоплавательном парке Западного фронта сшили девять газгольдеров. Газопрони</w:t>
      </w:r>
      <w:r w:rsidRPr="00405303">
        <w:rPr>
          <w:rStyle w:val="42"/>
          <w:rFonts w:ascii="Times New Roman" w:hAnsi="Times New Roman" w:cs="Times New Roman"/>
          <w:bCs/>
          <w:color w:val="002060"/>
          <w:w w:val="100"/>
          <w:sz w:val="16"/>
          <w:szCs w:val="16"/>
        </w:rPr>
        <w:softHyphen/>
        <w:t>цаемость ткани признали удовлетворительной, но все-таки её покрыли составом «трармоль» (21120).</w:t>
      </w:r>
    </w:p>
    <w:p w14:paraId="31956376" w14:textId="77777777" w:rsidR="00F01B26" w:rsidRPr="00405303" w:rsidRDefault="00F01B26" w:rsidP="00C15251">
      <w:pPr>
        <w:jc w:val="both"/>
        <w:rPr>
          <w:rStyle w:val="af1"/>
          <w:rFonts w:ascii="Times New Roman" w:eastAsia="Segoe UI" w:hAnsi="Times New Roman" w:cs="Times New Roman"/>
          <w:b w:val="0"/>
          <w:color w:val="002060"/>
          <w:sz w:val="16"/>
          <w:szCs w:val="16"/>
        </w:rPr>
      </w:pPr>
    </w:p>
    <w:p w14:paraId="4B156EFF" w14:textId="77777777" w:rsidR="00F01B26" w:rsidRPr="00405303" w:rsidRDefault="00F01B26"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10501145" w14:textId="77777777" w:rsidR="00F01B26" w:rsidRPr="00405303" w:rsidRDefault="00F01B26" w:rsidP="00C15251">
      <w:pPr>
        <w:shd w:val="clear" w:color="auto" w:fill="FFFFFF"/>
        <w:jc w:val="both"/>
        <w:rPr>
          <w:bCs/>
          <w:i/>
          <w:color w:val="002060"/>
          <w:sz w:val="16"/>
          <w:szCs w:val="16"/>
        </w:rPr>
      </w:pPr>
    </w:p>
    <w:p w14:paraId="52B08813" w14:textId="77777777" w:rsidR="00D72639" w:rsidRPr="00405303" w:rsidRDefault="00D72639" w:rsidP="00D72639">
      <w:pPr>
        <w:jc w:val="both"/>
        <w:rPr>
          <w:color w:val="0070C0"/>
          <w:sz w:val="16"/>
          <w:szCs w:val="16"/>
        </w:rPr>
      </w:pPr>
      <w:r w:rsidRPr="00405303">
        <w:rPr>
          <w:color w:val="0070C0"/>
          <w:sz w:val="16"/>
          <w:szCs w:val="16"/>
        </w:rPr>
        <w:t>Летом 1915 года, после катастрофического отступления русской армии из Галиции, когда стало очевидным, что наши неудачи на фронте происходят, главным образом, вследствие неудовлетворительности боевого снабжения, из членов Государственной Думы и Государственного Совета была образована «Верховная Комиссия для всестороннего расследования обстоятельств, послуживших причиной не</w:t>
      </w:r>
      <w:r w:rsidRPr="00405303">
        <w:rPr>
          <w:color w:val="0070C0"/>
          <w:sz w:val="16"/>
          <w:szCs w:val="16"/>
        </w:rPr>
        <w:softHyphen/>
        <w:t>своевременного и недостаточного пополнения запасов воин</w:t>
      </w:r>
      <w:r w:rsidRPr="00405303">
        <w:rPr>
          <w:color w:val="0070C0"/>
          <w:sz w:val="16"/>
          <w:szCs w:val="16"/>
        </w:rPr>
        <w:softHyphen/>
        <w:t>ского снабжения армии». На одну из секций этой комиссии была возложена обязанность обследовать деятельность воен</w:t>
      </w:r>
      <w:r w:rsidRPr="00405303">
        <w:rPr>
          <w:color w:val="0070C0"/>
          <w:sz w:val="16"/>
          <w:szCs w:val="16"/>
        </w:rPr>
        <w:softHyphen/>
        <w:t>ного ведомства в области снабжения армии военно-техни</w:t>
      </w:r>
      <w:r w:rsidRPr="00405303">
        <w:rPr>
          <w:color w:val="0070C0"/>
          <w:sz w:val="16"/>
          <w:szCs w:val="16"/>
        </w:rPr>
        <w:softHyphen/>
        <w:t>ческим (инженерным) имуществом до войны и во время самой войны (24923).</w:t>
      </w:r>
    </w:p>
    <w:p w14:paraId="5961223C" w14:textId="77777777" w:rsidR="00D72639" w:rsidRPr="00405303" w:rsidRDefault="00D72639" w:rsidP="00D72639">
      <w:pPr>
        <w:jc w:val="both"/>
        <w:rPr>
          <w:color w:val="0070C0"/>
          <w:sz w:val="16"/>
          <w:szCs w:val="16"/>
        </w:rPr>
      </w:pPr>
    </w:p>
    <w:p w14:paraId="6AB3355E" w14:textId="77777777" w:rsidR="00F01B26" w:rsidRPr="00405303" w:rsidRDefault="00F01B26" w:rsidP="00C15251">
      <w:pPr>
        <w:jc w:val="both"/>
        <w:rPr>
          <w:bCs/>
          <w:color w:val="002060"/>
          <w:sz w:val="16"/>
          <w:szCs w:val="16"/>
        </w:rPr>
      </w:pPr>
      <w:r w:rsidRPr="00405303">
        <w:rPr>
          <w:bCs/>
          <w:color w:val="002060"/>
          <w:sz w:val="16"/>
          <w:szCs w:val="16"/>
          <w:shd w:val="clear" w:color="auto" w:fill="FFFFFF"/>
        </w:rPr>
        <w:t>Летом 1915 года на Юго-Западном фронте началось активное строительство бронепоездов. Наибольший вклад в развитие этого нового для Русской Армии вида боевой техники внесла 2-я Заамурская железнодорожная бригада. Ее начальник - генерал-майор Михаил Викторович Колобов - оказался не только активным сторонником бронепоездов, но и талантливым инженером и организатором. В частности, под его руководством были спроектированы и построены четыре бронепоезда типа «Хунхуз».</w:t>
      </w:r>
    </w:p>
    <w:p w14:paraId="781344EA" w14:textId="77777777" w:rsidR="00F01B26" w:rsidRPr="00405303" w:rsidRDefault="00F01B26" w:rsidP="00C15251">
      <w:pPr>
        <w:jc w:val="both"/>
        <w:rPr>
          <w:bCs/>
          <w:color w:val="002060"/>
          <w:sz w:val="16"/>
          <w:szCs w:val="16"/>
          <w:shd w:val="clear" w:color="auto" w:fill="FFFFFF"/>
        </w:rPr>
      </w:pPr>
      <w:r w:rsidRPr="00405303">
        <w:rPr>
          <w:bCs/>
          <w:color w:val="002060"/>
          <w:sz w:val="16"/>
          <w:szCs w:val="16"/>
          <w:shd w:val="clear" w:color="auto" w:fill="FFFFFF"/>
        </w:rPr>
        <w:t>Опыт использования русских бронированных поездов в боях 1914-1915 годов выявил необходимость иметь в их составе мобильные средства для разведки и осмотра пути. Использование для этой цели обычных моторных дрезин оказалось малоэффективным из-за их уязвимости от ружейно-пулеметного огня. Решение напрашивалось само собой - защитить их броней (18626).</w:t>
      </w:r>
    </w:p>
    <w:p w14:paraId="1647C92F" w14:textId="77777777" w:rsidR="00F01B26" w:rsidRPr="00405303" w:rsidRDefault="00F01B26" w:rsidP="00C15251">
      <w:pPr>
        <w:jc w:val="both"/>
        <w:rPr>
          <w:bCs/>
          <w:color w:val="002060"/>
          <w:sz w:val="16"/>
          <w:szCs w:val="16"/>
        </w:rPr>
      </w:pPr>
    </w:p>
    <w:p w14:paraId="5AFDD36F" w14:textId="77777777" w:rsidR="00F01B26" w:rsidRPr="00405303" w:rsidRDefault="00F01B26" w:rsidP="00C15251">
      <w:pPr>
        <w:jc w:val="both"/>
        <w:rPr>
          <w:bCs/>
          <w:color w:val="002060"/>
          <w:sz w:val="16"/>
          <w:szCs w:val="16"/>
        </w:rPr>
      </w:pPr>
      <w:r w:rsidRPr="00405303">
        <w:rPr>
          <w:bCs/>
          <w:color w:val="002060"/>
          <w:sz w:val="16"/>
          <w:szCs w:val="16"/>
        </w:rPr>
        <w:t xml:space="preserve">К лету 1915 г. в целом определились общий вид и компоновка воздушного корабля типа «В». После выпуска первых шести остроносых «Муромцев-В» примерно с №160 началось производство машин с характерным многогранным носом с большим стеклом посередине. С учетом эксплуатации в эскадре под руководством И. И. Сикорского в конструкцию строившихся кораблей вносились изменения, поэтому практически каждый построенный «Муромец» чем-то отличался от предыдущего. Это было необходимо для улучшения летно-технических характеристик и повышения боевой эффективности, что служило веским аргументом в пользу более широкого использования «Муромцев», однако очень осложняло производственный процесс. Строительство «Муромцев» осуществлялось малыми сериями, в среднем по десять машин. Заранее заготовлялись материал и полуфабрикаты, приобретались комплектующие изделия. В мастерских завода изготовлялись части конструкции, а в столярно-сборочной собирались на параллельных стапелях фюзеляжи, коробки крыльев и хвостовые оперения. По мере готовности все они либо отправлялись в эскадру, либо собирались во временном деревянном ангаре на Корпусном аэродроме. Часто доработки в уже готовых частях конструкции приводили к остановке производства и загромождению производственных помещений. Кроме того, бывали случаи, когда на завод из эскадры возвращались готовые корабли, на которых предполагалось провести доработки, непосильные для фронтовой мастерской. Поначалу приходилось мириться. Создание первой в мире тяжелой авиации/, естественно, сопровождалось многочисленными «болезнями роста». Особенно эти доработки были важны в 1915 г., когда от характеристик поставляемых в эскадру «Муромцев» зависела судьба великого дела. Всего для выполнения заказа на 32 «Муромца» были заложены машины с заводскими номерами 162, 164, 166-195. Поскольку разбитые при сдаче корабли не считались принятыми, на случай возможных потерь к этим машинам прибавилось три (№196-198). Все заложенные в 1915 г. «Муромцы» предполагалось сделать в целом соответствующими типу «В». Однако вскоре после прибытия на фронт первых самолетов от летчиков стали поступать жалобы, что аппараты с полной нагрузкой не в состоянии набирать высоту 2500-3000 м. Сборка «Муромцев» осенью 1915 г. опять остановилась. Из заказа на 32 самолета, намеченного к выполнению на этот год, удалось поставить в эскадру только четыре машины (№ 162, 164, 167 и 169). Корабль № 170 был разбит при сдаче </w:t>
      </w:r>
      <w:r w:rsidRPr="00405303">
        <w:rPr>
          <w:bCs/>
          <w:color w:val="002060"/>
          <w:sz w:val="16"/>
          <w:szCs w:val="16"/>
        </w:rPr>
        <w:lastRenderedPageBreak/>
        <w:t>на Корпусном аэродроме. Главной причиной невысоких характеристик большинства построенных в 1915 г. «Муромцев» явилось низкое качество поставленных на них английских двигателей «Санбим». И вообще производство воздушных гигантов тормозилось «моторным голодом». «Авиа-Балт» был связан по рукам и ногам поставками двигателей из-за границы. Во время войны это было непростым делом. На «Муромцах» различных серий и модификаций стояло пятнадцать типов двигателей, что весьма осложняло эксплуатацию самолетов (15127).</w:t>
      </w:r>
    </w:p>
    <w:p w14:paraId="56A52E7A" w14:textId="77777777" w:rsidR="00F01B26" w:rsidRPr="00405303" w:rsidRDefault="00F01B26" w:rsidP="00C15251">
      <w:pPr>
        <w:jc w:val="both"/>
        <w:rPr>
          <w:bCs/>
          <w:color w:val="002060"/>
          <w:sz w:val="16"/>
          <w:szCs w:val="16"/>
        </w:rPr>
      </w:pPr>
    </w:p>
    <w:p w14:paraId="19F4E067" w14:textId="77777777" w:rsidR="00F01B26" w:rsidRPr="00405303" w:rsidRDefault="00F01B26" w:rsidP="00C15251">
      <w:pPr>
        <w:pStyle w:val="p1"/>
        <w:spacing w:before="0" w:beforeAutospacing="0" w:after="0" w:afterAutospacing="0"/>
        <w:jc w:val="both"/>
        <w:rPr>
          <w:bCs/>
          <w:color w:val="002060"/>
          <w:sz w:val="16"/>
          <w:szCs w:val="16"/>
        </w:rPr>
      </w:pPr>
      <w:r w:rsidRPr="00405303">
        <w:rPr>
          <w:bCs/>
          <w:color w:val="002060"/>
          <w:sz w:val="16"/>
          <w:szCs w:val="16"/>
        </w:rPr>
        <w:t>Летом 1915 г. инженер, осмотревший Ижевский завод, нашел, что выпуск стволов задерживается также из-за того, что молотовому цеху не хватает стали. Недостающее молотовому цеху количество заготовок завод старался получить от частных — Брянского и Сормовского.</w:t>
      </w:r>
    </w:p>
    <w:p w14:paraId="6251A057" w14:textId="77777777" w:rsidR="00F01B26" w:rsidRPr="00405303" w:rsidRDefault="00F01B26" w:rsidP="00C15251">
      <w:pPr>
        <w:pStyle w:val="p1"/>
        <w:spacing w:before="0" w:beforeAutospacing="0" w:after="0" w:afterAutospacing="0"/>
        <w:jc w:val="both"/>
        <w:rPr>
          <w:bCs/>
          <w:color w:val="002060"/>
          <w:sz w:val="16"/>
          <w:szCs w:val="16"/>
        </w:rPr>
      </w:pPr>
      <w:r w:rsidRPr="00405303">
        <w:rPr>
          <w:bCs/>
          <w:color w:val="002060"/>
          <w:sz w:val="16"/>
          <w:szCs w:val="16"/>
        </w:rPr>
        <w:t>В здание, предназначенное для мастерских очистки стали и молотовой, вполне готовое, еще нельзя было переместить производство из бараков, потому что затянулся пуск новой силовой станции. Трем турбинам, заказанным для нее ранее в Германии «и, по полученным сведениям, уже готовым», естественно, пришлось искать замену, и в 1915 г. их перезаказали в Англии, а пока для новой силовой станции при строящейся сверлильно-токарной мастерской удалось подыскать шесть дизелей (по 40–60 л.с.) на Сормовском и Коломенском заводах, что открыло возможность увеличить выпуск снарядов. В декабре 1916 — январе 1917 г. энергетическое хозяйство завода пополнилось пятью турбогенераторами по 2 тысячи кВт, полученными из Англии и США.</w:t>
      </w:r>
    </w:p>
    <w:p w14:paraId="70810A09" w14:textId="77777777" w:rsidR="00F01B26" w:rsidRPr="00405303" w:rsidRDefault="00F01B26" w:rsidP="00C15251">
      <w:pPr>
        <w:pStyle w:val="p1"/>
        <w:spacing w:before="0" w:beforeAutospacing="0" w:after="0" w:afterAutospacing="0"/>
        <w:jc w:val="both"/>
        <w:rPr>
          <w:bCs/>
          <w:color w:val="002060"/>
          <w:sz w:val="16"/>
          <w:szCs w:val="16"/>
        </w:rPr>
      </w:pPr>
      <w:r w:rsidRPr="00405303">
        <w:rPr>
          <w:bCs/>
          <w:color w:val="002060"/>
          <w:sz w:val="16"/>
          <w:szCs w:val="16"/>
        </w:rPr>
        <w:t xml:space="preserve">Роль Ижевского завода была такова, что он — конечно, несколько преувеличенно — представлялся эксперту ЦВПК даже «единственным в России ружейным заводом, ибо Тульский и Сестрорецкий не являются заводами самостоятельными и служат лишь дополнением к Ижевскому». Но и в самом деле изготовление черновых стволов было сосредоточено в Ижевске, и от подачи их этим заводом зависел выпуск винтовок на </w:t>
      </w:r>
      <w:proofErr w:type="gramStart"/>
      <w:r w:rsidRPr="00405303">
        <w:rPr>
          <w:bCs/>
          <w:color w:val="002060"/>
          <w:sz w:val="16"/>
          <w:szCs w:val="16"/>
        </w:rPr>
        <w:t>остальных</w:t>
      </w:r>
      <w:r w:rsidRPr="00405303">
        <w:rPr>
          <w:bCs/>
          <w:color w:val="002060"/>
          <w:sz w:val="16"/>
          <w:szCs w:val="16"/>
          <w:vertAlign w:val="superscript"/>
        </w:rPr>
        <w:t>{</w:t>
      </w:r>
      <w:proofErr w:type="gramEnd"/>
      <w:r w:rsidRPr="00405303">
        <w:rPr>
          <w:bCs/>
          <w:color w:val="002060"/>
          <w:sz w:val="16"/>
          <w:szCs w:val="16"/>
          <w:vertAlign w:val="superscript"/>
        </w:rPr>
        <w:t>146}</w:t>
      </w:r>
      <w:r w:rsidRPr="00405303">
        <w:rPr>
          <w:bCs/>
          <w:color w:val="002060"/>
          <w:sz w:val="16"/>
          <w:szCs w:val="16"/>
        </w:rPr>
        <w:t>; за время войны завод дал 52% всех ружейных стволов русского изготовления, 79% пулеметных. Из выпущенного в России стрелкового оружия на Ижевск приходилось от 43 до 48%; выпуск винтовок в Ижевске увеличился в шесть раз — с 82 тысяч в 1914 г. до 313 тысяч в 1915 г. и 505 тысяч в 1916 г. (18409).</w:t>
      </w:r>
    </w:p>
    <w:p w14:paraId="216AF2B5" w14:textId="77777777" w:rsidR="00F01B26" w:rsidRPr="00405303" w:rsidRDefault="00F01B26" w:rsidP="00C15251">
      <w:pPr>
        <w:pStyle w:val="p1"/>
        <w:spacing w:before="0" w:beforeAutospacing="0" w:after="0" w:afterAutospacing="0"/>
        <w:jc w:val="both"/>
        <w:rPr>
          <w:bCs/>
          <w:color w:val="002060"/>
          <w:sz w:val="16"/>
          <w:szCs w:val="16"/>
        </w:rPr>
      </w:pPr>
    </w:p>
    <w:p w14:paraId="1EEDD1EA" w14:textId="77777777" w:rsidR="00F01B26" w:rsidRPr="00405303" w:rsidRDefault="00F01B26" w:rsidP="00C15251">
      <w:pPr>
        <w:pStyle w:val="p1"/>
        <w:spacing w:before="0" w:beforeAutospacing="0" w:after="0" w:afterAutospacing="0"/>
        <w:jc w:val="both"/>
        <w:rPr>
          <w:bCs/>
          <w:color w:val="002060"/>
          <w:sz w:val="16"/>
          <w:szCs w:val="16"/>
        </w:rPr>
      </w:pPr>
      <w:r w:rsidRPr="00405303">
        <w:rPr>
          <w:bCs/>
          <w:color w:val="002060"/>
          <w:sz w:val="16"/>
          <w:szCs w:val="16"/>
        </w:rPr>
        <w:t>Летом 1915 г. на Ижевском заводе заканчивалось сооружение 20-тонной мартеновской печи и предполагалось построить новую сталелитейную мастерскую, для начала с одной мартеновской печью. Существенным препятствием для развития Ижевского военного комплекса являлось отсутствие железнодорожной связи с общеимперской сетью дорог. Не имея подъездных линий, Ижевский завод в период навигации пользовался речными путями. Подъездной путь к пристани Гольяны на Каме — 40-километровый тракт — летом в период дождей, осенью и весной становился непроезжим. Путешествие даже в легком экипаже на это расстояние могло занять 18 часов, а перевозка грузов останавливалась (18409).</w:t>
      </w:r>
    </w:p>
    <w:p w14:paraId="249AAE6A" w14:textId="77777777" w:rsidR="00F01B26" w:rsidRPr="00405303" w:rsidRDefault="00F01B26" w:rsidP="00C15251">
      <w:pPr>
        <w:pStyle w:val="p1"/>
        <w:spacing w:before="0" w:beforeAutospacing="0" w:after="0" w:afterAutospacing="0"/>
        <w:jc w:val="both"/>
        <w:rPr>
          <w:bCs/>
          <w:color w:val="002060"/>
          <w:sz w:val="16"/>
          <w:szCs w:val="16"/>
        </w:rPr>
      </w:pPr>
    </w:p>
    <w:p w14:paraId="5D21D905" w14:textId="77777777" w:rsidR="00F01B26" w:rsidRPr="00405303" w:rsidRDefault="00F01B26" w:rsidP="00C15251">
      <w:pPr>
        <w:pStyle w:val="ae"/>
        <w:spacing w:before="0" w:beforeAutospacing="0" w:after="0" w:afterAutospacing="0"/>
        <w:jc w:val="both"/>
        <w:rPr>
          <w:bCs/>
          <w:color w:val="002060"/>
          <w:sz w:val="16"/>
          <w:szCs w:val="16"/>
        </w:rPr>
      </w:pPr>
      <w:r w:rsidRPr="00405303">
        <w:rPr>
          <w:bCs/>
          <w:color w:val="002060"/>
          <w:sz w:val="16"/>
          <w:szCs w:val="16"/>
        </w:rPr>
        <w:t>Летом 1915 г. Ставка требовала единовременно 500 орудий, в ноябре 1500 орудий, а в начале 1916 г. 560 орудий в месяц! При том, что орудия крупных калибров в стране не производились и закупались исключительно за границей. В 1915 г. поступление орудий крупного калибра осуществлялось только за счет приобретенных в Японии, Англии и Франции [1]. Кроме того, российское правительство приобретало за границей и гаубицы, зенитные орудия, минометы.</w:t>
      </w:r>
    </w:p>
    <w:p w14:paraId="768F7DB7" w14:textId="715D5951" w:rsidR="00F01B26" w:rsidRPr="00405303" w:rsidRDefault="00F01B26" w:rsidP="00C15251">
      <w:pPr>
        <w:pStyle w:val="ae"/>
        <w:spacing w:before="0" w:beforeAutospacing="0" w:after="0" w:afterAutospacing="0"/>
        <w:jc w:val="both"/>
        <w:rPr>
          <w:bCs/>
          <w:color w:val="002060"/>
          <w:sz w:val="16"/>
          <w:szCs w:val="16"/>
        </w:rPr>
      </w:pPr>
      <w:r w:rsidRPr="00405303">
        <w:rPr>
          <w:bCs/>
          <w:color w:val="002060"/>
          <w:sz w:val="16"/>
          <w:szCs w:val="16"/>
        </w:rPr>
        <w:t>В течение войны у союзников было приобретено 1617 орудий крупных калибров (от 107 мм до 305 мм) получено к 1917 г. было 1046 единиц. Наибольшее количество поставленных тяжелых орудий приходиться на долю Франции – 584, Японии – 225, Англии -196, США -41 [3]. Для сравнения к началу войны в царской армии насчитывалось 795 орудий крупного калибра, а к 1917 г. 2</w:t>
      </w:r>
      <w:r w:rsidR="00DB4D64" w:rsidRPr="00405303">
        <w:rPr>
          <w:bCs/>
          <w:color w:val="002060"/>
          <w:sz w:val="16"/>
          <w:szCs w:val="16"/>
        </w:rPr>
        <w:t xml:space="preserve"> </w:t>
      </w:r>
      <w:r w:rsidRPr="00405303">
        <w:rPr>
          <w:bCs/>
          <w:color w:val="002060"/>
          <w:sz w:val="16"/>
          <w:szCs w:val="16"/>
        </w:rPr>
        <w:t>560 [5].</w:t>
      </w:r>
    </w:p>
    <w:p w14:paraId="79D6BAB5" w14:textId="77777777" w:rsidR="00F01B26" w:rsidRPr="00405303" w:rsidRDefault="00F01B26" w:rsidP="00C15251">
      <w:pPr>
        <w:pStyle w:val="ae"/>
        <w:spacing w:before="0" w:beforeAutospacing="0" w:after="0" w:afterAutospacing="0"/>
        <w:jc w:val="both"/>
        <w:rPr>
          <w:bCs/>
          <w:color w:val="002060"/>
          <w:sz w:val="16"/>
          <w:szCs w:val="16"/>
        </w:rPr>
      </w:pPr>
      <w:r w:rsidRPr="00405303">
        <w:rPr>
          <w:bCs/>
          <w:color w:val="002060"/>
          <w:sz w:val="16"/>
          <w:szCs w:val="16"/>
        </w:rPr>
        <w:t>Орудий легкого и среднего калибра поставлялись в следующих количествах: США - 37 –мм пушки Мак-Лена - 18 штук; Франция – 90-мм пушки -150 штук, 75-мм пушки -1; Англия – 40-мм пушки Виккерс – 12, 75-мм пушки -5; Япония - 75-мм пушки 586 штук. Общее количество составляет 772 орудий.</w:t>
      </w:r>
    </w:p>
    <w:p w14:paraId="3DC59AE1" w14:textId="77777777" w:rsidR="00F01B26" w:rsidRPr="00405303" w:rsidRDefault="00F01B26" w:rsidP="00C15251">
      <w:pPr>
        <w:pStyle w:val="ae"/>
        <w:spacing w:before="0" w:beforeAutospacing="0" w:after="0" w:afterAutospacing="0"/>
        <w:jc w:val="both"/>
        <w:rPr>
          <w:bCs/>
          <w:color w:val="002060"/>
          <w:sz w:val="16"/>
          <w:szCs w:val="16"/>
        </w:rPr>
      </w:pPr>
      <w:r w:rsidRPr="00405303">
        <w:rPr>
          <w:bCs/>
          <w:color w:val="002060"/>
          <w:sz w:val="16"/>
          <w:szCs w:val="16"/>
        </w:rPr>
        <w:t>Минометы и гаубицы: Англия 89-мм. – 33; 9,45-дм. - 30 штук; 114-мм. гаубицы – 400 штук. Франция - 58-мм минометы -110 штук; 240 -мм минометы -12 штук; бомбометы Азена – 928; итого 1513 штук. При этом необходимо учитывать, что некоторые виды минометов у нас производились в недостаточном количестве из-за сложности производства. Например, за весь период войны производство 89-мм минометов наладил только Путиловский завод и произвел всего 113 минометов или около 10% от установленной потребности.</w:t>
      </w:r>
    </w:p>
    <w:p w14:paraId="60D37D95" w14:textId="77777777" w:rsidR="00F01B26" w:rsidRPr="00405303" w:rsidRDefault="00F01B26" w:rsidP="00C15251">
      <w:pPr>
        <w:pStyle w:val="ae"/>
        <w:spacing w:before="0" w:beforeAutospacing="0" w:after="0" w:afterAutospacing="0"/>
        <w:jc w:val="both"/>
        <w:rPr>
          <w:bCs/>
          <w:color w:val="002060"/>
          <w:sz w:val="16"/>
          <w:szCs w:val="16"/>
        </w:rPr>
      </w:pPr>
      <w:r w:rsidRPr="00405303">
        <w:rPr>
          <w:bCs/>
          <w:color w:val="002060"/>
          <w:sz w:val="16"/>
          <w:szCs w:val="16"/>
        </w:rPr>
        <w:t>Всего же за годы войны нам было поставлено 3.331 орудие различного калибра и назначения, а орудия крупного калибра 155-мм, 203-мм, 280-мм для подразделений тяжелой артиллерии особого назначения поставлялись только из-за границы. Однако необходимо признать, что больше половины поставок артиллерийских орудий приходилось на 1916-1917 гг., а основную потребность в полевых орудиях калибра 76-мм., 122-мм. гаубиц удовлетворялись за счет собственного производства (18515).</w:t>
      </w:r>
    </w:p>
    <w:p w14:paraId="2C85A0C9" w14:textId="77777777" w:rsidR="00F01B26" w:rsidRPr="00405303" w:rsidRDefault="00F01B26" w:rsidP="00C15251">
      <w:pPr>
        <w:jc w:val="both"/>
        <w:rPr>
          <w:bCs/>
          <w:color w:val="002060"/>
          <w:sz w:val="16"/>
          <w:szCs w:val="16"/>
        </w:rPr>
      </w:pPr>
    </w:p>
    <w:p w14:paraId="1D7608D4" w14:textId="77777777" w:rsidR="00F01B26" w:rsidRPr="00405303" w:rsidRDefault="00F01B26"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Летом 1915 года, когда фронт вплотную приблизился к Риге, началась эвакуация предприятий военного значения. Придавая большое значение заказу на военные велосипеды, ГВТУ отдало приказ об эвакуации оборудования и работников фабрики. Кроме того, лицам, работавшим на фабрике, давалась бронь от призыва на военную службу. </w:t>
      </w:r>
    </w:p>
    <w:p w14:paraId="543D5D45" w14:textId="77777777" w:rsidR="00F01B26" w:rsidRPr="00405303" w:rsidRDefault="00F01B26"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Приказ был получен 10 июля 1915 года, а 24 июля имущество фабрики было отправлено со станции Ревель в Харьков, где разместилось в помещении бывшей фабрики Гельферикс-Саде на Корсиковской улице. После этого Александр Александрович Лейтнер вернулся в Ригу. Исполнять обязанности директора в Харькове остался бывший заведующий производством Александр Каспарович Фельдман -- человек с редкостным талантом организатора. </w:t>
      </w:r>
    </w:p>
    <w:p w14:paraId="512FF901" w14:textId="77777777" w:rsidR="00F01B26" w:rsidRPr="00405303" w:rsidRDefault="00F01B26"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9 февраля 1916 года в Харьков на имя Лейтнера из Москвы был передан патент, техническая документация и образец для производства складного военного велосипеда модели "Дукс Боевой" конструкции М.М. Щипанова. 16 марта был заключен контракт на изготовление 3000 "Дуксов Боевых" для ГВТУ. В Харькове фабрика работала до конца ноября 1917 года. Всего же велосипедов "Дукс Боевой" было изготовлено 3600 штук. </w:t>
      </w:r>
    </w:p>
    <w:p w14:paraId="38708C81" w14:textId="77777777" w:rsidR="00F01B26" w:rsidRPr="00405303" w:rsidRDefault="00F01B26"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За 31 год своего существования "Фабрика велосипедов и автомобилей "Россия" А. Лейтнера и К'" прошла путь от мелкой кустарной мастерской до крупнейшего в отрасли предприятия. За это время на ней было выпущено более 100000 велосипедов 60 моделей, 5 моделей мотоциклов и трициклов, несколько вариантов автомобилей. </w:t>
      </w:r>
    </w:p>
    <w:p w14:paraId="50CB1557" w14:textId="77777777" w:rsidR="00F01B26" w:rsidRPr="00405303" w:rsidRDefault="00F01B26"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На сегодня известно 14 сохранившихся велосипедов (из них 5 в коллекции автора этих строк ), 2 мотоцикла фабрики Лейтнера, автомобили, к сожалению, до нас не дошли (11274).</w:t>
      </w:r>
    </w:p>
    <w:p w14:paraId="19FE9AB3" w14:textId="77777777" w:rsidR="00F01B26" w:rsidRPr="00405303" w:rsidRDefault="00F01B26" w:rsidP="00C15251">
      <w:pPr>
        <w:pStyle w:val="a3"/>
        <w:jc w:val="both"/>
        <w:rPr>
          <w:bCs/>
          <w:i w:val="0"/>
          <w:color w:val="002060"/>
          <w:spacing w:val="0"/>
          <w:kern w:val="0"/>
          <w:position w:val="0"/>
          <w:sz w:val="16"/>
          <w:szCs w:val="16"/>
        </w:rPr>
      </w:pPr>
    </w:p>
    <w:p w14:paraId="578194AD" w14:textId="77777777" w:rsidR="00F01B26" w:rsidRPr="00405303" w:rsidRDefault="00F01B26" w:rsidP="00C15251">
      <w:pPr>
        <w:jc w:val="both"/>
        <w:rPr>
          <w:bCs/>
          <w:color w:val="002060"/>
          <w:sz w:val="16"/>
          <w:szCs w:val="16"/>
        </w:rPr>
      </w:pPr>
      <w:r w:rsidRPr="00405303">
        <w:rPr>
          <w:bCs/>
          <w:color w:val="002060"/>
          <w:sz w:val="16"/>
          <w:szCs w:val="16"/>
        </w:rPr>
        <w:t xml:space="preserve">Летом 1915 года были начаты строительные работы на Пензенском трубочном заводе. В начале 1917 г. строительство находилось в следующем состоянии. Главное здание, составлявшее по площади около 60% проектных площадей всех производственных зданий, было выстроено под крышу. Построены были склады, водонапорная башня к пр. здания вспомогательного назначения. Проведена железная дорога. После некоторой остановки, связанной с событиями революции, строительство в дальнейшем продолжалось, но медленным темпом и уже по измененному заданию (11329). </w:t>
      </w:r>
    </w:p>
    <w:p w14:paraId="21318DE9" w14:textId="77777777" w:rsidR="00F01B26" w:rsidRPr="00405303" w:rsidRDefault="00F01B26" w:rsidP="00C15251">
      <w:pPr>
        <w:jc w:val="both"/>
        <w:rPr>
          <w:bCs/>
          <w:color w:val="002060"/>
          <w:sz w:val="16"/>
          <w:szCs w:val="16"/>
        </w:rPr>
      </w:pPr>
    </w:p>
    <w:p w14:paraId="051DEE0D"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Летом и осенью 1915 г. началось строительство 20 новых сернокислотных заводов, которые должны были увеличить выработку серной кислоты вдвое. В 1915—1917 гг. было построено 28 сернокислотных установок с суммарной месячной производительностью 1064,7 тыс. пудов. Обес</w:t>
      </w:r>
      <w:r w:rsidRPr="00405303">
        <w:rPr>
          <w:bCs/>
          <w:color w:val="002060"/>
          <w:sz w:val="16"/>
          <w:szCs w:val="16"/>
        </w:rPr>
        <w:softHyphen/>
        <w:t>печивалось ежегодное производство серной кислоты в 16 млн пудов [28, с. 114; 42, с. 447] (5484).</w:t>
      </w:r>
    </w:p>
    <w:p w14:paraId="68422A5C" w14:textId="77777777" w:rsidR="00F01B26" w:rsidRPr="00405303" w:rsidRDefault="00F01B26" w:rsidP="00C15251">
      <w:pPr>
        <w:shd w:val="clear" w:color="auto" w:fill="FFFFFF"/>
        <w:jc w:val="both"/>
        <w:rPr>
          <w:bCs/>
          <w:color w:val="002060"/>
          <w:sz w:val="16"/>
          <w:szCs w:val="16"/>
        </w:rPr>
      </w:pPr>
    </w:p>
    <w:p w14:paraId="4D5FE9C2" w14:textId="77777777" w:rsidR="00F01B26" w:rsidRPr="00405303" w:rsidRDefault="00F01B26" w:rsidP="00C15251">
      <w:pPr>
        <w:jc w:val="both"/>
        <w:rPr>
          <w:bCs/>
          <w:color w:val="002060"/>
          <w:sz w:val="16"/>
          <w:szCs w:val="16"/>
        </w:rPr>
      </w:pPr>
      <w:r w:rsidRPr="00405303">
        <w:rPr>
          <w:bCs/>
          <w:color w:val="002060"/>
          <w:sz w:val="16"/>
          <w:szCs w:val="16"/>
        </w:rPr>
        <w:t xml:space="preserve">Летом 1915 г. Ипатьев собрал в Петрограде российских производителей серной кислоты и владельцев серноколчеданных рудников и предложил им в двухнедельный срок представить свои соображения, сметы и обоснованные цены на двухгодичный контракт (РГВИА, ф. 504, оп. 17, д. 26, л. 4.). В это же время Ипатьев внес в Особое совещание по обороне представление о поручении Комиссии по заготовке взрывчатых веществ организовать производство минеральных кислот в России на русских колчеданах. Комиссия просила разрешение на организацию строительства новых и реорганизацию старых заводов, а также на право наблюдать за правильным распределением серной кислоты по заводам, работающим как на оборону, так и для частных нужд. Предполагалось открыть Петроградское, Московское, Уральское, Кавказское, Южное, Верхне-Волжское и Казанское районные бюро (Ипатьев В.Н., Фокин Л.Ф. Химический комитет при Главном артиллерийском управлении и его </w:t>
      </w:r>
      <w:r w:rsidRPr="00405303">
        <w:rPr>
          <w:bCs/>
          <w:color w:val="002060"/>
          <w:sz w:val="16"/>
          <w:szCs w:val="16"/>
        </w:rPr>
        <w:lastRenderedPageBreak/>
        <w:t>деятельность для развития отечественной химической промышленности. Пг., 1921.). Особое совещание по обороне утвердило представленный доклад и поручило Комиссии в кратчайший срок организовать добычу колчедана и производство серной кислоты. В июне 1915 г. съезд владельцев колчеданных рудников и заводчиков сернокислотных предприятий наметил вполне приемлемую для казны программу расширения добычи колчеданов и производства серной кислоты. В основу всех расчетов была положена цена на колчедан в 30 коп. за пуд. Летом и осенью 1915 г. началось строительство около 20 новых сернокислотных заводов. Оно должно было завершиться через год, но уже к январю 1916 г. производство серной кислоты увеличилось до 1 млн пуд. в месяц, а к марту 1916 г. было уже выработано 1,3 млн пуд.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Пг., 1921.) (11781).</w:t>
      </w:r>
    </w:p>
    <w:p w14:paraId="73978540" w14:textId="77777777" w:rsidR="00F01B26" w:rsidRPr="00405303" w:rsidRDefault="00F01B26" w:rsidP="00C15251">
      <w:pPr>
        <w:jc w:val="both"/>
        <w:rPr>
          <w:bCs/>
          <w:color w:val="002060"/>
          <w:sz w:val="16"/>
          <w:szCs w:val="16"/>
        </w:rPr>
      </w:pPr>
    </w:p>
    <w:p w14:paraId="16DFD6EC" w14:textId="77777777" w:rsidR="00F01B26" w:rsidRPr="00405303" w:rsidRDefault="00F01B26" w:rsidP="00C15251">
      <w:pPr>
        <w:jc w:val="both"/>
        <w:rPr>
          <w:bCs/>
          <w:color w:val="002060"/>
          <w:sz w:val="16"/>
          <w:szCs w:val="16"/>
        </w:rPr>
      </w:pPr>
      <w:r w:rsidRPr="00405303">
        <w:rPr>
          <w:bCs/>
          <w:color w:val="002060"/>
          <w:sz w:val="16"/>
          <w:szCs w:val="16"/>
        </w:rPr>
        <w:t xml:space="preserve">Летом 1915 г. ГАУ была предпринята попытка организация хлорных заводов в Финляндии. По этому вопросу с финляндским Сенатом тянулась долгие месяцы переписка, благодаря чему постройка заводов до крайности затянулась, и к 1917 г. заводы еще готовы не были. </w:t>
      </w:r>
    </w:p>
    <w:p w14:paraId="2444DA27" w14:textId="77777777" w:rsidR="00F01B26" w:rsidRPr="00405303" w:rsidRDefault="00F01B26" w:rsidP="00C15251">
      <w:pPr>
        <w:jc w:val="both"/>
        <w:rPr>
          <w:bCs/>
          <w:color w:val="002060"/>
          <w:sz w:val="16"/>
          <w:szCs w:val="16"/>
        </w:rPr>
      </w:pPr>
      <w:r w:rsidRPr="00405303">
        <w:rPr>
          <w:bCs/>
          <w:color w:val="002060"/>
          <w:sz w:val="16"/>
          <w:szCs w:val="16"/>
        </w:rPr>
        <w:t>В 1917 г. они были ликвидированы, так и не начав работу. Задание заводам было поставлено производить в год 200 000 пудов жидкого хлора (суммарно). Первоначальная стоимость была определена в 3,2 млн руб., в дальнейшем эта цифра была увеличена (11329).</w:t>
      </w:r>
    </w:p>
    <w:p w14:paraId="0071C969" w14:textId="77777777" w:rsidR="00F01B26" w:rsidRPr="00405303" w:rsidRDefault="00F01B26" w:rsidP="00C15251">
      <w:pPr>
        <w:jc w:val="both"/>
        <w:rPr>
          <w:bCs/>
          <w:color w:val="002060"/>
          <w:sz w:val="16"/>
          <w:szCs w:val="16"/>
        </w:rPr>
      </w:pPr>
    </w:p>
    <w:p w14:paraId="28488050" w14:textId="77777777" w:rsidR="00F01B26" w:rsidRPr="00405303" w:rsidRDefault="00F01B26" w:rsidP="00C15251">
      <w:pPr>
        <w:jc w:val="both"/>
        <w:rPr>
          <w:bCs/>
          <w:color w:val="002060"/>
          <w:sz w:val="16"/>
          <w:szCs w:val="16"/>
        </w:rPr>
      </w:pPr>
      <w:r w:rsidRPr="00405303">
        <w:rPr>
          <w:bCs/>
          <w:color w:val="002060"/>
          <w:sz w:val="16"/>
          <w:szCs w:val="16"/>
        </w:rPr>
        <w:t xml:space="preserve">Летом 1915 г. определенно выяснилась необходимость организовать производство целого ряда химических продуктов для газовой борьбы с противником. </w:t>
      </w:r>
    </w:p>
    <w:p w14:paraId="006F3544" w14:textId="77777777" w:rsidR="00F01B26" w:rsidRPr="00405303" w:rsidRDefault="00F01B26" w:rsidP="00C15251">
      <w:pPr>
        <w:jc w:val="both"/>
        <w:rPr>
          <w:bCs/>
          <w:color w:val="002060"/>
          <w:sz w:val="16"/>
          <w:szCs w:val="16"/>
        </w:rPr>
      </w:pPr>
      <w:r w:rsidRPr="00405303">
        <w:rPr>
          <w:bCs/>
          <w:color w:val="002060"/>
          <w:sz w:val="16"/>
          <w:szCs w:val="16"/>
        </w:rPr>
        <w:t xml:space="preserve">Это дело проводилось с большой энергией и успехом, сначала специально для этой цели организованной Комиссией у[душающих] с[редств], а после Химическим комитетом, куда вошла Комиссия УС. Организации заводского производства предшествовал ряд научных изысканий. </w:t>
      </w:r>
    </w:p>
    <w:p w14:paraId="455B1329" w14:textId="77777777" w:rsidR="00F01B26" w:rsidRPr="00405303" w:rsidRDefault="00F01B26" w:rsidP="00C15251">
      <w:pPr>
        <w:jc w:val="both"/>
        <w:rPr>
          <w:bCs/>
          <w:color w:val="002060"/>
          <w:sz w:val="16"/>
          <w:szCs w:val="16"/>
        </w:rPr>
      </w:pPr>
      <w:r w:rsidRPr="00405303">
        <w:rPr>
          <w:bCs/>
          <w:color w:val="002060"/>
          <w:sz w:val="16"/>
          <w:szCs w:val="16"/>
        </w:rPr>
        <w:t xml:space="preserve">Для выпуска из баллонов принят был сжиженный хлор. Производство было быстро организовано на двух заводах Донецкого бассейна и в период с осени 1915 г. к осени 1916 г. достигло 500-600 пудов в сутки, что вполне покрывало потребность фронта. </w:t>
      </w:r>
    </w:p>
    <w:p w14:paraId="51FAD67C" w14:textId="77777777" w:rsidR="00F01B26" w:rsidRPr="00405303" w:rsidRDefault="00F01B26" w:rsidP="00C15251">
      <w:pPr>
        <w:jc w:val="both"/>
        <w:rPr>
          <w:bCs/>
          <w:color w:val="002060"/>
          <w:sz w:val="16"/>
          <w:szCs w:val="16"/>
        </w:rPr>
      </w:pPr>
      <w:r w:rsidRPr="00405303">
        <w:rPr>
          <w:bCs/>
          <w:color w:val="002060"/>
          <w:sz w:val="16"/>
          <w:szCs w:val="16"/>
        </w:rPr>
        <w:t xml:space="preserve">Второе вещество, необходимое для баллоновой газовой борьбы, фосген, в России ранее вовсе не вырабатывалось. </w:t>
      </w:r>
    </w:p>
    <w:p w14:paraId="1F0344CA" w14:textId="77777777" w:rsidR="00F01B26" w:rsidRPr="00405303" w:rsidRDefault="00F01B26" w:rsidP="00C15251">
      <w:pPr>
        <w:jc w:val="both"/>
        <w:rPr>
          <w:bCs/>
          <w:color w:val="002060"/>
          <w:sz w:val="16"/>
          <w:szCs w:val="16"/>
        </w:rPr>
      </w:pPr>
      <w:r w:rsidRPr="00405303">
        <w:rPr>
          <w:bCs/>
          <w:color w:val="002060"/>
          <w:sz w:val="16"/>
          <w:szCs w:val="16"/>
        </w:rPr>
        <w:t xml:space="preserve">На это производство оборудовалось пять заводов, из коих один казенный. Из пяти только два своевременно справились с делом. С января по октябрь 1916 г. производство фосгена достигло 600 пудов в месяц. Установка его представляла большие технические трудности. </w:t>
      </w:r>
    </w:p>
    <w:p w14:paraId="5B72C8E1" w14:textId="77777777" w:rsidR="00F01B26" w:rsidRPr="00405303" w:rsidRDefault="00F01B26" w:rsidP="00C15251">
      <w:pPr>
        <w:jc w:val="both"/>
        <w:rPr>
          <w:bCs/>
          <w:color w:val="002060"/>
          <w:sz w:val="16"/>
          <w:szCs w:val="16"/>
        </w:rPr>
      </w:pPr>
      <w:r w:rsidRPr="00405303">
        <w:rPr>
          <w:bCs/>
          <w:color w:val="002060"/>
          <w:sz w:val="16"/>
          <w:szCs w:val="16"/>
        </w:rPr>
        <w:t xml:space="preserve">Что касается других удушающих веществ, то Химический комитет поставил следующие производства: </w:t>
      </w:r>
    </w:p>
    <w:p w14:paraId="5D915539" w14:textId="77777777" w:rsidR="00F01B26" w:rsidRPr="00405303" w:rsidRDefault="00F01B26" w:rsidP="00C15251">
      <w:pPr>
        <w:jc w:val="both"/>
        <w:rPr>
          <w:bCs/>
          <w:color w:val="002060"/>
          <w:sz w:val="16"/>
          <w:szCs w:val="16"/>
        </w:rPr>
      </w:pPr>
      <w:r w:rsidRPr="00405303">
        <w:rPr>
          <w:bCs/>
          <w:color w:val="002060"/>
          <w:sz w:val="16"/>
          <w:szCs w:val="16"/>
        </w:rPr>
        <w:t xml:space="preserve">Хлорпикрин — производство было поставлено на семи заводах. Из них один казенный (Глобинский). По 1 октября 1916 г. изготовлено 21 000 пудов. </w:t>
      </w:r>
    </w:p>
    <w:p w14:paraId="2B7F64B8" w14:textId="77777777" w:rsidR="00F01B26" w:rsidRPr="00405303" w:rsidRDefault="00F01B26" w:rsidP="00C15251">
      <w:pPr>
        <w:jc w:val="both"/>
        <w:rPr>
          <w:bCs/>
          <w:color w:val="002060"/>
          <w:sz w:val="16"/>
          <w:szCs w:val="16"/>
        </w:rPr>
      </w:pPr>
      <w:r w:rsidRPr="00405303">
        <w:rPr>
          <w:bCs/>
          <w:color w:val="002060"/>
          <w:sz w:val="16"/>
          <w:szCs w:val="16"/>
        </w:rPr>
        <w:t xml:space="preserve">Хлористый сульфурин и хлористый ангидрид — на одном заводе, до 1 октября 1916 г. выработано: первого 14 000 пудов, а второго 18 000 пудов. </w:t>
      </w:r>
    </w:p>
    <w:p w14:paraId="5147A7BB" w14:textId="77777777" w:rsidR="00F01B26" w:rsidRPr="00405303" w:rsidRDefault="00F01B26" w:rsidP="00C15251">
      <w:pPr>
        <w:jc w:val="both"/>
        <w:rPr>
          <w:bCs/>
          <w:color w:val="002060"/>
          <w:sz w:val="16"/>
          <w:szCs w:val="16"/>
        </w:rPr>
      </w:pPr>
      <w:r w:rsidRPr="00405303">
        <w:rPr>
          <w:bCs/>
          <w:color w:val="002060"/>
          <w:sz w:val="16"/>
          <w:szCs w:val="16"/>
        </w:rPr>
        <w:t xml:space="preserve">Хлорное олово — на одном заводе, до 1 октября 1916 г. выработано 14 000 пудов. </w:t>
      </w:r>
    </w:p>
    <w:p w14:paraId="44FA9650" w14:textId="77777777" w:rsidR="00F01B26" w:rsidRPr="00405303" w:rsidRDefault="00F01B26" w:rsidP="00C15251">
      <w:pPr>
        <w:jc w:val="both"/>
        <w:rPr>
          <w:bCs/>
          <w:color w:val="002060"/>
          <w:sz w:val="16"/>
          <w:szCs w:val="16"/>
        </w:rPr>
      </w:pPr>
      <w:r w:rsidRPr="00405303">
        <w:rPr>
          <w:bCs/>
          <w:color w:val="002060"/>
          <w:sz w:val="16"/>
          <w:szCs w:val="16"/>
        </w:rPr>
        <w:t xml:space="preserve">Цианистый калий — на одном заводе, за 1916 г. выработано 100 пудов. </w:t>
      </w:r>
    </w:p>
    <w:p w14:paraId="5C654BAF" w14:textId="77777777" w:rsidR="00F01B26" w:rsidRPr="00405303" w:rsidRDefault="00F01B26" w:rsidP="00C15251">
      <w:pPr>
        <w:jc w:val="both"/>
        <w:rPr>
          <w:bCs/>
          <w:color w:val="002060"/>
          <w:sz w:val="16"/>
          <w:szCs w:val="16"/>
        </w:rPr>
      </w:pPr>
      <w:r w:rsidRPr="00405303">
        <w:rPr>
          <w:bCs/>
          <w:color w:val="002060"/>
          <w:sz w:val="16"/>
          <w:szCs w:val="16"/>
        </w:rPr>
        <w:t xml:space="preserve">Хлороформ — на одном заводе, до 1 октября 1916 г. — 300 пудов. </w:t>
      </w:r>
    </w:p>
    <w:p w14:paraId="3515637F" w14:textId="77777777" w:rsidR="00F01B26" w:rsidRPr="00405303" w:rsidRDefault="00F01B26" w:rsidP="00C15251">
      <w:pPr>
        <w:jc w:val="both"/>
        <w:rPr>
          <w:bCs/>
          <w:color w:val="002060"/>
          <w:sz w:val="16"/>
          <w:szCs w:val="16"/>
        </w:rPr>
      </w:pPr>
      <w:r w:rsidRPr="00405303">
        <w:rPr>
          <w:bCs/>
          <w:color w:val="002060"/>
          <w:sz w:val="16"/>
          <w:szCs w:val="16"/>
        </w:rPr>
        <w:t xml:space="preserve">Хлористый мышьяк — на одном заводе, до 1 октября 1916 г. — 2000 пудов. </w:t>
      </w:r>
    </w:p>
    <w:p w14:paraId="1096E0B2" w14:textId="77777777" w:rsidR="00F01B26" w:rsidRPr="00405303" w:rsidRDefault="00F01B26" w:rsidP="00C15251">
      <w:pPr>
        <w:jc w:val="both"/>
        <w:rPr>
          <w:bCs/>
          <w:color w:val="002060"/>
          <w:sz w:val="16"/>
          <w:szCs w:val="16"/>
        </w:rPr>
      </w:pPr>
      <w:r w:rsidRPr="00405303">
        <w:rPr>
          <w:bCs/>
          <w:color w:val="002060"/>
          <w:sz w:val="16"/>
          <w:szCs w:val="16"/>
        </w:rPr>
        <w:t xml:space="preserve">Для производства бромбензола было установлено, впервые в России, производство брома. </w:t>
      </w:r>
    </w:p>
    <w:p w14:paraId="0736D32D" w14:textId="77777777" w:rsidR="00F01B26" w:rsidRPr="00405303" w:rsidRDefault="00F01B26" w:rsidP="00C15251">
      <w:pPr>
        <w:jc w:val="both"/>
        <w:rPr>
          <w:bCs/>
          <w:color w:val="002060"/>
          <w:sz w:val="16"/>
          <w:szCs w:val="16"/>
        </w:rPr>
      </w:pPr>
      <w:r w:rsidRPr="00405303">
        <w:rPr>
          <w:bCs/>
          <w:color w:val="002060"/>
          <w:sz w:val="16"/>
          <w:szCs w:val="16"/>
        </w:rPr>
        <w:t xml:space="preserve">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 </w:t>
      </w:r>
    </w:p>
    <w:p w14:paraId="5D5015E6" w14:textId="77777777" w:rsidR="00F01B26" w:rsidRPr="00405303" w:rsidRDefault="00F01B26" w:rsidP="00C15251">
      <w:pPr>
        <w:jc w:val="both"/>
        <w:rPr>
          <w:bCs/>
          <w:color w:val="002060"/>
          <w:sz w:val="16"/>
          <w:szCs w:val="16"/>
        </w:rPr>
      </w:pPr>
      <w:r w:rsidRPr="00405303">
        <w:rPr>
          <w:bCs/>
          <w:color w:val="002060"/>
          <w:sz w:val="16"/>
          <w:szCs w:val="16"/>
        </w:rPr>
        <w:t xml:space="preserve">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 </w:t>
      </w:r>
    </w:p>
    <w:p w14:paraId="64650D5E" w14:textId="77777777" w:rsidR="00F01B26" w:rsidRPr="00405303" w:rsidRDefault="00F01B26" w:rsidP="00C15251">
      <w:pPr>
        <w:jc w:val="both"/>
        <w:rPr>
          <w:bCs/>
          <w:color w:val="002060"/>
          <w:sz w:val="16"/>
          <w:szCs w:val="16"/>
        </w:rPr>
      </w:pPr>
      <w:r w:rsidRPr="00405303">
        <w:rPr>
          <w:bCs/>
          <w:color w:val="002060"/>
          <w:sz w:val="16"/>
          <w:szCs w:val="16"/>
        </w:rPr>
        <w:t xml:space="preserve">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 </w:t>
      </w:r>
    </w:p>
    <w:p w14:paraId="13BEAFCF" w14:textId="77777777" w:rsidR="00F01B26" w:rsidRPr="00405303" w:rsidRDefault="00F01B26" w:rsidP="00C15251">
      <w:pPr>
        <w:jc w:val="both"/>
        <w:rPr>
          <w:bCs/>
          <w:color w:val="002060"/>
          <w:sz w:val="16"/>
          <w:szCs w:val="16"/>
        </w:rPr>
      </w:pPr>
      <w:r w:rsidRPr="00405303">
        <w:rPr>
          <w:bCs/>
          <w:color w:val="002060"/>
          <w:sz w:val="16"/>
          <w:szCs w:val="16"/>
        </w:rPr>
        <w:t xml:space="preserve">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 </w:t>
      </w:r>
    </w:p>
    <w:p w14:paraId="156B57D1" w14:textId="77777777" w:rsidR="00F01B26" w:rsidRPr="00405303" w:rsidRDefault="00F01B26" w:rsidP="00C15251">
      <w:pPr>
        <w:jc w:val="both"/>
        <w:rPr>
          <w:bCs/>
          <w:color w:val="002060"/>
          <w:sz w:val="16"/>
          <w:szCs w:val="16"/>
        </w:rPr>
      </w:pPr>
      <w:r w:rsidRPr="00405303">
        <w:rPr>
          <w:bCs/>
          <w:color w:val="002060"/>
          <w:sz w:val="16"/>
          <w:szCs w:val="16"/>
        </w:rPr>
        <w:t xml:space="preserve">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 </w:t>
      </w:r>
    </w:p>
    <w:p w14:paraId="5214A891" w14:textId="77777777" w:rsidR="00F01B26" w:rsidRPr="00405303" w:rsidRDefault="00F01B26" w:rsidP="00C15251">
      <w:pPr>
        <w:jc w:val="both"/>
        <w:rPr>
          <w:bCs/>
          <w:color w:val="002060"/>
          <w:sz w:val="16"/>
          <w:szCs w:val="16"/>
        </w:rPr>
      </w:pPr>
      <w:r w:rsidRPr="00405303">
        <w:rPr>
          <w:bCs/>
          <w:color w:val="002060"/>
          <w:sz w:val="16"/>
          <w:szCs w:val="16"/>
        </w:rPr>
        <w:t xml:space="preserve">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w:t>
      </w:r>
    </w:p>
    <w:p w14:paraId="7D93B2FD" w14:textId="77777777" w:rsidR="00F01B26" w:rsidRPr="00405303" w:rsidRDefault="00F01B26" w:rsidP="00C15251">
      <w:pPr>
        <w:jc w:val="both"/>
        <w:rPr>
          <w:bCs/>
          <w:color w:val="002060"/>
          <w:sz w:val="16"/>
          <w:szCs w:val="16"/>
        </w:rPr>
      </w:pPr>
      <w:r w:rsidRPr="00405303">
        <w:rPr>
          <w:bCs/>
          <w:color w:val="002060"/>
          <w:sz w:val="16"/>
          <w:szCs w:val="16"/>
        </w:rPr>
        <w:t>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26469ED4" w14:textId="77777777" w:rsidR="00F01B26" w:rsidRPr="00405303" w:rsidRDefault="00F01B26" w:rsidP="00C15251">
      <w:pPr>
        <w:jc w:val="both"/>
        <w:rPr>
          <w:bCs/>
          <w:color w:val="002060"/>
          <w:sz w:val="16"/>
          <w:szCs w:val="16"/>
        </w:rPr>
      </w:pPr>
      <w:r w:rsidRPr="00405303">
        <w:rPr>
          <w:bCs/>
          <w:color w:val="002060"/>
          <w:sz w:val="16"/>
          <w:szCs w:val="16"/>
        </w:rPr>
        <w:t xml:space="preserve">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7E47FBDC" w14:textId="77777777" w:rsidR="00F01B26" w:rsidRPr="00405303" w:rsidRDefault="00F01B26" w:rsidP="00C15251">
      <w:pPr>
        <w:jc w:val="both"/>
        <w:rPr>
          <w:bCs/>
          <w:color w:val="002060"/>
          <w:sz w:val="16"/>
          <w:szCs w:val="16"/>
        </w:rPr>
      </w:pPr>
      <w:r w:rsidRPr="00405303">
        <w:rPr>
          <w:bCs/>
          <w:color w:val="002060"/>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2A9626C0" w14:textId="77777777" w:rsidR="00F01B26" w:rsidRPr="00405303" w:rsidRDefault="00F01B26" w:rsidP="00C15251">
      <w:pPr>
        <w:jc w:val="both"/>
        <w:rPr>
          <w:bCs/>
          <w:color w:val="002060"/>
          <w:sz w:val="16"/>
          <w:szCs w:val="16"/>
        </w:rPr>
      </w:pPr>
      <w:r w:rsidRPr="00405303">
        <w:rPr>
          <w:bCs/>
          <w:color w:val="002060"/>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5D596918" w14:textId="77777777" w:rsidR="00F01B26" w:rsidRPr="00405303" w:rsidRDefault="00F01B26" w:rsidP="00C15251">
      <w:pPr>
        <w:jc w:val="both"/>
        <w:rPr>
          <w:bCs/>
          <w:color w:val="002060"/>
          <w:sz w:val="16"/>
          <w:szCs w:val="16"/>
        </w:rPr>
      </w:pPr>
      <w:r w:rsidRPr="00405303">
        <w:rPr>
          <w:bCs/>
          <w:color w:val="002060"/>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4A219349" w14:textId="77777777" w:rsidR="00F01B26" w:rsidRPr="00405303" w:rsidRDefault="00F01B26" w:rsidP="00C15251">
      <w:pPr>
        <w:jc w:val="both"/>
        <w:rPr>
          <w:bCs/>
          <w:i/>
          <w:color w:val="002060"/>
          <w:sz w:val="16"/>
          <w:szCs w:val="16"/>
        </w:rPr>
      </w:pPr>
    </w:p>
    <w:p w14:paraId="051C41FF"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Летом 1915 года Особое совещание по обороне государства повысило ежемесячную потребность в 76-мм патронов до 3 млн шт. [5, с. 187].</w:t>
      </w:r>
    </w:p>
    <w:p w14:paraId="281C8B63"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Перед ГАУ встала огромной сложности задача увеличить произ</w:t>
      </w:r>
      <w:r w:rsidRPr="00405303">
        <w:rPr>
          <w:bCs/>
          <w:color w:val="002060"/>
          <w:sz w:val="16"/>
          <w:szCs w:val="16"/>
        </w:rPr>
        <w:softHyphen/>
        <w:t>водство артиллерийских выстрелов по меньшей мере в 4—5 раз. Для этого надо было организовать быстрое увеличение выпуска всех эле ментов выстрела — снарядных корпусов, пороховых зарядов, взрыв</w:t>
      </w:r>
      <w:r w:rsidRPr="00405303">
        <w:rPr>
          <w:bCs/>
          <w:color w:val="002060"/>
          <w:sz w:val="16"/>
          <w:szCs w:val="16"/>
        </w:rPr>
        <w:softHyphen/>
        <w:t>чатых веществ, гильз, капсюльных втулок, дистанционных трубок и взрывателей и т. п.</w:t>
      </w:r>
    </w:p>
    <w:p w14:paraId="6A1C0DD5"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Дело с расширением производства артиллерийских выстрелов продвигалось медленно. Не надеясь на Военное министерство, Став</w:t>
      </w:r>
      <w:r w:rsidRPr="00405303">
        <w:rPr>
          <w:bCs/>
          <w:color w:val="002060"/>
          <w:sz w:val="16"/>
          <w:szCs w:val="16"/>
        </w:rPr>
        <w:softHyphen/>
        <w:t>ка в мае 1915 г. обратилась к правительству с предложением об ор</w:t>
      </w:r>
      <w:r w:rsidRPr="00405303">
        <w:rPr>
          <w:bCs/>
          <w:color w:val="002060"/>
          <w:sz w:val="16"/>
          <w:szCs w:val="16"/>
        </w:rPr>
        <w:softHyphen/>
        <w:t>ганизации Особого совещания по обороне государства, которое взя</w:t>
      </w:r>
      <w:r w:rsidRPr="00405303">
        <w:rPr>
          <w:bCs/>
          <w:color w:val="002060"/>
          <w:sz w:val="16"/>
          <w:szCs w:val="16"/>
        </w:rPr>
        <w:softHyphen/>
        <w:t>ло бы на себя организацию и регулирование производства вооруже</w:t>
      </w:r>
      <w:r w:rsidRPr="00405303">
        <w:rPr>
          <w:bCs/>
          <w:color w:val="002060"/>
          <w:sz w:val="16"/>
          <w:szCs w:val="16"/>
        </w:rPr>
        <w:softHyphen/>
        <w:t>ния и боеприпасов. Особое совещание было создано и сыграло важ</w:t>
      </w:r>
      <w:r w:rsidRPr="00405303">
        <w:rPr>
          <w:bCs/>
          <w:color w:val="002060"/>
          <w:sz w:val="16"/>
          <w:szCs w:val="16"/>
        </w:rPr>
        <w:softHyphen/>
        <w:t>ную роль в мобилизации промышленности России для работы на нужды обороны.</w:t>
      </w:r>
    </w:p>
    <w:p w14:paraId="514B9F69"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К изготовлению корпусов снарядов всех калибров во время пер</w:t>
      </w:r>
      <w:r w:rsidRPr="00405303">
        <w:rPr>
          <w:bCs/>
          <w:color w:val="002060"/>
          <w:sz w:val="16"/>
          <w:szCs w:val="16"/>
        </w:rPr>
        <w:softHyphen/>
        <w:t>вой мировой войны были привлечены около 50 крупных металлур</w:t>
      </w:r>
      <w:r w:rsidRPr="00405303">
        <w:rPr>
          <w:bCs/>
          <w:color w:val="002060"/>
          <w:sz w:val="16"/>
          <w:szCs w:val="16"/>
        </w:rPr>
        <w:softHyphen/>
        <w:t>гических и металлообрабатывающих заводов и несколько сотен дру</w:t>
      </w:r>
      <w:r w:rsidRPr="00405303">
        <w:rPr>
          <w:bCs/>
          <w:color w:val="002060"/>
          <w:sz w:val="16"/>
          <w:szCs w:val="16"/>
        </w:rPr>
        <w:softHyphen/>
        <w:t>гих заводов и мастерских.</w:t>
      </w:r>
    </w:p>
    <w:p w14:paraId="5D2F62B9"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Группа Путиловского завода объединяла следующие предприя</w:t>
      </w:r>
      <w:r w:rsidRPr="00405303">
        <w:rPr>
          <w:bCs/>
          <w:color w:val="002060"/>
          <w:sz w:val="16"/>
          <w:szCs w:val="16"/>
        </w:rPr>
        <w:softHyphen/>
        <w:t>тия: Путиловский завод, завод Русского общества изготовления сна</w:t>
      </w:r>
      <w:r w:rsidRPr="00405303">
        <w:rPr>
          <w:bCs/>
          <w:color w:val="002060"/>
          <w:sz w:val="16"/>
          <w:szCs w:val="16"/>
        </w:rPr>
        <w:softHyphen/>
        <w:t>рядов (бывший «Парвиайнен»), Коломенский и Русско-Балтийский. Созданная ГАУ специальная организация во главе с начальни</w:t>
      </w:r>
      <w:r w:rsidRPr="00405303">
        <w:rPr>
          <w:bCs/>
          <w:color w:val="002060"/>
          <w:sz w:val="16"/>
          <w:szCs w:val="16"/>
        </w:rPr>
        <w:softHyphen/>
        <w:t>ком Брянского арсенала генералом С. Н. Банковым по производству снарядов французского образца вначале кооперировала 200 пред</w:t>
      </w:r>
      <w:r w:rsidRPr="00405303">
        <w:rPr>
          <w:bCs/>
          <w:color w:val="002060"/>
          <w:sz w:val="16"/>
          <w:szCs w:val="16"/>
        </w:rPr>
        <w:softHyphen/>
        <w:t>приятий, а к концу 1916 г. — до 500. В их числе было много перво</w:t>
      </w:r>
      <w:r w:rsidRPr="00405303">
        <w:rPr>
          <w:bCs/>
          <w:color w:val="002060"/>
          <w:sz w:val="16"/>
          <w:szCs w:val="16"/>
        </w:rPr>
        <w:softHyphen/>
        <w:t>классных заводов [21, 63].</w:t>
      </w:r>
    </w:p>
    <w:p w14:paraId="7DEB3C67"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Значительное число более мелких предприятий действовало под руководством Центрального военно-промышленного комитета, Все</w:t>
      </w:r>
      <w:r w:rsidRPr="00405303">
        <w:rPr>
          <w:bCs/>
          <w:color w:val="002060"/>
          <w:sz w:val="16"/>
          <w:szCs w:val="16"/>
        </w:rPr>
        <w:softHyphen/>
        <w:t>российского союза земств и городов, Нижегородского биржевого комитета [5, с. 195].</w:t>
      </w:r>
    </w:p>
    <w:p w14:paraId="44793C85"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С целью создания более благоприятных условий для увеличения выпуска корпусов снарядов в начале 1915 г. ГАУ ослабило чрезмер</w:t>
      </w:r>
      <w:r w:rsidRPr="00405303">
        <w:rPr>
          <w:bCs/>
          <w:color w:val="002060"/>
          <w:sz w:val="16"/>
          <w:szCs w:val="16"/>
        </w:rPr>
        <w:softHyphen/>
        <w:t>но строгие требования к приему корпусов снарядов. Кроме того, из-за недостатка стали было принято решение изготовлять гранаты из обыкновенного и сталистого чугуна по упрощенному французскому образцу, т. е. цельнокорпусными без отдельной привинтной головки. Налаживание массового производства корпусов снарядов было связано с рядом трудностей. До войны основным источником приоб</w:t>
      </w:r>
      <w:r w:rsidRPr="00405303">
        <w:rPr>
          <w:bCs/>
          <w:color w:val="002060"/>
          <w:sz w:val="16"/>
          <w:szCs w:val="16"/>
        </w:rPr>
        <w:softHyphen/>
        <w:t>ретения металлообрабатывающих станков, специального оборудова</w:t>
      </w:r>
      <w:r w:rsidRPr="00405303">
        <w:rPr>
          <w:bCs/>
          <w:color w:val="002060"/>
          <w:sz w:val="16"/>
          <w:szCs w:val="16"/>
        </w:rPr>
        <w:softHyphen/>
        <w:t>ния и многих видов сырья являлся германский рынок. С началом войны он стал недоступным, пришлось организовывать многие про</w:t>
      </w:r>
      <w:r w:rsidRPr="00405303">
        <w:rPr>
          <w:bCs/>
          <w:color w:val="002060"/>
          <w:sz w:val="16"/>
          <w:szCs w:val="16"/>
        </w:rPr>
        <w:softHyphen/>
        <w:t>изводства внутри страны или искать поставщиков среди союзни</w:t>
      </w:r>
      <w:r w:rsidRPr="00405303">
        <w:rPr>
          <w:bCs/>
          <w:color w:val="002060"/>
          <w:sz w:val="16"/>
          <w:szCs w:val="16"/>
        </w:rPr>
        <w:softHyphen/>
        <w:t>ков. Многие материалы, необходимые для военного производства, стали дефицитными из-за резко возросшего спроса на них во всех воюющих державах. Осложнилась доставка импортных грузов из-за закрытия портов Балтийского моря.</w:t>
      </w:r>
    </w:p>
    <w:p w14:paraId="7A1392F4"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Затрудняло работу отсутствие опыта производства корпусов сна</w:t>
      </w:r>
      <w:r w:rsidRPr="00405303">
        <w:rPr>
          <w:bCs/>
          <w:color w:val="002060"/>
          <w:sz w:val="16"/>
          <w:szCs w:val="16"/>
        </w:rPr>
        <w:softHyphen/>
        <w:t>рядов, незнание специфики массового производства вообще и сна</w:t>
      </w:r>
      <w:r w:rsidRPr="00405303">
        <w:rPr>
          <w:bCs/>
          <w:color w:val="002060"/>
          <w:sz w:val="16"/>
          <w:szCs w:val="16"/>
        </w:rPr>
        <w:softHyphen/>
        <w:t>рядного в частности. На большинстве заводов не было хорошего обо</w:t>
      </w:r>
      <w:r w:rsidRPr="00405303">
        <w:rPr>
          <w:bCs/>
          <w:color w:val="002060"/>
          <w:sz w:val="16"/>
          <w:szCs w:val="16"/>
        </w:rPr>
        <w:softHyphen/>
        <w:t>рудования; рабочие не имели квалификации, требуемой для изготов</w:t>
      </w:r>
      <w:r w:rsidRPr="00405303">
        <w:rPr>
          <w:bCs/>
          <w:color w:val="002060"/>
          <w:sz w:val="16"/>
          <w:szCs w:val="16"/>
        </w:rPr>
        <w:softHyphen/>
        <w:t>ления такой точной продукции, как артиллерийские снаряды. Даже Путиловский завод, получивший крупный заказ в августе 1914 г., смог дать первую партию корпусов снарядов (26 711 шт.) только в ноябре 1914 г., Петроградский механический завод изготовил в де</w:t>
      </w:r>
      <w:r w:rsidRPr="00405303">
        <w:rPr>
          <w:bCs/>
          <w:color w:val="002060"/>
          <w:sz w:val="16"/>
          <w:szCs w:val="16"/>
        </w:rPr>
        <w:softHyphen/>
        <w:t>кабре 1914 г. всего 1009 корпусов. Балтийский, Николаевский и не</w:t>
      </w:r>
      <w:r w:rsidRPr="00405303">
        <w:rPr>
          <w:bCs/>
          <w:color w:val="002060"/>
          <w:sz w:val="16"/>
          <w:szCs w:val="16"/>
        </w:rPr>
        <w:softHyphen/>
        <w:t>которые другие заводы выдали первые партии снарядов лишь в янва</w:t>
      </w:r>
      <w:r w:rsidRPr="00405303">
        <w:rPr>
          <w:bCs/>
          <w:color w:val="002060"/>
          <w:sz w:val="16"/>
          <w:szCs w:val="16"/>
        </w:rPr>
        <w:softHyphen/>
        <w:t>ре—феврале 1915 г. (5484).</w:t>
      </w:r>
    </w:p>
    <w:p w14:paraId="5BF99645" w14:textId="77777777" w:rsidR="00F01B26" w:rsidRPr="00405303" w:rsidRDefault="00F01B26" w:rsidP="00C15251">
      <w:pPr>
        <w:shd w:val="clear" w:color="auto" w:fill="FFFFFF"/>
        <w:jc w:val="both"/>
        <w:rPr>
          <w:bCs/>
          <w:color w:val="002060"/>
          <w:sz w:val="16"/>
          <w:szCs w:val="16"/>
        </w:rPr>
      </w:pPr>
    </w:p>
    <w:p w14:paraId="1106CA2F" w14:textId="77777777" w:rsidR="00F01B26" w:rsidRPr="00405303" w:rsidRDefault="00F01B26" w:rsidP="00C15251">
      <w:pPr>
        <w:jc w:val="both"/>
        <w:rPr>
          <w:bCs/>
          <w:color w:val="002060"/>
          <w:sz w:val="16"/>
          <w:szCs w:val="16"/>
        </w:rPr>
      </w:pPr>
      <w:r w:rsidRPr="00405303">
        <w:rPr>
          <w:bCs/>
          <w:color w:val="002060"/>
          <w:sz w:val="16"/>
          <w:szCs w:val="16"/>
        </w:rPr>
        <w:t>Летом 1915 г. перенесенный с началом войны срок окончания строительства Царицынского орудийного завода не был выполнен, и пуск завода отодвинули на конец 1916 г. Комиссия генерал-майора Дроздова, обследовавшая строительство в начале 1916 г., отметила, что наиболее оборудованными являются механическая мастерская и мастерская для изготовления затворов. Мастерская производства полевых орудий не оборудована станками, поэтому взятый О-вом Царицынских заводов заказ на 2500 полевых орудий передан другим предприятиям (Сормовскому, Петроградскому металлическому и Лесснера). По мнению комиссии, окончание постройки Царицынского завода можно было ожидать не ранее первой половины 1917 г. [РГВИА. Ф. 369. Оп. 3. Д. 6. Л. 122-128; Там же. Оп. 16. Д. 135. Л. 27-33.]. Во многом задержка сооружения объяснялась опозданием поставок оборудования из-за границы, но были и другие причины. Не построенный завод приносил правлению о-ва прибыль за счет выплат по передаче заказа. Подобные спекулятивные сделки являлись, безусловно, тормозом для быстрого завершения строительства.</w:t>
      </w:r>
    </w:p>
    <w:p w14:paraId="4C871CE1" w14:textId="77777777" w:rsidR="00F01B26" w:rsidRPr="00405303" w:rsidRDefault="00F01B26" w:rsidP="00C15251">
      <w:pPr>
        <w:jc w:val="both"/>
        <w:rPr>
          <w:bCs/>
          <w:color w:val="002060"/>
          <w:sz w:val="16"/>
          <w:szCs w:val="16"/>
        </w:rPr>
      </w:pPr>
      <w:r w:rsidRPr="00405303">
        <w:rPr>
          <w:bCs/>
          <w:color w:val="002060"/>
          <w:sz w:val="16"/>
          <w:szCs w:val="16"/>
        </w:rPr>
        <w:t>Иногда строительство заводов оборонной промышленности срывалось из-за халатного отношения к делу представителей иностранных фирм. Например, подряд на сооружение завода, изготовляющего пулеметы, был передан Датскому оружейному синдикату. Датчане выполнили только часть обязательств, ограничившись постройкой небольшой мастерской без прочной производственной базы, осуществлявшей сборку изделий из заграничных частей [Там же. Оп. 1. Д. 175. Л. 157; Барсуков Е.З. Указ. соч. С. 285.] (11863).</w:t>
      </w:r>
    </w:p>
    <w:p w14:paraId="766BB93A" w14:textId="77777777" w:rsidR="00F01B26" w:rsidRPr="00405303" w:rsidRDefault="00F01B26" w:rsidP="00C15251">
      <w:pPr>
        <w:jc w:val="both"/>
        <w:rPr>
          <w:bCs/>
          <w:color w:val="002060"/>
          <w:sz w:val="16"/>
          <w:szCs w:val="16"/>
        </w:rPr>
      </w:pPr>
    </w:p>
    <w:p w14:paraId="1DADEFF1" w14:textId="353698AC" w:rsidR="00F01B26" w:rsidRPr="00405303" w:rsidRDefault="00F01B26" w:rsidP="00C15251">
      <w:pPr>
        <w:pStyle w:val="ae"/>
        <w:spacing w:before="0" w:beforeAutospacing="0" w:after="0" w:afterAutospacing="0"/>
        <w:jc w:val="both"/>
        <w:rPr>
          <w:bCs/>
          <w:color w:val="002060"/>
          <w:sz w:val="16"/>
          <w:szCs w:val="16"/>
        </w:rPr>
      </w:pPr>
      <w:r w:rsidRPr="00405303">
        <w:rPr>
          <w:bCs/>
          <w:color w:val="002060"/>
          <w:sz w:val="16"/>
          <w:szCs w:val="16"/>
        </w:rPr>
        <w:t xml:space="preserve">Летом 1915 г. император сузил полномочия Ольденбургского только разработкой противогазов, которые изготовлялись в подведомственных ему организациях. Одним из первых шагов принца Ольденбургского на этом поприще явилось его воззвание к женским организациям (институтам, гимназиям, благотворительным обществам и т. д.) с призывом начать массовое изготовление марлевых масок. Результат такого изготовления одного из важнейших предметов воинского снаряжения сказался, к несчастью, не сразу. Несмотря на </w:t>
      </w:r>
      <w:proofErr w:type="gramStart"/>
      <w:r w:rsidRPr="00405303">
        <w:rPr>
          <w:bCs/>
          <w:color w:val="002060"/>
          <w:sz w:val="16"/>
          <w:szCs w:val="16"/>
        </w:rPr>
        <w:t>то</w:t>
      </w:r>
      <w:proofErr w:type="gramEnd"/>
      <w:r w:rsidRPr="00405303">
        <w:rPr>
          <w:bCs/>
          <w:color w:val="002060"/>
          <w:sz w:val="16"/>
          <w:szCs w:val="16"/>
        </w:rPr>
        <w:t xml:space="preserve"> что таким путем удалось быстро снабдить все фронтовые части масками, действительная защита от газов была совершенно не обеспечена. Причинами этого явилось,</w:t>
      </w:r>
      <w:r w:rsidR="00DB4D64" w:rsidRPr="00405303">
        <w:rPr>
          <w:bCs/>
          <w:color w:val="002060"/>
          <w:sz w:val="16"/>
          <w:szCs w:val="16"/>
        </w:rPr>
        <w:t xml:space="preserve"> </w:t>
      </w:r>
      <w:r w:rsidRPr="00405303">
        <w:rPr>
          <w:rStyle w:val="af"/>
          <w:rFonts w:eastAsia="Segoe UI"/>
          <w:bCs/>
          <w:color w:val="002060"/>
          <w:sz w:val="16"/>
          <w:szCs w:val="16"/>
        </w:rPr>
        <w:t>во-первых</w:t>
      </w:r>
      <w:r w:rsidRPr="00405303">
        <w:rPr>
          <w:bCs/>
          <w:color w:val="002060"/>
          <w:sz w:val="16"/>
          <w:szCs w:val="16"/>
        </w:rPr>
        <w:t xml:space="preserve">, то, что ни одна из изготовляющих организаций не знала толком, что </w:t>
      </w:r>
      <w:proofErr w:type="gramStart"/>
      <w:r w:rsidRPr="00405303">
        <w:rPr>
          <w:bCs/>
          <w:color w:val="002060"/>
          <w:sz w:val="16"/>
          <w:szCs w:val="16"/>
        </w:rPr>
        <w:t>же собственно</w:t>
      </w:r>
      <w:proofErr w:type="gramEnd"/>
      <w:r w:rsidRPr="00405303">
        <w:rPr>
          <w:bCs/>
          <w:color w:val="002060"/>
          <w:sz w:val="16"/>
          <w:szCs w:val="16"/>
        </w:rPr>
        <w:t xml:space="preserve"> от нее требуется,</w:t>
      </w:r>
      <w:r w:rsidR="00DB4D64" w:rsidRPr="00405303">
        <w:rPr>
          <w:bCs/>
          <w:color w:val="002060"/>
          <w:sz w:val="16"/>
          <w:szCs w:val="16"/>
        </w:rPr>
        <w:t xml:space="preserve"> </w:t>
      </w:r>
      <w:r w:rsidRPr="00405303">
        <w:rPr>
          <w:rStyle w:val="af"/>
          <w:rFonts w:eastAsia="Segoe UI"/>
          <w:bCs/>
          <w:color w:val="002060"/>
          <w:sz w:val="16"/>
          <w:szCs w:val="16"/>
        </w:rPr>
        <w:t>во-вторых</w:t>
      </w:r>
      <w:r w:rsidRPr="00405303">
        <w:rPr>
          <w:bCs/>
          <w:color w:val="002060"/>
          <w:sz w:val="16"/>
          <w:szCs w:val="16"/>
        </w:rPr>
        <w:t>, и сами организации отнеслись к делу чрезвычайно легкомысленно, допустив ряд грубых ошибок в конструкции масок. В погоне за количеством изготовленных противогазовых повязок совершенно не обращалось внимания на их качество.</w:t>
      </w:r>
      <w:r w:rsidR="00DB4D64" w:rsidRPr="00405303">
        <w:rPr>
          <w:rStyle w:val="af"/>
          <w:rFonts w:eastAsia="Segoe UI"/>
          <w:bCs/>
          <w:color w:val="002060"/>
          <w:sz w:val="16"/>
          <w:szCs w:val="16"/>
        </w:rPr>
        <w:t xml:space="preserve"> </w:t>
      </w:r>
      <w:r w:rsidRPr="00405303">
        <w:rPr>
          <w:rStyle w:val="af"/>
          <w:rFonts w:eastAsia="Segoe UI"/>
          <w:bCs/>
          <w:color w:val="002060"/>
          <w:sz w:val="16"/>
          <w:szCs w:val="16"/>
        </w:rPr>
        <w:t>Повязки Красного Креста</w:t>
      </w:r>
      <w:r w:rsidRPr="00405303">
        <w:rPr>
          <w:bCs/>
          <w:color w:val="002060"/>
          <w:sz w:val="16"/>
          <w:szCs w:val="16"/>
        </w:rPr>
        <w:t>, поступившие на фронт, оказывались либо слишком малыми, либо слишком большими. Тесемки были плохо пришиты и быстро отрывались. Количество слоев марли, как правило, было весьма малым (пять или шесть) и совершенно недостаточным для эффективной защиты. В результате авторитет «защитных средств» оказался подорванным в армии с самого начала.</w:t>
      </w:r>
    </w:p>
    <w:p w14:paraId="34DAAC6B" w14:textId="334E6984" w:rsidR="00F01B26" w:rsidRPr="00405303" w:rsidRDefault="00F01B26" w:rsidP="00C15251">
      <w:pPr>
        <w:pStyle w:val="ae"/>
        <w:spacing w:before="0" w:beforeAutospacing="0" w:after="0" w:afterAutospacing="0"/>
        <w:jc w:val="both"/>
        <w:rPr>
          <w:bCs/>
          <w:color w:val="002060"/>
          <w:sz w:val="16"/>
          <w:szCs w:val="16"/>
        </w:rPr>
      </w:pPr>
      <w:r w:rsidRPr="00405303">
        <w:rPr>
          <w:bCs/>
          <w:color w:val="002060"/>
          <w:sz w:val="16"/>
          <w:szCs w:val="16"/>
        </w:rPr>
        <w:t>Так называемая «Повязка Красного Креста» стала первой используемой на русском фронте</w:t>
      </w:r>
      <w:r w:rsidR="00DB4D64" w:rsidRPr="00405303">
        <w:rPr>
          <w:bCs/>
          <w:color w:val="002060"/>
          <w:sz w:val="16"/>
          <w:szCs w:val="16"/>
        </w:rPr>
        <w:t xml:space="preserve"> </w:t>
      </w:r>
      <w:hyperlink r:id="rId44" w:history="1">
        <w:r w:rsidRPr="00405303">
          <w:rPr>
            <w:rStyle w:val="ad"/>
            <w:bCs/>
            <w:color w:val="002060"/>
            <w:sz w:val="16"/>
            <w:szCs w:val="16"/>
          </w:rPr>
          <w:t>противогазовой маской</w:t>
        </w:r>
      </w:hyperlink>
      <w:r w:rsidR="00DB4D64" w:rsidRPr="00405303">
        <w:rPr>
          <w:bCs/>
          <w:color w:val="002060"/>
          <w:sz w:val="16"/>
          <w:szCs w:val="16"/>
        </w:rPr>
        <w:t xml:space="preserve"> </w:t>
      </w:r>
      <w:r w:rsidRPr="00405303">
        <w:rPr>
          <w:bCs/>
          <w:color w:val="002060"/>
          <w:sz w:val="16"/>
          <w:szCs w:val="16"/>
        </w:rPr>
        <w:t>была. Неизвестно сейчас, какими данными пользовались организации Красного Креста, когда рекомендовали для изготовления шести- или десятислойные марлевые маски. Такие маски удерживали на себе слишком мало пропитки с антихлором (раствор гипосульфита натрия) и в лучшем случае, как позднее выяснилось, защищали в течение 2-3 мин. Фигуровский (1942) считал, что здесь имело место принятие на веру газетного сообщения о том, что два итальянских профессора из Болоньи предложили маску-рыльце (маска с вытянутой передней часть, куда помещали ткань со специальной противогазовой пропиткой) из 10 слоев марли. Эта маска, по сообщению газеты «Русский врач», будто бы защищала от хлора в течение часа. В начальный период ни одна организация не попыталась довести толщину маски до 20-30 слоев, чтобы сделать возможной защиту хотя бы в течение 10-20 мин.</w:t>
      </w:r>
    </w:p>
    <w:p w14:paraId="441563BB" w14:textId="77777777" w:rsidR="00F01B26" w:rsidRPr="00405303" w:rsidRDefault="00F01B26" w:rsidP="00C15251">
      <w:pPr>
        <w:pStyle w:val="ae"/>
        <w:spacing w:before="0" w:beforeAutospacing="0" w:after="0" w:afterAutospacing="0"/>
        <w:jc w:val="both"/>
        <w:rPr>
          <w:bCs/>
          <w:color w:val="002060"/>
          <w:sz w:val="16"/>
          <w:szCs w:val="16"/>
        </w:rPr>
      </w:pPr>
      <w:r w:rsidRPr="00405303">
        <w:rPr>
          <w:bCs/>
          <w:color w:val="002060"/>
          <w:sz w:val="16"/>
          <w:szCs w:val="16"/>
        </w:rPr>
        <w:t>Помимо вышеописанной маски-повязки Красного Креста в армии имелись другие образцы.</w:t>
      </w:r>
    </w:p>
    <w:p w14:paraId="039FD521" w14:textId="0F0D49D4" w:rsidR="00F01B26" w:rsidRPr="00405303" w:rsidRDefault="00F01B26" w:rsidP="00C15251">
      <w:pPr>
        <w:pStyle w:val="ae"/>
        <w:spacing w:before="0" w:beforeAutospacing="0" w:after="0" w:afterAutospacing="0"/>
        <w:jc w:val="both"/>
        <w:rPr>
          <w:bCs/>
          <w:color w:val="002060"/>
          <w:sz w:val="16"/>
          <w:szCs w:val="16"/>
        </w:rPr>
      </w:pPr>
      <w:r w:rsidRPr="00405303">
        <w:rPr>
          <w:bCs/>
          <w:color w:val="002060"/>
          <w:sz w:val="16"/>
          <w:szCs w:val="16"/>
        </w:rPr>
        <w:t>1.</w:t>
      </w:r>
      <w:r w:rsidR="00DB4D64" w:rsidRPr="00405303">
        <w:rPr>
          <w:bCs/>
          <w:color w:val="002060"/>
          <w:sz w:val="16"/>
          <w:szCs w:val="16"/>
        </w:rPr>
        <w:t xml:space="preserve"> </w:t>
      </w:r>
      <w:r w:rsidRPr="00405303">
        <w:rPr>
          <w:rStyle w:val="af"/>
          <w:rFonts w:eastAsia="Segoe UI"/>
          <w:bCs/>
          <w:color w:val="002060"/>
          <w:sz w:val="16"/>
          <w:szCs w:val="16"/>
        </w:rPr>
        <w:t>Повязка первого Петроградского образца</w:t>
      </w:r>
      <w:r w:rsidR="00DB4D64" w:rsidRPr="00405303">
        <w:rPr>
          <w:bCs/>
          <w:color w:val="002060"/>
          <w:sz w:val="16"/>
          <w:szCs w:val="16"/>
        </w:rPr>
        <w:t xml:space="preserve"> </w:t>
      </w:r>
      <w:r w:rsidRPr="00405303">
        <w:rPr>
          <w:bCs/>
          <w:color w:val="002060"/>
          <w:sz w:val="16"/>
          <w:szCs w:val="16"/>
        </w:rPr>
        <w:t>по форме аналогична повязке Красного Креста первого образца. Была сшита из пяти слоев марли, смачивалась раствором гипосульфита, соды и глицерина. Эта повязка оказалась недостаточной по своей защитной мощности и вскоре была заменена другими.</w:t>
      </w:r>
    </w:p>
    <w:p w14:paraId="25BFFE73" w14:textId="243C5072" w:rsidR="00F01B26" w:rsidRPr="00405303" w:rsidRDefault="00F01B26" w:rsidP="00C15251">
      <w:pPr>
        <w:pStyle w:val="ae"/>
        <w:spacing w:before="0" w:beforeAutospacing="0" w:after="0" w:afterAutospacing="0"/>
        <w:jc w:val="both"/>
        <w:rPr>
          <w:bCs/>
          <w:color w:val="002060"/>
          <w:sz w:val="16"/>
          <w:szCs w:val="16"/>
        </w:rPr>
      </w:pPr>
      <w:r w:rsidRPr="00405303">
        <w:rPr>
          <w:bCs/>
          <w:color w:val="002060"/>
          <w:sz w:val="16"/>
          <w:szCs w:val="16"/>
        </w:rPr>
        <w:t>2.</w:t>
      </w:r>
      <w:r w:rsidR="00DB4D64" w:rsidRPr="00405303">
        <w:rPr>
          <w:bCs/>
          <w:color w:val="002060"/>
          <w:sz w:val="16"/>
          <w:szCs w:val="16"/>
        </w:rPr>
        <w:t xml:space="preserve"> </w:t>
      </w:r>
      <w:r w:rsidRPr="00405303">
        <w:rPr>
          <w:rStyle w:val="af"/>
          <w:rFonts w:eastAsia="Segoe UI"/>
          <w:bCs/>
          <w:color w:val="002060"/>
          <w:sz w:val="16"/>
          <w:szCs w:val="16"/>
        </w:rPr>
        <w:t>Повязка второго Петроградского образца</w:t>
      </w:r>
      <w:r w:rsidR="00DB4D64" w:rsidRPr="00405303">
        <w:rPr>
          <w:bCs/>
          <w:color w:val="002060"/>
          <w:sz w:val="16"/>
          <w:szCs w:val="16"/>
        </w:rPr>
        <w:t xml:space="preserve"> </w:t>
      </w:r>
      <w:r w:rsidRPr="00405303">
        <w:rPr>
          <w:bCs/>
          <w:color w:val="002060"/>
          <w:sz w:val="16"/>
          <w:szCs w:val="16"/>
        </w:rPr>
        <w:t xml:space="preserve">(двойной противогаз) изготовлялась из марли, имела в ширину 11П 15 см. Средняя часть повязки имела толщину в 10 слоев марли. Пропитывалась раствором гипосульфита (вероятно, с недостаточной примесью соды). К повязке приложен влажный </w:t>
      </w:r>
      <w:proofErr w:type="gramStart"/>
      <w:r w:rsidRPr="00405303">
        <w:rPr>
          <w:bCs/>
          <w:color w:val="002060"/>
          <w:sz w:val="16"/>
          <w:szCs w:val="16"/>
        </w:rPr>
        <w:t>пяти-десятислойный</w:t>
      </w:r>
      <w:proofErr w:type="gramEnd"/>
      <w:r w:rsidRPr="00405303">
        <w:rPr>
          <w:bCs/>
          <w:color w:val="002060"/>
          <w:sz w:val="16"/>
          <w:szCs w:val="16"/>
        </w:rPr>
        <w:t xml:space="preserve"> марлевый компресс, окрашенный в желто-бурый цвет (гидрат окиси железа). При употреблении повязки компресс вкладывался между слоями марли. Маска была упакована в прорезиненную ткань. Вначале к повязке очки не прилагались.</w:t>
      </w:r>
    </w:p>
    <w:p w14:paraId="519142BD" w14:textId="0278DB5B" w:rsidR="00F01B26" w:rsidRPr="00405303" w:rsidRDefault="00F01B26" w:rsidP="00C15251">
      <w:pPr>
        <w:pStyle w:val="ae"/>
        <w:spacing w:before="0" w:beforeAutospacing="0" w:after="0" w:afterAutospacing="0"/>
        <w:jc w:val="both"/>
        <w:rPr>
          <w:bCs/>
          <w:color w:val="002060"/>
          <w:sz w:val="16"/>
          <w:szCs w:val="16"/>
        </w:rPr>
      </w:pPr>
      <w:r w:rsidRPr="00405303">
        <w:rPr>
          <w:bCs/>
          <w:color w:val="002060"/>
          <w:sz w:val="16"/>
          <w:szCs w:val="16"/>
        </w:rPr>
        <w:t>3.</w:t>
      </w:r>
      <w:r w:rsidR="00DB4D64" w:rsidRPr="00405303">
        <w:rPr>
          <w:bCs/>
          <w:color w:val="002060"/>
          <w:sz w:val="16"/>
          <w:szCs w:val="16"/>
        </w:rPr>
        <w:t xml:space="preserve"> </w:t>
      </w:r>
      <w:r w:rsidRPr="00405303">
        <w:rPr>
          <w:rStyle w:val="af"/>
          <w:rFonts w:eastAsia="Segoe UI"/>
          <w:bCs/>
          <w:color w:val="002060"/>
          <w:sz w:val="16"/>
          <w:szCs w:val="16"/>
        </w:rPr>
        <w:t>Повязка третьего Петроградского образца</w:t>
      </w:r>
      <w:r w:rsidR="00DB4D64" w:rsidRPr="00405303">
        <w:rPr>
          <w:bCs/>
          <w:color w:val="002060"/>
          <w:sz w:val="16"/>
          <w:szCs w:val="16"/>
        </w:rPr>
        <w:t xml:space="preserve"> </w:t>
      </w:r>
      <w:r w:rsidRPr="00405303">
        <w:rPr>
          <w:bCs/>
          <w:color w:val="002060"/>
          <w:sz w:val="16"/>
          <w:szCs w:val="16"/>
        </w:rPr>
        <w:t>конструкцией и упаковкой вполне аналогична предыдущей. Марлевый компресс ее имел голубовато-синюю окраску, зависящую от пропитывающего ее аммиачного раствора гидрата окиси меди. Повязка издавала запах аммиака.</w:t>
      </w:r>
    </w:p>
    <w:p w14:paraId="4CBA3902" w14:textId="69BEB206" w:rsidR="00F01B26" w:rsidRPr="00405303" w:rsidRDefault="00F01B26" w:rsidP="00C15251">
      <w:pPr>
        <w:pStyle w:val="ae"/>
        <w:spacing w:before="0" w:beforeAutospacing="0" w:after="0" w:afterAutospacing="0"/>
        <w:jc w:val="both"/>
        <w:rPr>
          <w:bCs/>
          <w:color w:val="002060"/>
          <w:sz w:val="16"/>
          <w:szCs w:val="16"/>
        </w:rPr>
      </w:pPr>
      <w:r w:rsidRPr="00405303">
        <w:rPr>
          <w:bCs/>
          <w:color w:val="002060"/>
          <w:sz w:val="16"/>
          <w:szCs w:val="16"/>
        </w:rPr>
        <w:t>4.</w:t>
      </w:r>
      <w:r w:rsidR="00DB4D64" w:rsidRPr="00405303">
        <w:rPr>
          <w:bCs/>
          <w:color w:val="002060"/>
          <w:sz w:val="16"/>
          <w:szCs w:val="16"/>
        </w:rPr>
        <w:t xml:space="preserve"> </w:t>
      </w:r>
      <w:r w:rsidRPr="00405303">
        <w:rPr>
          <w:rStyle w:val="af"/>
          <w:rFonts w:eastAsia="Segoe UI"/>
          <w:bCs/>
          <w:color w:val="002060"/>
          <w:sz w:val="16"/>
          <w:szCs w:val="16"/>
        </w:rPr>
        <w:t>Повязка образца, предложенного медицинской частью управления главноуполномоченного Российского общества Красного Креста</w:t>
      </w:r>
      <w:r w:rsidR="00DB4D64" w:rsidRPr="00405303">
        <w:rPr>
          <w:bCs/>
          <w:color w:val="002060"/>
          <w:sz w:val="16"/>
          <w:szCs w:val="16"/>
        </w:rPr>
        <w:t xml:space="preserve"> </w:t>
      </w:r>
      <w:r w:rsidRPr="00405303">
        <w:rPr>
          <w:bCs/>
          <w:color w:val="002060"/>
          <w:sz w:val="16"/>
          <w:szCs w:val="16"/>
        </w:rPr>
        <w:t>при армиях Северо-Западного фронта. Маска Красного Креста второго образца иначе называлась маской Красного Креста. Автором ее называют Аматуни. Изготовлялась из марли. Средняя часть повязки имела форму рыльца (несколько укороченного по сравнению с дальнейшими образцами). В повязке имелся карман, в который в виде компресса вкладывалась корпия (в некоторых образцах — мох). Толщина повязки 10 -20 слоев марли. Ширина средней части повязки 13 П 18 см, длина повязки 18 П 27 см. Маска упаковывалась в пакет из прорезиненной материи.</w:t>
      </w:r>
    </w:p>
    <w:p w14:paraId="1F29CE3B" w14:textId="1B6D486D" w:rsidR="00F01B26" w:rsidRPr="00405303" w:rsidRDefault="00F01B26" w:rsidP="00C15251">
      <w:pPr>
        <w:pStyle w:val="ae"/>
        <w:spacing w:before="0" w:beforeAutospacing="0" w:after="0" w:afterAutospacing="0"/>
        <w:jc w:val="both"/>
        <w:rPr>
          <w:bCs/>
          <w:color w:val="002060"/>
          <w:sz w:val="16"/>
          <w:szCs w:val="16"/>
        </w:rPr>
      </w:pPr>
      <w:r w:rsidRPr="00405303">
        <w:rPr>
          <w:bCs/>
          <w:color w:val="002060"/>
          <w:sz w:val="16"/>
          <w:szCs w:val="16"/>
        </w:rPr>
        <w:lastRenderedPageBreak/>
        <w:t>5.</w:t>
      </w:r>
      <w:r w:rsidR="00DB4D64" w:rsidRPr="00405303">
        <w:rPr>
          <w:bCs/>
          <w:color w:val="002060"/>
          <w:sz w:val="16"/>
          <w:szCs w:val="16"/>
        </w:rPr>
        <w:t xml:space="preserve"> </w:t>
      </w:r>
      <w:r w:rsidRPr="00405303">
        <w:rPr>
          <w:rStyle w:val="af"/>
          <w:rFonts w:eastAsia="Segoe UI"/>
          <w:bCs/>
          <w:color w:val="002060"/>
          <w:sz w:val="16"/>
          <w:szCs w:val="16"/>
        </w:rPr>
        <w:t>Маска минского образца</w:t>
      </w:r>
      <w:r w:rsidRPr="00405303">
        <w:rPr>
          <w:bCs/>
          <w:color w:val="002060"/>
          <w:sz w:val="16"/>
          <w:szCs w:val="16"/>
        </w:rPr>
        <w:t>. В официальном наставлении называлась также маска-башлык. Изготовлялась в мастерских Минского губернского комитета Всероссийского земского союза. Имела форму повязки шириной до 36 см и длиной около 50 см. Была сшита из материи защитного цвета, пропитанной резиной или же смесью парафина и резины с целью сделать ее непроницаемой для газов. В верхней части повязки имела прямоугольное отверстие со вшитой в него целлулоидной пластинкой, заменяющей очки. В средней части маски, приходящейся в надетом положении против рта, имелось девять круглых отверстий различной величины для поступления в маску внешнего воздуха. Внутрь маски вкладывался компресс из 20 слоев марли, пропитанный гипосульфитом. Маска упаковывалась в мешок защитного цвета. Получила лишь незначительное распространение на фронте, так как была выпущена сравнительно поздно.</w:t>
      </w:r>
    </w:p>
    <w:p w14:paraId="21D9725F" w14:textId="35C4CF7B" w:rsidR="00F01B26" w:rsidRPr="00405303" w:rsidRDefault="00F01B26" w:rsidP="00C15251">
      <w:pPr>
        <w:pStyle w:val="ae"/>
        <w:spacing w:before="0" w:beforeAutospacing="0" w:after="0" w:afterAutospacing="0"/>
        <w:jc w:val="both"/>
        <w:rPr>
          <w:bCs/>
          <w:color w:val="002060"/>
          <w:sz w:val="16"/>
          <w:szCs w:val="16"/>
        </w:rPr>
      </w:pPr>
      <w:r w:rsidRPr="00405303">
        <w:rPr>
          <w:bCs/>
          <w:color w:val="002060"/>
          <w:sz w:val="16"/>
          <w:szCs w:val="16"/>
        </w:rPr>
        <w:t>6.</w:t>
      </w:r>
      <w:r w:rsidR="00DB4D64" w:rsidRPr="00405303">
        <w:rPr>
          <w:bCs/>
          <w:color w:val="002060"/>
          <w:sz w:val="16"/>
          <w:szCs w:val="16"/>
        </w:rPr>
        <w:t xml:space="preserve"> </w:t>
      </w:r>
      <w:r w:rsidRPr="00405303">
        <w:rPr>
          <w:rStyle w:val="af"/>
          <w:rFonts w:eastAsia="Segoe UI"/>
          <w:bCs/>
          <w:color w:val="002060"/>
          <w:sz w:val="16"/>
          <w:szCs w:val="16"/>
        </w:rPr>
        <w:t>Противогаз мастерских Северного района (фронта).</w:t>
      </w:r>
      <w:r w:rsidR="00DB4D64" w:rsidRPr="00405303">
        <w:rPr>
          <w:bCs/>
          <w:color w:val="002060"/>
          <w:sz w:val="16"/>
          <w:szCs w:val="16"/>
        </w:rPr>
        <w:t xml:space="preserve"> </w:t>
      </w:r>
      <w:r w:rsidRPr="00405303">
        <w:rPr>
          <w:bCs/>
          <w:color w:val="002060"/>
          <w:sz w:val="16"/>
          <w:szCs w:val="16"/>
        </w:rPr>
        <w:t>Под этим именем на фронт поступали комплекты, состоящие из двух влажных повязок, типа выработанных медицинской частью уполномоченного Красного Креста Северо-Западного фронта (см. выше). К ней прилагались очки, изготовленные из целлулоидной пластинки или же из стекла. Края оправы очков обшиты марлевым валиком. Пара повязок и очки упакованы в клеенчатый мешочек.</w:t>
      </w:r>
    </w:p>
    <w:p w14:paraId="2E055E2F" w14:textId="0C545A36" w:rsidR="00F01B26" w:rsidRPr="00405303" w:rsidRDefault="00F01B26" w:rsidP="00C15251">
      <w:pPr>
        <w:pStyle w:val="ae"/>
        <w:spacing w:before="0" w:beforeAutospacing="0" w:after="0" w:afterAutospacing="0"/>
        <w:jc w:val="both"/>
        <w:rPr>
          <w:bCs/>
          <w:color w:val="002060"/>
          <w:sz w:val="16"/>
          <w:szCs w:val="16"/>
        </w:rPr>
      </w:pPr>
      <w:r w:rsidRPr="00405303">
        <w:rPr>
          <w:bCs/>
          <w:color w:val="002060"/>
          <w:sz w:val="16"/>
          <w:szCs w:val="16"/>
        </w:rPr>
        <w:t>7.</w:t>
      </w:r>
      <w:r w:rsidR="00DB4D64" w:rsidRPr="00405303">
        <w:rPr>
          <w:bCs/>
          <w:color w:val="002060"/>
          <w:sz w:val="16"/>
          <w:szCs w:val="16"/>
        </w:rPr>
        <w:t xml:space="preserve"> </w:t>
      </w:r>
      <w:r w:rsidRPr="00405303">
        <w:rPr>
          <w:rStyle w:val="af"/>
          <w:rFonts w:eastAsia="Segoe UI"/>
          <w:bCs/>
          <w:color w:val="002060"/>
          <w:sz w:val="16"/>
          <w:szCs w:val="16"/>
        </w:rPr>
        <w:t>Маска образца Московского комитета Всероссийского земского союза (ВЗС)</w:t>
      </w:r>
      <w:r w:rsidRPr="00405303">
        <w:rPr>
          <w:bCs/>
          <w:color w:val="002060"/>
          <w:sz w:val="16"/>
          <w:szCs w:val="16"/>
        </w:rPr>
        <w:t>. Была изготовлена из марли. Первые ее образцы состояли из 10 слоев марли, затем появились двадцатислойные маски этого образца. Маска имела форму чепца (маска-рыльце) с мягкой проволокой, вставленной на протяжении средней части верхнего края маски. С помощью этой проволоки верхний край надетой маски плотно прилаживался к лицу (маска обжималась около носа).</w:t>
      </w:r>
    </w:p>
    <w:p w14:paraId="1EFB0958" w14:textId="5D383BB9" w:rsidR="00F01B26" w:rsidRPr="00405303" w:rsidRDefault="00F01B26" w:rsidP="00C15251">
      <w:pPr>
        <w:pStyle w:val="ae"/>
        <w:spacing w:before="0" w:beforeAutospacing="0" w:after="0" w:afterAutospacing="0"/>
        <w:jc w:val="both"/>
        <w:rPr>
          <w:bCs/>
          <w:color w:val="002060"/>
          <w:sz w:val="16"/>
          <w:szCs w:val="16"/>
        </w:rPr>
      </w:pPr>
      <w:r w:rsidRPr="00405303">
        <w:rPr>
          <w:bCs/>
          <w:color w:val="002060"/>
          <w:sz w:val="16"/>
          <w:szCs w:val="16"/>
        </w:rPr>
        <w:t>8.</w:t>
      </w:r>
      <w:r w:rsidR="00DB4D64" w:rsidRPr="00405303">
        <w:rPr>
          <w:bCs/>
          <w:color w:val="002060"/>
          <w:sz w:val="16"/>
          <w:szCs w:val="16"/>
        </w:rPr>
        <w:t xml:space="preserve"> </w:t>
      </w:r>
      <w:r w:rsidRPr="00405303">
        <w:rPr>
          <w:rStyle w:val="af"/>
          <w:rFonts w:eastAsia="Segoe UI"/>
          <w:bCs/>
          <w:color w:val="002060"/>
          <w:sz w:val="16"/>
          <w:szCs w:val="16"/>
        </w:rPr>
        <w:t>Маска образца, предложенного комиссией генерала Павлова</w:t>
      </w:r>
      <w:r w:rsidR="00DB4D64" w:rsidRPr="00405303">
        <w:rPr>
          <w:bCs/>
          <w:color w:val="002060"/>
          <w:sz w:val="16"/>
          <w:szCs w:val="16"/>
        </w:rPr>
        <w:t xml:space="preserve"> </w:t>
      </w:r>
      <w:r w:rsidRPr="00405303">
        <w:rPr>
          <w:bCs/>
          <w:color w:val="002060"/>
          <w:sz w:val="16"/>
          <w:szCs w:val="16"/>
        </w:rPr>
        <w:t>и утвержденного командующим Северо-Западным фронтом, имела ту же форму, как и предыдущая. Она изготовлялась из фланелета, между слоями которого помещали нитяные концы, удерживаемые редкими стежками. В средней части верхнего края маски была вшита мягкая проволока. К этой проволоке приделана другая мягкая проволока, идущая в толще передней стенки маски вниз так, что обе проволоки расположены в форме буквы Т.</w:t>
      </w:r>
    </w:p>
    <w:p w14:paraId="1FA22766" w14:textId="3239919D" w:rsidR="00F01B26" w:rsidRPr="00405303" w:rsidRDefault="00F01B26" w:rsidP="00C15251">
      <w:pPr>
        <w:pStyle w:val="ae"/>
        <w:spacing w:before="0" w:beforeAutospacing="0" w:after="0" w:afterAutospacing="0"/>
        <w:jc w:val="both"/>
        <w:rPr>
          <w:bCs/>
          <w:color w:val="002060"/>
          <w:sz w:val="16"/>
          <w:szCs w:val="16"/>
        </w:rPr>
      </w:pPr>
      <w:r w:rsidRPr="00405303">
        <w:rPr>
          <w:bCs/>
          <w:color w:val="002060"/>
          <w:sz w:val="16"/>
          <w:szCs w:val="16"/>
        </w:rPr>
        <w:t>9.</w:t>
      </w:r>
      <w:r w:rsidR="00DB4D64" w:rsidRPr="00405303">
        <w:rPr>
          <w:bCs/>
          <w:color w:val="002060"/>
          <w:sz w:val="16"/>
          <w:szCs w:val="16"/>
        </w:rPr>
        <w:t xml:space="preserve"> </w:t>
      </w:r>
      <w:r w:rsidRPr="00405303">
        <w:rPr>
          <w:rStyle w:val="af"/>
          <w:rFonts w:eastAsia="Segoe UI"/>
          <w:bCs/>
          <w:color w:val="002060"/>
          <w:sz w:val="16"/>
          <w:szCs w:val="16"/>
        </w:rPr>
        <w:t>Противогаз Петроградского городского комитета Всероссийского союза городов (ВЗС).</w:t>
      </w:r>
      <w:r w:rsidR="00DB4D64" w:rsidRPr="00405303">
        <w:rPr>
          <w:bCs/>
          <w:color w:val="002060"/>
          <w:sz w:val="16"/>
          <w:szCs w:val="16"/>
        </w:rPr>
        <w:t xml:space="preserve"> </w:t>
      </w:r>
      <w:r w:rsidRPr="00405303">
        <w:rPr>
          <w:bCs/>
          <w:color w:val="002060"/>
          <w:sz w:val="16"/>
          <w:szCs w:val="16"/>
        </w:rPr>
        <w:t>Эта маска представляла собой уже описанную выше маску Московского комитета ВЗС и отличалась от нее только упаковкой. Маска влажная, обернута около бутылочки, содержащей противогазовый раствор. Две такие маски с бутылочками были вложены в резиновый мешок, вшитый в мешок из материи защитного цвета. В кармане крышки мешка находились очки, снабженные марлевым валиком (справой). Очки надевались поверх маски; перед употреблением их марлевый валик смачивался противогазовым раствором.</w:t>
      </w:r>
    </w:p>
    <w:p w14:paraId="2ACE30E6" w14:textId="4F79E722" w:rsidR="00F01B26" w:rsidRPr="00405303" w:rsidRDefault="00F01B26" w:rsidP="00C15251">
      <w:pPr>
        <w:pStyle w:val="ae"/>
        <w:spacing w:before="0" w:beforeAutospacing="0" w:after="0" w:afterAutospacing="0"/>
        <w:jc w:val="both"/>
        <w:rPr>
          <w:bCs/>
          <w:color w:val="002060"/>
          <w:sz w:val="16"/>
          <w:szCs w:val="16"/>
        </w:rPr>
      </w:pPr>
      <w:r w:rsidRPr="00405303">
        <w:rPr>
          <w:bCs/>
          <w:color w:val="002060"/>
          <w:sz w:val="16"/>
          <w:szCs w:val="16"/>
        </w:rPr>
        <w:t>10.</w:t>
      </w:r>
      <w:r w:rsidR="00DB4D64" w:rsidRPr="00405303">
        <w:rPr>
          <w:rStyle w:val="af"/>
          <w:rFonts w:eastAsia="Segoe UI"/>
          <w:bCs/>
          <w:color w:val="002060"/>
          <w:sz w:val="16"/>
          <w:szCs w:val="16"/>
        </w:rPr>
        <w:t xml:space="preserve"> </w:t>
      </w:r>
      <w:r w:rsidRPr="00405303">
        <w:rPr>
          <w:rStyle w:val="af"/>
          <w:rFonts w:eastAsia="Segoe UI"/>
          <w:bCs/>
          <w:color w:val="002060"/>
          <w:sz w:val="16"/>
          <w:szCs w:val="16"/>
        </w:rPr>
        <w:t>Маска Смоленского образца</w:t>
      </w:r>
      <w:r w:rsidR="00DB4D64" w:rsidRPr="00405303">
        <w:rPr>
          <w:bCs/>
          <w:color w:val="002060"/>
          <w:sz w:val="16"/>
          <w:szCs w:val="16"/>
        </w:rPr>
        <w:t xml:space="preserve"> </w:t>
      </w:r>
      <w:r w:rsidRPr="00405303">
        <w:rPr>
          <w:bCs/>
          <w:color w:val="002060"/>
          <w:sz w:val="16"/>
          <w:szCs w:val="16"/>
        </w:rPr>
        <w:t>по своей конструкции была аналогична маске Московского комитета ВЗС. Первоначальный образец маски не смачивался заранее раствором, а маска помещалась вместе с бутылочкой раствора в прорезиненной упаковке. Маски последующих образцов упаковывались по две в резиновый мешок с двумя бутылочками раствора. Маска состояла из 20 слоев марли (первоначальный образец — из 10 слоев).</w:t>
      </w:r>
    </w:p>
    <w:p w14:paraId="4336ADEA" w14:textId="77777777" w:rsidR="00F01B26" w:rsidRPr="00405303" w:rsidRDefault="00F01B26" w:rsidP="00C15251">
      <w:pPr>
        <w:pStyle w:val="ae"/>
        <w:spacing w:before="0" w:beforeAutospacing="0" w:after="0" w:afterAutospacing="0"/>
        <w:jc w:val="both"/>
        <w:rPr>
          <w:bCs/>
          <w:color w:val="002060"/>
          <w:sz w:val="16"/>
          <w:szCs w:val="16"/>
        </w:rPr>
      </w:pPr>
      <w:r w:rsidRPr="00405303">
        <w:rPr>
          <w:bCs/>
          <w:color w:val="002060"/>
          <w:sz w:val="16"/>
          <w:szCs w:val="16"/>
        </w:rPr>
        <w:t>Особенностью маски являлось устройство тесемок для прикрепления маски к лицу. С правой стороны имелись две тесемки, с левой — резиновое кольцо, что значительно облегчало правильное и сравнительно быстрое надевание маски.</w:t>
      </w:r>
    </w:p>
    <w:p w14:paraId="23BAB2FD" w14:textId="5A1F8E76" w:rsidR="00F01B26" w:rsidRPr="00405303" w:rsidRDefault="00F01B26" w:rsidP="00C15251">
      <w:pPr>
        <w:pStyle w:val="ae"/>
        <w:spacing w:before="0" w:beforeAutospacing="0" w:after="0" w:afterAutospacing="0"/>
        <w:jc w:val="both"/>
        <w:rPr>
          <w:bCs/>
          <w:color w:val="002060"/>
          <w:sz w:val="16"/>
          <w:szCs w:val="16"/>
        </w:rPr>
      </w:pPr>
      <w:r w:rsidRPr="00405303">
        <w:rPr>
          <w:bCs/>
          <w:color w:val="002060"/>
          <w:sz w:val="16"/>
          <w:szCs w:val="16"/>
        </w:rPr>
        <w:t>11.</w:t>
      </w:r>
      <w:r w:rsidR="00DB4D64" w:rsidRPr="00405303">
        <w:rPr>
          <w:bCs/>
          <w:color w:val="002060"/>
          <w:sz w:val="16"/>
          <w:szCs w:val="16"/>
        </w:rPr>
        <w:t xml:space="preserve"> </w:t>
      </w:r>
      <w:r w:rsidRPr="00405303">
        <w:rPr>
          <w:rStyle w:val="af"/>
          <w:rFonts w:eastAsia="Segoe UI"/>
          <w:bCs/>
          <w:color w:val="002060"/>
          <w:sz w:val="16"/>
          <w:szCs w:val="16"/>
        </w:rPr>
        <w:t>Маски утвержденного принцем Ольденбургским образца</w:t>
      </w:r>
      <w:r w:rsidRPr="00405303">
        <w:rPr>
          <w:bCs/>
          <w:color w:val="002060"/>
          <w:sz w:val="16"/>
          <w:szCs w:val="16"/>
        </w:rPr>
        <w:t>, впоследствии унифицированные, имели название образец 4, 4А и 4Б и представляли собой маску-рыльце с завязками, снабженными резиновым кольцом. Образец 4А отличался от образца 4 прилагаемым компрессом, пропитанным уротропином, а образец 4Б — компрессом с пропиткой для защиты от синильной кислоты.</w:t>
      </w:r>
    </w:p>
    <w:p w14:paraId="4C716A9A" w14:textId="3F1CD178" w:rsidR="00F01B26" w:rsidRPr="00405303" w:rsidRDefault="00F01B26" w:rsidP="00C15251">
      <w:pPr>
        <w:pStyle w:val="ae"/>
        <w:spacing w:before="0" w:beforeAutospacing="0" w:after="0" w:afterAutospacing="0"/>
        <w:jc w:val="both"/>
        <w:rPr>
          <w:bCs/>
          <w:color w:val="002060"/>
          <w:sz w:val="16"/>
          <w:szCs w:val="16"/>
        </w:rPr>
      </w:pPr>
      <w:r w:rsidRPr="00405303">
        <w:rPr>
          <w:bCs/>
          <w:color w:val="002060"/>
          <w:sz w:val="16"/>
          <w:szCs w:val="16"/>
        </w:rPr>
        <w:t>12.</w:t>
      </w:r>
      <w:r w:rsidR="00DB4D64" w:rsidRPr="00405303">
        <w:rPr>
          <w:bCs/>
          <w:color w:val="002060"/>
          <w:sz w:val="16"/>
          <w:szCs w:val="16"/>
        </w:rPr>
        <w:t xml:space="preserve"> </w:t>
      </w:r>
      <w:r w:rsidRPr="00405303">
        <w:rPr>
          <w:rStyle w:val="af0"/>
          <w:rFonts w:eastAsia="Microsoft Sans Serif"/>
          <w:b w:val="0"/>
          <w:color w:val="002060"/>
          <w:sz w:val="16"/>
          <w:szCs w:val="16"/>
        </w:rPr>
        <w:t>Маска Трындина</w:t>
      </w:r>
      <w:r w:rsidR="00DB4D64" w:rsidRPr="00405303">
        <w:rPr>
          <w:bCs/>
          <w:color w:val="002060"/>
          <w:sz w:val="16"/>
          <w:szCs w:val="16"/>
        </w:rPr>
        <w:t xml:space="preserve"> </w:t>
      </w:r>
      <w:r w:rsidRPr="00405303">
        <w:rPr>
          <w:bCs/>
          <w:color w:val="002060"/>
          <w:sz w:val="16"/>
          <w:szCs w:val="16"/>
        </w:rPr>
        <w:t>представляла собой полушлем из прорезиненной материи с отверстиями для глаз, закрытых стеклами. К маске прикреплялся металлический цилиндр (патрон), дно которого могло отниматься (винтовая нарезка) для обновления набивки патрона. По наружному краю маски имелся резиновый ободок для уплотнения линии непроницаемости. В цилиндрическую коробку вкладывалась марля, пропитанная соответствующим раствором, или же сухая масса различного состава и даже впоследствии — уголь. Маска прикреплялась к лицу с помощью тесемок. Маска Трындина появилась в магазинах в июне 1915 г. и первое время бойко покупалась для фронта, преимущественно офицерами. Однако испытания ее обнаружили ряд недостатков, из которых наиболее существенным являлась недостаточная плотность ткани, пропускавшей газ.</w:t>
      </w:r>
    </w:p>
    <w:p w14:paraId="361375DB" w14:textId="46F05E97" w:rsidR="00F01B26" w:rsidRPr="00405303" w:rsidRDefault="00F01B26" w:rsidP="00C15251">
      <w:pPr>
        <w:pStyle w:val="ae"/>
        <w:spacing w:before="0" w:beforeAutospacing="0" w:after="0" w:afterAutospacing="0"/>
        <w:jc w:val="both"/>
        <w:rPr>
          <w:bCs/>
          <w:color w:val="002060"/>
          <w:sz w:val="16"/>
          <w:szCs w:val="16"/>
        </w:rPr>
      </w:pPr>
      <w:r w:rsidRPr="00405303">
        <w:rPr>
          <w:bCs/>
          <w:color w:val="002060"/>
          <w:sz w:val="16"/>
          <w:szCs w:val="16"/>
        </w:rPr>
        <w:t>13.</w:t>
      </w:r>
      <w:r w:rsidR="00DB4D64" w:rsidRPr="00405303">
        <w:rPr>
          <w:bCs/>
          <w:color w:val="002060"/>
          <w:sz w:val="16"/>
          <w:szCs w:val="16"/>
        </w:rPr>
        <w:t xml:space="preserve"> </w:t>
      </w:r>
      <w:r w:rsidRPr="00405303">
        <w:rPr>
          <w:rStyle w:val="af"/>
          <w:rFonts w:eastAsia="Segoe UI"/>
          <w:bCs/>
          <w:color w:val="002060"/>
          <w:sz w:val="16"/>
          <w:szCs w:val="16"/>
        </w:rPr>
        <w:t>Маска Варшавского образца</w:t>
      </w:r>
      <w:r w:rsidR="00DB4D64" w:rsidRPr="00405303">
        <w:rPr>
          <w:bCs/>
          <w:color w:val="002060"/>
          <w:sz w:val="16"/>
          <w:szCs w:val="16"/>
        </w:rPr>
        <w:t xml:space="preserve"> </w:t>
      </w:r>
      <w:r w:rsidRPr="00405303">
        <w:rPr>
          <w:bCs/>
          <w:color w:val="002060"/>
          <w:sz w:val="16"/>
          <w:szCs w:val="16"/>
        </w:rPr>
        <w:t>была сшита из газонепроницаемой материи. Линия прилегания маски к лицу проходила через переносицу. К маске был герметически прикреплен небольшой патрон для помещения поглотительной массы, в качестве которой употреблялась марля, пропитанная противогазовым раствором. К маске прилагались очки. Маска работала явно неудовлетворительно и не получила большого распространения на фронте. Появилась она в марте 1916 г.</w:t>
      </w:r>
    </w:p>
    <w:p w14:paraId="239D1938" w14:textId="036F338D" w:rsidR="00F01B26" w:rsidRPr="00405303" w:rsidRDefault="00F01B26" w:rsidP="00C15251">
      <w:pPr>
        <w:pStyle w:val="ae"/>
        <w:spacing w:before="0" w:beforeAutospacing="0" w:after="0" w:afterAutospacing="0"/>
        <w:jc w:val="both"/>
        <w:rPr>
          <w:bCs/>
          <w:color w:val="002060"/>
          <w:sz w:val="16"/>
          <w:szCs w:val="16"/>
        </w:rPr>
      </w:pPr>
      <w:r w:rsidRPr="00405303">
        <w:rPr>
          <w:bCs/>
          <w:color w:val="002060"/>
          <w:sz w:val="16"/>
          <w:szCs w:val="16"/>
        </w:rPr>
        <w:t>14.</w:t>
      </w:r>
      <w:r w:rsidR="00DB4D64" w:rsidRPr="00405303">
        <w:rPr>
          <w:bCs/>
          <w:color w:val="002060"/>
          <w:sz w:val="16"/>
          <w:szCs w:val="16"/>
        </w:rPr>
        <w:t xml:space="preserve"> </w:t>
      </w:r>
      <w:r w:rsidRPr="00405303">
        <w:rPr>
          <w:rStyle w:val="af0"/>
          <w:rFonts w:eastAsia="Microsoft Sans Serif"/>
          <w:b w:val="0"/>
          <w:color w:val="002060"/>
          <w:sz w:val="16"/>
          <w:szCs w:val="16"/>
        </w:rPr>
        <w:t>Маска Киевского образц</w:t>
      </w:r>
      <w:r w:rsidRPr="00405303">
        <w:rPr>
          <w:bCs/>
          <w:color w:val="002060"/>
          <w:sz w:val="16"/>
          <w:szCs w:val="16"/>
        </w:rPr>
        <w:t>а. Известно два типа таких масок. Первый тип был близок к утвержденному образцу, отличаясь от последнего лишь более длинным «рыльцем» и соответственно большим количеством слоев марли (32 слоя). Второй тип представлял собой соединение маски рыльца с полушлемом из газонепроницаемой материи со стеклянными очками (20246).</w:t>
      </w:r>
    </w:p>
    <w:p w14:paraId="5CDD37D5" w14:textId="77777777" w:rsidR="00F01B26" w:rsidRPr="00405303" w:rsidRDefault="00F01B26" w:rsidP="00C15251">
      <w:pPr>
        <w:pStyle w:val="ae"/>
        <w:spacing w:before="0" w:beforeAutospacing="0" w:after="0" w:afterAutospacing="0"/>
        <w:jc w:val="both"/>
        <w:rPr>
          <w:bCs/>
          <w:color w:val="002060"/>
          <w:sz w:val="16"/>
          <w:szCs w:val="16"/>
        </w:rPr>
      </w:pPr>
    </w:p>
    <w:p w14:paraId="2DB3D2F4"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В течение лета 1915 г. на Охтинском заводе ВВ были восстанов</w:t>
      </w:r>
      <w:r w:rsidRPr="00405303">
        <w:rPr>
          <w:bCs/>
          <w:color w:val="002060"/>
          <w:sz w:val="16"/>
          <w:szCs w:val="16"/>
        </w:rPr>
        <w:softHyphen/>
        <w:t>лены тротиловые мастерские, разрушенные взрывом в апреле 1915 г., и возобновлены работы по производству взрывчатых веществ и сна</w:t>
      </w:r>
      <w:r w:rsidRPr="00405303">
        <w:rPr>
          <w:bCs/>
          <w:color w:val="002060"/>
          <w:sz w:val="16"/>
          <w:szCs w:val="16"/>
        </w:rPr>
        <w:softHyphen/>
        <w:t>ряжению боеприпасов. Так как толуола не было, изготовляли три-нитроксилол (ксилил).</w:t>
      </w:r>
    </w:p>
    <w:p w14:paraId="66B095AF"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В целях экономии взрывчатых веществ с началом войны снаряды стали наполнять суррогатами из смеси неперекристаллизованного тротила сначала с калиевой селитрой (около 30 %), а затем с селит</w:t>
      </w:r>
      <w:r w:rsidRPr="00405303">
        <w:rPr>
          <w:bCs/>
          <w:color w:val="002060"/>
          <w:sz w:val="16"/>
          <w:szCs w:val="16"/>
        </w:rPr>
        <w:softHyphen/>
        <w:t>рой аммонийной, так называемые амматолы 50/50 и 80/20 (соответ</w:t>
      </w:r>
      <w:r w:rsidRPr="00405303">
        <w:rPr>
          <w:bCs/>
          <w:color w:val="002060"/>
          <w:sz w:val="16"/>
          <w:szCs w:val="16"/>
        </w:rPr>
        <w:softHyphen/>
        <w:t>ственно 50 и 20 % тротила).</w:t>
      </w:r>
    </w:p>
    <w:p w14:paraId="1F6B3983"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За годы первой мировой войны Охтинский завод ВВ изготовил 22,5 тыс. пудов тротила и снарядил (в млн. шт.): снарядов калибра от 76 мм до 152 мм и более — 3,46; ручных гранат — около 6 и взры</w:t>
      </w:r>
      <w:r w:rsidRPr="00405303">
        <w:rPr>
          <w:bCs/>
          <w:color w:val="002060"/>
          <w:sz w:val="16"/>
          <w:szCs w:val="16"/>
        </w:rPr>
        <w:softHyphen/>
        <w:t>вателей различных марок — почти 8,5.</w:t>
      </w:r>
    </w:p>
    <w:p w14:paraId="6F8A0F62" w14:textId="77777777" w:rsidR="00F01B26" w:rsidRPr="00405303" w:rsidRDefault="00F01B26" w:rsidP="00C15251">
      <w:pPr>
        <w:jc w:val="both"/>
        <w:rPr>
          <w:bCs/>
          <w:color w:val="002060"/>
          <w:sz w:val="16"/>
          <w:szCs w:val="16"/>
        </w:rPr>
      </w:pPr>
      <w:r w:rsidRPr="00405303">
        <w:rPr>
          <w:bCs/>
          <w:color w:val="002060"/>
          <w:sz w:val="16"/>
          <w:szCs w:val="16"/>
        </w:rPr>
        <w:t>Однако, несмотря на все указанные выше меры и непрерывное наращивание выпуска тротила, возможности снаряжательных про</w:t>
      </w:r>
      <w:r w:rsidRPr="00405303">
        <w:rPr>
          <w:bCs/>
          <w:color w:val="002060"/>
          <w:sz w:val="16"/>
          <w:szCs w:val="16"/>
        </w:rPr>
        <w:softHyphen/>
        <w:t>изводств значительно опережали изготовление взрывчатых веществ.</w:t>
      </w:r>
    </w:p>
    <w:p w14:paraId="1E7D16AB"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Тротила все время не хватало. Проблема преодоления «тротилового голода» побуждала ГАУ обращаться к закупкам взрывчатых ве</w:t>
      </w:r>
      <w:r w:rsidRPr="00405303">
        <w:rPr>
          <w:bCs/>
          <w:color w:val="002060"/>
          <w:sz w:val="16"/>
          <w:szCs w:val="16"/>
        </w:rPr>
        <w:softHyphen/>
        <w:t>ществ за рубежом, а также к мобилизации гражданской химической промышленности России (5484).</w:t>
      </w:r>
    </w:p>
    <w:p w14:paraId="3FDB5F89" w14:textId="77777777" w:rsidR="00F01B26" w:rsidRPr="00405303" w:rsidRDefault="00F01B26" w:rsidP="00C15251">
      <w:pPr>
        <w:shd w:val="clear" w:color="auto" w:fill="FFFFFF"/>
        <w:jc w:val="both"/>
        <w:rPr>
          <w:bCs/>
          <w:color w:val="002060"/>
          <w:sz w:val="16"/>
          <w:szCs w:val="16"/>
        </w:rPr>
      </w:pPr>
    </w:p>
    <w:p w14:paraId="5DECD433"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 xml:space="preserve">Летом 1915 г. началось строительство Троицкого снаряжательного завода. </w:t>
      </w:r>
    </w:p>
    <w:p w14:paraId="619582AA"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Строительство Троиц</w:t>
      </w:r>
      <w:r w:rsidRPr="00405303">
        <w:rPr>
          <w:bCs/>
          <w:color w:val="002060"/>
          <w:sz w:val="16"/>
          <w:szCs w:val="16"/>
        </w:rPr>
        <w:softHyphen/>
        <w:t>кого завода было включено ы строительную программу ГАУ для снаряжения средств ближнего боя, а также освети</w:t>
      </w:r>
      <w:r w:rsidRPr="00405303">
        <w:rPr>
          <w:bCs/>
          <w:color w:val="002060"/>
          <w:sz w:val="16"/>
          <w:szCs w:val="16"/>
        </w:rPr>
        <w:softHyphen/>
        <w:t>тельных и сигнальных патронов и других пиротехнических средств.</w:t>
      </w:r>
    </w:p>
    <w:p w14:paraId="3FC2A14E"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Автором проекта завода, а затем председателем хозяйственно</w:t>
      </w:r>
      <w:proofErr w:type="gramStart"/>
      <w:r w:rsidRPr="00405303">
        <w:rPr>
          <w:bCs/>
          <w:color w:val="002060"/>
          <w:sz w:val="16"/>
          <w:szCs w:val="16"/>
        </w:rPr>
        <w:t>-.строительной</w:t>
      </w:r>
      <w:proofErr w:type="gramEnd"/>
      <w:r w:rsidRPr="00405303">
        <w:rPr>
          <w:bCs/>
          <w:color w:val="002060"/>
          <w:sz w:val="16"/>
          <w:szCs w:val="16"/>
        </w:rPr>
        <w:t xml:space="preserve"> комиссии и первым директором завода был военный инженер-технолог, известный конструктор боеприпасов, дистанци</w:t>
      </w:r>
      <w:r w:rsidRPr="00405303">
        <w:rPr>
          <w:bCs/>
          <w:color w:val="002060"/>
          <w:sz w:val="16"/>
          <w:szCs w:val="16"/>
        </w:rPr>
        <w:softHyphen/>
        <w:t>онных трубок и взрывателей В. И. Рдултовский. По проекту завод должен был ежемесячно снаряжать 1 250 тыс. ручных гранат, изго</w:t>
      </w:r>
      <w:r w:rsidRPr="00405303">
        <w:rPr>
          <w:bCs/>
          <w:color w:val="002060"/>
          <w:sz w:val="16"/>
          <w:szCs w:val="16"/>
        </w:rPr>
        <w:softHyphen/>
        <w:t>товлять 200 пудов гремучей ртути, а также 1 250 000 пар запалов для ручных гранат. В проекте предусмотрено было также производство трехлинейных капсюлей-воспламенителей, капсюлей-детонаторов, а также аммонала и осветительных средств.</w:t>
      </w:r>
    </w:p>
    <w:p w14:paraId="28B2F63E"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В марте 1916 г. здесь начался выпуск ручных гранат образца 1914 г. и германского образца, осветительных средств и аммонала. Филиал завода в г. Александрове выпускал винтовочные капсюли-воспламенители. В 1917г. строительство завода было приостановлено и затем возоб-ноапено через несколько лет [5, с. 135].</w:t>
      </w:r>
    </w:p>
    <w:p w14:paraId="749D783F"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В 1915—1916 гг. были построены и введены в эксплуатацию сна-ряжательные мастерские Тверская, Екатеринославская, Кронштадт</w:t>
      </w:r>
      <w:r w:rsidRPr="00405303">
        <w:rPr>
          <w:bCs/>
          <w:color w:val="002060"/>
          <w:sz w:val="16"/>
          <w:szCs w:val="16"/>
        </w:rPr>
        <w:softHyphen/>
        <w:t>ская и Свеаборгская, предназначенные для изготовления артилле</w:t>
      </w:r>
      <w:r w:rsidRPr="00405303">
        <w:rPr>
          <w:bCs/>
          <w:color w:val="002060"/>
          <w:sz w:val="16"/>
          <w:szCs w:val="16"/>
        </w:rPr>
        <w:softHyphen/>
        <w:t>рийских мин к минометам Лихонина и Дюмезиля, ручных гранат и снарядов к 9-см бомбометам.</w:t>
      </w:r>
    </w:p>
    <w:p w14:paraId="581AECEA"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Кроме того, для снаряжения зажигательных и химических сна</w:t>
      </w:r>
      <w:r w:rsidRPr="00405303">
        <w:rPr>
          <w:bCs/>
          <w:color w:val="002060"/>
          <w:sz w:val="16"/>
          <w:szCs w:val="16"/>
        </w:rPr>
        <w:softHyphen/>
        <w:t>рядов в Петрограде в 1916 г. были созданы соответствующие мастер</w:t>
      </w:r>
      <w:r w:rsidRPr="00405303">
        <w:rPr>
          <w:bCs/>
          <w:color w:val="002060"/>
          <w:sz w:val="16"/>
          <w:szCs w:val="16"/>
        </w:rPr>
        <w:softHyphen/>
        <w:t>ские [5, с. 135]. Все эти мастерские были ликвидированы в 1918 г.</w:t>
      </w:r>
    </w:p>
    <w:p w14:paraId="1BFFB9BB"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Значительная часть строек казенных заводов и мастерских по производству взрывчатых веществ и боеприпасов, которые осущест</w:t>
      </w:r>
      <w:r w:rsidRPr="00405303">
        <w:rPr>
          <w:bCs/>
          <w:color w:val="002060"/>
          <w:sz w:val="16"/>
          <w:szCs w:val="16"/>
        </w:rPr>
        <w:softHyphen/>
        <w:t>влялись в годы первой мировой войны, была запоздалой и до конца войны полностью не завершилась (5484).</w:t>
      </w:r>
    </w:p>
    <w:p w14:paraId="3C8503EA" w14:textId="77777777" w:rsidR="00F01B26" w:rsidRPr="00405303" w:rsidRDefault="00F01B26" w:rsidP="00C15251">
      <w:pPr>
        <w:shd w:val="clear" w:color="auto" w:fill="FFFFFF"/>
        <w:jc w:val="both"/>
        <w:rPr>
          <w:bCs/>
          <w:color w:val="002060"/>
          <w:sz w:val="16"/>
          <w:szCs w:val="16"/>
        </w:rPr>
      </w:pPr>
    </w:p>
    <w:p w14:paraId="55F3FEB3" w14:textId="77777777" w:rsidR="00F01B26" w:rsidRPr="00405303" w:rsidRDefault="00F01B26" w:rsidP="00C15251">
      <w:pPr>
        <w:jc w:val="both"/>
        <w:rPr>
          <w:bCs/>
          <w:color w:val="002060"/>
          <w:sz w:val="16"/>
          <w:szCs w:val="16"/>
        </w:rPr>
      </w:pPr>
      <w:r w:rsidRPr="00405303">
        <w:rPr>
          <w:bCs/>
          <w:color w:val="002060"/>
          <w:sz w:val="16"/>
          <w:szCs w:val="16"/>
        </w:rPr>
        <w:t xml:space="preserve">Летом 1915 года командир 29-го корпуса генерал Д. П. Зуев военному министру генералу А. А. Поливанову: </w:t>
      </w:r>
    </w:p>
    <w:p w14:paraId="0C7EF8F0" w14:textId="77777777" w:rsidR="00F01B26" w:rsidRPr="00405303" w:rsidRDefault="00F01B26" w:rsidP="00C15251">
      <w:pPr>
        <w:pStyle w:val="Blockquote"/>
        <w:spacing w:before="0" w:after="0"/>
        <w:ind w:left="0" w:right="0"/>
        <w:jc w:val="both"/>
        <w:rPr>
          <w:bCs/>
          <w:color w:val="002060"/>
          <w:sz w:val="16"/>
          <w:szCs w:val="16"/>
        </w:rPr>
      </w:pPr>
      <w:r w:rsidRPr="00405303">
        <w:rPr>
          <w:bCs/>
          <w:color w:val="002060"/>
          <w:sz w:val="16"/>
          <w:szCs w:val="16"/>
        </w:rPr>
        <w:t>«Немцы вспахивают поля сражений градом металла и ровняют с землёй всякие окопы и сооружения, заваливая часто их защитников с землёю. Они тратят металл, мы — человеческую жизнь. Они идут вперёд, окрылённые успехом и потому дерзают; мы, ценою тяжких потерь и пролитой крови, лишь отбиваемся и отходим».</w:t>
      </w:r>
    </w:p>
    <w:p w14:paraId="7E20D5D7" w14:textId="77777777" w:rsidR="00F01B26" w:rsidRPr="00405303" w:rsidRDefault="00F01B26" w:rsidP="00C15251">
      <w:pPr>
        <w:jc w:val="both"/>
        <w:rPr>
          <w:bCs/>
          <w:color w:val="002060"/>
          <w:sz w:val="16"/>
          <w:szCs w:val="16"/>
        </w:rPr>
      </w:pPr>
      <w:r w:rsidRPr="00405303">
        <w:rPr>
          <w:bCs/>
          <w:color w:val="002060"/>
          <w:sz w:val="16"/>
          <w:szCs w:val="16"/>
        </w:rPr>
        <w:lastRenderedPageBreak/>
        <w:t xml:space="preserve">Увы, подобная картина не выглядит удивительной, если сравнить количество вооружений, произведённых за время 1-й мировой войны странами-участницами: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2880"/>
        <w:gridCol w:w="1536"/>
        <w:gridCol w:w="1344"/>
        <w:gridCol w:w="1152"/>
        <w:gridCol w:w="1152"/>
      </w:tblGrid>
      <w:tr w:rsidR="00F01B26" w:rsidRPr="00405303" w14:paraId="57840120" w14:textId="77777777" w:rsidTr="006606CA">
        <w:tc>
          <w:tcPr>
            <w:tcW w:w="2880" w:type="dxa"/>
          </w:tcPr>
          <w:p w14:paraId="4CB8A452" w14:textId="77777777" w:rsidR="00F01B26" w:rsidRPr="00405303" w:rsidRDefault="00F01B26" w:rsidP="00C15251">
            <w:pPr>
              <w:jc w:val="both"/>
              <w:rPr>
                <w:bCs/>
                <w:color w:val="002060"/>
                <w:sz w:val="16"/>
                <w:szCs w:val="16"/>
              </w:rPr>
            </w:pPr>
            <w:r w:rsidRPr="00405303">
              <w:rPr>
                <w:bCs/>
                <w:color w:val="002060"/>
                <w:sz w:val="16"/>
                <w:szCs w:val="16"/>
              </w:rPr>
              <w:t>Боевые средства</w:t>
            </w:r>
          </w:p>
        </w:tc>
        <w:tc>
          <w:tcPr>
            <w:tcW w:w="1536" w:type="dxa"/>
          </w:tcPr>
          <w:p w14:paraId="6284CA82" w14:textId="77777777" w:rsidR="00F01B26" w:rsidRPr="00405303" w:rsidRDefault="00F01B26" w:rsidP="00C15251">
            <w:pPr>
              <w:jc w:val="both"/>
              <w:rPr>
                <w:bCs/>
                <w:color w:val="002060"/>
                <w:sz w:val="16"/>
                <w:szCs w:val="16"/>
              </w:rPr>
            </w:pPr>
            <w:r w:rsidRPr="00405303">
              <w:rPr>
                <w:bCs/>
                <w:color w:val="002060"/>
                <w:sz w:val="16"/>
                <w:szCs w:val="16"/>
              </w:rPr>
              <w:t>Германия</w:t>
            </w:r>
          </w:p>
        </w:tc>
        <w:tc>
          <w:tcPr>
            <w:tcW w:w="1344" w:type="dxa"/>
          </w:tcPr>
          <w:p w14:paraId="1B59CC93" w14:textId="77777777" w:rsidR="00F01B26" w:rsidRPr="00405303" w:rsidRDefault="00F01B26" w:rsidP="00C15251">
            <w:pPr>
              <w:jc w:val="both"/>
              <w:rPr>
                <w:bCs/>
                <w:color w:val="002060"/>
                <w:sz w:val="16"/>
                <w:szCs w:val="16"/>
              </w:rPr>
            </w:pPr>
            <w:r w:rsidRPr="00405303">
              <w:rPr>
                <w:bCs/>
                <w:color w:val="002060"/>
                <w:sz w:val="16"/>
                <w:szCs w:val="16"/>
              </w:rPr>
              <w:t>Франция</w:t>
            </w:r>
          </w:p>
        </w:tc>
        <w:tc>
          <w:tcPr>
            <w:tcW w:w="1152" w:type="dxa"/>
          </w:tcPr>
          <w:p w14:paraId="5F09D3BB" w14:textId="77777777" w:rsidR="00F01B26" w:rsidRPr="00405303" w:rsidRDefault="00F01B26" w:rsidP="00C15251">
            <w:pPr>
              <w:jc w:val="both"/>
              <w:rPr>
                <w:bCs/>
                <w:color w:val="002060"/>
                <w:sz w:val="16"/>
                <w:szCs w:val="16"/>
              </w:rPr>
            </w:pPr>
            <w:r w:rsidRPr="00405303">
              <w:rPr>
                <w:bCs/>
                <w:color w:val="002060"/>
                <w:sz w:val="16"/>
                <w:szCs w:val="16"/>
              </w:rPr>
              <w:t>Англия</w:t>
            </w:r>
          </w:p>
        </w:tc>
        <w:tc>
          <w:tcPr>
            <w:tcW w:w="1152" w:type="dxa"/>
          </w:tcPr>
          <w:p w14:paraId="170C8CD8" w14:textId="77777777" w:rsidR="00F01B26" w:rsidRPr="00405303" w:rsidRDefault="00F01B26" w:rsidP="00C15251">
            <w:pPr>
              <w:jc w:val="both"/>
              <w:rPr>
                <w:bCs/>
                <w:color w:val="002060"/>
                <w:sz w:val="16"/>
                <w:szCs w:val="16"/>
              </w:rPr>
            </w:pPr>
            <w:r w:rsidRPr="00405303">
              <w:rPr>
                <w:bCs/>
                <w:color w:val="002060"/>
                <w:sz w:val="16"/>
                <w:szCs w:val="16"/>
              </w:rPr>
              <w:t>Россия</w:t>
            </w:r>
          </w:p>
        </w:tc>
      </w:tr>
      <w:tr w:rsidR="00F01B26" w:rsidRPr="00405303" w14:paraId="6616C683" w14:textId="77777777" w:rsidTr="006606CA">
        <w:tc>
          <w:tcPr>
            <w:tcW w:w="2880" w:type="dxa"/>
          </w:tcPr>
          <w:p w14:paraId="7E2C0D7A" w14:textId="77777777" w:rsidR="00F01B26" w:rsidRPr="00405303" w:rsidRDefault="00F01B26" w:rsidP="00C15251">
            <w:pPr>
              <w:jc w:val="both"/>
              <w:rPr>
                <w:bCs/>
                <w:color w:val="002060"/>
                <w:sz w:val="16"/>
                <w:szCs w:val="16"/>
              </w:rPr>
            </w:pPr>
            <w:r w:rsidRPr="00405303">
              <w:rPr>
                <w:bCs/>
                <w:color w:val="002060"/>
                <w:sz w:val="16"/>
                <w:szCs w:val="16"/>
              </w:rPr>
              <w:t>Пулемёты, тыс.</w:t>
            </w:r>
          </w:p>
        </w:tc>
        <w:tc>
          <w:tcPr>
            <w:tcW w:w="1536" w:type="dxa"/>
          </w:tcPr>
          <w:p w14:paraId="7B0DEDE3" w14:textId="77777777" w:rsidR="00F01B26" w:rsidRPr="00405303" w:rsidRDefault="00F01B26" w:rsidP="00C15251">
            <w:pPr>
              <w:jc w:val="both"/>
              <w:rPr>
                <w:bCs/>
                <w:color w:val="002060"/>
                <w:sz w:val="16"/>
                <w:szCs w:val="16"/>
              </w:rPr>
            </w:pPr>
            <w:r w:rsidRPr="00405303">
              <w:rPr>
                <w:bCs/>
                <w:color w:val="002060"/>
                <w:sz w:val="16"/>
                <w:szCs w:val="16"/>
              </w:rPr>
              <w:t>280,0</w:t>
            </w:r>
          </w:p>
        </w:tc>
        <w:tc>
          <w:tcPr>
            <w:tcW w:w="1344" w:type="dxa"/>
          </w:tcPr>
          <w:p w14:paraId="606C254F" w14:textId="77777777" w:rsidR="00F01B26" w:rsidRPr="00405303" w:rsidRDefault="00F01B26" w:rsidP="00C15251">
            <w:pPr>
              <w:jc w:val="both"/>
              <w:rPr>
                <w:bCs/>
                <w:color w:val="002060"/>
                <w:sz w:val="16"/>
                <w:szCs w:val="16"/>
              </w:rPr>
            </w:pPr>
            <w:r w:rsidRPr="00405303">
              <w:rPr>
                <w:bCs/>
                <w:color w:val="002060"/>
                <w:sz w:val="16"/>
                <w:szCs w:val="16"/>
              </w:rPr>
              <w:t>312,0</w:t>
            </w:r>
          </w:p>
        </w:tc>
        <w:tc>
          <w:tcPr>
            <w:tcW w:w="1152" w:type="dxa"/>
          </w:tcPr>
          <w:p w14:paraId="2FE02DAE" w14:textId="77777777" w:rsidR="00F01B26" w:rsidRPr="00405303" w:rsidRDefault="00F01B26" w:rsidP="00C15251">
            <w:pPr>
              <w:jc w:val="both"/>
              <w:rPr>
                <w:bCs/>
                <w:color w:val="002060"/>
                <w:sz w:val="16"/>
                <w:szCs w:val="16"/>
              </w:rPr>
            </w:pPr>
            <w:r w:rsidRPr="00405303">
              <w:rPr>
                <w:bCs/>
                <w:color w:val="002060"/>
                <w:sz w:val="16"/>
                <w:szCs w:val="16"/>
              </w:rPr>
              <w:t>239,0</w:t>
            </w:r>
          </w:p>
        </w:tc>
        <w:tc>
          <w:tcPr>
            <w:tcW w:w="1152" w:type="dxa"/>
          </w:tcPr>
          <w:p w14:paraId="464527DB" w14:textId="77777777" w:rsidR="00F01B26" w:rsidRPr="00405303" w:rsidRDefault="00F01B26" w:rsidP="00C15251">
            <w:pPr>
              <w:jc w:val="both"/>
              <w:rPr>
                <w:bCs/>
                <w:color w:val="002060"/>
                <w:sz w:val="16"/>
                <w:szCs w:val="16"/>
              </w:rPr>
            </w:pPr>
            <w:r w:rsidRPr="00405303">
              <w:rPr>
                <w:bCs/>
                <w:color w:val="002060"/>
                <w:sz w:val="16"/>
                <w:szCs w:val="16"/>
              </w:rPr>
              <w:t>28,0</w:t>
            </w:r>
          </w:p>
        </w:tc>
      </w:tr>
      <w:tr w:rsidR="00F01B26" w:rsidRPr="00405303" w14:paraId="70129754" w14:textId="77777777" w:rsidTr="006606CA">
        <w:tc>
          <w:tcPr>
            <w:tcW w:w="2880" w:type="dxa"/>
          </w:tcPr>
          <w:p w14:paraId="12CA7426" w14:textId="77777777" w:rsidR="00F01B26" w:rsidRPr="00405303" w:rsidRDefault="00F01B26" w:rsidP="00C15251">
            <w:pPr>
              <w:jc w:val="both"/>
              <w:rPr>
                <w:bCs/>
                <w:color w:val="002060"/>
                <w:sz w:val="16"/>
                <w:szCs w:val="16"/>
              </w:rPr>
            </w:pPr>
            <w:r w:rsidRPr="00405303">
              <w:rPr>
                <w:bCs/>
                <w:color w:val="002060"/>
                <w:sz w:val="16"/>
                <w:szCs w:val="16"/>
              </w:rPr>
              <w:t>Орудия, тыс.</w:t>
            </w:r>
          </w:p>
        </w:tc>
        <w:tc>
          <w:tcPr>
            <w:tcW w:w="1536" w:type="dxa"/>
          </w:tcPr>
          <w:p w14:paraId="7BD68023" w14:textId="77777777" w:rsidR="00F01B26" w:rsidRPr="00405303" w:rsidRDefault="00F01B26" w:rsidP="00C15251">
            <w:pPr>
              <w:jc w:val="both"/>
              <w:rPr>
                <w:bCs/>
                <w:color w:val="002060"/>
                <w:sz w:val="16"/>
                <w:szCs w:val="16"/>
              </w:rPr>
            </w:pPr>
            <w:r w:rsidRPr="00405303">
              <w:rPr>
                <w:bCs/>
                <w:color w:val="002060"/>
                <w:sz w:val="16"/>
                <w:szCs w:val="16"/>
              </w:rPr>
              <w:t>64,0</w:t>
            </w:r>
          </w:p>
        </w:tc>
        <w:tc>
          <w:tcPr>
            <w:tcW w:w="1344" w:type="dxa"/>
          </w:tcPr>
          <w:p w14:paraId="6EFEB09A" w14:textId="77777777" w:rsidR="00F01B26" w:rsidRPr="00405303" w:rsidRDefault="00F01B26" w:rsidP="00C15251">
            <w:pPr>
              <w:jc w:val="both"/>
              <w:rPr>
                <w:bCs/>
                <w:color w:val="002060"/>
                <w:sz w:val="16"/>
                <w:szCs w:val="16"/>
              </w:rPr>
            </w:pPr>
            <w:r w:rsidRPr="00405303">
              <w:rPr>
                <w:bCs/>
                <w:color w:val="002060"/>
                <w:sz w:val="16"/>
                <w:szCs w:val="16"/>
              </w:rPr>
              <w:t>23,2</w:t>
            </w:r>
          </w:p>
        </w:tc>
        <w:tc>
          <w:tcPr>
            <w:tcW w:w="1152" w:type="dxa"/>
          </w:tcPr>
          <w:p w14:paraId="3BCA07BF" w14:textId="77777777" w:rsidR="00F01B26" w:rsidRPr="00405303" w:rsidRDefault="00F01B26" w:rsidP="00C15251">
            <w:pPr>
              <w:jc w:val="both"/>
              <w:rPr>
                <w:bCs/>
                <w:color w:val="002060"/>
                <w:sz w:val="16"/>
                <w:szCs w:val="16"/>
              </w:rPr>
            </w:pPr>
            <w:r w:rsidRPr="00405303">
              <w:rPr>
                <w:bCs/>
                <w:color w:val="002060"/>
                <w:sz w:val="16"/>
                <w:szCs w:val="16"/>
              </w:rPr>
              <w:t>26,4</w:t>
            </w:r>
          </w:p>
        </w:tc>
        <w:tc>
          <w:tcPr>
            <w:tcW w:w="1152" w:type="dxa"/>
          </w:tcPr>
          <w:p w14:paraId="5097F158" w14:textId="77777777" w:rsidR="00F01B26" w:rsidRPr="00405303" w:rsidRDefault="00F01B26" w:rsidP="00C15251">
            <w:pPr>
              <w:jc w:val="both"/>
              <w:rPr>
                <w:bCs/>
                <w:color w:val="002060"/>
                <w:sz w:val="16"/>
                <w:szCs w:val="16"/>
              </w:rPr>
            </w:pPr>
            <w:r w:rsidRPr="00405303">
              <w:rPr>
                <w:bCs/>
                <w:color w:val="002060"/>
                <w:sz w:val="16"/>
                <w:szCs w:val="16"/>
              </w:rPr>
              <w:t>11,7</w:t>
            </w:r>
          </w:p>
        </w:tc>
      </w:tr>
      <w:tr w:rsidR="00F01B26" w:rsidRPr="00405303" w14:paraId="69E90AE9" w14:textId="77777777" w:rsidTr="006606CA">
        <w:tc>
          <w:tcPr>
            <w:tcW w:w="2880" w:type="dxa"/>
          </w:tcPr>
          <w:p w14:paraId="144473F8" w14:textId="77777777" w:rsidR="00F01B26" w:rsidRPr="00405303" w:rsidRDefault="00F01B26" w:rsidP="00C15251">
            <w:pPr>
              <w:jc w:val="both"/>
              <w:rPr>
                <w:bCs/>
                <w:color w:val="002060"/>
                <w:sz w:val="16"/>
                <w:szCs w:val="16"/>
              </w:rPr>
            </w:pPr>
            <w:r w:rsidRPr="00405303">
              <w:rPr>
                <w:bCs/>
                <w:color w:val="002060"/>
                <w:sz w:val="16"/>
                <w:szCs w:val="16"/>
              </w:rPr>
              <w:t>Снаряды, млн</w:t>
            </w:r>
          </w:p>
        </w:tc>
        <w:tc>
          <w:tcPr>
            <w:tcW w:w="1536" w:type="dxa"/>
          </w:tcPr>
          <w:p w14:paraId="2121ADB7" w14:textId="77777777" w:rsidR="00F01B26" w:rsidRPr="00405303" w:rsidRDefault="00F01B26" w:rsidP="00C15251">
            <w:pPr>
              <w:jc w:val="both"/>
              <w:rPr>
                <w:bCs/>
                <w:color w:val="002060"/>
                <w:sz w:val="16"/>
                <w:szCs w:val="16"/>
              </w:rPr>
            </w:pPr>
            <w:r w:rsidRPr="00405303">
              <w:rPr>
                <w:bCs/>
                <w:color w:val="002060"/>
                <w:sz w:val="16"/>
                <w:szCs w:val="16"/>
              </w:rPr>
              <w:t>306,0</w:t>
            </w:r>
          </w:p>
        </w:tc>
        <w:tc>
          <w:tcPr>
            <w:tcW w:w="1344" w:type="dxa"/>
          </w:tcPr>
          <w:p w14:paraId="2411F6EF" w14:textId="77777777" w:rsidR="00F01B26" w:rsidRPr="00405303" w:rsidRDefault="00F01B26" w:rsidP="00C15251">
            <w:pPr>
              <w:jc w:val="both"/>
              <w:rPr>
                <w:bCs/>
                <w:color w:val="002060"/>
                <w:sz w:val="16"/>
                <w:szCs w:val="16"/>
              </w:rPr>
            </w:pPr>
            <w:r w:rsidRPr="00405303">
              <w:rPr>
                <w:bCs/>
                <w:color w:val="002060"/>
                <w:sz w:val="16"/>
                <w:szCs w:val="16"/>
              </w:rPr>
              <w:t>290,0</w:t>
            </w:r>
          </w:p>
        </w:tc>
        <w:tc>
          <w:tcPr>
            <w:tcW w:w="1152" w:type="dxa"/>
          </w:tcPr>
          <w:p w14:paraId="603B042A" w14:textId="77777777" w:rsidR="00F01B26" w:rsidRPr="00405303" w:rsidRDefault="00F01B26" w:rsidP="00C15251">
            <w:pPr>
              <w:jc w:val="both"/>
              <w:rPr>
                <w:bCs/>
                <w:color w:val="002060"/>
                <w:sz w:val="16"/>
                <w:szCs w:val="16"/>
              </w:rPr>
            </w:pPr>
            <w:r w:rsidRPr="00405303">
              <w:rPr>
                <w:bCs/>
                <w:color w:val="002060"/>
                <w:sz w:val="16"/>
                <w:szCs w:val="16"/>
              </w:rPr>
              <w:t>218,0</w:t>
            </w:r>
          </w:p>
        </w:tc>
        <w:tc>
          <w:tcPr>
            <w:tcW w:w="1152" w:type="dxa"/>
          </w:tcPr>
          <w:p w14:paraId="531BBB30" w14:textId="77777777" w:rsidR="00F01B26" w:rsidRPr="00405303" w:rsidRDefault="00F01B26" w:rsidP="00C15251">
            <w:pPr>
              <w:jc w:val="both"/>
              <w:rPr>
                <w:bCs/>
                <w:color w:val="002060"/>
                <w:sz w:val="16"/>
                <w:szCs w:val="16"/>
              </w:rPr>
            </w:pPr>
            <w:r w:rsidRPr="00405303">
              <w:rPr>
                <w:bCs/>
                <w:color w:val="002060"/>
                <w:sz w:val="16"/>
                <w:szCs w:val="16"/>
              </w:rPr>
              <w:t>67,0</w:t>
            </w:r>
          </w:p>
        </w:tc>
      </w:tr>
      <w:tr w:rsidR="00F01B26" w:rsidRPr="00405303" w14:paraId="25CECB78" w14:textId="77777777" w:rsidTr="006606CA">
        <w:tc>
          <w:tcPr>
            <w:tcW w:w="2880" w:type="dxa"/>
          </w:tcPr>
          <w:p w14:paraId="2C546AC2" w14:textId="77777777" w:rsidR="00F01B26" w:rsidRPr="00405303" w:rsidRDefault="00F01B26" w:rsidP="00C15251">
            <w:pPr>
              <w:jc w:val="both"/>
              <w:rPr>
                <w:bCs/>
                <w:color w:val="002060"/>
                <w:sz w:val="16"/>
                <w:szCs w:val="16"/>
              </w:rPr>
            </w:pPr>
            <w:r w:rsidRPr="00405303">
              <w:rPr>
                <w:bCs/>
                <w:color w:val="002060"/>
                <w:sz w:val="16"/>
                <w:szCs w:val="16"/>
              </w:rPr>
              <w:t>Самолёты, тыс.</w:t>
            </w:r>
          </w:p>
        </w:tc>
        <w:tc>
          <w:tcPr>
            <w:tcW w:w="1536" w:type="dxa"/>
          </w:tcPr>
          <w:p w14:paraId="3D904D59" w14:textId="77777777" w:rsidR="00F01B26" w:rsidRPr="00405303" w:rsidRDefault="00F01B26" w:rsidP="00C15251">
            <w:pPr>
              <w:jc w:val="both"/>
              <w:rPr>
                <w:bCs/>
                <w:color w:val="002060"/>
                <w:sz w:val="16"/>
                <w:szCs w:val="16"/>
              </w:rPr>
            </w:pPr>
            <w:r w:rsidRPr="00405303">
              <w:rPr>
                <w:bCs/>
                <w:color w:val="002060"/>
                <w:sz w:val="16"/>
                <w:szCs w:val="16"/>
              </w:rPr>
              <w:t>47,3</w:t>
            </w:r>
          </w:p>
        </w:tc>
        <w:tc>
          <w:tcPr>
            <w:tcW w:w="1344" w:type="dxa"/>
          </w:tcPr>
          <w:p w14:paraId="63F42400" w14:textId="77777777" w:rsidR="00F01B26" w:rsidRPr="00405303" w:rsidRDefault="00F01B26" w:rsidP="00C15251">
            <w:pPr>
              <w:jc w:val="both"/>
              <w:rPr>
                <w:bCs/>
                <w:color w:val="002060"/>
                <w:sz w:val="16"/>
                <w:szCs w:val="16"/>
              </w:rPr>
            </w:pPr>
            <w:r w:rsidRPr="00405303">
              <w:rPr>
                <w:bCs/>
                <w:color w:val="002060"/>
                <w:sz w:val="16"/>
                <w:szCs w:val="16"/>
              </w:rPr>
              <w:t>52,1</w:t>
            </w:r>
          </w:p>
        </w:tc>
        <w:tc>
          <w:tcPr>
            <w:tcW w:w="1152" w:type="dxa"/>
          </w:tcPr>
          <w:p w14:paraId="2815F795" w14:textId="77777777" w:rsidR="00F01B26" w:rsidRPr="00405303" w:rsidRDefault="00F01B26" w:rsidP="00C15251">
            <w:pPr>
              <w:jc w:val="both"/>
              <w:rPr>
                <w:bCs/>
                <w:color w:val="002060"/>
                <w:sz w:val="16"/>
                <w:szCs w:val="16"/>
              </w:rPr>
            </w:pPr>
            <w:r w:rsidRPr="00405303">
              <w:rPr>
                <w:bCs/>
                <w:color w:val="002060"/>
                <w:sz w:val="16"/>
                <w:szCs w:val="16"/>
              </w:rPr>
              <w:t>47,8</w:t>
            </w:r>
          </w:p>
        </w:tc>
        <w:tc>
          <w:tcPr>
            <w:tcW w:w="1152" w:type="dxa"/>
          </w:tcPr>
          <w:p w14:paraId="6DC7D1F6" w14:textId="77777777" w:rsidR="00F01B26" w:rsidRPr="00405303" w:rsidRDefault="00F01B26" w:rsidP="00C15251">
            <w:pPr>
              <w:jc w:val="both"/>
              <w:rPr>
                <w:bCs/>
                <w:color w:val="002060"/>
                <w:sz w:val="16"/>
                <w:szCs w:val="16"/>
              </w:rPr>
            </w:pPr>
            <w:r w:rsidRPr="00405303">
              <w:rPr>
                <w:bCs/>
                <w:color w:val="002060"/>
                <w:sz w:val="16"/>
                <w:szCs w:val="16"/>
              </w:rPr>
              <w:t>3,5 (11208)</w:t>
            </w:r>
          </w:p>
        </w:tc>
      </w:tr>
    </w:tbl>
    <w:p w14:paraId="0960933D" w14:textId="77777777" w:rsidR="00F01B26" w:rsidRPr="00405303" w:rsidRDefault="00F01B26" w:rsidP="00C15251">
      <w:pPr>
        <w:jc w:val="both"/>
        <w:rPr>
          <w:bCs/>
          <w:color w:val="002060"/>
          <w:sz w:val="16"/>
          <w:szCs w:val="16"/>
        </w:rPr>
      </w:pPr>
    </w:p>
    <w:p w14:paraId="58FD3A10" w14:textId="77777777" w:rsidR="00F01B26" w:rsidRPr="00405303" w:rsidRDefault="00F01B26" w:rsidP="00C15251">
      <w:pPr>
        <w:jc w:val="both"/>
        <w:rPr>
          <w:bCs/>
          <w:color w:val="002060"/>
          <w:sz w:val="16"/>
          <w:szCs w:val="16"/>
        </w:rPr>
      </w:pPr>
      <w:r w:rsidRPr="00405303">
        <w:rPr>
          <w:bCs/>
          <w:color w:val="002060"/>
          <w:sz w:val="16"/>
          <w:szCs w:val="16"/>
        </w:rPr>
        <w:t xml:space="preserve">Летом 1915 г. О форсированным путем началось освоение выпуска ОВ в России. Первым делом на двух заводах в Донбассе было уже к сентябрю налажено производство хлора, и его выпуск к осени 1916 г. составлял 600 пудов в сутки, что покрывало заявки фронта. </w:t>
      </w:r>
    </w:p>
    <w:p w14:paraId="05A96CC8" w14:textId="77777777" w:rsidR="00F01B26" w:rsidRPr="00405303" w:rsidRDefault="00F01B26" w:rsidP="00C15251">
      <w:pPr>
        <w:jc w:val="both"/>
        <w:rPr>
          <w:bCs/>
          <w:color w:val="002060"/>
          <w:sz w:val="16"/>
          <w:szCs w:val="16"/>
        </w:rPr>
      </w:pPr>
      <w:r w:rsidRPr="00405303">
        <w:rPr>
          <w:bCs/>
          <w:color w:val="002060"/>
          <w:sz w:val="16"/>
          <w:szCs w:val="16"/>
        </w:rPr>
        <w:t>Речь идет о заводе Любимова-Сольвэ и Ко в Лисичанске и заводе Южно-Русского О-ва по выделке и продаже соды в Славянске, «…производившие жидкий хлор электролитическим способом, считавшиеся наиболее совершенными в техническом отношении и поставившие до 70% общего количества удушающих средств (в круглых цифрах до 270.000 пудов)….»</w:t>
      </w:r>
    </w:p>
    <w:p w14:paraId="4FBED686" w14:textId="77777777" w:rsidR="00F01B26" w:rsidRPr="00405303" w:rsidRDefault="00F01B26" w:rsidP="00C15251">
      <w:pPr>
        <w:jc w:val="both"/>
        <w:rPr>
          <w:bCs/>
          <w:color w:val="002060"/>
          <w:sz w:val="16"/>
          <w:szCs w:val="16"/>
        </w:rPr>
      </w:pPr>
      <w:r w:rsidRPr="00405303">
        <w:rPr>
          <w:bCs/>
          <w:color w:val="002060"/>
          <w:sz w:val="16"/>
          <w:szCs w:val="16"/>
        </w:rPr>
        <w:t>Кроме этих, основных заводов, хлор также производился на заводах (в скобках указана суточная производительность в пудах):</w:t>
      </w:r>
    </w:p>
    <w:p w14:paraId="6738B06A" w14:textId="77777777" w:rsidR="00F01B26" w:rsidRPr="00405303" w:rsidRDefault="00F01B26" w:rsidP="00C15251">
      <w:pPr>
        <w:jc w:val="both"/>
        <w:rPr>
          <w:bCs/>
          <w:color w:val="002060"/>
          <w:sz w:val="16"/>
          <w:szCs w:val="16"/>
        </w:rPr>
      </w:pPr>
      <w:r w:rsidRPr="00405303">
        <w:rPr>
          <w:bCs/>
          <w:color w:val="002060"/>
          <w:sz w:val="16"/>
          <w:szCs w:val="16"/>
        </w:rPr>
        <w:t xml:space="preserve">Земства в Симбирске (40), </w:t>
      </w:r>
    </w:p>
    <w:p w14:paraId="04D4B544" w14:textId="77777777" w:rsidR="00F01B26" w:rsidRPr="00405303" w:rsidRDefault="00F01B26" w:rsidP="00C15251">
      <w:pPr>
        <w:jc w:val="both"/>
        <w:rPr>
          <w:bCs/>
          <w:color w:val="002060"/>
          <w:sz w:val="16"/>
          <w:szCs w:val="16"/>
        </w:rPr>
      </w:pPr>
      <w:r w:rsidRPr="00405303">
        <w:rPr>
          <w:bCs/>
          <w:color w:val="002060"/>
          <w:sz w:val="16"/>
          <w:szCs w:val="16"/>
        </w:rPr>
        <w:t xml:space="preserve">Городского самоуправления в Саратове (20), </w:t>
      </w:r>
    </w:p>
    <w:p w14:paraId="6F3AB49D" w14:textId="77777777" w:rsidR="00F01B26" w:rsidRPr="00405303" w:rsidRDefault="00F01B26" w:rsidP="00C15251">
      <w:pPr>
        <w:jc w:val="both"/>
        <w:rPr>
          <w:bCs/>
          <w:color w:val="002060"/>
          <w:sz w:val="16"/>
          <w:szCs w:val="16"/>
        </w:rPr>
      </w:pPr>
      <w:r w:rsidRPr="00405303">
        <w:rPr>
          <w:bCs/>
          <w:color w:val="002060"/>
          <w:sz w:val="16"/>
          <w:szCs w:val="16"/>
        </w:rPr>
        <w:t xml:space="preserve">Ушкова в Бондюгах (60), </w:t>
      </w:r>
    </w:p>
    <w:p w14:paraId="3A2FCCBE" w14:textId="77777777" w:rsidR="00F01B26" w:rsidRPr="00405303" w:rsidRDefault="00F01B26" w:rsidP="00C15251">
      <w:pPr>
        <w:jc w:val="both"/>
        <w:rPr>
          <w:bCs/>
          <w:color w:val="002060"/>
          <w:sz w:val="16"/>
          <w:szCs w:val="16"/>
        </w:rPr>
      </w:pPr>
      <w:r w:rsidRPr="00405303">
        <w:rPr>
          <w:bCs/>
          <w:color w:val="002060"/>
          <w:sz w:val="16"/>
          <w:szCs w:val="16"/>
        </w:rPr>
        <w:t>Ушкова в Самаре – оборудован электролитическим способом, подобно Лисичанскому, в ход не пускался.</w:t>
      </w:r>
    </w:p>
    <w:p w14:paraId="56CE6977" w14:textId="77777777" w:rsidR="00F01B26" w:rsidRPr="00405303" w:rsidRDefault="00F01B26" w:rsidP="00C15251">
      <w:pPr>
        <w:jc w:val="both"/>
        <w:rPr>
          <w:bCs/>
          <w:color w:val="002060"/>
          <w:sz w:val="16"/>
          <w:szCs w:val="16"/>
        </w:rPr>
      </w:pPr>
      <w:r w:rsidRPr="00405303">
        <w:rPr>
          <w:bCs/>
          <w:color w:val="002060"/>
          <w:sz w:val="16"/>
          <w:szCs w:val="16"/>
        </w:rPr>
        <w:t xml:space="preserve">Причем, все перечисленные заводы (за исключением Славянского, Лисичанского и Ушкова в Самаре) производили хлор химическим способом (по методу Шееле – путем действия на перекись марганца соляной кислоты), нуждались в поставках серной кислоты и были, по сути, скорее мастерскими. </w:t>
      </w:r>
    </w:p>
    <w:p w14:paraId="47B0EF45" w14:textId="77777777" w:rsidR="00F01B26" w:rsidRPr="00405303" w:rsidRDefault="00F01B26" w:rsidP="00C15251">
      <w:pPr>
        <w:jc w:val="both"/>
        <w:rPr>
          <w:bCs/>
          <w:color w:val="002060"/>
          <w:sz w:val="16"/>
          <w:szCs w:val="16"/>
        </w:rPr>
      </w:pPr>
      <w:r w:rsidRPr="00405303">
        <w:rPr>
          <w:bCs/>
          <w:color w:val="002060"/>
          <w:sz w:val="16"/>
          <w:szCs w:val="16"/>
        </w:rPr>
        <w:t>Параллельно в Финляндии велась постройка казенных хлорных заводов в Варгаузе и Каяне стоимостью 3,2 млн. руб. суммарной мощностью также 600 пудов в сутки. Из-за фактического саботажа строительства со стороны финского Сената заводы были закончены только к концу 1917 г.</w:t>
      </w:r>
    </w:p>
    <w:p w14:paraId="69D7F943" w14:textId="77777777" w:rsidR="00F01B26" w:rsidRPr="00405303" w:rsidRDefault="00F01B26" w:rsidP="00C15251">
      <w:pPr>
        <w:jc w:val="both"/>
        <w:rPr>
          <w:bCs/>
          <w:color w:val="002060"/>
          <w:sz w:val="16"/>
          <w:szCs w:val="16"/>
        </w:rPr>
      </w:pPr>
      <w:r w:rsidRPr="00405303">
        <w:rPr>
          <w:bCs/>
          <w:color w:val="002060"/>
          <w:sz w:val="16"/>
          <w:szCs w:val="16"/>
        </w:rPr>
        <w:t>Строительство заводов закончено не было. В 1917 г. они были ликвидированы, так и не начав работу.</w:t>
      </w:r>
    </w:p>
    <w:p w14:paraId="1D827F52" w14:textId="77777777" w:rsidR="00F01B26" w:rsidRPr="00405303" w:rsidRDefault="00F01B26" w:rsidP="00C15251">
      <w:pPr>
        <w:jc w:val="both"/>
        <w:rPr>
          <w:bCs/>
          <w:color w:val="002060"/>
          <w:sz w:val="16"/>
          <w:szCs w:val="16"/>
        </w:rPr>
      </w:pPr>
      <w:r w:rsidRPr="00405303">
        <w:rPr>
          <w:bCs/>
          <w:color w:val="002060"/>
          <w:sz w:val="16"/>
          <w:szCs w:val="16"/>
        </w:rPr>
        <w:t xml:space="preserve">В 1915 г. в короткий срок в Донбассе был построен Глобинский военно-химический казенный завод, сперва выпускавший хлор, но в 1916-1917 гг. переориентированный на выпуск в год 20 тыс. пудов фосгена и 7 тыс. пудов хлорпикрина. </w:t>
      </w:r>
    </w:p>
    <w:p w14:paraId="325B298F" w14:textId="77777777" w:rsidR="00F01B26" w:rsidRPr="00405303" w:rsidRDefault="00F01B26" w:rsidP="00C15251">
      <w:pPr>
        <w:jc w:val="both"/>
        <w:rPr>
          <w:bCs/>
          <w:color w:val="002060"/>
          <w:sz w:val="16"/>
          <w:szCs w:val="16"/>
        </w:rPr>
      </w:pPr>
      <w:r w:rsidRPr="00405303">
        <w:rPr>
          <w:bCs/>
          <w:color w:val="002060"/>
          <w:sz w:val="16"/>
          <w:szCs w:val="16"/>
        </w:rPr>
        <w:t xml:space="preserve">В 1916 г. построен и в начале 1917 г. введен Казанский казенный военно-химический завод стоимостью 400 тыс. руб и с выходом в год 50 тыс. пудов фосгена и 100 тыс. пудов хлора. </w:t>
      </w:r>
    </w:p>
    <w:p w14:paraId="6E561256" w14:textId="77777777" w:rsidR="00F01B26" w:rsidRPr="00405303" w:rsidRDefault="00F01B26" w:rsidP="00C15251">
      <w:pPr>
        <w:jc w:val="both"/>
        <w:rPr>
          <w:bCs/>
          <w:color w:val="002060"/>
          <w:sz w:val="16"/>
          <w:szCs w:val="16"/>
        </w:rPr>
      </w:pPr>
      <w:r w:rsidRPr="00405303">
        <w:rPr>
          <w:bCs/>
          <w:color w:val="002060"/>
          <w:sz w:val="16"/>
          <w:szCs w:val="16"/>
        </w:rPr>
        <w:t xml:space="preserve">Завод был только введен и производил фосген. Причем, как я понял, только установочные партии – суточная производительность – 20 пудов. </w:t>
      </w:r>
      <w:proofErr w:type="gramStart"/>
      <w:r w:rsidRPr="00405303">
        <w:rPr>
          <w:bCs/>
          <w:color w:val="002060"/>
          <w:sz w:val="16"/>
          <w:szCs w:val="16"/>
        </w:rPr>
        <w:t>Вероятно</w:t>
      </w:r>
      <w:proofErr w:type="gramEnd"/>
      <w:r w:rsidRPr="00405303">
        <w:rPr>
          <w:bCs/>
          <w:color w:val="002060"/>
          <w:sz w:val="16"/>
          <w:szCs w:val="16"/>
        </w:rPr>
        <w:t xml:space="preserve"> в конце 1917 (по непроверенным данным) – разобран. Оборудование передано на завод Ушкова в Бондюгах. Силовая установка передана заводу Алафузова, лаборатория Казанскому газовому заводу. </w:t>
      </w:r>
    </w:p>
    <w:p w14:paraId="770A60B4" w14:textId="77777777" w:rsidR="00F01B26" w:rsidRPr="00405303" w:rsidRDefault="00F01B26" w:rsidP="00C15251">
      <w:pPr>
        <w:jc w:val="both"/>
        <w:rPr>
          <w:bCs/>
          <w:color w:val="002060"/>
          <w:sz w:val="16"/>
          <w:szCs w:val="16"/>
        </w:rPr>
      </w:pPr>
      <w:r w:rsidRPr="00405303">
        <w:rPr>
          <w:bCs/>
          <w:color w:val="002060"/>
          <w:sz w:val="16"/>
          <w:szCs w:val="16"/>
        </w:rPr>
        <w:t xml:space="preserve">Под производство фосгена были ориентированы еще четыре частных завода, два из которых начали давать продукцию в 1916 г. </w:t>
      </w:r>
    </w:p>
    <w:p w14:paraId="642CD625" w14:textId="77777777" w:rsidR="00F01B26" w:rsidRPr="00405303" w:rsidRDefault="00F01B26" w:rsidP="00C15251">
      <w:pPr>
        <w:jc w:val="both"/>
        <w:rPr>
          <w:bCs/>
          <w:color w:val="002060"/>
          <w:sz w:val="16"/>
          <w:szCs w:val="16"/>
        </w:rPr>
      </w:pPr>
      <w:r w:rsidRPr="00405303">
        <w:rPr>
          <w:bCs/>
          <w:color w:val="002060"/>
          <w:sz w:val="16"/>
          <w:szCs w:val="16"/>
        </w:rPr>
        <w:t>Фосген производили:</w:t>
      </w:r>
    </w:p>
    <w:p w14:paraId="272033EB" w14:textId="77777777" w:rsidR="00F01B26" w:rsidRPr="00405303" w:rsidRDefault="00F01B26" w:rsidP="00C15251">
      <w:pPr>
        <w:jc w:val="both"/>
        <w:rPr>
          <w:bCs/>
          <w:color w:val="002060"/>
          <w:sz w:val="16"/>
          <w:szCs w:val="16"/>
        </w:rPr>
      </w:pPr>
      <w:r w:rsidRPr="00405303">
        <w:rPr>
          <w:bCs/>
          <w:color w:val="002060"/>
          <w:sz w:val="16"/>
          <w:szCs w:val="16"/>
        </w:rPr>
        <w:t xml:space="preserve">завод Шустова в Москве (120 пуд.), </w:t>
      </w:r>
    </w:p>
    <w:p w14:paraId="1974761F" w14:textId="77777777" w:rsidR="00F01B26" w:rsidRPr="00405303" w:rsidRDefault="00F01B26" w:rsidP="00C15251">
      <w:pPr>
        <w:jc w:val="both"/>
        <w:rPr>
          <w:bCs/>
          <w:color w:val="002060"/>
          <w:sz w:val="16"/>
          <w:szCs w:val="16"/>
        </w:rPr>
      </w:pPr>
      <w:r w:rsidRPr="00405303">
        <w:rPr>
          <w:bCs/>
          <w:color w:val="002060"/>
          <w:sz w:val="16"/>
          <w:szCs w:val="16"/>
        </w:rPr>
        <w:t xml:space="preserve">Гандурина в Иваново-Вознесенске (произв. ??), </w:t>
      </w:r>
    </w:p>
    <w:p w14:paraId="23E43C22" w14:textId="77777777" w:rsidR="00F01B26" w:rsidRPr="00405303" w:rsidRDefault="00F01B26" w:rsidP="00C15251">
      <w:pPr>
        <w:jc w:val="both"/>
        <w:rPr>
          <w:bCs/>
          <w:color w:val="002060"/>
          <w:sz w:val="16"/>
          <w:szCs w:val="16"/>
        </w:rPr>
      </w:pPr>
      <w:r w:rsidRPr="00405303">
        <w:rPr>
          <w:bCs/>
          <w:color w:val="002060"/>
          <w:sz w:val="16"/>
          <w:szCs w:val="16"/>
        </w:rPr>
        <w:t xml:space="preserve">Акц. Об-ва П.Беккель (произв. ??) </w:t>
      </w:r>
    </w:p>
    <w:p w14:paraId="05E3B906" w14:textId="77777777" w:rsidR="00F01B26" w:rsidRPr="00405303" w:rsidRDefault="00F01B26" w:rsidP="00C15251">
      <w:pPr>
        <w:jc w:val="both"/>
        <w:rPr>
          <w:bCs/>
          <w:color w:val="002060"/>
          <w:sz w:val="16"/>
          <w:szCs w:val="16"/>
        </w:rPr>
      </w:pPr>
      <w:r w:rsidRPr="00405303">
        <w:rPr>
          <w:bCs/>
          <w:color w:val="002060"/>
          <w:sz w:val="16"/>
          <w:szCs w:val="16"/>
        </w:rPr>
        <w:t xml:space="preserve">и должен был производить Казанский завод (20 пуд.). </w:t>
      </w:r>
    </w:p>
    <w:p w14:paraId="0C3DD866" w14:textId="77777777" w:rsidR="00F01B26" w:rsidRPr="00405303" w:rsidRDefault="00F01B26" w:rsidP="00C15251">
      <w:pPr>
        <w:jc w:val="both"/>
        <w:rPr>
          <w:bCs/>
          <w:color w:val="002060"/>
          <w:sz w:val="16"/>
          <w:szCs w:val="16"/>
        </w:rPr>
      </w:pPr>
      <w:r w:rsidRPr="00405303">
        <w:rPr>
          <w:bCs/>
          <w:color w:val="002060"/>
          <w:sz w:val="16"/>
          <w:szCs w:val="16"/>
        </w:rPr>
        <w:t>Основными поставщиками были заводы Шустова и Беккель.</w:t>
      </w:r>
    </w:p>
    <w:p w14:paraId="3BA383E4" w14:textId="77777777" w:rsidR="00F01B26" w:rsidRPr="00405303" w:rsidRDefault="00F01B26" w:rsidP="00C15251">
      <w:pPr>
        <w:jc w:val="both"/>
        <w:rPr>
          <w:bCs/>
          <w:color w:val="002060"/>
          <w:sz w:val="16"/>
          <w:szCs w:val="16"/>
        </w:rPr>
      </w:pPr>
      <w:r w:rsidRPr="00405303">
        <w:rPr>
          <w:bCs/>
          <w:color w:val="002060"/>
          <w:sz w:val="16"/>
          <w:szCs w:val="16"/>
        </w:rPr>
        <w:t>Хлорпикрин выпускался на 6 частных заводах,</w:t>
      </w:r>
    </w:p>
    <w:p w14:paraId="0B079C92" w14:textId="77777777" w:rsidR="00F01B26" w:rsidRPr="00405303" w:rsidRDefault="00F01B26" w:rsidP="00C15251">
      <w:pPr>
        <w:jc w:val="both"/>
        <w:rPr>
          <w:bCs/>
          <w:color w:val="002060"/>
          <w:sz w:val="16"/>
          <w:szCs w:val="16"/>
        </w:rPr>
      </w:pPr>
      <w:r w:rsidRPr="00405303">
        <w:rPr>
          <w:bCs/>
          <w:color w:val="002060"/>
          <w:sz w:val="16"/>
          <w:szCs w:val="16"/>
        </w:rPr>
        <w:t>ГАУ пишет, что оный выпускался на 5 заводах:</w:t>
      </w:r>
    </w:p>
    <w:p w14:paraId="3E0E3F3E" w14:textId="77777777" w:rsidR="00F01B26" w:rsidRPr="00405303" w:rsidRDefault="00F01B26" w:rsidP="00C15251">
      <w:pPr>
        <w:jc w:val="both"/>
        <w:rPr>
          <w:bCs/>
          <w:color w:val="002060"/>
          <w:sz w:val="16"/>
          <w:szCs w:val="16"/>
        </w:rPr>
      </w:pPr>
      <w:r w:rsidRPr="00405303">
        <w:rPr>
          <w:bCs/>
          <w:color w:val="002060"/>
          <w:sz w:val="16"/>
          <w:szCs w:val="16"/>
        </w:rPr>
        <w:t xml:space="preserve">Афанасьева (сут. производительность 100 пуд.), </w:t>
      </w:r>
    </w:p>
    <w:p w14:paraId="439CFBD3" w14:textId="77777777" w:rsidR="00F01B26" w:rsidRPr="00405303" w:rsidRDefault="00F01B26" w:rsidP="00C15251">
      <w:pPr>
        <w:jc w:val="both"/>
        <w:rPr>
          <w:bCs/>
          <w:color w:val="002060"/>
          <w:sz w:val="16"/>
          <w:szCs w:val="16"/>
        </w:rPr>
      </w:pPr>
      <w:r w:rsidRPr="00405303">
        <w:rPr>
          <w:bCs/>
          <w:color w:val="002060"/>
          <w:sz w:val="16"/>
          <w:szCs w:val="16"/>
        </w:rPr>
        <w:t xml:space="preserve">Кочеткова (30), </w:t>
      </w:r>
    </w:p>
    <w:p w14:paraId="7875A05F" w14:textId="77777777" w:rsidR="00F01B26" w:rsidRPr="00405303" w:rsidRDefault="00F01B26" w:rsidP="00C15251">
      <w:pPr>
        <w:jc w:val="both"/>
        <w:rPr>
          <w:bCs/>
          <w:color w:val="002060"/>
          <w:sz w:val="16"/>
          <w:szCs w:val="16"/>
        </w:rPr>
      </w:pPr>
      <w:r w:rsidRPr="00405303">
        <w:rPr>
          <w:bCs/>
          <w:color w:val="002060"/>
          <w:sz w:val="16"/>
          <w:szCs w:val="16"/>
        </w:rPr>
        <w:t>Жилевском заводе Лепешкина (40),</w:t>
      </w:r>
    </w:p>
    <w:p w14:paraId="53964ABB" w14:textId="77777777" w:rsidR="00F01B26" w:rsidRPr="00405303" w:rsidRDefault="00F01B26" w:rsidP="00C15251">
      <w:pPr>
        <w:jc w:val="both"/>
        <w:rPr>
          <w:bCs/>
          <w:color w:val="002060"/>
          <w:sz w:val="16"/>
          <w:szCs w:val="16"/>
        </w:rPr>
      </w:pPr>
      <w:r w:rsidRPr="00405303">
        <w:rPr>
          <w:bCs/>
          <w:color w:val="002060"/>
          <w:sz w:val="16"/>
          <w:szCs w:val="16"/>
        </w:rPr>
        <w:t xml:space="preserve">Т-ва Улятовского (15) </w:t>
      </w:r>
    </w:p>
    <w:p w14:paraId="47BDC944" w14:textId="77777777" w:rsidR="00F01B26" w:rsidRPr="00405303" w:rsidRDefault="00F01B26" w:rsidP="00C15251">
      <w:pPr>
        <w:jc w:val="both"/>
        <w:rPr>
          <w:bCs/>
          <w:color w:val="002060"/>
          <w:sz w:val="16"/>
          <w:szCs w:val="16"/>
        </w:rPr>
      </w:pPr>
      <w:r w:rsidRPr="00405303">
        <w:rPr>
          <w:bCs/>
          <w:color w:val="002060"/>
          <w:sz w:val="16"/>
          <w:szCs w:val="16"/>
        </w:rPr>
        <w:t xml:space="preserve">и Фабрике Ралле и Ко (50 пуд.). </w:t>
      </w:r>
    </w:p>
    <w:p w14:paraId="56DF0DAB" w14:textId="77777777" w:rsidR="00F01B26" w:rsidRPr="00405303" w:rsidRDefault="00F01B26" w:rsidP="00C15251">
      <w:pPr>
        <w:jc w:val="both"/>
        <w:rPr>
          <w:bCs/>
          <w:color w:val="002060"/>
          <w:sz w:val="16"/>
          <w:szCs w:val="16"/>
        </w:rPr>
      </w:pPr>
      <w:r w:rsidRPr="00405303">
        <w:rPr>
          <w:bCs/>
          <w:color w:val="002060"/>
          <w:sz w:val="16"/>
          <w:szCs w:val="16"/>
        </w:rPr>
        <w:t>Все предприятия московского региона.</w:t>
      </w:r>
    </w:p>
    <w:p w14:paraId="461C3C67" w14:textId="77777777" w:rsidR="00F01B26" w:rsidRPr="00405303" w:rsidRDefault="00F01B26" w:rsidP="00C15251">
      <w:pPr>
        <w:jc w:val="both"/>
        <w:rPr>
          <w:bCs/>
          <w:color w:val="002060"/>
          <w:sz w:val="16"/>
          <w:szCs w:val="16"/>
        </w:rPr>
      </w:pPr>
      <w:r w:rsidRPr="00405303">
        <w:rPr>
          <w:bCs/>
          <w:color w:val="002060"/>
          <w:sz w:val="16"/>
          <w:szCs w:val="16"/>
        </w:rPr>
        <w:t xml:space="preserve">хлористый сульфурин и хлористый ангидрид – на одном заводе, </w:t>
      </w:r>
    </w:p>
    <w:p w14:paraId="444608BE" w14:textId="77777777" w:rsidR="00F01B26" w:rsidRPr="00405303" w:rsidRDefault="00F01B26" w:rsidP="00C15251">
      <w:pPr>
        <w:jc w:val="both"/>
        <w:rPr>
          <w:bCs/>
          <w:color w:val="002060"/>
          <w:sz w:val="16"/>
          <w:szCs w:val="16"/>
        </w:rPr>
      </w:pPr>
      <w:r w:rsidRPr="00405303">
        <w:rPr>
          <w:bCs/>
          <w:color w:val="002060"/>
          <w:sz w:val="16"/>
          <w:szCs w:val="16"/>
        </w:rPr>
        <w:t xml:space="preserve">хлористый сульфуриЛ (250 пуд.) и сернистый ангидрид (100 пуд.) производило Т-во Мануфактур Л.Рабинек. Оно же выпускало 50 </w:t>
      </w:r>
      <w:proofErr w:type="gramStart"/>
      <w:r w:rsidRPr="00405303">
        <w:rPr>
          <w:bCs/>
          <w:color w:val="002060"/>
          <w:sz w:val="16"/>
          <w:szCs w:val="16"/>
        </w:rPr>
        <w:t>пуд./</w:t>
      </w:r>
      <w:proofErr w:type="gramEnd"/>
      <w:r w:rsidRPr="00405303">
        <w:rPr>
          <w:bCs/>
          <w:color w:val="002060"/>
          <w:sz w:val="16"/>
          <w:szCs w:val="16"/>
        </w:rPr>
        <w:t>сутки метилового эфира хлорсульфоновой кислоты.</w:t>
      </w:r>
    </w:p>
    <w:p w14:paraId="4DCA4C3F" w14:textId="77777777" w:rsidR="00F01B26" w:rsidRPr="00405303" w:rsidRDefault="00F01B26" w:rsidP="00C15251">
      <w:pPr>
        <w:jc w:val="both"/>
        <w:rPr>
          <w:bCs/>
          <w:color w:val="002060"/>
          <w:sz w:val="16"/>
          <w:szCs w:val="16"/>
        </w:rPr>
      </w:pPr>
      <w:r w:rsidRPr="00405303">
        <w:rPr>
          <w:bCs/>
          <w:color w:val="002060"/>
          <w:sz w:val="16"/>
          <w:szCs w:val="16"/>
        </w:rPr>
        <w:t xml:space="preserve">хлорное олово – на одном, </w:t>
      </w:r>
    </w:p>
    <w:p w14:paraId="64DBE3F4" w14:textId="77777777" w:rsidR="00F01B26" w:rsidRPr="00405303" w:rsidRDefault="00F01B26" w:rsidP="00C15251">
      <w:pPr>
        <w:jc w:val="both"/>
        <w:rPr>
          <w:bCs/>
          <w:color w:val="002060"/>
          <w:sz w:val="16"/>
          <w:szCs w:val="16"/>
        </w:rPr>
      </w:pPr>
      <w:r w:rsidRPr="00405303">
        <w:rPr>
          <w:bCs/>
          <w:color w:val="002060"/>
          <w:sz w:val="16"/>
          <w:szCs w:val="16"/>
        </w:rPr>
        <w:t>Красильно-аппертурная ф-ка Ватреме (40 пуд.);</w:t>
      </w:r>
    </w:p>
    <w:p w14:paraId="62C4E407" w14:textId="77777777" w:rsidR="00F01B26" w:rsidRPr="00405303" w:rsidRDefault="00F01B26" w:rsidP="00C15251">
      <w:pPr>
        <w:jc w:val="both"/>
        <w:rPr>
          <w:bCs/>
          <w:color w:val="002060"/>
          <w:sz w:val="16"/>
          <w:szCs w:val="16"/>
        </w:rPr>
      </w:pPr>
      <w:r w:rsidRPr="00405303">
        <w:rPr>
          <w:bCs/>
          <w:color w:val="002060"/>
          <w:sz w:val="16"/>
          <w:szCs w:val="16"/>
        </w:rPr>
        <w:t xml:space="preserve">цианистый калий – на одном, </w:t>
      </w:r>
    </w:p>
    <w:p w14:paraId="366CB8F6" w14:textId="77777777" w:rsidR="00F01B26" w:rsidRPr="00405303" w:rsidRDefault="00F01B26" w:rsidP="00C15251">
      <w:pPr>
        <w:jc w:val="both"/>
        <w:rPr>
          <w:bCs/>
          <w:color w:val="002060"/>
          <w:sz w:val="16"/>
          <w:szCs w:val="16"/>
        </w:rPr>
      </w:pPr>
      <w:r w:rsidRPr="00405303">
        <w:rPr>
          <w:bCs/>
          <w:color w:val="002060"/>
          <w:sz w:val="16"/>
          <w:szCs w:val="16"/>
        </w:rPr>
        <w:t>Завод Тагера – 12-15 пуд/сутки;</w:t>
      </w:r>
    </w:p>
    <w:p w14:paraId="040075BC" w14:textId="77777777" w:rsidR="00F01B26" w:rsidRPr="00405303" w:rsidRDefault="00F01B26" w:rsidP="00C15251">
      <w:pPr>
        <w:jc w:val="both"/>
        <w:rPr>
          <w:bCs/>
          <w:color w:val="002060"/>
          <w:sz w:val="16"/>
          <w:szCs w:val="16"/>
        </w:rPr>
      </w:pPr>
      <w:r w:rsidRPr="00405303">
        <w:rPr>
          <w:bCs/>
          <w:color w:val="002060"/>
          <w:sz w:val="16"/>
          <w:szCs w:val="16"/>
        </w:rPr>
        <w:t>хлороформ - на одном,</w:t>
      </w:r>
    </w:p>
    <w:p w14:paraId="20B161E6" w14:textId="77777777" w:rsidR="00F01B26" w:rsidRPr="00405303" w:rsidRDefault="00F01B26" w:rsidP="00C15251">
      <w:pPr>
        <w:jc w:val="both"/>
        <w:rPr>
          <w:bCs/>
          <w:color w:val="002060"/>
          <w:sz w:val="16"/>
          <w:szCs w:val="16"/>
        </w:rPr>
      </w:pPr>
      <w:r w:rsidRPr="00405303">
        <w:rPr>
          <w:bCs/>
          <w:color w:val="002060"/>
          <w:sz w:val="16"/>
          <w:szCs w:val="16"/>
        </w:rPr>
        <w:t xml:space="preserve">Акц. Об-во П.Беккель; </w:t>
      </w:r>
    </w:p>
    <w:p w14:paraId="50057BA9" w14:textId="77777777" w:rsidR="00F01B26" w:rsidRPr="00405303" w:rsidRDefault="00F01B26" w:rsidP="00C15251">
      <w:pPr>
        <w:jc w:val="both"/>
        <w:rPr>
          <w:bCs/>
          <w:color w:val="002060"/>
          <w:sz w:val="16"/>
          <w:szCs w:val="16"/>
        </w:rPr>
      </w:pPr>
      <w:r w:rsidRPr="00405303">
        <w:rPr>
          <w:bCs/>
          <w:color w:val="002060"/>
          <w:sz w:val="16"/>
          <w:szCs w:val="16"/>
        </w:rPr>
        <w:t xml:space="preserve">хлористый мышьяк – на одном. </w:t>
      </w:r>
    </w:p>
    <w:p w14:paraId="7D65EAB1" w14:textId="77777777" w:rsidR="00F01B26" w:rsidRPr="00405303" w:rsidRDefault="00F01B26" w:rsidP="00C15251">
      <w:pPr>
        <w:jc w:val="both"/>
        <w:rPr>
          <w:bCs/>
          <w:color w:val="002060"/>
          <w:sz w:val="16"/>
          <w:szCs w:val="16"/>
        </w:rPr>
      </w:pPr>
      <w:r w:rsidRPr="00405303">
        <w:rPr>
          <w:bCs/>
          <w:color w:val="002060"/>
          <w:sz w:val="16"/>
          <w:szCs w:val="16"/>
        </w:rPr>
        <w:t>ГАУ точных сведений не дает. Думаю, что тот же Беккель, поскольку на оном производился венсинит (смесь синильной кислоты с хлористым мышьяком) (120 пуд.).</w:t>
      </w:r>
    </w:p>
    <w:p w14:paraId="49E98282" w14:textId="77777777" w:rsidR="00F01B26" w:rsidRPr="00405303" w:rsidRDefault="00F01B26" w:rsidP="00C15251">
      <w:pPr>
        <w:jc w:val="both"/>
        <w:rPr>
          <w:bCs/>
          <w:color w:val="002060"/>
          <w:sz w:val="16"/>
          <w:szCs w:val="16"/>
        </w:rPr>
      </w:pPr>
      <w:r w:rsidRPr="00405303">
        <w:rPr>
          <w:bCs/>
          <w:color w:val="002060"/>
          <w:sz w:val="16"/>
          <w:szCs w:val="16"/>
        </w:rPr>
        <w:t xml:space="preserve">Всего выпуском отравляющих веществ в 1916 г. занималось уже 30 заводов, а в 1917 г. ожидалось подключение еще 11, включая обеих финских хлорных. </w:t>
      </w:r>
    </w:p>
    <w:p w14:paraId="1E4098F5" w14:textId="77777777" w:rsidR="00F01B26" w:rsidRPr="00405303" w:rsidRDefault="00F01B26" w:rsidP="00C15251">
      <w:pPr>
        <w:jc w:val="both"/>
        <w:rPr>
          <w:bCs/>
          <w:color w:val="002060"/>
          <w:sz w:val="16"/>
          <w:szCs w:val="16"/>
        </w:rPr>
      </w:pPr>
      <w:r w:rsidRPr="00405303">
        <w:rPr>
          <w:bCs/>
          <w:color w:val="002060"/>
          <w:sz w:val="16"/>
          <w:szCs w:val="16"/>
        </w:rPr>
        <w:t xml:space="preserve">Заводов – это слишком громко сказано. Большинство из них представляли из себя скорее мастерские. Заводами я бы назвал Лисичанский и Славянский хлорные заводы, Ушкова, завод «Фосген» Шустова, Афанасьева, Беккель и Рабинека. </w:t>
      </w:r>
    </w:p>
    <w:p w14:paraId="2F38BFC7" w14:textId="77777777" w:rsidR="00F01B26" w:rsidRPr="00405303" w:rsidRDefault="00F01B26" w:rsidP="00C15251">
      <w:pPr>
        <w:jc w:val="both"/>
        <w:rPr>
          <w:bCs/>
          <w:color w:val="002060"/>
          <w:sz w:val="16"/>
          <w:szCs w:val="16"/>
        </w:rPr>
      </w:pPr>
      <w:r w:rsidRPr="00405303">
        <w:rPr>
          <w:bCs/>
          <w:color w:val="002060"/>
          <w:sz w:val="16"/>
          <w:szCs w:val="16"/>
        </w:rPr>
        <w:t>Финские же хлорные заводы не стоит упоминать, поскольку оные не были закончены строительством.</w:t>
      </w:r>
    </w:p>
    <w:p w14:paraId="2F2207CA" w14:textId="77777777" w:rsidR="00F01B26" w:rsidRPr="00405303" w:rsidRDefault="00F01B26" w:rsidP="00C15251">
      <w:pPr>
        <w:jc w:val="both"/>
        <w:rPr>
          <w:bCs/>
          <w:color w:val="002060"/>
          <w:sz w:val="16"/>
          <w:szCs w:val="16"/>
        </w:rPr>
      </w:pPr>
      <w:r w:rsidRPr="00405303">
        <w:rPr>
          <w:bCs/>
          <w:color w:val="002060"/>
          <w:sz w:val="16"/>
          <w:szCs w:val="16"/>
        </w:rPr>
        <w:t xml:space="preserve">Надо заметить, что все </w:t>
      </w:r>
      <w:proofErr w:type="gramStart"/>
      <w:r w:rsidRPr="00405303">
        <w:rPr>
          <w:bCs/>
          <w:color w:val="002060"/>
          <w:sz w:val="16"/>
          <w:szCs w:val="16"/>
        </w:rPr>
        <w:t>выше перечисленные</w:t>
      </w:r>
      <w:proofErr w:type="gramEnd"/>
      <w:r w:rsidRPr="00405303">
        <w:rPr>
          <w:bCs/>
          <w:color w:val="002060"/>
          <w:sz w:val="16"/>
          <w:szCs w:val="16"/>
        </w:rPr>
        <w:t xml:space="preserve"> химические производства не были лишь военными. Дело в том, что те химические продукты, каковые они вырабатывали, широко использовались и в «культурно-промышленных целях». </w:t>
      </w:r>
    </w:p>
    <w:p w14:paraId="4791A9B2" w14:textId="77777777" w:rsidR="00F01B26" w:rsidRPr="00405303" w:rsidRDefault="00F01B26" w:rsidP="00C15251">
      <w:pPr>
        <w:jc w:val="both"/>
        <w:rPr>
          <w:bCs/>
          <w:color w:val="002060"/>
          <w:sz w:val="16"/>
          <w:szCs w:val="16"/>
        </w:rPr>
      </w:pPr>
      <w:r w:rsidRPr="00405303">
        <w:rPr>
          <w:bCs/>
          <w:color w:val="002060"/>
          <w:sz w:val="16"/>
          <w:szCs w:val="16"/>
        </w:rPr>
        <w:t>Так хлор был чрезвычайно ценен для производства хлорной извести, бумаги, хлорирования воды. Очень интересные результаты получил Наркозем при травле сусликов и саранчи в начале 20-х годов. Фосген использовался для изготовления уксусного ангидрида, для дезинсекции и для тех же сусликов. Хлорпикрин – для выделки красок. Есть информация об очень успешном применении синильной кислоты для борьбы с грызунами и окуривании плодовых деревьев.</w:t>
      </w:r>
    </w:p>
    <w:p w14:paraId="3A27FF49" w14:textId="77777777" w:rsidR="00F01B26" w:rsidRPr="00405303" w:rsidRDefault="00F01B26" w:rsidP="00C15251">
      <w:pPr>
        <w:jc w:val="both"/>
        <w:rPr>
          <w:bCs/>
          <w:color w:val="002060"/>
          <w:sz w:val="16"/>
          <w:szCs w:val="16"/>
        </w:rPr>
      </w:pPr>
      <w:r w:rsidRPr="00405303">
        <w:rPr>
          <w:bCs/>
          <w:color w:val="002060"/>
          <w:sz w:val="16"/>
          <w:szCs w:val="16"/>
        </w:rPr>
        <w:t>Показательно, что по вопросу мирного использования удушающих газов летом 1920 г. состоялся грандиозный мегасрач между ВСНХ и ГАУ.</w:t>
      </w:r>
    </w:p>
    <w:p w14:paraId="2B796365" w14:textId="77777777" w:rsidR="00F01B26" w:rsidRPr="00405303" w:rsidRDefault="00F01B26" w:rsidP="00C15251">
      <w:pPr>
        <w:jc w:val="both"/>
        <w:rPr>
          <w:bCs/>
          <w:color w:val="002060"/>
          <w:sz w:val="16"/>
          <w:szCs w:val="16"/>
        </w:rPr>
      </w:pPr>
      <w:r w:rsidRPr="00405303">
        <w:rPr>
          <w:bCs/>
          <w:color w:val="002060"/>
          <w:sz w:val="16"/>
          <w:szCs w:val="16"/>
        </w:rPr>
        <w:t xml:space="preserve">Поэтому строительство химических заводов было выгодно само </w:t>
      </w:r>
      <w:proofErr w:type="gramStart"/>
      <w:r w:rsidRPr="00405303">
        <w:rPr>
          <w:bCs/>
          <w:color w:val="002060"/>
          <w:sz w:val="16"/>
          <w:szCs w:val="16"/>
        </w:rPr>
        <w:t>по себе</w:t>
      </w:r>
      <w:proofErr w:type="gramEnd"/>
      <w:r w:rsidRPr="00405303">
        <w:rPr>
          <w:bCs/>
          <w:color w:val="002060"/>
          <w:sz w:val="16"/>
          <w:szCs w:val="16"/>
        </w:rPr>
        <w:t xml:space="preserve"> и они не испытывали тех трудностей в мирное время, как чисто военные заводы.</w:t>
      </w:r>
    </w:p>
    <w:p w14:paraId="6AE6E54B" w14:textId="77777777" w:rsidR="00F01B26" w:rsidRPr="00405303" w:rsidRDefault="00F01B26" w:rsidP="00C15251">
      <w:pPr>
        <w:jc w:val="both"/>
        <w:rPr>
          <w:bCs/>
          <w:color w:val="002060"/>
          <w:sz w:val="16"/>
          <w:szCs w:val="16"/>
        </w:rPr>
      </w:pPr>
      <w:r w:rsidRPr="00405303">
        <w:rPr>
          <w:bCs/>
          <w:color w:val="002060"/>
          <w:sz w:val="16"/>
          <w:szCs w:val="16"/>
        </w:rPr>
        <w:t>Фосген производили:</w:t>
      </w:r>
    </w:p>
    <w:p w14:paraId="36F752A7" w14:textId="77777777" w:rsidR="00F01B26" w:rsidRPr="00405303" w:rsidRDefault="00F01B26" w:rsidP="00C15251">
      <w:pPr>
        <w:jc w:val="both"/>
        <w:rPr>
          <w:bCs/>
          <w:color w:val="002060"/>
          <w:sz w:val="16"/>
          <w:szCs w:val="16"/>
        </w:rPr>
      </w:pPr>
      <w:r w:rsidRPr="00405303">
        <w:rPr>
          <w:bCs/>
          <w:color w:val="002060"/>
          <w:sz w:val="16"/>
          <w:szCs w:val="16"/>
        </w:rPr>
        <w:t>завод Шустова в Москве (120 пуд.),</w:t>
      </w:r>
    </w:p>
    <w:p w14:paraId="492A936E" w14:textId="77777777" w:rsidR="00F01B26" w:rsidRPr="00405303" w:rsidRDefault="00F01B26" w:rsidP="00C15251">
      <w:pPr>
        <w:jc w:val="both"/>
        <w:rPr>
          <w:bCs/>
          <w:color w:val="002060"/>
          <w:sz w:val="16"/>
          <w:szCs w:val="16"/>
        </w:rPr>
      </w:pPr>
      <w:r w:rsidRPr="00405303">
        <w:rPr>
          <w:bCs/>
          <w:color w:val="002060"/>
          <w:sz w:val="16"/>
          <w:szCs w:val="16"/>
        </w:rPr>
        <w:t>Прав ли автор статьи в том, что производство фосгена было налажено на простаивающем водочном заводе?</w:t>
      </w:r>
    </w:p>
    <w:p w14:paraId="0166B6BC" w14:textId="77777777" w:rsidR="00F01B26" w:rsidRPr="00405303" w:rsidRDefault="00F01B26" w:rsidP="00C15251">
      <w:pPr>
        <w:jc w:val="both"/>
        <w:rPr>
          <w:bCs/>
          <w:color w:val="002060"/>
          <w:sz w:val="16"/>
          <w:szCs w:val="16"/>
        </w:rPr>
      </w:pPr>
      <w:r w:rsidRPr="00405303">
        <w:rPr>
          <w:bCs/>
          <w:color w:val="002060"/>
          <w:sz w:val="16"/>
          <w:szCs w:val="16"/>
        </w:rPr>
        <w:t>То, что фосген производили на заводе около современной гостиницы Пекин это верно. Простаивал ли водочный завод, мне неведомо.</w:t>
      </w:r>
    </w:p>
    <w:p w14:paraId="5C7D009E" w14:textId="77777777" w:rsidR="00F01B26" w:rsidRPr="00405303" w:rsidRDefault="00F01B26" w:rsidP="00C15251">
      <w:pPr>
        <w:jc w:val="both"/>
        <w:rPr>
          <w:bCs/>
          <w:color w:val="002060"/>
          <w:sz w:val="16"/>
          <w:szCs w:val="16"/>
        </w:rPr>
      </w:pPr>
      <w:r w:rsidRPr="00405303">
        <w:rPr>
          <w:bCs/>
          <w:color w:val="002060"/>
          <w:sz w:val="16"/>
          <w:szCs w:val="16"/>
        </w:rPr>
        <w:lastRenderedPageBreak/>
        <w:t>А статья, кстати, очень хорошая. Я ее уже давно читал и использую (11783).</w:t>
      </w:r>
    </w:p>
    <w:p w14:paraId="428DA1B0" w14:textId="77777777" w:rsidR="00F01B26" w:rsidRPr="00405303" w:rsidRDefault="00F01B26" w:rsidP="00C15251">
      <w:pPr>
        <w:jc w:val="both"/>
        <w:rPr>
          <w:bCs/>
          <w:color w:val="002060"/>
          <w:sz w:val="16"/>
          <w:szCs w:val="16"/>
        </w:rPr>
      </w:pPr>
    </w:p>
    <w:p w14:paraId="4E80BEA5" w14:textId="77777777" w:rsidR="00F01B26" w:rsidRPr="00405303" w:rsidRDefault="00F01B26"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Летом 1915 года было, наконец, принято решение об организации отечественного производства складных велосипедов. Сочли возможным, не останавливаясь на каком-либо из испытанных образцов, разработать на основании технических условий новый, идеальный самокат. Разработку и изготовление опытного экземпляра взяла на себя фирма «Дукс» как имеющая наибольший опыт по этой части. В августе 1915 года доверенное лицо фирмы М. Щипанов получил от ГВТУ технические условия и образцы для работы. И уже 2 декабря новый велосипед прошел испытания в учебной автомобильной роте и был возвращен на доработку фирме с незначительными замечаниями. В начале 1916 года новую модель, получившую название «Дукс боевой», приняли к производству. Еще во время разработки «Боевого», летом 1915 года, произошли важные изменения в делах крупнейших велосипедных предприятий России. 10 июля велосипедная фабрика А. Лейтнера в Риге получила приказ об эвакуации в Харьков, так как немецкие войска уже подходили к этому прибалтийскому городу. Фабрика выполняла заказ Главного военно-технического управления (ГВТУ) на поставку военных велосипедов и взрывателей для гранат. 24 сентября 1915 года имущество и оборудование «Фабрики велосипедов и автомобилей «Россия» А. Лейтнера и Ко» было отправлено со станции Ревель в нескольких десятках вагонов в Харьков. Примерно в то же время «Дукс» получает крупный военный заказ на производство аэропланов и гидропланов. Велосипедное производство отступает на второй план, так как почти все производственные мощности были переориентированы на авиапроизводство. Дело в том, что к этому моменту фабрика осталась единственным отечественным поставщиком авиации для фронта (11257).</w:t>
      </w:r>
    </w:p>
    <w:p w14:paraId="3C1E9463" w14:textId="77777777" w:rsidR="00F01B26" w:rsidRPr="00405303" w:rsidRDefault="00F01B26" w:rsidP="00C15251">
      <w:pPr>
        <w:pStyle w:val="a3"/>
        <w:jc w:val="both"/>
        <w:rPr>
          <w:bCs/>
          <w:i w:val="0"/>
          <w:color w:val="002060"/>
          <w:spacing w:val="0"/>
          <w:kern w:val="0"/>
          <w:position w:val="0"/>
          <w:sz w:val="16"/>
          <w:szCs w:val="16"/>
        </w:rPr>
      </w:pPr>
    </w:p>
    <w:p w14:paraId="7C2F68A3" w14:textId="77777777" w:rsidR="00F01B26" w:rsidRPr="00405303" w:rsidRDefault="00F01B26"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Летом 1915 года было, наконец, принято решение об организации отечественного производства складных велосипедов. Сочли возможным, не останавливаясь на каком-либо из испытанных образцов, разработать на основании технических условий новый, идеальный самокат. Разработку и изготовление опытного экземпляра взяла на себя фирма «Дукс» как имеющая наибольший опыт по этой части. В августе 1915 года доверенное лицо фирмы М. Щипанов получил от ГВТУ технические условия и образцы для работы. И уже 2 декабря новый велосипед прошел испытания в учебной автомобильной роте и был возвращен на доработку фирме с незначительными замечаниями. В начале 1916 года новую модель, получившую название «Дукс боевой», приняли к производству (11257).</w:t>
      </w:r>
    </w:p>
    <w:p w14:paraId="41CE2AC7" w14:textId="77777777" w:rsidR="00F01B26" w:rsidRPr="00405303" w:rsidRDefault="00F01B26" w:rsidP="00C15251">
      <w:pPr>
        <w:pStyle w:val="a3"/>
        <w:jc w:val="both"/>
        <w:rPr>
          <w:bCs/>
          <w:i w:val="0"/>
          <w:color w:val="002060"/>
          <w:spacing w:val="0"/>
          <w:kern w:val="0"/>
          <w:position w:val="0"/>
          <w:sz w:val="16"/>
          <w:szCs w:val="16"/>
        </w:rPr>
      </w:pPr>
    </w:p>
    <w:p w14:paraId="1D4BEDFC" w14:textId="77777777" w:rsidR="00F01B26" w:rsidRPr="00405303" w:rsidRDefault="00F01B26"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Летом 1915 года, произошли важные изменения в делах крупнейших велосипедных предприятий России. 10 июля велосипедная фабрика А. Лейтнера в Риге получила приказ об эвакуации в Харьков, так как немецкие войска уже подходили к этому прибалтийскому городу. Фабрика выполняла заказ Главного военно-технического управления (ГВТУ) на поставку военных велосипедов и взрывателей для гранат. 24 сентября 1915 года имущество и оборудование «Фабрики велосипедов и автомобилей «Россия» А. Лейтнера и Ко» было отправлено со станции Ревель в нескольких десятках вагонов в Харьков. Примерно в то же время «Дукс» получает крупный военный заказ на производство аэропланов и гидропланов. Велосипедное производство отступает на второй план, так как почти все производственные мощности были переориентированы на авиапроизводство. Дело в том, что к этому моменту фабрика осталась единственным отечественным поставщиком авиации для фронта (11257).</w:t>
      </w:r>
    </w:p>
    <w:p w14:paraId="04F5A049" w14:textId="77777777" w:rsidR="00F01B26" w:rsidRPr="00405303" w:rsidRDefault="00F01B26" w:rsidP="00C15251">
      <w:pPr>
        <w:pStyle w:val="a3"/>
        <w:jc w:val="both"/>
        <w:rPr>
          <w:bCs/>
          <w:i w:val="0"/>
          <w:color w:val="002060"/>
          <w:spacing w:val="0"/>
          <w:kern w:val="0"/>
          <w:position w:val="0"/>
          <w:sz w:val="16"/>
          <w:szCs w:val="16"/>
        </w:rPr>
      </w:pPr>
    </w:p>
    <w:p w14:paraId="5E12CBC9" w14:textId="77777777" w:rsidR="00F01B26" w:rsidRPr="00405303" w:rsidRDefault="00F01B26"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Летом 1915 года было, наконец, принято решение об организации отечественного производства складных велосипедов. Сочли возможным, не останавливаясь на каком-либо из испытанных образцов, разработать на основании технических условий новый, идеальный самокат. Разработку и изготовление опытного экземпляра взяла на себя фирма «Дукс» как имеющая наибольший опыт по этой части. В августе 1915 года доверенное лицо фирмы М. Щипанов получил от ГВТУ технические условия и образцы для работы. И уже 2 декабря новый велосипед прошел испытания в учебной автомобильной роте и был возвращен на доработку фирме с незначительными замечаниями. В начале 1916 года новую модель, получившую название «Дукс боевой», приняли к производству. Еще во время разработки «Боевого», летом 1915 года, произошли важные изменения в делах крупнейших велосипедных предприятий России. </w:t>
      </w:r>
    </w:p>
    <w:p w14:paraId="1220D1DD" w14:textId="77777777" w:rsidR="00F01B26" w:rsidRPr="00405303" w:rsidRDefault="00F01B26" w:rsidP="00C15251">
      <w:pPr>
        <w:pStyle w:val="a3"/>
        <w:jc w:val="both"/>
        <w:rPr>
          <w:bCs/>
          <w:i w:val="0"/>
          <w:color w:val="002060"/>
          <w:spacing w:val="0"/>
          <w:kern w:val="0"/>
          <w:position w:val="0"/>
          <w:sz w:val="16"/>
          <w:szCs w:val="16"/>
        </w:rPr>
      </w:pPr>
    </w:p>
    <w:p w14:paraId="0033614A" w14:textId="77777777" w:rsidR="0011454E" w:rsidRPr="00405303" w:rsidRDefault="0011454E" w:rsidP="00C15251">
      <w:pPr>
        <w:jc w:val="both"/>
        <w:rPr>
          <w:bCs/>
          <w:color w:val="002060"/>
          <w:sz w:val="16"/>
          <w:szCs w:val="16"/>
        </w:rPr>
      </w:pPr>
      <w:r w:rsidRPr="00405303">
        <w:rPr>
          <w:bCs/>
          <w:color w:val="002060"/>
          <w:sz w:val="16"/>
          <w:szCs w:val="16"/>
        </w:rPr>
        <w:t xml:space="preserve">Летом 1915 г. определенно выяснилась необходимость организовать производство целого ряда химических продуктов для газовой борьбы с противником. </w:t>
      </w:r>
    </w:p>
    <w:p w14:paraId="4E27F839" w14:textId="77777777" w:rsidR="0011454E" w:rsidRPr="00405303" w:rsidRDefault="0011454E" w:rsidP="00C15251">
      <w:pPr>
        <w:jc w:val="both"/>
        <w:rPr>
          <w:bCs/>
          <w:color w:val="002060"/>
          <w:sz w:val="16"/>
          <w:szCs w:val="16"/>
        </w:rPr>
      </w:pPr>
      <w:r w:rsidRPr="00405303">
        <w:rPr>
          <w:bCs/>
          <w:color w:val="002060"/>
          <w:sz w:val="16"/>
          <w:szCs w:val="16"/>
        </w:rPr>
        <w:t xml:space="preserve">Это дело проводилось с большой энергией и успехом, сначала специально для этой цели организованной Комиссией у[душающих] с[редств], а после Химическим комитетом, куда вошла Комиссия УС. Организации заводского производства предшествовал ряд научных изысканий. </w:t>
      </w:r>
    </w:p>
    <w:p w14:paraId="6E6A8037" w14:textId="77777777" w:rsidR="0011454E" w:rsidRPr="00405303" w:rsidRDefault="0011454E" w:rsidP="00C15251">
      <w:pPr>
        <w:jc w:val="both"/>
        <w:rPr>
          <w:bCs/>
          <w:color w:val="002060"/>
          <w:sz w:val="16"/>
          <w:szCs w:val="16"/>
        </w:rPr>
      </w:pPr>
      <w:r w:rsidRPr="00405303">
        <w:rPr>
          <w:bCs/>
          <w:color w:val="002060"/>
          <w:sz w:val="16"/>
          <w:szCs w:val="16"/>
        </w:rPr>
        <w:t xml:space="preserve">Для выпуска из баллонов принят был сжиженный хлор. Производство было быстро организовано на двух заводах Донецкого бассейна и в период с осени 1915 г. к осени 1916 г. достигло 500-600 пудов в сутки, что вполне покрывало потребность фронта. </w:t>
      </w:r>
    </w:p>
    <w:p w14:paraId="06C5C096" w14:textId="77777777" w:rsidR="0011454E" w:rsidRPr="00405303" w:rsidRDefault="0011454E" w:rsidP="00C15251">
      <w:pPr>
        <w:jc w:val="both"/>
        <w:rPr>
          <w:bCs/>
          <w:color w:val="002060"/>
          <w:sz w:val="16"/>
          <w:szCs w:val="16"/>
        </w:rPr>
      </w:pPr>
      <w:r w:rsidRPr="00405303">
        <w:rPr>
          <w:bCs/>
          <w:color w:val="002060"/>
          <w:sz w:val="16"/>
          <w:szCs w:val="16"/>
        </w:rPr>
        <w:t xml:space="preserve">Второе вещество, необходимое для баллоновой газовой борьбы, фосген, в России ранее вовсе не вырабатывалось. </w:t>
      </w:r>
    </w:p>
    <w:p w14:paraId="6B79DEAE" w14:textId="77777777" w:rsidR="0011454E" w:rsidRPr="00405303" w:rsidRDefault="0011454E" w:rsidP="00C15251">
      <w:pPr>
        <w:jc w:val="both"/>
        <w:rPr>
          <w:bCs/>
          <w:color w:val="002060"/>
          <w:sz w:val="16"/>
          <w:szCs w:val="16"/>
        </w:rPr>
      </w:pPr>
      <w:r w:rsidRPr="00405303">
        <w:rPr>
          <w:bCs/>
          <w:color w:val="002060"/>
          <w:sz w:val="16"/>
          <w:szCs w:val="16"/>
        </w:rPr>
        <w:t xml:space="preserve">На это производство оборудовалось пять заводов, из коих один казенный. Из пяти только два своевременно справились с делом. С января по октябрь 1916 г. производство фосгена достигло 600 пудов в месяц. Установка его представляла большие технические трудности. </w:t>
      </w:r>
    </w:p>
    <w:p w14:paraId="3D60AF26" w14:textId="77777777" w:rsidR="0011454E" w:rsidRPr="00405303" w:rsidRDefault="0011454E" w:rsidP="00C15251">
      <w:pPr>
        <w:jc w:val="both"/>
        <w:rPr>
          <w:bCs/>
          <w:color w:val="002060"/>
          <w:sz w:val="16"/>
          <w:szCs w:val="16"/>
        </w:rPr>
      </w:pPr>
      <w:r w:rsidRPr="00405303">
        <w:rPr>
          <w:bCs/>
          <w:color w:val="002060"/>
          <w:sz w:val="16"/>
          <w:szCs w:val="16"/>
        </w:rPr>
        <w:t xml:space="preserve">Что касается других удушающих веществ, то Химический комитет поставил следующие производства: </w:t>
      </w:r>
    </w:p>
    <w:p w14:paraId="412C1B0C" w14:textId="77777777" w:rsidR="0011454E" w:rsidRPr="00405303" w:rsidRDefault="0011454E" w:rsidP="00C15251">
      <w:pPr>
        <w:jc w:val="both"/>
        <w:rPr>
          <w:bCs/>
          <w:color w:val="002060"/>
          <w:sz w:val="16"/>
          <w:szCs w:val="16"/>
        </w:rPr>
      </w:pPr>
      <w:r w:rsidRPr="00405303">
        <w:rPr>
          <w:bCs/>
          <w:color w:val="002060"/>
          <w:sz w:val="16"/>
          <w:szCs w:val="16"/>
        </w:rPr>
        <w:t xml:space="preserve">Хлорпикрин — производство было поставлено на семи заводах. Из них один казенный (Глобинский). По 1 октября 1916 г. изготовлено 21 000 пудов. </w:t>
      </w:r>
    </w:p>
    <w:p w14:paraId="541677D2" w14:textId="77777777" w:rsidR="0011454E" w:rsidRPr="00405303" w:rsidRDefault="0011454E" w:rsidP="00C15251">
      <w:pPr>
        <w:jc w:val="both"/>
        <w:rPr>
          <w:bCs/>
          <w:color w:val="002060"/>
          <w:sz w:val="16"/>
          <w:szCs w:val="16"/>
        </w:rPr>
      </w:pPr>
      <w:r w:rsidRPr="00405303">
        <w:rPr>
          <w:bCs/>
          <w:color w:val="002060"/>
          <w:sz w:val="16"/>
          <w:szCs w:val="16"/>
        </w:rPr>
        <w:t xml:space="preserve">Хлористый сульфурин и хлористый ангидрид — на одном заводе, до 1 октября 1916 г. выработано: первого 14 000 пудов, а второго 18 000 пудов. </w:t>
      </w:r>
    </w:p>
    <w:p w14:paraId="7CFF92AB" w14:textId="77777777" w:rsidR="0011454E" w:rsidRPr="00405303" w:rsidRDefault="0011454E" w:rsidP="00C15251">
      <w:pPr>
        <w:jc w:val="both"/>
        <w:rPr>
          <w:bCs/>
          <w:color w:val="002060"/>
          <w:sz w:val="16"/>
          <w:szCs w:val="16"/>
        </w:rPr>
      </w:pPr>
      <w:r w:rsidRPr="00405303">
        <w:rPr>
          <w:bCs/>
          <w:color w:val="002060"/>
          <w:sz w:val="16"/>
          <w:szCs w:val="16"/>
        </w:rPr>
        <w:t xml:space="preserve">Хлорное олово — на одном заводе, до 1 октября 1916 г. выработано 14 000 пудов. </w:t>
      </w:r>
    </w:p>
    <w:p w14:paraId="73AAB316" w14:textId="77777777" w:rsidR="0011454E" w:rsidRPr="00405303" w:rsidRDefault="0011454E" w:rsidP="00C15251">
      <w:pPr>
        <w:jc w:val="both"/>
        <w:rPr>
          <w:bCs/>
          <w:color w:val="002060"/>
          <w:sz w:val="16"/>
          <w:szCs w:val="16"/>
        </w:rPr>
      </w:pPr>
      <w:r w:rsidRPr="00405303">
        <w:rPr>
          <w:bCs/>
          <w:color w:val="002060"/>
          <w:sz w:val="16"/>
          <w:szCs w:val="16"/>
        </w:rPr>
        <w:t xml:space="preserve">Цианистый калий — на одном заводе, за 1916 г. выработано 100 пудов. </w:t>
      </w:r>
    </w:p>
    <w:p w14:paraId="76A554B1" w14:textId="77777777" w:rsidR="0011454E" w:rsidRPr="00405303" w:rsidRDefault="0011454E" w:rsidP="00C15251">
      <w:pPr>
        <w:jc w:val="both"/>
        <w:rPr>
          <w:bCs/>
          <w:color w:val="002060"/>
          <w:sz w:val="16"/>
          <w:szCs w:val="16"/>
        </w:rPr>
      </w:pPr>
      <w:r w:rsidRPr="00405303">
        <w:rPr>
          <w:bCs/>
          <w:color w:val="002060"/>
          <w:sz w:val="16"/>
          <w:szCs w:val="16"/>
        </w:rPr>
        <w:t xml:space="preserve">Хлороформ — на одном заводе, до 1 октября 1916 г. — 300 пудов. </w:t>
      </w:r>
    </w:p>
    <w:p w14:paraId="3FAEF453" w14:textId="77777777" w:rsidR="0011454E" w:rsidRPr="00405303" w:rsidRDefault="0011454E" w:rsidP="00C15251">
      <w:pPr>
        <w:jc w:val="both"/>
        <w:rPr>
          <w:bCs/>
          <w:color w:val="002060"/>
          <w:sz w:val="16"/>
          <w:szCs w:val="16"/>
        </w:rPr>
      </w:pPr>
      <w:r w:rsidRPr="00405303">
        <w:rPr>
          <w:bCs/>
          <w:color w:val="002060"/>
          <w:sz w:val="16"/>
          <w:szCs w:val="16"/>
        </w:rPr>
        <w:t xml:space="preserve">Хлористый мышьяк — на одном заводе, до 1 октября 1916 г. — 2000 пудов. </w:t>
      </w:r>
    </w:p>
    <w:p w14:paraId="35DFEEE4" w14:textId="77777777" w:rsidR="0011454E" w:rsidRPr="00405303" w:rsidRDefault="0011454E" w:rsidP="00C15251">
      <w:pPr>
        <w:jc w:val="both"/>
        <w:rPr>
          <w:bCs/>
          <w:color w:val="002060"/>
          <w:sz w:val="16"/>
          <w:szCs w:val="16"/>
        </w:rPr>
      </w:pPr>
      <w:r w:rsidRPr="00405303">
        <w:rPr>
          <w:bCs/>
          <w:color w:val="002060"/>
          <w:sz w:val="16"/>
          <w:szCs w:val="16"/>
        </w:rPr>
        <w:t xml:space="preserve">Для производства бромбензола было установлено, впервые в России, производство брома. </w:t>
      </w:r>
    </w:p>
    <w:p w14:paraId="6ADC7964" w14:textId="77777777" w:rsidR="0011454E" w:rsidRPr="00405303" w:rsidRDefault="0011454E" w:rsidP="00C15251">
      <w:pPr>
        <w:jc w:val="both"/>
        <w:rPr>
          <w:bCs/>
          <w:color w:val="002060"/>
          <w:sz w:val="16"/>
          <w:szCs w:val="16"/>
        </w:rPr>
      </w:pPr>
      <w:r w:rsidRPr="00405303">
        <w:rPr>
          <w:bCs/>
          <w:color w:val="002060"/>
          <w:sz w:val="16"/>
          <w:szCs w:val="16"/>
        </w:rPr>
        <w:t xml:space="preserve">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 </w:t>
      </w:r>
    </w:p>
    <w:p w14:paraId="2729E5FE" w14:textId="77777777" w:rsidR="0011454E" w:rsidRPr="00405303" w:rsidRDefault="0011454E" w:rsidP="00C15251">
      <w:pPr>
        <w:jc w:val="both"/>
        <w:rPr>
          <w:bCs/>
          <w:color w:val="002060"/>
          <w:sz w:val="16"/>
          <w:szCs w:val="16"/>
        </w:rPr>
      </w:pPr>
      <w:r w:rsidRPr="00405303">
        <w:rPr>
          <w:bCs/>
          <w:color w:val="002060"/>
          <w:sz w:val="16"/>
          <w:szCs w:val="16"/>
        </w:rPr>
        <w:t xml:space="preserve">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 </w:t>
      </w:r>
    </w:p>
    <w:p w14:paraId="0D691413" w14:textId="77777777" w:rsidR="0011454E" w:rsidRPr="00405303" w:rsidRDefault="0011454E" w:rsidP="00C15251">
      <w:pPr>
        <w:jc w:val="both"/>
        <w:rPr>
          <w:bCs/>
          <w:color w:val="002060"/>
          <w:sz w:val="16"/>
          <w:szCs w:val="16"/>
        </w:rPr>
      </w:pPr>
      <w:r w:rsidRPr="00405303">
        <w:rPr>
          <w:bCs/>
          <w:color w:val="002060"/>
          <w:sz w:val="16"/>
          <w:szCs w:val="16"/>
        </w:rPr>
        <w:t xml:space="preserve">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 </w:t>
      </w:r>
    </w:p>
    <w:p w14:paraId="1333C55E" w14:textId="77777777" w:rsidR="0011454E" w:rsidRPr="00405303" w:rsidRDefault="0011454E" w:rsidP="00C15251">
      <w:pPr>
        <w:jc w:val="both"/>
        <w:rPr>
          <w:bCs/>
          <w:color w:val="002060"/>
          <w:sz w:val="16"/>
          <w:szCs w:val="16"/>
        </w:rPr>
      </w:pPr>
      <w:r w:rsidRPr="00405303">
        <w:rPr>
          <w:bCs/>
          <w:color w:val="002060"/>
          <w:sz w:val="16"/>
          <w:szCs w:val="16"/>
        </w:rPr>
        <w:t xml:space="preserve">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 </w:t>
      </w:r>
    </w:p>
    <w:p w14:paraId="44275DEC" w14:textId="77777777" w:rsidR="0011454E" w:rsidRPr="00405303" w:rsidRDefault="0011454E" w:rsidP="00C15251">
      <w:pPr>
        <w:jc w:val="both"/>
        <w:rPr>
          <w:bCs/>
          <w:color w:val="002060"/>
          <w:sz w:val="16"/>
          <w:szCs w:val="16"/>
        </w:rPr>
      </w:pPr>
      <w:r w:rsidRPr="00405303">
        <w:rPr>
          <w:bCs/>
          <w:color w:val="002060"/>
          <w:sz w:val="16"/>
          <w:szCs w:val="16"/>
        </w:rPr>
        <w:t xml:space="preserve">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 </w:t>
      </w:r>
    </w:p>
    <w:p w14:paraId="354AF81C" w14:textId="77777777" w:rsidR="0011454E" w:rsidRPr="00405303" w:rsidRDefault="0011454E" w:rsidP="00C15251">
      <w:pPr>
        <w:jc w:val="both"/>
        <w:rPr>
          <w:bCs/>
          <w:color w:val="002060"/>
          <w:sz w:val="16"/>
          <w:szCs w:val="16"/>
        </w:rPr>
      </w:pPr>
      <w:r w:rsidRPr="00405303">
        <w:rPr>
          <w:bCs/>
          <w:color w:val="002060"/>
          <w:sz w:val="16"/>
          <w:szCs w:val="16"/>
        </w:rPr>
        <w:lastRenderedPageBreak/>
        <w:t xml:space="preserve">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w:t>
      </w:r>
    </w:p>
    <w:p w14:paraId="181D07B1" w14:textId="77777777" w:rsidR="0011454E" w:rsidRPr="00405303" w:rsidRDefault="0011454E" w:rsidP="00C15251">
      <w:pPr>
        <w:jc w:val="both"/>
        <w:rPr>
          <w:bCs/>
          <w:color w:val="002060"/>
          <w:sz w:val="16"/>
          <w:szCs w:val="16"/>
        </w:rPr>
      </w:pPr>
      <w:r w:rsidRPr="00405303">
        <w:rPr>
          <w:bCs/>
          <w:color w:val="002060"/>
          <w:sz w:val="16"/>
          <w:szCs w:val="16"/>
        </w:rPr>
        <w:t>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2CBCC9A6" w14:textId="77777777" w:rsidR="0011454E" w:rsidRPr="00405303" w:rsidRDefault="0011454E" w:rsidP="00C15251">
      <w:pPr>
        <w:jc w:val="both"/>
        <w:rPr>
          <w:bCs/>
          <w:color w:val="002060"/>
          <w:sz w:val="16"/>
          <w:szCs w:val="16"/>
        </w:rPr>
      </w:pPr>
      <w:r w:rsidRPr="00405303">
        <w:rPr>
          <w:bCs/>
          <w:color w:val="002060"/>
          <w:sz w:val="16"/>
          <w:szCs w:val="16"/>
        </w:rPr>
        <w:t xml:space="preserve">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6190AF8F" w14:textId="77777777" w:rsidR="0011454E" w:rsidRPr="00405303" w:rsidRDefault="0011454E" w:rsidP="00C15251">
      <w:pPr>
        <w:jc w:val="both"/>
        <w:rPr>
          <w:bCs/>
          <w:color w:val="002060"/>
          <w:sz w:val="16"/>
          <w:szCs w:val="16"/>
        </w:rPr>
      </w:pPr>
      <w:r w:rsidRPr="00405303">
        <w:rPr>
          <w:bCs/>
          <w:color w:val="002060"/>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06ABDB04" w14:textId="77777777" w:rsidR="0011454E" w:rsidRPr="00405303" w:rsidRDefault="0011454E" w:rsidP="00C15251">
      <w:pPr>
        <w:jc w:val="both"/>
        <w:rPr>
          <w:bCs/>
          <w:color w:val="002060"/>
          <w:sz w:val="16"/>
          <w:szCs w:val="16"/>
        </w:rPr>
      </w:pPr>
      <w:r w:rsidRPr="00405303">
        <w:rPr>
          <w:bCs/>
          <w:color w:val="002060"/>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09FDE8AC" w14:textId="77777777" w:rsidR="0011454E" w:rsidRPr="00405303" w:rsidRDefault="0011454E" w:rsidP="00C15251">
      <w:pPr>
        <w:jc w:val="both"/>
        <w:rPr>
          <w:bCs/>
          <w:color w:val="002060"/>
          <w:sz w:val="16"/>
          <w:szCs w:val="16"/>
        </w:rPr>
      </w:pPr>
      <w:r w:rsidRPr="00405303">
        <w:rPr>
          <w:bCs/>
          <w:color w:val="002060"/>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58C26442" w14:textId="77777777" w:rsidR="0064595E" w:rsidRPr="00405303" w:rsidRDefault="0064595E" w:rsidP="00C15251">
      <w:pPr>
        <w:pStyle w:val="a3"/>
        <w:jc w:val="both"/>
        <w:rPr>
          <w:bCs/>
          <w:color w:val="002060"/>
          <w:spacing w:val="0"/>
          <w:kern w:val="0"/>
          <w:position w:val="0"/>
          <w:sz w:val="16"/>
          <w:szCs w:val="16"/>
        </w:rPr>
      </w:pPr>
    </w:p>
    <w:p w14:paraId="68D67813" w14:textId="77777777" w:rsidR="000D0C70" w:rsidRPr="00405303" w:rsidRDefault="000D0C70" w:rsidP="00C15251">
      <w:pPr>
        <w:jc w:val="both"/>
        <w:rPr>
          <w:bCs/>
          <w:color w:val="002060"/>
          <w:sz w:val="16"/>
          <w:szCs w:val="16"/>
        </w:rPr>
      </w:pPr>
      <w:r w:rsidRPr="00405303">
        <w:rPr>
          <w:bCs/>
          <w:color w:val="002060"/>
          <w:sz w:val="16"/>
          <w:szCs w:val="16"/>
          <w:lang w:bidi="en-US"/>
        </w:rPr>
        <w:t xml:space="preserve">В летние месяцы 1915 г. было создано несколько специальных советов по организации производства и снабжения вооружения и </w:t>
      </w:r>
      <w:r w:rsidRPr="00405303">
        <w:rPr>
          <w:bCs/>
          <w:i/>
          <w:iCs/>
          <w:color w:val="002060"/>
          <w:sz w:val="16"/>
          <w:szCs w:val="16"/>
          <w:lang w:bidi="en-US"/>
        </w:rPr>
        <w:t>АО (23525)</w:t>
      </w:r>
      <w:r w:rsidRPr="00405303">
        <w:rPr>
          <w:bCs/>
          <w:color w:val="002060"/>
          <w:sz w:val="16"/>
          <w:szCs w:val="16"/>
          <w:lang w:bidi="en-US"/>
        </w:rPr>
        <w:t>.</w:t>
      </w:r>
    </w:p>
    <w:p w14:paraId="06C95CF4" w14:textId="77777777" w:rsidR="000D0C70" w:rsidRPr="00405303" w:rsidRDefault="000D0C70" w:rsidP="00C15251">
      <w:pPr>
        <w:jc w:val="both"/>
        <w:rPr>
          <w:bCs/>
          <w:color w:val="002060"/>
          <w:sz w:val="16"/>
          <w:szCs w:val="16"/>
        </w:rPr>
      </w:pPr>
    </w:p>
    <w:p w14:paraId="75FFAD44" w14:textId="77777777" w:rsidR="000D0C70" w:rsidRPr="00405303" w:rsidRDefault="000D0C70" w:rsidP="00C15251">
      <w:pPr>
        <w:jc w:val="both"/>
        <w:rPr>
          <w:bCs/>
          <w:color w:val="002060"/>
          <w:sz w:val="16"/>
          <w:szCs w:val="16"/>
        </w:rPr>
      </w:pPr>
      <w:r w:rsidRPr="00405303">
        <w:rPr>
          <w:bCs/>
          <w:color w:val="002060"/>
          <w:sz w:val="16"/>
          <w:szCs w:val="16"/>
        </w:rPr>
        <w:t>Летом 1915 г. инженер, осмотревший Ижевский завод, нашел, что выпуск стволов задерживается также из-за того, что моло</w:t>
      </w:r>
      <w:r w:rsidRPr="00405303">
        <w:rPr>
          <w:bCs/>
          <w:color w:val="002060"/>
          <w:sz w:val="16"/>
          <w:szCs w:val="16"/>
        </w:rPr>
        <w:softHyphen/>
        <w:t>товому цеху (РГВИА. Ф. 369. Оп. 16. Д. 29. Л. 24, 25.) не хватает стали. Недостающее молотовому цеху количество заготовок завод старался получить от част</w:t>
      </w:r>
      <w:r w:rsidRPr="00405303">
        <w:rPr>
          <w:bCs/>
          <w:color w:val="002060"/>
          <w:sz w:val="16"/>
          <w:szCs w:val="16"/>
        </w:rPr>
        <w:softHyphen/>
        <w:t>ных — Брянского и Сормовского.</w:t>
      </w:r>
    </w:p>
    <w:p w14:paraId="6CA7057B" w14:textId="77777777" w:rsidR="000D0C70" w:rsidRPr="00405303" w:rsidRDefault="000D0C70"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В здание, предназначенное для мастерских очистки стали и молотовой, вполне готовое, еще нельзя было переместить производство из бараков, потому что затянулся пуск новой силовой станции. Трем турбинам, заказанным для нее ранее в Германии «и, по полученным сведениям, уже готовым», естественно, пришлось искать замену, и в 1915 г. их переза</w:t>
      </w:r>
      <w:r w:rsidRPr="00405303">
        <w:rPr>
          <w:rFonts w:ascii="Times New Roman" w:hAnsi="Times New Roman" w:cs="Times New Roman"/>
          <w:bCs/>
          <w:color w:val="002060"/>
          <w:sz w:val="16"/>
          <w:szCs w:val="16"/>
        </w:rPr>
        <w:softHyphen/>
        <w:t>казали в Англии, а пока для новой силовой станции при строящейся сверлильно-токарной мастерской удалось по</w:t>
      </w:r>
      <w:r w:rsidRPr="00405303">
        <w:rPr>
          <w:rFonts w:ascii="Times New Roman" w:hAnsi="Times New Roman" w:cs="Times New Roman"/>
          <w:bCs/>
          <w:color w:val="002060"/>
          <w:sz w:val="16"/>
          <w:szCs w:val="16"/>
        </w:rPr>
        <w:softHyphen/>
        <w:t>дыскать шесть дизелей (по 40—60 л.с.) на Сормовском и Ко</w:t>
      </w:r>
      <w:r w:rsidRPr="00405303">
        <w:rPr>
          <w:rFonts w:ascii="Times New Roman" w:hAnsi="Times New Roman" w:cs="Times New Roman"/>
          <w:bCs/>
          <w:color w:val="002060"/>
          <w:sz w:val="16"/>
          <w:szCs w:val="16"/>
        </w:rPr>
        <w:softHyphen/>
        <w:t>ломенском заводах, что открыло возможность увеличить выпуск снарядов. В декабре 1916 — январе 1917 г. энергети</w:t>
      </w:r>
      <w:r w:rsidRPr="00405303">
        <w:rPr>
          <w:rFonts w:ascii="Times New Roman" w:hAnsi="Times New Roman" w:cs="Times New Roman"/>
          <w:bCs/>
          <w:color w:val="002060"/>
          <w:sz w:val="16"/>
          <w:szCs w:val="16"/>
        </w:rPr>
        <w:softHyphen/>
        <w:t>ческое хозяйство завода пополнилось пятью турбогенерато</w:t>
      </w:r>
      <w:r w:rsidRPr="00405303">
        <w:rPr>
          <w:rFonts w:ascii="Times New Roman" w:hAnsi="Times New Roman" w:cs="Times New Roman"/>
          <w:bCs/>
          <w:color w:val="002060"/>
          <w:sz w:val="16"/>
          <w:szCs w:val="16"/>
        </w:rPr>
        <w:softHyphen/>
        <w:t>рами по 2 тысячи кВт, полученными из Англии и США (ВПР. С. 468, 483; Шумилов Е.Ф. Указ. соч. С. 450-451.).</w:t>
      </w:r>
    </w:p>
    <w:p w14:paraId="5E8A4295" w14:textId="77777777" w:rsidR="000D0C70" w:rsidRPr="00405303" w:rsidRDefault="000D0C70" w:rsidP="00C15251">
      <w:pPr>
        <w:jc w:val="both"/>
        <w:rPr>
          <w:bCs/>
          <w:color w:val="002060"/>
          <w:sz w:val="16"/>
          <w:szCs w:val="16"/>
        </w:rPr>
      </w:pPr>
      <w:r w:rsidRPr="00405303">
        <w:rPr>
          <w:bCs/>
          <w:color w:val="002060"/>
          <w:sz w:val="16"/>
          <w:szCs w:val="16"/>
        </w:rPr>
        <w:t>Этот инженер критически отозвался об установленных в молото</w:t>
      </w:r>
      <w:r w:rsidRPr="00405303">
        <w:rPr>
          <w:bCs/>
          <w:color w:val="002060"/>
          <w:sz w:val="16"/>
          <w:szCs w:val="16"/>
        </w:rPr>
        <w:softHyphen/>
        <w:t>вом цехе устройствах, изготовленных соседним Воткинским заводом, но начальник технических артиллерийских заведений возразил: «Паро</w:t>
      </w:r>
      <w:r w:rsidRPr="00405303">
        <w:rPr>
          <w:bCs/>
          <w:color w:val="002060"/>
          <w:sz w:val="16"/>
          <w:szCs w:val="16"/>
        </w:rPr>
        <w:softHyphen/>
        <w:t>вые колотушки, конечно, требуют много пару, но их производитель</w:t>
      </w:r>
      <w:r w:rsidRPr="00405303">
        <w:rPr>
          <w:bCs/>
          <w:color w:val="002060"/>
          <w:sz w:val="16"/>
          <w:szCs w:val="16"/>
        </w:rPr>
        <w:softHyphen/>
        <w:t>ность велика, и, кроме того, их легко изготовить в России, а пневмати</w:t>
      </w:r>
      <w:r w:rsidRPr="00405303">
        <w:rPr>
          <w:bCs/>
          <w:color w:val="002060"/>
          <w:sz w:val="16"/>
          <w:szCs w:val="16"/>
        </w:rPr>
        <w:softHyphen/>
        <w:t>ческие молоты можно получить только из-за границы». «С прискорбием» технический специалист отмечал, что, занимая по мощности железоделательной промышленности пятое место в мире, Россия отстала («у нас нет и не было почти», «находится еще в зачаточ</w:t>
      </w:r>
      <w:r w:rsidRPr="00405303">
        <w:rPr>
          <w:bCs/>
          <w:color w:val="002060"/>
          <w:sz w:val="16"/>
          <w:szCs w:val="16"/>
        </w:rPr>
        <w:softHyphen/>
        <w:t>ном состоянии») в переработке металла: главная синдикатская органи</w:t>
      </w:r>
      <w:r w:rsidRPr="00405303">
        <w:rPr>
          <w:bCs/>
          <w:color w:val="002060"/>
          <w:sz w:val="16"/>
          <w:szCs w:val="16"/>
        </w:rPr>
        <w:softHyphen/>
        <w:t>зация металлопромышленников «Продамет» в свое время «не отнеслась с должным вниманием к выработке высоких сортов стали и еще меньше к научной классификации выплавленного чугуна» (Минц Н.М. О ближай</w:t>
      </w:r>
      <w:r w:rsidRPr="00405303">
        <w:rPr>
          <w:bCs/>
          <w:color w:val="002060"/>
          <w:sz w:val="16"/>
          <w:szCs w:val="16"/>
        </w:rPr>
        <w:softHyphen/>
        <w:t>ших задачах нашей химической промышленности // Вестник приклад</w:t>
      </w:r>
      <w:r w:rsidRPr="00405303">
        <w:rPr>
          <w:bCs/>
          <w:color w:val="002060"/>
          <w:sz w:val="16"/>
          <w:szCs w:val="16"/>
        </w:rPr>
        <w:softHyphen/>
        <w:t>ной химии и химической технологии. М., 1916. № 1. С. 8, 12).</w:t>
      </w:r>
    </w:p>
    <w:p w14:paraId="7929348D" w14:textId="77777777" w:rsidR="000D0C70" w:rsidRPr="00405303" w:rsidRDefault="000D0C70" w:rsidP="00C15251">
      <w:pPr>
        <w:jc w:val="both"/>
        <w:rPr>
          <w:bCs/>
          <w:color w:val="002060"/>
          <w:sz w:val="16"/>
          <w:szCs w:val="16"/>
        </w:rPr>
      </w:pPr>
      <w:r w:rsidRPr="00405303">
        <w:rPr>
          <w:bCs/>
          <w:color w:val="002060"/>
          <w:sz w:val="16"/>
          <w:szCs w:val="16"/>
        </w:rPr>
        <w:t>Летом 1915 г. заканчивалось сооружение 20-тонной мартеновской печи и предполага</w:t>
      </w:r>
      <w:r w:rsidRPr="00405303">
        <w:rPr>
          <w:bCs/>
          <w:color w:val="002060"/>
          <w:sz w:val="16"/>
          <w:szCs w:val="16"/>
        </w:rPr>
        <w:softHyphen/>
        <w:t>лось построить новую сталелитейную мастерскую, для на</w:t>
      </w:r>
      <w:r w:rsidRPr="00405303">
        <w:rPr>
          <w:bCs/>
          <w:color w:val="002060"/>
          <w:sz w:val="16"/>
          <w:szCs w:val="16"/>
        </w:rPr>
        <w:softHyphen/>
        <w:t>чала с одной (23452).</w:t>
      </w:r>
    </w:p>
    <w:p w14:paraId="3CD2110A" w14:textId="77777777" w:rsidR="000D0C70" w:rsidRPr="00405303" w:rsidRDefault="000D0C70" w:rsidP="00C15251">
      <w:pPr>
        <w:jc w:val="both"/>
        <w:rPr>
          <w:bCs/>
          <w:color w:val="002060"/>
          <w:sz w:val="16"/>
          <w:szCs w:val="16"/>
        </w:rPr>
      </w:pPr>
    </w:p>
    <w:p w14:paraId="61E4845F" w14:textId="77777777" w:rsidR="000D0C70" w:rsidRPr="00405303" w:rsidRDefault="000D0C70" w:rsidP="00C15251">
      <w:pPr>
        <w:jc w:val="both"/>
        <w:rPr>
          <w:bCs/>
          <w:color w:val="002060"/>
          <w:sz w:val="16"/>
          <w:szCs w:val="16"/>
        </w:rPr>
      </w:pPr>
      <w:r w:rsidRPr="00405303">
        <w:rPr>
          <w:bCs/>
          <w:color w:val="002060"/>
          <w:sz w:val="16"/>
          <w:szCs w:val="16"/>
        </w:rPr>
        <w:t>Летом 1915 г., когда настали «тяжелые дни» «великого от</w:t>
      </w:r>
      <w:r w:rsidRPr="00405303">
        <w:rPr>
          <w:bCs/>
          <w:color w:val="002060"/>
          <w:sz w:val="16"/>
          <w:szCs w:val="16"/>
        </w:rPr>
        <w:softHyphen/>
        <w:t>ступления», военному ведомству пришлось изображать большую готовность к сотрудничеству с част</w:t>
      </w:r>
      <w:r w:rsidRPr="00405303">
        <w:rPr>
          <w:bCs/>
          <w:color w:val="002060"/>
          <w:sz w:val="16"/>
          <w:szCs w:val="16"/>
        </w:rPr>
        <w:softHyphen/>
        <w:t>ными предпринимателями, стремившимися приобщиться к поставкам на армию, снова напомнил о себе Токарский. Ему стало известно о намеченном строительстве азотного завода ГАУ близ Кондопоги — «на бывшем моем (а ныне принадлежащем «Красносельской писчебумажной фабрике наследников К.П. Печаткина») участке». 18 июля Токарский направил в Особое совещание по обороне записку, в которой доказывал ошибочность принятого правительством решения и предлагал свой, иной вариант создания завода.</w:t>
      </w:r>
    </w:p>
    <w:p w14:paraId="16B72541" w14:textId="77777777" w:rsidR="000D0C70" w:rsidRPr="00405303" w:rsidRDefault="000D0C70" w:rsidP="00C15251">
      <w:pPr>
        <w:jc w:val="both"/>
        <w:rPr>
          <w:bCs/>
          <w:color w:val="002060"/>
          <w:sz w:val="16"/>
          <w:szCs w:val="16"/>
        </w:rPr>
      </w:pPr>
      <w:r w:rsidRPr="00405303">
        <w:rPr>
          <w:bCs/>
          <w:color w:val="002060"/>
          <w:sz w:val="16"/>
          <w:szCs w:val="16"/>
        </w:rPr>
        <w:t>По его мнению, все можно было сделать «гораздо де</w:t>
      </w:r>
      <w:r w:rsidRPr="00405303">
        <w:rPr>
          <w:bCs/>
          <w:color w:val="002060"/>
          <w:sz w:val="16"/>
          <w:szCs w:val="16"/>
        </w:rPr>
        <w:softHyphen/>
        <w:t>шевле и проще» и при этом окончить «во время войны, а не после таковой», но в другом месте — не на Суне, где ведет строительство ГАУ (В спешном порядке под строительство в октябре 1915 г. были за</w:t>
      </w:r>
      <w:r w:rsidRPr="00405303">
        <w:rPr>
          <w:bCs/>
          <w:color w:val="002060"/>
          <w:sz w:val="16"/>
          <w:szCs w:val="16"/>
        </w:rPr>
        <w:softHyphen/>
        <w:t>няты, не принимая во внимание юридические тонкости владения, зем</w:t>
      </w:r>
      <w:r w:rsidRPr="00405303">
        <w:rPr>
          <w:bCs/>
          <w:color w:val="002060"/>
          <w:sz w:val="16"/>
          <w:szCs w:val="16"/>
        </w:rPr>
        <w:softHyphen/>
        <w:t>ли крестьян и арендованные у них Токарским — «перешеек между озе</w:t>
      </w:r>
      <w:r w:rsidRPr="00405303">
        <w:rPr>
          <w:bCs/>
          <w:color w:val="002060"/>
          <w:sz w:val="16"/>
          <w:szCs w:val="16"/>
        </w:rPr>
        <w:softHyphen/>
        <w:t>ром Нигозер и Кондопожской губой [Онежского озера] шириною ок. 2 верст и ок. 2 верст по берегу на обоих озерах» и полуверстовая полоса по обоим берегам р. Сандалки (РГВИА Ф. 29. Оп. 3. Д. 5171. Л. 201 об.)), а близ г. Боровичи Новгородской губернии, на реке Мете. По его словам, стройка на Суне вызвала бы затраты не менее 3,8 млн руб. (3 млн на гид</w:t>
      </w:r>
      <w:r w:rsidRPr="00405303">
        <w:rPr>
          <w:bCs/>
          <w:color w:val="002060"/>
          <w:sz w:val="16"/>
          <w:szCs w:val="16"/>
        </w:rPr>
        <w:softHyphen/>
        <w:t>ротехнические сооружения, без водяных турбогенераторов, плюс 800 тысяч рублей на возмещение убытков наследникам Печаткина) и заняла не менее трех лет. Вместо всего этого Токарский думал учредить «Мстинское общество электри</w:t>
      </w:r>
      <w:r w:rsidRPr="00405303">
        <w:rPr>
          <w:bCs/>
          <w:color w:val="002060"/>
          <w:sz w:val="16"/>
          <w:szCs w:val="16"/>
        </w:rPr>
        <w:softHyphen/>
        <w:t>ческой энергии» и обещал, даже под гарантию в виде за</w:t>
      </w:r>
      <w:r w:rsidRPr="00405303">
        <w:rPr>
          <w:bCs/>
          <w:color w:val="002060"/>
          <w:sz w:val="16"/>
          <w:szCs w:val="16"/>
        </w:rPr>
        <w:softHyphen/>
        <w:t>лога, построить предприятие той же мощности не за три, а за два года и затратив «всего только 2 млн руб.», с пуском первой очереди гидротехнических устройств «до весеннего половодья 1916 г.» (23452).</w:t>
      </w:r>
    </w:p>
    <w:p w14:paraId="0B1CE1F1" w14:textId="77777777" w:rsidR="000D0C70" w:rsidRPr="00405303" w:rsidRDefault="000D0C70" w:rsidP="00C15251">
      <w:pPr>
        <w:jc w:val="both"/>
        <w:rPr>
          <w:bCs/>
          <w:color w:val="002060"/>
          <w:sz w:val="16"/>
          <w:szCs w:val="16"/>
        </w:rPr>
      </w:pPr>
    </w:p>
    <w:p w14:paraId="5FFEF45A" w14:textId="77777777" w:rsidR="00F01B26" w:rsidRPr="00405303" w:rsidRDefault="00F01B26" w:rsidP="00C15251">
      <w:pPr>
        <w:shd w:val="clear" w:color="auto" w:fill="FFFFFF"/>
        <w:jc w:val="both"/>
        <w:rPr>
          <w:bCs/>
          <w:i/>
          <w:color w:val="002060"/>
          <w:sz w:val="16"/>
          <w:szCs w:val="16"/>
        </w:rPr>
      </w:pPr>
      <w:r w:rsidRPr="00405303">
        <w:rPr>
          <w:bCs/>
          <w:i/>
          <w:color w:val="002060"/>
          <w:sz w:val="16"/>
          <w:szCs w:val="16"/>
        </w:rPr>
        <w:t>Авиация:</w:t>
      </w:r>
    </w:p>
    <w:p w14:paraId="52F0FFEE" w14:textId="77777777" w:rsidR="00F01B26" w:rsidRPr="00405303" w:rsidRDefault="00F01B26" w:rsidP="00C15251">
      <w:pPr>
        <w:shd w:val="clear" w:color="auto" w:fill="FFFFFF"/>
        <w:jc w:val="both"/>
        <w:rPr>
          <w:bCs/>
          <w:i/>
          <w:color w:val="002060"/>
          <w:sz w:val="16"/>
          <w:szCs w:val="16"/>
        </w:rPr>
      </w:pPr>
    </w:p>
    <w:p w14:paraId="02972222"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Летом 1915 в Москве начала работать Временная авиационная школа пере</w:t>
      </w:r>
      <w:r w:rsidRPr="00405303">
        <w:rPr>
          <w:bCs/>
          <w:color w:val="002060"/>
          <w:sz w:val="16"/>
          <w:szCs w:val="16"/>
        </w:rPr>
        <w:softHyphen/>
        <w:t>учивания летного состава для истребительных авиачастей. В 1916 г. она была переведена в Одессу (1137).</w:t>
      </w:r>
    </w:p>
    <w:p w14:paraId="7B052F91" w14:textId="77777777" w:rsidR="00F01B26" w:rsidRPr="00405303" w:rsidRDefault="00F01B26" w:rsidP="00C15251">
      <w:pPr>
        <w:shd w:val="clear" w:color="auto" w:fill="FFFFFF"/>
        <w:jc w:val="both"/>
        <w:rPr>
          <w:bCs/>
          <w:color w:val="002060"/>
          <w:sz w:val="16"/>
          <w:szCs w:val="16"/>
        </w:rPr>
      </w:pPr>
    </w:p>
    <w:p w14:paraId="10FEB6E1" w14:textId="77777777" w:rsidR="00F01B26" w:rsidRPr="00405303" w:rsidRDefault="00F01B26" w:rsidP="00C15251">
      <w:pPr>
        <w:jc w:val="both"/>
        <w:rPr>
          <w:bCs/>
          <w:color w:val="002060"/>
          <w:sz w:val="16"/>
          <w:szCs w:val="16"/>
        </w:rPr>
      </w:pPr>
      <w:r w:rsidRPr="00405303">
        <w:rPr>
          <w:bCs/>
          <w:color w:val="002060"/>
          <w:sz w:val="16"/>
          <w:szCs w:val="16"/>
        </w:rPr>
        <w:t>Летом 1915 года произошло еще одно немаловажное для развития военной авиации событие. Именно к этому периоду относятся первые штурмовые действия русских авиаторов. Пять русских самолетов 31-го авиационного отряда с небольшой высоты атаковали скопление немецких войск на переправе через р. Буг у местечка Влодава. Пулеметный огонь с аэропланов и сброшенные бомбы внесли смятение в ряды наступающего противника и обеспечили успех атаки 1-й гвардейской пехотной дивизии. И вновь это произошло случайно, причем, скорее из-за недостатка средств, чем по причине их избыточного количества.</w:t>
      </w:r>
    </w:p>
    <w:p w14:paraId="16BAA132" w14:textId="77777777" w:rsidR="00F01B26" w:rsidRPr="00405303" w:rsidRDefault="00F01B26" w:rsidP="00C15251">
      <w:pPr>
        <w:jc w:val="both"/>
        <w:rPr>
          <w:bCs/>
          <w:color w:val="002060"/>
          <w:sz w:val="16"/>
          <w:szCs w:val="16"/>
        </w:rPr>
      </w:pPr>
      <w:r w:rsidRPr="00405303">
        <w:rPr>
          <w:bCs/>
          <w:color w:val="002060"/>
          <w:sz w:val="16"/>
          <w:szCs w:val="16"/>
        </w:rPr>
        <w:t>События развивались следующим образом:</w:t>
      </w:r>
    </w:p>
    <w:p w14:paraId="10C6AB45" w14:textId="77777777" w:rsidR="00F01B26" w:rsidRPr="00405303" w:rsidRDefault="00F01B26" w:rsidP="00C15251">
      <w:pPr>
        <w:jc w:val="both"/>
        <w:rPr>
          <w:bCs/>
          <w:color w:val="002060"/>
          <w:sz w:val="16"/>
          <w:szCs w:val="16"/>
        </w:rPr>
      </w:pPr>
      <w:r w:rsidRPr="00405303">
        <w:rPr>
          <w:bCs/>
          <w:color w:val="002060"/>
          <w:sz w:val="16"/>
          <w:szCs w:val="16"/>
        </w:rPr>
        <w:t>27-30 июля - Постоянные проливные дожди исключали всякую возможность полетов. Русское командование потеряло из виду германские войска.</w:t>
      </w:r>
    </w:p>
    <w:p w14:paraId="30A54112" w14:textId="77777777" w:rsidR="00F01B26" w:rsidRPr="00405303" w:rsidRDefault="00F01B26" w:rsidP="00C15251">
      <w:pPr>
        <w:jc w:val="both"/>
        <w:rPr>
          <w:bCs/>
          <w:color w:val="002060"/>
          <w:sz w:val="16"/>
          <w:szCs w:val="16"/>
        </w:rPr>
      </w:pPr>
      <w:r w:rsidRPr="00405303">
        <w:rPr>
          <w:bCs/>
          <w:color w:val="002060"/>
          <w:sz w:val="16"/>
          <w:szCs w:val="16"/>
        </w:rPr>
        <w:t>31 июля - С рассветом установилась ясная погода. В 5 часов утра по маршруту Влодава - Холм - Файславице - Бела - Брест-Литовск выслан для разведки самолет 31-го авиаотряда. Летчиками было обнаружено движение на Вло- даву двух пехотных колонн с артиллерий; одна колонна двигалась из Файславице, другая - из Холма.</w:t>
      </w:r>
    </w:p>
    <w:p w14:paraId="4EBE228F" w14:textId="77777777" w:rsidR="00F01B26" w:rsidRPr="00405303" w:rsidRDefault="00F01B26" w:rsidP="00C15251">
      <w:pPr>
        <w:jc w:val="both"/>
        <w:rPr>
          <w:bCs/>
          <w:color w:val="002060"/>
          <w:sz w:val="16"/>
          <w:szCs w:val="16"/>
        </w:rPr>
      </w:pPr>
      <w:r w:rsidRPr="00405303">
        <w:rPr>
          <w:bCs/>
          <w:color w:val="002060"/>
          <w:sz w:val="16"/>
          <w:szCs w:val="16"/>
        </w:rPr>
        <w:lastRenderedPageBreak/>
        <w:t>Летчик полетел над колонной для уточнения численности, однако немецкая батарея очень быстро развернулась и открыла по нему прицельный и довольно точный огонь, в результате чего одним из осколков был выведен из строя мотор.</w:t>
      </w:r>
    </w:p>
    <w:p w14:paraId="6F40ABAD" w14:textId="77777777" w:rsidR="00F01B26" w:rsidRPr="00405303" w:rsidRDefault="00F01B26" w:rsidP="00C15251">
      <w:pPr>
        <w:jc w:val="both"/>
        <w:rPr>
          <w:bCs/>
          <w:color w:val="002060"/>
          <w:sz w:val="16"/>
          <w:szCs w:val="16"/>
        </w:rPr>
      </w:pPr>
      <w:r w:rsidRPr="00405303">
        <w:rPr>
          <w:bCs/>
          <w:color w:val="002060"/>
          <w:sz w:val="16"/>
          <w:szCs w:val="16"/>
        </w:rPr>
        <w:t xml:space="preserve">Самолет находился на высоте 2500 м, до русских позиций было около 35 км. На счастье </w:t>
      </w:r>
      <w:proofErr w:type="gramStart"/>
      <w:r w:rsidRPr="00405303">
        <w:rPr>
          <w:bCs/>
          <w:color w:val="002060"/>
          <w:sz w:val="16"/>
          <w:szCs w:val="16"/>
        </w:rPr>
        <w:t>русских авиаторов</w:t>
      </w:r>
      <w:proofErr w:type="gramEnd"/>
      <w:r w:rsidRPr="00405303">
        <w:rPr>
          <w:bCs/>
          <w:color w:val="002060"/>
          <w:sz w:val="16"/>
          <w:szCs w:val="16"/>
        </w:rPr>
        <w:t xml:space="preserve"> в их сторону дул довольно сильный ветер, и пилоту удалось дотянуть до своих окопов.</w:t>
      </w:r>
    </w:p>
    <w:p w14:paraId="1F0702FC" w14:textId="77777777" w:rsidR="00F01B26" w:rsidRPr="00405303" w:rsidRDefault="00F01B26" w:rsidP="00C15251">
      <w:pPr>
        <w:jc w:val="both"/>
        <w:rPr>
          <w:bCs/>
          <w:color w:val="002060"/>
          <w:sz w:val="16"/>
          <w:szCs w:val="16"/>
        </w:rPr>
      </w:pPr>
      <w:r w:rsidRPr="00405303">
        <w:rPr>
          <w:bCs/>
          <w:color w:val="002060"/>
          <w:sz w:val="16"/>
          <w:szCs w:val="16"/>
        </w:rPr>
        <w:t>Оба летчика были немедленно доставлены в штаб корпуса 13-й армии.</w:t>
      </w:r>
    </w:p>
    <w:p w14:paraId="6B0A5031" w14:textId="77777777" w:rsidR="00F01B26" w:rsidRPr="00405303" w:rsidRDefault="00F01B26" w:rsidP="00C15251">
      <w:pPr>
        <w:jc w:val="both"/>
        <w:rPr>
          <w:bCs/>
          <w:color w:val="002060"/>
          <w:sz w:val="16"/>
          <w:szCs w:val="16"/>
        </w:rPr>
      </w:pPr>
      <w:r w:rsidRPr="00405303">
        <w:rPr>
          <w:bCs/>
          <w:color w:val="002060"/>
          <w:sz w:val="16"/>
          <w:szCs w:val="16"/>
        </w:rPr>
        <w:t>Движение германских войск к Влодаве оказалось совершенно неожиданным для русского командования. Русские войска не располагали даже достаточными резервами на этом участке, способными помешать переправе германских войск.</w:t>
      </w:r>
    </w:p>
    <w:p w14:paraId="05B34F0E" w14:textId="77777777" w:rsidR="00F01B26" w:rsidRPr="00405303" w:rsidRDefault="00F01B26" w:rsidP="00C15251">
      <w:pPr>
        <w:jc w:val="both"/>
        <w:rPr>
          <w:bCs/>
          <w:color w:val="002060"/>
          <w:sz w:val="16"/>
          <w:szCs w:val="16"/>
        </w:rPr>
      </w:pPr>
      <w:r w:rsidRPr="00405303">
        <w:rPr>
          <w:bCs/>
          <w:color w:val="002060"/>
          <w:sz w:val="16"/>
          <w:szCs w:val="16"/>
        </w:rPr>
        <w:t>По всем расчетам германцы должны были начать переправу на следующий день на рассвете. Нужно было принимать срочные меры.</w:t>
      </w:r>
    </w:p>
    <w:p w14:paraId="4AEC8B40" w14:textId="77777777" w:rsidR="00F01B26" w:rsidRPr="00405303" w:rsidRDefault="00F01B26" w:rsidP="00C15251">
      <w:pPr>
        <w:jc w:val="both"/>
        <w:rPr>
          <w:bCs/>
          <w:color w:val="002060"/>
          <w:sz w:val="16"/>
          <w:szCs w:val="16"/>
        </w:rPr>
      </w:pPr>
      <w:r w:rsidRPr="00405303">
        <w:rPr>
          <w:bCs/>
          <w:color w:val="002060"/>
          <w:sz w:val="16"/>
          <w:szCs w:val="16"/>
        </w:rPr>
        <w:t xml:space="preserve">К этому дню из трех авиаотрядов на этом участке фронта остался всего один 31-й корпусной авиаотряд 3-й армии, в котором оказалось на данный момент лишь пять исправных самолетов и 250 пудов (4 т) бомб. Было решено использовать полностью все имеющиеся средства. К Влодаве была срочно направлена 1-я гвардейская дивизия - единственный армейский резерв. Самолеты должны были присоединиться к действиям дивизионной артиллерии после </w:t>
      </w:r>
      <w:proofErr w:type="gramStart"/>
      <w:r w:rsidRPr="00405303">
        <w:rPr>
          <w:bCs/>
          <w:color w:val="002060"/>
          <w:sz w:val="16"/>
          <w:szCs w:val="16"/>
        </w:rPr>
        <w:t>того</w:t>
      </w:r>
      <w:proofErr w:type="gramEnd"/>
      <w:r w:rsidRPr="00405303">
        <w:rPr>
          <w:bCs/>
          <w:color w:val="002060"/>
          <w:sz w:val="16"/>
          <w:szCs w:val="16"/>
        </w:rPr>
        <w:t xml:space="preserve"> как германские войска наведут мосты и часть их успеет переправиться. Пехота 1-й гвардейской дивизии, при поддержке артиллерии и авиации, должна была ударить по успевшим переправиться германским войскам (11999).</w:t>
      </w:r>
    </w:p>
    <w:p w14:paraId="6FA6F4CF" w14:textId="77777777" w:rsidR="00F01B26" w:rsidRPr="00405303" w:rsidRDefault="00F01B26" w:rsidP="00C15251">
      <w:pPr>
        <w:jc w:val="both"/>
        <w:rPr>
          <w:bCs/>
          <w:color w:val="002060"/>
          <w:sz w:val="16"/>
          <w:szCs w:val="16"/>
        </w:rPr>
      </w:pPr>
    </w:p>
    <w:p w14:paraId="730A8BE1"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С лета 1915 г. русские летчики</w:t>
      </w:r>
      <w:proofErr w:type="gramStart"/>
      <w:r w:rsidRPr="00405303">
        <w:rPr>
          <w:bCs/>
          <w:color w:val="002060"/>
          <w:sz w:val="16"/>
          <w:szCs w:val="16"/>
        </w:rPr>
        <w:t>, Всячески</w:t>
      </w:r>
      <w:proofErr w:type="gramEnd"/>
      <w:r w:rsidRPr="00405303">
        <w:rPr>
          <w:bCs/>
          <w:color w:val="002060"/>
          <w:sz w:val="16"/>
          <w:szCs w:val="16"/>
        </w:rPr>
        <w:t xml:space="preserve"> стремясь помочь наземным войскам в их борьбе с противником, начали при</w:t>
      </w:r>
      <w:r w:rsidRPr="00405303">
        <w:rPr>
          <w:bCs/>
          <w:color w:val="002060"/>
          <w:sz w:val="16"/>
          <w:szCs w:val="16"/>
        </w:rPr>
        <w:softHyphen/>
        <w:t>менять штурмовые действия; снижаясь над полем боя до брею</w:t>
      </w:r>
      <w:r w:rsidRPr="00405303">
        <w:rPr>
          <w:bCs/>
          <w:color w:val="002060"/>
          <w:sz w:val="16"/>
          <w:szCs w:val="16"/>
        </w:rPr>
        <w:softHyphen/>
        <w:t>щего полета, они из пулеметов обстреливали скопления немецкой пехоты и сбрасывали на нее мелкие авиабомбы. Особенно эффек</w:t>
      </w:r>
      <w:r w:rsidRPr="00405303">
        <w:rPr>
          <w:bCs/>
          <w:color w:val="002060"/>
          <w:sz w:val="16"/>
          <w:szCs w:val="16"/>
        </w:rPr>
        <w:softHyphen/>
        <w:t>тивно и в массовом масштабе штурмовые действия применялись русскими летчиками во время летнего наступления войск Юго-Западного фронта в 1916 г.</w:t>
      </w:r>
    </w:p>
    <w:p w14:paraId="76A5191E"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Однако в тот период штурмовая авиация еще не была выде</w:t>
      </w:r>
      <w:r w:rsidRPr="00405303">
        <w:rPr>
          <w:bCs/>
          <w:color w:val="002060"/>
          <w:sz w:val="16"/>
          <w:szCs w:val="16"/>
        </w:rPr>
        <w:softHyphen/>
        <w:t>лена в самостоятельный род авиации. Штурмовые действия при</w:t>
      </w:r>
      <w:r w:rsidRPr="00405303">
        <w:rPr>
          <w:bCs/>
          <w:color w:val="002060"/>
          <w:sz w:val="16"/>
          <w:szCs w:val="16"/>
        </w:rPr>
        <w:softHyphen/>
        <w:t>менялись только эпизодически. Специальных самолетов-штурмо</w:t>
      </w:r>
      <w:r w:rsidRPr="00405303">
        <w:rPr>
          <w:bCs/>
          <w:color w:val="002060"/>
          <w:sz w:val="16"/>
          <w:szCs w:val="16"/>
        </w:rPr>
        <w:softHyphen/>
        <w:t>виков еще не было ни в одной стране. Первые такие самолеты были созданы только в Советской стране советскими авиацион</w:t>
      </w:r>
      <w:r w:rsidRPr="00405303">
        <w:rPr>
          <w:bCs/>
          <w:color w:val="002060"/>
          <w:sz w:val="16"/>
          <w:szCs w:val="16"/>
        </w:rPr>
        <w:softHyphen/>
        <w:t>ными конструкторами.</w:t>
      </w:r>
    </w:p>
    <w:p w14:paraId="36C180C5"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Таким образом, наша страна является родиной штурмовой авиации (278).</w:t>
      </w:r>
    </w:p>
    <w:p w14:paraId="3875DC8F" w14:textId="77777777" w:rsidR="00F01B26" w:rsidRPr="00405303" w:rsidRDefault="00F01B26" w:rsidP="00C15251">
      <w:pPr>
        <w:shd w:val="clear" w:color="auto" w:fill="FFFFFF"/>
        <w:jc w:val="both"/>
        <w:rPr>
          <w:bCs/>
          <w:color w:val="002060"/>
          <w:sz w:val="16"/>
          <w:szCs w:val="16"/>
        </w:rPr>
      </w:pPr>
    </w:p>
    <w:p w14:paraId="1C9B2F5F" w14:textId="77777777" w:rsidR="00F01B26" w:rsidRPr="00405303" w:rsidRDefault="00F01B26" w:rsidP="00C15251">
      <w:pPr>
        <w:jc w:val="both"/>
        <w:rPr>
          <w:bCs/>
          <w:color w:val="002060"/>
          <w:sz w:val="16"/>
          <w:szCs w:val="16"/>
        </w:rPr>
      </w:pPr>
      <w:r w:rsidRPr="00405303">
        <w:rPr>
          <w:bCs/>
          <w:color w:val="002060"/>
          <w:sz w:val="16"/>
          <w:szCs w:val="16"/>
        </w:rPr>
        <w:t>Летом 1915 года пять самолетов 31-го авиаотряда атаковали скопление германских войск в районе переправвы через реку Буг, рассеяв противника пулеметным огнем. Воюзники также впервые применили штурмовку именно на русском фронте (это сделали англичане из состава авиаотряда, действовавшего в полосе Юго-Западного фронта) (11184).</w:t>
      </w:r>
    </w:p>
    <w:p w14:paraId="087505B0" w14:textId="77777777" w:rsidR="00F01B26" w:rsidRPr="00405303" w:rsidRDefault="00F01B26" w:rsidP="00C15251">
      <w:pPr>
        <w:shd w:val="clear" w:color="auto" w:fill="FFFFFF"/>
        <w:jc w:val="both"/>
        <w:rPr>
          <w:bCs/>
          <w:color w:val="002060"/>
          <w:sz w:val="16"/>
          <w:szCs w:val="16"/>
        </w:rPr>
      </w:pPr>
    </w:p>
    <w:p w14:paraId="0C67F0EE" w14:textId="77777777" w:rsidR="00F01B26" w:rsidRPr="00405303" w:rsidRDefault="00F01B26" w:rsidP="00C15251">
      <w:pPr>
        <w:jc w:val="both"/>
        <w:rPr>
          <w:bCs/>
          <w:color w:val="002060"/>
          <w:sz w:val="16"/>
          <w:szCs w:val="16"/>
        </w:rPr>
      </w:pPr>
      <w:r w:rsidRPr="00405303">
        <w:rPr>
          <w:bCs/>
          <w:color w:val="002060"/>
          <w:sz w:val="16"/>
          <w:szCs w:val="16"/>
        </w:rPr>
        <w:t>Во время летнего 1915 года германского наступления успешно были атакованы узловые пункты железных дорог, идущих к Млаве, Брест-Литовску и Вильне, а позднее Брест-Литовск и железная дорога у Кобрина (11282).</w:t>
      </w:r>
    </w:p>
    <w:p w14:paraId="0A929296" w14:textId="77777777" w:rsidR="00F01B26" w:rsidRPr="00405303" w:rsidRDefault="00F01B26" w:rsidP="00C15251">
      <w:pPr>
        <w:jc w:val="both"/>
        <w:rPr>
          <w:bCs/>
          <w:color w:val="002060"/>
          <w:sz w:val="16"/>
          <w:szCs w:val="16"/>
        </w:rPr>
      </w:pPr>
    </w:p>
    <w:p w14:paraId="340E39D8"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Лето 1915 В Москве начала работать Временная авиационная школа переучивания летного состава для истребительных авиача</w:t>
      </w:r>
      <w:r w:rsidRPr="00405303">
        <w:rPr>
          <w:bCs/>
          <w:color w:val="002060"/>
          <w:sz w:val="16"/>
          <w:szCs w:val="16"/>
        </w:rPr>
        <w:softHyphen/>
        <w:t>стей. В 1916г. она была переведена в Одессу (11425).</w:t>
      </w:r>
    </w:p>
    <w:p w14:paraId="20CDD389" w14:textId="77777777" w:rsidR="00F01B26" w:rsidRPr="00405303" w:rsidRDefault="00F01B26" w:rsidP="00C15251">
      <w:pPr>
        <w:shd w:val="clear" w:color="auto" w:fill="FFFFFF"/>
        <w:jc w:val="both"/>
        <w:rPr>
          <w:bCs/>
          <w:color w:val="002060"/>
          <w:sz w:val="16"/>
          <w:szCs w:val="16"/>
        </w:rPr>
      </w:pPr>
    </w:p>
    <w:p w14:paraId="1338EDDD" w14:textId="77777777" w:rsidR="00F01B26" w:rsidRPr="00405303" w:rsidRDefault="00F01B26" w:rsidP="00C15251">
      <w:pPr>
        <w:shd w:val="clear" w:color="auto" w:fill="FFFFFF"/>
        <w:jc w:val="both"/>
        <w:rPr>
          <w:bCs/>
          <w:i/>
          <w:color w:val="002060"/>
          <w:sz w:val="16"/>
          <w:szCs w:val="16"/>
        </w:rPr>
      </w:pPr>
      <w:r w:rsidRPr="00405303">
        <w:rPr>
          <w:bCs/>
          <w:i/>
          <w:color w:val="002060"/>
          <w:sz w:val="16"/>
          <w:szCs w:val="16"/>
        </w:rPr>
        <w:t>Морская авиация:</w:t>
      </w:r>
    </w:p>
    <w:p w14:paraId="0A09E884" w14:textId="77777777" w:rsidR="00F01B26" w:rsidRPr="00405303" w:rsidRDefault="00F01B26" w:rsidP="00C15251">
      <w:pPr>
        <w:shd w:val="clear" w:color="auto" w:fill="FFFFFF"/>
        <w:jc w:val="both"/>
        <w:rPr>
          <w:bCs/>
          <w:i/>
          <w:color w:val="002060"/>
          <w:sz w:val="16"/>
          <w:szCs w:val="16"/>
        </w:rPr>
      </w:pPr>
    </w:p>
    <w:p w14:paraId="3929D064"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Летом 1915 г. авиатранспорты ЧМ неоднократно участво</w:t>
      </w:r>
      <w:r w:rsidRPr="00405303">
        <w:rPr>
          <w:bCs/>
          <w:color w:val="002060"/>
          <w:sz w:val="16"/>
          <w:szCs w:val="16"/>
        </w:rPr>
        <w:softHyphen/>
        <w:t>вали во вспомогательных операциях (11107).</w:t>
      </w:r>
    </w:p>
    <w:p w14:paraId="142C6E43" w14:textId="77777777" w:rsidR="00F01B26" w:rsidRPr="00405303" w:rsidRDefault="00F01B26" w:rsidP="00C15251">
      <w:pPr>
        <w:shd w:val="clear" w:color="auto" w:fill="FFFFFF"/>
        <w:jc w:val="both"/>
        <w:rPr>
          <w:bCs/>
          <w:color w:val="002060"/>
          <w:sz w:val="16"/>
          <w:szCs w:val="16"/>
        </w:rPr>
      </w:pPr>
    </w:p>
    <w:p w14:paraId="078EC354"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Во время летней компании 1915 года авиационный отдел Службы связи Балтийского мо</w:t>
      </w:r>
      <w:r w:rsidRPr="00405303">
        <w:rPr>
          <w:bCs/>
          <w:color w:val="002060"/>
          <w:sz w:val="16"/>
          <w:szCs w:val="16"/>
        </w:rPr>
        <w:softHyphen/>
        <w:t>ря в основном оперировал летающими лодками ФБА французской конструкции и морские пилоты были бы почти полностью удовлетворены характеристиками этих машин, если бы не их ротативные 100-сильные "Моносупапы", ненадежные в работе. Однако, гидроаэроплан ВМ-1 проектировался под такой же двигатель, а потому в своем заключении члены Авиа</w:t>
      </w:r>
      <w:r w:rsidRPr="00405303">
        <w:rPr>
          <w:bCs/>
          <w:color w:val="002060"/>
          <w:sz w:val="16"/>
          <w:szCs w:val="16"/>
        </w:rPr>
        <w:softHyphen/>
        <w:t>ционного комитета объявили аппараты этого типа ненужными. Ко времени заседания А.Ю. Виллишу уже было дано поручение разработать новую модель, на этот раз без сложной установки коробки крыльев. Для работы над этой машиной старую перевезли на завод В.А. Лебедева в Петроград и сделали это без всякого согласия со стороны Ф.В. Эбергарда, кото</w:t>
      </w:r>
      <w:r w:rsidRPr="00405303">
        <w:rPr>
          <w:bCs/>
          <w:color w:val="002060"/>
          <w:sz w:val="16"/>
          <w:szCs w:val="16"/>
        </w:rPr>
        <w:softHyphen/>
        <w:t>рый, впрочем, никогда более и не пытался возобновить свою деятельность в аэропланост-роении (2343).</w:t>
      </w:r>
    </w:p>
    <w:p w14:paraId="0AE82FD5" w14:textId="77777777" w:rsidR="00F01B26" w:rsidRPr="00405303" w:rsidRDefault="00F01B26" w:rsidP="00C15251">
      <w:pPr>
        <w:shd w:val="clear" w:color="auto" w:fill="FFFFFF"/>
        <w:jc w:val="both"/>
        <w:rPr>
          <w:bCs/>
          <w:color w:val="002060"/>
          <w:sz w:val="16"/>
          <w:szCs w:val="16"/>
        </w:rPr>
      </w:pPr>
    </w:p>
    <w:p w14:paraId="087FA858"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Летом «Орлица» была включена в состав Морских сил Рижского залива, ее экипаж возглавил Б. Дудоров (11283).</w:t>
      </w:r>
    </w:p>
    <w:p w14:paraId="2469E0A8" w14:textId="77777777" w:rsidR="00F01B26" w:rsidRPr="00405303" w:rsidRDefault="00F01B26" w:rsidP="00C15251">
      <w:pPr>
        <w:shd w:val="clear" w:color="auto" w:fill="FFFFFF"/>
        <w:jc w:val="both"/>
        <w:rPr>
          <w:bCs/>
          <w:color w:val="002060"/>
          <w:sz w:val="16"/>
          <w:szCs w:val="16"/>
        </w:rPr>
      </w:pPr>
    </w:p>
    <w:p w14:paraId="0CDC58B6"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С лета 1915 г. «Орлица» принимала участие в боевых действиях Балтийского флота (11107).</w:t>
      </w:r>
    </w:p>
    <w:p w14:paraId="7C44031F" w14:textId="77777777" w:rsidR="00F01B26" w:rsidRPr="00405303" w:rsidRDefault="00F01B26" w:rsidP="00C15251">
      <w:pPr>
        <w:shd w:val="clear" w:color="auto" w:fill="FFFFFF"/>
        <w:jc w:val="both"/>
        <w:rPr>
          <w:bCs/>
          <w:color w:val="002060"/>
          <w:sz w:val="16"/>
          <w:szCs w:val="16"/>
        </w:rPr>
      </w:pPr>
    </w:p>
    <w:p w14:paraId="5838C7A1" w14:textId="77777777" w:rsidR="00F01B26" w:rsidRPr="00405303" w:rsidRDefault="00F01B26" w:rsidP="00C15251">
      <w:pPr>
        <w:jc w:val="both"/>
        <w:rPr>
          <w:bCs/>
          <w:color w:val="002060"/>
          <w:sz w:val="16"/>
          <w:szCs w:val="16"/>
        </w:rPr>
      </w:pPr>
      <w:r w:rsidRPr="00405303">
        <w:rPr>
          <w:bCs/>
          <w:color w:val="002060"/>
          <w:sz w:val="16"/>
          <w:szCs w:val="16"/>
        </w:rPr>
        <w:t>С лета 1915 г. «Орли</w:t>
      </w:r>
      <w:r w:rsidRPr="00405303">
        <w:rPr>
          <w:bCs/>
          <w:color w:val="002060"/>
          <w:sz w:val="16"/>
          <w:szCs w:val="16"/>
        </w:rPr>
        <w:softHyphen/>
        <w:t>ца» принимала участие в боевых действиях Балтийского флота. В августе-октябре ее самолеты вели разведку и корректировали артил</w:t>
      </w:r>
      <w:r w:rsidRPr="00405303">
        <w:rPr>
          <w:bCs/>
          <w:color w:val="002060"/>
          <w:sz w:val="16"/>
          <w:szCs w:val="16"/>
        </w:rPr>
        <w:softHyphen/>
        <w:t>лерийский огонь кораблей, ведущих обстрел немецких укреплений в районе мыса Рагоцен. В октябре «Орлица» прикрывала высадку рус</w:t>
      </w:r>
      <w:r w:rsidRPr="00405303">
        <w:rPr>
          <w:bCs/>
          <w:color w:val="002060"/>
          <w:sz w:val="16"/>
          <w:szCs w:val="16"/>
        </w:rPr>
        <w:softHyphen/>
        <w:t>ского десанта на курляндском по</w:t>
      </w:r>
      <w:r w:rsidRPr="00405303">
        <w:rPr>
          <w:bCs/>
          <w:color w:val="002060"/>
          <w:sz w:val="16"/>
          <w:szCs w:val="16"/>
        </w:rPr>
        <w:softHyphen/>
        <w:t>бережье у Доместеса.</w:t>
      </w:r>
    </w:p>
    <w:p w14:paraId="154F3FA3" w14:textId="77777777" w:rsidR="00F01B26" w:rsidRPr="00405303" w:rsidRDefault="00F01B26" w:rsidP="00C15251">
      <w:pPr>
        <w:jc w:val="both"/>
        <w:rPr>
          <w:bCs/>
          <w:color w:val="002060"/>
          <w:sz w:val="16"/>
          <w:szCs w:val="16"/>
        </w:rPr>
      </w:pPr>
      <w:r w:rsidRPr="00405303">
        <w:rPr>
          <w:bCs/>
          <w:color w:val="002060"/>
          <w:sz w:val="16"/>
          <w:szCs w:val="16"/>
        </w:rPr>
        <w:t>В начале 1915 г. для этой цели использовали пароход «Императри</w:t>
      </w:r>
      <w:r w:rsidRPr="00405303">
        <w:rPr>
          <w:bCs/>
          <w:color w:val="002060"/>
          <w:sz w:val="16"/>
          <w:szCs w:val="16"/>
        </w:rPr>
        <w:softHyphen/>
        <w:t>ца Александра», получивший после проведенной модернизации наиме</w:t>
      </w:r>
      <w:r w:rsidRPr="00405303">
        <w:rPr>
          <w:bCs/>
          <w:color w:val="002060"/>
          <w:sz w:val="16"/>
          <w:szCs w:val="16"/>
        </w:rPr>
        <w:softHyphen/>
        <w:t>нование авиабаза «Орлица». Ко</w:t>
      </w:r>
      <w:r w:rsidRPr="00405303">
        <w:rPr>
          <w:bCs/>
          <w:color w:val="002060"/>
          <w:sz w:val="16"/>
          <w:szCs w:val="16"/>
        </w:rPr>
        <w:softHyphen/>
        <w:t>рабль имел на верхней палубе два навеса-ангара, вмещавшие по два самолета. Еще один самолет в ра</w:t>
      </w:r>
      <w:r w:rsidRPr="00405303">
        <w:rPr>
          <w:bCs/>
          <w:color w:val="002060"/>
          <w:sz w:val="16"/>
          <w:szCs w:val="16"/>
        </w:rPr>
        <w:softHyphen/>
        <w:t>зобранном виде хранился в трюм</w:t>
      </w:r>
      <w:r w:rsidRPr="00405303">
        <w:rPr>
          <w:bCs/>
          <w:color w:val="002060"/>
          <w:sz w:val="16"/>
          <w:szCs w:val="16"/>
        </w:rPr>
        <w:softHyphen/>
        <w:t>ном отделении. На борту хранились необходимые запасы топлива и бомб, были устроены мастерские для ремонта самолетов и двигате</w:t>
      </w:r>
      <w:r w:rsidRPr="00405303">
        <w:rPr>
          <w:bCs/>
          <w:color w:val="002060"/>
          <w:sz w:val="16"/>
          <w:szCs w:val="16"/>
        </w:rPr>
        <w:softHyphen/>
        <w:t>лей. После окончания переобору</w:t>
      </w:r>
      <w:r w:rsidRPr="00405303">
        <w:rPr>
          <w:bCs/>
          <w:color w:val="002060"/>
          <w:sz w:val="16"/>
          <w:szCs w:val="16"/>
        </w:rPr>
        <w:softHyphen/>
        <w:t>дования на «Орлицу» перевели ле</w:t>
      </w:r>
      <w:r w:rsidRPr="00405303">
        <w:rPr>
          <w:bCs/>
          <w:color w:val="002060"/>
          <w:sz w:val="16"/>
          <w:szCs w:val="16"/>
        </w:rPr>
        <w:softHyphen/>
        <w:t>тающие лодки РВА с экипажами с закрытой береговой станции в Гель</w:t>
      </w:r>
      <w:r w:rsidRPr="00405303">
        <w:rPr>
          <w:bCs/>
          <w:color w:val="002060"/>
          <w:sz w:val="16"/>
          <w:szCs w:val="16"/>
        </w:rPr>
        <w:softHyphen/>
        <w:t>сингфорсе.</w:t>
      </w:r>
    </w:p>
    <w:p w14:paraId="1C490305" w14:textId="77777777" w:rsidR="00F01B26" w:rsidRPr="00405303" w:rsidRDefault="00F01B26" w:rsidP="00C15251">
      <w:pPr>
        <w:jc w:val="both"/>
        <w:rPr>
          <w:bCs/>
          <w:color w:val="002060"/>
          <w:sz w:val="16"/>
          <w:szCs w:val="16"/>
        </w:rPr>
      </w:pPr>
      <w:r w:rsidRPr="00405303">
        <w:rPr>
          <w:bCs/>
          <w:color w:val="002060"/>
          <w:sz w:val="16"/>
          <w:szCs w:val="16"/>
        </w:rPr>
        <w:t>В зимний период активность боевых действий на море спала, а к началу летнего периода 1916 г. «Орлица» приняла на борт более совершенные летающие лодки М-9. 4 июля самолеты «Орлицы» прикры</w:t>
      </w:r>
      <w:r w:rsidRPr="00405303">
        <w:rPr>
          <w:bCs/>
          <w:color w:val="002060"/>
          <w:sz w:val="16"/>
          <w:szCs w:val="16"/>
        </w:rPr>
        <w:softHyphen/>
        <w:t>вали с воздуха линкор «Слава» и несколько миноносцев, ведущих обстрел немецких береговых бата</w:t>
      </w:r>
      <w:r w:rsidRPr="00405303">
        <w:rPr>
          <w:bCs/>
          <w:color w:val="002060"/>
          <w:sz w:val="16"/>
          <w:szCs w:val="16"/>
        </w:rPr>
        <w:softHyphen/>
        <w:t>рей у мыса Рагоцен. В ходе опера</w:t>
      </w:r>
      <w:r w:rsidRPr="00405303">
        <w:rPr>
          <w:bCs/>
          <w:color w:val="002060"/>
          <w:sz w:val="16"/>
          <w:szCs w:val="16"/>
        </w:rPr>
        <w:softHyphen/>
        <w:t>ции четверку русских М-9 атакова</w:t>
      </w:r>
      <w:r w:rsidRPr="00405303">
        <w:rPr>
          <w:bCs/>
          <w:color w:val="002060"/>
          <w:sz w:val="16"/>
          <w:szCs w:val="16"/>
        </w:rPr>
        <w:softHyphen/>
        <w:t>ли 4 вражеских гидроплана с не</w:t>
      </w:r>
      <w:r w:rsidRPr="00405303">
        <w:rPr>
          <w:bCs/>
          <w:color w:val="002060"/>
          <w:sz w:val="16"/>
          <w:szCs w:val="16"/>
        </w:rPr>
        <w:softHyphen/>
        <w:t>мецкого авиатранспорта «СПпс1ег», однако два из них были сбиты воз</w:t>
      </w:r>
      <w:r w:rsidRPr="00405303">
        <w:rPr>
          <w:bCs/>
          <w:color w:val="002060"/>
          <w:sz w:val="16"/>
          <w:szCs w:val="16"/>
        </w:rPr>
        <w:softHyphen/>
        <w:t>душными стрелками «девяток». Под</w:t>
      </w:r>
      <w:r w:rsidRPr="00405303">
        <w:rPr>
          <w:bCs/>
          <w:color w:val="002060"/>
          <w:sz w:val="16"/>
          <w:szCs w:val="16"/>
        </w:rPr>
        <w:softHyphen/>
        <w:t>нятые из воды немецкие пилоты рассказали, что целью их нападе</w:t>
      </w:r>
      <w:r w:rsidRPr="00405303">
        <w:rPr>
          <w:bCs/>
          <w:color w:val="002060"/>
          <w:sz w:val="16"/>
          <w:szCs w:val="16"/>
        </w:rPr>
        <w:softHyphen/>
        <w:t>ния являлось уничтожение «Орли</w:t>
      </w:r>
      <w:r w:rsidRPr="00405303">
        <w:rPr>
          <w:bCs/>
          <w:color w:val="002060"/>
          <w:sz w:val="16"/>
          <w:szCs w:val="16"/>
        </w:rPr>
        <w:softHyphen/>
        <w:t>цы», как наиболее досаждающего своими действиями корабля.</w:t>
      </w:r>
    </w:p>
    <w:p w14:paraId="38059023" w14:textId="77777777" w:rsidR="00F01B26" w:rsidRPr="00405303" w:rsidRDefault="00F01B26" w:rsidP="00C15251">
      <w:pPr>
        <w:jc w:val="both"/>
        <w:rPr>
          <w:bCs/>
          <w:color w:val="002060"/>
          <w:sz w:val="16"/>
          <w:szCs w:val="16"/>
        </w:rPr>
      </w:pPr>
      <w:r w:rsidRPr="00405303">
        <w:rPr>
          <w:bCs/>
          <w:color w:val="002060"/>
          <w:sz w:val="16"/>
          <w:szCs w:val="16"/>
        </w:rPr>
        <w:t>Начиная с 1916 г. немцы во все возрастающих масштабах стали привлекать к действиям против рус</w:t>
      </w:r>
      <w:r w:rsidRPr="00405303">
        <w:rPr>
          <w:bCs/>
          <w:color w:val="002060"/>
          <w:sz w:val="16"/>
          <w:szCs w:val="16"/>
        </w:rPr>
        <w:softHyphen/>
        <w:t>ских кораблей, береговых станций и авиации свои сухопутные само</w:t>
      </w:r>
      <w:r w:rsidRPr="00405303">
        <w:rPr>
          <w:bCs/>
          <w:color w:val="002060"/>
          <w:sz w:val="16"/>
          <w:szCs w:val="16"/>
        </w:rPr>
        <w:softHyphen/>
        <w:t>леты. Численное преимущество про</w:t>
      </w:r>
      <w:r w:rsidRPr="00405303">
        <w:rPr>
          <w:bCs/>
          <w:color w:val="002060"/>
          <w:sz w:val="16"/>
          <w:szCs w:val="16"/>
        </w:rPr>
        <w:softHyphen/>
        <w:t>тивника к лету 1917 г. стало подав</w:t>
      </w:r>
      <w:r w:rsidRPr="00405303">
        <w:rPr>
          <w:bCs/>
          <w:color w:val="002060"/>
          <w:sz w:val="16"/>
          <w:szCs w:val="16"/>
        </w:rPr>
        <w:softHyphen/>
        <w:t>ляющим. Листая сводки боевых до</w:t>
      </w:r>
      <w:r w:rsidRPr="00405303">
        <w:rPr>
          <w:bCs/>
          <w:color w:val="002060"/>
          <w:sz w:val="16"/>
          <w:szCs w:val="16"/>
        </w:rPr>
        <w:softHyphen/>
        <w:t>несений, можно увидеть, что немец</w:t>
      </w:r>
      <w:r w:rsidRPr="00405303">
        <w:rPr>
          <w:bCs/>
          <w:color w:val="002060"/>
          <w:sz w:val="16"/>
          <w:szCs w:val="16"/>
        </w:rPr>
        <w:softHyphen/>
        <w:t>кие самолеты буквально каждые пять минут осуществляли бомбежку и обстрел русских позиций, вели не</w:t>
      </w:r>
      <w:r w:rsidRPr="00405303">
        <w:rPr>
          <w:bCs/>
          <w:color w:val="002060"/>
          <w:sz w:val="16"/>
          <w:szCs w:val="16"/>
        </w:rPr>
        <w:softHyphen/>
        <w:t>устанное воздушное патрулирова</w:t>
      </w:r>
      <w:r w:rsidRPr="00405303">
        <w:rPr>
          <w:bCs/>
          <w:color w:val="002060"/>
          <w:sz w:val="16"/>
          <w:szCs w:val="16"/>
        </w:rPr>
        <w:softHyphen/>
        <w:t>ние и охотно вступали в воздушные бои. Напряженность боевой обста</w:t>
      </w:r>
      <w:r w:rsidRPr="00405303">
        <w:rPr>
          <w:bCs/>
          <w:color w:val="002060"/>
          <w:sz w:val="16"/>
          <w:szCs w:val="16"/>
        </w:rPr>
        <w:softHyphen/>
        <w:t>новки можно иллюстрировать сле</w:t>
      </w:r>
      <w:r w:rsidRPr="00405303">
        <w:rPr>
          <w:bCs/>
          <w:color w:val="002060"/>
          <w:sz w:val="16"/>
          <w:szCs w:val="16"/>
        </w:rPr>
        <w:softHyphen/>
        <w:t>дующим фактом: мичман Зайцевс- кий, отчаявшись отбиться в воздухе от численно превосходящего про</w:t>
      </w:r>
      <w:r w:rsidRPr="00405303">
        <w:rPr>
          <w:bCs/>
          <w:color w:val="002060"/>
          <w:sz w:val="16"/>
          <w:szCs w:val="16"/>
        </w:rPr>
        <w:softHyphen/>
        <w:t>тивника, вынужден был посадить свою лодку в небольшую бухту, снять пулемет и отстреливаться от нем</w:t>
      </w:r>
      <w:r w:rsidRPr="00405303">
        <w:rPr>
          <w:bCs/>
          <w:color w:val="002060"/>
          <w:sz w:val="16"/>
          <w:szCs w:val="16"/>
        </w:rPr>
        <w:softHyphen/>
        <w:t>цев из-за гранитных валунов (12088).</w:t>
      </w:r>
    </w:p>
    <w:p w14:paraId="487766D5" w14:textId="77777777" w:rsidR="00F01B26" w:rsidRPr="00405303" w:rsidRDefault="00F01B26" w:rsidP="00C15251">
      <w:pPr>
        <w:jc w:val="both"/>
        <w:rPr>
          <w:bCs/>
          <w:color w:val="002060"/>
          <w:sz w:val="16"/>
          <w:szCs w:val="16"/>
        </w:rPr>
      </w:pPr>
    </w:p>
    <w:p w14:paraId="27B0C43C" w14:textId="77777777" w:rsidR="00F01B26" w:rsidRPr="00405303" w:rsidRDefault="00F01B26" w:rsidP="00C15251">
      <w:pPr>
        <w:jc w:val="both"/>
        <w:rPr>
          <w:bCs/>
          <w:color w:val="002060"/>
          <w:sz w:val="16"/>
          <w:szCs w:val="16"/>
        </w:rPr>
      </w:pPr>
      <w:r w:rsidRPr="00405303">
        <w:rPr>
          <w:bCs/>
          <w:color w:val="002060"/>
          <w:sz w:val="16"/>
          <w:szCs w:val="16"/>
        </w:rPr>
        <w:t>С лета 1915 года «Орлица» начала свою боевую деятельность в Рижском заливе (Более подробно см.: Дудоров Б.П. Авиация Балтийского моря 1912-1917 гг. // Морские записки (Нью-Йорк). 1948. Вып. 6 № 2. С. 4; Дудоров Б.П. На «Орлице» в Рижском заливе. Рукопись. 1917. С. 3.), и до конца войны это судно оставалось единственным АВК в корабельном составе флота Балтийского моря.</w:t>
      </w:r>
    </w:p>
    <w:p w14:paraId="4364F6E2" w14:textId="77777777" w:rsidR="00F01B26" w:rsidRPr="00405303" w:rsidRDefault="00F01B26" w:rsidP="00C15251">
      <w:pPr>
        <w:jc w:val="both"/>
        <w:rPr>
          <w:bCs/>
          <w:color w:val="002060"/>
          <w:sz w:val="16"/>
          <w:szCs w:val="16"/>
        </w:rPr>
      </w:pPr>
      <w:r w:rsidRPr="00405303">
        <w:rPr>
          <w:bCs/>
          <w:color w:val="002060"/>
          <w:sz w:val="16"/>
          <w:szCs w:val="16"/>
        </w:rPr>
        <w:t xml:space="preserve">Однако, даже в настоящее время, в нашей историографии первым авианесущим кораблем Российского военного флота по-прежнему принято считать учебное судно «Орлица». Так, например, в 1990 году журнал «Морской сборник» опубликовал материал, в котором назвал «Орлицу» первым русским авианесущим кораблем (См.: Меньшиков М. Эхо далекого выстрела // Морской сборник. 1990. № 11. С. 79.). Спустя двенадцать лет в вышедшей в издательстве «Полигон» прекрасно </w:t>
      </w:r>
      <w:r w:rsidRPr="00405303">
        <w:rPr>
          <w:bCs/>
          <w:color w:val="002060"/>
          <w:sz w:val="16"/>
          <w:szCs w:val="16"/>
        </w:rPr>
        <w:lastRenderedPageBreak/>
        <w:t>иллюстрированной и интересной энциклопедии приводится следующая информация: «У флота Российской империи в Первую мировую войну также были гидроавианосцы. Первым из них стала «Орлица» (Детская военно-морская энциклопедия: Современный флот. СПб.;М., 2002. С. 169.). Однако, архивные документы и историческая справедливость, все-таки требует признание первенства в боевом использовании кораблей, с которых применялась авиация, за черноморцами, ведь «Императоры» и «Алмаз», на полгода раньше балтийской «Орлицы» стали решать боевые задачи в интересах флота (11166).</w:t>
      </w:r>
    </w:p>
    <w:p w14:paraId="136001B7" w14:textId="77777777" w:rsidR="00F01B26" w:rsidRPr="00405303" w:rsidRDefault="00F01B26" w:rsidP="00C15251">
      <w:pPr>
        <w:jc w:val="both"/>
        <w:rPr>
          <w:bCs/>
          <w:color w:val="002060"/>
          <w:sz w:val="16"/>
          <w:szCs w:val="16"/>
        </w:rPr>
      </w:pPr>
    </w:p>
    <w:p w14:paraId="652E7323" w14:textId="77777777" w:rsidR="00F01B26" w:rsidRPr="00405303" w:rsidRDefault="00F01B26" w:rsidP="00C15251">
      <w:pPr>
        <w:jc w:val="both"/>
        <w:rPr>
          <w:bCs/>
          <w:color w:val="002060"/>
          <w:sz w:val="16"/>
          <w:szCs w:val="16"/>
        </w:rPr>
      </w:pPr>
      <w:r w:rsidRPr="00405303">
        <w:rPr>
          <w:bCs/>
          <w:color w:val="002060"/>
          <w:sz w:val="16"/>
          <w:szCs w:val="16"/>
        </w:rPr>
        <w:t>С лета 1915 г. «Орли</w:t>
      </w:r>
      <w:r w:rsidRPr="00405303">
        <w:rPr>
          <w:bCs/>
          <w:color w:val="002060"/>
          <w:sz w:val="16"/>
          <w:szCs w:val="16"/>
        </w:rPr>
        <w:softHyphen/>
        <w:t>ца» принимала участие в боевых действиях Балтийского флота. В августе-октябре ее самолеты вели разведку и корректировали артил</w:t>
      </w:r>
      <w:r w:rsidRPr="00405303">
        <w:rPr>
          <w:bCs/>
          <w:color w:val="002060"/>
          <w:sz w:val="16"/>
          <w:szCs w:val="16"/>
        </w:rPr>
        <w:softHyphen/>
        <w:t>лерийский огонь кораблей, ведущих обстрел немецких укреплений в районе мыса Рагоцен. В октябре «Орлица» прикрывала высадку рус</w:t>
      </w:r>
      <w:r w:rsidRPr="00405303">
        <w:rPr>
          <w:bCs/>
          <w:color w:val="002060"/>
          <w:sz w:val="16"/>
          <w:szCs w:val="16"/>
        </w:rPr>
        <w:softHyphen/>
        <w:t>ского десанта на курляндском по</w:t>
      </w:r>
      <w:r w:rsidRPr="00405303">
        <w:rPr>
          <w:bCs/>
          <w:color w:val="002060"/>
          <w:sz w:val="16"/>
          <w:szCs w:val="16"/>
        </w:rPr>
        <w:softHyphen/>
        <w:t>бережье у Доместеса.</w:t>
      </w:r>
    </w:p>
    <w:p w14:paraId="4204059E" w14:textId="77777777" w:rsidR="00F01B26" w:rsidRPr="00405303" w:rsidRDefault="00F01B26" w:rsidP="00C15251">
      <w:pPr>
        <w:jc w:val="both"/>
        <w:rPr>
          <w:bCs/>
          <w:color w:val="002060"/>
          <w:sz w:val="16"/>
          <w:szCs w:val="16"/>
        </w:rPr>
      </w:pPr>
      <w:r w:rsidRPr="00405303">
        <w:rPr>
          <w:bCs/>
          <w:color w:val="002060"/>
          <w:sz w:val="16"/>
          <w:szCs w:val="16"/>
        </w:rPr>
        <w:t>В начале 1915 г. для этой цели использовали пароход «Императри</w:t>
      </w:r>
      <w:r w:rsidRPr="00405303">
        <w:rPr>
          <w:bCs/>
          <w:color w:val="002060"/>
          <w:sz w:val="16"/>
          <w:szCs w:val="16"/>
        </w:rPr>
        <w:softHyphen/>
        <w:t>ца Александра», получивший после проведенной модернизации наиме</w:t>
      </w:r>
      <w:r w:rsidRPr="00405303">
        <w:rPr>
          <w:bCs/>
          <w:color w:val="002060"/>
          <w:sz w:val="16"/>
          <w:szCs w:val="16"/>
        </w:rPr>
        <w:softHyphen/>
        <w:t>нование авиабаза «Орлица». Ко</w:t>
      </w:r>
      <w:r w:rsidRPr="00405303">
        <w:rPr>
          <w:bCs/>
          <w:color w:val="002060"/>
          <w:sz w:val="16"/>
          <w:szCs w:val="16"/>
        </w:rPr>
        <w:softHyphen/>
        <w:t>рабль имел на верхней палубе два навеса-ангара, вмещавшие по два самолета. Еще один самолет в ра</w:t>
      </w:r>
      <w:r w:rsidRPr="00405303">
        <w:rPr>
          <w:bCs/>
          <w:color w:val="002060"/>
          <w:sz w:val="16"/>
          <w:szCs w:val="16"/>
        </w:rPr>
        <w:softHyphen/>
        <w:t>зобранном виде хранился в трюм</w:t>
      </w:r>
      <w:r w:rsidRPr="00405303">
        <w:rPr>
          <w:bCs/>
          <w:color w:val="002060"/>
          <w:sz w:val="16"/>
          <w:szCs w:val="16"/>
        </w:rPr>
        <w:softHyphen/>
        <w:t>ном отделении. На борту хранились необходимые запасы топлива и бомб, были устроены мастерские для ремонта самолетов и двигате</w:t>
      </w:r>
      <w:r w:rsidRPr="00405303">
        <w:rPr>
          <w:bCs/>
          <w:color w:val="002060"/>
          <w:sz w:val="16"/>
          <w:szCs w:val="16"/>
        </w:rPr>
        <w:softHyphen/>
        <w:t>лей. После окончания переобору</w:t>
      </w:r>
      <w:r w:rsidRPr="00405303">
        <w:rPr>
          <w:bCs/>
          <w:color w:val="002060"/>
          <w:sz w:val="16"/>
          <w:szCs w:val="16"/>
        </w:rPr>
        <w:softHyphen/>
        <w:t>дования на «Орлицу» перевели ле</w:t>
      </w:r>
      <w:r w:rsidRPr="00405303">
        <w:rPr>
          <w:bCs/>
          <w:color w:val="002060"/>
          <w:sz w:val="16"/>
          <w:szCs w:val="16"/>
        </w:rPr>
        <w:softHyphen/>
        <w:t>тающие лодки РВА с экипажами с закрытой береговой станции в Гель</w:t>
      </w:r>
      <w:r w:rsidRPr="00405303">
        <w:rPr>
          <w:bCs/>
          <w:color w:val="002060"/>
          <w:sz w:val="16"/>
          <w:szCs w:val="16"/>
        </w:rPr>
        <w:softHyphen/>
        <w:t>сингфорсе.</w:t>
      </w:r>
    </w:p>
    <w:p w14:paraId="2F585A90" w14:textId="77777777" w:rsidR="00F01B26" w:rsidRPr="00405303" w:rsidRDefault="00F01B26" w:rsidP="00C15251">
      <w:pPr>
        <w:jc w:val="both"/>
        <w:rPr>
          <w:bCs/>
          <w:color w:val="002060"/>
          <w:sz w:val="16"/>
          <w:szCs w:val="16"/>
        </w:rPr>
      </w:pPr>
      <w:r w:rsidRPr="00405303">
        <w:rPr>
          <w:bCs/>
          <w:color w:val="002060"/>
          <w:sz w:val="16"/>
          <w:szCs w:val="16"/>
        </w:rPr>
        <w:t xml:space="preserve">В зимний период активность боевых действий на море спала, а к началу летнего периода 1916 г. «Орлица» приняла на борт более совершенные летающие лодки М-9. </w:t>
      </w:r>
    </w:p>
    <w:p w14:paraId="6B9709D2" w14:textId="77777777" w:rsidR="00F01B26" w:rsidRPr="00405303" w:rsidRDefault="00F01B26" w:rsidP="00C15251">
      <w:pPr>
        <w:shd w:val="clear" w:color="auto" w:fill="FFFFFF"/>
        <w:jc w:val="both"/>
        <w:rPr>
          <w:bCs/>
          <w:i/>
          <w:color w:val="002060"/>
          <w:sz w:val="16"/>
          <w:szCs w:val="16"/>
        </w:rPr>
      </w:pPr>
    </w:p>
    <w:p w14:paraId="1C60B062"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С лета 1915 г. по осень 1916 г., и как бы исподволь в морской авиации приблизились к пониманию не</w:t>
      </w:r>
      <w:r w:rsidRPr="00405303">
        <w:rPr>
          <w:bCs/>
          <w:color w:val="002060"/>
          <w:sz w:val="16"/>
          <w:szCs w:val="16"/>
        </w:rPr>
        <w:softHyphen/>
        <w:t>обходимости выработки программ экспериментального строительства как единственно верного способа обеспечить флот нужными ему летательными машинами достойного качества. В помощь Воздухоплавательному отделению МГШ и для определенно</w:t>
      </w:r>
      <w:r w:rsidRPr="00405303">
        <w:rPr>
          <w:bCs/>
          <w:color w:val="002060"/>
          <w:sz w:val="16"/>
          <w:szCs w:val="16"/>
        </w:rPr>
        <w:softHyphen/>
        <w:t>го разделения ответственности был образован Отдел воздушного плавания ГУК, а одним из первых специальных типов явился как раз «зимний аппарат» — в частности, щетининский М-16. Если не вспоми</w:t>
      </w:r>
      <w:r w:rsidRPr="00405303">
        <w:rPr>
          <w:bCs/>
          <w:color w:val="002060"/>
          <w:sz w:val="16"/>
          <w:szCs w:val="16"/>
        </w:rPr>
        <w:softHyphen/>
        <w:t>нать про извечную национальную медлительность и неорганизованность, то, вероятно, только недоста</w:t>
      </w:r>
      <w:r w:rsidRPr="00405303">
        <w:rPr>
          <w:bCs/>
          <w:color w:val="002060"/>
          <w:sz w:val="16"/>
          <w:szCs w:val="16"/>
        </w:rPr>
        <w:softHyphen/>
        <w:t>ток времени, отпущенного судьбой, и общая неразвитость промышленности не позволили отладить ту стройную систему, при которой одни специалисты прогнозировали бы будущие потребности, другие — формулировали конкретные задания, а третьи — проектировали и собирали аэропланы для флота (2807).</w:t>
      </w:r>
    </w:p>
    <w:p w14:paraId="445B5314" w14:textId="77777777" w:rsidR="00F01B26" w:rsidRPr="00405303" w:rsidRDefault="00F01B26" w:rsidP="00C15251">
      <w:pPr>
        <w:shd w:val="clear" w:color="auto" w:fill="FFFFFF"/>
        <w:jc w:val="both"/>
        <w:rPr>
          <w:bCs/>
          <w:color w:val="002060"/>
          <w:sz w:val="16"/>
          <w:szCs w:val="16"/>
        </w:rPr>
      </w:pPr>
    </w:p>
    <w:p w14:paraId="7E8EF7EF" w14:textId="77777777" w:rsidR="00F01B26" w:rsidRPr="00405303" w:rsidRDefault="00F01B26" w:rsidP="00C15251">
      <w:pPr>
        <w:jc w:val="both"/>
        <w:rPr>
          <w:bCs/>
          <w:color w:val="002060"/>
          <w:sz w:val="16"/>
          <w:szCs w:val="16"/>
        </w:rPr>
      </w:pPr>
      <w:r w:rsidRPr="00405303">
        <w:rPr>
          <w:bCs/>
          <w:color w:val="002060"/>
          <w:sz w:val="16"/>
          <w:szCs w:val="16"/>
        </w:rPr>
        <w:t>Летом 1915-го вновь последовал запрос о передаче нескольких аппаратов ИМ морской авиации. Но из-за острой нехватки самолетов на фронтах ни в 1915-м, ни в 1916 году "Муромцы" во флот так и не попали (11240).</w:t>
      </w:r>
    </w:p>
    <w:p w14:paraId="4DCA8B94" w14:textId="77777777" w:rsidR="00F01B26" w:rsidRPr="00405303" w:rsidRDefault="00F01B26" w:rsidP="00C15251">
      <w:pPr>
        <w:jc w:val="both"/>
        <w:rPr>
          <w:bCs/>
          <w:color w:val="002060"/>
          <w:sz w:val="16"/>
          <w:szCs w:val="16"/>
        </w:rPr>
      </w:pPr>
    </w:p>
    <w:p w14:paraId="30C8F86A"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Летом 1915 г. на Балтике вновь возникла очередная просьба, касавшаяся на этот раз двух ап</w:t>
      </w:r>
      <w:r w:rsidRPr="00405303">
        <w:rPr>
          <w:bCs/>
          <w:color w:val="002060"/>
          <w:sz w:val="16"/>
          <w:szCs w:val="16"/>
        </w:rPr>
        <w:softHyphen/>
        <w:t>паратов "Илья Муромец" "последнего образца", в частности, 28 июня в рапорте командующего вице-адмирала В.А. Канина на имя Главнокомандующего 6-й армией и Балтийским флотом говорилось:</w:t>
      </w:r>
    </w:p>
    <w:p w14:paraId="28EEB57A" w14:textId="77777777" w:rsidR="00F01B26" w:rsidRPr="00405303" w:rsidRDefault="00F01B26" w:rsidP="00C15251">
      <w:pPr>
        <w:jc w:val="both"/>
        <w:rPr>
          <w:bCs/>
          <w:color w:val="002060"/>
          <w:sz w:val="16"/>
          <w:szCs w:val="16"/>
        </w:rPr>
      </w:pPr>
      <w:r w:rsidRPr="00405303">
        <w:rPr>
          <w:bCs/>
          <w:color w:val="002060"/>
          <w:sz w:val="16"/>
          <w:szCs w:val="16"/>
        </w:rPr>
        <w:t xml:space="preserve">"... В последние </w:t>
      </w:r>
      <w:proofErr w:type="gramStart"/>
      <w:r w:rsidRPr="00405303">
        <w:rPr>
          <w:bCs/>
          <w:color w:val="002060"/>
          <w:sz w:val="16"/>
          <w:szCs w:val="16"/>
        </w:rPr>
        <w:t>месяцы,предшествовавшие</w:t>
      </w:r>
      <w:proofErr w:type="gramEnd"/>
      <w:r w:rsidRPr="00405303">
        <w:rPr>
          <w:bCs/>
          <w:color w:val="002060"/>
          <w:sz w:val="16"/>
          <w:szCs w:val="16"/>
        </w:rPr>
        <w:t xml:space="preserve"> войне, была сделана попытка использовать для морской воздушной разведки аппарат Сикорского типа "Илья Муромец", который переделали в гидроаэроплан. Эта переделка отозвалась крайне неудовлетворительно на свойствах аппарата, проектированного для взлета и посадки на земле </w:t>
      </w:r>
      <w:proofErr w:type="gramStart"/>
      <w:r w:rsidRPr="00405303">
        <w:rPr>
          <w:bCs/>
          <w:color w:val="002060"/>
          <w:sz w:val="16"/>
          <w:szCs w:val="16"/>
        </w:rPr>
        <w:t>и</w:t>
      </w:r>
      <w:proofErr w:type="gramEnd"/>
      <w:r w:rsidRPr="00405303">
        <w:rPr>
          <w:bCs/>
          <w:color w:val="002060"/>
          <w:sz w:val="16"/>
          <w:szCs w:val="16"/>
        </w:rPr>
        <w:t xml:space="preserve"> хотя опыты п этом отношении не были закончены, но можно сказать, что отчасти благодаря им аппарат Сикорского был потерян в первые дни войны. Имея теперь сведения о поста</w:t>
      </w:r>
      <w:r w:rsidRPr="00405303">
        <w:rPr>
          <w:bCs/>
          <w:color w:val="002060"/>
          <w:sz w:val="16"/>
          <w:szCs w:val="16"/>
        </w:rPr>
        <w:softHyphen/>
        <w:t>новке дела для постройки аппаратов Сикорского для нужд армии, я ходатайствую о предоставлении возможности получить для нужд Балтийского флота несколько аппа</w:t>
      </w:r>
      <w:r w:rsidRPr="00405303">
        <w:rPr>
          <w:bCs/>
          <w:color w:val="002060"/>
          <w:sz w:val="16"/>
          <w:szCs w:val="16"/>
        </w:rPr>
        <w:softHyphen/>
        <w:t>ратов этого типа.</w:t>
      </w:r>
    </w:p>
    <w:p w14:paraId="68B4E149"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При помощи этих мощных аэропланов явится возможность освещать разведкой не</w:t>
      </w:r>
      <w:r w:rsidRPr="00405303">
        <w:rPr>
          <w:bCs/>
          <w:color w:val="002060"/>
          <w:sz w:val="16"/>
          <w:szCs w:val="16"/>
        </w:rPr>
        <w:softHyphen/>
        <w:t>обходимый для оперативных целей морской район и использовать их для активной борьбы с подводными лодками, требующей большого числа воздушных бомб значи</w:t>
      </w:r>
      <w:r w:rsidRPr="00405303">
        <w:rPr>
          <w:bCs/>
          <w:color w:val="002060"/>
          <w:sz w:val="16"/>
          <w:szCs w:val="16"/>
        </w:rPr>
        <w:softHyphen/>
        <w:t>тельного веса.</w:t>
      </w:r>
    </w:p>
    <w:p w14:paraId="7E3390CC" w14:textId="77777777" w:rsidR="00F01B26" w:rsidRPr="00405303" w:rsidRDefault="00F01B26" w:rsidP="00C15251">
      <w:pPr>
        <w:shd w:val="clear" w:color="auto" w:fill="FFFFFF"/>
        <w:jc w:val="both"/>
        <w:rPr>
          <w:bCs/>
          <w:color w:val="002060"/>
          <w:sz w:val="16"/>
          <w:szCs w:val="16"/>
        </w:rPr>
      </w:pPr>
      <w:r w:rsidRPr="00405303">
        <w:rPr>
          <w:bCs/>
          <w:color w:val="002060"/>
          <w:sz w:val="16"/>
          <w:szCs w:val="16"/>
        </w:rPr>
        <w:t>Еще одно обстоятельство, имеющее большое значение для воздушных операций, за</w:t>
      </w:r>
      <w:r w:rsidRPr="00405303">
        <w:rPr>
          <w:bCs/>
          <w:color w:val="002060"/>
          <w:sz w:val="16"/>
          <w:szCs w:val="16"/>
        </w:rPr>
        <w:softHyphen/>
        <w:t>ставляет просить о снабжении Балтийского флота аппаратами Сикорского — это низ</w:t>
      </w:r>
      <w:r w:rsidRPr="00405303">
        <w:rPr>
          <w:bCs/>
          <w:color w:val="002060"/>
          <w:sz w:val="16"/>
          <w:szCs w:val="16"/>
        </w:rPr>
        <w:softHyphen/>
        <w:t>кие температуры нашего осеннего и зимнего периода, когда полеты аэропланов ста</w:t>
      </w:r>
      <w:r w:rsidRPr="00405303">
        <w:rPr>
          <w:bCs/>
          <w:color w:val="002060"/>
          <w:sz w:val="16"/>
          <w:szCs w:val="16"/>
        </w:rPr>
        <w:softHyphen/>
        <w:t>новятся крайне затруднительными из-за полной незащищенности летчиков — недо</w:t>
      </w:r>
      <w:r w:rsidRPr="00405303">
        <w:rPr>
          <w:bCs/>
          <w:color w:val="002060"/>
          <w:sz w:val="16"/>
          <w:szCs w:val="16"/>
        </w:rPr>
        <w:softHyphen/>
        <w:t>статок, который устранен на последних аппаратах Сикорского..." (2843).</w:t>
      </w:r>
    </w:p>
    <w:p w14:paraId="1B46D5CD" w14:textId="77777777" w:rsidR="00F01B26" w:rsidRPr="00405303" w:rsidRDefault="00F01B26" w:rsidP="00C15251">
      <w:pPr>
        <w:shd w:val="clear" w:color="auto" w:fill="FFFFFF"/>
        <w:jc w:val="both"/>
        <w:rPr>
          <w:bCs/>
          <w:i/>
          <w:color w:val="002060"/>
          <w:sz w:val="16"/>
          <w:szCs w:val="16"/>
        </w:rPr>
      </w:pPr>
      <w:r w:rsidRPr="00405303">
        <w:rPr>
          <w:bCs/>
          <w:i/>
          <w:color w:val="002060"/>
          <w:sz w:val="16"/>
          <w:szCs w:val="16"/>
        </w:rPr>
        <w:t>Военное воздухоплавание:</w:t>
      </w:r>
    </w:p>
    <w:p w14:paraId="0784DE56" w14:textId="77777777" w:rsidR="00F01B26" w:rsidRPr="00405303" w:rsidRDefault="00F01B26" w:rsidP="00C15251">
      <w:pPr>
        <w:shd w:val="clear" w:color="auto" w:fill="FFFFFF"/>
        <w:jc w:val="both"/>
        <w:rPr>
          <w:bCs/>
          <w:i/>
          <w:color w:val="002060"/>
          <w:sz w:val="16"/>
          <w:szCs w:val="16"/>
        </w:rPr>
      </w:pPr>
    </w:p>
    <w:p w14:paraId="0F5239F3" w14:textId="77777777" w:rsidR="00F01B26" w:rsidRPr="00405303" w:rsidRDefault="00F01B26" w:rsidP="00C15251">
      <w:pPr>
        <w:jc w:val="both"/>
        <w:rPr>
          <w:bCs/>
          <w:color w:val="002060"/>
          <w:sz w:val="16"/>
          <w:szCs w:val="16"/>
        </w:rPr>
      </w:pPr>
      <w:r w:rsidRPr="00405303">
        <w:rPr>
          <w:bCs/>
          <w:color w:val="002060"/>
          <w:sz w:val="16"/>
          <w:szCs w:val="16"/>
        </w:rPr>
        <w:t xml:space="preserve">Летом 1915 года под Владавой и в районе фортов крепости Брест-Литовск в составе 1-й наблюдательной станции Владивостокской крепостной воздухоплавательной роты занимался визуальной и фотографической проверкой с воздуха маскировки узлов обороны русской армии. Воздухоплавателям пришлось испытать бомбежку с немецких аэропланов на биваке возле эллингов Бреста, а затем в ожидании осады жить в бетонированных казематах центральной ограды крепости, куда была направлена наша станция вместо эвакуировавшейся из Брест-Литовской крепости ее воздухоплавательной роты. </w:t>
      </w:r>
    </w:p>
    <w:p w14:paraId="6085D54D" w14:textId="77777777" w:rsidR="00F01B26" w:rsidRPr="00405303" w:rsidRDefault="00F01B26" w:rsidP="00C15251">
      <w:pPr>
        <w:jc w:val="both"/>
        <w:rPr>
          <w:bCs/>
          <w:color w:val="002060"/>
          <w:sz w:val="16"/>
          <w:szCs w:val="16"/>
        </w:rPr>
      </w:pPr>
      <w:r w:rsidRPr="00405303">
        <w:rPr>
          <w:bCs/>
          <w:color w:val="002060"/>
          <w:sz w:val="16"/>
          <w:szCs w:val="16"/>
        </w:rPr>
        <w:t xml:space="preserve">После сдачи Брестской крепости 1-я наблюдательная станция вошла в состав отступавших частей 3-го Кавказского корпуса генерала Ирманова, успешно вела разведку войск противника, своих отступавших войск, а также корректировала огонь артиллерии. Привязной аэростат этой станции, как правило поднимавшийся на удалении всего 3–4 километров от линии соприкосновения с противником, часто являлся для командования корпуса почти единственным средством разведки на широком участке фронта. Командир корпуса, лично поднимавшийся на аэростате несколько раз, говорил, что воздухоплаватели дают его штабу ценные разведывательные данные о противнике и о своих войсках. </w:t>
      </w:r>
    </w:p>
    <w:p w14:paraId="0954C364" w14:textId="77777777" w:rsidR="00F01B26" w:rsidRPr="00405303" w:rsidRDefault="00F01B26" w:rsidP="00C15251">
      <w:pPr>
        <w:jc w:val="both"/>
        <w:rPr>
          <w:bCs/>
          <w:color w:val="002060"/>
          <w:sz w:val="16"/>
          <w:szCs w:val="16"/>
        </w:rPr>
      </w:pPr>
      <w:r w:rsidRPr="00405303">
        <w:rPr>
          <w:bCs/>
          <w:color w:val="002060"/>
          <w:sz w:val="16"/>
          <w:szCs w:val="16"/>
        </w:rPr>
        <w:t>Подъемы аэростата на небольшом удалении от противника были возможны потому, что у наступавших австрийцев не было тяжелой артиллерии, а полевые трехдюймовые пушки для аэростата не представляли серьезной опасности (11334).</w:t>
      </w:r>
    </w:p>
    <w:p w14:paraId="13D893B2" w14:textId="77777777" w:rsidR="00F01B26" w:rsidRPr="00405303" w:rsidRDefault="00F01B26" w:rsidP="00C15251">
      <w:pPr>
        <w:jc w:val="both"/>
        <w:rPr>
          <w:bCs/>
          <w:i/>
          <w:color w:val="002060"/>
          <w:sz w:val="16"/>
          <w:szCs w:val="16"/>
        </w:rPr>
      </w:pPr>
    </w:p>
    <w:p w14:paraId="76A6C843" w14:textId="77777777" w:rsidR="00F01B26" w:rsidRPr="00405303" w:rsidRDefault="00F01B26" w:rsidP="00C15251">
      <w:pPr>
        <w:jc w:val="both"/>
        <w:rPr>
          <w:bCs/>
          <w:color w:val="002060"/>
          <w:sz w:val="16"/>
          <w:szCs w:val="16"/>
        </w:rPr>
      </w:pPr>
      <w:r w:rsidRPr="00405303">
        <w:rPr>
          <w:bCs/>
          <w:color w:val="002060"/>
          <w:sz w:val="16"/>
          <w:szCs w:val="16"/>
        </w:rPr>
        <w:t>Летом 1915 года во время упорных боев германское командование в течение двух недель ежедневно бросало на крепость Брест-Литовск самолеты в надежде уничтожить изрядно досаждавшие им русские дирижабли "Кондор" и "Беркут" . Ежедневно в течение недели германские бомбардировщики появлялись над крепостью в 9 часов утра. Основными объектами бомбардировок "Альбатросов" являлась территория воздухоплавательной роты с эллингами для дирижаблей. Однако германским летчикам не удалось уничтожить дирижабли. После сдачи крепости они были перебазированы на другой участок фронта.</w:t>
      </w:r>
    </w:p>
    <w:p w14:paraId="775D9FCF" w14:textId="77777777" w:rsidR="00F01B26" w:rsidRPr="00405303" w:rsidRDefault="00F01B26" w:rsidP="00C15251">
      <w:pPr>
        <w:jc w:val="both"/>
        <w:rPr>
          <w:bCs/>
          <w:color w:val="002060"/>
          <w:sz w:val="16"/>
          <w:szCs w:val="16"/>
        </w:rPr>
      </w:pPr>
      <w:r w:rsidRPr="00405303">
        <w:rPr>
          <w:bCs/>
          <w:color w:val="002060"/>
          <w:sz w:val="16"/>
          <w:szCs w:val="16"/>
        </w:rPr>
        <w:t>Также изрядно продолжали досаждать австро-германским войскам дирижабль "Астра", успешно разбомбивший железнодорожный узел г. Лык, взорвав эшелоны с боеприпасами и взорвав саму станцию, а также дирижабль "Альбатрос", производивший боевые налеты на военно-морские объекты германской армии.</w:t>
      </w:r>
    </w:p>
    <w:p w14:paraId="5DC8B093" w14:textId="77777777" w:rsidR="00F01B26" w:rsidRPr="00405303" w:rsidRDefault="00F01B26" w:rsidP="00C15251">
      <w:pPr>
        <w:jc w:val="both"/>
        <w:rPr>
          <w:bCs/>
          <w:color w:val="002060"/>
          <w:sz w:val="16"/>
          <w:szCs w:val="16"/>
        </w:rPr>
      </w:pPr>
      <w:r w:rsidRPr="00405303">
        <w:rPr>
          <w:bCs/>
          <w:color w:val="002060"/>
          <w:sz w:val="16"/>
          <w:szCs w:val="16"/>
        </w:rPr>
        <w:t>Тем не менее, с середины этого года боевая работа воздухоплавательных рот сильно осложнилась из-за появления истребителей, стрелявших зажигательными пулями, от которых наполненные водородом дирижабли легко воспламенялись. Также грозным противником дирижаблей стала зенитная артиллерия. При отсутствии истребителей сопровождения, высоте полета, не превышающей 2000-2500 м, а также малой скорости, дирижаблям становилось все сложнее и сложнее выполнять боевые задачи. Дирижабли "Кондор" и "Беркут" вскоре погибли. Также погиб и дирижабль "Альбатрос" из-за неблагоприятной погоды (11999).</w:t>
      </w:r>
    </w:p>
    <w:p w14:paraId="772AD24A" w14:textId="77777777" w:rsidR="00F01B26" w:rsidRPr="00405303" w:rsidRDefault="00F01B26" w:rsidP="00C15251">
      <w:pPr>
        <w:jc w:val="both"/>
        <w:rPr>
          <w:bCs/>
          <w:color w:val="002060"/>
          <w:sz w:val="16"/>
          <w:szCs w:val="16"/>
        </w:rPr>
      </w:pPr>
    </w:p>
    <w:p w14:paraId="40D24763" w14:textId="77777777" w:rsidR="00F01B26" w:rsidRPr="00405303" w:rsidRDefault="00F01B26" w:rsidP="00C15251">
      <w:pPr>
        <w:jc w:val="both"/>
        <w:rPr>
          <w:bCs/>
          <w:color w:val="002060"/>
          <w:sz w:val="16"/>
          <w:szCs w:val="16"/>
        </w:rPr>
      </w:pPr>
      <w:r w:rsidRPr="00405303">
        <w:rPr>
          <w:bCs/>
          <w:color w:val="002060"/>
          <w:sz w:val="16"/>
          <w:szCs w:val="16"/>
        </w:rPr>
        <w:t>Летом 1915 года значительное усиление тяжелой артиллерии потребовало дальнейшего развития и наблюдательных средств — привязных аэростатов. К концу 1915 годана фронте имелось 40 воздухоплавательных отрядов приблизительно с 80-ю аэростатами. Такое быстрое развитие воздухоплавания всего за один год лучше всего показывает, что оно оправдало за этот период времени возлагавшиеся на него надежды. В течение 1915 года привязные аэростаты на западном фронте служили почти исключительно целям артиллерийского наблюдения (11282).</w:t>
      </w:r>
    </w:p>
    <w:p w14:paraId="5E096705" w14:textId="77777777" w:rsidR="00F01B26" w:rsidRPr="00405303" w:rsidRDefault="00F01B26" w:rsidP="00C15251">
      <w:pPr>
        <w:jc w:val="both"/>
        <w:rPr>
          <w:bCs/>
          <w:color w:val="002060"/>
          <w:sz w:val="16"/>
          <w:szCs w:val="16"/>
        </w:rPr>
      </w:pPr>
    </w:p>
    <w:p w14:paraId="7EE0EE69" w14:textId="77777777" w:rsidR="00F01B26" w:rsidRPr="00405303" w:rsidRDefault="00F01B26" w:rsidP="00C15251">
      <w:pPr>
        <w:jc w:val="both"/>
        <w:rPr>
          <w:bCs/>
          <w:i/>
          <w:color w:val="002060"/>
          <w:sz w:val="16"/>
          <w:szCs w:val="16"/>
        </w:rPr>
      </w:pPr>
      <w:r w:rsidRPr="00405303">
        <w:rPr>
          <w:bCs/>
          <w:i/>
          <w:color w:val="002060"/>
          <w:sz w:val="16"/>
          <w:szCs w:val="16"/>
        </w:rPr>
        <w:t>Жизнь и внутреняя политика:</w:t>
      </w:r>
    </w:p>
    <w:p w14:paraId="16273DBD" w14:textId="77777777" w:rsidR="00F01B26" w:rsidRPr="00405303" w:rsidRDefault="00F01B26" w:rsidP="00C15251">
      <w:pPr>
        <w:jc w:val="both"/>
        <w:rPr>
          <w:bCs/>
          <w:i/>
          <w:color w:val="002060"/>
          <w:sz w:val="16"/>
          <w:szCs w:val="16"/>
        </w:rPr>
      </w:pPr>
    </w:p>
    <w:p w14:paraId="7A783E6B" w14:textId="77777777" w:rsidR="00F01B26" w:rsidRPr="00405303" w:rsidRDefault="00F01B26" w:rsidP="00C15251">
      <w:pPr>
        <w:jc w:val="both"/>
        <w:rPr>
          <w:bCs/>
          <w:color w:val="002060"/>
          <w:sz w:val="16"/>
          <w:szCs w:val="16"/>
        </w:rPr>
      </w:pPr>
      <w:r w:rsidRPr="00405303">
        <w:rPr>
          <w:bCs/>
          <w:color w:val="002060"/>
          <w:sz w:val="16"/>
          <w:szCs w:val="16"/>
        </w:rPr>
        <w:lastRenderedPageBreak/>
        <w:t>Летом 1915 года правительство отменило обязательный обмен кредитных билетов на золото и предоставило Государственному банку право выпускать их «в размерах, вызываемых потребностями военного времени», т.е., по существу, безгранично, так что уже количество бумажных денег в обращении увеличилось более чем в два раза, что послужило мощнейшим толчком к раскручиванию инфляции и росту цен. В большей мере это коснулось предметов первейшей необходимости, в частности хлеба и мяса, а затем и всех продуктов сельскохозяйственного производства. К июню 1915 года цены на ржаную муку, например, поднялись на 51 проц., на гречневую крупу — на 100, на хлопок — на 57, на шерсть — на 35 проц., в то время как цены на золото выросли только на 20 проц. (Кузовков Д.В. Материалы по теории и политике денежного обращения в России, 1914—1923 гг. // Вестник социалистической академии. 1923. Кн. 4. С. 109.). НА ПЕРВЫХ порах увеличение военных расходов и рост цен стимулировали экономику, способствовали увеличению производственной прибыли и доходов сельского населения. Возникли сотни новых акционерных предприятий, рос выпуск продукции военного назначения. Крестьянство, выручив немалые деньги от продажи сельскохозяйственной продукции, предъявило повышенный спрос на промышленные товары, в том числе на мебель, шелковые ткани, дорогостоящие зеркала, духи, туалетное мыло, сласти и т.п. Однако по мере усиления инфляции экономическое поведение деревни принципиально менялось. Видя непрерывное повышение цен, крестьяне практически перестали покупать промышленные товары, откладывая деньги до лучших времен и в то же время задерживая реализацию продуктов земледелия в расчете на дальнейшее повышение цен на них. Все это усугубляло разрыв между спросом и предложением, усиливало недостаток продовольствия, способствовало прогрессирующему росту цен (11177).</w:t>
      </w:r>
    </w:p>
    <w:p w14:paraId="71FF8900" w14:textId="77777777" w:rsidR="00F01B26" w:rsidRPr="00405303" w:rsidRDefault="00F01B26" w:rsidP="00C15251">
      <w:pPr>
        <w:jc w:val="both"/>
        <w:rPr>
          <w:bCs/>
          <w:color w:val="002060"/>
          <w:sz w:val="16"/>
          <w:szCs w:val="16"/>
        </w:rPr>
      </w:pPr>
    </w:p>
    <w:p w14:paraId="37828FAC" w14:textId="77777777" w:rsidR="00F01B26" w:rsidRPr="00405303" w:rsidRDefault="00F01B26" w:rsidP="00C15251">
      <w:pPr>
        <w:jc w:val="both"/>
        <w:rPr>
          <w:bCs/>
          <w:i/>
          <w:color w:val="002060"/>
          <w:sz w:val="16"/>
          <w:szCs w:val="16"/>
        </w:rPr>
      </w:pPr>
      <w:r w:rsidRPr="00405303">
        <w:rPr>
          <w:bCs/>
          <w:i/>
          <w:color w:val="002060"/>
          <w:sz w:val="16"/>
          <w:szCs w:val="16"/>
        </w:rPr>
        <w:t>Авиация и воздухоплавание Германии:</w:t>
      </w:r>
    </w:p>
    <w:p w14:paraId="26CE80BE" w14:textId="77777777" w:rsidR="00F01B26" w:rsidRPr="00405303" w:rsidRDefault="00F01B26" w:rsidP="00C15251">
      <w:pPr>
        <w:jc w:val="both"/>
        <w:rPr>
          <w:bCs/>
          <w:i/>
          <w:color w:val="002060"/>
          <w:sz w:val="16"/>
          <w:szCs w:val="16"/>
        </w:rPr>
      </w:pPr>
    </w:p>
    <w:p w14:paraId="5B2DC8E5" w14:textId="77777777" w:rsidR="00F01B26" w:rsidRPr="00405303" w:rsidRDefault="00F01B26" w:rsidP="00C15251">
      <w:pPr>
        <w:jc w:val="both"/>
        <w:rPr>
          <w:bCs/>
          <w:color w:val="002060"/>
          <w:sz w:val="16"/>
          <w:szCs w:val="16"/>
        </w:rPr>
      </w:pPr>
      <w:r w:rsidRPr="00405303">
        <w:rPr>
          <w:bCs/>
          <w:color w:val="002060"/>
          <w:sz w:val="16"/>
          <w:szCs w:val="16"/>
        </w:rPr>
        <w:t>Летом 1915 г. германской авиапромышленностью был разработан специальный самолет "Фоккер Е I" - первый специальный самолет с германской стороны, обладающий, благодаря синхронному вооружению более, подходящими авиатехническими свойствами для действий против самолетов противника. Снабженный 80-сильным мотором, он летал со скоростью 130 км/час и поднимался на высоту 3000 м. Тем не менее сначала этот самолет поставлялся исключительно для воздушной разведки. Это не должно казаться странным, потому что для непосредственных боевых действий разведка является гораздо более важной функцией авиации, чем истребление самолетов противника. Истребление же самолетов противника, по сути, является задачей второстепенной, призванной обеспечить свободную работу разведчиков. Поначалу казалось, что хорошо вооруженный и маневренный самолет сможет сам себя защитить при осуществлении разведывательных задач. Однако вскоре выяснилось, что необходимость отбиваться от воздушного противника сводит почти на нет собственно разведдеятельность пилотов. Произошло то, чего и боялись русские военные в начале войны; увлечение борьбой в воздухе стало отрицательно сказываться на самой главной работе авиации.</w:t>
      </w:r>
    </w:p>
    <w:p w14:paraId="0680EB29" w14:textId="77777777" w:rsidR="00F01B26" w:rsidRPr="00405303" w:rsidRDefault="00F01B26" w:rsidP="00C15251">
      <w:pPr>
        <w:jc w:val="both"/>
        <w:rPr>
          <w:bCs/>
          <w:color w:val="002060"/>
          <w:sz w:val="16"/>
          <w:szCs w:val="16"/>
        </w:rPr>
      </w:pPr>
      <w:r w:rsidRPr="00405303">
        <w:rPr>
          <w:bCs/>
          <w:color w:val="002060"/>
          <w:sz w:val="16"/>
          <w:szCs w:val="16"/>
        </w:rPr>
        <w:t xml:space="preserve">В результате каждый полевой авиаотряд в Германии был поначалу снабжен </w:t>
      </w:r>
      <w:proofErr w:type="gramStart"/>
      <w:r w:rsidRPr="00405303">
        <w:rPr>
          <w:bCs/>
          <w:color w:val="002060"/>
          <w:sz w:val="16"/>
          <w:szCs w:val="16"/>
        </w:rPr>
        <w:t>одним самолетом</w:t>
      </w:r>
      <w:proofErr w:type="gramEnd"/>
      <w:r w:rsidRPr="00405303">
        <w:rPr>
          <w:bCs/>
          <w:color w:val="002060"/>
          <w:sz w:val="16"/>
          <w:szCs w:val="16"/>
        </w:rPr>
        <w:t xml:space="preserve"> специально предназначенным только для целей борьбы с воздушным противником. И на исходе этого года германские воздушные силы завоевали воздушное превосходство. На стороне Антанты вскоре начались разговоры о "Fokkergeissel" (фоккер-биче), препятствовавшем дальней разведке французских и британских сил. Чтобы сломить германское превосходство в воздухе, в британских и французских воздушных силах, стали понемногу создавать защитные боевые формирования.</w:t>
      </w:r>
    </w:p>
    <w:p w14:paraId="1ACA41F0" w14:textId="77777777" w:rsidR="00F01B26" w:rsidRPr="00405303" w:rsidRDefault="00F01B26" w:rsidP="00C15251">
      <w:pPr>
        <w:jc w:val="both"/>
        <w:rPr>
          <w:bCs/>
          <w:color w:val="002060"/>
          <w:sz w:val="16"/>
          <w:szCs w:val="16"/>
        </w:rPr>
      </w:pPr>
      <w:r w:rsidRPr="00405303">
        <w:rPr>
          <w:bCs/>
          <w:color w:val="002060"/>
          <w:sz w:val="16"/>
          <w:szCs w:val="16"/>
        </w:rPr>
        <w:t>Людендорф: "Воздушные боевые силы... приобрели такое распространение, что оказалось необходимым подчинить их особому авиационному командованию, которое, в свою очередь, было подчинено начальнику генерального штаба. Первым командующим воздушными боевыми силами был генерал фон Гепнер. Испытанный начальник штаба армии и строевик, он по мере своих сил содействовал развитию этого оружия будущего. Начальником его штаба был полковник Томсен, до того самостоятельно руководивший воздушным флотом. Несмотря на усилия генерального штаба мы вступили в войну недостаточно подготовленными к борьбе в воздухе. Огромной творческой энергии полковника Томсена и действовавшего в тылу подполковника Зигерта Германия и германская армия обязаны успешным развитием во время войны воздушного флота. Теперь главное значение представлялось увеличению числа летчиков-истребителей и снабжению их хорошими боевыми аппаратами. При этом другие виды военной авиации также не были позабыты. Много внимания уделялось и бомбардировочной авиации.</w:t>
      </w:r>
    </w:p>
    <w:p w14:paraId="5C5056F2" w14:textId="77777777" w:rsidR="00F01B26" w:rsidRPr="00405303" w:rsidRDefault="00F01B26" w:rsidP="00C15251">
      <w:pPr>
        <w:jc w:val="both"/>
        <w:rPr>
          <w:bCs/>
          <w:color w:val="002060"/>
          <w:sz w:val="16"/>
          <w:szCs w:val="16"/>
        </w:rPr>
      </w:pPr>
      <w:r w:rsidRPr="00405303">
        <w:rPr>
          <w:bCs/>
          <w:color w:val="002060"/>
          <w:sz w:val="16"/>
          <w:szCs w:val="16"/>
        </w:rPr>
        <w:t>Дирижабль был исключен из числа боевых средств армии. Он представлял собой слишком удобную мишень. Морское ведомство еще сохранило его. Оружие для стрельбы с аэропланов было усовершенствовано и увеличено в числе.</w:t>
      </w:r>
    </w:p>
    <w:p w14:paraId="11247C0D" w14:textId="77777777" w:rsidR="00F01B26" w:rsidRPr="00405303" w:rsidRDefault="00F01B26" w:rsidP="00C15251">
      <w:pPr>
        <w:jc w:val="both"/>
        <w:rPr>
          <w:bCs/>
          <w:color w:val="002060"/>
          <w:sz w:val="16"/>
          <w:szCs w:val="16"/>
        </w:rPr>
      </w:pPr>
      <w:r w:rsidRPr="00405303">
        <w:rPr>
          <w:bCs/>
          <w:color w:val="002060"/>
          <w:sz w:val="16"/>
          <w:szCs w:val="16"/>
        </w:rPr>
        <w:t>Также была широко организована противоаэропланная оборона фронта" (11999).</w:t>
      </w:r>
    </w:p>
    <w:p w14:paraId="3FB7B50C" w14:textId="77777777" w:rsidR="00F01B26" w:rsidRPr="00405303" w:rsidRDefault="00F01B26" w:rsidP="00C15251">
      <w:pPr>
        <w:jc w:val="both"/>
        <w:rPr>
          <w:bCs/>
          <w:color w:val="002060"/>
          <w:sz w:val="16"/>
          <w:szCs w:val="16"/>
        </w:rPr>
      </w:pPr>
    </w:p>
    <w:p w14:paraId="15705A61" w14:textId="77777777" w:rsidR="00DF2D6F" w:rsidRPr="00CF03EC" w:rsidRDefault="00DF2D6F" w:rsidP="00DF2D6F">
      <w:pPr>
        <w:jc w:val="both"/>
        <w:rPr>
          <w:color w:val="0070C0"/>
          <w:sz w:val="16"/>
          <w:szCs w:val="16"/>
        </w:rPr>
      </w:pPr>
      <w:r w:rsidRPr="00CF03EC">
        <w:rPr>
          <w:color w:val="0070C0"/>
          <w:sz w:val="16"/>
          <w:szCs w:val="16"/>
        </w:rPr>
        <w:t>Летом 1915 г. все наличные пулеметные Фоккер M.5K/MG отправили на Французский фронт. Пилоту полевого авиаотряда FFA 6b лейтенанту Паршау, а затем и другим их дали как самолеты «дополнительные» – им приказали лишь охранять основные самолеты-разведчики от французских истребителей. Идея активных действий, борьбы за господство в воздухе, в головы немецких военачальников пока не пришла, тем не менее, 1 июля 1915 г. лейтенант Винтгенс на самолете M.5K/MG W.Nr. (Werk Nummer – производственный номер) E.5/15, заявил, что одержал первую воздушную победу: по собственной инициативе он атаковал и обстрелял французский разведчик Моран «Парасоль», и тому пришлось идти на вынужденную посадку. Это видели с земли, но сел он на своей территории и победу не засчитали, заявив, что не известно, в каком состоянии находится аппарат противника и его экипаж. Тем не менее, никто не отрицал, что Винтгенс помешал врагу выполнить свое задание и его, по крайней мере, похвалили и все же задумались и о таком использовании новой техники (25772).</w:t>
      </w:r>
    </w:p>
    <w:p w14:paraId="1247FFE0" w14:textId="77777777" w:rsidR="00DF2D6F" w:rsidRPr="00CF03EC" w:rsidRDefault="00DF2D6F" w:rsidP="00DF2D6F">
      <w:pPr>
        <w:jc w:val="both"/>
        <w:rPr>
          <w:color w:val="0070C0"/>
          <w:sz w:val="16"/>
          <w:szCs w:val="16"/>
        </w:rPr>
      </w:pPr>
    </w:p>
    <w:p w14:paraId="6F2FF689" w14:textId="77777777" w:rsidR="00DF2D6F" w:rsidRPr="00CF03EC" w:rsidRDefault="00DF2D6F" w:rsidP="00DF2D6F">
      <w:pPr>
        <w:jc w:val="both"/>
        <w:rPr>
          <w:color w:val="0070C0"/>
          <w:sz w:val="16"/>
          <w:szCs w:val="16"/>
        </w:rPr>
      </w:pPr>
      <w:r w:rsidRPr="00CF03EC">
        <w:rPr>
          <w:color w:val="0070C0"/>
          <w:sz w:val="16"/>
          <w:szCs w:val="16"/>
        </w:rPr>
        <w:t>Летом 1915 г. на фронте появились первые серийные истребители Фоккер E I с синхронным пулеметом, часть из которых отличалась установкой вместо «Парабеллума» пулемета LMG 08/15 «Шпандау» – не столь эффективного, но поставлявшегося в достаточных количествах, а дефицитный MG 14 шел в первую очередь на дирижабли. Истребителей Фоккер E I становилось все больше, в цехах кипела работа, прибыть фирмы росла, но пошли и первые претензии.</w:t>
      </w:r>
    </w:p>
    <w:p w14:paraId="1E11CE86" w14:textId="77777777" w:rsidR="00DF2D6F" w:rsidRPr="00CF03EC" w:rsidRDefault="00DF2D6F" w:rsidP="00DF2D6F">
      <w:pPr>
        <w:jc w:val="both"/>
        <w:rPr>
          <w:color w:val="0070C0"/>
          <w:sz w:val="16"/>
          <w:szCs w:val="16"/>
        </w:rPr>
      </w:pPr>
      <w:r w:rsidRPr="00CF03EC">
        <w:rPr>
          <w:color w:val="0070C0"/>
          <w:sz w:val="16"/>
          <w:szCs w:val="16"/>
        </w:rPr>
        <w:t>Благодаря цельноповоротному оперению с аэродинамической компенсацией нагрузки на педали не утомляли ноги, и, казалось, самолет легко держать на прямой, но он «дергался» от малейшего движения рулями или перекашиванием крыла. Его маневренность, как и у прототипа M.5, граничила с неустойчивостью, и неопытному пилоту иногда просто не удавалось зафиксировать его в горизонтальном прямолинейном полете – особенно, в болтанку. Смещение центра тяжести вперед с установкой пулемета увеличило нагрузки на ручке управления, но ни это, ни специальный центровочный бак, не обеспечили истребителю Фоккер E I нормальной статической устойчивости. А пилоту требовалось еще и восемь раз в час подкачивать топливо в этот бак – эта «особенность» бензопитания досталась в наследство от спортивного прототипа М.5.</w:t>
      </w:r>
    </w:p>
    <w:p w14:paraId="2C2C9BC2" w14:textId="77777777" w:rsidR="00DF2D6F" w:rsidRPr="00CF03EC" w:rsidRDefault="00DF2D6F" w:rsidP="00DF2D6F">
      <w:pPr>
        <w:jc w:val="both"/>
        <w:rPr>
          <w:color w:val="0070C0"/>
          <w:sz w:val="16"/>
          <w:szCs w:val="16"/>
        </w:rPr>
      </w:pPr>
      <w:r w:rsidRPr="00CF03EC">
        <w:rPr>
          <w:color w:val="0070C0"/>
          <w:sz w:val="16"/>
          <w:szCs w:val="16"/>
        </w:rPr>
        <w:t>Не улучшал качества самолета слабый и устаревший мотор Оберурсель U 0 – копия французского Гном «Моносупап» А в семицилиндровом варианте мощностью 80 л.с. Перед войной успели купить лицензию и на девятицилиндровый стосильный «Моносупап» В, но освоение его выпуска сильно затянулось и даже летом 1915 г. его аналог Оберурсель U I оставался в Германии дефицитным. Фоккер начал его ставить на новую модель М.14, которую он уже в середине 1915 г. начал поставлять Кайзеровским воздушным войскам под обозначением E II, но на все строящиеся машины их не хватало, и ему пришлось продолжать строить и свой E I с мотором Оберурсель U 0. Тут следует сделать небольшое лирическое отступление: нет худа без добра и сам Антон Фоккер получал в карман с каждого изделия, сданного в казну фирмой «Оберурсель» – как ее мажоритарный акционер, а затем и совладелец.</w:t>
      </w:r>
    </w:p>
    <w:p w14:paraId="46603A57" w14:textId="77777777" w:rsidR="00DF2D6F" w:rsidRPr="00CF03EC" w:rsidRDefault="00DF2D6F" w:rsidP="00DF2D6F">
      <w:pPr>
        <w:jc w:val="both"/>
        <w:rPr>
          <w:color w:val="0070C0"/>
          <w:sz w:val="16"/>
          <w:szCs w:val="16"/>
        </w:rPr>
      </w:pPr>
      <w:r w:rsidRPr="00CF03EC">
        <w:rPr>
          <w:color w:val="0070C0"/>
          <w:sz w:val="16"/>
          <w:szCs w:val="16"/>
        </w:rPr>
        <w:t>Из-за нового кратера габаритный диаметр девятицилиндрового Оберурселя U Iувеличился до 950 мм, и пришлось соответственно переделать капот, усовершенствовали установку пулемета и синхронизатор, но главное, для Фоккера E II сварили полностью новый фюзеляж, удлиненный и с улучшенной жесткостью. Первые «Айндеккеры-2» Фоккера получили все те же Паршау и Винтгенс, который сказал, что новый самолет – это «молния на прямой и первый солист по барограмме», имея ввиду скорость и скороподъемность, характеризуемую уменьшением записываемого бортовым барографом атмосферного давления по мере подъема самолета (25772).</w:t>
      </w:r>
    </w:p>
    <w:p w14:paraId="74AB05C7" w14:textId="77777777" w:rsidR="00DF2D6F" w:rsidRPr="00CF03EC" w:rsidRDefault="00DF2D6F" w:rsidP="00DF2D6F">
      <w:pPr>
        <w:jc w:val="both"/>
        <w:rPr>
          <w:color w:val="0070C0"/>
          <w:sz w:val="16"/>
          <w:szCs w:val="16"/>
        </w:rPr>
      </w:pPr>
    </w:p>
    <w:p w14:paraId="05A95B4A" w14:textId="77777777" w:rsidR="00F01B26" w:rsidRPr="00405303" w:rsidRDefault="00F01B26" w:rsidP="00C15251">
      <w:pPr>
        <w:jc w:val="both"/>
        <w:rPr>
          <w:bCs/>
          <w:color w:val="002060"/>
          <w:sz w:val="16"/>
          <w:szCs w:val="16"/>
        </w:rPr>
      </w:pPr>
      <w:r w:rsidRPr="00405303">
        <w:rPr>
          <w:bCs/>
          <w:color w:val="002060"/>
          <w:sz w:val="16"/>
          <w:szCs w:val="16"/>
        </w:rPr>
        <w:t xml:space="preserve">С лета 1915 года Командующий английским флотом адмирал Джеллико еще предвидел роль цеппелинов на море и принял меры противодействия налетам на английские порты. Это подтверждал его рапорт в Адмиралтейство от 23 июля 1915 года. Немецкое морское командование до 1916 года не придавало особого значения совместным операциям флота с цеппелинами и уделяло все свое внимание рейдам на территорию Англии. Для перехвата дирижаблей в море Черчилль приказал </w:t>
      </w:r>
      <w:r w:rsidRPr="00405303">
        <w:rPr>
          <w:bCs/>
          <w:color w:val="002060"/>
          <w:sz w:val="16"/>
          <w:szCs w:val="16"/>
        </w:rPr>
        <w:lastRenderedPageBreak/>
        <w:t>вооружить одну легкую эскадру специальной зенитной артиллерией. Эта эскадра, 6-й противовоздушный легкий дивизион крейсеров, начиная с июня 1915 года базировалась на Хамбере. Подлодки Е-4 и Е-6 вооружили 100-мм пушками для борьбы с цеппелинами в Германской бухте. Входившие в состав отряда из Гарвича крейсера «Аврора» и «Пенелопа» приняли на борт гидросамолеты, которые могли быть использованы в благоприятных обстоятельствах (11234).</w:t>
      </w:r>
    </w:p>
    <w:p w14:paraId="4D1FD5C3" w14:textId="77777777" w:rsidR="00F01B26" w:rsidRPr="00405303" w:rsidRDefault="00F01B26" w:rsidP="00C15251">
      <w:pPr>
        <w:jc w:val="both"/>
        <w:rPr>
          <w:bCs/>
          <w:i/>
          <w:color w:val="002060"/>
          <w:sz w:val="16"/>
          <w:szCs w:val="16"/>
        </w:rPr>
      </w:pPr>
    </w:p>
    <w:p w14:paraId="5958764D" w14:textId="77777777" w:rsidR="00F01B26" w:rsidRPr="00405303" w:rsidRDefault="00F01B26" w:rsidP="00C15251">
      <w:pPr>
        <w:jc w:val="both"/>
        <w:rPr>
          <w:bCs/>
          <w:color w:val="002060"/>
          <w:sz w:val="16"/>
          <w:szCs w:val="16"/>
        </w:rPr>
      </w:pPr>
      <w:r w:rsidRPr="00405303">
        <w:rPr>
          <w:bCs/>
          <w:color w:val="002060"/>
          <w:sz w:val="16"/>
          <w:szCs w:val="16"/>
        </w:rPr>
        <w:t>Летом 1915 г. на фронте появились и первые серийные истребители Фоккер E I, часть из которых отличалась установкой пулемета LMG 08/15 «Шпандау» вместо «Парабеллума» — он был не столь эффективен, но имелся в достаточных количествах, а MG 14 шел в первую очередь на дирижабли. Серийных истребителей Фоккер E I становилось все больше, в цехах кипела работа, прибыль фирмы росла, но пошли и первые претензии. Благодаря цельноповоротному оперению с аэродинамической компенсацией самолет получился очень чувствительным к движению ручки по крену и тангажу. Его маневренность, как и у прототипа M.5, граничила с неустойчивостью, и неопытному пилоту бывало трудно удерживать его в горизонтальном прямолинейном полете. Смещение центровки вперед из-за установки пулемета увеличило нагрузки на ручке управления, но ни это, ни специальный центровочный бак не обеспечили истребителю Фоккер E I нормальной статической устойчивости. А пилот должен был восемь раз в час подкачивать топливо в этот бак — «рудимент», доставшийся от спортивного прототипа М.5. И последним недостатком нового самолета был слабый и устаревший мотор Оберурсель U 0 — копия французского Гном «Моносупап» А в семицилиндровом варианте мощностью 80 л. с. Перед войной успели купить лицензию и на девятицилиндровый 100-сильный «Моносупап» В, но освоение его выпуска сильно затянулось, и даже летом 1915 г. его аналог Оберурсель U I оставался в Германии дефицитным. Фоккер начал его ставить на новую модель М.14, которую он уже в середине 1915 г. поставлял кайзеровским воздушным войскам под обозначением E II, но на все строящиеся машины их не хватало, и он вынужден был продолжать строить и E I с мотором U 0. Диаметр двигателя Оберурсель U I увеличился из-за нового кратера до 950 мм, поэтому пришлось соответственно переделать капот, были усовершенствованы установка пулемета и синхронизатор, но в остальном Фоккер E II мало отличался от E I. Первые «Айндеккеры-2» конструкции Фоккера получили все те же Паршау и Винтгенс, который сказал, что новый самолет — это «молния на прямой и первый солист по барограмме», имея в виду скорость набора высоты, которая характеризуется уменьшением записываемого бортовым барографом атмосферного давления по мере подъема самолета (22750).</w:t>
      </w:r>
    </w:p>
    <w:p w14:paraId="31BF475C" w14:textId="77777777" w:rsidR="00F01B26" w:rsidRPr="00405303" w:rsidRDefault="00F01B26" w:rsidP="00C15251">
      <w:pPr>
        <w:jc w:val="both"/>
        <w:rPr>
          <w:bCs/>
          <w:color w:val="002060"/>
          <w:sz w:val="16"/>
          <w:szCs w:val="16"/>
        </w:rPr>
      </w:pPr>
    </w:p>
    <w:p w14:paraId="122150AB" w14:textId="77777777" w:rsidR="00F01B26" w:rsidRPr="00405303" w:rsidRDefault="00F01B26" w:rsidP="00C15251">
      <w:pPr>
        <w:jc w:val="both"/>
        <w:rPr>
          <w:bCs/>
          <w:color w:val="002060"/>
          <w:sz w:val="16"/>
          <w:szCs w:val="16"/>
        </w:rPr>
      </w:pPr>
      <w:r w:rsidRPr="00405303">
        <w:rPr>
          <w:bCs/>
          <w:color w:val="002060"/>
          <w:sz w:val="16"/>
          <w:szCs w:val="16"/>
        </w:rPr>
        <w:t xml:space="preserve">Летом 1915 года во время боевых действий на Балтике был захвачен немецкий самолет Альбатрос с мотором в 150 л.с. в исправном состоянии. Лебедев сумел убедить передать самолет ему </w:t>
      </w:r>
      <w:proofErr w:type="gramStart"/>
      <w:r w:rsidRPr="00405303">
        <w:rPr>
          <w:bCs/>
          <w:color w:val="002060"/>
          <w:sz w:val="16"/>
          <w:szCs w:val="16"/>
        </w:rPr>
        <w:t>на завод</w:t>
      </w:r>
      <w:proofErr w:type="gramEnd"/>
      <w:r w:rsidRPr="00405303">
        <w:rPr>
          <w:bCs/>
          <w:color w:val="002060"/>
          <w:sz w:val="16"/>
          <w:szCs w:val="16"/>
        </w:rPr>
        <w:t xml:space="preserve"> и вскоре трофейный «Альбатрос» был доставлен на Комендантский аэродром. На заводе этот самолет стали копировать, несколько видоизменяя его применительно к различным моторам. Уже осенью того же года глава фирмы выбивает заказ в Морском Генеральном Штабе на переделку партии французских сухопутных самолетов типа «Морис-Фарман» на морские. Заказ был успешно выполнен, все самолеты были поставлены в срок.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цехами и столярной мастерской. Число работающих перевалило за тысячу и продолжало расти. Но ограниченность территории затрудняли дальнейшее расширение завода. В.А. Лебедев,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 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завершена, и там началось производство винтов. Однако здесь Лебедева ожидают трудности: недостаток рабочей силы, отсутствие топлива, серьезные транспортные проблемы и, наконец, сложные климатические условия. И его взор устремляется на юг. Он уже давно присматривается к Таганрогу...</w:t>
      </w:r>
    </w:p>
    <w:p w14:paraId="23206519" w14:textId="77777777" w:rsidR="00F01B26" w:rsidRPr="00405303" w:rsidRDefault="00F01B26" w:rsidP="00C15251">
      <w:pPr>
        <w:shd w:val="clear" w:color="auto" w:fill="FFFFFF"/>
        <w:jc w:val="both"/>
        <w:rPr>
          <w:bCs/>
          <w:i/>
          <w:color w:val="002060"/>
          <w:sz w:val="16"/>
          <w:szCs w:val="16"/>
        </w:rPr>
      </w:pPr>
    </w:p>
    <w:p w14:paraId="2CD333AB" w14:textId="77777777" w:rsidR="00F01B26" w:rsidRPr="00405303" w:rsidRDefault="00F01B26" w:rsidP="00C15251">
      <w:pPr>
        <w:jc w:val="both"/>
        <w:rPr>
          <w:bCs/>
          <w:i/>
          <w:color w:val="002060"/>
          <w:sz w:val="16"/>
          <w:szCs w:val="16"/>
        </w:rPr>
      </w:pPr>
      <w:r w:rsidRPr="00405303">
        <w:rPr>
          <w:bCs/>
          <w:i/>
          <w:color w:val="002060"/>
          <w:sz w:val="16"/>
          <w:szCs w:val="16"/>
        </w:rPr>
        <w:t>Авиация и воздухоплавание Англии:</w:t>
      </w:r>
    </w:p>
    <w:p w14:paraId="3D71FAD1" w14:textId="77777777" w:rsidR="00F01B26" w:rsidRPr="00405303" w:rsidRDefault="00F01B26" w:rsidP="00C15251">
      <w:pPr>
        <w:jc w:val="both"/>
        <w:rPr>
          <w:bCs/>
          <w:i/>
          <w:color w:val="002060"/>
          <w:sz w:val="16"/>
          <w:szCs w:val="16"/>
        </w:rPr>
      </w:pPr>
    </w:p>
    <w:p w14:paraId="58AFF9A4" w14:textId="77777777" w:rsidR="00F01B26" w:rsidRPr="00405303" w:rsidRDefault="00F01B26" w:rsidP="00C15251">
      <w:pPr>
        <w:jc w:val="both"/>
        <w:rPr>
          <w:bCs/>
          <w:color w:val="002060"/>
          <w:sz w:val="16"/>
          <w:szCs w:val="16"/>
        </w:rPr>
      </w:pPr>
      <w:r w:rsidRPr="00405303">
        <w:rPr>
          <w:bCs/>
          <w:color w:val="002060"/>
          <w:sz w:val="16"/>
          <w:szCs w:val="16"/>
        </w:rPr>
        <w:t>Еще летом 1915 г. англичане под</w:t>
      </w:r>
      <w:r w:rsidRPr="00405303">
        <w:rPr>
          <w:bCs/>
          <w:color w:val="002060"/>
          <w:sz w:val="16"/>
          <w:szCs w:val="16"/>
        </w:rPr>
        <w:softHyphen/>
        <w:t xml:space="preserve">весили 14-дюймовую торпеду весом 367 кг под серийно выпускавшийся гидросамолёт-бомбардировщик </w:t>
      </w:r>
      <w:r w:rsidRPr="00405303">
        <w:rPr>
          <w:bCs/>
          <w:color w:val="002060"/>
          <w:sz w:val="16"/>
          <w:szCs w:val="16"/>
          <w:lang w:val="en-US"/>
        </w:rPr>
        <w:t>ShortS</w:t>
      </w:r>
      <w:r w:rsidRPr="00405303">
        <w:rPr>
          <w:bCs/>
          <w:color w:val="002060"/>
          <w:sz w:val="16"/>
          <w:szCs w:val="16"/>
        </w:rPr>
        <w:t>.184. Для этого пришлось пе</w:t>
      </w:r>
      <w:r w:rsidRPr="00405303">
        <w:rPr>
          <w:bCs/>
          <w:color w:val="002060"/>
          <w:sz w:val="16"/>
          <w:szCs w:val="16"/>
        </w:rPr>
        <w:softHyphen/>
        <w:t>ределать шасси и усилить фюзеляж. Как упоминалось в статье А.Ар</w:t>
      </w:r>
      <w:r w:rsidRPr="00405303">
        <w:rPr>
          <w:bCs/>
          <w:color w:val="002060"/>
          <w:sz w:val="16"/>
          <w:szCs w:val="16"/>
        </w:rPr>
        <w:softHyphen/>
        <w:t xml:space="preserve">темьева, в августе 1915 г. </w:t>
      </w:r>
      <w:r w:rsidRPr="00405303">
        <w:rPr>
          <w:bCs/>
          <w:color w:val="002060"/>
          <w:sz w:val="16"/>
          <w:szCs w:val="16"/>
          <w:lang w:val="en-US"/>
        </w:rPr>
        <w:t>Short</w:t>
      </w:r>
      <w:r w:rsidRPr="00405303">
        <w:rPr>
          <w:bCs/>
          <w:color w:val="002060"/>
          <w:sz w:val="16"/>
          <w:szCs w:val="16"/>
        </w:rPr>
        <w:t>184 стал первым самолетом, успешно атаковавшим реальную цель. Но если же говорить о специ</w:t>
      </w:r>
      <w:r w:rsidRPr="00405303">
        <w:rPr>
          <w:bCs/>
          <w:color w:val="002060"/>
          <w:sz w:val="16"/>
          <w:szCs w:val="16"/>
        </w:rPr>
        <w:softHyphen/>
        <w:t>ально спроектированном морском торпедоносце, то в Великобрита</w:t>
      </w:r>
      <w:r w:rsidRPr="00405303">
        <w:rPr>
          <w:bCs/>
          <w:color w:val="002060"/>
          <w:sz w:val="16"/>
          <w:szCs w:val="16"/>
        </w:rPr>
        <w:softHyphen/>
        <w:t xml:space="preserve">нии им, пожалуй, был </w:t>
      </w:r>
      <w:r w:rsidRPr="00405303">
        <w:rPr>
          <w:bCs/>
          <w:color w:val="002060"/>
          <w:sz w:val="16"/>
          <w:szCs w:val="16"/>
          <w:lang w:val="en-US"/>
        </w:rPr>
        <w:t>AD</w:t>
      </w:r>
      <w:r w:rsidRPr="00405303">
        <w:rPr>
          <w:bCs/>
          <w:color w:val="002060"/>
          <w:sz w:val="16"/>
          <w:szCs w:val="16"/>
        </w:rPr>
        <w:t>.1000, ко</w:t>
      </w:r>
      <w:r w:rsidRPr="00405303">
        <w:rPr>
          <w:bCs/>
          <w:color w:val="002060"/>
          <w:sz w:val="16"/>
          <w:szCs w:val="16"/>
        </w:rPr>
        <w:softHyphen/>
        <w:t>торый в 1914 г. сконструировал Харис Бут. Строительство необыч</w:t>
      </w:r>
      <w:r w:rsidRPr="00405303">
        <w:rPr>
          <w:bCs/>
          <w:color w:val="002060"/>
          <w:sz w:val="16"/>
          <w:szCs w:val="16"/>
        </w:rPr>
        <w:softHyphen/>
        <w:t>ного гидросамолёта началось осе</w:t>
      </w:r>
      <w:r w:rsidRPr="00405303">
        <w:rPr>
          <w:bCs/>
          <w:color w:val="002060"/>
          <w:sz w:val="16"/>
          <w:szCs w:val="16"/>
        </w:rPr>
        <w:softHyphen/>
        <w:t xml:space="preserve">нью 1914 г. на заводе </w:t>
      </w:r>
      <w:r w:rsidRPr="00405303">
        <w:rPr>
          <w:bCs/>
          <w:color w:val="002060"/>
          <w:sz w:val="16"/>
          <w:szCs w:val="16"/>
          <w:lang w:val="en-US"/>
        </w:rPr>
        <w:t>JohnSamuelWhite</w:t>
      </w:r>
      <w:r w:rsidRPr="00405303">
        <w:rPr>
          <w:bCs/>
          <w:color w:val="002060"/>
          <w:sz w:val="16"/>
          <w:szCs w:val="16"/>
        </w:rPr>
        <w:t xml:space="preserve">&amp; Со </w:t>
      </w:r>
      <w:r w:rsidRPr="00405303">
        <w:rPr>
          <w:bCs/>
          <w:color w:val="002060"/>
          <w:sz w:val="16"/>
          <w:szCs w:val="16"/>
          <w:lang w:val="en-US"/>
        </w:rPr>
        <w:t>Ltd</w:t>
      </w:r>
      <w:r w:rsidRPr="00405303">
        <w:rPr>
          <w:bCs/>
          <w:color w:val="002060"/>
          <w:sz w:val="16"/>
          <w:szCs w:val="16"/>
        </w:rPr>
        <w:t>. (</w:t>
      </w:r>
      <w:r w:rsidRPr="00405303">
        <w:rPr>
          <w:bCs/>
          <w:color w:val="002060"/>
          <w:sz w:val="16"/>
          <w:szCs w:val="16"/>
          <w:lang w:val="en-US"/>
        </w:rPr>
        <w:t>WightAircraft</w:t>
      </w:r>
      <w:r w:rsidRPr="00405303">
        <w:rPr>
          <w:bCs/>
          <w:color w:val="002060"/>
          <w:sz w:val="16"/>
          <w:szCs w:val="16"/>
        </w:rPr>
        <w:t>). Это был пятиместный четырёх- стоечный биплан с двойным фюзе</w:t>
      </w:r>
      <w:r w:rsidRPr="00405303">
        <w:rPr>
          <w:bCs/>
          <w:color w:val="002060"/>
          <w:sz w:val="16"/>
          <w:szCs w:val="16"/>
        </w:rPr>
        <w:softHyphen/>
        <w:t>ляжем, одним толкающим (в цент</w:t>
      </w:r>
      <w:r w:rsidRPr="00405303">
        <w:rPr>
          <w:bCs/>
          <w:color w:val="002060"/>
          <w:sz w:val="16"/>
          <w:szCs w:val="16"/>
        </w:rPr>
        <w:softHyphen/>
        <w:t>ральной гондоле) и двумя тянущи</w:t>
      </w:r>
      <w:r w:rsidRPr="00405303">
        <w:rPr>
          <w:bCs/>
          <w:color w:val="002060"/>
          <w:sz w:val="16"/>
          <w:szCs w:val="16"/>
        </w:rPr>
        <w:softHyphen/>
        <w:t xml:space="preserve">ми (в балках) двигателями </w:t>
      </w:r>
      <w:r w:rsidRPr="00405303">
        <w:rPr>
          <w:bCs/>
          <w:color w:val="002060"/>
          <w:sz w:val="16"/>
          <w:szCs w:val="16"/>
          <w:lang w:val="en-US"/>
        </w:rPr>
        <w:t>Sunbeam</w:t>
      </w:r>
      <w:r w:rsidRPr="00405303">
        <w:rPr>
          <w:bCs/>
          <w:color w:val="002060"/>
          <w:sz w:val="16"/>
          <w:szCs w:val="16"/>
        </w:rPr>
        <w:t xml:space="preserve">мощностью по 310 л.с. с </w:t>
      </w:r>
      <w:proofErr w:type="gramStart"/>
      <w:r w:rsidRPr="00405303">
        <w:rPr>
          <w:bCs/>
          <w:color w:val="002060"/>
          <w:sz w:val="16"/>
          <w:szCs w:val="16"/>
        </w:rPr>
        <w:t>четырех- лопастными</w:t>
      </w:r>
      <w:proofErr w:type="gramEnd"/>
      <w:r w:rsidRPr="00405303">
        <w:rPr>
          <w:bCs/>
          <w:color w:val="002060"/>
          <w:sz w:val="16"/>
          <w:szCs w:val="16"/>
        </w:rPr>
        <w:t xml:space="preserve"> винтами.</w:t>
      </w:r>
    </w:p>
    <w:p w14:paraId="720900FC" w14:textId="77777777" w:rsidR="00F01B26" w:rsidRPr="00405303" w:rsidRDefault="00F01B26" w:rsidP="00C15251">
      <w:pPr>
        <w:jc w:val="both"/>
        <w:rPr>
          <w:bCs/>
          <w:color w:val="002060"/>
          <w:sz w:val="16"/>
          <w:szCs w:val="16"/>
        </w:rPr>
      </w:pPr>
      <w:r w:rsidRPr="00405303">
        <w:rPr>
          <w:bCs/>
          <w:color w:val="002060"/>
          <w:sz w:val="16"/>
          <w:szCs w:val="16"/>
        </w:rPr>
        <w:t>Шасси состояло из двух основ</w:t>
      </w:r>
      <w:r w:rsidRPr="00405303">
        <w:rPr>
          <w:bCs/>
          <w:color w:val="002060"/>
          <w:sz w:val="16"/>
          <w:szCs w:val="16"/>
        </w:rPr>
        <w:softHyphen/>
        <w:t>ных и двух хвостовых поплавков. Два руля высоты и руль направления были снабжены большой роговой компенсацией. Элероны только на верхнем крыле. Экипаж размещал</w:t>
      </w:r>
      <w:r w:rsidRPr="00405303">
        <w:rPr>
          <w:bCs/>
          <w:color w:val="002060"/>
          <w:sz w:val="16"/>
          <w:szCs w:val="16"/>
        </w:rPr>
        <w:softHyphen/>
        <w:t>ся в трёх отдельных кабинах, у каж</w:t>
      </w:r>
      <w:r w:rsidRPr="00405303">
        <w:rPr>
          <w:bCs/>
          <w:color w:val="002060"/>
          <w:sz w:val="16"/>
          <w:szCs w:val="16"/>
        </w:rPr>
        <w:softHyphen/>
        <w:t>дого мотора был свой механик. Под центральной гондолой подвешивалась одна 356 мм торпеда массой 367 кг.</w:t>
      </w:r>
    </w:p>
    <w:p w14:paraId="5E77BFC7" w14:textId="77777777" w:rsidR="00F01B26" w:rsidRPr="00405303" w:rsidRDefault="00F01B26" w:rsidP="00C15251">
      <w:pPr>
        <w:jc w:val="both"/>
        <w:rPr>
          <w:bCs/>
          <w:color w:val="002060"/>
          <w:sz w:val="16"/>
          <w:szCs w:val="16"/>
        </w:rPr>
      </w:pPr>
      <w:r w:rsidRPr="00405303">
        <w:rPr>
          <w:bCs/>
          <w:color w:val="002060"/>
          <w:sz w:val="16"/>
          <w:szCs w:val="16"/>
        </w:rPr>
        <w:t xml:space="preserve">Самолёт, получивший флотский номер </w:t>
      </w:r>
      <w:r w:rsidRPr="00405303">
        <w:rPr>
          <w:bCs/>
          <w:color w:val="002060"/>
          <w:sz w:val="16"/>
          <w:szCs w:val="16"/>
          <w:lang w:val="en-US"/>
        </w:rPr>
        <w:t>N</w:t>
      </w:r>
      <w:r w:rsidRPr="00405303">
        <w:rPr>
          <w:bCs/>
          <w:color w:val="002060"/>
          <w:sz w:val="16"/>
          <w:szCs w:val="16"/>
        </w:rPr>
        <w:t xml:space="preserve">.1358, был готов весной 1915 г., но вот двигателей </w:t>
      </w:r>
      <w:r w:rsidRPr="00405303">
        <w:rPr>
          <w:bCs/>
          <w:color w:val="002060"/>
          <w:sz w:val="16"/>
          <w:szCs w:val="16"/>
          <w:lang w:val="en-US"/>
        </w:rPr>
        <w:t>Sunbeam</w:t>
      </w:r>
      <w:r w:rsidRPr="00405303">
        <w:rPr>
          <w:bCs/>
          <w:color w:val="002060"/>
          <w:sz w:val="16"/>
          <w:szCs w:val="16"/>
        </w:rPr>
        <w:t>ещё не было. Гидроплан простоял целый год, но так и не взлетел. Одной из причин была неуверен</w:t>
      </w:r>
      <w:r w:rsidRPr="00405303">
        <w:rPr>
          <w:bCs/>
          <w:color w:val="002060"/>
          <w:sz w:val="16"/>
          <w:szCs w:val="16"/>
        </w:rPr>
        <w:softHyphen/>
        <w:t>ность моряков в прочности поплав</w:t>
      </w:r>
      <w:r w:rsidRPr="00405303">
        <w:rPr>
          <w:bCs/>
          <w:color w:val="002060"/>
          <w:sz w:val="16"/>
          <w:szCs w:val="16"/>
        </w:rPr>
        <w:softHyphen/>
        <w:t>кового шасси для такой огромной машины, размах крыла которой был равен 35 м.</w:t>
      </w:r>
    </w:p>
    <w:p w14:paraId="3305156D" w14:textId="77777777" w:rsidR="00F01B26" w:rsidRPr="00405303" w:rsidRDefault="00F01B26" w:rsidP="00C15251">
      <w:pPr>
        <w:jc w:val="both"/>
        <w:rPr>
          <w:bCs/>
          <w:color w:val="002060"/>
          <w:sz w:val="16"/>
          <w:szCs w:val="16"/>
        </w:rPr>
      </w:pPr>
      <w:r w:rsidRPr="00405303">
        <w:rPr>
          <w:bCs/>
          <w:color w:val="002060"/>
          <w:sz w:val="16"/>
          <w:szCs w:val="16"/>
        </w:rPr>
        <w:t xml:space="preserve">Но хотя </w:t>
      </w:r>
      <w:r w:rsidRPr="00405303">
        <w:rPr>
          <w:bCs/>
          <w:color w:val="002060"/>
          <w:sz w:val="16"/>
          <w:szCs w:val="16"/>
          <w:lang w:val="en-US"/>
        </w:rPr>
        <w:t>Short</w:t>
      </w:r>
      <w:r w:rsidRPr="00405303">
        <w:rPr>
          <w:bCs/>
          <w:color w:val="002060"/>
          <w:sz w:val="16"/>
          <w:szCs w:val="16"/>
        </w:rPr>
        <w:t>184 - первый мор</w:t>
      </w:r>
      <w:r w:rsidRPr="00405303">
        <w:rPr>
          <w:bCs/>
          <w:color w:val="002060"/>
          <w:sz w:val="16"/>
          <w:szCs w:val="16"/>
        </w:rPr>
        <w:softHyphen/>
        <w:t>ской торпедоносец, применённый в бою (и добившийся победы), паль</w:t>
      </w:r>
      <w:r w:rsidRPr="00405303">
        <w:rPr>
          <w:bCs/>
          <w:color w:val="002060"/>
          <w:sz w:val="16"/>
          <w:szCs w:val="16"/>
        </w:rPr>
        <w:softHyphen/>
        <w:t>ма первенства в создании само</w:t>
      </w:r>
      <w:r w:rsidRPr="00405303">
        <w:rPr>
          <w:bCs/>
          <w:color w:val="002060"/>
          <w:sz w:val="16"/>
          <w:szCs w:val="16"/>
        </w:rPr>
        <w:softHyphen/>
        <w:t>лётов такого типа англичанам не принадлежит.</w:t>
      </w:r>
    </w:p>
    <w:p w14:paraId="6513D228" w14:textId="77777777" w:rsidR="00F01B26" w:rsidRPr="00405303" w:rsidRDefault="00F01B26" w:rsidP="00C15251">
      <w:pPr>
        <w:jc w:val="both"/>
        <w:rPr>
          <w:bCs/>
          <w:color w:val="002060"/>
          <w:sz w:val="16"/>
          <w:szCs w:val="16"/>
        </w:rPr>
      </w:pPr>
      <w:r w:rsidRPr="00405303">
        <w:rPr>
          <w:bCs/>
          <w:color w:val="002060"/>
          <w:sz w:val="16"/>
          <w:szCs w:val="16"/>
        </w:rPr>
        <w:t>Ещё в феврале 1914 г. 33-лет</w:t>
      </w:r>
      <w:r w:rsidRPr="00405303">
        <w:rPr>
          <w:bCs/>
          <w:color w:val="002060"/>
          <w:sz w:val="16"/>
          <w:szCs w:val="16"/>
        </w:rPr>
        <w:softHyphen/>
        <w:t>ний капитан итальянской армии Алессандро Гуидони подвесил под «Фарман» с 80-сильным двигателем «Гном» торпеду и успешно сбросил её. Правда, «Фарман» был сухопут</w:t>
      </w:r>
      <w:r w:rsidRPr="00405303">
        <w:rPr>
          <w:bCs/>
          <w:color w:val="002060"/>
          <w:sz w:val="16"/>
          <w:szCs w:val="16"/>
        </w:rPr>
        <w:softHyphen/>
        <w:t>ным, на колёсном шасси, и к воп</w:t>
      </w:r>
      <w:r w:rsidRPr="00405303">
        <w:rPr>
          <w:bCs/>
          <w:color w:val="002060"/>
          <w:sz w:val="16"/>
          <w:szCs w:val="16"/>
        </w:rPr>
        <w:softHyphen/>
        <w:t>росу о первенстве морских торпе</w:t>
      </w:r>
      <w:r w:rsidRPr="00405303">
        <w:rPr>
          <w:bCs/>
          <w:color w:val="002060"/>
          <w:sz w:val="16"/>
          <w:szCs w:val="16"/>
        </w:rPr>
        <w:softHyphen/>
        <w:t>доносцев отношения не имеет.</w:t>
      </w:r>
    </w:p>
    <w:p w14:paraId="44724763" w14:textId="77777777" w:rsidR="00F01B26" w:rsidRPr="00405303" w:rsidRDefault="00F01B26" w:rsidP="00C15251">
      <w:pPr>
        <w:jc w:val="both"/>
        <w:rPr>
          <w:bCs/>
          <w:color w:val="002060"/>
          <w:sz w:val="16"/>
          <w:szCs w:val="16"/>
        </w:rPr>
      </w:pPr>
      <w:r w:rsidRPr="00405303">
        <w:rPr>
          <w:bCs/>
          <w:color w:val="002060"/>
          <w:sz w:val="16"/>
          <w:szCs w:val="16"/>
        </w:rPr>
        <w:t>Но в том же 1914 г. Гуидони со</w:t>
      </w:r>
      <w:r w:rsidRPr="00405303">
        <w:rPr>
          <w:bCs/>
          <w:color w:val="002060"/>
          <w:sz w:val="16"/>
          <w:szCs w:val="16"/>
        </w:rPr>
        <w:softHyphen/>
        <w:t>здал гидросамолёт специальной конструкции.</w:t>
      </w:r>
    </w:p>
    <w:p w14:paraId="6F29684B" w14:textId="77777777" w:rsidR="00F01B26" w:rsidRPr="00405303" w:rsidRDefault="00F01B26" w:rsidP="00C15251">
      <w:pPr>
        <w:jc w:val="both"/>
        <w:rPr>
          <w:bCs/>
          <w:color w:val="002060"/>
          <w:sz w:val="16"/>
          <w:szCs w:val="16"/>
        </w:rPr>
      </w:pPr>
      <w:r w:rsidRPr="00405303">
        <w:rPr>
          <w:bCs/>
          <w:color w:val="002060"/>
          <w:sz w:val="16"/>
          <w:szCs w:val="16"/>
        </w:rPr>
        <w:t>Это был расчалочный моноплан на двух больших поплавках. Для облегчения взлёта под поплавками были установлены подводные кры</w:t>
      </w:r>
      <w:r w:rsidRPr="00405303">
        <w:rPr>
          <w:bCs/>
          <w:color w:val="002060"/>
          <w:sz w:val="16"/>
          <w:szCs w:val="16"/>
        </w:rPr>
        <w:softHyphen/>
        <w:t>лья.</w:t>
      </w:r>
    </w:p>
    <w:p w14:paraId="22930274" w14:textId="77777777" w:rsidR="00F01B26" w:rsidRPr="00405303" w:rsidRDefault="00F01B26" w:rsidP="00C15251">
      <w:pPr>
        <w:jc w:val="both"/>
        <w:rPr>
          <w:bCs/>
          <w:color w:val="002060"/>
          <w:sz w:val="16"/>
          <w:szCs w:val="16"/>
        </w:rPr>
      </w:pPr>
      <w:r w:rsidRPr="00405303">
        <w:rPr>
          <w:bCs/>
          <w:color w:val="002060"/>
          <w:sz w:val="16"/>
          <w:szCs w:val="16"/>
        </w:rPr>
        <w:t xml:space="preserve">Экипаж - всего один человек. Два мотора </w:t>
      </w:r>
      <w:r w:rsidRPr="00405303">
        <w:rPr>
          <w:bCs/>
          <w:color w:val="002060"/>
          <w:sz w:val="16"/>
          <w:szCs w:val="16"/>
          <w:lang w:val="en-US"/>
        </w:rPr>
        <w:t>Gnome</w:t>
      </w:r>
      <w:r w:rsidRPr="00405303">
        <w:rPr>
          <w:bCs/>
          <w:color w:val="002060"/>
          <w:sz w:val="16"/>
          <w:szCs w:val="16"/>
        </w:rPr>
        <w:t>по 160 л.с. были установлены в фюзеляже носками друг к другу и вращали винты, «про</w:t>
      </w:r>
      <w:r w:rsidRPr="00405303">
        <w:rPr>
          <w:bCs/>
          <w:color w:val="002060"/>
          <w:sz w:val="16"/>
          <w:szCs w:val="16"/>
        </w:rPr>
        <w:softHyphen/>
        <w:t>резающие» фюзеляж. Хвостовая часть держалась только на трубе, проходящей через валы винтов, и на расчалках.</w:t>
      </w:r>
    </w:p>
    <w:p w14:paraId="7CD1E3B2" w14:textId="77777777" w:rsidR="00F01B26" w:rsidRPr="00405303" w:rsidRDefault="00F01B26" w:rsidP="00C15251">
      <w:pPr>
        <w:jc w:val="both"/>
        <w:rPr>
          <w:bCs/>
          <w:color w:val="002060"/>
          <w:sz w:val="16"/>
          <w:szCs w:val="16"/>
        </w:rPr>
      </w:pPr>
      <w:r w:rsidRPr="00405303">
        <w:rPr>
          <w:bCs/>
          <w:color w:val="002060"/>
          <w:sz w:val="16"/>
          <w:szCs w:val="16"/>
        </w:rPr>
        <w:t>Подобная конструкция была поз</w:t>
      </w:r>
      <w:r w:rsidRPr="00405303">
        <w:rPr>
          <w:bCs/>
          <w:color w:val="002060"/>
          <w:sz w:val="16"/>
          <w:szCs w:val="16"/>
        </w:rPr>
        <w:softHyphen/>
        <w:t>же применена в американских са</w:t>
      </w:r>
      <w:r w:rsidRPr="00405303">
        <w:rPr>
          <w:bCs/>
          <w:color w:val="002060"/>
          <w:sz w:val="16"/>
          <w:szCs w:val="16"/>
        </w:rPr>
        <w:softHyphen/>
        <w:t xml:space="preserve">молётах </w:t>
      </w:r>
      <w:r w:rsidRPr="00405303">
        <w:rPr>
          <w:bCs/>
          <w:color w:val="002060"/>
          <w:sz w:val="16"/>
          <w:szCs w:val="16"/>
          <w:lang w:val="en-US"/>
        </w:rPr>
        <w:t>GallaudetD</w:t>
      </w:r>
      <w:r w:rsidRPr="00405303">
        <w:rPr>
          <w:bCs/>
          <w:color w:val="002060"/>
          <w:sz w:val="16"/>
          <w:szCs w:val="16"/>
        </w:rPr>
        <w:t xml:space="preserve">-2 и </w:t>
      </w:r>
      <w:r w:rsidRPr="00405303">
        <w:rPr>
          <w:bCs/>
          <w:color w:val="002060"/>
          <w:sz w:val="16"/>
          <w:szCs w:val="16"/>
          <w:lang w:val="en-US"/>
        </w:rPr>
        <w:t>D</w:t>
      </w:r>
      <w:r w:rsidRPr="00405303">
        <w:rPr>
          <w:bCs/>
          <w:color w:val="002060"/>
          <w:sz w:val="16"/>
          <w:szCs w:val="16"/>
        </w:rPr>
        <w:t>-4</w:t>
      </w:r>
    </w:p>
    <w:p w14:paraId="1B190F6A" w14:textId="77777777" w:rsidR="00F01B26" w:rsidRPr="00405303" w:rsidRDefault="00F01B26" w:rsidP="00C15251">
      <w:pPr>
        <w:jc w:val="both"/>
        <w:rPr>
          <w:bCs/>
          <w:color w:val="002060"/>
          <w:sz w:val="16"/>
          <w:szCs w:val="16"/>
        </w:rPr>
      </w:pPr>
      <w:r w:rsidRPr="00405303">
        <w:rPr>
          <w:bCs/>
          <w:color w:val="002060"/>
          <w:sz w:val="16"/>
          <w:szCs w:val="16"/>
        </w:rPr>
        <w:t>Итальянский самолёт был успеш</w:t>
      </w:r>
      <w:r w:rsidRPr="00405303">
        <w:rPr>
          <w:bCs/>
          <w:color w:val="002060"/>
          <w:sz w:val="16"/>
          <w:szCs w:val="16"/>
        </w:rPr>
        <w:softHyphen/>
        <w:t>но испытан, но на вооружение его не приняли. Он не получил и специ</w:t>
      </w:r>
      <w:r w:rsidRPr="00405303">
        <w:rPr>
          <w:bCs/>
          <w:color w:val="002060"/>
          <w:sz w:val="16"/>
          <w:szCs w:val="16"/>
        </w:rPr>
        <w:softHyphen/>
        <w:t>ального обозначения, так и остав</w:t>
      </w:r>
      <w:r w:rsidRPr="00405303">
        <w:rPr>
          <w:bCs/>
          <w:color w:val="002060"/>
          <w:sz w:val="16"/>
          <w:szCs w:val="16"/>
        </w:rPr>
        <w:softHyphen/>
        <w:t xml:space="preserve">шись в истории авиации как </w:t>
      </w:r>
      <w:r w:rsidRPr="00405303">
        <w:rPr>
          <w:bCs/>
          <w:color w:val="002060"/>
          <w:sz w:val="16"/>
          <w:szCs w:val="16"/>
          <w:lang w:val="en-US"/>
        </w:rPr>
        <w:t>Guidoniidrosilurante</w:t>
      </w:r>
      <w:r w:rsidRPr="00405303">
        <w:rPr>
          <w:bCs/>
          <w:color w:val="002060"/>
          <w:sz w:val="16"/>
          <w:szCs w:val="16"/>
        </w:rPr>
        <w:t>(гидросамолёт-торпе</w:t>
      </w:r>
      <w:r w:rsidRPr="00405303">
        <w:rPr>
          <w:bCs/>
          <w:color w:val="002060"/>
          <w:sz w:val="16"/>
          <w:szCs w:val="16"/>
        </w:rPr>
        <w:softHyphen/>
        <w:t>доносец Гуидони).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69"/>
        <w:gridCol w:w="1176"/>
        <w:gridCol w:w="1133"/>
        <w:gridCol w:w="1090"/>
        <w:gridCol w:w="1267"/>
      </w:tblGrid>
      <w:tr w:rsidR="00F01B26" w:rsidRPr="00405303" w14:paraId="186D8493" w14:textId="77777777" w:rsidTr="006606CA">
        <w:trPr>
          <w:trHeight w:val="494"/>
        </w:trPr>
        <w:tc>
          <w:tcPr>
            <w:tcW w:w="2069" w:type="dxa"/>
            <w:shd w:val="clear" w:color="auto" w:fill="FFFFFF"/>
          </w:tcPr>
          <w:p w14:paraId="2B7110C7" w14:textId="77777777" w:rsidR="00F01B26" w:rsidRPr="00405303" w:rsidRDefault="00F01B26" w:rsidP="00C15251">
            <w:pPr>
              <w:jc w:val="both"/>
              <w:rPr>
                <w:bCs/>
                <w:color w:val="002060"/>
                <w:sz w:val="16"/>
                <w:szCs w:val="16"/>
              </w:rPr>
            </w:pPr>
            <w:r w:rsidRPr="00405303">
              <w:rPr>
                <w:bCs/>
                <w:color w:val="002060"/>
                <w:sz w:val="16"/>
                <w:szCs w:val="16"/>
              </w:rPr>
              <w:t>Модель</w:t>
            </w:r>
          </w:p>
        </w:tc>
        <w:tc>
          <w:tcPr>
            <w:tcW w:w="1176" w:type="dxa"/>
            <w:shd w:val="clear" w:color="auto" w:fill="FFFFFF"/>
          </w:tcPr>
          <w:p w14:paraId="2B9D6FC5" w14:textId="77777777" w:rsidR="00F01B26" w:rsidRPr="00405303" w:rsidRDefault="00F01B26" w:rsidP="00C15251">
            <w:pPr>
              <w:jc w:val="both"/>
              <w:rPr>
                <w:bCs/>
                <w:color w:val="002060"/>
                <w:sz w:val="16"/>
                <w:szCs w:val="16"/>
              </w:rPr>
            </w:pPr>
            <w:r w:rsidRPr="00405303">
              <w:rPr>
                <w:bCs/>
                <w:color w:val="002060"/>
                <w:sz w:val="16"/>
                <w:szCs w:val="16"/>
                <w:lang w:val="en-US"/>
              </w:rPr>
              <w:t>Guidoni Seaplane</w:t>
            </w:r>
          </w:p>
        </w:tc>
        <w:tc>
          <w:tcPr>
            <w:tcW w:w="1133" w:type="dxa"/>
            <w:shd w:val="clear" w:color="auto" w:fill="FFFFFF"/>
          </w:tcPr>
          <w:p w14:paraId="51D5AB5D" w14:textId="77777777" w:rsidR="00F01B26" w:rsidRPr="00405303" w:rsidRDefault="00F01B26" w:rsidP="00C15251">
            <w:pPr>
              <w:jc w:val="both"/>
              <w:rPr>
                <w:bCs/>
                <w:color w:val="002060"/>
                <w:sz w:val="16"/>
                <w:szCs w:val="16"/>
              </w:rPr>
            </w:pPr>
            <w:r w:rsidRPr="00405303">
              <w:rPr>
                <w:bCs/>
                <w:color w:val="002060"/>
                <w:sz w:val="16"/>
                <w:szCs w:val="16"/>
                <w:lang w:val="en-US"/>
              </w:rPr>
              <w:t xml:space="preserve">Short </w:t>
            </w:r>
            <w:r w:rsidRPr="00405303">
              <w:rPr>
                <w:bCs/>
                <w:color w:val="002060"/>
                <w:sz w:val="16"/>
                <w:szCs w:val="16"/>
              </w:rPr>
              <w:t>184</w:t>
            </w:r>
          </w:p>
        </w:tc>
        <w:tc>
          <w:tcPr>
            <w:tcW w:w="1090" w:type="dxa"/>
            <w:shd w:val="clear" w:color="auto" w:fill="FFFFFF"/>
          </w:tcPr>
          <w:p w14:paraId="0D1BDD9D" w14:textId="77777777" w:rsidR="00F01B26" w:rsidRPr="00405303" w:rsidRDefault="00F01B26" w:rsidP="00C15251">
            <w:pPr>
              <w:jc w:val="both"/>
              <w:rPr>
                <w:bCs/>
                <w:color w:val="002060"/>
                <w:sz w:val="16"/>
                <w:szCs w:val="16"/>
              </w:rPr>
            </w:pPr>
            <w:r w:rsidRPr="00405303">
              <w:rPr>
                <w:bCs/>
                <w:color w:val="002060"/>
                <w:sz w:val="16"/>
                <w:szCs w:val="16"/>
                <w:lang w:val="en-US"/>
              </w:rPr>
              <w:t xml:space="preserve">AD. </w:t>
            </w:r>
            <w:r w:rsidRPr="00405303">
              <w:rPr>
                <w:bCs/>
                <w:color w:val="002060"/>
                <w:sz w:val="16"/>
                <w:szCs w:val="16"/>
              </w:rPr>
              <w:t>1000</w:t>
            </w:r>
          </w:p>
        </w:tc>
        <w:tc>
          <w:tcPr>
            <w:tcW w:w="1267" w:type="dxa"/>
            <w:shd w:val="clear" w:color="auto" w:fill="FFFFFF"/>
          </w:tcPr>
          <w:p w14:paraId="011186D0" w14:textId="77777777" w:rsidR="00F01B26" w:rsidRPr="00405303" w:rsidRDefault="00F01B26" w:rsidP="00C15251">
            <w:pPr>
              <w:jc w:val="both"/>
              <w:rPr>
                <w:bCs/>
                <w:color w:val="002060"/>
                <w:sz w:val="16"/>
                <w:szCs w:val="16"/>
              </w:rPr>
            </w:pPr>
            <w:r w:rsidRPr="00405303">
              <w:rPr>
                <w:bCs/>
                <w:color w:val="002060"/>
                <w:sz w:val="16"/>
                <w:szCs w:val="16"/>
              </w:rPr>
              <w:t>ГАСН</w:t>
            </w:r>
          </w:p>
        </w:tc>
      </w:tr>
      <w:tr w:rsidR="00F01B26" w:rsidRPr="00405303" w14:paraId="32F217CF" w14:textId="77777777" w:rsidTr="006606CA">
        <w:trPr>
          <w:trHeight w:val="648"/>
        </w:trPr>
        <w:tc>
          <w:tcPr>
            <w:tcW w:w="2069" w:type="dxa"/>
            <w:shd w:val="clear" w:color="auto" w:fill="FFFFFF"/>
          </w:tcPr>
          <w:p w14:paraId="3C83B8EC" w14:textId="77777777" w:rsidR="00F01B26" w:rsidRPr="00405303" w:rsidRDefault="00F01B26" w:rsidP="00C15251">
            <w:pPr>
              <w:jc w:val="both"/>
              <w:rPr>
                <w:bCs/>
                <w:color w:val="002060"/>
                <w:sz w:val="16"/>
                <w:szCs w:val="16"/>
              </w:rPr>
            </w:pPr>
            <w:r w:rsidRPr="00405303">
              <w:rPr>
                <w:bCs/>
                <w:color w:val="002060"/>
                <w:sz w:val="16"/>
                <w:szCs w:val="16"/>
              </w:rPr>
              <w:t>Первый полёт</w:t>
            </w:r>
          </w:p>
        </w:tc>
        <w:tc>
          <w:tcPr>
            <w:tcW w:w="1176" w:type="dxa"/>
            <w:shd w:val="clear" w:color="auto" w:fill="FFFFFF"/>
          </w:tcPr>
          <w:p w14:paraId="2459F995" w14:textId="77777777" w:rsidR="00F01B26" w:rsidRPr="00405303" w:rsidRDefault="00F01B26" w:rsidP="00C15251">
            <w:pPr>
              <w:jc w:val="both"/>
              <w:rPr>
                <w:bCs/>
                <w:color w:val="002060"/>
                <w:sz w:val="16"/>
                <w:szCs w:val="16"/>
              </w:rPr>
            </w:pPr>
          </w:p>
        </w:tc>
        <w:tc>
          <w:tcPr>
            <w:tcW w:w="1133" w:type="dxa"/>
            <w:shd w:val="clear" w:color="auto" w:fill="FFFFFF"/>
          </w:tcPr>
          <w:p w14:paraId="2AC8A1FF" w14:textId="77777777" w:rsidR="00F01B26" w:rsidRPr="00405303" w:rsidRDefault="00F01B26" w:rsidP="00C15251">
            <w:pPr>
              <w:jc w:val="both"/>
              <w:rPr>
                <w:bCs/>
                <w:color w:val="002060"/>
                <w:sz w:val="16"/>
                <w:szCs w:val="16"/>
              </w:rPr>
            </w:pPr>
            <w:r w:rsidRPr="00405303">
              <w:rPr>
                <w:bCs/>
                <w:color w:val="002060"/>
                <w:sz w:val="16"/>
                <w:szCs w:val="16"/>
              </w:rPr>
              <w:t>07.1915</w:t>
            </w:r>
          </w:p>
        </w:tc>
        <w:tc>
          <w:tcPr>
            <w:tcW w:w="1090" w:type="dxa"/>
            <w:shd w:val="clear" w:color="auto" w:fill="FFFFFF"/>
          </w:tcPr>
          <w:p w14:paraId="6DFB7772" w14:textId="77777777" w:rsidR="00F01B26" w:rsidRPr="00405303" w:rsidRDefault="00F01B26" w:rsidP="00C15251">
            <w:pPr>
              <w:jc w:val="both"/>
              <w:rPr>
                <w:bCs/>
                <w:color w:val="002060"/>
                <w:sz w:val="16"/>
                <w:szCs w:val="16"/>
              </w:rPr>
            </w:pPr>
            <w:r w:rsidRPr="00405303">
              <w:rPr>
                <w:bCs/>
                <w:color w:val="002060"/>
                <w:sz w:val="16"/>
                <w:szCs w:val="16"/>
              </w:rPr>
              <w:t>Построен 03.1915, не летал</w:t>
            </w:r>
          </w:p>
        </w:tc>
        <w:tc>
          <w:tcPr>
            <w:tcW w:w="1267" w:type="dxa"/>
            <w:shd w:val="clear" w:color="auto" w:fill="FFFFFF"/>
          </w:tcPr>
          <w:p w14:paraId="63223903" w14:textId="77777777" w:rsidR="00F01B26" w:rsidRPr="00405303" w:rsidRDefault="00F01B26" w:rsidP="00C15251">
            <w:pPr>
              <w:jc w:val="both"/>
              <w:rPr>
                <w:bCs/>
                <w:color w:val="002060"/>
                <w:sz w:val="16"/>
                <w:szCs w:val="16"/>
              </w:rPr>
            </w:pPr>
            <w:r w:rsidRPr="00405303">
              <w:rPr>
                <w:bCs/>
                <w:color w:val="002060"/>
                <w:sz w:val="16"/>
                <w:szCs w:val="16"/>
              </w:rPr>
              <w:t>24.08.1917</w:t>
            </w:r>
          </w:p>
        </w:tc>
      </w:tr>
      <w:tr w:rsidR="00F01B26" w:rsidRPr="00405303" w14:paraId="5357C597" w14:textId="77777777" w:rsidTr="006606CA">
        <w:trPr>
          <w:trHeight w:val="221"/>
        </w:trPr>
        <w:tc>
          <w:tcPr>
            <w:tcW w:w="2069" w:type="dxa"/>
            <w:shd w:val="clear" w:color="auto" w:fill="FFFFFF"/>
          </w:tcPr>
          <w:p w14:paraId="0C883360" w14:textId="77777777" w:rsidR="00F01B26" w:rsidRPr="00405303" w:rsidRDefault="00F01B26" w:rsidP="00C15251">
            <w:pPr>
              <w:jc w:val="both"/>
              <w:rPr>
                <w:bCs/>
                <w:color w:val="002060"/>
                <w:sz w:val="16"/>
                <w:szCs w:val="16"/>
              </w:rPr>
            </w:pPr>
            <w:r w:rsidRPr="00405303">
              <w:rPr>
                <w:bCs/>
                <w:color w:val="002060"/>
                <w:sz w:val="16"/>
                <w:szCs w:val="16"/>
              </w:rPr>
              <w:t>Боевая нагрузка</w:t>
            </w:r>
          </w:p>
        </w:tc>
        <w:tc>
          <w:tcPr>
            <w:tcW w:w="1176" w:type="dxa"/>
            <w:shd w:val="clear" w:color="auto" w:fill="FFFFFF"/>
          </w:tcPr>
          <w:p w14:paraId="60278ED0" w14:textId="77777777" w:rsidR="00F01B26" w:rsidRPr="00405303" w:rsidRDefault="00F01B26" w:rsidP="00C15251">
            <w:pPr>
              <w:jc w:val="both"/>
              <w:rPr>
                <w:bCs/>
                <w:color w:val="002060"/>
                <w:sz w:val="16"/>
                <w:szCs w:val="16"/>
              </w:rPr>
            </w:pPr>
            <w:r w:rsidRPr="00405303">
              <w:rPr>
                <w:bCs/>
                <w:color w:val="002060"/>
                <w:sz w:val="16"/>
                <w:szCs w:val="16"/>
              </w:rPr>
              <w:t>357мм</w:t>
            </w:r>
          </w:p>
        </w:tc>
        <w:tc>
          <w:tcPr>
            <w:tcW w:w="1133" w:type="dxa"/>
            <w:shd w:val="clear" w:color="auto" w:fill="FFFFFF"/>
          </w:tcPr>
          <w:p w14:paraId="689EB074" w14:textId="77777777" w:rsidR="00F01B26" w:rsidRPr="00405303" w:rsidRDefault="00F01B26" w:rsidP="00C15251">
            <w:pPr>
              <w:jc w:val="both"/>
              <w:rPr>
                <w:bCs/>
                <w:color w:val="002060"/>
                <w:sz w:val="16"/>
                <w:szCs w:val="16"/>
              </w:rPr>
            </w:pPr>
            <w:r w:rsidRPr="00405303">
              <w:rPr>
                <w:bCs/>
                <w:color w:val="002060"/>
                <w:sz w:val="16"/>
                <w:szCs w:val="16"/>
              </w:rPr>
              <w:t>357мм</w:t>
            </w:r>
          </w:p>
        </w:tc>
        <w:tc>
          <w:tcPr>
            <w:tcW w:w="1090" w:type="dxa"/>
            <w:shd w:val="clear" w:color="auto" w:fill="FFFFFF"/>
          </w:tcPr>
          <w:p w14:paraId="2AE44BC0" w14:textId="77777777" w:rsidR="00F01B26" w:rsidRPr="00405303" w:rsidRDefault="00F01B26" w:rsidP="00C15251">
            <w:pPr>
              <w:jc w:val="both"/>
              <w:rPr>
                <w:bCs/>
                <w:color w:val="002060"/>
                <w:sz w:val="16"/>
                <w:szCs w:val="16"/>
              </w:rPr>
            </w:pPr>
            <w:r w:rsidRPr="00405303">
              <w:rPr>
                <w:bCs/>
                <w:color w:val="002060"/>
                <w:sz w:val="16"/>
                <w:szCs w:val="16"/>
              </w:rPr>
              <w:t>357мм</w:t>
            </w:r>
          </w:p>
        </w:tc>
        <w:tc>
          <w:tcPr>
            <w:tcW w:w="1267" w:type="dxa"/>
            <w:shd w:val="clear" w:color="auto" w:fill="FFFFFF"/>
          </w:tcPr>
          <w:p w14:paraId="133AD706" w14:textId="77777777" w:rsidR="00F01B26" w:rsidRPr="00405303" w:rsidRDefault="00F01B26" w:rsidP="00C15251">
            <w:pPr>
              <w:jc w:val="both"/>
              <w:rPr>
                <w:bCs/>
                <w:color w:val="002060"/>
                <w:sz w:val="16"/>
                <w:szCs w:val="16"/>
              </w:rPr>
            </w:pPr>
            <w:r w:rsidRPr="00405303">
              <w:rPr>
                <w:bCs/>
                <w:color w:val="002060"/>
                <w:sz w:val="16"/>
                <w:szCs w:val="16"/>
              </w:rPr>
              <w:t>450мм</w:t>
            </w:r>
          </w:p>
        </w:tc>
      </w:tr>
      <w:tr w:rsidR="00F01B26" w:rsidRPr="00405303" w14:paraId="5252A37D" w14:textId="77777777" w:rsidTr="006606CA">
        <w:trPr>
          <w:trHeight w:val="240"/>
        </w:trPr>
        <w:tc>
          <w:tcPr>
            <w:tcW w:w="2069" w:type="dxa"/>
            <w:shd w:val="clear" w:color="auto" w:fill="FFFFFF"/>
          </w:tcPr>
          <w:p w14:paraId="69440579" w14:textId="77777777" w:rsidR="00F01B26" w:rsidRPr="00405303" w:rsidRDefault="00F01B26" w:rsidP="00C15251">
            <w:pPr>
              <w:jc w:val="both"/>
              <w:rPr>
                <w:bCs/>
                <w:color w:val="002060"/>
                <w:sz w:val="16"/>
                <w:szCs w:val="16"/>
              </w:rPr>
            </w:pPr>
            <w:r w:rsidRPr="00405303">
              <w:rPr>
                <w:bCs/>
                <w:color w:val="002060"/>
                <w:sz w:val="16"/>
                <w:szCs w:val="16"/>
              </w:rPr>
              <w:t>(торпеда)</w:t>
            </w:r>
          </w:p>
        </w:tc>
        <w:tc>
          <w:tcPr>
            <w:tcW w:w="1176" w:type="dxa"/>
            <w:shd w:val="clear" w:color="auto" w:fill="FFFFFF"/>
          </w:tcPr>
          <w:p w14:paraId="7192E811" w14:textId="77777777" w:rsidR="00F01B26" w:rsidRPr="00405303" w:rsidRDefault="00F01B26" w:rsidP="00C15251">
            <w:pPr>
              <w:jc w:val="both"/>
              <w:rPr>
                <w:bCs/>
                <w:color w:val="002060"/>
                <w:sz w:val="16"/>
                <w:szCs w:val="16"/>
              </w:rPr>
            </w:pPr>
          </w:p>
        </w:tc>
        <w:tc>
          <w:tcPr>
            <w:tcW w:w="1133" w:type="dxa"/>
            <w:shd w:val="clear" w:color="auto" w:fill="FFFFFF"/>
          </w:tcPr>
          <w:p w14:paraId="2BDDD0B5" w14:textId="77777777" w:rsidR="00F01B26" w:rsidRPr="00405303" w:rsidRDefault="00F01B26" w:rsidP="00C15251">
            <w:pPr>
              <w:jc w:val="both"/>
              <w:rPr>
                <w:bCs/>
                <w:color w:val="002060"/>
                <w:sz w:val="16"/>
                <w:szCs w:val="16"/>
              </w:rPr>
            </w:pPr>
          </w:p>
        </w:tc>
        <w:tc>
          <w:tcPr>
            <w:tcW w:w="1090" w:type="dxa"/>
            <w:shd w:val="clear" w:color="auto" w:fill="FFFFFF"/>
          </w:tcPr>
          <w:p w14:paraId="779C8565" w14:textId="77777777" w:rsidR="00F01B26" w:rsidRPr="00405303" w:rsidRDefault="00F01B26" w:rsidP="00C15251">
            <w:pPr>
              <w:jc w:val="both"/>
              <w:rPr>
                <w:bCs/>
                <w:color w:val="002060"/>
                <w:sz w:val="16"/>
                <w:szCs w:val="16"/>
              </w:rPr>
            </w:pPr>
          </w:p>
        </w:tc>
        <w:tc>
          <w:tcPr>
            <w:tcW w:w="1267" w:type="dxa"/>
            <w:shd w:val="clear" w:color="auto" w:fill="FFFFFF"/>
          </w:tcPr>
          <w:p w14:paraId="4AB66522" w14:textId="77777777" w:rsidR="00F01B26" w:rsidRPr="00405303" w:rsidRDefault="00F01B26" w:rsidP="00C15251">
            <w:pPr>
              <w:jc w:val="both"/>
              <w:rPr>
                <w:bCs/>
                <w:color w:val="002060"/>
                <w:sz w:val="16"/>
                <w:szCs w:val="16"/>
              </w:rPr>
            </w:pPr>
          </w:p>
        </w:tc>
      </w:tr>
      <w:tr w:rsidR="00F01B26" w:rsidRPr="00405303" w14:paraId="1B44C8A7" w14:textId="77777777" w:rsidTr="006606CA">
        <w:trPr>
          <w:trHeight w:val="211"/>
        </w:trPr>
        <w:tc>
          <w:tcPr>
            <w:tcW w:w="2069" w:type="dxa"/>
            <w:shd w:val="clear" w:color="auto" w:fill="FFFFFF"/>
          </w:tcPr>
          <w:p w14:paraId="4756DFF5" w14:textId="77777777" w:rsidR="00F01B26" w:rsidRPr="00405303" w:rsidRDefault="00F01B26" w:rsidP="00C15251">
            <w:pPr>
              <w:jc w:val="both"/>
              <w:rPr>
                <w:bCs/>
                <w:color w:val="002060"/>
                <w:sz w:val="16"/>
                <w:szCs w:val="16"/>
              </w:rPr>
            </w:pPr>
            <w:r w:rsidRPr="00405303">
              <w:rPr>
                <w:bCs/>
                <w:color w:val="002060"/>
                <w:sz w:val="16"/>
                <w:szCs w:val="16"/>
              </w:rPr>
              <w:t>Двигатели</w:t>
            </w:r>
          </w:p>
        </w:tc>
        <w:tc>
          <w:tcPr>
            <w:tcW w:w="1176" w:type="dxa"/>
            <w:shd w:val="clear" w:color="auto" w:fill="FFFFFF"/>
          </w:tcPr>
          <w:p w14:paraId="6ADA82E8" w14:textId="77777777" w:rsidR="00F01B26" w:rsidRPr="00405303" w:rsidRDefault="00F01B26" w:rsidP="00C15251">
            <w:pPr>
              <w:jc w:val="both"/>
              <w:rPr>
                <w:bCs/>
                <w:color w:val="002060"/>
                <w:sz w:val="16"/>
                <w:szCs w:val="16"/>
              </w:rPr>
            </w:pPr>
            <w:r w:rsidRPr="00405303">
              <w:rPr>
                <w:bCs/>
                <w:color w:val="002060"/>
                <w:sz w:val="16"/>
                <w:szCs w:val="16"/>
                <w:lang w:val="en-US"/>
              </w:rPr>
              <w:t>Gnome</w:t>
            </w:r>
          </w:p>
        </w:tc>
        <w:tc>
          <w:tcPr>
            <w:tcW w:w="1133" w:type="dxa"/>
            <w:shd w:val="clear" w:color="auto" w:fill="FFFFFF"/>
          </w:tcPr>
          <w:p w14:paraId="5BDCF45E" w14:textId="77777777" w:rsidR="00F01B26" w:rsidRPr="00405303" w:rsidRDefault="00F01B26" w:rsidP="00C15251">
            <w:pPr>
              <w:jc w:val="both"/>
              <w:rPr>
                <w:bCs/>
                <w:color w:val="002060"/>
                <w:sz w:val="16"/>
                <w:szCs w:val="16"/>
              </w:rPr>
            </w:pPr>
            <w:r w:rsidRPr="00405303">
              <w:rPr>
                <w:bCs/>
                <w:color w:val="002060"/>
                <w:sz w:val="16"/>
                <w:szCs w:val="16"/>
                <w:lang w:val="en-US"/>
              </w:rPr>
              <w:t>Sunbeam</w:t>
            </w:r>
          </w:p>
        </w:tc>
        <w:tc>
          <w:tcPr>
            <w:tcW w:w="1090" w:type="dxa"/>
            <w:shd w:val="clear" w:color="auto" w:fill="FFFFFF"/>
          </w:tcPr>
          <w:p w14:paraId="46979E2D" w14:textId="77777777" w:rsidR="00F01B26" w:rsidRPr="00405303" w:rsidRDefault="00F01B26" w:rsidP="00C15251">
            <w:pPr>
              <w:jc w:val="both"/>
              <w:rPr>
                <w:bCs/>
                <w:color w:val="002060"/>
                <w:sz w:val="16"/>
                <w:szCs w:val="16"/>
              </w:rPr>
            </w:pPr>
            <w:r w:rsidRPr="00405303">
              <w:rPr>
                <w:bCs/>
                <w:color w:val="002060"/>
                <w:sz w:val="16"/>
                <w:szCs w:val="16"/>
                <w:lang w:val="en-US"/>
              </w:rPr>
              <w:t>Sunbeam</w:t>
            </w:r>
          </w:p>
        </w:tc>
        <w:tc>
          <w:tcPr>
            <w:tcW w:w="1267" w:type="dxa"/>
            <w:shd w:val="clear" w:color="auto" w:fill="FFFFFF"/>
          </w:tcPr>
          <w:p w14:paraId="419C10FE" w14:textId="77777777" w:rsidR="00F01B26" w:rsidRPr="00405303" w:rsidRDefault="00F01B26" w:rsidP="00C15251">
            <w:pPr>
              <w:jc w:val="both"/>
              <w:rPr>
                <w:bCs/>
                <w:color w:val="002060"/>
                <w:sz w:val="16"/>
                <w:szCs w:val="16"/>
              </w:rPr>
            </w:pPr>
            <w:r w:rsidRPr="00405303">
              <w:rPr>
                <w:bCs/>
                <w:color w:val="002060"/>
                <w:sz w:val="16"/>
                <w:szCs w:val="16"/>
                <w:lang w:val="en-US"/>
              </w:rPr>
              <w:t xml:space="preserve">Renault </w:t>
            </w:r>
            <w:r w:rsidRPr="00405303">
              <w:rPr>
                <w:bCs/>
                <w:color w:val="002060"/>
                <w:sz w:val="16"/>
                <w:szCs w:val="16"/>
              </w:rPr>
              <w:t xml:space="preserve">8 </w:t>
            </w:r>
            <w:r w:rsidRPr="00405303">
              <w:rPr>
                <w:bCs/>
                <w:color w:val="002060"/>
                <w:sz w:val="16"/>
                <w:szCs w:val="16"/>
                <w:lang w:val="en-US"/>
              </w:rPr>
              <w:t>Gd,</w:t>
            </w:r>
          </w:p>
        </w:tc>
      </w:tr>
      <w:tr w:rsidR="00F01B26" w:rsidRPr="00405303" w14:paraId="1C1836D3" w14:textId="77777777" w:rsidTr="006606CA">
        <w:trPr>
          <w:trHeight w:val="206"/>
        </w:trPr>
        <w:tc>
          <w:tcPr>
            <w:tcW w:w="2069" w:type="dxa"/>
            <w:shd w:val="clear" w:color="auto" w:fill="FFFFFF"/>
          </w:tcPr>
          <w:p w14:paraId="38D2631E" w14:textId="77777777" w:rsidR="00F01B26" w:rsidRPr="00405303" w:rsidRDefault="00F01B26" w:rsidP="00C15251">
            <w:pPr>
              <w:jc w:val="both"/>
              <w:rPr>
                <w:bCs/>
                <w:color w:val="002060"/>
                <w:sz w:val="16"/>
                <w:szCs w:val="16"/>
              </w:rPr>
            </w:pPr>
          </w:p>
        </w:tc>
        <w:tc>
          <w:tcPr>
            <w:tcW w:w="1176" w:type="dxa"/>
            <w:shd w:val="clear" w:color="auto" w:fill="FFFFFF"/>
          </w:tcPr>
          <w:p w14:paraId="7A31556E" w14:textId="77777777" w:rsidR="00F01B26" w:rsidRPr="00405303" w:rsidRDefault="00F01B26" w:rsidP="00C15251">
            <w:pPr>
              <w:jc w:val="both"/>
              <w:rPr>
                <w:bCs/>
                <w:color w:val="002060"/>
                <w:sz w:val="16"/>
                <w:szCs w:val="16"/>
              </w:rPr>
            </w:pPr>
            <w:r w:rsidRPr="00405303">
              <w:rPr>
                <w:bCs/>
                <w:color w:val="002060"/>
                <w:sz w:val="16"/>
                <w:szCs w:val="16"/>
                <w:lang w:val="en-US"/>
              </w:rPr>
              <w:t>Double</w:t>
            </w:r>
          </w:p>
        </w:tc>
        <w:tc>
          <w:tcPr>
            <w:tcW w:w="1133" w:type="dxa"/>
            <w:shd w:val="clear" w:color="auto" w:fill="FFFFFF"/>
          </w:tcPr>
          <w:p w14:paraId="51A74D81" w14:textId="77777777" w:rsidR="00F01B26" w:rsidRPr="00405303" w:rsidRDefault="00F01B26" w:rsidP="00C15251">
            <w:pPr>
              <w:jc w:val="both"/>
              <w:rPr>
                <w:bCs/>
                <w:color w:val="002060"/>
                <w:sz w:val="16"/>
                <w:szCs w:val="16"/>
              </w:rPr>
            </w:pPr>
            <w:r w:rsidRPr="00405303">
              <w:rPr>
                <w:bCs/>
                <w:color w:val="002060"/>
                <w:sz w:val="16"/>
                <w:szCs w:val="16"/>
                <w:lang w:val="en-US"/>
              </w:rPr>
              <w:t>Maori,</w:t>
            </w:r>
          </w:p>
        </w:tc>
        <w:tc>
          <w:tcPr>
            <w:tcW w:w="1090" w:type="dxa"/>
            <w:shd w:val="clear" w:color="auto" w:fill="FFFFFF"/>
          </w:tcPr>
          <w:p w14:paraId="1A55211C" w14:textId="77777777" w:rsidR="00F01B26" w:rsidRPr="00405303" w:rsidRDefault="00F01B26" w:rsidP="00C15251">
            <w:pPr>
              <w:jc w:val="both"/>
              <w:rPr>
                <w:bCs/>
                <w:color w:val="002060"/>
                <w:sz w:val="16"/>
                <w:szCs w:val="16"/>
              </w:rPr>
            </w:pPr>
            <w:r w:rsidRPr="00405303">
              <w:rPr>
                <w:bCs/>
                <w:color w:val="002060"/>
                <w:sz w:val="16"/>
                <w:szCs w:val="16"/>
                <w:lang w:val="en-US"/>
              </w:rPr>
              <w:t>Cossack</w:t>
            </w:r>
            <w:r w:rsidRPr="00405303">
              <w:rPr>
                <w:bCs/>
                <w:color w:val="002060"/>
                <w:sz w:val="16"/>
                <w:szCs w:val="16"/>
              </w:rPr>
              <w:t>,</w:t>
            </w:r>
          </w:p>
        </w:tc>
        <w:tc>
          <w:tcPr>
            <w:tcW w:w="1267" w:type="dxa"/>
            <w:shd w:val="clear" w:color="auto" w:fill="FFFFFF"/>
          </w:tcPr>
          <w:p w14:paraId="4EE40171" w14:textId="77777777" w:rsidR="00F01B26" w:rsidRPr="00405303" w:rsidRDefault="00F01B26" w:rsidP="00C15251">
            <w:pPr>
              <w:jc w:val="both"/>
              <w:rPr>
                <w:bCs/>
                <w:color w:val="002060"/>
                <w:sz w:val="16"/>
                <w:szCs w:val="16"/>
              </w:rPr>
            </w:pPr>
            <w:r w:rsidRPr="00405303">
              <w:rPr>
                <w:bCs/>
                <w:color w:val="002060"/>
                <w:sz w:val="16"/>
                <w:szCs w:val="16"/>
              </w:rPr>
              <w:t>2*220 л. с.</w:t>
            </w:r>
          </w:p>
        </w:tc>
      </w:tr>
      <w:tr w:rsidR="00F01B26" w:rsidRPr="00405303" w14:paraId="10BD9E6C" w14:textId="77777777" w:rsidTr="006606CA">
        <w:trPr>
          <w:trHeight w:val="211"/>
        </w:trPr>
        <w:tc>
          <w:tcPr>
            <w:tcW w:w="2069" w:type="dxa"/>
            <w:shd w:val="clear" w:color="auto" w:fill="FFFFFF"/>
          </w:tcPr>
          <w:p w14:paraId="67FC1045" w14:textId="77777777" w:rsidR="00F01B26" w:rsidRPr="00405303" w:rsidRDefault="00F01B26" w:rsidP="00C15251">
            <w:pPr>
              <w:jc w:val="both"/>
              <w:rPr>
                <w:bCs/>
                <w:color w:val="002060"/>
                <w:sz w:val="16"/>
                <w:szCs w:val="16"/>
              </w:rPr>
            </w:pPr>
          </w:p>
        </w:tc>
        <w:tc>
          <w:tcPr>
            <w:tcW w:w="1176" w:type="dxa"/>
            <w:shd w:val="clear" w:color="auto" w:fill="FFFFFF"/>
          </w:tcPr>
          <w:p w14:paraId="4C091C2E" w14:textId="77777777" w:rsidR="00F01B26" w:rsidRPr="00405303" w:rsidRDefault="00F01B26" w:rsidP="00C15251">
            <w:pPr>
              <w:jc w:val="both"/>
              <w:rPr>
                <w:bCs/>
                <w:color w:val="002060"/>
                <w:sz w:val="16"/>
                <w:szCs w:val="16"/>
              </w:rPr>
            </w:pPr>
            <w:r w:rsidRPr="00405303">
              <w:rPr>
                <w:bCs/>
                <w:color w:val="002060"/>
                <w:sz w:val="16"/>
                <w:szCs w:val="16"/>
                <w:lang w:val="en-US"/>
              </w:rPr>
              <w:t>Lambda,</w:t>
            </w:r>
          </w:p>
        </w:tc>
        <w:tc>
          <w:tcPr>
            <w:tcW w:w="1133" w:type="dxa"/>
            <w:shd w:val="clear" w:color="auto" w:fill="FFFFFF"/>
          </w:tcPr>
          <w:p w14:paraId="148AE6E2" w14:textId="77777777" w:rsidR="00F01B26" w:rsidRPr="00405303" w:rsidRDefault="00F01B26" w:rsidP="00C15251">
            <w:pPr>
              <w:jc w:val="both"/>
              <w:rPr>
                <w:bCs/>
                <w:color w:val="002060"/>
                <w:sz w:val="16"/>
                <w:szCs w:val="16"/>
              </w:rPr>
            </w:pPr>
            <w:r w:rsidRPr="00405303">
              <w:rPr>
                <w:bCs/>
                <w:color w:val="002060"/>
                <w:sz w:val="16"/>
                <w:szCs w:val="16"/>
              </w:rPr>
              <w:t>1*260 л.с.</w:t>
            </w:r>
          </w:p>
        </w:tc>
        <w:tc>
          <w:tcPr>
            <w:tcW w:w="1090" w:type="dxa"/>
            <w:shd w:val="clear" w:color="auto" w:fill="FFFFFF"/>
          </w:tcPr>
          <w:p w14:paraId="2FC81B3C" w14:textId="77777777" w:rsidR="00F01B26" w:rsidRPr="00405303" w:rsidRDefault="00F01B26" w:rsidP="00C15251">
            <w:pPr>
              <w:jc w:val="both"/>
              <w:rPr>
                <w:bCs/>
                <w:color w:val="002060"/>
                <w:sz w:val="16"/>
                <w:szCs w:val="16"/>
              </w:rPr>
            </w:pPr>
            <w:r w:rsidRPr="00405303">
              <w:rPr>
                <w:bCs/>
                <w:color w:val="002060"/>
                <w:sz w:val="16"/>
                <w:szCs w:val="16"/>
              </w:rPr>
              <w:t>3*320 л. с.</w:t>
            </w:r>
          </w:p>
        </w:tc>
        <w:tc>
          <w:tcPr>
            <w:tcW w:w="1267" w:type="dxa"/>
            <w:shd w:val="clear" w:color="auto" w:fill="FFFFFF"/>
          </w:tcPr>
          <w:p w14:paraId="2AC989F1" w14:textId="77777777" w:rsidR="00F01B26" w:rsidRPr="00405303" w:rsidRDefault="00F01B26" w:rsidP="00C15251">
            <w:pPr>
              <w:jc w:val="both"/>
              <w:rPr>
                <w:bCs/>
                <w:color w:val="002060"/>
                <w:sz w:val="16"/>
                <w:szCs w:val="16"/>
              </w:rPr>
            </w:pPr>
          </w:p>
        </w:tc>
      </w:tr>
      <w:tr w:rsidR="00F01B26" w:rsidRPr="00405303" w14:paraId="36F3703B" w14:textId="77777777" w:rsidTr="006606CA">
        <w:trPr>
          <w:trHeight w:val="221"/>
        </w:trPr>
        <w:tc>
          <w:tcPr>
            <w:tcW w:w="2069" w:type="dxa"/>
            <w:shd w:val="clear" w:color="auto" w:fill="FFFFFF"/>
          </w:tcPr>
          <w:p w14:paraId="55734DBB" w14:textId="77777777" w:rsidR="00F01B26" w:rsidRPr="00405303" w:rsidRDefault="00F01B26" w:rsidP="00C15251">
            <w:pPr>
              <w:jc w:val="both"/>
              <w:rPr>
                <w:bCs/>
                <w:color w:val="002060"/>
                <w:sz w:val="16"/>
                <w:szCs w:val="16"/>
              </w:rPr>
            </w:pPr>
          </w:p>
        </w:tc>
        <w:tc>
          <w:tcPr>
            <w:tcW w:w="1176" w:type="dxa"/>
            <w:shd w:val="clear" w:color="auto" w:fill="FFFFFF"/>
          </w:tcPr>
          <w:p w14:paraId="4379D720" w14:textId="77777777" w:rsidR="00F01B26" w:rsidRPr="00405303" w:rsidRDefault="00F01B26" w:rsidP="00C15251">
            <w:pPr>
              <w:jc w:val="both"/>
              <w:rPr>
                <w:bCs/>
                <w:color w:val="002060"/>
                <w:sz w:val="16"/>
                <w:szCs w:val="16"/>
              </w:rPr>
            </w:pPr>
            <w:r w:rsidRPr="00405303">
              <w:rPr>
                <w:bCs/>
                <w:color w:val="002060"/>
                <w:sz w:val="16"/>
                <w:szCs w:val="16"/>
              </w:rPr>
              <w:t>2*160 л.с.</w:t>
            </w:r>
          </w:p>
        </w:tc>
        <w:tc>
          <w:tcPr>
            <w:tcW w:w="1133" w:type="dxa"/>
            <w:shd w:val="clear" w:color="auto" w:fill="FFFFFF"/>
          </w:tcPr>
          <w:p w14:paraId="343EB873" w14:textId="77777777" w:rsidR="00F01B26" w:rsidRPr="00405303" w:rsidRDefault="00F01B26" w:rsidP="00C15251">
            <w:pPr>
              <w:jc w:val="both"/>
              <w:rPr>
                <w:bCs/>
                <w:color w:val="002060"/>
                <w:sz w:val="16"/>
                <w:szCs w:val="16"/>
              </w:rPr>
            </w:pPr>
          </w:p>
        </w:tc>
        <w:tc>
          <w:tcPr>
            <w:tcW w:w="1090" w:type="dxa"/>
            <w:shd w:val="clear" w:color="auto" w:fill="FFFFFF"/>
          </w:tcPr>
          <w:p w14:paraId="6536D4BD" w14:textId="77777777" w:rsidR="00F01B26" w:rsidRPr="00405303" w:rsidRDefault="00F01B26" w:rsidP="00C15251">
            <w:pPr>
              <w:jc w:val="both"/>
              <w:rPr>
                <w:bCs/>
                <w:color w:val="002060"/>
                <w:sz w:val="16"/>
                <w:szCs w:val="16"/>
              </w:rPr>
            </w:pPr>
          </w:p>
        </w:tc>
        <w:tc>
          <w:tcPr>
            <w:tcW w:w="1267" w:type="dxa"/>
            <w:shd w:val="clear" w:color="auto" w:fill="FFFFFF"/>
          </w:tcPr>
          <w:p w14:paraId="038C4303" w14:textId="77777777" w:rsidR="00F01B26" w:rsidRPr="00405303" w:rsidRDefault="00F01B26" w:rsidP="00C15251">
            <w:pPr>
              <w:jc w:val="both"/>
              <w:rPr>
                <w:bCs/>
                <w:color w:val="002060"/>
                <w:sz w:val="16"/>
                <w:szCs w:val="16"/>
              </w:rPr>
            </w:pPr>
          </w:p>
        </w:tc>
      </w:tr>
      <w:tr w:rsidR="00F01B26" w:rsidRPr="00405303" w14:paraId="13877FEA" w14:textId="77777777" w:rsidTr="006606CA">
        <w:trPr>
          <w:trHeight w:val="240"/>
        </w:trPr>
        <w:tc>
          <w:tcPr>
            <w:tcW w:w="2069" w:type="dxa"/>
            <w:shd w:val="clear" w:color="auto" w:fill="FFFFFF"/>
          </w:tcPr>
          <w:p w14:paraId="34254C5E" w14:textId="77777777" w:rsidR="00F01B26" w:rsidRPr="00405303" w:rsidRDefault="00F01B26" w:rsidP="00C15251">
            <w:pPr>
              <w:jc w:val="both"/>
              <w:rPr>
                <w:bCs/>
                <w:color w:val="002060"/>
                <w:sz w:val="16"/>
                <w:szCs w:val="16"/>
              </w:rPr>
            </w:pPr>
            <w:r w:rsidRPr="00405303">
              <w:rPr>
                <w:bCs/>
                <w:color w:val="002060"/>
                <w:sz w:val="16"/>
                <w:szCs w:val="16"/>
              </w:rPr>
              <w:lastRenderedPageBreak/>
              <w:t>Взлётный вес, кг</w:t>
            </w:r>
          </w:p>
        </w:tc>
        <w:tc>
          <w:tcPr>
            <w:tcW w:w="1176" w:type="dxa"/>
            <w:shd w:val="clear" w:color="auto" w:fill="FFFFFF"/>
          </w:tcPr>
          <w:p w14:paraId="15EF9030" w14:textId="77777777" w:rsidR="00F01B26" w:rsidRPr="00405303" w:rsidRDefault="00F01B26" w:rsidP="00C15251">
            <w:pPr>
              <w:jc w:val="both"/>
              <w:rPr>
                <w:bCs/>
                <w:color w:val="002060"/>
                <w:sz w:val="16"/>
                <w:szCs w:val="16"/>
              </w:rPr>
            </w:pPr>
            <w:r w:rsidRPr="00405303">
              <w:rPr>
                <w:bCs/>
                <w:color w:val="002060"/>
                <w:sz w:val="16"/>
                <w:szCs w:val="16"/>
              </w:rPr>
              <w:t>2800</w:t>
            </w:r>
          </w:p>
        </w:tc>
        <w:tc>
          <w:tcPr>
            <w:tcW w:w="1133" w:type="dxa"/>
            <w:shd w:val="clear" w:color="auto" w:fill="FFFFFF"/>
          </w:tcPr>
          <w:p w14:paraId="227B3358" w14:textId="77777777" w:rsidR="00F01B26" w:rsidRPr="00405303" w:rsidRDefault="00F01B26" w:rsidP="00C15251">
            <w:pPr>
              <w:jc w:val="both"/>
              <w:rPr>
                <w:bCs/>
                <w:color w:val="002060"/>
                <w:sz w:val="16"/>
                <w:szCs w:val="16"/>
              </w:rPr>
            </w:pPr>
            <w:r w:rsidRPr="00405303">
              <w:rPr>
                <w:bCs/>
                <w:color w:val="002060"/>
                <w:sz w:val="16"/>
                <w:szCs w:val="16"/>
              </w:rPr>
              <w:t>2430</w:t>
            </w:r>
          </w:p>
        </w:tc>
        <w:tc>
          <w:tcPr>
            <w:tcW w:w="1090" w:type="dxa"/>
            <w:shd w:val="clear" w:color="auto" w:fill="FFFFFF"/>
          </w:tcPr>
          <w:p w14:paraId="6B6D6965" w14:textId="77777777" w:rsidR="00F01B26" w:rsidRPr="00405303" w:rsidRDefault="00F01B26" w:rsidP="00C15251">
            <w:pPr>
              <w:jc w:val="both"/>
              <w:rPr>
                <w:bCs/>
                <w:color w:val="002060"/>
                <w:sz w:val="16"/>
                <w:szCs w:val="16"/>
              </w:rPr>
            </w:pPr>
          </w:p>
        </w:tc>
        <w:tc>
          <w:tcPr>
            <w:tcW w:w="1267" w:type="dxa"/>
            <w:shd w:val="clear" w:color="auto" w:fill="FFFFFF"/>
          </w:tcPr>
          <w:p w14:paraId="5F712AE5" w14:textId="77777777" w:rsidR="00F01B26" w:rsidRPr="00405303" w:rsidRDefault="00F01B26" w:rsidP="00C15251">
            <w:pPr>
              <w:jc w:val="both"/>
              <w:rPr>
                <w:bCs/>
                <w:color w:val="002060"/>
                <w:sz w:val="16"/>
                <w:szCs w:val="16"/>
              </w:rPr>
            </w:pPr>
          </w:p>
        </w:tc>
      </w:tr>
      <w:tr w:rsidR="00F01B26" w:rsidRPr="00405303" w14:paraId="4A386C07" w14:textId="77777777" w:rsidTr="006606CA">
        <w:trPr>
          <w:trHeight w:val="245"/>
        </w:trPr>
        <w:tc>
          <w:tcPr>
            <w:tcW w:w="2069" w:type="dxa"/>
            <w:shd w:val="clear" w:color="auto" w:fill="FFFFFF"/>
          </w:tcPr>
          <w:p w14:paraId="5042FCFD" w14:textId="77777777" w:rsidR="00F01B26" w:rsidRPr="00405303" w:rsidRDefault="00F01B26" w:rsidP="00C15251">
            <w:pPr>
              <w:jc w:val="both"/>
              <w:rPr>
                <w:bCs/>
                <w:color w:val="002060"/>
                <w:sz w:val="16"/>
                <w:szCs w:val="16"/>
              </w:rPr>
            </w:pPr>
            <w:r w:rsidRPr="00405303">
              <w:rPr>
                <w:bCs/>
                <w:color w:val="002060"/>
                <w:sz w:val="16"/>
                <w:szCs w:val="16"/>
              </w:rPr>
              <w:t>Размах крыла, м</w:t>
            </w:r>
          </w:p>
        </w:tc>
        <w:tc>
          <w:tcPr>
            <w:tcW w:w="1176" w:type="dxa"/>
            <w:shd w:val="clear" w:color="auto" w:fill="FFFFFF"/>
          </w:tcPr>
          <w:p w14:paraId="34F04C9A" w14:textId="77777777" w:rsidR="00F01B26" w:rsidRPr="00405303" w:rsidRDefault="00F01B26" w:rsidP="00C15251">
            <w:pPr>
              <w:jc w:val="both"/>
              <w:rPr>
                <w:bCs/>
                <w:color w:val="002060"/>
                <w:sz w:val="16"/>
                <w:szCs w:val="16"/>
              </w:rPr>
            </w:pPr>
            <w:r w:rsidRPr="00405303">
              <w:rPr>
                <w:bCs/>
                <w:color w:val="002060"/>
                <w:sz w:val="16"/>
                <w:szCs w:val="16"/>
              </w:rPr>
              <w:t>19</w:t>
            </w:r>
          </w:p>
        </w:tc>
        <w:tc>
          <w:tcPr>
            <w:tcW w:w="1133" w:type="dxa"/>
            <w:shd w:val="clear" w:color="auto" w:fill="FFFFFF"/>
          </w:tcPr>
          <w:p w14:paraId="01B78FDC" w14:textId="77777777" w:rsidR="00F01B26" w:rsidRPr="00405303" w:rsidRDefault="00F01B26" w:rsidP="00C15251">
            <w:pPr>
              <w:jc w:val="both"/>
              <w:rPr>
                <w:bCs/>
                <w:color w:val="002060"/>
                <w:sz w:val="16"/>
                <w:szCs w:val="16"/>
              </w:rPr>
            </w:pPr>
            <w:r w:rsidRPr="00405303">
              <w:rPr>
                <w:bCs/>
                <w:color w:val="002060"/>
                <w:sz w:val="16"/>
                <w:szCs w:val="16"/>
              </w:rPr>
              <w:t>19,35</w:t>
            </w:r>
          </w:p>
        </w:tc>
        <w:tc>
          <w:tcPr>
            <w:tcW w:w="1090" w:type="dxa"/>
            <w:shd w:val="clear" w:color="auto" w:fill="FFFFFF"/>
          </w:tcPr>
          <w:p w14:paraId="7A168B36" w14:textId="77777777" w:rsidR="00F01B26" w:rsidRPr="00405303" w:rsidRDefault="00F01B26" w:rsidP="00C15251">
            <w:pPr>
              <w:jc w:val="both"/>
              <w:rPr>
                <w:bCs/>
                <w:color w:val="002060"/>
                <w:sz w:val="16"/>
                <w:szCs w:val="16"/>
              </w:rPr>
            </w:pPr>
            <w:r w:rsidRPr="00405303">
              <w:rPr>
                <w:bCs/>
                <w:color w:val="002060"/>
                <w:sz w:val="16"/>
                <w:szCs w:val="16"/>
              </w:rPr>
              <w:t>35,05</w:t>
            </w:r>
          </w:p>
        </w:tc>
        <w:tc>
          <w:tcPr>
            <w:tcW w:w="1267" w:type="dxa"/>
            <w:shd w:val="clear" w:color="auto" w:fill="FFFFFF"/>
          </w:tcPr>
          <w:p w14:paraId="4DE7A1D6" w14:textId="77777777" w:rsidR="00F01B26" w:rsidRPr="00405303" w:rsidRDefault="00F01B26" w:rsidP="00C15251">
            <w:pPr>
              <w:jc w:val="both"/>
              <w:rPr>
                <w:bCs/>
                <w:color w:val="002060"/>
                <w:sz w:val="16"/>
                <w:szCs w:val="16"/>
              </w:rPr>
            </w:pPr>
            <w:r w:rsidRPr="00405303">
              <w:rPr>
                <w:bCs/>
                <w:color w:val="002060"/>
                <w:sz w:val="16"/>
                <w:szCs w:val="16"/>
              </w:rPr>
              <w:t>28</w:t>
            </w:r>
          </w:p>
        </w:tc>
      </w:tr>
      <w:tr w:rsidR="00F01B26" w:rsidRPr="00405303" w14:paraId="76309E66" w14:textId="77777777" w:rsidTr="006606CA">
        <w:trPr>
          <w:trHeight w:val="240"/>
        </w:trPr>
        <w:tc>
          <w:tcPr>
            <w:tcW w:w="2069" w:type="dxa"/>
            <w:shd w:val="clear" w:color="auto" w:fill="FFFFFF"/>
          </w:tcPr>
          <w:p w14:paraId="719527D9" w14:textId="77777777" w:rsidR="00F01B26" w:rsidRPr="00405303" w:rsidRDefault="00F01B26" w:rsidP="00C15251">
            <w:pPr>
              <w:jc w:val="both"/>
              <w:rPr>
                <w:bCs/>
                <w:color w:val="002060"/>
                <w:sz w:val="16"/>
                <w:szCs w:val="16"/>
              </w:rPr>
            </w:pPr>
            <w:r w:rsidRPr="00405303">
              <w:rPr>
                <w:bCs/>
                <w:color w:val="002060"/>
                <w:sz w:val="16"/>
                <w:szCs w:val="16"/>
              </w:rPr>
              <w:t>Длина, м</w:t>
            </w:r>
          </w:p>
        </w:tc>
        <w:tc>
          <w:tcPr>
            <w:tcW w:w="1176" w:type="dxa"/>
            <w:shd w:val="clear" w:color="auto" w:fill="FFFFFF"/>
          </w:tcPr>
          <w:p w14:paraId="0226B1D6" w14:textId="77777777" w:rsidR="00F01B26" w:rsidRPr="00405303" w:rsidRDefault="00F01B26" w:rsidP="00C15251">
            <w:pPr>
              <w:jc w:val="both"/>
              <w:rPr>
                <w:bCs/>
                <w:color w:val="002060"/>
                <w:sz w:val="16"/>
                <w:szCs w:val="16"/>
              </w:rPr>
            </w:pPr>
            <w:r w:rsidRPr="00405303">
              <w:rPr>
                <w:bCs/>
                <w:color w:val="002060"/>
                <w:sz w:val="16"/>
                <w:szCs w:val="16"/>
              </w:rPr>
              <w:t>15</w:t>
            </w:r>
          </w:p>
        </w:tc>
        <w:tc>
          <w:tcPr>
            <w:tcW w:w="1133" w:type="dxa"/>
            <w:shd w:val="clear" w:color="auto" w:fill="FFFFFF"/>
          </w:tcPr>
          <w:p w14:paraId="218117EA" w14:textId="77777777" w:rsidR="00F01B26" w:rsidRPr="00405303" w:rsidRDefault="00F01B26" w:rsidP="00C15251">
            <w:pPr>
              <w:jc w:val="both"/>
              <w:rPr>
                <w:bCs/>
                <w:color w:val="002060"/>
                <w:sz w:val="16"/>
                <w:szCs w:val="16"/>
              </w:rPr>
            </w:pPr>
            <w:r w:rsidRPr="00405303">
              <w:rPr>
                <w:bCs/>
                <w:color w:val="002060"/>
                <w:sz w:val="16"/>
                <w:szCs w:val="16"/>
              </w:rPr>
              <w:t>12,4:</w:t>
            </w:r>
          </w:p>
        </w:tc>
        <w:tc>
          <w:tcPr>
            <w:tcW w:w="1090" w:type="dxa"/>
            <w:shd w:val="clear" w:color="auto" w:fill="FFFFFF"/>
          </w:tcPr>
          <w:p w14:paraId="707F3630" w14:textId="77777777" w:rsidR="00F01B26" w:rsidRPr="00405303" w:rsidRDefault="00F01B26" w:rsidP="00C15251">
            <w:pPr>
              <w:jc w:val="both"/>
              <w:rPr>
                <w:bCs/>
                <w:color w:val="002060"/>
                <w:sz w:val="16"/>
                <w:szCs w:val="16"/>
              </w:rPr>
            </w:pPr>
          </w:p>
        </w:tc>
        <w:tc>
          <w:tcPr>
            <w:tcW w:w="1267" w:type="dxa"/>
            <w:shd w:val="clear" w:color="auto" w:fill="FFFFFF"/>
          </w:tcPr>
          <w:p w14:paraId="5B4EB989" w14:textId="77777777" w:rsidR="00F01B26" w:rsidRPr="00405303" w:rsidRDefault="00F01B26" w:rsidP="00C15251">
            <w:pPr>
              <w:jc w:val="both"/>
              <w:rPr>
                <w:bCs/>
                <w:color w:val="002060"/>
                <w:sz w:val="16"/>
                <w:szCs w:val="16"/>
              </w:rPr>
            </w:pPr>
            <w:r w:rsidRPr="00405303">
              <w:rPr>
                <w:bCs/>
                <w:color w:val="002060"/>
                <w:sz w:val="16"/>
                <w:szCs w:val="16"/>
              </w:rPr>
              <w:t>14,5</w:t>
            </w:r>
          </w:p>
        </w:tc>
      </w:tr>
      <w:tr w:rsidR="00F01B26" w:rsidRPr="00405303" w14:paraId="4DAC3C48" w14:textId="77777777" w:rsidTr="006606CA">
        <w:trPr>
          <w:trHeight w:val="235"/>
        </w:trPr>
        <w:tc>
          <w:tcPr>
            <w:tcW w:w="2069" w:type="dxa"/>
            <w:shd w:val="clear" w:color="auto" w:fill="FFFFFF"/>
          </w:tcPr>
          <w:p w14:paraId="4239A2E5" w14:textId="77777777" w:rsidR="00F01B26" w:rsidRPr="00405303" w:rsidRDefault="00F01B26" w:rsidP="00C15251">
            <w:pPr>
              <w:jc w:val="both"/>
              <w:rPr>
                <w:bCs/>
                <w:color w:val="002060"/>
                <w:sz w:val="16"/>
                <w:szCs w:val="16"/>
              </w:rPr>
            </w:pPr>
            <w:r w:rsidRPr="00405303">
              <w:rPr>
                <w:bCs/>
                <w:color w:val="002060"/>
                <w:sz w:val="16"/>
                <w:szCs w:val="16"/>
              </w:rPr>
              <w:t>Площадь крыла, м</w:t>
            </w:r>
            <w:r w:rsidRPr="00405303">
              <w:rPr>
                <w:bCs/>
                <w:color w:val="002060"/>
                <w:sz w:val="16"/>
                <w:szCs w:val="16"/>
                <w:vertAlign w:val="superscript"/>
              </w:rPr>
              <w:t>2</w:t>
            </w:r>
          </w:p>
        </w:tc>
        <w:tc>
          <w:tcPr>
            <w:tcW w:w="1176" w:type="dxa"/>
            <w:shd w:val="clear" w:color="auto" w:fill="FFFFFF"/>
          </w:tcPr>
          <w:p w14:paraId="382AFE23" w14:textId="77777777" w:rsidR="00F01B26" w:rsidRPr="00405303" w:rsidRDefault="00F01B26" w:rsidP="00C15251">
            <w:pPr>
              <w:jc w:val="both"/>
              <w:rPr>
                <w:bCs/>
                <w:color w:val="002060"/>
                <w:sz w:val="16"/>
                <w:szCs w:val="16"/>
              </w:rPr>
            </w:pPr>
            <w:r w:rsidRPr="00405303">
              <w:rPr>
                <w:bCs/>
                <w:color w:val="002060"/>
                <w:sz w:val="16"/>
                <w:szCs w:val="16"/>
              </w:rPr>
              <w:t>70</w:t>
            </w:r>
          </w:p>
        </w:tc>
        <w:tc>
          <w:tcPr>
            <w:tcW w:w="1133" w:type="dxa"/>
            <w:shd w:val="clear" w:color="auto" w:fill="FFFFFF"/>
          </w:tcPr>
          <w:p w14:paraId="64646179" w14:textId="77777777" w:rsidR="00F01B26" w:rsidRPr="00405303" w:rsidRDefault="00F01B26" w:rsidP="00C15251">
            <w:pPr>
              <w:jc w:val="both"/>
              <w:rPr>
                <w:bCs/>
                <w:color w:val="002060"/>
                <w:sz w:val="16"/>
                <w:szCs w:val="16"/>
              </w:rPr>
            </w:pPr>
            <w:r w:rsidRPr="00405303">
              <w:rPr>
                <w:bCs/>
                <w:color w:val="002060"/>
                <w:sz w:val="16"/>
                <w:szCs w:val="16"/>
              </w:rPr>
              <w:t>64</w:t>
            </w:r>
          </w:p>
        </w:tc>
        <w:tc>
          <w:tcPr>
            <w:tcW w:w="1090" w:type="dxa"/>
            <w:shd w:val="clear" w:color="auto" w:fill="FFFFFF"/>
          </w:tcPr>
          <w:p w14:paraId="79FC5A36" w14:textId="77777777" w:rsidR="00F01B26" w:rsidRPr="00405303" w:rsidRDefault="00F01B26" w:rsidP="00C15251">
            <w:pPr>
              <w:jc w:val="both"/>
              <w:rPr>
                <w:bCs/>
                <w:color w:val="002060"/>
                <w:sz w:val="16"/>
                <w:szCs w:val="16"/>
              </w:rPr>
            </w:pPr>
          </w:p>
        </w:tc>
        <w:tc>
          <w:tcPr>
            <w:tcW w:w="1267" w:type="dxa"/>
            <w:shd w:val="clear" w:color="auto" w:fill="FFFFFF"/>
          </w:tcPr>
          <w:p w14:paraId="611DC21A" w14:textId="77777777" w:rsidR="00F01B26" w:rsidRPr="00405303" w:rsidRDefault="00F01B26" w:rsidP="00C15251">
            <w:pPr>
              <w:jc w:val="both"/>
              <w:rPr>
                <w:bCs/>
                <w:color w:val="002060"/>
                <w:sz w:val="16"/>
                <w:szCs w:val="16"/>
              </w:rPr>
            </w:pPr>
            <w:r w:rsidRPr="00405303">
              <w:rPr>
                <w:bCs/>
                <w:color w:val="002060"/>
                <w:sz w:val="16"/>
                <w:szCs w:val="16"/>
              </w:rPr>
              <w:t>150</w:t>
            </w:r>
          </w:p>
        </w:tc>
      </w:tr>
      <w:tr w:rsidR="00F01B26" w:rsidRPr="00405303" w14:paraId="5A5AF68D" w14:textId="77777777" w:rsidTr="006606CA">
        <w:trPr>
          <w:trHeight w:val="245"/>
        </w:trPr>
        <w:tc>
          <w:tcPr>
            <w:tcW w:w="2069" w:type="dxa"/>
            <w:shd w:val="clear" w:color="auto" w:fill="FFFFFF"/>
          </w:tcPr>
          <w:p w14:paraId="63917204" w14:textId="77777777" w:rsidR="00F01B26" w:rsidRPr="00405303" w:rsidRDefault="00F01B26" w:rsidP="00C15251">
            <w:pPr>
              <w:jc w:val="both"/>
              <w:rPr>
                <w:bCs/>
                <w:color w:val="002060"/>
                <w:sz w:val="16"/>
                <w:szCs w:val="16"/>
              </w:rPr>
            </w:pPr>
            <w:r w:rsidRPr="00405303">
              <w:rPr>
                <w:bCs/>
                <w:color w:val="002060"/>
                <w:sz w:val="16"/>
                <w:szCs w:val="16"/>
              </w:rPr>
              <w:t>Макс, скорость, км/ч</w:t>
            </w:r>
          </w:p>
        </w:tc>
        <w:tc>
          <w:tcPr>
            <w:tcW w:w="1176" w:type="dxa"/>
            <w:shd w:val="clear" w:color="auto" w:fill="FFFFFF"/>
          </w:tcPr>
          <w:p w14:paraId="5DCFF7D1" w14:textId="77777777" w:rsidR="00F01B26" w:rsidRPr="00405303" w:rsidRDefault="00F01B26" w:rsidP="00C15251">
            <w:pPr>
              <w:jc w:val="both"/>
              <w:rPr>
                <w:bCs/>
                <w:color w:val="002060"/>
                <w:sz w:val="16"/>
                <w:szCs w:val="16"/>
              </w:rPr>
            </w:pPr>
          </w:p>
        </w:tc>
        <w:tc>
          <w:tcPr>
            <w:tcW w:w="1133" w:type="dxa"/>
            <w:shd w:val="clear" w:color="auto" w:fill="FFFFFF"/>
          </w:tcPr>
          <w:p w14:paraId="0E62EA24" w14:textId="77777777" w:rsidR="00F01B26" w:rsidRPr="00405303" w:rsidRDefault="00F01B26" w:rsidP="00C15251">
            <w:pPr>
              <w:jc w:val="both"/>
              <w:rPr>
                <w:bCs/>
                <w:color w:val="002060"/>
                <w:sz w:val="16"/>
                <w:szCs w:val="16"/>
              </w:rPr>
            </w:pPr>
            <w:r w:rsidRPr="00405303">
              <w:rPr>
                <w:bCs/>
                <w:color w:val="002060"/>
                <w:sz w:val="16"/>
                <w:szCs w:val="16"/>
              </w:rPr>
              <w:t>142</w:t>
            </w:r>
          </w:p>
        </w:tc>
        <w:tc>
          <w:tcPr>
            <w:tcW w:w="1090" w:type="dxa"/>
            <w:shd w:val="clear" w:color="auto" w:fill="FFFFFF"/>
          </w:tcPr>
          <w:p w14:paraId="03BD190F" w14:textId="77777777" w:rsidR="00F01B26" w:rsidRPr="00405303" w:rsidRDefault="00F01B26" w:rsidP="00C15251">
            <w:pPr>
              <w:jc w:val="both"/>
              <w:rPr>
                <w:bCs/>
                <w:color w:val="002060"/>
                <w:sz w:val="16"/>
                <w:szCs w:val="16"/>
              </w:rPr>
            </w:pPr>
          </w:p>
        </w:tc>
        <w:tc>
          <w:tcPr>
            <w:tcW w:w="1267" w:type="dxa"/>
            <w:shd w:val="clear" w:color="auto" w:fill="FFFFFF"/>
          </w:tcPr>
          <w:p w14:paraId="08770DD9" w14:textId="77777777" w:rsidR="00F01B26" w:rsidRPr="00405303" w:rsidRDefault="00F01B26" w:rsidP="00C15251">
            <w:pPr>
              <w:jc w:val="both"/>
              <w:rPr>
                <w:bCs/>
                <w:color w:val="002060"/>
                <w:sz w:val="16"/>
                <w:szCs w:val="16"/>
              </w:rPr>
            </w:pPr>
            <w:r w:rsidRPr="00405303">
              <w:rPr>
                <w:bCs/>
                <w:color w:val="002060"/>
                <w:sz w:val="16"/>
                <w:szCs w:val="16"/>
              </w:rPr>
              <w:t>110</w:t>
            </w:r>
          </w:p>
        </w:tc>
      </w:tr>
      <w:tr w:rsidR="00F01B26" w:rsidRPr="00405303" w14:paraId="5FC8A3F9" w14:textId="77777777" w:rsidTr="006606CA">
        <w:trPr>
          <w:trHeight w:val="230"/>
        </w:trPr>
        <w:tc>
          <w:tcPr>
            <w:tcW w:w="2069" w:type="dxa"/>
            <w:shd w:val="clear" w:color="auto" w:fill="FFFFFF"/>
          </w:tcPr>
          <w:p w14:paraId="6EB16C51" w14:textId="77777777" w:rsidR="00F01B26" w:rsidRPr="00405303" w:rsidRDefault="00F01B26" w:rsidP="00C15251">
            <w:pPr>
              <w:jc w:val="both"/>
              <w:rPr>
                <w:bCs/>
                <w:color w:val="002060"/>
                <w:sz w:val="16"/>
                <w:szCs w:val="16"/>
              </w:rPr>
            </w:pPr>
            <w:r w:rsidRPr="00405303">
              <w:rPr>
                <w:bCs/>
                <w:color w:val="002060"/>
                <w:sz w:val="16"/>
                <w:szCs w:val="16"/>
              </w:rPr>
              <w:t>Дальность, км</w:t>
            </w:r>
          </w:p>
        </w:tc>
        <w:tc>
          <w:tcPr>
            <w:tcW w:w="1176" w:type="dxa"/>
            <w:shd w:val="clear" w:color="auto" w:fill="FFFFFF"/>
          </w:tcPr>
          <w:p w14:paraId="27954B40" w14:textId="77777777" w:rsidR="00F01B26" w:rsidRPr="00405303" w:rsidRDefault="00F01B26" w:rsidP="00C15251">
            <w:pPr>
              <w:jc w:val="both"/>
              <w:rPr>
                <w:bCs/>
                <w:color w:val="002060"/>
                <w:sz w:val="16"/>
                <w:szCs w:val="16"/>
              </w:rPr>
            </w:pPr>
          </w:p>
        </w:tc>
        <w:tc>
          <w:tcPr>
            <w:tcW w:w="1133" w:type="dxa"/>
            <w:shd w:val="clear" w:color="auto" w:fill="FFFFFF"/>
          </w:tcPr>
          <w:p w14:paraId="2574986A" w14:textId="77777777" w:rsidR="00F01B26" w:rsidRPr="00405303" w:rsidRDefault="00F01B26" w:rsidP="00C15251">
            <w:pPr>
              <w:jc w:val="both"/>
              <w:rPr>
                <w:bCs/>
                <w:color w:val="002060"/>
                <w:sz w:val="16"/>
                <w:szCs w:val="16"/>
              </w:rPr>
            </w:pPr>
            <w:r w:rsidRPr="00405303">
              <w:rPr>
                <w:bCs/>
                <w:color w:val="002060"/>
                <w:sz w:val="16"/>
                <w:szCs w:val="16"/>
              </w:rPr>
              <w:t>330</w:t>
            </w:r>
          </w:p>
        </w:tc>
        <w:tc>
          <w:tcPr>
            <w:tcW w:w="1090" w:type="dxa"/>
            <w:shd w:val="clear" w:color="auto" w:fill="FFFFFF"/>
          </w:tcPr>
          <w:p w14:paraId="0507DCE6" w14:textId="77777777" w:rsidR="00F01B26" w:rsidRPr="00405303" w:rsidRDefault="00F01B26" w:rsidP="00C15251">
            <w:pPr>
              <w:jc w:val="both"/>
              <w:rPr>
                <w:bCs/>
                <w:color w:val="002060"/>
                <w:sz w:val="16"/>
                <w:szCs w:val="16"/>
              </w:rPr>
            </w:pPr>
          </w:p>
        </w:tc>
        <w:tc>
          <w:tcPr>
            <w:tcW w:w="1267" w:type="dxa"/>
            <w:shd w:val="clear" w:color="auto" w:fill="FFFFFF"/>
          </w:tcPr>
          <w:p w14:paraId="19B2147C" w14:textId="77777777" w:rsidR="00F01B26" w:rsidRPr="00405303" w:rsidRDefault="00F01B26" w:rsidP="00C15251">
            <w:pPr>
              <w:jc w:val="both"/>
              <w:rPr>
                <w:bCs/>
                <w:color w:val="002060"/>
                <w:sz w:val="16"/>
                <w:szCs w:val="16"/>
              </w:rPr>
            </w:pPr>
          </w:p>
        </w:tc>
      </w:tr>
      <w:tr w:rsidR="00F01B26" w:rsidRPr="00405303" w14:paraId="3E9291AE" w14:textId="77777777" w:rsidTr="006606CA">
        <w:trPr>
          <w:trHeight w:val="230"/>
        </w:trPr>
        <w:tc>
          <w:tcPr>
            <w:tcW w:w="2069" w:type="dxa"/>
            <w:shd w:val="clear" w:color="auto" w:fill="FFFFFF"/>
          </w:tcPr>
          <w:p w14:paraId="2F4779E0" w14:textId="77777777" w:rsidR="00F01B26" w:rsidRPr="00405303" w:rsidRDefault="00F01B26" w:rsidP="00C15251">
            <w:pPr>
              <w:jc w:val="both"/>
              <w:rPr>
                <w:bCs/>
                <w:color w:val="002060"/>
                <w:sz w:val="16"/>
                <w:szCs w:val="16"/>
              </w:rPr>
            </w:pPr>
            <w:r w:rsidRPr="00405303">
              <w:rPr>
                <w:bCs/>
                <w:color w:val="002060"/>
                <w:sz w:val="16"/>
                <w:szCs w:val="16"/>
              </w:rPr>
              <w:t>Потолок, м</w:t>
            </w:r>
          </w:p>
        </w:tc>
        <w:tc>
          <w:tcPr>
            <w:tcW w:w="1176" w:type="dxa"/>
            <w:shd w:val="clear" w:color="auto" w:fill="FFFFFF"/>
          </w:tcPr>
          <w:p w14:paraId="641B47DC" w14:textId="77777777" w:rsidR="00F01B26" w:rsidRPr="00405303" w:rsidRDefault="00F01B26" w:rsidP="00C15251">
            <w:pPr>
              <w:jc w:val="both"/>
              <w:rPr>
                <w:bCs/>
                <w:color w:val="002060"/>
                <w:sz w:val="16"/>
                <w:szCs w:val="16"/>
              </w:rPr>
            </w:pPr>
          </w:p>
        </w:tc>
        <w:tc>
          <w:tcPr>
            <w:tcW w:w="1133" w:type="dxa"/>
            <w:shd w:val="clear" w:color="auto" w:fill="FFFFFF"/>
          </w:tcPr>
          <w:p w14:paraId="05A0B9B0" w14:textId="77777777" w:rsidR="00F01B26" w:rsidRPr="00405303" w:rsidRDefault="00F01B26" w:rsidP="00C15251">
            <w:pPr>
              <w:jc w:val="both"/>
              <w:rPr>
                <w:bCs/>
                <w:color w:val="002060"/>
                <w:sz w:val="16"/>
                <w:szCs w:val="16"/>
              </w:rPr>
            </w:pPr>
            <w:r w:rsidRPr="00405303">
              <w:rPr>
                <w:bCs/>
                <w:color w:val="002060"/>
                <w:sz w:val="16"/>
                <w:szCs w:val="16"/>
              </w:rPr>
              <w:t>2750</w:t>
            </w:r>
          </w:p>
        </w:tc>
        <w:tc>
          <w:tcPr>
            <w:tcW w:w="1090" w:type="dxa"/>
            <w:shd w:val="clear" w:color="auto" w:fill="FFFFFF"/>
          </w:tcPr>
          <w:p w14:paraId="02004499" w14:textId="77777777" w:rsidR="00F01B26" w:rsidRPr="00405303" w:rsidRDefault="00F01B26" w:rsidP="00C15251">
            <w:pPr>
              <w:jc w:val="both"/>
              <w:rPr>
                <w:bCs/>
                <w:color w:val="002060"/>
                <w:sz w:val="16"/>
                <w:szCs w:val="16"/>
              </w:rPr>
            </w:pPr>
          </w:p>
        </w:tc>
        <w:tc>
          <w:tcPr>
            <w:tcW w:w="1267" w:type="dxa"/>
            <w:shd w:val="clear" w:color="auto" w:fill="FFFFFF"/>
          </w:tcPr>
          <w:p w14:paraId="5F5442C6" w14:textId="77777777" w:rsidR="00F01B26" w:rsidRPr="00405303" w:rsidRDefault="00F01B26" w:rsidP="00C15251">
            <w:pPr>
              <w:jc w:val="both"/>
              <w:rPr>
                <w:bCs/>
                <w:color w:val="002060"/>
                <w:sz w:val="16"/>
                <w:szCs w:val="16"/>
              </w:rPr>
            </w:pPr>
          </w:p>
        </w:tc>
      </w:tr>
      <w:tr w:rsidR="00F01B26" w:rsidRPr="00405303" w14:paraId="684C33AD" w14:textId="77777777" w:rsidTr="006606CA">
        <w:trPr>
          <w:trHeight w:val="293"/>
        </w:trPr>
        <w:tc>
          <w:tcPr>
            <w:tcW w:w="2069" w:type="dxa"/>
            <w:shd w:val="clear" w:color="auto" w:fill="FFFFFF"/>
          </w:tcPr>
          <w:p w14:paraId="17EB9256" w14:textId="77777777" w:rsidR="00F01B26" w:rsidRPr="00405303" w:rsidRDefault="00F01B26" w:rsidP="00C15251">
            <w:pPr>
              <w:jc w:val="both"/>
              <w:rPr>
                <w:bCs/>
                <w:color w:val="002060"/>
                <w:sz w:val="16"/>
                <w:szCs w:val="16"/>
              </w:rPr>
            </w:pPr>
            <w:r w:rsidRPr="00405303">
              <w:rPr>
                <w:bCs/>
                <w:color w:val="002060"/>
                <w:sz w:val="16"/>
                <w:szCs w:val="16"/>
              </w:rPr>
              <w:t>Экипаж, чел</w:t>
            </w:r>
          </w:p>
        </w:tc>
        <w:tc>
          <w:tcPr>
            <w:tcW w:w="1176" w:type="dxa"/>
            <w:shd w:val="clear" w:color="auto" w:fill="FFFFFF"/>
          </w:tcPr>
          <w:p w14:paraId="4359A3B7" w14:textId="77777777" w:rsidR="00F01B26" w:rsidRPr="00405303" w:rsidRDefault="00F01B26" w:rsidP="00C15251">
            <w:pPr>
              <w:jc w:val="both"/>
              <w:rPr>
                <w:bCs/>
                <w:color w:val="002060"/>
                <w:sz w:val="16"/>
                <w:szCs w:val="16"/>
              </w:rPr>
            </w:pPr>
            <w:r w:rsidRPr="00405303">
              <w:rPr>
                <w:bCs/>
                <w:color w:val="002060"/>
                <w:sz w:val="16"/>
                <w:szCs w:val="16"/>
              </w:rPr>
              <w:t>1</w:t>
            </w:r>
          </w:p>
        </w:tc>
        <w:tc>
          <w:tcPr>
            <w:tcW w:w="1133" w:type="dxa"/>
            <w:shd w:val="clear" w:color="auto" w:fill="FFFFFF"/>
          </w:tcPr>
          <w:p w14:paraId="60EA7F57" w14:textId="77777777" w:rsidR="00F01B26" w:rsidRPr="00405303" w:rsidRDefault="00F01B26" w:rsidP="00C15251">
            <w:pPr>
              <w:jc w:val="both"/>
              <w:rPr>
                <w:bCs/>
                <w:color w:val="002060"/>
                <w:sz w:val="16"/>
                <w:szCs w:val="16"/>
              </w:rPr>
            </w:pPr>
            <w:r w:rsidRPr="00405303">
              <w:rPr>
                <w:bCs/>
                <w:color w:val="002060"/>
                <w:sz w:val="16"/>
                <w:szCs w:val="16"/>
              </w:rPr>
              <w:t>2</w:t>
            </w:r>
          </w:p>
        </w:tc>
        <w:tc>
          <w:tcPr>
            <w:tcW w:w="1090" w:type="dxa"/>
            <w:shd w:val="clear" w:color="auto" w:fill="FFFFFF"/>
          </w:tcPr>
          <w:p w14:paraId="1F2420F9" w14:textId="77777777" w:rsidR="00F01B26" w:rsidRPr="00405303" w:rsidRDefault="00F01B26" w:rsidP="00C15251">
            <w:pPr>
              <w:jc w:val="both"/>
              <w:rPr>
                <w:bCs/>
                <w:color w:val="002060"/>
                <w:sz w:val="16"/>
                <w:szCs w:val="16"/>
              </w:rPr>
            </w:pPr>
            <w:r w:rsidRPr="00405303">
              <w:rPr>
                <w:bCs/>
                <w:color w:val="002060"/>
                <w:sz w:val="16"/>
                <w:szCs w:val="16"/>
              </w:rPr>
              <w:t>5</w:t>
            </w:r>
          </w:p>
        </w:tc>
        <w:tc>
          <w:tcPr>
            <w:tcW w:w="1267" w:type="dxa"/>
            <w:shd w:val="clear" w:color="auto" w:fill="FFFFFF"/>
          </w:tcPr>
          <w:p w14:paraId="4811A74E" w14:textId="77777777" w:rsidR="00F01B26" w:rsidRPr="00405303" w:rsidRDefault="00F01B26" w:rsidP="00C15251">
            <w:pPr>
              <w:jc w:val="both"/>
              <w:rPr>
                <w:bCs/>
                <w:color w:val="002060"/>
                <w:sz w:val="16"/>
                <w:szCs w:val="16"/>
              </w:rPr>
            </w:pPr>
            <w:r w:rsidRPr="00405303">
              <w:rPr>
                <w:bCs/>
                <w:color w:val="002060"/>
                <w:sz w:val="16"/>
                <w:szCs w:val="16"/>
              </w:rPr>
              <w:t>5</w:t>
            </w:r>
          </w:p>
        </w:tc>
      </w:tr>
    </w:tbl>
    <w:p w14:paraId="4E67539B" w14:textId="77777777" w:rsidR="00F01B26" w:rsidRPr="00405303" w:rsidRDefault="00F01B26" w:rsidP="00C15251">
      <w:pPr>
        <w:jc w:val="both"/>
        <w:rPr>
          <w:bCs/>
          <w:color w:val="002060"/>
          <w:sz w:val="16"/>
          <w:szCs w:val="16"/>
        </w:rPr>
      </w:pPr>
      <w:r w:rsidRPr="00405303">
        <w:rPr>
          <w:bCs/>
          <w:color w:val="002060"/>
          <w:sz w:val="16"/>
          <w:szCs w:val="16"/>
        </w:rPr>
        <w:t>(11873).</w:t>
      </w:r>
    </w:p>
    <w:p w14:paraId="6CFF4064" w14:textId="77777777" w:rsidR="00F01B26" w:rsidRPr="00405303" w:rsidRDefault="00F01B26" w:rsidP="00C15251">
      <w:pPr>
        <w:jc w:val="both"/>
        <w:rPr>
          <w:bCs/>
          <w:color w:val="002060"/>
          <w:sz w:val="16"/>
          <w:szCs w:val="16"/>
        </w:rPr>
      </w:pPr>
    </w:p>
    <w:p w14:paraId="1756296D" w14:textId="77777777" w:rsidR="00F01B26" w:rsidRPr="00405303" w:rsidRDefault="00F01B26" w:rsidP="00C15251">
      <w:pPr>
        <w:jc w:val="both"/>
        <w:rPr>
          <w:bCs/>
          <w:color w:val="002060"/>
          <w:sz w:val="16"/>
          <w:szCs w:val="16"/>
        </w:rPr>
      </w:pPr>
      <w:r w:rsidRPr="00405303">
        <w:rPr>
          <w:bCs/>
          <w:color w:val="002060"/>
          <w:sz w:val="16"/>
          <w:szCs w:val="16"/>
        </w:rPr>
        <w:t xml:space="preserve">Летом 1915 года началась разработка следующего дирижабля R.23, а летные испытания 15 октября 1917 года, знаменовал собой технологический и производственный шаг, приближающий его к цеппелину. Его тело объемом 26 600 куб. м имело длинный облегченный киль, но вместе с тем одинарное (простое) хвостовое оперение. На дирижабле размещались четыре двигателя Роллс-Ройс «Игл»; по одному в передней и задней гондолах и два в средней. Мощность каждого «Игла» равнялась 250 л. с. Столь мощная силовая установка позволяла дирижаблю развить скорость 83,6 км/ч при грузоподъемности 5,95 т. </w:t>
      </w:r>
    </w:p>
    <w:p w14:paraId="5F80000E" w14:textId="77777777" w:rsidR="00F01B26" w:rsidRPr="00405303" w:rsidRDefault="00F01B26" w:rsidP="00C15251">
      <w:pPr>
        <w:jc w:val="both"/>
        <w:rPr>
          <w:bCs/>
          <w:color w:val="002060"/>
          <w:sz w:val="16"/>
          <w:szCs w:val="16"/>
        </w:rPr>
      </w:pPr>
      <w:r w:rsidRPr="00405303">
        <w:rPr>
          <w:bCs/>
          <w:color w:val="002060"/>
          <w:sz w:val="16"/>
          <w:szCs w:val="16"/>
        </w:rPr>
        <w:t>Однако Адмиралтейство сочло эти показатели недостаточными. Снова подтвердился тот факт, что британские конструкторы дирижаблей, не обремененные долгой практической работой в этой области, не смогли обеспечить соотношение прочности и минимального веса конструкции. Снова пришлось ее облегчать и использовать детали от уже знакомого нам L-33. С «германца» была снята боковая мотогондола и установлена вместо задней мотогондолы R.23. В октябре 1917 года R.23 был принят в состав флота. Кроме всего [281] прочего летом 1918 года дирижабль использовался в качестве носителя истребителя Сопвич 2F.1 «Кэмэл». В ноябре наблюдал за германскими подводными лодками, которые сдались в Гарвиче. В 1919 году он был сдан на металлолом (11324).</w:t>
      </w:r>
    </w:p>
    <w:p w14:paraId="4C8F0189" w14:textId="77777777" w:rsidR="00F01B26" w:rsidRPr="00405303" w:rsidRDefault="00F01B26" w:rsidP="00C15251">
      <w:pPr>
        <w:jc w:val="both"/>
        <w:rPr>
          <w:bCs/>
          <w:i/>
          <w:color w:val="002060"/>
          <w:sz w:val="16"/>
          <w:szCs w:val="16"/>
        </w:rPr>
      </w:pPr>
    </w:p>
    <w:p w14:paraId="253AC68E" w14:textId="77777777" w:rsidR="00F01B26" w:rsidRPr="00405303" w:rsidRDefault="00F01B26" w:rsidP="00C15251">
      <w:pPr>
        <w:jc w:val="both"/>
        <w:rPr>
          <w:bCs/>
          <w:color w:val="002060"/>
          <w:sz w:val="16"/>
          <w:szCs w:val="16"/>
        </w:rPr>
      </w:pPr>
      <w:r w:rsidRPr="00405303">
        <w:rPr>
          <w:bCs/>
          <w:color w:val="002060"/>
          <w:sz w:val="16"/>
          <w:szCs w:val="16"/>
        </w:rPr>
        <w:t xml:space="preserve">Летом 1915 года Британские официальные лица проявляют интерес к приобретению взрывчатых и зажигательных боеприпасов для использования самолетами против немецких дирижаблей для оснащения эскадрильям домашней ПВО Королевского летного корпуса (20338). </w:t>
      </w:r>
    </w:p>
    <w:p w14:paraId="5ADFEAA2" w14:textId="77777777" w:rsidR="00F01B26" w:rsidRPr="00405303" w:rsidRDefault="00F01B26" w:rsidP="00C15251">
      <w:pPr>
        <w:jc w:val="both"/>
        <w:rPr>
          <w:bCs/>
          <w:color w:val="002060"/>
          <w:sz w:val="16"/>
          <w:szCs w:val="16"/>
        </w:rPr>
      </w:pPr>
    </w:p>
    <w:p w14:paraId="5B3939C4" w14:textId="77777777" w:rsidR="00F01B26" w:rsidRPr="00405303" w:rsidRDefault="00F01B26" w:rsidP="00C15251">
      <w:pPr>
        <w:jc w:val="both"/>
        <w:rPr>
          <w:bCs/>
          <w:color w:val="002060"/>
          <w:sz w:val="16"/>
          <w:szCs w:val="16"/>
        </w:rPr>
      </w:pPr>
      <w:r w:rsidRPr="00405303">
        <w:rPr>
          <w:bCs/>
          <w:color w:val="002060"/>
          <w:sz w:val="16"/>
          <w:szCs w:val="16"/>
        </w:rPr>
        <w:t>С лета 1915 года Командующий английским флотом адмирал Джеллико еще предвидел роль цеппелинов на море и принял меры противодействия налетам на английские порты. Это подтверждал его рапорт в Адмиралтейство от 23 июля 1915 года. Немецкое морское командование до 1916 года не придавало особого значения совместным операциям флота с цеппелинами и уделяло все свое внимание рейдам на территорию Англии. Для перехвата дирижаблей в море Черчилль приказал вооружить одну легкую эскадру специальной зенитной артиллерией.</w:t>
      </w:r>
    </w:p>
    <w:p w14:paraId="3D6A0A24" w14:textId="77777777" w:rsidR="00F01B26" w:rsidRPr="00405303" w:rsidRDefault="00F01B26" w:rsidP="00C15251">
      <w:pPr>
        <w:jc w:val="both"/>
        <w:rPr>
          <w:bCs/>
          <w:color w:val="002060"/>
          <w:sz w:val="16"/>
          <w:szCs w:val="16"/>
        </w:rPr>
      </w:pPr>
    </w:p>
    <w:p w14:paraId="2813DD2C" w14:textId="77777777" w:rsidR="00F01B26" w:rsidRPr="00405303" w:rsidRDefault="00F01B26" w:rsidP="00C15251">
      <w:pPr>
        <w:jc w:val="both"/>
        <w:rPr>
          <w:bCs/>
          <w:i/>
          <w:color w:val="002060"/>
          <w:sz w:val="16"/>
          <w:szCs w:val="16"/>
        </w:rPr>
      </w:pPr>
      <w:r w:rsidRPr="00405303">
        <w:rPr>
          <w:bCs/>
          <w:i/>
          <w:color w:val="002060"/>
          <w:sz w:val="16"/>
          <w:szCs w:val="16"/>
        </w:rPr>
        <w:t>Авиация и воздухоплавание Франции:</w:t>
      </w:r>
    </w:p>
    <w:p w14:paraId="1D18AF83" w14:textId="77777777" w:rsidR="00F01B26" w:rsidRPr="00405303" w:rsidRDefault="00F01B26" w:rsidP="00C15251">
      <w:pPr>
        <w:jc w:val="both"/>
        <w:rPr>
          <w:bCs/>
          <w:i/>
          <w:color w:val="002060"/>
          <w:sz w:val="16"/>
          <w:szCs w:val="16"/>
        </w:rPr>
      </w:pPr>
    </w:p>
    <w:p w14:paraId="5711F5DA" w14:textId="77777777" w:rsidR="00F01B26" w:rsidRPr="00405303" w:rsidRDefault="00F01B26" w:rsidP="00C15251">
      <w:pPr>
        <w:pStyle w:val="ae"/>
        <w:shd w:val="clear" w:color="auto" w:fill="FFFFFF"/>
        <w:spacing w:before="0" w:beforeAutospacing="0" w:after="0" w:afterAutospacing="0"/>
        <w:jc w:val="both"/>
        <w:textAlignment w:val="baseline"/>
        <w:rPr>
          <w:bCs/>
          <w:color w:val="002060"/>
          <w:sz w:val="16"/>
          <w:szCs w:val="16"/>
        </w:rPr>
      </w:pPr>
      <w:r w:rsidRPr="00405303">
        <w:rPr>
          <w:bCs/>
          <w:color w:val="002060"/>
          <w:sz w:val="16"/>
          <w:szCs w:val="16"/>
        </w:rPr>
        <w:t>С лета 1915 года французские бомбардировщики стали нести потери от немецких истребителе и вынуждены были прекратить дальние рейды. В начале 1916 года разделение бомбардировочной авиации на тактическую и стратегическую было узаконено, дальние налёты стали проводить только по ночам (19791).</w:t>
      </w:r>
    </w:p>
    <w:p w14:paraId="67118E0D" w14:textId="77777777" w:rsidR="00F01B26" w:rsidRPr="00405303" w:rsidRDefault="00F01B26" w:rsidP="00C15251">
      <w:pPr>
        <w:pStyle w:val="ae"/>
        <w:shd w:val="clear" w:color="auto" w:fill="FFFFFF"/>
        <w:spacing w:before="0" w:beforeAutospacing="0" w:after="0" w:afterAutospacing="0"/>
        <w:jc w:val="both"/>
        <w:textAlignment w:val="baseline"/>
        <w:rPr>
          <w:bCs/>
          <w:color w:val="002060"/>
          <w:sz w:val="16"/>
          <w:szCs w:val="16"/>
        </w:rPr>
      </w:pPr>
    </w:p>
    <w:p w14:paraId="27836B1B" w14:textId="77777777" w:rsidR="00F01B26" w:rsidRPr="00405303" w:rsidRDefault="00F01B26" w:rsidP="00C15251">
      <w:pPr>
        <w:jc w:val="both"/>
        <w:rPr>
          <w:bCs/>
          <w:color w:val="002060"/>
          <w:sz w:val="16"/>
          <w:szCs w:val="16"/>
        </w:rPr>
      </w:pPr>
      <w:r w:rsidRPr="00405303">
        <w:rPr>
          <w:bCs/>
          <w:color w:val="002060"/>
          <w:sz w:val="16"/>
          <w:szCs w:val="16"/>
        </w:rPr>
        <w:t xml:space="preserve">Летом 1915 года бомбардировщик Кодрон вышел на испытания и был принят на вооружение. </w:t>
      </w:r>
    </w:p>
    <w:p w14:paraId="77B0B13D" w14:textId="77777777" w:rsidR="00F01B26" w:rsidRPr="00405303" w:rsidRDefault="00F01B26" w:rsidP="00C15251">
      <w:pPr>
        <w:jc w:val="both"/>
        <w:rPr>
          <w:bCs/>
          <w:color w:val="002060"/>
          <w:sz w:val="16"/>
          <w:szCs w:val="16"/>
        </w:rPr>
      </w:pPr>
      <w:r w:rsidRPr="00405303">
        <w:rPr>
          <w:bCs/>
          <w:color w:val="002060"/>
          <w:sz w:val="16"/>
          <w:szCs w:val="16"/>
        </w:rPr>
        <w:t>Гастон Кодрон он взял два фюзеляжа серийного фронтово</w:t>
      </w:r>
      <w:r w:rsidRPr="00405303">
        <w:rPr>
          <w:bCs/>
          <w:color w:val="002060"/>
          <w:sz w:val="16"/>
          <w:szCs w:val="16"/>
        </w:rPr>
        <w:softHyphen/>
        <w:t>го разведчика Кодрон G IIIA-2, ком</w:t>
      </w:r>
      <w:r w:rsidRPr="00405303">
        <w:rPr>
          <w:bCs/>
          <w:color w:val="002060"/>
          <w:sz w:val="16"/>
          <w:szCs w:val="16"/>
        </w:rPr>
        <w:softHyphen/>
        <w:t>плект оперения и шасси и соединил их общими центропланами верхнего и нижнего крыльев и хвостовой фер</w:t>
      </w:r>
      <w:r w:rsidRPr="00405303">
        <w:rPr>
          <w:bCs/>
          <w:color w:val="002060"/>
          <w:sz w:val="16"/>
          <w:szCs w:val="16"/>
        </w:rPr>
        <w:softHyphen/>
        <w:t>мой. В одной кабине было место лет</w:t>
      </w:r>
      <w:r w:rsidRPr="00405303">
        <w:rPr>
          <w:bCs/>
          <w:color w:val="002060"/>
          <w:sz w:val="16"/>
          <w:szCs w:val="16"/>
        </w:rPr>
        <w:softHyphen/>
        <w:t>чика, а в другой – стрелка.</w:t>
      </w:r>
    </w:p>
    <w:p w14:paraId="508C6779" w14:textId="77777777" w:rsidR="00F01B26" w:rsidRPr="00405303" w:rsidRDefault="00F01B26" w:rsidP="00C15251">
      <w:pPr>
        <w:jc w:val="both"/>
        <w:rPr>
          <w:bCs/>
          <w:color w:val="002060"/>
          <w:sz w:val="16"/>
          <w:szCs w:val="16"/>
        </w:rPr>
      </w:pPr>
      <w:r w:rsidRPr="00405303">
        <w:rPr>
          <w:bCs/>
          <w:color w:val="002060"/>
          <w:sz w:val="16"/>
          <w:szCs w:val="16"/>
        </w:rPr>
        <w:t>Но воен</w:t>
      </w:r>
      <w:r w:rsidRPr="00405303">
        <w:rPr>
          <w:bCs/>
          <w:color w:val="002060"/>
          <w:sz w:val="16"/>
          <w:szCs w:val="16"/>
        </w:rPr>
        <w:softHyphen/>
        <w:t>ные быстро поняли, что как бомбар</w:t>
      </w:r>
      <w:r w:rsidRPr="00405303">
        <w:rPr>
          <w:bCs/>
          <w:color w:val="002060"/>
          <w:sz w:val="16"/>
          <w:szCs w:val="16"/>
        </w:rPr>
        <w:softHyphen/>
        <w:t>дировщик эта архаичная «этажерка» мало что стоит. Ей был присвоен индекс GIVA-2, в котором буква «А» символизировала новое назначение - ближний разведчик и легкий бомбар</w:t>
      </w:r>
      <w:r w:rsidRPr="00405303">
        <w:rPr>
          <w:bCs/>
          <w:color w:val="002060"/>
          <w:sz w:val="16"/>
          <w:szCs w:val="16"/>
        </w:rPr>
        <w:softHyphen/>
        <w:t>дировщик, а цифра «2» - число членов экипажа. Всего фирмой «Кодрон» во Франции, английским ее филиалом, а также итальянским заводом AER было построено 249 таких машин, еще 512 самолетов GIVA-2 было сдано армии с моторами «Рон» в 130 л.с., все они применялись только для дальней и фронтовой разведки (22795).</w:t>
      </w:r>
    </w:p>
    <w:p w14:paraId="356A5F9B" w14:textId="77777777" w:rsidR="00F01B26" w:rsidRPr="00405303" w:rsidRDefault="00F01B26" w:rsidP="00C15251">
      <w:pPr>
        <w:jc w:val="both"/>
        <w:rPr>
          <w:bCs/>
          <w:color w:val="002060"/>
          <w:sz w:val="16"/>
          <w:szCs w:val="16"/>
        </w:rPr>
      </w:pPr>
    </w:p>
    <w:p w14:paraId="180578E1" w14:textId="77777777" w:rsidR="001E56AB" w:rsidRPr="00405303" w:rsidRDefault="001E56AB" w:rsidP="00C15251">
      <w:pPr>
        <w:jc w:val="both"/>
        <w:rPr>
          <w:bCs/>
          <w:i/>
          <w:color w:val="002060"/>
          <w:sz w:val="16"/>
          <w:szCs w:val="16"/>
        </w:rPr>
      </w:pPr>
      <w:r w:rsidRPr="00405303">
        <w:rPr>
          <w:bCs/>
          <w:i/>
          <w:color w:val="002060"/>
          <w:sz w:val="16"/>
          <w:szCs w:val="16"/>
        </w:rPr>
        <w:t>Авиация и воздухоплавание за рубежом:</w:t>
      </w:r>
    </w:p>
    <w:p w14:paraId="24FB12E0" w14:textId="77777777" w:rsidR="001E56AB" w:rsidRPr="00405303" w:rsidRDefault="001E56AB" w:rsidP="00C15251">
      <w:pPr>
        <w:jc w:val="both"/>
        <w:rPr>
          <w:bCs/>
          <w:i/>
          <w:color w:val="002060"/>
          <w:sz w:val="16"/>
          <w:szCs w:val="16"/>
        </w:rPr>
      </w:pPr>
    </w:p>
    <w:p w14:paraId="4F0FEB9F" w14:textId="746A6D3A" w:rsidR="001E56AB" w:rsidRPr="00405303" w:rsidRDefault="001E56AB" w:rsidP="00C15251">
      <w:pPr>
        <w:jc w:val="both"/>
        <w:rPr>
          <w:bCs/>
          <w:color w:val="002060"/>
          <w:sz w:val="16"/>
          <w:szCs w:val="16"/>
        </w:rPr>
      </w:pPr>
      <w:r w:rsidRPr="00405303">
        <w:rPr>
          <w:bCs/>
          <w:color w:val="002060"/>
          <w:sz w:val="16"/>
          <w:szCs w:val="16"/>
        </w:rPr>
        <w:t>Летом 1915 г. состоялся первый пуск ракеты Годдарда (он с осени 1914 работать научным сотрудником (на полставки) в</w:t>
      </w:r>
      <w:r w:rsidR="000F5756">
        <w:rPr>
          <w:bCs/>
          <w:color w:val="002060"/>
          <w:sz w:val="16"/>
          <w:szCs w:val="16"/>
        </w:rPr>
        <w:t xml:space="preserve"> </w:t>
      </w:r>
      <w:r w:rsidRPr="00405303">
        <w:rPr>
          <w:bCs/>
          <w:color w:val="002060"/>
          <w:sz w:val="16"/>
          <w:szCs w:val="16"/>
        </w:rPr>
        <w:t>университете Кларка) с пороховым двигателем. Пуск сопровождался таким грохотом и пламенем, что вызвал панику в университетском городке. После этого инцидента Годдард перенес эксперименты в лабораторию физики, находившуюся вдали от главного корпуса (23372).</w:t>
      </w:r>
    </w:p>
    <w:p w14:paraId="30CF2135" w14:textId="77777777" w:rsidR="001E56AB" w:rsidRPr="00405303" w:rsidRDefault="001E56AB" w:rsidP="00C15251">
      <w:pPr>
        <w:jc w:val="both"/>
        <w:rPr>
          <w:bCs/>
          <w:color w:val="002060"/>
          <w:sz w:val="16"/>
          <w:szCs w:val="16"/>
        </w:rPr>
      </w:pPr>
    </w:p>
    <w:p w14:paraId="668C7A6E" w14:textId="77777777" w:rsidR="0066213A" w:rsidRPr="00405303" w:rsidRDefault="0066213A" w:rsidP="00C15251">
      <w:pPr>
        <w:jc w:val="both"/>
        <w:rPr>
          <w:bCs/>
          <w:i/>
          <w:color w:val="002060"/>
          <w:sz w:val="16"/>
          <w:szCs w:val="16"/>
        </w:rPr>
      </w:pPr>
      <w:r w:rsidRPr="00405303">
        <w:rPr>
          <w:bCs/>
          <w:i/>
          <w:color w:val="002060"/>
          <w:sz w:val="16"/>
          <w:szCs w:val="16"/>
        </w:rPr>
        <w:t>За рубежом:</w:t>
      </w:r>
    </w:p>
    <w:p w14:paraId="3641B54A" w14:textId="77777777" w:rsidR="0066213A" w:rsidRPr="00405303" w:rsidRDefault="0066213A" w:rsidP="00C15251">
      <w:pPr>
        <w:jc w:val="both"/>
        <w:rPr>
          <w:bCs/>
          <w:color w:val="002060"/>
          <w:sz w:val="16"/>
          <w:szCs w:val="16"/>
        </w:rPr>
      </w:pPr>
    </w:p>
    <w:p w14:paraId="11D49DDE" w14:textId="519B0DD2" w:rsidR="0066213A" w:rsidRPr="00405303" w:rsidRDefault="0066213A" w:rsidP="00C15251">
      <w:pPr>
        <w:pStyle w:val="ae"/>
        <w:spacing w:before="0" w:beforeAutospacing="0" w:after="0" w:afterAutospacing="0"/>
        <w:jc w:val="both"/>
        <w:rPr>
          <w:bCs/>
          <w:color w:val="002060"/>
          <w:sz w:val="16"/>
          <w:szCs w:val="16"/>
        </w:rPr>
      </w:pPr>
      <w:r w:rsidRPr="00405303">
        <w:rPr>
          <w:bCs/>
          <w:color w:val="002060"/>
          <w:sz w:val="16"/>
          <w:szCs w:val="16"/>
        </w:rPr>
        <w:t>Летом 1915 года генерал, Жан-Батист Эстьен (Jean Baptiste Eugene Estienne), встретивший войну в должности начальника штаба 22-го артиллерийского полка, присутствовал на испытаниях знаменитого гусеничного трактора Holt, после чего, как истинный артиллерист, записал в своем дневнике вполне очевидную для себя мысль:</w:t>
      </w:r>
      <w:r w:rsidR="00DB4D64" w:rsidRPr="00405303">
        <w:rPr>
          <w:bCs/>
          <w:color w:val="002060"/>
          <w:sz w:val="16"/>
          <w:szCs w:val="16"/>
        </w:rPr>
        <w:t xml:space="preserve"> </w:t>
      </w:r>
      <w:r w:rsidRPr="00405303">
        <w:rPr>
          <w:rStyle w:val="af"/>
          <w:bCs/>
          <w:i w:val="0"/>
          <w:color w:val="002060"/>
          <w:sz w:val="16"/>
          <w:szCs w:val="16"/>
        </w:rPr>
        <w:t>«Войну победит тот, кто первым установит 75-миллиметровое орудие на машину, способную пройти по любой местности».</w:t>
      </w:r>
    </w:p>
    <w:p w14:paraId="24B91A27" w14:textId="77777777" w:rsidR="0066213A" w:rsidRPr="00405303" w:rsidRDefault="0066213A" w:rsidP="00C15251">
      <w:pPr>
        <w:pStyle w:val="ae"/>
        <w:spacing w:before="0" w:beforeAutospacing="0" w:after="0" w:afterAutospacing="0"/>
        <w:jc w:val="both"/>
        <w:rPr>
          <w:bCs/>
          <w:color w:val="002060"/>
          <w:sz w:val="16"/>
          <w:szCs w:val="16"/>
        </w:rPr>
      </w:pPr>
      <w:r w:rsidRPr="00405303">
        <w:rPr>
          <w:bCs/>
          <w:color w:val="002060"/>
          <w:sz w:val="16"/>
          <w:szCs w:val="16"/>
        </w:rPr>
        <w:t>Потом, не откладывая в долгий ящик, набросал докладную записку на имя главнокомандующего с подробным изложением своей идеи наземного броненосца (a cuirasse terrestre). Записку передал через генерала для поручений Мориса Жа- нена, того самого, который несколькими годами позже предаст адмирала Колчака. По его мнению, броненосец (толщина брони 15-20 мм) должен иметь на вооружении 37-миллиметровое орудие для атаки, пару пулеметов для защиты, преодолевать рвы шириной до двух метров и быть в состоянии тащить за собой бронеприцеп с двадцатью пехотинцами.</w:t>
      </w:r>
    </w:p>
    <w:p w14:paraId="6C2D0F1A" w14:textId="77777777" w:rsidR="0066213A" w:rsidRPr="00405303" w:rsidRDefault="0066213A" w:rsidP="00C15251">
      <w:pPr>
        <w:pStyle w:val="ae"/>
        <w:spacing w:before="0" w:beforeAutospacing="0" w:after="0" w:afterAutospacing="0"/>
        <w:jc w:val="both"/>
        <w:rPr>
          <w:bCs/>
          <w:color w:val="002060"/>
          <w:sz w:val="16"/>
          <w:szCs w:val="16"/>
        </w:rPr>
      </w:pPr>
      <w:r w:rsidRPr="00405303">
        <w:rPr>
          <w:bCs/>
          <w:color w:val="002060"/>
          <w:sz w:val="16"/>
          <w:szCs w:val="16"/>
        </w:rPr>
        <w:t>Впечатленный идеей и репутацией докладчика, генерал Жанен заручился поддержкой главнокомандующего и выдал Эстьену рекомендации для обращения к известному конструктору и коммерсанту Луи Рено, единственному владельцу компании Societe Renault Freres. Луи Рено рисковать не захотел. Пришлось энтузиасту обратиться к огромному военному концерну «Шнейдер Крезо» (Schneider-Creusot). Адольф Шнейдер был знаменит тем, что всегда умел угадывать перспективные направления.</w:t>
      </w:r>
    </w:p>
    <w:p w14:paraId="17A9367C" w14:textId="50A19523" w:rsidR="0066213A" w:rsidRPr="00405303" w:rsidRDefault="0066213A" w:rsidP="00C15251">
      <w:pPr>
        <w:pStyle w:val="ae"/>
        <w:spacing w:before="0" w:beforeAutospacing="0" w:after="0" w:afterAutospacing="0"/>
        <w:jc w:val="both"/>
        <w:rPr>
          <w:bCs/>
          <w:color w:val="002060"/>
          <w:sz w:val="16"/>
          <w:szCs w:val="16"/>
        </w:rPr>
      </w:pPr>
      <w:r w:rsidRPr="00405303">
        <w:rPr>
          <w:bCs/>
          <w:color w:val="002060"/>
          <w:sz w:val="16"/>
          <w:szCs w:val="16"/>
        </w:rPr>
        <w:t>Главным конструктором концерна в то время трудился гениальный Эжен Брийе (Brillie), разработавший принципиально новый двигатель внутреннего сгорания. В двух словах. В двигателе Брийе цилиндры вертикально стояли бок о бок на отлитом из легкого сплава картере, и в каждом ходило вверх-вниз по два поршня, друг другу навстречу. Нижние передавали усилие на нормальный коленчатый вал, вращавшийся в трех коренных подшипниках; верхние же соединялись с коромыслом, установленным в верхней части мотора и соединенным с коленчатым валом через систему рычагов и эксцентриков, обеспечивавших синхронное встречное движение поршней. Камера сгорания при такой схеме располагалась между поршневыми днищами</w:t>
      </w:r>
      <w:r w:rsidR="00DB4D64" w:rsidRPr="00405303">
        <w:rPr>
          <w:bCs/>
          <w:color w:val="002060"/>
          <w:sz w:val="16"/>
          <w:szCs w:val="16"/>
        </w:rPr>
        <w:t xml:space="preserve"> </w:t>
      </w:r>
      <w:r w:rsidRPr="00405303">
        <w:rPr>
          <w:bCs/>
          <w:color w:val="002060"/>
          <w:sz w:val="16"/>
          <w:szCs w:val="16"/>
        </w:rPr>
        <w:t xml:space="preserve">— в месте наибольшего их сближения. Там же, примерно на половине высоты блока цилиндров, располагались свечи зажигания и клапаны впуска-выпуска, к которым подходили толкатели от размещенного в боковой части картера </w:t>
      </w:r>
      <w:r w:rsidRPr="00405303">
        <w:rPr>
          <w:bCs/>
          <w:color w:val="002060"/>
          <w:sz w:val="16"/>
          <w:szCs w:val="16"/>
        </w:rPr>
        <w:lastRenderedPageBreak/>
        <w:t>распределительного вала. Кстати, гоночный автомобиль Gobron-Brillie, снабженный таким мотором, несколько раз ставил рекорды скорости и первым в мире преодолел скоростной барьер 100 миль/час.</w:t>
      </w:r>
    </w:p>
    <w:p w14:paraId="519BE506" w14:textId="77777777" w:rsidR="0066213A" w:rsidRPr="00405303" w:rsidRDefault="0066213A" w:rsidP="00C15251">
      <w:pPr>
        <w:pStyle w:val="ae"/>
        <w:spacing w:before="0" w:beforeAutospacing="0" w:after="0" w:afterAutospacing="0"/>
        <w:jc w:val="both"/>
        <w:rPr>
          <w:bCs/>
          <w:color w:val="002060"/>
          <w:sz w:val="16"/>
          <w:szCs w:val="16"/>
        </w:rPr>
      </w:pPr>
      <w:r w:rsidRPr="00405303">
        <w:rPr>
          <w:bCs/>
          <w:color w:val="002060"/>
          <w:sz w:val="16"/>
          <w:szCs w:val="16"/>
        </w:rPr>
        <w:t>Союз таких энтузиастов был просто обречен на успех.</w:t>
      </w:r>
    </w:p>
    <w:p w14:paraId="64ADF6F0" w14:textId="6626829E" w:rsidR="0066213A" w:rsidRPr="00405303" w:rsidRDefault="0066213A" w:rsidP="00C15251">
      <w:pPr>
        <w:pStyle w:val="ae"/>
        <w:spacing w:before="0" w:beforeAutospacing="0" w:after="0" w:afterAutospacing="0"/>
        <w:jc w:val="both"/>
        <w:rPr>
          <w:bCs/>
          <w:color w:val="002060"/>
          <w:sz w:val="16"/>
          <w:szCs w:val="16"/>
        </w:rPr>
      </w:pPr>
      <w:r w:rsidRPr="00405303">
        <w:rPr>
          <w:bCs/>
          <w:color w:val="002060"/>
          <w:sz w:val="16"/>
          <w:szCs w:val="16"/>
        </w:rPr>
        <w:t>В феврале 1916 года появился первый опытный образец танка, точнее, по французской терминологии, «артиллерийского трактора», на шасси все того же тягача Holt. Затем последовал ряд переделок и улучшений, и вот 8 сентября 1916 года появился серийный СА-1 Schneider. Аббревиатура СА читалась как char d'assaut-1</w:t>
      </w:r>
      <w:r w:rsidR="00DB4D64" w:rsidRPr="00405303">
        <w:rPr>
          <w:bCs/>
          <w:color w:val="002060"/>
          <w:sz w:val="16"/>
          <w:szCs w:val="16"/>
        </w:rPr>
        <w:t xml:space="preserve"> </w:t>
      </w:r>
      <w:r w:rsidRPr="00405303">
        <w:rPr>
          <w:bCs/>
          <w:color w:val="002060"/>
          <w:sz w:val="16"/>
          <w:szCs w:val="16"/>
        </w:rPr>
        <w:t>— «танк атакующий».</w:t>
      </w:r>
    </w:p>
    <w:p w14:paraId="00E73447" w14:textId="7B79CAC9" w:rsidR="0066213A" w:rsidRPr="00405303" w:rsidRDefault="0066213A" w:rsidP="00C15251">
      <w:pPr>
        <w:pStyle w:val="ae"/>
        <w:spacing w:before="0" w:beforeAutospacing="0" w:after="0" w:afterAutospacing="0"/>
        <w:jc w:val="both"/>
        <w:rPr>
          <w:bCs/>
          <w:color w:val="002060"/>
          <w:sz w:val="16"/>
          <w:szCs w:val="16"/>
        </w:rPr>
      </w:pPr>
      <w:r w:rsidRPr="00405303">
        <w:rPr>
          <w:bCs/>
          <w:color w:val="002060"/>
          <w:sz w:val="16"/>
          <w:szCs w:val="16"/>
        </w:rPr>
        <w:t>Машина получилась любопытная. В отличие от английского, французский танк имел подрессоренную подвеску, что позволило несколько увеличить скорость и облегчить тяжелые условия работы экипажа. Передняя часть корпуса напоминала нос корабля и оснащалась приспособлением для резки колючей проволоки. Заодно решался вопрос преодоления широких рвов. Расположенные наклонно 11-миллиметровые лобовые броневые листы повышали бронестойкость. Экипаж</w:t>
      </w:r>
      <w:r w:rsidR="00DB4D64" w:rsidRPr="00405303">
        <w:rPr>
          <w:bCs/>
          <w:color w:val="002060"/>
          <w:sz w:val="16"/>
          <w:szCs w:val="16"/>
        </w:rPr>
        <w:t xml:space="preserve"> </w:t>
      </w:r>
      <w:r w:rsidRPr="00405303">
        <w:rPr>
          <w:bCs/>
          <w:color w:val="002060"/>
          <w:sz w:val="16"/>
          <w:szCs w:val="16"/>
        </w:rPr>
        <w:t>— шесть человек. Вооружение</w:t>
      </w:r>
      <w:r w:rsidR="00DB4D64" w:rsidRPr="00405303">
        <w:rPr>
          <w:bCs/>
          <w:color w:val="002060"/>
          <w:sz w:val="16"/>
          <w:szCs w:val="16"/>
        </w:rPr>
        <w:t xml:space="preserve"> </w:t>
      </w:r>
      <w:r w:rsidRPr="00405303">
        <w:rPr>
          <w:bCs/>
          <w:color w:val="002060"/>
          <w:sz w:val="16"/>
          <w:szCs w:val="16"/>
        </w:rPr>
        <w:t>— 75-миллиметровое скорострельное короткоствольное орудие и два 8-миллиметровых пулемета Hotchkiss. Орудие конструкторы разместили у правого борта в срезе корпуса, опять же вполне по-морскому (слева по борту располагался двигатель). Боевая масса 14,6 тонны, длина корпуса шесть метров, ширина два метра. Максимальная скорость по шоссе 8 км/ч. Запаса топлива хватало примерно на 50 км.</w:t>
      </w:r>
    </w:p>
    <w:p w14:paraId="40CD282A" w14:textId="40309181" w:rsidR="0066213A" w:rsidRPr="00405303" w:rsidRDefault="0066213A" w:rsidP="00C15251">
      <w:pPr>
        <w:pStyle w:val="ae"/>
        <w:spacing w:before="0" w:beforeAutospacing="0" w:after="0" w:afterAutospacing="0"/>
        <w:jc w:val="both"/>
        <w:rPr>
          <w:bCs/>
          <w:color w:val="002060"/>
          <w:sz w:val="16"/>
          <w:szCs w:val="16"/>
        </w:rPr>
      </w:pPr>
      <w:r w:rsidRPr="00405303">
        <w:rPr>
          <w:bCs/>
          <w:color w:val="002060"/>
          <w:sz w:val="16"/>
          <w:szCs w:val="16"/>
        </w:rPr>
        <w:t>После прохождения полевых испытаний военные заказы были размещены на двух предприятиях: Schneider- Creusot и St. Shamond (FAMH</w:t>
      </w:r>
      <w:r w:rsidR="00DB4D64" w:rsidRPr="00405303">
        <w:rPr>
          <w:bCs/>
          <w:color w:val="002060"/>
          <w:sz w:val="16"/>
          <w:szCs w:val="16"/>
        </w:rPr>
        <w:t xml:space="preserve"> </w:t>
      </w:r>
      <w:r w:rsidRPr="00405303">
        <w:rPr>
          <w:bCs/>
          <w:color w:val="002060"/>
          <w:sz w:val="16"/>
          <w:szCs w:val="16"/>
        </w:rPr>
        <w:t>— Compagnie des forges et acieries de la marine et d'Homecourt</w:t>
      </w:r>
      <w:r w:rsidR="00DB4D64" w:rsidRPr="00405303">
        <w:rPr>
          <w:bCs/>
          <w:color w:val="002060"/>
          <w:sz w:val="16"/>
          <w:szCs w:val="16"/>
        </w:rPr>
        <w:t xml:space="preserve"> </w:t>
      </w:r>
      <w:r w:rsidRPr="00405303">
        <w:rPr>
          <w:bCs/>
          <w:color w:val="002060"/>
          <w:sz w:val="16"/>
          <w:szCs w:val="16"/>
        </w:rPr>
        <w:t>— «Компания кузниц и сталелитейных заводов флота»). St. Shamond был вторым по размеру военным концерном Франции. Их конечная разработка несколько отличалась от конструкции компании Schneider.</w:t>
      </w:r>
    </w:p>
    <w:p w14:paraId="198A98B8" w14:textId="2A6016A5" w:rsidR="0066213A" w:rsidRPr="00405303" w:rsidRDefault="0066213A" w:rsidP="00C15251">
      <w:pPr>
        <w:pStyle w:val="ae"/>
        <w:spacing w:before="0" w:beforeAutospacing="0" w:after="0" w:afterAutospacing="0"/>
        <w:jc w:val="both"/>
        <w:rPr>
          <w:bCs/>
          <w:color w:val="002060"/>
          <w:sz w:val="16"/>
          <w:szCs w:val="16"/>
        </w:rPr>
      </w:pPr>
      <w:r w:rsidRPr="00405303">
        <w:rPr>
          <w:bCs/>
          <w:color w:val="002060"/>
          <w:sz w:val="16"/>
          <w:szCs w:val="16"/>
        </w:rPr>
        <w:t>Танк весил 23 тонны, нес восемь человек экипажа, был вооружен 75-миллиметровой полевой пушкой и четырьмя 8-миллиметровыми пулеметами Hotchkiss. В длину был более восьми метров, в ширину почти три. Развивал максимальную скорость все те же 8 км, но запас хода имел на 10 км больше. Было и свое очевидное новшество. Конструкторы St. Diamond впервые применили электромеханическую трансмиссию. Бензиновый двигатель работал на динамо- машину, от которой подавался ток на два тяговых электромотора (по одному на каждую гусеницу). Это существенно облегчало управление</w:t>
      </w:r>
      <w:r w:rsidR="00DB4D64" w:rsidRPr="00405303">
        <w:rPr>
          <w:bCs/>
          <w:color w:val="002060"/>
          <w:sz w:val="16"/>
          <w:szCs w:val="16"/>
        </w:rPr>
        <w:t xml:space="preserve"> </w:t>
      </w:r>
      <w:r w:rsidRPr="00405303">
        <w:rPr>
          <w:bCs/>
          <w:color w:val="002060"/>
          <w:sz w:val="16"/>
          <w:szCs w:val="16"/>
        </w:rPr>
        <w:t>— поворот осуществлялся за счет подачи на электродвигатели различной силы тока.</w:t>
      </w:r>
    </w:p>
    <w:p w14:paraId="75119864" w14:textId="2558772B" w:rsidR="0066213A" w:rsidRPr="00405303" w:rsidRDefault="0066213A" w:rsidP="00C15251">
      <w:pPr>
        <w:pStyle w:val="ae"/>
        <w:spacing w:before="0" w:beforeAutospacing="0" w:after="0" w:afterAutospacing="0"/>
        <w:jc w:val="both"/>
        <w:rPr>
          <w:bCs/>
          <w:color w:val="002060"/>
          <w:sz w:val="16"/>
          <w:szCs w:val="16"/>
        </w:rPr>
      </w:pPr>
      <w:r w:rsidRPr="00405303">
        <w:rPr>
          <w:bCs/>
          <w:color w:val="002060"/>
          <w:sz w:val="16"/>
          <w:szCs w:val="16"/>
        </w:rPr>
        <w:t>Можно долго рассуждать о достоинствах и недостатках каждой из моделей, но очевидно одно</w:t>
      </w:r>
      <w:r w:rsidR="00DB4D64" w:rsidRPr="00405303">
        <w:rPr>
          <w:bCs/>
          <w:color w:val="002060"/>
          <w:sz w:val="16"/>
          <w:szCs w:val="16"/>
        </w:rPr>
        <w:t xml:space="preserve"> </w:t>
      </w:r>
      <w:r w:rsidRPr="00405303">
        <w:rPr>
          <w:bCs/>
          <w:color w:val="002060"/>
          <w:sz w:val="16"/>
          <w:szCs w:val="16"/>
        </w:rPr>
        <w:t>— конкуренция значительно продуктивнее монополии. Всего через год танковые войска Франции имели на вооружении более двухсот машин. Новый род войск</w:t>
      </w:r>
      <w:r w:rsidR="00DB4D64" w:rsidRPr="00405303">
        <w:rPr>
          <w:bCs/>
          <w:color w:val="002060"/>
          <w:sz w:val="16"/>
          <w:szCs w:val="16"/>
        </w:rPr>
        <w:t xml:space="preserve"> </w:t>
      </w:r>
      <w:r w:rsidRPr="00405303">
        <w:rPr>
          <w:bCs/>
          <w:color w:val="002060"/>
          <w:sz w:val="16"/>
          <w:szCs w:val="16"/>
        </w:rPr>
        <w:t>— е'artillerie d'assaut, то есть «специальную артиллерию»,</w:t>
      </w:r>
      <w:r w:rsidR="00DB4D64" w:rsidRPr="00405303">
        <w:rPr>
          <w:bCs/>
          <w:color w:val="002060"/>
          <w:sz w:val="16"/>
          <w:szCs w:val="16"/>
        </w:rPr>
        <w:t xml:space="preserve"> </w:t>
      </w:r>
      <w:r w:rsidRPr="00405303">
        <w:rPr>
          <w:bCs/>
          <w:color w:val="002060"/>
          <w:sz w:val="16"/>
          <w:szCs w:val="16"/>
        </w:rPr>
        <w:t>— возглавил Жан-Батист Эстьен в звании бригадного генерала (18519).</w:t>
      </w:r>
    </w:p>
    <w:p w14:paraId="3F103475" w14:textId="77777777" w:rsidR="0066213A" w:rsidRPr="00405303" w:rsidRDefault="0066213A" w:rsidP="00C15251">
      <w:pPr>
        <w:pStyle w:val="ae"/>
        <w:spacing w:before="0" w:beforeAutospacing="0" w:after="0" w:afterAutospacing="0"/>
        <w:jc w:val="both"/>
        <w:rPr>
          <w:bCs/>
          <w:color w:val="002060"/>
          <w:sz w:val="16"/>
          <w:szCs w:val="16"/>
        </w:rPr>
      </w:pPr>
    </w:p>
    <w:p w14:paraId="1EB53FB7" w14:textId="77777777" w:rsidR="001E56AB" w:rsidRPr="00405303" w:rsidRDefault="001E56AB" w:rsidP="00C15251">
      <w:pPr>
        <w:jc w:val="both"/>
        <w:rPr>
          <w:bCs/>
          <w:i/>
          <w:color w:val="002060"/>
          <w:sz w:val="16"/>
          <w:szCs w:val="16"/>
        </w:rPr>
      </w:pPr>
      <w:r w:rsidRPr="00405303">
        <w:rPr>
          <w:bCs/>
          <w:i/>
          <w:color w:val="002060"/>
          <w:sz w:val="16"/>
          <w:szCs w:val="16"/>
        </w:rPr>
        <w:t>Самолетостроение:</w:t>
      </w:r>
    </w:p>
    <w:p w14:paraId="2A5A0BE0" w14:textId="77777777" w:rsidR="001E56AB" w:rsidRPr="00405303" w:rsidRDefault="001E56AB" w:rsidP="00C15251">
      <w:pPr>
        <w:jc w:val="both"/>
        <w:rPr>
          <w:bCs/>
          <w:i/>
          <w:color w:val="002060"/>
          <w:sz w:val="16"/>
          <w:szCs w:val="16"/>
        </w:rPr>
      </w:pPr>
    </w:p>
    <w:p w14:paraId="5B865349" w14:textId="77777777" w:rsidR="001E56AB" w:rsidRPr="00405303" w:rsidRDefault="001E56AB" w:rsidP="00C15251">
      <w:pPr>
        <w:shd w:val="clear" w:color="auto" w:fill="FFFFFF"/>
        <w:jc w:val="both"/>
        <w:rPr>
          <w:bCs/>
          <w:color w:val="002060"/>
          <w:sz w:val="16"/>
          <w:szCs w:val="16"/>
        </w:rPr>
      </w:pPr>
      <w:r w:rsidRPr="00405303">
        <w:rPr>
          <w:bCs/>
          <w:iCs/>
          <w:color w:val="002060"/>
          <w:sz w:val="16"/>
          <w:szCs w:val="16"/>
        </w:rPr>
        <w:t>К середине лета 1915 г. заказы на «М-5</w:t>
      </w:r>
      <w:r w:rsidRPr="00405303">
        <w:rPr>
          <w:bCs/>
          <w:i/>
          <w:color w:val="002060"/>
          <w:sz w:val="16"/>
          <w:szCs w:val="16"/>
        </w:rPr>
        <w:t xml:space="preserve"> </w:t>
      </w:r>
      <w:r w:rsidRPr="00405303">
        <w:rPr>
          <w:bCs/>
          <w:iCs/>
          <w:color w:val="002060"/>
          <w:sz w:val="16"/>
          <w:szCs w:val="16"/>
        </w:rPr>
        <w:t>достиг</w:t>
      </w:r>
      <w:r w:rsidRPr="00405303">
        <w:rPr>
          <w:bCs/>
          <w:iCs/>
          <w:color w:val="002060"/>
          <w:sz w:val="16"/>
          <w:szCs w:val="16"/>
        </w:rPr>
        <w:softHyphen/>
        <w:t>ли 146 единиц!</w:t>
      </w:r>
      <w:r w:rsidRPr="00405303">
        <w:rPr>
          <w:bCs/>
          <w:i/>
          <w:color w:val="002060"/>
          <w:sz w:val="16"/>
          <w:szCs w:val="16"/>
        </w:rPr>
        <w:t xml:space="preserve"> </w:t>
      </w:r>
      <w:r w:rsidRPr="00405303">
        <w:rPr>
          <w:bCs/>
          <w:color w:val="002060"/>
          <w:sz w:val="16"/>
          <w:szCs w:val="16"/>
        </w:rPr>
        <w:t>Из-за перебоев в поставках импортных моторов передача флотам 64 готовых бипланов велась малыми партиями. Дале</w:t>
      </w:r>
      <w:r w:rsidRPr="00405303">
        <w:rPr>
          <w:bCs/>
          <w:color w:val="002060"/>
          <w:sz w:val="16"/>
          <w:szCs w:val="16"/>
        </w:rPr>
        <w:softHyphen/>
        <w:t>ко опережая ход событий, заметим, что в 1915-1923 годах завод изготовил около 300 таких летающих лодок. В последнее время они применялись для обучения морских летчиков (11283).</w:t>
      </w:r>
    </w:p>
    <w:p w14:paraId="4B35F93A" w14:textId="77777777" w:rsidR="001E56AB" w:rsidRPr="00405303" w:rsidRDefault="001E56AB" w:rsidP="00C15251">
      <w:pPr>
        <w:shd w:val="clear" w:color="auto" w:fill="FFFFFF"/>
        <w:jc w:val="both"/>
        <w:rPr>
          <w:bCs/>
          <w:color w:val="002060"/>
          <w:sz w:val="16"/>
          <w:szCs w:val="16"/>
        </w:rPr>
      </w:pPr>
    </w:p>
    <w:p w14:paraId="70A6FA83" w14:textId="77777777" w:rsidR="001E56AB" w:rsidRPr="00405303" w:rsidRDefault="001E56AB" w:rsidP="00C15251">
      <w:pPr>
        <w:shd w:val="clear" w:color="auto" w:fill="FFFFFF"/>
        <w:jc w:val="both"/>
        <w:rPr>
          <w:bCs/>
          <w:color w:val="002060"/>
          <w:sz w:val="16"/>
          <w:szCs w:val="16"/>
        </w:rPr>
      </w:pPr>
      <w:r w:rsidRPr="00405303">
        <w:rPr>
          <w:bCs/>
          <w:color w:val="002060"/>
          <w:sz w:val="16"/>
          <w:szCs w:val="16"/>
        </w:rPr>
        <w:t xml:space="preserve">В конце лета - начале осени 1915 года. Более обширный заказ черноморцев содержал поставки: 300 двухпудовых, 600 однопудовых, 2400 малых 5-фунтовых бомб российских образцов, а также 150000 американских зажигательных и разрывных стрел. Для вооружения создаваемых истребителей и морских летчиков требовалось приобрести 8 пулеметов «Кольт» и 20 пистолетов «Маузер» с патронами. Приведенные сведения указывали на то, </w:t>
      </w:r>
      <w:proofErr w:type="gramStart"/>
      <w:r w:rsidRPr="00405303">
        <w:rPr>
          <w:bCs/>
          <w:color w:val="002060"/>
          <w:sz w:val="16"/>
          <w:szCs w:val="16"/>
        </w:rPr>
        <w:t>что</w:t>
      </w:r>
      <w:proofErr w:type="gramEnd"/>
      <w:r w:rsidRPr="00405303">
        <w:rPr>
          <w:bCs/>
          <w:color w:val="002060"/>
          <w:sz w:val="16"/>
          <w:szCs w:val="16"/>
        </w:rPr>
        <w:t xml:space="preserve"> располагая пер</w:t>
      </w:r>
      <w:r w:rsidRPr="00405303">
        <w:rPr>
          <w:bCs/>
          <w:color w:val="002060"/>
          <w:sz w:val="16"/>
          <w:szCs w:val="16"/>
        </w:rPr>
        <w:softHyphen/>
        <w:t>вичным опытом использования таких боевых средств, бал</w:t>
      </w:r>
      <w:r w:rsidRPr="00405303">
        <w:rPr>
          <w:bCs/>
          <w:color w:val="002060"/>
          <w:sz w:val="16"/>
          <w:szCs w:val="16"/>
        </w:rPr>
        <w:softHyphen/>
        <w:t>тийцы и черноморцы нашли достаточные основания для оп</w:t>
      </w:r>
      <w:r w:rsidRPr="00405303">
        <w:rPr>
          <w:bCs/>
          <w:color w:val="002060"/>
          <w:sz w:val="16"/>
          <w:szCs w:val="16"/>
        </w:rPr>
        <w:softHyphen/>
        <w:t>ределения ближайших перспектив развития морской авиации и расширения ее возможностей (11283).</w:t>
      </w:r>
    </w:p>
    <w:p w14:paraId="50E568A1" w14:textId="77777777" w:rsidR="001E56AB" w:rsidRPr="00405303" w:rsidRDefault="001E56AB" w:rsidP="00C15251">
      <w:pPr>
        <w:jc w:val="both"/>
        <w:rPr>
          <w:bCs/>
          <w:color w:val="002060"/>
          <w:sz w:val="16"/>
          <w:szCs w:val="16"/>
        </w:rPr>
      </w:pPr>
    </w:p>
    <w:p w14:paraId="0BEBB7D7" w14:textId="77777777" w:rsidR="001E56AB" w:rsidRPr="00405303" w:rsidRDefault="001E56AB" w:rsidP="00C15251">
      <w:pPr>
        <w:jc w:val="both"/>
        <w:rPr>
          <w:bCs/>
          <w:i/>
          <w:color w:val="002060"/>
          <w:sz w:val="16"/>
          <w:szCs w:val="16"/>
        </w:rPr>
      </w:pPr>
      <w:r w:rsidRPr="00405303">
        <w:rPr>
          <w:bCs/>
          <w:i/>
          <w:color w:val="002060"/>
          <w:sz w:val="16"/>
          <w:szCs w:val="16"/>
        </w:rPr>
        <w:t>Другие оборонные отрасли:</w:t>
      </w:r>
    </w:p>
    <w:p w14:paraId="6CF8744A" w14:textId="77777777" w:rsidR="001E56AB" w:rsidRPr="00405303" w:rsidRDefault="001E56AB" w:rsidP="00C15251">
      <w:pPr>
        <w:jc w:val="both"/>
        <w:rPr>
          <w:bCs/>
          <w:i/>
          <w:color w:val="002060"/>
          <w:sz w:val="16"/>
          <w:szCs w:val="16"/>
        </w:rPr>
      </w:pPr>
    </w:p>
    <w:p w14:paraId="12923C23" w14:textId="77777777" w:rsidR="001E56AB" w:rsidRPr="00405303" w:rsidRDefault="001E56AB" w:rsidP="00C15251">
      <w:pPr>
        <w:jc w:val="both"/>
        <w:rPr>
          <w:bCs/>
          <w:color w:val="002060"/>
          <w:sz w:val="16"/>
          <w:szCs w:val="16"/>
        </w:rPr>
      </w:pPr>
      <w:r w:rsidRPr="00405303">
        <w:rPr>
          <w:bCs/>
          <w:color w:val="002060"/>
          <w:sz w:val="16"/>
          <w:szCs w:val="16"/>
        </w:rPr>
        <w:t>В начале лета 1915 г. Комиссия ГАУ получила задание довести выпуск взрывчатых веществ до 165 тыс. пуд. в месяц. Для этого необходимо было располагать громадными ресурсами серной кислоты (РГВИА, ф. 504, оп. 17, д. 26, л. 17.). Перед войной производство серной кислоты в России составляло всего около 200 тыс. т, тогда как в США оно достигло 2,5 млн т в год, в Германии – 1,8 млн, в Англии - более 1 млн т (Лельчук B.C. Создание химической промышленности СССР. М., 1964. - с. 20). К началу XX в. основным сырьем для ее производства служил серный колчедан. Русский колчедан стал активно разрабатываться только после 1914 г., а ранее почти вся серная кислота изготавливалась из привозных минералов. Их поставщиками были пиренейские месторождения, расположенные вблизи моря, что очень удешевляло транспортировку продукта, Скандинавия и Турция. По данным Л.Ф. Фокина, в 1914 г. в Россию было ввезено 5049 тыс. пуд. серного колчедана (Фокин Л.Ф. Обзор химической промышленности в России. Ч.1. Пг., 1920; Ч. 2. Пг., 1922.).</w:t>
      </w:r>
    </w:p>
    <w:p w14:paraId="0F19CAEF" w14:textId="77777777" w:rsidR="001E56AB" w:rsidRPr="00405303" w:rsidRDefault="001E56AB" w:rsidP="00C15251">
      <w:pPr>
        <w:jc w:val="both"/>
        <w:rPr>
          <w:bCs/>
          <w:color w:val="002060"/>
          <w:sz w:val="16"/>
          <w:szCs w:val="16"/>
        </w:rPr>
      </w:pPr>
      <w:r w:rsidRPr="00405303">
        <w:rPr>
          <w:bCs/>
          <w:color w:val="002060"/>
          <w:sz w:val="16"/>
          <w:szCs w:val="16"/>
        </w:rPr>
        <w:t>Основные месторождения серного колчедана в России находятся на Урале. Их разработка началась только в 1880-х гг. По качеству уральский колчедан не уступал ввозимому минералу, однако отсутствие хороших путей сообщения для доставки уральского колчедана к железным дорогам и водным путям сообщения значительно повышало его стоимость, в то время как привозной продукт доставлялся в Россию дешевым водным путем. В 1914 г. общая добыча колчедана в России достигла 8 908,9 тыс. пуд. (Фокин Л.Ф. Обзор химической промышленности в России. Ч.1. Пг., 1920; Ч. 2. Пг., 1922.). С началом войны в связи с нарушением торговых и экономических связей России с другими странами, отечественные заводы, работавшие на привозном сырье, оказались под угрозой полной остановки. Поэтому еще 28 февраля 1915 г. на заседании Комиссии по заготовке взрывчатых веществ было предложено для лучшего обеспечения снабжения заводов серной кислотой осуществить реквизицию колчеданов на месте их добычи, улучшить подъездные пути к рудникам и вообще принять "самые энергичные меры для предотвращения грозящей остановки всей химической промышленности". Также предлагалось произвести учет всех наличных запасов уже добытого колчедана, имеющегося на заводах, и расходовать их централизованно, имея в виду в первую очередь потребность военного ведомства (РГВИА, ф. 507, оп. 2, д. 72, л. 30.) (11781).</w:t>
      </w:r>
    </w:p>
    <w:p w14:paraId="6B8AD97C" w14:textId="77777777" w:rsidR="001E56AB" w:rsidRPr="00405303" w:rsidRDefault="001E56AB" w:rsidP="00C15251">
      <w:pPr>
        <w:jc w:val="both"/>
        <w:rPr>
          <w:bCs/>
          <w:color w:val="002060"/>
          <w:sz w:val="16"/>
          <w:szCs w:val="16"/>
        </w:rPr>
      </w:pPr>
    </w:p>
    <w:p w14:paraId="48C65FC2" w14:textId="77777777" w:rsidR="001E56AB" w:rsidRPr="00405303" w:rsidRDefault="001E56AB" w:rsidP="00C15251">
      <w:pPr>
        <w:jc w:val="both"/>
        <w:rPr>
          <w:bCs/>
          <w:i/>
          <w:color w:val="002060"/>
          <w:sz w:val="16"/>
          <w:szCs w:val="16"/>
        </w:rPr>
      </w:pPr>
      <w:r w:rsidRPr="00405303">
        <w:rPr>
          <w:bCs/>
          <w:i/>
          <w:color w:val="002060"/>
          <w:sz w:val="16"/>
          <w:szCs w:val="16"/>
        </w:rPr>
        <w:t>Армия:</w:t>
      </w:r>
    </w:p>
    <w:p w14:paraId="7D547D19" w14:textId="77777777" w:rsidR="001E56AB" w:rsidRPr="00405303" w:rsidRDefault="001E56AB" w:rsidP="00C15251">
      <w:pPr>
        <w:jc w:val="both"/>
        <w:rPr>
          <w:bCs/>
          <w:i/>
          <w:color w:val="002060"/>
          <w:sz w:val="16"/>
          <w:szCs w:val="16"/>
        </w:rPr>
      </w:pPr>
    </w:p>
    <w:p w14:paraId="2D50304E" w14:textId="77777777" w:rsidR="001E56AB" w:rsidRPr="00405303" w:rsidRDefault="001E56AB" w:rsidP="00C15251">
      <w:pPr>
        <w:jc w:val="both"/>
        <w:rPr>
          <w:bCs/>
          <w:color w:val="002060"/>
          <w:sz w:val="16"/>
          <w:szCs w:val="16"/>
        </w:rPr>
      </w:pPr>
      <w:r w:rsidRPr="00405303">
        <w:rPr>
          <w:bCs/>
          <w:color w:val="002060"/>
          <w:sz w:val="16"/>
          <w:szCs w:val="16"/>
        </w:rPr>
        <w:t>Ле</w:t>
      </w:r>
      <w:r w:rsidRPr="00405303">
        <w:rPr>
          <w:bCs/>
          <w:color w:val="002060"/>
          <w:sz w:val="16"/>
          <w:szCs w:val="16"/>
        </w:rPr>
        <w:softHyphen/>
        <w:t>том-осенью 1915 г. Россия потеряла все крепости на западной границе: 22 июля (4 августа) войска оставили Ивангород, на следующий день — Вар</w:t>
      </w:r>
      <w:r w:rsidRPr="00405303">
        <w:rPr>
          <w:bCs/>
          <w:color w:val="002060"/>
          <w:sz w:val="16"/>
          <w:szCs w:val="16"/>
        </w:rPr>
        <w:softHyphen/>
        <w:t>шаву, 6 (19) августа после обстрела сдался Новогеоргиевск, 9 (22) августа русские оставили Осовец, в тот же день сдалась крепость Ковно, брошенная своим комендантом, 12 (23) августа был оставлен Брест-Литовск (20120).</w:t>
      </w:r>
    </w:p>
    <w:p w14:paraId="7859DC80" w14:textId="77777777" w:rsidR="001E56AB" w:rsidRPr="00405303" w:rsidRDefault="001E56AB" w:rsidP="00C15251">
      <w:pPr>
        <w:jc w:val="both"/>
        <w:rPr>
          <w:bCs/>
          <w:color w:val="002060"/>
          <w:sz w:val="16"/>
          <w:szCs w:val="16"/>
        </w:rPr>
      </w:pPr>
    </w:p>
    <w:p w14:paraId="2A6D153C" w14:textId="77777777" w:rsidR="001E56AB" w:rsidRPr="00405303" w:rsidRDefault="001E56AB" w:rsidP="00C15251">
      <w:pPr>
        <w:jc w:val="both"/>
        <w:rPr>
          <w:bCs/>
          <w:i/>
          <w:color w:val="002060"/>
          <w:sz w:val="16"/>
          <w:szCs w:val="16"/>
        </w:rPr>
      </w:pPr>
      <w:r w:rsidRPr="00405303">
        <w:rPr>
          <w:bCs/>
          <w:i/>
          <w:color w:val="002060"/>
          <w:sz w:val="16"/>
          <w:szCs w:val="16"/>
        </w:rPr>
        <w:t>Авиация и воздухоплавание Германии:</w:t>
      </w:r>
    </w:p>
    <w:p w14:paraId="35D466A7" w14:textId="77777777" w:rsidR="001E56AB" w:rsidRPr="00405303" w:rsidRDefault="001E56AB" w:rsidP="00C15251">
      <w:pPr>
        <w:jc w:val="both"/>
        <w:rPr>
          <w:bCs/>
          <w:i/>
          <w:color w:val="002060"/>
          <w:sz w:val="16"/>
          <w:szCs w:val="16"/>
        </w:rPr>
      </w:pPr>
    </w:p>
    <w:p w14:paraId="3072F5ED" w14:textId="77777777" w:rsidR="001E56AB" w:rsidRPr="00405303" w:rsidRDefault="001E56AB" w:rsidP="00C15251">
      <w:pPr>
        <w:shd w:val="clear" w:color="auto" w:fill="FFFFFF"/>
        <w:jc w:val="both"/>
        <w:rPr>
          <w:bCs/>
          <w:color w:val="002060"/>
          <w:sz w:val="16"/>
          <w:szCs w:val="16"/>
        </w:rPr>
      </w:pPr>
      <w:r w:rsidRPr="00405303">
        <w:rPr>
          <w:bCs/>
          <w:color w:val="002060"/>
          <w:sz w:val="16"/>
          <w:szCs w:val="16"/>
        </w:rPr>
        <w:t>В начале лета 1915 г. завод «Фоккер» в предместье Берлина Герризе сдал первые серийные «Айндеккеры», построенные по типу доработанного M.5K/MG — дело пошло, и бюджетные деньги потекли в кассу фирмы рекой, причем в основном в виде авансов и кредитов за заказанные, но не сделанные пока самолеты. Летом 1915 г. все наличные M.5K/MG были отправлены на Французский фронт. Пилоту 6-го полевого авиаотряда (FFA 6) Паршау, а затем и другим летчикам их дали как дополнительные — они должны были лишь охранять основные самолеты-разведчики от французских истребителей. Идея активных действий истребителей, т. е. борьбы за господство в воздухе, в головы немецких военачальников пока не пришла (22750).</w:t>
      </w:r>
    </w:p>
    <w:p w14:paraId="45515618" w14:textId="77777777" w:rsidR="001E56AB" w:rsidRPr="00405303" w:rsidRDefault="001E56AB" w:rsidP="00C15251">
      <w:pPr>
        <w:shd w:val="clear" w:color="auto" w:fill="FFFFFF"/>
        <w:jc w:val="both"/>
        <w:rPr>
          <w:bCs/>
          <w:color w:val="002060"/>
          <w:sz w:val="16"/>
          <w:szCs w:val="16"/>
        </w:rPr>
      </w:pPr>
    </w:p>
    <w:p w14:paraId="5C60BE1E" w14:textId="77777777" w:rsidR="001E56AB" w:rsidRPr="00405303" w:rsidRDefault="001E56AB" w:rsidP="00C15251">
      <w:pPr>
        <w:jc w:val="both"/>
        <w:rPr>
          <w:bCs/>
          <w:color w:val="002060"/>
          <w:sz w:val="16"/>
          <w:szCs w:val="16"/>
        </w:rPr>
      </w:pPr>
      <w:r w:rsidRPr="00405303">
        <w:rPr>
          <w:bCs/>
          <w:color w:val="002060"/>
          <w:sz w:val="16"/>
          <w:szCs w:val="16"/>
        </w:rPr>
        <w:lastRenderedPageBreak/>
        <w:t>В конце лета 1915 года Петер Штрассер решил испытать новую стратегию воздушной войны — массированный налет. Противовоздушная оборона Британских островов способна бороться с одиночными рейдерами, рассуждал Штрассер. Но если в бомбардировке примут участие сразу несколько дирижаблей? Вряд ли расчеты прожекторов и зенитных орудий смогут правильно распределять цели и вести эффективный огонь по появляющимся с разных сторон цеппелинам (11324).</w:t>
      </w:r>
    </w:p>
    <w:p w14:paraId="066A7838" w14:textId="77777777" w:rsidR="001E56AB" w:rsidRPr="00405303" w:rsidRDefault="001E56AB" w:rsidP="00C15251">
      <w:pPr>
        <w:jc w:val="both"/>
        <w:rPr>
          <w:bCs/>
          <w:i/>
          <w:color w:val="002060"/>
          <w:sz w:val="16"/>
          <w:szCs w:val="16"/>
        </w:rPr>
      </w:pPr>
    </w:p>
    <w:p w14:paraId="3D929E5D" w14:textId="77777777" w:rsidR="001E56AB" w:rsidRPr="00405303" w:rsidRDefault="001E56AB" w:rsidP="00C15251">
      <w:pPr>
        <w:jc w:val="both"/>
        <w:rPr>
          <w:bCs/>
          <w:color w:val="002060"/>
          <w:sz w:val="16"/>
          <w:szCs w:val="16"/>
        </w:rPr>
      </w:pPr>
      <w:r w:rsidRPr="00405303">
        <w:rPr>
          <w:bCs/>
          <w:color w:val="002060"/>
          <w:sz w:val="16"/>
          <w:szCs w:val="16"/>
        </w:rPr>
        <w:t xml:space="preserve">В конце лета 1915 года, находясь в Бранденбурге, я получил довольно длинную телеграмму от отца Гельмута. В ней мне предлагалось прибыть [100] 1 сентября в Штутгарт в дом Клейна, директора одного из заводов, принадлежавших промышленнику Бошу. </w:t>
      </w:r>
    </w:p>
    <w:p w14:paraId="3CD21B18" w14:textId="77777777" w:rsidR="001E56AB" w:rsidRPr="00405303" w:rsidRDefault="001E56AB" w:rsidP="00C15251">
      <w:pPr>
        <w:jc w:val="both"/>
        <w:rPr>
          <w:bCs/>
          <w:color w:val="002060"/>
          <w:sz w:val="16"/>
          <w:szCs w:val="16"/>
        </w:rPr>
      </w:pPr>
      <w:r w:rsidRPr="00405303">
        <w:rPr>
          <w:bCs/>
          <w:color w:val="002060"/>
          <w:sz w:val="16"/>
          <w:szCs w:val="16"/>
        </w:rPr>
        <w:t xml:space="preserve">Клейна я знал лично и познакомился с ним, когда он приобретал в собственное пользование один из самолетов компании «Альбатрос». Он имел в Штутгарте дом, но жил в нем мало. Основным местом его жительства было небольшое поместье на берегу озера Бодензее. Мы с Гельмутом Хиртом доставили купленный им за 15 000 марок самолет в его загородный дом. Клейн встретил нас в рабочей одежде с инструментом в руках. Он собственноручно чинил крышу большого сарая, куда хотел поставить доставленный нами самолет. Директор, который сам чинит крышу, произвел на меня сильное впечатление, и я проникся к нему уважением. Увидев в телеграмме его фамилию, я тотчас же решил выехать в Штутгарт. </w:t>
      </w:r>
    </w:p>
    <w:p w14:paraId="6366423B" w14:textId="77777777" w:rsidR="001E56AB" w:rsidRPr="00405303" w:rsidRDefault="001E56AB" w:rsidP="00C15251">
      <w:pPr>
        <w:jc w:val="both"/>
        <w:rPr>
          <w:bCs/>
          <w:color w:val="002060"/>
          <w:sz w:val="16"/>
          <w:szCs w:val="16"/>
        </w:rPr>
      </w:pPr>
      <w:r w:rsidRPr="00405303">
        <w:rPr>
          <w:bCs/>
          <w:color w:val="002060"/>
          <w:sz w:val="16"/>
          <w:szCs w:val="16"/>
        </w:rPr>
        <w:t xml:space="preserve">В Штутгарте я оказался под вечер и поехал домой к Клейну. У него собралось довольно интересное общество, которое, откровенно говоря, привело меня в некоторое смущение. Первое, что бросилось мне в глаза, это круглая голова и большие белые усы графа Цеппелина. Передо мной был человек, которому я благодарен за то, что он своим подвигом привел меня в авиацию. Кроме того, я увидел окладистую бороду Роберта Боша, одного из крупных промышленников Германии. Здесь был и отец Гельмута Хирта, который мне слегка поклонился. Клейн представил меня собравшимся и сообщил все, что знал обо мне. Меня коротко ввели в курс дела. </w:t>
      </w:r>
    </w:p>
    <w:p w14:paraId="6507BB75" w14:textId="77777777" w:rsidR="001E56AB" w:rsidRPr="00405303" w:rsidRDefault="001E56AB" w:rsidP="00C15251">
      <w:pPr>
        <w:jc w:val="both"/>
        <w:rPr>
          <w:bCs/>
          <w:color w:val="002060"/>
          <w:sz w:val="16"/>
          <w:szCs w:val="16"/>
        </w:rPr>
      </w:pPr>
      <w:r w:rsidRPr="00405303">
        <w:rPr>
          <w:bCs/>
          <w:color w:val="002060"/>
          <w:sz w:val="16"/>
          <w:szCs w:val="16"/>
        </w:rPr>
        <w:t xml:space="preserve">Старый граф Цеппелин, осознавший, что его военные дирижабли к тому времени стали прекрасной мишенью для самолетов Антанты, прибыл сюда с единственным желанием создать большой самолет или дирижабль, который мог бы сбросить огромную бомбу на лондонскую гавань. Он полагал, что волна от такого взрыва потопит там все суда. Участники совещания пытались доказать ему, что взрыв от большой бомбы поднимет воду вверх и не создаст достаточно мощной волны, а поэтому его идея ошибочна. Цеппелин не был согласен с выдвинутыми доводами, но спорить прекратил. </w:t>
      </w:r>
    </w:p>
    <w:p w14:paraId="74AF522A" w14:textId="77777777" w:rsidR="001E56AB" w:rsidRPr="00405303" w:rsidRDefault="001E56AB" w:rsidP="00C15251">
      <w:pPr>
        <w:jc w:val="both"/>
        <w:rPr>
          <w:bCs/>
          <w:color w:val="002060"/>
          <w:sz w:val="16"/>
          <w:szCs w:val="16"/>
        </w:rPr>
      </w:pPr>
      <w:r w:rsidRPr="00405303">
        <w:rPr>
          <w:bCs/>
          <w:color w:val="002060"/>
          <w:sz w:val="16"/>
          <w:szCs w:val="16"/>
        </w:rPr>
        <w:t xml:space="preserve">Выступавший в качестве консультанта профессор Солман доказывал, что ни дирижаблестроение, ни самолетостроение не в состоянии на нынешнем этапе создать конструкцию летательного аппарата, способного произвести такую бомбардировку. В заключение своего выступления, ссылаясь на Роберта Боша, он сказал, что у того имеется план создания большого бомбардировщика, который вполне можно реализовать. Взявший слово Бош заявил, что он готов представить собравшимся план и попытался вкратце изложить его суть. Из его доклада выяснилось, что идея большого бомбардировщика возникла у Гельмута Хирта, о чем он и сообщил своему отцу. Сам Бош узнал о ней от старого Хирта. В своем письме Гельмут Хирт также сообщал отцу, что без моей помощи такой самолет невозможно будет построить. Поэтому меня пригласили в дом Клейна для важного разговора. [101] </w:t>
      </w:r>
    </w:p>
    <w:p w14:paraId="04F00D39" w14:textId="77777777" w:rsidR="001E56AB" w:rsidRPr="00405303" w:rsidRDefault="001E56AB" w:rsidP="00C15251">
      <w:pPr>
        <w:jc w:val="both"/>
        <w:rPr>
          <w:bCs/>
          <w:color w:val="002060"/>
          <w:sz w:val="16"/>
          <w:szCs w:val="16"/>
        </w:rPr>
      </w:pPr>
      <w:r w:rsidRPr="00405303">
        <w:rPr>
          <w:bCs/>
          <w:color w:val="002060"/>
          <w:sz w:val="16"/>
          <w:szCs w:val="16"/>
        </w:rPr>
        <w:t xml:space="preserve">Мы долго обсуждали возможную конструкцию аэроплана, способного производить бомбардировку по Лондону. В конце совещания я заявил, что смогу спроектировать такой самолет, но для теоретических расчетов и деталировки его мне нужна помощь. В теоретическом плане я просил привлечь к работе своего бывшего преподавателя профессора Баумана. Собравшиеся согласились. Граф Цеппелин, посмотрев на меня маленькими живыми глазами, на прощание сказал: «Я полагаю, что завтра мы совместно с господином Хейнкелём и господином Гельмутом Хиртом подведем окончательные итоги нашего совещания». </w:t>
      </w:r>
    </w:p>
    <w:p w14:paraId="0837EFD8" w14:textId="77777777" w:rsidR="001E56AB" w:rsidRPr="00405303" w:rsidRDefault="001E56AB" w:rsidP="00C15251">
      <w:pPr>
        <w:jc w:val="both"/>
        <w:rPr>
          <w:bCs/>
          <w:color w:val="002060"/>
          <w:sz w:val="16"/>
          <w:szCs w:val="16"/>
        </w:rPr>
      </w:pPr>
      <w:r w:rsidRPr="00405303">
        <w:rPr>
          <w:bCs/>
          <w:color w:val="002060"/>
          <w:sz w:val="16"/>
          <w:szCs w:val="16"/>
        </w:rPr>
        <w:t xml:space="preserve">На другой день, довольно рано, на двух автомобилях мы выехали в Менц. В первом находился граф Цеппелин, одетый в генеральскую форму со всеми регалиями. В деревнях, через которые мы следовали, все узнавали графа Цеппелина и приветствовали его громкими криками «Ура!». Во втором автомобиле ехал я с профессором Бауманом, которого пригласили принять участие в нашей работе. Вместо восторга и оваций нам доставалась дорожная пыль от первой машины. Она попадала в глаза, уши и рот. Перед обедом мы были в Менце — Гельмут Хирт нас уже ждал. Вместе с ним был Клаудиус Дорнье, работавший у Цеппелина. Я впервые видел Дорнье. Он показался мне замкнутым человеком. Эта замкнутость мне вначале показалась наигранной. Но позже я убедился, что таким он был всегда. </w:t>
      </w:r>
    </w:p>
    <w:p w14:paraId="64F8E46B" w14:textId="77777777" w:rsidR="001E56AB" w:rsidRPr="00405303" w:rsidRDefault="001E56AB" w:rsidP="00C15251">
      <w:pPr>
        <w:jc w:val="both"/>
        <w:rPr>
          <w:bCs/>
          <w:color w:val="002060"/>
          <w:sz w:val="16"/>
          <w:szCs w:val="16"/>
        </w:rPr>
      </w:pPr>
      <w:r w:rsidRPr="00405303">
        <w:rPr>
          <w:bCs/>
          <w:color w:val="002060"/>
          <w:sz w:val="16"/>
          <w:szCs w:val="16"/>
        </w:rPr>
        <w:t xml:space="preserve">Перед обедом началось совещание. В конце его мы приняли решение создать рабочую группу в составе профессора Баумана и меня. По моей просьбе группа должна была работать в Бранденбурге. Я был загружен работой на Бранденбургском авиационном заводе и проектированию бомбардировщика мог отводить только свое свободное время. Наше сообщество из трех человек было названо «Бюро по опытному строительству трехмоторного самолета». Мы начали энергично работать. Спустя некоторое время выяснилось, что основная работа запущена. Пришлось деятельность в этом конструкторском бюро отодвинуть на второй план. Когда проект трехмоторного самолета в основном был закончен, «Бюро по опытному строительству трехмоторного самолета» перебралось в один из цехов Готского вагоностроительного завода. Сделанный там трехмоторный бомбардировщик стал называться «Гота». Таким образом, благодаря графу Цеппелину, я приобрел опыт в создании многомоторных самолетов». Несмотря на возраст — в июле 1916 года ему исполнилось 78 лет — фон Цеппелин выглядел прекрасно. Эрнест Леман, который весной 1916 года по служебным делам встретился с фон Цеппелином, нашел его столь же энергичным, как и обычно. В феврале 1917 года, во время посещения аэровоздушной выставки, проходившей в Берлине, у графа неожиданно воспалился кишечник. Была произведена успешная операция, но, как говорится, беда не приходит одна. В больнице Цеппелин заболел пневмонией, и уже 8 марта его не стало. [102] </w:t>
      </w:r>
    </w:p>
    <w:p w14:paraId="3B5FCA7E" w14:textId="77777777" w:rsidR="001E56AB" w:rsidRPr="00405303" w:rsidRDefault="001E56AB" w:rsidP="00C15251">
      <w:pPr>
        <w:jc w:val="both"/>
        <w:rPr>
          <w:bCs/>
          <w:color w:val="002060"/>
          <w:sz w:val="16"/>
          <w:szCs w:val="16"/>
        </w:rPr>
      </w:pPr>
      <w:r w:rsidRPr="00405303">
        <w:rPr>
          <w:bCs/>
          <w:color w:val="002060"/>
          <w:sz w:val="16"/>
          <w:szCs w:val="16"/>
        </w:rPr>
        <w:t>Во время похорон над Вюртембергом, под торжественный перезвон колоколов, летали два цеппелина, драпированные в траурные черные цвета (11324).</w:t>
      </w:r>
    </w:p>
    <w:p w14:paraId="64E813A5" w14:textId="77777777" w:rsidR="001E56AB" w:rsidRPr="00405303" w:rsidRDefault="001E56AB" w:rsidP="00C15251">
      <w:pPr>
        <w:shd w:val="clear" w:color="auto" w:fill="FFFFFF"/>
        <w:jc w:val="both"/>
        <w:rPr>
          <w:bCs/>
          <w:i/>
          <w:color w:val="002060"/>
          <w:sz w:val="16"/>
          <w:szCs w:val="16"/>
        </w:rPr>
      </w:pPr>
    </w:p>
    <w:p w14:paraId="3F07B2BE"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2560F4B2" w14:textId="77777777" w:rsidR="004B4E35" w:rsidRPr="00405303" w:rsidRDefault="004B4E35" w:rsidP="00C15251">
      <w:pPr>
        <w:jc w:val="both"/>
        <w:rPr>
          <w:bCs/>
          <w:i/>
          <w:color w:val="002060"/>
          <w:sz w:val="16"/>
          <w:szCs w:val="16"/>
        </w:rPr>
      </w:pPr>
    </w:p>
    <w:p w14:paraId="13982A0E" w14:textId="44607D37" w:rsidR="004B4E35" w:rsidRPr="00405303" w:rsidRDefault="00DB7538" w:rsidP="00C15251">
      <w:pPr>
        <w:shd w:val="clear" w:color="auto" w:fill="FFFFFF"/>
        <w:jc w:val="both"/>
        <w:rPr>
          <w:bCs/>
          <w:color w:val="002060"/>
          <w:sz w:val="16"/>
          <w:szCs w:val="16"/>
        </w:rPr>
      </w:pPr>
      <w:r w:rsidRPr="00405303">
        <w:rPr>
          <w:bCs/>
          <w:color w:val="002060"/>
          <w:sz w:val="16"/>
          <w:szCs w:val="16"/>
        </w:rPr>
        <w:t>К</w:t>
      </w:r>
      <w:r w:rsidR="009E6F82" w:rsidRPr="00405303">
        <w:rPr>
          <w:bCs/>
          <w:color w:val="002060"/>
          <w:sz w:val="16"/>
          <w:szCs w:val="16"/>
        </w:rPr>
        <w:t xml:space="preserve"> середине 1915 г. часть </w:t>
      </w:r>
      <w:r w:rsidRPr="00405303">
        <w:rPr>
          <w:bCs/>
          <w:color w:val="002060"/>
          <w:sz w:val="16"/>
          <w:szCs w:val="16"/>
        </w:rPr>
        <w:t>летающих лоддк «Кер</w:t>
      </w:r>
      <w:r w:rsidRPr="00405303">
        <w:rPr>
          <w:bCs/>
          <w:color w:val="002060"/>
          <w:sz w:val="16"/>
          <w:szCs w:val="16"/>
        </w:rPr>
        <w:softHyphen/>
        <w:t xml:space="preserve">тисс Ф» </w:t>
      </w:r>
      <w:r w:rsidR="009E6F82" w:rsidRPr="00405303">
        <w:rPr>
          <w:bCs/>
          <w:color w:val="002060"/>
          <w:sz w:val="16"/>
          <w:szCs w:val="16"/>
        </w:rPr>
        <w:t>продолжала служить. Аппараты, однако, требовали временами серьезного ремонта, тогда как мастерские Авиации в Севастополе, с их ограниченными про</w:t>
      </w:r>
      <w:r w:rsidR="009E6F82" w:rsidRPr="00405303">
        <w:rPr>
          <w:bCs/>
          <w:color w:val="002060"/>
          <w:sz w:val="16"/>
          <w:szCs w:val="16"/>
        </w:rPr>
        <w:softHyphen/>
        <w:t>изводственно-техническими возможностями, оказались не в состоянии выполнять такую работу. Застав</w:t>
      </w:r>
      <w:r w:rsidR="009E6F82" w:rsidRPr="00405303">
        <w:rPr>
          <w:bCs/>
          <w:color w:val="002060"/>
          <w:sz w:val="16"/>
          <w:szCs w:val="16"/>
        </w:rPr>
        <w:softHyphen/>
        <w:t>ляя искать помощи частного изготовителя, положение осложнялось еще и тем, что к данйому времени все имевшиеся в распоряжении гидроаэропланы успели устареть, а новые еще не появились. Наряду с черно</w:t>
      </w:r>
      <w:r w:rsidR="009E6F82" w:rsidRPr="00405303">
        <w:rPr>
          <w:bCs/>
          <w:color w:val="002060"/>
          <w:sz w:val="16"/>
          <w:szCs w:val="16"/>
        </w:rPr>
        <w:softHyphen/>
        <w:t>морскими авиаторами опасность такого состояния сознавали и в Воздухоплавательном отделении МГШ, где родился план, предусматривавший как приобретение лицензии фирмы Кертисса на выпуск летаю</w:t>
      </w:r>
      <w:r w:rsidR="009E6F82" w:rsidRPr="00405303">
        <w:rPr>
          <w:bCs/>
          <w:color w:val="002060"/>
          <w:sz w:val="16"/>
          <w:szCs w:val="16"/>
        </w:rPr>
        <w:softHyphen/>
        <w:t>щих лодок, так и их нелицензированное производство в случае возникновения каких-либо препятствий на законном пути. Для осуществления программы и проведения подготовительных мероприятий старую кертиссовскую лодку модели Ф с флотским номером 18, списанную 7 мая 1915 г., отправили на фирму С. С. Щетинина и подвергли там тщательному обследованию. Как и все командование, посвященное в столь щепетильное дело, начальник Авиации Черноморского флота И. И. Стаховский надеялся на быс</w:t>
      </w:r>
      <w:r w:rsidR="009E6F82" w:rsidRPr="00405303">
        <w:rPr>
          <w:bCs/>
          <w:color w:val="002060"/>
          <w:sz w:val="16"/>
          <w:szCs w:val="16"/>
        </w:rPr>
        <w:softHyphen/>
        <w:t>трое развитие событий, но в полученном им докладе от 26 мая сообщалось:</w:t>
      </w:r>
    </w:p>
    <w:p w14:paraId="4F92294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«&lt;...&gt; Щетинин к изготовлению запасных частей и старого типа лодок Кертисса еще не приступил. Он говорит, что поздно получил образцы, сейчас заканчивает чертежи и сроч</w:t>
      </w:r>
      <w:r w:rsidRPr="00405303">
        <w:rPr>
          <w:bCs/>
          <w:color w:val="002060"/>
          <w:sz w:val="16"/>
          <w:szCs w:val="16"/>
        </w:rPr>
        <w:softHyphen/>
        <w:t>но дает в работу &lt;...»&gt; (2808).</w:t>
      </w:r>
    </w:p>
    <w:p w14:paraId="3547ADD1" w14:textId="77777777" w:rsidR="004B4E35" w:rsidRPr="00405303" w:rsidRDefault="004B4E35" w:rsidP="00C15251">
      <w:pPr>
        <w:shd w:val="clear" w:color="auto" w:fill="FFFFFF"/>
        <w:jc w:val="both"/>
        <w:rPr>
          <w:bCs/>
          <w:color w:val="002060"/>
          <w:sz w:val="16"/>
          <w:szCs w:val="16"/>
        </w:rPr>
      </w:pPr>
    </w:p>
    <w:p w14:paraId="0989A14C" w14:textId="77777777" w:rsidR="00AE08F2" w:rsidRPr="00405303" w:rsidRDefault="00AE08F2" w:rsidP="00AE08F2">
      <w:pPr>
        <w:jc w:val="both"/>
        <w:rPr>
          <w:color w:val="0070C0"/>
          <w:sz w:val="16"/>
          <w:szCs w:val="16"/>
        </w:rPr>
      </w:pPr>
      <w:r w:rsidRPr="00405303">
        <w:rPr>
          <w:color w:val="0070C0"/>
          <w:sz w:val="16"/>
          <w:szCs w:val="16"/>
        </w:rPr>
        <w:t>До середины 1915 г. самолеты «Илья Муромец» серии «Б» применялись главным образом в качестве учебных (24965).</w:t>
      </w:r>
    </w:p>
    <w:p w14:paraId="7FFD98A7" w14:textId="77777777" w:rsidR="00AE08F2" w:rsidRPr="00405303" w:rsidRDefault="00AE08F2" w:rsidP="00AE08F2">
      <w:pPr>
        <w:jc w:val="both"/>
        <w:rPr>
          <w:color w:val="0070C0"/>
          <w:sz w:val="16"/>
          <w:szCs w:val="16"/>
        </w:rPr>
      </w:pPr>
    </w:p>
    <w:p w14:paraId="3ED639C7" w14:textId="77777777" w:rsidR="00AE08F2" w:rsidRPr="00405303" w:rsidRDefault="00AE08F2" w:rsidP="00AE08F2">
      <w:pPr>
        <w:jc w:val="both"/>
        <w:rPr>
          <w:color w:val="0070C0"/>
          <w:sz w:val="16"/>
          <w:szCs w:val="16"/>
        </w:rPr>
      </w:pPr>
      <w:r w:rsidRPr="00405303">
        <w:rPr>
          <w:color w:val="0070C0"/>
          <w:sz w:val="16"/>
          <w:szCs w:val="16"/>
          <w:shd w:val="clear" w:color="auto" w:fill="FFFFFF"/>
        </w:rPr>
        <w:t>В середине 1915 г. «Сикорский- маленький», как иногда называли С-16 в войсках, предполагалось использовать в ЭВК в основном для тренировок летчиков воздушных кораблей, а также в качестве «разведчиков при намечаемых налетах Эскадры на определенные пункты», а к концу этого года наметилось применение их в качестве «истребителей на боевых базах для защиты воздушных кораблей (25049).</w:t>
      </w:r>
    </w:p>
    <w:p w14:paraId="3B734B8E" w14:textId="77777777" w:rsidR="00AE08F2" w:rsidRPr="00405303" w:rsidRDefault="00AE08F2" w:rsidP="00AE08F2">
      <w:pPr>
        <w:jc w:val="both"/>
        <w:rPr>
          <w:color w:val="0070C0"/>
          <w:sz w:val="16"/>
          <w:szCs w:val="16"/>
        </w:rPr>
      </w:pPr>
    </w:p>
    <w:p w14:paraId="19E3F6E8" w14:textId="77777777" w:rsidR="004B4E35" w:rsidRPr="00405303" w:rsidRDefault="009E6F82" w:rsidP="00C15251">
      <w:pPr>
        <w:jc w:val="both"/>
        <w:rPr>
          <w:bCs/>
          <w:color w:val="002060"/>
          <w:sz w:val="16"/>
          <w:szCs w:val="16"/>
        </w:rPr>
      </w:pPr>
      <w:r w:rsidRPr="00405303">
        <w:rPr>
          <w:bCs/>
          <w:color w:val="002060"/>
          <w:sz w:val="16"/>
          <w:szCs w:val="16"/>
        </w:rPr>
        <w:t xml:space="preserve">Если в середине 1915 г. «Сикорский маленький» , как иногда называли С-16 в войсках, предполагалось использовать в ЭВК в основном для тренировок летчиков воздушных кораблей, а также в качестве «разведчиков при намечаемых налетах Эскадры на определенные пункты» , то к концу этого года наметилось применение их в качестве истребителей на боевых базах для защиты воздушных кораблей против налетов неприятельского воздушного флота» . По новым утвержденным штатам ЭВК в ее составе предполагалось иметь теперь помимо 12 учебных аппаратов школы Эскадры еще по 14 легких самолетов (4 истребителя, 4разведчика и 6тренировочных) в составе каждого боевого отряда, число которых увеличилось с двух до трех. Подобно большинству других скаутов, С-16 превращался в </w:t>
      </w:r>
      <w:r w:rsidRPr="00405303">
        <w:rPr>
          <w:bCs/>
          <w:color w:val="002060"/>
          <w:sz w:val="16"/>
          <w:szCs w:val="16"/>
        </w:rPr>
        <w:lastRenderedPageBreak/>
        <w:t>классический одноместный истребитель. Он стал, таким образом, первым истребителем отечественной конструкции. Изменение назначения самолета С-16 ознаменовалось разработкой для него стационарного бортового вооружения. Одним из главных пропагандистов создания истребительной авиации в российском воздушном флоте был лейтенант Г, И. Лавров. В 1915 г. он сделал ряд предложений по созданию авиационного вооружения и формированию отрядов истребителей. Осенью этого года им был разработан и построен в мастерских ЭВК образец первого в России синхронизатора или, как тогда называли, приспособления для автоматической стрельбы через винт (11188).</w:t>
      </w:r>
    </w:p>
    <w:p w14:paraId="5983DCCD" w14:textId="77777777" w:rsidR="004B4E35" w:rsidRPr="00405303" w:rsidRDefault="004B4E35" w:rsidP="00C15251">
      <w:pPr>
        <w:jc w:val="both"/>
        <w:rPr>
          <w:bCs/>
          <w:color w:val="002060"/>
          <w:sz w:val="16"/>
          <w:szCs w:val="16"/>
        </w:rPr>
      </w:pPr>
    </w:p>
    <w:p w14:paraId="32BA78FE" w14:textId="6B4DB124" w:rsidR="004B4E35" w:rsidRPr="00405303" w:rsidRDefault="009E6F82" w:rsidP="00C15251">
      <w:pPr>
        <w:jc w:val="both"/>
        <w:rPr>
          <w:bCs/>
          <w:color w:val="002060"/>
          <w:sz w:val="16"/>
          <w:szCs w:val="16"/>
        </w:rPr>
      </w:pPr>
      <w:r w:rsidRPr="00405303">
        <w:rPr>
          <w:bCs/>
          <w:color w:val="002060"/>
          <w:sz w:val="16"/>
          <w:szCs w:val="16"/>
        </w:rPr>
        <w:t xml:space="preserve">К середине 1915 г. на </w:t>
      </w:r>
      <w:r w:rsidR="00DB7538" w:rsidRPr="00405303">
        <w:rPr>
          <w:bCs/>
          <w:color w:val="002060"/>
          <w:sz w:val="16"/>
          <w:szCs w:val="16"/>
        </w:rPr>
        <w:t>«Авиабалте»</w:t>
      </w:r>
      <w:r w:rsidRPr="00405303">
        <w:rPr>
          <w:bCs/>
          <w:color w:val="002060"/>
          <w:sz w:val="16"/>
          <w:szCs w:val="16"/>
        </w:rPr>
        <w:t xml:space="preserve"> уже работало 425 человек, а в его парке насчитывалось более 50 современных станков (11230).</w:t>
      </w:r>
    </w:p>
    <w:p w14:paraId="36C07DEB" w14:textId="77777777" w:rsidR="004B4E35" w:rsidRPr="00405303" w:rsidRDefault="004B4E35" w:rsidP="00C15251">
      <w:pPr>
        <w:jc w:val="both"/>
        <w:rPr>
          <w:bCs/>
          <w:color w:val="002060"/>
          <w:sz w:val="16"/>
          <w:szCs w:val="16"/>
        </w:rPr>
      </w:pPr>
    </w:p>
    <w:p w14:paraId="2E5642CE" w14:textId="77777777" w:rsidR="000E47F3" w:rsidRPr="00405303" w:rsidRDefault="000E47F3" w:rsidP="00C15251">
      <w:pPr>
        <w:jc w:val="both"/>
        <w:rPr>
          <w:bCs/>
          <w:color w:val="002060"/>
          <w:sz w:val="16"/>
          <w:szCs w:val="16"/>
        </w:rPr>
      </w:pPr>
      <w:r w:rsidRPr="00405303">
        <w:rPr>
          <w:bCs/>
          <w:color w:val="002060"/>
          <w:sz w:val="16"/>
          <w:szCs w:val="16"/>
        </w:rPr>
        <w:t>К середине 1915 г. на заводе «Авиабалт» работало 425 человек, а в его парке насчитывалось более 50 современных станков (19963).</w:t>
      </w:r>
    </w:p>
    <w:p w14:paraId="3E4DB17A" w14:textId="77777777" w:rsidR="000E47F3" w:rsidRPr="00405303" w:rsidRDefault="000E47F3" w:rsidP="00C15251">
      <w:pPr>
        <w:jc w:val="both"/>
        <w:rPr>
          <w:bCs/>
          <w:color w:val="002060"/>
          <w:sz w:val="16"/>
          <w:szCs w:val="16"/>
        </w:rPr>
      </w:pPr>
    </w:p>
    <w:p w14:paraId="11AB6B74" w14:textId="7EA40398" w:rsidR="00E91F33" w:rsidRPr="00405303" w:rsidRDefault="00E91F33" w:rsidP="00C15251">
      <w:pPr>
        <w:jc w:val="both"/>
        <w:rPr>
          <w:bCs/>
          <w:color w:val="002060"/>
          <w:sz w:val="16"/>
          <w:szCs w:val="16"/>
        </w:rPr>
      </w:pPr>
      <w:r w:rsidRPr="00405303">
        <w:rPr>
          <w:bCs/>
          <w:color w:val="002060"/>
          <w:sz w:val="16"/>
          <w:szCs w:val="16"/>
        </w:rPr>
        <w:t>К середине 1915 г. на заводе уже работало 425 человек, а в его парке насчитывалось более 50 современных станков. Заказ на «Муромцев» был восстановлен, но их производство тормозилось из-за отсутствия свободных площадей и необходимости выполнения контракта по легким «Сикорским». Поскольку завод делал ставку на тяжелые машины, Правление</w:t>
      </w:r>
      <w:r w:rsidR="000F5756">
        <w:rPr>
          <w:bCs/>
          <w:color w:val="002060"/>
          <w:sz w:val="16"/>
          <w:szCs w:val="16"/>
        </w:rPr>
        <w:t xml:space="preserve"> </w:t>
      </w:r>
      <w:r w:rsidRPr="00405303">
        <w:rPr>
          <w:bCs/>
          <w:color w:val="002060"/>
          <w:sz w:val="16"/>
          <w:szCs w:val="16"/>
        </w:rPr>
        <w:t>РБВЗ</w:t>
      </w:r>
      <w:r w:rsidR="000F5756">
        <w:rPr>
          <w:bCs/>
          <w:color w:val="002060"/>
          <w:sz w:val="16"/>
          <w:szCs w:val="16"/>
        </w:rPr>
        <w:t xml:space="preserve"> </w:t>
      </w:r>
      <w:r w:rsidRPr="00405303">
        <w:rPr>
          <w:bCs/>
          <w:color w:val="002060"/>
          <w:sz w:val="16"/>
          <w:szCs w:val="16"/>
        </w:rPr>
        <w:t>вышло в ГВТУ с предложением поставить на ту же сумму контракта вместо легких аппаратов четыре «Муромца» для замены отработавших свой ресурс первых Кораблей. В июне 1915 г. ГВТУ согласились, и «Авиа-Балт» немедленно закрыл наряд очередными самолетами «Илья Муромец-В» (заводские № 158, 159, 163 и 165). Один из них (№ 159) был двухмоторным с «Санбимами» по 225 л. с. Эта машина стала последней специально созданной для учебных целей. В дальнейшем в эскадре в качестве учебных использовались отслужившие свой срок боевые самолеты. Следующие корабли «Илья Муромец-В» сдавались уже в счет заказа на 32 машины (15127).</w:t>
      </w:r>
    </w:p>
    <w:p w14:paraId="7845F4C3" w14:textId="77777777" w:rsidR="00E91F33" w:rsidRPr="00405303" w:rsidRDefault="00E91F33" w:rsidP="00C15251">
      <w:pPr>
        <w:jc w:val="both"/>
        <w:rPr>
          <w:bCs/>
          <w:color w:val="002060"/>
          <w:sz w:val="16"/>
          <w:szCs w:val="16"/>
        </w:rPr>
      </w:pPr>
    </w:p>
    <w:p w14:paraId="2ECBE2D0" w14:textId="77777777" w:rsidR="00E91F33" w:rsidRPr="00405303" w:rsidRDefault="00E91F33" w:rsidP="00C15251">
      <w:pPr>
        <w:jc w:val="both"/>
        <w:rPr>
          <w:bCs/>
          <w:color w:val="002060"/>
          <w:sz w:val="16"/>
          <w:szCs w:val="16"/>
        </w:rPr>
      </w:pPr>
      <w:r w:rsidRPr="00405303">
        <w:rPr>
          <w:bCs/>
          <w:color w:val="002060"/>
          <w:sz w:val="16"/>
          <w:szCs w:val="16"/>
        </w:rPr>
        <w:t>К середине 1915 г. капитану Орановскому удалось сконструировать вполне удовлетворительный тип авиационной бомбы, которая была принята на вооружение. Фугасные бомбы Орановского имели металлический корпус каплевидной формы и начинялись тротилом. Детонатором являлся небольшой заряд тетрила. Бомба снабжалась стабилизатором. Взрыватель донного типа с замедлением 0,13 с. имел ветрянку, которая предохраняла бомбу от преждевременного взрыва. После сброса бомбы ветрянка силою воздушного потока вывертывалась и освобождала ударник. Бомбы с таким взрывателем действовали безотказно.</w:t>
      </w:r>
    </w:p>
    <w:p w14:paraId="5EC916B5" w14:textId="77777777" w:rsidR="00E91F33" w:rsidRPr="00405303" w:rsidRDefault="00E91F33" w:rsidP="00C15251">
      <w:pPr>
        <w:jc w:val="both"/>
        <w:rPr>
          <w:bCs/>
          <w:color w:val="002060"/>
          <w:sz w:val="16"/>
          <w:szCs w:val="16"/>
        </w:rPr>
      </w:pPr>
      <w:r w:rsidRPr="00405303">
        <w:rPr>
          <w:bCs/>
          <w:color w:val="002060"/>
          <w:sz w:val="16"/>
          <w:szCs w:val="16"/>
        </w:rPr>
        <w:t>На фронте корпусные и армейские авиаотряды применяли фугасные бомбы системы Орановского массой 4, 6, 10, 16, 32 кг. Они сбрасывались в основном с самолетов "Вуазен" и "Фарман". Бомбы массой 48, 80, 160, 240 и 400 кг поступали в эскадру воздушных кораблей и сбрасывались на важные военные объекты противника. В начале 1916 г. на Балтийском судостроительном заводе были изготовлены авиабомбы массой 640 кг, предназначавшиеся для бомбардирования с самолетов "Илья Муромец" германской базы подводных лодок в оккупированной Либаве. Создание бомб такой массы было крупным достижением.</w:t>
      </w:r>
    </w:p>
    <w:p w14:paraId="63791317" w14:textId="77777777" w:rsidR="00E91F33" w:rsidRPr="00405303" w:rsidRDefault="00E91F33" w:rsidP="00C15251">
      <w:pPr>
        <w:jc w:val="both"/>
        <w:rPr>
          <w:bCs/>
          <w:color w:val="002060"/>
          <w:sz w:val="16"/>
          <w:szCs w:val="16"/>
        </w:rPr>
      </w:pPr>
      <w:r w:rsidRPr="00405303">
        <w:rPr>
          <w:bCs/>
          <w:color w:val="002060"/>
          <w:sz w:val="16"/>
          <w:szCs w:val="16"/>
        </w:rPr>
        <w:t xml:space="preserve">Были созданы также и осколочные авиабомбы массой 4 и 10кг с взрывателем того же типа, что и для фугасных авиабомб. В носок снаряда ввертывался упорный стержень длиною около Уз </w:t>
      </w:r>
      <w:proofErr w:type="gramStart"/>
      <w:r w:rsidRPr="00405303">
        <w:rPr>
          <w:bCs/>
          <w:color w:val="002060"/>
          <w:sz w:val="16"/>
          <w:szCs w:val="16"/>
        </w:rPr>
        <w:t>м.</w:t>
      </w:r>
      <w:proofErr w:type="gramEnd"/>
      <w:r w:rsidRPr="00405303">
        <w:rPr>
          <w:bCs/>
          <w:color w:val="002060"/>
          <w:sz w:val="16"/>
          <w:szCs w:val="16"/>
        </w:rPr>
        <w:t xml:space="preserve"> на конце которого находилась круглая пластинка, препятствовавшая углублению бомбы в землю. Это обеспечивало поверхностный разрыв и хорошее рассеивание осколков (18738).</w:t>
      </w:r>
    </w:p>
    <w:p w14:paraId="36DE446E" w14:textId="77777777" w:rsidR="00E91F33" w:rsidRPr="00405303" w:rsidRDefault="00E91F33" w:rsidP="00C15251">
      <w:pPr>
        <w:jc w:val="both"/>
        <w:rPr>
          <w:bCs/>
          <w:color w:val="002060"/>
          <w:sz w:val="16"/>
          <w:szCs w:val="16"/>
        </w:rPr>
      </w:pPr>
    </w:p>
    <w:p w14:paraId="07F3F918" w14:textId="77777777" w:rsidR="004B4E35" w:rsidRPr="00405303" w:rsidRDefault="009E6F82" w:rsidP="00C15251">
      <w:pPr>
        <w:jc w:val="both"/>
        <w:rPr>
          <w:bCs/>
          <w:color w:val="002060"/>
          <w:sz w:val="16"/>
          <w:szCs w:val="16"/>
        </w:rPr>
      </w:pPr>
      <w:r w:rsidRPr="00405303">
        <w:rPr>
          <w:bCs/>
          <w:color w:val="002060"/>
          <w:sz w:val="16"/>
          <w:szCs w:val="16"/>
        </w:rPr>
        <w:t>К середине 1915 г. на заводе Авиабалт уже работало 425 человек, а в его парке насчитывалось более 50 современных станков. В 1915 г. автомобильным отделением РБВЗ в Риге под руководством талантливого инженера В. В. Киреева, имевшего большой опыт работы на германских моторных заводах, был создан первый русский авиадвигатель водяного охлаждения — шестицилиндровый рядный РБВЗ-6 (иногда его называли РБЗ-6). Он внешне походил на немецкий «Мерседес», но был целиком изготовлен из отечественных материалов и по собственной технологии. Этот двигатель в 150–160 л. с. с небольшим миделем по габаритам был оптимальным для «Муромца». Он имел резерв для форсирования и, как большинство «земных» отечественных двигателей, был прост и надежен в эксплуатации. «Илья Муромец» тип «В» (заводской № 167) с первыми РБВЗ-6 был освящен 28 июля 1915 г. Этот корабль и «Киевский», оснащенный еще довоенными «Аргусами», были лучшими в эскадре.</w:t>
      </w:r>
    </w:p>
    <w:p w14:paraId="35A7CBFC" w14:textId="77777777" w:rsidR="004B4E35" w:rsidRPr="00405303" w:rsidRDefault="009E6F82" w:rsidP="00C15251">
      <w:pPr>
        <w:jc w:val="both"/>
        <w:rPr>
          <w:bCs/>
          <w:color w:val="002060"/>
          <w:sz w:val="16"/>
          <w:szCs w:val="16"/>
        </w:rPr>
      </w:pPr>
      <w:r w:rsidRPr="00405303">
        <w:rPr>
          <w:bCs/>
          <w:color w:val="002060"/>
          <w:sz w:val="16"/>
          <w:szCs w:val="16"/>
        </w:rPr>
        <w:t>Рижский завод начал наращивать выпуск, однако в связи с эвакуацией осенью 1915 г. производство РБВЗ-6 было временно прекращено. Трудности с организацией производства собственных двигателей вынудили правление РБВЗ искать подходящие моторы за границей. В Москве было налажено по лицензии производство звездообразных двигателей воздушного охлаждения «Сальмсон», однако первый опыт их эксплуатации на «Муромцах» уже был, и от них отказались. Моторы отличались капризностью и большим лобовым сопротивлением. Ставить же капоты-обтекатели Сикорский не хотел, опасаясь перегрева двигателей и сложности доступа к ним в полете.</w:t>
      </w:r>
    </w:p>
    <w:p w14:paraId="01495A38" w14:textId="77777777" w:rsidR="004B4E35" w:rsidRPr="00405303" w:rsidRDefault="009E6F82" w:rsidP="00C15251">
      <w:pPr>
        <w:jc w:val="both"/>
        <w:rPr>
          <w:bCs/>
          <w:color w:val="002060"/>
          <w:sz w:val="16"/>
          <w:szCs w:val="16"/>
        </w:rPr>
      </w:pPr>
      <w:r w:rsidRPr="00405303">
        <w:rPr>
          <w:bCs/>
          <w:color w:val="002060"/>
          <w:sz w:val="16"/>
          <w:szCs w:val="16"/>
        </w:rPr>
        <w:t>В 1915 г. военный агент русского правительства в Великобритании сообщил о готовности английского правительства предоставить России строящиеся там восьмицилиндровые V-образные двигатели «Санбим», показавшие неплохие качества на стендовых испытаниях. Специально для «Муромцев» их закупили несколько сот, а московская экипажная фабрика П. Ильина получила заказ на их производство по лицензии. Однако в реальных полевых условиях «Санбимы» оказались дрянью, сущим наказанием для механиков и пилотов. Вместо заявленных 150 л. с. они едва давали 120–130. Кроме того, двигатели оказались капризными в эксплуатации. Несмотря на все старания опытных механиков, их не могли довести до работоспособного состояния. Старший механик эскадры М. Н. Никольской вынужден был отправлять их по рекламации целыми партиями. Не помог и прибывший с фирмы механик. Двигатели по-прежнему недодавали мощность и были ненадежными. Летчики «Муромцев», оснащенных «Санбимами», опасались углубляться далеко в тыл противника, а если и летали туда, то заведомо шли на большой риск (11196).</w:t>
      </w:r>
    </w:p>
    <w:p w14:paraId="7616B762" w14:textId="77777777" w:rsidR="004B4E35" w:rsidRPr="00405303" w:rsidRDefault="004B4E35" w:rsidP="00C15251">
      <w:pPr>
        <w:jc w:val="both"/>
        <w:rPr>
          <w:bCs/>
          <w:color w:val="002060"/>
          <w:sz w:val="16"/>
          <w:szCs w:val="16"/>
        </w:rPr>
      </w:pPr>
    </w:p>
    <w:p w14:paraId="60862EC6" w14:textId="5F13DC95" w:rsidR="004B4E35" w:rsidRPr="00405303" w:rsidRDefault="00DB7538"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середине 1915 г. </w:t>
      </w:r>
      <w:r w:rsidRPr="00405303">
        <w:rPr>
          <w:bCs/>
          <w:color w:val="002060"/>
          <w:sz w:val="16"/>
          <w:szCs w:val="16"/>
        </w:rPr>
        <w:t>чтобы стимулировать совершенствование аэропланов, Главное во</w:t>
      </w:r>
      <w:r w:rsidRPr="00405303">
        <w:rPr>
          <w:bCs/>
          <w:color w:val="002060"/>
          <w:sz w:val="16"/>
          <w:szCs w:val="16"/>
        </w:rPr>
        <w:softHyphen/>
        <w:t xml:space="preserve">енно-техническое управление </w:t>
      </w:r>
      <w:r w:rsidR="009E6F82" w:rsidRPr="00405303">
        <w:rPr>
          <w:bCs/>
          <w:color w:val="002060"/>
          <w:sz w:val="16"/>
          <w:szCs w:val="16"/>
        </w:rPr>
        <w:t>разработало положе</w:t>
      </w:r>
      <w:r w:rsidR="009E6F82" w:rsidRPr="00405303">
        <w:rPr>
          <w:bCs/>
          <w:color w:val="002060"/>
          <w:sz w:val="16"/>
          <w:szCs w:val="16"/>
        </w:rPr>
        <w:softHyphen/>
        <w:t>ние о премиальной системе для создателей тяжелых кораблей. Заводу предоставлялось право на одном из самолётов серии производить усо</w:t>
      </w:r>
      <w:r w:rsidR="009E6F82" w:rsidRPr="00405303">
        <w:rPr>
          <w:bCs/>
          <w:color w:val="002060"/>
          <w:sz w:val="16"/>
          <w:szCs w:val="16"/>
        </w:rPr>
        <w:softHyphen/>
        <w:t>вершенствования. Премии устанавливались за горизонтальную и верти</w:t>
      </w:r>
      <w:r w:rsidR="009E6F82" w:rsidRPr="00405303">
        <w:rPr>
          <w:bCs/>
          <w:color w:val="002060"/>
          <w:sz w:val="16"/>
          <w:szCs w:val="16"/>
        </w:rPr>
        <w:softHyphen/>
        <w:t>кальную скорость, за грузоподъемность. Нормальной горизонтальной ско</w:t>
      </w:r>
      <w:r w:rsidR="009E6F82" w:rsidRPr="00405303">
        <w:rPr>
          <w:bCs/>
          <w:color w:val="002060"/>
          <w:sz w:val="16"/>
          <w:szCs w:val="16"/>
        </w:rPr>
        <w:softHyphen/>
        <w:t>ростью считалась скорость 100 км/ч. За каждый достигнутый километр прироста скорости от 100 до 105 км/ч уплачивалось 500 руб.; от 105 до 110км/ч- 1000руб., свыше 110 км/ч -до 2000 руб. Нормальной скороподъ</w:t>
      </w:r>
      <w:r w:rsidR="009E6F82" w:rsidRPr="00405303">
        <w:rPr>
          <w:bCs/>
          <w:color w:val="002060"/>
          <w:sz w:val="16"/>
          <w:szCs w:val="16"/>
        </w:rPr>
        <w:softHyphen/>
        <w:t>емностью на высоту в 1000 м считались 22 мин. Каждая минута экономии премировалась в размере 1000 руб. Премия за грузоподъемность выда</w:t>
      </w:r>
      <w:r w:rsidR="009E6F82" w:rsidRPr="00405303">
        <w:rPr>
          <w:bCs/>
          <w:color w:val="002060"/>
          <w:sz w:val="16"/>
          <w:szCs w:val="16"/>
        </w:rPr>
        <w:softHyphen/>
        <w:t>валась при условии, что полезная нагрузка превысит 1500 кг. За каждый килограмм сверх этой нормы уплачивалось: за первые 100 кг - 1000 руб. и за каждые последующие 100 кг считая до 1800 кг - по 2000 руб., а за каж</w:t>
      </w:r>
      <w:r w:rsidR="009E6F82" w:rsidRPr="00405303">
        <w:rPr>
          <w:bCs/>
          <w:color w:val="002060"/>
          <w:sz w:val="16"/>
          <w:szCs w:val="16"/>
        </w:rPr>
        <w:softHyphen/>
        <w:t>дые 100 кг сверх 1800 кг - по 3000 руб [33].</w:t>
      </w:r>
    </w:p>
    <w:p w14:paraId="16BD573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Эти требования военного ведомства дают представление о предель</w:t>
      </w:r>
      <w:r w:rsidRPr="00405303">
        <w:rPr>
          <w:bCs/>
          <w:color w:val="002060"/>
          <w:sz w:val="16"/>
          <w:szCs w:val="16"/>
        </w:rPr>
        <w:softHyphen/>
        <w:t>ных возможностях аэропланов того времени. Премиальная система за</w:t>
      </w:r>
      <w:r w:rsidRPr="00405303">
        <w:rPr>
          <w:bCs/>
          <w:color w:val="002060"/>
          <w:sz w:val="16"/>
          <w:szCs w:val="16"/>
        </w:rPr>
        <w:softHyphen/>
        <w:t>интересовывала заводских работников в улучшении качественных харак</w:t>
      </w:r>
      <w:r w:rsidRPr="00405303">
        <w:rPr>
          <w:bCs/>
          <w:color w:val="002060"/>
          <w:sz w:val="16"/>
          <w:szCs w:val="16"/>
        </w:rPr>
        <w:softHyphen/>
        <w:t>теристик выпускаемых аэропланов. Однако основной нажим на завод в этом направлении шел со стороны фронтовых работников. Эскадра воз</w:t>
      </w:r>
      <w:r w:rsidRPr="00405303">
        <w:rPr>
          <w:bCs/>
          <w:color w:val="002060"/>
          <w:sz w:val="16"/>
          <w:szCs w:val="16"/>
        </w:rPr>
        <w:softHyphen/>
        <w:t>душных кораблей неоднократно предъявляла заводу новые повышенные технические требования, и, как утверждало правление общества, «завод каждый раз беспрекословно подчинялся этим требованиям» [33] (11425).</w:t>
      </w:r>
    </w:p>
    <w:p w14:paraId="78C6D6E7" w14:textId="77777777" w:rsidR="004B4E35" w:rsidRPr="00405303" w:rsidRDefault="004B4E35" w:rsidP="00C15251">
      <w:pPr>
        <w:shd w:val="clear" w:color="auto" w:fill="FFFFFF"/>
        <w:jc w:val="both"/>
        <w:rPr>
          <w:bCs/>
          <w:color w:val="002060"/>
          <w:sz w:val="16"/>
          <w:szCs w:val="16"/>
        </w:rPr>
      </w:pPr>
    </w:p>
    <w:p w14:paraId="7F2F4F87" w14:textId="77777777" w:rsidR="004B4E35" w:rsidRPr="00405303" w:rsidRDefault="009E6F82" w:rsidP="00C15251">
      <w:pPr>
        <w:jc w:val="both"/>
        <w:rPr>
          <w:bCs/>
          <w:color w:val="002060"/>
          <w:sz w:val="16"/>
          <w:szCs w:val="16"/>
        </w:rPr>
      </w:pPr>
      <w:r w:rsidRPr="00405303">
        <w:rPr>
          <w:bCs/>
          <w:color w:val="002060"/>
          <w:sz w:val="16"/>
          <w:szCs w:val="16"/>
        </w:rPr>
        <w:t xml:space="preserve">В середине 1915 г. начались работы над созданием самолета "Лебедь"-ХII. В декабре взлетел первый прототип (зав. № 325) с мотором "Сальмсон" 130 л.с. Позже "движок" заменили на однотипный большей мощности - 140 л.с. Испытания проводил военный летчик Гренадерского корпусного авиаотряда поручик Василий Александрович Слепцов, командированный на завод Лебедева с фронта. 29 декабря 1915 г. он телеграфировал Августейшему Заведующему авиацией и воздухоплаванием в действующей армии Великому Князю Александру Михайловичу: "Лебедь-ХII с мотором "Сальмсон" лучше всех существующих аэропланов... необходим немедленный заказ для боевых испытаний". </w:t>
      </w:r>
    </w:p>
    <w:p w14:paraId="550AF8BC" w14:textId="77777777" w:rsidR="004B4E35" w:rsidRPr="00405303" w:rsidRDefault="009E6F82" w:rsidP="00C15251">
      <w:pPr>
        <w:jc w:val="both"/>
        <w:rPr>
          <w:bCs/>
          <w:color w:val="002060"/>
          <w:sz w:val="16"/>
          <w:szCs w:val="16"/>
        </w:rPr>
      </w:pPr>
      <w:r w:rsidRPr="00405303">
        <w:rPr>
          <w:bCs/>
          <w:color w:val="002060"/>
          <w:sz w:val="16"/>
          <w:szCs w:val="16"/>
        </w:rPr>
        <w:t xml:space="preserve">В ходе заводских испытаний аэроплан достиг скорости 120 км/ч и поднимался на высоту 2000 м за 22 мин с полезной нагрузкой в 350 кг. Вместе с тем выявился ряд недостатков. Так, Слепцов рекомендовал переделать патрубки для отвода выхлопных газов, попадавших в кабину; увеличить козырек кабины летчика; уменьшить усилие на штурвал; поставить броню для пилота и наблюдателя. Лебедев обещал Великому Князю, что полезная нагрузка нового самолета будет на 50 кг больше, чем у французского "Вуазена". Кроме того, он обещал на следующем опытном экземпляре поставить две пулеметные установки. </w:t>
      </w:r>
    </w:p>
    <w:p w14:paraId="20F52688"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Испытания были прерваны плохой погодой и для их продолжения самолет отправили по железной дороге сначала в Киев, потом на юг России - в Одессу. На завод "А.А.Анатра" самолет прибыл 11 февраля 1916 г., а через 4 дня совершил пробный полет и после посадки при рулении по аэродрому машина перевернулась. На ремонт требовалось недели две и его можно было произвести на месте, но Лебедев, опасаясь конкуренции, решил вернуть самолет в Петроград. </w:t>
      </w:r>
    </w:p>
    <w:p w14:paraId="77D3E7E6" w14:textId="77777777" w:rsidR="004B4E35" w:rsidRPr="00405303" w:rsidRDefault="009E6F82" w:rsidP="00C15251">
      <w:pPr>
        <w:jc w:val="both"/>
        <w:rPr>
          <w:bCs/>
          <w:color w:val="002060"/>
          <w:sz w:val="16"/>
          <w:szCs w:val="16"/>
        </w:rPr>
      </w:pPr>
      <w:r w:rsidRPr="00405303">
        <w:rPr>
          <w:bCs/>
          <w:color w:val="002060"/>
          <w:sz w:val="16"/>
          <w:szCs w:val="16"/>
        </w:rPr>
        <w:t xml:space="preserve">Спустя два месяца, в мае 1916 г., не дождавшись результатов испытаний, Великий Князь Александр Михайлович посылает запрос на завод Лебедева о судьбе опытного самолета. Выясняется, что самолет ремонтировать не стали, а построили новый, отличающийся от прежнего. Испытания назначили на июнь. </w:t>
      </w:r>
    </w:p>
    <w:p w14:paraId="1774611D" w14:textId="77777777" w:rsidR="004B4E35" w:rsidRPr="00405303" w:rsidRDefault="009E6F82" w:rsidP="00C15251">
      <w:pPr>
        <w:jc w:val="both"/>
        <w:rPr>
          <w:bCs/>
          <w:color w:val="002060"/>
          <w:sz w:val="16"/>
          <w:szCs w:val="16"/>
        </w:rPr>
      </w:pPr>
      <w:r w:rsidRPr="00405303">
        <w:rPr>
          <w:bCs/>
          <w:color w:val="002060"/>
          <w:sz w:val="16"/>
          <w:szCs w:val="16"/>
        </w:rPr>
        <w:t xml:space="preserve">Решение о серийной постройке разведчика было принято еще во время проведения испытаний первого экземпляра. Великий Князь 23 февраля 1916 г. просил Военное ведомство выдать срочный заказ на 400 самолетов. Однако после долгой переписки между Александром Михайловичем, Главным Военно-Техническим управлением и Военным ведомством 19 апреля Лебедев получил контракт о поставке в армию 225 аэропланов "Лебедь"-ХII без моторов и винтов со сроком исполнения 15 июля 1917 г. Тем же контрактом предусматривалось изготовление 245 комплектов запасных частей и 10 учебных самолетов "Лебедь"-ХII. Общая сумма контракта составила 5153500 рублей. </w:t>
      </w:r>
    </w:p>
    <w:p w14:paraId="66BE4111" w14:textId="77777777" w:rsidR="004B4E35" w:rsidRPr="00405303" w:rsidRDefault="009E6F82" w:rsidP="00C15251">
      <w:pPr>
        <w:jc w:val="both"/>
        <w:rPr>
          <w:bCs/>
          <w:color w:val="002060"/>
          <w:sz w:val="16"/>
          <w:szCs w:val="16"/>
        </w:rPr>
      </w:pPr>
      <w:r w:rsidRPr="00405303">
        <w:rPr>
          <w:bCs/>
          <w:color w:val="002060"/>
          <w:sz w:val="16"/>
          <w:szCs w:val="16"/>
        </w:rPr>
        <w:t xml:space="preserve">Испытания новой модификации "Лебедя"-XII начались в июле 1916 г. а 31 июля того же года военный летчик 13-го корпусного авиаотряда поручик Василий Захарович Барбас вылетел на опытном самолете (зав. № 457) из Петрограда на фронт. До Пскова он летел 3 ч 30 мин, мотор работал хорошо, самолет нареканий не вызывал. В Пскове Барбас взял новую карту, заправил бензобаки, отрегулировал мотор и вскоре вылетел в Двинск, где приземлился через 2 ч 20 мин. Общее впечатление летчика о машине было хорошим, он только указал, что "аппарат в полете тянет книзу, приходится удерживать его ручкой управления" (11183). </w:t>
      </w:r>
    </w:p>
    <w:p w14:paraId="2BD31779" w14:textId="77777777" w:rsidR="004B4E35" w:rsidRPr="00405303" w:rsidRDefault="004B4E35" w:rsidP="00C15251">
      <w:pPr>
        <w:jc w:val="both"/>
        <w:rPr>
          <w:bCs/>
          <w:color w:val="002060"/>
          <w:sz w:val="16"/>
          <w:szCs w:val="16"/>
        </w:rPr>
      </w:pPr>
    </w:p>
    <w:p w14:paraId="4E95072C" w14:textId="77777777" w:rsidR="000E47F3" w:rsidRPr="00405303" w:rsidRDefault="000E47F3" w:rsidP="00C15251">
      <w:pPr>
        <w:jc w:val="both"/>
        <w:rPr>
          <w:bCs/>
          <w:color w:val="002060"/>
          <w:sz w:val="16"/>
          <w:szCs w:val="16"/>
        </w:rPr>
      </w:pPr>
      <w:r w:rsidRPr="00405303">
        <w:rPr>
          <w:bCs/>
          <w:color w:val="002060"/>
          <w:sz w:val="16"/>
          <w:szCs w:val="16"/>
        </w:rPr>
        <w:t>В середине 1915 г., когда на Западном фронте появились первые истребители, оказалось, что таких самолетов ИВФ России не имеет и В.А. Лебедев возобновил работы по копированию самолета «Депердюссен-Спорт». Проекту был присвоен очередной 11-й номер – он именовался «Лебедь-XI» или «Монокок № 11».</w:t>
      </w:r>
    </w:p>
    <w:p w14:paraId="4640F1A9" w14:textId="77777777" w:rsidR="000E47F3" w:rsidRPr="00405303" w:rsidRDefault="000E47F3" w:rsidP="00C15251">
      <w:pPr>
        <w:jc w:val="both"/>
        <w:rPr>
          <w:bCs/>
          <w:color w:val="002060"/>
          <w:sz w:val="16"/>
          <w:szCs w:val="16"/>
        </w:rPr>
      </w:pPr>
      <w:r w:rsidRPr="00405303">
        <w:rPr>
          <w:bCs/>
          <w:color w:val="002060"/>
          <w:sz w:val="16"/>
          <w:szCs w:val="16"/>
        </w:rPr>
        <w:t>В то же самое время на заводе «Лебедь» была сдана серия бипланов с таким же обозначением «Лебедь-ХI», которые представляли собой скопированные или отремонтированные и оснащенные другими моторами немецкие разведчики «Альбатрос» разных типов.</w:t>
      </w:r>
    </w:p>
    <w:p w14:paraId="4483AF98" w14:textId="070E7039" w:rsidR="000E47F3" w:rsidRPr="00405303" w:rsidRDefault="000E47F3" w:rsidP="00C15251">
      <w:pPr>
        <w:jc w:val="both"/>
        <w:rPr>
          <w:bCs/>
          <w:color w:val="002060"/>
          <w:sz w:val="16"/>
          <w:szCs w:val="16"/>
        </w:rPr>
      </w:pPr>
      <w:r w:rsidRPr="00405303">
        <w:rPr>
          <w:bCs/>
          <w:color w:val="002060"/>
          <w:sz w:val="16"/>
          <w:szCs w:val="16"/>
        </w:rPr>
        <w:t>Была проработана установка легкого пулемета перед кабиной пилота для стрельбы сквозь диск воздушного винта, для чего рассматривались как различные синхронизаторы, так и отсекали на лопастях по типу французского самолета Моран-Солнье Тип I (Тип «И», «Моран-Монокок»).</w:t>
      </w:r>
      <w:r w:rsidR="000F5756">
        <w:rPr>
          <w:bCs/>
          <w:color w:val="002060"/>
          <w:sz w:val="16"/>
          <w:szCs w:val="16"/>
        </w:rPr>
        <w:t xml:space="preserve"> </w:t>
      </w:r>
      <w:r w:rsidRPr="00405303">
        <w:rPr>
          <w:bCs/>
          <w:color w:val="002060"/>
          <w:sz w:val="16"/>
          <w:szCs w:val="16"/>
        </w:rPr>
        <w:t xml:space="preserve"> Самолет был достроен именно как истребитель с мотором Гном 9В «Моносупап» (Gnome 9B Monosoupape) серийный, ротативный 9-цилиндровый мотор воздушного охлаждения номинальной мощностью 100 л.с. при 1300 об./мин., но ни пулемет, ни синхронизатор или отсекатели установлены не были.</w:t>
      </w:r>
    </w:p>
    <w:p w14:paraId="0AF433D6" w14:textId="77777777" w:rsidR="000E47F3" w:rsidRPr="00405303" w:rsidRDefault="000E47F3" w:rsidP="00C15251">
      <w:pPr>
        <w:jc w:val="both"/>
        <w:rPr>
          <w:bCs/>
          <w:color w:val="002060"/>
          <w:sz w:val="16"/>
          <w:szCs w:val="16"/>
        </w:rPr>
      </w:pPr>
      <w:r w:rsidRPr="00405303">
        <w:rPr>
          <w:bCs/>
          <w:color w:val="002060"/>
          <w:sz w:val="16"/>
          <w:szCs w:val="16"/>
        </w:rPr>
        <w:t>В I квартале 1916 г. самолет совершил первый полет. Хотя в таком виде самолет показал очень высокую скорость – 180 км/ч – Военное министерство России предпочло закупить французские истребители Моран-Солнье тип I – контракт был заключен в сентябре 1916 г. и до конца осени начались их поставки (23095).</w:t>
      </w:r>
    </w:p>
    <w:p w14:paraId="55755582" w14:textId="77777777" w:rsidR="000E47F3" w:rsidRPr="00405303" w:rsidRDefault="000E47F3" w:rsidP="00C15251">
      <w:pPr>
        <w:jc w:val="both"/>
        <w:rPr>
          <w:bCs/>
          <w:color w:val="002060"/>
          <w:sz w:val="16"/>
          <w:szCs w:val="16"/>
        </w:rPr>
      </w:pPr>
    </w:p>
    <w:p w14:paraId="115E41FB" w14:textId="77777777" w:rsidR="000E47F3" w:rsidRPr="00405303" w:rsidRDefault="000E47F3" w:rsidP="00C15251">
      <w:pPr>
        <w:jc w:val="both"/>
        <w:rPr>
          <w:bCs/>
          <w:color w:val="002060"/>
          <w:sz w:val="16"/>
          <w:szCs w:val="16"/>
        </w:rPr>
      </w:pPr>
      <w:r w:rsidRPr="00405303">
        <w:rPr>
          <w:bCs/>
          <w:color w:val="002060"/>
          <w:sz w:val="16"/>
          <w:szCs w:val="16"/>
        </w:rPr>
        <w:t>В середине 1915 г. летчик Лавров, проявив недюжинную изобретательность, разработал собственную конструкцию синхронизатора для стрельбы из пулемета Виккерс Mk.I, в декабре 1915 г. РБВЗ запатентовал ее, и ГВТУ «с подачи» Шидловского потребовало ставить синхронизаторы на строящиеся С-16.</w:t>
      </w:r>
    </w:p>
    <w:p w14:paraId="68160748" w14:textId="77777777" w:rsidR="000E47F3" w:rsidRPr="00405303" w:rsidRDefault="000E47F3" w:rsidP="00C15251">
      <w:pPr>
        <w:jc w:val="both"/>
        <w:rPr>
          <w:bCs/>
          <w:color w:val="002060"/>
          <w:sz w:val="16"/>
          <w:szCs w:val="16"/>
        </w:rPr>
      </w:pPr>
      <w:r w:rsidRPr="00405303">
        <w:rPr>
          <w:bCs/>
          <w:color w:val="002060"/>
          <w:sz w:val="16"/>
          <w:szCs w:val="16"/>
        </w:rPr>
        <w:t>Позднее выяснилось, что синхронизатором Лаврова стал ломаться. Да и дороговат он был — 1 000 рублей за штуку, потому что содержал такие сложные узлы, как кардан, и червячную пару (они, кстати, обычно и подводили). Пришлось его менять на С-16 надкрыльевой установкой «Льюиса», но пошли перебои с поставками пулеметов и «Виккерс», и «Льюис», а данный армейскими интендантами на замену американский Кольт М1895 имел неудобное питание. Пришлось вновь сажать второго летчика, которого вооружали чем попало — предлагавшимся к самолету «Маузером», русским или трофейным карабином, кое у кого был даже американский охотничий «Винчестер». Но стрельба с рук из них, из автомата Федорова или из Кольта М1895 по маневрировавшим со скоростями 150–180 км/ч целям была совершенно бесполезна (22826).</w:t>
      </w:r>
    </w:p>
    <w:p w14:paraId="302251D7" w14:textId="77777777" w:rsidR="000E47F3" w:rsidRPr="00405303" w:rsidRDefault="000E47F3" w:rsidP="00C15251">
      <w:pPr>
        <w:jc w:val="both"/>
        <w:rPr>
          <w:bCs/>
          <w:color w:val="002060"/>
          <w:sz w:val="16"/>
          <w:szCs w:val="16"/>
        </w:rPr>
      </w:pPr>
    </w:p>
    <w:p w14:paraId="5C383ED1" w14:textId="77777777" w:rsidR="004B4E35" w:rsidRPr="00405303" w:rsidRDefault="009E6F82" w:rsidP="00C15251">
      <w:pPr>
        <w:jc w:val="both"/>
        <w:rPr>
          <w:bCs/>
          <w:color w:val="002060"/>
          <w:sz w:val="16"/>
          <w:szCs w:val="16"/>
        </w:rPr>
      </w:pPr>
      <w:r w:rsidRPr="00405303">
        <w:rPr>
          <w:bCs/>
          <w:color w:val="002060"/>
          <w:sz w:val="16"/>
          <w:szCs w:val="16"/>
        </w:rPr>
        <w:t>К середине 1915 г. капитану Орановскому удалось сконструировать вполне удовлетворительный тип авиационной бомбы, которая была принята на вооружение. Фугасные бомбы Орановского имели металлический корпус каплевидной формы и начинялись тротилом. Детонатором являлся небольшой заряд тетрила. Бомба снабжалась стабилизатором. Взрыватель донного типа с замедлением 0,13 с. имел ветрянку, которая предохраняла бомбу от преждевременного взрыва. После сброса бомбы ветрянка силою воздушного потока вывертывалась и освобождала ударник. Бомбы с таким взрывателем действовали безотказно (11237). На фронте корпусные и армейские авиаотряды применяли фугасные бомбы системы Орановского массой 4, 6, 10, 16, 32 кг. Они сбрасывались в основном с самолетов "Вуазен" и "Фарман". Бомбы массой 48, 80, 160, 240 и 400 кг поступали в эскадру воздушных кораблей и сбрасывались на важные военные объекты противника (11237).</w:t>
      </w:r>
    </w:p>
    <w:p w14:paraId="74CECB2A" w14:textId="77777777" w:rsidR="004B4E35" w:rsidRPr="00405303" w:rsidRDefault="004B4E35" w:rsidP="00C15251">
      <w:pPr>
        <w:jc w:val="both"/>
        <w:rPr>
          <w:bCs/>
          <w:color w:val="002060"/>
          <w:sz w:val="16"/>
          <w:szCs w:val="16"/>
        </w:rPr>
      </w:pPr>
    </w:p>
    <w:p w14:paraId="3C54F209" w14:textId="18021A92" w:rsidR="004B4E35" w:rsidRPr="00405303" w:rsidRDefault="009E6F82" w:rsidP="00C15251">
      <w:pPr>
        <w:shd w:val="clear" w:color="auto" w:fill="FFFFFF"/>
        <w:jc w:val="both"/>
        <w:rPr>
          <w:bCs/>
          <w:color w:val="002060"/>
          <w:sz w:val="16"/>
          <w:szCs w:val="16"/>
        </w:rPr>
      </w:pPr>
      <w:r w:rsidRPr="00405303">
        <w:rPr>
          <w:bCs/>
          <w:color w:val="002060"/>
          <w:sz w:val="16"/>
          <w:szCs w:val="16"/>
        </w:rPr>
        <w:t>К середине 1915 г. капитану Орановскому удалось сконструировать вполне удовлетворительный тип фугасной авиабомбы. Бомбы Орановского имели металлический корпус каплевидной формы и начинялись тротилом. Детонатором являлся небольшой заряд тетрила. Бомба имела стабилизатор и взрыватель донного типа с замедлением 0,13 сек. Для предохранения от преждевременного взрыва служила ветрянка, которая после сброса потоком воздуха вывертывалась и освобождала удар</w:t>
      </w:r>
      <w:r w:rsidRPr="00405303">
        <w:rPr>
          <w:bCs/>
          <w:color w:val="002060"/>
          <w:sz w:val="16"/>
          <w:szCs w:val="16"/>
        </w:rPr>
        <w:softHyphen/>
        <w:t>ник. Бомбы с таким взрывателем действовали безотказно.</w:t>
      </w:r>
    </w:p>
    <w:p w14:paraId="21D60CC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Бомбы Орановского весом 4, 6, 10, 16 и 32 кг применялись в основ</w:t>
      </w:r>
      <w:r w:rsidRPr="00405303">
        <w:rPr>
          <w:bCs/>
          <w:color w:val="002060"/>
          <w:sz w:val="16"/>
          <w:szCs w:val="16"/>
        </w:rPr>
        <w:softHyphen/>
        <w:t>ном с самолетов Вуазен и Фарман, а весом 48, 80, 160, 240 и 400 кг посту</w:t>
      </w:r>
      <w:r w:rsidRPr="00405303">
        <w:rPr>
          <w:bCs/>
          <w:color w:val="002060"/>
          <w:sz w:val="16"/>
          <w:szCs w:val="16"/>
        </w:rPr>
        <w:softHyphen/>
        <w:t>пали в эскадру кораблей типа Илья Муромец (11425).</w:t>
      </w:r>
    </w:p>
    <w:p w14:paraId="2BB4E90A" w14:textId="77777777" w:rsidR="004B4E35" w:rsidRPr="00405303" w:rsidRDefault="004B4E35" w:rsidP="00C15251">
      <w:pPr>
        <w:shd w:val="clear" w:color="auto" w:fill="FFFFFF"/>
        <w:jc w:val="both"/>
        <w:rPr>
          <w:bCs/>
          <w:color w:val="002060"/>
          <w:sz w:val="16"/>
          <w:szCs w:val="16"/>
        </w:rPr>
      </w:pPr>
    </w:p>
    <w:p w14:paraId="394A1660" w14:textId="77777777" w:rsidR="00F01B26" w:rsidRPr="00405303" w:rsidRDefault="00F01B26" w:rsidP="00C15251">
      <w:pPr>
        <w:jc w:val="both"/>
        <w:rPr>
          <w:bCs/>
          <w:color w:val="002060"/>
          <w:sz w:val="16"/>
          <w:szCs w:val="16"/>
        </w:rPr>
      </w:pPr>
      <w:r w:rsidRPr="00405303">
        <w:rPr>
          <w:bCs/>
          <w:color w:val="002060"/>
          <w:sz w:val="16"/>
          <w:szCs w:val="16"/>
        </w:rPr>
        <w:t>К середине 1915 г. на заводе Авиабалт уже работало 425 чело</w:t>
      </w:r>
      <w:r w:rsidRPr="00405303">
        <w:rPr>
          <w:bCs/>
          <w:color w:val="002060"/>
          <w:sz w:val="16"/>
          <w:szCs w:val="16"/>
        </w:rPr>
        <w:softHyphen/>
        <w:t>век, а в его парке насчитывалось более 50 современных станков (24177).</w:t>
      </w:r>
    </w:p>
    <w:p w14:paraId="6A492F06" w14:textId="77777777" w:rsidR="00F01B26" w:rsidRPr="00405303" w:rsidRDefault="00F01B26" w:rsidP="00C15251">
      <w:pPr>
        <w:jc w:val="both"/>
        <w:rPr>
          <w:bCs/>
          <w:color w:val="002060"/>
          <w:sz w:val="16"/>
          <w:szCs w:val="16"/>
        </w:rPr>
      </w:pPr>
    </w:p>
    <w:p w14:paraId="149DE455" w14:textId="77777777" w:rsidR="00F01B26" w:rsidRPr="00405303" w:rsidRDefault="00F01B26" w:rsidP="00C15251">
      <w:pPr>
        <w:jc w:val="both"/>
        <w:rPr>
          <w:bCs/>
          <w:color w:val="002060"/>
          <w:sz w:val="16"/>
          <w:szCs w:val="16"/>
        </w:rPr>
      </w:pPr>
      <w:r w:rsidRPr="00405303">
        <w:rPr>
          <w:bCs/>
          <w:color w:val="002060"/>
          <w:sz w:val="16"/>
          <w:szCs w:val="16"/>
        </w:rPr>
        <w:t>В середине 1915 г. на РБВЗ были введены в действие новые «Технические условия на приемку самолетов ИМ» (далее – ТУ), предполагавшие премирование за мероприятия, давшие прирост летных данных:</w:t>
      </w:r>
    </w:p>
    <w:p w14:paraId="084D3A9E" w14:textId="77777777" w:rsidR="00F01B26" w:rsidRPr="00405303" w:rsidRDefault="00F01B26" w:rsidP="00C15251">
      <w:pPr>
        <w:jc w:val="both"/>
        <w:rPr>
          <w:bCs/>
          <w:color w:val="002060"/>
          <w:sz w:val="16"/>
          <w:szCs w:val="16"/>
        </w:rPr>
      </w:pPr>
      <w:r w:rsidRPr="00405303">
        <w:rPr>
          <w:bCs/>
          <w:color w:val="002060"/>
          <w:sz w:val="16"/>
          <w:szCs w:val="16"/>
        </w:rPr>
        <w:t>- скорость горизонтального полета не ниже 100 км/ч, премия 500 руб. за прирост на каждые 5 км/ч;</w:t>
      </w:r>
    </w:p>
    <w:p w14:paraId="15CE798C" w14:textId="77777777" w:rsidR="00F01B26" w:rsidRPr="00405303" w:rsidRDefault="00F01B26" w:rsidP="00C15251">
      <w:pPr>
        <w:jc w:val="both"/>
        <w:rPr>
          <w:bCs/>
          <w:color w:val="002060"/>
          <w:sz w:val="16"/>
          <w:szCs w:val="16"/>
        </w:rPr>
      </w:pPr>
      <w:r w:rsidRPr="00405303">
        <w:rPr>
          <w:bCs/>
          <w:color w:val="002060"/>
          <w:sz w:val="16"/>
          <w:szCs w:val="16"/>
        </w:rPr>
        <w:t>- время набора высоты 1000 м не более 22 мин., премия 1000 руб. за снижение на каждую 1 мин.;</w:t>
      </w:r>
    </w:p>
    <w:p w14:paraId="2D19A18A" w14:textId="77777777" w:rsidR="00F01B26" w:rsidRPr="00405303" w:rsidRDefault="00F01B26" w:rsidP="00C15251">
      <w:pPr>
        <w:jc w:val="both"/>
        <w:rPr>
          <w:bCs/>
          <w:color w:val="002060"/>
          <w:sz w:val="16"/>
          <w:szCs w:val="16"/>
        </w:rPr>
      </w:pPr>
      <w:r w:rsidRPr="00405303">
        <w:rPr>
          <w:bCs/>
          <w:color w:val="002060"/>
          <w:sz w:val="16"/>
          <w:szCs w:val="16"/>
        </w:rPr>
        <w:t>- грузоподъемность (полная нагрузка – экипаж, ГСМ, вооружение и съемное оборудование) не ниже 1500 кг, премия 1000 руб. за увеличение на каждые 100 кг (23563).</w:t>
      </w:r>
    </w:p>
    <w:p w14:paraId="4B56EF04" w14:textId="77777777" w:rsidR="00F01B26" w:rsidRPr="00405303" w:rsidRDefault="00F01B26" w:rsidP="00C15251">
      <w:pPr>
        <w:jc w:val="both"/>
        <w:rPr>
          <w:bCs/>
          <w:color w:val="002060"/>
          <w:sz w:val="16"/>
          <w:szCs w:val="16"/>
        </w:rPr>
      </w:pPr>
    </w:p>
    <w:p w14:paraId="611C5C05" w14:textId="77777777" w:rsidR="00F01B26" w:rsidRPr="00405303" w:rsidRDefault="00F01B26" w:rsidP="00C15251">
      <w:pPr>
        <w:jc w:val="both"/>
        <w:rPr>
          <w:bCs/>
          <w:color w:val="002060"/>
          <w:sz w:val="16"/>
          <w:szCs w:val="16"/>
        </w:rPr>
      </w:pPr>
      <w:r w:rsidRPr="00405303">
        <w:rPr>
          <w:bCs/>
          <w:color w:val="002060"/>
          <w:sz w:val="16"/>
          <w:szCs w:val="16"/>
        </w:rPr>
        <w:t>В середине 1915 г. класс двухместных са</w:t>
      </w:r>
      <w:r w:rsidRPr="00405303">
        <w:rPr>
          <w:bCs/>
          <w:color w:val="002060"/>
          <w:sz w:val="16"/>
          <w:szCs w:val="16"/>
        </w:rPr>
        <w:softHyphen/>
        <w:t>молетов-разведчиков, выполненных по схеме стандартного биплана с тянущим воздушным винтом, считался наиболее прогрессивным, поэтому на заводе А.А. Анатра приступили к созданию подобного аппарата. За основу приняли конструкцию немецкого двухстоечного «Альбатроса» с характерной центральной пирамидой, со</w:t>
      </w:r>
      <w:r w:rsidRPr="00405303">
        <w:rPr>
          <w:bCs/>
          <w:color w:val="002060"/>
          <w:sz w:val="16"/>
          <w:szCs w:val="16"/>
        </w:rPr>
        <w:softHyphen/>
        <w:t>единяющей верхнее крыло в районе про</w:t>
      </w:r>
      <w:r w:rsidRPr="00405303">
        <w:rPr>
          <w:bCs/>
          <w:color w:val="002060"/>
          <w:sz w:val="16"/>
          <w:szCs w:val="16"/>
        </w:rPr>
        <w:softHyphen/>
        <w:t>дольной оси самолета. Проект разработалф ранцузский инженер Е.А. Декамп (Des Camps), согласно русской документации тех лет называемый Э. Декан, поэтому са</w:t>
      </w:r>
      <w:r w:rsidRPr="00405303">
        <w:rPr>
          <w:bCs/>
          <w:color w:val="002060"/>
          <w:sz w:val="16"/>
          <w:szCs w:val="16"/>
        </w:rPr>
        <w:softHyphen/>
        <w:t>молет получил наименование «Анаде» — АНАтра + ДЕкан. Это обозначение стало основным при дальнейшем употреблении, однако использовались и другие — все они вынесены в подзаголовок.</w:t>
      </w:r>
    </w:p>
    <w:p w14:paraId="1803176B" w14:textId="77777777" w:rsidR="00F01B26" w:rsidRPr="00405303" w:rsidRDefault="00F01B26" w:rsidP="00C15251">
      <w:pPr>
        <w:jc w:val="both"/>
        <w:rPr>
          <w:bCs/>
          <w:color w:val="002060"/>
          <w:sz w:val="16"/>
          <w:szCs w:val="16"/>
        </w:rPr>
      </w:pPr>
      <w:r w:rsidRPr="00405303">
        <w:rPr>
          <w:bCs/>
          <w:color w:val="002060"/>
          <w:sz w:val="16"/>
          <w:szCs w:val="16"/>
        </w:rPr>
        <w:t>«Анаде» оснастили ротативным двигате</w:t>
      </w:r>
      <w:r w:rsidRPr="00405303">
        <w:rPr>
          <w:bCs/>
          <w:color w:val="002060"/>
          <w:sz w:val="16"/>
          <w:szCs w:val="16"/>
        </w:rPr>
        <w:softHyphen/>
        <w:t>лем «Гном-Моносупап» мощностью 100 л.с., что определило основные размернос</w:t>
      </w:r>
      <w:r w:rsidRPr="00405303">
        <w:rPr>
          <w:bCs/>
          <w:color w:val="002060"/>
          <w:sz w:val="16"/>
          <w:szCs w:val="16"/>
        </w:rPr>
        <w:softHyphen/>
        <w:t>ти аппарата — длина 7,7 м, размах верхне</w:t>
      </w:r>
      <w:r w:rsidRPr="00405303">
        <w:rPr>
          <w:bCs/>
          <w:color w:val="002060"/>
          <w:sz w:val="16"/>
          <w:szCs w:val="16"/>
        </w:rPr>
        <w:softHyphen/>
        <w:t>го крыла 11,5 м. Самолет предназначался для использования в качестве корпусного разведчика, корректировщика артиллерий</w:t>
      </w:r>
      <w:r w:rsidRPr="00405303">
        <w:rPr>
          <w:bCs/>
          <w:color w:val="002060"/>
          <w:sz w:val="16"/>
          <w:szCs w:val="16"/>
        </w:rPr>
        <w:softHyphen/>
        <w:t>ского огня и легкого бомбардировщика. Представлял собой цельнодеревянный би</w:t>
      </w:r>
      <w:r w:rsidRPr="00405303">
        <w:rPr>
          <w:bCs/>
          <w:color w:val="002060"/>
          <w:sz w:val="16"/>
          <w:szCs w:val="16"/>
        </w:rPr>
        <w:softHyphen/>
        <w:t>план с двумя парами межкрыльевых стоек, нормальным хвостовым оперением и стан</w:t>
      </w:r>
      <w:r w:rsidRPr="00405303">
        <w:rPr>
          <w:bCs/>
          <w:color w:val="002060"/>
          <w:sz w:val="16"/>
          <w:szCs w:val="16"/>
        </w:rPr>
        <w:softHyphen/>
        <w:t>дартным пирамидальным шасси, выпол</w:t>
      </w:r>
      <w:r w:rsidRPr="00405303">
        <w:rPr>
          <w:bCs/>
          <w:color w:val="002060"/>
          <w:sz w:val="16"/>
          <w:szCs w:val="16"/>
        </w:rPr>
        <w:softHyphen/>
        <w:t>ненном из профилированных стальных труб и снабженным резиновой, шнуровой амортизацией. Фюзеляж четырехгранный в сечении, ферменной конструкции, с не</w:t>
      </w:r>
      <w:r w:rsidRPr="00405303">
        <w:rPr>
          <w:bCs/>
          <w:color w:val="002060"/>
          <w:sz w:val="16"/>
          <w:szCs w:val="16"/>
        </w:rPr>
        <w:softHyphen/>
        <w:t>большим закругленным верхним гротом в районе кабины экипажа. Обшивка перед</w:t>
      </w:r>
      <w:r w:rsidRPr="00405303">
        <w:rPr>
          <w:bCs/>
          <w:color w:val="002060"/>
          <w:sz w:val="16"/>
          <w:szCs w:val="16"/>
        </w:rPr>
        <w:softHyphen/>
        <w:t>ней части фюзеляжа из фанеры, далее, до хвостового оперения — полотняная.</w:t>
      </w:r>
    </w:p>
    <w:p w14:paraId="49A6110D" w14:textId="77777777" w:rsidR="00F01B26" w:rsidRPr="00405303" w:rsidRDefault="00F01B26" w:rsidP="00C15251">
      <w:pPr>
        <w:jc w:val="both"/>
        <w:rPr>
          <w:bCs/>
          <w:color w:val="002060"/>
          <w:sz w:val="16"/>
          <w:szCs w:val="16"/>
        </w:rPr>
      </w:pPr>
      <w:r w:rsidRPr="00405303">
        <w:rPr>
          <w:bCs/>
          <w:color w:val="002060"/>
          <w:sz w:val="16"/>
          <w:szCs w:val="16"/>
        </w:rPr>
        <w:t>Летчик размещался впереди, его сиде</w:t>
      </w:r>
      <w:r w:rsidRPr="00405303">
        <w:rPr>
          <w:bCs/>
          <w:color w:val="002060"/>
          <w:sz w:val="16"/>
          <w:szCs w:val="16"/>
        </w:rPr>
        <w:softHyphen/>
        <w:t>ние находилось над топливным баком, осо</w:t>
      </w:r>
      <w:r w:rsidRPr="00405303">
        <w:rPr>
          <w:bCs/>
          <w:color w:val="002060"/>
          <w:sz w:val="16"/>
          <w:szCs w:val="16"/>
        </w:rPr>
        <w:softHyphen/>
        <w:t>бенностью которого являлось разделение на три отсека для устранения утечки бен</w:t>
      </w:r>
      <w:r w:rsidRPr="00405303">
        <w:rPr>
          <w:bCs/>
          <w:color w:val="002060"/>
          <w:sz w:val="16"/>
          <w:szCs w:val="16"/>
        </w:rPr>
        <w:softHyphen/>
        <w:t>зина в случае прострела. Место наблюда</w:t>
      </w:r>
      <w:r w:rsidRPr="00405303">
        <w:rPr>
          <w:bCs/>
          <w:color w:val="002060"/>
          <w:sz w:val="16"/>
          <w:szCs w:val="16"/>
        </w:rPr>
        <w:softHyphen/>
        <w:t>теля за пилотом, снабжено оборонитель</w:t>
      </w:r>
      <w:r w:rsidRPr="00405303">
        <w:rPr>
          <w:bCs/>
          <w:color w:val="002060"/>
          <w:sz w:val="16"/>
          <w:szCs w:val="16"/>
        </w:rPr>
        <w:softHyphen/>
        <w:t>ной установкой с пулеметом «Кольт», «Мак</w:t>
      </w:r>
      <w:r w:rsidRPr="00405303">
        <w:rPr>
          <w:bCs/>
          <w:color w:val="002060"/>
          <w:sz w:val="16"/>
          <w:szCs w:val="16"/>
        </w:rPr>
        <w:softHyphen/>
        <w:t>сим» или «Льюис».</w:t>
      </w:r>
    </w:p>
    <w:p w14:paraId="02E90DDF" w14:textId="77777777" w:rsidR="00F01B26" w:rsidRPr="00405303" w:rsidRDefault="00F01B26" w:rsidP="00C15251">
      <w:pPr>
        <w:jc w:val="both"/>
        <w:rPr>
          <w:bCs/>
          <w:color w:val="002060"/>
          <w:sz w:val="16"/>
          <w:szCs w:val="16"/>
        </w:rPr>
      </w:pPr>
      <w:r w:rsidRPr="00405303">
        <w:rPr>
          <w:bCs/>
          <w:color w:val="002060"/>
          <w:sz w:val="16"/>
          <w:szCs w:val="16"/>
        </w:rPr>
        <w:t>Особенностью первого экземпляра «Ана</w:t>
      </w:r>
      <w:r w:rsidRPr="00405303">
        <w:rPr>
          <w:bCs/>
          <w:color w:val="002060"/>
          <w:sz w:val="16"/>
          <w:szCs w:val="16"/>
        </w:rPr>
        <w:softHyphen/>
        <w:t>де» являлась небольшая стреловидност крыльев и установка ротативного двигате</w:t>
      </w:r>
      <w:r w:rsidRPr="00405303">
        <w:rPr>
          <w:bCs/>
          <w:color w:val="002060"/>
          <w:sz w:val="16"/>
          <w:szCs w:val="16"/>
        </w:rPr>
        <w:softHyphen/>
        <w:t>ля «Гном» на передней и задней опорах — подобно тому, как это было сделано на са</w:t>
      </w:r>
      <w:r w:rsidRPr="00405303">
        <w:rPr>
          <w:bCs/>
          <w:color w:val="002060"/>
          <w:sz w:val="16"/>
          <w:szCs w:val="16"/>
        </w:rPr>
        <w:softHyphen/>
        <w:t>молете «Ньюпор-IV» (23374).</w:t>
      </w:r>
    </w:p>
    <w:p w14:paraId="41C5D7F0" w14:textId="77777777" w:rsidR="00F01B26" w:rsidRPr="00405303" w:rsidRDefault="00F01B26" w:rsidP="00C15251">
      <w:pPr>
        <w:jc w:val="both"/>
        <w:rPr>
          <w:bCs/>
          <w:color w:val="002060"/>
          <w:sz w:val="16"/>
          <w:szCs w:val="16"/>
        </w:rPr>
      </w:pPr>
    </w:p>
    <w:p w14:paraId="5DF9E74F" w14:textId="77777777" w:rsidR="00F01B26" w:rsidRPr="00405303" w:rsidRDefault="00F01B26" w:rsidP="00C15251">
      <w:pPr>
        <w:jc w:val="both"/>
        <w:rPr>
          <w:bCs/>
          <w:color w:val="002060"/>
          <w:sz w:val="16"/>
          <w:szCs w:val="16"/>
        </w:rPr>
      </w:pPr>
      <w:r w:rsidRPr="00405303">
        <w:rPr>
          <w:bCs/>
          <w:color w:val="002060"/>
          <w:sz w:val="16"/>
          <w:szCs w:val="16"/>
        </w:rPr>
        <w:t>В середине 1915 г. два самолета М-4 были переданы авиации Черноморского Флота и два – Балтийского. Подробных сведений об их использовании нет, т.к. в то время не был налажен учет типов летающих лодок отечественной разработки – они числились как «самолеты ПРТВ» или «самолеты Щетинина», как и машины крупносерийного типа М-5 и применялись с ними одновременно (23594).</w:t>
      </w:r>
    </w:p>
    <w:p w14:paraId="572B995D" w14:textId="77777777" w:rsidR="00F01B26" w:rsidRPr="00405303" w:rsidRDefault="00F01B26" w:rsidP="00C15251">
      <w:pPr>
        <w:jc w:val="both"/>
        <w:rPr>
          <w:bCs/>
          <w:color w:val="002060"/>
          <w:sz w:val="16"/>
          <w:szCs w:val="16"/>
        </w:rPr>
      </w:pPr>
    </w:p>
    <w:p w14:paraId="565CE7B1"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453160F2" w14:textId="77777777" w:rsidR="004B4E35" w:rsidRPr="00405303" w:rsidRDefault="004B4E35" w:rsidP="00C15251">
      <w:pPr>
        <w:jc w:val="both"/>
        <w:rPr>
          <w:bCs/>
          <w:i/>
          <w:color w:val="002060"/>
          <w:sz w:val="16"/>
          <w:szCs w:val="16"/>
        </w:rPr>
      </w:pPr>
    </w:p>
    <w:p w14:paraId="56DFF558" w14:textId="77777777" w:rsidR="001E56AB" w:rsidRPr="00405303" w:rsidRDefault="001E56AB" w:rsidP="00C15251">
      <w:pPr>
        <w:jc w:val="both"/>
        <w:rPr>
          <w:bCs/>
          <w:color w:val="002060"/>
          <w:sz w:val="16"/>
          <w:szCs w:val="16"/>
          <w:lang w:bidi="ru-RU"/>
        </w:rPr>
      </w:pPr>
      <w:r w:rsidRPr="00405303">
        <w:rPr>
          <w:bCs/>
          <w:color w:val="002060"/>
          <w:sz w:val="16"/>
          <w:szCs w:val="16"/>
        </w:rPr>
        <w:t>К середине 1915 г. суточный выпуск ТОЗ был доведен до 925 вин</w:t>
      </w:r>
      <w:r w:rsidRPr="00405303">
        <w:rPr>
          <w:bCs/>
          <w:color w:val="002060"/>
          <w:sz w:val="16"/>
          <w:szCs w:val="16"/>
        </w:rPr>
        <w:softHyphen/>
        <w:t>товок, к осени — до 1500, в декабре — превысил 1700. Рос также и выпуск взрывателей. (23452).</w:t>
      </w:r>
    </w:p>
    <w:p w14:paraId="68D41884" w14:textId="77777777" w:rsidR="001E56AB" w:rsidRPr="00405303" w:rsidRDefault="001E56AB" w:rsidP="00C15251">
      <w:pPr>
        <w:jc w:val="both"/>
        <w:rPr>
          <w:bCs/>
          <w:color w:val="002060"/>
          <w:sz w:val="16"/>
          <w:szCs w:val="16"/>
          <w:lang w:bidi="ru-RU"/>
        </w:rPr>
      </w:pPr>
    </w:p>
    <w:p w14:paraId="1260F01F" w14:textId="77777777" w:rsidR="00E91F33" w:rsidRPr="00405303" w:rsidRDefault="00E91F33" w:rsidP="00C15251">
      <w:pPr>
        <w:pStyle w:val="ae"/>
        <w:spacing w:before="0" w:beforeAutospacing="0" w:after="0" w:afterAutospacing="0"/>
        <w:jc w:val="both"/>
        <w:rPr>
          <w:bCs/>
          <w:color w:val="002060"/>
          <w:sz w:val="16"/>
          <w:szCs w:val="16"/>
        </w:rPr>
      </w:pPr>
      <w:r w:rsidRPr="00405303">
        <w:rPr>
          <w:bCs/>
          <w:color w:val="002060"/>
          <w:sz w:val="16"/>
          <w:szCs w:val="16"/>
        </w:rPr>
        <w:t xml:space="preserve">Начиная с середины 1915 г. оплата заграничных заказов производилось за счет </w:t>
      </w:r>
      <w:proofErr w:type="gramStart"/>
      <w:r w:rsidRPr="00405303">
        <w:rPr>
          <w:bCs/>
          <w:color w:val="002060"/>
          <w:sz w:val="16"/>
          <w:szCs w:val="16"/>
        </w:rPr>
        <w:t>кредитов</w:t>
      </w:r>
      <w:proofErr w:type="gramEnd"/>
      <w:r w:rsidRPr="00405303">
        <w:rPr>
          <w:bCs/>
          <w:color w:val="002060"/>
          <w:sz w:val="16"/>
          <w:szCs w:val="16"/>
        </w:rPr>
        <w:t xml:space="preserve"> предоставленных союзниками, главным образом Великобританией. Председатель Русского заготовительного комитета в Англии в телеграмме министру финансов отмечал: «Отсутствие свободного кредита самым пагубным образом отражается на размещении заказов. Не только новые заказы трудно провести, но и </w:t>
      </w:r>
      <w:proofErr w:type="gramStart"/>
      <w:r w:rsidRPr="00405303">
        <w:rPr>
          <w:bCs/>
          <w:color w:val="002060"/>
          <w:sz w:val="16"/>
          <w:szCs w:val="16"/>
        </w:rPr>
        <w:t>некоторые заказы</w:t>
      </w:r>
      <w:proofErr w:type="gramEnd"/>
      <w:r w:rsidRPr="00405303">
        <w:rPr>
          <w:bCs/>
          <w:color w:val="002060"/>
          <w:sz w:val="16"/>
          <w:szCs w:val="16"/>
        </w:rPr>
        <w:t xml:space="preserve"> уже окончательно решенные фактически не размещаются за отсутствием кредитов» [1]. Выявилась жесткая зависимость объемов российских заграничных поставок вооружений от размеров кредитов, предоставляемых Великобританией (18515).</w:t>
      </w:r>
    </w:p>
    <w:p w14:paraId="2BE87E53" w14:textId="77777777" w:rsidR="00E91F33" w:rsidRPr="00405303" w:rsidRDefault="00E91F33" w:rsidP="00C15251">
      <w:pPr>
        <w:jc w:val="both"/>
        <w:rPr>
          <w:bCs/>
          <w:color w:val="002060"/>
          <w:sz w:val="16"/>
          <w:szCs w:val="16"/>
        </w:rPr>
      </w:pPr>
    </w:p>
    <w:p w14:paraId="1142FE50" w14:textId="77777777" w:rsidR="00E91F33" w:rsidRPr="00405303" w:rsidRDefault="00E91F33" w:rsidP="00C15251">
      <w:pPr>
        <w:pStyle w:val="p1"/>
        <w:spacing w:before="0" w:beforeAutospacing="0" w:after="0" w:afterAutospacing="0"/>
        <w:jc w:val="both"/>
        <w:rPr>
          <w:bCs/>
          <w:color w:val="002060"/>
          <w:sz w:val="16"/>
          <w:szCs w:val="16"/>
        </w:rPr>
      </w:pPr>
      <w:r w:rsidRPr="00405303">
        <w:rPr>
          <w:bCs/>
          <w:color w:val="002060"/>
          <w:sz w:val="16"/>
          <w:szCs w:val="16"/>
        </w:rPr>
        <w:t>К середине 1915 г. суточный выпуск на ТОЗ был доведен до 925 винтовок, к осени — до 1500, в декабре — превысил 1700. Рос также и выпуск взрывателей (18409).</w:t>
      </w:r>
    </w:p>
    <w:p w14:paraId="5222F377" w14:textId="77777777" w:rsidR="00E91F33" w:rsidRPr="00405303" w:rsidRDefault="00E91F33" w:rsidP="00C15251">
      <w:pPr>
        <w:pStyle w:val="p1"/>
        <w:spacing w:before="0" w:beforeAutospacing="0" w:after="0" w:afterAutospacing="0"/>
        <w:jc w:val="both"/>
        <w:rPr>
          <w:bCs/>
          <w:color w:val="002060"/>
          <w:sz w:val="16"/>
          <w:szCs w:val="16"/>
        </w:rPr>
      </w:pPr>
    </w:p>
    <w:p w14:paraId="21E3031C" w14:textId="77777777" w:rsidR="00E91F33" w:rsidRPr="00405303" w:rsidRDefault="00E91F33" w:rsidP="00C15251">
      <w:pPr>
        <w:jc w:val="both"/>
        <w:rPr>
          <w:bCs/>
          <w:color w:val="002060"/>
          <w:sz w:val="16"/>
          <w:szCs w:val="16"/>
        </w:rPr>
      </w:pPr>
      <w:r w:rsidRPr="00405303">
        <w:rPr>
          <w:bCs/>
          <w:color w:val="002060"/>
          <w:sz w:val="16"/>
          <w:szCs w:val="16"/>
        </w:rPr>
        <w:t>В середине 1915 г. Крупнейший по выпуску электротехнической аппаратуры завод Сименс и Шуккерт принял заказ от Главного военно-технического управления на поставку 98 прожекторов. Заказ полностью выполнен не был. На заседании специальной комиссии Особого совещания под руководством ген. Лукомского было выяснено, что завод Сименс и Шуккерт также переключился на изготовление более прибыльных снарядов (18381).</w:t>
      </w:r>
    </w:p>
    <w:p w14:paraId="1CFB0BB6" w14:textId="77777777" w:rsidR="00E91F33" w:rsidRPr="00405303" w:rsidRDefault="00E91F33" w:rsidP="00C15251">
      <w:pPr>
        <w:jc w:val="both"/>
        <w:rPr>
          <w:bCs/>
          <w:color w:val="002060"/>
          <w:sz w:val="16"/>
          <w:szCs w:val="16"/>
        </w:rPr>
      </w:pPr>
    </w:p>
    <w:p w14:paraId="368E9D3C" w14:textId="4EA02B9F" w:rsidR="004B4E35" w:rsidRPr="00405303" w:rsidRDefault="00DB7538"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w:t>
      </w:r>
      <w:r w:rsidR="009E6F82" w:rsidRPr="00405303">
        <w:rPr>
          <w:bCs/>
          <w:i w:val="0"/>
          <w:color w:val="002060"/>
          <w:spacing w:val="0"/>
          <w:kern w:val="0"/>
          <w:position w:val="0"/>
          <w:sz w:val="16"/>
          <w:szCs w:val="16"/>
        </w:rPr>
        <w:t xml:space="preserve"> середине 1915 г.</w:t>
      </w:r>
      <w:r w:rsidRPr="00405303">
        <w:rPr>
          <w:bCs/>
          <w:i w:val="0"/>
          <w:color w:val="002060"/>
          <w:spacing w:val="0"/>
          <w:kern w:val="0"/>
          <w:position w:val="0"/>
          <w:sz w:val="16"/>
          <w:szCs w:val="16"/>
        </w:rPr>
        <w:t xml:space="preserve"> пределом развития производительности существовавших заводов представлялось</w:t>
      </w:r>
      <w:r w:rsidR="009E6F82" w:rsidRPr="00405303">
        <w:rPr>
          <w:bCs/>
          <w:i w:val="0"/>
          <w:color w:val="002060"/>
          <w:spacing w:val="0"/>
          <w:kern w:val="0"/>
          <w:position w:val="0"/>
          <w:sz w:val="16"/>
          <w:szCs w:val="16"/>
        </w:rPr>
        <w:t xml:space="preserve"> 130 млн. в месяц, а заявленная в то время Ставкой ежемесячная норма была 200 млн.</w:t>
      </w:r>
      <w:r w:rsidRPr="00405303">
        <w:rPr>
          <w:bCs/>
          <w:i w:val="0"/>
          <w:color w:val="002060"/>
          <w:spacing w:val="0"/>
          <w:kern w:val="0"/>
          <w:position w:val="0"/>
          <w:sz w:val="16"/>
          <w:szCs w:val="16"/>
        </w:rPr>
        <w:t xml:space="preserve"> П</w:t>
      </w:r>
      <w:r w:rsidR="009E6F82" w:rsidRPr="00405303">
        <w:rPr>
          <w:bCs/>
          <w:i w:val="0"/>
          <w:color w:val="002060"/>
          <w:spacing w:val="0"/>
          <w:kern w:val="0"/>
          <w:position w:val="0"/>
          <w:sz w:val="16"/>
          <w:szCs w:val="16"/>
        </w:rPr>
        <w:t xml:space="preserve">роизводительность </w:t>
      </w:r>
      <w:r w:rsidRPr="00405303">
        <w:rPr>
          <w:bCs/>
          <w:i w:val="0"/>
          <w:color w:val="002060"/>
          <w:spacing w:val="0"/>
          <w:kern w:val="0"/>
          <w:position w:val="0"/>
          <w:sz w:val="16"/>
          <w:szCs w:val="16"/>
        </w:rPr>
        <w:t xml:space="preserve">же </w:t>
      </w:r>
      <w:r w:rsidR="009E6F82" w:rsidRPr="00405303">
        <w:rPr>
          <w:bCs/>
          <w:i w:val="0"/>
          <w:color w:val="002060"/>
          <w:spacing w:val="0"/>
          <w:kern w:val="0"/>
          <w:position w:val="0"/>
          <w:sz w:val="16"/>
          <w:szCs w:val="16"/>
        </w:rPr>
        <w:t>нового завода определялась в 70 млн. в месяц или 840 млн. в год. Разрешение постройки завода затянулось и с большим трудом было получено. Произошло это вследствие особого противодействия меднолитейного синдиката, нажавшего все пружины для того, чтобы провалить этот завод и, главным образом, не из-за патронного его отдела, а из-за меднолитейного с годовой производительностью около 1 млн. пудов латуни и около 200.000 пудов мельхиора. Вот этого отдела частные людные заводчики-монополисты никак допустить не могли. И, действительно, было им из-за чего ломать копья: сразу их грабительские цены должны были значительно упасть и им пришлось бы распрощаться с теми неслыханными барышами, которые они получали с казны на самом "законном" основании. Действительно, дело обстояло так. Частному патронному заводу казна платила за патроны по цене, средней между ценами казенных патронных заводов. И так как частный патронный завод географически и по условиям рынка находится действительно между казенными натронными заводами, то никому и в голову не могло притти оспаривать такой с виду вполне справедливый способ оплаты. На самом же деле выходило не так: в стоимости патрона главнейшую часть представляет именно самый металл, ибо стоимость механической работы патрона очень невелика (металл мягкий, пластичный, и вся работа состоит в ряде вытяжек при простых станках и очень невысоких требованиях от рабочих и инструмента); обратное явление представляет собою, например, винтовка, где стоимость материала очень невелика по сравнению со стоимостью работы (громадная точность, дорогие и сложные станки, много механической отделки, работа по очень твердому металлу, требующая искусных рабочих и особых качеств от инструмента, много калки и т. д.). А так как металл для гильз казенным заводам поставлял литейный отдел того же частного завода и к тому же и все обрезки, по условию, сдавались с казенных заводов ему же, и, конечно, за бесценок, то становится ясным, что не частный патронный завод работал по ценам якобы казенных заводов, они работали по цене частного патронного завода, устанавливавшего свою цену на медь. Вот почему и барыши его были колоссальны и почему всеми меднозаводчиками были мобилизованы все силы для провала меднолитейного отдела нового казенного патронного завода, а вместе с тем и всего завода и много энергии понадобилось, чтобы отстоять постройку его (11483).</w:t>
      </w:r>
    </w:p>
    <w:p w14:paraId="1832D39A" w14:textId="77777777" w:rsidR="004B4E35" w:rsidRPr="00405303" w:rsidRDefault="004B4E35" w:rsidP="00C15251">
      <w:pPr>
        <w:pStyle w:val="a3"/>
        <w:jc w:val="both"/>
        <w:rPr>
          <w:bCs/>
          <w:i w:val="0"/>
          <w:color w:val="002060"/>
          <w:spacing w:val="0"/>
          <w:kern w:val="0"/>
          <w:position w:val="0"/>
          <w:sz w:val="16"/>
          <w:szCs w:val="16"/>
        </w:rPr>
      </w:pPr>
    </w:p>
    <w:p w14:paraId="06CFC671" w14:textId="583D421E" w:rsidR="004B4E35" w:rsidRPr="00405303" w:rsidRDefault="00DB7538" w:rsidP="00C15251">
      <w:pPr>
        <w:jc w:val="both"/>
        <w:rPr>
          <w:bCs/>
          <w:color w:val="002060"/>
          <w:sz w:val="16"/>
          <w:szCs w:val="16"/>
        </w:rPr>
      </w:pPr>
      <w:bookmarkStart w:id="178" w:name="_Hlk117674729"/>
      <w:r w:rsidRPr="00405303">
        <w:rPr>
          <w:bCs/>
          <w:color w:val="002060"/>
          <w:sz w:val="16"/>
          <w:szCs w:val="16"/>
        </w:rPr>
        <w:t>С</w:t>
      </w:r>
      <w:r w:rsidR="009E6F82" w:rsidRPr="00405303">
        <w:rPr>
          <w:bCs/>
          <w:color w:val="002060"/>
          <w:sz w:val="16"/>
          <w:szCs w:val="16"/>
        </w:rPr>
        <w:t xml:space="preserve"> середины 1915 года</w:t>
      </w:r>
      <w:r w:rsidRPr="00405303">
        <w:rPr>
          <w:bCs/>
          <w:color w:val="002060"/>
          <w:sz w:val="16"/>
          <w:szCs w:val="16"/>
        </w:rPr>
        <w:t xml:space="preserve"> новое оборудование </w:t>
      </w:r>
      <w:r w:rsidR="000E47F3" w:rsidRPr="00405303">
        <w:rPr>
          <w:bCs/>
          <w:color w:val="002060"/>
          <w:sz w:val="16"/>
          <w:szCs w:val="16"/>
        </w:rPr>
        <w:t xml:space="preserve">на патронных заводах </w:t>
      </w:r>
      <w:r w:rsidRPr="00405303">
        <w:rPr>
          <w:bCs/>
          <w:color w:val="002060"/>
          <w:sz w:val="16"/>
          <w:szCs w:val="16"/>
        </w:rPr>
        <w:t>начало вступать в работу</w:t>
      </w:r>
      <w:r w:rsidR="000E47F3" w:rsidRPr="00405303">
        <w:rPr>
          <w:bCs/>
          <w:color w:val="002060"/>
          <w:sz w:val="16"/>
          <w:szCs w:val="16"/>
        </w:rPr>
        <w:t>.</w:t>
      </w:r>
      <w:r w:rsidR="009E6F82" w:rsidRPr="00405303">
        <w:rPr>
          <w:bCs/>
          <w:color w:val="002060"/>
          <w:sz w:val="16"/>
          <w:szCs w:val="16"/>
        </w:rPr>
        <w:t xml:space="preserve"> Таким образом, на протяжении 1915 г. заводы при максимальнейшем напряжении могли усилить выпуск патронов только примерно в два раза (с 49,9 млн до 107,9), причем частью за счет форсировки работы, частью за счет увеличения оборудования. </w:t>
      </w:r>
    </w:p>
    <w:p w14:paraId="6BFC9013" w14:textId="77777777" w:rsidR="004B4E35" w:rsidRPr="00405303" w:rsidRDefault="009E6F82" w:rsidP="00C15251">
      <w:pPr>
        <w:jc w:val="both"/>
        <w:rPr>
          <w:bCs/>
          <w:color w:val="002060"/>
          <w:sz w:val="16"/>
          <w:szCs w:val="16"/>
        </w:rPr>
      </w:pPr>
      <w:r w:rsidRPr="00405303">
        <w:rPr>
          <w:bCs/>
          <w:color w:val="002060"/>
          <w:sz w:val="16"/>
          <w:szCs w:val="16"/>
        </w:rPr>
        <w:t>За 1916 г. эффект годового нарастания выпуска получился ниже, только 1,5 (с 109,3 до 150,7), и главным образом за счет постановки дополнительного оборудования, которое, начав поступать в заводы с 1915 г., все время продолжало прибывать и в 1916 году.</w:t>
      </w:r>
    </w:p>
    <w:p w14:paraId="53301D7D" w14:textId="77777777" w:rsidR="004B4E35" w:rsidRPr="00405303" w:rsidRDefault="009E6F82" w:rsidP="00C15251">
      <w:pPr>
        <w:jc w:val="both"/>
        <w:rPr>
          <w:bCs/>
          <w:color w:val="002060"/>
          <w:sz w:val="16"/>
          <w:szCs w:val="16"/>
        </w:rPr>
      </w:pPr>
      <w:r w:rsidRPr="00405303">
        <w:rPr>
          <w:bCs/>
          <w:color w:val="002060"/>
          <w:sz w:val="16"/>
          <w:szCs w:val="16"/>
        </w:rPr>
        <w:t xml:space="preserve">Дальнейший рост производительности заводов был невозможен, так как они были насыщены станками и свободных площадей для дальнейшего развития станочных парков уже не было. </w:t>
      </w:r>
    </w:p>
    <w:p w14:paraId="77E83686" w14:textId="77777777" w:rsidR="004B4E35" w:rsidRPr="00405303" w:rsidRDefault="009E6F82" w:rsidP="00C15251">
      <w:pPr>
        <w:jc w:val="both"/>
        <w:rPr>
          <w:bCs/>
          <w:color w:val="002060"/>
          <w:sz w:val="16"/>
          <w:szCs w:val="16"/>
        </w:rPr>
      </w:pPr>
      <w:r w:rsidRPr="00405303">
        <w:rPr>
          <w:bCs/>
          <w:color w:val="002060"/>
          <w:sz w:val="16"/>
          <w:szCs w:val="16"/>
        </w:rPr>
        <w:t xml:space="preserve">Таким образом, война застала патронные заводы при средней месячной производительности около 50 млн патронов. При предельной форсировке работы и насыщении заводов до отказа оборудованием удалось на протяжении 2,5 лет поднять месячный выпуск до 150 миллионов. Эту цифру заводы давали с крайним напряжением, и ее нужно признать "вымученной" (11329). </w:t>
      </w:r>
    </w:p>
    <w:p w14:paraId="2280A506" w14:textId="77777777" w:rsidR="004B4E35" w:rsidRPr="00405303" w:rsidRDefault="004B4E35" w:rsidP="00C15251">
      <w:pPr>
        <w:jc w:val="both"/>
        <w:rPr>
          <w:bCs/>
          <w:color w:val="002060"/>
          <w:sz w:val="16"/>
          <w:szCs w:val="16"/>
        </w:rPr>
      </w:pPr>
    </w:p>
    <w:bookmarkEnd w:id="178"/>
    <w:p w14:paraId="3C4791D9" w14:textId="2C7C032F" w:rsidR="004B4E35" w:rsidRPr="00405303" w:rsidRDefault="000E47F3"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середине 1915 г. цена </w:t>
      </w:r>
      <w:r w:rsidRPr="00405303">
        <w:rPr>
          <w:bCs/>
          <w:color w:val="002060"/>
          <w:sz w:val="16"/>
          <w:szCs w:val="16"/>
        </w:rPr>
        <w:t>аллюминия</w:t>
      </w:r>
      <w:r w:rsidR="009E6F82" w:rsidRPr="00405303">
        <w:rPr>
          <w:bCs/>
          <w:color w:val="002060"/>
          <w:sz w:val="16"/>
          <w:szCs w:val="16"/>
        </w:rPr>
        <w:t xml:space="preserve"> поднялась </w:t>
      </w:r>
      <w:r w:rsidRPr="00405303">
        <w:rPr>
          <w:bCs/>
          <w:color w:val="002060"/>
          <w:sz w:val="16"/>
          <w:szCs w:val="16"/>
        </w:rPr>
        <w:t xml:space="preserve">с 20 руб. за пуд в 1914 г. </w:t>
      </w:r>
      <w:r w:rsidR="009E6F82" w:rsidRPr="00405303">
        <w:rPr>
          <w:bCs/>
          <w:color w:val="002060"/>
          <w:sz w:val="16"/>
          <w:szCs w:val="16"/>
        </w:rPr>
        <w:t xml:space="preserve">до 70 руб., а в январе 1916 г. — до 120 рублей. </w:t>
      </w:r>
    </w:p>
    <w:p w14:paraId="20B3144A" w14:textId="77777777" w:rsidR="004B4E35" w:rsidRPr="00405303" w:rsidRDefault="009E6F82" w:rsidP="00C15251">
      <w:pPr>
        <w:jc w:val="both"/>
        <w:rPr>
          <w:bCs/>
          <w:color w:val="002060"/>
          <w:sz w:val="16"/>
          <w:szCs w:val="16"/>
        </w:rPr>
      </w:pPr>
      <w:r w:rsidRPr="00405303">
        <w:rPr>
          <w:bCs/>
          <w:color w:val="002060"/>
          <w:sz w:val="16"/>
          <w:szCs w:val="16"/>
        </w:rPr>
        <w:t xml:space="preserve">Затем, заграничный рынок не мог удовлетворить всего спроса на алюминий, так как его покупала не только Россия, но и другие воюющие державы. Потребление алюминия для военных целей в 1916 г. поднялось до 500 000 пудов в год и должно было дальше возрастать. Как один из источников получения алюминия во время войны </w:t>
      </w:r>
      <w:proofErr w:type="gramStart"/>
      <w:r w:rsidRPr="00405303">
        <w:rPr>
          <w:bCs/>
          <w:color w:val="002060"/>
          <w:sz w:val="16"/>
          <w:szCs w:val="16"/>
        </w:rPr>
        <w:t>была между прочим</w:t>
      </w:r>
      <w:proofErr w:type="gramEnd"/>
      <w:r w:rsidRPr="00405303">
        <w:rPr>
          <w:bCs/>
          <w:color w:val="002060"/>
          <w:sz w:val="16"/>
          <w:szCs w:val="16"/>
        </w:rPr>
        <w:t xml:space="preserve"> введена реквизиция алюминиевой посуды и других алюминиевых изделий домашнего хозяйства. </w:t>
      </w:r>
    </w:p>
    <w:p w14:paraId="111E2849" w14:textId="77777777" w:rsidR="004B4E35" w:rsidRPr="00405303" w:rsidRDefault="009E6F82" w:rsidP="00C15251">
      <w:pPr>
        <w:jc w:val="both"/>
        <w:rPr>
          <w:bCs/>
          <w:color w:val="002060"/>
          <w:sz w:val="16"/>
          <w:szCs w:val="16"/>
        </w:rPr>
      </w:pPr>
      <w:r w:rsidRPr="00405303">
        <w:rPr>
          <w:bCs/>
          <w:color w:val="002060"/>
          <w:sz w:val="16"/>
          <w:szCs w:val="16"/>
        </w:rPr>
        <w:t xml:space="preserve">Ввиду такого положения с алюминием в текущую войну, а также учитывая будущие войны, когда потребность в алюминии неизбежно должна будет значительно возрасти, Комитет по делам металлургической промышленности совместно с ГАУ представил правительству доклад о необходимости организовать отечественное производство алюминия. </w:t>
      </w:r>
    </w:p>
    <w:p w14:paraId="4CFC4459" w14:textId="77777777" w:rsidR="004B4E35" w:rsidRPr="00405303" w:rsidRDefault="009E6F82" w:rsidP="00C15251">
      <w:pPr>
        <w:jc w:val="both"/>
        <w:rPr>
          <w:bCs/>
          <w:color w:val="002060"/>
          <w:sz w:val="16"/>
          <w:szCs w:val="16"/>
        </w:rPr>
      </w:pPr>
      <w:r w:rsidRPr="00405303">
        <w:rPr>
          <w:bCs/>
          <w:color w:val="002060"/>
          <w:sz w:val="16"/>
          <w:szCs w:val="16"/>
        </w:rPr>
        <w:t xml:space="preserve">К обсуждению этого вопроса были привлечены представители Академии наук. Особенно благоприятным для этого дела являлось присутствие в России инженера [Д.А.] Пенякова, известного знатока алюминиевого дела, поставившего это производство во Франции и Бельгии и имевшего там свои заводы. </w:t>
      </w:r>
    </w:p>
    <w:p w14:paraId="04D6DD48" w14:textId="77777777" w:rsidR="004B4E35" w:rsidRPr="00405303" w:rsidRDefault="009E6F82" w:rsidP="00C15251">
      <w:pPr>
        <w:jc w:val="both"/>
        <w:rPr>
          <w:bCs/>
          <w:color w:val="002060"/>
          <w:sz w:val="16"/>
          <w:szCs w:val="16"/>
        </w:rPr>
      </w:pPr>
      <w:r w:rsidRPr="00405303">
        <w:rPr>
          <w:bCs/>
          <w:color w:val="002060"/>
          <w:sz w:val="16"/>
          <w:szCs w:val="16"/>
        </w:rPr>
        <w:t xml:space="preserve">Указанное представление встретило в правительстве полное сочувствие, и установка алюминиевого производства в России в принципе была решена. При этом было принято решение приступить к постройке алюминиевого завода независимо от того, какие результаты даст исследование и поиски месторождений боксита — исходного материала для получения алюминия. Эти исследования предполагалось начать одновременно с постройкой завода и в случае отрицательного результата имелось в виду вести изготовление алюминия на французских бокситах, как это делалось в то время в Америке. </w:t>
      </w:r>
    </w:p>
    <w:p w14:paraId="41F3C98E" w14:textId="77777777" w:rsidR="004B4E35" w:rsidRPr="00405303" w:rsidRDefault="009E6F82" w:rsidP="00C15251">
      <w:pPr>
        <w:jc w:val="both"/>
        <w:rPr>
          <w:bCs/>
          <w:color w:val="002060"/>
          <w:sz w:val="16"/>
          <w:szCs w:val="16"/>
        </w:rPr>
      </w:pPr>
      <w:r w:rsidRPr="00405303">
        <w:rPr>
          <w:bCs/>
          <w:color w:val="002060"/>
          <w:sz w:val="16"/>
          <w:szCs w:val="16"/>
        </w:rPr>
        <w:t xml:space="preserve">Для практического осуществления добычи алюминия необходимо было построить четыре завода: первый завод — для окиси алюминия, второй завод — фтористых соединений, третий — выплавки алюминия и четвертый — угольных электродов. </w:t>
      </w:r>
    </w:p>
    <w:p w14:paraId="4088217B" w14:textId="77777777" w:rsidR="004B4E35" w:rsidRPr="00405303" w:rsidRDefault="009E6F82" w:rsidP="00C15251">
      <w:pPr>
        <w:jc w:val="both"/>
        <w:rPr>
          <w:bCs/>
          <w:color w:val="002060"/>
          <w:sz w:val="16"/>
          <w:szCs w:val="16"/>
        </w:rPr>
      </w:pPr>
      <w:r w:rsidRPr="00405303">
        <w:rPr>
          <w:bCs/>
          <w:color w:val="002060"/>
          <w:sz w:val="16"/>
          <w:szCs w:val="16"/>
        </w:rPr>
        <w:t xml:space="preserve">Стоимость устройства названных заводов оценивалась в 10 млн рублей. Что касается изысканий по части бокситов, то для этого требовался отпуск 100 000 руб. Геологическому комитету. Равным образом необходим был отпуск 100 000 руб. для розыска и обследования гидравлических сил, так как алюминиевое производство можно вести экономично только на дешевой энергии. </w:t>
      </w:r>
    </w:p>
    <w:p w14:paraId="41793DCE" w14:textId="77777777" w:rsidR="004B4E35" w:rsidRPr="00405303" w:rsidRDefault="009E6F82" w:rsidP="00C15251">
      <w:pPr>
        <w:jc w:val="both"/>
        <w:rPr>
          <w:bCs/>
          <w:color w:val="002060"/>
          <w:sz w:val="16"/>
          <w:szCs w:val="16"/>
        </w:rPr>
      </w:pPr>
      <w:r w:rsidRPr="00405303">
        <w:rPr>
          <w:bCs/>
          <w:color w:val="002060"/>
          <w:sz w:val="16"/>
          <w:szCs w:val="16"/>
        </w:rPr>
        <w:t xml:space="preserve">Все дело было рассмотрено в июле 1916 г. в Совете министров, который предложил военному ведомству, наиболее заинтересованному в алюминии, внести свои предложения о постройке алюминиевых заводов установленным порядком на законодательное рассмотрение. Дальнейшее продвижение дела шло весьма </w:t>
      </w:r>
      <w:r w:rsidRPr="00405303">
        <w:rPr>
          <w:bCs/>
          <w:color w:val="002060"/>
          <w:sz w:val="16"/>
          <w:szCs w:val="16"/>
        </w:rPr>
        <w:lastRenderedPageBreak/>
        <w:t xml:space="preserve">замедленным темпом ввиду того, что военное ведомство не могло установить соглашения с инженером Пеняковым. Таким образом дело затянулось до конца 1916 г., а затем в связи с отъездом инженера Пенякова за границу и наступившей революцией совершенно замерло (11329). </w:t>
      </w:r>
    </w:p>
    <w:p w14:paraId="6344E4AC" w14:textId="77777777" w:rsidR="004B4E35" w:rsidRPr="00405303" w:rsidRDefault="004B4E35" w:rsidP="00C15251">
      <w:pPr>
        <w:shd w:val="clear" w:color="auto" w:fill="FFFFFF"/>
        <w:jc w:val="both"/>
        <w:rPr>
          <w:bCs/>
          <w:i/>
          <w:color w:val="002060"/>
          <w:sz w:val="16"/>
          <w:szCs w:val="16"/>
        </w:rPr>
      </w:pPr>
    </w:p>
    <w:p w14:paraId="2B08A852" w14:textId="31D87910" w:rsidR="004B4E35" w:rsidRPr="00405303" w:rsidRDefault="009E6F82" w:rsidP="00C15251">
      <w:pPr>
        <w:shd w:val="clear" w:color="auto" w:fill="FFFFFF"/>
        <w:jc w:val="both"/>
        <w:rPr>
          <w:bCs/>
          <w:color w:val="002060"/>
          <w:sz w:val="16"/>
          <w:szCs w:val="16"/>
        </w:rPr>
      </w:pPr>
      <w:r w:rsidRPr="00405303">
        <w:rPr>
          <w:bCs/>
          <w:color w:val="002060"/>
          <w:sz w:val="16"/>
          <w:szCs w:val="16"/>
        </w:rPr>
        <w:t>К середине 1915 г. членом Артиллерийского комитета ГАУ генерал-майором Розенбергом была разработана 37-мм окопная пушка, которая в это же время была запущена в про</w:t>
      </w:r>
      <w:r w:rsidRPr="00405303">
        <w:rPr>
          <w:bCs/>
          <w:color w:val="002060"/>
          <w:sz w:val="16"/>
          <w:szCs w:val="16"/>
        </w:rPr>
        <w:softHyphen/>
        <w:t>изводство и в 1916 г. стала поступать в войска.</w:t>
      </w:r>
    </w:p>
    <w:p w14:paraId="062E189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Необходимость борьбы с авиацией противника вынудила уже в 1914 г. спешно заняться созданием противоаэропланной артиллерии. Конструкторы Путиловского завода Лендер и Тарковский создали 3-дюймовую зенитную пушку, которую с 1915 г. начал выпускать этот завод. Так как специальных зенитных орудий на фронте очень недоставало, то в войсках прибегали к использованию 76-мм скоро</w:t>
      </w:r>
      <w:r w:rsidRPr="00405303">
        <w:rPr>
          <w:bCs/>
          <w:color w:val="002060"/>
          <w:sz w:val="16"/>
          <w:szCs w:val="16"/>
        </w:rPr>
        <w:softHyphen/>
        <w:t>стрельных полевых пушек, устанавливая их для стрельбы в зенит на самодельные неподвижные станки.</w:t>
      </w:r>
    </w:p>
    <w:p w14:paraId="3172720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1914 по 1917г. в армии действовало 247 противоаэропланных батарей, на вооружении которых было 967 пушек 76-мм калибра.</w:t>
      </w:r>
    </w:p>
    <w:p w14:paraId="0E8C9B0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 фронте не хватало тяжелых орудий — главного средства прорыва укрепленных оборонительных полос. К середине 1916 г. на фронтах имелось ИЗО тяжелых орудий [36, с. 99] (5484).</w:t>
      </w:r>
    </w:p>
    <w:p w14:paraId="43254A3E" w14:textId="77777777" w:rsidR="004B4E35" w:rsidRPr="00405303" w:rsidRDefault="004B4E35" w:rsidP="00C15251">
      <w:pPr>
        <w:shd w:val="clear" w:color="auto" w:fill="FFFFFF"/>
        <w:jc w:val="both"/>
        <w:rPr>
          <w:bCs/>
          <w:color w:val="002060"/>
          <w:sz w:val="16"/>
          <w:szCs w:val="16"/>
        </w:rPr>
      </w:pPr>
    </w:p>
    <w:p w14:paraId="089E046B" w14:textId="3700269B" w:rsidR="004B4E35" w:rsidRPr="00405303" w:rsidRDefault="000E47F3" w:rsidP="00C15251">
      <w:pPr>
        <w:jc w:val="both"/>
        <w:rPr>
          <w:bCs/>
          <w:color w:val="002060"/>
          <w:sz w:val="16"/>
          <w:szCs w:val="16"/>
        </w:rPr>
      </w:pPr>
      <w:r w:rsidRPr="00405303">
        <w:rPr>
          <w:bCs/>
          <w:color w:val="002060"/>
          <w:sz w:val="16"/>
          <w:szCs w:val="16"/>
        </w:rPr>
        <w:t>Д</w:t>
      </w:r>
      <w:r w:rsidR="009E6F82" w:rsidRPr="00405303">
        <w:rPr>
          <w:bCs/>
          <w:color w:val="002060"/>
          <w:sz w:val="16"/>
          <w:szCs w:val="16"/>
        </w:rPr>
        <w:t>о середины 1915 г. Комиссия по заготовке взрывчатых веществ, возглавлявшаяся генералом В.Н. Ипатьевым, смогла сделать очень немного. При этом сам В.Н. Ипатьев отмечал, что никакой помощи от Министерства торговли и промышленности получить было нельзя, а начальник Главного артиллерийского управления генерал А.А. Маниковский вспоминал, что «Министерство торговли и промышленности ... никакой помощи делу снабжения армии ... не оказало», и «главным довольствующим управлениям Военного ведомства пришлось на своих плечах вынести всю тяжесть создавшегося положения» [7, с.394] (11423).</w:t>
      </w:r>
    </w:p>
    <w:p w14:paraId="311C32D2" w14:textId="098F90DF" w:rsidR="004B4E35" w:rsidRPr="00405303" w:rsidRDefault="004B4E35" w:rsidP="00C15251">
      <w:pPr>
        <w:jc w:val="both"/>
        <w:rPr>
          <w:bCs/>
          <w:color w:val="002060"/>
          <w:sz w:val="16"/>
          <w:szCs w:val="16"/>
        </w:rPr>
      </w:pPr>
    </w:p>
    <w:p w14:paraId="6A163789" w14:textId="77777777" w:rsidR="00597EAB" w:rsidRPr="00405303" w:rsidRDefault="00597EAB" w:rsidP="00C15251">
      <w:pPr>
        <w:jc w:val="both"/>
        <w:rPr>
          <w:bCs/>
          <w:color w:val="002060"/>
          <w:sz w:val="16"/>
          <w:szCs w:val="16"/>
        </w:rPr>
      </w:pPr>
      <w:r w:rsidRPr="00405303">
        <w:rPr>
          <w:bCs/>
          <w:color w:val="002060"/>
          <w:sz w:val="16"/>
          <w:szCs w:val="16"/>
        </w:rPr>
        <w:t xml:space="preserve">В середине 1915 года Всероссийскому земскому союзу (ВЗС), ведавшему снабжением армии, поручили развернуть производство транспортных аэросаней для нужд фронта (21489). </w:t>
      </w:r>
    </w:p>
    <w:p w14:paraId="715D8584" w14:textId="77777777" w:rsidR="00597EAB" w:rsidRPr="00405303" w:rsidRDefault="00597EAB" w:rsidP="00C15251">
      <w:pPr>
        <w:jc w:val="both"/>
        <w:rPr>
          <w:bCs/>
          <w:color w:val="002060"/>
          <w:sz w:val="16"/>
          <w:szCs w:val="16"/>
        </w:rPr>
      </w:pPr>
    </w:p>
    <w:p w14:paraId="2BD817BC" w14:textId="77777777" w:rsidR="00597EAB" w:rsidRPr="00405303" w:rsidRDefault="00597EAB" w:rsidP="00C15251">
      <w:pPr>
        <w:jc w:val="both"/>
        <w:rPr>
          <w:bCs/>
          <w:color w:val="002060"/>
          <w:sz w:val="16"/>
          <w:szCs w:val="16"/>
        </w:rPr>
      </w:pPr>
      <w:r w:rsidRPr="00405303">
        <w:rPr>
          <w:bCs/>
          <w:color w:val="002060"/>
          <w:sz w:val="16"/>
          <w:szCs w:val="16"/>
        </w:rPr>
        <w:t>В середине 1915 г. А.Е. Гарут разработал на базе шасси легкового автомобиля фирмы «Стел</w:t>
      </w:r>
      <w:r w:rsidRPr="00405303">
        <w:rPr>
          <w:bCs/>
          <w:color w:val="002060"/>
          <w:sz w:val="16"/>
          <w:szCs w:val="16"/>
        </w:rPr>
        <w:softHyphen/>
        <w:t>ла» лебёдку с приводом от мотора автомобиля. От конно-моторной лебёдки образца 1911 г. она отличалась работавшей бесшумно передачей от мотора и тормозами. Однако шасси легкового автомобиля оказалось слишком лёгким, что и за</w:t>
      </w:r>
      <w:r w:rsidRPr="00405303">
        <w:rPr>
          <w:bCs/>
          <w:color w:val="002060"/>
          <w:sz w:val="16"/>
          <w:szCs w:val="16"/>
        </w:rPr>
        <w:softHyphen/>
        <w:t>ставило отказаться от применения этих автолебё</w:t>
      </w:r>
      <w:r w:rsidRPr="00405303">
        <w:rPr>
          <w:bCs/>
          <w:color w:val="002060"/>
          <w:sz w:val="16"/>
          <w:szCs w:val="16"/>
        </w:rPr>
        <w:softHyphen/>
        <w:t>док на фронте.</w:t>
      </w:r>
    </w:p>
    <w:p w14:paraId="1C1347AA" w14:textId="77777777" w:rsidR="00597EAB" w:rsidRPr="00405303" w:rsidRDefault="00597EAB" w:rsidP="00C15251">
      <w:pPr>
        <w:jc w:val="both"/>
        <w:rPr>
          <w:bCs/>
          <w:color w:val="002060"/>
          <w:sz w:val="16"/>
          <w:szCs w:val="16"/>
        </w:rPr>
      </w:pPr>
      <w:r w:rsidRPr="00405303">
        <w:rPr>
          <w:bCs/>
          <w:color w:val="002060"/>
          <w:sz w:val="16"/>
          <w:szCs w:val="16"/>
        </w:rPr>
        <w:t>В 1915 г. автомобильную лебёдку сконструи</w:t>
      </w:r>
      <w:r w:rsidRPr="00405303">
        <w:rPr>
          <w:bCs/>
          <w:color w:val="002060"/>
          <w:sz w:val="16"/>
          <w:szCs w:val="16"/>
        </w:rPr>
        <w:softHyphen/>
        <w:t>ровали Е.Д. Карамышев и Б.В. Голубов, взявшие в качестве образца зарекомендовавшую себя вполне надёжной германскую конно-мотор- ную лебёдку. Для установки они выбрали шасси американского грузовика «Уайт». Е.Д. Карамы</w:t>
      </w:r>
      <w:r w:rsidRPr="00405303">
        <w:rPr>
          <w:bCs/>
          <w:color w:val="002060"/>
          <w:sz w:val="16"/>
          <w:szCs w:val="16"/>
        </w:rPr>
        <w:softHyphen/>
        <w:t>шев выполнил компоновку лебёдочной части на шасси, а также сконструировал привод и переключательную муфту между автомобилем и собственно лебёдкой, что позволило исполь</w:t>
      </w:r>
      <w:r w:rsidRPr="00405303">
        <w:rPr>
          <w:bCs/>
          <w:color w:val="002060"/>
          <w:sz w:val="16"/>
          <w:szCs w:val="16"/>
        </w:rPr>
        <w:softHyphen/>
        <w:t>зовать автомобильный двигатель мощностью 45 л.с. для снижения аэростата со скоростью 270 м/мин. Общая масса автолебёдки с тросом в 1400 м, полными баками и с экипажем из трёх человек достигала 4 т. По хорошей шоссейной дороге она развивала скорость до 65 км/ч, легко брала подъёмы и проходила по проезжим доро</w:t>
      </w:r>
      <w:r w:rsidRPr="00405303">
        <w:rPr>
          <w:bCs/>
          <w:color w:val="002060"/>
          <w:sz w:val="16"/>
          <w:szCs w:val="16"/>
        </w:rPr>
        <w:softHyphen/>
        <w:t>гам среднего качества.</w:t>
      </w:r>
    </w:p>
    <w:p w14:paraId="2AB0F95C" w14:textId="77777777" w:rsidR="00597EAB" w:rsidRPr="00405303" w:rsidRDefault="00597EAB" w:rsidP="00C15251">
      <w:pPr>
        <w:jc w:val="both"/>
        <w:rPr>
          <w:bCs/>
          <w:color w:val="002060"/>
          <w:sz w:val="16"/>
          <w:szCs w:val="16"/>
        </w:rPr>
      </w:pPr>
      <w:r w:rsidRPr="00405303">
        <w:rPr>
          <w:bCs/>
          <w:color w:val="002060"/>
          <w:sz w:val="16"/>
          <w:szCs w:val="16"/>
        </w:rPr>
        <w:t>Первую лебёдку изготовили на Адмиралтей</w:t>
      </w:r>
      <w:r w:rsidRPr="00405303">
        <w:rPr>
          <w:bCs/>
          <w:color w:val="002060"/>
          <w:sz w:val="16"/>
          <w:szCs w:val="16"/>
        </w:rPr>
        <w:softHyphen/>
        <w:t>ском судостроительном заводе в начале декабря 1915 г. (отсюда и её название — «Адсудза» — по первым слогам названия завода) После испыта</w:t>
      </w:r>
      <w:r w:rsidRPr="00405303">
        <w:rPr>
          <w:bCs/>
          <w:color w:val="002060"/>
          <w:sz w:val="16"/>
          <w:szCs w:val="16"/>
        </w:rPr>
        <w:softHyphen/>
        <w:t>ний в ОВШ её признали вполне удовлетворяю</w:t>
      </w:r>
      <w:r w:rsidRPr="00405303">
        <w:rPr>
          <w:bCs/>
          <w:color w:val="002060"/>
          <w:sz w:val="16"/>
          <w:szCs w:val="16"/>
        </w:rPr>
        <w:softHyphen/>
        <w:t>щей предъявленным требованиям и отправили на фронт.</w:t>
      </w:r>
    </w:p>
    <w:p w14:paraId="625B0587" w14:textId="77777777" w:rsidR="00597EAB" w:rsidRPr="00405303" w:rsidRDefault="00597EAB" w:rsidP="00C15251">
      <w:pPr>
        <w:jc w:val="both"/>
        <w:rPr>
          <w:bCs/>
          <w:color w:val="002060"/>
          <w:sz w:val="16"/>
          <w:szCs w:val="16"/>
        </w:rPr>
      </w:pPr>
      <w:r w:rsidRPr="00405303">
        <w:rPr>
          <w:bCs/>
          <w:color w:val="002060"/>
          <w:sz w:val="16"/>
          <w:szCs w:val="16"/>
        </w:rPr>
        <w:t>По опыту боевого применения автолебёдок Е.Д. Карамышев предложил ряд усовершенство</w:t>
      </w:r>
      <w:r w:rsidRPr="00405303">
        <w:rPr>
          <w:bCs/>
          <w:color w:val="002060"/>
          <w:sz w:val="16"/>
          <w:szCs w:val="16"/>
        </w:rPr>
        <w:softHyphen/>
        <w:t>ваний в их конструкции, но в автолебёдках вто</w:t>
      </w:r>
      <w:r w:rsidRPr="00405303">
        <w:rPr>
          <w:bCs/>
          <w:color w:val="002060"/>
          <w:sz w:val="16"/>
          <w:szCs w:val="16"/>
        </w:rPr>
        <w:softHyphen/>
        <w:t>рой и третьей серий (по 20 единиц) осуществи</w:t>
      </w:r>
      <w:r w:rsidRPr="00405303">
        <w:rPr>
          <w:bCs/>
          <w:color w:val="002060"/>
          <w:sz w:val="16"/>
          <w:szCs w:val="16"/>
        </w:rPr>
        <w:softHyphen/>
        <w:t>ли лишь те из них, которые не задерживали их выпуск. В 1916 г. завод изготавливал в месяц по четыре лебёдки с полным комплектом мелких за</w:t>
      </w:r>
      <w:r w:rsidRPr="00405303">
        <w:rPr>
          <w:bCs/>
          <w:color w:val="002060"/>
          <w:sz w:val="16"/>
          <w:szCs w:val="16"/>
        </w:rPr>
        <w:softHyphen/>
        <w:t>пасных частей. На каждые пять лебёдок в возду</w:t>
      </w:r>
      <w:r w:rsidRPr="00405303">
        <w:rPr>
          <w:bCs/>
          <w:color w:val="002060"/>
          <w:sz w:val="16"/>
          <w:szCs w:val="16"/>
        </w:rPr>
        <w:softHyphen/>
        <w:t>хоплавательный парк фронта посылалось также особое депо крупных запасных частей (радиатор, колёса и т.д.). На заводе делали также целые ком</w:t>
      </w:r>
      <w:r w:rsidRPr="00405303">
        <w:rPr>
          <w:bCs/>
          <w:color w:val="002060"/>
          <w:sz w:val="16"/>
          <w:szCs w:val="16"/>
        </w:rPr>
        <w:softHyphen/>
        <w:t>плекты лебёдочных механизмов для ускорения замены изношенных. Автолёбедки использова</w:t>
      </w:r>
      <w:r w:rsidRPr="00405303">
        <w:rPr>
          <w:bCs/>
          <w:color w:val="002060"/>
          <w:sz w:val="16"/>
          <w:szCs w:val="16"/>
        </w:rPr>
        <w:softHyphen/>
        <w:t>лись русской и Красной Армией до начала 1930-х годов.</w:t>
      </w:r>
    </w:p>
    <w:p w14:paraId="58EFF458" w14:textId="77777777" w:rsidR="00597EAB" w:rsidRPr="00405303" w:rsidRDefault="00597EAB" w:rsidP="00C15251">
      <w:pPr>
        <w:jc w:val="both"/>
        <w:rPr>
          <w:bCs/>
          <w:color w:val="002060"/>
          <w:sz w:val="16"/>
          <w:szCs w:val="16"/>
        </w:rPr>
      </w:pPr>
      <w:r w:rsidRPr="00405303">
        <w:rPr>
          <w:bCs/>
          <w:color w:val="002060"/>
          <w:sz w:val="16"/>
          <w:szCs w:val="16"/>
        </w:rPr>
        <w:t>В небольшом количестве поступали в русскую армию и французские автолебёдки «Делаге», имевшие лёгкое бронирование и по две одинако</w:t>
      </w:r>
      <w:r w:rsidRPr="00405303">
        <w:rPr>
          <w:bCs/>
          <w:color w:val="002060"/>
          <w:sz w:val="16"/>
          <w:szCs w:val="16"/>
        </w:rPr>
        <w:softHyphen/>
        <w:t>вые лебёдки (вторая запасная) (20120).</w:t>
      </w:r>
    </w:p>
    <w:p w14:paraId="087DA7D1" w14:textId="77777777" w:rsidR="00597EAB" w:rsidRPr="00405303" w:rsidRDefault="00597EAB" w:rsidP="00C15251">
      <w:pPr>
        <w:jc w:val="both"/>
        <w:rPr>
          <w:bCs/>
          <w:color w:val="002060"/>
          <w:sz w:val="16"/>
          <w:szCs w:val="16"/>
        </w:rPr>
      </w:pPr>
    </w:p>
    <w:p w14:paraId="5D3ECA18" w14:textId="77777777" w:rsidR="002F16FA" w:rsidRPr="00405303" w:rsidRDefault="002F16FA" w:rsidP="00C15251">
      <w:pPr>
        <w:shd w:val="clear" w:color="auto" w:fill="FFFFFF"/>
        <w:jc w:val="both"/>
        <w:rPr>
          <w:bCs/>
          <w:i/>
          <w:color w:val="002060"/>
          <w:sz w:val="16"/>
          <w:szCs w:val="16"/>
        </w:rPr>
      </w:pPr>
      <w:r w:rsidRPr="00405303">
        <w:rPr>
          <w:bCs/>
          <w:i/>
          <w:color w:val="002060"/>
          <w:sz w:val="16"/>
          <w:szCs w:val="16"/>
        </w:rPr>
        <w:t>Авиация:</w:t>
      </w:r>
    </w:p>
    <w:p w14:paraId="4CDBD2AF" w14:textId="77777777" w:rsidR="002F16FA" w:rsidRPr="00405303" w:rsidRDefault="002F16FA" w:rsidP="00C15251">
      <w:pPr>
        <w:shd w:val="clear" w:color="auto" w:fill="FFFFFF"/>
        <w:jc w:val="both"/>
        <w:rPr>
          <w:bCs/>
          <w:i/>
          <w:color w:val="002060"/>
          <w:sz w:val="16"/>
          <w:szCs w:val="16"/>
        </w:rPr>
      </w:pPr>
    </w:p>
    <w:p w14:paraId="282E66DB" w14:textId="77777777" w:rsidR="002F16FA" w:rsidRPr="00405303" w:rsidRDefault="002F16FA" w:rsidP="00C15251">
      <w:pPr>
        <w:jc w:val="both"/>
        <w:rPr>
          <w:bCs/>
          <w:color w:val="002060"/>
          <w:sz w:val="16"/>
          <w:szCs w:val="16"/>
        </w:rPr>
      </w:pPr>
      <w:r w:rsidRPr="00405303">
        <w:rPr>
          <w:bCs/>
          <w:color w:val="002060"/>
          <w:sz w:val="16"/>
          <w:szCs w:val="16"/>
        </w:rPr>
        <w:t>В середине 1915 года и на восточном фронте войска закрепились на позициях. Условия работы авиации стали аналогичными таковым на западном фронте. Неприятельские пехотные и артиллерийские позиции определялись при помощи аэрофотосъемки; по воздушным снимкам исправлялись старые, чрезвычайноплохие карты; все возводимые противником сооружения находились под строгим наблюдением. Особо важную роль играло наблюдение за неприятельским железнодорожным сообщением. В противоположность западному фронту, здесь при незначительном количестве железнодорожных линий и слабом движении сосредоточение воинских поездов было нетрудно заметить. Нередко показания пленных дополняли картину, полученную летчиками; иногда они оказывались также ценными при установлении деталей на воздушных снимках. В чисто техническом отношении обширные пространства и суровый климат на восточном фронте требовали от летчиков особой выносливости, воздушные же бои, благодаря бездеятельности русской авиации, происходили редко; не было также необходимости защищать сражающиеся на земле войска от нападений неприятельских самолетов. Можно было все силы бросить на воздушную разведку и сократить число авиаотрядов на восточном фронте в пользу западного. Что касается истребительных частей, то на восточном фронте действовала максимум одна истребительная эскадрилья. Кроме того, более легкие условия воздушной войны на востоке позволяли заменять свежий летный состав восточного фронта уставшим от боев составом с запада. В отношении снабжения самолетами восточный фронт также стоял на втором плане и нередко довольствовался теми аппаратами, которые для западного фронта были уже непригодны. Все наши силы поглощались западным фронтом. Привязные аэростаты на востоке, вследствие больших расстояний, действовали изолировано; недостаток железных и обыкновенных дорог затруднял снабжение и делал невозможным их массовое применение в маневренной войне. Опытом западного фронта нельзя было непосредственно пользоваться на восточном фронте. Для воздухоплавателей на восточном фронте имело равное значение как тактическая разведка, так и деятельность в качестве артиллерийских наблюдателей с возвышенных пунктов (11282).</w:t>
      </w:r>
    </w:p>
    <w:p w14:paraId="172CACE3" w14:textId="77777777" w:rsidR="002F16FA" w:rsidRPr="00405303" w:rsidRDefault="002F16FA" w:rsidP="00C15251">
      <w:pPr>
        <w:jc w:val="both"/>
        <w:rPr>
          <w:bCs/>
          <w:color w:val="002060"/>
          <w:sz w:val="16"/>
          <w:szCs w:val="16"/>
        </w:rPr>
      </w:pPr>
    </w:p>
    <w:p w14:paraId="27F14553" w14:textId="77777777" w:rsidR="002F16FA" w:rsidRPr="00405303" w:rsidRDefault="002F16FA" w:rsidP="00C15251">
      <w:pPr>
        <w:jc w:val="both"/>
        <w:rPr>
          <w:bCs/>
          <w:color w:val="002060"/>
          <w:sz w:val="16"/>
          <w:szCs w:val="16"/>
        </w:rPr>
      </w:pPr>
      <w:r w:rsidRPr="00405303">
        <w:rPr>
          <w:bCs/>
          <w:color w:val="002060"/>
          <w:sz w:val="16"/>
          <w:szCs w:val="16"/>
        </w:rPr>
        <w:t>Начиная с середины 1915 г. невооруженный самолет уже считался неполноценной боевой машиной.</w:t>
      </w:r>
    </w:p>
    <w:p w14:paraId="6DFD5837" w14:textId="77777777" w:rsidR="002F16FA" w:rsidRPr="00405303" w:rsidRDefault="002F16FA" w:rsidP="00C15251">
      <w:pPr>
        <w:jc w:val="both"/>
        <w:rPr>
          <w:bCs/>
          <w:color w:val="002060"/>
          <w:sz w:val="16"/>
          <w:szCs w:val="16"/>
        </w:rPr>
      </w:pPr>
      <w:r w:rsidRPr="00405303">
        <w:rPr>
          <w:bCs/>
          <w:color w:val="002060"/>
          <w:sz w:val="16"/>
          <w:szCs w:val="16"/>
        </w:rPr>
        <w:t>На первых боевых самолетах наблюдатель сидел впереди, а летчик сзади. Тактика воздушного боя заставила изменить положение и перенести штурвал управления вперед, а пулеметную турель назад.</w:t>
      </w:r>
    </w:p>
    <w:p w14:paraId="2B2E38BB" w14:textId="77777777" w:rsidR="002F16FA" w:rsidRPr="00405303" w:rsidRDefault="002F16FA" w:rsidP="00C15251">
      <w:pPr>
        <w:jc w:val="both"/>
        <w:rPr>
          <w:bCs/>
          <w:color w:val="002060"/>
          <w:sz w:val="16"/>
          <w:szCs w:val="16"/>
        </w:rPr>
      </w:pPr>
      <w:r w:rsidRPr="00405303">
        <w:rPr>
          <w:bCs/>
          <w:color w:val="002060"/>
          <w:sz w:val="16"/>
          <w:szCs w:val="16"/>
        </w:rPr>
        <w:t>Для одноместного истребителя было важным, чтобы капот двигателя не мешал обзору. Сиденье пилота пришлось поднять, на фюзеляже возник так называемый горб.</w:t>
      </w:r>
    </w:p>
    <w:p w14:paraId="2743366D" w14:textId="77777777" w:rsidR="002F16FA" w:rsidRPr="00405303" w:rsidRDefault="002F16FA" w:rsidP="00C15251">
      <w:pPr>
        <w:jc w:val="both"/>
        <w:rPr>
          <w:bCs/>
          <w:color w:val="002060"/>
          <w:sz w:val="16"/>
          <w:szCs w:val="16"/>
        </w:rPr>
      </w:pPr>
      <w:r w:rsidRPr="00405303">
        <w:rPr>
          <w:bCs/>
          <w:color w:val="002060"/>
          <w:sz w:val="16"/>
          <w:szCs w:val="16"/>
        </w:rPr>
        <w:t>Главному конструктору французской фирмы "Депер- дюссен" инженеру Бешеро удалось построить истребитель "СПАД", который имел вместо ферменного фюзеляжа ко- ковый, выклеенный из тополевого шпона. Хорошие аэродинамические формы машины и двигатель "Рено" мощностью 220 л. с. позволили ей развивать скорость свыше 170 км/час!</w:t>
      </w:r>
    </w:p>
    <w:p w14:paraId="588BBAEE" w14:textId="77777777" w:rsidR="002F16FA" w:rsidRPr="00405303" w:rsidRDefault="002F16FA" w:rsidP="00C15251">
      <w:pPr>
        <w:jc w:val="both"/>
        <w:rPr>
          <w:bCs/>
          <w:color w:val="002060"/>
          <w:sz w:val="16"/>
          <w:szCs w:val="16"/>
        </w:rPr>
      </w:pPr>
      <w:r w:rsidRPr="00405303">
        <w:rPr>
          <w:bCs/>
          <w:color w:val="002060"/>
          <w:sz w:val="16"/>
          <w:szCs w:val="16"/>
        </w:rPr>
        <w:t>В середине 1915 г. русским летчикам пришлось столкнутьея с немецкими самолетами, стрелявшими через винт. Это были главным образом двухместные монопланы "Фоккер", представлявшие собой почти точную копию французских "Моранов".</w:t>
      </w:r>
    </w:p>
    <w:p w14:paraId="038F134F" w14:textId="77777777" w:rsidR="002F16FA" w:rsidRPr="00405303" w:rsidRDefault="002F16FA" w:rsidP="00C15251">
      <w:pPr>
        <w:jc w:val="both"/>
        <w:rPr>
          <w:bCs/>
          <w:color w:val="002060"/>
          <w:sz w:val="16"/>
          <w:szCs w:val="16"/>
        </w:rPr>
      </w:pPr>
      <w:r w:rsidRPr="00405303">
        <w:rPr>
          <w:bCs/>
          <w:color w:val="002060"/>
          <w:sz w:val="16"/>
          <w:szCs w:val="16"/>
        </w:rPr>
        <w:t>Обхваты, передвижения и остановки русской армии при ее отступлении после прорыва германской армии у Горлице беспрерывно отслеживались германскими летчиками.</w:t>
      </w:r>
    </w:p>
    <w:p w14:paraId="22E45ED2" w14:textId="77777777" w:rsidR="002F16FA" w:rsidRPr="00405303" w:rsidRDefault="002F16FA" w:rsidP="00C15251">
      <w:pPr>
        <w:jc w:val="both"/>
        <w:rPr>
          <w:bCs/>
          <w:color w:val="002060"/>
          <w:sz w:val="16"/>
          <w:szCs w:val="16"/>
        </w:rPr>
      </w:pPr>
      <w:r w:rsidRPr="00405303">
        <w:rPr>
          <w:bCs/>
          <w:color w:val="002060"/>
          <w:sz w:val="16"/>
          <w:szCs w:val="16"/>
        </w:rPr>
        <w:t>31-й германский авиаотряд достиг того, что его самолеты находились в воздухе беспрерывно с 3-х часов утра до 8-ми вечера, возвращаясь на аэродром исключительно для пополнения горючего.</w:t>
      </w:r>
    </w:p>
    <w:p w14:paraId="2E165CB5" w14:textId="77777777" w:rsidR="002F16FA" w:rsidRPr="00405303" w:rsidRDefault="002F16FA" w:rsidP="00C15251">
      <w:pPr>
        <w:jc w:val="both"/>
        <w:rPr>
          <w:bCs/>
          <w:color w:val="002060"/>
          <w:sz w:val="16"/>
          <w:szCs w:val="16"/>
        </w:rPr>
      </w:pPr>
      <w:r w:rsidRPr="00405303">
        <w:rPr>
          <w:bCs/>
          <w:color w:val="002060"/>
          <w:sz w:val="16"/>
          <w:szCs w:val="16"/>
        </w:rPr>
        <w:lastRenderedPageBreak/>
        <w:t>Русские летчики, летавшие в основном на самолетах с толкающими винтами, поскольку только на них возможно было установить пулемет спереди, оказались фактически безоружными из-за большой мертвой зоны сзади. Большие потери в авиаотрядах ставили иод угрозу срыва важнейшие военные операции и вынудили командование фронтов и армий забить тревогу. В Ставку поступали многочисленные запросы и требования.</w:t>
      </w:r>
    </w:p>
    <w:p w14:paraId="2AEF4AFF" w14:textId="77777777" w:rsidR="002F16FA" w:rsidRPr="00405303" w:rsidRDefault="002F16FA" w:rsidP="00C15251">
      <w:pPr>
        <w:jc w:val="both"/>
        <w:rPr>
          <w:bCs/>
          <w:color w:val="002060"/>
          <w:sz w:val="16"/>
          <w:szCs w:val="16"/>
        </w:rPr>
      </w:pPr>
      <w:r w:rsidRPr="00405303">
        <w:rPr>
          <w:bCs/>
          <w:color w:val="002060"/>
          <w:sz w:val="16"/>
          <w:szCs w:val="16"/>
        </w:rPr>
        <w:t>Однако Россия, оказавшись в более стесненных условиях, возможно, вынужденно опережала противника в способах применения авиации; в этом месяце произошло одно, на первый взгляд, незначительное, но имевшее большие последствия событие. Русский летчик Солодовников провел на самолете "Ньюпор" эксперимент бомбометания с пикирования. Он попал под интенсивный обстрел наземных войск. Снарядом был поврежден винт и сорван капот двигателя. Аппарат резко перешел в пикирование. В этот момент русский летчик увидел прямо под собой германскую батарею и потянул на себя рукоятку бомбосбрасывателя. Бомба точно попала в цель, причинив большие разрушения батарее.</w:t>
      </w:r>
    </w:p>
    <w:p w14:paraId="391CD7CD" w14:textId="77777777" w:rsidR="002F16FA" w:rsidRPr="00405303" w:rsidRDefault="002F16FA" w:rsidP="00C15251">
      <w:pPr>
        <w:jc w:val="both"/>
        <w:rPr>
          <w:bCs/>
          <w:color w:val="002060"/>
          <w:sz w:val="16"/>
          <w:szCs w:val="16"/>
        </w:rPr>
      </w:pPr>
      <w:r w:rsidRPr="00405303">
        <w:rPr>
          <w:bCs/>
          <w:color w:val="002060"/>
          <w:sz w:val="16"/>
          <w:szCs w:val="16"/>
        </w:rPr>
        <w:t>В этом же месяце в Галиции русский авиатор 30-го авиационного отряда Шадский, также летавший на самолете "Ньюпор", повторил подобный прием. Он обнаружил в районе Черновиц австрийский змейковый аэростат. Спикировав на цель с высоты 1200 м, Шадский тремя 16-ти кг бомбами уничтожил аэростат, затем выровнял самолет и спланировал к русским окопам (11999).</w:t>
      </w:r>
    </w:p>
    <w:p w14:paraId="228FB209" w14:textId="77777777" w:rsidR="002F16FA" w:rsidRPr="00405303" w:rsidRDefault="002F16FA" w:rsidP="00C15251">
      <w:pPr>
        <w:jc w:val="both"/>
        <w:rPr>
          <w:bCs/>
          <w:color w:val="002060"/>
          <w:sz w:val="16"/>
          <w:szCs w:val="16"/>
        </w:rPr>
      </w:pPr>
    </w:p>
    <w:p w14:paraId="7DADBF95" w14:textId="77777777" w:rsidR="002F16FA" w:rsidRPr="00405303" w:rsidRDefault="002F16FA" w:rsidP="00C15251">
      <w:pPr>
        <w:jc w:val="both"/>
        <w:rPr>
          <w:bCs/>
          <w:i/>
          <w:color w:val="002060"/>
          <w:sz w:val="16"/>
          <w:szCs w:val="16"/>
        </w:rPr>
      </w:pPr>
      <w:r w:rsidRPr="00405303">
        <w:rPr>
          <w:bCs/>
          <w:i/>
          <w:color w:val="002060"/>
          <w:sz w:val="16"/>
          <w:szCs w:val="16"/>
        </w:rPr>
        <w:t>Воздухоплавание:</w:t>
      </w:r>
    </w:p>
    <w:p w14:paraId="0D9BBFCD" w14:textId="77777777" w:rsidR="002F16FA" w:rsidRPr="00405303" w:rsidRDefault="002F16FA" w:rsidP="00C15251">
      <w:pPr>
        <w:jc w:val="both"/>
        <w:rPr>
          <w:bCs/>
          <w:i/>
          <w:color w:val="002060"/>
          <w:sz w:val="16"/>
          <w:szCs w:val="16"/>
        </w:rPr>
      </w:pPr>
    </w:p>
    <w:p w14:paraId="2B19DAF0" w14:textId="77777777" w:rsidR="002F16FA" w:rsidRPr="00405303" w:rsidRDefault="002F16FA" w:rsidP="00C15251">
      <w:pPr>
        <w:shd w:val="clear" w:color="auto" w:fill="FFFFFF"/>
        <w:jc w:val="both"/>
        <w:rPr>
          <w:bCs/>
          <w:color w:val="002060"/>
          <w:sz w:val="16"/>
          <w:szCs w:val="16"/>
        </w:rPr>
      </w:pPr>
      <w:r w:rsidRPr="00405303">
        <w:rPr>
          <w:bCs/>
          <w:color w:val="002060"/>
          <w:sz w:val="16"/>
          <w:szCs w:val="16"/>
        </w:rPr>
        <w:t>С середины 1915 года активность воздухоплава</w:t>
      </w:r>
      <w:r w:rsidRPr="00405303">
        <w:rPr>
          <w:bCs/>
          <w:color w:val="002060"/>
          <w:sz w:val="16"/>
          <w:szCs w:val="16"/>
        </w:rPr>
        <w:softHyphen/>
        <w:t>тельных частей стала снижаться. В первую очередь это объяснялось появлением у противника самоле</w:t>
      </w:r>
      <w:r w:rsidRPr="00405303">
        <w:rPr>
          <w:bCs/>
          <w:color w:val="002060"/>
          <w:sz w:val="16"/>
          <w:szCs w:val="16"/>
        </w:rPr>
        <w:softHyphen/>
        <w:t>тов-истребителей. Оснащенные пулеметами, стреляв</w:t>
      </w:r>
      <w:r w:rsidRPr="00405303">
        <w:rPr>
          <w:bCs/>
          <w:color w:val="002060"/>
          <w:sz w:val="16"/>
          <w:szCs w:val="16"/>
        </w:rPr>
        <w:softHyphen/>
        <w:t>шими зажигательными пулями, они легко поражали шары и дирижабли. Большая часть русских баз аэро</w:t>
      </w:r>
      <w:r w:rsidRPr="00405303">
        <w:rPr>
          <w:bCs/>
          <w:color w:val="002060"/>
          <w:sz w:val="16"/>
          <w:szCs w:val="16"/>
        </w:rPr>
        <w:softHyphen/>
        <w:t>статов находилась вблизи границы, и в ходе боевых действий они были уничтожены или захвачены не</w:t>
      </w:r>
      <w:r w:rsidRPr="00405303">
        <w:rPr>
          <w:bCs/>
          <w:color w:val="002060"/>
          <w:sz w:val="16"/>
          <w:szCs w:val="16"/>
        </w:rPr>
        <w:softHyphen/>
        <w:t>мецкими войсками. Новых же поступлений аэроста</w:t>
      </w:r>
      <w:r w:rsidRPr="00405303">
        <w:rPr>
          <w:bCs/>
          <w:color w:val="002060"/>
          <w:sz w:val="16"/>
          <w:szCs w:val="16"/>
        </w:rPr>
        <w:softHyphen/>
        <w:t>тов в армию не было. После взятия противником Сосновицкого трубо</w:t>
      </w:r>
      <w:r w:rsidRPr="00405303">
        <w:rPr>
          <w:bCs/>
          <w:color w:val="002060"/>
          <w:sz w:val="16"/>
          <w:szCs w:val="16"/>
        </w:rPr>
        <w:softHyphen/>
        <w:t>прокатного завода, где размещалось производство по заправке водородом металлических баллонов, снаб</w:t>
      </w:r>
      <w:r w:rsidRPr="00405303">
        <w:rPr>
          <w:bCs/>
          <w:color w:val="002060"/>
          <w:sz w:val="16"/>
          <w:szCs w:val="16"/>
        </w:rPr>
        <w:softHyphen/>
        <w:t>жение воздухоплавательных частей газом значитель</w:t>
      </w:r>
      <w:r w:rsidRPr="00405303">
        <w:rPr>
          <w:bCs/>
          <w:color w:val="002060"/>
          <w:sz w:val="16"/>
          <w:szCs w:val="16"/>
        </w:rPr>
        <w:softHyphen/>
        <w:t>но ухудшилось. Сказывалась также нехватка химичес</w:t>
      </w:r>
      <w:r w:rsidRPr="00405303">
        <w:rPr>
          <w:bCs/>
          <w:color w:val="002060"/>
          <w:sz w:val="16"/>
          <w:szCs w:val="16"/>
        </w:rPr>
        <w:softHyphen/>
        <w:t>ких компонентов для производства водорода, кото</w:t>
      </w:r>
      <w:r w:rsidRPr="00405303">
        <w:rPr>
          <w:bCs/>
          <w:color w:val="002060"/>
          <w:sz w:val="16"/>
          <w:szCs w:val="16"/>
        </w:rPr>
        <w:softHyphen/>
        <w:t>рые поставлялись в основном из-за границы. Не последнюю роль в процессе вытеснения воздухопла</w:t>
      </w:r>
      <w:r w:rsidRPr="00405303">
        <w:rPr>
          <w:bCs/>
          <w:color w:val="002060"/>
          <w:sz w:val="16"/>
          <w:szCs w:val="16"/>
        </w:rPr>
        <w:softHyphen/>
        <w:t>вательной техники с армейской службы сыграла бы</w:t>
      </w:r>
      <w:r w:rsidRPr="00405303">
        <w:rPr>
          <w:bCs/>
          <w:color w:val="002060"/>
          <w:sz w:val="16"/>
          <w:szCs w:val="16"/>
        </w:rPr>
        <w:softHyphen/>
        <w:t>стро прогрессирующая авиация, которой военное ру</w:t>
      </w:r>
      <w:r w:rsidRPr="00405303">
        <w:rPr>
          <w:bCs/>
          <w:color w:val="002060"/>
          <w:sz w:val="16"/>
          <w:szCs w:val="16"/>
        </w:rPr>
        <w:softHyphen/>
        <w:t>ководство отдавало все большее предпочтение (553).</w:t>
      </w:r>
    </w:p>
    <w:p w14:paraId="19F0FD42" w14:textId="77777777" w:rsidR="002F16FA" w:rsidRPr="00405303" w:rsidRDefault="002F16FA" w:rsidP="00C15251">
      <w:pPr>
        <w:shd w:val="clear" w:color="auto" w:fill="FFFFFF"/>
        <w:jc w:val="both"/>
        <w:rPr>
          <w:bCs/>
          <w:color w:val="002060"/>
          <w:sz w:val="16"/>
          <w:szCs w:val="16"/>
        </w:rPr>
      </w:pPr>
    </w:p>
    <w:p w14:paraId="4D309F2C" w14:textId="77777777" w:rsidR="002F16FA" w:rsidRPr="00405303" w:rsidRDefault="002F16FA" w:rsidP="00C15251">
      <w:pPr>
        <w:jc w:val="both"/>
        <w:rPr>
          <w:bCs/>
          <w:color w:val="002060"/>
          <w:sz w:val="16"/>
          <w:szCs w:val="16"/>
        </w:rPr>
      </w:pPr>
      <w:r w:rsidRPr="00405303">
        <w:rPr>
          <w:bCs/>
          <w:color w:val="002060"/>
          <w:sz w:val="16"/>
          <w:szCs w:val="16"/>
        </w:rPr>
        <w:t>С середины 1915 года боевая работа воздухоплавательных рот сильно осложнилась появлением самолетов-истребителей, стрелявших зажигательными пулями, от которых наполненные водородом дирижабли легко воспламенялись. Грозным противником дирижаблей стала зенитная артиллерия. При отсутствии истребителей сопровождения, при высоте полета, не превышавшей 2000-2500 м и при малой скорости выполнять боевые задания дирижаблям становилось все труднее и труднее. Неудивительно, что «Кондор» и «Беркут» вскоре погибли. Такой же была и судьба многих германских цепеллинов. Русские артиллеристы научились расправляться с этими воздушными гигантами. Так, цепеллин, пытавшийся бомбить Варшаву, был подбит огнем артиллерии. Другой цепеллин во время налета на станцию Млава сбили артиллеристы конной батареи (11324).</w:t>
      </w:r>
    </w:p>
    <w:p w14:paraId="5D573ECA" w14:textId="77777777" w:rsidR="002F16FA" w:rsidRPr="00405303" w:rsidRDefault="002F16FA" w:rsidP="00C15251">
      <w:pPr>
        <w:shd w:val="clear" w:color="auto" w:fill="FFFFFF"/>
        <w:jc w:val="both"/>
        <w:rPr>
          <w:bCs/>
          <w:i/>
          <w:color w:val="002060"/>
          <w:sz w:val="16"/>
          <w:szCs w:val="16"/>
        </w:rPr>
      </w:pPr>
    </w:p>
    <w:p w14:paraId="7710A31F" w14:textId="77777777" w:rsidR="002F16FA" w:rsidRPr="00405303" w:rsidRDefault="002F16FA" w:rsidP="00C15251">
      <w:pPr>
        <w:jc w:val="both"/>
        <w:rPr>
          <w:bCs/>
          <w:color w:val="002060"/>
          <w:sz w:val="16"/>
          <w:szCs w:val="16"/>
        </w:rPr>
      </w:pPr>
      <w:r w:rsidRPr="00405303">
        <w:rPr>
          <w:bCs/>
          <w:color w:val="002060"/>
          <w:sz w:val="16"/>
          <w:szCs w:val="16"/>
        </w:rPr>
        <w:t>В середине 1915 года Древницкий решил отправиться в но</w:t>
      </w:r>
      <w:r w:rsidRPr="00405303">
        <w:rPr>
          <w:bCs/>
          <w:color w:val="002060"/>
          <w:sz w:val="16"/>
          <w:szCs w:val="16"/>
        </w:rPr>
        <w:softHyphen/>
        <w:t>вую поездку со своим шаром и парашютом. Он чувствовал, что это будет его последнее турне, да и зрелищные полеты в условиях войны выглядели не ко времени.</w:t>
      </w:r>
    </w:p>
    <w:p w14:paraId="544ED100" w14:textId="77777777" w:rsidR="002F16FA" w:rsidRPr="00405303" w:rsidRDefault="002F16FA" w:rsidP="00C15251">
      <w:pPr>
        <w:jc w:val="both"/>
        <w:rPr>
          <w:bCs/>
          <w:color w:val="002060"/>
          <w:sz w:val="16"/>
          <w:szCs w:val="16"/>
        </w:rPr>
      </w:pPr>
      <w:r w:rsidRPr="00405303">
        <w:rPr>
          <w:bCs/>
          <w:color w:val="002060"/>
          <w:sz w:val="16"/>
          <w:szCs w:val="16"/>
        </w:rPr>
        <w:t>В июне Древницкий прибыл в Курск. Он совершил здесь два по</w:t>
      </w:r>
      <w:r w:rsidRPr="00405303">
        <w:rPr>
          <w:bCs/>
          <w:color w:val="002060"/>
          <w:sz w:val="16"/>
          <w:szCs w:val="16"/>
        </w:rPr>
        <w:softHyphen/>
        <w:t>лета из сада Купеческого собра</w:t>
      </w:r>
      <w:r w:rsidRPr="00405303">
        <w:rPr>
          <w:bCs/>
          <w:color w:val="002060"/>
          <w:sz w:val="16"/>
          <w:szCs w:val="16"/>
        </w:rPr>
        <w:softHyphen/>
        <w:t>ния и убедился, что еще остались у него силы, а зрители все так же восторженно его принимают. «Гром аплодисментов встретил смельчака-авиатора, — писала газета 'Курская быль", — когда после прыжка он возвратился в сад».</w:t>
      </w:r>
    </w:p>
    <w:p w14:paraId="6EB4C6D6" w14:textId="77777777" w:rsidR="002F16FA" w:rsidRPr="00405303" w:rsidRDefault="002F16FA" w:rsidP="00C15251">
      <w:pPr>
        <w:jc w:val="both"/>
        <w:rPr>
          <w:bCs/>
          <w:color w:val="002060"/>
          <w:sz w:val="16"/>
          <w:szCs w:val="16"/>
        </w:rPr>
      </w:pPr>
      <w:r w:rsidRPr="00405303">
        <w:rPr>
          <w:bCs/>
          <w:color w:val="002060"/>
          <w:sz w:val="16"/>
          <w:szCs w:val="16"/>
        </w:rPr>
        <w:t>Следующей была Тула. Пры</w:t>
      </w:r>
      <w:r w:rsidRPr="00405303">
        <w:rPr>
          <w:bCs/>
          <w:color w:val="002060"/>
          <w:sz w:val="16"/>
          <w:szCs w:val="16"/>
        </w:rPr>
        <w:softHyphen/>
        <w:t>гал он с управляемым парашю</w:t>
      </w:r>
      <w:r w:rsidRPr="00405303">
        <w:rPr>
          <w:bCs/>
          <w:color w:val="002060"/>
          <w:sz w:val="16"/>
          <w:szCs w:val="16"/>
        </w:rPr>
        <w:softHyphen/>
        <w:t>том, и газеты это отметили.</w:t>
      </w:r>
    </w:p>
    <w:p w14:paraId="283CF7C7" w14:textId="77777777" w:rsidR="002F16FA" w:rsidRPr="00405303" w:rsidRDefault="002F16FA" w:rsidP="00C15251">
      <w:pPr>
        <w:jc w:val="both"/>
        <w:rPr>
          <w:bCs/>
          <w:color w:val="002060"/>
          <w:sz w:val="16"/>
          <w:szCs w:val="16"/>
        </w:rPr>
      </w:pPr>
      <w:r w:rsidRPr="00405303">
        <w:rPr>
          <w:bCs/>
          <w:color w:val="002060"/>
          <w:sz w:val="16"/>
          <w:szCs w:val="16"/>
        </w:rPr>
        <w:t>Война была в разгаре. С фрон</w:t>
      </w:r>
      <w:r w:rsidRPr="00405303">
        <w:rPr>
          <w:bCs/>
          <w:color w:val="002060"/>
          <w:sz w:val="16"/>
          <w:szCs w:val="16"/>
        </w:rPr>
        <w:softHyphen/>
        <w:t>та приходили тревожные вести о применении немцами отравляющих газов. В стране шла кампания по заготовке защитных марлевых по</w:t>
      </w:r>
      <w:r w:rsidRPr="00405303">
        <w:rPr>
          <w:bCs/>
          <w:color w:val="002060"/>
          <w:sz w:val="16"/>
          <w:szCs w:val="16"/>
        </w:rPr>
        <w:softHyphen/>
        <w:t>вязок, масок, пропитанных особы</w:t>
      </w:r>
      <w:r w:rsidRPr="00405303">
        <w:rPr>
          <w:bCs/>
          <w:color w:val="002060"/>
          <w:sz w:val="16"/>
          <w:szCs w:val="16"/>
        </w:rPr>
        <w:softHyphen/>
        <w:t>ми веществами. На фронт отправ</w:t>
      </w:r>
      <w:r w:rsidRPr="00405303">
        <w:rPr>
          <w:bCs/>
          <w:color w:val="002060"/>
          <w:sz w:val="16"/>
          <w:szCs w:val="16"/>
        </w:rPr>
        <w:softHyphen/>
        <w:t>лялись десятки тысяч таких «проти</w:t>
      </w:r>
      <w:r w:rsidRPr="00405303">
        <w:rPr>
          <w:bCs/>
          <w:color w:val="002060"/>
          <w:sz w:val="16"/>
          <w:szCs w:val="16"/>
        </w:rPr>
        <w:softHyphen/>
        <w:t>вогазов». Общество Красного Кре</w:t>
      </w:r>
      <w:r w:rsidRPr="00405303">
        <w:rPr>
          <w:bCs/>
          <w:color w:val="002060"/>
          <w:sz w:val="16"/>
          <w:szCs w:val="16"/>
        </w:rPr>
        <w:softHyphen/>
        <w:t>ста организовывало мастерские, изготавливавшие противогазовые повязки, устраивало спектакли и концерты, сборы с которых шли на закупку марли и других материа</w:t>
      </w:r>
      <w:r w:rsidRPr="00405303">
        <w:rPr>
          <w:bCs/>
          <w:color w:val="002060"/>
          <w:sz w:val="16"/>
          <w:szCs w:val="16"/>
        </w:rPr>
        <w:softHyphen/>
        <w:t>лов.</w:t>
      </w:r>
    </w:p>
    <w:p w14:paraId="45FA66D5" w14:textId="77777777" w:rsidR="002F16FA" w:rsidRPr="00405303" w:rsidRDefault="002F16FA" w:rsidP="00C15251">
      <w:pPr>
        <w:jc w:val="both"/>
        <w:rPr>
          <w:bCs/>
          <w:color w:val="002060"/>
          <w:sz w:val="16"/>
          <w:szCs w:val="16"/>
        </w:rPr>
      </w:pPr>
      <w:r w:rsidRPr="00405303">
        <w:rPr>
          <w:bCs/>
          <w:color w:val="002060"/>
          <w:sz w:val="16"/>
          <w:szCs w:val="16"/>
        </w:rPr>
        <w:t>Юзеф Древницкий в Туле тоже внес свою лепту в это благородное дело. Было объявлено, что треть сбора от второго полета (он со</w:t>
      </w:r>
      <w:r w:rsidRPr="00405303">
        <w:rPr>
          <w:bCs/>
          <w:color w:val="002060"/>
          <w:sz w:val="16"/>
          <w:szCs w:val="16"/>
        </w:rPr>
        <w:softHyphen/>
        <w:t>стоялся 12 июля) будет передана на изготовление «противогазов».</w:t>
      </w:r>
    </w:p>
    <w:p w14:paraId="3247D58B" w14:textId="77777777" w:rsidR="002F16FA" w:rsidRPr="00405303" w:rsidRDefault="002F16FA" w:rsidP="00C15251">
      <w:pPr>
        <w:jc w:val="both"/>
        <w:rPr>
          <w:bCs/>
          <w:color w:val="002060"/>
          <w:sz w:val="16"/>
          <w:szCs w:val="16"/>
        </w:rPr>
      </w:pPr>
      <w:r w:rsidRPr="00405303">
        <w:rPr>
          <w:bCs/>
          <w:color w:val="002060"/>
          <w:sz w:val="16"/>
          <w:szCs w:val="16"/>
        </w:rPr>
        <w:t>Лихолетье чувствовалось во всем: в подавленном настроении людей, в нехватке самых необходи</w:t>
      </w:r>
      <w:r w:rsidRPr="00405303">
        <w:rPr>
          <w:bCs/>
          <w:color w:val="002060"/>
          <w:sz w:val="16"/>
          <w:szCs w:val="16"/>
        </w:rPr>
        <w:softHyphen/>
        <w:t>мых товаров, росте цен и сниже</w:t>
      </w:r>
      <w:r w:rsidRPr="00405303">
        <w:rPr>
          <w:bCs/>
          <w:color w:val="002060"/>
          <w:sz w:val="16"/>
          <w:szCs w:val="16"/>
        </w:rPr>
        <w:softHyphen/>
        <w:t>нии качества продуктов. Так было во всех городах России.</w:t>
      </w:r>
    </w:p>
    <w:p w14:paraId="08D7F903" w14:textId="77777777" w:rsidR="002F16FA" w:rsidRPr="00405303" w:rsidRDefault="002F16FA" w:rsidP="00C15251">
      <w:pPr>
        <w:jc w:val="both"/>
        <w:rPr>
          <w:bCs/>
          <w:color w:val="002060"/>
          <w:sz w:val="16"/>
          <w:szCs w:val="16"/>
        </w:rPr>
      </w:pPr>
      <w:r w:rsidRPr="00405303">
        <w:rPr>
          <w:bCs/>
          <w:color w:val="002060"/>
          <w:sz w:val="16"/>
          <w:szCs w:val="16"/>
        </w:rPr>
        <w:t>Далее Юзеф Древницкий летал в Калуге, Иваново-Вознесенске, Ярославле и Вологде. В сентябре он был в Вятке, а затем, в заверше</w:t>
      </w:r>
      <w:r w:rsidRPr="00405303">
        <w:rPr>
          <w:bCs/>
          <w:color w:val="002060"/>
          <w:sz w:val="16"/>
          <w:szCs w:val="16"/>
        </w:rPr>
        <w:softHyphen/>
        <w:t>ние своей поездки, посетил Пермь. Осенняя непогода заставила его возвратиться в Москву. После 1915 года он уже не летал, многолетняя воздухоплавательная деятельность бесстрашного аэронавта-ларашю- тиста закончилась.</w:t>
      </w:r>
    </w:p>
    <w:p w14:paraId="60788E74" w14:textId="77777777" w:rsidR="002F16FA" w:rsidRPr="00405303" w:rsidRDefault="002F16FA" w:rsidP="00C15251">
      <w:pPr>
        <w:jc w:val="both"/>
        <w:rPr>
          <w:bCs/>
          <w:color w:val="002060"/>
          <w:sz w:val="16"/>
          <w:szCs w:val="16"/>
        </w:rPr>
      </w:pPr>
      <w:r w:rsidRPr="00405303">
        <w:rPr>
          <w:bCs/>
          <w:color w:val="002060"/>
          <w:sz w:val="16"/>
          <w:szCs w:val="16"/>
        </w:rPr>
        <w:t>Сколько же совершил он за свою жизнь полетов и прыжков? Точно ответить на этот вопрос невозмож</w:t>
      </w:r>
      <w:r w:rsidRPr="00405303">
        <w:rPr>
          <w:bCs/>
          <w:color w:val="002060"/>
          <w:sz w:val="16"/>
          <w:szCs w:val="16"/>
        </w:rPr>
        <w:softHyphen/>
        <w:t>но. Приезжая в тот или иной го</w:t>
      </w:r>
      <w:r w:rsidRPr="00405303">
        <w:rPr>
          <w:bCs/>
          <w:color w:val="002060"/>
          <w:sz w:val="16"/>
          <w:szCs w:val="16"/>
        </w:rPr>
        <w:softHyphen/>
        <w:t>род, Юзеф Маврикиевич иногда сам объявлял о количестве совер</w:t>
      </w:r>
      <w:r w:rsidRPr="00405303">
        <w:rPr>
          <w:bCs/>
          <w:color w:val="002060"/>
          <w:sz w:val="16"/>
          <w:szCs w:val="16"/>
        </w:rPr>
        <w:softHyphen/>
        <w:t>шенных им ранее подъемов в воз</w:t>
      </w:r>
      <w:r w:rsidRPr="00405303">
        <w:rPr>
          <w:bCs/>
          <w:color w:val="002060"/>
          <w:sz w:val="16"/>
          <w:szCs w:val="16"/>
        </w:rPr>
        <w:softHyphen/>
        <w:t>дух. К августу 1895 года, по сооб</w:t>
      </w:r>
      <w:r w:rsidRPr="00405303">
        <w:rPr>
          <w:bCs/>
          <w:color w:val="002060"/>
          <w:sz w:val="16"/>
          <w:szCs w:val="16"/>
        </w:rPr>
        <w:softHyphen/>
        <w:t>щению нижегородской газеты, у него насчитывалось двести пятьде</w:t>
      </w:r>
      <w:r w:rsidRPr="00405303">
        <w:rPr>
          <w:bCs/>
          <w:color w:val="002060"/>
          <w:sz w:val="16"/>
          <w:szCs w:val="16"/>
        </w:rPr>
        <w:softHyphen/>
        <w:t>сят полетов. К концу лета 1897 года — триста. Рубеж в четыреста поле</w:t>
      </w:r>
      <w:r w:rsidRPr="00405303">
        <w:rPr>
          <w:bCs/>
          <w:color w:val="002060"/>
          <w:sz w:val="16"/>
          <w:szCs w:val="16"/>
        </w:rPr>
        <w:softHyphen/>
        <w:t>тов он преодолел в 1909 году. А в июне 1912 года в Виннице выпол</w:t>
      </w:r>
      <w:r w:rsidRPr="00405303">
        <w:rPr>
          <w:bCs/>
          <w:color w:val="002060"/>
          <w:sz w:val="16"/>
          <w:szCs w:val="16"/>
        </w:rPr>
        <w:softHyphen/>
        <w:t>нил свой пятьсот пятый полет. Пос</w:t>
      </w:r>
      <w:r w:rsidRPr="00405303">
        <w:rPr>
          <w:bCs/>
          <w:color w:val="002060"/>
          <w:sz w:val="16"/>
          <w:szCs w:val="16"/>
        </w:rPr>
        <w:softHyphen/>
        <w:t>ле этого, как удалось подсчитать, он совершил еще не менее сорока пяти полетов. Автору этих строк удалось собрать достоверные све</w:t>
      </w:r>
      <w:r w:rsidRPr="00405303">
        <w:rPr>
          <w:bCs/>
          <w:color w:val="002060"/>
          <w:sz w:val="16"/>
          <w:szCs w:val="16"/>
        </w:rPr>
        <w:softHyphen/>
        <w:t>дения о сто семидесяти четырех воздушных путешествиях Юзефа Древницкого. Из них сто пятьдесят три окончились прыжками с пара</w:t>
      </w:r>
      <w:r w:rsidRPr="00405303">
        <w:rPr>
          <w:bCs/>
          <w:color w:val="002060"/>
          <w:sz w:val="16"/>
          <w:szCs w:val="16"/>
        </w:rPr>
        <w:softHyphen/>
        <w:t>шютом.</w:t>
      </w:r>
    </w:p>
    <w:p w14:paraId="0BFDD1FC" w14:textId="77777777" w:rsidR="002F16FA" w:rsidRPr="00405303" w:rsidRDefault="002F16FA" w:rsidP="00C15251">
      <w:pPr>
        <w:jc w:val="both"/>
        <w:rPr>
          <w:bCs/>
          <w:color w:val="002060"/>
          <w:sz w:val="16"/>
          <w:szCs w:val="16"/>
        </w:rPr>
      </w:pPr>
      <w:r w:rsidRPr="00405303">
        <w:rPr>
          <w:bCs/>
          <w:color w:val="002060"/>
          <w:sz w:val="16"/>
          <w:szCs w:val="16"/>
        </w:rPr>
        <w:t>Прыжков было несколько мень</w:t>
      </w:r>
      <w:r w:rsidRPr="00405303">
        <w:rPr>
          <w:bCs/>
          <w:color w:val="002060"/>
          <w:sz w:val="16"/>
          <w:szCs w:val="16"/>
        </w:rPr>
        <w:softHyphen/>
        <w:t>ше, чем полетов, так как, по раз</w:t>
      </w:r>
      <w:r w:rsidRPr="00405303">
        <w:rPr>
          <w:bCs/>
          <w:color w:val="002060"/>
          <w:sz w:val="16"/>
          <w:szCs w:val="16"/>
        </w:rPr>
        <w:softHyphen/>
        <w:t>ным причинам, аэронавту подчас приходилось опускаться вместе с монгольфьером. По числу прыжков с парашютом, совершенных в те далекие годы, с Юзефом Древниц- ким никто не мог сравниться не только в России, но, вероятно, и за границей. По количеству же лет, отданных этому опасному делу, ему уж точно не было равных нигде.</w:t>
      </w:r>
    </w:p>
    <w:p w14:paraId="236D5BDC" w14:textId="77777777" w:rsidR="002F16FA" w:rsidRPr="00405303" w:rsidRDefault="002F16FA" w:rsidP="00C15251">
      <w:pPr>
        <w:jc w:val="both"/>
        <w:rPr>
          <w:bCs/>
          <w:color w:val="002060"/>
          <w:sz w:val="16"/>
          <w:szCs w:val="16"/>
        </w:rPr>
      </w:pPr>
      <w:r w:rsidRPr="00405303">
        <w:rPr>
          <w:bCs/>
          <w:color w:val="002060"/>
          <w:sz w:val="16"/>
          <w:szCs w:val="16"/>
        </w:rPr>
        <w:t>С 1910 года первые русские авиаторы, подобно братьям Древницким, начали совершать турне по России и демонстрировать полеты на аэропланах, казавшиеся тогда удивительными. Случалось, что вы</w:t>
      </w:r>
      <w:r w:rsidRPr="00405303">
        <w:rPr>
          <w:bCs/>
          <w:color w:val="002060"/>
          <w:sz w:val="16"/>
          <w:szCs w:val="16"/>
        </w:rPr>
        <w:softHyphen/>
        <w:t>ступления Юзефа Древницкого про</w:t>
      </w:r>
      <w:r w:rsidRPr="00405303">
        <w:rPr>
          <w:bCs/>
          <w:color w:val="002060"/>
          <w:sz w:val="16"/>
          <w:szCs w:val="16"/>
        </w:rPr>
        <w:softHyphen/>
        <w:t>ходили одновременно с авиацион</w:t>
      </w:r>
      <w:r w:rsidRPr="00405303">
        <w:rPr>
          <w:bCs/>
          <w:color w:val="002060"/>
          <w:sz w:val="16"/>
          <w:szCs w:val="16"/>
        </w:rPr>
        <w:softHyphen/>
        <w:t>ными. Например, в Киеве он летал одновременно с авиатором Кузмин- ским, в Петербурге — с Уточкиным.</w:t>
      </w:r>
    </w:p>
    <w:p w14:paraId="3569B9F3" w14:textId="77777777" w:rsidR="002F16FA" w:rsidRPr="00405303" w:rsidRDefault="002F16FA" w:rsidP="00C15251">
      <w:pPr>
        <w:jc w:val="both"/>
        <w:rPr>
          <w:bCs/>
          <w:color w:val="002060"/>
          <w:sz w:val="16"/>
          <w:szCs w:val="16"/>
        </w:rPr>
      </w:pPr>
      <w:r w:rsidRPr="00405303">
        <w:rPr>
          <w:bCs/>
          <w:color w:val="002060"/>
          <w:sz w:val="16"/>
          <w:szCs w:val="16"/>
        </w:rPr>
        <w:t>Юзеф Маврикиевич понимал, что проигрывает авиаторам. В об</w:t>
      </w:r>
      <w:r w:rsidRPr="00405303">
        <w:rPr>
          <w:bCs/>
          <w:color w:val="002060"/>
          <w:sz w:val="16"/>
          <w:szCs w:val="16"/>
        </w:rPr>
        <w:softHyphen/>
        <w:t>щественном мнении они олицетво</w:t>
      </w:r>
      <w:r w:rsidRPr="00405303">
        <w:rPr>
          <w:bCs/>
          <w:color w:val="002060"/>
          <w:sz w:val="16"/>
          <w:szCs w:val="16"/>
        </w:rPr>
        <w:softHyphen/>
        <w:t>ряли собой победу человека над воздухом, свидетельствовали о на</w:t>
      </w:r>
      <w:r w:rsidRPr="00405303">
        <w:rPr>
          <w:bCs/>
          <w:color w:val="002060"/>
          <w:sz w:val="16"/>
          <w:szCs w:val="16"/>
        </w:rPr>
        <w:softHyphen/>
        <w:t>чале новой эры. Его же подъемы на</w:t>
      </w:r>
    </w:p>
    <w:p w14:paraId="340F6D81" w14:textId="77777777" w:rsidR="002F16FA" w:rsidRPr="00405303" w:rsidRDefault="002F16FA" w:rsidP="00C15251">
      <w:pPr>
        <w:jc w:val="both"/>
        <w:rPr>
          <w:bCs/>
          <w:color w:val="002060"/>
          <w:sz w:val="16"/>
          <w:szCs w:val="16"/>
        </w:rPr>
      </w:pPr>
      <w:r w:rsidRPr="00405303">
        <w:rPr>
          <w:bCs/>
          <w:color w:val="002060"/>
          <w:sz w:val="16"/>
          <w:szCs w:val="16"/>
        </w:rPr>
        <w:t>закопченном монгольфьере выг</w:t>
      </w:r>
      <w:r w:rsidRPr="00405303">
        <w:rPr>
          <w:bCs/>
          <w:color w:val="002060"/>
          <w:sz w:val="16"/>
          <w:szCs w:val="16"/>
        </w:rPr>
        <w:softHyphen/>
        <w:t>лядели совсем иначе. По этому поводу пятигорская газета «Кав</w:t>
      </w:r>
      <w:r w:rsidRPr="00405303">
        <w:rPr>
          <w:bCs/>
          <w:color w:val="002060"/>
          <w:sz w:val="16"/>
          <w:szCs w:val="16"/>
        </w:rPr>
        <w:softHyphen/>
        <w:t>казский край» в июне 1911 года писала: «Тому, кто видел полеты на "Форманах", "Блерио* и дру</w:t>
      </w:r>
      <w:r w:rsidRPr="00405303">
        <w:rPr>
          <w:bCs/>
          <w:color w:val="002060"/>
          <w:sz w:val="16"/>
          <w:szCs w:val="16"/>
        </w:rPr>
        <w:softHyphen/>
        <w:t>гих аппаратах, подъем на воздуш</w:t>
      </w:r>
      <w:r w:rsidRPr="00405303">
        <w:rPr>
          <w:bCs/>
          <w:color w:val="002060"/>
          <w:sz w:val="16"/>
          <w:szCs w:val="16"/>
        </w:rPr>
        <w:softHyphen/>
        <w:t>ном шаре кажется уже анахро</w:t>
      </w:r>
      <w:r w:rsidRPr="00405303">
        <w:rPr>
          <w:bCs/>
          <w:color w:val="002060"/>
          <w:sz w:val="16"/>
          <w:szCs w:val="16"/>
        </w:rPr>
        <w:softHyphen/>
        <w:t>низмом».</w:t>
      </w:r>
    </w:p>
    <w:p w14:paraId="4EE8B99D" w14:textId="77777777" w:rsidR="002F16FA" w:rsidRPr="00405303" w:rsidRDefault="002F16FA" w:rsidP="00C15251">
      <w:pPr>
        <w:jc w:val="both"/>
        <w:rPr>
          <w:bCs/>
          <w:color w:val="002060"/>
          <w:sz w:val="16"/>
          <w:szCs w:val="16"/>
        </w:rPr>
      </w:pPr>
      <w:r w:rsidRPr="00405303">
        <w:rPr>
          <w:bCs/>
          <w:color w:val="002060"/>
          <w:sz w:val="16"/>
          <w:szCs w:val="16"/>
        </w:rPr>
        <w:t>Древницкий и сам с интере</w:t>
      </w:r>
      <w:r w:rsidRPr="00405303">
        <w:rPr>
          <w:bCs/>
          <w:color w:val="002060"/>
          <w:sz w:val="16"/>
          <w:szCs w:val="16"/>
        </w:rPr>
        <w:softHyphen/>
        <w:t>сом относился к авиации, был знаком со многими русскими лет</w:t>
      </w:r>
      <w:r w:rsidRPr="00405303">
        <w:rPr>
          <w:bCs/>
          <w:color w:val="002060"/>
          <w:sz w:val="16"/>
          <w:szCs w:val="16"/>
        </w:rPr>
        <w:softHyphen/>
        <w:t>чиками. Некоторые его газетные публикации касались авиации, ее истории. Нередко перед полетом он рассказывал зрителям о воз</w:t>
      </w:r>
      <w:r w:rsidRPr="00405303">
        <w:rPr>
          <w:bCs/>
          <w:color w:val="002060"/>
          <w:sz w:val="16"/>
          <w:szCs w:val="16"/>
        </w:rPr>
        <w:softHyphen/>
        <w:t>духоплавании, и разговор неиз</w:t>
      </w:r>
      <w:r w:rsidRPr="00405303">
        <w:rPr>
          <w:bCs/>
          <w:color w:val="002060"/>
          <w:sz w:val="16"/>
          <w:szCs w:val="16"/>
        </w:rPr>
        <w:softHyphen/>
        <w:t>менно заканчивался сообщени</w:t>
      </w:r>
      <w:r w:rsidRPr="00405303">
        <w:rPr>
          <w:bCs/>
          <w:color w:val="002060"/>
          <w:sz w:val="16"/>
          <w:szCs w:val="16"/>
        </w:rPr>
        <w:softHyphen/>
        <w:t>ями о достижениях авиации. Как уже ранее говорилось, Юзеф Маврикиевич мечтал стать авиа</w:t>
      </w:r>
      <w:r w:rsidRPr="00405303">
        <w:rPr>
          <w:bCs/>
          <w:color w:val="002060"/>
          <w:sz w:val="16"/>
          <w:szCs w:val="16"/>
        </w:rPr>
        <w:softHyphen/>
        <w:t>тором, хотел научиться летать на аэропланах и получить «бреве» — диплом летчика.</w:t>
      </w:r>
    </w:p>
    <w:p w14:paraId="5125AE60" w14:textId="77777777" w:rsidR="002F16FA" w:rsidRPr="00405303" w:rsidRDefault="002F16FA" w:rsidP="00C15251">
      <w:pPr>
        <w:jc w:val="both"/>
        <w:rPr>
          <w:bCs/>
          <w:color w:val="002060"/>
          <w:sz w:val="16"/>
          <w:szCs w:val="16"/>
        </w:rPr>
      </w:pPr>
      <w:r w:rsidRPr="00405303">
        <w:rPr>
          <w:bCs/>
          <w:color w:val="002060"/>
          <w:sz w:val="16"/>
          <w:szCs w:val="16"/>
        </w:rPr>
        <w:t>Но мечте этой осуществиться было не суждено. Здоровье Юзе</w:t>
      </w:r>
      <w:r w:rsidRPr="00405303">
        <w:rPr>
          <w:bCs/>
          <w:color w:val="002060"/>
          <w:sz w:val="16"/>
          <w:szCs w:val="16"/>
        </w:rPr>
        <w:softHyphen/>
        <w:t>фа Маврикиевича ухудшалось с каждым годом. Сказались не толь</w:t>
      </w:r>
      <w:r w:rsidRPr="00405303">
        <w:rPr>
          <w:bCs/>
          <w:color w:val="002060"/>
          <w:sz w:val="16"/>
          <w:szCs w:val="16"/>
        </w:rPr>
        <w:softHyphen/>
        <w:t>ко многочисленные аварии, но и колоссальная нервная нагрузка, которую он испытывал в течение многих-многих лет. В 1917 году Юзефа Маврикиевича положили в Сухаревскую больницу, в психиат</w:t>
      </w:r>
      <w:r w:rsidRPr="00405303">
        <w:rPr>
          <w:bCs/>
          <w:color w:val="002060"/>
          <w:sz w:val="16"/>
          <w:szCs w:val="16"/>
        </w:rPr>
        <w:softHyphen/>
        <w:t>рическое отделение</w:t>
      </w:r>
      <w:proofErr w:type="gramStart"/>
      <w:r w:rsidRPr="00405303">
        <w:rPr>
          <w:bCs/>
          <w:color w:val="002060"/>
          <w:sz w:val="16"/>
          <w:szCs w:val="16"/>
        </w:rPr>
        <w:t>, Там</w:t>
      </w:r>
      <w:proofErr w:type="gramEnd"/>
      <w:r w:rsidRPr="00405303">
        <w:rPr>
          <w:bCs/>
          <w:color w:val="002060"/>
          <w:sz w:val="16"/>
          <w:szCs w:val="16"/>
        </w:rPr>
        <w:t xml:space="preserve"> он и умер то ли в июле, то ли в сентябре. Похоронили Юзефа Древницкого на Ваганьковском кладбище. Со временем могила была забыта и потеряна.</w:t>
      </w:r>
    </w:p>
    <w:p w14:paraId="2D9F79C2" w14:textId="77777777" w:rsidR="002F16FA" w:rsidRPr="00405303" w:rsidRDefault="002F16FA" w:rsidP="00C15251">
      <w:pPr>
        <w:jc w:val="both"/>
        <w:rPr>
          <w:bCs/>
          <w:color w:val="002060"/>
          <w:sz w:val="16"/>
          <w:szCs w:val="16"/>
        </w:rPr>
      </w:pPr>
      <w:r w:rsidRPr="00405303">
        <w:rPr>
          <w:bCs/>
          <w:color w:val="002060"/>
          <w:sz w:val="16"/>
          <w:szCs w:val="16"/>
        </w:rPr>
        <w:t>Одним из тех, кто знал Юзефа Древницкого, встречался с ним, был пионер русской авиации Борис Илиодорович Россинский. Вспоми</w:t>
      </w:r>
      <w:r w:rsidRPr="00405303">
        <w:rPr>
          <w:bCs/>
          <w:color w:val="002060"/>
          <w:sz w:val="16"/>
          <w:szCs w:val="16"/>
        </w:rPr>
        <w:softHyphen/>
        <w:t>ная смелые полеты Древницкого, он писал автору этой статьи: «На меня его эксперименты производили не</w:t>
      </w:r>
      <w:r w:rsidRPr="00405303">
        <w:rPr>
          <w:bCs/>
          <w:color w:val="002060"/>
          <w:sz w:val="16"/>
          <w:szCs w:val="16"/>
        </w:rPr>
        <w:softHyphen/>
        <w:t>изгладимое впечатление. Я бы ска</w:t>
      </w:r>
      <w:r w:rsidRPr="00405303">
        <w:rPr>
          <w:bCs/>
          <w:color w:val="002060"/>
          <w:sz w:val="16"/>
          <w:szCs w:val="16"/>
        </w:rPr>
        <w:softHyphen/>
        <w:t>зал, что это была своего рода "под</w:t>
      </w:r>
      <w:r w:rsidRPr="00405303">
        <w:rPr>
          <w:bCs/>
          <w:color w:val="002060"/>
          <w:sz w:val="16"/>
          <w:szCs w:val="16"/>
        </w:rPr>
        <w:softHyphen/>
        <w:t>кормка" развивающегося во мне стремления быть летающим чело</w:t>
      </w:r>
      <w:r w:rsidRPr="00405303">
        <w:rPr>
          <w:bCs/>
          <w:color w:val="002060"/>
          <w:sz w:val="16"/>
          <w:szCs w:val="16"/>
        </w:rPr>
        <w:softHyphen/>
        <w:t>веком. Ю.М. Древницкий был тогда очень популярным деятелем возду</w:t>
      </w:r>
      <w:r w:rsidRPr="00405303">
        <w:rPr>
          <w:bCs/>
          <w:color w:val="002060"/>
          <w:sz w:val="16"/>
          <w:szCs w:val="16"/>
        </w:rPr>
        <w:softHyphen/>
        <w:t>хоплавания, и его гастроли по го</w:t>
      </w:r>
      <w:r w:rsidRPr="00405303">
        <w:rPr>
          <w:bCs/>
          <w:color w:val="002060"/>
          <w:sz w:val="16"/>
          <w:szCs w:val="16"/>
        </w:rPr>
        <w:softHyphen/>
        <w:t>родам России, конечно, разжигали страсти молодого поколения, напо</w:t>
      </w:r>
      <w:r w:rsidRPr="00405303">
        <w:rPr>
          <w:bCs/>
          <w:color w:val="002060"/>
          <w:sz w:val="16"/>
          <w:szCs w:val="16"/>
        </w:rPr>
        <w:softHyphen/>
        <w:t>добие меня. Когда в 1910 году я начал летать на "Блерио" на Хо- дынском поле в Москве, то встре</w:t>
      </w:r>
      <w:r w:rsidRPr="00405303">
        <w:rPr>
          <w:bCs/>
          <w:color w:val="002060"/>
          <w:sz w:val="16"/>
          <w:szCs w:val="16"/>
        </w:rPr>
        <w:softHyphen/>
        <w:t xml:space="preserve">чался с Древницким </w:t>
      </w:r>
      <w:r w:rsidRPr="00405303">
        <w:rPr>
          <w:bCs/>
          <w:color w:val="002060"/>
          <w:sz w:val="16"/>
          <w:szCs w:val="16"/>
        </w:rPr>
        <w:lastRenderedPageBreak/>
        <w:t>уже как авиа</w:t>
      </w:r>
      <w:r w:rsidRPr="00405303">
        <w:rPr>
          <w:bCs/>
          <w:color w:val="002060"/>
          <w:sz w:val="16"/>
          <w:szCs w:val="16"/>
        </w:rPr>
        <w:softHyphen/>
        <w:t>тор, и он говорил, что необходимо применять парашют для спасения летчиков. Он горел на своем лю</w:t>
      </w:r>
      <w:r w:rsidRPr="00405303">
        <w:rPr>
          <w:bCs/>
          <w:color w:val="002060"/>
          <w:sz w:val="16"/>
          <w:szCs w:val="16"/>
        </w:rPr>
        <w:softHyphen/>
        <w:t>бимом деле и, несмотря на получа</w:t>
      </w:r>
      <w:r w:rsidRPr="00405303">
        <w:rPr>
          <w:bCs/>
          <w:color w:val="002060"/>
          <w:sz w:val="16"/>
          <w:szCs w:val="16"/>
        </w:rPr>
        <w:softHyphen/>
        <w:t>емые увечья, не бросал его, как и мы, энтузиасты того времени» (12270).</w:t>
      </w:r>
    </w:p>
    <w:p w14:paraId="5A0EDBFF" w14:textId="77777777" w:rsidR="002F16FA" w:rsidRPr="00405303" w:rsidRDefault="002F16FA" w:rsidP="00C15251">
      <w:pPr>
        <w:jc w:val="both"/>
        <w:rPr>
          <w:bCs/>
          <w:color w:val="002060"/>
          <w:sz w:val="16"/>
          <w:szCs w:val="16"/>
        </w:rPr>
      </w:pPr>
    </w:p>
    <w:p w14:paraId="071A9B49" w14:textId="77777777" w:rsidR="002F16FA" w:rsidRPr="00405303" w:rsidRDefault="002F16FA" w:rsidP="00C15251">
      <w:pPr>
        <w:jc w:val="both"/>
        <w:rPr>
          <w:bCs/>
          <w:color w:val="002060"/>
          <w:sz w:val="16"/>
          <w:szCs w:val="16"/>
        </w:rPr>
      </w:pPr>
      <w:bookmarkStart w:id="179" w:name="_Hlk80599098"/>
      <w:r w:rsidRPr="00405303">
        <w:rPr>
          <w:bCs/>
          <w:color w:val="002060"/>
          <w:sz w:val="16"/>
          <w:szCs w:val="16"/>
        </w:rPr>
        <w:t>В середине 1915 года насчитывалось не менее 25-ти полевых воздухоплавательных рот. Каждая армия получила 2-3 роты, подчиненные инспектору артиллерии корпуса (22857).</w:t>
      </w:r>
    </w:p>
    <w:p w14:paraId="22C3E43D" w14:textId="77777777" w:rsidR="002F16FA" w:rsidRPr="00405303" w:rsidRDefault="002F16FA" w:rsidP="00C15251">
      <w:pPr>
        <w:jc w:val="both"/>
        <w:rPr>
          <w:bCs/>
          <w:color w:val="002060"/>
          <w:sz w:val="16"/>
          <w:szCs w:val="16"/>
        </w:rPr>
      </w:pPr>
    </w:p>
    <w:bookmarkEnd w:id="179"/>
    <w:p w14:paraId="6759F44F" w14:textId="1223F67F" w:rsidR="00067DD0" w:rsidRPr="00405303" w:rsidRDefault="00067DD0" w:rsidP="00C15251">
      <w:pPr>
        <w:shd w:val="clear" w:color="auto" w:fill="FFFFFF"/>
        <w:jc w:val="both"/>
        <w:rPr>
          <w:bCs/>
          <w:i/>
          <w:color w:val="002060"/>
          <w:sz w:val="16"/>
          <w:szCs w:val="16"/>
        </w:rPr>
      </w:pPr>
      <w:r w:rsidRPr="00405303">
        <w:rPr>
          <w:bCs/>
          <w:i/>
          <w:color w:val="002060"/>
          <w:sz w:val="16"/>
          <w:szCs w:val="16"/>
        </w:rPr>
        <w:t>Армия:</w:t>
      </w:r>
    </w:p>
    <w:p w14:paraId="391D76DF" w14:textId="77777777" w:rsidR="00067DD0" w:rsidRPr="00405303" w:rsidRDefault="00067DD0" w:rsidP="00C15251">
      <w:pPr>
        <w:shd w:val="clear" w:color="auto" w:fill="FFFFFF"/>
        <w:jc w:val="both"/>
        <w:rPr>
          <w:bCs/>
          <w:i/>
          <w:color w:val="002060"/>
          <w:sz w:val="16"/>
          <w:szCs w:val="16"/>
        </w:rPr>
      </w:pPr>
    </w:p>
    <w:p w14:paraId="08B41FAF" w14:textId="77777777" w:rsidR="00067DD0" w:rsidRPr="00405303" w:rsidRDefault="00067DD0" w:rsidP="00C15251">
      <w:pPr>
        <w:shd w:val="clear" w:color="auto" w:fill="FFFFFF"/>
        <w:jc w:val="both"/>
        <w:rPr>
          <w:bCs/>
          <w:color w:val="002060"/>
          <w:sz w:val="16"/>
          <w:szCs w:val="16"/>
        </w:rPr>
      </w:pPr>
      <w:r w:rsidRPr="00405303">
        <w:rPr>
          <w:bCs/>
          <w:color w:val="002060"/>
          <w:sz w:val="16"/>
          <w:szCs w:val="16"/>
        </w:rPr>
        <w:t>К середине 1915 года данные, поступающие из радиоразведки, стали регулярными и стабильными. Это позволило наладить на фронтах выпуск ежедневных разведывательных сводок о противнике. К этим сводкам всегда прилагалась схема расположения неприятельских радиостанций.</w:t>
      </w:r>
    </w:p>
    <w:p w14:paraId="0130433C" w14:textId="5C7E0D50" w:rsidR="00067DD0" w:rsidRPr="00405303" w:rsidRDefault="000F5756" w:rsidP="00C15251">
      <w:pPr>
        <w:shd w:val="clear" w:color="auto" w:fill="FFFFFF"/>
        <w:jc w:val="both"/>
        <w:rPr>
          <w:bCs/>
          <w:color w:val="002060"/>
          <w:sz w:val="16"/>
          <w:szCs w:val="16"/>
        </w:rPr>
      </w:pPr>
      <w:r>
        <w:rPr>
          <w:bCs/>
          <w:color w:val="002060"/>
          <w:sz w:val="16"/>
          <w:szCs w:val="16"/>
        </w:rPr>
        <w:t xml:space="preserve"> </w:t>
      </w:r>
      <w:r w:rsidR="00DB4D64" w:rsidRPr="00405303">
        <w:rPr>
          <w:bCs/>
          <w:color w:val="002060"/>
          <w:sz w:val="16"/>
          <w:szCs w:val="16"/>
        </w:rPr>
        <w:t xml:space="preserve"> </w:t>
      </w:r>
      <w:r w:rsidR="00067DD0" w:rsidRPr="00405303">
        <w:rPr>
          <w:bCs/>
          <w:color w:val="002060"/>
          <w:sz w:val="16"/>
          <w:szCs w:val="16"/>
        </w:rPr>
        <w:t>Увидело свет и было разослано по соединениям первое наставление по радиоразведке. Оно определяло цели и задачи радиоразведки на фронтах и называлось «Наставление для производства радиотелеграфной слежки».</w:t>
      </w:r>
    </w:p>
    <w:p w14:paraId="3390134A" w14:textId="0747C30A" w:rsidR="00067DD0" w:rsidRPr="00405303" w:rsidRDefault="000F5756" w:rsidP="00C15251">
      <w:pPr>
        <w:shd w:val="clear" w:color="auto" w:fill="FFFFFF"/>
        <w:jc w:val="both"/>
        <w:rPr>
          <w:bCs/>
          <w:color w:val="002060"/>
          <w:sz w:val="16"/>
          <w:szCs w:val="16"/>
        </w:rPr>
      </w:pPr>
      <w:r>
        <w:rPr>
          <w:bCs/>
          <w:color w:val="002060"/>
          <w:sz w:val="16"/>
          <w:szCs w:val="16"/>
        </w:rPr>
        <w:t xml:space="preserve"> </w:t>
      </w:r>
      <w:r w:rsidR="00DB4D64" w:rsidRPr="00405303">
        <w:rPr>
          <w:bCs/>
          <w:color w:val="002060"/>
          <w:sz w:val="16"/>
          <w:szCs w:val="16"/>
        </w:rPr>
        <w:t xml:space="preserve"> </w:t>
      </w:r>
      <w:r w:rsidR="00067DD0" w:rsidRPr="00405303">
        <w:rPr>
          <w:bCs/>
          <w:color w:val="002060"/>
          <w:sz w:val="16"/>
          <w:szCs w:val="16"/>
        </w:rPr>
        <w:t>«Радиотелеграфной слежке», – говорилось в Наставлении, – путем постоянного наблюдения за работой неприятельских радиостанций, при определенной систематизации перехватываемых при этом позывных, отдельных знаков и целых радиограмм, а также по степени оживленности обмена радиограммами неприятельских станций между собой, представляется возможность получить данные для суждения о группировке противника.</w:t>
      </w:r>
    </w:p>
    <w:p w14:paraId="3940C418" w14:textId="38D8B454" w:rsidR="00067DD0" w:rsidRPr="00405303" w:rsidRDefault="000F5756" w:rsidP="00C15251">
      <w:pPr>
        <w:shd w:val="clear" w:color="auto" w:fill="FFFFFF"/>
        <w:jc w:val="both"/>
        <w:rPr>
          <w:bCs/>
          <w:color w:val="002060"/>
          <w:sz w:val="16"/>
          <w:szCs w:val="16"/>
        </w:rPr>
      </w:pPr>
      <w:r>
        <w:rPr>
          <w:bCs/>
          <w:color w:val="002060"/>
          <w:sz w:val="16"/>
          <w:szCs w:val="16"/>
        </w:rPr>
        <w:t xml:space="preserve"> </w:t>
      </w:r>
      <w:r w:rsidR="00DB4D64" w:rsidRPr="00405303">
        <w:rPr>
          <w:bCs/>
          <w:color w:val="002060"/>
          <w:sz w:val="16"/>
          <w:szCs w:val="16"/>
        </w:rPr>
        <w:t xml:space="preserve"> </w:t>
      </w:r>
      <w:r w:rsidR="00067DD0" w:rsidRPr="00405303">
        <w:rPr>
          <w:bCs/>
          <w:color w:val="002060"/>
          <w:sz w:val="16"/>
          <w:szCs w:val="16"/>
        </w:rPr>
        <w:t>Кроме того, ведение слежки за неприятельскими радиостанциями дает возможность получить материал в виде перехваченных шифрованных и нешифрованных радиограмм, который может быть использован для открытия неприятельских радиотелеграфных кодов и шифров» (12238).</w:t>
      </w:r>
    </w:p>
    <w:p w14:paraId="04AF9345" w14:textId="77777777" w:rsidR="00067DD0" w:rsidRPr="00405303" w:rsidRDefault="00067DD0" w:rsidP="00C15251">
      <w:pPr>
        <w:jc w:val="both"/>
        <w:rPr>
          <w:bCs/>
          <w:color w:val="002060"/>
          <w:sz w:val="16"/>
          <w:szCs w:val="16"/>
        </w:rPr>
      </w:pPr>
    </w:p>
    <w:p w14:paraId="6F932DF7" w14:textId="00FE5C09" w:rsidR="002F16FA" w:rsidRPr="00405303" w:rsidRDefault="002F16FA"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7C573CC9" w14:textId="77777777" w:rsidR="002F16FA" w:rsidRPr="00405303" w:rsidRDefault="002F16FA" w:rsidP="00C15251">
      <w:pPr>
        <w:shd w:val="clear" w:color="auto" w:fill="FFFFFF"/>
        <w:jc w:val="both"/>
        <w:rPr>
          <w:bCs/>
          <w:i/>
          <w:color w:val="002060"/>
          <w:sz w:val="16"/>
          <w:szCs w:val="16"/>
        </w:rPr>
      </w:pPr>
    </w:p>
    <w:p w14:paraId="39C3E621" w14:textId="77777777" w:rsidR="002F16FA" w:rsidRPr="00405303" w:rsidRDefault="002F16FA" w:rsidP="00C15251">
      <w:pPr>
        <w:jc w:val="both"/>
        <w:rPr>
          <w:bCs/>
          <w:color w:val="002060"/>
          <w:sz w:val="16"/>
          <w:szCs w:val="16"/>
        </w:rPr>
      </w:pPr>
      <w:r w:rsidRPr="00405303">
        <w:rPr>
          <w:bCs/>
          <w:color w:val="002060"/>
          <w:sz w:val="16"/>
          <w:szCs w:val="16"/>
        </w:rPr>
        <w:t>В середине 1915 года фирма Гота начала проектировать биплан G II. Два 220- сильных «Мерседеса» D IVa (были взяты моторы первых серий) установили между крыльями винтами назад. Каждый двигатель с капотом, системой охлаждения, масляным и бензиновым баками, соединенными стойками отсеками крыльев над и под мотогондолой, а также с расположенной под ней опорой шасси представлял собой технологически законченную сборку. В полевых условиях ее можно было переставить с одной машины на другую, правая и левая группы «двигатель-шасси» были идентичны, что удешевляло производство. Силовой набор, кроме сваренного из стальных труб каркаса рулей и элеронов, был деревянным, но в отличие от обычных самолетов той поры на фюзеляже полотняную обшивку заменили фанерной, а крепление ее к каркасу выполнили так, что она воспринимала часть нагрузок на фюзеляж, что повысило его прочность. Крыло также содержало ряд особенностей. Прежде всего, это коснулось лонжеронов, главных продольных силовых элементов, воспринимавших изгиб крыла от воздушных нагрузок и местные силы, возникавшие в месте крепления двигателей, шасси, подвески бомб и т.п. Вместо общепринятого тогда простого прямоугольного деревянного бруса на «Готе» впервые сделали фрезерованный из сосны двутавровый лонжерон, по сечению напоминавший железнодорожный рельс. Он лучше всего работал на изгиб, и бывалые железнодорожники «Готы» отлично это знали (22794).</w:t>
      </w:r>
    </w:p>
    <w:p w14:paraId="2B604440" w14:textId="77777777" w:rsidR="002F16FA" w:rsidRPr="00405303" w:rsidRDefault="002F16FA" w:rsidP="00C15251">
      <w:pPr>
        <w:jc w:val="both"/>
        <w:rPr>
          <w:bCs/>
          <w:color w:val="002060"/>
          <w:sz w:val="16"/>
          <w:szCs w:val="16"/>
        </w:rPr>
      </w:pPr>
    </w:p>
    <w:p w14:paraId="272710EF" w14:textId="77777777" w:rsidR="002F16FA" w:rsidRPr="00405303" w:rsidRDefault="002F16FA" w:rsidP="00C15251">
      <w:pPr>
        <w:jc w:val="both"/>
        <w:rPr>
          <w:bCs/>
          <w:color w:val="002060"/>
          <w:sz w:val="16"/>
          <w:szCs w:val="16"/>
        </w:rPr>
      </w:pPr>
      <w:r w:rsidRPr="00405303">
        <w:rPr>
          <w:bCs/>
          <w:color w:val="002060"/>
          <w:sz w:val="16"/>
          <w:szCs w:val="16"/>
        </w:rPr>
        <w:t>В середине 1915 г. фирма «Ганза Бранденбург» получила задание на проектирование «большого» (тяжелого) поплавкового торпедоносца. В качестве прототипа был взят первый тяжелый самолет фирмы – заказанный Австро-Венгрией сухопутный двухмоторный Ганза Бранденбург G I, строительство которого только начиналось и даже чертежи еще полностью закончены не были.</w:t>
      </w:r>
    </w:p>
    <w:p w14:paraId="20C177D1" w14:textId="77777777" w:rsidR="002F16FA" w:rsidRPr="00405303" w:rsidRDefault="002F16FA" w:rsidP="00C15251">
      <w:pPr>
        <w:jc w:val="both"/>
        <w:rPr>
          <w:bCs/>
          <w:color w:val="002060"/>
          <w:sz w:val="16"/>
          <w:szCs w:val="16"/>
        </w:rPr>
      </w:pPr>
      <w:r w:rsidRPr="00405303">
        <w:rPr>
          <w:bCs/>
          <w:color w:val="002060"/>
          <w:sz w:val="16"/>
          <w:szCs w:val="16"/>
        </w:rPr>
        <w:t>Оба аппарата были классическими бипланами с деревянным каркасом, фанерной обшивкой фюзеляжа и полотняной у крыла и оперения, которое осталось подобным ранним самолетам фирмы с малым относительным удлинением поверхностей и большой стреловидностью их передних кромок. Это было невыгодно с точки зрения веса и аэродинамики, и для обеспечения курсовой устойчивости и управляемости пришлось вдобавок большому центральному килю с главным рулем направления установить два боковых цельноповоротных.</w:t>
      </w:r>
    </w:p>
    <w:p w14:paraId="391E6258" w14:textId="77777777" w:rsidR="002F16FA" w:rsidRPr="00405303" w:rsidRDefault="002F16FA" w:rsidP="00C15251">
      <w:pPr>
        <w:jc w:val="both"/>
        <w:rPr>
          <w:bCs/>
          <w:color w:val="002060"/>
          <w:sz w:val="16"/>
          <w:szCs w:val="16"/>
        </w:rPr>
      </w:pPr>
      <w:r w:rsidRPr="00405303">
        <w:rPr>
          <w:bCs/>
          <w:color w:val="002060"/>
          <w:sz w:val="16"/>
          <w:szCs w:val="16"/>
        </w:rPr>
        <w:t>В неглубокую нишу под фюзеляжем могла подвешиваться любая торпеда калибра 45 см (например, L/5 австрийской конструкции), морскую мину или две бомбы. Перед сбросом следовало запустить ее ходовую машину, что делалось проворотом вала гребного винта</w:t>
      </w:r>
    </w:p>
    <w:p w14:paraId="5DAFA681" w14:textId="77777777" w:rsidR="002F16FA" w:rsidRPr="00405303" w:rsidRDefault="002F16FA" w:rsidP="00C15251">
      <w:pPr>
        <w:jc w:val="both"/>
        <w:rPr>
          <w:bCs/>
          <w:color w:val="002060"/>
          <w:sz w:val="16"/>
          <w:szCs w:val="16"/>
        </w:rPr>
      </w:pPr>
      <w:r w:rsidRPr="00405303">
        <w:rPr>
          <w:bCs/>
          <w:color w:val="002060"/>
          <w:sz w:val="16"/>
          <w:szCs w:val="16"/>
        </w:rPr>
        <w:t>Хейнкель не успевал следить за деятельностью конструкторского бюро и трех заводов, а самолет Ганза-Бранденбург GW делался «по остаточному принципу» в свободное от работы по армейским самолетам время. Причем в те месяцы его внимание отбирали в основном заботы о заказах от Австро-Венгрии, чьими подданными были главные акционеры компании «Бранденбург». Но завод-то был немецким, и в Берлине от него требовали уделять главное внимание заказам военного и морского министерств Германии (23073).</w:t>
      </w:r>
    </w:p>
    <w:p w14:paraId="36938937" w14:textId="77777777" w:rsidR="002F16FA" w:rsidRPr="00405303" w:rsidRDefault="002F16FA" w:rsidP="00C15251">
      <w:pPr>
        <w:jc w:val="both"/>
        <w:rPr>
          <w:bCs/>
          <w:color w:val="002060"/>
          <w:sz w:val="16"/>
          <w:szCs w:val="16"/>
        </w:rPr>
      </w:pPr>
    </w:p>
    <w:p w14:paraId="5503E177" w14:textId="77777777" w:rsidR="002F16FA" w:rsidRPr="00405303" w:rsidRDefault="002F16FA" w:rsidP="00C15251">
      <w:pPr>
        <w:shd w:val="clear" w:color="auto" w:fill="FFFFFF"/>
        <w:jc w:val="both"/>
        <w:rPr>
          <w:bCs/>
          <w:i/>
          <w:color w:val="002060"/>
          <w:sz w:val="16"/>
          <w:szCs w:val="16"/>
        </w:rPr>
      </w:pPr>
      <w:r w:rsidRPr="00405303">
        <w:rPr>
          <w:bCs/>
          <w:i/>
          <w:color w:val="002060"/>
          <w:sz w:val="16"/>
          <w:szCs w:val="16"/>
        </w:rPr>
        <w:t>Авиация и воздухоплавание Англии:</w:t>
      </w:r>
    </w:p>
    <w:p w14:paraId="10ED6DF2" w14:textId="77777777" w:rsidR="002F16FA" w:rsidRPr="00405303" w:rsidRDefault="002F16FA" w:rsidP="00C15251">
      <w:pPr>
        <w:shd w:val="clear" w:color="auto" w:fill="FFFFFF"/>
        <w:jc w:val="both"/>
        <w:rPr>
          <w:bCs/>
          <w:i/>
          <w:color w:val="002060"/>
          <w:sz w:val="16"/>
          <w:szCs w:val="16"/>
        </w:rPr>
      </w:pPr>
    </w:p>
    <w:p w14:paraId="7F9F9CF9" w14:textId="251E3770" w:rsidR="002F16FA" w:rsidRPr="00405303" w:rsidRDefault="002F16FA" w:rsidP="00C15251">
      <w:pPr>
        <w:jc w:val="both"/>
        <w:rPr>
          <w:bCs/>
          <w:color w:val="002060"/>
          <w:sz w:val="16"/>
          <w:szCs w:val="16"/>
        </w:rPr>
      </w:pPr>
      <w:r w:rsidRPr="00405303">
        <w:rPr>
          <w:bCs/>
          <w:color w:val="002060"/>
          <w:sz w:val="16"/>
          <w:szCs w:val="16"/>
        </w:rPr>
        <w:t>В середине 1915 г. по личной инициативе и под непосредственным руководством владельца и Главного конструктора фирмы Sopwith Aviation Co. Ltd. сэра Томаса Октава Мудроха Сопвича</w:t>
      </w:r>
      <w:r w:rsidR="000F5756">
        <w:rPr>
          <w:bCs/>
          <w:color w:val="002060"/>
          <w:sz w:val="16"/>
          <w:szCs w:val="16"/>
        </w:rPr>
        <w:t xml:space="preserve"> </w:t>
      </w:r>
      <w:r w:rsidRPr="00405303">
        <w:rPr>
          <w:bCs/>
          <w:color w:val="002060"/>
          <w:sz w:val="16"/>
          <w:szCs w:val="16"/>
        </w:rPr>
        <w:t>на базе самолета Сопвич «Шнейдер» (Sopwith Schneider) по первому опыту его морской эксплуатации началась разработка проект, морского многоцелевого поплавкового гидросамолета корабельного базирования – одноместного скоростного разведчика, бомбардировщика, перехватчика дирижаблей, истребителя и противолодочного самолета – Сопвич «Бэби» (23173).</w:t>
      </w:r>
    </w:p>
    <w:p w14:paraId="29560846" w14:textId="77777777" w:rsidR="002F16FA" w:rsidRPr="00405303" w:rsidRDefault="002F16FA" w:rsidP="00C15251">
      <w:pPr>
        <w:jc w:val="both"/>
        <w:rPr>
          <w:bCs/>
          <w:color w:val="002060"/>
          <w:sz w:val="16"/>
          <w:szCs w:val="16"/>
        </w:rPr>
      </w:pPr>
    </w:p>
    <w:p w14:paraId="63B582A4" w14:textId="0B66F407" w:rsidR="000E47F3" w:rsidRPr="00405303" w:rsidRDefault="000E47F3" w:rsidP="00C15251">
      <w:pPr>
        <w:jc w:val="both"/>
        <w:rPr>
          <w:bCs/>
          <w:i/>
          <w:iCs/>
          <w:color w:val="002060"/>
          <w:sz w:val="16"/>
          <w:szCs w:val="16"/>
        </w:rPr>
      </w:pPr>
      <w:r w:rsidRPr="00405303">
        <w:rPr>
          <w:bCs/>
          <w:i/>
          <w:iCs/>
          <w:color w:val="002060"/>
          <w:sz w:val="16"/>
          <w:szCs w:val="16"/>
        </w:rPr>
        <w:t>Другие оборонные отрасли:</w:t>
      </w:r>
    </w:p>
    <w:p w14:paraId="521ADA9B" w14:textId="77777777" w:rsidR="000E47F3" w:rsidRPr="00405303" w:rsidRDefault="000E47F3" w:rsidP="00C15251">
      <w:pPr>
        <w:jc w:val="both"/>
        <w:rPr>
          <w:bCs/>
          <w:i/>
          <w:iCs/>
          <w:color w:val="002060"/>
          <w:sz w:val="16"/>
          <w:szCs w:val="16"/>
        </w:rPr>
      </w:pPr>
    </w:p>
    <w:p w14:paraId="538158C5" w14:textId="77777777" w:rsidR="000E47F3" w:rsidRPr="00405303" w:rsidRDefault="000E47F3" w:rsidP="00C15251">
      <w:pPr>
        <w:jc w:val="both"/>
        <w:rPr>
          <w:bCs/>
          <w:color w:val="002060"/>
          <w:sz w:val="16"/>
          <w:szCs w:val="16"/>
        </w:rPr>
      </w:pPr>
      <w:r w:rsidRPr="00405303">
        <w:rPr>
          <w:bCs/>
          <w:color w:val="002060"/>
          <w:sz w:val="16"/>
          <w:szCs w:val="16"/>
        </w:rPr>
        <w:t xml:space="preserve">В первую половину 1915 г. работа патронных заводов значительно усилила темп. Форсировка велась главным образом за счет увеличения числа рабочих дней и часов. Заводы работали непрерывно 22 часа в сутки и 29 дней в месяц. Форсировать сами технологические процессы, как это делалось в оружейном производстве, было нельзя ввиду особенностей патронного производства. </w:t>
      </w:r>
    </w:p>
    <w:p w14:paraId="24375F93" w14:textId="77777777" w:rsidR="000E47F3" w:rsidRPr="00405303" w:rsidRDefault="000E47F3" w:rsidP="00C15251">
      <w:pPr>
        <w:jc w:val="both"/>
        <w:rPr>
          <w:bCs/>
          <w:color w:val="002060"/>
          <w:sz w:val="16"/>
          <w:szCs w:val="16"/>
        </w:rPr>
      </w:pPr>
      <w:r w:rsidRPr="00405303">
        <w:rPr>
          <w:bCs/>
          <w:color w:val="002060"/>
          <w:sz w:val="16"/>
          <w:szCs w:val="16"/>
        </w:rPr>
        <w:t xml:space="preserve">В то же время на всех патронных заводах с началом 1915 г. были предприняты меры к максимальному увеличению пропускной способности заводов путем постановки дополнительного оборудования, которое спешно заказывалось в России и за границей. Новое оборудование начало вступать в работу примерно с середины 1915 года. Таким образом, на протяжении 1915 г. заводы при максимальнейшем напряжении могли усилить выпуск патронов только примерно в два раза (с 49,9 млн до 107,9), причем частью за счет форсировки работы, частью за счет увеличения оборудования. </w:t>
      </w:r>
    </w:p>
    <w:p w14:paraId="7B5A545A" w14:textId="77777777" w:rsidR="000E47F3" w:rsidRPr="00405303" w:rsidRDefault="000E47F3" w:rsidP="00C15251">
      <w:pPr>
        <w:jc w:val="both"/>
        <w:rPr>
          <w:bCs/>
          <w:color w:val="002060"/>
          <w:sz w:val="16"/>
          <w:szCs w:val="16"/>
        </w:rPr>
      </w:pPr>
      <w:r w:rsidRPr="00405303">
        <w:rPr>
          <w:bCs/>
          <w:color w:val="002060"/>
          <w:sz w:val="16"/>
          <w:szCs w:val="16"/>
        </w:rPr>
        <w:t>За 1916 г. эффект годового нарастания выпуска получился ниже, только 1,5 (с 109,3 до 150,7), и главным образом за счет постановки дополнительного оборудования, которое, начав поступать в заводы с 1915 г., все время продолжало прибывать и в 1916 году.</w:t>
      </w:r>
    </w:p>
    <w:p w14:paraId="53630B9D" w14:textId="77777777" w:rsidR="000E47F3" w:rsidRPr="00405303" w:rsidRDefault="000E47F3" w:rsidP="00C15251">
      <w:pPr>
        <w:jc w:val="both"/>
        <w:rPr>
          <w:bCs/>
          <w:color w:val="002060"/>
          <w:sz w:val="16"/>
          <w:szCs w:val="16"/>
        </w:rPr>
      </w:pPr>
      <w:r w:rsidRPr="00405303">
        <w:rPr>
          <w:bCs/>
          <w:color w:val="002060"/>
          <w:sz w:val="16"/>
          <w:szCs w:val="16"/>
        </w:rPr>
        <w:t xml:space="preserve">Дальнейший рост производительности заводов был невозможен, так как они были насыщены станками и свободных площадей для дальнейшего развития станочных парков уже не было. </w:t>
      </w:r>
    </w:p>
    <w:p w14:paraId="19C156E3" w14:textId="77777777" w:rsidR="000E47F3" w:rsidRPr="00405303" w:rsidRDefault="000E47F3" w:rsidP="00C15251">
      <w:pPr>
        <w:jc w:val="both"/>
        <w:rPr>
          <w:bCs/>
          <w:color w:val="002060"/>
          <w:sz w:val="16"/>
          <w:szCs w:val="16"/>
        </w:rPr>
      </w:pPr>
      <w:r w:rsidRPr="00405303">
        <w:rPr>
          <w:bCs/>
          <w:color w:val="002060"/>
          <w:sz w:val="16"/>
          <w:szCs w:val="16"/>
        </w:rPr>
        <w:t xml:space="preserve">Таким образом, война застала патронные заводы при средней месячной производительности около 50 млн патронов. При предельной форсировке работы и насыщении заводов до отказа оборудованием удалось на протяжении 2,5 лет поднять месячный выпуск до 150 миллионов. Эту цифру заводы давали с крайним напряжением, и ее нужно признать "вымученной" (11329). </w:t>
      </w:r>
    </w:p>
    <w:p w14:paraId="292EF591" w14:textId="77777777" w:rsidR="000E47F3" w:rsidRPr="00405303" w:rsidRDefault="000E47F3" w:rsidP="00C15251">
      <w:pPr>
        <w:jc w:val="both"/>
        <w:rPr>
          <w:bCs/>
          <w:color w:val="002060"/>
          <w:sz w:val="16"/>
          <w:szCs w:val="16"/>
        </w:rPr>
      </w:pPr>
    </w:p>
    <w:p w14:paraId="4BE71C5A" w14:textId="260C2099" w:rsidR="00D96905" w:rsidRPr="00405303" w:rsidRDefault="00D96905" w:rsidP="00C15251">
      <w:pPr>
        <w:shd w:val="clear" w:color="auto" w:fill="FFFFFF"/>
        <w:jc w:val="both"/>
        <w:rPr>
          <w:bCs/>
          <w:i/>
          <w:color w:val="002060"/>
          <w:sz w:val="16"/>
          <w:szCs w:val="16"/>
        </w:rPr>
      </w:pPr>
      <w:r w:rsidRPr="00405303">
        <w:rPr>
          <w:bCs/>
          <w:i/>
          <w:color w:val="002060"/>
          <w:sz w:val="16"/>
          <w:szCs w:val="16"/>
        </w:rPr>
        <w:t>Армия:</w:t>
      </w:r>
    </w:p>
    <w:p w14:paraId="7C378321" w14:textId="77777777" w:rsidR="00D96905" w:rsidRPr="00405303" w:rsidRDefault="00D96905" w:rsidP="00C15251">
      <w:pPr>
        <w:shd w:val="clear" w:color="auto" w:fill="FFFFFF"/>
        <w:jc w:val="both"/>
        <w:rPr>
          <w:bCs/>
          <w:i/>
          <w:color w:val="002060"/>
          <w:sz w:val="16"/>
          <w:szCs w:val="16"/>
        </w:rPr>
      </w:pPr>
    </w:p>
    <w:p w14:paraId="69F4175E" w14:textId="77777777" w:rsidR="00D96905" w:rsidRPr="00405303" w:rsidRDefault="00D96905" w:rsidP="00C15251">
      <w:pPr>
        <w:jc w:val="both"/>
        <w:rPr>
          <w:bCs/>
          <w:color w:val="002060"/>
          <w:sz w:val="16"/>
          <w:szCs w:val="16"/>
        </w:rPr>
      </w:pPr>
      <w:r w:rsidRPr="00405303">
        <w:rPr>
          <w:rStyle w:val="42"/>
          <w:rFonts w:ascii="Times New Roman" w:hAnsi="Times New Roman" w:cs="Times New Roman"/>
          <w:bCs/>
          <w:color w:val="002060"/>
          <w:w w:val="100"/>
          <w:sz w:val="16"/>
          <w:szCs w:val="16"/>
        </w:rPr>
        <w:lastRenderedPageBreak/>
        <w:t>В первой половине 1915 г., когда ЭВК ба</w:t>
      </w:r>
      <w:r w:rsidRPr="00405303">
        <w:rPr>
          <w:rStyle w:val="42"/>
          <w:rFonts w:ascii="Times New Roman" w:hAnsi="Times New Roman" w:cs="Times New Roman"/>
          <w:bCs/>
          <w:color w:val="002060"/>
          <w:w w:val="100"/>
          <w:sz w:val="16"/>
          <w:szCs w:val="16"/>
        </w:rPr>
        <w:softHyphen/>
        <w:t>зировалась в Старой Яблонне под Варшавой, М.М. Рыкачев выполнил серию шаропилотных наблюдений, обнаружив при этом существова</w:t>
      </w:r>
      <w:r w:rsidRPr="00405303">
        <w:rPr>
          <w:rStyle w:val="42"/>
          <w:rFonts w:ascii="Times New Roman" w:hAnsi="Times New Roman" w:cs="Times New Roman"/>
          <w:bCs/>
          <w:color w:val="002060"/>
          <w:w w:val="100"/>
          <w:sz w:val="16"/>
          <w:szCs w:val="16"/>
        </w:rPr>
        <w:softHyphen/>
        <w:t>ние вторичного максимума скорости ветра на высоте 300-500 м. В 1916 г. А.А. Фридман по</w:t>
      </w:r>
      <w:r w:rsidRPr="00405303">
        <w:rPr>
          <w:rStyle w:val="42"/>
          <w:rFonts w:ascii="Times New Roman" w:hAnsi="Times New Roman" w:cs="Times New Roman"/>
          <w:bCs/>
          <w:color w:val="002060"/>
          <w:w w:val="100"/>
          <w:sz w:val="16"/>
          <w:szCs w:val="16"/>
        </w:rPr>
        <w:softHyphen/>
        <w:t>казал, как по данным шара-пилота можно вы</w:t>
      </w:r>
      <w:r w:rsidRPr="00405303">
        <w:rPr>
          <w:rStyle w:val="42"/>
          <w:rFonts w:ascii="Times New Roman" w:hAnsi="Times New Roman" w:cs="Times New Roman"/>
          <w:bCs/>
          <w:color w:val="002060"/>
          <w:w w:val="100"/>
          <w:sz w:val="16"/>
          <w:szCs w:val="16"/>
        </w:rPr>
        <w:softHyphen/>
        <w:t>числить вектор атмосферного вихря, и выпол</w:t>
      </w:r>
      <w:r w:rsidRPr="00405303">
        <w:rPr>
          <w:rStyle w:val="42"/>
          <w:rFonts w:ascii="Times New Roman" w:hAnsi="Times New Roman" w:cs="Times New Roman"/>
          <w:bCs/>
          <w:color w:val="002060"/>
          <w:w w:val="100"/>
          <w:sz w:val="16"/>
          <w:szCs w:val="16"/>
        </w:rPr>
        <w:softHyphen/>
        <w:t>нил важные наблюдения с самолёта за вихрями большого масштаба, порождающими кучевые облака45. П.А. Молчанов изучил вращение ветра с высотой в различных частях циклона. Он обна</w:t>
      </w:r>
      <w:r w:rsidRPr="00405303">
        <w:rPr>
          <w:rStyle w:val="42"/>
          <w:rFonts w:ascii="Times New Roman" w:hAnsi="Times New Roman" w:cs="Times New Roman"/>
          <w:bCs/>
          <w:color w:val="002060"/>
          <w:w w:val="100"/>
          <w:sz w:val="16"/>
          <w:szCs w:val="16"/>
        </w:rPr>
        <w:softHyphen/>
        <w:t>ружил правое вращение ветра в передней части циклона и левое — в тыловой, а также нашёл, что поток в правой части циклона управляет его движением. П.А. Молчанов указал на прогно</w:t>
      </w:r>
      <w:r w:rsidRPr="00405303">
        <w:rPr>
          <w:rStyle w:val="42"/>
          <w:rFonts w:ascii="Times New Roman" w:hAnsi="Times New Roman" w:cs="Times New Roman"/>
          <w:bCs/>
          <w:color w:val="002060"/>
          <w:w w:val="100"/>
          <w:sz w:val="16"/>
          <w:szCs w:val="16"/>
        </w:rPr>
        <w:softHyphen/>
        <w:t>стическое значение этих правил для станций, не имеющих синоптических карт. Он также провёл обстоятельное исследование ошибок метода ба</w:t>
      </w:r>
      <w:r w:rsidRPr="00405303">
        <w:rPr>
          <w:rStyle w:val="42"/>
          <w:rFonts w:ascii="Times New Roman" w:hAnsi="Times New Roman" w:cs="Times New Roman"/>
          <w:bCs/>
          <w:color w:val="002060"/>
          <w:w w:val="100"/>
          <w:sz w:val="16"/>
          <w:szCs w:val="16"/>
        </w:rPr>
        <w:softHyphen/>
        <w:t>зисных шаропилотных наблюдений (20120).</w:t>
      </w:r>
    </w:p>
    <w:p w14:paraId="543163DD" w14:textId="77777777" w:rsidR="00D96905" w:rsidRPr="00405303" w:rsidRDefault="00D96905" w:rsidP="00C15251">
      <w:pPr>
        <w:jc w:val="both"/>
        <w:rPr>
          <w:bCs/>
          <w:color w:val="002060"/>
          <w:sz w:val="16"/>
          <w:szCs w:val="16"/>
        </w:rPr>
      </w:pPr>
    </w:p>
    <w:p w14:paraId="0C2C0CEE" w14:textId="275FDA92" w:rsidR="00D96905" w:rsidRPr="00405303" w:rsidRDefault="00D96905"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10F8B73E" w14:textId="77777777" w:rsidR="00D96905" w:rsidRPr="00405303" w:rsidRDefault="00D96905" w:rsidP="00C15251">
      <w:pPr>
        <w:shd w:val="clear" w:color="auto" w:fill="FFFFFF"/>
        <w:jc w:val="both"/>
        <w:rPr>
          <w:bCs/>
          <w:i/>
          <w:color w:val="002060"/>
          <w:sz w:val="16"/>
          <w:szCs w:val="16"/>
        </w:rPr>
      </w:pPr>
    </w:p>
    <w:p w14:paraId="4EF04E12" w14:textId="77777777" w:rsidR="003342C8" w:rsidRPr="00405303" w:rsidRDefault="003342C8" w:rsidP="00C15251">
      <w:pPr>
        <w:jc w:val="both"/>
        <w:rPr>
          <w:bCs/>
          <w:color w:val="002060"/>
          <w:sz w:val="16"/>
          <w:szCs w:val="16"/>
        </w:rPr>
      </w:pPr>
      <w:r w:rsidRPr="00405303">
        <w:rPr>
          <w:bCs/>
          <w:color w:val="002060"/>
          <w:sz w:val="16"/>
          <w:szCs w:val="16"/>
        </w:rPr>
        <w:t>В течение первой половины1915 года немцами были произведены успешные налеты дирижаблей на английские и французские порты и на Нанси (11282).</w:t>
      </w:r>
    </w:p>
    <w:p w14:paraId="73EFF63B" w14:textId="77777777" w:rsidR="003342C8" w:rsidRPr="00405303" w:rsidRDefault="003342C8" w:rsidP="00C15251">
      <w:pPr>
        <w:jc w:val="both"/>
        <w:rPr>
          <w:bCs/>
          <w:color w:val="002060"/>
          <w:sz w:val="16"/>
          <w:szCs w:val="16"/>
        </w:rPr>
      </w:pPr>
    </w:p>
    <w:p w14:paraId="29F436EA" w14:textId="77777777" w:rsidR="00D96905" w:rsidRPr="00405303" w:rsidRDefault="00D96905" w:rsidP="00C15251">
      <w:pPr>
        <w:jc w:val="both"/>
        <w:rPr>
          <w:bCs/>
          <w:color w:val="002060"/>
          <w:sz w:val="16"/>
          <w:szCs w:val="16"/>
        </w:rPr>
      </w:pPr>
      <w:r w:rsidRPr="00405303">
        <w:rPr>
          <w:bCs/>
          <w:color w:val="002060"/>
          <w:sz w:val="16"/>
          <w:szCs w:val="16"/>
        </w:rPr>
        <w:t>В первой половине 1915 г. Инспекцией Воздушных Войск Германии был заказан «гигантский» бомбардировщик еще одной фирме – «Дойче Флюгцойгверке» (Deutsche Flugzeugwerke G.m.b.H. или просто DFW) в Линдентале – ныне это район Кёльна, важнейшего центра земли Северный Рейн – Вестфалия на западе ФРГ. Она начинала в 1911 г. с выпуска самолетов «Фарман» в Германии по французской лицензии и для нее это был первая такая большая и сложная работа. Возглавил проект под заводским обозначением Т.26 лично главный инженер предприятия Герман Дорнер, в вопросах прочности и аэродинамики ему помогал профессор Райснер, а конструкцию детально прорабатывал инженер Зандер при участии одного из первых немецких пилотов Олерича, который помогал с компоновкой рабочих мест экипажа и органов управления. Машина была названа DFW R I и получила производственный номер R 11/15 (23077).</w:t>
      </w:r>
    </w:p>
    <w:p w14:paraId="18EB7020" w14:textId="77777777" w:rsidR="00D96905" w:rsidRPr="00405303" w:rsidRDefault="00D96905" w:rsidP="00C15251">
      <w:pPr>
        <w:jc w:val="both"/>
        <w:rPr>
          <w:bCs/>
          <w:color w:val="002060"/>
          <w:sz w:val="16"/>
          <w:szCs w:val="16"/>
        </w:rPr>
      </w:pPr>
    </w:p>
    <w:p w14:paraId="442A09CF"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1BC7307B" w14:textId="77777777" w:rsidR="004B4E35" w:rsidRPr="00405303" w:rsidRDefault="004B4E35" w:rsidP="00C15251">
      <w:pPr>
        <w:jc w:val="both"/>
        <w:rPr>
          <w:bCs/>
          <w:i/>
          <w:color w:val="002060"/>
          <w:sz w:val="16"/>
          <w:szCs w:val="16"/>
        </w:rPr>
      </w:pPr>
    </w:p>
    <w:p w14:paraId="439B8FD6" w14:textId="77777777" w:rsidR="00E91F33" w:rsidRPr="00405303" w:rsidRDefault="00E91F33" w:rsidP="00C15251">
      <w:pPr>
        <w:jc w:val="both"/>
        <w:rPr>
          <w:bCs/>
          <w:color w:val="002060"/>
          <w:sz w:val="16"/>
          <w:szCs w:val="16"/>
        </w:rPr>
      </w:pPr>
      <w:r w:rsidRPr="00405303">
        <w:rPr>
          <w:bCs/>
          <w:color w:val="002060"/>
          <w:sz w:val="16"/>
          <w:szCs w:val="16"/>
        </w:rPr>
        <w:t>К июлю 1915 г. Мальцевские заводы получили аванс в 3800 тыс. руб., Никополь-Мариупольский - 5500 тыс., завод Лесснера - 2300 тысяч.</w:t>
      </w:r>
    </w:p>
    <w:p w14:paraId="41E9E493" w14:textId="77777777" w:rsidR="00E91F33" w:rsidRPr="00405303" w:rsidRDefault="00E91F33" w:rsidP="00C15251">
      <w:pPr>
        <w:jc w:val="both"/>
        <w:rPr>
          <w:bCs/>
          <w:color w:val="002060"/>
          <w:sz w:val="16"/>
          <w:szCs w:val="16"/>
        </w:rPr>
      </w:pPr>
      <w:r w:rsidRPr="00405303">
        <w:rPr>
          <w:bCs/>
          <w:color w:val="002060"/>
          <w:sz w:val="16"/>
          <w:szCs w:val="16"/>
        </w:rPr>
        <w:t>Военному ведомству разрешалось выдавать аванс предприятиям в размере от 30 до 65% суммы военного заказа. За счёт этих авансов закупалось новое оборудование, а в ряде случаев создавались новые предприятия. Завод "Русский Рено" в Петрограде, созданный накануне войны, был сравнительно небольшим предприятием, рассчитанным на ремонт автомобилей и производство к ним некоторых запасных частей. В 1915 г. "Русский Рено" заключил договор на поставку 1 млн. запальных стаканов для 3-дюймовых фугасных снарядов и получил аванс в размере 3400 тыс. рублей. Все станки и оборудование для снарядной мастерской были закуплены за счёт этих сумм.</w:t>
      </w:r>
    </w:p>
    <w:p w14:paraId="44F2C174" w14:textId="77777777" w:rsidR="00E91F33" w:rsidRPr="00405303" w:rsidRDefault="00E91F33" w:rsidP="00C15251">
      <w:pPr>
        <w:jc w:val="both"/>
        <w:rPr>
          <w:bCs/>
          <w:color w:val="002060"/>
          <w:sz w:val="16"/>
          <w:szCs w:val="16"/>
        </w:rPr>
      </w:pPr>
      <w:r w:rsidRPr="00405303">
        <w:rPr>
          <w:bCs/>
          <w:color w:val="002060"/>
          <w:sz w:val="16"/>
          <w:szCs w:val="16"/>
        </w:rPr>
        <w:t>Огромные авансы получал Путиловский завод, который в связи с задержкой выполнения военных заказов оказался крупнейшим должником казны. К октябрю 1915 г. сумма авансов, полученных Путиловским заводом, составила около 40 млн. руб., а прибыль завода за 1915 г. достигла 12 миллионов.</w:t>
      </w:r>
    </w:p>
    <w:p w14:paraId="2FF4681E" w14:textId="77777777" w:rsidR="00E91F33" w:rsidRPr="00405303" w:rsidRDefault="00E91F33" w:rsidP="00C15251">
      <w:pPr>
        <w:jc w:val="both"/>
        <w:rPr>
          <w:bCs/>
          <w:color w:val="002060"/>
          <w:sz w:val="16"/>
          <w:szCs w:val="16"/>
        </w:rPr>
      </w:pPr>
      <w:r w:rsidRPr="00405303">
        <w:rPr>
          <w:bCs/>
          <w:color w:val="002060"/>
          <w:sz w:val="16"/>
          <w:szCs w:val="16"/>
        </w:rPr>
        <w:t>За счёт казённых авансов были созданы совершенно новые предприятия, как, например, автомобильный завод московского общества АМО (Рябушинского и Кузнецова), снаряжательные мастерские по сборке снарядов крупнейшего московского капиталиста Второва, южная военно-химическая промышленность и ряд других. На авансы предприятиям, изготовлявшим трёхдюймовые снаряды, через одну только организацию Ванкова расходовались сотня миллионов рублей. Военно-промышленные комитеты только за 1915 г. получили от казны авансов на общую сумму в 150 млн. рублей.</w:t>
      </w:r>
    </w:p>
    <w:p w14:paraId="4E4B0CBB" w14:textId="77777777" w:rsidR="00E91F33" w:rsidRPr="00405303" w:rsidRDefault="00E91F33" w:rsidP="00C15251">
      <w:pPr>
        <w:jc w:val="both"/>
        <w:rPr>
          <w:bCs/>
          <w:color w:val="002060"/>
          <w:sz w:val="16"/>
          <w:szCs w:val="16"/>
        </w:rPr>
      </w:pPr>
      <w:r w:rsidRPr="00405303">
        <w:rPr>
          <w:bCs/>
          <w:color w:val="002060"/>
          <w:sz w:val="16"/>
          <w:szCs w:val="16"/>
        </w:rPr>
        <w:t>Если исходить из того, что в среднем авансы составляли около 50% всей стоимости военных заказов, то общая сумма средств, авансированных государством промышленности на 1 января 1917 г., должна быть определена приблизительно в 6 млрд. рублей (18381).</w:t>
      </w:r>
    </w:p>
    <w:p w14:paraId="303446DD" w14:textId="77777777" w:rsidR="00E91F33" w:rsidRPr="00405303" w:rsidRDefault="00E91F33" w:rsidP="00C15251">
      <w:pPr>
        <w:jc w:val="both"/>
        <w:rPr>
          <w:bCs/>
          <w:color w:val="002060"/>
          <w:sz w:val="16"/>
          <w:szCs w:val="16"/>
        </w:rPr>
      </w:pPr>
    </w:p>
    <w:p w14:paraId="28DE4607" w14:textId="56C69B67" w:rsidR="004B4E35" w:rsidRPr="00405303" w:rsidRDefault="00B02238"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К</w:t>
      </w:r>
      <w:r w:rsidR="009E6F82" w:rsidRPr="00405303">
        <w:rPr>
          <w:bCs/>
          <w:i w:val="0"/>
          <w:color w:val="002060"/>
          <w:spacing w:val="0"/>
          <w:kern w:val="0"/>
          <w:position w:val="0"/>
          <w:sz w:val="16"/>
          <w:szCs w:val="16"/>
        </w:rPr>
        <w:t xml:space="preserve"> июлю 1915 г.</w:t>
      </w:r>
      <w:r w:rsidRPr="00405303">
        <w:rPr>
          <w:bCs/>
          <w:i w:val="0"/>
          <w:color w:val="002060"/>
          <w:spacing w:val="0"/>
          <w:kern w:val="0"/>
          <w:position w:val="0"/>
          <w:sz w:val="16"/>
          <w:szCs w:val="16"/>
        </w:rPr>
        <w:t xml:space="preserve"> с назначением ген. Поливанова военным министром деятельность Особой распорядительной комиссии по артиллерийской части, созданной 1 января 1915 г.,</w:t>
      </w:r>
      <w:r w:rsidR="000F5756">
        <w:rPr>
          <w:bCs/>
          <w:i w:val="0"/>
          <w:color w:val="002060"/>
          <w:spacing w:val="0"/>
          <w:kern w:val="0"/>
          <w:position w:val="0"/>
          <w:sz w:val="16"/>
          <w:szCs w:val="16"/>
        </w:rPr>
        <w:t xml:space="preserve"> </w:t>
      </w:r>
      <w:r w:rsidRPr="00405303">
        <w:rPr>
          <w:bCs/>
          <w:i w:val="0"/>
          <w:color w:val="002060"/>
          <w:spacing w:val="0"/>
          <w:kern w:val="0"/>
          <w:position w:val="0"/>
          <w:sz w:val="16"/>
          <w:szCs w:val="16"/>
        </w:rPr>
        <w:t xml:space="preserve">была признана </w:t>
      </w:r>
      <w:proofErr w:type="gramStart"/>
      <w:r w:rsidRPr="00405303">
        <w:rPr>
          <w:bCs/>
          <w:i w:val="0"/>
          <w:color w:val="002060"/>
          <w:spacing w:val="0"/>
          <w:kern w:val="0"/>
          <w:position w:val="0"/>
          <w:sz w:val="16"/>
          <w:szCs w:val="16"/>
        </w:rPr>
        <w:t>излишней</w:t>
      </w:r>
      <w:proofErr w:type="gramEnd"/>
      <w:r w:rsidRPr="00405303">
        <w:rPr>
          <w:bCs/>
          <w:i w:val="0"/>
          <w:color w:val="002060"/>
          <w:spacing w:val="0"/>
          <w:kern w:val="0"/>
          <w:position w:val="0"/>
          <w:sz w:val="16"/>
          <w:szCs w:val="16"/>
        </w:rPr>
        <w:t xml:space="preserve"> и комиссия была упразднена.</w:t>
      </w:r>
    </w:p>
    <w:p w14:paraId="72314AB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Несмотря на краткость своего существования - около 0,5 года - ей все же удалось достигнуть весьма значительных результатов. Комиссия предприняла ряд мер, сильно поднявших производство. предметов боевого снабжения в России; ею были исчерпаны почти все возможности единовременных покупок и исполнимых контрактов на те же предметы за границей. </w:t>
      </w:r>
    </w:p>
    <w:p w14:paraId="680C35F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Члены комиссии путем объездов и личных посещений ознакомились с действительными нуждами русских заводов и учредили фактический контроль над их деятельностью. </w:t>
      </w:r>
    </w:p>
    <w:p w14:paraId="377ECC0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Рассмотрев заграничные заказы, председатель комиссии пришел к выводу, что заключенные с заграничными фирмами контракты совершенно невыполнимы в обусловленные сроки, которые он считал "обманными". По донесениям приемщиков, большинство иностранных заводов ко времени учреждения комиссии не начинало производства, "но только приступало к оборудованию новых заводов". Союзные же правительства, несмотря на свои заявления, что они принимают все меры к добросовестному выполнению их заводами русских контрактов, "не только не способствовали нам, но даже косвенно препятствовали заводам в исполнении ими своих работ, заботясь, конечно, главным образом, о снабжении своих армий". </w:t>
      </w:r>
    </w:p>
    <w:p w14:paraId="1664E73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действительности большие опоздания в изготовлении заграничными заводами заказанных им предметов для русской армии превзошли все самые пессимистические ожидания. </w:t>
      </w:r>
    </w:p>
    <w:p w14:paraId="380783F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Комиссией выработан был план осуществления общих мер к увеличению производительности русских заводов, работающих на оборону: в отношении обеспечения их топливом, личным техническим составом и рабочими; в отношении технических облегчений и усовершенствований, имевших целью увеличение выхода изделий; по изготовлению химических и взрывчатых веществ; по заготовлению траншейных орудий с огнеприпасами к ним и пр. Комиссия стремилась к объединению разрозненной деятельности военного и морского ведомств по заготовлению и распределению предметов боевого снабжения, в особенности пороха и взрывчатых веществ. </w:t>
      </w:r>
    </w:p>
    <w:p w14:paraId="135FA50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Кроме того, председатель комиссии руководил делом формирования новых батарей (в том числе зенитных), производившегося вне театра военных действий, распределением орудий, требующихся па фронт из крепостей, и т. д. </w:t>
      </w:r>
    </w:p>
    <w:p w14:paraId="5749E94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15 (28) февраля 1915 г. главковерх телеграфировал председателю Распорядительной комиссии, что "все дальнейшие неудачи безусловно будут последствием недостатка пушечных патронов и винтовок". На это последний ответил, что, "вполне сознавая то критическое положение, в котором находится армия...", однако, обследовав вопросы артснабжения, он пришел к убеждению, что все мероприятия к ускорению артснабжения "смогут дать благоприятные результаты только в будущем". Обследование ген. Маниковского показало, например, что производительность наших оружейных заводов может быть поднята не раньше, как через шесть месяцев. </w:t>
      </w:r>
    </w:p>
    <w:p w14:paraId="4986774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22 февраля (7 марта) того же года главковерх вновь телеграфировал председателю Распорядительной комиссии: "Положение очень серьезно, недостаток пушечных патронов критический; подача замедлена, фронты нервно настроены, возможна серьезная неудача от недостатка патронов; между тем успех во многих местах вполне возможен; нужны сверх-меры". </w:t>
      </w:r>
    </w:p>
    <w:p w14:paraId="469A7A4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 распоряжению председателя комиссии собраны были со всех заводов готовые снаряды, не дожидаясь требуемых испытаний, и в течение второй половины февраля было отправлено в армию 212.000 пушечных 76-мм патронов. </w:t>
      </w:r>
    </w:p>
    <w:p w14:paraId="2F525C2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 весне 1915 г. недостаток боевых припасов в действующей армии достиг крайнего предела, о чем главковерх непрестанно телеграфировал председателю Распорядительной комиссии. Признано было необходимым поставить во главе ГАУ нового начальника. 25 мая (7 июня) 1915 г. начальником ГАУ был назначен ген. Маниковский. </w:t>
      </w:r>
    </w:p>
    <w:p w14:paraId="05A4F90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При Маниковском колоссальные многообразные требования войны осложнили деятельность ГАУ свыше всяких предположений. По мере увеличения или возникновения новых требований видоизменялась организация ГАУ, штаты его непрерывно расширялись без определенного, заранее предусмотренного плана. К </w:t>
      </w:r>
      <w:r w:rsidRPr="00405303">
        <w:rPr>
          <w:bCs/>
          <w:i w:val="0"/>
          <w:color w:val="002060"/>
          <w:spacing w:val="0"/>
          <w:kern w:val="0"/>
          <w:position w:val="0"/>
          <w:sz w:val="16"/>
          <w:szCs w:val="16"/>
        </w:rPr>
        <w:lastRenderedPageBreak/>
        <w:t>концу мировой войны, в мае 1917 г., когда ген. Маниковского, назначенного помощником военного министра по снабжению, заменил ген. Лехович, ГАУ представляло чрезвычайно сложный и громоздкий организм, как это видно на прилагаемой схеме 2 (приложение 2) (11483).</w:t>
      </w:r>
    </w:p>
    <w:p w14:paraId="24F2BE11" w14:textId="77777777" w:rsidR="004B4E35" w:rsidRPr="00405303" w:rsidRDefault="004B4E35" w:rsidP="00C15251">
      <w:pPr>
        <w:pStyle w:val="a3"/>
        <w:jc w:val="both"/>
        <w:rPr>
          <w:bCs/>
          <w:i w:val="0"/>
          <w:color w:val="002060"/>
          <w:spacing w:val="0"/>
          <w:kern w:val="0"/>
          <w:position w:val="0"/>
          <w:sz w:val="16"/>
          <w:szCs w:val="16"/>
        </w:rPr>
      </w:pPr>
    </w:p>
    <w:p w14:paraId="31107B10"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604DDADE" w14:textId="77777777" w:rsidR="004B4E35" w:rsidRPr="00405303" w:rsidRDefault="004B4E35" w:rsidP="00C15251">
      <w:pPr>
        <w:jc w:val="both"/>
        <w:rPr>
          <w:bCs/>
          <w:i/>
          <w:color w:val="002060"/>
          <w:sz w:val="16"/>
          <w:szCs w:val="16"/>
        </w:rPr>
      </w:pPr>
    </w:p>
    <w:p w14:paraId="25D2707C" w14:textId="77777777" w:rsidR="004B4E35" w:rsidRPr="00405303" w:rsidRDefault="009E6F82" w:rsidP="00C15251">
      <w:pPr>
        <w:jc w:val="both"/>
        <w:rPr>
          <w:bCs/>
          <w:color w:val="002060"/>
          <w:sz w:val="16"/>
          <w:szCs w:val="16"/>
        </w:rPr>
      </w:pPr>
      <w:r w:rsidRPr="00405303">
        <w:rPr>
          <w:bCs/>
          <w:color w:val="002060"/>
          <w:sz w:val="16"/>
          <w:szCs w:val="16"/>
        </w:rPr>
        <w:t>К июлю 1915 г. в боевом составе Балтийского флота по данным авиационного отдела числилось 16 летающих лодок "ФБА" (в том числе пять на авиатранспорте "Орлица"), пять С-10; два "Фармана", а также подготовленные к отправке в школу ОВФ пять "Форманов" и два "Дюпердюссена". В ремонте находились две лодки Щетинина, в состоянии поставки 17 самолётов "Кертисс". Были заказаны, но ещё не поступили от Лебедева 32 лодки "ФБА" (11927).</w:t>
      </w:r>
    </w:p>
    <w:p w14:paraId="153205DD" w14:textId="77777777" w:rsidR="004B4E35" w:rsidRPr="00405303" w:rsidRDefault="004B4E35" w:rsidP="00C15251">
      <w:pPr>
        <w:jc w:val="both"/>
        <w:rPr>
          <w:bCs/>
          <w:color w:val="002060"/>
          <w:sz w:val="16"/>
          <w:szCs w:val="16"/>
        </w:rPr>
      </w:pPr>
    </w:p>
    <w:p w14:paraId="3896AD83" w14:textId="411222C3" w:rsidR="007417C7" w:rsidRPr="00405303" w:rsidRDefault="007417C7" w:rsidP="007417C7">
      <w:pPr>
        <w:jc w:val="both"/>
        <w:rPr>
          <w:bCs/>
          <w:i/>
          <w:color w:val="002060"/>
          <w:sz w:val="16"/>
          <w:szCs w:val="16"/>
        </w:rPr>
      </w:pPr>
      <w:r w:rsidRPr="00405303">
        <w:rPr>
          <w:bCs/>
          <w:i/>
          <w:color w:val="002060"/>
          <w:sz w:val="16"/>
          <w:szCs w:val="16"/>
        </w:rPr>
        <w:t>Самолетостроение:</w:t>
      </w:r>
    </w:p>
    <w:p w14:paraId="078B4EBD" w14:textId="77777777" w:rsidR="007417C7" w:rsidRPr="00405303" w:rsidRDefault="007417C7" w:rsidP="007417C7">
      <w:pPr>
        <w:jc w:val="both"/>
        <w:rPr>
          <w:bCs/>
          <w:i/>
          <w:color w:val="002060"/>
          <w:sz w:val="16"/>
          <w:szCs w:val="16"/>
        </w:rPr>
      </w:pPr>
    </w:p>
    <w:p w14:paraId="7928D3ED" w14:textId="77777777" w:rsidR="007417C7" w:rsidRPr="00405303" w:rsidRDefault="007417C7" w:rsidP="007417C7">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1 (14) июля 1915 г. вблизи ст. Олькеники (на линии Вильна – Гродно) в качестве трофея нашим войскам достался потерпевший аварию германский «Альбатрос» (экипаж взят в плен) (25135).</w:t>
      </w:r>
    </w:p>
    <w:p w14:paraId="2E572BFA" w14:textId="77777777" w:rsidR="007417C7" w:rsidRPr="00405303" w:rsidRDefault="007417C7" w:rsidP="007417C7">
      <w:pPr>
        <w:jc w:val="both"/>
        <w:rPr>
          <w:color w:val="0070C0"/>
          <w:sz w:val="16"/>
          <w:szCs w:val="16"/>
        </w:rPr>
      </w:pPr>
    </w:p>
    <w:p w14:paraId="3B17A755"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157B3CA0" w14:textId="77777777" w:rsidR="004B4E35" w:rsidRPr="00405303" w:rsidRDefault="004B4E35" w:rsidP="00C15251">
      <w:pPr>
        <w:jc w:val="both"/>
        <w:rPr>
          <w:bCs/>
          <w:i/>
          <w:color w:val="002060"/>
          <w:sz w:val="16"/>
          <w:szCs w:val="16"/>
        </w:rPr>
      </w:pPr>
    </w:p>
    <w:p w14:paraId="33D18A50" w14:textId="35D882D8"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За период с 1 </w:t>
      </w:r>
      <w:r w:rsidR="00B02238" w:rsidRPr="00405303">
        <w:rPr>
          <w:bCs/>
          <w:color w:val="002060"/>
          <w:sz w:val="16"/>
          <w:szCs w:val="16"/>
        </w:rPr>
        <w:t xml:space="preserve">(14) </w:t>
      </w:r>
      <w:r w:rsidRPr="00405303">
        <w:rPr>
          <w:bCs/>
          <w:color w:val="002060"/>
          <w:sz w:val="16"/>
          <w:szCs w:val="16"/>
        </w:rPr>
        <w:t xml:space="preserve">июля 1915 г. по 1 </w:t>
      </w:r>
      <w:r w:rsidR="00B02238" w:rsidRPr="00405303">
        <w:rPr>
          <w:bCs/>
          <w:color w:val="002060"/>
          <w:sz w:val="16"/>
          <w:szCs w:val="16"/>
        </w:rPr>
        <w:t xml:space="preserve">(14) </w:t>
      </w:r>
      <w:r w:rsidRPr="00405303">
        <w:rPr>
          <w:bCs/>
          <w:color w:val="002060"/>
          <w:sz w:val="16"/>
          <w:szCs w:val="16"/>
        </w:rPr>
        <w:t>июня 1916 г. у подданных тех государств, которые находились в состоянии войны с Россией онфисковали 1802 мо</w:t>
      </w:r>
      <w:r w:rsidRPr="00405303">
        <w:rPr>
          <w:bCs/>
          <w:color w:val="002060"/>
          <w:sz w:val="16"/>
          <w:szCs w:val="16"/>
        </w:rPr>
        <w:softHyphen/>
        <w:t>тоцикла [2.48]. Впрочем, к конфискациям прибегали при изысканиях к мото</w:t>
      </w:r>
      <w:r w:rsidRPr="00405303">
        <w:rPr>
          <w:bCs/>
          <w:color w:val="002060"/>
          <w:sz w:val="16"/>
          <w:szCs w:val="16"/>
        </w:rPr>
        <w:softHyphen/>
        <w:t>циклам запасных частей и комплектующих изделий. Когда в раз</w:t>
      </w:r>
      <w:r w:rsidRPr="00405303">
        <w:rPr>
          <w:bCs/>
          <w:color w:val="002060"/>
          <w:sz w:val="16"/>
          <w:szCs w:val="16"/>
        </w:rPr>
        <w:softHyphen/>
        <w:t>гар войны (1915-1916) поставки мотоциклетных шин Акционер</w:t>
      </w:r>
      <w:r w:rsidRPr="00405303">
        <w:rPr>
          <w:bCs/>
          <w:color w:val="002060"/>
          <w:sz w:val="16"/>
          <w:szCs w:val="16"/>
        </w:rPr>
        <w:softHyphen/>
        <w:t>ными обществами «Проводник» (Рига), «Каучук» и «Клиньер» (Санкт-Петербург) оказались недостаточными, выяснилось, что германские и австрийские подданные, работавшие в России, не только снизили выпуск этой продукции до 500-600 изделий в день, но и сдерживали их поставки заказчикам. По законам воен</w:t>
      </w:r>
      <w:r w:rsidRPr="00405303">
        <w:rPr>
          <w:bCs/>
          <w:color w:val="002060"/>
          <w:sz w:val="16"/>
          <w:szCs w:val="16"/>
        </w:rPr>
        <w:softHyphen/>
        <w:t>ного времени продукцию этих фирм конфисковали [2.49]. Снабжение русской армии требовало изучения продукции, выпускаемой фирмами-изготовителями мотоциклов. За грани</w:t>
      </w:r>
      <w:r w:rsidRPr="00405303">
        <w:rPr>
          <w:bCs/>
          <w:color w:val="002060"/>
          <w:sz w:val="16"/>
          <w:szCs w:val="16"/>
        </w:rPr>
        <w:softHyphen/>
        <w:t>цей оформление заказов (через Лондон и Париж) на мотоциклы и запчасти к ним по распоряжениям ГВТУ выполняли наши агенты. Им ГВТУ выдало задание обеспечить потребность Рос</w:t>
      </w:r>
      <w:r w:rsidRPr="00405303">
        <w:rPr>
          <w:bCs/>
          <w:color w:val="002060"/>
          <w:sz w:val="16"/>
          <w:szCs w:val="16"/>
        </w:rPr>
        <w:softHyphen/>
        <w:t>сии на 1916 г. в 10349 мотоциклов, из них 526 - с боковыми пас</w:t>
      </w:r>
      <w:r w:rsidRPr="00405303">
        <w:rPr>
          <w:bCs/>
          <w:color w:val="002060"/>
          <w:sz w:val="16"/>
          <w:szCs w:val="16"/>
        </w:rPr>
        <w:softHyphen/>
        <w:t>сажирскими, и 326 - с боковыми грузовыми колясками. Агенту Гермониусу рекомендовали экономно расходовать выделенные средства и, в первую очередь, закупать мотоциклы фирм Сан-бим, Триумф. Фелон-Мюр и Ариэль, как хорошо проявивших себя на фронтах, и лишь в крайних случаях - фирм Джемс, Ровер и др., недостаточно мощных, с плохой проходимостью и пр. недостатками. Наши агенты выполняли различные поручения, случалось дипломатические. Когда Англия хотела отказать по</w:t>
      </w:r>
      <w:r w:rsidRPr="00405303">
        <w:rPr>
          <w:bCs/>
          <w:color w:val="002060"/>
          <w:sz w:val="16"/>
          <w:szCs w:val="16"/>
        </w:rPr>
        <w:softHyphen/>
        <w:t>ставлять мотоциклы в 1916 г., им поручили выяснить готовность Италии продать 11 тыс. или хотя бы 3 тыс. мотоциклов к июлю 1917 года [2.34]. Благодаря чёткой работе русских агентов за границей поставки мотоциклов шли регулярно и в достаточных объёмах (11429). Большое значение имело участие частных компаний и фирм в поставках мотоциклов. Они приобрели широкий характер, неко</w:t>
      </w:r>
      <w:r w:rsidRPr="00405303">
        <w:rPr>
          <w:bCs/>
          <w:color w:val="002060"/>
          <w:sz w:val="16"/>
          <w:szCs w:val="16"/>
        </w:rPr>
        <w:softHyphen/>
        <w:t>торые посредники для этого фрахтовали пароходы. Наиболее ак</w:t>
      </w:r>
      <w:r w:rsidRPr="00405303">
        <w:rPr>
          <w:bCs/>
          <w:color w:val="002060"/>
          <w:sz w:val="16"/>
          <w:szCs w:val="16"/>
        </w:rPr>
        <w:softHyphen/>
        <w:t>тивно проявили себя торговые дома «Победа», «Николаев» и «Плюйм-Окс», с риском доставлявшие мотоциклы и запчасти к ним из США и Англии. Так, если по пути из США и Англии через Атлантику и Северное море приходило сообщение о замерзании Архангельского порта, случавшееся обычно во второй половине сентября, то им приходилось изменять маршруты зафрахтован</w:t>
      </w:r>
      <w:r w:rsidRPr="00405303">
        <w:rPr>
          <w:bCs/>
          <w:color w:val="002060"/>
          <w:sz w:val="16"/>
          <w:szCs w:val="16"/>
        </w:rPr>
        <w:softHyphen/>
        <w:t>ных пароходов, доставлять мотоциклы во Владивосток и по Транссибирской железной дороге к театру военных действий. Среди частных поставщиков попадались и нечестные люди. На</w:t>
      </w:r>
      <w:r w:rsidRPr="00405303">
        <w:rPr>
          <w:bCs/>
          <w:color w:val="002060"/>
          <w:sz w:val="16"/>
          <w:szCs w:val="16"/>
        </w:rPr>
        <w:softHyphen/>
        <w:t>пример после смерти в 1915 г. владельца посреднической компа</w:t>
      </w:r>
      <w:r w:rsidRPr="00405303">
        <w:rPr>
          <w:bCs/>
          <w:color w:val="002060"/>
          <w:sz w:val="16"/>
          <w:szCs w:val="16"/>
        </w:rPr>
        <w:softHyphen/>
        <w:t>нии «Плюйм-Окс» Р. Плюйма, его правопреемники Э.А. Плюйм и С.М. Гликин начали свою деятельность с судебных претензий к ГВТУ о взыскании долга в 170 тыс. р., приостановив при этом де</w:t>
      </w:r>
      <w:r w:rsidRPr="00405303">
        <w:rPr>
          <w:bCs/>
          <w:color w:val="002060"/>
          <w:sz w:val="16"/>
          <w:szCs w:val="16"/>
        </w:rPr>
        <w:softHyphen/>
        <w:t>ятельность фирмы [2.31]. Автору удалось разыскать сведения о количестве доставлен</w:t>
      </w:r>
      <w:r w:rsidRPr="00405303">
        <w:rPr>
          <w:bCs/>
          <w:color w:val="002060"/>
          <w:sz w:val="16"/>
          <w:szCs w:val="16"/>
        </w:rPr>
        <w:softHyphen/>
        <w:t xml:space="preserve">ных в Россию только девяти фирм: </w:t>
      </w:r>
      <w:r w:rsidRPr="00405303">
        <w:rPr>
          <w:bCs/>
          <w:color w:val="002060"/>
          <w:sz w:val="16"/>
          <w:szCs w:val="16"/>
          <w:lang w:val="en-US"/>
        </w:rPr>
        <w:t>Triumph</w:t>
      </w:r>
      <w:r w:rsidRPr="00405303">
        <w:rPr>
          <w:bCs/>
          <w:color w:val="002060"/>
          <w:sz w:val="16"/>
          <w:szCs w:val="16"/>
        </w:rPr>
        <w:t xml:space="preserve">, </w:t>
      </w:r>
      <w:r w:rsidRPr="00405303">
        <w:rPr>
          <w:bCs/>
          <w:color w:val="002060"/>
          <w:sz w:val="16"/>
          <w:szCs w:val="16"/>
          <w:lang w:val="en-US"/>
        </w:rPr>
        <w:t>PhelonandMoore</w:t>
      </w:r>
      <w:r w:rsidRPr="00405303">
        <w:rPr>
          <w:bCs/>
          <w:color w:val="002060"/>
          <w:sz w:val="16"/>
          <w:szCs w:val="16"/>
        </w:rPr>
        <w:t xml:space="preserve">, </w:t>
      </w:r>
      <w:r w:rsidRPr="00405303">
        <w:rPr>
          <w:bCs/>
          <w:color w:val="002060"/>
          <w:sz w:val="16"/>
          <w:szCs w:val="16"/>
          <w:lang w:val="en-US"/>
        </w:rPr>
        <w:t>Indian</w:t>
      </w:r>
      <w:r w:rsidRPr="00405303">
        <w:rPr>
          <w:bCs/>
          <w:color w:val="002060"/>
          <w:sz w:val="16"/>
          <w:szCs w:val="16"/>
        </w:rPr>
        <w:t xml:space="preserve">, </w:t>
      </w:r>
      <w:r w:rsidRPr="00405303">
        <w:rPr>
          <w:bCs/>
          <w:color w:val="002060"/>
          <w:sz w:val="16"/>
          <w:szCs w:val="16"/>
          <w:lang w:val="en-US"/>
        </w:rPr>
        <w:t>Clyno</w:t>
      </w:r>
      <w:r w:rsidRPr="00405303">
        <w:rPr>
          <w:bCs/>
          <w:color w:val="002060"/>
          <w:sz w:val="16"/>
          <w:szCs w:val="16"/>
        </w:rPr>
        <w:t xml:space="preserve">, </w:t>
      </w:r>
      <w:r w:rsidRPr="00405303">
        <w:rPr>
          <w:bCs/>
          <w:color w:val="002060"/>
          <w:sz w:val="16"/>
          <w:szCs w:val="16"/>
          <w:lang w:val="en-US"/>
        </w:rPr>
        <w:t>New</w:t>
      </w:r>
      <w:r w:rsidRPr="00405303">
        <w:rPr>
          <w:bCs/>
          <w:color w:val="002060"/>
          <w:sz w:val="16"/>
          <w:szCs w:val="16"/>
        </w:rPr>
        <w:t>-</w:t>
      </w:r>
      <w:r w:rsidRPr="00405303">
        <w:rPr>
          <w:bCs/>
          <w:color w:val="002060"/>
          <w:sz w:val="16"/>
          <w:szCs w:val="16"/>
          <w:lang w:val="en-US"/>
        </w:rPr>
        <w:t>Hudson</w:t>
      </w:r>
      <w:r w:rsidRPr="00405303">
        <w:rPr>
          <w:bCs/>
          <w:color w:val="002060"/>
          <w:sz w:val="16"/>
          <w:szCs w:val="16"/>
        </w:rPr>
        <w:t xml:space="preserve">, </w:t>
      </w:r>
      <w:r w:rsidRPr="00405303">
        <w:rPr>
          <w:bCs/>
          <w:color w:val="002060"/>
          <w:sz w:val="16"/>
          <w:szCs w:val="16"/>
          <w:lang w:val="en-US"/>
        </w:rPr>
        <w:t>SunBeam</w:t>
      </w:r>
      <w:r w:rsidRPr="00405303">
        <w:rPr>
          <w:bCs/>
          <w:color w:val="002060"/>
          <w:sz w:val="16"/>
          <w:szCs w:val="16"/>
        </w:rPr>
        <w:t xml:space="preserve">, </w:t>
      </w:r>
      <w:r w:rsidRPr="00405303">
        <w:rPr>
          <w:bCs/>
          <w:color w:val="002060"/>
          <w:sz w:val="16"/>
          <w:szCs w:val="16"/>
          <w:lang w:val="en-US"/>
        </w:rPr>
        <w:t>Premier</w:t>
      </w:r>
      <w:r w:rsidRPr="00405303">
        <w:rPr>
          <w:bCs/>
          <w:color w:val="002060"/>
          <w:sz w:val="16"/>
          <w:szCs w:val="16"/>
        </w:rPr>
        <w:t xml:space="preserve">, </w:t>
      </w:r>
      <w:r w:rsidRPr="00405303">
        <w:rPr>
          <w:bCs/>
          <w:color w:val="002060"/>
          <w:sz w:val="16"/>
          <w:szCs w:val="16"/>
          <w:lang w:val="en-US"/>
        </w:rPr>
        <w:t>BSA</w:t>
      </w:r>
      <w:r w:rsidRPr="00405303">
        <w:rPr>
          <w:bCs/>
          <w:color w:val="002060"/>
          <w:sz w:val="16"/>
          <w:szCs w:val="16"/>
        </w:rPr>
        <w:t xml:space="preserve">, </w:t>
      </w:r>
      <w:r w:rsidRPr="00405303">
        <w:rPr>
          <w:bCs/>
          <w:color w:val="002060"/>
          <w:sz w:val="16"/>
          <w:szCs w:val="16"/>
          <w:lang w:val="en-US"/>
        </w:rPr>
        <w:t>ChaterLea</w:t>
      </w:r>
      <w:r w:rsidRPr="00405303">
        <w:rPr>
          <w:bCs/>
          <w:color w:val="002060"/>
          <w:sz w:val="16"/>
          <w:szCs w:val="16"/>
        </w:rPr>
        <w:t xml:space="preserve"> [2.35-2.43]. Эти данные явно занижены и не соответствуют обна</w:t>
      </w:r>
      <w:r w:rsidRPr="00405303">
        <w:rPr>
          <w:bCs/>
          <w:color w:val="002060"/>
          <w:sz w:val="16"/>
          <w:szCs w:val="16"/>
        </w:rPr>
        <w:softHyphen/>
        <w:t>руженным в статистической литературе [2.15. С. 24], а также, приводимых в списках, при проведении ревизии в войсках мото</w:t>
      </w:r>
      <w:r w:rsidRPr="00405303">
        <w:rPr>
          <w:bCs/>
          <w:color w:val="002060"/>
          <w:sz w:val="16"/>
          <w:szCs w:val="16"/>
        </w:rPr>
        <w:softHyphen/>
        <w:t>циклов [2.44,2.45]. Сведения о поставках с остальных почти 50 за</w:t>
      </w:r>
      <w:r w:rsidRPr="00405303">
        <w:rPr>
          <w:bCs/>
          <w:color w:val="002060"/>
          <w:sz w:val="16"/>
          <w:szCs w:val="16"/>
        </w:rPr>
        <w:softHyphen/>
        <w:t>водов не обнаружены. Всё это не позволило составить статисти</w:t>
      </w:r>
      <w:r w:rsidRPr="00405303">
        <w:rPr>
          <w:bCs/>
          <w:color w:val="002060"/>
          <w:sz w:val="16"/>
          <w:szCs w:val="16"/>
        </w:rPr>
        <w:softHyphen/>
        <w:t>ческую картину поставок в Россию импортных мотоциклов в пе</w:t>
      </w:r>
      <w:r w:rsidRPr="00405303">
        <w:rPr>
          <w:bCs/>
          <w:color w:val="002060"/>
          <w:sz w:val="16"/>
          <w:szCs w:val="16"/>
        </w:rPr>
        <w:softHyphen/>
        <w:t>риод Первой мировой войны. Мотоциклетные подразделения для транспортировки топлива и обустройства подвижных мастерских комплектовались трёх</w:t>
      </w:r>
      <w:r w:rsidRPr="00405303">
        <w:rPr>
          <w:bCs/>
          <w:color w:val="002060"/>
          <w:sz w:val="16"/>
          <w:szCs w:val="16"/>
        </w:rPr>
        <w:softHyphen/>
        <w:t xml:space="preserve">тонными грузовиками американской фирмы </w:t>
      </w:r>
      <w:r w:rsidRPr="00405303">
        <w:rPr>
          <w:bCs/>
          <w:color w:val="002060"/>
          <w:sz w:val="16"/>
          <w:szCs w:val="16"/>
          <w:lang w:val="en-US"/>
        </w:rPr>
        <w:t>White</w:t>
      </w:r>
      <w:r w:rsidRPr="00405303">
        <w:rPr>
          <w:bCs/>
          <w:color w:val="002060"/>
          <w:sz w:val="16"/>
          <w:szCs w:val="16"/>
        </w:rPr>
        <w:t xml:space="preserve"> (Уайт). За вре</w:t>
      </w:r>
      <w:r w:rsidRPr="00405303">
        <w:rPr>
          <w:bCs/>
          <w:color w:val="002060"/>
          <w:sz w:val="16"/>
          <w:szCs w:val="16"/>
        </w:rPr>
        <w:softHyphen/>
        <w:t>мя войны всего закупили 70 таких машин [2.46]. Помимо закупок осуществлялись и конфискации мотоциклов. Так, во Владивостоке таможенная служба обнаружила 10 мото</w:t>
      </w:r>
      <w:r w:rsidRPr="00405303">
        <w:rPr>
          <w:bCs/>
          <w:color w:val="002060"/>
          <w:sz w:val="16"/>
          <w:szCs w:val="16"/>
        </w:rPr>
        <w:softHyphen/>
        <w:t>циклов французской фирмы Те</w:t>
      </w:r>
      <w:r w:rsidRPr="00405303">
        <w:rPr>
          <w:bCs/>
          <w:color w:val="002060"/>
          <w:sz w:val="16"/>
          <w:szCs w:val="16"/>
          <w:lang w:val="en-US"/>
        </w:rPr>
        <w:t>rr</w:t>
      </w:r>
      <w:r w:rsidRPr="00405303">
        <w:rPr>
          <w:bCs/>
          <w:color w:val="002060"/>
          <w:sz w:val="16"/>
          <w:szCs w:val="16"/>
        </w:rPr>
        <w:t>о</w:t>
      </w:r>
      <w:r w:rsidRPr="00405303">
        <w:rPr>
          <w:bCs/>
          <w:color w:val="002060"/>
          <w:sz w:val="16"/>
          <w:szCs w:val="16"/>
          <w:lang w:val="en-US"/>
        </w:rPr>
        <w:t>t</w:t>
      </w:r>
      <w:r w:rsidRPr="00405303">
        <w:rPr>
          <w:bCs/>
          <w:color w:val="002060"/>
          <w:sz w:val="16"/>
          <w:szCs w:val="16"/>
        </w:rPr>
        <w:t xml:space="preserve"> (Терро) с неправильно оформ</w:t>
      </w:r>
      <w:r w:rsidRPr="00405303">
        <w:rPr>
          <w:bCs/>
          <w:color w:val="002060"/>
          <w:sz w:val="16"/>
          <w:szCs w:val="16"/>
        </w:rPr>
        <w:softHyphen/>
        <w:t>ленными документами. Мотоциклы в разобранном виде находи</w:t>
      </w:r>
      <w:r w:rsidRPr="00405303">
        <w:rPr>
          <w:bCs/>
          <w:color w:val="002060"/>
          <w:sz w:val="16"/>
          <w:szCs w:val="16"/>
        </w:rPr>
        <w:softHyphen/>
        <w:t>лись в 22 ящиках. Их изъяли и отправили в крытом вагоне в Мо</w:t>
      </w:r>
      <w:r w:rsidRPr="00405303">
        <w:rPr>
          <w:bCs/>
          <w:color w:val="002060"/>
          <w:sz w:val="16"/>
          <w:szCs w:val="16"/>
        </w:rPr>
        <w:softHyphen/>
        <w:t>скву для мотоциклетной школы [2.47] (11429).</w:t>
      </w:r>
    </w:p>
    <w:p w14:paraId="08B3DDC8" w14:textId="77777777" w:rsidR="004B4E35" w:rsidRPr="00405303" w:rsidRDefault="004B4E35" w:rsidP="00C15251">
      <w:pPr>
        <w:shd w:val="clear" w:color="auto" w:fill="FFFFFF"/>
        <w:jc w:val="both"/>
        <w:rPr>
          <w:bCs/>
          <w:color w:val="002060"/>
          <w:sz w:val="16"/>
          <w:szCs w:val="16"/>
        </w:rPr>
      </w:pPr>
    </w:p>
    <w:p w14:paraId="644F62F8" w14:textId="77777777" w:rsidR="007908C7" w:rsidRPr="00405303" w:rsidRDefault="007908C7" w:rsidP="00C15251">
      <w:pPr>
        <w:jc w:val="both"/>
        <w:rPr>
          <w:bCs/>
          <w:i/>
          <w:color w:val="002060"/>
          <w:sz w:val="16"/>
          <w:szCs w:val="16"/>
        </w:rPr>
      </w:pPr>
      <w:r w:rsidRPr="00405303">
        <w:rPr>
          <w:bCs/>
          <w:i/>
          <w:color w:val="002060"/>
          <w:sz w:val="16"/>
          <w:szCs w:val="16"/>
        </w:rPr>
        <w:t>Армия:</w:t>
      </w:r>
    </w:p>
    <w:p w14:paraId="5494AC65" w14:textId="77777777" w:rsidR="007908C7" w:rsidRPr="00405303" w:rsidRDefault="007908C7" w:rsidP="00C15251">
      <w:pPr>
        <w:jc w:val="both"/>
        <w:rPr>
          <w:bCs/>
          <w:i/>
          <w:color w:val="002060"/>
          <w:sz w:val="16"/>
          <w:szCs w:val="16"/>
        </w:rPr>
      </w:pPr>
    </w:p>
    <w:p w14:paraId="1406D4D3" w14:textId="29C26F39" w:rsidR="007908C7" w:rsidRPr="00405303" w:rsidRDefault="007908C7" w:rsidP="00C15251">
      <w:pPr>
        <w:jc w:val="both"/>
        <w:rPr>
          <w:bCs/>
          <w:color w:val="002060"/>
          <w:sz w:val="16"/>
          <w:szCs w:val="16"/>
        </w:rPr>
      </w:pPr>
      <w:r w:rsidRPr="00405303">
        <w:rPr>
          <w:bCs/>
          <w:color w:val="002060"/>
          <w:sz w:val="16"/>
          <w:szCs w:val="16"/>
          <w:lang w:bidi="ru-RU"/>
        </w:rPr>
        <w:t>1 (14) июля 1915 г.</w:t>
      </w:r>
    </w:p>
    <w:p w14:paraId="651F67E2" w14:textId="77777777" w:rsidR="007908C7" w:rsidRPr="00405303" w:rsidRDefault="007908C7" w:rsidP="00C15251">
      <w:pPr>
        <w:jc w:val="both"/>
        <w:rPr>
          <w:bCs/>
          <w:color w:val="002060"/>
          <w:sz w:val="16"/>
          <w:szCs w:val="16"/>
        </w:rPr>
      </w:pPr>
      <w:r w:rsidRPr="00405303">
        <w:rPr>
          <w:bCs/>
          <w:color w:val="002060"/>
          <w:sz w:val="16"/>
          <w:szCs w:val="16"/>
          <w:lang w:bidi="ru-RU"/>
        </w:rPr>
        <w:t>«Летопись войны. 11-й и 12-й месяцы. Русский фронт. 1 июля 1915 г.</w:t>
      </w:r>
    </w:p>
    <w:p w14:paraId="00E14304" w14:textId="77777777" w:rsidR="007908C7" w:rsidRPr="00405303" w:rsidRDefault="007908C7" w:rsidP="00C15251">
      <w:pPr>
        <w:jc w:val="both"/>
        <w:rPr>
          <w:bCs/>
          <w:color w:val="002060"/>
          <w:sz w:val="16"/>
          <w:szCs w:val="16"/>
        </w:rPr>
      </w:pPr>
      <w:r w:rsidRPr="00405303">
        <w:rPr>
          <w:bCs/>
          <w:color w:val="002060"/>
          <w:sz w:val="16"/>
          <w:szCs w:val="16"/>
          <w:lang w:bidi="ru-RU"/>
        </w:rPr>
        <w:t>Между Вильной и Гродной около станции Олькеники мы захватили неприятельский «Альбатрос», летчик и наблюдатель взяты в плен. Вот подробности. — Пронесшийся над Олькениками «Альбатрос» намеревал</w:t>
      </w:r>
      <w:r w:rsidRPr="00405303">
        <w:rPr>
          <w:bCs/>
          <w:color w:val="002060"/>
          <w:sz w:val="16"/>
          <w:szCs w:val="16"/>
          <w:lang w:bidi="ru-RU"/>
        </w:rPr>
        <w:softHyphen/>
        <w:t>ся бросить бомбы. Потерпев аварию вследствие порчи мотора летчики спусти</w:t>
      </w:r>
      <w:r w:rsidRPr="00405303">
        <w:rPr>
          <w:bCs/>
          <w:color w:val="002060"/>
          <w:sz w:val="16"/>
          <w:szCs w:val="16"/>
          <w:lang w:bidi="ru-RU"/>
        </w:rPr>
        <w:softHyphen/>
        <w:t>лись недалеко от станции Олькеники и со</w:t>
      </w:r>
      <w:r w:rsidRPr="00405303">
        <w:rPr>
          <w:bCs/>
          <w:color w:val="002060"/>
          <w:sz w:val="16"/>
          <w:szCs w:val="16"/>
          <w:lang w:bidi="ru-RU"/>
        </w:rPr>
        <w:softHyphen/>
        <w:t>бирались поджечь аппарат и скрыться. На</w:t>
      </w:r>
      <w:r w:rsidRPr="00405303">
        <w:rPr>
          <w:bCs/>
          <w:color w:val="002060"/>
          <w:sz w:val="16"/>
          <w:szCs w:val="16"/>
          <w:lang w:bidi="ru-RU"/>
        </w:rPr>
        <w:softHyphen/>
        <w:t>ходившиеся поблизости крестьяне подня</w:t>
      </w:r>
      <w:r w:rsidRPr="00405303">
        <w:rPr>
          <w:bCs/>
          <w:color w:val="002060"/>
          <w:sz w:val="16"/>
          <w:szCs w:val="16"/>
          <w:lang w:bidi="ru-RU"/>
        </w:rPr>
        <w:softHyphen/>
        <w:t>ли тревогу. Станционные жандармы и стражники пустились вдогонку. Настигну</w:t>
      </w:r>
      <w:r w:rsidRPr="00405303">
        <w:rPr>
          <w:bCs/>
          <w:color w:val="002060"/>
          <w:sz w:val="16"/>
          <w:szCs w:val="16"/>
          <w:lang w:bidi="ru-RU"/>
        </w:rPr>
        <w:softHyphen/>
        <w:t>тые летчики пробовали оказать сопротив</w:t>
      </w:r>
      <w:r w:rsidRPr="00405303">
        <w:rPr>
          <w:bCs/>
          <w:color w:val="002060"/>
          <w:sz w:val="16"/>
          <w:szCs w:val="16"/>
          <w:lang w:bidi="ru-RU"/>
        </w:rPr>
        <w:softHyphen/>
        <w:t>ление, но затем сдались. Аппарат цел, на нем найденыдесять тяжелых бомб (23374).</w:t>
      </w:r>
    </w:p>
    <w:p w14:paraId="5CD491DF" w14:textId="77777777" w:rsidR="007908C7" w:rsidRPr="00405303" w:rsidRDefault="007908C7" w:rsidP="00C15251">
      <w:pPr>
        <w:jc w:val="both"/>
        <w:rPr>
          <w:bCs/>
          <w:color w:val="002060"/>
          <w:sz w:val="16"/>
          <w:szCs w:val="16"/>
          <w:lang w:bidi="ru-RU"/>
        </w:rPr>
      </w:pPr>
    </w:p>
    <w:p w14:paraId="1CECBDF9" w14:textId="62B88344" w:rsidR="007417C7" w:rsidRPr="00405303" w:rsidRDefault="00231F5A" w:rsidP="007417C7">
      <w:pPr>
        <w:jc w:val="both"/>
        <w:rPr>
          <w:bCs/>
          <w:i/>
          <w:color w:val="002060"/>
          <w:sz w:val="16"/>
          <w:szCs w:val="16"/>
        </w:rPr>
      </w:pPr>
      <w:r w:rsidRPr="00405303">
        <w:rPr>
          <w:bCs/>
          <w:i/>
          <w:color w:val="002060"/>
          <w:sz w:val="16"/>
          <w:szCs w:val="16"/>
        </w:rPr>
        <w:t>Другие оборонные отрасли</w:t>
      </w:r>
      <w:r w:rsidR="007417C7" w:rsidRPr="00405303">
        <w:rPr>
          <w:bCs/>
          <w:i/>
          <w:color w:val="002060"/>
          <w:sz w:val="16"/>
          <w:szCs w:val="16"/>
        </w:rPr>
        <w:t>:</w:t>
      </w:r>
    </w:p>
    <w:p w14:paraId="4140AD75" w14:textId="77777777" w:rsidR="007417C7" w:rsidRPr="00405303" w:rsidRDefault="007417C7" w:rsidP="007417C7">
      <w:pPr>
        <w:jc w:val="both"/>
        <w:rPr>
          <w:bCs/>
          <w:i/>
          <w:color w:val="002060"/>
          <w:sz w:val="16"/>
          <w:szCs w:val="16"/>
        </w:rPr>
      </w:pPr>
    </w:p>
    <w:p w14:paraId="0F1EEF15" w14:textId="77777777" w:rsidR="007417C7" w:rsidRPr="00405303" w:rsidRDefault="007417C7" w:rsidP="007417C7">
      <w:pPr>
        <w:jc w:val="both"/>
        <w:rPr>
          <w:color w:val="0070C0"/>
          <w:sz w:val="16"/>
          <w:szCs w:val="16"/>
        </w:rPr>
      </w:pPr>
      <w:r w:rsidRPr="00405303">
        <w:rPr>
          <w:color w:val="0070C0"/>
          <w:sz w:val="16"/>
          <w:szCs w:val="16"/>
        </w:rPr>
        <w:t>2 (15) июля 1915 года полковник артиллерии Н.А.Гулькевич направляет в Главное артиллерийское управление (далее – ГАУ) рапорт, в котором разъясняет необходимость создания бронированной техники, вооруженной пулеметами и пушками, на базе американских тракторов компании «Холт» (сегодня это известная компания «Катерпиллер»), которые в то время как раз были закуплены для нужд русской армии:</w:t>
      </w:r>
    </w:p>
    <w:p w14:paraId="30C6C2F6" w14:textId="77777777" w:rsidR="007417C7" w:rsidRPr="00405303" w:rsidRDefault="007417C7" w:rsidP="007417C7">
      <w:pPr>
        <w:jc w:val="both"/>
        <w:rPr>
          <w:color w:val="0070C0"/>
          <w:sz w:val="16"/>
          <w:szCs w:val="16"/>
        </w:rPr>
      </w:pPr>
      <w:r w:rsidRPr="00405303">
        <w:rPr>
          <w:color w:val="0070C0"/>
          <w:sz w:val="16"/>
          <w:szCs w:val="16"/>
        </w:rPr>
        <w:t>«Я нашел способ применить специальный двигатель, который можно вооружить пулеметами и легкой пушкой, и так же свободно уничтожать проволочные заграждения… Бронированные автомобили, которыми до сих пор единственно пользовались для установки пулеметов, имеют тот недостаток, что не могут проходить по всяким дорогам и тем более проходить через проволочные заграждения и их уничтожать; между тем имеется «гусеничный трактор», который специально предназначен для передвижения по всякому грунту, даже по вспаханным полям. Его специальная конструкция соответствует еще одному важному предназначению: разрывать и затаптывать в землю проволочные заграждения».</w:t>
      </w:r>
    </w:p>
    <w:p w14:paraId="54321D89" w14:textId="77777777" w:rsidR="007417C7" w:rsidRPr="00405303" w:rsidRDefault="007417C7" w:rsidP="007417C7">
      <w:pPr>
        <w:jc w:val="both"/>
        <w:rPr>
          <w:color w:val="0070C0"/>
          <w:sz w:val="16"/>
          <w:szCs w:val="16"/>
        </w:rPr>
      </w:pPr>
      <w:r w:rsidRPr="00405303">
        <w:rPr>
          <w:color w:val="0070C0"/>
          <w:sz w:val="16"/>
          <w:szCs w:val="16"/>
        </w:rPr>
        <w:t>Полковник Гулькевич уделял так много внимания вопросу преодоления проволочных заграждений, поскольку незадолго до этого создал экспериментальный складной штык с ножницами для резки проволоки и специальные отдельные ножницы (крепившиеся на стандартный мосинский штык или непосредственно на винтовку), которые позволяли солдату резать колючую проволоку, не вставая с земли. Однако изобретателю стало ясно, что бронированная техника прорыва была бы более действенным средством преодоления проволочных заграждений. Полковник назвал свое детище «самодвигателем» – оно стало первым названием танка в русском языке.</w:t>
      </w:r>
    </w:p>
    <w:p w14:paraId="21A401E0" w14:textId="77777777" w:rsidR="007417C7" w:rsidRPr="00405303" w:rsidRDefault="007417C7" w:rsidP="007417C7">
      <w:pPr>
        <w:jc w:val="both"/>
        <w:rPr>
          <w:color w:val="0070C0"/>
          <w:sz w:val="16"/>
          <w:szCs w:val="16"/>
        </w:rPr>
      </w:pPr>
      <w:r w:rsidRPr="00405303">
        <w:rPr>
          <w:color w:val="0070C0"/>
          <w:sz w:val="16"/>
          <w:szCs w:val="16"/>
        </w:rPr>
        <w:t>Одновременно с разработкой «самодвигателя» амбициозный полковник предлагал военную организацию бронесил поддержки пехоты:</w:t>
      </w:r>
    </w:p>
    <w:p w14:paraId="2BE8BC27" w14:textId="77777777" w:rsidR="007417C7" w:rsidRPr="00405303" w:rsidRDefault="007417C7" w:rsidP="007417C7">
      <w:pPr>
        <w:jc w:val="both"/>
        <w:rPr>
          <w:color w:val="0070C0"/>
          <w:sz w:val="16"/>
          <w:szCs w:val="16"/>
        </w:rPr>
      </w:pPr>
      <w:r w:rsidRPr="00405303">
        <w:rPr>
          <w:color w:val="0070C0"/>
          <w:sz w:val="16"/>
          <w:szCs w:val="16"/>
        </w:rPr>
        <w:t>«Если опыты дадут вполне блестящие результаты, необходимо приступить немедленно к массовому производству предложенных мною бронированных и вооруженных самодвигателей по расчету не менее 40 экземпляров на корпус, дабы ни под каким видом не выпускать в действующую армию один или два аппарата, так как противник может воспользоваться и изготовить их еще в большем числе и размере, чем мы».</w:t>
      </w:r>
    </w:p>
    <w:p w14:paraId="1A86EC7A" w14:textId="77777777" w:rsidR="007417C7" w:rsidRPr="00405303" w:rsidRDefault="007417C7" w:rsidP="007417C7">
      <w:pPr>
        <w:jc w:val="both"/>
        <w:rPr>
          <w:color w:val="0070C0"/>
          <w:sz w:val="16"/>
          <w:szCs w:val="16"/>
        </w:rPr>
      </w:pPr>
      <w:r w:rsidRPr="00405303">
        <w:rPr>
          <w:color w:val="0070C0"/>
          <w:sz w:val="16"/>
          <w:szCs w:val="16"/>
        </w:rPr>
        <w:lastRenderedPageBreak/>
        <w:t>Рапорт Гулькевича кочевал из ГАУ в Главное военно-техническое управление Русской Императорской армии (далее – ГВТУ), а из ГВТУ – в Изобретательную комиссию при Центральном военно-промышленном комитете (далее – ИК). Там рапорт застрял на полгода, и лишь 18 января 1916 года Гулькевичу пришел запрос на предоставление проекта «с приложением к оному чертежей, пояснений или моделей». Пока ИК рассматривала проект, все тракторы оказались в действующих частях, и разработчику пришлось ждать закупки следующей партии. (25393).</w:t>
      </w:r>
    </w:p>
    <w:p w14:paraId="452AC2A9" w14:textId="77777777" w:rsidR="007417C7" w:rsidRPr="00405303" w:rsidRDefault="007417C7" w:rsidP="007417C7">
      <w:pPr>
        <w:jc w:val="both"/>
        <w:rPr>
          <w:color w:val="0070C0"/>
          <w:sz w:val="16"/>
          <w:szCs w:val="16"/>
        </w:rPr>
      </w:pPr>
    </w:p>
    <w:p w14:paraId="71385E69" w14:textId="77777777" w:rsidR="00D60E3D" w:rsidRPr="00405303" w:rsidRDefault="00D60E3D" w:rsidP="00C15251">
      <w:pPr>
        <w:jc w:val="both"/>
        <w:rPr>
          <w:bCs/>
          <w:i/>
          <w:color w:val="002060"/>
          <w:sz w:val="16"/>
          <w:szCs w:val="16"/>
        </w:rPr>
      </w:pPr>
      <w:r w:rsidRPr="00405303">
        <w:rPr>
          <w:bCs/>
          <w:i/>
          <w:color w:val="002060"/>
          <w:sz w:val="16"/>
          <w:szCs w:val="16"/>
        </w:rPr>
        <w:t>Армия:</w:t>
      </w:r>
    </w:p>
    <w:p w14:paraId="1A8AC61A" w14:textId="77777777" w:rsidR="00D60E3D" w:rsidRPr="00405303" w:rsidRDefault="00D60E3D" w:rsidP="00C15251">
      <w:pPr>
        <w:jc w:val="both"/>
        <w:rPr>
          <w:bCs/>
          <w:i/>
          <w:color w:val="002060"/>
          <w:sz w:val="16"/>
          <w:szCs w:val="16"/>
        </w:rPr>
      </w:pPr>
    </w:p>
    <w:p w14:paraId="58DE92E9" w14:textId="3E6C6B95" w:rsidR="00D60E3D" w:rsidRPr="00405303" w:rsidRDefault="00D60E3D" w:rsidP="00C15251">
      <w:pPr>
        <w:jc w:val="both"/>
        <w:rPr>
          <w:bCs/>
          <w:color w:val="002060"/>
          <w:sz w:val="16"/>
          <w:szCs w:val="16"/>
        </w:rPr>
      </w:pPr>
      <w:r w:rsidRPr="00405303">
        <w:rPr>
          <w:bCs/>
          <w:color w:val="002060"/>
          <w:sz w:val="16"/>
          <w:szCs w:val="16"/>
        </w:rPr>
        <w:t xml:space="preserve">2 </w:t>
      </w:r>
      <w:r w:rsidR="00B02238" w:rsidRPr="00405303">
        <w:rPr>
          <w:bCs/>
          <w:color w:val="002060"/>
          <w:sz w:val="16"/>
          <w:szCs w:val="16"/>
        </w:rPr>
        <w:t xml:space="preserve">(15) </w:t>
      </w:r>
      <w:r w:rsidRPr="00405303">
        <w:rPr>
          <w:bCs/>
          <w:color w:val="002060"/>
          <w:sz w:val="16"/>
          <w:szCs w:val="16"/>
        </w:rPr>
        <w:t>июля в 1915 году после неудавшегося из-за погодных условий (туман) набега на Мемель 1-й бригады крейсеров Балтийского флота в районе острова Готланд произошел бой между русскими кораблями и отрядом германских кораблей. В сражении погиб германский минный заградитель «Альбатрос», выбросившийся на берег, и сильное повреждение получил немецкий броненосный крейсер «Роон». На русских крейсерах серьезных повреждений и потерь не было. Своей победы балтийские моряки достигли благодаря исключительно меткой стрельбе и перехвату вражеской радиограммы, в результате эта встреча для противника оказалась неожиданной (14940).</w:t>
      </w:r>
    </w:p>
    <w:p w14:paraId="6DB6C8B6" w14:textId="77777777" w:rsidR="00D60E3D" w:rsidRPr="00405303" w:rsidRDefault="00D60E3D" w:rsidP="00C15251">
      <w:pPr>
        <w:jc w:val="both"/>
        <w:rPr>
          <w:bCs/>
          <w:color w:val="002060"/>
          <w:sz w:val="16"/>
          <w:szCs w:val="16"/>
        </w:rPr>
      </w:pPr>
    </w:p>
    <w:p w14:paraId="183EE6AE" w14:textId="15011B58" w:rsidR="00D60E3D" w:rsidRPr="00405303" w:rsidRDefault="00D60E3D" w:rsidP="00C15251">
      <w:pPr>
        <w:jc w:val="both"/>
        <w:rPr>
          <w:bCs/>
          <w:color w:val="002060"/>
          <w:sz w:val="16"/>
          <w:szCs w:val="16"/>
        </w:rPr>
      </w:pPr>
      <w:r w:rsidRPr="00405303">
        <w:rPr>
          <w:bCs/>
          <w:color w:val="002060"/>
          <w:sz w:val="16"/>
          <w:szCs w:val="16"/>
        </w:rPr>
        <w:t xml:space="preserve">2 </w:t>
      </w:r>
      <w:r w:rsidR="00B02238" w:rsidRPr="00405303">
        <w:rPr>
          <w:bCs/>
          <w:color w:val="002060"/>
          <w:sz w:val="16"/>
          <w:szCs w:val="16"/>
        </w:rPr>
        <w:t xml:space="preserve">(15) </w:t>
      </w:r>
      <w:r w:rsidRPr="00405303">
        <w:rPr>
          <w:bCs/>
          <w:color w:val="002060"/>
          <w:sz w:val="16"/>
          <w:szCs w:val="16"/>
        </w:rPr>
        <w:t>июля в 1915 году во время Первой мировой войны 1914–1918 гг. крейсера Балтийского флота «Богатырь» и «Олег» артиллерийским огнем подожгли германский минный заградитель «Альбатрос». В этом бою для наведения русских кораблей на неприятеля были успешно использованы данные радиоперехвата (14940).</w:t>
      </w:r>
    </w:p>
    <w:p w14:paraId="40245EBA" w14:textId="77777777" w:rsidR="00D60E3D" w:rsidRPr="00405303" w:rsidRDefault="00D60E3D" w:rsidP="00C15251">
      <w:pPr>
        <w:jc w:val="both"/>
        <w:rPr>
          <w:bCs/>
          <w:color w:val="002060"/>
          <w:sz w:val="16"/>
          <w:szCs w:val="16"/>
        </w:rPr>
      </w:pPr>
    </w:p>
    <w:p w14:paraId="2F47B46A" w14:textId="0E1EF7E0" w:rsidR="00167923" w:rsidRPr="00405303" w:rsidRDefault="00167923" w:rsidP="00167923">
      <w:pPr>
        <w:jc w:val="both"/>
        <w:rPr>
          <w:bCs/>
          <w:i/>
          <w:color w:val="002060"/>
          <w:sz w:val="16"/>
          <w:szCs w:val="16"/>
        </w:rPr>
      </w:pPr>
      <w:r w:rsidRPr="00405303">
        <w:rPr>
          <w:bCs/>
          <w:i/>
          <w:color w:val="002060"/>
          <w:sz w:val="16"/>
          <w:szCs w:val="16"/>
        </w:rPr>
        <w:t>Авиация:</w:t>
      </w:r>
    </w:p>
    <w:p w14:paraId="6CE10A6E" w14:textId="77777777" w:rsidR="00167923" w:rsidRPr="00405303" w:rsidRDefault="00167923" w:rsidP="00167923">
      <w:pPr>
        <w:jc w:val="both"/>
        <w:rPr>
          <w:bCs/>
          <w:i/>
          <w:color w:val="002060"/>
          <w:sz w:val="16"/>
          <w:szCs w:val="16"/>
        </w:rPr>
      </w:pPr>
    </w:p>
    <w:p w14:paraId="58D154FA" w14:textId="77777777" w:rsidR="00167923" w:rsidRPr="00405303" w:rsidRDefault="00167923" w:rsidP="00167923">
      <w:pPr>
        <w:jc w:val="both"/>
        <w:rPr>
          <w:color w:val="0070C0"/>
          <w:sz w:val="16"/>
          <w:szCs w:val="16"/>
        </w:rPr>
      </w:pPr>
      <w:r w:rsidRPr="00405303">
        <w:rPr>
          <w:rStyle w:val="aa"/>
          <w:rFonts w:ascii="Times New Roman" w:hAnsi="Times New Roman"/>
          <w:color w:val="0070C0"/>
          <w:spacing w:val="0"/>
          <w:sz w:val="16"/>
          <w:szCs w:val="16"/>
        </w:rPr>
        <w:t>2 (15) июля 1915 г. утром воздушной бомбардировке подверглась железнодорожная станция Гродзиск (Гродзиск-Мазовецки), на следующий день – г. Ломжа, где имелись человеческие жертвы (убит один и ранено 8 человек). В тот же период было отмечено несколько воздушных налетов на г. Люблин (25135).</w:t>
      </w:r>
    </w:p>
    <w:p w14:paraId="71B5E717" w14:textId="77777777" w:rsidR="00167923" w:rsidRPr="00405303" w:rsidRDefault="00167923" w:rsidP="00167923">
      <w:pPr>
        <w:jc w:val="both"/>
        <w:rPr>
          <w:color w:val="0070C0"/>
          <w:sz w:val="16"/>
          <w:szCs w:val="16"/>
        </w:rPr>
      </w:pPr>
    </w:p>
    <w:p w14:paraId="4E52E447"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за рубежом:</w:t>
      </w:r>
    </w:p>
    <w:p w14:paraId="5D0C6869" w14:textId="77777777" w:rsidR="004B4E35" w:rsidRPr="00405303" w:rsidRDefault="004B4E35" w:rsidP="00C15251">
      <w:pPr>
        <w:jc w:val="both"/>
        <w:rPr>
          <w:bCs/>
          <w:i/>
          <w:color w:val="002060"/>
          <w:sz w:val="16"/>
          <w:szCs w:val="16"/>
        </w:rPr>
      </w:pPr>
    </w:p>
    <w:p w14:paraId="400E5E35" w14:textId="071932BE" w:rsidR="004B4E35" w:rsidRPr="00405303" w:rsidRDefault="009E6F82" w:rsidP="00C15251">
      <w:pPr>
        <w:jc w:val="both"/>
        <w:rPr>
          <w:bCs/>
          <w:color w:val="002060"/>
          <w:sz w:val="16"/>
          <w:szCs w:val="16"/>
        </w:rPr>
      </w:pPr>
      <w:r w:rsidRPr="00405303">
        <w:rPr>
          <w:bCs/>
          <w:color w:val="002060"/>
          <w:sz w:val="16"/>
          <w:szCs w:val="16"/>
        </w:rPr>
        <w:t xml:space="preserve">2 (15) июля 1915 </w:t>
      </w:r>
      <w:r w:rsidR="00B02238" w:rsidRPr="00405303">
        <w:rPr>
          <w:bCs/>
          <w:color w:val="002060"/>
          <w:sz w:val="16"/>
          <w:szCs w:val="16"/>
        </w:rPr>
        <w:t>с</w:t>
      </w:r>
      <w:r w:rsidRPr="00405303">
        <w:rPr>
          <w:bCs/>
          <w:color w:val="002060"/>
          <w:sz w:val="16"/>
          <w:szCs w:val="16"/>
        </w:rPr>
        <w:t>оюзная авиация бомбардировала новый авиационный турецкий лагерь, расположенный к северу от Чанака (Дарданеллы), бросая бомбы в ангары и склады с бензином. Несколькими удачными попаданиями был вызван значительный пожар.</w:t>
      </w:r>
    </w:p>
    <w:p w14:paraId="0240FDD6" w14:textId="77777777" w:rsidR="004B4E35" w:rsidRPr="00405303" w:rsidRDefault="009E6F82" w:rsidP="00C15251">
      <w:pPr>
        <w:jc w:val="both"/>
        <w:rPr>
          <w:bCs/>
          <w:color w:val="002060"/>
          <w:sz w:val="16"/>
          <w:szCs w:val="16"/>
        </w:rPr>
      </w:pPr>
      <w:r w:rsidRPr="00405303">
        <w:rPr>
          <w:bCs/>
          <w:color w:val="002060"/>
          <w:sz w:val="16"/>
          <w:szCs w:val="16"/>
        </w:rPr>
        <w:t>С началом войны в Турции не было своей авиации, однако в ходе войны Германия не только сделала все для того, чтобы Турция вступила в войну на ее стороне, но позаботилась и о вооружении союзника. С начала этого года в Константинополе начал строится авиационный завод, предназначенный для ремонта и строительства самолетов. Но это было не все; самолеты доставлялись также через Болгарию в поездах под красным крестом. Таким путем в мае в Константинополь было переправлено 18 германских самолетов, в июне 4 вагона с запчастями, еще 8 самолетов и 11 вагонов с бензином. Также различными путями, часто в штатских одеждах, в Константинополь пробирались германские летчики и технический персонал. К сентябрю в Турции насчитывалось уже около 150 германских летчиков и техников (11999).</w:t>
      </w:r>
    </w:p>
    <w:p w14:paraId="1256A169" w14:textId="77777777" w:rsidR="004B4E35" w:rsidRPr="00405303" w:rsidRDefault="004B4E35" w:rsidP="00C15251">
      <w:pPr>
        <w:jc w:val="both"/>
        <w:rPr>
          <w:bCs/>
          <w:color w:val="002060"/>
          <w:sz w:val="16"/>
          <w:szCs w:val="16"/>
        </w:rPr>
      </w:pPr>
    </w:p>
    <w:p w14:paraId="24D43AE4" w14:textId="517BCFFB" w:rsidR="004B4E35" w:rsidRPr="00405303" w:rsidRDefault="009E6F82" w:rsidP="00C15251">
      <w:pPr>
        <w:jc w:val="both"/>
        <w:rPr>
          <w:bCs/>
          <w:color w:val="002060"/>
          <w:sz w:val="16"/>
          <w:szCs w:val="16"/>
        </w:rPr>
      </w:pPr>
      <w:r w:rsidRPr="00405303">
        <w:rPr>
          <w:bCs/>
          <w:i/>
          <w:color w:val="002060"/>
          <w:sz w:val="16"/>
          <w:szCs w:val="16"/>
        </w:rPr>
        <w:t>Другие оборонные отрасли:</w:t>
      </w:r>
      <w:r w:rsidRPr="00405303">
        <w:rPr>
          <w:bCs/>
          <w:i/>
          <w:color w:val="002060"/>
          <w:sz w:val="16"/>
          <w:szCs w:val="16"/>
        </w:rPr>
        <w:cr/>
      </w:r>
      <w:r w:rsidRPr="00405303">
        <w:rPr>
          <w:bCs/>
          <w:i/>
          <w:color w:val="002060"/>
          <w:sz w:val="16"/>
          <w:szCs w:val="16"/>
        </w:rPr>
        <w:cr/>
      </w:r>
      <w:r w:rsidRPr="00405303">
        <w:rPr>
          <w:bCs/>
          <w:color w:val="002060"/>
          <w:sz w:val="16"/>
          <w:szCs w:val="16"/>
        </w:rPr>
        <w:t>3-го (16) Июля 1915 г.</w:t>
      </w:r>
    </w:p>
    <w:p w14:paraId="259A31F8" w14:textId="277BBFDA" w:rsidR="00B02238" w:rsidRPr="00405303" w:rsidRDefault="00B02238" w:rsidP="00C15251">
      <w:pPr>
        <w:jc w:val="both"/>
        <w:rPr>
          <w:bCs/>
          <w:i/>
          <w:color w:val="002060"/>
          <w:sz w:val="16"/>
          <w:szCs w:val="16"/>
        </w:rPr>
      </w:pPr>
      <w:r w:rsidRPr="00405303">
        <w:rPr>
          <w:bCs/>
          <w:color w:val="002060"/>
          <w:sz w:val="16"/>
          <w:szCs w:val="16"/>
        </w:rPr>
        <w:t>Петроград</w:t>
      </w:r>
    </w:p>
    <w:p w14:paraId="7CE40C2C" w14:textId="6DDBD57E" w:rsidR="004B4E35" w:rsidRPr="00405303" w:rsidRDefault="009E6F82" w:rsidP="00C15251">
      <w:pPr>
        <w:jc w:val="both"/>
        <w:rPr>
          <w:bCs/>
          <w:color w:val="002060"/>
          <w:sz w:val="16"/>
          <w:szCs w:val="16"/>
        </w:rPr>
      </w:pPr>
      <w:r w:rsidRPr="00405303">
        <w:rPr>
          <w:bCs/>
          <w:i/>
          <w:color w:val="002060"/>
          <w:sz w:val="16"/>
          <w:szCs w:val="16"/>
        </w:rPr>
        <w:t>Правление Российского Акционерного Общества Оптического и Механического Произ­водств настоящею доверенностью уполномочивает Потомственного дворянина Сигизмунда Мартыновича ВРОНСКОГО заключить и подписать с Генералом БАНКОВЫМ, Уполномочен­ным Главного Артиллерийского Управления по изготовлению снарядов французского образца, договор на поставку 300 000 трубок для трехдюймовых гранат системы Шнейдер, для каковой цели ему предоставляет право исполнить все формальности и совершить все, что окажется по вышеуказанному делу необходимым.</w:t>
      </w:r>
    </w:p>
    <w:p w14:paraId="53B401E6" w14:textId="77777777" w:rsidR="004B4E35" w:rsidRPr="00405303" w:rsidRDefault="009E6F82" w:rsidP="00C15251">
      <w:pPr>
        <w:jc w:val="both"/>
        <w:rPr>
          <w:bCs/>
          <w:color w:val="002060"/>
          <w:sz w:val="16"/>
          <w:szCs w:val="16"/>
        </w:rPr>
      </w:pPr>
      <w:r w:rsidRPr="00405303">
        <w:rPr>
          <w:bCs/>
          <w:i/>
          <w:color w:val="002060"/>
          <w:sz w:val="16"/>
          <w:szCs w:val="16"/>
        </w:rPr>
        <w:t>К. Ракуса-Сущевский</w:t>
      </w:r>
    </w:p>
    <w:p w14:paraId="3BB9AF98" w14:textId="77777777" w:rsidR="004B4E35" w:rsidRPr="00405303" w:rsidRDefault="009E6F82" w:rsidP="00C15251">
      <w:pPr>
        <w:jc w:val="both"/>
        <w:rPr>
          <w:bCs/>
          <w:color w:val="002060"/>
          <w:sz w:val="16"/>
          <w:szCs w:val="16"/>
        </w:rPr>
      </w:pPr>
      <w:r w:rsidRPr="00405303">
        <w:rPr>
          <w:bCs/>
          <w:color w:val="002060"/>
          <w:sz w:val="16"/>
          <w:szCs w:val="16"/>
        </w:rPr>
        <w:t>Чистая прибыль завода за 1915 г. составила 233 342 руб. 86 коп, за 1916 г. — 1 054 000 руб. Росли объемы производства, рос и завод. Если в 1915 г. здесь работало около 300 человек, то в 1916 г. уже 900.</w:t>
      </w:r>
    </w:p>
    <w:p w14:paraId="5D92284B" w14:textId="77777777" w:rsidR="004B4E35" w:rsidRPr="00405303" w:rsidRDefault="009E6F82" w:rsidP="00C15251">
      <w:pPr>
        <w:jc w:val="both"/>
        <w:rPr>
          <w:bCs/>
          <w:color w:val="002060"/>
          <w:sz w:val="16"/>
          <w:szCs w:val="16"/>
        </w:rPr>
      </w:pPr>
      <w:r w:rsidRPr="00405303">
        <w:rPr>
          <w:bCs/>
          <w:color w:val="002060"/>
          <w:sz w:val="16"/>
          <w:szCs w:val="16"/>
        </w:rPr>
        <w:t>РАООМП даже в условиях войны развивалось стабильно, и на 1916 г. была назначена первая эмис­сия акций. Обществом было заказано 660 листов ценных бумаг, в том числе 100 листов по 5000 руб., 230 листов по 2500 руб. и 100 листов по 100 руб. Интересно, что на купонах для выдачи дивидендов были указаны годы: «1916-1924».</w:t>
      </w:r>
    </w:p>
    <w:p w14:paraId="4B20A96D" w14:textId="77777777" w:rsidR="004B4E35" w:rsidRPr="00405303" w:rsidRDefault="009E6F82" w:rsidP="00C15251">
      <w:pPr>
        <w:jc w:val="both"/>
        <w:rPr>
          <w:bCs/>
          <w:color w:val="002060"/>
          <w:sz w:val="16"/>
          <w:szCs w:val="16"/>
        </w:rPr>
      </w:pPr>
      <w:r w:rsidRPr="00405303">
        <w:rPr>
          <w:bCs/>
          <w:color w:val="002060"/>
          <w:sz w:val="16"/>
          <w:szCs w:val="16"/>
        </w:rPr>
        <w:t>Производство на заводе имело высокий уровень для своего времени, а приборы, которые здесь изготавливались, отвечали всем необходимым техническим характеристикам. Не случайно в 1916 г. ака­демик А.Н. Крылов разместил здесь свой заказ на стереотрубы (11869).</w:t>
      </w:r>
    </w:p>
    <w:p w14:paraId="3F108ED1" w14:textId="77777777" w:rsidR="004B4E35" w:rsidRPr="00405303" w:rsidRDefault="004B4E35" w:rsidP="00C15251">
      <w:pPr>
        <w:jc w:val="both"/>
        <w:rPr>
          <w:bCs/>
          <w:color w:val="002060"/>
          <w:sz w:val="16"/>
          <w:szCs w:val="16"/>
        </w:rPr>
      </w:pPr>
    </w:p>
    <w:p w14:paraId="55A26E65" w14:textId="35B62F58" w:rsidR="006D50CC" w:rsidRPr="00405303" w:rsidRDefault="006D50CC" w:rsidP="00C15251">
      <w:pPr>
        <w:jc w:val="both"/>
        <w:rPr>
          <w:bCs/>
          <w:i/>
          <w:color w:val="002060"/>
          <w:sz w:val="16"/>
          <w:szCs w:val="16"/>
        </w:rPr>
      </w:pPr>
      <w:r w:rsidRPr="00405303">
        <w:rPr>
          <w:bCs/>
          <w:i/>
          <w:color w:val="002060"/>
          <w:sz w:val="16"/>
          <w:szCs w:val="16"/>
        </w:rPr>
        <w:t>Армия:</w:t>
      </w:r>
    </w:p>
    <w:p w14:paraId="5912934E" w14:textId="77777777" w:rsidR="006D50CC" w:rsidRPr="00405303" w:rsidRDefault="006D50CC" w:rsidP="00C15251">
      <w:pPr>
        <w:jc w:val="both"/>
        <w:rPr>
          <w:bCs/>
          <w:i/>
          <w:color w:val="002060"/>
          <w:sz w:val="16"/>
          <w:szCs w:val="16"/>
        </w:rPr>
      </w:pPr>
    </w:p>
    <w:p w14:paraId="38A9FC57" w14:textId="5CC75165" w:rsidR="006D50CC" w:rsidRPr="00405303" w:rsidRDefault="006D50CC" w:rsidP="00C15251">
      <w:pPr>
        <w:jc w:val="both"/>
        <w:rPr>
          <w:bCs/>
          <w:color w:val="002060"/>
          <w:sz w:val="16"/>
          <w:szCs w:val="16"/>
          <w:lang w:bidi="en-US"/>
        </w:rPr>
      </w:pPr>
      <w:r w:rsidRPr="00405303">
        <w:rPr>
          <w:bCs/>
          <w:color w:val="002060"/>
          <w:sz w:val="16"/>
          <w:szCs w:val="16"/>
          <w:lang w:bidi="en-US"/>
        </w:rPr>
        <w:t>3 (16) июля 1915 г. русские войска на Кавказском фронте захватили армянский город Ван (23525).</w:t>
      </w:r>
    </w:p>
    <w:p w14:paraId="6C4269BF" w14:textId="77777777" w:rsidR="006D50CC" w:rsidRPr="00405303" w:rsidRDefault="006D50CC" w:rsidP="00C15251">
      <w:pPr>
        <w:jc w:val="both"/>
        <w:rPr>
          <w:bCs/>
          <w:color w:val="002060"/>
          <w:sz w:val="16"/>
          <w:szCs w:val="16"/>
          <w:lang w:bidi="en-US"/>
        </w:rPr>
      </w:pPr>
    </w:p>
    <w:p w14:paraId="4ADFC3EA" w14:textId="1D52A04F" w:rsidR="006D50CC" w:rsidRPr="00405303" w:rsidRDefault="006D50CC" w:rsidP="00C15251">
      <w:pPr>
        <w:jc w:val="both"/>
        <w:rPr>
          <w:bCs/>
          <w:color w:val="002060"/>
          <w:sz w:val="16"/>
          <w:szCs w:val="16"/>
        </w:rPr>
      </w:pPr>
      <w:r w:rsidRPr="00405303">
        <w:rPr>
          <w:bCs/>
          <w:color w:val="002060"/>
          <w:sz w:val="16"/>
          <w:szCs w:val="16"/>
          <w:lang w:bidi="en-US"/>
        </w:rPr>
        <w:t>3 (16) июля 1915 г. в Петрограде военный министр генерал Поливанов заявляет на митинге: «Считаю своим долгом заявить Совету министров, что страна в опасности, чем кончится наше отступление, одному Богу известно».</w:t>
      </w:r>
    </w:p>
    <w:p w14:paraId="056BC7D8" w14:textId="77777777" w:rsidR="006D50CC" w:rsidRPr="00405303" w:rsidRDefault="006D50CC" w:rsidP="00C15251">
      <w:pPr>
        <w:jc w:val="both"/>
        <w:rPr>
          <w:bCs/>
          <w:color w:val="002060"/>
          <w:sz w:val="16"/>
          <w:szCs w:val="16"/>
        </w:rPr>
      </w:pPr>
      <w:r w:rsidRPr="00405303">
        <w:rPr>
          <w:bCs/>
          <w:color w:val="002060"/>
          <w:sz w:val="16"/>
          <w:szCs w:val="16"/>
          <w:lang w:bidi="en-US"/>
        </w:rPr>
        <w:t>(23525).</w:t>
      </w:r>
    </w:p>
    <w:p w14:paraId="12DE6929" w14:textId="77777777" w:rsidR="006D50CC" w:rsidRPr="00405303" w:rsidRDefault="006D50CC" w:rsidP="00C15251">
      <w:pPr>
        <w:jc w:val="both"/>
        <w:rPr>
          <w:bCs/>
          <w:color w:val="002060"/>
          <w:sz w:val="16"/>
          <w:szCs w:val="16"/>
        </w:rPr>
      </w:pPr>
    </w:p>
    <w:p w14:paraId="7943C80E" w14:textId="53720ABB" w:rsidR="00D60E3D" w:rsidRPr="00405303" w:rsidRDefault="00D60E3D" w:rsidP="00C15251">
      <w:pPr>
        <w:jc w:val="both"/>
        <w:rPr>
          <w:bCs/>
          <w:i/>
          <w:color w:val="002060"/>
          <w:sz w:val="16"/>
          <w:szCs w:val="16"/>
        </w:rPr>
      </w:pPr>
      <w:r w:rsidRPr="00405303">
        <w:rPr>
          <w:bCs/>
          <w:i/>
          <w:color w:val="002060"/>
          <w:sz w:val="16"/>
          <w:szCs w:val="16"/>
        </w:rPr>
        <w:t>За рубежом:</w:t>
      </w:r>
    </w:p>
    <w:p w14:paraId="385EC303" w14:textId="77777777" w:rsidR="00D60E3D" w:rsidRPr="00405303" w:rsidRDefault="00D60E3D" w:rsidP="00C15251">
      <w:pPr>
        <w:jc w:val="both"/>
        <w:rPr>
          <w:bCs/>
          <w:color w:val="002060"/>
          <w:sz w:val="16"/>
          <w:szCs w:val="16"/>
        </w:rPr>
      </w:pPr>
    </w:p>
    <w:p w14:paraId="266C22BB" w14:textId="77777777" w:rsidR="00D60E3D" w:rsidRPr="00405303" w:rsidRDefault="00D60E3D" w:rsidP="00C15251">
      <w:pPr>
        <w:jc w:val="both"/>
        <w:rPr>
          <w:bCs/>
          <w:color w:val="002060"/>
          <w:sz w:val="16"/>
          <w:szCs w:val="16"/>
        </w:rPr>
      </w:pPr>
      <w:r w:rsidRPr="00405303">
        <w:rPr>
          <w:bCs/>
          <w:color w:val="002060"/>
          <w:sz w:val="16"/>
          <w:szCs w:val="16"/>
        </w:rPr>
        <w:t>3 (16) июля в 1915 году в Англии принимается закон о регистрации. Все мужское население, годное к военной службе, должно зарегистрироваться в специальных пунктах, что и будет сделано к 15 августа (14954).</w:t>
      </w:r>
    </w:p>
    <w:p w14:paraId="1D7D3534" w14:textId="77777777" w:rsidR="00D60E3D" w:rsidRPr="00405303" w:rsidRDefault="00D60E3D" w:rsidP="00C15251">
      <w:pPr>
        <w:jc w:val="both"/>
        <w:rPr>
          <w:bCs/>
          <w:color w:val="002060"/>
          <w:sz w:val="16"/>
          <w:szCs w:val="16"/>
        </w:rPr>
      </w:pPr>
    </w:p>
    <w:p w14:paraId="676EDA7D"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0ECA4F9A" w14:textId="77777777" w:rsidR="00B02238" w:rsidRPr="00405303" w:rsidRDefault="00B02238" w:rsidP="00C15251">
      <w:pPr>
        <w:jc w:val="both"/>
        <w:rPr>
          <w:bCs/>
          <w:color w:val="002060"/>
          <w:sz w:val="16"/>
          <w:szCs w:val="16"/>
        </w:rPr>
      </w:pPr>
    </w:p>
    <w:p w14:paraId="2D3BD1D7" w14:textId="29C7628D" w:rsidR="004B4E35" w:rsidRPr="00405303" w:rsidRDefault="009E6F82" w:rsidP="00C15251">
      <w:pPr>
        <w:jc w:val="both"/>
        <w:rPr>
          <w:bCs/>
          <w:color w:val="002060"/>
          <w:sz w:val="16"/>
          <w:szCs w:val="16"/>
        </w:rPr>
      </w:pPr>
      <w:r w:rsidRPr="00405303">
        <w:rPr>
          <w:bCs/>
          <w:color w:val="002060"/>
          <w:sz w:val="16"/>
          <w:szCs w:val="16"/>
        </w:rPr>
        <w:t xml:space="preserve">4 (17) июля 1915 г. </w:t>
      </w:r>
      <w:r w:rsidR="008C6E63" w:rsidRPr="00405303">
        <w:rPr>
          <w:bCs/>
          <w:color w:val="002060"/>
          <w:sz w:val="16"/>
          <w:szCs w:val="16"/>
        </w:rPr>
        <w:t xml:space="preserve">ГАУ письмом </w:t>
      </w:r>
      <w:r w:rsidRPr="00405303">
        <w:rPr>
          <w:bCs/>
          <w:color w:val="002060"/>
          <w:sz w:val="16"/>
          <w:szCs w:val="16"/>
        </w:rPr>
        <w:t xml:space="preserve">(РГВИА, ф. 507, оп. 2, д. 72, л. 60-61.) доложило председателю подготовительной комиссии при Особом совещании по усилению средств государственной обороны о содержании доклада Комиссии при Российском фармацевтическом обществе и выступило с предложением назначить "уполномоченное лицо от военного ведомства, которое могло бы следить за правильностью разработки" дела добычи колчедана на Урале (РГВИА, ф. 507, оп. 2, д. 72, л. 60-61.). Этому лицу также поручалось определить себестоимость колчедана и выяснить предельно допустимую цену на него, которую и </w:t>
      </w:r>
      <w:proofErr w:type="gramStart"/>
      <w:r w:rsidRPr="00405303">
        <w:rPr>
          <w:bCs/>
          <w:color w:val="002060"/>
          <w:sz w:val="16"/>
          <w:szCs w:val="16"/>
        </w:rPr>
        <w:t>заявить</w:t>
      </w:r>
      <w:proofErr w:type="gramEnd"/>
      <w:r w:rsidRPr="00405303">
        <w:rPr>
          <w:bCs/>
          <w:color w:val="002060"/>
          <w:sz w:val="16"/>
          <w:szCs w:val="16"/>
        </w:rPr>
        <w:t xml:space="preserve"> как обязательную для фирм, занятых его добычей.</w:t>
      </w:r>
    </w:p>
    <w:p w14:paraId="6AEDE804" w14:textId="77777777" w:rsidR="004B4E35" w:rsidRPr="00405303" w:rsidRDefault="009E6F82" w:rsidP="00C15251">
      <w:pPr>
        <w:jc w:val="both"/>
        <w:rPr>
          <w:bCs/>
          <w:color w:val="002060"/>
          <w:sz w:val="16"/>
          <w:szCs w:val="16"/>
        </w:rPr>
      </w:pPr>
      <w:r w:rsidRPr="00405303">
        <w:rPr>
          <w:bCs/>
          <w:color w:val="002060"/>
          <w:sz w:val="16"/>
          <w:szCs w:val="16"/>
        </w:rPr>
        <w:t xml:space="preserve">Благодаря усилиям Комиссии по заготовке взрывчатых веществ работа по налаживанию производства серной кислоты и других необходимых химических веществ шла ровно и планомерно. Однако в это время в Особое совещание была подана докладная записка А.Е. Маковецкого, где доказывалось, что заготовка серной кислоты </w:t>
      </w:r>
      <w:r w:rsidRPr="00405303">
        <w:rPr>
          <w:bCs/>
          <w:color w:val="002060"/>
          <w:sz w:val="16"/>
          <w:szCs w:val="16"/>
        </w:rPr>
        <w:lastRenderedPageBreak/>
        <w:t>в пределах 20-22 млн пуд. в год, как наметила Комиссия по заготовке взрывчатых веществ, недостаточна. Маковецкий предлагал повысить добычу до 80-90 млн пуд. в год, т.е. в 4 раза. Однако Ипатьев выступил резко против этого предложения. Он писал: "Не надо было быть пророком, чтобы предсказать то ужасное положение, в котором очутилась бы нарождающаяся русская химическая промышленность, если бы она большую часть своих сил и материалов направила бы на изготовление такого громадного количества серной кислоты. Никакого нет сомнения в том, что Россия нуждается в гораздо большем количестве серной кислоты не только в военное время, но даже и в мирное время..., но необходимо также выполнить эту грандиозную программу последовательно, не обижая и других отраслей промышленности". В.Н. Ипатьев настаивал на равномерном развитии всех отраслей промышленности. Повышение производства серной кислоты диктовалось необходимым увеличением производства взрывчатых веществ, однако дальнейшее увеличение ее производства, да еще в таких масштабах, могло губительно сказаться на уже проводимой успешной и планомерной работе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Пг., 1921.) (11781).</w:t>
      </w:r>
    </w:p>
    <w:p w14:paraId="43EAC329" w14:textId="77777777" w:rsidR="004B4E35" w:rsidRPr="00405303" w:rsidRDefault="004B4E35" w:rsidP="00C15251">
      <w:pPr>
        <w:jc w:val="both"/>
        <w:rPr>
          <w:bCs/>
          <w:color w:val="002060"/>
          <w:sz w:val="16"/>
          <w:szCs w:val="16"/>
        </w:rPr>
      </w:pPr>
    </w:p>
    <w:p w14:paraId="204DD057" w14:textId="6265A49B" w:rsidR="004B4E35" w:rsidRPr="00405303" w:rsidRDefault="009E6F82" w:rsidP="00C15251">
      <w:pPr>
        <w:jc w:val="both"/>
        <w:rPr>
          <w:bCs/>
          <w:color w:val="002060"/>
          <w:sz w:val="16"/>
          <w:szCs w:val="16"/>
        </w:rPr>
      </w:pPr>
      <w:r w:rsidRPr="00405303">
        <w:rPr>
          <w:bCs/>
          <w:color w:val="002060"/>
          <w:sz w:val="16"/>
          <w:szCs w:val="16"/>
        </w:rPr>
        <w:t>4</w:t>
      </w:r>
      <w:r w:rsidR="008C6E63" w:rsidRPr="00405303">
        <w:rPr>
          <w:bCs/>
          <w:color w:val="002060"/>
          <w:sz w:val="16"/>
          <w:szCs w:val="16"/>
        </w:rPr>
        <w:t xml:space="preserve"> (17) июля </w:t>
      </w:r>
      <w:r w:rsidRPr="00405303">
        <w:rPr>
          <w:bCs/>
          <w:color w:val="002060"/>
          <w:sz w:val="16"/>
          <w:szCs w:val="16"/>
        </w:rPr>
        <w:t>1915</w:t>
      </w:r>
      <w:r w:rsidR="008C6E63" w:rsidRPr="00405303">
        <w:rPr>
          <w:bCs/>
          <w:color w:val="002060"/>
          <w:sz w:val="16"/>
          <w:szCs w:val="16"/>
        </w:rPr>
        <w:t xml:space="preserve"> </w:t>
      </w:r>
      <w:r w:rsidRPr="00405303">
        <w:rPr>
          <w:bCs/>
          <w:color w:val="002060"/>
          <w:sz w:val="16"/>
          <w:szCs w:val="16"/>
        </w:rPr>
        <w:t xml:space="preserve">г. Хозотдел ГАУ вышел с ходатайством к Военному совету о строительстве на базе </w:t>
      </w:r>
      <w:r w:rsidR="008C6E63" w:rsidRPr="00405303">
        <w:rPr>
          <w:bCs/>
          <w:color w:val="002060"/>
          <w:sz w:val="16"/>
          <w:szCs w:val="16"/>
        </w:rPr>
        <w:t xml:space="preserve">снаряжательных </w:t>
      </w:r>
      <w:r w:rsidRPr="00405303">
        <w:rPr>
          <w:bCs/>
          <w:color w:val="002060"/>
          <w:sz w:val="16"/>
          <w:szCs w:val="16"/>
        </w:rPr>
        <w:t>мастерских снаряжательного завода. Предложение было утверждено, выбран участок в 18 верстах от Сергиева Посада площадью 865 десятин, именовавшийся как Лесная дача «Гусенево». Одновременно строились три цеха: аммоналовый, гранатный и пиротехнический. В короткие сроки под руководством В.И. Рдултовского Троицкий снаряжательный завод был построен и в 03.1916г. вступил в строй (в этом месяце снаряжено 80200 гранат конструкции Рдултовского). К этому времени построено 22 производственных здания, складские и подсобные помещения. Направление работ: приготовление гремучей ртути и снаряжение ею капсюлей ручных гранат; изготовление стопина и запалов к ручным гранатам; снаряжение ручных гранат. К 06.1916г. было изготовлено 2000 пудов аммонала, 11 пудов гремучей ртути, 435 тыс. гранат РГ- 14, 309380 гранат германского образца, 6000 учебных. Позже налажен выпуск пиротехнических сигнальных и осветительных средств.</w:t>
      </w:r>
    </w:p>
    <w:p w14:paraId="643E6847" w14:textId="77777777" w:rsidR="004B4E35" w:rsidRPr="00405303" w:rsidRDefault="009E6F82" w:rsidP="00C15251">
      <w:pPr>
        <w:jc w:val="both"/>
        <w:rPr>
          <w:bCs/>
          <w:color w:val="002060"/>
          <w:sz w:val="16"/>
          <w:szCs w:val="16"/>
        </w:rPr>
      </w:pPr>
      <w:r w:rsidRPr="00405303">
        <w:rPr>
          <w:bCs/>
          <w:color w:val="002060"/>
          <w:sz w:val="16"/>
          <w:szCs w:val="16"/>
        </w:rPr>
        <w:t>В годы Гражданской войны производил боеприпасы. Являлся единственным заводом в стране по производству боевых вспомогательных средств и с пуском капсюльного производства завод переводился в ударную группу заводов по обеспечению Красной Армии. Ежемесячно изготавливалось 350 тыс. ручных гранат, по 15 тыс. бомбометных снарядов и аэропланных бомб, 50 тыс. пудов аммонала, по 500 тыс. капсюлей и детонаторов. В 1924-25г. производство было закрыто и законсервировано; оставлено 440 рабочих для расснаряжения и утилизации неизрасходованных боеприпасов.</w:t>
      </w:r>
    </w:p>
    <w:p w14:paraId="4933615B" w14:textId="77777777" w:rsidR="004B4E35" w:rsidRPr="00405303" w:rsidRDefault="009E6F82" w:rsidP="00C15251">
      <w:pPr>
        <w:jc w:val="both"/>
        <w:rPr>
          <w:bCs/>
          <w:color w:val="002060"/>
          <w:sz w:val="16"/>
          <w:szCs w:val="16"/>
        </w:rPr>
      </w:pPr>
      <w:r w:rsidRPr="00405303">
        <w:rPr>
          <w:bCs/>
          <w:color w:val="002060"/>
          <w:sz w:val="16"/>
          <w:szCs w:val="16"/>
        </w:rPr>
        <w:t>В 1924г. завод - в ведении ГУВП ВСНХ. В соответствии с пост. СНК от 27.04.1926г. по пр. ВСНХ/НКВМ/ОГПУ № 73сс от 9.07.1927г. Снаряжательный завод «Красная ракета» с 1.10.1927г. переименован в Сергиевский завод № 11 в ведении Вохимтреста УВП ВСНХ (и на 1929г.). Приказом № 91 от 13.03.1937г. утвержден Устав ГС завода № 11 4ГУ НКОП. В 02.1939г. завод № 11 4ГУ НКОП передан в ведение 4ГУ НКБ.</w:t>
      </w:r>
    </w:p>
    <w:p w14:paraId="532AB9AC" w14:textId="77777777" w:rsidR="004B4E35" w:rsidRPr="00405303" w:rsidRDefault="009E6F82" w:rsidP="00C15251">
      <w:pPr>
        <w:jc w:val="both"/>
        <w:rPr>
          <w:bCs/>
          <w:color w:val="002060"/>
          <w:sz w:val="16"/>
          <w:szCs w:val="16"/>
        </w:rPr>
      </w:pPr>
      <w:r w:rsidRPr="00405303">
        <w:rPr>
          <w:bCs/>
          <w:color w:val="002060"/>
          <w:sz w:val="16"/>
          <w:szCs w:val="16"/>
        </w:rPr>
        <w:t>В 1930-е г. завод был реконструирован, созданы опытные мастерские по разработке и освоению производства сигнальных патронов, винтовочных гранат, трассирующих пуль. Разработана дымовая шашка ДШ-11 (1930г.). Велось снаряжение химических боеприпасов. Приказом НКОП № 0025 от 4.02.1937г. заводу предписано к 1.01.1938г. создать мощности: по выпуску капсюлей: винтовочных - 1000 млн. шт., воспламенителей - 40 млн. шт.; сигнальных пиропатронов - 8,5 млн. шт. Во исполнение постановления СНК № 334 от 26.02.1937г. приказом № 060 от 23.03.1937г. заводу предписано создать к 1.01.1938г. производство динафталита мощностью 2000 т в год. Приказом № 0094 от 29.04.1937г. были утверждены проектные мощности и номенклатура пиротехнических цехов завода (тыс. шт. в год): осветительные: 24-мм звездки - 12000, 26-мм патроны - 20000, винтграната - 6000, подкрыльные факелы - 700; сигнальные: 24-мм сигналы и 26-мм патроны - 30000; винтгранаты - 2500, авиасигналы - 13500, мощные сигналы (107-мм реактивные)- 600; дымовые шашки - 11000; практические звукосигнальные и имитационные средства, в т.ч. дымпатроны П-7, -25 - 3500; трассы к взрывателю МД-5 - 46000, 37-мм трассирующий снаряд - 3000; САБ-3 - 1000, САБ-5 - 500. Приказом № 00104 от 9.05.1937г. предписано закончить техпроекты пиротехнических цехов: 1-й - к 15.06.1937г., 2-й и 3-й - к 1.08.1937г.; приказом № 00145 от 29.06.1937г. - к 1.01.1938г. закончить постройку и монтаж оборудования цехов № 4 и 5. «В связи с неудовлетворительными темпами работ» 13/20.01.193 8г. вышел приказ № Юс провести обследование реконструкции завода. Пр. № 147сс от 4.05.1938г. требовалось организовать производство футляров для САБ с мощностью к 1.01.1939г. 1500 комплектов.</w:t>
      </w:r>
    </w:p>
    <w:p w14:paraId="2921DE9E" w14:textId="77777777" w:rsidR="004B4E35" w:rsidRPr="00405303" w:rsidRDefault="009E6F82" w:rsidP="00C15251">
      <w:pPr>
        <w:jc w:val="both"/>
        <w:rPr>
          <w:bCs/>
          <w:color w:val="002060"/>
          <w:sz w:val="16"/>
          <w:szCs w:val="16"/>
        </w:rPr>
      </w:pPr>
      <w:r w:rsidRPr="00405303">
        <w:rPr>
          <w:bCs/>
          <w:color w:val="002060"/>
          <w:sz w:val="16"/>
          <w:szCs w:val="16"/>
        </w:rPr>
        <w:t>По пр. № 133 от 8.04.1938г. для обеспечения выпуска на заводе с 15.06.1938г. средств обтюрации 4-му ГПИ было необходимо к 15.04.1938г. закончить проект цеха.</w:t>
      </w:r>
    </w:p>
    <w:p w14:paraId="136612CA" w14:textId="77777777" w:rsidR="004B4E35" w:rsidRPr="00405303" w:rsidRDefault="009E6F82" w:rsidP="00C15251">
      <w:pPr>
        <w:jc w:val="both"/>
        <w:rPr>
          <w:bCs/>
          <w:color w:val="002060"/>
          <w:sz w:val="16"/>
          <w:szCs w:val="16"/>
        </w:rPr>
      </w:pPr>
      <w:r w:rsidRPr="00405303">
        <w:rPr>
          <w:bCs/>
          <w:color w:val="002060"/>
          <w:sz w:val="16"/>
          <w:szCs w:val="16"/>
        </w:rPr>
        <w:t>Мощность завода (перед эвакуацией): капсюли-воспламенители патронные -1,2 млрд. шт. в год; снаряжение: трассеров 37-, 45- и 57-мм снарядов - 40 млн. шт.; 26-мм сигнальных патронов - 40 млн. шт.; ЗАБ-100, -500 - 150 тыс. шт.; дымовое средство ДМ-11 - 5 млн. шт.; зажигательные шашки к 20 и 23-мм снарядам - 40 млн. шт.</w:t>
      </w:r>
    </w:p>
    <w:p w14:paraId="4DEB9C7C" w14:textId="77777777" w:rsidR="004B4E35" w:rsidRPr="00405303" w:rsidRDefault="009E6F82" w:rsidP="00C15251">
      <w:pPr>
        <w:jc w:val="both"/>
        <w:rPr>
          <w:bCs/>
          <w:color w:val="002060"/>
          <w:sz w:val="16"/>
          <w:szCs w:val="16"/>
        </w:rPr>
      </w:pPr>
      <w:r w:rsidRPr="00405303">
        <w:rPr>
          <w:bCs/>
          <w:color w:val="002060"/>
          <w:sz w:val="16"/>
          <w:szCs w:val="16"/>
        </w:rPr>
        <w:t>По приказу НКБ от 10.10.1941г. гильзовый, капсюльный, пиротехнический и дерево-тарный цеха (производство: капсюлей-воспламенителей для патронов, трубок и взрывателей; трассеров для 37-, 45-, 57- и 76- мм снарядов; дымовых средств ДМ-11; зажигательных шашек для 20- и 23-мм снарядов; всего 570 ед. оборудования, 685 чел.) завода № 11 6ГУ НКБ эвакуированы в Челябинск на площадку строительства завода № 254 и на территорию колхоза «Новый путь»; часть завода (снаряжение 26-мм патронов, ЗАБ-100, -500, ФОТАБ; всего 53 ед. оборудования, 239 чел.) эвакуирована в Чебоксары на завод № 320 НКБ; часть оборудования (средства обтюрации, 42 ед.) эвакуирована в г. Новая Ляля на площадку Бумкомбината. Часть завода продолжила производство на старом месте под прежним номером. Выпускались реактивные снаряды для «Катюши».</w:t>
      </w:r>
    </w:p>
    <w:p w14:paraId="62DF175D" w14:textId="77777777" w:rsidR="004B4E35" w:rsidRPr="00405303" w:rsidRDefault="009E6F82" w:rsidP="00C15251">
      <w:pPr>
        <w:jc w:val="both"/>
        <w:rPr>
          <w:bCs/>
          <w:color w:val="002060"/>
          <w:sz w:val="16"/>
          <w:szCs w:val="16"/>
        </w:rPr>
      </w:pPr>
      <w:r w:rsidRPr="00405303">
        <w:rPr>
          <w:bCs/>
          <w:color w:val="002060"/>
          <w:sz w:val="16"/>
          <w:szCs w:val="16"/>
        </w:rPr>
        <w:t>В 12.1942-04.1943г. - в ведении 6ГУ НКБ. Имел обозначение «п/я 3» (1943г.).</w:t>
      </w:r>
    </w:p>
    <w:p w14:paraId="23902E38" w14:textId="77777777" w:rsidR="004B4E35" w:rsidRPr="00405303" w:rsidRDefault="009E6F82" w:rsidP="00C15251">
      <w:pPr>
        <w:jc w:val="both"/>
        <w:rPr>
          <w:bCs/>
          <w:color w:val="002060"/>
          <w:sz w:val="16"/>
          <w:szCs w:val="16"/>
        </w:rPr>
      </w:pPr>
      <w:r w:rsidRPr="00405303">
        <w:rPr>
          <w:bCs/>
          <w:color w:val="002060"/>
          <w:sz w:val="16"/>
          <w:szCs w:val="16"/>
        </w:rPr>
        <w:t>В 1942г. с завода № 562 передано оборудование для изготовления запалов и снаряжания РГД-33. В годы ВОВ завод произвел 245,715 млн. ручных гранат, 20,555 млн. противотанковых гранат, 1.087.433 авиабомбы, 273,313 млн. зенитных снарядов, 31.888,513 млн. капсюлей. В составе завода основные цехи (1943г.): № 1, 2, 3, 4, 5, 6, 7, 9,16.</w:t>
      </w:r>
    </w:p>
    <w:p w14:paraId="6D49CF3E" w14:textId="77777777" w:rsidR="004B4E35" w:rsidRPr="00405303" w:rsidRDefault="009E6F82" w:rsidP="00C15251">
      <w:pPr>
        <w:jc w:val="both"/>
        <w:rPr>
          <w:bCs/>
          <w:color w:val="002060"/>
          <w:sz w:val="16"/>
          <w:szCs w:val="16"/>
        </w:rPr>
      </w:pPr>
      <w:r w:rsidRPr="00405303">
        <w:rPr>
          <w:bCs/>
          <w:color w:val="002060"/>
          <w:sz w:val="16"/>
          <w:szCs w:val="16"/>
        </w:rPr>
        <w:t>После войны оборонный заказ был резко снижен, освоено производство гражданской продукции (гончарные изделия, садовый инвентарь, кухонные плиты); прошло техническое перевооружение завода.</w:t>
      </w:r>
    </w:p>
    <w:p w14:paraId="43A06081" w14:textId="77777777" w:rsidR="004B4E35" w:rsidRPr="00405303" w:rsidRDefault="009E6F82" w:rsidP="00C15251">
      <w:pPr>
        <w:jc w:val="both"/>
        <w:rPr>
          <w:bCs/>
          <w:color w:val="002060"/>
          <w:sz w:val="16"/>
          <w:szCs w:val="16"/>
        </w:rPr>
      </w:pPr>
      <w:r w:rsidRPr="00405303">
        <w:rPr>
          <w:bCs/>
          <w:color w:val="002060"/>
          <w:sz w:val="16"/>
          <w:szCs w:val="16"/>
        </w:rPr>
        <w:t>В 1947г. был освоен выпуск бумажных охотничьих гильз объемом 2 млн. шт. в год, с 1948г. - снаряжение охотничьих патронов мощностью 200 тыс. шт. в год. Затем освоен безбашенный метод отливки свинцовой дроби; начато производство противотанковых гранат (сначала в кооперации с Тульским заводом). Производство было оснащено трофейными прессами. В 1970-е г. налажен выпуск автоматических роторных линий, разработанных СКТБ завода совместно с КБАЛ. Был освоен выпуск термомуфельных патронов и шашек для сварки электропроводов, пластин для теплообменников паровозов, тракторных фильтров, железнодорожных петард, многоконтактных разъемов, импульсных трансформаторов, пиронагревателей для РКТ, карманных фонарей (объемом до 3,3 млн. шт. в год).</w:t>
      </w:r>
    </w:p>
    <w:p w14:paraId="7AA30CC0" w14:textId="77777777" w:rsidR="004B4E35" w:rsidRPr="00405303" w:rsidRDefault="009E6F82" w:rsidP="00C15251">
      <w:pPr>
        <w:jc w:val="both"/>
        <w:rPr>
          <w:bCs/>
          <w:color w:val="002060"/>
          <w:sz w:val="16"/>
          <w:szCs w:val="16"/>
        </w:rPr>
      </w:pPr>
      <w:r w:rsidRPr="00405303">
        <w:rPr>
          <w:bCs/>
          <w:color w:val="002060"/>
          <w:sz w:val="16"/>
          <w:szCs w:val="16"/>
        </w:rPr>
        <w:t xml:space="preserve">В 1955г. завод - в ведении </w:t>
      </w:r>
      <w:r w:rsidRPr="00405303">
        <w:rPr>
          <w:bCs/>
          <w:color w:val="002060"/>
          <w:sz w:val="16"/>
          <w:szCs w:val="16"/>
          <w:lang w:val="en-US"/>
        </w:rPr>
        <w:t>MOM</w:t>
      </w:r>
      <w:r w:rsidRPr="00405303">
        <w:rPr>
          <w:bCs/>
          <w:color w:val="002060"/>
          <w:sz w:val="16"/>
          <w:szCs w:val="16"/>
        </w:rPr>
        <w:t>. В 1972г. назывался Краснозаводский химический завод.</w:t>
      </w:r>
    </w:p>
    <w:p w14:paraId="5C2D246C" w14:textId="77777777" w:rsidR="004B4E35" w:rsidRPr="00405303" w:rsidRDefault="009E6F82" w:rsidP="00C15251">
      <w:pPr>
        <w:jc w:val="both"/>
        <w:rPr>
          <w:bCs/>
          <w:color w:val="002060"/>
          <w:sz w:val="16"/>
          <w:szCs w:val="16"/>
        </w:rPr>
      </w:pPr>
      <w:r w:rsidRPr="00405303">
        <w:rPr>
          <w:bCs/>
          <w:color w:val="002060"/>
          <w:sz w:val="16"/>
          <w:szCs w:val="16"/>
        </w:rPr>
        <w:t xml:space="preserve">При заводе было организовано КБ. По приказу </w:t>
      </w:r>
      <w:r w:rsidRPr="00405303">
        <w:rPr>
          <w:bCs/>
          <w:color w:val="002060"/>
          <w:sz w:val="16"/>
          <w:szCs w:val="16"/>
          <w:lang w:val="en-US"/>
        </w:rPr>
        <w:t>MOM</w:t>
      </w:r>
      <w:r w:rsidRPr="00405303">
        <w:rPr>
          <w:bCs/>
          <w:color w:val="002060"/>
          <w:sz w:val="16"/>
          <w:szCs w:val="16"/>
        </w:rPr>
        <w:t xml:space="preserve"> от 9.08.1955г. на заводе создано СКТБ. В 1957г. организован станкоинструментальный цех. В 1957-59г. реконструирован цех по производству аммонита. Организованы три участка по переработке пластмасс: термореактивных; термопластичных и полиэтиленовых труб. В 1971г. освоена опытная механизированная линия ЛП-1 по производству асбестовых шайб пиронагревателей, в 1975г. организован комплексно-механизированный участок с 5 линиями.</w:t>
      </w:r>
    </w:p>
    <w:p w14:paraId="4ADB3B0B" w14:textId="77777777" w:rsidR="004B4E35" w:rsidRPr="00405303" w:rsidRDefault="009E6F82" w:rsidP="00C15251">
      <w:pPr>
        <w:jc w:val="both"/>
        <w:rPr>
          <w:bCs/>
          <w:color w:val="002060"/>
          <w:sz w:val="16"/>
          <w:szCs w:val="16"/>
        </w:rPr>
      </w:pPr>
      <w:r w:rsidRPr="00405303">
        <w:rPr>
          <w:bCs/>
          <w:color w:val="002060"/>
          <w:sz w:val="16"/>
          <w:szCs w:val="16"/>
        </w:rPr>
        <w:t xml:space="preserve">Затем было принято решение о реконструкции завода. К 1975г. созданы два комплексно-механизированных производства: охотничьих гильз мощностью 200 млн. шт. в год и охотничьих и спортивных патронов мощностью 100 млн. шт. в год. В 1979г. построен прессовый корпус, в 1982г. создан участок по производству осветительных </w:t>
      </w:r>
      <w:r w:rsidRPr="00405303">
        <w:rPr>
          <w:bCs/>
          <w:color w:val="002060"/>
          <w:sz w:val="16"/>
          <w:szCs w:val="16"/>
          <w:lang w:val="en-US"/>
        </w:rPr>
        <w:t>PC</w:t>
      </w:r>
      <w:r w:rsidRPr="00405303">
        <w:rPr>
          <w:bCs/>
          <w:color w:val="002060"/>
          <w:sz w:val="16"/>
          <w:szCs w:val="16"/>
        </w:rPr>
        <w:t>, в 1984г. - корпус для сушки пиротехнических составов, в 1987г. - корпус подготовки компонентов и мешки составов.</w:t>
      </w:r>
    </w:p>
    <w:p w14:paraId="5774FFD8" w14:textId="77777777" w:rsidR="004B4E35" w:rsidRPr="00405303" w:rsidRDefault="009E6F82" w:rsidP="00C15251">
      <w:pPr>
        <w:jc w:val="both"/>
        <w:rPr>
          <w:bCs/>
          <w:color w:val="002060"/>
          <w:sz w:val="16"/>
          <w:szCs w:val="16"/>
        </w:rPr>
      </w:pPr>
      <w:r w:rsidRPr="00405303">
        <w:rPr>
          <w:bCs/>
          <w:color w:val="002060"/>
          <w:sz w:val="16"/>
          <w:szCs w:val="16"/>
        </w:rPr>
        <w:t>С середины 1990-х освоено пиротехническое производство: фейерверков, хлопушек, бенгальских огней. В 2000-е г. освоен выпуск новых видов патронов для гладкоствольных ружей. Завод являлся единственным изготовителем (2005г.) сигнальных патронов для ружей 12-го, 16-го и 20-го калибров.</w:t>
      </w:r>
    </w:p>
    <w:p w14:paraId="3E87DC0F" w14:textId="77777777" w:rsidR="004B4E35" w:rsidRPr="00405303" w:rsidRDefault="009E6F82" w:rsidP="00C15251">
      <w:pPr>
        <w:jc w:val="both"/>
        <w:rPr>
          <w:bCs/>
          <w:color w:val="002060"/>
          <w:sz w:val="16"/>
          <w:szCs w:val="16"/>
        </w:rPr>
      </w:pPr>
      <w:r w:rsidRPr="00405303">
        <w:rPr>
          <w:bCs/>
          <w:color w:val="002060"/>
          <w:sz w:val="16"/>
          <w:szCs w:val="16"/>
        </w:rPr>
        <w:t>По Указу Президента РФ № 1009 от 4.08.2004г. вошел в число стратегических оборонных предприятий.</w:t>
      </w:r>
    </w:p>
    <w:p w14:paraId="7D11F613" w14:textId="77777777" w:rsidR="004B4E35" w:rsidRPr="00405303" w:rsidRDefault="009E6F82" w:rsidP="00C15251">
      <w:pPr>
        <w:jc w:val="both"/>
        <w:rPr>
          <w:bCs/>
          <w:color w:val="002060"/>
          <w:sz w:val="16"/>
          <w:szCs w:val="16"/>
        </w:rPr>
      </w:pPr>
      <w:r w:rsidRPr="00405303">
        <w:rPr>
          <w:bCs/>
          <w:color w:val="002060"/>
          <w:sz w:val="16"/>
          <w:szCs w:val="16"/>
        </w:rPr>
        <w:t>Имелись производства (2005г.): капсюльное, пиротехническое, сборочно-снаряжательное, механическое, изделий из пластмасс.</w:t>
      </w:r>
    </w:p>
    <w:p w14:paraId="351A33CF" w14:textId="77777777" w:rsidR="004B4E35" w:rsidRPr="00405303" w:rsidRDefault="009E6F82" w:rsidP="00C15251">
      <w:pPr>
        <w:jc w:val="both"/>
        <w:rPr>
          <w:bCs/>
          <w:color w:val="002060"/>
          <w:sz w:val="16"/>
          <w:szCs w:val="16"/>
        </w:rPr>
      </w:pPr>
      <w:r w:rsidRPr="00405303">
        <w:rPr>
          <w:bCs/>
          <w:color w:val="002060"/>
          <w:sz w:val="16"/>
          <w:szCs w:val="16"/>
        </w:rPr>
        <w:t>Площадь (1943г.): производственная- 32175 м</w:t>
      </w:r>
      <w:r w:rsidRPr="00405303">
        <w:rPr>
          <w:bCs/>
          <w:color w:val="002060"/>
          <w:sz w:val="16"/>
          <w:szCs w:val="16"/>
          <w:vertAlign w:val="superscript"/>
        </w:rPr>
        <w:t>2</w:t>
      </w:r>
      <w:r w:rsidRPr="00405303">
        <w:rPr>
          <w:bCs/>
          <w:color w:val="002060"/>
          <w:sz w:val="16"/>
          <w:szCs w:val="16"/>
        </w:rPr>
        <w:t>; вспомогательная- 19694 м</w:t>
      </w:r>
      <w:r w:rsidRPr="00405303">
        <w:rPr>
          <w:bCs/>
          <w:color w:val="002060"/>
          <w:sz w:val="16"/>
          <w:szCs w:val="16"/>
          <w:vertAlign w:val="superscript"/>
        </w:rPr>
        <w:t>2</w:t>
      </w:r>
      <w:r w:rsidRPr="00405303">
        <w:rPr>
          <w:bCs/>
          <w:color w:val="002060"/>
          <w:sz w:val="16"/>
          <w:szCs w:val="16"/>
        </w:rPr>
        <w:t>; прочая- 3002 м</w:t>
      </w:r>
      <w:r w:rsidRPr="00405303">
        <w:rPr>
          <w:bCs/>
          <w:color w:val="002060"/>
          <w:sz w:val="16"/>
          <w:szCs w:val="16"/>
          <w:vertAlign w:val="superscript"/>
        </w:rPr>
        <w:t>2</w:t>
      </w:r>
      <w:r w:rsidRPr="00405303">
        <w:rPr>
          <w:bCs/>
          <w:color w:val="002060"/>
          <w:sz w:val="16"/>
          <w:szCs w:val="16"/>
        </w:rPr>
        <w:t>.</w:t>
      </w:r>
    </w:p>
    <w:p w14:paraId="49425E3F" w14:textId="77777777" w:rsidR="004B4E35" w:rsidRPr="00405303" w:rsidRDefault="009E6F82" w:rsidP="00C15251">
      <w:pPr>
        <w:jc w:val="both"/>
        <w:rPr>
          <w:bCs/>
          <w:color w:val="002060"/>
          <w:sz w:val="16"/>
          <w:szCs w:val="16"/>
        </w:rPr>
      </w:pPr>
      <w:r w:rsidRPr="00405303">
        <w:rPr>
          <w:bCs/>
          <w:color w:val="002060"/>
          <w:sz w:val="16"/>
          <w:szCs w:val="16"/>
        </w:rPr>
        <w:t>Численность персонала (1.12.1917г.)- 2214 чел., (1924г.)- 440 чел., (09.1941г.)- 9400 чел., (12.1942г.)- 5677 чел.</w:t>
      </w:r>
    </w:p>
    <w:p w14:paraId="12266CC2" w14:textId="77777777" w:rsidR="004B4E35" w:rsidRPr="00405303" w:rsidRDefault="009E6F82" w:rsidP="00C15251">
      <w:pPr>
        <w:jc w:val="both"/>
        <w:rPr>
          <w:bCs/>
          <w:color w:val="002060"/>
          <w:sz w:val="16"/>
          <w:szCs w:val="16"/>
        </w:rPr>
      </w:pPr>
      <w:r w:rsidRPr="00405303">
        <w:rPr>
          <w:bCs/>
          <w:color w:val="002060"/>
          <w:sz w:val="16"/>
          <w:szCs w:val="16"/>
        </w:rPr>
        <w:lastRenderedPageBreak/>
        <w:t>Директор (07.1915-03.1917г.)- В.И. Рдултовский, (1935-03.1936г.)- К.А. Озол (репрессирован), (-05.1937- 02.1938г.-)- Б.А. Ефремов, (</w:t>
      </w:r>
      <w:r w:rsidRPr="00405303">
        <w:rPr>
          <w:bCs/>
          <w:color w:val="002060"/>
          <w:sz w:val="16"/>
          <w:szCs w:val="16"/>
          <w:lang w:val="en-US"/>
        </w:rPr>
        <w:t>BOB</w:t>
      </w:r>
      <w:r w:rsidRPr="00405303">
        <w:rPr>
          <w:bCs/>
          <w:color w:val="002060"/>
          <w:sz w:val="16"/>
          <w:szCs w:val="16"/>
        </w:rPr>
        <w:t>)- Н.А. Борисов, (04.1943г.)- Т.И. Агафин. Начальник (-11.1943-48г.)- Т.Н. Агафин. Директор (1951-65г.)- А.В. Поляков, (1965-76г.)- З.М. Хамадеев. И.О. директора (1.03.2004г.-)- О.В. Вавилов.</w:t>
      </w:r>
    </w:p>
    <w:p w14:paraId="67270818" w14:textId="77777777" w:rsidR="004B4E35" w:rsidRPr="00405303" w:rsidRDefault="009E6F82" w:rsidP="00C15251">
      <w:pPr>
        <w:jc w:val="both"/>
        <w:rPr>
          <w:bCs/>
          <w:color w:val="002060"/>
          <w:sz w:val="16"/>
          <w:szCs w:val="16"/>
        </w:rPr>
      </w:pPr>
      <w:r w:rsidRPr="00405303">
        <w:rPr>
          <w:bCs/>
          <w:color w:val="002060"/>
          <w:sz w:val="16"/>
          <w:szCs w:val="16"/>
        </w:rPr>
        <w:t>Зам. директора (06.1937г.)- Г.И. Савин. Помощник директора: по найму и увольнению (06.1937г.)- Д.А. Соколов; по финансово-хозяйственной части (02.1938г.)- А.Ф. Брагин.</w:t>
      </w:r>
    </w:p>
    <w:p w14:paraId="5F6E74B5" w14:textId="77777777" w:rsidR="004B4E35" w:rsidRPr="00405303" w:rsidRDefault="009E6F82" w:rsidP="00C15251">
      <w:pPr>
        <w:jc w:val="both"/>
        <w:rPr>
          <w:bCs/>
          <w:color w:val="002060"/>
          <w:sz w:val="16"/>
          <w:szCs w:val="16"/>
        </w:rPr>
      </w:pPr>
      <w:r w:rsidRPr="00405303">
        <w:rPr>
          <w:bCs/>
          <w:color w:val="002060"/>
          <w:sz w:val="16"/>
          <w:szCs w:val="16"/>
        </w:rPr>
        <w:t>Гл. инженер (06.1937г.)- Г.И. Савин, (23.11.1937-4.10.1938г.)- А.Ф. Черняев, (4.10.1938г.-)- В.Я. Шибанов, (04.1943г.)- Локонцев.</w:t>
      </w:r>
    </w:p>
    <w:p w14:paraId="2B80247D" w14:textId="77777777" w:rsidR="004B4E35" w:rsidRPr="00405303" w:rsidRDefault="009E6F82" w:rsidP="00C15251">
      <w:pPr>
        <w:jc w:val="both"/>
        <w:rPr>
          <w:bCs/>
          <w:color w:val="002060"/>
          <w:sz w:val="16"/>
          <w:szCs w:val="16"/>
        </w:rPr>
      </w:pPr>
      <w:r w:rsidRPr="00405303">
        <w:rPr>
          <w:bCs/>
          <w:color w:val="002060"/>
          <w:sz w:val="16"/>
          <w:szCs w:val="16"/>
        </w:rPr>
        <w:t>Начальники цехов: 1-го (02.1938г.)- В.Я. Шибанов; 5-го (02.1938г.)- Иванов; станкоинструментального (1957г.)- А.Н. Бунчин; (ВОВ)- А.Е. Ямсков.</w:t>
      </w:r>
    </w:p>
    <w:p w14:paraId="6E0495FD" w14:textId="77777777" w:rsidR="004B4E35" w:rsidRPr="00405303" w:rsidRDefault="009E6F82" w:rsidP="00C15251">
      <w:pPr>
        <w:jc w:val="both"/>
        <w:rPr>
          <w:bCs/>
          <w:color w:val="002060"/>
          <w:sz w:val="16"/>
          <w:szCs w:val="16"/>
        </w:rPr>
      </w:pPr>
      <w:r w:rsidRPr="00405303">
        <w:rPr>
          <w:bCs/>
          <w:color w:val="002060"/>
          <w:sz w:val="16"/>
          <w:szCs w:val="16"/>
        </w:rPr>
        <w:t>Начальники отделов: конструкторско-технологического- К.А. Митин; технологического НИО (1980-е)- В.В. Малюшин; ППО (04.1943г.)- Калошин; ОТК (02.1938г.)- Д.Д. Кондратов.</w:t>
      </w:r>
    </w:p>
    <w:p w14:paraId="40FB0F29" w14:textId="77777777" w:rsidR="004B4E35" w:rsidRPr="00405303" w:rsidRDefault="009E6F82" w:rsidP="00C15251">
      <w:pPr>
        <w:jc w:val="both"/>
        <w:rPr>
          <w:bCs/>
          <w:color w:val="002060"/>
          <w:sz w:val="16"/>
          <w:szCs w:val="16"/>
        </w:rPr>
      </w:pPr>
      <w:r w:rsidRPr="00405303">
        <w:rPr>
          <w:bCs/>
          <w:color w:val="002060"/>
          <w:sz w:val="16"/>
          <w:szCs w:val="16"/>
        </w:rPr>
        <w:t>Руководители групп: конструкторской по инструментам- И.Ф. Грунин; конструкторской (1950-е)- А.В. Волков, (1950-е)- В.И. Калинин, (1950-е)- Б.С. Малашенко.</w:t>
      </w:r>
    </w:p>
    <w:p w14:paraId="7A81624C" w14:textId="77777777" w:rsidR="004B4E35" w:rsidRPr="00405303" w:rsidRDefault="009E6F82" w:rsidP="00C15251">
      <w:pPr>
        <w:jc w:val="both"/>
        <w:rPr>
          <w:bCs/>
          <w:color w:val="002060"/>
          <w:sz w:val="16"/>
          <w:szCs w:val="16"/>
        </w:rPr>
      </w:pPr>
      <w:r w:rsidRPr="00405303">
        <w:rPr>
          <w:bCs/>
          <w:i/>
          <w:color w:val="002060"/>
          <w:sz w:val="16"/>
          <w:szCs w:val="16"/>
        </w:rPr>
        <w:t>Производство: гранаты:</w:t>
      </w:r>
      <w:r w:rsidRPr="00405303">
        <w:rPr>
          <w:bCs/>
          <w:color w:val="002060"/>
          <w:sz w:val="16"/>
          <w:szCs w:val="16"/>
        </w:rPr>
        <w:t xml:space="preserve"> РГ-14 (1916-), РПГ-6, РГД-33 (ВОВ), Ф-1, РПГ-40, РГ-42 (1943), противотанковая ПГ-2;</w:t>
      </w:r>
      <w:r w:rsidRPr="00405303">
        <w:rPr>
          <w:bCs/>
          <w:i/>
          <w:color w:val="002060"/>
          <w:sz w:val="16"/>
          <w:szCs w:val="16"/>
        </w:rPr>
        <w:t xml:space="preserve"> дымовые шашки:</w:t>
      </w:r>
      <w:r w:rsidRPr="00405303">
        <w:rPr>
          <w:bCs/>
          <w:color w:val="002060"/>
          <w:sz w:val="16"/>
          <w:szCs w:val="16"/>
        </w:rPr>
        <w:t xml:space="preserve"> посадочные: черного дыма (1940)- 100 тыс., белого дыма (1940)- 100 тыс., оранжевого дыма (1940)- 75 тыс.; сигнальные (1943); </w:t>
      </w:r>
      <w:r w:rsidRPr="00405303">
        <w:rPr>
          <w:bCs/>
          <w:color w:val="002060"/>
          <w:sz w:val="16"/>
          <w:szCs w:val="16"/>
          <w:lang w:val="en-US"/>
        </w:rPr>
        <w:t>PC</w:t>
      </w:r>
      <w:r w:rsidRPr="00405303">
        <w:rPr>
          <w:bCs/>
          <w:color w:val="002060"/>
          <w:sz w:val="16"/>
          <w:szCs w:val="16"/>
        </w:rPr>
        <w:t xml:space="preserve"> М-13 (1941-42); МД-2, запал УЗРГ; АГ-2, ПП-4, ПР-8, ПР-4; бомбы: ЗАБ-100-65, ЗАБ-ТГ-50, ЗАБ-2,5, САБ-50-15 (1943);</w:t>
      </w:r>
      <w:r w:rsidRPr="00405303">
        <w:rPr>
          <w:bCs/>
          <w:i/>
          <w:color w:val="002060"/>
          <w:sz w:val="16"/>
          <w:szCs w:val="16"/>
        </w:rPr>
        <w:t xml:space="preserve"> патроны:</w:t>
      </w:r>
      <w:r w:rsidRPr="00405303">
        <w:rPr>
          <w:bCs/>
          <w:color w:val="002060"/>
          <w:sz w:val="16"/>
          <w:szCs w:val="16"/>
        </w:rPr>
        <w:t xml:space="preserve"> П-7, П-25, ТШ-300 (1943);</w:t>
      </w:r>
      <w:r w:rsidRPr="00405303">
        <w:rPr>
          <w:bCs/>
          <w:color w:val="002060"/>
          <w:sz w:val="16"/>
          <w:szCs w:val="16"/>
          <w:vertAlign w:val="superscript"/>
        </w:rPr>
        <w:t>ш</w:t>
      </w:r>
      <w:r w:rsidRPr="00405303">
        <w:rPr>
          <w:bCs/>
          <w:color w:val="002060"/>
          <w:sz w:val="16"/>
          <w:szCs w:val="16"/>
        </w:rPr>
        <w:t xml:space="preserve"> спортивные; сигнальные (2005); для гладкоствольных ружей «Супер рекорд», «Лидер», Магнум» (2005);</w:t>
      </w:r>
      <w:r w:rsidRPr="00405303">
        <w:rPr>
          <w:bCs/>
          <w:color w:val="002060"/>
          <w:sz w:val="16"/>
          <w:szCs w:val="16"/>
          <w:vertAlign w:val="superscript"/>
        </w:rPr>
        <w:t>101</w:t>
      </w:r>
      <w:r w:rsidRPr="00405303">
        <w:rPr>
          <w:bCs/>
          <w:color w:val="002060"/>
          <w:sz w:val="16"/>
          <w:szCs w:val="16"/>
        </w:rPr>
        <w:t xml:space="preserve"> мины: 82-мм и 120- мм осветительные и зажигательные (1970-е); противоградовые изделия: «Облако-М», ПИГМ, «Алазань-М, -2М»; автоматические роторные линии: ЛКГ-116 (1972-78)- 10, ЛУП-И-6 (1984)- 3; изделия: «Слет», «Гроздь» (1988-); реактивные огнеметы РПО-А, РПО-3, РПО-Д (2004); трассирующие стаканчики (1938); установка УВЧ-300; карманные фонари ФКБ-6 (1972-), ФКБ-7 (1973-); ложки, школьные пеналы, детские игрушки, люстры, подсвечники, сантехническая арматура (1980-е-90-е) (11982).</w:t>
      </w:r>
    </w:p>
    <w:p w14:paraId="50A4E59C" w14:textId="77777777" w:rsidR="004B4E35" w:rsidRPr="00405303" w:rsidRDefault="004B4E35" w:rsidP="00C15251">
      <w:pPr>
        <w:jc w:val="both"/>
        <w:rPr>
          <w:bCs/>
          <w:color w:val="002060"/>
          <w:sz w:val="16"/>
          <w:szCs w:val="16"/>
        </w:rPr>
      </w:pPr>
    </w:p>
    <w:p w14:paraId="7A788264" w14:textId="7FD2EC86" w:rsidR="007908C7" w:rsidRPr="00405303" w:rsidRDefault="007908C7" w:rsidP="00C15251">
      <w:pPr>
        <w:jc w:val="both"/>
        <w:rPr>
          <w:bCs/>
          <w:color w:val="002060"/>
          <w:sz w:val="16"/>
          <w:szCs w:val="16"/>
        </w:rPr>
      </w:pPr>
      <w:r w:rsidRPr="00405303">
        <w:rPr>
          <w:bCs/>
          <w:color w:val="002060"/>
          <w:sz w:val="16"/>
          <w:szCs w:val="16"/>
        </w:rPr>
        <w:t>4 (17) июля 1915 г. Особое совещание по обороне обсудило вопрос, что делать с секвестрованными предприятиями, и пришло к заключению, что их можно передавать в распо</w:t>
      </w:r>
      <w:r w:rsidRPr="00405303">
        <w:rPr>
          <w:bCs/>
          <w:color w:val="002060"/>
          <w:sz w:val="16"/>
          <w:szCs w:val="16"/>
        </w:rPr>
        <w:softHyphen/>
        <w:t>ряжение тех общественных организаций и частных лиц, какие будут об этом просить. Возникало, однако, опасение, что отобранное имущество попадет в руки «не заслужива</w:t>
      </w:r>
      <w:r w:rsidRPr="00405303">
        <w:rPr>
          <w:bCs/>
          <w:color w:val="002060"/>
          <w:sz w:val="16"/>
          <w:szCs w:val="16"/>
        </w:rPr>
        <w:softHyphen/>
        <w:t>ющих доверия лиц и организаций». Признав, что нужен специальный закон, определяющий порядок таких дей</w:t>
      </w:r>
      <w:r w:rsidRPr="00405303">
        <w:rPr>
          <w:bCs/>
          <w:color w:val="002060"/>
          <w:sz w:val="16"/>
          <w:szCs w:val="16"/>
        </w:rPr>
        <w:softHyphen/>
        <w:t>ствий, совещание решило просить главноуправляющего землеустройством и земледелием А.В. Кривошеина по со</w:t>
      </w:r>
      <w:r w:rsidRPr="00405303">
        <w:rPr>
          <w:bCs/>
          <w:color w:val="002060"/>
          <w:sz w:val="16"/>
          <w:szCs w:val="16"/>
        </w:rPr>
        <w:softHyphen/>
        <w:t>глашению с министром торговли и промышленности под</w:t>
      </w:r>
      <w:r w:rsidRPr="00405303">
        <w:rPr>
          <w:bCs/>
          <w:color w:val="002060"/>
          <w:sz w:val="16"/>
          <w:szCs w:val="16"/>
        </w:rPr>
        <w:softHyphen/>
        <w:t>готовить законопроект о порядке управления секвестрован</w:t>
      </w:r>
      <w:r w:rsidRPr="00405303">
        <w:rPr>
          <w:bCs/>
          <w:color w:val="002060"/>
          <w:sz w:val="16"/>
          <w:szCs w:val="16"/>
        </w:rPr>
        <w:softHyphen/>
        <w:t>ными предприятиями (23452).</w:t>
      </w:r>
    </w:p>
    <w:p w14:paraId="7C2F4151" w14:textId="77777777" w:rsidR="007908C7" w:rsidRPr="00405303" w:rsidRDefault="007908C7" w:rsidP="00C15251">
      <w:pPr>
        <w:jc w:val="both"/>
        <w:rPr>
          <w:bCs/>
          <w:color w:val="002060"/>
          <w:sz w:val="16"/>
          <w:szCs w:val="16"/>
          <w:lang w:bidi="ru-RU"/>
        </w:rPr>
      </w:pPr>
    </w:p>
    <w:p w14:paraId="4F595F71" w14:textId="195E3EEE" w:rsidR="007908C7" w:rsidRPr="00405303" w:rsidRDefault="007908C7" w:rsidP="00C15251">
      <w:pPr>
        <w:jc w:val="both"/>
        <w:rPr>
          <w:bCs/>
          <w:color w:val="002060"/>
          <w:sz w:val="16"/>
          <w:szCs w:val="16"/>
        </w:rPr>
      </w:pPr>
      <w:r w:rsidRPr="00405303">
        <w:rPr>
          <w:bCs/>
          <w:color w:val="002060"/>
          <w:sz w:val="16"/>
          <w:szCs w:val="16"/>
        </w:rPr>
        <w:t>4 (17) июля 1915 г. было получено требование Николая II пред</w:t>
      </w:r>
      <w:r w:rsidRPr="00405303">
        <w:rPr>
          <w:bCs/>
          <w:color w:val="002060"/>
          <w:sz w:val="16"/>
          <w:szCs w:val="16"/>
        </w:rPr>
        <w:softHyphen/>
        <w:t>ставить сведения о ходе ружейного производства, в ответ на которой Беляев доложил, что «в июне 1914 г., по выполнении данных в мирное время заказов, наши ружей</w:t>
      </w:r>
      <w:r w:rsidRPr="00405303">
        <w:rPr>
          <w:bCs/>
          <w:color w:val="002060"/>
          <w:sz w:val="16"/>
          <w:szCs w:val="16"/>
        </w:rPr>
        <w:softHyphen/>
        <w:t>ные заводы изготовили менее 1000 винтовок. Другими сло</w:t>
      </w:r>
      <w:r w:rsidRPr="00405303">
        <w:rPr>
          <w:bCs/>
          <w:color w:val="002060"/>
          <w:sz w:val="16"/>
          <w:szCs w:val="16"/>
        </w:rPr>
        <w:softHyphen/>
        <w:t>вами, к открытию военных действий казенные заводы поч</w:t>
      </w:r>
      <w:r w:rsidRPr="00405303">
        <w:rPr>
          <w:bCs/>
          <w:color w:val="002060"/>
          <w:sz w:val="16"/>
          <w:szCs w:val="16"/>
        </w:rPr>
        <w:softHyphen/>
        <w:t xml:space="preserve">ти прекратили изготовление винтовок», а к июлю 1915 г. эти три завода довели месячный выпуск до 60 тысяч (Там же. Ф. 2000. </w:t>
      </w:r>
      <w:r w:rsidRPr="00405303">
        <w:rPr>
          <w:bCs/>
          <w:color w:val="002060"/>
          <w:sz w:val="16"/>
          <w:szCs w:val="16"/>
          <w:lang w:val="en-US" w:bidi="en-US"/>
        </w:rPr>
        <w:t>On</w:t>
      </w:r>
      <w:r w:rsidRPr="00405303">
        <w:rPr>
          <w:bCs/>
          <w:color w:val="002060"/>
          <w:sz w:val="16"/>
          <w:szCs w:val="16"/>
          <w:lang w:bidi="en-US"/>
        </w:rPr>
        <w:t xml:space="preserve">. </w:t>
      </w:r>
      <w:r w:rsidRPr="00405303">
        <w:rPr>
          <w:bCs/>
          <w:color w:val="002060"/>
          <w:sz w:val="16"/>
          <w:szCs w:val="16"/>
        </w:rPr>
        <w:t>1. Д. 4388. Л. 1, 4.) (23452).</w:t>
      </w:r>
    </w:p>
    <w:p w14:paraId="32AF5A21" w14:textId="77777777" w:rsidR="007908C7" w:rsidRPr="00405303" w:rsidRDefault="007908C7" w:rsidP="00C15251">
      <w:pPr>
        <w:jc w:val="both"/>
        <w:rPr>
          <w:bCs/>
          <w:color w:val="002060"/>
          <w:sz w:val="16"/>
          <w:szCs w:val="16"/>
          <w:lang w:bidi="ru-RU"/>
        </w:rPr>
      </w:pPr>
    </w:p>
    <w:p w14:paraId="4519E04D" w14:textId="04A40401" w:rsidR="001A5081" w:rsidRPr="00405303" w:rsidRDefault="001A5081" w:rsidP="00C15251">
      <w:pPr>
        <w:jc w:val="both"/>
        <w:rPr>
          <w:bCs/>
          <w:i/>
          <w:color w:val="002060"/>
          <w:sz w:val="16"/>
          <w:szCs w:val="16"/>
        </w:rPr>
      </w:pPr>
      <w:r w:rsidRPr="00405303">
        <w:rPr>
          <w:bCs/>
          <w:i/>
          <w:color w:val="002060"/>
          <w:sz w:val="16"/>
          <w:szCs w:val="16"/>
        </w:rPr>
        <w:t>Авиация:</w:t>
      </w:r>
    </w:p>
    <w:p w14:paraId="0CC6FB9C" w14:textId="77777777" w:rsidR="001A5081" w:rsidRPr="00405303" w:rsidRDefault="001A5081" w:rsidP="00C15251">
      <w:pPr>
        <w:jc w:val="both"/>
        <w:rPr>
          <w:bCs/>
          <w:i/>
          <w:color w:val="002060"/>
          <w:sz w:val="16"/>
          <w:szCs w:val="16"/>
        </w:rPr>
      </w:pPr>
    </w:p>
    <w:p w14:paraId="48AF476B" w14:textId="247667DB" w:rsidR="001A5081" w:rsidRPr="00405303" w:rsidRDefault="001A5081" w:rsidP="00C15251">
      <w:pPr>
        <w:jc w:val="both"/>
        <w:rPr>
          <w:bCs/>
          <w:color w:val="002060"/>
          <w:sz w:val="16"/>
          <w:szCs w:val="16"/>
        </w:rPr>
      </w:pPr>
      <w:r w:rsidRPr="00405303">
        <w:rPr>
          <w:bCs/>
          <w:color w:val="002060"/>
          <w:sz w:val="16"/>
          <w:szCs w:val="16"/>
        </w:rPr>
        <w:t>В период 4-7 (17-20) июля 1915 г. неприятельские аэропланы ежедневно появлялись над Митавой, осуществлявшие воздушную разведку наших военных объектов. При каждом их появлении русские зенитчики открывали интенсивный огонь на поражение. Один из таких обстрелов привел к уничтожению вражеского летательного аппарата. Позднее его остатки были доставлены в Митаву для дальнейшего использования в интересах отечественного самолетостроения (23405).</w:t>
      </w:r>
    </w:p>
    <w:p w14:paraId="0753B31C" w14:textId="77777777" w:rsidR="001A5081" w:rsidRPr="00405303" w:rsidRDefault="001A5081" w:rsidP="00C15251">
      <w:pPr>
        <w:jc w:val="both"/>
        <w:rPr>
          <w:bCs/>
          <w:color w:val="002060"/>
          <w:sz w:val="16"/>
          <w:szCs w:val="16"/>
          <w:lang w:bidi="ru-RU"/>
        </w:rPr>
      </w:pPr>
    </w:p>
    <w:p w14:paraId="7D1F7768" w14:textId="77777777" w:rsidR="00167923" w:rsidRPr="00405303" w:rsidRDefault="00167923" w:rsidP="00167923">
      <w:pPr>
        <w:widowControl w:val="0"/>
        <w:tabs>
          <w:tab w:val="left" w:pos="721"/>
        </w:tabs>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4 (17) июля 1915 г. при оставлении русскими войсками г. Жирардов германская авиация силами авиазвена бомбардировала его военные объекты, сбросив на них 15 бомб (25135).</w:t>
      </w:r>
    </w:p>
    <w:p w14:paraId="3B34CC90" w14:textId="77777777" w:rsidR="00167923" w:rsidRPr="00405303" w:rsidRDefault="00167923" w:rsidP="00167923">
      <w:pPr>
        <w:widowControl w:val="0"/>
        <w:tabs>
          <w:tab w:val="left" w:pos="721"/>
        </w:tabs>
        <w:jc w:val="both"/>
        <w:rPr>
          <w:rStyle w:val="aa"/>
          <w:rFonts w:ascii="Times New Roman" w:hAnsi="Times New Roman"/>
          <w:color w:val="0070C0"/>
          <w:spacing w:val="0"/>
          <w:sz w:val="16"/>
          <w:szCs w:val="16"/>
        </w:rPr>
      </w:pPr>
    </w:p>
    <w:p w14:paraId="61097001" w14:textId="0CBEBF8B"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421ACA81" w14:textId="77777777" w:rsidR="004B4E35" w:rsidRPr="00405303" w:rsidRDefault="004B4E35" w:rsidP="00C15251">
      <w:pPr>
        <w:jc w:val="both"/>
        <w:rPr>
          <w:bCs/>
          <w:i/>
          <w:color w:val="002060"/>
          <w:sz w:val="16"/>
          <w:szCs w:val="16"/>
        </w:rPr>
      </w:pPr>
    </w:p>
    <w:p w14:paraId="2AD943CA" w14:textId="174A53CE" w:rsidR="004B4E35" w:rsidRPr="00405303" w:rsidRDefault="009E6F82" w:rsidP="00C15251">
      <w:pPr>
        <w:jc w:val="both"/>
        <w:rPr>
          <w:bCs/>
          <w:color w:val="002060"/>
          <w:sz w:val="16"/>
          <w:szCs w:val="16"/>
        </w:rPr>
      </w:pPr>
      <w:bookmarkStart w:id="180" w:name="_Hlk117685863"/>
      <w:r w:rsidRPr="00405303">
        <w:rPr>
          <w:bCs/>
          <w:color w:val="002060"/>
          <w:sz w:val="16"/>
          <w:szCs w:val="16"/>
        </w:rPr>
        <w:t xml:space="preserve">4 </w:t>
      </w:r>
      <w:r w:rsidR="008C6E63" w:rsidRPr="00405303">
        <w:rPr>
          <w:bCs/>
          <w:color w:val="002060"/>
          <w:sz w:val="16"/>
          <w:szCs w:val="16"/>
        </w:rPr>
        <w:t xml:space="preserve">(17) </w:t>
      </w:r>
      <w:r w:rsidRPr="00405303">
        <w:rPr>
          <w:bCs/>
          <w:color w:val="002060"/>
          <w:sz w:val="16"/>
          <w:szCs w:val="16"/>
        </w:rPr>
        <w:t xml:space="preserve">июля </w:t>
      </w:r>
      <w:r w:rsidR="008C6E63" w:rsidRPr="00405303">
        <w:rPr>
          <w:bCs/>
          <w:color w:val="002060"/>
          <w:sz w:val="16"/>
          <w:szCs w:val="16"/>
        </w:rPr>
        <w:t xml:space="preserve">1915 г. </w:t>
      </w:r>
      <w:r w:rsidRPr="00405303">
        <w:rPr>
          <w:bCs/>
          <w:color w:val="002060"/>
          <w:sz w:val="16"/>
          <w:szCs w:val="16"/>
        </w:rPr>
        <w:t>самолеты «Орлицы» прикры</w:t>
      </w:r>
      <w:r w:rsidRPr="00405303">
        <w:rPr>
          <w:bCs/>
          <w:color w:val="002060"/>
          <w:sz w:val="16"/>
          <w:szCs w:val="16"/>
        </w:rPr>
        <w:softHyphen/>
        <w:t>вали с воздуха линкор «Слава» и несколько миноносцев, ведущих обстрел немецких береговых бата</w:t>
      </w:r>
      <w:r w:rsidRPr="00405303">
        <w:rPr>
          <w:bCs/>
          <w:color w:val="002060"/>
          <w:sz w:val="16"/>
          <w:szCs w:val="16"/>
        </w:rPr>
        <w:softHyphen/>
        <w:t>рей у мыса Рагоцен. В ходе опера</w:t>
      </w:r>
      <w:r w:rsidRPr="00405303">
        <w:rPr>
          <w:bCs/>
          <w:color w:val="002060"/>
          <w:sz w:val="16"/>
          <w:szCs w:val="16"/>
        </w:rPr>
        <w:softHyphen/>
        <w:t>ции четверку русских М-9 атакова</w:t>
      </w:r>
      <w:r w:rsidRPr="00405303">
        <w:rPr>
          <w:bCs/>
          <w:color w:val="002060"/>
          <w:sz w:val="16"/>
          <w:szCs w:val="16"/>
        </w:rPr>
        <w:softHyphen/>
        <w:t>ли 4 вражеских гидроплана с не</w:t>
      </w:r>
      <w:r w:rsidRPr="00405303">
        <w:rPr>
          <w:bCs/>
          <w:color w:val="002060"/>
          <w:sz w:val="16"/>
          <w:szCs w:val="16"/>
        </w:rPr>
        <w:softHyphen/>
        <w:t>мецкого авиатранспорта «СПпс1ег», однако два из них были сбиты воз</w:t>
      </w:r>
      <w:r w:rsidRPr="00405303">
        <w:rPr>
          <w:bCs/>
          <w:color w:val="002060"/>
          <w:sz w:val="16"/>
          <w:szCs w:val="16"/>
        </w:rPr>
        <w:softHyphen/>
        <w:t>душными стрелками «девяток». Под</w:t>
      </w:r>
      <w:r w:rsidRPr="00405303">
        <w:rPr>
          <w:bCs/>
          <w:color w:val="002060"/>
          <w:sz w:val="16"/>
          <w:szCs w:val="16"/>
        </w:rPr>
        <w:softHyphen/>
        <w:t>нятые из воды немецкие пилоты рассказали, что целью их нападе</w:t>
      </w:r>
      <w:r w:rsidRPr="00405303">
        <w:rPr>
          <w:bCs/>
          <w:color w:val="002060"/>
          <w:sz w:val="16"/>
          <w:szCs w:val="16"/>
        </w:rPr>
        <w:softHyphen/>
        <w:t>ния являлось уничтожение «Орли</w:t>
      </w:r>
      <w:r w:rsidRPr="00405303">
        <w:rPr>
          <w:bCs/>
          <w:color w:val="002060"/>
          <w:sz w:val="16"/>
          <w:szCs w:val="16"/>
        </w:rPr>
        <w:softHyphen/>
        <w:t>цы», как наиболее досаждающего своими действиями корабля.</w:t>
      </w:r>
    </w:p>
    <w:p w14:paraId="6C0A5FAB" w14:textId="77777777" w:rsidR="004B4E35" w:rsidRPr="00405303" w:rsidRDefault="009E6F82" w:rsidP="00C15251">
      <w:pPr>
        <w:jc w:val="both"/>
        <w:rPr>
          <w:bCs/>
          <w:color w:val="002060"/>
          <w:sz w:val="16"/>
          <w:szCs w:val="16"/>
        </w:rPr>
      </w:pPr>
      <w:r w:rsidRPr="00405303">
        <w:rPr>
          <w:bCs/>
          <w:color w:val="002060"/>
          <w:sz w:val="16"/>
          <w:szCs w:val="16"/>
        </w:rPr>
        <w:t>Начиная с 1916 г. немцы во все возрастающих масштабах стали привлекать к действиям против рус</w:t>
      </w:r>
      <w:r w:rsidRPr="00405303">
        <w:rPr>
          <w:bCs/>
          <w:color w:val="002060"/>
          <w:sz w:val="16"/>
          <w:szCs w:val="16"/>
        </w:rPr>
        <w:softHyphen/>
        <w:t>ских кораблей, береговых станций и авиации свои сухопутные само</w:t>
      </w:r>
      <w:r w:rsidRPr="00405303">
        <w:rPr>
          <w:bCs/>
          <w:color w:val="002060"/>
          <w:sz w:val="16"/>
          <w:szCs w:val="16"/>
        </w:rPr>
        <w:softHyphen/>
        <w:t>леты. Численное преимущество про</w:t>
      </w:r>
      <w:r w:rsidRPr="00405303">
        <w:rPr>
          <w:bCs/>
          <w:color w:val="002060"/>
          <w:sz w:val="16"/>
          <w:szCs w:val="16"/>
        </w:rPr>
        <w:softHyphen/>
        <w:t>тивника к лету 1917 г. стало подав</w:t>
      </w:r>
      <w:r w:rsidRPr="00405303">
        <w:rPr>
          <w:bCs/>
          <w:color w:val="002060"/>
          <w:sz w:val="16"/>
          <w:szCs w:val="16"/>
        </w:rPr>
        <w:softHyphen/>
        <w:t>ляющим. Листая сводки боевых до</w:t>
      </w:r>
      <w:r w:rsidRPr="00405303">
        <w:rPr>
          <w:bCs/>
          <w:color w:val="002060"/>
          <w:sz w:val="16"/>
          <w:szCs w:val="16"/>
        </w:rPr>
        <w:softHyphen/>
        <w:t>несений, можно увидеть, что немец</w:t>
      </w:r>
      <w:r w:rsidRPr="00405303">
        <w:rPr>
          <w:bCs/>
          <w:color w:val="002060"/>
          <w:sz w:val="16"/>
          <w:szCs w:val="16"/>
        </w:rPr>
        <w:softHyphen/>
        <w:t>кие самолеты буквально каждые пять минут осуществляли бомбежку и обстрел русских позиций, вели не</w:t>
      </w:r>
      <w:r w:rsidRPr="00405303">
        <w:rPr>
          <w:bCs/>
          <w:color w:val="002060"/>
          <w:sz w:val="16"/>
          <w:szCs w:val="16"/>
        </w:rPr>
        <w:softHyphen/>
        <w:t>устанное воздушное патрулирова</w:t>
      </w:r>
      <w:r w:rsidRPr="00405303">
        <w:rPr>
          <w:bCs/>
          <w:color w:val="002060"/>
          <w:sz w:val="16"/>
          <w:szCs w:val="16"/>
        </w:rPr>
        <w:softHyphen/>
        <w:t>ние и охотно вступали в воздушные бои. Напряженность боевой обста</w:t>
      </w:r>
      <w:r w:rsidRPr="00405303">
        <w:rPr>
          <w:bCs/>
          <w:color w:val="002060"/>
          <w:sz w:val="16"/>
          <w:szCs w:val="16"/>
        </w:rPr>
        <w:softHyphen/>
        <w:t>новки можно иллюстрировать сле</w:t>
      </w:r>
      <w:r w:rsidRPr="00405303">
        <w:rPr>
          <w:bCs/>
          <w:color w:val="002060"/>
          <w:sz w:val="16"/>
          <w:szCs w:val="16"/>
        </w:rPr>
        <w:softHyphen/>
        <w:t>дующим фактом: мичман Зайцевс- кий, отчаявшись отбиться в воздухе от численно превосходящего про</w:t>
      </w:r>
      <w:r w:rsidRPr="00405303">
        <w:rPr>
          <w:bCs/>
          <w:color w:val="002060"/>
          <w:sz w:val="16"/>
          <w:szCs w:val="16"/>
        </w:rPr>
        <w:softHyphen/>
        <w:t>тивника, вынужден был посадить свою лодку в небольшую бухту, снять пулемет и отстреливаться от нем</w:t>
      </w:r>
      <w:r w:rsidRPr="00405303">
        <w:rPr>
          <w:bCs/>
          <w:color w:val="002060"/>
          <w:sz w:val="16"/>
          <w:szCs w:val="16"/>
        </w:rPr>
        <w:softHyphen/>
        <w:t>цев из-за гранитных валунов (12088).</w:t>
      </w:r>
    </w:p>
    <w:p w14:paraId="6505014E" w14:textId="77777777" w:rsidR="004B4E35" w:rsidRPr="00405303" w:rsidRDefault="004B4E35" w:rsidP="00C15251">
      <w:pPr>
        <w:jc w:val="both"/>
        <w:rPr>
          <w:bCs/>
          <w:color w:val="002060"/>
          <w:sz w:val="16"/>
          <w:szCs w:val="16"/>
        </w:rPr>
      </w:pPr>
    </w:p>
    <w:bookmarkEnd w:id="180"/>
    <w:p w14:paraId="0C0FF39E"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5B01A58D" w14:textId="77777777" w:rsidR="004B4E35" w:rsidRPr="00405303" w:rsidRDefault="004B4E35" w:rsidP="00C15251">
      <w:pPr>
        <w:jc w:val="both"/>
        <w:rPr>
          <w:bCs/>
          <w:i/>
          <w:color w:val="002060"/>
          <w:sz w:val="16"/>
          <w:szCs w:val="16"/>
        </w:rPr>
      </w:pPr>
    </w:p>
    <w:p w14:paraId="6938F20E" w14:textId="0E2E0A29"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5 </w:t>
      </w:r>
      <w:r w:rsidR="00511560" w:rsidRPr="00405303">
        <w:rPr>
          <w:bCs/>
          <w:color w:val="002060"/>
          <w:sz w:val="16"/>
          <w:szCs w:val="16"/>
        </w:rPr>
        <w:t xml:space="preserve">(18) </w:t>
      </w:r>
      <w:r w:rsidRPr="00405303">
        <w:rPr>
          <w:bCs/>
          <w:color w:val="002060"/>
          <w:sz w:val="16"/>
          <w:szCs w:val="16"/>
        </w:rPr>
        <w:t>июля 1915 г. была подготовлена Записка Ю. П. Гужона «Мобилизация промышленности»</w:t>
      </w:r>
    </w:p>
    <w:p w14:paraId="48AAE92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Частное промышленное хозяйство, не стесненное излишними формальностями и ненужной канцелярщиной, разъедающей казенную промышленность, более подвижно и более продуктивно последней.</w:t>
      </w:r>
    </w:p>
    <w:p w14:paraId="5FBECCB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Нельзя поэтому не приветствовать [того], что русское правительство в переживаемый нами исторический момент по примеру Франции и Англии обратилось к частным фаб</w:t>
      </w:r>
      <w:r w:rsidRPr="00405303">
        <w:rPr>
          <w:bCs/>
          <w:color w:val="002060"/>
          <w:sz w:val="16"/>
          <w:szCs w:val="16"/>
        </w:rPr>
        <w:softHyphen/>
        <w:t>рикам и заводам с призывом помочь ему в борьбе с жестоким врагом увеличением средств для обороны страны и организации победы. И я твердо уверен, что правительство в со</w:t>
      </w:r>
      <w:r w:rsidRPr="00405303">
        <w:rPr>
          <w:bCs/>
          <w:color w:val="002060"/>
          <w:sz w:val="16"/>
          <w:szCs w:val="16"/>
        </w:rPr>
        <w:softHyphen/>
        <w:t>юзе с народным трудом, наиболее ярко проявляющим себя в сфере частных промышлен</w:t>
      </w:r>
      <w:r w:rsidRPr="00405303">
        <w:rPr>
          <w:bCs/>
          <w:color w:val="002060"/>
          <w:sz w:val="16"/>
          <w:szCs w:val="16"/>
        </w:rPr>
        <w:softHyphen/>
        <w:t>ных заведений, приведет государство к несомненному успеху и полному торжеству.</w:t>
      </w:r>
    </w:p>
    <w:p w14:paraId="35BF682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Однако, дабы прозвучавший лозунг— «Мобилизация промышленности» — не остал</w:t>
      </w:r>
      <w:r w:rsidRPr="00405303">
        <w:rPr>
          <w:bCs/>
          <w:color w:val="002060"/>
          <w:sz w:val="16"/>
          <w:szCs w:val="16"/>
        </w:rPr>
        <w:softHyphen/>
        <w:t>ся только красивым словом, необходимо незамедлительно, с первых же шагов совершаю</w:t>
      </w:r>
      <w:r w:rsidRPr="00405303">
        <w:rPr>
          <w:bCs/>
          <w:color w:val="002060"/>
          <w:sz w:val="16"/>
          <w:szCs w:val="16"/>
        </w:rPr>
        <w:softHyphen/>
        <w:t>щегося промышленного объединения, принять, между прочими, несколько кардиналь</w:t>
      </w:r>
      <w:r w:rsidRPr="00405303">
        <w:rPr>
          <w:bCs/>
          <w:color w:val="002060"/>
          <w:sz w:val="16"/>
          <w:szCs w:val="16"/>
        </w:rPr>
        <w:softHyphen/>
        <w:t>ных мер, без непременного осуществления которых желания казны расширить и увели</w:t>
      </w:r>
      <w:r w:rsidRPr="00405303">
        <w:rPr>
          <w:bCs/>
          <w:color w:val="002060"/>
          <w:sz w:val="16"/>
          <w:szCs w:val="16"/>
        </w:rPr>
        <w:softHyphen/>
        <w:t>чить производство предметов, требующихся для нужд армии и флота, равно как готов</w:t>
      </w:r>
      <w:r w:rsidRPr="00405303">
        <w:rPr>
          <w:bCs/>
          <w:color w:val="002060"/>
          <w:sz w:val="16"/>
          <w:szCs w:val="16"/>
        </w:rPr>
        <w:softHyphen/>
        <w:t>ность промышленников сделать все возможное для достижения этой неотложной надобности, не приведут к каким-либо серьезным видимым результатам по снабжению рус</w:t>
      </w:r>
      <w:r w:rsidRPr="00405303">
        <w:rPr>
          <w:bCs/>
          <w:color w:val="002060"/>
          <w:sz w:val="16"/>
          <w:szCs w:val="16"/>
        </w:rPr>
        <w:softHyphen/>
        <w:t>ского доблестного войска всем тем, что настоятельно важно для решительного удара и успеха русского оружия.</w:t>
      </w:r>
    </w:p>
    <w:p w14:paraId="0B0AC54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Принятие и осуществление таких мер всецело зависят от правительства, и я крайне опасаюсь, что в случае их игнорирования недостижение намеченных целей несправед</w:t>
      </w:r>
      <w:r w:rsidRPr="00405303">
        <w:rPr>
          <w:bCs/>
          <w:color w:val="002060"/>
          <w:sz w:val="16"/>
          <w:szCs w:val="16"/>
        </w:rPr>
        <w:softHyphen/>
        <w:t>ливо может быть приписано промышленности, которая заранее, поэтому, должна власть о сем предупредить.</w:t>
      </w:r>
    </w:p>
    <w:p w14:paraId="373F285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Наиглавнейшими из подлежащих мероприятий представляются следующие:</w:t>
      </w:r>
    </w:p>
    <w:p w14:paraId="0CFB222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Надлежит признать, что кадры умелых, квалифицированных рабочих составляют неотъемлемую принадлежность промышленного заведения. После забора запасных, после преждевременного набора молодых людей, призванных раньше очереди к отбыва</w:t>
      </w:r>
      <w:r w:rsidRPr="00405303">
        <w:rPr>
          <w:bCs/>
          <w:color w:val="002060"/>
          <w:sz w:val="16"/>
          <w:szCs w:val="16"/>
        </w:rPr>
        <w:softHyphen/>
        <w:t>нию воинской повинности, и после призыва ратников ополчения число рабочих рук сильно сократилось, и не приходится говорить об увеличении оборудования и установке новых механизмов, когда даже существующие станки остаются без работы за отсутствием живой силы. Естественно, что затраты на расширение деятельности заводов должны будут оказаться непроизводительными. Отсюда вытекает прямое повелительное реше</w:t>
      </w:r>
      <w:r w:rsidRPr="00405303">
        <w:rPr>
          <w:bCs/>
          <w:color w:val="002060"/>
          <w:sz w:val="16"/>
          <w:szCs w:val="16"/>
        </w:rPr>
        <w:softHyphen/>
        <w:t>ние вернуть обратно — по указанию работающих непосредственно или косвенно на нуж</w:t>
      </w:r>
      <w:r w:rsidRPr="00405303">
        <w:rPr>
          <w:bCs/>
          <w:color w:val="002060"/>
          <w:sz w:val="16"/>
          <w:szCs w:val="16"/>
        </w:rPr>
        <w:softHyphen/>
        <w:t xml:space="preserve">ды обороны промышленников </w:t>
      </w:r>
      <w:r w:rsidRPr="00405303">
        <w:rPr>
          <w:bCs/>
          <w:color w:val="002060"/>
          <w:sz w:val="16"/>
          <w:szCs w:val="16"/>
        </w:rPr>
        <w:lastRenderedPageBreak/>
        <w:t>— рабочих и служащих, призванных в действующую ар</w:t>
      </w:r>
      <w:r w:rsidRPr="00405303">
        <w:rPr>
          <w:bCs/>
          <w:color w:val="002060"/>
          <w:sz w:val="16"/>
          <w:szCs w:val="16"/>
        </w:rPr>
        <w:softHyphen/>
        <w:t>мию, и, откомандировав их в качестве военнообязанных на соответствующие фабрики и заводы, увеличить количество умелых и специальных фабрично-заводских работников.</w:t>
      </w:r>
    </w:p>
    <w:p w14:paraId="195A849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Мне известно, что указанная мера милитаризации встречает некоторые возражения. Говорят, она вызовет неудовольствие в войсках и в самой стране.</w:t>
      </w:r>
    </w:p>
    <w:p w14:paraId="409C8A50" w14:textId="77777777" w:rsidR="004B4E35" w:rsidRPr="00405303" w:rsidRDefault="009E6F82" w:rsidP="00C15251">
      <w:pPr>
        <w:shd w:val="clear" w:color="auto" w:fill="FFFFFF"/>
        <w:jc w:val="both"/>
        <w:rPr>
          <w:bCs/>
          <w:color w:val="002060"/>
          <w:sz w:val="16"/>
          <w:szCs w:val="16"/>
        </w:rPr>
      </w:pPr>
      <w:proofErr w:type="gramStart"/>
      <w:r w:rsidRPr="00405303">
        <w:rPr>
          <w:bCs/>
          <w:color w:val="002060"/>
          <w:sz w:val="16"/>
          <w:szCs w:val="16"/>
        </w:rPr>
        <w:t>Опасение это</w:t>
      </w:r>
      <w:proofErr w:type="gramEnd"/>
      <w:r w:rsidRPr="00405303">
        <w:rPr>
          <w:bCs/>
          <w:color w:val="002060"/>
          <w:sz w:val="16"/>
          <w:szCs w:val="16"/>
        </w:rPr>
        <w:t xml:space="preserve"> неосновательно. Наоборот, настоятельная необходимость усиленного изготовления снарядов — факт столь неоспоримый и каждым на фронте находящимся лицом признанный, что все, от военачальников до рядового солдата единомыслят в при</w:t>
      </w:r>
      <w:r w:rsidRPr="00405303">
        <w:rPr>
          <w:bCs/>
          <w:color w:val="002060"/>
          <w:sz w:val="16"/>
          <w:szCs w:val="16"/>
        </w:rPr>
        <w:softHyphen/>
        <w:t>знании необходимости возвращения специалистов-рабочих к своим прежним заняти</w:t>
      </w:r>
      <w:r w:rsidRPr="00405303">
        <w:rPr>
          <w:bCs/>
          <w:color w:val="002060"/>
          <w:sz w:val="16"/>
          <w:szCs w:val="16"/>
        </w:rPr>
        <w:softHyphen/>
        <w:t>ям, ибо всем ясно, что без усиленной работы для армии на фабриках и заводах нельзя ожидать одоления врага на поле брани.</w:t>
      </w:r>
    </w:p>
    <w:p w14:paraId="5072FE8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Далее, указывают на невозможность разыскать рабочего, покинувшего завод и от</w:t>
      </w:r>
      <w:r w:rsidRPr="00405303">
        <w:rPr>
          <w:bCs/>
          <w:color w:val="002060"/>
          <w:sz w:val="16"/>
          <w:szCs w:val="16"/>
        </w:rPr>
        <w:softHyphen/>
        <w:t>правленного в разные части действующей армии.</w:t>
      </w:r>
    </w:p>
    <w:p w14:paraId="669B1DE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Но и это замечание несерьезно, и если только принято будет решение по просьбе владельцев промышленных предприятий откомандировать в их распоряжение нужных рабочих и мастеров, то последние будут ими разысканы, так как, платя ежемесячный паек семьям их, имеется полная возможность узнать их адреса и местопребывание.</w:t>
      </w:r>
    </w:p>
    <w:p w14:paraId="67D68B0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 Аккуратное и надлежащее выполнение заказов для целей обороны требует со сто</w:t>
      </w:r>
      <w:r w:rsidRPr="00405303">
        <w:rPr>
          <w:bCs/>
          <w:color w:val="002060"/>
          <w:sz w:val="16"/>
          <w:szCs w:val="16"/>
        </w:rPr>
        <w:softHyphen/>
        <w:t>роны промышленников значительных затрат на новые дорогостоящие устройства, кото</w:t>
      </w:r>
      <w:r w:rsidRPr="00405303">
        <w:rPr>
          <w:bCs/>
          <w:color w:val="002060"/>
          <w:sz w:val="16"/>
          <w:szCs w:val="16"/>
        </w:rPr>
        <w:softHyphen/>
        <w:t>рые по окончании войны большей частью останутся без употребления. Следует поэтому для достаточного обеспечения заказами их выдавать по меньшей мере на двухлетний срок, тем более что казна при этом ничего не потеряет, ибо оставшиеся неиспользован</w:t>
      </w:r>
      <w:r w:rsidRPr="00405303">
        <w:rPr>
          <w:bCs/>
          <w:color w:val="002060"/>
          <w:sz w:val="16"/>
          <w:szCs w:val="16"/>
        </w:rPr>
        <w:softHyphen/>
        <w:t>ными изделия пойдут на образование требующихся запасов.</w:t>
      </w:r>
    </w:p>
    <w:p w14:paraId="2CA10F5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 Следует широко выдавать казенные авансы под должное обеспечение, в особенно</w:t>
      </w:r>
      <w:r w:rsidRPr="00405303">
        <w:rPr>
          <w:bCs/>
          <w:color w:val="002060"/>
          <w:sz w:val="16"/>
          <w:szCs w:val="16"/>
        </w:rPr>
        <w:softHyphen/>
        <w:t>сти мелкой и средней промышленности, для снабжения их необходимыми денежными средствами, с одной стороны, в целях увеличения размеров заводских зданий и установ</w:t>
      </w:r>
      <w:r w:rsidRPr="00405303">
        <w:rPr>
          <w:bCs/>
          <w:color w:val="002060"/>
          <w:sz w:val="16"/>
          <w:szCs w:val="16"/>
        </w:rPr>
        <w:softHyphen/>
        <w:t>ки новых аппаратов, с другой — для увеличения оборотного капитала, в котором в насто</w:t>
      </w:r>
      <w:r w:rsidRPr="00405303">
        <w:rPr>
          <w:bCs/>
          <w:color w:val="002060"/>
          <w:sz w:val="16"/>
          <w:szCs w:val="16"/>
        </w:rPr>
        <w:softHyphen/>
        <w:t>ящее время ощущается особенная нужда, ибо все сырые материалы приобретаются за наличный расчет, а весьма часто при покупках приходится еще или давать крупные за</w:t>
      </w:r>
      <w:r w:rsidRPr="00405303">
        <w:rPr>
          <w:bCs/>
          <w:color w:val="002060"/>
          <w:sz w:val="16"/>
          <w:szCs w:val="16"/>
        </w:rPr>
        <w:softHyphen/>
        <w:t>датки, или оплачивать их сполна до их отправки. Выданные же авансы под залог заводс</w:t>
      </w:r>
      <w:r w:rsidRPr="00405303">
        <w:rPr>
          <w:bCs/>
          <w:color w:val="002060"/>
          <w:sz w:val="16"/>
          <w:szCs w:val="16"/>
        </w:rPr>
        <w:softHyphen/>
        <w:t>кой недвижимости или промышленных облигаций могли бы быть погашены: в первом случае — учетом их в ценах заказов, а во втором — путем определенных пропорциональ</w:t>
      </w:r>
      <w:r w:rsidRPr="00405303">
        <w:rPr>
          <w:bCs/>
          <w:color w:val="002060"/>
          <w:sz w:val="16"/>
          <w:szCs w:val="16"/>
        </w:rPr>
        <w:softHyphen/>
        <w:t>ных удержаний со стоимости изготовляемых предметов и изделий.</w:t>
      </w:r>
    </w:p>
    <w:p w14:paraId="39D58CF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Однако, повторяю, что вопрос о возврате милитаризованных рабочих с фронта (столь успешно уже проведенный во Франции и Англии) есть вопрос первостепенной важнос</w:t>
      </w:r>
      <w:r w:rsidRPr="00405303">
        <w:rPr>
          <w:bCs/>
          <w:color w:val="002060"/>
          <w:sz w:val="16"/>
          <w:szCs w:val="16"/>
        </w:rPr>
        <w:softHyphen/>
        <w:t>ти, так как нечего убивать новые капиталы на увеличение заводских устройств, пока ныне действующие заводы не будут работать днем и ночью, что можно достичь, только если получится нужное количество рабочих рук.</w:t>
      </w:r>
    </w:p>
    <w:p w14:paraId="508DA0D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Принимая участие в Центральном военно-промышленном комитете, я считаю своим долгом высказать, что все наши труды останутся или бесплодными, или не дадут ожида</w:t>
      </w:r>
      <w:r w:rsidRPr="00405303">
        <w:rPr>
          <w:bCs/>
          <w:color w:val="002060"/>
          <w:sz w:val="16"/>
          <w:szCs w:val="16"/>
        </w:rPr>
        <w:softHyphen/>
        <w:t>емых результатов, раз правительством не будут рассмотрены и разрешены в утвердитель</w:t>
      </w:r>
      <w:r w:rsidRPr="00405303">
        <w:rPr>
          <w:bCs/>
          <w:color w:val="002060"/>
          <w:sz w:val="16"/>
          <w:szCs w:val="16"/>
        </w:rPr>
        <w:softHyphen/>
        <w:t>ном смысле все три выдвинутых мною основных вопроса. Невозможно дольше отклады</w:t>
      </w:r>
      <w:r w:rsidRPr="00405303">
        <w:rPr>
          <w:bCs/>
          <w:color w:val="002060"/>
          <w:sz w:val="16"/>
          <w:szCs w:val="16"/>
        </w:rPr>
        <w:softHyphen/>
        <w:t>вать разрешение их, так как уже прошло и пропущено много времени и дальнейшее промедление грозит цельности и мощи организации, объединившей всю отечественную промышленность и всех российских граждан в один могучий крик: «Все для победы, не останавливаясь на пути к ее достижению ни перед какими средствами, ни перед какими препятствиями».</w:t>
      </w:r>
    </w:p>
    <w:p w14:paraId="6460526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Ю. Гужон</w:t>
      </w:r>
    </w:p>
    <w:p w14:paraId="5E458A9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РГВИА. Ф. 369. Оп. 1. Д. 31. Л. 205-206. Типогр. экз. (10707).</w:t>
      </w:r>
    </w:p>
    <w:p w14:paraId="2CE2888A" w14:textId="77777777" w:rsidR="004B4E35" w:rsidRPr="00405303" w:rsidRDefault="004B4E35" w:rsidP="00C15251">
      <w:pPr>
        <w:shd w:val="clear" w:color="auto" w:fill="FFFFFF"/>
        <w:jc w:val="both"/>
        <w:rPr>
          <w:bCs/>
          <w:color w:val="002060"/>
          <w:sz w:val="16"/>
          <w:szCs w:val="16"/>
        </w:rPr>
      </w:pPr>
    </w:p>
    <w:p w14:paraId="099CED21" w14:textId="4529AFE2" w:rsidR="004B4E35" w:rsidRPr="00405303" w:rsidRDefault="009E6F82" w:rsidP="00C15251">
      <w:pPr>
        <w:jc w:val="both"/>
        <w:rPr>
          <w:bCs/>
          <w:color w:val="002060"/>
          <w:sz w:val="16"/>
          <w:szCs w:val="16"/>
        </w:rPr>
      </w:pPr>
      <w:r w:rsidRPr="00405303">
        <w:rPr>
          <w:bCs/>
          <w:color w:val="002060"/>
          <w:sz w:val="16"/>
          <w:szCs w:val="16"/>
        </w:rPr>
        <w:t>5 (18) июля 1915 года</w:t>
      </w:r>
      <w:r w:rsidR="00511560" w:rsidRPr="00405303">
        <w:rPr>
          <w:bCs/>
          <w:color w:val="002060"/>
          <w:sz w:val="16"/>
          <w:szCs w:val="16"/>
        </w:rPr>
        <w:t xml:space="preserve"> состоялась забастовка на РОБТиТ</w:t>
      </w:r>
      <w:r w:rsidRPr="00405303">
        <w:rPr>
          <w:bCs/>
          <w:color w:val="002060"/>
          <w:sz w:val="16"/>
          <w:szCs w:val="16"/>
        </w:rPr>
        <w:t>. Одни из организаторов забастовки Мокряков - был арестован. На ра</w:t>
      </w:r>
      <w:r w:rsidRPr="00405303">
        <w:rPr>
          <w:bCs/>
          <w:color w:val="002060"/>
          <w:sz w:val="16"/>
          <w:szCs w:val="16"/>
        </w:rPr>
        <w:softHyphen/>
        <w:t>бочих обрушились репрессии (11481).</w:t>
      </w:r>
    </w:p>
    <w:p w14:paraId="6441BA0B" w14:textId="77777777" w:rsidR="004B4E35" w:rsidRPr="00405303" w:rsidRDefault="004B4E35" w:rsidP="00C15251">
      <w:pPr>
        <w:jc w:val="both"/>
        <w:rPr>
          <w:bCs/>
          <w:color w:val="002060"/>
          <w:sz w:val="16"/>
          <w:szCs w:val="16"/>
        </w:rPr>
      </w:pPr>
    </w:p>
    <w:p w14:paraId="1B8D53B8" w14:textId="3A9A852B" w:rsidR="006D50CC" w:rsidRPr="00405303" w:rsidRDefault="006D50CC" w:rsidP="00C15251">
      <w:pPr>
        <w:jc w:val="both"/>
        <w:rPr>
          <w:bCs/>
          <w:i/>
          <w:color w:val="002060"/>
          <w:sz w:val="16"/>
          <w:szCs w:val="16"/>
        </w:rPr>
      </w:pPr>
      <w:r w:rsidRPr="00405303">
        <w:rPr>
          <w:bCs/>
          <w:i/>
          <w:color w:val="002060"/>
          <w:sz w:val="16"/>
          <w:szCs w:val="16"/>
        </w:rPr>
        <w:t>Армия:</w:t>
      </w:r>
    </w:p>
    <w:p w14:paraId="598F469F" w14:textId="77777777" w:rsidR="006D50CC" w:rsidRPr="00405303" w:rsidRDefault="006D50CC" w:rsidP="00C15251">
      <w:pPr>
        <w:jc w:val="both"/>
        <w:rPr>
          <w:bCs/>
          <w:i/>
          <w:color w:val="002060"/>
          <w:sz w:val="16"/>
          <w:szCs w:val="16"/>
        </w:rPr>
      </w:pPr>
    </w:p>
    <w:p w14:paraId="68952E8E" w14:textId="6DF4103A" w:rsidR="006D50CC" w:rsidRPr="00405303" w:rsidRDefault="006D50CC" w:rsidP="00C15251">
      <w:pPr>
        <w:jc w:val="both"/>
        <w:rPr>
          <w:bCs/>
          <w:color w:val="002060"/>
          <w:sz w:val="16"/>
          <w:szCs w:val="16"/>
        </w:rPr>
      </w:pPr>
      <w:r w:rsidRPr="00405303">
        <w:rPr>
          <w:bCs/>
          <w:color w:val="002060"/>
          <w:sz w:val="16"/>
          <w:szCs w:val="16"/>
          <w:lang w:bidi="en-US"/>
        </w:rPr>
        <w:t>5 (18) июля 1915 г. немецкие войска захватили Виндау (Виндаву) на побережье Курляндии, что позволило им установить контроль над Ирбенским проливом. Русские отступали с севера и запада от Варшавы, а также по всей линии Вислы и Буга. 25-го русские начали эвакуацию ключевых заводов в Риге и Варшаве (23525).</w:t>
      </w:r>
    </w:p>
    <w:p w14:paraId="3E27F3E6" w14:textId="77777777" w:rsidR="006D50CC" w:rsidRPr="00405303" w:rsidRDefault="006D50CC" w:rsidP="00C15251">
      <w:pPr>
        <w:pStyle w:val="af6"/>
        <w:spacing w:line="240" w:lineRule="auto"/>
        <w:jc w:val="both"/>
        <w:rPr>
          <w:rFonts w:ascii="Times New Roman" w:hAnsi="Times New Roman" w:cs="Times New Roman"/>
          <w:bCs/>
          <w:color w:val="002060"/>
          <w:sz w:val="16"/>
          <w:szCs w:val="16"/>
        </w:rPr>
      </w:pPr>
    </w:p>
    <w:p w14:paraId="488B1488" w14:textId="17D17557" w:rsidR="004B4E35" w:rsidRPr="00405303" w:rsidRDefault="009E6F82" w:rsidP="00C15251">
      <w:pPr>
        <w:jc w:val="both"/>
        <w:rPr>
          <w:bCs/>
          <w:i/>
          <w:color w:val="002060"/>
          <w:sz w:val="16"/>
          <w:szCs w:val="16"/>
        </w:rPr>
      </w:pPr>
      <w:r w:rsidRPr="00405303">
        <w:rPr>
          <w:bCs/>
          <w:i/>
          <w:color w:val="002060"/>
          <w:sz w:val="16"/>
          <w:szCs w:val="16"/>
        </w:rPr>
        <w:t>Авиация:</w:t>
      </w:r>
    </w:p>
    <w:p w14:paraId="1A9F8BC3" w14:textId="77777777" w:rsidR="004B4E35" w:rsidRPr="00405303" w:rsidRDefault="004B4E35" w:rsidP="00C15251">
      <w:pPr>
        <w:jc w:val="both"/>
        <w:rPr>
          <w:bCs/>
          <w:i/>
          <w:color w:val="002060"/>
          <w:sz w:val="16"/>
          <w:szCs w:val="16"/>
        </w:rPr>
      </w:pPr>
    </w:p>
    <w:p w14:paraId="75C16FF5" w14:textId="2D737489" w:rsidR="007066FE" w:rsidRPr="00405303" w:rsidRDefault="007066FE" w:rsidP="00C15251">
      <w:pPr>
        <w:jc w:val="both"/>
        <w:rPr>
          <w:bCs/>
          <w:color w:val="002060"/>
          <w:sz w:val="16"/>
          <w:szCs w:val="16"/>
        </w:rPr>
      </w:pPr>
      <w:r w:rsidRPr="00405303">
        <w:rPr>
          <w:bCs/>
          <w:color w:val="002060"/>
          <w:sz w:val="16"/>
          <w:szCs w:val="16"/>
        </w:rPr>
        <w:t>5</w:t>
      </w:r>
      <w:r w:rsidR="00511560" w:rsidRPr="00405303">
        <w:rPr>
          <w:bCs/>
          <w:color w:val="002060"/>
          <w:sz w:val="16"/>
          <w:szCs w:val="16"/>
        </w:rPr>
        <w:t xml:space="preserve"> (18)</w:t>
      </w:r>
      <w:r w:rsidRPr="00405303">
        <w:rPr>
          <w:bCs/>
          <w:color w:val="002060"/>
          <w:sz w:val="16"/>
          <w:szCs w:val="16"/>
        </w:rPr>
        <w:t xml:space="preserve"> июля</w:t>
      </w:r>
      <w:r w:rsidR="00511560" w:rsidRPr="00405303">
        <w:rPr>
          <w:bCs/>
          <w:color w:val="002060"/>
          <w:sz w:val="16"/>
          <w:szCs w:val="16"/>
        </w:rPr>
        <w:t xml:space="preserve"> </w:t>
      </w:r>
      <w:r w:rsidRPr="00405303">
        <w:rPr>
          <w:bCs/>
          <w:color w:val="002060"/>
          <w:sz w:val="16"/>
          <w:szCs w:val="16"/>
        </w:rPr>
        <w:t xml:space="preserve">в 1915 году </w:t>
      </w:r>
      <w:hyperlink r:id="rId45" w:tgtFrame="_blank" w:history="1">
        <w:r w:rsidRPr="00405303">
          <w:rPr>
            <w:bCs/>
            <w:color w:val="002060"/>
            <w:sz w:val="16"/>
            <w:szCs w:val="16"/>
          </w:rPr>
          <w:t xml:space="preserve">«Илья Муромец» </w:t>
        </w:r>
      </w:hyperlink>
      <w:r w:rsidRPr="00405303">
        <w:rPr>
          <w:bCs/>
          <w:color w:val="002060"/>
          <w:sz w:val="16"/>
          <w:szCs w:val="16"/>
        </w:rPr>
        <w:t xml:space="preserve">«Киевский» №150 с экипажем в составе поручика И.С.Башко, помощника командира поручика Смирнова М.В., артофицера штабс-капитана Наумова А.А. и моториста </w:t>
      </w:r>
      <w:proofErr w:type="gramStart"/>
      <w:r w:rsidRPr="00405303">
        <w:rPr>
          <w:bCs/>
          <w:color w:val="002060"/>
          <w:sz w:val="16"/>
          <w:szCs w:val="16"/>
        </w:rPr>
        <w:t>мл.унтер</w:t>
      </w:r>
      <w:proofErr w:type="gramEnd"/>
      <w:r w:rsidRPr="00405303">
        <w:rPr>
          <w:bCs/>
          <w:color w:val="002060"/>
          <w:sz w:val="16"/>
          <w:szCs w:val="16"/>
        </w:rPr>
        <w:t xml:space="preserve">-офицера Лаврова А.М. вылетел на разведку и бомбометание. С собой взяли 10 пудовых и 5 25-ти фунтовых бомб, 12 зажигательных снарядов; один Мадсен и один карабин (общий запас патронов 260 штук). Что было дальше, мы узнаем из боевого донесения: "...В полете на высоте около 3200-3500 м, Корабль был атакован тремя немецкими аппаратами. Первый из них был замечен в нижний люк, причем он был метров на 50 ниже Корабля. Корабль в это же время находился над Шебржешиным, верстах в 40 от передовых позиций под управлением поручика Смирнова. Тотчас же поручик Смирнов был сменен поручиком Башко. Немецкий аппарат, обладая большей скоростью и запасом мощности быстро обогнал Корабль и оказался метров на 50 выше с правой стороны спереди, открыв пулеметный огонь по Кораблю. В гондоле Корабля в это время работа чинов экипажа распределялась следующим образом: поручик Смирнов находился возле Командира, штабс-Капитан Наумов открыл огонь из ружья-пулемета и вольноопределяющийся Лавров из карабина. При первой атаке пулеметным огнем с неприятельского аппарата были пробиты оба верхних бака с бензином, фильтр правой группы моторов, радиатор 2-го мотора, перебиты обе бензинопроводные трубки левой группы моторов, стекла передних окон правой стороны и ранен в голову и ногу Командир Корабля поручик Башко. Так как бензинопроводы к левым моторам оказались перебиты, то тотчас же левые краники от бензиновых баков были закрыты и выключен левый бак. Дальше полет Корабля был на двух правых моторах. Немецкий аппарат после </w:t>
      </w:r>
      <w:proofErr w:type="gramStart"/>
      <w:r w:rsidRPr="00405303">
        <w:rPr>
          <w:bCs/>
          <w:color w:val="002060"/>
          <w:sz w:val="16"/>
          <w:szCs w:val="16"/>
        </w:rPr>
        <w:t>того</w:t>
      </w:r>
      <w:proofErr w:type="gramEnd"/>
      <w:r w:rsidRPr="00405303">
        <w:rPr>
          <w:bCs/>
          <w:color w:val="002060"/>
          <w:sz w:val="16"/>
          <w:szCs w:val="16"/>
        </w:rPr>
        <w:t xml:space="preserve"> как первый раз пересек дорогу Кораблю пытался вторично атаковать Корабль с левой стороны, но встреченный пулеметным и ружейным огнем с Корабля, резко повернул направо и с громадным креном пошел на снижение по направлению к Замостью. После отбития атаки поручик Смирнов заменил Командира - </w:t>
      </w:r>
      <w:proofErr w:type="gramStart"/>
      <w:r w:rsidRPr="00405303">
        <w:rPr>
          <w:bCs/>
          <w:color w:val="002060"/>
          <w:sz w:val="16"/>
          <w:szCs w:val="16"/>
        </w:rPr>
        <w:t>поручика Башко</w:t>
      </w:r>
      <w:proofErr w:type="gramEnd"/>
      <w:r w:rsidRPr="00405303">
        <w:rPr>
          <w:bCs/>
          <w:color w:val="002060"/>
          <w:sz w:val="16"/>
          <w:szCs w:val="16"/>
        </w:rPr>
        <w:t xml:space="preserve"> которому вольноопределяющимся Лавровым была сделана перевязка. После перевязки поручик Башко опять стал управлять Кораблем, поручик Смирнов и вольноопределяющийся Лавров по очереди закрывали руками отверстия фильтра правой группы и принимали всевозможные меры к сохранению оставшегося бензина в баках для продолжения полета. При отражении атаки первого аппарата из ружья-пулемета была выпущена полностью кассета в 25 штук, из второй кассеты удалось выпустить всего 15 штук, затем внутри магазина заклинило </w:t>
      </w:r>
      <w:proofErr w:type="gramStart"/>
      <w:r w:rsidRPr="00405303">
        <w:rPr>
          <w:bCs/>
          <w:color w:val="002060"/>
          <w:sz w:val="16"/>
          <w:szCs w:val="16"/>
        </w:rPr>
        <w:t>патрон</w:t>
      </w:r>
      <w:proofErr w:type="gramEnd"/>
      <w:r w:rsidRPr="00405303">
        <w:rPr>
          <w:bCs/>
          <w:color w:val="002060"/>
          <w:sz w:val="16"/>
          <w:szCs w:val="16"/>
        </w:rPr>
        <w:t xml:space="preserve"> и дальнейшая стрельба из него была совершенно невозможна. Вслед за первым аппаратом тотчас же появился следующий немецкий аппарат, который пролетел только один раз выше Корабля слева и обстрелял его из пулемета, причем был пробит маслянный бак второго мотора. По этому аппарату открыл огонь из карабина Поручик Смирнов, вольноопределяющийся Лавров находился в передней каюте у фильтра, а Штабс-Капитан Наумов ремонтировал ружье-пулемет. Так как ружье-пулемет совершенно отказало в действии, то поручик Смирнов передал карабин Наумову, а сам сменил вольноопределяющегося Лаврова, принимая меры к сохранению бензина, т.к. вольноопределяющийся Лавров поморозил обе кисти рук. Второй аппарат более Корабля не атаковал. На линии передовых позиций, Корабль был обстрелян из пулемета третьим немецким аппаратом, шедшим на большом отдалении слева и выше Корабля. В то же время по Кораблю стреляла и артиллерия. Высота в это время была около 1400-1500 м. При подходе к г.Холму на высоте 700 м остановились и правые моторы, т.к. вышел весь запас бензина, поэтому пришлось произвести вынужденный спуск. Последний был сделан в 4-5 верстах от г.Холма около д.Городище, возле аэродрома 24-го авиационного отряда на болотистом лугу. При этом колеса шасси увязли до лыж и поломаны: левая половина шасси, 4 стойки, винт второго мотора, несколько нервюр и надтреснул правый задний нижний лонжерон среднего отсека. При осмотре Корабля после посадки обнаружены кроме вышеуказанных следующие повреждения от пулеметного огня: пробит в двух местах винт 3-го мотора, перебит железный подкос у того же мотора, пробита покрышка, повреждено магнето второго мотора, пробита грузовая рама того же мотора, пробита стойка сзади первого мотора, передняя стойка у второго мотора и несколько пробоин в поверхности Корабля. Спуск произвел Командир Корабля Поручик Башко лично не смотря на ранения." За проявленное мужество экипаж "Киевского" получил награды, а Башко присвоили чин штабс-капитана и наградили его орденом СвятогоГеоргия 4-й степени (14943).</w:t>
      </w:r>
    </w:p>
    <w:p w14:paraId="18F10C15" w14:textId="77777777" w:rsidR="007066FE" w:rsidRPr="00405303" w:rsidRDefault="007066FE" w:rsidP="00C15251">
      <w:pPr>
        <w:jc w:val="both"/>
        <w:rPr>
          <w:bCs/>
          <w:color w:val="002060"/>
          <w:sz w:val="16"/>
          <w:szCs w:val="16"/>
        </w:rPr>
      </w:pPr>
    </w:p>
    <w:p w14:paraId="726941B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lastRenderedPageBreak/>
        <w:t xml:space="preserve">5 (18) июля 1915 г. "Илья Муромец Киевский" №150 с экипажем в составе поручика И.С.Башко, помощника командира поручика Смирнова М.В., артофицера штабс-капитана Наумова А.А. и моториста </w:t>
      </w:r>
      <w:proofErr w:type="gramStart"/>
      <w:r w:rsidRPr="00405303">
        <w:rPr>
          <w:bCs/>
          <w:i w:val="0"/>
          <w:color w:val="002060"/>
          <w:spacing w:val="0"/>
          <w:kern w:val="0"/>
          <w:position w:val="0"/>
          <w:sz w:val="16"/>
          <w:szCs w:val="16"/>
        </w:rPr>
        <w:t>мл.унтер</w:t>
      </w:r>
      <w:proofErr w:type="gramEnd"/>
      <w:r w:rsidRPr="00405303">
        <w:rPr>
          <w:bCs/>
          <w:i w:val="0"/>
          <w:color w:val="002060"/>
          <w:spacing w:val="0"/>
          <w:kern w:val="0"/>
          <w:position w:val="0"/>
          <w:sz w:val="16"/>
          <w:szCs w:val="16"/>
        </w:rPr>
        <w:t xml:space="preserve">-офицера Лаврова А.М. вылетел на разведку и бомбометание. С собой взяли 10 пудовых и 5 25-ти фунтовых бомб, 12 зажигательных снарядов; один Мадсен и один карабин (общий запас патронов — 260 штук). Что было дальше, мы узнаем из боевого донесения: </w:t>
      </w:r>
    </w:p>
    <w:p w14:paraId="4B0A08C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полете на высоте около 3200-3500 м, Корабль был атакован тремя немецкими аппа­ратами. Первый из них был замечен в нижний люк, причем он был метров на 50 ниже Корабля. Корабль в это же время находился над Шебржешиным, верстах в 40 от передовых позиций под управлением поручика Смирнова. Тотчас же поручик Смирнов был сменен поручиком Башко. Немецкий аппарат, обладая большей скоростью и запасом мощности быст­ро обогнал Корабль и оказался метров на 50 выше с правой стороны спереди, открыв пуле­метный огонь по Кораблю. В гондоле Корабля в это время работа чинов экипажа распреде­лялась следующим образом: поручик Смирнов находился возле Командира, штабс-Капитан Наумов открыл огонь из ружья-пулемета и вольноопределяющийся Лавров из карабина. При первой атаке пулеметным огнем с неприятельского аппарата были пробиты оба верхних бака с бензином, фильтр правой группы моторов, радиатор 2-го мотора, перебиты обе бензинопроводные трубки левой группы моторов, стекла передних окон правой стороны и ранен в голову и ногу Командир Корабля поручик Башко. Так как бензинопроводы к левым моторам оказались перебиты, то тотчас же левые краники от бензиновых баков были закрыты и выключен левый бак. Дальше полет Корабля был на двух правых моторах. </w:t>
      </w:r>
    </w:p>
    <w:p w14:paraId="5AFEABD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Немецкий аппарат после </w:t>
      </w:r>
      <w:proofErr w:type="gramStart"/>
      <w:r w:rsidRPr="00405303">
        <w:rPr>
          <w:bCs/>
          <w:i w:val="0"/>
          <w:color w:val="002060"/>
          <w:spacing w:val="0"/>
          <w:kern w:val="0"/>
          <w:position w:val="0"/>
          <w:sz w:val="16"/>
          <w:szCs w:val="16"/>
        </w:rPr>
        <w:t>того</w:t>
      </w:r>
      <w:proofErr w:type="gramEnd"/>
      <w:r w:rsidRPr="00405303">
        <w:rPr>
          <w:bCs/>
          <w:i w:val="0"/>
          <w:color w:val="002060"/>
          <w:spacing w:val="0"/>
          <w:kern w:val="0"/>
          <w:position w:val="0"/>
          <w:sz w:val="16"/>
          <w:szCs w:val="16"/>
        </w:rPr>
        <w:t xml:space="preserve"> как первый раз пересек дорогу Кораблю пытался вторично атаковать Корабль с левой стороны, но встреченный пулеметным и ружейным огнем с Корабля, резко повернул направо и с громадным креном пошел на снижение по направлению к Замостью. После отбития атаки поручик Смирнов заменил </w:t>
      </w:r>
      <w:proofErr w:type="gramStart"/>
      <w:r w:rsidRPr="00405303">
        <w:rPr>
          <w:bCs/>
          <w:i w:val="0"/>
          <w:color w:val="002060"/>
          <w:spacing w:val="0"/>
          <w:kern w:val="0"/>
          <w:position w:val="0"/>
          <w:sz w:val="16"/>
          <w:szCs w:val="16"/>
        </w:rPr>
        <w:t>Командира поручика Башко</w:t>
      </w:r>
      <w:proofErr w:type="gramEnd"/>
      <w:r w:rsidRPr="00405303">
        <w:rPr>
          <w:bCs/>
          <w:i w:val="0"/>
          <w:color w:val="002060"/>
          <w:spacing w:val="0"/>
          <w:kern w:val="0"/>
          <w:position w:val="0"/>
          <w:sz w:val="16"/>
          <w:szCs w:val="16"/>
        </w:rPr>
        <w:t xml:space="preserve"> которому вольноопределяющимся Лавровым была сделана перевязка. После перевязки поручик Башко опять стал управлять Кораблем, поручик Смирнов и вольноопределяющийся Лавров по очереди закрывали руками отверстия фильтра правой группы и принимали все­возможные меры к сохранению оставшегося бензина в баках для продолжения полета. При отражении атаки первого аппарата из ружья-пулемета была выпущена полностью кассета в 25 штук, из второй кассеты удалось выпустить всего 15 штук, затем внутри магазина закли­нило патрон и дальнейшая стрельба из него была совершенно невозможна. </w:t>
      </w:r>
    </w:p>
    <w:p w14:paraId="7713BEE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Вслед за первым аппаратом тотчас же появился следующий немецкий аппарат, который пролетел только один раз выше Корабля слева и обстрелял его из пулемета, причем был пробит маслянный бак второго мотора. По этому аппарату открыл огонь из карабина Поручик Смирнов, вольноопределяющийся Лавров находился в передней каюте у фильтра, а Штабе -Капитан Наумов ремонтировал ружье-пулемет. Так как ружье-пулемет совершенно отказало в действии, то поручик Смирнов передал карабин Наумову, а сам сменил вольноопределяю­щегося Лаврова, принимая меры к сохранению бензина, т.к. вольноопределяющийся Лавров поморозил обе кисти рук. Второй аппарат более Корабля не атаковал. </w:t>
      </w:r>
    </w:p>
    <w:p w14:paraId="4B90B08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На линии передовых позиций, Корабль был обстрелян из пулемета третьим немецким аппаратом, шедшим на большом отдалении слева и выше Корабля. В то же время по Кораблю стреляла и артиллерия. Высота в это время была около 1400-1500 м. При подходе к г.Холму на высоте 700 м остановились и правые моторы, т.к. вышел весь запас бензина, поэтому пришлось произвести вынужденный спуск. Последний был сделан в 4-5 верстах от г.Холма око­ло д.Городище, возле аэродрома 24-го авиационного отряда на болотистом лугу. При этом колеса шасси увязли до лыж и поломаны: левая половина шасси, 4 стойки, винт второго мо­тора, несколько нервюр и надтреснул правый задний нижний лонжерон среднего отсека. При осмотре Корабля после посадки обнаружены кроме вышеуказанных следующие повреждения от пулеметного огня: пробит в двух местах винт 3-го мотора, перебит железный подкос у того же мотора, пробита покрышка, повреждено магнето второго мотора, пробита грузовая рама того же мотора, пробита стойка сзади первого мотора, передняя стойка у вто­рого мотора и несколько пробоин в поверхности Корабля. Спуск произвел Командир Корабля Поручик Башко лично не смотря на ранения." </w:t>
      </w:r>
    </w:p>
    <w:p w14:paraId="08D07BC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За проявленное мужество экипаж "Киевского" получил награды, а Башко присвоили чин штабс-капитана и наградили его орденом Св.Георгия 4-й степени. </w:t>
      </w:r>
    </w:p>
    <w:p w14:paraId="4128D07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Оставшийся в июле-августе единственный боеспособный на фронте 111-й корабль тогоже полка и "Киевский" поначалу брал 2 пулемета, затем только Мадсен с 75 патронами. После случая нападения на корабль своего товарища на борту 111-го корабля взяли за правило брать с собой 3 пулемета: «Мадсен», «Максим» и «Льюис» со 150, 500 и 280 патронами соответственно. Этот корабль совершил с мая по октябрь 1915 г. более 30 полетов, часто проникая на п-рриторию врага на глубину до 190 верст. 2 ноября 1915 г. был потерян один из лучших кораблей Эскадры. Штабс-капитан Озерский, желая увеличить скорость "Муромца", приказал снять добавочные рули, чем уменьшил устойчивость аппарата. Это и стало причиной гибели экипажа. "Муромцы" этого отряда совершили до типа 1915 г. на Северном фронте 25 боевых вылетов. Зa весь 1915 год воздушные корабли выполнили около 100 боевых полетов, сбросив на противника до 1220 пудов бомб (11277).</w:t>
      </w:r>
    </w:p>
    <w:p w14:paraId="55D14868" w14:textId="77777777" w:rsidR="004B4E35" w:rsidRPr="00405303" w:rsidRDefault="004B4E35" w:rsidP="00C15251">
      <w:pPr>
        <w:pStyle w:val="a3"/>
        <w:jc w:val="both"/>
        <w:rPr>
          <w:bCs/>
          <w:i w:val="0"/>
          <w:color w:val="002060"/>
          <w:spacing w:val="0"/>
          <w:kern w:val="0"/>
          <w:position w:val="0"/>
          <w:sz w:val="16"/>
          <w:szCs w:val="16"/>
        </w:rPr>
      </w:pPr>
    </w:p>
    <w:p w14:paraId="58D390F3" w14:textId="50126B1E" w:rsidR="004B4E35" w:rsidRPr="00405303" w:rsidRDefault="009E6F82" w:rsidP="00C15251">
      <w:pPr>
        <w:jc w:val="both"/>
        <w:rPr>
          <w:bCs/>
          <w:color w:val="002060"/>
          <w:sz w:val="16"/>
          <w:szCs w:val="16"/>
        </w:rPr>
      </w:pPr>
      <w:r w:rsidRPr="00405303">
        <w:rPr>
          <w:bCs/>
          <w:color w:val="002060"/>
          <w:sz w:val="16"/>
          <w:szCs w:val="16"/>
        </w:rPr>
        <w:t xml:space="preserve">5 </w:t>
      </w:r>
      <w:r w:rsidR="00511560" w:rsidRPr="00405303">
        <w:rPr>
          <w:bCs/>
          <w:color w:val="002060"/>
          <w:sz w:val="16"/>
          <w:szCs w:val="16"/>
        </w:rPr>
        <w:t xml:space="preserve">(18) </w:t>
      </w:r>
      <w:r w:rsidRPr="00405303">
        <w:rPr>
          <w:bCs/>
          <w:color w:val="002060"/>
          <w:sz w:val="16"/>
          <w:szCs w:val="16"/>
        </w:rPr>
        <w:t>июля 1915 г. "Илья Муроец Киевский" №150 с экипажем в составе поручика И.С.</w:t>
      </w:r>
      <w:proofErr w:type="gramStart"/>
      <w:r w:rsidRPr="00405303">
        <w:rPr>
          <w:bCs/>
          <w:color w:val="002060"/>
          <w:sz w:val="16"/>
          <w:szCs w:val="16"/>
        </w:rPr>
        <w:t>Баш- ко</w:t>
      </w:r>
      <w:proofErr w:type="gramEnd"/>
      <w:r w:rsidRPr="00405303">
        <w:rPr>
          <w:bCs/>
          <w:color w:val="002060"/>
          <w:sz w:val="16"/>
          <w:szCs w:val="16"/>
        </w:rPr>
        <w:t xml:space="preserve">, помощника командира поручика Смирнова М.В., артофицера штабс-капитана Наумова А.А. и моториста </w:t>
      </w:r>
      <w:proofErr w:type="gramStart"/>
      <w:r w:rsidRPr="00405303">
        <w:rPr>
          <w:bCs/>
          <w:color w:val="002060"/>
          <w:sz w:val="16"/>
          <w:szCs w:val="16"/>
        </w:rPr>
        <w:t>мл.унтер</w:t>
      </w:r>
      <w:proofErr w:type="gramEnd"/>
      <w:r w:rsidRPr="00405303">
        <w:rPr>
          <w:bCs/>
          <w:color w:val="002060"/>
          <w:sz w:val="16"/>
          <w:szCs w:val="16"/>
        </w:rPr>
        <w:t>-офицера Лаврова A.M. вылетел на разведку и бомбометание. С собой взяли 10 пудовых и 5 25-ти фунтовых бомб, 12 зажигательных снарядов; один Мадсен и один карабин (общий запас патронов - 260 штук). Что было дальше, мы узнаем из боевого донесения:</w:t>
      </w:r>
    </w:p>
    <w:p w14:paraId="476CABF2" w14:textId="77777777" w:rsidR="004B4E35" w:rsidRPr="00405303" w:rsidRDefault="009E6F82" w:rsidP="00C15251">
      <w:pPr>
        <w:jc w:val="both"/>
        <w:rPr>
          <w:bCs/>
          <w:color w:val="002060"/>
          <w:sz w:val="16"/>
          <w:szCs w:val="16"/>
        </w:rPr>
      </w:pPr>
      <w:r w:rsidRPr="00405303">
        <w:rPr>
          <w:bCs/>
          <w:color w:val="002060"/>
          <w:sz w:val="16"/>
          <w:szCs w:val="16"/>
        </w:rPr>
        <w:t>"...B полете на высоте около 3200-3500 м, Корабль был атакован тремя немецкими аппаратами. Первый из них был замечен в нижний люк, причем он был метров на 50 ниже Корабля. Корабль в это же время находился над Шебржешиным, верстах в 40 от передовых позиций под управлением Поручика Смирнова. Тотчас же Поручик Смирнов был сменен Поручиком Башко. Немецкий аппарат, обладая большей скоростью и запасом мощности быстро обогнал Корабль и оказался метров на 50 выше с правой стороны спереди, открыв пулеметный огонь по Кораблю. В гондоле Корабля в это время работа чинов экипажа распределялась следующим образом: Поручик Смирнов находился возле Командира, Штабе-Капитан Наумов открыл огонь из ружья-пулемета и вольноопределяющийся Лавров из карабина. При первой атаке пулеметным огнем с неприятельского аппарата были пробиты оба верхних бака с бензином, фильтр правой группы моторов, радиатор 2-го мотора, перебиты обе бен- зинопроводные трубки левой группы моторов, стекла передних окон правой стороны и ранен в голову и ногу Командир Корабля Поручик Башко. Так как бензинопроводы к левым моторам оказались перебиты, то тотчас же левые краники от бензиновых баков были закрыты и выключен левый бак. Дальше полет Корабля был на двух правых моторах.</w:t>
      </w:r>
    </w:p>
    <w:p w14:paraId="2F0D2B72" w14:textId="77777777" w:rsidR="004B4E35" w:rsidRPr="00405303" w:rsidRDefault="009E6F82" w:rsidP="00C15251">
      <w:pPr>
        <w:jc w:val="both"/>
        <w:rPr>
          <w:bCs/>
          <w:color w:val="002060"/>
          <w:sz w:val="16"/>
          <w:szCs w:val="16"/>
        </w:rPr>
      </w:pPr>
      <w:r w:rsidRPr="00405303">
        <w:rPr>
          <w:bCs/>
          <w:color w:val="002060"/>
          <w:sz w:val="16"/>
          <w:szCs w:val="16"/>
        </w:rPr>
        <w:t xml:space="preserve">Немецкий аппарат после </w:t>
      </w:r>
      <w:proofErr w:type="gramStart"/>
      <w:r w:rsidRPr="00405303">
        <w:rPr>
          <w:bCs/>
          <w:color w:val="002060"/>
          <w:sz w:val="16"/>
          <w:szCs w:val="16"/>
        </w:rPr>
        <w:t>того</w:t>
      </w:r>
      <w:proofErr w:type="gramEnd"/>
      <w:r w:rsidRPr="00405303">
        <w:rPr>
          <w:bCs/>
          <w:color w:val="002060"/>
          <w:sz w:val="16"/>
          <w:szCs w:val="16"/>
        </w:rPr>
        <w:t xml:space="preserve"> как первый раз пересек дорогу Кораблю пытался вторично атаковать Корабль с левой стороны, но встреченный пулеметным и ружейным огнем с Корабля, резко повернул направо и с громадным креном пошел на снижение по направлению к Замостью. После отбития атаки Поручик Смирнов заменил </w:t>
      </w:r>
      <w:proofErr w:type="gramStart"/>
      <w:r w:rsidRPr="00405303">
        <w:rPr>
          <w:bCs/>
          <w:color w:val="002060"/>
          <w:sz w:val="16"/>
          <w:szCs w:val="16"/>
        </w:rPr>
        <w:t>Командира Поручика Башко</w:t>
      </w:r>
      <w:proofErr w:type="gramEnd"/>
      <w:r w:rsidRPr="00405303">
        <w:rPr>
          <w:bCs/>
          <w:color w:val="002060"/>
          <w:sz w:val="16"/>
          <w:szCs w:val="16"/>
        </w:rPr>
        <w:t xml:space="preserve"> которому вольноопределяющимся Лавровым была сделана перевязка. После перевязки Поручик Башко опять стал управлять Кораблем, Поручик Смирнов и вольноопределяющийся Лавров по очереди закрывали руками отверстия фильтра правой группы и принимали всевозможные меры к сохранению оставшегося бензина в баках для продолжения полета. При отражении атаки первого аппарата из ружья-пулемета была выпущена полностью кассета в 25 штук, из второй кассеты удалось выпустить всего 15 штук, затем внутри магазина заклинило </w:t>
      </w:r>
      <w:proofErr w:type="gramStart"/>
      <w:r w:rsidRPr="00405303">
        <w:rPr>
          <w:bCs/>
          <w:color w:val="002060"/>
          <w:sz w:val="16"/>
          <w:szCs w:val="16"/>
        </w:rPr>
        <w:t>патрон</w:t>
      </w:r>
      <w:proofErr w:type="gramEnd"/>
      <w:r w:rsidRPr="00405303">
        <w:rPr>
          <w:bCs/>
          <w:color w:val="002060"/>
          <w:sz w:val="16"/>
          <w:szCs w:val="16"/>
        </w:rPr>
        <w:t xml:space="preserve"> и дальнейшая стрельба из него была совершенно невозможна.</w:t>
      </w:r>
    </w:p>
    <w:p w14:paraId="274887A9" w14:textId="77777777" w:rsidR="004B4E35" w:rsidRPr="00405303" w:rsidRDefault="009E6F82" w:rsidP="00C15251">
      <w:pPr>
        <w:jc w:val="both"/>
        <w:rPr>
          <w:bCs/>
          <w:color w:val="002060"/>
          <w:sz w:val="16"/>
          <w:szCs w:val="16"/>
        </w:rPr>
      </w:pPr>
      <w:r w:rsidRPr="00405303">
        <w:rPr>
          <w:bCs/>
          <w:color w:val="002060"/>
          <w:sz w:val="16"/>
          <w:szCs w:val="16"/>
        </w:rPr>
        <w:t>Вслед за первым аппаратом тотчас же появился следующий немецкий аппарат, который пролетел только один раз выше Корабля слева и обстрелял его из пулемета, причем был пробит маслянный бак второго мотора. По этому аппарату открыл огонь из карабина Поручик Смирнов, вольноопределяющийся Лавров находился в передней каюте у фильтра, а Штабс- Капитан Наумов ремонтировал ружье-пулемет. Так как ружье-пулемет совершенно отказало в действии, то Поручик Смирнов передал карабин Наумову, а сам сменил вольноопределяющегося Лаврова, принимая меры к сохранению бензина, т.к. вольноопределяющийся Лавров поморозил обе кисти рук. Второй аппарат более Корабля не атаковал.</w:t>
      </w:r>
    </w:p>
    <w:p w14:paraId="248930AB" w14:textId="77777777" w:rsidR="004B4E35" w:rsidRPr="00405303" w:rsidRDefault="009E6F82" w:rsidP="00C15251">
      <w:pPr>
        <w:jc w:val="both"/>
        <w:rPr>
          <w:bCs/>
          <w:color w:val="002060"/>
          <w:sz w:val="16"/>
          <w:szCs w:val="16"/>
        </w:rPr>
      </w:pPr>
      <w:r w:rsidRPr="00405303">
        <w:rPr>
          <w:bCs/>
          <w:color w:val="002060"/>
          <w:sz w:val="16"/>
          <w:szCs w:val="16"/>
        </w:rPr>
        <w:t>На линии передовых позиций, Корабль был обстрелян из пулемета третьим немецким аппаратом, шедшим на большом отдалении слева и выше Корабля. В то же время по Кораблю стреляла и артиллерия. Высота в это время была около 1400-1500 м. При подходе к г.Холму на высоте 700 м остановились и правые моторы, т.к. вышел весь запас бензина, поэтому пришлось произвести вынужденный спуск. Последний был сделан в 4-5 верстах от г.Холма около д.Городище, возле аэродрома 24-го авиационного отряда на болотистом лугу. При этом колеса шасси увязли до лыж и поломаны: левая половина шасси, 4 стойки, винт второго мотора, несколько нервюр и надтреснул правый задний нижний лонжерон среднего отсека.</w:t>
      </w:r>
    </w:p>
    <w:p w14:paraId="3E1CD488" w14:textId="77777777" w:rsidR="004B4E35" w:rsidRPr="00405303" w:rsidRDefault="009E6F82" w:rsidP="00C15251">
      <w:pPr>
        <w:jc w:val="both"/>
        <w:rPr>
          <w:bCs/>
          <w:color w:val="002060"/>
          <w:sz w:val="16"/>
          <w:szCs w:val="16"/>
        </w:rPr>
      </w:pPr>
      <w:r w:rsidRPr="00405303">
        <w:rPr>
          <w:bCs/>
          <w:color w:val="002060"/>
          <w:sz w:val="16"/>
          <w:szCs w:val="16"/>
        </w:rPr>
        <w:t>При осмотре Корабля после посадки обнаружены кроме вышеуказанных следующие повреждения от пулеметного огня: пробит в двух местах винт 3-го мотора, перебит железный подкос у того же мотора, пробита покрышка, повреждено магнето второго мотора, пробита грузовая рама того же мотора, пробита стойка сзади первого мотора, передняя стойка у второго мотора и несколько пробоин в поверхности Корабля. Спуск произвел Командир Корабля Поручик Башко лично не смотря на ранения."</w:t>
      </w:r>
    </w:p>
    <w:p w14:paraId="73123906" w14:textId="77777777" w:rsidR="004B4E35" w:rsidRPr="00405303" w:rsidRDefault="009E6F82" w:rsidP="00C15251">
      <w:pPr>
        <w:jc w:val="both"/>
        <w:rPr>
          <w:bCs/>
          <w:color w:val="002060"/>
          <w:sz w:val="16"/>
          <w:szCs w:val="16"/>
        </w:rPr>
      </w:pPr>
      <w:r w:rsidRPr="00405303">
        <w:rPr>
          <w:bCs/>
          <w:color w:val="002060"/>
          <w:sz w:val="16"/>
          <w:szCs w:val="16"/>
        </w:rPr>
        <w:lastRenderedPageBreak/>
        <w:t>За проявленное мужество экипаж "Киевского" получил награды, а Башко присвоили чин штабс-капитана и наградили его орденом Св.Георгия 4-й степени (12038).</w:t>
      </w:r>
    </w:p>
    <w:p w14:paraId="1D22904C" w14:textId="77777777" w:rsidR="004B4E35" w:rsidRPr="00405303" w:rsidRDefault="004B4E35" w:rsidP="00C15251">
      <w:pPr>
        <w:jc w:val="both"/>
        <w:rPr>
          <w:bCs/>
          <w:color w:val="002060"/>
          <w:sz w:val="16"/>
          <w:szCs w:val="16"/>
        </w:rPr>
      </w:pPr>
    </w:p>
    <w:p w14:paraId="5206637D" w14:textId="128EE924" w:rsidR="004B4E35" w:rsidRPr="00405303" w:rsidRDefault="009E6F82" w:rsidP="00C15251">
      <w:pPr>
        <w:jc w:val="both"/>
        <w:rPr>
          <w:bCs/>
          <w:color w:val="002060"/>
          <w:sz w:val="16"/>
          <w:szCs w:val="16"/>
        </w:rPr>
      </w:pPr>
      <w:r w:rsidRPr="00405303">
        <w:rPr>
          <w:bCs/>
          <w:color w:val="002060"/>
          <w:sz w:val="16"/>
          <w:szCs w:val="16"/>
        </w:rPr>
        <w:t xml:space="preserve">5 </w:t>
      </w:r>
      <w:r w:rsidR="00511560" w:rsidRPr="00405303">
        <w:rPr>
          <w:bCs/>
          <w:color w:val="002060"/>
          <w:sz w:val="16"/>
          <w:szCs w:val="16"/>
        </w:rPr>
        <w:t xml:space="preserve">(18) </w:t>
      </w:r>
      <w:r w:rsidRPr="00405303">
        <w:rPr>
          <w:bCs/>
          <w:color w:val="002060"/>
          <w:sz w:val="16"/>
          <w:szCs w:val="16"/>
        </w:rPr>
        <w:t xml:space="preserve">июля 1915 года </w:t>
      </w:r>
      <w:r w:rsidR="00511560" w:rsidRPr="00405303">
        <w:rPr>
          <w:bCs/>
          <w:color w:val="002060"/>
          <w:sz w:val="16"/>
          <w:szCs w:val="16"/>
        </w:rPr>
        <w:t xml:space="preserve">ранним утром </w:t>
      </w:r>
      <w:r w:rsidRPr="00405303">
        <w:rPr>
          <w:bCs/>
          <w:color w:val="002060"/>
          <w:sz w:val="16"/>
          <w:szCs w:val="16"/>
        </w:rPr>
        <w:t>корабль "Киевский" вылетел из Влодавы с заданием произвести разведку и попутно бомбометание. На борту находилось четыре человека, 15 бомб (десять пудовых и пять 25-фунтовых), 12 зажигательных снарядов. Так как серьёзных встреч с неприятельскими аэропланами не было, авиаторы предпочитали брать больше бомб и горючего, нежели пулемётов. В этот раз вооружение составляли ру- жьё-пулемёт "Мадсен" и карабин с общим боезапасом 260 патронов.</w:t>
      </w:r>
    </w:p>
    <w:p w14:paraId="5A238EDF" w14:textId="77777777" w:rsidR="004B4E35" w:rsidRPr="00405303" w:rsidRDefault="009E6F82" w:rsidP="00C15251">
      <w:pPr>
        <w:jc w:val="both"/>
        <w:rPr>
          <w:bCs/>
          <w:color w:val="002060"/>
          <w:sz w:val="16"/>
          <w:szCs w:val="16"/>
        </w:rPr>
      </w:pPr>
      <w:r w:rsidRPr="00405303">
        <w:rPr>
          <w:bCs/>
          <w:color w:val="002060"/>
          <w:sz w:val="16"/>
          <w:szCs w:val="16"/>
        </w:rPr>
        <w:t>К северо-западу от Унува был обнаружен аэродром с семью самолётными палатками, на которые было сброшено пять бомб. Остальные бомбы и снаряды метали в другие цели: на станцию Любич и обозы у станции Белжец. При возвращении домой, над Шебржешиным на высоте 3200-3500 метров "Киевский" был атакован немецкими аэропланами. Первый немец (двухместный "Альбатрос"), обладая большей скоростью, быстро обогнал корабль и оказался метров на 50 выше с правой стороны спереди. Немецкий наблюдатель сразу открыл огонь. В ответ штабс-капитан Наумов с центроплана ответил из "Мадсена". -*</w:t>
      </w:r>
    </w:p>
    <w:p w14:paraId="212CE066" w14:textId="77777777" w:rsidR="004B4E35" w:rsidRPr="00405303" w:rsidRDefault="009E6F82" w:rsidP="00C15251">
      <w:pPr>
        <w:jc w:val="both"/>
        <w:rPr>
          <w:bCs/>
          <w:color w:val="002060"/>
          <w:sz w:val="16"/>
          <w:szCs w:val="16"/>
        </w:rPr>
      </w:pPr>
      <w:r w:rsidRPr="00405303">
        <w:rPr>
          <w:bCs/>
          <w:color w:val="002060"/>
          <w:sz w:val="16"/>
          <w:szCs w:val="16"/>
        </w:rPr>
        <w:t>Вольноопределяющийся Лавров стрелял из карабина. Точной очередью первого немца, выпущенной почти в упор, были пробиты оба верхних бака с бензином, фильтр правой группы моторов, радиатор второго мотора, перебиты обе бензинопроводные трубки левой группы моторов, стекла передних окон правого борта. Поручик Башко был ранен в голову и ногу, как выжил Наумов, бывший с пулемётом между баков - загадка.</w:t>
      </w:r>
    </w:p>
    <w:p w14:paraId="51A9654C" w14:textId="77777777" w:rsidR="004B4E35" w:rsidRPr="00405303" w:rsidRDefault="009E6F82" w:rsidP="00C15251">
      <w:pPr>
        <w:jc w:val="both"/>
        <w:rPr>
          <w:bCs/>
          <w:color w:val="002060"/>
          <w:sz w:val="16"/>
          <w:szCs w:val="16"/>
        </w:rPr>
      </w:pPr>
      <w:r w:rsidRPr="00405303">
        <w:rPr>
          <w:bCs/>
          <w:color w:val="002060"/>
          <w:sz w:val="16"/>
          <w:szCs w:val="16"/>
        </w:rPr>
        <w:t xml:space="preserve">Из-за перебитых бензинопроводов левой группы моторов полёт корабля продолжался на двух правых "Аргусах". Закрепляя успех, немец зашёл с левого борта "Киевского", но атака была отбита огнём из ружья-пулемёта и карабина. "Альбатрос" резко повернул направо и с громадным креном пошёл на снижение по направлению к Замостью. Наумов успел расстрелять из "Мадсена" один магазин из 25 патронов. После смены магазина, на 16-м выстреле пулемёт </w:t>
      </w:r>
      <w:proofErr w:type="gramStart"/>
      <w:r w:rsidRPr="00405303">
        <w:rPr>
          <w:bCs/>
          <w:color w:val="002060"/>
          <w:sz w:val="16"/>
          <w:szCs w:val="16"/>
        </w:rPr>
        <w:t>заклинило</w:t>
      </w:r>
      <w:proofErr w:type="gramEnd"/>
      <w:r w:rsidRPr="00405303">
        <w:rPr>
          <w:bCs/>
          <w:color w:val="002060"/>
          <w:sz w:val="16"/>
          <w:szCs w:val="16"/>
        </w:rPr>
        <w:t xml:space="preserve"> и стрельба стала невозможной.</w:t>
      </w:r>
    </w:p>
    <w:p w14:paraId="6A9FEFF2" w14:textId="77777777" w:rsidR="004B4E35" w:rsidRPr="00405303" w:rsidRDefault="009E6F82" w:rsidP="00C15251">
      <w:pPr>
        <w:jc w:val="both"/>
        <w:rPr>
          <w:bCs/>
          <w:color w:val="002060"/>
          <w:sz w:val="16"/>
          <w:szCs w:val="16"/>
        </w:rPr>
      </w:pPr>
      <w:r w:rsidRPr="00405303">
        <w:rPr>
          <w:bCs/>
          <w:color w:val="002060"/>
          <w:sz w:val="16"/>
          <w:szCs w:val="16"/>
        </w:rPr>
        <w:t xml:space="preserve">Фактически корабль остался безоружным, не считая карабина. Тем временем в каюте поручик Смирнов и вольноопределяющийся Лавров по очереди закрывали руками пробоины в фильтре правой группы, чтобы сохранить оставшийся в баках бензин. </w:t>
      </w:r>
    </w:p>
    <w:p w14:paraId="14C500DE" w14:textId="77777777" w:rsidR="004B4E35" w:rsidRPr="00405303" w:rsidRDefault="009E6F82" w:rsidP="00C15251">
      <w:pPr>
        <w:jc w:val="both"/>
        <w:rPr>
          <w:bCs/>
          <w:color w:val="002060"/>
          <w:sz w:val="16"/>
          <w:szCs w:val="16"/>
        </w:rPr>
      </w:pPr>
      <w:r w:rsidRPr="00405303">
        <w:rPr>
          <w:bCs/>
          <w:color w:val="002060"/>
          <w:sz w:val="16"/>
          <w:szCs w:val="16"/>
        </w:rPr>
        <w:t xml:space="preserve">Вслед за первым, появился второй немец, который, </w:t>
      </w:r>
      <w:proofErr w:type="gramStart"/>
      <w:r w:rsidRPr="00405303">
        <w:rPr>
          <w:bCs/>
          <w:color w:val="002060"/>
          <w:sz w:val="16"/>
          <w:szCs w:val="16"/>
        </w:rPr>
        <w:t>к счастью</w:t>
      </w:r>
      <w:proofErr w:type="gramEnd"/>
      <w:r w:rsidRPr="00405303">
        <w:rPr>
          <w:bCs/>
          <w:color w:val="002060"/>
          <w:sz w:val="16"/>
          <w:szCs w:val="16"/>
        </w:rPr>
        <w:t xml:space="preserve"> дал только одну очередь, пролетая выше и левее "Киевского", видимо опасаясь быть сбитым, и не зная о том, что пулемёт на "Муромце" заклинило. Одна из выпушенных им пуль попала в маслобак второго мотора. Уже на подходе к линии фронта корабль с большого расстояния был обстрелян третьим "Альбатросом", который также находился слева и выше.</w:t>
      </w:r>
    </w:p>
    <w:p w14:paraId="64BEF1FA" w14:textId="77777777" w:rsidR="004B4E35" w:rsidRPr="00405303" w:rsidRDefault="009E6F82" w:rsidP="00C15251">
      <w:pPr>
        <w:jc w:val="both"/>
        <w:rPr>
          <w:bCs/>
          <w:color w:val="002060"/>
          <w:sz w:val="16"/>
          <w:szCs w:val="16"/>
        </w:rPr>
      </w:pPr>
      <w:r w:rsidRPr="00405303">
        <w:rPr>
          <w:bCs/>
          <w:color w:val="002060"/>
          <w:sz w:val="16"/>
          <w:szCs w:val="16"/>
        </w:rPr>
        <w:t>Теряя безопасную высоту, "Киевский", обстреливаемый ешё и артиллерией, с уже отказавшими правыми моторами, смог спуститься в нескольких верстах от города Холм у деревни Городище. При посадке на болотистом лугу израненный корабль был подломан, после этого приключения корабль "Киевский" (№ 150), много работавший на фронте, списали.</w:t>
      </w:r>
    </w:p>
    <w:p w14:paraId="0C55FFE8" w14:textId="77777777" w:rsidR="004B4E35" w:rsidRPr="00405303" w:rsidRDefault="009E6F82" w:rsidP="00C15251">
      <w:pPr>
        <w:jc w:val="both"/>
        <w:rPr>
          <w:bCs/>
          <w:color w:val="002060"/>
          <w:sz w:val="16"/>
          <w:szCs w:val="16"/>
        </w:rPr>
      </w:pPr>
      <w:r w:rsidRPr="00405303">
        <w:rPr>
          <w:bCs/>
          <w:color w:val="002060"/>
          <w:sz w:val="16"/>
          <w:szCs w:val="16"/>
        </w:rPr>
        <w:t>По немецким данным "Киевский" был атакован аппаратами "Альбатрос" В.II из полевого авиационного отряда (FFA21). Один из повреждённых германских аэропланов вынужденно сел у аэродрома близ Замостья.</w:t>
      </w:r>
    </w:p>
    <w:p w14:paraId="5A4712F7" w14:textId="77777777" w:rsidR="004B4E35" w:rsidRPr="00405303" w:rsidRDefault="009E6F82" w:rsidP="00C15251">
      <w:pPr>
        <w:jc w:val="both"/>
        <w:rPr>
          <w:bCs/>
          <w:color w:val="002060"/>
          <w:sz w:val="16"/>
          <w:szCs w:val="16"/>
        </w:rPr>
      </w:pPr>
      <w:r w:rsidRPr="00405303">
        <w:rPr>
          <w:bCs/>
          <w:color w:val="002060"/>
          <w:sz w:val="16"/>
          <w:szCs w:val="16"/>
        </w:rPr>
        <w:t>На фронте остался один корабль - "Илья Муромец III" штабс-капитана Озерского. Теперь на борт брали три пулемёта: "Мадсен", "Максим" и "Льюис" с боезапасом в 150, 500 и 280 патронов соответственно. Этот корабль с апреля по октябрь 1915 года совершил более 30 полетов, часто проникая на территорию противника на глубину до 190 вёрст (202 км). В своём последнем вылете, 2 ноября 1915 года, во время бомбометания корабль попал под сильный зенитный огонь. Осколками снарядов были повреждены тросы, ведшие к элеронам. Штабс-капи- тан Озерский стал поворачивать назад, действуя лишь рулем направления. При спуске, из-за внезапного отключения двух левых моторов, корабль наклонился на левую сторону и скользнул на крыло, затем на высоте 200-250 метров перешёл на нос и в пологом штопоре упал на нашей территории. Погибли штабс-капитан Озерский, подполковник Звегинцев и старший унтер-офицер Фогт. Поручик Спасов уцелел каким-то чудом, хотя и получил очень тяжёлые переломы и повреждения.</w:t>
      </w:r>
    </w:p>
    <w:p w14:paraId="73AF6398" w14:textId="77777777" w:rsidR="004B4E35" w:rsidRPr="00405303" w:rsidRDefault="009E6F82" w:rsidP="00C15251">
      <w:pPr>
        <w:jc w:val="both"/>
        <w:rPr>
          <w:bCs/>
          <w:color w:val="002060"/>
          <w:sz w:val="16"/>
          <w:szCs w:val="16"/>
        </w:rPr>
      </w:pPr>
      <w:r w:rsidRPr="00405303">
        <w:rPr>
          <w:bCs/>
          <w:color w:val="002060"/>
          <w:sz w:val="16"/>
          <w:szCs w:val="16"/>
        </w:rPr>
        <w:t>Считалось, что одной из причин трагедии стало снятие Озерским добавочных рулей, чем уменьшилась устойчивость аппарата, хотя с недействующими элеронами выправить крен было практически невозможно (12041).</w:t>
      </w:r>
    </w:p>
    <w:p w14:paraId="2A8CC491" w14:textId="77777777" w:rsidR="004B4E35" w:rsidRPr="00405303" w:rsidRDefault="004B4E35" w:rsidP="00C15251">
      <w:pPr>
        <w:jc w:val="both"/>
        <w:rPr>
          <w:bCs/>
          <w:color w:val="002060"/>
          <w:sz w:val="16"/>
          <w:szCs w:val="16"/>
        </w:rPr>
      </w:pPr>
    </w:p>
    <w:p w14:paraId="755DBC6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 (18) июля 1915 воздушный корабль "Илья Муромец Киевский" под управлением И.С.Башко был атакован в районе Холма на высоте 3500 м тремя немецкими истребителями и выдержал с ними бой, в результате которого один истребитель был подбит, а два другие обращены в бегство. Командир корабля, несмотря на ранение и повреждение в самолете, долетел и благополучно приземлился на своем аэродроме (Газетные сообщения за 6 июля 1915, архив Вишнева в ЦДА).</w:t>
      </w:r>
    </w:p>
    <w:p w14:paraId="28109694" w14:textId="77777777" w:rsidR="004B4E35" w:rsidRPr="00405303" w:rsidRDefault="004B4E35" w:rsidP="00C15251">
      <w:pPr>
        <w:shd w:val="clear" w:color="auto" w:fill="FFFFFF"/>
        <w:jc w:val="both"/>
        <w:rPr>
          <w:bCs/>
          <w:color w:val="002060"/>
          <w:sz w:val="16"/>
          <w:szCs w:val="16"/>
        </w:rPr>
      </w:pPr>
    </w:p>
    <w:p w14:paraId="0ED6D8A4" w14:textId="77777777" w:rsidR="00511560" w:rsidRPr="00405303" w:rsidRDefault="00511560" w:rsidP="00C15251">
      <w:pPr>
        <w:jc w:val="both"/>
        <w:rPr>
          <w:bCs/>
          <w:color w:val="002060"/>
          <w:sz w:val="16"/>
          <w:szCs w:val="16"/>
        </w:rPr>
      </w:pPr>
      <w:r w:rsidRPr="00405303">
        <w:rPr>
          <w:bCs/>
          <w:color w:val="002060"/>
          <w:sz w:val="16"/>
          <w:szCs w:val="16"/>
        </w:rPr>
        <w:t>5 (18) июля 1915 г. воздушный корабль «Илья Муромец киевский» под управлением И.С. Башко был атакован в районе Холма на высоте 3500 м тремя немецкими истребителями и выдержал с ними бой, в результате котoporo один истребитель был подбит, а два другие обращены в бег</w:t>
      </w:r>
      <w:r w:rsidRPr="00405303">
        <w:rPr>
          <w:bCs/>
          <w:color w:val="002060"/>
          <w:sz w:val="16"/>
          <w:szCs w:val="16"/>
        </w:rPr>
        <w:softHyphen/>
        <w:t>ство. Командир корабля, несмотря на ранение и поврездение в самолете, долетел и благополучно приземлился на своем аэродроме.</w:t>
      </w:r>
    </w:p>
    <w:p w14:paraId="6341D66E" w14:textId="77777777" w:rsidR="00511560" w:rsidRPr="00405303" w:rsidRDefault="00511560" w:rsidP="00C15251">
      <w:pPr>
        <w:jc w:val="both"/>
        <w:rPr>
          <w:bCs/>
          <w:color w:val="002060"/>
          <w:sz w:val="16"/>
          <w:szCs w:val="16"/>
        </w:rPr>
      </w:pPr>
      <w:r w:rsidRPr="00405303">
        <w:rPr>
          <w:bCs/>
          <w:color w:val="002060"/>
          <w:sz w:val="16"/>
          <w:szCs w:val="16"/>
        </w:rPr>
        <w:t>/Газетные сообщения за 6 июля 1915, архив Вишнева в ЦДЛ/ (23320).</w:t>
      </w:r>
    </w:p>
    <w:p w14:paraId="6FCC2568" w14:textId="77777777" w:rsidR="00511560" w:rsidRPr="00405303" w:rsidRDefault="00511560" w:rsidP="00C15251">
      <w:pPr>
        <w:jc w:val="both"/>
        <w:rPr>
          <w:bCs/>
          <w:color w:val="002060"/>
          <w:sz w:val="16"/>
          <w:szCs w:val="16"/>
        </w:rPr>
      </w:pPr>
    </w:p>
    <w:p w14:paraId="72C95CFF" w14:textId="77777777" w:rsidR="00511560" w:rsidRPr="00405303" w:rsidRDefault="00511560" w:rsidP="00C15251">
      <w:pPr>
        <w:jc w:val="both"/>
        <w:rPr>
          <w:bCs/>
          <w:color w:val="002060"/>
          <w:sz w:val="16"/>
          <w:szCs w:val="16"/>
        </w:rPr>
      </w:pPr>
      <w:r w:rsidRPr="00405303">
        <w:rPr>
          <w:bCs/>
          <w:color w:val="002060"/>
          <w:sz w:val="16"/>
          <w:szCs w:val="16"/>
        </w:rPr>
        <w:t>5 (18) июля 1915 г. корабли ИМ перелетели в Марковшизну, затем в Белосток, и 14 июля собрались в Лиде (12041).</w:t>
      </w:r>
    </w:p>
    <w:p w14:paraId="3201A995" w14:textId="77777777" w:rsidR="00511560" w:rsidRPr="00405303" w:rsidRDefault="00511560" w:rsidP="00C15251">
      <w:pPr>
        <w:jc w:val="both"/>
        <w:rPr>
          <w:bCs/>
          <w:color w:val="002060"/>
          <w:sz w:val="16"/>
          <w:szCs w:val="16"/>
        </w:rPr>
      </w:pPr>
    </w:p>
    <w:p w14:paraId="4AC058D2" w14:textId="0A85E7BC" w:rsidR="002D484A" w:rsidRPr="00405303" w:rsidRDefault="002D484A" w:rsidP="00C15251">
      <w:pPr>
        <w:jc w:val="both"/>
        <w:rPr>
          <w:bCs/>
          <w:color w:val="002060"/>
          <w:sz w:val="16"/>
          <w:szCs w:val="16"/>
        </w:rPr>
      </w:pPr>
      <w:r w:rsidRPr="00405303">
        <w:rPr>
          <w:bCs/>
          <w:color w:val="002060"/>
          <w:sz w:val="16"/>
          <w:szCs w:val="16"/>
        </w:rPr>
        <w:t>5 (18) июля 1915 г. первым повстречался с истреби</w:t>
      </w:r>
      <w:r w:rsidRPr="00405303">
        <w:rPr>
          <w:bCs/>
          <w:color w:val="002060"/>
          <w:sz w:val="16"/>
          <w:szCs w:val="16"/>
        </w:rPr>
        <w:softHyphen/>
        <w:t>телями экипаж «Киевского». Это случилось Был обыч</w:t>
      </w:r>
      <w:r w:rsidRPr="00405303">
        <w:rPr>
          <w:bCs/>
          <w:color w:val="002060"/>
          <w:sz w:val="16"/>
          <w:szCs w:val="16"/>
        </w:rPr>
        <w:softHyphen/>
        <w:t>ный полёт из Влодавы на бомбежку железнодорожных станций. От</w:t>
      </w:r>
      <w:r w:rsidRPr="00405303">
        <w:rPr>
          <w:bCs/>
          <w:color w:val="002060"/>
          <w:sz w:val="16"/>
          <w:szCs w:val="16"/>
        </w:rPr>
        <w:softHyphen/>
        <w:t>бомбившись, корабль лёг на обрат</w:t>
      </w:r>
      <w:r w:rsidRPr="00405303">
        <w:rPr>
          <w:bCs/>
          <w:color w:val="002060"/>
          <w:sz w:val="16"/>
          <w:szCs w:val="16"/>
        </w:rPr>
        <w:softHyphen/>
        <w:t>ный путь и в 40 км от линии фрон</w:t>
      </w:r>
      <w:r w:rsidRPr="00405303">
        <w:rPr>
          <w:bCs/>
          <w:color w:val="002060"/>
          <w:sz w:val="16"/>
          <w:szCs w:val="16"/>
        </w:rPr>
        <w:softHyphen/>
        <w:t>та на высоте 3,5 тыс. м был атакован истребителями «Бранденбург«. За штурвалом сидел Башко. Истре</w:t>
      </w:r>
      <w:r w:rsidRPr="00405303">
        <w:rPr>
          <w:bCs/>
          <w:color w:val="002060"/>
          <w:sz w:val="16"/>
          <w:szCs w:val="16"/>
        </w:rPr>
        <w:softHyphen/>
        <w:t>битель дал очередь из пулемёта по левому борту «Муромца». Командир был ранен в голову и ногу. Пробиты оба верхних бака и оба бензопро</w:t>
      </w:r>
      <w:r w:rsidRPr="00405303">
        <w:rPr>
          <w:bCs/>
          <w:color w:val="002060"/>
          <w:sz w:val="16"/>
          <w:szCs w:val="16"/>
        </w:rPr>
        <w:softHyphen/>
        <w:t>вода левой группы моторов. Теперь работали только правые двигатели. Башко, превозмогая боль, удержал корабль на курсе. Тем временем ис</w:t>
      </w:r>
      <w:r w:rsidRPr="00405303">
        <w:rPr>
          <w:bCs/>
          <w:color w:val="002060"/>
          <w:sz w:val="16"/>
          <w:szCs w:val="16"/>
        </w:rPr>
        <w:softHyphen/>
        <w:t>требитель вновь вышел в атаку. На</w:t>
      </w:r>
      <w:r w:rsidRPr="00405303">
        <w:rPr>
          <w:bCs/>
          <w:color w:val="002060"/>
          <w:sz w:val="16"/>
          <w:szCs w:val="16"/>
        </w:rPr>
        <w:softHyphen/>
        <w:t>умов первым открыл огонь из пуле</w:t>
      </w:r>
      <w:r w:rsidRPr="00405303">
        <w:rPr>
          <w:bCs/>
          <w:color w:val="002060"/>
          <w:sz w:val="16"/>
          <w:szCs w:val="16"/>
        </w:rPr>
        <w:softHyphen/>
        <w:t>мёта. Истребитель вздрогнул и по</w:t>
      </w:r>
      <w:r w:rsidRPr="00405303">
        <w:rPr>
          <w:bCs/>
          <w:color w:val="002060"/>
          <w:sz w:val="16"/>
          <w:szCs w:val="16"/>
        </w:rPr>
        <w:softHyphen/>
        <w:t>шёл на снижение. В атаку перешёл второй неприятельский аэроплан. Его удалось отогнать стрельбой из карабина. При подходе к линии фронта корабль был обстрелян с большого удаления третьим ис</w:t>
      </w:r>
      <w:r w:rsidRPr="00405303">
        <w:rPr>
          <w:bCs/>
          <w:color w:val="002060"/>
          <w:sz w:val="16"/>
          <w:szCs w:val="16"/>
        </w:rPr>
        <w:softHyphen/>
        <w:t>требителем. На высоте 700 м остановились и правые двигатели. Ко</w:t>
      </w:r>
      <w:r w:rsidRPr="00405303">
        <w:rPr>
          <w:bCs/>
          <w:color w:val="002060"/>
          <w:sz w:val="16"/>
          <w:szCs w:val="16"/>
        </w:rPr>
        <w:softHyphen/>
        <w:t>мандир, несмотря на ранение, удач</w:t>
      </w:r>
      <w:r w:rsidRPr="00405303">
        <w:rPr>
          <w:bCs/>
          <w:color w:val="002060"/>
          <w:sz w:val="16"/>
          <w:szCs w:val="16"/>
        </w:rPr>
        <w:softHyphen/>
        <w:t>но посадил тоже израненную ма</w:t>
      </w:r>
      <w:r w:rsidRPr="00405303">
        <w:rPr>
          <w:bCs/>
          <w:color w:val="002060"/>
          <w:sz w:val="16"/>
          <w:szCs w:val="16"/>
        </w:rPr>
        <w:softHyphen/>
        <w:t>шину на болотистом лугу в тылу русских войск. Командование по достоинству оценило мужество лётных бойцов, и весь экипаж был награждён. Башко получил орден Св. Георгия IV степени, первую столь высокую награду в ЭВК (23469).</w:t>
      </w:r>
    </w:p>
    <w:p w14:paraId="501C5F42" w14:textId="77777777" w:rsidR="002D484A" w:rsidRPr="00405303" w:rsidRDefault="002D484A" w:rsidP="00C15251">
      <w:pPr>
        <w:jc w:val="both"/>
        <w:rPr>
          <w:bCs/>
          <w:color w:val="002060"/>
          <w:sz w:val="16"/>
          <w:szCs w:val="16"/>
          <w:lang w:bidi="ru-RU"/>
        </w:rPr>
      </w:pPr>
    </w:p>
    <w:p w14:paraId="6B7F4130" w14:textId="797E6FEF" w:rsidR="002D484A" w:rsidRPr="00405303" w:rsidRDefault="002D484A" w:rsidP="00C15251">
      <w:pPr>
        <w:jc w:val="both"/>
        <w:rPr>
          <w:bCs/>
          <w:color w:val="002060"/>
          <w:sz w:val="16"/>
          <w:szCs w:val="16"/>
        </w:rPr>
      </w:pPr>
      <w:r w:rsidRPr="00405303">
        <w:rPr>
          <w:bCs/>
          <w:color w:val="002060"/>
          <w:sz w:val="16"/>
          <w:szCs w:val="16"/>
        </w:rPr>
        <w:t>5 (18) июля 1915 г. (18.07.15 г. по н.ст.) корабль «Илья Муромец» В-9 (ИМ В-9 № 150 «Корабль Киевский» «остроносый», борт № VI) экз. № 9, стратегический разведчик, тяжелый бомбардировщик под управлением поручика И.С. Башко (помощник командира поручик М.В. Смирнов, артиллерийский офицер штабс-капитан А.А. Наумов, моторист вольноопределяющийся младший унтер-офицер А.М. Лавров) вылетел на разведку и бомбометание, имея на борту 10 бомб калибра 16 кг, 25 – калибра 11 кг, 12 зажигательных снарядов, один пулемет системы Мадсена обр. 1904 г. и карабин с общим боезапасом 260 патронов.</w:t>
      </w:r>
    </w:p>
    <w:p w14:paraId="0BF4C2F4" w14:textId="77777777" w:rsidR="002D484A" w:rsidRPr="00405303" w:rsidRDefault="002D484A" w:rsidP="00C15251">
      <w:pPr>
        <w:jc w:val="both"/>
        <w:rPr>
          <w:bCs/>
          <w:color w:val="002060"/>
          <w:sz w:val="16"/>
          <w:szCs w:val="16"/>
        </w:rPr>
      </w:pPr>
      <w:r w:rsidRPr="00405303">
        <w:rPr>
          <w:bCs/>
          <w:color w:val="002060"/>
          <w:sz w:val="16"/>
          <w:szCs w:val="16"/>
        </w:rPr>
        <w:t>Над г. Шербжешин (Польша) в 40 км от линии фронта на высоте 3200…3500 м снизу был атакован немецким самолетом. Огонь по противнику был открыт своевременно, но был не точен, а после 35 выстрелов пулемет заклинил.</w:t>
      </w:r>
    </w:p>
    <w:p w14:paraId="47E7CF80" w14:textId="77777777" w:rsidR="002D484A" w:rsidRPr="00405303" w:rsidRDefault="002D484A" w:rsidP="00C15251">
      <w:pPr>
        <w:jc w:val="both"/>
        <w:rPr>
          <w:bCs/>
          <w:color w:val="002060"/>
          <w:sz w:val="16"/>
          <w:szCs w:val="16"/>
        </w:rPr>
      </w:pPr>
      <w:r w:rsidRPr="00405303">
        <w:rPr>
          <w:bCs/>
          <w:color w:val="002060"/>
          <w:sz w:val="16"/>
          <w:szCs w:val="16"/>
        </w:rPr>
        <w:t xml:space="preserve">Противник в первой же атаке смог повредить два верхних топливных бака, бензопроводы левой группы моторов, бензиновый фильтр правой группы моторов, радиатор охлаждения мотора №2. Левая группа моторов была отключена. Одновременно были пробиты передние стекла кабины по правому борту и был ранен в ногу и в голову командир корабля Башко – после атаки его временно сменил Смирнов, после перевязки Башко вернулся к управлению самолетом, а Смирнов и Лавров руками пытались закрывать пробоину в топливном фильтре, через которую вытекал бензин. Вторая атака этого самолета противника была отбита </w:t>
      </w:r>
      <w:proofErr w:type="gramStart"/>
      <w:r w:rsidRPr="00405303">
        <w:rPr>
          <w:bCs/>
          <w:color w:val="002060"/>
          <w:sz w:val="16"/>
          <w:szCs w:val="16"/>
        </w:rPr>
        <w:t>ружейным огнем</w:t>
      </w:r>
      <w:proofErr w:type="gramEnd"/>
      <w:r w:rsidRPr="00405303">
        <w:rPr>
          <w:bCs/>
          <w:color w:val="002060"/>
          <w:sz w:val="16"/>
          <w:szCs w:val="16"/>
        </w:rPr>
        <w:t xml:space="preserve"> и он отошел. Корабль развернулся на маршрут возвращения.</w:t>
      </w:r>
    </w:p>
    <w:p w14:paraId="23103892" w14:textId="77777777" w:rsidR="002D484A" w:rsidRPr="00405303" w:rsidRDefault="002D484A" w:rsidP="00C15251">
      <w:pPr>
        <w:jc w:val="both"/>
        <w:rPr>
          <w:bCs/>
          <w:color w:val="002060"/>
          <w:sz w:val="16"/>
          <w:szCs w:val="16"/>
        </w:rPr>
      </w:pPr>
      <w:r w:rsidRPr="00405303">
        <w:rPr>
          <w:bCs/>
          <w:color w:val="002060"/>
          <w:sz w:val="16"/>
          <w:szCs w:val="16"/>
        </w:rPr>
        <w:t xml:space="preserve">Сразу за первым появился второй самолет противника, который своим огнем пробил маслобак мотора № 2, но его повторная атака </w:t>
      </w:r>
      <w:proofErr w:type="gramStart"/>
      <w:r w:rsidRPr="00405303">
        <w:rPr>
          <w:bCs/>
          <w:color w:val="002060"/>
          <w:sz w:val="16"/>
          <w:szCs w:val="16"/>
        </w:rPr>
        <w:t>была отбита</w:t>
      </w:r>
      <w:proofErr w:type="gramEnd"/>
      <w:r w:rsidRPr="00405303">
        <w:rPr>
          <w:bCs/>
          <w:color w:val="002060"/>
          <w:sz w:val="16"/>
          <w:szCs w:val="16"/>
        </w:rPr>
        <w:t xml:space="preserve"> и он также отвалил.</w:t>
      </w:r>
    </w:p>
    <w:p w14:paraId="4056EF10" w14:textId="77777777" w:rsidR="002D484A" w:rsidRPr="00405303" w:rsidRDefault="002D484A" w:rsidP="00C15251">
      <w:pPr>
        <w:jc w:val="both"/>
        <w:rPr>
          <w:bCs/>
          <w:color w:val="002060"/>
          <w:sz w:val="16"/>
          <w:szCs w:val="16"/>
        </w:rPr>
      </w:pPr>
      <w:r w:rsidRPr="00405303">
        <w:rPr>
          <w:bCs/>
          <w:color w:val="002060"/>
          <w:sz w:val="16"/>
          <w:szCs w:val="16"/>
        </w:rPr>
        <w:t xml:space="preserve">Над линией фронта в полете со снижением на высоте 1400…1500 м корабль был атакован третьим самолетом противника и обстрелян артиллерией с земли. На подлете к г. Холм (Chełm, ныне – Люблинское воеводство, восток Польши) на высоте около 700 м по причине вытекания бензина все моторы остановились. На планировании </w:t>
      </w:r>
      <w:r w:rsidRPr="00405303">
        <w:rPr>
          <w:bCs/>
          <w:color w:val="002060"/>
          <w:sz w:val="16"/>
          <w:szCs w:val="16"/>
        </w:rPr>
        <w:lastRenderedPageBreak/>
        <w:t>экипаж не только смог пересечь линию фронта, но и найти аэродром 24-го АО у дер. Городище, где произвел экстренную посадку. Но летное поле на заболоченном лугу оказалось не приспособленным для тяжелого самолета – шасси увязли в грунте и были сломаны в левой части основных опор, разрушились винт мотора № 2, несколько нервюр и 4 стойки бипланной коробки возле него, треснул задний лонжерон среднего отсека нижнего правого полукрыла. При осмотре нашли не выявленные ранее пулевые пробоины:</w:t>
      </w:r>
    </w:p>
    <w:p w14:paraId="621E113A" w14:textId="77777777" w:rsidR="002D484A" w:rsidRPr="00405303" w:rsidRDefault="002D484A" w:rsidP="00C15251">
      <w:pPr>
        <w:jc w:val="both"/>
        <w:rPr>
          <w:bCs/>
          <w:color w:val="002060"/>
          <w:sz w:val="16"/>
          <w:szCs w:val="16"/>
        </w:rPr>
      </w:pPr>
      <w:r w:rsidRPr="00405303">
        <w:rPr>
          <w:bCs/>
          <w:color w:val="002060"/>
          <w:sz w:val="16"/>
          <w:szCs w:val="16"/>
        </w:rPr>
        <w:t>- 2 в винте, 1 в подкосе рамы мотора № 3;</w:t>
      </w:r>
    </w:p>
    <w:p w14:paraId="3687C4CC" w14:textId="77777777" w:rsidR="002D484A" w:rsidRPr="00405303" w:rsidRDefault="002D484A" w:rsidP="00C15251">
      <w:pPr>
        <w:jc w:val="both"/>
        <w:rPr>
          <w:bCs/>
          <w:color w:val="002060"/>
          <w:sz w:val="16"/>
          <w:szCs w:val="16"/>
        </w:rPr>
      </w:pPr>
      <w:r w:rsidRPr="00405303">
        <w:rPr>
          <w:bCs/>
          <w:color w:val="002060"/>
          <w:sz w:val="16"/>
          <w:szCs w:val="16"/>
        </w:rPr>
        <w:t>- в грузовой раме и в магнето мотора № 2;</w:t>
      </w:r>
    </w:p>
    <w:p w14:paraId="1195A113" w14:textId="77777777" w:rsidR="002D484A" w:rsidRPr="00405303" w:rsidRDefault="002D484A" w:rsidP="00C15251">
      <w:pPr>
        <w:jc w:val="both"/>
        <w:rPr>
          <w:bCs/>
          <w:color w:val="002060"/>
          <w:sz w:val="16"/>
          <w:szCs w:val="16"/>
        </w:rPr>
      </w:pPr>
      <w:r w:rsidRPr="00405303">
        <w:rPr>
          <w:bCs/>
          <w:color w:val="002060"/>
          <w:sz w:val="16"/>
          <w:szCs w:val="16"/>
        </w:rPr>
        <w:t>- в стойке бипланной коробки за мотором № 1;</w:t>
      </w:r>
    </w:p>
    <w:p w14:paraId="34511D03" w14:textId="77777777" w:rsidR="002D484A" w:rsidRPr="00405303" w:rsidRDefault="002D484A" w:rsidP="00C15251">
      <w:pPr>
        <w:jc w:val="both"/>
        <w:rPr>
          <w:bCs/>
          <w:color w:val="002060"/>
          <w:sz w:val="16"/>
          <w:szCs w:val="16"/>
        </w:rPr>
      </w:pPr>
      <w:r w:rsidRPr="00405303">
        <w:rPr>
          <w:bCs/>
          <w:color w:val="002060"/>
          <w:sz w:val="16"/>
          <w:szCs w:val="16"/>
        </w:rPr>
        <w:t>- несколько в обшивке;</w:t>
      </w:r>
    </w:p>
    <w:p w14:paraId="26D2BE07" w14:textId="77777777" w:rsidR="002D484A" w:rsidRPr="00405303" w:rsidRDefault="002D484A" w:rsidP="00C15251">
      <w:pPr>
        <w:jc w:val="both"/>
        <w:rPr>
          <w:bCs/>
          <w:color w:val="002060"/>
          <w:sz w:val="16"/>
          <w:szCs w:val="16"/>
        </w:rPr>
      </w:pPr>
      <w:r w:rsidRPr="00405303">
        <w:rPr>
          <w:bCs/>
          <w:color w:val="002060"/>
          <w:sz w:val="16"/>
          <w:szCs w:val="16"/>
        </w:rPr>
        <w:t>- 1 покрышке колеса шасси.</w:t>
      </w:r>
    </w:p>
    <w:p w14:paraId="7DD0E662" w14:textId="77777777" w:rsidR="002D484A" w:rsidRPr="00405303" w:rsidRDefault="002D484A" w:rsidP="00C15251">
      <w:pPr>
        <w:jc w:val="both"/>
        <w:rPr>
          <w:bCs/>
          <w:color w:val="002060"/>
          <w:sz w:val="16"/>
          <w:szCs w:val="16"/>
        </w:rPr>
      </w:pPr>
      <w:r w:rsidRPr="00405303">
        <w:rPr>
          <w:bCs/>
          <w:color w:val="002060"/>
          <w:sz w:val="16"/>
          <w:szCs w:val="16"/>
        </w:rPr>
        <w:t>В этом бою безвозвратных потерь в экипаже нет, Башко, продолживший управление кораблем после ранения, награжден орденом Св. Георгия IV ст.</w:t>
      </w:r>
    </w:p>
    <w:p w14:paraId="5223479E" w14:textId="77777777" w:rsidR="002D484A" w:rsidRPr="00405303" w:rsidRDefault="002D484A" w:rsidP="00C15251">
      <w:pPr>
        <w:jc w:val="both"/>
        <w:rPr>
          <w:bCs/>
          <w:color w:val="002060"/>
          <w:sz w:val="16"/>
          <w:szCs w:val="16"/>
        </w:rPr>
      </w:pPr>
      <w:r w:rsidRPr="00405303">
        <w:rPr>
          <w:bCs/>
          <w:color w:val="002060"/>
          <w:sz w:val="16"/>
          <w:szCs w:val="16"/>
        </w:rPr>
        <w:t>Корабль был более боевых вылетов не совершал и видимо был после этого полета был отправлен на РБВЗ для возможного ремонта. Но восстановить его не удалось и аэроплан был списан.</w:t>
      </w:r>
    </w:p>
    <w:p w14:paraId="2E7F68B8" w14:textId="77777777" w:rsidR="002D484A" w:rsidRPr="00405303" w:rsidRDefault="002D484A" w:rsidP="00C15251">
      <w:pPr>
        <w:jc w:val="both"/>
        <w:rPr>
          <w:bCs/>
          <w:color w:val="002060"/>
          <w:sz w:val="16"/>
          <w:szCs w:val="16"/>
        </w:rPr>
      </w:pPr>
      <w:r w:rsidRPr="00405303">
        <w:rPr>
          <w:bCs/>
          <w:color w:val="002060"/>
          <w:sz w:val="16"/>
          <w:szCs w:val="16"/>
        </w:rPr>
        <w:t>Корабль совершил 27 боевых вылетов и сбросил до 5760 кг (360 пудов) бомб (23563).</w:t>
      </w:r>
    </w:p>
    <w:p w14:paraId="68E11908" w14:textId="77777777" w:rsidR="002D484A" w:rsidRPr="00405303" w:rsidRDefault="002D484A" w:rsidP="00C15251">
      <w:pPr>
        <w:jc w:val="both"/>
        <w:rPr>
          <w:bCs/>
          <w:color w:val="002060"/>
          <w:sz w:val="16"/>
          <w:szCs w:val="16"/>
          <w:lang w:bidi="ru-RU"/>
        </w:rPr>
      </w:pPr>
    </w:p>
    <w:p w14:paraId="1E8A3EF8" w14:textId="1ECAACA9" w:rsidR="002D484A" w:rsidRPr="00405303" w:rsidRDefault="002D484A" w:rsidP="00C15251">
      <w:pPr>
        <w:jc w:val="both"/>
        <w:rPr>
          <w:bCs/>
          <w:color w:val="002060"/>
          <w:sz w:val="16"/>
          <w:szCs w:val="16"/>
        </w:rPr>
      </w:pPr>
      <w:r w:rsidRPr="00405303">
        <w:rPr>
          <w:bCs/>
          <w:color w:val="002060"/>
          <w:sz w:val="16"/>
          <w:szCs w:val="16"/>
        </w:rPr>
        <w:t>С 5 (18) июля 1915 г., после первой попытки немецких самолетов атаки «Ильи Муромца», штатное вооружение корабля усилили до 3 пулеметов:</w:t>
      </w:r>
    </w:p>
    <w:p w14:paraId="389E7B9F" w14:textId="77777777" w:rsidR="002D484A" w:rsidRPr="00405303" w:rsidRDefault="002D484A" w:rsidP="00C15251">
      <w:pPr>
        <w:jc w:val="both"/>
        <w:rPr>
          <w:bCs/>
          <w:color w:val="002060"/>
          <w:sz w:val="16"/>
          <w:szCs w:val="16"/>
        </w:rPr>
      </w:pPr>
      <w:r w:rsidRPr="00405303">
        <w:rPr>
          <w:bCs/>
          <w:color w:val="002060"/>
          <w:sz w:val="16"/>
          <w:szCs w:val="16"/>
        </w:rPr>
        <w:t>- один Льюис Mk.</w:t>
      </w:r>
      <w:proofErr w:type="gramStart"/>
      <w:r w:rsidRPr="00405303">
        <w:rPr>
          <w:bCs/>
          <w:color w:val="002060"/>
          <w:sz w:val="16"/>
          <w:szCs w:val="16"/>
        </w:rPr>
        <w:t>I(</w:t>
      </w:r>
      <w:proofErr w:type="gramEnd"/>
      <w:r w:rsidRPr="00405303">
        <w:rPr>
          <w:bCs/>
          <w:color w:val="002060"/>
          <w:sz w:val="16"/>
          <w:szCs w:val="16"/>
        </w:rPr>
        <w:t>282 патронов в шести дисках);</w:t>
      </w:r>
    </w:p>
    <w:p w14:paraId="32F96033" w14:textId="77777777" w:rsidR="002D484A" w:rsidRPr="00405303" w:rsidRDefault="002D484A" w:rsidP="00C15251">
      <w:pPr>
        <w:jc w:val="both"/>
        <w:rPr>
          <w:bCs/>
          <w:color w:val="002060"/>
          <w:sz w:val="16"/>
          <w:szCs w:val="16"/>
        </w:rPr>
      </w:pPr>
      <w:r w:rsidRPr="00405303">
        <w:rPr>
          <w:bCs/>
          <w:color w:val="002060"/>
          <w:sz w:val="16"/>
          <w:szCs w:val="16"/>
        </w:rPr>
        <w:t>- один Мадсен M.1904/1915 (150 патронов в шести рожковых магазинах);</w:t>
      </w:r>
    </w:p>
    <w:p w14:paraId="23EC4B69" w14:textId="77777777" w:rsidR="002D484A" w:rsidRPr="00405303" w:rsidRDefault="002D484A" w:rsidP="00C15251">
      <w:pPr>
        <w:jc w:val="both"/>
        <w:rPr>
          <w:bCs/>
          <w:color w:val="002060"/>
          <w:sz w:val="16"/>
          <w:szCs w:val="16"/>
        </w:rPr>
      </w:pPr>
      <w:r w:rsidRPr="00405303">
        <w:rPr>
          <w:bCs/>
          <w:color w:val="002060"/>
          <w:sz w:val="16"/>
          <w:szCs w:val="16"/>
        </w:rPr>
        <w:t>- Максим обр. 1910 (приспособлен серийный станковый пулемет калибра 7,62 мм, боекомплект – брезентовые ленты, всего – 500 патронов).</w:t>
      </w:r>
    </w:p>
    <w:p w14:paraId="3B15CE8A" w14:textId="77777777" w:rsidR="002D484A" w:rsidRPr="00405303" w:rsidRDefault="002D484A" w:rsidP="00C15251">
      <w:pPr>
        <w:jc w:val="both"/>
        <w:rPr>
          <w:bCs/>
          <w:color w:val="002060"/>
          <w:sz w:val="16"/>
          <w:szCs w:val="16"/>
        </w:rPr>
      </w:pPr>
      <w:r w:rsidRPr="00405303">
        <w:rPr>
          <w:bCs/>
          <w:color w:val="002060"/>
          <w:sz w:val="16"/>
          <w:szCs w:val="16"/>
        </w:rPr>
        <w:t>На самолете остались две шкворневые установки, которые использовались для одного пулемета Максим обр. 1910 (ставить туда вместе со станковым еще один пулемет оказалось неудобно), из легких пулеметов огонь велся из дверей и окон. В то же время на этом месте могли ставиться два легких пулемета.</w:t>
      </w:r>
    </w:p>
    <w:p w14:paraId="4EA16457" w14:textId="77777777" w:rsidR="002D484A" w:rsidRPr="00405303" w:rsidRDefault="002D484A" w:rsidP="00C15251">
      <w:pPr>
        <w:jc w:val="both"/>
        <w:rPr>
          <w:bCs/>
          <w:color w:val="002060"/>
          <w:sz w:val="16"/>
          <w:szCs w:val="16"/>
        </w:rPr>
      </w:pPr>
      <w:r w:rsidRPr="00405303">
        <w:rPr>
          <w:bCs/>
          <w:color w:val="002060"/>
          <w:sz w:val="16"/>
          <w:szCs w:val="16"/>
        </w:rPr>
        <w:t>В дальнейшем для всех кораблей типа В такое вооружение считалось стандартным, но в строевой службе самолеты комплектовались оборонительным пулеметным вооружением с отступлением от этого стандарта (23563).</w:t>
      </w:r>
    </w:p>
    <w:p w14:paraId="20934023" w14:textId="77777777" w:rsidR="002D484A" w:rsidRPr="00405303" w:rsidRDefault="002D484A" w:rsidP="00C15251">
      <w:pPr>
        <w:jc w:val="both"/>
        <w:rPr>
          <w:bCs/>
          <w:color w:val="002060"/>
          <w:sz w:val="16"/>
          <w:szCs w:val="16"/>
          <w:lang w:bidi="ru-RU"/>
        </w:rPr>
      </w:pPr>
    </w:p>
    <w:p w14:paraId="090ABA84" w14:textId="77777777" w:rsidR="009E2253" w:rsidRPr="00405303" w:rsidRDefault="009E2253" w:rsidP="009E2253">
      <w:pPr>
        <w:widowControl w:val="0"/>
        <w:tabs>
          <w:tab w:val="left" w:pos="721"/>
        </w:tabs>
        <w:jc w:val="both"/>
        <w:rPr>
          <w:rFonts w:eastAsia="Trebuchet MS"/>
          <w:color w:val="0070C0"/>
          <w:sz w:val="16"/>
          <w:szCs w:val="16"/>
          <w:shd w:val="clear" w:color="auto" w:fill="FFFFFF"/>
        </w:rPr>
      </w:pPr>
      <w:r w:rsidRPr="00405303">
        <w:rPr>
          <w:rFonts w:eastAsia="Trebuchet MS"/>
          <w:color w:val="0070C0"/>
          <w:sz w:val="16"/>
          <w:szCs w:val="16"/>
          <w:shd w:val="clear" w:color="auto" w:fill="FFFFFF"/>
        </w:rPr>
        <w:t>5 (18) июля 1915 года в 5 часов утра на разведку отправился первый самолет 31-го корпусного авиаотряда. На подлете к Влодаве летчики не обнаружили никакого движения ни по левому берегу реки Буг, ни в деревнях, расположенных вблизи реки. Однако, отлетев на 25 километров в сторону от Влодавы, русские летчики смогли обнаружить движение двух крупных пехотных колонн противника с арьиллерией, конницей и обозами. Первая из колонн направлялась по шоссе из местечка Войславице на Влодаву, а другая шла по шоссе Холм-Влодава. В общей сложности здесь было сосредоточено до 1,5 корпусов пехоты противника.</w:t>
      </w:r>
    </w:p>
    <w:p w14:paraId="7BA212BF" w14:textId="77777777" w:rsidR="009E2253" w:rsidRPr="00405303" w:rsidRDefault="009E2253" w:rsidP="009E2253">
      <w:pPr>
        <w:widowControl w:val="0"/>
        <w:tabs>
          <w:tab w:val="left" w:pos="721"/>
        </w:tabs>
        <w:jc w:val="both"/>
        <w:rPr>
          <w:rStyle w:val="aa"/>
          <w:rFonts w:ascii="Times New Roman" w:hAnsi="Times New Roman"/>
          <w:color w:val="0070C0"/>
          <w:spacing w:val="0"/>
          <w:sz w:val="16"/>
          <w:szCs w:val="16"/>
        </w:rPr>
      </w:pPr>
      <w:r w:rsidRPr="00405303">
        <w:rPr>
          <w:rFonts w:eastAsia="Trebuchet MS"/>
          <w:color w:val="0070C0"/>
          <w:sz w:val="16"/>
          <w:szCs w:val="16"/>
          <w:shd w:val="clear" w:color="auto" w:fill="FFFFFF"/>
        </w:rPr>
        <w:t>При этом, когда наш самолет кружил над марширующими частями, немецкая артиллерия открыла по нему огонь. Обстрел был на удивление очень метким. Осколком одного из разорвавшихся рядом с самолетом снарядов был поврежден мотор, который через какое-то время и вовсе остановился. После этого с высоты примерно 2,5 тысячи метров, используя попутный ветер, летчикам удалось преодолеть 35 километров и удачно спланировать в расположение 13-й армии за рекой Буг. Благодаря этому, русское командование получило ценную разведывательную информацию, имеющую стратегическое значение — удалось установить место главного удара противника. Тогда же резерв 3-й армии — 1-я гвардейская пехотная дивизия — был спешно переброшен на подводах под Влодаву (25155).</w:t>
      </w:r>
    </w:p>
    <w:p w14:paraId="13B61D74" w14:textId="77777777" w:rsidR="009E2253" w:rsidRPr="00405303" w:rsidRDefault="009E2253" w:rsidP="009E2253">
      <w:pPr>
        <w:widowControl w:val="0"/>
        <w:tabs>
          <w:tab w:val="left" w:pos="721"/>
        </w:tabs>
        <w:jc w:val="both"/>
        <w:rPr>
          <w:rStyle w:val="aa"/>
          <w:rFonts w:ascii="Times New Roman" w:hAnsi="Times New Roman"/>
          <w:color w:val="0070C0"/>
          <w:spacing w:val="0"/>
          <w:sz w:val="16"/>
          <w:szCs w:val="16"/>
        </w:rPr>
      </w:pPr>
    </w:p>
    <w:p w14:paraId="4C105315" w14:textId="1631F95F" w:rsidR="002D484A" w:rsidRPr="00405303" w:rsidRDefault="002D484A" w:rsidP="00C15251">
      <w:pPr>
        <w:jc w:val="both"/>
        <w:rPr>
          <w:bCs/>
          <w:color w:val="002060"/>
          <w:sz w:val="16"/>
          <w:szCs w:val="16"/>
          <w:lang w:bidi="en-US"/>
        </w:rPr>
      </w:pPr>
      <w:r w:rsidRPr="00405303">
        <w:rPr>
          <w:bCs/>
          <w:color w:val="002060"/>
          <w:sz w:val="16"/>
          <w:szCs w:val="16"/>
          <w:lang w:bidi="en-US"/>
        </w:rPr>
        <w:t xml:space="preserve">На 5 (18) июля 1915 года на Русском фронте служили тридцать два немецких </w:t>
      </w:r>
      <w:r w:rsidRPr="00405303">
        <w:rPr>
          <w:bCs/>
          <w:color w:val="002060"/>
          <w:sz w:val="16"/>
          <w:szCs w:val="16"/>
          <w:lang w:val="en-US" w:bidi="en-US"/>
        </w:rPr>
        <w:t>Feldfliegerabteilungen</w:t>
      </w:r>
      <w:r w:rsidRPr="00405303">
        <w:rPr>
          <w:bCs/>
          <w:color w:val="002060"/>
          <w:sz w:val="16"/>
          <w:szCs w:val="16"/>
          <w:lang w:bidi="en-US"/>
        </w:rPr>
        <w:t xml:space="preserve"> и семь австро-венгерских фликов (23525).</w:t>
      </w:r>
    </w:p>
    <w:p w14:paraId="29503AB3" w14:textId="77777777" w:rsidR="002D484A" w:rsidRPr="00405303" w:rsidRDefault="002D484A" w:rsidP="00C15251">
      <w:pPr>
        <w:jc w:val="both"/>
        <w:rPr>
          <w:bCs/>
          <w:color w:val="002060"/>
          <w:sz w:val="16"/>
          <w:szCs w:val="16"/>
        </w:rPr>
      </w:pPr>
    </w:p>
    <w:p w14:paraId="1F6D6E3B" w14:textId="77777777" w:rsidR="004B4E35" w:rsidRPr="00405303" w:rsidRDefault="009E6F82" w:rsidP="00C15251">
      <w:pPr>
        <w:jc w:val="both"/>
        <w:rPr>
          <w:bCs/>
          <w:color w:val="002060"/>
          <w:sz w:val="16"/>
          <w:szCs w:val="16"/>
        </w:rPr>
      </w:pPr>
      <w:r w:rsidRPr="00405303">
        <w:rPr>
          <w:bCs/>
          <w:color w:val="002060"/>
          <w:sz w:val="16"/>
          <w:szCs w:val="16"/>
        </w:rPr>
        <w:t>5 (18) июля 1915 г. вблизи крепости Ковна у фольварка Стара-Буда совершил вынужденную посадку из-за неисправности мотора немецкий самолет, оставшийся неповрежденным и поступивший позже в 27-й као. При ночном перелете аэроплан был подломан и отправлен в ремонт на завод Лебедева. После ремонта в начале 1916 г. самолет купило Военное ведомство под названием "Лебедь-IХ". Это был разведчик LVG c мотором "Мерседес" 120 л.с. (11183).</w:t>
      </w:r>
    </w:p>
    <w:p w14:paraId="442A8555" w14:textId="77777777" w:rsidR="004B4E35" w:rsidRPr="00405303" w:rsidRDefault="004B4E35" w:rsidP="00C15251">
      <w:pPr>
        <w:jc w:val="both"/>
        <w:rPr>
          <w:bCs/>
          <w:color w:val="002060"/>
          <w:sz w:val="16"/>
          <w:szCs w:val="16"/>
        </w:rPr>
      </w:pPr>
    </w:p>
    <w:p w14:paraId="5F8C381C" w14:textId="27ED0F40" w:rsidR="007066FE" w:rsidRPr="00405303" w:rsidRDefault="007066FE" w:rsidP="00C15251">
      <w:pPr>
        <w:jc w:val="both"/>
        <w:rPr>
          <w:bCs/>
          <w:color w:val="002060"/>
          <w:sz w:val="16"/>
          <w:szCs w:val="16"/>
        </w:rPr>
      </w:pPr>
      <w:r w:rsidRPr="00405303">
        <w:rPr>
          <w:bCs/>
          <w:color w:val="002060"/>
          <w:sz w:val="16"/>
          <w:szCs w:val="16"/>
        </w:rPr>
        <w:t xml:space="preserve">5 </w:t>
      </w:r>
      <w:r w:rsidR="00511560" w:rsidRPr="00405303">
        <w:rPr>
          <w:bCs/>
          <w:color w:val="002060"/>
          <w:sz w:val="16"/>
          <w:szCs w:val="16"/>
        </w:rPr>
        <w:t xml:space="preserve">(18) </w:t>
      </w:r>
      <w:r w:rsidRPr="00405303">
        <w:rPr>
          <w:bCs/>
          <w:color w:val="002060"/>
          <w:sz w:val="16"/>
          <w:szCs w:val="16"/>
        </w:rPr>
        <w:t xml:space="preserve">июля в 1915 году </w:t>
      </w:r>
      <w:r w:rsidR="00511560" w:rsidRPr="00405303">
        <w:rPr>
          <w:bCs/>
          <w:color w:val="002060"/>
          <w:sz w:val="16"/>
          <w:szCs w:val="16"/>
        </w:rPr>
        <w:t xml:space="preserve">пришло </w:t>
      </w:r>
      <w:r w:rsidRPr="00405303">
        <w:rPr>
          <w:bCs/>
          <w:color w:val="002060"/>
          <w:sz w:val="16"/>
          <w:szCs w:val="16"/>
        </w:rPr>
        <w:t>донесение из Парижа о новом способе воздушного боя. Полковник Антонов отправил такое донесение в Москву в ГВТУ. В донесении подчеркивалось, что французская военная авиация считает лучшим средством воздушного боя одноместный самолет, обладающий большой скоростью и вооруженный пулеметом, неподвижно закрепленным на самолете. Летчик при стрельбе прицеливается самим самолетом и стреляет, не обращая внимания на вращающийся впереди винт. На лопасти винта надеваются специальные стальные угольники, не пробиваемые пулями и отражающие их движение в сторону, если случайно будет произведен выстрел именно в тот момент, когда лопасть находится против ствола пулемета (14943).</w:t>
      </w:r>
    </w:p>
    <w:p w14:paraId="215181FC" w14:textId="77777777" w:rsidR="007066FE" w:rsidRPr="00405303" w:rsidRDefault="007066FE" w:rsidP="00C15251">
      <w:pPr>
        <w:jc w:val="both"/>
        <w:rPr>
          <w:bCs/>
          <w:color w:val="002060"/>
          <w:sz w:val="16"/>
          <w:szCs w:val="16"/>
        </w:rPr>
      </w:pPr>
    </w:p>
    <w:p w14:paraId="4EF46508"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10D4BE7F" w14:textId="77777777" w:rsidR="004B4E35" w:rsidRPr="00405303" w:rsidRDefault="004B4E35" w:rsidP="00C15251">
      <w:pPr>
        <w:jc w:val="both"/>
        <w:rPr>
          <w:bCs/>
          <w:i/>
          <w:color w:val="002060"/>
          <w:sz w:val="16"/>
          <w:szCs w:val="16"/>
        </w:rPr>
      </w:pPr>
    </w:p>
    <w:p w14:paraId="3834ADBF" w14:textId="19644DFB" w:rsidR="004B4E35" w:rsidRPr="00405303" w:rsidRDefault="009E6F82" w:rsidP="00C15251">
      <w:pPr>
        <w:jc w:val="both"/>
        <w:rPr>
          <w:bCs/>
          <w:color w:val="002060"/>
          <w:sz w:val="16"/>
          <w:szCs w:val="16"/>
        </w:rPr>
      </w:pPr>
      <w:bookmarkStart w:id="181" w:name="_Hlk117686159"/>
      <w:r w:rsidRPr="00405303">
        <w:rPr>
          <w:bCs/>
          <w:color w:val="002060"/>
          <w:sz w:val="16"/>
          <w:szCs w:val="16"/>
        </w:rPr>
        <w:t xml:space="preserve">5 </w:t>
      </w:r>
      <w:r w:rsidR="00511560" w:rsidRPr="00405303">
        <w:rPr>
          <w:bCs/>
          <w:color w:val="002060"/>
          <w:sz w:val="16"/>
          <w:szCs w:val="16"/>
        </w:rPr>
        <w:t xml:space="preserve">(18) </w:t>
      </w:r>
      <w:r w:rsidRPr="00405303">
        <w:rPr>
          <w:bCs/>
          <w:color w:val="002060"/>
          <w:sz w:val="16"/>
          <w:szCs w:val="16"/>
        </w:rPr>
        <w:t xml:space="preserve">июля 1915 г. </w:t>
      </w:r>
      <w:r w:rsidR="00511560" w:rsidRPr="00405303">
        <w:rPr>
          <w:bCs/>
          <w:color w:val="002060"/>
          <w:sz w:val="16"/>
          <w:szCs w:val="16"/>
        </w:rPr>
        <w:t xml:space="preserve">после сдачи немцам Виндавы </w:t>
      </w:r>
      <w:r w:rsidRPr="00405303">
        <w:rPr>
          <w:bCs/>
          <w:color w:val="002060"/>
          <w:sz w:val="16"/>
          <w:szCs w:val="16"/>
        </w:rPr>
        <w:t>вся Курляндия с хорошо оборудован-ными портами оказалась потерянной, У балтийской морской авиации оставались две авиационные станции: одна в Ревеле, другая - на острове Эзель в Кильконде (11927).</w:t>
      </w:r>
    </w:p>
    <w:p w14:paraId="57FA4A5B" w14:textId="77777777" w:rsidR="004B4E35" w:rsidRPr="00405303" w:rsidRDefault="004B4E35" w:rsidP="00C15251">
      <w:pPr>
        <w:jc w:val="both"/>
        <w:rPr>
          <w:bCs/>
          <w:color w:val="002060"/>
          <w:sz w:val="16"/>
          <w:szCs w:val="16"/>
        </w:rPr>
      </w:pPr>
    </w:p>
    <w:bookmarkEnd w:id="181"/>
    <w:p w14:paraId="38037A52" w14:textId="77777777" w:rsidR="007066FE" w:rsidRPr="00405303" w:rsidRDefault="007066FE" w:rsidP="00C15251">
      <w:pPr>
        <w:jc w:val="both"/>
        <w:rPr>
          <w:bCs/>
          <w:i/>
          <w:color w:val="002060"/>
          <w:sz w:val="16"/>
          <w:szCs w:val="16"/>
        </w:rPr>
      </w:pPr>
      <w:r w:rsidRPr="00405303">
        <w:rPr>
          <w:bCs/>
          <w:i/>
          <w:color w:val="002060"/>
          <w:sz w:val="16"/>
          <w:szCs w:val="16"/>
        </w:rPr>
        <w:t>Армия:</w:t>
      </w:r>
    </w:p>
    <w:p w14:paraId="78787FE4" w14:textId="77777777" w:rsidR="007066FE" w:rsidRPr="00405303" w:rsidRDefault="007066FE" w:rsidP="00C15251">
      <w:pPr>
        <w:jc w:val="both"/>
        <w:rPr>
          <w:bCs/>
          <w:i/>
          <w:color w:val="002060"/>
          <w:sz w:val="16"/>
          <w:szCs w:val="16"/>
        </w:rPr>
      </w:pPr>
    </w:p>
    <w:p w14:paraId="41CF4171" w14:textId="68A40576" w:rsidR="007066FE" w:rsidRPr="00405303" w:rsidRDefault="007066FE" w:rsidP="00C15251">
      <w:pPr>
        <w:jc w:val="both"/>
        <w:rPr>
          <w:bCs/>
          <w:color w:val="002060"/>
          <w:sz w:val="16"/>
          <w:szCs w:val="16"/>
        </w:rPr>
      </w:pPr>
      <w:r w:rsidRPr="00405303">
        <w:rPr>
          <w:bCs/>
          <w:color w:val="002060"/>
          <w:sz w:val="16"/>
          <w:szCs w:val="16"/>
        </w:rPr>
        <w:t xml:space="preserve">5 </w:t>
      </w:r>
      <w:r w:rsidR="00511560" w:rsidRPr="00405303">
        <w:rPr>
          <w:bCs/>
          <w:color w:val="002060"/>
          <w:sz w:val="16"/>
          <w:szCs w:val="16"/>
        </w:rPr>
        <w:t xml:space="preserve">(18) </w:t>
      </w:r>
      <w:r w:rsidRPr="00405303">
        <w:rPr>
          <w:bCs/>
          <w:color w:val="002060"/>
          <w:sz w:val="16"/>
          <w:szCs w:val="16"/>
        </w:rPr>
        <w:t>июля в 1915 году австро-венгерские войска взяли Львов (14943).</w:t>
      </w:r>
    </w:p>
    <w:p w14:paraId="470E7061" w14:textId="77777777" w:rsidR="007066FE" w:rsidRPr="00405303" w:rsidRDefault="007066FE" w:rsidP="00C15251">
      <w:pPr>
        <w:jc w:val="both"/>
        <w:rPr>
          <w:bCs/>
          <w:color w:val="002060"/>
          <w:sz w:val="16"/>
          <w:szCs w:val="16"/>
        </w:rPr>
      </w:pPr>
    </w:p>
    <w:p w14:paraId="0FFA1B66"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Франции:</w:t>
      </w:r>
    </w:p>
    <w:p w14:paraId="08F9C996" w14:textId="77777777" w:rsidR="004B4E35" w:rsidRPr="00405303" w:rsidRDefault="004B4E35" w:rsidP="00C15251">
      <w:pPr>
        <w:jc w:val="both"/>
        <w:rPr>
          <w:bCs/>
          <w:i/>
          <w:color w:val="002060"/>
          <w:sz w:val="16"/>
          <w:szCs w:val="16"/>
        </w:rPr>
      </w:pPr>
    </w:p>
    <w:p w14:paraId="71B73570" w14:textId="0AF7A0CE" w:rsidR="004B4E35" w:rsidRPr="00405303" w:rsidRDefault="009E6F82" w:rsidP="00C15251">
      <w:pPr>
        <w:jc w:val="both"/>
        <w:rPr>
          <w:bCs/>
          <w:color w:val="002060"/>
          <w:sz w:val="16"/>
          <w:szCs w:val="16"/>
        </w:rPr>
      </w:pPr>
      <w:r w:rsidRPr="00405303">
        <w:rPr>
          <w:bCs/>
          <w:color w:val="002060"/>
          <w:sz w:val="16"/>
          <w:szCs w:val="16"/>
        </w:rPr>
        <w:t xml:space="preserve">5 (18) июля </w:t>
      </w:r>
      <w:r w:rsidR="00511560" w:rsidRPr="00405303">
        <w:rPr>
          <w:bCs/>
          <w:color w:val="002060"/>
          <w:sz w:val="16"/>
          <w:szCs w:val="16"/>
        </w:rPr>
        <w:t>1915 г.</w:t>
      </w:r>
      <w:r w:rsidRPr="00405303">
        <w:rPr>
          <w:bCs/>
          <w:color w:val="002060"/>
          <w:sz w:val="16"/>
          <w:szCs w:val="16"/>
        </w:rPr>
        <w:t xml:space="preserve"> </w:t>
      </w:r>
      <w:r w:rsidR="00511560" w:rsidRPr="00405303">
        <w:rPr>
          <w:bCs/>
          <w:color w:val="002060"/>
          <w:sz w:val="16"/>
          <w:szCs w:val="16"/>
        </w:rPr>
        <w:t>р</w:t>
      </w:r>
      <w:r w:rsidRPr="00405303">
        <w:rPr>
          <w:bCs/>
          <w:color w:val="002060"/>
          <w:sz w:val="16"/>
          <w:szCs w:val="16"/>
        </w:rPr>
        <w:t>усский агент полковник Антонов отправил из Парижа донесение в ГВТУ о новом способе воздушного боя, примененном французами. В донесении подчеркивалось - французская военная авиация считает лучшим средством воздушного боя одноместный самолет, "обладающий возможно большей скоростью и вооруженный пулеметом, неподвижно закрепленном на самолете. Летчик при стрельбе прицеливается самим самолетом и стреляет, не обращая внимания на вращающийся винт. Такие аэропланы сделаны Мораном для летчиков Гарро и Жильбера и Ньюпо- ром - для Пегу" (11999).</w:t>
      </w:r>
    </w:p>
    <w:p w14:paraId="1C8A0180" w14:textId="77777777" w:rsidR="004B4E35" w:rsidRPr="00405303" w:rsidRDefault="004B4E35" w:rsidP="00C15251">
      <w:pPr>
        <w:jc w:val="both"/>
        <w:rPr>
          <w:bCs/>
          <w:color w:val="002060"/>
          <w:sz w:val="16"/>
          <w:szCs w:val="16"/>
        </w:rPr>
      </w:pPr>
    </w:p>
    <w:p w14:paraId="1899F1E5" w14:textId="77777777" w:rsidR="00AD2AA6" w:rsidRPr="00405303" w:rsidRDefault="00AD2AA6" w:rsidP="00C15251">
      <w:pPr>
        <w:jc w:val="both"/>
        <w:rPr>
          <w:bCs/>
          <w:color w:val="002060"/>
          <w:sz w:val="16"/>
          <w:szCs w:val="16"/>
        </w:rPr>
      </w:pPr>
      <w:r w:rsidRPr="00405303">
        <w:rPr>
          <w:bCs/>
          <w:color w:val="002060"/>
          <w:sz w:val="16"/>
          <w:szCs w:val="16"/>
        </w:rPr>
        <w:t>5 (19) июля 1915 французский ас Жорж Гинемер на моноплане Morane-Saulnier L по имени Vieux Charles одерживает первую из своих 54 побед, сбив немецкий самолет (20338)</w:t>
      </w:r>
    </w:p>
    <w:p w14:paraId="64E19C01" w14:textId="77777777" w:rsidR="00AD2AA6" w:rsidRPr="00405303" w:rsidRDefault="00AD2AA6" w:rsidP="00C15251">
      <w:pPr>
        <w:jc w:val="both"/>
        <w:rPr>
          <w:bCs/>
          <w:color w:val="002060"/>
          <w:sz w:val="16"/>
          <w:szCs w:val="16"/>
        </w:rPr>
      </w:pPr>
    </w:p>
    <w:p w14:paraId="7568500E" w14:textId="77777777" w:rsidR="007066FE" w:rsidRPr="00405303" w:rsidRDefault="007066FE" w:rsidP="00C15251">
      <w:pPr>
        <w:jc w:val="both"/>
        <w:rPr>
          <w:bCs/>
          <w:i/>
          <w:color w:val="002060"/>
          <w:sz w:val="16"/>
          <w:szCs w:val="16"/>
        </w:rPr>
      </w:pPr>
      <w:r w:rsidRPr="00405303">
        <w:rPr>
          <w:bCs/>
          <w:i/>
          <w:color w:val="002060"/>
          <w:sz w:val="16"/>
          <w:szCs w:val="16"/>
        </w:rPr>
        <w:t>За рубежом:</w:t>
      </w:r>
    </w:p>
    <w:p w14:paraId="3DD43102" w14:textId="77777777" w:rsidR="007066FE" w:rsidRPr="00405303" w:rsidRDefault="007066FE" w:rsidP="00C15251">
      <w:pPr>
        <w:jc w:val="both"/>
        <w:rPr>
          <w:bCs/>
          <w:color w:val="002060"/>
          <w:sz w:val="16"/>
          <w:szCs w:val="16"/>
        </w:rPr>
      </w:pPr>
    </w:p>
    <w:p w14:paraId="1068E063" w14:textId="77777777" w:rsidR="007066FE" w:rsidRPr="00405303" w:rsidRDefault="007066FE" w:rsidP="00C15251">
      <w:pPr>
        <w:jc w:val="both"/>
        <w:rPr>
          <w:bCs/>
          <w:color w:val="002060"/>
          <w:sz w:val="16"/>
          <w:szCs w:val="16"/>
        </w:rPr>
      </w:pPr>
      <w:r w:rsidRPr="00405303">
        <w:rPr>
          <w:bCs/>
          <w:color w:val="002060"/>
          <w:sz w:val="16"/>
          <w:szCs w:val="16"/>
        </w:rPr>
        <w:t>5 (18) июля в 1915 году итальянцы и австрийцы начинают вторую битву на реке Изонцо (до 30 июля). Несмотря на трехкратное превосходство в силах, итальянцы будут отброшены (14956).</w:t>
      </w:r>
    </w:p>
    <w:p w14:paraId="2274F475" w14:textId="77777777" w:rsidR="007066FE" w:rsidRPr="00405303" w:rsidRDefault="007066FE" w:rsidP="00C15251">
      <w:pPr>
        <w:jc w:val="both"/>
        <w:rPr>
          <w:bCs/>
          <w:color w:val="002060"/>
          <w:sz w:val="16"/>
          <w:szCs w:val="16"/>
        </w:rPr>
      </w:pPr>
    </w:p>
    <w:p w14:paraId="7BD2F2B5" w14:textId="77777777" w:rsidR="007066FE" w:rsidRPr="00405303" w:rsidRDefault="007066FE" w:rsidP="00C15251">
      <w:pPr>
        <w:jc w:val="both"/>
        <w:rPr>
          <w:bCs/>
          <w:color w:val="002060"/>
          <w:sz w:val="16"/>
          <w:szCs w:val="16"/>
        </w:rPr>
      </w:pPr>
      <w:r w:rsidRPr="00405303">
        <w:rPr>
          <w:bCs/>
          <w:color w:val="002060"/>
          <w:sz w:val="16"/>
          <w:szCs w:val="16"/>
        </w:rPr>
        <w:t xml:space="preserve">5 (18) июля в 1915 году итальянская эскадра, состоящая из крейсеров и миноносцев, осуществляла операцию по бомбардировки пути Рагуза — Катарро, и высадке десантных партий. Внезапно крейсер «Джузеппе Гарибальди» обнаружил всего менее чем в 400 м австрийскую подводную лодку «U-4». Крейсер быстро </w:t>
      </w:r>
      <w:r w:rsidRPr="00405303">
        <w:rPr>
          <w:bCs/>
          <w:color w:val="002060"/>
          <w:sz w:val="16"/>
          <w:szCs w:val="16"/>
        </w:rPr>
        <w:lastRenderedPageBreak/>
        <w:t>сманеврировал, пытаясь уклониться от выпущенных по нему торпед. Первая из них прошла мимо, а вторая взорвалась в поперечной угольной яме в центре корабля. Удар оказался слишком серьезным. Объемистые машинные и котельные отделения быстро наполнились водой, и спустя всего несколько минут крейсер затонул на практически ровном киле. 53 человека погибли вместе с ним, 525 удалось спасти (14956).</w:t>
      </w:r>
    </w:p>
    <w:p w14:paraId="66B61186" w14:textId="77777777" w:rsidR="007066FE" w:rsidRPr="00405303" w:rsidRDefault="007066FE" w:rsidP="00C15251">
      <w:pPr>
        <w:jc w:val="both"/>
        <w:rPr>
          <w:bCs/>
          <w:color w:val="002060"/>
          <w:sz w:val="16"/>
          <w:szCs w:val="16"/>
        </w:rPr>
      </w:pPr>
    </w:p>
    <w:p w14:paraId="71CB209C"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18AF0632" w14:textId="77777777" w:rsidR="004B4E35" w:rsidRPr="00405303" w:rsidRDefault="004B4E35" w:rsidP="00C15251">
      <w:pPr>
        <w:jc w:val="both"/>
        <w:rPr>
          <w:bCs/>
          <w:i/>
          <w:color w:val="002060"/>
          <w:sz w:val="16"/>
          <w:szCs w:val="16"/>
        </w:rPr>
      </w:pPr>
    </w:p>
    <w:p w14:paraId="0D8D7A05" w14:textId="4F56A07A"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6 (19) июля 1915 г. </w:t>
      </w:r>
      <w:r w:rsidR="00511560" w:rsidRPr="00405303">
        <w:rPr>
          <w:bCs/>
          <w:color w:val="002060"/>
          <w:sz w:val="16"/>
          <w:szCs w:val="16"/>
        </w:rPr>
        <w:t>появилось х</w:t>
      </w:r>
      <w:r w:rsidRPr="00405303">
        <w:rPr>
          <w:bCs/>
          <w:color w:val="002060"/>
          <w:sz w:val="16"/>
          <w:szCs w:val="16"/>
        </w:rPr>
        <w:t>одатайство Московского военно-промышленного комитета перед Особым совещанием по обороне об откомандировании на заводы военнообязанных металлистов</w:t>
      </w:r>
      <w:r w:rsidR="00511560" w:rsidRPr="00405303">
        <w:rPr>
          <w:bCs/>
          <w:color w:val="002060"/>
          <w:sz w:val="16"/>
          <w:szCs w:val="16"/>
        </w:rPr>
        <w:t>.</w:t>
      </w:r>
    </w:p>
    <w:p w14:paraId="078EBAB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Главным препятствием для осуществления быстрого приспособления фабрик и заво</w:t>
      </w:r>
      <w:r w:rsidRPr="00405303">
        <w:rPr>
          <w:bCs/>
          <w:color w:val="002060"/>
          <w:sz w:val="16"/>
          <w:szCs w:val="16"/>
        </w:rPr>
        <w:softHyphen/>
        <w:t>дов к срочному выполнению заказов по снабжению армии является, как показал опыт, общий недостаток рабочего состава, который вызывает длительный простой наличных станков и оборудовании на металлообрабатывающих заводах Московского района до 25 %, общий же выпуск изделий ввиду привлечения неопытных рабочих понизился до 45 %. Связанное с этим ослабление производства усугубляется еще текучестью рабочего состава, т. е. свободным переходом рабочих с одного предприятия на другое без доста</w:t>
      </w:r>
      <w:r w:rsidRPr="00405303">
        <w:rPr>
          <w:bCs/>
          <w:color w:val="002060"/>
          <w:sz w:val="16"/>
          <w:szCs w:val="16"/>
        </w:rPr>
        <w:softHyphen/>
        <w:t>точных на то оснований, каковой переход воспрещен уже особым законом в Германии.</w:t>
      </w:r>
    </w:p>
    <w:p w14:paraId="099E522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Льготы, допущенные в последнюю мобилизацию ратников Государственного опол</w:t>
      </w:r>
      <w:r w:rsidRPr="00405303">
        <w:rPr>
          <w:bCs/>
          <w:color w:val="002060"/>
          <w:sz w:val="16"/>
          <w:szCs w:val="16"/>
        </w:rPr>
        <w:softHyphen/>
        <w:t>чения 1-го разряда по отсрочке явки части рабочих и служащих, занятых в предприяти</w:t>
      </w:r>
      <w:r w:rsidRPr="00405303">
        <w:rPr>
          <w:bCs/>
          <w:color w:val="002060"/>
          <w:sz w:val="16"/>
          <w:szCs w:val="16"/>
        </w:rPr>
        <w:softHyphen/>
        <w:t>ях, в известной степени облегчили создавшееся положение и дали фабрикам и заводам возможность продолжать работы, хотя и в сокращенном масштабе. Однако, с отнятием у общественных организаций, как например, у «Московского временного комитета по обеспечению рабочим составом фабрик и заводов Центрального промышленного райо</w:t>
      </w:r>
      <w:r w:rsidRPr="00405303">
        <w:rPr>
          <w:bCs/>
          <w:color w:val="002060"/>
          <w:sz w:val="16"/>
          <w:szCs w:val="16"/>
        </w:rPr>
        <w:softHyphen/>
        <w:t>на», права участия в оценке списков ратников и с передачей этого дела некоторым прави</w:t>
      </w:r>
      <w:r w:rsidRPr="00405303">
        <w:rPr>
          <w:bCs/>
          <w:color w:val="002060"/>
          <w:sz w:val="16"/>
          <w:szCs w:val="16"/>
        </w:rPr>
        <w:softHyphen/>
        <w:t>тельственным учреждениям, вновь возникли серьезные затруднения в этом столь важ</w:t>
      </w:r>
      <w:r w:rsidRPr="00405303">
        <w:rPr>
          <w:bCs/>
          <w:color w:val="002060"/>
          <w:sz w:val="16"/>
          <w:szCs w:val="16"/>
        </w:rPr>
        <w:softHyphen/>
        <w:t>ном и близком промышленным предприятиям вопросе.</w:t>
      </w:r>
    </w:p>
    <w:p w14:paraId="19C2812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Необходимо отметить, что попытки привлечения в промышленные предприятия рабочих-беженцев пока не увенчались успехом, так как этот элемент при первой возмож</w:t>
      </w:r>
      <w:r w:rsidRPr="00405303">
        <w:rPr>
          <w:bCs/>
          <w:color w:val="002060"/>
          <w:sz w:val="16"/>
          <w:szCs w:val="16"/>
        </w:rPr>
        <w:softHyphen/>
        <w:t>ности уезжал обратно, причем незнание беженцами языка, неприспособленность их к местным условиям служат серьезным препятствием к массовому найму таких рабочих.</w:t>
      </w:r>
    </w:p>
    <w:p w14:paraId="55E2817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Таким образом, в деле снабжения фабрик и заводов рабочим составом создались ог</w:t>
      </w:r>
      <w:r w:rsidRPr="00405303">
        <w:rPr>
          <w:bCs/>
          <w:color w:val="002060"/>
          <w:sz w:val="16"/>
          <w:szCs w:val="16"/>
        </w:rPr>
        <w:softHyphen/>
        <w:t>ромные затруднения для работающих на оборону, между тем как со стороны военного ведомства и казенных учреждений все усиливается требование к быстрому приспособле</w:t>
      </w:r>
      <w:r w:rsidRPr="00405303">
        <w:rPr>
          <w:bCs/>
          <w:color w:val="002060"/>
          <w:sz w:val="16"/>
          <w:szCs w:val="16"/>
        </w:rPr>
        <w:softHyphen/>
        <w:t>нию промышленных предприятий для снабжения армии.</w:t>
      </w:r>
    </w:p>
    <w:p w14:paraId="6D8DEEE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Выходом из создавшегося положения, по мнению Комитета, должно явиться приня</w:t>
      </w:r>
      <w:r w:rsidRPr="00405303">
        <w:rPr>
          <w:bCs/>
          <w:color w:val="002060"/>
          <w:sz w:val="16"/>
          <w:szCs w:val="16"/>
        </w:rPr>
        <w:softHyphen/>
        <w:t>тие правительством решительных и срочных мер к изданию в России особого положения о военнообязанных рабочих — по примеру Декрета, изданного по этому поводу во Фран</w:t>
      </w:r>
      <w:r w:rsidRPr="00405303">
        <w:rPr>
          <w:bCs/>
          <w:color w:val="002060"/>
          <w:sz w:val="16"/>
          <w:szCs w:val="16"/>
        </w:rPr>
        <w:softHyphen/>
        <w:t>ции (перевод коего при сем прилагается)</w:t>
      </w:r>
      <w:r w:rsidRPr="00405303">
        <w:rPr>
          <w:bCs/>
          <w:color w:val="002060"/>
          <w:sz w:val="16"/>
          <w:szCs w:val="16"/>
          <w:vertAlign w:val="superscript"/>
        </w:rPr>
        <w:t>185</w:t>
      </w:r>
      <w:r w:rsidRPr="00405303">
        <w:rPr>
          <w:bCs/>
          <w:color w:val="002060"/>
          <w:sz w:val="16"/>
          <w:szCs w:val="16"/>
        </w:rPr>
        <w:t>*, которое обеспечило бы фабрики и заводы устойчивым рабочим элементом путем удовлетворения ходатайств отдельных предприя</w:t>
      </w:r>
      <w:r w:rsidRPr="00405303">
        <w:rPr>
          <w:bCs/>
          <w:color w:val="002060"/>
          <w:sz w:val="16"/>
          <w:szCs w:val="16"/>
        </w:rPr>
        <w:softHyphen/>
        <w:t>тий о возвращении на первое время хотя бы из тыловых частей армии необходимейших им специалистов, рабочих и служащих, откомандирование коих обратно на фабрики и заводы усилит производительность предприятий по изготовлению предметов снабже</w:t>
      </w:r>
      <w:r w:rsidRPr="00405303">
        <w:rPr>
          <w:bCs/>
          <w:color w:val="002060"/>
          <w:sz w:val="16"/>
          <w:szCs w:val="16"/>
        </w:rPr>
        <w:softHyphen/>
        <w:t>ния армии (10707).</w:t>
      </w:r>
    </w:p>
    <w:p w14:paraId="7912D5A0" w14:textId="77777777" w:rsidR="004B4E35" w:rsidRPr="00405303" w:rsidRDefault="004B4E35" w:rsidP="00C15251">
      <w:pPr>
        <w:jc w:val="both"/>
        <w:rPr>
          <w:bCs/>
          <w:i/>
          <w:color w:val="002060"/>
          <w:sz w:val="16"/>
          <w:szCs w:val="16"/>
        </w:rPr>
      </w:pPr>
    </w:p>
    <w:p w14:paraId="56E2A486" w14:textId="7C5C6136" w:rsidR="002845A9" w:rsidRPr="00405303" w:rsidRDefault="002845A9" w:rsidP="00C15251">
      <w:pPr>
        <w:jc w:val="both"/>
        <w:rPr>
          <w:bCs/>
          <w:i/>
          <w:color w:val="002060"/>
          <w:sz w:val="16"/>
          <w:szCs w:val="16"/>
        </w:rPr>
      </w:pPr>
      <w:r w:rsidRPr="00405303">
        <w:rPr>
          <w:bCs/>
          <w:i/>
          <w:color w:val="002060"/>
          <w:sz w:val="16"/>
          <w:szCs w:val="16"/>
        </w:rPr>
        <w:t>Армия:</w:t>
      </w:r>
    </w:p>
    <w:p w14:paraId="4140F0AD" w14:textId="77777777" w:rsidR="002845A9" w:rsidRPr="00405303" w:rsidRDefault="002845A9" w:rsidP="00C15251">
      <w:pPr>
        <w:jc w:val="both"/>
        <w:rPr>
          <w:bCs/>
          <w:i/>
          <w:color w:val="002060"/>
          <w:sz w:val="16"/>
          <w:szCs w:val="16"/>
        </w:rPr>
      </w:pPr>
    </w:p>
    <w:p w14:paraId="5AFF288F" w14:textId="134BD70B" w:rsidR="002845A9" w:rsidRPr="00405303" w:rsidRDefault="002845A9" w:rsidP="00C15251">
      <w:pPr>
        <w:jc w:val="both"/>
        <w:rPr>
          <w:bCs/>
          <w:color w:val="002060"/>
          <w:sz w:val="16"/>
          <w:szCs w:val="16"/>
          <w:lang w:bidi="en-US"/>
        </w:rPr>
      </w:pPr>
      <w:r w:rsidRPr="00405303">
        <w:rPr>
          <w:bCs/>
          <w:color w:val="002060"/>
          <w:sz w:val="16"/>
          <w:szCs w:val="16"/>
          <w:lang w:bidi="en-US"/>
        </w:rPr>
        <w:t>6 (19) июля 1915 г. Ставка дала генералу Алексееву разрешение оставить город Варшаву. К этому времени в результате ряда ценных воздушных разведывательных вылетов командование русской армии стало более полно ценить поддержку с воздуха (23525).</w:t>
      </w:r>
    </w:p>
    <w:p w14:paraId="09C3EF7D" w14:textId="77777777" w:rsidR="002845A9" w:rsidRPr="00405303" w:rsidRDefault="002845A9" w:rsidP="00C15251">
      <w:pPr>
        <w:jc w:val="both"/>
        <w:rPr>
          <w:bCs/>
          <w:color w:val="002060"/>
          <w:sz w:val="16"/>
          <w:szCs w:val="16"/>
        </w:rPr>
      </w:pPr>
    </w:p>
    <w:p w14:paraId="629A66DD" w14:textId="4FCE87EA" w:rsidR="004B4E35" w:rsidRPr="00405303" w:rsidRDefault="009E6F82" w:rsidP="00C15251">
      <w:pPr>
        <w:jc w:val="both"/>
        <w:rPr>
          <w:bCs/>
          <w:i/>
          <w:color w:val="002060"/>
          <w:sz w:val="16"/>
          <w:szCs w:val="16"/>
        </w:rPr>
      </w:pPr>
      <w:r w:rsidRPr="00405303">
        <w:rPr>
          <w:bCs/>
          <w:i/>
          <w:color w:val="002060"/>
          <w:sz w:val="16"/>
          <w:szCs w:val="16"/>
        </w:rPr>
        <w:t>Авиация:</w:t>
      </w:r>
    </w:p>
    <w:p w14:paraId="58692358" w14:textId="77777777" w:rsidR="004B4E35" w:rsidRPr="00405303" w:rsidRDefault="004B4E35" w:rsidP="00C15251">
      <w:pPr>
        <w:jc w:val="both"/>
        <w:rPr>
          <w:bCs/>
          <w:i/>
          <w:color w:val="002060"/>
          <w:sz w:val="16"/>
          <w:szCs w:val="16"/>
        </w:rPr>
      </w:pPr>
    </w:p>
    <w:p w14:paraId="7AF54D5B" w14:textId="01EE1193" w:rsidR="004B4E35" w:rsidRPr="00405303" w:rsidRDefault="009E6F82" w:rsidP="00C15251">
      <w:pPr>
        <w:jc w:val="both"/>
        <w:rPr>
          <w:bCs/>
          <w:color w:val="002060"/>
          <w:sz w:val="16"/>
          <w:szCs w:val="16"/>
        </w:rPr>
      </w:pPr>
      <w:r w:rsidRPr="00405303">
        <w:rPr>
          <w:bCs/>
          <w:color w:val="002060"/>
          <w:sz w:val="16"/>
          <w:szCs w:val="16"/>
        </w:rPr>
        <w:t>6</w:t>
      </w:r>
      <w:r w:rsidR="00511560" w:rsidRPr="00405303">
        <w:rPr>
          <w:bCs/>
          <w:color w:val="002060"/>
          <w:sz w:val="16"/>
          <w:szCs w:val="16"/>
        </w:rPr>
        <w:t xml:space="preserve"> </w:t>
      </w:r>
      <w:r w:rsidRPr="00405303">
        <w:rPr>
          <w:bCs/>
          <w:color w:val="002060"/>
          <w:sz w:val="16"/>
          <w:szCs w:val="16"/>
        </w:rPr>
        <w:t>(19)</w:t>
      </w:r>
      <w:r w:rsidR="00511560" w:rsidRPr="00405303">
        <w:rPr>
          <w:bCs/>
          <w:color w:val="002060"/>
          <w:sz w:val="16"/>
          <w:szCs w:val="16"/>
        </w:rPr>
        <w:t xml:space="preserve"> </w:t>
      </w:r>
      <w:r w:rsidRPr="00405303">
        <w:rPr>
          <w:bCs/>
          <w:color w:val="002060"/>
          <w:sz w:val="16"/>
          <w:szCs w:val="16"/>
        </w:rPr>
        <w:t>июля 1915</w:t>
      </w:r>
      <w:r w:rsidR="00511560" w:rsidRPr="00405303">
        <w:rPr>
          <w:bCs/>
          <w:color w:val="002060"/>
          <w:sz w:val="16"/>
          <w:szCs w:val="16"/>
        </w:rPr>
        <w:t xml:space="preserve"> </w:t>
      </w:r>
      <w:r w:rsidRPr="00405303">
        <w:rPr>
          <w:bCs/>
          <w:color w:val="002060"/>
          <w:sz w:val="16"/>
          <w:szCs w:val="16"/>
        </w:rPr>
        <w:t xml:space="preserve">г. </w:t>
      </w:r>
      <w:r w:rsidR="00511560" w:rsidRPr="00405303">
        <w:rPr>
          <w:bCs/>
          <w:color w:val="002060"/>
          <w:sz w:val="16"/>
          <w:szCs w:val="16"/>
        </w:rPr>
        <w:t xml:space="preserve">первым повстречался с истребителями экипаж того же Башко. </w:t>
      </w:r>
      <w:r w:rsidRPr="00405303">
        <w:rPr>
          <w:bCs/>
          <w:color w:val="002060"/>
          <w:sz w:val="16"/>
          <w:szCs w:val="16"/>
        </w:rPr>
        <w:t>Был обычный полет на бомбежку продолжительностью 4 ч. Маршрут Владава - река Буг - дер. Гробовец - Янув - Белжеп - Шеб-ржешув - Красностав - Холм - Владава. Около деревни Гостынное заметили три батареи, которые нанесли на карту. К северо-западу от Явува увидели аэродром с "противоаэропланной батареей". На аэродром сбросили пять пудовых бомб, четыре из них разорвались среди палаток. На станции Любыч стояло три состава по 50 вагонов каждый. Туда полетели пять пудовых бомб. У станции Велжец заметили обоз из 400 повозок, сбросили серию из пяти двадцатифунтовых бомб. От последних двенадцати зажигательных освободились уже на обратном пути под Шебржешувом, когда до линии фронта оставалось 40 км. Здесь, на высоте 3,5 тыс. м корабль и был атакован истребителями "Бранденбург". Первого заметили в нижний люк, когда тот старался подойти к кораблю поближе незамеченным. За штурвалом сидел Смирнов. Башко немедленно сменил своего помощника. Все встали по своим местам. Артиллерийский офицер Наумов прильнул к "Мадсену" у левой двери. Истребитель, имея запас скорости, проскочил сбоку вверх и дал очередь из пулемета по левому борту "Муромца". Посыпались осколки стекол, щепки, вскрикнул командир. Он был ранен в голову и ногу, но оставался на месте. Истребитель заходил для повторной атаки. Тут моторист доложил - пробиты оба верхних бензобака, оба бензопровода левой группы моторов и фильтр правой группы. Он сразу перекрыл краники и зажал рукой пробоину в фильтре, из которой хлестал бензин. Теперь работали только правые двигатели. Командир, превозмогая боль, старался удержать корабль на курсе. Самолет разворачивало влево, и раненой ногой нужно было давить на правую педаль. Тем временем истребитель, имея превышение, изготовился для атаки. Пикирование, потом горка. Наумов выждал и на какую-то долю секунды опередив немецкого летчика, первым открыл огонь. Истребитель как будто вздрогнул и с плавным отворотом влево пошел на снижение. В короткой передышке Смирнов сменил командира. Моторист Лавров быстро сделал перевязку Башко, тот снова сел за штурвал. Лавров же опять бросился к пробитому фильтру. Так они со Смирновым по очереди зажимали пробоину - на высоте было прохладно и испаряющийся бензин сильно охлаждал руки. Их просто ломило от холода. Тем временем второй истребитель заходил для атаки. Наумов видел это, но ничего не мог поделать. При последней очереди пулемет замолк - перекос патрона. Теперь оставался только карабин Смирнова. Сам Смирнов стоял у фильтра, Лавров уже не мог. Он отморозил обе кисти рук. Второй истребитель прошел опять по левому борту "Муромца". Очередь пробила только маслобак двигателя уже недействующей группы. На вторую атаку немец не отважился. При подходе к линии фронта корабль был обстрелян с большого удаления третьим истребителем. Но эта атака оказалась неэффективной. Высота в этот момент уже составляла полторы тысячи метров. Корабль неумолимо снижался. При подходе к Холму на высоте 700 м остановились и правые двигатели. Командир, несмотря на ранение, удачно посадил тоже израненную машину на болотистом лугу возле аэродрома 24-го истребительного отряда около деревни Городище в пяти верстах от города Холм. При осмотре было выявлено много пробоин, и казалась невероятной такая живучесть самолета. Предсказания о "летающей мишени" не сбылись (11230).</w:t>
      </w:r>
    </w:p>
    <w:p w14:paraId="2FA5894E" w14:textId="77777777" w:rsidR="004B4E35" w:rsidRPr="00405303" w:rsidRDefault="009E6F82" w:rsidP="00C15251">
      <w:pPr>
        <w:jc w:val="both"/>
        <w:rPr>
          <w:bCs/>
          <w:color w:val="002060"/>
          <w:sz w:val="16"/>
          <w:szCs w:val="16"/>
        </w:rPr>
      </w:pPr>
      <w:r w:rsidRPr="00405303">
        <w:rPr>
          <w:bCs/>
          <w:color w:val="002060"/>
          <w:sz w:val="16"/>
          <w:szCs w:val="16"/>
        </w:rPr>
        <w:t>Молва об этом бое уже катилась по авиаотрядам. Командование по достоинству оценило мужество летных бойцов, и весь экипаж был примерно награжден. В приказе особо отмечались самоотверженные действия прапорщика Лаврова (11230).</w:t>
      </w:r>
    </w:p>
    <w:p w14:paraId="7C9148E1" w14:textId="77777777" w:rsidR="004B4E35" w:rsidRPr="00405303" w:rsidRDefault="009E6F82" w:rsidP="00C15251">
      <w:pPr>
        <w:jc w:val="both"/>
        <w:rPr>
          <w:bCs/>
          <w:color w:val="002060"/>
          <w:sz w:val="16"/>
          <w:szCs w:val="16"/>
        </w:rPr>
      </w:pPr>
      <w:r w:rsidRPr="00405303">
        <w:rPr>
          <w:bCs/>
          <w:color w:val="002060"/>
          <w:sz w:val="16"/>
          <w:szCs w:val="16"/>
        </w:rPr>
        <w:t xml:space="preserve">Чтобы у читателей не сложилось впечатление, что эскадра действовала время от времени, надо отметить, что боевая работа велась планомерно и в ней участвовали все экипажи. Просто в книге приводятся только наиболее интересные, с нашей точки зрения, эпизоды боевой деятельности эскадры. Рутинной и незаметной повседневной работы было, </w:t>
      </w:r>
      <w:proofErr w:type="gramStart"/>
      <w:r w:rsidRPr="00405303">
        <w:rPr>
          <w:bCs/>
          <w:color w:val="002060"/>
          <w:sz w:val="16"/>
          <w:szCs w:val="16"/>
        </w:rPr>
        <w:t>как всегда</w:t>
      </w:r>
      <w:proofErr w:type="gramEnd"/>
      <w:r w:rsidRPr="00405303">
        <w:rPr>
          <w:bCs/>
          <w:color w:val="002060"/>
          <w:sz w:val="16"/>
          <w:szCs w:val="16"/>
        </w:rPr>
        <w:t xml:space="preserve"> в любом другом деле, значительно больше (11230).</w:t>
      </w:r>
    </w:p>
    <w:p w14:paraId="6CA5CDE1" w14:textId="77777777" w:rsidR="004B4E35" w:rsidRPr="00405303" w:rsidRDefault="009E6F82" w:rsidP="00C15251">
      <w:pPr>
        <w:jc w:val="both"/>
        <w:rPr>
          <w:bCs/>
          <w:color w:val="002060"/>
          <w:sz w:val="16"/>
          <w:szCs w:val="16"/>
        </w:rPr>
      </w:pPr>
      <w:r w:rsidRPr="00405303">
        <w:rPr>
          <w:bCs/>
          <w:color w:val="002060"/>
          <w:sz w:val="16"/>
          <w:szCs w:val="16"/>
        </w:rPr>
        <w:t>Наряду с наращиванием истребительной авиации немцы усилили и зенитную артиллерию, которую концентрировали на вероятных местах пролета кораблей линии фронта. Хотя при первом интенсивном обстреле "Муромца" под командованием штабс-капитана Озерского (заменившего Бродовича, отказавшегося от боевой работы и откомандированного в Гатчину) экипаж подавил пулеметным огнем зенитные средства, было ясно, что надо принимать какие-то меры. Самым простым была смена постоянных мест пролета линии фронта, потом стали отрабатывать противозенитные маневры. Наряду с этим Сикорским были проведены также и некоторые конструктивные доработки самолета, повышавшие живучесть корабля. В частности, баки стали протектироваться изнутри и защищаться броней снаружи (11230).</w:t>
      </w:r>
    </w:p>
    <w:p w14:paraId="2FD8318B" w14:textId="77777777" w:rsidR="004B4E35" w:rsidRPr="00405303" w:rsidRDefault="004B4E35" w:rsidP="00C15251">
      <w:pPr>
        <w:jc w:val="both"/>
        <w:rPr>
          <w:bCs/>
          <w:color w:val="002060"/>
          <w:sz w:val="16"/>
          <w:szCs w:val="16"/>
        </w:rPr>
      </w:pPr>
    </w:p>
    <w:p w14:paraId="2A52026B" w14:textId="763517D6" w:rsidR="002845A9" w:rsidRPr="00405303" w:rsidRDefault="002845A9" w:rsidP="00C15251">
      <w:pPr>
        <w:jc w:val="both"/>
        <w:rPr>
          <w:bCs/>
          <w:color w:val="002060"/>
          <w:sz w:val="16"/>
          <w:szCs w:val="16"/>
          <w:lang w:bidi="en-US"/>
        </w:rPr>
      </w:pPr>
      <w:r w:rsidRPr="00405303">
        <w:rPr>
          <w:bCs/>
          <w:color w:val="002060"/>
          <w:sz w:val="16"/>
          <w:szCs w:val="16"/>
          <w:lang w:bidi="en-US"/>
        </w:rPr>
        <w:lastRenderedPageBreak/>
        <w:t>6 (19) июля 1915 г. ИМ-Киевский под командованием Поручика Башко с расчетом из трех человек и двадцатью семью бомбами на борту вылетел для поражения объектов противника в районе Гарбовец-Унува. Киевский был атакован четырьмя вражескими самолетами. Во время первой атаки были повреждены оба верхних топливных бака, а также оба топливопровода к левому двигателю. Башко был тяжело ранен в голову и ногу. Поручик Смирнов ненадолго взял штурвал, пока перевязанный Башко не смог вернуть его обратно. Еще одна вражеская атака пробила цистерну с маслом. Несмотря на повреждения и состояние, Башко смог вернуться за свои позиции и вынужденно приземлился в болотистом поле у Гордодища под Холмом. За храбрость весь экипаж получил Георгиевские награды и поощрения. Башко был произведен в штаб капитана и награжден орденом Святого Георгия 4-й степени (23525).</w:t>
      </w:r>
    </w:p>
    <w:p w14:paraId="273391EC" w14:textId="77777777" w:rsidR="002845A9" w:rsidRPr="00405303" w:rsidRDefault="002845A9" w:rsidP="00C15251">
      <w:pPr>
        <w:jc w:val="both"/>
        <w:rPr>
          <w:bCs/>
          <w:color w:val="002060"/>
          <w:sz w:val="16"/>
          <w:szCs w:val="16"/>
        </w:rPr>
      </w:pPr>
    </w:p>
    <w:p w14:paraId="34F731D1" w14:textId="77777777" w:rsidR="009E2253" w:rsidRPr="00405303" w:rsidRDefault="009E2253" w:rsidP="009E2253">
      <w:pPr>
        <w:widowControl w:val="0"/>
        <w:tabs>
          <w:tab w:val="left" w:pos="721"/>
        </w:tabs>
        <w:jc w:val="both"/>
        <w:rPr>
          <w:rFonts w:eastAsia="Trebuchet MS"/>
          <w:color w:val="0070C0"/>
          <w:sz w:val="16"/>
          <w:szCs w:val="16"/>
          <w:shd w:val="clear" w:color="auto" w:fill="FFFFFF"/>
        </w:rPr>
      </w:pPr>
      <w:r w:rsidRPr="00405303">
        <w:rPr>
          <w:rFonts w:eastAsia="Trebuchet MS"/>
          <w:color w:val="0070C0"/>
          <w:sz w:val="16"/>
          <w:szCs w:val="16"/>
          <w:shd w:val="clear" w:color="auto" w:fill="FFFFFF"/>
        </w:rPr>
        <w:t>6 (19) июля 1915 г. в 6 часов утра 5 русских самолетов 31-го корпусного авиаотряда (на борту каждого было по 5 пудов бомб) вылетели на задание. Немцы навели через Буг три моста, по которым большими группами начали переправлять пехоту. Увидев сигнал к атаке от 1-й гвардейской пехотной дивизии, а также начало артиллерийского обстрела по наведенным противником мостам русской артиллерией, летчики также пошли в бой.</w:t>
      </w:r>
    </w:p>
    <w:p w14:paraId="0A3EEC1B" w14:textId="77777777" w:rsidR="009E2253" w:rsidRPr="00405303" w:rsidRDefault="009E2253" w:rsidP="009E2253">
      <w:pPr>
        <w:widowControl w:val="0"/>
        <w:tabs>
          <w:tab w:val="left" w:pos="721"/>
        </w:tabs>
        <w:jc w:val="both"/>
        <w:rPr>
          <w:rFonts w:eastAsia="Trebuchet MS"/>
          <w:color w:val="0070C0"/>
          <w:sz w:val="16"/>
          <w:szCs w:val="16"/>
          <w:shd w:val="clear" w:color="auto" w:fill="FFFFFF"/>
        </w:rPr>
      </w:pPr>
      <w:r w:rsidRPr="00405303">
        <w:rPr>
          <w:rFonts w:eastAsia="Trebuchet MS"/>
          <w:color w:val="0070C0"/>
          <w:sz w:val="16"/>
          <w:szCs w:val="16"/>
          <w:shd w:val="clear" w:color="auto" w:fill="FFFFFF"/>
        </w:rPr>
        <w:t>Действуя единой группой, под руководством командира авиационного отряда, самолеты с небольшой высоты — 250 метров — атаковали мосты и переправляющие части неприятеля, расстреливая пехоту пулеметным огнем и забрасывая бомбами. Бой у переправ шел до позднего вечера, за это время российские самолеты успели 6 раз вернуться на место схватки с полной боевой загрузкой, продолжая атаковать противника.</w:t>
      </w:r>
    </w:p>
    <w:p w14:paraId="2AF47EBC" w14:textId="77777777" w:rsidR="009E2253" w:rsidRPr="00405303" w:rsidRDefault="009E2253" w:rsidP="009E2253">
      <w:pPr>
        <w:widowControl w:val="0"/>
        <w:tabs>
          <w:tab w:val="left" w:pos="721"/>
        </w:tabs>
        <w:jc w:val="both"/>
        <w:rPr>
          <w:rFonts w:eastAsia="Trebuchet MS"/>
          <w:color w:val="0070C0"/>
          <w:sz w:val="16"/>
          <w:szCs w:val="16"/>
          <w:shd w:val="clear" w:color="auto" w:fill="FFFFFF"/>
        </w:rPr>
      </w:pPr>
      <w:r w:rsidRPr="00405303">
        <w:rPr>
          <w:rFonts w:eastAsia="Trebuchet MS"/>
          <w:color w:val="0070C0"/>
          <w:sz w:val="16"/>
          <w:szCs w:val="16"/>
          <w:shd w:val="clear" w:color="auto" w:fill="FFFFFF"/>
        </w:rPr>
        <w:t>Моральное воздействие штурмовых ударов российской авиации превзошло все ожидания. Некоторые немецкие части просто бросали позиции и бежали назад к реке, переплыть которую под огнем русской артиллерии было очень непросто. Любопытной деталью является то, что отличительным знаком самолетов 31-го корпусного авиационного отряда была «Адамова голова» или Мертвая голова (немецкое Totenkopf) — символическое изображение черепа человека с двумя крест-накрест лежащими костями. Это один из самых известных символов в человеческой истории. Он являлся не только символом смерти, но и символом бесстрашия перед ее лицом. Изначально эмблема прижилась в 19-м корпусном авиационном отряде, а затем и в 31-м. Летчики наносили ее на фюзеляж, крылья или задние рули своих аэропланов. Учитывая подобную эмблему, выражение «смерть с небес» приобретает буквальное значение.</w:t>
      </w:r>
    </w:p>
    <w:p w14:paraId="00AEAB3F" w14:textId="77777777" w:rsidR="009E2253" w:rsidRPr="00405303" w:rsidRDefault="009E2253" w:rsidP="009E2253">
      <w:pPr>
        <w:widowControl w:val="0"/>
        <w:tabs>
          <w:tab w:val="left" w:pos="721"/>
        </w:tabs>
        <w:jc w:val="both"/>
        <w:rPr>
          <w:rFonts w:eastAsia="Trebuchet MS"/>
          <w:color w:val="0070C0"/>
          <w:sz w:val="16"/>
          <w:szCs w:val="16"/>
          <w:shd w:val="clear" w:color="auto" w:fill="FFFFFF"/>
        </w:rPr>
      </w:pPr>
      <w:r w:rsidRPr="00405303">
        <w:rPr>
          <w:rFonts w:eastAsia="Trebuchet MS"/>
          <w:color w:val="0070C0"/>
          <w:sz w:val="16"/>
          <w:szCs w:val="16"/>
          <w:shd w:val="clear" w:color="auto" w:fill="FFFFFF"/>
        </w:rPr>
        <w:t>Бой за переправу продолжился и 20 июля, когда немцы бросили в бой все свои основные силы, однако им так и не удалось добиться успеха — все атаки были отбиты. При этом немецким войскам на этом направлении был нанесен такой сильный урон, что на фронте на целый месяц наступило затишье.</w:t>
      </w:r>
    </w:p>
    <w:p w14:paraId="47EC4529" w14:textId="77777777" w:rsidR="009E2253" w:rsidRPr="00405303" w:rsidRDefault="009E2253" w:rsidP="009E2253">
      <w:pPr>
        <w:widowControl w:val="0"/>
        <w:tabs>
          <w:tab w:val="left" w:pos="721"/>
        </w:tabs>
        <w:jc w:val="both"/>
        <w:rPr>
          <w:rFonts w:eastAsia="Trebuchet MS"/>
          <w:color w:val="0070C0"/>
          <w:sz w:val="16"/>
          <w:szCs w:val="16"/>
          <w:shd w:val="clear" w:color="auto" w:fill="FFFFFF"/>
        </w:rPr>
      </w:pPr>
      <w:r w:rsidRPr="00405303">
        <w:rPr>
          <w:rFonts w:eastAsia="Trebuchet MS"/>
          <w:color w:val="0070C0"/>
          <w:sz w:val="16"/>
          <w:szCs w:val="16"/>
          <w:shd w:val="clear" w:color="auto" w:fill="FFFFFF"/>
        </w:rPr>
        <w:t>Во время вылетов 19-20 июля 1915 года летчики 31-го корпусного авиаотряда впервые в истории русской авиации провели штурмовые удары по противнику, сбросив на него до 250 пудов бомб и израсходовав 3 тысячи патронов.</w:t>
      </w:r>
    </w:p>
    <w:p w14:paraId="4E26155B" w14:textId="77777777" w:rsidR="009E2253" w:rsidRPr="00405303" w:rsidRDefault="009E2253" w:rsidP="009E2253">
      <w:pPr>
        <w:widowControl w:val="0"/>
        <w:tabs>
          <w:tab w:val="left" w:pos="721"/>
        </w:tabs>
        <w:jc w:val="both"/>
        <w:rPr>
          <w:rFonts w:eastAsia="Trebuchet MS"/>
          <w:color w:val="0070C0"/>
          <w:sz w:val="16"/>
          <w:szCs w:val="16"/>
          <w:shd w:val="clear" w:color="auto" w:fill="FFFFFF"/>
        </w:rPr>
      </w:pPr>
      <w:r w:rsidRPr="00405303">
        <w:rPr>
          <w:rFonts w:eastAsia="Trebuchet MS"/>
          <w:color w:val="0070C0"/>
          <w:sz w:val="16"/>
          <w:szCs w:val="16"/>
          <w:shd w:val="clear" w:color="auto" w:fill="FFFFFF"/>
        </w:rPr>
        <w:t>К 30 июня (12 июля) 3-я и 13-я русские армии отошли за реку Буг, где собирались организовать оборону, воспользовавшись естественной водной преградой, как отличным рубежом обороны.</w:t>
      </w:r>
    </w:p>
    <w:p w14:paraId="260E12BC" w14:textId="77777777" w:rsidR="009E2253" w:rsidRPr="00405303" w:rsidRDefault="009E2253" w:rsidP="009E2253">
      <w:pPr>
        <w:widowControl w:val="0"/>
        <w:tabs>
          <w:tab w:val="left" w:pos="721"/>
        </w:tabs>
        <w:jc w:val="both"/>
        <w:rPr>
          <w:rFonts w:eastAsia="Trebuchet MS"/>
          <w:color w:val="0070C0"/>
          <w:sz w:val="16"/>
          <w:szCs w:val="16"/>
          <w:shd w:val="clear" w:color="auto" w:fill="FFFFFF"/>
        </w:rPr>
      </w:pPr>
      <w:r w:rsidRPr="00405303">
        <w:rPr>
          <w:rFonts w:eastAsia="Trebuchet MS"/>
          <w:color w:val="0070C0"/>
          <w:sz w:val="16"/>
          <w:szCs w:val="16"/>
          <w:shd w:val="clear" w:color="auto" w:fill="FFFFFF"/>
        </w:rPr>
        <w:t>Очевидным было то, что с рассветом 6 (19) июля противник попытается переправиться через Буг у Влодавы. Однако резерва в виде одной дивизии, пусть и 1-й гвардейской, не хватит, чтобы остановить продвижение немцев.</w:t>
      </w:r>
    </w:p>
    <w:p w14:paraId="04F18580" w14:textId="77777777" w:rsidR="009E2253" w:rsidRPr="00405303" w:rsidRDefault="009E2253" w:rsidP="009E2253">
      <w:pPr>
        <w:widowControl w:val="0"/>
        <w:tabs>
          <w:tab w:val="left" w:pos="721"/>
        </w:tabs>
        <w:jc w:val="both"/>
        <w:rPr>
          <w:rFonts w:eastAsia="Trebuchet MS"/>
          <w:color w:val="0070C0"/>
          <w:sz w:val="16"/>
          <w:szCs w:val="16"/>
          <w:shd w:val="clear" w:color="auto" w:fill="FFFFFF"/>
        </w:rPr>
      </w:pPr>
      <w:r w:rsidRPr="00405303">
        <w:rPr>
          <w:rFonts w:eastAsia="Trebuchet MS"/>
          <w:color w:val="0070C0"/>
          <w:sz w:val="16"/>
          <w:szCs w:val="16"/>
          <w:shd w:val="clear" w:color="auto" w:fill="FFFFFF"/>
        </w:rPr>
        <w:t>Принимая это во внимание, русское командование приняло тактически новое и очень грамотное решение, поддержать действия бойцов 1-й гвардейской дивизии ударами с воздуха. На тот момент времени в распоряжении 31-го корпусного авиаотряда находилось 250 пудов бомб (чуть более 4 тонн).</w:t>
      </w:r>
    </w:p>
    <w:p w14:paraId="409B32C0" w14:textId="77777777" w:rsidR="009E2253" w:rsidRPr="00405303" w:rsidRDefault="009E2253" w:rsidP="009E2253">
      <w:pPr>
        <w:widowControl w:val="0"/>
        <w:tabs>
          <w:tab w:val="left" w:pos="721"/>
        </w:tabs>
        <w:jc w:val="both"/>
        <w:rPr>
          <w:rFonts w:eastAsia="Trebuchet MS"/>
          <w:color w:val="0070C0"/>
          <w:sz w:val="16"/>
          <w:szCs w:val="16"/>
          <w:shd w:val="clear" w:color="auto" w:fill="FFFFFF"/>
        </w:rPr>
      </w:pPr>
      <w:r w:rsidRPr="00405303">
        <w:rPr>
          <w:rFonts w:eastAsia="Trebuchet MS"/>
          <w:color w:val="0070C0"/>
          <w:sz w:val="16"/>
          <w:szCs w:val="16"/>
          <w:shd w:val="clear" w:color="auto" w:fill="FFFFFF"/>
        </w:rPr>
        <w:t>При этом действия русской авиации должны были быть согласованы с действиями на земле 1-й гвардейской пехотной дивизии. Впервые имело место реальное взаимодействие воздушных и наземных сил русской армии. Согласно плану русского командования, противнику было решено дать возможность навести мосты и частично переправить по ним свои войска. После этого артиллерия должна была уничтожить переправы, а гвардейская пехотная дивизия атаковать успевшие переправиться части противника. В это время авиация должна была осуществлять штурмовые удары по германцам — бомбами и пулеметным огнем, облегчая действия пехоты (25155).</w:t>
      </w:r>
    </w:p>
    <w:p w14:paraId="1CF6D2E2" w14:textId="77777777" w:rsidR="009E2253" w:rsidRPr="00405303" w:rsidRDefault="009E2253" w:rsidP="009E2253">
      <w:pPr>
        <w:widowControl w:val="0"/>
        <w:tabs>
          <w:tab w:val="left" w:pos="721"/>
        </w:tabs>
        <w:jc w:val="both"/>
        <w:rPr>
          <w:rStyle w:val="aa"/>
          <w:rFonts w:ascii="Times New Roman" w:hAnsi="Times New Roman"/>
          <w:color w:val="0070C0"/>
          <w:spacing w:val="0"/>
          <w:sz w:val="16"/>
          <w:szCs w:val="16"/>
        </w:rPr>
      </w:pPr>
    </w:p>
    <w:p w14:paraId="4404E77E" w14:textId="77777777" w:rsidR="009E2253" w:rsidRPr="00405303" w:rsidRDefault="009E2253" w:rsidP="009E2253">
      <w:pPr>
        <w:widowControl w:val="0"/>
        <w:tabs>
          <w:tab w:val="left" w:pos="721"/>
        </w:tabs>
        <w:jc w:val="both"/>
        <w:rPr>
          <w:color w:val="0070C0"/>
          <w:sz w:val="16"/>
          <w:szCs w:val="16"/>
        </w:rPr>
      </w:pPr>
      <w:r w:rsidRPr="00405303">
        <w:rPr>
          <w:rStyle w:val="aa"/>
          <w:rFonts w:ascii="Times New Roman" w:hAnsi="Times New Roman"/>
          <w:color w:val="0070C0"/>
          <w:spacing w:val="0"/>
          <w:sz w:val="16"/>
          <w:szCs w:val="16"/>
        </w:rPr>
        <w:t>6 (19) июля 1915 г. возле г. Белосток было зафиксировано появление неприятельского дирижабля, проводившего воздушную разведку окрестностей города, позднее такие же полеты были отмечены над г. Остроленка.</w:t>
      </w:r>
    </w:p>
    <w:p w14:paraId="0B3199E1" w14:textId="77777777" w:rsidR="009E2253" w:rsidRPr="00405303" w:rsidRDefault="009E2253" w:rsidP="009E2253">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В тот же день бомбардировке с воздуха несколько раз подвергался г. Люблин. По данным русского командования, в течение последней недели «австро-германские летчики шестнадцать раз летали над [городом] и сбросили около сорока бомб, которыми трое обывателей убито и семь ранено» (25135).</w:t>
      </w:r>
    </w:p>
    <w:p w14:paraId="08E8FCB2" w14:textId="77777777" w:rsidR="009E2253" w:rsidRPr="00405303" w:rsidRDefault="009E2253" w:rsidP="009E2253">
      <w:pPr>
        <w:jc w:val="both"/>
        <w:rPr>
          <w:color w:val="0070C0"/>
          <w:sz w:val="16"/>
          <w:szCs w:val="16"/>
        </w:rPr>
      </w:pPr>
    </w:p>
    <w:p w14:paraId="56EE63D2" w14:textId="549520E3" w:rsidR="004B4E35" w:rsidRPr="00405303" w:rsidRDefault="009E6F82" w:rsidP="00C15251">
      <w:pPr>
        <w:jc w:val="both"/>
        <w:rPr>
          <w:bCs/>
          <w:color w:val="002060"/>
          <w:sz w:val="16"/>
          <w:szCs w:val="16"/>
        </w:rPr>
      </w:pPr>
      <w:r w:rsidRPr="00405303">
        <w:rPr>
          <w:bCs/>
          <w:color w:val="002060"/>
          <w:sz w:val="16"/>
          <w:szCs w:val="16"/>
        </w:rPr>
        <w:t>6 (19) июля 1915 года главнокомандующий армиями Северо-Западного фронта генерал от инфантерии М.В. Алексеев разрешил 2-й армии отступить за Вислу. Авиация противника вновь оживилась. Сейчас ее задачей, видимо, был срыв эвакуации Варшавы. 9-11 (22-24) июля пары аэропланов атаковали вокзалы и гвардейские казармы, но большого эффекта не достигли, а 11-го (24-го) даже были отогнаны артогнем и не сбросили бомбы.</w:t>
      </w:r>
    </w:p>
    <w:p w14:paraId="1278459C" w14:textId="77777777" w:rsidR="004B4E35" w:rsidRPr="00405303" w:rsidRDefault="009E6F82" w:rsidP="00C15251">
      <w:pPr>
        <w:jc w:val="both"/>
        <w:rPr>
          <w:bCs/>
          <w:color w:val="002060"/>
          <w:sz w:val="16"/>
          <w:szCs w:val="16"/>
        </w:rPr>
      </w:pPr>
      <w:r w:rsidRPr="00405303">
        <w:rPr>
          <w:bCs/>
          <w:color w:val="002060"/>
          <w:sz w:val="16"/>
          <w:szCs w:val="16"/>
        </w:rPr>
        <w:t>Это были последние зафиксированные гражданскими властями и штабом крепостной артиллерии налеты противника на Варшаву. 11 (24) июля 1915 года главнокомандующий разрешил генерал-губернатору и его управлению покинуть город, а командующему 2-й армией генералу от инфантерии В.В. Смирнову приказал «...произвести эвакуацию цитадели и всех еще оставшихся военных и гражданских учреждений Варшавы» и взорвать мосты через Вислу. Эвакуация крепостной артиллерии проводилась 13 (26)-18(31) июля; покинули город и четыре противоаэропланные батареи.</w:t>
      </w:r>
    </w:p>
    <w:p w14:paraId="2B132EBD" w14:textId="77777777" w:rsidR="004B4E35" w:rsidRPr="00405303" w:rsidRDefault="004B4E35" w:rsidP="00C15251">
      <w:pPr>
        <w:jc w:val="both"/>
        <w:rPr>
          <w:bCs/>
          <w:i/>
          <w:color w:val="002060"/>
          <w:sz w:val="16"/>
          <w:szCs w:val="16"/>
        </w:rPr>
      </w:pPr>
    </w:p>
    <w:p w14:paraId="04CFEEBD" w14:textId="22E6B481" w:rsidR="002845A9" w:rsidRPr="00405303" w:rsidRDefault="002845A9" w:rsidP="00C15251">
      <w:pPr>
        <w:jc w:val="both"/>
        <w:rPr>
          <w:bCs/>
          <w:color w:val="002060"/>
          <w:sz w:val="16"/>
          <w:szCs w:val="16"/>
        </w:rPr>
      </w:pPr>
      <w:r w:rsidRPr="00405303">
        <w:rPr>
          <w:bCs/>
          <w:color w:val="002060"/>
          <w:sz w:val="16"/>
          <w:szCs w:val="16"/>
          <w:lang w:bidi="en-US"/>
        </w:rPr>
        <w:t>6 (19) июля 1915 года генерал-адъютант великий князь Александр Михайлович направил рапорт царю и Главнокомандующему русской армии. В отчете освещалось состояние авиационно-технических групп в составе действующей армии и говорилось: «Самолеты российского производства «Фарманс» и «Ньюпор» с самого начала войны не соответствовали даже минимальным требованиям воздушного боя:</w:t>
      </w:r>
    </w:p>
    <w:p w14:paraId="38067C10" w14:textId="77777777" w:rsidR="002845A9" w:rsidRPr="00405303" w:rsidRDefault="002845A9" w:rsidP="00C15251">
      <w:pPr>
        <w:jc w:val="both"/>
        <w:rPr>
          <w:bCs/>
          <w:color w:val="002060"/>
          <w:sz w:val="16"/>
          <w:szCs w:val="16"/>
          <w:lang w:bidi="en-US"/>
        </w:rPr>
      </w:pPr>
      <w:r w:rsidRPr="00405303">
        <w:rPr>
          <w:bCs/>
          <w:color w:val="002060"/>
          <w:sz w:val="16"/>
          <w:szCs w:val="16"/>
          <w:lang w:bidi="en-US"/>
        </w:rPr>
        <w:t>Те, что сделаны на Щетининском заводе, никуда не годятся - в результате летчики предпочитали старые, изношенные самолеты из других источников новым щетининским самолетам. Продукция заводов, с самого начала войны и до последнего месяца, была не только совершенно недостаточна для нормального пропитания самолетов для армии - да и сама работа не улучшилась, а стала хуже. Это подтверждалось многочисленными инцидентами и жалобами и подтверждалось поставкой в армию Ньюпоров от Дюкса, Фарманов от Щетинина и Вуазенов от Лебедева, совершенно непригодных к бегству.</w:t>
      </w:r>
    </w:p>
    <w:p w14:paraId="6BD23C83" w14:textId="77777777" w:rsidR="002845A9" w:rsidRPr="00405303" w:rsidRDefault="002845A9" w:rsidP="00C15251">
      <w:pPr>
        <w:jc w:val="both"/>
        <w:rPr>
          <w:bCs/>
          <w:color w:val="002060"/>
          <w:sz w:val="16"/>
          <w:szCs w:val="16"/>
          <w:lang w:bidi="en-US"/>
        </w:rPr>
      </w:pPr>
      <w:r w:rsidRPr="00405303">
        <w:rPr>
          <w:bCs/>
          <w:color w:val="002060"/>
          <w:sz w:val="16"/>
          <w:szCs w:val="16"/>
          <w:lang w:bidi="en-US"/>
        </w:rPr>
        <w:t>Мораны от Дуков несколько лучше, но в армии их можно использовать только в ограниченном количестве - они требуют пилотов с особой квалификацией - кроме того, они несут легкую полезную нагрузку с плохой дальностью полета - в результате не приспособлены для стратегической разведки или бомбометания.</w:t>
      </w:r>
    </w:p>
    <w:p w14:paraId="7B687176" w14:textId="77777777" w:rsidR="002845A9" w:rsidRPr="00405303" w:rsidRDefault="002845A9" w:rsidP="00C15251">
      <w:pPr>
        <w:jc w:val="both"/>
        <w:rPr>
          <w:bCs/>
          <w:color w:val="002060"/>
          <w:sz w:val="16"/>
          <w:szCs w:val="16"/>
        </w:rPr>
      </w:pPr>
      <w:r w:rsidRPr="00405303">
        <w:rPr>
          <w:bCs/>
          <w:color w:val="002060"/>
          <w:sz w:val="16"/>
          <w:szCs w:val="16"/>
          <w:lang w:bidi="en-US"/>
        </w:rPr>
        <w:t>Его доклад продолжал: «Вуазены от Лебедева дают больше всего надежды на улучшение - поставляются в авиаотряды с мая - к сожалению, опыт показал, что они не так хороши, как их зарубежные аналоги - у них есть серьезные недостатки, из которых я сделал много жалобы:</w:t>
      </w:r>
    </w:p>
    <w:p w14:paraId="70D5B014" w14:textId="77777777" w:rsidR="002845A9" w:rsidRPr="00405303" w:rsidRDefault="002845A9" w:rsidP="00C15251">
      <w:pPr>
        <w:jc w:val="both"/>
        <w:rPr>
          <w:bCs/>
          <w:color w:val="002060"/>
          <w:sz w:val="16"/>
          <w:szCs w:val="16"/>
        </w:rPr>
      </w:pPr>
      <w:r w:rsidRPr="00405303">
        <w:rPr>
          <w:bCs/>
          <w:color w:val="002060"/>
          <w:sz w:val="16"/>
          <w:szCs w:val="16"/>
          <w:lang w:bidi="en-US"/>
        </w:rPr>
        <w:t xml:space="preserve">Детальное наблюдение за изготовлением этих самолетов поручено капитану Быстрицкому, но еще не закончено и все факты не в порядке, но признаки показывают, что дело неудовлетворительно. Наше Главное военно-техническое управление (ГВТУ) предложило нам скопировать немецкие «Румпир» и «Альбатрос» с чертежей трофейных самолетов на заводе Лебедева. Результатов этот эксперимент не принес - они оказались значительно ниже по качеству, чем немецкие самолеты. В настоящее время мы взялись за производство двигателей </w:t>
      </w:r>
      <w:r w:rsidRPr="00405303">
        <w:rPr>
          <w:bCs/>
          <w:color w:val="002060"/>
          <w:sz w:val="16"/>
          <w:szCs w:val="16"/>
          <w:lang w:val="en-US" w:bidi="en-US"/>
        </w:rPr>
        <w:t>Benz</w:t>
      </w:r>
      <w:r w:rsidRPr="00405303">
        <w:rPr>
          <w:bCs/>
          <w:color w:val="002060"/>
          <w:sz w:val="16"/>
          <w:szCs w:val="16"/>
          <w:lang w:bidi="en-US"/>
        </w:rPr>
        <w:t xml:space="preserve">, </w:t>
      </w:r>
      <w:r w:rsidRPr="00405303">
        <w:rPr>
          <w:bCs/>
          <w:color w:val="002060"/>
          <w:sz w:val="16"/>
          <w:szCs w:val="16"/>
          <w:lang w:val="en-US" w:bidi="en-US"/>
        </w:rPr>
        <w:t>Mercedes</w:t>
      </w:r>
      <w:r w:rsidRPr="00405303">
        <w:rPr>
          <w:bCs/>
          <w:color w:val="002060"/>
          <w:sz w:val="16"/>
          <w:szCs w:val="16"/>
          <w:lang w:bidi="en-US"/>
        </w:rPr>
        <w:t xml:space="preserve"> и </w:t>
      </w:r>
      <w:r w:rsidRPr="00405303">
        <w:rPr>
          <w:bCs/>
          <w:color w:val="002060"/>
          <w:sz w:val="16"/>
          <w:szCs w:val="16"/>
          <w:lang w:val="en-US" w:bidi="en-US"/>
        </w:rPr>
        <w:t>Sunbeam</w:t>
      </w:r>
      <w:r w:rsidRPr="00405303">
        <w:rPr>
          <w:bCs/>
          <w:color w:val="002060"/>
          <w:sz w:val="16"/>
          <w:szCs w:val="16"/>
          <w:lang w:bidi="en-US"/>
        </w:rPr>
        <w:t>, но первая продукция не может быть достигнута ранее, чем через 10-12 месяцев. Кроме того, в худшем состоянии находится почти неразрешимая проблема самолетов - вопрос двигателей для этих самолетов.</w:t>
      </w:r>
    </w:p>
    <w:p w14:paraId="50D0E4FA" w14:textId="77777777" w:rsidR="002845A9" w:rsidRPr="00405303" w:rsidRDefault="002845A9" w:rsidP="00C15251">
      <w:pPr>
        <w:jc w:val="both"/>
        <w:rPr>
          <w:bCs/>
          <w:color w:val="002060"/>
          <w:sz w:val="16"/>
          <w:szCs w:val="16"/>
        </w:rPr>
      </w:pPr>
      <w:r w:rsidRPr="00405303">
        <w:rPr>
          <w:bCs/>
          <w:color w:val="002060"/>
          <w:sz w:val="16"/>
          <w:szCs w:val="16"/>
          <w:lang w:bidi="en-US"/>
        </w:rPr>
        <w:t>Этот вопрос стал чрезвычайно острым с первых дней войны, так как все отряды выходили в походы с перегруженными двигателями, требуя большего пополнения. Новых двигателей не хватало - не только на замену уже готовых к смене в полевых условиях, но и на свежие с завода. Проблема усугубилась из-за их низкого качества и достигла чрезвычайных масштабов, когда фабрика «Гном» начала использовать российские материалы из-за отсутствия материалов из-за рубежа.</w:t>
      </w:r>
    </w:p>
    <w:p w14:paraId="78ED3271" w14:textId="77777777" w:rsidR="002845A9" w:rsidRPr="00405303" w:rsidRDefault="002845A9" w:rsidP="00C15251">
      <w:pPr>
        <w:jc w:val="both"/>
        <w:rPr>
          <w:bCs/>
          <w:color w:val="002060"/>
          <w:sz w:val="16"/>
          <w:szCs w:val="16"/>
        </w:rPr>
      </w:pPr>
      <w:r w:rsidRPr="00405303">
        <w:rPr>
          <w:bCs/>
          <w:color w:val="002060"/>
          <w:sz w:val="16"/>
          <w:szCs w:val="16"/>
          <w:lang w:bidi="en-US"/>
        </w:rPr>
        <w:t xml:space="preserve">Плохое качество двигателей привело к множеству инцидентов - я перечислил их все в </w:t>
      </w:r>
      <w:r w:rsidRPr="00405303">
        <w:rPr>
          <w:bCs/>
          <w:color w:val="002060"/>
          <w:sz w:val="16"/>
          <w:szCs w:val="16"/>
          <w:lang w:val="en-US" w:bidi="en-US"/>
        </w:rPr>
        <w:t>CMTD</w:t>
      </w:r>
      <w:r w:rsidRPr="00405303">
        <w:rPr>
          <w:bCs/>
          <w:color w:val="002060"/>
          <w:sz w:val="16"/>
          <w:szCs w:val="16"/>
          <w:lang w:bidi="en-US"/>
        </w:rPr>
        <w:t xml:space="preserve"> - которые назначили комиссии по расследованию - дела от этого не улучшились - несмотря на то, </w:t>
      </w:r>
      <w:proofErr w:type="gramStart"/>
      <w:r w:rsidRPr="00405303">
        <w:rPr>
          <w:bCs/>
          <w:color w:val="002060"/>
          <w:sz w:val="16"/>
          <w:szCs w:val="16"/>
          <w:lang w:bidi="en-US"/>
        </w:rPr>
        <w:t>что</w:t>
      </w:r>
      <w:proofErr w:type="gramEnd"/>
      <w:r w:rsidRPr="00405303">
        <w:rPr>
          <w:bCs/>
          <w:color w:val="002060"/>
          <w:sz w:val="16"/>
          <w:szCs w:val="16"/>
          <w:lang w:bidi="en-US"/>
        </w:rPr>
        <w:t xml:space="preserve"> когда я потребовал решения проблемы в мае, фабрика </w:t>
      </w:r>
      <w:r w:rsidRPr="00405303">
        <w:rPr>
          <w:bCs/>
          <w:color w:val="002060"/>
          <w:sz w:val="16"/>
          <w:szCs w:val="16"/>
          <w:lang w:val="en-US" w:bidi="en-US"/>
        </w:rPr>
        <w:t>Gnome</w:t>
      </w:r>
      <w:r w:rsidRPr="00405303">
        <w:rPr>
          <w:bCs/>
          <w:color w:val="002060"/>
          <w:sz w:val="16"/>
          <w:szCs w:val="16"/>
          <w:lang w:bidi="en-US"/>
        </w:rPr>
        <w:t xml:space="preserve"> была поставлена под под контролем представителя военного министерства.</w:t>
      </w:r>
    </w:p>
    <w:p w14:paraId="3EB52145" w14:textId="77777777" w:rsidR="002845A9" w:rsidRPr="00405303" w:rsidRDefault="002845A9" w:rsidP="00C15251">
      <w:pPr>
        <w:jc w:val="both"/>
        <w:rPr>
          <w:bCs/>
          <w:color w:val="002060"/>
          <w:sz w:val="16"/>
          <w:szCs w:val="16"/>
        </w:rPr>
      </w:pPr>
      <w:r w:rsidRPr="00405303">
        <w:rPr>
          <w:bCs/>
          <w:color w:val="002060"/>
          <w:sz w:val="16"/>
          <w:szCs w:val="16"/>
          <w:lang w:bidi="en-US"/>
        </w:rPr>
        <w:lastRenderedPageBreak/>
        <w:t>Судя по фактам последних нескольких месяцев, все эти экстраординарные усилия не привели к тому, чтобы довести заводское производство до уровня, который вызывал бы полное доверие к двигателям и к их полной приемке.</w:t>
      </w:r>
    </w:p>
    <w:p w14:paraId="45CA3699" w14:textId="77777777" w:rsidR="002845A9" w:rsidRPr="00405303" w:rsidRDefault="002845A9" w:rsidP="00C15251">
      <w:pPr>
        <w:jc w:val="both"/>
        <w:rPr>
          <w:bCs/>
          <w:color w:val="002060"/>
          <w:sz w:val="16"/>
          <w:szCs w:val="16"/>
        </w:rPr>
      </w:pPr>
      <w:r w:rsidRPr="00405303">
        <w:rPr>
          <w:bCs/>
          <w:color w:val="002060"/>
          <w:sz w:val="16"/>
          <w:szCs w:val="16"/>
          <w:lang w:bidi="en-US"/>
        </w:rPr>
        <w:t xml:space="preserve">Хорошие результаты дал движок </w:t>
      </w:r>
      <w:r w:rsidRPr="00405303">
        <w:rPr>
          <w:bCs/>
          <w:color w:val="002060"/>
          <w:sz w:val="16"/>
          <w:szCs w:val="16"/>
          <w:lang w:val="en-US" w:bidi="en-US"/>
        </w:rPr>
        <w:t>Gnome</w:t>
      </w:r>
      <w:r w:rsidRPr="00405303">
        <w:rPr>
          <w:bCs/>
          <w:color w:val="002060"/>
          <w:sz w:val="16"/>
          <w:szCs w:val="16"/>
          <w:lang w:bidi="en-US"/>
        </w:rPr>
        <w:t xml:space="preserve"> - </w:t>
      </w:r>
      <w:r w:rsidRPr="00405303">
        <w:rPr>
          <w:bCs/>
          <w:color w:val="002060"/>
          <w:sz w:val="16"/>
          <w:szCs w:val="16"/>
          <w:lang w:val="en-US" w:bidi="en-US"/>
        </w:rPr>
        <w:t>Monosaupe</w:t>
      </w:r>
      <w:r w:rsidRPr="00405303">
        <w:rPr>
          <w:bCs/>
          <w:color w:val="002060"/>
          <w:sz w:val="16"/>
          <w:szCs w:val="16"/>
          <w:lang w:bidi="en-US"/>
        </w:rPr>
        <w:t xml:space="preserve">, но их изготовление нами вряд ли осуществимо. В Москве открыт завод по производству двигателей </w:t>
      </w:r>
      <w:r w:rsidRPr="00405303">
        <w:rPr>
          <w:bCs/>
          <w:color w:val="002060"/>
          <w:sz w:val="16"/>
          <w:szCs w:val="16"/>
          <w:lang w:val="en-US" w:bidi="en-US"/>
        </w:rPr>
        <w:t>Salmson</w:t>
      </w:r>
      <w:r w:rsidRPr="00405303">
        <w:rPr>
          <w:bCs/>
          <w:color w:val="002060"/>
          <w:sz w:val="16"/>
          <w:szCs w:val="16"/>
          <w:lang w:bidi="en-US"/>
        </w:rPr>
        <w:t>, но первые двигатели появятся не раньше сентября, и упоминать о них преждевременно.</w:t>
      </w:r>
    </w:p>
    <w:p w14:paraId="799D5FF3" w14:textId="77777777" w:rsidR="002845A9" w:rsidRPr="00405303" w:rsidRDefault="002845A9" w:rsidP="00C15251">
      <w:pPr>
        <w:jc w:val="both"/>
        <w:rPr>
          <w:bCs/>
          <w:color w:val="002060"/>
          <w:sz w:val="16"/>
          <w:szCs w:val="16"/>
        </w:rPr>
      </w:pPr>
      <w:r w:rsidRPr="00405303">
        <w:rPr>
          <w:bCs/>
          <w:color w:val="002060"/>
          <w:sz w:val="16"/>
          <w:szCs w:val="16"/>
          <w:lang w:bidi="en-US"/>
        </w:rPr>
        <w:t>Иностранные самолеты, поставленные в армию до сих пор, - это устаревшие "Фарманы ХХ", уже неприспособленные "Ньюпоры" и "Вуазены" старого образца, то есть все то, что оставила иностранная авиация, продвигаясь вперед с техникой, требуемой военными событиями. Пришли еще Морис Фарман и Кодрон, но ни один еще не поставлен в авиаотряды - но видно что Кодронов мало и качество этого самолета не показывает ничего выдающегося - Морис Фарман тоже был заброшен Францией - тяжелые системы с слабые двигатели.</w:t>
      </w:r>
    </w:p>
    <w:p w14:paraId="2576DB59" w14:textId="77777777" w:rsidR="002845A9" w:rsidRPr="00405303" w:rsidRDefault="002845A9" w:rsidP="00C15251">
      <w:pPr>
        <w:jc w:val="both"/>
        <w:rPr>
          <w:bCs/>
          <w:color w:val="002060"/>
          <w:sz w:val="16"/>
          <w:szCs w:val="16"/>
        </w:rPr>
      </w:pPr>
      <w:r w:rsidRPr="00405303">
        <w:rPr>
          <w:bCs/>
          <w:color w:val="002060"/>
          <w:sz w:val="16"/>
          <w:szCs w:val="16"/>
          <w:lang w:bidi="en-US"/>
        </w:rPr>
        <w:t>Получение самолетов за рубежом ведется некомпетентно - к тому же с чрезвычайной нехваткой сил - особенно в вопросе двигателей. Например, для «Ильи Муромца», столь важного для армии и необходимого командиру авиагруппы для наблюдения, не удалось вовремя получить двигатели. Об этих фактах я упомянул в своем рапорте № 202 от 27 сентября 1914 г.</w:t>
      </w:r>
    </w:p>
    <w:p w14:paraId="5BC9B8BA" w14:textId="77777777" w:rsidR="002845A9" w:rsidRPr="00405303" w:rsidRDefault="002845A9" w:rsidP="00C15251">
      <w:pPr>
        <w:jc w:val="both"/>
        <w:rPr>
          <w:bCs/>
          <w:color w:val="002060"/>
          <w:sz w:val="16"/>
          <w:szCs w:val="16"/>
        </w:rPr>
      </w:pPr>
      <w:r w:rsidRPr="00405303">
        <w:rPr>
          <w:bCs/>
          <w:color w:val="002060"/>
          <w:sz w:val="16"/>
          <w:szCs w:val="16"/>
          <w:lang w:bidi="en-US"/>
        </w:rPr>
        <w:t>Сборка самолетов из-за рубежа происходила только на одном из лебедевских заводов, но так медленно, что на 100 самолетов, заказанных для оснащения авиагрупп, - в неделю доставлялось два-три, а из статистики, например, за неделю 3-8 июня - не было собрано ни одного иностранного самолета.</w:t>
      </w:r>
    </w:p>
    <w:p w14:paraId="64C097C7" w14:textId="77777777" w:rsidR="002845A9" w:rsidRPr="00405303" w:rsidRDefault="002845A9" w:rsidP="00C15251">
      <w:pPr>
        <w:jc w:val="both"/>
        <w:rPr>
          <w:bCs/>
          <w:color w:val="002060"/>
          <w:sz w:val="16"/>
          <w:szCs w:val="16"/>
          <w:lang w:bidi="en-US"/>
        </w:rPr>
      </w:pPr>
      <w:r w:rsidRPr="00405303">
        <w:rPr>
          <w:bCs/>
          <w:color w:val="002060"/>
          <w:sz w:val="16"/>
          <w:szCs w:val="16"/>
          <w:lang w:bidi="en-US"/>
        </w:rPr>
        <w:t xml:space="preserve">Нельзя не упомянуть и </w:t>
      </w:r>
      <w:proofErr w:type="gramStart"/>
      <w:r w:rsidRPr="00405303">
        <w:rPr>
          <w:bCs/>
          <w:color w:val="002060"/>
          <w:sz w:val="16"/>
          <w:szCs w:val="16"/>
          <w:lang w:bidi="en-US"/>
        </w:rPr>
        <w:t>чрезвычайно сложный</w:t>
      </w:r>
      <w:proofErr w:type="gramEnd"/>
      <w:r w:rsidRPr="00405303">
        <w:rPr>
          <w:bCs/>
          <w:color w:val="002060"/>
          <w:sz w:val="16"/>
          <w:szCs w:val="16"/>
          <w:lang w:bidi="en-US"/>
        </w:rPr>
        <w:t xml:space="preserve"> и требующий опытных наладчиков и механиков вопрос о приглашении иностранных специалистов для двигателей </w:t>
      </w:r>
      <w:r w:rsidRPr="00405303">
        <w:rPr>
          <w:bCs/>
          <w:color w:val="002060"/>
          <w:sz w:val="16"/>
          <w:szCs w:val="16"/>
          <w:lang w:val="en-US" w:bidi="en-US"/>
        </w:rPr>
        <w:t>Voisins</w:t>
      </w:r>
      <w:r w:rsidRPr="00405303">
        <w:rPr>
          <w:bCs/>
          <w:color w:val="002060"/>
          <w:sz w:val="16"/>
          <w:szCs w:val="16"/>
          <w:lang w:bidi="en-US"/>
        </w:rPr>
        <w:t xml:space="preserve"> и особенно </w:t>
      </w:r>
      <w:r w:rsidRPr="00405303">
        <w:rPr>
          <w:bCs/>
          <w:color w:val="002060"/>
          <w:sz w:val="16"/>
          <w:szCs w:val="16"/>
          <w:lang w:val="en-US" w:bidi="en-US"/>
        </w:rPr>
        <w:t>Salmson</w:t>
      </w:r>
      <w:r w:rsidRPr="00405303">
        <w:rPr>
          <w:bCs/>
          <w:color w:val="002060"/>
          <w:sz w:val="16"/>
          <w:szCs w:val="16"/>
          <w:lang w:bidi="en-US"/>
        </w:rPr>
        <w:t>. О необходимости их я упоминал прошлой осенью, на всю армию прибыл только один; нужны со всех сторон и острые из-за бракованного производства. Результаты; самолеты, которые не работают. Три дня назад в Петроград прибыли французские инструкторы, двое по двигателям Вуазен и трое по двигателям Салмсона.</w:t>
      </w:r>
    </w:p>
    <w:p w14:paraId="4B8B8FD3" w14:textId="77777777" w:rsidR="002845A9" w:rsidRPr="00405303" w:rsidRDefault="002845A9" w:rsidP="00C15251">
      <w:pPr>
        <w:jc w:val="both"/>
        <w:rPr>
          <w:bCs/>
          <w:color w:val="002060"/>
          <w:sz w:val="16"/>
          <w:szCs w:val="16"/>
        </w:rPr>
      </w:pPr>
      <w:r w:rsidRPr="00405303">
        <w:rPr>
          <w:bCs/>
          <w:color w:val="002060"/>
          <w:sz w:val="16"/>
          <w:szCs w:val="16"/>
          <w:lang w:bidi="en-US"/>
        </w:rPr>
        <w:t>Несмотря на все принятые меры, дела обстоят неудовлетворительно. Остаются вопросы по снабжению авиационных рот и отрядов запчастями. Чтобы достать горючее и касторовое масло для двигателей, пришлось пройти через многочисленные переписки и упреки.</w:t>
      </w:r>
    </w:p>
    <w:p w14:paraId="44196606" w14:textId="77777777" w:rsidR="002845A9" w:rsidRPr="00405303" w:rsidRDefault="002845A9" w:rsidP="00C15251">
      <w:pPr>
        <w:jc w:val="both"/>
        <w:rPr>
          <w:bCs/>
          <w:color w:val="002060"/>
          <w:sz w:val="16"/>
          <w:szCs w:val="16"/>
        </w:rPr>
      </w:pPr>
      <w:r w:rsidRPr="00405303">
        <w:rPr>
          <w:bCs/>
          <w:color w:val="002060"/>
          <w:sz w:val="16"/>
          <w:szCs w:val="16"/>
          <w:lang w:bidi="en-US"/>
        </w:rPr>
        <w:t>Следует отметить, что (воздушные) отряды до сих пор не оснащены (Льюис) пулеметами, несмотря на все мои просьбы. Приборов для беспроводной телефонной связи с самолетов нет. Не хватает индикаторов, барометров и биноклей. У нас не хватает автомобилей. Недостаточно двигателей для самолетов и школ и [очень] нужно для подготовки новых авиаторов и т. д.</w:t>
      </w:r>
    </w:p>
    <w:p w14:paraId="1D6BBBE3" w14:textId="77777777" w:rsidR="002845A9" w:rsidRPr="00405303" w:rsidRDefault="002845A9" w:rsidP="00C15251">
      <w:pPr>
        <w:jc w:val="both"/>
        <w:rPr>
          <w:bCs/>
          <w:color w:val="002060"/>
          <w:sz w:val="16"/>
          <w:szCs w:val="16"/>
        </w:rPr>
      </w:pPr>
      <w:r w:rsidRPr="00405303">
        <w:rPr>
          <w:bCs/>
          <w:color w:val="002060"/>
          <w:sz w:val="16"/>
          <w:szCs w:val="16"/>
          <w:lang w:bidi="en-US"/>
        </w:rPr>
        <w:t>При всех этих требованиях, выдвинутых мною в первые месяцы войны и неоднократно дополнявшихся, заказанные материалы, по-видимому, далеко не доставлены.</w:t>
      </w:r>
    </w:p>
    <w:p w14:paraId="4913C6C9" w14:textId="77777777" w:rsidR="002845A9" w:rsidRPr="00405303" w:rsidRDefault="002845A9" w:rsidP="00C15251">
      <w:pPr>
        <w:jc w:val="both"/>
        <w:rPr>
          <w:bCs/>
          <w:color w:val="002060"/>
          <w:sz w:val="16"/>
          <w:szCs w:val="16"/>
        </w:rPr>
      </w:pPr>
      <w:r w:rsidRPr="00405303">
        <w:rPr>
          <w:bCs/>
          <w:color w:val="002060"/>
          <w:sz w:val="16"/>
          <w:szCs w:val="16"/>
          <w:lang w:bidi="en-US"/>
        </w:rPr>
        <w:t>Вышеуказанные недостатки не могут не отражаться на работе авиагрупп: невыполнение самолетами набора боевых высот или их крайне медленный набор, выход их из строя не только на взлете и посадке, но даже в полете, частые поломки двигателей. частей, отказ их в полете и, как следствие, их посадка на территории противника.</w:t>
      </w:r>
    </w:p>
    <w:p w14:paraId="16BDE643" w14:textId="77777777" w:rsidR="002845A9" w:rsidRPr="00405303" w:rsidRDefault="002845A9" w:rsidP="00C15251">
      <w:pPr>
        <w:jc w:val="both"/>
        <w:rPr>
          <w:bCs/>
          <w:color w:val="002060"/>
          <w:sz w:val="16"/>
          <w:szCs w:val="16"/>
        </w:rPr>
      </w:pPr>
      <w:r w:rsidRPr="00405303">
        <w:rPr>
          <w:bCs/>
          <w:color w:val="002060"/>
          <w:sz w:val="16"/>
          <w:szCs w:val="16"/>
          <w:lang w:bidi="en-US"/>
        </w:rPr>
        <w:t>Только за последний месяц такие вынужденные посадки привели к (потере) десяти пилотов и наблюдателей, что сильно повлияло на моральный дух летчиков; они теряют веру в свои самолеты и расстраиваются перед полетами, нервы изношены до такой степени, что если летуны не теряются, то они неспособны к устойчивой эксплуатации самолетов.</w:t>
      </w:r>
    </w:p>
    <w:p w14:paraId="0E3758A2" w14:textId="77777777" w:rsidR="002845A9" w:rsidRPr="00405303" w:rsidRDefault="002845A9" w:rsidP="00C15251">
      <w:pPr>
        <w:jc w:val="both"/>
        <w:rPr>
          <w:bCs/>
          <w:color w:val="002060"/>
          <w:sz w:val="16"/>
          <w:szCs w:val="16"/>
        </w:rPr>
      </w:pPr>
      <w:r w:rsidRPr="00405303">
        <w:rPr>
          <w:bCs/>
          <w:color w:val="002060"/>
          <w:sz w:val="16"/>
          <w:szCs w:val="16"/>
          <w:lang w:bidi="en-US"/>
        </w:rPr>
        <w:t>Долг также засвидетельствовать, что, несмотря на все технические недостатки, судя по отдельным отчетам, приказам и другим документам, работа авиационной части как в составе отдельных отрядов, так и коллективно признается высшим качеством командующие армиями и корпусами, полностью их одобряющие.</w:t>
      </w:r>
    </w:p>
    <w:p w14:paraId="7C4FEC7B" w14:textId="77777777" w:rsidR="002845A9" w:rsidRPr="00405303" w:rsidRDefault="002845A9" w:rsidP="00C15251">
      <w:pPr>
        <w:jc w:val="both"/>
        <w:rPr>
          <w:bCs/>
          <w:color w:val="002060"/>
          <w:sz w:val="16"/>
          <w:szCs w:val="16"/>
        </w:rPr>
      </w:pPr>
      <w:r w:rsidRPr="00405303">
        <w:rPr>
          <w:bCs/>
          <w:color w:val="002060"/>
          <w:sz w:val="16"/>
          <w:szCs w:val="16"/>
          <w:lang w:bidi="en-US"/>
        </w:rPr>
        <w:t>Большую роль играют авиационные компании, их работа по необходимости выходит за рамки обычных ремонтных работ. Несколько фирменных ремонтных мастерских принимали (б/у) детали самолетов, не останавливаясь на сборке, чистке, а даже делали новые самолеты.</w:t>
      </w:r>
    </w:p>
    <w:p w14:paraId="21301C47" w14:textId="77777777" w:rsidR="002845A9" w:rsidRPr="00405303" w:rsidRDefault="002845A9" w:rsidP="00C15251">
      <w:pPr>
        <w:jc w:val="both"/>
        <w:rPr>
          <w:bCs/>
          <w:color w:val="002060"/>
          <w:sz w:val="16"/>
          <w:szCs w:val="16"/>
        </w:rPr>
      </w:pPr>
      <w:r w:rsidRPr="00405303">
        <w:rPr>
          <w:bCs/>
          <w:color w:val="002060"/>
          <w:sz w:val="16"/>
          <w:szCs w:val="16"/>
          <w:lang w:bidi="en-US"/>
        </w:rPr>
        <w:t>Вывод: Все это свидетельствует, с одной стороны, о том, что система обеспечения технических нужд нашей авиации российским производством не соответствует требуемому уровню, - а с другой стороны, о том, что наши органы за рубежом, целью которых является не только восполнение недостижимых требований, но и поддерживать учреждения для контроля за технологией нашей авиации и, таким образом, за ходом всех новых разработок военной авиации среди союзных армий, не будучи достаточно уполномоченными или компетентными для достижения этой цели. Кроме того, ЦМТД в настоящее время для обеспечения требований будущего рассматривает возможность заказа еще около 1200 самолетов.</w:t>
      </w:r>
    </w:p>
    <w:p w14:paraId="4DB9915B" w14:textId="77777777" w:rsidR="002845A9" w:rsidRPr="00405303" w:rsidRDefault="002845A9" w:rsidP="00C15251">
      <w:pPr>
        <w:jc w:val="both"/>
        <w:rPr>
          <w:bCs/>
          <w:color w:val="002060"/>
          <w:sz w:val="16"/>
          <w:szCs w:val="16"/>
        </w:rPr>
      </w:pPr>
      <w:r w:rsidRPr="00405303">
        <w:rPr>
          <w:bCs/>
          <w:color w:val="002060"/>
          <w:sz w:val="16"/>
          <w:szCs w:val="16"/>
          <w:lang w:bidi="en-US"/>
        </w:rPr>
        <w:t xml:space="preserve">Предвидя производство </w:t>
      </w:r>
      <w:r w:rsidRPr="00405303">
        <w:rPr>
          <w:bCs/>
          <w:color w:val="002060"/>
          <w:sz w:val="16"/>
          <w:szCs w:val="16"/>
          <w:lang w:val="en-US" w:bidi="en-US"/>
        </w:rPr>
        <w:t>Voisins</w:t>
      </w:r>
      <w:r w:rsidRPr="00405303">
        <w:rPr>
          <w:bCs/>
          <w:color w:val="002060"/>
          <w:sz w:val="16"/>
          <w:szCs w:val="16"/>
          <w:lang w:bidi="en-US"/>
        </w:rPr>
        <w:t xml:space="preserve"> и </w:t>
      </w:r>
      <w:r w:rsidRPr="00405303">
        <w:rPr>
          <w:bCs/>
          <w:color w:val="002060"/>
          <w:sz w:val="16"/>
          <w:szCs w:val="16"/>
          <w:lang w:val="en-US" w:bidi="en-US"/>
        </w:rPr>
        <w:t>Morane</w:t>
      </w:r>
      <w:r w:rsidRPr="00405303">
        <w:rPr>
          <w:bCs/>
          <w:color w:val="002060"/>
          <w:sz w:val="16"/>
          <w:szCs w:val="16"/>
          <w:lang w:bidi="en-US"/>
        </w:rPr>
        <w:t>-</w:t>
      </w:r>
      <w:r w:rsidRPr="00405303">
        <w:rPr>
          <w:bCs/>
          <w:color w:val="002060"/>
          <w:sz w:val="16"/>
          <w:szCs w:val="16"/>
          <w:lang w:val="en-US" w:bidi="en-US"/>
        </w:rPr>
        <w:t>Parasols</w:t>
      </w:r>
      <w:r w:rsidRPr="00405303">
        <w:rPr>
          <w:bCs/>
          <w:color w:val="002060"/>
          <w:sz w:val="16"/>
          <w:szCs w:val="16"/>
          <w:lang w:bidi="en-US"/>
        </w:rPr>
        <w:t>, как мы знали и испытали, оба типа устарели по сравнению с теми, которые сейчас строятся для союзных армий. На основании полностью подтвержденной информации, например, французская армия получает самолеты системы Бреге, Доран и ряд других.</w:t>
      </w:r>
    </w:p>
    <w:p w14:paraId="630A276C" w14:textId="77777777" w:rsidR="002845A9" w:rsidRPr="00405303" w:rsidRDefault="002845A9" w:rsidP="00C15251">
      <w:pPr>
        <w:jc w:val="both"/>
        <w:rPr>
          <w:bCs/>
          <w:color w:val="002060"/>
          <w:sz w:val="16"/>
          <w:szCs w:val="16"/>
        </w:rPr>
      </w:pPr>
      <w:r w:rsidRPr="00405303">
        <w:rPr>
          <w:bCs/>
          <w:color w:val="002060"/>
          <w:sz w:val="16"/>
          <w:szCs w:val="16"/>
          <w:lang w:bidi="en-US"/>
        </w:rPr>
        <w:t>По частной информации, их качества превосходят все существующие системы, но наш технический представитель за границей эти самолеты не осматривал, и у нас нет по ним технической информации.</w:t>
      </w:r>
    </w:p>
    <w:p w14:paraId="1797527F" w14:textId="77777777" w:rsidR="002845A9" w:rsidRPr="00405303" w:rsidRDefault="002845A9" w:rsidP="00C15251">
      <w:pPr>
        <w:jc w:val="both"/>
        <w:rPr>
          <w:bCs/>
          <w:color w:val="002060"/>
          <w:sz w:val="16"/>
          <w:szCs w:val="16"/>
        </w:rPr>
      </w:pPr>
      <w:r w:rsidRPr="00405303">
        <w:rPr>
          <w:bCs/>
          <w:color w:val="002060"/>
          <w:sz w:val="16"/>
          <w:szCs w:val="16"/>
          <w:lang w:bidi="en-US"/>
        </w:rPr>
        <w:t>Несомненно, он мог бы получить копию каждой модели и отправить их в Россию, где после изучения и оценки можно было бы принять меры либо для производства, либо для закупки в больших количествах.</w:t>
      </w:r>
    </w:p>
    <w:p w14:paraId="23449A12" w14:textId="77777777" w:rsidR="002845A9" w:rsidRPr="00405303" w:rsidRDefault="002845A9" w:rsidP="00C15251">
      <w:pPr>
        <w:jc w:val="both"/>
        <w:rPr>
          <w:bCs/>
          <w:color w:val="002060"/>
          <w:sz w:val="16"/>
          <w:szCs w:val="16"/>
        </w:rPr>
      </w:pPr>
      <w:r w:rsidRPr="00405303">
        <w:rPr>
          <w:bCs/>
          <w:color w:val="002060"/>
          <w:sz w:val="16"/>
          <w:szCs w:val="16"/>
          <w:lang w:bidi="en-US"/>
        </w:rPr>
        <w:t>Ввиду важности того, чтобы наши поставки соответствовали максимально возможному уровню качества, требуются чрезвычайные меры, и я бы предложил, что было бы желательно следующее: 1) Реструктурировать коренную основу определения потребностей армии и приобретения самолетов - это по принципу совместных усилий представителей Военного министерства и авиационных органов армии, чтобы закупка приобрела жизненно важное значение и вселила в летчиков уверенность в ее компетентности и жесткости.</w:t>
      </w:r>
    </w:p>
    <w:p w14:paraId="19D76667" w14:textId="77777777" w:rsidR="002845A9" w:rsidRPr="00405303" w:rsidRDefault="002845A9" w:rsidP="00C15251">
      <w:pPr>
        <w:jc w:val="both"/>
        <w:rPr>
          <w:bCs/>
          <w:color w:val="002060"/>
          <w:sz w:val="16"/>
          <w:szCs w:val="16"/>
        </w:rPr>
      </w:pPr>
      <w:r w:rsidRPr="00405303">
        <w:rPr>
          <w:bCs/>
          <w:color w:val="002060"/>
          <w:sz w:val="16"/>
          <w:szCs w:val="16"/>
          <w:lang w:bidi="en-US"/>
        </w:rPr>
        <w:t>Детали такой структуры будут наиболее оперативно разработаны под начальством военного министерства; 2) Установить контроль работы авиазаводов таким образом, чтобы гарантировать точность и скорость выполнения заказов; 3) Поставить закупку иностранных самолетов, двигателей и прочего авиаоборудования на совершенно новую основу, возложив их на человека, пользующегося полной уверенностью в своих знаниях не только в технических вопросах, но и в требованиях, усвоенных опытом войны, - такая человеку должны быть предоставлены широкие полномочия для сохранения его независимости и многопланового контроля и при принятии решений о типах и возможностях самолетов, и при совершении крупных, ответственных закупок.</w:t>
      </w:r>
    </w:p>
    <w:p w14:paraId="77804A4B" w14:textId="77777777" w:rsidR="002845A9" w:rsidRPr="00405303" w:rsidRDefault="002845A9" w:rsidP="00C15251">
      <w:pPr>
        <w:jc w:val="both"/>
        <w:rPr>
          <w:bCs/>
          <w:color w:val="002060"/>
          <w:sz w:val="16"/>
          <w:szCs w:val="16"/>
          <w:lang w:bidi="en-US"/>
        </w:rPr>
      </w:pPr>
      <w:r w:rsidRPr="00405303">
        <w:rPr>
          <w:bCs/>
          <w:color w:val="002060"/>
          <w:sz w:val="16"/>
          <w:szCs w:val="16"/>
          <w:lang w:bidi="en-US"/>
        </w:rPr>
        <w:t>В заключение считаю своим долгом добавить, что УМТД в лице командира всегда благосклонно реагировала на мои просьбы об улучшении дела, и в истекший период этот орган очень способствовал авиации, если были недостатки в технической службе, это результат организации мирного времени, новизна авиации как нового класса вооружений явилась не только нам, но и иностранным армиям» (23525).</w:t>
      </w:r>
    </w:p>
    <w:p w14:paraId="0FAF0706" w14:textId="77777777" w:rsidR="002845A9" w:rsidRPr="00405303" w:rsidRDefault="002845A9" w:rsidP="00C15251">
      <w:pPr>
        <w:jc w:val="both"/>
        <w:rPr>
          <w:bCs/>
          <w:color w:val="002060"/>
          <w:sz w:val="16"/>
          <w:szCs w:val="16"/>
        </w:rPr>
      </w:pPr>
    </w:p>
    <w:p w14:paraId="20707FA4" w14:textId="5CD920D4" w:rsidR="00DA51D9" w:rsidRPr="00405303" w:rsidRDefault="00DA51D9" w:rsidP="00C15251">
      <w:pPr>
        <w:jc w:val="both"/>
        <w:rPr>
          <w:bCs/>
          <w:color w:val="002060"/>
          <w:sz w:val="16"/>
          <w:szCs w:val="16"/>
        </w:rPr>
      </w:pPr>
      <w:r w:rsidRPr="00405303">
        <w:rPr>
          <w:bCs/>
          <w:color w:val="002060"/>
          <w:sz w:val="16"/>
          <w:szCs w:val="16"/>
        </w:rPr>
        <w:t>6 (19) июля 1915 г. экипаж Башко первым повстречался с истребителями на ИМ. Был обычный полет на бомбежку продолжительностью 4 ч. Маршрут Владава — река Буг — дер. Гробовец — Янув — Белжец — Шебржешув — Красностав — Холм — Владава. Около деревни Гостынное заметили три батареи, которые нанесли на карту. К северо-западу от Янува увидели аэродром с «противоаэропланной батареей». На аэродром сбросили пал. пудовых бомб, четыре из их разорвались среди палаток. На станции Любыч сто</w:t>
      </w:r>
      <w:r w:rsidRPr="00405303">
        <w:rPr>
          <w:bCs/>
          <w:color w:val="002060"/>
          <w:sz w:val="16"/>
          <w:szCs w:val="16"/>
        </w:rPr>
        <w:softHyphen/>
        <w:t>яло три состава по 50 вагонов каждый. Туда полетели пять пудовых бомб. У станции Белжец заметили обоз из 400 повозок, сбросили серию из пяти двадцати</w:t>
      </w:r>
      <w:r w:rsidRPr="00405303">
        <w:rPr>
          <w:bCs/>
          <w:color w:val="002060"/>
          <w:sz w:val="16"/>
          <w:szCs w:val="16"/>
        </w:rPr>
        <w:softHyphen/>
        <w:t>фунтовых бомб. От последних двенадцати зажига</w:t>
      </w:r>
      <w:r w:rsidRPr="00405303">
        <w:rPr>
          <w:bCs/>
          <w:color w:val="002060"/>
          <w:sz w:val="16"/>
          <w:szCs w:val="16"/>
        </w:rPr>
        <w:softHyphen/>
        <w:t>тельных освободились уже на обратном пути год Шебржешувом, когда до линии фронта оставалось 40 км. Здесь, на высоте 3,5 тыс. м корабль и был атако</w:t>
      </w:r>
      <w:r w:rsidRPr="00405303">
        <w:rPr>
          <w:bCs/>
          <w:color w:val="002060"/>
          <w:sz w:val="16"/>
          <w:szCs w:val="16"/>
        </w:rPr>
        <w:softHyphen/>
        <w:t>ван истребителями «Бранденбург». Первого заметили в нижний люк, когда тот старался подойти к кораблю поближе незамеченным. За штурвалом сидел Смирнов. Башко немедленно сменил своего помощни</w:t>
      </w:r>
      <w:r w:rsidRPr="00405303">
        <w:rPr>
          <w:bCs/>
          <w:color w:val="002060"/>
          <w:sz w:val="16"/>
          <w:szCs w:val="16"/>
        </w:rPr>
        <w:softHyphen/>
        <w:t>ка, сев на его место. Артиллерийский офицер Наумов прильнул к «Мадсену» у левой двери. Истребитель, имея запас скорости, проскочил сбоку вверх и дал очередь из пулемета по левому борту «Му</w:t>
      </w:r>
      <w:r w:rsidRPr="00405303">
        <w:rPr>
          <w:bCs/>
          <w:color w:val="002060"/>
          <w:sz w:val="16"/>
          <w:szCs w:val="16"/>
        </w:rPr>
        <w:softHyphen/>
        <w:t>ромца». Посыпались осколки стекол, щепки, вскрик</w:t>
      </w:r>
      <w:r w:rsidRPr="00405303">
        <w:rPr>
          <w:bCs/>
          <w:color w:val="002060"/>
          <w:sz w:val="16"/>
          <w:szCs w:val="16"/>
        </w:rPr>
        <w:softHyphen/>
        <w:t>нул командир. Он был ранен в голову и ногу, но оста</w:t>
      </w:r>
      <w:r w:rsidRPr="00405303">
        <w:rPr>
          <w:bCs/>
          <w:color w:val="002060"/>
          <w:sz w:val="16"/>
          <w:szCs w:val="16"/>
        </w:rPr>
        <w:softHyphen/>
        <w:t>вался на месте. Истребитель заходил для повторной атаки. Тут моторист доложил — пробиты оба верхних бензобака, оба бензопровода левой группы моторов и фильтр правой группы. Он сразу перекрыл краники и зажал рукой пробоину в фильтре, из которой хлестал бензин. Теперь работали только правые двигатели. Командир, превозмогая боль, старался удержать ко</w:t>
      </w:r>
      <w:r w:rsidRPr="00405303">
        <w:rPr>
          <w:bCs/>
          <w:color w:val="002060"/>
          <w:sz w:val="16"/>
          <w:szCs w:val="16"/>
        </w:rPr>
        <w:softHyphen/>
        <w:t>рабль на курсе. Самолет разворачивало влево, и ране</w:t>
      </w:r>
      <w:r w:rsidRPr="00405303">
        <w:rPr>
          <w:bCs/>
          <w:color w:val="002060"/>
          <w:sz w:val="16"/>
          <w:szCs w:val="16"/>
        </w:rPr>
        <w:softHyphen/>
        <w:t>ной ногой нужно было давить на правую педаль. Тем временем истребитель, имея превышение, изготовился для атаки. Пикирование, потом горка. Наумов выждал и на какую-то долю секунды опередив немецкого летчика, первым открыл огонь. Истребитель как будто вздрогнул и с плавным отворотом влево пошел на снижение. В короткой передышке Смирнов сменил ко</w:t>
      </w:r>
      <w:r w:rsidRPr="00405303">
        <w:rPr>
          <w:bCs/>
          <w:color w:val="002060"/>
          <w:sz w:val="16"/>
          <w:szCs w:val="16"/>
        </w:rPr>
        <w:softHyphen/>
        <w:t>мандира. Моторист Лавров быстро сделал перевязку Башко, тот снова сел за штурвал. Лавров же опять бро</w:t>
      </w:r>
      <w:r w:rsidRPr="00405303">
        <w:rPr>
          <w:bCs/>
          <w:color w:val="002060"/>
          <w:sz w:val="16"/>
          <w:szCs w:val="16"/>
        </w:rPr>
        <w:softHyphen/>
        <w:t>сился к пробитому фильтру. Так они со Смирновым по очереди зажимали пробоину — на высоте было про</w:t>
      </w:r>
      <w:r w:rsidRPr="00405303">
        <w:rPr>
          <w:bCs/>
          <w:color w:val="002060"/>
          <w:sz w:val="16"/>
          <w:szCs w:val="16"/>
        </w:rPr>
        <w:softHyphen/>
        <w:t xml:space="preserve">хладно и испаряющийся бензин сильно охлаждал </w:t>
      </w:r>
      <w:r w:rsidRPr="00405303">
        <w:rPr>
          <w:bCs/>
          <w:color w:val="002060"/>
          <w:sz w:val="16"/>
          <w:szCs w:val="16"/>
        </w:rPr>
        <w:lastRenderedPageBreak/>
        <w:t>ру</w:t>
      </w:r>
      <w:r w:rsidRPr="00405303">
        <w:rPr>
          <w:bCs/>
          <w:color w:val="002060"/>
          <w:sz w:val="16"/>
          <w:szCs w:val="16"/>
        </w:rPr>
        <w:softHyphen/>
        <w:t>ки. Их просто ломило от холода. Тем временем второй истребитель заходил для атаки. Наумов видел это, но ничего не мог поделать. При последней очереди пуле</w:t>
      </w:r>
      <w:r w:rsidRPr="00405303">
        <w:rPr>
          <w:bCs/>
          <w:color w:val="002060"/>
          <w:sz w:val="16"/>
          <w:szCs w:val="16"/>
        </w:rPr>
        <w:softHyphen/>
        <w:t>мет замолк — перекос патрона. Теперь оставался только карабин Смирнова. Сам Смирнов стоял у фильтра, Лавров уже не мог. Он отморозил обе кисти рук. Второй истребитель прошел опять по левому борту «Муромца». Очередь пробила только маслобак двигателя уже недей</w:t>
      </w:r>
      <w:r w:rsidRPr="00405303">
        <w:rPr>
          <w:bCs/>
          <w:color w:val="002060"/>
          <w:sz w:val="16"/>
          <w:szCs w:val="16"/>
        </w:rPr>
        <w:softHyphen/>
        <w:t>ствующей группы. На вторую атаку немец не отважил</w:t>
      </w:r>
      <w:r w:rsidRPr="00405303">
        <w:rPr>
          <w:bCs/>
          <w:color w:val="002060"/>
          <w:sz w:val="16"/>
          <w:szCs w:val="16"/>
        </w:rPr>
        <w:softHyphen/>
        <w:t>ся. При подходе к линии фронта корабль был обстрелян с большого удаления третьим истребителем. Но эта ата</w:t>
      </w:r>
      <w:r w:rsidRPr="00405303">
        <w:rPr>
          <w:bCs/>
          <w:color w:val="002060"/>
          <w:sz w:val="16"/>
          <w:szCs w:val="16"/>
        </w:rPr>
        <w:softHyphen/>
        <w:t>ка оказалась неэффективной. Высота в этот момент уже составляла полторы тысячи метров. Корабль неумоли</w:t>
      </w:r>
      <w:r w:rsidRPr="00405303">
        <w:rPr>
          <w:bCs/>
          <w:color w:val="002060"/>
          <w:sz w:val="16"/>
          <w:szCs w:val="16"/>
        </w:rPr>
        <w:softHyphen/>
        <w:t>мо снижался. При подходе к Холму на высоте 700 м ос</w:t>
      </w:r>
      <w:r w:rsidRPr="00405303">
        <w:rPr>
          <w:bCs/>
          <w:color w:val="002060"/>
          <w:sz w:val="16"/>
          <w:szCs w:val="16"/>
        </w:rPr>
        <w:softHyphen/>
        <w:t>тановились и правые двигатели. Командир, несмотря на ранение, удачно посадил тоже израненную машину на болотистом лугу возле аэродрома 24-го истребитель</w:t>
      </w:r>
      <w:r w:rsidRPr="00405303">
        <w:rPr>
          <w:bCs/>
          <w:color w:val="002060"/>
          <w:sz w:val="16"/>
          <w:szCs w:val="16"/>
        </w:rPr>
        <w:softHyphen/>
        <w:t>ного отряда около деревни Городище в пяти верстах от города Холм. При осмотре было выявлено много пробо</w:t>
      </w:r>
      <w:r w:rsidRPr="00405303">
        <w:rPr>
          <w:bCs/>
          <w:color w:val="002060"/>
          <w:sz w:val="16"/>
          <w:szCs w:val="16"/>
        </w:rPr>
        <w:softHyphen/>
        <w:t>ин, и казалась невероятной такая живучесть самолета. Предсказания о «летающей мишени» не сбылись.</w:t>
      </w:r>
    </w:p>
    <w:p w14:paraId="16DD881A" w14:textId="77777777" w:rsidR="00DA51D9" w:rsidRPr="00405303" w:rsidRDefault="00DA51D9" w:rsidP="00C15251">
      <w:pPr>
        <w:jc w:val="both"/>
        <w:rPr>
          <w:bCs/>
          <w:color w:val="002060"/>
          <w:sz w:val="16"/>
          <w:szCs w:val="16"/>
        </w:rPr>
      </w:pPr>
      <w:r w:rsidRPr="00405303">
        <w:rPr>
          <w:bCs/>
          <w:color w:val="002060"/>
          <w:sz w:val="16"/>
          <w:szCs w:val="16"/>
        </w:rPr>
        <w:t>Молва об этом бое уже катилась по авиаотрядам. Ко</w:t>
      </w:r>
      <w:r w:rsidRPr="00405303">
        <w:rPr>
          <w:bCs/>
          <w:color w:val="002060"/>
          <w:sz w:val="16"/>
          <w:szCs w:val="16"/>
        </w:rPr>
        <w:softHyphen/>
        <w:t>мандование по достоинству оценило мужество летных бойцов, и весь экипаж был примерно награжден. В при</w:t>
      </w:r>
      <w:r w:rsidRPr="00405303">
        <w:rPr>
          <w:bCs/>
          <w:color w:val="002060"/>
          <w:sz w:val="16"/>
          <w:szCs w:val="16"/>
        </w:rPr>
        <w:softHyphen/>
        <w:t>казе особо отмечались самоотверженные действия пра</w:t>
      </w:r>
      <w:r w:rsidRPr="00405303">
        <w:rPr>
          <w:bCs/>
          <w:color w:val="002060"/>
          <w:sz w:val="16"/>
          <w:szCs w:val="16"/>
        </w:rPr>
        <w:softHyphen/>
        <w:t>порщика Лаврова (24177).</w:t>
      </w:r>
    </w:p>
    <w:p w14:paraId="4BBB18E6" w14:textId="77777777" w:rsidR="00DA51D9" w:rsidRPr="00405303" w:rsidRDefault="00DA51D9" w:rsidP="00C15251">
      <w:pPr>
        <w:jc w:val="both"/>
        <w:rPr>
          <w:bCs/>
          <w:color w:val="002060"/>
          <w:sz w:val="16"/>
          <w:szCs w:val="16"/>
        </w:rPr>
      </w:pPr>
    </w:p>
    <w:p w14:paraId="19F4E3ED"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Франции:</w:t>
      </w:r>
    </w:p>
    <w:p w14:paraId="62D8B7B6" w14:textId="77777777" w:rsidR="004B4E35" w:rsidRPr="00405303" w:rsidRDefault="004B4E35" w:rsidP="00C15251">
      <w:pPr>
        <w:jc w:val="both"/>
        <w:rPr>
          <w:bCs/>
          <w:i/>
          <w:color w:val="002060"/>
          <w:sz w:val="16"/>
          <w:szCs w:val="16"/>
        </w:rPr>
      </w:pPr>
    </w:p>
    <w:p w14:paraId="2F0CBF4C" w14:textId="62FD0E2D" w:rsidR="004B4E35" w:rsidRPr="00405303" w:rsidRDefault="009E6F82" w:rsidP="00C15251">
      <w:pPr>
        <w:jc w:val="both"/>
        <w:rPr>
          <w:bCs/>
          <w:color w:val="002060"/>
          <w:sz w:val="16"/>
          <w:szCs w:val="16"/>
        </w:rPr>
      </w:pPr>
      <w:r w:rsidRPr="00405303">
        <w:rPr>
          <w:bCs/>
          <w:color w:val="002060"/>
          <w:sz w:val="16"/>
          <w:szCs w:val="16"/>
        </w:rPr>
        <w:t>6 (19) июля 1915 - Гийнемер сбивает на счет эскадрильи Брокара второй самолет противника, завоевывая свою первую победу.</w:t>
      </w:r>
    </w:p>
    <w:p w14:paraId="17139BF5" w14:textId="77777777" w:rsidR="004B4E35" w:rsidRPr="00405303" w:rsidRDefault="009E6F82" w:rsidP="00C15251">
      <w:pPr>
        <w:jc w:val="both"/>
        <w:rPr>
          <w:bCs/>
          <w:color w:val="002060"/>
          <w:sz w:val="16"/>
          <w:szCs w:val="16"/>
        </w:rPr>
      </w:pPr>
      <w:r w:rsidRPr="00405303">
        <w:rPr>
          <w:bCs/>
          <w:color w:val="002060"/>
          <w:sz w:val="16"/>
          <w:szCs w:val="16"/>
        </w:rPr>
        <w:t>Гийнемер поднялся с наблюдателем Гердером для поиска германского самолета, замеченного над Кевром и настиг его над Пьеррефондом. Выпущенные из пулемета 50 пуль не достигли цели, затем пулемет заклинило. Противник скрылся в направлении Ланжа.</w:t>
      </w:r>
    </w:p>
    <w:p w14:paraId="6652B535" w14:textId="77777777" w:rsidR="004B4E35" w:rsidRPr="00405303" w:rsidRDefault="009E6F82" w:rsidP="00C15251">
      <w:pPr>
        <w:jc w:val="both"/>
        <w:rPr>
          <w:bCs/>
          <w:color w:val="002060"/>
          <w:sz w:val="16"/>
          <w:szCs w:val="16"/>
        </w:rPr>
      </w:pPr>
      <w:r w:rsidRPr="00405303">
        <w:rPr>
          <w:bCs/>
          <w:color w:val="002060"/>
          <w:sz w:val="16"/>
          <w:szCs w:val="16"/>
        </w:rPr>
        <w:t>На обратном пути в 10 час. 15 мин. утра французские летчики заметили германский "Авиатик", направлявшийся к Суассону. Гийнемер до самого города следовал за ним, затем спикировал и зашел сзади и чуть ниже германца, в его мертвом воздушном конусе. Гердер, успевший наладить пулемет, с 50 м открыл огонь. Наблюдатель с германского самолета ответил огнем из карабина. Одна из пуль попала Гердеру в правую руку, а вторая пробила шлем, едва не задев голову. Следующей очередью Гердера, германский летчик, по всей видимости, был убит. Германский наблюдатель поднял руки вверх, однако в следующий момент "Авиатик" загорелся, стал падать и развалился прямо в воздухе. На часах было 10 час. 25 мин.</w:t>
      </w:r>
    </w:p>
    <w:p w14:paraId="0DFE9CBB" w14:textId="77777777" w:rsidR="004B4E35" w:rsidRPr="00405303" w:rsidRDefault="009E6F82" w:rsidP="00C15251">
      <w:pPr>
        <w:jc w:val="both"/>
        <w:rPr>
          <w:bCs/>
          <w:color w:val="002060"/>
          <w:sz w:val="16"/>
          <w:szCs w:val="16"/>
        </w:rPr>
      </w:pPr>
      <w:r w:rsidRPr="00405303">
        <w:rPr>
          <w:bCs/>
          <w:color w:val="002060"/>
          <w:sz w:val="16"/>
          <w:szCs w:val="16"/>
        </w:rPr>
        <w:t>В следующий момент по французским летчикам ударила германская артиллерия. Гийнемер поспешил к своей территории, однако из-за повреждений самолета до аэродрома не дотянул и посадил самолет в поле. При посадке самолет врезался в стог сена и сломал винт (11999).</w:t>
      </w:r>
    </w:p>
    <w:p w14:paraId="7BCF69AD" w14:textId="77777777" w:rsidR="004B4E35" w:rsidRPr="00405303" w:rsidRDefault="004B4E35" w:rsidP="00C15251">
      <w:pPr>
        <w:jc w:val="both"/>
        <w:rPr>
          <w:bCs/>
          <w:color w:val="002060"/>
          <w:sz w:val="16"/>
          <w:szCs w:val="16"/>
        </w:rPr>
      </w:pPr>
    </w:p>
    <w:p w14:paraId="5F161771"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6D8E4528" w14:textId="77777777" w:rsidR="004B4E35" w:rsidRPr="00405303" w:rsidRDefault="004B4E35" w:rsidP="00C15251">
      <w:pPr>
        <w:jc w:val="both"/>
        <w:rPr>
          <w:bCs/>
          <w:i/>
          <w:color w:val="002060"/>
          <w:sz w:val="16"/>
          <w:szCs w:val="16"/>
        </w:rPr>
      </w:pPr>
    </w:p>
    <w:p w14:paraId="05FFFA1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 (20) июля 1915 г., зару</w:t>
      </w:r>
      <w:r w:rsidRPr="00405303">
        <w:rPr>
          <w:bCs/>
          <w:color w:val="002060"/>
          <w:sz w:val="16"/>
          <w:szCs w:val="16"/>
        </w:rPr>
        <w:softHyphen/>
        <w:t>чившись поддержкой начальника Севастопольской авиашколы, Василий Федорович Адаменко (который в 1910 обучился пилотированию аэроплана во Франции, во время этой поездки он ку</w:t>
      </w:r>
      <w:r w:rsidRPr="00405303">
        <w:rPr>
          <w:bCs/>
          <w:color w:val="002060"/>
          <w:sz w:val="16"/>
          <w:szCs w:val="16"/>
        </w:rPr>
        <w:softHyphen/>
        <w:t>пил аппарат «Вуазен», а вернувшись на родину, оборудовал в сво</w:t>
      </w:r>
      <w:r w:rsidRPr="00405303">
        <w:rPr>
          <w:bCs/>
          <w:color w:val="002060"/>
          <w:sz w:val="16"/>
          <w:szCs w:val="16"/>
        </w:rPr>
        <w:softHyphen/>
        <w:t>ем имении довольно примитивные мастерские, где построил само</w:t>
      </w:r>
      <w:r w:rsidRPr="00405303">
        <w:rPr>
          <w:bCs/>
          <w:color w:val="002060"/>
          <w:sz w:val="16"/>
          <w:szCs w:val="16"/>
        </w:rPr>
        <w:softHyphen/>
        <w:t>лет типа «Фарман»; началом войны его предприятие, гордо именовавшееся «Аэропланный механический завод В.Ф. Адаменко», выполняло заказы Севастопольской военной школы авиации, производя зап</w:t>
      </w:r>
      <w:r w:rsidRPr="00405303">
        <w:rPr>
          <w:bCs/>
          <w:color w:val="002060"/>
          <w:sz w:val="16"/>
          <w:szCs w:val="16"/>
        </w:rPr>
        <w:softHyphen/>
        <w:t>части для самолетов и накопив кое-какой опыт, Адаменко счел воз</w:t>
      </w:r>
      <w:r w:rsidRPr="00405303">
        <w:rPr>
          <w:bCs/>
          <w:color w:val="002060"/>
          <w:sz w:val="16"/>
          <w:szCs w:val="16"/>
        </w:rPr>
        <w:softHyphen/>
        <w:t>можным приняться за серийное производство самолетов) направил в Главное военно-тех</w:t>
      </w:r>
      <w:r w:rsidRPr="00405303">
        <w:rPr>
          <w:bCs/>
          <w:color w:val="002060"/>
          <w:sz w:val="16"/>
          <w:szCs w:val="16"/>
        </w:rPr>
        <w:softHyphen/>
        <w:t>ническое управление (ГВТУ) письмо, в котором коротко охаракте</w:t>
      </w:r>
      <w:r w:rsidRPr="00405303">
        <w:rPr>
          <w:bCs/>
          <w:color w:val="002060"/>
          <w:sz w:val="16"/>
          <w:szCs w:val="16"/>
        </w:rPr>
        <w:softHyphen/>
        <w:t>ризовал свой опыт в области авиации и сделал следующее предло</w:t>
      </w:r>
      <w:r w:rsidRPr="00405303">
        <w:rPr>
          <w:bCs/>
          <w:color w:val="002060"/>
          <w:sz w:val="16"/>
          <w:szCs w:val="16"/>
        </w:rPr>
        <w:softHyphen/>
        <w:t>жение: «Первоначально я имею честь покорнейше просить дать мне заказ на 10 аппаратов Фарман № 4 учебного типа, так как для них я теперь могу иметь нужные материалы. Аппараты будут выпол</w:t>
      </w:r>
      <w:r w:rsidRPr="00405303">
        <w:rPr>
          <w:bCs/>
          <w:color w:val="002060"/>
          <w:sz w:val="16"/>
          <w:szCs w:val="16"/>
        </w:rPr>
        <w:softHyphen/>
        <w:t>нены строго по данным чертежам и указаниям с наивозможной тщательностью в работе и выборе материалов». Надо сказать, что предложенный к постройке тип самолета был далеко не новым, но простым в изготовлении и эксплуатации. «Фарманы» этой модели широко использовались для обучения пилотов, и вполне вероятно, что запчасти именно к таким самолетам производил завод Адамен</w:t>
      </w:r>
      <w:r w:rsidRPr="00405303">
        <w:rPr>
          <w:bCs/>
          <w:color w:val="002060"/>
          <w:sz w:val="16"/>
          <w:szCs w:val="16"/>
        </w:rPr>
        <w:softHyphen/>
        <w:t>ко, что позволило заявить о наличии нужных материалов (11124).</w:t>
      </w:r>
    </w:p>
    <w:p w14:paraId="4829B67E" w14:textId="77777777" w:rsidR="004B4E35" w:rsidRPr="00405303" w:rsidRDefault="004B4E35" w:rsidP="00C15251">
      <w:pPr>
        <w:shd w:val="clear" w:color="auto" w:fill="FFFFFF"/>
        <w:jc w:val="both"/>
        <w:rPr>
          <w:bCs/>
          <w:color w:val="002060"/>
          <w:sz w:val="16"/>
          <w:szCs w:val="16"/>
        </w:rPr>
      </w:pPr>
    </w:p>
    <w:p w14:paraId="034AE8D4" w14:textId="3DF0058F" w:rsidR="00202AB0" w:rsidRPr="00405303" w:rsidRDefault="00202AB0" w:rsidP="00C15251">
      <w:pPr>
        <w:pStyle w:val="15"/>
        <w:spacing w:before="0" w:after="0"/>
        <w:jc w:val="both"/>
        <w:rPr>
          <w:bCs/>
          <w:color w:val="002060"/>
          <w:sz w:val="16"/>
          <w:szCs w:val="16"/>
        </w:rPr>
      </w:pPr>
      <w:r w:rsidRPr="00405303">
        <w:rPr>
          <w:bCs/>
          <w:color w:val="002060"/>
          <w:sz w:val="16"/>
          <w:szCs w:val="16"/>
        </w:rPr>
        <w:t xml:space="preserve">7 </w:t>
      </w:r>
      <w:r w:rsidR="00511560" w:rsidRPr="00405303">
        <w:rPr>
          <w:bCs/>
          <w:color w:val="002060"/>
          <w:sz w:val="16"/>
          <w:szCs w:val="16"/>
        </w:rPr>
        <w:t xml:space="preserve">(20) </w:t>
      </w:r>
      <w:r w:rsidRPr="00405303">
        <w:rPr>
          <w:bCs/>
          <w:color w:val="002060"/>
          <w:sz w:val="16"/>
          <w:szCs w:val="16"/>
        </w:rPr>
        <w:t xml:space="preserve">июля 1915 г., заручившись поддержкой начальника Севастопольской авиашколы, Василий Федорович Адаменко направил в Главное военно-техническое управление (ГВТУ) письмо, в котором коротко охарактеризовал свой опыт в области авиации и сделал следующее предложение: «Первоначально я имею честь покорнейше просить дать мне заказ на 10 аппаратов Фарман № 4 учебного типа, так как для них я теперь могу иметь нужные материалы. Аппараты будут выполнены строго по данным чертежам и указаниям с наивозможной тщательностью в работе и выборе материалов». Надо сказать, что предложенный к постройке тип самолета был далеко не новым, но простым в изготовлении и эксплуатации. «Фарманы» этой модели широко использовались для обучения пилотов, и вполне вероятно, что запчасти именно к таким самолетам производил завод Адаменко, что позволило заявить о наличии нужных материалов (конструкция была деревянной, </w:t>
      </w:r>
      <w:hyperlink r:id="rId46" w:tgtFrame="_blank" w:history="1">
        <w:r w:rsidRPr="00405303">
          <w:rPr>
            <w:rStyle w:val="13"/>
            <w:bCs/>
            <w:color w:val="002060"/>
            <w:sz w:val="16"/>
            <w:szCs w:val="16"/>
            <w:u w:val="none"/>
          </w:rPr>
          <w:t>комплектующие для перил</w:t>
        </w:r>
      </w:hyperlink>
      <w:r w:rsidRPr="00405303">
        <w:rPr>
          <w:bCs/>
          <w:color w:val="002060"/>
          <w:sz w:val="16"/>
          <w:szCs w:val="16"/>
        </w:rPr>
        <w:t>, например, в таких конструкциях не предусматривались).</w:t>
      </w:r>
    </w:p>
    <w:p w14:paraId="6BD2B374" w14:textId="77777777" w:rsidR="00202AB0" w:rsidRPr="00405303" w:rsidRDefault="00202AB0" w:rsidP="00C15251">
      <w:pPr>
        <w:pStyle w:val="15"/>
        <w:spacing w:before="0" w:after="0"/>
        <w:jc w:val="both"/>
        <w:rPr>
          <w:bCs/>
          <w:color w:val="002060"/>
          <w:sz w:val="16"/>
          <w:szCs w:val="16"/>
        </w:rPr>
      </w:pPr>
      <w:r w:rsidRPr="00405303">
        <w:rPr>
          <w:bCs/>
          <w:color w:val="002060"/>
          <w:sz w:val="16"/>
          <w:szCs w:val="16"/>
        </w:rPr>
        <w:t>Реакции долго ждать не пришлось. 5 августа Воздухоплавательный отдел ГВТУ извещает Адаменко о согласии сделать заказ. Потирая руки в предвкушении коммерческого успеха, предприимчивый дворянин уже собирался в Петроград для подписания контракта и просил телеграфировать размер задатка для закупки полуфабрикатов. Но поездку пришлось отложить, поскольку у заказчика возникли сомнения в способности завода выполнить контракт. Потребовалось представить свидетельство старшего фабричного инспектора Таврической губернии, который отнес его к предприятиям 5-го разряда и подтвердил производственные возможности завода, находившегося по адресу «г. Карасубазар, собственный дом». Тем временем на завод прибыл назначенный наблюдающим за постройкой аэропланов капитан Макеев. В конце сентября из Одессы с завода Анатры прислали комплект чертежей «Фармана IV», а в октябре Адаменко получил первую партию необходимых проволоки и тросов. Наконец, 12 ноября 1915 г. был подписан контракт № 30033, предусматривавший поставку десяти самолетов «Фарман IV» по цене 4875 руб. В соответствии с принятой в России практикой, аппараты поставлялись без моторов и винтов. Обычно партии самолетов сдавали, используя 1-2 двигателя, которые по очереди устанавливали на подлежащие облету машины. Сроки выполнения заказа определялись довольно жесткие — к 6 января 1916 г. Вполне естественно, что недавно родившееся предприятие не смогло их выдержать — первые 5 самолетов представитель Центрального воздухоплавательного склада принял лишь 29 марта, а вторую партию передали Севастопольской авиашколе 24 июня 1916 г. (12252).</w:t>
      </w:r>
    </w:p>
    <w:p w14:paraId="0D3B49F4" w14:textId="77777777" w:rsidR="00202AB0" w:rsidRPr="00405303" w:rsidRDefault="00202AB0" w:rsidP="00C15251">
      <w:pPr>
        <w:pStyle w:val="15"/>
        <w:spacing w:before="0" w:after="0"/>
        <w:jc w:val="both"/>
        <w:rPr>
          <w:bCs/>
          <w:color w:val="002060"/>
          <w:sz w:val="16"/>
          <w:szCs w:val="16"/>
        </w:rPr>
      </w:pPr>
    </w:p>
    <w:p w14:paraId="626B2E4F" w14:textId="79BBD650" w:rsidR="007908C7" w:rsidRPr="00405303" w:rsidRDefault="007908C7" w:rsidP="00C15251">
      <w:pPr>
        <w:jc w:val="both"/>
        <w:rPr>
          <w:bCs/>
          <w:i/>
          <w:color w:val="002060"/>
          <w:sz w:val="16"/>
          <w:szCs w:val="16"/>
        </w:rPr>
      </w:pPr>
      <w:r w:rsidRPr="00405303">
        <w:rPr>
          <w:bCs/>
          <w:i/>
          <w:color w:val="002060"/>
          <w:sz w:val="16"/>
          <w:szCs w:val="16"/>
        </w:rPr>
        <w:t>Авиация:</w:t>
      </w:r>
    </w:p>
    <w:p w14:paraId="57CF1CDD" w14:textId="77777777" w:rsidR="007908C7" w:rsidRPr="00405303" w:rsidRDefault="007908C7" w:rsidP="00C15251">
      <w:pPr>
        <w:jc w:val="both"/>
        <w:rPr>
          <w:bCs/>
          <w:i/>
          <w:color w:val="002060"/>
          <w:sz w:val="16"/>
          <w:szCs w:val="16"/>
        </w:rPr>
      </w:pPr>
    </w:p>
    <w:p w14:paraId="3F9320E7" w14:textId="0CC36755" w:rsidR="007908C7" w:rsidRPr="00405303" w:rsidRDefault="007908C7" w:rsidP="00C15251">
      <w:pPr>
        <w:jc w:val="both"/>
        <w:rPr>
          <w:bCs/>
          <w:color w:val="002060"/>
          <w:sz w:val="16"/>
          <w:szCs w:val="16"/>
        </w:rPr>
      </w:pPr>
      <w:r w:rsidRPr="00405303">
        <w:rPr>
          <w:bCs/>
          <w:color w:val="002060"/>
          <w:sz w:val="16"/>
          <w:szCs w:val="16"/>
          <w:lang w:bidi="en-US"/>
        </w:rPr>
        <w:t>7 (20) июля 1915 года великий князь Александр Михайлович направил отчет в Главную коллегию Ставки, в котором говорилось, что в настоящее время в составе 12-й армии насчитывается 18 воздухоплавательных рот, девять крепостных воздухоплавательных рот и одна Сибирская полевая воздухоплавательная рота.</w:t>
      </w:r>
    </w:p>
    <w:p w14:paraId="0A6216DD" w14:textId="77777777" w:rsidR="007908C7" w:rsidRPr="00405303" w:rsidRDefault="007908C7" w:rsidP="00C15251">
      <w:pPr>
        <w:jc w:val="both"/>
        <w:rPr>
          <w:bCs/>
          <w:color w:val="002060"/>
          <w:sz w:val="16"/>
          <w:szCs w:val="16"/>
        </w:rPr>
      </w:pPr>
      <w:r w:rsidRPr="00405303">
        <w:rPr>
          <w:bCs/>
          <w:color w:val="002060"/>
          <w:sz w:val="16"/>
          <w:szCs w:val="16"/>
          <w:lang w:bidi="en-US"/>
        </w:rPr>
        <w:t>В отчете перечислены следующие армии (с севера на юг) с приданными им авиационными частями: 12-я армия с 4-й Сибирской КАО, 2-й КАО, 29-й КАО и 5-й армией АО; 5-я армия в составе 1-й армии АО, 10-й КАО, 13-й КАО, 15-й КАО и 19-й КАО; 10-я армия в составе 22-й КАО, 27-й КАО, 28-й КАО и 34-й КАО; 1-я армия в составе 5-й КАО и 33-й КАО;.2-я армия в составе 1-й КАО, 4-й КАО, 21-й КАО. 1-я Сибирская КАО и 2-я армия АО; 4-я армия с 3-м КАО. 6-я КАО, 14-я КАО и Гренадерская КАО; 3-я армия в составе 9-й КАО, 11-й КАО, 24-й КАО, 25-й КАО, 31-й КАО и Гвардейской КАО; 13-я армия в составе 17-й КАО, 20-й КАО и 23-й КАО; 8-я армия в составе 3-й полевой АО, 7-й КАО и 8-й КАО; 11-я армия со 2-й Сибирской КАО. 18-я КАО и 32-я КАО; 9-я армия в составе 16-й КАО, 26-й КАО и 30-й КАО; Кавказская армия с 5-м Сибирским КАО и Карсским крепостным АО.</w:t>
      </w:r>
    </w:p>
    <w:p w14:paraId="7013C0B3" w14:textId="77777777" w:rsidR="007908C7" w:rsidRPr="00405303" w:rsidRDefault="007908C7" w:rsidP="00C15251">
      <w:pPr>
        <w:jc w:val="both"/>
        <w:rPr>
          <w:bCs/>
          <w:color w:val="002060"/>
          <w:sz w:val="16"/>
          <w:szCs w:val="16"/>
        </w:rPr>
      </w:pPr>
      <w:r w:rsidRPr="00405303">
        <w:rPr>
          <w:bCs/>
          <w:color w:val="002060"/>
          <w:sz w:val="16"/>
          <w:szCs w:val="16"/>
          <w:lang w:bidi="en-US"/>
        </w:rPr>
        <w:t>В ходе стремительного наступления противника все авиационные (и воздухоплавательные) части находились под сильным давлением, постоянно отступая с одного аэродрома на другой, подвергаясь воздействию стихии и теряя по пути много техники (23525).</w:t>
      </w:r>
    </w:p>
    <w:p w14:paraId="40D47782" w14:textId="77777777" w:rsidR="007908C7" w:rsidRPr="00405303" w:rsidRDefault="007908C7" w:rsidP="00C15251">
      <w:pPr>
        <w:pStyle w:val="af6"/>
        <w:spacing w:line="240" w:lineRule="auto"/>
        <w:jc w:val="both"/>
        <w:rPr>
          <w:rFonts w:ascii="Times New Roman" w:hAnsi="Times New Roman" w:cs="Times New Roman"/>
          <w:bCs/>
          <w:color w:val="002060"/>
          <w:sz w:val="16"/>
          <w:szCs w:val="16"/>
        </w:rPr>
      </w:pPr>
    </w:p>
    <w:p w14:paraId="2AEF63FE" w14:textId="619EFFD8" w:rsidR="00DA51D9" w:rsidRPr="00405303" w:rsidRDefault="00DA51D9" w:rsidP="00C15251">
      <w:pPr>
        <w:jc w:val="both"/>
        <w:rPr>
          <w:bCs/>
          <w:color w:val="002060"/>
          <w:sz w:val="16"/>
          <w:szCs w:val="16"/>
        </w:rPr>
      </w:pPr>
      <w:r w:rsidRPr="00405303">
        <w:rPr>
          <w:bCs/>
          <w:color w:val="002060"/>
          <w:sz w:val="16"/>
          <w:szCs w:val="16"/>
        </w:rPr>
        <w:t xml:space="preserve">7 (20) июля 1915 г. «в районе расположения Кавказской туземной конной дивизии» летчики 26-го КАО прапорщик И.Я. Иванов и поручик А.А. Алексеев на высоте 2 км осуществили перехват австрийского «Альбатроса». Сблизившись с противником, летчики обменялись друг с другом приветствиями и открыли... пулеметный </w:t>
      </w:r>
      <w:r w:rsidRPr="00405303">
        <w:rPr>
          <w:bCs/>
          <w:color w:val="002060"/>
          <w:sz w:val="16"/>
          <w:szCs w:val="16"/>
        </w:rPr>
        <w:lastRenderedPageBreak/>
        <w:t>огонь. Австрийские авиаторы, отстреливаясь, пытались оторваться от погони. Но это им сделать не удалось. Вскоре вражеский летчик был убит, а летевший с ним офицер-наблюдатель тяжело ранен. Неуправляемый «Альбатрос» (7-я (по другим данным - 1-я) австрийская авиационная рота) сделал в воздухе мертвую петлю и стал падать на землю в расположении наших войск. Перед падением вражеский самолет загорелся и, объятый пламенем, рухнул вблизи русских окопов.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надписью по-русски: „австрийским летчикам... героически погибшим 24 июня [ст. ст.] 1915 г. в воздушном бою“. Могилу также украшал венок из искусственных цветов с белой лентой и с надписью: „В восхищении вашей храбрости русский авиаотряд“» (23405).</w:t>
      </w:r>
    </w:p>
    <w:p w14:paraId="3CDBD354" w14:textId="77777777" w:rsidR="00DA51D9" w:rsidRPr="00405303" w:rsidRDefault="00DA51D9" w:rsidP="00C15251">
      <w:pPr>
        <w:jc w:val="both"/>
        <w:rPr>
          <w:bCs/>
          <w:color w:val="002060"/>
          <w:sz w:val="16"/>
          <w:szCs w:val="16"/>
          <w:lang w:bidi="ru-RU"/>
        </w:rPr>
      </w:pPr>
    </w:p>
    <w:p w14:paraId="5846FF00" w14:textId="2B3300C2" w:rsidR="00DA51D9" w:rsidRPr="00405303" w:rsidRDefault="00DA51D9" w:rsidP="00C15251">
      <w:pPr>
        <w:jc w:val="both"/>
        <w:rPr>
          <w:bCs/>
          <w:color w:val="002060"/>
          <w:sz w:val="16"/>
          <w:szCs w:val="16"/>
        </w:rPr>
      </w:pPr>
      <w:bookmarkStart w:id="182" w:name="bookmark201"/>
      <w:bookmarkStart w:id="183" w:name="bookmark202"/>
      <w:bookmarkStart w:id="184" w:name="bookmark203"/>
      <w:bookmarkStart w:id="185" w:name="bookmark204"/>
      <w:r w:rsidRPr="00405303">
        <w:rPr>
          <w:bCs/>
          <w:color w:val="002060"/>
          <w:sz w:val="16"/>
          <w:szCs w:val="16"/>
        </w:rPr>
        <w:t>7 (20) июля 1915 г. на рассвете нашими артиллерийскими батареями в окрестностях г. Люблин был подбит неприятельский аэроплан. При падении на землю он загорелся. Один из летчиков погиб, другой отделался легкими ушибами и взят в плен. Через день над д. Дрвалы (Мазовецкое воеводство, царство Польское) в воздухе взорвался немецкий самолет. По-видимому, на борту аппарата произошла детонация перевозимых бомб. В результате неприятельский самолет развалился на четыре части. Летчик умер от полученных ожогов. В районе долины р. Писса нашими подразделения был захвачен немецкий аэроплан, поступивший позднее на вооружение русской авиации (23405).</w:t>
      </w:r>
    </w:p>
    <w:p w14:paraId="36B199C3" w14:textId="77777777" w:rsidR="00DA51D9" w:rsidRPr="00405303" w:rsidRDefault="00DA51D9" w:rsidP="00C15251">
      <w:pPr>
        <w:jc w:val="both"/>
        <w:rPr>
          <w:bCs/>
          <w:color w:val="002060"/>
          <w:sz w:val="16"/>
          <w:szCs w:val="16"/>
        </w:rPr>
      </w:pPr>
    </w:p>
    <w:bookmarkEnd w:id="182"/>
    <w:bookmarkEnd w:id="183"/>
    <w:bookmarkEnd w:id="184"/>
    <w:bookmarkEnd w:id="185"/>
    <w:p w14:paraId="60AFAE3D" w14:textId="77777777" w:rsidR="009E58A2" w:rsidRPr="00405303" w:rsidRDefault="009E58A2" w:rsidP="009E58A2">
      <w:pPr>
        <w:widowControl w:val="0"/>
        <w:tabs>
          <w:tab w:val="left" w:pos="730"/>
        </w:tabs>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7 (20) июля 1915 г. немецкий аэроплан сбросил несколько бомб на г. Митава. В течение нескольких дней налеты на город продолжились (25135).</w:t>
      </w:r>
    </w:p>
    <w:p w14:paraId="4EBC4A67" w14:textId="77777777" w:rsidR="009E58A2" w:rsidRPr="00405303" w:rsidRDefault="009E58A2" w:rsidP="009E58A2">
      <w:pPr>
        <w:widowControl w:val="0"/>
        <w:tabs>
          <w:tab w:val="left" w:pos="730"/>
        </w:tabs>
        <w:jc w:val="both"/>
        <w:rPr>
          <w:rStyle w:val="aa"/>
          <w:rFonts w:ascii="Times New Roman" w:hAnsi="Times New Roman"/>
          <w:color w:val="0070C0"/>
          <w:spacing w:val="0"/>
          <w:sz w:val="16"/>
          <w:szCs w:val="16"/>
        </w:rPr>
      </w:pPr>
    </w:p>
    <w:p w14:paraId="287F3A78" w14:textId="77777777" w:rsidR="009E58A2" w:rsidRPr="00405303" w:rsidRDefault="009E58A2" w:rsidP="009E58A2">
      <w:pPr>
        <w:jc w:val="both"/>
        <w:rPr>
          <w:color w:val="0070C0"/>
          <w:sz w:val="16"/>
          <w:szCs w:val="16"/>
        </w:rPr>
      </w:pPr>
      <w:r w:rsidRPr="00405303">
        <w:rPr>
          <w:rStyle w:val="aa"/>
          <w:rFonts w:ascii="Times New Roman" w:hAnsi="Times New Roman"/>
          <w:color w:val="0070C0"/>
          <w:spacing w:val="0"/>
          <w:sz w:val="16"/>
          <w:szCs w:val="16"/>
        </w:rPr>
        <w:t>7 (20) июля 1915 г. над крепостью Усть-Двинск опять появился германский ЛА, оказавшийся в зоне обстрела русской артиллерии (25166).</w:t>
      </w:r>
    </w:p>
    <w:p w14:paraId="33F2DA65" w14:textId="77777777" w:rsidR="009E58A2" w:rsidRPr="00405303" w:rsidRDefault="009E58A2" w:rsidP="009E58A2">
      <w:pPr>
        <w:jc w:val="both"/>
        <w:rPr>
          <w:color w:val="0070C0"/>
          <w:sz w:val="16"/>
          <w:szCs w:val="16"/>
        </w:rPr>
      </w:pPr>
    </w:p>
    <w:p w14:paraId="2CAE4C7D" w14:textId="77777777" w:rsidR="00DA51D9" w:rsidRPr="00405303" w:rsidRDefault="00DA51D9"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35B91BBF" w14:textId="77777777" w:rsidR="00DA51D9" w:rsidRPr="00405303" w:rsidRDefault="00DA51D9" w:rsidP="00C15251">
      <w:pPr>
        <w:shd w:val="clear" w:color="auto" w:fill="FFFFFF"/>
        <w:jc w:val="both"/>
        <w:rPr>
          <w:bCs/>
          <w:i/>
          <w:color w:val="002060"/>
          <w:sz w:val="16"/>
          <w:szCs w:val="16"/>
        </w:rPr>
      </w:pPr>
    </w:p>
    <w:p w14:paraId="196A3B0B" w14:textId="77777777" w:rsidR="00DA51D9" w:rsidRPr="00405303" w:rsidRDefault="00DA51D9" w:rsidP="00C15251">
      <w:pPr>
        <w:jc w:val="both"/>
        <w:rPr>
          <w:bCs/>
          <w:color w:val="002060"/>
          <w:sz w:val="16"/>
          <w:szCs w:val="16"/>
        </w:rPr>
      </w:pPr>
      <w:r w:rsidRPr="00405303">
        <w:rPr>
          <w:bCs/>
          <w:color w:val="002060"/>
          <w:sz w:val="16"/>
          <w:szCs w:val="16"/>
        </w:rPr>
        <w:t xml:space="preserve">7 (20) июля 1915 французы произвели бомбардировочный налет на Карлсруэ. В этот день набожные немцы отмечали праздник тела Христова и на улицах было много народу. Во время бомбардировки погибло 110 и было ранено 123 человека. Одна из бомб угодила прямо на площадь, где дети давали театрализованное представление... Реакция </w:t>
      </w:r>
      <w:proofErr w:type="gramStart"/>
      <w:r w:rsidRPr="00405303">
        <w:rPr>
          <w:bCs/>
          <w:color w:val="002060"/>
          <w:sz w:val="16"/>
          <w:szCs w:val="16"/>
        </w:rPr>
        <w:t>общественности</w:t>
      </w:r>
      <w:proofErr w:type="gramEnd"/>
      <w:r w:rsidRPr="00405303">
        <w:rPr>
          <w:bCs/>
          <w:color w:val="002060"/>
          <w:sz w:val="16"/>
          <w:szCs w:val="16"/>
        </w:rPr>
        <w:t xml:space="preserve"> была ужасной. По стране прокатилась волна ненависти к французам и, естественно, ко всем странам Антанты. Даже французские газеты отметили, что этот бесчеловечный акт «станет прелюдией к будущим кровавым кошмарам». Кайзер Вильгельм II умыл руки (11324).</w:t>
      </w:r>
    </w:p>
    <w:p w14:paraId="1B67C182" w14:textId="77777777" w:rsidR="00DA51D9" w:rsidRPr="00405303" w:rsidRDefault="00DA51D9" w:rsidP="00C15251">
      <w:pPr>
        <w:shd w:val="clear" w:color="auto" w:fill="FFFFFF"/>
        <w:jc w:val="both"/>
        <w:rPr>
          <w:bCs/>
          <w:i/>
          <w:color w:val="002060"/>
          <w:sz w:val="16"/>
          <w:szCs w:val="16"/>
        </w:rPr>
      </w:pPr>
    </w:p>
    <w:p w14:paraId="2AAF9733" w14:textId="44DC705B" w:rsidR="007066FE" w:rsidRPr="00405303" w:rsidRDefault="007066FE" w:rsidP="00C15251">
      <w:pPr>
        <w:jc w:val="both"/>
        <w:rPr>
          <w:bCs/>
          <w:i/>
          <w:color w:val="002060"/>
          <w:sz w:val="16"/>
          <w:szCs w:val="16"/>
        </w:rPr>
      </w:pPr>
      <w:r w:rsidRPr="00405303">
        <w:rPr>
          <w:bCs/>
          <w:i/>
          <w:color w:val="002060"/>
          <w:sz w:val="16"/>
          <w:szCs w:val="16"/>
        </w:rPr>
        <w:t>Самолетостроение:</w:t>
      </w:r>
    </w:p>
    <w:p w14:paraId="2D483A33" w14:textId="77777777" w:rsidR="007066FE" w:rsidRPr="00405303" w:rsidRDefault="007066FE" w:rsidP="00C15251">
      <w:pPr>
        <w:jc w:val="both"/>
        <w:rPr>
          <w:bCs/>
          <w:i/>
          <w:color w:val="002060"/>
          <w:sz w:val="16"/>
          <w:szCs w:val="16"/>
        </w:rPr>
      </w:pPr>
    </w:p>
    <w:p w14:paraId="46ED729F" w14:textId="77777777" w:rsidR="007066FE" w:rsidRPr="00405303" w:rsidRDefault="007066FE" w:rsidP="00C15251">
      <w:pPr>
        <w:jc w:val="both"/>
        <w:rPr>
          <w:bCs/>
          <w:color w:val="002060"/>
          <w:sz w:val="16"/>
          <w:szCs w:val="16"/>
        </w:rPr>
      </w:pPr>
      <w:r w:rsidRPr="00405303">
        <w:rPr>
          <w:bCs/>
          <w:color w:val="002060"/>
          <w:sz w:val="16"/>
          <w:szCs w:val="16"/>
        </w:rPr>
        <w:t>В начале июля 1915 года эвакуированный из Риги завод Мотор разместился на Даниловской площади — далекой окраине тогдашней Москвы. А в августе уже начал выпускать военную продукцию: авиационные моторы К-80. Рабочие «Мотора» принимали деятельное участие в революционном движении 1917 года. Сразу после Февраля организовали тайный склад оружия, где хранилось двести револьверов и пулемет. Потом один рабочий, бывший матрос мятежного броненосца «Князь Потемкин Таврический», раздобыл и привез в Замоскворечье две тысячи винтовок. Сто рабочих «Мотора» организовали отряд Красной гвардии. Это особенно важно, потому что пролетарии авиационных заводов принадлежали к рабочей элите. Условия труда у них были несравненно лучше, чем на других предприятиях. Они получали более высокое жалованье. Человека с улицы на работу не брали — требовались солидные рекомендации. Поощрялись рабочие династии, оберегающие заводы от кадровой текучки. Даже по внешнему виду в них не сразу можно было признать пролетариев: на памятных фото мы видим их в темных сюртуках, крахмальных манишках, шляпах канотье и в обязательных по тогдашней моде черных кожаных крагах. На «Моторе» в Москве работало примерно полторы сотни рабочих и инженеров. В 1917 году завод выпустил двадцать моторов К-80 и около 120 комплектов запасных частей к ним. Сразу после революции начали осваивать выпуск новых, более сильных моторов РОН мощностью в 110 лошадиных сил (11228).</w:t>
      </w:r>
    </w:p>
    <w:p w14:paraId="1E530B2A" w14:textId="49CFCE31" w:rsidR="007066FE" w:rsidRPr="00405303" w:rsidRDefault="007066FE" w:rsidP="00C15251">
      <w:pPr>
        <w:jc w:val="both"/>
        <w:rPr>
          <w:bCs/>
          <w:color w:val="002060"/>
          <w:sz w:val="16"/>
          <w:szCs w:val="16"/>
        </w:rPr>
      </w:pPr>
    </w:p>
    <w:p w14:paraId="442619C6" w14:textId="4F03DF05" w:rsidR="00AD2AA6" w:rsidRPr="00405303" w:rsidRDefault="00AD2AA6" w:rsidP="00C15251">
      <w:pPr>
        <w:jc w:val="both"/>
        <w:rPr>
          <w:bCs/>
          <w:i/>
          <w:iCs/>
          <w:color w:val="002060"/>
          <w:sz w:val="16"/>
          <w:szCs w:val="16"/>
        </w:rPr>
      </w:pPr>
      <w:r w:rsidRPr="00405303">
        <w:rPr>
          <w:bCs/>
          <w:i/>
          <w:iCs/>
          <w:color w:val="002060"/>
          <w:sz w:val="16"/>
          <w:szCs w:val="16"/>
        </w:rPr>
        <w:t>Аэростатостроение:</w:t>
      </w:r>
    </w:p>
    <w:p w14:paraId="1140BA2F" w14:textId="77777777" w:rsidR="00AD2AA6" w:rsidRPr="00405303" w:rsidRDefault="00AD2AA6" w:rsidP="00C15251">
      <w:pPr>
        <w:jc w:val="both"/>
        <w:rPr>
          <w:bCs/>
          <w:i/>
          <w:iCs/>
          <w:color w:val="002060"/>
          <w:sz w:val="16"/>
          <w:szCs w:val="16"/>
        </w:rPr>
      </w:pPr>
    </w:p>
    <w:p w14:paraId="5D837567" w14:textId="77777777" w:rsidR="00AD2AA6" w:rsidRPr="00405303" w:rsidRDefault="00AD2AA6" w:rsidP="00C15251">
      <w:pPr>
        <w:jc w:val="both"/>
        <w:rPr>
          <w:bCs/>
          <w:color w:val="002060"/>
          <w:sz w:val="16"/>
          <w:szCs w:val="16"/>
          <w:shd w:val="clear" w:color="auto" w:fill="FFFFFF"/>
        </w:rPr>
      </w:pPr>
      <w:r w:rsidRPr="00405303">
        <w:rPr>
          <w:bCs/>
          <w:color w:val="002060"/>
          <w:sz w:val="16"/>
          <w:szCs w:val="16"/>
          <w:shd w:val="clear" w:color="auto" w:fill="FFFFFF"/>
        </w:rPr>
        <w:t>В начале июля 1915 г. по просьбе командира первого аэростатного отделения Сербии, майора Косты Милетича Россия передала Сербии два змейковых аэростата производства петербургского завода “Треугольник” (19946).</w:t>
      </w:r>
    </w:p>
    <w:p w14:paraId="173BC743" w14:textId="77777777" w:rsidR="00AD2AA6" w:rsidRPr="00405303" w:rsidRDefault="00AD2AA6" w:rsidP="00C15251">
      <w:pPr>
        <w:shd w:val="clear" w:color="auto" w:fill="FFFFFF"/>
        <w:jc w:val="both"/>
        <w:rPr>
          <w:bCs/>
          <w:color w:val="002060"/>
          <w:sz w:val="16"/>
          <w:szCs w:val="16"/>
        </w:rPr>
      </w:pPr>
      <w:bookmarkStart w:id="186" w:name="_Hlk50560441"/>
    </w:p>
    <w:bookmarkEnd w:id="186"/>
    <w:p w14:paraId="46E2D585" w14:textId="516C2A5F" w:rsidR="003E679D" w:rsidRPr="00405303" w:rsidRDefault="003E679D" w:rsidP="00C15251">
      <w:pPr>
        <w:jc w:val="both"/>
        <w:rPr>
          <w:bCs/>
          <w:i/>
          <w:color w:val="002060"/>
          <w:sz w:val="16"/>
          <w:szCs w:val="16"/>
        </w:rPr>
      </w:pPr>
      <w:r w:rsidRPr="00405303">
        <w:rPr>
          <w:bCs/>
          <w:i/>
          <w:color w:val="002060"/>
          <w:sz w:val="16"/>
          <w:szCs w:val="16"/>
        </w:rPr>
        <w:t>Авиация:</w:t>
      </w:r>
    </w:p>
    <w:p w14:paraId="5CC9836D" w14:textId="77777777" w:rsidR="003E679D" w:rsidRPr="00405303" w:rsidRDefault="003E679D" w:rsidP="00C15251">
      <w:pPr>
        <w:jc w:val="both"/>
        <w:rPr>
          <w:bCs/>
          <w:i/>
          <w:color w:val="002060"/>
          <w:sz w:val="16"/>
          <w:szCs w:val="16"/>
        </w:rPr>
      </w:pPr>
    </w:p>
    <w:p w14:paraId="39C3E54F" w14:textId="77777777" w:rsidR="003E679D" w:rsidRPr="00405303" w:rsidRDefault="003E679D" w:rsidP="00C15251">
      <w:pPr>
        <w:jc w:val="both"/>
        <w:rPr>
          <w:bCs/>
          <w:color w:val="002060"/>
          <w:sz w:val="16"/>
          <w:szCs w:val="16"/>
        </w:rPr>
      </w:pPr>
      <w:r w:rsidRPr="00405303">
        <w:rPr>
          <w:bCs/>
          <w:color w:val="002060"/>
          <w:sz w:val="16"/>
          <w:szCs w:val="16"/>
          <w:lang w:bidi="ru-RU"/>
        </w:rPr>
        <w:t>В начале июля 1915 г. ко</w:t>
      </w:r>
      <w:r w:rsidRPr="00405303">
        <w:rPr>
          <w:bCs/>
          <w:color w:val="002060"/>
          <w:sz w:val="16"/>
          <w:szCs w:val="16"/>
          <w:lang w:bidi="ru-RU"/>
        </w:rPr>
        <w:softHyphen/>
        <w:t>личество боеспособных «Муромцев» увеличилось до пяти единиц. В этот период Эскадра воздушных кораблей перебазиро</w:t>
      </w:r>
      <w:r w:rsidRPr="00405303">
        <w:rPr>
          <w:bCs/>
          <w:color w:val="002060"/>
          <w:sz w:val="16"/>
          <w:szCs w:val="16"/>
          <w:lang w:bidi="ru-RU"/>
        </w:rPr>
        <w:softHyphen/>
        <w:t>валась в район города Лида, затем в район Пскова. В октябре 1915 г. из состава эскад</w:t>
      </w:r>
      <w:r w:rsidRPr="00405303">
        <w:rPr>
          <w:bCs/>
          <w:color w:val="002060"/>
          <w:sz w:val="16"/>
          <w:szCs w:val="16"/>
          <w:lang w:bidi="ru-RU"/>
        </w:rPr>
        <w:softHyphen/>
        <w:t>ры выделили боевой отряд в количестве 5-6 машин, которые до конца года базирова</w:t>
      </w:r>
      <w:r w:rsidRPr="00405303">
        <w:rPr>
          <w:bCs/>
          <w:color w:val="002060"/>
          <w:sz w:val="16"/>
          <w:szCs w:val="16"/>
          <w:lang w:bidi="ru-RU"/>
        </w:rPr>
        <w:softHyphen/>
        <w:t>лись под Ригой (станция Зегевольд) и дей</w:t>
      </w:r>
      <w:r w:rsidRPr="00405303">
        <w:rPr>
          <w:bCs/>
          <w:color w:val="002060"/>
          <w:sz w:val="16"/>
          <w:szCs w:val="16"/>
          <w:lang w:bidi="ru-RU"/>
        </w:rPr>
        <w:softHyphen/>
        <w:t>ствовали в интересах Северного фронта. Две машины отправили на Юго-Западный фронт с базированием в Колодзиевке (23374).</w:t>
      </w:r>
    </w:p>
    <w:p w14:paraId="2B40D314" w14:textId="77777777" w:rsidR="003E679D" w:rsidRPr="00405303" w:rsidRDefault="003E679D" w:rsidP="00C15251">
      <w:pPr>
        <w:jc w:val="both"/>
        <w:rPr>
          <w:bCs/>
          <w:color w:val="002060"/>
          <w:sz w:val="16"/>
          <w:szCs w:val="16"/>
        </w:rPr>
      </w:pPr>
    </w:p>
    <w:p w14:paraId="70EE75C3" w14:textId="77777777" w:rsidR="003E679D" w:rsidRPr="00405303" w:rsidRDefault="003E679D" w:rsidP="00C15251">
      <w:pPr>
        <w:jc w:val="both"/>
        <w:rPr>
          <w:bCs/>
          <w:color w:val="002060"/>
          <w:sz w:val="16"/>
          <w:szCs w:val="16"/>
        </w:rPr>
      </w:pPr>
      <w:r w:rsidRPr="00405303">
        <w:rPr>
          <w:bCs/>
          <w:color w:val="002060"/>
          <w:sz w:val="16"/>
          <w:szCs w:val="16"/>
          <w:lang w:bidi="en-US"/>
        </w:rPr>
        <w:t xml:space="preserve">В начале июля 1915 г. Познань прибыл дирижабль немецкой армии </w:t>
      </w:r>
      <w:r w:rsidRPr="00405303">
        <w:rPr>
          <w:bCs/>
          <w:color w:val="002060"/>
          <w:sz w:val="16"/>
          <w:szCs w:val="16"/>
          <w:lang w:val="en-US" w:bidi="en-US"/>
        </w:rPr>
        <w:t>LZ</w:t>
      </w:r>
      <w:r w:rsidRPr="00405303">
        <w:rPr>
          <w:bCs/>
          <w:color w:val="002060"/>
          <w:sz w:val="16"/>
          <w:szCs w:val="16"/>
          <w:lang w:bidi="en-US"/>
        </w:rPr>
        <w:t>.39. Он совершил ряд рейдов до 7 декабря, когда был поражен в корму российским наземным огнем к северу от Ровно и совершил вынужденную посадку западнее Луцка. Вскоре она была выведена из эксплуатации (23525).</w:t>
      </w:r>
    </w:p>
    <w:p w14:paraId="0728AF55" w14:textId="77777777" w:rsidR="003E679D" w:rsidRPr="00405303" w:rsidRDefault="003E679D" w:rsidP="00C15251">
      <w:pPr>
        <w:jc w:val="both"/>
        <w:rPr>
          <w:bCs/>
          <w:color w:val="002060"/>
          <w:sz w:val="16"/>
          <w:szCs w:val="16"/>
          <w:lang w:bidi="en-US"/>
        </w:rPr>
      </w:pPr>
    </w:p>
    <w:p w14:paraId="72E01615" w14:textId="072620EB" w:rsidR="007066FE" w:rsidRPr="00405303" w:rsidRDefault="007066FE" w:rsidP="00C15251">
      <w:pPr>
        <w:jc w:val="both"/>
        <w:rPr>
          <w:bCs/>
          <w:i/>
          <w:color w:val="002060"/>
          <w:sz w:val="16"/>
          <w:szCs w:val="16"/>
        </w:rPr>
      </w:pPr>
      <w:r w:rsidRPr="00405303">
        <w:rPr>
          <w:bCs/>
          <w:i/>
          <w:color w:val="002060"/>
          <w:sz w:val="16"/>
          <w:szCs w:val="16"/>
        </w:rPr>
        <w:t>Морская авиация:</w:t>
      </w:r>
    </w:p>
    <w:p w14:paraId="19BC1CF1" w14:textId="77777777" w:rsidR="007066FE" w:rsidRPr="00405303" w:rsidRDefault="007066FE" w:rsidP="00C15251">
      <w:pPr>
        <w:jc w:val="both"/>
        <w:rPr>
          <w:bCs/>
          <w:i/>
          <w:color w:val="002060"/>
          <w:sz w:val="16"/>
          <w:szCs w:val="16"/>
        </w:rPr>
      </w:pPr>
    </w:p>
    <w:p w14:paraId="60AF0006" w14:textId="77777777" w:rsidR="007066FE" w:rsidRPr="00405303" w:rsidRDefault="007066FE" w:rsidP="00C15251">
      <w:pPr>
        <w:jc w:val="both"/>
        <w:rPr>
          <w:bCs/>
          <w:color w:val="002060"/>
          <w:sz w:val="16"/>
          <w:szCs w:val="16"/>
        </w:rPr>
      </w:pPr>
      <w:r w:rsidRPr="00405303">
        <w:rPr>
          <w:bCs/>
          <w:color w:val="002060"/>
          <w:sz w:val="16"/>
          <w:szCs w:val="16"/>
        </w:rPr>
        <w:t>В начале июля 1915 г. начальник службы связи Балтийского флота контр-адмирал А. И. Непенин направил командующему флотом довольно любопытный рапорт: "...прошу распоряжения вашего превосходительства, чтобы в случае отступления со 2-й авиационной станции в Кильконде, ничего на станции не жечь и не разрушать, кроме радиостанции и бензиновых погребов, ибо железобетонных ангаров и спусков сжечь и разрушить на скорую руку не удастся. А деревянные дома неприятелю корысти не составят. Предвижу, что отступление, если оно и будет, будет частичным или временным, а потом разрушенное не построишь до окончания войны, до едва ли дадут деньги и после войны на постройку вновь всего".</w:t>
      </w:r>
    </w:p>
    <w:p w14:paraId="34A0C20B" w14:textId="77777777" w:rsidR="007066FE" w:rsidRPr="00405303" w:rsidRDefault="007066FE" w:rsidP="00C15251">
      <w:pPr>
        <w:jc w:val="both"/>
        <w:rPr>
          <w:bCs/>
          <w:color w:val="002060"/>
          <w:sz w:val="16"/>
          <w:szCs w:val="16"/>
        </w:rPr>
      </w:pPr>
      <w:r w:rsidRPr="00405303">
        <w:rPr>
          <w:bCs/>
          <w:color w:val="002060"/>
          <w:sz w:val="16"/>
          <w:szCs w:val="16"/>
        </w:rPr>
        <w:t>Как показало дальнейшее, немцы были очень благодарны Непенину за проявленную заботу. После сдачи немцам Виндавы 5 июля 1915 г. вся Курляндия с хорошо оборудован-ными портами оказалась потерянной, У балтийской морской авиации оставались две авиационные станции: одна в Ревеле, другая - на острове Эзель в Кильконде (11927).</w:t>
      </w:r>
    </w:p>
    <w:p w14:paraId="1640EE00" w14:textId="77777777" w:rsidR="007066FE" w:rsidRPr="00405303" w:rsidRDefault="007066FE" w:rsidP="00C15251">
      <w:pPr>
        <w:jc w:val="both"/>
        <w:rPr>
          <w:bCs/>
          <w:color w:val="002060"/>
          <w:sz w:val="16"/>
          <w:szCs w:val="16"/>
        </w:rPr>
      </w:pPr>
    </w:p>
    <w:p w14:paraId="53F72CD9" w14:textId="77777777" w:rsidR="007066FE" w:rsidRPr="00405303" w:rsidRDefault="007066FE" w:rsidP="00C15251">
      <w:pPr>
        <w:jc w:val="both"/>
        <w:rPr>
          <w:bCs/>
          <w:i/>
          <w:color w:val="002060"/>
          <w:sz w:val="16"/>
          <w:szCs w:val="16"/>
        </w:rPr>
      </w:pPr>
      <w:r w:rsidRPr="00405303">
        <w:rPr>
          <w:bCs/>
          <w:i/>
          <w:color w:val="002060"/>
          <w:sz w:val="16"/>
          <w:szCs w:val="16"/>
        </w:rPr>
        <w:t>Армия:</w:t>
      </w:r>
    </w:p>
    <w:p w14:paraId="4C80592C" w14:textId="77777777" w:rsidR="007066FE" w:rsidRPr="00405303" w:rsidRDefault="007066FE" w:rsidP="00C15251">
      <w:pPr>
        <w:jc w:val="both"/>
        <w:rPr>
          <w:bCs/>
          <w:i/>
          <w:color w:val="002060"/>
          <w:sz w:val="16"/>
          <w:szCs w:val="16"/>
        </w:rPr>
      </w:pPr>
    </w:p>
    <w:p w14:paraId="72E9CCBD" w14:textId="77777777" w:rsidR="007066FE" w:rsidRPr="00405303" w:rsidRDefault="007066FE" w:rsidP="00C15251">
      <w:pPr>
        <w:pStyle w:val="20"/>
        <w:shd w:val="clear" w:color="auto" w:fill="auto"/>
        <w:spacing w:after="0" w:line="240" w:lineRule="auto"/>
        <w:ind w:firstLine="0"/>
        <w:jc w:val="both"/>
        <w:rPr>
          <w:rFonts w:ascii="Times New Roman" w:hAnsi="Times New Roman"/>
          <w:bCs/>
          <w:color w:val="002060"/>
          <w:spacing w:val="0"/>
          <w:sz w:val="16"/>
          <w:szCs w:val="16"/>
        </w:rPr>
      </w:pPr>
      <w:r w:rsidRPr="00405303">
        <w:rPr>
          <w:rFonts w:ascii="Times New Roman" w:hAnsi="Times New Roman"/>
          <w:bCs/>
          <w:color w:val="002060"/>
          <w:spacing w:val="0"/>
          <w:sz w:val="16"/>
          <w:szCs w:val="16"/>
        </w:rPr>
        <w:t>В начале июля 1915 года, когда катастрофа русской армии уже стала совершившимся фактом, а на всех фронтах с Германией и Австро-Венгрией происходило «Великой отступление», командующий Северо-Западным фронтом генерал М.В. Алексеев представил военному министру свой доклад о причинах нескончаемых поражений.</w:t>
      </w:r>
    </w:p>
    <w:p w14:paraId="0E60741C" w14:textId="77777777" w:rsidR="007066FE" w:rsidRPr="00405303" w:rsidRDefault="007066FE" w:rsidP="00C15251">
      <w:pPr>
        <w:pStyle w:val="20"/>
        <w:shd w:val="clear" w:color="auto" w:fill="auto"/>
        <w:spacing w:after="0" w:line="240" w:lineRule="auto"/>
        <w:ind w:firstLine="0"/>
        <w:jc w:val="both"/>
        <w:rPr>
          <w:rFonts w:ascii="Times New Roman" w:hAnsi="Times New Roman"/>
          <w:bCs/>
          <w:color w:val="002060"/>
          <w:spacing w:val="0"/>
          <w:sz w:val="16"/>
          <w:szCs w:val="16"/>
        </w:rPr>
      </w:pPr>
      <w:r w:rsidRPr="00405303">
        <w:rPr>
          <w:rFonts w:ascii="Times New Roman" w:hAnsi="Times New Roman"/>
          <w:bCs/>
          <w:color w:val="002060"/>
          <w:spacing w:val="0"/>
          <w:sz w:val="16"/>
          <w:szCs w:val="16"/>
        </w:rPr>
        <w:t>В этом основательном документе факторы «пагубного влияния на оперативные соображения и моральное состояние войск» расположены в следующем порядке.</w:t>
      </w:r>
    </w:p>
    <w:p w14:paraId="25531CFB" w14:textId="77777777" w:rsidR="007066FE" w:rsidRPr="00405303" w:rsidRDefault="007066FE" w:rsidP="00C15251">
      <w:pPr>
        <w:pStyle w:val="20"/>
        <w:shd w:val="clear" w:color="auto" w:fill="auto"/>
        <w:spacing w:after="0" w:line="240" w:lineRule="auto"/>
        <w:ind w:firstLine="0"/>
        <w:jc w:val="both"/>
        <w:rPr>
          <w:rFonts w:ascii="Times New Roman" w:hAnsi="Times New Roman"/>
          <w:bCs/>
          <w:color w:val="002060"/>
          <w:spacing w:val="0"/>
          <w:sz w:val="16"/>
          <w:szCs w:val="16"/>
        </w:rPr>
      </w:pPr>
      <w:r w:rsidRPr="00405303">
        <w:rPr>
          <w:rFonts w:ascii="Times New Roman" w:hAnsi="Times New Roman"/>
          <w:bCs/>
          <w:color w:val="002060"/>
          <w:spacing w:val="0"/>
          <w:sz w:val="16"/>
          <w:szCs w:val="16"/>
        </w:rPr>
        <w:t>1. Недостаток артиллерийских снарядов — «самый важный, самый тревожный недостаток, имеющий гибельное влияние».</w:t>
      </w:r>
    </w:p>
    <w:p w14:paraId="008B959D" w14:textId="77777777" w:rsidR="007066FE" w:rsidRPr="00405303" w:rsidRDefault="007066FE" w:rsidP="00C15251">
      <w:pPr>
        <w:pStyle w:val="20"/>
        <w:shd w:val="clear" w:color="auto" w:fill="auto"/>
        <w:spacing w:after="0" w:line="240" w:lineRule="auto"/>
        <w:ind w:firstLine="0"/>
        <w:jc w:val="both"/>
        <w:rPr>
          <w:rFonts w:ascii="Times New Roman" w:hAnsi="Times New Roman"/>
          <w:bCs/>
          <w:color w:val="002060"/>
          <w:spacing w:val="0"/>
          <w:sz w:val="16"/>
          <w:szCs w:val="16"/>
        </w:rPr>
      </w:pPr>
      <w:r w:rsidRPr="00405303">
        <w:rPr>
          <w:rFonts w:ascii="Times New Roman" w:hAnsi="Times New Roman"/>
          <w:bCs/>
          <w:color w:val="002060"/>
          <w:spacing w:val="0"/>
          <w:sz w:val="16"/>
          <w:szCs w:val="16"/>
        </w:rPr>
        <w:lastRenderedPageBreak/>
        <w:t>2. Продолжающийся развал в укомплектовании войск призывниками: «Наше, может быть, единственное преимущество в смысле материальных средств борьбы над противником принимает прямо трагический оборот».</w:t>
      </w:r>
    </w:p>
    <w:p w14:paraId="05F76601" w14:textId="77777777" w:rsidR="007066FE" w:rsidRPr="00405303" w:rsidRDefault="007066FE" w:rsidP="00C15251">
      <w:pPr>
        <w:pStyle w:val="20"/>
        <w:shd w:val="clear" w:color="auto" w:fill="auto"/>
        <w:spacing w:after="0" w:line="240" w:lineRule="auto"/>
        <w:ind w:firstLine="0"/>
        <w:jc w:val="both"/>
        <w:rPr>
          <w:rFonts w:ascii="Times New Roman" w:hAnsi="Times New Roman"/>
          <w:bCs/>
          <w:color w:val="002060"/>
          <w:spacing w:val="0"/>
          <w:sz w:val="16"/>
          <w:szCs w:val="16"/>
        </w:rPr>
      </w:pPr>
      <w:r w:rsidRPr="00405303">
        <w:rPr>
          <w:rFonts w:ascii="Times New Roman" w:hAnsi="Times New Roman"/>
          <w:bCs/>
          <w:color w:val="002060"/>
          <w:spacing w:val="0"/>
          <w:sz w:val="16"/>
          <w:szCs w:val="16"/>
        </w:rPr>
        <w:t>3. Недостаток тяжелой артиллерии.</w:t>
      </w:r>
    </w:p>
    <w:p w14:paraId="7F10F027" w14:textId="77777777" w:rsidR="007066FE" w:rsidRPr="00405303" w:rsidRDefault="007066FE" w:rsidP="00C15251">
      <w:pPr>
        <w:pStyle w:val="20"/>
        <w:shd w:val="clear" w:color="auto" w:fill="auto"/>
        <w:spacing w:after="0" w:line="240" w:lineRule="auto"/>
        <w:ind w:firstLine="0"/>
        <w:jc w:val="both"/>
        <w:rPr>
          <w:rFonts w:ascii="Times New Roman" w:hAnsi="Times New Roman"/>
          <w:bCs/>
          <w:color w:val="002060"/>
          <w:spacing w:val="0"/>
          <w:sz w:val="16"/>
          <w:szCs w:val="16"/>
        </w:rPr>
      </w:pPr>
      <w:r w:rsidRPr="00405303">
        <w:rPr>
          <w:rFonts w:ascii="Times New Roman" w:hAnsi="Times New Roman"/>
          <w:bCs/>
          <w:color w:val="002060"/>
          <w:spacing w:val="0"/>
          <w:sz w:val="16"/>
          <w:szCs w:val="16"/>
        </w:rPr>
        <w:t>4. Недостаток винтовок и патронов к ним, — «сковывающий инициативу в оперативных вопросах и ведущий к развалу в вопросе новых формирований».</w:t>
      </w:r>
    </w:p>
    <w:p w14:paraId="47DA11EB" w14:textId="77777777" w:rsidR="007066FE" w:rsidRPr="00405303" w:rsidRDefault="007066FE" w:rsidP="00C15251">
      <w:pPr>
        <w:pStyle w:val="20"/>
        <w:shd w:val="clear" w:color="auto" w:fill="auto"/>
        <w:spacing w:after="0" w:line="240" w:lineRule="auto"/>
        <w:ind w:firstLine="0"/>
        <w:jc w:val="both"/>
        <w:rPr>
          <w:rFonts w:ascii="Times New Roman" w:hAnsi="Times New Roman"/>
          <w:bCs/>
          <w:color w:val="002060"/>
          <w:spacing w:val="0"/>
          <w:sz w:val="16"/>
          <w:szCs w:val="16"/>
        </w:rPr>
      </w:pPr>
      <w:r w:rsidRPr="00405303">
        <w:rPr>
          <w:rFonts w:ascii="Times New Roman" w:hAnsi="Times New Roman"/>
          <w:bCs/>
          <w:color w:val="002060"/>
          <w:spacing w:val="0"/>
          <w:sz w:val="16"/>
          <w:szCs w:val="16"/>
        </w:rPr>
        <w:t>5. Потеря кадрового офицерства и неудовлетворительная подготовка новых офицеров.</w:t>
      </w:r>
    </w:p>
    <w:p w14:paraId="13EE47CE" w14:textId="77777777" w:rsidR="007066FE" w:rsidRPr="00405303" w:rsidRDefault="007066FE" w:rsidP="00C15251">
      <w:pPr>
        <w:pStyle w:val="20"/>
        <w:shd w:val="clear" w:color="auto" w:fill="auto"/>
        <w:spacing w:after="0" w:line="240" w:lineRule="auto"/>
        <w:ind w:firstLine="0"/>
        <w:jc w:val="both"/>
        <w:rPr>
          <w:rFonts w:ascii="Times New Roman" w:hAnsi="Times New Roman"/>
          <w:bCs/>
          <w:color w:val="002060"/>
          <w:spacing w:val="0"/>
          <w:sz w:val="16"/>
          <w:szCs w:val="16"/>
        </w:rPr>
      </w:pPr>
      <w:r w:rsidRPr="00405303">
        <w:rPr>
          <w:rFonts w:ascii="Times New Roman" w:hAnsi="Times New Roman"/>
          <w:bCs/>
          <w:color w:val="002060"/>
          <w:spacing w:val="0"/>
          <w:sz w:val="16"/>
          <w:szCs w:val="16"/>
        </w:rPr>
        <w:t>Как минимум с 1911 года военное ведомство Российской империи начало целенаправленно готовиться к возможной крупномасштабной войне в Европе. Как можно было так «подготовиться», чтобы уже через полгода после начала боевых действий в общеевропейском конфликте остаться без снарядов и винтовок, а к исходу первого года войны — без офицеров?</w:t>
      </w:r>
    </w:p>
    <w:p w14:paraId="37455EBC" w14:textId="77777777" w:rsidR="007066FE" w:rsidRPr="00405303" w:rsidRDefault="007066FE" w:rsidP="00C15251">
      <w:pPr>
        <w:pStyle w:val="20"/>
        <w:shd w:val="clear" w:color="auto" w:fill="auto"/>
        <w:spacing w:after="0" w:line="240" w:lineRule="auto"/>
        <w:ind w:firstLine="0"/>
        <w:jc w:val="both"/>
        <w:rPr>
          <w:rFonts w:ascii="Times New Roman" w:hAnsi="Times New Roman"/>
          <w:bCs/>
          <w:color w:val="002060"/>
          <w:spacing w:val="0"/>
          <w:sz w:val="16"/>
          <w:szCs w:val="16"/>
        </w:rPr>
      </w:pPr>
      <w:r w:rsidRPr="00405303">
        <w:rPr>
          <w:rFonts w:ascii="Times New Roman" w:hAnsi="Times New Roman"/>
          <w:bCs/>
          <w:color w:val="002060"/>
          <w:spacing w:val="0"/>
          <w:sz w:val="16"/>
          <w:szCs w:val="16"/>
        </w:rPr>
        <w:t>Справедливости ради отметим, что кризисные явления в Первую мировую войну в боевом снабжении испытали все без исключения армии воюющих держав. Однако только у русских это привело не к временной снабженческой скудости, а к полномасштабному кризису, фактически к развалу боевого снабжения фронта, который был преодолен страшным методом — сжиганием в топке сражений многих сотен тысяч человеческих жизней (15230).</w:t>
      </w:r>
    </w:p>
    <w:p w14:paraId="7B503546" w14:textId="77777777" w:rsidR="007066FE" w:rsidRPr="00405303" w:rsidRDefault="007066FE" w:rsidP="00C15251">
      <w:pPr>
        <w:pStyle w:val="20"/>
        <w:shd w:val="clear" w:color="auto" w:fill="auto"/>
        <w:spacing w:after="0" w:line="240" w:lineRule="auto"/>
        <w:ind w:firstLine="0"/>
        <w:jc w:val="both"/>
        <w:rPr>
          <w:rFonts w:ascii="Times New Roman" w:hAnsi="Times New Roman"/>
          <w:bCs/>
          <w:color w:val="002060"/>
          <w:spacing w:val="0"/>
          <w:sz w:val="16"/>
          <w:szCs w:val="16"/>
        </w:rPr>
      </w:pPr>
    </w:p>
    <w:p w14:paraId="36F35830" w14:textId="0DBE3CBB" w:rsidR="00AD2AA6" w:rsidRPr="00405303" w:rsidRDefault="00AD2AA6" w:rsidP="00C15251">
      <w:pPr>
        <w:shd w:val="clear" w:color="auto" w:fill="FFFFFF"/>
        <w:jc w:val="both"/>
        <w:rPr>
          <w:bCs/>
          <w:i/>
          <w:color w:val="002060"/>
          <w:sz w:val="16"/>
          <w:szCs w:val="16"/>
        </w:rPr>
      </w:pPr>
      <w:r w:rsidRPr="00405303">
        <w:rPr>
          <w:bCs/>
          <w:i/>
          <w:color w:val="002060"/>
          <w:sz w:val="16"/>
          <w:szCs w:val="16"/>
        </w:rPr>
        <w:t>За рубежом:</w:t>
      </w:r>
    </w:p>
    <w:p w14:paraId="308B012E" w14:textId="77777777" w:rsidR="00AD2AA6" w:rsidRPr="00405303" w:rsidRDefault="00AD2AA6" w:rsidP="00C15251">
      <w:pPr>
        <w:shd w:val="clear" w:color="auto" w:fill="FFFFFF"/>
        <w:jc w:val="both"/>
        <w:rPr>
          <w:bCs/>
          <w:i/>
          <w:color w:val="002060"/>
          <w:sz w:val="16"/>
          <w:szCs w:val="16"/>
        </w:rPr>
      </w:pPr>
    </w:p>
    <w:p w14:paraId="5953518B" w14:textId="31F591CD" w:rsidR="00AD2AA6" w:rsidRPr="00405303" w:rsidRDefault="00AD2AA6" w:rsidP="00C15251">
      <w:pPr>
        <w:pStyle w:val="ae"/>
        <w:spacing w:before="0" w:beforeAutospacing="0" w:after="0" w:afterAutospacing="0"/>
        <w:jc w:val="both"/>
        <w:rPr>
          <w:bCs/>
          <w:color w:val="002060"/>
          <w:sz w:val="16"/>
          <w:szCs w:val="16"/>
        </w:rPr>
      </w:pPr>
      <w:r w:rsidRPr="00405303">
        <w:rPr>
          <w:bCs/>
          <w:color w:val="002060"/>
          <w:sz w:val="16"/>
          <w:szCs w:val="16"/>
        </w:rPr>
        <w:t>В начале июля 1915 г. в рамках</w:t>
      </w:r>
      <w:r w:rsidR="00DB4D64" w:rsidRPr="00405303">
        <w:rPr>
          <w:bCs/>
          <w:color w:val="002060"/>
          <w:sz w:val="16"/>
          <w:szCs w:val="16"/>
        </w:rPr>
        <w:t xml:space="preserve"> </w:t>
      </w:r>
      <w:r w:rsidRPr="00405303">
        <w:rPr>
          <w:rStyle w:val="af"/>
          <w:rFonts w:eastAsia="Segoe UI"/>
          <w:bCs/>
          <w:color w:val="002060"/>
          <w:sz w:val="16"/>
          <w:szCs w:val="16"/>
        </w:rPr>
        <w:t>общего наступления Гинденбурга</w:t>
      </w:r>
      <w:r w:rsidRPr="00405303">
        <w:rPr>
          <w:bCs/>
          <w:color w:val="002060"/>
          <w:sz w:val="16"/>
          <w:szCs w:val="16"/>
        </w:rPr>
        <w:t xml:space="preserve"> против Осовца было </w:t>
      </w:r>
      <w:r w:rsidRPr="00405303">
        <w:rPr>
          <w:rStyle w:val="af"/>
          <w:rFonts w:eastAsia="Segoe UI"/>
          <w:bCs/>
          <w:color w:val="002060"/>
          <w:sz w:val="16"/>
          <w:szCs w:val="16"/>
        </w:rPr>
        <w:t>третье наступление. Н</w:t>
      </w:r>
      <w:r w:rsidRPr="00405303">
        <w:rPr>
          <w:bCs/>
          <w:color w:val="002060"/>
          <w:sz w:val="16"/>
          <w:szCs w:val="16"/>
        </w:rPr>
        <w:t>емцы сосредоточили 40 батальонов пехоты и 68 тяжелых осадных орудий, в числе которых было восемнадцать 305-мм и 420-мм мортир. Гарнизон крепости состоял из 27 батальонов. Все германские атаки были отбиты, тем не менее русское командование вынуждено было вывести гарнизон из крепости в рамках общего отхода войск с «польского выступа». Отход был завершен 22 августа 1915 г., все важнейшие объекты крепости (капониры, казармы, убежища, а также уникальная по инженерному замыслу бронебашня на Скобелевой горе) были взорваны. Немцы заняли Осовец 25 августа (20246).</w:t>
      </w:r>
    </w:p>
    <w:p w14:paraId="6C6C16E9" w14:textId="7101B93A" w:rsidR="00AD2AA6" w:rsidRPr="00405303" w:rsidRDefault="00AD2AA6" w:rsidP="00C15251">
      <w:pPr>
        <w:pStyle w:val="ae"/>
        <w:spacing w:before="0" w:beforeAutospacing="0" w:after="0" w:afterAutospacing="0"/>
        <w:jc w:val="both"/>
        <w:rPr>
          <w:bCs/>
          <w:color w:val="002060"/>
          <w:sz w:val="16"/>
          <w:szCs w:val="16"/>
        </w:rPr>
      </w:pPr>
    </w:p>
    <w:p w14:paraId="6A2BD590" w14:textId="5B365A16" w:rsidR="00511560" w:rsidRPr="00405303" w:rsidRDefault="00511560" w:rsidP="00C15251">
      <w:pPr>
        <w:pStyle w:val="ae"/>
        <w:spacing w:before="0" w:beforeAutospacing="0" w:after="0" w:afterAutospacing="0"/>
        <w:jc w:val="both"/>
        <w:rPr>
          <w:bCs/>
          <w:i/>
          <w:iCs/>
          <w:color w:val="002060"/>
          <w:sz w:val="16"/>
          <w:szCs w:val="16"/>
        </w:rPr>
      </w:pPr>
      <w:r w:rsidRPr="00405303">
        <w:rPr>
          <w:bCs/>
          <w:i/>
          <w:iCs/>
          <w:color w:val="002060"/>
          <w:sz w:val="16"/>
          <w:szCs w:val="16"/>
        </w:rPr>
        <w:t>Самолетостроение:</w:t>
      </w:r>
    </w:p>
    <w:p w14:paraId="3831CA38" w14:textId="77777777" w:rsidR="00511560" w:rsidRPr="00405303" w:rsidRDefault="00511560" w:rsidP="00C15251">
      <w:pPr>
        <w:pStyle w:val="ae"/>
        <w:spacing w:before="0" w:beforeAutospacing="0" w:after="0" w:afterAutospacing="0"/>
        <w:jc w:val="both"/>
        <w:rPr>
          <w:bCs/>
          <w:i/>
          <w:iCs/>
          <w:color w:val="002060"/>
          <w:sz w:val="16"/>
          <w:szCs w:val="16"/>
        </w:rPr>
      </w:pPr>
    </w:p>
    <w:p w14:paraId="36AA5EF9" w14:textId="77777777" w:rsidR="00511560" w:rsidRPr="00405303" w:rsidRDefault="00511560" w:rsidP="00C15251">
      <w:pPr>
        <w:jc w:val="both"/>
        <w:rPr>
          <w:bCs/>
          <w:color w:val="002060"/>
          <w:sz w:val="16"/>
          <w:szCs w:val="16"/>
        </w:rPr>
      </w:pPr>
      <w:r w:rsidRPr="00405303">
        <w:rPr>
          <w:bCs/>
          <w:color w:val="002060"/>
          <w:sz w:val="16"/>
          <w:szCs w:val="16"/>
        </w:rPr>
        <w:t>8-11 (21-24) июля 1915 г. Аэродинамическая лаборатория МВТУ произвела сравни</w:t>
      </w:r>
      <w:r w:rsidRPr="00405303">
        <w:rPr>
          <w:bCs/>
          <w:color w:val="002060"/>
          <w:sz w:val="16"/>
          <w:szCs w:val="16"/>
        </w:rPr>
        <w:softHyphen/>
        <w:t>тельные испытания воздушных винтов "НЕЖ" системы Н.Е.Жуковского и французских ”Интеграл” фирмы Шовьера, преимущественно применявшихся в нашей авиации. Испытания проводились летчиком С.В. Гулевичем и инженером В.П.Ветчинкиным на самолете Ньюпор-4 с мотором Гном 70 л.с. и выявили несомненное преимущество винтов ”НЕЖ" над французскими, что дало основание для производства винтов "НЕЖ" в мас</w:t>
      </w:r>
      <w:r w:rsidRPr="00405303">
        <w:rPr>
          <w:bCs/>
          <w:color w:val="002060"/>
          <w:sz w:val="16"/>
          <w:szCs w:val="16"/>
        </w:rPr>
        <w:softHyphen/>
        <w:t>совом порядке.</w:t>
      </w:r>
    </w:p>
    <w:p w14:paraId="410A479B" w14:textId="77777777" w:rsidR="00511560" w:rsidRPr="00405303" w:rsidRDefault="00511560" w:rsidP="00C15251">
      <w:pPr>
        <w:jc w:val="both"/>
        <w:rPr>
          <w:bCs/>
          <w:color w:val="002060"/>
          <w:sz w:val="16"/>
          <w:szCs w:val="16"/>
        </w:rPr>
      </w:pPr>
      <w:r w:rsidRPr="00405303">
        <w:rPr>
          <w:bCs/>
          <w:color w:val="002060"/>
          <w:sz w:val="16"/>
          <w:szCs w:val="16"/>
        </w:rPr>
        <w:t>/Труды "Летучей лаб оратории", 1918, выпуск 1/ (23320).</w:t>
      </w:r>
    </w:p>
    <w:p w14:paraId="4269D448" w14:textId="77777777" w:rsidR="00511560" w:rsidRPr="00405303" w:rsidRDefault="00511560" w:rsidP="00C15251">
      <w:pPr>
        <w:jc w:val="both"/>
        <w:rPr>
          <w:bCs/>
          <w:color w:val="002060"/>
          <w:sz w:val="16"/>
          <w:szCs w:val="16"/>
        </w:rPr>
      </w:pPr>
    </w:p>
    <w:p w14:paraId="4F18BC9C" w14:textId="77777777" w:rsidR="007066FE" w:rsidRPr="00405303" w:rsidRDefault="007066FE" w:rsidP="00C15251">
      <w:pPr>
        <w:jc w:val="both"/>
        <w:rPr>
          <w:bCs/>
          <w:i/>
          <w:color w:val="002060"/>
          <w:sz w:val="16"/>
          <w:szCs w:val="16"/>
        </w:rPr>
      </w:pPr>
      <w:r w:rsidRPr="00405303">
        <w:rPr>
          <w:bCs/>
          <w:i/>
          <w:color w:val="002060"/>
          <w:sz w:val="16"/>
          <w:szCs w:val="16"/>
        </w:rPr>
        <w:t>Другие оборонные отрасли:</w:t>
      </w:r>
    </w:p>
    <w:p w14:paraId="03088205" w14:textId="77777777" w:rsidR="007066FE" w:rsidRPr="00405303" w:rsidRDefault="007066FE" w:rsidP="00C15251">
      <w:pPr>
        <w:jc w:val="both"/>
        <w:rPr>
          <w:bCs/>
          <w:i/>
          <w:color w:val="002060"/>
          <w:sz w:val="16"/>
          <w:szCs w:val="16"/>
        </w:rPr>
      </w:pPr>
    </w:p>
    <w:p w14:paraId="7870A905" w14:textId="7CFA3897" w:rsidR="007066FE" w:rsidRPr="00405303" w:rsidRDefault="007066FE" w:rsidP="00C15251">
      <w:pPr>
        <w:jc w:val="both"/>
        <w:rPr>
          <w:bCs/>
          <w:color w:val="002060"/>
          <w:sz w:val="16"/>
          <w:szCs w:val="16"/>
        </w:rPr>
      </w:pPr>
      <w:r w:rsidRPr="00405303">
        <w:rPr>
          <w:bCs/>
          <w:color w:val="002060"/>
          <w:sz w:val="16"/>
          <w:szCs w:val="16"/>
        </w:rPr>
        <w:t xml:space="preserve">8 </w:t>
      </w:r>
      <w:r w:rsidR="00AD2AA6" w:rsidRPr="00405303">
        <w:rPr>
          <w:bCs/>
          <w:color w:val="002060"/>
          <w:sz w:val="16"/>
          <w:szCs w:val="16"/>
        </w:rPr>
        <w:t xml:space="preserve">(21) </w:t>
      </w:r>
      <w:r w:rsidRPr="00405303">
        <w:rPr>
          <w:bCs/>
          <w:color w:val="002060"/>
          <w:sz w:val="16"/>
          <w:szCs w:val="16"/>
        </w:rPr>
        <w:t>июля в 1915 году в состав Черноморского флота вошел первый в мире подводный минный заградитель «Краб», построенный на верфи Николаева по проекту конструктора М.П.Налетова и спущенный на воду 25 августа 1912 г. Во время Первой мировой войны в 1915–1916 гг. успешно проводил минные постановки в районе Босфора и Варны. Во время Гражданской войны потоплен интервентами вблизи Севастополя в 1919 г (14946).</w:t>
      </w:r>
    </w:p>
    <w:p w14:paraId="15110F4B" w14:textId="77777777" w:rsidR="007066FE" w:rsidRPr="00405303" w:rsidRDefault="007066FE" w:rsidP="00C15251">
      <w:pPr>
        <w:jc w:val="both"/>
        <w:rPr>
          <w:bCs/>
          <w:color w:val="002060"/>
          <w:sz w:val="16"/>
          <w:szCs w:val="16"/>
        </w:rPr>
      </w:pPr>
    </w:p>
    <w:p w14:paraId="571C0E82" w14:textId="77777777" w:rsidR="00AD2AA6" w:rsidRPr="00405303" w:rsidRDefault="00AD2AA6" w:rsidP="00C15251">
      <w:pPr>
        <w:pStyle w:val="ae"/>
        <w:spacing w:before="0" w:beforeAutospacing="0" w:after="0" w:afterAutospacing="0"/>
        <w:jc w:val="both"/>
        <w:rPr>
          <w:bCs/>
          <w:color w:val="002060"/>
          <w:sz w:val="16"/>
          <w:szCs w:val="16"/>
        </w:rPr>
      </w:pPr>
      <w:r w:rsidRPr="00405303">
        <w:rPr>
          <w:bCs/>
          <w:color w:val="002060"/>
          <w:sz w:val="16"/>
          <w:szCs w:val="16"/>
        </w:rPr>
        <w:t>8 (21) июля 1915 г. противогаз Горного института, разработанный летом 1915 г. в Горном институте (Санкт-Петербург) А. А. Трусевичем, был подвергнут испытаниям. Причем председателем комиссии был директор Горного института известный физико-химик профессор И. Ф. Шредер (1858-1918). Комиссией была констатирована значительная мощность этого прибора по отношению к хлору. В основу легли конструкции противогазов, ранее использовавшиеся в горноспасательном деле. Фильтр (коробка) противогаза соединялся с дыхательными путями посредством загубника, т. е. особо устроенного резинового мундштука с выступами, заходящими за губы и снабженными захватами для зубов (20246).</w:t>
      </w:r>
    </w:p>
    <w:p w14:paraId="6A656CDD" w14:textId="77777777" w:rsidR="00AD2AA6" w:rsidRPr="00405303" w:rsidRDefault="00AD2AA6" w:rsidP="00C15251">
      <w:pPr>
        <w:pStyle w:val="ae"/>
        <w:spacing w:before="0" w:beforeAutospacing="0" w:after="0" w:afterAutospacing="0"/>
        <w:jc w:val="both"/>
        <w:rPr>
          <w:bCs/>
          <w:color w:val="002060"/>
          <w:sz w:val="16"/>
          <w:szCs w:val="16"/>
        </w:rPr>
      </w:pPr>
    </w:p>
    <w:p w14:paraId="5C5C048C" w14:textId="7FC266D3" w:rsidR="003E679D" w:rsidRPr="00405303" w:rsidRDefault="003E679D" w:rsidP="00C15251">
      <w:pPr>
        <w:shd w:val="clear" w:color="auto" w:fill="FFFFFF"/>
        <w:jc w:val="both"/>
        <w:rPr>
          <w:bCs/>
          <w:i/>
          <w:color w:val="002060"/>
          <w:sz w:val="16"/>
          <w:szCs w:val="16"/>
        </w:rPr>
      </w:pPr>
      <w:r w:rsidRPr="00405303">
        <w:rPr>
          <w:bCs/>
          <w:i/>
          <w:color w:val="002060"/>
          <w:sz w:val="16"/>
          <w:szCs w:val="16"/>
        </w:rPr>
        <w:t>Авиация:</w:t>
      </w:r>
    </w:p>
    <w:p w14:paraId="6B1CCCB2" w14:textId="77777777" w:rsidR="003E679D" w:rsidRPr="00405303" w:rsidRDefault="003E679D" w:rsidP="00C15251">
      <w:pPr>
        <w:shd w:val="clear" w:color="auto" w:fill="FFFFFF"/>
        <w:jc w:val="both"/>
        <w:rPr>
          <w:bCs/>
          <w:i/>
          <w:color w:val="002060"/>
          <w:sz w:val="16"/>
          <w:szCs w:val="16"/>
        </w:rPr>
      </w:pPr>
    </w:p>
    <w:p w14:paraId="4AE5C86B" w14:textId="11B0213D" w:rsidR="003E679D" w:rsidRPr="00405303" w:rsidRDefault="003E679D" w:rsidP="00C15251">
      <w:pPr>
        <w:jc w:val="both"/>
        <w:rPr>
          <w:bCs/>
          <w:color w:val="002060"/>
          <w:sz w:val="16"/>
          <w:szCs w:val="16"/>
        </w:rPr>
      </w:pPr>
      <w:r w:rsidRPr="00405303">
        <w:rPr>
          <w:bCs/>
          <w:color w:val="002060"/>
          <w:sz w:val="16"/>
          <w:szCs w:val="16"/>
        </w:rPr>
        <w:t>В период 8-9 (21-22) июля 1915 г. неприятельские летчики бомбардировали тыловые учреждения наших войск, расположенных в г. Люблин, Холм, на ст. Малкина (23405).</w:t>
      </w:r>
    </w:p>
    <w:p w14:paraId="6C467F2B" w14:textId="77777777" w:rsidR="003E679D" w:rsidRPr="00405303" w:rsidRDefault="003E679D" w:rsidP="00C15251">
      <w:pPr>
        <w:jc w:val="both"/>
        <w:rPr>
          <w:bCs/>
          <w:color w:val="002060"/>
          <w:sz w:val="16"/>
          <w:szCs w:val="16"/>
        </w:rPr>
      </w:pPr>
    </w:p>
    <w:p w14:paraId="4A847EFF" w14:textId="512748B3"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5808D2CE" w14:textId="77777777" w:rsidR="004B4E35" w:rsidRPr="00405303" w:rsidRDefault="004B4E35" w:rsidP="00C15251">
      <w:pPr>
        <w:shd w:val="clear" w:color="auto" w:fill="FFFFFF"/>
        <w:jc w:val="both"/>
        <w:rPr>
          <w:bCs/>
          <w:i/>
          <w:color w:val="002060"/>
          <w:sz w:val="16"/>
          <w:szCs w:val="16"/>
        </w:rPr>
      </w:pPr>
    </w:p>
    <w:p w14:paraId="658BFE54" w14:textId="453E6357" w:rsidR="004B4E35" w:rsidRPr="00405303" w:rsidRDefault="00AD2AA6" w:rsidP="00C15251">
      <w:pPr>
        <w:jc w:val="both"/>
        <w:rPr>
          <w:bCs/>
          <w:color w:val="002060"/>
          <w:sz w:val="16"/>
          <w:szCs w:val="16"/>
        </w:rPr>
      </w:pPr>
      <w:r w:rsidRPr="00405303">
        <w:rPr>
          <w:bCs/>
          <w:color w:val="002060"/>
          <w:sz w:val="16"/>
          <w:szCs w:val="16"/>
        </w:rPr>
        <w:t>8 (</w:t>
      </w:r>
      <w:r w:rsidR="009E6F82" w:rsidRPr="00405303">
        <w:rPr>
          <w:bCs/>
          <w:color w:val="002060"/>
          <w:sz w:val="16"/>
          <w:szCs w:val="16"/>
        </w:rPr>
        <w:t xml:space="preserve">21 июля (н.с.) 1915 </w:t>
      </w:r>
      <w:proofErr w:type="gramStart"/>
      <w:r w:rsidR="009E6F82" w:rsidRPr="00405303">
        <w:rPr>
          <w:bCs/>
          <w:color w:val="002060"/>
          <w:sz w:val="16"/>
          <w:szCs w:val="16"/>
        </w:rPr>
        <w:t>г.</w:t>
      </w:r>
      <w:r w:rsidR="00E533F5" w:rsidRPr="00405303">
        <w:rPr>
          <w:bCs/>
          <w:color w:val="002060"/>
          <w:sz w:val="16"/>
          <w:szCs w:val="16"/>
        </w:rPr>
        <w:t xml:space="preserve"> ,</w:t>
      </w:r>
      <w:proofErr w:type="gramEnd"/>
      <w:r w:rsidR="00E533F5" w:rsidRPr="00405303">
        <w:rPr>
          <w:bCs/>
          <w:color w:val="002060"/>
          <w:sz w:val="16"/>
          <w:szCs w:val="16"/>
        </w:rPr>
        <w:t xml:space="preserve"> как следует из отчётов,</w:t>
      </w:r>
      <w:r w:rsidR="009E6F82" w:rsidRPr="00405303">
        <w:rPr>
          <w:bCs/>
          <w:color w:val="002060"/>
          <w:sz w:val="16"/>
          <w:szCs w:val="16"/>
        </w:rPr>
        <w:t xml:space="preserve"> </w:t>
      </w:r>
      <w:r w:rsidR="00E533F5" w:rsidRPr="00405303">
        <w:rPr>
          <w:bCs/>
          <w:color w:val="002060"/>
          <w:sz w:val="16"/>
          <w:szCs w:val="16"/>
        </w:rPr>
        <w:t xml:space="preserve">состоялся первый "воздушный бой" на Балтике. </w:t>
      </w:r>
      <w:r w:rsidR="009E6F82" w:rsidRPr="00405303">
        <w:rPr>
          <w:bCs/>
          <w:color w:val="002060"/>
          <w:sz w:val="16"/>
          <w:szCs w:val="16"/>
        </w:rPr>
        <w:t>Конечно, это не совсем воздушный бой. Воздушным боем принято считать вооружённое противоборство летательных аппаратов, сочетающих огонь бортового оружия и маневр для уничтожения противнике или отражения его атак. Но поскольку личное оружие типа карабина и пистолета "Маузер" никак не могут считаться бортовым оружием, то есть вооружением самолёта, то уместнее считать имевший место воздушный инцидент, как боевое столкновение. Только следуя традициям, подобные эпизоды всё же будем называть "боями".</w:t>
      </w:r>
    </w:p>
    <w:p w14:paraId="46A8C005" w14:textId="77777777" w:rsidR="004B4E35" w:rsidRPr="00405303" w:rsidRDefault="009E6F82" w:rsidP="00C15251">
      <w:pPr>
        <w:jc w:val="both"/>
        <w:rPr>
          <w:bCs/>
          <w:color w:val="002060"/>
          <w:sz w:val="16"/>
          <w:szCs w:val="16"/>
        </w:rPr>
      </w:pPr>
      <w:r w:rsidRPr="00405303">
        <w:rPr>
          <w:bCs/>
          <w:color w:val="002060"/>
          <w:sz w:val="16"/>
          <w:szCs w:val="16"/>
        </w:rPr>
        <w:t>Обстоятельства боя были следующими. Утром 21 июля у о. Эзель появились немецкие самолёты Фридрихсгафен ("Альбатрос" FF) с бортовыми номерами 270 и 292. Два русских самолёта "ФБА" с бортовыми номерами 4 (лейтенанта Яншина) и 8 (лейтенанта Зверева) вылетели на перехват. Из-зо неисправности двигателя Зверев вынужден был задание прекратить и Лишин остался один.</w:t>
      </w:r>
    </w:p>
    <w:p w14:paraId="52DB620C" w14:textId="77777777" w:rsidR="004B4E35" w:rsidRPr="00405303" w:rsidRDefault="009E6F82" w:rsidP="00C15251">
      <w:pPr>
        <w:jc w:val="both"/>
        <w:rPr>
          <w:bCs/>
          <w:color w:val="002060"/>
          <w:sz w:val="16"/>
          <w:szCs w:val="16"/>
        </w:rPr>
      </w:pPr>
      <w:r w:rsidRPr="00405303">
        <w:rPr>
          <w:bCs/>
          <w:color w:val="002060"/>
          <w:sz w:val="16"/>
          <w:szCs w:val="16"/>
        </w:rPr>
        <w:t>Из рапорта лейтенанта Яншина начальнику 2-й авиационной станции о воздушном бое в районе Лизерорта: "Доношу вашему высокоблагородию, что сего числа в 5 ч. 35 мин. утра я был около палаток и услышал шум мотора и вслед за тем увидел неприятельский аппарат, в 5 ч. 40 мин. я с у.н- тер-офииером Смолиным поднялся но аппарате ФБА, имея при себе трёхлинейный карабин и пистолет "Маузера". Поднявшись на высоту 500 метров, я заметил ещё один аппарат и пошёл на них, забирая высоту. На 1550 м я разошёлся с одним из аппаратов, обмениваясь выстрелами. Механик Смолин стрелял из карабина, а я из пистолета. Неприятельский аппарат старался пройти над миноносцем, о я ему мешал в этом. Разойдясь, мы развернулись и встретились опять, стреляя друг в друга. В это время ко мне направился и второй аппарат. После перестрелки неприятельский аппарат позернул круто направо, качнулся вправо и налево несколько раз и, снижаясь немного, пошёл к берегу, к маяку Михайловскому, о затем вдоль берега и скрылся со снижением в облаках. И тогда я повернул на второго и разошёлся с ним на 80 - 100 м. После перестрелки аппарат ушёл к берегу, я за ним и, дойдя до маяка Михайловский, пошёл назад, так как мотор начал "чихать". Когда я поверну л, неприятель пошёл опять ко мне, а затем в море. Я лёг на переменный курс и увидал в море нашу подлодку, к которой неприятель повернул тоже. Я начал сближаться с ним и сойдясь, открыл огонь. После короткой стрельбы аппара г пошёл на Лизерорт, я за ним и, пройдя около 5 минут зо ним и видя, что его нагнать не могу, пошёл домой, так как мотор опять начал работать хуже. Всего в воздухе был 57 минут, наибольшая высота 1550 м. Унтер-офицер Смолин вёл себя выше всяких похвал. У аппарата крыло прострелено в двух местах и легко тронут винт, но аппарат через полчаса после его прилёта был опять готов к полёту".</w:t>
      </w:r>
    </w:p>
    <w:p w14:paraId="454D4538" w14:textId="77777777" w:rsidR="004B4E35" w:rsidRPr="00405303" w:rsidRDefault="009E6F82" w:rsidP="00C15251">
      <w:pPr>
        <w:jc w:val="both"/>
        <w:rPr>
          <w:bCs/>
          <w:color w:val="002060"/>
          <w:sz w:val="16"/>
          <w:szCs w:val="16"/>
        </w:rPr>
      </w:pPr>
      <w:r w:rsidRPr="00405303">
        <w:rPr>
          <w:bCs/>
          <w:color w:val="002060"/>
          <w:sz w:val="16"/>
          <w:szCs w:val="16"/>
        </w:rPr>
        <w:t>Этот же эпизод в изложении известного знатока истории российского императорского флота и авиации Б.В. Драшпиля, к сожалению ныне покойного, представлен в следующем виде:</w:t>
      </w:r>
    </w:p>
    <w:p w14:paraId="40654D89" w14:textId="77777777" w:rsidR="004B4E35" w:rsidRPr="00405303" w:rsidRDefault="009E6F82" w:rsidP="00C15251">
      <w:pPr>
        <w:jc w:val="both"/>
        <w:rPr>
          <w:bCs/>
          <w:color w:val="002060"/>
          <w:sz w:val="16"/>
          <w:szCs w:val="16"/>
        </w:rPr>
      </w:pPr>
      <w:r w:rsidRPr="00405303">
        <w:rPr>
          <w:bCs/>
          <w:color w:val="002060"/>
          <w:sz w:val="16"/>
          <w:szCs w:val="16"/>
        </w:rPr>
        <w:t xml:space="preserve">"Утром 20-го, в 3 часа (?), были замечены 2 немецких аппарата, летевшие к Михайловскому маяку. Летчики Лишин и Зверев поднялись им навстречу. Литвинов и </w:t>
      </w:r>
      <w:proofErr w:type="gramStart"/>
      <w:r w:rsidRPr="00405303">
        <w:rPr>
          <w:bCs/>
          <w:color w:val="002060"/>
          <w:sz w:val="16"/>
          <w:szCs w:val="16"/>
        </w:rPr>
        <w:t>Краевс- кий</w:t>
      </w:r>
      <w:proofErr w:type="gramEnd"/>
      <w:r w:rsidRPr="00405303">
        <w:rPr>
          <w:bCs/>
          <w:color w:val="002060"/>
          <w:sz w:val="16"/>
          <w:szCs w:val="16"/>
        </w:rPr>
        <w:t xml:space="preserve"> не могли завести моторы своих аппаратов. Мотор Зверева сдал, и он сел на воду, после чего его взял на буксир миноносец. Оставшись один, Лишин атаковал "Альбатрос" немца, летевшего к "Москвитянину", стреляя из маузера, о его механик - из карабина. Немец был очевидно подбит и, снижаясь, пошел к берегу. </w:t>
      </w:r>
      <w:r w:rsidRPr="00405303">
        <w:rPr>
          <w:bCs/>
          <w:color w:val="002060"/>
          <w:sz w:val="16"/>
          <w:szCs w:val="16"/>
        </w:rPr>
        <w:lastRenderedPageBreak/>
        <w:t>Другой аппарат противника после короткой перестрелки, последовал за товарищем. Заметив входящую в Ирбенский пролив ношу подводную лодку, он переменил курс, и Лишин, видя это, несмотря на мотор, дававший перебои, пошел навстречу неллцу и, после короткого боя, заставил его повернуть на Виндаву".</w:t>
      </w:r>
    </w:p>
    <w:p w14:paraId="095C5298" w14:textId="77777777" w:rsidR="004B4E35" w:rsidRPr="00405303" w:rsidRDefault="009E6F82" w:rsidP="00C15251">
      <w:pPr>
        <w:jc w:val="both"/>
        <w:rPr>
          <w:bCs/>
          <w:color w:val="002060"/>
          <w:sz w:val="16"/>
          <w:szCs w:val="16"/>
        </w:rPr>
      </w:pPr>
      <w:r w:rsidRPr="00405303">
        <w:rPr>
          <w:bCs/>
          <w:color w:val="002060"/>
          <w:sz w:val="16"/>
          <w:szCs w:val="16"/>
        </w:rPr>
        <w:t xml:space="preserve">В тот день предпринималась также попытка перехаатить цеппелин, следовавший по направлению к Ирбеню. Вылетели Литвинов, Лишин и Краевский. Отстреливаясь из двух пушек, дирижабль повернул на север. Взлетевший с аэродрома Киль- конд Нагурский принудил его </w:t>
      </w:r>
      <w:proofErr w:type="gramStart"/>
      <w:r w:rsidRPr="00405303">
        <w:rPr>
          <w:bCs/>
          <w:color w:val="002060"/>
          <w:sz w:val="16"/>
          <w:szCs w:val="16"/>
        </w:rPr>
        <w:t>повернуть</w:t>
      </w:r>
      <w:proofErr w:type="gramEnd"/>
      <w:r w:rsidRPr="00405303">
        <w:rPr>
          <w:bCs/>
          <w:color w:val="002060"/>
          <w:sz w:val="16"/>
          <w:szCs w:val="16"/>
        </w:rPr>
        <w:t xml:space="preserve"> но юг. Однако преследование дирижабля организовать не удалось, так как он имел преимущество в скорости (11927).</w:t>
      </w:r>
    </w:p>
    <w:p w14:paraId="35D9522F" w14:textId="77777777" w:rsidR="004B4E35" w:rsidRPr="00405303" w:rsidRDefault="004B4E35" w:rsidP="00C15251">
      <w:pPr>
        <w:jc w:val="both"/>
        <w:rPr>
          <w:bCs/>
          <w:color w:val="002060"/>
          <w:sz w:val="16"/>
          <w:szCs w:val="16"/>
        </w:rPr>
      </w:pPr>
    </w:p>
    <w:p w14:paraId="6D329B0E" w14:textId="77777777" w:rsidR="00230F99" w:rsidRPr="00405303" w:rsidRDefault="00230F99" w:rsidP="00C15251">
      <w:pPr>
        <w:jc w:val="both"/>
        <w:rPr>
          <w:bCs/>
          <w:i/>
          <w:color w:val="002060"/>
          <w:sz w:val="16"/>
          <w:szCs w:val="16"/>
        </w:rPr>
      </w:pPr>
      <w:r w:rsidRPr="00405303">
        <w:rPr>
          <w:bCs/>
          <w:i/>
          <w:color w:val="002060"/>
          <w:sz w:val="16"/>
          <w:szCs w:val="16"/>
        </w:rPr>
        <w:t>За рубежом:</w:t>
      </w:r>
    </w:p>
    <w:p w14:paraId="49735AF3" w14:textId="77777777" w:rsidR="00230F99" w:rsidRPr="00405303" w:rsidRDefault="00230F99" w:rsidP="00C15251">
      <w:pPr>
        <w:jc w:val="both"/>
        <w:rPr>
          <w:bCs/>
          <w:color w:val="002060"/>
          <w:sz w:val="16"/>
          <w:szCs w:val="16"/>
        </w:rPr>
      </w:pPr>
    </w:p>
    <w:p w14:paraId="697507A6" w14:textId="77777777" w:rsidR="00230F99" w:rsidRPr="00405303" w:rsidRDefault="00230F99" w:rsidP="00C15251">
      <w:pPr>
        <w:jc w:val="both"/>
        <w:rPr>
          <w:bCs/>
          <w:color w:val="002060"/>
          <w:sz w:val="16"/>
          <w:szCs w:val="16"/>
        </w:rPr>
      </w:pPr>
      <w:r w:rsidRPr="00405303">
        <w:rPr>
          <w:bCs/>
          <w:color w:val="002060"/>
          <w:sz w:val="16"/>
          <w:szCs w:val="16"/>
        </w:rPr>
        <w:t>8 (21) июля в 1915 году вечером в море вышел малый угольщик «Prince Charles», которым командовал лейтенант Уордлоу. Кроме обычной команды, на нем находились 9 матросов королевского флота. Корабль был вооружен одним 76 мм и 51 мм орудиями. Заданием военного судна было осуществление крейсерства в районе острова Порт Рона, где в последнее время стали часто появляться германские лодки. 24 июля в 18:20 с судна-ловушки «Prince Charles» заметили дрейфующее судно. Это был датский пароход «Луизе». Через 15 минут экипаж судна заметил подводную лодку, находившуюся неподалеку. Капитан корабля ничего не предпринимал, делая вид, что не видит лодку, и продолжал следовать прежним курсом. Однако артиллеристы заняли места согласно боевому расчету, а «паническая партия» собралась на палубе. Немецкая лодка «U-36» оставила датский пароход и направилась навстречу судну «Prince Charles». Около 19:00 дистанция между кораблями сократилась до 1000 метров. После чего с лодки был произведен выстрел. Капитан корабля приказала застопорить ход. Снаряд пролетел над мачтами, и экипаж судна поднял торговый флаг и застопорил машины. Команда начала лихорадочно спускать спасательные шлюпки, изображая поведение перепуганных людей. Второй снаряд пролетел между дымовой трубой и фок-мачтой. Когда дистанция сократилась до 600 метров, субмарина развернулась бортом и открыла огонь на поражение. Уордлоу должен был принять роковое решение: продолжать изображать жертву или дать отпор. Так как немцы явно не собирались приближаться, он выбрал второе. На мачте корабля взвился флаг Святого Георгия. Из левого орудия раздался первый залп. Эффект был потрясающим. Артиллеристы-подводники в панике бросили орудие и стремительно бросились в рубку. В это время снаряд судна-ловушки «Prince Charles» угодил в корпус лодки примерно в 5 метрах от руля. Субмарина развернулась вторым бортом и попыталась погрузиться под воду, но было уже поздно. Военное судно пошло на сближение, ведя артиллерийский огонь, и добиваясь нескольких точных попаданий. Лодка сильно накренилась, и ее команда начала выбегать на палубу. Вскоре субмарина скрылась под водой, а пароход «Prince Charles» сумел подобрать лишь 15 человек из 33. В результате проведения следствия со спасшимися подводниками выяснилось, что лодка «U-36» за время похода успела затопить 8 траулеров и один пароход (14959).</w:t>
      </w:r>
    </w:p>
    <w:p w14:paraId="49B3504F" w14:textId="77777777" w:rsidR="00230F99" w:rsidRPr="00405303" w:rsidRDefault="00230F99" w:rsidP="00C15251">
      <w:pPr>
        <w:jc w:val="both"/>
        <w:rPr>
          <w:bCs/>
          <w:color w:val="002060"/>
          <w:sz w:val="16"/>
          <w:szCs w:val="16"/>
        </w:rPr>
      </w:pPr>
    </w:p>
    <w:p w14:paraId="7F1CBAD7"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0C38C9A3" w14:textId="77777777" w:rsidR="004B4E35" w:rsidRPr="00405303" w:rsidRDefault="004B4E35" w:rsidP="00C15251">
      <w:pPr>
        <w:shd w:val="clear" w:color="auto" w:fill="FFFFFF"/>
        <w:jc w:val="both"/>
        <w:rPr>
          <w:bCs/>
          <w:i/>
          <w:color w:val="002060"/>
          <w:sz w:val="16"/>
          <w:szCs w:val="16"/>
        </w:rPr>
      </w:pPr>
    </w:p>
    <w:p w14:paraId="7744BEA0" w14:textId="107076DA" w:rsidR="004B4E35" w:rsidRPr="00405303" w:rsidRDefault="009E6F82" w:rsidP="00C15251">
      <w:pPr>
        <w:shd w:val="clear" w:color="auto" w:fill="FFFFFF"/>
        <w:jc w:val="both"/>
        <w:rPr>
          <w:bCs/>
          <w:color w:val="002060"/>
          <w:sz w:val="16"/>
          <w:szCs w:val="16"/>
        </w:rPr>
      </w:pPr>
      <w:r w:rsidRPr="00405303">
        <w:rPr>
          <w:bCs/>
          <w:color w:val="002060"/>
          <w:sz w:val="16"/>
          <w:szCs w:val="16"/>
        </w:rPr>
        <w:t>9 (21) июля 1915</w:t>
      </w:r>
      <w:r w:rsidR="00E533F5" w:rsidRPr="00405303">
        <w:rPr>
          <w:bCs/>
          <w:color w:val="002060"/>
          <w:sz w:val="16"/>
          <w:szCs w:val="16"/>
        </w:rPr>
        <w:t xml:space="preserve"> Виллишем датирована подробная характеристика аппарата ВМ—1, то есть Виллиш Морской — 1 и</w:t>
      </w:r>
      <w:r w:rsidRPr="00405303">
        <w:rPr>
          <w:bCs/>
          <w:color w:val="002060"/>
          <w:sz w:val="16"/>
          <w:szCs w:val="16"/>
        </w:rPr>
        <w:t xml:space="preserve"> 11 </w:t>
      </w:r>
      <w:r w:rsidR="00E533F5" w:rsidRPr="00405303">
        <w:rPr>
          <w:bCs/>
          <w:color w:val="002060"/>
          <w:sz w:val="16"/>
          <w:szCs w:val="16"/>
        </w:rPr>
        <w:t xml:space="preserve">она </w:t>
      </w:r>
      <w:r w:rsidRPr="00405303">
        <w:rPr>
          <w:bCs/>
          <w:color w:val="002060"/>
          <w:sz w:val="16"/>
          <w:szCs w:val="16"/>
        </w:rPr>
        <w:t>была пред</w:t>
      </w:r>
      <w:r w:rsidRPr="00405303">
        <w:rPr>
          <w:bCs/>
          <w:color w:val="002060"/>
          <w:sz w:val="16"/>
          <w:szCs w:val="16"/>
        </w:rPr>
        <w:softHyphen/>
        <w:t>ставлена Ф.В. Эбергардом в Морской генеральный штаб (МГШ) вместе с предложением о постройке опытного экземпляра стоимостью 9.500 руб. Производитель обещал изготовить аэроплан в течение 6 недель или около того, а в ходе приемных испытаний машине пред</w:t>
      </w:r>
      <w:r w:rsidRPr="00405303">
        <w:rPr>
          <w:bCs/>
          <w:color w:val="002060"/>
          <w:sz w:val="16"/>
          <w:szCs w:val="16"/>
        </w:rPr>
        <w:softHyphen/>
        <w:t>стояло показать скорость порядка 100-110 км/час и достигнуть с нагрузкой 350 кг высоты 1000 м за 10 минут. Виллиш и Эбергард рассчитывали на успех в случае доставки Морским ведомством мотора "Гном-Моносупап" 100 л.с., а также просили о назначении офицера, на</w:t>
      </w:r>
      <w:r w:rsidRPr="00405303">
        <w:rPr>
          <w:bCs/>
          <w:color w:val="002060"/>
          <w:sz w:val="16"/>
          <w:szCs w:val="16"/>
        </w:rPr>
        <w:softHyphen/>
        <w:t>блюдавшего бы за сборкой летающей лодки (2843).</w:t>
      </w:r>
    </w:p>
    <w:p w14:paraId="2351E940" w14:textId="77777777" w:rsidR="004B4E35" w:rsidRPr="00405303" w:rsidRDefault="004B4E35" w:rsidP="00C15251">
      <w:pPr>
        <w:shd w:val="clear" w:color="auto" w:fill="FFFFFF"/>
        <w:jc w:val="both"/>
        <w:rPr>
          <w:bCs/>
          <w:color w:val="002060"/>
          <w:sz w:val="16"/>
          <w:szCs w:val="16"/>
        </w:rPr>
      </w:pPr>
    </w:p>
    <w:p w14:paraId="186E101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9-11 (22-24) июля 1915 Аэродинамическая лаборатория МВТУ произвела сравнительные испытания воздушных винтов "НЕЖ" системы Н.Е.Жуковского и французских "Интеграл" фирмы Шовьера, преиму</w:t>
      </w:r>
      <w:r w:rsidRPr="00405303">
        <w:rPr>
          <w:bCs/>
          <w:color w:val="002060"/>
          <w:sz w:val="16"/>
          <w:szCs w:val="16"/>
        </w:rPr>
        <w:softHyphen/>
        <w:t xml:space="preserve">щественно применявшихся в нашей авиации, испытания проводились летчиком С.В.Гулевичем и инженером В.П.Ветчинкиным на самолете "Ньюпор-4" с двигателем Гном в 80 л.с. и выявили несомненное преимущество винтов "НЕЕ" над французскими. Это дало оонование для производства винтов "НЕЖ" в массовом порядке </w:t>
      </w:r>
      <w:proofErr w:type="gramStart"/>
      <w:r w:rsidRPr="00405303">
        <w:rPr>
          <w:bCs/>
          <w:color w:val="002060"/>
          <w:sz w:val="16"/>
          <w:szCs w:val="16"/>
        </w:rPr>
        <w:t>( Труды</w:t>
      </w:r>
      <w:proofErr w:type="gramEnd"/>
      <w:r w:rsidRPr="00405303">
        <w:rPr>
          <w:bCs/>
          <w:color w:val="002060"/>
          <w:sz w:val="16"/>
          <w:szCs w:val="16"/>
        </w:rPr>
        <w:t xml:space="preserve"> "Летучей лаборатории". 1918, выпуск I).</w:t>
      </w:r>
    </w:p>
    <w:p w14:paraId="516C4C5F" w14:textId="77777777" w:rsidR="004B4E35" w:rsidRPr="00405303" w:rsidRDefault="004B4E35" w:rsidP="00C15251">
      <w:pPr>
        <w:shd w:val="clear" w:color="auto" w:fill="FFFFFF"/>
        <w:jc w:val="both"/>
        <w:rPr>
          <w:bCs/>
          <w:color w:val="002060"/>
          <w:sz w:val="16"/>
          <w:szCs w:val="16"/>
        </w:rPr>
      </w:pPr>
    </w:p>
    <w:p w14:paraId="42BAC8AE"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12B191D5" w14:textId="77777777" w:rsidR="004B4E35" w:rsidRPr="00405303" w:rsidRDefault="004B4E35" w:rsidP="00C15251">
      <w:pPr>
        <w:shd w:val="clear" w:color="auto" w:fill="FFFFFF"/>
        <w:jc w:val="both"/>
        <w:rPr>
          <w:bCs/>
          <w:i/>
          <w:color w:val="002060"/>
          <w:sz w:val="16"/>
          <w:szCs w:val="16"/>
        </w:rPr>
      </w:pPr>
    </w:p>
    <w:p w14:paraId="41344AF5" w14:textId="7D6311CD" w:rsidR="004B4E35" w:rsidRPr="00405303" w:rsidRDefault="009E6F82" w:rsidP="00C15251">
      <w:pPr>
        <w:jc w:val="both"/>
        <w:rPr>
          <w:bCs/>
          <w:color w:val="002060"/>
          <w:sz w:val="16"/>
          <w:szCs w:val="16"/>
        </w:rPr>
      </w:pPr>
      <w:r w:rsidRPr="00405303">
        <w:rPr>
          <w:bCs/>
          <w:color w:val="002060"/>
          <w:sz w:val="16"/>
          <w:szCs w:val="16"/>
        </w:rPr>
        <w:t xml:space="preserve">9-11 (22-24) июля </w:t>
      </w:r>
      <w:r w:rsidR="00E533F5" w:rsidRPr="00405303">
        <w:rPr>
          <w:bCs/>
          <w:color w:val="002060"/>
          <w:sz w:val="16"/>
          <w:szCs w:val="16"/>
        </w:rPr>
        <w:t xml:space="preserve">1915 г. </w:t>
      </w:r>
      <w:r w:rsidRPr="00405303">
        <w:rPr>
          <w:bCs/>
          <w:color w:val="002060"/>
          <w:sz w:val="16"/>
          <w:szCs w:val="16"/>
        </w:rPr>
        <w:t>пары аэропланов атаковали вокзалы и гвардейские казармы</w:t>
      </w:r>
      <w:r w:rsidR="00E533F5" w:rsidRPr="00405303">
        <w:rPr>
          <w:bCs/>
          <w:color w:val="002060"/>
          <w:sz w:val="16"/>
          <w:szCs w:val="16"/>
        </w:rPr>
        <w:t xml:space="preserve"> Варшавы</w:t>
      </w:r>
      <w:r w:rsidRPr="00405303">
        <w:rPr>
          <w:bCs/>
          <w:color w:val="002060"/>
          <w:sz w:val="16"/>
          <w:szCs w:val="16"/>
        </w:rPr>
        <w:t>, но большого эффекта не достигли, а 11-го (24-го) даже были отогнаны артогнем и не сбросили бомбы.</w:t>
      </w:r>
    </w:p>
    <w:p w14:paraId="0E2C63C9" w14:textId="77777777" w:rsidR="004B4E35" w:rsidRPr="00405303" w:rsidRDefault="009E6F82" w:rsidP="00C15251">
      <w:pPr>
        <w:jc w:val="both"/>
        <w:rPr>
          <w:bCs/>
          <w:color w:val="002060"/>
          <w:sz w:val="16"/>
          <w:szCs w:val="16"/>
        </w:rPr>
      </w:pPr>
      <w:r w:rsidRPr="00405303">
        <w:rPr>
          <w:bCs/>
          <w:color w:val="002060"/>
          <w:sz w:val="16"/>
          <w:szCs w:val="16"/>
        </w:rPr>
        <w:t>Это были последние зафиксированные гражданскими властями и штабом крепостной артиллерии налеты противника на Варшаву. 11 (24) июля 1915 года главнокомандующий разрешил генерал-губернатору и его управлению покинуть город, а командующему 2-й армией генералу от инфантерии В.В. Смирнову приказал «...произвести эвакуацию цитадели и всех еще оставшихся военных и гражданских учреждений Варшавы» и взорвать мосты через Вислу. Эвакуация крепостной артиллерии проводилась 13 (26)-18(31) июля; покинули город и четыре противоаэропланные батареи.</w:t>
      </w:r>
    </w:p>
    <w:p w14:paraId="57FCD422" w14:textId="77777777" w:rsidR="004B4E35" w:rsidRPr="00405303" w:rsidRDefault="004B4E35" w:rsidP="00C15251">
      <w:pPr>
        <w:jc w:val="both"/>
        <w:rPr>
          <w:bCs/>
          <w:i/>
          <w:color w:val="002060"/>
          <w:sz w:val="16"/>
          <w:szCs w:val="16"/>
        </w:rPr>
      </w:pPr>
    </w:p>
    <w:p w14:paraId="23CD41B1" w14:textId="744D724B" w:rsidR="003E679D" w:rsidRPr="00405303" w:rsidRDefault="003E679D" w:rsidP="00C15251">
      <w:pPr>
        <w:jc w:val="both"/>
        <w:rPr>
          <w:bCs/>
          <w:color w:val="002060"/>
          <w:sz w:val="16"/>
          <w:szCs w:val="16"/>
        </w:rPr>
      </w:pPr>
      <w:r w:rsidRPr="00405303">
        <w:rPr>
          <w:bCs/>
          <w:color w:val="002060"/>
          <w:sz w:val="16"/>
          <w:szCs w:val="16"/>
        </w:rPr>
        <w:t>9 (22) июля 1915 г. над д. Дрвалы (Мазовецкое воеводство, царство Польское) в воздухе взорвался немецкий самолет. По-видимому, на борту аппарата произошла детонация перевозимых бомб. В результате неприятельский самолет развалился на четыре части. Летчик умер от полученных ожогов. В районе долины р. Писса нашими подразделения был захвачен немецкий аэроплан, поступивший позднее на вооружение русской авиации (23405).</w:t>
      </w:r>
    </w:p>
    <w:p w14:paraId="145DF799" w14:textId="77777777" w:rsidR="003E679D" w:rsidRPr="00405303" w:rsidRDefault="003E679D" w:rsidP="00C15251">
      <w:pPr>
        <w:jc w:val="both"/>
        <w:rPr>
          <w:bCs/>
          <w:color w:val="002060"/>
          <w:sz w:val="16"/>
          <w:szCs w:val="16"/>
        </w:rPr>
      </w:pPr>
    </w:p>
    <w:p w14:paraId="0996FE1C" w14:textId="77777777" w:rsidR="009E58A2" w:rsidRPr="00405303" w:rsidRDefault="009E58A2" w:rsidP="009E58A2">
      <w:pPr>
        <w:widowControl w:val="0"/>
        <w:tabs>
          <w:tab w:val="left" w:pos="730"/>
        </w:tabs>
        <w:jc w:val="both"/>
        <w:rPr>
          <w:color w:val="0070C0"/>
          <w:sz w:val="16"/>
          <w:szCs w:val="16"/>
        </w:rPr>
      </w:pPr>
      <w:r w:rsidRPr="00405303">
        <w:rPr>
          <w:rStyle w:val="aa"/>
          <w:rFonts w:ascii="Times New Roman" w:hAnsi="Times New Roman"/>
          <w:color w:val="0070C0"/>
          <w:spacing w:val="0"/>
          <w:sz w:val="16"/>
          <w:szCs w:val="16"/>
        </w:rPr>
        <w:t>9 (22) июля 1915 г. летательный аппарат типа «Таубе» провел бомбардировку жилых кварталов Митавы (сброшено 5 бомб), в результате которой убит один прохожий. Отмечено также появление германской авиации над г. Рига, что вызвало большую сенсацию среди местных жителей. Это стало первым появлением немецкого самолета в небе города. По словам очевидцев, «народ высыпался на улицы и любовался невиданным зрелищем. Сброшено две бомбы. Жертв нет. Аэроплан продержался над Ригой минут 15, а затем скрылся» (25135).</w:t>
      </w:r>
    </w:p>
    <w:p w14:paraId="009F3E62" w14:textId="77777777" w:rsidR="009E58A2" w:rsidRPr="00405303" w:rsidRDefault="009E58A2" w:rsidP="009E58A2">
      <w:pPr>
        <w:jc w:val="both"/>
        <w:rPr>
          <w:rStyle w:val="aa"/>
          <w:rFonts w:ascii="Times New Roman" w:hAnsi="Times New Roman"/>
          <w:color w:val="0070C0"/>
          <w:spacing w:val="0"/>
          <w:sz w:val="16"/>
          <w:szCs w:val="16"/>
        </w:rPr>
      </w:pPr>
    </w:p>
    <w:p w14:paraId="7828F0A4" w14:textId="77777777" w:rsidR="009E58A2" w:rsidRPr="00405303" w:rsidRDefault="009E58A2" w:rsidP="009E58A2">
      <w:pPr>
        <w:jc w:val="both"/>
        <w:rPr>
          <w:color w:val="0070C0"/>
          <w:sz w:val="16"/>
          <w:szCs w:val="16"/>
        </w:rPr>
      </w:pPr>
      <w:r w:rsidRPr="00405303">
        <w:rPr>
          <w:rStyle w:val="aa"/>
          <w:rFonts w:ascii="Times New Roman" w:hAnsi="Times New Roman"/>
          <w:color w:val="0070C0"/>
          <w:spacing w:val="0"/>
          <w:sz w:val="16"/>
          <w:szCs w:val="16"/>
        </w:rPr>
        <w:t>9 (22) июля 1915 г. артиллерия сбила немецкий аэроплан, который при падении полностью разбился. Экипаж в составе двух летчиков погиб. Ранее нами был захвачен неприятельский «Альбатрос». Подробно этот эпизод был отражен в «Летописи войны»:</w:t>
      </w:r>
    </w:p>
    <w:p w14:paraId="55A4C8E0" w14:textId="77777777" w:rsidR="009E58A2" w:rsidRPr="00405303" w:rsidRDefault="009E58A2" w:rsidP="009E58A2">
      <w:pPr>
        <w:jc w:val="both"/>
        <w:rPr>
          <w:color w:val="0070C0"/>
          <w:sz w:val="16"/>
          <w:szCs w:val="16"/>
        </w:rPr>
      </w:pPr>
      <w:r w:rsidRPr="00405303">
        <w:rPr>
          <w:rStyle w:val="aa"/>
          <w:rFonts w:ascii="Times New Roman" w:hAnsi="Times New Roman"/>
          <w:color w:val="0070C0"/>
          <w:spacing w:val="0"/>
          <w:sz w:val="16"/>
          <w:szCs w:val="16"/>
        </w:rPr>
        <w:t>«Пронесшийся над Олькениками [между г. Вильна и Гродно] „Альбатрос“ намеревался бросить бомбы. Потерпев аварию вследствие порчи мотора, летчики опустились недалеко от станции Олькеники и собирались поджечь аппарат и скрыться. Находившиеся поблизости крестьяне подняли тревогу. Станционные жандармы и стражники пустились вдогонку. Настигнутые летчики пробовали оказать сопротивление, но затем сдались. Аппарат цел, на нем найдены десять тяжелых бомб» (25135).</w:t>
      </w:r>
    </w:p>
    <w:p w14:paraId="2DBB2426" w14:textId="77777777" w:rsidR="009E58A2" w:rsidRPr="00405303" w:rsidRDefault="009E58A2" w:rsidP="009E58A2">
      <w:pPr>
        <w:jc w:val="both"/>
        <w:rPr>
          <w:rStyle w:val="aa"/>
          <w:rFonts w:ascii="Times New Roman" w:hAnsi="Times New Roman"/>
          <w:color w:val="0070C0"/>
          <w:spacing w:val="0"/>
          <w:sz w:val="16"/>
          <w:szCs w:val="16"/>
        </w:rPr>
      </w:pPr>
    </w:p>
    <w:p w14:paraId="7F66996C" w14:textId="77777777" w:rsidR="009E58A2" w:rsidRPr="00405303" w:rsidRDefault="009E58A2" w:rsidP="009E58A2">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9 (22) июля 1915 г. вблизи посада Иваницы (20 км от г. Владимир-Волынский) русскими войсками был захвачен неприятельский самолет, вынужденный совершить посадку вследствие недостатка бензина. Два немецких летчика-лейтенанта были взяты в плен, а исправный летательный аппарат отправлен в г. Киев (21135).</w:t>
      </w:r>
    </w:p>
    <w:p w14:paraId="1E18B95A" w14:textId="77777777" w:rsidR="009E58A2" w:rsidRPr="00405303" w:rsidRDefault="009E58A2" w:rsidP="009E58A2">
      <w:pPr>
        <w:jc w:val="both"/>
        <w:rPr>
          <w:rStyle w:val="aa"/>
          <w:rFonts w:ascii="Times New Roman" w:hAnsi="Times New Roman"/>
          <w:color w:val="0070C0"/>
          <w:spacing w:val="0"/>
          <w:sz w:val="16"/>
          <w:szCs w:val="16"/>
        </w:rPr>
      </w:pPr>
    </w:p>
    <w:p w14:paraId="19630C72"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07E14111" w14:textId="77777777" w:rsidR="004B4E35" w:rsidRPr="00405303" w:rsidRDefault="004B4E35" w:rsidP="00C15251">
      <w:pPr>
        <w:shd w:val="clear" w:color="auto" w:fill="FFFFFF"/>
        <w:jc w:val="both"/>
        <w:rPr>
          <w:bCs/>
          <w:i/>
          <w:color w:val="002060"/>
          <w:sz w:val="16"/>
          <w:szCs w:val="16"/>
        </w:rPr>
      </w:pPr>
    </w:p>
    <w:p w14:paraId="6789DFDF" w14:textId="2086851A" w:rsidR="004B4E35" w:rsidRPr="00405303" w:rsidRDefault="009E6F82" w:rsidP="00C15251">
      <w:pPr>
        <w:jc w:val="both"/>
        <w:rPr>
          <w:bCs/>
          <w:color w:val="002060"/>
          <w:sz w:val="16"/>
          <w:szCs w:val="16"/>
        </w:rPr>
      </w:pPr>
      <w:r w:rsidRPr="00405303">
        <w:rPr>
          <w:bCs/>
          <w:color w:val="002060"/>
          <w:sz w:val="16"/>
          <w:szCs w:val="16"/>
        </w:rPr>
        <w:t xml:space="preserve">9 </w:t>
      </w:r>
      <w:r w:rsidR="00E533F5" w:rsidRPr="00405303">
        <w:rPr>
          <w:bCs/>
          <w:color w:val="002060"/>
          <w:sz w:val="16"/>
          <w:szCs w:val="16"/>
        </w:rPr>
        <w:t xml:space="preserve">(22) </w:t>
      </w:r>
      <w:r w:rsidRPr="00405303">
        <w:rPr>
          <w:bCs/>
          <w:color w:val="002060"/>
          <w:sz w:val="16"/>
          <w:szCs w:val="16"/>
        </w:rPr>
        <w:t xml:space="preserve">июля </w:t>
      </w:r>
      <w:r w:rsidR="00E533F5" w:rsidRPr="00405303">
        <w:rPr>
          <w:bCs/>
          <w:color w:val="002060"/>
          <w:sz w:val="16"/>
          <w:szCs w:val="16"/>
        </w:rPr>
        <w:t xml:space="preserve">1915 г. </w:t>
      </w:r>
      <w:r w:rsidRPr="00405303">
        <w:rPr>
          <w:bCs/>
          <w:color w:val="002060"/>
          <w:sz w:val="16"/>
          <w:szCs w:val="16"/>
        </w:rPr>
        <w:t xml:space="preserve">"Император Александр I" вышел из Севастополя в Одессу с другими судами, предназначенными для охранения линейного корабля "Императрица Мария" на переходе морем. Из Одессы он вышел 12 июля и 13 прибыл в Севастополь. Приблизительно в это время лейтенанты Качинский и Ломанов, </w:t>
      </w:r>
      <w:r w:rsidRPr="00405303">
        <w:rPr>
          <w:bCs/>
          <w:color w:val="002060"/>
          <w:sz w:val="16"/>
          <w:szCs w:val="16"/>
        </w:rPr>
        <w:lastRenderedPageBreak/>
        <w:t>командированные в Батум с двумя самолётами "Моран", подвергли бомбардировке мечеть в Архаве, где размещался склад военного снаряжения. Замечен взрыв и пожар, продолжавшийся всю ночь (11930).</w:t>
      </w:r>
    </w:p>
    <w:p w14:paraId="2F5E5EC8" w14:textId="77777777" w:rsidR="004B4E35" w:rsidRPr="00405303" w:rsidRDefault="004B4E35" w:rsidP="00C15251">
      <w:pPr>
        <w:jc w:val="both"/>
        <w:rPr>
          <w:bCs/>
          <w:color w:val="002060"/>
          <w:sz w:val="16"/>
          <w:szCs w:val="16"/>
        </w:rPr>
      </w:pPr>
    </w:p>
    <w:p w14:paraId="5266E04B" w14:textId="77777777" w:rsidR="00974CD5" w:rsidRPr="00405303" w:rsidRDefault="00974CD5" w:rsidP="00C15251">
      <w:pPr>
        <w:jc w:val="both"/>
        <w:rPr>
          <w:bCs/>
          <w:i/>
          <w:color w:val="002060"/>
          <w:sz w:val="16"/>
          <w:szCs w:val="16"/>
        </w:rPr>
      </w:pPr>
      <w:r w:rsidRPr="00405303">
        <w:rPr>
          <w:bCs/>
          <w:i/>
          <w:color w:val="002060"/>
          <w:sz w:val="16"/>
          <w:szCs w:val="16"/>
        </w:rPr>
        <w:t>Армия:</w:t>
      </w:r>
    </w:p>
    <w:p w14:paraId="4FB77B95" w14:textId="77777777" w:rsidR="00974CD5" w:rsidRPr="00405303" w:rsidRDefault="00974CD5" w:rsidP="00C15251">
      <w:pPr>
        <w:jc w:val="both"/>
        <w:rPr>
          <w:bCs/>
          <w:i/>
          <w:color w:val="002060"/>
          <w:sz w:val="16"/>
          <w:szCs w:val="16"/>
        </w:rPr>
      </w:pPr>
    </w:p>
    <w:p w14:paraId="4D0CD0E7" w14:textId="5E50D7AF" w:rsidR="00974CD5" w:rsidRPr="00405303" w:rsidRDefault="00974CD5" w:rsidP="00C15251">
      <w:pPr>
        <w:jc w:val="both"/>
        <w:rPr>
          <w:bCs/>
          <w:color w:val="002060"/>
          <w:sz w:val="16"/>
          <w:szCs w:val="16"/>
        </w:rPr>
      </w:pPr>
      <w:r w:rsidRPr="00405303">
        <w:rPr>
          <w:bCs/>
          <w:color w:val="002060"/>
          <w:sz w:val="16"/>
          <w:szCs w:val="16"/>
        </w:rPr>
        <w:t xml:space="preserve">9 </w:t>
      </w:r>
      <w:r w:rsidR="00E533F5" w:rsidRPr="00405303">
        <w:rPr>
          <w:bCs/>
          <w:color w:val="002060"/>
          <w:sz w:val="16"/>
          <w:szCs w:val="16"/>
        </w:rPr>
        <w:t xml:space="preserve">(22) </w:t>
      </w:r>
      <w:r w:rsidRPr="00405303">
        <w:rPr>
          <w:bCs/>
          <w:color w:val="002060"/>
          <w:sz w:val="16"/>
          <w:szCs w:val="16"/>
        </w:rPr>
        <w:t>июля в 1915 году в ходе Первой мировой войны войска левого крыла (31 батальон, 70 эскадронов) Кавказской армии (генерал-лейтенант И.И.Воронцов-Дашков) начали Алашкертскую оборонительную операцию (завершилась 3 августа 1915 г.) против наступающей ударной турецкой группировки Абдул-Керим-паши (89 батальонов, 48 эскадронов). Успешные действия отряда генерала Н.Н.Баратова сорвали планы турецкого командования, что позволило сохранить занятую ранее территорию (14947).</w:t>
      </w:r>
    </w:p>
    <w:p w14:paraId="7FB71C95" w14:textId="77777777" w:rsidR="00974CD5" w:rsidRPr="00405303" w:rsidRDefault="00974CD5" w:rsidP="00C15251">
      <w:pPr>
        <w:jc w:val="both"/>
        <w:rPr>
          <w:bCs/>
          <w:color w:val="002060"/>
          <w:sz w:val="16"/>
          <w:szCs w:val="16"/>
        </w:rPr>
      </w:pPr>
    </w:p>
    <w:p w14:paraId="2ED08B32"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1178DBCD" w14:textId="77777777" w:rsidR="004B4E35" w:rsidRPr="00405303" w:rsidRDefault="004B4E35" w:rsidP="00C15251">
      <w:pPr>
        <w:shd w:val="clear" w:color="auto" w:fill="FFFFFF"/>
        <w:jc w:val="both"/>
        <w:rPr>
          <w:bCs/>
          <w:i/>
          <w:color w:val="002060"/>
          <w:sz w:val="16"/>
          <w:szCs w:val="16"/>
        </w:rPr>
      </w:pPr>
    </w:p>
    <w:p w14:paraId="64950AC2" w14:textId="4A1B2D49" w:rsidR="004B4E35" w:rsidRPr="00405303" w:rsidRDefault="00E533F5"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период с 10 (23) июля 1915 г. по 20 июня (3 июля) 1917</w:t>
      </w:r>
      <w:r w:rsidRPr="00405303">
        <w:rPr>
          <w:bCs/>
          <w:color w:val="002060"/>
          <w:sz w:val="16"/>
          <w:szCs w:val="16"/>
        </w:rPr>
        <w:t xml:space="preserve"> </w:t>
      </w:r>
      <w:r w:rsidR="009E6F82" w:rsidRPr="00405303">
        <w:rPr>
          <w:bCs/>
          <w:color w:val="002060"/>
          <w:sz w:val="16"/>
          <w:szCs w:val="16"/>
        </w:rPr>
        <w:t>г. Черномор</w:t>
      </w:r>
      <w:r w:rsidR="009E6F82" w:rsidRPr="00405303">
        <w:rPr>
          <w:bCs/>
          <w:color w:val="002060"/>
          <w:sz w:val="16"/>
          <w:szCs w:val="16"/>
        </w:rPr>
        <w:softHyphen/>
        <w:t>ский флот принял 71 летающую лодку М-5, а около 60 машин данного типа достались морским авиашко</w:t>
      </w:r>
      <w:r w:rsidR="009E6F82" w:rsidRPr="00405303">
        <w:rPr>
          <w:bCs/>
          <w:color w:val="002060"/>
          <w:sz w:val="16"/>
          <w:szCs w:val="16"/>
        </w:rPr>
        <w:softHyphen/>
        <w:t>лам; с июня 1915 г. по декабрь 1917г. полное число принятых военно-морскими силами М-5 составило, по крайней мере, 173 аппарата, но некоторые из них изначально изготовлялись как запасные.</w:t>
      </w:r>
    </w:p>
    <w:p w14:paraId="44CA92A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4B4E35" w:rsidRPr="00405303" w14:paraId="5405E13A" w14:textId="77777777">
        <w:tc>
          <w:tcPr>
            <w:tcW w:w="1548" w:type="dxa"/>
            <w:shd w:val="clear" w:color="auto" w:fill="FFFFFF"/>
          </w:tcPr>
          <w:p w14:paraId="2A694399" w14:textId="77777777" w:rsidR="004B4E35" w:rsidRPr="00405303" w:rsidRDefault="009E6F82" w:rsidP="00C15251">
            <w:pPr>
              <w:jc w:val="both"/>
              <w:rPr>
                <w:bCs/>
                <w:color w:val="002060"/>
                <w:sz w:val="16"/>
                <w:szCs w:val="16"/>
              </w:rPr>
            </w:pPr>
            <w:r w:rsidRPr="00405303">
              <w:rPr>
                <w:bCs/>
                <w:color w:val="002060"/>
                <w:sz w:val="16"/>
                <w:szCs w:val="16"/>
              </w:rPr>
              <w:t>Дата контракта</w:t>
            </w:r>
          </w:p>
        </w:tc>
        <w:tc>
          <w:tcPr>
            <w:tcW w:w="1170" w:type="dxa"/>
            <w:shd w:val="clear" w:color="auto" w:fill="FFFFFF"/>
          </w:tcPr>
          <w:p w14:paraId="23531522" w14:textId="77777777" w:rsidR="004B4E35" w:rsidRPr="00405303" w:rsidRDefault="009E6F82" w:rsidP="00C15251">
            <w:pPr>
              <w:jc w:val="both"/>
              <w:rPr>
                <w:bCs/>
                <w:color w:val="002060"/>
                <w:sz w:val="16"/>
                <w:szCs w:val="16"/>
              </w:rPr>
            </w:pPr>
            <w:r w:rsidRPr="00405303">
              <w:rPr>
                <w:bCs/>
                <w:color w:val="002060"/>
                <w:sz w:val="16"/>
                <w:szCs w:val="16"/>
              </w:rPr>
              <w:t>Число заказанных аэропланов</w:t>
            </w:r>
          </w:p>
        </w:tc>
        <w:tc>
          <w:tcPr>
            <w:tcW w:w="6858" w:type="dxa"/>
            <w:shd w:val="clear" w:color="auto" w:fill="FFFFFF"/>
          </w:tcPr>
          <w:p w14:paraId="455E76F1" w14:textId="77777777" w:rsidR="004B4E35" w:rsidRPr="00405303" w:rsidRDefault="009E6F82" w:rsidP="00C15251">
            <w:pPr>
              <w:jc w:val="both"/>
              <w:rPr>
                <w:bCs/>
                <w:color w:val="002060"/>
                <w:sz w:val="16"/>
                <w:szCs w:val="16"/>
              </w:rPr>
            </w:pPr>
            <w:r w:rsidRPr="00405303">
              <w:rPr>
                <w:bCs/>
                <w:color w:val="002060"/>
                <w:sz w:val="16"/>
                <w:szCs w:val="16"/>
              </w:rPr>
              <w:t>Условия</w:t>
            </w:r>
          </w:p>
        </w:tc>
      </w:tr>
      <w:tr w:rsidR="004B4E35" w:rsidRPr="00405303" w14:paraId="67B7B91A" w14:textId="77777777">
        <w:tc>
          <w:tcPr>
            <w:tcW w:w="1548" w:type="dxa"/>
            <w:shd w:val="clear" w:color="auto" w:fill="FFFFFF"/>
          </w:tcPr>
          <w:p w14:paraId="009E5A92" w14:textId="77777777" w:rsidR="004B4E35" w:rsidRPr="00405303" w:rsidRDefault="009E6F82" w:rsidP="00C15251">
            <w:pPr>
              <w:jc w:val="both"/>
              <w:rPr>
                <w:bCs/>
                <w:color w:val="002060"/>
                <w:sz w:val="16"/>
                <w:szCs w:val="16"/>
              </w:rPr>
            </w:pPr>
            <w:r w:rsidRPr="00405303">
              <w:rPr>
                <w:bCs/>
                <w:color w:val="002060"/>
                <w:sz w:val="16"/>
                <w:szCs w:val="16"/>
              </w:rPr>
              <w:t>Май 27 1915</w:t>
            </w:r>
          </w:p>
        </w:tc>
        <w:tc>
          <w:tcPr>
            <w:tcW w:w="1170" w:type="dxa"/>
            <w:shd w:val="clear" w:color="auto" w:fill="FFFFFF"/>
          </w:tcPr>
          <w:p w14:paraId="5605471D" w14:textId="77777777" w:rsidR="004B4E35" w:rsidRPr="00405303" w:rsidRDefault="009E6F82" w:rsidP="00C15251">
            <w:pPr>
              <w:jc w:val="both"/>
              <w:rPr>
                <w:bCs/>
                <w:color w:val="002060"/>
                <w:sz w:val="16"/>
                <w:szCs w:val="16"/>
              </w:rPr>
            </w:pPr>
            <w:r w:rsidRPr="00405303">
              <w:rPr>
                <w:bCs/>
                <w:color w:val="002060"/>
                <w:sz w:val="16"/>
                <w:szCs w:val="16"/>
              </w:rPr>
              <w:t>12</w:t>
            </w:r>
          </w:p>
        </w:tc>
        <w:tc>
          <w:tcPr>
            <w:tcW w:w="6858" w:type="dxa"/>
            <w:shd w:val="clear" w:color="auto" w:fill="FFFFFF"/>
          </w:tcPr>
          <w:p w14:paraId="23860698" w14:textId="77777777" w:rsidR="004B4E35" w:rsidRPr="00405303" w:rsidRDefault="009E6F82" w:rsidP="00C15251">
            <w:pPr>
              <w:jc w:val="both"/>
              <w:rPr>
                <w:bCs/>
                <w:color w:val="002060"/>
                <w:sz w:val="16"/>
                <w:szCs w:val="16"/>
              </w:rPr>
            </w:pPr>
            <w:r w:rsidRPr="00405303">
              <w:rPr>
                <w:bCs/>
                <w:color w:val="002060"/>
                <w:sz w:val="16"/>
                <w:szCs w:val="16"/>
              </w:rPr>
              <w:t>9 тыс. 500 руб. За аппарат без мотора, срок исполнения с 30 мая по 15 июля 1915 г. (выполнен к 20 июля 1915 г.)</w:t>
            </w:r>
          </w:p>
        </w:tc>
      </w:tr>
      <w:tr w:rsidR="004B4E35" w:rsidRPr="00405303" w14:paraId="7CFCE3D3" w14:textId="77777777">
        <w:tc>
          <w:tcPr>
            <w:tcW w:w="1548" w:type="dxa"/>
            <w:shd w:val="clear" w:color="auto" w:fill="FFFFFF"/>
          </w:tcPr>
          <w:p w14:paraId="0E450A04" w14:textId="77777777" w:rsidR="004B4E35" w:rsidRPr="00405303" w:rsidRDefault="009E6F82" w:rsidP="00C15251">
            <w:pPr>
              <w:jc w:val="both"/>
              <w:rPr>
                <w:bCs/>
                <w:color w:val="002060"/>
                <w:sz w:val="16"/>
                <w:szCs w:val="16"/>
              </w:rPr>
            </w:pPr>
            <w:r w:rsidRPr="00405303">
              <w:rPr>
                <w:bCs/>
                <w:color w:val="002060"/>
                <w:sz w:val="16"/>
                <w:szCs w:val="16"/>
              </w:rPr>
              <w:t>Июль 17 (30) 1915</w:t>
            </w:r>
          </w:p>
        </w:tc>
        <w:tc>
          <w:tcPr>
            <w:tcW w:w="1170" w:type="dxa"/>
            <w:shd w:val="clear" w:color="auto" w:fill="FFFFFF"/>
          </w:tcPr>
          <w:p w14:paraId="099E00B1" w14:textId="77777777" w:rsidR="004B4E35" w:rsidRPr="00405303" w:rsidRDefault="009E6F82" w:rsidP="00C15251">
            <w:pPr>
              <w:jc w:val="both"/>
              <w:rPr>
                <w:bCs/>
                <w:color w:val="002060"/>
                <w:sz w:val="16"/>
                <w:szCs w:val="16"/>
              </w:rPr>
            </w:pPr>
            <w:r w:rsidRPr="00405303">
              <w:rPr>
                <w:bCs/>
                <w:color w:val="002060"/>
                <w:sz w:val="16"/>
                <w:szCs w:val="16"/>
              </w:rPr>
              <w:t>10</w:t>
            </w:r>
          </w:p>
        </w:tc>
        <w:tc>
          <w:tcPr>
            <w:tcW w:w="6858" w:type="dxa"/>
            <w:shd w:val="clear" w:color="auto" w:fill="FFFFFF"/>
          </w:tcPr>
          <w:p w14:paraId="0D8D337C" w14:textId="77777777" w:rsidR="004B4E35" w:rsidRPr="00405303" w:rsidRDefault="009E6F82" w:rsidP="00C15251">
            <w:pPr>
              <w:jc w:val="both"/>
              <w:rPr>
                <w:bCs/>
                <w:color w:val="002060"/>
                <w:sz w:val="16"/>
                <w:szCs w:val="16"/>
              </w:rPr>
            </w:pPr>
            <w:r w:rsidRPr="00405303">
              <w:rPr>
                <w:bCs/>
                <w:color w:val="002060"/>
                <w:sz w:val="16"/>
                <w:szCs w:val="16"/>
              </w:rPr>
              <w:t>выполнен к 10 сентября 1915 г.</w:t>
            </w:r>
          </w:p>
        </w:tc>
      </w:tr>
      <w:tr w:rsidR="004B4E35" w:rsidRPr="00405303" w14:paraId="18830BFD" w14:textId="77777777">
        <w:tc>
          <w:tcPr>
            <w:tcW w:w="1548" w:type="dxa"/>
            <w:shd w:val="clear" w:color="auto" w:fill="FFFFFF"/>
          </w:tcPr>
          <w:p w14:paraId="0CBD164F" w14:textId="77777777" w:rsidR="004B4E35" w:rsidRPr="00405303" w:rsidRDefault="009E6F82" w:rsidP="00C15251">
            <w:pPr>
              <w:jc w:val="both"/>
              <w:rPr>
                <w:bCs/>
                <w:color w:val="002060"/>
                <w:sz w:val="16"/>
                <w:szCs w:val="16"/>
              </w:rPr>
            </w:pPr>
            <w:r w:rsidRPr="00405303">
              <w:rPr>
                <w:bCs/>
                <w:color w:val="002060"/>
                <w:sz w:val="16"/>
                <w:szCs w:val="16"/>
              </w:rPr>
              <w:t>Август 10 1915</w:t>
            </w:r>
          </w:p>
        </w:tc>
        <w:tc>
          <w:tcPr>
            <w:tcW w:w="1170" w:type="dxa"/>
            <w:shd w:val="clear" w:color="auto" w:fill="FFFFFF"/>
          </w:tcPr>
          <w:p w14:paraId="4D0D8387" w14:textId="77777777" w:rsidR="004B4E35" w:rsidRPr="00405303" w:rsidRDefault="009E6F82" w:rsidP="00C15251">
            <w:pPr>
              <w:jc w:val="both"/>
              <w:rPr>
                <w:bCs/>
                <w:color w:val="002060"/>
                <w:sz w:val="16"/>
                <w:szCs w:val="16"/>
              </w:rPr>
            </w:pPr>
            <w:r w:rsidRPr="00405303">
              <w:rPr>
                <w:bCs/>
                <w:color w:val="002060"/>
                <w:sz w:val="16"/>
                <w:szCs w:val="16"/>
              </w:rPr>
              <w:t>3</w:t>
            </w:r>
          </w:p>
        </w:tc>
        <w:tc>
          <w:tcPr>
            <w:tcW w:w="6858" w:type="dxa"/>
            <w:shd w:val="clear" w:color="auto" w:fill="FFFFFF"/>
          </w:tcPr>
          <w:p w14:paraId="1A7BC00A" w14:textId="77777777" w:rsidR="004B4E35" w:rsidRPr="00405303" w:rsidRDefault="009E6F82" w:rsidP="00C15251">
            <w:pPr>
              <w:jc w:val="both"/>
              <w:rPr>
                <w:bCs/>
                <w:color w:val="002060"/>
                <w:sz w:val="16"/>
                <w:szCs w:val="16"/>
              </w:rPr>
            </w:pPr>
            <w:r w:rsidRPr="00405303">
              <w:rPr>
                <w:bCs/>
                <w:color w:val="002060"/>
                <w:sz w:val="16"/>
                <w:szCs w:val="16"/>
              </w:rPr>
              <w:t>выполнен к 20 июля 1915г.</w:t>
            </w:r>
          </w:p>
        </w:tc>
      </w:tr>
      <w:tr w:rsidR="004B4E35" w:rsidRPr="00405303" w14:paraId="7D273AEE" w14:textId="77777777">
        <w:tc>
          <w:tcPr>
            <w:tcW w:w="1548" w:type="dxa"/>
            <w:shd w:val="clear" w:color="auto" w:fill="FFFFFF"/>
          </w:tcPr>
          <w:p w14:paraId="766F9FE8" w14:textId="77777777" w:rsidR="004B4E35" w:rsidRPr="00405303" w:rsidRDefault="009E6F82" w:rsidP="00C15251">
            <w:pPr>
              <w:jc w:val="both"/>
              <w:rPr>
                <w:bCs/>
                <w:color w:val="002060"/>
                <w:sz w:val="16"/>
                <w:szCs w:val="16"/>
              </w:rPr>
            </w:pPr>
            <w:r w:rsidRPr="00405303">
              <w:rPr>
                <w:bCs/>
                <w:color w:val="002060"/>
                <w:sz w:val="16"/>
                <w:szCs w:val="16"/>
              </w:rPr>
              <w:t>Ноябрь 12 1915</w:t>
            </w:r>
          </w:p>
        </w:tc>
        <w:tc>
          <w:tcPr>
            <w:tcW w:w="1170" w:type="dxa"/>
            <w:shd w:val="clear" w:color="auto" w:fill="FFFFFF"/>
          </w:tcPr>
          <w:p w14:paraId="33566D8F" w14:textId="77777777" w:rsidR="004B4E35" w:rsidRPr="00405303" w:rsidRDefault="009E6F82" w:rsidP="00C15251">
            <w:pPr>
              <w:jc w:val="both"/>
              <w:rPr>
                <w:bCs/>
                <w:color w:val="002060"/>
                <w:sz w:val="16"/>
                <w:szCs w:val="16"/>
              </w:rPr>
            </w:pPr>
            <w:r w:rsidRPr="00405303">
              <w:rPr>
                <w:bCs/>
                <w:color w:val="002060"/>
                <w:sz w:val="16"/>
                <w:szCs w:val="16"/>
              </w:rPr>
              <w:t>16</w:t>
            </w:r>
          </w:p>
        </w:tc>
        <w:tc>
          <w:tcPr>
            <w:tcW w:w="6858" w:type="dxa"/>
            <w:shd w:val="clear" w:color="auto" w:fill="FFFFFF"/>
          </w:tcPr>
          <w:p w14:paraId="15B5DE8B" w14:textId="77777777" w:rsidR="004B4E35" w:rsidRPr="00405303" w:rsidRDefault="009E6F82" w:rsidP="00C15251">
            <w:pPr>
              <w:jc w:val="both"/>
              <w:rPr>
                <w:bCs/>
                <w:color w:val="002060"/>
                <w:sz w:val="16"/>
                <w:szCs w:val="16"/>
              </w:rPr>
            </w:pPr>
            <w:r w:rsidRPr="00405303">
              <w:rPr>
                <w:bCs/>
                <w:color w:val="002060"/>
                <w:sz w:val="16"/>
                <w:szCs w:val="16"/>
              </w:rPr>
              <w:t>10 тыс. 500 руб. за аппарат без мотора, срок исполнения ноябрь 1915-март 1916 гг. (выполнен к 27 мая 1916 г.) ПРИМЕЧАНИЯ: аппараты с номерами 440 и 441 имели депердюссеновскую систему управления</w:t>
            </w:r>
          </w:p>
        </w:tc>
      </w:tr>
      <w:tr w:rsidR="004B4E35" w:rsidRPr="00405303" w14:paraId="0D67FAB7" w14:textId="77777777">
        <w:tc>
          <w:tcPr>
            <w:tcW w:w="1548" w:type="dxa"/>
            <w:shd w:val="clear" w:color="auto" w:fill="FFFFFF"/>
          </w:tcPr>
          <w:p w14:paraId="650CC4C1" w14:textId="77777777" w:rsidR="004B4E35" w:rsidRPr="00405303" w:rsidRDefault="009E6F82" w:rsidP="00C15251">
            <w:pPr>
              <w:jc w:val="both"/>
              <w:rPr>
                <w:bCs/>
                <w:color w:val="002060"/>
                <w:sz w:val="16"/>
                <w:szCs w:val="16"/>
              </w:rPr>
            </w:pPr>
            <w:r w:rsidRPr="00405303">
              <w:rPr>
                <w:bCs/>
                <w:color w:val="002060"/>
                <w:sz w:val="16"/>
                <w:szCs w:val="16"/>
              </w:rPr>
              <w:t>Декабрь 21 1915</w:t>
            </w:r>
          </w:p>
        </w:tc>
        <w:tc>
          <w:tcPr>
            <w:tcW w:w="1170" w:type="dxa"/>
            <w:shd w:val="clear" w:color="auto" w:fill="FFFFFF"/>
          </w:tcPr>
          <w:p w14:paraId="35E5098A" w14:textId="77777777" w:rsidR="004B4E35" w:rsidRPr="00405303" w:rsidRDefault="009E6F82" w:rsidP="00C15251">
            <w:pPr>
              <w:jc w:val="both"/>
              <w:rPr>
                <w:bCs/>
                <w:color w:val="002060"/>
                <w:sz w:val="16"/>
                <w:szCs w:val="16"/>
              </w:rPr>
            </w:pPr>
            <w:r w:rsidRPr="00405303">
              <w:rPr>
                <w:bCs/>
                <w:color w:val="002060"/>
                <w:sz w:val="16"/>
                <w:szCs w:val="16"/>
              </w:rPr>
              <w:t>10</w:t>
            </w:r>
          </w:p>
        </w:tc>
        <w:tc>
          <w:tcPr>
            <w:tcW w:w="6858" w:type="dxa"/>
            <w:shd w:val="clear" w:color="auto" w:fill="FFFFFF"/>
          </w:tcPr>
          <w:p w14:paraId="2EABBC6A" w14:textId="77777777" w:rsidR="004B4E35" w:rsidRPr="00405303" w:rsidRDefault="009E6F82" w:rsidP="00C15251">
            <w:pPr>
              <w:jc w:val="both"/>
              <w:rPr>
                <w:bCs/>
                <w:color w:val="002060"/>
                <w:sz w:val="16"/>
                <w:szCs w:val="16"/>
              </w:rPr>
            </w:pPr>
            <w:r w:rsidRPr="00405303">
              <w:rPr>
                <w:bCs/>
                <w:color w:val="002060"/>
                <w:sz w:val="16"/>
                <w:szCs w:val="16"/>
              </w:rPr>
              <w:t>10 корпусов без хвостовых оперений и мотора, но с сиденьями, по цене 4 тыс. 750 руб. за каждый</w:t>
            </w:r>
          </w:p>
        </w:tc>
      </w:tr>
      <w:tr w:rsidR="004B4E35" w:rsidRPr="00405303" w14:paraId="46E5D133" w14:textId="77777777">
        <w:tc>
          <w:tcPr>
            <w:tcW w:w="1548" w:type="dxa"/>
            <w:shd w:val="clear" w:color="auto" w:fill="FFFFFF"/>
          </w:tcPr>
          <w:p w14:paraId="6909E78A" w14:textId="77777777" w:rsidR="004B4E35" w:rsidRPr="00405303" w:rsidRDefault="009E6F82" w:rsidP="00C15251">
            <w:pPr>
              <w:jc w:val="both"/>
              <w:rPr>
                <w:bCs/>
                <w:color w:val="002060"/>
                <w:sz w:val="16"/>
                <w:szCs w:val="16"/>
              </w:rPr>
            </w:pPr>
            <w:r w:rsidRPr="00405303">
              <w:rPr>
                <w:bCs/>
                <w:color w:val="002060"/>
                <w:sz w:val="16"/>
                <w:szCs w:val="16"/>
              </w:rPr>
              <w:t>Апрель 1 1916</w:t>
            </w:r>
          </w:p>
        </w:tc>
        <w:tc>
          <w:tcPr>
            <w:tcW w:w="1170" w:type="dxa"/>
            <w:shd w:val="clear" w:color="auto" w:fill="FFFFFF"/>
          </w:tcPr>
          <w:p w14:paraId="3C0487A7" w14:textId="77777777" w:rsidR="004B4E35" w:rsidRPr="00405303" w:rsidRDefault="009E6F82" w:rsidP="00C15251">
            <w:pPr>
              <w:jc w:val="both"/>
              <w:rPr>
                <w:bCs/>
                <w:color w:val="002060"/>
                <w:sz w:val="16"/>
                <w:szCs w:val="16"/>
              </w:rPr>
            </w:pPr>
            <w:r w:rsidRPr="00405303">
              <w:rPr>
                <w:bCs/>
                <w:color w:val="002060"/>
                <w:sz w:val="16"/>
                <w:szCs w:val="16"/>
              </w:rPr>
              <w:t>35</w:t>
            </w:r>
          </w:p>
        </w:tc>
        <w:tc>
          <w:tcPr>
            <w:tcW w:w="6858" w:type="dxa"/>
            <w:shd w:val="clear" w:color="auto" w:fill="FFFFFF"/>
          </w:tcPr>
          <w:p w14:paraId="14D4E870" w14:textId="77777777" w:rsidR="004B4E35" w:rsidRPr="00405303" w:rsidRDefault="009E6F82" w:rsidP="00C15251">
            <w:pPr>
              <w:jc w:val="both"/>
              <w:rPr>
                <w:bCs/>
                <w:color w:val="002060"/>
                <w:sz w:val="16"/>
                <w:szCs w:val="16"/>
              </w:rPr>
            </w:pPr>
            <w:r w:rsidRPr="00405303">
              <w:rPr>
                <w:bCs/>
                <w:color w:val="002060"/>
                <w:sz w:val="16"/>
                <w:szCs w:val="16"/>
              </w:rPr>
              <w:t>выполнен к 23 сентября 1916 г.</w:t>
            </w:r>
          </w:p>
        </w:tc>
      </w:tr>
      <w:tr w:rsidR="004B4E35" w:rsidRPr="00405303" w14:paraId="7F6B9D0F" w14:textId="77777777">
        <w:tc>
          <w:tcPr>
            <w:tcW w:w="1548" w:type="dxa"/>
            <w:shd w:val="clear" w:color="auto" w:fill="FFFFFF"/>
          </w:tcPr>
          <w:p w14:paraId="79977A6C" w14:textId="77777777" w:rsidR="004B4E35" w:rsidRPr="00405303" w:rsidRDefault="009E6F82" w:rsidP="00C15251">
            <w:pPr>
              <w:jc w:val="both"/>
              <w:rPr>
                <w:bCs/>
                <w:color w:val="002060"/>
                <w:sz w:val="16"/>
                <w:szCs w:val="16"/>
              </w:rPr>
            </w:pPr>
            <w:r w:rsidRPr="00405303">
              <w:rPr>
                <w:bCs/>
                <w:color w:val="002060"/>
                <w:sz w:val="16"/>
                <w:szCs w:val="16"/>
              </w:rPr>
              <w:t>Июнь 16 1916</w:t>
            </w:r>
          </w:p>
        </w:tc>
        <w:tc>
          <w:tcPr>
            <w:tcW w:w="1170" w:type="dxa"/>
            <w:shd w:val="clear" w:color="auto" w:fill="FFFFFF"/>
          </w:tcPr>
          <w:p w14:paraId="43408CD3" w14:textId="77777777" w:rsidR="004B4E35" w:rsidRPr="00405303" w:rsidRDefault="009E6F82" w:rsidP="00C15251">
            <w:pPr>
              <w:jc w:val="both"/>
              <w:rPr>
                <w:bCs/>
                <w:color w:val="002060"/>
                <w:sz w:val="16"/>
                <w:szCs w:val="16"/>
              </w:rPr>
            </w:pPr>
            <w:r w:rsidRPr="00405303">
              <w:rPr>
                <w:bCs/>
                <w:color w:val="002060"/>
                <w:sz w:val="16"/>
                <w:szCs w:val="16"/>
              </w:rPr>
              <w:t>20</w:t>
            </w:r>
          </w:p>
        </w:tc>
        <w:tc>
          <w:tcPr>
            <w:tcW w:w="6858" w:type="dxa"/>
            <w:shd w:val="clear" w:color="auto" w:fill="FFFFFF"/>
          </w:tcPr>
          <w:p w14:paraId="1E6763C7" w14:textId="77777777" w:rsidR="004B4E35" w:rsidRPr="00405303" w:rsidRDefault="009E6F82" w:rsidP="00C15251">
            <w:pPr>
              <w:jc w:val="both"/>
              <w:rPr>
                <w:bCs/>
                <w:color w:val="002060"/>
                <w:sz w:val="16"/>
                <w:szCs w:val="16"/>
              </w:rPr>
            </w:pPr>
            <w:r w:rsidRPr="00405303">
              <w:rPr>
                <w:bCs/>
                <w:color w:val="002060"/>
                <w:sz w:val="16"/>
                <w:szCs w:val="16"/>
              </w:rPr>
              <w:t>10 тыс. 500 руб. за аппарат без мотора, срок исполнения июль-август 1916 г. (выполнен к 20 мая 1917 г.)</w:t>
            </w:r>
          </w:p>
        </w:tc>
      </w:tr>
      <w:tr w:rsidR="004B4E35" w:rsidRPr="00405303" w14:paraId="70797074" w14:textId="77777777">
        <w:tc>
          <w:tcPr>
            <w:tcW w:w="1548" w:type="dxa"/>
            <w:shd w:val="clear" w:color="auto" w:fill="FFFFFF"/>
          </w:tcPr>
          <w:p w14:paraId="5E754B7F" w14:textId="77777777" w:rsidR="004B4E35" w:rsidRPr="00405303" w:rsidRDefault="009E6F82" w:rsidP="00C15251">
            <w:pPr>
              <w:jc w:val="both"/>
              <w:rPr>
                <w:bCs/>
                <w:color w:val="002060"/>
                <w:sz w:val="16"/>
                <w:szCs w:val="16"/>
              </w:rPr>
            </w:pPr>
            <w:r w:rsidRPr="00405303">
              <w:rPr>
                <w:bCs/>
                <w:color w:val="002060"/>
                <w:sz w:val="16"/>
                <w:szCs w:val="16"/>
              </w:rPr>
              <w:t xml:space="preserve">Июнь </w:t>
            </w:r>
            <w:r w:rsidRPr="00405303">
              <w:rPr>
                <w:bCs/>
                <w:i/>
                <w:color w:val="002060"/>
                <w:sz w:val="16"/>
                <w:szCs w:val="16"/>
              </w:rPr>
              <w:t xml:space="preserve">1 </w:t>
            </w:r>
            <w:r w:rsidRPr="00405303">
              <w:rPr>
                <w:bCs/>
                <w:color w:val="002060"/>
                <w:sz w:val="16"/>
                <w:szCs w:val="16"/>
              </w:rPr>
              <w:t>1916</w:t>
            </w:r>
          </w:p>
        </w:tc>
        <w:tc>
          <w:tcPr>
            <w:tcW w:w="1170" w:type="dxa"/>
            <w:shd w:val="clear" w:color="auto" w:fill="FFFFFF"/>
          </w:tcPr>
          <w:p w14:paraId="54DE3B80" w14:textId="77777777" w:rsidR="004B4E35" w:rsidRPr="00405303" w:rsidRDefault="009E6F82" w:rsidP="00C15251">
            <w:pPr>
              <w:jc w:val="both"/>
              <w:rPr>
                <w:bCs/>
                <w:color w:val="002060"/>
                <w:sz w:val="16"/>
                <w:szCs w:val="16"/>
              </w:rPr>
            </w:pPr>
            <w:r w:rsidRPr="00405303">
              <w:rPr>
                <w:bCs/>
                <w:color w:val="002060"/>
                <w:sz w:val="16"/>
                <w:szCs w:val="16"/>
              </w:rPr>
              <w:t>20</w:t>
            </w:r>
          </w:p>
        </w:tc>
        <w:tc>
          <w:tcPr>
            <w:tcW w:w="6858" w:type="dxa"/>
            <w:shd w:val="clear" w:color="auto" w:fill="FFFFFF"/>
          </w:tcPr>
          <w:p w14:paraId="6C9D7AB5" w14:textId="77777777" w:rsidR="004B4E35" w:rsidRPr="00405303" w:rsidRDefault="009E6F82" w:rsidP="00C15251">
            <w:pPr>
              <w:jc w:val="both"/>
              <w:rPr>
                <w:bCs/>
                <w:color w:val="002060"/>
                <w:sz w:val="16"/>
                <w:szCs w:val="16"/>
              </w:rPr>
            </w:pPr>
            <w:r w:rsidRPr="00405303">
              <w:rPr>
                <w:bCs/>
                <w:color w:val="002060"/>
                <w:sz w:val="16"/>
                <w:szCs w:val="16"/>
              </w:rPr>
              <w:t>заказ на 20 запасных аппаратов, но затем некоторые из них все же использовались как боевые; контракт выполнен к апрелю 1917 г.</w:t>
            </w:r>
          </w:p>
        </w:tc>
      </w:tr>
      <w:tr w:rsidR="004B4E35" w:rsidRPr="00405303" w14:paraId="6E78B160" w14:textId="77777777">
        <w:tc>
          <w:tcPr>
            <w:tcW w:w="1548" w:type="dxa"/>
            <w:shd w:val="clear" w:color="auto" w:fill="FFFFFF"/>
          </w:tcPr>
          <w:p w14:paraId="7DDC1855" w14:textId="77777777" w:rsidR="004B4E35" w:rsidRPr="00405303" w:rsidRDefault="009E6F82" w:rsidP="00C15251">
            <w:pPr>
              <w:jc w:val="both"/>
              <w:rPr>
                <w:bCs/>
                <w:color w:val="002060"/>
                <w:sz w:val="16"/>
                <w:szCs w:val="16"/>
              </w:rPr>
            </w:pPr>
            <w:r w:rsidRPr="00405303">
              <w:rPr>
                <w:bCs/>
                <w:color w:val="002060"/>
                <w:sz w:val="16"/>
                <w:szCs w:val="16"/>
              </w:rPr>
              <w:t>Сентябрь 22 1916</w:t>
            </w:r>
          </w:p>
        </w:tc>
        <w:tc>
          <w:tcPr>
            <w:tcW w:w="1170" w:type="dxa"/>
            <w:shd w:val="clear" w:color="auto" w:fill="FFFFFF"/>
          </w:tcPr>
          <w:p w14:paraId="7F9E815E" w14:textId="77777777" w:rsidR="004B4E35" w:rsidRPr="00405303" w:rsidRDefault="009E6F82" w:rsidP="00C15251">
            <w:pPr>
              <w:jc w:val="both"/>
              <w:rPr>
                <w:bCs/>
                <w:color w:val="002060"/>
                <w:sz w:val="16"/>
                <w:szCs w:val="16"/>
              </w:rPr>
            </w:pPr>
            <w:r w:rsidRPr="00405303">
              <w:rPr>
                <w:bCs/>
                <w:color w:val="002060"/>
                <w:sz w:val="16"/>
                <w:szCs w:val="16"/>
              </w:rPr>
              <w:t>30</w:t>
            </w:r>
          </w:p>
        </w:tc>
        <w:tc>
          <w:tcPr>
            <w:tcW w:w="6858" w:type="dxa"/>
            <w:shd w:val="clear" w:color="auto" w:fill="FFFFFF"/>
          </w:tcPr>
          <w:p w14:paraId="7ED5E32A" w14:textId="77777777" w:rsidR="004B4E35" w:rsidRPr="00405303" w:rsidRDefault="009E6F82" w:rsidP="00C15251">
            <w:pPr>
              <w:jc w:val="both"/>
              <w:rPr>
                <w:bCs/>
                <w:color w:val="002060"/>
                <w:sz w:val="16"/>
                <w:szCs w:val="16"/>
              </w:rPr>
            </w:pPr>
            <w:r w:rsidRPr="00405303">
              <w:rPr>
                <w:bCs/>
                <w:color w:val="002060"/>
                <w:sz w:val="16"/>
                <w:szCs w:val="16"/>
              </w:rPr>
              <w:t>11 тыс. руб. за аппарат без мотора; полезная нагрузкасниже-на до 275 кг; срок исполнения с 1 октября по 1 декабря 1916 г. (выполнен к концу августа 1917 г.)</w:t>
            </w:r>
          </w:p>
        </w:tc>
      </w:tr>
      <w:tr w:rsidR="004B4E35" w:rsidRPr="00405303" w14:paraId="03043527" w14:textId="77777777">
        <w:tc>
          <w:tcPr>
            <w:tcW w:w="1548" w:type="dxa"/>
            <w:shd w:val="clear" w:color="auto" w:fill="FFFFFF"/>
          </w:tcPr>
          <w:p w14:paraId="2739981A" w14:textId="77777777" w:rsidR="004B4E35" w:rsidRPr="00405303" w:rsidRDefault="009E6F82" w:rsidP="00C15251">
            <w:pPr>
              <w:jc w:val="both"/>
              <w:rPr>
                <w:bCs/>
                <w:color w:val="002060"/>
                <w:sz w:val="16"/>
                <w:szCs w:val="16"/>
              </w:rPr>
            </w:pPr>
            <w:r w:rsidRPr="00405303">
              <w:rPr>
                <w:bCs/>
                <w:color w:val="002060"/>
                <w:sz w:val="16"/>
                <w:szCs w:val="16"/>
              </w:rPr>
              <w:t>Апрель 27 1917</w:t>
            </w:r>
          </w:p>
        </w:tc>
        <w:tc>
          <w:tcPr>
            <w:tcW w:w="1170" w:type="dxa"/>
            <w:shd w:val="clear" w:color="auto" w:fill="FFFFFF"/>
          </w:tcPr>
          <w:p w14:paraId="678CEA65" w14:textId="77777777" w:rsidR="004B4E35" w:rsidRPr="00405303" w:rsidRDefault="009E6F82" w:rsidP="00C15251">
            <w:pPr>
              <w:jc w:val="both"/>
              <w:rPr>
                <w:bCs/>
                <w:color w:val="002060"/>
                <w:sz w:val="16"/>
                <w:szCs w:val="16"/>
              </w:rPr>
            </w:pPr>
            <w:r w:rsidRPr="00405303">
              <w:rPr>
                <w:bCs/>
                <w:color w:val="002060"/>
                <w:sz w:val="16"/>
                <w:szCs w:val="16"/>
              </w:rPr>
              <w:t>70</w:t>
            </w:r>
          </w:p>
        </w:tc>
        <w:tc>
          <w:tcPr>
            <w:tcW w:w="6858" w:type="dxa"/>
            <w:shd w:val="clear" w:color="auto" w:fill="FFFFFF"/>
          </w:tcPr>
          <w:p w14:paraId="24091370" w14:textId="77777777" w:rsidR="004B4E35" w:rsidRPr="00405303" w:rsidRDefault="009E6F82" w:rsidP="00C15251">
            <w:pPr>
              <w:jc w:val="both"/>
              <w:rPr>
                <w:bCs/>
                <w:color w:val="002060"/>
                <w:sz w:val="16"/>
                <w:szCs w:val="16"/>
              </w:rPr>
            </w:pPr>
            <w:r w:rsidRPr="00405303">
              <w:rPr>
                <w:bCs/>
                <w:color w:val="002060"/>
                <w:sz w:val="16"/>
                <w:szCs w:val="16"/>
              </w:rPr>
              <w:t>II тыс. руб. за аппарат без мотора, с уплатой 10% лицензион</w:t>
            </w:r>
            <w:r w:rsidRPr="00405303">
              <w:rPr>
                <w:bCs/>
                <w:color w:val="002060"/>
                <w:sz w:val="16"/>
                <w:szCs w:val="16"/>
              </w:rPr>
              <w:softHyphen/>
              <w:t>ной стоимости ПРТВ; аппараты под мотор «Рон» 110 л. с. или «Гном-Моносупап» 100-110 л. с.; полезная нагрузка 300 кг, скороподъемность 500 м за 5 мин., 1000 м за 10 мин., 2000 м за 30 мин., скорость 100 км/ч, запасы бензина/масла 215/21 л; срок исполнения с 1 декабря 1917 г. по 1 апреля 1918 г. (аннулирован к 2 ноября 1917 г.)</w:t>
            </w:r>
          </w:p>
          <w:p w14:paraId="0B3B7500" w14:textId="77777777" w:rsidR="004B4E35" w:rsidRPr="00405303" w:rsidRDefault="009E6F82" w:rsidP="00C15251">
            <w:pPr>
              <w:jc w:val="both"/>
              <w:rPr>
                <w:bCs/>
                <w:color w:val="002060"/>
                <w:sz w:val="16"/>
                <w:szCs w:val="16"/>
              </w:rPr>
            </w:pPr>
            <w:r w:rsidRPr="00405303">
              <w:rPr>
                <w:bCs/>
                <w:color w:val="002060"/>
                <w:sz w:val="16"/>
                <w:szCs w:val="16"/>
              </w:rPr>
              <w:t>ПРИМЕЧАНИЯ: условный контракт, данный компании Ф. Мельцера в Петрограде</w:t>
            </w:r>
          </w:p>
        </w:tc>
      </w:tr>
      <w:tr w:rsidR="004B4E35" w:rsidRPr="00405303" w14:paraId="433A46EB" w14:textId="77777777">
        <w:tc>
          <w:tcPr>
            <w:tcW w:w="1548" w:type="dxa"/>
            <w:shd w:val="clear" w:color="auto" w:fill="FFFFFF"/>
          </w:tcPr>
          <w:p w14:paraId="5377DCD4" w14:textId="77777777" w:rsidR="004B4E35" w:rsidRPr="00405303" w:rsidRDefault="009E6F82" w:rsidP="00C15251">
            <w:pPr>
              <w:jc w:val="both"/>
              <w:rPr>
                <w:bCs/>
                <w:color w:val="002060"/>
                <w:sz w:val="16"/>
                <w:szCs w:val="16"/>
              </w:rPr>
            </w:pPr>
            <w:r w:rsidRPr="00405303">
              <w:rPr>
                <w:bCs/>
                <w:color w:val="002060"/>
                <w:sz w:val="16"/>
                <w:szCs w:val="16"/>
              </w:rPr>
              <w:t>Апрель 29 1917</w:t>
            </w:r>
          </w:p>
        </w:tc>
        <w:tc>
          <w:tcPr>
            <w:tcW w:w="1170" w:type="dxa"/>
            <w:shd w:val="clear" w:color="auto" w:fill="FFFFFF"/>
          </w:tcPr>
          <w:p w14:paraId="385F8BAF" w14:textId="77777777" w:rsidR="004B4E35" w:rsidRPr="00405303" w:rsidRDefault="009E6F82" w:rsidP="00C15251">
            <w:pPr>
              <w:jc w:val="both"/>
              <w:rPr>
                <w:bCs/>
                <w:color w:val="002060"/>
                <w:sz w:val="16"/>
                <w:szCs w:val="16"/>
              </w:rPr>
            </w:pPr>
            <w:r w:rsidRPr="00405303">
              <w:rPr>
                <w:bCs/>
                <w:color w:val="002060"/>
                <w:sz w:val="16"/>
                <w:szCs w:val="16"/>
              </w:rPr>
              <w:t>10</w:t>
            </w:r>
          </w:p>
        </w:tc>
        <w:tc>
          <w:tcPr>
            <w:tcW w:w="6858" w:type="dxa"/>
            <w:shd w:val="clear" w:color="auto" w:fill="FFFFFF"/>
          </w:tcPr>
          <w:p w14:paraId="447E7AD0" w14:textId="77777777" w:rsidR="004B4E35" w:rsidRPr="00405303" w:rsidRDefault="009E6F82" w:rsidP="00C15251">
            <w:pPr>
              <w:jc w:val="both"/>
              <w:rPr>
                <w:bCs/>
                <w:color w:val="002060"/>
                <w:sz w:val="16"/>
                <w:szCs w:val="16"/>
              </w:rPr>
            </w:pPr>
            <w:r w:rsidRPr="00405303">
              <w:rPr>
                <w:bCs/>
                <w:color w:val="002060"/>
                <w:sz w:val="16"/>
                <w:szCs w:val="16"/>
              </w:rPr>
              <w:t>ПРИМЕЧАНИЯ: 10 запасных корпусов; выполнен к 25 мая 1917 г.; возможно, помимо корпусов поставлено и 20 запасных нижних крыльев</w:t>
            </w:r>
          </w:p>
        </w:tc>
      </w:tr>
      <w:tr w:rsidR="004B4E35" w:rsidRPr="00405303" w14:paraId="1247059D" w14:textId="77777777">
        <w:tc>
          <w:tcPr>
            <w:tcW w:w="1548" w:type="dxa"/>
            <w:shd w:val="clear" w:color="auto" w:fill="FFFFFF"/>
          </w:tcPr>
          <w:p w14:paraId="2DBF788B" w14:textId="77777777" w:rsidR="004B4E35" w:rsidRPr="00405303" w:rsidRDefault="009E6F82" w:rsidP="00C15251">
            <w:pPr>
              <w:jc w:val="both"/>
              <w:rPr>
                <w:bCs/>
                <w:color w:val="002060"/>
                <w:sz w:val="16"/>
                <w:szCs w:val="16"/>
              </w:rPr>
            </w:pPr>
            <w:r w:rsidRPr="00405303">
              <w:rPr>
                <w:bCs/>
                <w:color w:val="002060"/>
                <w:sz w:val="16"/>
                <w:szCs w:val="16"/>
              </w:rPr>
              <w:t>Май 26 1917</w:t>
            </w:r>
          </w:p>
        </w:tc>
        <w:tc>
          <w:tcPr>
            <w:tcW w:w="1170" w:type="dxa"/>
            <w:shd w:val="clear" w:color="auto" w:fill="FFFFFF"/>
          </w:tcPr>
          <w:p w14:paraId="258037CD" w14:textId="77777777" w:rsidR="004B4E35" w:rsidRPr="00405303" w:rsidRDefault="009E6F82" w:rsidP="00C15251">
            <w:pPr>
              <w:jc w:val="both"/>
              <w:rPr>
                <w:bCs/>
                <w:color w:val="002060"/>
                <w:sz w:val="16"/>
                <w:szCs w:val="16"/>
              </w:rPr>
            </w:pPr>
            <w:r w:rsidRPr="00405303">
              <w:rPr>
                <w:bCs/>
                <w:color w:val="002060"/>
                <w:sz w:val="16"/>
                <w:szCs w:val="16"/>
              </w:rPr>
              <w:t>25</w:t>
            </w:r>
          </w:p>
        </w:tc>
        <w:tc>
          <w:tcPr>
            <w:tcW w:w="6858" w:type="dxa"/>
            <w:shd w:val="clear" w:color="auto" w:fill="FFFFFF"/>
          </w:tcPr>
          <w:p w14:paraId="42E97C01" w14:textId="77777777" w:rsidR="004B4E35" w:rsidRPr="00405303" w:rsidRDefault="009E6F82" w:rsidP="00C15251">
            <w:pPr>
              <w:jc w:val="both"/>
              <w:rPr>
                <w:bCs/>
                <w:color w:val="002060"/>
                <w:sz w:val="16"/>
                <w:szCs w:val="16"/>
              </w:rPr>
            </w:pPr>
            <w:r w:rsidRPr="00405303">
              <w:rPr>
                <w:bCs/>
                <w:color w:val="002060"/>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4B4E35" w:rsidRPr="00405303" w14:paraId="12497162" w14:textId="77777777">
        <w:tc>
          <w:tcPr>
            <w:tcW w:w="1548" w:type="dxa"/>
            <w:shd w:val="clear" w:color="auto" w:fill="FFFFFF"/>
          </w:tcPr>
          <w:p w14:paraId="49AF03F1" w14:textId="77777777" w:rsidR="004B4E35" w:rsidRPr="00405303" w:rsidRDefault="009E6F82" w:rsidP="00C15251">
            <w:pPr>
              <w:jc w:val="both"/>
              <w:rPr>
                <w:bCs/>
                <w:color w:val="002060"/>
                <w:sz w:val="16"/>
                <w:szCs w:val="16"/>
              </w:rPr>
            </w:pPr>
            <w:r w:rsidRPr="00405303">
              <w:rPr>
                <w:bCs/>
                <w:color w:val="002060"/>
                <w:sz w:val="16"/>
                <w:szCs w:val="16"/>
              </w:rPr>
              <w:t>Июль 28 1917</w:t>
            </w:r>
          </w:p>
        </w:tc>
        <w:tc>
          <w:tcPr>
            <w:tcW w:w="1170" w:type="dxa"/>
            <w:shd w:val="clear" w:color="auto" w:fill="FFFFFF"/>
          </w:tcPr>
          <w:p w14:paraId="5A371F53" w14:textId="77777777" w:rsidR="004B4E35" w:rsidRPr="00405303" w:rsidRDefault="009E6F82" w:rsidP="00C15251">
            <w:pPr>
              <w:jc w:val="both"/>
              <w:rPr>
                <w:bCs/>
                <w:color w:val="002060"/>
                <w:sz w:val="16"/>
                <w:szCs w:val="16"/>
              </w:rPr>
            </w:pPr>
            <w:r w:rsidRPr="00405303">
              <w:rPr>
                <w:bCs/>
                <w:color w:val="002060"/>
                <w:sz w:val="16"/>
                <w:szCs w:val="16"/>
              </w:rPr>
              <w:t>40</w:t>
            </w:r>
          </w:p>
        </w:tc>
        <w:tc>
          <w:tcPr>
            <w:tcW w:w="6858" w:type="dxa"/>
            <w:shd w:val="clear" w:color="auto" w:fill="FFFFFF"/>
          </w:tcPr>
          <w:p w14:paraId="0FB986C7" w14:textId="77777777" w:rsidR="004B4E35" w:rsidRPr="00405303" w:rsidRDefault="009E6F82" w:rsidP="00C15251">
            <w:pPr>
              <w:jc w:val="both"/>
              <w:rPr>
                <w:bCs/>
                <w:color w:val="002060"/>
                <w:sz w:val="16"/>
                <w:szCs w:val="16"/>
              </w:rPr>
            </w:pPr>
            <w:r w:rsidRPr="00405303">
              <w:rPr>
                <w:bCs/>
                <w:color w:val="002060"/>
                <w:sz w:val="16"/>
                <w:szCs w:val="16"/>
              </w:rPr>
              <w:t>16 тыс. руб. за аппарат под мотор «Рон» 125 л.с., срок исполнения с 1 сентября 1917 г. по 1 января 1918 г. (не выполнен)</w:t>
            </w:r>
          </w:p>
          <w:p w14:paraId="5B7428AE" w14:textId="77777777" w:rsidR="004B4E35" w:rsidRPr="00405303" w:rsidRDefault="009E6F82" w:rsidP="00C15251">
            <w:pPr>
              <w:jc w:val="both"/>
              <w:rPr>
                <w:bCs/>
                <w:color w:val="002060"/>
                <w:sz w:val="16"/>
                <w:szCs w:val="16"/>
              </w:rPr>
            </w:pPr>
            <w:r w:rsidRPr="00405303">
              <w:rPr>
                <w:bCs/>
                <w:color w:val="002060"/>
                <w:sz w:val="16"/>
                <w:szCs w:val="16"/>
              </w:rPr>
              <w:t>ПРИМЕЧАНИЯ: заказ дан Опытному заводу Д. П. Григоровича (см. главу 2 и раздел М-20)</w:t>
            </w:r>
          </w:p>
        </w:tc>
      </w:tr>
      <w:tr w:rsidR="004B4E35" w:rsidRPr="00405303" w14:paraId="37BBE03B" w14:textId="77777777">
        <w:tc>
          <w:tcPr>
            <w:tcW w:w="1548" w:type="dxa"/>
            <w:shd w:val="clear" w:color="auto" w:fill="FFFFFF"/>
          </w:tcPr>
          <w:p w14:paraId="268F6BBC" w14:textId="77777777" w:rsidR="004B4E35" w:rsidRPr="00405303" w:rsidRDefault="009E6F82" w:rsidP="00C15251">
            <w:pPr>
              <w:jc w:val="both"/>
              <w:rPr>
                <w:bCs/>
                <w:color w:val="002060"/>
                <w:sz w:val="16"/>
                <w:szCs w:val="16"/>
              </w:rPr>
            </w:pPr>
            <w:r w:rsidRPr="00405303">
              <w:rPr>
                <w:bCs/>
                <w:color w:val="002060"/>
                <w:sz w:val="16"/>
                <w:szCs w:val="16"/>
              </w:rPr>
              <w:t>Август 31 1917</w:t>
            </w:r>
          </w:p>
        </w:tc>
        <w:tc>
          <w:tcPr>
            <w:tcW w:w="1170" w:type="dxa"/>
            <w:shd w:val="clear" w:color="auto" w:fill="FFFFFF"/>
          </w:tcPr>
          <w:p w14:paraId="6724C870" w14:textId="77777777" w:rsidR="004B4E35" w:rsidRPr="00405303" w:rsidRDefault="009E6F82" w:rsidP="00C15251">
            <w:pPr>
              <w:jc w:val="both"/>
              <w:rPr>
                <w:bCs/>
                <w:color w:val="002060"/>
                <w:sz w:val="16"/>
                <w:szCs w:val="16"/>
              </w:rPr>
            </w:pPr>
            <w:r w:rsidRPr="00405303">
              <w:rPr>
                <w:bCs/>
                <w:color w:val="002060"/>
                <w:sz w:val="16"/>
                <w:szCs w:val="16"/>
              </w:rPr>
              <w:t>4</w:t>
            </w:r>
          </w:p>
        </w:tc>
        <w:tc>
          <w:tcPr>
            <w:tcW w:w="6858" w:type="dxa"/>
            <w:shd w:val="clear" w:color="auto" w:fill="FFFFFF"/>
          </w:tcPr>
          <w:p w14:paraId="092A52EC" w14:textId="77777777" w:rsidR="004B4E35" w:rsidRPr="00405303" w:rsidRDefault="009E6F82" w:rsidP="00C15251">
            <w:pPr>
              <w:jc w:val="both"/>
              <w:rPr>
                <w:bCs/>
                <w:color w:val="002060"/>
                <w:sz w:val="16"/>
                <w:szCs w:val="16"/>
              </w:rPr>
            </w:pPr>
            <w:r w:rsidRPr="00405303">
              <w:rPr>
                <w:bCs/>
                <w:color w:val="002060"/>
                <w:sz w:val="16"/>
                <w:szCs w:val="16"/>
              </w:rPr>
              <w:t>контракт на ранее приобретенные аппараты (2807)</w:t>
            </w:r>
          </w:p>
        </w:tc>
      </w:tr>
    </w:tbl>
    <w:p w14:paraId="3D960FA0" w14:textId="77777777" w:rsidR="004B4E35" w:rsidRPr="00405303" w:rsidRDefault="004B4E35" w:rsidP="00C15251">
      <w:pPr>
        <w:shd w:val="clear" w:color="auto" w:fill="FFFFFF"/>
        <w:jc w:val="both"/>
        <w:rPr>
          <w:bCs/>
          <w:color w:val="002060"/>
          <w:sz w:val="16"/>
          <w:szCs w:val="16"/>
        </w:rPr>
      </w:pPr>
    </w:p>
    <w:p w14:paraId="40E23EF2"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4295B13E" w14:textId="77777777" w:rsidR="004B4E35" w:rsidRPr="00405303" w:rsidRDefault="004B4E35" w:rsidP="00C15251">
      <w:pPr>
        <w:shd w:val="clear" w:color="auto" w:fill="FFFFFF"/>
        <w:jc w:val="both"/>
        <w:rPr>
          <w:bCs/>
          <w:i/>
          <w:color w:val="002060"/>
          <w:sz w:val="16"/>
          <w:szCs w:val="16"/>
        </w:rPr>
      </w:pPr>
    </w:p>
    <w:p w14:paraId="03BD5D83" w14:textId="5524611F" w:rsidR="00974CD5" w:rsidRPr="00405303" w:rsidRDefault="00974CD5" w:rsidP="00C15251">
      <w:pPr>
        <w:jc w:val="both"/>
        <w:rPr>
          <w:bCs/>
          <w:color w:val="002060"/>
          <w:sz w:val="16"/>
          <w:szCs w:val="16"/>
        </w:rPr>
      </w:pPr>
      <w:r w:rsidRPr="00405303">
        <w:rPr>
          <w:bCs/>
          <w:color w:val="002060"/>
          <w:sz w:val="16"/>
          <w:szCs w:val="16"/>
        </w:rPr>
        <w:t xml:space="preserve">10 </w:t>
      </w:r>
      <w:r w:rsidR="00E533F5" w:rsidRPr="00405303">
        <w:rPr>
          <w:bCs/>
          <w:color w:val="002060"/>
          <w:sz w:val="16"/>
          <w:szCs w:val="16"/>
        </w:rPr>
        <w:t xml:space="preserve">(23) </w:t>
      </w:r>
      <w:r w:rsidRPr="00405303">
        <w:rPr>
          <w:bCs/>
          <w:color w:val="002060"/>
          <w:sz w:val="16"/>
          <w:szCs w:val="16"/>
        </w:rPr>
        <w:t>июля в 1915 году образова</w:t>
      </w:r>
      <w:r w:rsidR="00E533F5" w:rsidRPr="00405303">
        <w:rPr>
          <w:bCs/>
          <w:color w:val="002060"/>
          <w:sz w:val="16"/>
          <w:szCs w:val="16"/>
        </w:rPr>
        <w:t>лся</w:t>
      </w:r>
      <w:r w:rsidRPr="00405303">
        <w:rPr>
          <w:bCs/>
          <w:color w:val="002060"/>
          <w:sz w:val="16"/>
          <w:szCs w:val="16"/>
        </w:rPr>
        <w:t xml:space="preserve"> Земгор (объединенного комитета Всероссийского Земского и Городского союзов) (14948).</w:t>
      </w:r>
    </w:p>
    <w:p w14:paraId="12B910BB" w14:textId="77777777" w:rsidR="00974CD5" w:rsidRPr="00405303" w:rsidRDefault="00974CD5" w:rsidP="00C15251">
      <w:pPr>
        <w:jc w:val="both"/>
        <w:rPr>
          <w:bCs/>
          <w:color w:val="002060"/>
          <w:sz w:val="16"/>
          <w:szCs w:val="16"/>
        </w:rPr>
      </w:pPr>
    </w:p>
    <w:p w14:paraId="60C39ADE" w14:textId="316C12DC" w:rsidR="004B4E35" w:rsidRPr="00405303" w:rsidRDefault="009E6F82" w:rsidP="00C15251">
      <w:pPr>
        <w:jc w:val="both"/>
        <w:rPr>
          <w:bCs/>
          <w:color w:val="002060"/>
          <w:sz w:val="16"/>
          <w:szCs w:val="16"/>
        </w:rPr>
      </w:pPr>
      <w:r w:rsidRPr="00405303">
        <w:rPr>
          <w:bCs/>
          <w:color w:val="002060"/>
          <w:sz w:val="16"/>
          <w:szCs w:val="16"/>
        </w:rPr>
        <w:t>10</w:t>
      </w:r>
      <w:r w:rsidR="00E533F5" w:rsidRPr="00405303">
        <w:rPr>
          <w:bCs/>
          <w:color w:val="002060"/>
          <w:sz w:val="16"/>
          <w:szCs w:val="16"/>
        </w:rPr>
        <w:t xml:space="preserve"> (23) июля </w:t>
      </w:r>
      <w:r w:rsidRPr="00405303">
        <w:rPr>
          <w:bCs/>
          <w:color w:val="002060"/>
          <w:sz w:val="16"/>
          <w:szCs w:val="16"/>
        </w:rPr>
        <w:t>1915</w:t>
      </w:r>
      <w:r w:rsidR="00E533F5" w:rsidRPr="00405303">
        <w:rPr>
          <w:bCs/>
          <w:color w:val="002060"/>
          <w:sz w:val="16"/>
          <w:szCs w:val="16"/>
        </w:rPr>
        <w:t xml:space="preserve"> </w:t>
      </w:r>
      <w:r w:rsidRPr="00405303">
        <w:rPr>
          <w:bCs/>
          <w:color w:val="002060"/>
          <w:sz w:val="16"/>
          <w:szCs w:val="16"/>
        </w:rPr>
        <w:t>г. завод</w:t>
      </w:r>
      <w:r w:rsidR="00E533F5" w:rsidRPr="00405303">
        <w:rPr>
          <w:bCs/>
          <w:color w:val="002060"/>
          <w:sz w:val="16"/>
          <w:szCs w:val="16"/>
        </w:rPr>
        <w:t xml:space="preserve">ы Ванкова (А и О) </w:t>
      </w:r>
      <w:r w:rsidRPr="00405303">
        <w:rPr>
          <w:bCs/>
          <w:color w:val="002060"/>
          <w:sz w:val="16"/>
          <w:szCs w:val="16"/>
        </w:rPr>
        <w:t>получил заказ на снаряжение 1,6 млн. снарядов, а всего по 1917</w:t>
      </w:r>
      <w:r w:rsidR="00E533F5" w:rsidRPr="00405303">
        <w:rPr>
          <w:bCs/>
          <w:color w:val="002060"/>
          <w:sz w:val="16"/>
          <w:szCs w:val="16"/>
        </w:rPr>
        <w:t xml:space="preserve"> </w:t>
      </w:r>
      <w:r w:rsidRPr="00405303">
        <w:rPr>
          <w:bCs/>
          <w:color w:val="002060"/>
          <w:sz w:val="16"/>
          <w:szCs w:val="16"/>
        </w:rPr>
        <w:t>г. были выданы заказы на 17 млн. снарядов. В 12.1915г. было начато строительство специального корпуса для снаряжения химических боеприпасов. Мощность этого производства составляла до 2500 снарядов в сутки. В конце 1916г. освоено снаряжение в небольших количествах 122-мм и 155-мм снарядов.</w:t>
      </w:r>
    </w:p>
    <w:p w14:paraId="4B1914AF" w14:textId="77777777" w:rsidR="004B4E35" w:rsidRPr="00405303" w:rsidRDefault="009E6F82" w:rsidP="00C15251">
      <w:pPr>
        <w:jc w:val="both"/>
        <w:rPr>
          <w:bCs/>
          <w:color w:val="002060"/>
          <w:sz w:val="16"/>
          <w:szCs w:val="16"/>
        </w:rPr>
      </w:pPr>
      <w:r w:rsidRPr="00405303">
        <w:rPr>
          <w:bCs/>
          <w:color w:val="002060"/>
          <w:sz w:val="16"/>
          <w:szCs w:val="16"/>
        </w:rPr>
        <w:t>В 1915г. было снаряжено лишь 52,4 тыс. снарядов; в 1916г. - 7,3 млн. (в т.ч. 930 тыс. химических); в 1917г. - 6,7 млн. (в т.ч. 800 тыс. химических).</w:t>
      </w:r>
    </w:p>
    <w:p w14:paraId="1C3B55D8" w14:textId="77777777" w:rsidR="004B4E35" w:rsidRPr="00405303" w:rsidRDefault="009E6F82" w:rsidP="00C15251">
      <w:pPr>
        <w:jc w:val="both"/>
        <w:rPr>
          <w:bCs/>
          <w:color w:val="002060"/>
          <w:sz w:val="16"/>
          <w:szCs w:val="16"/>
        </w:rPr>
      </w:pPr>
      <w:r w:rsidRPr="00405303">
        <w:rPr>
          <w:bCs/>
          <w:color w:val="002060"/>
          <w:sz w:val="16"/>
          <w:szCs w:val="16"/>
        </w:rPr>
        <w:t>В 1916г. был построен третий снаряжательный завод в Богородском уезде.</w:t>
      </w:r>
    </w:p>
    <w:p w14:paraId="2B58F1E6" w14:textId="77777777" w:rsidR="004B4E35" w:rsidRPr="00405303" w:rsidRDefault="009E6F82" w:rsidP="00C15251">
      <w:pPr>
        <w:jc w:val="both"/>
        <w:rPr>
          <w:bCs/>
          <w:color w:val="002060"/>
          <w:sz w:val="16"/>
          <w:szCs w:val="16"/>
        </w:rPr>
      </w:pPr>
      <w:r w:rsidRPr="00405303">
        <w:rPr>
          <w:bCs/>
          <w:color w:val="002060"/>
          <w:sz w:val="16"/>
          <w:szCs w:val="16"/>
        </w:rPr>
        <w:t>В 12.1917г. Второв передал оба завода в ведение ГАУ. В 11.1918г. помещения бывшей фабрики Байера передали под фабрику Гознака, а снаряжательные мастерские - под склады ГАУ. В 1931г. на площадке фабрики Гознака был организован завод по изготовлению штампов, приспособлений и пресс-форм, в 1938г. он был передан в ведение 1ГУ НКОП. В 1939г. завод был влит в состав завода № 1 ОАП НКАП.</w:t>
      </w:r>
    </w:p>
    <w:p w14:paraId="0E44C166" w14:textId="77777777" w:rsidR="004B4E35" w:rsidRPr="00405303" w:rsidRDefault="009E6F82" w:rsidP="00C15251">
      <w:pPr>
        <w:jc w:val="both"/>
        <w:rPr>
          <w:bCs/>
          <w:color w:val="002060"/>
          <w:sz w:val="16"/>
          <w:szCs w:val="16"/>
        </w:rPr>
      </w:pPr>
      <w:r w:rsidRPr="00405303">
        <w:rPr>
          <w:bCs/>
          <w:color w:val="002060"/>
          <w:sz w:val="16"/>
          <w:szCs w:val="16"/>
        </w:rPr>
        <w:t>Численность персонала (1916г.)- около 2000 чел. (11982)</w:t>
      </w:r>
    </w:p>
    <w:p w14:paraId="7EBC2C69" w14:textId="77777777" w:rsidR="004B4E35" w:rsidRPr="00405303" w:rsidRDefault="004B4E35" w:rsidP="00C15251">
      <w:pPr>
        <w:jc w:val="both"/>
        <w:rPr>
          <w:bCs/>
          <w:color w:val="002060"/>
          <w:sz w:val="16"/>
          <w:szCs w:val="16"/>
        </w:rPr>
      </w:pPr>
    </w:p>
    <w:p w14:paraId="1400A77E" w14:textId="5135DA4C" w:rsidR="004B4E35" w:rsidRPr="00405303" w:rsidRDefault="009E6F82" w:rsidP="00C15251">
      <w:pPr>
        <w:pStyle w:val="a3"/>
        <w:jc w:val="both"/>
        <w:rPr>
          <w:bCs/>
          <w:i w:val="0"/>
          <w:color w:val="002060"/>
          <w:spacing w:val="0"/>
          <w:kern w:val="0"/>
          <w:position w:val="0"/>
          <w:sz w:val="16"/>
          <w:szCs w:val="16"/>
        </w:rPr>
      </w:pPr>
      <w:bookmarkStart w:id="187" w:name="_Hlk117686947"/>
      <w:r w:rsidRPr="00405303">
        <w:rPr>
          <w:bCs/>
          <w:i w:val="0"/>
          <w:color w:val="002060"/>
          <w:spacing w:val="0"/>
          <w:kern w:val="0"/>
          <w:position w:val="0"/>
          <w:sz w:val="16"/>
          <w:szCs w:val="16"/>
        </w:rPr>
        <w:t xml:space="preserve">10 </w:t>
      </w:r>
      <w:r w:rsidR="00E533F5" w:rsidRPr="00405303">
        <w:rPr>
          <w:bCs/>
          <w:i w:val="0"/>
          <w:color w:val="002060"/>
          <w:spacing w:val="0"/>
          <w:kern w:val="0"/>
          <w:position w:val="0"/>
          <w:sz w:val="16"/>
          <w:szCs w:val="16"/>
        </w:rPr>
        <w:t xml:space="preserve">(23) </w:t>
      </w:r>
      <w:r w:rsidRPr="00405303">
        <w:rPr>
          <w:bCs/>
          <w:i w:val="0"/>
          <w:color w:val="002060"/>
          <w:spacing w:val="0"/>
          <w:kern w:val="0"/>
          <w:position w:val="0"/>
          <w:sz w:val="16"/>
          <w:szCs w:val="16"/>
        </w:rPr>
        <w:t xml:space="preserve">июля 1915 </w:t>
      </w:r>
      <w:r w:rsidR="00E533F5" w:rsidRPr="00405303">
        <w:rPr>
          <w:bCs/>
          <w:i w:val="0"/>
          <w:color w:val="002060"/>
          <w:spacing w:val="0"/>
          <w:kern w:val="0"/>
          <w:position w:val="0"/>
          <w:sz w:val="16"/>
          <w:szCs w:val="16"/>
        </w:rPr>
        <w:t xml:space="preserve">г. </w:t>
      </w:r>
      <w:r w:rsidRPr="00405303">
        <w:rPr>
          <w:bCs/>
          <w:i w:val="0"/>
          <w:color w:val="002060"/>
          <w:spacing w:val="0"/>
          <w:kern w:val="0"/>
          <w:position w:val="0"/>
          <w:sz w:val="16"/>
          <w:szCs w:val="16"/>
        </w:rPr>
        <w:t>велосипедная фабрика А. Лейтнера в Риге получила приказ об эвакуации в Харьков, так как немецкие войска уже подходили к этому прибалтийскому городу. Фабрика выполняла заказ Главного военно-технического управления (ГВТУ) на поставку военных велосипедов и взрывателей для гранат. 24 сентября 1915 года имущество и оборудование «Фабрики велосипедов и автомобилей «Россия» А. Лейтнера и Ко» было отправлено со станции Ревель в нескольких десятках вагонов в Харьков. Примерно в то же время «Дукс» получает крупный военный заказ на производство аэропланов и гидропланов. Велосипедное производство отступает на второй план, так как почти все производственные мощности были переориентированы на авиапроизводство. Дело в том, что к этому моменту фабрика осталась единственным отечественным поставщиком авиации для фронта (11257).</w:t>
      </w:r>
    </w:p>
    <w:p w14:paraId="78263D40" w14:textId="77777777" w:rsidR="004B4E35" w:rsidRPr="00405303" w:rsidRDefault="004B4E35" w:rsidP="00C15251">
      <w:pPr>
        <w:pStyle w:val="a3"/>
        <w:jc w:val="both"/>
        <w:rPr>
          <w:bCs/>
          <w:i w:val="0"/>
          <w:color w:val="002060"/>
          <w:spacing w:val="0"/>
          <w:kern w:val="0"/>
          <w:position w:val="0"/>
          <w:sz w:val="16"/>
          <w:szCs w:val="16"/>
        </w:rPr>
      </w:pPr>
    </w:p>
    <w:bookmarkEnd w:id="187"/>
    <w:p w14:paraId="16D68FD8" w14:textId="220C093E"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10 (2</w:t>
      </w:r>
      <w:r w:rsidR="00E533F5" w:rsidRPr="00405303">
        <w:rPr>
          <w:bCs/>
          <w:i w:val="0"/>
          <w:color w:val="002060"/>
          <w:spacing w:val="0"/>
          <w:kern w:val="0"/>
          <w:position w:val="0"/>
          <w:sz w:val="16"/>
          <w:szCs w:val="16"/>
        </w:rPr>
        <w:t>3</w:t>
      </w:r>
      <w:r w:rsidRPr="00405303">
        <w:rPr>
          <w:bCs/>
          <w:i w:val="0"/>
          <w:color w:val="002060"/>
          <w:spacing w:val="0"/>
          <w:kern w:val="0"/>
          <w:position w:val="0"/>
          <w:sz w:val="16"/>
          <w:szCs w:val="16"/>
        </w:rPr>
        <w:t>) июля 1915 года</w:t>
      </w:r>
      <w:r w:rsidR="00E533F5" w:rsidRPr="00405303">
        <w:rPr>
          <w:bCs/>
          <w:i w:val="0"/>
          <w:color w:val="002060"/>
          <w:spacing w:val="0"/>
          <w:kern w:val="0"/>
          <w:position w:val="0"/>
          <w:sz w:val="16"/>
          <w:szCs w:val="16"/>
        </w:rPr>
        <w:t xml:space="preserve"> был получен приказ ГВТУ об эвакуации оборудования и работников фабрики Лейтнера. Кроме того, лицам, работавшим на фабрике, давалась бронь от призыва на военную службу</w:t>
      </w:r>
      <w:r w:rsidRPr="00405303">
        <w:rPr>
          <w:bCs/>
          <w:i w:val="0"/>
          <w:color w:val="002060"/>
          <w:spacing w:val="0"/>
          <w:kern w:val="0"/>
          <w:position w:val="0"/>
          <w:sz w:val="16"/>
          <w:szCs w:val="16"/>
        </w:rPr>
        <w:t xml:space="preserve">, а 24 июля имущество фабрики было отправлено со станции Ревель в Харьков, где разместилось в помещении бывшей фабрики Гельферикс-Саде на Корсиковской улице. После этого Александр Александрович Лейтнер вернулся в Ригу. Исполнять обязанности директора в Харькове остался бывший заведующий производством Александр Каспарович Фельдман -- человек с редкостным талантом организатора. </w:t>
      </w:r>
    </w:p>
    <w:p w14:paraId="4059064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9 февраля 1916 года в Харьков на имя Лейтнера из Москвы был передан патент, техническая документация и образец для производства складного военного велосипеда модели "Дукс Боевой" конструкции М.М. Щипанова. 16 марта был заключен контракт на изготовление 3000 "Дуксов Боевых" для ГВТУ. В Харькове фабрика работала до конца ноября 1917 года. Всего же велосипедов "Дукс Боевой" было изготовлено 3600 штук. </w:t>
      </w:r>
    </w:p>
    <w:p w14:paraId="32535E4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За 31 год своего существования "Фабрика велосипедов и автомобилей "Россия" А. Лейтнера и К'" прошла путь от мелкой кустарной мастерской до крупнейшего в отрасли предприятия. За это время на ней было выпущено более 100000 велосипедов 60 моделей, 5 моделей мотоциклов и трициклов, несколько вариантов автомобилей. </w:t>
      </w:r>
    </w:p>
    <w:p w14:paraId="4354033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На сегодня известно 14 сохранившихся велосипедов (из них 5 в коллекции автора этих строк ), 2 мотоцикла фабрики Лейтнера, автомобили, к сожалению, до нас не дошли (11274).</w:t>
      </w:r>
    </w:p>
    <w:p w14:paraId="090C046A" w14:textId="77777777" w:rsidR="004B4E35" w:rsidRPr="00405303" w:rsidRDefault="004B4E35" w:rsidP="00C15251">
      <w:pPr>
        <w:pStyle w:val="a3"/>
        <w:jc w:val="both"/>
        <w:rPr>
          <w:bCs/>
          <w:i w:val="0"/>
          <w:color w:val="002060"/>
          <w:spacing w:val="0"/>
          <w:kern w:val="0"/>
          <w:position w:val="0"/>
          <w:sz w:val="16"/>
          <w:szCs w:val="16"/>
        </w:rPr>
      </w:pPr>
    </w:p>
    <w:p w14:paraId="2D120929"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27F63BA5" w14:textId="77777777" w:rsidR="004B4E35" w:rsidRPr="00405303" w:rsidRDefault="004B4E35" w:rsidP="00C15251">
      <w:pPr>
        <w:pStyle w:val="a3"/>
        <w:jc w:val="both"/>
        <w:rPr>
          <w:bCs/>
          <w:color w:val="002060"/>
          <w:spacing w:val="0"/>
          <w:kern w:val="0"/>
          <w:position w:val="0"/>
          <w:sz w:val="16"/>
          <w:szCs w:val="16"/>
        </w:rPr>
      </w:pPr>
    </w:p>
    <w:p w14:paraId="2C5AE2F0" w14:textId="24DB738B" w:rsidR="004B4E35" w:rsidRPr="00405303" w:rsidRDefault="009E6F82" w:rsidP="00C15251">
      <w:pPr>
        <w:jc w:val="both"/>
        <w:rPr>
          <w:bCs/>
          <w:color w:val="002060"/>
          <w:sz w:val="16"/>
          <w:szCs w:val="16"/>
        </w:rPr>
      </w:pPr>
      <w:r w:rsidRPr="00405303">
        <w:rPr>
          <w:bCs/>
          <w:color w:val="002060"/>
          <w:sz w:val="16"/>
          <w:szCs w:val="16"/>
        </w:rPr>
        <w:t>10-18 (23-31) июля</w:t>
      </w:r>
      <w:r w:rsidR="00854D5C" w:rsidRPr="00405303">
        <w:rPr>
          <w:bCs/>
          <w:color w:val="002060"/>
          <w:sz w:val="16"/>
          <w:szCs w:val="16"/>
        </w:rPr>
        <w:t xml:space="preserve"> 1915 г.</w:t>
      </w:r>
      <w:r w:rsidRPr="00405303">
        <w:rPr>
          <w:bCs/>
          <w:color w:val="002060"/>
          <w:sz w:val="16"/>
          <w:szCs w:val="16"/>
        </w:rPr>
        <w:t>, несмотря на сильную облачность, ливни и грозы, на перехват вражеских аэропланов по заданию штаба 2-й армии 19 раз поднимались экипажи 2-го армейского и 1-го корпусного авиаотрядов. Ни один вражеский самолет не смог достигнуть черты города</w:t>
      </w:r>
      <w:r w:rsidR="00854D5C" w:rsidRPr="00405303">
        <w:rPr>
          <w:bCs/>
          <w:color w:val="002060"/>
          <w:sz w:val="16"/>
          <w:szCs w:val="16"/>
        </w:rPr>
        <w:t xml:space="preserve"> Варшава</w:t>
      </w:r>
      <w:r w:rsidRPr="00405303">
        <w:rPr>
          <w:bCs/>
          <w:color w:val="002060"/>
          <w:sz w:val="16"/>
          <w:szCs w:val="16"/>
        </w:rPr>
        <w:t>. Наиболее напряженным был вечер 11 (24) июля, когда экипажу француза-добровольца А. Пуарэ пришлось сделать три вылета. Для наблюдения за воздушным пространством над Варшавой несколько вылетов совершил известный ас - поручик Е.Н. Крутень.</w:t>
      </w:r>
    </w:p>
    <w:p w14:paraId="35C0DB4B" w14:textId="77777777" w:rsidR="004B4E35" w:rsidRPr="00405303" w:rsidRDefault="004B4E35" w:rsidP="00C15251">
      <w:pPr>
        <w:jc w:val="both"/>
        <w:rPr>
          <w:bCs/>
          <w:i/>
          <w:color w:val="002060"/>
          <w:sz w:val="16"/>
          <w:szCs w:val="16"/>
        </w:rPr>
      </w:pPr>
    </w:p>
    <w:p w14:paraId="7317AA49" w14:textId="469D7194" w:rsidR="00512C11" w:rsidRPr="00405303" w:rsidRDefault="00512C11" w:rsidP="00C15251">
      <w:pPr>
        <w:jc w:val="both"/>
        <w:rPr>
          <w:bCs/>
          <w:color w:val="002060"/>
          <w:sz w:val="16"/>
          <w:szCs w:val="16"/>
        </w:rPr>
      </w:pPr>
      <w:r w:rsidRPr="00405303">
        <w:rPr>
          <w:bCs/>
          <w:color w:val="002060"/>
          <w:sz w:val="16"/>
          <w:szCs w:val="16"/>
        </w:rPr>
        <w:t xml:space="preserve">10 (23) июля 1915 г. летчик 19 КАО шт.-ротмистр Владимир Люцианович Ягелло с наблюдателем Рудовичем выполнил </w:t>
      </w:r>
      <w:proofErr w:type="gramStart"/>
      <w:r w:rsidRPr="00405303">
        <w:rPr>
          <w:bCs/>
          <w:color w:val="002060"/>
          <w:sz w:val="16"/>
          <w:szCs w:val="16"/>
        </w:rPr>
        <w:t>задание</w:t>
      </w:r>
      <w:proofErr w:type="gramEnd"/>
      <w:r w:rsidRPr="00405303">
        <w:rPr>
          <w:bCs/>
          <w:color w:val="002060"/>
          <w:sz w:val="16"/>
          <w:szCs w:val="16"/>
        </w:rPr>
        <w:t xml:space="preserve"> но восстановлению утерянной связи между штабами 5-й армии и 19-го армейского корпуса.</w:t>
      </w:r>
      <w:r w:rsidR="00A22DCA" w:rsidRPr="00405303">
        <w:rPr>
          <w:bCs/>
          <w:color w:val="002060"/>
          <w:sz w:val="16"/>
          <w:szCs w:val="16"/>
        </w:rPr>
        <w:t xml:space="preserve"> </w:t>
      </w:r>
      <w:r w:rsidRPr="00405303">
        <w:rPr>
          <w:bCs/>
          <w:color w:val="002060"/>
          <w:sz w:val="16"/>
          <w:szCs w:val="16"/>
        </w:rPr>
        <w:t xml:space="preserve">В этом полете Ягелло имел вынужденную посадку из-за порчи мотора в неприятельском расположении. Устранив неисправность, экипаж продолжал </w:t>
      </w:r>
      <w:proofErr w:type="gramStart"/>
      <w:r w:rsidRPr="00405303">
        <w:rPr>
          <w:bCs/>
          <w:color w:val="002060"/>
          <w:sz w:val="16"/>
          <w:szCs w:val="16"/>
        </w:rPr>
        <w:t>полет,п</w:t>
      </w:r>
      <w:proofErr w:type="gramEnd"/>
      <w:r w:rsidRPr="00405303">
        <w:rPr>
          <w:bCs/>
          <w:color w:val="002060"/>
          <w:sz w:val="16"/>
          <w:szCs w:val="16"/>
        </w:rPr>
        <w:t xml:space="preserve"> ока не отыскал штаб корпуса.</w:t>
      </w:r>
    </w:p>
    <w:p w14:paraId="6DEC9712" w14:textId="77777777" w:rsidR="00512C11" w:rsidRPr="00405303" w:rsidRDefault="00512C11"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Русский инвалид» ,1916, № 154; «Военный летчик», 1917, № 4/ (23320).</w:t>
      </w:r>
    </w:p>
    <w:p w14:paraId="662D934A" w14:textId="77777777" w:rsidR="00512C11" w:rsidRPr="00405303" w:rsidRDefault="00512C11" w:rsidP="00C15251">
      <w:pPr>
        <w:jc w:val="both"/>
        <w:rPr>
          <w:bCs/>
          <w:i/>
          <w:color w:val="002060"/>
          <w:sz w:val="16"/>
          <w:szCs w:val="16"/>
        </w:rPr>
      </w:pPr>
    </w:p>
    <w:p w14:paraId="42A99860" w14:textId="286C84C0" w:rsidR="00974CD5" w:rsidRPr="00405303" w:rsidRDefault="00974CD5" w:rsidP="00C15251">
      <w:pPr>
        <w:jc w:val="both"/>
        <w:rPr>
          <w:bCs/>
          <w:i/>
          <w:color w:val="002060"/>
          <w:sz w:val="16"/>
          <w:szCs w:val="16"/>
        </w:rPr>
      </w:pPr>
      <w:r w:rsidRPr="00405303">
        <w:rPr>
          <w:bCs/>
          <w:i/>
          <w:color w:val="002060"/>
          <w:sz w:val="16"/>
          <w:szCs w:val="16"/>
        </w:rPr>
        <w:t>Армия:</w:t>
      </w:r>
    </w:p>
    <w:p w14:paraId="7F476354" w14:textId="77777777" w:rsidR="00974CD5" w:rsidRPr="00405303" w:rsidRDefault="00974CD5" w:rsidP="00C15251">
      <w:pPr>
        <w:jc w:val="both"/>
        <w:rPr>
          <w:bCs/>
          <w:i/>
          <w:color w:val="002060"/>
          <w:sz w:val="16"/>
          <w:szCs w:val="16"/>
        </w:rPr>
      </w:pPr>
    </w:p>
    <w:p w14:paraId="70BA8027" w14:textId="45E349BA" w:rsidR="00974CD5" w:rsidRPr="00405303" w:rsidRDefault="00974CD5" w:rsidP="00C15251">
      <w:pPr>
        <w:jc w:val="both"/>
        <w:rPr>
          <w:bCs/>
          <w:color w:val="002060"/>
          <w:sz w:val="16"/>
          <w:szCs w:val="16"/>
        </w:rPr>
      </w:pPr>
      <w:r w:rsidRPr="00405303">
        <w:rPr>
          <w:bCs/>
          <w:color w:val="002060"/>
          <w:sz w:val="16"/>
          <w:szCs w:val="16"/>
        </w:rPr>
        <w:t xml:space="preserve">10 </w:t>
      </w:r>
      <w:r w:rsidR="00854D5C" w:rsidRPr="00405303">
        <w:rPr>
          <w:bCs/>
          <w:color w:val="002060"/>
          <w:sz w:val="16"/>
          <w:szCs w:val="16"/>
        </w:rPr>
        <w:t xml:space="preserve">(23) </w:t>
      </w:r>
      <w:r w:rsidRPr="00405303">
        <w:rPr>
          <w:bCs/>
          <w:color w:val="002060"/>
          <w:sz w:val="16"/>
          <w:szCs w:val="16"/>
        </w:rPr>
        <w:t>июля в 1915 году русская подлодка «Краб» заминировала Босфорский пролив (14948).</w:t>
      </w:r>
    </w:p>
    <w:p w14:paraId="3DD35513" w14:textId="77777777" w:rsidR="00974CD5" w:rsidRPr="00405303" w:rsidRDefault="00974CD5" w:rsidP="00C15251">
      <w:pPr>
        <w:jc w:val="both"/>
        <w:rPr>
          <w:bCs/>
          <w:color w:val="002060"/>
          <w:sz w:val="16"/>
          <w:szCs w:val="16"/>
        </w:rPr>
      </w:pPr>
    </w:p>
    <w:p w14:paraId="6F738BF2"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3ECCBF25" w14:textId="77777777" w:rsidR="004B4E35" w:rsidRPr="00405303" w:rsidRDefault="004B4E35" w:rsidP="00C15251">
      <w:pPr>
        <w:jc w:val="both"/>
        <w:rPr>
          <w:bCs/>
          <w:i/>
          <w:color w:val="002060"/>
          <w:sz w:val="16"/>
          <w:szCs w:val="16"/>
        </w:rPr>
      </w:pPr>
    </w:p>
    <w:p w14:paraId="4FCDCE93" w14:textId="260218F5" w:rsidR="004B4E35" w:rsidRPr="00405303" w:rsidRDefault="009E6F82" w:rsidP="00C15251">
      <w:pPr>
        <w:jc w:val="both"/>
        <w:rPr>
          <w:bCs/>
          <w:color w:val="002060"/>
          <w:sz w:val="16"/>
          <w:szCs w:val="16"/>
        </w:rPr>
      </w:pPr>
      <w:r w:rsidRPr="00405303">
        <w:rPr>
          <w:bCs/>
          <w:color w:val="002060"/>
          <w:sz w:val="16"/>
          <w:szCs w:val="16"/>
        </w:rPr>
        <w:t>10 (23) июля 1915 года</w:t>
      </w:r>
      <w:r w:rsidR="00854D5C" w:rsidRPr="00405303">
        <w:rPr>
          <w:bCs/>
          <w:color w:val="002060"/>
          <w:sz w:val="16"/>
          <w:szCs w:val="16"/>
        </w:rPr>
        <w:t xml:space="preserve"> появился рапорт Командующего английским флотом адмирала Джеллико, который с лета 1915 года предвидел роль цеппелинов на море и принял меры противодействия налетам на английские порты, в Адмиралтейство</w:t>
      </w:r>
      <w:r w:rsidRPr="00405303">
        <w:rPr>
          <w:bCs/>
          <w:color w:val="002060"/>
          <w:sz w:val="16"/>
          <w:szCs w:val="16"/>
        </w:rPr>
        <w:t>. Немецкое морское командование до 1916 года не придавало особого значения совместным операциям флота с цеппелинами и уделяло все свое внимание рейдам на территорию Англии. Для перехвата дирижаблей в море Черчилль приказал вооружить одну легкую эскадру специальной зенитной артиллерией. Эта эскадра, 6-й противовоздушный легкий дивизион крейсеров, начиная с июня 1915 года базировалась на Хамбере. Подлодки Е-4 и Е-6 вооружили 100-мм пушками для борьбы с цеппелинами в Германской бухте. Входившие в состав отряда из Гарвича крейсера «Аврора» и «Пенелопа» приняли на борт гидросамолеты, которые могли быть использованы в благоприятных обстоятельствах (11234).</w:t>
      </w:r>
    </w:p>
    <w:p w14:paraId="257AB8F7" w14:textId="77777777" w:rsidR="004B4E35" w:rsidRPr="00405303" w:rsidRDefault="004B4E35" w:rsidP="00C15251">
      <w:pPr>
        <w:jc w:val="both"/>
        <w:rPr>
          <w:bCs/>
          <w:i/>
          <w:color w:val="002060"/>
          <w:sz w:val="16"/>
          <w:szCs w:val="16"/>
        </w:rPr>
      </w:pPr>
    </w:p>
    <w:p w14:paraId="7016B438" w14:textId="77777777" w:rsidR="00974CD5" w:rsidRPr="00405303" w:rsidRDefault="00974CD5"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320CB60A" w14:textId="77777777" w:rsidR="00974CD5" w:rsidRPr="00405303" w:rsidRDefault="00974CD5" w:rsidP="00C15251">
      <w:pPr>
        <w:pStyle w:val="a3"/>
        <w:jc w:val="both"/>
        <w:rPr>
          <w:bCs/>
          <w:color w:val="002060"/>
          <w:spacing w:val="0"/>
          <w:kern w:val="0"/>
          <w:position w:val="0"/>
          <w:sz w:val="16"/>
          <w:szCs w:val="16"/>
        </w:rPr>
      </w:pPr>
    </w:p>
    <w:p w14:paraId="087133CE" w14:textId="20287DB6" w:rsidR="00974CD5" w:rsidRPr="00405303" w:rsidRDefault="00974CD5" w:rsidP="00C15251">
      <w:pPr>
        <w:shd w:val="clear" w:color="auto" w:fill="FFFFFF"/>
        <w:jc w:val="both"/>
        <w:rPr>
          <w:bCs/>
          <w:color w:val="002060"/>
          <w:sz w:val="16"/>
          <w:szCs w:val="16"/>
        </w:rPr>
      </w:pPr>
      <w:r w:rsidRPr="00405303">
        <w:rPr>
          <w:bCs/>
          <w:color w:val="002060"/>
          <w:sz w:val="16"/>
          <w:szCs w:val="16"/>
        </w:rPr>
        <w:t xml:space="preserve">11 (24) июля 1915 </w:t>
      </w:r>
      <w:r w:rsidR="00854D5C" w:rsidRPr="00405303">
        <w:rPr>
          <w:bCs/>
          <w:color w:val="002060"/>
          <w:sz w:val="16"/>
          <w:szCs w:val="16"/>
        </w:rPr>
        <w:t xml:space="preserve">г. подробная характеристика аппарата ВМ—1, то есть Виллиш Морской — 1, датированная изобретателем 9-м июля, </w:t>
      </w:r>
      <w:r w:rsidRPr="00405303">
        <w:rPr>
          <w:bCs/>
          <w:color w:val="002060"/>
          <w:sz w:val="16"/>
          <w:szCs w:val="16"/>
        </w:rPr>
        <w:t>была пред</w:t>
      </w:r>
      <w:r w:rsidRPr="00405303">
        <w:rPr>
          <w:bCs/>
          <w:color w:val="002060"/>
          <w:sz w:val="16"/>
          <w:szCs w:val="16"/>
        </w:rPr>
        <w:softHyphen/>
        <w:t>ставлена Ф.В. Эбергардом в Морской генеральный штаб (МГШ) вместе с предложением о постройке опытного экземпляра стоимостью 9.500 руб. Производитель обещал изготовить аэроплан в течение 6 недель или около того, а в ходе приемных испытаний машине пред</w:t>
      </w:r>
      <w:r w:rsidRPr="00405303">
        <w:rPr>
          <w:bCs/>
          <w:color w:val="002060"/>
          <w:sz w:val="16"/>
          <w:szCs w:val="16"/>
        </w:rPr>
        <w:softHyphen/>
        <w:t>стояло показать скорость порядка 100-110 км/час и достигнуть с нагрузкой 350 кг высоты 1000 м за 10 минут. Виллиш и Эбергард рассчитывали на успех в случае доставки Морским ведомством мотора "Гном-Моносупап" 100 л.с., а также просили о назначении офицера, на</w:t>
      </w:r>
      <w:r w:rsidRPr="00405303">
        <w:rPr>
          <w:bCs/>
          <w:color w:val="002060"/>
          <w:sz w:val="16"/>
          <w:szCs w:val="16"/>
        </w:rPr>
        <w:softHyphen/>
        <w:t>блюдавшего бы за сборкой летающей лодки (2843).</w:t>
      </w:r>
    </w:p>
    <w:p w14:paraId="79DD243F" w14:textId="77777777" w:rsidR="00974CD5" w:rsidRPr="00405303" w:rsidRDefault="00974CD5" w:rsidP="00C15251">
      <w:pPr>
        <w:shd w:val="clear" w:color="auto" w:fill="FFFFFF"/>
        <w:jc w:val="both"/>
        <w:rPr>
          <w:bCs/>
          <w:color w:val="002060"/>
          <w:sz w:val="16"/>
          <w:szCs w:val="16"/>
        </w:rPr>
      </w:pPr>
    </w:p>
    <w:p w14:paraId="33C490DB" w14:textId="77777777" w:rsidR="004B4E35" w:rsidRPr="00405303" w:rsidRDefault="009E6F82" w:rsidP="00C15251">
      <w:pPr>
        <w:jc w:val="both"/>
        <w:rPr>
          <w:bCs/>
          <w:i/>
          <w:color w:val="002060"/>
          <w:sz w:val="16"/>
          <w:szCs w:val="16"/>
        </w:rPr>
      </w:pPr>
      <w:r w:rsidRPr="00405303">
        <w:rPr>
          <w:bCs/>
          <w:i/>
          <w:color w:val="002060"/>
          <w:sz w:val="16"/>
          <w:szCs w:val="16"/>
        </w:rPr>
        <w:t>Армия:</w:t>
      </w:r>
    </w:p>
    <w:p w14:paraId="16F5E0BA" w14:textId="77777777" w:rsidR="004B4E35" w:rsidRPr="00405303" w:rsidRDefault="004B4E35" w:rsidP="00C15251">
      <w:pPr>
        <w:jc w:val="both"/>
        <w:rPr>
          <w:bCs/>
          <w:i/>
          <w:color w:val="002060"/>
          <w:sz w:val="16"/>
          <w:szCs w:val="16"/>
        </w:rPr>
      </w:pPr>
    </w:p>
    <w:p w14:paraId="3C9FCFDA" w14:textId="04D533F9" w:rsidR="007908C7" w:rsidRPr="00405303" w:rsidRDefault="007908C7" w:rsidP="00C15251">
      <w:pPr>
        <w:jc w:val="both"/>
        <w:rPr>
          <w:bCs/>
          <w:color w:val="002060"/>
          <w:sz w:val="16"/>
          <w:szCs w:val="16"/>
          <w:lang w:bidi="en-US"/>
        </w:rPr>
      </w:pPr>
      <w:r w:rsidRPr="00405303">
        <w:rPr>
          <w:bCs/>
          <w:color w:val="002060"/>
          <w:sz w:val="16"/>
          <w:szCs w:val="16"/>
          <w:lang w:bidi="en-US"/>
        </w:rPr>
        <w:t xml:space="preserve">11 (24) июля 1915 года царь Николай </w:t>
      </w:r>
      <w:r w:rsidRPr="00405303">
        <w:rPr>
          <w:bCs/>
          <w:color w:val="002060"/>
          <w:sz w:val="16"/>
          <w:szCs w:val="16"/>
          <w:lang w:val="en-US" w:bidi="en-US"/>
        </w:rPr>
        <w:t>II</w:t>
      </w:r>
      <w:r w:rsidRPr="00405303">
        <w:rPr>
          <w:bCs/>
          <w:color w:val="002060"/>
          <w:sz w:val="16"/>
          <w:szCs w:val="16"/>
          <w:lang w:bidi="en-US"/>
        </w:rPr>
        <w:t xml:space="preserve"> приказал арестовать и посадить в тюрьму бывшего военного министра Сухомлинова. Его жена осталась на свободе. Сухомлинов был известен как легкий на подъем, добродушный и беспечный. Его обвинили в лени, беспринципности и, как полагали, он заключал армейские контракты для друзей, которые делились с ним частью своей прибыли. В июле он был лишь одним из многих министров и высокопоставленных чиновников, смещенных со своих постов (23525).</w:t>
      </w:r>
    </w:p>
    <w:p w14:paraId="59F5A899" w14:textId="77777777" w:rsidR="007908C7" w:rsidRPr="00405303" w:rsidRDefault="007908C7" w:rsidP="00C15251">
      <w:pPr>
        <w:jc w:val="both"/>
        <w:rPr>
          <w:bCs/>
          <w:color w:val="002060"/>
          <w:sz w:val="16"/>
          <w:szCs w:val="16"/>
        </w:rPr>
      </w:pPr>
    </w:p>
    <w:p w14:paraId="2CBFFCE3" w14:textId="37AAF693" w:rsidR="004B4E35" w:rsidRPr="00405303" w:rsidRDefault="009E6F82" w:rsidP="00C15251">
      <w:pPr>
        <w:jc w:val="both"/>
        <w:rPr>
          <w:bCs/>
          <w:color w:val="002060"/>
          <w:sz w:val="16"/>
          <w:szCs w:val="16"/>
        </w:rPr>
      </w:pPr>
      <w:r w:rsidRPr="00405303">
        <w:rPr>
          <w:bCs/>
          <w:color w:val="002060"/>
          <w:sz w:val="16"/>
          <w:szCs w:val="16"/>
        </w:rPr>
        <w:t xml:space="preserve">11-го (24-го) </w:t>
      </w:r>
      <w:r w:rsidR="0072358B" w:rsidRPr="00405303">
        <w:rPr>
          <w:bCs/>
          <w:color w:val="002060"/>
          <w:sz w:val="16"/>
          <w:szCs w:val="16"/>
        </w:rPr>
        <w:t xml:space="preserve">июля 1915 г. немецкие аэропланы, атакующие Варшаву, </w:t>
      </w:r>
      <w:r w:rsidRPr="00405303">
        <w:rPr>
          <w:bCs/>
          <w:color w:val="002060"/>
          <w:sz w:val="16"/>
          <w:szCs w:val="16"/>
        </w:rPr>
        <w:t>были отогнаны артогнем и не сбросили бомбы.</w:t>
      </w:r>
      <w:r w:rsidR="0072358B" w:rsidRPr="00405303">
        <w:rPr>
          <w:bCs/>
          <w:color w:val="002060"/>
          <w:sz w:val="16"/>
          <w:szCs w:val="16"/>
        </w:rPr>
        <w:t xml:space="preserve"> </w:t>
      </w:r>
      <w:r w:rsidRPr="00405303">
        <w:rPr>
          <w:bCs/>
          <w:color w:val="002060"/>
          <w:sz w:val="16"/>
          <w:szCs w:val="16"/>
        </w:rPr>
        <w:t>Это были последние зафиксированные гражданскими властями и штабом крепостной артиллерии налеты противника на Варшаву. 11 (24) июля 1915 года главнокомандующий разрешил генерал-губернатору и его управлению покинуть город, а командующему 2-й армией генералу от инфантерии В.В. Смирнову приказал «...произвести эвакуацию цитадели и всех еще оставшихся военных и гражданских учреждений Варшавы» и взорвать мосты через Вислу. Эвакуация крепостной артиллерии проводилась 13 (26)-18(31) июля; покинули город и четыре противоаэропланные батареи.</w:t>
      </w:r>
    </w:p>
    <w:p w14:paraId="5C554C7B" w14:textId="77777777" w:rsidR="004B4E35" w:rsidRPr="00405303" w:rsidRDefault="004B4E35" w:rsidP="00C15251">
      <w:pPr>
        <w:jc w:val="both"/>
        <w:rPr>
          <w:bCs/>
          <w:i/>
          <w:color w:val="002060"/>
          <w:sz w:val="16"/>
          <w:szCs w:val="16"/>
        </w:rPr>
      </w:pPr>
    </w:p>
    <w:p w14:paraId="4F63F77B" w14:textId="595409D7" w:rsidR="004B4E35" w:rsidRPr="00405303" w:rsidRDefault="009E6F82" w:rsidP="00C15251">
      <w:pPr>
        <w:jc w:val="both"/>
        <w:rPr>
          <w:bCs/>
          <w:color w:val="002060"/>
          <w:sz w:val="16"/>
          <w:szCs w:val="16"/>
        </w:rPr>
      </w:pPr>
      <w:r w:rsidRPr="00405303">
        <w:rPr>
          <w:bCs/>
          <w:color w:val="002060"/>
          <w:sz w:val="16"/>
          <w:szCs w:val="16"/>
        </w:rPr>
        <w:t>11 (24) июля</w:t>
      </w:r>
      <w:r w:rsidR="0072358B" w:rsidRPr="00405303">
        <w:rPr>
          <w:bCs/>
          <w:color w:val="002060"/>
          <w:sz w:val="16"/>
          <w:szCs w:val="16"/>
        </w:rPr>
        <w:t xml:space="preserve"> 1915 г. </w:t>
      </w:r>
      <w:r w:rsidRPr="00405303">
        <w:rPr>
          <w:bCs/>
          <w:color w:val="002060"/>
          <w:sz w:val="16"/>
          <w:szCs w:val="16"/>
        </w:rPr>
        <w:t>экипажу француза-добровольца А. Пуарэ пришлось сделать три вылета. Для наблюдения за воздушным пространством над Варшавой несколько вылетов совершил известный ас - поручик Е.Н. Крутень.</w:t>
      </w:r>
    </w:p>
    <w:p w14:paraId="4919F9A2" w14:textId="77777777" w:rsidR="004B4E35" w:rsidRPr="00405303" w:rsidRDefault="004B4E35" w:rsidP="00C15251">
      <w:pPr>
        <w:pStyle w:val="a3"/>
        <w:jc w:val="both"/>
        <w:rPr>
          <w:bCs/>
          <w:color w:val="002060"/>
          <w:spacing w:val="0"/>
          <w:kern w:val="0"/>
          <w:position w:val="0"/>
          <w:sz w:val="16"/>
          <w:szCs w:val="16"/>
        </w:rPr>
      </w:pPr>
    </w:p>
    <w:p w14:paraId="246E27F5" w14:textId="77777777" w:rsidR="00B1364F" w:rsidRPr="00405303" w:rsidRDefault="00B1364F" w:rsidP="00B1364F">
      <w:pPr>
        <w:shd w:val="clear" w:color="auto" w:fill="FFFFFF"/>
        <w:jc w:val="both"/>
        <w:rPr>
          <w:bCs/>
          <w:i/>
          <w:color w:val="002060"/>
          <w:sz w:val="16"/>
          <w:szCs w:val="16"/>
        </w:rPr>
      </w:pPr>
      <w:r w:rsidRPr="00405303">
        <w:rPr>
          <w:bCs/>
          <w:i/>
          <w:color w:val="002060"/>
          <w:sz w:val="16"/>
          <w:szCs w:val="16"/>
        </w:rPr>
        <w:t>Авиация:</w:t>
      </w:r>
    </w:p>
    <w:p w14:paraId="30FFA345" w14:textId="77777777" w:rsidR="00B1364F" w:rsidRPr="00405303" w:rsidRDefault="00B1364F" w:rsidP="00B1364F">
      <w:pPr>
        <w:shd w:val="clear" w:color="auto" w:fill="FFFFFF"/>
        <w:jc w:val="both"/>
        <w:rPr>
          <w:bCs/>
          <w:i/>
          <w:color w:val="002060"/>
          <w:sz w:val="16"/>
          <w:szCs w:val="16"/>
        </w:rPr>
      </w:pPr>
    </w:p>
    <w:p w14:paraId="76FB016A" w14:textId="77777777" w:rsidR="00B1364F" w:rsidRPr="00405303" w:rsidRDefault="00B1364F" w:rsidP="00B1364F">
      <w:pPr>
        <w:jc w:val="both"/>
        <w:rPr>
          <w:color w:val="0070C0"/>
          <w:sz w:val="16"/>
          <w:szCs w:val="16"/>
        </w:rPr>
      </w:pPr>
      <w:r w:rsidRPr="00405303">
        <w:rPr>
          <w:rStyle w:val="aa"/>
          <w:rFonts w:ascii="Times New Roman" w:hAnsi="Times New Roman"/>
          <w:color w:val="0070C0"/>
          <w:spacing w:val="0"/>
          <w:sz w:val="16"/>
          <w:szCs w:val="16"/>
        </w:rPr>
        <w:t>11 (24) июля 1915 г. два русских самолета атаковали возле д. Нараюв (район Золотая Липа) полевой лагерь неприятельских войск, сбросив на него 32 бомбы. По докладам наших летчиков, 26 из них легли точно в цель, вызвав панику среди противника (25135).</w:t>
      </w:r>
    </w:p>
    <w:p w14:paraId="16723885" w14:textId="77777777" w:rsidR="00B1364F" w:rsidRPr="00405303" w:rsidRDefault="00B1364F" w:rsidP="00B1364F">
      <w:pPr>
        <w:jc w:val="both"/>
        <w:rPr>
          <w:color w:val="0070C0"/>
          <w:sz w:val="16"/>
          <w:szCs w:val="16"/>
        </w:rPr>
      </w:pPr>
    </w:p>
    <w:p w14:paraId="048A8E6D" w14:textId="77777777" w:rsidR="00974CD5" w:rsidRPr="00405303" w:rsidRDefault="00974CD5" w:rsidP="00C15251">
      <w:pPr>
        <w:jc w:val="both"/>
        <w:rPr>
          <w:bCs/>
          <w:i/>
          <w:color w:val="002060"/>
          <w:sz w:val="16"/>
          <w:szCs w:val="16"/>
        </w:rPr>
      </w:pPr>
      <w:r w:rsidRPr="00405303">
        <w:rPr>
          <w:bCs/>
          <w:i/>
          <w:color w:val="002060"/>
          <w:sz w:val="16"/>
          <w:szCs w:val="16"/>
        </w:rPr>
        <w:t>Другие оборонные отрасли:</w:t>
      </w:r>
    </w:p>
    <w:p w14:paraId="5286A584" w14:textId="77777777" w:rsidR="00974CD5" w:rsidRPr="00405303" w:rsidRDefault="00974CD5" w:rsidP="00C15251">
      <w:pPr>
        <w:jc w:val="both"/>
        <w:rPr>
          <w:bCs/>
          <w:i/>
          <w:color w:val="002060"/>
          <w:sz w:val="16"/>
          <w:szCs w:val="16"/>
        </w:rPr>
      </w:pPr>
    </w:p>
    <w:p w14:paraId="1288A275" w14:textId="34AD0559" w:rsidR="00974CD5" w:rsidRPr="00405303" w:rsidRDefault="00974CD5" w:rsidP="00C15251">
      <w:pPr>
        <w:jc w:val="both"/>
        <w:rPr>
          <w:bCs/>
          <w:color w:val="002060"/>
          <w:sz w:val="16"/>
          <w:szCs w:val="16"/>
        </w:rPr>
      </w:pPr>
      <w:r w:rsidRPr="00405303">
        <w:rPr>
          <w:bCs/>
          <w:color w:val="002060"/>
          <w:sz w:val="16"/>
          <w:szCs w:val="16"/>
        </w:rPr>
        <w:t xml:space="preserve">12 </w:t>
      </w:r>
      <w:r w:rsidR="0072358B" w:rsidRPr="00405303">
        <w:rPr>
          <w:bCs/>
          <w:color w:val="002060"/>
          <w:sz w:val="16"/>
          <w:szCs w:val="16"/>
        </w:rPr>
        <w:t xml:space="preserve">(25) </w:t>
      </w:r>
      <w:r w:rsidRPr="00405303">
        <w:rPr>
          <w:bCs/>
          <w:color w:val="002060"/>
          <w:sz w:val="16"/>
          <w:szCs w:val="16"/>
        </w:rPr>
        <w:t>июля в 1915 году вступила в строй ПЛ "Барс"(конструктор И.Бубнов) (14950).</w:t>
      </w:r>
    </w:p>
    <w:p w14:paraId="1ECD0C64" w14:textId="77777777" w:rsidR="00974CD5" w:rsidRPr="00405303" w:rsidRDefault="00974CD5" w:rsidP="00C15251">
      <w:pPr>
        <w:jc w:val="both"/>
        <w:rPr>
          <w:bCs/>
          <w:color w:val="002060"/>
          <w:sz w:val="16"/>
          <w:szCs w:val="16"/>
        </w:rPr>
      </w:pPr>
    </w:p>
    <w:p w14:paraId="3B612069"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18252BF2" w14:textId="77777777" w:rsidR="004B4E35" w:rsidRPr="00405303" w:rsidRDefault="004B4E35" w:rsidP="00C15251">
      <w:pPr>
        <w:shd w:val="clear" w:color="auto" w:fill="FFFFFF"/>
        <w:jc w:val="both"/>
        <w:rPr>
          <w:bCs/>
          <w:i/>
          <w:color w:val="002060"/>
          <w:sz w:val="16"/>
          <w:szCs w:val="16"/>
        </w:rPr>
      </w:pPr>
    </w:p>
    <w:p w14:paraId="6513A78C" w14:textId="77777777" w:rsidR="004B4E35" w:rsidRPr="00405303" w:rsidRDefault="009E6F82" w:rsidP="00C15251">
      <w:pPr>
        <w:jc w:val="both"/>
        <w:rPr>
          <w:bCs/>
          <w:color w:val="002060"/>
          <w:sz w:val="16"/>
          <w:szCs w:val="16"/>
        </w:rPr>
      </w:pPr>
      <w:r w:rsidRPr="00405303">
        <w:rPr>
          <w:bCs/>
          <w:color w:val="002060"/>
          <w:sz w:val="16"/>
          <w:szCs w:val="16"/>
        </w:rPr>
        <w:t>12 (25) июля 1915 была утверждена главнокомандующим 6-й армией генерал-адъютантом Н.Рузским (приводится в подлиннике):</w:t>
      </w:r>
    </w:p>
    <w:p w14:paraId="3E0F8E63" w14:textId="77777777" w:rsidR="004B4E35" w:rsidRPr="00405303" w:rsidRDefault="009E6F82" w:rsidP="00C15251">
      <w:pPr>
        <w:jc w:val="both"/>
        <w:rPr>
          <w:bCs/>
          <w:color w:val="002060"/>
          <w:sz w:val="16"/>
          <w:szCs w:val="16"/>
        </w:rPr>
      </w:pPr>
      <w:r w:rsidRPr="00405303">
        <w:rPr>
          <w:bCs/>
          <w:color w:val="002060"/>
          <w:sz w:val="16"/>
          <w:szCs w:val="16"/>
        </w:rPr>
        <w:t>«Утверждаю»</w:t>
      </w:r>
    </w:p>
    <w:p w14:paraId="75D62E59" w14:textId="77777777" w:rsidR="004B4E35" w:rsidRPr="00405303" w:rsidRDefault="009E6F82" w:rsidP="00C15251">
      <w:pPr>
        <w:jc w:val="both"/>
        <w:rPr>
          <w:bCs/>
          <w:color w:val="002060"/>
          <w:sz w:val="16"/>
          <w:szCs w:val="16"/>
        </w:rPr>
      </w:pPr>
      <w:r w:rsidRPr="00405303">
        <w:rPr>
          <w:bCs/>
          <w:color w:val="002060"/>
          <w:sz w:val="16"/>
          <w:szCs w:val="16"/>
        </w:rPr>
        <w:t>Главнокомандующий,</w:t>
      </w:r>
    </w:p>
    <w:p w14:paraId="34BD09FD" w14:textId="77777777" w:rsidR="004B4E35" w:rsidRPr="00405303" w:rsidRDefault="009E6F82" w:rsidP="00C15251">
      <w:pPr>
        <w:jc w:val="both"/>
        <w:rPr>
          <w:bCs/>
          <w:color w:val="002060"/>
          <w:sz w:val="16"/>
          <w:szCs w:val="16"/>
        </w:rPr>
      </w:pPr>
      <w:r w:rsidRPr="00405303">
        <w:rPr>
          <w:bCs/>
          <w:color w:val="002060"/>
          <w:sz w:val="16"/>
          <w:szCs w:val="16"/>
        </w:rPr>
        <w:t>Генерал-Адъютант Рузский</w:t>
      </w:r>
    </w:p>
    <w:p w14:paraId="5334F9EA" w14:textId="77777777" w:rsidR="004B4E35" w:rsidRPr="00405303" w:rsidRDefault="009E6F82" w:rsidP="00C15251">
      <w:pPr>
        <w:jc w:val="both"/>
        <w:rPr>
          <w:bCs/>
          <w:color w:val="002060"/>
          <w:sz w:val="16"/>
          <w:szCs w:val="16"/>
        </w:rPr>
      </w:pPr>
      <w:r w:rsidRPr="00405303">
        <w:rPr>
          <w:bCs/>
          <w:color w:val="002060"/>
          <w:sz w:val="16"/>
          <w:szCs w:val="16"/>
        </w:rPr>
        <w:t>И Н С Т Р У К Ц И Я №7</w:t>
      </w:r>
    </w:p>
    <w:p w14:paraId="32645908" w14:textId="77777777" w:rsidR="004B4E35" w:rsidRPr="00405303" w:rsidRDefault="009E6F82" w:rsidP="00C15251">
      <w:pPr>
        <w:jc w:val="both"/>
        <w:rPr>
          <w:bCs/>
          <w:color w:val="002060"/>
          <w:sz w:val="16"/>
          <w:szCs w:val="16"/>
        </w:rPr>
      </w:pPr>
      <w:r w:rsidRPr="00405303">
        <w:rPr>
          <w:bCs/>
          <w:color w:val="002060"/>
          <w:sz w:val="16"/>
          <w:szCs w:val="16"/>
        </w:rPr>
        <w:t>для действий специального авиационного отряда для воздушной обороны императорской резиденции</w:t>
      </w:r>
    </w:p>
    <w:p w14:paraId="4EB84546" w14:textId="77777777" w:rsidR="004B4E35" w:rsidRPr="00405303" w:rsidRDefault="009E6F82" w:rsidP="00C15251">
      <w:pPr>
        <w:jc w:val="both"/>
        <w:rPr>
          <w:bCs/>
          <w:color w:val="002060"/>
          <w:sz w:val="16"/>
          <w:szCs w:val="16"/>
        </w:rPr>
      </w:pPr>
      <w:r w:rsidRPr="00405303">
        <w:rPr>
          <w:bCs/>
          <w:color w:val="002060"/>
          <w:sz w:val="16"/>
          <w:szCs w:val="16"/>
        </w:rPr>
        <w:t>1. Отряд назначается для воздушной обороны императорской резиденции в Царском Селе.</w:t>
      </w:r>
    </w:p>
    <w:p w14:paraId="0E465F35" w14:textId="77777777" w:rsidR="004B4E35" w:rsidRPr="00405303" w:rsidRDefault="009E6F82" w:rsidP="00C15251">
      <w:pPr>
        <w:jc w:val="both"/>
        <w:rPr>
          <w:bCs/>
          <w:color w:val="002060"/>
          <w:sz w:val="16"/>
          <w:szCs w:val="16"/>
        </w:rPr>
      </w:pPr>
      <w:r w:rsidRPr="00405303">
        <w:rPr>
          <w:bCs/>
          <w:color w:val="002060"/>
          <w:sz w:val="16"/>
          <w:szCs w:val="16"/>
        </w:rPr>
        <w:t>2. Отряд должен быть расположен в Царском Селе.</w:t>
      </w:r>
    </w:p>
    <w:p w14:paraId="3CBF2063" w14:textId="77777777" w:rsidR="004B4E35" w:rsidRPr="00405303" w:rsidRDefault="009E6F82" w:rsidP="00C15251">
      <w:pPr>
        <w:jc w:val="both"/>
        <w:rPr>
          <w:bCs/>
          <w:color w:val="002060"/>
          <w:sz w:val="16"/>
          <w:szCs w:val="16"/>
        </w:rPr>
      </w:pPr>
      <w:r w:rsidRPr="00405303">
        <w:rPr>
          <w:bCs/>
          <w:color w:val="002060"/>
          <w:sz w:val="16"/>
          <w:szCs w:val="16"/>
        </w:rPr>
        <w:t>3. По тревоге отряд изготовляется к подъему, на что необходимо около 20 минут.</w:t>
      </w:r>
    </w:p>
    <w:p w14:paraId="0B4A4F48" w14:textId="77777777" w:rsidR="004B4E35" w:rsidRPr="00405303" w:rsidRDefault="009E6F82" w:rsidP="00C15251">
      <w:pPr>
        <w:jc w:val="both"/>
        <w:rPr>
          <w:bCs/>
          <w:color w:val="002060"/>
          <w:sz w:val="16"/>
          <w:szCs w:val="16"/>
        </w:rPr>
      </w:pPr>
      <w:r w:rsidRPr="00405303">
        <w:rPr>
          <w:bCs/>
          <w:color w:val="002060"/>
          <w:sz w:val="16"/>
          <w:szCs w:val="16"/>
        </w:rPr>
        <w:t>4. По приказанию Заведывающего обороной императорской резиденции отряд поднимается над Дворцом на разные высоты от 1700 мтр. до 3000 мтр. Для подъема на высоты от 1700 до 2500 мтр. необходимо около 1 часа.</w:t>
      </w:r>
    </w:p>
    <w:p w14:paraId="3CD0446A" w14:textId="77777777" w:rsidR="004B4E35" w:rsidRPr="00405303" w:rsidRDefault="009E6F82" w:rsidP="00C15251">
      <w:pPr>
        <w:jc w:val="both"/>
        <w:rPr>
          <w:bCs/>
          <w:color w:val="002060"/>
          <w:sz w:val="16"/>
          <w:szCs w:val="16"/>
        </w:rPr>
      </w:pPr>
      <w:r w:rsidRPr="00405303">
        <w:rPr>
          <w:bCs/>
          <w:color w:val="002060"/>
          <w:sz w:val="16"/>
          <w:szCs w:val="16"/>
        </w:rPr>
        <w:t>5. Отряд при подъеме не вылетает из круга в пределах действия артиллерийского огня отдельной батареи для воздушной артиллерийской обороны императорской резиденции.</w:t>
      </w:r>
    </w:p>
    <w:p w14:paraId="1CDD6662" w14:textId="77777777" w:rsidR="004B4E35" w:rsidRPr="00405303" w:rsidRDefault="009E6F82" w:rsidP="00C15251">
      <w:pPr>
        <w:jc w:val="both"/>
        <w:rPr>
          <w:bCs/>
          <w:color w:val="002060"/>
          <w:sz w:val="16"/>
          <w:szCs w:val="16"/>
        </w:rPr>
      </w:pPr>
      <w:r w:rsidRPr="00405303">
        <w:rPr>
          <w:bCs/>
          <w:color w:val="002060"/>
          <w:sz w:val="16"/>
          <w:szCs w:val="16"/>
        </w:rPr>
        <w:t>6. О подъеме каждого аппарата отряда Заведывающий обороной Царского Села предупреждает каждый взвод батареи отдельно.</w:t>
      </w:r>
    </w:p>
    <w:p w14:paraId="74AD8934" w14:textId="77777777" w:rsidR="004B4E35" w:rsidRPr="00405303" w:rsidRDefault="009E6F82" w:rsidP="00C15251">
      <w:pPr>
        <w:jc w:val="both"/>
        <w:rPr>
          <w:bCs/>
          <w:color w:val="002060"/>
          <w:sz w:val="16"/>
          <w:szCs w:val="16"/>
        </w:rPr>
      </w:pPr>
      <w:r w:rsidRPr="00405303">
        <w:rPr>
          <w:bCs/>
          <w:color w:val="002060"/>
          <w:sz w:val="16"/>
          <w:szCs w:val="16"/>
        </w:rPr>
        <w:t>7. Задача отряда – не допустить неприятельский аппарат появиться над Дворцом, причем преследовать противника вне района Царского Села воспрещается.</w:t>
      </w:r>
    </w:p>
    <w:p w14:paraId="4075744B" w14:textId="77777777" w:rsidR="004B4E35" w:rsidRPr="00405303" w:rsidRDefault="009E6F82" w:rsidP="00C15251">
      <w:pPr>
        <w:jc w:val="both"/>
        <w:rPr>
          <w:bCs/>
          <w:color w:val="002060"/>
          <w:sz w:val="16"/>
          <w:szCs w:val="16"/>
        </w:rPr>
      </w:pPr>
      <w:r w:rsidRPr="00405303">
        <w:rPr>
          <w:bCs/>
          <w:color w:val="002060"/>
          <w:sz w:val="16"/>
          <w:szCs w:val="16"/>
        </w:rPr>
        <w:t>8. В ночное время дежурный летчик вылетает только в случае особо благоприятных условий (белые ночи). В темную ночь вылет бесцелен, так как розыскание невозможно, а для своих войск является крайне трудным отличить свой воздухоплавательный аппарат от неприятельского.</w:t>
      </w:r>
    </w:p>
    <w:p w14:paraId="74FB4A5E" w14:textId="77777777" w:rsidR="004B4E35" w:rsidRPr="00405303" w:rsidRDefault="009E6F82" w:rsidP="00C15251">
      <w:pPr>
        <w:jc w:val="both"/>
        <w:rPr>
          <w:bCs/>
          <w:color w:val="002060"/>
          <w:sz w:val="16"/>
          <w:szCs w:val="16"/>
        </w:rPr>
      </w:pPr>
      <w:r w:rsidRPr="00405303">
        <w:rPr>
          <w:bCs/>
          <w:color w:val="002060"/>
          <w:sz w:val="16"/>
          <w:szCs w:val="16"/>
        </w:rPr>
        <w:t>Вр. и. д. Начальника Штаба, Генерал-майор Бонч-Бруевич (11162).</w:t>
      </w:r>
    </w:p>
    <w:p w14:paraId="6760F248" w14:textId="77777777" w:rsidR="004B4E35" w:rsidRPr="00405303" w:rsidRDefault="004B4E35" w:rsidP="00C15251">
      <w:pPr>
        <w:jc w:val="both"/>
        <w:rPr>
          <w:bCs/>
          <w:color w:val="002060"/>
          <w:sz w:val="16"/>
          <w:szCs w:val="16"/>
        </w:rPr>
      </w:pPr>
    </w:p>
    <w:p w14:paraId="41725C88" w14:textId="6530185B" w:rsidR="003E679D" w:rsidRPr="00405303" w:rsidRDefault="003E679D" w:rsidP="00C15251">
      <w:pPr>
        <w:jc w:val="both"/>
        <w:rPr>
          <w:bCs/>
          <w:color w:val="002060"/>
          <w:sz w:val="16"/>
          <w:szCs w:val="16"/>
        </w:rPr>
      </w:pPr>
      <w:r w:rsidRPr="00405303">
        <w:rPr>
          <w:bCs/>
          <w:color w:val="002060"/>
          <w:sz w:val="16"/>
          <w:szCs w:val="16"/>
          <w:lang w:bidi="ru-RU"/>
        </w:rPr>
        <w:t>12 (25) июля 1915 г.</w:t>
      </w:r>
    </w:p>
    <w:p w14:paraId="5B549A5B" w14:textId="77777777" w:rsidR="003E679D" w:rsidRPr="00405303" w:rsidRDefault="003E679D" w:rsidP="00C15251">
      <w:pPr>
        <w:jc w:val="both"/>
        <w:rPr>
          <w:bCs/>
          <w:color w:val="002060"/>
          <w:sz w:val="16"/>
          <w:szCs w:val="16"/>
        </w:rPr>
      </w:pPr>
      <w:r w:rsidRPr="00405303">
        <w:rPr>
          <w:bCs/>
          <w:color w:val="002060"/>
          <w:sz w:val="16"/>
          <w:szCs w:val="16"/>
          <w:lang w:bidi="ru-RU"/>
        </w:rPr>
        <w:t>«Летопись войны. 11-й и 12-й месяцы. Русский фронт. 12 июля 1915 г.</w:t>
      </w:r>
    </w:p>
    <w:p w14:paraId="57B283CD" w14:textId="77777777" w:rsidR="003E679D" w:rsidRPr="00405303" w:rsidRDefault="003E679D" w:rsidP="00C15251">
      <w:pPr>
        <w:jc w:val="both"/>
        <w:rPr>
          <w:bCs/>
          <w:color w:val="002060"/>
          <w:sz w:val="16"/>
          <w:szCs w:val="16"/>
          <w:lang w:bidi="ru-RU"/>
        </w:rPr>
      </w:pPr>
      <w:r w:rsidRPr="00405303">
        <w:rPr>
          <w:bCs/>
          <w:color w:val="002060"/>
          <w:sz w:val="16"/>
          <w:szCs w:val="16"/>
          <w:lang w:bidi="ru-RU"/>
        </w:rPr>
        <w:t>В 20 верстах от Владимира Волынского, около посада Иваницы, вследствие недо</w:t>
      </w:r>
      <w:r w:rsidRPr="00405303">
        <w:rPr>
          <w:bCs/>
          <w:color w:val="002060"/>
          <w:sz w:val="16"/>
          <w:szCs w:val="16"/>
          <w:lang w:bidi="ru-RU"/>
        </w:rPr>
        <w:softHyphen/>
        <w:t>статка бензина спустился германский аэ</w:t>
      </w:r>
      <w:r w:rsidRPr="00405303">
        <w:rPr>
          <w:bCs/>
          <w:color w:val="002060"/>
          <w:sz w:val="16"/>
          <w:szCs w:val="16"/>
          <w:lang w:bidi="ru-RU"/>
        </w:rPr>
        <w:softHyphen/>
        <w:t>роплан. Два летчика-лейтенанта взяты в плен. Аэроплан, совершенно не повреж</w:t>
      </w:r>
      <w:r w:rsidRPr="00405303">
        <w:rPr>
          <w:bCs/>
          <w:color w:val="002060"/>
          <w:sz w:val="16"/>
          <w:szCs w:val="16"/>
          <w:lang w:bidi="ru-RU"/>
        </w:rPr>
        <w:softHyphen/>
        <w:t>денный, отправлен в Киев (23374).</w:t>
      </w:r>
    </w:p>
    <w:p w14:paraId="76773B24" w14:textId="77777777" w:rsidR="003E679D" w:rsidRPr="00405303" w:rsidRDefault="003E679D" w:rsidP="00C15251">
      <w:pPr>
        <w:jc w:val="both"/>
        <w:rPr>
          <w:bCs/>
          <w:color w:val="002060"/>
          <w:sz w:val="16"/>
          <w:szCs w:val="16"/>
        </w:rPr>
      </w:pPr>
    </w:p>
    <w:p w14:paraId="36D37620" w14:textId="77777777" w:rsidR="00B1364F" w:rsidRPr="00405303" w:rsidRDefault="00B1364F" w:rsidP="00B1364F">
      <w:pPr>
        <w:jc w:val="both"/>
        <w:rPr>
          <w:color w:val="0070C0"/>
          <w:sz w:val="16"/>
          <w:szCs w:val="16"/>
        </w:rPr>
      </w:pPr>
      <w:r w:rsidRPr="00405303">
        <w:rPr>
          <w:rStyle w:val="aa"/>
          <w:rFonts w:ascii="Times New Roman" w:hAnsi="Times New Roman"/>
          <w:color w:val="0070C0"/>
          <w:spacing w:val="0"/>
          <w:sz w:val="16"/>
          <w:szCs w:val="16"/>
        </w:rPr>
        <w:t>12 (25) июля 1915 г. в 20 км от г. Владимир-Волынский нашими частями был захвачен германский самолет, совершивший вынужденную посадку в данном районе. В плен взяты два офицера-летчика и аппарат в качестве трофея (25135).</w:t>
      </w:r>
    </w:p>
    <w:p w14:paraId="69678290" w14:textId="77777777" w:rsidR="00B1364F" w:rsidRPr="00405303" w:rsidRDefault="00B1364F" w:rsidP="00B1364F">
      <w:pPr>
        <w:jc w:val="both"/>
        <w:rPr>
          <w:rStyle w:val="aa"/>
          <w:rFonts w:ascii="Times New Roman" w:hAnsi="Times New Roman"/>
          <w:color w:val="0070C0"/>
          <w:spacing w:val="0"/>
          <w:sz w:val="16"/>
          <w:szCs w:val="16"/>
        </w:rPr>
      </w:pPr>
    </w:p>
    <w:p w14:paraId="4308BF74" w14:textId="77777777" w:rsidR="00B1364F" w:rsidRPr="00405303" w:rsidRDefault="00B1364F" w:rsidP="00B1364F">
      <w:pPr>
        <w:jc w:val="both"/>
        <w:rPr>
          <w:color w:val="0070C0"/>
          <w:sz w:val="16"/>
          <w:szCs w:val="16"/>
        </w:rPr>
      </w:pPr>
      <w:r w:rsidRPr="00405303">
        <w:rPr>
          <w:rStyle w:val="aa"/>
          <w:rFonts w:ascii="Times New Roman" w:hAnsi="Times New Roman"/>
          <w:color w:val="0070C0"/>
          <w:spacing w:val="0"/>
          <w:sz w:val="16"/>
          <w:szCs w:val="16"/>
        </w:rPr>
        <w:t>12 (25) июля 1915 г. около 7 часов вечера над железнодорожной станцией Гура-Кальвария (Мазовецкое воеводство) появилась неприятельская воздушная эскадрилья в составе 5 самолетов. Два из них начали бомбить объекты станции, остальные – новый мост через р. Висла. Всего было сброшено более 40 бомб. Ни одна из них не попала в мост, бомбы же, брошенные на территорию станции, не причинили ей значительного вреда (25135).</w:t>
      </w:r>
    </w:p>
    <w:p w14:paraId="41A5A99F" w14:textId="77777777" w:rsidR="00B1364F" w:rsidRPr="00405303" w:rsidRDefault="00B1364F" w:rsidP="00B1364F">
      <w:pPr>
        <w:jc w:val="both"/>
        <w:rPr>
          <w:color w:val="0070C0"/>
          <w:sz w:val="16"/>
          <w:szCs w:val="16"/>
        </w:rPr>
      </w:pPr>
    </w:p>
    <w:p w14:paraId="0D3B90FF"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41363C23" w14:textId="77777777" w:rsidR="004B4E35" w:rsidRPr="00405303" w:rsidRDefault="004B4E35" w:rsidP="00C15251">
      <w:pPr>
        <w:jc w:val="both"/>
        <w:rPr>
          <w:bCs/>
          <w:i/>
          <w:color w:val="002060"/>
          <w:sz w:val="16"/>
          <w:szCs w:val="16"/>
        </w:rPr>
      </w:pPr>
    </w:p>
    <w:p w14:paraId="58ADD8B7" w14:textId="30902109" w:rsidR="004B4E35" w:rsidRPr="00405303" w:rsidRDefault="0072358B" w:rsidP="00C15251">
      <w:pPr>
        <w:jc w:val="both"/>
        <w:rPr>
          <w:bCs/>
          <w:color w:val="002060"/>
          <w:sz w:val="16"/>
          <w:szCs w:val="16"/>
        </w:rPr>
      </w:pPr>
      <w:r w:rsidRPr="00405303">
        <w:rPr>
          <w:bCs/>
          <w:color w:val="002060"/>
          <w:sz w:val="16"/>
          <w:szCs w:val="16"/>
        </w:rPr>
        <w:t>Н</w:t>
      </w:r>
      <w:r w:rsidR="009E6F82" w:rsidRPr="00405303">
        <w:rPr>
          <w:bCs/>
          <w:color w:val="002060"/>
          <w:sz w:val="16"/>
          <w:szCs w:val="16"/>
        </w:rPr>
        <w:t xml:space="preserve">а 12 </w:t>
      </w:r>
      <w:r w:rsidRPr="00405303">
        <w:rPr>
          <w:bCs/>
          <w:color w:val="002060"/>
          <w:sz w:val="16"/>
          <w:szCs w:val="16"/>
        </w:rPr>
        <w:t xml:space="preserve">(25) </w:t>
      </w:r>
      <w:r w:rsidR="009E6F82" w:rsidRPr="00405303">
        <w:rPr>
          <w:bCs/>
          <w:color w:val="002060"/>
          <w:sz w:val="16"/>
          <w:szCs w:val="16"/>
        </w:rPr>
        <w:t>июля</w:t>
      </w:r>
      <w:r w:rsidRPr="00405303">
        <w:rPr>
          <w:bCs/>
          <w:color w:val="002060"/>
          <w:sz w:val="16"/>
          <w:szCs w:val="16"/>
        </w:rPr>
        <w:t xml:space="preserve"> 1915 г. из доклада начальника службы связи Балтийского моря начальнику штаба флота о состоянии авиации</w:t>
      </w:r>
      <w:r w:rsidR="009E6F82" w:rsidRPr="00405303">
        <w:rPr>
          <w:bCs/>
          <w:color w:val="002060"/>
          <w:sz w:val="16"/>
          <w:szCs w:val="16"/>
        </w:rPr>
        <w:t>:</w:t>
      </w:r>
    </w:p>
    <w:p w14:paraId="205FC1B2" w14:textId="77777777" w:rsidR="004B4E35" w:rsidRPr="00405303" w:rsidRDefault="009E6F82" w:rsidP="00C15251">
      <w:pPr>
        <w:jc w:val="both"/>
        <w:rPr>
          <w:bCs/>
          <w:color w:val="002060"/>
          <w:sz w:val="16"/>
          <w:szCs w:val="16"/>
        </w:rPr>
      </w:pPr>
      <w:r w:rsidRPr="00405303">
        <w:rPr>
          <w:bCs/>
          <w:color w:val="002060"/>
          <w:sz w:val="16"/>
          <w:szCs w:val="16"/>
        </w:rPr>
        <w:t>"1. Расположение авиационных станций: 2-я станция на острове Эзель близ селения Кильконд; 3-я станция близ г. Ревеля в селении Бригитовка и 1-й судовой авиационный отряд, базирующийся на учебном судне "Орлица", находящемся в Гельсингфорсе.</w:t>
      </w:r>
    </w:p>
    <w:p w14:paraId="14967BA5" w14:textId="77777777" w:rsidR="004B4E35" w:rsidRPr="00405303" w:rsidRDefault="009E6F82" w:rsidP="00C15251">
      <w:pPr>
        <w:jc w:val="both"/>
        <w:rPr>
          <w:bCs/>
          <w:color w:val="002060"/>
          <w:sz w:val="16"/>
          <w:szCs w:val="16"/>
        </w:rPr>
      </w:pPr>
      <w:r w:rsidRPr="00405303">
        <w:rPr>
          <w:bCs/>
          <w:color w:val="002060"/>
          <w:sz w:val="16"/>
          <w:szCs w:val="16"/>
        </w:rPr>
        <w:t>2. Состав действующих гидроаэропланов: но 2-й станции - девять "ФБА" и пять бипланов "Фармон"; на 3-й станции - четыре "ФБА" и два биплана типа "Форман" ив 1- м судовом авиационном отряде - четыре "ФБА".</w:t>
      </w:r>
    </w:p>
    <w:p w14:paraId="6C122256" w14:textId="77777777" w:rsidR="004B4E35" w:rsidRPr="00405303" w:rsidRDefault="009E6F82" w:rsidP="00C15251">
      <w:pPr>
        <w:jc w:val="both"/>
        <w:rPr>
          <w:bCs/>
          <w:color w:val="002060"/>
          <w:sz w:val="16"/>
          <w:szCs w:val="16"/>
        </w:rPr>
      </w:pPr>
      <w:r w:rsidRPr="00405303">
        <w:rPr>
          <w:bCs/>
          <w:color w:val="002060"/>
          <w:sz w:val="16"/>
          <w:szCs w:val="16"/>
        </w:rPr>
        <w:t xml:space="preserve">5. Указанное количество гидро- аэроплонов относится только к настоящему времени и обслуживается числом летчиков: но 2-й авиационной станции - восемь; но 3-й авиационной станции - шесть </w:t>
      </w:r>
      <w:proofErr w:type="gramStart"/>
      <w:r w:rsidRPr="00405303">
        <w:rPr>
          <w:bCs/>
          <w:color w:val="002060"/>
          <w:sz w:val="16"/>
          <w:szCs w:val="16"/>
        </w:rPr>
        <w:t>и</w:t>
      </w:r>
      <w:proofErr w:type="gramEnd"/>
      <w:r w:rsidRPr="00405303">
        <w:rPr>
          <w:bCs/>
          <w:color w:val="002060"/>
          <w:sz w:val="16"/>
          <w:szCs w:val="16"/>
        </w:rPr>
        <w:t xml:space="preserve"> но 1-м судовом авиационном отряде - четыре".</w:t>
      </w:r>
    </w:p>
    <w:p w14:paraId="0EBC1C54" w14:textId="77777777" w:rsidR="004B4E35" w:rsidRPr="00405303" w:rsidRDefault="009E6F82" w:rsidP="00C15251">
      <w:pPr>
        <w:jc w:val="both"/>
        <w:rPr>
          <w:bCs/>
          <w:color w:val="002060"/>
          <w:sz w:val="16"/>
          <w:szCs w:val="16"/>
        </w:rPr>
      </w:pPr>
      <w:r w:rsidRPr="00405303">
        <w:rPr>
          <w:bCs/>
          <w:color w:val="002060"/>
          <w:sz w:val="16"/>
          <w:szCs w:val="16"/>
        </w:rPr>
        <w:t>Таким образом, по этому докладу, в боевом составе числилось 24 гидросамолёта и 18 подготовленных лётчиков.</w:t>
      </w:r>
    </w:p>
    <w:p w14:paraId="61978952" w14:textId="77777777" w:rsidR="004B4E35" w:rsidRPr="00405303" w:rsidRDefault="009E6F82" w:rsidP="00C15251">
      <w:pPr>
        <w:jc w:val="both"/>
        <w:rPr>
          <w:bCs/>
          <w:color w:val="002060"/>
          <w:sz w:val="16"/>
          <w:szCs w:val="16"/>
        </w:rPr>
      </w:pPr>
      <w:r w:rsidRPr="00405303">
        <w:rPr>
          <w:bCs/>
          <w:color w:val="002060"/>
          <w:sz w:val="16"/>
          <w:szCs w:val="16"/>
        </w:rPr>
        <w:t>В последнем докладе заслуживает интереса следующая информация: "...при оставлении Моонзун- да: 2-я авиационная станция будет переведена в Ревель. 1-я авиационная станция, бывшая Либавская, находилась в Ревеле у Царской пристани без расформирований, несмотря на убыль пяти лётчиков, из которых два попали в плен, два в тяжелом состоянии после аварий, один от взрыва бомбы потерял ногу (лейтенант А.Н. Прокофьев). По прибытии из школы молодых лётчиков станция вновь будет открыта к действию".</w:t>
      </w:r>
    </w:p>
    <w:p w14:paraId="0D7C0195" w14:textId="77777777" w:rsidR="004B4E35" w:rsidRPr="00405303" w:rsidRDefault="009E6F82" w:rsidP="00C15251">
      <w:pPr>
        <w:jc w:val="both"/>
        <w:rPr>
          <w:bCs/>
          <w:color w:val="002060"/>
          <w:sz w:val="16"/>
          <w:szCs w:val="16"/>
        </w:rPr>
      </w:pPr>
      <w:r w:rsidRPr="00405303">
        <w:rPr>
          <w:bCs/>
          <w:color w:val="002060"/>
          <w:sz w:val="16"/>
          <w:szCs w:val="16"/>
        </w:rPr>
        <w:t>Интересно, что в одном деле документы за подписью различных лиц дают неодинаковые данные о боевом составе (11927).</w:t>
      </w:r>
    </w:p>
    <w:p w14:paraId="69556F18" w14:textId="77777777" w:rsidR="004B4E35" w:rsidRPr="00405303" w:rsidRDefault="004B4E35" w:rsidP="00C15251">
      <w:pPr>
        <w:jc w:val="both"/>
        <w:rPr>
          <w:bCs/>
          <w:color w:val="002060"/>
          <w:sz w:val="16"/>
          <w:szCs w:val="16"/>
        </w:rPr>
      </w:pPr>
    </w:p>
    <w:p w14:paraId="7A4DE243" w14:textId="7811771F" w:rsidR="004B4E35" w:rsidRPr="00405303" w:rsidRDefault="009E6F82" w:rsidP="00C15251">
      <w:pPr>
        <w:jc w:val="both"/>
        <w:rPr>
          <w:bCs/>
          <w:color w:val="002060"/>
          <w:sz w:val="16"/>
          <w:szCs w:val="16"/>
        </w:rPr>
      </w:pPr>
      <w:r w:rsidRPr="00405303">
        <w:rPr>
          <w:bCs/>
          <w:color w:val="002060"/>
          <w:sz w:val="16"/>
          <w:szCs w:val="16"/>
        </w:rPr>
        <w:t xml:space="preserve">12 </w:t>
      </w:r>
      <w:r w:rsidR="0072358B" w:rsidRPr="00405303">
        <w:rPr>
          <w:bCs/>
          <w:color w:val="002060"/>
          <w:sz w:val="16"/>
          <w:szCs w:val="16"/>
        </w:rPr>
        <w:t xml:space="preserve">(25) </w:t>
      </w:r>
      <w:r w:rsidRPr="00405303">
        <w:rPr>
          <w:bCs/>
          <w:color w:val="002060"/>
          <w:sz w:val="16"/>
          <w:szCs w:val="16"/>
        </w:rPr>
        <w:t xml:space="preserve">июля </w:t>
      </w:r>
      <w:r w:rsidR="0072358B" w:rsidRPr="00405303">
        <w:rPr>
          <w:bCs/>
          <w:color w:val="002060"/>
          <w:sz w:val="16"/>
          <w:szCs w:val="16"/>
        </w:rPr>
        <w:t xml:space="preserve">1925 г. "Император Александр I" ыфшел из Одессы и </w:t>
      </w:r>
      <w:r w:rsidRPr="00405303">
        <w:rPr>
          <w:bCs/>
          <w:color w:val="002060"/>
          <w:sz w:val="16"/>
          <w:szCs w:val="16"/>
        </w:rPr>
        <w:t>13 прибыл в Севастополь. Приблизительно в это время лейтенанты Качинский и Ломанов, командированные в Батум с двумя самолётами "Моран", подвергли бомбардировке мечеть в Архаве, где размещался склад военного снаряжения. Замечен взрыв и пожар, продолжавшийся всю ночь (11930).</w:t>
      </w:r>
    </w:p>
    <w:p w14:paraId="18EE2704" w14:textId="77777777" w:rsidR="004B4E35" w:rsidRPr="00405303" w:rsidRDefault="004B4E35" w:rsidP="00C15251">
      <w:pPr>
        <w:jc w:val="both"/>
        <w:rPr>
          <w:bCs/>
          <w:color w:val="002060"/>
          <w:sz w:val="16"/>
          <w:szCs w:val="16"/>
        </w:rPr>
      </w:pPr>
    </w:p>
    <w:p w14:paraId="4FBA6A22" w14:textId="14002729" w:rsidR="00DE7AA4" w:rsidRPr="00405303" w:rsidRDefault="00DE7AA4" w:rsidP="00C15251">
      <w:pPr>
        <w:jc w:val="both"/>
        <w:rPr>
          <w:bCs/>
          <w:i/>
          <w:color w:val="002060"/>
          <w:sz w:val="16"/>
          <w:szCs w:val="16"/>
        </w:rPr>
      </w:pPr>
      <w:r w:rsidRPr="00405303">
        <w:rPr>
          <w:bCs/>
          <w:i/>
          <w:color w:val="002060"/>
          <w:sz w:val="16"/>
          <w:szCs w:val="16"/>
        </w:rPr>
        <w:t>Авиация и воздухоплавание Англии:</w:t>
      </w:r>
    </w:p>
    <w:p w14:paraId="3D867457" w14:textId="77777777" w:rsidR="00DE7AA4" w:rsidRPr="00405303" w:rsidRDefault="00DE7AA4" w:rsidP="00C15251">
      <w:pPr>
        <w:jc w:val="both"/>
        <w:rPr>
          <w:bCs/>
          <w:i/>
          <w:color w:val="002060"/>
          <w:sz w:val="16"/>
          <w:szCs w:val="16"/>
        </w:rPr>
      </w:pPr>
    </w:p>
    <w:p w14:paraId="27F40FF7" w14:textId="77777777" w:rsidR="00AD2AA6" w:rsidRPr="00405303" w:rsidRDefault="00AD2AA6" w:rsidP="00C15251">
      <w:pPr>
        <w:jc w:val="both"/>
        <w:rPr>
          <w:bCs/>
          <w:color w:val="002060"/>
          <w:sz w:val="16"/>
          <w:szCs w:val="16"/>
        </w:rPr>
      </w:pPr>
      <w:r w:rsidRPr="00405303">
        <w:rPr>
          <w:bCs/>
          <w:color w:val="002060"/>
          <w:sz w:val="16"/>
          <w:szCs w:val="16"/>
        </w:rPr>
        <w:t>12 (25) июля 1915 после бомбардировок базы цеппелинов Гонтроде примерно тремя месяцами ранее, капитан Королевского летного корпуса Ланоэ Хокер на Bristol Scout C, военный серийный номер 1611, сбивает три немецких самолета во время патрулирования. над Пассендель, Бельгия. За это достижение он станет первым летчиком разведчиком/истребителем, награжденным Крестом Виктории за бой с самолетами противника (20338).</w:t>
      </w:r>
    </w:p>
    <w:p w14:paraId="59153824" w14:textId="77777777" w:rsidR="00AD2AA6" w:rsidRPr="00405303" w:rsidRDefault="00AD2AA6" w:rsidP="00C15251">
      <w:pPr>
        <w:jc w:val="both"/>
        <w:rPr>
          <w:bCs/>
          <w:color w:val="002060"/>
          <w:sz w:val="16"/>
          <w:szCs w:val="16"/>
        </w:rPr>
      </w:pPr>
    </w:p>
    <w:p w14:paraId="035B95E7" w14:textId="77777777" w:rsidR="00F06028" w:rsidRPr="00405303" w:rsidRDefault="00F06028" w:rsidP="00C15251">
      <w:pPr>
        <w:jc w:val="both"/>
        <w:rPr>
          <w:bCs/>
          <w:i/>
          <w:color w:val="002060"/>
          <w:sz w:val="16"/>
          <w:szCs w:val="16"/>
        </w:rPr>
      </w:pPr>
      <w:r w:rsidRPr="00405303">
        <w:rPr>
          <w:bCs/>
          <w:i/>
          <w:color w:val="002060"/>
          <w:sz w:val="16"/>
          <w:szCs w:val="16"/>
        </w:rPr>
        <w:t>Армия:</w:t>
      </w:r>
    </w:p>
    <w:p w14:paraId="6B928366" w14:textId="77777777" w:rsidR="00F06028" w:rsidRPr="00405303" w:rsidRDefault="00F06028" w:rsidP="00C15251">
      <w:pPr>
        <w:jc w:val="both"/>
        <w:rPr>
          <w:bCs/>
          <w:i/>
          <w:color w:val="002060"/>
          <w:sz w:val="16"/>
          <w:szCs w:val="16"/>
        </w:rPr>
      </w:pPr>
    </w:p>
    <w:p w14:paraId="6EC7E101" w14:textId="01733F47" w:rsidR="00F06028" w:rsidRPr="00405303" w:rsidRDefault="00F06028" w:rsidP="00C15251">
      <w:pPr>
        <w:jc w:val="both"/>
        <w:rPr>
          <w:bCs/>
          <w:color w:val="002060"/>
          <w:sz w:val="16"/>
          <w:szCs w:val="16"/>
        </w:rPr>
      </w:pPr>
      <w:r w:rsidRPr="00405303">
        <w:rPr>
          <w:bCs/>
          <w:color w:val="002060"/>
          <w:sz w:val="16"/>
          <w:szCs w:val="16"/>
        </w:rPr>
        <w:t xml:space="preserve">13 </w:t>
      </w:r>
      <w:r w:rsidR="00DE7AA4" w:rsidRPr="00405303">
        <w:rPr>
          <w:bCs/>
          <w:color w:val="002060"/>
          <w:sz w:val="16"/>
          <w:szCs w:val="16"/>
        </w:rPr>
        <w:t xml:space="preserve">(26) </w:t>
      </w:r>
      <w:r w:rsidRPr="00405303">
        <w:rPr>
          <w:bCs/>
          <w:color w:val="002060"/>
          <w:sz w:val="16"/>
          <w:szCs w:val="16"/>
        </w:rPr>
        <w:t>июля в 1915 году в ходе Первой мировой войны 1914–1918 гг. началась оборонительная операция войск 1-й (генерал от кавалерии А.И.Литвинов) и 12-й (генерал-лейтенант А.Е.Чурин) армий Северо-Западного фронта против 12-й германской армии. В результате упорных боев, продолжавшихся пять дней, был сорван план германского командования по окружению русских войск в Польше (14951).</w:t>
      </w:r>
    </w:p>
    <w:p w14:paraId="050FD46F" w14:textId="77777777" w:rsidR="00F06028" w:rsidRPr="00405303" w:rsidRDefault="00F06028" w:rsidP="00C15251">
      <w:pPr>
        <w:jc w:val="both"/>
        <w:rPr>
          <w:bCs/>
          <w:color w:val="002060"/>
          <w:sz w:val="16"/>
          <w:szCs w:val="16"/>
        </w:rPr>
      </w:pPr>
    </w:p>
    <w:p w14:paraId="51C17033" w14:textId="11BA2F4C" w:rsidR="003E679D" w:rsidRPr="00405303" w:rsidRDefault="003E679D" w:rsidP="00C15251">
      <w:pPr>
        <w:jc w:val="both"/>
        <w:rPr>
          <w:bCs/>
          <w:i/>
          <w:color w:val="002060"/>
          <w:sz w:val="16"/>
          <w:szCs w:val="16"/>
        </w:rPr>
      </w:pPr>
      <w:r w:rsidRPr="00405303">
        <w:rPr>
          <w:bCs/>
          <w:i/>
          <w:color w:val="002060"/>
          <w:sz w:val="16"/>
          <w:szCs w:val="16"/>
        </w:rPr>
        <w:t>Авиация:</w:t>
      </w:r>
    </w:p>
    <w:p w14:paraId="10863325" w14:textId="77777777" w:rsidR="003E679D" w:rsidRPr="00405303" w:rsidRDefault="003E679D" w:rsidP="00C15251">
      <w:pPr>
        <w:jc w:val="both"/>
        <w:rPr>
          <w:bCs/>
          <w:i/>
          <w:color w:val="002060"/>
          <w:sz w:val="16"/>
          <w:szCs w:val="16"/>
        </w:rPr>
      </w:pPr>
    </w:p>
    <w:p w14:paraId="0764DA9A" w14:textId="77777777" w:rsidR="003E679D" w:rsidRPr="00405303" w:rsidRDefault="003E679D" w:rsidP="00C15251">
      <w:pPr>
        <w:jc w:val="both"/>
        <w:rPr>
          <w:bCs/>
          <w:color w:val="002060"/>
          <w:sz w:val="16"/>
          <w:szCs w:val="16"/>
        </w:rPr>
      </w:pPr>
      <w:r w:rsidRPr="00405303">
        <w:rPr>
          <w:bCs/>
          <w:color w:val="002060"/>
          <w:sz w:val="16"/>
          <w:szCs w:val="16"/>
        </w:rPr>
        <w:t>13 июля 1915 г. с германского самолета было сброшено три бомбы в один из наших полевых госпиталей, не причинившие ему никаких потерь и повреждений (23405).</w:t>
      </w:r>
    </w:p>
    <w:p w14:paraId="4322F659" w14:textId="77777777" w:rsidR="003E679D" w:rsidRPr="00405303" w:rsidRDefault="003E679D" w:rsidP="00C15251">
      <w:pPr>
        <w:jc w:val="both"/>
        <w:rPr>
          <w:bCs/>
          <w:color w:val="002060"/>
          <w:sz w:val="16"/>
          <w:szCs w:val="16"/>
        </w:rPr>
      </w:pPr>
    </w:p>
    <w:p w14:paraId="329D0940" w14:textId="77777777" w:rsidR="005458AD" w:rsidRPr="00405303" w:rsidRDefault="005458AD" w:rsidP="005458AD">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lastRenderedPageBreak/>
        <w:t xml:space="preserve">13 (26) июля 1915 г. противник проявил наибольшую активность на отдельных участках русско-германского фронта. Бомбардировке подверглись г. Митава, Холм (Хелм) и ст. Малкин (25135). </w:t>
      </w:r>
    </w:p>
    <w:p w14:paraId="4D789FC3" w14:textId="77777777" w:rsidR="005458AD" w:rsidRPr="00405303" w:rsidRDefault="005458AD" w:rsidP="005458AD">
      <w:pPr>
        <w:jc w:val="both"/>
        <w:rPr>
          <w:rStyle w:val="aa"/>
          <w:rFonts w:ascii="Times New Roman" w:hAnsi="Times New Roman"/>
          <w:color w:val="0070C0"/>
          <w:spacing w:val="0"/>
          <w:sz w:val="16"/>
          <w:szCs w:val="16"/>
        </w:rPr>
      </w:pPr>
    </w:p>
    <w:p w14:paraId="4B555D8C" w14:textId="04FA4719"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24F298AE" w14:textId="77777777" w:rsidR="004B4E35" w:rsidRPr="00405303" w:rsidRDefault="004B4E35" w:rsidP="00C15251">
      <w:pPr>
        <w:jc w:val="both"/>
        <w:rPr>
          <w:bCs/>
          <w:i/>
          <w:color w:val="002060"/>
          <w:sz w:val="16"/>
          <w:szCs w:val="16"/>
        </w:rPr>
      </w:pPr>
    </w:p>
    <w:p w14:paraId="09D8165E" w14:textId="5113D539" w:rsidR="004B4E35" w:rsidRPr="00405303" w:rsidRDefault="009E6F82" w:rsidP="00C15251">
      <w:pPr>
        <w:shd w:val="clear" w:color="auto" w:fill="FFFFFF"/>
        <w:jc w:val="both"/>
        <w:rPr>
          <w:bCs/>
          <w:color w:val="002060"/>
          <w:sz w:val="16"/>
          <w:szCs w:val="16"/>
        </w:rPr>
      </w:pPr>
      <w:r w:rsidRPr="00405303">
        <w:rPr>
          <w:bCs/>
          <w:color w:val="002060"/>
          <w:sz w:val="16"/>
          <w:szCs w:val="16"/>
        </w:rPr>
        <w:t>14 (27) июля1915 фирма получила через командира Петроградского порта соответствующий официальный заказ с предписанием добиться окончания работ к сентябрю 1915 г. Из-за отсутствия нужных стальных труб Ф.В. Эбергард был вынужден заменять их деревянными стойками, что вызвало задержку в строительстве; 27 августа он просил заказчика об от</w:t>
      </w:r>
      <w:r w:rsidRPr="00405303">
        <w:rPr>
          <w:bCs/>
          <w:color w:val="002060"/>
          <w:sz w:val="16"/>
          <w:szCs w:val="16"/>
        </w:rPr>
        <w:softHyphen/>
        <w:t>срочке до 15 сентября, на что получил согласие — всего за 5 дней до этой даты. Аэроплан собрали только в конце сентября или даже в октябре, а 4 ноября его отправили в Ревель для опытов. Спустя неделю А.Ю. Виллиш телеграфировал в МГШ о том, что и аппарат, и его мотор находились в ожидании первого полета; по другой версии, летающую лодку сна</w:t>
      </w:r>
      <w:r w:rsidRPr="00405303">
        <w:rPr>
          <w:bCs/>
          <w:color w:val="002060"/>
          <w:sz w:val="16"/>
          <w:szCs w:val="16"/>
        </w:rPr>
        <w:softHyphen/>
        <w:t>чала доставили в Петроградскую офицерскую школу морских летчиков и только затем, в конце ноября, она поступила в Ревель вместе с некоторым другим школьным имуществом (2843).</w:t>
      </w:r>
    </w:p>
    <w:p w14:paraId="41DECEBE" w14:textId="77777777" w:rsidR="004B4E35" w:rsidRPr="00405303" w:rsidRDefault="004B4E35" w:rsidP="00C15251">
      <w:pPr>
        <w:shd w:val="clear" w:color="auto" w:fill="FFFFFF"/>
        <w:jc w:val="both"/>
        <w:rPr>
          <w:bCs/>
          <w:color w:val="002060"/>
          <w:sz w:val="16"/>
          <w:szCs w:val="16"/>
        </w:rPr>
      </w:pPr>
    </w:p>
    <w:p w14:paraId="1BAE2A83" w14:textId="65D7ACE1" w:rsidR="00F06028" w:rsidRPr="00405303" w:rsidRDefault="00F06028" w:rsidP="00C15251">
      <w:pPr>
        <w:jc w:val="both"/>
        <w:rPr>
          <w:bCs/>
          <w:color w:val="002060"/>
          <w:sz w:val="16"/>
          <w:szCs w:val="16"/>
        </w:rPr>
      </w:pPr>
      <w:r w:rsidRPr="00405303">
        <w:rPr>
          <w:bCs/>
          <w:color w:val="002060"/>
          <w:sz w:val="16"/>
          <w:szCs w:val="16"/>
        </w:rPr>
        <w:t xml:space="preserve">14 </w:t>
      </w:r>
      <w:r w:rsidR="0072358B" w:rsidRPr="00405303">
        <w:rPr>
          <w:bCs/>
          <w:color w:val="002060"/>
          <w:sz w:val="16"/>
          <w:szCs w:val="16"/>
        </w:rPr>
        <w:t xml:space="preserve">(27) </w:t>
      </w:r>
      <w:r w:rsidRPr="00405303">
        <w:rPr>
          <w:bCs/>
          <w:color w:val="002060"/>
          <w:sz w:val="16"/>
          <w:szCs w:val="16"/>
        </w:rPr>
        <w:t xml:space="preserve">июля 1915 г. в докладе </w:t>
      </w:r>
      <w:r w:rsidR="0072358B" w:rsidRPr="00405303">
        <w:rPr>
          <w:bCs/>
          <w:color w:val="002060"/>
          <w:sz w:val="16"/>
          <w:szCs w:val="16"/>
        </w:rPr>
        <w:t xml:space="preserve">в </w:t>
      </w:r>
      <w:r w:rsidRPr="00405303">
        <w:rPr>
          <w:bCs/>
          <w:color w:val="002060"/>
          <w:sz w:val="16"/>
          <w:szCs w:val="16"/>
        </w:rPr>
        <w:t>ВГК Александр Михайлович предложил:</w:t>
      </w:r>
    </w:p>
    <w:p w14:paraId="03A1B51E" w14:textId="77777777" w:rsidR="00F06028" w:rsidRPr="00405303" w:rsidRDefault="00F06028" w:rsidP="00C15251">
      <w:pPr>
        <w:jc w:val="both"/>
        <w:rPr>
          <w:bCs/>
          <w:color w:val="002060"/>
          <w:sz w:val="16"/>
          <w:szCs w:val="16"/>
        </w:rPr>
      </w:pPr>
      <w:r w:rsidRPr="00405303">
        <w:rPr>
          <w:bCs/>
          <w:color w:val="002060"/>
          <w:sz w:val="16"/>
          <w:szCs w:val="16"/>
        </w:rPr>
        <w:t>«1). Реформировать дело приемки путем введения взаимодействия представителей Военного министерства с авиационными органами в армии.</w:t>
      </w:r>
    </w:p>
    <w:p w14:paraId="6DADE4FC" w14:textId="77777777" w:rsidR="00F06028" w:rsidRPr="00405303" w:rsidRDefault="00F06028" w:rsidP="00C15251">
      <w:pPr>
        <w:jc w:val="both"/>
        <w:rPr>
          <w:bCs/>
          <w:color w:val="002060"/>
          <w:sz w:val="16"/>
          <w:szCs w:val="16"/>
        </w:rPr>
      </w:pPr>
      <w:r w:rsidRPr="00405303">
        <w:rPr>
          <w:bCs/>
          <w:color w:val="002060"/>
          <w:sz w:val="16"/>
          <w:szCs w:val="16"/>
        </w:rPr>
        <w:t>2). Установить наблюдение за работами на заводах в формах, гарантирующих правильность и быстроту выполнения заказов.</w:t>
      </w:r>
    </w:p>
    <w:p w14:paraId="43369461" w14:textId="77777777" w:rsidR="00F06028" w:rsidRPr="00405303" w:rsidRDefault="00F06028" w:rsidP="00C15251">
      <w:pPr>
        <w:jc w:val="both"/>
        <w:rPr>
          <w:bCs/>
          <w:color w:val="002060"/>
          <w:sz w:val="16"/>
          <w:szCs w:val="16"/>
        </w:rPr>
      </w:pPr>
      <w:r w:rsidRPr="00405303">
        <w:rPr>
          <w:bCs/>
          <w:color w:val="002060"/>
          <w:sz w:val="16"/>
          <w:szCs w:val="16"/>
        </w:rPr>
        <w:t>3). Покупки за границей возложить на доверенное лицо, знакомое не только с техникой дела, но и с требованиями, выдвинутыми опытом войны, снабдив это лицо широкими полномочиями».</w:t>
      </w:r>
    </w:p>
    <w:p w14:paraId="1FE71865" w14:textId="77777777" w:rsidR="00F06028" w:rsidRPr="00405303" w:rsidRDefault="00F06028" w:rsidP="00C15251">
      <w:pPr>
        <w:jc w:val="both"/>
        <w:rPr>
          <w:bCs/>
          <w:color w:val="002060"/>
          <w:sz w:val="16"/>
          <w:szCs w:val="16"/>
        </w:rPr>
      </w:pPr>
      <w:r w:rsidRPr="00405303">
        <w:rPr>
          <w:bCs/>
          <w:color w:val="002060"/>
          <w:sz w:val="16"/>
          <w:szCs w:val="16"/>
        </w:rPr>
        <w:t>На это ВГК (Николай II) 26 августа 1915 г. повелел следующее: «В целях полного согласования дела снабжения авиационных и воздухоплавательных частей с интересами армии предоставить Августейшему Заведующему организацией авиационного дела в действующей армии право давать руководящие указания по вопросам (...) заказов и приема [авиа]имущества» (19566).</w:t>
      </w:r>
    </w:p>
    <w:p w14:paraId="7F9F9548" w14:textId="77777777" w:rsidR="00F06028" w:rsidRPr="00405303" w:rsidRDefault="00F06028" w:rsidP="00C15251">
      <w:pPr>
        <w:jc w:val="both"/>
        <w:rPr>
          <w:bCs/>
          <w:color w:val="002060"/>
          <w:sz w:val="16"/>
          <w:szCs w:val="16"/>
        </w:rPr>
      </w:pPr>
    </w:p>
    <w:p w14:paraId="574CE143" w14:textId="33E78391" w:rsidR="00DE7AA4" w:rsidRPr="00405303" w:rsidRDefault="00DE7AA4"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3B6AA633" w14:textId="77777777" w:rsidR="00DE7AA4" w:rsidRPr="00405303" w:rsidRDefault="00DE7AA4" w:rsidP="00C15251">
      <w:pPr>
        <w:shd w:val="clear" w:color="auto" w:fill="FFFFFF"/>
        <w:jc w:val="both"/>
        <w:rPr>
          <w:bCs/>
          <w:i/>
          <w:color w:val="002060"/>
          <w:sz w:val="16"/>
          <w:szCs w:val="16"/>
        </w:rPr>
      </w:pPr>
    </w:p>
    <w:p w14:paraId="02C09ABC" w14:textId="77777777" w:rsidR="00DE7AA4" w:rsidRPr="00405303" w:rsidRDefault="00DE7AA4" w:rsidP="00C15251">
      <w:pPr>
        <w:jc w:val="both"/>
        <w:rPr>
          <w:bCs/>
          <w:color w:val="002060"/>
          <w:sz w:val="16"/>
          <w:szCs w:val="16"/>
        </w:rPr>
      </w:pPr>
      <w:r w:rsidRPr="00405303">
        <w:rPr>
          <w:bCs/>
          <w:color w:val="002060"/>
          <w:sz w:val="16"/>
          <w:szCs w:val="16"/>
          <w:shd w:val="clear" w:color="auto" w:fill="FFFFFF"/>
        </w:rPr>
        <w:t xml:space="preserve">14 (27) июля 1915 г. в Главное Артиллерийское </w:t>
      </w:r>
      <w:proofErr w:type="gramStart"/>
      <w:r w:rsidRPr="00405303">
        <w:rPr>
          <w:bCs/>
          <w:color w:val="002060"/>
          <w:sz w:val="16"/>
          <w:szCs w:val="16"/>
          <w:shd w:val="clear" w:color="auto" w:fill="FFFFFF"/>
        </w:rPr>
        <w:t>Управление(</w:t>
      </w:r>
      <w:proofErr w:type="gramEnd"/>
      <w:r w:rsidRPr="00405303">
        <w:rPr>
          <w:bCs/>
          <w:color w:val="002060"/>
          <w:sz w:val="16"/>
          <w:szCs w:val="16"/>
          <w:shd w:val="clear" w:color="auto" w:fill="FFFFFF"/>
        </w:rPr>
        <w:t>ГАУ) поступил рапорт № 36 гвардии полковника Н.А. Гулькевича, известного рядом своих изобретений (ножницы для резки проволоки, складной штык). «Я нашел, – писал Гулькевич, – способ применить специальный двигатель, который можно вооружить пулеметами и легкой пушкой и также свободно уничтожать проволочные заграждения». Он предлагал строить “самодвигатели” на шасси американских гусеничных тракторов с двигателем в 80 л.с., “которые специально предназначены для передвижения по всякому грунту”, а также “подымать гораздо больший груз сравнительно с автомобилем, что дает возможность применения более тяжелой брони, противостоящей даже снарядам легкой артиллерии”, а кроме того, “разрывать и затаптывать в землю проволочные заграждения’’. Каждому армейскому корпусу Гулькевич считал нужным придать по 40 «бронированных и вооруженных самодвигателей». Часть “самодвигателей” должна была буксировать 107-мм (42-линейные) тяжелые пушки для быстрой организации огневой поддержки. Заметим сходство рапорта Гулькевича с письмом подполковника Свинтона в британский Комитет имперской обороны (октябрь 1914г.) и докладной запиской полковника Этьена Главнокомандующему Французской армии (1 декабря 1915г.). Предложение Гулькевича пришлось «посередине» между двумя этими документами, как и они, основывалось на свойствах трактора «Холт», но, в отличие от них, осталось фактически без последствий. 24 июля ГАУ передало рапорт «по назначению» – в ГВТУ, откуда он был переправлен в Отдел Изобретений ЦВПК. Тот лишь 18 января 1916г. запросил от Гулькевича разработанный проект «с пояснениями, чертежами или моделями». Но к тому моменту гусеничных тракторов в России было мало: б начале 1915г. ГВТУ закупило в Америке только 20 «Холт», а 30 июля 1915г. предлагало закупить еще 70 гусеничных тракторов (из них 40 «Холт») и 340 колесных. И Гулькевич вынужден был «на свои личные средства и риск» выписать из Америки два 7-тонных полугусеничных трактора «Аллис-Чалмерс» с газолиновыми двигателями и начать постройку бронеавтомобилей на их шасси. В рапорте в ГАУ от 27 мая 1916 г. он указывал, что намеревается вооружить каждый одной 76-мм горной, двумя 37-мм пушками и двумя пулеметами. Начатое по «частной инициативе» дело затянулось, тем более что заводы были загружены, а «свободных» пушек и пулеметов не оказалось. Требования на гусеничные и полугусеничные трактора военное ведомство впоследствии увеличило, а в начале 1917г. даже намеревалось начать на Брянском заводе производство тракторов типа «Аллис-Чапмерс». Но Гулькевичу от этого не стало бы легче: все количество тракторов «съедалось» тяжелой артиллерией. Правда, кредит на один бронеавтомобиль его системы отпустили, работы вели на Путиловском заводе (20250).</w:t>
      </w:r>
    </w:p>
    <w:p w14:paraId="31FCDF43" w14:textId="77777777" w:rsidR="00DE7AA4" w:rsidRPr="00405303" w:rsidRDefault="00DE7AA4" w:rsidP="00C15251">
      <w:pPr>
        <w:jc w:val="both"/>
        <w:rPr>
          <w:bCs/>
          <w:color w:val="002060"/>
          <w:sz w:val="16"/>
          <w:szCs w:val="16"/>
        </w:rPr>
      </w:pPr>
    </w:p>
    <w:p w14:paraId="282EED02"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2B473753" w14:textId="77777777" w:rsidR="004B4E35" w:rsidRPr="00405303" w:rsidRDefault="004B4E35" w:rsidP="00C15251">
      <w:pPr>
        <w:shd w:val="clear" w:color="auto" w:fill="FFFFFF"/>
        <w:jc w:val="both"/>
        <w:rPr>
          <w:bCs/>
          <w:i/>
          <w:color w:val="002060"/>
          <w:sz w:val="16"/>
          <w:szCs w:val="16"/>
        </w:rPr>
      </w:pPr>
    </w:p>
    <w:p w14:paraId="1996007D" w14:textId="2C915A63" w:rsidR="004B4E35" w:rsidRPr="00405303" w:rsidRDefault="009E6F82" w:rsidP="00C15251">
      <w:pPr>
        <w:jc w:val="both"/>
        <w:rPr>
          <w:bCs/>
          <w:color w:val="002060"/>
          <w:sz w:val="16"/>
          <w:szCs w:val="16"/>
        </w:rPr>
      </w:pPr>
      <w:r w:rsidRPr="00405303">
        <w:rPr>
          <w:bCs/>
          <w:color w:val="002060"/>
          <w:sz w:val="16"/>
          <w:szCs w:val="16"/>
        </w:rPr>
        <w:t xml:space="preserve">14 </w:t>
      </w:r>
      <w:r w:rsidR="0072358B" w:rsidRPr="00405303">
        <w:rPr>
          <w:bCs/>
          <w:color w:val="002060"/>
          <w:sz w:val="16"/>
          <w:szCs w:val="16"/>
        </w:rPr>
        <w:t xml:space="preserve">(17) </w:t>
      </w:r>
      <w:r w:rsidRPr="00405303">
        <w:rPr>
          <w:bCs/>
          <w:color w:val="002060"/>
          <w:sz w:val="16"/>
          <w:szCs w:val="16"/>
        </w:rPr>
        <w:t xml:space="preserve">июля </w:t>
      </w:r>
      <w:r w:rsidR="0072358B" w:rsidRPr="00405303">
        <w:rPr>
          <w:bCs/>
          <w:color w:val="002060"/>
          <w:sz w:val="16"/>
          <w:szCs w:val="16"/>
        </w:rPr>
        <w:t xml:space="preserve">1915 г. корабли ИМ, которые 5 июля перелетели в Марковшизну, а затем в Белосток, </w:t>
      </w:r>
      <w:r w:rsidRPr="00405303">
        <w:rPr>
          <w:bCs/>
          <w:color w:val="002060"/>
          <w:sz w:val="16"/>
          <w:szCs w:val="16"/>
        </w:rPr>
        <w:t>собрались в Лиде (12041).</w:t>
      </w:r>
    </w:p>
    <w:p w14:paraId="2A9D8A89" w14:textId="77777777" w:rsidR="004B4E35" w:rsidRPr="00405303" w:rsidRDefault="004B4E35" w:rsidP="00C15251">
      <w:pPr>
        <w:jc w:val="both"/>
        <w:rPr>
          <w:bCs/>
          <w:color w:val="002060"/>
          <w:sz w:val="16"/>
          <w:szCs w:val="16"/>
        </w:rPr>
      </w:pPr>
    </w:p>
    <w:p w14:paraId="0EAEBAEC" w14:textId="09A09FCF" w:rsidR="003556A0" w:rsidRPr="00405303" w:rsidRDefault="003556A0" w:rsidP="00C15251">
      <w:pPr>
        <w:jc w:val="both"/>
        <w:rPr>
          <w:bCs/>
          <w:color w:val="002060"/>
          <w:sz w:val="16"/>
          <w:szCs w:val="16"/>
        </w:rPr>
      </w:pPr>
      <w:r w:rsidRPr="00405303">
        <w:rPr>
          <w:bCs/>
          <w:color w:val="002060"/>
          <w:sz w:val="16"/>
          <w:szCs w:val="16"/>
        </w:rPr>
        <w:t>14 (17) июля 1915 г. вблизи ст. Олькеники (на линии Вильна - Гродно) в качестве трофея нашим войскам достался потерпевший аварию германский «Альбатрос» (экипаж взят в плен).</w:t>
      </w:r>
    </w:p>
    <w:p w14:paraId="6045A41C" w14:textId="77777777" w:rsidR="003556A0" w:rsidRPr="00405303" w:rsidRDefault="003556A0" w:rsidP="00C15251">
      <w:pPr>
        <w:jc w:val="both"/>
        <w:rPr>
          <w:bCs/>
          <w:color w:val="002060"/>
          <w:sz w:val="16"/>
          <w:szCs w:val="16"/>
        </w:rPr>
      </w:pPr>
      <w:bookmarkStart w:id="188" w:name="bookmark205"/>
      <w:r w:rsidRPr="00405303">
        <w:rPr>
          <w:bCs/>
          <w:color w:val="002060"/>
          <w:sz w:val="16"/>
          <w:szCs w:val="16"/>
        </w:rPr>
        <w:t>В районе Прасныша в ходе воздушного боя русским летчиком сбит неприятельский аппарат (летчик убит пулей). При падении самолет разбился, офицер-наблюдатель разбился (23405).</w:t>
      </w:r>
      <w:bookmarkEnd w:id="188"/>
    </w:p>
    <w:p w14:paraId="6AB59EBC" w14:textId="77777777" w:rsidR="003556A0" w:rsidRPr="00405303" w:rsidRDefault="003556A0" w:rsidP="00C15251">
      <w:pPr>
        <w:jc w:val="both"/>
        <w:rPr>
          <w:bCs/>
          <w:color w:val="002060"/>
          <w:sz w:val="16"/>
          <w:szCs w:val="16"/>
          <w:lang w:bidi="ru-RU"/>
        </w:rPr>
      </w:pPr>
    </w:p>
    <w:p w14:paraId="5B00D3B7" w14:textId="1017A0D9" w:rsidR="00DE7AA4" w:rsidRPr="00405303" w:rsidRDefault="00DE7AA4" w:rsidP="00C15251">
      <w:pPr>
        <w:jc w:val="both"/>
        <w:rPr>
          <w:bCs/>
          <w:i/>
          <w:color w:val="002060"/>
          <w:sz w:val="16"/>
          <w:szCs w:val="16"/>
        </w:rPr>
      </w:pPr>
      <w:r w:rsidRPr="00405303">
        <w:rPr>
          <w:bCs/>
          <w:i/>
          <w:color w:val="002060"/>
          <w:sz w:val="16"/>
          <w:szCs w:val="16"/>
        </w:rPr>
        <w:t>Военное воздухоплавание:</w:t>
      </w:r>
    </w:p>
    <w:p w14:paraId="49C70299" w14:textId="77777777" w:rsidR="00DE7AA4" w:rsidRPr="00405303" w:rsidRDefault="00DE7AA4" w:rsidP="00C15251">
      <w:pPr>
        <w:jc w:val="both"/>
        <w:rPr>
          <w:bCs/>
          <w:i/>
          <w:color w:val="002060"/>
          <w:sz w:val="16"/>
          <w:szCs w:val="16"/>
        </w:rPr>
      </w:pPr>
    </w:p>
    <w:p w14:paraId="681570FD" w14:textId="77777777" w:rsidR="00DE7AA4" w:rsidRPr="00405303" w:rsidRDefault="00DE7AA4" w:rsidP="00C15251">
      <w:pPr>
        <w:jc w:val="both"/>
        <w:rPr>
          <w:bCs/>
          <w:color w:val="002060"/>
          <w:sz w:val="16"/>
          <w:szCs w:val="16"/>
        </w:rPr>
      </w:pPr>
      <w:r w:rsidRPr="00405303">
        <w:rPr>
          <w:rStyle w:val="42"/>
          <w:rFonts w:ascii="Times New Roman" w:hAnsi="Times New Roman" w:cs="Times New Roman"/>
          <w:bCs/>
          <w:color w:val="002060"/>
          <w:w w:val="100"/>
          <w:sz w:val="16"/>
          <w:szCs w:val="16"/>
        </w:rPr>
        <w:t>14 (27) июля 1915 в 23.06 «Астра» вылетела в боевой полёт в район севернее крепости Осовец. Чтобы не дать себя обнаружить или выдать направле</w:t>
      </w:r>
      <w:r w:rsidRPr="00405303">
        <w:rPr>
          <w:rStyle w:val="42"/>
          <w:rFonts w:ascii="Times New Roman" w:hAnsi="Times New Roman" w:cs="Times New Roman"/>
          <w:bCs/>
          <w:color w:val="002060"/>
          <w:w w:val="100"/>
          <w:sz w:val="16"/>
          <w:szCs w:val="16"/>
        </w:rPr>
        <w:softHyphen/>
        <w:t>ние полёта, полетели не прямо к фронту, а как в обычный учебный полёт. Отлетев от Белосто</w:t>
      </w:r>
      <w:r w:rsidRPr="00405303">
        <w:rPr>
          <w:rStyle w:val="42"/>
          <w:rFonts w:ascii="Times New Roman" w:hAnsi="Times New Roman" w:cs="Times New Roman"/>
          <w:bCs/>
          <w:color w:val="002060"/>
          <w:w w:val="100"/>
          <w:sz w:val="16"/>
          <w:szCs w:val="16"/>
        </w:rPr>
        <w:softHyphen/>
        <w:t>ка, «Астра» изменила курс. В 2.45 дирижабль по</w:t>
      </w:r>
      <w:r w:rsidRPr="00405303">
        <w:rPr>
          <w:rStyle w:val="42"/>
          <w:rFonts w:ascii="Times New Roman" w:hAnsi="Times New Roman" w:cs="Times New Roman"/>
          <w:bCs/>
          <w:color w:val="002060"/>
          <w:w w:val="100"/>
          <w:sz w:val="16"/>
          <w:szCs w:val="16"/>
        </w:rPr>
        <w:softHyphen/>
        <w:t>дошёл к железной дороге на восточной опушке Балашевского леса, где его осветили два прожек</w:t>
      </w:r>
      <w:r w:rsidRPr="00405303">
        <w:rPr>
          <w:rStyle w:val="42"/>
          <w:rFonts w:ascii="Times New Roman" w:hAnsi="Times New Roman" w:cs="Times New Roman"/>
          <w:bCs/>
          <w:color w:val="002060"/>
          <w:w w:val="100"/>
          <w:sz w:val="16"/>
          <w:szCs w:val="16"/>
        </w:rPr>
        <w:softHyphen/>
        <w:t>тора. Уравняв свою скорость со скоростью ве</w:t>
      </w:r>
      <w:r w:rsidRPr="00405303">
        <w:rPr>
          <w:rStyle w:val="42"/>
          <w:rFonts w:ascii="Times New Roman" w:hAnsi="Times New Roman" w:cs="Times New Roman"/>
          <w:bCs/>
          <w:color w:val="002060"/>
          <w:w w:val="100"/>
          <w:sz w:val="16"/>
          <w:szCs w:val="16"/>
        </w:rPr>
        <w:softHyphen/>
        <w:t>тра, «Астра», остановилась на высоте 1500 м, и Е.Д. Карамышев приказал сбросить четыре пу</w:t>
      </w:r>
      <w:r w:rsidRPr="00405303">
        <w:rPr>
          <w:rStyle w:val="42"/>
          <w:rFonts w:ascii="Times New Roman" w:hAnsi="Times New Roman" w:cs="Times New Roman"/>
          <w:bCs/>
          <w:color w:val="002060"/>
          <w:w w:val="100"/>
          <w:sz w:val="16"/>
          <w:szCs w:val="16"/>
        </w:rPr>
        <w:softHyphen/>
        <w:t>довые бомбы: «Отдаю первую пудовую бомбу, лёгкий толчок гондолы — бомба пошла, слегка повиляв хвостом. Несколько секунд жуткой ти</w:t>
      </w:r>
      <w:r w:rsidRPr="00405303">
        <w:rPr>
          <w:rStyle w:val="42"/>
          <w:rFonts w:ascii="Times New Roman" w:hAnsi="Times New Roman" w:cs="Times New Roman"/>
          <w:bCs/>
          <w:color w:val="002060"/>
          <w:w w:val="100"/>
          <w:sz w:val="16"/>
          <w:szCs w:val="16"/>
        </w:rPr>
        <w:softHyphen/>
        <w:t>шины, потом яркий блеск на земле от полотна, — меняю слегка положение аэростата — отдаю вто</w:t>
      </w:r>
      <w:r w:rsidRPr="00405303">
        <w:rPr>
          <w:rStyle w:val="42"/>
          <w:rFonts w:ascii="Times New Roman" w:hAnsi="Times New Roman" w:cs="Times New Roman"/>
          <w:bCs/>
          <w:color w:val="002060"/>
          <w:w w:val="100"/>
          <w:sz w:val="16"/>
          <w:szCs w:val="16"/>
        </w:rPr>
        <w:softHyphen/>
        <w:t>рую бомбу, та же картина, но взрыв слева. Опять направляю положение аэростата и отдаю одну за другой две бомбы. 2 ярких блеска на самих рельсах, которые на миг далеко блеснули своими прямыми линиями». Затем с «Астры», описы</w:t>
      </w:r>
      <w:r w:rsidRPr="00405303">
        <w:rPr>
          <w:rStyle w:val="42"/>
          <w:rFonts w:ascii="Times New Roman" w:hAnsi="Times New Roman" w:cs="Times New Roman"/>
          <w:bCs/>
          <w:color w:val="002060"/>
          <w:w w:val="100"/>
          <w:sz w:val="16"/>
          <w:szCs w:val="16"/>
        </w:rPr>
        <w:softHyphen/>
        <w:t>вавшей восьмёрку над лесом, сбросили 120 зажи</w:t>
      </w:r>
      <w:r w:rsidRPr="00405303">
        <w:rPr>
          <w:rStyle w:val="42"/>
          <w:rFonts w:ascii="Times New Roman" w:hAnsi="Times New Roman" w:cs="Times New Roman"/>
          <w:bCs/>
          <w:color w:val="002060"/>
          <w:w w:val="100"/>
          <w:sz w:val="16"/>
          <w:szCs w:val="16"/>
        </w:rPr>
        <w:softHyphen/>
        <w:t>гательных снарядов и одну специальную бомбу. Дирижабль осветили с земли три прожектора (один из них подавили пулемётным огнём из гондолы). Начался обстрел из орудий, пулемётов и винтовок. Дирижабль повернул на Белосток, выйдя через 10 минут из сферы огня противника. Постепенно снижаясь с высоты 1650 м, «Астра» опустилась в Белостоке 15 июля в 4.08. В оболоч</w:t>
      </w:r>
      <w:r w:rsidRPr="00405303">
        <w:rPr>
          <w:rStyle w:val="42"/>
          <w:rFonts w:ascii="Times New Roman" w:hAnsi="Times New Roman" w:cs="Times New Roman"/>
          <w:bCs/>
          <w:color w:val="002060"/>
          <w:w w:val="100"/>
          <w:sz w:val="16"/>
          <w:szCs w:val="16"/>
        </w:rPr>
        <w:softHyphen/>
        <w:t>ке и в гондоле обнаружилось несколько новых пробоин.</w:t>
      </w:r>
    </w:p>
    <w:p w14:paraId="199C84D6" w14:textId="77777777" w:rsidR="00DE7AA4" w:rsidRPr="00405303" w:rsidRDefault="00DE7AA4" w:rsidP="00C15251">
      <w:pPr>
        <w:jc w:val="both"/>
        <w:rPr>
          <w:bCs/>
          <w:color w:val="002060"/>
          <w:sz w:val="16"/>
          <w:szCs w:val="16"/>
        </w:rPr>
      </w:pPr>
      <w:r w:rsidRPr="00405303">
        <w:rPr>
          <w:bCs/>
          <w:color w:val="002060"/>
          <w:sz w:val="16"/>
          <w:szCs w:val="16"/>
        </w:rPr>
        <w:t>В июле 1915 г. при новой атаке германских войск гарнизон крепости Ивангород располагал уже тремя воздухоплавательными ротами (шесть наблюдательных станций). В ходе боёв 9 (22) — 11 (24) июля в корректировании артиллерийско</w:t>
      </w:r>
      <w:r w:rsidRPr="00405303">
        <w:rPr>
          <w:bCs/>
          <w:color w:val="002060"/>
          <w:sz w:val="16"/>
          <w:szCs w:val="16"/>
        </w:rPr>
        <w:softHyphen/>
        <w:t>го огня принимали участие два аэростата в поло</w:t>
      </w:r>
      <w:r w:rsidRPr="00405303">
        <w:rPr>
          <w:bCs/>
          <w:color w:val="002060"/>
          <w:sz w:val="16"/>
          <w:szCs w:val="16"/>
        </w:rPr>
        <w:softHyphen/>
        <w:t>се фортов № 5 и № 6 и третий — у Голомбской группы. Однако общая ситуация на фронте сложилась для русской армии неблагоприятно, и 22 июля (4 августа) крепость оставили (20120).</w:t>
      </w:r>
    </w:p>
    <w:p w14:paraId="24A0C0F0" w14:textId="77777777" w:rsidR="00DE7AA4" w:rsidRPr="00405303" w:rsidRDefault="00DE7AA4" w:rsidP="00C15251">
      <w:pPr>
        <w:jc w:val="both"/>
        <w:rPr>
          <w:bCs/>
          <w:color w:val="002060"/>
          <w:sz w:val="16"/>
          <w:szCs w:val="16"/>
        </w:rPr>
      </w:pPr>
    </w:p>
    <w:p w14:paraId="78D87C6A" w14:textId="77777777" w:rsidR="00F06028" w:rsidRPr="00405303" w:rsidRDefault="00F06028" w:rsidP="00C15251">
      <w:pPr>
        <w:jc w:val="both"/>
        <w:rPr>
          <w:bCs/>
          <w:i/>
          <w:color w:val="002060"/>
          <w:sz w:val="16"/>
          <w:szCs w:val="16"/>
        </w:rPr>
      </w:pPr>
      <w:r w:rsidRPr="00405303">
        <w:rPr>
          <w:bCs/>
          <w:i/>
          <w:color w:val="002060"/>
          <w:sz w:val="16"/>
          <w:szCs w:val="16"/>
        </w:rPr>
        <w:t>Армия:</w:t>
      </w:r>
    </w:p>
    <w:p w14:paraId="2429D5C3" w14:textId="77777777" w:rsidR="00F06028" w:rsidRPr="00405303" w:rsidRDefault="00F06028" w:rsidP="00C15251">
      <w:pPr>
        <w:jc w:val="both"/>
        <w:rPr>
          <w:bCs/>
          <w:i/>
          <w:color w:val="002060"/>
          <w:sz w:val="16"/>
          <w:szCs w:val="16"/>
        </w:rPr>
      </w:pPr>
    </w:p>
    <w:p w14:paraId="73FA5900" w14:textId="127938E7" w:rsidR="00F06028" w:rsidRPr="00405303" w:rsidRDefault="00F06028" w:rsidP="00C15251">
      <w:pPr>
        <w:jc w:val="both"/>
        <w:rPr>
          <w:bCs/>
          <w:color w:val="002060"/>
          <w:sz w:val="16"/>
          <w:szCs w:val="16"/>
        </w:rPr>
      </w:pPr>
      <w:r w:rsidRPr="00405303">
        <w:rPr>
          <w:bCs/>
          <w:color w:val="002060"/>
          <w:sz w:val="16"/>
          <w:szCs w:val="16"/>
        </w:rPr>
        <w:lastRenderedPageBreak/>
        <w:t xml:space="preserve">14 </w:t>
      </w:r>
      <w:r w:rsidR="0072358B" w:rsidRPr="00405303">
        <w:rPr>
          <w:bCs/>
          <w:color w:val="002060"/>
          <w:sz w:val="16"/>
          <w:szCs w:val="16"/>
        </w:rPr>
        <w:t xml:space="preserve">(27) </w:t>
      </w:r>
      <w:r w:rsidRPr="00405303">
        <w:rPr>
          <w:bCs/>
          <w:color w:val="002060"/>
          <w:sz w:val="16"/>
          <w:szCs w:val="16"/>
        </w:rPr>
        <w:t>июля в 1915 году германские войска под командованием генерала фон Белова начинают наступление на реках Неман и Нарев, и 20 июля овладеют Шавлями, 27 июля Поневежем (Паневежисом), 15 августа - Митавой (Елгавой). Во второй половине августа немцы оккупируют почти всю Курляндию (14952).</w:t>
      </w:r>
    </w:p>
    <w:p w14:paraId="663559EC" w14:textId="77777777" w:rsidR="00F06028" w:rsidRPr="00405303" w:rsidRDefault="00F06028" w:rsidP="00C15251">
      <w:pPr>
        <w:jc w:val="both"/>
        <w:rPr>
          <w:bCs/>
          <w:color w:val="002060"/>
          <w:sz w:val="16"/>
          <w:szCs w:val="16"/>
        </w:rPr>
      </w:pPr>
    </w:p>
    <w:p w14:paraId="27C79591"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2EC1A58E" w14:textId="77777777" w:rsidR="004B4E35" w:rsidRPr="00405303" w:rsidRDefault="004B4E35" w:rsidP="00C15251">
      <w:pPr>
        <w:shd w:val="clear" w:color="auto" w:fill="FFFFFF"/>
        <w:jc w:val="both"/>
        <w:rPr>
          <w:bCs/>
          <w:i/>
          <w:color w:val="002060"/>
          <w:sz w:val="16"/>
          <w:szCs w:val="16"/>
        </w:rPr>
      </w:pPr>
    </w:p>
    <w:p w14:paraId="55F9162C" w14:textId="156CE339" w:rsidR="004B4E35" w:rsidRPr="00405303" w:rsidRDefault="009E6F82" w:rsidP="00C15251">
      <w:pPr>
        <w:jc w:val="both"/>
        <w:rPr>
          <w:bCs/>
          <w:color w:val="002060"/>
          <w:sz w:val="16"/>
          <w:szCs w:val="16"/>
        </w:rPr>
      </w:pPr>
      <w:r w:rsidRPr="00405303">
        <w:rPr>
          <w:bCs/>
          <w:color w:val="002060"/>
          <w:sz w:val="16"/>
          <w:szCs w:val="16"/>
        </w:rPr>
        <w:t xml:space="preserve">15-го (28) июля 1915 </w:t>
      </w:r>
      <w:r w:rsidR="0072358B" w:rsidRPr="00405303">
        <w:rPr>
          <w:bCs/>
          <w:color w:val="002060"/>
          <w:sz w:val="16"/>
          <w:szCs w:val="16"/>
        </w:rPr>
        <w:t xml:space="preserve">г. </w:t>
      </w:r>
      <w:r w:rsidRPr="00405303">
        <w:rPr>
          <w:bCs/>
          <w:color w:val="002060"/>
          <w:sz w:val="16"/>
          <w:szCs w:val="16"/>
        </w:rPr>
        <w:t>во время разведки к востоку от Золотой Липы летчики 2-го Сибирского КАО поручик Покровский и корнет Плонский заметили неприятельский аэроплан. Из оружия у них были только пистолеты 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7-й... авиароты.&gt; Оба русских героя были награждены орденами Св. Георгия 4-й степени. Кстати, &lt;Авиатик&gt;, как и большийство других самолетов того времени, был весьма слабой машиной. Об этом свидетельствует следующий факт: 27 ноября австрийские летчики Дример и Хубнер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Недостаток вооружения во многом компенсировался храбростью русских авиаторов. 18-го марта одержал свою первую победу летчик 4-го КАО поручик А. А. 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В 1915 г. на русских аэропланах появились пулеметы. Для их применения наиболее пригодным оказался биплан Вуазен, на который часто устанавливался пулемет Кольт. Такой самолет становился грозным оружием, 24-го июня летчик прапорщик Иванов и наблюдатель поручик Алексеев из 26-го КАО атаковали в районе Тарнополя австрийский Альбатрос (бортовой номер 21-01) из 1-й авиароты,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Тлусте,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4FD46ACD" w14:textId="77777777" w:rsidR="004B4E35" w:rsidRPr="00405303" w:rsidRDefault="004B4E35" w:rsidP="00C15251">
      <w:pPr>
        <w:jc w:val="both"/>
        <w:rPr>
          <w:bCs/>
          <w:color w:val="002060"/>
          <w:sz w:val="16"/>
          <w:szCs w:val="16"/>
        </w:rPr>
      </w:pPr>
    </w:p>
    <w:p w14:paraId="23122BFE" w14:textId="0D55AF91"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15-го (28) июля 1915 во время разведки к востоку or Золотой Липы летчики 2-го Сибирского КАО поручик Покровский и корнет Плонский заметили неприятельский аэроплан. Из оружия у них были только пистолеты 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7-й... авиароты.&gt; Оба русских героя были награждены орденами Св.Георгия 4-й степени. Кстати, &lt;Авиатик&gt;, как и большийство других самолетов того времени, был весьма слабой машиной. Об этом свидетельствует следующий факт: 27 ноября австрийские летчики Дример и Хубнер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(11278).</w:t>
      </w:r>
    </w:p>
    <w:p w14:paraId="0B2E69DF" w14:textId="77777777" w:rsidR="004B4E35" w:rsidRPr="00405303" w:rsidRDefault="004B4E35" w:rsidP="00C15251">
      <w:pPr>
        <w:pStyle w:val="a3"/>
        <w:jc w:val="both"/>
        <w:rPr>
          <w:bCs/>
          <w:i w:val="0"/>
          <w:color w:val="002060"/>
          <w:spacing w:val="0"/>
          <w:kern w:val="0"/>
          <w:position w:val="0"/>
          <w:sz w:val="16"/>
          <w:szCs w:val="16"/>
        </w:rPr>
      </w:pPr>
    </w:p>
    <w:p w14:paraId="0EA0452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15 (28) июля 1915 летчик 2-го Сибирского авиаотряда поручик Виктор Леонидович Покровский и наблюдатель корнет Мстислав Николаевич Плонский, возвращаясь с разведки на самолете "Фарман-16" , атаковали австрийский самолет "Авиатик" и после короткой ^перестрелки принудили его сесть </w:t>
      </w:r>
      <w:r w:rsidRPr="00405303">
        <w:rPr>
          <w:bCs/>
          <w:smallCaps/>
          <w:color w:val="002060"/>
          <w:sz w:val="16"/>
          <w:szCs w:val="16"/>
        </w:rPr>
        <w:t xml:space="preserve">б </w:t>
      </w:r>
      <w:r w:rsidRPr="00405303">
        <w:rPr>
          <w:bCs/>
          <w:color w:val="002060"/>
          <w:sz w:val="16"/>
          <w:szCs w:val="16"/>
        </w:rPr>
        <w:t>расположении наших войск. Приземлившись рядом с самолетом противника, победители взяли в плен его экипаж. За этот подвиг Покровский был награжден орде</w:t>
      </w:r>
      <w:r w:rsidRPr="00405303">
        <w:rPr>
          <w:bCs/>
          <w:color w:val="002060"/>
          <w:sz w:val="16"/>
          <w:szCs w:val="16"/>
        </w:rPr>
        <w:softHyphen/>
        <w:t xml:space="preserve">ром Георгия 4 степени (ЦГВИА. ф.493, </w:t>
      </w:r>
      <w:proofErr w:type="gramStart"/>
      <w:r w:rsidRPr="00405303">
        <w:rPr>
          <w:bCs/>
          <w:color w:val="002060"/>
          <w:sz w:val="16"/>
          <w:szCs w:val="16"/>
        </w:rPr>
        <w:t>оп.З</w:t>
      </w:r>
      <w:proofErr w:type="gramEnd"/>
      <w:r w:rsidRPr="00405303">
        <w:rPr>
          <w:bCs/>
          <w:color w:val="002060"/>
          <w:sz w:val="16"/>
          <w:szCs w:val="16"/>
        </w:rPr>
        <w:t xml:space="preserve">, д.129, </w:t>
      </w:r>
      <w:proofErr w:type="gramStart"/>
      <w:r w:rsidRPr="00405303">
        <w:rPr>
          <w:bCs/>
          <w:color w:val="002060"/>
          <w:sz w:val="16"/>
          <w:szCs w:val="16"/>
        </w:rPr>
        <w:t>л.68.;,</w:t>
      </w:r>
      <w:proofErr w:type="gramEnd"/>
      <w:r w:rsidRPr="00405303">
        <w:rPr>
          <w:bCs/>
          <w:color w:val="002060"/>
          <w:sz w:val="16"/>
          <w:szCs w:val="16"/>
        </w:rPr>
        <w:t xml:space="preserve"> "Русский инвалид". 1915, № 177).</w:t>
      </w:r>
    </w:p>
    <w:p w14:paraId="3589213D" w14:textId="77777777" w:rsidR="004B4E35" w:rsidRPr="00405303" w:rsidRDefault="004B4E35" w:rsidP="00C15251">
      <w:pPr>
        <w:shd w:val="clear" w:color="auto" w:fill="FFFFFF"/>
        <w:jc w:val="both"/>
        <w:rPr>
          <w:bCs/>
          <w:color w:val="002060"/>
          <w:sz w:val="16"/>
          <w:szCs w:val="16"/>
        </w:rPr>
      </w:pPr>
    </w:p>
    <w:p w14:paraId="6CE14F26" w14:textId="1D82163F" w:rsidR="00C73373" w:rsidRPr="00405303" w:rsidRDefault="00C73373" w:rsidP="00C15251">
      <w:pPr>
        <w:jc w:val="both"/>
        <w:rPr>
          <w:bCs/>
          <w:color w:val="002060"/>
          <w:sz w:val="16"/>
          <w:szCs w:val="16"/>
        </w:rPr>
      </w:pPr>
      <w:r w:rsidRPr="00405303">
        <w:rPr>
          <w:bCs/>
          <w:color w:val="002060"/>
          <w:sz w:val="16"/>
          <w:szCs w:val="16"/>
        </w:rPr>
        <w:t>15 (28) июля 1915 г. летчик 2-го Сибирского авиаотряда поручик Виктор Леонидович Покровский и наблюдатель корнет Мстислав Николаевич Плонский, возвращаясь а разведки на самолете Фарман, атаковали австрийский самолет "Авиатик" и после короткой перестрелки принудили его сесть расположении наших войск. Приземлившись рядом с самолетом против</w:t>
      </w:r>
      <w:r w:rsidR="001050C9" w:rsidRPr="00405303">
        <w:rPr>
          <w:bCs/>
          <w:color w:val="002060"/>
          <w:sz w:val="16"/>
          <w:szCs w:val="16"/>
        </w:rPr>
        <w:t>ни</w:t>
      </w:r>
      <w:r w:rsidRPr="00405303">
        <w:rPr>
          <w:bCs/>
          <w:color w:val="002060"/>
          <w:sz w:val="16"/>
          <w:szCs w:val="16"/>
        </w:rPr>
        <w:t>ка, победители взяли в плен его экипаж. За этот подвиг Покровский был награжден орденом св. Георгия 4</w:t>
      </w:r>
    </w:p>
    <w:p w14:paraId="1AA659B2" w14:textId="77777777" w:rsidR="00C73373" w:rsidRPr="00405303" w:rsidRDefault="00C73373" w:rsidP="00C15251">
      <w:pPr>
        <w:jc w:val="both"/>
        <w:rPr>
          <w:bCs/>
          <w:color w:val="002060"/>
          <w:sz w:val="16"/>
          <w:szCs w:val="16"/>
        </w:rPr>
      </w:pPr>
      <w:r w:rsidRPr="00405303">
        <w:rPr>
          <w:bCs/>
          <w:color w:val="002060"/>
          <w:sz w:val="16"/>
          <w:szCs w:val="16"/>
        </w:rPr>
        <w:t>/ЦГВИА, ф. 493, оп. 3, д. 129, л. 68</w:t>
      </w:r>
      <w:proofErr w:type="gramStart"/>
      <w:r w:rsidRPr="00405303">
        <w:rPr>
          <w:bCs/>
          <w:color w:val="002060"/>
          <w:sz w:val="16"/>
          <w:szCs w:val="16"/>
        </w:rPr>
        <w:t>; ”Русский</w:t>
      </w:r>
      <w:proofErr w:type="gramEnd"/>
      <w:r w:rsidRPr="00405303">
        <w:rPr>
          <w:bCs/>
          <w:color w:val="002060"/>
          <w:sz w:val="16"/>
          <w:szCs w:val="16"/>
        </w:rPr>
        <w:t xml:space="preserve"> инвалид", 1915 № 177/ (23320).</w:t>
      </w:r>
    </w:p>
    <w:p w14:paraId="7ACBD0B6" w14:textId="77777777" w:rsidR="00C73373" w:rsidRPr="00405303" w:rsidRDefault="00C73373" w:rsidP="00C15251">
      <w:pPr>
        <w:jc w:val="both"/>
        <w:rPr>
          <w:bCs/>
          <w:color w:val="002060"/>
          <w:sz w:val="16"/>
          <w:szCs w:val="16"/>
        </w:rPr>
      </w:pPr>
    </w:p>
    <w:p w14:paraId="095D9EE3" w14:textId="7B8668E6" w:rsidR="003556A0" w:rsidRPr="00405303" w:rsidRDefault="003556A0" w:rsidP="00C15251">
      <w:pPr>
        <w:jc w:val="both"/>
        <w:rPr>
          <w:bCs/>
          <w:color w:val="002060"/>
          <w:sz w:val="16"/>
          <w:szCs w:val="16"/>
        </w:rPr>
      </w:pPr>
      <w:r w:rsidRPr="00405303">
        <w:rPr>
          <w:bCs/>
          <w:color w:val="002060"/>
          <w:sz w:val="16"/>
          <w:szCs w:val="16"/>
          <w:lang w:bidi="ru-RU"/>
        </w:rPr>
        <w:t>15 (28) июля 1915 г.</w:t>
      </w:r>
    </w:p>
    <w:p w14:paraId="67A51CF7" w14:textId="77777777" w:rsidR="003556A0" w:rsidRPr="00405303" w:rsidRDefault="003556A0" w:rsidP="00C15251">
      <w:pPr>
        <w:jc w:val="both"/>
        <w:rPr>
          <w:bCs/>
          <w:color w:val="002060"/>
          <w:sz w:val="16"/>
          <w:szCs w:val="16"/>
        </w:rPr>
      </w:pPr>
      <w:r w:rsidRPr="00405303">
        <w:rPr>
          <w:bCs/>
          <w:color w:val="002060"/>
          <w:sz w:val="16"/>
          <w:szCs w:val="16"/>
          <w:lang w:bidi="ru-RU"/>
        </w:rPr>
        <w:t>«Летопись войны. 11-й и 12-й месяцы. Русский фронт. 15 июля 1915 г.</w:t>
      </w:r>
    </w:p>
    <w:p w14:paraId="445519E7" w14:textId="77777777" w:rsidR="003556A0" w:rsidRPr="00405303" w:rsidRDefault="003556A0" w:rsidP="00C15251">
      <w:pPr>
        <w:jc w:val="both"/>
        <w:rPr>
          <w:bCs/>
          <w:color w:val="002060"/>
          <w:sz w:val="16"/>
          <w:szCs w:val="16"/>
        </w:rPr>
      </w:pPr>
      <w:r w:rsidRPr="00405303">
        <w:rPr>
          <w:bCs/>
          <w:color w:val="002060"/>
          <w:sz w:val="16"/>
          <w:szCs w:val="16"/>
          <w:lang w:bidi="ru-RU"/>
        </w:rPr>
        <w:t>К востоку от Золотой Липы наши летчи</w:t>
      </w:r>
      <w:r w:rsidRPr="00405303">
        <w:rPr>
          <w:bCs/>
          <w:color w:val="002060"/>
          <w:sz w:val="16"/>
          <w:szCs w:val="16"/>
          <w:lang w:bidi="ru-RU"/>
        </w:rPr>
        <w:softHyphen/>
        <w:t>ки, поручик Покровский и корнет Плон ский, увидев издали австрийский аэро</w:t>
      </w:r>
      <w:r w:rsidRPr="00405303">
        <w:rPr>
          <w:bCs/>
          <w:color w:val="002060"/>
          <w:sz w:val="16"/>
          <w:szCs w:val="16"/>
          <w:lang w:bidi="ru-RU"/>
        </w:rPr>
        <w:softHyphen/>
        <w:t>план, около 8 часов утра поднялись в воз</w:t>
      </w:r>
      <w:r w:rsidRPr="00405303">
        <w:rPr>
          <w:bCs/>
          <w:color w:val="002060"/>
          <w:sz w:val="16"/>
          <w:szCs w:val="16"/>
          <w:lang w:bidi="ru-RU"/>
        </w:rPr>
        <w:softHyphen/>
        <w:t>дух, догнали неприятеля и, поднявшись над ним, стали обстреливать из маузеров, постепенно прижимая к земле. Попытки неприятельской машины оказались тщет</w:t>
      </w:r>
      <w:r w:rsidRPr="00405303">
        <w:rPr>
          <w:bCs/>
          <w:color w:val="002060"/>
          <w:sz w:val="16"/>
          <w:szCs w:val="16"/>
          <w:lang w:bidi="ru-RU"/>
        </w:rPr>
        <w:softHyphen/>
        <w:t>ны, после непродолжительной перестрел</w:t>
      </w:r>
      <w:r w:rsidRPr="00405303">
        <w:rPr>
          <w:bCs/>
          <w:color w:val="002060"/>
          <w:sz w:val="16"/>
          <w:szCs w:val="16"/>
          <w:lang w:bidi="ru-RU"/>
        </w:rPr>
        <w:softHyphen/>
        <w:t>ки австрийские летчики спустились на землю. Наш аэроплан опустился рядом, и летчики с маузерами в руках кинулись на австрийцев. На неприятельском аэроплане оказались один поручик и один унтер-офи</w:t>
      </w:r>
      <w:r w:rsidRPr="00405303">
        <w:rPr>
          <w:bCs/>
          <w:color w:val="002060"/>
          <w:sz w:val="16"/>
          <w:szCs w:val="16"/>
          <w:lang w:bidi="ru-RU"/>
        </w:rPr>
        <w:softHyphen/>
        <w:t>цер, которые тотчас сдались. Австрийский аэроплан, захваченный нами, представля</w:t>
      </w:r>
      <w:r w:rsidRPr="00405303">
        <w:rPr>
          <w:bCs/>
          <w:color w:val="002060"/>
          <w:sz w:val="16"/>
          <w:szCs w:val="16"/>
          <w:lang w:bidi="ru-RU"/>
        </w:rPr>
        <w:softHyphen/>
        <w:t>ет совершенно новый и исправный аппа</w:t>
      </w:r>
      <w:r w:rsidRPr="00405303">
        <w:rPr>
          <w:bCs/>
          <w:color w:val="002060"/>
          <w:sz w:val="16"/>
          <w:szCs w:val="16"/>
          <w:lang w:bidi="ru-RU"/>
        </w:rPr>
        <w:softHyphen/>
        <w:t>рат в 120 сил типа «Авиатик» (23374).</w:t>
      </w:r>
    </w:p>
    <w:p w14:paraId="0FCF9B85" w14:textId="77777777" w:rsidR="003556A0" w:rsidRPr="00405303" w:rsidRDefault="003556A0" w:rsidP="00C15251">
      <w:pPr>
        <w:jc w:val="both"/>
        <w:rPr>
          <w:bCs/>
          <w:color w:val="002060"/>
          <w:sz w:val="16"/>
          <w:szCs w:val="16"/>
          <w:lang w:bidi="ru-RU"/>
        </w:rPr>
      </w:pPr>
    </w:p>
    <w:p w14:paraId="2A8E06AC" w14:textId="02B9117A" w:rsidR="003556A0" w:rsidRPr="00405303" w:rsidRDefault="003556A0" w:rsidP="00C15251">
      <w:pPr>
        <w:jc w:val="both"/>
        <w:rPr>
          <w:bCs/>
          <w:color w:val="002060"/>
          <w:sz w:val="16"/>
          <w:szCs w:val="16"/>
        </w:rPr>
      </w:pPr>
      <w:r w:rsidRPr="00405303">
        <w:rPr>
          <w:bCs/>
          <w:color w:val="002060"/>
          <w:sz w:val="16"/>
          <w:szCs w:val="16"/>
        </w:rPr>
        <w:t>15 (28) июля 1915 г. утром воздушной бомбардировке подверглась железнодорожная станция Гродзиск (Гродзиск-Мазовецки), на следующий день - г. Ломжа, где имелись человеческие жертвы (убит один и ранено 8 человек). В тот же период было отмечено несколько воздушных налетов на г. Люблин (23405).</w:t>
      </w:r>
    </w:p>
    <w:p w14:paraId="25A2C7A8" w14:textId="77777777" w:rsidR="003556A0" w:rsidRPr="00405303" w:rsidRDefault="003556A0" w:rsidP="00C15251">
      <w:pPr>
        <w:jc w:val="both"/>
        <w:rPr>
          <w:bCs/>
          <w:color w:val="002060"/>
          <w:sz w:val="16"/>
          <w:szCs w:val="16"/>
        </w:rPr>
      </w:pPr>
    </w:p>
    <w:p w14:paraId="6D14931D" w14:textId="77777777" w:rsidR="005458AD" w:rsidRPr="00405303" w:rsidRDefault="005458AD" w:rsidP="005458AD">
      <w:pPr>
        <w:widowControl w:val="0"/>
        <w:tabs>
          <w:tab w:val="left" w:pos="721"/>
        </w:tabs>
        <w:jc w:val="both"/>
        <w:rPr>
          <w:color w:val="0070C0"/>
          <w:sz w:val="16"/>
          <w:szCs w:val="16"/>
        </w:rPr>
      </w:pPr>
      <w:r w:rsidRPr="00405303">
        <w:rPr>
          <w:rStyle w:val="aa"/>
          <w:rFonts w:ascii="Times New Roman" w:hAnsi="Times New Roman"/>
          <w:color w:val="0070C0"/>
          <w:spacing w:val="0"/>
          <w:sz w:val="16"/>
          <w:szCs w:val="16"/>
        </w:rPr>
        <w:t xml:space="preserve">15 (28) июля 1915 г. в ходе боев за г. Холм (к востоку от Золотой Липы) военный летчик 3-й авиационной роты поручик В.Л. Покровский (будущий генерал-лейтенант Белой армии) в экипаже с летчиком-наблюдателем корнетом М.Н. Плонским одержал успешную победу над австрийским аэропланом «Авиатик». В представлении к награждению отважного авиатора орденом Святого Георгия </w:t>
      </w:r>
      <w:r w:rsidRPr="00405303">
        <w:rPr>
          <w:rStyle w:val="aa"/>
          <w:rFonts w:ascii="Times New Roman" w:hAnsi="Times New Roman"/>
          <w:color w:val="0070C0"/>
          <w:spacing w:val="0"/>
          <w:sz w:val="16"/>
          <w:szCs w:val="16"/>
          <w:lang w:val="en-US"/>
        </w:rPr>
        <w:t>IV</w:t>
      </w:r>
      <w:r w:rsidRPr="00405303">
        <w:rPr>
          <w:rStyle w:val="aa"/>
          <w:rFonts w:ascii="Times New Roman" w:hAnsi="Times New Roman"/>
          <w:color w:val="0070C0"/>
          <w:spacing w:val="0"/>
          <w:sz w:val="16"/>
          <w:szCs w:val="16"/>
        </w:rPr>
        <w:t xml:space="preserve"> степени, в частности, указывалось: «15-го [ст. ст.] июля 1915 г., производя разведку на аэроплане и увид[ев] издали австрийский аэроплан, догнал его и, поднявшись над ним, начал обстреливать из маузеров, постепенно прижимая его к земле. Неприятельский аэроплан пытался ускользнуть, но неудачно, и после непродолжительной перестрелки опустился на землю. В свою очередь наши летчики опустились рядом с неприятельским, после чего с маузерами в руках бросились на австрийцев, которых и взяли в плен в числе двух человек вместе с совершенно новым аппаратом в 120 сил типа „Авиатик“, с полным оборудованием» (25135).</w:t>
      </w:r>
    </w:p>
    <w:p w14:paraId="495CA5AA" w14:textId="77777777" w:rsidR="005458AD" w:rsidRPr="00405303" w:rsidRDefault="005458AD" w:rsidP="005458AD">
      <w:pPr>
        <w:jc w:val="both"/>
        <w:rPr>
          <w:rStyle w:val="aa"/>
          <w:rFonts w:ascii="Times New Roman" w:hAnsi="Times New Roman"/>
          <w:color w:val="0070C0"/>
          <w:spacing w:val="0"/>
          <w:sz w:val="16"/>
          <w:szCs w:val="16"/>
        </w:rPr>
      </w:pPr>
    </w:p>
    <w:p w14:paraId="2B900AD1" w14:textId="3A5D2B97" w:rsidR="003556A0" w:rsidRPr="00405303" w:rsidRDefault="003556A0" w:rsidP="00C15251">
      <w:pPr>
        <w:jc w:val="both"/>
        <w:rPr>
          <w:bCs/>
          <w:i/>
          <w:color w:val="002060"/>
          <w:sz w:val="16"/>
          <w:szCs w:val="16"/>
        </w:rPr>
      </w:pPr>
      <w:r w:rsidRPr="00405303">
        <w:rPr>
          <w:bCs/>
          <w:i/>
          <w:color w:val="002060"/>
          <w:sz w:val="16"/>
          <w:szCs w:val="16"/>
        </w:rPr>
        <w:t>Млоская авиация:</w:t>
      </w:r>
    </w:p>
    <w:p w14:paraId="0779A7C1" w14:textId="77777777" w:rsidR="003556A0" w:rsidRPr="00405303" w:rsidRDefault="003556A0" w:rsidP="00C15251">
      <w:pPr>
        <w:jc w:val="both"/>
        <w:rPr>
          <w:bCs/>
          <w:i/>
          <w:color w:val="002060"/>
          <w:sz w:val="16"/>
          <w:szCs w:val="16"/>
        </w:rPr>
      </w:pPr>
    </w:p>
    <w:p w14:paraId="61254305" w14:textId="77777777" w:rsidR="003556A0" w:rsidRPr="00405303" w:rsidRDefault="003556A0" w:rsidP="00C15251">
      <w:pPr>
        <w:jc w:val="both"/>
        <w:rPr>
          <w:bCs/>
          <w:color w:val="002060"/>
          <w:sz w:val="16"/>
          <w:szCs w:val="16"/>
        </w:rPr>
      </w:pPr>
      <w:bookmarkStart w:id="189" w:name="bookmark211"/>
      <w:bookmarkStart w:id="190" w:name="bookmark213"/>
      <w:r w:rsidRPr="00405303">
        <w:rPr>
          <w:bCs/>
          <w:color w:val="002060"/>
          <w:sz w:val="16"/>
          <w:szCs w:val="16"/>
        </w:rPr>
        <w:lastRenderedPageBreak/>
        <w:t xml:space="preserve">15 (28) июля 1915 г. в Рижском заливе Балтийского моря экипаж летающей лодки Григорович М-5 Морской авиации Императорского Флота России в составе летчика мичмана А.Н. Прокофьева-Северского и летчика-наблюдателя и бортмеханика Блинова атаковал немецкий эсминец. Летнаб сбрасывал бомбы калибра 4 кг по одной вручную по одной и обе упали близко от кормы судна, которое вело зенитный огонь. Немцы оказались удачливее – бомбы им вреда не причинили, но русский гидроплан был поврежден и был вынужден садиться в воду. Если бы летнаб Блинов сбросил в воду взведенную бомбу у него в руках, все бы обошлось, но от толчка при касании воды она </w:t>
      </w:r>
      <w:proofErr w:type="gramStart"/>
      <w:r w:rsidRPr="00405303">
        <w:rPr>
          <w:bCs/>
          <w:color w:val="002060"/>
          <w:sz w:val="16"/>
          <w:szCs w:val="16"/>
        </w:rPr>
        <w:t>взорвалась</w:t>
      </w:r>
      <w:proofErr w:type="gramEnd"/>
      <w:r w:rsidRPr="00405303">
        <w:rPr>
          <w:bCs/>
          <w:color w:val="002060"/>
          <w:sz w:val="16"/>
          <w:szCs w:val="16"/>
        </w:rPr>
        <w:t xml:space="preserve"> и он погиб, а летчик был ранен в ногу. Мичману А.Н. Прокофьеву-Северскому ногу ампутировали, но он вернулся в строй и летал с протезом – став, возможно, первым в истории авиации летчиком-инвалидом (23696).</w:t>
      </w:r>
    </w:p>
    <w:p w14:paraId="6D890196" w14:textId="77777777" w:rsidR="003556A0" w:rsidRPr="00405303" w:rsidRDefault="003556A0" w:rsidP="00C15251">
      <w:pPr>
        <w:jc w:val="both"/>
        <w:rPr>
          <w:bCs/>
          <w:color w:val="002060"/>
          <w:sz w:val="16"/>
          <w:szCs w:val="16"/>
        </w:rPr>
      </w:pPr>
    </w:p>
    <w:bookmarkEnd w:id="189"/>
    <w:bookmarkEnd w:id="190"/>
    <w:p w14:paraId="68CCEC9C" w14:textId="4FFBBC75" w:rsidR="00F06028" w:rsidRPr="00405303" w:rsidRDefault="00F06028" w:rsidP="00C15251">
      <w:pPr>
        <w:jc w:val="both"/>
        <w:rPr>
          <w:bCs/>
          <w:i/>
          <w:color w:val="002060"/>
          <w:sz w:val="16"/>
          <w:szCs w:val="16"/>
        </w:rPr>
      </w:pPr>
      <w:r w:rsidRPr="00405303">
        <w:rPr>
          <w:bCs/>
          <w:i/>
          <w:color w:val="002060"/>
          <w:sz w:val="16"/>
          <w:szCs w:val="16"/>
        </w:rPr>
        <w:t>За рубежом:</w:t>
      </w:r>
    </w:p>
    <w:p w14:paraId="189E1981" w14:textId="77777777" w:rsidR="00F06028" w:rsidRPr="00405303" w:rsidRDefault="00F06028" w:rsidP="00C15251">
      <w:pPr>
        <w:jc w:val="both"/>
        <w:rPr>
          <w:bCs/>
          <w:color w:val="002060"/>
          <w:sz w:val="16"/>
          <w:szCs w:val="16"/>
        </w:rPr>
      </w:pPr>
    </w:p>
    <w:p w14:paraId="044534DF" w14:textId="77777777" w:rsidR="00F06028" w:rsidRPr="00405303" w:rsidRDefault="00F06028" w:rsidP="00C15251">
      <w:pPr>
        <w:jc w:val="both"/>
        <w:rPr>
          <w:bCs/>
          <w:color w:val="002060"/>
          <w:sz w:val="16"/>
          <w:szCs w:val="16"/>
        </w:rPr>
      </w:pPr>
      <w:r w:rsidRPr="00405303">
        <w:rPr>
          <w:bCs/>
          <w:color w:val="002060"/>
          <w:sz w:val="16"/>
          <w:szCs w:val="16"/>
        </w:rPr>
        <w:t>15 (28) июля в 1915 году утверждаются первые во Франции противогазы (14966).</w:t>
      </w:r>
    </w:p>
    <w:p w14:paraId="6E09FBAB" w14:textId="77777777" w:rsidR="00F06028" w:rsidRPr="00405303" w:rsidRDefault="00F06028" w:rsidP="00C15251">
      <w:pPr>
        <w:jc w:val="both"/>
        <w:rPr>
          <w:bCs/>
          <w:color w:val="002060"/>
          <w:sz w:val="16"/>
          <w:szCs w:val="16"/>
        </w:rPr>
      </w:pPr>
    </w:p>
    <w:p w14:paraId="07208337" w14:textId="7B60FA8C" w:rsidR="003556A0" w:rsidRPr="00405303" w:rsidRDefault="003556A0" w:rsidP="00C15251">
      <w:pPr>
        <w:jc w:val="both"/>
        <w:rPr>
          <w:bCs/>
          <w:i/>
          <w:color w:val="002060"/>
          <w:sz w:val="16"/>
          <w:szCs w:val="16"/>
        </w:rPr>
      </w:pPr>
      <w:r w:rsidRPr="00405303">
        <w:rPr>
          <w:bCs/>
          <w:i/>
          <w:color w:val="002060"/>
          <w:sz w:val="16"/>
          <w:szCs w:val="16"/>
        </w:rPr>
        <w:t>Авиация:</w:t>
      </w:r>
    </w:p>
    <w:p w14:paraId="6508534D" w14:textId="77777777" w:rsidR="003556A0" w:rsidRPr="00405303" w:rsidRDefault="003556A0" w:rsidP="00C15251">
      <w:pPr>
        <w:jc w:val="both"/>
        <w:rPr>
          <w:bCs/>
          <w:i/>
          <w:color w:val="002060"/>
          <w:sz w:val="16"/>
          <w:szCs w:val="16"/>
        </w:rPr>
      </w:pPr>
    </w:p>
    <w:p w14:paraId="0B70A32B" w14:textId="77777777" w:rsidR="003556A0" w:rsidRPr="00405303" w:rsidRDefault="003556A0" w:rsidP="00C15251">
      <w:pPr>
        <w:jc w:val="both"/>
        <w:rPr>
          <w:bCs/>
          <w:color w:val="002060"/>
          <w:sz w:val="16"/>
          <w:szCs w:val="16"/>
        </w:rPr>
      </w:pPr>
      <w:r w:rsidRPr="00405303">
        <w:rPr>
          <w:bCs/>
          <w:color w:val="002060"/>
          <w:sz w:val="16"/>
          <w:szCs w:val="16"/>
        </w:rPr>
        <w:t>В середине июля 1915 г. объектами нападения с воздуха стали г. Остроленка и н/ п Гросезерн (в районе Муравьева). В результате брошенных бомб в последнем погибло несколько мирных жителей (23405).</w:t>
      </w:r>
    </w:p>
    <w:p w14:paraId="7B305533" w14:textId="77777777" w:rsidR="003556A0" w:rsidRPr="00405303" w:rsidRDefault="003556A0" w:rsidP="00C15251">
      <w:pPr>
        <w:jc w:val="both"/>
        <w:rPr>
          <w:bCs/>
          <w:color w:val="002060"/>
          <w:sz w:val="16"/>
          <w:szCs w:val="16"/>
        </w:rPr>
      </w:pPr>
    </w:p>
    <w:p w14:paraId="50A66F8A" w14:textId="77777777" w:rsidR="005458AD" w:rsidRPr="00405303" w:rsidRDefault="005458AD" w:rsidP="005458AD">
      <w:pPr>
        <w:jc w:val="both"/>
        <w:rPr>
          <w:rStyle w:val="aa"/>
          <w:rFonts w:ascii="Times New Roman" w:hAnsi="Times New Roman"/>
          <w:color w:val="0070C0"/>
          <w:spacing w:val="0"/>
          <w:sz w:val="16"/>
          <w:szCs w:val="16"/>
          <w:u w:val="single"/>
          <w:vertAlign w:val="superscript"/>
        </w:rPr>
      </w:pPr>
      <w:r w:rsidRPr="00405303">
        <w:rPr>
          <w:rStyle w:val="aa"/>
          <w:rFonts w:ascii="Times New Roman" w:hAnsi="Times New Roman"/>
          <w:color w:val="0070C0"/>
          <w:spacing w:val="0"/>
          <w:sz w:val="16"/>
          <w:szCs w:val="16"/>
        </w:rPr>
        <w:t>В середине июля 1915 г. объектами нападения с воздуха стали г. Остроленка и н/ п Гросезерн (в районе Муравьева). В результате брошенных бомб в последнем погибло несколько мирных жителей (25135).</w:t>
      </w:r>
    </w:p>
    <w:p w14:paraId="1C11DCC6" w14:textId="77777777" w:rsidR="005458AD" w:rsidRPr="00405303" w:rsidRDefault="005458AD" w:rsidP="005458AD">
      <w:pPr>
        <w:jc w:val="both"/>
        <w:rPr>
          <w:color w:val="0070C0"/>
          <w:sz w:val="16"/>
          <w:szCs w:val="16"/>
        </w:rPr>
      </w:pPr>
    </w:p>
    <w:p w14:paraId="084188A8" w14:textId="77777777" w:rsidR="003556A0" w:rsidRPr="00405303" w:rsidRDefault="003556A0" w:rsidP="00C15251">
      <w:pPr>
        <w:jc w:val="both"/>
        <w:rPr>
          <w:bCs/>
          <w:color w:val="002060"/>
          <w:sz w:val="16"/>
          <w:szCs w:val="16"/>
          <w:lang w:bidi="en-US"/>
        </w:rPr>
      </w:pPr>
      <w:r w:rsidRPr="00405303">
        <w:rPr>
          <w:bCs/>
          <w:color w:val="002060"/>
          <w:sz w:val="16"/>
          <w:szCs w:val="16"/>
          <w:lang w:bidi="en-US"/>
        </w:rPr>
        <w:t xml:space="preserve">В середине июля 1915 г. было принято решение о переносе штаб-квартиры ЭВК на аэродром Кресты под Псковом. Технику предполагалось эвакуировать из Яблонной, часть ИМ отправить в Зегеволд, в 45 км к северо-востоку от Риги, остальные - в Псков. Штаб-квартира </w:t>
      </w:r>
      <w:r w:rsidRPr="00405303">
        <w:rPr>
          <w:bCs/>
          <w:color w:val="002060"/>
          <w:sz w:val="16"/>
          <w:szCs w:val="16"/>
          <w:lang w:val="en-US" w:bidi="en-US"/>
        </w:rPr>
        <w:t>EVK</w:t>
      </w:r>
      <w:r w:rsidRPr="00405303">
        <w:rPr>
          <w:bCs/>
          <w:color w:val="002060"/>
          <w:sz w:val="16"/>
          <w:szCs w:val="16"/>
          <w:lang w:bidi="en-US"/>
        </w:rPr>
        <w:t xml:space="preserve"> сначала переехала в Белосток, затем в Лиду и, наконец, 14 августа прибыла в Псков (23525).</w:t>
      </w:r>
    </w:p>
    <w:p w14:paraId="552443B6" w14:textId="77777777" w:rsidR="003556A0" w:rsidRPr="00405303" w:rsidRDefault="003556A0" w:rsidP="00C15251">
      <w:pPr>
        <w:jc w:val="both"/>
        <w:rPr>
          <w:bCs/>
          <w:color w:val="002060"/>
          <w:sz w:val="16"/>
          <w:szCs w:val="16"/>
        </w:rPr>
      </w:pPr>
    </w:p>
    <w:p w14:paraId="1008B2DB" w14:textId="05569114" w:rsidR="003D4080" w:rsidRPr="00405303" w:rsidRDefault="003D4080" w:rsidP="00C15251">
      <w:pPr>
        <w:jc w:val="both"/>
        <w:rPr>
          <w:bCs/>
          <w:i/>
          <w:color w:val="002060"/>
          <w:sz w:val="16"/>
          <w:szCs w:val="16"/>
        </w:rPr>
      </w:pPr>
      <w:r w:rsidRPr="00405303">
        <w:rPr>
          <w:bCs/>
          <w:i/>
          <w:color w:val="002060"/>
          <w:sz w:val="16"/>
          <w:szCs w:val="16"/>
        </w:rPr>
        <w:t>Другие оборонные отрасли:</w:t>
      </w:r>
    </w:p>
    <w:p w14:paraId="38C2260B" w14:textId="2FFC3852" w:rsidR="003D4080" w:rsidRPr="00405303" w:rsidRDefault="003D4080" w:rsidP="00C15251">
      <w:pPr>
        <w:jc w:val="both"/>
        <w:rPr>
          <w:bCs/>
          <w:i/>
          <w:color w:val="002060"/>
          <w:sz w:val="16"/>
          <w:szCs w:val="16"/>
        </w:rPr>
      </w:pPr>
    </w:p>
    <w:p w14:paraId="7A096BBD" w14:textId="5933264F" w:rsidR="001050C9" w:rsidRPr="00405303" w:rsidRDefault="001050C9" w:rsidP="00C15251">
      <w:pPr>
        <w:jc w:val="both"/>
        <w:rPr>
          <w:bCs/>
          <w:iCs/>
          <w:color w:val="002060"/>
          <w:sz w:val="16"/>
          <w:szCs w:val="16"/>
        </w:rPr>
      </w:pPr>
      <w:r w:rsidRPr="00405303">
        <w:rPr>
          <w:bCs/>
          <w:iCs/>
          <w:color w:val="002060"/>
          <w:sz w:val="16"/>
          <w:szCs w:val="16"/>
        </w:rPr>
        <w:t>16 (29) июля 1915 г.</w:t>
      </w:r>
    </w:p>
    <w:p w14:paraId="0B3A4D77" w14:textId="77777777" w:rsidR="004B4E35" w:rsidRPr="00405303" w:rsidRDefault="009E6F82" w:rsidP="00C15251">
      <w:pPr>
        <w:jc w:val="both"/>
        <w:rPr>
          <w:bCs/>
          <w:color w:val="002060"/>
          <w:sz w:val="16"/>
          <w:szCs w:val="16"/>
        </w:rPr>
      </w:pPr>
      <w:r w:rsidRPr="00405303">
        <w:rPr>
          <w:bCs/>
          <w:color w:val="002060"/>
          <w:sz w:val="16"/>
          <w:szCs w:val="16"/>
        </w:rPr>
        <w:t>Компании Ремингтон были даны следующие заказы на трехлинейные винтовки для России (тыс. шт.):</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848"/>
        <w:gridCol w:w="1476"/>
      </w:tblGrid>
      <w:tr w:rsidR="004B4E35" w:rsidRPr="00405303" w14:paraId="3A045FC4" w14:textId="77777777">
        <w:tc>
          <w:tcPr>
            <w:tcW w:w="4848" w:type="dxa"/>
          </w:tcPr>
          <w:p w14:paraId="56BA7D0F" w14:textId="77777777" w:rsidR="004B4E35" w:rsidRPr="00405303" w:rsidRDefault="009E6F82" w:rsidP="00C15251">
            <w:pPr>
              <w:jc w:val="both"/>
              <w:rPr>
                <w:bCs/>
                <w:color w:val="002060"/>
                <w:sz w:val="16"/>
                <w:szCs w:val="16"/>
              </w:rPr>
            </w:pPr>
            <w:r w:rsidRPr="00405303">
              <w:rPr>
                <w:bCs/>
                <w:color w:val="002060"/>
                <w:sz w:val="16"/>
                <w:szCs w:val="16"/>
              </w:rPr>
              <w:t>По контракту с русским правительством 26 января 1915 г.</w:t>
            </w:r>
          </w:p>
        </w:tc>
        <w:tc>
          <w:tcPr>
            <w:tcW w:w="1476" w:type="dxa"/>
          </w:tcPr>
          <w:p w14:paraId="4B5C9672" w14:textId="77777777" w:rsidR="004B4E35" w:rsidRPr="00405303" w:rsidRDefault="009E6F82" w:rsidP="00C15251">
            <w:pPr>
              <w:jc w:val="both"/>
              <w:rPr>
                <w:bCs/>
                <w:color w:val="002060"/>
                <w:sz w:val="16"/>
                <w:szCs w:val="16"/>
              </w:rPr>
            </w:pPr>
            <w:r w:rsidRPr="00405303">
              <w:rPr>
                <w:bCs/>
                <w:color w:val="002060"/>
                <w:sz w:val="16"/>
                <w:szCs w:val="16"/>
              </w:rPr>
              <w:t xml:space="preserve">на 1000 </w:t>
            </w:r>
          </w:p>
        </w:tc>
      </w:tr>
      <w:tr w:rsidR="004B4E35" w:rsidRPr="00405303" w14:paraId="3488C15F" w14:textId="77777777">
        <w:tc>
          <w:tcPr>
            <w:tcW w:w="4848" w:type="dxa"/>
          </w:tcPr>
          <w:p w14:paraId="54DABF90" w14:textId="77777777" w:rsidR="004B4E35" w:rsidRPr="00405303" w:rsidRDefault="009E6F82" w:rsidP="00C15251">
            <w:pPr>
              <w:jc w:val="both"/>
              <w:rPr>
                <w:bCs/>
                <w:color w:val="002060"/>
                <w:sz w:val="16"/>
                <w:szCs w:val="16"/>
              </w:rPr>
            </w:pPr>
            <w:r w:rsidRPr="00405303">
              <w:rPr>
                <w:bCs/>
                <w:color w:val="002060"/>
                <w:sz w:val="16"/>
                <w:szCs w:val="16"/>
              </w:rPr>
              <w:t>То же 16 (29) июля 1915 г.</w:t>
            </w:r>
          </w:p>
        </w:tc>
        <w:tc>
          <w:tcPr>
            <w:tcW w:w="1476" w:type="dxa"/>
          </w:tcPr>
          <w:p w14:paraId="66F3DD96" w14:textId="77777777" w:rsidR="004B4E35" w:rsidRPr="00405303" w:rsidRDefault="009E6F82" w:rsidP="00C15251">
            <w:pPr>
              <w:jc w:val="both"/>
              <w:rPr>
                <w:bCs/>
                <w:color w:val="002060"/>
                <w:sz w:val="16"/>
                <w:szCs w:val="16"/>
              </w:rPr>
            </w:pPr>
            <w:r w:rsidRPr="00405303">
              <w:rPr>
                <w:bCs/>
                <w:color w:val="002060"/>
                <w:sz w:val="16"/>
                <w:szCs w:val="16"/>
              </w:rPr>
              <w:t xml:space="preserve">на 200 </w:t>
            </w:r>
          </w:p>
        </w:tc>
      </w:tr>
      <w:tr w:rsidR="004B4E35" w:rsidRPr="00405303" w14:paraId="733467F0" w14:textId="77777777">
        <w:tc>
          <w:tcPr>
            <w:tcW w:w="4848" w:type="dxa"/>
          </w:tcPr>
          <w:p w14:paraId="7D6F3957" w14:textId="77777777" w:rsidR="004B4E35" w:rsidRPr="00405303" w:rsidRDefault="009E6F82" w:rsidP="00C15251">
            <w:pPr>
              <w:jc w:val="both"/>
              <w:rPr>
                <w:bCs/>
                <w:color w:val="002060"/>
                <w:sz w:val="16"/>
                <w:szCs w:val="16"/>
              </w:rPr>
            </w:pPr>
            <w:r w:rsidRPr="00405303">
              <w:rPr>
                <w:bCs/>
                <w:color w:val="002060"/>
                <w:sz w:val="16"/>
                <w:szCs w:val="16"/>
              </w:rPr>
              <w:t>По контракту с британским правительством 9 сентября 1915 г.</w:t>
            </w:r>
          </w:p>
        </w:tc>
        <w:tc>
          <w:tcPr>
            <w:tcW w:w="1476" w:type="dxa"/>
          </w:tcPr>
          <w:p w14:paraId="2EF7CB06" w14:textId="77777777" w:rsidR="004B4E35" w:rsidRPr="00405303" w:rsidRDefault="009E6F82" w:rsidP="00C15251">
            <w:pPr>
              <w:jc w:val="both"/>
              <w:rPr>
                <w:bCs/>
                <w:color w:val="002060"/>
                <w:sz w:val="16"/>
                <w:szCs w:val="16"/>
              </w:rPr>
            </w:pPr>
            <w:r w:rsidRPr="00405303">
              <w:rPr>
                <w:bCs/>
                <w:color w:val="002060"/>
                <w:sz w:val="16"/>
                <w:szCs w:val="16"/>
              </w:rPr>
              <w:t xml:space="preserve">на 300 </w:t>
            </w:r>
          </w:p>
        </w:tc>
      </w:tr>
      <w:tr w:rsidR="004B4E35" w:rsidRPr="00405303" w14:paraId="0EC3DFFE" w14:textId="77777777">
        <w:tc>
          <w:tcPr>
            <w:tcW w:w="4848" w:type="dxa"/>
          </w:tcPr>
          <w:p w14:paraId="3C845C52" w14:textId="77777777" w:rsidR="004B4E35" w:rsidRPr="00405303" w:rsidRDefault="009E6F82" w:rsidP="00C15251">
            <w:pPr>
              <w:jc w:val="both"/>
              <w:rPr>
                <w:bCs/>
                <w:color w:val="002060"/>
                <w:sz w:val="16"/>
                <w:szCs w:val="16"/>
              </w:rPr>
            </w:pPr>
            <w:r w:rsidRPr="00405303">
              <w:rPr>
                <w:bCs/>
                <w:color w:val="002060"/>
                <w:sz w:val="16"/>
                <w:szCs w:val="16"/>
              </w:rPr>
              <w:t>Итого</w:t>
            </w:r>
          </w:p>
        </w:tc>
        <w:tc>
          <w:tcPr>
            <w:tcW w:w="1476" w:type="dxa"/>
          </w:tcPr>
          <w:p w14:paraId="3CD692A0" w14:textId="77777777" w:rsidR="004B4E35" w:rsidRPr="00405303" w:rsidRDefault="009E6F82" w:rsidP="00C15251">
            <w:pPr>
              <w:jc w:val="both"/>
              <w:rPr>
                <w:bCs/>
                <w:color w:val="002060"/>
                <w:sz w:val="16"/>
                <w:szCs w:val="16"/>
              </w:rPr>
            </w:pPr>
            <w:r w:rsidRPr="00405303">
              <w:rPr>
                <w:bCs/>
                <w:color w:val="002060"/>
                <w:sz w:val="16"/>
                <w:szCs w:val="16"/>
              </w:rPr>
              <w:t xml:space="preserve">1 500 000 штук. </w:t>
            </w:r>
          </w:p>
        </w:tc>
      </w:tr>
    </w:tbl>
    <w:p w14:paraId="0B74BAEA" w14:textId="77777777" w:rsidR="004B4E35" w:rsidRPr="00405303" w:rsidRDefault="009E6F82" w:rsidP="00C15251">
      <w:pPr>
        <w:jc w:val="both"/>
        <w:rPr>
          <w:bCs/>
          <w:color w:val="002060"/>
          <w:sz w:val="16"/>
          <w:szCs w:val="16"/>
        </w:rPr>
      </w:pPr>
      <w:r w:rsidRPr="00405303">
        <w:rPr>
          <w:bCs/>
          <w:color w:val="002060"/>
          <w:sz w:val="16"/>
          <w:szCs w:val="16"/>
        </w:rPr>
        <w:t xml:space="preserve">Кроме того, заказано 300 000 черновых ружейных стволов по цене 4,75 доллара за штуку. Начальный срок поставки винтовок — ноябрь 1915 г. и конечный — март 1917 года. Цена — 30 долларов за винтовку франко-завод. </w:t>
      </w:r>
    </w:p>
    <w:p w14:paraId="183359DC" w14:textId="77777777" w:rsidR="004B4E35" w:rsidRPr="00405303" w:rsidRDefault="009E6F82" w:rsidP="00C15251">
      <w:pPr>
        <w:jc w:val="both"/>
        <w:rPr>
          <w:bCs/>
          <w:color w:val="002060"/>
          <w:sz w:val="16"/>
          <w:szCs w:val="16"/>
        </w:rPr>
      </w:pPr>
      <w:r w:rsidRPr="00405303">
        <w:rPr>
          <w:bCs/>
          <w:color w:val="002060"/>
          <w:sz w:val="16"/>
          <w:szCs w:val="16"/>
        </w:rPr>
        <w:t xml:space="preserve">В противоположность Вестингаузу, разбросавшему выполнение заказа по нескольким десяткам заводов, Ремингтон сосредоточил выполнение заказа в одном месте. Для этого в Бриджпорте был выстроен и богато оборудован завод громадных размеров. Мощность его рассчитана была на 6000 винтовок в сутки, максимальная же сдача по плану выполнения контракта предусмотрена в 4500 штук. </w:t>
      </w:r>
    </w:p>
    <w:p w14:paraId="050AFEE7" w14:textId="77777777" w:rsidR="004B4E35" w:rsidRPr="00405303" w:rsidRDefault="009E6F82" w:rsidP="00C15251">
      <w:pPr>
        <w:jc w:val="both"/>
        <w:rPr>
          <w:bCs/>
          <w:color w:val="002060"/>
          <w:sz w:val="16"/>
          <w:szCs w:val="16"/>
        </w:rPr>
      </w:pPr>
      <w:r w:rsidRPr="00405303">
        <w:rPr>
          <w:bCs/>
          <w:color w:val="002060"/>
          <w:sz w:val="16"/>
          <w:szCs w:val="16"/>
        </w:rPr>
        <w:t xml:space="preserve">Постройка завода началась в марте 1915 г. и закончилась в сентябре того же года. </w:t>
      </w:r>
    </w:p>
    <w:p w14:paraId="11E19D51" w14:textId="77777777" w:rsidR="004B4E35" w:rsidRPr="00405303" w:rsidRDefault="009E6F82" w:rsidP="00C15251">
      <w:pPr>
        <w:jc w:val="both"/>
        <w:rPr>
          <w:bCs/>
          <w:color w:val="002060"/>
          <w:sz w:val="16"/>
          <w:szCs w:val="16"/>
        </w:rPr>
      </w:pPr>
      <w:r w:rsidRPr="00405303">
        <w:rPr>
          <w:bCs/>
          <w:color w:val="002060"/>
          <w:sz w:val="16"/>
          <w:szCs w:val="16"/>
        </w:rPr>
        <w:t xml:space="preserve">Предварительные данные, необходимые для постановки производства были сообщены заводу заблаговременно еще в 1914 году. Русские приемщики вместе с представителями завода начали разрабатывать необходимые чертежи и корректировать в них некоторые ошибки, наличие коих было указано в главе о Вестингаузе. Эта работа продолжалась по май 1915 года. В марте 1915 г. в распоряжении завода было несколько десятков винтовок, образцовые лекала и чертежи тех и других. Винтовки были не образцовые, так как изготовлялись в военное время по облегченным кондициям. Лекала — новые и вполне исправные. </w:t>
      </w:r>
    </w:p>
    <w:p w14:paraId="175CE526" w14:textId="77777777" w:rsidR="004B4E35" w:rsidRPr="00405303" w:rsidRDefault="009E6F82" w:rsidP="00C15251">
      <w:pPr>
        <w:jc w:val="both"/>
        <w:rPr>
          <w:bCs/>
          <w:color w:val="002060"/>
          <w:sz w:val="16"/>
          <w:szCs w:val="16"/>
        </w:rPr>
      </w:pPr>
      <w:r w:rsidRPr="00405303">
        <w:rPr>
          <w:bCs/>
          <w:color w:val="002060"/>
          <w:sz w:val="16"/>
          <w:szCs w:val="16"/>
        </w:rPr>
        <w:t xml:space="preserve">В конце 1915 г. прибыли на завод назначенные туда от Заготовительного комитета приемщики. Весьма быстро между администрацией завода и ними возник серьезный конфликт, в результате коего приемщику отказали в допуске в завод. Для ликвидации конфликта на завод прибыла большая комиссия. Один из приемщиков был отозван в Россию, и инцидент был исчерпан. </w:t>
      </w:r>
    </w:p>
    <w:p w14:paraId="61CFA989" w14:textId="77777777" w:rsidR="004B4E35" w:rsidRPr="00405303" w:rsidRDefault="009E6F82" w:rsidP="00C15251">
      <w:pPr>
        <w:jc w:val="both"/>
        <w:rPr>
          <w:bCs/>
          <w:color w:val="002060"/>
          <w:sz w:val="16"/>
          <w:szCs w:val="16"/>
        </w:rPr>
      </w:pPr>
      <w:r w:rsidRPr="00405303">
        <w:rPr>
          <w:bCs/>
          <w:color w:val="002060"/>
          <w:sz w:val="16"/>
          <w:szCs w:val="16"/>
        </w:rPr>
        <w:t xml:space="preserve">Сдача винтовок началась с большим запозданием, лишь в апреле 1916 года. Дело шло плохо и в отношении выпуска, и в отношении качеств изделия. Ввиду этого по настоянию русской инспекции директор завода был смещен. Новый директор, весьма опытный человек, предпринял коренную техническую перепланировку производства. Это вызвало резкий упадок достигнутого уже выпуска винтовок. Сдача, дошедшая в августе 1916 г. до 2000 шт. в сутки, снизилась </w:t>
      </w:r>
      <w:proofErr w:type="gramStart"/>
      <w:r w:rsidRPr="00405303">
        <w:rPr>
          <w:bCs/>
          <w:color w:val="002060"/>
          <w:sz w:val="16"/>
          <w:szCs w:val="16"/>
        </w:rPr>
        <w:t>больше</w:t>
      </w:r>
      <w:proofErr w:type="gramEnd"/>
      <w:r w:rsidRPr="00405303">
        <w:rPr>
          <w:bCs/>
          <w:color w:val="002060"/>
          <w:sz w:val="16"/>
          <w:szCs w:val="16"/>
        </w:rPr>
        <w:t xml:space="preserve"> чем вдвое. Но зато методы производства были значительно улучшены проведением правильно-лекального изготовления всех деталей. Это создавало прочную базу для быстрого и широкого разворачивания производства и улучшало качества изделия. Потребовалась перепланировка помещения цехов. </w:t>
      </w:r>
    </w:p>
    <w:p w14:paraId="76A7D897" w14:textId="77777777" w:rsidR="004B4E35" w:rsidRPr="00405303" w:rsidRDefault="009E6F82" w:rsidP="00C15251">
      <w:pPr>
        <w:jc w:val="both"/>
        <w:rPr>
          <w:bCs/>
          <w:color w:val="002060"/>
          <w:sz w:val="16"/>
          <w:szCs w:val="16"/>
        </w:rPr>
      </w:pPr>
      <w:r w:rsidRPr="00405303">
        <w:rPr>
          <w:bCs/>
          <w:color w:val="002060"/>
          <w:sz w:val="16"/>
          <w:szCs w:val="16"/>
        </w:rPr>
        <w:t xml:space="preserve">По прошествии полутора лет со дня заключения контракта фактическое состояние производства по сравнению с контрактным планом представлялось в следующем виде: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984"/>
        <w:gridCol w:w="984"/>
        <w:gridCol w:w="984"/>
        <w:gridCol w:w="1128"/>
      </w:tblGrid>
      <w:tr w:rsidR="004B4E35" w:rsidRPr="00405303" w14:paraId="550CF48C" w14:textId="77777777">
        <w:tc>
          <w:tcPr>
            <w:tcW w:w="1248" w:type="dxa"/>
          </w:tcPr>
          <w:p w14:paraId="202D014F" w14:textId="77777777" w:rsidR="004B4E35" w:rsidRPr="00405303" w:rsidRDefault="009E6F82" w:rsidP="00C15251">
            <w:pPr>
              <w:jc w:val="both"/>
              <w:rPr>
                <w:bCs/>
                <w:color w:val="002060"/>
                <w:sz w:val="16"/>
                <w:szCs w:val="16"/>
              </w:rPr>
            </w:pPr>
            <w:r w:rsidRPr="00405303">
              <w:rPr>
                <w:bCs/>
                <w:color w:val="002060"/>
                <w:sz w:val="16"/>
                <w:szCs w:val="16"/>
              </w:rPr>
              <w:t xml:space="preserve">Сдача </w:t>
            </w:r>
          </w:p>
        </w:tc>
        <w:tc>
          <w:tcPr>
            <w:tcW w:w="1968" w:type="dxa"/>
            <w:gridSpan w:val="2"/>
          </w:tcPr>
          <w:p w14:paraId="7997EF44" w14:textId="77777777" w:rsidR="004B4E35" w:rsidRPr="00405303" w:rsidRDefault="009E6F82" w:rsidP="00C15251">
            <w:pPr>
              <w:jc w:val="both"/>
              <w:rPr>
                <w:bCs/>
                <w:color w:val="002060"/>
                <w:sz w:val="16"/>
                <w:szCs w:val="16"/>
              </w:rPr>
            </w:pPr>
            <w:r w:rsidRPr="00405303">
              <w:rPr>
                <w:bCs/>
                <w:color w:val="002060"/>
                <w:sz w:val="16"/>
                <w:szCs w:val="16"/>
              </w:rPr>
              <w:t>Надлежало по плану</w:t>
            </w:r>
          </w:p>
        </w:tc>
        <w:tc>
          <w:tcPr>
            <w:tcW w:w="2112" w:type="dxa"/>
            <w:gridSpan w:val="2"/>
          </w:tcPr>
          <w:p w14:paraId="54C2ED0D" w14:textId="77777777" w:rsidR="004B4E35" w:rsidRPr="00405303" w:rsidRDefault="009E6F82" w:rsidP="00C15251">
            <w:pPr>
              <w:jc w:val="both"/>
              <w:rPr>
                <w:bCs/>
                <w:color w:val="002060"/>
                <w:sz w:val="16"/>
                <w:szCs w:val="16"/>
              </w:rPr>
            </w:pPr>
            <w:r w:rsidRPr="00405303">
              <w:rPr>
                <w:bCs/>
                <w:color w:val="002060"/>
                <w:sz w:val="16"/>
                <w:szCs w:val="16"/>
              </w:rPr>
              <w:t>Фактическая</w:t>
            </w:r>
          </w:p>
        </w:tc>
      </w:tr>
      <w:tr w:rsidR="004B4E35" w:rsidRPr="00405303" w14:paraId="23ECE267" w14:textId="77777777">
        <w:tc>
          <w:tcPr>
            <w:tcW w:w="1248" w:type="dxa"/>
          </w:tcPr>
          <w:p w14:paraId="6D0E7D1E" w14:textId="77777777" w:rsidR="004B4E35" w:rsidRPr="00405303" w:rsidRDefault="009E6F82" w:rsidP="00C15251">
            <w:pPr>
              <w:jc w:val="both"/>
              <w:rPr>
                <w:bCs/>
                <w:color w:val="002060"/>
                <w:sz w:val="16"/>
                <w:szCs w:val="16"/>
              </w:rPr>
            </w:pPr>
            <w:r w:rsidRPr="00405303">
              <w:rPr>
                <w:bCs/>
                <w:color w:val="002060"/>
                <w:sz w:val="16"/>
                <w:szCs w:val="16"/>
              </w:rPr>
              <w:t>винтовок</w:t>
            </w:r>
          </w:p>
        </w:tc>
        <w:tc>
          <w:tcPr>
            <w:tcW w:w="984" w:type="dxa"/>
          </w:tcPr>
          <w:p w14:paraId="5FE2D511" w14:textId="77777777" w:rsidR="004B4E35" w:rsidRPr="00405303" w:rsidRDefault="009E6F82" w:rsidP="00C15251">
            <w:pPr>
              <w:jc w:val="both"/>
              <w:rPr>
                <w:bCs/>
                <w:color w:val="002060"/>
                <w:sz w:val="16"/>
                <w:szCs w:val="16"/>
              </w:rPr>
            </w:pPr>
            <w:r w:rsidRPr="00405303">
              <w:rPr>
                <w:bCs/>
                <w:color w:val="002060"/>
                <w:sz w:val="16"/>
                <w:szCs w:val="16"/>
              </w:rPr>
              <w:t>В сутки</w:t>
            </w:r>
          </w:p>
        </w:tc>
        <w:tc>
          <w:tcPr>
            <w:tcW w:w="984" w:type="dxa"/>
          </w:tcPr>
          <w:p w14:paraId="1C14E00B" w14:textId="77777777" w:rsidR="004B4E35" w:rsidRPr="00405303" w:rsidRDefault="009E6F82" w:rsidP="00C15251">
            <w:pPr>
              <w:jc w:val="both"/>
              <w:rPr>
                <w:bCs/>
                <w:color w:val="002060"/>
                <w:sz w:val="16"/>
                <w:szCs w:val="16"/>
              </w:rPr>
            </w:pPr>
            <w:r w:rsidRPr="00405303">
              <w:rPr>
                <w:bCs/>
                <w:color w:val="002060"/>
                <w:sz w:val="16"/>
                <w:szCs w:val="16"/>
              </w:rPr>
              <w:t>От начала работ</w:t>
            </w:r>
          </w:p>
        </w:tc>
        <w:tc>
          <w:tcPr>
            <w:tcW w:w="984" w:type="dxa"/>
          </w:tcPr>
          <w:p w14:paraId="67E3CAEE" w14:textId="77777777" w:rsidR="004B4E35" w:rsidRPr="00405303" w:rsidRDefault="009E6F82" w:rsidP="00C15251">
            <w:pPr>
              <w:jc w:val="both"/>
              <w:rPr>
                <w:bCs/>
                <w:color w:val="002060"/>
                <w:sz w:val="16"/>
                <w:szCs w:val="16"/>
              </w:rPr>
            </w:pPr>
            <w:r w:rsidRPr="00405303">
              <w:rPr>
                <w:bCs/>
                <w:color w:val="002060"/>
                <w:sz w:val="16"/>
                <w:szCs w:val="16"/>
              </w:rPr>
              <w:t>В сутки</w:t>
            </w:r>
          </w:p>
        </w:tc>
        <w:tc>
          <w:tcPr>
            <w:tcW w:w="1128" w:type="dxa"/>
          </w:tcPr>
          <w:p w14:paraId="28ECEA7F" w14:textId="77777777" w:rsidR="004B4E35" w:rsidRPr="00405303" w:rsidRDefault="009E6F82" w:rsidP="00C15251">
            <w:pPr>
              <w:jc w:val="both"/>
              <w:rPr>
                <w:bCs/>
                <w:color w:val="002060"/>
                <w:sz w:val="16"/>
                <w:szCs w:val="16"/>
              </w:rPr>
            </w:pPr>
            <w:r w:rsidRPr="00405303">
              <w:rPr>
                <w:bCs/>
                <w:color w:val="002060"/>
                <w:sz w:val="16"/>
                <w:szCs w:val="16"/>
              </w:rPr>
              <w:t>От начала работ</w:t>
            </w:r>
          </w:p>
        </w:tc>
      </w:tr>
      <w:tr w:rsidR="004B4E35" w:rsidRPr="00405303" w14:paraId="37646829" w14:textId="77777777">
        <w:tc>
          <w:tcPr>
            <w:tcW w:w="1248" w:type="dxa"/>
          </w:tcPr>
          <w:p w14:paraId="51B66235" w14:textId="77777777" w:rsidR="004B4E35" w:rsidRPr="00405303" w:rsidRDefault="009E6F82" w:rsidP="00C15251">
            <w:pPr>
              <w:jc w:val="both"/>
              <w:rPr>
                <w:bCs/>
                <w:color w:val="002060"/>
                <w:sz w:val="16"/>
                <w:szCs w:val="16"/>
              </w:rPr>
            </w:pPr>
            <w:r w:rsidRPr="00405303">
              <w:rPr>
                <w:bCs/>
                <w:color w:val="002060"/>
                <w:sz w:val="16"/>
                <w:szCs w:val="16"/>
              </w:rPr>
              <w:t>Декабрь 1916 г.</w:t>
            </w:r>
          </w:p>
        </w:tc>
        <w:tc>
          <w:tcPr>
            <w:tcW w:w="984" w:type="dxa"/>
          </w:tcPr>
          <w:p w14:paraId="5CE26E75" w14:textId="77777777" w:rsidR="004B4E35" w:rsidRPr="00405303" w:rsidRDefault="009E6F82" w:rsidP="00C15251">
            <w:pPr>
              <w:jc w:val="both"/>
              <w:rPr>
                <w:bCs/>
                <w:color w:val="002060"/>
                <w:sz w:val="16"/>
                <w:szCs w:val="16"/>
              </w:rPr>
            </w:pPr>
            <w:r w:rsidRPr="00405303">
              <w:rPr>
                <w:bCs/>
                <w:color w:val="002060"/>
                <w:sz w:val="16"/>
                <w:szCs w:val="16"/>
              </w:rPr>
              <w:t>1.000</w:t>
            </w:r>
          </w:p>
        </w:tc>
        <w:tc>
          <w:tcPr>
            <w:tcW w:w="984" w:type="dxa"/>
          </w:tcPr>
          <w:p w14:paraId="75B46B39" w14:textId="77777777" w:rsidR="004B4E35" w:rsidRPr="00405303" w:rsidRDefault="009E6F82" w:rsidP="00C15251">
            <w:pPr>
              <w:jc w:val="both"/>
              <w:rPr>
                <w:bCs/>
                <w:color w:val="002060"/>
                <w:sz w:val="16"/>
                <w:szCs w:val="16"/>
              </w:rPr>
            </w:pPr>
            <w:r w:rsidRPr="00405303">
              <w:rPr>
                <w:bCs/>
                <w:color w:val="002060"/>
                <w:sz w:val="16"/>
                <w:szCs w:val="16"/>
              </w:rPr>
              <w:t>1.000.000</w:t>
            </w:r>
          </w:p>
        </w:tc>
        <w:tc>
          <w:tcPr>
            <w:tcW w:w="984" w:type="dxa"/>
          </w:tcPr>
          <w:p w14:paraId="2582590D" w14:textId="77777777" w:rsidR="004B4E35" w:rsidRPr="00405303" w:rsidRDefault="009E6F82" w:rsidP="00C15251">
            <w:pPr>
              <w:jc w:val="both"/>
              <w:rPr>
                <w:bCs/>
                <w:color w:val="002060"/>
                <w:sz w:val="16"/>
                <w:szCs w:val="16"/>
              </w:rPr>
            </w:pPr>
            <w:r w:rsidRPr="00405303">
              <w:rPr>
                <w:bCs/>
                <w:color w:val="002060"/>
                <w:sz w:val="16"/>
                <w:szCs w:val="16"/>
              </w:rPr>
              <w:t>500</w:t>
            </w:r>
          </w:p>
        </w:tc>
        <w:tc>
          <w:tcPr>
            <w:tcW w:w="1128" w:type="dxa"/>
          </w:tcPr>
          <w:p w14:paraId="149F1E91" w14:textId="77777777" w:rsidR="004B4E35" w:rsidRPr="00405303" w:rsidRDefault="009E6F82" w:rsidP="00C15251">
            <w:pPr>
              <w:jc w:val="both"/>
              <w:rPr>
                <w:bCs/>
                <w:color w:val="002060"/>
                <w:sz w:val="16"/>
                <w:szCs w:val="16"/>
              </w:rPr>
            </w:pPr>
            <w:r w:rsidRPr="00405303">
              <w:rPr>
                <w:bCs/>
                <w:color w:val="002060"/>
                <w:sz w:val="16"/>
                <w:szCs w:val="16"/>
              </w:rPr>
              <w:t>70.000</w:t>
            </w:r>
          </w:p>
        </w:tc>
      </w:tr>
      <w:tr w:rsidR="004B4E35" w:rsidRPr="00405303" w14:paraId="322FA30F" w14:textId="77777777">
        <w:tc>
          <w:tcPr>
            <w:tcW w:w="1248" w:type="dxa"/>
          </w:tcPr>
          <w:p w14:paraId="21FCAB50" w14:textId="77777777" w:rsidR="004B4E35" w:rsidRPr="00405303" w:rsidRDefault="009E6F82" w:rsidP="00C15251">
            <w:pPr>
              <w:jc w:val="both"/>
              <w:rPr>
                <w:bCs/>
                <w:color w:val="002060"/>
                <w:sz w:val="16"/>
                <w:szCs w:val="16"/>
              </w:rPr>
            </w:pPr>
            <w:r w:rsidRPr="00405303">
              <w:rPr>
                <w:bCs/>
                <w:color w:val="002060"/>
                <w:sz w:val="16"/>
                <w:szCs w:val="16"/>
              </w:rPr>
              <w:t>Март 1917 г.</w:t>
            </w:r>
          </w:p>
        </w:tc>
        <w:tc>
          <w:tcPr>
            <w:tcW w:w="984" w:type="dxa"/>
          </w:tcPr>
          <w:p w14:paraId="7544DB4D" w14:textId="77777777" w:rsidR="004B4E35" w:rsidRPr="00405303" w:rsidRDefault="009E6F82" w:rsidP="00C15251">
            <w:pPr>
              <w:jc w:val="both"/>
              <w:rPr>
                <w:bCs/>
                <w:color w:val="002060"/>
                <w:sz w:val="16"/>
                <w:szCs w:val="16"/>
              </w:rPr>
            </w:pPr>
            <w:r w:rsidRPr="00405303">
              <w:rPr>
                <w:bCs/>
                <w:color w:val="002060"/>
                <w:sz w:val="16"/>
                <w:szCs w:val="16"/>
              </w:rPr>
              <w:t>4.000</w:t>
            </w:r>
          </w:p>
        </w:tc>
        <w:tc>
          <w:tcPr>
            <w:tcW w:w="984" w:type="dxa"/>
          </w:tcPr>
          <w:p w14:paraId="6D9DFE7F" w14:textId="77777777" w:rsidR="004B4E35" w:rsidRPr="00405303" w:rsidRDefault="009E6F82" w:rsidP="00C15251">
            <w:pPr>
              <w:jc w:val="both"/>
              <w:rPr>
                <w:bCs/>
                <w:color w:val="002060"/>
                <w:sz w:val="16"/>
                <w:szCs w:val="16"/>
              </w:rPr>
            </w:pPr>
            <w:r w:rsidRPr="00405303">
              <w:rPr>
                <w:bCs/>
                <w:color w:val="002060"/>
                <w:sz w:val="16"/>
                <w:szCs w:val="16"/>
              </w:rPr>
              <w:t>1.250.000</w:t>
            </w:r>
          </w:p>
        </w:tc>
        <w:tc>
          <w:tcPr>
            <w:tcW w:w="984" w:type="dxa"/>
          </w:tcPr>
          <w:p w14:paraId="61395322" w14:textId="77777777" w:rsidR="004B4E35" w:rsidRPr="00405303" w:rsidRDefault="009E6F82" w:rsidP="00C15251">
            <w:pPr>
              <w:jc w:val="both"/>
              <w:rPr>
                <w:bCs/>
                <w:color w:val="002060"/>
                <w:sz w:val="16"/>
                <w:szCs w:val="16"/>
              </w:rPr>
            </w:pPr>
            <w:r w:rsidRPr="00405303">
              <w:rPr>
                <w:bCs/>
                <w:color w:val="002060"/>
                <w:sz w:val="16"/>
                <w:szCs w:val="16"/>
              </w:rPr>
              <w:t>1.200</w:t>
            </w:r>
          </w:p>
        </w:tc>
        <w:tc>
          <w:tcPr>
            <w:tcW w:w="1128" w:type="dxa"/>
          </w:tcPr>
          <w:p w14:paraId="6F372913" w14:textId="77777777" w:rsidR="004B4E35" w:rsidRPr="00405303" w:rsidRDefault="009E6F82" w:rsidP="00C15251">
            <w:pPr>
              <w:jc w:val="both"/>
              <w:rPr>
                <w:bCs/>
                <w:color w:val="002060"/>
                <w:sz w:val="16"/>
                <w:szCs w:val="16"/>
              </w:rPr>
            </w:pPr>
            <w:r w:rsidRPr="00405303">
              <w:rPr>
                <w:bCs/>
                <w:color w:val="002060"/>
                <w:sz w:val="16"/>
                <w:szCs w:val="16"/>
              </w:rPr>
              <w:t>120.000</w:t>
            </w:r>
          </w:p>
        </w:tc>
      </w:tr>
      <w:tr w:rsidR="004B4E35" w:rsidRPr="00405303" w14:paraId="258316F0" w14:textId="77777777">
        <w:tc>
          <w:tcPr>
            <w:tcW w:w="1248" w:type="dxa"/>
          </w:tcPr>
          <w:p w14:paraId="688F3251" w14:textId="77777777" w:rsidR="004B4E35" w:rsidRPr="00405303" w:rsidRDefault="009E6F82" w:rsidP="00C15251">
            <w:pPr>
              <w:jc w:val="both"/>
              <w:rPr>
                <w:bCs/>
                <w:color w:val="002060"/>
                <w:sz w:val="16"/>
                <w:szCs w:val="16"/>
              </w:rPr>
            </w:pPr>
            <w:r w:rsidRPr="00405303">
              <w:rPr>
                <w:bCs/>
                <w:color w:val="002060"/>
                <w:sz w:val="16"/>
                <w:szCs w:val="16"/>
              </w:rPr>
              <w:t>Май 1917 г.</w:t>
            </w:r>
          </w:p>
        </w:tc>
        <w:tc>
          <w:tcPr>
            <w:tcW w:w="984" w:type="dxa"/>
          </w:tcPr>
          <w:p w14:paraId="588A2C49" w14:textId="77777777" w:rsidR="004B4E35" w:rsidRPr="00405303" w:rsidRDefault="009E6F82" w:rsidP="00C15251">
            <w:pPr>
              <w:jc w:val="both"/>
              <w:rPr>
                <w:bCs/>
                <w:color w:val="002060"/>
                <w:sz w:val="16"/>
                <w:szCs w:val="16"/>
              </w:rPr>
            </w:pPr>
            <w:r w:rsidRPr="00405303">
              <w:rPr>
                <w:bCs/>
                <w:color w:val="002060"/>
                <w:sz w:val="16"/>
                <w:szCs w:val="16"/>
              </w:rPr>
              <w:t>4.000</w:t>
            </w:r>
          </w:p>
        </w:tc>
        <w:tc>
          <w:tcPr>
            <w:tcW w:w="984" w:type="dxa"/>
          </w:tcPr>
          <w:p w14:paraId="47D1C4B6" w14:textId="77777777" w:rsidR="004B4E35" w:rsidRPr="00405303" w:rsidRDefault="009E6F82" w:rsidP="00C15251">
            <w:pPr>
              <w:jc w:val="both"/>
              <w:rPr>
                <w:bCs/>
                <w:color w:val="002060"/>
                <w:sz w:val="16"/>
                <w:szCs w:val="16"/>
              </w:rPr>
            </w:pPr>
            <w:r w:rsidRPr="00405303">
              <w:rPr>
                <w:bCs/>
                <w:color w:val="002060"/>
                <w:sz w:val="16"/>
                <w:szCs w:val="16"/>
              </w:rPr>
              <w:t>1.450.000</w:t>
            </w:r>
          </w:p>
        </w:tc>
        <w:tc>
          <w:tcPr>
            <w:tcW w:w="984" w:type="dxa"/>
          </w:tcPr>
          <w:p w14:paraId="55744BF0" w14:textId="77777777" w:rsidR="004B4E35" w:rsidRPr="00405303" w:rsidRDefault="009E6F82" w:rsidP="00C15251">
            <w:pPr>
              <w:jc w:val="both"/>
              <w:rPr>
                <w:bCs/>
                <w:color w:val="002060"/>
                <w:sz w:val="16"/>
                <w:szCs w:val="16"/>
              </w:rPr>
            </w:pPr>
            <w:r w:rsidRPr="00405303">
              <w:rPr>
                <w:bCs/>
                <w:color w:val="002060"/>
                <w:sz w:val="16"/>
                <w:szCs w:val="16"/>
              </w:rPr>
              <w:t>1.800</w:t>
            </w:r>
          </w:p>
        </w:tc>
        <w:tc>
          <w:tcPr>
            <w:tcW w:w="1128" w:type="dxa"/>
          </w:tcPr>
          <w:p w14:paraId="69921D83" w14:textId="77777777" w:rsidR="004B4E35" w:rsidRPr="00405303" w:rsidRDefault="009E6F82" w:rsidP="00C15251">
            <w:pPr>
              <w:jc w:val="both"/>
              <w:rPr>
                <w:bCs/>
                <w:color w:val="002060"/>
                <w:sz w:val="16"/>
                <w:szCs w:val="16"/>
              </w:rPr>
            </w:pPr>
            <w:r w:rsidRPr="00405303">
              <w:rPr>
                <w:bCs/>
                <w:color w:val="002060"/>
                <w:sz w:val="16"/>
                <w:szCs w:val="16"/>
              </w:rPr>
              <w:t>200.000</w:t>
            </w:r>
          </w:p>
        </w:tc>
      </w:tr>
    </w:tbl>
    <w:p w14:paraId="3113C1B1" w14:textId="77777777" w:rsidR="004B4E35" w:rsidRPr="00405303" w:rsidRDefault="009E6F82" w:rsidP="00C15251">
      <w:pPr>
        <w:jc w:val="both"/>
        <w:rPr>
          <w:bCs/>
          <w:color w:val="002060"/>
          <w:sz w:val="16"/>
          <w:szCs w:val="16"/>
        </w:rPr>
      </w:pPr>
      <w:r w:rsidRPr="00405303">
        <w:rPr>
          <w:bCs/>
          <w:color w:val="002060"/>
          <w:sz w:val="16"/>
          <w:szCs w:val="16"/>
        </w:rPr>
        <w:t xml:space="preserve">Таким образом, сдача катастрофически отставала от плана. Это обстоятельство, естественно, создавало для компании крайне тяжелое финансовое положение, угрожавшее крахом, так как поступлений платежей не было, а расходы шли своим порядком. </w:t>
      </w:r>
    </w:p>
    <w:p w14:paraId="5DFA683C" w14:textId="77777777" w:rsidR="004B4E35" w:rsidRPr="00405303" w:rsidRDefault="009E6F82" w:rsidP="00C15251">
      <w:pPr>
        <w:jc w:val="both"/>
        <w:rPr>
          <w:bCs/>
          <w:color w:val="002060"/>
          <w:sz w:val="16"/>
          <w:szCs w:val="16"/>
        </w:rPr>
      </w:pPr>
      <w:r w:rsidRPr="00405303">
        <w:rPr>
          <w:bCs/>
          <w:color w:val="002060"/>
          <w:sz w:val="16"/>
          <w:szCs w:val="16"/>
        </w:rPr>
        <w:t xml:space="preserve">В декабре 1916 г. Заготовительным комитетом был канцелирован заказ на 300 000 винтовок. </w:t>
      </w:r>
    </w:p>
    <w:p w14:paraId="6A7DA3D4" w14:textId="77777777" w:rsidR="004B4E35" w:rsidRPr="00405303" w:rsidRDefault="009E6F82" w:rsidP="00C15251">
      <w:pPr>
        <w:jc w:val="both"/>
        <w:rPr>
          <w:bCs/>
          <w:color w:val="002060"/>
          <w:sz w:val="16"/>
          <w:szCs w:val="16"/>
        </w:rPr>
      </w:pPr>
      <w:r w:rsidRPr="00405303">
        <w:rPr>
          <w:bCs/>
          <w:color w:val="002060"/>
          <w:sz w:val="16"/>
          <w:szCs w:val="16"/>
        </w:rPr>
        <w:t xml:space="preserve">В связи со всем этим Ремингтон возбудил вопрос о пересмотре контрактов, угрожая в противном случае остановить производство. Создавался, таким образом, конфликт, подобный тому, какой имел место с Вестингаузом. </w:t>
      </w:r>
    </w:p>
    <w:p w14:paraId="7102FAA4" w14:textId="77777777" w:rsidR="004B4E35" w:rsidRPr="00405303" w:rsidRDefault="009E6F82" w:rsidP="00C15251">
      <w:pPr>
        <w:jc w:val="both"/>
        <w:rPr>
          <w:bCs/>
          <w:color w:val="002060"/>
          <w:sz w:val="16"/>
          <w:szCs w:val="16"/>
        </w:rPr>
      </w:pPr>
      <w:r w:rsidRPr="00405303">
        <w:rPr>
          <w:bCs/>
          <w:color w:val="002060"/>
          <w:sz w:val="16"/>
          <w:szCs w:val="16"/>
        </w:rPr>
        <w:t xml:space="preserve">Председатель Заготовительного комитета по этому поводу доносит в Петроград: "Завод Ремингтон, вероятно, опираясь на Вестингауза, получающего всякие льготы, начал опять подавать брак и тоже начинает протестовать против наших правильных требований". </w:t>
      </w:r>
    </w:p>
    <w:p w14:paraId="1A5664BC" w14:textId="77777777" w:rsidR="004B4E35" w:rsidRPr="00405303" w:rsidRDefault="009E6F82" w:rsidP="00C15251">
      <w:pPr>
        <w:jc w:val="both"/>
        <w:rPr>
          <w:bCs/>
          <w:color w:val="002060"/>
          <w:sz w:val="16"/>
          <w:szCs w:val="16"/>
        </w:rPr>
      </w:pPr>
      <w:r w:rsidRPr="00405303">
        <w:rPr>
          <w:bCs/>
          <w:color w:val="002060"/>
          <w:sz w:val="16"/>
          <w:szCs w:val="16"/>
        </w:rPr>
        <w:t xml:space="preserve">Очевиден был сговор банков, которые требуют — или брать такие ружья, какие нам дают, или же, в противном случае, грозят закрыть завод, предпочитая не нести дальнейших убытков. Такое давление банков понятно, поскольку некоторые из директоров компании были в то же время директорами банков. </w:t>
      </w:r>
    </w:p>
    <w:p w14:paraId="7F633D36" w14:textId="77777777" w:rsidR="004B4E35" w:rsidRPr="00405303" w:rsidRDefault="009E6F82" w:rsidP="00C15251">
      <w:pPr>
        <w:jc w:val="both"/>
        <w:rPr>
          <w:bCs/>
          <w:color w:val="002060"/>
          <w:sz w:val="16"/>
          <w:szCs w:val="16"/>
        </w:rPr>
      </w:pPr>
      <w:r w:rsidRPr="00405303">
        <w:rPr>
          <w:bCs/>
          <w:color w:val="002060"/>
          <w:sz w:val="16"/>
          <w:szCs w:val="16"/>
        </w:rPr>
        <w:t xml:space="preserve">В периоде переговоров об изменении условий контракта Ремингтон возбудил вопрос о передаче его завода в полное техническое управление русским инженерам-оружейникам. Одновременно такой же вопрос поставил и Вестингауз. </w:t>
      </w:r>
    </w:p>
    <w:p w14:paraId="1D30344F" w14:textId="77777777" w:rsidR="004B4E35" w:rsidRPr="00405303" w:rsidRDefault="009E6F82" w:rsidP="00C15251">
      <w:pPr>
        <w:jc w:val="both"/>
        <w:rPr>
          <w:bCs/>
          <w:color w:val="002060"/>
          <w:sz w:val="16"/>
          <w:szCs w:val="16"/>
        </w:rPr>
      </w:pPr>
      <w:r w:rsidRPr="00405303">
        <w:rPr>
          <w:bCs/>
          <w:color w:val="002060"/>
          <w:sz w:val="16"/>
          <w:szCs w:val="16"/>
        </w:rPr>
        <w:t xml:space="preserve">В середине марта 1916 г. переговоры были задержаны почти на месяц союзной конференцией в Петрограде, после чего опять возобновились и шли успешно. </w:t>
      </w:r>
    </w:p>
    <w:p w14:paraId="5D537F8F"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После долгих переговоров и сношений с Лондоном и Петроградом был, наконец, 10 сентября 1917 г. подписан новый договор с фирмой Ремингтон, заменяющий предшествующие контракты. Основные положения нового договора сводились к следующему. </w:t>
      </w:r>
    </w:p>
    <w:p w14:paraId="67516804" w14:textId="77777777" w:rsidR="004B4E35" w:rsidRPr="00405303" w:rsidRDefault="009E6F82" w:rsidP="00C15251">
      <w:pPr>
        <w:jc w:val="both"/>
        <w:rPr>
          <w:bCs/>
          <w:color w:val="002060"/>
          <w:sz w:val="16"/>
          <w:szCs w:val="16"/>
        </w:rPr>
      </w:pPr>
      <w:r w:rsidRPr="00405303">
        <w:rPr>
          <w:bCs/>
          <w:color w:val="002060"/>
          <w:sz w:val="16"/>
          <w:szCs w:val="16"/>
        </w:rPr>
        <w:t xml:space="preserve">1) Заказ 1 500 000 ружей сокращается до 1 млн. </w:t>
      </w:r>
    </w:p>
    <w:p w14:paraId="39103DD7" w14:textId="77777777" w:rsidR="004B4E35" w:rsidRPr="00405303" w:rsidRDefault="009E6F82" w:rsidP="00C15251">
      <w:pPr>
        <w:jc w:val="both"/>
        <w:rPr>
          <w:bCs/>
          <w:color w:val="002060"/>
          <w:sz w:val="16"/>
          <w:szCs w:val="16"/>
        </w:rPr>
      </w:pPr>
      <w:r w:rsidRPr="00405303">
        <w:rPr>
          <w:bCs/>
          <w:color w:val="002060"/>
          <w:sz w:val="16"/>
          <w:szCs w:val="16"/>
        </w:rPr>
        <w:t xml:space="preserve">2) Организуется общество Новый Ремингтон, в котором половина акций принадлежит старому Ремингтону, другая — русскому правительству. </w:t>
      </w:r>
    </w:p>
    <w:p w14:paraId="3F213985" w14:textId="77777777" w:rsidR="004B4E35" w:rsidRPr="00405303" w:rsidRDefault="009E6F82" w:rsidP="00C15251">
      <w:pPr>
        <w:jc w:val="both"/>
        <w:rPr>
          <w:bCs/>
          <w:color w:val="002060"/>
          <w:sz w:val="16"/>
          <w:szCs w:val="16"/>
        </w:rPr>
      </w:pPr>
      <w:r w:rsidRPr="00405303">
        <w:rPr>
          <w:bCs/>
          <w:color w:val="002060"/>
          <w:sz w:val="16"/>
          <w:szCs w:val="16"/>
        </w:rPr>
        <w:t xml:space="preserve">3) Русское правительство вносит за акции 6 млн долларов, которые составляют половину капитала, затраченного фирмой в дело с начала работы по день нового контракта. </w:t>
      </w:r>
    </w:p>
    <w:p w14:paraId="78A88A0A" w14:textId="77777777" w:rsidR="004B4E35" w:rsidRPr="00405303" w:rsidRDefault="009E6F82" w:rsidP="00C15251">
      <w:pPr>
        <w:jc w:val="both"/>
        <w:rPr>
          <w:bCs/>
          <w:color w:val="002060"/>
          <w:sz w:val="16"/>
          <w:szCs w:val="16"/>
        </w:rPr>
      </w:pPr>
      <w:r w:rsidRPr="00405303">
        <w:rPr>
          <w:bCs/>
          <w:color w:val="002060"/>
          <w:sz w:val="16"/>
          <w:szCs w:val="16"/>
        </w:rPr>
        <w:t xml:space="preserve">4) Старый Ремингтон уступает Новому 0,68 доли участия в недвижимом имуществе, заводе и инвентаре, что отвечает потребности ружейного контракта. Часть имущества по особой описи вполне отчуждается Новому Ремингтону. </w:t>
      </w:r>
    </w:p>
    <w:p w14:paraId="74C4A2F5" w14:textId="77777777" w:rsidR="004B4E35" w:rsidRPr="00405303" w:rsidRDefault="009E6F82" w:rsidP="00C15251">
      <w:pPr>
        <w:jc w:val="both"/>
        <w:rPr>
          <w:bCs/>
          <w:color w:val="002060"/>
          <w:sz w:val="16"/>
          <w:szCs w:val="16"/>
        </w:rPr>
      </w:pPr>
      <w:r w:rsidRPr="00405303">
        <w:rPr>
          <w:bCs/>
          <w:color w:val="002060"/>
          <w:sz w:val="16"/>
          <w:szCs w:val="16"/>
        </w:rPr>
        <w:t xml:space="preserve">5) Новый Ремингтон управляется директоратом из шести директоров — три от Ремингтона и три от Русского заготовительного комитета. </w:t>
      </w:r>
    </w:p>
    <w:p w14:paraId="36AC7EA0" w14:textId="77777777" w:rsidR="004B4E35" w:rsidRPr="00405303" w:rsidRDefault="009E6F82" w:rsidP="00C15251">
      <w:pPr>
        <w:jc w:val="both"/>
        <w:rPr>
          <w:bCs/>
          <w:color w:val="002060"/>
          <w:sz w:val="16"/>
          <w:szCs w:val="16"/>
        </w:rPr>
      </w:pPr>
      <w:r w:rsidRPr="00405303">
        <w:rPr>
          <w:bCs/>
          <w:color w:val="002060"/>
          <w:sz w:val="16"/>
          <w:szCs w:val="16"/>
        </w:rPr>
        <w:t>6) Цена винтовки 30 долларов.</w:t>
      </w:r>
    </w:p>
    <w:p w14:paraId="12829014" w14:textId="77777777" w:rsidR="004B4E35" w:rsidRPr="00405303" w:rsidRDefault="009E6F82" w:rsidP="00C15251">
      <w:pPr>
        <w:jc w:val="both"/>
        <w:rPr>
          <w:bCs/>
          <w:color w:val="002060"/>
          <w:sz w:val="16"/>
          <w:szCs w:val="16"/>
        </w:rPr>
      </w:pPr>
      <w:r w:rsidRPr="00405303">
        <w:rPr>
          <w:bCs/>
          <w:color w:val="002060"/>
          <w:sz w:val="16"/>
          <w:szCs w:val="16"/>
        </w:rPr>
        <w:t xml:space="preserve">7) По окончании договора Россия приобретает от Нового Ремингтона машины, инструмент и пр. оборудование для оружейного дела. </w:t>
      </w:r>
    </w:p>
    <w:p w14:paraId="35DDFB79" w14:textId="77777777" w:rsidR="004B4E35" w:rsidRPr="00405303" w:rsidRDefault="009E6F82" w:rsidP="00C15251">
      <w:pPr>
        <w:jc w:val="both"/>
        <w:rPr>
          <w:bCs/>
          <w:color w:val="002060"/>
          <w:sz w:val="16"/>
          <w:szCs w:val="16"/>
        </w:rPr>
      </w:pPr>
      <w:r w:rsidRPr="00405303">
        <w:rPr>
          <w:bCs/>
          <w:color w:val="002060"/>
          <w:sz w:val="16"/>
          <w:szCs w:val="16"/>
        </w:rPr>
        <w:t xml:space="preserve">Указанное соглашение было принято Заготовительным комитетом под давлением обстоятельств, так как иного выхода не было: ружья были до зарезу нужны, а крах фирмы во всех отношениях для России был неприемлем. </w:t>
      </w:r>
    </w:p>
    <w:p w14:paraId="2005313E" w14:textId="77777777" w:rsidR="004B4E35" w:rsidRPr="00405303" w:rsidRDefault="009E6F82" w:rsidP="00C15251">
      <w:pPr>
        <w:jc w:val="both"/>
        <w:rPr>
          <w:bCs/>
          <w:color w:val="002060"/>
          <w:sz w:val="16"/>
          <w:szCs w:val="16"/>
        </w:rPr>
      </w:pPr>
      <w:r w:rsidRPr="00405303">
        <w:rPr>
          <w:bCs/>
          <w:color w:val="002060"/>
          <w:sz w:val="16"/>
          <w:szCs w:val="16"/>
        </w:rPr>
        <w:t xml:space="preserve">Таким образом, с подписанием нового контракта производство стало быстро прогрессировать, в то время как в период переговоров и неопределенности оно значительно упало. С мая по сентябрь 1917 г. завод выпускал примерно по 30 000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80"/>
        <w:gridCol w:w="816"/>
      </w:tblGrid>
      <w:tr w:rsidR="004B4E35" w:rsidRPr="00405303" w14:paraId="717D6306" w14:textId="77777777">
        <w:tc>
          <w:tcPr>
            <w:tcW w:w="1680" w:type="dxa"/>
          </w:tcPr>
          <w:p w14:paraId="023EDAAA" w14:textId="77777777" w:rsidR="004B4E35" w:rsidRPr="00405303" w:rsidRDefault="009E6F82" w:rsidP="00C15251">
            <w:pPr>
              <w:jc w:val="both"/>
              <w:rPr>
                <w:bCs/>
                <w:color w:val="002060"/>
                <w:sz w:val="16"/>
                <w:szCs w:val="16"/>
              </w:rPr>
            </w:pPr>
            <w:r w:rsidRPr="00405303">
              <w:rPr>
                <w:bCs/>
                <w:color w:val="002060"/>
                <w:sz w:val="16"/>
                <w:szCs w:val="16"/>
              </w:rPr>
              <w:t>в сентябре 1917 г.</w:t>
            </w:r>
          </w:p>
        </w:tc>
        <w:tc>
          <w:tcPr>
            <w:tcW w:w="816" w:type="dxa"/>
          </w:tcPr>
          <w:p w14:paraId="405755A5" w14:textId="77777777" w:rsidR="004B4E35" w:rsidRPr="00405303" w:rsidRDefault="009E6F82" w:rsidP="00C15251">
            <w:pPr>
              <w:jc w:val="both"/>
              <w:rPr>
                <w:bCs/>
                <w:color w:val="002060"/>
                <w:sz w:val="16"/>
                <w:szCs w:val="16"/>
              </w:rPr>
            </w:pPr>
            <w:r w:rsidRPr="00405303">
              <w:rPr>
                <w:bCs/>
                <w:color w:val="002060"/>
                <w:sz w:val="16"/>
                <w:szCs w:val="16"/>
              </w:rPr>
              <w:t xml:space="preserve">52 000 </w:t>
            </w:r>
          </w:p>
        </w:tc>
      </w:tr>
      <w:tr w:rsidR="004B4E35" w:rsidRPr="00405303" w14:paraId="627F7FF5" w14:textId="77777777">
        <w:tc>
          <w:tcPr>
            <w:tcW w:w="1680" w:type="dxa"/>
          </w:tcPr>
          <w:p w14:paraId="724CC3FB" w14:textId="77777777" w:rsidR="004B4E35" w:rsidRPr="00405303" w:rsidRDefault="009E6F82" w:rsidP="00C15251">
            <w:pPr>
              <w:jc w:val="both"/>
              <w:rPr>
                <w:bCs/>
                <w:color w:val="002060"/>
                <w:sz w:val="16"/>
                <w:szCs w:val="16"/>
              </w:rPr>
            </w:pPr>
            <w:r w:rsidRPr="00405303">
              <w:rPr>
                <w:bCs/>
                <w:color w:val="002060"/>
                <w:sz w:val="16"/>
                <w:szCs w:val="16"/>
              </w:rPr>
              <w:t>в октябре</w:t>
            </w:r>
          </w:p>
        </w:tc>
        <w:tc>
          <w:tcPr>
            <w:tcW w:w="816" w:type="dxa"/>
          </w:tcPr>
          <w:p w14:paraId="0607561E" w14:textId="77777777" w:rsidR="004B4E35" w:rsidRPr="00405303" w:rsidRDefault="009E6F82" w:rsidP="00C15251">
            <w:pPr>
              <w:jc w:val="both"/>
              <w:rPr>
                <w:bCs/>
                <w:color w:val="002060"/>
                <w:sz w:val="16"/>
                <w:szCs w:val="16"/>
              </w:rPr>
            </w:pPr>
            <w:r w:rsidRPr="00405303">
              <w:rPr>
                <w:bCs/>
                <w:color w:val="002060"/>
                <w:sz w:val="16"/>
                <w:szCs w:val="16"/>
              </w:rPr>
              <w:t xml:space="preserve">70 000 </w:t>
            </w:r>
          </w:p>
        </w:tc>
      </w:tr>
      <w:tr w:rsidR="004B4E35" w:rsidRPr="00405303" w14:paraId="1F9697A7" w14:textId="77777777">
        <w:tc>
          <w:tcPr>
            <w:tcW w:w="1680" w:type="dxa"/>
          </w:tcPr>
          <w:p w14:paraId="505CC9A5" w14:textId="77777777" w:rsidR="004B4E35" w:rsidRPr="00405303" w:rsidRDefault="009E6F82" w:rsidP="00C15251">
            <w:pPr>
              <w:jc w:val="both"/>
              <w:rPr>
                <w:bCs/>
                <w:color w:val="002060"/>
                <w:sz w:val="16"/>
                <w:szCs w:val="16"/>
              </w:rPr>
            </w:pPr>
            <w:r w:rsidRPr="00405303">
              <w:rPr>
                <w:bCs/>
                <w:color w:val="002060"/>
                <w:sz w:val="16"/>
                <w:szCs w:val="16"/>
              </w:rPr>
              <w:t>в ноябре</w:t>
            </w:r>
          </w:p>
        </w:tc>
        <w:tc>
          <w:tcPr>
            <w:tcW w:w="816" w:type="dxa"/>
          </w:tcPr>
          <w:p w14:paraId="12B0B183" w14:textId="77777777" w:rsidR="004B4E35" w:rsidRPr="00405303" w:rsidRDefault="009E6F82" w:rsidP="00C15251">
            <w:pPr>
              <w:jc w:val="both"/>
              <w:rPr>
                <w:bCs/>
                <w:color w:val="002060"/>
                <w:sz w:val="16"/>
                <w:szCs w:val="16"/>
              </w:rPr>
            </w:pPr>
            <w:r w:rsidRPr="00405303">
              <w:rPr>
                <w:bCs/>
                <w:color w:val="002060"/>
                <w:sz w:val="16"/>
                <w:szCs w:val="16"/>
              </w:rPr>
              <w:t xml:space="preserve">108 000 </w:t>
            </w:r>
          </w:p>
        </w:tc>
      </w:tr>
      <w:tr w:rsidR="004B4E35" w:rsidRPr="00405303" w14:paraId="384F21E6" w14:textId="77777777">
        <w:tc>
          <w:tcPr>
            <w:tcW w:w="1680" w:type="dxa"/>
          </w:tcPr>
          <w:p w14:paraId="6F44A9D2" w14:textId="77777777" w:rsidR="004B4E35" w:rsidRPr="00405303" w:rsidRDefault="009E6F82" w:rsidP="00C15251">
            <w:pPr>
              <w:jc w:val="both"/>
              <w:rPr>
                <w:bCs/>
                <w:color w:val="002060"/>
                <w:sz w:val="16"/>
                <w:szCs w:val="16"/>
              </w:rPr>
            </w:pPr>
            <w:r w:rsidRPr="00405303">
              <w:rPr>
                <w:bCs/>
                <w:color w:val="002060"/>
                <w:sz w:val="16"/>
                <w:szCs w:val="16"/>
              </w:rPr>
              <w:t>в декабре</w:t>
            </w:r>
          </w:p>
        </w:tc>
        <w:tc>
          <w:tcPr>
            <w:tcW w:w="816" w:type="dxa"/>
          </w:tcPr>
          <w:p w14:paraId="3833DA6C" w14:textId="77777777" w:rsidR="004B4E35" w:rsidRPr="00405303" w:rsidRDefault="009E6F82" w:rsidP="00C15251">
            <w:pPr>
              <w:jc w:val="both"/>
              <w:rPr>
                <w:bCs/>
                <w:color w:val="002060"/>
                <w:sz w:val="16"/>
                <w:szCs w:val="16"/>
              </w:rPr>
            </w:pPr>
            <w:r w:rsidRPr="00405303">
              <w:rPr>
                <w:bCs/>
                <w:color w:val="002060"/>
                <w:sz w:val="16"/>
                <w:szCs w:val="16"/>
              </w:rPr>
              <w:t xml:space="preserve">107 000 </w:t>
            </w:r>
          </w:p>
        </w:tc>
      </w:tr>
    </w:tbl>
    <w:p w14:paraId="4ED44507" w14:textId="77777777" w:rsidR="004B4E35" w:rsidRPr="00405303" w:rsidRDefault="009E6F82" w:rsidP="00C15251">
      <w:pPr>
        <w:jc w:val="both"/>
        <w:rPr>
          <w:bCs/>
          <w:color w:val="002060"/>
          <w:sz w:val="16"/>
          <w:szCs w:val="16"/>
        </w:rPr>
      </w:pPr>
      <w:r w:rsidRPr="00405303">
        <w:rPr>
          <w:bCs/>
          <w:color w:val="002060"/>
          <w:sz w:val="16"/>
          <w:szCs w:val="16"/>
        </w:rPr>
        <w:t xml:space="preserve">В конце 1917 г. в связи с прекращением войны Россией началась общая ликвидация работ Заготовительного комитета. Ввиду этого с Ремингтоном было выработано в январе 1918 г. особое соглашение о ликвидации контрактов. </w:t>
      </w:r>
    </w:p>
    <w:p w14:paraId="4068FA87" w14:textId="77777777" w:rsidR="004B4E35" w:rsidRPr="00405303" w:rsidRDefault="009E6F82" w:rsidP="00C15251">
      <w:pPr>
        <w:jc w:val="both"/>
        <w:rPr>
          <w:bCs/>
          <w:color w:val="002060"/>
          <w:sz w:val="16"/>
          <w:szCs w:val="16"/>
        </w:rPr>
      </w:pPr>
      <w:r w:rsidRPr="00405303">
        <w:rPr>
          <w:bCs/>
          <w:color w:val="002060"/>
          <w:sz w:val="16"/>
          <w:szCs w:val="16"/>
        </w:rPr>
        <w:t xml:space="preserve">Нет надобности входить в детали этого соглашения, оно чрезвычайно сложно, что и понятно при той исключительной сложности взаимоотношения сторон, которое создавалась при учреждении общества Новый Ремингтон. В общем счете всего сдано Ремингтоном 840 307 винтовок. К сожалению, не имеется данных, коими можно было бы установить, сколько же этих ружей попало в Россию и сколько Россия уплатила фирме за все время, чтобы подсчитать, во что обошлось ружье. </w:t>
      </w:r>
    </w:p>
    <w:p w14:paraId="165FF6D8" w14:textId="77777777" w:rsidR="004B4E35" w:rsidRPr="00405303" w:rsidRDefault="009E6F82" w:rsidP="00C15251">
      <w:pPr>
        <w:jc w:val="both"/>
        <w:rPr>
          <w:bCs/>
          <w:color w:val="002060"/>
          <w:sz w:val="16"/>
          <w:szCs w:val="16"/>
        </w:rPr>
      </w:pPr>
      <w:r w:rsidRPr="00405303">
        <w:rPr>
          <w:bCs/>
          <w:color w:val="002060"/>
          <w:sz w:val="16"/>
          <w:szCs w:val="16"/>
        </w:rPr>
        <w:t>В итоге заказ был выполнен Ремингтоном только в 55% его первоначального контрактного объема, причем часть эта исполнена с запозданием на 20 месяцев против контрактного срока для всего заказа (11329).</w:t>
      </w:r>
    </w:p>
    <w:p w14:paraId="7A8D8239" w14:textId="77777777" w:rsidR="004B4E35" w:rsidRPr="00405303" w:rsidRDefault="004B4E35" w:rsidP="00C15251">
      <w:pPr>
        <w:pStyle w:val="a3"/>
        <w:jc w:val="both"/>
        <w:rPr>
          <w:bCs/>
          <w:color w:val="002060"/>
          <w:spacing w:val="0"/>
          <w:kern w:val="0"/>
          <w:position w:val="0"/>
          <w:sz w:val="16"/>
          <w:szCs w:val="16"/>
        </w:rPr>
      </w:pPr>
    </w:p>
    <w:p w14:paraId="21C9C908" w14:textId="77777777" w:rsidR="003D4080" w:rsidRPr="00405303" w:rsidRDefault="003D4080" w:rsidP="00C15251">
      <w:pPr>
        <w:jc w:val="both"/>
        <w:rPr>
          <w:bCs/>
          <w:i/>
          <w:color w:val="002060"/>
          <w:sz w:val="16"/>
          <w:szCs w:val="16"/>
        </w:rPr>
      </w:pPr>
      <w:r w:rsidRPr="00405303">
        <w:rPr>
          <w:bCs/>
          <w:i/>
          <w:color w:val="002060"/>
          <w:sz w:val="16"/>
          <w:szCs w:val="16"/>
        </w:rPr>
        <w:t>Армия:</w:t>
      </w:r>
    </w:p>
    <w:p w14:paraId="5532095A" w14:textId="77777777" w:rsidR="003D4080" w:rsidRPr="00405303" w:rsidRDefault="003D4080" w:rsidP="00C15251">
      <w:pPr>
        <w:jc w:val="both"/>
        <w:rPr>
          <w:bCs/>
          <w:i/>
          <w:color w:val="002060"/>
          <w:sz w:val="16"/>
          <w:szCs w:val="16"/>
        </w:rPr>
      </w:pPr>
    </w:p>
    <w:p w14:paraId="7B9DAC8A" w14:textId="302D67C9" w:rsidR="003D4080" w:rsidRPr="00405303" w:rsidRDefault="003D4080" w:rsidP="00C15251">
      <w:pPr>
        <w:jc w:val="both"/>
        <w:rPr>
          <w:bCs/>
          <w:color w:val="002060"/>
          <w:sz w:val="16"/>
          <w:szCs w:val="16"/>
        </w:rPr>
      </w:pPr>
      <w:r w:rsidRPr="00405303">
        <w:rPr>
          <w:bCs/>
          <w:color w:val="002060"/>
          <w:sz w:val="16"/>
          <w:szCs w:val="16"/>
        </w:rPr>
        <w:t xml:space="preserve">16 </w:t>
      </w:r>
      <w:r w:rsidR="001050C9" w:rsidRPr="00405303">
        <w:rPr>
          <w:bCs/>
          <w:color w:val="002060"/>
          <w:sz w:val="16"/>
          <w:szCs w:val="16"/>
        </w:rPr>
        <w:t xml:space="preserve">(29) </w:t>
      </w:r>
      <w:r w:rsidRPr="00405303">
        <w:rPr>
          <w:bCs/>
          <w:color w:val="002060"/>
          <w:sz w:val="16"/>
          <w:szCs w:val="16"/>
        </w:rPr>
        <w:t>июля в 1915 году во время 1-ой мировой войны в Центральной Польше 11-я и 4-я австро-венгерские армии под командованием Макензена начинают наступление на позиции 3-ей русской армии. Гвардейский корпус генерала Безобразова успешно контратакует, но 11-ая армия прорывает фронт. И хотя прорыв будет ликвидирован и Макензену удастся продвинуться всего на 12 верст, русская Ставка решится на отвод соседних 2-ой и 4-ой армий за Вислу (14954).</w:t>
      </w:r>
    </w:p>
    <w:p w14:paraId="6AF12B15" w14:textId="77777777" w:rsidR="003D4080" w:rsidRPr="00405303" w:rsidRDefault="003D4080" w:rsidP="00C15251">
      <w:pPr>
        <w:jc w:val="both"/>
        <w:rPr>
          <w:bCs/>
          <w:color w:val="002060"/>
          <w:sz w:val="16"/>
          <w:szCs w:val="16"/>
        </w:rPr>
      </w:pPr>
    </w:p>
    <w:p w14:paraId="410EB5B2" w14:textId="07C14121" w:rsidR="003D4080" w:rsidRPr="00405303" w:rsidRDefault="003D4080" w:rsidP="00C15251">
      <w:pPr>
        <w:jc w:val="both"/>
        <w:rPr>
          <w:bCs/>
          <w:color w:val="002060"/>
          <w:sz w:val="16"/>
          <w:szCs w:val="16"/>
        </w:rPr>
      </w:pPr>
      <w:r w:rsidRPr="00405303">
        <w:rPr>
          <w:bCs/>
          <w:color w:val="002060"/>
          <w:sz w:val="16"/>
          <w:szCs w:val="16"/>
        </w:rPr>
        <w:t xml:space="preserve">16 </w:t>
      </w:r>
      <w:r w:rsidR="001050C9" w:rsidRPr="00405303">
        <w:rPr>
          <w:bCs/>
          <w:color w:val="002060"/>
          <w:sz w:val="16"/>
          <w:szCs w:val="16"/>
        </w:rPr>
        <w:t xml:space="preserve">(29) </w:t>
      </w:r>
      <w:r w:rsidRPr="00405303">
        <w:rPr>
          <w:bCs/>
          <w:color w:val="002060"/>
          <w:sz w:val="16"/>
          <w:szCs w:val="16"/>
        </w:rPr>
        <w:t>июля в 1915 году на русском фронте австрийские войска форсируют реку Буг (14954).</w:t>
      </w:r>
    </w:p>
    <w:p w14:paraId="6C5D4B3F" w14:textId="77777777" w:rsidR="003D4080" w:rsidRPr="00405303" w:rsidRDefault="003D4080" w:rsidP="00C15251">
      <w:pPr>
        <w:jc w:val="both"/>
        <w:rPr>
          <w:bCs/>
          <w:color w:val="002060"/>
          <w:sz w:val="16"/>
          <w:szCs w:val="16"/>
        </w:rPr>
      </w:pPr>
    </w:p>
    <w:p w14:paraId="4CBAB3C7" w14:textId="406CF3B5" w:rsidR="007908C7" w:rsidRPr="00405303" w:rsidRDefault="007908C7" w:rsidP="00C15251">
      <w:pPr>
        <w:jc w:val="both"/>
        <w:rPr>
          <w:bCs/>
          <w:color w:val="002060"/>
          <w:sz w:val="16"/>
          <w:szCs w:val="16"/>
          <w:lang w:bidi="en-US"/>
        </w:rPr>
      </w:pPr>
      <w:r w:rsidRPr="00405303">
        <w:rPr>
          <w:bCs/>
          <w:color w:val="002060"/>
          <w:sz w:val="16"/>
          <w:szCs w:val="16"/>
          <w:lang w:bidi="en-US"/>
        </w:rPr>
        <w:t>16 (29) июля 1915 г. русские военачальники встретились с царем, вручив ему «Положение о полевом управлении», которое наделяло командование армией полной властью как в оперативных, так и в тыловых районах. Эвакуация Варшавы продолжалась. Люблин пал от вражеских войск 31-го числа, а севернее русские войска эвакуировали Митаву (23525).</w:t>
      </w:r>
    </w:p>
    <w:p w14:paraId="318FC484" w14:textId="77777777" w:rsidR="007908C7" w:rsidRPr="00405303" w:rsidRDefault="007908C7" w:rsidP="00C15251">
      <w:pPr>
        <w:jc w:val="both"/>
        <w:rPr>
          <w:bCs/>
          <w:color w:val="002060"/>
          <w:sz w:val="16"/>
          <w:szCs w:val="16"/>
        </w:rPr>
      </w:pPr>
    </w:p>
    <w:p w14:paraId="3582CF1B" w14:textId="77777777" w:rsidR="005458AD" w:rsidRPr="00405303" w:rsidRDefault="005458AD" w:rsidP="005458AD">
      <w:pPr>
        <w:jc w:val="both"/>
        <w:rPr>
          <w:bCs/>
          <w:i/>
          <w:color w:val="002060"/>
          <w:sz w:val="16"/>
          <w:szCs w:val="16"/>
        </w:rPr>
      </w:pPr>
      <w:r w:rsidRPr="00405303">
        <w:rPr>
          <w:bCs/>
          <w:i/>
          <w:color w:val="002060"/>
          <w:sz w:val="16"/>
          <w:szCs w:val="16"/>
        </w:rPr>
        <w:t>Авиация:</w:t>
      </w:r>
    </w:p>
    <w:p w14:paraId="7650198B" w14:textId="77777777" w:rsidR="005458AD" w:rsidRPr="00405303" w:rsidRDefault="005458AD" w:rsidP="005458AD">
      <w:pPr>
        <w:jc w:val="both"/>
        <w:rPr>
          <w:bCs/>
          <w:i/>
          <w:color w:val="002060"/>
          <w:sz w:val="16"/>
          <w:szCs w:val="16"/>
        </w:rPr>
      </w:pPr>
    </w:p>
    <w:p w14:paraId="5F47631B" w14:textId="77777777" w:rsidR="005458AD" w:rsidRPr="00405303" w:rsidRDefault="005458AD" w:rsidP="005458AD">
      <w:pPr>
        <w:widowControl w:val="0"/>
        <w:tabs>
          <w:tab w:val="left" w:pos="726"/>
        </w:tabs>
        <w:jc w:val="both"/>
        <w:rPr>
          <w:color w:val="0070C0"/>
          <w:sz w:val="16"/>
          <w:szCs w:val="16"/>
        </w:rPr>
      </w:pPr>
      <w:r w:rsidRPr="00405303">
        <w:rPr>
          <w:rStyle w:val="aa"/>
          <w:rFonts w:ascii="Times New Roman" w:hAnsi="Times New Roman"/>
          <w:color w:val="0070C0"/>
          <w:spacing w:val="0"/>
          <w:sz w:val="16"/>
          <w:szCs w:val="16"/>
        </w:rPr>
        <w:t>16 (29) июля 1915 г. на Люблинском направлении русская артиллерия подбила неприятельский аэроплан, который загорелся в воздухе и упал в районе расположения противника (25135).</w:t>
      </w:r>
    </w:p>
    <w:p w14:paraId="50B1FD51" w14:textId="77777777" w:rsidR="005458AD" w:rsidRPr="00405303" w:rsidRDefault="005458AD" w:rsidP="005458AD">
      <w:pPr>
        <w:jc w:val="both"/>
        <w:rPr>
          <w:color w:val="0070C0"/>
          <w:sz w:val="16"/>
          <w:szCs w:val="16"/>
        </w:rPr>
      </w:pPr>
    </w:p>
    <w:p w14:paraId="521CAB11" w14:textId="77777777" w:rsidR="007E7928" w:rsidRPr="00405303" w:rsidRDefault="007E7928" w:rsidP="00C15251">
      <w:pPr>
        <w:jc w:val="both"/>
        <w:rPr>
          <w:bCs/>
          <w:i/>
          <w:color w:val="002060"/>
          <w:sz w:val="16"/>
          <w:szCs w:val="16"/>
        </w:rPr>
      </w:pPr>
      <w:r w:rsidRPr="00405303">
        <w:rPr>
          <w:bCs/>
          <w:i/>
          <w:color w:val="002060"/>
          <w:sz w:val="16"/>
          <w:szCs w:val="16"/>
        </w:rPr>
        <w:t>Авиация и воздухоплавание Германии:</w:t>
      </w:r>
    </w:p>
    <w:p w14:paraId="30DB9CB2" w14:textId="77777777" w:rsidR="007E7928" w:rsidRPr="00405303" w:rsidRDefault="007E7928" w:rsidP="00C15251">
      <w:pPr>
        <w:jc w:val="both"/>
        <w:rPr>
          <w:bCs/>
          <w:i/>
          <w:color w:val="002060"/>
          <w:sz w:val="16"/>
          <w:szCs w:val="16"/>
        </w:rPr>
      </w:pPr>
    </w:p>
    <w:p w14:paraId="74171341" w14:textId="77777777" w:rsidR="007E7928" w:rsidRPr="00405303" w:rsidRDefault="007E7928" w:rsidP="00C15251">
      <w:pPr>
        <w:jc w:val="both"/>
        <w:rPr>
          <w:bCs/>
          <w:color w:val="002060"/>
          <w:sz w:val="16"/>
          <w:szCs w:val="16"/>
        </w:rPr>
      </w:pPr>
      <w:r w:rsidRPr="00405303">
        <w:rPr>
          <w:bCs/>
          <w:color w:val="002060"/>
          <w:sz w:val="16"/>
          <w:szCs w:val="16"/>
        </w:rPr>
        <w:t xml:space="preserve">16 (29) июля в 1915 году состоялся первый полет многомоторного аэроплана </w:t>
      </w:r>
      <w:hyperlink r:id="rId47" w:tgtFrame="_blank" w:history="1">
        <w:r w:rsidRPr="00405303">
          <w:rPr>
            <w:bCs/>
            <w:color w:val="002060"/>
            <w:sz w:val="16"/>
            <w:szCs w:val="16"/>
          </w:rPr>
          <w:t xml:space="preserve">«Gotha» «G.I». </w:t>
        </w:r>
      </w:hyperlink>
      <w:r w:rsidRPr="00405303">
        <w:rPr>
          <w:bCs/>
          <w:color w:val="002060"/>
          <w:sz w:val="16"/>
          <w:szCs w:val="16"/>
        </w:rPr>
        <w:t>Выпущен он был фирмой «Готаэр Ваггонфабрик AG», ранее занимавшееся выпуском железнодорожной техники. Самолет назвали по фамилии создателя "Гота-Урсинус". Аппарат представлял собой двухкилевой трехместный многостоечный биплан смешанной конструкции с фанерно-полотняной обшивкой. Двигатели в обтекаемых дюралевых капотах крепились к нижнему крылу, а фюзеляж - к верхнему. Такое оригинальное решение обеспечивало, по замыслу конструктора Урсинуса, лучшие условия обзора для экипажа и практически неограниченное поле обстрела турельного пулемета. Летные данные аппарата признали удовлетворительными, однако его необычная схема вызвала противоречивые отклики. С одной стороны, обзор действительно был великолепен. С другой же, летчики резонно опасались, что в случае капотирования машины (а это в те годы случалось нередко) они будут попросту раздавлены. В конце 1915 года, в связи с успешной разработкой более перспективного самолета "Гота" «G-II», выпуск «G-I» прекратили (14967).</w:t>
      </w:r>
    </w:p>
    <w:p w14:paraId="344AA677" w14:textId="77777777" w:rsidR="007E7928" w:rsidRPr="00405303" w:rsidRDefault="007E7928" w:rsidP="00C15251">
      <w:pPr>
        <w:jc w:val="both"/>
        <w:rPr>
          <w:bCs/>
          <w:color w:val="002060"/>
          <w:sz w:val="16"/>
          <w:szCs w:val="16"/>
        </w:rPr>
      </w:pPr>
    </w:p>
    <w:p w14:paraId="2EE0F4D4"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071D3B71" w14:textId="1BEC4C0F" w:rsidR="004B4E35" w:rsidRPr="00405303" w:rsidRDefault="004B4E35" w:rsidP="00C15251">
      <w:pPr>
        <w:pStyle w:val="a3"/>
        <w:jc w:val="both"/>
        <w:rPr>
          <w:bCs/>
          <w:color w:val="002060"/>
          <w:spacing w:val="0"/>
          <w:kern w:val="0"/>
          <w:position w:val="0"/>
          <w:sz w:val="16"/>
          <w:szCs w:val="16"/>
        </w:rPr>
      </w:pPr>
    </w:p>
    <w:p w14:paraId="532E9059" w14:textId="3B6B7574" w:rsidR="001050C9" w:rsidRPr="00405303" w:rsidRDefault="001050C9" w:rsidP="00C15251">
      <w:pPr>
        <w:pStyle w:val="a3"/>
        <w:jc w:val="both"/>
        <w:rPr>
          <w:bCs/>
          <w:i w:val="0"/>
          <w:iCs/>
          <w:color w:val="002060"/>
          <w:spacing w:val="0"/>
          <w:kern w:val="0"/>
          <w:position w:val="0"/>
          <w:sz w:val="16"/>
          <w:szCs w:val="16"/>
        </w:rPr>
      </w:pPr>
      <w:r w:rsidRPr="00405303">
        <w:rPr>
          <w:bCs/>
          <w:i w:val="0"/>
          <w:iCs/>
          <w:color w:val="002060"/>
          <w:spacing w:val="0"/>
          <w:kern w:val="0"/>
          <w:position w:val="0"/>
          <w:sz w:val="16"/>
          <w:szCs w:val="16"/>
        </w:rPr>
        <w:t>17 (20) июля 1915 г. появился новый контракт на М-5</w:t>
      </w:r>
    </w:p>
    <w:p w14:paraId="077E0A0A" w14:textId="083F143F" w:rsidR="004B4E35" w:rsidRPr="00405303" w:rsidRDefault="001050C9"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период с 10 июля 1915 г. по 20 июня 1917г. Черномор</w:t>
      </w:r>
      <w:r w:rsidR="009E6F82" w:rsidRPr="00405303">
        <w:rPr>
          <w:bCs/>
          <w:color w:val="002060"/>
          <w:sz w:val="16"/>
          <w:szCs w:val="16"/>
        </w:rPr>
        <w:softHyphen/>
        <w:t>ский флот принял 71 летающую лодку М-5, а около 60 машин данного типа достались морским авиашко</w:t>
      </w:r>
      <w:r w:rsidR="009E6F82" w:rsidRPr="00405303">
        <w:rPr>
          <w:bCs/>
          <w:color w:val="002060"/>
          <w:sz w:val="16"/>
          <w:szCs w:val="16"/>
        </w:rPr>
        <w:softHyphen/>
        <w:t>лам; с июня 1915 г. по декабрь 1917г. полное число принятых военно-морскими силами М-5 составило, по крайней мере, 1?3 аппарата, но некоторые из них изначально изготовлялись как запасные.</w:t>
      </w:r>
    </w:p>
    <w:p w14:paraId="0953C6A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4B4E35" w:rsidRPr="00405303" w14:paraId="4AC1306A" w14:textId="77777777">
        <w:tc>
          <w:tcPr>
            <w:tcW w:w="1548" w:type="dxa"/>
            <w:shd w:val="clear" w:color="auto" w:fill="FFFFFF"/>
          </w:tcPr>
          <w:p w14:paraId="6DF89DCD" w14:textId="77777777" w:rsidR="004B4E35" w:rsidRPr="00405303" w:rsidRDefault="009E6F82" w:rsidP="00C15251">
            <w:pPr>
              <w:jc w:val="both"/>
              <w:rPr>
                <w:bCs/>
                <w:color w:val="002060"/>
                <w:sz w:val="16"/>
                <w:szCs w:val="16"/>
              </w:rPr>
            </w:pPr>
            <w:r w:rsidRPr="00405303">
              <w:rPr>
                <w:bCs/>
                <w:color w:val="002060"/>
                <w:sz w:val="16"/>
                <w:szCs w:val="16"/>
              </w:rPr>
              <w:t>Дата контракта</w:t>
            </w:r>
          </w:p>
        </w:tc>
        <w:tc>
          <w:tcPr>
            <w:tcW w:w="1170" w:type="dxa"/>
            <w:shd w:val="clear" w:color="auto" w:fill="FFFFFF"/>
          </w:tcPr>
          <w:p w14:paraId="75CAB6F5" w14:textId="77777777" w:rsidR="004B4E35" w:rsidRPr="00405303" w:rsidRDefault="009E6F82" w:rsidP="00C15251">
            <w:pPr>
              <w:jc w:val="both"/>
              <w:rPr>
                <w:bCs/>
                <w:color w:val="002060"/>
                <w:sz w:val="16"/>
                <w:szCs w:val="16"/>
              </w:rPr>
            </w:pPr>
            <w:r w:rsidRPr="00405303">
              <w:rPr>
                <w:bCs/>
                <w:color w:val="002060"/>
                <w:sz w:val="16"/>
                <w:szCs w:val="16"/>
              </w:rPr>
              <w:t>Число заказанных аэропланов</w:t>
            </w:r>
          </w:p>
        </w:tc>
        <w:tc>
          <w:tcPr>
            <w:tcW w:w="6858" w:type="dxa"/>
            <w:shd w:val="clear" w:color="auto" w:fill="FFFFFF"/>
          </w:tcPr>
          <w:p w14:paraId="7CD9CE02" w14:textId="77777777" w:rsidR="004B4E35" w:rsidRPr="00405303" w:rsidRDefault="009E6F82" w:rsidP="00C15251">
            <w:pPr>
              <w:jc w:val="both"/>
              <w:rPr>
                <w:bCs/>
                <w:color w:val="002060"/>
                <w:sz w:val="16"/>
                <w:szCs w:val="16"/>
              </w:rPr>
            </w:pPr>
            <w:r w:rsidRPr="00405303">
              <w:rPr>
                <w:bCs/>
                <w:color w:val="002060"/>
                <w:sz w:val="16"/>
                <w:szCs w:val="16"/>
              </w:rPr>
              <w:t>Условия</w:t>
            </w:r>
          </w:p>
        </w:tc>
      </w:tr>
      <w:tr w:rsidR="004B4E35" w:rsidRPr="00405303" w14:paraId="2E39135E" w14:textId="77777777">
        <w:tc>
          <w:tcPr>
            <w:tcW w:w="1548" w:type="dxa"/>
            <w:shd w:val="clear" w:color="auto" w:fill="FFFFFF"/>
          </w:tcPr>
          <w:p w14:paraId="706B3EED" w14:textId="77777777" w:rsidR="004B4E35" w:rsidRPr="00405303" w:rsidRDefault="009E6F82" w:rsidP="00C15251">
            <w:pPr>
              <w:jc w:val="both"/>
              <w:rPr>
                <w:bCs/>
                <w:color w:val="002060"/>
                <w:sz w:val="16"/>
                <w:szCs w:val="16"/>
              </w:rPr>
            </w:pPr>
            <w:r w:rsidRPr="00405303">
              <w:rPr>
                <w:bCs/>
                <w:color w:val="002060"/>
                <w:sz w:val="16"/>
                <w:szCs w:val="16"/>
              </w:rPr>
              <w:t>Май 27 1915</w:t>
            </w:r>
          </w:p>
        </w:tc>
        <w:tc>
          <w:tcPr>
            <w:tcW w:w="1170" w:type="dxa"/>
            <w:shd w:val="clear" w:color="auto" w:fill="FFFFFF"/>
          </w:tcPr>
          <w:p w14:paraId="5D5A03EE" w14:textId="77777777" w:rsidR="004B4E35" w:rsidRPr="00405303" w:rsidRDefault="009E6F82" w:rsidP="00C15251">
            <w:pPr>
              <w:jc w:val="both"/>
              <w:rPr>
                <w:bCs/>
                <w:color w:val="002060"/>
                <w:sz w:val="16"/>
                <w:szCs w:val="16"/>
              </w:rPr>
            </w:pPr>
            <w:r w:rsidRPr="00405303">
              <w:rPr>
                <w:bCs/>
                <w:color w:val="002060"/>
                <w:sz w:val="16"/>
                <w:szCs w:val="16"/>
              </w:rPr>
              <w:t>12</w:t>
            </w:r>
          </w:p>
        </w:tc>
        <w:tc>
          <w:tcPr>
            <w:tcW w:w="6858" w:type="dxa"/>
            <w:shd w:val="clear" w:color="auto" w:fill="FFFFFF"/>
          </w:tcPr>
          <w:p w14:paraId="6155A8C9" w14:textId="77777777" w:rsidR="004B4E35" w:rsidRPr="00405303" w:rsidRDefault="009E6F82" w:rsidP="00C15251">
            <w:pPr>
              <w:jc w:val="both"/>
              <w:rPr>
                <w:bCs/>
                <w:color w:val="002060"/>
                <w:sz w:val="16"/>
                <w:szCs w:val="16"/>
              </w:rPr>
            </w:pPr>
            <w:r w:rsidRPr="00405303">
              <w:rPr>
                <w:bCs/>
                <w:color w:val="002060"/>
                <w:sz w:val="16"/>
                <w:szCs w:val="16"/>
              </w:rPr>
              <w:t>9 тыс. 500 руб. за аппарат без мотора, срок исполнения с 30 мая по 15 июля 1915 г. (выполнен к 20 июля 1915 г.)</w:t>
            </w:r>
          </w:p>
        </w:tc>
      </w:tr>
      <w:tr w:rsidR="004B4E35" w:rsidRPr="00405303" w14:paraId="5AE65273" w14:textId="77777777">
        <w:tc>
          <w:tcPr>
            <w:tcW w:w="1548" w:type="dxa"/>
            <w:shd w:val="clear" w:color="auto" w:fill="FFFFFF"/>
          </w:tcPr>
          <w:p w14:paraId="5EA8C9A6" w14:textId="77777777" w:rsidR="004B4E35" w:rsidRPr="00405303" w:rsidRDefault="009E6F82" w:rsidP="00C15251">
            <w:pPr>
              <w:jc w:val="both"/>
              <w:rPr>
                <w:bCs/>
                <w:color w:val="002060"/>
                <w:sz w:val="16"/>
                <w:szCs w:val="16"/>
              </w:rPr>
            </w:pPr>
            <w:r w:rsidRPr="00405303">
              <w:rPr>
                <w:bCs/>
                <w:color w:val="002060"/>
                <w:sz w:val="16"/>
                <w:szCs w:val="16"/>
              </w:rPr>
              <w:t>Июль 17 (30) 1915</w:t>
            </w:r>
          </w:p>
        </w:tc>
        <w:tc>
          <w:tcPr>
            <w:tcW w:w="1170" w:type="dxa"/>
            <w:shd w:val="clear" w:color="auto" w:fill="FFFFFF"/>
          </w:tcPr>
          <w:p w14:paraId="0C4CD09B" w14:textId="77777777" w:rsidR="004B4E35" w:rsidRPr="00405303" w:rsidRDefault="009E6F82" w:rsidP="00C15251">
            <w:pPr>
              <w:jc w:val="both"/>
              <w:rPr>
                <w:bCs/>
                <w:color w:val="002060"/>
                <w:sz w:val="16"/>
                <w:szCs w:val="16"/>
              </w:rPr>
            </w:pPr>
            <w:r w:rsidRPr="00405303">
              <w:rPr>
                <w:bCs/>
                <w:color w:val="002060"/>
                <w:sz w:val="16"/>
                <w:szCs w:val="16"/>
              </w:rPr>
              <w:t>10</w:t>
            </w:r>
          </w:p>
        </w:tc>
        <w:tc>
          <w:tcPr>
            <w:tcW w:w="6858" w:type="dxa"/>
            <w:shd w:val="clear" w:color="auto" w:fill="FFFFFF"/>
          </w:tcPr>
          <w:p w14:paraId="79EB81FA" w14:textId="77777777" w:rsidR="004B4E35" w:rsidRPr="00405303" w:rsidRDefault="009E6F82" w:rsidP="00C15251">
            <w:pPr>
              <w:jc w:val="both"/>
              <w:rPr>
                <w:bCs/>
                <w:color w:val="002060"/>
                <w:sz w:val="16"/>
                <w:szCs w:val="16"/>
              </w:rPr>
            </w:pPr>
            <w:r w:rsidRPr="00405303">
              <w:rPr>
                <w:bCs/>
                <w:color w:val="002060"/>
                <w:sz w:val="16"/>
                <w:szCs w:val="16"/>
              </w:rPr>
              <w:t>выполнен к 10 сентября 1915 г.</w:t>
            </w:r>
          </w:p>
        </w:tc>
      </w:tr>
      <w:tr w:rsidR="004B4E35" w:rsidRPr="00405303" w14:paraId="11544742" w14:textId="77777777">
        <w:tc>
          <w:tcPr>
            <w:tcW w:w="1548" w:type="dxa"/>
            <w:shd w:val="clear" w:color="auto" w:fill="FFFFFF"/>
          </w:tcPr>
          <w:p w14:paraId="50F5DEB7" w14:textId="77777777" w:rsidR="004B4E35" w:rsidRPr="00405303" w:rsidRDefault="009E6F82" w:rsidP="00C15251">
            <w:pPr>
              <w:jc w:val="both"/>
              <w:rPr>
                <w:bCs/>
                <w:color w:val="002060"/>
                <w:sz w:val="16"/>
                <w:szCs w:val="16"/>
              </w:rPr>
            </w:pPr>
            <w:r w:rsidRPr="00405303">
              <w:rPr>
                <w:bCs/>
                <w:color w:val="002060"/>
                <w:sz w:val="16"/>
                <w:szCs w:val="16"/>
              </w:rPr>
              <w:t>Август 10 1915</w:t>
            </w:r>
          </w:p>
        </w:tc>
        <w:tc>
          <w:tcPr>
            <w:tcW w:w="1170" w:type="dxa"/>
            <w:shd w:val="clear" w:color="auto" w:fill="FFFFFF"/>
          </w:tcPr>
          <w:p w14:paraId="036E03A0" w14:textId="77777777" w:rsidR="004B4E35" w:rsidRPr="00405303" w:rsidRDefault="009E6F82" w:rsidP="00C15251">
            <w:pPr>
              <w:jc w:val="both"/>
              <w:rPr>
                <w:bCs/>
                <w:color w:val="002060"/>
                <w:sz w:val="16"/>
                <w:szCs w:val="16"/>
              </w:rPr>
            </w:pPr>
            <w:r w:rsidRPr="00405303">
              <w:rPr>
                <w:bCs/>
                <w:color w:val="002060"/>
                <w:sz w:val="16"/>
                <w:szCs w:val="16"/>
              </w:rPr>
              <w:t>3</w:t>
            </w:r>
          </w:p>
        </w:tc>
        <w:tc>
          <w:tcPr>
            <w:tcW w:w="6858" w:type="dxa"/>
            <w:shd w:val="clear" w:color="auto" w:fill="FFFFFF"/>
          </w:tcPr>
          <w:p w14:paraId="2E8DCF3E" w14:textId="77777777" w:rsidR="004B4E35" w:rsidRPr="00405303" w:rsidRDefault="009E6F82" w:rsidP="00C15251">
            <w:pPr>
              <w:jc w:val="both"/>
              <w:rPr>
                <w:bCs/>
                <w:color w:val="002060"/>
                <w:sz w:val="16"/>
                <w:szCs w:val="16"/>
              </w:rPr>
            </w:pPr>
            <w:r w:rsidRPr="00405303">
              <w:rPr>
                <w:bCs/>
                <w:color w:val="002060"/>
                <w:sz w:val="16"/>
                <w:szCs w:val="16"/>
              </w:rPr>
              <w:t>выполнен к 20 июля 1915г.</w:t>
            </w:r>
          </w:p>
        </w:tc>
      </w:tr>
      <w:tr w:rsidR="004B4E35" w:rsidRPr="00405303" w14:paraId="76612C49" w14:textId="77777777">
        <w:tc>
          <w:tcPr>
            <w:tcW w:w="1548" w:type="dxa"/>
            <w:shd w:val="clear" w:color="auto" w:fill="FFFFFF"/>
          </w:tcPr>
          <w:p w14:paraId="693E5843" w14:textId="77777777" w:rsidR="004B4E35" w:rsidRPr="00405303" w:rsidRDefault="009E6F82" w:rsidP="00C15251">
            <w:pPr>
              <w:jc w:val="both"/>
              <w:rPr>
                <w:bCs/>
                <w:color w:val="002060"/>
                <w:sz w:val="16"/>
                <w:szCs w:val="16"/>
              </w:rPr>
            </w:pPr>
            <w:r w:rsidRPr="00405303">
              <w:rPr>
                <w:bCs/>
                <w:color w:val="002060"/>
                <w:sz w:val="16"/>
                <w:szCs w:val="16"/>
              </w:rPr>
              <w:lastRenderedPageBreak/>
              <w:t>Ноябрь 12 1915</w:t>
            </w:r>
          </w:p>
        </w:tc>
        <w:tc>
          <w:tcPr>
            <w:tcW w:w="1170" w:type="dxa"/>
            <w:shd w:val="clear" w:color="auto" w:fill="FFFFFF"/>
          </w:tcPr>
          <w:p w14:paraId="17CCDF67" w14:textId="77777777" w:rsidR="004B4E35" w:rsidRPr="00405303" w:rsidRDefault="009E6F82" w:rsidP="00C15251">
            <w:pPr>
              <w:jc w:val="both"/>
              <w:rPr>
                <w:bCs/>
                <w:color w:val="002060"/>
                <w:sz w:val="16"/>
                <w:szCs w:val="16"/>
              </w:rPr>
            </w:pPr>
            <w:r w:rsidRPr="00405303">
              <w:rPr>
                <w:bCs/>
                <w:color w:val="002060"/>
                <w:sz w:val="16"/>
                <w:szCs w:val="16"/>
              </w:rPr>
              <w:t>16</w:t>
            </w:r>
          </w:p>
        </w:tc>
        <w:tc>
          <w:tcPr>
            <w:tcW w:w="6858" w:type="dxa"/>
            <w:shd w:val="clear" w:color="auto" w:fill="FFFFFF"/>
          </w:tcPr>
          <w:p w14:paraId="29A33CD3" w14:textId="77777777" w:rsidR="004B4E35" w:rsidRPr="00405303" w:rsidRDefault="009E6F82" w:rsidP="00C15251">
            <w:pPr>
              <w:jc w:val="both"/>
              <w:rPr>
                <w:bCs/>
                <w:color w:val="002060"/>
                <w:sz w:val="16"/>
                <w:szCs w:val="16"/>
              </w:rPr>
            </w:pPr>
            <w:r w:rsidRPr="00405303">
              <w:rPr>
                <w:bCs/>
                <w:color w:val="002060"/>
                <w:sz w:val="16"/>
                <w:szCs w:val="16"/>
              </w:rPr>
              <w:t>10 тыс. 500 руб. за аппарат без мотора, срок исполнения ноябрь 1915-март 1916 гг. (выполнен к 27 мая 1916 г.) ПРИМЕЧАНИЯ: аппараты с номерами 440 и 441 имели депердюссеновскую систему управления</w:t>
            </w:r>
          </w:p>
        </w:tc>
      </w:tr>
      <w:tr w:rsidR="004B4E35" w:rsidRPr="00405303" w14:paraId="18629946" w14:textId="77777777">
        <w:tc>
          <w:tcPr>
            <w:tcW w:w="1548" w:type="dxa"/>
            <w:shd w:val="clear" w:color="auto" w:fill="FFFFFF"/>
          </w:tcPr>
          <w:p w14:paraId="08ECF139" w14:textId="77777777" w:rsidR="004B4E35" w:rsidRPr="00405303" w:rsidRDefault="009E6F82" w:rsidP="00C15251">
            <w:pPr>
              <w:jc w:val="both"/>
              <w:rPr>
                <w:bCs/>
                <w:color w:val="002060"/>
                <w:sz w:val="16"/>
                <w:szCs w:val="16"/>
              </w:rPr>
            </w:pPr>
            <w:r w:rsidRPr="00405303">
              <w:rPr>
                <w:bCs/>
                <w:color w:val="002060"/>
                <w:sz w:val="16"/>
                <w:szCs w:val="16"/>
              </w:rPr>
              <w:t>Декабрь 21 1915</w:t>
            </w:r>
          </w:p>
        </w:tc>
        <w:tc>
          <w:tcPr>
            <w:tcW w:w="1170" w:type="dxa"/>
            <w:shd w:val="clear" w:color="auto" w:fill="FFFFFF"/>
          </w:tcPr>
          <w:p w14:paraId="04EEBF33" w14:textId="77777777" w:rsidR="004B4E35" w:rsidRPr="00405303" w:rsidRDefault="009E6F82" w:rsidP="00C15251">
            <w:pPr>
              <w:jc w:val="both"/>
              <w:rPr>
                <w:bCs/>
                <w:color w:val="002060"/>
                <w:sz w:val="16"/>
                <w:szCs w:val="16"/>
              </w:rPr>
            </w:pPr>
            <w:r w:rsidRPr="00405303">
              <w:rPr>
                <w:bCs/>
                <w:color w:val="002060"/>
                <w:sz w:val="16"/>
                <w:szCs w:val="16"/>
              </w:rPr>
              <w:t>10</w:t>
            </w:r>
          </w:p>
        </w:tc>
        <w:tc>
          <w:tcPr>
            <w:tcW w:w="6858" w:type="dxa"/>
            <w:shd w:val="clear" w:color="auto" w:fill="FFFFFF"/>
          </w:tcPr>
          <w:p w14:paraId="5629B070" w14:textId="77777777" w:rsidR="004B4E35" w:rsidRPr="00405303" w:rsidRDefault="009E6F82" w:rsidP="00C15251">
            <w:pPr>
              <w:jc w:val="both"/>
              <w:rPr>
                <w:bCs/>
                <w:color w:val="002060"/>
                <w:sz w:val="16"/>
                <w:szCs w:val="16"/>
              </w:rPr>
            </w:pPr>
            <w:r w:rsidRPr="00405303">
              <w:rPr>
                <w:bCs/>
                <w:color w:val="002060"/>
                <w:sz w:val="16"/>
                <w:szCs w:val="16"/>
              </w:rPr>
              <w:t>10 корпусов без хвостовых оперений и мотора, но с сиденьями, по цене 4 тыс. 750 руб. за каждый</w:t>
            </w:r>
          </w:p>
        </w:tc>
      </w:tr>
      <w:tr w:rsidR="004B4E35" w:rsidRPr="00405303" w14:paraId="42ADF746" w14:textId="77777777">
        <w:tc>
          <w:tcPr>
            <w:tcW w:w="1548" w:type="dxa"/>
            <w:shd w:val="clear" w:color="auto" w:fill="FFFFFF"/>
          </w:tcPr>
          <w:p w14:paraId="199ECB14" w14:textId="77777777" w:rsidR="004B4E35" w:rsidRPr="00405303" w:rsidRDefault="009E6F82" w:rsidP="00C15251">
            <w:pPr>
              <w:jc w:val="both"/>
              <w:rPr>
                <w:bCs/>
                <w:color w:val="002060"/>
                <w:sz w:val="16"/>
                <w:szCs w:val="16"/>
              </w:rPr>
            </w:pPr>
            <w:r w:rsidRPr="00405303">
              <w:rPr>
                <w:bCs/>
                <w:color w:val="002060"/>
                <w:sz w:val="16"/>
                <w:szCs w:val="16"/>
              </w:rPr>
              <w:t>Апрель 1 1916</w:t>
            </w:r>
          </w:p>
        </w:tc>
        <w:tc>
          <w:tcPr>
            <w:tcW w:w="1170" w:type="dxa"/>
            <w:shd w:val="clear" w:color="auto" w:fill="FFFFFF"/>
          </w:tcPr>
          <w:p w14:paraId="7BE17E07" w14:textId="77777777" w:rsidR="004B4E35" w:rsidRPr="00405303" w:rsidRDefault="009E6F82" w:rsidP="00C15251">
            <w:pPr>
              <w:jc w:val="both"/>
              <w:rPr>
                <w:bCs/>
                <w:color w:val="002060"/>
                <w:sz w:val="16"/>
                <w:szCs w:val="16"/>
              </w:rPr>
            </w:pPr>
            <w:r w:rsidRPr="00405303">
              <w:rPr>
                <w:bCs/>
                <w:color w:val="002060"/>
                <w:sz w:val="16"/>
                <w:szCs w:val="16"/>
              </w:rPr>
              <w:t>35</w:t>
            </w:r>
          </w:p>
        </w:tc>
        <w:tc>
          <w:tcPr>
            <w:tcW w:w="6858" w:type="dxa"/>
            <w:shd w:val="clear" w:color="auto" w:fill="FFFFFF"/>
          </w:tcPr>
          <w:p w14:paraId="14ACC27D" w14:textId="77777777" w:rsidR="004B4E35" w:rsidRPr="00405303" w:rsidRDefault="009E6F82" w:rsidP="00C15251">
            <w:pPr>
              <w:jc w:val="both"/>
              <w:rPr>
                <w:bCs/>
                <w:color w:val="002060"/>
                <w:sz w:val="16"/>
                <w:szCs w:val="16"/>
              </w:rPr>
            </w:pPr>
            <w:r w:rsidRPr="00405303">
              <w:rPr>
                <w:bCs/>
                <w:color w:val="002060"/>
                <w:sz w:val="16"/>
                <w:szCs w:val="16"/>
              </w:rPr>
              <w:t>выполнен к 23 сентября 1916 г.</w:t>
            </w:r>
          </w:p>
        </w:tc>
      </w:tr>
      <w:tr w:rsidR="004B4E35" w:rsidRPr="00405303" w14:paraId="57844BDE" w14:textId="77777777">
        <w:tc>
          <w:tcPr>
            <w:tcW w:w="1548" w:type="dxa"/>
            <w:shd w:val="clear" w:color="auto" w:fill="FFFFFF"/>
          </w:tcPr>
          <w:p w14:paraId="26F4054F" w14:textId="77777777" w:rsidR="004B4E35" w:rsidRPr="00405303" w:rsidRDefault="009E6F82" w:rsidP="00C15251">
            <w:pPr>
              <w:jc w:val="both"/>
              <w:rPr>
                <w:bCs/>
                <w:color w:val="002060"/>
                <w:sz w:val="16"/>
                <w:szCs w:val="16"/>
              </w:rPr>
            </w:pPr>
            <w:r w:rsidRPr="00405303">
              <w:rPr>
                <w:bCs/>
                <w:color w:val="002060"/>
                <w:sz w:val="16"/>
                <w:szCs w:val="16"/>
              </w:rPr>
              <w:t>Июнь 16 1916</w:t>
            </w:r>
          </w:p>
        </w:tc>
        <w:tc>
          <w:tcPr>
            <w:tcW w:w="1170" w:type="dxa"/>
            <w:shd w:val="clear" w:color="auto" w:fill="FFFFFF"/>
          </w:tcPr>
          <w:p w14:paraId="7A7C691C" w14:textId="77777777" w:rsidR="004B4E35" w:rsidRPr="00405303" w:rsidRDefault="009E6F82" w:rsidP="00C15251">
            <w:pPr>
              <w:jc w:val="both"/>
              <w:rPr>
                <w:bCs/>
                <w:color w:val="002060"/>
                <w:sz w:val="16"/>
                <w:szCs w:val="16"/>
              </w:rPr>
            </w:pPr>
            <w:r w:rsidRPr="00405303">
              <w:rPr>
                <w:bCs/>
                <w:color w:val="002060"/>
                <w:sz w:val="16"/>
                <w:szCs w:val="16"/>
              </w:rPr>
              <w:t>20</w:t>
            </w:r>
          </w:p>
        </w:tc>
        <w:tc>
          <w:tcPr>
            <w:tcW w:w="6858" w:type="dxa"/>
            <w:shd w:val="clear" w:color="auto" w:fill="FFFFFF"/>
          </w:tcPr>
          <w:p w14:paraId="11D946F8" w14:textId="77777777" w:rsidR="004B4E35" w:rsidRPr="00405303" w:rsidRDefault="009E6F82" w:rsidP="00C15251">
            <w:pPr>
              <w:jc w:val="both"/>
              <w:rPr>
                <w:bCs/>
                <w:color w:val="002060"/>
                <w:sz w:val="16"/>
                <w:szCs w:val="16"/>
              </w:rPr>
            </w:pPr>
            <w:r w:rsidRPr="00405303">
              <w:rPr>
                <w:bCs/>
                <w:color w:val="002060"/>
                <w:sz w:val="16"/>
                <w:szCs w:val="16"/>
              </w:rPr>
              <w:t>10 тыс. 500 руб. за аппарат без мотора, срок исполнения июль-август 1916 г. (выполнен к 20 мая 1917 г.)</w:t>
            </w:r>
          </w:p>
        </w:tc>
      </w:tr>
      <w:tr w:rsidR="004B4E35" w:rsidRPr="00405303" w14:paraId="53811C5E" w14:textId="77777777">
        <w:tc>
          <w:tcPr>
            <w:tcW w:w="1548" w:type="dxa"/>
            <w:shd w:val="clear" w:color="auto" w:fill="FFFFFF"/>
          </w:tcPr>
          <w:p w14:paraId="095F7132" w14:textId="77777777" w:rsidR="004B4E35" w:rsidRPr="00405303" w:rsidRDefault="009E6F82" w:rsidP="00C15251">
            <w:pPr>
              <w:jc w:val="both"/>
              <w:rPr>
                <w:bCs/>
                <w:color w:val="002060"/>
                <w:sz w:val="16"/>
                <w:szCs w:val="16"/>
              </w:rPr>
            </w:pPr>
            <w:r w:rsidRPr="00405303">
              <w:rPr>
                <w:bCs/>
                <w:color w:val="002060"/>
                <w:sz w:val="16"/>
                <w:szCs w:val="16"/>
              </w:rPr>
              <w:t xml:space="preserve">Июнь </w:t>
            </w:r>
            <w:r w:rsidRPr="00405303">
              <w:rPr>
                <w:bCs/>
                <w:i/>
                <w:color w:val="002060"/>
                <w:sz w:val="16"/>
                <w:szCs w:val="16"/>
              </w:rPr>
              <w:t xml:space="preserve">1 </w:t>
            </w:r>
            <w:r w:rsidRPr="00405303">
              <w:rPr>
                <w:bCs/>
                <w:color w:val="002060"/>
                <w:sz w:val="16"/>
                <w:szCs w:val="16"/>
              </w:rPr>
              <w:t>1916</w:t>
            </w:r>
          </w:p>
        </w:tc>
        <w:tc>
          <w:tcPr>
            <w:tcW w:w="1170" w:type="dxa"/>
            <w:shd w:val="clear" w:color="auto" w:fill="FFFFFF"/>
          </w:tcPr>
          <w:p w14:paraId="2D865412" w14:textId="77777777" w:rsidR="004B4E35" w:rsidRPr="00405303" w:rsidRDefault="009E6F82" w:rsidP="00C15251">
            <w:pPr>
              <w:jc w:val="both"/>
              <w:rPr>
                <w:bCs/>
                <w:color w:val="002060"/>
                <w:sz w:val="16"/>
                <w:szCs w:val="16"/>
              </w:rPr>
            </w:pPr>
            <w:r w:rsidRPr="00405303">
              <w:rPr>
                <w:bCs/>
                <w:color w:val="002060"/>
                <w:sz w:val="16"/>
                <w:szCs w:val="16"/>
              </w:rPr>
              <w:t>20</w:t>
            </w:r>
          </w:p>
        </w:tc>
        <w:tc>
          <w:tcPr>
            <w:tcW w:w="6858" w:type="dxa"/>
            <w:shd w:val="clear" w:color="auto" w:fill="FFFFFF"/>
          </w:tcPr>
          <w:p w14:paraId="15540644" w14:textId="77777777" w:rsidR="004B4E35" w:rsidRPr="00405303" w:rsidRDefault="009E6F82" w:rsidP="00C15251">
            <w:pPr>
              <w:jc w:val="both"/>
              <w:rPr>
                <w:bCs/>
                <w:color w:val="002060"/>
                <w:sz w:val="16"/>
                <w:szCs w:val="16"/>
              </w:rPr>
            </w:pPr>
            <w:r w:rsidRPr="00405303">
              <w:rPr>
                <w:bCs/>
                <w:color w:val="002060"/>
                <w:sz w:val="16"/>
                <w:szCs w:val="16"/>
              </w:rPr>
              <w:t>заказ на 20 запасных аппаратов, но затем некоторые из них все же использовались как боевые; контракт выполнен к апрелю 1917 г.</w:t>
            </w:r>
          </w:p>
        </w:tc>
      </w:tr>
      <w:tr w:rsidR="004B4E35" w:rsidRPr="00405303" w14:paraId="6D37126F" w14:textId="77777777">
        <w:tc>
          <w:tcPr>
            <w:tcW w:w="1548" w:type="dxa"/>
            <w:shd w:val="clear" w:color="auto" w:fill="FFFFFF"/>
          </w:tcPr>
          <w:p w14:paraId="1B2A2ECC" w14:textId="77777777" w:rsidR="004B4E35" w:rsidRPr="00405303" w:rsidRDefault="009E6F82" w:rsidP="00C15251">
            <w:pPr>
              <w:jc w:val="both"/>
              <w:rPr>
                <w:bCs/>
                <w:color w:val="002060"/>
                <w:sz w:val="16"/>
                <w:szCs w:val="16"/>
              </w:rPr>
            </w:pPr>
            <w:r w:rsidRPr="00405303">
              <w:rPr>
                <w:bCs/>
                <w:color w:val="002060"/>
                <w:sz w:val="16"/>
                <w:szCs w:val="16"/>
              </w:rPr>
              <w:t>Сентябрь 22 1916</w:t>
            </w:r>
          </w:p>
        </w:tc>
        <w:tc>
          <w:tcPr>
            <w:tcW w:w="1170" w:type="dxa"/>
            <w:shd w:val="clear" w:color="auto" w:fill="FFFFFF"/>
          </w:tcPr>
          <w:p w14:paraId="3C520A1F" w14:textId="77777777" w:rsidR="004B4E35" w:rsidRPr="00405303" w:rsidRDefault="009E6F82" w:rsidP="00C15251">
            <w:pPr>
              <w:jc w:val="both"/>
              <w:rPr>
                <w:bCs/>
                <w:color w:val="002060"/>
                <w:sz w:val="16"/>
                <w:szCs w:val="16"/>
              </w:rPr>
            </w:pPr>
            <w:r w:rsidRPr="00405303">
              <w:rPr>
                <w:bCs/>
                <w:color w:val="002060"/>
                <w:sz w:val="16"/>
                <w:szCs w:val="16"/>
              </w:rPr>
              <w:t>30</w:t>
            </w:r>
          </w:p>
        </w:tc>
        <w:tc>
          <w:tcPr>
            <w:tcW w:w="6858" w:type="dxa"/>
            <w:shd w:val="clear" w:color="auto" w:fill="FFFFFF"/>
          </w:tcPr>
          <w:p w14:paraId="325B2213" w14:textId="77777777" w:rsidR="004B4E35" w:rsidRPr="00405303" w:rsidRDefault="009E6F82" w:rsidP="00C15251">
            <w:pPr>
              <w:jc w:val="both"/>
              <w:rPr>
                <w:bCs/>
                <w:color w:val="002060"/>
                <w:sz w:val="16"/>
                <w:szCs w:val="16"/>
              </w:rPr>
            </w:pPr>
            <w:r w:rsidRPr="00405303">
              <w:rPr>
                <w:bCs/>
                <w:color w:val="002060"/>
                <w:sz w:val="16"/>
                <w:szCs w:val="16"/>
              </w:rPr>
              <w:t>11 тыс. руб. за аппарат без мотора; полезная нагрузкасниже-на до 275 кг; срок исполнения с 1 октября по 1 декабря 1916 г. (выполнен к концу августа 1917 г.)</w:t>
            </w:r>
          </w:p>
        </w:tc>
      </w:tr>
      <w:tr w:rsidR="004B4E35" w:rsidRPr="00405303" w14:paraId="410D3017" w14:textId="77777777">
        <w:tc>
          <w:tcPr>
            <w:tcW w:w="1548" w:type="dxa"/>
            <w:shd w:val="clear" w:color="auto" w:fill="FFFFFF"/>
          </w:tcPr>
          <w:p w14:paraId="74CB1CDD" w14:textId="77777777" w:rsidR="004B4E35" w:rsidRPr="00405303" w:rsidRDefault="009E6F82" w:rsidP="00C15251">
            <w:pPr>
              <w:jc w:val="both"/>
              <w:rPr>
                <w:bCs/>
                <w:color w:val="002060"/>
                <w:sz w:val="16"/>
                <w:szCs w:val="16"/>
              </w:rPr>
            </w:pPr>
            <w:r w:rsidRPr="00405303">
              <w:rPr>
                <w:bCs/>
                <w:color w:val="002060"/>
                <w:sz w:val="16"/>
                <w:szCs w:val="16"/>
              </w:rPr>
              <w:t>Апрель 27 1917</w:t>
            </w:r>
          </w:p>
        </w:tc>
        <w:tc>
          <w:tcPr>
            <w:tcW w:w="1170" w:type="dxa"/>
            <w:shd w:val="clear" w:color="auto" w:fill="FFFFFF"/>
          </w:tcPr>
          <w:p w14:paraId="2F1F43E5" w14:textId="77777777" w:rsidR="004B4E35" w:rsidRPr="00405303" w:rsidRDefault="009E6F82" w:rsidP="00C15251">
            <w:pPr>
              <w:jc w:val="both"/>
              <w:rPr>
                <w:bCs/>
                <w:color w:val="002060"/>
                <w:sz w:val="16"/>
                <w:szCs w:val="16"/>
              </w:rPr>
            </w:pPr>
            <w:r w:rsidRPr="00405303">
              <w:rPr>
                <w:bCs/>
                <w:color w:val="002060"/>
                <w:sz w:val="16"/>
                <w:szCs w:val="16"/>
              </w:rPr>
              <w:t>70</w:t>
            </w:r>
          </w:p>
        </w:tc>
        <w:tc>
          <w:tcPr>
            <w:tcW w:w="6858" w:type="dxa"/>
            <w:shd w:val="clear" w:color="auto" w:fill="FFFFFF"/>
          </w:tcPr>
          <w:p w14:paraId="5D7C7A89" w14:textId="77777777" w:rsidR="004B4E35" w:rsidRPr="00405303" w:rsidRDefault="009E6F82" w:rsidP="00C15251">
            <w:pPr>
              <w:jc w:val="both"/>
              <w:rPr>
                <w:bCs/>
                <w:color w:val="002060"/>
                <w:sz w:val="16"/>
                <w:szCs w:val="16"/>
              </w:rPr>
            </w:pPr>
            <w:r w:rsidRPr="00405303">
              <w:rPr>
                <w:bCs/>
                <w:color w:val="002060"/>
                <w:sz w:val="16"/>
                <w:szCs w:val="16"/>
              </w:rPr>
              <w:t>II тыс. руб. за аппарат без мотора, с уплатой 10% лицензион</w:t>
            </w:r>
            <w:r w:rsidRPr="00405303">
              <w:rPr>
                <w:bCs/>
                <w:color w:val="002060"/>
                <w:sz w:val="16"/>
                <w:szCs w:val="16"/>
              </w:rPr>
              <w:softHyphen/>
              <w:t>ной стоимости ПРТВ; аппараты под мотор «Рон» 110 л. с. или «Гном-Моносупап» 100-110 л. с.; полезная нагрузка 300 кг, скороподъемность 500 м за 5 мин., 1000 м за 10 мин., 2000 м за 30 мин., скорость 100 км/ч, запасы бензина/масла 215/21 л; срок исполнения с 1 декабря 1917 г. по 1 апреля 1918 г. (аннулирован к 2 ноября 1917 г.)</w:t>
            </w:r>
          </w:p>
          <w:p w14:paraId="0B75CB84" w14:textId="77777777" w:rsidR="004B4E35" w:rsidRPr="00405303" w:rsidRDefault="009E6F82" w:rsidP="00C15251">
            <w:pPr>
              <w:jc w:val="both"/>
              <w:rPr>
                <w:bCs/>
                <w:color w:val="002060"/>
                <w:sz w:val="16"/>
                <w:szCs w:val="16"/>
              </w:rPr>
            </w:pPr>
            <w:r w:rsidRPr="00405303">
              <w:rPr>
                <w:bCs/>
                <w:color w:val="002060"/>
                <w:sz w:val="16"/>
                <w:szCs w:val="16"/>
              </w:rPr>
              <w:t>ПРИМЕЧАНИЯ: условный контракт, данный компании Ф. Мельцера в Петрограде</w:t>
            </w:r>
          </w:p>
        </w:tc>
      </w:tr>
      <w:tr w:rsidR="004B4E35" w:rsidRPr="00405303" w14:paraId="50AF2BBB" w14:textId="77777777">
        <w:tc>
          <w:tcPr>
            <w:tcW w:w="1548" w:type="dxa"/>
            <w:shd w:val="clear" w:color="auto" w:fill="FFFFFF"/>
          </w:tcPr>
          <w:p w14:paraId="31FAB17B" w14:textId="77777777" w:rsidR="004B4E35" w:rsidRPr="00405303" w:rsidRDefault="009E6F82" w:rsidP="00C15251">
            <w:pPr>
              <w:jc w:val="both"/>
              <w:rPr>
                <w:bCs/>
                <w:color w:val="002060"/>
                <w:sz w:val="16"/>
                <w:szCs w:val="16"/>
              </w:rPr>
            </w:pPr>
            <w:r w:rsidRPr="00405303">
              <w:rPr>
                <w:bCs/>
                <w:color w:val="002060"/>
                <w:sz w:val="16"/>
                <w:szCs w:val="16"/>
              </w:rPr>
              <w:t>Апрель 29 1917</w:t>
            </w:r>
          </w:p>
        </w:tc>
        <w:tc>
          <w:tcPr>
            <w:tcW w:w="1170" w:type="dxa"/>
            <w:shd w:val="clear" w:color="auto" w:fill="FFFFFF"/>
          </w:tcPr>
          <w:p w14:paraId="79778E54" w14:textId="77777777" w:rsidR="004B4E35" w:rsidRPr="00405303" w:rsidRDefault="009E6F82" w:rsidP="00C15251">
            <w:pPr>
              <w:jc w:val="both"/>
              <w:rPr>
                <w:bCs/>
                <w:color w:val="002060"/>
                <w:sz w:val="16"/>
                <w:szCs w:val="16"/>
              </w:rPr>
            </w:pPr>
            <w:r w:rsidRPr="00405303">
              <w:rPr>
                <w:bCs/>
                <w:color w:val="002060"/>
                <w:sz w:val="16"/>
                <w:szCs w:val="16"/>
              </w:rPr>
              <w:t>10</w:t>
            </w:r>
          </w:p>
        </w:tc>
        <w:tc>
          <w:tcPr>
            <w:tcW w:w="6858" w:type="dxa"/>
            <w:shd w:val="clear" w:color="auto" w:fill="FFFFFF"/>
          </w:tcPr>
          <w:p w14:paraId="7A9C13C3" w14:textId="77777777" w:rsidR="004B4E35" w:rsidRPr="00405303" w:rsidRDefault="009E6F82" w:rsidP="00C15251">
            <w:pPr>
              <w:jc w:val="both"/>
              <w:rPr>
                <w:bCs/>
                <w:color w:val="002060"/>
                <w:sz w:val="16"/>
                <w:szCs w:val="16"/>
              </w:rPr>
            </w:pPr>
            <w:r w:rsidRPr="00405303">
              <w:rPr>
                <w:bCs/>
                <w:color w:val="002060"/>
                <w:sz w:val="16"/>
                <w:szCs w:val="16"/>
              </w:rPr>
              <w:t>ПРИМЕЧАНИЯ: 10 запасных корпусов; выполнен к 25 мая 1917 г.; возможно, помимо корпусов поставлено и 20 запасных нижних крыльев</w:t>
            </w:r>
          </w:p>
        </w:tc>
      </w:tr>
      <w:tr w:rsidR="004B4E35" w:rsidRPr="00405303" w14:paraId="11673230" w14:textId="77777777">
        <w:tc>
          <w:tcPr>
            <w:tcW w:w="1548" w:type="dxa"/>
            <w:shd w:val="clear" w:color="auto" w:fill="FFFFFF"/>
          </w:tcPr>
          <w:p w14:paraId="6B2D8391" w14:textId="77777777" w:rsidR="004B4E35" w:rsidRPr="00405303" w:rsidRDefault="009E6F82" w:rsidP="00C15251">
            <w:pPr>
              <w:jc w:val="both"/>
              <w:rPr>
                <w:bCs/>
                <w:color w:val="002060"/>
                <w:sz w:val="16"/>
                <w:szCs w:val="16"/>
              </w:rPr>
            </w:pPr>
            <w:r w:rsidRPr="00405303">
              <w:rPr>
                <w:bCs/>
                <w:color w:val="002060"/>
                <w:sz w:val="16"/>
                <w:szCs w:val="16"/>
              </w:rPr>
              <w:t>Май 26 1917</w:t>
            </w:r>
          </w:p>
        </w:tc>
        <w:tc>
          <w:tcPr>
            <w:tcW w:w="1170" w:type="dxa"/>
            <w:shd w:val="clear" w:color="auto" w:fill="FFFFFF"/>
          </w:tcPr>
          <w:p w14:paraId="4C1D3B53" w14:textId="77777777" w:rsidR="004B4E35" w:rsidRPr="00405303" w:rsidRDefault="009E6F82" w:rsidP="00C15251">
            <w:pPr>
              <w:jc w:val="both"/>
              <w:rPr>
                <w:bCs/>
                <w:color w:val="002060"/>
                <w:sz w:val="16"/>
                <w:szCs w:val="16"/>
              </w:rPr>
            </w:pPr>
            <w:r w:rsidRPr="00405303">
              <w:rPr>
                <w:bCs/>
                <w:color w:val="002060"/>
                <w:sz w:val="16"/>
                <w:szCs w:val="16"/>
              </w:rPr>
              <w:t>25</w:t>
            </w:r>
          </w:p>
        </w:tc>
        <w:tc>
          <w:tcPr>
            <w:tcW w:w="6858" w:type="dxa"/>
            <w:shd w:val="clear" w:color="auto" w:fill="FFFFFF"/>
          </w:tcPr>
          <w:p w14:paraId="1879BD7D" w14:textId="77777777" w:rsidR="004B4E35" w:rsidRPr="00405303" w:rsidRDefault="009E6F82" w:rsidP="00C15251">
            <w:pPr>
              <w:jc w:val="both"/>
              <w:rPr>
                <w:bCs/>
                <w:color w:val="002060"/>
                <w:sz w:val="16"/>
                <w:szCs w:val="16"/>
              </w:rPr>
            </w:pPr>
            <w:r w:rsidRPr="00405303">
              <w:rPr>
                <w:bCs/>
                <w:color w:val="002060"/>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4B4E35" w:rsidRPr="00405303" w14:paraId="52D78251" w14:textId="77777777">
        <w:tc>
          <w:tcPr>
            <w:tcW w:w="1548" w:type="dxa"/>
            <w:shd w:val="clear" w:color="auto" w:fill="FFFFFF"/>
          </w:tcPr>
          <w:p w14:paraId="3EFD23BE" w14:textId="77777777" w:rsidR="004B4E35" w:rsidRPr="00405303" w:rsidRDefault="009E6F82" w:rsidP="00C15251">
            <w:pPr>
              <w:jc w:val="both"/>
              <w:rPr>
                <w:bCs/>
                <w:color w:val="002060"/>
                <w:sz w:val="16"/>
                <w:szCs w:val="16"/>
              </w:rPr>
            </w:pPr>
            <w:r w:rsidRPr="00405303">
              <w:rPr>
                <w:bCs/>
                <w:color w:val="002060"/>
                <w:sz w:val="16"/>
                <w:szCs w:val="16"/>
              </w:rPr>
              <w:t>Июль 28 1917</w:t>
            </w:r>
          </w:p>
        </w:tc>
        <w:tc>
          <w:tcPr>
            <w:tcW w:w="1170" w:type="dxa"/>
            <w:shd w:val="clear" w:color="auto" w:fill="FFFFFF"/>
          </w:tcPr>
          <w:p w14:paraId="105114BB" w14:textId="77777777" w:rsidR="004B4E35" w:rsidRPr="00405303" w:rsidRDefault="009E6F82" w:rsidP="00C15251">
            <w:pPr>
              <w:jc w:val="both"/>
              <w:rPr>
                <w:bCs/>
                <w:color w:val="002060"/>
                <w:sz w:val="16"/>
                <w:szCs w:val="16"/>
              </w:rPr>
            </w:pPr>
            <w:r w:rsidRPr="00405303">
              <w:rPr>
                <w:bCs/>
                <w:color w:val="002060"/>
                <w:sz w:val="16"/>
                <w:szCs w:val="16"/>
              </w:rPr>
              <w:t>40</w:t>
            </w:r>
          </w:p>
        </w:tc>
        <w:tc>
          <w:tcPr>
            <w:tcW w:w="6858" w:type="dxa"/>
            <w:shd w:val="clear" w:color="auto" w:fill="FFFFFF"/>
          </w:tcPr>
          <w:p w14:paraId="11950235" w14:textId="77777777" w:rsidR="004B4E35" w:rsidRPr="00405303" w:rsidRDefault="009E6F82" w:rsidP="00C15251">
            <w:pPr>
              <w:jc w:val="both"/>
              <w:rPr>
                <w:bCs/>
                <w:color w:val="002060"/>
                <w:sz w:val="16"/>
                <w:szCs w:val="16"/>
              </w:rPr>
            </w:pPr>
            <w:r w:rsidRPr="00405303">
              <w:rPr>
                <w:bCs/>
                <w:color w:val="002060"/>
                <w:sz w:val="16"/>
                <w:szCs w:val="16"/>
              </w:rPr>
              <w:t>16 тыс. руб. за аппарат под мотор «Рон» 125 л.с., срок исполнения с 1 сентября 1917 г. по 1 января 1918 г. (не выполнен)</w:t>
            </w:r>
          </w:p>
          <w:p w14:paraId="1C826E8B" w14:textId="77777777" w:rsidR="004B4E35" w:rsidRPr="00405303" w:rsidRDefault="009E6F82" w:rsidP="00C15251">
            <w:pPr>
              <w:jc w:val="both"/>
              <w:rPr>
                <w:bCs/>
                <w:color w:val="002060"/>
                <w:sz w:val="16"/>
                <w:szCs w:val="16"/>
              </w:rPr>
            </w:pPr>
            <w:r w:rsidRPr="00405303">
              <w:rPr>
                <w:bCs/>
                <w:color w:val="002060"/>
                <w:sz w:val="16"/>
                <w:szCs w:val="16"/>
              </w:rPr>
              <w:t>ПРИМЕЧАНИЯ: заказ дан Опытному заводу Д. П. Григоровича (см. главу 2 и раздел М-20)</w:t>
            </w:r>
          </w:p>
        </w:tc>
      </w:tr>
      <w:tr w:rsidR="004B4E35" w:rsidRPr="00405303" w14:paraId="0A022163" w14:textId="77777777">
        <w:tc>
          <w:tcPr>
            <w:tcW w:w="1548" w:type="dxa"/>
            <w:shd w:val="clear" w:color="auto" w:fill="FFFFFF"/>
          </w:tcPr>
          <w:p w14:paraId="30AF43A1" w14:textId="77777777" w:rsidR="004B4E35" w:rsidRPr="00405303" w:rsidRDefault="009E6F82" w:rsidP="00C15251">
            <w:pPr>
              <w:jc w:val="both"/>
              <w:rPr>
                <w:bCs/>
                <w:color w:val="002060"/>
                <w:sz w:val="16"/>
                <w:szCs w:val="16"/>
              </w:rPr>
            </w:pPr>
            <w:r w:rsidRPr="00405303">
              <w:rPr>
                <w:bCs/>
                <w:color w:val="002060"/>
                <w:sz w:val="16"/>
                <w:szCs w:val="16"/>
              </w:rPr>
              <w:t>Август 31 1917</w:t>
            </w:r>
          </w:p>
        </w:tc>
        <w:tc>
          <w:tcPr>
            <w:tcW w:w="1170" w:type="dxa"/>
            <w:shd w:val="clear" w:color="auto" w:fill="FFFFFF"/>
          </w:tcPr>
          <w:p w14:paraId="4EC24809" w14:textId="77777777" w:rsidR="004B4E35" w:rsidRPr="00405303" w:rsidRDefault="009E6F82" w:rsidP="00C15251">
            <w:pPr>
              <w:jc w:val="both"/>
              <w:rPr>
                <w:bCs/>
                <w:color w:val="002060"/>
                <w:sz w:val="16"/>
                <w:szCs w:val="16"/>
              </w:rPr>
            </w:pPr>
            <w:r w:rsidRPr="00405303">
              <w:rPr>
                <w:bCs/>
                <w:color w:val="002060"/>
                <w:sz w:val="16"/>
                <w:szCs w:val="16"/>
              </w:rPr>
              <w:t>4</w:t>
            </w:r>
          </w:p>
        </w:tc>
        <w:tc>
          <w:tcPr>
            <w:tcW w:w="6858" w:type="dxa"/>
            <w:shd w:val="clear" w:color="auto" w:fill="FFFFFF"/>
          </w:tcPr>
          <w:p w14:paraId="0E52653A" w14:textId="77777777" w:rsidR="004B4E35" w:rsidRPr="00405303" w:rsidRDefault="009E6F82" w:rsidP="00C15251">
            <w:pPr>
              <w:jc w:val="both"/>
              <w:rPr>
                <w:bCs/>
                <w:color w:val="002060"/>
                <w:sz w:val="16"/>
                <w:szCs w:val="16"/>
              </w:rPr>
            </w:pPr>
            <w:r w:rsidRPr="00405303">
              <w:rPr>
                <w:bCs/>
                <w:color w:val="002060"/>
                <w:sz w:val="16"/>
                <w:szCs w:val="16"/>
              </w:rPr>
              <w:t>контракт на ранее приобретенные аппараты (2807)</w:t>
            </w:r>
          </w:p>
        </w:tc>
      </w:tr>
    </w:tbl>
    <w:p w14:paraId="0EC7991A" w14:textId="77777777" w:rsidR="004B4E35" w:rsidRPr="00405303" w:rsidRDefault="004B4E35" w:rsidP="00C15251">
      <w:pPr>
        <w:shd w:val="clear" w:color="auto" w:fill="FFFFFF"/>
        <w:jc w:val="both"/>
        <w:rPr>
          <w:bCs/>
          <w:color w:val="002060"/>
          <w:sz w:val="16"/>
          <w:szCs w:val="16"/>
        </w:rPr>
      </w:pPr>
    </w:p>
    <w:p w14:paraId="1A492E86"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048A8760" w14:textId="77777777" w:rsidR="004B4E35" w:rsidRPr="00405303" w:rsidRDefault="004B4E35" w:rsidP="00C15251">
      <w:pPr>
        <w:shd w:val="clear" w:color="auto" w:fill="FFFFFF"/>
        <w:jc w:val="both"/>
        <w:rPr>
          <w:bCs/>
          <w:i/>
          <w:color w:val="002060"/>
          <w:sz w:val="16"/>
          <w:szCs w:val="16"/>
        </w:rPr>
      </w:pPr>
    </w:p>
    <w:p w14:paraId="5178264C" w14:textId="76F86344" w:rsidR="004B4E35" w:rsidRPr="00405303" w:rsidRDefault="009E6F82" w:rsidP="00C15251">
      <w:pPr>
        <w:jc w:val="both"/>
        <w:rPr>
          <w:bCs/>
          <w:color w:val="002060"/>
          <w:sz w:val="16"/>
          <w:szCs w:val="16"/>
        </w:rPr>
      </w:pPr>
      <w:r w:rsidRPr="00405303">
        <w:rPr>
          <w:bCs/>
          <w:color w:val="002060"/>
          <w:sz w:val="16"/>
          <w:szCs w:val="16"/>
        </w:rPr>
        <w:t>17 (30) июля в Прагу (правобережный пригород Варшавы) вновь прибыла автомобильная батарея Тарновского (один взвод). Зенитные установки на автомобилях были поставлены в Скарышевском парке с задачей противовоздушной обороны мостов. В этот день противник впервые произвел массированный налет, в котором участвовало девять аэропланов. Встреченные огнем с земли, они кружили, пытаясь пролететь над мостами, но в конце концов повернули на запад. По врагу было выпущено 187 снарядов, от высокого темпа стрельбы одна установка вышла из строя. Но и противник понес, согласно рапорту В.В. Тарновского, первые (и последние) потери: два самолета были сбиты и сели в расположении русских войск. Трое солдат расчета были награждены Георгиевскими медалями 4-й степени.</w:t>
      </w:r>
    </w:p>
    <w:p w14:paraId="096202D6" w14:textId="77777777" w:rsidR="004B4E35" w:rsidRPr="00405303" w:rsidRDefault="004B4E35" w:rsidP="00C15251">
      <w:pPr>
        <w:jc w:val="both"/>
        <w:rPr>
          <w:bCs/>
          <w:i/>
          <w:color w:val="002060"/>
          <w:sz w:val="16"/>
          <w:szCs w:val="16"/>
        </w:rPr>
      </w:pPr>
    </w:p>
    <w:p w14:paraId="139ACEAC" w14:textId="4FAD35F1" w:rsidR="003556A0" w:rsidRPr="00405303" w:rsidRDefault="003556A0" w:rsidP="00C15251">
      <w:pPr>
        <w:jc w:val="both"/>
        <w:rPr>
          <w:bCs/>
          <w:color w:val="002060"/>
          <w:sz w:val="16"/>
          <w:szCs w:val="16"/>
        </w:rPr>
      </w:pPr>
      <w:bookmarkStart w:id="191" w:name="_Hlk55981337"/>
      <w:r w:rsidRPr="00405303">
        <w:rPr>
          <w:bCs/>
          <w:color w:val="002060"/>
          <w:sz w:val="16"/>
          <w:szCs w:val="16"/>
        </w:rPr>
        <w:t>17 (30) июля 1915 г. при оставлении русскими войсками г. Жирардов германская авиация силами авиазвена бомбардировала его военные объекты, сбросив на них 15 бомб (23405).</w:t>
      </w:r>
    </w:p>
    <w:p w14:paraId="34F76AEF" w14:textId="77777777" w:rsidR="003556A0" w:rsidRPr="00405303" w:rsidRDefault="003556A0" w:rsidP="00C15251">
      <w:pPr>
        <w:jc w:val="both"/>
        <w:rPr>
          <w:bCs/>
          <w:color w:val="002060"/>
          <w:sz w:val="16"/>
          <w:szCs w:val="16"/>
        </w:rPr>
      </w:pPr>
    </w:p>
    <w:p w14:paraId="24EB98D6" w14:textId="70A3E13A" w:rsidR="009D5CA2" w:rsidRPr="00405303" w:rsidRDefault="009D5CA2" w:rsidP="00C15251">
      <w:pPr>
        <w:shd w:val="clear" w:color="auto" w:fill="FFFFFF"/>
        <w:jc w:val="both"/>
        <w:rPr>
          <w:bCs/>
          <w:i/>
          <w:color w:val="002060"/>
          <w:sz w:val="16"/>
          <w:szCs w:val="16"/>
        </w:rPr>
      </w:pPr>
      <w:r w:rsidRPr="00405303">
        <w:rPr>
          <w:bCs/>
          <w:i/>
          <w:color w:val="002060"/>
          <w:sz w:val="16"/>
          <w:szCs w:val="16"/>
        </w:rPr>
        <w:t>За рубежом:</w:t>
      </w:r>
    </w:p>
    <w:p w14:paraId="7D52FDE4" w14:textId="77777777" w:rsidR="009D5CA2" w:rsidRPr="00405303" w:rsidRDefault="009D5CA2" w:rsidP="00C15251">
      <w:pPr>
        <w:shd w:val="clear" w:color="auto" w:fill="FFFFFF"/>
        <w:jc w:val="both"/>
        <w:rPr>
          <w:bCs/>
          <w:i/>
          <w:color w:val="002060"/>
          <w:sz w:val="16"/>
          <w:szCs w:val="16"/>
        </w:rPr>
      </w:pPr>
    </w:p>
    <w:p w14:paraId="79323445" w14:textId="36185D58" w:rsidR="009D5CA2" w:rsidRPr="00405303" w:rsidRDefault="009D5CA2" w:rsidP="00C15251">
      <w:pPr>
        <w:jc w:val="both"/>
        <w:rPr>
          <w:rFonts w:eastAsia="Times-Roman"/>
          <w:bCs/>
          <w:color w:val="002060"/>
          <w:sz w:val="16"/>
          <w:szCs w:val="16"/>
        </w:rPr>
      </w:pPr>
      <w:r w:rsidRPr="00405303">
        <w:rPr>
          <w:bCs/>
          <w:color w:val="002060"/>
          <w:sz w:val="16"/>
          <w:szCs w:val="16"/>
          <w:shd w:val="clear" w:color="auto" w:fill="FFFFFF"/>
        </w:rPr>
        <w:t>17 (30) июля 1915 года</w:t>
      </w:r>
      <w:r w:rsidR="00DB4D64" w:rsidRPr="00405303">
        <w:rPr>
          <w:bCs/>
          <w:color w:val="002060"/>
          <w:sz w:val="16"/>
          <w:szCs w:val="16"/>
          <w:shd w:val="clear" w:color="auto" w:fill="FFFFFF"/>
        </w:rPr>
        <w:t xml:space="preserve"> </w:t>
      </w:r>
      <w:r w:rsidRPr="00405303">
        <w:rPr>
          <w:bCs/>
          <w:color w:val="002060"/>
          <w:sz w:val="16"/>
          <w:szCs w:val="16"/>
          <w:shd w:val="clear" w:color="auto" w:fill="FFFFFF"/>
        </w:rPr>
        <w:t>огнеметы</w:t>
      </w:r>
      <w:r w:rsidR="00DB4D64" w:rsidRPr="00405303">
        <w:rPr>
          <w:bCs/>
          <w:color w:val="002060"/>
          <w:sz w:val="16"/>
          <w:szCs w:val="16"/>
          <w:shd w:val="clear" w:color="auto" w:fill="FFFFFF"/>
        </w:rPr>
        <w:t xml:space="preserve"> </w:t>
      </w:r>
      <w:r w:rsidRPr="00405303">
        <w:rPr>
          <w:bCs/>
          <w:color w:val="002060"/>
          <w:sz w:val="16"/>
          <w:szCs w:val="16"/>
          <w:shd w:val="clear" w:color="auto" w:fill="FFFFFF"/>
        </w:rPr>
        <w:t xml:space="preserve">эффективно использовали против британских позиций, чтобы </w:t>
      </w:r>
      <w:r w:rsidR="001050C9" w:rsidRPr="00405303">
        <w:rPr>
          <w:bCs/>
          <w:color w:val="002060"/>
          <w:sz w:val="16"/>
          <w:szCs w:val="16"/>
          <w:shd w:val="clear" w:color="auto" w:fill="FFFFFF"/>
        </w:rPr>
        <w:t>«</w:t>
      </w:r>
      <w:r w:rsidRPr="00405303">
        <w:rPr>
          <w:bCs/>
          <w:color w:val="002060"/>
          <w:sz w:val="16"/>
          <w:szCs w:val="16"/>
          <w:shd w:val="clear" w:color="auto" w:fill="FFFFFF"/>
        </w:rPr>
        <w:t>выбить</w:t>
      </w:r>
      <w:r w:rsidR="001050C9" w:rsidRPr="00405303">
        <w:rPr>
          <w:bCs/>
          <w:color w:val="002060"/>
          <w:sz w:val="16"/>
          <w:szCs w:val="16"/>
          <w:shd w:val="clear" w:color="auto" w:fill="FFFFFF"/>
        </w:rPr>
        <w:t>»</w:t>
      </w:r>
      <w:r w:rsidRPr="00405303">
        <w:rPr>
          <w:bCs/>
          <w:color w:val="002060"/>
          <w:sz w:val="16"/>
          <w:szCs w:val="16"/>
          <w:shd w:val="clear" w:color="auto" w:fill="FFFFFF"/>
        </w:rPr>
        <w:t xml:space="preserve"> солдат из окопов на открытую поверхность (20241).</w:t>
      </w:r>
    </w:p>
    <w:bookmarkEnd w:id="191"/>
    <w:p w14:paraId="160C2278" w14:textId="77777777" w:rsidR="009D5CA2" w:rsidRPr="00405303" w:rsidRDefault="009D5CA2" w:rsidP="00C15251">
      <w:pPr>
        <w:jc w:val="both"/>
        <w:rPr>
          <w:bCs/>
          <w:color w:val="002060"/>
          <w:sz w:val="16"/>
          <w:szCs w:val="16"/>
          <w:shd w:val="clear" w:color="auto" w:fill="FFFFFF"/>
        </w:rPr>
      </w:pPr>
    </w:p>
    <w:p w14:paraId="1D8AEDDF" w14:textId="77777777" w:rsidR="005458AD" w:rsidRPr="00405303" w:rsidRDefault="005458AD" w:rsidP="005458AD">
      <w:pPr>
        <w:jc w:val="both"/>
        <w:rPr>
          <w:color w:val="0070C0"/>
          <w:sz w:val="16"/>
          <w:szCs w:val="16"/>
        </w:rPr>
      </w:pPr>
      <w:r w:rsidRPr="00405303">
        <w:rPr>
          <w:color w:val="0070C0"/>
          <w:sz w:val="16"/>
          <w:szCs w:val="16"/>
        </w:rPr>
        <w:t>17 (30) июля 1915 года считается датой, когда впервые в массовом порядке ог</w:t>
      </w:r>
      <w:r w:rsidRPr="00405303">
        <w:rPr>
          <w:color w:val="0070C0"/>
          <w:sz w:val="16"/>
          <w:szCs w:val="16"/>
        </w:rPr>
        <w:softHyphen/>
        <w:t>неметы были использованы германцами против английской пехоты в районе г. Ипр. Противник не понес существенных потерь, но психо</w:t>
      </w:r>
      <w:r w:rsidRPr="00405303">
        <w:rPr>
          <w:color w:val="0070C0"/>
          <w:sz w:val="16"/>
          <w:szCs w:val="16"/>
        </w:rPr>
        <w:softHyphen/>
        <w:t>логический эффект оказался потрясающим. Англича</w:t>
      </w:r>
      <w:r w:rsidRPr="00405303">
        <w:rPr>
          <w:color w:val="0070C0"/>
          <w:sz w:val="16"/>
          <w:szCs w:val="16"/>
        </w:rPr>
        <w:softHyphen/>
        <w:t>не в панике покинули укрепления. Огнеметы пошли в ход и при Верденской битве в 1916 году.</w:t>
      </w:r>
    </w:p>
    <w:p w14:paraId="75D43C81" w14:textId="77777777" w:rsidR="005458AD" w:rsidRPr="00405303" w:rsidRDefault="005458AD" w:rsidP="005458AD">
      <w:pPr>
        <w:jc w:val="both"/>
        <w:rPr>
          <w:color w:val="0070C0"/>
          <w:sz w:val="16"/>
          <w:szCs w:val="16"/>
        </w:rPr>
      </w:pPr>
      <w:r w:rsidRPr="00405303">
        <w:rPr>
          <w:color w:val="0070C0"/>
          <w:sz w:val="16"/>
          <w:szCs w:val="16"/>
        </w:rPr>
        <w:t>Ранним утром 30 (по другими источникам — 29) июля 1915 года английские войска были ошеломлены небывалым зрелищем: со стороны немецких окопов внезапно вырвались громадные языки пламени и с шипением и свистом хлестнули в сторону англичан. Казалось, что запылало все кругом и ничто живое не может спастись в этом бушующем море огня. Страх охватил англичан. Бросая оружие, английская пехота в панике бежала в тыл, без единого выстрела оставив свои позиции, хотя почти не имела пострадавших от огня. Так вступили на поля сражений огнеметы.</w:t>
      </w:r>
    </w:p>
    <w:p w14:paraId="6A221F6A" w14:textId="77777777" w:rsidR="005458AD" w:rsidRPr="00405303" w:rsidRDefault="005458AD" w:rsidP="005458AD">
      <w:pPr>
        <w:jc w:val="both"/>
        <w:rPr>
          <w:color w:val="0070C0"/>
          <w:sz w:val="16"/>
          <w:szCs w:val="16"/>
        </w:rPr>
      </w:pPr>
      <w:r w:rsidRPr="00405303">
        <w:rPr>
          <w:color w:val="0070C0"/>
          <w:sz w:val="16"/>
          <w:szCs w:val="16"/>
        </w:rPr>
        <w:t>Вот как на основе оперативных донесений описы</w:t>
      </w:r>
      <w:r w:rsidRPr="00405303">
        <w:rPr>
          <w:color w:val="0070C0"/>
          <w:sz w:val="16"/>
          <w:szCs w:val="16"/>
        </w:rPr>
        <w:softHyphen/>
        <w:t>вал немецкую огнеметную атаку 30 июля 1915 года британский фельдмаршал Френч: «За время, истек</w:t>
      </w:r>
      <w:r w:rsidRPr="00405303">
        <w:rPr>
          <w:color w:val="0070C0"/>
          <w:sz w:val="16"/>
          <w:szCs w:val="16"/>
        </w:rPr>
        <w:softHyphen/>
        <w:t>шее после моей последней депеши, противник при</w:t>
      </w:r>
      <w:r w:rsidRPr="00405303">
        <w:rPr>
          <w:color w:val="0070C0"/>
          <w:sz w:val="16"/>
          <w:szCs w:val="16"/>
        </w:rPr>
        <w:softHyphen/>
        <w:t>менил новое изобретение, состоящее в том, что на наши траншеи выбрасывают сильную струю горящей жидкости. При поддержке такого оружия противник произвел рано утром 30 июля атаку на траншеи 2-й армии у Гоота по дороге в Меииен. Почти вся пехота, занимавшая эти траншеи, должна была их оставить. Но это отступление было вызвано скорее неожидан</w:t>
      </w:r>
      <w:r w:rsidRPr="00405303">
        <w:rPr>
          <w:color w:val="0070C0"/>
          <w:sz w:val="16"/>
          <w:szCs w:val="16"/>
        </w:rPr>
        <w:softHyphen/>
        <w:t>ностью и временным смятением при виде горящей жидкости, чем действительными потерями от этого оружия. Были сделаны ответные попытки повторны</w:t>
      </w:r>
      <w:r w:rsidRPr="00405303">
        <w:rPr>
          <w:color w:val="0070C0"/>
          <w:sz w:val="16"/>
          <w:szCs w:val="16"/>
        </w:rPr>
        <w:softHyphen/>
        <w:t>ми контратаками вернуть обратно потерянные пози</w:t>
      </w:r>
      <w:r w:rsidRPr="00405303">
        <w:rPr>
          <w:color w:val="0070C0"/>
          <w:sz w:val="16"/>
          <w:szCs w:val="16"/>
        </w:rPr>
        <w:softHyphen/>
        <w:t>ции. Однако эти попытки оказались бесплодными и дорогостоящими» (25021).</w:t>
      </w:r>
    </w:p>
    <w:p w14:paraId="3A1C1DC5" w14:textId="77777777" w:rsidR="005458AD" w:rsidRPr="00405303" w:rsidRDefault="005458AD" w:rsidP="005458AD">
      <w:pPr>
        <w:jc w:val="both"/>
        <w:rPr>
          <w:color w:val="0070C0"/>
          <w:sz w:val="16"/>
          <w:szCs w:val="16"/>
        </w:rPr>
      </w:pPr>
    </w:p>
    <w:p w14:paraId="10137B53"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566EDFBD" w14:textId="77777777" w:rsidR="004B4E35" w:rsidRPr="00405303" w:rsidRDefault="004B4E35" w:rsidP="00C15251">
      <w:pPr>
        <w:jc w:val="both"/>
        <w:rPr>
          <w:bCs/>
          <w:i/>
          <w:color w:val="002060"/>
          <w:sz w:val="16"/>
          <w:szCs w:val="16"/>
        </w:rPr>
      </w:pPr>
    </w:p>
    <w:p w14:paraId="768A4586" w14:textId="6D94A6C9" w:rsidR="004B4E35" w:rsidRPr="00405303" w:rsidRDefault="009E6F82" w:rsidP="00C15251">
      <w:pPr>
        <w:shd w:val="clear" w:color="auto" w:fill="FFFFFF"/>
        <w:jc w:val="both"/>
        <w:rPr>
          <w:bCs/>
          <w:color w:val="002060"/>
          <w:sz w:val="16"/>
          <w:szCs w:val="16"/>
        </w:rPr>
      </w:pPr>
      <w:r w:rsidRPr="00405303">
        <w:rPr>
          <w:bCs/>
          <w:color w:val="002060"/>
          <w:sz w:val="16"/>
          <w:szCs w:val="16"/>
        </w:rPr>
        <w:t>18 (31) июля 1915 г. МГШ получил от ком</w:t>
      </w:r>
      <w:r w:rsidRPr="00405303">
        <w:rPr>
          <w:bCs/>
          <w:color w:val="002060"/>
          <w:sz w:val="16"/>
          <w:szCs w:val="16"/>
        </w:rPr>
        <w:softHyphen/>
        <w:t xml:space="preserve">пании </w:t>
      </w:r>
      <w:r w:rsidR="001050C9" w:rsidRPr="00405303">
        <w:rPr>
          <w:bCs/>
          <w:color w:val="002060"/>
          <w:sz w:val="16"/>
          <w:szCs w:val="16"/>
        </w:rPr>
        <w:t xml:space="preserve">Щетинина </w:t>
      </w:r>
      <w:r w:rsidRPr="00405303">
        <w:rPr>
          <w:bCs/>
          <w:color w:val="002060"/>
          <w:sz w:val="16"/>
          <w:szCs w:val="16"/>
        </w:rPr>
        <w:t>расценки на строительство «аппаратов Кертисса с мотором 100 л. с. на запасные части», а именно: 5 лодочных корпусов, 8 комплектов крыльев, 8 комплектов хвостового оперения, 8 пар элеро</w:t>
      </w:r>
      <w:r w:rsidRPr="00405303">
        <w:rPr>
          <w:bCs/>
          <w:color w:val="002060"/>
          <w:sz w:val="16"/>
          <w:szCs w:val="16"/>
        </w:rPr>
        <w:softHyphen/>
        <w:t>нов, 8 комплектов стоек, моторных подкосов и брусьев грузовой рамы и 4 комплектов грузовых рам. Наконец, 26 августа заводу дали официальный контракт на 5 «запасных» самолетов, стоимостью 5 тыс. 595 рублей каждый, и он нелегально изготовил их; принятые затем в Севастополе в период с октября по декабрь, все пятеро активно летали в боевых отрядах (2807).</w:t>
      </w:r>
    </w:p>
    <w:p w14:paraId="319A2D27" w14:textId="77777777" w:rsidR="004B4E35" w:rsidRPr="00405303" w:rsidRDefault="004B4E35" w:rsidP="00C15251">
      <w:pPr>
        <w:shd w:val="clear" w:color="auto" w:fill="FFFFFF"/>
        <w:jc w:val="both"/>
        <w:rPr>
          <w:bCs/>
          <w:color w:val="002060"/>
          <w:sz w:val="16"/>
          <w:szCs w:val="16"/>
        </w:rPr>
      </w:pPr>
    </w:p>
    <w:p w14:paraId="02C2F43C"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0C2044B8" w14:textId="77777777" w:rsidR="004B4E35" w:rsidRPr="00405303" w:rsidRDefault="004B4E35" w:rsidP="00C15251">
      <w:pPr>
        <w:shd w:val="clear" w:color="auto" w:fill="FFFFFF"/>
        <w:jc w:val="both"/>
        <w:rPr>
          <w:bCs/>
          <w:i/>
          <w:color w:val="002060"/>
          <w:sz w:val="16"/>
          <w:szCs w:val="16"/>
        </w:rPr>
      </w:pPr>
    </w:p>
    <w:p w14:paraId="4CF8ECAF" w14:textId="12ADFE51" w:rsidR="004B4E35" w:rsidRPr="00405303" w:rsidRDefault="009E6F82" w:rsidP="00C15251">
      <w:pPr>
        <w:jc w:val="both"/>
        <w:rPr>
          <w:bCs/>
          <w:color w:val="002060"/>
          <w:sz w:val="16"/>
          <w:szCs w:val="16"/>
        </w:rPr>
      </w:pPr>
      <w:r w:rsidRPr="00405303">
        <w:rPr>
          <w:bCs/>
          <w:color w:val="002060"/>
          <w:sz w:val="16"/>
          <w:szCs w:val="16"/>
        </w:rPr>
        <w:t xml:space="preserve">18 (31) июля 1915 </w:t>
      </w:r>
      <w:r w:rsidR="001050C9" w:rsidRPr="00405303">
        <w:rPr>
          <w:bCs/>
          <w:color w:val="002060"/>
          <w:sz w:val="16"/>
          <w:szCs w:val="16"/>
        </w:rPr>
        <w:t>генерал от инфантерии А.А. Поливанов,</w:t>
      </w:r>
      <w:r w:rsidR="000F5756">
        <w:rPr>
          <w:bCs/>
          <w:color w:val="002060"/>
          <w:sz w:val="16"/>
          <w:szCs w:val="16"/>
        </w:rPr>
        <w:t xml:space="preserve"> </w:t>
      </w:r>
      <w:r w:rsidR="001050C9" w:rsidRPr="00405303">
        <w:rPr>
          <w:bCs/>
          <w:color w:val="002060"/>
          <w:sz w:val="16"/>
          <w:szCs w:val="16"/>
        </w:rPr>
        <w:t>сменивший в июне 1915 года Сухомлинова на посту военного министра, уже к</w:t>
      </w:r>
      <w:r w:rsidRPr="00405303">
        <w:rPr>
          <w:bCs/>
          <w:color w:val="002060"/>
          <w:sz w:val="16"/>
          <w:szCs w:val="16"/>
        </w:rPr>
        <w:t>ак военный министр и руководитель Особого совещания по обороне обратился к министру торговли и промышленности князю В.Н. Шаховскому с требованием признать нефтяную промышленность как имеющую военное значение.</w:t>
      </w:r>
    </w:p>
    <w:p w14:paraId="049CDBFF" w14:textId="77777777" w:rsidR="004B4E35" w:rsidRPr="00405303" w:rsidRDefault="009E6F82" w:rsidP="00C15251">
      <w:pPr>
        <w:jc w:val="both"/>
        <w:rPr>
          <w:bCs/>
          <w:color w:val="002060"/>
          <w:sz w:val="16"/>
          <w:szCs w:val="16"/>
        </w:rPr>
      </w:pPr>
      <w:r w:rsidRPr="00405303">
        <w:rPr>
          <w:bCs/>
          <w:color w:val="002060"/>
          <w:sz w:val="16"/>
          <w:szCs w:val="16"/>
        </w:rPr>
        <w:t>«Усиливающаяся деятельность многих промышленных предприятий, работающих на оборону, а также испытываемые затруднения в получении минерального топлива выдвигают, в особенности в настоящее время, значение нефти как топлива.</w:t>
      </w:r>
    </w:p>
    <w:p w14:paraId="10B07572" w14:textId="77777777" w:rsidR="004B4E35" w:rsidRPr="00405303" w:rsidRDefault="009E6F82" w:rsidP="00C15251">
      <w:pPr>
        <w:jc w:val="both"/>
        <w:rPr>
          <w:bCs/>
          <w:color w:val="002060"/>
          <w:sz w:val="16"/>
          <w:szCs w:val="16"/>
        </w:rPr>
      </w:pPr>
      <w:r w:rsidRPr="00405303">
        <w:rPr>
          <w:bCs/>
          <w:color w:val="002060"/>
          <w:sz w:val="16"/>
          <w:szCs w:val="16"/>
        </w:rPr>
        <w:lastRenderedPageBreak/>
        <w:t>Это возрастающее значение нефти указывает на необходимость всеми средствами содействовать правильному и безостановочному функционированию предприятий нефтяной промышленности.</w:t>
      </w:r>
    </w:p>
    <w:p w14:paraId="5C96458B" w14:textId="77777777" w:rsidR="004B4E35" w:rsidRPr="00405303" w:rsidRDefault="009E6F82" w:rsidP="00C15251">
      <w:pPr>
        <w:jc w:val="both"/>
        <w:rPr>
          <w:bCs/>
          <w:color w:val="002060"/>
          <w:sz w:val="16"/>
          <w:szCs w:val="16"/>
        </w:rPr>
      </w:pPr>
      <w:r w:rsidRPr="00405303">
        <w:rPr>
          <w:bCs/>
          <w:color w:val="002060"/>
          <w:sz w:val="16"/>
          <w:szCs w:val="16"/>
        </w:rPr>
        <w:t>В этом отношении Особое совещание высказалось за необходимость поставить нефтяную промышленность в такие условия, в каких находятся промышленные предприятия, работающие на оборону, пользующиеся преимуществами по сравнению с другими в отношении предоставления всех необходимых для их работы средств… На основании сих соображений Особое совещание признало необходимым довести до сведения правительства, в Вашем лице, неотложность проведения в жизнь в ближайшем будущем соответственных мероприятий, направленных к обеспечению добычи нефти в размерах, вызываемых потребностью в ней в настоящее военное время» (Российский государственный исторический архив (РГИА). Ф. 37. Оп. 66. Д. 1542. Л. 21, 22.).</w:t>
      </w:r>
    </w:p>
    <w:p w14:paraId="0BF6C901" w14:textId="77777777" w:rsidR="004B4E35" w:rsidRPr="00405303" w:rsidRDefault="009E6F82" w:rsidP="00C15251">
      <w:pPr>
        <w:jc w:val="both"/>
        <w:rPr>
          <w:bCs/>
          <w:color w:val="002060"/>
          <w:sz w:val="16"/>
          <w:szCs w:val="16"/>
        </w:rPr>
      </w:pPr>
      <w:r w:rsidRPr="00405303">
        <w:rPr>
          <w:bCs/>
          <w:color w:val="002060"/>
          <w:sz w:val="16"/>
          <w:szCs w:val="16"/>
        </w:rPr>
        <w:t>Обращает на себя внимание то, что Поливанов уточнил формулировку Центрального ВПК о признании нефтяной промышленности отраслью, имеющей «государственное значение», сменив ее на более точный термин, приравнивающий нефтяные предприятия к «работающим на оборону», что подчеркивало их военное значение.</w:t>
      </w:r>
    </w:p>
    <w:p w14:paraId="1589E73C" w14:textId="77777777" w:rsidR="004B4E35" w:rsidRPr="00405303" w:rsidRDefault="009E6F82" w:rsidP="00C15251">
      <w:pPr>
        <w:jc w:val="both"/>
        <w:rPr>
          <w:bCs/>
          <w:color w:val="002060"/>
          <w:sz w:val="16"/>
          <w:szCs w:val="16"/>
        </w:rPr>
      </w:pPr>
      <w:r w:rsidRPr="00405303">
        <w:rPr>
          <w:bCs/>
          <w:color w:val="002060"/>
          <w:sz w:val="16"/>
          <w:szCs w:val="16"/>
        </w:rPr>
        <w:t>Еще дальше пошли представители казанского дворянства, в большинстве своем представлявшие офицерский корпус России (11178).</w:t>
      </w:r>
    </w:p>
    <w:p w14:paraId="6678A14A" w14:textId="77777777" w:rsidR="004B4E35" w:rsidRPr="00405303" w:rsidRDefault="004B4E35" w:rsidP="00C15251">
      <w:pPr>
        <w:jc w:val="both"/>
        <w:rPr>
          <w:bCs/>
          <w:color w:val="002060"/>
          <w:sz w:val="16"/>
          <w:szCs w:val="16"/>
        </w:rPr>
      </w:pPr>
    </w:p>
    <w:p w14:paraId="5BE88C1D" w14:textId="41393653" w:rsidR="003556A0" w:rsidRPr="00405303" w:rsidRDefault="003556A0"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18 (31) июля 1915 г., получив от Особого совещания по обороне просьбу-задание о выработке законопроекта, главноуправляющего землеустройством и земледелием Кривошеина ответил военному министру Поливанову, что, по его мнению, в новом законе «не представляется на</w:t>
      </w:r>
      <w:r w:rsidRPr="00405303">
        <w:rPr>
          <w:rFonts w:ascii="Times New Roman" w:hAnsi="Times New Roman" w:cs="Times New Roman"/>
          <w:bCs/>
          <w:color w:val="002060"/>
          <w:sz w:val="16"/>
          <w:szCs w:val="16"/>
        </w:rPr>
        <w:softHyphen/>
        <w:t>добности», достаточно и того, что уже сказано в Правилах о военном положении. А сказано в них было, что, во-первых, секвестрованные имущества «передаются в заведование уч</w:t>
      </w:r>
      <w:r w:rsidRPr="00405303">
        <w:rPr>
          <w:rFonts w:ascii="Times New Roman" w:hAnsi="Times New Roman" w:cs="Times New Roman"/>
          <w:bCs/>
          <w:color w:val="002060"/>
          <w:sz w:val="16"/>
          <w:szCs w:val="16"/>
        </w:rPr>
        <w:softHyphen/>
        <w:t>реждений государственных имуществ» (то есть в ведомство Кривошеина) и, во-вторых, при управлении отнятыми у вла</w:t>
      </w:r>
      <w:r w:rsidRPr="00405303">
        <w:rPr>
          <w:rFonts w:ascii="Times New Roman" w:hAnsi="Times New Roman" w:cs="Times New Roman"/>
          <w:bCs/>
          <w:color w:val="002060"/>
          <w:sz w:val="16"/>
          <w:szCs w:val="16"/>
        </w:rPr>
        <w:softHyphen/>
        <w:t>дельцев предприятиями «отнюдь не может быть» целью «из</w:t>
      </w:r>
      <w:r w:rsidRPr="00405303">
        <w:rPr>
          <w:rFonts w:ascii="Times New Roman" w:hAnsi="Times New Roman" w:cs="Times New Roman"/>
          <w:bCs/>
          <w:color w:val="002060"/>
          <w:sz w:val="16"/>
          <w:szCs w:val="16"/>
        </w:rPr>
        <w:softHyphen/>
        <w:t>влечение наибольшего дохода», чего, естественно, добива</w:t>
      </w:r>
      <w:r w:rsidRPr="00405303">
        <w:rPr>
          <w:rFonts w:ascii="Times New Roman" w:hAnsi="Times New Roman" w:cs="Times New Roman"/>
          <w:bCs/>
          <w:color w:val="002060"/>
          <w:sz w:val="16"/>
          <w:szCs w:val="16"/>
        </w:rPr>
        <w:softHyphen/>
        <w:t>лись бы от предприятий их владельцы. Казенное управление должно было обеспечить «лишь правильное и целесообраз</w:t>
      </w:r>
      <w:r w:rsidRPr="00405303">
        <w:rPr>
          <w:rFonts w:ascii="Times New Roman" w:hAnsi="Times New Roman" w:cs="Times New Roman"/>
          <w:bCs/>
          <w:color w:val="002060"/>
          <w:sz w:val="16"/>
          <w:szCs w:val="16"/>
        </w:rPr>
        <w:softHyphen/>
        <w:t>ное использование их в интересах государственных» (ЖОСО 1915. С. 106, 107; РГВИА. Ф. 369. Оп. 5. Д. 1. Л. 36 и об.).</w:t>
      </w:r>
    </w:p>
    <w:p w14:paraId="035410ED" w14:textId="77777777" w:rsidR="003556A0" w:rsidRPr="00405303" w:rsidRDefault="003556A0" w:rsidP="00C15251">
      <w:pPr>
        <w:jc w:val="both"/>
        <w:rPr>
          <w:bCs/>
          <w:color w:val="002060"/>
          <w:sz w:val="16"/>
          <w:szCs w:val="16"/>
        </w:rPr>
      </w:pPr>
      <w:r w:rsidRPr="00405303">
        <w:rPr>
          <w:bCs/>
          <w:color w:val="002060"/>
          <w:sz w:val="16"/>
          <w:szCs w:val="16"/>
        </w:rPr>
        <w:t>Не ожидая при такой позиции Кривошеина скорого по</w:t>
      </w:r>
      <w:r w:rsidRPr="00405303">
        <w:rPr>
          <w:bCs/>
          <w:color w:val="002060"/>
          <w:sz w:val="16"/>
          <w:szCs w:val="16"/>
        </w:rPr>
        <w:softHyphen/>
        <w:t>явления законопроекта, Военное министерство при пере</w:t>
      </w:r>
      <w:r w:rsidRPr="00405303">
        <w:rPr>
          <w:bCs/>
          <w:color w:val="002060"/>
          <w:sz w:val="16"/>
          <w:szCs w:val="16"/>
        </w:rPr>
        <w:softHyphen/>
        <w:t>работке положения об Особом совещании по обороне (утв. 17 августа 1915 г.) внесло изменения в статью о секвестре, затем еще уточнив ряд ее пунктов. Прежде всего отпало ограничение, связанное с поводом для наложения секве</w:t>
      </w:r>
      <w:r w:rsidRPr="00405303">
        <w:rPr>
          <w:bCs/>
          <w:color w:val="002060"/>
          <w:sz w:val="16"/>
          <w:szCs w:val="16"/>
        </w:rPr>
        <w:softHyphen/>
        <w:t>стра. Исчезло прямое указание на злоумышленное пове</w:t>
      </w:r>
      <w:r w:rsidRPr="00405303">
        <w:rPr>
          <w:bCs/>
          <w:color w:val="002060"/>
          <w:sz w:val="16"/>
          <w:szCs w:val="16"/>
        </w:rPr>
        <w:softHyphen/>
        <w:t>дение владельца, уклоняющегося от исполнения военных заказов, а 3 февраля 1916 г. царь утвердил изменение соот</w:t>
      </w:r>
      <w:r w:rsidRPr="00405303">
        <w:rPr>
          <w:bCs/>
          <w:color w:val="002060"/>
          <w:sz w:val="16"/>
          <w:szCs w:val="16"/>
        </w:rPr>
        <w:softHyphen/>
        <w:t>ветствующей статьи положения: в качестве повода теперь были названы «действия или упущения, грозящие интере</w:t>
      </w:r>
      <w:r w:rsidRPr="00405303">
        <w:rPr>
          <w:bCs/>
          <w:color w:val="002060"/>
          <w:sz w:val="16"/>
          <w:szCs w:val="16"/>
        </w:rPr>
        <w:softHyphen/>
        <w:t>сам государственной обороны». Объясняя смысл произве</w:t>
      </w:r>
      <w:r w:rsidRPr="00405303">
        <w:rPr>
          <w:bCs/>
          <w:color w:val="002060"/>
          <w:sz w:val="16"/>
          <w:szCs w:val="16"/>
        </w:rPr>
        <w:softHyphen/>
        <w:t>денного усовершенствования, комиссия, готовившая пере</w:t>
      </w:r>
      <w:r w:rsidRPr="00405303">
        <w:rPr>
          <w:bCs/>
          <w:color w:val="002060"/>
          <w:sz w:val="16"/>
          <w:szCs w:val="16"/>
        </w:rPr>
        <w:softHyphen/>
        <w:t>смотр положения, указывала, что прибегать к секвестру придется более широко, и «чаще всего» «в случаях быть мо</w:t>
      </w:r>
      <w:r w:rsidRPr="00405303">
        <w:rPr>
          <w:bCs/>
          <w:color w:val="002060"/>
          <w:sz w:val="16"/>
          <w:szCs w:val="16"/>
        </w:rPr>
        <w:softHyphen/>
        <w:t>жет и не преступных и не направленных против обществен</w:t>
      </w:r>
      <w:r w:rsidRPr="00405303">
        <w:rPr>
          <w:bCs/>
          <w:color w:val="002060"/>
          <w:sz w:val="16"/>
          <w:szCs w:val="16"/>
        </w:rPr>
        <w:softHyphen/>
        <w:t>ного порядка», но так или иначе «нарушающих интересы государственной обороны».</w:t>
      </w:r>
    </w:p>
    <w:p w14:paraId="4B1A0626" w14:textId="77777777" w:rsidR="003556A0" w:rsidRPr="00405303" w:rsidRDefault="003556A0"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Впрочем, председатель Особого совещания по обороне и помимо секвестра имел доступ к распоряжению собствен</w:t>
      </w:r>
      <w:r w:rsidRPr="00405303">
        <w:rPr>
          <w:rFonts w:ascii="Times New Roman" w:hAnsi="Times New Roman" w:cs="Times New Roman"/>
          <w:bCs/>
          <w:color w:val="002060"/>
          <w:sz w:val="16"/>
          <w:szCs w:val="16"/>
        </w:rPr>
        <w:softHyphen/>
        <w:t>ностью промышленников. Он мог по своему усмотрению «устранять от службы» директоров, членов правлений, управляющих и заменять их другими лицами. Когда же об</w:t>
      </w:r>
      <w:r w:rsidRPr="00405303">
        <w:rPr>
          <w:rFonts w:ascii="Times New Roman" w:hAnsi="Times New Roman" w:cs="Times New Roman"/>
          <w:bCs/>
          <w:color w:val="002060"/>
          <w:sz w:val="16"/>
          <w:szCs w:val="16"/>
        </w:rPr>
        <w:softHyphen/>
        <w:t>наружилась «неполнота» этого пункта (п. 4 ст. 10) положе</w:t>
      </w:r>
      <w:r w:rsidRPr="00405303">
        <w:rPr>
          <w:rFonts w:ascii="Times New Roman" w:hAnsi="Times New Roman" w:cs="Times New Roman"/>
          <w:bCs/>
          <w:color w:val="002060"/>
          <w:sz w:val="16"/>
          <w:szCs w:val="16"/>
        </w:rPr>
        <w:softHyphen/>
        <w:t>ния об Особом совещании, то военный министр потребовал добавить себе права: а) и на вакантные должности ставить своих людей и вводить сверхкомплектно, даже если нет ва</w:t>
      </w:r>
      <w:r w:rsidRPr="00405303">
        <w:rPr>
          <w:rFonts w:ascii="Times New Roman" w:hAnsi="Times New Roman" w:cs="Times New Roman"/>
          <w:bCs/>
          <w:color w:val="002060"/>
          <w:sz w:val="16"/>
          <w:szCs w:val="16"/>
        </w:rPr>
        <w:softHyphen/>
        <w:t>кансий; б) создавать вакантные места, устраняя целиком (или частично) «правления, советы, наблюдательные коми</w:t>
      </w:r>
      <w:r w:rsidRPr="00405303">
        <w:rPr>
          <w:rFonts w:ascii="Times New Roman" w:hAnsi="Times New Roman" w:cs="Times New Roman"/>
          <w:bCs/>
          <w:color w:val="002060"/>
          <w:sz w:val="16"/>
          <w:szCs w:val="16"/>
        </w:rPr>
        <w:softHyphen/>
        <w:t>теты и другие органы администрации». И учреждать новые должности, «специально, сверх установленного их числа». Ожидаемый характер их деятельности был виден из того, что в) назначенные военным министром лица «за действия свои не отвечают перед собственником предприятия, в ко</w:t>
      </w:r>
      <w:r w:rsidRPr="00405303">
        <w:rPr>
          <w:rFonts w:ascii="Times New Roman" w:hAnsi="Times New Roman" w:cs="Times New Roman"/>
          <w:bCs/>
          <w:color w:val="002060"/>
          <w:sz w:val="16"/>
          <w:szCs w:val="16"/>
        </w:rPr>
        <w:softHyphen/>
        <w:t>торое они назначены», а если навредят ему, то г) отвечать будут не в суде, а «в должностном порядке». Произведен</w:t>
      </w:r>
      <w:r w:rsidRPr="00405303">
        <w:rPr>
          <w:rFonts w:ascii="Times New Roman" w:hAnsi="Times New Roman" w:cs="Times New Roman"/>
          <w:bCs/>
          <w:color w:val="002060"/>
          <w:sz w:val="16"/>
          <w:szCs w:val="16"/>
        </w:rPr>
        <w:softHyphen/>
        <w:t>ные таким образом улучшения в положении об Особом со</w:t>
      </w:r>
      <w:r w:rsidRPr="00405303">
        <w:rPr>
          <w:rFonts w:ascii="Times New Roman" w:hAnsi="Times New Roman" w:cs="Times New Roman"/>
          <w:bCs/>
          <w:color w:val="002060"/>
          <w:sz w:val="16"/>
          <w:szCs w:val="16"/>
        </w:rPr>
        <w:softHyphen/>
        <w:t>вещании по обороне 22 декабря 1915 г. одобрил Совет ми</w:t>
      </w:r>
      <w:r w:rsidRPr="00405303">
        <w:rPr>
          <w:rFonts w:ascii="Times New Roman" w:hAnsi="Times New Roman" w:cs="Times New Roman"/>
          <w:bCs/>
          <w:color w:val="002060"/>
          <w:sz w:val="16"/>
          <w:szCs w:val="16"/>
        </w:rPr>
        <w:softHyphen/>
        <w:t xml:space="preserve">нистров, и царь утвердил их 16 января 1916 г. (РГВИА. Ф. 369. </w:t>
      </w:r>
      <w:r w:rsidRPr="00405303">
        <w:rPr>
          <w:rFonts w:ascii="Times New Roman" w:hAnsi="Times New Roman" w:cs="Times New Roman"/>
          <w:bCs/>
          <w:color w:val="002060"/>
          <w:sz w:val="16"/>
          <w:szCs w:val="16"/>
          <w:lang w:val="en-US" w:bidi="en-US"/>
        </w:rPr>
        <w:t>On</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1. Д. 155. Л. 43 об.; Д. 157. Л. 38; ОЖСМ 1915. С. 592-593) (23452).</w:t>
      </w:r>
    </w:p>
    <w:p w14:paraId="406AC689" w14:textId="77777777" w:rsidR="003556A0" w:rsidRPr="00405303" w:rsidRDefault="003556A0" w:rsidP="00C15251">
      <w:pPr>
        <w:jc w:val="both"/>
        <w:rPr>
          <w:bCs/>
          <w:color w:val="002060"/>
          <w:sz w:val="16"/>
          <w:szCs w:val="16"/>
        </w:rPr>
      </w:pPr>
    </w:p>
    <w:p w14:paraId="0349F68F" w14:textId="690ADFDC" w:rsidR="007E7928" w:rsidRPr="00405303" w:rsidRDefault="007E7928" w:rsidP="00C15251">
      <w:pPr>
        <w:pStyle w:val="p1"/>
        <w:spacing w:before="0" w:beforeAutospacing="0" w:after="0" w:afterAutospacing="0"/>
        <w:jc w:val="both"/>
        <w:rPr>
          <w:bCs/>
          <w:color w:val="002060"/>
          <w:sz w:val="16"/>
          <w:szCs w:val="16"/>
        </w:rPr>
      </w:pPr>
      <w:r w:rsidRPr="00405303">
        <w:rPr>
          <w:bCs/>
          <w:color w:val="002060"/>
          <w:sz w:val="16"/>
          <w:szCs w:val="16"/>
        </w:rPr>
        <w:t xml:space="preserve">18 </w:t>
      </w:r>
      <w:r w:rsidR="001050C9" w:rsidRPr="00405303">
        <w:rPr>
          <w:bCs/>
          <w:color w:val="002060"/>
          <w:sz w:val="16"/>
          <w:szCs w:val="16"/>
        </w:rPr>
        <w:t xml:space="preserve">(31) </w:t>
      </w:r>
      <w:r w:rsidRPr="00405303">
        <w:rPr>
          <w:bCs/>
          <w:color w:val="002060"/>
          <w:sz w:val="16"/>
          <w:szCs w:val="16"/>
        </w:rPr>
        <w:t xml:space="preserve">июля 1915 </w:t>
      </w:r>
      <w:r w:rsidR="001050C9" w:rsidRPr="00405303">
        <w:rPr>
          <w:bCs/>
          <w:color w:val="002060"/>
          <w:sz w:val="16"/>
          <w:szCs w:val="16"/>
        </w:rPr>
        <w:t xml:space="preserve">г. </w:t>
      </w:r>
      <w:r w:rsidRPr="00405303">
        <w:rPr>
          <w:bCs/>
          <w:color w:val="002060"/>
          <w:sz w:val="16"/>
          <w:szCs w:val="16"/>
        </w:rPr>
        <w:t>Токарский, которому стало известно о намеченном строительстве азотного завода ГАУ близ Кондопоги — «на бывшем моем (а ныне принадлежащем «Красносельской писчебумажной фабрике наследников К.П. Печаткина») участке», направил в Особое совещание по обороне записку, в которой доказывал ошибочность принятого правительством решения и предлагал свой, иной вариант создания завода.</w:t>
      </w:r>
    </w:p>
    <w:p w14:paraId="47846B92" w14:textId="77777777" w:rsidR="007E7928" w:rsidRPr="00405303" w:rsidRDefault="007E7928" w:rsidP="00C15251">
      <w:pPr>
        <w:pStyle w:val="p1"/>
        <w:spacing w:before="0" w:beforeAutospacing="0" w:after="0" w:afterAutospacing="0"/>
        <w:jc w:val="both"/>
        <w:rPr>
          <w:bCs/>
          <w:color w:val="002060"/>
          <w:sz w:val="16"/>
          <w:szCs w:val="16"/>
        </w:rPr>
      </w:pPr>
      <w:r w:rsidRPr="00405303">
        <w:rPr>
          <w:bCs/>
          <w:color w:val="002060"/>
          <w:sz w:val="16"/>
          <w:szCs w:val="16"/>
        </w:rPr>
        <w:t>По его мнению, все можно было сделать «гораздо дешевле и проще» и при этом окончить «во время войны, а не после таковой», но в другом месте — не на Суне, где ведет строительство ГАУ, а близ г. Боровичи Новгородской губернии, на реке Мете. По его словам, стройка на Суне вызвала бы затраты не менее 3,8 млн. руб. (3 млн. на гидротехнические сооружения, без водяных турбогенераторов, плюс 800 тысяч рублей на возмещение убытков наследникам Печаткина) и заняла не менее трех лет. Вместо всего этого Токарский думал учредить «Мстинское общество электрической энергии» и обещал, даже под гарантию в виде залога, построить предприятие той же мощности не за три, а за два года и затратив «всего только 2 млн. руб.», с пуском первой очереди гидротехнических устройств «до весеннего половодья 1916 г.».</w:t>
      </w:r>
    </w:p>
    <w:p w14:paraId="3E1F8C8B" w14:textId="77777777" w:rsidR="007E7928" w:rsidRPr="00405303" w:rsidRDefault="007E7928" w:rsidP="00C15251">
      <w:pPr>
        <w:pStyle w:val="p1"/>
        <w:spacing w:before="0" w:beforeAutospacing="0" w:after="0" w:afterAutospacing="0"/>
        <w:jc w:val="both"/>
        <w:rPr>
          <w:bCs/>
          <w:color w:val="002060"/>
          <w:sz w:val="16"/>
          <w:szCs w:val="16"/>
        </w:rPr>
      </w:pPr>
      <w:r w:rsidRPr="00405303">
        <w:rPr>
          <w:bCs/>
          <w:color w:val="002060"/>
          <w:sz w:val="16"/>
          <w:szCs w:val="16"/>
        </w:rPr>
        <w:t>Полгода спустя, видя, что записка «лежит без всякого движения», а стройка ГАУ уже идет (с участием специалистов от МПС), Токарский 3 марта 1916 г. подал заявление в Наблюдательную комиссию Особого совещания по обороне, добавив к прежним аргументам экономию тысяч пудов взрывчатки на строительных работах; он утверждал, что на Мете не потребуется прокапывать «колоссальные деривационные каналы», достаточно будет «простых плотин» и отпадет нужда в большом числе землекопов, при сроке постройки на два года меньше. Токарский предупреждал, что гидротехнические работы на Суне повредят сооружаемой там же Мурманской железной дороге, и просил Наблюдательную комиссию «приостановить» нерациональное строительство (18409).</w:t>
      </w:r>
    </w:p>
    <w:p w14:paraId="5B5F8C6F" w14:textId="77777777" w:rsidR="007E7928" w:rsidRPr="00405303" w:rsidRDefault="007E7928" w:rsidP="00C15251">
      <w:pPr>
        <w:pStyle w:val="p1"/>
        <w:spacing w:before="0" w:beforeAutospacing="0" w:after="0" w:afterAutospacing="0"/>
        <w:jc w:val="both"/>
        <w:rPr>
          <w:bCs/>
          <w:color w:val="002060"/>
          <w:sz w:val="16"/>
          <w:szCs w:val="16"/>
        </w:rPr>
      </w:pPr>
    </w:p>
    <w:p w14:paraId="7B9B534A"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10D73D57" w14:textId="77777777" w:rsidR="004B4E35" w:rsidRPr="00405303" w:rsidRDefault="004B4E35" w:rsidP="00C15251">
      <w:pPr>
        <w:jc w:val="both"/>
        <w:rPr>
          <w:bCs/>
          <w:i/>
          <w:color w:val="002060"/>
          <w:sz w:val="16"/>
          <w:szCs w:val="16"/>
        </w:rPr>
      </w:pPr>
    </w:p>
    <w:p w14:paraId="2C58E509" w14:textId="3A4DE278" w:rsidR="004B4E35" w:rsidRPr="00405303" w:rsidRDefault="009E6F82" w:rsidP="00C15251">
      <w:pPr>
        <w:jc w:val="both"/>
        <w:rPr>
          <w:bCs/>
          <w:color w:val="002060"/>
          <w:sz w:val="16"/>
          <w:szCs w:val="16"/>
        </w:rPr>
      </w:pPr>
      <w:r w:rsidRPr="00405303">
        <w:rPr>
          <w:bCs/>
          <w:color w:val="002060"/>
          <w:sz w:val="16"/>
          <w:szCs w:val="16"/>
        </w:rPr>
        <w:t xml:space="preserve">18 (31) июля </w:t>
      </w:r>
      <w:r w:rsidR="001050C9" w:rsidRPr="00405303">
        <w:rPr>
          <w:bCs/>
          <w:color w:val="002060"/>
          <w:sz w:val="16"/>
          <w:szCs w:val="16"/>
        </w:rPr>
        <w:t>1915 г.</w:t>
      </w:r>
      <w:r w:rsidRPr="00405303">
        <w:rPr>
          <w:bCs/>
          <w:color w:val="002060"/>
          <w:sz w:val="16"/>
          <w:szCs w:val="16"/>
        </w:rPr>
        <w:t xml:space="preserve"> </w:t>
      </w:r>
      <w:r w:rsidR="001050C9" w:rsidRPr="00405303">
        <w:rPr>
          <w:bCs/>
          <w:color w:val="002060"/>
          <w:sz w:val="16"/>
          <w:szCs w:val="16"/>
        </w:rPr>
        <w:t>с</w:t>
      </w:r>
      <w:r w:rsidRPr="00405303">
        <w:rPr>
          <w:bCs/>
          <w:color w:val="002060"/>
          <w:sz w:val="16"/>
          <w:szCs w:val="16"/>
        </w:rPr>
        <w:t xml:space="preserve"> рассветом установилась ясная погода. В 5 часов утра по маршруту Влодава - Холм - Файславице - Бела - Брест-Литовск выслан для разведки самолет 31-го авиаотряда. Летчиками было обнаружено движение на Влодаву двух пехотных колонн с артиллерий; одна колонна двигалась из Файславице, другая - из Холма.</w:t>
      </w:r>
    </w:p>
    <w:p w14:paraId="6957471C" w14:textId="77777777" w:rsidR="004B4E35" w:rsidRPr="00405303" w:rsidRDefault="009E6F82" w:rsidP="00C15251">
      <w:pPr>
        <w:jc w:val="both"/>
        <w:rPr>
          <w:bCs/>
          <w:color w:val="002060"/>
          <w:sz w:val="16"/>
          <w:szCs w:val="16"/>
        </w:rPr>
      </w:pPr>
      <w:r w:rsidRPr="00405303">
        <w:rPr>
          <w:bCs/>
          <w:color w:val="002060"/>
          <w:sz w:val="16"/>
          <w:szCs w:val="16"/>
        </w:rPr>
        <w:t>Летчик полетел над колонной для уточнения численности, однако немецкая батарея очень быстро развернулась и открыла по нему прицельный и довольно точный огонь, в результате чего одним из осколков был выведен из строя мотор.</w:t>
      </w:r>
    </w:p>
    <w:p w14:paraId="544FE9E4" w14:textId="77777777" w:rsidR="004B4E35" w:rsidRPr="00405303" w:rsidRDefault="009E6F82" w:rsidP="00C15251">
      <w:pPr>
        <w:jc w:val="both"/>
        <w:rPr>
          <w:bCs/>
          <w:color w:val="002060"/>
          <w:sz w:val="16"/>
          <w:szCs w:val="16"/>
        </w:rPr>
      </w:pPr>
      <w:r w:rsidRPr="00405303">
        <w:rPr>
          <w:bCs/>
          <w:color w:val="002060"/>
          <w:sz w:val="16"/>
          <w:szCs w:val="16"/>
        </w:rPr>
        <w:t xml:space="preserve">Самолет находился на высоте 2500 м, до русских позиций было около 35 км. На счастье </w:t>
      </w:r>
      <w:proofErr w:type="gramStart"/>
      <w:r w:rsidRPr="00405303">
        <w:rPr>
          <w:bCs/>
          <w:color w:val="002060"/>
          <w:sz w:val="16"/>
          <w:szCs w:val="16"/>
        </w:rPr>
        <w:t>русских авиаторов</w:t>
      </w:r>
      <w:proofErr w:type="gramEnd"/>
      <w:r w:rsidRPr="00405303">
        <w:rPr>
          <w:bCs/>
          <w:color w:val="002060"/>
          <w:sz w:val="16"/>
          <w:szCs w:val="16"/>
        </w:rPr>
        <w:t xml:space="preserve"> в их сторону дул довольно сильный ветер, и пилоту удалось дотянуть до своих окопов.</w:t>
      </w:r>
    </w:p>
    <w:p w14:paraId="18CCBF2D" w14:textId="77777777" w:rsidR="004B4E35" w:rsidRPr="00405303" w:rsidRDefault="009E6F82" w:rsidP="00C15251">
      <w:pPr>
        <w:jc w:val="both"/>
        <w:rPr>
          <w:bCs/>
          <w:color w:val="002060"/>
          <w:sz w:val="16"/>
          <w:szCs w:val="16"/>
        </w:rPr>
      </w:pPr>
      <w:r w:rsidRPr="00405303">
        <w:rPr>
          <w:bCs/>
          <w:color w:val="002060"/>
          <w:sz w:val="16"/>
          <w:szCs w:val="16"/>
        </w:rPr>
        <w:t>Оба летчика были немедленно доставлены в штаб корпуса 13-й армии.</w:t>
      </w:r>
    </w:p>
    <w:p w14:paraId="01CED1AE" w14:textId="77777777" w:rsidR="004B4E35" w:rsidRPr="00405303" w:rsidRDefault="009E6F82" w:rsidP="00C15251">
      <w:pPr>
        <w:jc w:val="both"/>
        <w:rPr>
          <w:bCs/>
          <w:color w:val="002060"/>
          <w:sz w:val="16"/>
          <w:szCs w:val="16"/>
        </w:rPr>
      </w:pPr>
      <w:r w:rsidRPr="00405303">
        <w:rPr>
          <w:bCs/>
          <w:color w:val="002060"/>
          <w:sz w:val="16"/>
          <w:szCs w:val="16"/>
        </w:rPr>
        <w:t>Движение германских войск к Влодаве оказалось совершенно неожиданным для русского командования. Русские войска не располагали даже достаточными резервами на этом участке, способными помешать переправе германских войск.</w:t>
      </w:r>
    </w:p>
    <w:p w14:paraId="764EB9C1" w14:textId="77777777" w:rsidR="004B4E35" w:rsidRPr="00405303" w:rsidRDefault="009E6F82" w:rsidP="00C15251">
      <w:pPr>
        <w:jc w:val="both"/>
        <w:rPr>
          <w:bCs/>
          <w:color w:val="002060"/>
          <w:sz w:val="16"/>
          <w:szCs w:val="16"/>
        </w:rPr>
      </w:pPr>
      <w:r w:rsidRPr="00405303">
        <w:rPr>
          <w:bCs/>
          <w:color w:val="002060"/>
          <w:sz w:val="16"/>
          <w:szCs w:val="16"/>
        </w:rPr>
        <w:t>По всем расчетам германцы должны были начать переправу на следующий день на рассвете. Нужно было принимать срочные меры.</w:t>
      </w:r>
    </w:p>
    <w:p w14:paraId="45390E23" w14:textId="77777777" w:rsidR="004B4E35" w:rsidRPr="00405303" w:rsidRDefault="009E6F82" w:rsidP="00C15251">
      <w:pPr>
        <w:jc w:val="both"/>
        <w:rPr>
          <w:bCs/>
          <w:color w:val="002060"/>
          <w:sz w:val="16"/>
          <w:szCs w:val="16"/>
        </w:rPr>
      </w:pPr>
      <w:r w:rsidRPr="00405303">
        <w:rPr>
          <w:bCs/>
          <w:color w:val="002060"/>
          <w:sz w:val="16"/>
          <w:szCs w:val="16"/>
        </w:rPr>
        <w:t xml:space="preserve">К этому дню из трех авиаотрядов на этом участке фронта остался всего один 31-й корпусной авиаотряд 3-й армии, в котором оказалось на данный момент лишь пять исправных самолетов и 250 пудов (4 т) бомб. Было решено использовать полностью все имеющиеся средства. К Влодаве была срочно направлена 1-я гвардейская дивизия - единственный армейский резерв. Самолеты должны были присоединиться к действиям дивизионной артиллерии после </w:t>
      </w:r>
      <w:proofErr w:type="gramStart"/>
      <w:r w:rsidRPr="00405303">
        <w:rPr>
          <w:bCs/>
          <w:color w:val="002060"/>
          <w:sz w:val="16"/>
          <w:szCs w:val="16"/>
        </w:rPr>
        <w:t>того</w:t>
      </w:r>
      <w:proofErr w:type="gramEnd"/>
      <w:r w:rsidRPr="00405303">
        <w:rPr>
          <w:bCs/>
          <w:color w:val="002060"/>
          <w:sz w:val="16"/>
          <w:szCs w:val="16"/>
        </w:rPr>
        <w:t xml:space="preserve"> как германские войска наведут мосты и часть их успеет переправиться. Пехота 1-й гвардейской дивизии, при поддержке артиллерии и авиации, должна была ударить по успевшим переправиться германским войскам (11999).</w:t>
      </w:r>
    </w:p>
    <w:p w14:paraId="38E02A35" w14:textId="77777777" w:rsidR="004B4E35" w:rsidRPr="00405303" w:rsidRDefault="004B4E35" w:rsidP="00C15251">
      <w:pPr>
        <w:jc w:val="both"/>
        <w:rPr>
          <w:bCs/>
          <w:color w:val="002060"/>
          <w:sz w:val="16"/>
          <w:szCs w:val="16"/>
        </w:rPr>
      </w:pPr>
    </w:p>
    <w:p w14:paraId="7193C587" w14:textId="77777777" w:rsidR="005458AD" w:rsidRPr="00405303" w:rsidRDefault="005458AD" w:rsidP="005458AD">
      <w:pPr>
        <w:jc w:val="both"/>
        <w:rPr>
          <w:color w:val="0070C0"/>
          <w:sz w:val="16"/>
          <w:szCs w:val="16"/>
        </w:rPr>
      </w:pPr>
      <w:r w:rsidRPr="00405303">
        <w:rPr>
          <w:color w:val="0070C0"/>
          <w:sz w:val="16"/>
          <w:szCs w:val="16"/>
        </w:rPr>
        <w:t>18 (31) июля 1915 года во время попытки немцев форсировать р. Буг в районе Влодавы пять самолетов 31-го корпусного авиационного отряда, растянувшись во фронт, атаковали скопления вражеских войск на переправе с малой высоты, используя металлические стрелы и пулеметный огонь. Эта атака с воздуха посеяла беспорядок в наступавших частях противника и обеспечила успех контратаке русских войск (25029).</w:t>
      </w:r>
    </w:p>
    <w:p w14:paraId="4D0DCF8B" w14:textId="77777777" w:rsidR="005458AD" w:rsidRPr="00405303" w:rsidRDefault="005458AD" w:rsidP="005458AD">
      <w:pPr>
        <w:jc w:val="both"/>
        <w:rPr>
          <w:color w:val="0070C0"/>
          <w:sz w:val="16"/>
          <w:szCs w:val="16"/>
        </w:rPr>
      </w:pPr>
    </w:p>
    <w:p w14:paraId="0AC016C3"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0635F2B6" w14:textId="77777777" w:rsidR="004B4E35" w:rsidRPr="00405303" w:rsidRDefault="004B4E35" w:rsidP="00C15251">
      <w:pPr>
        <w:jc w:val="both"/>
        <w:rPr>
          <w:bCs/>
          <w:i/>
          <w:color w:val="002060"/>
          <w:sz w:val="16"/>
          <w:szCs w:val="16"/>
        </w:rPr>
      </w:pPr>
    </w:p>
    <w:p w14:paraId="5EACE89D" w14:textId="5F5B25FF" w:rsidR="004B4E35" w:rsidRPr="00405303" w:rsidRDefault="009E6F82" w:rsidP="00C15251">
      <w:pPr>
        <w:jc w:val="both"/>
        <w:rPr>
          <w:bCs/>
          <w:color w:val="002060"/>
          <w:sz w:val="16"/>
          <w:szCs w:val="16"/>
        </w:rPr>
      </w:pPr>
      <w:r w:rsidRPr="00405303">
        <w:rPr>
          <w:bCs/>
          <w:color w:val="002060"/>
          <w:sz w:val="16"/>
          <w:szCs w:val="16"/>
        </w:rPr>
        <w:t xml:space="preserve">18 (31) июля 1915 г. </w:t>
      </w:r>
      <w:r w:rsidR="001050C9" w:rsidRPr="00405303">
        <w:rPr>
          <w:bCs/>
          <w:color w:val="002060"/>
          <w:sz w:val="16"/>
          <w:szCs w:val="16"/>
        </w:rPr>
        <w:t xml:space="preserve">после захвата </w:t>
      </w:r>
      <w:r w:rsidRPr="00405303">
        <w:rPr>
          <w:bCs/>
          <w:color w:val="002060"/>
          <w:sz w:val="16"/>
          <w:szCs w:val="16"/>
        </w:rPr>
        <w:t>Виндавы и выхода на побережье Ирбенского пролива, немцы перебазировали туда часть своих авиаотрядов. Линия фронта находилась юго-западнее Риги, в связи с чем как армейская, так и флотская авиация стали испытывать серьезные затруднения со снабжением (11927).</w:t>
      </w:r>
    </w:p>
    <w:p w14:paraId="2A64A73A" w14:textId="77777777" w:rsidR="004B4E35" w:rsidRPr="00405303" w:rsidRDefault="004B4E35" w:rsidP="00C15251">
      <w:pPr>
        <w:jc w:val="both"/>
        <w:rPr>
          <w:bCs/>
          <w:color w:val="002060"/>
          <w:sz w:val="16"/>
          <w:szCs w:val="16"/>
        </w:rPr>
      </w:pPr>
    </w:p>
    <w:p w14:paraId="72702DE4" w14:textId="77777777" w:rsidR="00AB602F" w:rsidRPr="00405303" w:rsidRDefault="00AB602F" w:rsidP="00C15251">
      <w:pPr>
        <w:jc w:val="both"/>
        <w:rPr>
          <w:bCs/>
          <w:i/>
          <w:color w:val="002060"/>
          <w:sz w:val="16"/>
          <w:szCs w:val="16"/>
        </w:rPr>
      </w:pPr>
      <w:r w:rsidRPr="00405303">
        <w:rPr>
          <w:bCs/>
          <w:i/>
          <w:color w:val="002060"/>
          <w:sz w:val="16"/>
          <w:szCs w:val="16"/>
        </w:rPr>
        <w:t>Армия:</w:t>
      </w:r>
    </w:p>
    <w:p w14:paraId="549D6B27" w14:textId="77777777" w:rsidR="00AB602F" w:rsidRPr="00405303" w:rsidRDefault="00AB602F" w:rsidP="00C15251">
      <w:pPr>
        <w:jc w:val="both"/>
        <w:rPr>
          <w:bCs/>
          <w:i/>
          <w:color w:val="002060"/>
          <w:sz w:val="16"/>
          <w:szCs w:val="16"/>
        </w:rPr>
      </w:pPr>
    </w:p>
    <w:p w14:paraId="3624A397" w14:textId="6B73C8C6" w:rsidR="00AB602F" w:rsidRPr="00405303" w:rsidRDefault="00AB602F" w:rsidP="00C15251">
      <w:pPr>
        <w:jc w:val="both"/>
        <w:rPr>
          <w:bCs/>
          <w:color w:val="002060"/>
          <w:sz w:val="16"/>
          <w:szCs w:val="16"/>
        </w:rPr>
      </w:pPr>
      <w:r w:rsidRPr="00405303">
        <w:rPr>
          <w:bCs/>
          <w:color w:val="002060"/>
          <w:sz w:val="16"/>
          <w:szCs w:val="16"/>
        </w:rPr>
        <w:t xml:space="preserve">18 </w:t>
      </w:r>
      <w:r w:rsidR="001050C9" w:rsidRPr="00405303">
        <w:rPr>
          <w:bCs/>
          <w:color w:val="002060"/>
          <w:sz w:val="16"/>
          <w:szCs w:val="16"/>
        </w:rPr>
        <w:t xml:space="preserve">(31) </w:t>
      </w:r>
      <w:r w:rsidRPr="00405303">
        <w:rPr>
          <w:bCs/>
          <w:color w:val="002060"/>
          <w:sz w:val="16"/>
          <w:szCs w:val="16"/>
        </w:rPr>
        <w:t>июля в 1915 году на фронтах Первой Мировой: В Польше впервые произошли сражения русской и немецкой гвардии (русская гвардия была наголову разбита) (14956).</w:t>
      </w:r>
    </w:p>
    <w:p w14:paraId="36A4AB54" w14:textId="4E750224" w:rsidR="00AB602F" w:rsidRPr="00405303" w:rsidRDefault="00AB602F" w:rsidP="00C15251">
      <w:pPr>
        <w:jc w:val="both"/>
        <w:rPr>
          <w:bCs/>
          <w:color w:val="002060"/>
          <w:sz w:val="16"/>
          <w:szCs w:val="16"/>
        </w:rPr>
      </w:pPr>
    </w:p>
    <w:p w14:paraId="4333E14A" w14:textId="697B3984" w:rsidR="00457CF8" w:rsidRPr="00405303" w:rsidRDefault="00457CF8" w:rsidP="00457CF8">
      <w:pPr>
        <w:jc w:val="both"/>
        <w:rPr>
          <w:bCs/>
          <w:i/>
          <w:color w:val="002060"/>
          <w:sz w:val="16"/>
          <w:szCs w:val="16"/>
        </w:rPr>
      </w:pPr>
      <w:r w:rsidRPr="00405303">
        <w:rPr>
          <w:bCs/>
          <w:i/>
          <w:color w:val="002060"/>
          <w:sz w:val="16"/>
          <w:szCs w:val="16"/>
        </w:rPr>
        <w:t>А</w:t>
      </w:r>
      <w:r>
        <w:rPr>
          <w:bCs/>
          <w:i/>
          <w:color w:val="002060"/>
          <w:sz w:val="16"/>
          <w:szCs w:val="16"/>
        </w:rPr>
        <w:t>виация и воздухоплавание Англии</w:t>
      </w:r>
      <w:r w:rsidRPr="00405303">
        <w:rPr>
          <w:bCs/>
          <w:i/>
          <w:color w:val="002060"/>
          <w:sz w:val="16"/>
          <w:szCs w:val="16"/>
        </w:rPr>
        <w:t>:</w:t>
      </w:r>
    </w:p>
    <w:p w14:paraId="3856B00C" w14:textId="77777777" w:rsidR="00457CF8" w:rsidRPr="00405303" w:rsidRDefault="00457CF8" w:rsidP="00457CF8">
      <w:pPr>
        <w:jc w:val="both"/>
        <w:rPr>
          <w:bCs/>
          <w:i/>
          <w:color w:val="002060"/>
          <w:sz w:val="16"/>
          <w:szCs w:val="16"/>
        </w:rPr>
      </w:pPr>
    </w:p>
    <w:p w14:paraId="01FFA89F" w14:textId="77777777" w:rsidR="00457CF8" w:rsidRPr="00CF03EC" w:rsidRDefault="00457CF8" w:rsidP="00457CF8">
      <w:pPr>
        <w:jc w:val="both"/>
        <w:rPr>
          <w:color w:val="0070C0"/>
          <w:sz w:val="16"/>
          <w:szCs w:val="16"/>
        </w:rPr>
      </w:pPr>
      <w:r w:rsidRPr="00CF03EC">
        <w:rPr>
          <w:color w:val="0070C0"/>
          <w:sz w:val="16"/>
          <w:szCs w:val="16"/>
        </w:rPr>
        <w:t>18 июля (1 августа) 1915 г. рассвете бипланы RAF B.E.2c английской 2-й эскадрильи пошли разбомбить аэродром Дуэ, где по данным разведки «сидел» полевой авиаотряд FFA 62, вооруженный истребителями. Их обнаружили на подходе и на перехват взлетели Освальд Бёльке на Фоккере M.5K/MG с номером E.3/15 и Макс Иммельман – его однотипный самолет имел номер E.13/15. Первым атаковал Бёльке, но его пулемет отказал, зато Иммельман после десятиминутного боя, расстреляв 450 патронов, сбил одного. Это оказалось очень непросто и может удалось лишь из-за того, что, желая взять больше бомб, пилот этого B.E.2cоставил дома своего летнаба с пулеметом. Он пытался отстреливаться из пистолета, но конец дуэли оказался закономерен. Англичанин получил пулю в руку и дальше управлять самолетом не смог. Налет сорвался (25772).</w:t>
      </w:r>
    </w:p>
    <w:p w14:paraId="47F498E7" w14:textId="77777777" w:rsidR="00457CF8" w:rsidRPr="00CF03EC" w:rsidRDefault="00457CF8" w:rsidP="00457CF8">
      <w:pPr>
        <w:jc w:val="both"/>
        <w:rPr>
          <w:color w:val="0070C0"/>
          <w:sz w:val="16"/>
          <w:szCs w:val="16"/>
        </w:rPr>
      </w:pPr>
    </w:p>
    <w:p w14:paraId="6B4DD2A4" w14:textId="55823D6A" w:rsidR="003556A0" w:rsidRPr="00405303" w:rsidRDefault="003556A0" w:rsidP="00C15251">
      <w:pPr>
        <w:jc w:val="both"/>
        <w:rPr>
          <w:bCs/>
          <w:i/>
          <w:iCs/>
          <w:color w:val="002060"/>
          <w:sz w:val="16"/>
          <w:szCs w:val="16"/>
        </w:rPr>
      </w:pPr>
      <w:r w:rsidRPr="00405303">
        <w:rPr>
          <w:bCs/>
          <w:i/>
          <w:iCs/>
          <w:color w:val="002060"/>
          <w:sz w:val="16"/>
          <w:szCs w:val="16"/>
        </w:rPr>
        <w:t>Самолетостроение:</w:t>
      </w:r>
    </w:p>
    <w:p w14:paraId="69ECC3D3" w14:textId="77777777" w:rsidR="003556A0" w:rsidRPr="00405303" w:rsidRDefault="003556A0" w:rsidP="00C15251">
      <w:pPr>
        <w:jc w:val="both"/>
        <w:rPr>
          <w:bCs/>
          <w:i/>
          <w:iCs/>
          <w:color w:val="002060"/>
          <w:sz w:val="16"/>
          <w:szCs w:val="16"/>
        </w:rPr>
      </w:pPr>
    </w:p>
    <w:p w14:paraId="3B2154F6" w14:textId="22DEBAB3" w:rsidR="003556A0" w:rsidRPr="00405303" w:rsidRDefault="003556A0" w:rsidP="00C15251">
      <w:pPr>
        <w:jc w:val="both"/>
        <w:rPr>
          <w:bCs/>
          <w:color w:val="002060"/>
          <w:sz w:val="16"/>
          <w:szCs w:val="16"/>
        </w:rPr>
      </w:pPr>
      <w:r w:rsidRPr="00405303">
        <w:rPr>
          <w:bCs/>
          <w:color w:val="002060"/>
          <w:sz w:val="16"/>
          <w:szCs w:val="16"/>
        </w:rPr>
        <w:t>19 июля (1 августа) 1915 г. экипаж решил снять с самолета несколько пулеметов, чтобы увеличить бомбовую загрузку. Три из четырех пулеметов были удалены, оставив самолет вооруженным только скорострельным пулеметом Мадсена и одним карабином. Во время этой миссии три немецких самолета типа Бранденбург атаковали ИМ-Киевский над городом Шебржешин, который находился в 48 км от линии фронта и к югу от железнодорожной линии Краснстав-Холм.</w:t>
      </w:r>
    </w:p>
    <w:p w14:paraId="08C53D02" w14:textId="77777777" w:rsidR="003556A0" w:rsidRPr="00405303" w:rsidRDefault="003556A0" w:rsidP="00C15251">
      <w:pPr>
        <w:jc w:val="both"/>
        <w:rPr>
          <w:bCs/>
          <w:color w:val="002060"/>
          <w:sz w:val="16"/>
          <w:szCs w:val="16"/>
        </w:rPr>
      </w:pPr>
      <w:r w:rsidRPr="00405303">
        <w:rPr>
          <w:bCs/>
          <w:color w:val="002060"/>
          <w:sz w:val="16"/>
          <w:szCs w:val="16"/>
        </w:rPr>
        <w:t>Один из вражеских истребителей, пользуясь своей более высокой скоростью, прошел незамеченный под воздушным кораблем, резко развернулся и зашел в лоб Илье Муромцу, открыв огонь из пулеметов с близкого расстояния. Экипаж ИМ-Киевского ясно видел лицо пилота и наблюдателя в приближающемся вражеском самолете. ИМ-Киевский также открыл огонь, заставив вражеского пилота направить свою машину вниз и свалиться в штопор. Два других вражеских истребителя, идя параллельно ИМ-Киевскому, но на значительном расстоянии от него, продолжали вести огнь, хотя без всякого результата.</w:t>
      </w:r>
    </w:p>
    <w:p w14:paraId="11C22ED3" w14:textId="77777777" w:rsidR="003556A0" w:rsidRPr="00405303" w:rsidRDefault="003556A0" w:rsidP="00C15251">
      <w:pPr>
        <w:jc w:val="both"/>
        <w:rPr>
          <w:bCs/>
          <w:color w:val="002060"/>
          <w:sz w:val="16"/>
          <w:szCs w:val="16"/>
        </w:rPr>
      </w:pPr>
      <w:r w:rsidRPr="00405303">
        <w:rPr>
          <w:bCs/>
          <w:color w:val="002060"/>
          <w:sz w:val="16"/>
          <w:szCs w:val="16"/>
        </w:rPr>
        <w:t>Во время этого воздушного боя в ИМ-Киевский попало 60 пуль, которые пробили масляные баки, радиаторы и баки с бензином и разбили стекла в кабине. Два двигателя на одной стороне вышли из строя. Командир корабля, лейтенант Башко получил ранения в голову и ногу. Тем не менее, ему удалось направить воздушный корабль в сторону наших окопов, затем произвести мягкую посадку на сырую взлетную полосу 24 авиационной эскадрильи, находящейся под командованием военного пилота капитана Милько. Два оставшихся в рабочем состоянии двигателя ИМ-Киевский остановились над самым аэродромом.</w:t>
      </w:r>
    </w:p>
    <w:p w14:paraId="618B17DC" w14:textId="77777777" w:rsidR="003556A0" w:rsidRPr="00405303" w:rsidRDefault="003556A0" w:rsidP="00C15251">
      <w:pPr>
        <w:jc w:val="both"/>
        <w:rPr>
          <w:bCs/>
          <w:color w:val="002060"/>
          <w:sz w:val="16"/>
          <w:szCs w:val="16"/>
        </w:rPr>
      </w:pPr>
      <w:r w:rsidRPr="00405303">
        <w:rPr>
          <w:bCs/>
          <w:color w:val="002060"/>
          <w:sz w:val="16"/>
          <w:szCs w:val="16"/>
        </w:rPr>
        <w:t>Это была первая посадка Ильи Муромца с неработающими двигателями. До тех пор это считалось невозможным или как минимум, чрезвычайно опасным делом. Во время посадки колеса ИМ-Киевского завязли в мягкой почве, левая сторона шасси оторвалась. Это вызвало повреждения четырех стоек и пропеллера второго двигателя, а также других ребер и стоек. Для починки этих повреждений понадобился один день (23470).</w:t>
      </w:r>
    </w:p>
    <w:p w14:paraId="301F5081" w14:textId="77777777" w:rsidR="003556A0" w:rsidRPr="00405303" w:rsidRDefault="003556A0" w:rsidP="00C15251">
      <w:pPr>
        <w:jc w:val="both"/>
        <w:rPr>
          <w:bCs/>
          <w:color w:val="002060"/>
          <w:sz w:val="16"/>
          <w:szCs w:val="16"/>
        </w:rPr>
      </w:pPr>
    </w:p>
    <w:p w14:paraId="79E0099F" w14:textId="2396C413" w:rsidR="00072940" w:rsidRPr="00405303" w:rsidRDefault="00072940" w:rsidP="00C15251">
      <w:pPr>
        <w:jc w:val="both"/>
        <w:rPr>
          <w:bCs/>
          <w:i/>
          <w:iCs/>
          <w:color w:val="002060"/>
          <w:sz w:val="16"/>
          <w:szCs w:val="16"/>
        </w:rPr>
      </w:pPr>
      <w:r w:rsidRPr="00405303">
        <w:rPr>
          <w:bCs/>
          <w:i/>
          <w:iCs/>
          <w:color w:val="002060"/>
          <w:sz w:val="16"/>
          <w:szCs w:val="16"/>
        </w:rPr>
        <w:t>Другие оборонные отрасли:</w:t>
      </w:r>
    </w:p>
    <w:p w14:paraId="3F1FBA14" w14:textId="77777777" w:rsidR="00072940" w:rsidRPr="00405303" w:rsidRDefault="00072940" w:rsidP="00C15251">
      <w:pPr>
        <w:jc w:val="both"/>
        <w:rPr>
          <w:bCs/>
          <w:i/>
          <w:iCs/>
          <w:color w:val="002060"/>
          <w:sz w:val="16"/>
          <w:szCs w:val="16"/>
        </w:rPr>
      </w:pPr>
    </w:p>
    <w:p w14:paraId="6DABCC87" w14:textId="0CB19EA1" w:rsidR="00072940" w:rsidRPr="00405303" w:rsidRDefault="00072940" w:rsidP="00C15251">
      <w:pPr>
        <w:jc w:val="both"/>
        <w:rPr>
          <w:bCs/>
          <w:color w:val="002060"/>
          <w:sz w:val="16"/>
          <w:szCs w:val="16"/>
        </w:rPr>
      </w:pPr>
      <w:r w:rsidRPr="00405303">
        <w:rPr>
          <w:bCs/>
          <w:color w:val="002060"/>
          <w:sz w:val="16"/>
          <w:szCs w:val="16"/>
        </w:rPr>
        <w:t>19 июля (1 августа) 1915 г.</w:t>
      </w:r>
    </w:p>
    <w:p w14:paraId="72D2524C" w14:textId="77777777" w:rsidR="00072940" w:rsidRPr="00405303" w:rsidRDefault="00072940" w:rsidP="00C15251">
      <w:pPr>
        <w:jc w:val="both"/>
        <w:rPr>
          <w:bCs/>
          <w:color w:val="002060"/>
          <w:sz w:val="16"/>
          <w:szCs w:val="16"/>
        </w:rPr>
      </w:pPr>
      <w:r w:rsidRPr="00405303">
        <w:rPr>
          <w:bCs/>
          <w:color w:val="002060"/>
          <w:sz w:val="16"/>
          <w:szCs w:val="16"/>
        </w:rPr>
        <w:t>ОБ УЧРЕЖДЕНИИ ГЛАВНОГО УПРАВЛЕНИЯ ПО СНАБЖЕНИЮ АРМИИ</w:t>
      </w:r>
    </w:p>
    <w:p w14:paraId="09AC262C" w14:textId="47F86F1A" w:rsidR="00072940" w:rsidRPr="00405303" w:rsidRDefault="00072940" w:rsidP="00C15251">
      <w:pPr>
        <w:jc w:val="both"/>
        <w:rPr>
          <w:bCs/>
          <w:color w:val="002060"/>
          <w:sz w:val="16"/>
          <w:szCs w:val="16"/>
        </w:rPr>
      </w:pPr>
      <w:r w:rsidRPr="00405303">
        <w:rPr>
          <w:bCs/>
          <w:color w:val="002060"/>
          <w:sz w:val="16"/>
          <w:szCs w:val="16"/>
        </w:rPr>
        <w:t>I.</w:t>
      </w:r>
      <w:r w:rsidR="000F5756">
        <w:rPr>
          <w:bCs/>
          <w:color w:val="002060"/>
          <w:sz w:val="16"/>
          <w:szCs w:val="16"/>
        </w:rPr>
        <w:t xml:space="preserve"> </w:t>
      </w:r>
      <w:r w:rsidRPr="00405303">
        <w:rPr>
          <w:bCs/>
          <w:color w:val="002060"/>
          <w:sz w:val="16"/>
          <w:szCs w:val="16"/>
        </w:rPr>
        <w:t>Для объединения всех мероприятий по обеспечению действующей армии и флота предметами боевого и материального снабжения учреждается на время текущей войны Главное управления по снабжению армии.</w:t>
      </w:r>
    </w:p>
    <w:p w14:paraId="2C412381" w14:textId="29BD09DD" w:rsidR="00072940" w:rsidRPr="00405303" w:rsidRDefault="00072940" w:rsidP="00C15251">
      <w:pPr>
        <w:jc w:val="both"/>
        <w:rPr>
          <w:bCs/>
          <w:color w:val="002060"/>
          <w:sz w:val="16"/>
          <w:szCs w:val="16"/>
        </w:rPr>
      </w:pPr>
      <w:r w:rsidRPr="00405303">
        <w:rPr>
          <w:bCs/>
          <w:color w:val="002060"/>
          <w:sz w:val="16"/>
          <w:szCs w:val="16"/>
        </w:rPr>
        <w:t>II.</w:t>
      </w:r>
      <w:r w:rsidR="000F5756">
        <w:rPr>
          <w:bCs/>
          <w:color w:val="002060"/>
          <w:sz w:val="16"/>
          <w:szCs w:val="16"/>
        </w:rPr>
        <w:t xml:space="preserve"> </w:t>
      </w:r>
      <w:r w:rsidRPr="00405303">
        <w:rPr>
          <w:bCs/>
          <w:color w:val="002060"/>
          <w:sz w:val="16"/>
          <w:szCs w:val="16"/>
        </w:rPr>
        <w:t>Главное управление по снабжению армии состоит в заведовании особого главноуправляющего, входящего в состав Совета министров на равных правах с членами сего Совета и имеющего право особого доклада Государю.</w:t>
      </w:r>
    </w:p>
    <w:p w14:paraId="59FBC435" w14:textId="77777777" w:rsidR="00072940" w:rsidRPr="00405303" w:rsidRDefault="00072940" w:rsidP="00C15251">
      <w:pPr>
        <w:jc w:val="both"/>
        <w:rPr>
          <w:bCs/>
          <w:color w:val="002060"/>
          <w:sz w:val="16"/>
          <w:szCs w:val="16"/>
        </w:rPr>
      </w:pPr>
      <w:r w:rsidRPr="00405303">
        <w:rPr>
          <w:bCs/>
          <w:color w:val="002060"/>
          <w:sz w:val="16"/>
          <w:szCs w:val="16"/>
        </w:rPr>
        <w:t>III. В помощь главноуправляющему учреждаются:</w:t>
      </w:r>
    </w:p>
    <w:p w14:paraId="2AA315DF" w14:textId="689832E7" w:rsidR="00072940" w:rsidRPr="00405303" w:rsidRDefault="00072940" w:rsidP="00C15251">
      <w:pPr>
        <w:jc w:val="both"/>
        <w:rPr>
          <w:bCs/>
          <w:color w:val="002060"/>
          <w:sz w:val="16"/>
          <w:szCs w:val="16"/>
        </w:rPr>
      </w:pPr>
      <w:proofErr w:type="gramStart"/>
      <w:r w:rsidRPr="00405303">
        <w:rPr>
          <w:bCs/>
          <w:color w:val="002060"/>
          <w:sz w:val="16"/>
          <w:szCs w:val="16"/>
        </w:rPr>
        <w:t>а)</w:t>
      </w:r>
      <w:r w:rsidR="000F5756">
        <w:rPr>
          <w:bCs/>
          <w:color w:val="002060"/>
          <w:sz w:val="16"/>
          <w:szCs w:val="16"/>
        </w:rPr>
        <w:t xml:space="preserve">  </w:t>
      </w:r>
      <w:r w:rsidRPr="00405303">
        <w:rPr>
          <w:bCs/>
          <w:color w:val="002060"/>
          <w:sz w:val="16"/>
          <w:szCs w:val="16"/>
        </w:rPr>
        <w:t>должность</w:t>
      </w:r>
      <w:proofErr w:type="gramEnd"/>
      <w:r w:rsidRPr="00405303">
        <w:rPr>
          <w:bCs/>
          <w:color w:val="002060"/>
          <w:sz w:val="16"/>
          <w:szCs w:val="16"/>
        </w:rPr>
        <w:t xml:space="preserve"> товарища главноуправляющего, имеющего общие права и обязанности, предоставляемые должностям товарищей министра, и </w:t>
      </w:r>
    </w:p>
    <w:p w14:paraId="4D8AE613" w14:textId="0A78FAE2" w:rsidR="00072940" w:rsidRPr="00405303" w:rsidRDefault="00072940" w:rsidP="00C15251">
      <w:pPr>
        <w:jc w:val="both"/>
        <w:rPr>
          <w:bCs/>
          <w:color w:val="002060"/>
          <w:sz w:val="16"/>
          <w:szCs w:val="16"/>
        </w:rPr>
      </w:pPr>
      <w:r w:rsidRPr="00405303">
        <w:rPr>
          <w:bCs/>
          <w:color w:val="002060"/>
          <w:sz w:val="16"/>
          <w:szCs w:val="16"/>
        </w:rPr>
        <w:t xml:space="preserve"> </w:t>
      </w:r>
      <w:proofErr w:type="gramStart"/>
      <w:r w:rsidRPr="00405303">
        <w:rPr>
          <w:bCs/>
          <w:color w:val="002060"/>
          <w:sz w:val="16"/>
          <w:szCs w:val="16"/>
        </w:rPr>
        <w:t>б)</w:t>
      </w:r>
      <w:r w:rsidR="000F5756">
        <w:rPr>
          <w:bCs/>
          <w:color w:val="002060"/>
          <w:sz w:val="16"/>
          <w:szCs w:val="16"/>
        </w:rPr>
        <w:t xml:space="preserve">  </w:t>
      </w:r>
      <w:r w:rsidRPr="00405303">
        <w:rPr>
          <w:bCs/>
          <w:color w:val="002060"/>
          <w:sz w:val="16"/>
          <w:szCs w:val="16"/>
        </w:rPr>
        <w:t>совет</w:t>
      </w:r>
      <w:proofErr w:type="gramEnd"/>
      <w:r w:rsidRPr="00405303">
        <w:rPr>
          <w:bCs/>
          <w:color w:val="002060"/>
          <w:sz w:val="16"/>
          <w:szCs w:val="16"/>
        </w:rPr>
        <w:t xml:space="preserve"> при главноуправляющем. В состав совета входят: выборные представители Всероссийского Земского союза, Всероссийского Городского союза, представители специалистов-техников по выбору высших технических заведений, представители Центрального военно-промышленного комитета и представители больничных рабочих касс.</w:t>
      </w:r>
    </w:p>
    <w:p w14:paraId="64A94D7A" w14:textId="23A6EDF0" w:rsidR="00072940" w:rsidRPr="00405303" w:rsidRDefault="00072940" w:rsidP="00C15251">
      <w:pPr>
        <w:jc w:val="both"/>
        <w:rPr>
          <w:bCs/>
          <w:color w:val="002060"/>
          <w:sz w:val="16"/>
          <w:szCs w:val="16"/>
        </w:rPr>
      </w:pPr>
      <w:r w:rsidRPr="00405303">
        <w:rPr>
          <w:bCs/>
          <w:color w:val="002060"/>
          <w:sz w:val="16"/>
          <w:szCs w:val="16"/>
        </w:rPr>
        <w:t>IV.</w:t>
      </w:r>
      <w:r w:rsidR="000F5756">
        <w:rPr>
          <w:bCs/>
          <w:color w:val="002060"/>
          <w:sz w:val="16"/>
          <w:szCs w:val="16"/>
        </w:rPr>
        <w:t xml:space="preserve">  </w:t>
      </w:r>
      <w:r w:rsidRPr="00405303">
        <w:rPr>
          <w:bCs/>
          <w:color w:val="002060"/>
          <w:sz w:val="16"/>
          <w:szCs w:val="16"/>
        </w:rPr>
        <w:t>Должность главноуправляющего и его товарища совместимы со званием члена Государственной думы и члена Государственного совета.</w:t>
      </w:r>
    </w:p>
    <w:p w14:paraId="4E0E34B6" w14:textId="43DF7982" w:rsidR="00072940" w:rsidRPr="00405303" w:rsidRDefault="00072940" w:rsidP="00C15251">
      <w:pPr>
        <w:jc w:val="both"/>
        <w:rPr>
          <w:bCs/>
          <w:color w:val="002060"/>
          <w:sz w:val="16"/>
          <w:szCs w:val="16"/>
        </w:rPr>
      </w:pPr>
      <w:r w:rsidRPr="00405303">
        <w:rPr>
          <w:bCs/>
          <w:color w:val="002060"/>
          <w:sz w:val="16"/>
          <w:szCs w:val="16"/>
        </w:rPr>
        <w:t>V.</w:t>
      </w:r>
      <w:r w:rsidR="000F5756">
        <w:rPr>
          <w:bCs/>
          <w:color w:val="002060"/>
          <w:sz w:val="16"/>
          <w:szCs w:val="16"/>
        </w:rPr>
        <w:t xml:space="preserve"> </w:t>
      </w:r>
      <w:r w:rsidRPr="00405303">
        <w:rPr>
          <w:bCs/>
          <w:color w:val="002060"/>
          <w:sz w:val="16"/>
          <w:szCs w:val="16"/>
        </w:rPr>
        <w:t xml:space="preserve"> Все требования по снабжению армии и флота боевыми и материальными припасами (кроме продовольствия и фуража) передаются Военным и Морским министерством в Главное управление по снабжению армии для исполнения и распределения их как между военно-промышленными комитетами, отдельными отечественными промышленными предприятиями и общественными союзами, так и между иностранными предприятиями.</w:t>
      </w:r>
    </w:p>
    <w:p w14:paraId="1208F978" w14:textId="77777777" w:rsidR="00072940" w:rsidRPr="00405303" w:rsidRDefault="00072940" w:rsidP="00C15251">
      <w:pPr>
        <w:jc w:val="both"/>
        <w:rPr>
          <w:bCs/>
          <w:color w:val="002060"/>
          <w:sz w:val="16"/>
          <w:szCs w:val="16"/>
        </w:rPr>
      </w:pPr>
      <w:r w:rsidRPr="00405303">
        <w:rPr>
          <w:bCs/>
          <w:color w:val="002060"/>
          <w:sz w:val="16"/>
          <w:szCs w:val="16"/>
        </w:rPr>
        <w:t>VII. Главноуправляющему предоставляется право:</w:t>
      </w:r>
    </w:p>
    <w:p w14:paraId="7D5731C7" w14:textId="30BAD9CE" w:rsidR="00072940" w:rsidRPr="00405303" w:rsidRDefault="00072940" w:rsidP="00C15251">
      <w:pPr>
        <w:jc w:val="both"/>
        <w:rPr>
          <w:bCs/>
          <w:color w:val="002060"/>
          <w:sz w:val="16"/>
          <w:szCs w:val="16"/>
        </w:rPr>
      </w:pPr>
      <w:proofErr w:type="gramStart"/>
      <w:r w:rsidRPr="00405303">
        <w:rPr>
          <w:bCs/>
          <w:color w:val="002060"/>
          <w:sz w:val="16"/>
          <w:szCs w:val="16"/>
        </w:rPr>
        <w:t>а)</w:t>
      </w:r>
      <w:r w:rsidR="000F5756">
        <w:rPr>
          <w:bCs/>
          <w:color w:val="002060"/>
          <w:sz w:val="16"/>
          <w:szCs w:val="16"/>
        </w:rPr>
        <w:t xml:space="preserve">  </w:t>
      </w:r>
      <w:r w:rsidRPr="00405303">
        <w:rPr>
          <w:bCs/>
          <w:color w:val="002060"/>
          <w:sz w:val="16"/>
          <w:szCs w:val="16"/>
        </w:rPr>
        <w:t>требовать</w:t>
      </w:r>
      <w:proofErr w:type="gramEnd"/>
      <w:r w:rsidRPr="00405303">
        <w:rPr>
          <w:bCs/>
          <w:color w:val="002060"/>
          <w:sz w:val="16"/>
          <w:szCs w:val="16"/>
        </w:rPr>
        <w:t xml:space="preserve"> от всех правительственных учреждений и должностных лиц содействия к выполнению возложенной на Главное управление задачи;</w:t>
      </w:r>
    </w:p>
    <w:p w14:paraId="151DA08C" w14:textId="46172E65" w:rsidR="00072940" w:rsidRPr="00405303" w:rsidRDefault="00072940" w:rsidP="00C15251">
      <w:pPr>
        <w:jc w:val="both"/>
        <w:rPr>
          <w:bCs/>
          <w:color w:val="002060"/>
          <w:sz w:val="16"/>
          <w:szCs w:val="16"/>
        </w:rPr>
      </w:pPr>
      <w:proofErr w:type="gramStart"/>
      <w:r w:rsidRPr="00405303">
        <w:rPr>
          <w:bCs/>
          <w:color w:val="002060"/>
          <w:sz w:val="16"/>
          <w:szCs w:val="16"/>
        </w:rPr>
        <w:t>б)</w:t>
      </w:r>
      <w:r w:rsidR="000F5756">
        <w:rPr>
          <w:bCs/>
          <w:color w:val="002060"/>
          <w:sz w:val="16"/>
          <w:szCs w:val="16"/>
        </w:rPr>
        <w:t xml:space="preserve">  </w:t>
      </w:r>
      <w:r w:rsidRPr="00405303">
        <w:rPr>
          <w:bCs/>
          <w:color w:val="002060"/>
          <w:sz w:val="16"/>
          <w:szCs w:val="16"/>
        </w:rPr>
        <w:t>требовать</w:t>
      </w:r>
      <w:proofErr w:type="gramEnd"/>
      <w:r w:rsidRPr="00405303">
        <w:rPr>
          <w:bCs/>
          <w:color w:val="002060"/>
          <w:sz w:val="16"/>
          <w:szCs w:val="16"/>
        </w:rPr>
        <w:t xml:space="preserve"> от предприятий, принадлежащих частным лицам, обществам, товариществам или казенным учреждениям (заводам), принятия и исполнения заказов преимущественно перед всеми прочими заказами, даже ранее поступившими;</w:t>
      </w:r>
    </w:p>
    <w:p w14:paraId="2CA4DB13" w14:textId="163A7071" w:rsidR="00072940" w:rsidRPr="00405303" w:rsidRDefault="00072940" w:rsidP="00C15251">
      <w:pPr>
        <w:jc w:val="both"/>
        <w:rPr>
          <w:bCs/>
          <w:color w:val="002060"/>
          <w:sz w:val="16"/>
          <w:szCs w:val="16"/>
        </w:rPr>
      </w:pPr>
      <w:proofErr w:type="gramStart"/>
      <w:r w:rsidRPr="00405303">
        <w:rPr>
          <w:bCs/>
          <w:color w:val="002060"/>
          <w:sz w:val="16"/>
          <w:szCs w:val="16"/>
        </w:rPr>
        <w:t>в)</w:t>
      </w:r>
      <w:r w:rsidR="000F5756">
        <w:rPr>
          <w:bCs/>
          <w:color w:val="002060"/>
          <w:sz w:val="16"/>
          <w:szCs w:val="16"/>
        </w:rPr>
        <w:t xml:space="preserve">  </w:t>
      </w:r>
      <w:r w:rsidRPr="00405303">
        <w:rPr>
          <w:bCs/>
          <w:color w:val="002060"/>
          <w:sz w:val="16"/>
          <w:szCs w:val="16"/>
        </w:rPr>
        <w:t xml:space="preserve"> </w:t>
      </w:r>
      <w:proofErr w:type="gramEnd"/>
      <w:r w:rsidRPr="00405303">
        <w:rPr>
          <w:bCs/>
          <w:color w:val="002060"/>
          <w:sz w:val="16"/>
          <w:szCs w:val="16"/>
        </w:rPr>
        <w:t>требовать сообщения всех необходимых сведений, относящихся до деятельности предприятий;</w:t>
      </w:r>
    </w:p>
    <w:p w14:paraId="4B7534EE" w14:textId="05855F92" w:rsidR="00072940" w:rsidRPr="00405303" w:rsidRDefault="00072940" w:rsidP="00C15251">
      <w:pPr>
        <w:jc w:val="both"/>
        <w:rPr>
          <w:bCs/>
          <w:color w:val="002060"/>
          <w:sz w:val="16"/>
          <w:szCs w:val="16"/>
        </w:rPr>
      </w:pPr>
      <w:proofErr w:type="gramStart"/>
      <w:r w:rsidRPr="00405303">
        <w:rPr>
          <w:bCs/>
          <w:color w:val="002060"/>
          <w:sz w:val="16"/>
          <w:szCs w:val="16"/>
        </w:rPr>
        <w:t>г)</w:t>
      </w:r>
      <w:r w:rsidR="000F5756">
        <w:rPr>
          <w:bCs/>
          <w:color w:val="002060"/>
          <w:sz w:val="16"/>
          <w:szCs w:val="16"/>
        </w:rPr>
        <w:t xml:space="preserve"> </w:t>
      </w:r>
      <w:r w:rsidRPr="00405303">
        <w:rPr>
          <w:bCs/>
          <w:color w:val="002060"/>
          <w:sz w:val="16"/>
          <w:szCs w:val="16"/>
        </w:rPr>
        <w:t xml:space="preserve"> требовать</w:t>
      </w:r>
      <w:proofErr w:type="gramEnd"/>
      <w:r w:rsidRPr="00405303">
        <w:rPr>
          <w:bCs/>
          <w:color w:val="002060"/>
          <w:sz w:val="16"/>
          <w:szCs w:val="16"/>
        </w:rPr>
        <w:t xml:space="preserve"> изменения характера и объема производства предприятий с выдачей в необходимых случаях соответствующих ссуд и авансов от казны;</w:t>
      </w:r>
    </w:p>
    <w:p w14:paraId="6A7C5DCF" w14:textId="701E483C" w:rsidR="00072940" w:rsidRPr="00405303" w:rsidRDefault="00072940" w:rsidP="00C15251">
      <w:pPr>
        <w:jc w:val="both"/>
        <w:rPr>
          <w:bCs/>
          <w:color w:val="002060"/>
          <w:sz w:val="16"/>
          <w:szCs w:val="16"/>
        </w:rPr>
      </w:pPr>
      <w:proofErr w:type="gramStart"/>
      <w:r w:rsidRPr="00405303">
        <w:rPr>
          <w:bCs/>
          <w:color w:val="002060"/>
          <w:sz w:val="16"/>
          <w:szCs w:val="16"/>
        </w:rPr>
        <w:t>д)</w:t>
      </w:r>
      <w:r w:rsidR="000F5756">
        <w:rPr>
          <w:bCs/>
          <w:color w:val="002060"/>
          <w:sz w:val="16"/>
          <w:szCs w:val="16"/>
        </w:rPr>
        <w:t xml:space="preserve">  </w:t>
      </w:r>
      <w:r w:rsidRPr="00405303">
        <w:rPr>
          <w:bCs/>
          <w:color w:val="002060"/>
          <w:sz w:val="16"/>
          <w:szCs w:val="16"/>
        </w:rPr>
        <w:t xml:space="preserve"> </w:t>
      </w:r>
      <w:proofErr w:type="gramEnd"/>
      <w:r w:rsidRPr="00405303">
        <w:rPr>
          <w:bCs/>
          <w:color w:val="002060"/>
          <w:sz w:val="16"/>
          <w:szCs w:val="16"/>
        </w:rPr>
        <w:t>наблюдать за выполнением заказов и контролировать своевременность и доброкачественность исполнения принятых предприятием заказов или поручений. Право это осуществляется как лично самим главноуправляющим, так и через особо уполномоченных им лиц;</w:t>
      </w:r>
    </w:p>
    <w:p w14:paraId="4027B5C0" w14:textId="503C84B7" w:rsidR="00072940" w:rsidRPr="00405303" w:rsidRDefault="00072940" w:rsidP="00C15251">
      <w:pPr>
        <w:jc w:val="both"/>
        <w:rPr>
          <w:bCs/>
          <w:color w:val="002060"/>
          <w:sz w:val="16"/>
          <w:szCs w:val="16"/>
        </w:rPr>
      </w:pPr>
      <w:proofErr w:type="gramStart"/>
      <w:r w:rsidRPr="00405303">
        <w:rPr>
          <w:bCs/>
          <w:color w:val="002060"/>
          <w:sz w:val="16"/>
          <w:szCs w:val="16"/>
        </w:rPr>
        <w:t>е)</w:t>
      </w:r>
      <w:r w:rsidR="000F5756">
        <w:rPr>
          <w:bCs/>
          <w:color w:val="002060"/>
          <w:sz w:val="16"/>
          <w:szCs w:val="16"/>
        </w:rPr>
        <w:t xml:space="preserve"> </w:t>
      </w:r>
      <w:r w:rsidRPr="00405303">
        <w:rPr>
          <w:bCs/>
          <w:color w:val="002060"/>
          <w:sz w:val="16"/>
          <w:szCs w:val="16"/>
        </w:rPr>
        <w:t xml:space="preserve"> принимать</w:t>
      </w:r>
      <w:proofErr w:type="gramEnd"/>
      <w:r w:rsidRPr="00405303">
        <w:rPr>
          <w:bCs/>
          <w:color w:val="002060"/>
          <w:sz w:val="16"/>
          <w:szCs w:val="16"/>
        </w:rPr>
        <w:t xml:space="preserve"> во временное заведование и распоряжение Главного управления все частные предприятия, производящие или могущие производить необходимые для снабжения армии и флота предметы, в случае надобности применяя меру эту вследствие уклонения или отказа владельцев предприятий подчиняться указаниям Главного управления, а также в случае неуспешности исполнения порученных им заказов.</w:t>
      </w:r>
    </w:p>
    <w:p w14:paraId="4E7461A3" w14:textId="1D1BC1B2" w:rsidR="00072940" w:rsidRPr="00405303" w:rsidRDefault="00072940" w:rsidP="00C15251">
      <w:pPr>
        <w:jc w:val="both"/>
        <w:rPr>
          <w:bCs/>
          <w:color w:val="002060"/>
          <w:sz w:val="16"/>
          <w:szCs w:val="16"/>
        </w:rPr>
      </w:pPr>
      <w:proofErr w:type="gramStart"/>
      <w:r w:rsidRPr="00405303">
        <w:rPr>
          <w:bCs/>
          <w:color w:val="002060"/>
          <w:sz w:val="16"/>
          <w:szCs w:val="16"/>
        </w:rPr>
        <w:t>ж)</w:t>
      </w:r>
      <w:r w:rsidR="000F5756">
        <w:rPr>
          <w:bCs/>
          <w:color w:val="002060"/>
          <w:sz w:val="16"/>
          <w:szCs w:val="16"/>
        </w:rPr>
        <w:t xml:space="preserve"> </w:t>
      </w:r>
      <w:r w:rsidRPr="00405303">
        <w:rPr>
          <w:bCs/>
          <w:color w:val="002060"/>
          <w:sz w:val="16"/>
          <w:szCs w:val="16"/>
        </w:rPr>
        <w:t xml:space="preserve"> устранять</w:t>
      </w:r>
      <w:proofErr w:type="gramEnd"/>
      <w:r w:rsidRPr="00405303">
        <w:rPr>
          <w:bCs/>
          <w:color w:val="002060"/>
          <w:sz w:val="16"/>
          <w:szCs w:val="16"/>
        </w:rPr>
        <w:t xml:space="preserve"> в необходимых случаях от службы членов правления, директоров и управляющих как казенных, так и частных заводов, изготовляющих предметы для армии и флота, с возложением их обязанности на назначенных лиц;</w:t>
      </w:r>
    </w:p>
    <w:p w14:paraId="61D290B7" w14:textId="0487F369" w:rsidR="00072940" w:rsidRPr="00405303" w:rsidRDefault="00072940" w:rsidP="00C15251">
      <w:pPr>
        <w:jc w:val="both"/>
        <w:rPr>
          <w:bCs/>
          <w:color w:val="002060"/>
          <w:sz w:val="16"/>
          <w:szCs w:val="16"/>
        </w:rPr>
      </w:pPr>
      <w:proofErr w:type="gramStart"/>
      <w:r w:rsidRPr="00405303">
        <w:rPr>
          <w:bCs/>
          <w:color w:val="002060"/>
          <w:sz w:val="16"/>
          <w:szCs w:val="16"/>
        </w:rPr>
        <w:t>з)</w:t>
      </w:r>
      <w:r w:rsidR="000F5756">
        <w:rPr>
          <w:bCs/>
          <w:color w:val="002060"/>
          <w:sz w:val="16"/>
          <w:szCs w:val="16"/>
        </w:rPr>
        <w:t xml:space="preserve">  </w:t>
      </w:r>
      <w:r w:rsidRPr="00405303">
        <w:rPr>
          <w:bCs/>
          <w:color w:val="002060"/>
          <w:sz w:val="16"/>
          <w:szCs w:val="16"/>
        </w:rPr>
        <w:t xml:space="preserve"> </w:t>
      </w:r>
      <w:proofErr w:type="gramEnd"/>
      <w:r w:rsidRPr="00405303">
        <w:rPr>
          <w:bCs/>
          <w:color w:val="002060"/>
          <w:sz w:val="16"/>
          <w:szCs w:val="16"/>
        </w:rPr>
        <w:t>требовать от всех казенных и частных предприятий, занимающихся сухопутной или водной перевозкой грузов, принятия и исполнения перевозок, преимущественно перед всеми прочими перевозками, в надлежащих случаях по соглашению с министрами: морским, путей сообщений, торговли и промышленности и главноуправляющего землеустройством и земледелием, по принадлежности;</w:t>
      </w:r>
    </w:p>
    <w:p w14:paraId="6606A8E6" w14:textId="64F59C01" w:rsidR="00072940" w:rsidRPr="00405303" w:rsidRDefault="00072940" w:rsidP="00C15251">
      <w:pPr>
        <w:jc w:val="both"/>
        <w:rPr>
          <w:bCs/>
          <w:color w:val="002060"/>
          <w:sz w:val="16"/>
          <w:szCs w:val="16"/>
        </w:rPr>
      </w:pPr>
      <w:proofErr w:type="gramStart"/>
      <w:r w:rsidRPr="00405303">
        <w:rPr>
          <w:bCs/>
          <w:color w:val="002060"/>
          <w:sz w:val="16"/>
          <w:szCs w:val="16"/>
        </w:rPr>
        <w:lastRenderedPageBreak/>
        <w:t>и)</w:t>
      </w:r>
      <w:r w:rsidR="000F5756">
        <w:rPr>
          <w:bCs/>
          <w:color w:val="002060"/>
          <w:sz w:val="16"/>
          <w:szCs w:val="16"/>
        </w:rPr>
        <w:t xml:space="preserve"> </w:t>
      </w:r>
      <w:r w:rsidRPr="00405303">
        <w:rPr>
          <w:bCs/>
          <w:color w:val="002060"/>
          <w:sz w:val="16"/>
          <w:szCs w:val="16"/>
        </w:rPr>
        <w:t xml:space="preserve"> в</w:t>
      </w:r>
      <w:proofErr w:type="gramEnd"/>
      <w:r w:rsidRPr="00405303">
        <w:rPr>
          <w:bCs/>
          <w:color w:val="002060"/>
          <w:sz w:val="16"/>
          <w:szCs w:val="16"/>
        </w:rPr>
        <w:t xml:space="preserve"> случаях недостижения соглашения с владельцами предприятий о ценах изготовляемых предметов, главноуправляющим устанавливается определенная цена. Ему же предоставляется право в потребных случаях принудительно отчуждать для нужд армии и флота, а также предприятий, работающих по снабжению армии, необходимое сырье и материалы по устанавливаемой им цене и</w:t>
      </w:r>
    </w:p>
    <w:p w14:paraId="288A7964" w14:textId="77777777" w:rsidR="00072940" w:rsidRPr="00405303" w:rsidRDefault="00072940" w:rsidP="00C15251">
      <w:pPr>
        <w:jc w:val="both"/>
        <w:rPr>
          <w:bCs/>
          <w:color w:val="002060"/>
          <w:sz w:val="16"/>
          <w:szCs w:val="16"/>
        </w:rPr>
      </w:pPr>
      <w:r w:rsidRPr="00405303">
        <w:rPr>
          <w:bCs/>
          <w:color w:val="002060"/>
          <w:sz w:val="16"/>
          <w:szCs w:val="16"/>
        </w:rPr>
        <w:t>й) осуществлять надзор по приведению в исполнение законодательных постановлений по нормировке размера прибыли предприятий, участвующих в снабжении армии и флота, и по регулированию заработной платы рабочих.</w:t>
      </w:r>
    </w:p>
    <w:p w14:paraId="635FB224" w14:textId="7F8B21FA" w:rsidR="00072940" w:rsidRPr="00405303" w:rsidRDefault="00072940" w:rsidP="00C15251">
      <w:pPr>
        <w:jc w:val="both"/>
        <w:rPr>
          <w:bCs/>
          <w:color w:val="002060"/>
          <w:sz w:val="16"/>
          <w:szCs w:val="16"/>
        </w:rPr>
      </w:pPr>
      <w:r w:rsidRPr="00405303">
        <w:rPr>
          <w:bCs/>
          <w:color w:val="002060"/>
          <w:sz w:val="16"/>
          <w:szCs w:val="16"/>
        </w:rPr>
        <w:t>VII.</w:t>
      </w:r>
      <w:r w:rsidR="000F5756">
        <w:rPr>
          <w:bCs/>
          <w:color w:val="002060"/>
          <w:sz w:val="16"/>
          <w:szCs w:val="16"/>
        </w:rPr>
        <w:t xml:space="preserve">  </w:t>
      </w:r>
      <w:r w:rsidRPr="00405303">
        <w:rPr>
          <w:bCs/>
          <w:color w:val="002060"/>
          <w:sz w:val="16"/>
          <w:szCs w:val="16"/>
        </w:rPr>
        <w:t>Состоящий при главноуправляющем и под его председательством заседающий совет имеет совещательный голос. Совет постановляет свои заключения по рассмотрению дел, как передаваемых в него главноуправляющим, так и возникших по инициативе его членов.</w:t>
      </w:r>
    </w:p>
    <w:p w14:paraId="6941ED7C" w14:textId="37EC9007" w:rsidR="00072940" w:rsidRPr="00405303" w:rsidRDefault="00072940" w:rsidP="00C15251">
      <w:pPr>
        <w:jc w:val="both"/>
        <w:rPr>
          <w:bCs/>
          <w:color w:val="002060"/>
          <w:sz w:val="16"/>
          <w:szCs w:val="16"/>
        </w:rPr>
      </w:pPr>
      <w:r w:rsidRPr="00405303">
        <w:rPr>
          <w:bCs/>
          <w:color w:val="002060"/>
          <w:sz w:val="16"/>
          <w:szCs w:val="16"/>
        </w:rPr>
        <w:t>VIII.</w:t>
      </w:r>
      <w:r w:rsidR="000F5756">
        <w:rPr>
          <w:bCs/>
          <w:color w:val="002060"/>
          <w:sz w:val="16"/>
          <w:szCs w:val="16"/>
        </w:rPr>
        <w:t xml:space="preserve">  </w:t>
      </w:r>
      <w:r w:rsidRPr="00405303">
        <w:rPr>
          <w:bCs/>
          <w:color w:val="002060"/>
          <w:sz w:val="16"/>
          <w:szCs w:val="16"/>
        </w:rPr>
        <w:t>В отдельных местностях для надзора за деятельностью предприятий, работающих по снабжению армии и флота, а равно и для выполнения других поручений главноуправляющего им назначаются особо уполномоченные лица.</w:t>
      </w:r>
    </w:p>
    <w:p w14:paraId="2140A928" w14:textId="298C8E7C" w:rsidR="00072940" w:rsidRPr="00405303" w:rsidRDefault="00072940" w:rsidP="00C15251">
      <w:pPr>
        <w:jc w:val="both"/>
        <w:rPr>
          <w:bCs/>
          <w:color w:val="002060"/>
          <w:sz w:val="16"/>
          <w:szCs w:val="16"/>
        </w:rPr>
      </w:pPr>
      <w:r w:rsidRPr="00405303">
        <w:rPr>
          <w:bCs/>
          <w:color w:val="002060"/>
          <w:sz w:val="16"/>
          <w:szCs w:val="16"/>
        </w:rPr>
        <w:t>IX.</w:t>
      </w:r>
      <w:r w:rsidR="000F5756">
        <w:rPr>
          <w:bCs/>
          <w:color w:val="002060"/>
          <w:sz w:val="16"/>
          <w:szCs w:val="16"/>
        </w:rPr>
        <w:t xml:space="preserve">  </w:t>
      </w:r>
      <w:r w:rsidRPr="00405303">
        <w:rPr>
          <w:bCs/>
          <w:color w:val="002060"/>
          <w:sz w:val="16"/>
          <w:szCs w:val="16"/>
        </w:rPr>
        <w:t>О деятельности Главного управления по снабжению армии и флота главноуправляющий вносит на одобрение Государственной думы отчет.</w:t>
      </w:r>
    </w:p>
    <w:p w14:paraId="48A627B7" w14:textId="77777777" w:rsidR="00072940" w:rsidRPr="00405303" w:rsidRDefault="00072940" w:rsidP="00C15251">
      <w:pPr>
        <w:jc w:val="both"/>
        <w:rPr>
          <w:bCs/>
          <w:color w:val="002060"/>
          <w:sz w:val="16"/>
          <w:szCs w:val="16"/>
        </w:rPr>
      </w:pPr>
      <w:r w:rsidRPr="00405303">
        <w:rPr>
          <w:bCs/>
          <w:color w:val="002060"/>
          <w:sz w:val="16"/>
          <w:szCs w:val="16"/>
        </w:rPr>
        <w:t>Государственная дума. Созыв 4-й. Сессия 4-я. Приложения к стенографическим отчетам. - СПб., 1915. -Т. 1.-№3.</w:t>
      </w:r>
    </w:p>
    <w:p w14:paraId="294E7C8F" w14:textId="77777777" w:rsidR="00072940" w:rsidRPr="00405303" w:rsidRDefault="00072940" w:rsidP="00C15251">
      <w:pPr>
        <w:jc w:val="both"/>
        <w:rPr>
          <w:bCs/>
          <w:color w:val="002060"/>
          <w:sz w:val="16"/>
          <w:szCs w:val="16"/>
        </w:rPr>
      </w:pPr>
      <w:r w:rsidRPr="00405303">
        <w:rPr>
          <w:bCs/>
          <w:color w:val="002060"/>
          <w:sz w:val="16"/>
          <w:szCs w:val="16"/>
        </w:rPr>
        <w:t xml:space="preserve">Законопроект внесен в IV Государственную думу 19 июля 1915 г. за подписью 47 депутатов; первые подписавшиеся - А.И. Шингарев, М.С. Аджемов, П.Н. Милюков. </w:t>
      </w:r>
    </w:p>
    <w:p w14:paraId="430D5510" w14:textId="77777777" w:rsidR="00072940" w:rsidRPr="00405303" w:rsidRDefault="00072940" w:rsidP="00C15251">
      <w:pPr>
        <w:jc w:val="both"/>
        <w:rPr>
          <w:bCs/>
          <w:color w:val="002060"/>
          <w:sz w:val="16"/>
          <w:szCs w:val="16"/>
        </w:rPr>
      </w:pPr>
      <w:r w:rsidRPr="00405303">
        <w:rPr>
          <w:bCs/>
          <w:color w:val="002060"/>
          <w:sz w:val="16"/>
          <w:szCs w:val="16"/>
        </w:rPr>
        <w:t>В объяснительной записке авторы проекта подчеркивали, что война вскрыла крупные недостатки в организации снабжения армии и флота необходимыми боеприпасами и материальным оборудованием: дело снабжения было не централизовано, происходило не планомерно, с задержками, сопровождалось бумажной волокитой, порой не опиралось на законодательные нормы.</w:t>
      </w:r>
    </w:p>
    <w:p w14:paraId="71851BDA" w14:textId="77777777" w:rsidR="00072940" w:rsidRPr="00405303" w:rsidRDefault="00072940" w:rsidP="00C15251">
      <w:pPr>
        <w:jc w:val="both"/>
        <w:rPr>
          <w:bCs/>
          <w:color w:val="002060"/>
          <w:sz w:val="16"/>
          <w:szCs w:val="16"/>
        </w:rPr>
      </w:pPr>
      <w:r w:rsidRPr="00405303">
        <w:rPr>
          <w:bCs/>
          <w:color w:val="002060"/>
          <w:sz w:val="16"/>
          <w:szCs w:val="16"/>
        </w:rPr>
        <w:t>В связи с этим депутаты предложили сосредоточить функции снабжения в особом управлении с привлечением к его работе общественных сил и с предоставлением ему особых полномочий. 20 июля 1915г. законопроект был оглашен на общем собрании Думы, но не получил дальнейшего движения (20788).</w:t>
      </w:r>
    </w:p>
    <w:p w14:paraId="1A8A809F" w14:textId="77777777" w:rsidR="00072940" w:rsidRPr="00405303" w:rsidRDefault="00072940" w:rsidP="00C15251">
      <w:pPr>
        <w:jc w:val="both"/>
        <w:rPr>
          <w:bCs/>
          <w:color w:val="002060"/>
          <w:sz w:val="16"/>
          <w:szCs w:val="16"/>
        </w:rPr>
      </w:pPr>
    </w:p>
    <w:p w14:paraId="599EDC3C" w14:textId="707A9779" w:rsidR="003556A0" w:rsidRPr="00405303" w:rsidRDefault="003556A0"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19 июля (1 августа) 1915 г. в Думе Н.Е. Марков го</w:t>
      </w:r>
      <w:r w:rsidRPr="00405303">
        <w:rPr>
          <w:rFonts w:ascii="Times New Roman" w:hAnsi="Times New Roman" w:cs="Times New Roman"/>
          <w:bCs/>
          <w:color w:val="002060"/>
          <w:sz w:val="16"/>
          <w:szCs w:val="16"/>
        </w:rPr>
        <w:softHyphen/>
        <w:t>ворил: «Нельзя снять с себя, господа, эту моральную ответственность, — Раз мы, члены Думы, рассматривали законопроекты, раз мы требовали объ</w:t>
      </w:r>
      <w:r w:rsidRPr="00405303">
        <w:rPr>
          <w:rFonts w:ascii="Times New Roman" w:hAnsi="Times New Roman" w:cs="Times New Roman"/>
          <w:bCs/>
          <w:color w:val="002060"/>
          <w:sz w:val="16"/>
          <w:szCs w:val="16"/>
        </w:rPr>
        <w:softHyphen/>
        <w:t>яснений, сокращали цифры... раз наши докладчики входили в секретнейшие сведения... то этим самым мы признавали, что мы отвечаем и за... результат». Он напоминал, что «за все время никто из нас, никто из членов Государственного со</w:t>
      </w:r>
      <w:r w:rsidRPr="00405303">
        <w:rPr>
          <w:rFonts w:ascii="Times New Roman" w:hAnsi="Times New Roman" w:cs="Times New Roman"/>
          <w:bCs/>
          <w:color w:val="002060"/>
          <w:sz w:val="16"/>
          <w:szCs w:val="16"/>
        </w:rPr>
        <w:softHyphen/>
        <w:t>вета не возвысил голоса»; «самого главного не было сказано, что весь план подготовки, все нормы запаса — все ошибоч</w:t>
      </w:r>
      <w:r w:rsidRPr="00405303">
        <w:rPr>
          <w:rFonts w:ascii="Times New Roman" w:hAnsi="Times New Roman" w:cs="Times New Roman"/>
          <w:bCs/>
          <w:color w:val="002060"/>
          <w:sz w:val="16"/>
          <w:szCs w:val="16"/>
        </w:rPr>
        <w:softHyphen/>
        <w:t>но... В этом вы все и я с вами, мы виноваты... Так не гово</w:t>
      </w:r>
      <w:r w:rsidRPr="00405303">
        <w:rPr>
          <w:rFonts w:ascii="Times New Roman" w:hAnsi="Times New Roman" w:cs="Times New Roman"/>
          <w:bCs/>
          <w:color w:val="002060"/>
          <w:sz w:val="16"/>
          <w:szCs w:val="16"/>
        </w:rPr>
        <w:softHyphen/>
        <w:t>рите же об ошибках самодержавного правительства, когда вы сами учинили столь колоссальную ошибку» (</w:t>
      </w:r>
      <w:r w:rsidRPr="00405303">
        <w:rPr>
          <w:rFonts w:ascii="Times New Roman" w:hAnsi="Times New Roman" w:cs="Times New Roman"/>
          <w:bCs/>
          <w:color w:val="002060"/>
          <w:sz w:val="16"/>
          <w:szCs w:val="16"/>
          <w:lang w:bidi="ru-RU"/>
        </w:rPr>
        <w:t xml:space="preserve">СОГД </w:t>
      </w:r>
      <w:r w:rsidRPr="00405303">
        <w:rPr>
          <w:rFonts w:ascii="Times New Roman" w:hAnsi="Times New Roman" w:cs="Times New Roman"/>
          <w:bCs/>
          <w:color w:val="002060"/>
          <w:sz w:val="16"/>
          <w:szCs w:val="16"/>
          <w:lang w:val="en-US" w:bidi="en-US"/>
        </w:rPr>
        <w:t>IV</w:t>
      </w:r>
      <w:r w:rsidRPr="00405303">
        <w:rPr>
          <w:rFonts w:ascii="Times New Roman" w:hAnsi="Times New Roman" w:cs="Times New Roman"/>
          <w:bCs/>
          <w:color w:val="002060"/>
          <w:sz w:val="16"/>
          <w:szCs w:val="16"/>
          <w:lang w:bidi="en-US"/>
        </w:rPr>
        <w:t xml:space="preserve">/4. </w:t>
      </w:r>
      <w:r w:rsidRPr="00405303">
        <w:rPr>
          <w:rFonts w:ascii="Times New Roman" w:hAnsi="Times New Roman" w:cs="Times New Roman"/>
          <w:bCs/>
          <w:color w:val="002060"/>
          <w:sz w:val="16"/>
          <w:szCs w:val="16"/>
          <w:lang w:bidi="ru-RU"/>
        </w:rPr>
        <w:t>Ч. 1. Стб. 51-56.</w:t>
      </w:r>
      <w:r w:rsidRPr="00405303">
        <w:rPr>
          <w:rFonts w:ascii="Times New Roman" w:hAnsi="Times New Roman" w:cs="Times New Roman"/>
          <w:bCs/>
          <w:color w:val="002060"/>
          <w:sz w:val="16"/>
          <w:szCs w:val="16"/>
        </w:rPr>
        <w:t>) (23452).</w:t>
      </w:r>
    </w:p>
    <w:p w14:paraId="3E73DF5C" w14:textId="77777777" w:rsidR="003556A0" w:rsidRPr="00405303" w:rsidRDefault="003556A0" w:rsidP="00C15251">
      <w:pPr>
        <w:jc w:val="both"/>
        <w:rPr>
          <w:bCs/>
          <w:color w:val="002060"/>
          <w:sz w:val="16"/>
          <w:szCs w:val="16"/>
        </w:rPr>
      </w:pPr>
    </w:p>
    <w:p w14:paraId="664D7654"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44C152ED" w14:textId="77777777" w:rsidR="004B4E35" w:rsidRPr="00405303" w:rsidRDefault="004B4E35" w:rsidP="00C15251">
      <w:pPr>
        <w:jc w:val="both"/>
        <w:rPr>
          <w:bCs/>
          <w:i/>
          <w:color w:val="002060"/>
          <w:sz w:val="16"/>
          <w:szCs w:val="16"/>
        </w:rPr>
      </w:pPr>
    </w:p>
    <w:p w14:paraId="479722D7" w14:textId="33FBB629" w:rsidR="004B4E35" w:rsidRPr="00405303" w:rsidRDefault="009E6F82" w:rsidP="00C15251">
      <w:pPr>
        <w:jc w:val="both"/>
        <w:rPr>
          <w:bCs/>
          <w:color w:val="002060"/>
          <w:sz w:val="16"/>
          <w:szCs w:val="16"/>
        </w:rPr>
      </w:pPr>
      <w:r w:rsidRPr="00405303">
        <w:rPr>
          <w:bCs/>
          <w:color w:val="002060"/>
          <w:sz w:val="16"/>
          <w:szCs w:val="16"/>
        </w:rPr>
        <w:t xml:space="preserve">19 июля (1 августа) 1915 </w:t>
      </w:r>
      <w:r w:rsidR="001050C9" w:rsidRPr="00405303">
        <w:rPr>
          <w:bCs/>
          <w:color w:val="002060"/>
          <w:sz w:val="16"/>
          <w:szCs w:val="16"/>
        </w:rPr>
        <w:t>г. в</w:t>
      </w:r>
      <w:r w:rsidRPr="00405303">
        <w:rPr>
          <w:bCs/>
          <w:color w:val="002060"/>
          <w:sz w:val="16"/>
          <w:szCs w:val="16"/>
        </w:rPr>
        <w:t xml:space="preserve"> 6 часов утра все пять русских самолетов, взяв на борт по 5 пудов (80 кг) бомб каждый, вылетели в направлении Влодавы. Подлетая к предполагаемому месту переправы, летчики и в самом деле увидели, что понтоны наведены и часть германских войск уже находится на русской стороне реки. Дождавшись общего сигнала начала боевых действий со стороны дивизионной артиллерии, все пять самолетов по знаку ведущего снизились на высоту 250 м и атаковали наведенные мосты пулеметным огнем и бомбами. Растратив боезапас, самолеты вернулись на аэродром, заправились, зарядили пулеметы, вновь взяли по 5 пудов бомб и вылетели к Влодаве. В течение дня летчики произвели по шесть боевых вылетов, атакуя с низких высот (30-50 м) германские войска на переправах через р. Западный Буг. Всего за этот и следующий день русскими авиаторами было сброшено на переправы около 4 т бомб и израсходовано около 3 тыс. патронов. На следующий день германцы ввели в бой основные силы, но им так и не удалось овладеть переправой. Пулеметный огонь с аэропланов и бомбовые удары по наведенным мостам совместно с действиями артиллерии и пехоты 1-й гвардейской дивизии вынудили германцев отказаться от форсирования реки и перейти к обороне. Эти действия русских авиаторов являются одним из первых случаев целенаправленного применения авиации против пехоты противника на поле боя. Вскоре после этого действия русских авиаторов против наземных сил становятся регулярной практикой. Летчики нападали на противника в прифронтовом тылу, на марше и в местах сосредоточения, рассеивая их пулеметным огнем и осколочными бомбами. Так зарождалась штурмовая авиация.</w:t>
      </w:r>
    </w:p>
    <w:p w14:paraId="0C207CA8" w14:textId="77777777" w:rsidR="004B4E35" w:rsidRPr="00405303" w:rsidRDefault="009E6F82" w:rsidP="00C15251">
      <w:pPr>
        <w:jc w:val="both"/>
        <w:rPr>
          <w:bCs/>
          <w:color w:val="002060"/>
          <w:sz w:val="16"/>
          <w:szCs w:val="16"/>
        </w:rPr>
      </w:pPr>
      <w:r w:rsidRPr="00405303">
        <w:rPr>
          <w:bCs/>
          <w:color w:val="002060"/>
          <w:sz w:val="16"/>
          <w:szCs w:val="16"/>
        </w:rPr>
        <w:t>Продвижение германских войск в районе Влодавы застопорилось. Тем не менее, в первых числах августа русскими войсками была оставлена Варшава, 19 августа сдалась крепость Новогеоргиевск, 22 августа - крепость Ковно. К 30 августа русские войска отходят на линию Гродно - Свис- лочь - Пружаны - верховье р. Ясельда.</w:t>
      </w:r>
    </w:p>
    <w:p w14:paraId="555AF7BF" w14:textId="77777777" w:rsidR="004B4E35" w:rsidRPr="00405303" w:rsidRDefault="009E6F82" w:rsidP="00C15251">
      <w:pPr>
        <w:jc w:val="both"/>
        <w:rPr>
          <w:bCs/>
          <w:color w:val="002060"/>
          <w:sz w:val="16"/>
          <w:szCs w:val="16"/>
        </w:rPr>
      </w:pPr>
      <w:r w:rsidRPr="00405303">
        <w:rPr>
          <w:bCs/>
          <w:color w:val="002060"/>
          <w:sz w:val="16"/>
          <w:szCs w:val="16"/>
        </w:rPr>
        <w:t>Что касается оставления русскими Новогеоргиевска, то в связи с этим следует упомянуть об одном любопытном эпизоде. Вообще свободные полеты неуправляемых аэростатов в Первую мировую войну практически не применялись. Несколько случаев, имевших место в этом году, окончательно сделали для всех ясным полную непригодность в военных условиях подобного вида передвижения по воздуху. Австрийцы накануне сдачи одной из своих крепостей ночью вылетели на воздушном шаре со всеми знаменами, документами и ключами от крепости. Однако ветер отнес их к Бресту, где они со всем своим грузом были взяты после приземления в плен.</w:t>
      </w:r>
    </w:p>
    <w:p w14:paraId="1DDF3580" w14:textId="77777777" w:rsidR="004B4E35" w:rsidRPr="00405303" w:rsidRDefault="009E6F82" w:rsidP="00C15251">
      <w:pPr>
        <w:jc w:val="both"/>
        <w:rPr>
          <w:bCs/>
          <w:color w:val="002060"/>
          <w:sz w:val="16"/>
          <w:szCs w:val="16"/>
        </w:rPr>
      </w:pPr>
      <w:r w:rsidRPr="00405303">
        <w:rPr>
          <w:bCs/>
          <w:color w:val="002060"/>
          <w:sz w:val="16"/>
          <w:szCs w:val="16"/>
        </w:rPr>
        <w:t>Русские, при оставлении Новогеоргиевска, учли этот опыт и эвакуировали документы самолетом.</w:t>
      </w:r>
    </w:p>
    <w:p w14:paraId="1714448C" w14:textId="77777777" w:rsidR="004B4E35" w:rsidRPr="00405303" w:rsidRDefault="009E6F82" w:rsidP="00C15251">
      <w:pPr>
        <w:jc w:val="both"/>
        <w:rPr>
          <w:bCs/>
          <w:color w:val="002060"/>
          <w:sz w:val="16"/>
          <w:szCs w:val="16"/>
        </w:rPr>
      </w:pPr>
      <w:r w:rsidRPr="00405303">
        <w:rPr>
          <w:bCs/>
          <w:color w:val="002060"/>
          <w:sz w:val="16"/>
          <w:szCs w:val="16"/>
        </w:rPr>
        <w:t>Если союзники все продолжают искать средства прорыва позиционной обороны, то Германия, вероятно, благодаря более тесному контакту с русскими, успешно использует авиацию в деле взятия укрепленных мест противника.</w:t>
      </w:r>
    </w:p>
    <w:p w14:paraId="7F96688D" w14:textId="77777777" w:rsidR="004B4E35" w:rsidRPr="00405303" w:rsidRDefault="004B4E35" w:rsidP="00C15251">
      <w:pPr>
        <w:jc w:val="both"/>
        <w:rPr>
          <w:bCs/>
          <w:color w:val="002060"/>
          <w:sz w:val="16"/>
          <w:szCs w:val="16"/>
        </w:rPr>
      </w:pPr>
    </w:p>
    <w:p w14:paraId="4835E42E" w14:textId="71E39AE4" w:rsidR="004B4E35" w:rsidRPr="00405303" w:rsidRDefault="009E6F82" w:rsidP="00C15251">
      <w:pPr>
        <w:jc w:val="both"/>
        <w:rPr>
          <w:bCs/>
          <w:color w:val="002060"/>
          <w:sz w:val="16"/>
          <w:szCs w:val="16"/>
        </w:rPr>
      </w:pPr>
      <w:r w:rsidRPr="00405303">
        <w:rPr>
          <w:bCs/>
          <w:color w:val="002060"/>
          <w:sz w:val="16"/>
          <w:szCs w:val="16"/>
        </w:rPr>
        <w:t xml:space="preserve">19 июля (1 августа) 1915 </w:t>
      </w:r>
      <w:r w:rsidR="001050C9" w:rsidRPr="00405303">
        <w:rPr>
          <w:bCs/>
          <w:color w:val="002060"/>
          <w:sz w:val="16"/>
          <w:szCs w:val="16"/>
        </w:rPr>
        <w:t>г.</w:t>
      </w:r>
      <w:r w:rsidR="000F5756">
        <w:rPr>
          <w:bCs/>
          <w:color w:val="002060"/>
          <w:sz w:val="16"/>
          <w:szCs w:val="16"/>
        </w:rPr>
        <w:t xml:space="preserve"> </w:t>
      </w:r>
      <w:r w:rsidRPr="00405303">
        <w:rPr>
          <w:bCs/>
          <w:color w:val="002060"/>
          <w:sz w:val="16"/>
          <w:szCs w:val="16"/>
        </w:rPr>
        <w:t>51-й пехотный прусский полк прорывает предмостные укрепления Ивангорода; штурм предмостных укреплений был произведен согласно плану, разработанному на основании данных фотосъемок разведки, произведенной 64-м авиаотрядом. Вслед за этим была произведена интенсивная бомбардировка с воздуха русских штабов, вокзалов, аэродромов и артиллерийских батарей для взятия Брест-Литовска. В эти дни здесь летал на разведку в качестве наблюдателя Рихтгофен.</w:t>
      </w:r>
    </w:p>
    <w:p w14:paraId="567F9565" w14:textId="77777777" w:rsidR="004B4E35" w:rsidRPr="00405303" w:rsidRDefault="009E6F82" w:rsidP="00C15251">
      <w:pPr>
        <w:jc w:val="both"/>
        <w:rPr>
          <w:bCs/>
          <w:color w:val="002060"/>
          <w:sz w:val="16"/>
          <w:szCs w:val="16"/>
        </w:rPr>
      </w:pPr>
      <w:r w:rsidRPr="00405303">
        <w:rPr>
          <w:bCs/>
          <w:color w:val="002060"/>
          <w:sz w:val="16"/>
          <w:szCs w:val="16"/>
        </w:rPr>
        <w:t xml:space="preserve">Рихтгофен: "Мы решили поменять место посадки и ис- калит на какой луг сядем. Отыскивая поляну получше, чтобы не травмировать машину, полетели в направлении Брест- Литовска. Русские повсюду отступали. Вся местность горела. Это была захватывающая дух прекрасная картина! Мы решили проследить направление вражеских колонн и для этого полетели над горящим городом Вишнице. Гигантское облако дыма на высоте 6000 футов позволяло нам все же продолжать полет, поскольку для того, чтобы лучше видеть, мы летели на высоте всего 4500 </w:t>
      </w:r>
      <w:proofErr w:type="gramStart"/>
      <w:r w:rsidRPr="00405303">
        <w:rPr>
          <w:bCs/>
          <w:color w:val="002060"/>
          <w:sz w:val="16"/>
          <w:szCs w:val="16"/>
        </w:rPr>
        <w:t>футов .</w:t>
      </w:r>
      <w:proofErr w:type="gramEnd"/>
      <w:r w:rsidRPr="00405303">
        <w:rPr>
          <w:bCs/>
          <w:color w:val="002060"/>
          <w:sz w:val="16"/>
          <w:szCs w:val="16"/>
        </w:rPr>
        <w:t xml:space="preserve"> На секунду Хольк заколебался. Я посоветовал ему облететь облако, что </w:t>
      </w:r>
      <w:proofErr w:type="gramStart"/>
      <w:r w:rsidRPr="00405303">
        <w:rPr>
          <w:bCs/>
          <w:color w:val="002060"/>
          <w:sz w:val="16"/>
          <w:szCs w:val="16"/>
        </w:rPr>
        <w:t>за-няло</w:t>
      </w:r>
      <w:proofErr w:type="gramEnd"/>
      <w:r w:rsidRPr="00405303">
        <w:rPr>
          <w:bCs/>
          <w:color w:val="002060"/>
          <w:sz w:val="16"/>
          <w:szCs w:val="16"/>
        </w:rPr>
        <w:t xml:space="preserve"> бы не больше пяти минут. Но Хольк решил поступить совершенно по-иному, ведь опасность всегда привлекала его больше всего на свете. Он решил прорваться через облако! И я тоже пришел в восторг от этой идеи, особенно интересно ее осуществление с таким храбрецом, как Хольк! Но наша любовь к приключениям стоила нам дорого. Как только аэроплан полностью втянулся в дымовое облако, нас закачало. От дыма, выжимавшего из глаз слезы, я ничего не видел. Воздух становился все горячее и горячее, а под нами бушевало только море огня. Неожиданно аэроплан потерял равновесие и стал падать, беспрерывно крутясь. Мне пришлось изо всех сил уцепиться за борта, иначе я просто выпал бы в этот ад. Но в тот же момент я взглянул на Холька и вернул свое мужество, поскольку прочитал на его лице железную уверенность. Правда, я успел еще подумать о том, как глупо будет умереть смертью героя столь бессмысленно.</w:t>
      </w:r>
    </w:p>
    <w:p w14:paraId="779337FA" w14:textId="77777777" w:rsidR="004B4E35" w:rsidRPr="00405303" w:rsidRDefault="009E6F82" w:rsidP="00C15251">
      <w:pPr>
        <w:jc w:val="both"/>
        <w:rPr>
          <w:bCs/>
          <w:color w:val="002060"/>
          <w:sz w:val="16"/>
          <w:szCs w:val="16"/>
        </w:rPr>
      </w:pPr>
      <w:r w:rsidRPr="00405303">
        <w:rPr>
          <w:bCs/>
          <w:color w:val="002060"/>
          <w:sz w:val="16"/>
          <w:szCs w:val="16"/>
        </w:rPr>
        <w:t>Потом я спросил Холька, что он думал в тот страшный момент, и он ответил просто - никогда не испытывал более неприятных ощущений.</w:t>
      </w:r>
    </w:p>
    <w:p w14:paraId="65D76E6D" w14:textId="77777777" w:rsidR="004B4E35" w:rsidRPr="00405303" w:rsidRDefault="009E6F82" w:rsidP="00C15251">
      <w:pPr>
        <w:jc w:val="both"/>
        <w:rPr>
          <w:bCs/>
          <w:color w:val="002060"/>
          <w:sz w:val="16"/>
          <w:szCs w:val="16"/>
        </w:rPr>
      </w:pPr>
      <w:r w:rsidRPr="00405303">
        <w:rPr>
          <w:bCs/>
          <w:color w:val="002060"/>
          <w:sz w:val="16"/>
          <w:szCs w:val="16"/>
        </w:rPr>
        <w:t>Мы были приблизительно уже в 1500 футах над горящим городком, но то ли благодаря уменью пилота, то ли благодаря Высшей Воле, то ли и тому и другому вместе взятым, аэроплан внезапно вынырнул из дымного облака. Наш славный "Альбатрос" выправился и снова потянул вперед, как ни в чем не бывало. Но с нас уже хватило приключений, и мы решили не искать новое место посадки, а вернуться на старую и притом как можно быстрее. Мы все еще находились над русской территорией и всего лишь на высоте 1500 футов, как через пять минут я услышал, что Хольк за моей спиной чертыхнулся: "Мотор сдает". А надо сказать, что Хольк понимал в моторах не больше, чем в котлетах из конины, а я и того меньше. Знал я только одно - если мотор заглохнет, нам придется приземлиться у русских. Итак, одна неприятность сменилась другой.</w:t>
      </w:r>
    </w:p>
    <w:p w14:paraId="14B42823" w14:textId="77777777" w:rsidR="004B4E35" w:rsidRPr="00405303" w:rsidRDefault="009E6F82" w:rsidP="00C15251">
      <w:pPr>
        <w:jc w:val="both"/>
        <w:rPr>
          <w:bCs/>
          <w:color w:val="002060"/>
          <w:sz w:val="16"/>
          <w:szCs w:val="16"/>
        </w:rPr>
      </w:pPr>
      <w:r w:rsidRPr="00405303">
        <w:rPr>
          <w:bCs/>
          <w:color w:val="002060"/>
          <w:sz w:val="16"/>
          <w:szCs w:val="16"/>
        </w:rPr>
        <w:t>Я убеждал себя, что русские под нами уходят, но поглядев вниз, обнаружил, что они стреляют по нам из пулеметов; выстрелы раздавались, как лопающиеся в огне орехи.</w:t>
      </w:r>
    </w:p>
    <w:p w14:paraId="5E7486B4" w14:textId="77777777" w:rsidR="004B4E35" w:rsidRPr="00405303" w:rsidRDefault="009E6F82" w:rsidP="00C15251">
      <w:pPr>
        <w:jc w:val="both"/>
        <w:rPr>
          <w:bCs/>
          <w:color w:val="002060"/>
          <w:sz w:val="16"/>
          <w:szCs w:val="16"/>
        </w:rPr>
      </w:pPr>
      <w:r w:rsidRPr="00405303">
        <w:rPr>
          <w:bCs/>
          <w:color w:val="002060"/>
          <w:sz w:val="16"/>
          <w:szCs w:val="16"/>
        </w:rPr>
        <w:lastRenderedPageBreak/>
        <w:t>Внезапно мотор заглох вообще - очевидно, в него попали. Мы спускались все ниже и ниже, кое-как протянули над лесом и приземлились на брошенной артиллерийской позиции, которая еще вчера вечером принадлежала русским, как я рапортовал в штаб.</w:t>
      </w:r>
    </w:p>
    <w:p w14:paraId="376085E0" w14:textId="77777777" w:rsidR="004B4E35" w:rsidRPr="00405303" w:rsidRDefault="009E6F82" w:rsidP="00C15251">
      <w:pPr>
        <w:jc w:val="both"/>
        <w:rPr>
          <w:bCs/>
          <w:color w:val="002060"/>
          <w:sz w:val="16"/>
          <w:szCs w:val="16"/>
        </w:rPr>
      </w:pPr>
      <w:r w:rsidRPr="00405303">
        <w:rPr>
          <w:bCs/>
          <w:color w:val="002060"/>
          <w:sz w:val="16"/>
          <w:szCs w:val="16"/>
        </w:rPr>
        <w:t>Я сказал об этом Хольку, мы выпрыгнули из аэроплана и попытались скрыться в близлежащем леске, где могли хотя бы как-то защищаться. У меня был пистолет с шестью обоймами, у Холька - ничего.</w:t>
      </w:r>
    </w:p>
    <w:p w14:paraId="0CFCBE17" w14:textId="77777777" w:rsidR="004B4E35" w:rsidRPr="00405303" w:rsidRDefault="009E6F82" w:rsidP="00C15251">
      <w:pPr>
        <w:jc w:val="both"/>
        <w:rPr>
          <w:bCs/>
          <w:color w:val="002060"/>
          <w:sz w:val="16"/>
          <w:szCs w:val="16"/>
        </w:rPr>
      </w:pPr>
      <w:r w:rsidRPr="00405303">
        <w:rPr>
          <w:bCs/>
          <w:color w:val="002060"/>
          <w:sz w:val="16"/>
          <w:szCs w:val="16"/>
        </w:rPr>
        <w:t>Остановившись в леске, я вытащил бинокль, увидел бегущего к аэроплану солдата и пришел в ужас от того, что на нем было кепи, а отнюдь не остроконечный шлем. Я был уверен, что это русский. Но когда он подбежал поближе, Хольк закричал от радости, поскольку солдат оказался гренадером прусской гвардии. Оказывается, наши войска снова штурмовали эту позицию на рассвете и смяли сопротивление русских".</w:t>
      </w:r>
    </w:p>
    <w:p w14:paraId="5715386B" w14:textId="77777777" w:rsidR="004B4E35" w:rsidRPr="00405303" w:rsidRDefault="009E6F82" w:rsidP="00C15251">
      <w:pPr>
        <w:jc w:val="both"/>
        <w:rPr>
          <w:bCs/>
          <w:color w:val="002060"/>
          <w:sz w:val="16"/>
          <w:szCs w:val="16"/>
        </w:rPr>
      </w:pPr>
      <w:r w:rsidRPr="00405303">
        <w:rPr>
          <w:bCs/>
          <w:color w:val="002060"/>
          <w:sz w:val="16"/>
          <w:szCs w:val="16"/>
        </w:rPr>
        <w:t xml:space="preserve">Тем временем германские авиаторы продолжали свои безуспешные попытки доставить своим конструкторам трофейного "Муромца", поскольку им также страшно хотелось иметь в своем распоряжении тяжелые многомоторные самолеты. </w:t>
      </w:r>
    </w:p>
    <w:p w14:paraId="64224652" w14:textId="77777777" w:rsidR="004B4E35" w:rsidRPr="00405303" w:rsidRDefault="009E6F82" w:rsidP="00C15251">
      <w:pPr>
        <w:jc w:val="both"/>
        <w:rPr>
          <w:bCs/>
          <w:color w:val="002060"/>
          <w:sz w:val="16"/>
          <w:szCs w:val="16"/>
        </w:rPr>
      </w:pPr>
      <w:r w:rsidRPr="00405303">
        <w:rPr>
          <w:bCs/>
          <w:color w:val="002060"/>
          <w:sz w:val="16"/>
          <w:szCs w:val="16"/>
        </w:rPr>
        <w:t>Три германских "Бранденбурга" пытались сбить над германской территорией "Илыо Муромца".</w:t>
      </w:r>
    </w:p>
    <w:p w14:paraId="11F0B5BF" w14:textId="77777777" w:rsidR="004B4E35" w:rsidRPr="00405303" w:rsidRDefault="009E6F82" w:rsidP="00C15251">
      <w:pPr>
        <w:jc w:val="both"/>
        <w:rPr>
          <w:bCs/>
          <w:color w:val="002060"/>
          <w:sz w:val="16"/>
          <w:szCs w:val="16"/>
        </w:rPr>
      </w:pPr>
      <w:r w:rsidRPr="00405303">
        <w:rPr>
          <w:bCs/>
          <w:color w:val="002060"/>
          <w:sz w:val="16"/>
          <w:szCs w:val="16"/>
        </w:rPr>
        <w:t>Вражеские зенитные батареи не могли нанести серьезного ущерба "Муромцам", летящим на высоте 3000 м. В то же самое время немецкие истребители предпочитали держаться подальше от хорошовооруженных рыцарей воздуха. Это чувство неуязвимости чуть не привело к трагедии экипаж "ИМ-Киевского". В этот день экипаж решил снять с самолета несколько пулеметов, чтобы увеличить бомбовую загрузку. Три из четырех пулеметов были удалены, и самолет остался вооруженным только скорострельным пулеметом Мадсена и одним карабином.</w:t>
      </w:r>
      <w:r w:rsidRPr="00405303">
        <w:rPr>
          <w:bCs/>
          <w:color w:val="002060"/>
          <w:sz w:val="16"/>
          <w:szCs w:val="16"/>
        </w:rPr>
        <w:cr/>
      </w:r>
    </w:p>
    <w:p w14:paraId="5A7920D3" w14:textId="10D5FD55" w:rsidR="004B4E35" w:rsidRPr="00405303" w:rsidRDefault="009E6F82" w:rsidP="00C15251">
      <w:pPr>
        <w:jc w:val="both"/>
        <w:rPr>
          <w:bCs/>
          <w:color w:val="002060"/>
          <w:sz w:val="16"/>
          <w:szCs w:val="16"/>
        </w:rPr>
      </w:pPr>
      <w:r w:rsidRPr="00405303">
        <w:rPr>
          <w:bCs/>
          <w:color w:val="002060"/>
          <w:sz w:val="16"/>
          <w:szCs w:val="16"/>
        </w:rPr>
        <w:t xml:space="preserve">19 июля (1 августа) 1915 </w:t>
      </w:r>
      <w:r w:rsidR="001050C9" w:rsidRPr="00405303">
        <w:rPr>
          <w:bCs/>
          <w:color w:val="002060"/>
          <w:sz w:val="16"/>
          <w:szCs w:val="16"/>
        </w:rPr>
        <w:t>г. и</w:t>
      </w:r>
      <w:r w:rsidRPr="00405303">
        <w:rPr>
          <w:bCs/>
          <w:color w:val="002060"/>
          <w:sz w:val="16"/>
          <w:szCs w:val="16"/>
        </w:rPr>
        <w:t>з рапорта капитана Горшкова, старшего офицера ЭВК:</w:t>
      </w:r>
    </w:p>
    <w:p w14:paraId="73ED2095" w14:textId="77777777" w:rsidR="004B4E35" w:rsidRPr="00405303" w:rsidRDefault="009E6F82" w:rsidP="00C15251">
      <w:pPr>
        <w:jc w:val="both"/>
        <w:rPr>
          <w:bCs/>
          <w:color w:val="002060"/>
          <w:sz w:val="16"/>
          <w:szCs w:val="16"/>
        </w:rPr>
      </w:pPr>
      <w:r w:rsidRPr="00405303">
        <w:rPr>
          <w:bCs/>
          <w:color w:val="002060"/>
          <w:sz w:val="16"/>
          <w:szCs w:val="16"/>
        </w:rPr>
        <w:t>"Командующему ЭВК 19 июля 1915 г., рапорт № 125 Влодава.</w:t>
      </w:r>
    </w:p>
    <w:p w14:paraId="6B07DD7A" w14:textId="77777777" w:rsidR="004B4E35" w:rsidRPr="00405303" w:rsidRDefault="009E6F82" w:rsidP="00C15251">
      <w:pPr>
        <w:jc w:val="both"/>
        <w:rPr>
          <w:bCs/>
          <w:color w:val="002060"/>
          <w:sz w:val="16"/>
          <w:szCs w:val="16"/>
        </w:rPr>
      </w:pPr>
      <w:r w:rsidRPr="00405303">
        <w:rPr>
          <w:bCs/>
          <w:color w:val="002060"/>
          <w:sz w:val="16"/>
          <w:szCs w:val="16"/>
        </w:rPr>
        <w:t>Настоящим я докладываю о полете "ИМ-Киевского", состоявшемся в вышеуказанный день.</w:t>
      </w:r>
    </w:p>
    <w:p w14:paraId="27C87A26" w14:textId="77777777" w:rsidR="004B4E35" w:rsidRPr="00405303" w:rsidRDefault="009E6F82" w:rsidP="00C15251">
      <w:pPr>
        <w:jc w:val="both"/>
        <w:rPr>
          <w:bCs/>
          <w:color w:val="002060"/>
          <w:sz w:val="16"/>
          <w:szCs w:val="16"/>
        </w:rPr>
      </w:pPr>
      <w:r w:rsidRPr="00405303">
        <w:rPr>
          <w:bCs/>
          <w:color w:val="002060"/>
          <w:sz w:val="16"/>
          <w:szCs w:val="16"/>
        </w:rPr>
        <w:t>Члены экипажа: командир корабля, капитан Башко; заместитель командира, лейтенант Смирнов; артиллерийский офицер, штабс-капитан Наумов; механик, лейтенант Лавров.</w:t>
      </w:r>
    </w:p>
    <w:p w14:paraId="5102BBC7" w14:textId="77777777" w:rsidR="004B4E35" w:rsidRPr="00405303" w:rsidRDefault="009E6F82" w:rsidP="00C15251">
      <w:pPr>
        <w:jc w:val="both"/>
        <w:rPr>
          <w:bCs/>
          <w:color w:val="002060"/>
          <w:sz w:val="16"/>
          <w:szCs w:val="16"/>
        </w:rPr>
      </w:pPr>
      <w:r w:rsidRPr="00405303">
        <w:rPr>
          <w:bCs/>
          <w:color w:val="002060"/>
          <w:sz w:val="16"/>
          <w:szCs w:val="16"/>
        </w:rPr>
        <w:t>Загрузка: бензин - 491 кг; масло - 98 кг; десять 16-ти кг бомб; пять 11-ти кг бомб; двенадцать зажигательных бомб; карабин; 260 патронов.</w:t>
      </w:r>
    </w:p>
    <w:p w14:paraId="70EA8F11" w14:textId="77777777" w:rsidR="004B4E35" w:rsidRPr="00405303" w:rsidRDefault="009E6F82" w:rsidP="00C15251">
      <w:pPr>
        <w:jc w:val="both"/>
        <w:rPr>
          <w:bCs/>
          <w:color w:val="002060"/>
          <w:sz w:val="16"/>
          <w:szCs w:val="16"/>
        </w:rPr>
      </w:pPr>
      <w:r w:rsidRPr="00405303">
        <w:rPr>
          <w:bCs/>
          <w:color w:val="002060"/>
          <w:sz w:val="16"/>
          <w:szCs w:val="16"/>
        </w:rPr>
        <w:t>Вес: 1163 кг.</w:t>
      </w:r>
    </w:p>
    <w:p w14:paraId="717F6DD8" w14:textId="77777777" w:rsidR="004B4E35" w:rsidRPr="00405303" w:rsidRDefault="009E6F82" w:rsidP="00C15251">
      <w:pPr>
        <w:jc w:val="both"/>
        <w:rPr>
          <w:bCs/>
          <w:color w:val="002060"/>
          <w:sz w:val="16"/>
          <w:szCs w:val="16"/>
        </w:rPr>
      </w:pPr>
      <w:r w:rsidRPr="00405303">
        <w:rPr>
          <w:bCs/>
          <w:color w:val="002060"/>
          <w:sz w:val="16"/>
          <w:szCs w:val="16"/>
        </w:rPr>
        <w:t>Полетный план: Влодава - р. Буг - восточнее деревни Грабовец - Юнивь - Бельжец - Шебржешин - Красно- став - Холм.</w:t>
      </w:r>
    </w:p>
    <w:p w14:paraId="40A5DC3F" w14:textId="77777777" w:rsidR="004B4E35" w:rsidRPr="00405303" w:rsidRDefault="009E6F82" w:rsidP="00C15251">
      <w:pPr>
        <w:jc w:val="both"/>
        <w:rPr>
          <w:bCs/>
          <w:color w:val="002060"/>
          <w:sz w:val="16"/>
          <w:szCs w:val="16"/>
        </w:rPr>
      </w:pPr>
      <w:r w:rsidRPr="00405303">
        <w:rPr>
          <w:bCs/>
          <w:color w:val="002060"/>
          <w:sz w:val="16"/>
          <w:szCs w:val="16"/>
        </w:rPr>
        <w:t>Продолжительность полета: 4 часа, с 4:00 до 8:00 утра.</w:t>
      </w:r>
    </w:p>
    <w:p w14:paraId="35FF4291" w14:textId="77777777" w:rsidR="004B4E35" w:rsidRPr="00405303" w:rsidRDefault="009E6F82" w:rsidP="00C15251">
      <w:pPr>
        <w:jc w:val="both"/>
        <w:rPr>
          <w:bCs/>
          <w:color w:val="002060"/>
          <w:sz w:val="16"/>
          <w:szCs w:val="16"/>
        </w:rPr>
      </w:pPr>
      <w:r w:rsidRPr="00405303">
        <w:rPr>
          <w:bCs/>
          <w:color w:val="002060"/>
          <w:sz w:val="16"/>
          <w:szCs w:val="16"/>
        </w:rPr>
        <w:t>По данным нашей разведки неподалеку от деревни Гос- тинное были расположены три вражеских батареи, к северу и западу от Юнивь находился вражеский аэродром, с несколькими палаточными ангарами и зенитной батареей. На станции Любух стояли три вражеских поезда из 50 вагонов. К северу от Юнивь находилось почти 400 товарных вагонов. Далее к северу поездов замечено не было. В Шеб- ржешине стоял небольшой поезд из 60 товарных вагонов.</w:t>
      </w:r>
    </w:p>
    <w:p w14:paraId="1CA97AD0" w14:textId="77777777" w:rsidR="004B4E35" w:rsidRPr="00405303" w:rsidRDefault="009E6F82" w:rsidP="00C15251">
      <w:pPr>
        <w:jc w:val="both"/>
        <w:rPr>
          <w:bCs/>
          <w:color w:val="002060"/>
          <w:sz w:val="16"/>
          <w:szCs w:val="16"/>
        </w:rPr>
      </w:pPr>
      <w:r w:rsidRPr="00405303">
        <w:rPr>
          <w:bCs/>
          <w:color w:val="002060"/>
          <w:sz w:val="16"/>
          <w:szCs w:val="16"/>
        </w:rPr>
        <w:t>Во время рейда мы сбросили пять бомб на аэродром в окрестностях Юнивь. Кроме того, мы сбросили 4 бомбы на поезд неподалеку от станции Бельжец и пять бомб на станцию Любух. Двенадцать зажигательных бомб были сброшены на поля к югу от Шебржешина.</w:t>
      </w:r>
    </w:p>
    <w:p w14:paraId="2CD931A4" w14:textId="77777777" w:rsidR="004B4E35" w:rsidRPr="00405303" w:rsidRDefault="009E6F82" w:rsidP="00C15251">
      <w:pPr>
        <w:jc w:val="both"/>
        <w:rPr>
          <w:bCs/>
          <w:color w:val="002060"/>
          <w:sz w:val="16"/>
          <w:szCs w:val="16"/>
        </w:rPr>
      </w:pPr>
      <w:r w:rsidRPr="00405303">
        <w:rPr>
          <w:bCs/>
          <w:color w:val="002060"/>
          <w:sz w:val="16"/>
          <w:szCs w:val="16"/>
        </w:rPr>
        <w:t>Во время полета, когда мы находились на высоте 32003500 м., нас атаковали три немецких истребителя. Первый самолет противника, приблизившийся на 50 м снизу был замечен через нижний люк. В момент атаки "ИМ-Киевский", пилотируемый лейтенантом Смирновым, пролетал над Шебржешином, который находился в 42 км от линии фронта. Немедленно командир корабля Башко заменил Смирнова у штурвала. Тем временем немецкий истребитель, имея большую скоростью быстро занял позицию в 50-ти м выше и справа от "ИМ-Киевского" и открыл огонь из пулеметов. Команда заняла свои места по боевому расписанию. Лейтенант Смирнов оставался рядом с командиром корабля Башко, штабс-капитан Наумов открыл огонь из легкого пулемета, а лейтенант Лавров начал стрелять в противника из карабина.</w:t>
      </w:r>
    </w:p>
    <w:p w14:paraId="23521D46" w14:textId="77777777" w:rsidR="004B4E35" w:rsidRPr="00405303" w:rsidRDefault="009E6F82" w:rsidP="00C15251">
      <w:pPr>
        <w:jc w:val="both"/>
        <w:rPr>
          <w:bCs/>
          <w:color w:val="002060"/>
          <w:sz w:val="16"/>
          <w:szCs w:val="16"/>
        </w:rPr>
      </w:pPr>
      <w:r w:rsidRPr="00405303">
        <w:rPr>
          <w:bCs/>
          <w:color w:val="002060"/>
          <w:sz w:val="16"/>
          <w:szCs w:val="16"/>
        </w:rPr>
        <w:t>Во время первого захода вражеским пулеметным огнем были пробиты верхние топливные баки, топливные фильтры обоих правых двигателей, радиатор, топливопроводы, ведущие к левым двигателям, и окна в передней и правой части кабины. Как только топливопроводы были перебиты, левые двигатели были выключены. "ИМ-Киевский" продолжал полет лишь с двумя оставшимися двигателями на правой стороне. Немецкий самолет возобновил свою атаку, зайдя с левой стороны, но и на этот раз враг встретил сосредоточенный оборонительный огонь "Ильи Муромца". Немец затем резко отвернул вправо, нырнул и пошел вниз по направлению к Замостью.</w:t>
      </w:r>
    </w:p>
    <w:p w14:paraId="2039BEDA" w14:textId="77777777" w:rsidR="004B4E35" w:rsidRPr="00405303" w:rsidRDefault="009E6F82" w:rsidP="00C15251">
      <w:pPr>
        <w:jc w:val="both"/>
        <w:rPr>
          <w:bCs/>
          <w:color w:val="002060"/>
          <w:sz w:val="16"/>
          <w:szCs w:val="16"/>
        </w:rPr>
      </w:pPr>
      <w:r w:rsidRPr="00405303">
        <w:rPr>
          <w:bCs/>
          <w:color w:val="002060"/>
          <w:sz w:val="16"/>
          <w:szCs w:val="16"/>
        </w:rPr>
        <w:t>После атаки лейтенант Смирнов взял на себя управление воздушным кораблем, и лейтенант Лавров перевязал капитана Башко, который был ранен в голову и в ногу. Через короткое время Башко вновь вернулся к управлению, в то время как Смирнов и Лавров по очереди закрывали ру- камй пробитый топливный фильтр в надежде остановить утечку топлива. Во время первой вражеской атаки было выпущено двадцать пять патронов из одного магазина и пятнадцать из другого, прежде чем пулемет заклинило. Позднее было обнаружено, что сломана пружина возвратного механизма.</w:t>
      </w:r>
    </w:p>
    <w:p w14:paraId="625B826A" w14:textId="77777777" w:rsidR="004B4E35" w:rsidRPr="00405303" w:rsidRDefault="009E6F82" w:rsidP="00C15251">
      <w:pPr>
        <w:jc w:val="both"/>
        <w:rPr>
          <w:bCs/>
          <w:color w:val="002060"/>
          <w:sz w:val="16"/>
          <w:szCs w:val="16"/>
        </w:rPr>
      </w:pPr>
      <w:r w:rsidRPr="00405303">
        <w:rPr>
          <w:bCs/>
          <w:color w:val="002060"/>
          <w:sz w:val="16"/>
          <w:szCs w:val="16"/>
        </w:rPr>
        <w:t>Появился другой вражеский самолет, сделал проход по левой стороне и открыл огонь из пулемета. Смирнов ответил на этот огонь стрельбой из карабина. К сожалению, Лавров находился в кабине рядом с фильтром и не мог отреагировать. Наумов тщетно пытался починить легкий пулемет. Смирнов затем передал карабин Наумову, заменив Лаврова у фильтра. Лавров, пытаясь предотвратить утечку топлива, серьезно обморозил руки. К счастью, вражеский истребитель не стал делать еще один заход.</w:t>
      </w:r>
    </w:p>
    <w:p w14:paraId="6BA718D0" w14:textId="77777777" w:rsidR="004B4E35" w:rsidRPr="00405303" w:rsidRDefault="009E6F82" w:rsidP="00C15251">
      <w:pPr>
        <w:jc w:val="both"/>
        <w:rPr>
          <w:bCs/>
          <w:color w:val="002060"/>
          <w:sz w:val="16"/>
          <w:szCs w:val="16"/>
        </w:rPr>
      </w:pPr>
      <w:r w:rsidRPr="00405303">
        <w:rPr>
          <w:bCs/>
          <w:color w:val="002060"/>
          <w:sz w:val="16"/>
          <w:szCs w:val="16"/>
        </w:rPr>
        <w:t>Когда "ИМ-Киевский" достиг линии окопов, третий немецкий истребитель приблизился сверху и слева и открыл огонь с большого расстояния. В то же самое время открыла огонь немецкая зенитная артиллерия. Когда началась эта атака, "ИМ-Киевский" находился на высоте 1400-1500 м.</w:t>
      </w:r>
    </w:p>
    <w:p w14:paraId="046FCA85" w14:textId="77777777" w:rsidR="004B4E35" w:rsidRPr="00405303" w:rsidRDefault="009E6F82" w:rsidP="00C15251">
      <w:pPr>
        <w:jc w:val="both"/>
        <w:rPr>
          <w:bCs/>
          <w:color w:val="002060"/>
          <w:sz w:val="16"/>
          <w:szCs w:val="16"/>
        </w:rPr>
      </w:pPr>
      <w:r w:rsidRPr="00405303">
        <w:rPr>
          <w:bCs/>
          <w:color w:val="002060"/>
          <w:sz w:val="16"/>
          <w:szCs w:val="16"/>
        </w:rPr>
        <w:t>Во время подхода к городу Холм на высоте 700 м топливо кончилось, и двигатели с правой стороны резко остановились. Экипаж... совершил вынужденную посадку на заболоченный луг неподалеку от деревни Городище, которая расположена в 4-х или 5-ти км от Холма. Место вынужденной посадки оказалось поблизости от аэродрома 24-го авиационного отряда. У "ИМ-Киевского" была повреждена левая сторона шасси, четыре стойки, пропеллер второго двигателя, нервюры...</w:t>
      </w:r>
    </w:p>
    <w:p w14:paraId="4FB8F39B" w14:textId="77777777" w:rsidR="004B4E35" w:rsidRPr="00405303" w:rsidRDefault="009E6F82" w:rsidP="00C15251">
      <w:pPr>
        <w:jc w:val="both"/>
        <w:rPr>
          <w:bCs/>
          <w:color w:val="002060"/>
          <w:sz w:val="16"/>
          <w:szCs w:val="16"/>
        </w:rPr>
      </w:pPr>
      <w:r w:rsidRPr="00405303">
        <w:rPr>
          <w:bCs/>
          <w:color w:val="002060"/>
          <w:sz w:val="16"/>
          <w:szCs w:val="16"/>
        </w:rPr>
        <w:t>Во время осмотра самолета после посадки команда обнаружила серьезный ущерб от вражеского пулеметного огня - пропеллер третьего двигателя был пробит в двух местах; крепление третьего двигателя было повреждено; кожух второго двигателя был также пробит; повреждено магнето двигателя номер два; получило попадание крепление двигателя номер два; выбоины и пулевые отметки по всей поверхности аэроплана.</w:t>
      </w:r>
    </w:p>
    <w:p w14:paraId="0566705B" w14:textId="77777777" w:rsidR="004B4E35" w:rsidRPr="00405303" w:rsidRDefault="009E6F82" w:rsidP="00C15251">
      <w:pPr>
        <w:jc w:val="both"/>
        <w:rPr>
          <w:bCs/>
          <w:color w:val="002060"/>
          <w:sz w:val="16"/>
          <w:szCs w:val="16"/>
        </w:rPr>
      </w:pPr>
      <w:r w:rsidRPr="00405303">
        <w:rPr>
          <w:bCs/>
          <w:color w:val="002060"/>
          <w:sz w:val="16"/>
          <w:szCs w:val="16"/>
        </w:rPr>
        <w:t>Несмотря на свои раны, капитан Башко сумел посадить "ИМ-Киевский". Его раны были обработаны в деревне Городище. Позднее он был отвезен в госпиталь Всероссийского дворянского общества во Влодаве. Башко получил пулевое ранение в икру ноги, выше колена и в бедро, а по касательной - в голову.</w:t>
      </w:r>
    </w:p>
    <w:p w14:paraId="45F10DE1" w14:textId="77777777" w:rsidR="004B4E35" w:rsidRPr="00405303" w:rsidRDefault="009E6F82" w:rsidP="00C15251">
      <w:pPr>
        <w:jc w:val="both"/>
        <w:rPr>
          <w:bCs/>
          <w:color w:val="002060"/>
          <w:sz w:val="16"/>
          <w:szCs w:val="16"/>
        </w:rPr>
      </w:pPr>
      <w:r w:rsidRPr="00405303">
        <w:rPr>
          <w:bCs/>
          <w:color w:val="002060"/>
          <w:sz w:val="16"/>
          <w:szCs w:val="16"/>
        </w:rPr>
        <w:t>Подпись: Старший офицер ЭВК капитан Горшков".</w:t>
      </w:r>
    </w:p>
    <w:p w14:paraId="4BAE3AC4" w14:textId="77777777" w:rsidR="004B4E35" w:rsidRPr="00405303" w:rsidRDefault="009E6F82" w:rsidP="00C15251">
      <w:pPr>
        <w:jc w:val="both"/>
        <w:rPr>
          <w:bCs/>
          <w:color w:val="002060"/>
          <w:sz w:val="16"/>
          <w:szCs w:val="16"/>
        </w:rPr>
      </w:pPr>
      <w:r w:rsidRPr="00405303">
        <w:rPr>
          <w:bCs/>
          <w:color w:val="002060"/>
          <w:sz w:val="16"/>
          <w:szCs w:val="16"/>
        </w:rPr>
        <w:t>Телеграмма из Ставки № 373 лейтенанту Башко:</w:t>
      </w:r>
    </w:p>
    <w:p w14:paraId="76115CB9" w14:textId="77777777" w:rsidR="004B4E35" w:rsidRPr="00405303" w:rsidRDefault="009E6F82" w:rsidP="00C15251">
      <w:pPr>
        <w:jc w:val="both"/>
        <w:rPr>
          <w:bCs/>
          <w:color w:val="002060"/>
          <w:sz w:val="16"/>
          <w:szCs w:val="16"/>
        </w:rPr>
      </w:pPr>
      <w:r w:rsidRPr="00405303">
        <w:rPr>
          <w:bCs/>
          <w:color w:val="002060"/>
          <w:sz w:val="16"/>
          <w:szCs w:val="16"/>
        </w:rPr>
        <w:t>"Ставка верховного командования предписала нам выразить нашу искреннюю благодарность вам и вашему экипажу за ваш героический поступок.</w:t>
      </w:r>
    </w:p>
    <w:p w14:paraId="131F1826" w14:textId="77777777" w:rsidR="004B4E35" w:rsidRPr="00405303" w:rsidRDefault="009E6F82" w:rsidP="00C15251">
      <w:pPr>
        <w:jc w:val="both"/>
        <w:rPr>
          <w:bCs/>
          <w:color w:val="002060"/>
          <w:sz w:val="16"/>
          <w:szCs w:val="16"/>
        </w:rPr>
      </w:pPr>
      <w:r w:rsidRPr="00405303">
        <w:rPr>
          <w:bCs/>
          <w:color w:val="002060"/>
          <w:sz w:val="16"/>
          <w:szCs w:val="16"/>
        </w:rPr>
        <w:t>... Янушкевич".</w:t>
      </w:r>
    </w:p>
    <w:p w14:paraId="2AEE35DC" w14:textId="77777777" w:rsidR="004B4E35" w:rsidRPr="00405303" w:rsidRDefault="009E6F82" w:rsidP="00C15251">
      <w:pPr>
        <w:jc w:val="both"/>
        <w:rPr>
          <w:bCs/>
          <w:color w:val="002060"/>
          <w:sz w:val="16"/>
          <w:szCs w:val="16"/>
        </w:rPr>
      </w:pPr>
      <w:r w:rsidRPr="00405303">
        <w:rPr>
          <w:bCs/>
          <w:color w:val="002060"/>
          <w:sz w:val="16"/>
          <w:szCs w:val="16"/>
        </w:rPr>
        <w:t>По приказу Ставки лейтенант Башко и лейтенант Лавров были повышены и получили Крест св. Георгия II степени. Штабс-капитан Наумов и лейтенант Смирнов также получили награды. Телеграмма с описанием воздушного боя, подписанная капитаном Горшковым, была послана Николаю И (11999).</w:t>
      </w:r>
    </w:p>
    <w:p w14:paraId="0F94FA6A" w14:textId="77777777" w:rsidR="004B4E35" w:rsidRPr="00405303" w:rsidRDefault="004B4E35" w:rsidP="00C15251">
      <w:pPr>
        <w:jc w:val="both"/>
        <w:rPr>
          <w:bCs/>
          <w:color w:val="002060"/>
          <w:sz w:val="16"/>
          <w:szCs w:val="16"/>
        </w:rPr>
      </w:pPr>
    </w:p>
    <w:p w14:paraId="61575E8A" w14:textId="542D3272" w:rsidR="004B4E35" w:rsidRPr="00405303" w:rsidRDefault="009E6F82" w:rsidP="00C15251">
      <w:pPr>
        <w:jc w:val="both"/>
        <w:rPr>
          <w:bCs/>
          <w:color w:val="002060"/>
          <w:sz w:val="16"/>
          <w:szCs w:val="16"/>
        </w:rPr>
      </w:pPr>
      <w:r w:rsidRPr="00405303">
        <w:rPr>
          <w:bCs/>
          <w:color w:val="002060"/>
          <w:sz w:val="16"/>
          <w:szCs w:val="16"/>
        </w:rPr>
        <w:t xml:space="preserve">19 июля (1 августа) </w:t>
      </w:r>
      <w:r w:rsidR="001050C9" w:rsidRPr="00405303">
        <w:rPr>
          <w:bCs/>
          <w:color w:val="002060"/>
          <w:sz w:val="16"/>
          <w:szCs w:val="16"/>
        </w:rPr>
        <w:t xml:space="preserve">1915 г. </w:t>
      </w:r>
      <w:r w:rsidRPr="00405303">
        <w:rPr>
          <w:bCs/>
          <w:color w:val="002060"/>
          <w:sz w:val="16"/>
          <w:szCs w:val="16"/>
        </w:rPr>
        <w:t>в Варшаву прибыл второй взвод автомобильной батареи (штабс-капитан Величко). Но участь города уже была решена: 22 июля (4 августа) русские войска оставили Варшаву. Батарея Тарновского убыла в Острув, где находился штаб 12-й армии. Авиаотряды были эвакуированы в Новоминск (ныне Миньск-Мазовецки). На следующий день в столицу Царства Польского вступили части 9-й германской армии.</w:t>
      </w:r>
    </w:p>
    <w:p w14:paraId="6FD2D083" w14:textId="77777777" w:rsidR="004B4E35" w:rsidRPr="00405303" w:rsidRDefault="009E6F82" w:rsidP="00C15251">
      <w:pPr>
        <w:jc w:val="both"/>
        <w:rPr>
          <w:bCs/>
          <w:color w:val="002060"/>
          <w:sz w:val="16"/>
          <w:szCs w:val="16"/>
        </w:rPr>
      </w:pPr>
      <w:r w:rsidRPr="00405303">
        <w:rPr>
          <w:bCs/>
          <w:color w:val="002060"/>
          <w:sz w:val="16"/>
          <w:szCs w:val="16"/>
        </w:rPr>
        <w:t xml:space="preserve">Опыт противовоздушной обороны Варшавы (сентябрь 1914 – июль 1915 г.), города с почти миллионным населением, показал, что использование даже приспособленных средств борьбы с авиацией противника снижает вероятность поражения военных и гражданских объектов. Так, из 124 бомб, сброшенных на город и его окрестности за 10 месяцев (из них 78 за четыре месяца 1914 г.), только 15 были направлены против укреплений и артиллерийских позиций (10 (23) в 1914 г.). Остальные снаряды падали на городские объекты, причем только ничтожная их часть попала в здания и сооружения пяти вокзалов (15) и многочисленных казарм (4). </w:t>
      </w:r>
      <w:r w:rsidRPr="00405303">
        <w:rPr>
          <w:bCs/>
          <w:color w:val="002060"/>
          <w:sz w:val="16"/>
          <w:szCs w:val="16"/>
        </w:rPr>
        <w:lastRenderedPageBreak/>
        <w:t>Александровская цитадель, места размещения генерал-губернатора и губернских управлений не были поражены ни разу, ни один мост через Вислу не был разрушен (достигнуто всего одно попадание). В период Варшавско-Ивангородской (октябрь 1914 г.) операции через город без потерь проследовали для занятия ударных плацдармов шесть корпусов (250 тысяч человек).</w:t>
      </w:r>
    </w:p>
    <w:p w14:paraId="05961F83" w14:textId="77777777" w:rsidR="004B4E35" w:rsidRPr="00405303" w:rsidRDefault="009E6F82" w:rsidP="00C15251">
      <w:pPr>
        <w:jc w:val="both"/>
        <w:rPr>
          <w:bCs/>
          <w:color w:val="002060"/>
          <w:sz w:val="16"/>
          <w:szCs w:val="16"/>
        </w:rPr>
      </w:pPr>
      <w:r w:rsidRPr="00405303">
        <w:rPr>
          <w:bCs/>
          <w:color w:val="002060"/>
          <w:sz w:val="16"/>
          <w:szCs w:val="16"/>
        </w:rPr>
        <w:t>Безусловно, в этом была заслуга противоаэропланных батарей, ведших обстрел самолетов и дирижаблей противника не только на подходе к городу, но и непосредственно во время проведения бомбометания. Хотя ни один воздушный аппарат противника не был уничтожен, воздействие от вражеских бомбардировок (даже моральное) было минимальным, и это при том, что ни один крупный административный центр Российской империи не подвергался столь масштабным ударам с воздуха. Да и дело это было новым: впервые в мире, опередив все воюющие державы, русские артиллеристы и летчики организовали противовоздушную оборону крупного города.</w:t>
      </w:r>
    </w:p>
    <w:p w14:paraId="6B43AA0C" w14:textId="77777777" w:rsidR="004B4E35" w:rsidRPr="00405303" w:rsidRDefault="009E6F82" w:rsidP="00C15251">
      <w:pPr>
        <w:jc w:val="both"/>
        <w:rPr>
          <w:bCs/>
          <w:color w:val="002060"/>
          <w:sz w:val="16"/>
          <w:szCs w:val="16"/>
        </w:rPr>
      </w:pPr>
      <w:r w:rsidRPr="00405303">
        <w:rPr>
          <w:bCs/>
          <w:color w:val="002060"/>
          <w:sz w:val="16"/>
          <w:szCs w:val="16"/>
        </w:rPr>
        <w:t>Тем не менее, необходимо отметить, что гражданское население города на первых порах оказалось слабо защищенным; судьба жителей фактически зависела от количественных и качественных характеристик оружия, применяемого противником в воздухе. Централизация управления ПВО Варшавы, столь необходимая осенью 1914 года, была предпринята тогда, когда пик активности врага в воздухе уже прошел, она носила формальный характер и ограничивалась лишь вопросами тактического взаимодействия родов войск.</w:t>
      </w:r>
    </w:p>
    <w:p w14:paraId="1DDF76D0" w14:textId="77777777" w:rsidR="004B4E35" w:rsidRPr="00405303" w:rsidRDefault="009E6F82" w:rsidP="00C15251">
      <w:pPr>
        <w:jc w:val="both"/>
        <w:rPr>
          <w:bCs/>
          <w:color w:val="002060"/>
          <w:sz w:val="16"/>
          <w:szCs w:val="16"/>
        </w:rPr>
      </w:pPr>
      <w:r w:rsidRPr="00405303">
        <w:rPr>
          <w:bCs/>
          <w:color w:val="002060"/>
          <w:sz w:val="16"/>
          <w:szCs w:val="16"/>
        </w:rPr>
        <w:t>Реальный практический опыт противовоздушной обороны Варшавы, прежде всего, использовался для организации и развития ПВО тех городов, которые не подвергались никакому воздействию со стороны авиации противника (Петроград, Могилев). Но уже осенью 1915 года русские войска успешно наладили оборону воздушного пространства над Ригой, Двинском, Минском, Псковом - городами, где размещались крупные штабы и центры управления, где находились важные транспортные узлы. Прошли годы, и подвиги русских воинов были незаслуженно забыты. Однако сейчас благодарные потомки снова обращаются к страницам славной истории: именно из Варшавы начался боевой путь войск противовоздушной обороны.</w:t>
      </w:r>
    </w:p>
    <w:p w14:paraId="20DDC522" w14:textId="77777777" w:rsidR="004B4E35" w:rsidRPr="00405303" w:rsidRDefault="004B4E35" w:rsidP="00C15251">
      <w:pPr>
        <w:jc w:val="both"/>
        <w:rPr>
          <w:bCs/>
          <w:i/>
          <w:color w:val="002060"/>
          <w:sz w:val="16"/>
          <w:szCs w:val="16"/>
        </w:rPr>
      </w:pPr>
    </w:p>
    <w:p w14:paraId="5BB2E16A" w14:textId="77777777" w:rsidR="0057202F" w:rsidRPr="00405303" w:rsidRDefault="0057202F" w:rsidP="00C15251">
      <w:pPr>
        <w:jc w:val="both"/>
        <w:rPr>
          <w:bCs/>
          <w:color w:val="002060"/>
          <w:sz w:val="16"/>
          <w:szCs w:val="16"/>
        </w:rPr>
      </w:pPr>
      <w:r w:rsidRPr="00405303">
        <w:rPr>
          <w:bCs/>
          <w:color w:val="002060"/>
          <w:sz w:val="16"/>
          <w:szCs w:val="16"/>
        </w:rPr>
        <w:t>19 июля (1 августа) 1915 г. подпоручик Петр Иванович Кононенко вылетел на Вуазене на разведку и несмотря на атаки немецкого "Альбатроса" и сильный обстрел с земли, проник в тыл противника, где обнаружил движение немецкой колонны на фланги наших армий. Данные разведки сущеотвенно повлияли на дальнейший ход операций наших войск.</w:t>
      </w:r>
    </w:p>
    <w:p w14:paraId="787E996A" w14:textId="77777777" w:rsidR="0057202F" w:rsidRPr="00405303" w:rsidRDefault="0057202F" w:rsidP="00C15251">
      <w:pPr>
        <w:jc w:val="both"/>
        <w:rPr>
          <w:bCs/>
          <w:color w:val="002060"/>
          <w:sz w:val="16"/>
          <w:szCs w:val="16"/>
        </w:rPr>
      </w:pPr>
      <w:r w:rsidRPr="00405303">
        <w:rPr>
          <w:bCs/>
          <w:color w:val="002060"/>
          <w:sz w:val="16"/>
          <w:szCs w:val="16"/>
        </w:rPr>
        <w:t>/ЦГВИА, ф. 493, оп. 3, д. 129, л. 121/ (23320).</w:t>
      </w:r>
    </w:p>
    <w:p w14:paraId="2BD065A7" w14:textId="77777777" w:rsidR="0057202F" w:rsidRPr="00405303" w:rsidRDefault="0057202F" w:rsidP="00C15251">
      <w:pPr>
        <w:jc w:val="both"/>
        <w:rPr>
          <w:bCs/>
          <w:color w:val="002060"/>
          <w:sz w:val="16"/>
          <w:szCs w:val="16"/>
        </w:rPr>
      </w:pPr>
    </w:p>
    <w:p w14:paraId="44DF7F11" w14:textId="3457339C" w:rsidR="009553F0" w:rsidRPr="00405303" w:rsidRDefault="009553F0" w:rsidP="00C15251">
      <w:pPr>
        <w:jc w:val="both"/>
        <w:rPr>
          <w:bCs/>
          <w:color w:val="002060"/>
          <w:sz w:val="16"/>
          <w:szCs w:val="16"/>
        </w:rPr>
      </w:pPr>
      <w:r w:rsidRPr="00405303">
        <w:rPr>
          <w:bCs/>
          <w:color w:val="002060"/>
          <w:sz w:val="16"/>
          <w:szCs w:val="16"/>
        </w:rPr>
        <w:t>19 июля (1 августа) 1915 г.</w:t>
      </w:r>
    </w:p>
    <w:p w14:paraId="4D1A7CBA" w14:textId="77777777" w:rsidR="009553F0" w:rsidRPr="00405303" w:rsidRDefault="009553F0" w:rsidP="00C15251">
      <w:pPr>
        <w:jc w:val="both"/>
        <w:rPr>
          <w:bCs/>
          <w:color w:val="002060"/>
          <w:sz w:val="16"/>
          <w:szCs w:val="16"/>
        </w:rPr>
      </w:pPr>
      <w:r w:rsidRPr="00405303">
        <w:rPr>
          <w:bCs/>
          <w:color w:val="002060"/>
          <w:sz w:val="16"/>
          <w:szCs w:val="16"/>
        </w:rPr>
        <w:t>Командующему ЭВК</w:t>
      </w:r>
    </w:p>
    <w:p w14:paraId="0C2FC557" w14:textId="77777777" w:rsidR="009553F0" w:rsidRPr="00405303" w:rsidRDefault="009553F0" w:rsidP="00C15251">
      <w:pPr>
        <w:jc w:val="both"/>
        <w:rPr>
          <w:bCs/>
          <w:color w:val="002060"/>
          <w:sz w:val="16"/>
          <w:szCs w:val="16"/>
        </w:rPr>
      </w:pPr>
      <w:r w:rsidRPr="00405303">
        <w:rPr>
          <w:bCs/>
          <w:color w:val="002060"/>
          <w:sz w:val="16"/>
          <w:szCs w:val="16"/>
        </w:rPr>
        <w:t>19 июля 1915 г.,</w:t>
      </w:r>
    </w:p>
    <w:p w14:paraId="1FB23EF3" w14:textId="77777777" w:rsidR="009553F0" w:rsidRPr="00405303" w:rsidRDefault="009553F0" w:rsidP="00C15251">
      <w:pPr>
        <w:jc w:val="both"/>
        <w:rPr>
          <w:bCs/>
          <w:color w:val="002060"/>
          <w:sz w:val="16"/>
          <w:szCs w:val="16"/>
        </w:rPr>
      </w:pPr>
      <w:r w:rsidRPr="00405303">
        <w:rPr>
          <w:bCs/>
          <w:color w:val="002060"/>
          <w:sz w:val="16"/>
          <w:szCs w:val="16"/>
        </w:rPr>
        <w:t>рапорт № 125</w:t>
      </w:r>
    </w:p>
    <w:p w14:paraId="1425A76D" w14:textId="77777777" w:rsidR="009553F0" w:rsidRPr="00405303" w:rsidRDefault="009553F0" w:rsidP="00C15251">
      <w:pPr>
        <w:jc w:val="both"/>
        <w:rPr>
          <w:bCs/>
          <w:color w:val="002060"/>
          <w:sz w:val="16"/>
          <w:szCs w:val="16"/>
        </w:rPr>
      </w:pPr>
      <w:r w:rsidRPr="00405303">
        <w:rPr>
          <w:bCs/>
          <w:color w:val="002060"/>
          <w:sz w:val="16"/>
          <w:szCs w:val="16"/>
        </w:rPr>
        <w:t>Влодава</w:t>
      </w:r>
    </w:p>
    <w:p w14:paraId="0394CE74" w14:textId="77777777" w:rsidR="009553F0" w:rsidRPr="00405303" w:rsidRDefault="009553F0" w:rsidP="00C15251">
      <w:pPr>
        <w:jc w:val="both"/>
        <w:rPr>
          <w:bCs/>
          <w:color w:val="002060"/>
          <w:sz w:val="16"/>
          <w:szCs w:val="16"/>
        </w:rPr>
      </w:pPr>
      <w:r w:rsidRPr="00405303">
        <w:rPr>
          <w:bCs/>
          <w:color w:val="002060"/>
          <w:sz w:val="16"/>
          <w:szCs w:val="16"/>
        </w:rPr>
        <w:t>Настоящим я докладываю о полете ИМ-Киевского, состоявшемся в вышеуказанный день.</w:t>
      </w:r>
    </w:p>
    <w:p w14:paraId="7EC0E10C" w14:textId="77777777" w:rsidR="009553F0" w:rsidRPr="00405303" w:rsidRDefault="009553F0" w:rsidP="00C15251">
      <w:pPr>
        <w:jc w:val="both"/>
        <w:rPr>
          <w:bCs/>
          <w:color w:val="002060"/>
          <w:sz w:val="16"/>
          <w:szCs w:val="16"/>
        </w:rPr>
      </w:pPr>
      <w:r w:rsidRPr="00405303">
        <w:rPr>
          <w:bCs/>
          <w:color w:val="002060"/>
          <w:sz w:val="16"/>
          <w:szCs w:val="16"/>
        </w:rPr>
        <w:t>Члены экипажа: командир корабля, капитан Башко; заместитель командира, лейтенант Смирнов; артиллерийский офицер, штабс-капитан Наумов; механик, лейтенант Лавров.</w:t>
      </w:r>
    </w:p>
    <w:p w14:paraId="4886904E" w14:textId="77777777" w:rsidR="009553F0" w:rsidRPr="00405303" w:rsidRDefault="009553F0" w:rsidP="00C15251">
      <w:pPr>
        <w:jc w:val="both"/>
        <w:rPr>
          <w:bCs/>
          <w:color w:val="002060"/>
          <w:sz w:val="16"/>
          <w:szCs w:val="16"/>
        </w:rPr>
      </w:pPr>
      <w:r w:rsidRPr="00405303">
        <w:rPr>
          <w:bCs/>
          <w:color w:val="002060"/>
          <w:sz w:val="16"/>
          <w:szCs w:val="16"/>
        </w:rPr>
        <w:t>Загрузка: бензин, 491 кг; масло, 98 кг; десять 16-кг бомб; пять 11-кг бомб; двенадцать зажигательных бомб; карабин; 260 патронов.</w:t>
      </w:r>
    </w:p>
    <w:p w14:paraId="6D5ADF6B" w14:textId="77777777" w:rsidR="009553F0" w:rsidRPr="00405303" w:rsidRDefault="009553F0" w:rsidP="00C15251">
      <w:pPr>
        <w:jc w:val="both"/>
        <w:rPr>
          <w:bCs/>
          <w:color w:val="002060"/>
          <w:sz w:val="16"/>
          <w:szCs w:val="16"/>
        </w:rPr>
      </w:pPr>
      <w:r w:rsidRPr="00405303">
        <w:rPr>
          <w:bCs/>
          <w:color w:val="002060"/>
          <w:sz w:val="16"/>
          <w:szCs w:val="16"/>
        </w:rPr>
        <w:t>Вес: 1163 кг.</w:t>
      </w:r>
    </w:p>
    <w:p w14:paraId="5239F8F7" w14:textId="77777777" w:rsidR="009553F0" w:rsidRPr="00405303" w:rsidRDefault="009553F0" w:rsidP="00C15251">
      <w:pPr>
        <w:jc w:val="both"/>
        <w:rPr>
          <w:bCs/>
          <w:color w:val="002060"/>
          <w:sz w:val="16"/>
          <w:szCs w:val="16"/>
        </w:rPr>
      </w:pPr>
      <w:r w:rsidRPr="00405303">
        <w:rPr>
          <w:bCs/>
          <w:color w:val="002060"/>
          <w:sz w:val="16"/>
          <w:szCs w:val="16"/>
        </w:rPr>
        <w:t>Полетный план: Влодава — р. Буг — восточнее деревни Грабовец — Юнивь — Бельжец — Шебржешин — Красностав — Холм.</w:t>
      </w:r>
    </w:p>
    <w:p w14:paraId="1511078E" w14:textId="77777777" w:rsidR="009553F0" w:rsidRPr="00405303" w:rsidRDefault="009553F0" w:rsidP="00C15251">
      <w:pPr>
        <w:jc w:val="both"/>
        <w:rPr>
          <w:bCs/>
          <w:color w:val="002060"/>
          <w:sz w:val="16"/>
          <w:szCs w:val="16"/>
        </w:rPr>
      </w:pPr>
      <w:r w:rsidRPr="00405303">
        <w:rPr>
          <w:bCs/>
          <w:color w:val="002060"/>
          <w:sz w:val="16"/>
          <w:szCs w:val="16"/>
        </w:rPr>
        <w:t>Продолжительность полета: 4 часа, с 4:00 до 8:00 утра.</w:t>
      </w:r>
    </w:p>
    <w:p w14:paraId="495B94AC" w14:textId="77777777" w:rsidR="009553F0" w:rsidRPr="00405303" w:rsidRDefault="009553F0" w:rsidP="00C15251">
      <w:pPr>
        <w:jc w:val="both"/>
        <w:rPr>
          <w:bCs/>
          <w:color w:val="002060"/>
          <w:sz w:val="16"/>
          <w:szCs w:val="16"/>
        </w:rPr>
      </w:pPr>
      <w:r w:rsidRPr="00405303">
        <w:rPr>
          <w:bCs/>
          <w:color w:val="002060"/>
          <w:sz w:val="16"/>
          <w:szCs w:val="16"/>
        </w:rPr>
        <w:t>По данным нашей разведки неподалеку от деревни Гостинное были расположены три вражеских батареи, к северу и западу от Юнивь находился вражеский аэродром, с несколькими палаточными ангарами и зенитной батареей. На станции Любух стояли три вражеских поезда из 50 вагонов. К северу от Юнива находилось почти 400 товарных вагонов. Далее к северу поездов замечено не было. В Шебржешине стоял небольшой поезд из 60 товарных вагонов.</w:t>
      </w:r>
    </w:p>
    <w:p w14:paraId="59636C44" w14:textId="77777777" w:rsidR="009553F0" w:rsidRPr="00405303" w:rsidRDefault="009553F0" w:rsidP="00C15251">
      <w:pPr>
        <w:jc w:val="both"/>
        <w:rPr>
          <w:bCs/>
          <w:color w:val="002060"/>
          <w:sz w:val="16"/>
          <w:szCs w:val="16"/>
        </w:rPr>
      </w:pPr>
      <w:r w:rsidRPr="00405303">
        <w:rPr>
          <w:bCs/>
          <w:color w:val="002060"/>
          <w:sz w:val="16"/>
          <w:szCs w:val="16"/>
        </w:rPr>
        <w:t>Во время рейда мы сбросили пять бомб на аэродром в окрестностях Юнива. Кроме того, мы сбросили 4 бомбы на поезд неподалеку от станции Бельжец и пять бомб на станцию Любух. Двенадцать зажигательных бомб были сброшены на поля к югу от Шебржешина.</w:t>
      </w:r>
    </w:p>
    <w:p w14:paraId="563D481D" w14:textId="77777777" w:rsidR="009553F0" w:rsidRPr="00405303" w:rsidRDefault="009553F0" w:rsidP="00C15251">
      <w:pPr>
        <w:jc w:val="both"/>
        <w:rPr>
          <w:bCs/>
          <w:color w:val="002060"/>
          <w:sz w:val="16"/>
          <w:szCs w:val="16"/>
        </w:rPr>
      </w:pPr>
      <w:r w:rsidRPr="00405303">
        <w:rPr>
          <w:bCs/>
          <w:color w:val="002060"/>
          <w:sz w:val="16"/>
          <w:szCs w:val="16"/>
        </w:rPr>
        <w:t xml:space="preserve">Во время полета, когда мы находились на высоте 3200-3500 метров нас атаковали три немецких истребителя. Первый самолет противника, приблизившийся </w:t>
      </w:r>
      <w:proofErr w:type="gramStart"/>
      <w:r w:rsidRPr="00405303">
        <w:rPr>
          <w:bCs/>
          <w:color w:val="002060"/>
          <w:sz w:val="16"/>
          <w:szCs w:val="16"/>
        </w:rPr>
        <w:t>на 50 метров</w:t>
      </w:r>
      <w:proofErr w:type="gramEnd"/>
      <w:r w:rsidRPr="00405303">
        <w:rPr>
          <w:bCs/>
          <w:color w:val="002060"/>
          <w:sz w:val="16"/>
          <w:szCs w:val="16"/>
        </w:rPr>
        <w:t xml:space="preserve"> снизу был замечен через нижний люк. В момент атаки ИМ-Киевский, пилотируемый лейтенантом Смирновым, пролетал над Шебржешиным, который находился в 42 км от линии фронта. Немедленно командир корабля Башко заменил Смирнова у штурвала. Тем временем немецкий истребитель, имея большую скоростью быстро занял позицию в 50 метрах выше и справа от ИМ-Киевского и открыл огонь из пулеметов. Команда заняла свои места по боевому расписанию. Лейтенант Смирнов оставался рядом с командиром корабля Башко, штабс-капитан Наумов открыл огонь из легкого пулемета, а лейтенант Лавров начал стрелять в противника из карабина.</w:t>
      </w:r>
    </w:p>
    <w:p w14:paraId="08047175" w14:textId="77777777" w:rsidR="009553F0" w:rsidRPr="00405303" w:rsidRDefault="009553F0" w:rsidP="00C15251">
      <w:pPr>
        <w:jc w:val="both"/>
        <w:rPr>
          <w:bCs/>
          <w:color w:val="002060"/>
          <w:sz w:val="16"/>
          <w:szCs w:val="16"/>
        </w:rPr>
      </w:pPr>
      <w:r w:rsidRPr="00405303">
        <w:rPr>
          <w:bCs/>
          <w:color w:val="002060"/>
          <w:sz w:val="16"/>
          <w:szCs w:val="16"/>
        </w:rPr>
        <w:t>Во время первого захода вражеским пулеметным огнем были пробиты верхние топливные баки, топливные фильтры обоих правых двигателей, радиатор, топливопроводы, ведущие к левым двигателям, и окна в передней и правой части кабины. Как только топливопроводы были перебиты, левые двигатели были выключены. ИМ-Киевский продолжал полет лишь с двумя оставшимися двигателями на правой стороне. Немецкий самолет возобновил свою атаку, зайдя с левой стороны, но и на этот раз враг встретил сосредоточенный оборонительный огонь Ильи Муромца. Немец затем резко отвернул вправо, нырнул и пошел вниз по направлению к Замостью.</w:t>
      </w:r>
    </w:p>
    <w:p w14:paraId="2D813EB7" w14:textId="77777777" w:rsidR="009553F0" w:rsidRPr="00405303" w:rsidRDefault="009553F0" w:rsidP="00C15251">
      <w:pPr>
        <w:jc w:val="both"/>
        <w:rPr>
          <w:bCs/>
          <w:color w:val="002060"/>
          <w:sz w:val="16"/>
          <w:szCs w:val="16"/>
        </w:rPr>
      </w:pPr>
      <w:r w:rsidRPr="00405303">
        <w:rPr>
          <w:bCs/>
          <w:color w:val="002060"/>
          <w:sz w:val="16"/>
          <w:szCs w:val="16"/>
        </w:rPr>
        <w:t xml:space="preserve">После атаки лейтенант Смирнов взял на себя управление </w:t>
      </w:r>
      <w:proofErr w:type="gramStart"/>
      <w:r w:rsidRPr="00405303">
        <w:rPr>
          <w:bCs/>
          <w:color w:val="002060"/>
          <w:sz w:val="16"/>
          <w:szCs w:val="16"/>
        </w:rPr>
        <w:t>воздушным кораблем</w:t>
      </w:r>
      <w:proofErr w:type="gramEnd"/>
      <w:r w:rsidRPr="00405303">
        <w:rPr>
          <w:bCs/>
          <w:color w:val="002060"/>
          <w:sz w:val="16"/>
          <w:szCs w:val="16"/>
        </w:rPr>
        <w:t xml:space="preserve"> и лейтенант Лавров перевязал капитана Башко, который был ранен в голову и в ногу. Через короткое время Башко вновь вернулся к управлению, в то время как Смирнов и Лавров по очереди закрывали руками пробитый топливный фильтр в надежде остановить утечку топлива. Во время первой вражеской атаки была выпущено двадцать пять патронов из одного магазина и пятнадцать из другого, прежде чем пулемет заклинило. Позднее было обнаружено, что сломана пружина возвратного механизма.</w:t>
      </w:r>
    </w:p>
    <w:p w14:paraId="524FC893" w14:textId="77777777" w:rsidR="009553F0" w:rsidRPr="00405303" w:rsidRDefault="009553F0" w:rsidP="00C15251">
      <w:pPr>
        <w:jc w:val="both"/>
        <w:rPr>
          <w:bCs/>
          <w:color w:val="002060"/>
          <w:sz w:val="16"/>
          <w:szCs w:val="16"/>
        </w:rPr>
      </w:pPr>
      <w:r w:rsidRPr="00405303">
        <w:rPr>
          <w:bCs/>
          <w:color w:val="002060"/>
          <w:sz w:val="16"/>
          <w:szCs w:val="16"/>
        </w:rPr>
        <w:t>Появился другой вражеский самолет, сделал проход по левой стороне и открыл огонь из пулемета. Смирнов ответил на этот огонь стрельбой из карабина. К сожалению, Лавров находился в кабине рядом с фильтром и не мог отреагировать. Наумов тщетно пытался починить легкий пулемет. Смирнов затем передал карабин Наумову, заменив Лаврова у фильтра. Лавров, пытаясь предотвратить утечку топлива, серьезно обморозил руки. К счастью, вражеский истребитель не стал делать еще один заход.</w:t>
      </w:r>
    </w:p>
    <w:p w14:paraId="59CE7DED" w14:textId="77777777" w:rsidR="009553F0" w:rsidRPr="00405303" w:rsidRDefault="009553F0" w:rsidP="00C15251">
      <w:pPr>
        <w:jc w:val="both"/>
        <w:rPr>
          <w:bCs/>
          <w:color w:val="002060"/>
          <w:sz w:val="16"/>
          <w:szCs w:val="16"/>
        </w:rPr>
      </w:pPr>
      <w:r w:rsidRPr="00405303">
        <w:rPr>
          <w:bCs/>
          <w:color w:val="002060"/>
          <w:sz w:val="16"/>
          <w:szCs w:val="16"/>
        </w:rPr>
        <w:t>Когда ИМ-Киевский достиг линии окопов, третий немецкий истребитель приблизился сверху и слева и открыл огонь с большого расстояния. В то же самое время открыла огонь немецкая зенитная артиллерия. Когда началась эта атака, ИМ-Киевский находился на высоте 1400-1500 метров.</w:t>
      </w:r>
    </w:p>
    <w:p w14:paraId="61C1D4B9" w14:textId="77777777" w:rsidR="009553F0" w:rsidRPr="00405303" w:rsidRDefault="009553F0" w:rsidP="00C15251">
      <w:pPr>
        <w:jc w:val="both"/>
        <w:rPr>
          <w:bCs/>
          <w:color w:val="002060"/>
          <w:sz w:val="16"/>
          <w:szCs w:val="16"/>
        </w:rPr>
      </w:pPr>
      <w:r w:rsidRPr="00405303">
        <w:rPr>
          <w:bCs/>
          <w:color w:val="002060"/>
          <w:sz w:val="16"/>
          <w:szCs w:val="16"/>
        </w:rPr>
        <w:t>Во время подхода к городу Холм на высоте 700 метров топливо кончилось и двигатели с правой стороны резко остановились. Экипаж затем совершил вынужденную посадку на заболоченный луг неподалеку от деревни Городище, которая расположена в четырех или пяти км от Холма. Место вынужденной посадки оказалось поблизости от аэродрома двадцать четвертого авиационного отряда. У ИМ-Киевского была повреждена левая сторона шасси, четыре стойки, пропеллер второго двигателя, нервюры и стойки.</w:t>
      </w:r>
    </w:p>
    <w:p w14:paraId="640A9F10" w14:textId="77777777" w:rsidR="009553F0" w:rsidRPr="00405303" w:rsidRDefault="009553F0" w:rsidP="00C15251">
      <w:pPr>
        <w:jc w:val="both"/>
        <w:rPr>
          <w:bCs/>
          <w:color w:val="002060"/>
          <w:sz w:val="16"/>
          <w:szCs w:val="16"/>
        </w:rPr>
      </w:pPr>
      <w:r w:rsidRPr="00405303">
        <w:rPr>
          <w:bCs/>
          <w:color w:val="002060"/>
          <w:sz w:val="16"/>
          <w:szCs w:val="16"/>
        </w:rPr>
        <w:t>Во время осмотра самолета после посадки команда обнаружила серьезный ущерб от вражеского пулеметного огня — пропеллер третьего двигателя был пробит в двух местах; крепление третьего двигателя было повреждено; кожух второго двигателя был также пробит; повреждено магнето двигателя номер два; получило попадание крепление двигателя номер два; выбоины и пулевые отметки по всей поверхности аэроплана.</w:t>
      </w:r>
    </w:p>
    <w:p w14:paraId="06850B32" w14:textId="77777777" w:rsidR="009553F0" w:rsidRPr="00405303" w:rsidRDefault="009553F0" w:rsidP="00C15251">
      <w:pPr>
        <w:jc w:val="both"/>
        <w:rPr>
          <w:bCs/>
          <w:color w:val="002060"/>
          <w:sz w:val="16"/>
          <w:szCs w:val="16"/>
        </w:rPr>
      </w:pPr>
      <w:r w:rsidRPr="00405303">
        <w:rPr>
          <w:bCs/>
          <w:color w:val="002060"/>
          <w:sz w:val="16"/>
          <w:szCs w:val="16"/>
        </w:rPr>
        <w:t>Несмотря на свои раны, капитан Башко сумел посадить ИМ-Киевский. Его раны были обработаны в деревне Городище. Позднее он был отвезен в госпиталь Всероссийского дворянского общества во Влодаве. Башко получил пулевое ранение в икру ноги, выше колена и в бедро, а по касательной — в голову.</w:t>
      </w:r>
    </w:p>
    <w:p w14:paraId="390B4399" w14:textId="77777777" w:rsidR="009553F0" w:rsidRPr="00405303" w:rsidRDefault="009553F0" w:rsidP="00C15251">
      <w:pPr>
        <w:jc w:val="both"/>
        <w:rPr>
          <w:bCs/>
          <w:color w:val="002060"/>
          <w:sz w:val="16"/>
          <w:szCs w:val="16"/>
        </w:rPr>
      </w:pPr>
      <w:r w:rsidRPr="00405303">
        <w:rPr>
          <w:bCs/>
          <w:color w:val="002060"/>
          <w:sz w:val="16"/>
          <w:szCs w:val="16"/>
        </w:rPr>
        <w:t>Подпись: Старший офицер ЭВК капитан Горшков (23470).</w:t>
      </w:r>
    </w:p>
    <w:p w14:paraId="002D1489" w14:textId="77777777" w:rsidR="009553F0" w:rsidRPr="00405303" w:rsidRDefault="009553F0" w:rsidP="00C15251">
      <w:pPr>
        <w:jc w:val="both"/>
        <w:rPr>
          <w:bCs/>
          <w:color w:val="002060"/>
          <w:sz w:val="16"/>
          <w:szCs w:val="16"/>
        </w:rPr>
      </w:pPr>
    </w:p>
    <w:p w14:paraId="5C7977FA" w14:textId="0269632A" w:rsidR="009553F0" w:rsidRPr="00405303" w:rsidRDefault="009553F0" w:rsidP="00C15251">
      <w:pPr>
        <w:jc w:val="both"/>
        <w:rPr>
          <w:bCs/>
          <w:color w:val="002060"/>
          <w:sz w:val="16"/>
          <w:szCs w:val="16"/>
        </w:rPr>
      </w:pPr>
      <w:r w:rsidRPr="00405303">
        <w:rPr>
          <w:bCs/>
          <w:color w:val="002060"/>
          <w:sz w:val="16"/>
          <w:szCs w:val="16"/>
        </w:rPr>
        <w:t>19 июля (1 августа) 1915 г. возле г. Белосток было зафиксировано появление неприятельского дирижабля, проводившего воздушную разведку окрестностей город</w:t>
      </w:r>
      <w:hyperlink w:anchor="bookmark1273" w:tooltip="Current Document">
        <w:r w:rsidRPr="00405303">
          <w:rPr>
            <w:rStyle w:val="ad"/>
            <w:bCs/>
            <w:color w:val="002060"/>
            <w:sz w:val="16"/>
            <w:szCs w:val="16"/>
          </w:rPr>
          <w:t>а</w:t>
        </w:r>
      </w:hyperlink>
      <w:r w:rsidRPr="00405303">
        <w:rPr>
          <w:bCs/>
          <w:color w:val="002060"/>
          <w:sz w:val="16"/>
          <w:szCs w:val="16"/>
        </w:rPr>
        <w:t>, позднее такие же полеты были отмечены над г. Остроленка.</w:t>
      </w:r>
    </w:p>
    <w:p w14:paraId="3AFC921B" w14:textId="77777777" w:rsidR="009553F0" w:rsidRPr="00405303" w:rsidRDefault="009553F0" w:rsidP="00C15251">
      <w:pPr>
        <w:jc w:val="both"/>
        <w:rPr>
          <w:bCs/>
          <w:color w:val="002060"/>
          <w:sz w:val="16"/>
          <w:szCs w:val="16"/>
        </w:rPr>
      </w:pPr>
      <w:bookmarkStart w:id="192" w:name="bookmark214"/>
      <w:r w:rsidRPr="00405303">
        <w:rPr>
          <w:bCs/>
          <w:color w:val="002060"/>
          <w:sz w:val="16"/>
          <w:szCs w:val="16"/>
        </w:rPr>
        <w:t>В тот же день бомбардировке с воздуха несколько раз подвергался г. Люблин. По данным русского командования, в течение последней недели «австро-германские летчики шестнадцать раз летали над [городом] и сбросили около сорока бомб, которыми трое обывателей убито и семь ранено»</w:t>
      </w:r>
      <w:bookmarkEnd w:id="192"/>
      <w:r w:rsidRPr="00405303">
        <w:rPr>
          <w:bCs/>
          <w:color w:val="002060"/>
          <w:sz w:val="16"/>
          <w:szCs w:val="16"/>
        </w:rPr>
        <w:t xml:space="preserve"> (23405).</w:t>
      </w:r>
    </w:p>
    <w:p w14:paraId="067DE756" w14:textId="77777777" w:rsidR="009553F0" w:rsidRPr="00405303" w:rsidRDefault="009553F0" w:rsidP="00C15251">
      <w:pPr>
        <w:jc w:val="both"/>
        <w:rPr>
          <w:bCs/>
          <w:color w:val="002060"/>
          <w:sz w:val="16"/>
          <w:szCs w:val="16"/>
        </w:rPr>
      </w:pPr>
    </w:p>
    <w:p w14:paraId="116E0503" w14:textId="77777777" w:rsidR="005458AD" w:rsidRPr="00405303" w:rsidRDefault="005458AD" w:rsidP="005458AD">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19 июля (1 августа) 1915 г. неприятельский аэроплан подверг бомбардировке н/п Грахов (сброшено 4 бомбы) (25135).</w:t>
      </w:r>
    </w:p>
    <w:p w14:paraId="44C2EDE6" w14:textId="77777777" w:rsidR="005458AD" w:rsidRPr="00405303" w:rsidRDefault="005458AD" w:rsidP="005458AD">
      <w:pPr>
        <w:jc w:val="both"/>
        <w:rPr>
          <w:rStyle w:val="aa"/>
          <w:rFonts w:ascii="Times New Roman" w:hAnsi="Times New Roman"/>
          <w:color w:val="0070C0"/>
          <w:spacing w:val="0"/>
          <w:sz w:val="16"/>
          <w:szCs w:val="16"/>
        </w:rPr>
      </w:pPr>
    </w:p>
    <w:p w14:paraId="76E06C56"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1AA907EB" w14:textId="77777777" w:rsidR="004B4E35" w:rsidRPr="00405303" w:rsidRDefault="004B4E35" w:rsidP="00C15251">
      <w:pPr>
        <w:jc w:val="both"/>
        <w:rPr>
          <w:bCs/>
          <w:i/>
          <w:color w:val="002060"/>
          <w:sz w:val="16"/>
          <w:szCs w:val="16"/>
        </w:rPr>
      </w:pPr>
    </w:p>
    <w:p w14:paraId="61A192C4" w14:textId="77777777" w:rsidR="004B4E35" w:rsidRPr="00405303" w:rsidRDefault="009E6F82" w:rsidP="00C15251">
      <w:pPr>
        <w:jc w:val="both"/>
        <w:rPr>
          <w:bCs/>
          <w:color w:val="002060"/>
          <w:sz w:val="16"/>
          <w:szCs w:val="16"/>
        </w:rPr>
      </w:pPr>
      <w:r w:rsidRPr="00405303">
        <w:rPr>
          <w:bCs/>
          <w:color w:val="002060"/>
          <w:sz w:val="16"/>
          <w:szCs w:val="16"/>
        </w:rPr>
        <w:t>19 июля (1 августа) 1915 г. капитан 2-го ранга Б. Дудоров доложил командующему флотом: "Сегодня в 3 часа дня лейтенант С.А. Лишин и кавторанг Б. Дудоров (последний в качестве пассажира) прошли вдоль берега к Михайловскому маяку, где бросили бомбу и 800 стрел. В расстоянии 30 миль на Вест от Лизе- рорта видели два крейсера, в Вин- дове у входа в реку - двухтрубное судно, из-за дождя нельзя было разобрать какое.</w:t>
      </w:r>
    </w:p>
    <w:p w14:paraId="0E886596" w14:textId="77777777" w:rsidR="004B4E35" w:rsidRPr="00405303" w:rsidRDefault="009E6F82" w:rsidP="00C15251">
      <w:pPr>
        <w:jc w:val="both"/>
        <w:rPr>
          <w:bCs/>
          <w:color w:val="002060"/>
          <w:sz w:val="16"/>
          <w:szCs w:val="16"/>
        </w:rPr>
      </w:pPr>
      <w:r w:rsidRPr="00405303">
        <w:rPr>
          <w:bCs/>
          <w:color w:val="002060"/>
          <w:sz w:val="16"/>
          <w:szCs w:val="16"/>
        </w:rPr>
        <w:t>Лейтенант Литвинов с механиком Розовым ходил к Доместосу, откуда ходил берегом к Михайловскому маяку, неприятеля не видели" (11927).</w:t>
      </w:r>
    </w:p>
    <w:p w14:paraId="21ADF30D" w14:textId="77777777" w:rsidR="004B4E35" w:rsidRPr="00405303" w:rsidRDefault="004B4E35" w:rsidP="00C15251">
      <w:pPr>
        <w:jc w:val="both"/>
        <w:rPr>
          <w:bCs/>
          <w:color w:val="002060"/>
          <w:sz w:val="16"/>
          <w:szCs w:val="16"/>
        </w:rPr>
      </w:pPr>
    </w:p>
    <w:p w14:paraId="2951FF1C" w14:textId="77777777" w:rsidR="00AB602F" w:rsidRPr="00405303" w:rsidRDefault="00AB602F" w:rsidP="00C15251">
      <w:pPr>
        <w:jc w:val="both"/>
        <w:rPr>
          <w:bCs/>
          <w:i/>
          <w:color w:val="002060"/>
          <w:sz w:val="16"/>
          <w:szCs w:val="16"/>
        </w:rPr>
      </w:pPr>
      <w:r w:rsidRPr="00405303">
        <w:rPr>
          <w:bCs/>
          <w:i/>
          <w:color w:val="002060"/>
          <w:sz w:val="16"/>
          <w:szCs w:val="16"/>
        </w:rPr>
        <w:t>Армия:</w:t>
      </w:r>
    </w:p>
    <w:p w14:paraId="49B4904A" w14:textId="77777777" w:rsidR="00AB602F" w:rsidRPr="00405303" w:rsidRDefault="00AB602F" w:rsidP="00C15251">
      <w:pPr>
        <w:jc w:val="both"/>
        <w:rPr>
          <w:bCs/>
          <w:i/>
          <w:color w:val="002060"/>
          <w:sz w:val="16"/>
          <w:szCs w:val="16"/>
        </w:rPr>
      </w:pPr>
    </w:p>
    <w:p w14:paraId="2F104CC9" w14:textId="2D0591FD" w:rsidR="00AB602F" w:rsidRPr="00405303" w:rsidRDefault="00AB602F" w:rsidP="00C15251">
      <w:pPr>
        <w:jc w:val="both"/>
        <w:rPr>
          <w:bCs/>
          <w:color w:val="002060"/>
          <w:sz w:val="16"/>
          <w:szCs w:val="16"/>
        </w:rPr>
      </w:pPr>
      <w:r w:rsidRPr="00405303">
        <w:rPr>
          <w:bCs/>
          <w:color w:val="002060"/>
          <w:sz w:val="16"/>
          <w:szCs w:val="16"/>
        </w:rPr>
        <w:t xml:space="preserve">19 июля </w:t>
      </w:r>
      <w:r w:rsidR="001050C9" w:rsidRPr="00405303">
        <w:rPr>
          <w:bCs/>
          <w:color w:val="002060"/>
          <w:sz w:val="16"/>
          <w:szCs w:val="16"/>
        </w:rPr>
        <w:t xml:space="preserve">(1 августа) </w:t>
      </w:r>
      <w:r w:rsidRPr="00405303">
        <w:rPr>
          <w:bCs/>
          <w:color w:val="002060"/>
          <w:sz w:val="16"/>
          <w:szCs w:val="16"/>
        </w:rPr>
        <w:t>в 1915 году русская Ставка дает согласие на оставление Варшавы (14957).</w:t>
      </w:r>
    </w:p>
    <w:p w14:paraId="1F5E960F" w14:textId="77777777" w:rsidR="00AB602F" w:rsidRPr="00405303" w:rsidRDefault="00AB602F" w:rsidP="00C15251">
      <w:pPr>
        <w:jc w:val="both"/>
        <w:rPr>
          <w:bCs/>
          <w:color w:val="002060"/>
          <w:sz w:val="16"/>
          <w:szCs w:val="16"/>
        </w:rPr>
      </w:pPr>
    </w:p>
    <w:p w14:paraId="0C705764" w14:textId="063BF0C9" w:rsidR="006D6D49" w:rsidRPr="00405303" w:rsidRDefault="006D6D49" w:rsidP="00C15251">
      <w:pPr>
        <w:jc w:val="both"/>
        <w:rPr>
          <w:bCs/>
          <w:i/>
          <w:color w:val="002060"/>
          <w:sz w:val="16"/>
          <w:szCs w:val="16"/>
        </w:rPr>
      </w:pPr>
      <w:r w:rsidRPr="00405303">
        <w:rPr>
          <w:bCs/>
          <w:i/>
          <w:color w:val="002060"/>
          <w:sz w:val="16"/>
          <w:szCs w:val="16"/>
        </w:rPr>
        <w:t>Жизнь и внутренняя политика:</w:t>
      </w:r>
    </w:p>
    <w:p w14:paraId="2BD4C755" w14:textId="77777777" w:rsidR="006D6D49" w:rsidRPr="00405303" w:rsidRDefault="006D6D49" w:rsidP="00C15251">
      <w:pPr>
        <w:jc w:val="both"/>
        <w:rPr>
          <w:bCs/>
          <w:i/>
          <w:color w:val="002060"/>
          <w:sz w:val="16"/>
          <w:szCs w:val="16"/>
        </w:rPr>
      </w:pPr>
    </w:p>
    <w:p w14:paraId="1CEFC639" w14:textId="2703725A" w:rsidR="006D6D49" w:rsidRPr="00405303" w:rsidRDefault="006D6D49" w:rsidP="00C15251">
      <w:pPr>
        <w:jc w:val="both"/>
        <w:rPr>
          <w:bCs/>
          <w:color w:val="002060"/>
          <w:sz w:val="16"/>
          <w:szCs w:val="16"/>
        </w:rPr>
      </w:pPr>
      <w:r w:rsidRPr="00405303">
        <w:rPr>
          <w:bCs/>
          <w:color w:val="002060"/>
          <w:sz w:val="16"/>
          <w:szCs w:val="16"/>
        </w:rPr>
        <w:t>19 июля (</w:t>
      </w:r>
      <w:r w:rsidRPr="00405303">
        <w:rPr>
          <w:bCs/>
          <w:color w:val="002060"/>
          <w:sz w:val="16"/>
          <w:szCs w:val="16"/>
          <w:lang w:bidi="en-US"/>
        </w:rPr>
        <w:t>1 августа) 1915 г. царь наконец разрешил 3-ю российскую Думу вновь собраться. Депутат за депутатом разоблачали некомпетентность администрации, которая навлекла на армию такие неисчислимые бедствия, решив положить конец их злоупотреблениям и некомпетентности.</w:t>
      </w:r>
    </w:p>
    <w:p w14:paraId="359430FB" w14:textId="77777777" w:rsidR="006D6D49" w:rsidRPr="00405303" w:rsidRDefault="006D6D49" w:rsidP="00C15251">
      <w:pPr>
        <w:jc w:val="both"/>
        <w:rPr>
          <w:bCs/>
          <w:color w:val="002060"/>
          <w:sz w:val="16"/>
          <w:szCs w:val="16"/>
        </w:rPr>
      </w:pPr>
      <w:r w:rsidRPr="00405303">
        <w:rPr>
          <w:bCs/>
          <w:color w:val="002060"/>
          <w:sz w:val="16"/>
          <w:szCs w:val="16"/>
          <w:lang w:bidi="en-US"/>
        </w:rPr>
        <w:t>В течение августа представители военного министерства сообщили удивленным членам комитета Государственной Думы по военным делам на закрытых заседаниях, что с начала войны дезертировало более 500 тысяч человек. Примечание: большинство солдат просто ушли из своих частей и попытались вернуться домой</w:t>
      </w:r>
      <w:r w:rsidRPr="00405303">
        <w:rPr>
          <w:bCs/>
          <w:color w:val="002060"/>
          <w:sz w:val="16"/>
          <w:szCs w:val="16"/>
        </w:rPr>
        <w:t xml:space="preserve"> (23525).</w:t>
      </w:r>
    </w:p>
    <w:p w14:paraId="1127D079" w14:textId="77777777" w:rsidR="006D6D49" w:rsidRPr="00405303" w:rsidRDefault="006D6D49" w:rsidP="00C15251">
      <w:pPr>
        <w:jc w:val="both"/>
        <w:rPr>
          <w:bCs/>
          <w:color w:val="002060"/>
          <w:sz w:val="16"/>
          <w:szCs w:val="16"/>
        </w:rPr>
      </w:pPr>
    </w:p>
    <w:p w14:paraId="664480A7" w14:textId="4CD53EBD" w:rsidR="00BE7A60" w:rsidRPr="00405303" w:rsidRDefault="00BE7A60" w:rsidP="00C15251">
      <w:pPr>
        <w:jc w:val="both"/>
        <w:rPr>
          <w:bCs/>
          <w:i/>
          <w:color w:val="002060"/>
          <w:sz w:val="16"/>
          <w:szCs w:val="16"/>
        </w:rPr>
      </w:pPr>
      <w:r w:rsidRPr="00405303">
        <w:rPr>
          <w:bCs/>
          <w:i/>
          <w:color w:val="002060"/>
          <w:sz w:val="16"/>
          <w:szCs w:val="16"/>
        </w:rPr>
        <w:t>Авиация и воздухоплавание Германии:</w:t>
      </w:r>
    </w:p>
    <w:p w14:paraId="6D086EAB" w14:textId="77777777" w:rsidR="00BE7A60" w:rsidRPr="00405303" w:rsidRDefault="00BE7A60" w:rsidP="00C15251">
      <w:pPr>
        <w:jc w:val="both"/>
        <w:rPr>
          <w:bCs/>
          <w:i/>
          <w:color w:val="002060"/>
          <w:sz w:val="16"/>
          <w:szCs w:val="16"/>
        </w:rPr>
      </w:pPr>
    </w:p>
    <w:p w14:paraId="70613002" w14:textId="77777777" w:rsidR="00BE7A60" w:rsidRPr="00405303" w:rsidRDefault="00BE7A60" w:rsidP="00C15251">
      <w:pPr>
        <w:jc w:val="both"/>
        <w:rPr>
          <w:bCs/>
          <w:color w:val="002060"/>
          <w:sz w:val="16"/>
          <w:szCs w:val="16"/>
        </w:rPr>
      </w:pPr>
      <w:r w:rsidRPr="00405303">
        <w:rPr>
          <w:bCs/>
          <w:color w:val="002060"/>
          <w:sz w:val="16"/>
          <w:szCs w:val="16"/>
        </w:rPr>
        <w:t>19 июля (1 августа) 1915 лейтенант Макс Иммельманн сбивает свой первый самолет наз серийном LMG 08 Fokker EI, E.13 / 15, начав свою карьеру в качестве аса (20338).</w:t>
      </w:r>
    </w:p>
    <w:p w14:paraId="5B7BACD1" w14:textId="77777777" w:rsidR="00BE7A60" w:rsidRPr="00405303" w:rsidRDefault="00BE7A60" w:rsidP="00C15251">
      <w:pPr>
        <w:jc w:val="both"/>
        <w:rPr>
          <w:bCs/>
          <w:color w:val="002060"/>
          <w:sz w:val="16"/>
          <w:szCs w:val="16"/>
        </w:rPr>
      </w:pPr>
    </w:p>
    <w:p w14:paraId="0AAF8B87" w14:textId="77777777" w:rsidR="00AB602F" w:rsidRPr="00405303" w:rsidRDefault="00AB602F" w:rsidP="00C15251">
      <w:pPr>
        <w:jc w:val="both"/>
        <w:rPr>
          <w:bCs/>
          <w:i/>
          <w:color w:val="002060"/>
          <w:sz w:val="16"/>
          <w:szCs w:val="16"/>
        </w:rPr>
      </w:pPr>
      <w:r w:rsidRPr="00405303">
        <w:rPr>
          <w:bCs/>
          <w:i/>
          <w:color w:val="002060"/>
          <w:sz w:val="16"/>
          <w:szCs w:val="16"/>
        </w:rPr>
        <w:t>За рубежом:</w:t>
      </w:r>
    </w:p>
    <w:p w14:paraId="0B8877DD" w14:textId="77777777" w:rsidR="00AB602F" w:rsidRPr="00405303" w:rsidRDefault="00AB602F" w:rsidP="00C15251">
      <w:pPr>
        <w:jc w:val="both"/>
        <w:rPr>
          <w:bCs/>
          <w:color w:val="002060"/>
          <w:sz w:val="16"/>
          <w:szCs w:val="16"/>
        </w:rPr>
      </w:pPr>
    </w:p>
    <w:p w14:paraId="0D6B0725" w14:textId="77777777" w:rsidR="00AB602F" w:rsidRPr="00405303" w:rsidRDefault="00AB602F" w:rsidP="00C15251">
      <w:pPr>
        <w:jc w:val="both"/>
        <w:rPr>
          <w:bCs/>
          <w:color w:val="002060"/>
          <w:sz w:val="16"/>
          <w:szCs w:val="16"/>
        </w:rPr>
      </w:pPr>
      <w:r w:rsidRPr="00405303">
        <w:rPr>
          <w:bCs/>
          <w:color w:val="002060"/>
          <w:sz w:val="16"/>
          <w:szCs w:val="16"/>
        </w:rPr>
        <w:t>19 июля (1 августа) в 1915 году английские подлодки взрывают мост в центре Константинополя (14970).</w:t>
      </w:r>
    </w:p>
    <w:p w14:paraId="5DFDD036" w14:textId="77777777" w:rsidR="00AB602F" w:rsidRPr="00405303" w:rsidRDefault="00AB602F" w:rsidP="00C15251">
      <w:pPr>
        <w:jc w:val="both"/>
        <w:rPr>
          <w:bCs/>
          <w:color w:val="002060"/>
          <w:sz w:val="16"/>
          <w:szCs w:val="16"/>
        </w:rPr>
      </w:pPr>
    </w:p>
    <w:p w14:paraId="6D18F612" w14:textId="237E94F9" w:rsidR="00BE7A60" w:rsidRPr="00405303" w:rsidRDefault="00BE7A60" w:rsidP="00C15251">
      <w:pPr>
        <w:jc w:val="both"/>
        <w:rPr>
          <w:bCs/>
          <w:i/>
          <w:color w:val="002060"/>
          <w:sz w:val="16"/>
          <w:szCs w:val="16"/>
        </w:rPr>
      </w:pPr>
      <w:r w:rsidRPr="00405303">
        <w:rPr>
          <w:bCs/>
          <w:i/>
          <w:color w:val="002060"/>
          <w:sz w:val="16"/>
          <w:szCs w:val="16"/>
        </w:rPr>
        <w:t>Другие оборонные отрасли:</w:t>
      </w:r>
    </w:p>
    <w:p w14:paraId="71A51143" w14:textId="77777777" w:rsidR="00BE7A60" w:rsidRPr="00405303" w:rsidRDefault="00BE7A60" w:rsidP="00C15251">
      <w:pPr>
        <w:jc w:val="both"/>
        <w:rPr>
          <w:bCs/>
          <w:color w:val="002060"/>
          <w:sz w:val="16"/>
          <w:szCs w:val="16"/>
        </w:rPr>
      </w:pPr>
    </w:p>
    <w:p w14:paraId="7DF0B6E2" w14:textId="448087E9" w:rsidR="00BE7A60" w:rsidRPr="00405303" w:rsidRDefault="00BE7A60" w:rsidP="00C15251">
      <w:pPr>
        <w:jc w:val="both"/>
        <w:rPr>
          <w:bCs/>
          <w:color w:val="002060"/>
          <w:sz w:val="16"/>
          <w:szCs w:val="16"/>
        </w:rPr>
      </w:pPr>
      <w:r w:rsidRPr="00405303">
        <w:rPr>
          <w:bCs/>
          <w:color w:val="002060"/>
          <w:sz w:val="16"/>
          <w:szCs w:val="16"/>
          <w:shd w:val="clear" w:color="auto" w:fill="FFFFFF"/>
        </w:rPr>
        <w:t xml:space="preserve">20 июля (2 августа) 1915 </w:t>
      </w:r>
      <w:r w:rsidR="001050C9" w:rsidRPr="00405303">
        <w:rPr>
          <w:bCs/>
          <w:color w:val="002060"/>
          <w:sz w:val="16"/>
          <w:szCs w:val="16"/>
          <w:shd w:val="clear" w:color="auto" w:fill="FFFFFF"/>
        </w:rPr>
        <w:t xml:space="preserve">г. </w:t>
      </w:r>
      <w:r w:rsidRPr="00405303">
        <w:rPr>
          <w:bCs/>
          <w:color w:val="002060"/>
          <w:sz w:val="16"/>
          <w:szCs w:val="16"/>
          <w:shd w:val="clear" w:color="auto" w:fill="FFFFFF"/>
        </w:rPr>
        <w:t>состоялась официальная демонстрация на «полковом дворе» опустевших казарм Нижегородского полка вездехода Пороховщикова. Испытания продолжались в течение всего года, акт последнего датирован 29 декабря. Результаты видны из документов. Полковник Поклевский-Козелло в своем рапорте Начальнику Инженерных снабжений армий фронта генерал-лейтенанту Коваленко от 8 января 1916г. указывал, что «построенный экземпляр «вездехода» не выказал всех тех качеств, которые обусловлены докладом № 8101, например, не мог ходить по рыхлому снегу глубиной около 1 фута, а испытания хода по воде сделано не было». Сам Пороховщиков в заявлении от 3 января 1916г. признал «проведенные испытания окончательными для данного экземпляра «вездехода» и объяснял неудачи рядом причин: расстояние между основными барабанами мало, двигатель слаб, лента была не рифленая, а гладкая. В заключение он предлагал немедленно приступить к постройке «нового усовершенствованного «вездехода», более сильного и законченного». Главный начальник снабжений фронта, однако, утратил интерес к разработке и приказал «конструирование средствами фронта прекратить и предложить изобретателю представить изготовленный им экипаж…в ГВТУ», справедливо полагая, что машина, построенная на казенные средства, должна быть «передана казне». 1 марта 1916г. в ГВТУ были отправлены все документы по «Вездеходу» (20250).</w:t>
      </w:r>
    </w:p>
    <w:p w14:paraId="16A5035A" w14:textId="77777777" w:rsidR="00BE7A60" w:rsidRPr="00405303" w:rsidRDefault="00BE7A60" w:rsidP="00C15251">
      <w:pPr>
        <w:jc w:val="both"/>
        <w:rPr>
          <w:bCs/>
          <w:color w:val="002060"/>
          <w:sz w:val="16"/>
          <w:szCs w:val="16"/>
        </w:rPr>
      </w:pPr>
    </w:p>
    <w:p w14:paraId="6D29832D"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6C9A5433" w14:textId="77777777" w:rsidR="004B4E35" w:rsidRPr="00405303" w:rsidRDefault="004B4E35" w:rsidP="00C15251">
      <w:pPr>
        <w:jc w:val="both"/>
        <w:rPr>
          <w:bCs/>
          <w:i/>
          <w:color w:val="002060"/>
          <w:sz w:val="16"/>
          <w:szCs w:val="16"/>
        </w:rPr>
      </w:pPr>
    </w:p>
    <w:p w14:paraId="779D164B" w14:textId="01769E7B" w:rsidR="004B4E35" w:rsidRPr="00405303" w:rsidRDefault="009E6F82" w:rsidP="00C15251">
      <w:pPr>
        <w:jc w:val="both"/>
        <w:rPr>
          <w:bCs/>
          <w:color w:val="002060"/>
          <w:sz w:val="16"/>
          <w:szCs w:val="16"/>
        </w:rPr>
      </w:pPr>
      <w:r w:rsidRPr="00405303">
        <w:rPr>
          <w:bCs/>
          <w:color w:val="002060"/>
          <w:sz w:val="16"/>
          <w:szCs w:val="16"/>
        </w:rPr>
        <w:t xml:space="preserve">20 июля (2 августа) </w:t>
      </w:r>
      <w:r w:rsidR="001050C9" w:rsidRPr="00405303">
        <w:rPr>
          <w:bCs/>
          <w:color w:val="002060"/>
          <w:sz w:val="16"/>
          <w:szCs w:val="16"/>
        </w:rPr>
        <w:t>1915 г.</w:t>
      </w:r>
      <w:r w:rsidRPr="00405303">
        <w:rPr>
          <w:bCs/>
          <w:color w:val="002060"/>
          <w:sz w:val="16"/>
          <w:szCs w:val="16"/>
        </w:rPr>
        <w:t xml:space="preserve"> </w:t>
      </w:r>
      <w:r w:rsidR="001050C9" w:rsidRPr="00405303">
        <w:rPr>
          <w:bCs/>
          <w:color w:val="002060"/>
          <w:sz w:val="16"/>
          <w:szCs w:val="16"/>
        </w:rPr>
        <w:t>в</w:t>
      </w:r>
      <w:r w:rsidRPr="00405303">
        <w:rPr>
          <w:bCs/>
          <w:color w:val="002060"/>
          <w:sz w:val="16"/>
          <w:szCs w:val="16"/>
        </w:rPr>
        <w:t xml:space="preserve"> Лиду на аэродром "Муромцев" прибыл "ИМ-2" - в день авиации (День Ильи Пророка). Это воздушное судно было оснащено двигателями, произведенными на РБАЗ в Риге (11999).</w:t>
      </w:r>
    </w:p>
    <w:p w14:paraId="606D3F7E" w14:textId="77777777" w:rsidR="004B4E35" w:rsidRPr="00405303" w:rsidRDefault="004B4E35" w:rsidP="00C15251">
      <w:pPr>
        <w:jc w:val="both"/>
        <w:rPr>
          <w:bCs/>
          <w:color w:val="002060"/>
          <w:sz w:val="16"/>
          <w:szCs w:val="16"/>
        </w:rPr>
      </w:pPr>
    </w:p>
    <w:p w14:paraId="5A29B58A" w14:textId="25E85AAE"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20 июля (2 августа) 1915 </w:t>
      </w:r>
      <w:r w:rsidR="001050C9" w:rsidRPr="00405303">
        <w:rPr>
          <w:bCs/>
          <w:color w:val="002060"/>
          <w:sz w:val="16"/>
          <w:szCs w:val="16"/>
        </w:rPr>
        <w:t>г. о</w:t>
      </w:r>
      <w:r w:rsidRPr="00405303">
        <w:rPr>
          <w:bCs/>
          <w:color w:val="002060"/>
          <w:sz w:val="16"/>
          <w:szCs w:val="16"/>
        </w:rPr>
        <w:t xml:space="preserve">кончился первый год первой мировой </w:t>
      </w:r>
      <w:proofErr w:type="gramStart"/>
      <w:r w:rsidRPr="00405303">
        <w:rPr>
          <w:bCs/>
          <w:color w:val="002060"/>
          <w:sz w:val="16"/>
          <w:szCs w:val="16"/>
        </w:rPr>
        <w:t>войны.За</w:t>
      </w:r>
      <w:proofErr w:type="gramEnd"/>
      <w:r w:rsidRPr="00405303">
        <w:rPr>
          <w:bCs/>
          <w:color w:val="002060"/>
          <w:sz w:val="16"/>
          <w:szCs w:val="16"/>
        </w:rPr>
        <w:t xml:space="preserve"> </w:t>
      </w:r>
      <w:proofErr w:type="gramStart"/>
      <w:r w:rsidRPr="00405303">
        <w:rPr>
          <w:bCs/>
          <w:color w:val="002060"/>
          <w:sz w:val="16"/>
          <w:szCs w:val="16"/>
        </w:rPr>
        <w:t>этот .период</w:t>
      </w:r>
      <w:proofErr w:type="gramEnd"/>
      <w:r w:rsidRPr="00405303">
        <w:rPr>
          <w:bCs/>
          <w:color w:val="002060"/>
          <w:sz w:val="16"/>
          <w:szCs w:val="16"/>
        </w:rPr>
        <w:t xml:space="preserve"> на всех фронтах было совершено 12625 боевых вылетов об</w:t>
      </w:r>
      <w:r w:rsidRPr="00405303">
        <w:rPr>
          <w:bCs/>
          <w:color w:val="002060"/>
          <w:sz w:val="16"/>
          <w:szCs w:val="16"/>
        </w:rPr>
        <w:softHyphen/>
        <w:t>щей продолжительностью 14118 часов. Из этого количества по раз</w:t>
      </w:r>
      <w:r w:rsidRPr="00405303">
        <w:rPr>
          <w:bCs/>
          <w:color w:val="002060"/>
          <w:sz w:val="16"/>
          <w:szCs w:val="16"/>
        </w:rPr>
        <w:softHyphen/>
        <w:t>ным причинам задания не были выполнены в 2928 полетах общей продолжительностью 1812 часов. Наибольшее количество полетов было произведено для воздушной разведки. Другие задания выпол</w:t>
      </w:r>
      <w:r w:rsidRPr="00405303">
        <w:rPr>
          <w:bCs/>
          <w:color w:val="002060"/>
          <w:sz w:val="16"/>
          <w:szCs w:val="16"/>
        </w:rPr>
        <w:softHyphen/>
        <w:t>нялись эпизодически или попутно с разведкой. Фотографирование неприятельских позиций было выполнено 261 раз, бомбометание - 941, корректирование артиллерийской стрельбы - 76, преследование неприятельских самолетов - 463. Вредяхоплавательные части несли повседневную службу по наблюдению за противником и обслуживанию своей артиллерии. Боевые действия дирижаблей были весьма ограничены (Составлено по разным официальным материалам).</w:t>
      </w:r>
    </w:p>
    <w:p w14:paraId="0D265723" w14:textId="77777777" w:rsidR="004B4E35" w:rsidRPr="00405303" w:rsidRDefault="004B4E35" w:rsidP="00C15251">
      <w:pPr>
        <w:shd w:val="clear" w:color="auto" w:fill="FFFFFF"/>
        <w:jc w:val="both"/>
        <w:rPr>
          <w:bCs/>
          <w:color w:val="002060"/>
          <w:sz w:val="16"/>
          <w:szCs w:val="16"/>
        </w:rPr>
      </w:pPr>
    </w:p>
    <w:p w14:paraId="291541BD" w14:textId="77777777" w:rsidR="0057202F" w:rsidRPr="00405303" w:rsidRDefault="0057202F" w:rsidP="00C15251">
      <w:pPr>
        <w:jc w:val="both"/>
        <w:rPr>
          <w:bCs/>
          <w:color w:val="002060"/>
          <w:sz w:val="16"/>
          <w:szCs w:val="16"/>
        </w:rPr>
      </w:pPr>
      <w:r w:rsidRPr="00405303">
        <w:rPr>
          <w:bCs/>
          <w:color w:val="002060"/>
          <w:sz w:val="16"/>
          <w:szCs w:val="16"/>
        </w:rPr>
        <w:t>20 июля (2 августа) 1915 г. окончился первый год первой мировой войны. За этот пе</w:t>
      </w:r>
      <w:r w:rsidRPr="00405303">
        <w:rPr>
          <w:bCs/>
          <w:color w:val="002060"/>
          <w:sz w:val="16"/>
          <w:szCs w:val="16"/>
        </w:rPr>
        <w:softHyphen/>
        <w:t>риод на всех фронтах было совершено 12625 боевых вылетов общей продолжительностью 14118 часов. Из этого количества по разным причинам задания не были выполнены в 2928 полетах общей продолжительностью 1812 часов. Наиболшее количество полетов было произведено на воздушную разведку. Другие задания выполнялись эпизодически или вместе с разведкой. Фотографирование неприятельских позиций было выполнено в 261 случае, бомбометание - 941, корректирование артиллерийской стрельбы - 76, преследование неприятельских самолетов – в 463 случаях. Воздухоплавательные части несли повседневную службу наблюдению за противником и обслуживанию своей артиллерии. Боевые действия дирижаблей были весьма ограничены.</w:t>
      </w:r>
    </w:p>
    <w:p w14:paraId="2F87C47B" w14:textId="77777777" w:rsidR="0057202F" w:rsidRPr="00405303" w:rsidRDefault="0057202F" w:rsidP="00C15251">
      <w:pPr>
        <w:jc w:val="both"/>
        <w:rPr>
          <w:bCs/>
          <w:color w:val="002060"/>
          <w:sz w:val="16"/>
          <w:szCs w:val="16"/>
        </w:rPr>
      </w:pPr>
      <w:r w:rsidRPr="00405303">
        <w:rPr>
          <w:bCs/>
          <w:color w:val="002060"/>
          <w:sz w:val="16"/>
          <w:szCs w:val="16"/>
        </w:rPr>
        <w:t>/составлено по разным официальным материалам/ (23320).</w:t>
      </w:r>
    </w:p>
    <w:p w14:paraId="06896DD7" w14:textId="77777777" w:rsidR="0057202F" w:rsidRPr="00405303" w:rsidRDefault="0057202F" w:rsidP="00C15251">
      <w:pPr>
        <w:jc w:val="both"/>
        <w:rPr>
          <w:bCs/>
          <w:color w:val="002060"/>
          <w:sz w:val="16"/>
          <w:szCs w:val="16"/>
        </w:rPr>
      </w:pPr>
    </w:p>
    <w:p w14:paraId="2B23E25F" w14:textId="0784CA5B" w:rsidR="005863E6" w:rsidRPr="00405303" w:rsidRDefault="005863E6" w:rsidP="00C15251">
      <w:pPr>
        <w:jc w:val="both"/>
        <w:rPr>
          <w:bCs/>
          <w:color w:val="002060"/>
          <w:sz w:val="16"/>
          <w:szCs w:val="16"/>
        </w:rPr>
      </w:pPr>
      <w:r w:rsidRPr="00405303">
        <w:rPr>
          <w:bCs/>
          <w:color w:val="002060"/>
          <w:sz w:val="16"/>
          <w:szCs w:val="16"/>
        </w:rPr>
        <w:t>2</w:t>
      </w:r>
      <w:r w:rsidRPr="00405303">
        <w:rPr>
          <w:bCs/>
          <w:color w:val="002060"/>
          <w:sz w:val="16"/>
          <w:szCs w:val="16"/>
          <w:lang w:bidi="ru-RU"/>
        </w:rPr>
        <w:t>0 июля (2 августа) 1915 г.</w:t>
      </w:r>
    </w:p>
    <w:p w14:paraId="1AB025B7" w14:textId="77777777" w:rsidR="005863E6" w:rsidRPr="00405303" w:rsidRDefault="005863E6" w:rsidP="00C15251">
      <w:pPr>
        <w:jc w:val="both"/>
        <w:rPr>
          <w:bCs/>
          <w:color w:val="002060"/>
          <w:sz w:val="16"/>
          <w:szCs w:val="16"/>
        </w:rPr>
      </w:pPr>
      <w:r w:rsidRPr="00405303">
        <w:rPr>
          <w:bCs/>
          <w:color w:val="002060"/>
          <w:sz w:val="16"/>
          <w:szCs w:val="16"/>
          <w:lang w:bidi="ru-RU"/>
        </w:rPr>
        <w:t>«Летопись войны. 11-й и 12-й месяцы. Русский фронт. 20 июля 1915 г.</w:t>
      </w:r>
    </w:p>
    <w:p w14:paraId="72A390BB" w14:textId="77777777" w:rsidR="005863E6" w:rsidRPr="00405303" w:rsidRDefault="005863E6" w:rsidP="00C15251">
      <w:pPr>
        <w:jc w:val="both"/>
        <w:rPr>
          <w:bCs/>
          <w:color w:val="002060"/>
          <w:sz w:val="16"/>
          <w:szCs w:val="16"/>
        </w:rPr>
      </w:pPr>
      <w:r w:rsidRPr="00405303">
        <w:rPr>
          <w:bCs/>
          <w:color w:val="002060"/>
          <w:sz w:val="16"/>
          <w:szCs w:val="16"/>
          <w:lang w:bidi="ru-RU"/>
        </w:rPr>
        <w:lastRenderedPageBreak/>
        <w:t>В восьмом часу утра со стороны люблин</w:t>
      </w:r>
      <w:r w:rsidRPr="00405303">
        <w:rPr>
          <w:bCs/>
          <w:color w:val="002060"/>
          <w:sz w:val="16"/>
          <w:szCs w:val="16"/>
          <w:lang w:bidi="ru-RU"/>
        </w:rPr>
        <w:softHyphen/>
        <w:t>ского шоссе появились два германских «таубе» (зачастую под определением «тау</w:t>
      </w:r>
      <w:r w:rsidRPr="00405303">
        <w:rPr>
          <w:bCs/>
          <w:color w:val="002060"/>
          <w:sz w:val="16"/>
          <w:szCs w:val="16"/>
          <w:lang w:bidi="ru-RU"/>
        </w:rPr>
        <w:softHyphen/>
        <w:t>бе» в прессе понимались все германские аппараты), щедро бросавших бом</w:t>
      </w:r>
      <w:r w:rsidRPr="00405303">
        <w:rPr>
          <w:bCs/>
          <w:color w:val="002060"/>
          <w:sz w:val="16"/>
          <w:szCs w:val="16"/>
          <w:lang w:bidi="ru-RU"/>
        </w:rPr>
        <w:softHyphen/>
        <w:t>бы. Метким огнем наших батарей оба ап</w:t>
      </w:r>
      <w:r w:rsidRPr="00405303">
        <w:rPr>
          <w:bCs/>
          <w:color w:val="002060"/>
          <w:sz w:val="16"/>
          <w:szCs w:val="16"/>
          <w:lang w:bidi="ru-RU"/>
        </w:rPr>
        <w:softHyphen/>
        <w:t>парата скоро были подбиты и спустились у наших окопов. Летчики взяты в плен, один аэроплан отправлен в Киев (23374).</w:t>
      </w:r>
    </w:p>
    <w:p w14:paraId="07F43911" w14:textId="77777777" w:rsidR="005863E6" w:rsidRPr="00405303" w:rsidRDefault="005863E6" w:rsidP="00C15251">
      <w:pPr>
        <w:jc w:val="both"/>
        <w:rPr>
          <w:bCs/>
          <w:color w:val="002060"/>
          <w:sz w:val="16"/>
          <w:szCs w:val="16"/>
          <w:lang w:bidi="ru-RU"/>
        </w:rPr>
      </w:pPr>
    </w:p>
    <w:p w14:paraId="3F3E00A4" w14:textId="0B58C84D" w:rsidR="005863E6" w:rsidRPr="00405303" w:rsidRDefault="005863E6" w:rsidP="00C15251">
      <w:pPr>
        <w:jc w:val="both"/>
        <w:rPr>
          <w:bCs/>
          <w:color w:val="002060"/>
          <w:sz w:val="16"/>
          <w:szCs w:val="16"/>
        </w:rPr>
      </w:pPr>
      <w:bookmarkStart w:id="193" w:name="bookmark215"/>
      <w:bookmarkStart w:id="194" w:name="bookmark216"/>
      <w:r w:rsidRPr="00405303">
        <w:rPr>
          <w:bCs/>
          <w:color w:val="002060"/>
          <w:sz w:val="16"/>
          <w:szCs w:val="16"/>
        </w:rPr>
        <w:t>20 июля (2 августа) 1915 г. немецкий аэроплан сбросил несколько бомб на г. Митава. В течение нескольких дней налеты на город продолжились. 22 июля летательный аппарат типа «Таубе» провел бомбардировку жилых кварталов (сброшено 5 бомб), в результате которой убит один прохожий. Отмечено также появление германской авиации над г. Рига, что вызвало большую сенсацию среди местных жителей. Это стало первым появлением немецкого самолета в небе города. По словам очевидцев, «народ высыпался на улицы и любовался невиданным зрелищем. Сброшено две бомбы. Жертв нет. Аэроплан продержался над Ригой минут 15, а затем скрылся» (23405).</w:t>
      </w:r>
    </w:p>
    <w:p w14:paraId="48AB67A6" w14:textId="77777777" w:rsidR="005863E6" w:rsidRPr="00405303" w:rsidRDefault="005863E6" w:rsidP="00C15251">
      <w:pPr>
        <w:jc w:val="both"/>
        <w:rPr>
          <w:bCs/>
          <w:color w:val="002060"/>
          <w:sz w:val="16"/>
          <w:szCs w:val="16"/>
        </w:rPr>
      </w:pPr>
    </w:p>
    <w:bookmarkEnd w:id="193"/>
    <w:bookmarkEnd w:id="194"/>
    <w:p w14:paraId="04319D36" w14:textId="77777777" w:rsidR="005458AD" w:rsidRPr="00405303" w:rsidRDefault="005458AD" w:rsidP="005458AD">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20 июля (2 августа) 1915 г. утром со стороны Люблинского шоссе появились два немецких летательного аппарата и начали проводить бомбардировку передовых позиций русских частей. Метким огнем батарей оба самолета скоро были подбиты и спустились у наших окопов. Летчики взяты в плен, один из самолетов позднее был отправлен в Киев.</w:t>
      </w:r>
    </w:p>
    <w:p w14:paraId="7E68CD6C" w14:textId="77777777" w:rsidR="005458AD" w:rsidRPr="00405303" w:rsidRDefault="005458AD" w:rsidP="005458AD">
      <w:pPr>
        <w:jc w:val="both"/>
        <w:rPr>
          <w:color w:val="0070C0"/>
          <w:sz w:val="16"/>
          <w:szCs w:val="16"/>
        </w:rPr>
      </w:pPr>
      <w:r w:rsidRPr="00405303">
        <w:rPr>
          <w:rStyle w:val="aa"/>
          <w:rFonts w:ascii="Times New Roman" w:hAnsi="Times New Roman"/>
          <w:color w:val="0070C0"/>
          <w:spacing w:val="0"/>
          <w:sz w:val="16"/>
          <w:szCs w:val="16"/>
        </w:rPr>
        <w:t>В тот же день в районе Балтийского моря наши гидроаэропланы атаковали и «принудили к отступлению неприятельские цеппелин и два гидроаэроплана, из коих один был сбит» (25135).</w:t>
      </w:r>
    </w:p>
    <w:p w14:paraId="159D99E7" w14:textId="77777777" w:rsidR="005458AD" w:rsidRPr="00405303" w:rsidRDefault="005458AD" w:rsidP="005458AD">
      <w:pPr>
        <w:jc w:val="both"/>
        <w:rPr>
          <w:color w:val="0070C0"/>
          <w:sz w:val="16"/>
          <w:szCs w:val="16"/>
        </w:rPr>
      </w:pPr>
    </w:p>
    <w:p w14:paraId="53A54EAF" w14:textId="77777777" w:rsidR="005458AD" w:rsidRPr="00405303" w:rsidRDefault="005458AD" w:rsidP="005458AD">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20 июля (2 августа) 1915 г. в 8 часов утра над Ригой появился неприятельский аэроплан, бросивший три бомбы (без человеческих жертв).</w:t>
      </w:r>
    </w:p>
    <w:p w14:paraId="07C87E3F" w14:textId="77777777" w:rsidR="005458AD" w:rsidRPr="00405303" w:rsidRDefault="005458AD" w:rsidP="005458AD">
      <w:pPr>
        <w:jc w:val="both"/>
        <w:rPr>
          <w:rStyle w:val="aa"/>
          <w:rFonts w:ascii="Times New Roman" w:hAnsi="Times New Roman"/>
          <w:color w:val="0070C0"/>
          <w:spacing w:val="0"/>
          <w:sz w:val="16"/>
          <w:szCs w:val="16"/>
        </w:rPr>
      </w:pPr>
    </w:p>
    <w:p w14:paraId="62CFF16F" w14:textId="05975B53" w:rsidR="00EF501B" w:rsidRPr="00405303" w:rsidRDefault="00EF501B" w:rsidP="00C15251">
      <w:pPr>
        <w:jc w:val="both"/>
        <w:rPr>
          <w:bCs/>
          <w:color w:val="002060"/>
          <w:sz w:val="16"/>
          <w:szCs w:val="16"/>
          <w:lang w:bidi="en-US"/>
        </w:rPr>
      </w:pPr>
      <w:r w:rsidRPr="00405303">
        <w:rPr>
          <w:bCs/>
          <w:color w:val="002060"/>
          <w:sz w:val="16"/>
          <w:szCs w:val="16"/>
          <w:lang w:bidi="en-US"/>
        </w:rPr>
        <w:t xml:space="preserve">С 20 по 31 июля (2 по 13 августа) 1915 г. на Северо-Западном фронте немецкие дирижабли </w:t>
      </w:r>
      <w:r w:rsidRPr="00405303">
        <w:rPr>
          <w:bCs/>
          <w:color w:val="002060"/>
          <w:sz w:val="16"/>
          <w:szCs w:val="16"/>
          <w:lang w:val="en-US" w:bidi="en-US"/>
        </w:rPr>
        <w:t>Sachsen</w:t>
      </w:r>
      <w:r w:rsidRPr="00405303">
        <w:rPr>
          <w:bCs/>
          <w:color w:val="002060"/>
          <w:sz w:val="16"/>
          <w:szCs w:val="16"/>
          <w:lang w:bidi="en-US"/>
        </w:rPr>
        <w:t xml:space="preserve">, </w:t>
      </w:r>
      <w:r w:rsidRPr="00405303">
        <w:rPr>
          <w:bCs/>
          <w:color w:val="002060"/>
          <w:sz w:val="16"/>
          <w:szCs w:val="16"/>
          <w:lang w:val="en-US" w:bidi="en-US"/>
        </w:rPr>
        <w:t>Z</w:t>
      </w:r>
      <w:r w:rsidRPr="00405303">
        <w:rPr>
          <w:bCs/>
          <w:color w:val="002060"/>
          <w:sz w:val="16"/>
          <w:szCs w:val="16"/>
          <w:lang w:bidi="en-US"/>
        </w:rPr>
        <w:t>.</w:t>
      </w:r>
      <w:r w:rsidRPr="00405303">
        <w:rPr>
          <w:bCs/>
          <w:color w:val="002060"/>
          <w:sz w:val="16"/>
          <w:szCs w:val="16"/>
          <w:lang w:val="en-US" w:bidi="en-US"/>
        </w:rPr>
        <w:t>XII</w:t>
      </w:r>
      <w:r w:rsidRPr="00405303">
        <w:rPr>
          <w:bCs/>
          <w:color w:val="002060"/>
          <w:sz w:val="16"/>
          <w:szCs w:val="16"/>
          <w:lang w:bidi="en-US"/>
        </w:rPr>
        <w:t xml:space="preserve"> и </w:t>
      </w:r>
      <w:r w:rsidRPr="00405303">
        <w:rPr>
          <w:bCs/>
          <w:color w:val="002060"/>
          <w:sz w:val="16"/>
          <w:szCs w:val="16"/>
          <w:lang w:val="en-US" w:bidi="en-US"/>
        </w:rPr>
        <w:t>LZ</w:t>
      </w:r>
      <w:r w:rsidRPr="00405303">
        <w:rPr>
          <w:bCs/>
          <w:color w:val="002060"/>
          <w:sz w:val="16"/>
          <w:szCs w:val="16"/>
          <w:lang w:bidi="en-US"/>
        </w:rPr>
        <w:t>.39 совершили многочисленные бомбардировочные налеты на Белосток, Ивангород, Седлец, Ново-Минск, Новогеоргиевск, Вильно и другие объекты, нарушив российские железные дороги и пути снабжения (23525).</w:t>
      </w:r>
    </w:p>
    <w:p w14:paraId="5E6E26D5" w14:textId="77777777" w:rsidR="00EF501B" w:rsidRPr="00405303" w:rsidRDefault="00EF501B" w:rsidP="00C15251">
      <w:pPr>
        <w:jc w:val="both"/>
        <w:rPr>
          <w:bCs/>
          <w:color w:val="002060"/>
          <w:sz w:val="16"/>
          <w:szCs w:val="16"/>
        </w:rPr>
      </w:pPr>
    </w:p>
    <w:p w14:paraId="25444613" w14:textId="77777777" w:rsidR="005458AD" w:rsidRPr="00405303" w:rsidRDefault="005458AD" w:rsidP="005458AD">
      <w:pPr>
        <w:jc w:val="both"/>
        <w:rPr>
          <w:color w:val="0070C0"/>
          <w:sz w:val="16"/>
          <w:szCs w:val="16"/>
        </w:rPr>
      </w:pPr>
      <w:r w:rsidRPr="00405303">
        <w:rPr>
          <w:rStyle w:val="aa"/>
          <w:rFonts w:ascii="Times New Roman" w:hAnsi="Times New Roman"/>
          <w:color w:val="0070C0"/>
          <w:spacing w:val="0"/>
          <w:sz w:val="16"/>
          <w:szCs w:val="16"/>
        </w:rPr>
        <w:t xml:space="preserve">В ночь на 21 июля (3 августа) 1915 г. над Белостоком появился цеппелин </w:t>
      </w:r>
      <w:r w:rsidRPr="00405303">
        <w:rPr>
          <w:rStyle w:val="aa"/>
          <w:rFonts w:ascii="Times New Roman" w:hAnsi="Times New Roman"/>
          <w:color w:val="0070C0"/>
          <w:spacing w:val="0"/>
          <w:sz w:val="16"/>
          <w:szCs w:val="16"/>
          <w:lang w:val="en-US"/>
        </w:rPr>
        <w:t>Z</w:t>
      </w:r>
      <w:r w:rsidRPr="00405303">
        <w:rPr>
          <w:rStyle w:val="aa"/>
          <w:rFonts w:ascii="Times New Roman" w:hAnsi="Times New Roman"/>
          <w:color w:val="0070C0"/>
          <w:spacing w:val="0"/>
          <w:sz w:val="16"/>
          <w:szCs w:val="16"/>
        </w:rPr>
        <w:t>-</w:t>
      </w:r>
      <w:r w:rsidRPr="00405303">
        <w:rPr>
          <w:rStyle w:val="aa"/>
          <w:rFonts w:ascii="Times New Roman" w:hAnsi="Times New Roman"/>
          <w:color w:val="0070C0"/>
          <w:spacing w:val="0"/>
          <w:sz w:val="16"/>
          <w:szCs w:val="16"/>
          <w:lang w:val="en-US"/>
        </w:rPr>
        <w:t>XII</w:t>
      </w:r>
      <w:r w:rsidRPr="00405303">
        <w:rPr>
          <w:rStyle w:val="aa"/>
          <w:rFonts w:ascii="Times New Roman" w:hAnsi="Times New Roman"/>
          <w:color w:val="0070C0"/>
          <w:spacing w:val="0"/>
          <w:sz w:val="16"/>
          <w:szCs w:val="16"/>
        </w:rPr>
        <w:t>, сбросивший несколько бомб, которые не причинили никакого вреда (25135).</w:t>
      </w:r>
    </w:p>
    <w:p w14:paraId="47411786" w14:textId="77777777" w:rsidR="005458AD" w:rsidRPr="00405303" w:rsidRDefault="005458AD" w:rsidP="005458AD">
      <w:pPr>
        <w:jc w:val="both"/>
        <w:rPr>
          <w:color w:val="0070C0"/>
          <w:sz w:val="16"/>
          <w:szCs w:val="16"/>
        </w:rPr>
      </w:pPr>
    </w:p>
    <w:p w14:paraId="05430BE2" w14:textId="3BA2743C" w:rsidR="005458AD" w:rsidRPr="00405303" w:rsidRDefault="005458AD" w:rsidP="005458AD">
      <w:pPr>
        <w:jc w:val="both"/>
        <w:rPr>
          <w:bCs/>
          <w:i/>
          <w:color w:val="002060"/>
          <w:sz w:val="16"/>
          <w:szCs w:val="16"/>
        </w:rPr>
      </w:pPr>
      <w:r w:rsidRPr="00405303">
        <w:rPr>
          <w:bCs/>
          <w:i/>
          <w:color w:val="002060"/>
          <w:sz w:val="16"/>
          <w:szCs w:val="16"/>
        </w:rPr>
        <w:t>Морская авиация:</w:t>
      </w:r>
    </w:p>
    <w:p w14:paraId="782B948C" w14:textId="77777777" w:rsidR="005458AD" w:rsidRPr="00405303" w:rsidRDefault="005458AD" w:rsidP="005458AD">
      <w:pPr>
        <w:jc w:val="both"/>
        <w:rPr>
          <w:bCs/>
          <w:i/>
          <w:color w:val="002060"/>
          <w:sz w:val="16"/>
          <w:szCs w:val="16"/>
        </w:rPr>
      </w:pPr>
    </w:p>
    <w:p w14:paraId="1244D315" w14:textId="2CA8DE8A" w:rsidR="005458AD" w:rsidRPr="00405303" w:rsidRDefault="005458AD" w:rsidP="005458AD">
      <w:pPr>
        <w:jc w:val="both"/>
        <w:rPr>
          <w:color w:val="0070C0"/>
          <w:sz w:val="16"/>
          <w:szCs w:val="16"/>
        </w:rPr>
      </w:pPr>
      <w:r w:rsidRPr="00405303">
        <w:rPr>
          <w:rStyle w:val="aa"/>
          <w:rFonts w:ascii="Times New Roman" w:hAnsi="Times New Roman"/>
          <w:color w:val="0070C0"/>
          <w:spacing w:val="0"/>
          <w:sz w:val="16"/>
          <w:szCs w:val="16"/>
        </w:rPr>
        <w:t>20 июля (2 августа) 1915 г. в районе Балтийского моря наши гидроаэропланы атаковали и «принудили к отступлению неприятельские цеппелин и два гидроаэроплана, из коих один был сбит» (25135).</w:t>
      </w:r>
    </w:p>
    <w:p w14:paraId="1DE8ED6F" w14:textId="77777777" w:rsidR="005458AD" w:rsidRPr="00405303" w:rsidRDefault="005458AD" w:rsidP="00C15251">
      <w:pPr>
        <w:jc w:val="both"/>
        <w:rPr>
          <w:bCs/>
          <w:i/>
          <w:color w:val="002060"/>
          <w:sz w:val="16"/>
          <w:szCs w:val="16"/>
        </w:rPr>
      </w:pPr>
    </w:p>
    <w:p w14:paraId="12E991B0" w14:textId="5117ECEC" w:rsidR="0001297A" w:rsidRPr="00405303" w:rsidRDefault="0001297A" w:rsidP="00C15251">
      <w:pPr>
        <w:jc w:val="both"/>
        <w:rPr>
          <w:bCs/>
          <w:i/>
          <w:color w:val="002060"/>
          <w:sz w:val="16"/>
          <w:szCs w:val="16"/>
        </w:rPr>
      </w:pPr>
      <w:r w:rsidRPr="00405303">
        <w:rPr>
          <w:bCs/>
          <w:i/>
          <w:color w:val="002060"/>
          <w:sz w:val="16"/>
          <w:szCs w:val="16"/>
        </w:rPr>
        <w:t>Жизнь и внутренняя политика:</w:t>
      </w:r>
    </w:p>
    <w:p w14:paraId="2586DAB7" w14:textId="77777777" w:rsidR="0001297A" w:rsidRPr="00405303" w:rsidRDefault="0001297A" w:rsidP="00C15251">
      <w:pPr>
        <w:jc w:val="both"/>
        <w:rPr>
          <w:bCs/>
          <w:i/>
          <w:color w:val="002060"/>
          <w:sz w:val="16"/>
          <w:szCs w:val="16"/>
        </w:rPr>
      </w:pPr>
    </w:p>
    <w:p w14:paraId="418166C9" w14:textId="7D65E9BF" w:rsidR="00437921" w:rsidRPr="00405303" w:rsidRDefault="00437921" w:rsidP="00C15251">
      <w:pPr>
        <w:pStyle w:val="p1"/>
        <w:spacing w:before="0" w:beforeAutospacing="0" w:after="0" w:afterAutospacing="0"/>
        <w:jc w:val="both"/>
        <w:rPr>
          <w:bCs/>
          <w:color w:val="002060"/>
          <w:sz w:val="16"/>
          <w:szCs w:val="16"/>
        </w:rPr>
      </w:pPr>
      <w:r w:rsidRPr="00405303">
        <w:rPr>
          <w:bCs/>
          <w:color w:val="002060"/>
          <w:sz w:val="16"/>
          <w:szCs w:val="16"/>
        </w:rPr>
        <w:t xml:space="preserve">20 июля </w:t>
      </w:r>
      <w:r w:rsidR="00291847" w:rsidRPr="00405303">
        <w:rPr>
          <w:bCs/>
          <w:color w:val="002060"/>
          <w:sz w:val="16"/>
          <w:szCs w:val="16"/>
        </w:rPr>
        <w:t xml:space="preserve">(2 августа) </w:t>
      </w:r>
      <w:r w:rsidRPr="00405303">
        <w:rPr>
          <w:bCs/>
          <w:color w:val="002060"/>
          <w:sz w:val="16"/>
          <w:szCs w:val="16"/>
        </w:rPr>
        <w:t>1915 г. предложенная правыми формула перехода (постановление) Думы содержала требование («выражая надежду»), что деятелями ЦВПК «при выборе членов Особого совещания при военном министре будет дано место представителям рабочих». «Вот при принятии такой формулы перехода [к очередным делам] мы, правые, скрепя сердце, поддержим допущение в состав Особого совещания трех представителей ЦВПК», — объяснил Н.Е. Марков. К принятой Думой формуле правых присоединился и Государственный совет. Последовавший отказ социал-демократов принять приглашение к сотрудничеству Бердяев заклеймил как «классический образец совершенной отвлеченности и формальной абсолютности в политике».</w:t>
      </w:r>
    </w:p>
    <w:p w14:paraId="1C5111BA" w14:textId="77777777" w:rsidR="00437921" w:rsidRPr="00405303" w:rsidRDefault="00437921" w:rsidP="00C15251">
      <w:pPr>
        <w:pStyle w:val="p1"/>
        <w:spacing w:before="0" w:beforeAutospacing="0" w:after="0" w:afterAutospacing="0"/>
        <w:jc w:val="both"/>
        <w:rPr>
          <w:bCs/>
          <w:color w:val="002060"/>
          <w:sz w:val="16"/>
          <w:szCs w:val="16"/>
        </w:rPr>
      </w:pPr>
      <w:r w:rsidRPr="00405303">
        <w:rPr>
          <w:bCs/>
          <w:color w:val="002060"/>
          <w:sz w:val="16"/>
          <w:szCs w:val="16"/>
        </w:rPr>
        <w:t xml:space="preserve">«Проклятый вопрос» нравственного характера — отношение рабочего к труду на военном предприятии — получал практическое преломление. «Обязанность всех соприкасающихся с рабочими, занятыми в предприятиях по обороне, — всячески выяснять им решительную недопустимость приостановки работ… при каких бы то ни было условиях… </w:t>
      </w:r>
    </w:p>
    <w:p w14:paraId="6D21C4D7" w14:textId="77777777" w:rsidR="00437921" w:rsidRPr="00405303" w:rsidRDefault="00437921" w:rsidP="00C15251">
      <w:pPr>
        <w:pStyle w:val="p1"/>
        <w:spacing w:before="0" w:beforeAutospacing="0" w:after="0" w:afterAutospacing="0"/>
        <w:jc w:val="both"/>
        <w:rPr>
          <w:bCs/>
          <w:color w:val="002060"/>
          <w:sz w:val="16"/>
          <w:szCs w:val="16"/>
        </w:rPr>
      </w:pPr>
      <w:r w:rsidRPr="00405303">
        <w:rPr>
          <w:bCs/>
          <w:color w:val="002060"/>
          <w:sz w:val="16"/>
          <w:szCs w:val="16"/>
        </w:rPr>
        <w:t>Надо ежечасно говорить об этом рабочим», — наставляла свою либеральную аудиторию оппозиционная «Речь» 14 марта 1916 г. (18409).</w:t>
      </w:r>
    </w:p>
    <w:p w14:paraId="438955C1" w14:textId="77777777" w:rsidR="00437921" w:rsidRPr="00405303" w:rsidRDefault="00437921" w:rsidP="00C15251">
      <w:pPr>
        <w:pStyle w:val="p1"/>
        <w:spacing w:before="0" w:beforeAutospacing="0" w:after="0" w:afterAutospacing="0"/>
        <w:jc w:val="both"/>
        <w:rPr>
          <w:bCs/>
          <w:color w:val="002060"/>
          <w:sz w:val="16"/>
          <w:szCs w:val="16"/>
        </w:rPr>
      </w:pPr>
    </w:p>
    <w:p w14:paraId="07B8FDD1" w14:textId="74B7D6FE" w:rsidR="00BE7A60" w:rsidRPr="00405303" w:rsidRDefault="00BE7A60" w:rsidP="00C15251">
      <w:pPr>
        <w:shd w:val="clear" w:color="auto" w:fill="FFFFFF"/>
        <w:jc w:val="both"/>
        <w:rPr>
          <w:bCs/>
          <w:i/>
          <w:color w:val="002060"/>
          <w:sz w:val="16"/>
          <w:szCs w:val="16"/>
        </w:rPr>
      </w:pPr>
      <w:r w:rsidRPr="00405303">
        <w:rPr>
          <w:bCs/>
          <w:i/>
          <w:color w:val="002060"/>
          <w:sz w:val="16"/>
          <w:szCs w:val="16"/>
        </w:rPr>
        <w:t>Авиация и воздухоплавание Англии:</w:t>
      </w:r>
    </w:p>
    <w:p w14:paraId="5EEDF465" w14:textId="77777777" w:rsidR="00BE7A60" w:rsidRPr="00405303" w:rsidRDefault="00BE7A60" w:rsidP="00C15251">
      <w:pPr>
        <w:shd w:val="clear" w:color="auto" w:fill="FFFFFF"/>
        <w:jc w:val="both"/>
        <w:rPr>
          <w:bCs/>
          <w:i/>
          <w:color w:val="002060"/>
          <w:sz w:val="16"/>
          <w:szCs w:val="16"/>
        </w:rPr>
      </w:pPr>
    </w:p>
    <w:p w14:paraId="210AE913" w14:textId="05FC69BE" w:rsidR="00BE7A60" w:rsidRPr="00405303" w:rsidRDefault="00BE7A60" w:rsidP="00C15251">
      <w:pPr>
        <w:jc w:val="both"/>
        <w:rPr>
          <w:bCs/>
          <w:color w:val="002060"/>
          <w:sz w:val="16"/>
          <w:szCs w:val="16"/>
        </w:rPr>
      </w:pPr>
      <w:r w:rsidRPr="00405303">
        <w:rPr>
          <w:bCs/>
          <w:color w:val="002060"/>
          <w:sz w:val="16"/>
          <w:szCs w:val="16"/>
        </w:rPr>
        <w:t xml:space="preserve">20 июля (2 августа) 1915 </w:t>
      </w:r>
      <w:r w:rsidR="001050C9" w:rsidRPr="00405303">
        <w:rPr>
          <w:bCs/>
          <w:color w:val="002060"/>
          <w:sz w:val="16"/>
          <w:szCs w:val="16"/>
        </w:rPr>
        <w:t xml:space="preserve">г. </w:t>
      </w:r>
      <w:r w:rsidRPr="00405303">
        <w:rPr>
          <w:bCs/>
          <w:color w:val="002060"/>
          <w:sz w:val="16"/>
          <w:szCs w:val="16"/>
        </w:rPr>
        <w:t>основываясь на экспериментах 1913 года по взлету с борта HMS Hermes, самолет Sopwith Baby, оснащенный колесными поплавками впервые взлетает с платформы на борту британского авиационного транспорта HMS Campania (20338).</w:t>
      </w:r>
    </w:p>
    <w:p w14:paraId="3A9C4A41" w14:textId="77777777" w:rsidR="00BE7A60" w:rsidRPr="00405303" w:rsidRDefault="00BE7A60" w:rsidP="00C15251">
      <w:pPr>
        <w:jc w:val="both"/>
        <w:rPr>
          <w:bCs/>
          <w:color w:val="002060"/>
          <w:sz w:val="16"/>
          <w:szCs w:val="16"/>
        </w:rPr>
      </w:pPr>
    </w:p>
    <w:p w14:paraId="06ABAB74"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за рубежом:</w:t>
      </w:r>
    </w:p>
    <w:p w14:paraId="02DD288F" w14:textId="77777777" w:rsidR="004B4E35" w:rsidRPr="00405303" w:rsidRDefault="004B4E35" w:rsidP="00C15251">
      <w:pPr>
        <w:shd w:val="clear" w:color="auto" w:fill="FFFFFF"/>
        <w:jc w:val="both"/>
        <w:rPr>
          <w:bCs/>
          <w:i/>
          <w:color w:val="002060"/>
          <w:sz w:val="16"/>
          <w:szCs w:val="16"/>
        </w:rPr>
      </w:pPr>
    </w:p>
    <w:p w14:paraId="796997E3" w14:textId="7D956C11" w:rsidR="0001297A" w:rsidRPr="00405303" w:rsidRDefault="0001297A" w:rsidP="00C15251">
      <w:pPr>
        <w:pStyle w:val="a5"/>
        <w:rPr>
          <w:bCs/>
          <w:color w:val="002060"/>
          <w:sz w:val="16"/>
          <w:szCs w:val="16"/>
          <w:lang w:val="ru-RU"/>
        </w:rPr>
      </w:pPr>
      <w:r w:rsidRPr="00405303">
        <w:rPr>
          <w:bCs/>
          <w:color w:val="002060"/>
          <w:sz w:val="16"/>
          <w:szCs w:val="16"/>
          <w:lang w:val="ru-RU"/>
        </w:rPr>
        <w:t>20 июля (2 августа) 1915 г. сербы выполнили первый полет на бомбометание. Экипаж сбросил небольшие бомбы и стрелы на колонну неприятельских войск. Из России поступили два воздушных шара постройки фирмы «Треугольник» и семь артиллерийских батарей, включая одну зенитную с пушками калибра 76 мм. Эта батарея, положившая начало ПВО Сербии, 15 августа 1915 г. сбив австро-венгерский аэроплан; до конца войны батарея сбил еще два неприятельских самолета. В это же время для стрельбы по воздушным целям адаптировали несколько полевых орудий. Из- за драматичного ухудшения ситуации на Балканском театре военных действий в конце 1915 г., король принял решение высести войска с территории Сербии. Тогда был уничтожен и первый воздушный шар «</w:t>
      </w:r>
      <w:r w:rsidRPr="00405303">
        <w:rPr>
          <w:bCs/>
          <w:color w:val="002060"/>
          <w:sz w:val="16"/>
          <w:szCs w:val="16"/>
        </w:rPr>
        <w:t>Cp</w:t>
      </w:r>
      <w:r w:rsidRPr="00405303">
        <w:rPr>
          <w:bCs/>
          <w:color w:val="002060"/>
          <w:sz w:val="16"/>
          <w:szCs w:val="16"/>
          <w:lang w:val="ru-RU"/>
        </w:rPr>
        <w:t>6</w:t>
      </w:r>
      <w:r w:rsidRPr="00405303">
        <w:rPr>
          <w:bCs/>
          <w:color w:val="002060"/>
          <w:sz w:val="16"/>
          <w:szCs w:val="16"/>
        </w:rPr>
        <w:t>nja</w:t>
      </w:r>
      <w:r w:rsidRPr="00405303">
        <w:rPr>
          <w:bCs/>
          <w:color w:val="002060"/>
          <w:sz w:val="16"/>
          <w:szCs w:val="16"/>
          <w:lang w:val="ru-RU"/>
        </w:rPr>
        <w:t>» После вывода сербской армии через Черногорию и Албанию в Грецию на состров Корфу, там была сформирована новая авиационная эскадрилья (12104).</w:t>
      </w:r>
    </w:p>
    <w:p w14:paraId="62F4EA88" w14:textId="77777777" w:rsidR="0001297A" w:rsidRPr="00405303" w:rsidRDefault="0001297A" w:rsidP="00C15251">
      <w:pPr>
        <w:shd w:val="clear" w:color="auto" w:fill="FFFFFF"/>
        <w:jc w:val="both"/>
        <w:rPr>
          <w:bCs/>
          <w:i/>
          <w:color w:val="002060"/>
          <w:sz w:val="16"/>
          <w:szCs w:val="16"/>
        </w:rPr>
      </w:pPr>
    </w:p>
    <w:p w14:paraId="68D6591E" w14:textId="77777777" w:rsidR="00367A37" w:rsidRPr="00405303" w:rsidRDefault="00367A37" w:rsidP="00C15251">
      <w:pPr>
        <w:jc w:val="both"/>
        <w:rPr>
          <w:bCs/>
          <w:i/>
          <w:color w:val="002060"/>
          <w:sz w:val="16"/>
          <w:szCs w:val="16"/>
        </w:rPr>
      </w:pPr>
      <w:r w:rsidRPr="00405303">
        <w:rPr>
          <w:bCs/>
          <w:i/>
          <w:color w:val="002060"/>
          <w:sz w:val="16"/>
          <w:szCs w:val="16"/>
        </w:rPr>
        <w:t>Армия:</w:t>
      </w:r>
    </w:p>
    <w:p w14:paraId="0225BB74" w14:textId="77777777" w:rsidR="00367A37" w:rsidRPr="00405303" w:rsidRDefault="00367A37" w:rsidP="00C15251">
      <w:pPr>
        <w:jc w:val="both"/>
        <w:rPr>
          <w:bCs/>
          <w:i/>
          <w:color w:val="002060"/>
          <w:sz w:val="16"/>
          <w:szCs w:val="16"/>
        </w:rPr>
      </w:pPr>
    </w:p>
    <w:p w14:paraId="7C9505A9" w14:textId="60177DEF" w:rsidR="00367A37" w:rsidRPr="00405303" w:rsidRDefault="00367A37" w:rsidP="00C15251">
      <w:pPr>
        <w:jc w:val="both"/>
        <w:rPr>
          <w:bCs/>
          <w:color w:val="002060"/>
          <w:sz w:val="16"/>
          <w:szCs w:val="16"/>
        </w:rPr>
      </w:pPr>
      <w:r w:rsidRPr="00405303">
        <w:rPr>
          <w:bCs/>
          <w:color w:val="002060"/>
          <w:sz w:val="16"/>
          <w:szCs w:val="16"/>
        </w:rPr>
        <w:t xml:space="preserve">20 июля </w:t>
      </w:r>
      <w:r w:rsidR="001050C9" w:rsidRPr="00405303">
        <w:rPr>
          <w:bCs/>
          <w:color w:val="002060"/>
          <w:sz w:val="16"/>
          <w:szCs w:val="16"/>
        </w:rPr>
        <w:t xml:space="preserve">(2 августа) </w:t>
      </w:r>
      <w:r w:rsidRPr="00405303">
        <w:rPr>
          <w:bCs/>
          <w:color w:val="002060"/>
          <w:sz w:val="16"/>
          <w:szCs w:val="16"/>
        </w:rPr>
        <w:t>в 1915 году начинается эвакуация русских войск из Варшавы (14958).</w:t>
      </w:r>
    </w:p>
    <w:p w14:paraId="7C073142" w14:textId="77777777" w:rsidR="00367A37" w:rsidRPr="00405303" w:rsidRDefault="00367A37" w:rsidP="00C15251">
      <w:pPr>
        <w:jc w:val="both"/>
        <w:rPr>
          <w:bCs/>
          <w:color w:val="002060"/>
          <w:sz w:val="16"/>
          <w:szCs w:val="16"/>
        </w:rPr>
      </w:pPr>
    </w:p>
    <w:p w14:paraId="5E13B0A3" w14:textId="78AEA943" w:rsidR="00EF501B" w:rsidRPr="00405303" w:rsidRDefault="00EF501B" w:rsidP="00C15251">
      <w:pPr>
        <w:shd w:val="clear" w:color="auto" w:fill="FFFFFF"/>
        <w:jc w:val="both"/>
        <w:rPr>
          <w:bCs/>
          <w:i/>
          <w:color w:val="002060"/>
          <w:sz w:val="16"/>
          <w:szCs w:val="16"/>
        </w:rPr>
      </w:pPr>
      <w:r w:rsidRPr="00405303">
        <w:rPr>
          <w:bCs/>
          <w:i/>
          <w:color w:val="002060"/>
          <w:sz w:val="16"/>
          <w:szCs w:val="16"/>
        </w:rPr>
        <w:t>Авиация:</w:t>
      </w:r>
    </w:p>
    <w:p w14:paraId="37521CB5" w14:textId="77777777" w:rsidR="00EF501B" w:rsidRPr="00405303" w:rsidRDefault="00EF501B" w:rsidP="00C15251">
      <w:pPr>
        <w:shd w:val="clear" w:color="auto" w:fill="FFFFFF"/>
        <w:jc w:val="both"/>
        <w:rPr>
          <w:bCs/>
          <w:i/>
          <w:color w:val="002060"/>
          <w:sz w:val="16"/>
          <w:szCs w:val="16"/>
        </w:rPr>
      </w:pPr>
    </w:p>
    <w:p w14:paraId="64241136" w14:textId="6FB05538" w:rsidR="00EF501B" w:rsidRPr="00405303" w:rsidRDefault="00EF501B" w:rsidP="00C15251">
      <w:pPr>
        <w:jc w:val="both"/>
        <w:rPr>
          <w:bCs/>
          <w:color w:val="002060"/>
          <w:sz w:val="16"/>
          <w:szCs w:val="16"/>
        </w:rPr>
      </w:pPr>
      <w:r w:rsidRPr="00405303">
        <w:rPr>
          <w:bCs/>
          <w:color w:val="002060"/>
          <w:sz w:val="16"/>
          <w:szCs w:val="16"/>
          <w:lang w:bidi="en-US"/>
        </w:rPr>
        <w:t>21 июля (3 августа) 1915 г. был подготовлен обстоятельный доклад о состоянии авиации и воздухоплавательных частей, предположительно великим князем Александром Михайловичем. К сожалению, некоторые страницы отсутствуют в архивах. Обобщая, в нем говорилось, что «к началу войны в России было 30 КАО, один полевой АО и восемь крепостных АО. Авиакомпании стали базами для своих АО и последовали за ними:</w:t>
      </w:r>
    </w:p>
    <w:p w14:paraId="56B52D11" w14:textId="77777777" w:rsidR="00EF501B" w:rsidRPr="00405303" w:rsidRDefault="00EF501B" w:rsidP="00C15251">
      <w:pPr>
        <w:jc w:val="both"/>
        <w:rPr>
          <w:bCs/>
          <w:color w:val="002060"/>
          <w:sz w:val="16"/>
          <w:szCs w:val="16"/>
        </w:rPr>
      </w:pPr>
      <w:r w:rsidRPr="00405303">
        <w:rPr>
          <w:bCs/>
          <w:color w:val="002060"/>
          <w:sz w:val="16"/>
          <w:szCs w:val="16"/>
          <w:lang w:bidi="en-US"/>
        </w:rPr>
        <w:t>Однако нехватка самолетов и летчиков вынудила КАО выйти из состава своих армейских корпусов и сформировать группы армейской авиации. По мере формирования этих групп каждая получала офицера Генерального штаба, отвечавшего за выполнение операций. Каждый также получил старшего командира подразделения для организации управления.</w:t>
      </w:r>
    </w:p>
    <w:p w14:paraId="7F8EC6F4" w14:textId="77777777" w:rsidR="00EF501B" w:rsidRPr="00405303" w:rsidRDefault="00EF501B" w:rsidP="00C15251">
      <w:pPr>
        <w:jc w:val="both"/>
        <w:rPr>
          <w:bCs/>
          <w:color w:val="002060"/>
          <w:sz w:val="16"/>
          <w:szCs w:val="16"/>
        </w:rPr>
      </w:pPr>
      <w:r w:rsidRPr="00405303">
        <w:rPr>
          <w:bCs/>
          <w:color w:val="002060"/>
          <w:sz w:val="16"/>
          <w:szCs w:val="16"/>
          <w:lang w:bidi="en-US"/>
        </w:rPr>
        <w:t>Крепостные АО почти все переформированы в КАО, а части Императорского Всероссийского аэроклуба и Одесского аэроклуба стали КАО, а для охраны Царской резиденции сформировано особое подразделение. В настоящее время полностью сформированы три армейских АО. В состав воздухоплавательных частей в настоящее время входят две роты дирижаблей, 17 аэростатных рот, три крепостные роты и резервный воздухоплавательный батальон.</w:t>
      </w:r>
    </w:p>
    <w:p w14:paraId="2373806B" w14:textId="77777777" w:rsidR="00EF501B" w:rsidRPr="00405303" w:rsidRDefault="00EF501B" w:rsidP="00C15251">
      <w:pPr>
        <w:jc w:val="both"/>
        <w:rPr>
          <w:bCs/>
          <w:color w:val="002060"/>
          <w:sz w:val="16"/>
          <w:szCs w:val="16"/>
        </w:rPr>
      </w:pPr>
      <w:r w:rsidRPr="00405303">
        <w:rPr>
          <w:bCs/>
          <w:color w:val="002060"/>
          <w:sz w:val="16"/>
          <w:szCs w:val="16"/>
          <w:lang w:bidi="en-US"/>
        </w:rPr>
        <w:lastRenderedPageBreak/>
        <w:t>На момент начала войны офицеров-воздухоплавателей было 143, с тех пор Офицерскую воздухоплавательную школу окончил 21 человек, всего 155 человек, а уставом воздухоплавательного персонала предусмотрено 240 должностей. К началу войны Россия располагала четырьмя дирижаблями и 46 аэростатами. С тех пор изготовлено и отправлено на фронт 42 аэростата» (23525).</w:t>
      </w:r>
    </w:p>
    <w:p w14:paraId="2112536D" w14:textId="77777777" w:rsidR="00EF501B" w:rsidRPr="00405303" w:rsidRDefault="00EF501B" w:rsidP="00C15251">
      <w:pPr>
        <w:jc w:val="both"/>
        <w:rPr>
          <w:bCs/>
          <w:color w:val="002060"/>
          <w:sz w:val="16"/>
          <w:szCs w:val="16"/>
          <w:lang w:bidi="en-US"/>
        </w:rPr>
      </w:pPr>
    </w:p>
    <w:p w14:paraId="0C3D6616" w14:textId="346C3C4D" w:rsidR="001050C9" w:rsidRPr="00405303" w:rsidRDefault="001050C9" w:rsidP="00C15251">
      <w:pPr>
        <w:shd w:val="clear" w:color="auto" w:fill="FFFFFF"/>
        <w:jc w:val="both"/>
        <w:rPr>
          <w:bCs/>
          <w:i/>
          <w:color w:val="002060"/>
          <w:sz w:val="16"/>
          <w:szCs w:val="16"/>
        </w:rPr>
      </w:pPr>
      <w:r w:rsidRPr="00405303">
        <w:rPr>
          <w:bCs/>
          <w:i/>
          <w:color w:val="002060"/>
          <w:sz w:val="16"/>
          <w:szCs w:val="16"/>
        </w:rPr>
        <w:t>Морская авиация:</w:t>
      </w:r>
    </w:p>
    <w:p w14:paraId="2A8217E2" w14:textId="77777777" w:rsidR="001050C9" w:rsidRPr="00405303" w:rsidRDefault="001050C9" w:rsidP="00C15251">
      <w:pPr>
        <w:shd w:val="clear" w:color="auto" w:fill="FFFFFF"/>
        <w:jc w:val="both"/>
        <w:rPr>
          <w:bCs/>
          <w:i/>
          <w:color w:val="002060"/>
          <w:sz w:val="16"/>
          <w:szCs w:val="16"/>
        </w:rPr>
      </w:pPr>
    </w:p>
    <w:p w14:paraId="071EB30E" w14:textId="64924CC2"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21 июля </w:t>
      </w:r>
      <w:r w:rsidR="001050C9" w:rsidRPr="00405303">
        <w:rPr>
          <w:bCs/>
          <w:color w:val="002060"/>
          <w:sz w:val="16"/>
          <w:szCs w:val="16"/>
        </w:rPr>
        <w:t xml:space="preserve">(3 августа) </w:t>
      </w:r>
      <w:r w:rsidRPr="00405303">
        <w:rPr>
          <w:bCs/>
          <w:color w:val="002060"/>
          <w:sz w:val="16"/>
          <w:szCs w:val="16"/>
        </w:rPr>
        <w:t>1915 г., в небе Балтики, вблизи Моонзунда, со</w:t>
      </w:r>
      <w:r w:rsidRPr="00405303">
        <w:rPr>
          <w:bCs/>
          <w:color w:val="002060"/>
          <w:sz w:val="16"/>
          <w:szCs w:val="16"/>
        </w:rPr>
        <w:softHyphen/>
        <w:t>стоялся первый воздуш</w:t>
      </w:r>
      <w:r w:rsidRPr="00405303">
        <w:rPr>
          <w:bCs/>
          <w:color w:val="002060"/>
          <w:sz w:val="16"/>
          <w:szCs w:val="16"/>
        </w:rPr>
        <w:softHyphen/>
        <w:t>ный бой над морем. Сохранившиеся архив</w:t>
      </w:r>
      <w:r w:rsidRPr="00405303">
        <w:rPr>
          <w:bCs/>
          <w:color w:val="002060"/>
          <w:sz w:val="16"/>
          <w:szCs w:val="16"/>
        </w:rPr>
        <w:softHyphen/>
        <w:t>ные документы позволя</w:t>
      </w:r>
      <w:r w:rsidRPr="00405303">
        <w:rPr>
          <w:bCs/>
          <w:color w:val="002060"/>
          <w:sz w:val="16"/>
          <w:szCs w:val="16"/>
        </w:rPr>
        <w:softHyphen/>
        <w:t>ют рассказать об этом событии, оказавшем вли</w:t>
      </w:r>
      <w:r w:rsidRPr="00405303">
        <w:rPr>
          <w:bCs/>
          <w:color w:val="002060"/>
          <w:sz w:val="16"/>
          <w:szCs w:val="16"/>
        </w:rPr>
        <w:softHyphen/>
        <w:t>яние на развитие отече</w:t>
      </w:r>
      <w:r w:rsidRPr="00405303">
        <w:rPr>
          <w:bCs/>
          <w:color w:val="002060"/>
          <w:sz w:val="16"/>
          <w:szCs w:val="16"/>
        </w:rPr>
        <w:softHyphen/>
        <w:t>ственной авиации воен</w:t>
      </w:r>
      <w:r w:rsidRPr="00405303">
        <w:rPr>
          <w:bCs/>
          <w:color w:val="002060"/>
          <w:sz w:val="16"/>
          <w:szCs w:val="16"/>
        </w:rPr>
        <w:softHyphen/>
        <w:t>но-морского флота.</w:t>
      </w:r>
    </w:p>
    <w:p w14:paraId="3FC7D45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Уже самое начало Первой мировой войны показало, что авиация является не только средством разведки, но может быть эффективным звеном в системе противолодочной обороны, участвовать в атаках кораблей и наземных целей. Однако об использовании аэроплана в качестве средства противовоздушной обороны летом 1914 г. всерьез ещё никто не думал.</w:t>
      </w:r>
    </w:p>
    <w:p w14:paraId="7028CBB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марта 1915 г. интенсивность действий германской авиации усилилась. Не ограни</w:t>
      </w:r>
      <w:r w:rsidRPr="00405303">
        <w:rPr>
          <w:bCs/>
          <w:color w:val="002060"/>
          <w:sz w:val="16"/>
          <w:szCs w:val="16"/>
        </w:rPr>
        <w:softHyphen/>
        <w:t>чиваясь только ведением воздушной разведки, немцы приступили к систематическим бомбёжкам кораблей и береговых сооружений Балтийского флота. Либаву сдали 22 апреля, Виндаву — 5 июля. Таким образом, вся Курляндия с хорошо оборудован</w:t>
      </w:r>
      <w:r w:rsidRPr="00405303">
        <w:rPr>
          <w:bCs/>
          <w:color w:val="002060"/>
          <w:sz w:val="16"/>
          <w:szCs w:val="16"/>
        </w:rPr>
        <w:softHyphen/>
        <w:t>ными портами оказалась в руках неприятеля.</w:t>
      </w:r>
    </w:p>
    <w:p w14:paraId="681B1BD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то время российская морская авиация имела только две станции (базы): одну в Ре</w:t>
      </w:r>
      <w:r w:rsidRPr="00405303">
        <w:rPr>
          <w:bCs/>
          <w:color w:val="002060"/>
          <w:sz w:val="16"/>
          <w:szCs w:val="16"/>
        </w:rPr>
        <w:softHyphen/>
        <w:t>веле, другую — на острове Эзель (Моонзунд) в Кильконде.</w:t>
      </w:r>
    </w:p>
    <w:p w14:paraId="7307FF8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Начальник авиации капитан 2-го ранга Дудоров не верил в возможность установки на самолёты пулемётов. Для противодействия противнику по его приказу выдали оружие офицерам. Лётчики получили «маузеры», бортмеханики вооружились карабинами. Только Я.И. Нагурский решился установить пулемёт на свой самолёт «Морис Фарман».</w:t>
      </w:r>
    </w:p>
    <w:p w14:paraId="14E240D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Впрочем, и немцы шли по такому же пути. Командование германской морской авиа</w:t>
      </w:r>
      <w:r w:rsidRPr="00405303">
        <w:rPr>
          <w:bCs/>
          <w:color w:val="002060"/>
          <w:sz w:val="16"/>
          <w:szCs w:val="16"/>
        </w:rPr>
        <w:softHyphen/>
        <w:t>ции приказало снабдить экипажи карабинами.</w:t>
      </w:r>
    </w:p>
    <w:p w14:paraId="46DD986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наступлением тёплой погоды над Моонзундом все чаще и чаще появлялись герман</w:t>
      </w:r>
      <w:r w:rsidRPr="00405303">
        <w:rPr>
          <w:bCs/>
          <w:color w:val="002060"/>
          <w:sz w:val="16"/>
          <w:szCs w:val="16"/>
        </w:rPr>
        <w:softHyphen/>
        <w:t>ские самолёты. Начиная с 13 апреля 1915 г., почти каждый день хотя бы один немецкий гидроаэроплан с рассветом вылетал на разведку в сторону Моонзунда. Возвращались они вдоль побережья Рижского залива, чтобы вести наблюдение за передвижением рус</w:t>
      </w:r>
      <w:r w:rsidRPr="00405303">
        <w:rPr>
          <w:bCs/>
          <w:color w:val="002060"/>
          <w:sz w:val="16"/>
          <w:szCs w:val="16"/>
        </w:rPr>
        <w:softHyphen/>
        <w:t>ских войск. В мае германская авиация начала бомбить русские корабли и береговые сооружения. Ввиду активных действий немцев приняли решение развернуть еще одну -временную — станцию на острове Эзель вблизи города Аренсбург. На ровном участке побережья устанавливались уходящие в воду деревянные настилы (слипы), по кото</w:t>
      </w:r>
      <w:r w:rsidRPr="00405303">
        <w:rPr>
          <w:bCs/>
          <w:color w:val="002060"/>
          <w:sz w:val="16"/>
          <w:szCs w:val="16"/>
        </w:rPr>
        <w:softHyphen/>
        <w:t>рым гидросамолёты вытаскивали на сушу, а также палатки для размещения экипажей.</w:t>
      </w:r>
    </w:p>
    <w:p w14:paraId="3E2D42C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Утром 21 июля 1915 г. у острова Эзель опять появились немецкие самолёты Фридрих-сгафен (Альбатрос) РР с бортовыми номерами «270» и «292». На этот раз они впервые встретили отпор. Две русские летающие лодки — РВА пилота Лишина с бортовым но</w:t>
      </w:r>
      <w:r w:rsidRPr="00405303">
        <w:rPr>
          <w:bCs/>
          <w:color w:val="002060"/>
          <w:sz w:val="16"/>
          <w:szCs w:val="16"/>
        </w:rPr>
        <w:softHyphen/>
        <w:t>мером «4» и пилота Зверева с бортовым номером «8» — поднялись в воздух на перехват. К сожалению, у Зверева забарахлил мотор, и он вынужденно вернулся обратно. Остав</w:t>
      </w:r>
      <w:r w:rsidRPr="00405303">
        <w:rPr>
          <w:bCs/>
          <w:color w:val="002060"/>
          <w:sz w:val="16"/>
          <w:szCs w:val="16"/>
        </w:rPr>
        <w:softHyphen/>
        <w:t>шись один, Лишин смело пошел на врага.</w:t>
      </w:r>
    </w:p>
    <w:p w14:paraId="6968649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Вряд ли кто может лучше непосредственного участника боя описать увиденное, обо</w:t>
      </w:r>
      <w:r w:rsidRPr="00405303">
        <w:rPr>
          <w:bCs/>
          <w:color w:val="002060"/>
          <w:sz w:val="16"/>
          <w:szCs w:val="16"/>
        </w:rPr>
        <w:softHyphen/>
        <w:t>сновать принятые решения, передать накал и динамику боя. Поэтому для более точно</w:t>
      </w:r>
      <w:r w:rsidRPr="00405303">
        <w:rPr>
          <w:bCs/>
          <w:color w:val="002060"/>
          <w:sz w:val="16"/>
          <w:szCs w:val="16"/>
        </w:rPr>
        <w:softHyphen/>
        <w:t>го изложения происходивших в те далекие времена событий приведу рапорт лейтенанта Лишина, поданный в тот же день капитану 2-го ранга Дудорову (орфография сохраня</w:t>
      </w:r>
      <w:r w:rsidRPr="00405303">
        <w:rPr>
          <w:bCs/>
          <w:color w:val="002060"/>
          <w:sz w:val="16"/>
          <w:szCs w:val="16"/>
        </w:rPr>
        <w:softHyphen/>
        <w:t>ется): «Доношу Вашему высокоблагородию, что сего числа в 5 час 35 мин утра я был около палаток, услышал шум мотора и вслед за тем увидел неприятельский аппарат.</w:t>
      </w:r>
    </w:p>
    <w:p w14:paraId="64E82F4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5 час 40 мин я с унтер-офицером Смолиным поднялся на аппарате РВА, имея при себе 3-линейный карабин и пистолет Маузера.</w:t>
      </w:r>
    </w:p>
    <w:p w14:paraId="3A6A8DA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Поднявшись на высоту 500 м, я заметил еще один аппарат и пошел на них, забирая высоту.</w:t>
      </w:r>
    </w:p>
    <w:p w14:paraId="24C86DB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 1050 м я разошелся с одним из аппаратов, обменявшись выстрелами. Механик, унтер-офицер Смолин, стрелял из карабина, я — из пистолета Маузера.</w:t>
      </w:r>
    </w:p>
    <w:p w14:paraId="38252A7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Неприятельский аппарат старался пройти над миноносцем («Московитянин» — прим. авт.), а я ему мешал в этом. Разойдясь, мы развернулись и встретились опять, стре</w:t>
      </w:r>
      <w:r w:rsidRPr="00405303">
        <w:rPr>
          <w:bCs/>
          <w:color w:val="002060"/>
          <w:sz w:val="16"/>
          <w:szCs w:val="16"/>
        </w:rPr>
        <w:softHyphen/>
        <w:t>ляя друг в друга, причем ясно было видно, что стреляют и пилот, и пассажир.</w:t>
      </w:r>
    </w:p>
    <w:p w14:paraId="04DA16A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это время ко мне направился и второй аппарат.</w:t>
      </w:r>
    </w:p>
    <w:p w14:paraId="3DA3EA3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После перестрелки неприятельский аппарат повернул круто вправо, качнулся направо и налево несколько раз и, снижаясь немного, пошел к берегу — к маяку «Михайловский», затем вдоль берега, и скрылся со снижением в облаках.</w:t>
      </w:r>
    </w:p>
    <w:p w14:paraId="545C5EB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Я тогда повернул на второго и разошёлся с ним на 30-100 м. После перестрелки ап</w:t>
      </w:r>
      <w:r w:rsidRPr="00405303">
        <w:rPr>
          <w:bCs/>
          <w:color w:val="002060"/>
          <w:sz w:val="16"/>
          <w:szCs w:val="16"/>
        </w:rPr>
        <w:softHyphen/>
        <w:t>парат ушел к берегу, я за ним. Но, дойдя до маяка «Михайловский», пошел назад, так как мотор начал чихать.</w:t>
      </w:r>
    </w:p>
    <w:p w14:paraId="76AAC1E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Когда я повернул, неприятель пошел опять ко мне и затем в море; я лег на перемен</w:t>
      </w:r>
      <w:r w:rsidRPr="00405303">
        <w:rPr>
          <w:bCs/>
          <w:color w:val="002060"/>
          <w:sz w:val="16"/>
          <w:szCs w:val="16"/>
        </w:rPr>
        <w:softHyphen/>
        <w:t>ный курс и увидел в море нашу подводную лодку («Аллигатор» — прим. авт.), к которой неприятель повернул тоже.</w:t>
      </w:r>
    </w:p>
    <w:p w14:paraId="0FDD03C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Я начал сближаться с ним и, сойдясь, открыл огонь. После короткой стрельбы аппарат пошел на Люзерорт, я за ним. Видя, что его нагнать не могу, пошёл домой, так как мотор опять начал работать хуже. Всего в воздухе был 57 мин, наибольшая высота — 1550 м.</w:t>
      </w:r>
    </w:p>
    <w:p w14:paraId="2CE6826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Унтер-офицер Смолин вел себя выше всяких похвал. У аппарата крыло было простре</w:t>
      </w:r>
      <w:r w:rsidRPr="00405303">
        <w:rPr>
          <w:bCs/>
          <w:color w:val="002060"/>
          <w:sz w:val="16"/>
          <w:szCs w:val="16"/>
        </w:rPr>
        <w:softHyphen/>
        <w:t>ляно в 2-х местах и легко тронут винт, но через 1/2 часа прилета аппарат был опять готов к полету».</w:t>
      </w:r>
    </w:p>
    <w:p w14:paraId="222530C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Уточню, что маяк «Михайловский» находился по другую сторону Ирбенского проли</w:t>
      </w:r>
      <w:r w:rsidRPr="00405303">
        <w:rPr>
          <w:bCs/>
          <w:color w:val="002060"/>
          <w:sz w:val="16"/>
          <w:szCs w:val="16"/>
        </w:rPr>
        <w:softHyphen/>
        <w:t>ва (вблизи Курляндского побережья), Люзерорт — пункт на побережье по направлению к Виндаве.</w:t>
      </w:r>
    </w:p>
    <w:p w14:paraId="07CC7B0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Итак, два немецких самолёта отступили перед одним русским. Интересно, что сохра</w:t>
      </w:r>
      <w:r w:rsidRPr="00405303">
        <w:rPr>
          <w:bCs/>
          <w:color w:val="002060"/>
          <w:sz w:val="16"/>
          <w:szCs w:val="16"/>
        </w:rPr>
        <w:softHyphen/>
        <w:t>нилось донесение немецкого лётчика поплавкового гидросамолёта с бортовым номе</w:t>
      </w:r>
      <w:r w:rsidRPr="00405303">
        <w:rPr>
          <w:bCs/>
          <w:color w:val="002060"/>
          <w:sz w:val="16"/>
          <w:szCs w:val="16"/>
        </w:rPr>
        <w:softHyphen/>
        <w:t>ром «270» об этом бое. Приведу выдержки из него:</w:t>
      </w:r>
    </w:p>
    <w:p w14:paraId="4A98EC1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«...Кертиссовская летающая лодка (Тогда немцы не знали, что в авиации Балтийского флота находятся летающие лодки РВА французской разработки и считали, что это американские летающие лодки «Кертисс», принятые на вооружение на Черном море.) пыталась выиграть высоту и не допускала нас к себе ближе, чем на 2000 м. Самолет «292» вынужден был прекратить преследование ввиду невозможности так быстро забрать высоту. Во время многочисленных встреч лод</w:t>
      </w:r>
      <w:r w:rsidRPr="00405303">
        <w:rPr>
          <w:bCs/>
          <w:color w:val="002060"/>
          <w:sz w:val="16"/>
          <w:szCs w:val="16"/>
        </w:rPr>
        <w:softHyphen/>
        <w:t>ку обстреляли из карабинов.</w:t>
      </w:r>
    </w:p>
    <w:p w14:paraId="67A56CA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5 час 55 мин мне удалось сблизиться с противником до 800 м на высоте 1900 м. Здесь я повернул на юг, чтобы не залетать вглубь Аренсбургской бухты и чтобы исполь</w:t>
      </w:r>
      <w:r w:rsidRPr="00405303">
        <w:rPr>
          <w:bCs/>
          <w:color w:val="002060"/>
          <w:sz w:val="16"/>
          <w:szCs w:val="16"/>
        </w:rPr>
        <w:softHyphen/>
        <w:t>зовать кормовые углы обстрела. Противник держался сзади меня приблизительно на 100 м выше. Мой наблюдатель произвел 20 выстрелов из карабина. По-видимому, с ус</w:t>
      </w:r>
      <w:r w:rsidRPr="00405303">
        <w:rPr>
          <w:bCs/>
          <w:color w:val="002060"/>
          <w:sz w:val="16"/>
          <w:szCs w:val="16"/>
        </w:rPr>
        <w:softHyphen/>
        <w:t>пехом, так как летающая лодка круто повернула и спустилась у Цереля. После этого я проследовал в Виндаву».</w:t>
      </w:r>
    </w:p>
    <w:p w14:paraId="5045C45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И немецкое, и русское командование быстро сделали главные выводы из результа</w:t>
      </w:r>
      <w:r w:rsidRPr="00405303">
        <w:rPr>
          <w:bCs/>
          <w:color w:val="002060"/>
          <w:sz w:val="16"/>
          <w:szCs w:val="16"/>
        </w:rPr>
        <w:softHyphen/>
        <w:t>тов первого воздушного боя. Уже через день для вооружения самолётов были заказа</w:t>
      </w:r>
      <w:r w:rsidRPr="00405303">
        <w:rPr>
          <w:bCs/>
          <w:color w:val="002060"/>
          <w:sz w:val="16"/>
          <w:szCs w:val="16"/>
        </w:rPr>
        <w:softHyphen/>
        <w:t>ны пулемёты. Особенности маневров при атаке, способы ее проведения оперативно учитывались при создании первых рекомендаций по тактике воздушного боя. В этой работе самое активное участие принимал С.Н. Лишин (11696).</w:t>
      </w:r>
    </w:p>
    <w:p w14:paraId="1F89311E" w14:textId="77777777" w:rsidR="004B4E35" w:rsidRPr="00405303" w:rsidRDefault="004B4E35" w:rsidP="00C15251">
      <w:pPr>
        <w:shd w:val="clear" w:color="auto" w:fill="FFFFFF"/>
        <w:jc w:val="both"/>
        <w:rPr>
          <w:bCs/>
          <w:color w:val="002060"/>
          <w:sz w:val="16"/>
          <w:szCs w:val="16"/>
        </w:rPr>
      </w:pPr>
    </w:p>
    <w:p w14:paraId="66CBB198" w14:textId="77777777" w:rsidR="004B4E35" w:rsidRPr="00405303" w:rsidRDefault="009E6F82" w:rsidP="00C15251">
      <w:pPr>
        <w:shd w:val="clear" w:color="auto" w:fill="FFFFFF"/>
        <w:jc w:val="both"/>
        <w:rPr>
          <w:bCs/>
          <w:i/>
          <w:color w:val="002060"/>
          <w:sz w:val="16"/>
          <w:szCs w:val="16"/>
        </w:rPr>
      </w:pPr>
      <w:r w:rsidRPr="00405303">
        <w:rPr>
          <w:bCs/>
          <w:color w:val="002060"/>
          <w:sz w:val="16"/>
          <w:szCs w:val="16"/>
        </w:rPr>
        <w:t xml:space="preserve">21 июля (3 августа) 1915 гидросамолеты Балтийского флота атаковали в районе Виндавы немецкий "Цеппелин" в сопровождении двух самолетов и сбили один из них, а другой вместе с дирижаблем обратили в бегство </w:t>
      </w:r>
      <w:r w:rsidRPr="00405303">
        <w:rPr>
          <w:bCs/>
          <w:i/>
          <w:color w:val="002060"/>
          <w:sz w:val="16"/>
          <w:szCs w:val="16"/>
        </w:rPr>
        <w:t>(Летопись войны № 52 за 15 августа 1915 г.; сообщение штаба ВГК).</w:t>
      </w:r>
    </w:p>
    <w:p w14:paraId="2F691459" w14:textId="77777777" w:rsidR="004B4E35" w:rsidRPr="00405303" w:rsidRDefault="004B4E35" w:rsidP="00C15251">
      <w:pPr>
        <w:shd w:val="clear" w:color="auto" w:fill="FFFFFF"/>
        <w:jc w:val="both"/>
        <w:rPr>
          <w:bCs/>
          <w:i/>
          <w:color w:val="002060"/>
          <w:sz w:val="16"/>
          <w:szCs w:val="16"/>
        </w:rPr>
      </w:pPr>
    </w:p>
    <w:p w14:paraId="34E9861A" w14:textId="77777777" w:rsidR="00711A46" w:rsidRPr="00405303" w:rsidRDefault="00711A46" w:rsidP="00C15251">
      <w:pPr>
        <w:jc w:val="both"/>
        <w:rPr>
          <w:bCs/>
          <w:color w:val="002060"/>
          <w:sz w:val="16"/>
          <w:szCs w:val="16"/>
        </w:rPr>
      </w:pPr>
      <w:r w:rsidRPr="00405303">
        <w:rPr>
          <w:bCs/>
          <w:color w:val="002060"/>
          <w:sz w:val="16"/>
          <w:szCs w:val="16"/>
        </w:rPr>
        <w:t>21 июля (3 августа) 1915 г. гидросамолеты Балтийского флота атаковали в районе Виндавы немецкий цеппелин в сопровождении двух истребителей и сбили один из них, а другой вместе с дирижаблем обратили, в бегство.</w:t>
      </w:r>
    </w:p>
    <w:p w14:paraId="7DCA729A" w14:textId="2F120B63" w:rsidR="00711A46" w:rsidRPr="00405303" w:rsidRDefault="00711A46" w:rsidP="00C15251">
      <w:pPr>
        <w:jc w:val="both"/>
        <w:rPr>
          <w:bCs/>
          <w:color w:val="002060"/>
          <w:sz w:val="16"/>
          <w:szCs w:val="16"/>
        </w:rPr>
      </w:pPr>
      <w:r w:rsidRPr="00405303">
        <w:rPr>
          <w:bCs/>
          <w:color w:val="002060"/>
          <w:sz w:val="16"/>
          <w:szCs w:val="16"/>
        </w:rPr>
        <w:t xml:space="preserve">/Летопись войны № 52 за 15 августа </w:t>
      </w:r>
      <w:proofErr w:type="gramStart"/>
      <w:r w:rsidRPr="00405303">
        <w:rPr>
          <w:bCs/>
          <w:color w:val="002060"/>
          <w:sz w:val="16"/>
          <w:szCs w:val="16"/>
        </w:rPr>
        <w:t>1915;сообщение</w:t>
      </w:r>
      <w:proofErr w:type="gramEnd"/>
      <w:r w:rsidRPr="00405303">
        <w:rPr>
          <w:bCs/>
          <w:color w:val="002060"/>
          <w:sz w:val="16"/>
          <w:szCs w:val="16"/>
        </w:rPr>
        <w:t xml:space="preserve"> штаба ВГК/ (23320).</w:t>
      </w:r>
    </w:p>
    <w:p w14:paraId="5A9B7202" w14:textId="77777777" w:rsidR="00711A46" w:rsidRPr="00405303" w:rsidRDefault="00711A46" w:rsidP="00C15251">
      <w:pPr>
        <w:jc w:val="both"/>
        <w:rPr>
          <w:bCs/>
          <w:color w:val="002060"/>
          <w:sz w:val="16"/>
          <w:szCs w:val="16"/>
        </w:rPr>
      </w:pPr>
    </w:p>
    <w:p w14:paraId="6D3E6508" w14:textId="71126BAB" w:rsidR="00367A37" w:rsidRPr="00405303" w:rsidRDefault="00367A37" w:rsidP="00C15251">
      <w:pPr>
        <w:jc w:val="both"/>
        <w:rPr>
          <w:bCs/>
          <w:color w:val="002060"/>
          <w:sz w:val="16"/>
          <w:szCs w:val="16"/>
        </w:rPr>
      </w:pPr>
      <w:r w:rsidRPr="00405303">
        <w:rPr>
          <w:bCs/>
          <w:color w:val="002060"/>
          <w:sz w:val="16"/>
          <w:szCs w:val="16"/>
        </w:rPr>
        <w:lastRenderedPageBreak/>
        <w:t xml:space="preserve">21 июля </w:t>
      </w:r>
      <w:r w:rsidR="001050C9" w:rsidRPr="00405303">
        <w:rPr>
          <w:bCs/>
          <w:color w:val="002060"/>
          <w:sz w:val="16"/>
          <w:szCs w:val="16"/>
        </w:rPr>
        <w:t xml:space="preserve">(3 августа) </w:t>
      </w:r>
      <w:r w:rsidRPr="00405303">
        <w:rPr>
          <w:bCs/>
          <w:color w:val="002060"/>
          <w:sz w:val="16"/>
          <w:szCs w:val="16"/>
        </w:rPr>
        <w:t xml:space="preserve">в 1915 году </w:t>
      </w:r>
      <w:r w:rsidR="001050C9" w:rsidRPr="00405303">
        <w:rPr>
          <w:bCs/>
          <w:color w:val="002060"/>
          <w:sz w:val="16"/>
          <w:szCs w:val="16"/>
        </w:rPr>
        <w:t xml:space="preserve">состоялся </w:t>
      </w:r>
      <w:r w:rsidRPr="00405303">
        <w:rPr>
          <w:bCs/>
          <w:color w:val="002060"/>
          <w:sz w:val="16"/>
          <w:szCs w:val="16"/>
        </w:rPr>
        <w:t>первый воздушный бой в небе Балтики. На высоте около 1000 м сошлись в лобовой атаке два немецких гидросамолета и летающая лодка "Кертисс". Летчики Лишин и Смолин не позволили немецким пилотам атаковать русскую подводную лодку. Немецкие гидросамолеты вынуждены были отступить. Первый воздушный поединок на Балтике длился 57 минут и показал, что гидросамолеты необходимо срочно вооружить пулеметами;</w:t>
      </w:r>
    </w:p>
    <w:p w14:paraId="0DB6E7C9" w14:textId="77777777" w:rsidR="00367A37" w:rsidRPr="00405303" w:rsidRDefault="00367A37" w:rsidP="00C15251">
      <w:pPr>
        <w:jc w:val="both"/>
        <w:rPr>
          <w:bCs/>
          <w:color w:val="002060"/>
          <w:sz w:val="16"/>
          <w:szCs w:val="16"/>
        </w:rPr>
      </w:pPr>
    </w:p>
    <w:p w14:paraId="3CE6B182" w14:textId="1FF7681B" w:rsidR="00367A37" w:rsidRPr="00405303" w:rsidRDefault="00367A37" w:rsidP="00C15251">
      <w:pPr>
        <w:jc w:val="both"/>
        <w:rPr>
          <w:bCs/>
          <w:color w:val="002060"/>
          <w:sz w:val="16"/>
          <w:szCs w:val="16"/>
        </w:rPr>
      </w:pPr>
      <w:r w:rsidRPr="00405303">
        <w:rPr>
          <w:bCs/>
          <w:color w:val="002060"/>
          <w:sz w:val="16"/>
          <w:szCs w:val="16"/>
        </w:rPr>
        <w:t xml:space="preserve">21 июля </w:t>
      </w:r>
      <w:r w:rsidR="001050C9" w:rsidRPr="00405303">
        <w:rPr>
          <w:bCs/>
          <w:color w:val="002060"/>
          <w:sz w:val="16"/>
          <w:szCs w:val="16"/>
        </w:rPr>
        <w:t xml:space="preserve">(3 августа) </w:t>
      </w:r>
      <w:r w:rsidRPr="00405303">
        <w:rPr>
          <w:bCs/>
          <w:color w:val="002060"/>
          <w:sz w:val="16"/>
          <w:szCs w:val="16"/>
        </w:rPr>
        <w:t>в 1915 году первый воздушный бой в небе Балтики. На высоте около 1000 м сошлись в лобовой атаке два немецких гидросамолета и летающая лодка "Кертисс" (вероятно модели «F»). Летчики Лишин и Смолин не позволили немецким пилотам атаковать русскую подводную лодку. Немецкие гидросамолеты вынуждены были отступить. Первый воздушный поединок на Балтике длился 57 минут и показал, что гидросамолеты необходимо срочно вооружить пулеметами. На первых сериях "Модели F" стояли межкрыльевые элероны. Таких машин в России было всего семь, так как вскоре после получения большого заказа на эти летающие лодки Кертисс спроектировал специально для России трехместную "Модель К" с двигателем в 160 л.с. и увеличенным размахом крыла. Поскольку фирма была очень заинтересована в русском заказе и слишком торопилась его выполнить, в США даже не до конца испытали корпус лодки и новый двигатель. Все недостатки выявились только во время эксплуатации. В апреле 1916 года морское ведомство уведомило фирму "Кертисс" о прекращении всех работ по "Модели К". Отчасти доведенные "до ума" экземпляры участвовали в боях на Черном море, пока их не сменили «М-5» и «М-9» (14959).</w:t>
      </w:r>
    </w:p>
    <w:p w14:paraId="7934977F" w14:textId="77777777" w:rsidR="00367A37" w:rsidRPr="00405303" w:rsidRDefault="00367A37" w:rsidP="00C15251">
      <w:pPr>
        <w:jc w:val="both"/>
        <w:rPr>
          <w:bCs/>
          <w:color w:val="002060"/>
          <w:sz w:val="16"/>
          <w:szCs w:val="16"/>
        </w:rPr>
      </w:pPr>
    </w:p>
    <w:p w14:paraId="71A4EA1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21 июля (3 августа) 1915 года впервые произошли «воздушные бои» - кратковременный и продолжительный, характерные смелы</w:t>
      </w:r>
      <w:r w:rsidRPr="00405303">
        <w:rPr>
          <w:bCs/>
          <w:color w:val="002060"/>
          <w:sz w:val="16"/>
          <w:szCs w:val="16"/>
        </w:rPr>
        <w:softHyphen/>
        <w:t>ми маневрами и стрелковыми дуэлями, которые только слу</w:t>
      </w:r>
      <w:r w:rsidRPr="00405303">
        <w:rPr>
          <w:bCs/>
          <w:color w:val="002060"/>
          <w:sz w:val="16"/>
          <w:szCs w:val="16"/>
        </w:rPr>
        <w:softHyphen/>
        <w:t>чайно могли привести к желанному результату. Поднявшись на единственной полученной отрядом летающей лодке «Кертисс» на высоту свыше 1000 метров, лейтенант Сергей Лишин и унтер-офицер Николай Смолин, вооруженные пистолетом и карабином, пытались сбить поплавковый гидроплан «Альбат</w:t>
      </w:r>
      <w:r w:rsidRPr="00405303">
        <w:rPr>
          <w:bCs/>
          <w:color w:val="002060"/>
          <w:sz w:val="16"/>
          <w:szCs w:val="16"/>
        </w:rPr>
        <w:softHyphen/>
        <w:t>рос», но поразить метким выстрелом пилота не смогли. За</w:t>
      </w:r>
      <w:r w:rsidRPr="00405303">
        <w:rPr>
          <w:bCs/>
          <w:color w:val="002060"/>
          <w:sz w:val="16"/>
          <w:szCs w:val="16"/>
        </w:rPr>
        <w:softHyphen/>
        <w:t>тем отважные «дуэлянты» трижды сближались с другим гид</w:t>
      </w:r>
      <w:r w:rsidRPr="00405303">
        <w:rPr>
          <w:bCs/>
          <w:color w:val="002060"/>
          <w:sz w:val="16"/>
          <w:szCs w:val="16"/>
        </w:rPr>
        <w:softHyphen/>
        <w:t>ропланом и вступали в перестрелки. Достигнутый успех заключался в том, что противнику не удалось сбросить бомбы на дозорный эсминец.</w:t>
      </w:r>
    </w:p>
    <w:p w14:paraId="5EB506B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Более того, при возвращении в Либаву отряда германских кораблей входивший в его состав гидроавиатранспорт «Глин-дер» подорвался на русской мине и впоследствии был разору</w:t>
      </w:r>
      <w:r w:rsidRPr="00405303">
        <w:rPr>
          <w:bCs/>
          <w:color w:val="002060"/>
          <w:sz w:val="16"/>
          <w:szCs w:val="16"/>
        </w:rPr>
        <w:softHyphen/>
        <w:t>жен. Но после захвата 18 июля Виндавы, а затем побережья Ирбенского пролива, немцы перебазировали туда часть своих авиаотрядов. Линия фронта образовалась юго-западней Риги. Наша армейская и флотская авиация испытывала серьезные затруднения, поскольку инициатива перешла в руки врага.</w:t>
      </w:r>
    </w:p>
    <w:p w14:paraId="61CF614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Первые воздушные дуэли над сушей и водой послужили уро</w:t>
      </w:r>
      <w:r w:rsidRPr="00405303">
        <w:rPr>
          <w:bCs/>
          <w:color w:val="002060"/>
          <w:sz w:val="16"/>
          <w:szCs w:val="16"/>
        </w:rPr>
        <w:softHyphen/>
        <w:t>ком для старших морских начальников, признавших срочную необходимость оснащения всех отрядов более скоростными аэропланами, вооруженными пулеметами. Они еще раз осоз</w:t>
      </w:r>
      <w:r w:rsidRPr="00405303">
        <w:rPr>
          <w:bCs/>
          <w:color w:val="002060"/>
          <w:sz w:val="16"/>
          <w:szCs w:val="16"/>
        </w:rPr>
        <w:softHyphen/>
        <w:t>нали это при отражении августовской попытки германской эскадры прорваться в Рижский залив. Смелые разведчики Килькондского авиаотряда неоднократно сообщали важные сведения (11283).</w:t>
      </w:r>
    </w:p>
    <w:p w14:paraId="6BD4204F" w14:textId="77777777" w:rsidR="004B4E35" w:rsidRPr="00405303" w:rsidRDefault="004B4E35" w:rsidP="00C15251">
      <w:pPr>
        <w:shd w:val="clear" w:color="auto" w:fill="FFFFFF"/>
        <w:jc w:val="both"/>
        <w:rPr>
          <w:bCs/>
          <w:color w:val="002060"/>
          <w:sz w:val="16"/>
          <w:szCs w:val="16"/>
        </w:rPr>
      </w:pPr>
    </w:p>
    <w:p w14:paraId="43E85B07" w14:textId="16831ACB"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21 июля </w:t>
      </w:r>
      <w:r w:rsidR="001050C9" w:rsidRPr="00405303">
        <w:rPr>
          <w:bCs/>
          <w:color w:val="002060"/>
          <w:sz w:val="16"/>
          <w:szCs w:val="16"/>
        </w:rPr>
        <w:t xml:space="preserve">(3 августа) </w:t>
      </w:r>
      <w:r w:rsidRPr="00405303">
        <w:rPr>
          <w:bCs/>
          <w:color w:val="002060"/>
          <w:sz w:val="16"/>
          <w:szCs w:val="16"/>
        </w:rPr>
        <w:t>1915 г., в небе Балтики, вблизи Моонзунда, со</w:t>
      </w:r>
      <w:r w:rsidRPr="00405303">
        <w:rPr>
          <w:bCs/>
          <w:color w:val="002060"/>
          <w:sz w:val="16"/>
          <w:szCs w:val="16"/>
        </w:rPr>
        <w:softHyphen/>
        <w:t>стоялся первый воздуш</w:t>
      </w:r>
      <w:r w:rsidRPr="00405303">
        <w:rPr>
          <w:bCs/>
          <w:color w:val="002060"/>
          <w:sz w:val="16"/>
          <w:szCs w:val="16"/>
        </w:rPr>
        <w:softHyphen/>
        <w:t>ный бой над морем. Сохранившиеся архив</w:t>
      </w:r>
      <w:r w:rsidRPr="00405303">
        <w:rPr>
          <w:bCs/>
          <w:color w:val="002060"/>
          <w:sz w:val="16"/>
          <w:szCs w:val="16"/>
        </w:rPr>
        <w:softHyphen/>
        <w:t>ные документы позволя</w:t>
      </w:r>
      <w:r w:rsidRPr="00405303">
        <w:rPr>
          <w:bCs/>
          <w:color w:val="002060"/>
          <w:sz w:val="16"/>
          <w:szCs w:val="16"/>
        </w:rPr>
        <w:softHyphen/>
        <w:t>ют рассказать об этом событии, оказавшем вли</w:t>
      </w:r>
      <w:r w:rsidRPr="00405303">
        <w:rPr>
          <w:bCs/>
          <w:color w:val="002060"/>
          <w:sz w:val="16"/>
          <w:szCs w:val="16"/>
        </w:rPr>
        <w:softHyphen/>
        <w:t>яние на развитие отече</w:t>
      </w:r>
      <w:r w:rsidRPr="00405303">
        <w:rPr>
          <w:bCs/>
          <w:color w:val="002060"/>
          <w:sz w:val="16"/>
          <w:szCs w:val="16"/>
        </w:rPr>
        <w:softHyphen/>
        <w:t>ственной авиации воен</w:t>
      </w:r>
      <w:r w:rsidRPr="00405303">
        <w:rPr>
          <w:bCs/>
          <w:color w:val="002060"/>
          <w:sz w:val="16"/>
          <w:szCs w:val="16"/>
        </w:rPr>
        <w:softHyphen/>
        <w:t>но-морского флота.</w:t>
      </w:r>
    </w:p>
    <w:p w14:paraId="43F8FDC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Уже самое начало Первой мировой войны показало, что авиация является не только средством разведки, но может быть эффективным звеном в системе противолодочной обороны, участвовать в атаках кораблей и наземных целей. Однако об использовании аэроплана в качестве средства противовоздушной обороны летом 1914 г. всерьез ещё никто не думал.</w:t>
      </w:r>
    </w:p>
    <w:p w14:paraId="422C73C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марта 1915 г. интенсивность действий германской авиации усилилась. Не ограни</w:t>
      </w:r>
      <w:r w:rsidRPr="00405303">
        <w:rPr>
          <w:bCs/>
          <w:color w:val="002060"/>
          <w:sz w:val="16"/>
          <w:szCs w:val="16"/>
        </w:rPr>
        <w:softHyphen/>
        <w:t>чиваясь только ведением воздушной разведки, немцы приступили к систематическим бомбёжкам кораблей и береговых сооружений Балтийского флота. Либаву сдали 22 апреля, Виндаву — 5 июля. Таким образом, вся Курляндия с хорошо оборудован</w:t>
      </w:r>
      <w:r w:rsidRPr="00405303">
        <w:rPr>
          <w:bCs/>
          <w:color w:val="002060"/>
          <w:sz w:val="16"/>
          <w:szCs w:val="16"/>
        </w:rPr>
        <w:softHyphen/>
        <w:t>ными портами оказалась в руках неприятеля.</w:t>
      </w:r>
    </w:p>
    <w:p w14:paraId="3E62E49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то время российская морская авиация имела только две станции (базы): одну в Ре</w:t>
      </w:r>
      <w:r w:rsidRPr="00405303">
        <w:rPr>
          <w:bCs/>
          <w:color w:val="002060"/>
          <w:sz w:val="16"/>
          <w:szCs w:val="16"/>
        </w:rPr>
        <w:softHyphen/>
        <w:t>веле, другую — на острове Эзель (Моонзунд) в Кильконде.</w:t>
      </w:r>
    </w:p>
    <w:p w14:paraId="72E7AD3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Начальник авиации капитан 2-го ранга Дудоров не верил в возможность установки на самолёты пулемётов. Для противодействия противнику по его приказу выдали оружие офицерам. Лётчики получили «маузеры», бортмеханики вооружились карабинами. Только Я.И. Нагурский решился установить пулемёт на свой самолёт «Морис Фарман».</w:t>
      </w:r>
    </w:p>
    <w:p w14:paraId="3CED4B0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Впрочем, и немцы шли по такому же пути. Командование германской морской авиа</w:t>
      </w:r>
      <w:r w:rsidRPr="00405303">
        <w:rPr>
          <w:bCs/>
          <w:color w:val="002060"/>
          <w:sz w:val="16"/>
          <w:szCs w:val="16"/>
        </w:rPr>
        <w:softHyphen/>
        <w:t>ции приказало снабдить экипажи карабинами.</w:t>
      </w:r>
    </w:p>
    <w:p w14:paraId="76645E5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наступлением тёплой погоды над Моонзундом все чаще и чаще появлялись герман</w:t>
      </w:r>
      <w:r w:rsidRPr="00405303">
        <w:rPr>
          <w:bCs/>
          <w:color w:val="002060"/>
          <w:sz w:val="16"/>
          <w:szCs w:val="16"/>
        </w:rPr>
        <w:softHyphen/>
        <w:t>ские самолёты. Начиная с 13 апреля 1915 г., почти каждый день хотя бы один немецкий гидроаэроплан с рассветом вылетал на разведку в сторону Моонзунда. Возвращались они вдоль побережья Рижского залива, чтобы вести наблюдение за передвижением рус</w:t>
      </w:r>
      <w:r w:rsidRPr="00405303">
        <w:rPr>
          <w:bCs/>
          <w:color w:val="002060"/>
          <w:sz w:val="16"/>
          <w:szCs w:val="16"/>
        </w:rPr>
        <w:softHyphen/>
        <w:t>ских войск. В мае германская авиация начала бомбить русские корабли и береговые сооружения. Ввиду активных действий немцев приняли решение развернуть еще одну -временную — станцию на острове Эзель вблизи города Аренсбург. На ровном участке побережья устанавливались уходящие в воду деревянные настилы (слипы), по кото</w:t>
      </w:r>
      <w:r w:rsidRPr="00405303">
        <w:rPr>
          <w:bCs/>
          <w:color w:val="002060"/>
          <w:sz w:val="16"/>
          <w:szCs w:val="16"/>
        </w:rPr>
        <w:softHyphen/>
        <w:t>рым гидросамолёты вытаскивали на сушу, а также палатки для размещения экипажей.</w:t>
      </w:r>
    </w:p>
    <w:p w14:paraId="03838FF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Утром 21 июля 1915 г. у острова Эзель опять появились немецкие самолёты Фридрих-сгафен (Альбатрос) РР с бортовыми номерами «270» и «292». На этот раз они впервые встретили отпор. Две русские летающие лодки — РВА пилота Лишина с бортовым но</w:t>
      </w:r>
      <w:r w:rsidRPr="00405303">
        <w:rPr>
          <w:bCs/>
          <w:color w:val="002060"/>
          <w:sz w:val="16"/>
          <w:szCs w:val="16"/>
        </w:rPr>
        <w:softHyphen/>
        <w:t>мером «4» и пилота Зверева с бортовым номером «8» — поднялись в воздух на перехват. К сожалению, у Зверева забарахлил мотор, и он вынужденно вернулся обратно. Остав</w:t>
      </w:r>
      <w:r w:rsidRPr="00405303">
        <w:rPr>
          <w:bCs/>
          <w:color w:val="002060"/>
          <w:sz w:val="16"/>
          <w:szCs w:val="16"/>
        </w:rPr>
        <w:softHyphen/>
        <w:t>шись один, Лишин смело пошел на врага.</w:t>
      </w:r>
    </w:p>
    <w:p w14:paraId="69379DD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Вряд ли кто может лучше непосредственного участника боя описать увиденное, обо</w:t>
      </w:r>
      <w:r w:rsidRPr="00405303">
        <w:rPr>
          <w:bCs/>
          <w:color w:val="002060"/>
          <w:sz w:val="16"/>
          <w:szCs w:val="16"/>
        </w:rPr>
        <w:softHyphen/>
        <w:t>сновать принятые решения, передать накал и динамику боя. Поэтому для более точно</w:t>
      </w:r>
      <w:r w:rsidRPr="00405303">
        <w:rPr>
          <w:bCs/>
          <w:color w:val="002060"/>
          <w:sz w:val="16"/>
          <w:szCs w:val="16"/>
        </w:rPr>
        <w:softHyphen/>
        <w:t>го изложения происходивших в те далекие времена событий приведу рапорт лейтенанта Лишина, поданный в тот же день капитану 2-го ранга Дудорову (орфография сохраня</w:t>
      </w:r>
      <w:r w:rsidRPr="00405303">
        <w:rPr>
          <w:bCs/>
          <w:color w:val="002060"/>
          <w:sz w:val="16"/>
          <w:szCs w:val="16"/>
        </w:rPr>
        <w:softHyphen/>
        <w:t>ется): «Доношу Вашему высокоблагородию, что сего числа в 5 час 35 мин утра я был около палаток, услышал шум мотора и вслед за тем увидел неприятельский аппарат.</w:t>
      </w:r>
    </w:p>
    <w:p w14:paraId="15B0605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5 час 40 мин я с унтер-офицером Смолиным поднялся на аппарате РВА, имея при себе 3-линейный карабин и пистолет Маузера.</w:t>
      </w:r>
    </w:p>
    <w:p w14:paraId="2A6D75E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Поднявшись на высоту 500 м, я заметил еще один аппарат и пошел на них, забирая высоту.</w:t>
      </w:r>
    </w:p>
    <w:p w14:paraId="4451CA0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 1050 м я разошелся с одним из аппаратов, обменявшись выстрелами. Механик, унтер-офицер Смолин, стрелял из карабина, я — из пистолета Маузера.</w:t>
      </w:r>
    </w:p>
    <w:p w14:paraId="10C072F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Неприятельский аппарат старался пройти над миноносцем («Московитянин» — прим. авт.), а я ему мешал в этом. Разойдясь, мы развернулись и встретились опять, стре</w:t>
      </w:r>
      <w:r w:rsidRPr="00405303">
        <w:rPr>
          <w:bCs/>
          <w:color w:val="002060"/>
          <w:sz w:val="16"/>
          <w:szCs w:val="16"/>
        </w:rPr>
        <w:softHyphen/>
        <w:t>ляя друг в друга, причем ясно было видно, что стреляют и пилот, и пассажир.</w:t>
      </w:r>
    </w:p>
    <w:p w14:paraId="42065FD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это время ко мне направился и второй аппарат.</w:t>
      </w:r>
    </w:p>
    <w:p w14:paraId="0996ADB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После перестрелки неприятельский аппарат повернул круто вправо, качнулся направо и налево несколько раз и, снижаясь немного, пошел к берегу — к маяку «Михайловский», затем вдоль берега, и скрылся со снижением в облаках.</w:t>
      </w:r>
    </w:p>
    <w:p w14:paraId="749328A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Я тогда повернул на второго и разошёлся с ним на 30-100 м. После перестрелки ап</w:t>
      </w:r>
      <w:r w:rsidRPr="00405303">
        <w:rPr>
          <w:bCs/>
          <w:color w:val="002060"/>
          <w:sz w:val="16"/>
          <w:szCs w:val="16"/>
        </w:rPr>
        <w:softHyphen/>
        <w:t>парат ушел к берегу, я за ним. Но, дойдя до маяка «Михайловский», пошел назад, так как мотор начал чихать.</w:t>
      </w:r>
    </w:p>
    <w:p w14:paraId="4C8CAE4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Когда я повернул, неприятель пошел опять ко мне и затем в море; я лег на перемен</w:t>
      </w:r>
      <w:r w:rsidRPr="00405303">
        <w:rPr>
          <w:bCs/>
          <w:color w:val="002060"/>
          <w:sz w:val="16"/>
          <w:szCs w:val="16"/>
        </w:rPr>
        <w:softHyphen/>
        <w:t>ный курс и увидел в море нашу подводную лодку («Аллигатор» — прим. авт.), к которой неприятель повернул тоже.</w:t>
      </w:r>
    </w:p>
    <w:p w14:paraId="4C0762A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Я начал сближаться с ним и, сойдясь, открыл огонь. После короткой стрельбы аппарат пошел на Люзерорт, я за ним. Видя, что его нагнать не могу, пошёл домой, так как мотор опять начал работать хуже. Всего в воздухе был 57 мин, наибольшая высота — 1550 м.</w:t>
      </w:r>
    </w:p>
    <w:p w14:paraId="5260F16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Унтер-офицер Смолин вел себя выше всяких похвал. У аппарата крыло было простре</w:t>
      </w:r>
      <w:r w:rsidRPr="00405303">
        <w:rPr>
          <w:bCs/>
          <w:color w:val="002060"/>
          <w:sz w:val="16"/>
          <w:szCs w:val="16"/>
        </w:rPr>
        <w:softHyphen/>
        <w:t>ляно в 2-х местах и легко тронут винт, но через 1/2 часа прилета аппарат был опять готов к полету».</w:t>
      </w:r>
    </w:p>
    <w:p w14:paraId="6C1A71A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Уточню, что маяк «Михайловский» находился по другую сторону Ирбенского проли</w:t>
      </w:r>
      <w:r w:rsidRPr="00405303">
        <w:rPr>
          <w:bCs/>
          <w:color w:val="002060"/>
          <w:sz w:val="16"/>
          <w:szCs w:val="16"/>
        </w:rPr>
        <w:softHyphen/>
        <w:t>ва (вблизи Курляндского побережья), Люзерорт — пункт на побережье по направлению к Виндаве.</w:t>
      </w:r>
    </w:p>
    <w:p w14:paraId="4D87276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Итак, два немецких самолёта отступили перед одним русским. Интересно, что сохра</w:t>
      </w:r>
      <w:r w:rsidRPr="00405303">
        <w:rPr>
          <w:bCs/>
          <w:color w:val="002060"/>
          <w:sz w:val="16"/>
          <w:szCs w:val="16"/>
        </w:rPr>
        <w:softHyphen/>
        <w:t>нилось донесение немецкого лётчика поплавкового гидросамолёта с бортовым номе</w:t>
      </w:r>
      <w:r w:rsidRPr="00405303">
        <w:rPr>
          <w:bCs/>
          <w:color w:val="002060"/>
          <w:sz w:val="16"/>
          <w:szCs w:val="16"/>
        </w:rPr>
        <w:softHyphen/>
        <w:t>ром «270» об этом бое. Приведу выдержки из него:</w:t>
      </w:r>
    </w:p>
    <w:p w14:paraId="550061E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«...Кертиссовская летающая лодка (Тогда немцы не знали, что в авиации Балтийского флота находятся летающие лодки РВА французской разработки и считали, что это американские летающие лодки «Кертисс», принятые на вооружение на Черном море.) пыталась выиграть высоту и не допускала нас к себе ближе, чем на 2000 м. Самолет «292» вынужден был прекратить преследование ввиду невозможности так быстро забрать высоту. Во время многочисленных встреч лод</w:t>
      </w:r>
      <w:r w:rsidRPr="00405303">
        <w:rPr>
          <w:bCs/>
          <w:color w:val="002060"/>
          <w:sz w:val="16"/>
          <w:szCs w:val="16"/>
        </w:rPr>
        <w:softHyphen/>
        <w:t>ку обстреляли из карабинов.</w:t>
      </w:r>
    </w:p>
    <w:p w14:paraId="0AB9BF6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5 час 55 мин мне удалось сблизиться с противником до 800 м на высоте 1900 м. Здесь я повернул на юг, чтобы не залетать вглубь Аренсбургской бухты и чтобы исполь</w:t>
      </w:r>
      <w:r w:rsidRPr="00405303">
        <w:rPr>
          <w:bCs/>
          <w:color w:val="002060"/>
          <w:sz w:val="16"/>
          <w:szCs w:val="16"/>
        </w:rPr>
        <w:softHyphen/>
        <w:t>зовать кормовые углы обстрела. Противник держался сзади меня приблизительно на 100 м выше. Мой наблюдатель произвел 20 выстрелов из карабина. По-видимому, с ус</w:t>
      </w:r>
      <w:r w:rsidRPr="00405303">
        <w:rPr>
          <w:bCs/>
          <w:color w:val="002060"/>
          <w:sz w:val="16"/>
          <w:szCs w:val="16"/>
        </w:rPr>
        <w:softHyphen/>
        <w:t>пехом, так как летающая лодка круто повернула и спустилась у Цереля. После этого я проследовал в Виндаву».</w:t>
      </w:r>
    </w:p>
    <w:p w14:paraId="12F19BE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И немецкое, и русское командование быстро сделали главные выводы из результа</w:t>
      </w:r>
      <w:r w:rsidRPr="00405303">
        <w:rPr>
          <w:bCs/>
          <w:color w:val="002060"/>
          <w:sz w:val="16"/>
          <w:szCs w:val="16"/>
        </w:rPr>
        <w:softHyphen/>
        <w:t>тов первого воздушного боя. Уже через день для вооружения самолётов были заказа</w:t>
      </w:r>
      <w:r w:rsidRPr="00405303">
        <w:rPr>
          <w:bCs/>
          <w:color w:val="002060"/>
          <w:sz w:val="16"/>
          <w:szCs w:val="16"/>
        </w:rPr>
        <w:softHyphen/>
        <w:t>ны пулемёты. Особенности маневров при атаке, способы ее проведения оперативно учитывались при создании первых рекомендаций по тактике воздушного боя. В этой работе самое активное участие принимал С.Н. Лишин (11696).</w:t>
      </w:r>
    </w:p>
    <w:p w14:paraId="59F5D410" w14:textId="77777777" w:rsidR="004B4E35" w:rsidRPr="00405303" w:rsidRDefault="004B4E35" w:rsidP="00C15251">
      <w:pPr>
        <w:shd w:val="clear" w:color="auto" w:fill="FFFFFF"/>
        <w:jc w:val="both"/>
        <w:rPr>
          <w:bCs/>
          <w:color w:val="002060"/>
          <w:sz w:val="16"/>
          <w:szCs w:val="16"/>
        </w:rPr>
      </w:pPr>
    </w:p>
    <w:p w14:paraId="46D55509" w14:textId="77777777" w:rsidR="00367A37" w:rsidRPr="00405303" w:rsidRDefault="00367A37" w:rsidP="00C15251">
      <w:pPr>
        <w:jc w:val="both"/>
        <w:rPr>
          <w:bCs/>
          <w:i/>
          <w:color w:val="002060"/>
          <w:sz w:val="16"/>
          <w:szCs w:val="16"/>
        </w:rPr>
      </w:pPr>
      <w:r w:rsidRPr="00405303">
        <w:rPr>
          <w:bCs/>
          <w:i/>
          <w:color w:val="002060"/>
          <w:sz w:val="16"/>
          <w:szCs w:val="16"/>
        </w:rPr>
        <w:t>Армия:</w:t>
      </w:r>
    </w:p>
    <w:p w14:paraId="012C1157" w14:textId="77777777" w:rsidR="00367A37" w:rsidRPr="00405303" w:rsidRDefault="00367A37" w:rsidP="00C15251">
      <w:pPr>
        <w:jc w:val="both"/>
        <w:rPr>
          <w:bCs/>
          <w:i/>
          <w:color w:val="002060"/>
          <w:sz w:val="16"/>
          <w:szCs w:val="16"/>
        </w:rPr>
      </w:pPr>
    </w:p>
    <w:p w14:paraId="12A1ECA2" w14:textId="38DA0B6E" w:rsidR="00367A37" w:rsidRPr="00405303" w:rsidRDefault="00367A37" w:rsidP="00C15251">
      <w:pPr>
        <w:jc w:val="both"/>
        <w:rPr>
          <w:bCs/>
          <w:color w:val="002060"/>
          <w:sz w:val="16"/>
          <w:szCs w:val="16"/>
        </w:rPr>
      </w:pPr>
      <w:r w:rsidRPr="00405303">
        <w:rPr>
          <w:bCs/>
          <w:color w:val="002060"/>
          <w:sz w:val="16"/>
          <w:szCs w:val="16"/>
        </w:rPr>
        <w:t xml:space="preserve">21 июля </w:t>
      </w:r>
      <w:r w:rsidR="001050C9" w:rsidRPr="00405303">
        <w:rPr>
          <w:bCs/>
          <w:color w:val="002060"/>
          <w:sz w:val="16"/>
          <w:szCs w:val="16"/>
        </w:rPr>
        <w:t xml:space="preserve">(3 августа) </w:t>
      </w:r>
      <w:r w:rsidRPr="00405303">
        <w:rPr>
          <w:bCs/>
          <w:color w:val="002060"/>
          <w:sz w:val="16"/>
          <w:szCs w:val="16"/>
        </w:rPr>
        <w:t>в 1915 году немецкие войска форсируют Вислу (14959).</w:t>
      </w:r>
    </w:p>
    <w:p w14:paraId="68FFB4E7" w14:textId="77777777" w:rsidR="00367A37" w:rsidRPr="00405303" w:rsidRDefault="00367A37" w:rsidP="00C15251">
      <w:pPr>
        <w:jc w:val="both"/>
        <w:rPr>
          <w:bCs/>
          <w:color w:val="002060"/>
          <w:sz w:val="16"/>
          <w:szCs w:val="16"/>
        </w:rPr>
      </w:pPr>
    </w:p>
    <w:p w14:paraId="0E4E5865" w14:textId="3102B2E6" w:rsidR="00FD7C8E" w:rsidRPr="00405303" w:rsidRDefault="00FD7C8E" w:rsidP="00C15251">
      <w:pPr>
        <w:jc w:val="both"/>
        <w:rPr>
          <w:bCs/>
          <w:i/>
          <w:color w:val="002060"/>
          <w:sz w:val="16"/>
          <w:szCs w:val="16"/>
        </w:rPr>
      </w:pPr>
      <w:r w:rsidRPr="00405303">
        <w:rPr>
          <w:bCs/>
          <w:i/>
          <w:color w:val="002060"/>
          <w:sz w:val="16"/>
          <w:szCs w:val="16"/>
        </w:rPr>
        <w:t>За рубежом:</w:t>
      </w:r>
    </w:p>
    <w:p w14:paraId="6EA1E47E" w14:textId="77777777" w:rsidR="00FD7C8E" w:rsidRPr="00405303" w:rsidRDefault="00FD7C8E" w:rsidP="00C15251">
      <w:pPr>
        <w:jc w:val="both"/>
        <w:rPr>
          <w:bCs/>
          <w:i/>
          <w:color w:val="002060"/>
          <w:sz w:val="16"/>
          <w:szCs w:val="16"/>
        </w:rPr>
      </w:pPr>
    </w:p>
    <w:p w14:paraId="2E747CF9" w14:textId="77777777" w:rsidR="00FD7C8E" w:rsidRPr="00405303" w:rsidRDefault="00FD7C8E" w:rsidP="00C15251">
      <w:pPr>
        <w:jc w:val="both"/>
        <w:rPr>
          <w:bCs/>
          <w:color w:val="002060"/>
          <w:sz w:val="16"/>
          <w:szCs w:val="16"/>
        </w:rPr>
      </w:pPr>
      <w:r w:rsidRPr="00405303">
        <w:rPr>
          <w:bCs/>
          <w:color w:val="002060"/>
          <w:sz w:val="16"/>
          <w:szCs w:val="16"/>
        </w:rPr>
        <w:t>21 июля (3 августа) 1915 в Англию из США прибыли четыре американских гусеничных трактора с полным набором запчастей и всех прочих необходимых деталей. Полковник Кромптона дал распоряжение сразу же доставить их в Бартон-он-Трент на экспериментальную испытательную площадку (попросту говоря — полигон), принадлежавшую 20-й эскадрилье Королевской военной воздушно-морской службе. Сам Кромптон задержался у себя дома в Кенсигтон-Корте, где готовил чертежи для Адмиралтейского комитета по сухопутным кораблям и одновременно пытался контролировать деятельность многочисленных подрядчиков, поставляющих компоненты для каких-то новых и очень странных машин. Работой в Бартоне руководил лейтенант Уолтер Вильсон, но дело шло медленно, вернее, не так быстро, как всем бы этого хотелось. К этому времени в Комитете по «сухопутным кораблям» уже было согласовано, что эти самые корабли необходимо снабдить гусеницами, а не колесами, однако многие из его членов выступали за то, чтобы сделать такие «корабли» сочлененными (наподобие некоторых современных шведских и российских вездеходов), но сам Вильсон этой идеи не одобрял, поскольку беспокоился за прочность и надежность такого соединения. Расчет был в том, что если одна половина сухопутного корабля застрянет в воронке от тяжелого снаряда, то другая окажется способна ее вытянуть. На деле во время испытаний соединение это гнулось и ломалось — и именно его Вильсон пытался усовершенствовать. Что же касается новых тракторов, то они предназначались для машины по проекту полковника Кромптона, которая сочленений в шасси не имела (22855).</w:t>
      </w:r>
    </w:p>
    <w:p w14:paraId="45EB2390" w14:textId="77777777" w:rsidR="00FD7C8E" w:rsidRPr="00405303" w:rsidRDefault="00FD7C8E" w:rsidP="00C15251">
      <w:pPr>
        <w:jc w:val="both"/>
        <w:rPr>
          <w:bCs/>
          <w:color w:val="002060"/>
          <w:sz w:val="16"/>
          <w:szCs w:val="16"/>
        </w:rPr>
      </w:pPr>
    </w:p>
    <w:p w14:paraId="34CBF426" w14:textId="77777777" w:rsidR="00367A37" w:rsidRPr="00405303" w:rsidRDefault="00367A37" w:rsidP="00C15251">
      <w:pPr>
        <w:jc w:val="both"/>
        <w:rPr>
          <w:bCs/>
          <w:i/>
          <w:color w:val="002060"/>
          <w:sz w:val="16"/>
          <w:szCs w:val="16"/>
        </w:rPr>
      </w:pPr>
      <w:r w:rsidRPr="00405303">
        <w:rPr>
          <w:bCs/>
          <w:i/>
          <w:color w:val="002060"/>
          <w:sz w:val="16"/>
          <w:szCs w:val="16"/>
        </w:rPr>
        <w:t>Армия:</w:t>
      </w:r>
    </w:p>
    <w:p w14:paraId="0F621918" w14:textId="77777777" w:rsidR="00367A37" w:rsidRPr="00405303" w:rsidRDefault="00367A37" w:rsidP="00C15251">
      <w:pPr>
        <w:jc w:val="both"/>
        <w:rPr>
          <w:bCs/>
          <w:i/>
          <w:color w:val="002060"/>
          <w:sz w:val="16"/>
          <w:szCs w:val="16"/>
        </w:rPr>
      </w:pPr>
    </w:p>
    <w:p w14:paraId="4169658A" w14:textId="60BD4817" w:rsidR="00367A37" w:rsidRPr="00405303" w:rsidRDefault="00367A37" w:rsidP="00C15251">
      <w:pPr>
        <w:jc w:val="both"/>
        <w:rPr>
          <w:bCs/>
          <w:color w:val="002060"/>
          <w:sz w:val="16"/>
          <w:szCs w:val="16"/>
        </w:rPr>
      </w:pPr>
      <w:r w:rsidRPr="00405303">
        <w:rPr>
          <w:bCs/>
          <w:color w:val="002060"/>
          <w:sz w:val="16"/>
          <w:szCs w:val="16"/>
        </w:rPr>
        <w:t xml:space="preserve">22 июля </w:t>
      </w:r>
      <w:r w:rsidR="001050C9" w:rsidRPr="00405303">
        <w:rPr>
          <w:bCs/>
          <w:color w:val="002060"/>
          <w:sz w:val="16"/>
          <w:szCs w:val="16"/>
        </w:rPr>
        <w:t xml:space="preserve">(4 августа) </w:t>
      </w:r>
      <w:r w:rsidRPr="00405303">
        <w:rPr>
          <w:bCs/>
          <w:color w:val="002060"/>
          <w:sz w:val="16"/>
          <w:szCs w:val="16"/>
        </w:rPr>
        <w:t>в 1915 году во время I мировой войны начинается генеральное сражение на юге Польши - у Люблина и Холма, которое закончится поражением русских войск. 29 июля они оставят Люблин, 30 июля - Холм. До 4 августа русские армии, отступая, будут беспрерывно и яростно контратаковать неприятеля, затем 3-ая русская армия отойдет за Вепрж, а 13-я - за Буг (14960).</w:t>
      </w:r>
    </w:p>
    <w:p w14:paraId="03694557" w14:textId="77777777" w:rsidR="00367A37" w:rsidRPr="00405303" w:rsidRDefault="00367A37" w:rsidP="00C15251">
      <w:pPr>
        <w:jc w:val="both"/>
        <w:rPr>
          <w:bCs/>
          <w:color w:val="002060"/>
          <w:sz w:val="16"/>
          <w:szCs w:val="16"/>
        </w:rPr>
      </w:pPr>
    </w:p>
    <w:p w14:paraId="3C938B41" w14:textId="2BA277CD" w:rsidR="00EF501B" w:rsidRPr="00405303" w:rsidRDefault="00EF501B" w:rsidP="00C15251">
      <w:pPr>
        <w:jc w:val="both"/>
        <w:rPr>
          <w:bCs/>
          <w:color w:val="002060"/>
          <w:sz w:val="16"/>
          <w:szCs w:val="16"/>
        </w:rPr>
      </w:pPr>
      <w:r w:rsidRPr="00405303">
        <w:rPr>
          <w:bCs/>
          <w:color w:val="002060"/>
          <w:sz w:val="16"/>
          <w:szCs w:val="16"/>
          <w:lang w:bidi="en-US"/>
        </w:rPr>
        <w:t>22 июля (4 августа) 1915 г. русские эвакуировали Варшаву и Ивангород, когда фронт рухнул. Немецкое наступление вынудило русских начать переброску Ставки из Барановичей в Могилев. Переезд был завершен 25 числа.</w:t>
      </w:r>
    </w:p>
    <w:p w14:paraId="035205C0" w14:textId="77777777" w:rsidR="00EF501B" w:rsidRPr="00405303" w:rsidRDefault="00EF501B" w:rsidP="00C15251">
      <w:pPr>
        <w:jc w:val="both"/>
        <w:rPr>
          <w:bCs/>
          <w:color w:val="002060"/>
          <w:sz w:val="16"/>
          <w:szCs w:val="16"/>
          <w:lang w:bidi="en-US"/>
        </w:rPr>
      </w:pPr>
      <w:r w:rsidRPr="00405303">
        <w:rPr>
          <w:bCs/>
          <w:color w:val="002060"/>
          <w:sz w:val="16"/>
          <w:szCs w:val="16"/>
          <w:lang w:bidi="en-US"/>
        </w:rPr>
        <w:t>Перед взятием Варшавы, взятой немцами 5 августа, здесь был собран русский подвижной ремонтный поезд для авиации для службы на Северо-Западном фронте (23525).</w:t>
      </w:r>
    </w:p>
    <w:p w14:paraId="7CB33A1D" w14:textId="77777777" w:rsidR="00EF501B" w:rsidRPr="00405303" w:rsidRDefault="00EF501B" w:rsidP="00C15251">
      <w:pPr>
        <w:jc w:val="both"/>
        <w:rPr>
          <w:bCs/>
          <w:color w:val="002060"/>
          <w:sz w:val="16"/>
          <w:szCs w:val="16"/>
        </w:rPr>
      </w:pPr>
    </w:p>
    <w:p w14:paraId="2D758DD5" w14:textId="77777777" w:rsidR="00185E31" w:rsidRPr="00405303" w:rsidRDefault="00185E31" w:rsidP="00185E31">
      <w:pPr>
        <w:jc w:val="both"/>
        <w:rPr>
          <w:bCs/>
          <w:i/>
          <w:color w:val="002060"/>
          <w:sz w:val="16"/>
          <w:szCs w:val="16"/>
        </w:rPr>
      </w:pPr>
      <w:r w:rsidRPr="00405303">
        <w:rPr>
          <w:bCs/>
          <w:i/>
          <w:color w:val="002060"/>
          <w:sz w:val="16"/>
          <w:szCs w:val="16"/>
        </w:rPr>
        <w:t>Авиация:</w:t>
      </w:r>
    </w:p>
    <w:p w14:paraId="11CEF90D" w14:textId="77777777" w:rsidR="00185E31" w:rsidRPr="00405303" w:rsidRDefault="00185E31" w:rsidP="00185E31">
      <w:pPr>
        <w:jc w:val="both"/>
        <w:rPr>
          <w:bCs/>
          <w:i/>
          <w:color w:val="002060"/>
          <w:sz w:val="16"/>
          <w:szCs w:val="16"/>
        </w:rPr>
      </w:pPr>
    </w:p>
    <w:p w14:paraId="1240B149" w14:textId="77777777" w:rsidR="00185E31" w:rsidRPr="00405303" w:rsidRDefault="00185E31" w:rsidP="00185E31">
      <w:pPr>
        <w:jc w:val="both"/>
        <w:rPr>
          <w:color w:val="0070C0"/>
          <w:sz w:val="16"/>
          <w:szCs w:val="16"/>
        </w:rPr>
      </w:pPr>
      <w:r w:rsidRPr="00405303">
        <w:rPr>
          <w:rStyle w:val="aa"/>
          <w:rFonts w:ascii="Times New Roman" w:hAnsi="Times New Roman"/>
          <w:color w:val="0070C0"/>
          <w:spacing w:val="0"/>
          <w:sz w:val="16"/>
          <w:szCs w:val="16"/>
        </w:rPr>
        <w:t>22 июля (4 августа) воздушный налет на Ригу повторился (25135).</w:t>
      </w:r>
    </w:p>
    <w:p w14:paraId="56DDFB2F" w14:textId="77777777" w:rsidR="00185E31" w:rsidRPr="00405303" w:rsidRDefault="00185E31" w:rsidP="00185E31">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В тот же день в небе г. Каменец-Подольск было зафиксировано появление вражеского самолета-разведчика, который совершал полет на небольшой высоте. По нему было сделано два выстрела из артиллерийских орудий. Летательный аппарат быстро поднялся выше границы ведения зенитного огня и скрылся в юго-западном направлении (25135).</w:t>
      </w:r>
    </w:p>
    <w:p w14:paraId="1CFA26B9" w14:textId="77777777" w:rsidR="00185E31" w:rsidRPr="00405303" w:rsidRDefault="00185E31" w:rsidP="00185E31">
      <w:pPr>
        <w:jc w:val="both"/>
        <w:rPr>
          <w:rStyle w:val="aa"/>
          <w:rFonts w:ascii="Times New Roman" w:hAnsi="Times New Roman"/>
          <w:color w:val="0070C0"/>
          <w:spacing w:val="0"/>
          <w:sz w:val="16"/>
          <w:szCs w:val="16"/>
        </w:rPr>
      </w:pPr>
    </w:p>
    <w:p w14:paraId="7895C4C9"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24AB5D57" w14:textId="77777777" w:rsidR="004B4E35" w:rsidRPr="00405303" w:rsidRDefault="004B4E35" w:rsidP="00C15251">
      <w:pPr>
        <w:jc w:val="both"/>
        <w:rPr>
          <w:bCs/>
          <w:i/>
          <w:color w:val="002060"/>
          <w:sz w:val="16"/>
          <w:szCs w:val="16"/>
        </w:rPr>
      </w:pPr>
    </w:p>
    <w:p w14:paraId="5D289211" w14:textId="456D6354"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23 июля </w:t>
      </w:r>
      <w:r w:rsidR="00C715A3" w:rsidRPr="00405303">
        <w:rPr>
          <w:bCs/>
          <w:color w:val="002060"/>
          <w:sz w:val="16"/>
          <w:szCs w:val="16"/>
        </w:rPr>
        <w:t xml:space="preserve">(5 августа) </w:t>
      </w:r>
      <w:r w:rsidRPr="00405303">
        <w:rPr>
          <w:bCs/>
          <w:color w:val="002060"/>
          <w:sz w:val="16"/>
          <w:szCs w:val="16"/>
        </w:rPr>
        <w:t xml:space="preserve">1915 г. </w:t>
      </w:r>
      <w:r w:rsidR="001050C9" w:rsidRPr="00405303">
        <w:rPr>
          <w:bCs/>
          <w:color w:val="002060"/>
          <w:sz w:val="16"/>
          <w:szCs w:val="16"/>
        </w:rPr>
        <w:t xml:space="preserve">решением Военного совета </w:t>
      </w:r>
      <w:r w:rsidRPr="00405303">
        <w:rPr>
          <w:bCs/>
          <w:color w:val="002060"/>
          <w:sz w:val="16"/>
          <w:szCs w:val="16"/>
        </w:rPr>
        <w:t>было заказано 400000 стрел</w:t>
      </w:r>
      <w:r w:rsidR="001050C9" w:rsidRPr="00405303">
        <w:rPr>
          <w:bCs/>
          <w:color w:val="002060"/>
          <w:sz w:val="16"/>
          <w:szCs w:val="16"/>
        </w:rPr>
        <w:t xml:space="preserve">, разработанных Г.А.Ботезатом и инженер подполковником П.Т. Калинковским весной 1915 г. </w:t>
      </w:r>
      <w:r w:rsidRPr="00405303">
        <w:rPr>
          <w:bCs/>
          <w:color w:val="002060"/>
          <w:sz w:val="16"/>
          <w:szCs w:val="16"/>
        </w:rPr>
        <w:t>В первую мировую войну стрелы наряду с бомбами эффективно применялись по скоплениям живой силы противника (11425).</w:t>
      </w:r>
    </w:p>
    <w:p w14:paraId="7878909B" w14:textId="77777777" w:rsidR="004B4E35" w:rsidRPr="00405303" w:rsidRDefault="004B4E35" w:rsidP="00C15251">
      <w:pPr>
        <w:shd w:val="clear" w:color="auto" w:fill="FFFFFF"/>
        <w:jc w:val="both"/>
        <w:rPr>
          <w:bCs/>
          <w:color w:val="002060"/>
          <w:sz w:val="16"/>
          <w:szCs w:val="16"/>
        </w:rPr>
      </w:pPr>
    </w:p>
    <w:p w14:paraId="445082DE" w14:textId="0AAEF6CC" w:rsidR="00367A37" w:rsidRPr="00405303" w:rsidRDefault="00367A37" w:rsidP="00C15251">
      <w:pPr>
        <w:pStyle w:val="16"/>
        <w:shd w:val="clear" w:color="auto" w:fill="auto"/>
        <w:spacing w:before="0" w:line="240" w:lineRule="auto"/>
        <w:ind w:firstLine="0"/>
        <w:jc w:val="both"/>
        <w:rPr>
          <w:bCs/>
          <w:color w:val="002060"/>
          <w:sz w:val="16"/>
          <w:szCs w:val="16"/>
        </w:rPr>
      </w:pPr>
      <w:r w:rsidRPr="00405303">
        <w:rPr>
          <w:bCs/>
          <w:color w:val="002060"/>
          <w:sz w:val="16"/>
          <w:szCs w:val="16"/>
        </w:rPr>
        <w:t xml:space="preserve">23 июля </w:t>
      </w:r>
      <w:r w:rsidR="00C715A3" w:rsidRPr="00405303">
        <w:rPr>
          <w:bCs/>
          <w:color w:val="002060"/>
          <w:sz w:val="16"/>
          <w:szCs w:val="16"/>
        </w:rPr>
        <w:t xml:space="preserve">(5 августа) </w:t>
      </w:r>
      <w:r w:rsidRPr="00405303">
        <w:rPr>
          <w:bCs/>
          <w:color w:val="002060"/>
          <w:sz w:val="16"/>
          <w:szCs w:val="16"/>
        </w:rPr>
        <w:t>1915 г. Решением Военно</w:t>
      </w:r>
      <w:r w:rsidRPr="00405303">
        <w:rPr>
          <w:bCs/>
          <w:color w:val="002060"/>
          <w:sz w:val="16"/>
          <w:szCs w:val="16"/>
        </w:rPr>
        <w:softHyphen/>
        <w:t>го совета «ДЕКА» было заказано 400 тыс. стрел Ботезата и Калиниковского по 19 копеек за штуку. В Первую мировую войну стрелы наряду с бомбами эф</w:t>
      </w:r>
      <w:r w:rsidRPr="00405303">
        <w:rPr>
          <w:bCs/>
          <w:color w:val="002060"/>
          <w:sz w:val="16"/>
          <w:szCs w:val="16"/>
        </w:rPr>
        <w:softHyphen/>
        <w:t>фективно применялись по скоплениям живой силы противника (15740).</w:t>
      </w:r>
    </w:p>
    <w:p w14:paraId="5FB96287" w14:textId="77777777" w:rsidR="00367A37" w:rsidRPr="00405303" w:rsidRDefault="00367A37" w:rsidP="00C15251">
      <w:pPr>
        <w:pStyle w:val="16"/>
        <w:shd w:val="clear" w:color="auto" w:fill="auto"/>
        <w:spacing w:before="0" w:line="240" w:lineRule="auto"/>
        <w:ind w:firstLine="0"/>
        <w:jc w:val="both"/>
        <w:rPr>
          <w:bCs/>
          <w:color w:val="002060"/>
          <w:sz w:val="16"/>
          <w:szCs w:val="16"/>
        </w:rPr>
      </w:pPr>
    </w:p>
    <w:p w14:paraId="148DF96E" w14:textId="77777777" w:rsidR="00C715A3" w:rsidRPr="00405303" w:rsidRDefault="00C715A3" w:rsidP="00C15251">
      <w:pPr>
        <w:shd w:val="clear" w:color="auto" w:fill="FFFFFF"/>
        <w:jc w:val="both"/>
        <w:rPr>
          <w:bCs/>
          <w:color w:val="002060"/>
          <w:sz w:val="16"/>
          <w:szCs w:val="16"/>
        </w:rPr>
      </w:pPr>
      <w:r w:rsidRPr="00405303">
        <w:rPr>
          <w:bCs/>
          <w:color w:val="002060"/>
          <w:sz w:val="16"/>
          <w:szCs w:val="16"/>
        </w:rPr>
        <w:t>23 и 27 июля (5 и 9 августа) 1915 в Главном военном техническом управлении проведены Особые совещания по организации авиационного дела в действующей армии. Наиболее важными из принятых решений являются вопросы об организации военной приемки на авиазаводах и обу</w:t>
      </w:r>
      <w:r w:rsidRPr="00405303">
        <w:rPr>
          <w:bCs/>
          <w:color w:val="002060"/>
          <w:sz w:val="16"/>
          <w:szCs w:val="16"/>
        </w:rPr>
        <w:softHyphen/>
        <w:t>чения летчиков в частных школах авиации (1137).</w:t>
      </w:r>
    </w:p>
    <w:p w14:paraId="25A6B419" w14:textId="77777777" w:rsidR="00C715A3" w:rsidRPr="00405303" w:rsidRDefault="00C715A3" w:rsidP="00C15251">
      <w:pPr>
        <w:shd w:val="clear" w:color="auto" w:fill="FFFFFF"/>
        <w:jc w:val="both"/>
        <w:rPr>
          <w:bCs/>
          <w:color w:val="002060"/>
          <w:sz w:val="16"/>
          <w:szCs w:val="16"/>
        </w:rPr>
      </w:pPr>
    </w:p>
    <w:p w14:paraId="6605B3C0" w14:textId="1273881D" w:rsidR="004B4E35" w:rsidRPr="00405303" w:rsidRDefault="009E6F82" w:rsidP="00C15251">
      <w:pPr>
        <w:jc w:val="both"/>
        <w:rPr>
          <w:bCs/>
          <w:i/>
          <w:color w:val="002060"/>
          <w:sz w:val="16"/>
          <w:szCs w:val="16"/>
        </w:rPr>
      </w:pPr>
      <w:r w:rsidRPr="00405303">
        <w:rPr>
          <w:bCs/>
          <w:i/>
          <w:color w:val="002060"/>
          <w:sz w:val="16"/>
          <w:szCs w:val="16"/>
        </w:rPr>
        <w:t>Авиация:</w:t>
      </w:r>
    </w:p>
    <w:p w14:paraId="03CDBD5F" w14:textId="77777777" w:rsidR="004B4E35" w:rsidRPr="00405303" w:rsidRDefault="004B4E35" w:rsidP="00C15251">
      <w:pPr>
        <w:jc w:val="both"/>
        <w:rPr>
          <w:bCs/>
          <w:i/>
          <w:color w:val="002060"/>
          <w:sz w:val="16"/>
          <w:szCs w:val="16"/>
        </w:rPr>
      </w:pPr>
    </w:p>
    <w:p w14:paraId="606BB230" w14:textId="69E7EB72" w:rsidR="004B4E35" w:rsidRPr="00405303" w:rsidRDefault="009E6F82" w:rsidP="00C15251">
      <w:pPr>
        <w:shd w:val="clear" w:color="auto" w:fill="FFFFFF"/>
        <w:jc w:val="both"/>
        <w:rPr>
          <w:bCs/>
          <w:color w:val="002060"/>
          <w:sz w:val="16"/>
          <w:szCs w:val="16"/>
        </w:rPr>
      </w:pPr>
      <w:r w:rsidRPr="00405303">
        <w:rPr>
          <w:bCs/>
          <w:color w:val="002060"/>
          <w:sz w:val="16"/>
          <w:szCs w:val="16"/>
        </w:rPr>
        <w:t>23 и 27 июля</w:t>
      </w:r>
      <w:r w:rsidR="00C715A3" w:rsidRPr="00405303">
        <w:rPr>
          <w:bCs/>
          <w:color w:val="002060"/>
          <w:sz w:val="16"/>
          <w:szCs w:val="16"/>
        </w:rPr>
        <w:t xml:space="preserve"> (5 и 9 августа)</w:t>
      </w:r>
      <w:r w:rsidRPr="00405303">
        <w:rPr>
          <w:bCs/>
          <w:color w:val="002060"/>
          <w:sz w:val="16"/>
          <w:szCs w:val="16"/>
        </w:rPr>
        <w:t xml:space="preserve"> 1915г. </w:t>
      </w:r>
      <w:r w:rsidR="00C715A3" w:rsidRPr="00405303">
        <w:rPr>
          <w:bCs/>
          <w:color w:val="002060"/>
          <w:sz w:val="16"/>
          <w:szCs w:val="16"/>
        </w:rPr>
        <w:t>в</w:t>
      </w:r>
      <w:r w:rsidRPr="00405303">
        <w:rPr>
          <w:bCs/>
          <w:color w:val="002060"/>
          <w:sz w:val="16"/>
          <w:szCs w:val="16"/>
        </w:rPr>
        <w:t xml:space="preserve"> Главном военном техническом управлении проведены Особые совещания по организации авиационного дела в действующей армии. Наиболее важными из принятых реше</w:t>
      </w:r>
      <w:r w:rsidRPr="00405303">
        <w:rPr>
          <w:bCs/>
          <w:color w:val="002060"/>
          <w:sz w:val="16"/>
          <w:szCs w:val="16"/>
        </w:rPr>
        <w:softHyphen/>
        <w:t>ний являются вопросы об организации военной приемки на авиазаводах и обучения летчиков в частных школах авиации (11425).</w:t>
      </w:r>
    </w:p>
    <w:p w14:paraId="1E9FD127" w14:textId="77777777" w:rsidR="004B4E35" w:rsidRPr="00405303" w:rsidRDefault="004B4E35" w:rsidP="00C15251">
      <w:pPr>
        <w:shd w:val="clear" w:color="auto" w:fill="FFFFFF"/>
        <w:jc w:val="both"/>
        <w:rPr>
          <w:bCs/>
          <w:color w:val="002060"/>
          <w:sz w:val="16"/>
          <w:szCs w:val="16"/>
        </w:rPr>
      </w:pPr>
    </w:p>
    <w:p w14:paraId="5437542C" w14:textId="23F62B0B" w:rsidR="00EF501B" w:rsidRPr="00405303" w:rsidRDefault="00EF501B" w:rsidP="00C15251">
      <w:pPr>
        <w:jc w:val="both"/>
        <w:rPr>
          <w:bCs/>
          <w:color w:val="002060"/>
          <w:sz w:val="16"/>
          <w:szCs w:val="16"/>
          <w:lang w:bidi="en-US"/>
        </w:rPr>
      </w:pPr>
      <w:r w:rsidRPr="00405303">
        <w:rPr>
          <w:bCs/>
          <w:color w:val="002060"/>
          <w:sz w:val="16"/>
          <w:szCs w:val="16"/>
          <w:lang w:bidi="en-US"/>
        </w:rPr>
        <w:t>К 23 июля (к 5 августа) 1915 г. перед взятием Варшавы немцами, здесь был собран русский подвижной ремонтный поезд для авиации для службы на Северо-Западном фронте (23525).</w:t>
      </w:r>
    </w:p>
    <w:p w14:paraId="69A4F2D3" w14:textId="77777777" w:rsidR="00EF501B" w:rsidRPr="00405303" w:rsidRDefault="00EF501B" w:rsidP="00C15251">
      <w:pPr>
        <w:jc w:val="both"/>
        <w:rPr>
          <w:bCs/>
          <w:color w:val="002060"/>
          <w:sz w:val="16"/>
          <w:szCs w:val="16"/>
        </w:rPr>
      </w:pPr>
    </w:p>
    <w:p w14:paraId="7427865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23 июля (5 августа) 1915 военный летчик 5-го Сибирского КАО Николай Николаевич Кубатов, производя разведку, установил передвижение турок из Пассинской долины в долину Евфрата. На основании этой разведки 1-й армейский корпус ререшел в наступление, дабы не дать противнику возможности напасть на соседний 4-й корпус. Турки были вынуждены оставить в Пассинской долине не менее 24 таборов при 36-40 орудиях, чем облегчилось положение наших войск в долине Евфрата. </w:t>
      </w:r>
      <w:r w:rsidRPr="00405303">
        <w:rPr>
          <w:bCs/>
          <w:color w:val="002060"/>
          <w:sz w:val="16"/>
          <w:szCs w:val="16"/>
        </w:rPr>
        <w:lastRenderedPageBreak/>
        <w:t>Курбатов подвергся сильному обстрелу турецкой артиллерии, но, несмотря на это, доставил весьма ценные наблюдения и фотоснимки (Приказ Кавказской армии № 258 от 24 декабря 1915 г.).</w:t>
      </w:r>
    </w:p>
    <w:p w14:paraId="2B5A2BF3" w14:textId="77777777" w:rsidR="004B4E35" w:rsidRPr="00405303" w:rsidRDefault="004B4E35" w:rsidP="00C15251">
      <w:pPr>
        <w:shd w:val="clear" w:color="auto" w:fill="FFFFFF"/>
        <w:jc w:val="both"/>
        <w:rPr>
          <w:bCs/>
          <w:color w:val="002060"/>
          <w:sz w:val="16"/>
          <w:szCs w:val="16"/>
        </w:rPr>
      </w:pPr>
    </w:p>
    <w:p w14:paraId="0679A2A4" w14:textId="1F4E84BD" w:rsidR="00711A46" w:rsidRPr="00405303" w:rsidRDefault="00711A46" w:rsidP="00C15251">
      <w:pPr>
        <w:jc w:val="both"/>
        <w:rPr>
          <w:bCs/>
          <w:color w:val="002060"/>
          <w:sz w:val="16"/>
          <w:szCs w:val="16"/>
        </w:rPr>
      </w:pPr>
      <w:r w:rsidRPr="00405303">
        <w:rPr>
          <w:bCs/>
          <w:color w:val="002060"/>
          <w:sz w:val="16"/>
          <w:szCs w:val="16"/>
        </w:rPr>
        <w:t xml:space="preserve">23 июля (5 августа) </w:t>
      </w:r>
      <w:r w:rsidR="00BB544A" w:rsidRPr="00405303">
        <w:rPr>
          <w:bCs/>
          <w:color w:val="002060"/>
          <w:sz w:val="16"/>
          <w:szCs w:val="16"/>
        </w:rPr>
        <w:t>1</w:t>
      </w:r>
      <w:r w:rsidRPr="00405303">
        <w:rPr>
          <w:bCs/>
          <w:color w:val="002060"/>
          <w:sz w:val="16"/>
          <w:szCs w:val="16"/>
        </w:rPr>
        <w:t>915 г. военный летчик 5-го Сибирского КАО Николай Николаевич Курбатов, производя разведку, установил передвижение турок из Пассинской долины в долину Евфрата. На основании этой разведки 1-й армейский корпус перешел в наступление, дабы не дать противнику возможности напасть на соседний 4-й корпус. Турки были вынуждены ставить в Пассинской долине не менее 24 таборов при 36-40 орудиях, чем облегчилось положение наших войск в долине Евфрата. Шт.-капитан Курбатов подвергся сильному обстрелу турецкой артиллерии и несмотря на это доставил весьма ценные наблюдения и фотоснимки.</w:t>
      </w:r>
    </w:p>
    <w:p w14:paraId="03611B71" w14:textId="77777777" w:rsidR="00711A46" w:rsidRPr="00405303" w:rsidRDefault="00711A46" w:rsidP="00C15251">
      <w:pPr>
        <w:jc w:val="both"/>
        <w:rPr>
          <w:bCs/>
          <w:color w:val="002060"/>
          <w:sz w:val="16"/>
          <w:szCs w:val="16"/>
        </w:rPr>
      </w:pPr>
      <w:r w:rsidRPr="00405303">
        <w:rPr>
          <w:bCs/>
          <w:color w:val="002060"/>
          <w:sz w:val="16"/>
          <w:szCs w:val="16"/>
        </w:rPr>
        <w:t>/Приказ Кавказской армии № 258 от 24 декабря 1915/ (23320).</w:t>
      </w:r>
    </w:p>
    <w:p w14:paraId="3F666874" w14:textId="77777777" w:rsidR="00711A46" w:rsidRPr="00405303" w:rsidRDefault="00711A46" w:rsidP="00C15251">
      <w:pPr>
        <w:jc w:val="both"/>
        <w:rPr>
          <w:bCs/>
          <w:color w:val="002060"/>
          <w:sz w:val="16"/>
          <w:szCs w:val="16"/>
        </w:rPr>
      </w:pPr>
    </w:p>
    <w:p w14:paraId="43DB893E" w14:textId="2246FA97" w:rsidR="00BB544A" w:rsidRPr="00405303" w:rsidRDefault="00BB544A" w:rsidP="00C15251">
      <w:pPr>
        <w:jc w:val="both"/>
        <w:rPr>
          <w:bCs/>
          <w:color w:val="002060"/>
          <w:sz w:val="16"/>
          <w:szCs w:val="16"/>
        </w:rPr>
      </w:pPr>
      <w:bookmarkStart w:id="195" w:name="bookmark217"/>
      <w:r w:rsidRPr="00405303">
        <w:rPr>
          <w:bCs/>
          <w:color w:val="002060"/>
          <w:sz w:val="16"/>
          <w:szCs w:val="16"/>
        </w:rPr>
        <w:t>22 июля (5 августа) 1915 г. летательный аппарат типа «Таубе» провел бомбардировку жилых кварталов (сброшено 5 бомб), в результате которой убит один прохожий. Отмечено также появление германской авиации над г. Рига, что вызвало большую сенсацию среди местных жителей. Это стало первым появлением немецкого самолета в небе города. По словам очевидцев, «народ высыпался на улицы и любовался невиданным зрелищем. Сброшено две бомбы. Жертв нет. Аэроплан продержался над Ригой минут 15, а затем скрылся» (23405).</w:t>
      </w:r>
    </w:p>
    <w:p w14:paraId="582CDD00" w14:textId="77777777" w:rsidR="00BB544A" w:rsidRPr="00405303" w:rsidRDefault="00BB544A" w:rsidP="00C15251">
      <w:pPr>
        <w:jc w:val="both"/>
        <w:rPr>
          <w:bCs/>
          <w:color w:val="002060"/>
          <w:sz w:val="16"/>
          <w:szCs w:val="16"/>
        </w:rPr>
      </w:pPr>
    </w:p>
    <w:bookmarkEnd w:id="195"/>
    <w:p w14:paraId="4C271BCC" w14:textId="18082D1D" w:rsidR="00BB544A" w:rsidRPr="00405303" w:rsidRDefault="00BB544A" w:rsidP="00C15251">
      <w:pPr>
        <w:jc w:val="both"/>
        <w:rPr>
          <w:bCs/>
          <w:color w:val="002060"/>
          <w:sz w:val="16"/>
          <w:szCs w:val="16"/>
        </w:rPr>
      </w:pPr>
      <w:r w:rsidRPr="00405303">
        <w:rPr>
          <w:bCs/>
          <w:color w:val="002060"/>
          <w:sz w:val="16"/>
          <w:szCs w:val="16"/>
        </w:rPr>
        <w:t>22 июля (5 августа) 1915 г. вблизи посада Иваницы (20 км от г. Владимир-Волынский) русскими войсками был захвачен неприятельский самолет, вынужденный совершить посадку вследствие недостатка бензина. Два немецких летчика-лейтенанта были взяты в плен, а исправный летательный аппарат отправлен в г. Киев (23405).</w:t>
      </w:r>
    </w:p>
    <w:p w14:paraId="13622FF0" w14:textId="77777777" w:rsidR="00BB544A" w:rsidRPr="00405303" w:rsidRDefault="00BB544A" w:rsidP="00C15251">
      <w:pPr>
        <w:jc w:val="both"/>
        <w:rPr>
          <w:bCs/>
          <w:color w:val="002060"/>
          <w:sz w:val="16"/>
          <w:szCs w:val="16"/>
        </w:rPr>
      </w:pPr>
    </w:p>
    <w:p w14:paraId="38D5C0F6" w14:textId="0CB780DA" w:rsidR="00BB544A" w:rsidRPr="00405303" w:rsidRDefault="00BB544A" w:rsidP="00C15251">
      <w:pPr>
        <w:jc w:val="both"/>
        <w:rPr>
          <w:bCs/>
          <w:color w:val="002060"/>
          <w:sz w:val="16"/>
          <w:szCs w:val="16"/>
        </w:rPr>
      </w:pPr>
      <w:bookmarkStart w:id="196" w:name="bookmark222"/>
      <w:r w:rsidRPr="00405303">
        <w:rPr>
          <w:bCs/>
          <w:color w:val="002060"/>
          <w:sz w:val="16"/>
          <w:szCs w:val="16"/>
        </w:rPr>
        <w:t xml:space="preserve">22 июля (5 августа) 1915 г. зенитная артиллерия сбила немецкий аэроплан, который при падении полностью разбился. Экипаж в составе двух летчиков погиб. Ранее нами был захвачен неприятельский «Альбатрос». Подробно этот эпизод был отражен в «Летописи войны»: </w:t>
      </w:r>
      <w:bookmarkStart w:id="197" w:name="bookmark223"/>
      <w:bookmarkEnd w:id="196"/>
      <w:r w:rsidRPr="00405303">
        <w:rPr>
          <w:bCs/>
          <w:color w:val="002060"/>
          <w:sz w:val="16"/>
          <w:szCs w:val="16"/>
        </w:rPr>
        <w:t>«Пронесшийся над Олькениками [между г. Вильна и Гродно] „Альбатрос“ намеревался бросить бомбы. Потерпев аварию вследствие порчи мотора, летчики опустились недалеко от станции Олькеники и собирались поджечь аппарат и скрыться. Находившиеся поблизости крестьяне подняли тревогу. Станционные жандармы и стражники пустились вдогонку. Настигнутые летчики пробовали оказать сопротивление, но затем сдались. Аппарат цел, на нем найдены десять тяжелых бомб» (23405).</w:t>
      </w:r>
      <w:bookmarkEnd w:id="197"/>
    </w:p>
    <w:p w14:paraId="7B586EBC" w14:textId="77777777" w:rsidR="00BB544A" w:rsidRPr="00405303" w:rsidRDefault="00BB544A" w:rsidP="00C15251">
      <w:pPr>
        <w:jc w:val="both"/>
        <w:rPr>
          <w:bCs/>
          <w:color w:val="002060"/>
          <w:sz w:val="16"/>
          <w:szCs w:val="16"/>
        </w:rPr>
      </w:pPr>
    </w:p>
    <w:p w14:paraId="3D54C97E" w14:textId="77777777" w:rsidR="00367A37" w:rsidRPr="00405303" w:rsidRDefault="00367A37" w:rsidP="00C15251">
      <w:pPr>
        <w:jc w:val="both"/>
        <w:rPr>
          <w:bCs/>
          <w:i/>
          <w:color w:val="002060"/>
          <w:sz w:val="16"/>
          <w:szCs w:val="16"/>
        </w:rPr>
      </w:pPr>
      <w:r w:rsidRPr="00405303">
        <w:rPr>
          <w:bCs/>
          <w:i/>
          <w:color w:val="002060"/>
          <w:sz w:val="16"/>
          <w:szCs w:val="16"/>
        </w:rPr>
        <w:t>Армия:</w:t>
      </w:r>
    </w:p>
    <w:p w14:paraId="78C2B3CC" w14:textId="77777777" w:rsidR="00367A37" w:rsidRPr="00405303" w:rsidRDefault="00367A37" w:rsidP="00C15251">
      <w:pPr>
        <w:jc w:val="both"/>
        <w:rPr>
          <w:bCs/>
          <w:i/>
          <w:color w:val="002060"/>
          <w:sz w:val="16"/>
          <w:szCs w:val="16"/>
        </w:rPr>
      </w:pPr>
    </w:p>
    <w:p w14:paraId="60788ED2" w14:textId="657B9136" w:rsidR="00367A37" w:rsidRPr="00405303" w:rsidRDefault="00367A37" w:rsidP="00C15251">
      <w:pPr>
        <w:jc w:val="both"/>
        <w:rPr>
          <w:bCs/>
          <w:color w:val="002060"/>
          <w:sz w:val="16"/>
          <w:szCs w:val="16"/>
        </w:rPr>
      </w:pPr>
      <w:r w:rsidRPr="00405303">
        <w:rPr>
          <w:bCs/>
          <w:color w:val="002060"/>
          <w:sz w:val="16"/>
          <w:szCs w:val="16"/>
        </w:rPr>
        <w:t xml:space="preserve">23 июля </w:t>
      </w:r>
      <w:r w:rsidR="00C715A3" w:rsidRPr="00405303">
        <w:rPr>
          <w:bCs/>
          <w:color w:val="002060"/>
          <w:sz w:val="16"/>
          <w:szCs w:val="16"/>
        </w:rPr>
        <w:t xml:space="preserve">(5 августа) </w:t>
      </w:r>
      <w:r w:rsidRPr="00405303">
        <w:rPr>
          <w:bCs/>
          <w:color w:val="002060"/>
          <w:sz w:val="16"/>
          <w:szCs w:val="16"/>
        </w:rPr>
        <w:t>в 1915 году во время 1-й мировой начинается генеральное сражение на 140-верстном Наревском фронте (севернее Варшавы) между 12-ой и 1-ой русскими армиями генералов Чурина и Литвинова и 8-й и 12-й германскими армиями генералов Шольца и фон Гальвица. 23 июля армия Шольца форсирует реку Нарев; 25 июля армия фон Гальвица возьмет город Пулутск, а через 6 дней - Рожаны. Но германский план окружения русских армий двусторонним охватом Царства Польского не удастся, русские выйдут из "польского мешка". Однако потери будут огромны: только 12-я и 1-я армии лишатся в ходе июльских боев до 15 тысяч человек (14961).</w:t>
      </w:r>
    </w:p>
    <w:p w14:paraId="0C0BF5EB" w14:textId="77777777" w:rsidR="00367A37" w:rsidRPr="00405303" w:rsidRDefault="00367A37" w:rsidP="00C15251">
      <w:pPr>
        <w:jc w:val="both"/>
        <w:rPr>
          <w:bCs/>
          <w:color w:val="002060"/>
          <w:sz w:val="16"/>
          <w:szCs w:val="16"/>
        </w:rPr>
      </w:pPr>
    </w:p>
    <w:p w14:paraId="40EC0A76" w14:textId="2C1AE13A" w:rsidR="00EF501B" w:rsidRPr="00405303" w:rsidRDefault="00EF501B" w:rsidP="00C15251">
      <w:pPr>
        <w:jc w:val="both"/>
        <w:rPr>
          <w:bCs/>
          <w:i/>
          <w:color w:val="002060"/>
          <w:sz w:val="16"/>
          <w:szCs w:val="16"/>
        </w:rPr>
      </w:pPr>
      <w:r w:rsidRPr="00405303">
        <w:rPr>
          <w:bCs/>
          <w:i/>
          <w:color w:val="002060"/>
          <w:sz w:val="16"/>
          <w:szCs w:val="16"/>
        </w:rPr>
        <w:t>Авиация:</w:t>
      </w:r>
    </w:p>
    <w:p w14:paraId="3221FC89" w14:textId="77777777" w:rsidR="00EF501B" w:rsidRPr="00405303" w:rsidRDefault="00EF501B" w:rsidP="00C15251">
      <w:pPr>
        <w:jc w:val="both"/>
        <w:rPr>
          <w:bCs/>
          <w:i/>
          <w:color w:val="002060"/>
          <w:sz w:val="16"/>
          <w:szCs w:val="16"/>
        </w:rPr>
      </w:pPr>
    </w:p>
    <w:p w14:paraId="5CE1ECA2" w14:textId="124B5176" w:rsidR="00EF501B" w:rsidRPr="00405303" w:rsidRDefault="00EF501B" w:rsidP="00C15251">
      <w:pPr>
        <w:jc w:val="both"/>
        <w:rPr>
          <w:bCs/>
          <w:color w:val="002060"/>
          <w:sz w:val="16"/>
          <w:szCs w:val="16"/>
        </w:rPr>
      </w:pPr>
      <w:r w:rsidRPr="00405303">
        <w:rPr>
          <w:bCs/>
          <w:color w:val="002060"/>
          <w:sz w:val="16"/>
          <w:szCs w:val="16"/>
          <w:lang w:bidi="en-US"/>
        </w:rPr>
        <w:t>23 июля (5 августа) 1915 г. Великий Князь Александр Михайлович возглавил специальное совещание, посвященное современному состоянию военной авиации и воздухоплавания. В совещании приняли участие заместитель военного министра генерал Беляев, инженер-генерал Александров, представитель военного министра генерал Мышлаевский, командующий ЦМТД генерал-лейтенант фон-дер-Ропп, и.о. командира Главного управления Генерального штаба интендантского отдела Полковник Каменский, и.о. ключевой авиационный и авиационный персонал.</w:t>
      </w:r>
    </w:p>
    <w:p w14:paraId="623FED06" w14:textId="77777777" w:rsidR="00EF501B" w:rsidRPr="00405303" w:rsidRDefault="00EF501B" w:rsidP="00C15251">
      <w:pPr>
        <w:jc w:val="both"/>
        <w:rPr>
          <w:bCs/>
          <w:color w:val="002060"/>
          <w:sz w:val="16"/>
          <w:szCs w:val="16"/>
        </w:rPr>
      </w:pPr>
      <w:r w:rsidRPr="00405303">
        <w:rPr>
          <w:bCs/>
          <w:color w:val="002060"/>
          <w:sz w:val="16"/>
          <w:szCs w:val="16"/>
          <w:lang w:bidi="en-US"/>
        </w:rPr>
        <w:t>Внеочередное совещание началось с доклада военного министерства, в котором говорилось, что «задачи армейской авиации четко не определены. На самом деле они определены, но вряд ли осуществимы из-за отсутствия самолетов. Дальняя разведка выполняется редко. Ближнюю разведку ведут все имеющиеся у нас типы. Время от времени производится корректировка огня артиллерии, так как самолеты свободны от разведывательной работы:</w:t>
      </w:r>
    </w:p>
    <w:p w14:paraId="4974E7C8" w14:textId="77777777" w:rsidR="00EF501B" w:rsidRPr="00405303" w:rsidRDefault="00EF501B" w:rsidP="00C15251">
      <w:pPr>
        <w:jc w:val="both"/>
        <w:rPr>
          <w:bCs/>
          <w:color w:val="002060"/>
          <w:sz w:val="16"/>
          <w:szCs w:val="16"/>
        </w:rPr>
      </w:pPr>
      <w:r w:rsidRPr="00405303">
        <w:rPr>
          <w:bCs/>
          <w:color w:val="002060"/>
          <w:sz w:val="16"/>
          <w:szCs w:val="16"/>
          <w:lang w:bidi="en-US"/>
        </w:rPr>
        <w:t>Тем более, что только недавно были подготовлены инструкции по проведению такой корректировки в армейских частях. Одновременно с разведывательной работой ведется бомбометание. Это особое задание Ильи Муромца. Групповые атаки редко производятся из-за отсутствия самолетов».</w:t>
      </w:r>
    </w:p>
    <w:p w14:paraId="24ECAD03" w14:textId="77777777" w:rsidR="00EF501B" w:rsidRPr="00405303" w:rsidRDefault="00EF501B" w:rsidP="00C15251">
      <w:pPr>
        <w:jc w:val="both"/>
        <w:rPr>
          <w:bCs/>
          <w:color w:val="002060"/>
          <w:sz w:val="16"/>
          <w:szCs w:val="16"/>
        </w:rPr>
      </w:pPr>
      <w:r w:rsidRPr="00405303">
        <w:rPr>
          <w:bCs/>
          <w:color w:val="002060"/>
          <w:sz w:val="16"/>
          <w:szCs w:val="16"/>
          <w:lang w:bidi="en-US"/>
        </w:rPr>
        <w:t xml:space="preserve">Далее последовало мнение Великого Князя, который заявил, что «нет продуманного плана дальнейшего развития в области авиации и воздухоплавания. Опыт первого военного года показал необходимость наличия авиационных частей в составе штабов фронтов, штабов армий и Верховный ЦИК о необходимости формирования двадцати трех новых авиационных частей. Это предложение было одобрено. Что касается артиллерийских самолетов, то после формирования новых частей решено направить </w:t>
      </w:r>
      <w:r w:rsidRPr="00405303">
        <w:rPr>
          <w:bCs/>
          <w:color w:val="002060"/>
          <w:sz w:val="16"/>
          <w:szCs w:val="16"/>
          <w:lang w:bidi="en-US"/>
        </w:rPr>
        <w:softHyphen/>
        <w:t>в артиллерийские бригады летчиков, не являющихся офицерами, в связи с нехваткой летчиков».</w:t>
      </w:r>
    </w:p>
    <w:p w14:paraId="26B61F43" w14:textId="77777777" w:rsidR="00EF501B" w:rsidRPr="00405303" w:rsidRDefault="00EF501B" w:rsidP="00C15251">
      <w:pPr>
        <w:jc w:val="both"/>
        <w:rPr>
          <w:bCs/>
          <w:color w:val="002060"/>
          <w:sz w:val="16"/>
          <w:szCs w:val="16"/>
        </w:rPr>
      </w:pPr>
      <w:r w:rsidRPr="00405303">
        <w:rPr>
          <w:bCs/>
          <w:color w:val="002060"/>
          <w:sz w:val="16"/>
          <w:szCs w:val="16"/>
          <w:lang w:bidi="en-US"/>
        </w:rPr>
        <w:t>Великий князь продолжал: «Каждый армейский корпус должен иметь воздухоплавательную роту с двумя наблюдательными пунктами. Однако эти роты планируется формировать поэтапно, в связи с нехваткой офицеров-воздухоплавателей и воздухоплавательной техники:</w:t>
      </w:r>
    </w:p>
    <w:p w14:paraId="33DA18A5" w14:textId="77777777" w:rsidR="00EF501B" w:rsidRPr="00405303" w:rsidRDefault="00EF501B" w:rsidP="00C15251">
      <w:pPr>
        <w:jc w:val="both"/>
        <w:rPr>
          <w:bCs/>
          <w:color w:val="002060"/>
          <w:sz w:val="16"/>
          <w:szCs w:val="16"/>
        </w:rPr>
      </w:pPr>
      <w:r w:rsidRPr="00405303">
        <w:rPr>
          <w:bCs/>
          <w:color w:val="002060"/>
          <w:sz w:val="16"/>
          <w:szCs w:val="16"/>
          <w:lang w:bidi="en-US"/>
        </w:rPr>
        <w:t xml:space="preserve">Многочисленные типы самолетов, используемых авиационными частями, являются препятствием для проведения групповых атак частями. «Ньюпоры» и «Фарманы» были основными машинами в частях до войны, также в этих частях использовалось небольшое количество «Моранов» типа </w:t>
      </w:r>
      <w:r w:rsidRPr="00405303">
        <w:rPr>
          <w:bCs/>
          <w:color w:val="002060"/>
          <w:sz w:val="16"/>
          <w:szCs w:val="16"/>
          <w:lang w:val="en-US" w:bidi="en-US"/>
        </w:rPr>
        <w:t>G</w:t>
      </w:r>
      <w:r w:rsidRPr="00405303">
        <w:rPr>
          <w:bCs/>
          <w:color w:val="002060"/>
          <w:sz w:val="16"/>
          <w:szCs w:val="16"/>
          <w:lang w:bidi="en-US"/>
        </w:rPr>
        <w:t xml:space="preserve"> и «Депердюссинов».</w:t>
      </w:r>
    </w:p>
    <w:p w14:paraId="50F03A79" w14:textId="77777777" w:rsidR="00EF501B" w:rsidRPr="00405303" w:rsidRDefault="00EF501B" w:rsidP="00C15251">
      <w:pPr>
        <w:jc w:val="both"/>
        <w:rPr>
          <w:bCs/>
          <w:color w:val="002060"/>
          <w:sz w:val="16"/>
          <w:szCs w:val="16"/>
        </w:rPr>
      </w:pPr>
      <w:r w:rsidRPr="00405303">
        <w:rPr>
          <w:bCs/>
          <w:color w:val="002060"/>
          <w:sz w:val="16"/>
          <w:szCs w:val="16"/>
          <w:lang w:bidi="en-US"/>
        </w:rPr>
        <w:t xml:space="preserve">После начала войны было решено эксплуатировать машины </w:t>
      </w:r>
      <w:r w:rsidRPr="00405303">
        <w:rPr>
          <w:bCs/>
          <w:color w:val="002060"/>
          <w:sz w:val="16"/>
          <w:szCs w:val="16"/>
          <w:lang w:val="en-US" w:bidi="en-US"/>
        </w:rPr>
        <w:t>Voisin</w:t>
      </w:r>
      <w:r w:rsidRPr="00405303">
        <w:rPr>
          <w:bCs/>
          <w:color w:val="002060"/>
          <w:sz w:val="16"/>
          <w:szCs w:val="16"/>
          <w:lang w:bidi="en-US"/>
        </w:rPr>
        <w:t xml:space="preserve"> и </w:t>
      </w:r>
      <w:r w:rsidRPr="00405303">
        <w:rPr>
          <w:bCs/>
          <w:color w:val="002060"/>
          <w:sz w:val="16"/>
          <w:szCs w:val="16"/>
          <w:lang w:val="en-US" w:bidi="en-US"/>
        </w:rPr>
        <w:t>Morane</w:t>
      </w:r>
      <w:r w:rsidRPr="00405303">
        <w:rPr>
          <w:bCs/>
          <w:color w:val="002060"/>
          <w:sz w:val="16"/>
          <w:szCs w:val="16"/>
          <w:lang w:bidi="en-US"/>
        </w:rPr>
        <w:t xml:space="preserve"> </w:t>
      </w:r>
      <w:r w:rsidRPr="00405303">
        <w:rPr>
          <w:bCs/>
          <w:color w:val="002060"/>
          <w:sz w:val="16"/>
          <w:szCs w:val="16"/>
          <w:lang w:val="en-US" w:bidi="en-US"/>
        </w:rPr>
        <w:t>Parasol</w:t>
      </w:r>
      <w:r w:rsidRPr="00405303">
        <w:rPr>
          <w:bCs/>
          <w:color w:val="002060"/>
          <w:sz w:val="16"/>
          <w:szCs w:val="16"/>
          <w:lang w:bidi="en-US"/>
        </w:rPr>
        <w:t xml:space="preserve"> с более высокими характеристиками. В связи с этим в частях используются различные типы самолетов.</w:t>
      </w:r>
    </w:p>
    <w:p w14:paraId="2B000734" w14:textId="77777777" w:rsidR="00EF501B" w:rsidRPr="00405303" w:rsidRDefault="00EF501B" w:rsidP="00C15251">
      <w:pPr>
        <w:jc w:val="both"/>
        <w:rPr>
          <w:bCs/>
          <w:color w:val="002060"/>
          <w:sz w:val="16"/>
          <w:szCs w:val="16"/>
        </w:rPr>
      </w:pPr>
      <w:r w:rsidRPr="00405303">
        <w:rPr>
          <w:bCs/>
          <w:color w:val="002060"/>
          <w:sz w:val="16"/>
          <w:szCs w:val="16"/>
          <w:lang w:bidi="en-US"/>
        </w:rPr>
        <w:t>Эта ситуация ненормальна, но она не может быть улучшена до определенного периода времени. Вуазены страдают недостаточной скоростью, и из-за этого нам придется одновременно использовать несколько других типов, способных сопровождать Вуазены и уничтожать самолеты противника. Групповые бомбовые удары по тылу противника не могут быть выполнены до тех пор, пока наши части не будут располагать полным количеством машин, которые должны быть у них.</w:t>
      </w:r>
    </w:p>
    <w:p w14:paraId="3B21282A" w14:textId="77777777" w:rsidR="00EF501B" w:rsidRPr="00405303" w:rsidRDefault="00EF501B" w:rsidP="00C15251">
      <w:pPr>
        <w:jc w:val="both"/>
        <w:rPr>
          <w:bCs/>
          <w:color w:val="002060"/>
          <w:sz w:val="16"/>
          <w:szCs w:val="16"/>
        </w:rPr>
      </w:pPr>
      <w:r w:rsidRPr="00405303">
        <w:rPr>
          <w:bCs/>
          <w:color w:val="002060"/>
          <w:sz w:val="16"/>
          <w:szCs w:val="16"/>
          <w:lang w:bidi="en-US"/>
        </w:rPr>
        <w:t>Постоянная склонность иметь самолеты новейшего типа затрудняет правильное снабжение. Конечно, было бы комфортнее, если бы уровень развития авиации был постоянным. Однако он меняется, и мы должны принять новые типы, чтобы быть способными к дальнейшему воздушному бою.</w:t>
      </w:r>
    </w:p>
    <w:p w14:paraId="020E97AC" w14:textId="6026230D" w:rsidR="00EF501B" w:rsidRPr="00405303" w:rsidRDefault="00EF501B" w:rsidP="00C15251">
      <w:pPr>
        <w:jc w:val="both"/>
        <w:rPr>
          <w:bCs/>
          <w:color w:val="002060"/>
          <w:sz w:val="16"/>
          <w:szCs w:val="16"/>
        </w:rPr>
      </w:pPr>
      <w:r w:rsidRPr="00405303">
        <w:rPr>
          <w:bCs/>
          <w:color w:val="002060"/>
          <w:sz w:val="16"/>
          <w:szCs w:val="16"/>
          <w:lang w:bidi="en-US"/>
        </w:rPr>
        <w:t xml:space="preserve">Авиация и воздухоплавательные части страдают из-за несовершенной системы их снабжения специальной техникой. Задержка с формированием пяти из восьми новых армейских </w:t>
      </w:r>
      <w:r w:rsidRPr="00405303">
        <w:rPr>
          <w:bCs/>
          <w:color w:val="002060"/>
          <w:sz w:val="16"/>
          <w:szCs w:val="16"/>
          <w:lang w:val="en-US" w:bidi="en-US"/>
        </w:rPr>
        <w:t>AO</w:t>
      </w:r>
      <w:r w:rsidRPr="00405303">
        <w:rPr>
          <w:bCs/>
          <w:color w:val="002060"/>
          <w:sz w:val="16"/>
          <w:szCs w:val="16"/>
          <w:lang w:bidi="en-US"/>
        </w:rPr>
        <w:t xml:space="preserve"> была вызвана следующими причинами: во-первых, отсутствием пилотов, а во-вторых, необходимостью замены старых «Фарманов» на «Вуазен», прибывающих спорадически и в небольшом количестве Теперь мы вынуждены сначала менять материал и компенсировать потери частей фронта. Новые подразделения будут сформированы после того, как мы соберем необходимое количество Вуазенов не только в Авиакомпаниях, но и на Центральном складе.</w:t>
      </w:r>
    </w:p>
    <w:p w14:paraId="04DD4EBF" w14:textId="77777777" w:rsidR="00EF501B" w:rsidRPr="00405303" w:rsidRDefault="00EF501B" w:rsidP="00C15251">
      <w:pPr>
        <w:jc w:val="both"/>
        <w:rPr>
          <w:bCs/>
          <w:color w:val="002060"/>
          <w:sz w:val="16"/>
          <w:szCs w:val="16"/>
        </w:rPr>
      </w:pPr>
      <w:r w:rsidRPr="00405303">
        <w:rPr>
          <w:bCs/>
          <w:color w:val="002060"/>
          <w:sz w:val="16"/>
          <w:szCs w:val="16"/>
          <w:lang w:bidi="en-US"/>
        </w:rPr>
        <w:t>Отсутствует система подачи сбросных бомб. Я заявлял, что снабжение будет прекращено по следующим причинам: авиационные роты отступали и в частях не было специального склада снарядов, а фронтовые части вряд ли могут сохранить запас из-за отсутствия средств для перевозки. Что касается зажигательных бомб для уничтожения посевов, то их достаточно, и мы использовали эти бомбы лишь эпизодически.</w:t>
      </w:r>
    </w:p>
    <w:p w14:paraId="39229DC7" w14:textId="77777777" w:rsidR="00EF501B" w:rsidRPr="00405303" w:rsidRDefault="00EF501B" w:rsidP="00C15251">
      <w:pPr>
        <w:jc w:val="both"/>
        <w:rPr>
          <w:bCs/>
          <w:color w:val="002060"/>
          <w:sz w:val="16"/>
          <w:szCs w:val="16"/>
        </w:rPr>
      </w:pPr>
      <w:r w:rsidRPr="00405303">
        <w:rPr>
          <w:bCs/>
          <w:color w:val="002060"/>
          <w:sz w:val="16"/>
          <w:szCs w:val="16"/>
          <w:lang w:bidi="en-US"/>
        </w:rPr>
        <w:t>Командиры авиации и воздухоплавательных частей часто меняются. Когда я в августе 1914 года возглавил Воздушный флот, авиационными ротами командовали Полковник и Подполковник из воздухоплавания. Их знаний в области авиации было недостаточно, и они часто выполняли свои обязанности небрежно. Необходимость смены их военными летчиками была насущной.</w:t>
      </w:r>
    </w:p>
    <w:p w14:paraId="000BA218" w14:textId="77777777" w:rsidR="00EF501B" w:rsidRPr="00405303" w:rsidRDefault="00EF501B" w:rsidP="00C15251">
      <w:pPr>
        <w:jc w:val="both"/>
        <w:rPr>
          <w:bCs/>
          <w:color w:val="002060"/>
          <w:sz w:val="16"/>
          <w:szCs w:val="16"/>
        </w:rPr>
      </w:pPr>
      <w:r w:rsidRPr="00405303">
        <w:rPr>
          <w:bCs/>
          <w:color w:val="002060"/>
          <w:sz w:val="16"/>
          <w:szCs w:val="16"/>
          <w:lang w:bidi="en-US"/>
        </w:rPr>
        <w:t>Что касается командиров частей, то некоторые из них были уволены за некомпетентность. Тогда и теперь в командовании производились и производятся дальнейшие смены, если командиру предстоит занять другую позицию, если он убит или ранен, если у него падает сердце (склонность к лету).</w:t>
      </w:r>
    </w:p>
    <w:p w14:paraId="59562FDC" w14:textId="77777777" w:rsidR="00EF501B" w:rsidRPr="00405303" w:rsidRDefault="00EF501B" w:rsidP="00C15251">
      <w:pPr>
        <w:jc w:val="both"/>
        <w:rPr>
          <w:bCs/>
          <w:color w:val="002060"/>
          <w:sz w:val="16"/>
          <w:szCs w:val="16"/>
        </w:rPr>
      </w:pPr>
      <w:r w:rsidRPr="00405303">
        <w:rPr>
          <w:bCs/>
          <w:color w:val="002060"/>
          <w:sz w:val="16"/>
          <w:szCs w:val="16"/>
          <w:lang w:bidi="en-US"/>
        </w:rPr>
        <w:lastRenderedPageBreak/>
        <w:t>Необходимы срочные меры по увеличению числа военных летчиков. Потери летчиков за первый год войны достигли 40%. Планируется в течение ближайших шести месяцев увеличить количество авиационных частей до 70. Каждая из них должна состоять из пяти пилотов-офицеров и трех летчиков-добровольцев/унтер-офицеров. Итак, нам нужно 560 летчиков (350 офицеров плюс 210 солдат) плюс 140 офицеров и 84 солдата, чтобы компенсировать будущие потери.</w:t>
      </w:r>
    </w:p>
    <w:p w14:paraId="5A76ED27" w14:textId="77777777" w:rsidR="00EF501B" w:rsidRPr="00405303" w:rsidRDefault="00EF501B" w:rsidP="00C15251">
      <w:pPr>
        <w:jc w:val="both"/>
        <w:rPr>
          <w:bCs/>
          <w:color w:val="002060"/>
          <w:sz w:val="16"/>
          <w:szCs w:val="16"/>
        </w:rPr>
      </w:pPr>
      <w:r w:rsidRPr="00405303">
        <w:rPr>
          <w:bCs/>
          <w:color w:val="002060"/>
          <w:sz w:val="16"/>
          <w:szCs w:val="16"/>
          <w:lang w:bidi="en-US"/>
        </w:rPr>
        <w:t>Всего требуется 784 пилота (490 офицеров и 294 солдата). Комиссия изучает вопрос о новых отделениях офицерских школ и новых частных школах».</w:t>
      </w:r>
    </w:p>
    <w:p w14:paraId="1F74DDAB" w14:textId="77777777" w:rsidR="00EF501B" w:rsidRPr="00405303" w:rsidRDefault="00EF501B" w:rsidP="00C15251">
      <w:pPr>
        <w:jc w:val="both"/>
        <w:rPr>
          <w:bCs/>
          <w:color w:val="002060"/>
          <w:sz w:val="16"/>
          <w:szCs w:val="16"/>
        </w:rPr>
      </w:pPr>
      <w:r w:rsidRPr="00405303">
        <w:rPr>
          <w:bCs/>
          <w:color w:val="002060"/>
          <w:sz w:val="16"/>
          <w:szCs w:val="16"/>
          <w:lang w:bidi="en-US"/>
        </w:rPr>
        <w:t>Затем состоялись обсуждения докладов великого князя и военного министерства. Великий князь запросил мнения о следующих мерах:</w:t>
      </w:r>
    </w:p>
    <w:p w14:paraId="61689D32" w14:textId="77777777" w:rsidR="00EF501B" w:rsidRPr="00405303" w:rsidRDefault="00EF501B" w:rsidP="00C15251">
      <w:pPr>
        <w:jc w:val="both"/>
        <w:rPr>
          <w:bCs/>
          <w:color w:val="002060"/>
          <w:sz w:val="16"/>
          <w:szCs w:val="16"/>
        </w:rPr>
      </w:pPr>
      <w:r w:rsidRPr="00405303">
        <w:rPr>
          <w:bCs/>
          <w:color w:val="002060"/>
          <w:sz w:val="16"/>
          <w:szCs w:val="16"/>
          <w:lang w:bidi="en-US"/>
        </w:rPr>
        <w:t>Нынешняя система приемки самолетов должна быть реформирована путем тесного сотрудничества представителей военного министерства и армейской авиации; необходимость установить постоянный надзор за авиационными заводами и тем самым обеспечить надлежащее качество и пунктуальность производства; осуществлять зарубежные закупки через лиц, знающих как технические аспекты, так и современные требования военной авиации, с предоставлением им надлежащих и решающих прав на выполнение задачи.</w:t>
      </w:r>
    </w:p>
    <w:p w14:paraId="05636A39" w14:textId="77777777" w:rsidR="00EF501B" w:rsidRPr="00405303" w:rsidRDefault="00EF501B" w:rsidP="00C15251">
      <w:pPr>
        <w:jc w:val="both"/>
        <w:rPr>
          <w:bCs/>
          <w:color w:val="002060"/>
          <w:sz w:val="16"/>
          <w:szCs w:val="16"/>
        </w:rPr>
      </w:pPr>
      <w:r w:rsidRPr="00405303">
        <w:rPr>
          <w:bCs/>
          <w:color w:val="002060"/>
          <w:sz w:val="16"/>
          <w:szCs w:val="16"/>
          <w:lang w:bidi="en-US"/>
        </w:rPr>
        <w:t xml:space="preserve">Затем </w:t>
      </w:r>
      <w:r w:rsidRPr="00405303">
        <w:rPr>
          <w:bCs/>
          <w:color w:val="002060"/>
          <w:sz w:val="16"/>
          <w:szCs w:val="16"/>
          <w:lang w:val="en-US" w:bidi="en-US"/>
        </w:rPr>
        <w:t>CMTD</w:t>
      </w:r>
      <w:r w:rsidRPr="00405303">
        <w:rPr>
          <w:bCs/>
          <w:color w:val="002060"/>
          <w:sz w:val="16"/>
          <w:szCs w:val="16"/>
          <w:lang w:bidi="en-US"/>
        </w:rPr>
        <w:t xml:space="preserve"> обнародовал свои соображения, в частности, заявив, что они согласны с предложениями великого князя. Однако они сочли некоторые аспекты отчета сомнительными. Они сочли совершенно необходимым улучшить техническую подготовку авиационного персонала, так как причиной сложившейся ситуации была недостаточная подготовка.</w:t>
      </w:r>
    </w:p>
    <w:p w14:paraId="51EEC521" w14:textId="77777777" w:rsidR="00EF501B" w:rsidRPr="00405303" w:rsidRDefault="00EF501B" w:rsidP="00C15251">
      <w:pPr>
        <w:jc w:val="both"/>
        <w:rPr>
          <w:bCs/>
          <w:color w:val="002060"/>
          <w:sz w:val="16"/>
          <w:szCs w:val="16"/>
        </w:rPr>
      </w:pPr>
      <w:r w:rsidRPr="00405303">
        <w:rPr>
          <w:bCs/>
          <w:color w:val="002060"/>
          <w:sz w:val="16"/>
          <w:szCs w:val="16"/>
          <w:lang w:bidi="en-US"/>
        </w:rPr>
        <w:t>Не вполне удовлетворившись изложенным, великий князь спросил их дальнейших мнений. Заместитель военного министра, подробно охарактеризовав иностранные закупки как вызывающие наибольшие затруднения, заявил, что в этой области не было никакой системы; более того, он заявил, что даже плана не было.</w:t>
      </w:r>
    </w:p>
    <w:p w14:paraId="500D5436" w14:textId="77777777" w:rsidR="00EF501B" w:rsidRPr="00405303" w:rsidRDefault="00EF501B" w:rsidP="00C15251">
      <w:pPr>
        <w:jc w:val="both"/>
        <w:rPr>
          <w:bCs/>
          <w:color w:val="002060"/>
          <w:sz w:val="16"/>
          <w:szCs w:val="16"/>
        </w:rPr>
      </w:pPr>
      <w:r w:rsidRPr="00405303">
        <w:rPr>
          <w:bCs/>
          <w:color w:val="002060"/>
          <w:sz w:val="16"/>
          <w:szCs w:val="16"/>
          <w:lang w:bidi="en-US"/>
        </w:rPr>
        <w:t>Например, во Франции все закупки армейской авиации производились через русского военного атташе, у которого было много других задач и поэтому он не мог работать лучше, чем он. Он также не был специалистом в области военной авиации. По определенным причинам, иногда неясным, закупки за границей часто задерживались, и армия не получала в нужное время самолеты, двигатели, радиотехническое оборудование и вооружение. Заместитель военного министра согласился с предложением великого князя о необходимости соответствующей технической подготовки для тех, кто занимается такими закупками авиации.</w:t>
      </w:r>
    </w:p>
    <w:p w14:paraId="2A647190" w14:textId="77777777" w:rsidR="00EF501B" w:rsidRPr="00405303" w:rsidRDefault="00EF501B" w:rsidP="00C15251">
      <w:pPr>
        <w:jc w:val="both"/>
        <w:rPr>
          <w:bCs/>
          <w:color w:val="002060"/>
          <w:sz w:val="16"/>
          <w:szCs w:val="16"/>
        </w:rPr>
      </w:pPr>
      <w:r w:rsidRPr="00405303">
        <w:rPr>
          <w:bCs/>
          <w:color w:val="002060"/>
          <w:sz w:val="16"/>
          <w:szCs w:val="16"/>
          <w:lang w:bidi="en-US"/>
        </w:rPr>
        <w:t>Генерал Мышлаевский отметил, что для обеспечения интересов и потребностей армейской авиации он счел бы целесообразным передать всю отечественную авиапромышленность под управление Великого князя. Полковник Семковский сообщил, что и для русской, и для французской военной авиации заказаны одни и те же самолеты и двигатели, и поэтому они эксплуатируют одни и те же типы самолетов и двигателей.</w:t>
      </w:r>
    </w:p>
    <w:p w14:paraId="6A6561E6" w14:textId="77777777" w:rsidR="00EF501B" w:rsidRPr="00405303" w:rsidRDefault="00EF501B" w:rsidP="00C15251">
      <w:pPr>
        <w:jc w:val="both"/>
        <w:rPr>
          <w:bCs/>
          <w:color w:val="002060"/>
          <w:sz w:val="16"/>
          <w:szCs w:val="16"/>
        </w:rPr>
      </w:pPr>
      <w:r w:rsidRPr="00405303">
        <w:rPr>
          <w:bCs/>
          <w:color w:val="002060"/>
          <w:sz w:val="16"/>
          <w:szCs w:val="16"/>
          <w:lang w:bidi="en-US"/>
        </w:rPr>
        <w:t>Великий князь предложил направить за границу специальную закупочную миссию из наиболее квалифицированных специалистов в области авиации и воздухоплавания и оставаться там до конца войны. В его обязанности входили немедленные закупки, необходимые испытания, отгрузка товаров и наблюдение за развитием авиации. Его предложение было одобрено.</w:t>
      </w:r>
    </w:p>
    <w:p w14:paraId="4E69A46C" w14:textId="77777777" w:rsidR="00EF501B" w:rsidRPr="00405303" w:rsidRDefault="00EF501B" w:rsidP="00C15251">
      <w:pPr>
        <w:jc w:val="both"/>
        <w:rPr>
          <w:bCs/>
          <w:color w:val="002060"/>
          <w:sz w:val="16"/>
          <w:szCs w:val="16"/>
        </w:rPr>
      </w:pPr>
      <w:r w:rsidRPr="00405303">
        <w:rPr>
          <w:bCs/>
          <w:color w:val="002060"/>
          <w:sz w:val="16"/>
          <w:szCs w:val="16"/>
          <w:lang w:bidi="en-US"/>
        </w:rPr>
        <w:t>Что касается отечественного производства и продукции, участники конференции решили сначала заслушать доклады Яковлева и Прутченко из Полковника. Первый из них, отвечая на вопросы о выпуске и качестве авиационных двигателей российских заводов, заявил следующее:</w:t>
      </w:r>
    </w:p>
    <w:p w14:paraId="45D5A457" w14:textId="77777777" w:rsidR="00EF501B" w:rsidRPr="00405303" w:rsidRDefault="00EF501B" w:rsidP="00C15251">
      <w:pPr>
        <w:jc w:val="both"/>
        <w:rPr>
          <w:bCs/>
          <w:color w:val="002060"/>
          <w:sz w:val="16"/>
          <w:szCs w:val="16"/>
        </w:rPr>
      </w:pPr>
      <w:r w:rsidRPr="00405303">
        <w:rPr>
          <w:bCs/>
          <w:color w:val="002060"/>
          <w:sz w:val="16"/>
          <w:szCs w:val="16"/>
          <w:lang w:bidi="en-US"/>
        </w:rPr>
        <w:t xml:space="preserve">«На московском заводе «Гном» производили двигатели «Гном» и начали выпускать двигатели «Гном-Моносауп». В Москве только что открылся завод по производству двигателей </w:t>
      </w:r>
      <w:r w:rsidRPr="00405303">
        <w:rPr>
          <w:bCs/>
          <w:color w:val="002060"/>
          <w:sz w:val="16"/>
          <w:szCs w:val="16"/>
          <w:lang w:val="en-US" w:bidi="en-US"/>
        </w:rPr>
        <w:t>Salmson</w:t>
      </w:r>
      <w:r w:rsidRPr="00405303">
        <w:rPr>
          <w:bCs/>
          <w:color w:val="002060"/>
          <w:sz w:val="16"/>
          <w:szCs w:val="16"/>
          <w:lang w:bidi="en-US"/>
        </w:rPr>
        <w:t>, и теперь он получил свое оборудование. Выпускались также два типа стационарных двигателей, а именно «Аргус» и Р-БВЗ.</w:t>
      </w:r>
    </w:p>
    <w:p w14:paraId="300E8708" w14:textId="77777777" w:rsidR="00EF501B" w:rsidRPr="00405303" w:rsidRDefault="00EF501B" w:rsidP="00C15251">
      <w:pPr>
        <w:jc w:val="both"/>
        <w:rPr>
          <w:bCs/>
          <w:color w:val="002060"/>
          <w:sz w:val="16"/>
          <w:szCs w:val="16"/>
        </w:rPr>
      </w:pPr>
      <w:r w:rsidRPr="00405303">
        <w:rPr>
          <w:bCs/>
          <w:color w:val="002060"/>
          <w:sz w:val="16"/>
          <w:szCs w:val="16"/>
          <w:lang w:bidi="en-US"/>
        </w:rPr>
        <w:t>Два других стационарных двигателя, «Бенц» и «Мерседес», должны были производиться на Акционерном обществе электромеханических систем в Петрограде и Моторном заводе соответственно. Последний был переведен из Риги в Москву. Автомобильные цеха Ильинского завода должны были выпускать «Солнечные лучи», а также радиаторы для самолетов.</w:t>
      </w:r>
    </w:p>
    <w:p w14:paraId="385F0730" w14:textId="77777777" w:rsidR="00EF501B" w:rsidRPr="00405303" w:rsidRDefault="00EF501B" w:rsidP="00C15251">
      <w:pPr>
        <w:jc w:val="both"/>
        <w:rPr>
          <w:bCs/>
          <w:color w:val="002060"/>
          <w:sz w:val="16"/>
          <w:szCs w:val="16"/>
        </w:rPr>
      </w:pPr>
      <w:r w:rsidRPr="00405303">
        <w:rPr>
          <w:bCs/>
          <w:color w:val="002060"/>
          <w:sz w:val="16"/>
          <w:szCs w:val="16"/>
          <w:lang w:bidi="en-US"/>
        </w:rPr>
        <w:t>Акционерное общество в Петрограде производило магнето, а запчасти для двигателей «Гном» поставлял Моторный завод. В отчете указывалось, что двигатели российского производства не имеют особых недостатков по сравнению с выпускаемыми во Франции. Все они имели одни и те же недостатки, предопределенные их конструкцией. Различные усовершенствования последнего, существующие на практике, иногда не отображались на чертежах. Такая ситуация была отмечена на заводе «Парижский гном» и на заводе «Московский гном», получившем техническую документацию из Франции.</w:t>
      </w:r>
    </w:p>
    <w:p w14:paraId="30A388A4" w14:textId="77777777" w:rsidR="00EF501B" w:rsidRPr="00405303" w:rsidRDefault="00EF501B" w:rsidP="00C15251">
      <w:pPr>
        <w:jc w:val="both"/>
        <w:rPr>
          <w:bCs/>
          <w:color w:val="002060"/>
          <w:sz w:val="16"/>
          <w:szCs w:val="16"/>
        </w:rPr>
      </w:pPr>
      <w:r w:rsidRPr="00405303">
        <w:rPr>
          <w:bCs/>
          <w:color w:val="002060"/>
          <w:sz w:val="16"/>
          <w:szCs w:val="16"/>
          <w:lang w:bidi="en-US"/>
        </w:rPr>
        <w:t>В отчете отмечалось, что поставки сырья были плохо организованы, но в последнее время несколько улучшились. Ожидалось, что Обуховский завод в Петрограде будет производить хорошую сталь. На заводе «Саламандра» в Риге приступили к штамповке картеров. Велись переговоры о выпуске специальной стали на Путиловском заводе в Петрограде и, возможно, на Урале.</w:t>
      </w:r>
    </w:p>
    <w:p w14:paraId="0CBDCB01" w14:textId="77777777" w:rsidR="00EF501B" w:rsidRPr="00405303" w:rsidRDefault="00EF501B" w:rsidP="00C15251">
      <w:pPr>
        <w:jc w:val="both"/>
        <w:rPr>
          <w:bCs/>
          <w:color w:val="002060"/>
          <w:sz w:val="16"/>
          <w:szCs w:val="16"/>
        </w:rPr>
      </w:pPr>
      <w:r w:rsidRPr="00405303">
        <w:rPr>
          <w:bCs/>
          <w:color w:val="002060"/>
          <w:sz w:val="16"/>
          <w:szCs w:val="16"/>
          <w:lang w:bidi="en-US"/>
        </w:rPr>
        <w:t>Было отмечено, что французская промышленность также испытывала значительные трудности, поскольку около 70% их сталелитейных мощностей было потеряно из-за наступления Германии, и что Франция ранее очень зависела от австро-германской промышленности, которая поставляла им магнето</w:t>
      </w:r>
      <w:proofErr w:type="gramStart"/>
      <w:r w:rsidRPr="00405303">
        <w:rPr>
          <w:bCs/>
          <w:color w:val="002060"/>
          <w:sz w:val="16"/>
          <w:szCs w:val="16"/>
          <w:lang w:bidi="en-US"/>
        </w:rPr>
        <w:t>. ,</w:t>
      </w:r>
      <w:proofErr w:type="gramEnd"/>
      <w:r w:rsidRPr="00405303">
        <w:rPr>
          <w:bCs/>
          <w:color w:val="002060"/>
          <w:sz w:val="16"/>
          <w:szCs w:val="16"/>
          <w:lang w:bidi="en-US"/>
        </w:rPr>
        <w:t xml:space="preserve"> подшипники и специальные стали, используемые в производстве деталей двигателей </w:t>
      </w:r>
      <w:r w:rsidRPr="00405303">
        <w:rPr>
          <w:bCs/>
          <w:color w:val="002060"/>
          <w:sz w:val="16"/>
          <w:szCs w:val="16"/>
          <w:lang w:val="en-US" w:bidi="en-US"/>
        </w:rPr>
        <w:t>Rhone</w:t>
      </w:r>
      <w:r w:rsidRPr="00405303">
        <w:rPr>
          <w:bCs/>
          <w:color w:val="002060"/>
          <w:sz w:val="16"/>
          <w:szCs w:val="16"/>
          <w:lang w:bidi="en-US"/>
        </w:rPr>
        <w:t>.</w:t>
      </w:r>
    </w:p>
    <w:p w14:paraId="6821AD84" w14:textId="77777777" w:rsidR="00EF501B" w:rsidRPr="00405303" w:rsidRDefault="00EF501B" w:rsidP="00C15251">
      <w:pPr>
        <w:jc w:val="both"/>
        <w:rPr>
          <w:bCs/>
          <w:color w:val="002060"/>
          <w:sz w:val="16"/>
          <w:szCs w:val="16"/>
        </w:rPr>
      </w:pPr>
      <w:r w:rsidRPr="00405303">
        <w:rPr>
          <w:bCs/>
          <w:color w:val="002060"/>
          <w:sz w:val="16"/>
          <w:szCs w:val="16"/>
          <w:lang w:bidi="en-US"/>
        </w:rPr>
        <w:t>Производство коленчатых валов было и остается сложной задачей в Швеции, США и других странах. Конечно, русская промышленность встречала особые препятствия, ибо она была недоразвита, но никто, кроме русских, не мог устранить эти недостатки, тем более что англичане и французы вряд ли могли сделать больше того, что они уже сделали.</w:t>
      </w:r>
    </w:p>
    <w:p w14:paraId="6F0A9E15" w14:textId="77777777" w:rsidR="00EF501B" w:rsidRPr="00405303" w:rsidRDefault="00EF501B" w:rsidP="00C15251">
      <w:pPr>
        <w:jc w:val="both"/>
        <w:rPr>
          <w:bCs/>
          <w:color w:val="002060"/>
          <w:sz w:val="16"/>
          <w:szCs w:val="16"/>
        </w:rPr>
      </w:pPr>
      <w:r w:rsidRPr="00405303">
        <w:rPr>
          <w:bCs/>
          <w:color w:val="002060"/>
          <w:sz w:val="16"/>
          <w:szCs w:val="16"/>
          <w:lang w:bidi="en-US"/>
        </w:rPr>
        <w:t xml:space="preserve">Ожидалось, что качество двигателей </w:t>
      </w:r>
      <w:r w:rsidRPr="00405303">
        <w:rPr>
          <w:bCs/>
          <w:color w:val="002060"/>
          <w:sz w:val="16"/>
          <w:szCs w:val="16"/>
          <w:lang w:val="en-US" w:bidi="en-US"/>
        </w:rPr>
        <w:t>Salmson</w:t>
      </w:r>
      <w:r w:rsidRPr="00405303">
        <w:rPr>
          <w:bCs/>
          <w:color w:val="002060"/>
          <w:sz w:val="16"/>
          <w:szCs w:val="16"/>
          <w:lang w:bidi="en-US"/>
        </w:rPr>
        <w:t>, которые будут производиться в Москве, должно быть хорошим, не уступающим их французским прототипам, так как было получено большое количество запасных частей французского производства, а французские механики и монтажники должны были организовать производство, которое будет осуществляться на французских машины. Российские рабочие приобретают необходимые навыки. Отсутствие запчастей на моторы «Гном» было связано с эвакуацией Моторного завода из Риги в Москву. Производство было остановлено 9 июня, сейчас оно частично возобновлено и, как ожидается, снова заработает.</w:t>
      </w:r>
    </w:p>
    <w:p w14:paraId="055F7282" w14:textId="77777777" w:rsidR="00EF501B" w:rsidRPr="00405303" w:rsidRDefault="00EF501B" w:rsidP="00C15251">
      <w:pPr>
        <w:jc w:val="both"/>
        <w:rPr>
          <w:bCs/>
          <w:color w:val="002060"/>
          <w:sz w:val="16"/>
          <w:szCs w:val="16"/>
        </w:rPr>
      </w:pPr>
      <w:r w:rsidRPr="00405303">
        <w:rPr>
          <w:bCs/>
          <w:color w:val="002060"/>
          <w:sz w:val="16"/>
          <w:szCs w:val="16"/>
          <w:lang w:bidi="en-US"/>
        </w:rPr>
        <w:t xml:space="preserve">Московский завод «Гном» приступил к выпуску моносаупов. Для облегчения этого процесса в мастерских Московского Императорского Технического училища по заказу Морского Главного штаба сейчас изготавливается 20 комплектов запасных частей. Французы вносят усовершенствования в эту конструкцию, что усложняет производство. Однако нет смысла делать эти барьеры </w:t>
      </w:r>
      <w:proofErr w:type="gramStart"/>
      <w:r w:rsidRPr="00405303">
        <w:rPr>
          <w:bCs/>
          <w:color w:val="002060"/>
          <w:sz w:val="16"/>
          <w:szCs w:val="16"/>
          <w:lang w:bidi="en-US"/>
        </w:rPr>
        <w:t>непреодолимыми Необходимо</w:t>
      </w:r>
      <w:proofErr w:type="gramEnd"/>
      <w:r w:rsidRPr="00405303">
        <w:rPr>
          <w:bCs/>
          <w:color w:val="002060"/>
          <w:sz w:val="16"/>
          <w:szCs w:val="16"/>
          <w:lang w:bidi="en-US"/>
        </w:rPr>
        <w:t xml:space="preserve"> сделать выбор между двигателями </w:t>
      </w:r>
      <w:r w:rsidRPr="00405303">
        <w:rPr>
          <w:bCs/>
          <w:color w:val="002060"/>
          <w:sz w:val="16"/>
          <w:szCs w:val="16"/>
          <w:lang w:val="en-US" w:bidi="en-US"/>
        </w:rPr>
        <w:t>Monosaupe</w:t>
      </w:r>
      <w:r w:rsidRPr="00405303">
        <w:rPr>
          <w:bCs/>
          <w:color w:val="002060"/>
          <w:sz w:val="16"/>
          <w:szCs w:val="16"/>
          <w:lang w:bidi="en-US"/>
        </w:rPr>
        <w:t xml:space="preserve"> и </w:t>
      </w:r>
      <w:r w:rsidRPr="00405303">
        <w:rPr>
          <w:bCs/>
          <w:color w:val="002060"/>
          <w:sz w:val="16"/>
          <w:szCs w:val="16"/>
          <w:lang w:val="en-US" w:bidi="en-US"/>
        </w:rPr>
        <w:t>Rhone</w:t>
      </w:r>
      <w:r w:rsidRPr="00405303">
        <w:rPr>
          <w:bCs/>
          <w:color w:val="002060"/>
          <w:sz w:val="16"/>
          <w:szCs w:val="16"/>
          <w:lang w:bidi="en-US"/>
        </w:rPr>
        <w:t xml:space="preserve">. </w:t>
      </w:r>
      <w:r w:rsidRPr="00405303">
        <w:rPr>
          <w:bCs/>
          <w:color w:val="002060"/>
          <w:sz w:val="16"/>
          <w:szCs w:val="16"/>
          <w:lang w:val="en-US" w:bidi="en-US"/>
        </w:rPr>
        <w:t>Rhone</w:t>
      </w:r>
      <w:r w:rsidRPr="00405303">
        <w:rPr>
          <w:bCs/>
          <w:color w:val="002060"/>
          <w:sz w:val="16"/>
          <w:szCs w:val="16"/>
          <w:lang w:bidi="en-US"/>
        </w:rPr>
        <w:t xml:space="preserve"> трудно производить, и потребуется десять месяцев или больше, чтобы организовать надлежащее производство. В настоящее время на заводе в Дуксе проводятся испытания на совместимость зонтов </w:t>
      </w:r>
      <w:r w:rsidRPr="00405303">
        <w:rPr>
          <w:bCs/>
          <w:color w:val="002060"/>
          <w:sz w:val="16"/>
          <w:szCs w:val="16"/>
          <w:lang w:val="en-US" w:bidi="en-US"/>
        </w:rPr>
        <w:t>Morane</w:t>
      </w:r>
      <w:r w:rsidRPr="00405303">
        <w:rPr>
          <w:bCs/>
          <w:color w:val="002060"/>
          <w:sz w:val="16"/>
          <w:szCs w:val="16"/>
          <w:lang w:bidi="en-US"/>
        </w:rPr>
        <w:t xml:space="preserve"> и </w:t>
      </w:r>
      <w:r w:rsidRPr="00405303">
        <w:rPr>
          <w:bCs/>
          <w:color w:val="002060"/>
          <w:sz w:val="16"/>
          <w:szCs w:val="16"/>
          <w:lang w:val="en-US" w:bidi="en-US"/>
        </w:rPr>
        <w:t>Voisin</w:t>
      </w:r>
      <w:r w:rsidRPr="00405303">
        <w:rPr>
          <w:bCs/>
          <w:color w:val="002060"/>
          <w:sz w:val="16"/>
          <w:szCs w:val="16"/>
          <w:lang w:bidi="en-US"/>
        </w:rPr>
        <w:t xml:space="preserve"> с </w:t>
      </w:r>
      <w:r w:rsidRPr="00405303">
        <w:rPr>
          <w:bCs/>
          <w:color w:val="002060"/>
          <w:sz w:val="16"/>
          <w:szCs w:val="16"/>
          <w:lang w:val="en-US" w:bidi="en-US"/>
        </w:rPr>
        <w:t>Monosaupe</w:t>
      </w:r>
      <w:r w:rsidRPr="00405303">
        <w:rPr>
          <w:bCs/>
          <w:color w:val="002060"/>
          <w:sz w:val="16"/>
          <w:szCs w:val="16"/>
          <w:lang w:bidi="en-US"/>
        </w:rPr>
        <w:t>, и их результаты определят возможность дальнейшего использования этого типа.</w:t>
      </w:r>
    </w:p>
    <w:p w14:paraId="39B8A7D7" w14:textId="77777777" w:rsidR="00EF501B" w:rsidRPr="00405303" w:rsidRDefault="00EF501B" w:rsidP="00C15251">
      <w:pPr>
        <w:jc w:val="both"/>
        <w:rPr>
          <w:bCs/>
          <w:color w:val="002060"/>
          <w:sz w:val="16"/>
          <w:szCs w:val="16"/>
        </w:rPr>
      </w:pPr>
      <w:r w:rsidRPr="00405303">
        <w:rPr>
          <w:bCs/>
          <w:color w:val="002060"/>
          <w:sz w:val="16"/>
          <w:szCs w:val="16"/>
          <w:lang w:bidi="en-US"/>
        </w:rPr>
        <w:t xml:space="preserve">Теперь московский завод «Гном» способен выпускать 30-35 моторов в месяц, если не будет случайных задержек (отсутствие магнето, сырья и различных запчастей, последние изготавливаются в 17 частных мастерских). Строятся новые цеха, что позволит увеличить производственные мощности. Ожидается, что они будут завершены в сентябре, а большая часть закупленного за границей инструмента еще находится в порту Архангельска. Дата начала работы завода </w:t>
      </w:r>
      <w:r w:rsidRPr="00405303">
        <w:rPr>
          <w:bCs/>
          <w:color w:val="002060"/>
          <w:sz w:val="16"/>
          <w:szCs w:val="16"/>
          <w:lang w:val="en-US" w:bidi="en-US"/>
        </w:rPr>
        <w:t>Salmson</w:t>
      </w:r>
      <w:r w:rsidRPr="00405303">
        <w:rPr>
          <w:bCs/>
          <w:color w:val="002060"/>
          <w:sz w:val="16"/>
          <w:szCs w:val="16"/>
          <w:lang w:bidi="en-US"/>
        </w:rPr>
        <w:t xml:space="preserve"> зависит от приезда его директора г-на Унне, а его оснащение предположительно будет завершено через 2-3 недели.</w:t>
      </w:r>
    </w:p>
    <w:p w14:paraId="7C0BA8EF" w14:textId="77777777" w:rsidR="00EF501B" w:rsidRPr="00405303" w:rsidRDefault="00EF501B" w:rsidP="00C15251">
      <w:pPr>
        <w:jc w:val="both"/>
        <w:rPr>
          <w:bCs/>
          <w:color w:val="002060"/>
          <w:sz w:val="16"/>
          <w:szCs w:val="16"/>
        </w:rPr>
      </w:pPr>
      <w:r w:rsidRPr="00405303">
        <w:rPr>
          <w:bCs/>
          <w:color w:val="002060"/>
          <w:sz w:val="16"/>
          <w:szCs w:val="16"/>
          <w:lang w:bidi="en-US"/>
        </w:rPr>
        <w:t xml:space="preserve">Что касается стационарных двигателей, то их производство можно ожидать через 10-12 месяцев после получения их образцов. Общий заказ на образцы включает 100 двигателей </w:t>
      </w:r>
      <w:r w:rsidRPr="00405303">
        <w:rPr>
          <w:bCs/>
          <w:color w:val="002060"/>
          <w:sz w:val="16"/>
          <w:szCs w:val="16"/>
          <w:lang w:val="en-US" w:bidi="en-US"/>
        </w:rPr>
        <w:t>Benz</w:t>
      </w:r>
      <w:r w:rsidRPr="00405303">
        <w:rPr>
          <w:bCs/>
          <w:color w:val="002060"/>
          <w:sz w:val="16"/>
          <w:szCs w:val="16"/>
          <w:lang w:bidi="en-US"/>
        </w:rPr>
        <w:t xml:space="preserve"> мощностью 150 л.с., 25 двигателей </w:t>
      </w:r>
      <w:r w:rsidRPr="00405303">
        <w:rPr>
          <w:bCs/>
          <w:color w:val="002060"/>
          <w:sz w:val="16"/>
          <w:szCs w:val="16"/>
          <w:lang w:val="en-US" w:bidi="en-US"/>
        </w:rPr>
        <w:t>Mercedes</w:t>
      </w:r>
      <w:r w:rsidRPr="00405303">
        <w:rPr>
          <w:bCs/>
          <w:color w:val="002060"/>
          <w:sz w:val="16"/>
          <w:szCs w:val="16"/>
          <w:lang w:bidi="en-US"/>
        </w:rPr>
        <w:t xml:space="preserve"> </w:t>
      </w:r>
      <w:r w:rsidRPr="00405303">
        <w:rPr>
          <w:bCs/>
          <w:color w:val="002060"/>
          <w:sz w:val="16"/>
          <w:szCs w:val="16"/>
          <w:lang w:val="en-US" w:bidi="en-US"/>
        </w:rPr>
        <w:t>HOhp</w:t>
      </w:r>
      <w:r w:rsidRPr="00405303">
        <w:rPr>
          <w:bCs/>
          <w:color w:val="002060"/>
          <w:sz w:val="16"/>
          <w:szCs w:val="16"/>
          <w:lang w:bidi="en-US"/>
        </w:rPr>
        <w:t xml:space="preserve"> и 25 двигателей </w:t>
      </w:r>
      <w:r w:rsidRPr="00405303">
        <w:rPr>
          <w:bCs/>
          <w:color w:val="002060"/>
          <w:sz w:val="16"/>
          <w:szCs w:val="16"/>
          <w:lang w:val="en-US" w:bidi="en-US"/>
        </w:rPr>
        <w:t>Sunbeam</w:t>
      </w:r>
      <w:r w:rsidRPr="00405303">
        <w:rPr>
          <w:bCs/>
          <w:color w:val="002060"/>
          <w:sz w:val="16"/>
          <w:szCs w:val="16"/>
          <w:lang w:bidi="en-US"/>
        </w:rPr>
        <w:t xml:space="preserve"> мощностью 150 л.с., а также соответствующее количество запасных частей. Р-БВЗ производит десять двигателей собственного типа, плюс четыре двигателя </w:t>
      </w:r>
      <w:r w:rsidRPr="00405303">
        <w:rPr>
          <w:bCs/>
          <w:color w:val="002060"/>
          <w:sz w:val="16"/>
          <w:szCs w:val="16"/>
          <w:lang w:val="en-US" w:bidi="en-US"/>
        </w:rPr>
        <w:t>Argus</w:t>
      </w:r>
      <w:r w:rsidRPr="00405303">
        <w:rPr>
          <w:bCs/>
          <w:color w:val="002060"/>
          <w:sz w:val="16"/>
          <w:szCs w:val="16"/>
          <w:lang w:bidi="en-US"/>
        </w:rPr>
        <w:t xml:space="preserve"> мощностью 130-140 л.с. каждый. В настоящее время автомобильно-авиационный участок Р-БВЗ переводится из Риги в Петроград».</w:t>
      </w:r>
    </w:p>
    <w:p w14:paraId="665CE41D" w14:textId="77777777" w:rsidR="00EF501B" w:rsidRPr="00405303" w:rsidRDefault="00EF501B" w:rsidP="00C15251">
      <w:pPr>
        <w:jc w:val="both"/>
        <w:rPr>
          <w:bCs/>
          <w:color w:val="002060"/>
          <w:sz w:val="16"/>
          <w:szCs w:val="16"/>
        </w:rPr>
      </w:pPr>
      <w:r w:rsidRPr="00405303">
        <w:rPr>
          <w:bCs/>
          <w:color w:val="002060"/>
          <w:sz w:val="16"/>
          <w:szCs w:val="16"/>
          <w:lang w:bidi="en-US"/>
        </w:rPr>
        <w:t>Полковника Прутченко спросили, как было организовано наблюдение на русских заводах, и как приемка материала производилась почти только армейскими летчиками, неспособными по разным причинам к действительной службе на фронте. Он заявил, что после сборки самолета на заводе об этом был уведомлен соответствующий надзиратель. Затем определялась дата приемочных испытаний, и пилот становился членом приемочной комиссии, если (и когда) он прибыл для получения самолета.</w:t>
      </w:r>
    </w:p>
    <w:p w14:paraId="14A82027" w14:textId="77777777" w:rsidR="00EF501B" w:rsidRPr="00405303" w:rsidRDefault="00EF501B" w:rsidP="00C15251">
      <w:pPr>
        <w:jc w:val="both"/>
        <w:rPr>
          <w:bCs/>
          <w:color w:val="002060"/>
          <w:sz w:val="16"/>
          <w:szCs w:val="16"/>
        </w:rPr>
      </w:pPr>
      <w:r w:rsidRPr="00405303">
        <w:rPr>
          <w:bCs/>
          <w:color w:val="002060"/>
          <w:sz w:val="16"/>
          <w:szCs w:val="16"/>
          <w:lang w:bidi="en-US"/>
        </w:rPr>
        <w:t>Условия приемочных испытаний время от времени менялись в зависимости от современных требований. Например, подъем на 2000 метров был одним из последних терминов. При этом было принято решение об испытаниях отдельного самолета данной партии. Согласно существующим правилам, пять из 100 самолетов должны были подняться на высоту 2000 метров, десять из 100 — 1500 метров, 35 из 100 — 1000 метров и 50 из 100 — 500 метров.</w:t>
      </w:r>
    </w:p>
    <w:p w14:paraId="10E63610" w14:textId="77777777" w:rsidR="00EF501B" w:rsidRPr="00405303" w:rsidRDefault="00EF501B" w:rsidP="00C15251">
      <w:pPr>
        <w:jc w:val="both"/>
        <w:rPr>
          <w:bCs/>
          <w:color w:val="002060"/>
          <w:sz w:val="16"/>
          <w:szCs w:val="16"/>
        </w:rPr>
      </w:pPr>
      <w:r w:rsidRPr="00405303">
        <w:rPr>
          <w:bCs/>
          <w:color w:val="002060"/>
          <w:sz w:val="16"/>
          <w:szCs w:val="16"/>
          <w:lang w:bidi="en-US"/>
        </w:rPr>
        <w:t xml:space="preserve">Тогда замвоенного министра предложил изменить этот метод, чтобы испытать все самолеты, построенные в более жестких условиях. Великий князь отметил, что нормальной боевой высотой считается 2500 метров, и поддержал предложение заместителя военного министра. Затем на конференции началось обсуждение того, как </w:t>
      </w:r>
      <w:r w:rsidRPr="00405303">
        <w:rPr>
          <w:bCs/>
          <w:color w:val="002060"/>
          <w:sz w:val="16"/>
          <w:szCs w:val="16"/>
          <w:lang w:bidi="en-US"/>
        </w:rPr>
        <w:lastRenderedPageBreak/>
        <w:t>увеличить производительность и улучшить прием. Офицеры заявили, что производство моторов находилось под жестким контролем Полковника Яковлева, усилия которого должны лишь дополняться работой штаба надзирателей, причем последние были квалифицированными и очень энергичными людьми. Что касается производства самолетов, то это дело считалось более сложным.</w:t>
      </w:r>
    </w:p>
    <w:p w14:paraId="6AB4B8A2" w14:textId="77777777" w:rsidR="00EF501B" w:rsidRPr="00405303" w:rsidRDefault="00EF501B" w:rsidP="00C15251">
      <w:pPr>
        <w:jc w:val="both"/>
        <w:rPr>
          <w:bCs/>
          <w:color w:val="002060"/>
          <w:sz w:val="16"/>
          <w:szCs w:val="16"/>
        </w:rPr>
      </w:pPr>
      <w:r w:rsidRPr="00405303">
        <w:rPr>
          <w:bCs/>
          <w:color w:val="002060"/>
          <w:sz w:val="16"/>
          <w:szCs w:val="16"/>
          <w:lang w:bidi="en-US"/>
        </w:rPr>
        <w:t>Было признано желательным и необходимым, чтобы надзор за самолетами и двигателями начинался с начала их изготовления. Для этого было решено назначить Управляющего, одинаково компетентного в технических, военных и управленческих вопросах, имеющего в своем распоряжении штат надзирающих офицеров. Более того, сессия сочла желательным увеличить количество экзаменаторов на заводах. Поставки и приемка других авиационных материалов, бензола, масла и т. Д. Останутся обязанностями Полковника Прутченко, что сделает его ответственным за меньшую область.</w:t>
      </w:r>
    </w:p>
    <w:p w14:paraId="321C213A" w14:textId="77777777" w:rsidR="00EF501B" w:rsidRPr="00405303" w:rsidRDefault="00EF501B" w:rsidP="00C15251">
      <w:pPr>
        <w:jc w:val="both"/>
        <w:rPr>
          <w:bCs/>
          <w:color w:val="002060"/>
          <w:sz w:val="16"/>
          <w:szCs w:val="16"/>
        </w:rPr>
      </w:pPr>
      <w:r w:rsidRPr="00405303">
        <w:rPr>
          <w:bCs/>
          <w:color w:val="002060"/>
          <w:sz w:val="16"/>
          <w:szCs w:val="16"/>
          <w:lang w:bidi="en-US"/>
        </w:rPr>
        <w:t xml:space="preserve">Наконец, сессия констатировала следующее: для надзора за производством самолетов и </w:t>
      </w:r>
      <w:proofErr w:type="gramStart"/>
      <w:r w:rsidRPr="00405303">
        <w:rPr>
          <w:bCs/>
          <w:color w:val="002060"/>
          <w:sz w:val="16"/>
          <w:szCs w:val="16"/>
          <w:lang w:bidi="en-US"/>
        </w:rPr>
        <w:t>двигателей</w:t>
      </w:r>
      <w:proofErr w:type="gramEnd"/>
      <w:r w:rsidRPr="00405303">
        <w:rPr>
          <w:bCs/>
          <w:color w:val="002060"/>
          <w:sz w:val="16"/>
          <w:szCs w:val="16"/>
          <w:lang w:bidi="en-US"/>
        </w:rPr>
        <w:t xml:space="preserve"> и проведения их приемочных испытаний должен быть назначен супервайзер, предпочтительно военный летчик. Все руководящие офицеры и служащие авиационных заводов подчиняются начальнику, ответственному за надлежащее выполнение всех приказов армейской авиации. Подробные инструкции для Смотрителя должны были быть разработаны </w:t>
      </w:r>
      <w:r w:rsidRPr="00405303">
        <w:rPr>
          <w:bCs/>
          <w:color w:val="002060"/>
          <w:sz w:val="16"/>
          <w:szCs w:val="16"/>
          <w:lang w:val="en-US" w:bidi="en-US"/>
        </w:rPr>
        <w:t>CMTD</w:t>
      </w:r>
      <w:r w:rsidRPr="00405303">
        <w:rPr>
          <w:bCs/>
          <w:color w:val="002060"/>
          <w:sz w:val="16"/>
          <w:szCs w:val="16"/>
          <w:lang w:bidi="en-US"/>
        </w:rPr>
        <w:t xml:space="preserve"> и утверждены Великим князем.</w:t>
      </w:r>
    </w:p>
    <w:p w14:paraId="7C338A01" w14:textId="77777777" w:rsidR="00EF501B" w:rsidRPr="00405303" w:rsidRDefault="00EF501B" w:rsidP="00C15251">
      <w:pPr>
        <w:jc w:val="both"/>
        <w:rPr>
          <w:bCs/>
          <w:color w:val="002060"/>
          <w:sz w:val="16"/>
          <w:szCs w:val="16"/>
        </w:rPr>
      </w:pPr>
      <w:r w:rsidRPr="00405303">
        <w:rPr>
          <w:bCs/>
          <w:color w:val="002060"/>
          <w:sz w:val="16"/>
          <w:szCs w:val="16"/>
          <w:lang w:bidi="en-US"/>
        </w:rPr>
        <w:t>Несколько помощников офицеров, по крайней мере один, должны быть в распоряжении Управляющего и получать необходимые инструкции от Великого Герцога. Общий надзор за моторостроительными заводами должен оставаться за Полковником Яковлевым. Полковник Прутченко сохранил за собой все свои обязанности, кроме должности надзирателя. Все построенные самолеты должны были пройти тщательные приемочные испытания в условиях высоких стандартов.</w:t>
      </w:r>
    </w:p>
    <w:p w14:paraId="604243B2" w14:textId="77777777" w:rsidR="00EF501B" w:rsidRPr="00405303" w:rsidRDefault="00EF501B" w:rsidP="00C15251">
      <w:pPr>
        <w:jc w:val="both"/>
        <w:rPr>
          <w:bCs/>
          <w:color w:val="002060"/>
          <w:sz w:val="16"/>
          <w:szCs w:val="16"/>
        </w:rPr>
      </w:pPr>
      <w:r w:rsidRPr="00405303">
        <w:rPr>
          <w:bCs/>
          <w:color w:val="002060"/>
          <w:sz w:val="16"/>
          <w:szCs w:val="16"/>
          <w:lang w:bidi="en-US"/>
        </w:rPr>
        <w:t xml:space="preserve">Великий князь имел право посещать и осматривать заводы, а при необходимости давать указания. Было решено, что закупочная миссия должна быть отправлена за границу, оставаться там на протяжении всей войны и нести ответственность за надлежащее выполнение зарубежных поставок. Инструкции для этой миссии должны были быть подготовлены Главным управлением Генштаба, затем обсуждены с великим князем и </w:t>
      </w:r>
      <w:r w:rsidRPr="00405303">
        <w:rPr>
          <w:bCs/>
          <w:color w:val="002060"/>
          <w:sz w:val="16"/>
          <w:szCs w:val="16"/>
          <w:lang w:val="en-US" w:bidi="en-US"/>
        </w:rPr>
        <w:t>CMTD</w:t>
      </w:r>
      <w:r w:rsidRPr="00405303">
        <w:rPr>
          <w:bCs/>
          <w:color w:val="002060"/>
          <w:sz w:val="16"/>
          <w:szCs w:val="16"/>
          <w:lang w:bidi="en-US"/>
        </w:rPr>
        <w:t xml:space="preserve"> и окончательно утверждены царем. Великий князь имел право просить о направлении подобных миссий, если их работа была бы желательной.</w:t>
      </w:r>
    </w:p>
    <w:p w14:paraId="692BDCE7" w14:textId="77777777" w:rsidR="00EF501B" w:rsidRPr="00405303" w:rsidRDefault="00EF501B" w:rsidP="00C15251">
      <w:pPr>
        <w:jc w:val="both"/>
        <w:rPr>
          <w:bCs/>
          <w:color w:val="002060"/>
          <w:sz w:val="16"/>
          <w:szCs w:val="16"/>
        </w:rPr>
      </w:pPr>
      <w:r w:rsidRPr="00405303">
        <w:rPr>
          <w:bCs/>
          <w:color w:val="002060"/>
          <w:sz w:val="16"/>
          <w:szCs w:val="16"/>
          <w:lang w:bidi="en-US"/>
        </w:rPr>
        <w:t>Потом поздно вечером на заседании началось обсуждение других докладов, но были приняты только доклады Капитана 1-го ранга Верховского и штаба Капитана Борейко. Это касалось количества учащихся Офицерской авиационной школы ОВФ и Военной авиационной школы.</w:t>
      </w:r>
    </w:p>
    <w:p w14:paraId="52C67092" w14:textId="77777777" w:rsidR="00EF501B" w:rsidRPr="00405303" w:rsidRDefault="00EF501B" w:rsidP="00C15251">
      <w:pPr>
        <w:jc w:val="both"/>
        <w:rPr>
          <w:bCs/>
          <w:color w:val="002060"/>
          <w:sz w:val="16"/>
          <w:szCs w:val="16"/>
        </w:rPr>
      </w:pPr>
      <w:r w:rsidRPr="00405303">
        <w:rPr>
          <w:bCs/>
          <w:color w:val="002060"/>
          <w:sz w:val="16"/>
          <w:szCs w:val="16"/>
          <w:lang w:bidi="en-US"/>
        </w:rPr>
        <w:t>Оказалось, что в школе ОВФ был сорок один офицер, восемьдесят четыре добровольца и двадцать девять человек. Тринадцать других обучались новым типам. В военно-авиационном училище было семьдесят два офицера и сорок два солдата. Было ясно, что кадров не хватает, и капитан Верховский предложил исправить ситуацию, в частности, открытием частных авиашкол. Принципиальных возражений не было, но было заявлено, что некоторые специальные и сложные вопросы подлежат отдельному обсуждению на следующем заседании с соображениями, подготовленными начальником ОВФ и Главного управления Генштаба совместно с представителями Военной авиационной школы. Сеанс закончился вскоре после полуночи.</w:t>
      </w:r>
    </w:p>
    <w:p w14:paraId="21D96509" w14:textId="77777777" w:rsidR="00EF501B" w:rsidRPr="00405303" w:rsidRDefault="00EF501B" w:rsidP="00C15251">
      <w:pPr>
        <w:jc w:val="both"/>
        <w:rPr>
          <w:bCs/>
          <w:color w:val="002060"/>
          <w:sz w:val="16"/>
          <w:szCs w:val="16"/>
        </w:rPr>
      </w:pPr>
      <w:r w:rsidRPr="00405303">
        <w:rPr>
          <w:bCs/>
          <w:color w:val="002060"/>
          <w:sz w:val="16"/>
          <w:szCs w:val="16"/>
          <w:lang w:bidi="en-US"/>
        </w:rPr>
        <w:t>В недатированном отчете (предположительно до сентября 1915 г.) сообщалось, что на совещании для определения нужд авиации присутствовали великий князь Александр Михайлович, командующий Техническим отделом ЦМТД генерал-майор Болотов, Главного управления Генштаба Полковник Каменский, и.о. Департамент Полковник Семковский, Командир 5-й авиационной роты Подполковник Вегенер и Капитан 2-го ранга Эллис Штаба Великого Князя.</w:t>
      </w:r>
    </w:p>
    <w:p w14:paraId="2C05D580" w14:textId="77777777" w:rsidR="00EF501B" w:rsidRPr="00405303" w:rsidRDefault="00EF501B" w:rsidP="00C15251">
      <w:pPr>
        <w:jc w:val="both"/>
        <w:rPr>
          <w:bCs/>
          <w:color w:val="002060"/>
          <w:sz w:val="16"/>
          <w:szCs w:val="16"/>
        </w:rPr>
      </w:pPr>
      <w:r w:rsidRPr="00405303">
        <w:rPr>
          <w:bCs/>
          <w:color w:val="002060"/>
          <w:sz w:val="16"/>
          <w:szCs w:val="16"/>
          <w:lang w:bidi="en-US"/>
        </w:rPr>
        <w:t>Была представлена меморандум великого князя. В нем указывалось, что армии необходимы 82 авиационные части и 12 «батальонных отрядов». Из них вновь сформировать тридцать три части и двенадцать отрядов.</w:t>
      </w:r>
    </w:p>
    <w:p w14:paraId="76DC510F" w14:textId="77777777" w:rsidR="00EF501B" w:rsidRPr="00405303" w:rsidRDefault="00EF501B" w:rsidP="00C15251">
      <w:pPr>
        <w:jc w:val="both"/>
        <w:rPr>
          <w:bCs/>
          <w:color w:val="002060"/>
          <w:sz w:val="16"/>
          <w:szCs w:val="16"/>
        </w:rPr>
      </w:pPr>
      <w:r w:rsidRPr="00405303">
        <w:rPr>
          <w:bCs/>
          <w:color w:val="002060"/>
          <w:sz w:val="16"/>
          <w:szCs w:val="16"/>
          <w:lang w:bidi="en-US"/>
        </w:rPr>
        <w:t>Великий князь счел целесообразным сформировать их в три этапа, а именно: шесть армейских АО до 14 января 1916 г.; двенадцать АО до 14 мая 1916 г .; пятнадцать АО и двенадцать авиационных дивизий до 14 сентября 1916 г.</w:t>
      </w:r>
    </w:p>
    <w:p w14:paraId="7D1EAA2D" w14:textId="77777777" w:rsidR="00EF501B" w:rsidRPr="00405303" w:rsidRDefault="00EF501B" w:rsidP="00C15251">
      <w:pPr>
        <w:jc w:val="both"/>
        <w:rPr>
          <w:bCs/>
          <w:color w:val="002060"/>
          <w:sz w:val="16"/>
          <w:szCs w:val="16"/>
        </w:rPr>
      </w:pPr>
      <w:r w:rsidRPr="00405303">
        <w:rPr>
          <w:bCs/>
          <w:color w:val="002060"/>
          <w:sz w:val="16"/>
          <w:szCs w:val="16"/>
          <w:lang w:bidi="en-US"/>
        </w:rPr>
        <w:t>Он считал разумным, что школы могут обеспечить авиацию достаточным количеством летчиков, а главная задача состоит в том, чтобы приобрести соответствующее количество самолетов и моторов. Существовала следующая ситуация:</w:t>
      </w:r>
    </w:p>
    <w:p w14:paraId="1C7378C3"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en-US"/>
        </w:rPr>
        <w:t>Первый этап с 14 сентября 1915 г. по 14 мая 1916 г.</w:t>
      </w:r>
    </w:p>
    <w:tbl>
      <w:tblPr>
        <w:tblOverlap w:val="never"/>
        <w:tblW w:w="0" w:type="auto"/>
        <w:tblLayout w:type="fixed"/>
        <w:tblCellMar>
          <w:left w:w="10" w:type="dxa"/>
          <w:right w:w="10" w:type="dxa"/>
        </w:tblCellMar>
        <w:tblLook w:val="0000" w:firstRow="0" w:lastRow="0" w:firstColumn="0" w:lastColumn="0" w:noHBand="0" w:noVBand="0"/>
      </w:tblPr>
      <w:tblGrid>
        <w:gridCol w:w="1152"/>
        <w:gridCol w:w="1310"/>
        <w:gridCol w:w="1536"/>
        <w:gridCol w:w="1680"/>
        <w:gridCol w:w="806"/>
      </w:tblGrid>
      <w:tr w:rsidR="00EF501B" w:rsidRPr="00405303" w14:paraId="38C658DC" w14:textId="77777777" w:rsidTr="006606CA">
        <w:trPr>
          <w:trHeight w:val="197"/>
        </w:trPr>
        <w:tc>
          <w:tcPr>
            <w:tcW w:w="1152" w:type="dxa"/>
            <w:vAlign w:val="bottom"/>
          </w:tcPr>
          <w:p w14:paraId="14EC806C"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Тип самолета</w:t>
            </w:r>
          </w:p>
        </w:tc>
        <w:tc>
          <w:tcPr>
            <w:tcW w:w="1310" w:type="dxa"/>
            <w:vAlign w:val="bottom"/>
          </w:tcPr>
          <w:p w14:paraId="50076FD2"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Нужный</w:t>
            </w:r>
          </w:p>
        </w:tc>
        <w:tc>
          <w:tcPr>
            <w:tcW w:w="1536" w:type="dxa"/>
            <w:vAlign w:val="bottom"/>
          </w:tcPr>
          <w:p w14:paraId="4859BB28"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Поставляется Россией</w:t>
            </w:r>
          </w:p>
        </w:tc>
        <w:tc>
          <w:tcPr>
            <w:tcW w:w="1680" w:type="dxa"/>
            <w:vAlign w:val="bottom"/>
          </w:tcPr>
          <w:p w14:paraId="356DCEA4"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Поставляется Францией</w:t>
            </w:r>
          </w:p>
        </w:tc>
        <w:tc>
          <w:tcPr>
            <w:tcW w:w="806" w:type="dxa"/>
            <w:vAlign w:val="bottom"/>
          </w:tcPr>
          <w:p w14:paraId="509D2CA3"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Нехватка</w:t>
            </w:r>
          </w:p>
        </w:tc>
      </w:tr>
      <w:tr w:rsidR="00EF501B" w:rsidRPr="00405303" w14:paraId="22CDE273" w14:textId="77777777" w:rsidTr="006606CA">
        <w:trPr>
          <w:trHeight w:val="173"/>
        </w:trPr>
        <w:tc>
          <w:tcPr>
            <w:tcW w:w="1152" w:type="dxa"/>
          </w:tcPr>
          <w:p w14:paraId="2C4BBC20"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Вуазен</w:t>
            </w:r>
          </w:p>
        </w:tc>
        <w:tc>
          <w:tcPr>
            <w:tcW w:w="1310" w:type="dxa"/>
          </w:tcPr>
          <w:p w14:paraId="707CE70C"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337</w:t>
            </w:r>
          </w:p>
        </w:tc>
        <w:tc>
          <w:tcPr>
            <w:tcW w:w="1536" w:type="dxa"/>
          </w:tcPr>
          <w:p w14:paraId="02B8A5E2"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190</w:t>
            </w:r>
          </w:p>
        </w:tc>
        <w:tc>
          <w:tcPr>
            <w:tcW w:w="1680" w:type="dxa"/>
          </w:tcPr>
          <w:p w14:paraId="00C07F96"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100</w:t>
            </w:r>
          </w:p>
        </w:tc>
        <w:tc>
          <w:tcPr>
            <w:tcW w:w="806" w:type="dxa"/>
          </w:tcPr>
          <w:p w14:paraId="73EB3E9C"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47</w:t>
            </w:r>
          </w:p>
        </w:tc>
      </w:tr>
      <w:tr w:rsidR="00EF501B" w:rsidRPr="00405303" w14:paraId="5025D86A" w14:textId="77777777" w:rsidTr="006606CA">
        <w:trPr>
          <w:trHeight w:val="187"/>
        </w:trPr>
        <w:tc>
          <w:tcPr>
            <w:tcW w:w="1152" w:type="dxa"/>
          </w:tcPr>
          <w:p w14:paraId="4F751F48"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зонтик</w:t>
            </w:r>
          </w:p>
        </w:tc>
        <w:tc>
          <w:tcPr>
            <w:tcW w:w="1310" w:type="dxa"/>
          </w:tcPr>
          <w:p w14:paraId="5B3DEE43"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175</w:t>
            </w:r>
          </w:p>
        </w:tc>
        <w:tc>
          <w:tcPr>
            <w:tcW w:w="1536" w:type="dxa"/>
          </w:tcPr>
          <w:p w14:paraId="71EA69C3"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180</w:t>
            </w:r>
          </w:p>
        </w:tc>
        <w:tc>
          <w:tcPr>
            <w:tcW w:w="1680" w:type="dxa"/>
          </w:tcPr>
          <w:p w14:paraId="48E84D7C"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20</w:t>
            </w:r>
          </w:p>
        </w:tc>
        <w:tc>
          <w:tcPr>
            <w:tcW w:w="806" w:type="dxa"/>
          </w:tcPr>
          <w:p w14:paraId="12F15A67"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25</w:t>
            </w:r>
          </w:p>
        </w:tc>
      </w:tr>
      <w:tr w:rsidR="00EF501B" w:rsidRPr="00405303" w14:paraId="7C26819C" w14:textId="77777777" w:rsidTr="006606CA">
        <w:trPr>
          <w:trHeight w:val="197"/>
        </w:trPr>
        <w:tc>
          <w:tcPr>
            <w:tcW w:w="2462" w:type="dxa"/>
            <w:gridSpan w:val="2"/>
            <w:vAlign w:val="bottom"/>
          </w:tcPr>
          <w:p w14:paraId="56EC40C9"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i/>
                <w:iCs/>
                <w:color w:val="002060"/>
                <w:sz w:val="16"/>
                <w:szCs w:val="16"/>
                <w:lang w:bidi="en-US"/>
              </w:rPr>
              <w:t>Второй этап до 14 мая 1916 г.</w:t>
            </w:r>
          </w:p>
        </w:tc>
        <w:tc>
          <w:tcPr>
            <w:tcW w:w="1536" w:type="dxa"/>
          </w:tcPr>
          <w:p w14:paraId="407E3689" w14:textId="77777777" w:rsidR="00EF501B" w:rsidRPr="00405303" w:rsidRDefault="00EF501B" w:rsidP="00C15251">
            <w:pPr>
              <w:jc w:val="both"/>
              <w:rPr>
                <w:bCs/>
                <w:color w:val="002060"/>
                <w:sz w:val="16"/>
                <w:szCs w:val="16"/>
              </w:rPr>
            </w:pPr>
          </w:p>
        </w:tc>
        <w:tc>
          <w:tcPr>
            <w:tcW w:w="1680" w:type="dxa"/>
          </w:tcPr>
          <w:p w14:paraId="44FF059A" w14:textId="77777777" w:rsidR="00EF501B" w:rsidRPr="00405303" w:rsidRDefault="00EF501B" w:rsidP="00C15251">
            <w:pPr>
              <w:jc w:val="both"/>
              <w:rPr>
                <w:bCs/>
                <w:color w:val="002060"/>
                <w:sz w:val="16"/>
                <w:szCs w:val="16"/>
              </w:rPr>
            </w:pPr>
          </w:p>
        </w:tc>
        <w:tc>
          <w:tcPr>
            <w:tcW w:w="806" w:type="dxa"/>
          </w:tcPr>
          <w:p w14:paraId="0686CB00" w14:textId="77777777" w:rsidR="00EF501B" w:rsidRPr="00405303" w:rsidRDefault="00EF501B" w:rsidP="00C15251">
            <w:pPr>
              <w:jc w:val="both"/>
              <w:rPr>
                <w:bCs/>
                <w:color w:val="002060"/>
                <w:sz w:val="16"/>
                <w:szCs w:val="16"/>
              </w:rPr>
            </w:pPr>
          </w:p>
        </w:tc>
      </w:tr>
      <w:tr w:rsidR="00EF501B" w:rsidRPr="00405303" w14:paraId="5D5FF1A5" w14:textId="77777777" w:rsidTr="006606CA">
        <w:trPr>
          <w:trHeight w:val="173"/>
        </w:trPr>
        <w:tc>
          <w:tcPr>
            <w:tcW w:w="1152" w:type="dxa"/>
          </w:tcPr>
          <w:p w14:paraId="6C4729DE"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Вуазен</w:t>
            </w:r>
          </w:p>
        </w:tc>
        <w:tc>
          <w:tcPr>
            <w:tcW w:w="1310" w:type="dxa"/>
          </w:tcPr>
          <w:p w14:paraId="011E0E95"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427</w:t>
            </w:r>
          </w:p>
        </w:tc>
        <w:tc>
          <w:tcPr>
            <w:tcW w:w="1536" w:type="dxa"/>
          </w:tcPr>
          <w:p w14:paraId="79221103"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338</w:t>
            </w:r>
          </w:p>
        </w:tc>
        <w:tc>
          <w:tcPr>
            <w:tcW w:w="1680" w:type="dxa"/>
          </w:tcPr>
          <w:p w14:paraId="2AF3AAB6"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100</w:t>
            </w:r>
          </w:p>
        </w:tc>
        <w:tc>
          <w:tcPr>
            <w:tcW w:w="806" w:type="dxa"/>
          </w:tcPr>
          <w:p w14:paraId="60E8C87B"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11</w:t>
            </w:r>
          </w:p>
        </w:tc>
      </w:tr>
      <w:tr w:rsidR="00EF501B" w:rsidRPr="00405303" w14:paraId="34E61FF2" w14:textId="77777777" w:rsidTr="006606CA">
        <w:trPr>
          <w:trHeight w:val="187"/>
        </w:trPr>
        <w:tc>
          <w:tcPr>
            <w:tcW w:w="1152" w:type="dxa"/>
          </w:tcPr>
          <w:p w14:paraId="44C63469"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зонтик</w:t>
            </w:r>
          </w:p>
        </w:tc>
        <w:tc>
          <w:tcPr>
            <w:tcW w:w="1310" w:type="dxa"/>
          </w:tcPr>
          <w:p w14:paraId="02D58873"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229</w:t>
            </w:r>
          </w:p>
        </w:tc>
        <w:tc>
          <w:tcPr>
            <w:tcW w:w="1536" w:type="dxa"/>
          </w:tcPr>
          <w:p w14:paraId="54E05142"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105</w:t>
            </w:r>
          </w:p>
        </w:tc>
        <w:tc>
          <w:tcPr>
            <w:tcW w:w="1680" w:type="dxa"/>
          </w:tcPr>
          <w:p w14:paraId="3C9A34A2"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30</w:t>
            </w:r>
          </w:p>
        </w:tc>
        <w:tc>
          <w:tcPr>
            <w:tcW w:w="806" w:type="dxa"/>
          </w:tcPr>
          <w:p w14:paraId="02E20BAA"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94</w:t>
            </w:r>
          </w:p>
        </w:tc>
      </w:tr>
      <w:tr w:rsidR="00EF501B" w:rsidRPr="00405303" w14:paraId="3EB84A25" w14:textId="77777777" w:rsidTr="006606CA">
        <w:trPr>
          <w:trHeight w:val="197"/>
        </w:trPr>
        <w:tc>
          <w:tcPr>
            <w:tcW w:w="2462" w:type="dxa"/>
            <w:gridSpan w:val="2"/>
            <w:vAlign w:val="bottom"/>
          </w:tcPr>
          <w:p w14:paraId="7B6460AD"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i/>
                <w:iCs/>
                <w:color w:val="002060"/>
                <w:sz w:val="16"/>
                <w:szCs w:val="16"/>
                <w:lang w:bidi="en-US"/>
              </w:rPr>
              <w:t>Третий этап до 14 сентября 1916 г.</w:t>
            </w:r>
          </w:p>
        </w:tc>
        <w:tc>
          <w:tcPr>
            <w:tcW w:w="1536" w:type="dxa"/>
          </w:tcPr>
          <w:p w14:paraId="54DDD4EB" w14:textId="77777777" w:rsidR="00EF501B" w:rsidRPr="00405303" w:rsidRDefault="00EF501B" w:rsidP="00C15251">
            <w:pPr>
              <w:jc w:val="both"/>
              <w:rPr>
                <w:bCs/>
                <w:color w:val="002060"/>
                <w:sz w:val="16"/>
                <w:szCs w:val="16"/>
              </w:rPr>
            </w:pPr>
          </w:p>
        </w:tc>
        <w:tc>
          <w:tcPr>
            <w:tcW w:w="1680" w:type="dxa"/>
          </w:tcPr>
          <w:p w14:paraId="5D3E0FD0" w14:textId="77777777" w:rsidR="00EF501B" w:rsidRPr="00405303" w:rsidRDefault="00EF501B" w:rsidP="00C15251">
            <w:pPr>
              <w:jc w:val="both"/>
              <w:rPr>
                <w:bCs/>
                <w:color w:val="002060"/>
                <w:sz w:val="16"/>
                <w:szCs w:val="16"/>
              </w:rPr>
            </w:pPr>
          </w:p>
        </w:tc>
        <w:tc>
          <w:tcPr>
            <w:tcW w:w="806" w:type="dxa"/>
          </w:tcPr>
          <w:p w14:paraId="30F1939A" w14:textId="77777777" w:rsidR="00EF501B" w:rsidRPr="00405303" w:rsidRDefault="00EF501B" w:rsidP="00C15251">
            <w:pPr>
              <w:jc w:val="both"/>
              <w:rPr>
                <w:bCs/>
                <w:color w:val="002060"/>
                <w:sz w:val="16"/>
                <w:szCs w:val="16"/>
              </w:rPr>
            </w:pPr>
          </w:p>
        </w:tc>
      </w:tr>
      <w:tr w:rsidR="00EF501B" w:rsidRPr="00405303" w14:paraId="03A109F2" w14:textId="77777777" w:rsidTr="006606CA">
        <w:trPr>
          <w:trHeight w:val="168"/>
        </w:trPr>
        <w:tc>
          <w:tcPr>
            <w:tcW w:w="1152" w:type="dxa"/>
          </w:tcPr>
          <w:p w14:paraId="3F01470E"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Вуазен</w:t>
            </w:r>
          </w:p>
        </w:tc>
        <w:tc>
          <w:tcPr>
            <w:tcW w:w="1310" w:type="dxa"/>
          </w:tcPr>
          <w:p w14:paraId="2F0FC738"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526</w:t>
            </w:r>
          </w:p>
        </w:tc>
        <w:tc>
          <w:tcPr>
            <w:tcW w:w="1536" w:type="dxa"/>
          </w:tcPr>
          <w:p w14:paraId="0B5A6EBD"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220</w:t>
            </w:r>
          </w:p>
        </w:tc>
        <w:tc>
          <w:tcPr>
            <w:tcW w:w="1680" w:type="dxa"/>
          </w:tcPr>
          <w:p w14:paraId="2756EF66"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100</w:t>
            </w:r>
          </w:p>
        </w:tc>
        <w:tc>
          <w:tcPr>
            <w:tcW w:w="806" w:type="dxa"/>
          </w:tcPr>
          <w:p w14:paraId="4D2AF25F"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206</w:t>
            </w:r>
          </w:p>
        </w:tc>
      </w:tr>
      <w:tr w:rsidR="00EF501B" w:rsidRPr="00405303" w14:paraId="47F744CE" w14:textId="77777777" w:rsidTr="006606CA">
        <w:trPr>
          <w:trHeight w:val="187"/>
        </w:trPr>
        <w:tc>
          <w:tcPr>
            <w:tcW w:w="1152" w:type="dxa"/>
            <w:vAlign w:val="bottom"/>
          </w:tcPr>
          <w:p w14:paraId="54073DD0"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зонтик</w:t>
            </w:r>
          </w:p>
        </w:tc>
        <w:tc>
          <w:tcPr>
            <w:tcW w:w="1310" w:type="dxa"/>
            <w:vAlign w:val="bottom"/>
          </w:tcPr>
          <w:p w14:paraId="34DB378B"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301</w:t>
            </w:r>
          </w:p>
        </w:tc>
        <w:tc>
          <w:tcPr>
            <w:tcW w:w="1536" w:type="dxa"/>
            <w:vAlign w:val="bottom"/>
          </w:tcPr>
          <w:p w14:paraId="58EEA750"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55</w:t>
            </w:r>
          </w:p>
        </w:tc>
        <w:tc>
          <w:tcPr>
            <w:tcW w:w="1680" w:type="dxa"/>
            <w:vAlign w:val="bottom"/>
          </w:tcPr>
          <w:p w14:paraId="56957D68"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246</w:t>
            </w:r>
          </w:p>
        </w:tc>
        <w:tc>
          <w:tcPr>
            <w:tcW w:w="806" w:type="dxa"/>
          </w:tcPr>
          <w:p w14:paraId="3FF8D45A" w14:textId="77777777" w:rsidR="00EF501B" w:rsidRPr="00405303" w:rsidRDefault="00EF501B" w:rsidP="00C15251">
            <w:pPr>
              <w:jc w:val="both"/>
              <w:rPr>
                <w:bCs/>
                <w:color w:val="002060"/>
                <w:sz w:val="16"/>
                <w:szCs w:val="16"/>
              </w:rPr>
            </w:pPr>
          </w:p>
        </w:tc>
      </w:tr>
      <w:tr w:rsidR="00EF501B" w:rsidRPr="00405303" w14:paraId="606400DC" w14:textId="77777777" w:rsidTr="006606CA">
        <w:trPr>
          <w:trHeight w:val="197"/>
        </w:trPr>
        <w:tc>
          <w:tcPr>
            <w:tcW w:w="2462" w:type="dxa"/>
            <w:gridSpan w:val="2"/>
            <w:vAlign w:val="bottom"/>
          </w:tcPr>
          <w:p w14:paraId="741770F1"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i/>
                <w:iCs/>
                <w:color w:val="002060"/>
                <w:sz w:val="16"/>
                <w:szCs w:val="16"/>
                <w:lang w:val="en-US" w:bidi="en-US"/>
              </w:rPr>
              <w:t>Всего до 14 сентября 1916 г.</w:t>
            </w:r>
          </w:p>
        </w:tc>
        <w:tc>
          <w:tcPr>
            <w:tcW w:w="1536" w:type="dxa"/>
          </w:tcPr>
          <w:p w14:paraId="4254D326" w14:textId="77777777" w:rsidR="00EF501B" w:rsidRPr="00405303" w:rsidRDefault="00EF501B" w:rsidP="00C15251">
            <w:pPr>
              <w:jc w:val="both"/>
              <w:rPr>
                <w:bCs/>
                <w:color w:val="002060"/>
                <w:sz w:val="16"/>
                <w:szCs w:val="16"/>
              </w:rPr>
            </w:pPr>
          </w:p>
        </w:tc>
        <w:tc>
          <w:tcPr>
            <w:tcW w:w="1680" w:type="dxa"/>
          </w:tcPr>
          <w:p w14:paraId="4B352D8C" w14:textId="77777777" w:rsidR="00EF501B" w:rsidRPr="00405303" w:rsidRDefault="00EF501B" w:rsidP="00C15251">
            <w:pPr>
              <w:jc w:val="both"/>
              <w:rPr>
                <w:bCs/>
                <w:color w:val="002060"/>
                <w:sz w:val="16"/>
                <w:szCs w:val="16"/>
              </w:rPr>
            </w:pPr>
          </w:p>
        </w:tc>
        <w:tc>
          <w:tcPr>
            <w:tcW w:w="806" w:type="dxa"/>
          </w:tcPr>
          <w:p w14:paraId="52213E68" w14:textId="77777777" w:rsidR="00EF501B" w:rsidRPr="00405303" w:rsidRDefault="00EF501B" w:rsidP="00C15251">
            <w:pPr>
              <w:jc w:val="both"/>
              <w:rPr>
                <w:bCs/>
                <w:color w:val="002060"/>
                <w:sz w:val="16"/>
                <w:szCs w:val="16"/>
              </w:rPr>
            </w:pPr>
          </w:p>
        </w:tc>
      </w:tr>
      <w:tr w:rsidR="00EF501B" w:rsidRPr="00405303" w14:paraId="3E371C25" w14:textId="77777777" w:rsidTr="006606CA">
        <w:trPr>
          <w:trHeight w:val="173"/>
        </w:trPr>
        <w:tc>
          <w:tcPr>
            <w:tcW w:w="1152" w:type="dxa"/>
          </w:tcPr>
          <w:p w14:paraId="7781D308"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Вуазен</w:t>
            </w:r>
          </w:p>
        </w:tc>
        <w:tc>
          <w:tcPr>
            <w:tcW w:w="1310" w:type="dxa"/>
          </w:tcPr>
          <w:p w14:paraId="4A89D550"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1290</w:t>
            </w:r>
          </w:p>
        </w:tc>
        <w:tc>
          <w:tcPr>
            <w:tcW w:w="1536" w:type="dxa"/>
          </w:tcPr>
          <w:p w14:paraId="24C93E33"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748</w:t>
            </w:r>
          </w:p>
        </w:tc>
        <w:tc>
          <w:tcPr>
            <w:tcW w:w="1680" w:type="dxa"/>
          </w:tcPr>
          <w:p w14:paraId="5763DFBA"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300</w:t>
            </w:r>
          </w:p>
        </w:tc>
        <w:tc>
          <w:tcPr>
            <w:tcW w:w="806" w:type="dxa"/>
          </w:tcPr>
          <w:p w14:paraId="2D8ABB10"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242</w:t>
            </w:r>
          </w:p>
        </w:tc>
      </w:tr>
      <w:tr w:rsidR="00EF501B" w:rsidRPr="00405303" w14:paraId="24DBE068" w14:textId="77777777" w:rsidTr="006606CA">
        <w:trPr>
          <w:trHeight w:val="182"/>
        </w:trPr>
        <w:tc>
          <w:tcPr>
            <w:tcW w:w="1152" w:type="dxa"/>
          </w:tcPr>
          <w:p w14:paraId="633F8E48"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зонтик</w:t>
            </w:r>
          </w:p>
        </w:tc>
        <w:tc>
          <w:tcPr>
            <w:tcW w:w="1310" w:type="dxa"/>
          </w:tcPr>
          <w:p w14:paraId="18424E01"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705</w:t>
            </w:r>
          </w:p>
        </w:tc>
        <w:tc>
          <w:tcPr>
            <w:tcW w:w="1536" w:type="dxa"/>
          </w:tcPr>
          <w:p w14:paraId="42B73AC7"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340</w:t>
            </w:r>
          </w:p>
        </w:tc>
        <w:tc>
          <w:tcPr>
            <w:tcW w:w="1680" w:type="dxa"/>
          </w:tcPr>
          <w:p w14:paraId="0A56C9E6"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50</w:t>
            </w:r>
          </w:p>
        </w:tc>
        <w:tc>
          <w:tcPr>
            <w:tcW w:w="806" w:type="dxa"/>
          </w:tcPr>
          <w:p w14:paraId="3E8C3BB8"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315</w:t>
            </w:r>
          </w:p>
        </w:tc>
      </w:tr>
      <w:tr w:rsidR="00EF501B" w:rsidRPr="00405303" w14:paraId="47CFF611" w14:textId="77777777" w:rsidTr="006606CA">
        <w:trPr>
          <w:trHeight w:val="182"/>
        </w:trPr>
        <w:tc>
          <w:tcPr>
            <w:tcW w:w="1152" w:type="dxa"/>
          </w:tcPr>
          <w:p w14:paraId="223CB21A"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ОБЩИЙ</w:t>
            </w:r>
          </w:p>
        </w:tc>
        <w:tc>
          <w:tcPr>
            <w:tcW w:w="1310" w:type="dxa"/>
          </w:tcPr>
          <w:p w14:paraId="0D894B64"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1995 г.</w:t>
            </w:r>
          </w:p>
        </w:tc>
        <w:tc>
          <w:tcPr>
            <w:tcW w:w="1536" w:type="dxa"/>
          </w:tcPr>
          <w:p w14:paraId="671DFACA"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1088</w:t>
            </w:r>
          </w:p>
        </w:tc>
        <w:tc>
          <w:tcPr>
            <w:tcW w:w="1680" w:type="dxa"/>
          </w:tcPr>
          <w:p w14:paraId="042B11D2"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350</w:t>
            </w:r>
          </w:p>
        </w:tc>
        <w:tc>
          <w:tcPr>
            <w:tcW w:w="806" w:type="dxa"/>
          </w:tcPr>
          <w:p w14:paraId="03575120" w14:textId="77777777" w:rsidR="00EF501B" w:rsidRPr="00405303" w:rsidRDefault="00EF501B"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557</w:t>
            </w:r>
          </w:p>
        </w:tc>
      </w:tr>
    </w:tbl>
    <w:p w14:paraId="101FC1EC" w14:textId="77777777" w:rsidR="00EF501B" w:rsidRPr="00405303" w:rsidRDefault="00EF501B" w:rsidP="00C15251">
      <w:pPr>
        <w:jc w:val="both"/>
        <w:rPr>
          <w:bCs/>
          <w:color w:val="002060"/>
          <w:sz w:val="16"/>
          <w:szCs w:val="16"/>
        </w:rPr>
      </w:pPr>
      <w:r w:rsidRPr="00405303">
        <w:rPr>
          <w:bCs/>
          <w:color w:val="002060"/>
          <w:sz w:val="16"/>
          <w:szCs w:val="16"/>
          <w:lang w:bidi="en-US"/>
        </w:rPr>
        <w:t xml:space="preserve">Это показывает острую потребность в 557 самолетах. Кроме того, для непредвиденного резерва желательно до 14 мая 1916 г. приобрести дополнительно 100 станков. Так как нашим заводам слишком много предстоит собрать до 25 июня 750 "Вуазенов" (это касается их металлообрабатывающих цехов), сессия находит целесообразным отправьте срочный заказ на 100 типов самолетов, подобных самолетам </w:t>
      </w:r>
      <w:r w:rsidRPr="00405303">
        <w:rPr>
          <w:bCs/>
          <w:color w:val="002060"/>
          <w:sz w:val="16"/>
          <w:szCs w:val="16"/>
          <w:lang w:val="en-US" w:bidi="en-US"/>
        </w:rPr>
        <w:t>Rumpier</w:t>
      </w:r>
      <w:r w:rsidRPr="00405303">
        <w:rPr>
          <w:bCs/>
          <w:color w:val="002060"/>
          <w:sz w:val="16"/>
          <w:szCs w:val="16"/>
          <w:lang w:bidi="en-US"/>
        </w:rPr>
        <w:t xml:space="preserve"> и </w:t>
      </w:r>
      <w:r w:rsidRPr="00405303">
        <w:rPr>
          <w:bCs/>
          <w:color w:val="002060"/>
          <w:sz w:val="16"/>
          <w:szCs w:val="16"/>
          <w:lang w:val="en-US" w:bidi="en-US"/>
        </w:rPr>
        <w:t>Albatros</w:t>
      </w:r>
      <w:r w:rsidRPr="00405303">
        <w:rPr>
          <w:bCs/>
          <w:color w:val="002060"/>
          <w:sz w:val="16"/>
          <w:szCs w:val="16"/>
          <w:lang w:bidi="en-US"/>
        </w:rPr>
        <w:t xml:space="preserve">, которые будут оснащены двигателями </w:t>
      </w:r>
      <w:r w:rsidRPr="00405303">
        <w:rPr>
          <w:bCs/>
          <w:color w:val="002060"/>
          <w:sz w:val="16"/>
          <w:szCs w:val="16"/>
          <w:lang w:val="en-US" w:bidi="en-US"/>
        </w:rPr>
        <w:t>Fiat</w:t>
      </w:r>
      <w:r w:rsidRPr="00405303">
        <w:rPr>
          <w:bCs/>
          <w:color w:val="002060"/>
          <w:sz w:val="16"/>
          <w:szCs w:val="16"/>
          <w:lang w:bidi="en-US"/>
        </w:rPr>
        <w:t xml:space="preserve"> или другими силовыми установками. 557 самолетов должны быть заказаны в России или за рубежом в кратчайшие сроки.</w:t>
      </w:r>
    </w:p>
    <w:p w14:paraId="2D5F22BF" w14:textId="77777777" w:rsidR="00EF501B" w:rsidRPr="00405303" w:rsidRDefault="00EF501B" w:rsidP="00C15251">
      <w:pPr>
        <w:jc w:val="both"/>
        <w:rPr>
          <w:bCs/>
          <w:color w:val="002060"/>
          <w:sz w:val="16"/>
          <w:szCs w:val="16"/>
        </w:rPr>
      </w:pPr>
      <w:r w:rsidRPr="00405303">
        <w:rPr>
          <w:bCs/>
          <w:color w:val="002060"/>
          <w:sz w:val="16"/>
          <w:szCs w:val="16"/>
          <w:lang w:bidi="en-US"/>
        </w:rPr>
        <w:t xml:space="preserve">Великий князь отметил плохую работу новых двигателей </w:t>
      </w:r>
      <w:r w:rsidRPr="00405303">
        <w:rPr>
          <w:bCs/>
          <w:color w:val="002060"/>
          <w:sz w:val="16"/>
          <w:szCs w:val="16"/>
          <w:lang w:val="en-US" w:bidi="en-US"/>
        </w:rPr>
        <w:t>Gnome</w:t>
      </w:r>
      <w:r w:rsidRPr="00405303">
        <w:rPr>
          <w:bCs/>
          <w:color w:val="002060"/>
          <w:sz w:val="16"/>
          <w:szCs w:val="16"/>
          <w:lang w:bidi="en-US"/>
        </w:rPr>
        <w:t xml:space="preserve"> мощностью 80 л.с., пружины и клапаны которых недостаточно долговечны; двигатели французского производства имеют больше дефектов, чем двигатели российского производства. Чтобы исправить ситуацию, срочный заказ на </w:t>
      </w:r>
      <w:r w:rsidRPr="00405303">
        <w:rPr>
          <w:bCs/>
          <w:color w:val="002060"/>
          <w:sz w:val="16"/>
          <w:szCs w:val="16"/>
          <w:lang w:val="en-US" w:bidi="en-US"/>
        </w:rPr>
        <w:t>Rhone</w:t>
      </w:r>
      <w:r w:rsidRPr="00405303">
        <w:rPr>
          <w:bCs/>
          <w:color w:val="002060"/>
          <w:sz w:val="16"/>
          <w:szCs w:val="16"/>
          <w:lang w:bidi="en-US"/>
        </w:rPr>
        <w:t xml:space="preserve"> </w:t>
      </w:r>
      <w:r w:rsidRPr="00405303">
        <w:rPr>
          <w:bCs/>
          <w:color w:val="002060"/>
          <w:sz w:val="16"/>
          <w:szCs w:val="16"/>
          <w:lang w:val="en-US" w:bidi="en-US"/>
        </w:rPr>
        <w:t>motors</w:t>
      </w:r>
      <w:r w:rsidRPr="00405303">
        <w:rPr>
          <w:bCs/>
          <w:color w:val="002060"/>
          <w:sz w:val="16"/>
          <w:szCs w:val="16"/>
          <w:lang w:bidi="en-US"/>
        </w:rPr>
        <w:t xml:space="preserve"> очень желательно разместить во Франции.</w:t>
      </w:r>
    </w:p>
    <w:p w14:paraId="35C4D314" w14:textId="77777777" w:rsidR="00EF501B" w:rsidRPr="00405303" w:rsidRDefault="00EF501B" w:rsidP="00C15251">
      <w:pPr>
        <w:jc w:val="both"/>
        <w:rPr>
          <w:bCs/>
          <w:color w:val="002060"/>
          <w:sz w:val="16"/>
          <w:szCs w:val="16"/>
        </w:rPr>
      </w:pPr>
      <w:r w:rsidRPr="00405303">
        <w:rPr>
          <w:bCs/>
          <w:color w:val="002060"/>
          <w:sz w:val="16"/>
          <w:szCs w:val="16"/>
          <w:lang w:bidi="en-US"/>
        </w:rPr>
        <w:t xml:space="preserve">Великий князь счел целесообразным направить военного инженера Полковника Яковлева во Францию, где он мог бы убедить компанию «Гном и Рон» открыть в России моторостроительное производство «Рон», специально для двигателей «Рон» </w:t>
      </w:r>
      <w:r w:rsidRPr="00405303">
        <w:rPr>
          <w:bCs/>
          <w:color w:val="002060"/>
          <w:sz w:val="16"/>
          <w:szCs w:val="16"/>
          <w:lang w:val="en-US" w:bidi="en-US"/>
        </w:rPr>
        <w:t>HOhp</w:t>
      </w:r>
      <w:r w:rsidRPr="00405303">
        <w:rPr>
          <w:bCs/>
          <w:color w:val="002060"/>
          <w:sz w:val="16"/>
          <w:szCs w:val="16"/>
          <w:lang w:bidi="en-US"/>
        </w:rPr>
        <w:t>.</w:t>
      </w:r>
    </w:p>
    <w:p w14:paraId="5AE26A00" w14:textId="77777777" w:rsidR="00EF501B" w:rsidRPr="00405303" w:rsidRDefault="00EF501B" w:rsidP="00C15251">
      <w:pPr>
        <w:jc w:val="both"/>
        <w:rPr>
          <w:bCs/>
          <w:color w:val="002060"/>
          <w:sz w:val="16"/>
          <w:szCs w:val="16"/>
        </w:rPr>
      </w:pPr>
      <w:r w:rsidRPr="00405303">
        <w:rPr>
          <w:bCs/>
          <w:color w:val="002060"/>
          <w:sz w:val="16"/>
          <w:szCs w:val="16"/>
          <w:lang w:bidi="en-US"/>
        </w:rPr>
        <w:t>По мнению Великих Князей, сессия сочла желательным наладить срочный выпуск российских «Рено» и «Рон» мощностью 220 и 500 л.с. соответственно, за счет заказа 150 «Рено» и 50–100 «Рон».</w:t>
      </w:r>
    </w:p>
    <w:p w14:paraId="3B0963A2" w14:textId="77777777" w:rsidR="00EF501B" w:rsidRPr="00405303" w:rsidRDefault="00EF501B" w:rsidP="00C15251">
      <w:pPr>
        <w:jc w:val="both"/>
        <w:rPr>
          <w:bCs/>
          <w:color w:val="002060"/>
          <w:sz w:val="16"/>
          <w:szCs w:val="16"/>
        </w:rPr>
      </w:pPr>
      <w:r w:rsidRPr="00405303">
        <w:rPr>
          <w:bCs/>
          <w:color w:val="002060"/>
          <w:sz w:val="16"/>
          <w:szCs w:val="16"/>
          <w:lang w:bidi="en-US"/>
        </w:rPr>
        <w:t xml:space="preserve">После того, как представители правления </w:t>
      </w:r>
      <w:r w:rsidRPr="00405303">
        <w:rPr>
          <w:bCs/>
          <w:color w:val="002060"/>
          <w:sz w:val="16"/>
          <w:szCs w:val="16"/>
          <w:lang w:val="en-US" w:bidi="en-US"/>
        </w:rPr>
        <w:t>CMTD</w:t>
      </w:r>
      <w:r w:rsidRPr="00405303">
        <w:rPr>
          <w:bCs/>
          <w:color w:val="002060"/>
          <w:sz w:val="16"/>
          <w:szCs w:val="16"/>
          <w:lang w:bidi="en-US"/>
        </w:rPr>
        <w:t xml:space="preserve"> дали информацию о том, что все самолеты, которые должны быть приняты в ноябре, должны быть, согласно условиям контракта, оснащены лыжами, а также что необходимо будет иметь 200 лыжных шасси </w:t>
      </w:r>
      <w:r w:rsidRPr="00405303">
        <w:rPr>
          <w:bCs/>
          <w:color w:val="002060"/>
          <w:sz w:val="16"/>
          <w:szCs w:val="16"/>
          <w:lang w:val="en-US" w:bidi="en-US"/>
        </w:rPr>
        <w:t>Voisin</w:t>
      </w:r>
      <w:r w:rsidRPr="00405303">
        <w:rPr>
          <w:bCs/>
          <w:color w:val="002060"/>
          <w:sz w:val="16"/>
          <w:szCs w:val="16"/>
          <w:lang w:bidi="en-US"/>
        </w:rPr>
        <w:t xml:space="preserve">, 75 лыжных шасси </w:t>
      </w:r>
      <w:r w:rsidRPr="00405303">
        <w:rPr>
          <w:bCs/>
          <w:color w:val="002060"/>
          <w:sz w:val="16"/>
          <w:szCs w:val="16"/>
          <w:lang w:val="en-US" w:bidi="en-US"/>
        </w:rPr>
        <w:t>Parasol</w:t>
      </w:r>
      <w:r w:rsidRPr="00405303">
        <w:rPr>
          <w:bCs/>
          <w:color w:val="002060"/>
          <w:sz w:val="16"/>
          <w:szCs w:val="16"/>
          <w:lang w:bidi="en-US"/>
        </w:rPr>
        <w:t xml:space="preserve"> и 30 </w:t>
      </w:r>
      <w:r w:rsidRPr="00405303">
        <w:rPr>
          <w:bCs/>
          <w:color w:val="002060"/>
          <w:sz w:val="16"/>
          <w:szCs w:val="16"/>
          <w:lang w:val="en-US" w:bidi="en-US"/>
        </w:rPr>
        <w:t>Albatros</w:t>
      </w:r>
      <w:r w:rsidRPr="00405303">
        <w:rPr>
          <w:bCs/>
          <w:color w:val="002060"/>
          <w:sz w:val="16"/>
          <w:szCs w:val="16"/>
          <w:lang w:bidi="en-US"/>
        </w:rPr>
        <w:t>. лыжные ходовые части, все изготавливаются и ожидаются во Франции.</w:t>
      </w:r>
    </w:p>
    <w:p w14:paraId="72400B53" w14:textId="77777777" w:rsidR="00EF501B" w:rsidRPr="00405303" w:rsidRDefault="00EF501B" w:rsidP="00C15251">
      <w:pPr>
        <w:jc w:val="both"/>
        <w:rPr>
          <w:bCs/>
          <w:color w:val="002060"/>
          <w:sz w:val="16"/>
          <w:szCs w:val="16"/>
        </w:rPr>
      </w:pPr>
      <w:r w:rsidRPr="00405303">
        <w:rPr>
          <w:bCs/>
          <w:color w:val="002060"/>
          <w:sz w:val="16"/>
          <w:szCs w:val="16"/>
          <w:lang w:bidi="en-US"/>
        </w:rPr>
        <w:t xml:space="preserve">Также желательно в кратчайшие сроки заказать 100 масляных радиаторов производства </w:t>
      </w:r>
      <w:r w:rsidRPr="00405303">
        <w:rPr>
          <w:bCs/>
          <w:color w:val="002060"/>
          <w:sz w:val="16"/>
          <w:szCs w:val="16"/>
          <w:lang w:val="en-US" w:bidi="en-US"/>
        </w:rPr>
        <w:t>I</w:t>
      </w:r>
      <w:r w:rsidRPr="00405303">
        <w:rPr>
          <w:bCs/>
          <w:color w:val="002060"/>
          <w:sz w:val="16"/>
          <w:szCs w:val="16"/>
          <w:lang w:bidi="en-US"/>
        </w:rPr>
        <w:t xml:space="preserve">. </w:t>
      </w:r>
      <w:r w:rsidRPr="00405303">
        <w:rPr>
          <w:bCs/>
          <w:color w:val="002060"/>
          <w:sz w:val="16"/>
          <w:szCs w:val="16"/>
          <w:lang w:val="en-US" w:bidi="en-US"/>
        </w:rPr>
        <w:t>Preisfreind</w:t>
      </w:r>
      <w:r w:rsidRPr="00405303">
        <w:rPr>
          <w:bCs/>
          <w:color w:val="002060"/>
          <w:sz w:val="16"/>
          <w:szCs w:val="16"/>
          <w:lang w:bidi="en-US"/>
        </w:rPr>
        <w:t>. Также желательно вооружить авиационные части фугасными боеприпасами для стрельбы по дирижаблям и аэростатам противника. Считается, что такие боеприпасы изготавливаются по заказу Главного артиллерийского управления. Срочно нужны автоматы или винтовки.</w:t>
      </w:r>
    </w:p>
    <w:p w14:paraId="1DFF6850" w14:textId="77777777" w:rsidR="00EF501B" w:rsidRPr="00405303" w:rsidRDefault="00EF501B" w:rsidP="00C15251">
      <w:pPr>
        <w:jc w:val="both"/>
        <w:rPr>
          <w:bCs/>
          <w:color w:val="002060"/>
          <w:sz w:val="16"/>
          <w:szCs w:val="16"/>
        </w:rPr>
      </w:pPr>
      <w:r w:rsidRPr="00405303">
        <w:rPr>
          <w:bCs/>
          <w:color w:val="002060"/>
          <w:sz w:val="16"/>
          <w:szCs w:val="16"/>
          <w:lang w:bidi="en-US"/>
        </w:rPr>
        <w:t>Согласно заявлению великого князя, автоматические винтовки Мадсена непригодны для использования в качестве авиационного оружия. Для стрельбы шрапнелью без гильз желательно сконструировать легкое орудие весом до 100 кг.</w:t>
      </w:r>
    </w:p>
    <w:p w14:paraId="6A5193F6" w14:textId="77777777" w:rsidR="00EF501B" w:rsidRPr="00405303" w:rsidRDefault="00EF501B" w:rsidP="00C15251">
      <w:pPr>
        <w:jc w:val="both"/>
        <w:rPr>
          <w:bCs/>
          <w:color w:val="002060"/>
          <w:sz w:val="16"/>
          <w:szCs w:val="16"/>
        </w:rPr>
      </w:pPr>
      <w:r w:rsidRPr="00405303">
        <w:rPr>
          <w:bCs/>
          <w:color w:val="002060"/>
          <w:sz w:val="16"/>
          <w:szCs w:val="16"/>
          <w:lang w:bidi="en-US"/>
        </w:rPr>
        <w:t>Желательно принять соответствующие меры по изготовлению запасных комплектов ходовой части для «Вуазена» и гребных винтов для моторов «Рон».</w:t>
      </w:r>
    </w:p>
    <w:p w14:paraId="56A62878" w14:textId="77777777" w:rsidR="00EF501B" w:rsidRPr="00405303" w:rsidRDefault="00EF501B" w:rsidP="00C15251">
      <w:pPr>
        <w:jc w:val="both"/>
        <w:rPr>
          <w:bCs/>
          <w:color w:val="002060"/>
          <w:sz w:val="16"/>
          <w:szCs w:val="16"/>
        </w:rPr>
      </w:pPr>
      <w:r w:rsidRPr="00405303">
        <w:rPr>
          <w:bCs/>
          <w:color w:val="002060"/>
          <w:sz w:val="16"/>
          <w:szCs w:val="16"/>
          <w:lang w:bidi="en-US"/>
        </w:rPr>
        <w:lastRenderedPageBreak/>
        <w:t>Представитель правления ЦМТД предложил открыть новые авиационные заводы в России. После обсуждения сессия сочла целесообразным увеличить производственные мощности существующих заводов, возможно, за счет открытия филиалов. Создание новых заводов может вызвать трудности для старых заводов из-за нехватки квалифицированных инженеров и рабочих и качественного материала в России, если некоторые из них будут перенаправлены на новые заводы.</w:t>
      </w:r>
    </w:p>
    <w:p w14:paraId="3F6B7735" w14:textId="77777777" w:rsidR="00EF501B" w:rsidRPr="00405303" w:rsidRDefault="00EF501B" w:rsidP="00C15251">
      <w:pPr>
        <w:jc w:val="both"/>
        <w:rPr>
          <w:bCs/>
          <w:color w:val="002060"/>
          <w:sz w:val="16"/>
          <w:szCs w:val="16"/>
        </w:rPr>
      </w:pPr>
      <w:r w:rsidRPr="00405303">
        <w:rPr>
          <w:bCs/>
          <w:color w:val="002060"/>
          <w:sz w:val="16"/>
          <w:szCs w:val="16"/>
          <w:lang w:bidi="en-US"/>
        </w:rPr>
        <w:t xml:space="preserve">Представитель </w:t>
      </w:r>
      <w:r w:rsidRPr="00405303">
        <w:rPr>
          <w:bCs/>
          <w:color w:val="002060"/>
          <w:sz w:val="16"/>
          <w:szCs w:val="16"/>
          <w:lang w:val="en-US" w:bidi="en-US"/>
        </w:rPr>
        <w:t>CMTD</w:t>
      </w:r>
      <w:r w:rsidRPr="00405303">
        <w:rPr>
          <w:bCs/>
          <w:color w:val="002060"/>
          <w:sz w:val="16"/>
          <w:szCs w:val="16"/>
          <w:lang w:bidi="en-US"/>
        </w:rPr>
        <w:t xml:space="preserve"> также сообщил, что все данные для проведения вышеуказанных расчетов были получены из прогнозных выходных данных, составленных заводами, а их оценочные цифры становятся меньше по отчетам надзирателей. Далее он заявил, что все данные о зарубежных поставках предварительные, а наш агент по закупкам во Франции сообщил о значительных затруднениях с приобретением моторов Роны, что и является причиной отправки Полковника Яковлева во Францию.</w:t>
      </w:r>
    </w:p>
    <w:p w14:paraId="18C91083" w14:textId="77777777" w:rsidR="00EF501B" w:rsidRPr="00405303" w:rsidRDefault="00EF501B" w:rsidP="00C15251">
      <w:pPr>
        <w:jc w:val="both"/>
        <w:rPr>
          <w:bCs/>
          <w:color w:val="002060"/>
          <w:sz w:val="16"/>
          <w:szCs w:val="16"/>
        </w:rPr>
      </w:pPr>
      <w:r w:rsidRPr="00405303">
        <w:rPr>
          <w:bCs/>
          <w:color w:val="002060"/>
          <w:sz w:val="16"/>
          <w:szCs w:val="16"/>
          <w:lang w:bidi="en-US"/>
        </w:rPr>
        <w:t xml:space="preserve">Результатом этого заседания стало создание Положения о Временной авиационной приемочной комиссии Совета </w:t>
      </w:r>
      <w:r w:rsidRPr="00405303">
        <w:rPr>
          <w:bCs/>
          <w:color w:val="002060"/>
          <w:sz w:val="16"/>
          <w:szCs w:val="16"/>
          <w:lang w:val="en-US" w:bidi="en-US"/>
        </w:rPr>
        <w:t>CMTD</w:t>
      </w:r>
      <w:r w:rsidRPr="00405303">
        <w:rPr>
          <w:bCs/>
          <w:color w:val="002060"/>
          <w:sz w:val="16"/>
          <w:szCs w:val="16"/>
          <w:lang w:bidi="en-US"/>
        </w:rPr>
        <w:t>, в котором говорилось: «Контролировать строительство самолетов, двигателей и воздушных винтов; для наблюдения за их испытаниями и приемкой формируется Временная приемочная комиссия при Правлении ОСМТ из ее председателя и членов, являющихся курирующими представителями на заводах (что не касается здания Уя Муромца); Чиновников назначает Его Величество Великий Князь Александр Михайлович; Должностные лица подчиняются начальнику технической приемки; Их работа должна определяться Положением 1913 г. и дальнейшими дополнениями к нему (23525).</w:t>
      </w:r>
    </w:p>
    <w:p w14:paraId="748B2669" w14:textId="77777777" w:rsidR="00EF501B" w:rsidRPr="00405303" w:rsidRDefault="00EF501B" w:rsidP="00C15251">
      <w:pPr>
        <w:pStyle w:val="41"/>
        <w:spacing w:line="240" w:lineRule="auto"/>
        <w:jc w:val="both"/>
        <w:rPr>
          <w:bCs/>
          <w:color w:val="002060"/>
          <w:sz w:val="16"/>
          <w:szCs w:val="16"/>
          <w:lang w:bidi="ru-RU"/>
        </w:rPr>
      </w:pPr>
    </w:p>
    <w:p w14:paraId="38812B99" w14:textId="77777777" w:rsidR="00185E31" w:rsidRPr="00405303" w:rsidRDefault="00185E31" w:rsidP="00185E31">
      <w:pPr>
        <w:widowControl w:val="0"/>
        <w:tabs>
          <w:tab w:val="left" w:pos="686"/>
        </w:tabs>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23 июля (5 августа) 1915 г. над Ригой было отмечено появление немецкого аэроплана, с которого разбрасывались прокламации, другой неприятельский летательный аппарат провел бомбардировку позиций наших войск (вблизи г. Ковель), сбросив шесть бомб (без какого-либо ущерба).</w:t>
      </w:r>
    </w:p>
    <w:p w14:paraId="4E7269CB" w14:textId="77777777" w:rsidR="00185E31" w:rsidRPr="00405303" w:rsidRDefault="00185E31" w:rsidP="00185E31">
      <w:pPr>
        <w:widowControl w:val="0"/>
        <w:tabs>
          <w:tab w:val="left" w:pos="686"/>
        </w:tabs>
        <w:jc w:val="both"/>
        <w:rPr>
          <w:color w:val="0070C0"/>
          <w:sz w:val="16"/>
          <w:szCs w:val="16"/>
        </w:rPr>
      </w:pPr>
      <w:r w:rsidRPr="00405303">
        <w:rPr>
          <w:rStyle w:val="aa"/>
          <w:rFonts w:ascii="Times New Roman" w:hAnsi="Times New Roman"/>
          <w:color w:val="0070C0"/>
          <w:spacing w:val="0"/>
          <w:sz w:val="16"/>
          <w:szCs w:val="16"/>
        </w:rPr>
        <w:t>Вечером того же дня бомбардировке подвергся г. Малкина. Появившийся в небе города цеппелин сбросил 24 снаряда (из них 11 не разорвалось), что привело к человеческим жертвам среди местного населения.</w:t>
      </w:r>
    </w:p>
    <w:p w14:paraId="16516917" w14:textId="77777777" w:rsidR="00185E31" w:rsidRPr="00405303" w:rsidRDefault="00185E31" w:rsidP="00185E31">
      <w:pPr>
        <w:jc w:val="both"/>
        <w:rPr>
          <w:color w:val="0070C0"/>
          <w:sz w:val="16"/>
          <w:szCs w:val="16"/>
        </w:rPr>
      </w:pPr>
      <w:r w:rsidRPr="00405303">
        <w:rPr>
          <w:rStyle w:val="aa"/>
          <w:rFonts w:ascii="Times New Roman" w:hAnsi="Times New Roman"/>
          <w:color w:val="0070C0"/>
          <w:spacing w:val="0"/>
          <w:sz w:val="16"/>
          <w:szCs w:val="16"/>
        </w:rPr>
        <w:t>По данным русского командования, в период с 18 по 23 иююля (с 31 июля по 5 августа) 1915 г. в ходе наступления германских войск наиболее интенсивным ударам с воздуха подверглись г. Варшава, Ломжа, Белосток, Брест-Литовск, Малкина, Вильна (в последней был разрушен костел). В районе г. Кобрин (Кобрын) жертвами воздушной бомбардировки стали мирные беженцы.</w:t>
      </w:r>
    </w:p>
    <w:p w14:paraId="4C3950C0" w14:textId="77777777" w:rsidR="00185E31" w:rsidRPr="00405303" w:rsidRDefault="00185E31" w:rsidP="00185E31">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 xml:space="preserve">Противник, игнорируя нормы международного права, продолжал воздействовать на мирные объекты и гражданское население с целью создания у последнего панических настроений. </w:t>
      </w:r>
    </w:p>
    <w:p w14:paraId="4DDBB4D5" w14:textId="77777777" w:rsidR="00185E31" w:rsidRPr="00405303" w:rsidRDefault="00185E31" w:rsidP="00185E31">
      <w:pPr>
        <w:jc w:val="both"/>
        <w:rPr>
          <w:rStyle w:val="aa"/>
          <w:rFonts w:ascii="Times New Roman" w:hAnsi="Times New Roman"/>
          <w:color w:val="0070C0"/>
          <w:spacing w:val="0"/>
          <w:sz w:val="16"/>
          <w:szCs w:val="16"/>
        </w:rPr>
      </w:pPr>
    </w:p>
    <w:p w14:paraId="41E5F3DD" w14:textId="3A5A37F8" w:rsidR="00367A37" w:rsidRPr="00405303" w:rsidRDefault="00367A37" w:rsidP="00C15251">
      <w:pPr>
        <w:jc w:val="both"/>
        <w:rPr>
          <w:bCs/>
          <w:i/>
          <w:color w:val="002060"/>
          <w:sz w:val="16"/>
          <w:szCs w:val="16"/>
        </w:rPr>
      </w:pPr>
      <w:r w:rsidRPr="00405303">
        <w:rPr>
          <w:bCs/>
          <w:i/>
          <w:color w:val="002060"/>
          <w:sz w:val="16"/>
          <w:szCs w:val="16"/>
        </w:rPr>
        <w:t>Жизнь и внутренняя политика:</w:t>
      </w:r>
    </w:p>
    <w:p w14:paraId="2DC947AB" w14:textId="77777777" w:rsidR="00367A37" w:rsidRPr="00405303" w:rsidRDefault="00367A37" w:rsidP="00C15251">
      <w:pPr>
        <w:jc w:val="both"/>
        <w:rPr>
          <w:bCs/>
          <w:i/>
          <w:color w:val="002060"/>
          <w:sz w:val="16"/>
          <w:szCs w:val="16"/>
        </w:rPr>
      </w:pPr>
    </w:p>
    <w:p w14:paraId="1DCF318E" w14:textId="0C787CDA" w:rsidR="00367A37" w:rsidRPr="00405303" w:rsidRDefault="00367A37" w:rsidP="00C15251">
      <w:pPr>
        <w:jc w:val="both"/>
        <w:rPr>
          <w:bCs/>
          <w:color w:val="002060"/>
          <w:sz w:val="16"/>
          <w:szCs w:val="16"/>
        </w:rPr>
      </w:pPr>
      <w:r w:rsidRPr="00405303">
        <w:rPr>
          <w:bCs/>
          <w:color w:val="002060"/>
          <w:sz w:val="16"/>
          <w:szCs w:val="16"/>
        </w:rPr>
        <w:t xml:space="preserve">23 июля </w:t>
      </w:r>
      <w:r w:rsidR="00C715A3" w:rsidRPr="00405303">
        <w:rPr>
          <w:bCs/>
          <w:color w:val="002060"/>
          <w:sz w:val="16"/>
          <w:szCs w:val="16"/>
        </w:rPr>
        <w:t xml:space="preserve">(5 августа) </w:t>
      </w:r>
      <w:r w:rsidRPr="00405303">
        <w:rPr>
          <w:bCs/>
          <w:color w:val="002060"/>
          <w:sz w:val="16"/>
          <w:szCs w:val="16"/>
        </w:rPr>
        <w:t>в 1915 году в России образуется Земгор - объединенный комитет Всероссийского Земского и Городского союзов. Земгор призван освободить правительство от некоторых функций. Комитет берет на себя производство ряда предметов, которые до этого выпускали крупные военные заводы, мобилизацию в военных целях кустарной промышленности и распределение заказов, организацию заготовки сырья и материалов, размещение беженцев, военно-санитарное дело (14961).</w:t>
      </w:r>
    </w:p>
    <w:p w14:paraId="30ACE489" w14:textId="77777777" w:rsidR="00367A37" w:rsidRPr="00405303" w:rsidRDefault="00367A37" w:rsidP="00C15251">
      <w:pPr>
        <w:jc w:val="both"/>
        <w:rPr>
          <w:bCs/>
          <w:color w:val="002060"/>
          <w:sz w:val="16"/>
          <w:szCs w:val="16"/>
        </w:rPr>
      </w:pPr>
    </w:p>
    <w:p w14:paraId="73C82E56"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за рубежом:</w:t>
      </w:r>
    </w:p>
    <w:p w14:paraId="61A69FE3" w14:textId="77777777" w:rsidR="004B4E35" w:rsidRPr="00405303" w:rsidRDefault="004B4E35" w:rsidP="00C15251">
      <w:pPr>
        <w:shd w:val="clear" w:color="auto" w:fill="FFFFFF"/>
        <w:jc w:val="both"/>
        <w:rPr>
          <w:bCs/>
          <w:i/>
          <w:color w:val="002060"/>
          <w:sz w:val="16"/>
          <w:szCs w:val="16"/>
        </w:rPr>
      </w:pPr>
    </w:p>
    <w:p w14:paraId="5050B10A" w14:textId="50697BE6" w:rsidR="004B4E35" w:rsidRPr="00405303" w:rsidRDefault="009E6F82" w:rsidP="00C15251">
      <w:pPr>
        <w:jc w:val="both"/>
        <w:rPr>
          <w:bCs/>
          <w:color w:val="002060"/>
          <w:sz w:val="16"/>
          <w:szCs w:val="16"/>
        </w:rPr>
      </w:pPr>
      <w:r w:rsidRPr="00405303">
        <w:rPr>
          <w:bCs/>
          <w:color w:val="002060"/>
          <w:sz w:val="16"/>
          <w:szCs w:val="16"/>
        </w:rPr>
        <w:t>23 июля (5 августа) 1915 года над Пулой</w:t>
      </w:r>
      <w:r w:rsidR="00C715A3" w:rsidRPr="00405303">
        <w:rPr>
          <w:bCs/>
          <w:color w:val="002060"/>
          <w:sz w:val="16"/>
          <w:szCs w:val="16"/>
        </w:rPr>
        <w:t xml:space="preserve"> был сбит миальянский дирижабль V.1</w:t>
      </w:r>
      <w:r w:rsidRPr="00405303">
        <w:rPr>
          <w:bCs/>
          <w:color w:val="002060"/>
          <w:sz w:val="16"/>
          <w:szCs w:val="16"/>
        </w:rPr>
        <w:t xml:space="preserve">, Р.6 уничтожен австрийским самолетом во время налета на аэродром Кампальто 8 августа 1918 года. Все остальные потерянные дирижабли относились к серии «М». О судьбе М.2 мы уже сообщали, М.3 был сбит над Валле дель Виппакко 23 мая 1917 года, М.4 над Гориция 4 мая 1916 года. Дирижабль М.5 столкнулся с самолетом над аэродромом в Турине 3 июля 1916 года. В октябре 1917 года ангар, в котором тогда находились М.8 и М.13, подвергся бомбардировке австрийской авиации. В итоге оба «итальянца» погибли. М.10 был сбит над Просекко 22 сентября 1917 года, двумя месяцами ранее та же участь постигла и М.12 над Хермада. М.17 сгорел во время полета по невыясненной причине 3 февраля 1918 года. После войны старый дирижабль М.1 переименовали в «Анджело Бернарди» и долгое время использовали для пассажирских перевозок. Он совершил 54 вылета и перевез 800 пассажиров. </w:t>
      </w:r>
    </w:p>
    <w:p w14:paraId="42A4A3D9" w14:textId="77777777" w:rsidR="004B4E35" w:rsidRPr="00405303" w:rsidRDefault="009E6F82" w:rsidP="00C15251">
      <w:pPr>
        <w:jc w:val="both"/>
        <w:rPr>
          <w:bCs/>
          <w:color w:val="002060"/>
          <w:sz w:val="16"/>
          <w:szCs w:val="16"/>
        </w:rPr>
      </w:pPr>
      <w:r w:rsidRPr="00405303">
        <w:rPr>
          <w:bCs/>
          <w:color w:val="002060"/>
          <w:sz w:val="16"/>
          <w:szCs w:val="16"/>
        </w:rPr>
        <w:t xml:space="preserve">Морское воздухоплавание в начале войны располагало двумя дирижаблями: «Читта ди Феррара» и «Читта ди Ези». 25 мая 1915 года «Читта ди Ези» производил разведку действий австрийского флота, который с началом вступления Италии в войну произвел демонстративную вылазку в район Анконы. 26 мая оба дирижабля приняли участие в бомбардировке позиций австрийских войск в Шебенико, а 30 мая атаковали Пулу. В ответ австрийская авиация 1 и 5 июня бомбила эллинг в Кампальто. </w:t>
      </w:r>
    </w:p>
    <w:p w14:paraId="412EA628" w14:textId="77777777" w:rsidR="004B4E35" w:rsidRPr="00405303" w:rsidRDefault="009E6F82" w:rsidP="00C15251">
      <w:pPr>
        <w:jc w:val="both"/>
        <w:rPr>
          <w:bCs/>
          <w:color w:val="002060"/>
          <w:sz w:val="16"/>
          <w:szCs w:val="16"/>
        </w:rPr>
      </w:pPr>
      <w:r w:rsidRPr="00405303">
        <w:rPr>
          <w:bCs/>
          <w:color w:val="002060"/>
          <w:sz w:val="16"/>
          <w:szCs w:val="16"/>
        </w:rPr>
        <w:t xml:space="preserve">7 июня 1915 года в 23.00 «Читта ди Феррара» вылетел из Ези на бомбардировку Фиуме. На рассвете, находясь над городом на высоте 1000 м, он сбросил часть своих бомб на завод «Уайтхед», который производил торпеды, и уничтожил несколько производственных зданий. Затем дирижабль направился в сторону верфи «Данюбиус», но в этот момент разрушилась носовая часть его корпуса. Корабль совершил вынужденную посадку вблизи Люссэна. Из Пулы поднялся гидросамолет и атаковал пулеметным огнем беспомощный дирижабль, однако водород не загорелся. После нескольких бесплодных атак гидросамолет стал [350] обстреливать корабль с помощью сигнальных ракет, и одна из них сделала свое черное дело — дирижабль вспыхнул и взорвался. Обломки «Читта ди Феррара» подобрали 2 эсминца, вышедшие из Пулы. </w:t>
      </w:r>
    </w:p>
    <w:p w14:paraId="35A91CB5" w14:textId="77777777" w:rsidR="004B4E35" w:rsidRPr="00405303" w:rsidRDefault="009E6F82" w:rsidP="00C15251">
      <w:pPr>
        <w:jc w:val="both"/>
        <w:rPr>
          <w:bCs/>
          <w:color w:val="002060"/>
          <w:sz w:val="16"/>
          <w:szCs w:val="16"/>
        </w:rPr>
      </w:pPr>
      <w:r w:rsidRPr="00405303">
        <w:rPr>
          <w:bCs/>
          <w:color w:val="002060"/>
          <w:sz w:val="16"/>
          <w:szCs w:val="16"/>
        </w:rPr>
        <w:t>Дирижабль «Читта ди Ези» стал работать только по ночам, но это продолжалось недолго. Спустя месяц он был сбит артиллерийским огнем береговых батарей Пулы (11324).</w:t>
      </w:r>
    </w:p>
    <w:p w14:paraId="33BF0CDE" w14:textId="77777777" w:rsidR="004B4E35" w:rsidRPr="00405303" w:rsidRDefault="004B4E35" w:rsidP="00C15251">
      <w:pPr>
        <w:shd w:val="clear" w:color="auto" w:fill="FFFFFF"/>
        <w:jc w:val="both"/>
        <w:rPr>
          <w:bCs/>
          <w:i/>
          <w:color w:val="002060"/>
          <w:sz w:val="16"/>
          <w:szCs w:val="16"/>
        </w:rPr>
      </w:pPr>
    </w:p>
    <w:p w14:paraId="435D7491"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734DC94C" w14:textId="77777777" w:rsidR="004B4E35" w:rsidRPr="00405303" w:rsidRDefault="004B4E35" w:rsidP="00C15251">
      <w:pPr>
        <w:shd w:val="clear" w:color="auto" w:fill="FFFFFF"/>
        <w:jc w:val="both"/>
        <w:rPr>
          <w:bCs/>
          <w:i/>
          <w:color w:val="002060"/>
          <w:sz w:val="16"/>
          <w:szCs w:val="16"/>
        </w:rPr>
      </w:pPr>
    </w:p>
    <w:p w14:paraId="0A3054A9" w14:textId="3F8D965D" w:rsidR="004B4E35" w:rsidRPr="00405303" w:rsidRDefault="009E6F82" w:rsidP="00C15251">
      <w:pPr>
        <w:jc w:val="both"/>
        <w:rPr>
          <w:bCs/>
          <w:color w:val="002060"/>
          <w:sz w:val="16"/>
          <w:szCs w:val="16"/>
        </w:rPr>
      </w:pPr>
      <w:r w:rsidRPr="00405303">
        <w:rPr>
          <w:bCs/>
          <w:color w:val="002060"/>
          <w:sz w:val="16"/>
          <w:szCs w:val="16"/>
        </w:rPr>
        <w:t>24 июля (</w:t>
      </w:r>
      <w:r w:rsidR="00C715A3" w:rsidRPr="00405303">
        <w:rPr>
          <w:bCs/>
          <w:color w:val="002060"/>
          <w:sz w:val="16"/>
          <w:szCs w:val="16"/>
        </w:rPr>
        <w:t>6</w:t>
      </w:r>
      <w:r w:rsidRPr="00405303">
        <w:rPr>
          <w:bCs/>
          <w:color w:val="002060"/>
          <w:sz w:val="16"/>
          <w:szCs w:val="16"/>
        </w:rPr>
        <w:t xml:space="preserve"> августа) 1915 года</w:t>
      </w:r>
      <w:r w:rsidR="00C715A3" w:rsidRPr="00405303">
        <w:rPr>
          <w:bCs/>
          <w:color w:val="002060"/>
          <w:sz w:val="16"/>
          <w:szCs w:val="16"/>
        </w:rPr>
        <w:t xml:space="preserve"> состоялось заседание авиационного комитета Черноморского флота</w:t>
      </w:r>
      <w:r w:rsidRPr="00405303">
        <w:rPr>
          <w:bCs/>
          <w:color w:val="002060"/>
          <w:sz w:val="16"/>
          <w:szCs w:val="16"/>
        </w:rPr>
        <w:t>, на котором руководству докладывались замечания, выявленные при сборке импортных аэропланов. При распаковывании ящиков с гидросамолетом Кертисса выяснилось, что лодка уже была в употреблении и перед посылкой ремонтировалась. Боковые поплавки поставлены старого типа, и мотор не новый. При вскрытии ящиков с машиной "Аэро-марин" русские летчики обнаружили, что плоскости у аппаратов старые и даже с сухопутного аппарата. Хвост укреплен плохо, а мотор "Кирхгам" просто не годится для этой машины: не подходит радиатор, нет места для крепления добавочного бака с маслом, и даже болты для крепления присланы неподходящих размеров. Командующий Черноморским флотом адмирал Эбергард на протоколе этого совещания наложил следующую резолюцию: "Срочно довести до сведения Морского Генерального Штаба о столь преступном снабжении... аппараты не принимать и никому на них не летать" (11239).</w:t>
      </w:r>
    </w:p>
    <w:p w14:paraId="7B2C882B" w14:textId="77777777" w:rsidR="004B4E35" w:rsidRPr="00405303" w:rsidRDefault="004B4E35" w:rsidP="00C15251">
      <w:pPr>
        <w:jc w:val="both"/>
        <w:rPr>
          <w:bCs/>
          <w:color w:val="002060"/>
          <w:sz w:val="16"/>
          <w:szCs w:val="16"/>
        </w:rPr>
      </w:pPr>
    </w:p>
    <w:p w14:paraId="7670E356"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63CE550C" w14:textId="77777777" w:rsidR="004B4E35" w:rsidRPr="00405303" w:rsidRDefault="004B4E35" w:rsidP="00C15251">
      <w:pPr>
        <w:jc w:val="both"/>
        <w:rPr>
          <w:bCs/>
          <w:i/>
          <w:color w:val="002060"/>
          <w:sz w:val="16"/>
          <w:szCs w:val="16"/>
        </w:rPr>
      </w:pPr>
    </w:p>
    <w:p w14:paraId="7F858124" w14:textId="5824FDF5"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24 июля (</w:t>
      </w:r>
      <w:r w:rsidR="00EF501B" w:rsidRPr="00405303">
        <w:rPr>
          <w:bCs/>
          <w:i w:val="0"/>
          <w:color w:val="002060"/>
          <w:spacing w:val="0"/>
          <w:kern w:val="0"/>
          <w:position w:val="0"/>
          <w:sz w:val="16"/>
          <w:szCs w:val="16"/>
        </w:rPr>
        <w:t>6</w:t>
      </w:r>
      <w:r w:rsidRPr="00405303">
        <w:rPr>
          <w:bCs/>
          <w:i w:val="0"/>
          <w:color w:val="002060"/>
          <w:spacing w:val="0"/>
          <w:kern w:val="0"/>
          <w:position w:val="0"/>
          <w:sz w:val="16"/>
          <w:szCs w:val="16"/>
        </w:rPr>
        <w:t xml:space="preserve"> августа) 1915 имущество фабрики </w:t>
      </w:r>
      <w:r w:rsidR="00C715A3" w:rsidRPr="00405303">
        <w:rPr>
          <w:bCs/>
          <w:i w:val="0"/>
          <w:color w:val="002060"/>
          <w:spacing w:val="0"/>
          <w:kern w:val="0"/>
          <w:position w:val="0"/>
          <w:sz w:val="16"/>
          <w:szCs w:val="16"/>
        </w:rPr>
        <w:t xml:space="preserve">«Лейтнер» в соответствии с приказом ГВТУ от 10 июля 1915 года </w:t>
      </w:r>
      <w:r w:rsidRPr="00405303">
        <w:rPr>
          <w:bCs/>
          <w:i w:val="0"/>
          <w:color w:val="002060"/>
          <w:spacing w:val="0"/>
          <w:kern w:val="0"/>
          <w:position w:val="0"/>
          <w:sz w:val="16"/>
          <w:szCs w:val="16"/>
        </w:rPr>
        <w:t xml:space="preserve">было отправлено со станции Ревель в Харьков, где разместилось в помещении бывшей фабрики Гельферикс-Саде на Корсиковской улице. После этого Александр Александрович Лейтнер вернулся в Ригу. Исполнять обязанности директора в Харькове остался бывший заведующий производством Александр Каспарович Фельдман -- человек с редкостным талантом организатора. </w:t>
      </w:r>
    </w:p>
    <w:p w14:paraId="3FB8426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9 февраля 1916 года в Харьков на имя Лейтнера из Москвы был передан патент, техническая документация и образец для производства складного военного велосипеда модели "Дукс Боевой" конструкции М.М. Щипанова. 16 марта был заключен контракт на изготовление 3000 "Дуксов Боевых" для ГВТУ. В Харькове фабрика работала до конца ноября 1917 года. Всего же велосипедов "Дукс Боевой" было изготовлено 3600 штук. </w:t>
      </w:r>
    </w:p>
    <w:p w14:paraId="1AD955A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lastRenderedPageBreak/>
        <w:t xml:space="preserve">За 31 год своего существования "Фабрика велосипедов и автомобилей "Россия" А. Лейтнера и К'" прошла путь от мелкой кустарной мастерской до крупнейшего в отрасли предприятия. За это время на ней было выпущено более 100000 велосипедов 60 моделей, 5 моделей мотоциклов и трициклов, несколько вариантов автомобилей. </w:t>
      </w:r>
    </w:p>
    <w:p w14:paraId="1EB7730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На сегодня известно 14 сохранившихся велосипедов (из них 5 в коллекции автора этих строк ), 2 мотоцикла фабрики Лейтнера, автомобили, к сожалению, до нас не дошли (11274).</w:t>
      </w:r>
    </w:p>
    <w:p w14:paraId="7EC5D14D" w14:textId="53E34A1B" w:rsidR="004B4E35" w:rsidRPr="00405303" w:rsidRDefault="004B4E35" w:rsidP="00C15251">
      <w:pPr>
        <w:pStyle w:val="a3"/>
        <w:jc w:val="both"/>
        <w:rPr>
          <w:bCs/>
          <w:i w:val="0"/>
          <w:color w:val="002060"/>
          <w:spacing w:val="0"/>
          <w:kern w:val="0"/>
          <w:position w:val="0"/>
          <w:sz w:val="16"/>
          <w:szCs w:val="16"/>
        </w:rPr>
      </w:pPr>
    </w:p>
    <w:p w14:paraId="722C635C" w14:textId="5C1733E7" w:rsidR="00BB544A" w:rsidRPr="00405303" w:rsidRDefault="00BB544A" w:rsidP="00C15251">
      <w:pPr>
        <w:pStyle w:val="a3"/>
        <w:jc w:val="both"/>
        <w:rPr>
          <w:bCs/>
          <w:iCs/>
          <w:color w:val="002060"/>
          <w:spacing w:val="0"/>
          <w:kern w:val="0"/>
          <w:position w:val="0"/>
          <w:sz w:val="16"/>
          <w:szCs w:val="16"/>
        </w:rPr>
      </w:pPr>
      <w:r w:rsidRPr="00405303">
        <w:rPr>
          <w:bCs/>
          <w:iCs/>
          <w:color w:val="002060"/>
          <w:spacing w:val="0"/>
          <w:kern w:val="0"/>
          <w:position w:val="0"/>
          <w:sz w:val="16"/>
          <w:szCs w:val="16"/>
        </w:rPr>
        <w:t>Авиация:</w:t>
      </w:r>
    </w:p>
    <w:p w14:paraId="30D817A4" w14:textId="77777777" w:rsidR="00BB544A" w:rsidRPr="00405303" w:rsidRDefault="00BB544A" w:rsidP="00C15251">
      <w:pPr>
        <w:pStyle w:val="a3"/>
        <w:jc w:val="both"/>
        <w:rPr>
          <w:bCs/>
          <w:iCs/>
          <w:color w:val="002060"/>
          <w:spacing w:val="0"/>
          <w:kern w:val="0"/>
          <w:position w:val="0"/>
          <w:sz w:val="16"/>
          <w:szCs w:val="16"/>
        </w:rPr>
      </w:pPr>
    </w:p>
    <w:p w14:paraId="6D0FB190" w14:textId="1F2E476D" w:rsidR="00BB544A" w:rsidRPr="00405303" w:rsidRDefault="00BB544A" w:rsidP="00C15251">
      <w:pPr>
        <w:jc w:val="both"/>
        <w:rPr>
          <w:bCs/>
          <w:color w:val="002060"/>
          <w:sz w:val="16"/>
          <w:szCs w:val="16"/>
        </w:rPr>
      </w:pPr>
      <w:bookmarkStart w:id="198" w:name="bookmark206"/>
      <w:r w:rsidRPr="00405303">
        <w:rPr>
          <w:bCs/>
          <w:color w:val="002060"/>
          <w:sz w:val="16"/>
          <w:szCs w:val="16"/>
        </w:rPr>
        <w:t>24 июля (</w:t>
      </w:r>
      <w:r w:rsidR="00EF501B" w:rsidRPr="00405303">
        <w:rPr>
          <w:bCs/>
          <w:color w:val="002060"/>
          <w:sz w:val="16"/>
          <w:szCs w:val="16"/>
        </w:rPr>
        <w:t>6</w:t>
      </w:r>
      <w:r w:rsidRPr="00405303">
        <w:rPr>
          <w:bCs/>
          <w:color w:val="002060"/>
          <w:sz w:val="16"/>
          <w:szCs w:val="16"/>
        </w:rPr>
        <w:t xml:space="preserve"> августа) 1915 г. два русских самолета атаковали возле д. Нараюв (район Золотая Липа) полевой лагерь неприятельских войск, сбросив на него 32 бомбы. По докладам наших летчиков, 26 из них легли точно в цель, вызвав панику среди противника (23405).</w:t>
      </w:r>
      <w:bookmarkEnd w:id="198"/>
    </w:p>
    <w:p w14:paraId="0E1BC9FE" w14:textId="77777777" w:rsidR="00BB544A" w:rsidRPr="00405303" w:rsidRDefault="00BB544A" w:rsidP="00C15251">
      <w:pPr>
        <w:jc w:val="both"/>
        <w:rPr>
          <w:bCs/>
          <w:color w:val="002060"/>
          <w:sz w:val="16"/>
          <w:szCs w:val="16"/>
          <w:lang w:bidi="ru-RU"/>
        </w:rPr>
      </w:pPr>
    </w:p>
    <w:p w14:paraId="4D76D9EB" w14:textId="796C5026" w:rsidR="00EF501B" w:rsidRPr="00405303" w:rsidRDefault="00EF501B" w:rsidP="00C15251">
      <w:pPr>
        <w:jc w:val="both"/>
        <w:rPr>
          <w:bCs/>
          <w:color w:val="002060"/>
          <w:sz w:val="16"/>
          <w:szCs w:val="16"/>
        </w:rPr>
      </w:pPr>
      <w:r w:rsidRPr="00405303">
        <w:rPr>
          <w:bCs/>
          <w:color w:val="002060"/>
          <w:sz w:val="16"/>
          <w:szCs w:val="16"/>
          <w:lang w:bidi="en-US"/>
        </w:rPr>
        <w:t xml:space="preserve">С 24 июля (6 августа) до начала сентября 1915 г. дирижабль немецкой армии </w:t>
      </w:r>
      <w:r w:rsidRPr="00405303">
        <w:rPr>
          <w:bCs/>
          <w:color w:val="002060"/>
          <w:sz w:val="16"/>
          <w:szCs w:val="16"/>
          <w:lang w:val="en-US" w:bidi="en-US"/>
        </w:rPr>
        <w:t>LZ</w:t>
      </w:r>
      <w:r w:rsidRPr="00405303">
        <w:rPr>
          <w:bCs/>
          <w:color w:val="002060"/>
          <w:sz w:val="16"/>
          <w:szCs w:val="16"/>
          <w:lang w:bidi="en-US"/>
        </w:rPr>
        <w:t>.79 (</w:t>
      </w:r>
      <w:r w:rsidRPr="00405303">
        <w:rPr>
          <w:bCs/>
          <w:color w:val="002060"/>
          <w:sz w:val="16"/>
          <w:szCs w:val="16"/>
          <w:lang w:val="en-US" w:bidi="en-US"/>
        </w:rPr>
        <w:t>LZ</w:t>
      </w:r>
      <w:r w:rsidRPr="00405303">
        <w:rPr>
          <w:bCs/>
          <w:color w:val="002060"/>
          <w:sz w:val="16"/>
          <w:szCs w:val="16"/>
          <w:lang w:bidi="en-US"/>
        </w:rPr>
        <w:t>.49). базировалась в Познани, наносила бомбовые удары по Брест-Литовску, Ковелю и Кобрину, прежде чем была переброшена на Запад (23525).</w:t>
      </w:r>
    </w:p>
    <w:p w14:paraId="6392E47C" w14:textId="77777777" w:rsidR="00EF501B" w:rsidRPr="00405303" w:rsidRDefault="00EF501B" w:rsidP="00C15251">
      <w:pPr>
        <w:jc w:val="both"/>
        <w:rPr>
          <w:bCs/>
          <w:color w:val="002060"/>
          <w:sz w:val="16"/>
          <w:szCs w:val="16"/>
          <w:lang w:bidi="en-US"/>
        </w:rPr>
      </w:pPr>
    </w:p>
    <w:p w14:paraId="6038125C" w14:textId="0AA5DBA9" w:rsidR="00EF501B" w:rsidRPr="00405303" w:rsidRDefault="00EF501B" w:rsidP="00C15251">
      <w:pPr>
        <w:pStyle w:val="a3"/>
        <w:jc w:val="both"/>
        <w:rPr>
          <w:bCs/>
          <w:iCs/>
          <w:color w:val="002060"/>
          <w:spacing w:val="0"/>
          <w:kern w:val="0"/>
          <w:position w:val="0"/>
          <w:sz w:val="16"/>
          <w:szCs w:val="16"/>
        </w:rPr>
      </w:pPr>
      <w:r w:rsidRPr="00405303">
        <w:rPr>
          <w:bCs/>
          <w:iCs/>
          <w:color w:val="002060"/>
          <w:spacing w:val="0"/>
          <w:kern w:val="0"/>
          <w:position w:val="0"/>
          <w:sz w:val="16"/>
          <w:szCs w:val="16"/>
        </w:rPr>
        <w:t>Морская авиация:</w:t>
      </w:r>
    </w:p>
    <w:p w14:paraId="6225367A" w14:textId="77777777" w:rsidR="00EF501B" w:rsidRPr="00405303" w:rsidRDefault="00EF501B" w:rsidP="00C15251">
      <w:pPr>
        <w:pStyle w:val="a3"/>
        <w:jc w:val="both"/>
        <w:rPr>
          <w:bCs/>
          <w:iCs/>
          <w:color w:val="002060"/>
          <w:spacing w:val="0"/>
          <w:kern w:val="0"/>
          <w:position w:val="0"/>
          <w:sz w:val="16"/>
          <w:szCs w:val="16"/>
        </w:rPr>
      </w:pPr>
    </w:p>
    <w:p w14:paraId="15545A44" w14:textId="12A67465" w:rsidR="00EF501B" w:rsidRPr="00405303" w:rsidRDefault="00EF501B" w:rsidP="00C15251">
      <w:pPr>
        <w:jc w:val="both"/>
        <w:rPr>
          <w:bCs/>
          <w:color w:val="002060"/>
          <w:sz w:val="16"/>
          <w:szCs w:val="16"/>
          <w:lang w:bidi="en-US"/>
        </w:rPr>
      </w:pPr>
      <w:r w:rsidRPr="00405303">
        <w:rPr>
          <w:bCs/>
          <w:color w:val="002060"/>
          <w:sz w:val="16"/>
          <w:szCs w:val="16"/>
          <w:lang w:bidi="en-US"/>
        </w:rPr>
        <w:t>24 июля (6 августа) 1915 года на Гутуевском острове под Петроградом начала действовать созданная в июне Офицерская школа морской авиации. Училище возглавил лейтенант Краевский (23525).</w:t>
      </w:r>
    </w:p>
    <w:p w14:paraId="6017A7C9" w14:textId="77777777" w:rsidR="00EF501B" w:rsidRPr="00405303" w:rsidRDefault="00EF501B" w:rsidP="00C15251">
      <w:pPr>
        <w:jc w:val="both"/>
        <w:rPr>
          <w:bCs/>
          <w:color w:val="002060"/>
          <w:sz w:val="16"/>
          <w:szCs w:val="16"/>
        </w:rPr>
      </w:pPr>
    </w:p>
    <w:p w14:paraId="519ED595" w14:textId="2BECA73A" w:rsidR="00F2328F" w:rsidRPr="00405303" w:rsidRDefault="00F2328F" w:rsidP="00C15251">
      <w:pPr>
        <w:pStyle w:val="a3"/>
        <w:jc w:val="both"/>
        <w:rPr>
          <w:bCs/>
          <w:iCs/>
          <w:color w:val="002060"/>
          <w:spacing w:val="0"/>
          <w:kern w:val="0"/>
          <w:position w:val="0"/>
          <w:sz w:val="16"/>
          <w:szCs w:val="16"/>
        </w:rPr>
      </w:pPr>
      <w:r w:rsidRPr="00405303">
        <w:rPr>
          <w:bCs/>
          <w:iCs/>
          <w:color w:val="002060"/>
          <w:spacing w:val="0"/>
          <w:kern w:val="0"/>
          <w:position w:val="0"/>
          <w:sz w:val="16"/>
          <w:szCs w:val="16"/>
        </w:rPr>
        <w:t>Авиацияч и воздухоплавание Германии:</w:t>
      </w:r>
    </w:p>
    <w:p w14:paraId="76E7CBDF" w14:textId="77777777" w:rsidR="00F2328F" w:rsidRPr="00405303" w:rsidRDefault="00F2328F" w:rsidP="00C15251">
      <w:pPr>
        <w:pStyle w:val="a3"/>
        <w:jc w:val="both"/>
        <w:rPr>
          <w:bCs/>
          <w:iCs/>
          <w:color w:val="002060"/>
          <w:spacing w:val="0"/>
          <w:kern w:val="0"/>
          <w:position w:val="0"/>
          <w:sz w:val="16"/>
          <w:szCs w:val="16"/>
        </w:rPr>
      </w:pPr>
    </w:p>
    <w:p w14:paraId="494FC532" w14:textId="2CD220A2" w:rsidR="00F2328F" w:rsidRPr="00405303" w:rsidRDefault="00F2328F" w:rsidP="00C15251">
      <w:pPr>
        <w:jc w:val="both"/>
        <w:rPr>
          <w:bCs/>
          <w:color w:val="002060"/>
          <w:sz w:val="16"/>
          <w:szCs w:val="16"/>
        </w:rPr>
      </w:pPr>
      <w:r w:rsidRPr="00405303">
        <w:rPr>
          <w:bCs/>
          <w:color w:val="002060"/>
          <w:sz w:val="16"/>
          <w:szCs w:val="16"/>
        </w:rPr>
        <w:t>24-27 июля (</w:t>
      </w:r>
      <w:r w:rsidR="00BB544A" w:rsidRPr="00405303">
        <w:rPr>
          <w:bCs/>
          <w:color w:val="002060"/>
          <w:sz w:val="16"/>
          <w:szCs w:val="16"/>
        </w:rPr>
        <w:t>7</w:t>
      </w:r>
      <w:r w:rsidRPr="00405303">
        <w:rPr>
          <w:bCs/>
          <w:color w:val="002060"/>
          <w:sz w:val="16"/>
          <w:szCs w:val="16"/>
        </w:rPr>
        <w:t>-</w:t>
      </w:r>
      <w:r w:rsidR="00BB544A" w:rsidRPr="00405303">
        <w:rPr>
          <w:bCs/>
          <w:color w:val="002060"/>
          <w:sz w:val="16"/>
          <w:szCs w:val="16"/>
        </w:rPr>
        <w:t>10</w:t>
      </w:r>
      <w:r w:rsidRPr="00405303">
        <w:rPr>
          <w:bCs/>
          <w:color w:val="002060"/>
          <w:sz w:val="16"/>
          <w:szCs w:val="16"/>
        </w:rPr>
        <w:t xml:space="preserve"> августа) 1915 из-за непогоды и проблем связи немецкий флотский дирижабль оказался не в состоянии обеспечить эффективную поддержку рекогносцировки минирования немецкого вспомогательного крейсер SMS Метеор, который перехватывается британскими легкими крейсерами и эсминцами (20338).</w:t>
      </w:r>
    </w:p>
    <w:p w14:paraId="144CDF1E" w14:textId="77777777" w:rsidR="00F2328F" w:rsidRPr="00405303" w:rsidRDefault="00F2328F" w:rsidP="00C15251">
      <w:pPr>
        <w:jc w:val="both"/>
        <w:rPr>
          <w:bCs/>
          <w:color w:val="002060"/>
          <w:sz w:val="16"/>
          <w:szCs w:val="16"/>
        </w:rPr>
      </w:pPr>
    </w:p>
    <w:p w14:paraId="05FB626C" w14:textId="77777777" w:rsidR="003F4AD1" w:rsidRPr="00405303" w:rsidRDefault="003F4AD1" w:rsidP="00C15251">
      <w:pPr>
        <w:jc w:val="both"/>
        <w:rPr>
          <w:bCs/>
          <w:i/>
          <w:color w:val="002060"/>
          <w:sz w:val="16"/>
          <w:szCs w:val="16"/>
        </w:rPr>
      </w:pPr>
      <w:r w:rsidRPr="00405303">
        <w:rPr>
          <w:bCs/>
          <w:i/>
          <w:color w:val="002060"/>
          <w:sz w:val="16"/>
          <w:szCs w:val="16"/>
        </w:rPr>
        <w:t>За рубежом:</w:t>
      </w:r>
    </w:p>
    <w:p w14:paraId="17FB8EFF" w14:textId="77777777" w:rsidR="003F4AD1" w:rsidRPr="00405303" w:rsidRDefault="003F4AD1" w:rsidP="00C15251">
      <w:pPr>
        <w:jc w:val="both"/>
        <w:rPr>
          <w:bCs/>
          <w:color w:val="002060"/>
          <w:sz w:val="16"/>
          <w:szCs w:val="16"/>
        </w:rPr>
      </w:pPr>
    </w:p>
    <w:p w14:paraId="28A9843C" w14:textId="77777777" w:rsidR="003F4AD1" w:rsidRPr="00405303" w:rsidRDefault="003F4AD1" w:rsidP="00C15251">
      <w:pPr>
        <w:jc w:val="both"/>
        <w:rPr>
          <w:bCs/>
          <w:color w:val="002060"/>
          <w:sz w:val="16"/>
          <w:szCs w:val="16"/>
        </w:rPr>
      </w:pPr>
      <w:r w:rsidRPr="00405303">
        <w:rPr>
          <w:bCs/>
          <w:color w:val="002060"/>
          <w:sz w:val="16"/>
          <w:szCs w:val="16"/>
        </w:rPr>
        <w:t>24 июля (6 августа) в 1915 году в Турции союзные войска высаживаются в Сувла-Бее на Галлипольском полуострове, пытаясь открыть третий фронт. Но им удается удерживать лишь небольшой участок суши (14975).</w:t>
      </w:r>
    </w:p>
    <w:p w14:paraId="0A42C319" w14:textId="77777777" w:rsidR="003F4AD1" w:rsidRPr="00405303" w:rsidRDefault="003F4AD1" w:rsidP="00C15251">
      <w:pPr>
        <w:jc w:val="both"/>
        <w:rPr>
          <w:bCs/>
          <w:color w:val="002060"/>
          <w:sz w:val="16"/>
          <w:szCs w:val="16"/>
        </w:rPr>
      </w:pPr>
    </w:p>
    <w:p w14:paraId="3E434CA1"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36DF9F52" w14:textId="77777777" w:rsidR="004B4E35" w:rsidRPr="00405303" w:rsidRDefault="004B4E35" w:rsidP="00C15251">
      <w:pPr>
        <w:jc w:val="both"/>
        <w:rPr>
          <w:bCs/>
          <w:i/>
          <w:color w:val="002060"/>
          <w:sz w:val="16"/>
          <w:szCs w:val="16"/>
        </w:rPr>
      </w:pPr>
    </w:p>
    <w:p w14:paraId="7EA814D2" w14:textId="75142376" w:rsidR="004B4E35" w:rsidRPr="00405303" w:rsidRDefault="009E6F82" w:rsidP="00C15251">
      <w:pPr>
        <w:jc w:val="both"/>
        <w:rPr>
          <w:bCs/>
          <w:color w:val="002060"/>
          <w:sz w:val="16"/>
          <w:szCs w:val="16"/>
        </w:rPr>
      </w:pPr>
      <w:r w:rsidRPr="00405303">
        <w:rPr>
          <w:bCs/>
          <w:color w:val="002060"/>
          <w:sz w:val="16"/>
          <w:szCs w:val="16"/>
        </w:rPr>
        <w:t xml:space="preserve">25 июня </w:t>
      </w:r>
      <w:r w:rsidR="00C715A3" w:rsidRPr="00405303">
        <w:rPr>
          <w:bCs/>
          <w:color w:val="002060"/>
          <w:sz w:val="16"/>
          <w:szCs w:val="16"/>
        </w:rPr>
        <w:t xml:space="preserve">(7 августа) </w:t>
      </w:r>
      <w:r w:rsidRPr="00405303">
        <w:rPr>
          <w:bCs/>
          <w:color w:val="002060"/>
          <w:sz w:val="16"/>
          <w:szCs w:val="16"/>
        </w:rPr>
        <w:t xml:space="preserve">1915 г. </w:t>
      </w:r>
      <w:r w:rsidR="000A339F" w:rsidRPr="00405303">
        <w:rPr>
          <w:bCs/>
          <w:color w:val="002060"/>
          <w:sz w:val="16"/>
          <w:szCs w:val="16"/>
        </w:rPr>
        <w:t xml:space="preserve">была назначена Верховная следственная комиссия </w:t>
      </w:r>
      <w:r w:rsidRPr="00405303">
        <w:rPr>
          <w:bCs/>
          <w:color w:val="002060"/>
          <w:sz w:val="16"/>
          <w:szCs w:val="16"/>
        </w:rPr>
        <w:t xml:space="preserve">для всестороннего расследования обстоятельств, послуживших причиною несвоевременного и недостаточного пополнения военных снабжений армии. Член этой Верховной следственной комиссии В. А. Бобринский, обследовавший Пермский пушечный завод, дает такую общую характеристику этого завода: </w:t>
      </w:r>
    </w:p>
    <w:p w14:paraId="1133B800"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«Завод производит такое впечатление, что расширение его шло по мелочам, на маленькие средства, постепенно, путем пристроек, добавлений, основанных главным образом на возможно большей экономии. Во всем чувствуется, что заводу не давалась и не дается возможность развернуться и работать так, как это следовало бы заводу первейшей государственной важности».</w:t>
      </w:r>
    </w:p>
    <w:p w14:paraId="08268749" w14:textId="77777777" w:rsidR="004B4E35" w:rsidRPr="00405303" w:rsidRDefault="009E6F82" w:rsidP="00C15251">
      <w:pPr>
        <w:jc w:val="both"/>
        <w:rPr>
          <w:bCs/>
          <w:color w:val="002060"/>
          <w:sz w:val="16"/>
          <w:szCs w:val="16"/>
        </w:rPr>
      </w:pPr>
      <w:r w:rsidRPr="00405303">
        <w:rPr>
          <w:bCs/>
          <w:color w:val="002060"/>
          <w:sz w:val="16"/>
          <w:szCs w:val="16"/>
        </w:rPr>
        <w:t xml:space="preserve">Резюмируя свой вывод по обследованию самой технической части Пермского завода, В. А. Бобринский пишет так: </w:t>
      </w:r>
    </w:p>
    <w:p w14:paraId="4920A03C"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«Из приведенного краткого очерка технического оборудования Пермского пушечного завода с очевидностью вытекает, что названный завод в техническом отношении далеко не отвечает требованиям, ныне предъявляемым к мощно оборудованным артиллерийским заводам европейского типа (Шнейдер, Армстронг, Виккерс, Шкода, Крупп). Оборудование названного завода Горного ведомства, представляясь по отдельным цехам и мастерским явно недостаточным, в целом оказывается совершенно бессистемным и случайным. Через это, быстрый и равномерный рост производительности завода по всем цехам и отраслям его деятельности едва ли возможен, особенно в условиях военного времени, когда получение предметов технического оборудования связано с неимоверными подчас затруднениями».</w:t>
      </w:r>
    </w:p>
    <w:p w14:paraId="03AFF7CA" w14:textId="77777777" w:rsidR="004B4E35" w:rsidRPr="00405303" w:rsidRDefault="009E6F82" w:rsidP="00C15251">
      <w:pPr>
        <w:jc w:val="both"/>
        <w:rPr>
          <w:bCs/>
          <w:color w:val="002060"/>
          <w:sz w:val="16"/>
          <w:szCs w:val="16"/>
        </w:rPr>
      </w:pPr>
      <w:r w:rsidRPr="00405303">
        <w:rPr>
          <w:bCs/>
          <w:color w:val="002060"/>
          <w:sz w:val="16"/>
          <w:szCs w:val="16"/>
        </w:rPr>
        <w:t xml:space="preserve">Обуховский сталелитейный и пушечный завод был приобретен в 1886 г. от частной компании Морским ведомством. Вследствие этого Обуховский завод и специализировался на работах, потребных этому ведомству. Насколько второстепенное значение придавал этот завод потребностям сухопутного Военного ведомства, можно убедиться из следующего свидетельства генерала Маниковского: </w:t>
      </w:r>
    </w:p>
    <w:p w14:paraId="10C1B9A2"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«Исполнение этим заводом заказов Военного ведомства в течение 15-летнего периода, то есть с 1900 года, может быть охарактеризовано следующим образом:</w:t>
      </w:r>
    </w:p>
    <w:p w14:paraId="72FB26A2"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Все наши 10-дм. орудия и большая часть орудий Канэ изготовлены Обуховским заводом; заказ исполнен хорошо, но с просрочкой до 4 лет против условленного срока.</w:t>
      </w:r>
    </w:p>
    <w:p w14:paraId="28060A31"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Привлеченный к работе по перевооружению полевой артиллерии скорострельными пушками Путиловского завода, Обуховский завод изготовил 1150 таких пушек, но долгое время давал значительный процент брака и потому затянул приготовление на 3 лишних года».</w:t>
      </w:r>
    </w:p>
    <w:p w14:paraId="0AC1BEAA" w14:textId="77777777" w:rsidR="004B4E35" w:rsidRPr="00405303" w:rsidRDefault="009E6F82" w:rsidP="00C15251">
      <w:pPr>
        <w:jc w:val="both"/>
        <w:rPr>
          <w:bCs/>
          <w:color w:val="002060"/>
          <w:sz w:val="16"/>
          <w:szCs w:val="16"/>
        </w:rPr>
      </w:pPr>
      <w:r w:rsidRPr="00405303">
        <w:rPr>
          <w:bCs/>
          <w:color w:val="002060"/>
          <w:sz w:val="16"/>
          <w:szCs w:val="16"/>
        </w:rPr>
        <w:t xml:space="preserve">Мы не приводим дальнейшей характеристики генерала Маниковского; сделанной нами выписки достаточно, чтобы подтвердить утверждение, что Обуховский завод, имевший своим главным назначением обслуживание флота, мог уделить в своей работе нуждам сухопутной армии лишь второстепенное место. </w:t>
      </w:r>
    </w:p>
    <w:p w14:paraId="45BC3076" w14:textId="77777777" w:rsidR="004B4E35" w:rsidRPr="00405303" w:rsidRDefault="009E6F82" w:rsidP="00C15251">
      <w:pPr>
        <w:jc w:val="both"/>
        <w:rPr>
          <w:bCs/>
          <w:color w:val="002060"/>
          <w:sz w:val="16"/>
          <w:szCs w:val="16"/>
        </w:rPr>
      </w:pPr>
      <w:r w:rsidRPr="00405303">
        <w:rPr>
          <w:bCs/>
          <w:color w:val="002060"/>
          <w:sz w:val="16"/>
          <w:szCs w:val="16"/>
        </w:rPr>
        <w:t xml:space="preserve">Военное ведомство имело в своем непосредственном распоряжении еще «арсеналы»: Петроградский, Киевский и Брянский. Прямым назначением этих арсеналов являлось производство лафетов легкой артиллерии, зарядных ящиков, пулеметных станков, обозных повозок и конской амуниции. Во время войны все эти арсеналы были перегружены сверх всякой меры вышеперечисленными работами; и только в силу крайней необходимости они были привлечены во время войны к ремонту артиллерийских орудий (к перестволению). </w:t>
      </w:r>
    </w:p>
    <w:p w14:paraId="5F9BFB41" w14:textId="77777777" w:rsidR="004B4E35" w:rsidRPr="00405303" w:rsidRDefault="009E6F82" w:rsidP="00C15251">
      <w:pPr>
        <w:jc w:val="both"/>
        <w:rPr>
          <w:bCs/>
          <w:color w:val="002060"/>
          <w:sz w:val="16"/>
          <w:szCs w:val="16"/>
        </w:rPr>
      </w:pPr>
      <w:r w:rsidRPr="00405303">
        <w:rPr>
          <w:bCs/>
          <w:color w:val="002060"/>
          <w:sz w:val="16"/>
          <w:szCs w:val="16"/>
        </w:rPr>
        <w:t xml:space="preserve">На основании всего вышеизложенного нельзя не согласиться с выводом генерала Маниковского, что «невозможность скорого удовлетворения предъявленных во время войны требований явилась результатом многолетнего запрещения денежных расходов на усиление нашей армии полевой артиллерией и на создание хотя бы одного независимого мощного орудийного завода, принадлежащего Военному ведомству». </w:t>
      </w:r>
    </w:p>
    <w:p w14:paraId="7E02C506" w14:textId="77777777" w:rsidR="004B4E35" w:rsidRPr="00405303" w:rsidRDefault="009E6F82" w:rsidP="00C15251">
      <w:pPr>
        <w:jc w:val="both"/>
        <w:rPr>
          <w:bCs/>
          <w:color w:val="002060"/>
          <w:sz w:val="16"/>
          <w:szCs w:val="16"/>
        </w:rPr>
      </w:pPr>
      <w:r w:rsidRPr="00405303">
        <w:rPr>
          <w:bCs/>
          <w:color w:val="002060"/>
          <w:sz w:val="16"/>
          <w:szCs w:val="16"/>
        </w:rPr>
        <w:t xml:space="preserve">В таких трудных экономических условиях, в которых протекало развитие русской военной мощи, от высшего военного управления требовалась в сугубой степени, планомерность всех мероприятий по устройству вооруженной силы. Необходимо было тщательно взвешивать не только каждое требование, предъявляемое жизнью, в отдельности, но и в тесной связи между собою. Нельзя было, например, тратить деньги для возвращения старых форм обмундирования и в то же время откладывать увеличение кадра сверхсрочных унтер-офицеров. Нельзя было ассигновать миллиард на постройку боевого флота и мириться с вопиющей нехваткой артиллерийских средств сухопутной армии и отказываться от развития нашего железнодорожного транспорта. </w:t>
      </w:r>
    </w:p>
    <w:p w14:paraId="4B4D8445" w14:textId="77777777" w:rsidR="004B4E35" w:rsidRPr="00405303" w:rsidRDefault="009E6F82" w:rsidP="00C15251">
      <w:pPr>
        <w:jc w:val="both"/>
        <w:rPr>
          <w:bCs/>
          <w:color w:val="002060"/>
          <w:sz w:val="16"/>
          <w:szCs w:val="16"/>
        </w:rPr>
      </w:pPr>
      <w:r w:rsidRPr="00405303">
        <w:rPr>
          <w:bCs/>
          <w:color w:val="002060"/>
          <w:sz w:val="16"/>
          <w:szCs w:val="16"/>
        </w:rPr>
        <w:t xml:space="preserve">Но, как мы уже говорили в первой главе, наше высшее управление в период, предшествовавший мировой войне, носило характер безыдейности и полной бессистемности. </w:t>
      </w:r>
    </w:p>
    <w:p w14:paraId="77D8261A" w14:textId="77777777" w:rsidR="004B4E35" w:rsidRPr="00405303" w:rsidRDefault="009E6F82" w:rsidP="00C15251">
      <w:pPr>
        <w:jc w:val="both"/>
        <w:rPr>
          <w:bCs/>
          <w:color w:val="002060"/>
          <w:sz w:val="16"/>
          <w:szCs w:val="16"/>
        </w:rPr>
      </w:pPr>
      <w:r w:rsidRPr="00405303">
        <w:rPr>
          <w:bCs/>
          <w:color w:val="002060"/>
          <w:sz w:val="16"/>
          <w:szCs w:val="16"/>
        </w:rPr>
        <w:t xml:space="preserve">Неудачная для России война с Японией выяснила крайне серьезные недочеты в организации подготовки и снабжения Русской армии; стало ясно, что для борьбы на западном фронте мы были совершенно не подготовлены. </w:t>
      </w:r>
    </w:p>
    <w:p w14:paraId="3A3AA7E2" w14:textId="77777777" w:rsidR="004B4E35" w:rsidRPr="00405303" w:rsidRDefault="009E6F82" w:rsidP="00C15251">
      <w:pPr>
        <w:jc w:val="both"/>
        <w:rPr>
          <w:bCs/>
          <w:color w:val="002060"/>
          <w:sz w:val="16"/>
          <w:szCs w:val="16"/>
        </w:rPr>
      </w:pPr>
      <w:r w:rsidRPr="00405303">
        <w:rPr>
          <w:bCs/>
          <w:color w:val="002060"/>
          <w:sz w:val="16"/>
          <w:szCs w:val="16"/>
        </w:rPr>
        <w:t xml:space="preserve">Попытки реформ </w:t>
      </w:r>
    </w:p>
    <w:p w14:paraId="77476D6D" w14:textId="77777777" w:rsidR="004B4E35" w:rsidRPr="00405303" w:rsidRDefault="009E6F82" w:rsidP="00C15251">
      <w:pPr>
        <w:jc w:val="both"/>
        <w:rPr>
          <w:bCs/>
          <w:color w:val="002060"/>
          <w:sz w:val="16"/>
          <w:szCs w:val="16"/>
        </w:rPr>
      </w:pPr>
      <w:r w:rsidRPr="00405303">
        <w:rPr>
          <w:bCs/>
          <w:color w:val="002060"/>
          <w:sz w:val="16"/>
          <w:szCs w:val="16"/>
        </w:rPr>
        <w:lastRenderedPageBreak/>
        <w:t>Сейчас же после окончания войны в Военном министерстве, во главе которого стал генерал Редигер, было составлено различными лицами и управлениями несколько записок о необходимых реформах в армии в отношении ее подготовки, организации, комплектования, прохождения службы и снабжения. Из этих записок три были составлены особенно полно и послужили для выработки плана работы по улучшению готовности армии к большой европейской войне:</w:t>
      </w:r>
    </w:p>
    <w:p w14:paraId="0A3DF71F" w14:textId="77777777" w:rsidR="004B4E35" w:rsidRPr="00405303" w:rsidRDefault="009E6F82" w:rsidP="00C15251">
      <w:pPr>
        <w:jc w:val="both"/>
        <w:rPr>
          <w:bCs/>
          <w:color w:val="002060"/>
          <w:sz w:val="16"/>
          <w:szCs w:val="16"/>
        </w:rPr>
      </w:pPr>
      <w:r w:rsidRPr="00405303">
        <w:rPr>
          <w:bCs/>
          <w:color w:val="002060"/>
          <w:sz w:val="16"/>
          <w:szCs w:val="16"/>
        </w:rPr>
        <w:t xml:space="preserve">а) Записка, составленная по указанию самого генерал Редигера. </w:t>
      </w:r>
    </w:p>
    <w:p w14:paraId="063E11F1" w14:textId="77777777" w:rsidR="004B4E35" w:rsidRPr="00405303" w:rsidRDefault="009E6F82" w:rsidP="00C15251">
      <w:pPr>
        <w:jc w:val="both"/>
        <w:rPr>
          <w:bCs/>
          <w:color w:val="002060"/>
          <w:sz w:val="16"/>
          <w:szCs w:val="16"/>
        </w:rPr>
      </w:pPr>
      <w:r w:rsidRPr="00405303">
        <w:rPr>
          <w:bCs/>
          <w:color w:val="002060"/>
          <w:sz w:val="16"/>
          <w:szCs w:val="16"/>
        </w:rPr>
        <w:t xml:space="preserve">б) Записка, составленная в Главном управлении Генерального штаба по указаниям начальника Генерального штаба — генерала Палицына. </w:t>
      </w:r>
    </w:p>
    <w:p w14:paraId="16430E70" w14:textId="77777777" w:rsidR="004B4E35" w:rsidRPr="00405303" w:rsidRDefault="009E6F82" w:rsidP="00C15251">
      <w:pPr>
        <w:jc w:val="both"/>
        <w:rPr>
          <w:bCs/>
          <w:color w:val="002060"/>
          <w:sz w:val="16"/>
          <w:szCs w:val="16"/>
        </w:rPr>
      </w:pPr>
      <w:r w:rsidRPr="00405303">
        <w:rPr>
          <w:bCs/>
          <w:color w:val="002060"/>
          <w:sz w:val="16"/>
          <w:szCs w:val="16"/>
        </w:rPr>
        <w:t xml:space="preserve">в) Записка, составленная в Главном штабе по указаниям начальника этого штаба генерала Эверта. </w:t>
      </w:r>
    </w:p>
    <w:p w14:paraId="258DA7E5" w14:textId="77777777" w:rsidR="004B4E35" w:rsidRPr="00405303" w:rsidRDefault="009E6F82" w:rsidP="00C15251">
      <w:pPr>
        <w:jc w:val="both"/>
        <w:rPr>
          <w:bCs/>
          <w:color w:val="002060"/>
          <w:sz w:val="16"/>
          <w:szCs w:val="16"/>
        </w:rPr>
      </w:pPr>
      <w:r w:rsidRPr="00405303">
        <w:rPr>
          <w:bCs/>
          <w:color w:val="002060"/>
          <w:sz w:val="16"/>
          <w:szCs w:val="16"/>
        </w:rPr>
        <w:t xml:space="preserve">Для согласования расхождений в этих записках, составленных в высших административных учреждениях, и для выработки окончательного плана работы по реорганизации армии и подготовке ее к войне составленные записки были посланы на заключение командующим войсками в округах и с этими заключениями по Высочайшему повелению были переданы на рассмотрение в образованный под председательством Великого князя Николая Николаевича Совет государственной обороны. </w:t>
      </w:r>
    </w:p>
    <w:p w14:paraId="466EC16D" w14:textId="77777777" w:rsidR="004B4E35" w:rsidRPr="00405303" w:rsidRDefault="009E6F82" w:rsidP="00C15251">
      <w:pPr>
        <w:jc w:val="both"/>
        <w:rPr>
          <w:bCs/>
          <w:color w:val="002060"/>
          <w:sz w:val="16"/>
          <w:szCs w:val="16"/>
        </w:rPr>
      </w:pPr>
      <w:r w:rsidRPr="00405303">
        <w:rPr>
          <w:bCs/>
          <w:color w:val="002060"/>
          <w:sz w:val="16"/>
          <w:szCs w:val="16"/>
        </w:rPr>
        <w:t xml:space="preserve">В этих записках было уделено много внимания вопросу постановки снабжения армии. </w:t>
      </w:r>
    </w:p>
    <w:p w14:paraId="21FF4625" w14:textId="77777777" w:rsidR="004B4E35" w:rsidRPr="00405303" w:rsidRDefault="009E6F82" w:rsidP="00C15251">
      <w:pPr>
        <w:jc w:val="both"/>
        <w:rPr>
          <w:bCs/>
          <w:color w:val="002060"/>
          <w:sz w:val="16"/>
          <w:szCs w:val="16"/>
        </w:rPr>
      </w:pPr>
      <w:r w:rsidRPr="00405303">
        <w:rPr>
          <w:bCs/>
          <w:color w:val="002060"/>
          <w:sz w:val="16"/>
          <w:szCs w:val="16"/>
        </w:rPr>
        <w:t xml:space="preserve">С появлением у власти генерала Сухомлинова эта работа прекратилась, и в результате общего плана составлено не было. </w:t>
      </w:r>
    </w:p>
    <w:p w14:paraId="5932C139"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«Это, конечно, отразилось на планомерности всей работы по подготовке к войне, произведенной в период между окончанием войны с Японией и начавшейся в 1914 г. войной с центральными державами, — пишет один из ближайших сотрудников генерала Сухомлинова генерал Лукомский. — Многого, что первоначально намечалось, в жизнь проведено не было; многое, когда прошел острый период впечатлений от неудач прошедшей войны, заслонилось текущими работами и текущей жизнью и, если не совсем забылось, то под влиянием новых руководителей главными отделами Военного министерства, часто объяснявшими неудачи войны с Японией не недостатками устройства армии, ее подготовки и снабжения, а главным образом ошибками командного состава, перестало быть существенным, требующим изменения».</w:t>
      </w:r>
    </w:p>
    <w:p w14:paraId="0B2B8200" w14:textId="77777777" w:rsidR="004B4E35" w:rsidRPr="00405303" w:rsidRDefault="009E6F82" w:rsidP="00C15251">
      <w:pPr>
        <w:jc w:val="both"/>
        <w:rPr>
          <w:bCs/>
          <w:color w:val="002060"/>
          <w:sz w:val="16"/>
          <w:szCs w:val="16"/>
        </w:rPr>
      </w:pPr>
      <w:r w:rsidRPr="00405303">
        <w:rPr>
          <w:bCs/>
          <w:color w:val="002060"/>
          <w:sz w:val="16"/>
          <w:szCs w:val="16"/>
        </w:rPr>
        <w:t xml:space="preserve">Свидетельство генерала Лукомского тем более ценно для истории, что, являясь ближайшим сотрудником генерала Сухомлинова, он очень снисходителен к деятельности последнего. </w:t>
      </w:r>
    </w:p>
    <w:p w14:paraId="1F26E8C2"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«Казалось бы, — пишет далее генерал Лукомский, — что при правильно выработанных нормах снабжения и при заблаговременном выяснении, что и в каком размере может быть получено заготовками и заказами внутри страны, можно было бы точно определить обеспеченность снабжения армии в случае затяжной войны, принять заблаговременно меры для усиления того или иного отечественного производства и составить предположения о заготовке недостающего на тех или иных заграничных рынках.</w:t>
      </w:r>
    </w:p>
    <w:p w14:paraId="32BC1B24"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Но такого общего плана снабжения составлено не было, и, как впоследствии, во время европейской войны, выяснилось, сами нормы снабжения оказались совершенно не отвечающими тем требованиям, которые были предъявлены действующей армией во время войны.</w:t>
      </w:r>
    </w:p>
    <w:p w14:paraId="756A048C"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Произошло это в значительной степени от неправильной и слишком сложной организации военно-административного аппарата, долженствовавшего ведать этими вопросами, и от неправильных взаимоотношений между довольствующими управлениями и теми органами Военного министерства, которые должны были влиять на подготовку армии к войне во всех отношениях...»</w:t>
      </w:r>
    </w:p>
    <w:p w14:paraId="7F3D7235"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«Если бы военный министр оказался гением, — пишет далее генерал Лукомский, — то, может быть, он справился бы с делом хорошо, несмотря на недочеты в организации Военного министерства. Но гения не оказалось, а последними до войны военными министрами были, одни более, другие менее, добросовестные, но обыкновенные, хотя и хорошие работники. Может быть, худшим из них, не по своим способностям, а потому, что он по свойствам своего характера не подходил к этой роли, был последний до войны военный министр — генерал Сухомлинов».</w:t>
      </w:r>
    </w:p>
    <w:p w14:paraId="73534520" w14:textId="77777777" w:rsidR="004B4E35" w:rsidRPr="00405303" w:rsidRDefault="009E6F82" w:rsidP="00C15251">
      <w:pPr>
        <w:jc w:val="both"/>
        <w:rPr>
          <w:bCs/>
          <w:color w:val="002060"/>
          <w:sz w:val="16"/>
          <w:szCs w:val="16"/>
        </w:rPr>
      </w:pPr>
      <w:r w:rsidRPr="00405303">
        <w:rPr>
          <w:bCs/>
          <w:color w:val="002060"/>
          <w:sz w:val="16"/>
          <w:szCs w:val="16"/>
        </w:rPr>
        <w:t xml:space="preserve">В результате, по заявлению генерала Лукомского r 1914: </w:t>
      </w:r>
    </w:p>
    <w:p w14:paraId="5C8FCFCA"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«а) армия не была снабжена тяжелой артиллерией, которая должна была быть создана по Большой Программе;</w:t>
      </w:r>
    </w:p>
    <w:p w14:paraId="14235945"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б) воздухоплавательных машин было такое ничтожное число, что правильнее считать, что их почти не было;</w:t>
      </w:r>
    </w:p>
    <w:p w14:paraId="2B245A39"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в) воздухоплавательные парки для наблюдения с привязных шаров и змейковых аппаратов были оборудованы слабо, и число самих аппаратов было совершенно недостаточно;</w:t>
      </w:r>
    </w:p>
    <w:p w14:paraId="2CA6125A"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г) броневых автомобилей почти не было; легковых для службы связи и грузовых для транспортных нужд было совершенно недостаточное количество;</w:t>
      </w:r>
    </w:p>
    <w:p w14:paraId="7A1AD1C5"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д) запас снарядов для полевой артиллерии не только не был доведен до новой нормы (1500 выстрелов на орудие), но не были в наличности полностью и старые нормы».</w:t>
      </w:r>
    </w:p>
    <w:p w14:paraId="71EE72EA" w14:textId="77777777" w:rsidR="004B4E35" w:rsidRPr="00405303" w:rsidRDefault="009E6F82" w:rsidP="00C15251">
      <w:pPr>
        <w:jc w:val="both"/>
        <w:rPr>
          <w:bCs/>
          <w:color w:val="002060"/>
          <w:sz w:val="16"/>
          <w:szCs w:val="16"/>
        </w:rPr>
      </w:pPr>
      <w:r w:rsidRPr="00405303">
        <w:rPr>
          <w:bCs/>
          <w:color w:val="002060"/>
          <w:sz w:val="16"/>
          <w:szCs w:val="16"/>
        </w:rPr>
        <w:t xml:space="preserve">В действительности, как мы уже знаем из всего изложенного в этой главе, положение было еще более мрачное. </w:t>
      </w:r>
    </w:p>
    <w:p w14:paraId="63BB810D" w14:textId="77777777" w:rsidR="004B4E35" w:rsidRPr="00405303" w:rsidRDefault="009E6F82" w:rsidP="00C15251">
      <w:pPr>
        <w:jc w:val="both"/>
        <w:rPr>
          <w:bCs/>
          <w:color w:val="002060"/>
          <w:sz w:val="16"/>
          <w:szCs w:val="16"/>
        </w:rPr>
      </w:pPr>
      <w:r w:rsidRPr="00405303">
        <w:rPr>
          <w:bCs/>
          <w:color w:val="002060"/>
          <w:sz w:val="16"/>
          <w:szCs w:val="16"/>
        </w:rPr>
        <w:t xml:space="preserve">Крайне характерно высказанное генералом Лукомским предположение, что «если б военный министр оказался гением, то, может быть, он справился бы с делом хорошо, несмотря на недочеты организации Военного министерства». Во-первых — самая эта организация и составляла главную задачу военного министра; во-вторых — ожидание «гения» равносильно ожиданию «чуда»; оно соответствует младенческому уровню государственного понимания. Наука изгнала из круга своего понимания вмешательство «чуда». Приходится еще раз упомянуть о «социальном подборе»; в больном обществе так же, как и в больном организме, подбор идет не в направлении, соответствующем прогрессу развития общества. </w:t>
      </w:r>
    </w:p>
    <w:p w14:paraId="2B52CE47" w14:textId="77777777" w:rsidR="004B4E35" w:rsidRPr="00405303" w:rsidRDefault="009E6F82" w:rsidP="00C15251">
      <w:pPr>
        <w:jc w:val="both"/>
        <w:rPr>
          <w:bCs/>
          <w:color w:val="002060"/>
          <w:sz w:val="16"/>
          <w:szCs w:val="16"/>
        </w:rPr>
      </w:pPr>
      <w:r w:rsidRPr="00405303">
        <w:rPr>
          <w:bCs/>
          <w:color w:val="002060"/>
          <w:sz w:val="16"/>
          <w:szCs w:val="16"/>
        </w:rPr>
        <w:t xml:space="preserve">Отсутствие прочной веры в военную науку </w:t>
      </w:r>
    </w:p>
    <w:p w14:paraId="22C04B9E" w14:textId="77777777" w:rsidR="004B4E35" w:rsidRPr="00405303" w:rsidRDefault="009E6F82" w:rsidP="00C15251">
      <w:pPr>
        <w:jc w:val="both"/>
        <w:rPr>
          <w:bCs/>
          <w:color w:val="002060"/>
          <w:sz w:val="16"/>
          <w:szCs w:val="16"/>
        </w:rPr>
      </w:pPr>
      <w:r w:rsidRPr="00405303">
        <w:rPr>
          <w:bCs/>
          <w:color w:val="002060"/>
          <w:sz w:val="16"/>
          <w:szCs w:val="16"/>
        </w:rPr>
        <w:t xml:space="preserve">Но, кроме чисто специфических условий, создавшихся в России вследствие запоздалого освобождения крестьян, имелась еще одна данная, которая затрудняла устранение хаоса в высшем военном управлении. Устранению последнего содействует «научная организация» работы. Но «научная организация» требует не только отдельных выдающихся представителей науки — она требует также достаточно высокого уровня социальной среды. Без этого мысли выдающихся ученых уподобляются колесам, не сцепленным с остальным сложным механизмом. Они могут вертеться, но вся их работа для данного механизма происходит впустую. Интеллигентный слой России, как мы видели, представлял собой лишь очень тонкую пленку на малокультурной, темной массе. Да и прочность самой культуры в этом тонком слое, измеряющемся числом поколений, в течение которого культура воздействовала на этот слой, была незначительна. Русская интеллигенция насчитывала со времен Петра не более 9 поколений. Поэтому и в самом образованном слое русского населения вера в науку и в необходимость ее для всякой организации, особенно в сложных областях государственной жизни, была чрезвычайно слаба. Русские выдающиеся ученые в большой мере уподоблялись ведущим колесам, расцепившимся с механизмом. </w:t>
      </w:r>
    </w:p>
    <w:p w14:paraId="4621AD5C" w14:textId="77777777" w:rsidR="004B4E35" w:rsidRPr="00405303" w:rsidRDefault="009E6F82" w:rsidP="00C15251">
      <w:pPr>
        <w:jc w:val="both"/>
        <w:rPr>
          <w:bCs/>
          <w:color w:val="002060"/>
          <w:sz w:val="16"/>
          <w:szCs w:val="16"/>
        </w:rPr>
      </w:pPr>
      <w:r w:rsidRPr="00405303">
        <w:rPr>
          <w:bCs/>
          <w:color w:val="002060"/>
          <w:sz w:val="16"/>
          <w:szCs w:val="16"/>
        </w:rPr>
        <w:t xml:space="preserve">Для того чтобы иллюстрировать нашу мысль, мы приведем пример, взятый в узкой сфере артиллерийского вооружения. Общеизвестная немецкая фирма Круппа издала к своему столетию сборник. В этой книге рассказывается о трудностях выполнения первого прусского заказа на орудия крупного калибра и о помощи, которую фирма Круппа получила в лице русских ученых-артиллеристов — в теории и на практике. Свои опытные стрельбы Крупп производил на Охтенском полигоне, и наши светила по баллистике и порохам направляли его шаги. Прусское правительство грозило отнять и передать Армстронгу заказ на орудия крупного калибра, с которым Крупп бессилен был справиться, а Крупп, ссылаясь на успехи, достигнутые при русской помощи, просил задержать окончательное решение на один год. Сдав русским заказ на береговые пушки в 1876 г., Крупп стал на ноги и блестяще выдержал экзамен — в виде поставленного ему прусским военным ведомством требования конкуренции с образцами Армстронга. Это один из многочисленных образцов того, как бесплодная на родине русская научная и техническая мысль могла дать великолепные всходы на более питательной почве. </w:t>
      </w:r>
    </w:p>
    <w:p w14:paraId="15048EC5" w14:textId="77777777" w:rsidR="004B4E35" w:rsidRPr="00405303" w:rsidRDefault="009E6F82" w:rsidP="00C15251">
      <w:pPr>
        <w:jc w:val="both"/>
        <w:rPr>
          <w:bCs/>
          <w:color w:val="002060"/>
          <w:sz w:val="16"/>
          <w:szCs w:val="16"/>
        </w:rPr>
      </w:pPr>
      <w:r w:rsidRPr="00405303">
        <w:rPr>
          <w:bCs/>
          <w:color w:val="002060"/>
          <w:sz w:val="16"/>
          <w:szCs w:val="16"/>
        </w:rPr>
        <w:t xml:space="preserve">В области самой организации наука прививается гораздо позже, чем в какой-либо другой области. Школа Тейлора могла появиться только после того, как индустриальный уровень Северо-Американских Соединенных Штатов поднялся высоко. В еще более сложной организации — организации современной вооруженной силы — возможность широкого приложения науки требует еще большего количества благоприятных предпосылок. Этим и объясняется, что русская военная наука, насчитывавшая в своих рядах многих выдающихся ученых, тоже часто уподоблялась ведущему колесу без сцепления. Наглядным примером может служить участь такого выдающегося военного ученого и государственного деятеля, как граф Милютин, творец военных реформ эпохи императора Александра II. </w:t>
      </w:r>
      <w:r w:rsidRPr="00405303">
        <w:rPr>
          <w:bCs/>
          <w:color w:val="002060"/>
          <w:sz w:val="16"/>
          <w:szCs w:val="16"/>
        </w:rPr>
        <w:lastRenderedPageBreak/>
        <w:t xml:space="preserve">Вынужденный уйти с поста военного министра в самом начале царствования императора Александра III, он был отстранен от каких бы то ни было дел. Проживая в Крыму, он мог посвятить силу своего ума и опыта лишь писанию своих мемуаров. </w:t>
      </w:r>
    </w:p>
    <w:p w14:paraId="6AE5E811" w14:textId="77777777" w:rsidR="004B4E35" w:rsidRPr="00405303" w:rsidRDefault="009E6F82" w:rsidP="00C15251">
      <w:pPr>
        <w:jc w:val="both"/>
        <w:rPr>
          <w:bCs/>
          <w:color w:val="002060"/>
          <w:sz w:val="16"/>
          <w:szCs w:val="16"/>
        </w:rPr>
      </w:pPr>
      <w:r w:rsidRPr="00405303">
        <w:rPr>
          <w:bCs/>
          <w:color w:val="002060"/>
          <w:sz w:val="16"/>
          <w:szCs w:val="16"/>
        </w:rPr>
        <w:t xml:space="preserve">Не менее поучителен случай с другим «ученым» военным министром, а именно — с генералом Редигером. Его научный труд «Комплектование и устройство вооруженной силы» не только был признан выдающимся Военной академией, но высшее ученое учреждение Российской империи, а именно — Императорская Академия наук, присудило второму изданию его книги полную «Макарьевскую премию». Неудача японской войны создает обстановку, в которой он выдвигается на пост военного министра, получая, таким образом, возможность приложить на практике научные выводы, сделанные в его труде. Но общий неблагоприятный для практического использования науки тон нашей жизни быстро прекращает эту случайную возможность. </w:t>
      </w:r>
    </w:p>
    <w:p w14:paraId="1104BF7A" w14:textId="77777777" w:rsidR="004B4E35" w:rsidRPr="00405303" w:rsidRDefault="009E6F82" w:rsidP="00C15251">
      <w:pPr>
        <w:jc w:val="both"/>
        <w:rPr>
          <w:bCs/>
          <w:color w:val="002060"/>
          <w:sz w:val="16"/>
          <w:szCs w:val="16"/>
        </w:rPr>
      </w:pPr>
      <w:r w:rsidRPr="00405303">
        <w:rPr>
          <w:bCs/>
          <w:color w:val="002060"/>
          <w:sz w:val="16"/>
          <w:szCs w:val="16"/>
        </w:rPr>
        <w:t>Когда нет веры в науку, остается только вера в чудо, в появление гения. Гений, конечно, не пришел, и трудные условия, в которых развивалась вооруженная сила России, оказались неучтенными. Русская вооруженная сила, которая, как мы видели выше, должна была бы быть самой «дорогой», продолжала оставаться самой «дешевой». Это достигалось сильным понижением ее действительной боеспособности.</w:t>
      </w:r>
    </w:p>
    <w:p w14:paraId="7E3262FD" w14:textId="77777777" w:rsidR="004B4E35" w:rsidRPr="00405303" w:rsidRDefault="004B4E35" w:rsidP="00C15251">
      <w:pPr>
        <w:jc w:val="both"/>
        <w:rPr>
          <w:bCs/>
          <w:color w:val="002060"/>
          <w:sz w:val="16"/>
          <w:szCs w:val="16"/>
        </w:rPr>
      </w:pPr>
    </w:p>
    <w:p w14:paraId="1213C0C2" w14:textId="5031BF99" w:rsidR="004B4E35" w:rsidRPr="00405303" w:rsidRDefault="009E6F82" w:rsidP="00C15251">
      <w:pPr>
        <w:jc w:val="both"/>
        <w:rPr>
          <w:bCs/>
          <w:color w:val="002060"/>
          <w:sz w:val="16"/>
          <w:szCs w:val="16"/>
        </w:rPr>
      </w:pPr>
      <w:r w:rsidRPr="00405303">
        <w:rPr>
          <w:bCs/>
          <w:color w:val="002060"/>
          <w:sz w:val="16"/>
          <w:szCs w:val="16"/>
        </w:rPr>
        <w:t xml:space="preserve">25—27 июля </w:t>
      </w:r>
      <w:r w:rsidR="000A339F" w:rsidRPr="00405303">
        <w:rPr>
          <w:bCs/>
          <w:color w:val="002060"/>
          <w:sz w:val="16"/>
          <w:szCs w:val="16"/>
        </w:rPr>
        <w:t xml:space="preserve">(7-9 августа) </w:t>
      </w:r>
      <w:r w:rsidRPr="00405303">
        <w:rPr>
          <w:bCs/>
          <w:color w:val="002060"/>
          <w:sz w:val="16"/>
          <w:szCs w:val="16"/>
        </w:rPr>
        <w:t>1915 года</w:t>
      </w:r>
      <w:r w:rsidR="000A339F" w:rsidRPr="00405303">
        <w:rPr>
          <w:bCs/>
          <w:color w:val="002060"/>
          <w:sz w:val="16"/>
          <w:szCs w:val="16"/>
        </w:rPr>
        <w:t xml:space="preserve"> состоялся первый съезд представителей ВПК</w:t>
      </w:r>
      <w:r w:rsidRPr="00405303">
        <w:rPr>
          <w:bCs/>
          <w:color w:val="002060"/>
          <w:sz w:val="16"/>
          <w:szCs w:val="16"/>
        </w:rPr>
        <w:t xml:space="preserve"> под председательством А.И.Гучкова, возглавлявшего тогда Центральный ВПК</w:t>
      </w:r>
      <w:r w:rsidR="000A339F" w:rsidRPr="00405303">
        <w:rPr>
          <w:bCs/>
          <w:color w:val="002060"/>
          <w:sz w:val="16"/>
          <w:szCs w:val="16"/>
        </w:rPr>
        <w:t xml:space="preserve"> и была принята резолюция:</w:t>
      </w:r>
    </w:p>
    <w:p w14:paraId="1AD697A3" w14:textId="77777777" w:rsidR="004B4E35" w:rsidRPr="00405303" w:rsidRDefault="009E6F82" w:rsidP="00C15251">
      <w:pPr>
        <w:jc w:val="both"/>
        <w:rPr>
          <w:bCs/>
          <w:color w:val="002060"/>
          <w:sz w:val="16"/>
          <w:szCs w:val="16"/>
        </w:rPr>
      </w:pPr>
      <w:r w:rsidRPr="00405303">
        <w:rPr>
          <w:bCs/>
          <w:color w:val="002060"/>
          <w:sz w:val="16"/>
          <w:szCs w:val="16"/>
        </w:rPr>
        <w:t>«Съезд признает, что при существующем строе хозяйственных учреждений военного ведомства… задача удовлетворительного снабжения армии не может быть достигнута. Необходимо полное обновление всего этого строя и отдельных его органов и приспособление их к нуждам армии и условиям промышленности». Съезд предлагал создать в составе Военного министерства «особое совещание, в состав которого кроме представителей законодательных учреждений и правительственных ведомств должны войти представители военно-промышленных комитетов, всероссийских союзов земств и городов и рабочих… Во главе таковых органов должны быть поставлены представители военного ведомства при непременном участии в них представителей военно-промышленных комитетов и Всероссийского союза земств и городов» (Цит. по журналу «Нива». 1915. № 32. С. 608. Что касается рабочих, представителей которых предлагалось включить в Особое совещание при помощнике министра, то это не более чем риторика, учитывая нараставшее революционное движение на фабриках и заводах, в том числе и в нефтедобывающей отрасли.</w:t>
      </w:r>
    </w:p>
    <w:p w14:paraId="358414CB" w14:textId="77777777" w:rsidR="004B4E35" w:rsidRPr="00405303" w:rsidRDefault="009E6F82" w:rsidP="00C15251">
      <w:pPr>
        <w:jc w:val="both"/>
        <w:rPr>
          <w:bCs/>
          <w:color w:val="002060"/>
          <w:sz w:val="16"/>
          <w:szCs w:val="16"/>
        </w:rPr>
      </w:pPr>
      <w:r w:rsidRPr="00405303">
        <w:rPr>
          <w:bCs/>
          <w:color w:val="002060"/>
          <w:sz w:val="16"/>
          <w:szCs w:val="16"/>
        </w:rPr>
        <w:t>Съездом была послана приветственная телеграмма Верховному главнокомандующему, на которую в последний день заседания А.И. Гучков получил следующий ответ: «Очень тронут и сердечно благодарю за выраженные чувства представителями военно-промышленных комитетов империи, собравшимися на съезд. От вашей плодотворной, быстрой, дружной работы зависит наш успех.</w:t>
      </w:r>
    </w:p>
    <w:p w14:paraId="271E7BA6" w14:textId="77777777" w:rsidR="004B4E35" w:rsidRPr="00405303" w:rsidRDefault="009E6F82" w:rsidP="00C15251">
      <w:pPr>
        <w:jc w:val="both"/>
        <w:rPr>
          <w:bCs/>
          <w:color w:val="002060"/>
          <w:sz w:val="16"/>
          <w:szCs w:val="16"/>
        </w:rPr>
      </w:pPr>
      <w:r w:rsidRPr="00405303">
        <w:rPr>
          <w:bCs/>
          <w:color w:val="002060"/>
          <w:sz w:val="16"/>
          <w:szCs w:val="16"/>
        </w:rPr>
        <w:t>Генерал-адъютант Николай») (11178).</w:t>
      </w:r>
    </w:p>
    <w:p w14:paraId="577A6938" w14:textId="77777777" w:rsidR="004B4E35" w:rsidRPr="00405303" w:rsidRDefault="004B4E35" w:rsidP="00C15251">
      <w:pPr>
        <w:jc w:val="both"/>
        <w:rPr>
          <w:bCs/>
          <w:color w:val="002060"/>
          <w:sz w:val="16"/>
          <w:szCs w:val="16"/>
        </w:rPr>
      </w:pPr>
    </w:p>
    <w:p w14:paraId="4569E73C" w14:textId="77777777" w:rsidR="000A339F" w:rsidRPr="00405303" w:rsidRDefault="000A339F" w:rsidP="00C15251">
      <w:pPr>
        <w:pStyle w:val="ae"/>
        <w:spacing w:before="0" w:beforeAutospacing="0" w:after="0" w:afterAutospacing="0"/>
        <w:jc w:val="both"/>
        <w:textAlignment w:val="top"/>
        <w:rPr>
          <w:bCs/>
          <w:color w:val="002060"/>
          <w:sz w:val="16"/>
          <w:szCs w:val="16"/>
        </w:rPr>
      </w:pPr>
      <w:r w:rsidRPr="00405303">
        <w:rPr>
          <w:bCs/>
          <w:color w:val="002060"/>
          <w:sz w:val="16"/>
          <w:szCs w:val="16"/>
        </w:rPr>
        <w:t>25-27 июля (7-9 авг.) 1915 г. в Петрограде в атмосфере жесткой критики правительства И.Л. Горемыкина был проведен I-й Всероссийский съезд военно-промышленных комитетов. Своих представителей прислали свыше 80 учрежденных в стране комитетов. По предложению Авдакова была выдвинута единственная кандидатура в председатели съезда – это был А.И. Гучков. Сам Авдаков - председатель совета синдиката «Продуголь», с апреля 1914 г. находившегося под следствием по обвинению в ценовом сговоре, прекращенного 5 (18) марта 1915 г. «за недостаточностью собранных улик» был в высшей степени нежелательной фигурой для сотрудничества с Главным Артиллерийским Управлением. При активной поддержке Московского ВПК во главе с П.П. Рябушинским на съезде избирается ЦВПК, председатель - Гучков(октябрист), заместитель председателя А.И. Коновалов(прогрессист). Московский ВПК активно поддержали представители, направленные на съезд Всероссийским Союзом городов.</w:t>
      </w:r>
    </w:p>
    <w:p w14:paraId="0AD8B00F" w14:textId="77777777" w:rsidR="000A339F" w:rsidRPr="00405303" w:rsidRDefault="000A339F" w:rsidP="00C15251">
      <w:pPr>
        <w:pStyle w:val="ae"/>
        <w:spacing w:before="0" w:beforeAutospacing="0" w:after="0" w:afterAutospacing="0"/>
        <w:jc w:val="both"/>
        <w:textAlignment w:val="top"/>
        <w:rPr>
          <w:bCs/>
          <w:color w:val="002060"/>
          <w:sz w:val="16"/>
          <w:szCs w:val="16"/>
        </w:rPr>
      </w:pPr>
      <w:r w:rsidRPr="00405303">
        <w:rPr>
          <w:bCs/>
          <w:color w:val="002060"/>
          <w:sz w:val="16"/>
          <w:szCs w:val="16"/>
        </w:rPr>
        <w:t>Съезд поручил ЦВПК «по согласованию с Земским и Городским союзами, своевременно возбудить вопрос о дальнейшей форме управления снабжения армии.» Для этого Военный министр должен был получить особого помощника, «облеченного общественным доверием и снабженного широкими полномочиями», которому должны были подчиняться выделенные в одно управление артиллерийское, техническое, интендантское и военно-санитарное ведомства. При помощнике планировалось создать особое совещание из представителей законодательных учреждений, военно-промышленных комитетов, Земского и Городского союзов, а также рабочих. «Широкие полномочия» новой должности носили бы совершенно необычный характер. Одним из первых действий ЦВПК было увеличение своих расходов в 4 раза, до 100 тыс. рублей (18405).</w:t>
      </w:r>
    </w:p>
    <w:p w14:paraId="35E6D8F6" w14:textId="77777777" w:rsidR="000A339F" w:rsidRPr="00405303" w:rsidRDefault="000A339F" w:rsidP="00C15251">
      <w:pPr>
        <w:pStyle w:val="ae"/>
        <w:spacing w:before="0" w:beforeAutospacing="0" w:after="0" w:afterAutospacing="0"/>
        <w:jc w:val="both"/>
        <w:textAlignment w:val="top"/>
        <w:rPr>
          <w:bCs/>
          <w:color w:val="002060"/>
          <w:sz w:val="16"/>
          <w:szCs w:val="16"/>
        </w:rPr>
      </w:pPr>
    </w:p>
    <w:p w14:paraId="798B4D2B" w14:textId="0CF03D20" w:rsidR="00BB544A" w:rsidRPr="00405303" w:rsidRDefault="00BB544A" w:rsidP="00C15251">
      <w:pPr>
        <w:jc w:val="both"/>
        <w:rPr>
          <w:bCs/>
          <w:i/>
          <w:color w:val="002060"/>
          <w:sz w:val="16"/>
          <w:szCs w:val="16"/>
        </w:rPr>
      </w:pPr>
      <w:r w:rsidRPr="00405303">
        <w:rPr>
          <w:bCs/>
          <w:i/>
          <w:color w:val="002060"/>
          <w:sz w:val="16"/>
          <w:szCs w:val="16"/>
        </w:rPr>
        <w:t>Авиация:</w:t>
      </w:r>
    </w:p>
    <w:p w14:paraId="0EE17F77" w14:textId="77777777" w:rsidR="00BB544A" w:rsidRPr="00405303" w:rsidRDefault="00BB544A" w:rsidP="00C15251">
      <w:pPr>
        <w:jc w:val="both"/>
        <w:rPr>
          <w:bCs/>
          <w:i/>
          <w:color w:val="002060"/>
          <w:sz w:val="16"/>
          <w:szCs w:val="16"/>
        </w:rPr>
      </w:pPr>
    </w:p>
    <w:p w14:paraId="7BE3C148" w14:textId="0910DF56" w:rsidR="00BB544A" w:rsidRPr="00405303" w:rsidRDefault="00BB544A" w:rsidP="00C15251">
      <w:pPr>
        <w:jc w:val="both"/>
        <w:rPr>
          <w:bCs/>
          <w:color w:val="002060"/>
          <w:sz w:val="16"/>
          <w:szCs w:val="16"/>
        </w:rPr>
      </w:pPr>
      <w:r w:rsidRPr="00405303">
        <w:rPr>
          <w:bCs/>
          <w:color w:val="002060"/>
          <w:sz w:val="16"/>
          <w:szCs w:val="16"/>
        </w:rPr>
        <w:t xml:space="preserve">25 июля (7 августа) 1915 г. около 7 часов вечера над железнодорожной станцией Гура-Кальвария (Мазовецкое воеводство) появилась неприятельская воздушная эскадрилья в составе 5 самолетов. Два из них начали бомбить объекты станции, остальные - новый мост через р. Висла. Всего было </w:t>
      </w:r>
      <w:bookmarkStart w:id="199" w:name="bookmark218"/>
      <w:r w:rsidRPr="00405303">
        <w:rPr>
          <w:bCs/>
          <w:color w:val="002060"/>
          <w:sz w:val="16"/>
          <w:szCs w:val="16"/>
        </w:rPr>
        <w:t>сброшено более 40 бомб. Ни одна из них не попала в мост, бомбы же, брошенные на территорию станции, не причинили ей значительного вреда (23405).</w:t>
      </w:r>
      <w:bookmarkEnd w:id="199"/>
    </w:p>
    <w:p w14:paraId="6B7AEB2D" w14:textId="77777777" w:rsidR="00BB544A" w:rsidRPr="00405303" w:rsidRDefault="00BB544A" w:rsidP="00C15251">
      <w:pPr>
        <w:jc w:val="both"/>
        <w:rPr>
          <w:bCs/>
          <w:color w:val="002060"/>
          <w:sz w:val="16"/>
          <w:szCs w:val="16"/>
        </w:rPr>
      </w:pPr>
    </w:p>
    <w:p w14:paraId="659D1FA5" w14:textId="3CE704F8" w:rsidR="00BB544A" w:rsidRPr="00405303" w:rsidRDefault="00BB544A" w:rsidP="00C15251">
      <w:pPr>
        <w:jc w:val="both"/>
        <w:rPr>
          <w:bCs/>
          <w:color w:val="002060"/>
          <w:sz w:val="16"/>
          <w:szCs w:val="16"/>
        </w:rPr>
      </w:pPr>
      <w:bookmarkStart w:id="200" w:name="bookmark220"/>
      <w:r w:rsidRPr="00405303">
        <w:rPr>
          <w:bCs/>
          <w:color w:val="002060"/>
          <w:sz w:val="16"/>
          <w:szCs w:val="16"/>
        </w:rPr>
        <w:t>25 июля (7 августа) 1915 г. в 20 км от г. Владимир-Волынский нашими частями был захвачен германский самолет, совершивший вынужденную посадку в данном районе. В плен взяты два офицера-летчика и аппарат в качестве трофея (23406).</w:t>
      </w:r>
      <w:bookmarkEnd w:id="200"/>
    </w:p>
    <w:p w14:paraId="57D3F859" w14:textId="77777777" w:rsidR="00BB544A" w:rsidRPr="00405303" w:rsidRDefault="00BB544A" w:rsidP="00C15251">
      <w:pPr>
        <w:jc w:val="both"/>
        <w:rPr>
          <w:bCs/>
          <w:color w:val="002060"/>
          <w:sz w:val="16"/>
          <w:szCs w:val="16"/>
        </w:rPr>
      </w:pPr>
    </w:p>
    <w:p w14:paraId="0E2361FD" w14:textId="701C75D6" w:rsidR="00EB7F73" w:rsidRPr="00405303" w:rsidRDefault="00EB7F73" w:rsidP="00C15251">
      <w:pPr>
        <w:jc w:val="both"/>
        <w:rPr>
          <w:bCs/>
          <w:i/>
          <w:color w:val="002060"/>
          <w:sz w:val="16"/>
          <w:szCs w:val="16"/>
        </w:rPr>
      </w:pPr>
      <w:r w:rsidRPr="00405303">
        <w:rPr>
          <w:bCs/>
          <w:i/>
          <w:color w:val="002060"/>
          <w:sz w:val="16"/>
          <w:szCs w:val="16"/>
        </w:rPr>
        <w:t>Жизнь и внутренняя политика:</w:t>
      </w:r>
    </w:p>
    <w:p w14:paraId="7E72D5D0" w14:textId="77777777" w:rsidR="00EB7F73" w:rsidRPr="00405303" w:rsidRDefault="00EB7F73" w:rsidP="00C15251">
      <w:pPr>
        <w:jc w:val="both"/>
        <w:rPr>
          <w:bCs/>
          <w:i/>
          <w:color w:val="002060"/>
          <w:sz w:val="16"/>
          <w:szCs w:val="16"/>
        </w:rPr>
      </w:pPr>
    </w:p>
    <w:p w14:paraId="16818187" w14:textId="7EF53978" w:rsidR="00EB7F73" w:rsidRPr="00405303" w:rsidRDefault="00EB7F73" w:rsidP="00C15251">
      <w:pPr>
        <w:jc w:val="both"/>
        <w:rPr>
          <w:bCs/>
          <w:color w:val="002060"/>
          <w:sz w:val="16"/>
          <w:szCs w:val="16"/>
        </w:rPr>
      </w:pPr>
      <w:r w:rsidRPr="00405303">
        <w:rPr>
          <w:bCs/>
          <w:color w:val="002060"/>
          <w:sz w:val="16"/>
          <w:szCs w:val="16"/>
        </w:rPr>
        <w:t xml:space="preserve">25 июля </w:t>
      </w:r>
      <w:r w:rsidR="000A339F" w:rsidRPr="00405303">
        <w:rPr>
          <w:bCs/>
          <w:color w:val="002060"/>
          <w:sz w:val="16"/>
          <w:szCs w:val="16"/>
        </w:rPr>
        <w:t xml:space="preserve">(7 августа) </w:t>
      </w:r>
      <w:r w:rsidRPr="00405303">
        <w:rPr>
          <w:bCs/>
          <w:color w:val="002060"/>
          <w:sz w:val="16"/>
          <w:szCs w:val="16"/>
        </w:rPr>
        <w:t>в 1915 году открытие съезда ВПК (14963).</w:t>
      </w:r>
    </w:p>
    <w:p w14:paraId="0152E05A" w14:textId="77777777" w:rsidR="00EB7F73" w:rsidRPr="00405303" w:rsidRDefault="00EB7F73" w:rsidP="00C15251">
      <w:pPr>
        <w:jc w:val="both"/>
        <w:rPr>
          <w:bCs/>
          <w:color w:val="002060"/>
          <w:sz w:val="16"/>
          <w:szCs w:val="16"/>
        </w:rPr>
      </w:pPr>
    </w:p>
    <w:p w14:paraId="63759B09" w14:textId="196785BE" w:rsidR="00EB7F73" w:rsidRPr="00405303" w:rsidRDefault="00EB7F73" w:rsidP="00C15251">
      <w:pPr>
        <w:jc w:val="both"/>
        <w:rPr>
          <w:bCs/>
          <w:color w:val="002060"/>
          <w:sz w:val="16"/>
          <w:szCs w:val="16"/>
        </w:rPr>
      </w:pPr>
      <w:r w:rsidRPr="00405303">
        <w:rPr>
          <w:bCs/>
          <w:color w:val="002060"/>
          <w:sz w:val="16"/>
          <w:szCs w:val="16"/>
        </w:rPr>
        <w:t xml:space="preserve">25 июля </w:t>
      </w:r>
      <w:r w:rsidR="000A339F" w:rsidRPr="00405303">
        <w:rPr>
          <w:bCs/>
          <w:color w:val="002060"/>
          <w:sz w:val="16"/>
          <w:szCs w:val="16"/>
        </w:rPr>
        <w:t xml:space="preserve">(7 августа) </w:t>
      </w:r>
      <w:r w:rsidRPr="00405303">
        <w:rPr>
          <w:bCs/>
          <w:color w:val="002060"/>
          <w:sz w:val="16"/>
          <w:szCs w:val="16"/>
        </w:rPr>
        <w:t>в 1915 году российское правительство начинает эвакуацию рижских и варшавских предприятий (14963).</w:t>
      </w:r>
    </w:p>
    <w:p w14:paraId="31C986E8" w14:textId="77777777" w:rsidR="00EB7F73" w:rsidRPr="00405303" w:rsidRDefault="00EB7F73" w:rsidP="00C15251">
      <w:pPr>
        <w:jc w:val="both"/>
        <w:rPr>
          <w:bCs/>
          <w:color w:val="002060"/>
          <w:sz w:val="16"/>
          <w:szCs w:val="16"/>
        </w:rPr>
      </w:pPr>
    </w:p>
    <w:p w14:paraId="073472F5" w14:textId="7BC3B93D" w:rsidR="00BB544A" w:rsidRPr="00405303" w:rsidRDefault="00BB544A" w:rsidP="00C15251">
      <w:pPr>
        <w:jc w:val="both"/>
        <w:rPr>
          <w:bCs/>
          <w:i/>
          <w:color w:val="002060"/>
          <w:sz w:val="16"/>
          <w:szCs w:val="16"/>
        </w:rPr>
      </w:pPr>
      <w:r w:rsidRPr="00405303">
        <w:rPr>
          <w:bCs/>
          <w:i/>
          <w:color w:val="002060"/>
          <w:sz w:val="16"/>
          <w:szCs w:val="16"/>
        </w:rPr>
        <w:t>Авиация:</w:t>
      </w:r>
    </w:p>
    <w:p w14:paraId="426DCA1A" w14:textId="77777777" w:rsidR="00BB544A" w:rsidRPr="00405303" w:rsidRDefault="00BB544A" w:rsidP="00C15251">
      <w:pPr>
        <w:jc w:val="both"/>
        <w:rPr>
          <w:bCs/>
          <w:i/>
          <w:color w:val="002060"/>
          <w:sz w:val="16"/>
          <w:szCs w:val="16"/>
        </w:rPr>
      </w:pPr>
    </w:p>
    <w:p w14:paraId="6A05557F" w14:textId="77777777" w:rsidR="0006327C" w:rsidRPr="00405303" w:rsidRDefault="0006327C" w:rsidP="0006327C">
      <w:pPr>
        <w:jc w:val="both"/>
        <w:rPr>
          <w:color w:val="0070C0"/>
          <w:sz w:val="16"/>
          <w:szCs w:val="16"/>
        </w:rPr>
      </w:pPr>
      <w:r w:rsidRPr="00405303">
        <w:rPr>
          <w:rStyle w:val="aa"/>
          <w:rFonts w:ascii="Times New Roman" w:hAnsi="Times New Roman"/>
          <w:color w:val="0070C0"/>
          <w:spacing w:val="0"/>
          <w:sz w:val="16"/>
          <w:szCs w:val="16"/>
        </w:rPr>
        <w:t>26 июля (8 августа) 1915 г. вечером, цеппелин провел бомбометание жилых кварталов г. Вильна. Следующим объектом нападения неприятельского дирижабля стала Усть-Двинская крпость, на форты которой немцы сбросили две бомбы (угодили в море). На его перехват было поднято три наших самолета, одновременно огонь по воздушной цели открыла крепостная артиллерия. Цеппелин поспешил удалиться в сторону открытого моря. В тот же день его появление (в сопровождении нескольких аэропланов) было отмечено в районе г. Рига (25135).</w:t>
      </w:r>
    </w:p>
    <w:p w14:paraId="69ADC5D2" w14:textId="77777777" w:rsidR="0006327C" w:rsidRPr="00405303" w:rsidRDefault="0006327C" w:rsidP="0006327C">
      <w:pPr>
        <w:jc w:val="both"/>
        <w:rPr>
          <w:color w:val="0070C0"/>
          <w:sz w:val="16"/>
          <w:szCs w:val="16"/>
        </w:rPr>
      </w:pPr>
    </w:p>
    <w:p w14:paraId="4A8AFD94" w14:textId="77777777" w:rsidR="0006327C" w:rsidRPr="00405303" w:rsidRDefault="0006327C" w:rsidP="0006327C">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26 июля (8 августа) 1915 года с борта цеппелина на крепостные форты Усть-Двинска были сброшены две бомбы (угодили в море). На его перехват было поднято три наших самолета, одновременно огонь по воздушной цели открыла крепостная артиллерия. Цеппелин поспешил удалиться в сторону открытого моря (25166).</w:t>
      </w:r>
    </w:p>
    <w:p w14:paraId="512EED02" w14:textId="77777777" w:rsidR="0006327C" w:rsidRPr="00405303" w:rsidRDefault="0006327C" w:rsidP="0006327C">
      <w:pPr>
        <w:jc w:val="both"/>
        <w:rPr>
          <w:rStyle w:val="aa"/>
          <w:rFonts w:ascii="Times New Roman" w:hAnsi="Times New Roman"/>
          <w:color w:val="0070C0"/>
          <w:spacing w:val="0"/>
          <w:sz w:val="16"/>
          <w:szCs w:val="16"/>
        </w:rPr>
      </w:pPr>
    </w:p>
    <w:p w14:paraId="10474231" w14:textId="77777777" w:rsidR="0006327C" w:rsidRPr="00405303" w:rsidRDefault="0006327C" w:rsidP="0006327C">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26 июля (8 августа) 1915 г. районе города-порта Рига был зафиксирован полет цеппелина в сопровождении нескольких аэропланов (25166).</w:t>
      </w:r>
    </w:p>
    <w:p w14:paraId="18C30AD3" w14:textId="77777777" w:rsidR="0006327C" w:rsidRPr="00405303" w:rsidRDefault="0006327C" w:rsidP="0006327C">
      <w:pPr>
        <w:jc w:val="both"/>
        <w:rPr>
          <w:rStyle w:val="aa"/>
          <w:rFonts w:ascii="Times New Roman" w:hAnsi="Times New Roman"/>
          <w:color w:val="0070C0"/>
          <w:spacing w:val="0"/>
          <w:sz w:val="16"/>
          <w:szCs w:val="16"/>
        </w:rPr>
      </w:pPr>
    </w:p>
    <w:p w14:paraId="08EF2842" w14:textId="51B8917B" w:rsidR="00BB544A" w:rsidRPr="00405303" w:rsidRDefault="00BB544A" w:rsidP="00C15251">
      <w:pPr>
        <w:jc w:val="both"/>
        <w:rPr>
          <w:bCs/>
          <w:color w:val="002060"/>
          <w:sz w:val="16"/>
          <w:szCs w:val="16"/>
        </w:rPr>
      </w:pPr>
      <w:r w:rsidRPr="00405303">
        <w:rPr>
          <w:bCs/>
          <w:color w:val="002060"/>
          <w:sz w:val="16"/>
          <w:szCs w:val="16"/>
        </w:rPr>
        <w:t>В течение 26 июля (8 августа) 1915 г. противник проявил наибольшую активность на отдельных участках русско-германского фронта. Бомбардировке подверглись г. Митава, Холм (Хелм) и ст. Малкин (23405).</w:t>
      </w:r>
    </w:p>
    <w:p w14:paraId="59E82A2A" w14:textId="77777777" w:rsidR="00BB544A" w:rsidRPr="00405303" w:rsidRDefault="00BB544A" w:rsidP="00C15251">
      <w:pPr>
        <w:jc w:val="both"/>
        <w:rPr>
          <w:bCs/>
          <w:color w:val="002060"/>
          <w:sz w:val="16"/>
          <w:szCs w:val="16"/>
        </w:rPr>
      </w:pPr>
    </w:p>
    <w:p w14:paraId="6BC558E0" w14:textId="68C6158E" w:rsidR="00BB544A" w:rsidRPr="00405303" w:rsidRDefault="00BB544A" w:rsidP="00C15251">
      <w:pPr>
        <w:jc w:val="both"/>
        <w:rPr>
          <w:bCs/>
          <w:i/>
          <w:color w:val="002060"/>
          <w:sz w:val="16"/>
          <w:szCs w:val="16"/>
        </w:rPr>
      </w:pPr>
      <w:r w:rsidRPr="00405303">
        <w:rPr>
          <w:bCs/>
          <w:i/>
          <w:color w:val="002060"/>
          <w:sz w:val="16"/>
          <w:szCs w:val="16"/>
        </w:rPr>
        <w:t>Авиация и воздухоплпвание Германии:</w:t>
      </w:r>
    </w:p>
    <w:p w14:paraId="5B72709D" w14:textId="77777777" w:rsidR="00BB544A" w:rsidRPr="00405303" w:rsidRDefault="00BB544A" w:rsidP="00C15251">
      <w:pPr>
        <w:jc w:val="both"/>
        <w:rPr>
          <w:bCs/>
          <w:i/>
          <w:color w:val="002060"/>
          <w:sz w:val="16"/>
          <w:szCs w:val="16"/>
        </w:rPr>
      </w:pPr>
    </w:p>
    <w:p w14:paraId="7675CFBD" w14:textId="4431CF0C" w:rsidR="00BB544A" w:rsidRPr="00405303" w:rsidRDefault="00BB544A" w:rsidP="00C15251">
      <w:pPr>
        <w:jc w:val="both"/>
        <w:rPr>
          <w:bCs/>
          <w:color w:val="002060"/>
          <w:sz w:val="16"/>
          <w:szCs w:val="16"/>
        </w:rPr>
      </w:pPr>
      <w:r w:rsidRPr="00405303">
        <w:rPr>
          <w:bCs/>
          <w:color w:val="002060"/>
          <w:sz w:val="16"/>
          <w:szCs w:val="16"/>
        </w:rPr>
        <w:t>26 июля (8 августа) 1915 года самолет SSW R.I был сдан военно-воздушным силам и был передан в 501-й отряд тяжелых само</w:t>
      </w:r>
      <w:r w:rsidRPr="00405303">
        <w:rPr>
          <w:bCs/>
          <w:color w:val="002060"/>
          <w:sz w:val="16"/>
          <w:szCs w:val="16"/>
        </w:rPr>
        <w:softHyphen/>
        <w:t>летов (Riesenflugzeugabteilung-501), действовавший на Восточном фронте. Правда, из-за недостаточной мощности силовой установки корабль SSW R.I считался учебным и боевых вылетов не совершал.</w:t>
      </w:r>
    </w:p>
    <w:p w14:paraId="20AF7561" w14:textId="77777777" w:rsidR="00BB544A" w:rsidRPr="00405303" w:rsidRDefault="00BB544A" w:rsidP="00C15251">
      <w:pPr>
        <w:jc w:val="both"/>
        <w:rPr>
          <w:bCs/>
          <w:color w:val="002060"/>
          <w:sz w:val="16"/>
          <w:szCs w:val="16"/>
        </w:rPr>
      </w:pPr>
      <w:r w:rsidRPr="00405303">
        <w:rPr>
          <w:bCs/>
          <w:color w:val="002060"/>
          <w:sz w:val="16"/>
          <w:szCs w:val="16"/>
        </w:rPr>
        <w:t>После успешных испытаний SSW R.I Техническая инспекция военно- воздушных сил заключила с фирмой Сименс-Шуккерт договор на шесть усо</w:t>
      </w:r>
      <w:r w:rsidRPr="00405303">
        <w:rPr>
          <w:bCs/>
          <w:color w:val="002060"/>
          <w:sz w:val="16"/>
          <w:szCs w:val="16"/>
        </w:rPr>
        <w:softHyphen/>
        <w:t>вершенствованных самолетов того же типа (SSW R.ll - R.VII). Основным их от</w:t>
      </w:r>
      <w:r w:rsidRPr="00405303">
        <w:rPr>
          <w:bCs/>
          <w:color w:val="002060"/>
          <w:sz w:val="16"/>
          <w:szCs w:val="16"/>
        </w:rPr>
        <w:softHyphen/>
        <w:t>личием должна быть существенно более мощная силовая установка, состоящая из трех моторов «Майбах» HS мощностью по 240 л.с. Это было ошибкой. Моторы HS, самые мощные из имевшихся в 1915 году в Германии, создавались для дирижаблей. Для установки на самолеты они были облегчены, что отрицательно сказалось на надежности. Моторы пе</w:t>
      </w:r>
      <w:r w:rsidRPr="00405303">
        <w:rPr>
          <w:bCs/>
          <w:color w:val="002060"/>
          <w:sz w:val="16"/>
          <w:szCs w:val="16"/>
        </w:rPr>
        <w:softHyphen/>
        <w:t>риодически отказывали, перегревались, и фирма Сименс-Шуккерт потратила на доводку силовой установки самолетов, которых ждали на фронте, больше года. В результате удалось сдать воздушным силам только один самолет с моторами «Майбах» HS - SSW R.IV. Проблему перегрева моторов удалось решить уста</w:t>
      </w:r>
      <w:r w:rsidRPr="00405303">
        <w:rPr>
          <w:bCs/>
          <w:color w:val="002060"/>
          <w:sz w:val="16"/>
          <w:szCs w:val="16"/>
        </w:rPr>
        <w:softHyphen/>
        <w:t>новкой новых радиаторов большой пло</w:t>
      </w:r>
      <w:r w:rsidRPr="00405303">
        <w:rPr>
          <w:bCs/>
          <w:color w:val="002060"/>
          <w:sz w:val="16"/>
          <w:szCs w:val="16"/>
        </w:rPr>
        <w:softHyphen/>
        <w:t>щади, открывавшимся из фюзеляжа на</w:t>
      </w:r>
      <w:r w:rsidRPr="00405303">
        <w:rPr>
          <w:bCs/>
          <w:color w:val="002060"/>
          <w:sz w:val="16"/>
          <w:szCs w:val="16"/>
        </w:rPr>
        <w:softHyphen/>
        <w:t>встречу потоку, подобно боковым дверям.</w:t>
      </w:r>
    </w:p>
    <w:p w14:paraId="0636DD7D" w14:textId="77777777" w:rsidR="00BB544A" w:rsidRPr="00405303" w:rsidRDefault="00BB544A" w:rsidP="00C15251">
      <w:pPr>
        <w:jc w:val="both"/>
        <w:rPr>
          <w:bCs/>
          <w:color w:val="002060"/>
          <w:sz w:val="16"/>
          <w:szCs w:val="16"/>
        </w:rPr>
      </w:pPr>
      <w:r w:rsidRPr="00405303">
        <w:rPr>
          <w:bCs/>
          <w:color w:val="002060"/>
          <w:sz w:val="16"/>
          <w:szCs w:val="16"/>
        </w:rPr>
        <w:t>На остальные самолеты, после много</w:t>
      </w:r>
      <w:r w:rsidRPr="00405303">
        <w:rPr>
          <w:bCs/>
          <w:color w:val="002060"/>
          <w:sz w:val="16"/>
          <w:szCs w:val="16"/>
        </w:rPr>
        <w:softHyphen/>
        <w:t>кратных переделок, ставили моторы «Бенц» Bz.IV мощностью 220 л.с. (SSW R.Ill, R.V и R.VI), либо «Мерседес» D.IVa мощностью 260 л.с. (SSW R.ll и R.VII) (23453).</w:t>
      </w:r>
    </w:p>
    <w:p w14:paraId="01DBB052" w14:textId="77777777" w:rsidR="00BB544A" w:rsidRPr="00405303" w:rsidRDefault="00BB544A" w:rsidP="00C15251">
      <w:pPr>
        <w:jc w:val="both"/>
        <w:rPr>
          <w:bCs/>
          <w:color w:val="002060"/>
          <w:sz w:val="16"/>
          <w:szCs w:val="16"/>
          <w:lang w:bidi="ru-RU"/>
        </w:rPr>
      </w:pPr>
    </w:p>
    <w:p w14:paraId="1B494109" w14:textId="0CEF829D" w:rsidR="00EB7F73" w:rsidRPr="00405303" w:rsidRDefault="00EB7F73" w:rsidP="00C15251">
      <w:pPr>
        <w:jc w:val="both"/>
        <w:rPr>
          <w:bCs/>
          <w:i/>
          <w:color w:val="002060"/>
          <w:sz w:val="16"/>
          <w:szCs w:val="16"/>
        </w:rPr>
      </w:pPr>
      <w:r w:rsidRPr="00405303">
        <w:rPr>
          <w:bCs/>
          <w:i/>
          <w:color w:val="002060"/>
          <w:sz w:val="16"/>
          <w:szCs w:val="16"/>
        </w:rPr>
        <w:t>За рубежом:</w:t>
      </w:r>
    </w:p>
    <w:p w14:paraId="6450A612" w14:textId="77777777" w:rsidR="00EB7F73" w:rsidRPr="00405303" w:rsidRDefault="00EB7F73" w:rsidP="00C15251">
      <w:pPr>
        <w:jc w:val="both"/>
        <w:rPr>
          <w:bCs/>
          <w:color w:val="002060"/>
          <w:sz w:val="16"/>
          <w:szCs w:val="16"/>
        </w:rPr>
      </w:pPr>
    </w:p>
    <w:p w14:paraId="04FFFC66" w14:textId="77777777" w:rsidR="00EB7F73" w:rsidRPr="00405303" w:rsidRDefault="00EB7F73" w:rsidP="00C15251">
      <w:pPr>
        <w:jc w:val="both"/>
        <w:rPr>
          <w:bCs/>
          <w:color w:val="002060"/>
          <w:sz w:val="16"/>
          <w:szCs w:val="16"/>
        </w:rPr>
      </w:pPr>
      <w:r w:rsidRPr="00405303">
        <w:rPr>
          <w:bCs/>
          <w:color w:val="002060"/>
          <w:sz w:val="16"/>
          <w:szCs w:val="16"/>
        </w:rPr>
        <w:t>26 июля (8 августа) в 1915 году в Дарданеллах английской подлодкой затопляется турецкий линкор "Барбаросса" (14977).</w:t>
      </w:r>
    </w:p>
    <w:p w14:paraId="6B829232" w14:textId="77777777" w:rsidR="00EB7F73" w:rsidRPr="00405303" w:rsidRDefault="00EB7F73" w:rsidP="00C15251">
      <w:pPr>
        <w:jc w:val="both"/>
        <w:rPr>
          <w:bCs/>
          <w:color w:val="002060"/>
          <w:sz w:val="16"/>
          <w:szCs w:val="16"/>
        </w:rPr>
      </w:pPr>
    </w:p>
    <w:p w14:paraId="064DD066" w14:textId="77777777" w:rsidR="000A339F" w:rsidRPr="00405303" w:rsidRDefault="000A339F" w:rsidP="00C15251">
      <w:pPr>
        <w:jc w:val="both"/>
        <w:rPr>
          <w:bCs/>
          <w:i/>
          <w:color w:val="002060"/>
          <w:sz w:val="16"/>
          <w:szCs w:val="16"/>
        </w:rPr>
      </w:pPr>
      <w:r w:rsidRPr="00405303">
        <w:rPr>
          <w:bCs/>
          <w:i/>
          <w:color w:val="002060"/>
          <w:sz w:val="16"/>
          <w:szCs w:val="16"/>
        </w:rPr>
        <w:t>Другие оборонные отрасли:</w:t>
      </w:r>
    </w:p>
    <w:p w14:paraId="724090B9" w14:textId="77777777" w:rsidR="000A339F" w:rsidRPr="00405303" w:rsidRDefault="000A339F" w:rsidP="00C15251">
      <w:pPr>
        <w:jc w:val="both"/>
        <w:rPr>
          <w:bCs/>
          <w:i/>
          <w:color w:val="002060"/>
          <w:sz w:val="16"/>
          <w:szCs w:val="16"/>
        </w:rPr>
      </w:pPr>
    </w:p>
    <w:p w14:paraId="31FD07D6" w14:textId="61333860" w:rsidR="000A339F" w:rsidRPr="00405303" w:rsidRDefault="000A339F" w:rsidP="00C15251">
      <w:pPr>
        <w:jc w:val="both"/>
        <w:rPr>
          <w:bCs/>
          <w:color w:val="002060"/>
          <w:sz w:val="16"/>
          <w:szCs w:val="16"/>
        </w:rPr>
      </w:pPr>
      <w:r w:rsidRPr="00405303">
        <w:rPr>
          <w:bCs/>
          <w:color w:val="002060"/>
          <w:sz w:val="16"/>
          <w:szCs w:val="16"/>
        </w:rPr>
        <w:t>27 июля (9 августа) в 1915 году поднят Андреевский флаг над военно-спасательным судном «Волховъ», построенным Путиловским заводом в 1911 г. по заказу Морского генерального штаба для подъема и ремонта подводных лодок. Ныне уникальный спасательный катамаран «Волховъ – Коммуна», который до сих пор находится в строю российского ВМФ (14965).</w:t>
      </w:r>
    </w:p>
    <w:p w14:paraId="532275AE" w14:textId="77777777" w:rsidR="000A339F" w:rsidRPr="00405303" w:rsidRDefault="000A339F" w:rsidP="00C15251">
      <w:pPr>
        <w:jc w:val="both"/>
        <w:rPr>
          <w:bCs/>
          <w:color w:val="002060"/>
          <w:sz w:val="16"/>
          <w:szCs w:val="16"/>
        </w:rPr>
      </w:pPr>
    </w:p>
    <w:p w14:paraId="0B2F6A66" w14:textId="44C65E42" w:rsidR="004B4E35" w:rsidRPr="00405303" w:rsidRDefault="009E6F82" w:rsidP="00C15251">
      <w:pPr>
        <w:jc w:val="both"/>
        <w:rPr>
          <w:bCs/>
          <w:i/>
          <w:color w:val="002060"/>
          <w:sz w:val="16"/>
          <w:szCs w:val="16"/>
        </w:rPr>
      </w:pPr>
      <w:r w:rsidRPr="00405303">
        <w:rPr>
          <w:bCs/>
          <w:i/>
          <w:color w:val="002060"/>
          <w:sz w:val="16"/>
          <w:szCs w:val="16"/>
        </w:rPr>
        <w:t>А</w:t>
      </w:r>
      <w:r w:rsidR="000A339F" w:rsidRPr="00405303">
        <w:rPr>
          <w:bCs/>
          <w:i/>
          <w:color w:val="002060"/>
          <w:sz w:val="16"/>
          <w:szCs w:val="16"/>
        </w:rPr>
        <w:t>виация</w:t>
      </w:r>
      <w:r w:rsidRPr="00405303">
        <w:rPr>
          <w:bCs/>
          <w:i/>
          <w:color w:val="002060"/>
          <w:sz w:val="16"/>
          <w:szCs w:val="16"/>
        </w:rPr>
        <w:t>:</w:t>
      </w:r>
    </w:p>
    <w:p w14:paraId="351183A0" w14:textId="77777777" w:rsidR="004B4E35" w:rsidRPr="00405303" w:rsidRDefault="004B4E35" w:rsidP="00C15251">
      <w:pPr>
        <w:jc w:val="both"/>
        <w:rPr>
          <w:bCs/>
          <w:i/>
          <w:color w:val="002060"/>
          <w:sz w:val="16"/>
          <w:szCs w:val="16"/>
        </w:rPr>
      </w:pPr>
    </w:p>
    <w:p w14:paraId="7BF37048" w14:textId="26A6550F"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27 </w:t>
      </w:r>
      <w:r w:rsidR="000A339F" w:rsidRPr="00405303">
        <w:rPr>
          <w:bCs/>
          <w:color w:val="002060"/>
          <w:sz w:val="16"/>
          <w:szCs w:val="16"/>
        </w:rPr>
        <w:t xml:space="preserve">и 23 </w:t>
      </w:r>
      <w:r w:rsidRPr="00405303">
        <w:rPr>
          <w:bCs/>
          <w:color w:val="002060"/>
          <w:sz w:val="16"/>
          <w:szCs w:val="16"/>
        </w:rPr>
        <w:t xml:space="preserve">июля </w:t>
      </w:r>
      <w:r w:rsidR="000A339F" w:rsidRPr="00405303">
        <w:rPr>
          <w:bCs/>
          <w:color w:val="002060"/>
          <w:sz w:val="16"/>
          <w:szCs w:val="16"/>
        </w:rPr>
        <w:t xml:space="preserve">(9 и 5 августа) </w:t>
      </w:r>
      <w:r w:rsidRPr="00405303">
        <w:rPr>
          <w:bCs/>
          <w:color w:val="002060"/>
          <w:sz w:val="16"/>
          <w:szCs w:val="16"/>
        </w:rPr>
        <w:t xml:space="preserve">1915г. </w:t>
      </w:r>
      <w:r w:rsidR="000A339F" w:rsidRPr="00405303">
        <w:rPr>
          <w:bCs/>
          <w:color w:val="002060"/>
          <w:sz w:val="16"/>
          <w:szCs w:val="16"/>
        </w:rPr>
        <w:t>в</w:t>
      </w:r>
      <w:r w:rsidRPr="00405303">
        <w:rPr>
          <w:bCs/>
          <w:color w:val="002060"/>
          <w:sz w:val="16"/>
          <w:szCs w:val="16"/>
        </w:rPr>
        <w:t xml:space="preserve"> Главном военном техническом управлении проведены Особые совещания по организации авиационного дела в действующей армии. Наиболее важными из принятых реше</w:t>
      </w:r>
      <w:r w:rsidRPr="00405303">
        <w:rPr>
          <w:bCs/>
          <w:color w:val="002060"/>
          <w:sz w:val="16"/>
          <w:szCs w:val="16"/>
        </w:rPr>
        <w:softHyphen/>
        <w:t>ний являются вопросы об организации военной приемки на авиазаводах и обучения летчиков в частных школах авиации (11425).</w:t>
      </w:r>
    </w:p>
    <w:p w14:paraId="45276E38" w14:textId="77777777" w:rsidR="004B4E35" w:rsidRPr="00405303" w:rsidRDefault="004B4E35" w:rsidP="00C15251">
      <w:pPr>
        <w:shd w:val="clear" w:color="auto" w:fill="FFFFFF"/>
        <w:jc w:val="both"/>
        <w:rPr>
          <w:bCs/>
          <w:color w:val="002060"/>
          <w:sz w:val="16"/>
          <w:szCs w:val="16"/>
        </w:rPr>
      </w:pPr>
    </w:p>
    <w:p w14:paraId="14BC421F" w14:textId="3DB78A55" w:rsidR="004B4E35" w:rsidRPr="00405303" w:rsidRDefault="009E6F82" w:rsidP="00C15251">
      <w:pPr>
        <w:jc w:val="both"/>
        <w:rPr>
          <w:bCs/>
          <w:color w:val="002060"/>
          <w:sz w:val="16"/>
          <w:szCs w:val="16"/>
        </w:rPr>
      </w:pPr>
      <w:r w:rsidRPr="00405303">
        <w:rPr>
          <w:bCs/>
          <w:color w:val="002060"/>
          <w:sz w:val="16"/>
          <w:szCs w:val="16"/>
        </w:rPr>
        <w:t xml:space="preserve">27 июля (9 августа) 1915 </w:t>
      </w:r>
      <w:r w:rsidR="000A339F" w:rsidRPr="00405303">
        <w:rPr>
          <w:bCs/>
          <w:color w:val="002060"/>
          <w:sz w:val="16"/>
          <w:szCs w:val="16"/>
        </w:rPr>
        <w:t xml:space="preserve">г. LZ-17 предпринял </w:t>
      </w:r>
      <w:r w:rsidRPr="00405303">
        <w:rPr>
          <w:bCs/>
          <w:color w:val="002060"/>
          <w:sz w:val="16"/>
          <w:szCs w:val="16"/>
        </w:rPr>
        <w:t xml:space="preserve">из Кенигсберга налет на Вильно. </w:t>
      </w:r>
      <w:r w:rsidR="000A339F" w:rsidRPr="00405303">
        <w:rPr>
          <w:bCs/>
          <w:color w:val="002060"/>
          <w:sz w:val="16"/>
          <w:szCs w:val="16"/>
        </w:rPr>
        <w:t>28 июля (</w:t>
      </w:r>
      <w:r w:rsidRPr="00405303">
        <w:rPr>
          <w:bCs/>
          <w:color w:val="002060"/>
          <w:sz w:val="16"/>
          <w:szCs w:val="16"/>
        </w:rPr>
        <w:t>10 августа</w:t>
      </w:r>
      <w:r w:rsidR="000A339F" w:rsidRPr="00405303">
        <w:rPr>
          <w:bCs/>
          <w:color w:val="002060"/>
          <w:sz w:val="16"/>
          <w:szCs w:val="16"/>
        </w:rPr>
        <w:t>)</w:t>
      </w:r>
      <w:r w:rsidRPr="00405303">
        <w:rPr>
          <w:bCs/>
          <w:color w:val="002060"/>
          <w:sz w:val="16"/>
          <w:szCs w:val="16"/>
        </w:rPr>
        <w:t xml:space="preserve"> 1915 года, пройдя 1200 км, LZ-79 отбомбился по Брест-Литовску (11324).</w:t>
      </w:r>
    </w:p>
    <w:p w14:paraId="154168B2" w14:textId="77777777" w:rsidR="004B4E35" w:rsidRPr="00405303" w:rsidRDefault="004B4E35" w:rsidP="00C15251">
      <w:pPr>
        <w:jc w:val="both"/>
        <w:rPr>
          <w:bCs/>
          <w:color w:val="002060"/>
          <w:sz w:val="16"/>
          <w:szCs w:val="16"/>
        </w:rPr>
      </w:pPr>
    </w:p>
    <w:p w14:paraId="716E888D" w14:textId="25ABEB6F" w:rsidR="00F2328F" w:rsidRPr="00405303" w:rsidRDefault="000A339F" w:rsidP="00C15251">
      <w:pPr>
        <w:pStyle w:val="a3"/>
        <w:jc w:val="both"/>
        <w:rPr>
          <w:bCs/>
          <w:iCs/>
          <w:color w:val="002060"/>
          <w:spacing w:val="0"/>
          <w:kern w:val="0"/>
          <w:position w:val="0"/>
          <w:sz w:val="16"/>
          <w:szCs w:val="16"/>
        </w:rPr>
      </w:pPr>
      <w:r w:rsidRPr="00405303">
        <w:rPr>
          <w:bCs/>
          <w:iCs/>
          <w:color w:val="002060"/>
          <w:spacing w:val="0"/>
          <w:kern w:val="0"/>
          <w:position w:val="0"/>
          <w:sz w:val="16"/>
          <w:szCs w:val="16"/>
        </w:rPr>
        <w:t>Военное воздухоплавание:</w:t>
      </w:r>
    </w:p>
    <w:p w14:paraId="4F73B673" w14:textId="77777777" w:rsidR="000A339F" w:rsidRPr="00405303" w:rsidRDefault="000A339F" w:rsidP="00C15251">
      <w:pPr>
        <w:pStyle w:val="a3"/>
        <w:jc w:val="both"/>
        <w:rPr>
          <w:bCs/>
          <w:iCs/>
          <w:color w:val="002060"/>
          <w:spacing w:val="0"/>
          <w:kern w:val="0"/>
          <w:position w:val="0"/>
          <w:sz w:val="16"/>
          <w:szCs w:val="16"/>
        </w:rPr>
      </w:pPr>
    </w:p>
    <w:p w14:paraId="17FBCB85" w14:textId="0893DC86" w:rsidR="00F2328F" w:rsidRPr="00405303" w:rsidRDefault="00F2328F" w:rsidP="00C15251">
      <w:pPr>
        <w:jc w:val="both"/>
        <w:rPr>
          <w:bCs/>
          <w:color w:val="002060"/>
          <w:sz w:val="16"/>
          <w:szCs w:val="16"/>
        </w:rPr>
      </w:pPr>
      <w:r w:rsidRPr="00405303">
        <w:rPr>
          <w:rStyle w:val="42"/>
          <w:rFonts w:ascii="Times New Roman" w:hAnsi="Times New Roman" w:cs="Times New Roman"/>
          <w:bCs/>
          <w:color w:val="002060"/>
          <w:w w:val="100"/>
          <w:sz w:val="16"/>
          <w:szCs w:val="16"/>
        </w:rPr>
        <w:t xml:space="preserve">27 июля (9 августа) </w:t>
      </w:r>
      <w:r w:rsidR="000A339F" w:rsidRPr="00405303">
        <w:rPr>
          <w:rStyle w:val="42"/>
          <w:rFonts w:ascii="Times New Roman" w:hAnsi="Times New Roman" w:cs="Times New Roman"/>
          <w:bCs/>
          <w:color w:val="002060"/>
          <w:w w:val="100"/>
          <w:sz w:val="16"/>
          <w:szCs w:val="16"/>
        </w:rPr>
        <w:t xml:space="preserve">1915 г. </w:t>
      </w:r>
      <w:r w:rsidRPr="00405303">
        <w:rPr>
          <w:rStyle w:val="42"/>
          <w:rFonts w:ascii="Times New Roman" w:hAnsi="Times New Roman" w:cs="Times New Roman"/>
          <w:bCs/>
          <w:color w:val="002060"/>
          <w:w w:val="100"/>
          <w:sz w:val="16"/>
          <w:szCs w:val="16"/>
        </w:rPr>
        <w:t>в 21.35 «Астра» пошла в боевой полёт, но уже в 23.40 из-за перерасхода балласта, вызванного охлаждением водорода в оболочке от мелкого дождя и тумана, вернулась, не дойдя до противника. 4 августа поступил приказ переле</w:t>
      </w:r>
      <w:r w:rsidRPr="00405303">
        <w:rPr>
          <w:rStyle w:val="42"/>
          <w:rFonts w:ascii="Times New Roman" w:hAnsi="Times New Roman" w:cs="Times New Roman"/>
          <w:bCs/>
          <w:color w:val="002060"/>
          <w:w w:val="100"/>
          <w:sz w:val="16"/>
          <w:szCs w:val="16"/>
        </w:rPr>
        <w:softHyphen/>
        <w:t>теть в Лиду (20120).</w:t>
      </w:r>
    </w:p>
    <w:p w14:paraId="31BB6D3B" w14:textId="77777777" w:rsidR="00F2328F" w:rsidRPr="00405303" w:rsidRDefault="00F2328F" w:rsidP="00C15251">
      <w:pPr>
        <w:jc w:val="both"/>
        <w:rPr>
          <w:bCs/>
          <w:color w:val="002060"/>
          <w:sz w:val="16"/>
          <w:szCs w:val="16"/>
        </w:rPr>
      </w:pPr>
    </w:p>
    <w:p w14:paraId="2EF4803B"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74E8317F" w14:textId="77777777" w:rsidR="004B4E35" w:rsidRPr="00405303" w:rsidRDefault="004B4E35" w:rsidP="00C15251">
      <w:pPr>
        <w:jc w:val="both"/>
        <w:rPr>
          <w:bCs/>
          <w:i/>
          <w:color w:val="002060"/>
          <w:sz w:val="16"/>
          <w:szCs w:val="16"/>
        </w:rPr>
      </w:pPr>
    </w:p>
    <w:p w14:paraId="0ABFBBB8" w14:textId="51E046DA" w:rsidR="004B4E35" w:rsidRPr="00405303" w:rsidRDefault="000A339F" w:rsidP="00C15251">
      <w:pPr>
        <w:jc w:val="both"/>
        <w:rPr>
          <w:bCs/>
          <w:color w:val="002060"/>
          <w:sz w:val="16"/>
          <w:szCs w:val="16"/>
        </w:rPr>
      </w:pPr>
      <w:r w:rsidRPr="00405303">
        <w:rPr>
          <w:bCs/>
          <w:color w:val="002060"/>
          <w:sz w:val="16"/>
          <w:szCs w:val="16"/>
        </w:rPr>
        <w:t>2</w:t>
      </w:r>
      <w:r w:rsidR="009E6F82" w:rsidRPr="00405303">
        <w:rPr>
          <w:bCs/>
          <w:color w:val="002060"/>
          <w:sz w:val="16"/>
          <w:szCs w:val="16"/>
        </w:rPr>
        <w:t xml:space="preserve">7 июля (9 августа) 1915 дирижабли L-9, L-12, L-13 из Хага и L-10 и L-11 из Нордхольца, после рандеву над Северным морем, взяли курс на Лондон — они жаждали мести. Надо сказать, что Штрассер вел в бой довольно внушительную воздушную армаду — 5 цеппелинов, длиной 160 м каждый, несли вместе более 440 зажигательных и фугасных бомб, которые следовало сбросить на лондонские доки и заводы в северной части города. Но в этот раз «Бог хранил Англию». Неудачи начали преследовать отряд Штрассера практически с момента взлета. Во время всего пути от побережья Германии до «туманного Альбиона» дирижаблям приходилось бороться с непогодой. Резкий порывистый ветер с Атлантики сбивал их с курса, а пелена дождя, застилавшая горизонт, мешала штурманам ориентироваться. В результате ни один из пяти боевых воздушных кораблей так и не достиг конечной точки [126] маршрута. L-13 пришлось вернуться на базу из-за неисправности двигателя буквально через час после вылета. Экипаж L-11 сбросил бомбы в море после того, как был обстрелян английским военным кораблем. Капитан дирижабля почему-то решил, что по нему ведут огонь береговые батареи, расположенные в окрестностях Гарвича, и отдал приказ на сброс. L-10, долго боровшийся с непогодой, пробился-таки к Британским островам. Отвратительная видимость не позволила Петеру Штрассеру правильно определить свое место, и ему показалось, что цеппелин уже находится над устьем Темзы. Через несколько секунд по команде командира бомбардир дернул рычаг бомбосбрасывателя, и фугаски вперемежку с зажигалками с воем ушли в темноту. Вернувшись из полета, командир Дивизиона воздушных кораблей был весьма неприятно удивлен, узнав, что вместо лондонских доков он бомбил травяную взлетно-посадочную полосу базы морской авиации Истчерч, находившейся на небольшом островке Шеппей. Повреждения, причиненные бомбами, сброшенными с L-10, были исправлены уже на следующий день. И только L-9 нанес англичанам более-менее ощутимый урон, отбомбившись по городским кварталам Гуля, крупного порта, расположенного в устье реки Хамбер в Северной Англии. На перехват цеппелинов поднялись 19 самолетов. Только 3 из них обнаружили дирижабли, но так и не смогли атаковать. </w:t>
      </w:r>
    </w:p>
    <w:p w14:paraId="78912894" w14:textId="77777777" w:rsidR="004B4E35" w:rsidRPr="00405303" w:rsidRDefault="009E6F82" w:rsidP="00C15251">
      <w:pPr>
        <w:jc w:val="both"/>
        <w:rPr>
          <w:bCs/>
          <w:color w:val="002060"/>
          <w:sz w:val="16"/>
          <w:szCs w:val="16"/>
        </w:rPr>
      </w:pPr>
      <w:r w:rsidRPr="00405303">
        <w:rPr>
          <w:bCs/>
          <w:color w:val="002060"/>
          <w:sz w:val="16"/>
          <w:szCs w:val="16"/>
        </w:rPr>
        <w:t xml:space="preserve">Самая незавидная участь выпала на долю дирижабля L-12. Штурман довольно точно вывел корабль к английским берегам в районе Вестгейта, чуть южнее того места, где Темза впадает в море. И опять непогода помешала командиру цеппелина правильно определить свое местонахождение. Капитан L-12 Вернер Петерсон посчитал, что из-за попутного ветра скорость дирижабля была выше расчетной и он находится гораздо севернее Лондона, над графством Норфолк. Внизу мерцали какие-то огни. Их симметричное расположение и сбило с толку Петерсона, который решил, что под ним находятся крепостные укрепления Гарвича. На самом деле в тот момент L-12 пролетал над гаванью порта Дувр. Не долго думая, Петерсон приказал сбросить бомбы: из двадцати семи только три угодили на берег, а остальные разорвались в воде, не причинив никому никакого вреда. </w:t>
      </w:r>
    </w:p>
    <w:p w14:paraId="73CEB272" w14:textId="77777777" w:rsidR="004B4E35" w:rsidRPr="00405303" w:rsidRDefault="009E6F82" w:rsidP="00C15251">
      <w:pPr>
        <w:jc w:val="both"/>
        <w:rPr>
          <w:bCs/>
          <w:color w:val="002060"/>
          <w:sz w:val="16"/>
          <w:szCs w:val="16"/>
        </w:rPr>
      </w:pPr>
      <w:r w:rsidRPr="00405303">
        <w:rPr>
          <w:bCs/>
          <w:color w:val="002060"/>
          <w:sz w:val="16"/>
          <w:szCs w:val="16"/>
        </w:rPr>
        <w:t xml:space="preserve">За свою беспечность Петерсон поплатился очень жестоко. Как только на земле загремели взрывы, зенитная батарея, прикрывавшая порт, открыла по L-12 ураганный огонь. Один из 3-дюймовых снарядов взорвался у самого носа цеппелина, повредив осколками два из шестнадцати баллонов с водородом. Дирижабль начал медленно, </w:t>
      </w:r>
      <w:proofErr w:type="gramStart"/>
      <w:r w:rsidRPr="00405303">
        <w:rPr>
          <w:bCs/>
          <w:color w:val="002060"/>
          <w:sz w:val="16"/>
          <w:szCs w:val="16"/>
        </w:rPr>
        <w:t>но верно</w:t>
      </w:r>
      <w:proofErr w:type="gramEnd"/>
      <w:r w:rsidRPr="00405303">
        <w:rPr>
          <w:bCs/>
          <w:color w:val="002060"/>
          <w:sz w:val="16"/>
          <w:szCs w:val="16"/>
        </w:rPr>
        <w:t xml:space="preserve"> терять высоту. В надежде, что с увеличением скорости аэродинамическая подъемная сила возрастет, Вернер Петерсон приказал перевести двигатели на максимальный режим. На несколько секунд L-12 выровнялся, а затем опять опустил нос к земле. «Выбросить за борт запчасти и бортпаек!» — скомандовал капитан. Но и этого было недостаточно. Тогда вслед за пайком полетели [127] пулеметы, патроны, теплая одежда. Скорость снижения заметно уменьшилась, но шансы достичь ближайшей базы дивизиона таяли с каждым потерянным метром высоты. Петерсон принял решение тянуть до оккупированной немцами Бельгии — ближайшей к L-12 земной тверди. Встречный ветер отбрасывал подбитый дирижабль назад, перечеркивая все усилия экипажа в борьбе за спасение своего воздушного корабля. </w:t>
      </w:r>
    </w:p>
    <w:p w14:paraId="5BA0A2D8" w14:textId="77777777" w:rsidR="004B4E35" w:rsidRPr="00405303" w:rsidRDefault="009E6F82" w:rsidP="00C15251">
      <w:pPr>
        <w:jc w:val="both"/>
        <w:rPr>
          <w:bCs/>
          <w:color w:val="002060"/>
          <w:sz w:val="16"/>
          <w:szCs w:val="16"/>
        </w:rPr>
      </w:pPr>
      <w:r w:rsidRPr="00405303">
        <w:rPr>
          <w:bCs/>
          <w:color w:val="002060"/>
          <w:sz w:val="16"/>
          <w:szCs w:val="16"/>
        </w:rPr>
        <w:t xml:space="preserve">Развязка наступила примерно в 3 часа утра. Выбрасывать за борт было уже нечего. Отчаянно пытаясь облегчить дирижабль, команда L-12 избавилась от радиостанции, пустых топливных баков, поручней в рулевой рубке и даже деталей переднего двигателя, который к тому времени уже остановился из-за выработки топлива. Все оказалось напрасным. Перед рассветом L-12 плавно опустился на спокойную в этот час гладь Ла-Манша и начал потихоньку дрейфовать к английскому побережью. </w:t>
      </w:r>
    </w:p>
    <w:p w14:paraId="3C9413CF"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Экипаж цеппелина собрался в кормовой гондоле, которая висела в воздухе над самой водой, поддерживаемая подъемной силой водорода в уцелевших баллонах. Все было бы неплохо, если бы испарения топлива и утечка водорода не заставляли членов команды время от времени бросаться в воду и отплывать на несколько метров от дирижабля, чтобы подышать свежим воздухом. </w:t>
      </w:r>
    </w:p>
    <w:p w14:paraId="17C8AFCA" w14:textId="77777777" w:rsidR="004B4E35" w:rsidRPr="00405303" w:rsidRDefault="009E6F82" w:rsidP="00C15251">
      <w:pPr>
        <w:jc w:val="both"/>
        <w:rPr>
          <w:bCs/>
          <w:color w:val="002060"/>
          <w:sz w:val="16"/>
          <w:szCs w:val="16"/>
        </w:rPr>
      </w:pPr>
      <w:r w:rsidRPr="00405303">
        <w:rPr>
          <w:bCs/>
          <w:color w:val="002060"/>
          <w:sz w:val="16"/>
          <w:szCs w:val="16"/>
        </w:rPr>
        <w:t xml:space="preserve">Уже совсем рассвело, когда дрейфующий L-12 был замечен с немецкого сторожевого катера. Петерсон был готов к тому, чтобы поджечь свой дирижабль при угрозе захвата его противником, но появление своего военного корабля вселило новую надежду на спасение. [128] По словам командира катера, подбитый дирижабль совсем немного не дотянул до города Зебрюгге, в котором находилась одна из баз Дивизиона воздушных кораблей. Пересадив часть команды на сторожевой катер, Вернер Петерсон приказал подать буксир на дирижабль и дать на катере полный ход. И случилось чудо — сначала медленно, рывками, а затем все быстрее и быстрее крошка-катерок потянул за собой махину L-12. Через несколько часов поврежденный дирижабль уже находился в гавани порта Остенде неподалеку от Зебрюгге. </w:t>
      </w:r>
    </w:p>
    <w:p w14:paraId="090C85B8" w14:textId="77777777" w:rsidR="004B4E35" w:rsidRPr="00405303" w:rsidRDefault="009E6F82" w:rsidP="00C15251">
      <w:pPr>
        <w:jc w:val="both"/>
        <w:rPr>
          <w:bCs/>
          <w:color w:val="002060"/>
          <w:sz w:val="16"/>
          <w:szCs w:val="16"/>
        </w:rPr>
      </w:pPr>
      <w:r w:rsidRPr="00405303">
        <w:rPr>
          <w:bCs/>
          <w:color w:val="002060"/>
          <w:sz w:val="16"/>
          <w:szCs w:val="16"/>
        </w:rPr>
        <w:t xml:space="preserve">Очутившись на берегу, Петерсон решил ни в коем случае не бросать с таким трудом спасенный цеппелин, а залатать пробитые баллоны, исправить двигатель и перелететь на ближайшую воздухоплавательную базу для более основательного ремонта. Однако его противники вряд ли могли согласиться с такими планами. </w:t>
      </w:r>
    </w:p>
    <w:p w14:paraId="40729333" w14:textId="77777777" w:rsidR="004B4E35" w:rsidRPr="00405303" w:rsidRDefault="009E6F82" w:rsidP="00C15251">
      <w:pPr>
        <w:jc w:val="both"/>
        <w:rPr>
          <w:bCs/>
          <w:color w:val="002060"/>
          <w:sz w:val="16"/>
          <w:szCs w:val="16"/>
        </w:rPr>
      </w:pPr>
      <w:r w:rsidRPr="00405303">
        <w:rPr>
          <w:bCs/>
          <w:color w:val="002060"/>
          <w:sz w:val="16"/>
          <w:szCs w:val="16"/>
        </w:rPr>
        <w:t xml:space="preserve">Как только в штаб военно-морского флота Великобритании поступили разведданные, что в Остенде находится подбитый немецкий дирижабль, Уинстон Черчилль отдал приказ как можно скорее его уничтожить. Буквально на следующий день шестерка летающих лодок из «противодирижабельной» эскадрильи атаковала несчастный L-12, беспомощно лежавший на берегу возле причалов. Но, видимо, судьба хранила этот воздушный корабль. Зенитки, прикрывавшие порт, выстроили в небе настоящую стену заградительного огня. Все попытки англичан пробиться сквозь нее привели лишь к потере одного самолета, а многострадальный дирижабль новых повреждений не получил. Однако подняться в небо L-12 было уже не суждено. Командование сочло восстановление серьезно поврежденного цеппелина нецелесообразным, и он был разобран на металл, который пошел на постройку новых, более совершенных кораблей для дивизиона. </w:t>
      </w:r>
    </w:p>
    <w:p w14:paraId="0685DD94" w14:textId="77777777" w:rsidR="004B4E35" w:rsidRPr="00405303" w:rsidRDefault="009E6F82" w:rsidP="00C15251">
      <w:pPr>
        <w:jc w:val="both"/>
        <w:rPr>
          <w:bCs/>
          <w:color w:val="002060"/>
          <w:sz w:val="16"/>
          <w:szCs w:val="16"/>
        </w:rPr>
      </w:pPr>
      <w:r w:rsidRPr="00405303">
        <w:rPr>
          <w:bCs/>
          <w:color w:val="002060"/>
          <w:sz w:val="16"/>
          <w:szCs w:val="16"/>
        </w:rPr>
        <w:t xml:space="preserve">Так закончился первый массовый налет Дивизиона воздушных кораблей на Лондон. Как ни странно, но Штрассер был доволен его результатами. Разбирая с офицерами действия каждого экипажа во время рейда и совершенные при этом ошибки, Штрассер уверенно заявил: «Мы готовы к тому, чтобы превратить Лондон в руины». </w:t>
      </w:r>
    </w:p>
    <w:p w14:paraId="58922645" w14:textId="77777777" w:rsidR="004B4E35" w:rsidRPr="00405303" w:rsidRDefault="009E6F82" w:rsidP="00C15251">
      <w:pPr>
        <w:jc w:val="both"/>
        <w:rPr>
          <w:bCs/>
          <w:color w:val="002060"/>
          <w:sz w:val="16"/>
          <w:szCs w:val="16"/>
        </w:rPr>
      </w:pPr>
      <w:r w:rsidRPr="00405303">
        <w:rPr>
          <w:bCs/>
          <w:color w:val="002060"/>
          <w:sz w:val="16"/>
          <w:szCs w:val="16"/>
        </w:rPr>
        <w:t>В этот день удачно отработал на море превосходный разведывательный мягкий дирижабль типа «Парсеваль» PL-25, вместе с L-7 вышедший для установления связи со вспомогательным крейсером «Метеор», который, возвращаясь от берегов Англии после постановки мин, был отогнан противником к Скагерраку и держал курс на соединение с флотом, высланным ему на выручку. У маяка Хорис-Риф PL-25 обнаружил 6 английских крейсеров и 2 миноносца, державших курс к датским берегам. Они открыли по дирижаблю, находившемуся на высоте 1000 м, огонь из тяжелых орудий, так как, очевидно, зенитных орудий на кораблях не было. Уходя от огня, дирижабль скрылся в облаках, а когда появился снова, английские суда повернули и пошли на запад. Под огнем кораблей англичан PL-25 по радио сообщал германскому [129] флоту и «Метеору» местонахождении противника, в результате чего немецкий крейсер благополучно ушел от погони и соединился с подошедшими кораблями (11324).</w:t>
      </w:r>
    </w:p>
    <w:p w14:paraId="79D3050C" w14:textId="77777777" w:rsidR="004B4E35" w:rsidRPr="00405303" w:rsidRDefault="004B4E35" w:rsidP="00C15251">
      <w:pPr>
        <w:jc w:val="both"/>
        <w:rPr>
          <w:bCs/>
          <w:i/>
          <w:color w:val="002060"/>
          <w:sz w:val="16"/>
          <w:szCs w:val="16"/>
        </w:rPr>
      </w:pPr>
    </w:p>
    <w:p w14:paraId="2F75915A"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4C55E410" w14:textId="77777777" w:rsidR="004B4E35" w:rsidRPr="00405303" w:rsidRDefault="004B4E35" w:rsidP="00C15251">
      <w:pPr>
        <w:jc w:val="both"/>
        <w:rPr>
          <w:bCs/>
          <w:i/>
          <w:color w:val="002060"/>
          <w:sz w:val="16"/>
          <w:szCs w:val="16"/>
        </w:rPr>
      </w:pPr>
    </w:p>
    <w:p w14:paraId="161B26C3" w14:textId="0FB2EBF7" w:rsidR="004B4E35" w:rsidRPr="00405303" w:rsidRDefault="009E6F82" w:rsidP="00C15251">
      <w:pPr>
        <w:jc w:val="both"/>
        <w:rPr>
          <w:bCs/>
          <w:color w:val="002060"/>
          <w:sz w:val="16"/>
          <w:szCs w:val="16"/>
        </w:rPr>
      </w:pPr>
      <w:r w:rsidRPr="00405303">
        <w:rPr>
          <w:bCs/>
          <w:color w:val="002060"/>
          <w:sz w:val="16"/>
          <w:szCs w:val="16"/>
        </w:rPr>
        <w:t xml:space="preserve">28 июля (10 августа) 1915 г. </w:t>
      </w:r>
      <w:r w:rsidR="000A339F" w:rsidRPr="00405303">
        <w:rPr>
          <w:bCs/>
          <w:color w:val="002060"/>
          <w:sz w:val="16"/>
          <w:szCs w:val="16"/>
        </w:rPr>
        <w:t xml:space="preserve">был освящен «Илья Муромец» тип «В» (заводской № 167) с первыми РБВЗ-6. </w:t>
      </w:r>
      <w:r w:rsidRPr="00405303">
        <w:rPr>
          <w:bCs/>
          <w:color w:val="002060"/>
          <w:sz w:val="16"/>
          <w:szCs w:val="16"/>
        </w:rPr>
        <w:t>Этот корабль и «Киевский», оснащенный еще довоенными «Аргусами», были лучшими в эскадре (11196).</w:t>
      </w:r>
    </w:p>
    <w:p w14:paraId="2AAABE5D" w14:textId="77777777" w:rsidR="004B4E35" w:rsidRPr="00405303" w:rsidRDefault="004B4E35" w:rsidP="00C15251">
      <w:pPr>
        <w:jc w:val="both"/>
        <w:rPr>
          <w:bCs/>
          <w:color w:val="002060"/>
          <w:sz w:val="16"/>
          <w:szCs w:val="16"/>
        </w:rPr>
      </w:pPr>
    </w:p>
    <w:p w14:paraId="29479523" w14:textId="77777777" w:rsidR="007A0D0A" w:rsidRPr="00405303" w:rsidRDefault="007A0D0A" w:rsidP="00C15251">
      <w:pPr>
        <w:jc w:val="both"/>
        <w:rPr>
          <w:bCs/>
          <w:color w:val="002060"/>
          <w:sz w:val="16"/>
          <w:szCs w:val="16"/>
        </w:rPr>
      </w:pPr>
      <w:r w:rsidRPr="00405303">
        <w:rPr>
          <w:bCs/>
          <w:color w:val="002060"/>
          <w:sz w:val="16"/>
          <w:szCs w:val="16"/>
        </w:rPr>
        <w:t>28 июля (10 августа) 1915 г. «Илья Муромец» тип «В» (заводской № 167) с первыми РБВЗ-6 был освящен. Этот корабль и «Киевский», оснащенный еще довоенными «Аргусами», были лучшими в эскадре (19963).</w:t>
      </w:r>
    </w:p>
    <w:p w14:paraId="3A313535" w14:textId="77777777" w:rsidR="007A0D0A" w:rsidRPr="00405303" w:rsidRDefault="007A0D0A" w:rsidP="00C15251">
      <w:pPr>
        <w:jc w:val="both"/>
        <w:rPr>
          <w:bCs/>
          <w:color w:val="002060"/>
          <w:sz w:val="16"/>
          <w:szCs w:val="16"/>
        </w:rPr>
      </w:pPr>
    </w:p>
    <w:p w14:paraId="41EBDB32" w14:textId="56774407" w:rsidR="00BB544A" w:rsidRPr="00405303" w:rsidRDefault="00BB544A" w:rsidP="00C15251">
      <w:pPr>
        <w:jc w:val="both"/>
        <w:rPr>
          <w:bCs/>
          <w:color w:val="002060"/>
          <w:sz w:val="16"/>
          <w:szCs w:val="16"/>
        </w:rPr>
      </w:pPr>
      <w:r w:rsidRPr="00405303">
        <w:rPr>
          <w:bCs/>
          <w:color w:val="002060"/>
          <w:sz w:val="16"/>
          <w:szCs w:val="16"/>
        </w:rPr>
        <w:t>28 июля (10 августа) 1915 г. был освящен «Илья Муромец» тип «В» (заводской № 167) с первыми двигателями РБВЗ-</w:t>
      </w:r>
      <w:proofErr w:type="gramStart"/>
      <w:r w:rsidRPr="00405303">
        <w:rPr>
          <w:bCs/>
          <w:color w:val="002060"/>
          <w:sz w:val="16"/>
          <w:szCs w:val="16"/>
        </w:rPr>
        <w:t>6.Этот</w:t>
      </w:r>
      <w:proofErr w:type="gramEnd"/>
      <w:r w:rsidRPr="00405303">
        <w:rPr>
          <w:bCs/>
          <w:color w:val="002060"/>
          <w:sz w:val="16"/>
          <w:szCs w:val="16"/>
        </w:rPr>
        <w:t xml:space="preserve"> корабль и «Киевский», оснащенный еще довоенными «Аргусами», были лучши</w:t>
      </w:r>
      <w:r w:rsidRPr="00405303">
        <w:rPr>
          <w:bCs/>
          <w:color w:val="002060"/>
          <w:sz w:val="16"/>
          <w:szCs w:val="16"/>
        </w:rPr>
        <w:softHyphen/>
        <w:t>ми в эскадре. Рижский завод начал наращивать выпуск, однако в связи с эвакуацией осенью 1915 г. производство РБВЗ-6 было временно прекращено. Трудности с организацией производства собственных двигателей вынудили прав</w:t>
      </w:r>
      <w:r w:rsidRPr="00405303">
        <w:rPr>
          <w:bCs/>
          <w:color w:val="002060"/>
          <w:sz w:val="16"/>
          <w:szCs w:val="16"/>
        </w:rPr>
        <w:softHyphen/>
        <w:t>ление РБВЗ искать подходящие моторы за границей (24177).</w:t>
      </w:r>
    </w:p>
    <w:p w14:paraId="1044DE8A" w14:textId="77777777" w:rsidR="00BB544A" w:rsidRPr="00405303" w:rsidRDefault="00BB544A" w:rsidP="00C15251">
      <w:pPr>
        <w:jc w:val="both"/>
        <w:rPr>
          <w:bCs/>
          <w:color w:val="002060"/>
          <w:sz w:val="16"/>
          <w:szCs w:val="16"/>
        </w:rPr>
      </w:pPr>
    </w:p>
    <w:p w14:paraId="7355C01C" w14:textId="410562A6" w:rsidR="00412676" w:rsidRPr="00405303" w:rsidRDefault="00412676" w:rsidP="00C15251">
      <w:pPr>
        <w:jc w:val="both"/>
        <w:rPr>
          <w:bCs/>
          <w:color w:val="002060"/>
          <w:sz w:val="16"/>
          <w:szCs w:val="16"/>
        </w:rPr>
      </w:pPr>
      <w:r w:rsidRPr="00405303">
        <w:rPr>
          <w:bCs/>
          <w:color w:val="002060"/>
          <w:sz w:val="16"/>
          <w:szCs w:val="16"/>
        </w:rPr>
        <w:t xml:space="preserve">28 июля </w:t>
      </w:r>
      <w:r w:rsidR="000A339F" w:rsidRPr="00405303">
        <w:rPr>
          <w:bCs/>
          <w:color w:val="002060"/>
          <w:sz w:val="16"/>
          <w:szCs w:val="16"/>
        </w:rPr>
        <w:t xml:space="preserve">(10 августа) </w:t>
      </w:r>
      <w:r w:rsidRPr="00405303">
        <w:rPr>
          <w:bCs/>
          <w:color w:val="002060"/>
          <w:sz w:val="16"/>
          <w:szCs w:val="16"/>
        </w:rPr>
        <w:t>1915 г. «Илья Муромец» тип «В» (заводской № 167) с первыми</w:t>
      </w:r>
      <w:r w:rsidR="000F5756">
        <w:rPr>
          <w:bCs/>
          <w:color w:val="002060"/>
          <w:sz w:val="16"/>
          <w:szCs w:val="16"/>
        </w:rPr>
        <w:t xml:space="preserve"> </w:t>
      </w:r>
      <w:r w:rsidRPr="00405303">
        <w:rPr>
          <w:bCs/>
          <w:color w:val="002060"/>
          <w:sz w:val="16"/>
          <w:szCs w:val="16"/>
        </w:rPr>
        <w:t>РБВЗ</w:t>
      </w:r>
      <w:r w:rsidR="00DB4D64" w:rsidRPr="00405303">
        <w:rPr>
          <w:bCs/>
          <w:color w:val="002060"/>
          <w:sz w:val="16"/>
          <w:szCs w:val="16"/>
        </w:rPr>
        <w:t xml:space="preserve"> </w:t>
      </w:r>
      <w:r w:rsidRPr="00405303">
        <w:rPr>
          <w:bCs/>
          <w:color w:val="002060"/>
          <w:sz w:val="16"/>
          <w:szCs w:val="16"/>
        </w:rPr>
        <w:t>-6 был освящен. Этот корабль и «Киевский», оснащенный еще довоенными «Аргусами», были лучшими в эскадре. В 1915 г. автомобильным отделением</w:t>
      </w:r>
      <w:r w:rsidR="000F5756">
        <w:rPr>
          <w:bCs/>
          <w:color w:val="002060"/>
          <w:sz w:val="16"/>
          <w:szCs w:val="16"/>
        </w:rPr>
        <w:t xml:space="preserve"> </w:t>
      </w:r>
      <w:r w:rsidRPr="00405303">
        <w:rPr>
          <w:bCs/>
          <w:color w:val="002060"/>
          <w:sz w:val="16"/>
          <w:szCs w:val="16"/>
        </w:rPr>
        <w:t>РБВЗ</w:t>
      </w:r>
      <w:r w:rsidR="000F5756">
        <w:rPr>
          <w:bCs/>
          <w:color w:val="002060"/>
          <w:sz w:val="16"/>
          <w:szCs w:val="16"/>
        </w:rPr>
        <w:t xml:space="preserve"> </w:t>
      </w:r>
      <w:r w:rsidRPr="00405303">
        <w:rPr>
          <w:bCs/>
          <w:color w:val="002060"/>
          <w:sz w:val="16"/>
          <w:szCs w:val="16"/>
        </w:rPr>
        <w:t>в Риге под руководством талантливого инженера В. В. Киреева, имевшего большой опыт работы на германских моторных заводах, был создан первый русский авиадвигатель водяного охлаждения - шестицилиндровый рядный</w:t>
      </w:r>
      <w:r w:rsidR="000F5756">
        <w:rPr>
          <w:bCs/>
          <w:color w:val="002060"/>
          <w:sz w:val="16"/>
          <w:szCs w:val="16"/>
        </w:rPr>
        <w:t xml:space="preserve"> </w:t>
      </w:r>
      <w:r w:rsidRPr="00405303">
        <w:rPr>
          <w:bCs/>
          <w:color w:val="002060"/>
          <w:sz w:val="16"/>
          <w:szCs w:val="16"/>
        </w:rPr>
        <w:t>РБВЗ</w:t>
      </w:r>
      <w:r w:rsidR="00DB4D64" w:rsidRPr="00405303">
        <w:rPr>
          <w:bCs/>
          <w:color w:val="002060"/>
          <w:sz w:val="16"/>
          <w:szCs w:val="16"/>
        </w:rPr>
        <w:t xml:space="preserve"> </w:t>
      </w:r>
      <w:r w:rsidRPr="00405303">
        <w:rPr>
          <w:bCs/>
          <w:color w:val="002060"/>
          <w:sz w:val="16"/>
          <w:szCs w:val="16"/>
        </w:rPr>
        <w:t>-6 (иногда его называли РБЗ-6). Он внешне походил на немецкий «Мерседес», но был целиком изготовлен из отечественных материалов и по собственной технологии. Этот двигатель в 150-160 л. с. с небольшим миделем по габаритам был оптимальным для «Муромца». Он имел резерв для форсирования и, как большинство «земных» отечественных двигателей, был прост и надежен в эксплуатации. Рижский завод начал наращивать выпуск, однако в связи с эвакуацией осенью 1915 г. производство</w:t>
      </w:r>
      <w:r w:rsidR="000F5756">
        <w:rPr>
          <w:bCs/>
          <w:color w:val="002060"/>
          <w:sz w:val="16"/>
          <w:szCs w:val="16"/>
        </w:rPr>
        <w:t xml:space="preserve"> </w:t>
      </w:r>
      <w:r w:rsidRPr="00405303">
        <w:rPr>
          <w:bCs/>
          <w:color w:val="002060"/>
          <w:sz w:val="16"/>
          <w:szCs w:val="16"/>
        </w:rPr>
        <w:t>РБВЗ</w:t>
      </w:r>
      <w:r w:rsidR="00DB4D64" w:rsidRPr="00405303">
        <w:rPr>
          <w:bCs/>
          <w:color w:val="002060"/>
          <w:sz w:val="16"/>
          <w:szCs w:val="16"/>
        </w:rPr>
        <w:t xml:space="preserve"> </w:t>
      </w:r>
      <w:r w:rsidRPr="00405303">
        <w:rPr>
          <w:bCs/>
          <w:color w:val="002060"/>
          <w:sz w:val="16"/>
          <w:szCs w:val="16"/>
        </w:rPr>
        <w:t>-6 было временно прекращено. Трудности с организацией производства собственных двигателей вынудили правление</w:t>
      </w:r>
      <w:r w:rsidR="000F5756">
        <w:rPr>
          <w:bCs/>
          <w:color w:val="002060"/>
          <w:sz w:val="16"/>
          <w:szCs w:val="16"/>
        </w:rPr>
        <w:t xml:space="preserve"> </w:t>
      </w:r>
      <w:r w:rsidRPr="00405303">
        <w:rPr>
          <w:bCs/>
          <w:color w:val="002060"/>
          <w:sz w:val="16"/>
          <w:szCs w:val="16"/>
        </w:rPr>
        <w:t>РБВЗ</w:t>
      </w:r>
      <w:r w:rsidR="000F5756">
        <w:rPr>
          <w:bCs/>
          <w:color w:val="002060"/>
          <w:sz w:val="16"/>
          <w:szCs w:val="16"/>
        </w:rPr>
        <w:t xml:space="preserve"> </w:t>
      </w:r>
      <w:r w:rsidRPr="00405303">
        <w:rPr>
          <w:bCs/>
          <w:color w:val="002060"/>
          <w:sz w:val="16"/>
          <w:szCs w:val="16"/>
        </w:rPr>
        <w:t>искать подходящие моторы за границей. В Москве было налажено по лицензии производство звездообразных двигателей воздушного охлаждения «Сальмсон», однако первый опыт их эксплуатации на «Муромцах» уже был, и от них отказались. Моторы отличались капризностью и большим лобовым сопротивлением. Ставить же капоты-обтекатели Сикорский не хотел, опасаясь перегрева двигателей и сложности доступа к ним в полете (15127).</w:t>
      </w:r>
    </w:p>
    <w:p w14:paraId="3BB7F991" w14:textId="77777777" w:rsidR="00412676" w:rsidRPr="00405303" w:rsidRDefault="00412676" w:rsidP="00C15251">
      <w:pPr>
        <w:jc w:val="both"/>
        <w:rPr>
          <w:bCs/>
          <w:color w:val="002060"/>
          <w:sz w:val="16"/>
          <w:szCs w:val="16"/>
        </w:rPr>
      </w:pPr>
    </w:p>
    <w:p w14:paraId="1BEE1236"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173D4FA0" w14:textId="77777777" w:rsidR="004B4E35" w:rsidRPr="00405303" w:rsidRDefault="004B4E35" w:rsidP="00C15251">
      <w:pPr>
        <w:jc w:val="both"/>
        <w:rPr>
          <w:bCs/>
          <w:i/>
          <w:color w:val="002060"/>
          <w:sz w:val="16"/>
          <w:szCs w:val="16"/>
        </w:rPr>
      </w:pPr>
    </w:p>
    <w:p w14:paraId="262474D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28 июля (10 августа) 1915 во время боев 37 армейского корпуса и приданных ему трех кавалерийских дивизий летчик 1-го полевого армейского авиаотряда И.А.Орлов и наблюдатель В.Н.Гатовский вылетели на "Вуазене" в разведку неприятельских укреплений в районе Бауск-Щенберг-Радзивилишки-Биржи. Экипаж выяснил положение частей противника и, несмотря на ожесточенный обстрел с земли в тече</w:t>
      </w:r>
      <w:r w:rsidRPr="00405303">
        <w:rPr>
          <w:bCs/>
          <w:color w:val="002060"/>
          <w:sz w:val="16"/>
          <w:szCs w:val="16"/>
        </w:rPr>
        <w:softHyphen/>
        <w:t>ние двухчасового полета, сфотографировал неприятельские укрепле</w:t>
      </w:r>
      <w:r w:rsidRPr="00405303">
        <w:rPr>
          <w:bCs/>
          <w:color w:val="002060"/>
          <w:sz w:val="16"/>
          <w:szCs w:val="16"/>
        </w:rPr>
        <w:softHyphen/>
        <w:t>ния и даже снял кроки неприятельских позиций. Представленные им сведения дали возможность кавалерии избрать наиболее выгодные для атаки пункты (ЦГВИА. ф.2008, д.346, л.74).</w:t>
      </w:r>
    </w:p>
    <w:p w14:paraId="5FA2E2B3" w14:textId="77777777" w:rsidR="004B4E35" w:rsidRPr="00405303" w:rsidRDefault="004B4E35" w:rsidP="00C15251">
      <w:pPr>
        <w:shd w:val="clear" w:color="auto" w:fill="FFFFFF"/>
        <w:jc w:val="both"/>
        <w:rPr>
          <w:bCs/>
          <w:color w:val="002060"/>
          <w:sz w:val="16"/>
          <w:szCs w:val="16"/>
        </w:rPr>
      </w:pPr>
    </w:p>
    <w:p w14:paraId="4699018C" w14:textId="77777777" w:rsidR="00A841F2" w:rsidRPr="00405303" w:rsidRDefault="00A841F2" w:rsidP="00C15251">
      <w:pPr>
        <w:jc w:val="both"/>
        <w:rPr>
          <w:bCs/>
          <w:color w:val="002060"/>
          <w:sz w:val="16"/>
          <w:szCs w:val="16"/>
        </w:rPr>
      </w:pPr>
      <w:r w:rsidRPr="00405303">
        <w:rPr>
          <w:bCs/>
          <w:color w:val="002060"/>
          <w:sz w:val="16"/>
          <w:szCs w:val="16"/>
        </w:rPr>
        <w:t>28 июня (10 августа) 1915 г. во время боев 37 армейского корпуса и приданных ему трех кавалерийских дивизий летчик 1-го полевого армейского авиа</w:t>
      </w:r>
      <w:r w:rsidRPr="00405303">
        <w:rPr>
          <w:bCs/>
          <w:color w:val="002060"/>
          <w:sz w:val="16"/>
          <w:szCs w:val="16"/>
        </w:rPr>
        <w:softHyphen/>
        <w:t>отряда И.А.Орлов и наблюдатель В.Н.Гатовский вылетели на Вуазене в разведку неприятельских укреплений в районе Бауск-Шенберг-Радзивилишки-Биржи. Экипаж выяснил положение частей противника и, не</w:t>
      </w:r>
      <w:r w:rsidRPr="00405303">
        <w:rPr>
          <w:bCs/>
          <w:color w:val="002060"/>
          <w:sz w:val="16"/>
          <w:szCs w:val="16"/>
        </w:rPr>
        <w:softHyphen/>
        <w:t>смотря на ожесточенный обстрел с земли в течение двухчасового поле</w:t>
      </w:r>
      <w:r w:rsidRPr="00405303">
        <w:rPr>
          <w:bCs/>
          <w:color w:val="002060"/>
          <w:sz w:val="16"/>
          <w:szCs w:val="16"/>
        </w:rPr>
        <w:softHyphen/>
        <w:t>та, сфотографировал неприятельские укрепления и даже снял кроки неприятельских позиций. Представленные им сведения дали возможность избрать наиболее выгодные для атаки пункты и сохранить части от больших потерь. Произведенная позднее рекогносцировка кавчастями подтвердила данные воздушной разведки.</w:t>
      </w:r>
    </w:p>
    <w:p w14:paraId="76DD307F" w14:textId="77777777" w:rsidR="00A841F2" w:rsidRPr="00405303" w:rsidRDefault="00A841F2" w:rsidP="00C15251">
      <w:pPr>
        <w:jc w:val="both"/>
        <w:rPr>
          <w:bCs/>
          <w:color w:val="002060"/>
          <w:sz w:val="16"/>
          <w:szCs w:val="16"/>
        </w:rPr>
      </w:pPr>
      <w:r w:rsidRPr="00405303">
        <w:rPr>
          <w:bCs/>
          <w:color w:val="002060"/>
          <w:sz w:val="16"/>
          <w:szCs w:val="16"/>
        </w:rPr>
        <w:t>/ЦГВИА, ф. 20008, д. 346, Л. 74/ (23320).</w:t>
      </w:r>
    </w:p>
    <w:p w14:paraId="1E9A73C5" w14:textId="77777777" w:rsidR="00A841F2" w:rsidRPr="00405303" w:rsidRDefault="00A841F2" w:rsidP="00C15251">
      <w:pPr>
        <w:jc w:val="both"/>
        <w:rPr>
          <w:bCs/>
          <w:color w:val="002060"/>
          <w:sz w:val="16"/>
          <w:szCs w:val="16"/>
        </w:rPr>
      </w:pPr>
    </w:p>
    <w:p w14:paraId="06DFC645" w14:textId="20320BCB" w:rsidR="004B4E35" w:rsidRPr="00405303" w:rsidRDefault="009E6F82" w:rsidP="00C15251">
      <w:pPr>
        <w:jc w:val="both"/>
        <w:rPr>
          <w:bCs/>
          <w:color w:val="002060"/>
          <w:sz w:val="16"/>
          <w:szCs w:val="16"/>
        </w:rPr>
      </w:pPr>
      <w:r w:rsidRPr="00405303">
        <w:rPr>
          <w:bCs/>
          <w:color w:val="002060"/>
          <w:sz w:val="16"/>
          <w:szCs w:val="16"/>
        </w:rPr>
        <w:t>28 июля (10 августа) 1915 года, пройдя 1200 км, LZ-79 отбомбился по Брест-Литовску (11324).</w:t>
      </w:r>
    </w:p>
    <w:p w14:paraId="51C6055B" w14:textId="77777777" w:rsidR="004B4E35" w:rsidRPr="00405303" w:rsidRDefault="004B4E35" w:rsidP="00C15251">
      <w:pPr>
        <w:jc w:val="both"/>
        <w:rPr>
          <w:bCs/>
          <w:color w:val="002060"/>
          <w:sz w:val="16"/>
          <w:szCs w:val="16"/>
        </w:rPr>
      </w:pPr>
    </w:p>
    <w:p w14:paraId="34C8480E" w14:textId="77777777" w:rsidR="004B4E35" w:rsidRPr="00405303" w:rsidRDefault="009E6F82" w:rsidP="00C15251">
      <w:pPr>
        <w:jc w:val="both"/>
        <w:rPr>
          <w:bCs/>
          <w:color w:val="002060"/>
          <w:sz w:val="16"/>
          <w:szCs w:val="16"/>
        </w:rPr>
      </w:pPr>
      <w:r w:rsidRPr="00405303">
        <w:rPr>
          <w:bCs/>
          <w:color w:val="002060"/>
          <w:sz w:val="16"/>
          <w:szCs w:val="16"/>
        </w:rPr>
        <w:t>28-29 июля (10-11 августа) 1915 года LZ-89, базировавшийся в Позени, сбросил 1500 кг бомб на Брест-Литовск и сразу после этого бомбардировал Ковель, пройдя 1350 км. 25-26 августа LZ-89 повторил нападение на Брест-Литовск, обрушив на железнодорожный вокзал 1100 кг бомб (11324).</w:t>
      </w:r>
    </w:p>
    <w:p w14:paraId="02810C51" w14:textId="77777777" w:rsidR="004B4E35" w:rsidRPr="00405303" w:rsidRDefault="004B4E35" w:rsidP="00C15251">
      <w:pPr>
        <w:jc w:val="both"/>
        <w:rPr>
          <w:bCs/>
          <w:i/>
          <w:color w:val="002060"/>
          <w:sz w:val="16"/>
          <w:szCs w:val="16"/>
        </w:rPr>
      </w:pPr>
    </w:p>
    <w:p w14:paraId="53E8C2B7" w14:textId="2FDE31BA" w:rsidR="00BB544A" w:rsidRPr="00405303" w:rsidRDefault="00BB544A" w:rsidP="00C15251">
      <w:pPr>
        <w:jc w:val="both"/>
        <w:rPr>
          <w:bCs/>
          <w:color w:val="002060"/>
          <w:sz w:val="16"/>
          <w:szCs w:val="16"/>
        </w:rPr>
      </w:pPr>
      <w:bookmarkStart w:id="201" w:name="bookmark219"/>
      <w:r w:rsidRPr="00405303">
        <w:rPr>
          <w:bCs/>
          <w:color w:val="002060"/>
          <w:sz w:val="16"/>
          <w:szCs w:val="16"/>
        </w:rPr>
        <w:lastRenderedPageBreak/>
        <w:t>28 июля (10 августа) 1915 г. в ходе боев за г. Холм (к востоку от Золотой Липы) военный летчик 3-й авиационной роты поручик В.Л. Покровский (будущий генерал-лейтенант Белой армии) в экипаже с летчиком-наблюдателем корнетом М.Н. Плонским одержал успешную победу над австрийским аэропланом «Авиатик». В представлении к награждению отважного авиатора орденом Святого Георгия IV степени, в частности, указывалось: «15-го [ст. ст.] июля 1915 г., производя разведку на аэроплане и увид[ев] издали австрийский аэроплан, догнал его и, поднявшись над ним, начал обстреливать из маузеров, постепенно прижимая его к земле. Неприятельский аэроплан пытался ускользнуть, но неудачно, и после непродолжительной перестрелки опустился на землю. В свою очередь наши летчики опустились рядом с неприятельским, после чего с маузерами в руках бросились на австрийцев, которых и взяли в плен в числе двух человек вместе с совершенно новым аппаратом в 120 сил типа „Авиатик“, с полным оборудованием» (23405).</w:t>
      </w:r>
      <w:bookmarkEnd w:id="201"/>
    </w:p>
    <w:p w14:paraId="2382D0F5" w14:textId="77777777" w:rsidR="00BB544A" w:rsidRPr="00405303" w:rsidRDefault="00BB544A" w:rsidP="00C15251">
      <w:pPr>
        <w:jc w:val="both"/>
        <w:rPr>
          <w:bCs/>
          <w:color w:val="002060"/>
          <w:sz w:val="16"/>
          <w:szCs w:val="16"/>
          <w:lang w:bidi="ru-RU"/>
        </w:rPr>
      </w:pPr>
    </w:p>
    <w:p w14:paraId="2BC240FD"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56440147" w14:textId="77777777" w:rsidR="004B4E35" w:rsidRPr="00405303" w:rsidRDefault="004B4E35" w:rsidP="00C15251">
      <w:pPr>
        <w:jc w:val="both"/>
        <w:rPr>
          <w:bCs/>
          <w:i/>
          <w:color w:val="002060"/>
          <w:sz w:val="16"/>
          <w:szCs w:val="16"/>
        </w:rPr>
      </w:pPr>
    </w:p>
    <w:p w14:paraId="09F1E9B2" w14:textId="6DA20AFC" w:rsidR="00412676" w:rsidRPr="00405303" w:rsidRDefault="00412676" w:rsidP="00C15251">
      <w:pPr>
        <w:jc w:val="both"/>
        <w:rPr>
          <w:bCs/>
          <w:color w:val="002060"/>
          <w:sz w:val="16"/>
          <w:szCs w:val="16"/>
        </w:rPr>
      </w:pPr>
      <w:r w:rsidRPr="00405303">
        <w:rPr>
          <w:bCs/>
          <w:color w:val="002060"/>
          <w:sz w:val="16"/>
          <w:szCs w:val="16"/>
        </w:rPr>
        <w:t xml:space="preserve">28 июля </w:t>
      </w:r>
      <w:r w:rsidR="009F1CF8" w:rsidRPr="00405303">
        <w:rPr>
          <w:bCs/>
          <w:color w:val="002060"/>
          <w:sz w:val="16"/>
          <w:szCs w:val="16"/>
        </w:rPr>
        <w:t xml:space="preserve">(10 августа) </w:t>
      </w:r>
      <w:r w:rsidRPr="00405303">
        <w:rPr>
          <w:bCs/>
          <w:color w:val="002060"/>
          <w:sz w:val="16"/>
          <w:szCs w:val="16"/>
        </w:rPr>
        <w:t>в 1915 году в Петрограде образована офицерская школа морской авиации (теперь – Ейское высшее военное авиационное училище летчиков – филиал Краснодарского военного авиационного института) (14966).</w:t>
      </w:r>
    </w:p>
    <w:p w14:paraId="209F1088" w14:textId="77777777" w:rsidR="00412676" w:rsidRPr="00405303" w:rsidRDefault="00412676" w:rsidP="00C15251">
      <w:pPr>
        <w:jc w:val="both"/>
        <w:rPr>
          <w:bCs/>
          <w:color w:val="002060"/>
          <w:sz w:val="16"/>
          <w:szCs w:val="16"/>
        </w:rPr>
      </w:pPr>
    </w:p>
    <w:p w14:paraId="1149F418" w14:textId="4A85A104" w:rsidR="00412676" w:rsidRPr="00405303" w:rsidRDefault="00412676" w:rsidP="00C15251">
      <w:pPr>
        <w:jc w:val="both"/>
        <w:rPr>
          <w:bCs/>
          <w:color w:val="002060"/>
          <w:sz w:val="16"/>
          <w:szCs w:val="16"/>
        </w:rPr>
      </w:pPr>
      <w:r w:rsidRPr="00405303">
        <w:rPr>
          <w:bCs/>
          <w:color w:val="002060"/>
          <w:sz w:val="16"/>
          <w:szCs w:val="16"/>
        </w:rPr>
        <w:t xml:space="preserve">28 июля </w:t>
      </w:r>
      <w:r w:rsidR="009F1CF8" w:rsidRPr="00405303">
        <w:rPr>
          <w:bCs/>
          <w:color w:val="002060"/>
          <w:sz w:val="16"/>
          <w:szCs w:val="16"/>
        </w:rPr>
        <w:t xml:space="preserve">(10 августа) </w:t>
      </w:r>
      <w:r w:rsidRPr="00405303">
        <w:rPr>
          <w:bCs/>
          <w:color w:val="002060"/>
          <w:sz w:val="16"/>
          <w:szCs w:val="16"/>
        </w:rPr>
        <w:t>в 1915 году открыта Петроградская офицерская школа морской авиации. Позднее Ейское высшее военное авиационное училище имени В.М.Комарова (14966).</w:t>
      </w:r>
    </w:p>
    <w:p w14:paraId="5D260985" w14:textId="77777777" w:rsidR="00412676" w:rsidRPr="00405303" w:rsidRDefault="00412676" w:rsidP="00C15251">
      <w:pPr>
        <w:jc w:val="both"/>
        <w:rPr>
          <w:bCs/>
          <w:color w:val="002060"/>
          <w:sz w:val="16"/>
          <w:szCs w:val="16"/>
        </w:rPr>
      </w:pPr>
    </w:p>
    <w:p w14:paraId="705465EF" w14:textId="77777777" w:rsidR="00BB544A" w:rsidRPr="00405303" w:rsidRDefault="00BB544A" w:rsidP="00C15251">
      <w:pPr>
        <w:jc w:val="both"/>
        <w:rPr>
          <w:bCs/>
          <w:color w:val="002060"/>
          <w:sz w:val="16"/>
          <w:szCs w:val="16"/>
        </w:rPr>
      </w:pPr>
      <w:r w:rsidRPr="00405303">
        <w:rPr>
          <w:bCs/>
          <w:color w:val="002060"/>
          <w:sz w:val="16"/>
          <w:szCs w:val="16"/>
          <w:lang w:bidi="ru-RU"/>
        </w:rPr>
        <w:t>28 июля (10 августа) 1915 г. в Петрограде открыли офицерскую школу морской авиа</w:t>
      </w:r>
      <w:r w:rsidRPr="00405303">
        <w:rPr>
          <w:bCs/>
          <w:color w:val="002060"/>
          <w:sz w:val="16"/>
          <w:szCs w:val="16"/>
          <w:lang w:bidi="ru-RU"/>
        </w:rPr>
        <w:softHyphen/>
        <w:t>ции. Поначалу в ней имелись 4 лодки М-5 и две французские ФБА. Одновременно с функционирующей школой в Петрограде решили открыть ее отделение в Баку на Ка</w:t>
      </w:r>
      <w:r w:rsidRPr="00405303">
        <w:rPr>
          <w:bCs/>
          <w:color w:val="002060"/>
          <w:sz w:val="16"/>
          <w:szCs w:val="16"/>
          <w:lang w:bidi="ru-RU"/>
        </w:rPr>
        <w:softHyphen/>
        <w:t>спийском море — к обучению летчиков здесь приступили 22 ноября 1915 г. (23374).</w:t>
      </w:r>
    </w:p>
    <w:p w14:paraId="70D76AA5" w14:textId="77777777" w:rsidR="00BB544A" w:rsidRPr="00405303" w:rsidRDefault="00BB544A" w:rsidP="00C15251">
      <w:pPr>
        <w:jc w:val="both"/>
        <w:rPr>
          <w:bCs/>
          <w:color w:val="002060"/>
          <w:sz w:val="16"/>
          <w:szCs w:val="16"/>
        </w:rPr>
      </w:pPr>
    </w:p>
    <w:p w14:paraId="749EB086" w14:textId="34E4DA23" w:rsidR="004B4E35" w:rsidRPr="00405303" w:rsidRDefault="009E6F82" w:rsidP="00C15251">
      <w:pPr>
        <w:jc w:val="both"/>
        <w:rPr>
          <w:bCs/>
          <w:color w:val="002060"/>
          <w:sz w:val="16"/>
          <w:szCs w:val="16"/>
        </w:rPr>
      </w:pPr>
      <w:r w:rsidRPr="00405303">
        <w:rPr>
          <w:bCs/>
          <w:color w:val="002060"/>
          <w:sz w:val="16"/>
          <w:szCs w:val="16"/>
        </w:rPr>
        <w:t xml:space="preserve">28 июля </w:t>
      </w:r>
      <w:r w:rsidR="009F1CF8" w:rsidRPr="00405303">
        <w:rPr>
          <w:bCs/>
          <w:color w:val="002060"/>
          <w:sz w:val="16"/>
          <w:szCs w:val="16"/>
        </w:rPr>
        <w:t xml:space="preserve">(10 августа) </w:t>
      </w:r>
      <w:r w:rsidRPr="00405303">
        <w:rPr>
          <w:bCs/>
          <w:color w:val="002060"/>
          <w:sz w:val="16"/>
          <w:szCs w:val="16"/>
        </w:rPr>
        <w:t xml:space="preserve">1915 г. </w:t>
      </w:r>
      <w:r w:rsidR="009F1CF8" w:rsidRPr="00405303">
        <w:rPr>
          <w:bCs/>
          <w:color w:val="002060"/>
          <w:sz w:val="16"/>
          <w:szCs w:val="16"/>
        </w:rPr>
        <w:t xml:space="preserve">при открытии в Петрограде </w:t>
      </w:r>
      <w:r w:rsidRPr="00405303">
        <w:rPr>
          <w:bCs/>
          <w:color w:val="002060"/>
          <w:sz w:val="16"/>
          <w:szCs w:val="16"/>
        </w:rPr>
        <w:t>офицерской школы морской авиации</w:t>
      </w:r>
      <w:r w:rsidR="009F1CF8" w:rsidRPr="00405303">
        <w:rPr>
          <w:bCs/>
          <w:color w:val="002060"/>
          <w:sz w:val="16"/>
          <w:szCs w:val="16"/>
        </w:rPr>
        <w:t xml:space="preserve"> М-5 дебютировали на Балтике как учебные машины</w:t>
      </w:r>
      <w:r w:rsidRPr="00405303">
        <w:rPr>
          <w:bCs/>
          <w:color w:val="002060"/>
          <w:sz w:val="16"/>
          <w:szCs w:val="16"/>
        </w:rPr>
        <w:t>. Поначалу в ней имелись 4 лодки М-5 и две французские ФБА. Одновременно с функционирующей школой в Петрограде решили открыть ее отделение в Баку - к обучению летчиков на Каспийском море приступили 22 ноября 1915 г.</w:t>
      </w:r>
    </w:p>
    <w:p w14:paraId="06E709C2" w14:textId="77777777" w:rsidR="004B4E35" w:rsidRPr="00405303" w:rsidRDefault="009E6F82" w:rsidP="00C15251">
      <w:pPr>
        <w:jc w:val="both"/>
        <w:rPr>
          <w:bCs/>
          <w:color w:val="002060"/>
          <w:sz w:val="16"/>
          <w:szCs w:val="16"/>
        </w:rPr>
      </w:pPr>
      <w:r w:rsidRPr="00405303">
        <w:rPr>
          <w:bCs/>
          <w:color w:val="002060"/>
          <w:sz w:val="16"/>
          <w:szCs w:val="16"/>
        </w:rPr>
        <w:t>Бакинский филиал с начала 1917 г. стал самостоятельной летной школой с прекрасно оборудованными мастерскими, ангарами и спусками на воду. В лучшие времена здесь эксплуатировалось до 20 учебных гидросамолетов М-5. Часть из них в середине 1918 г. принимала участие в отражении турецкого наступления в Закавказье, действуя в интересах оставшихся подразделений русской армии. Между тем, активное использование вело к неуклонному снижению количества пригодных к полетам машин, поэтому в 1919 г. здесь оставалось лишь два экземпляра М-5. В последующих бурных событиях гражданской войны Бакинская школа и ее имущество перестали существовать.</w:t>
      </w:r>
    </w:p>
    <w:p w14:paraId="686DFB5D" w14:textId="77777777" w:rsidR="004B4E35" w:rsidRPr="00405303" w:rsidRDefault="009E6F82" w:rsidP="00C15251">
      <w:pPr>
        <w:jc w:val="both"/>
        <w:rPr>
          <w:bCs/>
          <w:color w:val="002060"/>
          <w:sz w:val="16"/>
          <w:szCs w:val="16"/>
        </w:rPr>
      </w:pPr>
      <w:r w:rsidRPr="00405303">
        <w:rPr>
          <w:bCs/>
          <w:color w:val="002060"/>
          <w:sz w:val="16"/>
          <w:szCs w:val="16"/>
        </w:rPr>
        <w:t>Точное количество учебных аппаратов, используемых петроградской школой неизвестно, скорее всего, в течение двух лет здесь их применялось до двух десятков экземпляров. В апреле 1918 г., в связи с угрозой немецкого вторжения, школу эвакуировали в Нижний Новгород - на Волгу отправились 5 учебных М-5. Такое же количество учебных "пятаков" насчитывалось в морской школе летчиков им. Троцкого, открытой 11 ноября 1918 г. на Гу- туевском острове в Петрограде. В период с мая по октябрь 1919 г. летающие лодки этой школы принимали участие в боевых действиях против армии генерала Юденича, наступавшей на Петроград. В декабре 1919 г. оба упомянутые учебные заведения объединили в Военно-морскую школу авиации и перевели в Самару на Волге. Объединенная школа базировалась на барже "Евпраксия", которая была оборудована ангаром и спуском для гидросамолетов. В период 1920- 1921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середины 1920-х годов. Известно, что в декабре 1925 г. в составе советской авиации числилось 22 таких учебных летающих лодки (очевидно совместно с М-20, отличавшейся в основном двигателем).</w:t>
      </w:r>
    </w:p>
    <w:p w14:paraId="5E511F36" w14:textId="77777777" w:rsidR="004B4E35" w:rsidRPr="00405303" w:rsidRDefault="009E6F82" w:rsidP="00C15251">
      <w:pPr>
        <w:jc w:val="both"/>
        <w:rPr>
          <w:bCs/>
          <w:color w:val="002060"/>
          <w:sz w:val="16"/>
          <w:szCs w:val="16"/>
        </w:rPr>
      </w:pPr>
      <w:r w:rsidRPr="00405303">
        <w:rPr>
          <w:bCs/>
          <w:color w:val="002060"/>
          <w:sz w:val="16"/>
          <w:szCs w:val="16"/>
        </w:rPr>
        <w:t>Помимо эксплуатации в России, по крайней мере, одна лодка М-5 после 1917 г. использовалась в Финляндии. Еще один экземпляр в ходе войны достался Турции, где сохранился до наших дней в авиационном музее Стамбула - Науа Мизеа (12083).</w:t>
      </w:r>
    </w:p>
    <w:p w14:paraId="69274131" w14:textId="77777777" w:rsidR="004B4E35" w:rsidRPr="00405303" w:rsidRDefault="004B4E35" w:rsidP="00C15251">
      <w:pPr>
        <w:jc w:val="both"/>
        <w:rPr>
          <w:bCs/>
          <w:color w:val="002060"/>
          <w:sz w:val="16"/>
          <w:szCs w:val="16"/>
        </w:rPr>
      </w:pPr>
    </w:p>
    <w:p w14:paraId="0ACDE28D" w14:textId="3BA9C868" w:rsidR="007A0D0A" w:rsidRPr="00405303" w:rsidRDefault="007A0D0A" w:rsidP="00C15251">
      <w:pPr>
        <w:jc w:val="both"/>
        <w:rPr>
          <w:bCs/>
          <w:i/>
          <w:color w:val="002060"/>
          <w:sz w:val="16"/>
          <w:szCs w:val="16"/>
        </w:rPr>
      </w:pPr>
      <w:r w:rsidRPr="00405303">
        <w:rPr>
          <w:bCs/>
          <w:i/>
          <w:color w:val="002060"/>
          <w:sz w:val="16"/>
          <w:szCs w:val="16"/>
        </w:rPr>
        <w:t>Авиация и воздухоплавание Германии:</w:t>
      </w:r>
    </w:p>
    <w:p w14:paraId="1778F49F" w14:textId="77777777" w:rsidR="007A0D0A" w:rsidRPr="00405303" w:rsidRDefault="007A0D0A" w:rsidP="00C15251">
      <w:pPr>
        <w:jc w:val="both"/>
        <w:rPr>
          <w:bCs/>
          <w:i/>
          <w:color w:val="002060"/>
          <w:sz w:val="16"/>
          <w:szCs w:val="16"/>
        </w:rPr>
      </w:pPr>
    </w:p>
    <w:p w14:paraId="288B5CE5" w14:textId="77777777" w:rsidR="007A0D0A" w:rsidRPr="00405303" w:rsidRDefault="007A0D0A" w:rsidP="00C15251">
      <w:pPr>
        <w:jc w:val="both"/>
        <w:rPr>
          <w:bCs/>
          <w:color w:val="002060"/>
          <w:sz w:val="16"/>
          <w:szCs w:val="16"/>
        </w:rPr>
      </w:pPr>
      <w:r w:rsidRPr="00405303">
        <w:rPr>
          <w:bCs/>
          <w:color w:val="002060"/>
          <w:sz w:val="16"/>
          <w:szCs w:val="16"/>
        </w:rPr>
        <w:t>28-31 июля (10-11 (ночь) августа) 1915 во главе лично с начальником Военно - морской Воздушной дивизии Питером Штрассером, пять немецких дирижаблей ВМФ выполнили рейд на Англию. L 9 бомбит Гул, разрушив несколько домов и складов и убив 16 человек. Остальные четыре пытаются бомбить Лондон, но им не удается добраться до города и вместо этого этого они бомбят военно-морскую базу Истчерч, Дувр (где ранены трое) и часть устья Темзы . Поврежденный британской 3-дюймовой (76,2-мм) зенитной пушкой, L 12 падает в Северном море по пути домой и буксируется немецким торпедным катером в Остенде, Бельгия (20338).</w:t>
      </w:r>
    </w:p>
    <w:p w14:paraId="05777E28" w14:textId="77777777" w:rsidR="007A0D0A" w:rsidRPr="00405303" w:rsidRDefault="007A0D0A" w:rsidP="00C15251">
      <w:pPr>
        <w:jc w:val="both"/>
        <w:rPr>
          <w:bCs/>
          <w:color w:val="002060"/>
          <w:sz w:val="16"/>
          <w:szCs w:val="16"/>
        </w:rPr>
      </w:pPr>
    </w:p>
    <w:p w14:paraId="21FCE831"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Англии:</w:t>
      </w:r>
    </w:p>
    <w:p w14:paraId="7E646F25" w14:textId="77777777" w:rsidR="004B4E35" w:rsidRPr="00405303" w:rsidRDefault="004B4E35" w:rsidP="00C15251">
      <w:pPr>
        <w:jc w:val="both"/>
        <w:rPr>
          <w:bCs/>
          <w:i/>
          <w:color w:val="002060"/>
          <w:sz w:val="16"/>
          <w:szCs w:val="16"/>
        </w:rPr>
      </w:pPr>
    </w:p>
    <w:p w14:paraId="6E08EC5A" w14:textId="77777777" w:rsidR="004B4E35" w:rsidRPr="00405303" w:rsidRDefault="009E6F82" w:rsidP="00C15251">
      <w:pPr>
        <w:jc w:val="both"/>
        <w:rPr>
          <w:bCs/>
          <w:color w:val="002060"/>
          <w:sz w:val="16"/>
          <w:szCs w:val="16"/>
        </w:rPr>
      </w:pPr>
      <w:r w:rsidRPr="00405303">
        <w:rPr>
          <w:bCs/>
          <w:color w:val="002060"/>
          <w:sz w:val="16"/>
          <w:szCs w:val="16"/>
        </w:rPr>
        <w:t>28 июля (10 августа) 1915 - Утром англичане снова пытались перейти в общее наступление после 2-х часовой артиллерийской подготовки, использовав свои последние резервы на этом участке, но и эта атака была отбита турками.</w:t>
      </w:r>
    </w:p>
    <w:p w14:paraId="67603A18" w14:textId="77777777" w:rsidR="004B4E35" w:rsidRPr="00405303" w:rsidRDefault="009E6F82" w:rsidP="00C15251">
      <w:pPr>
        <w:jc w:val="both"/>
        <w:rPr>
          <w:bCs/>
          <w:color w:val="002060"/>
          <w:sz w:val="16"/>
          <w:szCs w:val="16"/>
        </w:rPr>
      </w:pPr>
      <w:r w:rsidRPr="00405303">
        <w:rPr>
          <w:bCs/>
          <w:color w:val="002060"/>
          <w:sz w:val="16"/>
          <w:szCs w:val="16"/>
        </w:rPr>
        <w:t>Высадка в Сувле, в значительной степени увеличив приток на Галлиполи турецких войск, вызвала напряженное движение турецкого флота в Мраморном море, на кратчайшем пути Константинополь - Галлиполи. С целью помешать этим перевозкам англичанами был использован воздушный торпедоносец. Авиатранспорт "Ben-My-Chree" бросил якорь в заливе Сарос, чтобы быть ближе к объекту действий. Несмотря на большой вес торпеды и малую мощность мотора, позволявшую самолету держаться в воздухе не более 45 минут, пилотировавшему самолет Эдмондсу все же удалось приблизиться к турецкому транспорту, перевозившему войска, и выпустить торпеду. Транспорт (5 тыс. т) был потоплен (11999).</w:t>
      </w:r>
    </w:p>
    <w:p w14:paraId="71A19F3B" w14:textId="77777777" w:rsidR="004B4E35" w:rsidRPr="00405303" w:rsidRDefault="004B4E35" w:rsidP="00C15251">
      <w:pPr>
        <w:jc w:val="both"/>
        <w:rPr>
          <w:bCs/>
          <w:color w:val="002060"/>
          <w:sz w:val="16"/>
          <w:szCs w:val="16"/>
        </w:rPr>
      </w:pPr>
    </w:p>
    <w:p w14:paraId="779253EB" w14:textId="77777777" w:rsidR="009F1CF8" w:rsidRPr="00405303" w:rsidRDefault="009F1CF8" w:rsidP="00C15251">
      <w:pPr>
        <w:jc w:val="both"/>
        <w:rPr>
          <w:bCs/>
          <w:i/>
          <w:color w:val="002060"/>
          <w:sz w:val="16"/>
          <w:szCs w:val="16"/>
        </w:rPr>
      </w:pPr>
      <w:r w:rsidRPr="00405303">
        <w:rPr>
          <w:bCs/>
          <w:i/>
          <w:color w:val="002060"/>
          <w:sz w:val="16"/>
          <w:szCs w:val="16"/>
        </w:rPr>
        <w:t>Авиация и воздухоплавание за рубежом:</w:t>
      </w:r>
    </w:p>
    <w:p w14:paraId="43AA526F" w14:textId="77777777" w:rsidR="009F1CF8" w:rsidRPr="00405303" w:rsidRDefault="009F1CF8" w:rsidP="00C15251">
      <w:pPr>
        <w:jc w:val="both"/>
        <w:rPr>
          <w:bCs/>
          <w:i/>
          <w:color w:val="002060"/>
          <w:sz w:val="16"/>
          <w:szCs w:val="16"/>
        </w:rPr>
      </w:pPr>
    </w:p>
    <w:p w14:paraId="78295419" w14:textId="738C59DA" w:rsidR="009F1CF8" w:rsidRPr="00405303" w:rsidRDefault="009F1CF8" w:rsidP="00C15251">
      <w:pPr>
        <w:jc w:val="both"/>
        <w:rPr>
          <w:bCs/>
          <w:color w:val="002060"/>
          <w:sz w:val="16"/>
          <w:szCs w:val="16"/>
        </w:rPr>
      </w:pPr>
      <w:r w:rsidRPr="00405303">
        <w:rPr>
          <w:bCs/>
          <w:color w:val="002060"/>
          <w:sz w:val="16"/>
          <w:szCs w:val="16"/>
        </w:rPr>
        <w:t>28 июля (10 августа) 1915</w:t>
      </w:r>
      <w:r w:rsidR="00DB4D64" w:rsidRPr="00405303">
        <w:rPr>
          <w:bCs/>
          <w:color w:val="002060"/>
          <w:sz w:val="16"/>
          <w:szCs w:val="16"/>
        </w:rPr>
        <w:t xml:space="preserve"> </w:t>
      </w:r>
      <w:r w:rsidRPr="00405303">
        <w:rPr>
          <w:bCs/>
          <w:color w:val="002060"/>
          <w:sz w:val="16"/>
          <w:szCs w:val="16"/>
        </w:rPr>
        <w:t>- На самолете "Диплан Йорданов-1" вылетает первый болгарский боевой пилот - капитан Радул Милков. Только через 80 м разгона машина отделяется от земли и уверенно начинает набирать высоту. Но на высоте 50 метров от земли, когда капитан Милков начинает делать разворот, самолет неожиданно резко ныряет вниз и лишь благодаря самообладанию пилота полет не завершается катастрофой. Овладев самолетом, капитан Милков поднимает его на 100 метров и, сделав широкий и плавный круг, благополучно совершает посадку. По его указанию все стойки и обтягивающие кабели проверяются и натягиваются. Лично проверив натянутость кабелей, Радул Милков взлетает вновь. На этот раз самолет ведет себя послушно (22403).</w:t>
      </w:r>
    </w:p>
    <w:p w14:paraId="648C32E0" w14:textId="77777777" w:rsidR="009F1CF8" w:rsidRPr="00405303" w:rsidRDefault="009F1CF8" w:rsidP="00C15251">
      <w:pPr>
        <w:jc w:val="both"/>
        <w:rPr>
          <w:bCs/>
          <w:color w:val="002060"/>
          <w:sz w:val="16"/>
          <w:szCs w:val="16"/>
        </w:rPr>
      </w:pPr>
    </w:p>
    <w:p w14:paraId="47B3CF30" w14:textId="77777777" w:rsidR="009F1CF8" w:rsidRPr="00405303" w:rsidRDefault="009F1CF8" w:rsidP="00C15251">
      <w:pPr>
        <w:jc w:val="both"/>
        <w:rPr>
          <w:bCs/>
          <w:color w:val="002060"/>
          <w:sz w:val="16"/>
          <w:szCs w:val="16"/>
        </w:rPr>
      </w:pPr>
      <w:r w:rsidRPr="00405303">
        <w:rPr>
          <w:bCs/>
          <w:color w:val="002060"/>
          <w:sz w:val="16"/>
          <w:szCs w:val="16"/>
        </w:rPr>
        <w:t>28 июля (10 августа) в 1915 году на самолете "Диплан Йорданов-1" вылетает первый болгарский боевой пилот - капитан Радул Милков. Только через 80 м разгона машина отделяется от земли и уверенно начинает набирать высоту. Но на высоте 50 метров от земли, когда капитан Милков начинает делать разворот, самолет неожиданно резко ныряет вниз и лишь благодаря самообладанию пилота полет не завершается катастрофой. Овладев самолетом, капитан Милков поднимает его на 100 метров и, сделав широкий и плавный круг, благополучно совершает посадку. По его указанию все стойки и обтягивающие кабели проверяются и натягиваются. Лично проверив натянутость кабелей, Радул Милков взлетает вновь. На этот раз самолет ведет себя послушно. После полета летчик обнимает молодого авиаконструктора Асена Йорданова (14979).</w:t>
      </w:r>
    </w:p>
    <w:p w14:paraId="5820307D" w14:textId="77777777" w:rsidR="009F1CF8" w:rsidRPr="00405303" w:rsidRDefault="009F1CF8" w:rsidP="00C15251">
      <w:pPr>
        <w:jc w:val="both"/>
        <w:rPr>
          <w:bCs/>
          <w:color w:val="002060"/>
          <w:sz w:val="16"/>
          <w:szCs w:val="16"/>
        </w:rPr>
      </w:pPr>
    </w:p>
    <w:p w14:paraId="72B3A9F2" w14:textId="77777777" w:rsidR="009F1CF8" w:rsidRPr="00405303" w:rsidRDefault="009F1CF8" w:rsidP="00C15251">
      <w:pPr>
        <w:jc w:val="both"/>
        <w:rPr>
          <w:bCs/>
          <w:i/>
          <w:color w:val="002060"/>
          <w:sz w:val="16"/>
          <w:szCs w:val="16"/>
        </w:rPr>
      </w:pPr>
      <w:r w:rsidRPr="00405303">
        <w:rPr>
          <w:bCs/>
          <w:i/>
          <w:color w:val="002060"/>
          <w:sz w:val="16"/>
          <w:szCs w:val="16"/>
        </w:rPr>
        <w:lastRenderedPageBreak/>
        <w:t>За рубежом:</w:t>
      </w:r>
    </w:p>
    <w:p w14:paraId="718BB0C2" w14:textId="77777777" w:rsidR="009F1CF8" w:rsidRPr="00405303" w:rsidRDefault="009F1CF8" w:rsidP="00C15251">
      <w:pPr>
        <w:jc w:val="both"/>
        <w:rPr>
          <w:bCs/>
          <w:color w:val="002060"/>
          <w:sz w:val="16"/>
          <w:szCs w:val="16"/>
        </w:rPr>
      </w:pPr>
    </w:p>
    <w:p w14:paraId="1708E875" w14:textId="1CCCFBEC" w:rsidR="009F1CF8" w:rsidRPr="00405303" w:rsidRDefault="009F1CF8" w:rsidP="00C15251">
      <w:pPr>
        <w:jc w:val="both"/>
        <w:rPr>
          <w:bCs/>
          <w:color w:val="002060"/>
          <w:sz w:val="16"/>
          <w:szCs w:val="16"/>
        </w:rPr>
      </w:pPr>
      <w:r w:rsidRPr="00405303">
        <w:rPr>
          <w:bCs/>
          <w:color w:val="002060"/>
          <w:sz w:val="16"/>
          <w:szCs w:val="16"/>
        </w:rPr>
        <w:t>28 июля (10 августа) в 1915 году в ходе первой мировой войны погиб английский химик Генри Мосли (14979).</w:t>
      </w:r>
    </w:p>
    <w:p w14:paraId="4BCA8C39" w14:textId="77777777" w:rsidR="009F1CF8" w:rsidRPr="00405303" w:rsidRDefault="009F1CF8" w:rsidP="00C15251">
      <w:pPr>
        <w:jc w:val="both"/>
        <w:rPr>
          <w:bCs/>
          <w:color w:val="002060"/>
          <w:sz w:val="16"/>
          <w:szCs w:val="16"/>
        </w:rPr>
      </w:pPr>
    </w:p>
    <w:p w14:paraId="5DECE0FE" w14:textId="106FB9F0" w:rsidR="003F16D2" w:rsidRPr="00405303" w:rsidRDefault="003F16D2" w:rsidP="00C15251">
      <w:pPr>
        <w:jc w:val="both"/>
        <w:rPr>
          <w:bCs/>
          <w:i/>
          <w:color w:val="002060"/>
          <w:sz w:val="16"/>
          <w:szCs w:val="16"/>
        </w:rPr>
      </w:pPr>
      <w:r w:rsidRPr="00405303">
        <w:rPr>
          <w:bCs/>
          <w:i/>
          <w:color w:val="002060"/>
          <w:sz w:val="16"/>
          <w:szCs w:val="16"/>
        </w:rPr>
        <w:t>Самолетостроение:</w:t>
      </w:r>
    </w:p>
    <w:p w14:paraId="4BED091A" w14:textId="77777777" w:rsidR="003F16D2" w:rsidRPr="00405303" w:rsidRDefault="003F16D2" w:rsidP="00C15251">
      <w:pPr>
        <w:jc w:val="both"/>
        <w:rPr>
          <w:bCs/>
          <w:i/>
          <w:color w:val="002060"/>
          <w:sz w:val="16"/>
          <w:szCs w:val="16"/>
        </w:rPr>
      </w:pPr>
    </w:p>
    <w:p w14:paraId="5F831405" w14:textId="38277EE6" w:rsidR="003F16D2" w:rsidRPr="00405303" w:rsidRDefault="003F16D2" w:rsidP="00C15251">
      <w:pPr>
        <w:jc w:val="both"/>
        <w:rPr>
          <w:bCs/>
          <w:color w:val="002060"/>
          <w:sz w:val="16"/>
          <w:szCs w:val="16"/>
          <w:lang w:bidi="en-US"/>
        </w:rPr>
      </w:pPr>
      <w:r w:rsidRPr="00405303">
        <w:rPr>
          <w:bCs/>
          <w:color w:val="002060"/>
          <w:sz w:val="16"/>
          <w:szCs w:val="16"/>
          <w:lang w:bidi="en-US"/>
        </w:rPr>
        <w:t>29 июля (11 августа) 1915 г. в отчете ЦМТД были</w:t>
      </w:r>
      <w:r w:rsidR="000F5756">
        <w:rPr>
          <w:bCs/>
          <w:color w:val="002060"/>
          <w:sz w:val="16"/>
          <w:szCs w:val="16"/>
          <w:lang w:bidi="en-US"/>
        </w:rPr>
        <w:t xml:space="preserve"> </w:t>
      </w:r>
      <w:r w:rsidRPr="00405303">
        <w:rPr>
          <w:bCs/>
          <w:color w:val="002060"/>
          <w:sz w:val="16"/>
          <w:szCs w:val="16"/>
          <w:lang w:bidi="en-US"/>
        </w:rPr>
        <w:t xml:space="preserve">перечислены начальники авиационных заводов (м.п. = военный летчик): Щетинин ПРТВ - м.п. Штабс Капитан Кокаев; Лебедев - депутат Штабс Капитан Марков; Слюсаренко - народный депутат Штабс Капитан Жохов; Дукс - пилот Капитан Лесовский; Анатра - мп Поручик Альбрехт; Терещенко - депутат Штабс Капитан Березицкий; Гном/Рона - мп Штабс Капитан Шошин; Моторный завод - мп Штабс Капитан Прищепов; Винт цельный </w:t>
      </w:r>
      <w:r w:rsidRPr="00405303">
        <w:rPr>
          <w:bCs/>
          <w:color w:val="002060"/>
          <w:sz w:val="16"/>
          <w:szCs w:val="16"/>
          <w:lang w:bidi="en-US"/>
        </w:rPr>
        <w:softHyphen/>
        <w:t>- Прапорщик Завих; Засс-пропеллер -Прапорщик Блюмберг (23525).</w:t>
      </w:r>
    </w:p>
    <w:p w14:paraId="42A3DB08" w14:textId="77777777" w:rsidR="003F16D2" w:rsidRPr="00405303" w:rsidRDefault="003F16D2" w:rsidP="00C15251">
      <w:pPr>
        <w:jc w:val="both"/>
        <w:rPr>
          <w:bCs/>
          <w:color w:val="002060"/>
          <w:sz w:val="16"/>
          <w:szCs w:val="16"/>
        </w:rPr>
      </w:pPr>
    </w:p>
    <w:p w14:paraId="2316AC3B" w14:textId="2A8BF52A" w:rsidR="003F16D2" w:rsidRPr="00405303" w:rsidRDefault="003F16D2" w:rsidP="00C15251">
      <w:pPr>
        <w:jc w:val="both"/>
        <w:rPr>
          <w:bCs/>
          <w:color w:val="002060"/>
          <w:sz w:val="16"/>
          <w:szCs w:val="16"/>
        </w:rPr>
      </w:pPr>
      <w:r w:rsidRPr="00405303">
        <w:rPr>
          <w:bCs/>
          <w:color w:val="002060"/>
          <w:sz w:val="16"/>
          <w:szCs w:val="16"/>
          <w:lang w:bidi="en-US"/>
        </w:rPr>
        <w:t>29 июля (11 августа) 1915 г. информация Особого заседания включала доклады начальника ОВФ капитана 1-го ранга Верховского и командира Военно-авиационной школы Полковника Ульянина. Верховский настаивал на том, что цифры в 1568 учеников и 784 действующих летчика были разумными.</w:t>
      </w:r>
    </w:p>
    <w:p w14:paraId="37DA239C" w14:textId="77777777" w:rsidR="003F16D2" w:rsidRPr="00405303" w:rsidRDefault="003F16D2" w:rsidP="00C15251">
      <w:pPr>
        <w:jc w:val="both"/>
        <w:rPr>
          <w:bCs/>
          <w:color w:val="002060"/>
          <w:sz w:val="16"/>
          <w:szCs w:val="16"/>
        </w:rPr>
      </w:pPr>
      <w:r w:rsidRPr="00405303">
        <w:rPr>
          <w:bCs/>
          <w:color w:val="002060"/>
          <w:sz w:val="16"/>
          <w:szCs w:val="16"/>
          <w:lang w:bidi="en-US"/>
        </w:rPr>
        <w:t>Для повышения подготовки летчиков было предложено по мере необходимости открыть рядом с училищами несколько филиалов Военной авиационной школы и Школы ОВФ. Было отмечено, что у Школы ОВФ теперь есть филиалы в Симферополе и Бельбеке в Крыму. Начальник Школы ОВФ получил полное право установить местонахождение нового филиала.</w:t>
      </w:r>
    </w:p>
    <w:p w14:paraId="4694D8C9" w14:textId="77777777" w:rsidR="003F16D2" w:rsidRPr="00405303" w:rsidRDefault="003F16D2" w:rsidP="00C15251">
      <w:pPr>
        <w:jc w:val="both"/>
        <w:rPr>
          <w:bCs/>
          <w:color w:val="002060"/>
          <w:sz w:val="16"/>
          <w:szCs w:val="16"/>
        </w:rPr>
      </w:pPr>
      <w:r w:rsidRPr="00405303">
        <w:rPr>
          <w:bCs/>
          <w:color w:val="002060"/>
          <w:sz w:val="16"/>
          <w:szCs w:val="16"/>
          <w:lang w:bidi="en-US"/>
        </w:rPr>
        <w:t>Что касается Военной авиационной школы в Гатчине, то для ее целей планировалось использовать Корпусной аэродром в Петрограде, а также другие аэродромы, расположенные в пределах 15 км от Петрограда.</w:t>
      </w:r>
    </w:p>
    <w:p w14:paraId="574D6AF0" w14:textId="77777777" w:rsidR="003F16D2" w:rsidRPr="00405303" w:rsidRDefault="003F16D2" w:rsidP="00C15251">
      <w:pPr>
        <w:jc w:val="both"/>
        <w:rPr>
          <w:bCs/>
          <w:color w:val="002060"/>
          <w:sz w:val="16"/>
          <w:szCs w:val="16"/>
        </w:rPr>
      </w:pPr>
      <w:r w:rsidRPr="00405303">
        <w:rPr>
          <w:bCs/>
          <w:color w:val="002060"/>
          <w:sz w:val="16"/>
          <w:szCs w:val="16"/>
          <w:lang w:bidi="en-US"/>
        </w:rPr>
        <w:t>Такие дополнительные аэродромы позволили бы увеличить количество учеников. Однако и этих мер будет недостаточно. Был сделан вывод о желательности открытия нескольких частных авиационных школ. При этом указывалось, что такие школы могут выполнять свою задачу только в том случае, если их владельцы будут ставить интересы государства выше собственной прибыли.</w:t>
      </w:r>
    </w:p>
    <w:p w14:paraId="500C63CF" w14:textId="77777777" w:rsidR="003F16D2" w:rsidRPr="00405303" w:rsidRDefault="003F16D2" w:rsidP="00C15251">
      <w:pPr>
        <w:jc w:val="both"/>
        <w:rPr>
          <w:bCs/>
          <w:color w:val="002060"/>
          <w:sz w:val="16"/>
          <w:szCs w:val="16"/>
        </w:rPr>
      </w:pPr>
      <w:r w:rsidRPr="00405303">
        <w:rPr>
          <w:bCs/>
          <w:color w:val="002060"/>
          <w:sz w:val="16"/>
          <w:szCs w:val="16"/>
          <w:lang w:bidi="en-US"/>
        </w:rPr>
        <w:t>Предполагалось, что ИВАК, Императорское Московское воздухоплавательное общество и такие лица, как А. А. Анатра, Ф. Ф. Терещенко, Прохоров и Масленников, обладающие хорошей репутацией, могли бы стать первыми, кто предложит свои услуги. Организация школ станет задачей Управления Воздушного Флота (ОВФ), поскольку оно накопило опыт в этой области.</w:t>
      </w:r>
    </w:p>
    <w:p w14:paraId="065DE840" w14:textId="77777777" w:rsidR="003F16D2" w:rsidRPr="00405303" w:rsidRDefault="003F16D2" w:rsidP="00C15251">
      <w:pPr>
        <w:jc w:val="both"/>
        <w:rPr>
          <w:bCs/>
          <w:color w:val="002060"/>
          <w:sz w:val="16"/>
          <w:szCs w:val="16"/>
        </w:rPr>
      </w:pPr>
      <w:r w:rsidRPr="00405303">
        <w:rPr>
          <w:bCs/>
          <w:color w:val="002060"/>
          <w:sz w:val="16"/>
          <w:szCs w:val="16"/>
          <w:lang w:val="en-US" w:bidi="en-US"/>
        </w:rPr>
        <w:t>OVF</w:t>
      </w:r>
      <w:r w:rsidRPr="00405303">
        <w:rPr>
          <w:bCs/>
          <w:color w:val="002060"/>
          <w:sz w:val="16"/>
          <w:szCs w:val="16"/>
          <w:lang w:bidi="en-US"/>
        </w:rPr>
        <w:t xml:space="preserve"> также станет посредником между школами и главными советами, что оказалось хорошей организационной схемой. Предполагалось, что солдат и добровольцев будут обучать в частных школах, а офицеров и наиболее отличившихся — в Гатчине и Севастополе.</w:t>
      </w:r>
    </w:p>
    <w:p w14:paraId="5BA38FE1" w14:textId="77777777" w:rsidR="003F16D2" w:rsidRPr="00405303" w:rsidRDefault="003F16D2" w:rsidP="00C15251">
      <w:pPr>
        <w:jc w:val="both"/>
        <w:rPr>
          <w:bCs/>
          <w:color w:val="002060"/>
          <w:sz w:val="16"/>
          <w:szCs w:val="16"/>
        </w:rPr>
      </w:pPr>
      <w:r w:rsidRPr="00405303">
        <w:rPr>
          <w:bCs/>
          <w:color w:val="002060"/>
          <w:sz w:val="16"/>
          <w:szCs w:val="16"/>
          <w:lang w:bidi="en-US"/>
        </w:rPr>
        <w:t>Новые школы получат общую программу обучения, которая будет несколько короче, чем для офицерских школ, поскольку летные секции имели большее значение, чем теоретические занятия. В результате офицерские школы могли выпускать в армию военных летчиков, а частные школы — только летчиков. Самолеты и другие материалы для вновь открытых школ находились в ведении военного министерства; на ремонт, содержание инструкторов и т. п., с планом выплаты этим школам по 1000 руб. на учащегося.</w:t>
      </w:r>
    </w:p>
    <w:p w14:paraId="2CD38028" w14:textId="77777777" w:rsidR="003F16D2" w:rsidRPr="00405303" w:rsidRDefault="003F16D2" w:rsidP="00C15251">
      <w:pPr>
        <w:jc w:val="both"/>
        <w:rPr>
          <w:bCs/>
          <w:color w:val="002060"/>
          <w:sz w:val="16"/>
          <w:szCs w:val="16"/>
        </w:rPr>
      </w:pPr>
      <w:r w:rsidRPr="00405303">
        <w:rPr>
          <w:bCs/>
          <w:color w:val="002060"/>
          <w:sz w:val="16"/>
          <w:szCs w:val="16"/>
          <w:lang w:bidi="en-US"/>
        </w:rPr>
        <w:t>После этих сообщений были обнародованы следующие мнения. Заместитель военного министра заявил, что проект разумный, но отметил, что эти школы были вынужденной мерой. Он предложил опробовать систему, согласно которой небольшое количество учеников в количестве 10-20 человек должно заканчивать частную школу в качестве первого класса. Генерал Мышлаевский поддержал это и добавил, что считает разумным, если все запросы от школ будут подаваться непосредственно в Главные Правления, а ОВФ будет получать дубликаты этих бумаг. Он чувствовал, что этот метод облегчит поставки.</w:t>
      </w:r>
    </w:p>
    <w:p w14:paraId="48E85B11" w14:textId="77777777" w:rsidR="003F16D2" w:rsidRPr="00405303" w:rsidRDefault="003F16D2" w:rsidP="00C15251">
      <w:pPr>
        <w:jc w:val="both"/>
        <w:rPr>
          <w:bCs/>
          <w:color w:val="002060"/>
          <w:sz w:val="16"/>
          <w:szCs w:val="16"/>
        </w:rPr>
      </w:pPr>
      <w:r w:rsidRPr="00405303">
        <w:rPr>
          <w:bCs/>
          <w:color w:val="002060"/>
          <w:sz w:val="16"/>
          <w:szCs w:val="16"/>
          <w:lang w:bidi="en-US"/>
        </w:rPr>
        <w:t>Инженер-генерал Александров считал, что климатические условия Петрограда могут сделать этот район непригодным для эффективных тренировок, но оставил свои сомнения после сообщения полковника Ульянина, считавшего, что полуночное солнце (белые ночи) и штилевые ветры могут обеспечить погодные условия еще более благоприятные, чем те, что на юге.</w:t>
      </w:r>
    </w:p>
    <w:p w14:paraId="14FA8188" w14:textId="77777777" w:rsidR="003F16D2" w:rsidRPr="00405303" w:rsidRDefault="003F16D2" w:rsidP="00C15251">
      <w:pPr>
        <w:jc w:val="both"/>
        <w:rPr>
          <w:bCs/>
          <w:color w:val="002060"/>
          <w:sz w:val="16"/>
          <w:szCs w:val="16"/>
        </w:rPr>
      </w:pPr>
      <w:r w:rsidRPr="00405303">
        <w:rPr>
          <w:bCs/>
          <w:color w:val="002060"/>
          <w:sz w:val="16"/>
          <w:szCs w:val="16"/>
          <w:lang w:bidi="en-US"/>
        </w:rPr>
        <w:t>В заключение великий князь счел желательным: усилить деятельность офицерских школ путем учреждения их филиалов; открыть частные школы, в первую очередь Школу ИВАК, Императорское Московское Воздухоплавательное Общество, Анатра, Терещенко, Прохорова и Масленникова; передать частные школы в ведение Главного управления Генштаба и непосредственного руководства ОВФ; вызвать мужчин, как только школы начнут работать; прикрепить к каждой школе надзирающего офицера, чтобы военное министерство могло контролировать деятельность школы, причем офицером должен быть военный летчик, желательно из запаса; комиссия, завершившая и представившая отчет, должна продолжить свою работу по подготовке необходимые Правила для частных школ. Настоящее Положение должно быть изучено Великим князем и затем представлено на утверждение Главного управления Генерального штаба.</w:t>
      </w:r>
    </w:p>
    <w:p w14:paraId="6947F686" w14:textId="77777777" w:rsidR="003F16D2" w:rsidRPr="00405303" w:rsidRDefault="003F16D2" w:rsidP="00C15251">
      <w:pPr>
        <w:jc w:val="both"/>
        <w:rPr>
          <w:bCs/>
          <w:color w:val="002060"/>
          <w:sz w:val="16"/>
          <w:szCs w:val="16"/>
        </w:rPr>
      </w:pPr>
      <w:r w:rsidRPr="00405303">
        <w:rPr>
          <w:bCs/>
          <w:color w:val="002060"/>
          <w:sz w:val="16"/>
          <w:szCs w:val="16"/>
          <w:lang w:bidi="en-US"/>
        </w:rPr>
        <w:t>Затем заседание продолжилось обсуждением вопросов поставок самолетов. Полковник Семковский представил докладную записку ЦМТД, касавшуюся поставок самолетов до 14 июня 1916 г.</w:t>
      </w:r>
    </w:p>
    <w:p w14:paraId="08C974C2" w14:textId="77777777" w:rsidR="003F16D2" w:rsidRPr="00405303" w:rsidRDefault="003F16D2" w:rsidP="00C15251">
      <w:pPr>
        <w:jc w:val="both"/>
        <w:rPr>
          <w:bCs/>
          <w:color w:val="002060"/>
          <w:sz w:val="16"/>
          <w:szCs w:val="16"/>
        </w:rPr>
      </w:pPr>
      <w:r w:rsidRPr="00405303">
        <w:rPr>
          <w:bCs/>
          <w:color w:val="002060"/>
          <w:sz w:val="16"/>
          <w:szCs w:val="16"/>
          <w:lang w:bidi="en-US"/>
        </w:rPr>
        <w:t>В нем говорилось, что:</w:t>
      </w:r>
    </w:p>
    <w:p w14:paraId="3390F68B" w14:textId="77777777" w:rsidR="003F16D2" w:rsidRPr="00405303" w:rsidRDefault="003F16D2" w:rsidP="00C15251">
      <w:pPr>
        <w:jc w:val="both"/>
        <w:rPr>
          <w:bCs/>
          <w:color w:val="002060"/>
          <w:sz w:val="16"/>
          <w:szCs w:val="16"/>
        </w:rPr>
      </w:pPr>
      <w:r w:rsidRPr="00405303">
        <w:rPr>
          <w:bCs/>
          <w:color w:val="002060"/>
          <w:sz w:val="16"/>
          <w:szCs w:val="16"/>
          <w:lang w:bidi="en-US"/>
        </w:rPr>
        <w:t xml:space="preserve">Предполагаемая потребность в самолетах на период с 14 июня 1915 г. по 14 июня 1916 г. определила заказ 850 самолетов в России и 200 самолетов из-за границы. К таким цифрам </w:t>
      </w:r>
      <w:r w:rsidRPr="00405303">
        <w:rPr>
          <w:bCs/>
          <w:color w:val="002060"/>
          <w:sz w:val="16"/>
          <w:szCs w:val="16"/>
          <w:lang w:val="en-US" w:bidi="en-US"/>
        </w:rPr>
        <w:t>CMTD</w:t>
      </w:r>
      <w:r w:rsidRPr="00405303">
        <w:rPr>
          <w:bCs/>
          <w:color w:val="002060"/>
          <w:sz w:val="16"/>
          <w:szCs w:val="16"/>
          <w:lang w:bidi="en-US"/>
        </w:rPr>
        <w:t xml:space="preserve"> привели следующие соображения: 52 авиационные части составляют самолеты 52х6 (всего 312)</w:t>
      </w:r>
      <w:proofErr w:type="gramStart"/>
      <w:r w:rsidRPr="00405303">
        <w:rPr>
          <w:bCs/>
          <w:color w:val="002060"/>
          <w:sz w:val="16"/>
          <w:szCs w:val="16"/>
          <w:lang w:bidi="en-US"/>
        </w:rPr>
        <w:t>; Ожидаются</w:t>
      </w:r>
      <w:proofErr w:type="gramEnd"/>
      <w:r w:rsidRPr="00405303">
        <w:rPr>
          <w:bCs/>
          <w:color w:val="002060"/>
          <w:sz w:val="16"/>
          <w:szCs w:val="16"/>
          <w:lang w:bidi="en-US"/>
        </w:rPr>
        <w:t xml:space="preserve"> среднемесячные потери 50% (всего 150), поэтому для компенсации этих потерь потребуется 150х12=1800 самолетов. На момент этих расчетов строилось 750 новых самолетов; таким образом, недавняя потребность составляет 1050 самолетов, 200 из которых были заказаны во Франции (150 </w:t>
      </w:r>
      <w:r w:rsidRPr="00405303">
        <w:rPr>
          <w:bCs/>
          <w:color w:val="002060"/>
          <w:sz w:val="16"/>
          <w:szCs w:val="16"/>
          <w:lang w:val="en-US" w:bidi="en-US"/>
        </w:rPr>
        <w:t>Voisins</w:t>
      </w:r>
      <w:r w:rsidRPr="00405303">
        <w:rPr>
          <w:bCs/>
          <w:color w:val="002060"/>
          <w:sz w:val="16"/>
          <w:szCs w:val="16"/>
          <w:lang w:bidi="en-US"/>
        </w:rPr>
        <w:t xml:space="preserve"> и 50 </w:t>
      </w:r>
      <w:r w:rsidRPr="00405303">
        <w:rPr>
          <w:bCs/>
          <w:color w:val="002060"/>
          <w:sz w:val="16"/>
          <w:szCs w:val="16"/>
          <w:lang w:val="en-US" w:bidi="en-US"/>
        </w:rPr>
        <w:t>Parasol</w:t>
      </w:r>
      <w:r w:rsidRPr="00405303">
        <w:rPr>
          <w:bCs/>
          <w:color w:val="002060"/>
          <w:sz w:val="16"/>
          <w:szCs w:val="16"/>
          <w:lang w:bidi="en-US"/>
        </w:rPr>
        <w:t>), а 850 самолетов должны быть заказаны в России.</w:t>
      </w:r>
    </w:p>
    <w:p w14:paraId="5B4EF196" w14:textId="77777777" w:rsidR="003F16D2" w:rsidRPr="00405303" w:rsidRDefault="003F16D2" w:rsidP="00C15251">
      <w:pPr>
        <w:jc w:val="both"/>
        <w:rPr>
          <w:bCs/>
          <w:color w:val="002060"/>
          <w:sz w:val="16"/>
          <w:szCs w:val="16"/>
        </w:rPr>
      </w:pPr>
      <w:r w:rsidRPr="00405303">
        <w:rPr>
          <w:bCs/>
          <w:color w:val="002060"/>
          <w:sz w:val="16"/>
          <w:szCs w:val="16"/>
          <w:lang w:bidi="en-US"/>
        </w:rPr>
        <w:t>Верховный штаб ЦИК приказал подготовить материал для 23 вновь образованных АО, а это значит, что для них потребуется 23 х 13 = 299 самолетов. Разумно, если 100 новейших типов (сейчас в трэйлах) будут закуплены во Франции. Таким образом, 850 плюс 199, около 1050 самолетов должны быть приобретены у российских производителей.</w:t>
      </w:r>
    </w:p>
    <w:p w14:paraId="7E96DF14" w14:textId="77777777" w:rsidR="003F16D2" w:rsidRPr="00405303" w:rsidRDefault="003F16D2" w:rsidP="00C15251">
      <w:pPr>
        <w:jc w:val="both"/>
        <w:rPr>
          <w:bCs/>
          <w:color w:val="002060"/>
          <w:sz w:val="16"/>
          <w:szCs w:val="16"/>
        </w:rPr>
      </w:pPr>
      <w:r w:rsidRPr="00405303">
        <w:rPr>
          <w:bCs/>
          <w:color w:val="002060"/>
          <w:sz w:val="16"/>
          <w:szCs w:val="16"/>
          <w:lang w:bidi="en-US"/>
        </w:rPr>
        <w:t>Ежемесячная производительность заводов, плановая и фактическая, составляет: Дукс _ 40-45 - 40-45; Щетинин ПРТВ - 40-45 - 25-330; Лебедев - 40 - 30-35; Анатра – 30-40 – 30-35; Терещенко - 5 - 4-5; Слюсаренко – 8 – 4-5; Итого - 133-155 самолетов в месяц.</w:t>
      </w:r>
    </w:p>
    <w:p w14:paraId="7CF90F6D" w14:textId="77777777" w:rsidR="003F16D2" w:rsidRPr="00405303" w:rsidRDefault="003F16D2" w:rsidP="00C15251">
      <w:pPr>
        <w:jc w:val="both"/>
        <w:rPr>
          <w:bCs/>
          <w:color w:val="002060"/>
          <w:sz w:val="16"/>
          <w:szCs w:val="16"/>
        </w:rPr>
      </w:pPr>
      <w:r w:rsidRPr="00405303">
        <w:rPr>
          <w:bCs/>
          <w:color w:val="002060"/>
          <w:sz w:val="16"/>
          <w:szCs w:val="16"/>
          <w:lang w:bidi="en-US"/>
        </w:rPr>
        <w:t xml:space="preserve">Обоснованным представляется следующее распределение по типам и установкам: </w:t>
      </w:r>
      <w:r w:rsidRPr="00405303">
        <w:rPr>
          <w:bCs/>
          <w:color w:val="002060"/>
          <w:sz w:val="16"/>
          <w:szCs w:val="16"/>
          <w:lang w:val="en-US" w:bidi="en-US"/>
        </w:rPr>
        <w:t>Voisin</w:t>
      </w:r>
      <w:r w:rsidRPr="00405303">
        <w:rPr>
          <w:bCs/>
          <w:color w:val="002060"/>
          <w:sz w:val="16"/>
          <w:szCs w:val="16"/>
          <w:lang w:bidi="en-US"/>
        </w:rPr>
        <w:t xml:space="preserve"> 140 л.с. - 700; Зонтик Моран с Роной или Монозаупом - 350; Они поступят от: </w:t>
      </w:r>
      <w:r w:rsidRPr="00405303">
        <w:rPr>
          <w:bCs/>
          <w:color w:val="002060"/>
          <w:sz w:val="16"/>
          <w:szCs w:val="16"/>
          <w:lang w:val="en-US" w:bidi="en-US"/>
        </w:rPr>
        <w:t>Duks</w:t>
      </w:r>
      <w:r w:rsidRPr="00405303">
        <w:rPr>
          <w:bCs/>
          <w:color w:val="002060"/>
          <w:sz w:val="16"/>
          <w:szCs w:val="16"/>
          <w:lang w:bidi="en-US"/>
        </w:rPr>
        <w:t xml:space="preserve"> (Москва) - 170 </w:t>
      </w:r>
      <w:r w:rsidRPr="00405303">
        <w:rPr>
          <w:bCs/>
          <w:color w:val="002060"/>
          <w:sz w:val="16"/>
          <w:szCs w:val="16"/>
          <w:lang w:val="en-US" w:bidi="en-US"/>
        </w:rPr>
        <w:t>Voisins</w:t>
      </w:r>
      <w:r w:rsidRPr="00405303">
        <w:rPr>
          <w:bCs/>
          <w:color w:val="002060"/>
          <w:sz w:val="16"/>
          <w:szCs w:val="16"/>
          <w:lang w:bidi="en-US"/>
        </w:rPr>
        <w:t xml:space="preserve"> и 200 </w:t>
      </w:r>
      <w:r w:rsidRPr="00405303">
        <w:rPr>
          <w:bCs/>
          <w:color w:val="002060"/>
          <w:sz w:val="16"/>
          <w:szCs w:val="16"/>
          <w:lang w:val="en-US" w:bidi="en-US"/>
        </w:rPr>
        <w:t>Parasols</w:t>
      </w:r>
      <w:r w:rsidRPr="00405303">
        <w:rPr>
          <w:bCs/>
          <w:color w:val="002060"/>
          <w:sz w:val="16"/>
          <w:szCs w:val="16"/>
          <w:lang w:bidi="en-US"/>
        </w:rPr>
        <w:t xml:space="preserve">; Щетинин (Петроград) - 165 вуазенов и 25 зонтиков; Лебедев (Петроград) - 200 вуазенов и 25 зонтиков; Анатра (Одесса) - 165 </w:t>
      </w:r>
      <w:r w:rsidRPr="00405303">
        <w:rPr>
          <w:bCs/>
          <w:color w:val="002060"/>
          <w:sz w:val="16"/>
          <w:szCs w:val="16"/>
          <w:lang w:val="en-US" w:bidi="en-US"/>
        </w:rPr>
        <w:t>Voisins</w:t>
      </w:r>
      <w:r w:rsidRPr="00405303">
        <w:rPr>
          <w:bCs/>
          <w:color w:val="002060"/>
          <w:sz w:val="16"/>
          <w:szCs w:val="16"/>
          <w:lang w:bidi="en-US"/>
        </w:rPr>
        <w:t xml:space="preserve"> и 50 зонтиков; Терещенко (Москва) - 25 зонтов; Слюсаренко (Петроград) - 25 зонтов. Производство может начаться в ноябре (или позже) и закончиться примерно через восемь месяцев». Вышеуказанные рекомендации были зафиксированы и одобрены сессией.</w:t>
      </w:r>
    </w:p>
    <w:p w14:paraId="79D1D0E4" w14:textId="77777777" w:rsidR="003F16D2" w:rsidRPr="00405303" w:rsidRDefault="003F16D2" w:rsidP="00C15251">
      <w:pPr>
        <w:jc w:val="both"/>
        <w:rPr>
          <w:bCs/>
          <w:color w:val="002060"/>
          <w:sz w:val="16"/>
          <w:szCs w:val="16"/>
        </w:rPr>
      </w:pPr>
      <w:r w:rsidRPr="00405303">
        <w:rPr>
          <w:bCs/>
          <w:color w:val="002060"/>
          <w:sz w:val="16"/>
          <w:szCs w:val="16"/>
          <w:lang w:bidi="en-US"/>
        </w:rPr>
        <w:t xml:space="preserve">Генерал А. В. Каульбарс написал очерк об авиационных силах, появившийся в </w:t>
      </w:r>
      <w:proofErr w:type="gramStart"/>
      <w:r w:rsidRPr="00405303">
        <w:rPr>
          <w:bCs/>
          <w:color w:val="002060"/>
          <w:sz w:val="16"/>
          <w:szCs w:val="16"/>
          <w:lang w:bidi="en-US"/>
        </w:rPr>
        <w:t xml:space="preserve">« </w:t>
      </w:r>
      <w:r w:rsidRPr="00405303">
        <w:rPr>
          <w:bCs/>
          <w:i/>
          <w:iCs/>
          <w:color w:val="002060"/>
          <w:sz w:val="16"/>
          <w:szCs w:val="16"/>
          <w:lang w:bidi="en-US"/>
        </w:rPr>
        <w:t>Воздушных</w:t>
      </w:r>
      <w:proofErr w:type="gramEnd"/>
      <w:r w:rsidRPr="00405303">
        <w:rPr>
          <w:bCs/>
          <w:i/>
          <w:iCs/>
          <w:color w:val="002060"/>
          <w:sz w:val="16"/>
          <w:szCs w:val="16"/>
          <w:lang w:bidi="en-US"/>
        </w:rPr>
        <w:t xml:space="preserve"> войсках» </w:t>
      </w:r>
      <w:r w:rsidRPr="00405303">
        <w:rPr>
          <w:bCs/>
          <w:color w:val="002060"/>
          <w:sz w:val="16"/>
          <w:szCs w:val="16"/>
          <w:lang w:bidi="en-US"/>
        </w:rPr>
        <w:t>в 1925 г., в котором говорилось: «В ходе войны нам неоднократно приходилось сожалеть о том, что наши авиазаводы не находились под единой контролирующей властью, и летчики не имели с ними никаких контактов по поводу их жизни и обучения в авиационном училище» (23525).</w:t>
      </w:r>
    </w:p>
    <w:p w14:paraId="0147A442" w14:textId="77777777" w:rsidR="003F16D2" w:rsidRPr="00405303" w:rsidRDefault="003F16D2" w:rsidP="00C15251">
      <w:pPr>
        <w:jc w:val="both"/>
        <w:rPr>
          <w:bCs/>
          <w:color w:val="002060"/>
          <w:sz w:val="16"/>
          <w:szCs w:val="16"/>
        </w:rPr>
      </w:pPr>
    </w:p>
    <w:p w14:paraId="60668594" w14:textId="63804BE9" w:rsidR="004B4E35" w:rsidRPr="00405303" w:rsidRDefault="009E6F82" w:rsidP="00C15251">
      <w:pPr>
        <w:jc w:val="both"/>
        <w:rPr>
          <w:bCs/>
          <w:i/>
          <w:color w:val="002060"/>
          <w:sz w:val="16"/>
          <w:szCs w:val="16"/>
        </w:rPr>
      </w:pPr>
      <w:r w:rsidRPr="00405303">
        <w:rPr>
          <w:bCs/>
          <w:i/>
          <w:color w:val="002060"/>
          <w:sz w:val="16"/>
          <w:szCs w:val="16"/>
        </w:rPr>
        <w:t>А</w:t>
      </w:r>
      <w:r w:rsidR="009F1CF8" w:rsidRPr="00405303">
        <w:rPr>
          <w:bCs/>
          <w:i/>
          <w:color w:val="002060"/>
          <w:sz w:val="16"/>
          <w:szCs w:val="16"/>
        </w:rPr>
        <w:t>виация</w:t>
      </w:r>
      <w:r w:rsidRPr="00405303">
        <w:rPr>
          <w:bCs/>
          <w:i/>
          <w:color w:val="002060"/>
          <w:sz w:val="16"/>
          <w:szCs w:val="16"/>
        </w:rPr>
        <w:t>:</w:t>
      </w:r>
    </w:p>
    <w:p w14:paraId="581F7560" w14:textId="77777777" w:rsidR="004B4E35" w:rsidRPr="00405303" w:rsidRDefault="004B4E35" w:rsidP="00C15251">
      <w:pPr>
        <w:jc w:val="both"/>
        <w:rPr>
          <w:bCs/>
          <w:i/>
          <w:color w:val="002060"/>
          <w:sz w:val="16"/>
          <w:szCs w:val="16"/>
        </w:rPr>
      </w:pPr>
    </w:p>
    <w:p w14:paraId="7755F367" w14:textId="77777777" w:rsidR="00111B81" w:rsidRPr="00405303" w:rsidRDefault="00111B81" w:rsidP="00111B81">
      <w:pPr>
        <w:jc w:val="both"/>
        <w:rPr>
          <w:rStyle w:val="aa"/>
          <w:rFonts w:ascii="Times New Roman" w:hAnsi="Times New Roman"/>
          <w:color w:val="0070C0"/>
          <w:spacing w:val="0"/>
          <w:sz w:val="16"/>
          <w:szCs w:val="16"/>
        </w:rPr>
      </w:pPr>
      <w:bookmarkStart w:id="202" w:name="_Hlk117691632"/>
      <w:r w:rsidRPr="00405303">
        <w:rPr>
          <w:rStyle w:val="aa"/>
          <w:rFonts w:ascii="Times New Roman" w:hAnsi="Times New Roman"/>
          <w:color w:val="0070C0"/>
          <w:spacing w:val="0"/>
          <w:sz w:val="16"/>
          <w:szCs w:val="16"/>
        </w:rPr>
        <w:t>В ночь с 29 на 30 июля (11 на 12 августа) 1915 г. была бомбардировка Белостока германским цеппелином. Несмотря на зенитный обстрел с гондолы дирижабля, было сброшено около 25 снарядов. Дальше дирижабль продолжил полет по маршруту Старосельце (Старосельцы) – г. Лапы (царство Польское). Над крепостью Осовец он был поврежден огнем ее артиллерии. Вследствие полученных повреждений цеппелин совершил вынужденную посадку в 16 км юго- западнее г. Алленштейн (Ольштын) и после был восстановлен (25135).</w:t>
      </w:r>
    </w:p>
    <w:p w14:paraId="3767A131" w14:textId="77777777" w:rsidR="00111B81" w:rsidRPr="00405303" w:rsidRDefault="00111B81" w:rsidP="00111B81">
      <w:pPr>
        <w:jc w:val="both"/>
        <w:rPr>
          <w:rStyle w:val="aa"/>
          <w:rFonts w:ascii="Times New Roman" w:hAnsi="Times New Roman"/>
          <w:color w:val="0070C0"/>
          <w:spacing w:val="0"/>
          <w:sz w:val="16"/>
          <w:szCs w:val="16"/>
        </w:rPr>
      </w:pPr>
    </w:p>
    <w:p w14:paraId="49E6D252" w14:textId="4BE9E7AC" w:rsidR="004B4E35" w:rsidRPr="00405303" w:rsidRDefault="009E6F82" w:rsidP="00C15251">
      <w:pPr>
        <w:jc w:val="both"/>
        <w:rPr>
          <w:bCs/>
          <w:color w:val="002060"/>
          <w:sz w:val="16"/>
          <w:szCs w:val="16"/>
        </w:rPr>
      </w:pPr>
      <w:r w:rsidRPr="00405303">
        <w:rPr>
          <w:bCs/>
          <w:color w:val="002060"/>
          <w:sz w:val="16"/>
          <w:szCs w:val="16"/>
        </w:rPr>
        <w:lastRenderedPageBreak/>
        <w:t>29 июля (11 августа) 1915 дирижабль</w:t>
      </w:r>
      <w:r w:rsidR="009F1CF8" w:rsidRPr="00405303">
        <w:rPr>
          <w:bCs/>
          <w:color w:val="002060"/>
          <w:sz w:val="16"/>
          <w:szCs w:val="16"/>
        </w:rPr>
        <w:t xml:space="preserve"> Z-XII</w:t>
      </w:r>
      <w:r w:rsidRPr="00405303">
        <w:rPr>
          <w:bCs/>
          <w:color w:val="002060"/>
          <w:sz w:val="16"/>
          <w:szCs w:val="16"/>
        </w:rPr>
        <w:t xml:space="preserve"> в районе Осовца был поврежден огнем с земли и отправлен на ремонт. После устранения повреждений из Кенигсберга, а затем из Варшавы Z-XII выполнил ряд налетов на Виленский железнодорожный узел (11324). </w:t>
      </w:r>
    </w:p>
    <w:p w14:paraId="371F6397" w14:textId="77777777" w:rsidR="004B4E35" w:rsidRPr="00405303" w:rsidRDefault="004B4E35" w:rsidP="00C15251">
      <w:pPr>
        <w:shd w:val="clear" w:color="auto" w:fill="FFFFFF"/>
        <w:jc w:val="both"/>
        <w:rPr>
          <w:bCs/>
          <w:i/>
          <w:color w:val="002060"/>
          <w:sz w:val="16"/>
          <w:szCs w:val="16"/>
        </w:rPr>
      </w:pPr>
    </w:p>
    <w:bookmarkEnd w:id="202"/>
    <w:p w14:paraId="35CA8756" w14:textId="77777777" w:rsidR="009F1CF8" w:rsidRPr="00405303" w:rsidRDefault="009F1CF8" w:rsidP="00C15251">
      <w:pPr>
        <w:jc w:val="both"/>
        <w:rPr>
          <w:bCs/>
          <w:i/>
          <w:color w:val="002060"/>
          <w:sz w:val="16"/>
          <w:szCs w:val="16"/>
        </w:rPr>
      </w:pPr>
      <w:r w:rsidRPr="00405303">
        <w:rPr>
          <w:bCs/>
          <w:i/>
          <w:color w:val="002060"/>
          <w:sz w:val="16"/>
          <w:szCs w:val="16"/>
        </w:rPr>
        <w:t>Армия:</w:t>
      </w:r>
    </w:p>
    <w:p w14:paraId="35B6CB74" w14:textId="77777777" w:rsidR="009F1CF8" w:rsidRPr="00405303" w:rsidRDefault="009F1CF8" w:rsidP="00C15251">
      <w:pPr>
        <w:jc w:val="both"/>
        <w:rPr>
          <w:bCs/>
          <w:i/>
          <w:color w:val="002060"/>
          <w:sz w:val="16"/>
          <w:szCs w:val="16"/>
        </w:rPr>
      </w:pPr>
    </w:p>
    <w:p w14:paraId="4A3C5C7D" w14:textId="1827048F" w:rsidR="00412676" w:rsidRPr="00405303" w:rsidRDefault="00412676" w:rsidP="00C15251">
      <w:pPr>
        <w:jc w:val="both"/>
        <w:rPr>
          <w:bCs/>
          <w:color w:val="002060"/>
          <w:sz w:val="16"/>
          <w:szCs w:val="16"/>
        </w:rPr>
      </w:pPr>
      <w:r w:rsidRPr="00405303">
        <w:rPr>
          <w:bCs/>
          <w:color w:val="002060"/>
          <w:sz w:val="16"/>
          <w:szCs w:val="16"/>
        </w:rPr>
        <w:t xml:space="preserve">29 июля </w:t>
      </w:r>
      <w:r w:rsidR="009F1CF8" w:rsidRPr="00405303">
        <w:rPr>
          <w:bCs/>
          <w:color w:val="002060"/>
          <w:sz w:val="16"/>
          <w:szCs w:val="16"/>
        </w:rPr>
        <w:t xml:space="preserve">(11 августа) </w:t>
      </w:r>
      <w:r w:rsidRPr="00405303">
        <w:rPr>
          <w:bCs/>
          <w:color w:val="002060"/>
          <w:sz w:val="16"/>
          <w:szCs w:val="16"/>
        </w:rPr>
        <w:t>в 1915 году в Польше немецкие войска перерезали дорогу Люблин-Хелм, вынудив русские войска оставить эти города (14967).</w:t>
      </w:r>
    </w:p>
    <w:p w14:paraId="08B50FF0" w14:textId="77777777" w:rsidR="00412676" w:rsidRPr="00405303" w:rsidRDefault="00412676" w:rsidP="00C15251">
      <w:pPr>
        <w:jc w:val="both"/>
        <w:rPr>
          <w:bCs/>
          <w:color w:val="002060"/>
          <w:sz w:val="16"/>
          <w:szCs w:val="16"/>
        </w:rPr>
      </w:pPr>
    </w:p>
    <w:p w14:paraId="3F828661" w14:textId="3CB8804E" w:rsidR="00BB544A" w:rsidRPr="00405303" w:rsidRDefault="00BB544A" w:rsidP="00C15251">
      <w:pPr>
        <w:shd w:val="clear" w:color="auto" w:fill="FFFFFF"/>
        <w:jc w:val="both"/>
        <w:rPr>
          <w:bCs/>
          <w:i/>
          <w:color w:val="002060"/>
          <w:sz w:val="16"/>
          <w:szCs w:val="16"/>
        </w:rPr>
      </w:pPr>
      <w:r w:rsidRPr="00405303">
        <w:rPr>
          <w:bCs/>
          <w:i/>
          <w:color w:val="002060"/>
          <w:sz w:val="16"/>
          <w:szCs w:val="16"/>
        </w:rPr>
        <w:t>Авиация:</w:t>
      </w:r>
    </w:p>
    <w:p w14:paraId="39E45504" w14:textId="77777777" w:rsidR="00BB544A" w:rsidRPr="00405303" w:rsidRDefault="00BB544A" w:rsidP="00C15251">
      <w:pPr>
        <w:shd w:val="clear" w:color="auto" w:fill="FFFFFF"/>
        <w:jc w:val="both"/>
        <w:rPr>
          <w:bCs/>
          <w:i/>
          <w:color w:val="002060"/>
          <w:sz w:val="16"/>
          <w:szCs w:val="16"/>
        </w:rPr>
      </w:pPr>
    </w:p>
    <w:p w14:paraId="079E4409" w14:textId="03D9DD81" w:rsidR="00BB544A" w:rsidRPr="00405303" w:rsidRDefault="00BB544A" w:rsidP="00C15251">
      <w:pPr>
        <w:jc w:val="both"/>
        <w:rPr>
          <w:bCs/>
          <w:color w:val="002060"/>
          <w:sz w:val="16"/>
          <w:szCs w:val="16"/>
        </w:rPr>
      </w:pPr>
      <w:bookmarkStart w:id="203" w:name="bookmark224"/>
      <w:r w:rsidRPr="00405303">
        <w:rPr>
          <w:bCs/>
          <w:color w:val="002060"/>
          <w:sz w:val="16"/>
          <w:szCs w:val="16"/>
        </w:rPr>
        <w:t>29 июля (11 августа) 1915 г. на Люблинском направлении русская артиллерия подбила неприятельский аэроплан, который загорелся в воздухе и упал в районе расположения противника (23405).</w:t>
      </w:r>
      <w:bookmarkEnd w:id="203"/>
    </w:p>
    <w:p w14:paraId="5DA4CEFB" w14:textId="77777777" w:rsidR="00BB544A" w:rsidRPr="00405303" w:rsidRDefault="00BB544A" w:rsidP="00C15251">
      <w:pPr>
        <w:jc w:val="both"/>
        <w:rPr>
          <w:bCs/>
          <w:color w:val="002060"/>
          <w:sz w:val="16"/>
          <w:szCs w:val="16"/>
        </w:rPr>
      </w:pPr>
    </w:p>
    <w:p w14:paraId="25312C93" w14:textId="0D6A1640"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6A87DAB1" w14:textId="77777777" w:rsidR="004B4E35" w:rsidRPr="00405303" w:rsidRDefault="004B4E35" w:rsidP="00C15251">
      <w:pPr>
        <w:shd w:val="clear" w:color="auto" w:fill="FFFFFF"/>
        <w:jc w:val="both"/>
        <w:rPr>
          <w:bCs/>
          <w:i/>
          <w:color w:val="002060"/>
          <w:sz w:val="16"/>
          <w:szCs w:val="16"/>
        </w:rPr>
      </w:pPr>
    </w:p>
    <w:p w14:paraId="78DDA997" w14:textId="77777777" w:rsidR="004B4E35" w:rsidRPr="00405303" w:rsidRDefault="009E6F82" w:rsidP="00C15251">
      <w:pPr>
        <w:jc w:val="both"/>
        <w:rPr>
          <w:bCs/>
          <w:color w:val="002060"/>
          <w:sz w:val="16"/>
          <w:szCs w:val="16"/>
        </w:rPr>
      </w:pPr>
      <w:r w:rsidRPr="00405303">
        <w:rPr>
          <w:bCs/>
          <w:color w:val="002060"/>
          <w:sz w:val="16"/>
          <w:szCs w:val="16"/>
        </w:rPr>
        <w:t>29 июля (11 августа) 1915 в путь отправился L-10, который ночью отбомбился по Саффолку, убив 6 и ранив 34 человека. Четыре самолета поднялись в воздух, но дирижабль набрал высоту и легко ушел от погони (11324).</w:t>
      </w:r>
    </w:p>
    <w:p w14:paraId="6ABFF845" w14:textId="77777777" w:rsidR="004B4E35" w:rsidRPr="00405303" w:rsidRDefault="004B4E35" w:rsidP="00C15251">
      <w:pPr>
        <w:jc w:val="both"/>
        <w:rPr>
          <w:bCs/>
          <w:i/>
          <w:color w:val="002060"/>
          <w:sz w:val="16"/>
          <w:szCs w:val="16"/>
        </w:rPr>
      </w:pPr>
    </w:p>
    <w:p w14:paraId="61A456FD" w14:textId="77777777" w:rsidR="00412676" w:rsidRPr="00405303" w:rsidRDefault="00412676" w:rsidP="00C15251">
      <w:pPr>
        <w:jc w:val="both"/>
        <w:rPr>
          <w:bCs/>
          <w:i/>
          <w:color w:val="002060"/>
          <w:sz w:val="16"/>
          <w:szCs w:val="16"/>
        </w:rPr>
      </w:pPr>
      <w:r w:rsidRPr="00405303">
        <w:rPr>
          <w:bCs/>
          <w:i/>
          <w:color w:val="002060"/>
          <w:sz w:val="16"/>
          <w:szCs w:val="16"/>
        </w:rPr>
        <w:t>Авиация и воздухоплавание за рубежом:</w:t>
      </w:r>
    </w:p>
    <w:p w14:paraId="78AA25A3" w14:textId="77777777" w:rsidR="00412676" w:rsidRPr="00405303" w:rsidRDefault="00412676" w:rsidP="00C15251">
      <w:pPr>
        <w:jc w:val="both"/>
        <w:rPr>
          <w:bCs/>
          <w:i/>
          <w:color w:val="002060"/>
          <w:sz w:val="16"/>
          <w:szCs w:val="16"/>
        </w:rPr>
      </w:pPr>
    </w:p>
    <w:p w14:paraId="64964CC0" w14:textId="7DEE1264" w:rsidR="007A0D0A" w:rsidRPr="00405303" w:rsidRDefault="007A0D0A" w:rsidP="00C15251">
      <w:pPr>
        <w:jc w:val="both"/>
        <w:rPr>
          <w:bCs/>
          <w:color w:val="002060"/>
          <w:sz w:val="16"/>
          <w:szCs w:val="16"/>
        </w:rPr>
      </w:pPr>
      <w:r w:rsidRPr="00405303">
        <w:rPr>
          <w:bCs/>
          <w:color w:val="002060"/>
          <w:sz w:val="16"/>
          <w:szCs w:val="16"/>
        </w:rPr>
        <w:t>29 июля (11 августа) 1915</w:t>
      </w:r>
      <w:r w:rsidR="00DB4D64" w:rsidRPr="00405303">
        <w:rPr>
          <w:bCs/>
          <w:color w:val="002060"/>
          <w:sz w:val="16"/>
          <w:szCs w:val="16"/>
        </w:rPr>
        <w:t xml:space="preserve"> </w:t>
      </w:r>
      <w:r w:rsidRPr="00405303">
        <w:rPr>
          <w:bCs/>
          <w:color w:val="002060"/>
          <w:sz w:val="16"/>
          <w:szCs w:val="16"/>
        </w:rPr>
        <w:t>- Военно-морская обсерватория США просит Eastman Kodak разработать специальную воздушную камеру для самолета-разведчика (22402).</w:t>
      </w:r>
    </w:p>
    <w:p w14:paraId="750B5F2D" w14:textId="77777777" w:rsidR="007A0D0A" w:rsidRPr="00405303" w:rsidRDefault="007A0D0A" w:rsidP="00C15251">
      <w:pPr>
        <w:jc w:val="both"/>
        <w:rPr>
          <w:bCs/>
          <w:color w:val="002060"/>
          <w:sz w:val="16"/>
          <w:szCs w:val="16"/>
        </w:rPr>
      </w:pPr>
    </w:p>
    <w:p w14:paraId="112D22F9" w14:textId="77777777" w:rsidR="00412676" w:rsidRPr="00405303" w:rsidRDefault="00412676" w:rsidP="00C15251">
      <w:pPr>
        <w:jc w:val="both"/>
        <w:rPr>
          <w:bCs/>
          <w:i/>
          <w:color w:val="002060"/>
          <w:sz w:val="16"/>
          <w:szCs w:val="16"/>
        </w:rPr>
      </w:pPr>
      <w:r w:rsidRPr="00405303">
        <w:rPr>
          <w:bCs/>
          <w:i/>
          <w:color w:val="002060"/>
          <w:sz w:val="16"/>
          <w:szCs w:val="16"/>
        </w:rPr>
        <w:t>Самолетостроение:</w:t>
      </w:r>
    </w:p>
    <w:p w14:paraId="0BA36B46" w14:textId="77777777" w:rsidR="00412676" w:rsidRPr="00405303" w:rsidRDefault="00412676" w:rsidP="00C15251">
      <w:pPr>
        <w:jc w:val="both"/>
        <w:rPr>
          <w:bCs/>
          <w:i/>
          <w:color w:val="002060"/>
          <w:sz w:val="16"/>
          <w:szCs w:val="16"/>
        </w:rPr>
      </w:pPr>
    </w:p>
    <w:p w14:paraId="6F57A2B2" w14:textId="77777777" w:rsidR="00111B81" w:rsidRPr="00405303" w:rsidRDefault="00111B81" w:rsidP="00111B81">
      <w:pPr>
        <w:jc w:val="both"/>
        <w:rPr>
          <w:color w:val="0070C0"/>
          <w:sz w:val="16"/>
          <w:szCs w:val="16"/>
        </w:rPr>
      </w:pPr>
      <w:r w:rsidRPr="00405303">
        <w:rPr>
          <w:color w:val="0070C0"/>
          <w:sz w:val="16"/>
          <w:szCs w:val="16"/>
        </w:rPr>
        <w:t>30 июля (11) августа 1915 г. вследствие неоднократных ходатайств М.В. Шидловского, Ставка Верховного Главнокомандующего обрати</w:t>
      </w:r>
      <w:r w:rsidRPr="00405303">
        <w:rPr>
          <w:color w:val="0070C0"/>
          <w:sz w:val="16"/>
          <w:szCs w:val="16"/>
        </w:rPr>
        <w:softHyphen/>
        <w:t>лась в Главное управление Генераль</w:t>
      </w:r>
      <w:r w:rsidRPr="00405303">
        <w:rPr>
          <w:color w:val="0070C0"/>
          <w:sz w:val="16"/>
          <w:szCs w:val="16"/>
        </w:rPr>
        <w:softHyphen/>
        <w:t>ного штаба с телеграммой: «Ввиду необходимости малых аппаратов для выполнения некоторых задач и тренировки личного состава Эскадры воздушных кораб</w:t>
      </w:r>
      <w:r w:rsidRPr="00405303">
        <w:rPr>
          <w:color w:val="0070C0"/>
          <w:sz w:val="16"/>
          <w:szCs w:val="16"/>
        </w:rPr>
        <w:softHyphen/>
        <w:t>лей в табель введено 12 аэропланов (легких). Часть этих аппаратов фактически уже имеется в Эскад</w:t>
      </w:r>
      <w:r w:rsidRPr="00405303">
        <w:rPr>
          <w:color w:val="0070C0"/>
          <w:sz w:val="16"/>
          <w:szCs w:val="16"/>
        </w:rPr>
        <w:softHyphen/>
        <w:t>ре. Однако составляет, по-видимому, собственность Вагонбалта (АО РБВЗ)- Ввиду желательности большую часть из указанных аппаратов иметь Сикорс</w:t>
      </w:r>
      <w:r w:rsidRPr="00405303">
        <w:rPr>
          <w:color w:val="0070C0"/>
          <w:sz w:val="16"/>
          <w:szCs w:val="16"/>
        </w:rPr>
        <w:softHyphen/>
        <w:t>кий 16, о чем ходатайствуют летчики, благоволите о распоряжении о приобретении имеющихся аппаратов и отпуске остальных...»</w:t>
      </w:r>
    </w:p>
    <w:p w14:paraId="100977E2" w14:textId="77777777" w:rsidR="00111B81" w:rsidRPr="00405303" w:rsidRDefault="00111B81" w:rsidP="00111B81">
      <w:pPr>
        <w:jc w:val="both"/>
        <w:rPr>
          <w:color w:val="0070C0"/>
          <w:sz w:val="16"/>
          <w:szCs w:val="16"/>
        </w:rPr>
      </w:pPr>
      <w:r w:rsidRPr="00405303">
        <w:rPr>
          <w:color w:val="0070C0"/>
          <w:sz w:val="16"/>
          <w:szCs w:val="16"/>
        </w:rPr>
        <w:t>После соответствующего отношения ГВТУ обрати</w:t>
      </w:r>
      <w:r w:rsidRPr="00405303">
        <w:rPr>
          <w:color w:val="0070C0"/>
          <w:sz w:val="16"/>
          <w:szCs w:val="16"/>
        </w:rPr>
        <w:softHyphen/>
        <w:t>лось с запросом в АО РБВЗ (25049).</w:t>
      </w:r>
    </w:p>
    <w:p w14:paraId="5648DE42" w14:textId="77777777" w:rsidR="00111B81" w:rsidRPr="00405303" w:rsidRDefault="00111B81" w:rsidP="00111B81">
      <w:pPr>
        <w:jc w:val="both"/>
        <w:rPr>
          <w:rStyle w:val="aa"/>
          <w:rFonts w:ascii="Times New Roman" w:hAnsi="Times New Roman"/>
          <w:color w:val="0070C0"/>
          <w:spacing w:val="0"/>
          <w:sz w:val="16"/>
          <w:szCs w:val="16"/>
        </w:rPr>
      </w:pPr>
    </w:p>
    <w:p w14:paraId="1757147B" w14:textId="717B5BB6" w:rsidR="00412676" w:rsidRPr="00405303" w:rsidRDefault="00412676" w:rsidP="00C15251">
      <w:pPr>
        <w:jc w:val="both"/>
        <w:rPr>
          <w:bCs/>
          <w:color w:val="002060"/>
          <w:sz w:val="16"/>
          <w:szCs w:val="16"/>
        </w:rPr>
      </w:pPr>
      <w:r w:rsidRPr="00405303">
        <w:rPr>
          <w:bCs/>
          <w:color w:val="002060"/>
          <w:sz w:val="16"/>
          <w:szCs w:val="16"/>
        </w:rPr>
        <w:t xml:space="preserve">30 июля </w:t>
      </w:r>
      <w:r w:rsidR="009F1CF8" w:rsidRPr="00405303">
        <w:rPr>
          <w:bCs/>
          <w:color w:val="002060"/>
          <w:sz w:val="16"/>
          <w:szCs w:val="16"/>
        </w:rPr>
        <w:t xml:space="preserve">(12 августа) </w:t>
      </w:r>
      <w:r w:rsidRPr="00405303">
        <w:rPr>
          <w:bCs/>
          <w:color w:val="002060"/>
          <w:sz w:val="16"/>
          <w:szCs w:val="16"/>
        </w:rPr>
        <w:t>в 1915 году Н.Р.Лобанов и его компаньоны основали московский аэрозавод по изготовлению деревянных воздушных винтов и лыж для аэропланов</w:t>
      </w:r>
      <w:r w:rsidR="009F1CF8" w:rsidRPr="00405303">
        <w:rPr>
          <w:bCs/>
          <w:color w:val="002060"/>
          <w:sz w:val="16"/>
          <w:szCs w:val="16"/>
        </w:rPr>
        <w:t xml:space="preserve"> – аэротехнический.</w:t>
      </w:r>
      <w:r w:rsidRPr="00405303">
        <w:rPr>
          <w:bCs/>
          <w:color w:val="002060"/>
          <w:sz w:val="16"/>
          <w:szCs w:val="16"/>
        </w:rPr>
        <w:t xml:space="preserve"> </w:t>
      </w:r>
      <w:r w:rsidR="009F1CF8" w:rsidRPr="00405303">
        <w:rPr>
          <w:bCs/>
          <w:color w:val="002060"/>
          <w:sz w:val="16"/>
          <w:szCs w:val="16"/>
        </w:rPr>
        <w:t>В</w:t>
      </w:r>
      <w:r w:rsidRPr="00405303">
        <w:rPr>
          <w:bCs/>
          <w:color w:val="002060"/>
          <w:sz w:val="16"/>
          <w:szCs w:val="16"/>
        </w:rPr>
        <w:t xml:space="preserve"> ноябре 1941 г. переведен в Свердловск</w:t>
      </w:r>
      <w:r w:rsidR="009F1CF8" w:rsidRPr="00405303">
        <w:rPr>
          <w:bCs/>
          <w:color w:val="002060"/>
          <w:sz w:val="16"/>
          <w:szCs w:val="16"/>
        </w:rPr>
        <w:t>,</w:t>
      </w:r>
      <w:r w:rsidRPr="00405303">
        <w:rPr>
          <w:bCs/>
          <w:color w:val="002060"/>
          <w:sz w:val="16"/>
          <w:szCs w:val="16"/>
        </w:rPr>
        <w:t xml:space="preserve"> ныне ОАО «Пневмостстроймашина» (г. Екатеринбург) – один из крупнейших производителей гидравлической техники в России и СНГ (14968).</w:t>
      </w:r>
    </w:p>
    <w:p w14:paraId="02B96111" w14:textId="77777777" w:rsidR="00412676" w:rsidRPr="00405303" w:rsidRDefault="00412676" w:rsidP="00C15251">
      <w:pPr>
        <w:jc w:val="both"/>
        <w:rPr>
          <w:bCs/>
          <w:color w:val="002060"/>
          <w:sz w:val="16"/>
          <w:szCs w:val="16"/>
        </w:rPr>
      </w:pPr>
    </w:p>
    <w:p w14:paraId="1CCD8D5D" w14:textId="6EA47684" w:rsidR="004B4E35" w:rsidRPr="00405303" w:rsidRDefault="009E6F82" w:rsidP="00C15251">
      <w:pPr>
        <w:jc w:val="both"/>
        <w:rPr>
          <w:bCs/>
          <w:i/>
          <w:color w:val="002060"/>
          <w:sz w:val="16"/>
          <w:szCs w:val="16"/>
        </w:rPr>
      </w:pPr>
      <w:r w:rsidRPr="00405303">
        <w:rPr>
          <w:bCs/>
          <w:i/>
          <w:color w:val="002060"/>
          <w:sz w:val="16"/>
          <w:szCs w:val="16"/>
        </w:rPr>
        <w:t>А</w:t>
      </w:r>
      <w:r w:rsidR="009F1CF8" w:rsidRPr="00405303">
        <w:rPr>
          <w:bCs/>
          <w:i/>
          <w:color w:val="002060"/>
          <w:sz w:val="16"/>
          <w:szCs w:val="16"/>
        </w:rPr>
        <w:t>виация</w:t>
      </w:r>
      <w:r w:rsidRPr="00405303">
        <w:rPr>
          <w:bCs/>
          <w:i/>
          <w:color w:val="002060"/>
          <w:sz w:val="16"/>
          <w:szCs w:val="16"/>
        </w:rPr>
        <w:t>:</w:t>
      </w:r>
    </w:p>
    <w:p w14:paraId="14B4E781" w14:textId="77777777" w:rsidR="004B4E35" w:rsidRPr="00405303" w:rsidRDefault="004B4E35" w:rsidP="00C15251">
      <w:pPr>
        <w:jc w:val="both"/>
        <w:rPr>
          <w:bCs/>
          <w:i/>
          <w:color w:val="002060"/>
          <w:sz w:val="16"/>
          <w:szCs w:val="16"/>
        </w:rPr>
      </w:pPr>
    </w:p>
    <w:p w14:paraId="7B220B9D" w14:textId="28A2A5C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30 июля </w:t>
      </w:r>
      <w:r w:rsidR="009F1CF8" w:rsidRPr="00405303">
        <w:rPr>
          <w:bCs/>
          <w:color w:val="002060"/>
          <w:sz w:val="16"/>
          <w:szCs w:val="16"/>
        </w:rPr>
        <w:t xml:space="preserve">(12 августа) 1915 г. </w:t>
      </w:r>
      <w:r w:rsidRPr="00405303">
        <w:rPr>
          <w:bCs/>
          <w:color w:val="002060"/>
          <w:sz w:val="16"/>
          <w:szCs w:val="16"/>
        </w:rPr>
        <w:t>в город прибыл 1-й взвод бата</w:t>
      </w:r>
      <w:r w:rsidRPr="00405303">
        <w:rPr>
          <w:bCs/>
          <w:color w:val="002060"/>
          <w:sz w:val="16"/>
          <w:szCs w:val="16"/>
        </w:rPr>
        <w:softHyphen/>
        <w:t>реи под командованием капитана В.В.Тар</w:t>
      </w:r>
      <w:r w:rsidRPr="00405303">
        <w:rPr>
          <w:bCs/>
          <w:color w:val="002060"/>
          <w:sz w:val="16"/>
          <w:szCs w:val="16"/>
        </w:rPr>
        <w:softHyphen/>
        <w:t xml:space="preserve">новского. </w:t>
      </w:r>
      <w:r w:rsidR="009F1CF8" w:rsidRPr="00405303">
        <w:rPr>
          <w:bCs/>
          <w:color w:val="002060"/>
          <w:sz w:val="16"/>
          <w:szCs w:val="16"/>
        </w:rPr>
        <w:t>Начало эвакуации русских войск из Вар</w:t>
      </w:r>
      <w:r w:rsidR="009F1CF8" w:rsidRPr="00405303">
        <w:rPr>
          <w:bCs/>
          <w:color w:val="002060"/>
          <w:sz w:val="16"/>
          <w:szCs w:val="16"/>
        </w:rPr>
        <w:softHyphen/>
        <w:t xml:space="preserve">шавы потребовало временно усилить её ПВО. </w:t>
      </w:r>
      <w:r w:rsidRPr="00405303">
        <w:rPr>
          <w:bCs/>
          <w:color w:val="002060"/>
          <w:sz w:val="16"/>
          <w:szCs w:val="16"/>
        </w:rPr>
        <w:t>Вечером того же дня он успешно отразил первый массированный налёт (до 9 аппаратов) на объекты города и мосты, сор</w:t>
      </w:r>
      <w:r w:rsidRPr="00405303">
        <w:rPr>
          <w:bCs/>
          <w:color w:val="002060"/>
          <w:sz w:val="16"/>
          <w:szCs w:val="16"/>
        </w:rPr>
        <w:softHyphen/>
        <w:t>вав все попытки бомбардировки противника. В ходе боя зенитным огнём были подби</w:t>
      </w:r>
      <w:r w:rsidRPr="00405303">
        <w:rPr>
          <w:bCs/>
          <w:color w:val="002060"/>
          <w:sz w:val="16"/>
          <w:szCs w:val="16"/>
        </w:rPr>
        <w:softHyphen/>
        <w:t>ты два немецких аэроплана, опустившиеся затем в расположении русских войск. Через день со станции Яблонна в Варшаву прибыл под командованием штабс-капитана Велич</w:t>
      </w:r>
      <w:r w:rsidRPr="00405303">
        <w:rPr>
          <w:bCs/>
          <w:color w:val="002060"/>
          <w:sz w:val="16"/>
          <w:szCs w:val="16"/>
        </w:rPr>
        <w:softHyphen/>
        <w:t>ко 2-й взвод батареи, обеспечивавший ра</w:t>
      </w:r>
      <w:r w:rsidRPr="00405303">
        <w:rPr>
          <w:bCs/>
          <w:color w:val="002060"/>
          <w:sz w:val="16"/>
          <w:szCs w:val="16"/>
        </w:rPr>
        <w:softHyphen/>
        <w:t>нее эвакуацию ЭВК «Илья Муромец».</w:t>
      </w:r>
    </w:p>
    <w:p w14:paraId="6424786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Вскоре подразделение Тарновского в пол</w:t>
      </w:r>
      <w:r w:rsidRPr="00405303">
        <w:rPr>
          <w:bCs/>
          <w:color w:val="002060"/>
          <w:sz w:val="16"/>
          <w:szCs w:val="16"/>
        </w:rPr>
        <w:softHyphen/>
        <w:t>ном составе убыло в гОстров в распоряже</w:t>
      </w:r>
      <w:r w:rsidRPr="00405303">
        <w:rPr>
          <w:bCs/>
          <w:color w:val="002060"/>
          <w:sz w:val="16"/>
          <w:szCs w:val="16"/>
        </w:rPr>
        <w:softHyphen/>
        <w:t>ние командующего 12-й армией, где 6 авгу</w:t>
      </w:r>
      <w:r w:rsidRPr="00405303">
        <w:rPr>
          <w:bCs/>
          <w:color w:val="002060"/>
          <w:sz w:val="16"/>
          <w:szCs w:val="16"/>
        </w:rPr>
        <w:softHyphen/>
        <w:t>ста в коротком бою на окраинах города сби</w:t>
      </w:r>
      <w:r w:rsidRPr="00405303">
        <w:rPr>
          <w:bCs/>
          <w:color w:val="002060"/>
          <w:sz w:val="16"/>
          <w:szCs w:val="16"/>
        </w:rPr>
        <w:softHyphen/>
        <w:t>ла вражеский А1Ьа1гоз. На следующий день подчинённые штабс-капитана Величко ус</w:t>
      </w:r>
      <w:r w:rsidRPr="00405303">
        <w:rPr>
          <w:bCs/>
          <w:color w:val="002060"/>
          <w:sz w:val="16"/>
          <w:szCs w:val="16"/>
        </w:rPr>
        <w:softHyphen/>
        <w:t>пешно обстреляли три германских аэропла</w:t>
      </w:r>
      <w:r w:rsidRPr="00405303">
        <w:rPr>
          <w:bCs/>
          <w:color w:val="002060"/>
          <w:sz w:val="16"/>
          <w:szCs w:val="16"/>
        </w:rPr>
        <w:softHyphen/>
        <w:t>на, стремившихся прорваться к городу. Мет</w:t>
      </w:r>
      <w:r w:rsidRPr="00405303">
        <w:rPr>
          <w:bCs/>
          <w:color w:val="002060"/>
          <w:sz w:val="16"/>
          <w:szCs w:val="16"/>
        </w:rPr>
        <w:softHyphen/>
        <w:t>ким огнём два из них были повреждены и круто спланировали в район своих позиций недалеко от линии фронта. Позднее к бата</w:t>
      </w:r>
      <w:r w:rsidRPr="00405303">
        <w:rPr>
          <w:bCs/>
          <w:color w:val="002060"/>
          <w:sz w:val="16"/>
          <w:szCs w:val="16"/>
        </w:rPr>
        <w:softHyphen/>
        <w:t>рее присоединился орудийный расчёт штабс-капитана Боровского, отличившийся в ходе боёв у г.Бельска, где им удалось под</w:t>
      </w:r>
      <w:r w:rsidRPr="00405303">
        <w:rPr>
          <w:bCs/>
          <w:color w:val="002060"/>
          <w:sz w:val="16"/>
          <w:szCs w:val="16"/>
        </w:rPr>
        <w:softHyphen/>
        <w:t>бить германский аппарат, опустившийся в районе нашего расположения. За успеш</w:t>
      </w:r>
      <w:r w:rsidRPr="00405303">
        <w:rPr>
          <w:bCs/>
          <w:color w:val="002060"/>
          <w:sz w:val="16"/>
          <w:szCs w:val="16"/>
        </w:rPr>
        <w:softHyphen/>
        <w:t>ную боевую работу личный состав Отдель</w:t>
      </w:r>
      <w:r w:rsidRPr="00405303">
        <w:rPr>
          <w:bCs/>
          <w:color w:val="002060"/>
          <w:sz w:val="16"/>
          <w:szCs w:val="16"/>
        </w:rPr>
        <w:softHyphen/>
        <w:t>ной автомобильной батареи был удостоен боевых наград (11391).</w:t>
      </w:r>
    </w:p>
    <w:p w14:paraId="662ADBE8" w14:textId="77777777" w:rsidR="004B4E35" w:rsidRPr="00405303" w:rsidRDefault="004B4E35" w:rsidP="00C15251">
      <w:pPr>
        <w:shd w:val="clear" w:color="auto" w:fill="FFFFFF"/>
        <w:jc w:val="both"/>
        <w:rPr>
          <w:bCs/>
          <w:color w:val="002060"/>
          <w:sz w:val="16"/>
          <w:szCs w:val="16"/>
        </w:rPr>
      </w:pPr>
    </w:p>
    <w:p w14:paraId="154335BD"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Англии:</w:t>
      </w:r>
    </w:p>
    <w:p w14:paraId="4E71610F" w14:textId="77777777" w:rsidR="004B4E35" w:rsidRPr="00405303" w:rsidRDefault="004B4E35" w:rsidP="00C15251">
      <w:pPr>
        <w:jc w:val="both"/>
        <w:rPr>
          <w:bCs/>
          <w:i/>
          <w:color w:val="002060"/>
          <w:sz w:val="16"/>
          <w:szCs w:val="16"/>
        </w:rPr>
      </w:pPr>
    </w:p>
    <w:p w14:paraId="5B925C86" w14:textId="2832B8C7" w:rsidR="004B4E35" w:rsidRPr="00405303" w:rsidRDefault="009E6F82" w:rsidP="00C15251">
      <w:pPr>
        <w:jc w:val="both"/>
        <w:rPr>
          <w:bCs/>
          <w:color w:val="002060"/>
          <w:sz w:val="16"/>
          <w:szCs w:val="16"/>
        </w:rPr>
      </w:pPr>
      <w:r w:rsidRPr="00405303">
        <w:rPr>
          <w:bCs/>
          <w:color w:val="002060"/>
          <w:sz w:val="16"/>
          <w:szCs w:val="16"/>
        </w:rPr>
        <w:t xml:space="preserve">30 июля (12 августа) 1915 года </w:t>
      </w:r>
      <w:r w:rsidR="009F1CF8" w:rsidRPr="00405303">
        <w:rPr>
          <w:bCs/>
          <w:color w:val="002060"/>
          <w:sz w:val="16"/>
          <w:szCs w:val="16"/>
        </w:rPr>
        <w:t xml:space="preserve">"Шорт 184" выполнил </w:t>
      </w:r>
      <w:r w:rsidRPr="00405303">
        <w:rPr>
          <w:bCs/>
          <w:color w:val="002060"/>
          <w:sz w:val="16"/>
          <w:szCs w:val="16"/>
        </w:rPr>
        <w:t>первую боевую торпедную атаку с воздуха. Ее целью являлся одиночный турецкий пароход в Мраморном море. До конца Дарданельской кампании английские "Шорты" совершили еще несколько атак, тяжело повредив транспорт и потопив буксир. Это дало толчок к развитию торпедоносной авиации в других странах, в первую очередь в Германии. Уже 12.9.1916 группа немецких торпедоносцев безуспешно атаковала русский линкор "Слава" в Ирбен- ском проливе. Немцы расширили свои эксперименты, и на следующий год их самолеты в Рижском заливе осуществили первые в истории минные постановки с воздуха. Одновременно германские торпедоносцы, базировавшиеся на аэродромы Фландрии, потопили несколько английских судов в проливе Па- де-Кале. К концу 1917 г. собственными торпедоносцами обзавелись флоты США и Австро-Венгрии, вскоре после окончания войны - Франции и Японии. В межвоенный период небольшими торпедоносными подразделениями обзавелись многие мелкие страны, которые видели угрозу для себя со стороны противников, находящихся за морем, например Голландия, Швеция, Норвегия и т.д.</w:t>
      </w:r>
    </w:p>
    <w:p w14:paraId="18F45D85" w14:textId="77777777" w:rsidR="004B4E35" w:rsidRPr="00405303" w:rsidRDefault="009E6F82" w:rsidP="00C15251">
      <w:pPr>
        <w:jc w:val="both"/>
        <w:rPr>
          <w:bCs/>
          <w:color w:val="002060"/>
          <w:sz w:val="16"/>
          <w:szCs w:val="16"/>
        </w:rPr>
      </w:pPr>
      <w:r w:rsidRPr="00405303">
        <w:rPr>
          <w:bCs/>
          <w:color w:val="002060"/>
          <w:sz w:val="16"/>
          <w:szCs w:val="16"/>
        </w:rPr>
        <w:t>Сейчас при ретроспективном анализе возникновения и казалось бы, успешного развития торпедоносной авиации трудно не обратить внимание на любопытный факт: несмотря на разрешение всего комплекса технических проблем подвески торпеды под самолет и успешный боевой дебют торпедоносцев в Первой мировой войне, они не смогли в течение межвоенного периода вытеснить другие ударные рода ВВС из состава морской авиации. Почему?</w:t>
      </w:r>
    </w:p>
    <w:p w14:paraId="71B46CD0" w14:textId="77777777" w:rsidR="004B4E35" w:rsidRPr="00405303" w:rsidRDefault="009E6F82" w:rsidP="00C15251">
      <w:pPr>
        <w:jc w:val="both"/>
        <w:rPr>
          <w:bCs/>
          <w:color w:val="002060"/>
          <w:sz w:val="16"/>
          <w:szCs w:val="16"/>
        </w:rPr>
      </w:pPr>
      <w:r w:rsidRPr="00405303">
        <w:rPr>
          <w:bCs/>
          <w:color w:val="002060"/>
          <w:sz w:val="16"/>
          <w:szCs w:val="16"/>
        </w:rPr>
        <w:t>Для того чтобы ответить на этот важный вопрос, необходимо рассмотреть все способы атаки кораблей с воздуха (12002).</w:t>
      </w:r>
    </w:p>
    <w:p w14:paraId="31BF5BED" w14:textId="77777777" w:rsidR="004B4E35" w:rsidRPr="00405303" w:rsidRDefault="004B4E35" w:rsidP="00C15251">
      <w:pPr>
        <w:jc w:val="both"/>
        <w:rPr>
          <w:bCs/>
          <w:color w:val="002060"/>
          <w:sz w:val="16"/>
          <w:szCs w:val="16"/>
        </w:rPr>
      </w:pPr>
    </w:p>
    <w:p w14:paraId="1A52B29D" w14:textId="4899E70C" w:rsidR="004126B0" w:rsidRPr="00405303" w:rsidRDefault="004126B0" w:rsidP="00C15251">
      <w:pPr>
        <w:jc w:val="both"/>
        <w:rPr>
          <w:bCs/>
          <w:color w:val="002060"/>
          <w:sz w:val="16"/>
          <w:szCs w:val="16"/>
        </w:rPr>
      </w:pPr>
      <w:r w:rsidRPr="00405303">
        <w:rPr>
          <w:bCs/>
          <w:color w:val="002060"/>
          <w:sz w:val="16"/>
          <w:szCs w:val="16"/>
        </w:rPr>
        <w:t>30 июля (12 августа) 1915 год, проведена первая торпедная атака с воздуха. Её провёл Ч.Г.Едмондсон, который поднялся в воздух на гидроплане Шорт 184 с борта гидронесущего корабля Британских ВМС «Бен-Май-Кри». Объектом атаки в Мраморном море стало турецкое вспомогательное судно водоизмещением 5080 тонн. На эту же победу претендовал и командир одной из английских подводных лодок действоваших в том же районе. Как потом выяснилось подводная лодка Е14 действительно атаковала это судно и лишило его маневренности</w:t>
      </w:r>
    </w:p>
    <w:p w14:paraId="719AF4C5" w14:textId="77777777" w:rsidR="004126B0" w:rsidRPr="00405303" w:rsidRDefault="004126B0" w:rsidP="00C15251">
      <w:pPr>
        <w:jc w:val="both"/>
        <w:rPr>
          <w:bCs/>
          <w:color w:val="002060"/>
          <w:sz w:val="16"/>
          <w:szCs w:val="16"/>
        </w:rPr>
      </w:pPr>
    </w:p>
    <w:p w14:paraId="15367063" w14:textId="77777777" w:rsidR="00412676" w:rsidRPr="00405303" w:rsidRDefault="00412676" w:rsidP="00C15251">
      <w:pPr>
        <w:jc w:val="both"/>
        <w:rPr>
          <w:bCs/>
          <w:color w:val="002060"/>
          <w:sz w:val="16"/>
          <w:szCs w:val="16"/>
        </w:rPr>
      </w:pPr>
      <w:r w:rsidRPr="00405303">
        <w:rPr>
          <w:bCs/>
          <w:color w:val="002060"/>
          <w:sz w:val="16"/>
          <w:szCs w:val="16"/>
        </w:rPr>
        <w:t>30 июля (12 августа) в 1915 году проведена первая торпедная атака с воздуха. Её провёл Ч.Г.Едмондсон, который поднялся в воздух на гидроплане «Шорт 184» с борта гидронесущего корабля Британских ВМС «Бен-Май-Кри». Объектом атаки в Мраморном море стало турецкое вспомогательное судно водоизмещением 5080 тонн. На эту же победу претендовал и командир одной из английских подводных лодок действоваших в том же районе. Как потом выяснилось подводная лодка «Е14» действительно атаковала это судно и лишило его маневренности (14981).</w:t>
      </w:r>
    </w:p>
    <w:p w14:paraId="64823EE9" w14:textId="77777777" w:rsidR="00412676" w:rsidRPr="00405303" w:rsidRDefault="00412676" w:rsidP="00C15251">
      <w:pPr>
        <w:jc w:val="both"/>
        <w:rPr>
          <w:bCs/>
          <w:color w:val="002060"/>
          <w:sz w:val="16"/>
          <w:szCs w:val="16"/>
        </w:rPr>
      </w:pPr>
    </w:p>
    <w:p w14:paraId="73B44C47" w14:textId="77777777" w:rsidR="00412676" w:rsidRPr="00405303" w:rsidRDefault="00412676" w:rsidP="00C15251">
      <w:pPr>
        <w:jc w:val="both"/>
        <w:rPr>
          <w:bCs/>
          <w:color w:val="002060"/>
          <w:sz w:val="16"/>
          <w:szCs w:val="16"/>
        </w:rPr>
      </w:pPr>
      <w:r w:rsidRPr="00405303">
        <w:rPr>
          <w:bCs/>
          <w:color w:val="002060"/>
          <w:sz w:val="16"/>
          <w:szCs w:val="16"/>
        </w:rPr>
        <w:t xml:space="preserve">30 июля (12 августа) в 1915 году капитаном Ч.Г.Эдмондсом проведена первая торпедная атака с воздуха. Ч.Г.Эдмондс поднялся в воздух на гидроплане </w:t>
      </w:r>
      <w:hyperlink r:id="rId48" w:tgtFrame="_blank" w:history="1">
        <w:r w:rsidRPr="00405303">
          <w:rPr>
            <w:bCs/>
            <w:color w:val="002060"/>
            <w:sz w:val="16"/>
            <w:szCs w:val="16"/>
          </w:rPr>
          <w:t xml:space="preserve">«Шорт 184» </w:t>
        </w:r>
      </w:hyperlink>
      <w:r w:rsidRPr="00405303">
        <w:rPr>
          <w:bCs/>
          <w:color w:val="002060"/>
          <w:sz w:val="16"/>
          <w:szCs w:val="16"/>
        </w:rPr>
        <w:t xml:space="preserve">с борта авианесущего корабля Британских ВМС </w:t>
      </w:r>
      <w:hyperlink r:id="rId49" w:tgtFrame="_blank" w:history="1">
        <w:r w:rsidRPr="00405303">
          <w:rPr>
            <w:bCs/>
            <w:color w:val="002060"/>
            <w:sz w:val="16"/>
            <w:szCs w:val="16"/>
          </w:rPr>
          <w:t xml:space="preserve">«Бен-Май-Кри». </w:t>
        </w:r>
      </w:hyperlink>
      <w:r w:rsidRPr="00405303">
        <w:rPr>
          <w:bCs/>
          <w:color w:val="002060"/>
          <w:sz w:val="16"/>
          <w:szCs w:val="16"/>
        </w:rPr>
        <w:t xml:space="preserve">Объектом атаки в Мраморном море стало турецкое вспомогательное судно водоизмещением 5080 тонн. Торпедированное судно затонуло. На эту же победу претендовал и командир одной </w:t>
      </w:r>
      <w:proofErr w:type="gramStart"/>
      <w:r w:rsidRPr="00405303">
        <w:rPr>
          <w:bCs/>
          <w:color w:val="002060"/>
          <w:sz w:val="16"/>
          <w:szCs w:val="16"/>
        </w:rPr>
        <w:t>из английских подводных лодок</w:t>
      </w:r>
      <w:proofErr w:type="gramEnd"/>
      <w:r w:rsidRPr="00405303">
        <w:rPr>
          <w:bCs/>
          <w:color w:val="002060"/>
          <w:sz w:val="16"/>
          <w:szCs w:val="16"/>
        </w:rPr>
        <w:t xml:space="preserve"> действовавших в том же районе. Как потом выяснилось подводная лодка «Е14» действительно атаковала это судно и лишила его маневренности. Однако 17 aвгустa 1915 г. в результате торпедной атаки, характер которой не вызывает сомнений, затонуло другое турецкое судно: капитан Ч.Г.Эдмондс, пилотировавший «Шорт 184</w:t>
      </w:r>
      <w:proofErr w:type="gramStart"/>
      <w:r w:rsidRPr="00405303">
        <w:rPr>
          <w:bCs/>
          <w:color w:val="002060"/>
          <w:sz w:val="16"/>
          <w:szCs w:val="16"/>
        </w:rPr>
        <w:t>» ,</w:t>
      </w:r>
      <w:proofErr w:type="gramEnd"/>
      <w:r w:rsidRPr="00405303">
        <w:rPr>
          <w:bCs/>
          <w:color w:val="002060"/>
          <w:sz w:val="16"/>
          <w:szCs w:val="16"/>
        </w:rPr>
        <w:t xml:space="preserve"> торпедировал турецкий пароход несколькими милями севернее Дарданелл. Ведомый Эдмондса, капитан- лейтенант Дж.Б.Дейкер, совершил вынужденную посадку на воду из перебоев в работе двигателя, но, увидев поблизости турецкий буксир, подрулил к нему и выпустил торпеду, в результате буксир взорвался и затонул. После этого Дейкер отрегулировал двигатель, взлетел и вернулся на «Бен-Май-Кри» (14981).</w:t>
      </w:r>
    </w:p>
    <w:p w14:paraId="66DF459D" w14:textId="77777777" w:rsidR="00412676" w:rsidRPr="00405303" w:rsidRDefault="00412676" w:rsidP="00C15251">
      <w:pPr>
        <w:jc w:val="both"/>
        <w:rPr>
          <w:bCs/>
          <w:color w:val="002060"/>
          <w:sz w:val="16"/>
          <w:szCs w:val="16"/>
        </w:rPr>
      </w:pPr>
    </w:p>
    <w:p w14:paraId="29317890" w14:textId="77777777" w:rsidR="007A0D0A" w:rsidRPr="00405303" w:rsidRDefault="007A0D0A" w:rsidP="00C15251">
      <w:pPr>
        <w:jc w:val="both"/>
        <w:rPr>
          <w:bCs/>
          <w:color w:val="002060"/>
          <w:sz w:val="16"/>
          <w:szCs w:val="16"/>
        </w:rPr>
      </w:pPr>
      <w:r w:rsidRPr="00405303">
        <w:rPr>
          <w:bCs/>
          <w:color w:val="002060"/>
          <w:sz w:val="16"/>
          <w:szCs w:val="16"/>
        </w:rPr>
        <w:t>30 июля (12 августа) 1915 на самолете Шорт Тип 184 с HMS Ben-my-Chree Командир авиации Королевских военно-морских сил Чарльз Эдмондс становится первым пилотом, который атакует корабль с помощью торпеды воздушного базирования, торпедируя турецкий корабль снабжения валовой вместимостью 5 000 т во время кампании в Дарданеллах (20338).</w:t>
      </w:r>
    </w:p>
    <w:p w14:paraId="69EAEABA" w14:textId="77777777" w:rsidR="007A0D0A" w:rsidRPr="00405303" w:rsidRDefault="007A0D0A" w:rsidP="00C15251">
      <w:pPr>
        <w:jc w:val="both"/>
        <w:rPr>
          <w:bCs/>
          <w:color w:val="002060"/>
          <w:sz w:val="16"/>
          <w:szCs w:val="16"/>
        </w:rPr>
      </w:pPr>
    </w:p>
    <w:p w14:paraId="6073A83D" w14:textId="77777777" w:rsidR="008A2252" w:rsidRPr="00405303" w:rsidRDefault="008A2252" w:rsidP="00C15251">
      <w:pPr>
        <w:jc w:val="both"/>
        <w:rPr>
          <w:bCs/>
          <w:color w:val="002060"/>
          <w:sz w:val="16"/>
          <w:szCs w:val="16"/>
        </w:rPr>
      </w:pPr>
      <w:r w:rsidRPr="00405303">
        <w:rPr>
          <w:bCs/>
          <w:color w:val="002060"/>
          <w:sz w:val="16"/>
          <w:szCs w:val="16"/>
        </w:rPr>
        <w:t>30 июля (12 августа) 1915 года «Шорт-184» стал самолетом, совершившим первую боевую торпедную атаку с воз</w:t>
      </w:r>
      <w:r w:rsidRPr="00405303">
        <w:rPr>
          <w:bCs/>
          <w:color w:val="002060"/>
          <w:sz w:val="16"/>
          <w:szCs w:val="16"/>
        </w:rPr>
        <w:softHyphen/>
        <w:t>духа. Ее целью являлся одиночный турец</w:t>
      </w:r>
      <w:r w:rsidRPr="00405303">
        <w:rPr>
          <w:bCs/>
          <w:color w:val="002060"/>
          <w:sz w:val="16"/>
          <w:szCs w:val="16"/>
        </w:rPr>
        <w:softHyphen/>
        <w:t>кий пароход в Мраморном море. До конца Дарданельской кампании английские «Шорты» совершили еще несколько атак, тяжело повредив транспорт и потопив бук</w:t>
      </w:r>
      <w:r w:rsidRPr="00405303">
        <w:rPr>
          <w:bCs/>
          <w:color w:val="002060"/>
          <w:sz w:val="16"/>
          <w:szCs w:val="16"/>
        </w:rPr>
        <w:softHyphen/>
        <w:t>сир (23464).</w:t>
      </w:r>
    </w:p>
    <w:p w14:paraId="500A03D3" w14:textId="77777777" w:rsidR="008A2252" w:rsidRPr="00405303" w:rsidRDefault="008A2252" w:rsidP="00C15251">
      <w:pPr>
        <w:jc w:val="both"/>
        <w:rPr>
          <w:bCs/>
          <w:color w:val="002060"/>
          <w:sz w:val="16"/>
          <w:szCs w:val="16"/>
        </w:rPr>
      </w:pPr>
    </w:p>
    <w:p w14:paraId="060A0D3F" w14:textId="71CF9359" w:rsidR="007A0D0A" w:rsidRPr="00405303" w:rsidRDefault="007A0D0A" w:rsidP="00C15251">
      <w:pPr>
        <w:jc w:val="both"/>
        <w:rPr>
          <w:bCs/>
          <w:i/>
          <w:color w:val="002060"/>
          <w:sz w:val="16"/>
          <w:szCs w:val="16"/>
        </w:rPr>
      </w:pPr>
      <w:r w:rsidRPr="00405303">
        <w:rPr>
          <w:bCs/>
          <w:i/>
          <w:color w:val="002060"/>
          <w:sz w:val="16"/>
          <w:szCs w:val="16"/>
        </w:rPr>
        <w:t>Авиация и воздухоплавание Германии:</w:t>
      </w:r>
    </w:p>
    <w:p w14:paraId="4AAAE9BA" w14:textId="77777777" w:rsidR="007A0D0A" w:rsidRPr="00405303" w:rsidRDefault="007A0D0A" w:rsidP="00C15251">
      <w:pPr>
        <w:jc w:val="both"/>
        <w:rPr>
          <w:bCs/>
          <w:i/>
          <w:color w:val="002060"/>
          <w:sz w:val="16"/>
          <w:szCs w:val="16"/>
        </w:rPr>
      </w:pPr>
    </w:p>
    <w:p w14:paraId="743BC72C" w14:textId="77777777" w:rsidR="007A0D0A" w:rsidRPr="00405303" w:rsidRDefault="007A0D0A" w:rsidP="00C15251">
      <w:pPr>
        <w:jc w:val="both"/>
        <w:rPr>
          <w:bCs/>
          <w:color w:val="002060"/>
          <w:sz w:val="16"/>
          <w:szCs w:val="16"/>
        </w:rPr>
      </w:pPr>
      <w:r w:rsidRPr="00405303">
        <w:rPr>
          <w:bCs/>
          <w:color w:val="002060"/>
          <w:sz w:val="16"/>
          <w:szCs w:val="16"/>
        </w:rPr>
        <w:t>30-31 июля (12–13 августа) (ночь) 1915 четыре дирижабля ВМС Германии пытаются бомбить Англию. Два поворачивают назад, не доходя до Англии, в то время как L 10 бомбит Харвич, разрушая два дома, а L 12 не находит целей и с трудом возвращается домой после столкновения с сильной грозой над Северным морем (20338).</w:t>
      </w:r>
    </w:p>
    <w:p w14:paraId="3454C883" w14:textId="77777777" w:rsidR="007A0D0A" w:rsidRPr="00405303" w:rsidRDefault="007A0D0A" w:rsidP="00C15251">
      <w:pPr>
        <w:jc w:val="both"/>
        <w:rPr>
          <w:bCs/>
          <w:color w:val="002060"/>
          <w:sz w:val="16"/>
          <w:szCs w:val="16"/>
        </w:rPr>
      </w:pPr>
    </w:p>
    <w:p w14:paraId="1E7E81C3"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7644D4A0" w14:textId="77777777" w:rsidR="004B4E35" w:rsidRPr="00405303" w:rsidRDefault="004B4E35" w:rsidP="00C15251">
      <w:pPr>
        <w:jc w:val="both"/>
        <w:rPr>
          <w:bCs/>
          <w:i/>
          <w:color w:val="002060"/>
          <w:sz w:val="16"/>
          <w:szCs w:val="16"/>
        </w:rPr>
      </w:pPr>
    </w:p>
    <w:p w14:paraId="499E069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31 июля (13 августа) 1915 в районе Влодавы имел место первый опыт использования авиации для проверки данных агентурной разведки, доившей о намерении немецких войск форсировать реку Буг в этом районе, Разведка, произведенная 31 КАО, подтвердила дан</w:t>
      </w:r>
      <w:r w:rsidRPr="00405303">
        <w:rPr>
          <w:bCs/>
          <w:color w:val="002060"/>
          <w:sz w:val="16"/>
          <w:szCs w:val="16"/>
        </w:rPr>
        <w:softHyphen/>
        <w:t xml:space="preserve">ные агентуры и послужила основанием для спешной отправки^на угрожаемый участок армейских резервов. Когда начался </w:t>
      </w:r>
      <w:proofErr w:type="gramStart"/>
      <w:r w:rsidRPr="00405303">
        <w:rPr>
          <w:bCs/>
          <w:color w:val="002060"/>
          <w:sz w:val="16"/>
          <w:szCs w:val="16"/>
        </w:rPr>
        <w:t>бой,пять</w:t>
      </w:r>
      <w:proofErr w:type="gramEnd"/>
      <w:r w:rsidRPr="00405303">
        <w:rPr>
          <w:bCs/>
          <w:color w:val="002060"/>
          <w:sz w:val="16"/>
          <w:szCs w:val="16"/>
        </w:rPr>
        <w:t xml:space="preserve"> самолетов того же отряда на низкой высоте атаковали скопление противника на переправе через Буг, вызвали большую панику в частях противника и обеспечили успех атаки своих войск. (Газетные сообщения за 2 августа 1915 г.; "ВВФ". 1923, № 3, стр.14-15).</w:t>
      </w:r>
    </w:p>
    <w:p w14:paraId="4E6EE009" w14:textId="77777777" w:rsidR="004B4E35" w:rsidRPr="00405303" w:rsidRDefault="004B4E35" w:rsidP="00C15251">
      <w:pPr>
        <w:shd w:val="clear" w:color="auto" w:fill="FFFFFF"/>
        <w:jc w:val="both"/>
        <w:rPr>
          <w:bCs/>
          <w:color w:val="002060"/>
          <w:sz w:val="16"/>
          <w:szCs w:val="16"/>
        </w:rPr>
      </w:pPr>
    </w:p>
    <w:p w14:paraId="2BE54881" w14:textId="77777777" w:rsidR="00471380" w:rsidRPr="00405303" w:rsidRDefault="00471380" w:rsidP="00C15251">
      <w:pPr>
        <w:jc w:val="both"/>
        <w:rPr>
          <w:bCs/>
          <w:color w:val="002060"/>
          <w:sz w:val="16"/>
          <w:szCs w:val="16"/>
        </w:rPr>
      </w:pPr>
      <w:r w:rsidRPr="00405303">
        <w:rPr>
          <w:bCs/>
          <w:color w:val="002060"/>
          <w:sz w:val="16"/>
          <w:szCs w:val="16"/>
        </w:rPr>
        <w:t>31 июля (13 августа) 1915 г. в районе Влодавы имел место первый опыт использования авиации для проверки данных агентурной разводки, донесшей о намерениях немецких войск форсировать р. Бут в этом районе. Разведка, проведенная 31-м КАО, подтвердила данные агентуры и послужила основанием для спешной отправки на угрожаемый участок армейские резервы и тем ликвидировать угрозу, а когда начался бой, пять самолетов того же отряда на низкой высоте атаковали скопление противника на переправе через Буг, вызвали большую панику в частях противника и обеспечили успех атаки своих войск.</w:t>
      </w:r>
    </w:p>
    <w:p w14:paraId="161B3D87" w14:textId="77777777" w:rsidR="00471380" w:rsidRPr="00405303" w:rsidRDefault="00471380" w:rsidP="00C15251">
      <w:pPr>
        <w:jc w:val="both"/>
        <w:rPr>
          <w:bCs/>
          <w:color w:val="002060"/>
          <w:sz w:val="16"/>
          <w:szCs w:val="16"/>
        </w:rPr>
      </w:pPr>
      <w:r w:rsidRPr="00405303">
        <w:rPr>
          <w:bCs/>
          <w:color w:val="002060"/>
          <w:sz w:val="16"/>
          <w:szCs w:val="16"/>
        </w:rPr>
        <w:t>/газетные сообщения за 2 авг. 1915; «ВВФ»,1923 № 3, стр. 14-15/ (23320).</w:t>
      </w:r>
    </w:p>
    <w:p w14:paraId="2E143484" w14:textId="77777777" w:rsidR="00471380" w:rsidRPr="00405303" w:rsidRDefault="00471380" w:rsidP="00C15251">
      <w:pPr>
        <w:jc w:val="both"/>
        <w:rPr>
          <w:bCs/>
          <w:color w:val="002060"/>
          <w:sz w:val="16"/>
          <w:szCs w:val="16"/>
        </w:rPr>
      </w:pPr>
    </w:p>
    <w:p w14:paraId="6850BB32" w14:textId="1AAAEDC9" w:rsidR="008A2252" w:rsidRPr="00405303" w:rsidRDefault="008A2252" w:rsidP="00C15251">
      <w:pPr>
        <w:jc w:val="both"/>
        <w:rPr>
          <w:bCs/>
          <w:color w:val="002060"/>
          <w:sz w:val="16"/>
          <w:szCs w:val="16"/>
        </w:rPr>
      </w:pPr>
      <w:bookmarkStart w:id="204" w:name="bookmark239"/>
      <w:bookmarkStart w:id="205" w:name="bookmark240"/>
      <w:r w:rsidRPr="00405303">
        <w:rPr>
          <w:bCs/>
          <w:color w:val="002060"/>
          <w:sz w:val="16"/>
          <w:szCs w:val="16"/>
        </w:rPr>
        <w:t>В период с 31 июля по 5 августа (13-18 августа) 1915 г., по данным русского командования, в ходе наступления германских войск наиболее интенсивным ударам с воздуха подверглись г. Варшава, Ломжа, Белосток, Брест-Литовск, Малкина, Вильна (в последней был разрушен костел). В районе г. Кобрин (Кобрын) жертвами воздушной бомбардировки стали мирные беженцы.</w:t>
      </w:r>
      <w:bookmarkEnd w:id="204"/>
      <w:bookmarkEnd w:id="205"/>
    </w:p>
    <w:p w14:paraId="7C2A681E" w14:textId="77777777" w:rsidR="008A2252" w:rsidRPr="00405303" w:rsidRDefault="008A2252" w:rsidP="00C15251">
      <w:pPr>
        <w:jc w:val="both"/>
        <w:rPr>
          <w:bCs/>
          <w:color w:val="002060"/>
          <w:sz w:val="16"/>
          <w:szCs w:val="16"/>
        </w:rPr>
      </w:pPr>
      <w:r w:rsidRPr="00405303">
        <w:rPr>
          <w:bCs/>
          <w:color w:val="002060"/>
          <w:sz w:val="16"/>
          <w:szCs w:val="16"/>
        </w:rPr>
        <w:t>Противник, игнорируя нормы международного права, продолжал воздействовать на мирные объекты и гражданское население с целью создания у последнего панических настроений. В середине августа на перегоне Брест-Литовск - Ковель германские летчики сбросили на поезд четыре бомбы, взрывы которых повлекли за собой ранения среди пассажиров различной тяжести (23405).</w:t>
      </w:r>
    </w:p>
    <w:p w14:paraId="01E949E1" w14:textId="77777777" w:rsidR="008A2252" w:rsidRPr="00405303" w:rsidRDefault="008A2252" w:rsidP="00C15251">
      <w:pPr>
        <w:jc w:val="both"/>
        <w:rPr>
          <w:bCs/>
          <w:color w:val="002060"/>
          <w:sz w:val="16"/>
          <w:szCs w:val="16"/>
        </w:rPr>
      </w:pPr>
    </w:p>
    <w:p w14:paraId="401CA78E" w14:textId="1FC0A25E" w:rsidR="00B8077B" w:rsidRPr="00405303" w:rsidRDefault="00B8077B" w:rsidP="00C15251">
      <w:pPr>
        <w:shd w:val="clear" w:color="auto" w:fill="FFFFFF"/>
        <w:jc w:val="both"/>
        <w:rPr>
          <w:bCs/>
          <w:i/>
          <w:color w:val="002060"/>
          <w:sz w:val="16"/>
          <w:szCs w:val="16"/>
        </w:rPr>
      </w:pPr>
      <w:r w:rsidRPr="00405303">
        <w:rPr>
          <w:bCs/>
          <w:i/>
          <w:color w:val="002060"/>
          <w:sz w:val="16"/>
          <w:szCs w:val="16"/>
        </w:rPr>
        <w:t>Самолетостроение:</w:t>
      </w:r>
    </w:p>
    <w:p w14:paraId="2654B6B3" w14:textId="77777777" w:rsidR="00B8077B" w:rsidRPr="00405303" w:rsidRDefault="00B8077B" w:rsidP="00C15251">
      <w:pPr>
        <w:shd w:val="clear" w:color="auto" w:fill="FFFFFF"/>
        <w:jc w:val="both"/>
        <w:rPr>
          <w:bCs/>
          <w:i/>
          <w:color w:val="002060"/>
          <w:sz w:val="16"/>
          <w:szCs w:val="16"/>
        </w:rPr>
      </w:pPr>
    </w:p>
    <w:p w14:paraId="5E521EC4" w14:textId="77777777" w:rsidR="00B8077B" w:rsidRPr="00405303" w:rsidRDefault="00B8077B" w:rsidP="00C15251">
      <w:pPr>
        <w:jc w:val="both"/>
        <w:rPr>
          <w:bCs/>
          <w:color w:val="002060"/>
          <w:sz w:val="16"/>
          <w:szCs w:val="16"/>
        </w:rPr>
      </w:pPr>
      <w:r w:rsidRPr="00405303">
        <w:rPr>
          <w:bCs/>
          <w:color w:val="002060"/>
          <w:sz w:val="16"/>
          <w:szCs w:val="16"/>
          <w:lang w:bidi="ru-RU"/>
        </w:rPr>
        <w:t>К концу июля 1915 г. «Святогор» был собран и подготовлен к испытаниям. Форма крыльев, хорошо обтекаемые стойки, пусто</w:t>
      </w:r>
      <w:r w:rsidRPr="00405303">
        <w:rPr>
          <w:bCs/>
          <w:color w:val="002060"/>
          <w:sz w:val="16"/>
          <w:szCs w:val="16"/>
          <w:lang w:bidi="ru-RU"/>
        </w:rPr>
        <w:softHyphen/>
        <w:t>телые и очень прочные балки из фанеры, отсутствие острых уг</w:t>
      </w:r>
      <w:r w:rsidRPr="00405303">
        <w:rPr>
          <w:bCs/>
          <w:color w:val="002060"/>
          <w:sz w:val="16"/>
          <w:szCs w:val="16"/>
          <w:lang w:bidi="ru-RU"/>
        </w:rPr>
        <w:softHyphen/>
        <w:t xml:space="preserve">лов </w:t>
      </w:r>
      <w:proofErr w:type="gramStart"/>
      <w:r w:rsidRPr="00405303">
        <w:rPr>
          <w:bCs/>
          <w:color w:val="002060"/>
          <w:sz w:val="16"/>
          <w:szCs w:val="16"/>
          <w:lang w:bidi="ru-RU"/>
        </w:rPr>
        <w:t>- все это</w:t>
      </w:r>
      <w:proofErr w:type="gramEnd"/>
      <w:r w:rsidRPr="00405303">
        <w:rPr>
          <w:bCs/>
          <w:color w:val="002060"/>
          <w:sz w:val="16"/>
          <w:szCs w:val="16"/>
          <w:lang w:bidi="ru-RU"/>
        </w:rPr>
        <w:t xml:space="preserve"> свидетельствовало о большой исследовательской работе, предшествовавшей постройке. «Святогор» имел на носу фюзеляжа «пушечную палубу», на которой предусматривалась установка скорострельной пушки. Двигатели общей мощностью 600 л.с. располагались в фюзеляже, ближе к центру масс само</w:t>
      </w:r>
      <w:r w:rsidRPr="00405303">
        <w:rPr>
          <w:bCs/>
          <w:color w:val="002060"/>
          <w:sz w:val="16"/>
          <w:szCs w:val="16"/>
          <w:lang w:bidi="ru-RU"/>
        </w:rPr>
        <w:softHyphen/>
        <w:t>лета. Передача на два толкающих винта диаметром 6 м была за</w:t>
      </w:r>
      <w:r w:rsidRPr="00405303">
        <w:rPr>
          <w:bCs/>
          <w:color w:val="002060"/>
          <w:sz w:val="16"/>
          <w:szCs w:val="16"/>
          <w:lang w:bidi="ru-RU"/>
        </w:rPr>
        <w:softHyphen/>
        <w:t>проектирована карданной, но позже заменена тросовой. Колеса шасси имели большой диаметр (1,8 м), задняя пара колес была несколько больше передней. По мысли конструктора, такие ко</w:t>
      </w:r>
      <w:r w:rsidRPr="00405303">
        <w:rPr>
          <w:bCs/>
          <w:color w:val="002060"/>
          <w:sz w:val="16"/>
          <w:szCs w:val="16"/>
          <w:lang w:bidi="ru-RU"/>
        </w:rPr>
        <w:softHyphen/>
        <w:t>леса должны были облегчить взлет тяжелой машины (23011).</w:t>
      </w:r>
    </w:p>
    <w:p w14:paraId="0F732830" w14:textId="77777777" w:rsidR="00B8077B" w:rsidRPr="00405303" w:rsidRDefault="00B8077B" w:rsidP="00C15251">
      <w:pPr>
        <w:jc w:val="both"/>
        <w:rPr>
          <w:bCs/>
          <w:color w:val="002060"/>
          <w:sz w:val="16"/>
          <w:szCs w:val="16"/>
        </w:rPr>
      </w:pPr>
    </w:p>
    <w:p w14:paraId="0E95A0AD"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1D41B370" w14:textId="77777777" w:rsidR="004B4E35" w:rsidRPr="00405303" w:rsidRDefault="004B4E35" w:rsidP="00C15251">
      <w:pPr>
        <w:shd w:val="clear" w:color="auto" w:fill="FFFFFF"/>
        <w:jc w:val="both"/>
        <w:rPr>
          <w:bCs/>
          <w:i/>
          <w:color w:val="002060"/>
          <w:sz w:val="16"/>
          <w:szCs w:val="16"/>
        </w:rPr>
      </w:pPr>
    </w:p>
    <w:p w14:paraId="7C8D9811" w14:textId="77777777" w:rsidR="004B4E35" w:rsidRPr="00405303" w:rsidRDefault="009E6F82" w:rsidP="00C15251">
      <w:pPr>
        <w:jc w:val="both"/>
        <w:rPr>
          <w:bCs/>
          <w:color w:val="002060"/>
          <w:sz w:val="16"/>
          <w:szCs w:val="16"/>
        </w:rPr>
      </w:pPr>
      <w:r w:rsidRPr="00405303">
        <w:rPr>
          <w:bCs/>
          <w:color w:val="002060"/>
          <w:sz w:val="16"/>
          <w:szCs w:val="16"/>
        </w:rPr>
        <w:t>В конце июля-начале августа 1915 г. завод фирмы «Оливье и Петт» в Макеевке начал выдавать бензол и толуол, а в июле 1917-го первые порции продукции выдал первый в России завод по производству азотной кислоты из аммиака в Юзовке.</w:t>
      </w:r>
    </w:p>
    <w:p w14:paraId="5F0FAFD9" w14:textId="77777777" w:rsidR="004B4E35" w:rsidRPr="00405303" w:rsidRDefault="009E6F82" w:rsidP="00C15251">
      <w:pPr>
        <w:jc w:val="both"/>
        <w:rPr>
          <w:bCs/>
          <w:color w:val="002060"/>
          <w:sz w:val="16"/>
          <w:szCs w:val="16"/>
        </w:rPr>
      </w:pPr>
      <w:r w:rsidRPr="00405303">
        <w:rPr>
          <w:bCs/>
          <w:color w:val="002060"/>
          <w:sz w:val="16"/>
          <w:szCs w:val="16"/>
        </w:rPr>
        <w:t>Незадолго до войны было учреждено специальное Министерство Торговли и Промышленности. Однако в России не существовало такого государственного органа, который регулировал бы развитие различных отраслей химической промышленности, учитывал, обобщал и обрабатывал данные об их развитии и потребностях, а также выделял бы и выдвигал на первый план те отрасли химической промышленности, которые были наиболее важны и нужны для страны в данный момент.</w:t>
      </w:r>
    </w:p>
    <w:p w14:paraId="77D9F26B" w14:textId="77777777" w:rsidR="004B4E35" w:rsidRPr="00405303" w:rsidRDefault="009E6F82" w:rsidP="00C15251">
      <w:pPr>
        <w:jc w:val="both"/>
        <w:rPr>
          <w:bCs/>
          <w:color w:val="002060"/>
          <w:sz w:val="16"/>
          <w:szCs w:val="16"/>
        </w:rPr>
      </w:pPr>
      <w:r w:rsidRPr="00405303">
        <w:rPr>
          <w:bCs/>
          <w:color w:val="002060"/>
          <w:sz w:val="16"/>
          <w:szCs w:val="16"/>
        </w:rPr>
        <w:t>Производство этих продуктов связано с процессом коксования каменного угля. В то время в Донецком бассейне, где были открыты огромные залежи каменного угля, строилось коксохимическое производство для нужд металлургической промышленности. В большинстве своем оно не имело оборудования для улавливания жидких углеводородов. Ввоз бензола из Германии и Англии с началом войны прекратился. Америка удовлетворить спрос России и ее союзников в бензоле не могла. Необходимо было наладить в России в самые кратчайшие сроки производство толуола. Главное артиллерийское управление (ГАУ) России направило в Донбасс в конце июля 1914 г. комиссию во главе с профессором А.В.Сапожниковым. Ее выводы: выработка сырого бензола на отечественных заводах незначительна, а увеличение его производства сопряжено со значительными техническими трудностями и потребует до полутора лет. ГАУ принимает решение послать в Донбасс еще одну комиссию. В ее состав вошли профессор Михайловской артиллерийской академии В.Н.Ипатьев, два представителя от Министерства Торговли и Промышленности — инженер-технолог Л.Ф.Фокин и В.Ю. Шуман, представитель Военного Ведомства О.Г.Филиппов. В течение месяца комиссия детально обследовала коксовые заводы бассейна. Ипатьев писал: «Нам пришлось убедиться, что фирма немецкая Копперс, которая до войны сооружала у нас коксовые печи, не старалась ...строить рекуперационные заводы для добывания бензола и толуола. Было несомненно, что эта и другие фирмы сознательно оберегали интересы Германии».</w:t>
      </w:r>
    </w:p>
    <w:p w14:paraId="7F35E3DC" w14:textId="77777777" w:rsidR="004B4E35" w:rsidRPr="00405303" w:rsidRDefault="009E6F82" w:rsidP="00C15251">
      <w:pPr>
        <w:jc w:val="both"/>
        <w:rPr>
          <w:bCs/>
          <w:color w:val="002060"/>
          <w:sz w:val="16"/>
          <w:szCs w:val="16"/>
        </w:rPr>
      </w:pPr>
      <w:r w:rsidRPr="00405303">
        <w:rPr>
          <w:bCs/>
          <w:color w:val="002060"/>
          <w:sz w:val="16"/>
          <w:szCs w:val="16"/>
        </w:rPr>
        <w:t xml:space="preserve">Выводы комиссии были доложены 19.12.1914 г. в Научно-технической Лаборатории Военного Ведомства в присутствии помощника Военного Министра генерала Вернандера и других высоких лиц. Главная цель доклада — для увеличения добычи бензола необходимо немедленно приступить к постройке ряда дополнительных </w:t>
      </w:r>
      <w:r w:rsidRPr="00405303">
        <w:rPr>
          <w:bCs/>
          <w:color w:val="002060"/>
          <w:sz w:val="16"/>
          <w:szCs w:val="16"/>
        </w:rPr>
        <w:lastRenderedPageBreak/>
        <w:t>сооружений для улавливания бензола при существующих уже коксовальных заводах. Это потребовало бы 5-6 месяцев. Однако конкретного решения принято не было — все ждали скорого окончания войны. А потому образовали еще одну комиссию «по заготовке взрывчатых веществ».</w:t>
      </w:r>
    </w:p>
    <w:p w14:paraId="51736BD4" w14:textId="77777777" w:rsidR="004B4E35" w:rsidRPr="00405303" w:rsidRDefault="009E6F82" w:rsidP="00C15251">
      <w:pPr>
        <w:jc w:val="both"/>
        <w:rPr>
          <w:bCs/>
          <w:color w:val="002060"/>
          <w:sz w:val="16"/>
          <w:szCs w:val="16"/>
        </w:rPr>
      </w:pPr>
      <w:r w:rsidRPr="00405303">
        <w:rPr>
          <w:bCs/>
          <w:color w:val="002060"/>
          <w:sz w:val="16"/>
          <w:szCs w:val="16"/>
        </w:rPr>
        <w:t>Но Ипатьев и его коллеги, участвовавшие в поездке в Донбасс, наметили программу строительства бензоловых заводов и на свой страх и риск приступили к ее осуществлению.</w:t>
      </w:r>
    </w:p>
    <w:p w14:paraId="53FC7610" w14:textId="77777777" w:rsidR="004B4E35" w:rsidRPr="00405303" w:rsidRDefault="009E6F82" w:rsidP="00C15251">
      <w:pPr>
        <w:jc w:val="both"/>
        <w:rPr>
          <w:bCs/>
          <w:color w:val="002060"/>
          <w:sz w:val="16"/>
          <w:szCs w:val="16"/>
        </w:rPr>
      </w:pPr>
      <w:r w:rsidRPr="00405303">
        <w:rPr>
          <w:bCs/>
          <w:color w:val="002060"/>
          <w:sz w:val="16"/>
          <w:szCs w:val="16"/>
        </w:rPr>
        <w:t>Это было не просто, ибо все дело строительства коксовых печей и устройства заводов побочных продуктов в Донбассе захватили несколько иностранных строительных фирм, главным образом немецких, которые сознательно тормозили развитие русской коксобензольной промышленности, строя заводы с неполной рекуперацией. А как только начиналась выработка бензола на русских заводах, германский синдикат снижал цены на него на столько, что конкуренция становилась невозможной и производство прекращалось.</w:t>
      </w:r>
    </w:p>
    <w:p w14:paraId="174A19AF" w14:textId="77777777" w:rsidR="004B4E35" w:rsidRPr="00405303" w:rsidRDefault="009E6F82" w:rsidP="00C15251">
      <w:pPr>
        <w:jc w:val="both"/>
        <w:rPr>
          <w:bCs/>
          <w:color w:val="002060"/>
          <w:sz w:val="16"/>
          <w:szCs w:val="16"/>
        </w:rPr>
      </w:pPr>
      <w:r w:rsidRPr="00405303">
        <w:rPr>
          <w:bCs/>
          <w:color w:val="002060"/>
          <w:sz w:val="16"/>
          <w:szCs w:val="16"/>
        </w:rPr>
        <w:t>В этих условиях только один завод, принадлежавший бельгийской фирме «Оливье Пьетт» и расположенный в Макеевке, после долгих переговоров согласился построить у себя установку для улавливания сырого бензола и ректификационный завод для фракционировки и ректификации собственных и привозных ароматических углеводородов. В течение января 1915 г. комиссия выработала проект договора между фирмой «Оливье Пьетт» и Артиллерийским ведомством на поставку бензола и толуола, а в конце июля и в начале августа 1915 г. завод стал давать бензол и толуол.</w:t>
      </w:r>
    </w:p>
    <w:p w14:paraId="10C80833" w14:textId="77777777" w:rsidR="004B4E35" w:rsidRPr="00405303" w:rsidRDefault="004B4E35" w:rsidP="00C15251">
      <w:pPr>
        <w:jc w:val="both"/>
        <w:rPr>
          <w:bCs/>
          <w:color w:val="002060"/>
          <w:sz w:val="16"/>
          <w:szCs w:val="16"/>
        </w:rPr>
      </w:pPr>
    </w:p>
    <w:p w14:paraId="64EF33CA"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47A2AD1D" w14:textId="77777777" w:rsidR="004B4E35" w:rsidRPr="00405303" w:rsidRDefault="004B4E35" w:rsidP="00C15251">
      <w:pPr>
        <w:shd w:val="clear" w:color="auto" w:fill="FFFFFF"/>
        <w:jc w:val="both"/>
        <w:rPr>
          <w:bCs/>
          <w:i/>
          <w:color w:val="002060"/>
          <w:sz w:val="16"/>
          <w:szCs w:val="16"/>
        </w:rPr>
      </w:pPr>
    </w:p>
    <w:p w14:paraId="46D81E7B" w14:textId="54125D45" w:rsidR="004B4E35" w:rsidRPr="00405303" w:rsidRDefault="009E6F82" w:rsidP="00C15251">
      <w:pPr>
        <w:jc w:val="both"/>
        <w:rPr>
          <w:bCs/>
          <w:color w:val="002060"/>
          <w:sz w:val="16"/>
          <w:szCs w:val="16"/>
        </w:rPr>
      </w:pPr>
      <w:r w:rsidRPr="00405303">
        <w:rPr>
          <w:bCs/>
          <w:color w:val="002060"/>
          <w:sz w:val="16"/>
          <w:szCs w:val="16"/>
        </w:rPr>
        <w:t xml:space="preserve">В конце июля </w:t>
      </w:r>
      <w:r w:rsidR="009F1CF8" w:rsidRPr="00405303">
        <w:rPr>
          <w:bCs/>
          <w:color w:val="002060"/>
          <w:sz w:val="16"/>
          <w:szCs w:val="16"/>
        </w:rPr>
        <w:t xml:space="preserve">1915 г. </w:t>
      </w:r>
      <w:r w:rsidRPr="00405303">
        <w:rPr>
          <w:bCs/>
          <w:color w:val="002060"/>
          <w:sz w:val="16"/>
          <w:szCs w:val="16"/>
        </w:rPr>
        <w:t>Стаховский доложил: "В авиации Черноморского флота в настоящее время состоит 17 морских лётчиков. Лейтенант Утгоф командирован в Америку, лётчик лейтенант Миклашевский временно прикомандирован к Морскому генеральному штабу. Аппаратов имеется готовых к действию 12, из коих шесть лодок "Кертисса" старого образца, две лодки "Аэромарин Глен и Ко" и четыре лодки Щетинина. Собираются три лодки Щетинина и моноплан "Моран- Сольнье". Прибывшие из Америки 22 лодки "Кертисс" тип К оказались в динамическом смысле, а также в смысле грузоподъёмности хорошими, моторы же их непригодны, о чём я немедленно телеграфировал заводу. От завода мною получен ответ, что из Америки выехал инженер с новыми моторами и запасными частями. Хорошие результаты дали лодки Щетинина, токовых заказано нами 18 из которых готовы 12, но они не могут быть употреблены в действие из-за отсутствия моторов "Моносупоп". Ввиду того, что лодки "К" если и будут годны для боевых действий, то не скоро" (11930).</w:t>
      </w:r>
    </w:p>
    <w:p w14:paraId="6C163291" w14:textId="77777777" w:rsidR="004B4E35" w:rsidRPr="00405303" w:rsidRDefault="004B4E35" w:rsidP="00C15251">
      <w:pPr>
        <w:jc w:val="both"/>
        <w:rPr>
          <w:bCs/>
          <w:color w:val="002060"/>
          <w:sz w:val="16"/>
          <w:szCs w:val="16"/>
        </w:rPr>
      </w:pPr>
    </w:p>
    <w:p w14:paraId="2A9ED55F" w14:textId="1750D60D" w:rsidR="004B4E35" w:rsidRPr="00405303" w:rsidRDefault="009E6F82" w:rsidP="00C15251">
      <w:pPr>
        <w:shd w:val="clear" w:color="auto" w:fill="FFFFFF"/>
        <w:jc w:val="both"/>
        <w:rPr>
          <w:bCs/>
          <w:color w:val="002060"/>
          <w:sz w:val="16"/>
          <w:szCs w:val="16"/>
        </w:rPr>
      </w:pPr>
      <w:r w:rsidRPr="00405303">
        <w:rPr>
          <w:bCs/>
          <w:color w:val="002060"/>
          <w:sz w:val="16"/>
          <w:szCs w:val="16"/>
        </w:rPr>
        <w:t>В конце июля или начале августа 1915 г. Д. П. Григорович представил на рассмотрение Авиационного комитета Балтийского флота проект двухдвигательной летающей лодки со следующими характеристиками: об</w:t>
      </w:r>
      <w:r w:rsidRPr="00405303">
        <w:rPr>
          <w:bCs/>
          <w:color w:val="002060"/>
          <w:sz w:val="16"/>
          <w:szCs w:val="16"/>
        </w:rPr>
        <w:softHyphen/>
        <w:t>щая мощность моторов 600 л. с., вес пустой 3 тыс. 100 кг, полезная нагрузка 2 тыс. кг (включая 970-кг запас горючего, достаточный для 8-часового полета), скорость 105 км/ч. Двенадцатого августа авиато</w:t>
      </w:r>
      <w:r w:rsidRPr="00405303">
        <w:rPr>
          <w:bCs/>
          <w:color w:val="002060"/>
          <w:sz w:val="16"/>
          <w:szCs w:val="16"/>
        </w:rPr>
        <w:softHyphen/>
        <w:t>ры одобрили идею и предложили дать конструктору и ПРТВ 50% аванс для начала опытного строительства; остальные 50% стоимости работ выплачивались бы по готовности аппарата, но только в случае его успешных испытаний, при которых все названные показатели не могли быть ниже, чем на 10% от расчет</w:t>
      </w:r>
      <w:r w:rsidRPr="00405303">
        <w:rPr>
          <w:bCs/>
          <w:color w:val="002060"/>
          <w:sz w:val="16"/>
          <w:szCs w:val="16"/>
        </w:rPr>
        <w:softHyphen/>
        <w:t>ных величин. Двадцать второго числа капитан 2 р. Б. П. Дудоров, начальник авиационного отдела Службы связи Балтийского моря, в свою очередь поддержал план создания лодки, но высказался против выдачи денег «на авось». Вместо них он полагал целесообразным снабдить фирму — в кредит и под расписку, двумя моторами требуемой мощности (2807).</w:t>
      </w:r>
    </w:p>
    <w:p w14:paraId="2A6C582F" w14:textId="77777777" w:rsidR="004B4E35" w:rsidRPr="00405303" w:rsidRDefault="004B4E35" w:rsidP="00C15251">
      <w:pPr>
        <w:shd w:val="clear" w:color="auto" w:fill="FFFFFF"/>
        <w:jc w:val="both"/>
        <w:rPr>
          <w:bCs/>
          <w:color w:val="002060"/>
          <w:sz w:val="16"/>
          <w:szCs w:val="16"/>
        </w:rPr>
      </w:pPr>
    </w:p>
    <w:p w14:paraId="38E93F11" w14:textId="7905853B" w:rsidR="00BC4B89" w:rsidRPr="00405303" w:rsidRDefault="00BC4B89" w:rsidP="00BC4B89">
      <w:pPr>
        <w:shd w:val="clear" w:color="auto" w:fill="FFFFFF"/>
        <w:jc w:val="both"/>
        <w:rPr>
          <w:bCs/>
          <w:i/>
          <w:color w:val="002060"/>
          <w:sz w:val="16"/>
          <w:szCs w:val="16"/>
        </w:rPr>
      </w:pPr>
      <w:r>
        <w:rPr>
          <w:bCs/>
          <w:i/>
          <w:color w:val="002060"/>
          <w:sz w:val="16"/>
          <w:szCs w:val="16"/>
        </w:rPr>
        <w:t>Авиация и воздухоплавание Германии</w:t>
      </w:r>
      <w:r w:rsidRPr="00405303">
        <w:rPr>
          <w:bCs/>
          <w:i/>
          <w:color w:val="002060"/>
          <w:sz w:val="16"/>
          <w:szCs w:val="16"/>
        </w:rPr>
        <w:t>:</w:t>
      </w:r>
    </w:p>
    <w:p w14:paraId="67254D5C" w14:textId="77777777" w:rsidR="00BC4B89" w:rsidRPr="00405303" w:rsidRDefault="00BC4B89" w:rsidP="00BC4B89">
      <w:pPr>
        <w:shd w:val="clear" w:color="auto" w:fill="FFFFFF"/>
        <w:jc w:val="both"/>
        <w:rPr>
          <w:bCs/>
          <w:i/>
          <w:color w:val="002060"/>
          <w:sz w:val="16"/>
          <w:szCs w:val="16"/>
        </w:rPr>
      </w:pPr>
    </w:p>
    <w:p w14:paraId="3713E607" w14:textId="77777777" w:rsidR="00BC4B89" w:rsidRPr="00CF03EC" w:rsidRDefault="00BC4B89" w:rsidP="00BC4B89">
      <w:pPr>
        <w:jc w:val="both"/>
        <w:rPr>
          <w:color w:val="0070C0"/>
          <w:sz w:val="16"/>
          <w:szCs w:val="16"/>
        </w:rPr>
      </w:pPr>
      <w:r w:rsidRPr="00CF03EC">
        <w:rPr>
          <w:color w:val="0070C0"/>
          <w:sz w:val="16"/>
          <w:szCs w:val="16"/>
        </w:rPr>
        <w:t>В конце июля 1915 г. появление у немцев каких-то новых самолетов (истребителей) отметили штабы уже, их место базирования вскрыла разведка, указав на аэродром Дуэ, где по ее данным «сидел» полевой авиаотряд FFA 62, и на рассвете 1 августа бипланы RAF B.E.2c английской 2-й эскадрильи пошли разбомбить его. Их обнаружили на подходе и на перехват взлетели Освальд Бёльке на Фоккере M.5K/MG с номером E.3/15 и Макс Иммельман – его однотипный самолет имел номер E.13/15. Первым атаковал Бёльке, но его пулемет отказал, зато Иммельман после десятиминутного боя, расстреляв 450 патронов, сбил одного. Это оказалось очень непросто и может удалось лишь из-за того, что, желая взять больше бомб, пилот этого B.E.2cоставил дома своего летнаба с пулеметом. Он пытался отстреливаться из пистолета, но конец дуэли оказался закономерен. Англичанин получил пулю в руку и дальше управлять самолетом не смог. Налет сорвался (25772).</w:t>
      </w:r>
    </w:p>
    <w:p w14:paraId="116C6E2B" w14:textId="77777777" w:rsidR="00BC4B89" w:rsidRPr="00CF03EC" w:rsidRDefault="00BC4B89" w:rsidP="00BC4B89">
      <w:pPr>
        <w:jc w:val="both"/>
        <w:rPr>
          <w:color w:val="0070C0"/>
          <w:sz w:val="16"/>
          <w:szCs w:val="16"/>
        </w:rPr>
      </w:pPr>
    </w:p>
    <w:p w14:paraId="6B31BDC6"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6E4A5820" w14:textId="77777777" w:rsidR="004B4E35" w:rsidRPr="00405303" w:rsidRDefault="004B4E35" w:rsidP="00C15251">
      <w:pPr>
        <w:shd w:val="clear" w:color="auto" w:fill="FFFFFF"/>
        <w:jc w:val="both"/>
        <w:rPr>
          <w:bCs/>
          <w:i/>
          <w:color w:val="002060"/>
          <w:sz w:val="16"/>
          <w:szCs w:val="16"/>
        </w:rPr>
      </w:pPr>
    </w:p>
    <w:p w14:paraId="1E72CA06" w14:textId="77777777" w:rsidR="00ED11A2" w:rsidRPr="00405303" w:rsidRDefault="00ED11A2" w:rsidP="00C15251">
      <w:pPr>
        <w:jc w:val="both"/>
        <w:rPr>
          <w:bCs/>
          <w:color w:val="002060"/>
          <w:sz w:val="16"/>
          <w:szCs w:val="16"/>
        </w:rPr>
      </w:pPr>
      <w:bookmarkStart w:id="206" w:name="_Hlk83382729"/>
      <w:r w:rsidRPr="00405303">
        <w:rPr>
          <w:bCs/>
          <w:color w:val="002060"/>
          <w:sz w:val="16"/>
          <w:szCs w:val="16"/>
        </w:rPr>
        <w:t>В июле 1915 г. британский офицер не только внимательно обследовал ИМ-Киевский и ИМ-3, два лучших самолета на Влодавском аэродроме, но он также провел ряд измерений и сделал много фотографий своим аппаратом «Кодак» (23470).</w:t>
      </w:r>
    </w:p>
    <w:p w14:paraId="34BD1C07" w14:textId="77777777" w:rsidR="00ED11A2" w:rsidRPr="00405303" w:rsidRDefault="00ED11A2" w:rsidP="00C15251">
      <w:pPr>
        <w:jc w:val="both"/>
        <w:rPr>
          <w:bCs/>
          <w:color w:val="002060"/>
          <w:sz w:val="16"/>
          <w:szCs w:val="16"/>
        </w:rPr>
      </w:pPr>
    </w:p>
    <w:p w14:paraId="4A056B52" w14:textId="77777777" w:rsidR="002637DC" w:rsidRPr="00405303" w:rsidRDefault="002637DC" w:rsidP="00C15251">
      <w:pPr>
        <w:jc w:val="both"/>
        <w:rPr>
          <w:bCs/>
          <w:color w:val="002060"/>
          <w:sz w:val="16"/>
          <w:szCs w:val="16"/>
        </w:rPr>
      </w:pPr>
      <w:r w:rsidRPr="00405303">
        <w:rPr>
          <w:bCs/>
          <w:color w:val="002060"/>
          <w:sz w:val="16"/>
          <w:szCs w:val="16"/>
          <w:shd w:val="clear" w:color="auto" w:fill="FFFFFF"/>
        </w:rPr>
        <w:t>В июле 1915 г. был пущен в ход построенный в Москве по соглашению с военным ведомством моторный завод французского общества авиационных двигателей «Сальмсон». Число рабочих на нем в 1917 г. достигало 500 человек, производительность составляла 50 моторов в месяц (РГВИА. Ф. 493. Оп. 9. Д. 56. Л. 200; Там же. Ф. 369. Оп. 8. Д. 74. Л. 18об.)(21522).</w:t>
      </w:r>
    </w:p>
    <w:p w14:paraId="4CF30E9E" w14:textId="77777777" w:rsidR="002637DC" w:rsidRPr="00405303" w:rsidRDefault="002637DC" w:rsidP="00C15251">
      <w:pPr>
        <w:jc w:val="both"/>
        <w:rPr>
          <w:bCs/>
          <w:color w:val="002060"/>
          <w:sz w:val="16"/>
          <w:szCs w:val="16"/>
        </w:rPr>
      </w:pPr>
    </w:p>
    <w:bookmarkEnd w:id="206"/>
    <w:p w14:paraId="23849778" w14:textId="77777777" w:rsidR="002637DC" w:rsidRPr="00405303" w:rsidRDefault="002637DC" w:rsidP="00C15251">
      <w:pPr>
        <w:pStyle w:val="ae"/>
        <w:shd w:val="clear" w:color="auto" w:fill="FFFFFF"/>
        <w:spacing w:before="0" w:beforeAutospacing="0" w:after="0" w:afterAutospacing="0"/>
        <w:jc w:val="both"/>
        <w:rPr>
          <w:bCs/>
          <w:color w:val="002060"/>
          <w:sz w:val="16"/>
          <w:szCs w:val="16"/>
        </w:rPr>
      </w:pPr>
      <w:r w:rsidRPr="00405303">
        <w:rPr>
          <w:bCs/>
          <w:color w:val="002060"/>
          <w:sz w:val="16"/>
          <w:szCs w:val="16"/>
        </w:rPr>
        <w:t>В июле 1915 г. было привлечено к исполнению заказов всего два моторных и шесть самолетостроительных завода. Тогда как только в сентябре - декабре 1915 г. в подготовительной комиссии по общим вопросам Особого совещания было обсуждено более десятка дел, связанных с выдачей заказов, ссуд, авансов, пособий авиационным заводам (</w:t>
      </w:r>
      <w:r w:rsidRPr="00405303">
        <w:rPr>
          <w:bCs/>
          <w:color w:val="002060"/>
          <w:sz w:val="16"/>
          <w:szCs w:val="16"/>
          <w:shd w:val="clear" w:color="auto" w:fill="FFFFFF"/>
        </w:rPr>
        <w:t>РГВИА. Ф. 369. Оп. 8. Д. 73. Л. 3-6об. Перечень по воздухоплавательно-авиационным вопросам, обсуждавшимся в Подготовительной комиссии по общим вопросам.</w:t>
      </w:r>
      <w:r w:rsidRPr="00405303">
        <w:rPr>
          <w:bCs/>
          <w:color w:val="002060"/>
          <w:sz w:val="16"/>
          <w:szCs w:val="16"/>
        </w:rPr>
        <w:t>). И число рассматриваемых дел, и объемы, выдаваемых заказов, в 1916 г. значительно возросли (21552).</w:t>
      </w:r>
    </w:p>
    <w:p w14:paraId="30B3A8CB" w14:textId="77777777" w:rsidR="002637DC" w:rsidRPr="00405303" w:rsidRDefault="002637DC" w:rsidP="00C15251">
      <w:pPr>
        <w:jc w:val="both"/>
        <w:rPr>
          <w:bCs/>
          <w:color w:val="002060"/>
          <w:sz w:val="16"/>
          <w:szCs w:val="16"/>
        </w:rPr>
      </w:pPr>
    </w:p>
    <w:p w14:paraId="42A7BB46" w14:textId="1F4E3B57" w:rsidR="00A712F5" w:rsidRPr="00405303" w:rsidRDefault="00A712F5" w:rsidP="00C15251">
      <w:pPr>
        <w:pStyle w:val="ae"/>
        <w:spacing w:before="0" w:beforeAutospacing="0" w:after="0" w:afterAutospacing="0"/>
        <w:jc w:val="both"/>
        <w:rPr>
          <w:bCs/>
          <w:color w:val="002060"/>
          <w:sz w:val="16"/>
          <w:szCs w:val="16"/>
        </w:rPr>
      </w:pPr>
      <w:bookmarkStart w:id="207" w:name="_Hlk55989945"/>
      <w:r w:rsidRPr="00405303">
        <w:rPr>
          <w:bCs/>
          <w:color w:val="002060"/>
          <w:sz w:val="16"/>
          <w:szCs w:val="16"/>
        </w:rPr>
        <w:t>В июле 1915 г. полковник Е. Г. Тронов и прикомандированный к ГАУ поручик Крашенинников представили начальнику ГАУ генералу</w:t>
      </w:r>
      <w:r w:rsidR="00DB4D64" w:rsidRPr="00405303">
        <w:rPr>
          <w:bCs/>
          <w:color w:val="002060"/>
          <w:sz w:val="16"/>
          <w:szCs w:val="16"/>
        </w:rPr>
        <w:t xml:space="preserve"> </w:t>
      </w:r>
      <w:hyperlink r:id="rId50" w:history="1">
        <w:r w:rsidRPr="00405303">
          <w:rPr>
            <w:rStyle w:val="ad"/>
            <w:bCs/>
            <w:color w:val="002060"/>
            <w:sz w:val="16"/>
            <w:szCs w:val="16"/>
          </w:rPr>
          <w:t>А. А. Маниковскому</w:t>
        </w:r>
      </w:hyperlink>
      <w:r w:rsidR="00DB4D64" w:rsidRPr="00405303">
        <w:rPr>
          <w:bCs/>
          <w:color w:val="002060"/>
          <w:sz w:val="16"/>
          <w:szCs w:val="16"/>
        </w:rPr>
        <w:t xml:space="preserve"> </w:t>
      </w:r>
      <w:r w:rsidRPr="00405303">
        <w:rPr>
          <w:bCs/>
          <w:color w:val="002060"/>
          <w:sz w:val="16"/>
          <w:szCs w:val="16"/>
        </w:rPr>
        <w:t>(1865-1920) чертежи «бомб с удушливыми газами», оснащенных специальными клапанами для снаряжания и обеспечения необходимой герметичности. Снаряжали эти бомбы жидким хлором.</w:t>
      </w:r>
    </w:p>
    <w:p w14:paraId="37C84FA3" w14:textId="77777777" w:rsidR="00A712F5" w:rsidRPr="00405303" w:rsidRDefault="00A712F5" w:rsidP="00C15251">
      <w:pPr>
        <w:pStyle w:val="ae"/>
        <w:spacing w:before="0" w:beforeAutospacing="0" w:after="0" w:afterAutospacing="0"/>
        <w:jc w:val="both"/>
        <w:rPr>
          <w:bCs/>
          <w:color w:val="002060"/>
          <w:sz w:val="16"/>
          <w:szCs w:val="16"/>
        </w:rPr>
      </w:pPr>
      <w:r w:rsidRPr="00405303">
        <w:rPr>
          <w:bCs/>
          <w:color w:val="002060"/>
          <w:sz w:val="16"/>
          <w:szCs w:val="16"/>
        </w:rPr>
        <w:t>Чертежи поступили в Исполнительную комиссию при военном министре, которая 20 августа согласилась на изготовление 500 штук таких боеприпасов. В декабре того же года на заводе «Русского общества для выделки снарядов» изготовили корпуса химических авиабомб и в г. Сла-вянске на заводах фирмы «Любимов, Сольев и КО» и «Электрон» снарядили их хлором. Бомбы снабжались калиберными перисто-цилиндрическими стабилизаторами. Одним концом перья стабилизатора приваривались к корпусу, а другим концом заклепками крепились к цилиндру стабилизатора. Длина бомбы со стабилизатором составляла 675 мм, максимальный диаметр корпуса 206 мм. Общий вес бомбы — 16,4 кг, из них на хлор приходилось 10,7 кг.</w:t>
      </w:r>
    </w:p>
    <w:p w14:paraId="1AA3E693" w14:textId="77777777" w:rsidR="00A712F5" w:rsidRPr="00405303" w:rsidRDefault="00A712F5" w:rsidP="00C15251">
      <w:pPr>
        <w:pStyle w:val="ae"/>
        <w:spacing w:before="0" w:beforeAutospacing="0" w:after="0" w:afterAutospacing="0"/>
        <w:jc w:val="both"/>
        <w:rPr>
          <w:bCs/>
          <w:color w:val="002060"/>
          <w:sz w:val="16"/>
          <w:szCs w:val="16"/>
        </w:rPr>
      </w:pPr>
      <w:r w:rsidRPr="00405303">
        <w:rPr>
          <w:bCs/>
          <w:color w:val="002060"/>
          <w:sz w:val="16"/>
          <w:szCs w:val="16"/>
        </w:rPr>
        <w:t>В конце декабря 1915 г. 483 химические авиабомбы отправили в действующую армию. Там по 80 бомб получили 2-я и 4-я авиационные роты, 72 бомбы — 8-я авиационная рота, 100 бомб — эскадра воздушных кораблей «</w:t>
      </w:r>
      <w:hyperlink r:id="rId51" w:history="1">
        <w:r w:rsidRPr="00405303">
          <w:rPr>
            <w:rStyle w:val="ad"/>
            <w:bCs/>
            <w:color w:val="002060"/>
            <w:sz w:val="16"/>
            <w:szCs w:val="16"/>
          </w:rPr>
          <w:t>Илья Муромец</w:t>
        </w:r>
      </w:hyperlink>
      <w:r w:rsidRPr="00405303">
        <w:rPr>
          <w:bCs/>
          <w:color w:val="002060"/>
          <w:sz w:val="16"/>
          <w:szCs w:val="16"/>
        </w:rPr>
        <w:t>», а 50 бомб отправили на Кавказский фронт. На том производство химических авиабомб в дореволюционной России и прекратилось (20246).</w:t>
      </w:r>
    </w:p>
    <w:p w14:paraId="1CD15E63" w14:textId="77777777" w:rsidR="00A712F5" w:rsidRPr="00405303" w:rsidRDefault="00A712F5" w:rsidP="00C15251">
      <w:pPr>
        <w:pStyle w:val="ae"/>
        <w:spacing w:before="0" w:beforeAutospacing="0" w:after="0" w:afterAutospacing="0"/>
        <w:jc w:val="both"/>
        <w:rPr>
          <w:bCs/>
          <w:color w:val="002060"/>
          <w:sz w:val="16"/>
          <w:szCs w:val="16"/>
        </w:rPr>
      </w:pPr>
    </w:p>
    <w:bookmarkEnd w:id="207"/>
    <w:p w14:paraId="3523C5ED" w14:textId="77777777" w:rsidR="00412676" w:rsidRPr="00405303" w:rsidRDefault="00412676" w:rsidP="00C15251">
      <w:pPr>
        <w:pStyle w:val="22"/>
        <w:shd w:val="clear" w:color="auto" w:fill="auto"/>
        <w:spacing w:line="240" w:lineRule="auto"/>
        <w:ind w:firstLine="0"/>
        <w:jc w:val="both"/>
        <w:rPr>
          <w:bCs/>
          <w:color w:val="002060"/>
          <w:sz w:val="16"/>
          <w:szCs w:val="16"/>
        </w:rPr>
      </w:pPr>
      <w:r w:rsidRPr="00405303">
        <w:rPr>
          <w:bCs/>
          <w:color w:val="002060"/>
          <w:sz w:val="16"/>
          <w:szCs w:val="16"/>
        </w:rPr>
        <w:t>В июле 1915 г. ГВТУ разослало запрос: о предполагаемых ценах на фирмы, изъявлявшие желание участвс вать в производстве воздушных винтов для русской авиации и доказавшие свою способность постройкой опытных образцов. Наиболее солидными по</w:t>
      </w:r>
      <w:r w:rsidRPr="00405303">
        <w:rPr>
          <w:bCs/>
          <w:color w:val="002060"/>
          <w:sz w:val="16"/>
          <w:szCs w:val="16"/>
        </w:rPr>
        <w:softHyphen/>
        <w:t>казались предложения фирм «Мельцер», «Засс», «Тарасов» и Московского аэротехнического завода. Решением исполнительного комитета Военного ми</w:t>
      </w:r>
      <w:r w:rsidRPr="00405303">
        <w:rPr>
          <w:bCs/>
          <w:color w:val="002060"/>
          <w:sz w:val="16"/>
          <w:szCs w:val="16"/>
        </w:rPr>
        <w:softHyphen/>
        <w:t>нистерства им были распределены заказы на 1916 г. (15740).</w:t>
      </w:r>
    </w:p>
    <w:p w14:paraId="386CEA24" w14:textId="77777777" w:rsidR="00412676" w:rsidRPr="00405303" w:rsidRDefault="00412676" w:rsidP="00C15251">
      <w:pPr>
        <w:pStyle w:val="22"/>
        <w:shd w:val="clear" w:color="auto" w:fill="auto"/>
        <w:spacing w:line="240" w:lineRule="auto"/>
        <w:ind w:firstLine="0"/>
        <w:jc w:val="both"/>
        <w:rPr>
          <w:bCs/>
          <w:color w:val="002060"/>
          <w:sz w:val="16"/>
          <w:szCs w:val="16"/>
        </w:rPr>
      </w:pPr>
    </w:p>
    <w:p w14:paraId="455F4723" w14:textId="77777777" w:rsidR="00412676" w:rsidRPr="00405303" w:rsidRDefault="00412676" w:rsidP="00C15251">
      <w:pPr>
        <w:jc w:val="both"/>
        <w:rPr>
          <w:bCs/>
          <w:color w:val="002060"/>
          <w:sz w:val="16"/>
          <w:szCs w:val="16"/>
        </w:rPr>
      </w:pPr>
      <w:r w:rsidRPr="00405303">
        <w:rPr>
          <w:bCs/>
          <w:color w:val="002060"/>
          <w:sz w:val="16"/>
          <w:szCs w:val="16"/>
        </w:rPr>
        <w:lastRenderedPageBreak/>
        <w:t>В июле 1915 г. Заведующий авиацией докладывал в Ставку, что самолеты, изготавливаемые на русских авиапредприятиях, имеют худшее качество по сравнению с заграничными, а приобретение авиатехники у союзников ведется не энергично. Александр Михайлович подчеркивал: «Работа держится на особо выдающейся и полной самоотверженности летчиков (...). Громадная роль принадлежит также и авиационным ротам. (...) Система снабжения технической части авиации аппаратами стоит не на должной высоте» (19566).</w:t>
      </w:r>
    </w:p>
    <w:p w14:paraId="7338DE4E" w14:textId="77777777" w:rsidR="00412676" w:rsidRPr="00405303" w:rsidRDefault="00412676" w:rsidP="00C15251">
      <w:pPr>
        <w:jc w:val="both"/>
        <w:rPr>
          <w:bCs/>
          <w:color w:val="002060"/>
          <w:sz w:val="16"/>
          <w:szCs w:val="16"/>
        </w:rPr>
      </w:pPr>
    </w:p>
    <w:p w14:paraId="67B5594F" w14:textId="77777777" w:rsidR="00412676" w:rsidRPr="00405303" w:rsidRDefault="00412676" w:rsidP="00C15251">
      <w:pPr>
        <w:jc w:val="both"/>
        <w:rPr>
          <w:bCs/>
          <w:color w:val="002060"/>
          <w:sz w:val="16"/>
          <w:szCs w:val="16"/>
        </w:rPr>
      </w:pPr>
      <w:r w:rsidRPr="00405303">
        <w:rPr>
          <w:bCs/>
          <w:color w:val="002060"/>
          <w:sz w:val="16"/>
          <w:szCs w:val="16"/>
        </w:rPr>
        <w:t>В июле 1915 г. Заведующий авиацией и воздухоплаванием в действующей армии обратился к профессору Н. Е. Жуковскому с просьбой изыскать способы изготовления зажигательных авиабомб малого и большого калибров. Для организации опытов ГВТУ отпустило в его распоряжение 1500 руб. К решению задачи Н. Е. Жуковский привлек своих учеников Б. Н. Юрьева, Б. С. Стечкина, В. П. Ветчинкина и других. В короткий срок в аэродинамической лаборатории МВТУ были изготовлены и испытаны зажигательные бомбы. 14 сентября 1915 г. Н. Е. Жуковский составил для военного ведомства отчет об этих испытаниях 5, к которому прилагались протокол испытания и два чертежа (18738).</w:t>
      </w:r>
    </w:p>
    <w:p w14:paraId="33301905" w14:textId="77777777" w:rsidR="00412676" w:rsidRPr="00405303" w:rsidRDefault="00412676" w:rsidP="00C15251">
      <w:pPr>
        <w:jc w:val="both"/>
        <w:rPr>
          <w:bCs/>
          <w:color w:val="002060"/>
          <w:sz w:val="16"/>
          <w:szCs w:val="16"/>
        </w:rPr>
      </w:pPr>
    </w:p>
    <w:p w14:paraId="573CAF2E" w14:textId="77777777" w:rsidR="00412676" w:rsidRPr="00405303" w:rsidRDefault="00412676" w:rsidP="00C15251">
      <w:pPr>
        <w:jc w:val="both"/>
        <w:rPr>
          <w:bCs/>
          <w:color w:val="002060"/>
          <w:sz w:val="16"/>
          <w:szCs w:val="16"/>
        </w:rPr>
      </w:pPr>
      <w:r w:rsidRPr="00405303">
        <w:rPr>
          <w:bCs/>
          <w:color w:val="002060"/>
          <w:sz w:val="16"/>
          <w:szCs w:val="16"/>
        </w:rPr>
        <w:t>В июле 1915 был заключен контракт на поставку 50 аэропланных передатчиков и зарядных агрегатов к ним. С этого времени АО Электромеханических сооружений становится ведущим поставщиком для ГВТУ этого типа продукции (18297).</w:t>
      </w:r>
    </w:p>
    <w:p w14:paraId="4E1953CC" w14:textId="77777777" w:rsidR="00412676" w:rsidRPr="00405303" w:rsidRDefault="00412676" w:rsidP="00C15251">
      <w:pPr>
        <w:jc w:val="both"/>
        <w:rPr>
          <w:bCs/>
          <w:color w:val="002060"/>
          <w:sz w:val="16"/>
          <w:szCs w:val="16"/>
        </w:rPr>
      </w:pPr>
    </w:p>
    <w:p w14:paraId="3CB09C04" w14:textId="77777777" w:rsidR="00412676" w:rsidRPr="00405303" w:rsidRDefault="00412676" w:rsidP="00C15251">
      <w:pPr>
        <w:pStyle w:val="ae"/>
        <w:spacing w:before="0" w:beforeAutospacing="0" w:after="0" w:afterAutospacing="0"/>
        <w:jc w:val="both"/>
        <w:rPr>
          <w:bCs/>
          <w:color w:val="002060"/>
          <w:sz w:val="16"/>
          <w:szCs w:val="16"/>
        </w:rPr>
      </w:pPr>
      <w:r w:rsidRPr="00405303">
        <w:rPr>
          <w:bCs/>
          <w:color w:val="002060"/>
          <w:sz w:val="16"/>
          <w:szCs w:val="16"/>
        </w:rPr>
        <w:t>В июле 1915 г. в Москве был пущен моторный завод французского общества авиационных двигателей «Сальмсон», построенный по соглашению с военным ведомством. Число рабочих на нем в 1917 г. достигало 500 человек, производительность составляла 50 моторов в месяц (18369).</w:t>
      </w:r>
    </w:p>
    <w:p w14:paraId="5E5E164D" w14:textId="77777777" w:rsidR="00412676" w:rsidRPr="00405303" w:rsidRDefault="00412676" w:rsidP="00C15251">
      <w:pPr>
        <w:pStyle w:val="ae"/>
        <w:spacing w:before="0" w:beforeAutospacing="0" w:after="0" w:afterAutospacing="0"/>
        <w:jc w:val="both"/>
        <w:rPr>
          <w:bCs/>
          <w:color w:val="002060"/>
          <w:sz w:val="16"/>
          <w:szCs w:val="16"/>
        </w:rPr>
      </w:pPr>
    </w:p>
    <w:p w14:paraId="053E13A7" w14:textId="44A42CB0" w:rsidR="004B4E35" w:rsidRPr="00405303" w:rsidRDefault="009E6F82" w:rsidP="00C15251">
      <w:pPr>
        <w:jc w:val="both"/>
        <w:rPr>
          <w:bCs/>
          <w:color w:val="002060"/>
          <w:sz w:val="16"/>
          <w:szCs w:val="16"/>
        </w:rPr>
      </w:pPr>
      <w:r w:rsidRPr="00405303">
        <w:rPr>
          <w:bCs/>
          <w:color w:val="002060"/>
          <w:sz w:val="16"/>
          <w:szCs w:val="16"/>
        </w:rPr>
        <w:t xml:space="preserve">В июле 1915 г. к исполнению заказов </w:t>
      </w:r>
      <w:r w:rsidR="00F02CB9" w:rsidRPr="00405303">
        <w:rPr>
          <w:bCs/>
          <w:color w:val="002060"/>
          <w:sz w:val="16"/>
          <w:szCs w:val="16"/>
        </w:rPr>
        <w:t xml:space="preserve">было привлечено </w:t>
      </w:r>
      <w:r w:rsidRPr="00405303">
        <w:rPr>
          <w:bCs/>
          <w:color w:val="002060"/>
          <w:sz w:val="16"/>
          <w:szCs w:val="16"/>
        </w:rPr>
        <w:t>всего два моторных и шесть самолетостроительных завода. Тогда как только в сентябре - декабре 1915 г. в подготовительной комиссии по общим вопросам Особого совещания было обсуждено более десятка дел, связанных с выдачей заказов, ссуд, авансов, пособий авиационным заводам [РГВИА. Ф. 369. Оп. 8. Д. 73. Л. 3-6об. Перечень по воздухоплавательно-авиационным вопросам, обсуждавшимся в Подготовительной комиссии по общим вопросам.]. И число рассматриваемых дел, и объемы, выдаваемых заказов, в 1916 г. значительно возросли.</w:t>
      </w:r>
    </w:p>
    <w:p w14:paraId="3984A4BE" w14:textId="77777777" w:rsidR="004B4E35" w:rsidRPr="00405303" w:rsidRDefault="009E6F82" w:rsidP="00C15251">
      <w:pPr>
        <w:jc w:val="both"/>
        <w:rPr>
          <w:bCs/>
          <w:color w:val="002060"/>
          <w:sz w:val="16"/>
          <w:szCs w:val="16"/>
        </w:rPr>
      </w:pPr>
      <w:r w:rsidRPr="00405303">
        <w:rPr>
          <w:bCs/>
          <w:color w:val="002060"/>
          <w:sz w:val="16"/>
          <w:szCs w:val="16"/>
        </w:rPr>
        <w:t>Уже с конца 1915 г. решения Особого совещания по обороне о выдаче заказов на авиационное имущество подразумевали, а часто прямо указывали на необходимость постройки нового завода или расширения старого. Недаром в отчете УВВФ за 1916 г. указывалось: «Принимавшиеся в 1916 г. меры к обеспечению авиации и воздухоплавания аэропланами, моторами и материалами шли, главным образом, по пути насаждения соответствующей отечественной промышленности, дабы в возможно большей степени освободиться от необходимости прибегать к услугам заграничной промышленности» [РГВИА. Ф. 493. Оп. 4. Д. 337. Л. 4.].</w:t>
      </w:r>
    </w:p>
    <w:p w14:paraId="30B0D3E8" w14:textId="77777777" w:rsidR="004B4E35" w:rsidRPr="00405303" w:rsidRDefault="009E6F82" w:rsidP="00C15251">
      <w:pPr>
        <w:jc w:val="both"/>
        <w:rPr>
          <w:bCs/>
          <w:color w:val="002060"/>
          <w:sz w:val="16"/>
          <w:szCs w:val="16"/>
        </w:rPr>
      </w:pPr>
      <w:r w:rsidRPr="00405303">
        <w:rPr>
          <w:bCs/>
          <w:color w:val="002060"/>
          <w:sz w:val="16"/>
          <w:szCs w:val="16"/>
        </w:rPr>
        <w:t>Особую роль в расширении и налаживании работы отечественных авиационных предприятий сыграла созданная в июле 1916 г. подготовительная комиссия по авиационным вопросам Особого совещания по обороне, возглавлявшаяся И.В. Гурко. Комиссия занялась, прежде всего, выработкой программы отечественного авиастроения, включая развитие самолето- и моторостроительных заводов. До этого развитие авиационной промышленности шло в значительной мере стихийно, и организующим элементом были только программы снабжения армии авиаимуществом, которые определяли сумму заказов русским авиационным заводам. Программа развития авиационного дела в России обсуждалась на нескольких заседаниях подготовительной комиссии по авиационным вопросам в течение сентября - октября 1916 г. [РГВИА. Ф. 369. Оп. 8. Д. 74. Л. 1-17 об. Журнал авиационной комиссии от 8 и 19 сентября, 6, 12, 13, 19 и 24 октября 1916 г.]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мер, которые предлагались авиационной комиссией, были: создать возможности предприятиям использовать все имеющееся оборудование; увеличить оборудование действующих заводов; соорудить новые предприятия [Там же. Л. 8об.]. Решение первой задачи было сопряжено с 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аэроплановый и моторный заводы. Кроме того, в программе обращалось внимание на улучшение подготовки летных кадров и создание научного авиационного центра (так называемый Главный аэродром) [Там же. Л. 11об., 12-13.]. На заседании Особого совещания по обороне от 29 октября 1916 г. эта программа в целом была одобрена [Журналы Особого совещания по обороне государства. 1916 год. М., 1977. Вып. IV. С. 631-639.].</w:t>
      </w:r>
    </w:p>
    <w:p w14:paraId="0ABE3EAE" w14:textId="77777777" w:rsidR="004B4E35" w:rsidRPr="00405303" w:rsidRDefault="009E6F82" w:rsidP="00C15251">
      <w:pPr>
        <w:jc w:val="both"/>
        <w:rPr>
          <w:bCs/>
          <w:color w:val="002060"/>
          <w:sz w:val="16"/>
          <w:szCs w:val="16"/>
        </w:rPr>
      </w:pPr>
      <w:r w:rsidRPr="00405303">
        <w:rPr>
          <w:bCs/>
          <w:color w:val="002060"/>
          <w:sz w:val="16"/>
          <w:szCs w:val="16"/>
        </w:rPr>
        <w:t>Выдача казенных заказов и специальные меры поддержки отечественной промышленности, безусловно, стимулировали развитие производства и заводское строительство в области авиации. Если перед войной было всего 11 авиационных заводов и мастерских, то на начало 1917 г. в России насчитывалось 14 самолетостроительных предприятий, на которых было занято около 12 тыс. рабочих; производство авиационных двигателей было налажено на 7 заводах, насчитывающих около 3,5 тыс. рабочих. Таким образом, всего на 21 русском авиационном предприятии трудилось 15,5 тыс. рабочих [В число заводов не входят недостроенные предприятия. Количество заводов и численность рабочих установлены на основе подсчетов данных заводских совещаний и сведений УВВФ. РГВИА. Ф. 369. Оп. 1. Д. 471, 568; Там же. Оп. 8. Д. 43, 51; Там же. Оп. 21. Д. 145; Там же. Ф. 493. Оп. 9. Д. 493.]. Суммарная средняя производительность аэроплановых заводов в месяц в конце 1916 г. составляла 200 аппаратов (довоенная - 40), а моторных - около 100 двигателей (против 10-15 до войны) [РГВИА. Ф. 369. Оп. 8. Д. 74. Л. 18-18об.]. Попытаемся раскрыть эти обобщенные данные на материалах отдельных предприятий и истории их развития в 1915 - 1917 гг.</w:t>
      </w:r>
    </w:p>
    <w:p w14:paraId="3F77530E" w14:textId="77777777" w:rsidR="004B4E35" w:rsidRPr="00405303" w:rsidRDefault="009E6F82" w:rsidP="00C15251">
      <w:pPr>
        <w:jc w:val="both"/>
        <w:rPr>
          <w:bCs/>
          <w:color w:val="002060"/>
          <w:sz w:val="16"/>
          <w:szCs w:val="16"/>
        </w:rPr>
      </w:pPr>
      <w:r w:rsidRPr="00405303">
        <w:rPr>
          <w:bCs/>
          <w:color w:val="002060"/>
          <w:sz w:val="16"/>
          <w:szCs w:val="16"/>
        </w:rPr>
        <w:t xml:space="preserve">В годы войны значительно расширились, используя прямую финансовую поддержку казны, предприятия акционерного общества воздухоплавания «В. А. Лебедев», учрежденного в 1913 г. одним из первых авиаторов России. Обществу первоначально принадлежало два завода в Петербурге - самолетостроительный и завод по производству воздушных винтов «Интеграл».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 [Там же. Ф. 493. Оп. 9. Д. 56. Л. 200.] В 1916 г. на самолетостроительном заводе имелись деревообделочный, механический, слесарный, сварочный, сборочный, малярный, сушильный цеха, столярная мастерская. В них трудилось около 1500 рабочих.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иностранных марок (Вуазен, Моран-Солье, Депердюссен) с применением двигателя «Сальмсон». Производительность завода к середине 1917 г. достигла 40-50 аппаратов в месяц (против 10 до войны) [Там же. Ф. 369. Оп. 8. Д. 74. Л. 18.], однако и при этом общество имело задолженность по выполнению контрактов. </w:t>
      </w:r>
    </w:p>
    <w:p w14:paraId="5FBA229D" w14:textId="77777777" w:rsidR="004B4E35" w:rsidRPr="00405303" w:rsidRDefault="009E6F82" w:rsidP="00C15251">
      <w:pPr>
        <w:jc w:val="both"/>
        <w:rPr>
          <w:bCs/>
          <w:color w:val="002060"/>
          <w:sz w:val="16"/>
          <w:szCs w:val="16"/>
        </w:rPr>
      </w:pPr>
      <w:r w:rsidRPr="00405303">
        <w:rPr>
          <w:bCs/>
          <w:color w:val="002060"/>
          <w:sz w:val="16"/>
          <w:szCs w:val="16"/>
        </w:rPr>
        <w:t>Еще в 1915 г. встал вопрос о более существенном расширении предприятия, но имеющаяся территория в Петрограде этого не позволяла. Осенью того же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[Там же. Ф. 493. Оп. 9. Д. 56.].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м2. Экономический кризис 1917 г. не позволил полностью закончить строительство и особенно оборудование новых филиалов. Наиболее законченный из них, Таганрогский стал впоследствии основой крупнейшего авиационного завода им. Димитрова.</w:t>
      </w:r>
    </w:p>
    <w:p w14:paraId="02CEDBC6" w14:textId="77777777" w:rsidR="004B4E35" w:rsidRPr="00405303" w:rsidRDefault="009E6F82" w:rsidP="00C15251">
      <w:pPr>
        <w:jc w:val="both"/>
        <w:rPr>
          <w:bCs/>
          <w:color w:val="002060"/>
          <w:sz w:val="16"/>
          <w:szCs w:val="16"/>
        </w:rPr>
      </w:pPr>
      <w:r w:rsidRPr="00405303">
        <w:rPr>
          <w:bCs/>
          <w:color w:val="002060"/>
          <w:sz w:val="16"/>
          <w:szCs w:val="16"/>
        </w:rPr>
        <w:lastRenderedPageBreak/>
        <w:t>К числу первых самолетостроительных предприятий в России относился завод акционерного общества «Дукс», учрежденного в 1900 г. по инициативе Ю.А. Меллера. 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w:t>
      </w:r>
    </w:p>
    <w:p w14:paraId="54D1DC46" w14:textId="77777777" w:rsidR="004B4E35" w:rsidRPr="00405303" w:rsidRDefault="009E6F82" w:rsidP="00C15251">
      <w:pPr>
        <w:jc w:val="both"/>
        <w:rPr>
          <w:bCs/>
          <w:color w:val="002060"/>
          <w:sz w:val="16"/>
          <w:szCs w:val="16"/>
        </w:rPr>
      </w:pPr>
      <w:r w:rsidRPr="00405303">
        <w:rPr>
          <w:bCs/>
          <w:color w:val="002060"/>
          <w:sz w:val="16"/>
          <w:szCs w:val="16"/>
        </w:rPr>
        <w:t>Контракты, заключенные заводом в 1916 г., потребовали его дальнейшего расширения. К концу года на предприятии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w:t>
      </w:r>
    </w:p>
    <w:p w14:paraId="11FC3CC1" w14:textId="77777777" w:rsidR="004B4E35" w:rsidRPr="00405303" w:rsidRDefault="009E6F82" w:rsidP="00C15251">
      <w:pPr>
        <w:jc w:val="both"/>
        <w:rPr>
          <w:bCs/>
          <w:color w:val="002060"/>
          <w:sz w:val="16"/>
          <w:szCs w:val="16"/>
        </w:rPr>
      </w:pPr>
      <w:r w:rsidRPr="00405303">
        <w:rPr>
          <w:bCs/>
          <w:color w:val="002060"/>
          <w:sz w:val="16"/>
          <w:szCs w:val="16"/>
        </w:rPr>
        <w:t>К расширению производства, в том числе и через новое строительство, стремились и другие российские самолетостроительные заводы. Известный своими достижениями в области гидроавиации Петроградский завод Товарищества С.С. Щетинина на основании решения Особого совещания по обороне (ноябрь 1915 г.)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предприятие в 1917 г. получило заказ военного ведомства на поставку 180 «Спадов», его выполнение не началось, так как не прибыло оборудование, заказанное в США [Там же. Ф. 493. Оп. 4. Д. 51. Л. 3; Там же. Оп. 9. Д. 41. Л. 14об., 16об.].</w:t>
      </w:r>
    </w:p>
    <w:p w14:paraId="14B381FF" w14:textId="77777777" w:rsidR="004B4E35" w:rsidRPr="00405303" w:rsidRDefault="009E6F82" w:rsidP="00C15251">
      <w:pPr>
        <w:jc w:val="both"/>
        <w:rPr>
          <w:bCs/>
          <w:color w:val="002060"/>
          <w:sz w:val="16"/>
          <w:szCs w:val="16"/>
        </w:rPr>
      </w:pPr>
      <w:r w:rsidRPr="00405303">
        <w:rPr>
          <w:bCs/>
          <w:color w:val="002060"/>
          <w:sz w:val="16"/>
          <w:szCs w:val="16"/>
        </w:rPr>
        <w:t>Ведущим в группе южно-российских предприятий был авиационный завод банкира А.А. Анатра в Одессе. В годы войны на заводе были сделаны новые постройки, установлено дополнительно 200 станков. Одесский завод целиком работал на фронт. Расширение предприятия происходило в соответствии с казенными заказами и при материальной поддержке со стороны военного ведомства. С целью получения более значительных новых заказов А.А. Анатра осуществил постройку нового завода в Симферополе с аэропланным и моторным отделениями. Сооружение предприятия началось в феврале 1916 г. В выстроенных механическом, деревообделочном и сборочном цехах было установлено 150 станков.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[Там же. Ф. 493. Оп. 9. Л. 89; Там же. Д. 56. Л. 200.].</w:t>
      </w:r>
    </w:p>
    <w:p w14:paraId="458ECADC" w14:textId="77777777" w:rsidR="004B4E35" w:rsidRPr="00405303" w:rsidRDefault="009E6F82" w:rsidP="00C15251">
      <w:pPr>
        <w:jc w:val="both"/>
        <w:rPr>
          <w:bCs/>
          <w:color w:val="002060"/>
          <w:sz w:val="16"/>
          <w:szCs w:val="16"/>
        </w:rPr>
      </w:pPr>
      <w:r w:rsidRPr="00405303">
        <w:rPr>
          <w:bCs/>
          <w:color w:val="002060"/>
          <w:sz w:val="16"/>
          <w:szCs w:val="16"/>
        </w:rPr>
        <w:t>Благодаря регулярному получению правительственных заказов на изготовление учебных аппаратов, сопровождавшихся, как правило, выдачей 30- процентного аванса, в заводское предприятие превратилась авиационная мастерская В.В. Слюсаренко. В 1916 г. было учреждено акционерное общество Петроградского аэропланостроительного завода В.В. Слюсаренко, численность занятых рабочих на котором составляла около 300 человек. Была построена новая механическая мастерская, но оборудование предприятия оставалось незначительным [Там же. Оп. 4. Д. 84. Л. 1-8; Там же. Оп. 9. Д. 56. Л. 200.].</w:t>
      </w:r>
    </w:p>
    <w:p w14:paraId="12092EBE" w14:textId="77777777" w:rsidR="004B4E35" w:rsidRPr="00405303" w:rsidRDefault="009E6F82" w:rsidP="00C15251">
      <w:pPr>
        <w:jc w:val="both"/>
        <w:rPr>
          <w:bCs/>
          <w:color w:val="002060"/>
          <w:sz w:val="16"/>
          <w:szCs w:val="16"/>
        </w:rPr>
      </w:pPr>
      <w:r w:rsidRPr="00405303">
        <w:rPr>
          <w:bCs/>
          <w:color w:val="002060"/>
          <w:sz w:val="16"/>
          <w:szCs w:val="16"/>
        </w:rPr>
        <w:t>В годы войны открылся ряд новых самолетостроительных предприятий, получавших заказы на изготовление аппаратов: московские мастерские летчика-спортсмена, проектировщика, итальянца Ф. Моска, А.А. Пороховщикова, торгового дома Безобразова, технической конторы «И.И. Стеглау», товарищества Липецких аэропланостроительных мастерских [РГВИА. Ф. 493. Оп. 9. Д. 56. Л. 200; Там же. Ф. 369. Оп. 8. Д. 74. Л. 18; Там же. Ф. 493. Оп. 4. Д. 384; Там же. Д. 56. Л. 200; Там же. Ф. 369. Оп. 8. Д. 74. Л. 18.] (11863).</w:t>
      </w:r>
    </w:p>
    <w:p w14:paraId="0552FA2E" w14:textId="77777777" w:rsidR="004B4E35" w:rsidRPr="00405303" w:rsidRDefault="004B4E35" w:rsidP="00C15251">
      <w:pPr>
        <w:jc w:val="both"/>
        <w:rPr>
          <w:bCs/>
          <w:color w:val="002060"/>
          <w:sz w:val="16"/>
          <w:szCs w:val="16"/>
        </w:rPr>
      </w:pPr>
    </w:p>
    <w:p w14:paraId="7AA83C03" w14:textId="1895369B" w:rsidR="004B4E35" w:rsidRPr="00405303" w:rsidRDefault="00F02CB9"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июле 1915 г. </w:t>
      </w:r>
      <w:r w:rsidRPr="00405303">
        <w:rPr>
          <w:bCs/>
          <w:color w:val="002060"/>
          <w:sz w:val="16"/>
          <w:szCs w:val="16"/>
        </w:rPr>
        <w:t xml:space="preserve">в Москве был пушен в ход моторный завод, построенный французским обществом авиационных двигателей «Сальмсон» по соглашению с военным ведомством. </w:t>
      </w:r>
      <w:r w:rsidR="009E6F82" w:rsidRPr="00405303">
        <w:rPr>
          <w:bCs/>
          <w:color w:val="002060"/>
          <w:sz w:val="16"/>
          <w:szCs w:val="16"/>
        </w:rPr>
        <w:t>Число рабочих на нем в 1917 г. достигало 500 человек, производительность составляла 50 моторов в месяц [Там же. Оп. 9. Д. 56. Л. 200; Там же. Ф. 369. Оп. 8. Д. 74. Л. 18об.].</w:t>
      </w:r>
    </w:p>
    <w:p w14:paraId="2313376D" w14:textId="77777777" w:rsidR="004B4E35" w:rsidRPr="00405303" w:rsidRDefault="009E6F82" w:rsidP="00C15251">
      <w:pPr>
        <w:jc w:val="both"/>
        <w:rPr>
          <w:bCs/>
          <w:color w:val="002060"/>
          <w:sz w:val="16"/>
          <w:szCs w:val="16"/>
        </w:rPr>
      </w:pPr>
      <w:r w:rsidRPr="00405303">
        <w:rPr>
          <w:bCs/>
          <w:color w:val="002060"/>
          <w:sz w:val="16"/>
          <w:szCs w:val="16"/>
        </w:rPr>
        <w:t>Потенциал трех авиамоторных предприятий продолжал использоваться и после Октябрьской революции. В 1927 г. на базе завода «Гном» (с 1918 г. «Госавиазавод» № 2, с 1922 г. «Икар») все три предприятия были объединены в завод № 24 им. М.В. Фрунзе, который в годы Великой Отечественной войны положил начало Куйбышевскому заводу и одному из крупнейших отечественных авиационных предприятий Московскому авиамоторному № 45 (впоследствии - завод «Салют», теперь - ММПП «Салют»).</w:t>
      </w:r>
    </w:p>
    <w:p w14:paraId="33421FA6" w14:textId="77777777" w:rsidR="004B4E35" w:rsidRPr="00405303" w:rsidRDefault="009E6F82" w:rsidP="00C15251">
      <w:pPr>
        <w:jc w:val="both"/>
        <w:rPr>
          <w:bCs/>
          <w:color w:val="002060"/>
          <w:sz w:val="16"/>
          <w:szCs w:val="16"/>
        </w:rPr>
      </w:pPr>
      <w:r w:rsidRPr="00405303">
        <w:rPr>
          <w:bCs/>
          <w:color w:val="002060"/>
          <w:sz w:val="16"/>
          <w:szCs w:val="16"/>
        </w:rPr>
        <w:t>Серьезные сложности с развитием производства испытывал Русско-Балтийский вагонный завод (РБВЗ), эвакуированный из Риги. Самолетостроение поддерживалось в Петроградском отделении предприятия, осуществлявшем выпуск истребителей И.И. Сикорского и тяжелых самолетов «Илья Муромец», «Русский витязь», заказы на которые от военного ведомства поступали весьма нерегулярно и ограниченно [Там же. Ф. 369. Оп. 8. Д. 75. Л. 16-20; Там же. Оп. 2. Д. 6. Л. 247об., 249.].</w:t>
      </w:r>
    </w:p>
    <w:p w14:paraId="0AC4EEFC" w14:textId="77777777" w:rsidR="004B4E35" w:rsidRPr="00405303" w:rsidRDefault="009E6F82" w:rsidP="00C15251">
      <w:pPr>
        <w:jc w:val="both"/>
        <w:rPr>
          <w:bCs/>
          <w:color w:val="002060"/>
          <w:sz w:val="16"/>
          <w:szCs w:val="16"/>
        </w:rPr>
      </w:pPr>
      <w:r w:rsidRPr="00405303">
        <w:rPr>
          <w:bCs/>
          <w:color w:val="002060"/>
          <w:sz w:val="16"/>
          <w:szCs w:val="16"/>
        </w:rPr>
        <w:t>В 1916 г. РБВЗ подписал контракт с УВВФ на поставку 300 авиамоторов собственной конструкции (РБВ-36). По этому договору общество обязалось построить новый моторный завод в Москве. Сооружение предприятия осуществлялось на той же территории в Филях, где располагалась стройка автомобильного завода РБВЗ. Строительство щедро финансировалось военным ведомством, заинтересованном в моторах данного типа. Правлению был выдан аванс в размере 1907,1 тыс. руб., безвозвратное пособие в 100 тыс. руб., беспроцентная ссуда в 600 тыс. руб. и 6 % -ная ссуда на 10 лет без малого в 590 тыс. руб. [Там же. Ф. 493. Оп. 4. Д. 343. Л. 6 -7.] Моторный завод РБВЗ, как и автомобильный, не был достроен, но заложенные мощности в дальнейшем были успешно реализованы. В 1920-е гг. предприятие было предоставлено на концессионных началах фирме «Юнкерс». Впоследствии это известный завод им. Хруничева.</w:t>
      </w:r>
    </w:p>
    <w:p w14:paraId="4010FE8E" w14:textId="77777777" w:rsidR="004B4E35" w:rsidRPr="00405303" w:rsidRDefault="009E6F82" w:rsidP="00C15251">
      <w:pPr>
        <w:jc w:val="both"/>
        <w:rPr>
          <w:bCs/>
          <w:color w:val="002060"/>
          <w:sz w:val="16"/>
          <w:szCs w:val="16"/>
        </w:rPr>
      </w:pPr>
      <w:r w:rsidRPr="00405303">
        <w:rPr>
          <w:bCs/>
          <w:color w:val="002060"/>
          <w:sz w:val="16"/>
          <w:szCs w:val="16"/>
        </w:rPr>
        <w:t>Акционерное общество электромеханических сооружений (ЭМС), возникшее на базе товарищества «Дюфлон и Константинович», построило в годы войны авиационное отделение в г. Александрове Екатеринославской губернии. Завод, финансируемый военным ведомством, закупил за границей необходимое оборудование и осенью 1916 г. начал производство моторов типа «Мерседес» из русских материалов [Там же. Д. 105. Л. 201-207; Там же. Ф. 369. Оп. 8. Д. 77. Л. 11.].</w:t>
      </w:r>
    </w:p>
    <w:p w14:paraId="67027296" w14:textId="77777777" w:rsidR="004B4E35" w:rsidRPr="00405303" w:rsidRDefault="009E6F82" w:rsidP="00C15251">
      <w:pPr>
        <w:jc w:val="both"/>
        <w:rPr>
          <w:bCs/>
          <w:color w:val="002060"/>
          <w:sz w:val="16"/>
          <w:szCs w:val="16"/>
        </w:rPr>
      </w:pPr>
      <w:r w:rsidRPr="00405303">
        <w:rPr>
          <w:bCs/>
          <w:color w:val="002060"/>
          <w:sz w:val="16"/>
          <w:szCs w:val="16"/>
        </w:rPr>
        <w:t>В октябре 1914 г. был утвержден Устав акционерного общества «Русский Рено», учредителями которого выступили член Государственной думы Л.В. Половцев и французский подданный Поль Сико. Целью общества были производство и продажа автомобилей, автомобильных и авиационных двигателей, эксплуатация автомобилей и прочее. В 1914 - 1916 гг. обществом был построен и первоклассно оборудован в Петрограде завод, осуществлявший сборку, испытание авиадвигателей «Рено» и изготовление запасных частей к ним. На заводе действовало и автомобильное отделение. Всего на предприятии размещалось 770 станков. К началу 1917 г. в цехах завода трудилось около 2 тыс. рабочих. Несмотря на эти обстоятельства, производительность предприятия была невелика - всего 10 моторов в месяц [РГВИА. Ф. 493. Оп. 9. Д. 56. Л. 200; РГАЭ. Ф. 4086 (Главное управление металлической промышленности ВСНХ СССР). Оп. 10. Д. 3. Л. 131.].</w:t>
      </w:r>
    </w:p>
    <w:p w14:paraId="63F2DF00" w14:textId="77777777" w:rsidR="004B4E35" w:rsidRPr="00405303" w:rsidRDefault="009E6F82" w:rsidP="00C15251">
      <w:pPr>
        <w:jc w:val="both"/>
        <w:rPr>
          <w:bCs/>
          <w:color w:val="002060"/>
          <w:sz w:val="16"/>
          <w:szCs w:val="16"/>
        </w:rPr>
      </w:pPr>
      <w:r w:rsidRPr="00405303">
        <w:rPr>
          <w:bCs/>
          <w:color w:val="002060"/>
          <w:sz w:val="16"/>
          <w:szCs w:val="16"/>
        </w:rPr>
        <w:t xml:space="preserve">В ноябре 1915 г. обществом «Русский Рено» был заключен контракт с ГВТУ на поставку 150 моторов типа «Рено», по которому предусматривалось сооружение еще одного моторного завода. Завод начал строиться в Рыбинске, где это же общество строило автомобильный завод. Военное ведомство оказало широкую материальную помощь обществу в деле постройки авиамоторного завода. Правлению «Русский Рено» был выдан аванс в 1620 тыс. руб. Кроме того, для покупки необходимого </w:t>
      </w:r>
      <w:r w:rsidRPr="00405303">
        <w:rPr>
          <w:bCs/>
          <w:color w:val="002060"/>
          <w:sz w:val="16"/>
          <w:szCs w:val="16"/>
        </w:rPr>
        <w:lastRenderedPageBreak/>
        <w:t>оборудования за границей обществу была предоставлена соответствующая валюта [РГИА. Ф. 1525. Оп. 1. Д. 420. Л. 11-12, 8об. 10.]. Хотя значительная часть зданий нового завода была построена, но завершить оборудование его не удалось по причине задержек в поступлении станков и механизмов из-за границы (11863).</w:t>
      </w:r>
    </w:p>
    <w:p w14:paraId="7761DC29" w14:textId="77777777" w:rsidR="004B4E35" w:rsidRPr="00405303" w:rsidRDefault="004B4E35" w:rsidP="00C15251">
      <w:pPr>
        <w:jc w:val="both"/>
        <w:rPr>
          <w:bCs/>
          <w:color w:val="002060"/>
          <w:sz w:val="16"/>
          <w:szCs w:val="16"/>
        </w:rPr>
      </w:pPr>
    </w:p>
    <w:p w14:paraId="439038D5" w14:textId="77777777" w:rsidR="00F02CB9" w:rsidRPr="00405303" w:rsidRDefault="00F02CB9" w:rsidP="00C15251">
      <w:pPr>
        <w:shd w:val="clear" w:color="auto" w:fill="FFFFFF"/>
        <w:jc w:val="both"/>
        <w:rPr>
          <w:bCs/>
          <w:color w:val="002060"/>
          <w:sz w:val="16"/>
          <w:szCs w:val="16"/>
        </w:rPr>
      </w:pPr>
      <w:r w:rsidRPr="00405303">
        <w:rPr>
          <w:bCs/>
          <w:color w:val="002060"/>
          <w:sz w:val="16"/>
          <w:szCs w:val="16"/>
        </w:rPr>
        <w:t>В июле 1915 г. в Москве создали еще один завод, принадлежавший французской фирме «Сальмсон». С апреля 1916 г. он собирал моторы из импортных деталей. К началу 1917 г. там было около 300 рабочих, а производительность дошла до 100 двигателей в месяц. По количеству продукции это был лучший завод в России.</w:t>
      </w:r>
    </w:p>
    <w:p w14:paraId="0EE12B75" w14:textId="77777777" w:rsidR="00F02CB9" w:rsidRPr="00405303" w:rsidRDefault="00F02CB9" w:rsidP="00C15251">
      <w:pPr>
        <w:shd w:val="clear" w:color="auto" w:fill="FFFFFF"/>
        <w:jc w:val="both"/>
        <w:rPr>
          <w:bCs/>
          <w:color w:val="002060"/>
          <w:sz w:val="16"/>
          <w:szCs w:val="16"/>
        </w:rPr>
      </w:pPr>
      <w:r w:rsidRPr="00405303">
        <w:rPr>
          <w:bCs/>
          <w:color w:val="002060"/>
          <w:sz w:val="16"/>
          <w:szCs w:val="16"/>
        </w:rPr>
        <w:t>В 1916 г. делать авиационные моторы стала также Экипажно-автомобильная фабрика П. Ильина в Москве. Но двигателей там изго</w:t>
      </w:r>
      <w:r w:rsidRPr="00405303">
        <w:rPr>
          <w:bCs/>
          <w:color w:val="002060"/>
          <w:sz w:val="16"/>
          <w:szCs w:val="16"/>
        </w:rPr>
        <w:softHyphen/>
        <w:t>товили очень немного. С июля того же года Автомобильно-экипажные починочные мастерские общества «Русский Рено» в Петрограде начали собирать моторы «Рено» из французских деталей. Само общество «Рус</w:t>
      </w:r>
      <w:r w:rsidRPr="00405303">
        <w:rPr>
          <w:bCs/>
          <w:color w:val="002060"/>
          <w:sz w:val="16"/>
          <w:szCs w:val="16"/>
        </w:rPr>
        <w:softHyphen/>
        <w:t>ский Рено» при этом принадлежало отечественному капиталу.</w:t>
      </w:r>
    </w:p>
    <w:p w14:paraId="6F4CE671" w14:textId="77777777" w:rsidR="00F02CB9" w:rsidRPr="00405303" w:rsidRDefault="00F02CB9" w:rsidP="00C15251">
      <w:pPr>
        <w:shd w:val="clear" w:color="auto" w:fill="FFFFFF"/>
        <w:jc w:val="both"/>
        <w:rPr>
          <w:bCs/>
          <w:color w:val="002060"/>
          <w:sz w:val="16"/>
          <w:szCs w:val="16"/>
        </w:rPr>
      </w:pPr>
      <w:r w:rsidRPr="00405303">
        <w:rPr>
          <w:bCs/>
          <w:color w:val="002060"/>
          <w:sz w:val="16"/>
          <w:szCs w:val="16"/>
        </w:rPr>
        <w:t>В Петрограде также функционировали два моторных завода объединения РБВЗ. Один из них, Моторный, был создан на базе оборудования и пер</w:t>
      </w:r>
      <w:r w:rsidRPr="00405303">
        <w:rPr>
          <w:bCs/>
          <w:color w:val="002060"/>
          <w:sz w:val="16"/>
          <w:szCs w:val="16"/>
        </w:rPr>
        <w:softHyphen/>
        <w:t>сонала, эвакуированных в 1915 г. с завода РБВЗ в Риге. В Риге в 1914 г. готовились к серийному выпуску моторов РБВЗ-6, но планы были сорваны наступлением германской армии. Поэтому выпуск двигателей начали уже в Петрограде. Второй завод, Механический, делал моторы МРБ-6.</w:t>
      </w:r>
    </w:p>
    <w:p w14:paraId="74316D11" w14:textId="77777777" w:rsidR="00F02CB9" w:rsidRPr="00405303" w:rsidRDefault="00F02CB9" w:rsidP="00C15251">
      <w:pPr>
        <w:shd w:val="clear" w:color="auto" w:fill="FFFFFF"/>
        <w:jc w:val="both"/>
        <w:rPr>
          <w:bCs/>
          <w:color w:val="002060"/>
          <w:sz w:val="16"/>
          <w:szCs w:val="16"/>
        </w:rPr>
      </w:pPr>
      <w:r w:rsidRPr="00405303">
        <w:rPr>
          <w:bCs/>
          <w:color w:val="002060"/>
          <w:sz w:val="16"/>
          <w:szCs w:val="16"/>
        </w:rPr>
        <w:t>При помощи государственных субсидий акционерное общество «Дюфлон и Константинович» (ДЕКА) в августе 1915 г. приобрело недостроенный завод в Александровске (ныне Запорожье). После расширения он должен был стать крупнейшим моторостроительным предприятием России.</w:t>
      </w:r>
    </w:p>
    <w:p w14:paraId="2732144C" w14:textId="77777777" w:rsidR="00F02CB9" w:rsidRPr="00405303" w:rsidRDefault="00F02CB9" w:rsidP="00C15251">
      <w:pPr>
        <w:jc w:val="both"/>
        <w:rPr>
          <w:bCs/>
          <w:color w:val="002060"/>
          <w:sz w:val="16"/>
          <w:szCs w:val="16"/>
        </w:rPr>
      </w:pPr>
      <w:r w:rsidRPr="00405303">
        <w:rPr>
          <w:bCs/>
          <w:color w:val="002060"/>
          <w:sz w:val="16"/>
          <w:szCs w:val="16"/>
        </w:rPr>
        <w:t>По решению, принятому в феврале 1916 г., на деньги государственных кредитов началось строительство новых автомобильных заводов, часть из которых должна была параллельно производить авиамоторы. Это были «Аксай» в Нахичевани, «Кузнецов, Рябушинский и компания» (АМО) и РБВЗ под Москвой, «Русский Рено» в Рыбинске и завод Акционерного общества воздухоплавания В.А. Лебедева в Ярославле. Велась подготовка к выпуску авиационных двигателей на одном из заводов А.А. Анатра. Все эти предприятия, как и существовавшие ранее, были частными. В 1916 г. начали строительство крупного казенного завода в Херсоне, включавшего моторостроительное производство (11852).</w:t>
      </w:r>
    </w:p>
    <w:p w14:paraId="47416979" w14:textId="77777777" w:rsidR="00F02CB9" w:rsidRPr="00405303" w:rsidRDefault="00F02CB9" w:rsidP="00C15251">
      <w:pPr>
        <w:jc w:val="both"/>
        <w:rPr>
          <w:bCs/>
          <w:color w:val="002060"/>
          <w:sz w:val="16"/>
          <w:szCs w:val="16"/>
        </w:rPr>
      </w:pPr>
    </w:p>
    <w:p w14:paraId="337813D6" w14:textId="77777777" w:rsidR="00F02CB9" w:rsidRPr="00405303" w:rsidRDefault="00F02CB9" w:rsidP="00C15251">
      <w:pPr>
        <w:shd w:val="clear" w:color="auto" w:fill="FFFFFF"/>
        <w:jc w:val="both"/>
        <w:rPr>
          <w:bCs/>
          <w:color w:val="002060"/>
          <w:sz w:val="16"/>
          <w:szCs w:val="16"/>
        </w:rPr>
      </w:pPr>
      <w:r w:rsidRPr="00405303">
        <w:rPr>
          <w:bCs/>
          <w:color w:val="002060"/>
          <w:sz w:val="16"/>
          <w:szCs w:val="16"/>
        </w:rPr>
        <w:t>В июле 1915 г. в Москве появился завод французской фирмы «Сальмсон». Это предприятие создали по соглаше</w:t>
      </w:r>
      <w:r w:rsidRPr="00405303">
        <w:rPr>
          <w:bCs/>
          <w:color w:val="002060"/>
          <w:sz w:val="16"/>
          <w:szCs w:val="16"/>
        </w:rPr>
        <w:softHyphen/>
        <w:t>нию фирмы с Главным военно-тех</w:t>
      </w:r>
      <w:r w:rsidRPr="00405303">
        <w:rPr>
          <w:bCs/>
          <w:color w:val="002060"/>
          <w:sz w:val="16"/>
          <w:szCs w:val="16"/>
        </w:rPr>
        <w:softHyphen/>
        <w:t>ническим управлением военного ве</w:t>
      </w:r>
      <w:r w:rsidRPr="00405303">
        <w:rPr>
          <w:bCs/>
          <w:color w:val="002060"/>
          <w:sz w:val="16"/>
          <w:szCs w:val="16"/>
        </w:rPr>
        <w:softHyphen/>
        <w:t>домства. Завод собирал из импортных деталей три типа 9-цилиндровых звез-Мотор «Сальмсон» русской сборки дообразных моторов водяного охлаждения: М.9 в 130 л.с., Р.9 в 150 л.с. и К..9 в 160 л.с. Готовые двига</w:t>
      </w:r>
      <w:r w:rsidRPr="00405303">
        <w:rPr>
          <w:bCs/>
          <w:color w:val="002060"/>
          <w:sz w:val="16"/>
          <w:szCs w:val="16"/>
        </w:rPr>
        <w:softHyphen/>
        <w:t>тели начали выходить из цехов в апреле 1916 г. К началу следующе</w:t>
      </w:r>
      <w:r w:rsidRPr="00405303">
        <w:rPr>
          <w:bCs/>
          <w:color w:val="002060"/>
          <w:sz w:val="16"/>
          <w:szCs w:val="16"/>
        </w:rPr>
        <w:softHyphen/>
        <w:t>го года на «Сальмсоне» трудились около 300 рабочих. Инженерно-технический персонал был в основ</w:t>
      </w:r>
      <w:r w:rsidRPr="00405303">
        <w:rPr>
          <w:bCs/>
          <w:color w:val="002060"/>
          <w:sz w:val="16"/>
          <w:szCs w:val="16"/>
        </w:rPr>
        <w:softHyphen/>
        <w:t>ном французским. К началу 1917 г. некоторые второстепенные детали стали делать на месте, завод вы</w:t>
      </w:r>
      <w:r w:rsidRPr="00405303">
        <w:rPr>
          <w:bCs/>
          <w:color w:val="002060"/>
          <w:sz w:val="16"/>
          <w:szCs w:val="16"/>
        </w:rPr>
        <w:softHyphen/>
        <w:t>пускал от 50 до 100 моторов в месяц (11852).</w:t>
      </w:r>
    </w:p>
    <w:p w14:paraId="209DBA28" w14:textId="77777777" w:rsidR="00F02CB9" w:rsidRPr="00405303" w:rsidRDefault="00F02CB9" w:rsidP="00C15251">
      <w:pPr>
        <w:jc w:val="both"/>
        <w:rPr>
          <w:bCs/>
          <w:color w:val="002060"/>
          <w:sz w:val="16"/>
          <w:szCs w:val="16"/>
        </w:rPr>
      </w:pPr>
    </w:p>
    <w:p w14:paraId="004816F2" w14:textId="77777777" w:rsidR="004B4E35" w:rsidRPr="00405303" w:rsidRDefault="009E6F82" w:rsidP="00C15251">
      <w:pPr>
        <w:jc w:val="both"/>
        <w:rPr>
          <w:bCs/>
          <w:color w:val="002060"/>
          <w:sz w:val="16"/>
          <w:szCs w:val="16"/>
        </w:rPr>
      </w:pPr>
      <w:r w:rsidRPr="00405303">
        <w:rPr>
          <w:bCs/>
          <w:color w:val="002060"/>
          <w:sz w:val="16"/>
          <w:szCs w:val="16"/>
        </w:rPr>
        <w:t>В июле 1915 г. Заведующий авиацией и воздухоплаванием в действующей армии обратился к профессору Н. Е. Жуковскому с просьбой изыскать способы изготовления зажигательных авиабомб малого и большого калибров. Для организации опытов1 ГВТУ отпустило в его распоряжение 1500 руб. К решению задачи Н. Е. Жуковский привлек своих учеников Б. Н. Юрьева, Б. С. Стечкина, В. П. Ветчинкина и других. В короткий срок в аэродинамической лаборатории МВТУ были изготовлены и испытаны зажигательные бомбы. 14 сентября 1915 г. Н. Е. Жуковский составил для военного ведомства отчет об этих испытаниях 5, к которому прилагались протокол испытания и два чертежа.</w:t>
      </w:r>
    </w:p>
    <w:p w14:paraId="68A4F3BD" w14:textId="77777777" w:rsidR="004B4E35" w:rsidRPr="00405303" w:rsidRDefault="009E6F82" w:rsidP="00C15251">
      <w:pPr>
        <w:jc w:val="both"/>
        <w:rPr>
          <w:bCs/>
          <w:color w:val="002060"/>
          <w:sz w:val="16"/>
          <w:szCs w:val="16"/>
        </w:rPr>
      </w:pPr>
      <w:r w:rsidRPr="00405303">
        <w:rPr>
          <w:bCs/>
          <w:color w:val="002060"/>
          <w:sz w:val="16"/>
          <w:szCs w:val="16"/>
        </w:rPr>
        <w:t>Эти документы свидетельствуют, что ученым удалось создать весьма эффективные зажигательные снаряды. Из нескольких систем, испытанных при лаборатории, наиболее удачными были малые авиабомбы, спроектированные Б. Н. Юрьевым и Б. С. Стечкиным. Зажигательный снаряд прапорщика Б. Н. Юрьева "Стрела" состоял из тонкостенного сосуда и специального приспособления для разбрызгивания горючего. "Стрела" сбрасывалась с крыши МВТУ и, как свидетельствует Н. Е. Жуковский, давала большой радиус зажигательного района".</w:t>
      </w:r>
    </w:p>
    <w:p w14:paraId="1B2791D9" w14:textId="77777777" w:rsidR="004B4E35" w:rsidRPr="00405303" w:rsidRDefault="009E6F82" w:rsidP="00C15251">
      <w:pPr>
        <w:jc w:val="both"/>
        <w:rPr>
          <w:bCs/>
          <w:color w:val="002060"/>
          <w:sz w:val="16"/>
          <w:szCs w:val="16"/>
        </w:rPr>
      </w:pPr>
      <w:r w:rsidRPr="00405303">
        <w:rPr>
          <w:bCs/>
          <w:color w:val="002060"/>
          <w:sz w:val="16"/>
          <w:szCs w:val="16"/>
        </w:rPr>
        <w:t>Однако сбрасывание стрел с незначительной высоты не давало полной картины испытаний. Н. Е. Жуковскому удалось добиться прикомандирования для проведения опытов летчика Гулевича с самолетом "Ньюпор" 1. После того как зажигательные снаряды были сброшены с самолета, Н. Е. Жуковский пришел к выводу, "что горючая жидкость, падая на землю с большой высоты в тонкостенных сосудах, сама весьма хорошо разбрызгивается, потому специальных приспособлений для разбрызгивания, как это было в стреле Б. Н. Юрьева, нет надобности применять".</w:t>
      </w:r>
    </w:p>
    <w:p w14:paraId="5813012E" w14:textId="77777777" w:rsidR="004B4E35" w:rsidRPr="00405303" w:rsidRDefault="009E6F82" w:rsidP="00C15251">
      <w:pPr>
        <w:jc w:val="both"/>
        <w:rPr>
          <w:bCs/>
          <w:color w:val="002060"/>
          <w:sz w:val="16"/>
          <w:szCs w:val="16"/>
        </w:rPr>
      </w:pPr>
      <w:r w:rsidRPr="00405303">
        <w:rPr>
          <w:bCs/>
          <w:color w:val="002060"/>
          <w:sz w:val="16"/>
          <w:szCs w:val="16"/>
        </w:rPr>
        <w:t xml:space="preserve">Зажигательный снаряд Б. С. Стечкина и Синягина состоял из бычьего пузыря, наполненного паклей, бензином и нефтяными остатками. Воспламенителем служили две стеклянные пробирки, вставленные одна в другую. В одной находилась серная кислота, в другой - вата, осыпанная марганцовокислым калием. При падении пробирки разбивались, и смесь воспламенялась. Как утверждал Н. Е. Жуковский, "при сбрасывании с аэроплана зажигательных бомб Б. С. Стечкина (около 20 штук) не было ни одного отказа". Снаряд студента А. А. Микулина относился к бомбам тяжелого типа. Он состоял из жестяного корпуса, наполненного паклей, нефтью и бензином. Бомба в своей верхней части была снабжена четырехлопастным стабилизатором. В нижней части находился ударный воспламенитель с предохранительной чекой и воздушным винтом, заимствованный из взрывателя, разработанного для фугасных авиабомб капитаном Орановским. При ударе снаряда о землю на жало ударника садился патрон с дымным порохом. Вспышка пороха воспламеняла содержание авиабомбы. </w:t>
      </w:r>
    </w:p>
    <w:p w14:paraId="6C212942" w14:textId="77777777" w:rsidR="004B4E35" w:rsidRPr="00405303" w:rsidRDefault="009E6F82" w:rsidP="00C15251">
      <w:pPr>
        <w:jc w:val="both"/>
        <w:rPr>
          <w:bCs/>
          <w:color w:val="002060"/>
          <w:sz w:val="16"/>
          <w:szCs w:val="16"/>
        </w:rPr>
      </w:pPr>
      <w:r w:rsidRPr="00405303">
        <w:rPr>
          <w:bCs/>
          <w:color w:val="002060"/>
          <w:sz w:val="16"/>
          <w:szCs w:val="16"/>
        </w:rPr>
        <w:t xml:space="preserve">Аэродинамическая лаборатория МВТУ изготовила 15 бомб системы Стечкина и 20 бомб системы Микулина для испытания в боевых условиях в авиаотряде, находившемся в крепости </w:t>
      </w:r>
      <w:proofErr w:type="gramStart"/>
      <w:r w:rsidRPr="00405303">
        <w:rPr>
          <w:bCs/>
          <w:color w:val="002060"/>
          <w:sz w:val="16"/>
          <w:szCs w:val="16"/>
        </w:rPr>
        <w:t>Иван-город</w:t>
      </w:r>
      <w:proofErr w:type="gramEnd"/>
      <w:r w:rsidRPr="00405303">
        <w:rPr>
          <w:bCs/>
          <w:color w:val="002060"/>
          <w:sz w:val="16"/>
          <w:szCs w:val="16"/>
        </w:rPr>
        <w:t xml:space="preserve">. В испытаниях участвовал полковник Вегенер, командовавший там воздухоплавательной ротой. </w:t>
      </w:r>
    </w:p>
    <w:p w14:paraId="4F38CA3A" w14:textId="77777777" w:rsidR="004B4E35" w:rsidRPr="00405303" w:rsidRDefault="009E6F82" w:rsidP="00C15251">
      <w:pPr>
        <w:jc w:val="both"/>
        <w:rPr>
          <w:bCs/>
          <w:color w:val="002060"/>
          <w:sz w:val="16"/>
          <w:szCs w:val="16"/>
        </w:rPr>
      </w:pPr>
      <w:r w:rsidRPr="00405303">
        <w:rPr>
          <w:bCs/>
          <w:color w:val="002060"/>
          <w:sz w:val="16"/>
          <w:szCs w:val="16"/>
        </w:rPr>
        <w:t xml:space="preserve">Технический комитет ГВТУ под председательством военного инженера генерал-лейтенанта Н. Л. Кирпичева 21 сентября 1915 г. Рассмотрел предложенные Н. Е. Жуковским зажигательные бомбы. Комитет отметил, что снаряд, разработанный Стечкиным и Синягиным, "является опасным в обращении, так как его воспламенитель при попадании в него пули может загореться на аэроплане". Что касается авиабомбы Микулина, то было принято следующее решение: "зажигательный снаряд студента Микулина своему назначению удовлетворяет и может быть допущен на снабжение авиационных частей. </w:t>
      </w:r>
    </w:p>
    <w:p w14:paraId="50B2F9A5" w14:textId="77777777" w:rsidR="004B4E35" w:rsidRPr="00405303" w:rsidRDefault="009E6F82" w:rsidP="00C15251">
      <w:pPr>
        <w:jc w:val="both"/>
        <w:rPr>
          <w:bCs/>
          <w:color w:val="002060"/>
          <w:sz w:val="16"/>
          <w:szCs w:val="16"/>
        </w:rPr>
      </w:pPr>
      <w:r w:rsidRPr="00405303">
        <w:rPr>
          <w:bCs/>
          <w:color w:val="002060"/>
          <w:sz w:val="16"/>
          <w:szCs w:val="16"/>
        </w:rPr>
        <w:t>Таким образом, в результате работы коллектива МВТУ под руководством Н. Е. Жуковского в короткие сроки создана зажигательная авиабомба большой мощности. Однако вопрос о зажигательные калибра не был решен, в них на фронте ощущалась нужда (11237).</w:t>
      </w:r>
    </w:p>
    <w:p w14:paraId="7D202254" w14:textId="77777777" w:rsidR="004B4E35" w:rsidRPr="00405303" w:rsidRDefault="004B4E35" w:rsidP="00C15251">
      <w:pPr>
        <w:jc w:val="both"/>
        <w:rPr>
          <w:bCs/>
          <w:color w:val="002060"/>
          <w:sz w:val="16"/>
          <w:szCs w:val="16"/>
        </w:rPr>
      </w:pPr>
    </w:p>
    <w:p w14:paraId="614E2853" w14:textId="77777777" w:rsidR="00676534" w:rsidRPr="00405303" w:rsidRDefault="00676534" w:rsidP="00C15251">
      <w:pPr>
        <w:jc w:val="both"/>
        <w:rPr>
          <w:bCs/>
          <w:color w:val="002060"/>
          <w:sz w:val="16"/>
          <w:szCs w:val="16"/>
        </w:rPr>
      </w:pPr>
      <w:r w:rsidRPr="00405303">
        <w:rPr>
          <w:bCs/>
          <w:color w:val="002060"/>
          <w:sz w:val="16"/>
          <w:szCs w:val="16"/>
        </w:rPr>
        <w:t>В июле 1915 г. Заведующий авиацией и воздухоплаванием в действующей армии обратился к профессору Жуковскому с просьбой изыскать способы изготовления зажигательных снарядов малого и большого калибра. Для оргаии- зации опытов ГВТУ отпустило в его распоряжение 1500 рублей. К решению задачи Жуковский привлек своих учеников: Б. Н. Юрьева, Б. С. Стечкина, В. П. Ветчинкина и др. 14 сентября 1915 г. был составлен отчет об этих испытаниях (11999).</w:t>
      </w:r>
    </w:p>
    <w:p w14:paraId="0E6DD990" w14:textId="77777777" w:rsidR="00676534" w:rsidRPr="00405303" w:rsidRDefault="00676534" w:rsidP="00C15251">
      <w:pPr>
        <w:jc w:val="both"/>
        <w:rPr>
          <w:bCs/>
          <w:color w:val="002060"/>
          <w:sz w:val="16"/>
          <w:szCs w:val="16"/>
        </w:rPr>
      </w:pPr>
    </w:p>
    <w:p w14:paraId="54D1E63A" w14:textId="0D166FA7" w:rsidR="004B4E35" w:rsidRPr="00405303" w:rsidRDefault="00F02CB9"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июле 1915 г. </w:t>
      </w:r>
      <w:r w:rsidRPr="00405303">
        <w:rPr>
          <w:bCs/>
          <w:color w:val="002060"/>
          <w:sz w:val="16"/>
          <w:szCs w:val="16"/>
        </w:rPr>
        <w:t>Заведующий авиацией и воздухопла</w:t>
      </w:r>
      <w:r w:rsidRPr="00405303">
        <w:rPr>
          <w:bCs/>
          <w:color w:val="002060"/>
          <w:sz w:val="16"/>
          <w:szCs w:val="16"/>
        </w:rPr>
        <w:softHyphen/>
        <w:t xml:space="preserve">ванием в действующей армии обратился </w:t>
      </w:r>
      <w:r w:rsidR="009E6F82" w:rsidRPr="00405303">
        <w:rPr>
          <w:bCs/>
          <w:color w:val="002060"/>
          <w:sz w:val="16"/>
          <w:szCs w:val="16"/>
        </w:rPr>
        <w:t>к Н.Е. Жуковскому с просьбой изыскать способы изготовления зажигательных бомб малого и большого калибров без применения фосфора.</w:t>
      </w:r>
    </w:p>
    <w:p w14:paraId="137A26B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Н.Е. Жуковский привлек к решению этой задачи Б.Н. Юрьева, Б.С. Стеч-кина и В.П. Ветчинкина. В короткий срок в аэродинамической лаборатории МВТУ были изготовлены и испытаны зажигательные авиабомбы. В сентяб</w:t>
      </w:r>
      <w:r w:rsidRPr="00405303">
        <w:rPr>
          <w:bCs/>
          <w:color w:val="002060"/>
          <w:sz w:val="16"/>
          <w:szCs w:val="16"/>
        </w:rPr>
        <w:softHyphen/>
        <w:t>ре 1915 г. Н.Е. Жуковский представил в военное ведомство протокол испы</w:t>
      </w:r>
      <w:r w:rsidRPr="00405303">
        <w:rPr>
          <w:bCs/>
          <w:color w:val="002060"/>
          <w:sz w:val="16"/>
          <w:szCs w:val="16"/>
        </w:rPr>
        <w:softHyphen/>
        <w:t>таний и два чертежа. Эти документы свидетельствуют о том, что ученым удалось создать весьма эффективные зажигательные авиабомбы. Наибо</w:t>
      </w:r>
      <w:r w:rsidRPr="00405303">
        <w:rPr>
          <w:bCs/>
          <w:color w:val="002060"/>
          <w:sz w:val="16"/>
          <w:szCs w:val="16"/>
        </w:rPr>
        <w:softHyphen/>
        <w:t>лее удачными оказались малые бомбы, спроектированные Б.Н. Юрьевым и Б.С. Стечкиным. Бомба студента А.А. Микулина относилась к бомбам тяже</w:t>
      </w:r>
      <w:r w:rsidRPr="00405303">
        <w:rPr>
          <w:bCs/>
          <w:color w:val="002060"/>
          <w:sz w:val="16"/>
          <w:szCs w:val="16"/>
        </w:rPr>
        <w:softHyphen/>
        <w:t>лого типа. Она состояла из жестяного корпуса, наполненного паклей, не</w:t>
      </w:r>
      <w:r w:rsidRPr="00405303">
        <w:rPr>
          <w:bCs/>
          <w:color w:val="002060"/>
          <w:sz w:val="16"/>
          <w:szCs w:val="16"/>
        </w:rPr>
        <w:softHyphen/>
        <w:t>фтью и бензином. Бомба была снабжена четырехлопастным стабилизато</w:t>
      </w:r>
      <w:r w:rsidRPr="00405303">
        <w:rPr>
          <w:bCs/>
          <w:color w:val="002060"/>
          <w:sz w:val="16"/>
          <w:szCs w:val="16"/>
        </w:rPr>
        <w:softHyphen/>
        <w:t>ром и в головной части ударным воспламенителем с предохранительной чекой и воздушной ветрянкой, заимствованной из взрывателя, разработан</w:t>
      </w:r>
      <w:r w:rsidRPr="00405303">
        <w:rPr>
          <w:bCs/>
          <w:color w:val="002060"/>
          <w:sz w:val="16"/>
          <w:szCs w:val="16"/>
        </w:rPr>
        <w:softHyphen/>
        <w:t>ного для фугасных авиабомб капитаном Орановским.</w:t>
      </w:r>
    </w:p>
    <w:p w14:paraId="502B5C85" w14:textId="77777777" w:rsidR="004B4E35" w:rsidRPr="00405303" w:rsidRDefault="009E6F82" w:rsidP="00C15251">
      <w:pPr>
        <w:jc w:val="both"/>
        <w:rPr>
          <w:bCs/>
          <w:color w:val="002060"/>
          <w:sz w:val="16"/>
          <w:szCs w:val="16"/>
        </w:rPr>
      </w:pPr>
      <w:r w:rsidRPr="00405303">
        <w:rPr>
          <w:bCs/>
          <w:color w:val="002060"/>
          <w:sz w:val="16"/>
          <w:szCs w:val="16"/>
        </w:rPr>
        <w:t xml:space="preserve">Технический комитет Главного военно-технического Управления под председательством </w:t>
      </w:r>
      <w:proofErr w:type="gramStart"/>
      <w:r w:rsidRPr="00405303">
        <w:rPr>
          <w:bCs/>
          <w:color w:val="002060"/>
          <w:sz w:val="16"/>
          <w:szCs w:val="16"/>
        </w:rPr>
        <w:t>генерал лейтенанта</w:t>
      </w:r>
      <w:proofErr w:type="gramEnd"/>
      <w:r w:rsidRPr="00405303">
        <w:rPr>
          <w:bCs/>
          <w:color w:val="002060"/>
          <w:sz w:val="16"/>
          <w:szCs w:val="16"/>
        </w:rPr>
        <w:t xml:space="preserve"> Н.Л. Кирпичева, рассмотрев предложенные Н.Е. Жуковским авиабомбы, отметил, что бомба, «разра</w:t>
      </w:r>
      <w:r w:rsidRPr="00405303">
        <w:rPr>
          <w:bCs/>
          <w:color w:val="002060"/>
          <w:sz w:val="16"/>
          <w:szCs w:val="16"/>
        </w:rPr>
        <w:softHyphen/>
        <w:t>ботанная Стечкиным и Сенягиным, является опасной в обращении, так как ее воспламенитель при попадании в него пули может загореться на аэро</w:t>
      </w:r>
      <w:r w:rsidRPr="00405303">
        <w:rPr>
          <w:bCs/>
          <w:color w:val="002060"/>
          <w:sz w:val="16"/>
          <w:szCs w:val="16"/>
        </w:rPr>
        <w:softHyphen/>
        <w:t>плане». По авиабомбе Микулина было принято следующее решение: «за</w:t>
      </w:r>
      <w:r w:rsidRPr="00405303">
        <w:rPr>
          <w:bCs/>
          <w:color w:val="002060"/>
          <w:sz w:val="16"/>
          <w:szCs w:val="16"/>
        </w:rPr>
        <w:softHyphen/>
        <w:t>жигательный снаряд студента Микулина своему назначению удовлетво</w:t>
      </w:r>
      <w:r w:rsidRPr="00405303">
        <w:rPr>
          <w:bCs/>
          <w:color w:val="002060"/>
          <w:sz w:val="16"/>
          <w:szCs w:val="16"/>
        </w:rPr>
        <w:softHyphen/>
        <w:t>ряет и может быть допущен на снабжение авиационных частей». Таким образом, коллективом студентов МВТУ под руководством Н.Е.Жуковского в короткий срок была создана зажигательная авиабомба большой мощ</w:t>
      </w:r>
      <w:r w:rsidRPr="00405303">
        <w:rPr>
          <w:bCs/>
          <w:color w:val="002060"/>
          <w:sz w:val="16"/>
          <w:szCs w:val="16"/>
        </w:rPr>
        <w:softHyphen/>
        <w:t>ности, которая была принята на вооружение (11425).</w:t>
      </w:r>
    </w:p>
    <w:p w14:paraId="2A893CB3" w14:textId="77777777" w:rsidR="004B4E35" w:rsidRPr="00405303" w:rsidRDefault="004B4E35" w:rsidP="00C15251">
      <w:pPr>
        <w:jc w:val="both"/>
        <w:rPr>
          <w:bCs/>
          <w:color w:val="002060"/>
          <w:sz w:val="16"/>
          <w:szCs w:val="16"/>
        </w:rPr>
      </w:pPr>
    </w:p>
    <w:p w14:paraId="6DEA6575" w14:textId="77777777" w:rsidR="004B4E35" w:rsidRPr="00405303" w:rsidRDefault="009E6F82" w:rsidP="00C15251">
      <w:pPr>
        <w:jc w:val="both"/>
        <w:rPr>
          <w:bCs/>
          <w:color w:val="002060"/>
          <w:sz w:val="16"/>
          <w:szCs w:val="16"/>
        </w:rPr>
      </w:pPr>
      <w:r w:rsidRPr="00405303">
        <w:rPr>
          <w:bCs/>
          <w:color w:val="002060"/>
          <w:sz w:val="16"/>
          <w:szCs w:val="16"/>
        </w:rPr>
        <w:t xml:space="preserve">В июле 1915 г. началась переделка конструктором Г.А. Фриде сухопутного самолета "Моран-Парасоль" в летающую лодку на заводе Лебедева. В декабре был заключен контракт с Морским ведомством на постройку самолета в течение 20 дней (!). Однако из-за внесения изменений в чертежи завод получил двухмесячную отсрочку. От стандартного "Морана" Фриде взял крыло, оперение и мотор "Гном" 80 л.с. Корпус имел форму лодки с большой килеватостью и был снабжен подводными крыльями - "ножами". В апреле 1916 г. готовый аппарат доставили в Петроградскую офицерскую школу морских пилотов. При осмотре приемная комиссия, созданная из офицеров школы, обнаружила дефект заднего лонжерона. В мае самолет отремонтировали </w:t>
      </w:r>
      <w:proofErr w:type="gramStart"/>
      <w:r w:rsidRPr="00405303">
        <w:rPr>
          <w:bCs/>
          <w:color w:val="002060"/>
          <w:sz w:val="16"/>
          <w:szCs w:val="16"/>
        </w:rPr>
        <w:t>на заводе</w:t>
      </w:r>
      <w:proofErr w:type="gramEnd"/>
      <w:r w:rsidRPr="00405303">
        <w:rPr>
          <w:bCs/>
          <w:color w:val="002060"/>
          <w:sz w:val="16"/>
          <w:szCs w:val="16"/>
        </w:rPr>
        <w:t xml:space="preserve"> и он был куплен Морским ведомством (без мотора). Испытывали "Морской Парасоль" летом 1916 г. Эффект от подводных крыльев оказался слишком велик, так что лодка поднималась из воды раньше, чем возникала достаточная подъемная сила крыла и самолет становился неуправляемым. Взлетать с "ножами" летчики не рисковали. А после их снятия аппарат не смог оторваться от воды и работы над ним вскоре прекратили (11183).</w:t>
      </w:r>
    </w:p>
    <w:p w14:paraId="54432FD1" w14:textId="77777777" w:rsidR="004B4E35" w:rsidRPr="00405303" w:rsidRDefault="004B4E35" w:rsidP="00C15251">
      <w:pPr>
        <w:jc w:val="both"/>
        <w:rPr>
          <w:bCs/>
          <w:color w:val="002060"/>
          <w:sz w:val="16"/>
          <w:szCs w:val="16"/>
        </w:rPr>
      </w:pPr>
    </w:p>
    <w:p w14:paraId="14F7DD9D" w14:textId="77777777" w:rsidR="008A2252" w:rsidRPr="00405303" w:rsidRDefault="008A2252" w:rsidP="00C15251">
      <w:pPr>
        <w:jc w:val="both"/>
        <w:rPr>
          <w:bCs/>
          <w:color w:val="002060"/>
          <w:sz w:val="16"/>
          <w:szCs w:val="16"/>
        </w:rPr>
      </w:pPr>
      <w:r w:rsidRPr="00405303">
        <w:rPr>
          <w:bCs/>
          <w:color w:val="002060"/>
          <w:sz w:val="16"/>
          <w:szCs w:val="16"/>
        </w:rPr>
        <w:t>В июле 1915 г. на аэродром ЭВК Яблона с завода РБВЗ отправлен «Илья Муромец» В-21 «тупоносый» (ИМ В-21 № 167, борт № II) экз. № 20, стратегический разведчик, тяжелый бомбардировщик.</w:t>
      </w:r>
    </w:p>
    <w:p w14:paraId="03FD8D68" w14:textId="77777777" w:rsidR="008A2252" w:rsidRPr="00405303" w:rsidRDefault="008A2252" w:rsidP="00C15251">
      <w:pPr>
        <w:jc w:val="both"/>
        <w:rPr>
          <w:bCs/>
          <w:color w:val="002060"/>
          <w:sz w:val="16"/>
          <w:szCs w:val="16"/>
        </w:rPr>
      </w:pPr>
      <w:r w:rsidRPr="00405303">
        <w:rPr>
          <w:bCs/>
          <w:color w:val="002060"/>
          <w:sz w:val="16"/>
          <w:szCs w:val="16"/>
        </w:rPr>
        <w:t>Построен РБВЗ со следующим конструктивными особенностями:</w:t>
      </w:r>
    </w:p>
    <w:p w14:paraId="31267931" w14:textId="77777777" w:rsidR="008A2252" w:rsidRPr="00405303" w:rsidRDefault="008A2252" w:rsidP="00C15251">
      <w:pPr>
        <w:jc w:val="both"/>
        <w:rPr>
          <w:bCs/>
          <w:color w:val="002060"/>
          <w:sz w:val="16"/>
          <w:szCs w:val="16"/>
        </w:rPr>
      </w:pPr>
      <w:r w:rsidRPr="00405303">
        <w:rPr>
          <w:bCs/>
          <w:color w:val="002060"/>
          <w:sz w:val="16"/>
          <w:szCs w:val="16"/>
        </w:rPr>
        <w:t>- силовая установка с четырьмя двигателями РБЗ-6 (РБВЗ-6, рядный 6-цилиндровый двигатель водяного охлаждения, номинальная мощность 150 л.с., часовой расход топлива на этом режиме 34,25 кг/ч, удельный расход – 0,23 кг/л.с.*ч.);</w:t>
      </w:r>
    </w:p>
    <w:p w14:paraId="2C041F4C" w14:textId="77777777" w:rsidR="008A2252" w:rsidRPr="00405303" w:rsidRDefault="008A2252" w:rsidP="00C15251">
      <w:pPr>
        <w:jc w:val="both"/>
        <w:rPr>
          <w:bCs/>
          <w:color w:val="002060"/>
          <w:sz w:val="16"/>
          <w:szCs w:val="16"/>
        </w:rPr>
      </w:pPr>
      <w:r w:rsidRPr="00405303">
        <w:rPr>
          <w:bCs/>
          <w:color w:val="002060"/>
          <w:sz w:val="16"/>
          <w:szCs w:val="16"/>
        </w:rPr>
        <w:t>- топливная система с двумя большими цилиндрическими баками с оживальными законцовками над фюзеляжем;</w:t>
      </w:r>
    </w:p>
    <w:p w14:paraId="35317FED" w14:textId="77777777" w:rsidR="008A2252" w:rsidRPr="00405303" w:rsidRDefault="008A2252" w:rsidP="00C15251">
      <w:pPr>
        <w:jc w:val="both"/>
        <w:rPr>
          <w:bCs/>
          <w:color w:val="002060"/>
          <w:sz w:val="16"/>
          <w:szCs w:val="16"/>
        </w:rPr>
      </w:pPr>
      <w:r w:rsidRPr="00405303">
        <w:rPr>
          <w:bCs/>
          <w:color w:val="002060"/>
          <w:sz w:val="16"/>
          <w:szCs w:val="16"/>
        </w:rPr>
        <w:t>- масляная система с цилиндрическими баками с оживальными законцовками над моторами;</w:t>
      </w:r>
    </w:p>
    <w:p w14:paraId="47056E5B" w14:textId="77777777" w:rsidR="008A2252" w:rsidRPr="00405303" w:rsidRDefault="008A2252" w:rsidP="00C15251">
      <w:pPr>
        <w:jc w:val="both"/>
        <w:rPr>
          <w:bCs/>
          <w:color w:val="002060"/>
          <w:sz w:val="16"/>
          <w:szCs w:val="16"/>
        </w:rPr>
      </w:pPr>
      <w:r w:rsidRPr="00405303">
        <w:rPr>
          <w:bCs/>
          <w:color w:val="002060"/>
          <w:sz w:val="16"/>
          <w:szCs w:val="16"/>
        </w:rPr>
        <w:t>- система охлаждения с двумя радиаторами на каждый мотор, установленными наклонно по бокам его задних частей (радиатор состоял из расширительного и конденсационного баков в виде сегментов диска по концам пакета прямоугольного сечения из латунных трубок, ставился широкой стороной сечения по потоку);</w:t>
      </w:r>
    </w:p>
    <w:p w14:paraId="366768EF" w14:textId="77777777" w:rsidR="008A2252" w:rsidRPr="00405303" w:rsidRDefault="008A2252" w:rsidP="00C15251">
      <w:pPr>
        <w:jc w:val="both"/>
        <w:rPr>
          <w:bCs/>
          <w:color w:val="002060"/>
          <w:sz w:val="16"/>
          <w:szCs w:val="16"/>
        </w:rPr>
      </w:pPr>
      <w:r w:rsidRPr="00405303">
        <w:rPr>
          <w:bCs/>
          <w:color w:val="002060"/>
          <w:sz w:val="16"/>
          <w:szCs w:val="16"/>
        </w:rPr>
        <w:t>- остекление кабины летчика с одним большим лобовым стеклом, открываемым поворотом вокруг горизонтальной оси примерно на 2/3 его высоты, 8 больших боковых стекол (2 из них – сдвижные), нескольких верхних стекол, 12 нижних боковых и 6 нижних горизонтальных стекол.</w:t>
      </w:r>
    </w:p>
    <w:p w14:paraId="3831646D" w14:textId="77777777" w:rsidR="008A2252" w:rsidRPr="00405303" w:rsidRDefault="008A2252" w:rsidP="00C15251">
      <w:pPr>
        <w:jc w:val="both"/>
        <w:rPr>
          <w:bCs/>
          <w:color w:val="002060"/>
          <w:sz w:val="16"/>
          <w:szCs w:val="16"/>
        </w:rPr>
      </w:pPr>
      <w:r w:rsidRPr="00405303">
        <w:rPr>
          <w:bCs/>
          <w:color w:val="002060"/>
          <w:sz w:val="16"/>
          <w:szCs w:val="16"/>
        </w:rPr>
        <w:t>29.07.15 г. (11.08.15 г. по н.ст.) принят капитаном Панкратьевым, который ранее командовал кораблями № 128 и 160.</w:t>
      </w:r>
    </w:p>
    <w:p w14:paraId="59E68E00" w14:textId="77777777" w:rsidR="008A2252" w:rsidRPr="00405303" w:rsidRDefault="008A2252" w:rsidP="00C15251">
      <w:pPr>
        <w:jc w:val="both"/>
        <w:rPr>
          <w:bCs/>
          <w:color w:val="002060"/>
          <w:sz w:val="16"/>
          <w:szCs w:val="16"/>
        </w:rPr>
      </w:pPr>
      <w:r w:rsidRPr="00405303">
        <w:rPr>
          <w:bCs/>
          <w:color w:val="002060"/>
          <w:sz w:val="16"/>
          <w:szCs w:val="16"/>
        </w:rPr>
        <w:t xml:space="preserve">В июле 1915 г. в условиях общего отступления русских войск в Польше в составе ЭВК перелетел на а/д Лида (Гродненская губерния Белоруссии), однако противник </w:t>
      </w:r>
      <w:proofErr w:type="gramStart"/>
      <w:r w:rsidRPr="00405303">
        <w:rPr>
          <w:bCs/>
          <w:color w:val="002060"/>
          <w:sz w:val="16"/>
          <w:szCs w:val="16"/>
        </w:rPr>
        <w:t>продолжал наступать</w:t>
      </w:r>
      <w:proofErr w:type="gramEnd"/>
      <w:r w:rsidRPr="00405303">
        <w:rPr>
          <w:bCs/>
          <w:color w:val="002060"/>
          <w:sz w:val="16"/>
          <w:szCs w:val="16"/>
        </w:rPr>
        <w:t xml:space="preserve"> и эта база тоже оказалась под угрозой захвата и ЭВК была вновь перебазирована – в Псков.</w:t>
      </w:r>
    </w:p>
    <w:p w14:paraId="7CE27F1F" w14:textId="77777777" w:rsidR="008A2252" w:rsidRPr="00405303" w:rsidRDefault="008A2252" w:rsidP="00C15251">
      <w:pPr>
        <w:jc w:val="both"/>
        <w:rPr>
          <w:bCs/>
          <w:color w:val="002060"/>
          <w:sz w:val="16"/>
          <w:szCs w:val="16"/>
        </w:rPr>
      </w:pPr>
      <w:r w:rsidRPr="00405303">
        <w:rPr>
          <w:bCs/>
          <w:color w:val="002060"/>
          <w:sz w:val="16"/>
          <w:szCs w:val="16"/>
        </w:rPr>
        <w:t>В августе 1915 г. в Пскове с этого самолета был проведен опыт сбрасывания 25-пудовой (400 кг) бомбы.</w:t>
      </w:r>
    </w:p>
    <w:p w14:paraId="1833C266" w14:textId="77777777" w:rsidR="008A2252" w:rsidRPr="00405303" w:rsidRDefault="008A2252" w:rsidP="00C15251">
      <w:pPr>
        <w:jc w:val="both"/>
        <w:rPr>
          <w:bCs/>
          <w:color w:val="002060"/>
          <w:sz w:val="16"/>
          <w:szCs w:val="16"/>
        </w:rPr>
      </w:pPr>
      <w:r w:rsidRPr="00405303">
        <w:rPr>
          <w:bCs/>
          <w:color w:val="002060"/>
          <w:sz w:val="16"/>
          <w:szCs w:val="16"/>
        </w:rPr>
        <w:t>В сентябре 1915 г. корабль был направлен на а/д Зегевольд.</w:t>
      </w:r>
    </w:p>
    <w:p w14:paraId="14B57988" w14:textId="77777777" w:rsidR="008A2252" w:rsidRPr="00405303" w:rsidRDefault="008A2252" w:rsidP="00C15251">
      <w:pPr>
        <w:jc w:val="both"/>
        <w:rPr>
          <w:bCs/>
          <w:color w:val="002060"/>
          <w:sz w:val="16"/>
          <w:szCs w:val="16"/>
        </w:rPr>
      </w:pPr>
      <w:r w:rsidRPr="00405303">
        <w:rPr>
          <w:bCs/>
          <w:color w:val="002060"/>
          <w:sz w:val="16"/>
          <w:szCs w:val="16"/>
        </w:rPr>
        <w:t>17.09.15 г. (30.09.15 г. по н.ст.) корабль совершил первый боевой вылет.</w:t>
      </w:r>
    </w:p>
    <w:p w14:paraId="11040BE9" w14:textId="77777777" w:rsidR="008A2252" w:rsidRPr="00405303" w:rsidRDefault="008A2252" w:rsidP="00C15251">
      <w:pPr>
        <w:jc w:val="both"/>
        <w:rPr>
          <w:bCs/>
          <w:color w:val="002060"/>
          <w:sz w:val="16"/>
          <w:szCs w:val="16"/>
        </w:rPr>
      </w:pPr>
      <w:r w:rsidRPr="00405303">
        <w:rPr>
          <w:bCs/>
          <w:color w:val="002060"/>
          <w:sz w:val="16"/>
          <w:szCs w:val="16"/>
        </w:rPr>
        <w:t>В январе-феврале 1916 г. это был единственный боеспособный корабль ЭВК и за эти 2 месяца он сделал 4 вылета, сбросив 1440 кг бомб, летая с максимальной загрузкой. При этом была отмечена неспособность корабля идти на заданной боевой высоте 2500…3000 м, а ниже он мог быть легко настигнут самолетами противника и оказывался в зоне эффективного огня его артиллерии.</w:t>
      </w:r>
    </w:p>
    <w:p w14:paraId="63499148" w14:textId="77777777" w:rsidR="008A2252" w:rsidRPr="00405303" w:rsidRDefault="008A2252" w:rsidP="00C15251">
      <w:pPr>
        <w:jc w:val="both"/>
        <w:rPr>
          <w:bCs/>
          <w:color w:val="002060"/>
          <w:sz w:val="16"/>
          <w:szCs w:val="16"/>
        </w:rPr>
      </w:pPr>
      <w:r w:rsidRPr="00405303">
        <w:rPr>
          <w:bCs/>
          <w:color w:val="002060"/>
          <w:sz w:val="16"/>
          <w:szCs w:val="16"/>
        </w:rPr>
        <w:t>26.05.16 г. (08.06.16 г. по н.ст.) корабль совершил последний боевой вылет.</w:t>
      </w:r>
    </w:p>
    <w:p w14:paraId="1857545F" w14:textId="77777777" w:rsidR="008A2252" w:rsidRPr="00405303" w:rsidRDefault="008A2252" w:rsidP="00C15251">
      <w:pPr>
        <w:jc w:val="both"/>
        <w:rPr>
          <w:bCs/>
          <w:color w:val="002060"/>
          <w:sz w:val="16"/>
          <w:szCs w:val="16"/>
        </w:rPr>
      </w:pPr>
      <w:r w:rsidRPr="00405303">
        <w:rPr>
          <w:bCs/>
          <w:color w:val="002060"/>
          <w:sz w:val="16"/>
          <w:szCs w:val="16"/>
        </w:rPr>
        <w:t>Всего самолет совершил 17 боевых вылетов, прошел более 10000 км и сбросил около 300 бомб общим весом более 5424 кг (339 пудов) бомб.</w:t>
      </w:r>
    </w:p>
    <w:p w14:paraId="694C727D" w14:textId="77777777" w:rsidR="008A2252" w:rsidRPr="00405303" w:rsidRDefault="008A2252" w:rsidP="00C15251">
      <w:pPr>
        <w:jc w:val="both"/>
        <w:rPr>
          <w:bCs/>
          <w:color w:val="002060"/>
          <w:sz w:val="16"/>
          <w:szCs w:val="16"/>
          <w:lang w:bidi="en-US"/>
        </w:rPr>
      </w:pPr>
      <w:r w:rsidRPr="00405303">
        <w:rPr>
          <w:bCs/>
          <w:color w:val="002060"/>
          <w:sz w:val="16"/>
          <w:szCs w:val="16"/>
        </w:rPr>
        <w:t>Списан в июле 1916 г. (23563).</w:t>
      </w:r>
    </w:p>
    <w:p w14:paraId="34D1052B" w14:textId="77777777" w:rsidR="008A2252" w:rsidRPr="00405303" w:rsidRDefault="008A2252" w:rsidP="00C15251">
      <w:pPr>
        <w:jc w:val="both"/>
        <w:rPr>
          <w:bCs/>
          <w:color w:val="002060"/>
          <w:sz w:val="16"/>
          <w:szCs w:val="16"/>
          <w:lang w:bidi="en-US"/>
        </w:rPr>
      </w:pPr>
    </w:p>
    <w:p w14:paraId="15DE3FE2" w14:textId="77777777" w:rsidR="008A2252" w:rsidRPr="00405303" w:rsidRDefault="008A2252" w:rsidP="00C15251">
      <w:pPr>
        <w:jc w:val="both"/>
        <w:rPr>
          <w:bCs/>
          <w:color w:val="002060"/>
          <w:sz w:val="16"/>
          <w:szCs w:val="16"/>
        </w:rPr>
      </w:pPr>
      <w:r w:rsidRPr="00405303">
        <w:rPr>
          <w:bCs/>
          <w:color w:val="002060"/>
          <w:sz w:val="16"/>
          <w:szCs w:val="16"/>
        </w:rPr>
        <w:t>В июле 1915 года завод Засс-Ланского, который был основан в 1889 году в Петрограде для изготовления тарных ящиков, начали производство винтов и к концу 1916 года выпускали 100 винтов в месяц. К концу войны было изготовлено около 1132 экземпляров. В 1914 году было всего 50 рабочих, в 1915 году их число сократилось до 40, затем в 1916 году их стало 97, а в 1917 году - 110 человек (23525).</w:t>
      </w:r>
    </w:p>
    <w:p w14:paraId="0A456DB0" w14:textId="77777777" w:rsidR="008A2252" w:rsidRPr="00405303" w:rsidRDefault="008A2252" w:rsidP="00C15251">
      <w:pPr>
        <w:jc w:val="both"/>
        <w:rPr>
          <w:bCs/>
          <w:color w:val="002060"/>
          <w:sz w:val="16"/>
          <w:szCs w:val="16"/>
        </w:rPr>
      </w:pPr>
    </w:p>
    <w:p w14:paraId="2C19ED73"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79B7282B" w14:textId="77777777" w:rsidR="004B4E35" w:rsidRPr="00405303" w:rsidRDefault="004B4E35" w:rsidP="00C15251">
      <w:pPr>
        <w:jc w:val="both"/>
        <w:rPr>
          <w:bCs/>
          <w:i/>
          <w:color w:val="002060"/>
          <w:sz w:val="16"/>
          <w:szCs w:val="16"/>
        </w:rPr>
      </w:pPr>
    </w:p>
    <w:p w14:paraId="028D0032" w14:textId="77777777" w:rsidR="00CB317A" w:rsidRPr="00405303" w:rsidRDefault="00CB317A" w:rsidP="00C15251">
      <w:pPr>
        <w:jc w:val="both"/>
        <w:rPr>
          <w:bCs/>
          <w:color w:val="002060"/>
          <w:sz w:val="16"/>
          <w:szCs w:val="16"/>
        </w:rPr>
      </w:pPr>
      <w:r w:rsidRPr="00405303">
        <w:rPr>
          <w:bCs/>
          <w:color w:val="002060"/>
          <w:sz w:val="16"/>
          <w:szCs w:val="16"/>
        </w:rPr>
        <w:t>В июле 1915 г. с разрешения товарища морского министра через фирму «Импорт» для радиотелеграфной лаборатории были приобретены образцы новейших радиоприборов американской компании «де-Форест» (ламповые усилители, радиотелефонные ламповые передатчики и прочая аппаратуры на радиолампах) на сумму более 20 тыс. руб. Однако собственные разработки в области электровакуумной техники, которые осуществлялись под руководством В.И. Волынкина привели к началу выпуска продукции в промышленных масштабах только в декабре 1922 г. (18297)</w:t>
      </w:r>
    </w:p>
    <w:p w14:paraId="764D3A54" w14:textId="77777777" w:rsidR="00CB317A" w:rsidRPr="00405303" w:rsidRDefault="00CB317A" w:rsidP="00C15251">
      <w:pPr>
        <w:jc w:val="both"/>
        <w:rPr>
          <w:bCs/>
          <w:color w:val="002060"/>
          <w:sz w:val="16"/>
          <w:szCs w:val="16"/>
        </w:rPr>
      </w:pPr>
    </w:p>
    <w:p w14:paraId="0BC3A341" w14:textId="70991AB5" w:rsidR="004B4E35" w:rsidRPr="00405303" w:rsidRDefault="00D643A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w:t>
      </w:r>
      <w:r w:rsidR="009E6F82" w:rsidRPr="00405303">
        <w:rPr>
          <w:bCs/>
          <w:i w:val="0"/>
          <w:color w:val="002060"/>
          <w:spacing w:val="0"/>
          <w:kern w:val="0"/>
          <w:position w:val="0"/>
          <w:sz w:val="16"/>
          <w:szCs w:val="16"/>
        </w:rPr>
        <w:t xml:space="preserve"> июле 1915 </w:t>
      </w:r>
      <w:r w:rsidRPr="00405303">
        <w:rPr>
          <w:bCs/>
          <w:i w:val="0"/>
          <w:color w:val="002060"/>
          <w:spacing w:val="0"/>
          <w:kern w:val="0"/>
          <w:position w:val="0"/>
          <w:sz w:val="16"/>
          <w:szCs w:val="16"/>
        </w:rPr>
        <w:t xml:space="preserve">ген.-инспектор вызвал тогда недовольство главковерха своим докладом о предстоящем </w:t>
      </w:r>
      <w:r w:rsidR="009E6F82" w:rsidRPr="00405303">
        <w:rPr>
          <w:bCs/>
          <w:i w:val="0"/>
          <w:color w:val="002060"/>
          <w:spacing w:val="0"/>
          <w:kern w:val="0"/>
          <w:position w:val="0"/>
          <w:sz w:val="16"/>
          <w:szCs w:val="16"/>
        </w:rPr>
        <w:t xml:space="preserve">уменьшении подачи пушечных патронов на фронт за израсходованном всех дистанционных трубок и о невозможности усиления в желанный срок производства ружей и гранат. </w:t>
      </w:r>
    </w:p>
    <w:p w14:paraId="6B5AAD0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 этому поводу наштаверх ген. Янушкевич писал Поливанову: "В. князь С. М. обещал уменьшение на июль, так как израсходованы будто бы 22-сек, трубки. С. М. немного упрямо смотрит на усиление производства ружей и гранат. Верховный поручил просить вас взять это в свои руки и непременно приказать сделать (просьба не поможет). Раз задержка с дистанционными трубками - надо давать гранат: они будут срывать немецкие окопы..." </w:t>
      </w:r>
    </w:p>
    <w:p w14:paraId="10AD037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Письмо это характеризует отсутствие понимания не только сложных сторон производства предметов артснабжения, но и простой техники прменения артиллерии (76-мм граната не может заменить шрапнель для поражения живых целей, а для срытия окопов мало пригодна) (11483).</w:t>
      </w:r>
    </w:p>
    <w:p w14:paraId="586BCEB7" w14:textId="77777777" w:rsidR="004B4E35" w:rsidRPr="00405303" w:rsidRDefault="004B4E35" w:rsidP="00C15251">
      <w:pPr>
        <w:pStyle w:val="a3"/>
        <w:jc w:val="both"/>
        <w:rPr>
          <w:bCs/>
          <w:i w:val="0"/>
          <w:color w:val="002060"/>
          <w:spacing w:val="0"/>
          <w:kern w:val="0"/>
          <w:position w:val="0"/>
          <w:sz w:val="16"/>
          <w:szCs w:val="16"/>
        </w:rPr>
      </w:pPr>
    </w:p>
    <w:p w14:paraId="3AE6296F" w14:textId="4C3A5C70"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В июле 1915 г. </w:t>
      </w:r>
      <w:r w:rsidR="00D643AE" w:rsidRPr="00405303">
        <w:rPr>
          <w:bCs/>
          <w:color w:val="002060"/>
          <w:sz w:val="16"/>
          <w:szCs w:val="16"/>
        </w:rPr>
        <w:t>созданное в мае 1915 г. Особое совещание по усилению артиллерийского снабжения действующей армии,</w:t>
      </w:r>
      <w:r w:rsidRPr="00405303">
        <w:rPr>
          <w:bCs/>
          <w:color w:val="002060"/>
          <w:sz w:val="16"/>
          <w:szCs w:val="16"/>
        </w:rPr>
        <w:t xml:space="preserve"> было преобразовано в Особое совещание для объединения мероприятий по обеспечению действующей армии предметами боевого и материального снабжения. Затем в августе 1915 г. были созданы четыре особых совещания: по обороне, топли</w:t>
      </w:r>
      <w:r w:rsidRPr="00405303">
        <w:rPr>
          <w:bCs/>
          <w:color w:val="002060"/>
          <w:sz w:val="16"/>
          <w:szCs w:val="16"/>
        </w:rPr>
        <w:softHyphen/>
        <w:t>ву, перевозкам и продовольствию. Главным среди них было Особое совещание по обороне, председателем которого был военный ми</w:t>
      </w:r>
      <w:r w:rsidRPr="00405303">
        <w:rPr>
          <w:bCs/>
          <w:color w:val="002060"/>
          <w:sz w:val="16"/>
          <w:szCs w:val="16"/>
        </w:rPr>
        <w:softHyphen/>
        <w:t xml:space="preserve">нистр. Вплоть до Февральской революции 1917 г. Особое совещание по обороне являлось «высшим государственным установлением», осуществлявшим мобилизацию всей промышленности, организацию ее работы </w:t>
      </w:r>
      <w:proofErr w:type="gramStart"/>
      <w:r w:rsidRPr="00405303">
        <w:rPr>
          <w:bCs/>
          <w:color w:val="002060"/>
          <w:sz w:val="16"/>
          <w:szCs w:val="16"/>
        </w:rPr>
        <w:t>по боевому</w:t>
      </w:r>
      <w:proofErr w:type="gramEnd"/>
      <w:r w:rsidRPr="00405303">
        <w:rPr>
          <w:bCs/>
          <w:color w:val="002060"/>
          <w:sz w:val="16"/>
          <w:szCs w:val="16"/>
        </w:rPr>
        <w:t xml:space="preserve"> и материальному снабжению армии [6, с. 71].</w:t>
      </w:r>
    </w:p>
    <w:p w14:paraId="2AD050D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Наряду с Особым совещанием по обороне известную роль в мо</w:t>
      </w:r>
      <w:r w:rsidRPr="00405303">
        <w:rPr>
          <w:bCs/>
          <w:color w:val="002060"/>
          <w:sz w:val="16"/>
          <w:szCs w:val="16"/>
        </w:rPr>
        <w:softHyphen/>
        <w:t>билизации средней и мелкой промышленности на выполнение воен</w:t>
      </w:r>
      <w:r w:rsidRPr="00405303">
        <w:rPr>
          <w:bCs/>
          <w:color w:val="002060"/>
          <w:sz w:val="16"/>
          <w:szCs w:val="16"/>
        </w:rPr>
        <w:softHyphen/>
        <w:t>ных заказов сыграли Военно-промышленные комитеты (ВПК), ко</w:t>
      </w:r>
      <w:r w:rsidRPr="00405303">
        <w:rPr>
          <w:bCs/>
          <w:color w:val="002060"/>
          <w:sz w:val="16"/>
          <w:szCs w:val="16"/>
        </w:rPr>
        <w:softHyphen/>
        <w:t>торые представляли собой общественные организации, созданные в 1915 г. по решению 9-го Всероссийского съезда представителей тор</w:t>
      </w:r>
      <w:r w:rsidRPr="00405303">
        <w:rPr>
          <w:bCs/>
          <w:color w:val="002060"/>
          <w:sz w:val="16"/>
          <w:szCs w:val="16"/>
        </w:rPr>
        <w:softHyphen/>
        <w:t>говли и промышленности для содействия правительству «в деле снабжения армии и флота всеми необходимыми предметами снаря</w:t>
      </w:r>
      <w:r w:rsidRPr="00405303">
        <w:rPr>
          <w:bCs/>
          <w:color w:val="002060"/>
          <w:sz w:val="16"/>
          <w:szCs w:val="16"/>
        </w:rPr>
        <w:softHyphen/>
        <w:t>жения и довольствия». Создавая ВПК, промышленники стремились взять руководство экономикой в свои руки, но встретили противодействие царского правительства. ВПК стали лишь посредниками между государством и частной промышленностью (5484).</w:t>
      </w:r>
    </w:p>
    <w:p w14:paraId="14B9B620" w14:textId="77777777" w:rsidR="004B4E35" w:rsidRPr="00405303" w:rsidRDefault="004B4E35" w:rsidP="00C15251">
      <w:pPr>
        <w:shd w:val="clear" w:color="auto" w:fill="FFFFFF"/>
        <w:jc w:val="both"/>
        <w:rPr>
          <w:bCs/>
          <w:color w:val="002060"/>
          <w:sz w:val="16"/>
          <w:szCs w:val="16"/>
        </w:rPr>
      </w:pPr>
    </w:p>
    <w:p w14:paraId="338CACB0" w14:textId="5750C566" w:rsidR="004B4E35" w:rsidRPr="00405303" w:rsidRDefault="00D643AE" w:rsidP="00C15251">
      <w:pPr>
        <w:shd w:val="clear" w:color="auto" w:fill="FFFFFF"/>
        <w:jc w:val="both"/>
        <w:rPr>
          <w:bCs/>
          <w:color w:val="002060"/>
          <w:sz w:val="16"/>
          <w:szCs w:val="16"/>
        </w:rPr>
      </w:pPr>
      <w:r w:rsidRPr="00405303">
        <w:rPr>
          <w:bCs/>
          <w:color w:val="002060"/>
          <w:sz w:val="16"/>
          <w:szCs w:val="16"/>
        </w:rPr>
        <w:t>З</w:t>
      </w:r>
      <w:r w:rsidR="009E6F82" w:rsidRPr="00405303">
        <w:rPr>
          <w:bCs/>
          <w:color w:val="002060"/>
          <w:sz w:val="16"/>
          <w:szCs w:val="16"/>
        </w:rPr>
        <w:t>а февраль—июль 1915 г. были приняты реше</w:t>
      </w:r>
      <w:r w:rsidR="009E6F82" w:rsidRPr="00405303">
        <w:rPr>
          <w:bCs/>
          <w:color w:val="002060"/>
          <w:sz w:val="16"/>
          <w:szCs w:val="16"/>
        </w:rPr>
        <w:softHyphen/>
        <w:t>ния, предусматривавшие увеличение производства пороха более чем в 3 раза по сравнению с довоенным уровнем — от 290 до 910 тыс. пу</w:t>
      </w:r>
      <w:r w:rsidR="009E6F82" w:rsidRPr="00405303">
        <w:rPr>
          <w:bCs/>
          <w:color w:val="002060"/>
          <w:sz w:val="16"/>
          <w:szCs w:val="16"/>
        </w:rPr>
        <w:softHyphen/>
        <w:t>дов, в том числе на Охтинском заводе — до 210 тыс., на Казанском и Шосткинском — до 350 тыс. пудов на каждом [42, с. 442] (5484).</w:t>
      </w:r>
    </w:p>
    <w:p w14:paraId="36C9A538" w14:textId="77777777" w:rsidR="004B4E35" w:rsidRPr="00405303" w:rsidRDefault="004B4E35" w:rsidP="00C15251">
      <w:pPr>
        <w:shd w:val="clear" w:color="auto" w:fill="FFFFFF"/>
        <w:jc w:val="both"/>
        <w:rPr>
          <w:bCs/>
          <w:color w:val="002060"/>
          <w:sz w:val="16"/>
          <w:szCs w:val="16"/>
        </w:rPr>
      </w:pPr>
    </w:p>
    <w:p w14:paraId="70D4218B" w14:textId="585B9574" w:rsidR="004B4E35" w:rsidRPr="00405303" w:rsidRDefault="00D643AE"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июле 1915 г. для выработки хлора и ацетона</w:t>
      </w:r>
      <w:r w:rsidRPr="00405303">
        <w:rPr>
          <w:bCs/>
          <w:color w:val="002060"/>
          <w:sz w:val="16"/>
          <w:szCs w:val="16"/>
        </w:rPr>
        <w:t xml:space="preserve"> приказом главнокомандующего </w:t>
      </w:r>
      <w:r w:rsidR="0016688C" w:rsidRPr="00405303">
        <w:rPr>
          <w:bCs/>
          <w:color w:val="002060"/>
          <w:sz w:val="16"/>
          <w:szCs w:val="16"/>
        </w:rPr>
        <w:t xml:space="preserve">был организован </w:t>
      </w:r>
      <w:r w:rsidRPr="00405303">
        <w:rPr>
          <w:bCs/>
          <w:color w:val="002060"/>
          <w:sz w:val="16"/>
          <w:szCs w:val="16"/>
        </w:rPr>
        <w:t>Глобинский военно-химический завод (Донецкий бассейн)</w:t>
      </w:r>
      <w:r w:rsidR="009E6F82" w:rsidRPr="00405303">
        <w:rPr>
          <w:bCs/>
          <w:color w:val="002060"/>
          <w:sz w:val="16"/>
          <w:szCs w:val="16"/>
        </w:rPr>
        <w:t xml:space="preserve">. В октябре 1915 г. был передан в ведение ГАУ. Оно предприняло переоборудование завода для выработки в год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1356"/>
      </w:tblGrid>
      <w:tr w:rsidR="004B4E35" w:rsidRPr="00405303" w14:paraId="0EAADA9E" w14:textId="77777777">
        <w:tc>
          <w:tcPr>
            <w:tcW w:w="2472" w:type="dxa"/>
          </w:tcPr>
          <w:p w14:paraId="1517C749" w14:textId="77777777" w:rsidR="004B4E35" w:rsidRPr="00405303" w:rsidRDefault="009E6F82" w:rsidP="00C15251">
            <w:pPr>
              <w:jc w:val="both"/>
              <w:rPr>
                <w:bCs/>
                <w:color w:val="002060"/>
                <w:sz w:val="16"/>
                <w:szCs w:val="16"/>
              </w:rPr>
            </w:pPr>
            <w:r w:rsidRPr="00405303">
              <w:rPr>
                <w:bCs/>
                <w:color w:val="002060"/>
                <w:sz w:val="16"/>
                <w:szCs w:val="16"/>
              </w:rPr>
              <w:t>фосгена</w:t>
            </w:r>
          </w:p>
        </w:tc>
        <w:tc>
          <w:tcPr>
            <w:tcW w:w="1356" w:type="dxa"/>
          </w:tcPr>
          <w:p w14:paraId="4C4503AD" w14:textId="77777777" w:rsidR="004B4E35" w:rsidRPr="00405303" w:rsidRDefault="009E6F82" w:rsidP="00C15251">
            <w:pPr>
              <w:jc w:val="both"/>
              <w:rPr>
                <w:bCs/>
                <w:color w:val="002060"/>
                <w:sz w:val="16"/>
                <w:szCs w:val="16"/>
              </w:rPr>
            </w:pPr>
            <w:r w:rsidRPr="00405303">
              <w:rPr>
                <w:bCs/>
                <w:color w:val="002060"/>
                <w:sz w:val="16"/>
                <w:szCs w:val="16"/>
              </w:rPr>
              <w:t xml:space="preserve">20 000 </w:t>
            </w:r>
          </w:p>
        </w:tc>
      </w:tr>
      <w:tr w:rsidR="004B4E35" w:rsidRPr="00405303" w14:paraId="0D8C37BA" w14:textId="77777777">
        <w:tc>
          <w:tcPr>
            <w:tcW w:w="2472" w:type="dxa"/>
          </w:tcPr>
          <w:p w14:paraId="4B919FE9" w14:textId="77777777" w:rsidR="004B4E35" w:rsidRPr="00405303" w:rsidRDefault="009E6F82" w:rsidP="00C15251">
            <w:pPr>
              <w:jc w:val="both"/>
              <w:rPr>
                <w:bCs/>
                <w:color w:val="002060"/>
                <w:sz w:val="16"/>
                <w:szCs w:val="16"/>
              </w:rPr>
            </w:pPr>
            <w:r w:rsidRPr="00405303">
              <w:rPr>
                <w:bCs/>
                <w:color w:val="002060"/>
                <w:sz w:val="16"/>
                <w:szCs w:val="16"/>
              </w:rPr>
              <w:lastRenderedPageBreak/>
              <w:t>хлорпикрина</w:t>
            </w:r>
          </w:p>
        </w:tc>
        <w:tc>
          <w:tcPr>
            <w:tcW w:w="1356" w:type="dxa"/>
          </w:tcPr>
          <w:p w14:paraId="2CB0968C" w14:textId="77777777" w:rsidR="004B4E35" w:rsidRPr="00405303" w:rsidRDefault="009E6F82" w:rsidP="00C15251">
            <w:pPr>
              <w:jc w:val="both"/>
              <w:rPr>
                <w:bCs/>
                <w:color w:val="002060"/>
                <w:sz w:val="16"/>
                <w:szCs w:val="16"/>
              </w:rPr>
            </w:pPr>
            <w:r w:rsidRPr="00405303">
              <w:rPr>
                <w:bCs/>
                <w:color w:val="002060"/>
                <w:sz w:val="16"/>
                <w:szCs w:val="16"/>
              </w:rPr>
              <w:t xml:space="preserve">7 000 </w:t>
            </w:r>
          </w:p>
        </w:tc>
      </w:tr>
    </w:tbl>
    <w:p w14:paraId="57429D41" w14:textId="77777777" w:rsidR="004B4E35" w:rsidRPr="00405303" w:rsidRDefault="009E6F82" w:rsidP="00C15251">
      <w:pPr>
        <w:jc w:val="both"/>
        <w:rPr>
          <w:bCs/>
          <w:color w:val="002060"/>
          <w:sz w:val="16"/>
          <w:szCs w:val="16"/>
        </w:rPr>
      </w:pPr>
      <w:r w:rsidRPr="00405303">
        <w:rPr>
          <w:bCs/>
          <w:color w:val="002060"/>
          <w:sz w:val="16"/>
          <w:szCs w:val="16"/>
        </w:rPr>
        <w:t xml:space="preserve">Стоимость переоборудования определена в 450 000 рублей. К концу 1916 г. переоборудование было закончено, и в 1917 г. завод начал работы. В 1918 г. ликвидирован и передан Украинскому СНХ. </w:t>
      </w:r>
    </w:p>
    <w:p w14:paraId="3197B9C7" w14:textId="77777777" w:rsidR="004B4E35" w:rsidRPr="00405303" w:rsidRDefault="004B4E35" w:rsidP="00C15251">
      <w:pPr>
        <w:pStyle w:val="2"/>
        <w:spacing w:before="0" w:after="0"/>
        <w:jc w:val="both"/>
        <w:rPr>
          <w:rStyle w:val="12"/>
          <w:b w:val="0"/>
          <w:bCs/>
          <w:i w:val="0"/>
          <w:color w:val="002060"/>
          <w:sz w:val="16"/>
          <w:szCs w:val="16"/>
        </w:rPr>
      </w:pPr>
    </w:p>
    <w:p w14:paraId="769C4B0F" w14:textId="39E18003"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июле 1915 г. распоряжением главковерха (приказ № 625) в районе Юго-западного фронта </w:t>
      </w:r>
      <w:r w:rsidR="0016688C" w:rsidRPr="00405303">
        <w:rPr>
          <w:bCs/>
          <w:i w:val="0"/>
          <w:color w:val="002060"/>
          <w:spacing w:val="0"/>
          <w:kern w:val="0"/>
          <w:position w:val="0"/>
          <w:sz w:val="16"/>
          <w:szCs w:val="16"/>
        </w:rPr>
        <w:t xml:space="preserve">был организован </w:t>
      </w:r>
      <w:r w:rsidRPr="00405303">
        <w:rPr>
          <w:bCs/>
          <w:i w:val="0"/>
          <w:color w:val="002060"/>
          <w:spacing w:val="0"/>
          <w:kern w:val="0"/>
          <w:position w:val="0"/>
          <w:sz w:val="16"/>
          <w:szCs w:val="16"/>
        </w:rPr>
        <w:t xml:space="preserve">военно-химическпй завод для выработки хлорацетона, вызывающего слезотечение. До ноября 1915 г. завод находился в ведении начальника инженерных снабжений фронта, а затем поступил в распоряжение ГАУ, которое расширило завод, устроило в нем лабораторию и установило производство </w:t>
      </w:r>
      <w:proofErr w:type="gramStart"/>
      <w:r w:rsidRPr="00405303">
        <w:rPr>
          <w:bCs/>
          <w:i w:val="0"/>
          <w:color w:val="002060"/>
          <w:spacing w:val="0"/>
          <w:kern w:val="0"/>
          <w:position w:val="0"/>
          <w:sz w:val="16"/>
          <w:szCs w:val="16"/>
        </w:rPr>
        <w:t>хлор-пикрина</w:t>
      </w:r>
      <w:proofErr w:type="gramEnd"/>
      <w:r w:rsidRPr="00405303">
        <w:rPr>
          <w:bCs/>
          <w:i w:val="0"/>
          <w:color w:val="002060"/>
          <w:spacing w:val="0"/>
          <w:kern w:val="0"/>
          <w:position w:val="0"/>
          <w:sz w:val="16"/>
          <w:szCs w:val="16"/>
        </w:rPr>
        <w:t xml:space="preserve"> (11483).</w:t>
      </w:r>
    </w:p>
    <w:p w14:paraId="64F869F9" w14:textId="77777777" w:rsidR="004B4E35" w:rsidRPr="00405303" w:rsidRDefault="004B4E35" w:rsidP="00C15251">
      <w:pPr>
        <w:pStyle w:val="a3"/>
        <w:jc w:val="both"/>
        <w:rPr>
          <w:bCs/>
          <w:i w:val="0"/>
          <w:color w:val="002060"/>
          <w:spacing w:val="0"/>
          <w:kern w:val="0"/>
          <w:position w:val="0"/>
          <w:sz w:val="16"/>
          <w:szCs w:val="16"/>
        </w:rPr>
      </w:pPr>
    </w:p>
    <w:p w14:paraId="2906590A" w14:textId="77777777" w:rsidR="004B4E35" w:rsidRPr="00405303" w:rsidRDefault="009E6F82" w:rsidP="00C15251">
      <w:pPr>
        <w:jc w:val="both"/>
        <w:rPr>
          <w:bCs/>
          <w:color w:val="002060"/>
          <w:sz w:val="16"/>
          <w:szCs w:val="16"/>
        </w:rPr>
      </w:pPr>
      <w:r w:rsidRPr="00405303">
        <w:rPr>
          <w:bCs/>
          <w:color w:val="002060"/>
          <w:sz w:val="16"/>
          <w:szCs w:val="16"/>
        </w:rPr>
        <w:t>В июле 1915 г. производство серной кислоты в России упало до 700 тыс. пуд. в месяц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Пг., 1921.). После летнего 1915 г. отступления русской армии заводы, расположенные в Польше, оказались захваченными противником, а заводы Рижского района - эвакуированными. Два эти района давали вместе 500 тыс. пуд. серной кислоты в месяц, их потеря вызвала кризис в химической промышленности и грозила сокращением производства взрывчатых веществ. Чтобы как можно быстрее выяснить возможность увеличения добычи серного колчедана на Урале и строительства новых сернокислотных заводов, Ипатьев летом 1915 г. собрал в Петрограде российских производителей серной кислоты и владельцев серноколчеданных рудников и предложил им в двухнедельный срок представить свои соображения, сметы и обоснованные цены на двухгодичный контракт (РГВИА, ф. 504, оп. 17, д. 26, л. 4.). В это же время Ипатьев внес в Особое совещание по обороне представление о поручении Комиссии по заготовке взрывчатых веществ организовать производство минеральных кислот в России на русских колчеданах. Комиссия просила разрешение на организацию строительства новых и реорганизацию старых заводов, а также на право наблюдать за правильным распределением серной кислоты по заводам, работающим как на оборону, так и для частных нужд. Предполагалось открыть Петроградское, Московское, Уральское, Кавказское, Южное, Верхне-Волжское и Казанское районные бюро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Пг., 1921.). Особое совещание по обороне утвердило представленный доклад и поручило Комиссии в кратчайший срок организовать добычу колчедана и производство серной кислоты. В июне 1915 г. съезд владельцев колчеданных рудников и заводчиков сернокислотных предприятий наметил вполне приемлемую для казны программу расширения добычи колчеданов и производства серной кислоты. В основу всех расчетов была положена цена на колчедан в 30 коп. за пуд. Летом и осенью 1915 г. началось строительство около 20 новых сернокислотных заводов. Оно должно было завершиться через год, но уже к январю 1916 г. производство серной кислоты увеличилось до 1 млн пуд. в месяц, а к марту 1916 г. было уже выработано 1,3 млн пуд.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Пг., 1921.) (11781).</w:t>
      </w:r>
    </w:p>
    <w:p w14:paraId="73929777" w14:textId="77777777" w:rsidR="004B4E35" w:rsidRPr="00405303" w:rsidRDefault="004B4E35" w:rsidP="00C15251">
      <w:pPr>
        <w:jc w:val="both"/>
        <w:rPr>
          <w:bCs/>
          <w:color w:val="002060"/>
          <w:sz w:val="16"/>
          <w:szCs w:val="16"/>
        </w:rPr>
      </w:pPr>
    </w:p>
    <w:p w14:paraId="59C9B15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июле 1915 г. был подготовлен Список наиболее крупных заводов, работающих по заказам Главного военно-технического управления</w:t>
      </w:r>
    </w:p>
    <w:p w14:paraId="29A4E28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Заводы, расположенные в Петрограде и его окрестностях</w:t>
      </w:r>
    </w:p>
    <w:p w14:paraId="3592DD9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Акционерное общество «Сименс и Гальске».</w:t>
      </w:r>
    </w:p>
    <w:p w14:paraId="5E4B921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 Русское общество беспроволочных телеграфов и телефонов.</w:t>
      </w:r>
    </w:p>
    <w:p w14:paraId="14306AF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 Акционерное общество «Н. К. Гейслер и К°».</w:t>
      </w:r>
    </w:p>
    <w:p w14:paraId="2083CA0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 Акционерное общество «Л. М. Эриксон и К°».</w:t>
      </w:r>
    </w:p>
    <w:p w14:paraId="7AE9B7D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 Акционерное общество «Сименс—Шуккерт».</w:t>
      </w:r>
    </w:p>
    <w:p w14:paraId="733EC2B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 Акционерное общество электромеханических сооружений (бывший «Дюфлон, Константинович и К°»).</w:t>
      </w:r>
    </w:p>
    <w:p w14:paraId="49C1D4C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 Невский судостроительный завод.</w:t>
      </w:r>
    </w:p>
    <w:p w14:paraId="2C0DBE5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 Путиловский завод.</w:t>
      </w:r>
    </w:p>
    <w:p w14:paraId="264B47A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 Петроградский вагоностроительный завод.</w:t>
      </w:r>
    </w:p>
    <w:p w14:paraId="3109834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 Петроградский механический и литейный завод.</w:t>
      </w:r>
    </w:p>
    <w:p w14:paraId="54FEF77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11. Русское общество для изготовления снарядов и военных припасов.</w:t>
      </w:r>
    </w:p>
    <w:p w14:paraId="5467750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12. Акционерное общество «Соединенные кабельные заводы».</w:t>
      </w:r>
    </w:p>
    <w:p w14:paraId="20026D1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13. Завод Петичева. Кабельное производство.</w:t>
      </w:r>
    </w:p>
    <w:p w14:paraId="1820888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14. Донецке-Юрьевское металлургическое общество.</w:t>
      </w:r>
    </w:p>
    <w:p w14:paraId="3322E6E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 Завод К. Шпигель. Лопаты.</w:t>
      </w:r>
    </w:p>
    <w:p w14:paraId="5D0124C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16. Завод Осипова. Кожевенное производство.</w:t>
      </w:r>
    </w:p>
    <w:p w14:paraId="0FECBF9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17. Завод Виннера. Пороховой завод.</w:t>
      </w:r>
    </w:p>
    <w:p w14:paraId="087F8AE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18. Товарищество «Треугольник».</w:t>
      </w:r>
    </w:p>
    <w:p w14:paraId="20019C5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 Завод Посселя.</w:t>
      </w:r>
    </w:p>
    <w:p w14:paraId="78D75AD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 Завод акционерного общества «Промет». Прожекторные станции.</w:t>
      </w:r>
    </w:p>
    <w:p w14:paraId="78C4F4D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21. Завод Лангензипен.</w:t>
      </w:r>
    </w:p>
    <w:p w14:paraId="36F2F82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22. Канатная фабрика «Гот».</w:t>
      </w:r>
    </w:p>
    <w:p w14:paraId="22262A9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23. Канатная фабрика «Нева».</w:t>
      </w:r>
    </w:p>
    <w:p w14:paraId="2D3B939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24. Сампсониевское акционерное общество. Кожевенное производство.</w:t>
      </w:r>
    </w:p>
    <w:p w14:paraId="619A6B1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25. Петроградское акционерное общество кожевенного производства.</w:t>
      </w:r>
    </w:p>
    <w:p w14:paraId="7C0C0E2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26. Русско-Балтийский воздухоплавательный завод.</w:t>
      </w:r>
    </w:p>
    <w:p w14:paraId="7587C71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27. Первое Российское товарищество воздухоплавания С.С. Щетинина.</w:t>
      </w:r>
    </w:p>
    <w:p w14:paraId="74EE480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28. Акционерное общество воздухоплавания В.А. Лебедева.</w:t>
      </w:r>
    </w:p>
    <w:p w14:paraId="744DF9B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29. Завод воздушных винтов «Интеграл».</w:t>
      </w:r>
    </w:p>
    <w:p w14:paraId="6E713B0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Провинциальные заводы</w:t>
      </w:r>
    </w:p>
    <w:p w14:paraId="08F2E7F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 Верхневолжский завод в Твери.</w:t>
      </w:r>
    </w:p>
    <w:p w14:paraId="69B8E56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31. Акционерное общество «Аксай» в Нахичевани н/Д.</w:t>
      </w:r>
    </w:p>
    <w:p w14:paraId="7544E2D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32. Бьернеборгский завод в Бьернеборге (Финляндия).</w:t>
      </w:r>
    </w:p>
    <w:p w14:paraId="6EBEAD0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33. Акционерное общество «Бильнес» в гор. Бильнес (Финляндия).</w:t>
      </w:r>
    </w:p>
    <w:p w14:paraId="24004FB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34. "Общество «Бр. Бромлей» в Москве.</w:t>
      </w:r>
    </w:p>
    <w:p w14:paraId="3AFFE50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35. Златоустовский завод Уфимской губ.</w:t>
      </w:r>
    </w:p>
    <w:p w14:paraId="0602B99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36. Общество русских трубопрокатных заводов в Екатеринославе.</w:t>
      </w:r>
    </w:p>
    <w:p w14:paraId="3197244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37. Сормовский завод в Сормове Нижегородской губ.</w:t>
      </w:r>
    </w:p>
    <w:p w14:paraId="0E57C81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38. Коломенский машиностроительный завод в Голутвине Московско-Казанской железной дороги.</w:t>
      </w:r>
    </w:p>
    <w:p w14:paraId="58A4878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39. Акционерное общество «Поставщик» в Москве. Кожевенное производство.</w:t>
      </w:r>
    </w:p>
    <w:p w14:paraId="3AEF359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40. «Г. Волк и К°» в Москве. То же.</w:t>
      </w:r>
    </w:p>
    <w:p w14:paraId="05E7672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41. Алафузовские заводы в Казани. То же.</w:t>
      </w:r>
    </w:p>
    <w:p w14:paraId="196DFF3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42. Акционерное общество «Русские кабельные и металлопрокатные заводы» в Москве.</w:t>
      </w:r>
    </w:p>
    <w:p w14:paraId="2BE4C0F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43. Завод товарищества «Алексеев, Вишняков и Шамшин» в Москве. Кабельный.</w:t>
      </w:r>
    </w:p>
    <w:p w14:paraId="01CB915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44. Товарищество заводов Кольчугина, ст. Келлерово Северной железной дороги. Кабельный.</w:t>
      </w:r>
    </w:p>
    <w:p w14:paraId="799430C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45. Завод «Демент и сын» в Москве. Кожевенный.</w:t>
      </w:r>
    </w:p>
    <w:p w14:paraId="4520A25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46. Завод «Динамо» в Москве. Механический.</w:t>
      </w:r>
    </w:p>
    <w:p w14:paraId="1000657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47. Русско-Бельгийский патронный завод в Москве.</w:t>
      </w:r>
    </w:p>
    <w:p w14:paraId="7A41E7E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48. Акционерное общество «Нижегородский теплоход» в Нижнем Новгороде.</w:t>
      </w:r>
    </w:p>
    <w:p w14:paraId="4D6AD9B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49. Завод «Шла» в Екатеринославе.</w:t>
      </w:r>
    </w:p>
    <w:p w14:paraId="173030D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50. Машиностроительное акционерное общество в Гельсингфорсе.</w:t>
      </w:r>
    </w:p>
    <w:p w14:paraId="2ECF0B7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51. Завод «Богатырь» в Москве. Резиновое [производство].</w:t>
      </w:r>
    </w:p>
    <w:p w14:paraId="57F6A54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52. Завод «Гриевз и К°» в Бердянске.</w:t>
      </w:r>
    </w:p>
    <w:p w14:paraId="2C2F434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53. Завод бр. Первовых, с. Смоленское Нижегородской губ.</w:t>
      </w:r>
    </w:p>
    <w:p w14:paraId="2C33B96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54. Завод «Ген» в Одессе. Механический и литейный.</w:t>
      </w:r>
    </w:p>
    <w:p w14:paraId="575C856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55. Завод «Добровых и Набгольц» в Нижнем Новгороде и Москве. Механические заводы.</w:t>
      </w:r>
    </w:p>
    <w:p w14:paraId="13758F5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56. Акционерное общество «Дукс» Ю. А. Меллера в Москве. Авиационный.</w:t>
      </w:r>
    </w:p>
    <w:p w14:paraId="2009B44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57. Общество моторов «Гном и Рон» в Москве.</w:t>
      </w:r>
    </w:p>
    <w:p w14:paraId="2F57062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58. Завод авиационных двигателей «Мотор» в Москве.</w:t>
      </w:r>
    </w:p>
    <w:p w14:paraId="3893DCA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59. Аэропланный завод А. А. Анатра в Одессе.</w:t>
      </w:r>
    </w:p>
    <w:p w14:paraId="1B84243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60. Аэропланный завод Ф. Ф. Терещенко в с. Червонном Волынской губ.</w:t>
      </w:r>
    </w:p>
    <w:p w14:paraId="376E4B5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Вр. и. об. заведующего инженерными приемками полковник [Юшкевич] РГВИА. Ф. 369. Оп. 1. Д. 98. Л. 19-20. Подлинник (10707).</w:t>
      </w:r>
    </w:p>
    <w:p w14:paraId="1D4E1284" w14:textId="77777777" w:rsidR="004B4E35" w:rsidRPr="00405303" w:rsidRDefault="004B4E35" w:rsidP="00C15251">
      <w:pPr>
        <w:shd w:val="clear" w:color="auto" w:fill="FFFFFF"/>
        <w:jc w:val="both"/>
        <w:rPr>
          <w:bCs/>
          <w:color w:val="002060"/>
          <w:sz w:val="16"/>
          <w:szCs w:val="16"/>
        </w:rPr>
      </w:pPr>
    </w:p>
    <w:p w14:paraId="29517925" w14:textId="49BD05E7" w:rsidR="004B4E35" w:rsidRPr="00405303" w:rsidRDefault="0016688C"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w:t>
      </w:r>
      <w:r w:rsidR="009E6F82" w:rsidRPr="00405303">
        <w:rPr>
          <w:bCs/>
          <w:i w:val="0"/>
          <w:color w:val="002060"/>
          <w:spacing w:val="0"/>
          <w:kern w:val="0"/>
          <w:position w:val="0"/>
          <w:sz w:val="16"/>
          <w:szCs w:val="16"/>
        </w:rPr>
        <w:t xml:space="preserve"> июле 1915 г., когда военное ведомство предложило взять заказы «на предметы вооружения, шанцевые предметы и на предметы конского и обозного снаряжения»</w:t>
      </w:r>
      <w:r w:rsidRPr="00405303">
        <w:rPr>
          <w:bCs/>
          <w:i w:val="0"/>
          <w:color w:val="002060"/>
          <w:spacing w:val="0"/>
          <w:kern w:val="0"/>
          <w:position w:val="0"/>
          <w:sz w:val="16"/>
          <w:szCs w:val="16"/>
        </w:rPr>
        <w:t>, определилось основное направление деятельности Главного комитета по снабжению армии Земгора и он приступил к своим обязанностям</w:t>
      </w:r>
      <w:r w:rsidR="009E6F82" w:rsidRPr="00405303">
        <w:rPr>
          <w:bCs/>
          <w:i w:val="0"/>
          <w:color w:val="002060"/>
          <w:spacing w:val="0"/>
          <w:kern w:val="0"/>
          <w:position w:val="0"/>
          <w:sz w:val="16"/>
          <w:szCs w:val="16"/>
        </w:rPr>
        <w:t>. Все заказы, получаемые Земгором от военного ведомства, можно разделить на три основных направления:</w:t>
      </w:r>
    </w:p>
    <w:p w14:paraId="35A14A3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1) предметы обозного довольствия (повозки, двуколки, кухни, седла, упряжь);</w:t>
      </w:r>
    </w:p>
    <w:p w14:paraId="07AA298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 предметы окопно-строительного снабжения (топоры, кирки, лопаты, ножницы); </w:t>
      </w:r>
    </w:p>
    <w:p w14:paraId="260712C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3) предметы артиллерийского снабжения (гранаты, снаряды, бомбы).</w:t>
      </w:r>
    </w:p>
    <w:p w14:paraId="7869339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Так, в середине 1916 г. заказ на артиллерийское снабжение исполнялся 28 предприятиями, 20 из которых были построены Земгором. Из 1 млн 100 тыс. заказанных ему гранат 1 млн изготавливался его средней и мелкой промышленностью. Всего с 1 марта по 1 июля 1916 г. Земгору удалось выполнить 46% принятых им заказов. А с мая 1916 г. заказы Земгора, как и заказы ЦВПК, стали официально считаться «подлежащими исполнению наравне с заказами других ведомств» (11270).</w:t>
      </w:r>
    </w:p>
    <w:p w14:paraId="76EDF28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Не остались в стороне в деле снабжения армии и военно-промышленные комитеты. Ими был сделан определенный вклад в организацию и развитие собственных предприятий с учетом нужд армии. ЦВПК имел в годы войны 120 собственных предприятий. Всего для выполнения заказов военного ведомства было привлечено 1300 предприятий.</w:t>
      </w:r>
    </w:p>
    <w:p w14:paraId="217D7BC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Круг деятельности ЦВПК был широк: обеспечение предприятий металлом; эвакуация предприятий и грузов; обеспечение предприятий рабочими; организация самостоятельно развивающегося хозяйства; привлечение предприятий для выполнения заказов военного ведомства. Но это были средние и мелкие предприятия, крупнейшие же фабрики и заводы страны получали заказы непосредственно от ведомств и в посредничестве ВПК не нуждались. Выполнение же основной функции — распределения заказов между предприятиями — проходило беспорядочно и приводило к разнобою в ценах, работа ЦВПК с местными комитетами сводилась, с одной стороны, к стремлению добиться у правительства военных заказов, с другой — к попыткам местных комитетов любой ценой получить эти заказы, часто без учета пропускной способности своих предприятий. И в ряде случаев военно-промышленные комитеты с трудом размещали полученные от военного ведомства заказы. Всего же ЦВПК принял заказов к исполнению на 600 млн рублей, а исполнил на 1 января 1918 г. — на 330 млн рублей.</w:t>
      </w:r>
    </w:p>
    <w:p w14:paraId="6601982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Выполнение общественными организациями правительственных заказов влекло за собой новые виды деятельности, такие как заготовка металла и топлива; содействие в перевозке грузов, предназначенных для армии и флота (отдел транспорта и связи); производство исходного сырья для вооружения: азотной и серной кислот, толуола и бензола (был построен завод минеральных кислот) (11270).</w:t>
      </w:r>
    </w:p>
    <w:p w14:paraId="66378987" w14:textId="77777777" w:rsidR="004B4E35" w:rsidRPr="00405303" w:rsidRDefault="004B4E35" w:rsidP="00C15251">
      <w:pPr>
        <w:pStyle w:val="a3"/>
        <w:jc w:val="both"/>
        <w:rPr>
          <w:bCs/>
          <w:i w:val="0"/>
          <w:color w:val="002060"/>
          <w:spacing w:val="0"/>
          <w:kern w:val="0"/>
          <w:position w:val="0"/>
          <w:sz w:val="16"/>
          <w:szCs w:val="16"/>
        </w:rPr>
      </w:pPr>
    </w:p>
    <w:p w14:paraId="7BA3ED0F" w14:textId="48074D00" w:rsidR="004B4E35" w:rsidRPr="00405303" w:rsidRDefault="0016688C"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июле 1915 года</w:t>
      </w:r>
      <w:r w:rsidRPr="00405303">
        <w:rPr>
          <w:bCs/>
          <w:color w:val="002060"/>
          <w:sz w:val="16"/>
          <w:szCs w:val="16"/>
        </w:rPr>
        <w:t xml:space="preserve"> в связи с тем, чтобы разгрузить заводы взрывчатых веществ — Охтенский и Самарский — от работ с ручными гранатами и другими боевыми припасами второстепенного значения, было признано необходимым построить специальный для этих работ завод и была разрешена постройка Сергиевского завода</w:t>
      </w:r>
      <w:r w:rsidR="009E6F82" w:rsidRPr="00405303">
        <w:rPr>
          <w:bCs/>
          <w:color w:val="002060"/>
          <w:sz w:val="16"/>
          <w:szCs w:val="16"/>
        </w:rPr>
        <w:t xml:space="preserve">. Завод был проектирован для следующих производств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2268"/>
      </w:tblGrid>
      <w:tr w:rsidR="004B4E35" w:rsidRPr="00405303" w14:paraId="3C3500AA" w14:textId="77777777">
        <w:tc>
          <w:tcPr>
            <w:tcW w:w="2472" w:type="dxa"/>
          </w:tcPr>
          <w:p w14:paraId="5ACA63AA" w14:textId="77777777" w:rsidR="004B4E35" w:rsidRPr="00405303" w:rsidRDefault="009E6F82" w:rsidP="00C15251">
            <w:pPr>
              <w:jc w:val="both"/>
              <w:rPr>
                <w:bCs/>
                <w:color w:val="002060"/>
                <w:sz w:val="16"/>
                <w:szCs w:val="16"/>
              </w:rPr>
            </w:pPr>
            <w:r w:rsidRPr="00405303">
              <w:rPr>
                <w:bCs/>
                <w:color w:val="002060"/>
                <w:sz w:val="16"/>
                <w:szCs w:val="16"/>
              </w:rPr>
              <w:t>гремучей ртути</w:t>
            </w:r>
          </w:p>
        </w:tc>
        <w:tc>
          <w:tcPr>
            <w:tcW w:w="2268" w:type="dxa"/>
          </w:tcPr>
          <w:p w14:paraId="215E5D7B" w14:textId="77777777" w:rsidR="004B4E35" w:rsidRPr="00405303" w:rsidRDefault="009E6F82" w:rsidP="00C15251">
            <w:pPr>
              <w:jc w:val="both"/>
              <w:rPr>
                <w:bCs/>
                <w:color w:val="002060"/>
                <w:sz w:val="16"/>
                <w:szCs w:val="16"/>
              </w:rPr>
            </w:pPr>
            <w:r w:rsidRPr="00405303">
              <w:rPr>
                <w:bCs/>
                <w:color w:val="002060"/>
                <w:sz w:val="16"/>
                <w:szCs w:val="16"/>
              </w:rPr>
              <w:t xml:space="preserve">200 пудов </w:t>
            </w:r>
          </w:p>
        </w:tc>
      </w:tr>
      <w:tr w:rsidR="004B4E35" w:rsidRPr="00405303" w14:paraId="4C46C598" w14:textId="77777777">
        <w:tc>
          <w:tcPr>
            <w:tcW w:w="2472" w:type="dxa"/>
          </w:tcPr>
          <w:p w14:paraId="58675073" w14:textId="77777777" w:rsidR="004B4E35" w:rsidRPr="00405303" w:rsidRDefault="009E6F82" w:rsidP="00C15251">
            <w:pPr>
              <w:jc w:val="both"/>
              <w:rPr>
                <w:bCs/>
                <w:color w:val="002060"/>
                <w:sz w:val="16"/>
                <w:szCs w:val="16"/>
              </w:rPr>
            </w:pPr>
            <w:r w:rsidRPr="00405303">
              <w:rPr>
                <w:bCs/>
                <w:color w:val="002060"/>
                <w:sz w:val="16"/>
                <w:szCs w:val="16"/>
              </w:rPr>
              <w:t>капсюли для ручных гранат</w:t>
            </w:r>
          </w:p>
        </w:tc>
        <w:tc>
          <w:tcPr>
            <w:tcW w:w="2268" w:type="dxa"/>
          </w:tcPr>
          <w:p w14:paraId="0E862BB0" w14:textId="77777777" w:rsidR="004B4E35" w:rsidRPr="00405303" w:rsidRDefault="009E6F82" w:rsidP="00C15251">
            <w:pPr>
              <w:jc w:val="both"/>
              <w:rPr>
                <w:bCs/>
                <w:color w:val="002060"/>
                <w:sz w:val="16"/>
                <w:szCs w:val="16"/>
              </w:rPr>
            </w:pPr>
            <w:r w:rsidRPr="00405303">
              <w:rPr>
                <w:bCs/>
                <w:color w:val="002060"/>
                <w:sz w:val="16"/>
                <w:szCs w:val="16"/>
              </w:rPr>
              <w:t>1 250 000 пар</w:t>
            </w:r>
          </w:p>
        </w:tc>
      </w:tr>
      <w:tr w:rsidR="004B4E35" w:rsidRPr="00405303" w14:paraId="609FBB94" w14:textId="77777777">
        <w:tc>
          <w:tcPr>
            <w:tcW w:w="2472" w:type="dxa"/>
          </w:tcPr>
          <w:p w14:paraId="52173D12" w14:textId="77777777" w:rsidR="004B4E35" w:rsidRPr="00405303" w:rsidRDefault="009E6F82" w:rsidP="00C15251">
            <w:pPr>
              <w:jc w:val="both"/>
              <w:rPr>
                <w:bCs/>
                <w:color w:val="002060"/>
                <w:sz w:val="16"/>
                <w:szCs w:val="16"/>
              </w:rPr>
            </w:pPr>
            <w:r w:rsidRPr="00405303">
              <w:rPr>
                <w:bCs/>
                <w:color w:val="002060"/>
                <w:sz w:val="16"/>
                <w:szCs w:val="16"/>
              </w:rPr>
              <w:t>стопин и запалы</w:t>
            </w:r>
          </w:p>
        </w:tc>
        <w:tc>
          <w:tcPr>
            <w:tcW w:w="2268" w:type="dxa"/>
          </w:tcPr>
          <w:p w14:paraId="608EC81C" w14:textId="77777777" w:rsidR="004B4E35" w:rsidRPr="00405303" w:rsidRDefault="009E6F82" w:rsidP="00C15251">
            <w:pPr>
              <w:jc w:val="both"/>
              <w:rPr>
                <w:bCs/>
                <w:color w:val="002060"/>
                <w:sz w:val="16"/>
                <w:szCs w:val="16"/>
              </w:rPr>
            </w:pPr>
            <w:r w:rsidRPr="00405303">
              <w:rPr>
                <w:bCs/>
                <w:color w:val="002060"/>
                <w:sz w:val="16"/>
                <w:szCs w:val="16"/>
              </w:rPr>
              <w:t>1 250 000 комплектов</w:t>
            </w:r>
          </w:p>
        </w:tc>
      </w:tr>
      <w:tr w:rsidR="004B4E35" w:rsidRPr="00405303" w14:paraId="4D82BC4A" w14:textId="77777777">
        <w:tc>
          <w:tcPr>
            <w:tcW w:w="2472" w:type="dxa"/>
          </w:tcPr>
          <w:p w14:paraId="6AEBFBB3" w14:textId="77777777" w:rsidR="004B4E35" w:rsidRPr="00405303" w:rsidRDefault="009E6F82" w:rsidP="00C15251">
            <w:pPr>
              <w:jc w:val="both"/>
              <w:rPr>
                <w:bCs/>
                <w:color w:val="002060"/>
                <w:sz w:val="16"/>
                <w:szCs w:val="16"/>
              </w:rPr>
            </w:pPr>
            <w:r w:rsidRPr="00405303">
              <w:rPr>
                <w:bCs/>
                <w:color w:val="002060"/>
                <w:sz w:val="16"/>
                <w:szCs w:val="16"/>
              </w:rPr>
              <w:t>снаряжение ручных гранат</w:t>
            </w:r>
          </w:p>
        </w:tc>
        <w:tc>
          <w:tcPr>
            <w:tcW w:w="2268" w:type="dxa"/>
          </w:tcPr>
          <w:p w14:paraId="7A23E12F" w14:textId="77777777" w:rsidR="004B4E35" w:rsidRPr="00405303" w:rsidRDefault="009E6F82" w:rsidP="00C15251">
            <w:pPr>
              <w:jc w:val="both"/>
              <w:rPr>
                <w:bCs/>
                <w:color w:val="002060"/>
                <w:sz w:val="16"/>
                <w:szCs w:val="16"/>
              </w:rPr>
            </w:pPr>
            <w:r w:rsidRPr="00405303">
              <w:rPr>
                <w:bCs/>
                <w:color w:val="002060"/>
                <w:sz w:val="16"/>
                <w:szCs w:val="16"/>
              </w:rPr>
              <w:t>1 250 000 штук.</w:t>
            </w:r>
          </w:p>
        </w:tc>
      </w:tr>
    </w:tbl>
    <w:p w14:paraId="2B7E323C" w14:textId="77777777" w:rsidR="004B4E35" w:rsidRPr="00405303" w:rsidRDefault="009E6F82" w:rsidP="00C15251">
      <w:pPr>
        <w:jc w:val="both"/>
        <w:rPr>
          <w:bCs/>
          <w:color w:val="002060"/>
          <w:sz w:val="16"/>
          <w:szCs w:val="16"/>
        </w:rPr>
      </w:pPr>
      <w:r w:rsidRPr="00405303">
        <w:rPr>
          <w:bCs/>
          <w:color w:val="002060"/>
          <w:sz w:val="16"/>
          <w:szCs w:val="16"/>
        </w:rPr>
        <w:t xml:space="preserve">В дальнейшем имелось в виду установить производство осветительных звездок, сигнальных ракет и пр. пиротехнических изделий и снаряжение ружейных гранат, траншейных гранат и пр. </w:t>
      </w:r>
    </w:p>
    <w:p w14:paraId="2359E8FD" w14:textId="77777777" w:rsidR="004B4E35" w:rsidRPr="00405303" w:rsidRDefault="009E6F82" w:rsidP="00C15251">
      <w:pPr>
        <w:jc w:val="both"/>
        <w:rPr>
          <w:bCs/>
          <w:color w:val="002060"/>
          <w:sz w:val="16"/>
          <w:szCs w:val="16"/>
        </w:rPr>
      </w:pPr>
      <w:r w:rsidRPr="00405303">
        <w:rPr>
          <w:bCs/>
          <w:color w:val="002060"/>
          <w:sz w:val="16"/>
          <w:szCs w:val="16"/>
        </w:rPr>
        <w:t xml:space="preserve">Место для постройки было избрано в 15 верстах от Сергиева Посада и в 6 верстах от линии Ярославской железной дороги. Постройка начата летом 1915 года. Стоимость завода по ценам 1916 г. определилась в 3,5 млн рублей. К 1917 г. возведены некоторые строения и частично поставлено оборудование. В 1916 г. завод начал работы по снаряжению ручных гранат. С революцией строительство приостановилось и возобновилось позже, начиная с 1921—1922 годов. </w:t>
      </w:r>
    </w:p>
    <w:p w14:paraId="4B4BE66F" w14:textId="77777777" w:rsidR="004B4E35" w:rsidRPr="00405303" w:rsidRDefault="009E6F82" w:rsidP="00C15251">
      <w:pPr>
        <w:jc w:val="both"/>
        <w:rPr>
          <w:bCs/>
          <w:color w:val="002060"/>
          <w:sz w:val="16"/>
          <w:szCs w:val="16"/>
        </w:rPr>
      </w:pPr>
      <w:r w:rsidRPr="00405303">
        <w:rPr>
          <w:bCs/>
          <w:color w:val="002060"/>
          <w:sz w:val="16"/>
          <w:szCs w:val="16"/>
        </w:rPr>
        <w:t>При дальнейшем строительстве завода были изменены задания для него, и в нем был основан отдел для 3-лин. Капсюлей (11329).</w:t>
      </w:r>
    </w:p>
    <w:p w14:paraId="39D416D4" w14:textId="77777777" w:rsidR="004B4E35" w:rsidRPr="00405303" w:rsidRDefault="004B4E35" w:rsidP="00C15251">
      <w:pPr>
        <w:jc w:val="both"/>
        <w:rPr>
          <w:bCs/>
          <w:color w:val="002060"/>
          <w:sz w:val="16"/>
          <w:szCs w:val="16"/>
        </w:rPr>
      </w:pPr>
    </w:p>
    <w:p w14:paraId="187C891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июле 1915 г. полковник НА. Гулькевич подал началь</w:t>
      </w:r>
      <w:r w:rsidRPr="00405303">
        <w:rPr>
          <w:bCs/>
          <w:color w:val="002060"/>
          <w:sz w:val="16"/>
          <w:szCs w:val="16"/>
        </w:rPr>
        <w:softHyphen/>
        <w:t>нику Главного Артиллерийского управления рапорт, в кото</w:t>
      </w:r>
      <w:r w:rsidRPr="00405303">
        <w:rPr>
          <w:bCs/>
          <w:color w:val="002060"/>
          <w:sz w:val="16"/>
          <w:szCs w:val="16"/>
        </w:rPr>
        <w:softHyphen/>
        <w:t>ром обосновал необходимость создания бронированной вез</w:t>
      </w:r>
      <w:r w:rsidRPr="00405303">
        <w:rPr>
          <w:bCs/>
          <w:color w:val="002060"/>
          <w:sz w:val="16"/>
          <w:szCs w:val="16"/>
        </w:rPr>
        <w:softHyphen/>
        <w:t>деходной гусеничной машины. В нем он, в частности, писал:</w:t>
      </w:r>
    </w:p>
    <w:p w14:paraId="7CA3715E" w14:textId="77777777" w:rsidR="004B4E35" w:rsidRPr="00405303" w:rsidRDefault="009E6F82" w:rsidP="00C15251">
      <w:pPr>
        <w:shd w:val="clear" w:color="auto" w:fill="FFFFFF"/>
        <w:jc w:val="both"/>
        <w:rPr>
          <w:bCs/>
          <w:color w:val="002060"/>
          <w:sz w:val="16"/>
          <w:szCs w:val="16"/>
        </w:rPr>
      </w:pPr>
      <w:r w:rsidRPr="00405303">
        <w:rPr>
          <w:bCs/>
          <w:i/>
          <w:color w:val="002060"/>
          <w:sz w:val="16"/>
          <w:szCs w:val="16"/>
        </w:rPr>
        <w:t>«...Бронированные автомобили, которыми до сих пор един</w:t>
      </w:r>
      <w:r w:rsidRPr="00405303">
        <w:rPr>
          <w:bCs/>
          <w:i/>
          <w:color w:val="002060"/>
          <w:sz w:val="16"/>
          <w:szCs w:val="16"/>
        </w:rPr>
        <w:softHyphen/>
        <w:t>ственно пользовались для установки пулеметов, имеют тот недостаток, что не могут проходить по всяким дорогам и тем более проходить через проволочные заграждения и их уничто</w:t>
      </w:r>
      <w:r w:rsidRPr="00405303">
        <w:rPr>
          <w:bCs/>
          <w:i/>
          <w:color w:val="002060"/>
          <w:sz w:val="16"/>
          <w:szCs w:val="16"/>
        </w:rPr>
        <w:softHyphen/>
        <w:t>жать; между тем имеется... «гусеничный трактор», который специально предназначен для передвижения по всякому грунту, даже по вспаханным полям. Его специальная конструкция... со</w:t>
      </w:r>
      <w:r w:rsidRPr="00405303">
        <w:rPr>
          <w:bCs/>
          <w:i/>
          <w:color w:val="002060"/>
          <w:sz w:val="16"/>
          <w:szCs w:val="16"/>
        </w:rPr>
        <w:softHyphen/>
        <w:t>ответствует еще одному важному предназначению: разры</w:t>
      </w:r>
      <w:r w:rsidRPr="00405303">
        <w:rPr>
          <w:bCs/>
          <w:i/>
          <w:color w:val="002060"/>
          <w:sz w:val="16"/>
          <w:szCs w:val="16"/>
        </w:rPr>
        <w:softHyphen/>
        <w:t>вать и затаптывать в землю проволочные заграждения».</w:t>
      </w:r>
    </w:p>
    <w:p w14:paraId="254130B1" w14:textId="77777777" w:rsidR="004B4E35" w:rsidRPr="00405303" w:rsidRDefault="009E6F82" w:rsidP="00C15251">
      <w:pPr>
        <w:pStyle w:val="Iauiue"/>
        <w:widowControl/>
        <w:jc w:val="both"/>
        <w:rPr>
          <w:bCs/>
          <w:color w:val="002060"/>
          <w:sz w:val="16"/>
          <w:szCs w:val="16"/>
        </w:rPr>
      </w:pPr>
      <w:r w:rsidRPr="00405303">
        <w:rPr>
          <w:bCs/>
          <w:color w:val="002060"/>
          <w:sz w:val="16"/>
          <w:szCs w:val="16"/>
        </w:rPr>
        <w:t>В своем рапорте НА. Гулькевич не только обосновал це</w:t>
      </w:r>
      <w:r w:rsidRPr="00405303">
        <w:rPr>
          <w:bCs/>
          <w:color w:val="002060"/>
          <w:sz w:val="16"/>
          <w:szCs w:val="16"/>
        </w:rPr>
        <w:softHyphen/>
        <w:t>лесообразность создания гусеничной боевой машины, но указал условия, необходимые для успешного применения ее на фронте, а также предусмотрел организационные формы. Предлагаемую боевую машину изобретатель называл «само</w:t>
      </w:r>
      <w:r w:rsidRPr="00405303">
        <w:rPr>
          <w:bCs/>
          <w:color w:val="002060"/>
          <w:sz w:val="16"/>
          <w:szCs w:val="16"/>
        </w:rPr>
        <w:softHyphen/>
        <w:t>двигатель». Рекомендуя начать необходимые опытные рабо</w:t>
      </w:r>
      <w:r w:rsidRPr="00405303">
        <w:rPr>
          <w:bCs/>
          <w:color w:val="002060"/>
          <w:sz w:val="16"/>
          <w:szCs w:val="16"/>
        </w:rPr>
        <w:softHyphen/>
        <w:t xml:space="preserve">ты, он писал: </w:t>
      </w:r>
      <w:r w:rsidRPr="00405303">
        <w:rPr>
          <w:bCs/>
          <w:i/>
          <w:color w:val="002060"/>
          <w:sz w:val="16"/>
          <w:szCs w:val="16"/>
        </w:rPr>
        <w:t>«Если опыты дадут вполне блестящие результа</w:t>
      </w:r>
      <w:r w:rsidRPr="00405303">
        <w:rPr>
          <w:bCs/>
          <w:i/>
          <w:color w:val="002060"/>
          <w:sz w:val="16"/>
          <w:szCs w:val="16"/>
        </w:rPr>
        <w:softHyphen/>
        <w:t>ты, необходимо приступить немедленно к массовому производ</w:t>
      </w:r>
      <w:r w:rsidRPr="00405303">
        <w:rPr>
          <w:bCs/>
          <w:i/>
          <w:color w:val="002060"/>
          <w:sz w:val="16"/>
          <w:szCs w:val="16"/>
        </w:rPr>
        <w:softHyphen/>
        <w:t>ству предложенных мною бронированных и вооруженных само</w:t>
      </w:r>
      <w:r w:rsidRPr="00405303">
        <w:rPr>
          <w:bCs/>
          <w:i/>
          <w:color w:val="002060"/>
          <w:sz w:val="16"/>
          <w:szCs w:val="16"/>
        </w:rPr>
        <w:softHyphen/>
        <w:t>двигателей по расчету не менее 40 экземпляров на корпус, дабы ни под каким видом не выпускать в действующую армию один или два аппарата, так как противник может воспользовать</w:t>
      </w:r>
      <w:r w:rsidRPr="00405303">
        <w:rPr>
          <w:bCs/>
          <w:i/>
          <w:color w:val="002060"/>
          <w:sz w:val="16"/>
          <w:szCs w:val="16"/>
        </w:rPr>
        <w:softHyphen/>
        <w:t>ся и изготовить их еще в большем числе и размере, чем мы».</w:t>
      </w:r>
    </w:p>
    <w:p w14:paraId="50F5AE6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Понимая, что возможности отечественной промыш</w:t>
      </w:r>
      <w:r w:rsidRPr="00405303">
        <w:rPr>
          <w:bCs/>
          <w:color w:val="002060"/>
          <w:sz w:val="16"/>
          <w:szCs w:val="16"/>
        </w:rPr>
        <w:softHyphen/>
        <w:t>ленности низки, НА. Гулькевич предлагал ограничиться не строительством специальных шасси, а бронировкой уже имеющихся в России тракторов «Холт» и «Алис-Чалмерс» (11417).</w:t>
      </w:r>
    </w:p>
    <w:p w14:paraId="7C3140F1" w14:textId="77777777" w:rsidR="004B4E35" w:rsidRPr="00405303" w:rsidRDefault="004B4E35" w:rsidP="00C15251">
      <w:pPr>
        <w:shd w:val="clear" w:color="auto" w:fill="FFFFFF"/>
        <w:jc w:val="both"/>
        <w:rPr>
          <w:bCs/>
          <w:color w:val="002060"/>
          <w:sz w:val="16"/>
          <w:szCs w:val="16"/>
        </w:rPr>
      </w:pPr>
    </w:p>
    <w:p w14:paraId="08956A58" w14:textId="413ADC4C" w:rsidR="004B4E35" w:rsidRPr="00405303" w:rsidRDefault="0016688C"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w:t>
      </w:r>
      <w:r w:rsidR="009E6F82" w:rsidRPr="00405303">
        <w:rPr>
          <w:bCs/>
          <w:i w:val="0"/>
          <w:color w:val="002060"/>
          <w:spacing w:val="0"/>
          <w:kern w:val="0"/>
          <w:position w:val="0"/>
          <w:sz w:val="16"/>
          <w:szCs w:val="16"/>
        </w:rPr>
        <w:t xml:space="preserve"> июле 1915 года</w:t>
      </w:r>
      <w:r w:rsidRPr="00405303">
        <w:rPr>
          <w:bCs/>
          <w:i w:val="0"/>
          <w:color w:val="002060"/>
          <w:spacing w:val="0"/>
          <w:kern w:val="0"/>
          <w:position w:val="0"/>
          <w:sz w:val="16"/>
          <w:szCs w:val="16"/>
        </w:rPr>
        <w:t>, поскольку дело с испытаниями отечественных велосипедов двигалось медленно,</w:t>
      </w:r>
      <w:r w:rsidR="000F5756">
        <w:rPr>
          <w:bCs/>
          <w:i w:val="0"/>
          <w:color w:val="002060"/>
          <w:spacing w:val="0"/>
          <w:kern w:val="0"/>
          <w:position w:val="0"/>
          <w:sz w:val="16"/>
          <w:szCs w:val="16"/>
        </w:rPr>
        <w:t xml:space="preserve"> </w:t>
      </w:r>
      <w:r w:rsidR="009E6F82" w:rsidRPr="00405303">
        <w:rPr>
          <w:bCs/>
          <w:i w:val="0"/>
          <w:color w:val="002060"/>
          <w:spacing w:val="0"/>
          <w:kern w:val="0"/>
          <w:position w:val="0"/>
          <w:sz w:val="16"/>
          <w:szCs w:val="16"/>
        </w:rPr>
        <w:t>был сделан крупный заказ фирме Peugeot на партию самокатов Жерара. В первый военный год, помимо «жераров», военное министерство также закупало обычные, нескладные дорожные велосипеды (11257).</w:t>
      </w:r>
    </w:p>
    <w:p w14:paraId="671D7122" w14:textId="77777777" w:rsidR="004B4E35" w:rsidRPr="00405303" w:rsidRDefault="004B4E35" w:rsidP="00C15251">
      <w:pPr>
        <w:pStyle w:val="a3"/>
        <w:jc w:val="both"/>
        <w:rPr>
          <w:bCs/>
          <w:i w:val="0"/>
          <w:color w:val="002060"/>
          <w:spacing w:val="0"/>
          <w:kern w:val="0"/>
          <w:position w:val="0"/>
          <w:sz w:val="16"/>
          <w:szCs w:val="16"/>
        </w:rPr>
      </w:pPr>
    </w:p>
    <w:p w14:paraId="30DED7F9" w14:textId="1F810840" w:rsidR="004B4E35" w:rsidRPr="00405303" w:rsidRDefault="009E6F82" w:rsidP="00C15251">
      <w:pPr>
        <w:jc w:val="both"/>
        <w:rPr>
          <w:bCs/>
          <w:color w:val="002060"/>
          <w:sz w:val="16"/>
          <w:szCs w:val="16"/>
        </w:rPr>
      </w:pPr>
      <w:r w:rsidRPr="00405303">
        <w:rPr>
          <w:bCs/>
          <w:color w:val="002060"/>
          <w:sz w:val="16"/>
          <w:szCs w:val="16"/>
        </w:rPr>
        <w:t xml:space="preserve">В </w:t>
      </w:r>
      <w:r w:rsidR="0016688C" w:rsidRPr="00405303">
        <w:rPr>
          <w:bCs/>
          <w:color w:val="002060"/>
          <w:sz w:val="16"/>
          <w:szCs w:val="16"/>
        </w:rPr>
        <w:t xml:space="preserve">июле </w:t>
      </w:r>
      <w:r w:rsidRPr="00405303">
        <w:rPr>
          <w:bCs/>
          <w:color w:val="002060"/>
          <w:sz w:val="16"/>
          <w:szCs w:val="16"/>
        </w:rPr>
        <w:t xml:space="preserve">1915 г. оборудование и работники </w:t>
      </w:r>
      <w:r w:rsidR="0016688C" w:rsidRPr="00405303">
        <w:rPr>
          <w:bCs/>
          <w:color w:val="002060"/>
          <w:sz w:val="16"/>
          <w:szCs w:val="16"/>
        </w:rPr>
        <w:t>Российского АО «Всеобщая компания электричества (ВКЭ) "</w:t>
      </w:r>
      <w:r w:rsidR="0016688C" w:rsidRPr="00405303">
        <w:rPr>
          <w:bCs/>
          <w:color w:val="002060"/>
          <w:sz w:val="16"/>
          <w:szCs w:val="16"/>
          <w:lang w:val="en-US"/>
        </w:rPr>
        <w:t>Union</w:t>
      </w:r>
      <w:r w:rsidR="0016688C" w:rsidRPr="00405303">
        <w:rPr>
          <w:bCs/>
          <w:color w:val="002060"/>
          <w:sz w:val="16"/>
          <w:szCs w:val="16"/>
        </w:rPr>
        <w:t>"»</w:t>
      </w:r>
      <w:r w:rsidRPr="00405303">
        <w:rPr>
          <w:bCs/>
          <w:color w:val="002060"/>
          <w:sz w:val="16"/>
          <w:szCs w:val="16"/>
        </w:rPr>
        <w:t xml:space="preserve"> </w:t>
      </w:r>
      <w:r w:rsidR="0016688C" w:rsidRPr="00405303">
        <w:rPr>
          <w:bCs/>
          <w:color w:val="002060"/>
          <w:sz w:val="16"/>
          <w:szCs w:val="16"/>
        </w:rPr>
        <w:t xml:space="preserve">были </w:t>
      </w:r>
      <w:r w:rsidRPr="00405303">
        <w:rPr>
          <w:bCs/>
          <w:color w:val="002060"/>
          <w:sz w:val="16"/>
          <w:szCs w:val="16"/>
        </w:rPr>
        <w:t>эвакуированы (всего 1470 вагонов): небольшая часть оборудования- в Петроград и Москву, а основная часть завода (около 3000 работников)- в Харьков на площадку бывшего немецкого завода сельскохозяйственных машин "</w:t>
      </w:r>
      <w:r w:rsidRPr="00405303">
        <w:rPr>
          <w:bCs/>
          <w:color w:val="002060"/>
          <w:sz w:val="16"/>
          <w:szCs w:val="16"/>
          <w:lang w:val="en-US"/>
        </w:rPr>
        <w:t>Helferich</w:t>
      </w:r>
      <w:r w:rsidRPr="00405303">
        <w:rPr>
          <w:bCs/>
          <w:color w:val="002060"/>
          <w:sz w:val="16"/>
          <w:szCs w:val="16"/>
        </w:rPr>
        <w:t>-</w:t>
      </w:r>
      <w:r w:rsidRPr="00405303">
        <w:rPr>
          <w:bCs/>
          <w:color w:val="002060"/>
          <w:sz w:val="16"/>
          <w:szCs w:val="16"/>
          <w:lang w:val="en-US"/>
        </w:rPr>
        <w:t>Sade</w:t>
      </w:r>
      <w:r w:rsidRPr="00405303">
        <w:rPr>
          <w:bCs/>
          <w:color w:val="002060"/>
          <w:sz w:val="16"/>
          <w:szCs w:val="16"/>
        </w:rPr>
        <w:t>". С 1 октября начат выпуск военной продукции на новом месте. К концу 1915 г. в Харьков переведены оборудование и персонал из Москвы и Петрограда. На окраине Харькова на участке в 20 десятин у Чугуевского шоссе начато строительство нового корпуса завода ВКЭ. 20.11.1916 г. новый завод сдан в эксплуатацию.</w:t>
      </w:r>
    </w:p>
    <w:p w14:paraId="70103496" w14:textId="77777777" w:rsidR="004B4E35" w:rsidRPr="00405303" w:rsidRDefault="009E6F82" w:rsidP="00C15251">
      <w:pPr>
        <w:jc w:val="both"/>
        <w:rPr>
          <w:bCs/>
          <w:color w:val="002060"/>
          <w:sz w:val="16"/>
          <w:szCs w:val="16"/>
        </w:rPr>
      </w:pPr>
      <w:r w:rsidRPr="00405303">
        <w:rPr>
          <w:bCs/>
          <w:color w:val="002060"/>
          <w:sz w:val="16"/>
          <w:szCs w:val="16"/>
        </w:rPr>
        <w:t>С 20.12.1917 г. завод ВКЭ переименован в завод «Электросила-1». С 1925 г.- Харьковский электромеханический завод (ХЭМЗ) ВСНХ. В 1930 г. - в ведении ГЭТ ВСНХ, с 1932 г. - НКТП. В 12.1937- 05.1938 г. ХЭТЗ - в ведении Главэнергопрома НКМ, в 1940 г. - в ведении НКЭП.</w:t>
      </w:r>
    </w:p>
    <w:p w14:paraId="38BE431F" w14:textId="77777777" w:rsidR="004B4E35" w:rsidRPr="00405303" w:rsidRDefault="009E6F82" w:rsidP="00C15251">
      <w:pPr>
        <w:jc w:val="both"/>
        <w:rPr>
          <w:bCs/>
          <w:color w:val="002060"/>
          <w:sz w:val="16"/>
          <w:szCs w:val="16"/>
        </w:rPr>
      </w:pPr>
      <w:r w:rsidRPr="00405303">
        <w:rPr>
          <w:bCs/>
          <w:color w:val="002060"/>
          <w:sz w:val="16"/>
          <w:szCs w:val="16"/>
        </w:rPr>
        <w:t>В 01.1937 г. в состав завода влит Харьковский турбинный завод, и объединенный завод получил название Харьковский электро-турбогенераторный завод (ХЭТЗ) им. Сталина. Перед войной завод имел филиал - завод № 332 НКЭП.</w:t>
      </w:r>
    </w:p>
    <w:p w14:paraId="7621D400" w14:textId="77777777" w:rsidR="004B4E35" w:rsidRPr="00405303" w:rsidRDefault="009E6F82" w:rsidP="00C15251">
      <w:pPr>
        <w:jc w:val="both"/>
        <w:rPr>
          <w:bCs/>
          <w:color w:val="002060"/>
          <w:sz w:val="16"/>
          <w:szCs w:val="16"/>
        </w:rPr>
      </w:pPr>
      <w:r w:rsidRPr="00405303">
        <w:rPr>
          <w:bCs/>
          <w:color w:val="002060"/>
          <w:sz w:val="16"/>
          <w:szCs w:val="16"/>
        </w:rPr>
        <w:t>По пр. НКТП № 12сс от 1937 г. ХЭТЗ к 1.03.1937 г. должен был сдать: 2 главных судовых турбины (сдана 1), 4 турбо-циркуляционных конденсатных насоса (не сдано). В соответствии с пост, правительства № 87сс от 13/15.08.1937 г. и пр. НКОП/НКМ № 00282/47сс от 25.12.1937 г. заводу поручено проектирование и изготовление электрооборудования для 356-мм и 100-мм артиллерийских башен линкора типа «Б»; приказом НКОП/НКМ/НКВМФ № 118/86/050сс от 31.03.1938 г. -электрооборудования для артвооружения крейсеров пр. 64, 68 и 69. По пр. НКОП/НКМ/НКВМФ № 245сс/161 от 13.07.1938 г. было необходимо изготовить к 15.07.1938 г. комплект опытной силовой синхронной передачи (ССП) по схеме профессора Костенко для управления постами наводки крейсера «Киров»; построить на заводе в 1938-39 г. специальную лабораторию по автоматизации и синхронизации управления артиллерийским электроприводом. Этим же приказом завод определен ведущим заводом и производственной базой по разработке и изготовлению машинной ССП и других автоматических схем силового артиллерийского электропривода.</w:t>
      </w:r>
    </w:p>
    <w:p w14:paraId="0ACEF8BE" w14:textId="77777777" w:rsidR="004B4E35" w:rsidRPr="00405303" w:rsidRDefault="009E6F82" w:rsidP="00C15251">
      <w:pPr>
        <w:jc w:val="both"/>
        <w:rPr>
          <w:bCs/>
          <w:color w:val="002060"/>
          <w:sz w:val="16"/>
          <w:szCs w:val="16"/>
        </w:rPr>
      </w:pPr>
      <w:r w:rsidRPr="00405303">
        <w:rPr>
          <w:bCs/>
          <w:color w:val="002060"/>
          <w:sz w:val="16"/>
          <w:szCs w:val="16"/>
        </w:rPr>
        <w:t>По пр. НКОП № 256с от 21.07.1938 г. на завод были переданы все материалы по «авиатурбине бинарного цикла» и работы по доводке опытного двигателя ликвидированного ОКБ-МАИ.</w:t>
      </w:r>
    </w:p>
    <w:p w14:paraId="41294480" w14:textId="77777777" w:rsidR="004B4E35" w:rsidRPr="00405303" w:rsidRDefault="009E6F82" w:rsidP="00C15251">
      <w:pPr>
        <w:jc w:val="both"/>
        <w:rPr>
          <w:bCs/>
          <w:color w:val="002060"/>
          <w:sz w:val="16"/>
          <w:szCs w:val="16"/>
        </w:rPr>
      </w:pPr>
      <w:r w:rsidRPr="00405303">
        <w:rPr>
          <w:bCs/>
          <w:color w:val="002060"/>
          <w:sz w:val="16"/>
          <w:szCs w:val="16"/>
        </w:rPr>
        <w:t>Перед войной велась разработка и производство приборов управления стрельбой корабельной артиллерии.</w:t>
      </w:r>
      <w:r w:rsidRPr="00405303">
        <w:rPr>
          <w:bCs/>
          <w:color w:val="002060"/>
          <w:sz w:val="16"/>
          <w:szCs w:val="16"/>
          <w:vertAlign w:val="superscript"/>
        </w:rPr>
        <w:t xml:space="preserve">115 </w:t>
      </w:r>
      <w:r w:rsidRPr="00405303">
        <w:rPr>
          <w:bCs/>
          <w:color w:val="002060"/>
          <w:sz w:val="16"/>
          <w:szCs w:val="16"/>
        </w:rPr>
        <w:t xml:space="preserve">В 1939-41 г. снаряжал 76-мм снаряды и </w:t>
      </w:r>
      <w:r w:rsidRPr="00405303">
        <w:rPr>
          <w:bCs/>
          <w:color w:val="002060"/>
          <w:sz w:val="16"/>
          <w:szCs w:val="16"/>
          <w:lang w:val="en-US"/>
        </w:rPr>
        <w:t>PC</w:t>
      </w:r>
      <w:r w:rsidRPr="00405303">
        <w:rPr>
          <w:bCs/>
          <w:color w:val="002060"/>
          <w:sz w:val="16"/>
          <w:szCs w:val="16"/>
        </w:rPr>
        <w:t>М-8.</w:t>
      </w:r>
    </w:p>
    <w:p w14:paraId="6735B42B" w14:textId="77777777" w:rsidR="004B4E35" w:rsidRPr="00405303" w:rsidRDefault="009E6F82" w:rsidP="00C15251">
      <w:pPr>
        <w:jc w:val="both"/>
        <w:rPr>
          <w:bCs/>
          <w:color w:val="002060"/>
          <w:sz w:val="16"/>
          <w:szCs w:val="16"/>
        </w:rPr>
      </w:pPr>
      <w:r w:rsidRPr="00405303">
        <w:rPr>
          <w:bCs/>
          <w:color w:val="002060"/>
          <w:sz w:val="16"/>
          <w:szCs w:val="16"/>
        </w:rPr>
        <w:t>В начале ВОВ ХЭМЗ им. Сталина НКЭП эвакуирован: часть завода - в Томск; часть - в Прокопьевск в помещения электротехнического училища и гаража, где по приказу НКЭП от 23.10.1941 г. создан завод № 651; часть (производство электромоторов, в 11.1941 г.) - в Кемерово в помещения универмага, гаража и трамвайно- автобусного парка, где в 12.1941 г. создан завод № 652; часть (в 11.1941 г.) - в Чебоксары, где создан завод № 654. Электроаппаратный цех эвакуирован в Ульяновск в помещения нескольких небольших магазинов и преобразован в завод № 650 НКЭП. Цех коммутационной аппаратуры эвакуирован в Уфу в здание дворца соцкультуры и преобразован в завод № 656.</w:t>
      </w:r>
      <w:r w:rsidRPr="00405303">
        <w:rPr>
          <w:bCs/>
          <w:color w:val="002060"/>
          <w:sz w:val="16"/>
          <w:szCs w:val="16"/>
          <w:vertAlign w:val="superscript"/>
        </w:rPr>
        <w:t>121</w:t>
      </w:r>
    </w:p>
    <w:p w14:paraId="124DD560" w14:textId="77777777" w:rsidR="004B4E35" w:rsidRPr="00405303" w:rsidRDefault="009E6F82" w:rsidP="00C15251">
      <w:pPr>
        <w:jc w:val="both"/>
        <w:rPr>
          <w:bCs/>
          <w:color w:val="002060"/>
          <w:sz w:val="16"/>
          <w:szCs w:val="16"/>
        </w:rPr>
      </w:pPr>
      <w:r w:rsidRPr="00405303">
        <w:rPr>
          <w:bCs/>
          <w:color w:val="002060"/>
          <w:sz w:val="16"/>
          <w:szCs w:val="16"/>
        </w:rPr>
        <w:t>В соответствии с пост. ГКО № 4087 от 11.09.1943 г. начато восстановление ХЭМЗ им. Сталина НКЭП; 4.12.1943 г. - новое постановление ГКО № 4721 о мероприятиях по восстановлению завода; 5.03.1944 г. - постановление ГКО № 5317 о мерах неотложной помощи по восстановлению завода. В 1946 г. завод - в ведении МЭТП.</w:t>
      </w:r>
    </w:p>
    <w:p w14:paraId="4EFF9219" w14:textId="77777777" w:rsidR="004B4E35" w:rsidRPr="00405303" w:rsidRDefault="009E6F82" w:rsidP="00C15251">
      <w:pPr>
        <w:jc w:val="both"/>
        <w:rPr>
          <w:bCs/>
          <w:color w:val="002060"/>
          <w:sz w:val="16"/>
          <w:szCs w:val="16"/>
        </w:rPr>
      </w:pPr>
      <w:r w:rsidRPr="00405303">
        <w:rPr>
          <w:bCs/>
          <w:color w:val="002060"/>
          <w:sz w:val="16"/>
          <w:szCs w:val="16"/>
        </w:rPr>
        <w:t>После войны разработан главный турбозубчатый агрегат ТВ-7 для крейсеров пр. 68бис. К 1953 г. были разработаны и начато изготовление ГТЗА ТВ-4 для тяжелых крейсеров пр. 82, в 1955 г. работы прекращены.</w:t>
      </w:r>
    </w:p>
    <w:p w14:paraId="3D94BB33" w14:textId="5A10444B" w:rsidR="004B4E35" w:rsidRPr="00405303" w:rsidRDefault="009E6F82" w:rsidP="00C15251">
      <w:pPr>
        <w:jc w:val="both"/>
        <w:rPr>
          <w:bCs/>
          <w:color w:val="002060"/>
          <w:sz w:val="16"/>
          <w:szCs w:val="16"/>
        </w:rPr>
      </w:pPr>
      <w:r w:rsidRPr="00405303">
        <w:rPr>
          <w:bCs/>
          <w:color w:val="002060"/>
          <w:sz w:val="16"/>
          <w:szCs w:val="16"/>
        </w:rPr>
        <w:t>В 1976 г. завод преобразован в НПО «ЭМЗ». В 1990-е</w:t>
      </w:r>
      <w:r w:rsidR="000F5756">
        <w:rPr>
          <w:bCs/>
          <w:color w:val="002060"/>
          <w:sz w:val="16"/>
          <w:szCs w:val="16"/>
        </w:rPr>
        <w:t xml:space="preserve"> </w:t>
      </w:r>
      <w:r w:rsidRPr="00405303">
        <w:rPr>
          <w:bCs/>
          <w:color w:val="002060"/>
          <w:sz w:val="16"/>
          <w:szCs w:val="16"/>
        </w:rPr>
        <w:t>г. преобразован в ОАО «ХЭМЗ».</w:t>
      </w:r>
    </w:p>
    <w:p w14:paraId="0DDE5F82" w14:textId="2D76B775" w:rsidR="004B4E35" w:rsidRPr="00405303" w:rsidRDefault="009E6F82" w:rsidP="00C15251">
      <w:pPr>
        <w:jc w:val="both"/>
        <w:rPr>
          <w:bCs/>
          <w:color w:val="002060"/>
          <w:sz w:val="16"/>
          <w:szCs w:val="16"/>
        </w:rPr>
      </w:pPr>
      <w:r w:rsidRPr="00405303">
        <w:rPr>
          <w:bCs/>
          <w:color w:val="002060"/>
          <w:sz w:val="16"/>
          <w:szCs w:val="16"/>
        </w:rPr>
        <w:t>Директор- Шибакин, (-12.1936-39 г.)- И.И. Лисин, (1939-40 г.)- И.Т. Скиданенко, (1940 г.)- А.И. Бертинов, (1960-е</w:t>
      </w:r>
      <w:r w:rsidR="000F5756">
        <w:rPr>
          <w:bCs/>
          <w:color w:val="002060"/>
          <w:sz w:val="16"/>
          <w:szCs w:val="16"/>
        </w:rPr>
        <w:t xml:space="preserve"> </w:t>
      </w:r>
      <w:r w:rsidRPr="00405303">
        <w:rPr>
          <w:bCs/>
          <w:color w:val="002060"/>
          <w:sz w:val="16"/>
          <w:szCs w:val="16"/>
        </w:rPr>
        <w:t>г.)- И.В. Верба, (1990-е</w:t>
      </w:r>
      <w:r w:rsidR="000F5756">
        <w:rPr>
          <w:bCs/>
          <w:color w:val="002060"/>
          <w:sz w:val="16"/>
          <w:szCs w:val="16"/>
        </w:rPr>
        <w:t xml:space="preserve"> </w:t>
      </w:r>
      <w:r w:rsidRPr="00405303">
        <w:rPr>
          <w:bCs/>
          <w:color w:val="002060"/>
          <w:sz w:val="16"/>
          <w:szCs w:val="16"/>
        </w:rPr>
        <w:t>г.)- В.В. Григорьев, (2003 г.)- А.В. Карпенко.</w:t>
      </w:r>
    </w:p>
    <w:p w14:paraId="2702B8BF" w14:textId="77777777" w:rsidR="004B4E35" w:rsidRPr="00405303" w:rsidRDefault="009E6F82" w:rsidP="00C15251">
      <w:pPr>
        <w:jc w:val="both"/>
        <w:rPr>
          <w:bCs/>
          <w:color w:val="002060"/>
          <w:sz w:val="16"/>
          <w:szCs w:val="16"/>
        </w:rPr>
      </w:pPr>
      <w:r w:rsidRPr="00405303">
        <w:rPr>
          <w:bCs/>
          <w:color w:val="002060"/>
          <w:sz w:val="16"/>
          <w:szCs w:val="16"/>
        </w:rPr>
        <w:t>Гл. инженер (1937 г.)- Шевченко.</w:t>
      </w:r>
    </w:p>
    <w:p w14:paraId="2E764BE8" w14:textId="55DB4357" w:rsidR="004B4E35" w:rsidRPr="00405303" w:rsidRDefault="009E6F82" w:rsidP="00C15251">
      <w:pPr>
        <w:jc w:val="both"/>
        <w:rPr>
          <w:bCs/>
          <w:color w:val="002060"/>
          <w:sz w:val="16"/>
          <w:szCs w:val="16"/>
        </w:rPr>
      </w:pPr>
      <w:r w:rsidRPr="00405303">
        <w:rPr>
          <w:bCs/>
          <w:color w:val="002060"/>
          <w:sz w:val="16"/>
          <w:szCs w:val="16"/>
        </w:rPr>
        <w:t>Гл. конструктор (1960-е</w:t>
      </w:r>
      <w:r w:rsidR="000F5756">
        <w:rPr>
          <w:bCs/>
          <w:color w:val="002060"/>
          <w:sz w:val="16"/>
          <w:szCs w:val="16"/>
        </w:rPr>
        <w:t xml:space="preserve"> </w:t>
      </w:r>
      <w:r w:rsidRPr="00405303">
        <w:rPr>
          <w:bCs/>
          <w:color w:val="002060"/>
          <w:sz w:val="16"/>
          <w:szCs w:val="16"/>
        </w:rPr>
        <w:t>г.)- М.Н. Курочкин.</w:t>
      </w:r>
    </w:p>
    <w:p w14:paraId="0B4AD8EE" w14:textId="77777777" w:rsidR="004B4E35" w:rsidRPr="00405303" w:rsidRDefault="009E6F82" w:rsidP="00C15251">
      <w:pPr>
        <w:jc w:val="both"/>
        <w:rPr>
          <w:bCs/>
          <w:color w:val="002060"/>
          <w:sz w:val="16"/>
          <w:szCs w:val="16"/>
        </w:rPr>
      </w:pPr>
      <w:r w:rsidRPr="00405303">
        <w:rPr>
          <w:bCs/>
          <w:color w:val="002060"/>
          <w:sz w:val="16"/>
          <w:szCs w:val="16"/>
        </w:rPr>
        <w:t>Начальники цехов: Шевченко.</w:t>
      </w:r>
    </w:p>
    <w:p w14:paraId="5170C72D" w14:textId="77777777" w:rsidR="004B4E35" w:rsidRPr="00405303" w:rsidRDefault="009E6F82" w:rsidP="00C15251">
      <w:pPr>
        <w:jc w:val="both"/>
        <w:rPr>
          <w:bCs/>
          <w:color w:val="002060"/>
          <w:sz w:val="16"/>
          <w:szCs w:val="16"/>
        </w:rPr>
      </w:pPr>
      <w:r w:rsidRPr="00405303">
        <w:rPr>
          <w:bCs/>
          <w:color w:val="002060"/>
          <w:sz w:val="16"/>
          <w:szCs w:val="16"/>
        </w:rPr>
        <w:t>Начальники отделов: (08.1938 г.)-Л.И. Шнее.</w:t>
      </w:r>
    </w:p>
    <w:p w14:paraId="6E95E356" w14:textId="77777777" w:rsidR="004B4E35" w:rsidRPr="00405303" w:rsidRDefault="009E6F82" w:rsidP="00C15251">
      <w:pPr>
        <w:jc w:val="both"/>
        <w:rPr>
          <w:bCs/>
          <w:color w:val="002060"/>
          <w:sz w:val="16"/>
          <w:szCs w:val="16"/>
        </w:rPr>
      </w:pPr>
      <w:r w:rsidRPr="00405303">
        <w:rPr>
          <w:bCs/>
          <w:color w:val="002060"/>
          <w:sz w:val="16"/>
          <w:szCs w:val="16"/>
        </w:rPr>
        <w:t>Производство: электрооборудование для командно-дальномерного поста КДП</w:t>
      </w:r>
      <w:r w:rsidRPr="00405303">
        <w:rPr>
          <w:bCs/>
          <w:color w:val="002060"/>
          <w:sz w:val="16"/>
          <w:szCs w:val="16"/>
          <w:vertAlign w:val="subscript"/>
        </w:rPr>
        <w:t>3</w:t>
      </w:r>
      <w:r w:rsidRPr="00405303">
        <w:rPr>
          <w:bCs/>
          <w:color w:val="002060"/>
          <w:sz w:val="16"/>
          <w:szCs w:val="16"/>
        </w:rPr>
        <w:t>-6 крейсера «Киров»; электродвигатели: УТ, постоянного тока ПН-20, -32 (1938);</w:t>
      </w:r>
      <w:r w:rsidRPr="00405303">
        <w:rPr>
          <w:bCs/>
          <w:color w:val="002060"/>
          <w:sz w:val="16"/>
          <w:szCs w:val="16"/>
          <w:vertAlign w:val="superscript"/>
        </w:rPr>
        <w:t>139</w:t>
      </w:r>
      <w:r w:rsidRPr="00405303">
        <w:rPr>
          <w:bCs/>
          <w:color w:val="002060"/>
          <w:sz w:val="16"/>
          <w:szCs w:val="16"/>
        </w:rPr>
        <w:t xml:space="preserve"> ГТЗА ТВ-7 (1940-е).</w:t>
      </w:r>
    </w:p>
    <w:p w14:paraId="073F39DB" w14:textId="77777777" w:rsidR="004B4E35" w:rsidRPr="00405303" w:rsidRDefault="009E6F82" w:rsidP="00C15251">
      <w:pPr>
        <w:jc w:val="both"/>
        <w:rPr>
          <w:bCs/>
          <w:color w:val="002060"/>
          <w:sz w:val="16"/>
          <w:szCs w:val="16"/>
        </w:rPr>
      </w:pPr>
      <w:r w:rsidRPr="00405303">
        <w:rPr>
          <w:bCs/>
          <w:color w:val="002060"/>
          <w:sz w:val="16"/>
          <w:szCs w:val="16"/>
        </w:rPr>
        <w:t>Харьковский турбинный, турбогенераторный завод им. Кирова НКТМ /г. Харьков/</w:t>
      </w:r>
    </w:p>
    <w:p w14:paraId="1F9B3158" w14:textId="14BE7798" w:rsidR="004B4E35" w:rsidRPr="00405303" w:rsidRDefault="009E6F82" w:rsidP="00C15251">
      <w:pPr>
        <w:jc w:val="both"/>
        <w:rPr>
          <w:bCs/>
          <w:color w:val="002060"/>
          <w:sz w:val="16"/>
          <w:szCs w:val="16"/>
        </w:rPr>
      </w:pPr>
      <w:r w:rsidRPr="00405303">
        <w:rPr>
          <w:bCs/>
          <w:color w:val="002060"/>
          <w:sz w:val="16"/>
          <w:szCs w:val="16"/>
        </w:rPr>
        <w:t>В соответствии с пост. СТО от 11.07.1933 г. завод переориентирован на выпуск судовых энергетических установок.</w:t>
      </w:r>
      <w:r w:rsidRPr="00405303">
        <w:rPr>
          <w:bCs/>
          <w:color w:val="002060"/>
          <w:sz w:val="16"/>
          <w:szCs w:val="16"/>
          <w:vertAlign w:val="superscript"/>
        </w:rPr>
        <w:t>92</w:t>
      </w:r>
      <w:r w:rsidRPr="00405303">
        <w:rPr>
          <w:bCs/>
          <w:color w:val="002060"/>
          <w:sz w:val="16"/>
          <w:szCs w:val="16"/>
        </w:rPr>
        <w:t xml:space="preserve"> В конце 1930-х</w:t>
      </w:r>
      <w:r w:rsidR="000F5756">
        <w:rPr>
          <w:bCs/>
          <w:color w:val="002060"/>
          <w:sz w:val="16"/>
          <w:szCs w:val="16"/>
        </w:rPr>
        <w:t xml:space="preserve"> </w:t>
      </w:r>
      <w:r w:rsidRPr="00405303">
        <w:rPr>
          <w:bCs/>
          <w:color w:val="002060"/>
          <w:sz w:val="16"/>
          <w:szCs w:val="16"/>
        </w:rPr>
        <w:t>г. строились самые мощные в мире главные механизмы для линкоров пр. 23.</w:t>
      </w:r>
    </w:p>
    <w:p w14:paraId="1FC0CBF2" w14:textId="77777777" w:rsidR="004B4E35" w:rsidRPr="00405303" w:rsidRDefault="009E6F82" w:rsidP="00C15251">
      <w:pPr>
        <w:jc w:val="both"/>
        <w:rPr>
          <w:bCs/>
          <w:color w:val="002060"/>
          <w:sz w:val="16"/>
          <w:szCs w:val="16"/>
        </w:rPr>
      </w:pPr>
      <w:r w:rsidRPr="00405303">
        <w:rPr>
          <w:bCs/>
          <w:color w:val="002060"/>
          <w:sz w:val="16"/>
          <w:szCs w:val="16"/>
        </w:rPr>
        <w:t>В 01.1936 г. директор завода снят за невыполнение плана по сдаче турбин для кораблей ВМФ.</w:t>
      </w:r>
    </w:p>
    <w:p w14:paraId="425CC7A0" w14:textId="77777777" w:rsidR="004B4E35" w:rsidRPr="00405303" w:rsidRDefault="009E6F82" w:rsidP="00C15251">
      <w:pPr>
        <w:jc w:val="both"/>
        <w:rPr>
          <w:bCs/>
          <w:color w:val="002060"/>
          <w:sz w:val="16"/>
          <w:szCs w:val="16"/>
        </w:rPr>
      </w:pPr>
      <w:r w:rsidRPr="00405303">
        <w:rPr>
          <w:bCs/>
          <w:color w:val="002060"/>
          <w:sz w:val="16"/>
          <w:szCs w:val="16"/>
        </w:rPr>
        <w:t>В 01.1937 г. завод влит в состав ХЭМЗ, объединенный завод получил название ХЭТЗ.</w:t>
      </w:r>
    </w:p>
    <w:p w14:paraId="7C630E40" w14:textId="77777777" w:rsidR="004B4E35" w:rsidRPr="00405303" w:rsidRDefault="009E6F82" w:rsidP="00C15251">
      <w:pPr>
        <w:jc w:val="both"/>
        <w:rPr>
          <w:bCs/>
          <w:color w:val="002060"/>
          <w:sz w:val="16"/>
          <w:szCs w:val="16"/>
        </w:rPr>
      </w:pPr>
      <w:r w:rsidRPr="00405303">
        <w:rPr>
          <w:bCs/>
          <w:color w:val="002060"/>
          <w:sz w:val="16"/>
          <w:szCs w:val="16"/>
        </w:rPr>
        <w:t>В 1941 г. после начала войны эвакуирован на площадку Уральского турбинного завода.</w:t>
      </w:r>
    </w:p>
    <w:p w14:paraId="7F26B83D" w14:textId="77777777" w:rsidR="004B4E35" w:rsidRPr="00405303" w:rsidRDefault="009E6F82" w:rsidP="00C15251">
      <w:pPr>
        <w:jc w:val="both"/>
        <w:rPr>
          <w:bCs/>
          <w:color w:val="002060"/>
          <w:sz w:val="16"/>
          <w:szCs w:val="16"/>
        </w:rPr>
      </w:pPr>
      <w:r w:rsidRPr="00405303">
        <w:rPr>
          <w:bCs/>
          <w:color w:val="002060"/>
          <w:sz w:val="16"/>
          <w:szCs w:val="16"/>
        </w:rPr>
        <w:t>В соответствии с пост. ГКО № 4821 от 21.12.1943 г. начато восстановление Харьковского турбогенераторного завода им. Кирова; распоряжением ГКО № 4931 от 11.01.1944 г. на восстановление направлено 1500 военнообязанных, не годных к строевой службе.</w:t>
      </w:r>
    </w:p>
    <w:p w14:paraId="0B76FA45" w14:textId="77777777" w:rsidR="004B4E35" w:rsidRPr="00405303" w:rsidRDefault="009E6F82" w:rsidP="00C15251">
      <w:pPr>
        <w:jc w:val="both"/>
        <w:rPr>
          <w:bCs/>
          <w:color w:val="002060"/>
          <w:sz w:val="16"/>
          <w:szCs w:val="16"/>
        </w:rPr>
      </w:pPr>
      <w:r w:rsidRPr="00405303">
        <w:rPr>
          <w:bCs/>
          <w:color w:val="002060"/>
          <w:sz w:val="16"/>
          <w:szCs w:val="16"/>
        </w:rPr>
        <w:t>В соответствии с пост. ГКО № 5810 от 4.05.1944 г. при заводе организовано КБ по проектированию главных турбозубчатых агрегатов (ГТЗА) для кораблей ВМФ.</w:t>
      </w:r>
    </w:p>
    <w:p w14:paraId="6E6BD127" w14:textId="77777777" w:rsidR="004B4E35" w:rsidRPr="00405303" w:rsidRDefault="009E6F82" w:rsidP="00C15251">
      <w:pPr>
        <w:jc w:val="both"/>
        <w:rPr>
          <w:bCs/>
          <w:color w:val="002060"/>
          <w:sz w:val="16"/>
          <w:szCs w:val="16"/>
        </w:rPr>
      </w:pPr>
      <w:r w:rsidRPr="00405303">
        <w:rPr>
          <w:bCs/>
          <w:color w:val="002060"/>
          <w:sz w:val="16"/>
          <w:szCs w:val="16"/>
        </w:rPr>
        <w:t>Директор (-01.1936 г.)- Шибакин (снят), (01.1936 г.-)- Ицхакин.</w:t>
      </w:r>
    </w:p>
    <w:p w14:paraId="3943A5D4" w14:textId="77777777" w:rsidR="004B4E35" w:rsidRPr="00405303" w:rsidRDefault="009E6F82" w:rsidP="00C15251">
      <w:pPr>
        <w:jc w:val="both"/>
        <w:rPr>
          <w:bCs/>
          <w:color w:val="002060"/>
          <w:sz w:val="16"/>
          <w:szCs w:val="16"/>
        </w:rPr>
      </w:pPr>
      <w:r w:rsidRPr="00405303">
        <w:rPr>
          <w:bCs/>
          <w:color w:val="002060"/>
          <w:sz w:val="16"/>
          <w:szCs w:val="16"/>
        </w:rPr>
        <w:t>Зам. директора (1936 г.-)- Девьятков (репрессирован), (1936 г.-)- Флаум.</w:t>
      </w:r>
    </w:p>
    <w:p w14:paraId="733D75C7" w14:textId="77777777" w:rsidR="004B4E35" w:rsidRPr="00405303" w:rsidRDefault="009E6F82" w:rsidP="00C15251">
      <w:pPr>
        <w:jc w:val="both"/>
        <w:rPr>
          <w:bCs/>
          <w:color w:val="002060"/>
          <w:sz w:val="16"/>
          <w:szCs w:val="16"/>
        </w:rPr>
      </w:pPr>
      <w:r w:rsidRPr="00405303">
        <w:rPr>
          <w:bCs/>
          <w:color w:val="002060"/>
          <w:sz w:val="16"/>
          <w:szCs w:val="16"/>
        </w:rPr>
        <w:t>Технический директор (-1937 г.)- Зак.</w:t>
      </w:r>
      <w:r w:rsidRPr="00405303">
        <w:rPr>
          <w:bCs/>
          <w:color w:val="002060"/>
          <w:sz w:val="16"/>
          <w:szCs w:val="16"/>
          <w:vertAlign w:val="superscript"/>
        </w:rPr>
        <w:t>139</w:t>
      </w:r>
    </w:p>
    <w:p w14:paraId="17DC433D" w14:textId="77777777" w:rsidR="004B4E35" w:rsidRPr="00405303" w:rsidRDefault="009E6F82" w:rsidP="00C15251">
      <w:pPr>
        <w:jc w:val="both"/>
        <w:rPr>
          <w:bCs/>
          <w:color w:val="002060"/>
          <w:sz w:val="16"/>
          <w:szCs w:val="16"/>
        </w:rPr>
      </w:pPr>
      <w:r w:rsidRPr="00405303">
        <w:rPr>
          <w:bCs/>
          <w:color w:val="002060"/>
          <w:sz w:val="16"/>
          <w:szCs w:val="16"/>
        </w:rPr>
        <w:t>Производство; ГТЗА: для эсминцев пр. 7 (1930-е), для крейсеров пр. 26 «Ворошилов» (1936), пр. 26бис (1937) для линкоров пр. 23 (1938-40-).</w:t>
      </w:r>
    </w:p>
    <w:p w14:paraId="780C3D05" w14:textId="6C819457" w:rsidR="004B4E35" w:rsidRPr="00405303" w:rsidRDefault="009E6F82" w:rsidP="00C15251">
      <w:pPr>
        <w:jc w:val="both"/>
        <w:rPr>
          <w:bCs/>
          <w:color w:val="002060"/>
          <w:sz w:val="16"/>
          <w:szCs w:val="16"/>
        </w:rPr>
      </w:pPr>
      <w:r w:rsidRPr="00405303">
        <w:rPr>
          <w:bCs/>
          <w:color w:val="002060"/>
          <w:sz w:val="16"/>
          <w:szCs w:val="16"/>
        </w:rPr>
        <w:t>Октябрьский завод низковольтной аппаратуры /Башкирия</w:t>
      </w:r>
      <w:r w:rsidR="000F5756">
        <w:rPr>
          <w:bCs/>
          <w:color w:val="002060"/>
          <w:sz w:val="16"/>
          <w:szCs w:val="16"/>
        </w:rPr>
        <w:t xml:space="preserve"> </w:t>
      </w:r>
      <w:r w:rsidRPr="00405303">
        <w:rPr>
          <w:bCs/>
          <w:color w:val="002060"/>
          <w:sz w:val="16"/>
          <w:szCs w:val="16"/>
        </w:rPr>
        <w:t>г. Октябрьский/</w:t>
      </w:r>
    </w:p>
    <w:p w14:paraId="088DDC0F" w14:textId="18267977" w:rsidR="004B4E35" w:rsidRPr="00405303" w:rsidRDefault="009E6F82" w:rsidP="00C15251">
      <w:pPr>
        <w:jc w:val="both"/>
        <w:rPr>
          <w:bCs/>
          <w:color w:val="002060"/>
          <w:sz w:val="16"/>
          <w:szCs w:val="16"/>
        </w:rPr>
      </w:pPr>
      <w:r w:rsidRPr="00405303">
        <w:rPr>
          <w:bCs/>
          <w:color w:val="002060"/>
          <w:sz w:val="16"/>
          <w:szCs w:val="16"/>
        </w:rPr>
        <w:t>Был в 1960-е</w:t>
      </w:r>
      <w:r w:rsidR="000F5756">
        <w:rPr>
          <w:bCs/>
          <w:color w:val="002060"/>
          <w:sz w:val="16"/>
          <w:szCs w:val="16"/>
        </w:rPr>
        <w:t xml:space="preserve"> </w:t>
      </w:r>
      <w:r w:rsidRPr="00405303">
        <w:rPr>
          <w:bCs/>
          <w:color w:val="002060"/>
          <w:sz w:val="16"/>
          <w:szCs w:val="16"/>
        </w:rPr>
        <w:t>г., в 1977 г. вошел в состав ПО «Электроаппарат». В 1987 г. завод перешел на выпуск оборонной продукции и вновь стал самостоятельным (11982).</w:t>
      </w:r>
    </w:p>
    <w:p w14:paraId="453FED03" w14:textId="77777777" w:rsidR="004B4E35" w:rsidRPr="00405303" w:rsidRDefault="004B4E35" w:rsidP="00C15251">
      <w:pPr>
        <w:jc w:val="both"/>
        <w:rPr>
          <w:bCs/>
          <w:color w:val="002060"/>
          <w:sz w:val="16"/>
          <w:szCs w:val="16"/>
        </w:rPr>
      </w:pPr>
    </w:p>
    <w:p w14:paraId="0905644A" w14:textId="77777777" w:rsidR="00A712F5" w:rsidRPr="00405303" w:rsidRDefault="00A712F5" w:rsidP="00C15251">
      <w:pPr>
        <w:jc w:val="both"/>
        <w:rPr>
          <w:bCs/>
          <w:color w:val="002060"/>
          <w:sz w:val="16"/>
          <w:szCs w:val="16"/>
        </w:rPr>
      </w:pPr>
      <w:r w:rsidRPr="00405303">
        <w:rPr>
          <w:bCs/>
          <w:color w:val="002060"/>
          <w:sz w:val="16"/>
          <w:szCs w:val="16"/>
        </w:rPr>
        <w:t>В июле 1915 г. распоряжением главковерха (приказ № 625) в районе Юго-Западного фронта был организован военно-химический завод для выработки хлорацетона. До ноября 1915 г. завод находился в ведении начальника инженерных снабжений фронта, а затем поступил в распоряжение ГАУ, которое расширило завод, устроило в нем лабораторию и установило производство хлорпикрина (20246).</w:t>
      </w:r>
    </w:p>
    <w:p w14:paraId="2EE51452" w14:textId="77777777" w:rsidR="00A712F5" w:rsidRPr="00405303" w:rsidRDefault="00A712F5" w:rsidP="00C15251">
      <w:pPr>
        <w:jc w:val="both"/>
        <w:rPr>
          <w:bCs/>
          <w:color w:val="002060"/>
          <w:sz w:val="16"/>
          <w:szCs w:val="16"/>
        </w:rPr>
      </w:pPr>
    </w:p>
    <w:p w14:paraId="2549526D" w14:textId="77777777" w:rsidR="00A712F5" w:rsidRPr="00405303" w:rsidRDefault="00A712F5" w:rsidP="00C15251">
      <w:pPr>
        <w:jc w:val="both"/>
        <w:rPr>
          <w:bCs/>
          <w:color w:val="002060"/>
          <w:sz w:val="16"/>
          <w:szCs w:val="16"/>
        </w:rPr>
      </w:pPr>
      <w:r w:rsidRPr="00405303">
        <w:rPr>
          <w:bCs/>
          <w:color w:val="002060"/>
          <w:sz w:val="16"/>
          <w:szCs w:val="16"/>
        </w:rPr>
        <w:t>В июле 1915 ввиду угрозы оккупации вследствие успешного развития немецкого наступления, предприятия Рижского промышленного района были эвакуированы вглубь страны. Так, фабрики «Цейсс» и «Герц» оказались в Петрограде, а в мае 1916 г. заводы были реквизированы, и на их базе был создан казенный Оптический завод ГАУ (первоначально размещался в одном из зданий Петроградского патронного завода (Тихвинская, 15, ныне — Михайлова), позже был перемещен в помещения бывшей казенной пробочной фабрики (Новгородская, 10 А, контора — Новгородская, 13)), управляющим которого продолжал оставаться Лойко. Завод считался образцовым, его мощность была увеличена за счет закупки оборудования в США и приблизительно соответствовала мощности мастерской Обуховского завода (22777).</w:t>
      </w:r>
    </w:p>
    <w:p w14:paraId="08EBE1C3" w14:textId="77777777" w:rsidR="00A712F5" w:rsidRPr="00405303" w:rsidRDefault="00A712F5" w:rsidP="00C15251">
      <w:pPr>
        <w:jc w:val="both"/>
        <w:rPr>
          <w:bCs/>
          <w:color w:val="002060"/>
          <w:sz w:val="16"/>
          <w:szCs w:val="16"/>
        </w:rPr>
      </w:pPr>
    </w:p>
    <w:p w14:paraId="19AE31DB" w14:textId="77777777" w:rsidR="008A2252" w:rsidRPr="00405303" w:rsidRDefault="008A2252" w:rsidP="00C15251">
      <w:pPr>
        <w:jc w:val="both"/>
        <w:rPr>
          <w:bCs/>
          <w:color w:val="002060"/>
          <w:sz w:val="16"/>
          <w:szCs w:val="16"/>
        </w:rPr>
      </w:pPr>
      <w:r w:rsidRPr="00405303">
        <w:rPr>
          <w:bCs/>
          <w:color w:val="002060"/>
          <w:sz w:val="16"/>
          <w:szCs w:val="16"/>
        </w:rPr>
        <w:lastRenderedPageBreak/>
        <w:t>В июле 1915 г. Ижевский завод выпускал 2500 винтовок в день, в ноябре — свыше 3000. Одновременно продолжалось выполнение «плана коренного переустройства Ижевских за</w:t>
      </w:r>
      <w:r w:rsidRPr="00405303">
        <w:rPr>
          <w:bCs/>
          <w:color w:val="002060"/>
          <w:sz w:val="16"/>
          <w:szCs w:val="16"/>
        </w:rPr>
        <w:softHyphen/>
        <w:t>водов» (постройка новых зданий, расширение листопрокат</w:t>
      </w:r>
      <w:r w:rsidRPr="00405303">
        <w:rPr>
          <w:bCs/>
          <w:color w:val="002060"/>
          <w:sz w:val="16"/>
          <w:szCs w:val="16"/>
        </w:rPr>
        <w:softHyphen/>
        <w:t>ной мастерской, оборудование прокатных станов) (Шумилов Е.Ф. Город оружейников. 1807—1917. Два века «Ижмаша». Ижевск, 2002. Т. 1. С. 450; РГВИА. Ф. 29. Оп. 3. Д. 730. Л. 60 об.; Д. 943. Л. 36-37; Ф. 369. Оп. 16. Д. 39. Л. 20 об.) (23452).</w:t>
      </w:r>
    </w:p>
    <w:p w14:paraId="4ABB60B8" w14:textId="77777777" w:rsidR="008A2252" w:rsidRPr="00405303" w:rsidRDefault="008A2252" w:rsidP="00C15251">
      <w:pPr>
        <w:jc w:val="both"/>
        <w:rPr>
          <w:bCs/>
          <w:color w:val="002060"/>
          <w:sz w:val="16"/>
          <w:szCs w:val="16"/>
        </w:rPr>
      </w:pPr>
    </w:p>
    <w:p w14:paraId="117A5B99" w14:textId="77777777" w:rsidR="008A2252" w:rsidRPr="00405303" w:rsidRDefault="008A2252" w:rsidP="00C15251">
      <w:pPr>
        <w:jc w:val="both"/>
        <w:rPr>
          <w:bCs/>
          <w:color w:val="002060"/>
          <w:sz w:val="16"/>
          <w:szCs w:val="16"/>
        </w:rPr>
      </w:pPr>
      <w:r w:rsidRPr="00405303">
        <w:rPr>
          <w:bCs/>
          <w:color w:val="002060"/>
          <w:sz w:val="16"/>
          <w:szCs w:val="16"/>
        </w:rPr>
        <w:t>В июле 1915 г. Симбирский город</w:t>
      </w:r>
      <w:r w:rsidRPr="00405303">
        <w:rPr>
          <w:bCs/>
          <w:color w:val="002060"/>
          <w:sz w:val="16"/>
          <w:szCs w:val="16"/>
        </w:rPr>
        <w:softHyphen/>
        <w:t>ской голова Л.И. Афанасьев отправился в Петроград для ведения переговоров; в сентябре закончились изыскатель</w:t>
      </w:r>
      <w:r w:rsidRPr="00405303">
        <w:rPr>
          <w:bCs/>
          <w:color w:val="002060"/>
          <w:sz w:val="16"/>
          <w:szCs w:val="16"/>
        </w:rPr>
        <w:softHyphen/>
        <w:t>ские работы и проектирование завода. Строительную ко</w:t>
      </w:r>
      <w:r w:rsidRPr="00405303">
        <w:rPr>
          <w:bCs/>
          <w:color w:val="002060"/>
          <w:sz w:val="16"/>
          <w:szCs w:val="16"/>
        </w:rPr>
        <w:softHyphen/>
        <w:t>миссию ГАУ в Симбирске возглавлял С.А. Зыбин, ранее являвшийся начальником Самарского трубочного завода.</w:t>
      </w:r>
    </w:p>
    <w:p w14:paraId="1E18AD83" w14:textId="77777777" w:rsidR="008A2252" w:rsidRPr="00405303" w:rsidRDefault="008A2252"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По проектной мощности новый завод с годовым выпу</w:t>
      </w:r>
      <w:r w:rsidRPr="00405303">
        <w:rPr>
          <w:rFonts w:ascii="Times New Roman" w:hAnsi="Times New Roman" w:cs="Times New Roman"/>
          <w:bCs/>
          <w:color w:val="002060"/>
          <w:sz w:val="16"/>
          <w:szCs w:val="16"/>
        </w:rPr>
        <w:softHyphen/>
        <w:t>ском 840 млн патронов значительно превосходил Тульский (частный) патронный завод, расширявшийся (на казенную субсидию) до выпуска 360 млн патронов в год (фактически в 1916—1917 гг. выпускал по 300—313 млн) (РГВИА. Ф. 504. Оп. 32. Д. 513. Л. 63; Ф. 29. Оп. 3. Д. 780. Л. 3 об.; Ефимов Ю.Д. Симбирск в годы Первой мировой войны. 1914—1918. Ульяновск, 2006. С. 54—55; Королев А.А. Государственно-монополисти</w:t>
      </w:r>
      <w:r w:rsidRPr="00405303">
        <w:rPr>
          <w:rFonts w:ascii="Times New Roman" w:hAnsi="Times New Roman" w:cs="Times New Roman"/>
          <w:bCs/>
          <w:color w:val="002060"/>
          <w:sz w:val="16"/>
          <w:szCs w:val="16"/>
        </w:rPr>
        <w:softHyphen/>
        <w:t>ческий капитализм. С. 117; РГВИА. Ф. 13251. Оп. 28. Д. 1. Л. 79 об.—80). Латунно-мельхиоровый отдел располагал собственной механической мастерской, изготовлявшей несложные станки (РГВИА. Ф. 29. Оп. 3. Д. 970. Л. 142)).</w:t>
      </w:r>
    </w:p>
    <w:p w14:paraId="33C54585" w14:textId="77777777" w:rsidR="008A2252" w:rsidRPr="00405303" w:rsidRDefault="008A2252"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Симбирск для размещения военно-промышленного предприятия представлял удобство своим расположением на железнодорожных линиях и на Волге (в дальнейшем этот узел путей сообщения получил дополнительное развитие: были построены мост через Волгу, связавший центр России с Сибирью и Уралом, дорога на Нижний Новгород). Вопрос об отводе места для военного завода рассматривался в го</w:t>
      </w:r>
      <w:r w:rsidRPr="00405303">
        <w:rPr>
          <w:rFonts w:ascii="Times New Roman" w:hAnsi="Times New Roman" w:cs="Times New Roman"/>
          <w:bCs/>
          <w:color w:val="002060"/>
          <w:sz w:val="16"/>
          <w:szCs w:val="16"/>
        </w:rPr>
        <w:softHyphen/>
        <w:t>родской думе с 1912 г., сначала речь шла о пушечном, затем о пороховом, а с 1914 г. о патронном (23452).</w:t>
      </w:r>
    </w:p>
    <w:p w14:paraId="3208CB5F" w14:textId="77777777" w:rsidR="008A2252" w:rsidRPr="00405303" w:rsidRDefault="008A2252" w:rsidP="00C15251">
      <w:pPr>
        <w:jc w:val="both"/>
        <w:rPr>
          <w:bCs/>
          <w:color w:val="002060"/>
          <w:sz w:val="16"/>
          <w:szCs w:val="16"/>
        </w:rPr>
      </w:pPr>
    </w:p>
    <w:p w14:paraId="166EBD00" w14:textId="77777777" w:rsidR="008A2252" w:rsidRPr="00405303" w:rsidRDefault="008A2252"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В июле 1915 г. был создан так называемый Гранатный комитет, объединявший группу предприятий во главе с Путиловским заводом, Русско-Азиатским банком и фран</w:t>
      </w:r>
      <w:r w:rsidRPr="00405303">
        <w:rPr>
          <w:rFonts w:ascii="Times New Roman" w:hAnsi="Times New Roman" w:cs="Times New Roman"/>
          <w:bCs/>
          <w:color w:val="002060"/>
          <w:sz w:val="16"/>
          <w:szCs w:val="16"/>
        </w:rPr>
        <w:softHyphen/>
        <w:t>цузской фирмой «Шнейдер», который вскоре получил ка</w:t>
      </w:r>
      <w:r w:rsidRPr="00405303">
        <w:rPr>
          <w:rFonts w:ascii="Times New Roman" w:hAnsi="Times New Roman" w:cs="Times New Roman"/>
          <w:bCs/>
          <w:color w:val="002060"/>
          <w:sz w:val="16"/>
          <w:szCs w:val="16"/>
        </w:rPr>
        <w:softHyphen/>
        <w:t>зенный заказ на 113 млн руб. (Крупина Т.Д. Политический кризис 1915 г. и создание Особого совещания по обороне // Исторические записки. 1969. Т. 83. С. 66). Позднее с участниками этого объединения договоры были перезаключены — с понижением цен). 21 мая 1916 г. Шуваев ут</w:t>
      </w:r>
      <w:r w:rsidRPr="00405303">
        <w:rPr>
          <w:rFonts w:ascii="Times New Roman" w:hAnsi="Times New Roman" w:cs="Times New Roman"/>
          <w:bCs/>
          <w:color w:val="002060"/>
          <w:sz w:val="16"/>
          <w:szCs w:val="16"/>
        </w:rPr>
        <w:softHyphen/>
        <w:t>вердил решение о его ликвидации (23452).</w:t>
      </w:r>
    </w:p>
    <w:p w14:paraId="31557966" w14:textId="77777777" w:rsidR="008A2252" w:rsidRPr="00405303" w:rsidRDefault="008A2252" w:rsidP="00C15251">
      <w:pPr>
        <w:jc w:val="both"/>
        <w:rPr>
          <w:bCs/>
          <w:color w:val="002060"/>
          <w:sz w:val="16"/>
          <w:szCs w:val="16"/>
        </w:rPr>
      </w:pPr>
    </w:p>
    <w:p w14:paraId="40746375"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4C185166" w14:textId="77777777" w:rsidR="004B4E35" w:rsidRPr="00405303" w:rsidRDefault="004B4E35" w:rsidP="00C15251">
      <w:pPr>
        <w:jc w:val="both"/>
        <w:rPr>
          <w:bCs/>
          <w:i/>
          <w:color w:val="002060"/>
          <w:sz w:val="16"/>
          <w:szCs w:val="16"/>
        </w:rPr>
      </w:pPr>
    </w:p>
    <w:p w14:paraId="4668D28F" w14:textId="32D42956" w:rsidR="004B4E35" w:rsidRPr="00405303" w:rsidRDefault="00F64A8F"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июле 1915 г. </w:t>
      </w:r>
      <w:r w:rsidRPr="00405303">
        <w:rPr>
          <w:bCs/>
          <w:color w:val="002060"/>
          <w:sz w:val="16"/>
          <w:szCs w:val="16"/>
        </w:rPr>
        <w:t xml:space="preserve">ЭВК </w:t>
      </w:r>
      <w:r w:rsidR="009E6F82" w:rsidRPr="00405303">
        <w:rPr>
          <w:bCs/>
          <w:color w:val="002060"/>
          <w:sz w:val="16"/>
          <w:szCs w:val="16"/>
        </w:rPr>
        <w:t>перебазировалась из дер.Старая Яблонна в Лиду, а затем в Псков. В сентябре из Пскова был выделен боевой отряд на Северный фронт в распоряжение 12-й армии. Корабли (1-й лейтенант Лаврова, П-й штабс-капитана Панкратьева, V-й поручика Алехновича, IX-й штабс-капитана Нижевского и "Киевский" штабс-капитана Башко) перелетели на аэродром у станции Зегевольд под Ригой. Панкратьев получил новый корабль типа В №167 с моторами РБ3.6 (аналог "Аргуса"), который по своим характеристикам был прекрасной машиной наряду с "Киевским". "Муромцы" этого отряда совершили до конца 1915 г. на Северном фронте 25 боевых вылетов.</w:t>
      </w:r>
    </w:p>
    <w:p w14:paraId="3E6284D3" w14:textId="77777777" w:rsidR="004B4E35" w:rsidRPr="00405303" w:rsidRDefault="009E6F82" w:rsidP="00C15251">
      <w:pPr>
        <w:jc w:val="both"/>
        <w:rPr>
          <w:bCs/>
          <w:color w:val="002060"/>
          <w:sz w:val="16"/>
          <w:szCs w:val="16"/>
        </w:rPr>
      </w:pPr>
      <w:r w:rsidRPr="00405303">
        <w:rPr>
          <w:bCs/>
          <w:color w:val="002060"/>
          <w:sz w:val="16"/>
          <w:szCs w:val="16"/>
        </w:rPr>
        <w:t>За весь 1915 год воздушные корабли выполнили около 100 боевых полетов, сбросив на противника до 1220 пудов бомб (12038).</w:t>
      </w:r>
    </w:p>
    <w:p w14:paraId="648E7A6D" w14:textId="77777777" w:rsidR="004B4E35" w:rsidRPr="00405303" w:rsidRDefault="004B4E35" w:rsidP="00C15251">
      <w:pPr>
        <w:jc w:val="both"/>
        <w:rPr>
          <w:bCs/>
          <w:color w:val="002060"/>
          <w:sz w:val="16"/>
          <w:szCs w:val="16"/>
        </w:rPr>
      </w:pPr>
    </w:p>
    <w:p w14:paraId="48FB9764" w14:textId="77777777" w:rsidR="004B4E35" w:rsidRPr="00405303" w:rsidRDefault="009E6F82" w:rsidP="00C15251">
      <w:pPr>
        <w:jc w:val="both"/>
        <w:rPr>
          <w:bCs/>
          <w:color w:val="002060"/>
          <w:sz w:val="16"/>
          <w:szCs w:val="16"/>
        </w:rPr>
      </w:pPr>
      <w:r w:rsidRPr="00405303">
        <w:rPr>
          <w:bCs/>
          <w:color w:val="002060"/>
          <w:sz w:val="16"/>
          <w:szCs w:val="16"/>
        </w:rPr>
        <w:t>В июле 1915 года летчик Солодовников на самолете "Ньюпор" осуществил первое бомбометание с пикирования по зенитной батарее противника. Однако бомбардировка, как вид боевых действий ВВС, превратился из сопутствующего воздушной разведке в самостоятельный лишь на на рубеже 1916-17 годов. Особенно эффективными были удары, наносимые с самолетов типа "Илья Муромец". Так, при налете на базу немецкой гидроавиции на озере Ангерн близ Риги было сброшено 72 бомбы, достигнуто 22 попадания в ангары, 11 - в пристань и два - возле взлетавших гидросамолетов. 14 июня 1916 года на "Муромце" был произвенден первый ночной налет на станцию Митава. Калибр бомб, в начале войны не превышавший 10 кг, к 1917 году возрос до 640 кг. Были разработанвы зажигательные и термитные боеприпасы. Самолеты начали оснащаться специальными бомбосбрасывателями, появились механичес иборы Иванова, Ботезата и Гарфа) (11184).</w:t>
      </w:r>
    </w:p>
    <w:p w14:paraId="76EBB177" w14:textId="77777777" w:rsidR="004B4E35" w:rsidRPr="00405303" w:rsidRDefault="004B4E35" w:rsidP="00C15251">
      <w:pPr>
        <w:jc w:val="both"/>
        <w:rPr>
          <w:bCs/>
          <w:color w:val="002060"/>
          <w:sz w:val="16"/>
          <w:szCs w:val="16"/>
        </w:rPr>
      </w:pPr>
    </w:p>
    <w:p w14:paraId="4B040FC6" w14:textId="77777777" w:rsidR="004B4E35" w:rsidRPr="00405303" w:rsidRDefault="009E6F82" w:rsidP="00C15251">
      <w:pPr>
        <w:jc w:val="both"/>
        <w:rPr>
          <w:bCs/>
          <w:color w:val="002060"/>
          <w:sz w:val="16"/>
          <w:szCs w:val="16"/>
        </w:rPr>
      </w:pPr>
      <w:r w:rsidRPr="00405303">
        <w:rPr>
          <w:bCs/>
          <w:color w:val="002060"/>
          <w:sz w:val="16"/>
          <w:szCs w:val="16"/>
        </w:rPr>
        <w:t xml:space="preserve">В июле 1915 года Z-XII бомбил железнодорожные узлы в прифронтовой области и выполнил несколько налетов на Белосток, Малкин, Столбцы и Лунинец. В отдельные дни он сбрасывал на русские города по 1500-3000 кг бомб. За первые десять дней августа 1915 года корабль совершил 18 боевых вылетов и сбросил около 9000 кг бомб. 11 августа дирижабль в районе Осовца был поврежден огнем с земли и отправлен на ремонт. После устранения повреждений из Кенигсберга, а затем из Варшавы Z-XII выполнил ряд налетов на Виленский железнодорожный узел (11324). </w:t>
      </w:r>
    </w:p>
    <w:p w14:paraId="75DE0E58" w14:textId="10428DDB" w:rsidR="004B4E35" w:rsidRPr="00405303" w:rsidRDefault="004B4E35" w:rsidP="00C15251">
      <w:pPr>
        <w:shd w:val="clear" w:color="auto" w:fill="FFFFFF"/>
        <w:jc w:val="both"/>
        <w:rPr>
          <w:bCs/>
          <w:i/>
          <w:color w:val="002060"/>
          <w:sz w:val="16"/>
          <w:szCs w:val="16"/>
        </w:rPr>
      </w:pPr>
    </w:p>
    <w:p w14:paraId="11CD2A89" w14:textId="77777777" w:rsidR="00A712F5" w:rsidRPr="00405303" w:rsidRDefault="00A712F5" w:rsidP="00C15251">
      <w:pPr>
        <w:shd w:val="clear" w:color="auto" w:fill="FFFFFF"/>
        <w:jc w:val="both"/>
        <w:rPr>
          <w:bCs/>
          <w:color w:val="002060"/>
          <w:sz w:val="16"/>
          <w:szCs w:val="16"/>
        </w:rPr>
      </w:pPr>
      <w:r w:rsidRPr="00405303">
        <w:rPr>
          <w:bCs/>
          <w:color w:val="002060"/>
          <w:sz w:val="16"/>
          <w:szCs w:val="16"/>
        </w:rPr>
        <w:t>В июле 1915 года в связи с отступлением российской армии ЭВК перебазировалась из Яблонной в Лиду, а затем во Псков. В сентябре 1915 года из состава ЭВК выделили группу в шесть бомбардировщиков, направив их на Северный фронт с базой в Риге.</w:t>
      </w:r>
    </w:p>
    <w:p w14:paraId="06E58B43" w14:textId="77777777" w:rsidR="00A712F5" w:rsidRPr="00405303" w:rsidRDefault="00A712F5" w:rsidP="00C15251">
      <w:pPr>
        <w:jc w:val="both"/>
        <w:rPr>
          <w:bCs/>
          <w:color w:val="002060"/>
          <w:sz w:val="16"/>
          <w:szCs w:val="16"/>
        </w:rPr>
      </w:pPr>
      <w:r w:rsidRPr="00405303">
        <w:rPr>
          <w:bCs/>
          <w:color w:val="002060"/>
          <w:sz w:val="16"/>
          <w:szCs w:val="16"/>
        </w:rPr>
        <w:t>Создав тяжелый многомоторный самолет «Илья Муромец», конструкторы продолжают совершенствовать летно-тактические данные воздушного корабля, разрабатывая его новые модификации (19957).</w:t>
      </w:r>
    </w:p>
    <w:p w14:paraId="2F1C3360" w14:textId="77777777" w:rsidR="00A712F5" w:rsidRPr="00405303" w:rsidRDefault="00A712F5" w:rsidP="00C15251">
      <w:pPr>
        <w:pStyle w:val="ae"/>
        <w:shd w:val="clear" w:color="auto" w:fill="FFFFFF"/>
        <w:spacing w:before="0" w:beforeAutospacing="0" w:after="0" w:afterAutospacing="0"/>
        <w:jc w:val="both"/>
        <w:rPr>
          <w:bCs/>
          <w:color w:val="002060"/>
          <w:sz w:val="16"/>
          <w:szCs w:val="16"/>
        </w:rPr>
      </w:pPr>
    </w:p>
    <w:p w14:paraId="4EE450CE" w14:textId="77777777" w:rsidR="005F1B95" w:rsidRPr="00405303" w:rsidRDefault="005F1B95" w:rsidP="00C15251">
      <w:pPr>
        <w:jc w:val="both"/>
        <w:rPr>
          <w:bCs/>
          <w:color w:val="002060"/>
          <w:sz w:val="16"/>
          <w:szCs w:val="16"/>
        </w:rPr>
      </w:pPr>
      <w:r w:rsidRPr="00405303">
        <w:rPr>
          <w:bCs/>
          <w:color w:val="002060"/>
          <w:sz w:val="16"/>
          <w:szCs w:val="16"/>
        </w:rPr>
        <w:t>Июль 1915 г. был отмечен высокой степенью активности в воздушной сфере. С постоянной периодичностью над расположением наших войск появлялись германские аэропланы. Но каждый раз, натыкаясь на зенитный огонь, они были вынуждены набирать большую высоту (недосягаемую для огня русской полевой артиллерии) и с неизрасходованным бомбовым запасом поворачивать обратно (23405).</w:t>
      </w:r>
    </w:p>
    <w:p w14:paraId="27FCCFDF" w14:textId="77777777" w:rsidR="005F1B95" w:rsidRPr="00405303" w:rsidRDefault="005F1B95" w:rsidP="00C15251">
      <w:pPr>
        <w:jc w:val="both"/>
        <w:rPr>
          <w:bCs/>
          <w:color w:val="002060"/>
          <w:sz w:val="16"/>
          <w:szCs w:val="16"/>
        </w:rPr>
      </w:pPr>
    </w:p>
    <w:p w14:paraId="726EC9CA" w14:textId="77777777" w:rsidR="00111B81" w:rsidRPr="00405303" w:rsidRDefault="00111B81" w:rsidP="00111B81">
      <w:pPr>
        <w:jc w:val="both"/>
        <w:rPr>
          <w:color w:val="0070C0"/>
          <w:sz w:val="16"/>
          <w:szCs w:val="16"/>
        </w:rPr>
      </w:pPr>
      <w:r w:rsidRPr="00405303">
        <w:rPr>
          <w:rStyle w:val="aa"/>
          <w:rFonts w:ascii="Times New Roman" w:hAnsi="Times New Roman"/>
          <w:color w:val="0070C0"/>
          <w:spacing w:val="0"/>
          <w:sz w:val="16"/>
          <w:szCs w:val="16"/>
        </w:rPr>
        <w:t>Июль 1915 г. был отмечен высокой степенью активности в воздушной сфере. С постоянной периодичностью над расположением наших войск появлялись германские аэропланы. Но каждый раз, натыкаясь на зенитный огонь, они были вынуждены набирать большую высоту (недосягаемую для огня русской полевой артиллерии) и с неизрасходованным бомбовым запасом поворачивать обратно (25135).</w:t>
      </w:r>
    </w:p>
    <w:p w14:paraId="1F40409F" w14:textId="77777777" w:rsidR="00111B81" w:rsidRPr="00405303" w:rsidRDefault="00111B81" w:rsidP="00111B81">
      <w:pPr>
        <w:jc w:val="both"/>
        <w:rPr>
          <w:color w:val="0070C0"/>
          <w:sz w:val="16"/>
          <w:szCs w:val="16"/>
        </w:rPr>
      </w:pPr>
    </w:p>
    <w:p w14:paraId="7EFBDF83" w14:textId="77777777" w:rsidR="00111B81" w:rsidRPr="00405303" w:rsidRDefault="00111B81" w:rsidP="00111B81">
      <w:pPr>
        <w:jc w:val="both"/>
        <w:rPr>
          <w:color w:val="0070C0"/>
          <w:sz w:val="16"/>
          <w:szCs w:val="16"/>
        </w:rPr>
      </w:pPr>
      <w:r w:rsidRPr="00405303">
        <w:rPr>
          <w:rStyle w:val="aa"/>
          <w:rFonts w:ascii="Times New Roman" w:hAnsi="Times New Roman"/>
          <w:color w:val="0070C0"/>
          <w:spacing w:val="0"/>
          <w:sz w:val="16"/>
          <w:szCs w:val="16"/>
        </w:rPr>
        <w:t>В июле 1915 года статус Петроградского района ВоздО получил окончательное закрепление в приказе Верховного главнокомандующего в виде нового официального названия: «Оборона от воздушного нападения Императорской резиденции в Царском Селе и Петрограде». В основе переименования лежали сложившиеся на то время взгляды о приоритетах степени важности прикрываемых объектов от воздушного нападения. Персона государя императора, его семьи и ближайшего окружения оказались в списке стратегически важных объектов страны под № 1. В частности, предлагалось внутри Царскосельского дворца соорудить специальное помещение с бетонным покрытием, исключавшим прямое попадание авиационных бомб в случае воздушных налетов с германской стороны на Императорскую резиденцию (25166).</w:t>
      </w:r>
    </w:p>
    <w:p w14:paraId="1FBA96EF" w14:textId="77777777" w:rsidR="00111B81" w:rsidRPr="00405303" w:rsidRDefault="00111B81" w:rsidP="00111B81">
      <w:pPr>
        <w:jc w:val="both"/>
        <w:rPr>
          <w:color w:val="0070C0"/>
          <w:sz w:val="16"/>
          <w:szCs w:val="16"/>
        </w:rPr>
      </w:pPr>
    </w:p>
    <w:p w14:paraId="28BF5A1B" w14:textId="77777777" w:rsidR="005F1B95" w:rsidRPr="00405303" w:rsidRDefault="005F1B95" w:rsidP="00C15251">
      <w:pPr>
        <w:jc w:val="both"/>
        <w:rPr>
          <w:bCs/>
          <w:color w:val="002060"/>
          <w:sz w:val="16"/>
          <w:szCs w:val="16"/>
        </w:rPr>
      </w:pPr>
      <w:r w:rsidRPr="00405303">
        <w:rPr>
          <w:bCs/>
          <w:color w:val="002060"/>
          <w:sz w:val="16"/>
          <w:szCs w:val="16"/>
        </w:rPr>
        <w:t>С июля по сентябрь 1915 г. дирижабль немецкой армии Z.XII (LZ.26) совершил серию успешных бомбардировок Новогеоргиевска, Белостока, Вильно и Лиды, прежде чем вернуться на запад (23525).</w:t>
      </w:r>
    </w:p>
    <w:p w14:paraId="4FF08B35" w14:textId="77777777" w:rsidR="005F1B95" w:rsidRPr="00405303" w:rsidRDefault="005F1B95" w:rsidP="00C15251">
      <w:pPr>
        <w:jc w:val="both"/>
        <w:rPr>
          <w:bCs/>
          <w:color w:val="002060"/>
          <w:sz w:val="16"/>
          <w:szCs w:val="16"/>
        </w:rPr>
      </w:pPr>
    </w:p>
    <w:p w14:paraId="2EDA5FB4" w14:textId="77777777" w:rsidR="005F1B95" w:rsidRPr="00405303" w:rsidRDefault="005F1B95" w:rsidP="00C15251">
      <w:pPr>
        <w:jc w:val="both"/>
        <w:rPr>
          <w:bCs/>
          <w:color w:val="002060"/>
          <w:sz w:val="16"/>
          <w:szCs w:val="16"/>
        </w:rPr>
      </w:pPr>
      <w:r w:rsidRPr="00405303">
        <w:rPr>
          <w:bCs/>
          <w:color w:val="002060"/>
          <w:sz w:val="16"/>
          <w:szCs w:val="16"/>
        </w:rPr>
        <w:t>В июле 1915 г. на Гутуевском острове открылось Петроградское училище морской авиации. Осенью 1917 года школа была переведена в Ораниенбаум, к западу от Петрограда (23525).</w:t>
      </w:r>
    </w:p>
    <w:p w14:paraId="0A96375D" w14:textId="77777777" w:rsidR="005F1B95" w:rsidRPr="00405303" w:rsidRDefault="005F1B95" w:rsidP="00C15251">
      <w:pPr>
        <w:jc w:val="both"/>
        <w:rPr>
          <w:bCs/>
          <w:color w:val="002060"/>
          <w:sz w:val="16"/>
          <w:szCs w:val="16"/>
        </w:rPr>
      </w:pPr>
    </w:p>
    <w:p w14:paraId="7923711A"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5FB6F5CB" w14:textId="77777777" w:rsidR="004B4E35" w:rsidRPr="00405303" w:rsidRDefault="004B4E35" w:rsidP="00C15251">
      <w:pPr>
        <w:shd w:val="clear" w:color="auto" w:fill="FFFFFF"/>
        <w:jc w:val="both"/>
        <w:rPr>
          <w:bCs/>
          <w:i/>
          <w:color w:val="002060"/>
          <w:sz w:val="16"/>
          <w:szCs w:val="16"/>
        </w:rPr>
      </w:pPr>
    </w:p>
    <w:p w14:paraId="090056A0"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В июле 1915 г., когда ПРОКОФЬЕВ-СЕВЕРСКИЙ Александр Николаевич при возвращении из разведывательного полёта, </w:t>
      </w:r>
      <w:proofErr w:type="gramStart"/>
      <w:r w:rsidRPr="00405303">
        <w:rPr>
          <w:bCs/>
          <w:color w:val="002060"/>
          <w:sz w:val="16"/>
          <w:szCs w:val="16"/>
        </w:rPr>
        <w:t>по-видимому</w:t>
      </w:r>
      <w:proofErr w:type="gramEnd"/>
      <w:r w:rsidRPr="00405303">
        <w:rPr>
          <w:bCs/>
          <w:color w:val="002060"/>
          <w:sz w:val="16"/>
          <w:szCs w:val="16"/>
        </w:rPr>
        <w:t xml:space="preserve"> вследствие грубой посадки в сумерках, механик Блинов выронил 10-фунтовую бомбу от взрыва которой погиб, а Прокофьев был ранен и находился в воде более 20 мин, пока не был подобран. Врачам пришлось ампутировать ему ногу ниже колено. Сам Прокофьев ток рассказал об этом эпизоде: "Было десять часов вечера, когда ном доли знать, что показались две немецкие подводные лодки. Вечер был тихий, но туманный. Я взял с собой механика. Несмотря на неблагоприятную погоду, мне удалось пролететь довольно далеко. Вдруг я заметил, что с мотором творится </w:t>
      </w:r>
      <w:proofErr w:type="gramStart"/>
      <w:r w:rsidRPr="00405303">
        <w:rPr>
          <w:bCs/>
          <w:color w:val="002060"/>
          <w:sz w:val="16"/>
          <w:szCs w:val="16"/>
        </w:rPr>
        <w:t>что то</w:t>
      </w:r>
      <w:proofErr w:type="gramEnd"/>
      <w:r w:rsidRPr="00405303">
        <w:rPr>
          <w:bCs/>
          <w:color w:val="002060"/>
          <w:sz w:val="16"/>
          <w:szCs w:val="16"/>
        </w:rPr>
        <w:t xml:space="preserve"> неладное; пришлось вернуться. Напрасно товарищи уговаривали меня больше не летать. Тянуло. Наше занятие можно уподобить охоте, и инстинкты развиваются охотничьи: выследить добычу и заполонить ее, во что бы то ни стало. Разведка удалась: неприятельские подводные лодки постыдно бежали. Я повернул обратно.</w:t>
      </w:r>
    </w:p>
    <w:p w14:paraId="6D07DE7C" w14:textId="77777777" w:rsidR="004B4E35" w:rsidRPr="00405303" w:rsidRDefault="009E6F82" w:rsidP="00C15251">
      <w:pPr>
        <w:jc w:val="both"/>
        <w:rPr>
          <w:bCs/>
          <w:color w:val="002060"/>
          <w:sz w:val="16"/>
          <w:szCs w:val="16"/>
        </w:rPr>
      </w:pPr>
      <w:r w:rsidRPr="00405303">
        <w:rPr>
          <w:bCs/>
          <w:color w:val="002060"/>
          <w:sz w:val="16"/>
          <w:szCs w:val="16"/>
        </w:rPr>
        <w:t xml:space="preserve">Облака сгустились, и в июльскую полночь было темно, как в сентябрь. Мы летели в каком-то сером месиве. Сверху влажная серая мгла, внизу - подернутая туманом серая гладь моря. Я пролетел 110 верст и со счастливым сознанием исполнения долго стал снижаться. Но нос, авиаторов, всегда сторожат неожиданные опасности. Окруженный высокими пенистыми волнами; гидроплан мчался уже по морю. Вдруг страшный треск; все завертелось, спуталось, и я очутился в воде. От ненавистной причины взорвалась бомба. К счастью, я не потерял сознания, хотя попал на значительную глубину, у меня хватило сил вынырнуть и продержаться за обломки аппарата около 25 минут, пока подоспела помощь. Только когда вынули меня из воды, выяснилось, что правая нога раздроблено ниже колена; ее пришлось отрезать. Механик был </w:t>
      </w:r>
      <w:proofErr w:type="gramStart"/>
      <w:r w:rsidRPr="00405303">
        <w:rPr>
          <w:bCs/>
          <w:color w:val="002060"/>
          <w:sz w:val="16"/>
          <w:szCs w:val="16"/>
        </w:rPr>
        <w:t>разорван</w:t>
      </w:r>
      <w:proofErr w:type="gramEnd"/>
      <w:r w:rsidRPr="00405303">
        <w:rPr>
          <w:bCs/>
          <w:color w:val="002060"/>
          <w:sz w:val="16"/>
          <w:szCs w:val="16"/>
        </w:rPr>
        <w:t xml:space="preserve"> но части. После операции усиленно тренировался ходить сначала на костылях, о потом без костылей, с деревянным протезом ноги".</w:t>
      </w:r>
    </w:p>
    <w:p w14:paraId="61EF3B3F" w14:textId="77777777" w:rsidR="004B4E35" w:rsidRPr="00405303" w:rsidRDefault="009E6F82" w:rsidP="00C15251">
      <w:pPr>
        <w:jc w:val="both"/>
        <w:rPr>
          <w:bCs/>
          <w:color w:val="002060"/>
          <w:sz w:val="16"/>
          <w:szCs w:val="16"/>
        </w:rPr>
      </w:pPr>
      <w:r w:rsidRPr="00405303">
        <w:rPr>
          <w:bCs/>
          <w:color w:val="002060"/>
          <w:sz w:val="16"/>
          <w:szCs w:val="16"/>
        </w:rPr>
        <w:t xml:space="preserve">В документах РГВИА, относящихся к октябрю 1915 г., подпоручик Прокофьев-Северский Александр Николаевич числится на третьей станции в Ревеле). В начале 1916 г. Прокофьев приступил к службе на петербургском заводе 1-го Российского товарищества воздухоплавания в качестве наблюдателя за постройкой и испытанием гидросамолетов, предназначенных для авиации Балтийского моря. К этому периоду относится начало его конструкторской деятельности, причём он часто занимался этим в содружестве с другими специалистами. Прокофьев предложил регулируемые по росту лётчика педали управления рулём направления, лыжные шасси для "летающих лодок" Григоровича. Применение такого устройство позволяло использовать </w:t>
      </w:r>
      <w:proofErr w:type="gramStart"/>
      <w:r w:rsidRPr="00405303">
        <w:rPr>
          <w:bCs/>
          <w:color w:val="002060"/>
          <w:sz w:val="16"/>
          <w:szCs w:val="16"/>
        </w:rPr>
        <w:t>гидроавиацию</w:t>
      </w:r>
      <w:proofErr w:type="gramEnd"/>
      <w:r w:rsidRPr="00405303">
        <w:rPr>
          <w:bCs/>
          <w:color w:val="002060"/>
          <w:sz w:val="16"/>
          <w:szCs w:val="16"/>
        </w:rPr>
        <w:t xml:space="preserve"> но Балтике и в зимние месяцы, когда вода покрывалась льдом.</w:t>
      </w:r>
      <w:r w:rsidRPr="00405303">
        <w:rPr>
          <w:bCs/>
          <w:color w:val="002060"/>
          <w:sz w:val="16"/>
          <w:szCs w:val="16"/>
        </w:rPr>
        <w:cr/>
        <w:t xml:space="preserve">Впоследствии Прокофьев напишет: "До катастрофы авиация было для меня только одним из замечательных видов спорта. Теперь же случившееся со мной несчастье сделало меня восторженным почитателем чудес аэродинамики и гидродинамики. Я понял, что авиация </w:t>
      </w:r>
      <w:proofErr w:type="gramStart"/>
      <w:r w:rsidRPr="00405303">
        <w:rPr>
          <w:bCs/>
          <w:color w:val="002060"/>
          <w:sz w:val="16"/>
          <w:szCs w:val="16"/>
        </w:rPr>
        <w:t>- это</w:t>
      </w:r>
      <w:proofErr w:type="gramEnd"/>
      <w:r w:rsidRPr="00405303">
        <w:rPr>
          <w:bCs/>
          <w:color w:val="002060"/>
          <w:sz w:val="16"/>
          <w:szCs w:val="16"/>
        </w:rPr>
        <w:t xml:space="preserve"> больше чем полеты, это еще наука и искусство".</w:t>
      </w:r>
    </w:p>
    <w:p w14:paraId="31C0D7FF" w14:textId="77777777" w:rsidR="004B4E35" w:rsidRPr="00405303" w:rsidRDefault="009E6F82" w:rsidP="00C15251">
      <w:pPr>
        <w:jc w:val="both"/>
        <w:rPr>
          <w:bCs/>
          <w:color w:val="002060"/>
          <w:sz w:val="16"/>
          <w:szCs w:val="16"/>
        </w:rPr>
      </w:pPr>
      <w:r w:rsidRPr="00405303">
        <w:rPr>
          <w:bCs/>
          <w:color w:val="002060"/>
          <w:sz w:val="16"/>
          <w:szCs w:val="16"/>
        </w:rPr>
        <w:t xml:space="preserve">Прокофьев был уверен, что протез не мешает летать. Многие авторы пишут о том, что Прокофьев самовольно взлетел на самолёте М-9 и демонстрировал перед комиссией, находившейся на аэродроме, фигуры пилотажа. Напомним, Прокофьев потерпел </w:t>
      </w:r>
      <w:proofErr w:type="gramStart"/>
      <w:r w:rsidRPr="00405303">
        <w:rPr>
          <w:bCs/>
          <w:color w:val="002060"/>
          <w:sz w:val="16"/>
          <w:szCs w:val="16"/>
        </w:rPr>
        <w:t>катастрофу</w:t>
      </w:r>
      <w:proofErr w:type="gramEnd"/>
      <w:r w:rsidRPr="00405303">
        <w:rPr>
          <w:bCs/>
          <w:color w:val="002060"/>
          <w:sz w:val="16"/>
          <w:szCs w:val="16"/>
        </w:rPr>
        <w:t xml:space="preserve"> но летающей лодке "ФБА". Поэтому более правдоподобной представляется следующая версия. В этот период самолёты на заводе испытывал летчик Фриде, который вполне мог выполнить с Прокофьевым на М-9 несколько полётов. После этого Прокофьев рискнул самовольно взлететь на новом для него типе самолёта и выполнить несколько виражей, за что и был наказан. Его спасло заступничество товарищей и указание Николая 11, допустившего Прокофьева к полётам. Не исключено, что имелось также и разрешение врачебной комиссии. В 1917 г. Прокофьеву присвоен чин лейтенанта.</w:t>
      </w:r>
    </w:p>
    <w:p w14:paraId="4E2B31FE" w14:textId="77777777" w:rsidR="004B4E35" w:rsidRPr="00405303" w:rsidRDefault="009E6F82" w:rsidP="00C15251">
      <w:pPr>
        <w:jc w:val="both"/>
        <w:rPr>
          <w:bCs/>
          <w:color w:val="002060"/>
          <w:sz w:val="16"/>
          <w:szCs w:val="16"/>
        </w:rPr>
      </w:pPr>
      <w:r w:rsidRPr="00405303">
        <w:rPr>
          <w:bCs/>
          <w:color w:val="002060"/>
          <w:sz w:val="16"/>
          <w:szCs w:val="16"/>
        </w:rPr>
        <w:t xml:space="preserve">Чего только нет в статьях о Прокофьеве: налёт 1600 ч, участие в 57 боях, сбил 13 самолётов и т.п. фантастические измышления. Авторы просто не имеют элементарного понятия об авиации. Им невдомёк, что 1600 часов </w:t>
      </w:r>
      <w:proofErr w:type="gramStart"/>
      <w:r w:rsidRPr="00405303">
        <w:rPr>
          <w:bCs/>
          <w:color w:val="002060"/>
          <w:sz w:val="16"/>
          <w:szCs w:val="16"/>
        </w:rPr>
        <w:t>- это</w:t>
      </w:r>
      <w:proofErr w:type="gramEnd"/>
      <w:r w:rsidRPr="00405303">
        <w:rPr>
          <w:bCs/>
          <w:color w:val="002060"/>
          <w:sz w:val="16"/>
          <w:szCs w:val="16"/>
        </w:rPr>
        <w:t xml:space="preserve"> налёт балтийской авиации за год! И не сбивал Прокофьев 13 самолётов. По документам РГВИА за ним числятся три воздушные победы, причём две в группе (с Дитерихсом и Петровым). Еще три - это гидросамолёты, якобы уничтоженные (причем, опять- таки, не в одиночку, а в составе группы) при бомбардировке гидробазы на озере Ангерн, (причем немцы уверяют, что потерь они не имели). За этот налет Прокофьев приказом по флоту и морскому ведомству от 28 ноября 1916 г. был награжден Георгиевским оружием с надписью "Зо храбрость". Настойчивость в стремлении достичь поставленной цели и редкостное мужество - эти качества Прокофьева несомненно, стоят выше такого критерияf как количество сбитых самолётов, поскольку относятся к ценностям более высокого порядка.</w:t>
      </w:r>
    </w:p>
    <w:p w14:paraId="6A29CDBD" w14:textId="77777777" w:rsidR="004B4E35" w:rsidRPr="00405303" w:rsidRDefault="009E6F82" w:rsidP="00C15251">
      <w:pPr>
        <w:jc w:val="both"/>
        <w:rPr>
          <w:bCs/>
          <w:color w:val="002060"/>
          <w:sz w:val="16"/>
          <w:szCs w:val="16"/>
        </w:rPr>
      </w:pPr>
      <w:r w:rsidRPr="00405303">
        <w:rPr>
          <w:bCs/>
          <w:color w:val="002060"/>
          <w:sz w:val="16"/>
          <w:szCs w:val="16"/>
        </w:rPr>
        <w:t>После революции Прокофьев-Северский решил покинуть страну и прибыл в США в марте 1918 г. Должность помощника военно-морского атташе по вопросам авиации предоставила Прокофьеву возможность познакомиться со многими американскими авиационными деятелями. Он участвовал в разработке авиационных бомбардировочных прицелов (при его участии был создан известный синхронный прицеп "Норден"), доплеров- ских измерителей путевой скорости и угла сноса. В 1931 г основал самолётостроительную фирму "Северский эркрафт Корпорэйшн", которую возглавлял до 1939 года (после чего фирма получила название "Рипаблик"). Впоследствии занимался литературной деятельностью (11928).</w:t>
      </w:r>
    </w:p>
    <w:p w14:paraId="60C6BE26" w14:textId="77777777" w:rsidR="004B4E35" w:rsidRPr="00405303" w:rsidRDefault="004B4E35" w:rsidP="00C15251">
      <w:pPr>
        <w:jc w:val="both"/>
        <w:rPr>
          <w:bCs/>
          <w:color w:val="002060"/>
          <w:sz w:val="16"/>
          <w:szCs w:val="16"/>
        </w:rPr>
      </w:pPr>
    </w:p>
    <w:p w14:paraId="3BE1003C" w14:textId="328DA4BE" w:rsidR="004B4E35" w:rsidRPr="00405303" w:rsidRDefault="00F64A8F"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июле </w:t>
      </w:r>
      <w:r w:rsidRPr="00405303">
        <w:rPr>
          <w:bCs/>
          <w:color w:val="002060"/>
          <w:sz w:val="16"/>
          <w:szCs w:val="16"/>
        </w:rPr>
        <w:t xml:space="preserve">1915 г. </w:t>
      </w:r>
      <w:r w:rsidR="009E6F82" w:rsidRPr="00405303">
        <w:rPr>
          <w:bCs/>
          <w:color w:val="002060"/>
          <w:sz w:val="16"/>
          <w:szCs w:val="16"/>
        </w:rPr>
        <w:t>состоялись первые воздушные стычки, б которых противники отчаянно обстреливали друг друга из карабинов и маузеров. В сентябре отмечались практически ежедневные воздушные бои, в которых соотношение сил (увы!) составляло обычно два к пяти в пользу немецких авиаторов.</w:t>
      </w:r>
    </w:p>
    <w:p w14:paraId="41D2C009" w14:textId="77777777" w:rsidR="004B4E35" w:rsidRPr="00405303" w:rsidRDefault="009E6F82" w:rsidP="00C15251">
      <w:pPr>
        <w:jc w:val="both"/>
        <w:rPr>
          <w:bCs/>
          <w:color w:val="002060"/>
          <w:sz w:val="16"/>
          <w:szCs w:val="16"/>
        </w:rPr>
      </w:pPr>
      <w:r w:rsidRPr="00405303">
        <w:rPr>
          <w:bCs/>
          <w:color w:val="002060"/>
          <w:sz w:val="16"/>
          <w:szCs w:val="16"/>
        </w:rPr>
        <w:t xml:space="preserve">На Черном море, ввиду превосходства русского флота, обстановка для авиации была более спокойной. При этом "Кертиссы", составлявшие ядро самолетного парка, обладали гораздо худшими летными характеристиками, чем даже ранние М-4 Григоровича. Поэтому прибытие 16 мая 1915 г. в Севастополь М-5 первого образца воспринималось как вполне положительное явление. Кроме того, по сравнению с французской лодкой ФБА, М-5 оказалась прочнее и гораздо лучше выдерживала посадку на крутую черноморскую волну. Все указанные обстоятельства привели к тому, что очень скоро </w:t>
      </w:r>
      <w:proofErr w:type="gramStart"/>
      <w:r w:rsidRPr="00405303">
        <w:rPr>
          <w:bCs/>
          <w:color w:val="002060"/>
          <w:sz w:val="16"/>
          <w:szCs w:val="16"/>
        </w:rPr>
        <w:t>последо-вал</w:t>
      </w:r>
      <w:proofErr w:type="gramEnd"/>
      <w:r w:rsidRPr="00405303">
        <w:rPr>
          <w:bCs/>
          <w:color w:val="002060"/>
          <w:sz w:val="16"/>
          <w:szCs w:val="16"/>
        </w:rPr>
        <w:t xml:space="preserve"> заказ на 12 таких лодок для авиации Черноморского флота.</w:t>
      </w:r>
    </w:p>
    <w:p w14:paraId="4D1DE2A0" w14:textId="77777777" w:rsidR="004B4E35" w:rsidRPr="00405303" w:rsidRDefault="009E6F82" w:rsidP="00C15251">
      <w:pPr>
        <w:jc w:val="both"/>
        <w:rPr>
          <w:bCs/>
          <w:color w:val="002060"/>
          <w:sz w:val="16"/>
          <w:szCs w:val="16"/>
        </w:rPr>
      </w:pPr>
      <w:r w:rsidRPr="00405303">
        <w:rPr>
          <w:bCs/>
          <w:color w:val="002060"/>
          <w:sz w:val="16"/>
          <w:szCs w:val="16"/>
        </w:rPr>
        <w:t>Серийное производство М-5 началось в июне 1915 г. и до конца года на заводе Щетинина их построили 37 штук. Затем их выпуск продолжался с различной интенсивностью на протяжении нескольких лет. Последние три экземпляра, предназначенные для учебных целей, сдали заказчику в 1921 году. До этого момента общее количество построенных М-5 составило порядка 200 экземпляров, большинство из них изготовили на заводах Щетинина, Мельцера, Григоровича в Петрограде, некоторое количество на заводе Анатра в Одессе, а после революции - на петроградском заводе №3.</w:t>
      </w:r>
    </w:p>
    <w:p w14:paraId="0E8BE74C" w14:textId="77777777" w:rsidR="004B4E35" w:rsidRPr="00405303" w:rsidRDefault="009E6F82" w:rsidP="00C15251">
      <w:pPr>
        <w:jc w:val="both"/>
        <w:rPr>
          <w:bCs/>
          <w:color w:val="002060"/>
          <w:sz w:val="16"/>
          <w:szCs w:val="16"/>
        </w:rPr>
      </w:pPr>
      <w:r w:rsidRPr="00405303">
        <w:rPr>
          <w:bCs/>
          <w:color w:val="002060"/>
          <w:sz w:val="16"/>
          <w:szCs w:val="16"/>
        </w:rPr>
        <w:t xml:space="preserve">Наиболее активно М-5 использовались в авиации Черноморского флота, получившей в свое пользование за весь период более 70 таких гидропланов. 10 октября 1915 г. начальник авиации Черноморского флота старший лейтенант Ста- ховский писал в Морской генеральный штаб: "...Боевыми аппаратами можно считать лишь Щетинины типа М-5, коих имеется 17, но за недо-статком моторов из них могут действовать лишь 14". Дополним эти сведения: в ноябре 1916 г. на Черном море их числилось 45 экземпляров, в конце 1 917 г. - 24 экземпляра. </w:t>
      </w:r>
    </w:p>
    <w:p w14:paraId="283519EA" w14:textId="77777777" w:rsidR="004B4E35" w:rsidRPr="00405303" w:rsidRDefault="009E6F82" w:rsidP="00C15251">
      <w:pPr>
        <w:jc w:val="both"/>
        <w:rPr>
          <w:bCs/>
          <w:color w:val="002060"/>
          <w:sz w:val="16"/>
          <w:szCs w:val="16"/>
        </w:rPr>
      </w:pPr>
      <w:r w:rsidRPr="00405303">
        <w:rPr>
          <w:bCs/>
          <w:color w:val="002060"/>
          <w:sz w:val="16"/>
          <w:szCs w:val="16"/>
        </w:rPr>
        <w:t>Вооружение боевых М-5 состояло из одного пулемета "Максим", "Виккерс" или "Льюис", установленных на треноге перед правым членом экипажа, нескольких 8-ми или 50-ти фунтовых бомб. С ноября 1915 г. на отдельных экземплярах ус-танавливали радиотелеграфные станции разных типов с дальностью связи свыше 40 км и фотоаппараты "Потте".</w:t>
      </w:r>
    </w:p>
    <w:p w14:paraId="182FEE8B" w14:textId="77777777" w:rsidR="004B4E35" w:rsidRPr="00405303" w:rsidRDefault="009E6F82" w:rsidP="00C15251">
      <w:pPr>
        <w:jc w:val="both"/>
        <w:rPr>
          <w:bCs/>
          <w:color w:val="002060"/>
          <w:sz w:val="16"/>
          <w:szCs w:val="16"/>
        </w:rPr>
      </w:pPr>
      <w:r w:rsidRPr="00405303">
        <w:rPr>
          <w:bCs/>
          <w:color w:val="002060"/>
          <w:sz w:val="16"/>
          <w:szCs w:val="16"/>
        </w:rPr>
        <w:t>Черноморские М-5 базировались в Севастополе (1-й и 2-й отряды Воздушной дивизии), Одессе и Батуме (Кавказский фронт). Кроме этого, часть аппаратов была приписана к 1, 2, 3-му корабельным авиаотрядам на гидрокрейсерах "Император Александр I", "Император Николай I", "Алмаз". В отдельных случаях самолеты транспортировали на крейсере "Память Меркурия". Самолеты корабельной авиации участвовали в рейдах к берегам Турции и Болгарии.</w:t>
      </w:r>
    </w:p>
    <w:p w14:paraId="01DEF762" w14:textId="77777777" w:rsidR="004B4E35" w:rsidRPr="00405303" w:rsidRDefault="009E6F82" w:rsidP="00C15251">
      <w:pPr>
        <w:jc w:val="both"/>
        <w:rPr>
          <w:bCs/>
          <w:color w:val="002060"/>
          <w:sz w:val="16"/>
          <w:szCs w:val="16"/>
        </w:rPr>
      </w:pPr>
      <w:r w:rsidRPr="00405303">
        <w:rPr>
          <w:bCs/>
          <w:color w:val="002060"/>
          <w:sz w:val="16"/>
          <w:szCs w:val="16"/>
        </w:rPr>
        <w:t>Большую огласку получила атака турецкого порта Зонгулдак в январе 1916 г. Целью этой набеговой операции значилось нарушение турецких перевозок угля из Зон- гулдакского угольного района в Константинополь. Уголь доставляли морем по причине отсутствия полноценного железнодорожного сообщения. Эффективность русских боевых кораблей в противодей-ствии турецким перевозкам угля оценивалась высоко, однако в начале 1916 г. последовало решение нанести удар по Зонгулдаку с использованием авиации.</w:t>
      </w:r>
    </w:p>
    <w:p w14:paraId="61C51682" w14:textId="77777777" w:rsidR="004B4E35" w:rsidRPr="00405303" w:rsidRDefault="009E6F82" w:rsidP="00C15251">
      <w:pPr>
        <w:jc w:val="both"/>
        <w:rPr>
          <w:bCs/>
          <w:color w:val="002060"/>
          <w:sz w:val="16"/>
          <w:szCs w:val="16"/>
        </w:rPr>
      </w:pPr>
      <w:r w:rsidRPr="00405303">
        <w:rPr>
          <w:bCs/>
          <w:color w:val="002060"/>
          <w:sz w:val="16"/>
          <w:szCs w:val="16"/>
        </w:rPr>
        <w:t>В составе эскадры, вышедшей из Севастополя 24 января 1916 г. находились авиатранспорты "Император Александр I" и "Император Николай I", которые имели на борту 1 4 летающих лодок "Кертисс" и М-5. Авиационной группе ставилась задача атаковать турецкие объекты, недоступные корабельной артиллерии. Каждый гидроплан был вооружен двумя двухпудовыми и несколькими десятифунтовыми бомбами. Примерно в 15 милях к северу от Зонгулдака авиатранспорты спустили самолеты на воду, после чего вся группа стартовала в воздух. До цели долетели 1 1 машин, остальные по причине неисправностей вернулись назад. Бомбардировка порта велась в условиях плотной облачности и активного обстрела с земли. Тем не менее, ударом с воздуха удалось уничтожить турецкий пароход "Ирмингард" (1гт1пНагс1), несколько мелких судов и разрушить портовые объекты.</w:t>
      </w:r>
    </w:p>
    <w:p w14:paraId="60FD6400" w14:textId="77777777" w:rsidR="004B4E35" w:rsidRPr="00405303" w:rsidRDefault="009E6F82" w:rsidP="00C15251">
      <w:pPr>
        <w:jc w:val="both"/>
        <w:rPr>
          <w:bCs/>
          <w:color w:val="002060"/>
          <w:sz w:val="16"/>
          <w:szCs w:val="16"/>
        </w:rPr>
      </w:pPr>
      <w:r w:rsidRPr="00405303">
        <w:rPr>
          <w:bCs/>
          <w:color w:val="002060"/>
          <w:sz w:val="16"/>
          <w:szCs w:val="16"/>
        </w:rPr>
        <w:lastRenderedPageBreak/>
        <w:t>В 1916-17 гг. летающие лодки М-5 продолжали активно использоваться в интересах Черноморского флота и своим присутствием существенно повлияли на достижение успеха во многих боевых операциях. В начале 1918 г. практически все черноморские М-5 оказались в зоне белого движения и австрийской оккупации. В летном состоянии оставались лишь единичные экземпляры, которые просуществовали до 1919-20 гг.</w:t>
      </w:r>
    </w:p>
    <w:p w14:paraId="73F23E9F" w14:textId="77777777" w:rsidR="004B4E35" w:rsidRPr="00405303" w:rsidRDefault="009E6F82" w:rsidP="00C15251">
      <w:pPr>
        <w:jc w:val="both"/>
        <w:rPr>
          <w:bCs/>
          <w:color w:val="002060"/>
          <w:sz w:val="16"/>
          <w:szCs w:val="16"/>
        </w:rPr>
      </w:pPr>
      <w:r w:rsidRPr="00405303">
        <w:rPr>
          <w:bCs/>
          <w:color w:val="002060"/>
          <w:sz w:val="16"/>
          <w:szCs w:val="16"/>
        </w:rPr>
        <w:t>На Балтике "пятаки" дебютировали как учебные машины при открытии в Петрограде 28 июля 1915 г. офицерской школы морской авиации. Поначалу в ней имелись 4 лодки М-5 и две французские ФБА. Одновременно с функционирующей школой в Петрограде решили открыть ее отделение в Баку - к обучению летчиков на Каспийском море приступили 22 ноября 1915 г.</w:t>
      </w:r>
    </w:p>
    <w:p w14:paraId="2F5945CF" w14:textId="77777777" w:rsidR="004B4E35" w:rsidRPr="00405303" w:rsidRDefault="009E6F82" w:rsidP="00C15251">
      <w:pPr>
        <w:jc w:val="both"/>
        <w:rPr>
          <w:bCs/>
          <w:color w:val="002060"/>
          <w:sz w:val="16"/>
          <w:szCs w:val="16"/>
        </w:rPr>
      </w:pPr>
      <w:r w:rsidRPr="00405303">
        <w:rPr>
          <w:bCs/>
          <w:color w:val="002060"/>
          <w:sz w:val="16"/>
          <w:szCs w:val="16"/>
        </w:rPr>
        <w:t>Бакинский филиал с начала 1917 г. стал самостоятельной летной школой с прекрасно оборудованными мастерскими, ангарами и спусками на воду. В лучшие времена здесь эксплуатировалось до 20 учебных гидросамолетов М-5. Часть из них в середине 1918 г. принимала участие в отражении турецкого наступления в Закавказье, действуя в интересах оставшихся подразделений русской армии. Между тем, активное использование вело к неуклонному снижению количества пригодных к полетам машин, поэтому в 1919 г. здесь оставалось лишь два экземпляра М-5. В последующих бурных событиях гражданской войны Бакинская школа и ее имущество перестали существовать.</w:t>
      </w:r>
    </w:p>
    <w:p w14:paraId="0ED7ED58" w14:textId="77777777" w:rsidR="004B4E35" w:rsidRPr="00405303" w:rsidRDefault="009E6F82" w:rsidP="00C15251">
      <w:pPr>
        <w:jc w:val="both"/>
        <w:rPr>
          <w:bCs/>
          <w:color w:val="002060"/>
          <w:sz w:val="16"/>
          <w:szCs w:val="16"/>
        </w:rPr>
      </w:pPr>
      <w:r w:rsidRPr="00405303">
        <w:rPr>
          <w:bCs/>
          <w:color w:val="002060"/>
          <w:sz w:val="16"/>
          <w:szCs w:val="16"/>
        </w:rPr>
        <w:t>Точное количество учебных аппаратов, используемых петроградской школой неизвестно, скорее всего, в течение двух лет здесь их применялось до двух десятков экземпляров. В апреле 1918 г., в связи с угрозой немецкого вторжения, школу эвакуировали в Нижний Новгород - на Волгу отправились 5 учебных М-5. Такое же количество учебных "пятаков" насчитывалось в морской школе летчиков им. Троцкого, открытой 11 ноября 1918 г. на Гу- туевском острове в Петрограде. В период с мая по октябрь 1919 г. летающие лодки этой школы принимали участие в боевых действиях против армии генерала Юденича, наступавшей на Петроград. В декабре 1919 г. оба упомянутые учебные заведения объединили в Военно-морскую школу авиации и перевели в Самару на Волге. Объединенная школа базировалась на барже "Евпраксия", которая была оборудована ангаром и спуском для гидросамолетов. В период 1920- 1921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середины 1920-х годов. Известно, что в декабре 1925 г. в составе советской авиации числилось 22 таких учебных летающих лодки (очевидно совместно с М-20, отличавшейся в основном двигателем).</w:t>
      </w:r>
    </w:p>
    <w:p w14:paraId="0CB905F7" w14:textId="77777777" w:rsidR="004B4E35" w:rsidRPr="00405303" w:rsidRDefault="009E6F82" w:rsidP="00C15251">
      <w:pPr>
        <w:jc w:val="both"/>
        <w:rPr>
          <w:bCs/>
          <w:color w:val="002060"/>
          <w:sz w:val="16"/>
          <w:szCs w:val="16"/>
        </w:rPr>
      </w:pPr>
      <w:r w:rsidRPr="00405303">
        <w:rPr>
          <w:bCs/>
          <w:color w:val="002060"/>
          <w:sz w:val="16"/>
          <w:szCs w:val="16"/>
        </w:rPr>
        <w:t>Помимо эксплуатации в России, по крайней мере, одна лодка М-5 после 1917 г. использовалась в Финляндии. Еще один экземпляр в ходе войны достался Турции, где сохранился до наших дней в авиационном музее Стамбула - Науа Мизеа (12083).</w:t>
      </w:r>
    </w:p>
    <w:p w14:paraId="312682AA" w14:textId="77777777" w:rsidR="004B4E35" w:rsidRPr="00405303" w:rsidRDefault="004B4E35" w:rsidP="00C15251">
      <w:pPr>
        <w:jc w:val="both"/>
        <w:rPr>
          <w:bCs/>
          <w:color w:val="002060"/>
          <w:sz w:val="16"/>
          <w:szCs w:val="16"/>
        </w:rPr>
      </w:pPr>
    </w:p>
    <w:p w14:paraId="70580709" w14:textId="454151CA" w:rsidR="00A712F5" w:rsidRPr="00405303" w:rsidRDefault="00A712F5" w:rsidP="00C15251">
      <w:pPr>
        <w:shd w:val="clear" w:color="auto" w:fill="FFFFFF"/>
        <w:jc w:val="both"/>
        <w:rPr>
          <w:bCs/>
          <w:i/>
          <w:color w:val="002060"/>
          <w:sz w:val="16"/>
          <w:szCs w:val="16"/>
        </w:rPr>
      </w:pPr>
      <w:r w:rsidRPr="00405303">
        <w:rPr>
          <w:bCs/>
          <w:i/>
          <w:color w:val="002060"/>
          <w:sz w:val="16"/>
          <w:szCs w:val="16"/>
        </w:rPr>
        <w:t>Воздухоплавание:</w:t>
      </w:r>
    </w:p>
    <w:p w14:paraId="7C12E478" w14:textId="77777777" w:rsidR="00A712F5" w:rsidRPr="00405303" w:rsidRDefault="00A712F5" w:rsidP="00C15251">
      <w:pPr>
        <w:shd w:val="clear" w:color="auto" w:fill="FFFFFF"/>
        <w:jc w:val="both"/>
        <w:rPr>
          <w:bCs/>
          <w:i/>
          <w:color w:val="002060"/>
          <w:sz w:val="16"/>
          <w:szCs w:val="16"/>
        </w:rPr>
      </w:pPr>
    </w:p>
    <w:p w14:paraId="4C58AE9B" w14:textId="7A276BC9" w:rsidR="00A712F5" w:rsidRPr="00405303" w:rsidRDefault="00A712F5" w:rsidP="00C15251">
      <w:pPr>
        <w:jc w:val="both"/>
        <w:rPr>
          <w:bCs/>
          <w:color w:val="002060"/>
          <w:sz w:val="16"/>
          <w:szCs w:val="16"/>
        </w:rPr>
      </w:pPr>
      <w:r w:rsidRPr="00405303">
        <w:rPr>
          <w:bCs/>
          <w:color w:val="002060"/>
          <w:sz w:val="16"/>
          <w:szCs w:val="16"/>
          <w:shd w:val="clear" w:color="auto" w:fill="FFFFFF"/>
        </w:rPr>
        <w:t>В июле 1915 г. 9-я воздухоплавательная рота корректировала под г. Августовым огонь артиллерии, которой поставили задачу разбить шлюзы из Августовских озёр в каналы, питающие болота р. Бобр, т.к. противник закрыл шлюзы, чтобы осушить болота, препятствовавшие наступлению. Аэростат в течении нескольких дней корректировал стрельбу по шлюзам специально выдвинутой для этого тяжёлой артиллерийской батареи. Однако из-за недостатка снарядов артиллерии удалось разрушить только один шлюз из трёх, при этом без помощи аэростата наблюдения эта</w:t>
      </w:r>
      <w:r w:rsidR="00DB4D64" w:rsidRPr="00405303">
        <w:rPr>
          <w:bCs/>
          <w:color w:val="002060"/>
          <w:sz w:val="16"/>
          <w:szCs w:val="16"/>
          <w:shd w:val="clear" w:color="auto" w:fill="FFFFFF"/>
        </w:rPr>
        <w:t xml:space="preserve"> </w:t>
      </w:r>
      <w:hyperlink r:id="rId52" w:history="1">
        <w:r w:rsidRPr="00405303">
          <w:rPr>
            <w:rStyle w:val="ad"/>
            <w:bCs/>
            <w:color w:val="002060"/>
            <w:sz w:val="16"/>
            <w:szCs w:val="16"/>
            <w:shd w:val="clear" w:color="auto" w:fill="FFFFFF"/>
          </w:rPr>
          <w:t>задача</w:t>
        </w:r>
      </w:hyperlink>
      <w:r w:rsidR="00DB4D64" w:rsidRPr="00405303">
        <w:rPr>
          <w:bCs/>
          <w:color w:val="002060"/>
          <w:sz w:val="16"/>
          <w:szCs w:val="16"/>
          <w:shd w:val="clear" w:color="auto" w:fill="FFFFFF"/>
        </w:rPr>
        <w:t xml:space="preserve"> </w:t>
      </w:r>
      <w:r w:rsidRPr="00405303">
        <w:rPr>
          <w:bCs/>
          <w:color w:val="002060"/>
          <w:sz w:val="16"/>
          <w:szCs w:val="16"/>
          <w:shd w:val="clear" w:color="auto" w:fill="FFFFFF"/>
        </w:rPr>
        <w:t>могла оказаться вообще невыполнимой (20120).</w:t>
      </w:r>
    </w:p>
    <w:p w14:paraId="012F3C37" w14:textId="77777777" w:rsidR="00A712F5" w:rsidRPr="00405303" w:rsidRDefault="00A712F5" w:rsidP="00C15251">
      <w:pPr>
        <w:jc w:val="both"/>
        <w:rPr>
          <w:bCs/>
          <w:color w:val="002060"/>
          <w:sz w:val="16"/>
          <w:szCs w:val="16"/>
        </w:rPr>
      </w:pPr>
    </w:p>
    <w:p w14:paraId="0C25BD89" w14:textId="271094C9" w:rsidR="00A712F5" w:rsidRPr="00405303" w:rsidRDefault="00F64A8F" w:rsidP="00C15251">
      <w:pPr>
        <w:jc w:val="both"/>
        <w:rPr>
          <w:bCs/>
          <w:color w:val="002060"/>
          <w:sz w:val="16"/>
          <w:szCs w:val="16"/>
        </w:rPr>
      </w:pPr>
      <w:r w:rsidRPr="00405303">
        <w:rPr>
          <w:bCs/>
          <w:color w:val="002060"/>
          <w:sz w:val="16"/>
          <w:szCs w:val="16"/>
        </w:rPr>
        <w:t>В</w:t>
      </w:r>
      <w:r w:rsidR="00A712F5" w:rsidRPr="00405303">
        <w:rPr>
          <w:bCs/>
          <w:color w:val="002060"/>
          <w:sz w:val="16"/>
          <w:szCs w:val="16"/>
        </w:rPr>
        <w:t xml:space="preserve"> июле 1915 г. </w:t>
      </w:r>
      <w:r w:rsidRPr="00405303">
        <w:rPr>
          <w:bCs/>
          <w:color w:val="002060"/>
          <w:sz w:val="16"/>
          <w:szCs w:val="16"/>
        </w:rPr>
        <w:t xml:space="preserve">во время боёв за Осовец </w:t>
      </w:r>
      <w:r w:rsidR="00A712F5" w:rsidRPr="00405303">
        <w:rPr>
          <w:bCs/>
          <w:color w:val="002060"/>
          <w:sz w:val="16"/>
          <w:szCs w:val="16"/>
        </w:rPr>
        <w:t>9-я воздухоплавательная рота корректировала под г. Августовым огонь артиллерии, которой постави</w:t>
      </w:r>
      <w:r w:rsidR="00A712F5" w:rsidRPr="00405303">
        <w:rPr>
          <w:bCs/>
          <w:color w:val="002060"/>
          <w:sz w:val="16"/>
          <w:szCs w:val="16"/>
        </w:rPr>
        <w:softHyphen/>
        <w:t>ли задачу разбить шлюзы из Августовских озёр в каналы, питающие болота р. Бобр. (Противник закрыл шлюзы, чтобы осушить болота, препят</w:t>
      </w:r>
      <w:r w:rsidR="00A712F5" w:rsidRPr="00405303">
        <w:rPr>
          <w:bCs/>
          <w:color w:val="002060"/>
          <w:sz w:val="16"/>
          <w:szCs w:val="16"/>
        </w:rPr>
        <w:softHyphen/>
        <w:t>ствовавшие наступлению). Аэростат в течение нескольких дней корректировал стрельбу по шлюзам специально выдвинутой для этой задачи тяжёлой батареи. Вследствие недостатка снаря</w:t>
      </w:r>
      <w:r w:rsidR="00A712F5" w:rsidRPr="00405303">
        <w:rPr>
          <w:bCs/>
          <w:color w:val="002060"/>
          <w:sz w:val="16"/>
          <w:szCs w:val="16"/>
        </w:rPr>
        <w:softHyphen/>
        <w:t>дов артиллерия выполнила задачу не полностью, разрушив из трёх шлюзов только один.</w:t>
      </w:r>
    </w:p>
    <w:p w14:paraId="1EE4E30D" w14:textId="77777777" w:rsidR="00A712F5" w:rsidRPr="00405303" w:rsidRDefault="00A712F5" w:rsidP="00C15251">
      <w:pPr>
        <w:jc w:val="both"/>
        <w:rPr>
          <w:bCs/>
          <w:color w:val="002060"/>
          <w:sz w:val="16"/>
          <w:szCs w:val="16"/>
        </w:rPr>
      </w:pPr>
      <w:r w:rsidRPr="00405303">
        <w:rPr>
          <w:bCs/>
          <w:color w:val="002060"/>
          <w:sz w:val="16"/>
          <w:szCs w:val="16"/>
        </w:rPr>
        <w:t>Осовец выдержал штурм 24 июля (6 августа) 1915 г., сопровождавшийся газовой атакой, и был оставлен по приказу командования 9 (22) августа после вывоза артиллерии и взрыва крепостных сооружений (12120).</w:t>
      </w:r>
    </w:p>
    <w:p w14:paraId="4DE72421" w14:textId="77777777" w:rsidR="00A712F5" w:rsidRPr="00405303" w:rsidRDefault="00A712F5" w:rsidP="00C15251">
      <w:pPr>
        <w:jc w:val="both"/>
        <w:rPr>
          <w:bCs/>
          <w:color w:val="002060"/>
          <w:sz w:val="16"/>
          <w:szCs w:val="16"/>
        </w:rPr>
      </w:pPr>
    </w:p>
    <w:p w14:paraId="2D6F747F"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Армия:</w:t>
      </w:r>
    </w:p>
    <w:p w14:paraId="27D50394" w14:textId="77777777" w:rsidR="004B4E35" w:rsidRPr="00405303" w:rsidRDefault="004B4E35" w:rsidP="00C15251">
      <w:pPr>
        <w:shd w:val="clear" w:color="auto" w:fill="FFFFFF"/>
        <w:jc w:val="both"/>
        <w:rPr>
          <w:bCs/>
          <w:i/>
          <w:color w:val="002060"/>
          <w:sz w:val="16"/>
          <w:szCs w:val="16"/>
        </w:rPr>
      </w:pPr>
    </w:p>
    <w:p w14:paraId="31F71DA2" w14:textId="3DD78AB0" w:rsidR="00CB317A" w:rsidRPr="00405303" w:rsidRDefault="00CB317A" w:rsidP="00C15251">
      <w:pPr>
        <w:jc w:val="both"/>
        <w:rPr>
          <w:bCs/>
          <w:color w:val="002060"/>
          <w:sz w:val="16"/>
          <w:szCs w:val="16"/>
        </w:rPr>
      </w:pPr>
      <w:r w:rsidRPr="00405303">
        <w:rPr>
          <w:bCs/>
          <w:color w:val="002060"/>
          <w:sz w:val="16"/>
          <w:szCs w:val="16"/>
        </w:rPr>
        <w:t>В июле 1915 г. императорским указом утвержден штат дивизиона, в соответствии</w:t>
      </w:r>
      <w:r w:rsidR="00DB4D64" w:rsidRPr="00405303">
        <w:rPr>
          <w:bCs/>
          <w:color w:val="002060"/>
          <w:sz w:val="16"/>
          <w:szCs w:val="16"/>
        </w:rPr>
        <w:t xml:space="preserve"> </w:t>
      </w:r>
      <w:r w:rsidRPr="00405303">
        <w:rPr>
          <w:bCs/>
          <w:color w:val="002060"/>
          <w:sz w:val="16"/>
          <w:szCs w:val="16"/>
        </w:rPr>
        <w:t>с которым были созданы 1-й и 2-й Морские тяжёлые артиллерийские дивизионы сухопутного фронта Морской крепости императора Петра Великого.</w:t>
      </w:r>
      <w:r w:rsidR="00DB4D64" w:rsidRPr="00405303">
        <w:rPr>
          <w:bCs/>
          <w:color w:val="002060"/>
          <w:sz w:val="16"/>
          <w:szCs w:val="16"/>
        </w:rPr>
        <w:t xml:space="preserve"> </w:t>
      </w:r>
      <w:r w:rsidRPr="00405303">
        <w:rPr>
          <w:bCs/>
          <w:color w:val="002060"/>
          <w:sz w:val="16"/>
          <w:szCs w:val="16"/>
        </w:rPr>
        <w:t>Дивизион состоял из двух двухорудийных батарей. Два первые дивизиона вооружили 305-мм гаубицами обр. 1915 г.</w:t>
      </w:r>
    </w:p>
    <w:p w14:paraId="703893A9" w14:textId="77777777" w:rsidR="00CB317A" w:rsidRPr="00405303" w:rsidRDefault="00CB317A" w:rsidP="00C15251">
      <w:pPr>
        <w:jc w:val="both"/>
        <w:rPr>
          <w:bCs/>
          <w:color w:val="002060"/>
          <w:sz w:val="16"/>
          <w:szCs w:val="16"/>
        </w:rPr>
      </w:pPr>
      <w:r w:rsidRPr="00405303">
        <w:rPr>
          <w:bCs/>
          <w:color w:val="002060"/>
          <w:sz w:val="16"/>
          <w:szCs w:val="16"/>
        </w:rPr>
        <w:t>В 1915 г., когда в ходе Первой мировой войны выявилось исключительное значение тяжёлой артиллерии в обороне и при прорыве укреплённых позиций противника, Морское министерство приняло решение создать при Морской крепости императора Петра Великого ряд тяжёлых артиллерийских дивизионов. Основная их задача состояла в обороне крепости в случае, если боевые действия дойдут до её сухопутного фронта.</w:t>
      </w:r>
    </w:p>
    <w:p w14:paraId="4585A2FF" w14:textId="58C42A91" w:rsidR="00CB317A" w:rsidRPr="00405303" w:rsidRDefault="00CB317A" w:rsidP="00C15251">
      <w:pPr>
        <w:jc w:val="both"/>
        <w:rPr>
          <w:bCs/>
          <w:color w:val="002060"/>
          <w:sz w:val="16"/>
          <w:szCs w:val="16"/>
        </w:rPr>
      </w:pPr>
      <w:r w:rsidRPr="00405303">
        <w:rPr>
          <w:bCs/>
          <w:color w:val="002060"/>
          <w:sz w:val="16"/>
          <w:szCs w:val="16"/>
        </w:rPr>
        <w:t>В связи со сложным положением на русско-германском фронте и нехваткой тяжёлой артиллерии в 1915-1916 гг. дивизионы были направлены под Ригу</w:t>
      </w:r>
      <w:r w:rsidR="00DB4D64" w:rsidRPr="00405303">
        <w:rPr>
          <w:bCs/>
          <w:color w:val="002060"/>
          <w:sz w:val="16"/>
          <w:szCs w:val="16"/>
        </w:rPr>
        <w:t xml:space="preserve"> </w:t>
      </w:r>
      <w:r w:rsidRPr="00405303">
        <w:rPr>
          <w:bCs/>
          <w:color w:val="002060"/>
          <w:sz w:val="16"/>
          <w:szCs w:val="16"/>
        </w:rPr>
        <w:t>и в течении двух лет участвовали в боевых действиях на фронте. В 1918 г. в период развала армии</w:t>
      </w:r>
      <w:r w:rsidR="00DB4D64" w:rsidRPr="00405303">
        <w:rPr>
          <w:bCs/>
          <w:color w:val="002060"/>
          <w:sz w:val="16"/>
          <w:szCs w:val="16"/>
        </w:rPr>
        <w:t xml:space="preserve"> </w:t>
      </w:r>
      <w:r w:rsidRPr="00405303">
        <w:rPr>
          <w:bCs/>
          <w:color w:val="002060"/>
          <w:sz w:val="16"/>
          <w:szCs w:val="16"/>
        </w:rPr>
        <w:t>и бегства из Прибалтики, дивизионы прекратили</w:t>
      </w:r>
      <w:r w:rsidR="00DB4D64" w:rsidRPr="00405303">
        <w:rPr>
          <w:bCs/>
          <w:color w:val="002060"/>
          <w:sz w:val="16"/>
          <w:szCs w:val="16"/>
        </w:rPr>
        <w:t xml:space="preserve"> </w:t>
      </w:r>
      <w:r w:rsidRPr="00405303">
        <w:rPr>
          <w:bCs/>
          <w:color w:val="002060"/>
          <w:sz w:val="16"/>
          <w:szCs w:val="16"/>
        </w:rPr>
        <w:t>существование (15132).</w:t>
      </w:r>
    </w:p>
    <w:p w14:paraId="32CAD9FE" w14:textId="77777777" w:rsidR="00CB317A" w:rsidRPr="00405303" w:rsidRDefault="00CB317A" w:rsidP="00C15251">
      <w:pPr>
        <w:jc w:val="both"/>
        <w:rPr>
          <w:bCs/>
          <w:color w:val="002060"/>
          <w:sz w:val="16"/>
          <w:szCs w:val="16"/>
        </w:rPr>
      </w:pPr>
    </w:p>
    <w:p w14:paraId="2B19B872" w14:textId="36DBD366" w:rsidR="004B4E35" w:rsidRPr="00405303" w:rsidRDefault="00F64A8F"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w:t>
      </w:r>
      <w:r w:rsidR="009E6F82" w:rsidRPr="00405303">
        <w:rPr>
          <w:bCs/>
          <w:i w:val="0"/>
          <w:color w:val="002060"/>
          <w:spacing w:val="0"/>
          <w:kern w:val="0"/>
          <w:position w:val="0"/>
          <w:sz w:val="16"/>
          <w:szCs w:val="16"/>
        </w:rPr>
        <w:t xml:space="preserve"> июле 1915 г.</w:t>
      </w:r>
      <w:r w:rsidRPr="00405303">
        <w:rPr>
          <w:bCs/>
          <w:i w:val="0"/>
          <w:color w:val="002060"/>
          <w:spacing w:val="0"/>
          <w:kern w:val="0"/>
          <w:position w:val="0"/>
          <w:sz w:val="16"/>
          <w:szCs w:val="16"/>
        </w:rPr>
        <w:t xml:space="preserve">, по всестороннему обследованию, произведенному генерал-инспектором артиллерии, устройство боевого снабжения на Юго-Западном фронте </w:t>
      </w:r>
      <w:r w:rsidR="009E6F82" w:rsidRPr="00405303">
        <w:rPr>
          <w:bCs/>
          <w:i w:val="0"/>
          <w:color w:val="002060"/>
          <w:spacing w:val="0"/>
          <w:kern w:val="0"/>
          <w:position w:val="0"/>
          <w:sz w:val="16"/>
          <w:szCs w:val="16"/>
        </w:rPr>
        <w:t xml:space="preserve">представляло следующее (см. приложение 5, схема 3). </w:t>
      </w:r>
    </w:p>
    <w:p w14:paraId="14C5B8B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Тыловым для всего фронта являлся Киевский артиллерийский склад. </w:t>
      </w:r>
    </w:p>
    <w:p w14:paraId="004C336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Передовой артиллерийский запас образован был в Ровно из имущества, выделенного из Киевского артиллерийского склада и Киевского арсенала, из доставленного распоряжением ГАУ и приобретенного Киевским окружным артиллерийским управлением. </w:t>
      </w:r>
    </w:p>
    <w:p w14:paraId="065BBD2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Починочные подвижные мастерские находились в Жмеринке, Бердичеве и Смеле. </w:t>
      </w:r>
    </w:p>
    <w:p w14:paraId="0873208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Местные парки и склады винтовочных патронов располагались в Киеве</w:t>
      </w:r>
      <w:proofErr w:type="gramStart"/>
      <w:r w:rsidRPr="00405303">
        <w:rPr>
          <w:bCs/>
          <w:i w:val="0"/>
          <w:color w:val="002060"/>
          <w:spacing w:val="0"/>
          <w:kern w:val="0"/>
          <w:position w:val="0"/>
          <w:sz w:val="16"/>
          <w:szCs w:val="16"/>
        </w:rPr>
        <w:t>, Ровно</w:t>
      </w:r>
      <w:proofErr w:type="gramEnd"/>
      <w:r w:rsidRPr="00405303">
        <w:rPr>
          <w:bCs/>
          <w:i w:val="0"/>
          <w:color w:val="002060"/>
          <w:spacing w:val="0"/>
          <w:kern w:val="0"/>
          <w:position w:val="0"/>
          <w:sz w:val="16"/>
          <w:szCs w:val="16"/>
        </w:rPr>
        <w:t xml:space="preserve">, Казатине и Могилеве на Днестре. </w:t>
      </w:r>
    </w:p>
    <w:p w14:paraId="43B3FA8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Начальник Киевского окарту считал у себя в подчинении находящиеся в тыловом районе Киевский арсенал и даже Шостенский пороховой завод, которые были подчинены и ГАУ. </w:t>
      </w:r>
    </w:p>
    <w:p w14:paraId="6A9FD18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тылу каждой армии Юго-западного фронта были устроены свои тыловые, головные и промежуточные армейские склады огнеприпасов и переходящего артиллерийского имущества, как собираемого с полей сражения и получаемого для армий из Ровневского передового запаса или из Киевского артиллерийского склада, так и отправляемого из армий в тыл. </w:t>
      </w:r>
    </w:p>
    <w:p w14:paraId="1035B8D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некоторых армейских складах были образованы свои запасы смазочных материалов, подков и других наиболее нужных предметов, а также трофейного и собранного с полей сражения оружия и патронов. </w:t>
      </w:r>
    </w:p>
    <w:p w14:paraId="78006AD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Для починки винтовок н пулеметов во всех армиях были организованы свои армейские, а в некоторых корпусах 9-й и 11-й армий и корпусные нештатные оружейные мастерские. В 9-й армии имелась своя нештатная починочная мастерская. </w:t>
      </w:r>
    </w:p>
    <w:p w14:paraId="431095E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Все указанные (армейские) склады и мастерские обслуживались временно освободившимся личным составом некоторых местных парков, командированными от войск и другими случайными лицами, благодаря чему они имели характер весьма непрочных организаций и потому не могли в полной мере обслуживать нужды армий.</w:t>
      </w:r>
    </w:p>
    <w:p w14:paraId="6E545F7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Таким образом, между предположенной организацией артснабжения и фактической получалась значительная разница. </w:t>
      </w:r>
    </w:p>
    <w:p w14:paraId="35DF452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первую очередь бросается в глаза совершенно непонятное наличие на фронте из 4 армий только одного передового артиллерийского запаса. По распоряжению артснаба Юго-западного фронта Бобруйский передовой артиллерийский запас, предназначавшийся для 2-й армии и перемещенный на Юго-западный фронт, вовсе не работал самостоятельно во время войны; личный состав его был прикомандирован сначала к Брест-Литовскому артиллерийскому складу, а затем к Ровненскому передовому запасу. </w:t>
      </w:r>
    </w:p>
    <w:p w14:paraId="516DAD6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lastRenderedPageBreak/>
        <w:t xml:space="preserve">Следующим отличием является ряд стационарных складов огнеприпасов, образованных из местных парков. На основании инструкции 1888 г. местные парки по прибытии на место назначения и сдаче снарядов армейским паркам должны были, забрав пустые ящики с гильзами, возвращаться в тыл в место их формирования; между тем они часто оставлялись на фронте и образовывали всевозможные учреждения, в том числе и склады огнеприпасов (см. ниже). </w:t>
      </w:r>
    </w:p>
    <w:p w14:paraId="77A160D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Обращают на себя внимание многочисленные самообразованные нештатные склады и мастерские в армейских районах, а иногда и в корпусных тылах. Наличие их естественно вытекало из недостатка передовых артиллерийских запасов, причем единственный был расположен далеко в тылу, в Ровно. </w:t>
      </w:r>
    </w:p>
    <w:p w14:paraId="050DFD7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Таким образом, легальные, правильно организованные передовые запасы и прочие тыловые артиллерийские учреждения, предусмотренные еще кн. XIII, Св. В. П. 1869 г., считались ненужными, но вместо них, как грибы, росли всевозможные склады и мастерские, не имеющие штата, со случайным составом служащих. </w:t>
      </w:r>
    </w:p>
    <w:p w14:paraId="04C094F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Что же касается войсковых мастерских, то рост их был вызван недостаточной деятельностью штатных починочных мастерских, явившейся результатом нецелесообразного их использования на фронте. </w:t>
      </w:r>
    </w:p>
    <w:p w14:paraId="6B1FBB6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Многие работы по исправлению оружия и материальной части артиллерии, вполне подходящие для технического оборудования и средств подвижных починочных мастерских исполнялись по распоряжению начартснаба Юго-западпого Фронта, в Киевском арсенале и в оружейной мастерской Киевского артсклада. Удаление подвижных починочных мастерских от расположения войск было настолько велико, что они не могли своевременно обслуживать потребности войск. </w:t>
      </w:r>
    </w:p>
    <w:p w14:paraId="3B65E31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Между тем в армиях сказывалась большая нужда в починочных мастерских, которые с успехом могли бы приводить в порядок материальную часть, состоящую в войсках, пользуясь периодическими затишьями в боевых действиях</w:t>
      </w:r>
      <w:proofErr w:type="gramStart"/>
      <w:r w:rsidRPr="00405303">
        <w:rPr>
          <w:bCs/>
          <w:i w:val="0"/>
          <w:color w:val="002060"/>
          <w:spacing w:val="0"/>
          <w:kern w:val="0"/>
          <w:position w:val="0"/>
          <w:sz w:val="16"/>
          <w:szCs w:val="16"/>
        </w:rPr>
        <w:t>, По мнению</w:t>
      </w:r>
      <w:proofErr w:type="gramEnd"/>
      <w:r w:rsidRPr="00405303">
        <w:rPr>
          <w:bCs/>
          <w:i w:val="0"/>
          <w:color w:val="002060"/>
          <w:spacing w:val="0"/>
          <w:kern w:val="0"/>
          <w:position w:val="0"/>
          <w:sz w:val="16"/>
          <w:szCs w:val="16"/>
        </w:rPr>
        <w:t xml:space="preserve"> генерал-инспектора артиллерии, следовало приблизить к войскам починочные мастерские и передать их по одной на армию. Наоборот, штаб Юго-западного фронтат поддаваясь паническому настроению, предполагал переместить починочные мастерские и прочие тыловые артиллерийские учреждения назад к Днепру, а передовой артиллерийский запас из Ровно даже за Днепр в Нежин, причем передовой запас оказался бы тогда сзади Киевского артиллерийского склада, служившего для фронта тыловым артиллерийским запасом. </w:t>
      </w:r>
    </w:p>
    <w:p w14:paraId="4EC5E6D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При объезде Юго-западного фронта генерал-инспектором артиллерии только одно отделение подвижной починочной мастерской из Жмеринки прибыло в район 9-й армии, причем, как отмечено в отчете генерал-инспектора артиллерии, "инспекторы артиллерии корпусов наперерыв выпрашивали к себе это отделение у заведующего артиллерийской частью армии" (11483).</w:t>
      </w:r>
    </w:p>
    <w:p w14:paraId="19366948" w14:textId="77777777" w:rsidR="004B4E35" w:rsidRPr="00405303" w:rsidRDefault="004B4E35" w:rsidP="00C15251">
      <w:pPr>
        <w:pStyle w:val="a3"/>
        <w:jc w:val="both"/>
        <w:rPr>
          <w:bCs/>
          <w:i w:val="0"/>
          <w:color w:val="002060"/>
          <w:spacing w:val="0"/>
          <w:kern w:val="0"/>
          <w:position w:val="0"/>
          <w:sz w:val="16"/>
          <w:szCs w:val="16"/>
        </w:rPr>
      </w:pPr>
    </w:p>
    <w:p w14:paraId="038B25E9" w14:textId="5C2878AD" w:rsidR="004B4E35" w:rsidRPr="00405303" w:rsidRDefault="00F64A8F"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w:t>
      </w:r>
      <w:r w:rsidR="009E6F82" w:rsidRPr="00405303">
        <w:rPr>
          <w:bCs/>
          <w:i w:val="0"/>
          <w:color w:val="002060"/>
          <w:spacing w:val="0"/>
          <w:kern w:val="0"/>
          <w:position w:val="0"/>
          <w:sz w:val="16"/>
          <w:szCs w:val="16"/>
        </w:rPr>
        <w:t xml:space="preserve"> июле 1915 г. </w:t>
      </w:r>
      <w:r w:rsidRPr="00405303">
        <w:rPr>
          <w:bCs/>
          <w:i w:val="0"/>
          <w:color w:val="002060"/>
          <w:spacing w:val="0"/>
          <w:kern w:val="0"/>
          <w:position w:val="0"/>
          <w:sz w:val="16"/>
          <w:szCs w:val="16"/>
        </w:rPr>
        <w:t xml:space="preserve">в Ровненском передовом арталлерийстм запасе... " исходящих бумаг было </w:t>
      </w:r>
      <w:r w:rsidR="009E6F82" w:rsidRPr="00405303">
        <w:rPr>
          <w:bCs/>
          <w:i w:val="0"/>
          <w:color w:val="002060"/>
          <w:spacing w:val="0"/>
          <w:kern w:val="0"/>
          <w:position w:val="0"/>
          <w:sz w:val="16"/>
          <w:szCs w:val="16"/>
        </w:rPr>
        <w:t>более 2.000"</w:t>
      </w:r>
      <w:r w:rsidRPr="00405303">
        <w:rPr>
          <w:bCs/>
          <w:i w:val="0"/>
          <w:color w:val="002060"/>
          <w:spacing w:val="0"/>
          <w:kern w:val="0"/>
          <w:position w:val="0"/>
          <w:sz w:val="16"/>
          <w:szCs w:val="16"/>
        </w:rPr>
        <w:t xml:space="preserve"> по сравнению с 800-1.300 в месяц в начале войны</w:t>
      </w:r>
      <w:r w:rsidR="009E6F82" w:rsidRPr="00405303">
        <w:rPr>
          <w:bCs/>
          <w:i w:val="0"/>
          <w:color w:val="002060"/>
          <w:spacing w:val="0"/>
          <w:kern w:val="0"/>
          <w:position w:val="0"/>
          <w:sz w:val="16"/>
          <w:szCs w:val="16"/>
        </w:rPr>
        <w:t xml:space="preserve">. Начальники отделов передового запаса и их помощники, по окончании работы в отделах, заняты были вечерами составлением накладных, квитанций, ведением материальных книг и другой письменной работой, продолжавшейся до поздних часов. </w:t>
      </w:r>
    </w:p>
    <w:p w14:paraId="0C3A15A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Начальник передового запаса, занятый письменной работой, не имел возможности ежедневно бывать в отделах, что было безусловно необходимо во избежание упущений. </w:t>
      </w:r>
    </w:p>
    <w:p w14:paraId="2B5CFEA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Установленный в Киевском артиллерийском складе пoрядок приема, хранения и отпуска предметов из склада и ведения отчетности, весьма сложный и для мирного времени был совсем неприменим для военного времени. Начальники отделов склада и хранители имущества завалены были перепиской настолько, что почти не могли заниматься в отделах, где непосредственная работа их была безусловно необходима. Начальник отдела артиллерии откровенно заявил генерал-инспектору артиллерии, что "многое </w:t>
      </w:r>
      <w:proofErr w:type="gramStart"/>
      <w:r w:rsidRPr="00405303">
        <w:rPr>
          <w:bCs/>
          <w:i w:val="0"/>
          <w:color w:val="002060"/>
          <w:spacing w:val="0"/>
          <w:kern w:val="0"/>
          <w:position w:val="0"/>
          <w:sz w:val="16"/>
          <w:szCs w:val="16"/>
        </w:rPr>
        <w:t>подписывает</w:t>
      </w:r>
      <w:proofErr w:type="gramEnd"/>
      <w:r w:rsidRPr="00405303">
        <w:rPr>
          <w:bCs/>
          <w:i w:val="0"/>
          <w:color w:val="002060"/>
          <w:spacing w:val="0"/>
          <w:kern w:val="0"/>
          <w:position w:val="0"/>
          <w:sz w:val="16"/>
          <w:szCs w:val="16"/>
        </w:rPr>
        <w:t xml:space="preserve"> не читая"... Много переписки вызывали представляемые складом различные срочные сведения: ежедневные о ходе работ для окарту, трехдневные, еженедельные по четвергам, двухнедельные двух родов и ежемесячные о состоянии имущества, в нескольких экземплярах каждое, для начальника, артснабжения фронта, для штаба главкома и пр. </w:t>
      </w:r>
    </w:p>
    <w:p w14:paraId="29A34BB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Артиллерийское снабжение в армиях находилось фактически в ведении заведующих артиллерийской частью. Они выполняли его самостоятельно, получая иногда указания непосредственно от начальников штабов армий, но минуя почти всегда начальников ЭХО. Деятельность артиллерийской части ЭХО при штатном ее составе являлась непосильной, так как установленный порядок требований и отпуска предметов, несмотря на все принимаемые меры к упрощению этого дела, вызывал огромную переписку. Так, у заведующего артиллерийской частью 8-й армии к 1 января 1915 г. было уже 20 890 входящих и 19 570 исходящих бумаг, а в 11-й армии в месяц бывало не менее 1.500 входящих и 1.000 исходящих бумаг. Пришлось прикомандировать сверх штата для работы в канцеляриях. </w:t>
      </w:r>
    </w:p>
    <w:p w14:paraId="789C00D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"Занятые перепиской с утра до поздней ночи" заведующие ртиллерийской частью совершенно не имели времени отлучаться из своих канцелярий, чтобы на местах проверять и направлять деятельность подчиненных им тыловых артиллерийских учреждений. </w:t>
      </w:r>
    </w:p>
    <w:p w14:paraId="13D9511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Независимо от гор бумаг и переписок, некоторые органы артснабжения Юго-западного фронта оказались чрезвычайно перегруженными работой, на которую они не были рассчитаны. Так, например, Ровненский передовой артиллерийский запас, выполнив в течение сентября 1914 г. всего 89 нарядов на отпуск имущества, в ноябре того же года выполнил их 174, а за неделю в июле 1915 г. было выполнено уже 202 наряда. Трудность ведения дела усугублялась еще тем, что большинство чинов передового запаса "не ведало в мирное время порученной им работой"... По мнению генерал-инспектора артиллерии, "следовало рассредоточить работу, образовав вместо одного два или три передовых запаса на Юго-западном фронте". </w:t>
      </w:r>
    </w:p>
    <w:p w14:paraId="130975B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Киевский артиллерийский склад находился в еще худших условиях работы. По предписанию ГАУ (10 (23) января 1915 г. № 348, секр.), все артиллерийское имущество, необходимое для Юго-западного фронта, направлялось из внутренних округов в Киевский артсклад, хотя бы оно и не предназначалось для этого склада. На основании приказа главначснаба Юго-западного фронта (от 20 мая 1915 г. № 355), все главнейшие предметы артиллерии, как требующие исправле-ния или замены, так и негодные, должны были сдаваться также в Киевский артсклад, причем начальник склада по приеме неисправных предметов обязан был сортировать их и передавать в Киевский арсенал или в подвижные починочные мастерские. В тот же склад направлялось имущество при эвакуации Галиции и наших западных губерний, и не только такое, как трофейное или собранное с полей сражения, но и не имеющее прямого отношения к артиллерии, как-то: колокола церковная утварь, лом меди, станки и пр. В результате этого нелепого направления встречных потоков артимущества "все дворы проходы и даже прилежащие к складу пустыри буквально были загромождены разным имуществом, разбросанным в хаотическом беспорядке". </w:t>
      </w:r>
    </w:p>
    <w:p w14:paraId="6CF5BF7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 громадном объеме работы склада можно судить по числу нарядов, выполненных за год войны только одним отделом ручного оружия: 1294 приходных наряда от 1958 войсковых частей и 1406 расходных нарядов, по которым было отпущено 2.389 войсковым частям. В отделе огнеприпасов за год вой ны было снаряжено 60 местных парков и ежедневно очищалось до 220.000 винтовочных патронов, собранных с по лей сражения. В мастерской отдела ручного оружия было отложено 124575 винтовок и приведено в исправность до 200.000 винтовок; ею же было подготовлено 48 оружейников, отправленных в части различных военных округов. Все эти работы, конечно, не могли быть выполнены личным </w:t>
      </w:r>
      <w:proofErr w:type="gramStart"/>
      <w:r w:rsidRPr="00405303">
        <w:rPr>
          <w:bCs/>
          <w:i w:val="0"/>
          <w:color w:val="002060"/>
          <w:spacing w:val="0"/>
          <w:kern w:val="0"/>
          <w:position w:val="0"/>
          <w:sz w:val="16"/>
          <w:szCs w:val="16"/>
        </w:rPr>
        <w:t>со-ставом</w:t>
      </w:r>
      <w:proofErr w:type="gramEnd"/>
      <w:r w:rsidRPr="00405303">
        <w:rPr>
          <w:bCs/>
          <w:i w:val="0"/>
          <w:color w:val="002060"/>
          <w:spacing w:val="0"/>
          <w:kern w:val="0"/>
          <w:position w:val="0"/>
          <w:sz w:val="16"/>
          <w:szCs w:val="16"/>
        </w:rPr>
        <w:t xml:space="preserve"> склада и к одному только отделу огнеприпасов было прикомандировано более 30 офицеров и классных чиновников и 1.800 солдат. </w:t>
      </w:r>
    </w:p>
    <w:p w14:paraId="2ABE940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Генерал-инспектор считал необходимым усилить штат Киевского артсклада, избавить склад от непроизводительных переотправок имущества, упростить порядок делопроизводства и отчетности, установив систему талонов и т. д., разгрузить склад передачей части имущества в другие склады и т. д. </w:t>
      </w:r>
    </w:p>
    <w:p w14:paraId="6C4227C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Не лучше обстояло дело в Киевском арсенале. "Наряды фронта, по большей части срочные, были столь многочисленны и разнообразны, что в Киевском арсенале была совершенно нарушена планомерность в работах". Перечень этих нарядов, данных только до конца июля 1915 г., занимал более 200 страниц. Почти все, что случайно не оказывалось в запасах фронта, "заказывалось арсеналу"... При таких условиях Киевский арсенал, несмотря на полную интенсивность работ (в кузнечной мастерской работали 24 часа в 3 смены, в остальных мастерских в 2 смены, по 11 часов каждая), не в состоянии был выполнять срочные наряды ГАУ, тогда как некоторые из них имели несравненно более серьезное значение, чем наряды фронта. </w:t>
      </w:r>
    </w:p>
    <w:p w14:paraId="40FE2AC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Необходимо было осторожнее относиться к даче нарядов арсеналу от фронта, как </w:t>
      </w:r>
      <w:proofErr w:type="gramStart"/>
      <w:r w:rsidRPr="00405303">
        <w:rPr>
          <w:bCs/>
          <w:i w:val="0"/>
          <w:color w:val="002060"/>
          <w:spacing w:val="0"/>
          <w:kern w:val="0"/>
          <w:position w:val="0"/>
          <w:sz w:val="16"/>
          <w:szCs w:val="16"/>
        </w:rPr>
        <w:t>можно</w:t>
      </w:r>
      <w:proofErr w:type="gramEnd"/>
      <w:r w:rsidRPr="00405303">
        <w:rPr>
          <w:bCs/>
          <w:i w:val="0"/>
          <w:color w:val="002060"/>
          <w:spacing w:val="0"/>
          <w:kern w:val="0"/>
          <w:position w:val="0"/>
          <w:sz w:val="16"/>
          <w:szCs w:val="16"/>
        </w:rPr>
        <w:t xml:space="preserve"> шире привлекая для выполнения более простых нарядов починочные мастерские или даже частную промышленность. </w:t>
      </w:r>
    </w:p>
    <w:p w14:paraId="71BC1AC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Оценивая создавшееся на Юго-западном фронте положение с артиллерийским снабжением, причины, его вызвавшие, отмеченные в цитируемых документах, и меры, предлагаемые для урегулирования артснабжения, приходится еще раз подчеркнуть: </w:t>
      </w:r>
    </w:p>
    <w:p w14:paraId="585C92F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lastRenderedPageBreak/>
        <w:t xml:space="preserve">1. Недооценку вопросов артиллерийского снабжения при мобилизационной подготовке (отсутствие норм запасов для фронтов, недостаток штатного состава, неподготовленность к развертыванию существующих учреждений, недостаточная сеть артснабженческих учреждений, вызвавшая массу нештатных организаций, и т. д.). </w:t>
      </w:r>
    </w:p>
    <w:p w14:paraId="727E268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 Нелепость организации артиллерийского снабжения действующей армии в целом без возглавляющего аппарата, что приводило в отсутствию регулирования и наблюдения за правильным функционированием боевого снабжения и к стрем-лению фронтовых органов разрешать все вопросы артснабжения внутри себя (несоответственное распределение имущества по складам, загрузка Киевского склада имуществом, подлежащим отправлению во внутренние округа, загрузка арсенала заказами мелких частей, которых не было в запасах фронта, и т. п.). </w:t>
      </w:r>
    </w:p>
    <w:p w14:paraId="6C99EAD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3. Отсутствие ясности и четкости в построении аппарата артснабжения на фронтах - в результате запутанность взаимоотношений (подчинение технических артиллерийских заведений фронтам по территориальному признаку и пр.). </w:t>
      </w:r>
    </w:p>
    <w:p w14:paraId="67D3A24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4. Необычайно разросшиеся путы формализма, сдавившие железными обручами живое дело артснабжения (горы переписки и сложная отчетность, не поспевавшая за жизнью) (11483).</w:t>
      </w:r>
    </w:p>
    <w:p w14:paraId="3D0686F1" w14:textId="77777777" w:rsidR="004B4E35" w:rsidRPr="00405303" w:rsidRDefault="004B4E35" w:rsidP="00C15251">
      <w:pPr>
        <w:pStyle w:val="a3"/>
        <w:jc w:val="both"/>
        <w:rPr>
          <w:bCs/>
          <w:i w:val="0"/>
          <w:color w:val="002060"/>
          <w:spacing w:val="0"/>
          <w:kern w:val="0"/>
          <w:position w:val="0"/>
          <w:sz w:val="16"/>
          <w:szCs w:val="16"/>
        </w:rPr>
      </w:pPr>
    </w:p>
    <w:p w14:paraId="3E73A803"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Жизнь и внутреняя политика:</w:t>
      </w:r>
    </w:p>
    <w:p w14:paraId="76015A78" w14:textId="77777777" w:rsidR="004B4E35" w:rsidRPr="00405303" w:rsidRDefault="004B4E35" w:rsidP="00C15251">
      <w:pPr>
        <w:shd w:val="clear" w:color="auto" w:fill="FFFFFF"/>
        <w:jc w:val="both"/>
        <w:rPr>
          <w:bCs/>
          <w:i/>
          <w:color w:val="002060"/>
          <w:sz w:val="16"/>
          <w:szCs w:val="16"/>
        </w:rPr>
      </w:pPr>
    </w:p>
    <w:p w14:paraId="2C49B46B" w14:textId="475368A7" w:rsidR="004B4E35" w:rsidRPr="00405303" w:rsidRDefault="00F64A8F"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w:t>
      </w:r>
      <w:r w:rsidR="009E6F82" w:rsidRPr="00405303">
        <w:rPr>
          <w:bCs/>
          <w:i w:val="0"/>
          <w:color w:val="002060"/>
          <w:spacing w:val="0"/>
          <w:kern w:val="0"/>
          <w:position w:val="0"/>
          <w:sz w:val="16"/>
          <w:szCs w:val="16"/>
        </w:rPr>
        <w:t xml:space="preserve"> июле 1915 г. в центре и на местах были учреждены объединенные органы, которые должны были координировать деятельность — </w:t>
      </w:r>
      <w:r w:rsidR="009E6F82" w:rsidRPr="00405303">
        <w:rPr>
          <w:bCs/>
          <w:color w:val="002060"/>
          <w:spacing w:val="0"/>
          <w:kern w:val="0"/>
          <w:position w:val="0"/>
          <w:sz w:val="16"/>
          <w:szCs w:val="16"/>
        </w:rPr>
        <w:t>Главный комитет по снабжению армии</w:t>
      </w:r>
      <w:r w:rsidR="009E6F82" w:rsidRPr="00405303">
        <w:rPr>
          <w:bCs/>
          <w:i w:val="0"/>
          <w:color w:val="002060"/>
          <w:spacing w:val="0"/>
          <w:kern w:val="0"/>
          <w:position w:val="0"/>
          <w:sz w:val="16"/>
          <w:szCs w:val="16"/>
        </w:rPr>
        <w:t>, а также его местные, губернские, уездные и городские комитеты при земских и городских управах и уполномоченные на фронтах.</w:t>
      </w:r>
    </w:p>
    <w:p w14:paraId="229B3EE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Функции созданного Земгора как общественной организации были довольно многогранны. Земгор ставил себе задачей мобилизацию промышленности для нужд обороны, но не крупной, а мелкой кустарно-ремесленной, и распределения среди нее заказов военного ведомства на простые предметы военного снаряжения — повозки, походные кухни, лопаты и т.д. Деятельность Земгора в области мобилизации кустарей и мелких промышленных предприятий имела существенное значение. Земгор организовал ряд мелких кожевенных, химических, деревообрабатывающих, металлургических, пошивочных и прочих мастерских. Кроме этого, в круг его ведения входили все сношения с правительством, военным ведомством, государственными учреждениями, общественными организациями и частными лицами по делам, связанным со снабжением армии. Главный комитет принимал заказы от военного ведомства и распределял их между земствами и городами, осуществлял контроль за исполнением заказов и производил передачу изготовленных предметов военному ведомству. Земгору предоставлялось право испрашивать у государства необходимые кредиты и распоряжаться отпускаемыми на исполнение заказов суммами. Земгор занимался также устройством собственных фабрично-заводских предприятий, что, в основном, осуществлялось путем приспособления для этой цели заводов и фабрик частных предпринимателей. Всё это, правда, выходило за рамки обычной общественной деятельности.</w:t>
      </w:r>
    </w:p>
    <w:p w14:paraId="38C9933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Что касается правительства, то сначала оно оказывало известную поддержку Земгору, рассчитывая, что объединение мелкой и кустарной промышленности позволит разместить часть военных заказов вне сферы «регулирования». Одновременно правительство надеялось разгрузить крупные заводы от производства ширпотреба.</w:t>
      </w:r>
    </w:p>
    <w:p w14:paraId="28226B2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Но, столкнувшись со всё нарастающей активностью буржуазии в общественной и политической жизни страны, оно решило изъять из ведения Земского и Городского союзов военно-санитарное дело. В этих целях в сентябре 1916 г. было создано центральное ведомство — Главное управление санитарным делом, которое, правда, не успело сформировать свой аппарат до Февральской буржуазно-демократической революции. Продолжая выбранный в отношении Земгора реакционный курс, правительство запрещает земские и городские съезды, а когда они собираются явочным порядком, производит выборочные аресты земских деятелей.</w:t>
      </w:r>
    </w:p>
    <w:p w14:paraId="4B75381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Но тогда, в 1914 г., ни правительство, ни Земгор еще не знали, к чему может привести идея объединения общества на «общепатриотической» основе. Весной 1915 г. после Галицийского поражения, правительство поддержало лозунг буржуазии о «мобилизации промышленности», согласилось решить вопрос о привлечении частных предпринимательских организаций к делу заготовления предметов военного довольствия. «Надо </w:t>
      </w:r>
      <w:proofErr w:type="gramStart"/>
      <w:r w:rsidRPr="00405303">
        <w:rPr>
          <w:bCs/>
          <w:i w:val="0"/>
          <w:color w:val="002060"/>
          <w:spacing w:val="0"/>
          <w:kern w:val="0"/>
          <w:position w:val="0"/>
          <w:sz w:val="16"/>
          <w:szCs w:val="16"/>
        </w:rPr>
        <w:t>не медля</w:t>
      </w:r>
      <w:proofErr w:type="gramEnd"/>
      <w:r w:rsidRPr="00405303">
        <w:rPr>
          <w:bCs/>
          <w:i w:val="0"/>
          <w:color w:val="002060"/>
          <w:spacing w:val="0"/>
          <w:kern w:val="0"/>
          <w:position w:val="0"/>
          <w:sz w:val="16"/>
          <w:szCs w:val="16"/>
        </w:rPr>
        <w:t xml:space="preserve"> ни одной минуты мобилизовывать всю промышленность и приспособить все фабрики и заводы только к нуждам войны», — призывала московская буржуазная газета «Утро России». Вопрос о привлечении частных предпринимательских организаций к делу заготовления предметов военного довольствия обсуждался и в ходе подготовительных заседаний к Особому совещанию по обороне (весна 1915 г.) (11270).</w:t>
      </w:r>
    </w:p>
    <w:p w14:paraId="6AF4C4E8" w14:textId="77777777" w:rsidR="004B4E35" w:rsidRPr="00405303" w:rsidRDefault="004B4E35" w:rsidP="00C15251">
      <w:pPr>
        <w:pStyle w:val="a3"/>
        <w:jc w:val="both"/>
        <w:rPr>
          <w:bCs/>
          <w:i w:val="0"/>
          <w:color w:val="002060"/>
          <w:spacing w:val="0"/>
          <w:kern w:val="0"/>
          <w:position w:val="0"/>
          <w:sz w:val="16"/>
          <w:szCs w:val="16"/>
        </w:rPr>
      </w:pPr>
    </w:p>
    <w:p w14:paraId="4B32E53A"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Внешняя политика:</w:t>
      </w:r>
    </w:p>
    <w:p w14:paraId="7A90C01A" w14:textId="77777777" w:rsidR="004B4E35" w:rsidRPr="00405303" w:rsidRDefault="004B4E35" w:rsidP="00C15251">
      <w:pPr>
        <w:pStyle w:val="a3"/>
        <w:jc w:val="both"/>
        <w:rPr>
          <w:bCs/>
          <w:color w:val="002060"/>
          <w:spacing w:val="0"/>
          <w:kern w:val="0"/>
          <w:position w:val="0"/>
          <w:sz w:val="16"/>
          <w:szCs w:val="16"/>
        </w:rPr>
      </w:pPr>
    </w:p>
    <w:p w14:paraId="53913A3F" w14:textId="77777777" w:rsidR="004B4E35" w:rsidRPr="00405303" w:rsidRDefault="009E6F82" w:rsidP="00C15251">
      <w:pPr>
        <w:jc w:val="both"/>
        <w:rPr>
          <w:bCs/>
          <w:color w:val="002060"/>
          <w:sz w:val="16"/>
          <w:szCs w:val="16"/>
        </w:rPr>
      </w:pPr>
      <w:r w:rsidRPr="00405303">
        <w:rPr>
          <w:bCs/>
          <w:color w:val="002060"/>
          <w:sz w:val="16"/>
          <w:szCs w:val="16"/>
        </w:rPr>
        <w:t xml:space="preserve">В июле 1915 г. британское правительство передало банкирскому дому Морган для размещения в Америке заказ на 12 млн 3-дм патронов, из коих 9 млн шрапнельных и 3 млн гранатных. Заказ этот </w:t>
      </w:r>
      <w:proofErr w:type="gramStart"/>
      <w:r w:rsidRPr="00405303">
        <w:rPr>
          <w:bCs/>
          <w:color w:val="002060"/>
          <w:sz w:val="16"/>
          <w:szCs w:val="16"/>
        </w:rPr>
        <w:t>прошел</w:t>
      </w:r>
      <w:proofErr w:type="gramEnd"/>
      <w:r w:rsidRPr="00405303">
        <w:rPr>
          <w:bCs/>
          <w:color w:val="002060"/>
          <w:sz w:val="16"/>
          <w:szCs w:val="16"/>
        </w:rPr>
        <w:t xml:space="preserve"> минуя Заготовительный комитет в Америке, при участии, однако, Русского комитета в Лондоне. Морган разместил этот заказ следующим образом: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492"/>
        <w:gridCol w:w="2160"/>
      </w:tblGrid>
      <w:tr w:rsidR="004B4E35" w:rsidRPr="00405303" w14:paraId="027B6964" w14:textId="77777777">
        <w:tc>
          <w:tcPr>
            <w:tcW w:w="3492" w:type="dxa"/>
          </w:tcPr>
          <w:p w14:paraId="0574675F" w14:textId="77777777" w:rsidR="004B4E35" w:rsidRPr="00405303" w:rsidRDefault="009E6F82" w:rsidP="00C15251">
            <w:pPr>
              <w:jc w:val="both"/>
              <w:rPr>
                <w:bCs/>
                <w:color w:val="002060"/>
                <w:sz w:val="16"/>
                <w:szCs w:val="16"/>
              </w:rPr>
            </w:pPr>
            <w:r w:rsidRPr="00405303">
              <w:rPr>
                <w:bCs/>
                <w:color w:val="002060"/>
                <w:sz w:val="16"/>
                <w:szCs w:val="16"/>
              </w:rPr>
              <w:t>2 500 000 шрапнельных патронов</w:t>
            </w:r>
          </w:p>
        </w:tc>
        <w:tc>
          <w:tcPr>
            <w:tcW w:w="2160" w:type="dxa"/>
          </w:tcPr>
          <w:p w14:paraId="5DAE4AE0" w14:textId="77777777" w:rsidR="004B4E35" w:rsidRPr="00405303" w:rsidRDefault="009E6F82" w:rsidP="00C15251">
            <w:pPr>
              <w:jc w:val="both"/>
              <w:rPr>
                <w:bCs/>
                <w:color w:val="002060"/>
                <w:sz w:val="16"/>
                <w:szCs w:val="16"/>
              </w:rPr>
            </w:pPr>
            <w:r w:rsidRPr="00405303">
              <w:rPr>
                <w:bCs/>
                <w:color w:val="002060"/>
                <w:sz w:val="16"/>
                <w:szCs w:val="16"/>
              </w:rPr>
              <w:t xml:space="preserve">по 16 долларов </w:t>
            </w:r>
          </w:p>
        </w:tc>
      </w:tr>
      <w:tr w:rsidR="004B4E35" w:rsidRPr="00405303" w14:paraId="475398EB" w14:textId="77777777">
        <w:tc>
          <w:tcPr>
            <w:tcW w:w="3492" w:type="dxa"/>
          </w:tcPr>
          <w:p w14:paraId="5386D806" w14:textId="77777777" w:rsidR="004B4E35" w:rsidRPr="00405303" w:rsidRDefault="009E6F82" w:rsidP="00C15251">
            <w:pPr>
              <w:jc w:val="both"/>
              <w:rPr>
                <w:bCs/>
                <w:color w:val="002060"/>
                <w:sz w:val="16"/>
                <w:szCs w:val="16"/>
              </w:rPr>
            </w:pPr>
            <w:r w:rsidRPr="00405303">
              <w:rPr>
                <w:bCs/>
                <w:color w:val="002060"/>
                <w:sz w:val="16"/>
                <w:szCs w:val="16"/>
              </w:rPr>
              <w:t>2 000 000</w:t>
            </w:r>
          </w:p>
        </w:tc>
        <w:tc>
          <w:tcPr>
            <w:tcW w:w="2160" w:type="dxa"/>
          </w:tcPr>
          <w:p w14:paraId="771A4EF2" w14:textId="77777777" w:rsidR="004B4E35" w:rsidRPr="00405303" w:rsidRDefault="009E6F82" w:rsidP="00C15251">
            <w:pPr>
              <w:jc w:val="both"/>
              <w:rPr>
                <w:bCs/>
                <w:color w:val="002060"/>
                <w:sz w:val="16"/>
                <w:szCs w:val="16"/>
              </w:rPr>
            </w:pPr>
            <w:r w:rsidRPr="00405303">
              <w:rPr>
                <w:bCs/>
                <w:color w:val="002060"/>
                <w:sz w:val="16"/>
                <w:szCs w:val="16"/>
              </w:rPr>
              <w:t xml:space="preserve">по 15,45 долларов </w:t>
            </w:r>
          </w:p>
        </w:tc>
      </w:tr>
      <w:tr w:rsidR="004B4E35" w:rsidRPr="00405303" w14:paraId="337214FC" w14:textId="77777777">
        <w:tc>
          <w:tcPr>
            <w:tcW w:w="3492" w:type="dxa"/>
          </w:tcPr>
          <w:p w14:paraId="6D1E44B6" w14:textId="77777777" w:rsidR="004B4E35" w:rsidRPr="00405303" w:rsidRDefault="009E6F82" w:rsidP="00C15251">
            <w:pPr>
              <w:jc w:val="both"/>
              <w:rPr>
                <w:bCs/>
                <w:color w:val="002060"/>
                <w:sz w:val="16"/>
                <w:szCs w:val="16"/>
              </w:rPr>
            </w:pPr>
            <w:r w:rsidRPr="00405303">
              <w:rPr>
                <w:bCs/>
                <w:color w:val="002060"/>
                <w:sz w:val="16"/>
                <w:szCs w:val="16"/>
              </w:rPr>
              <w:t>750 000</w:t>
            </w:r>
          </w:p>
        </w:tc>
        <w:tc>
          <w:tcPr>
            <w:tcW w:w="2160" w:type="dxa"/>
          </w:tcPr>
          <w:p w14:paraId="3D3EF60D" w14:textId="77777777" w:rsidR="004B4E35" w:rsidRPr="00405303" w:rsidRDefault="009E6F82" w:rsidP="00C15251">
            <w:pPr>
              <w:jc w:val="both"/>
              <w:rPr>
                <w:bCs/>
                <w:color w:val="002060"/>
                <w:sz w:val="16"/>
                <w:szCs w:val="16"/>
              </w:rPr>
            </w:pPr>
            <w:r w:rsidRPr="00405303">
              <w:rPr>
                <w:bCs/>
                <w:color w:val="002060"/>
                <w:sz w:val="16"/>
                <w:szCs w:val="16"/>
              </w:rPr>
              <w:t xml:space="preserve">по 15,33 и 15,50 долларов </w:t>
            </w:r>
          </w:p>
        </w:tc>
      </w:tr>
      <w:tr w:rsidR="004B4E35" w:rsidRPr="00405303" w14:paraId="277E5605" w14:textId="77777777">
        <w:tc>
          <w:tcPr>
            <w:tcW w:w="3492" w:type="dxa"/>
          </w:tcPr>
          <w:p w14:paraId="3A9BCD3B" w14:textId="77777777" w:rsidR="004B4E35" w:rsidRPr="00405303" w:rsidRDefault="009E6F82" w:rsidP="00C15251">
            <w:pPr>
              <w:jc w:val="both"/>
              <w:rPr>
                <w:bCs/>
                <w:color w:val="002060"/>
                <w:sz w:val="16"/>
                <w:szCs w:val="16"/>
              </w:rPr>
            </w:pPr>
            <w:r w:rsidRPr="00405303">
              <w:rPr>
                <w:bCs/>
                <w:color w:val="002060"/>
                <w:sz w:val="16"/>
                <w:szCs w:val="16"/>
              </w:rPr>
              <w:t>3 000 000</w:t>
            </w:r>
          </w:p>
        </w:tc>
        <w:tc>
          <w:tcPr>
            <w:tcW w:w="2160" w:type="dxa"/>
          </w:tcPr>
          <w:p w14:paraId="061D276E" w14:textId="77777777" w:rsidR="004B4E35" w:rsidRPr="00405303" w:rsidRDefault="009E6F82" w:rsidP="00C15251">
            <w:pPr>
              <w:jc w:val="both"/>
              <w:rPr>
                <w:bCs/>
                <w:color w:val="002060"/>
                <w:sz w:val="16"/>
                <w:szCs w:val="16"/>
              </w:rPr>
            </w:pPr>
            <w:r w:rsidRPr="00405303">
              <w:rPr>
                <w:bCs/>
                <w:color w:val="002060"/>
                <w:sz w:val="16"/>
                <w:szCs w:val="16"/>
              </w:rPr>
              <w:t xml:space="preserve">по 16 долларов </w:t>
            </w:r>
          </w:p>
        </w:tc>
      </w:tr>
      <w:tr w:rsidR="004B4E35" w:rsidRPr="00405303" w14:paraId="5A0603D3" w14:textId="77777777">
        <w:tc>
          <w:tcPr>
            <w:tcW w:w="3492" w:type="dxa"/>
          </w:tcPr>
          <w:p w14:paraId="34B6B3FE" w14:textId="77777777" w:rsidR="004B4E35" w:rsidRPr="00405303" w:rsidRDefault="009E6F82" w:rsidP="00C15251">
            <w:pPr>
              <w:jc w:val="both"/>
              <w:rPr>
                <w:bCs/>
                <w:color w:val="002060"/>
                <w:sz w:val="16"/>
                <w:szCs w:val="16"/>
              </w:rPr>
            </w:pPr>
            <w:r w:rsidRPr="00405303">
              <w:rPr>
                <w:bCs/>
                <w:color w:val="002060"/>
                <w:sz w:val="16"/>
                <w:szCs w:val="16"/>
              </w:rPr>
              <w:t>1 000 000 гранатных патронов</w:t>
            </w:r>
          </w:p>
        </w:tc>
        <w:tc>
          <w:tcPr>
            <w:tcW w:w="2160" w:type="dxa"/>
          </w:tcPr>
          <w:p w14:paraId="6023D743" w14:textId="77777777" w:rsidR="004B4E35" w:rsidRPr="00405303" w:rsidRDefault="009E6F82" w:rsidP="00C15251">
            <w:pPr>
              <w:jc w:val="both"/>
              <w:rPr>
                <w:bCs/>
                <w:color w:val="002060"/>
                <w:sz w:val="16"/>
                <w:szCs w:val="16"/>
              </w:rPr>
            </w:pPr>
            <w:r w:rsidRPr="00405303">
              <w:rPr>
                <w:bCs/>
                <w:color w:val="002060"/>
                <w:sz w:val="16"/>
                <w:szCs w:val="16"/>
              </w:rPr>
              <w:t xml:space="preserve">по 16 долларов </w:t>
            </w:r>
          </w:p>
        </w:tc>
      </w:tr>
      <w:tr w:rsidR="004B4E35" w:rsidRPr="00405303" w14:paraId="0F0C9413" w14:textId="77777777">
        <w:tc>
          <w:tcPr>
            <w:tcW w:w="3492" w:type="dxa"/>
          </w:tcPr>
          <w:p w14:paraId="33CD915E" w14:textId="77777777" w:rsidR="004B4E35" w:rsidRPr="00405303" w:rsidRDefault="009E6F82" w:rsidP="00C15251">
            <w:pPr>
              <w:jc w:val="both"/>
              <w:rPr>
                <w:bCs/>
                <w:color w:val="002060"/>
                <w:sz w:val="16"/>
                <w:szCs w:val="16"/>
              </w:rPr>
            </w:pPr>
            <w:r w:rsidRPr="00405303">
              <w:rPr>
                <w:bCs/>
                <w:color w:val="002060"/>
                <w:sz w:val="16"/>
                <w:szCs w:val="16"/>
              </w:rPr>
              <w:t>750 000 шрапнельных патронов</w:t>
            </w:r>
          </w:p>
        </w:tc>
        <w:tc>
          <w:tcPr>
            <w:tcW w:w="2160" w:type="dxa"/>
          </w:tcPr>
          <w:p w14:paraId="704E8336" w14:textId="77777777" w:rsidR="004B4E35" w:rsidRPr="00405303" w:rsidRDefault="009E6F82" w:rsidP="00C15251">
            <w:pPr>
              <w:jc w:val="both"/>
              <w:rPr>
                <w:bCs/>
                <w:color w:val="002060"/>
                <w:sz w:val="16"/>
                <w:szCs w:val="16"/>
              </w:rPr>
            </w:pPr>
            <w:r w:rsidRPr="00405303">
              <w:rPr>
                <w:bCs/>
                <w:color w:val="002060"/>
                <w:sz w:val="16"/>
                <w:szCs w:val="16"/>
              </w:rPr>
              <w:t xml:space="preserve">по 15,50 долларов </w:t>
            </w:r>
          </w:p>
        </w:tc>
      </w:tr>
      <w:tr w:rsidR="004B4E35" w:rsidRPr="00405303" w14:paraId="3C37B13F" w14:textId="77777777">
        <w:tc>
          <w:tcPr>
            <w:tcW w:w="3492" w:type="dxa"/>
          </w:tcPr>
          <w:p w14:paraId="70994E47" w14:textId="77777777" w:rsidR="004B4E35" w:rsidRPr="00405303" w:rsidRDefault="009E6F82" w:rsidP="00C15251">
            <w:pPr>
              <w:jc w:val="both"/>
              <w:rPr>
                <w:bCs/>
                <w:color w:val="002060"/>
                <w:sz w:val="16"/>
                <w:szCs w:val="16"/>
              </w:rPr>
            </w:pPr>
            <w:r w:rsidRPr="00405303">
              <w:rPr>
                <w:bCs/>
                <w:color w:val="002060"/>
                <w:sz w:val="16"/>
                <w:szCs w:val="16"/>
              </w:rPr>
              <w:t>1 000 000 гранатных патронов</w:t>
            </w:r>
          </w:p>
        </w:tc>
        <w:tc>
          <w:tcPr>
            <w:tcW w:w="2160" w:type="dxa"/>
          </w:tcPr>
          <w:p w14:paraId="445CEE88" w14:textId="77777777" w:rsidR="004B4E35" w:rsidRPr="00405303" w:rsidRDefault="009E6F82" w:rsidP="00C15251">
            <w:pPr>
              <w:jc w:val="both"/>
              <w:rPr>
                <w:bCs/>
                <w:color w:val="002060"/>
                <w:sz w:val="16"/>
                <w:szCs w:val="16"/>
              </w:rPr>
            </w:pPr>
            <w:r w:rsidRPr="00405303">
              <w:rPr>
                <w:bCs/>
                <w:color w:val="002060"/>
                <w:sz w:val="16"/>
                <w:szCs w:val="16"/>
              </w:rPr>
              <w:t>по 13 долларов</w:t>
            </w:r>
          </w:p>
        </w:tc>
      </w:tr>
      <w:tr w:rsidR="004B4E35" w:rsidRPr="00405303" w14:paraId="10A9E9D5" w14:textId="77777777">
        <w:tc>
          <w:tcPr>
            <w:tcW w:w="3492" w:type="dxa"/>
          </w:tcPr>
          <w:p w14:paraId="3F978F8F" w14:textId="77777777" w:rsidR="004B4E35" w:rsidRPr="00405303" w:rsidRDefault="009E6F82" w:rsidP="00C15251">
            <w:pPr>
              <w:jc w:val="both"/>
              <w:rPr>
                <w:bCs/>
                <w:color w:val="002060"/>
                <w:sz w:val="16"/>
                <w:szCs w:val="16"/>
              </w:rPr>
            </w:pPr>
            <w:r w:rsidRPr="00405303">
              <w:rPr>
                <w:bCs/>
                <w:color w:val="002060"/>
                <w:sz w:val="16"/>
                <w:szCs w:val="16"/>
              </w:rPr>
              <w:t>1 000 000</w:t>
            </w:r>
          </w:p>
        </w:tc>
        <w:tc>
          <w:tcPr>
            <w:tcW w:w="2160" w:type="dxa"/>
          </w:tcPr>
          <w:p w14:paraId="346B3A57" w14:textId="77777777" w:rsidR="004B4E35" w:rsidRPr="00405303" w:rsidRDefault="009E6F82" w:rsidP="00C15251">
            <w:pPr>
              <w:jc w:val="both"/>
              <w:rPr>
                <w:bCs/>
                <w:color w:val="002060"/>
                <w:sz w:val="16"/>
                <w:szCs w:val="16"/>
              </w:rPr>
            </w:pPr>
            <w:r w:rsidRPr="00405303">
              <w:rPr>
                <w:bCs/>
                <w:color w:val="002060"/>
                <w:sz w:val="16"/>
                <w:szCs w:val="16"/>
              </w:rPr>
              <w:t xml:space="preserve">по 12,90 долларов </w:t>
            </w:r>
          </w:p>
        </w:tc>
      </w:tr>
    </w:tbl>
    <w:p w14:paraId="617C5C21" w14:textId="77777777" w:rsidR="004B4E35" w:rsidRPr="00405303" w:rsidRDefault="009E6F82" w:rsidP="00C15251">
      <w:pPr>
        <w:jc w:val="both"/>
        <w:rPr>
          <w:bCs/>
          <w:color w:val="002060"/>
          <w:sz w:val="16"/>
          <w:szCs w:val="16"/>
        </w:rPr>
      </w:pPr>
      <w:r w:rsidRPr="00405303">
        <w:rPr>
          <w:bCs/>
          <w:color w:val="002060"/>
          <w:sz w:val="16"/>
          <w:szCs w:val="16"/>
        </w:rPr>
        <w:t>Всего: 12 000 000 патронов на общую сумму 184 050 000 долларов.</w:t>
      </w:r>
    </w:p>
    <w:p w14:paraId="7AE75053" w14:textId="77777777" w:rsidR="004B4E35" w:rsidRPr="00405303" w:rsidRDefault="009E6F82" w:rsidP="00C15251">
      <w:pPr>
        <w:jc w:val="both"/>
        <w:rPr>
          <w:bCs/>
          <w:color w:val="002060"/>
          <w:sz w:val="16"/>
          <w:szCs w:val="16"/>
        </w:rPr>
      </w:pPr>
      <w:r w:rsidRPr="00405303">
        <w:rPr>
          <w:bCs/>
          <w:color w:val="002060"/>
          <w:sz w:val="16"/>
          <w:szCs w:val="16"/>
        </w:rPr>
        <w:t xml:space="preserve">Цены указаны без стоимости пороха и тротила, которые должны были быть доставлены британским правительством. Заказ Моргановской группе был дан в самый разгар боевых неудач Антанты, и британское правительство было чрезвычайно озабочено спешным выполнением этого заказа. </w:t>
      </w:r>
    </w:p>
    <w:p w14:paraId="17018767" w14:textId="77777777" w:rsidR="004B4E35" w:rsidRPr="00405303" w:rsidRDefault="009E6F82" w:rsidP="00C15251">
      <w:pPr>
        <w:jc w:val="both"/>
        <w:rPr>
          <w:bCs/>
          <w:color w:val="002060"/>
          <w:sz w:val="16"/>
          <w:szCs w:val="16"/>
        </w:rPr>
      </w:pPr>
      <w:r w:rsidRPr="00405303">
        <w:rPr>
          <w:bCs/>
          <w:color w:val="002060"/>
          <w:sz w:val="16"/>
          <w:szCs w:val="16"/>
        </w:rPr>
        <w:t xml:space="preserve">Состав компаний, которым был передан Морганом заказ, был совершенно, так сказать, невоенный, так как ни одна из них, за исключением Бетлеем Стиль, никогда военными производствами не занималась и опыта в них не имела. Единственная Бетлеем Стиль не была новичком в этом деле. Поэтому совершенно ясно, что при выполнении заказа всей группе пришлось пройти тяжелый путь ошибок и затруднений в такой же мере, как это было и с Канадский компанией. </w:t>
      </w:r>
    </w:p>
    <w:p w14:paraId="30B428A6" w14:textId="77777777" w:rsidR="004B4E35" w:rsidRPr="00405303" w:rsidRDefault="009E6F82" w:rsidP="00C15251">
      <w:pPr>
        <w:jc w:val="both"/>
        <w:rPr>
          <w:bCs/>
          <w:color w:val="002060"/>
          <w:sz w:val="16"/>
          <w:szCs w:val="16"/>
        </w:rPr>
      </w:pPr>
      <w:r w:rsidRPr="00405303">
        <w:rPr>
          <w:bCs/>
          <w:color w:val="002060"/>
          <w:sz w:val="16"/>
          <w:szCs w:val="16"/>
        </w:rPr>
        <w:t xml:space="preserve">Для выполнения патронного заказа почти все компании, вошедшие в группу, предприняли постройку новых военных заводов. Фабричные корпуса при этом возводились с необычайной быстротой, и с одинаковой же быстротой оборудовались станками и механизмами. </w:t>
      </w:r>
    </w:p>
    <w:p w14:paraId="0A8844EB" w14:textId="77777777" w:rsidR="004B4E35" w:rsidRPr="00405303" w:rsidRDefault="009E6F82" w:rsidP="00C15251">
      <w:pPr>
        <w:jc w:val="both"/>
        <w:rPr>
          <w:bCs/>
          <w:color w:val="002060"/>
          <w:sz w:val="16"/>
          <w:szCs w:val="16"/>
        </w:rPr>
      </w:pPr>
      <w:r w:rsidRPr="00405303">
        <w:rPr>
          <w:bCs/>
          <w:color w:val="002060"/>
          <w:sz w:val="16"/>
          <w:szCs w:val="16"/>
        </w:rPr>
        <w:t xml:space="preserve">Но совершенно другая в смысле быстроты картина получилась с постановкой на этих заводах самого производства. Отсутствие опыта в военной работе, неумение работать вне стандарта, отсутствие знающих дело инженеров, мастеров и рабочих — все это сразу и резко дало себя знать. В середине 1916 г. было уже совершенно ясно, что никакие контрактные сроки, ни частные, ни конечные, не будут соблюдены ни одной из поименованных компаний. </w:t>
      </w:r>
    </w:p>
    <w:p w14:paraId="28C8B254" w14:textId="77777777" w:rsidR="004B4E35" w:rsidRPr="00405303" w:rsidRDefault="009E6F82" w:rsidP="00C15251">
      <w:pPr>
        <w:jc w:val="both"/>
        <w:rPr>
          <w:bCs/>
          <w:color w:val="002060"/>
          <w:sz w:val="16"/>
          <w:szCs w:val="16"/>
        </w:rPr>
      </w:pPr>
      <w:r w:rsidRPr="00405303">
        <w:rPr>
          <w:bCs/>
          <w:color w:val="002060"/>
          <w:sz w:val="16"/>
          <w:szCs w:val="16"/>
        </w:rPr>
        <w:t xml:space="preserve">Особенное затруднение вызвало изготовление дистанционных трубок. Русскую алюминиевую трубку американцы одолеть не могли никаким образом, и поэтому они предложили изготовлять трубку американского образца, латунную, тяжелую и неважную по конструкции. После долгих споров пришлось принять компромиссное решение — готовить трубку американскую, но из алюминия. Единственно Бетлеем Стиль было предоставлено право готовить подлинную американскую трубку, то есть из латуни, так как это производство у него уже было поставлено. </w:t>
      </w:r>
    </w:p>
    <w:p w14:paraId="366E1AE1" w14:textId="77777777" w:rsidR="004B4E35" w:rsidRPr="00405303" w:rsidRDefault="009E6F82" w:rsidP="00C15251">
      <w:pPr>
        <w:jc w:val="both"/>
        <w:rPr>
          <w:bCs/>
          <w:color w:val="002060"/>
          <w:sz w:val="16"/>
          <w:szCs w:val="16"/>
        </w:rPr>
      </w:pPr>
      <w:r w:rsidRPr="00405303">
        <w:rPr>
          <w:bCs/>
          <w:color w:val="002060"/>
          <w:sz w:val="16"/>
          <w:szCs w:val="16"/>
        </w:rPr>
        <w:t xml:space="preserve">С изготовлением американского типа трубок из алюминия дело, однако, также не двигалось. Пришлось ввести некоторые конструктивные изменения, но и это мало помогло. Положение становилось катастрофическим, так как всему заказу грозил срыв. Тогда Моргановской компании предложено было использовать завод Омера и заказать ему трубки подлинного русского образца, так как завод этот делал такие трубки для Канадской компании, имевшей русский заказ. </w:t>
      </w:r>
    </w:p>
    <w:p w14:paraId="390A05D3"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Таким образом, один и тот же заказ на шрапнели оказался с тремя образцами трубок: чисто русской, чисто американской и смешанной. </w:t>
      </w:r>
    </w:p>
    <w:p w14:paraId="508E528F" w14:textId="77777777" w:rsidR="004B4E35" w:rsidRPr="00405303" w:rsidRDefault="009E6F82" w:rsidP="00C15251">
      <w:pPr>
        <w:jc w:val="both"/>
        <w:rPr>
          <w:bCs/>
          <w:color w:val="002060"/>
          <w:sz w:val="16"/>
          <w:szCs w:val="16"/>
        </w:rPr>
      </w:pPr>
      <w:r w:rsidRPr="00405303">
        <w:rPr>
          <w:bCs/>
          <w:color w:val="002060"/>
          <w:sz w:val="16"/>
          <w:szCs w:val="16"/>
        </w:rPr>
        <w:t xml:space="preserve">Как и Канадская компания, Моргановская группа старалась всю вину за неуспех в работе отнести за счет строгости русской инспекции и пыталась создать процесс, предъявив русскому правительству судебный иск в размере нескольких миллионов долларов за убытки, понесенные якобы от русской инспекции. </w:t>
      </w:r>
    </w:p>
    <w:p w14:paraId="7F0208CB" w14:textId="77777777" w:rsidR="004B4E35" w:rsidRPr="00405303" w:rsidRDefault="009E6F82" w:rsidP="00C15251">
      <w:pPr>
        <w:jc w:val="both"/>
        <w:rPr>
          <w:bCs/>
          <w:color w:val="002060"/>
          <w:sz w:val="16"/>
          <w:szCs w:val="16"/>
        </w:rPr>
      </w:pPr>
      <w:r w:rsidRPr="00405303">
        <w:rPr>
          <w:bCs/>
          <w:color w:val="002060"/>
          <w:sz w:val="16"/>
          <w:szCs w:val="16"/>
        </w:rPr>
        <w:t xml:space="preserve">Выполнение заказа шло с очень большим опозданием против контрактных сроков. Осенью 1916 г. представилось необходимым выработать дополнительное к первоначальному контракту соглашение. В основных чертах оно сводилось к следующему: 1) Компании предоставляется отсрочка, 2) взамен трубок американского образца готовить трубки русские и 3) Компания отказывается от всяких претензий к русскому правительству. </w:t>
      </w:r>
    </w:p>
    <w:p w14:paraId="0C185394" w14:textId="77777777" w:rsidR="004B4E35" w:rsidRPr="00405303" w:rsidRDefault="009E6F82" w:rsidP="00C15251">
      <w:pPr>
        <w:jc w:val="both"/>
        <w:rPr>
          <w:bCs/>
          <w:color w:val="002060"/>
          <w:sz w:val="16"/>
          <w:szCs w:val="16"/>
        </w:rPr>
      </w:pPr>
      <w:r w:rsidRPr="00405303">
        <w:rPr>
          <w:bCs/>
          <w:color w:val="002060"/>
          <w:sz w:val="16"/>
          <w:szCs w:val="16"/>
        </w:rPr>
        <w:t xml:space="preserve">Весной 1917 г. Компания предъявила требования на новые отсрочки, так как сроки по первому дополнительному соглашению выполнены быть не могли. Между прочим большое запоздание с постановкой дистанционных трубок случилось у Бетлеем Стиль, хотя этот завод до русского заказа уже имел солидный опыт по части трубок. Причиной явилось то обстоятельство, что Бетлеем Стиль не приступил к исполнению русского заказа, пока не закончил заказ на трубки для английского правительства. </w:t>
      </w:r>
    </w:p>
    <w:p w14:paraId="1C4B03C0" w14:textId="77777777" w:rsidR="004B4E35" w:rsidRPr="00405303" w:rsidRDefault="009E6F82" w:rsidP="00C15251">
      <w:pPr>
        <w:jc w:val="both"/>
        <w:rPr>
          <w:bCs/>
          <w:color w:val="002060"/>
          <w:sz w:val="16"/>
          <w:szCs w:val="16"/>
        </w:rPr>
      </w:pPr>
      <w:r w:rsidRPr="00405303">
        <w:rPr>
          <w:bCs/>
          <w:color w:val="002060"/>
          <w:sz w:val="16"/>
          <w:szCs w:val="16"/>
        </w:rPr>
        <w:t xml:space="preserve">При исполнении Моргановского заказа случились серьезные недоразумения в вопросе с тротилом, где спорным пунктом явилась нормировка расхода тротила на единицу снабжения. </w:t>
      </w:r>
    </w:p>
    <w:p w14:paraId="04DB8BF5" w14:textId="77777777" w:rsidR="004B4E35" w:rsidRPr="00405303" w:rsidRDefault="009E6F82" w:rsidP="00C15251">
      <w:pPr>
        <w:jc w:val="both"/>
        <w:rPr>
          <w:bCs/>
          <w:color w:val="002060"/>
          <w:sz w:val="16"/>
          <w:szCs w:val="16"/>
        </w:rPr>
      </w:pPr>
      <w:r w:rsidRPr="00405303">
        <w:rPr>
          <w:bCs/>
          <w:color w:val="002060"/>
          <w:sz w:val="16"/>
          <w:szCs w:val="16"/>
        </w:rPr>
        <w:t xml:space="preserve">Только в начале 1917 г. все технические затруднения были исчерпаны и производство достигло своего максимума — 200 000 патронов в неделю. </w:t>
      </w:r>
    </w:p>
    <w:p w14:paraId="7594FA1C" w14:textId="77777777" w:rsidR="004B4E35" w:rsidRPr="00405303" w:rsidRDefault="009E6F82" w:rsidP="00C15251">
      <w:pPr>
        <w:jc w:val="both"/>
        <w:rPr>
          <w:bCs/>
          <w:color w:val="002060"/>
          <w:sz w:val="16"/>
          <w:szCs w:val="16"/>
        </w:rPr>
      </w:pPr>
      <w:r w:rsidRPr="00405303">
        <w:rPr>
          <w:bCs/>
          <w:color w:val="002060"/>
          <w:sz w:val="16"/>
          <w:szCs w:val="16"/>
        </w:rPr>
        <w:t xml:space="preserve">При таком форсированном ходе работ, которые совпали с серьезнейшими транспортными затруднениями, естественно, получилось громадное скопление снаряженных патронов. Пришлось предпринять большие работы по организации хранения этого имущества, которого скопилось, примерно, на сумму до 48 млн долларов. Устройство складов для этого имущества стоило 420 тыс. долларов и расходы по хранению его — 15 тыс. долларов в месяц. </w:t>
      </w:r>
    </w:p>
    <w:p w14:paraId="6F4C08A4" w14:textId="77777777" w:rsidR="004B4E35" w:rsidRPr="00405303" w:rsidRDefault="009E6F82" w:rsidP="00C15251">
      <w:pPr>
        <w:jc w:val="both"/>
        <w:rPr>
          <w:bCs/>
          <w:color w:val="002060"/>
          <w:sz w:val="16"/>
          <w:szCs w:val="16"/>
        </w:rPr>
      </w:pPr>
      <w:r w:rsidRPr="00405303">
        <w:rPr>
          <w:bCs/>
          <w:color w:val="002060"/>
          <w:sz w:val="16"/>
          <w:szCs w:val="16"/>
        </w:rPr>
        <w:t>Закончив заказ с опозданием больше чем на год, все компании, вошедшие в Моргановскую группу, за исключением Бетлеем Стиль предъявили русскому правительству судебные претензии, исчисляемые в сумме от 500 тыс. до 2 млн долларов. Процессы не были доведены до конца и прервались в 1918 г. вместе с разрывом сношений между Россией и Америкой (11329).</w:t>
      </w:r>
    </w:p>
    <w:p w14:paraId="52F4812D" w14:textId="77777777" w:rsidR="004B4E35" w:rsidRPr="00405303" w:rsidRDefault="004B4E35" w:rsidP="00C15251">
      <w:pPr>
        <w:pStyle w:val="a3"/>
        <w:jc w:val="both"/>
        <w:rPr>
          <w:bCs/>
          <w:i w:val="0"/>
          <w:color w:val="002060"/>
          <w:spacing w:val="0"/>
          <w:kern w:val="0"/>
          <w:position w:val="0"/>
          <w:sz w:val="16"/>
          <w:szCs w:val="16"/>
        </w:rPr>
      </w:pPr>
    </w:p>
    <w:p w14:paraId="090C7018"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 и воздухоплавание Германии:</w:t>
      </w:r>
    </w:p>
    <w:p w14:paraId="3D350CE7" w14:textId="77777777" w:rsidR="004B4E35" w:rsidRPr="00405303" w:rsidRDefault="004B4E35" w:rsidP="00C15251">
      <w:pPr>
        <w:pStyle w:val="a3"/>
        <w:jc w:val="both"/>
        <w:rPr>
          <w:bCs/>
          <w:color w:val="002060"/>
          <w:spacing w:val="0"/>
          <w:kern w:val="0"/>
          <w:position w:val="0"/>
          <w:sz w:val="16"/>
          <w:szCs w:val="16"/>
        </w:rPr>
      </w:pPr>
    </w:p>
    <w:p w14:paraId="373CDEFF" w14:textId="77777777" w:rsidR="004B4E35" w:rsidRPr="00405303" w:rsidRDefault="009E6F82" w:rsidP="00C15251">
      <w:pPr>
        <w:jc w:val="both"/>
        <w:rPr>
          <w:bCs/>
          <w:color w:val="002060"/>
          <w:sz w:val="16"/>
          <w:szCs w:val="16"/>
        </w:rPr>
      </w:pPr>
      <w:r w:rsidRPr="00405303">
        <w:rPr>
          <w:bCs/>
          <w:color w:val="002060"/>
          <w:sz w:val="16"/>
          <w:szCs w:val="16"/>
        </w:rPr>
        <w:t xml:space="preserve">В июне и в июле 1915 наряду с самолетами в небо взлетали и настоящие боевые самолеты — одноместные. Чтобы новое изобретение не попало в руки противника, самолетам было запрещено перелетать через неприятельские линии. Хотя район их действия этим сокращался, появление их на фронте полностью перевернуло обстановку борьбы за воздух. Лишь изредка одиночные французские летчики стали принимать бой. Качественному превосходству германских самолетов неприятель противопоставил численное. Таким путем возникли объединения из многих самолетов, прикрывавших друг друга благодаря целесообразному эшелонированию по фронту и по высоте. Такое движение самолетов — </w:t>
      </w:r>
      <w:r w:rsidRPr="00405303">
        <w:rPr>
          <w:rFonts w:eastAsia="Times-Roman"/>
          <w:bCs/>
          <w:color w:val="002060"/>
          <w:sz w:val="16"/>
          <w:szCs w:val="16"/>
        </w:rPr>
        <w:t>ｫｻ</w:t>
      </w:r>
      <w:r w:rsidRPr="00405303">
        <w:rPr>
          <w:bCs/>
          <w:color w:val="002060"/>
          <w:sz w:val="16"/>
          <w:szCs w:val="16"/>
        </w:rPr>
        <w:t xml:space="preserve"> — стало применяться затем и нашими самолетами </w:t>
      </w:r>
      <w:r w:rsidRPr="00405303">
        <w:rPr>
          <w:rFonts w:eastAsia="Times-Roman"/>
          <w:bCs/>
          <w:color w:val="002060"/>
          <w:sz w:val="16"/>
          <w:szCs w:val="16"/>
        </w:rPr>
        <w:t>ｫｻ</w:t>
      </w:r>
      <w:r w:rsidRPr="00405303">
        <w:rPr>
          <w:bCs/>
          <w:color w:val="002060"/>
          <w:sz w:val="16"/>
          <w:szCs w:val="16"/>
        </w:rPr>
        <w:t xml:space="preserve">. Для облегчения быстрого введения в бой оказалось целесообразным все авиаотрядов каждой армии соединить вместе в один или несколько отрядов одноместных боевых самолетов. Впоследствии они послужили основой организации истребительных эскадрилий. Сражающиеся на земле войска были чрезвычайно довольны тем, что наша авиация могла теперь отгонять от них неприятельские самолеты, которые ранее изрядно им досаждали. Впрочем, встречались и курьезные требования. Так, например, штаб одной из армий уже через несколько дней после получения первого самолета </w:t>
      </w:r>
      <w:r w:rsidRPr="00405303">
        <w:rPr>
          <w:rFonts w:eastAsia="Times-Roman"/>
          <w:bCs/>
          <w:color w:val="002060"/>
          <w:sz w:val="16"/>
          <w:szCs w:val="16"/>
        </w:rPr>
        <w:t>ｫ</w:t>
      </w:r>
      <w:r w:rsidRPr="00405303">
        <w:rPr>
          <w:bCs/>
          <w:color w:val="002060"/>
          <w:sz w:val="16"/>
          <w:szCs w:val="16"/>
        </w:rPr>
        <w:t>„</w:t>
      </w:r>
      <w:r w:rsidRPr="00405303">
        <w:rPr>
          <w:rFonts w:eastAsia="Times-Roman"/>
          <w:bCs/>
          <w:color w:val="002060"/>
          <w:sz w:val="16"/>
          <w:szCs w:val="16"/>
        </w:rPr>
        <w:t>ｻ</w:t>
      </w:r>
      <w:r w:rsidRPr="00405303">
        <w:rPr>
          <w:bCs/>
          <w:color w:val="002060"/>
          <w:sz w:val="16"/>
          <w:szCs w:val="16"/>
        </w:rPr>
        <w:t xml:space="preserve"> выражал свое недовольство тем, что как-то раз неприятельскому летчику удалось залететь далеко в глубь нашего расположения, хотя </w:t>
      </w:r>
      <w:r w:rsidRPr="00405303">
        <w:rPr>
          <w:rFonts w:eastAsia="Times-Roman"/>
          <w:bCs/>
          <w:color w:val="002060"/>
          <w:sz w:val="16"/>
          <w:szCs w:val="16"/>
        </w:rPr>
        <w:t>ｫ</w:t>
      </w:r>
      <w:r w:rsidRPr="00405303">
        <w:rPr>
          <w:bCs/>
          <w:color w:val="002060"/>
          <w:sz w:val="16"/>
          <w:szCs w:val="16"/>
        </w:rPr>
        <w:t xml:space="preserve"> располагает теперь одним боевым самолетом</w:t>
      </w:r>
      <w:r w:rsidRPr="00405303">
        <w:rPr>
          <w:rFonts w:eastAsia="Times-Roman"/>
          <w:bCs/>
          <w:color w:val="002060"/>
          <w:sz w:val="16"/>
          <w:szCs w:val="16"/>
        </w:rPr>
        <w:t>ｻ</w:t>
      </w:r>
      <w:r w:rsidRPr="00405303">
        <w:rPr>
          <w:rFonts w:eastAsia="Times-Roman"/>
          <w:bCs/>
          <w:color w:val="002060"/>
          <w:sz w:val="16"/>
          <w:szCs w:val="16"/>
        </w:rPr>
        <w:t xml:space="preserve"> (11282)</w:t>
      </w:r>
      <w:r w:rsidRPr="00405303">
        <w:rPr>
          <w:bCs/>
          <w:color w:val="002060"/>
          <w:sz w:val="16"/>
          <w:szCs w:val="16"/>
        </w:rPr>
        <w:t>.</w:t>
      </w:r>
    </w:p>
    <w:p w14:paraId="3543B7C0" w14:textId="77777777" w:rsidR="004B4E35" w:rsidRPr="00405303" w:rsidRDefault="004B4E35" w:rsidP="00C15251">
      <w:pPr>
        <w:jc w:val="both"/>
        <w:rPr>
          <w:bCs/>
          <w:color w:val="002060"/>
          <w:sz w:val="16"/>
          <w:szCs w:val="16"/>
        </w:rPr>
      </w:pPr>
    </w:p>
    <w:p w14:paraId="636EF5C1" w14:textId="77777777" w:rsidR="008F6659" w:rsidRPr="00405303" w:rsidRDefault="008F6659" w:rsidP="00C15251">
      <w:pPr>
        <w:jc w:val="both"/>
        <w:rPr>
          <w:bCs/>
          <w:color w:val="002060"/>
          <w:sz w:val="16"/>
          <w:szCs w:val="16"/>
        </w:rPr>
      </w:pPr>
      <w:r w:rsidRPr="00405303">
        <w:rPr>
          <w:bCs/>
          <w:color w:val="002060"/>
          <w:sz w:val="16"/>
          <w:szCs w:val="16"/>
        </w:rPr>
        <w:t>В июле 1915 г. был окончен постройкой сухопутный «большой» бомбардировщик Сименс-Шукерт Тип G, но на строевую службу он вообще не поступил (23075).</w:t>
      </w:r>
    </w:p>
    <w:p w14:paraId="32D6C9CD" w14:textId="77777777" w:rsidR="008F6659" w:rsidRPr="00405303" w:rsidRDefault="008F6659" w:rsidP="00C15251">
      <w:pPr>
        <w:jc w:val="both"/>
        <w:rPr>
          <w:bCs/>
          <w:color w:val="002060"/>
          <w:sz w:val="16"/>
          <w:szCs w:val="16"/>
        </w:rPr>
      </w:pPr>
    </w:p>
    <w:p w14:paraId="01ED15CC"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Англии:</w:t>
      </w:r>
    </w:p>
    <w:p w14:paraId="7F69ECCD" w14:textId="77777777" w:rsidR="004B4E35" w:rsidRPr="00405303" w:rsidRDefault="004B4E35" w:rsidP="00C15251">
      <w:pPr>
        <w:jc w:val="both"/>
        <w:rPr>
          <w:bCs/>
          <w:i/>
          <w:color w:val="002060"/>
          <w:sz w:val="16"/>
          <w:szCs w:val="16"/>
        </w:rPr>
      </w:pPr>
    </w:p>
    <w:p w14:paraId="1DAE6F6F" w14:textId="7A337EDA" w:rsidR="004B4E35" w:rsidRPr="00405303" w:rsidRDefault="00F64A8F"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июле </w:t>
      </w:r>
      <w:r w:rsidRPr="00405303">
        <w:rPr>
          <w:bCs/>
          <w:color w:val="002060"/>
          <w:sz w:val="16"/>
          <w:szCs w:val="16"/>
        </w:rPr>
        <w:t>1915</w:t>
      </w:r>
      <w:r w:rsidR="009E6F82" w:rsidRPr="00405303">
        <w:rPr>
          <w:bCs/>
          <w:color w:val="002060"/>
          <w:sz w:val="16"/>
          <w:szCs w:val="16"/>
        </w:rPr>
        <w:t xml:space="preserve"> года </w:t>
      </w:r>
      <w:r w:rsidRPr="00405303">
        <w:rPr>
          <w:bCs/>
          <w:color w:val="002060"/>
          <w:sz w:val="16"/>
          <w:szCs w:val="16"/>
        </w:rPr>
        <w:t xml:space="preserve">в дополнение к первые воздухоплавательные базы, построенным в мае 1915 года в Кэпеле </w:t>
      </w:r>
      <w:r w:rsidR="009E6F82" w:rsidRPr="00405303">
        <w:rPr>
          <w:bCs/>
          <w:color w:val="002060"/>
          <w:sz w:val="16"/>
          <w:szCs w:val="16"/>
        </w:rPr>
        <w:t>в Поулгейте</w:t>
      </w:r>
      <w:r w:rsidRPr="00405303">
        <w:rPr>
          <w:bCs/>
          <w:color w:val="002060"/>
          <w:sz w:val="16"/>
          <w:szCs w:val="16"/>
        </w:rPr>
        <w:t>, была построена еще одна</w:t>
      </w:r>
      <w:r w:rsidR="009E6F82" w:rsidRPr="00405303">
        <w:rPr>
          <w:bCs/>
          <w:color w:val="002060"/>
          <w:sz w:val="16"/>
          <w:szCs w:val="16"/>
        </w:rPr>
        <w:t xml:space="preserve"> близ Истборна. Одновременно был построен переносной эллинг в Маркизе во Франции. К концу 1915 года на базе Кэпел в эксплуатации находились 5 дирижаблей, в Поулгейте — 4 и в Маркизе — 1. Для патрулирования Северного пролива в июле 1915 года на западном побережье Англии была построена база в Льюс Бэй. Она начала функционировать в конце года, приняв в свои эллинги 3 дирижабля. На случай непредвиденных обстоятельств на ирландском побережье в Ларне, против Льюс Бэй, был построен переносной эллинг; на острове Англси организована база в сентябре 1915 года, и с этого момента дирижабли стали нести службу. К концу года их стало четыре (11324).</w:t>
      </w:r>
    </w:p>
    <w:p w14:paraId="47F5C293" w14:textId="77777777" w:rsidR="004B4E35" w:rsidRPr="00405303" w:rsidRDefault="004B4E35" w:rsidP="00C15251">
      <w:pPr>
        <w:jc w:val="both"/>
        <w:rPr>
          <w:bCs/>
          <w:i/>
          <w:color w:val="002060"/>
          <w:sz w:val="16"/>
          <w:szCs w:val="16"/>
        </w:rPr>
      </w:pPr>
    </w:p>
    <w:p w14:paraId="3A3665A8"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за рубежом:</w:t>
      </w:r>
    </w:p>
    <w:p w14:paraId="53E6B938" w14:textId="77777777" w:rsidR="004B4E35" w:rsidRPr="00405303" w:rsidRDefault="004B4E35" w:rsidP="00C15251">
      <w:pPr>
        <w:jc w:val="both"/>
        <w:rPr>
          <w:bCs/>
          <w:i/>
          <w:color w:val="002060"/>
          <w:sz w:val="16"/>
          <w:szCs w:val="16"/>
        </w:rPr>
      </w:pPr>
    </w:p>
    <w:p w14:paraId="555C755B" w14:textId="24965DD8" w:rsidR="004B4E35" w:rsidRPr="00405303" w:rsidRDefault="009E6F82" w:rsidP="00C15251">
      <w:pPr>
        <w:jc w:val="both"/>
        <w:rPr>
          <w:bCs/>
          <w:color w:val="002060"/>
          <w:sz w:val="16"/>
          <w:szCs w:val="16"/>
        </w:rPr>
      </w:pPr>
      <w:r w:rsidRPr="00405303">
        <w:rPr>
          <w:bCs/>
          <w:color w:val="002060"/>
          <w:sz w:val="16"/>
          <w:szCs w:val="16"/>
        </w:rPr>
        <w:t>В июле 1915 года военно-морской флот заказал у фирмы «Коннектикут Эйкрафт К.» в Нью Хэвене свой первый дирижабль серии «А». Он был нежесткой конструкции с мотором «Стуртеван» мощностью 140 л. с. Впервые взлетел в декабре 1916 года, совершил всего 3 полета, после чего был разобран по причине отвратительной управляемости (11324).</w:t>
      </w:r>
    </w:p>
    <w:p w14:paraId="570EFFFF" w14:textId="77777777" w:rsidR="004B4E35" w:rsidRPr="00405303" w:rsidRDefault="004B4E35" w:rsidP="00C15251">
      <w:pPr>
        <w:jc w:val="both"/>
        <w:rPr>
          <w:bCs/>
          <w:color w:val="002060"/>
          <w:sz w:val="16"/>
          <w:szCs w:val="16"/>
        </w:rPr>
      </w:pPr>
    </w:p>
    <w:p w14:paraId="6C4F7409" w14:textId="41B96371" w:rsidR="008F6659" w:rsidRPr="00405303" w:rsidRDefault="008F6659" w:rsidP="00C15251">
      <w:pPr>
        <w:jc w:val="both"/>
        <w:rPr>
          <w:bCs/>
          <w:i/>
          <w:color w:val="002060"/>
          <w:sz w:val="16"/>
          <w:szCs w:val="16"/>
        </w:rPr>
      </w:pPr>
      <w:r w:rsidRPr="00405303">
        <w:rPr>
          <w:bCs/>
          <w:i/>
          <w:color w:val="002060"/>
          <w:sz w:val="16"/>
          <w:szCs w:val="16"/>
        </w:rPr>
        <w:t>За рубежом:</w:t>
      </w:r>
    </w:p>
    <w:p w14:paraId="3F236412" w14:textId="77777777" w:rsidR="008F6659" w:rsidRPr="00405303" w:rsidRDefault="008F6659" w:rsidP="00C15251">
      <w:pPr>
        <w:jc w:val="both"/>
        <w:rPr>
          <w:bCs/>
          <w:i/>
          <w:color w:val="002060"/>
          <w:sz w:val="16"/>
          <w:szCs w:val="16"/>
        </w:rPr>
      </w:pPr>
    </w:p>
    <w:p w14:paraId="401BBFCB" w14:textId="77777777" w:rsidR="008F6659" w:rsidRPr="00405303" w:rsidRDefault="008F6659" w:rsidP="00C15251">
      <w:pPr>
        <w:jc w:val="both"/>
        <w:rPr>
          <w:bCs/>
          <w:color w:val="002060"/>
          <w:sz w:val="16"/>
          <w:szCs w:val="16"/>
        </w:rPr>
      </w:pPr>
      <w:r w:rsidRPr="00405303">
        <w:rPr>
          <w:bCs/>
          <w:color w:val="002060"/>
          <w:sz w:val="16"/>
          <w:szCs w:val="16"/>
        </w:rPr>
        <w:t>В июле 1915 г. фирме «Уильям Фостер энд Компани Лимитед» из Линкольна, занимавшуюся гусеничными тракторами, заказали постройку «сухопутного корабля» на базе американского трактора «Булок».</w:t>
      </w:r>
    </w:p>
    <w:p w14:paraId="0399AD3C" w14:textId="77777777" w:rsidR="008F6659" w:rsidRPr="00405303" w:rsidRDefault="008F6659" w:rsidP="00C15251">
      <w:pPr>
        <w:jc w:val="both"/>
        <w:rPr>
          <w:bCs/>
          <w:color w:val="002060"/>
          <w:sz w:val="16"/>
          <w:szCs w:val="16"/>
        </w:rPr>
      </w:pPr>
      <w:r w:rsidRPr="00405303">
        <w:rPr>
          <w:bCs/>
          <w:color w:val="002060"/>
          <w:sz w:val="16"/>
          <w:szCs w:val="16"/>
        </w:rPr>
        <w:t>Испытания машины, получившей наименование «№ 1 Линкольн», прошли сентябре 1915 г., однако их результат нельзя было назвать удачным. Оказалось, что ходовая часть трактора слаба для таких нагрузок, к тому же при переходе через траншеи нижняя ветвь гусеницы провисала, и она спадала. К концу ноября подготовили к испытаниям новый вариант машины, получившей прозвище «Маленький Вилли» (в честь одного из конструкторов — У. Вилсона). Ходовая часть получила гусеницу с жесткой подвеской. Корпус из листов котельной стали (не броневой) собрали на каркасе из уголков. В лобовой части было сделано крепление для 7,7-мм пулемета «Виккерс», а в бортах — лючки для стрельбы из личного оружия. В крыше было предусмотрено отверстие для установки башни. Карбюраторный двигатель мощностью 105 л. с. обеспечивал 18-тонной машине скорость хода не более 3,2 км/ч. Благодаря наличию колесного хвоста «Маленький Вилли» преодолевал ров шириной до 1,5 м («№ 1 Линкольн» только 1,2 м) (22787).</w:t>
      </w:r>
    </w:p>
    <w:p w14:paraId="39978C26" w14:textId="77777777" w:rsidR="008F6659" w:rsidRPr="00405303" w:rsidRDefault="008F6659" w:rsidP="00C15251">
      <w:pPr>
        <w:jc w:val="both"/>
        <w:rPr>
          <w:bCs/>
          <w:color w:val="002060"/>
          <w:sz w:val="16"/>
          <w:szCs w:val="16"/>
        </w:rPr>
      </w:pPr>
    </w:p>
    <w:p w14:paraId="757FAE9A"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3E5A4966" w14:textId="77777777" w:rsidR="004B4E35" w:rsidRPr="00405303" w:rsidRDefault="004B4E35" w:rsidP="00C15251">
      <w:pPr>
        <w:jc w:val="both"/>
        <w:rPr>
          <w:bCs/>
          <w:i/>
          <w:color w:val="002060"/>
          <w:sz w:val="16"/>
          <w:szCs w:val="16"/>
        </w:rPr>
      </w:pPr>
    </w:p>
    <w:p w14:paraId="28BEA6D9" w14:textId="143FBA0E" w:rsidR="004B4E35" w:rsidRPr="00405303" w:rsidRDefault="00F64A8F"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июле-августе 1915</w:t>
      </w:r>
      <w:r w:rsidRPr="00405303">
        <w:rPr>
          <w:bCs/>
          <w:color w:val="002060"/>
          <w:sz w:val="16"/>
          <w:szCs w:val="16"/>
        </w:rPr>
        <w:t xml:space="preserve"> </w:t>
      </w:r>
      <w:r w:rsidR="009E6F82" w:rsidRPr="00405303">
        <w:rPr>
          <w:bCs/>
          <w:color w:val="002060"/>
          <w:sz w:val="16"/>
          <w:szCs w:val="16"/>
        </w:rPr>
        <w:t xml:space="preserve">г. или примерно в это </w:t>
      </w:r>
      <w:r w:rsidRPr="00405303">
        <w:rPr>
          <w:bCs/>
          <w:color w:val="002060"/>
          <w:sz w:val="16"/>
          <w:szCs w:val="16"/>
        </w:rPr>
        <w:t>в ПРТВ разрабатывался М-7. В</w:t>
      </w:r>
      <w:r w:rsidR="009E6F82" w:rsidRPr="00405303">
        <w:rPr>
          <w:bCs/>
          <w:color w:val="002060"/>
          <w:sz w:val="16"/>
          <w:szCs w:val="16"/>
        </w:rPr>
        <w:t xml:space="preserve"> одной из бумаг от 24 сентября сообщали о близких — «на днях», испытаниях данного трехместного аппарата. Его строительство велось по инициативе руководства компании, заду</w:t>
      </w:r>
      <w:r w:rsidR="009E6F82" w:rsidRPr="00405303">
        <w:rPr>
          <w:bCs/>
          <w:color w:val="002060"/>
          <w:sz w:val="16"/>
          <w:szCs w:val="16"/>
        </w:rPr>
        <w:softHyphen/>
        <w:t>мавшего сделать машину, конкурентоспособную летающим лодкам «Кертисс К», в значительных коли</w:t>
      </w:r>
      <w:r w:rsidR="009E6F82" w:rsidRPr="00405303">
        <w:rPr>
          <w:bCs/>
          <w:color w:val="002060"/>
          <w:sz w:val="16"/>
          <w:szCs w:val="16"/>
        </w:rPr>
        <w:softHyphen/>
        <w:t>чествах заказанных Морским ведомством в США. По неизвестной причине, возможно из-за Отсутствия нужного двигателя и плохой осенней погоды, опыты так и не начали до ноября. Четвертого числа прото</w:t>
      </w:r>
      <w:r w:rsidR="009E6F82" w:rsidRPr="00405303">
        <w:rPr>
          <w:bCs/>
          <w:color w:val="002060"/>
          <w:sz w:val="16"/>
          <w:szCs w:val="16"/>
        </w:rPr>
        <w:softHyphen/>
        <w:t>тип М-7 направили в Ревель, но короткий путь туда занял около двух недель. С. С. Щетинин, по-видимо</w:t>
      </w:r>
      <w:r w:rsidR="009E6F82" w:rsidRPr="00405303">
        <w:rPr>
          <w:bCs/>
          <w:color w:val="002060"/>
          <w:sz w:val="16"/>
          <w:szCs w:val="16"/>
        </w:rPr>
        <w:softHyphen/>
        <w:t>му, придавал большое значение предстоящим эк</w:t>
      </w:r>
      <w:r w:rsidR="009E6F82" w:rsidRPr="00405303">
        <w:rPr>
          <w:bCs/>
          <w:color w:val="002060"/>
          <w:sz w:val="16"/>
          <w:szCs w:val="16"/>
        </w:rPr>
        <w:softHyphen/>
        <w:t>спериментам и решил лично присутствовать на них. Его ожидания не оправдались: в последних числах ноября 1915 г. летающая лодка так и не смогла оторваться от воды. Специалисты компа</w:t>
      </w:r>
      <w:r w:rsidR="009E6F82" w:rsidRPr="00405303">
        <w:rPr>
          <w:bCs/>
          <w:color w:val="002060"/>
          <w:sz w:val="16"/>
          <w:szCs w:val="16"/>
        </w:rPr>
        <w:softHyphen/>
        <w:t>нии все же надеялись усовершенствовать конст</w:t>
      </w:r>
      <w:r w:rsidR="009E6F82" w:rsidRPr="00405303">
        <w:rPr>
          <w:bCs/>
          <w:color w:val="002060"/>
          <w:sz w:val="16"/>
          <w:szCs w:val="16"/>
        </w:rPr>
        <w:softHyphen/>
        <w:t xml:space="preserve">рукцию, а потому для </w:t>
      </w:r>
      <w:r w:rsidR="009E6F82" w:rsidRPr="00405303">
        <w:rPr>
          <w:bCs/>
          <w:color w:val="002060"/>
          <w:sz w:val="16"/>
          <w:szCs w:val="16"/>
        </w:rPr>
        <w:lastRenderedPageBreak/>
        <w:t>продолжения испытаний к середине января 1916 г. и гидроаэроплан, и его 150-сильный мотор «Санбим» очутились в Бакин</w:t>
      </w:r>
      <w:r w:rsidR="009E6F82" w:rsidRPr="00405303">
        <w:rPr>
          <w:bCs/>
          <w:color w:val="002060"/>
          <w:sz w:val="16"/>
          <w:szCs w:val="16"/>
        </w:rPr>
        <w:softHyphen/>
        <w:t>ском филиале Петроградской офицерской школы морских летчиков. По причине успешных проб модели М-9 аппарат М-7 забросили, и его даль</w:t>
      </w:r>
      <w:r w:rsidR="009E6F82" w:rsidRPr="00405303">
        <w:rPr>
          <w:bCs/>
          <w:color w:val="002060"/>
          <w:sz w:val="16"/>
          <w:szCs w:val="16"/>
        </w:rPr>
        <w:softHyphen/>
        <w:t>нейшая судьба неизвестна (2807).</w:t>
      </w:r>
    </w:p>
    <w:p w14:paraId="35138FAD" w14:textId="77777777" w:rsidR="004B4E35" w:rsidRPr="00405303" w:rsidRDefault="004B4E35" w:rsidP="00C15251">
      <w:pPr>
        <w:shd w:val="clear" w:color="auto" w:fill="FFFFFF"/>
        <w:jc w:val="both"/>
        <w:rPr>
          <w:bCs/>
          <w:color w:val="002060"/>
          <w:sz w:val="16"/>
          <w:szCs w:val="16"/>
        </w:rPr>
      </w:pPr>
    </w:p>
    <w:p w14:paraId="4A7BA634"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04A4083D" w14:textId="77777777" w:rsidR="004B4E35" w:rsidRPr="00405303" w:rsidRDefault="004B4E35" w:rsidP="00C15251">
      <w:pPr>
        <w:shd w:val="clear" w:color="auto" w:fill="FFFFFF"/>
        <w:jc w:val="both"/>
        <w:rPr>
          <w:bCs/>
          <w:i/>
          <w:color w:val="002060"/>
          <w:sz w:val="16"/>
          <w:szCs w:val="16"/>
        </w:rPr>
      </w:pPr>
    </w:p>
    <w:p w14:paraId="23DCBC7E" w14:textId="1A914923" w:rsidR="004B4E35" w:rsidRPr="00405303" w:rsidRDefault="00F64A8F"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w:t>
      </w:r>
      <w:r w:rsidR="009E6F82" w:rsidRPr="00405303">
        <w:rPr>
          <w:bCs/>
          <w:i w:val="0"/>
          <w:color w:val="002060"/>
          <w:spacing w:val="0"/>
          <w:kern w:val="0"/>
          <w:position w:val="0"/>
          <w:sz w:val="16"/>
          <w:szCs w:val="16"/>
        </w:rPr>
        <w:t xml:space="preserve"> июле-августе 1915 </w:t>
      </w:r>
      <w:r w:rsidRPr="00405303">
        <w:rPr>
          <w:bCs/>
          <w:i w:val="0"/>
          <w:color w:val="002060"/>
          <w:spacing w:val="0"/>
          <w:kern w:val="0"/>
          <w:position w:val="0"/>
          <w:sz w:val="16"/>
          <w:szCs w:val="16"/>
        </w:rPr>
        <w:t xml:space="preserve">г. оставшийся </w:t>
      </w:r>
      <w:r w:rsidR="009E6F82" w:rsidRPr="00405303">
        <w:rPr>
          <w:bCs/>
          <w:i w:val="0"/>
          <w:color w:val="002060"/>
          <w:spacing w:val="0"/>
          <w:kern w:val="0"/>
          <w:position w:val="0"/>
          <w:sz w:val="16"/>
          <w:szCs w:val="16"/>
        </w:rPr>
        <w:t>единственный боеспособный на фронте 111-й корабль тогоже полка и "Киевский" поначалу брал 2 пулемета, затем только Мадсен с 75 патронами. После случая нападения на корабль своего товарища на борту 111-го корабля взяли за правило брать с собой 3 пулемета: «Мадсен», «Максим» и «Льюис» со 150, 500 и 280 патронами соответственно. Этот корабль совершил с мая по октябрь 1915 г. более 30 полетов, часто проникая на п-рриторию врага на глубину до 190 верст. 2 ноября 1915 г. был потерян один из лучших кораблей Эскадры. Штабс-капитан Озерский, желая увеличить скорость "Муромца", приказал снять добавочные рули, чем уменьшил устойчивость аппарата. Это и стало причиной гибели экипажа. "Муромцы" этого отряда совершили до типа 1915 г. на Северном фронте 25 боевых вылетов. Зa весь 1915 год воздушные корабли выполнили около 100 боевых полетов, сбросив на противника до 1220 пудов бомб (11277).</w:t>
      </w:r>
    </w:p>
    <w:p w14:paraId="6637E751" w14:textId="77777777" w:rsidR="004B4E35" w:rsidRPr="00405303" w:rsidRDefault="004B4E35" w:rsidP="00C15251">
      <w:pPr>
        <w:pStyle w:val="a3"/>
        <w:jc w:val="both"/>
        <w:rPr>
          <w:bCs/>
          <w:i w:val="0"/>
          <w:color w:val="002060"/>
          <w:spacing w:val="0"/>
          <w:kern w:val="0"/>
          <w:position w:val="0"/>
          <w:sz w:val="16"/>
          <w:szCs w:val="16"/>
        </w:rPr>
      </w:pPr>
    </w:p>
    <w:p w14:paraId="09B1FB73" w14:textId="7EEDAC71" w:rsidR="004B4E35" w:rsidRPr="00405303" w:rsidRDefault="00F64A8F"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июле-августе </w:t>
      </w:r>
      <w:r w:rsidRPr="00405303">
        <w:rPr>
          <w:bCs/>
          <w:color w:val="002060"/>
          <w:sz w:val="16"/>
          <w:szCs w:val="16"/>
        </w:rPr>
        <w:t xml:space="preserve">1915 г. оставшийся </w:t>
      </w:r>
      <w:r w:rsidR="009E6F82" w:rsidRPr="00405303">
        <w:rPr>
          <w:bCs/>
          <w:color w:val="002060"/>
          <w:sz w:val="16"/>
          <w:szCs w:val="16"/>
        </w:rPr>
        <w:t>единственный боеспособный на фронте III-й корабль тоже как и "Киевский" поначалу брал 2 пулемета, затем только Мадсен с 75 патронами. После случая нападения на корабль своего товарища на борту Ш-го корабля взяли за правило брать с собой 3 пулемета: "Мадсен", "Максим" и "Льюис" со 150, 500 и 280 патронами соответственно. Этот корабль совершил с мая по октябрь 1915 г. более 30 полетов, часто проникая на территорию врага на глубину до 190 верст. 2 ноября 1915 г. был потерян один из лучших кораблей Эскадры. Штабс-капитан Озерский, желая увеличить скорость "Муромца", приказал снять добавочные рули, чем уменьшил устойчивость аппарата. Это и стало причиной гибели экипажа. В своем последнем вылете во время бомбометания III-й корабль попал под силь</w:t>
      </w:r>
      <w:proofErr w:type="gramStart"/>
      <w:r w:rsidR="009E6F82" w:rsidRPr="00405303">
        <w:rPr>
          <w:bCs/>
          <w:color w:val="002060"/>
          <w:sz w:val="16"/>
          <w:szCs w:val="16"/>
        </w:rPr>
        <w:t>- .</w:t>
      </w:r>
      <w:proofErr w:type="gramEnd"/>
      <w:r w:rsidR="009E6F82" w:rsidRPr="00405303">
        <w:rPr>
          <w:bCs/>
          <w:color w:val="002060"/>
          <w:sz w:val="16"/>
          <w:szCs w:val="16"/>
        </w:rPr>
        <w:t xml:space="preserve"> ный огонь многочисленных противоаэропланных батарей. Осколками снарядов были повреждены тросы, ведшие к элеронам (крылышки для устойчивости при поворотах). Заметив плохое действие левого элерона, штабс-капитан Озерский стал поворачивать назад, действуя лишь рулем направления. Снижаясь с высоты 2800 м, аппарат внезапно наклонился на левую сторону и скользнул на крыло. Выравнить аппарат не удалось, он перешел на нос, затем в пологий штопор и упал на нашей территории, причем были убиты штабс-капитан Озерский, подполковник Звегинцев и унтер-офицер Фогт. Поручик Спасов уцелел каким-то чудом, хотя и получил очень тяжелые переломы и повреждения.</w:t>
      </w:r>
    </w:p>
    <w:p w14:paraId="0C082945" w14:textId="77777777" w:rsidR="004B4E35" w:rsidRPr="00405303" w:rsidRDefault="009E6F82" w:rsidP="00C15251">
      <w:pPr>
        <w:jc w:val="both"/>
        <w:rPr>
          <w:bCs/>
          <w:color w:val="002060"/>
          <w:sz w:val="16"/>
          <w:szCs w:val="16"/>
        </w:rPr>
      </w:pPr>
      <w:r w:rsidRPr="00405303">
        <w:rPr>
          <w:bCs/>
          <w:color w:val="002060"/>
          <w:sz w:val="16"/>
          <w:szCs w:val="16"/>
        </w:rPr>
        <w:t>Тем временем ЭВК в июле 1915 г. перебазировалась из дер.Старая Яблонна в Лиду, а затем в Псков. В сентябре из Пскова был выделен боевой отряд на Северный фронт в распоряжение 12-й армии. Корабли (1-й лейтенант Лаврова, П-й штабс-капитана Панкратьева, V-й поручика Алехновича, IX-й штабс-капитана Нижевского и "Киевский" штабс-капитана Башко) перелетели на аэродром у станции Зегевольд под Ригой. Панкратьев получил новый корабль типа В №167 с моторами РБ3.6 (аналог "Аргуса"), который по своим характеристикам был прекрасной машиной наряду с "Киевским". "Муромцы" этого отряда совершили до конца 1915 г. на Северном фронте 25 боевых вылетов.</w:t>
      </w:r>
    </w:p>
    <w:p w14:paraId="30240247" w14:textId="77777777" w:rsidR="004B4E35" w:rsidRPr="00405303" w:rsidRDefault="009E6F82" w:rsidP="00C15251">
      <w:pPr>
        <w:jc w:val="both"/>
        <w:rPr>
          <w:bCs/>
          <w:color w:val="002060"/>
          <w:sz w:val="16"/>
          <w:szCs w:val="16"/>
        </w:rPr>
      </w:pPr>
      <w:r w:rsidRPr="00405303">
        <w:rPr>
          <w:bCs/>
          <w:color w:val="002060"/>
          <w:sz w:val="16"/>
          <w:szCs w:val="16"/>
        </w:rPr>
        <w:t>За весь 1915 год воздушные корабли выполнили около 100 боевых полетов, сбросив на противника до 1220 пудов бомб (12038).</w:t>
      </w:r>
    </w:p>
    <w:p w14:paraId="707818D5" w14:textId="77777777" w:rsidR="004B4E35" w:rsidRPr="00405303" w:rsidRDefault="004B4E35" w:rsidP="00C15251">
      <w:pPr>
        <w:jc w:val="both"/>
        <w:rPr>
          <w:bCs/>
          <w:color w:val="002060"/>
          <w:sz w:val="16"/>
          <w:szCs w:val="16"/>
        </w:rPr>
      </w:pPr>
    </w:p>
    <w:p w14:paraId="4A5DA8AD"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Морская авиация:</w:t>
      </w:r>
    </w:p>
    <w:p w14:paraId="061CD416" w14:textId="77777777" w:rsidR="004B4E35" w:rsidRPr="00405303" w:rsidRDefault="004B4E35" w:rsidP="00C15251">
      <w:pPr>
        <w:pStyle w:val="a3"/>
        <w:jc w:val="both"/>
        <w:rPr>
          <w:bCs/>
          <w:color w:val="002060"/>
          <w:spacing w:val="0"/>
          <w:kern w:val="0"/>
          <w:position w:val="0"/>
          <w:sz w:val="16"/>
          <w:szCs w:val="16"/>
        </w:rPr>
      </w:pPr>
    </w:p>
    <w:p w14:paraId="1B00FE4D" w14:textId="77777777" w:rsidR="004B4E35" w:rsidRPr="00405303" w:rsidRDefault="009E6F82" w:rsidP="00C15251">
      <w:pPr>
        <w:jc w:val="both"/>
        <w:rPr>
          <w:bCs/>
          <w:color w:val="002060"/>
          <w:sz w:val="16"/>
          <w:szCs w:val="16"/>
        </w:rPr>
      </w:pPr>
      <w:r w:rsidRPr="00405303">
        <w:rPr>
          <w:bCs/>
          <w:color w:val="002060"/>
          <w:sz w:val="16"/>
          <w:szCs w:val="16"/>
        </w:rPr>
        <w:t>С июля 1915 по август 1916 гг. численный состав Российского Императорского флота авианесущими кораблями не пополнялся, но зато весь этот календарный год в качестве АВК использовались «Император Александр I», «Император Николай I», «Алмаз» и «Орлица».</w:t>
      </w:r>
    </w:p>
    <w:p w14:paraId="10288D31" w14:textId="77777777" w:rsidR="004B4E35" w:rsidRPr="00405303" w:rsidRDefault="009E6F82" w:rsidP="00C15251">
      <w:pPr>
        <w:jc w:val="both"/>
        <w:rPr>
          <w:bCs/>
          <w:color w:val="002060"/>
          <w:sz w:val="16"/>
          <w:szCs w:val="16"/>
        </w:rPr>
      </w:pPr>
      <w:r w:rsidRPr="00405303">
        <w:rPr>
          <w:bCs/>
          <w:color w:val="002060"/>
          <w:sz w:val="16"/>
          <w:szCs w:val="16"/>
        </w:rPr>
        <w:t>Подтверждений боевого применения в качестве авианесущих кораблей в годы войны «Днепра», «Памяти Меркурия» и «Кагула» («Очаков») автору данного материала обнаружить в источниках, монографиях, книгах и статьях по отечественной морской авиации не удалось (11166).</w:t>
      </w:r>
    </w:p>
    <w:p w14:paraId="7EBD53A2" w14:textId="77777777" w:rsidR="004B4E35" w:rsidRPr="00405303" w:rsidRDefault="004B4E35" w:rsidP="00C15251">
      <w:pPr>
        <w:jc w:val="both"/>
        <w:rPr>
          <w:bCs/>
          <w:color w:val="002060"/>
          <w:sz w:val="16"/>
          <w:szCs w:val="16"/>
        </w:rPr>
      </w:pPr>
    </w:p>
    <w:p w14:paraId="403E6EF4" w14:textId="77777777" w:rsidR="004B4E35" w:rsidRPr="00405303" w:rsidRDefault="009E6F82" w:rsidP="00C15251">
      <w:pPr>
        <w:jc w:val="both"/>
        <w:rPr>
          <w:bCs/>
          <w:color w:val="002060"/>
          <w:sz w:val="16"/>
          <w:szCs w:val="16"/>
        </w:rPr>
      </w:pPr>
      <w:r w:rsidRPr="00405303">
        <w:rPr>
          <w:bCs/>
          <w:color w:val="002060"/>
          <w:sz w:val="16"/>
          <w:szCs w:val="16"/>
        </w:rPr>
        <w:t>За июль - август 1915 г. русские лётчики произвели 52 самолётовылета (11927).</w:t>
      </w:r>
    </w:p>
    <w:p w14:paraId="36335F48" w14:textId="77777777" w:rsidR="004B4E35" w:rsidRPr="00405303" w:rsidRDefault="004B4E35" w:rsidP="00C15251">
      <w:pPr>
        <w:jc w:val="both"/>
        <w:rPr>
          <w:bCs/>
          <w:color w:val="002060"/>
          <w:sz w:val="16"/>
          <w:szCs w:val="16"/>
        </w:rPr>
      </w:pPr>
    </w:p>
    <w:p w14:paraId="03383ACC" w14:textId="2E01CB50" w:rsidR="0049529C" w:rsidRPr="00405303" w:rsidRDefault="0049529C" w:rsidP="0049529C">
      <w:pPr>
        <w:jc w:val="both"/>
        <w:rPr>
          <w:bCs/>
          <w:i/>
          <w:color w:val="002060"/>
          <w:sz w:val="16"/>
          <w:szCs w:val="16"/>
        </w:rPr>
      </w:pPr>
      <w:r>
        <w:rPr>
          <w:bCs/>
          <w:i/>
          <w:color w:val="002060"/>
          <w:sz w:val="16"/>
          <w:szCs w:val="16"/>
        </w:rPr>
        <w:t>Авиация и воздухоплавание Германии</w:t>
      </w:r>
      <w:r w:rsidRPr="00405303">
        <w:rPr>
          <w:bCs/>
          <w:i/>
          <w:color w:val="002060"/>
          <w:sz w:val="16"/>
          <w:szCs w:val="16"/>
        </w:rPr>
        <w:t>:</w:t>
      </w:r>
    </w:p>
    <w:p w14:paraId="1F34544A" w14:textId="77777777" w:rsidR="0049529C" w:rsidRPr="00405303" w:rsidRDefault="0049529C" w:rsidP="0049529C">
      <w:pPr>
        <w:jc w:val="both"/>
        <w:rPr>
          <w:bCs/>
          <w:i/>
          <w:color w:val="002060"/>
          <w:sz w:val="16"/>
          <w:szCs w:val="16"/>
        </w:rPr>
      </w:pPr>
    </w:p>
    <w:p w14:paraId="608014F0" w14:textId="77777777" w:rsidR="0049529C" w:rsidRPr="00CF03EC" w:rsidRDefault="0049529C" w:rsidP="0049529C">
      <w:pPr>
        <w:jc w:val="both"/>
        <w:rPr>
          <w:color w:val="0070C0"/>
          <w:sz w:val="16"/>
          <w:szCs w:val="16"/>
        </w:rPr>
      </w:pPr>
      <w:r w:rsidRPr="00CF03EC">
        <w:rPr>
          <w:color w:val="0070C0"/>
          <w:sz w:val="16"/>
          <w:szCs w:val="16"/>
        </w:rPr>
        <w:t>В середине лета 1915 г. по обе стороны Западного фронта, а затем и на других театрах войны – в Галиции, в Польше и Эстляндии, в Альпах, в Сербии и в Палестине у немцев появились специальные аэропланы-истребители. Но пока их числилось очень мало – всего несколько десятков, что составляло менее 2% от воевавших там самолетов всех классов! А основными действующими лицами разворачивавшейся невиданной доселе войны в воздухе оставались разведчики, которые выискивали цели и корректировали стрельбу по ним. Этого требовала позиционная война с ее непрерывной артиллерийской канонадой, лишь усиливавшейся при каждой очередной попытке прорыва вражеских линий. А они стали столь же регулярны, сколь и безуспешны – фронт застыл (25772).</w:t>
      </w:r>
    </w:p>
    <w:p w14:paraId="2CB01926" w14:textId="77777777" w:rsidR="0049529C" w:rsidRPr="00CF03EC" w:rsidRDefault="0049529C" w:rsidP="0049529C">
      <w:pPr>
        <w:jc w:val="both"/>
        <w:rPr>
          <w:color w:val="0070C0"/>
          <w:sz w:val="16"/>
          <w:szCs w:val="16"/>
        </w:rPr>
      </w:pPr>
    </w:p>
    <w:p w14:paraId="6BDB226C"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50C47E32" w14:textId="77777777" w:rsidR="004B4E35" w:rsidRPr="00405303" w:rsidRDefault="004B4E35" w:rsidP="00C15251">
      <w:pPr>
        <w:jc w:val="both"/>
        <w:rPr>
          <w:bCs/>
          <w:i/>
          <w:color w:val="002060"/>
          <w:sz w:val="16"/>
          <w:szCs w:val="16"/>
        </w:rPr>
      </w:pPr>
    </w:p>
    <w:p w14:paraId="1D2A32D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 августу 1915 г. на Черном море находилось семь поплавковых самолетов «Кертисс-Г» и 30 летающих лодок «Кертисс-К» (некото</w:t>
      </w:r>
      <w:r w:rsidRPr="00405303">
        <w:rPr>
          <w:bCs/>
          <w:color w:val="002060"/>
          <w:sz w:val="16"/>
          <w:szCs w:val="16"/>
        </w:rPr>
        <w:softHyphen/>
        <w:t>рые находились в состоянии заводской поставки). Справедливости ради следует отметить, что фирма в силу своих возможностей старалась как можно полнее удовлетворить интересы заказчика, но далеко не все получалось гладко. Поставка негодных деталей стала возможной также потому, что в контракте не была оговорена от</w:t>
      </w:r>
      <w:r w:rsidRPr="00405303">
        <w:rPr>
          <w:bCs/>
          <w:color w:val="002060"/>
          <w:sz w:val="16"/>
          <w:szCs w:val="16"/>
        </w:rPr>
        <w:softHyphen/>
        <w:t>ветственность за подобные деяния, а заказчик не участвовал в приемке самолетов в США. История с закупкой самолетов имеет неожиданное продолжение. 24 апреля 1946 г. МИД СССР направил в адрес командования ВМФ письмо, подписанное Вышинским: «Посольство США сообщило, что правительство США ведет судебное дело против самолетостроительной фирмы «Кертисс» о взыскании с нее аванса, полученного во время первой мировой войны от русского правительства по договору о поставке русскому правительству аэропланов. Договор был'нарушен фирмой «Кер</w:t>
      </w:r>
      <w:r w:rsidRPr="00405303">
        <w:rPr>
          <w:bCs/>
          <w:color w:val="002060"/>
          <w:sz w:val="16"/>
          <w:szCs w:val="16"/>
        </w:rPr>
        <w:softHyphen/>
        <w:t>тисс». Правительство США просит МИД оказать содействие в получении документов относительно поставок». Заказ иностранных самолетов (по нескольку экземпляров каж</w:t>
      </w:r>
      <w:r w:rsidRPr="00405303">
        <w:rPr>
          <w:bCs/>
          <w:color w:val="002060"/>
          <w:sz w:val="16"/>
          <w:szCs w:val="16"/>
        </w:rPr>
        <w:softHyphen/>
        <w:t>дого типа) диктовался соображениями практического смысла, а вовсе не стремлением перекачать деньги за рубеж (1085).</w:t>
      </w:r>
    </w:p>
    <w:p w14:paraId="76ECFA14" w14:textId="77777777" w:rsidR="004B4E35" w:rsidRPr="00405303" w:rsidRDefault="004B4E35" w:rsidP="00C15251">
      <w:pPr>
        <w:shd w:val="clear" w:color="auto" w:fill="FFFFFF"/>
        <w:jc w:val="both"/>
        <w:rPr>
          <w:bCs/>
          <w:color w:val="002060"/>
          <w:sz w:val="16"/>
          <w:szCs w:val="16"/>
        </w:rPr>
      </w:pPr>
    </w:p>
    <w:p w14:paraId="39F12B8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 августу 1915 г. на Черном море находилось семь поплавковых самолетов «Кертисс-Р» и 30 летаю</w:t>
      </w:r>
      <w:r w:rsidRPr="00405303">
        <w:rPr>
          <w:bCs/>
          <w:color w:val="002060"/>
          <w:sz w:val="16"/>
          <w:szCs w:val="16"/>
        </w:rPr>
        <w:softHyphen/>
        <w:t>щих лодок «Кертисс-К» (некоторые в состоянии заводской поставки). Фирма «Кертисс» старалась как можно полнее удовлетворить инте</w:t>
      </w:r>
      <w:r w:rsidRPr="00405303">
        <w:rPr>
          <w:bCs/>
          <w:color w:val="002060"/>
          <w:sz w:val="16"/>
          <w:szCs w:val="16"/>
        </w:rPr>
        <w:softHyphen/>
        <w:t>ресы заказчика, но далеко не все получалось гладко. Поставка негод</w:t>
      </w:r>
      <w:r w:rsidRPr="00405303">
        <w:rPr>
          <w:bCs/>
          <w:color w:val="002060"/>
          <w:sz w:val="16"/>
          <w:szCs w:val="16"/>
        </w:rPr>
        <w:softHyphen/>
        <w:t>ных деталей стала возможной так</w:t>
      </w:r>
      <w:r w:rsidRPr="00405303">
        <w:rPr>
          <w:bCs/>
          <w:color w:val="002060"/>
          <w:sz w:val="16"/>
          <w:szCs w:val="16"/>
        </w:rPr>
        <w:softHyphen/>
        <w:t>же потому, что контрактом не ого</w:t>
      </w:r>
      <w:r w:rsidRPr="00405303">
        <w:rPr>
          <w:bCs/>
          <w:color w:val="002060"/>
          <w:sz w:val="16"/>
          <w:szCs w:val="16"/>
        </w:rPr>
        <w:softHyphen/>
        <w:t>варивалась ответственность за по</w:t>
      </w:r>
      <w:r w:rsidRPr="00405303">
        <w:rPr>
          <w:bCs/>
          <w:color w:val="002060"/>
          <w:sz w:val="16"/>
          <w:szCs w:val="16"/>
        </w:rPr>
        <w:softHyphen/>
        <w:t>добные деяния, а заказчик не уча</w:t>
      </w:r>
      <w:r w:rsidRPr="00405303">
        <w:rPr>
          <w:bCs/>
          <w:color w:val="002060"/>
          <w:sz w:val="16"/>
          <w:szCs w:val="16"/>
        </w:rPr>
        <w:softHyphen/>
        <w:t>ствовал в приемке самолетов в США. Однако, как следует из от</w:t>
      </w:r>
      <w:r w:rsidRPr="00405303">
        <w:rPr>
          <w:bCs/>
          <w:color w:val="002060"/>
          <w:sz w:val="16"/>
          <w:szCs w:val="16"/>
        </w:rPr>
        <w:softHyphen/>
        <w:t>ношения начальника авиации Чер</w:t>
      </w:r>
      <w:r w:rsidRPr="00405303">
        <w:rPr>
          <w:bCs/>
          <w:color w:val="002060"/>
          <w:sz w:val="16"/>
          <w:szCs w:val="16"/>
        </w:rPr>
        <w:softHyphen/>
        <w:t>номорского флота начальнику воз</w:t>
      </w:r>
      <w:r w:rsidRPr="00405303">
        <w:rPr>
          <w:bCs/>
          <w:color w:val="002060"/>
          <w:sz w:val="16"/>
          <w:szCs w:val="16"/>
        </w:rPr>
        <w:softHyphen/>
        <w:t>духоплавательного отделения Мор</w:t>
      </w:r>
      <w:r w:rsidRPr="00405303">
        <w:rPr>
          <w:bCs/>
          <w:color w:val="002060"/>
          <w:sz w:val="16"/>
          <w:szCs w:val="16"/>
        </w:rPr>
        <w:softHyphen/>
        <w:t>ского генерального штаба от 10 октября, изменялось отношение к иностранным самолётам: «уведом</w:t>
      </w:r>
      <w:r w:rsidRPr="00405303">
        <w:rPr>
          <w:bCs/>
          <w:color w:val="002060"/>
          <w:sz w:val="16"/>
          <w:szCs w:val="16"/>
        </w:rPr>
        <w:softHyphen/>
        <w:t>ляю ваше Высокопревосходитель</w:t>
      </w:r>
      <w:r w:rsidRPr="00405303">
        <w:rPr>
          <w:bCs/>
          <w:color w:val="002060"/>
          <w:sz w:val="16"/>
          <w:szCs w:val="16"/>
        </w:rPr>
        <w:softHyphen/>
        <w:t>ство, что боевыми аппаратами мож</w:t>
      </w:r>
      <w:r w:rsidRPr="00405303">
        <w:rPr>
          <w:bCs/>
          <w:color w:val="002060"/>
          <w:sz w:val="16"/>
          <w:szCs w:val="16"/>
        </w:rPr>
        <w:softHyphen/>
        <w:t>но считать лишь «Щетинины» типа М-5, коих имеется 17, но за недо</w:t>
      </w:r>
      <w:r w:rsidRPr="00405303">
        <w:rPr>
          <w:bCs/>
          <w:color w:val="002060"/>
          <w:sz w:val="16"/>
          <w:szCs w:val="16"/>
        </w:rPr>
        <w:softHyphen/>
        <w:t>статком моторов из них могут дей</w:t>
      </w:r>
      <w:r w:rsidRPr="00405303">
        <w:rPr>
          <w:bCs/>
          <w:color w:val="002060"/>
          <w:sz w:val="16"/>
          <w:szCs w:val="16"/>
        </w:rPr>
        <w:softHyphen/>
        <w:t>ствовать лишь 14, причём один с ненадёжным мотором. Аппараты «Кертисса» в 100НР годятся лишь для учебных полётов и для неответ</w:t>
      </w:r>
      <w:r w:rsidRPr="00405303">
        <w:rPr>
          <w:bCs/>
          <w:color w:val="002060"/>
          <w:sz w:val="16"/>
          <w:szCs w:val="16"/>
        </w:rPr>
        <w:softHyphen/>
        <w:t>ственных задач. Таковых имеется девять, из коих два нуждаются в капитальном ремонте» (11759).</w:t>
      </w:r>
    </w:p>
    <w:p w14:paraId="741FA27F" w14:textId="77777777" w:rsidR="004B4E35" w:rsidRPr="00405303" w:rsidRDefault="004B4E35" w:rsidP="00C15251">
      <w:pPr>
        <w:shd w:val="clear" w:color="auto" w:fill="FFFFFF"/>
        <w:jc w:val="both"/>
        <w:rPr>
          <w:bCs/>
          <w:color w:val="002060"/>
          <w:sz w:val="16"/>
          <w:szCs w:val="16"/>
        </w:rPr>
      </w:pPr>
    </w:p>
    <w:p w14:paraId="7CA9D4C6" w14:textId="77777777" w:rsidR="00CB317A" w:rsidRPr="00405303" w:rsidRDefault="00CB317A" w:rsidP="00C15251">
      <w:pPr>
        <w:jc w:val="both"/>
        <w:rPr>
          <w:bCs/>
          <w:i/>
          <w:color w:val="002060"/>
          <w:sz w:val="16"/>
          <w:szCs w:val="16"/>
        </w:rPr>
      </w:pPr>
      <w:r w:rsidRPr="00405303">
        <w:rPr>
          <w:bCs/>
          <w:i/>
          <w:color w:val="002060"/>
          <w:sz w:val="16"/>
          <w:szCs w:val="16"/>
        </w:rPr>
        <w:t>Другие оборонные отрасли:</w:t>
      </w:r>
    </w:p>
    <w:p w14:paraId="1A54ACD6" w14:textId="77777777" w:rsidR="00CB317A" w:rsidRPr="00405303" w:rsidRDefault="00CB317A" w:rsidP="00C15251">
      <w:pPr>
        <w:jc w:val="both"/>
        <w:rPr>
          <w:bCs/>
          <w:i/>
          <w:color w:val="002060"/>
          <w:sz w:val="16"/>
          <w:szCs w:val="16"/>
        </w:rPr>
      </w:pPr>
    </w:p>
    <w:p w14:paraId="3D775FCA" w14:textId="77777777" w:rsidR="00CB317A" w:rsidRPr="00405303" w:rsidRDefault="00CB317A" w:rsidP="00C15251">
      <w:pPr>
        <w:jc w:val="both"/>
        <w:rPr>
          <w:bCs/>
          <w:color w:val="002060"/>
          <w:sz w:val="16"/>
          <w:szCs w:val="16"/>
        </w:rPr>
      </w:pPr>
      <w:r w:rsidRPr="00405303">
        <w:rPr>
          <w:bCs/>
          <w:color w:val="002060"/>
          <w:sz w:val="16"/>
          <w:szCs w:val="16"/>
        </w:rPr>
        <w:t xml:space="preserve">К августу 1915 г. сформировалась сложная система военно-экономической мобилизации и государственного регулирования хозяйства, центральное место в которой заняло «Особое совещание для обсуждения и объединения мероприятий по обороне государства» (более распространенное наименование – Особое совещание по обороне государства). Со стороны Особого совещания и его местного органа – заводского совещания Петроградского района – был установлен контроль над </w:t>
      </w:r>
      <w:r w:rsidRPr="00405303">
        <w:rPr>
          <w:bCs/>
          <w:color w:val="002060"/>
          <w:sz w:val="16"/>
          <w:szCs w:val="16"/>
        </w:rPr>
        <w:lastRenderedPageBreak/>
        <w:t>деятельностью всех электротехнических предприятий столицы3. Важную координирующую роль играла Подготовительная комиссия Особого совещания по общим вопросам, которая среди прочих отвечала за снабжение армии средствами связи. Через нее проходила основная масса повседневных дел, связанных с переоборудованием существующих и постройкой новых электротехнических заводов, передачей им реквизированного имущества, ассигнованием очередных сумм, выдачей заказов и осуществлением поставок техники и имущества связи (18297).</w:t>
      </w:r>
    </w:p>
    <w:p w14:paraId="27A29E41" w14:textId="77777777" w:rsidR="00CB317A" w:rsidRPr="00405303" w:rsidRDefault="00CB317A" w:rsidP="00C15251">
      <w:pPr>
        <w:jc w:val="both"/>
        <w:rPr>
          <w:bCs/>
          <w:color w:val="002060"/>
          <w:sz w:val="16"/>
          <w:szCs w:val="16"/>
        </w:rPr>
      </w:pPr>
    </w:p>
    <w:p w14:paraId="249DDD3C"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573D146C" w14:textId="77777777" w:rsidR="004B4E35" w:rsidRPr="00405303" w:rsidRDefault="004B4E35" w:rsidP="00C15251">
      <w:pPr>
        <w:shd w:val="clear" w:color="auto" w:fill="FFFFFF"/>
        <w:jc w:val="both"/>
        <w:rPr>
          <w:bCs/>
          <w:i/>
          <w:color w:val="002060"/>
          <w:sz w:val="16"/>
          <w:szCs w:val="16"/>
        </w:rPr>
      </w:pPr>
    </w:p>
    <w:p w14:paraId="5D4553F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(14) августа 1915 летчики 19 КАО В.Л.Ягелло, С.И.Эллерт и Г.В.Башинский с наблюдателями Рудовичем, Кушлянским и Губером отразили налет немецкого "Цеппелина" на крепость Усть-Двинск, перерезав ему путь и заставив уйти на север в море.Дирижабль выбросил в море бомбы, предназначенные для крепости. (Газетные сообщения за 2 августа 1915 г.).</w:t>
      </w:r>
    </w:p>
    <w:p w14:paraId="47B317AD" w14:textId="77777777" w:rsidR="004B4E35" w:rsidRPr="00405303" w:rsidRDefault="004B4E35" w:rsidP="00C15251">
      <w:pPr>
        <w:shd w:val="clear" w:color="auto" w:fill="FFFFFF"/>
        <w:jc w:val="both"/>
        <w:rPr>
          <w:bCs/>
          <w:color w:val="002060"/>
          <w:sz w:val="16"/>
          <w:szCs w:val="16"/>
        </w:rPr>
      </w:pPr>
    </w:p>
    <w:p w14:paraId="1FCA08A7" w14:textId="77777777" w:rsidR="00ED0477" w:rsidRPr="00405303" w:rsidRDefault="00ED0477" w:rsidP="00C15251">
      <w:pPr>
        <w:jc w:val="both"/>
        <w:rPr>
          <w:bCs/>
          <w:color w:val="002060"/>
          <w:sz w:val="16"/>
          <w:szCs w:val="16"/>
        </w:rPr>
      </w:pPr>
      <w:r w:rsidRPr="00405303">
        <w:rPr>
          <w:bCs/>
          <w:color w:val="002060"/>
          <w:sz w:val="16"/>
          <w:szCs w:val="16"/>
        </w:rPr>
        <w:t>1 (14) августа 1915 г. летчики 19 КАО В.Л.Ягелло, С.И.Эллерт и Г.В.Башинский о наблюдателями Рудовичем, Кушлянским и Губером отразили налет немецкого цеппелина на крепость Усть-Двинск, перерезав ему путь и заставив уйти на север в море. Ягелло, оказавшись выше цеп</w:t>
      </w:r>
      <w:r w:rsidRPr="00405303">
        <w:rPr>
          <w:bCs/>
          <w:color w:val="002060"/>
          <w:sz w:val="16"/>
          <w:szCs w:val="16"/>
        </w:rPr>
        <w:softHyphen/>
        <w:t>пелина, бросил на нега зажигательную бомбу и обстрелял из пулемета, но безрезультатно. Дирижабль выбросил в море бомбы, предназначенные для крепости, и удалился в свое расположение»</w:t>
      </w:r>
    </w:p>
    <w:p w14:paraId="3E1AA8C9" w14:textId="2AD0AA3D" w:rsidR="00ED0477" w:rsidRPr="00405303" w:rsidRDefault="00ED0477" w:rsidP="00C15251">
      <w:pPr>
        <w:shd w:val="clear" w:color="auto" w:fill="FFFFFF"/>
        <w:jc w:val="both"/>
        <w:rPr>
          <w:bCs/>
          <w:color w:val="002060"/>
          <w:sz w:val="16"/>
          <w:szCs w:val="16"/>
        </w:rPr>
      </w:pPr>
      <w:r w:rsidRPr="00405303">
        <w:rPr>
          <w:bCs/>
          <w:color w:val="002060"/>
          <w:sz w:val="16"/>
          <w:szCs w:val="16"/>
        </w:rPr>
        <w:t>/Газетные сообщения за 2 августа 1915/ (23320).</w:t>
      </w:r>
    </w:p>
    <w:p w14:paraId="221FB4FD" w14:textId="77777777" w:rsidR="00ED0477" w:rsidRPr="00405303" w:rsidRDefault="00ED0477" w:rsidP="00C15251">
      <w:pPr>
        <w:shd w:val="clear" w:color="auto" w:fill="FFFFFF"/>
        <w:jc w:val="both"/>
        <w:rPr>
          <w:bCs/>
          <w:color w:val="002060"/>
          <w:sz w:val="16"/>
          <w:szCs w:val="16"/>
        </w:rPr>
      </w:pPr>
    </w:p>
    <w:p w14:paraId="3CA025BC" w14:textId="12756E71" w:rsidR="004B4E35" w:rsidRPr="00405303" w:rsidRDefault="009E6F82" w:rsidP="00C15251">
      <w:pPr>
        <w:shd w:val="clear" w:color="auto" w:fill="FFFFFF"/>
        <w:jc w:val="both"/>
        <w:rPr>
          <w:bCs/>
          <w:color w:val="002060"/>
          <w:sz w:val="16"/>
          <w:szCs w:val="16"/>
        </w:rPr>
      </w:pPr>
      <w:r w:rsidRPr="00405303">
        <w:rPr>
          <w:bCs/>
          <w:color w:val="002060"/>
          <w:sz w:val="16"/>
          <w:szCs w:val="16"/>
        </w:rPr>
        <w:t>1 (14) августа 1915 г. пять русских самолетов 31-го авиаотряда 3-й армии, содействуя атаке пехоты 1-й гвардейской дивизии, в нескольких заходах нанесли с высоты 30—50 м бомбоштурмо-вой удар по скоплению немецких войск, пытавшихся перепра</w:t>
      </w:r>
      <w:r w:rsidRPr="00405303">
        <w:rPr>
          <w:bCs/>
          <w:color w:val="002060"/>
          <w:sz w:val="16"/>
          <w:szCs w:val="16"/>
        </w:rPr>
        <w:softHyphen/>
        <w:t>виться по наведенным мостам через р. Буг у местечка Влодава. Пулеметный огонь и бомбы внесли смятение в ряды против</w:t>
      </w:r>
      <w:r w:rsidRPr="00405303">
        <w:rPr>
          <w:bCs/>
          <w:color w:val="002060"/>
          <w:sz w:val="16"/>
          <w:szCs w:val="16"/>
        </w:rPr>
        <w:softHyphen/>
        <w:t>ника и обеспечили успех атаки 1-й гвардейской пехотной ди</w:t>
      </w:r>
      <w:r w:rsidRPr="00405303">
        <w:rPr>
          <w:bCs/>
          <w:color w:val="002060"/>
          <w:sz w:val="16"/>
          <w:szCs w:val="16"/>
        </w:rPr>
        <w:softHyphen/>
        <w:t>визии. В дальнейшем подобные действия российских ВВС ста</w:t>
      </w:r>
      <w:r w:rsidRPr="00405303">
        <w:rPr>
          <w:bCs/>
          <w:color w:val="002060"/>
          <w:sz w:val="16"/>
          <w:szCs w:val="16"/>
        </w:rPr>
        <w:softHyphen/>
        <w:t>ли повсеместными и перешли в разряд рядовых заданий (11474).</w:t>
      </w:r>
    </w:p>
    <w:p w14:paraId="66D467A0" w14:textId="77777777" w:rsidR="004B4E35" w:rsidRPr="00405303" w:rsidRDefault="004B4E35" w:rsidP="00C15251">
      <w:pPr>
        <w:shd w:val="clear" w:color="auto" w:fill="FFFFFF"/>
        <w:jc w:val="both"/>
        <w:rPr>
          <w:bCs/>
          <w:color w:val="002060"/>
          <w:sz w:val="16"/>
          <w:szCs w:val="16"/>
        </w:rPr>
      </w:pPr>
    </w:p>
    <w:p w14:paraId="7D984627" w14:textId="6F113319" w:rsidR="004B4E35" w:rsidRPr="00405303" w:rsidRDefault="009E6F82" w:rsidP="00C15251">
      <w:pPr>
        <w:jc w:val="both"/>
        <w:rPr>
          <w:bCs/>
          <w:color w:val="002060"/>
          <w:sz w:val="16"/>
          <w:szCs w:val="16"/>
        </w:rPr>
      </w:pPr>
      <w:r w:rsidRPr="00405303">
        <w:rPr>
          <w:bCs/>
          <w:color w:val="002060"/>
          <w:sz w:val="16"/>
          <w:szCs w:val="16"/>
        </w:rPr>
        <w:t>1 (14) августа летчик Ткачев сбил в воздушном бою австрийский аэроплан; аппарат и оба летчика оказались в руках у русских (11999).</w:t>
      </w:r>
    </w:p>
    <w:p w14:paraId="55C84EFC" w14:textId="77777777" w:rsidR="004B4E35" w:rsidRPr="00405303" w:rsidRDefault="004B4E35" w:rsidP="00C15251">
      <w:pPr>
        <w:jc w:val="both"/>
        <w:rPr>
          <w:bCs/>
          <w:color w:val="002060"/>
          <w:sz w:val="16"/>
          <w:szCs w:val="16"/>
        </w:rPr>
      </w:pPr>
    </w:p>
    <w:p w14:paraId="08D7A30A" w14:textId="534B60E8" w:rsidR="00D866D7" w:rsidRPr="00405303" w:rsidRDefault="00D866D7" w:rsidP="00C15251">
      <w:pPr>
        <w:jc w:val="both"/>
        <w:rPr>
          <w:bCs/>
          <w:color w:val="002060"/>
          <w:sz w:val="16"/>
          <w:szCs w:val="16"/>
        </w:rPr>
      </w:pPr>
      <w:r w:rsidRPr="00405303">
        <w:rPr>
          <w:bCs/>
          <w:color w:val="002060"/>
          <w:sz w:val="16"/>
          <w:szCs w:val="16"/>
        </w:rPr>
        <w:t>1 (14) августа 1915 г. неприятельский аэроплан подверг бомбардировке н/п Грахов (сброшено 4 бомбы). На следующий день в 8 часов утра над Ригой появился неприятельский аэроплан, бросивший три бомбы (без человеческих жертв). 4 августа воздушный налет повторился.</w:t>
      </w:r>
    </w:p>
    <w:p w14:paraId="539658F3" w14:textId="77777777" w:rsidR="00D866D7" w:rsidRPr="00405303" w:rsidRDefault="00D866D7" w:rsidP="00C15251">
      <w:pPr>
        <w:jc w:val="both"/>
        <w:rPr>
          <w:bCs/>
          <w:color w:val="002060"/>
          <w:sz w:val="16"/>
          <w:szCs w:val="16"/>
        </w:rPr>
      </w:pPr>
      <w:bookmarkStart w:id="208" w:name="bookmark230"/>
      <w:bookmarkStart w:id="209" w:name="bookmark231"/>
      <w:r w:rsidRPr="00405303">
        <w:rPr>
          <w:bCs/>
          <w:color w:val="002060"/>
          <w:sz w:val="16"/>
          <w:szCs w:val="16"/>
        </w:rPr>
        <w:t>В тот же день в небе г. Каменец-Подольск было зафиксировано появление вражеского самолета-разведчика, который совершал полет на небольшой высоте. По нему было сделано два выстрела из артиллерийских орудий. Летательный аппарат быстро поднялся выше границы ведения зенитного огня и скрылся в юго-западном направлений. В ночь на 3 августа над Белостоком появился цеппелин Z-XII, сбросивший несколько бомб, которые не причинили никакого вреда (23405).</w:t>
      </w:r>
      <w:bookmarkEnd w:id="208"/>
      <w:bookmarkEnd w:id="209"/>
    </w:p>
    <w:p w14:paraId="49DF4376" w14:textId="77777777" w:rsidR="00D866D7" w:rsidRPr="00405303" w:rsidRDefault="00D866D7" w:rsidP="00C15251">
      <w:pPr>
        <w:jc w:val="both"/>
        <w:rPr>
          <w:bCs/>
          <w:color w:val="002060"/>
          <w:sz w:val="16"/>
          <w:szCs w:val="16"/>
        </w:rPr>
      </w:pPr>
    </w:p>
    <w:p w14:paraId="008B0D77"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719041A1" w14:textId="77777777" w:rsidR="004B4E35" w:rsidRPr="00405303" w:rsidRDefault="004B4E35" w:rsidP="00C15251">
      <w:pPr>
        <w:shd w:val="clear" w:color="auto" w:fill="FFFFFF"/>
        <w:jc w:val="both"/>
        <w:rPr>
          <w:bCs/>
          <w:i/>
          <w:color w:val="002060"/>
          <w:sz w:val="16"/>
          <w:szCs w:val="16"/>
        </w:rPr>
      </w:pPr>
    </w:p>
    <w:p w14:paraId="215F66B6" w14:textId="7A5D1C35" w:rsidR="004B4E35" w:rsidRPr="00405303" w:rsidRDefault="009E6F82" w:rsidP="00C15251">
      <w:pPr>
        <w:jc w:val="both"/>
        <w:rPr>
          <w:bCs/>
          <w:color w:val="002060"/>
          <w:sz w:val="16"/>
          <w:szCs w:val="16"/>
        </w:rPr>
      </w:pPr>
      <w:r w:rsidRPr="00405303">
        <w:rPr>
          <w:bCs/>
          <w:color w:val="002060"/>
          <w:sz w:val="16"/>
          <w:szCs w:val="16"/>
        </w:rPr>
        <w:t>1</w:t>
      </w:r>
      <w:r w:rsidR="00F17DE0" w:rsidRPr="00405303">
        <w:rPr>
          <w:bCs/>
          <w:color w:val="002060"/>
          <w:sz w:val="16"/>
          <w:szCs w:val="16"/>
        </w:rPr>
        <w:t xml:space="preserve"> (14) августа </w:t>
      </w:r>
      <w:r w:rsidRPr="00405303">
        <w:rPr>
          <w:bCs/>
          <w:color w:val="002060"/>
          <w:sz w:val="16"/>
          <w:szCs w:val="16"/>
        </w:rPr>
        <w:t xml:space="preserve">1915 г. Акционерным обществом Русских электротехнических заводов «Сименса и Гальске» </w:t>
      </w:r>
      <w:r w:rsidR="00F17DE0" w:rsidRPr="00405303">
        <w:rPr>
          <w:bCs/>
          <w:color w:val="002060"/>
          <w:sz w:val="16"/>
          <w:szCs w:val="16"/>
        </w:rPr>
        <w:t xml:space="preserve">основан завод, </w:t>
      </w:r>
      <w:r w:rsidRPr="00405303">
        <w:rPr>
          <w:bCs/>
          <w:color w:val="002060"/>
          <w:sz w:val="16"/>
          <w:szCs w:val="16"/>
        </w:rPr>
        <w:t xml:space="preserve">как Нижегородское отделение Общества. </w:t>
      </w:r>
      <w:r w:rsidR="00F17DE0" w:rsidRPr="00405303">
        <w:rPr>
          <w:bCs/>
          <w:color w:val="002060"/>
          <w:sz w:val="16"/>
          <w:szCs w:val="16"/>
        </w:rPr>
        <w:t>(ГС завод № 197 ИМ. В.И. Ленина НКОП, НКАП, НКЭП, Радиотелефонный завод им. В.И. Ленина НКТП, Горьковский радиотелефонный завод, Горьковский телевизионный завод (ГТЗ) им. Ленина МРП, п/я 455, ПО «Радий», АООТ, ОАО «Нижегородский телевизионный завод им. В.И. Ленина» (НИТЕЛ) /603009</w:t>
      </w:r>
      <w:r w:rsidR="000F5756">
        <w:rPr>
          <w:bCs/>
          <w:color w:val="002060"/>
          <w:sz w:val="16"/>
          <w:szCs w:val="16"/>
        </w:rPr>
        <w:t xml:space="preserve"> </w:t>
      </w:r>
      <w:r w:rsidR="00F17DE0" w:rsidRPr="00405303">
        <w:rPr>
          <w:bCs/>
          <w:color w:val="002060"/>
          <w:sz w:val="16"/>
          <w:szCs w:val="16"/>
        </w:rPr>
        <w:t>г. Горький,</w:t>
      </w:r>
      <w:r w:rsidR="000F5756">
        <w:rPr>
          <w:bCs/>
          <w:color w:val="002060"/>
          <w:sz w:val="16"/>
          <w:szCs w:val="16"/>
        </w:rPr>
        <w:t xml:space="preserve"> </w:t>
      </w:r>
      <w:r w:rsidR="00F17DE0" w:rsidRPr="00405303">
        <w:rPr>
          <w:bCs/>
          <w:color w:val="002060"/>
          <w:sz w:val="16"/>
          <w:szCs w:val="16"/>
        </w:rPr>
        <w:t xml:space="preserve">г. Нижний Новгород пр. Гагарина, 37 тел. 65-51-19/) </w:t>
      </w:r>
      <w:r w:rsidRPr="00405303">
        <w:rPr>
          <w:bCs/>
          <w:color w:val="002060"/>
          <w:sz w:val="16"/>
          <w:szCs w:val="16"/>
        </w:rPr>
        <w:t>Вступил в строй 9.01.1917 г., в 04.1917 г. выпустил первую партию форпостных телефонных аппаратов. Выпускал телефонные, телеграфные и другие электротехнические аппараты.</w:t>
      </w:r>
    </w:p>
    <w:p w14:paraId="63F427E3" w14:textId="77777777" w:rsidR="004B4E35" w:rsidRPr="00405303" w:rsidRDefault="009E6F82" w:rsidP="00C15251">
      <w:pPr>
        <w:jc w:val="both"/>
        <w:rPr>
          <w:bCs/>
          <w:color w:val="002060"/>
          <w:sz w:val="16"/>
          <w:szCs w:val="16"/>
        </w:rPr>
      </w:pPr>
      <w:r w:rsidRPr="00405303">
        <w:rPr>
          <w:bCs/>
          <w:color w:val="002060"/>
          <w:sz w:val="16"/>
          <w:szCs w:val="16"/>
        </w:rPr>
        <w:t>После революции завод практически остановился. После Гражданской войны начал изготавливать семафоры, стрелочные указатели, компостеры билетов, форсунки сжигания мазута для котлов речных судов, электроды конструкции Бонч-Бруевича и Вологдина для первой радиостанции; производил ремонт телефонных аппаратов. С 1924 г. начата подготовка к выпуску детекторных приемников. С 1929 г. начат выпуск связных радиостанций.</w:t>
      </w:r>
    </w:p>
    <w:p w14:paraId="28AB0C27" w14:textId="77777777" w:rsidR="004B4E35" w:rsidRPr="00405303" w:rsidRDefault="009E6F82" w:rsidP="00C15251">
      <w:pPr>
        <w:jc w:val="both"/>
        <w:rPr>
          <w:bCs/>
          <w:color w:val="002060"/>
          <w:sz w:val="16"/>
          <w:szCs w:val="16"/>
        </w:rPr>
      </w:pPr>
      <w:r w:rsidRPr="00405303">
        <w:rPr>
          <w:bCs/>
          <w:color w:val="002060"/>
          <w:sz w:val="16"/>
          <w:szCs w:val="16"/>
        </w:rPr>
        <w:t>В 1928-29 г. велось расширение завода, постройка новых корпусов, радиополигона; в 1932 г. реконструкция завершена.</w:t>
      </w:r>
    </w:p>
    <w:p w14:paraId="44FE0218" w14:textId="77777777" w:rsidR="004B4E35" w:rsidRPr="00405303" w:rsidRDefault="009E6F82" w:rsidP="00C15251">
      <w:pPr>
        <w:jc w:val="both"/>
        <w:rPr>
          <w:bCs/>
          <w:color w:val="002060"/>
          <w:sz w:val="16"/>
          <w:szCs w:val="16"/>
        </w:rPr>
      </w:pPr>
      <w:r w:rsidRPr="00405303">
        <w:rPr>
          <w:bCs/>
          <w:color w:val="002060"/>
          <w:sz w:val="16"/>
          <w:szCs w:val="16"/>
        </w:rPr>
        <w:t>В 1931 г. завод стал именоваться радиотелефонным, с конца 1933 г. Горьковский завод им. Ленина - в ведении «Главэспрома» НКТП. По пр. НКОП № Обсс от 30.12.1936 г. Радиотелефонный завод им. Ленина переименован в завод № 197 им. Ленина 5ГУ НКОП, приказом № 116 от 31.03.1937 г. утвержден Устав ГС завода № 197. С образованием НКАП завод № 197 5ГУ НКОП передан в ведение его 7ГУ, Устав завода утвержден в 01.1939 г. Имел наименование «п/я 455». По Указу Президиума ВС от 17.04.1940 г. и приказу НКАП/НКЭП № 105/5 от 23.04.1940 г. передан в ведение вновь образованного НКЭП.</w:t>
      </w:r>
    </w:p>
    <w:p w14:paraId="5FA328F6" w14:textId="77777777" w:rsidR="004B4E35" w:rsidRPr="00405303" w:rsidRDefault="009E6F82" w:rsidP="00C15251">
      <w:pPr>
        <w:jc w:val="both"/>
        <w:rPr>
          <w:bCs/>
          <w:color w:val="002060"/>
          <w:sz w:val="16"/>
          <w:szCs w:val="16"/>
        </w:rPr>
      </w:pPr>
      <w:r w:rsidRPr="00405303">
        <w:rPr>
          <w:bCs/>
          <w:color w:val="002060"/>
          <w:sz w:val="16"/>
          <w:szCs w:val="16"/>
        </w:rPr>
        <w:t>Приказом № 0020 от 3.02.1937 г. заводу предписано создать к 1.01.1938 г. мощности по производству радиостанций: самолетных - 7700 шт. в год; аэродромных - 250 шт.; войсковых - 3255 шт. Приказом № 00116 от 28.05.1937 г. заводу поручен выпуск раций РСБ для самолета Вулти.</w:t>
      </w:r>
    </w:p>
    <w:p w14:paraId="116741D5" w14:textId="3FA92175" w:rsidR="004B4E35" w:rsidRPr="00405303" w:rsidRDefault="009E6F82" w:rsidP="00C15251">
      <w:pPr>
        <w:jc w:val="both"/>
        <w:rPr>
          <w:bCs/>
          <w:color w:val="002060"/>
          <w:sz w:val="16"/>
          <w:szCs w:val="16"/>
        </w:rPr>
      </w:pPr>
      <w:r w:rsidRPr="00405303">
        <w:rPr>
          <w:bCs/>
          <w:color w:val="002060"/>
          <w:sz w:val="16"/>
          <w:szCs w:val="16"/>
        </w:rPr>
        <w:t>В 11.1937 г. на заводе организован отдел специальной телефонии. Производство авиационных раций. По пр. № 156с от 7/10.05.1938 г. требовалось в 1938 г. построить и оборудовать цех изоляционно-керамических материалов, заводу выделено 11 станков. Во исполнение решения правительства № 152сс приказом № 319сс от 10.08.1938 г. было предписано расширить акустическую лабораторию завода № 197, перевести в нее 7 специалистов с завода «Красная заря». В конце 1930-х</w:t>
      </w:r>
      <w:r w:rsidR="000F5756">
        <w:rPr>
          <w:bCs/>
          <w:color w:val="002060"/>
          <w:sz w:val="16"/>
          <w:szCs w:val="16"/>
        </w:rPr>
        <w:t xml:space="preserve"> </w:t>
      </w:r>
      <w:r w:rsidRPr="00405303">
        <w:rPr>
          <w:bCs/>
          <w:color w:val="002060"/>
          <w:sz w:val="16"/>
          <w:szCs w:val="16"/>
        </w:rPr>
        <w:t>г. завод начал самостоятельно модернизировать и разрабатывать новые радиостанции. После начала войны был организован цех по выпуску сопротивлений и конденсаторов, организован участок по переделке стрелочных измерительных приборов.</w:t>
      </w:r>
    </w:p>
    <w:p w14:paraId="41554166" w14:textId="77777777" w:rsidR="004B4E35" w:rsidRPr="00405303" w:rsidRDefault="009E6F82" w:rsidP="00C15251">
      <w:pPr>
        <w:jc w:val="both"/>
        <w:rPr>
          <w:bCs/>
          <w:color w:val="002060"/>
          <w:sz w:val="16"/>
          <w:szCs w:val="16"/>
        </w:rPr>
      </w:pPr>
      <w:r w:rsidRPr="00405303">
        <w:rPr>
          <w:bCs/>
          <w:color w:val="002060"/>
          <w:sz w:val="16"/>
          <w:szCs w:val="16"/>
        </w:rPr>
        <w:t>Производство радиооборудования (1942 г.). 12.04.1944 г. вышло распоряжение ГКО № 5603 о мерах по обеспечению производства автомобильных радиостанций специальными автокузовами.</w:t>
      </w:r>
    </w:p>
    <w:p w14:paraId="7EBAC8A8" w14:textId="77777777" w:rsidR="004B4E35" w:rsidRPr="00405303" w:rsidRDefault="009E6F82" w:rsidP="00C15251">
      <w:pPr>
        <w:jc w:val="both"/>
        <w:rPr>
          <w:bCs/>
          <w:color w:val="002060"/>
          <w:sz w:val="16"/>
          <w:szCs w:val="16"/>
        </w:rPr>
      </w:pPr>
      <w:r w:rsidRPr="00405303">
        <w:rPr>
          <w:bCs/>
          <w:color w:val="002060"/>
          <w:sz w:val="16"/>
          <w:szCs w:val="16"/>
        </w:rPr>
        <w:t>В годы войны завод выпустил более 70 наименований изделий: 50.422 радиостанции, 112 тыс. переговорных устройств, 234 тыс. полевых телефонов.</w:t>
      </w:r>
    </w:p>
    <w:p w14:paraId="5EB0D6BB" w14:textId="77777777" w:rsidR="004B4E35" w:rsidRPr="00405303" w:rsidRDefault="009E6F82" w:rsidP="00C15251">
      <w:pPr>
        <w:jc w:val="both"/>
        <w:rPr>
          <w:bCs/>
          <w:color w:val="002060"/>
          <w:sz w:val="16"/>
          <w:szCs w:val="16"/>
        </w:rPr>
      </w:pPr>
      <w:r w:rsidRPr="00405303">
        <w:rPr>
          <w:bCs/>
          <w:color w:val="002060"/>
          <w:sz w:val="16"/>
          <w:szCs w:val="16"/>
        </w:rPr>
        <w:t xml:space="preserve">В 1946 г. заводу поручена разработка и выпуск </w:t>
      </w:r>
      <w:r w:rsidRPr="00405303">
        <w:rPr>
          <w:bCs/>
          <w:color w:val="002060"/>
          <w:sz w:val="16"/>
          <w:szCs w:val="16"/>
          <w:lang w:val="en-US"/>
        </w:rPr>
        <w:t>PJIC</w:t>
      </w:r>
      <w:r w:rsidRPr="00405303">
        <w:rPr>
          <w:bCs/>
          <w:color w:val="002060"/>
          <w:sz w:val="16"/>
          <w:szCs w:val="16"/>
        </w:rPr>
        <w:t>метрового диапазона для войск ПВО. В 1947 г. на заводе создано СКБ.</w:t>
      </w:r>
    </w:p>
    <w:p w14:paraId="412AADF5" w14:textId="77777777" w:rsidR="004B4E35" w:rsidRPr="00405303" w:rsidRDefault="009E6F82" w:rsidP="00C15251">
      <w:pPr>
        <w:jc w:val="both"/>
        <w:rPr>
          <w:bCs/>
          <w:color w:val="002060"/>
          <w:sz w:val="16"/>
          <w:szCs w:val="16"/>
        </w:rPr>
      </w:pPr>
      <w:r w:rsidRPr="00405303">
        <w:rPr>
          <w:bCs/>
          <w:color w:val="002060"/>
          <w:sz w:val="16"/>
          <w:szCs w:val="16"/>
        </w:rPr>
        <w:t xml:space="preserve">В 1949 г. прекращен выпуск изделий телефонии, в 1951 г.- выпуск радиосвязной техники. Производство средств радиосвязи передано на другие заводы. Завод полностью перешел на выпуск </w:t>
      </w:r>
      <w:r w:rsidRPr="00405303">
        <w:rPr>
          <w:bCs/>
          <w:color w:val="002060"/>
          <w:sz w:val="16"/>
          <w:szCs w:val="16"/>
          <w:lang w:val="en-US"/>
        </w:rPr>
        <w:t>PJIC</w:t>
      </w:r>
      <w:r w:rsidRPr="00405303">
        <w:rPr>
          <w:bCs/>
          <w:color w:val="002060"/>
          <w:sz w:val="16"/>
          <w:szCs w:val="16"/>
        </w:rPr>
        <w:t>.</w:t>
      </w:r>
    </w:p>
    <w:p w14:paraId="1D606AAB" w14:textId="72080B6B" w:rsidR="004B4E35" w:rsidRPr="00405303" w:rsidRDefault="009E6F82" w:rsidP="00C15251">
      <w:pPr>
        <w:jc w:val="both"/>
        <w:rPr>
          <w:bCs/>
          <w:color w:val="002060"/>
          <w:sz w:val="16"/>
          <w:szCs w:val="16"/>
        </w:rPr>
      </w:pPr>
      <w:r w:rsidRPr="00405303">
        <w:rPr>
          <w:bCs/>
          <w:color w:val="002060"/>
          <w:sz w:val="16"/>
          <w:szCs w:val="16"/>
        </w:rPr>
        <w:t>В 1953 г. создана лаборатория изделий бытовой аппаратуры. С 1960 г. начат выпуск телевизоров. В 1974-75 г. проведена реконструкция телевизионного цеха (проект- начальник КБ КТО</w:t>
      </w:r>
      <w:r w:rsidR="000F5756">
        <w:rPr>
          <w:bCs/>
          <w:color w:val="002060"/>
          <w:sz w:val="16"/>
          <w:szCs w:val="16"/>
        </w:rPr>
        <w:t xml:space="preserve"> </w:t>
      </w:r>
      <w:r w:rsidRPr="00405303">
        <w:rPr>
          <w:bCs/>
          <w:color w:val="002060"/>
          <w:sz w:val="16"/>
          <w:szCs w:val="16"/>
        </w:rPr>
        <w:t>Г.В. Лахвицкий). В 1986-87</w:t>
      </w:r>
      <w:proofErr w:type="gramStart"/>
      <w:r w:rsidRPr="00405303">
        <w:rPr>
          <w:bCs/>
          <w:color w:val="002060"/>
          <w:sz w:val="16"/>
          <w:szCs w:val="16"/>
        </w:rPr>
        <w:t>г,-</w:t>
      </w:r>
      <w:proofErr w:type="gramEnd"/>
      <w:r w:rsidRPr="00405303">
        <w:rPr>
          <w:bCs/>
          <w:color w:val="002060"/>
          <w:sz w:val="16"/>
          <w:szCs w:val="16"/>
        </w:rPr>
        <w:t xml:space="preserve"> вторая реконструкция телевизионного производства с установкой модульных линий.</w:t>
      </w:r>
    </w:p>
    <w:p w14:paraId="16E8F3B9" w14:textId="77777777" w:rsidR="004B4E35" w:rsidRPr="00405303" w:rsidRDefault="009E6F82" w:rsidP="00C15251">
      <w:pPr>
        <w:jc w:val="both"/>
        <w:rPr>
          <w:bCs/>
          <w:color w:val="002060"/>
          <w:sz w:val="16"/>
          <w:szCs w:val="16"/>
        </w:rPr>
      </w:pPr>
      <w:r w:rsidRPr="00405303">
        <w:rPr>
          <w:bCs/>
          <w:color w:val="002060"/>
          <w:sz w:val="16"/>
          <w:szCs w:val="16"/>
        </w:rPr>
        <w:t>В 1966 г. ГС завод № 197 переименован в ГТЗ им. В.И. Ленина. Входил в состав ПО «Радий».</w:t>
      </w:r>
    </w:p>
    <w:p w14:paraId="01DAAC45" w14:textId="77777777" w:rsidR="004B4E35" w:rsidRPr="00405303" w:rsidRDefault="009E6F82" w:rsidP="00C15251">
      <w:pPr>
        <w:jc w:val="both"/>
        <w:rPr>
          <w:bCs/>
          <w:color w:val="002060"/>
          <w:sz w:val="16"/>
          <w:szCs w:val="16"/>
        </w:rPr>
      </w:pPr>
      <w:r w:rsidRPr="00405303">
        <w:rPr>
          <w:bCs/>
          <w:color w:val="002060"/>
          <w:sz w:val="16"/>
          <w:szCs w:val="16"/>
        </w:rPr>
        <w:t>По 1998 г. выпущено более 20 типов РЛС.</w:t>
      </w:r>
    </w:p>
    <w:p w14:paraId="3D0F7F0D" w14:textId="77777777" w:rsidR="004B4E35" w:rsidRPr="00405303" w:rsidRDefault="009E6F82" w:rsidP="00C15251">
      <w:pPr>
        <w:jc w:val="both"/>
        <w:rPr>
          <w:bCs/>
          <w:color w:val="002060"/>
          <w:sz w:val="16"/>
          <w:szCs w:val="16"/>
        </w:rPr>
      </w:pPr>
      <w:r w:rsidRPr="00405303">
        <w:rPr>
          <w:bCs/>
          <w:color w:val="002060"/>
          <w:sz w:val="16"/>
          <w:szCs w:val="16"/>
        </w:rPr>
        <w:t>Производство (2002 г.): дежурные средства РЛ метрового диапазона, аппаратура: сопряжения РЛС со стрельбовыми комплексами, для обучения и тренировки расчетов РЛС; модернизация РЛС.</w:t>
      </w:r>
    </w:p>
    <w:p w14:paraId="1689E11B" w14:textId="77777777" w:rsidR="004B4E35" w:rsidRPr="00405303" w:rsidRDefault="009E6F82" w:rsidP="00C15251">
      <w:pPr>
        <w:jc w:val="both"/>
        <w:rPr>
          <w:bCs/>
          <w:color w:val="002060"/>
          <w:sz w:val="16"/>
          <w:szCs w:val="16"/>
        </w:rPr>
      </w:pPr>
      <w:r w:rsidRPr="00405303">
        <w:rPr>
          <w:bCs/>
          <w:color w:val="002060"/>
          <w:sz w:val="16"/>
          <w:szCs w:val="16"/>
        </w:rPr>
        <w:t>В 10.1992 г. завод акционирован и преобразован в АООТ «НИТЕЛ», затем- ОАО. По решению правительства № 22-р от 9.01.2004 г. ОАО вошло в перечень стратегических предприятий.</w:t>
      </w:r>
    </w:p>
    <w:p w14:paraId="428D88F3" w14:textId="77777777" w:rsidR="004B4E35" w:rsidRPr="00405303" w:rsidRDefault="009E6F82" w:rsidP="00C15251">
      <w:pPr>
        <w:jc w:val="both"/>
        <w:rPr>
          <w:bCs/>
          <w:color w:val="002060"/>
          <w:sz w:val="16"/>
          <w:szCs w:val="16"/>
        </w:rPr>
      </w:pPr>
      <w:r w:rsidRPr="00405303">
        <w:rPr>
          <w:bCs/>
          <w:color w:val="002060"/>
          <w:sz w:val="16"/>
          <w:szCs w:val="16"/>
        </w:rPr>
        <w:t xml:space="preserve">Директор (-16.05.1937 г.)- А.А. Соколенко; и.о. (16.05-10.1937 г.-)- Н.В. Добров; (-05-12.1938 г.-)- Н.В. Добров, (-1941 г.)- А.А. Форштер, (1960-е)- В.К. Мошков, (1986 г.)- </w:t>
      </w:r>
      <w:r w:rsidRPr="00405303">
        <w:rPr>
          <w:bCs/>
          <w:color w:val="002060"/>
          <w:sz w:val="16"/>
          <w:szCs w:val="16"/>
          <w:lang w:val="en-US"/>
        </w:rPr>
        <w:t>B</w:t>
      </w:r>
      <w:r w:rsidRPr="00405303">
        <w:rPr>
          <w:bCs/>
          <w:color w:val="002060"/>
          <w:sz w:val="16"/>
          <w:szCs w:val="16"/>
        </w:rPr>
        <w:t>.</w:t>
      </w:r>
      <w:r w:rsidRPr="00405303">
        <w:rPr>
          <w:bCs/>
          <w:color w:val="002060"/>
          <w:sz w:val="16"/>
          <w:szCs w:val="16"/>
          <w:lang w:val="en-US"/>
        </w:rPr>
        <w:t>C</w:t>
      </w:r>
      <w:r w:rsidRPr="00405303">
        <w:rPr>
          <w:bCs/>
          <w:color w:val="002060"/>
          <w:sz w:val="16"/>
          <w:szCs w:val="16"/>
        </w:rPr>
        <w:t>. Копылов. Гендиректор (2002 г.)- В.Ф. Казаков, (2003 г.-)- С. Б. Самойлов.</w:t>
      </w:r>
    </w:p>
    <w:p w14:paraId="4ACB9856" w14:textId="719DEFDB" w:rsidR="004B4E35" w:rsidRPr="00405303" w:rsidRDefault="009E6F82" w:rsidP="00C15251">
      <w:pPr>
        <w:jc w:val="both"/>
        <w:rPr>
          <w:bCs/>
          <w:color w:val="002060"/>
          <w:sz w:val="16"/>
          <w:szCs w:val="16"/>
        </w:rPr>
      </w:pPr>
      <w:r w:rsidRPr="00405303">
        <w:rPr>
          <w:bCs/>
          <w:color w:val="002060"/>
          <w:sz w:val="16"/>
          <w:szCs w:val="16"/>
        </w:rPr>
        <w:t>Зам. директора (17.12.1938 г.-)- А.И. Васильев. Зам. гендиректора по кадровым вопросам и социальной сфере-</w:t>
      </w:r>
      <w:r w:rsidR="000F5756">
        <w:rPr>
          <w:bCs/>
          <w:color w:val="002060"/>
          <w:sz w:val="16"/>
          <w:szCs w:val="16"/>
        </w:rPr>
        <w:t xml:space="preserve"> </w:t>
      </w:r>
      <w:r w:rsidRPr="00405303">
        <w:rPr>
          <w:bCs/>
          <w:color w:val="002060"/>
          <w:sz w:val="16"/>
          <w:szCs w:val="16"/>
        </w:rPr>
        <w:t>Г.А. Котлярова.</w:t>
      </w:r>
    </w:p>
    <w:p w14:paraId="7F9FEEB5" w14:textId="77777777" w:rsidR="004B4E35" w:rsidRPr="00405303" w:rsidRDefault="009E6F82" w:rsidP="00C15251">
      <w:pPr>
        <w:jc w:val="both"/>
        <w:rPr>
          <w:bCs/>
          <w:color w:val="002060"/>
          <w:sz w:val="16"/>
          <w:szCs w:val="16"/>
        </w:rPr>
      </w:pPr>
      <w:r w:rsidRPr="00405303">
        <w:rPr>
          <w:bCs/>
          <w:color w:val="002060"/>
          <w:sz w:val="16"/>
          <w:szCs w:val="16"/>
        </w:rPr>
        <w:t>Технический директор (2002 г.)- Э.Л. Воловский, А.В. Воробьев. Финансовый директор (2002 г.)- С.А. Бушуев.</w:t>
      </w:r>
    </w:p>
    <w:p w14:paraId="3595A34B" w14:textId="77777777" w:rsidR="004B4E35" w:rsidRPr="00405303" w:rsidRDefault="009E6F82" w:rsidP="00C15251">
      <w:pPr>
        <w:jc w:val="both"/>
        <w:rPr>
          <w:bCs/>
          <w:color w:val="002060"/>
          <w:sz w:val="16"/>
          <w:szCs w:val="16"/>
        </w:rPr>
      </w:pPr>
      <w:r w:rsidRPr="00405303">
        <w:rPr>
          <w:bCs/>
          <w:color w:val="002060"/>
          <w:sz w:val="16"/>
          <w:szCs w:val="16"/>
        </w:rPr>
        <w:t xml:space="preserve">Гл. инженер (17.12.1938 г.-)- А.И. Васильев, (1986 г.)- </w:t>
      </w:r>
      <w:r w:rsidRPr="00405303">
        <w:rPr>
          <w:bCs/>
          <w:color w:val="002060"/>
          <w:sz w:val="16"/>
          <w:szCs w:val="16"/>
          <w:lang w:val="en-US"/>
        </w:rPr>
        <w:t>A</w:t>
      </w:r>
      <w:r w:rsidRPr="00405303">
        <w:rPr>
          <w:bCs/>
          <w:color w:val="002060"/>
          <w:sz w:val="16"/>
          <w:szCs w:val="16"/>
        </w:rPr>
        <w:t>.</w:t>
      </w:r>
      <w:r w:rsidRPr="00405303">
        <w:rPr>
          <w:bCs/>
          <w:color w:val="002060"/>
          <w:sz w:val="16"/>
          <w:szCs w:val="16"/>
          <w:lang w:val="en-US"/>
        </w:rPr>
        <w:t>M</w:t>
      </w:r>
      <w:r w:rsidRPr="00405303">
        <w:rPr>
          <w:bCs/>
          <w:color w:val="002060"/>
          <w:sz w:val="16"/>
          <w:szCs w:val="16"/>
        </w:rPr>
        <w:t>. Александров, (2002 г.)- С.Х. Тибилов.</w:t>
      </w:r>
    </w:p>
    <w:p w14:paraId="48A652BB" w14:textId="77777777" w:rsidR="004B4E35" w:rsidRPr="00405303" w:rsidRDefault="009E6F82" w:rsidP="00C15251">
      <w:pPr>
        <w:jc w:val="both"/>
        <w:rPr>
          <w:bCs/>
          <w:color w:val="002060"/>
          <w:sz w:val="16"/>
          <w:szCs w:val="16"/>
        </w:rPr>
      </w:pPr>
      <w:r w:rsidRPr="00405303">
        <w:rPr>
          <w:bCs/>
          <w:color w:val="002060"/>
          <w:sz w:val="16"/>
          <w:szCs w:val="16"/>
        </w:rPr>
        <w:t>Зам. гл. инженера (1986 г.)- О.В. Татарчук.</w:t>
      </w:r>
    </w:p>
    <w:p w14:paraId="2FC0ABA6" w14:textId="77777777" w:rsidR="004B4E35" w:rsidRPr="00405303" w:rsidRDefault="009E6F82" w:rsidP="00C15251">
      <w:pPr>
        <w:jc w:val="both"/>
        <w:rPr>
          <w:bCs/>
          <w:color w:val="002060"/>
          <w:sz w:val="16"/>
          <w:szCs w:val="16"/>
        </w:rPr>
      </w:pPr>
      <w:r w:rsidRPr="00405303">
        <w:rPr>
          <w:bCs/>
          <w:color w:val="002060"/>
          <w:sz w:val="16"/>
          <w:szCs w:val="16"/>
        </w:rPr>
        <w:lastRenderedPageBreak/>
        <w:t>Гл. конструктор (1930-е)- И.А. Щербаковский, В.Н. Марков.</w:t>
      </w:r>
    </w:p>
    <w:p w14:paraId="0D85BF5F" w14:textId="77777777" w:rsidR="004B4E35" w:rsidRPr="00405303" w:rsidRDefault="009E6F82" w:rsidP="00C15251">
      <w:pPr>
        <w:jc w:val="both"/>
        <w:rPr>
          <w:bCs/>
          <w:color w:val="002060"/>
          <w:sz w:val="16"/>
          <w:szCs w:val="16"/>
        </w:rPr>
      </w:pPr>
      <w:r w:rsidRPr="00405303">
        <w:rPr>
          <w:bCs/>
          <w:color w:val="002060"/>
          <w:sz w:val="16"/>
          <w:szCs w:val="16"/>
        </w:rPr>
        <w:t>Зам. гл. технолога (-1951 г.)- А.П. Щепин, Н.П. Калягин.</w:t>
      </w:r>
    </w:p>
    <w:p w14:paraId="5F0B5E9A" w14:textId="77777777" w:rsidR="004B4E35" w:rsidRPr="00405303" w:rsidRDefault="009E6F82" w:rsidP="00C15251">
      <w:pPr>
        <w:jc w:val="both"/>
        <w:rPr>
          <w:bCs/>
          <w:color w:val="002060"/>
          <w:sz w:val="16"/>
          <w:szCs w:val="16"/>
        </w:rPr>
      </w:pPr>
      <w:r w:rsidRPr="00405303">
        <w:rPr>
          <w:bCs/>
          <w:color w:val="002060"/>
          <w:sz w:val="16"/>
          <w:szCs w:val="16"/>
        </w:rPr>
        <w:t>Начальники: отделов: специальной телефонии (1937 г.-)- Б.С. Тамаркин; (1936 г.-)- А.А. Форштер; лабораторий: изделий бытовой аппаратуры (1953 г.-)- Б.И. Аникин.</w:t>
      </w:r>
    </w:p>
    <w:p w14:paraId="52391189" w14:textId="77777777" w:rsidR="004B4E35" w:rsidRPr="00405303" w:rsidRDefault="009E6F82" w:rsidP="00C15251">
      <w:pPr>
        <w:jc w:val="both"/>
        <w:rPr>
          <w:bCs/>
          <w:color w:val="002060"/>
          <w:sz w:val="16"/>
          <w:szCs w:val="16"/>
        </w:rPr>
      </w:pPr>
      <w:r w:rsidRPr="00405303">
        <w:rPr>
          <w:bCs/>
          <w:color w:val="002060"/>
          <w:sz w:val="16"/>
          <w:szCs w:val="16"/>
        </w:rPr>
        <w:t>Гл. конструкторы: (1944 г.)- М.М. Савинов (РСБ-5), (1947 г.)- Н.Д. Елкин (РСБ-70), (1985 г.)- А.А. Местер (ЗУСЦТ 51/61), (1992 г.)- В.М. Сафронов (УСЦТ1-51/61), (1993 г.)- С.И. Ярошук (НСП-001), (1990-е)- А.В. Филиппов (видеотехника).</w:t>
      </w:r>
    </w:p>
    <w:p w14:paraId="72629B92" w14:textId="77777777" w:rsidR="004B4E35" w:rsidRPr="00405303" w:rsidRDefault="009E6F82" w:rsidP="00C15251">
      <w:pPr>
        <w:jc w:val="both"/>
        <w:rPr>
          <w:bCs/>
          <w:color w:val="002060"/>
          <w:sz w:val="16"/>
          <w:szCs w:val="16"/>
        </w:rPr>
      </w:pPr>
      <w:r w:rsidRPr="00405303">
        <w:rPr>
          <w:bCs/>
          <w:color w:val="002060"/>
          <w:sz w:val="16"/>
          <w:szCs w:val="16"/>
        </w:rPr>
        <w:t>Производство: телефонные аппараты: типа «Гейслер», системы Ботяновского, ЦБ, МБ, унифицированные военно-полевые УНА-Ф-28, -Ф-31, -И-28, -И-31, Т-2, Т-4 (1941-42), Т (1947); коммутаторы: КОФ, РЭ-112, К-7, К-3 (1933-39); переговорные устройства: ТАГ, ТТС, К-2, БПУ (1935-47), самолетные СПУбис, СПУ-2, СПУ-3 (- 1938-41-), танковые ТПУбис, ТПУ-2, ТПУ-3 (ВОВ); головные гарнитуры (1941-49); радиостанции: артполка 31- ДП, артдивизиона 32-ДП, пехотного полка 5-ДП, кавалерийского полка 24-ТВ (1929-)- всего около 200, дивизионная 23-ТВ (1929-30)- 20, 5-АК (1931-), 6-ПК (1931-), 11-А, 34-ДП (1931-), самолетные 15-СК, 5-СУ, РСВС, РСВС-1 (Луч-1), РТБ, РТБ-К, РСБ «Двина» (1938), РСБ-М, РСД, РСД-М (1933-37), наземные ЗА, П-АК (1933-37), РАФ, РАФ-КВ (1940), РАФ-КВбис, -КВ-3, -КВ-4, -КВ-5, «Дельфин» (1940-45), РК-05, РК-005 (1945), РСБ-Ф, РСВС-2 (1938), танковая РТУ-3 (1938), радиоприводная АПР-3, пеленгационная 54ДП, РТУ, РСУ «Терек» (1941-), ПАР-3, МПАР-2, командный радиоузел РУК, СРКС-00, РСБ-Збис, РД-5, ПАРКС-008, РАС-УКВ «Чернослив» (1950-), ПАР-7 (1946-51); радиоприемники: «УС» (ВОВ), ПР-4, УС-М (1946-51); радиопередатчики: РСБ-70 «Беркут», «Дунай» (1947-), РСБ-5 «Днепр», «Ока» (1948-), РСД-Д, РЗБ-5 (1946-51), «Кама», «Висла»; радиомаркерный пункт ПРМ-49; РЛС: П-ЗА (1948-), П-8, П-10, П-12, П-14 «Лена» (1959-), П-18-2,1РЛ113, 44Ж6, 55Ж6-1, 5Н84, 1Л13-3 (2002);</w:t>
      </w:r>
      <w:r w:rsidRPr="00405303">
        <w:rPr>
          <w:bCs/>
          <w:color w:val="002060"/>
          <w:sz w:val="16"/>
          <w:szCs w:val="16"/>
          <w:vertAlign w:val="superscript"/>
        </w:rPr>
        <w:t>69</w:t>
      </w:r>
      <w:r w:rsidRPr="00405303">
        <w:rPr>
          <w:bCs/>
          <w:color w:val="002060"/>
          <w:sz w:val="16"/>
          <w:szCs w:val="16"/>
        </w:rPr>
        <w:t xml:space="preserve"> АРЛСК 1РЛ116, 5Н85, 36Ж6; головные телефоны, микрофоны, микротелефоны, ларингофоны, джеки, динамики (1938); радиотеодолит для слежения за радиозондом; антенны АНВ, АНД для передачи телеметрических данных первых ИСЗ (1956-57); радиоприемники бытовые: ЛДВ-7-1, П-5, П-8 (1920-е), АРЗ, «Мелодия»; громкоговоритель «А» (1924-25); репродукторы: «Рекорд», «Рекорд-2, -3, -4 (1933), -5», «Зорька», «Пролетарий»; радиолы: «Балтика», «Соната», «Мелодия», «Октава» (1958-); телерадиола «Призма» (1961-); телевизоры: «Радий» (I960-), «Радий-А (1962-), -Б (1965-), -И (1966-)»- всего 765.500, «Чайка», «Чайка-2 (1967-), -4 (1970-), -5, -20, -201, -202, -205, -206, -207 (-1990)- всего 4.234.900, 34ТБ-424, 24ТБ-507, -701 (УЛПЦТ 59/61, 1974-), -711, -714 (1978-), -718, -722, -738, -739- всего 1.059.780, Ц-202, -275, -280 (ЗУСЦТ 51/61, 1985-), - 310, -380, 51ТЦ-310, 61ТЦ-330, 51ТЦ-423, 61ТЦ-437(-1992&gt; всего 1.823.750, 51ТЦ-441 (1992-), 61ТЦ-469», «Нител» 31ТБ-414, 31ТБ-424, 54ТЦ-480, 54ТЦ-4214, 51ТЦ-5187, 61ТЦ-5188, 61ТЦ-5190, 54ТЦ-5191,37ТЦ-5213 (- 1997)- всего 342.220; видеоплееры «Нител» </w:t>
      </w:r>
      <w:r w:rsidRPr="00405303">
        <w:rPr>
          <w:bCs/>
          <w:color w:val="002060"/>
          <w:sz w:val="16"/>
          <w:szCs w:val="16"/>
          <w:lang w:val="en-US"/>
        </w:rPr>
        <w:t>VC</w:t>
      </w:r>
      <w:r w:rsidRPr="00405303">
        <w:rPr>
          <w:bCs/>
          <w:color w:val="002060"/>
          <w:sz w:val="16"/>
          <w:szCs w:val="16"/>
        </w:rPr>
        <w:t xml:space="preserve">-50 (1994-), </w:t>
      </w:r>
      <w:r w:rsidRPr="00405303">
        <w:rPr>
          <w:bCs/>
          <w:color w:val="002060"/>
          <w:sz w:val="16"/>
          <w:szCs w:val="16"/>
          <w:lang w:val="en-US"/>
        </w:rPr>
        <w:t>VC</w:t>
      </w:r>
      <w:r w:rsidRPr="00405303">
        <w:rPr>
          <w:bCs/>
          <w:color w:val="002060"/>
          <w:sz w:val="16"/>
          <w:szCs w:val="16"/>
        </w:rPr>
        <w:t xml:space="preserve">-55, видеодвойка «Нител» 55-ТЦ (-1997)- всего 7830; наземная станция приема спутникового телевидения «Чайка НСП-001» (1993-).' </w:t>
      </w:r>
      <w:r w:rsidRPr="00405303">
        <w:rPr>
          <w:bCs/>
          <w:color w:val="002060"/>
          <w:sz w:val="16"/>
          <w:szCs w:val="16"/>
          <w:vertAlign w:val="superscript"/>
          <w:lang w:val="en-US"/>
        </w:rPr>
        <w:t>aa</w:t>
      </w:r>
      <w:r w:rsidRPr="00405303">
        <w:rPr>
          <w:bCs/>
          <w:strike/>
          <w:color w:val="002060"/>
          <w:sz w:val="16"/>
          <w:szCs w:val="16"/>
          <w:vertAlign w:val="superscript"/>
        </w:rPr>
        <w:t>?</w:t>
      </w:r>
      <w:r w:rsidRPr="00405303">
        <w:rPr>
          <w:bCs/>
          <w:strike/>
          <w:color w:val="002060"/>
          <w:sz w:val="16"/>
          <w:szCs w:val="16"/>
          <w:vertAlign w:val="superscript"/>
          <w:lang w:val="en-US"/>
        </w:rPr>
        <w:t>wn</w:t>
      </w:r>
      <w:r w:rsidRPr="00405303">
        <w:rPr>
          <w:bCs/>
          <w:strike/>
          <w:color w:val="002060"/>
          <w:sz w:val="16"/>
          <w:szCs w:val="16"/>
        </w:rPr>
        <w:t>"'</w:t>
      </w:r>
      <w:r w:rsidRPr="00405303">
        <w:rPr>
          <w:bCs/>
          <w:strike/>
          <w:color w:val="002060"/>
          <w:sz w:val="16"/>
          <w:szCs w:val="16"/>
          <w:vertAlign w:val="superscript"/>
          <w:lang w:val="en-US"/>
        </w:rPr>
        <w:t>semnJu</w:t>
      </w:r>
      <w:r w:rsidRPr="00405303">
        <w:rPr>
          <w:bCs/>
          <w:strike/>
          <w:color w:val="002060"/>
          <w:sz w:val="16"/>
          <w:szCs w:val="16"/>
          <w:vertAlign w:val="superscript"/>
        </w:rPr>
        <w:t>/</w:t>
      </w:r>
      <w:r w:rsidRPr="00405303">
        <w:rPr>
          <w:bCs/>
          <w:strike/>
          <w:color w:val="002060"/>
          <w:sz w:val="16"/>
          <w:szCs w:val="16"/>
          <w:vertAlign w:val="superscript"/>
          <w:lang w:val="en-US"/>
        </w:rPr>
        <w:t>M</w:t>
      </w:r>
      <w:r w:rsidRPr="00405303">
        <w:rPr>
          <w:bCs/>
          <w:strike/>
          <w:color w:val="002060"/>
          <w:sz w:val="16"/>
          <w:szCs w:val="16"/>
          <w:vertAlign w:val="superscript"/>
        </w:rPr>
        <w:t>185</w:t>
      </w:r>
      <w:r w:rsidRPr="00405303">
        <w:rPr>
          <w:bCs/>
          <w:color w:val="002060"/>
          <w:sz w:val="16"/>
          <w:szCs w:val="16"/>
          <w:vertAlign w:val="superscript"/>
        </w:rPr>
        <w:t>1</w:t>
      </w:r>
    </w:p>
    <w:p w14:paraId="4BF711F8" w14:textId="77777777" w:rsidR="004B4E35" w:rsidRPr="00405303" w:rsidRDefault="009E6F82" w:rsidP="00C15251">
      <w:pPr>
        <w:jc w:val="both"/>
        <w:rPr>
          <w:bCs/>
          <w:color w:val="002060"/>
          <w:sz w:val="16"/>
          <w:szCs w:val="16"/>
        </w:rPr>
      </w:pPr>
      <w:r w:rsidRPr="00405303">
        <w:rPr>
          <w:bCs/>
          <w:color w:val="002060"/>
          <w:sz w:val="16"/>
          <w:szCs w:val="16"/>
        </w:rPr>
        <w:t>СКБ завода № 197, СКБ-197, КБ ГТЗ им. Ленина, Горысовский НИИРТ (ГНИИРТ), ФГУП ФНПЦ «Нижегородский НИИ радиотехники» (ННИИРТ)</w:t>
      </w:r>
    </w:p>
    <w:p w14:paraId="60794084" w14:textId="65BED061" w:rsidR="004B4E35" w:rsidRPr="00405303" w:rsidRDefault="009E6F82" w:rsidP="00C15251">
      <w:pPr>
        <w:jc w:val="both"/>
        <w:rPr>
          <w:bCs/>
          <w:color w:val="002060"/>
          <w:sz w:val="16"/>
          <w:szCs w:val="16"/>
        </w:rPr>
      </w:pPr>
      <w:r w:rsidRPr="00405303">
        <w:rPr>
          <w:bCs/>
          <w:color w:val="002060"/>
          <w:sz w:val="16"/>
          <w:szCs w:val="16"/>
        </w:rPr>
        <w:t>/603600 (603950)</w:t>
      </w:r>
      <w:r w:rsidR="000F5756">
        <w:rPr>
          <w:bCs/>
          <w:color w:val="002060"/>
          <w:sz w:val="16"/>
          <w:szCs w:val="16"/>
        </w:rPr>
        <w:t xml:space="preserve"> </w:t>
      </w:r>
      <w:r w:rsidRPr="00405303">
        <w:rPr>
          <w:bCs/>
          <w:color w:val="002060"/>
          <w:sz w:val="16"/>
          <w:szCs w:val="16"/>
        </w:rPr>
        <w:t>г. Нижний Новгород ул. Шапошникова, 5(7) тел. 65-00-69,64-02-83/</w:t>
      </w:r>
    </w:p>
    <w:p w14:paraId="26ACF799" w14:textId="77777777" w:rsidR="004B4E35" w:rsidRPr="00405303" w:rsidRDefault="009E6F82" w:rsidP="00C15251">
      <w:pPr>
        <w:jc w:val="both"/>
        <w:rPr>
          <w:bCs/>
          <w:color w:val="002060"/>
          <w:sz w:val="16"/>
          <w:szCs w:val="16"/>
        </w:rPr>
      </w:pPr>
      <w:r w:rsidRPr="00405303">
        <w:rPr>
          <w:bCs/>
          <w:color w:val="002060"/>
          <w:sz w:val="16"/>
          <w:szCs w:val="16"/>
        </w:rPr>
        <w:t xml:space="preserve">СКБ завода № 197 образовано 30.09.1947 г. для разработки связных самолетных и аэродромных радиостанций и модернизации </w:t>
      </w:r>
      <w:r w:rsidRPr="00405303">
        <w:rPr>
          <w:bCs/>
          <w:color w:val="002060"/>
          <w:sz w:val="16"/>
          <w:szCs w:val="16"/>
          <w:lang w:val="en-US"/>
        </w:rPr>
        <w:t>PJIC</w:t>
      </w:r>
      <w:r w:rsidRPr="00405303">
        <w:rPr>
          <w:bCs/>
          <w:color w:val="002060"/>
          <w:sz w:val="16"/>
          <w:szCs w:val="16"/>
        </w:rPr>
        <w:t>П-3. По 1952 г. создано 10 типов и модификаций радиостанций.</w:t>
      </w:r>
    </w:p>
    <w:p w14:paraId="54A374C8" w14:textId="77777777" w:rsidR="004B4E35" w:rsidRPr="00405303" w:rsidRDefault="009E6F82" w:rsidP="00C15251">
      <w:pPr>
        <w:jc w:val="both"/>
        <w:rPr>
          <w:bCs/>
          <w:color w:val="002060"/>
          <w:sz w:val="16"/>
          <w:szCs w:val="16"/>
        </w:rPr>
      </w:pPr>
      <w:r w:rsidRPr="00405303">
        <w:rPr>
          <w:bCs/>
          <w:color w:val="002060"/>
          <w:sz w:val="16"/>
          <w:szCs w:val="16"/>
        </w:rPr>
        <w:t>По распоряжению правительства № 5050-рс от 20.08.1956 г. научно-исследовательский радиофизический институт размещен в помещениях Горьковского суворовского училища.</w:t>
      </w:r>
    </w:p>
    <w:p w14:paraId="1DC41272" w14:textId="77777777" w:rsidR="004B4E35" w:rsidRPr="00405303" w:rsidRDefault="009E6F82" w:rsidP="00C15251">
      <w:pPr>
        <w:jc w:val="both"/>
        <w:rPr>
          <w:bCs/>
          <w:color w:val="002060"/>
          <w:sz w:val="16"/>
          <w:szCs w:val="16"/>
        </w:rPr>
      </w:pPr>
      <w:r w:rsidRPr="00405303">
        <w:rPr>
          <w:bCs/>
          <w:color w:val="002060"/>
          <w:sz w:val="16"/>
          <w:szCs w:val="16"/>
        </w:rPr>
        <w:t xml:space="preserve">С 1953 г. начата разработка </w:t>
      </w:r>
      <w:r w:rsidRPr="00405303">
        <w:rPr>
          <w:bCs/>
          <w:color w:val="002060"/>
          <w:sz w:val="16"/>
          <w:szCs w:val="16"/>
          <w:lang w:val="en-US"/>
        </w:rPr>
        <w:t>PJIC</w:t>
      </w:r>
      <w:r w:rsidRPr="00405303">
        <w:rPr>
          <w:bCs/>
          <w:color w:val="002060"/>
          <w:sz w:val="16"/>
          <w:szCs w:val="16"/>
        </w:rPr>
        <w:t xml:space="preserve">для войск ПВО: первые отечественные </w:t>
      </w:r>
      <w:r w:rsidRPr="00405303">
        <w:rPr>
          <w:bCs/>
          <w:color w:val="002060"/>
          <w:sz w:val="16"/>
          <w:szCs w:val="16"/>
          <w:lang w:val="en-US"/>
        </w:rPr>
        <w:t>PJIC</w:t>
      </w:r>
      <w:r w:rsidRPr="00405303">
        <w:rPr>
          <w:bCs/>
          <w:color w:val="002060"/>
          <w:sz w:val="16"/>
          <w:szCs w:val="16"/>
        </w:rPr>
        <w:t xml:space="preserve">: с индикатором кругового обзора П-8; с перестройкой частоты П-10; П-12 с когерентно-компенсационной аппаратурой СДЦ; высокопотенциальная П-14 (пнв пост. СМ СССР № 640-288 от 16.06.1959 г.); метрового диапазона с </w:t>
      </w:r>
      <w:r w:rsidRPr="00405303">
        <w:rPr>
          <w:bCs/>
          <w:color w:val="002060"/>
          <w:sz w:val="16"/>
          <w:szCs w:val="16"/>
          <w:lang w:val="en-US"/>
        </w:rPr>
        <w:t>JI</w:t>
      </w:r>
      <w:r w:rsidRPr="00405303">
        <w:rPr>
          <w:bCs/>
          <w:color w:val="002060"/>
          <w:sz w:val="16"/>
          <w:szCs w:val="16"/>
        </w:rPr>
        <w:t>4</w:t>
      </w:r>
      <w:r w:rsidRPr="00405303">
        <w:rPr>
          <w:bCs/>
          <w:color w:val="002060"/>
          <w:sz w:val="16"/>
          <w:szCs w:val="16"/>
          <w:lang w:val="en-US"/>
        </w:rPr>
        <w:t>M</w:t>
      </w:r>
      <w:r w:rsidRPr="00405303">
        <w:rPr>
          <w:bCs/>
          <w:color w:val="002060"/>
          <w:sz w:val="16"/>
          <w:szCs w:val="16"/>
        </w:rPr>
        <w:t xml:space="preserve">зондирующим сигналом П-70; трехкоординатная </w:t>
      </w:r>
      <w:r w:rsidRPr="00405303">
        <w:rPr>
          <w:bCs/>
          <w:color w:val="002060"/>
          <w:sz w:val="16"/>
          <w:szCs w:val="16"/>
          <w:lang w:val="en-US"/>
        </w:rPr>
        <w:t>L</w:t>
      </w:r>
      <w:r w:rsidRPr="00405303">
        <w:rPr>
          <w:bCs/>
          <w:color w:val="002060"/>
          <w:sz w:val="16"/>
          <w:szCs w:val="16"/>
        </w:rPr>
        <w:t xml:space="preserve">-диапазона (длинноволновая) 5Н69; первые в мире: подвижная трехкоординатная метровая 55Ж6; высокомобильная метровая </w:t>
      </w:r>
      <w:r w:rsidRPr="00405303">
        <w:rPr>
          <w:bCs/>
          <w:color w:val="002060"/>
          <w:sz w:val="16"/>
          <w:szCs w:val="16"/>
          <w:lang w:val="en-US"/>
        </w:rPr>
        <w:t>PJTC</w:t>
      </w:r>
      <w:r w:rsidRPr="00405303">
        <w:rPr>
          <w:bCs/>
          <w:color w:val="002060"/>
          <w:sz w:val="16"/>
          <w:szCs w:val="16"/>
        </w:rPr>
        <w:t>с активной ФАР 1</w:t>
      </w:r>
      <w:r w:rsidRPr="00405303">
        <w:rPr>
          <w:bCs/>
          <w:color w:val="002060"/>
          <w:sz w:val="16"/>
          <w:szCs w:val="16"/>
          <w:lang w:val="en-US"/>
        </w:rPr>
        <w:t>JI</w:t>
      </w:r>
      <w:r w:rsidRPr="00405303">
        <w:rPr>
          <w:bCs/>
          <w:color w:val="002060"/>
          <w:sz w:val="16"/>
          <w:szCs w:val="16"/>
        </w:rPr>
        <w:t>119.</w:t>
      </w:r>
    </w:p>
    <w:p w14:paraId="06046793" w14:textId="77777777" w:rsidR="004B4E35" w:rsidRPr="00405303" w:rsidRDefault="009E6F82" w:rsidP="00C15251">
      <w:pPr>
        <w:jc w:val="both"/>
        <w:rPr>
          <w:bCs/>
          <w:color w:val="002060"/>
          <w:sz w:val="16"/>
          <w:szCs w:val="16"/>
        </w:rPr>
      </w:pPr>
      <w:r w:rsidRPr="00405303">
        <w:rPr>
          <w:bCs/>
          <w:color w:val="002060"/>
          <w:sz w:val="16"/>
          <w:szCs w:val="16"/>
        </w:rPr>
        <w:t>В 1966 г. предприятие переименовано в КБ ГТЗ им. Ленина и становится самостоятельным. В 1981 г. КБ преобразовано в ГНИИРТ. С 1990 г.- ННИИРТ. Входило в состав ПО «Радий».</w:t>
      </w:r>
    </w:p>
    <w:p w14:paraId="720622CE" w14:textId="77777777" w:rsidR="004B4E35" w:rsidRPr="00405303" w:rsidRDefault="009E6F82" w:rsidP="00C15251">
      <w:pPr>
        <w:jc w:val="both"/>
        <w:rPr>
          <w:bCs/>
          <w:color w:val="002060"/>
          <w:sz w:val="16"/>
          <w:szCs w:val="16"/>
        </w:rPr>
      </w:pPr>
      <w:r w:rsidRPr="00405303">
        <w:rPr>
          <w:bCs/>
          <w:color w:val="002060"/>
          <w:sz w:val="16"/>
          <w:szCs w:val="16"/>
        </w:rPr>
        <w:t xml:space="preserve">Выполнена НИР «Ока» по разработке принципов построения </w:t>
      </w:r>
      <w:r w:rsidRPr="00405303">
        <w:rPr>
          <w:bCs/>
          <w:color w:val="002060"/>
          <w:sz w:val="16"/>
          <w:szCs w:val="16"/>
          <w:lang w:val="en-US"/>
        </w:rPr>
        <w:t>PJIC</w:t>
      </w:r>
      <w:r w:rsidRPr="00405303">
        <w:rPr>
          <w:bCs/>
          <w:color w:val="002060"/>
          <w:sz w:val="16"/>
          <w:szCs w:val="16"/>
        </w:rPr>
        <w:t xml:space="preserve">с частотным качанием луча, создана </w:t>
      </w:r>
      <w:r w:rsidRPr="00405303">
        <w:rPr>
          <w:bCs/>
          <w:color w:val="002060"/>
          <w:sz w:val="16"/>
          <w:szCs w:val="16"/>
          <w:lang w:val="en-US"/>
        </w:rPr>
        <w:t>PJIC</w:t>
      </w:r>
      <w:r w:rsidRPr="00405303">
        <w:rPr>
          <w:bCs/>
          <w:color w:val="002060"/>
          <w:sz w:val="16"/>
          <w:szCs w:val="16"/>
        </w:rPr>
        <w:t>5Н69.</w:t>
      </w:r>
    </w:p>
    <w:p w14:paraId="70721FB6" w14:textId="777AB368" w:rsidR="004B4E35" w:rsidRPr="00405303" w:rsidRDefault="009E6F82" w:rsidP="00C15251">
      <w:pPr>
        <w:jc w:val="both"/>
        <w:rPr>
          <w:bCs/>
          <w:color w:val="002060"/>
          <w:sz w:val="16"/>
          <w:szCs w:val="16"/>
        </w:rPr>
      </w:pPr>
      <w:r w:rsidRPr="00405303">
        <w:rPr>
          <w:bCs/>
          <w:color w:val="002060"/>
          <w:sz w:val="16"/>
          <w:szCs w:val="16"/>
        </w:rPr>
        <w:t>С начала 1980-х</w:t>
      </w:r>
      <w:r w:rsidR="000F5756">
        <w:rPr>
          <w:bCs/>
          <w:color w:val="002060"/>
          <w:sz w:val="16"/>
          <w:szCs w:val="16"/>
        </w:rPr>
        <w:t xml:space="preserve"> </w:t>
      </w:r>
      <w:r w:rsidRPr="00405303">
        <w:rPr>
          <w:bCs/>
          <w:color w:val="002060"/>
          <w:sz w:val="16"/>
          <w:szCs w:val="16"/>
        </w:rPr>
        <w:t xml:space="preserve">г.- разработка вертолетных </w:t>
      </w:r>
      <w:r w:rsidRPr="00405303">
        <w:rPr>
          <w:bCs/>
          <w:color w:val="002060"/>
          <w:sz w:val="16"/>
          <w:szCs w:val="16"/>
          <w:lang w:val="en-US"/>
        </w:rPr>
        <w:t>PJIC</w:t>
      </w:r>
      <w:r w:rsidRPr="00405303">
        <w:rPr>
          <w:bCs/>
          <w:color w:val="002060"/>
          <w:sz w:val="16"/>
          <w:szCs w:val="16"/>
        </w:rPr>
        <w:t xml:space="preserve"> обнаружения малоразмерных воздушных целей на малой высоте над водной и земной поверхностью («на просвет»). Велись работы по </w:t>
      </w:r>
      <w:r w:rsidRPr="00405303">
        <w:rPr>
          <w:bCs/>
          <w:color w:val="002060"/>
          <w:sz w:val="16"/>
          <w:szCs w:val="16"/>
          <w:lang w:val="en-US"/>
        </w:rPr>
        <w:t>PJI</w:t>
      </w:r>
      <w:r w:rsidRPr="00405303">
        <w:rPr>
          <w:bCs/>
          <w:color w:val="002060"/>
          <w:sz w:val="16"/>
          <w:szCs w:val="16"/>
        </w:rPr>
        <w:t xml:space="preserve"> обнаружению наземных целей.</w:t>
      </w:r>
    </w:p>
    <w:p w14:paraId="65377217" w14:textId="77777777" w:rsidR="004B4E35" w:rsidRPr="00405303" w:rsidRDefault="009E6F82" w:rsidP="00C15251">
      <w:pPr>
        <w:jc w:val="both"/>
        <w:rPr>
          <w:bCs/>
          <w:color w:val="002060"/>
          <w:sz w:val="16"/>
          <w:szCs w:val="16"/>
        </w:rPr>
      </w:pPr>
      <w:r w:rsidRPr="00405303">
        <w:rPr>
          <w:bCs/>
          <w:color w:val="002060"/>
          <w:sz w:val="16"/>
          <w:szCs w:val="16"/>
        </w:rPr>
        <w:t>С 1995 г. предприятие освоило серийное производство своих разработок.</w:t>
      </w:r>
    </w:p>
    <w:p w14:paraId="1B20C8A1" w14:textId="77777777" w:rsidR="004B4E35" w:rsidRPr="00405303" w:rsidRDefault="009E6F82" w:rsidP="00C15251">
      <w:pPr>
        <w:jc w:val="both"/>
        <w:rPr>
          <w:bCs/>
          <w:color w:val="002060"/>
          <w:sz w:val="16"/>
          <w:szCs w:val="16"/>
        </w:rPr>
      </w:pPr>
      <w:r w:rsidRPr="00405303">
        <w:rPr>
          <w:bCs/>
          <w:color w:val="002060"/>
          <w:sz w:val="16"/>
          <w:szCs w:val="16"/>
        </w:rPr>
        <w:t xml:space="preserve">Разработка (2002 г.): наземная и бортовая аппаратура радионавигации </w:t>
      </w:r>
      <w:r w:rsidRPr="00405303">
        <w:rPr>
          <w:bCs/>
          <w:color w:val="002060"/>
          <w:sz w:val="16"/>
          <w:szCs w:val="16"/>
          <w:lang w:val="en-US"/>
        </w:rPr>
        <w:t>JIA</w:t>
      </w:r>
      <w:r w:rsidRPr="00405303">
        <w:rPr>
          <w:bCs/>
          <w:color w:val="002060"/>
          <w:sz w:val="16"/>
          <w:szCs w:val="16"/>
        </w:rPr>
        <w:t xml:space="preserve">; системы дальнего обнаружения; </w:t>
      </w:r>
      <w:r w:rsidRPr="00405303">
        <w:rPr>
          <w:bCs/>
          <w:color w:val="002060"/>
          <w:sz w:val="16"/>
          <w:szCs w:val="16"/>
          <w:lang w:val="en-US"/>
        </w:rPr>
        <w:t>PJIC</w:t>
      </w:r>
      <w:r w:rsidRPr="00405303">
        <w:rPr>
          <w:bCs/>
          <w:color w:val="002060"/>
          <w:sz w:val="16"/>
          <w:szCs w:val="16"/>
        </w:rPr>
        <w:t xml:space="preserve"> ветрового зондирования атмосферы; многоканальные системы передачи информации; комплексы автоматизированного управления насосными агрегатами.</w:t>
      </w:r>
      <w:r w:rsidRPr="00405303">
        <w:rPr>
          <w:bCs/>
          <w:color w:val="002060"/>
          <w:sz w:val="16"/>
          <w:szCs w:val="16"/>
          <w:vertAlign w:val="superscript"/>
        </w:rPr>
        <w:t>69</w:t>
      </w:r>
    </w:p>
    <w:p w14:paraId="53BD8E05" w14:textId="77777777" w:rsidR="004B4E35" w:rsidRPr="00405303" w:rsidRDefault="009E6F82" w:rsidP="00C15251">
      <w:pPr>
        <w:jc w:val="both"/>
        <w:rPr>
          <w:bCs/>
          <w:color w:val="002060"/>
          <w:sz w:val="16"/>
          <w:szCs w:val="16"/>
        </w:rPr>
      </w:pPr>
      <w:r w:rsidRPr="00405303">
        <w:rPr>
          <w:bCs/>
          <w:color w:val="002060"/>
          <w:sz w:val="16"/>
          <w:szCs w:val="16"/>
        </w:rPr>
        <w:t xml:space="preserve">К 2004 г. создано более 35 типов </w:t>
      </w:r>
      <w:r w:rsidRPr="00405303">
        <w:rPr>
          <w:bCs/>
          <w:color w:val="002060"/>
          <w:sz w:val="16"/>
          <w:szCs w:val="16"/>
          <w:lang w:val="en-US"/>
        </w:rPr>
        <w:t>PJIC</w:t>
      </w:r>
      <w:r w:rsidRPr="00405303">
        <w:rPr>
          <w:bCs/>
          <w:color w:val="002060"/>
          <w:sz w:val="16"/>
          <w:szCs w:val="16"/>
        </w:rPr>
        <w:t>, из них 26 строились серийно.</w:t>
      </w:r>
    </w:p>
    <w:p w14:paraId="29FE453D" w14:textId="77777777" w:rsidR="004B4E35" w:rsidRPr="00405303" w:rsidRDefault="009E6F82" w:rsidP="00C15251">
      <w:pPr>
        <w:jc w:val="both"/>
        <w:rPr>
          <w:bCs/>
          <w:color w:val="002060"/>
          <w:sz w:val="16"/>
          <w:szCs w:val="16"/>
        </w:rPr>
      </w:pPr>
      <w:r w:rsidRPr="00405303">
        <w:rPr>
          <w:bCs/>
          <w:color w:val="002060"/>
          <w:sz w:val="16"/>
          <w:szCs w:val="16"/>
        </w:rPr>
        <w:t>По Указу Президента РФ № 1009 от 4.08.2004 г. вошел в число стратегических оборонных предприятий. Имел статус ФНПЦ (2005 г.). По Указу Президента РФ в 02.2007 г. исключен из перечня стратегических предприятий. По Указу Президента РФ в 03.2007 г. включен в состав Концерна ПВО «Алмаз-Антей».</w:t>
      </w:r>
    </w:p>
    <w:p w14:paraId="1AB2EC76" w14:textId="77777777" w:rsidR="004B4E35" w:rsidRPr="00405303" w:rsidRDefault="009E6F82" w:rsidP="00C15251">
      <w:pPr>
        <w:jc w:val="both"/>
        <w:rPr>
          <w:bCs/>
          <w:color w:val="002060"/>
          <w:sz w:val="16"/>
          <w:szCs w:val="16"/>
        </w:rPr>
      </w:pPr>
      <w:r w:rsidRPr="00405303">
        <w:rPr>
          <w:bCs/>
          <w:color w:val="002060"/>
          <w:sz w:val="16"/>
          <w:szCs w:val="16"/>
        </w:rPr>
        <w:t>Численность персонала (2004 г.)- 2500 чел.</w:t>
      </w:r>
    </w:p>
    <w:p w14:paraId="5D26204A" w14:textId="26809217" w:rsidR="004B4E35" w:rsidRPr="00405303" w:rsidRDefault="009E6F82" w:rsidP="00C15251">
      <w:pPr>
        <w:jc w:val="both"/>
        <w:rPr>
          <w:bCs/>
          <w:color w:val="002060"/>
          <w:sz w:val="16"/>
          <w:szCs w:val="16"/>
        </w:rPr>
      </w:pPr>
      <w:r w:rsidRPr="00405303">
        <w:rPr>
          <w:bCs/>
          <w:color w:val="002060"/>
          <w:sz w:val="16"/>
          <w:szCs w:val="16"/>
        </w:rPr>
        <w:t>И.О. начальника (1947 г.-)- В.А. Авдентов. Начальник (1947 г.-)- В.А. Авдентов; и.о. (1948 г.)- Е.А. Меркин; (-1949 г.)- Е.А. Меркин, (1956; 1966 г.-)- Л.И. Панкратов, (1957-; -1981 г.)-</w:t>
      </w:r>
      <w:r w:rsidR="000F5756">
        <w:rPr>
          <w:bCs/>
          <w:color w:val="002060"/>
          <w:sz w:val="16"/>
          <w:szCs w:val="16"/>
        </w:rPr>
        <w:t xml:space="preserve"> </w:t>
      </w:r>
      <w:r w:rsidRPr="00405303">
        <w:rPr>
          <w:bCs/>
          <w:color w:val="002060"/>
          <w:sz w:val="16"/>
          <w:szCs w:val="16"/>
        </w:rPr>
        <w:t>Г.К. Киселев. Директор (1981-94 г.)- В.А. Проскурин, (-2002-06 г.)- В.В. Москаленко, (2006-07 г.-&gt; А.А. Таныгин.</w:t>
      </w:r>
      <w:r w:rsidRPr="00405303">
        <w:rPr>
          <w:bCs/>
          <w:color w:val="002060"/>
          <w:sz w:val="16"/>
          <w:szCs w:val="16"/>
          <w:vertAlign w:val="superscript"/>
        </w:rPr>
        <w:t>130</w:t>
      </w:r>
    </w:p>
    <w:p w14:paraId="1AB1A448" w14:textId="77777777" w:rsidR="004B4E35" w:rsidRPr="00405303" w:rsidRDefault="009E6F82" w:rsidP="00C15251">
      <w:pPr>
        <w:jc w:val="both"/>
        <w:rPr>
          <w:bCs/>
          <w:color w:val="002060"/>
          <w:sz w:val="16"/>
          <w:szCs w:val="16"/>
        </w:rPr>
      </w:pPr>
      <w:r w:rsidRPr="00405303">
        <w:rPr>
          <w:bCs/>
          <w:color w:val="002060"/>
          <w:sz w:val="16"/>
          <w:szCs w:val="16"/>
        </w:rPr>
        <w:t>1-й зам. директора (2007 г.)- А.Б. Бляхман. Зам. начальника по производству (-1971 г.)- В.А. Авдентов. Зам. директора: по научной работе (-1994 г.)- В.А. Антонов, по науке (-2005 г.)- А.А. Зачепицкий; по производству- В.В. Москаленко.</w:t>
      </w:r>
    </w:p>
    <w:p w14:paraId="2BF81920" w14:textId="77777777" w:rsidR="004B4E35" w:rsidRPr="00405303" w:rsidRDefault="009E6F82" w:rsidP="00C15251">
      <w:pPr>
        <w:jc w:val="both"/>
        <w:rPr>
          <w:bCs/>
          <w:color w:val="002060"/>
          <w:sz w:val="16"/>
          <w:szCs w:val="16"/>
        </w:rPr>
      </w:pPr>
      <w:r w:rsidRPr="00405303">
        <w:rPr>
          <w:bCs/>
          <w:color w:val="002060"/>
          <w:sz w:val="16"/>
          <w:szCs w:val="16"/>
        </w:rPr>
        <w:t>Гл. конструктор- М. Лейких («Противник»), А.А. Зачепицкий.</w:t>
      </w:r>
      <w:r w:rsidRPr="00405303">
        <w:rPr>
          <w:bCs/>
          <w:color w:val="002060"/>
          <w:sz w:val="16"/>
          <w:szCs w:val="16"/>
          <w:vertAlign w:val="superscript"/>
        </w:rPr>
        <w:t>63</w:t>
      </w:r>
      <w:r w:rsidRPr="00405303">
        <w:rPr>
          <w:bCs/>
          <w:color w:val="002060"/>
          <w:sz w:val="16"/>
          <w:szCs w:val="16"/>
        </w:rPr>
        <w:t xml:space="preserve"> Ген. конструктор- А.Б. Бляхман, (-2005 г.)- А.А. Зачепицкий.</w:t>
      </w:r>
    </w:p>
    <w:p w14:paraId="67E8B897" w14:textId="77777777" w:rsidR="004B4E35" w:rsidRPr="00405303" w:rsidRDefault="009E6F82" w:rsidP="00C15251">
      <w:pPr>
        <w:jc w:val="both"/>
        <w:rPr>
          <w:bCs/>
          <w:color w:val="002060"/>
          <w:sz w:val="16"/>
          <w:szCs w:val="16"/>
        </w:rPr>
      </w:pPr>
      <w:r w:rsidRPr="00405303">
        <w:rPr>
          <w:bCs/>
          <w:color w:val="002060"/>
          <w:sz w:val="16"/>
          <w:szCs w:val="16"/>
        </w:rPr>
        <w:t>Гл. инженер (-1950 г.)- Н.И. Угланов, (1952-81 г.)- Е.В. Бухвалов, (-1994 г.)- В.А. Антонов, (-2001 г.)- В.М. Марескин.</w:t>
      </w:r>
    </w:p>
    <w:p w14:paraId="65FE5C22" w14:textId="77777777" w:rsidR="004B4E35" w:rsidRPr="00405303" w:rsidRDefault="009E6F82" w:rsidP="00C15251">
      <w:pPr>
        <w:jc w:val="both"/>
        <w:rPr>
          <w:bCs/>
          <w:color w:val="002060"/>
          <w:sz w:val="16"/>
          <w:szCs w:val="16"/>
        </w:rPr>
      </w:pPr>
      <w:r w:rsidRPr="00405303">
        <w:rPr>
          <w:bCs/>
          <w:color w:val="002060"/>
          <w:sz w:val="16"/>
          <w:szCs w:val="16"/>
        </w:rPr>
        <w:t>Зам. гл. инженера- А.Б. Бляхман, Н.С. Ерофеев, А.И. Калинцев, В.В. Москаленко.</w:t>
      </w:r>
    </w:p>
    <w:p w14:paraId="6A21780A" w14:textId="77777777" w:rsidR="004B4E35" w:rsidRPr="00405303" w:rsidRDefault="009E6F82" w:rsidP="00C15251">
      <w:pPr>
        <w:jc w:val="both"/>
        <w:rPr>
          <w:bCs/>
          <w:color w:val="002060"/>
          <w:sz w:val="16"/>
          <w:szCs w:val="16"/>
        </w:rPr>
      </w:pPr>
      <w:r w:rsidRPr="00405303">
        <w:rPr>
          <w:bCs/>
          <w:color w:val="002060"/>
          <w:sz w:val="16"/>
          <w:szCs w:val="16"/>
        </w:rPr>
        <w:t>Начальник производства (1972-79 г.)- Ю.П. Минаев; производства шефмонтажных и регулировочных работ, гарантийного и послегарантийного обслуживания эксплуатируемых изделий (2007 г.)- А.И. Калинцев.</w:t>
      </w:r>
    </w:p>
    <w:p w14:paraId="210702DB" w14:textId="77777777" w:rsidR="004B4E35" w:rsidRPr="00405303" w:rsidRDefault="009E6F82" w:rsidP="00C15251">
      <w:pPr>
        <w:jc w:val="both"/>
        <w:rPr>
          <w:bCs/>
          <w:color w:val="002060"/>
          <w:sz w:val="16"/>
          <w:szCs w:val="16"/>
        </w:rPr>
      </w:pPr>
      <w:r w:rsidRPr="00405303">
        <w:rPr>
          <w:bCs/>
          <w:color w:val="002060"/>
          <w:sz w:val="16"/>
          <w:szCs w:val="16"/>
        </w:rPr>
        <w:t>Гл. конструкторы: В.А. Антонов (Э-801), Е.В. Бухвалов (П-ЗА, -8, -10, -12, -12М, -95), И. Г. Крылов (1Л13, 1Л119); направления (2007 г.)- А.Д. Бомштейн.</w:t>
      </w:r>
    </w:p>
    <w:p w14:paraId="250562A1" w14:textId="77777777" w:rsidR="004B4E35" w:rsidRPr="00405303" w:rsidRDefault="009E6F82" w:rsidP="00C15251">
      <w:pPr>
        <w:jc w:val="both"/>
        <w:rPr>
          <w:bCs/>
          <w:color w:val="002060"/>
          <w:sz w:val="16"/>
          <w:szCs w:val="16"/>
        </w:rPr>
      </w:pPr>
      <w:r w:rsidRPr="00405303">
        <w:rPr>
          <w:bCs/>
          <w:color w:val="002060"/>
          <w:sz w:val="16"/>
          <w:szCs w:val="16"/>
        </w:rPr>
        <w:t xml:space="preserve">Зам. гл. конструкторов: В.А. Антонов (5Н84А, 55Ж6, 1Л13), А.Д. Бомштейн (55Ж6У), Н.М. Вагин (1Л13), </w:t>
      </w:r>
      <w:r w:rsidRPr="00405303">
        <w:rPr>
          <w:bCs/>
          <w:color w:val="002060"/>
          <w:sz w:val="16"/>
          <w:szCs w:val="16"/>
          <w:lang w:val="en-US"/>
        </w:rPr>
        <w:t>P</w:t>
      </w:r>
      <w:r w:rsidRPr="00405303">
        <w:rPr>
          <w:bCs/>
          <w:color w:val="002060"/>
          <w:sz w:val="16"/>
          <w:szCs w:val="16"/>
        </w:rPr>
        <w:t>.</w:t>
      </w:r>
      <w:r w:rsidRPr="00405303">
        <w:rPr>
          <w:bCs/>
          <w:color w:val="002060"/>
          <w:sz w:val="16"/>
          <w:szCs w:val="16"/>
          <w:lang w:val="en-US"/>
        </w:rPr>
        <w:t>M</w:t>
      </w:r>
      <w:r w:rsidRPr="00405303">
        <w:rPr>
          <w:bCs/>
          <w:color w:val="002060"/>
          <w:sz w:val="16"/>
          <w:szCs w:val="16"/>
        </w:rPr>
        <w:t xml:space="preserve">. Глухих (П-14, -14Ф, -70, 5Н69), А.И. Калинцев (55Ж6, 55Ж6У), </w:t>
      </w:r>
      <w:r w:rsidRPr="00405303">
        <w:rPr>
          <w:bCs/>
          <w:color w:val="002060"/>
          <w:sz w:val="16"/>
          <w:szCs w:val="16"/>
          <w:lang w:val="en-US"/>
        </w:rPr>
        <w:t>B</w:t>
      </w:r>
      <w:r w:rsidRPr="00405303">
        <w:rPr>
          <w:bCs/>
          <w:color w:val="002060"/>
          <w:sz w:val="16"/>
          <w:szCs w:val="16"/>
        </w:rPr>
        <w:t>.</w:t>
      </w:r>
      <w:r w:rsidRPr="00405303">
        <w:rPr>
          <w:bCs/>
          <w:color w:val="002060"/>
          <w:sz w:val="16"/>
          <w:szCs w:val="16"/>
          <w:lang w:val="en-US"/>
        </w:rPr>
        <w:t>C</w:t>
      </w:r>
      <w:r w:rsidRPr="00405303">
        <w:rPr>
          <w:bCs/>
          <w:color w:val="002060"/>
          <w:sz w:val="16"/>
          <w:szCs w:val="16"/>
        </w:rPr>
        <w:t xml:space="preserve">. Каненгисер (55Ж6У), А.В. Карпов (П- 14), </w:t>
      </w:r>
      <w:r w:rsidRPr="00405303">
        <w:rPr>
          <w:bCs/>
          <w:color w:val="002060"/>
          <w:sz w:val="16"/>
          <w:szCs w:val="16"/>
          <w:lang w:val="en-US"/>
        </w:rPr>
        <w:t>A</w:t>
      </w:r>
      <w:r w:rsidRPr="00405303">
        <w:rPr>
          <w:bCs/>
          <w:color w:val="002060"/>
          <w:sz w:val="16"/>
          <w:szCs w:val="16"/>
        </w:rPr>
        <w:t>.</w:t>
      </w:r>
      <w:r w:rsidRPr="00405303">
        <w:rPr>
          <w:bCs/>
          <w:color w:val="002060"/>
          <w:sz w:val="16"/>
          <w:szCs w:val="16"/>
          <w:lang w:val="en-US"/>
        </w:rPr>
        <w:t>M</w:t>
      </w:r>
      <w:r w:rsidRPr="00405303">
        <w:rPr>
          <w:bCs/>
          <w:color w:val="002060"/>
          <w:sz w:val="16"/>
          <w:szCs w:val="16"/>
        </w:rPr>
        <w:t xml:space="preserve">. Клячев (5Н69), А. Г. Крылов (5Н69), И. Г. Крылов (5Н84-А), В.М. Марескин (55Ж6, Э-801), В.В. Масленников (55Ж6, 55Ж6У, 1Л13, 1Л119), Н.С. Митрофанов (РАС-УКВ «Чернослив»), В.В. Москаленко (55Ж6), В.И. Овсянников (П-10, -12), Н.И. Полежаев (П-10, -12, -14), А.И. Резчиков (55Ж6, 55Ж6У), Ю.Н. Соколов (П-12, -12М, -14), (2000-е)- </w:t>
      </w:r>
      <w:r w:rsidRPr="00405303">
        <w:rPr>
          <w:bCs/>
          <w:color w:val="002060"/>
          <w:sz w:val="16"/>
          <w:szCs w:val="16"/>
          <w:lang w:val="en-US"/>
        </w:rPr>
        <w:t>A</w:t>
      </w:r>
      <w:r w:rsidRPr="00405303">
        <w:rPr>
          <w:bCs/>
          <w:color w:val="002060"/>
          <w:sz w:val="16"/>
          <w:szCs w:val="16"/>
        </w:rPr>
        <w:t>.</w:t>
      </w:r>
      <w:r w:rsidRPr="00405303">
        <w:rPr>
          <w:bCs/>
          <w:color w:val="002060"/>
          <w:sz w:val="16"/>
          <w:szCs w:val="16"/>
          <w:lang w:val="en-US"/>
        </w:rPr>
        <w:t>M</w:t>
      </w:r>
      <w:r w:rsidRPr="00405303">
        <w:rPr>
          <w:bCs/>
          <w:color w:val="002060"/>
          <w:sz w:val="16"/>
          <w:szCs w:val="16"/>
        </w:rPr>
        <w:t>. Флаум (55Ж6, 55Ж6У), В.А. Целибеев (5Н69, Э-801).</w:t>
      </w:r>
    </w:p>
    <w:p w14:paraId="5AA57083" w14:textId="77777777" w:rsidR="004B4E35" w:rsidRPr="00405303" w:rsidRDefault="009E6F82" w:rsidP="00C15251">
      <w:pPr>
        <w:jc w:val="both"/>
        <w:rPr>
          <w:bCs/>
          <w:color w:val="002060"/>
          <w:sz w:val="16"/>
          <w:szCs w:val="16"/>
        </w:rPr>
      </w:pPr>
      <w:r w:rsidRPr="00405303">
        <w:rPr>
          <w:bCs/>
          <w:color w:val="002060"/>
          <w:sz w:val="16"/>
          <w:szCs w:val="16"/>
        </w:rPr>
        <w:t>Начальники отделений: Н.С. Ерофеев, А.И. Калинцев, В.М. Марескин, В.В. Москаленко, В.А. Целибеев.</w:t>
      </w:r>
    </w:p>
    <w:p w14:paraId="17DA2A02" w14:textId="77777777" w:rsidR="004B4E35" w:rsidRPr="00405303" w:rsidRDefault="009E6F82" w:rsidP="00C15251">
      <w:pPr>
        <w:jc w:val="both"/>
        <w:rPr>
          <w:bCs/>
          <w:color w:val="002060"/>
          <w:sz w:val="16"/>
          <w:szCs w:val="16"/>
        </w:rPr>
      </w:pPr>
      <w:r w:rsidRPr="00405303">
        <w:rPr>
          <w:bCs/>
          <w:color w:val="002060"/>
          <w:sz w:val="16"/>
          <w:szCs w:val="16"/>
        </w:rPr>
        <w:t>Зам. начальника отделения: (2007 г.)- А.Д. Бомштейн, (-1990 г.)- В.А. Целибеев.</w:t>
      </w:r>
    </w:p>
    <w:p w14:paraId="278A4F17" w14:textId="77777777" w:rsidR="004B4E35" w:rsidRPr="00405303" w:rsidRDefault="009E6F82" w:rsidP="00C15251">
      <w:pPr>
        <w:jc w:val="both"/>
        <w:rPr>
          <w:bCs/>
          <w:color w:val="002060"/>
          <w:sz w:val="16"/>
          <w:szCs w:val="16"/>
        </w:rPr>
      </w:pPr>
      <w:r w:rsidRPr="00405303">
        <w:rPr>
          <w:bCs/>
          <w:color w:val="002060"/>
          <w:sz w:val="16"/>
          <w:szCs w:val="16"/>
        </w:rPr>
        <w:t xml:space="preserve">Начальники отделов: А.Б. Бляхман, (2007 г.)- А.Д. Бомштейн, Н.М. Вагин, </w:t>
      </w:r>
      <w:r w:rsidRPr="00405303">
        <w:rPr>
          <w:bCs/>
          <w:color w:val="002060"/>
          <w:sz w:val="16"/>
          <w:szCs w:val="16"/>
          <w:lang w:val="en-US"/>
        </w:rPr>
        <w:t>P</w:t>
      </w:r>
      <w:r w:rsidRPr="00405303">
        <w:rPr>
          <w:bCs/>
          <w:color w:val="002060"/>
          <w:sz w:val="16"/>
          <w:szCs w:val="16"/>
        </w:rPr>
        <w:t>.</w:t>
      </w:r>
      <w:r w:rsidRPr="00405303">
        <w:rPr>
          <w:bCs/>
          <w:color w:val="002060"/>
          <w:sz w:val="16"/>
          <w:szCs w:val="16"/>
          <w:lang w:val="en-US"/>
        </w:rPr>
        <w:t>M</w:t>
      </w:r>
      <w:r w:rsidRPr="00405303">
        <w:rPr>
          <w:bCs/>
          <w:color w:val="002060"/>
          <w:sz w:val="16"/>
          <w:szCs w:val="16"/>
        </w:rPr>
        <w:t xml:space="preserve">. Глухих, А.А. Зачепицкий, А.И. Калинцев, </w:t>
      </w:r>
      <w:r w:rsidRPr="00405303">
        <w:rPr>
          <w:bCs/>
          <w:color w:val="002060"/>
          <w:sz w:val="16"/>
          <w:szCs w:val="16"/>
          <w:lang w:val="en-US"/>
        </w:rPr>
        <w:t>A</w:t>
      </w:r>
      <w:r w:rsidRPr="00405303">
        <w:rPr>
          <w:bCs/>
          <w:color w:val="002060"/>
          <w:sz w:val="16"/>
          <w:szCs w:val="16"/>
        </w:rPr>
        <w:t>.</w:t>
      </w:r>
      <w:r w:rsidRPr="00405303">
        <w:rPr>
          <w:bCs/>
          <w:color w:val="002060"/>
          <w:sz w:val="16"/>
          <w:szCs w:val="16"/>
          <w:lang w:val="en-US"/>
        </w:rPr>
        <w:t>M</w:t>
      </w:r>
      <w:r w:rsidRPr="00405303">
        <w:rPr>
          <w:bCs/>
          <w:color w:val="002060"/>
          <w:sz w:val="16"/>
          <w:szCs w:val="16"/>
        </w:rPr>
        <w:t xml:space="preserve">. Клячев, В.М. Марескин, В.В. Москаленко, В.И. Овсянников, (-1958 г.)- Н.И. Полежаев, (2000-е)- А.И. Резчиков, (-1987 г.)- Ю.Н. Соколов, </w:t>
      </w:r>
      <w:r w:rsidRPr="00405303">
        <w:rPr>
          <w:bCs/>
          <w:color w:val="002060"/>
          <w:sz w:val="16"/>
          <w:szCs w:val="16"/>
          <w:lang w:val="en-US"/>
        </w:rPr>
        <w:t>A</w:t>
      </w:r>
      <w:r w:rsidRPr="00405303">
        <w:rPr>
          <w:bCs/>
          <w:color w:val="002060"/>
          <w:sz w:val="16"/>
          <w:szCs w:val="16"/>
        </w:rPr>
        <w:t>.</w:t>
      </w:r>
      <w:r w:rsidRPr="00405303">
        <w:rPr>
          <w:bCs/>
          <w:color w:val="002060"/>
          <w:sz w:val="16"/>
          <w:szCs w:val="16"/>
          <w:lang w:val="en-US"/>
        </w:rPr>
        <w:t>M</w:t>
      </w:r>
      <w:r w:rsidRPr="00405303">
        <w:rPr>
          <w:bCs/>
          <w:color w:val="002060"/>
          <w:sz w:val="16"/>
          <w:szCs w:val="16"/>
        </w:rPr>
        <w:t>. Флаум, (-1990 г.)- В.А. Целибеев.</w:t>
      </w:r>
    </w:p>
    <w:p w14:paraId="00090053" w14:textId="77777777" w:rsidR="004B4E35" w:rsidRPr="00405303" w:rsidRDefault="009E6F82" w:rsidP="00C15251">
      <w:pPr>
        <w:jc w:val="both"/>
        <w:rPr>
          <w:bCs/>
          <w:color w:val="002060"/>
          <w:sz w:val="16"/>
          <w:szCs w:val="16"/>
        </w:rPr>
      </w:pPr>
      <w:r w:rsidRPr="00405303">
        <w:rPr>
          <w:bCs/>
          <w:color w:val="002060"/>
          <w:sz w:val="16"/>
          <w:szCs w:val="16"/>
        </w:rPr>
        <w:t xml:space="preserve">Зам. начальника отдела: (2007 г.)- </w:t>
      </w:r>
      <w:r w:rsidRPr="00405303">
        <w:rPr>
          <w:bCs/>
          <w:color w:val="002060"/>
          <w:sz w:val="16"/>
          <w:szCs w:val="16"/>
          <w:lang w:val="en-US"/>
        </w:rPr>
        <w:t>B</w:t>
      </w:r>
      <w:r w:rsidRPr="00405303">
        <w:rPr>
          <w:bCs/>
          <w:color w:val="002060"/>
          <w:sz w:val="16"/>
          <w:szCs w:val="16"/>
        </w:rPr>
        <w:t>.</w:t>
      </w:r>
      <w:r w:rsidRPr="00405303">
        <w:rPr>
          <w:bCs/>
          <w:color w:val="002060"/>
          <w:sz w:val="16"/>
          <w:szCs w:val="16"/>
          <w:lang w:val="en-US"/>
        </w:rPr>
        <w:t>C</w:t>
      </w:r>
      <w:r w:rsidRPr="00405303">
        <w:rPr>
          <w:bCs/>
          <w:color w:val="002060"/>
          <w:sz w:val="16"/>
          <w:szCs w:val="16"/>
        </w:rPr>
        <w:t>. Каненгисер, (-1979 г.)- Ю.И. Пахомов.</w:t>
      </w:r>
    </w:p>
    <w:p w14:paraId="745E10E5" w14:textId="77777777" w:rsidR="004B4E35" w:rsidRPr="00405303" w:rsidRDefault="009E6F82" w:rsidP="00C15251">
      <w:pPr>
        <w:jc w:val="both"/>
        <w:rPr>
          <w:bCs/>
          <w:color w:val="002060"/>
          <w:sz w:val="16"/>
          <w:szCs w:val="16"/>
        </w:rPr>
      </w:pPr>
      <w:r w:rsidRPr="00405303">
        <w:rPr>
          <w:bCs/>
          <w:color w:val="002060"/>
          <w:sz w:val="16"/>
          <w:szCs w:val="16"/>
        </w:rPr>
        <w:t>Начальники секторов: В.А. Антонов, А.Д. Бомштейн, Н.С. Ерофеев, (-2000 г.)- А. Г. Крылов, И. Г. Крылов, (2007 г.)- В.В. Масленников, Ю.И. Пахомов.</w:t>
      </w:r>
    </w:p>
    <w:p w14:paraId="57BB097E" w14:textId="77777777" w:rsidR="004B4E35" w:rsidRPr="00405303" w:rsidRDefault="009E6F82" w:rsidP="00C15251">
      <w:pPr>
        <w:jc w:val="both"/>
        <w:rPr>
          <w:bCs/>
          <w:color w:val="002060"/>
          <w:sz w:val="16"/>
          <w:szCs w:val="16"/>
        </w:rPr>
      </w:pPr>
      <w:r w:rsidRPr="00405303">
        <w:rPr>
          <w:bCs/>
          <w:color w:val="002060"/>
          <w:sz w:val="16"/>
          <w:szCs w:val="16"/>
        </w:rPr>
        <w:t>Зам. начальника сектора: А.Б. Бляхман, В.В. Масленников.</w:t>
      </w:r>
    </w:p>
    <w:p w14:paraId="3D680868" w14:textId="6CAED43E" w:rsidR="004B4E35" w:rsidRPr="00405303" w:rsidRDefault="009E6F82" w:rsidP="00C15251">
      <w:pPr>
        <w:jc w:val="both"/>
        <w:rPr>
          <w:bCs/>
          <w:color w:val="002060"/>
          <w:sz w:val="16"/>
          <w:szCs w:val="16"/>
        </w:rPr>
      </w:pPr>
      <w:r w:rsidRPr="00405303">
        <w:rPr>
          <w:bCs/>
          <w:color w:val="002060"/>
          <w:sz w:val="16"/>
          <w:szCs w:val="16"/>
        </w:rPr>
        <w:t>Начальники лабораторий: (-1998 г.)- И.Ц. Гросман, Н.С. Ерофеев, А.В. Карпов, (1982 г.-)-</w:t>
      </w:r>
      <w:r w:rsidR="000F5756">
        <w:rPr>
          <w:bCs/>
          <w:color w:val="002060"/>
          <w:sz w:val="16"/>
          <w:szCs w:val="16"/>
        </w:rPr>
        <w:t xml:space="preserve"> </w:t>
      </w:r>
      <w:r w:rsidRPr="00405303">
        <w:rPr>
          <w:bCs/>
          <w:color w:val="002060"/>
          <w:sz w:val="16"/>
          <w:szCs w:val="16"/>
        </w:rPr>
        <w:t>Г.К. Киселев, (-1991 г.)- Н.С. Митрофанов, В.И. Овсянников, Н.И. Полежаев, Ю.Н. Соколов, А.М. Флаум.</w:t>
      </w:r>
    </w:p>
    <w:p w14:paraId="5B174B41" w14:textId="77777777" w:rsidR="004B4E35" w:rsidRPr="00405303" w:rsidRDefault="009E6F82" w:rsidP="00C15251">
      <w:pPr>
        <w:jc w:val="both"/>
        <w:rPr>
          <w:bCs/>
          <w:color w:val="002060"/>
          <w:sz w:val="16"/>
          <w:szCs w:val="16"/>
        </w:rPr>
      </w:pPr>
      <w:r w:rsidRPr="00405303">
        <w:rPr>
          <w:bCs/>
          <w:color w:val="002060"/>
          <w:sz w:val="16"/>
          <w:szCs w:val="16"/>
        </w:rPr>
        <w:t>Зам. начальника лаборатории: В.А. Антонов.</w:t>
      </w:r>
    </w:p>
    <w:p w14:paraId="27AEF5C6" w14:textId="77777777" w:rsidR="004B4E35" w:rsidRPr="00405303" w:rsidRDefault="009E6F82" w:rsidP="00C15251">
      <w:pPr>
        <w:jc w:val="both"/>
        <w:rPr>
          <w:bCs/>
          <w:color w:val="002060"/>
          <w:sz w:val="16"/>
          <w:szCs w:val="16"/>
        </w:rPr>
      </w:pPr>
      <w:r w:rsidRPr="00405303">
        <w:rPr>
          <w:bCs/>
          <w:color w:val="002060"/>
          <w:sz w:val="16"/>
          <w:szCs w:val="16"/>
        </w:rPr>
        <w:t>Научные руководители НИР: Ю.Н. Соколов («Ока»),</w:t>
      </w:r>
    </w:p>
    <w:p w14:paraId="7E177BC0" w14:textId="77777777" w:rsidR="004B4E35" w:rsidRPr="00405303" w:rsidRDefault="009E6F82" w:rsidP="00C15251">
      <w:pPr>
        <w:jc w:val="both"/>
        <w:rPr>
          <w:bCs/>
          <w:color w:val="002060"/>
          <w:sz w:val="16"/>
          <w:szCs w:val="16"/>
        </w:rPr>
      </w:pPr>
      <w:r w:rsidRPr="00405303">
        <w:rPr>
          <w:bCs/>
          <w:color w:val="002060"/>
          <w:sz w:val="16"/>
          <w:szCs w:val="16"/>
        </w:rPr>
        <w:t>Зам. научного руководителя НИР: И. Г. Крылов.</w:t>
      </w:r>
      <w:r w:rsidRPr="00405303">
        <w:rPr>
          <w:bCs/>
          <w:color w:val="002060"/>
          <w:sz w:val="16"/>
          <w:szCs w:val="16"/>
          <w:vertAlign w:val="superscript"/>
        </w:rPr>
        <w:t>130</w:t>
      </w:r>
    </w:p>
    <w:p w14:paraId="65F3783F" w14:textId="77777777" w:rsidR="004B4E35" w:rsidRPr="00405303" w:rsidRDefault="009E6F82" w:rsidP="00C15251">
      <w:pPr>
        <w:jc w:val="both"/>
        <w:rPr>
          <w:bCs/>
          <w:color w:val="002060"/>
          <w:sz w:val="16"/>
          <w:szCs w:val="16"/>
        </w:rPr>
      </w:pPr>
      <w:r w:rsidRPr="00405303">
        <w:rPr>
          <w:bCs/>
          <w:color w:val="002060"/>
          <w:sz w:val="16"/>
          <w:szCs w:val="16"/>
        </w:rPr>
        <w:lastRenderedPageBreak/>
        <w:t>Создано: радиостанции: «Орлан», связная РАС-УКВ «Чернослив», «Дыня», «Урюк», «Груша», «Альбатрос», «Витраж», «Привод», «Резерв», «Байкал» (1947-52); РЛС: П-ЗА (1948), П-8 (1950), П-10 (1953), П-12 (1955), П- 12М (1956), П-12МП (1959), П-12МА (1960), П-12НП (1965), П-14 «Лена» (пнв 16.06.1959 г.), П-14Ф (1966), П-18 (1970), П-70, 5Н84А (1974), 5Н69 (1975), 44Ж6 (1979), 55Ж6, 55Ж6У (1992), 1Л13 (1982), «Противник-ГЕ», трехкоординатная «Небо-У» (1995), мобильная 3-кординатная 59Н6 (1997), высокомобильная с активной ФАР 1Л119 «Небо-СВУ» (пнв в 2003 г.), 52Э6 (пнв в 2005 г.), 1Л13, 52Э6, 52Э6-МУ; автоматические РЖ: П-95 (1963), АРЛСК П-96 (1РЛ116, 1968), 5Н85, 36Ж6; бортовой комплекс контроля обстановки Э-801Е (1995) вертолета Ка- 31; система контроля за воздушной обстановкой «Барьер»;</w:t>
      </w:r>
      <w:r w:rsidRPr="00405303">
        <w:rPr>
          <w:bCs/>
          <w:color w:val="002060"/>
          <w:sz w:val="16"/>
          <w:szCs w:val="16"/>
          <w:vertAlign w:val="superscript"/>
        </w:rPr>
        <w:t>63</w:t>
      </w:r>
      <w:r w:rsidRPr="00405303">
        <w:rPr>
          <w:bCs/>
          <w:color w:val="002060"/>
          <w:sz w:val="16"/>
          <w:szCs w:val="16"/>
        </w:rPr>
        <w:t xml:space="preserve"> центр диагностики и ремонта РЛС «Момент-1М» (1989-).</w:t>
      </w:r>
    </w:p>
    <w:p w14:paraId="485900B2" w14:textId="77777777" w:rsidR="004B4E35" w:rsidRPr="00405303" w:rsidRDefault="009E6F82" w:rsidP="00C15251">
      <w:pPr>
        <w:jc w:val="both"/>
        <w:rPr>
          <w:bCs/>
          <w:color w:val="002060"/>
          <w:sz w:val="16"/>
          <w:szCs w:val="16"/>
        </w:rPr>
      </w:pPr>
      <w:r w:rsidRPr="00405303">
        <w:rPr>
          <w:bCs/>
          <w:color w:val="002060"/>
          <w:sz w:val="16"/>
          <w:szCs w:val="16"/>
        </w:rPr>
        <w:t>ПО «Радий»</w:t>
      </w:r>
    </w:p>
    <w:p w14:paraId="197C9784" w14:textId="77777777" w:rsidR="004B4E35" w:rsidRPr="00405303" w:rsidRDefault="009E6F82" w:rsidP="00C15251">
      <w:pPr>
        <w:jc w:val="both"/>
        <w:rPr>
          <w:bCs/>
          <w:color w:val="002060"/>
          <w:sz w:val="16"/>
          <w:szCs w:val="16"/>
        </w:rPr>
      </w:pPr>
      <w:r w:rsidRPr="00405303">
        <w:rPr>
          <w:bCs/>
          <w:color w:val="002060"/>
          <w:sz w:val="16"/>
          <w:szCs w:val="16"/>
        </w:rPr>
        <w:t>В составе ПО: ГТЗ, ГНИИРТ.</w:t>
      </w:r>
    </w:p>
    <w:p w14:paraId="5BCD572D" w14:textId="77777777" w:rsidR="004B4E35" w:rsidRPr="00405303" w:rsidRDefault="009E6F82" w:rsidP="00C15251">
      <w:pPr>
        <w:jc w:val="both"/>
        <w:rPr>
          <w:bCs/>
          <w:color w:val="002060"/>
          <w:sz w:val="16"/>
          <w:szCs w:val="16"/>
        </w:rPr>
      </w:pPr>
      <w:r w:rsidRPr="00405303">
        <w:rPr>
          <w:bCs/>
          <w:color w:val="002060"/>
          <w:sz w:val="16"/>
          <w:szCs w:val="16"/>
        </w:rPr>
        <w:t>Зам. ген. директора по научной работе (1981-94 г.)- В.А. Проскурин (11982).</w:t>
      </w:r>
    </w:p>
    <w:p w14:paraId="6F964A56" w14:textId="77777777" w:rsidR="004B4E35" w:rsidRPr="00405303" w:rsidRDefault="004B4E35" w:rsidP="00C15251">
      <w:pPr>
        <w:jc w:val="both"/>
        <w:rPr>
          <w:bCs/>
          <w:color w:val="002060"/>
          <w:sz w:val="16"/>
          <w:szCs w:val="16"/>
        </w:rPr>
      </w:pPr>
    </w:p>
    <w:p w14:paraId="73AEC225" w14:textId="77777777" w:rsidR="00CB317A" w:rsidRPr="00405303" w:rsidRDefault="00CB317A" w:rsidP="00C15251">
      <w:pPr>
        <w:jc w:val="both"/>
        <w:rPr>
          <w:bCs/>
          <w:i/>
          <w:color w:val="002060"/>
          <w:sz w:val="16"/>
          <w:szCs w:val="16"/>
        </w:rPr>
      </w:pPr>
      <w:r w:rsidRPr="00405303">
        <w:rPr>
          <w:bCs/>
          <w:i/>
          <w:color w:val="002060"/>
          <w:sz w:val="16"/>
          <w:szCs w:val="16"/>
        </w:rPr>
        <w:t>Жизнь и внутренняя политика:</w:t>
      </w:r>
    </w:p>
    <w:p w14:paraId="125AFDDB" w14:textId="77777777" w:rsidR="00CB317A" w:rsidRPr="00405303" w:rsidRDefault="00CB317A" w:rsidP="00C15251">
      <w:pPr>
        <w:jc w:val="both"/>
        <w:rPr>
          <w:bCs/>
          <w:i/>
          <w:color w:val="002060"/>
          <w:sz w:val="16"/>
          <w:szCs w:val="16"/>
        </w:rPr>
      </w:pPr>
    </w:p>
    <w:p w14:paraId="47C96A23" w14:textId="1D31A9EA" w:rsidR="00CB317A" w:rsidRPr="00405303" w:rsidRDefault="00CB317A" w:rsidP="00C15251">
      <w:pPr>
        <w:jc w:val="both"/>
        <w:rPr>
          <w:bCs/>
          <w:color w:val="002060"/>
          <w:sz w:val="16"/>
          <w:szCs w:val="16"/>
        </w:rPr>
      </w:pPr>
      <w:r w:rsidRPr="00405303">
        <w:rPr>
          <w:bCs/>
          <w:color w:val="002060"/>
          <w:sz w:val="16"/>
          <w:szCs w:val="16"/>
        </w:rPr>
        <w:t xml:space="preserve">1 </w:t>
      </w:r>
      <w:r w:rsidR="00F17DE0" w:rsidRPr="00405303">
        <w:rPr>
          <w:bCs/>
          <w:color w:val="002060"/>
          <w:sz w:val="16"/>
          <w:szCs w:val="16"/>
        </w:rPr>
        <w:t xml:space="preserve">(14) </w:t>
      </w:r>
      <w:r w:rsidRPr="00405303">
        <w:rPr>
          <w:bCs/>
          <w:color w:val="002060"/>
          <w:sz w:val="16"/>
          <w:szCs w:val="16"/>
        </w:rPr>
        <w:t>августа в 1915 году начал</w:t>
      </w:r>
      <w:r w:rsidR="00F17DE0" w:rsidRPr="00405303">
        <w:rPr>
          <w:bCs/>
          <w:color w:val="002060"/>
          <w:sz w:val="16"/>
          <w:szCs w:val="16"/>
        </w:rPr>
        <w:t>ась</w:t>
      </w:r>
      <w:r w:rsidRPr="00405303">
        <w:rPr>
          <w:bCs/>
          <w:color w:val="002060"/>
          <w:sz w:val="16"/>
          <w:szCs w:val="16"/>
        </w:rPr>
        <w:t xml:space="preserve"> очередн</w:t>
      </w:r>
      <w:r w:rsidR="00F17DE0" w:rsidRPr="00405303">
        <w:rPr>
          <w:bCs/>
          <w:color w:val="002060"/>
          <w:sz w:val="16"/>
          <w:szCs w:val="16"/>
        </w:rPr>
        <w:t>ая</w:t>
      </w:r>
      <w:r w:rsidRPr="00405303">
        <w:rPr>
          <w:bCs/>
          <w:color w:val="002060"/>
          <w:sz w:val="16"/>
          <w:szCs w:val="16"/>
        </w:rPr>
        <w:t xml:space="preserve"> сессии Думы, которая безуспешно требует формирования «министерства доверия» (14970).</w:t>
      </w:r>
    </w:p>
    <w:p w14:paraId="14F9A7AB" w14:textId="77777777" w:rsidR="00CB317A" w:rsidRPr="00405303" w:rsidRDefault="00CB317A" w:rsidP="00C15251">
      <w:pPr>
        <w:jc w:val="both"/>
        <w:rPr>
          <w:bCs/>
          <w:color w:val="002060"/>
          <w:sz w:val="16"/>
          <w:szCs w:val="16"/>
        </w:rPr>
      </w:pPr>
    </w:p>
    <w:p w14:paraId="261244E6" w14:textId="77777777" w:rsidR="00F17DE0" w:rsidRPr="00405303" w:rsidRDefault="00F17DE0" w:rsidP="00C15251">
      <w:pPr>
        <w:shd w:val="clear" w:color="auto" w:fill="FFFFFF"/>
        <w:jc w:val="both"/>
        <w:rPr>
          <w:bCs/>
          <w:i/>
          <w:color w:val="002060"/>
          <w:sz w:val="16"/>
          <w:szCs w:val="16"/>
        </w:rPr>
      </w:pPr>
      <w:r w:rsidRPr="00405303">
        <w:rPr>
          <w:bCs/>
          <w:i/>
          <w:color w:val="002060"/>
          <w:sz w:val="16"/>
          <w:szCs w:val="16"/>
        </w:rPr>
        <w:t>Авиация и воздухоплавание Англии:</w:t>
      </w:r>
    </w:p>
    <w:p w14:paraId="25EA0193" w14:textId="77777777" w:rsidR="00F17DE0" w:rsidRPr="00405303" w:rsidRDefault="00F17DE0" w:rsidP="00C15251">
      <w:pPr>
        <w:shd w:val="clear" w:color="auto" w:fill="FFFFFF"/>
        <w:jc w:val="both"/>
        <w:rPr>
          <w:bCs/>
          <w:i/>
          <w:color w:val="002060"/>
          <w:sz w:val="16"/>
          <w:szCs w:val="16"/>
        </w:rPr>
      </w:pPr>
    </w:p>
    <w:p w14:paraId="1D4B2BF6" w14:textId="430B94EA" w:rsidR="00F17DE0" w:rsidRPr="00405303" w:rsidRDefault="00F17DE0" w:rsidP="00C15251">
      <w:pPr>
        <w:jc w:val="both"/>
        <w:rPr>
          <w:bCs/>
          <w:color w:val="002060"/>
          <w:sz w:val="16"/>
          <w:szCs w:val="16"/>
        </w:rPr>
      </w:pPr>
      <w:r w:rsidRPr="00405303">
        <w:rPr>
          <w:bCs/>
          <w:color w:val="002060"/>
          <w:sz w:val="16"/>
          <w:szCs w:val="16"/>
        </w:rPr>
        <w:t xml:space="preserve">1 (14) августа 1915 состоялся первый полет </w:t>
      </w:r>
      <w:r w:rsidRPr="00405303">
        <w:rPr>
          <w:bCs/>
          <w:color w:val="002060"/>
          <w:sz w:val="16"/>
          <w:szCs w:val="16"/>
          <w:lang w:val="en-US"/>
        </w:rPr>
        <w:t>BE</w:t>
      </w:r>
      <w:r w:rsidRPr="00405303">
        <w:rPr>
          <w:bCs/>
          <w:color w:val="002060"/>
          <w:sz w:val="16"/>
          <w:szCs w:val="16"/>
        </w:rPr>
        <w:t>9 Королевского авиазавода (20338).</w:t>
      </w:r>
    </w:p>
    <w:p w14:paraId="67E241C0" w14:textId="77777777" w:rsidR="00F17DE0" w:rsidRPr="00405303" w:rsidRDefault="00F17DE0" w:rsidP="00C15251">
      <w:pPr>
        <w:jc w:val="both"/>
        <w:rPr>
          <w:bCs/>
          <w:color w:val="002060"/>
          <w:sz w:val="16"/>
          <w:szCs w:val="16"/>
        </w:rPr>
      </w:pPr>
    </w:p>
    <w:p w14:paraId="6E01443B" w14:textId="75FC9D1C" w:rsidR="00F17DE0" w:rsidRPr="00405303" w:rsidRDefault="00F17DE0" w:rsidP="00C15251">
      <w:pPr>
        <w:jc w:val="both"/>
        <w:rPr>
          <w:bCs/>
          <w:color w:val="002060"/>
          <w:sz w:val="16"/>
          <w:szCs w:val="16"/>
        </w:rPr>
      </w:pPr>
      <w:r w:rsidRPr="00405303">
        <w:rPr>
          <w:bCs/>
          <w:color w:val="002060"/>
          <w:sz w:val="16"/>
          <w:szCs w:val="16"/>
        </w:rPr>
        <w:t>1 (14) августа 1915</w:t>
      </w:r>
      <w:r w:rsidR="00DB4D64" w:rsidRPr="00405303">
        <w:rPr>
          <w:bCs/>
          <w:color w:val="002060"/>
          <w:sz w:val="16"/>
          <w:szCs w:val="16"/>
        </w:rPr>
        <w:t xml:space="preserve"> </w:t>
      </w:r>
      <w:r w:rsidRPr="00405303">
        <w:rPr>
          <w:bCs/>
          <w:color w:val="002060"/>
          <w:sz w:val="16"/>
          <w:szCs w:val="16"/>
        </w:rPr>
        <w:t>состоялся первый полёт разведывательного самолёта Royal Aircraft Factory B.E.9.</w:t>
      </w:r>
    </w:p>
    <w:p w14:paraId="41A37156" w14:textId="77777777" w:rsidR="00F17DE0" w:rsidRPr="00405303" w:rsidRDefault="00F17DE0" w:rsidP="00C15251">
      <w:pPr>
        <w:jc w:val="both"/>
        <w:rPr>
          <w:bCs/>
          <w:color w:val="002060"/>
          <w:sz w:val="16"/>
          <w:szCs w:val="16"/>
        </w:rPr>
      </w:pPr>
      <w:r w:rsidRPr="00405303">
        <w:rPr>
          <w:bCs/>
          <w:color w:val="002060"/>
          <w:sz w:val="16"/>
          <w:szCs w:val="16"/>
        </w:rPr>
        <w:t>При его разработке конструкторы применили необычные решения для обеспечения хорошего угла обстрела для наблюдателя-стрелка, характерные для самолётов с толкающим воздушным винтом, и для получения высоких характеристик, как у самолётов с тянущими воздушными винтами.</w:t>
      </w:r>
    </w:p>
    <w:p w14:paraId="363FCB48" w14:textId="77777777" w:rsidR="00F17DE0" w:rsidRPr="00405303" w:rsidRDefault="00F17DE0" w:rsidP="00C15251">
      <w:pPr>
        <w:jc w:val="both"/>
        <w:rPr>
          <w:bCs/>
          <w:color w:val="002060"/>
          <w:sz w:val="16"/>
          <w:szCs w:val="16"/>
        </w:rPr>
      </w:pPr>
      <w:r w:rsidRPr="00405303">
        <w:rPr>
          <w:bCs/>
          <w:color w:val="002060"/>
          <w:sz w:val="16"/>
          <w:szCs w:val="16"/>
          <w:shd w:val="clear" w:color="auto" w:fill="FFFFFF"/>
        </w:rPr>
        <w:t xml:space="preserve">Самолёт B.E.2c (серийный номер 1700) был модифицирован в вариант, отличавшийся тем, что на месте обычной кабины наблюдателя был установлен стандартный для семейства B.E.2 двигатель воздушного охлаждения RAF 1a.Перед воздушным винтом располагалась небольшая, выполненная из дерева выгородка для наблюдателя, в распоряжении которого имелся наводимый пулемёт Lewis. Данную выгородку прозвали "pulpit". Прототип прошёл оценочные испытания в трёх эскадрильях Королевского лётного корпуса, результаты которых оказались </w:t>
      </w:r>
      <w:proofErr w:type="gramStart"/>
      <w:r w:rsidRPr="00405303">
        <w:rPr>
          <w:bCs/>
          <w:color w:val="002060"/>
          <w:sz w:val="16"/>
          <w:szCs w:val="16"/>
          <w:shd w:val="clear" w:color="auto" w:fill="FFFFFF"/>
        </w:rPr>
        <w:t>негативными.Проект</w:t>
      </w:r>
      <w:proofErr w:type="gramEnd"/>
      <w:r w:rsidRPr="00405303">
        <w:rPr>
          <w:bCs/>
          <w:color w:val="002060"/>
          <w:sz w:val="16"/>
          <w:szCs w:val="16"/>
          <w:shd w:val="clear" w:color="auto" w:fill="FFFFFF"/>
        </w:rPr>
        <w:t xml:space="preserve"> закрыли.</w:t>
      </w:r>
      <w:r w:rsidRPr="00405303">
        <w:rPr>
          <w:bCs/>
          <w:color w:val="002060"/>
          <w:sz w:val="16"/>
          <w:szCs w:val="16"/>
        </w:rPr>
        <w:t xml:space="preserve"> (22399).</w:t>
      </w:r>
    </w:p>
    <w:p w14:paraId="4866573B" w14:textId="77777777" w:rsidR="00F17DE0" w:rsidRPr="00405303" w:rsidRDefault="00F17DE0" w:rsidP="00C15251">
      <w:pPr>
        <w:jc w:val="both"/>
        <w:rPr>
          <w:bCs/>
          <w:color w:val="002060"/>
          <w:sz w:val="16"/>
          <w:szCs w:val="16"/>
        </w:rPr>
      </w:pPr>
    </w:p>
    <w:p w14:paraId="417CA97F" w14:textId="77777777" w:rsidR="00F17DE0" w:rsidRPr="00405303" w:rsidRDefault="00F17DE0" w:rsidP="00C15251">
      <w:pPr>
        <w:jc w:val="both"/>
        <w:rPr>
          <w:bCs/>
          <w:i/>
          <w:color w:val="002060"/>
          <w:sz w:val="16"/>
          <w:szCs w:val="16"/>
        </w:rPr>
      </w:pPr>
      <w:r w:rsidRPr="00405303">
        <w:rPr>
          <w:bCs/>
          <w:i/>
          <w:color w:val="002060"/>
          <w:sz w:val="16"/>
          <w:szCs w:val="16"/>
        </w:rPr>
        <w:t>Армия:</w:t>
      </w:r>
    </w:p>
    <w:p w14:paraId="667F4853" w14:textId="77777777" w:rsidR="00F17DE0" w:rsidRPr="00405303" w:rsidRDefault="00F17DE0" w:rsidP="00C15251">
      <w:pPr>
        <w:jc w:val="both"/>
        <w:rPr>
          <w:bCs/>
          <w:i/>
          <w:color w:val="002060"/>
          <w:sz w:val="16"/>
          <w:szCs w:val="16"/>
        </w:rPr>
      </w:pPr>
    </w:p>
    <w:p w14:paraId="3C06742A" w14:textId="77777777" w:rsidR="00F17DE0" w:rsidRPr="00405303" w:rsidRDefault="00F17DE0" w:rsidP="00C15251">
      <w:pPr>
        <w:jc w:val="both"/>
        <w:rPr>
          <w:bCs/>
          <w:color w:val="002060"/>
          <w:sz w:val="16"/>
          <w:szCs w:val="16"/>
        </w:rPr>
      </w:pPr>
      <w:r w:rsidRPr="00405303">
        <w:rPr>
          <w:bCs/>
          <w:color w:val="002060"/>
          <w:sz w:val="16"/>
          <w:szCs w:val="16"/>
        </w:rPr>
        <w:t>2 (15) августа в 1915 году завершилась эвакуации русских войск из Варшавы (14971).</w:t>
      </w:r>
    </w:p>
    <w:p w14:paraId="5EA34B31" w14:textId="77777777" w:rsidR="00F17DE0" w:rsidRPr="00405303" w:rsidRDefault="00F17DE0" w:rsidP="00C15251">
      <w:pPr>
        <w:jc w:val="both"/>
        <w:rPr>
          <w:bCs/>
          <w:color w:val="002060"/>
          <w:sz w:val="16"/>
          <w:szCs w:val="16"/>
        </w:rPr>
      </w:pPr>
    </w:p>
    <w:p w14:paraId="6BEA8590" w14:textId="2BED1D88" w:rsidR="00D866D7" w:rsidRPr="00405303" w:rsidRDefault="00D866D7" w:rsidP="00C15251">
      <w:pPr>
        <w:shd w:val="clear" w:color="auto" w:fill="FFFFFF"/>
        <w:jc w:val="both"/>
        <w:rPr>
          <w:bCs/>
          <w:i/>
          <w:color w:val="002060"/>
          <w:sz w:val="16"/>
          <w:szCs w:val="16"/>
        </w:rPr>
      </w:pPr>
      <w:r w:rsidRPr="00405303">
        <w:rPr>
          <w:bCs/>
          <w:i/>
          <w:color w:val="002060"/>
          <w:sz w:val="16"/>
          <w:szCs w:val="16"/>
        </w:rPr>
        <w:t>Авиация:</w:t>
      </w:r>
    </w:p>
    <w:p w14:paraId="3246B2C6" w14:textId="77777777" w:rsidR="00D866D7" w:rsidRPr="00405303" w:rsidRDefault="00D866D7" w:rsidP="00C15251">
      <w:pPr>
        <w:shd w:val="clear" w:color="auto" w:fill="FFFFFF"/>
        <w:jc w:val="both"/>
        <w:rPr>
          <w:bCs/>
          <w:i/>
          <w:color w:val="002060"/>
          <w:sz w:val="16"/>
          <w:szCs w:val="16"/>
        </w:rPr>
      </w:pPr>
    </w:p>
    <w:p w14:paraId="5D452667" w14:textId="77777777" w:rsidR="00D866D7" w:rsidRPr="00405303" w:rsidRDefault="00D866D7" w:rsidP="00C15251">
      <w:pPr>
        <w:jc w:val="both"/>
        <w:rPr>
          <w:bCs/>
          <w:color w:val="002060"/>
          <w:sz w:val="16"/>
          <w:szCs w:val="16"/>
        </w:rPr>
      </w:pPr>
      <w:bookmarkStart w:id="210" w:name="bookmark225"/>
      <w:bookmarkStart w:id="211" w:name="bookmark226"/>
      <w:r w:rsidRPr="00405303">
        <w:rPr>
          <w:bCs/>
          <w:color w:val="002060"/>
          <w:sz w:val="16"/>
          <w:szCs w:val="16"/>
        </w:rPr>
        <w:t xml:space="preserve">2 августа 1915 г., в день авиации (День Ильи Пророка) ИМ-2 прибыл в ЭВК. Это воздушное судно было оснащено двигателями, произведенными на Русско-Балтийском автомобильном заводе в Риге. Авиадвигатели Р-БВЗ, сконструированные инженером </w:t>
      </w:r>
      <w:proofErr w:type="gramStart"/>
      <w:r w:rsidRPr="00405303">
        <w:rPr>
          <w:bCs/>
          <w:color w:val="002060"/>
          <w:sz w:val="16"/>
          <w:szCs w:val="16"/>
        </w:rPr>
        <w:t>Киреевым</w:t>
      </w:r>
      <w:proofErr w:type="gramEnd"/>
      <w:r w:rsidRPr="00405303">
        <w:rPr>
          <w:bCs/>
          <w:color w:val="002060"/>
          <w:sz w:val="16"/>
          <w:szCs w:val="16"/>
        </w:rPr>
        <w:t xml:space="preserve"> были на самом деле автомобильного типа. Это был шестицилиндровый двухтактный двигатель водяного охлаждения с радиаторами по бокам. После установки этих русских двигателей на ИМ-2, оказалось, что эти двигатели лучше Сальмсона и Сабима как оп качеству, так и по характеристикам. Эти русские двигатели были не только сравнимы с немецкими Аргусами, но и по некоторым показателям превосходили их. Воздушное судно с грузом 820 кг во время первого полета достигло высоты 3450 метров.</w:t>
      </w:r>
    </w:p>
    <w:p w14:paraId="40DF1A67" w14:textId="77777777" w:rsidR="00D866D7" w:rsidRPr="00405303" w:rsidRDefault="00D866D7" w:rsidP="00C15251">
      <w:pPr>
        <w:jc w:val="both"/>
        <w:rPr>
          <w:bCs/>
          <w:color w:val="002060"/>
          <w:sz w:val="16"/>
          <w:szCs w:val="16"/>
        </w:rPr>
      </w:pPr>
      <w:r w:rsidRPr="00405303">
        <w:rPr>
          <w:bCs/>
          <w:color w:val="002060"/>
          <w:sz w:val="16"/>
          <w:szCs w:val="16"/>
        </w:rPr>
        <w:t>ИМ-2 прошел несколько испытаний, неся огромную 400-кг бомбу. Ни один Муромец никогда не нес такую бомбовую нагрузку. Эта гигантская бомба, почти двухметровой высоты, могла стать главным оружием эскадры. Когда такая бомба падала на землю, она образовывала воронку три метра диаметром. Опытная бомба была наполнена песком, но можно себе представить размеры воронки, которую эта бомба могла сделать, если бы она была бы загружена 300 кг тринитротолуола (23470).</w:t>
      </w:r>
    </w:p>
    <w:p w14:paraId="4A04CB37" w14:textId="77777777" w:rsidR="00D866D7" w:rsidRPr="00405303" w:rsidRDefault="00D866D7" w:rsidP="00C15251">
      <w:pPr>
        <w:jc w:val="both"/>
        <w:rPr>
          <w:bCs/>
          <w:color w:val="002060"/>
          <w:sz w:val="16"/>
          <w:szCs w:val="16"/>
        </w:rPr>
      </w:pPr>
    </w:p>
    <w:p w14:paraId="34F4E91A" w14:textId="77777777" w:rsidR="00D866D7" w:rsidRPr="00405303" w:rsidRDefault="00D866D7" w:rsidP="00C15251">
      <w:pPr>
        <w:jc w:val="both"/>
        <w:rPr>
          <w:bCs/>
          <w:color w:val="002060"/>
          <w:sz w:val="16"/>
          <w:szCs w:val="16"/>
        </w:rPr>
      </w:pPr>
      <w:r w:rsidRPr="00405303">
        <w:rPr>
          <w:bCs/>
          <w:color w:val="002060"/>
          <w:sz w:val="16"/>
          <w:szCs w:val="16"/>
        </w:rPr>
        <w:t>2 августа 1915 г. утром со стороны Люблинского шоссе появились два немецких летательного аппарата и начали проводить бомбардировку передовых позиций русских частей. Метким огнем батарей оба самолета скоро были подбиты и спустились у наших окопов. Летчики взяты в плен, один из самолетов позднее был отправлен в Киев. В тот же день в районе Балтийского моря наши гидроаэропланы атаковали и «принудили к отступлению неприятельские цеппелин и два гидроаэроплана, из коих один был сбит» (23405).</w:t>
      </w:r>
      <w:bookmarkEnd w:id="210"/>
      <w:bookmarkEnd w:id="211"/>
    </w:p>
    <w:p w14:paraId="680CAA34" w14:textId="77777777" w:rsidR="00111B81" w:rsidRPr="00405303" w:rsidRDefault="00111B81" w:rsidP="00C15251">
      <w:pPr>
        <w:jc w:val="both"/>
        <w:rPr>
          <w:bCs/>
          <w:color w:val="002060"/>
          <w:sz w:val="16"/>
          <w:szCs w:val="16"/>
        </w:rPr>
      </w:pPr>
    </w:p>
    <w:p w14:paraId="2E2BDB29" w14:textId="77777777" w:rsidR="00111B81" w:rsidRPr="00405303" w:rsidRDefault="00111B81" w:rsidP="00111B81">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2 (15) августа 1915 г. утром четыре германских самолета сбросили на город Брест-Литовск 10 бомб. Вечером того же дня над Брест-Литовском «снова реял неприятельский аэроплан, но бомб не сбрасывал» (25135).</w:t>
      </w:r>
    </w:p>
    <w:p w14:paraId="6383790D" w14:textId="77777777" w:rsidR="00111B81" w:rsidRPr="00405303" w:rsidRDefault="00111B81" w:rsidP="00111B81">
      <w:pPr>
        <w:jc w:val="both"/>
        <w:rPr>
          <w:rStyle w:val="aa"/>
          <w:rFonts w:ascii="Times New Roman" w:hAnsi="Times New Roman"/>
          <w:color w:val="0070C0"/>
          <w:spacing w:val="0"/>
          <w:sz w:val="16"/>
          <w:szCs w:val="16"/>
        </w:rPr>
      </w:pPr>
    </w:p>
    <w:p w14:paraId="48A214A0" w14:textId="1F12E0CC"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за рубежом:</w:t>
      </w:r>
    </w:p>
    <w:p w14:paraId="0CFE1F3C" w14:textId="77777777" w:rsidR="004B4E35" w:rsidRPr="00405303" w:rsidRDefault="004B4E35" w:rsidP="00C15251">
      <w:pPr>
        <w:shd w:val="clear" w:color="auto" w:fill="FFFFFF"/>
        <w:jc w:val="both"/>
        <w:rPr>
          <w:bCs/>
          <w:i/>
          <w:color w:val="002060"/>
          <w:sz w:val="16"/>
          <w:szCs w:val="16"/>
        </w:rPr>
      </w:pPr>
    </w:p>
    <w:p w14:paraId="503CFED2" w14:textId="675B2947" w:rsidR="00F17DE0" w:rsidRPr="00405303" w:rsidRDefault="00234C51" w:rsidP="00C15251">
      <w:pPr>
        <w:pStyle w:val="a5"/>
        <w:rPr>
          <w:bCs/>
          <w:color w:val="002060"/>
          <w:sz w:val="16"/>
          <w:szCs w:val="16"/>
          <w:lang w:val="ru-RU"/>
        </w:rPr>
      </w:pPr>
      <w:r w:rsidRPr="00405303">
        <w:rPr>
          <w:bCs/>
          <w:color w:val="002060"/>
          <w:sz w:val="16"/>
          <w:szCs w:val="16"/>
          <w:lang w:val="ru-RU"/>
        </w:rPr>
        <w:t xml:space="preserve">2 </w:t>
      </w:r>
      <w:r w:rsidR="00F17DE0" w:rsidRPr="00405303">
        <w:rPr>
          <w:bCs/>
          <w:color w:val="002060"/>
          <w:sz w:val="16"/>
          <w:szCs w:val="16"/>
          <w:lang w:val="ru-RU"/>
        </w:rPr>
        <w:t xml:space="preserve">(15) </w:t>
      </w:r>
      <w:r w:rsidRPr="00405303">
        <w:rPr>
          <w:bCs/>
          <w:color w:val="002060"/>
          <w:sz w:val="16"/>
          <w:szCs w:val="16"/>
          <w:lang w:val="ru-RU"/>
        </w:rPr>
        <w:t>августа 1915 г. сербы выполнили первый полет на бомбометание. Экипаж сбросил не</w:t>
      </w:r>
      <w:r w:rsidRPr="00405303">
        <w:rPr>
          <w:bCs/>
          <w:color w:val="002060"/>
          <w:sz w:val="16"/>
          <w:szCs w:val="16"/>
          <w:lang w:val="ru-RU"/>
        </w:rPr>
        <w:softHyphen/>
        <w:t>большие бомбы и стрелы на колон</w:t>
      </w:r>
      <w:r w:rsidRPr="00405303">
        <w:rPr>
          <w:bCs/>
          <w:color w:val="002060"/>
          <w:sz w:val="16"/>
          <w:szCs w:val="16"/>
          <w:lang w:val="ru-RU"/>
        </w:rPr>
        <w:softHyphen/>
        <w:t>ну неприятельских войск</w:t>
      </w:r>
      <w:r w:rsidR="00F17DE0" w:rsidRPr="00405303">
        <w:rPr>
          <w:bCs/>
          <w:color w:val="002060"/>
          <w:sz w:val="16"/>
          <w:szCs w:val="16"/>
          <w:lang w:val="ru-RU"/>
        </w:rPr>
        <w:t xml:space="preserve"> (12104)</w:t>
      </w:r>
      <w:r w:rsidRPr="00405303">
        <w:rPr>
          <w:bCs/>
          <w:color w:val="002060"/>
          <w:sz w:val="16"/>
          <w:szCs w:val="16"/>
          <w:lang w:val="ru-RU"/>
        </w:rPr>
        <w:t>.</w:t>
      </w:r>
    </w:p>
    <w:p w14:paraId="3C83B772" w14:textId="77777777" w:rsidR="00F17DE0" w:rsidRPr="00405303" w:rsidRDefault="00F17DE0" w:rsidP="00C15251">
      <w:pPr>
        <w:pStyle w:val="a5"/>
        <w:rPr>
          <w:bCs/>
          <w:color w:val="002060"/>
          <w:sz w:val="16"/>
          <w:szCs w:val="16"/>
          <w:lang w:val="ru-RU"/>
        </w:rPr>
      </w:pPr>
    </w:p>
    <w:p w14:paraId="2E5C0F18" w14:textId="0D9AE975" w:rsidR="00234C51" w:rsidRPr="00405303" w:rsidRDefault="00234C51" w:rsidP="00C15251">
      <w:pPr>
        <w:pStyle w:val="a5"/>
        <w:rPr>
          <w:bCs/>
          <w:color w:val="002060"/>
          <w:sz w:val="16"/>
          <w:szCs w:val="16"/>
          <w:lang w:val="ru-RU"/>
        </w:rPr>
      </w:pPr>
      <w:r w:rsidRPr="00405303">
        <w:rPr>
          <w:bCs/>
          <w:color w:val="002060"/>
          <w:sz w:val="16"/>
          <w:szCs w:val="16"/>
          <w:lang w:val="ru-RU"/>
        </w:rPr>
        <w:t xml:space="preserve">2 (15) августа 1915 г. </w:t>
      </w:r>
      <w:r w:rsidR="00F17DE0" w:rsidRPr="00405303">
        <w:rPr>
          <w:bCs/>
          <w:color w:val="002060"/>
          <w:sz w:val="16"/>
          <w:szCs w:val="16"/>
          <w:lang w:val="ru-RU"/>
        </w:rPr>
        <w:t xml:space="preserve">батарея ПВО Сербии </w:t>
      </w:r>
      <w:r w:rsidRPr="00405303">
        <w:rPr>
          <w:bCs/>
          <w:color w:val="002060"/>
          <w:sz w:val="16"/>
          <w:szCs w:val="16"/>
          <w:lang w:val="ru-RU"/>
        </w:rPr>
        <w:t>сби</w:t>
      </w:r>
      <w:r w:rsidR="00F17DE0" w:rsidRPr="00405303">
        <w:rPr>
          <w:bCs/>
          <w:color w:val="002060"/>
          <w:sz w:val="16"/>
          <w:szCs w:val="16"/>
          <w:lang w:val="ru-RU"/>
        </w:rPr>
        <w:t>ла</w:t>
      </w:r>
      <w:r w:rsidRPr="00405303">
        <w:rPr>
          <w:bCs/>
          <w:color w:val="002060"/>
          <w:sz w:val="16"/>
          <w:szCs w:val="16"/>
          <w:lang w:val="ru-RU"/>
        </w:rPr>
        <w:t xml:space="preserve"> австро-венгерский аэроплан; до конца войны батарея сбил еще два неприятельских са</w:t>
      </w:r>
      <w:r w:rsidRPr="00405303">
        <w:rPr>
          <w:bCs/>
          <w:color w:val="002060"/>
          <w:sz w:val="16"/>
          <w:szCs w:val="16"/>
          <w:lang w:val="ru-RU"/>
        </w:rPr>
        <w:softHyphen/>
        <w:t xml:space="preserve">молета. </w:t>
      </w:r>
      <w:r w:rsidR="00F17DE0" w:rsidRPr="00405303">
        <w:rPr>
          <w:bCs/>
          <w:color w:val="002060"/>
          <w:sz w:val="16"/>
          <w:szCs w:val="16"/>
          <w:lang w:val="ru-RU"/>
        </w:rPr>
        <w:t>Из России в Сербию поступили два воздушных шара по</w:t>
      </w:r>
      <w:r w:rsidR="00F17DE0" w:rsidRPr="00405303">
        <w:rPr>
          <w:bCs/>
          <w:color w:val="002060"/>
          <w:sz w:val="16"/>
          <w:szCs w:val="16"/>
          <w:lang w:val="ru-RU"/>
        </w:rPr>
        <w:softHyphen/>
        <w:t xml:space="preserve">стройки фирмы «Треугольник» и семь артиллерийских батарей, включая одну зенитную с пушками калибра 76 мм. </w:t>
      </w:r>
      <w:r w:rsidRPr="00405303">
        <w:rPr>
          <w:bCs/>
          <w:color w:val="002060"/>
          <w:sz w:val="16"/>
          <w:szCs w:val="16"/>
          <w:lang w:val="ru-RU"/>
        </w:rPr>
        <w:t>В это же время для стрель</w:t>
      </w:r>
      <w:r w:rsidRPr="00405303">
        <w:rPr>
          <w:bCs/>
          <w:color w:val="002060"/>
          <w:sz w:val="16"/>
          <w:szCs w:val="16"/>
          <w:lang w:val="ru-RU"/>
        </w:rPr>
        <w:softHyphen/>
        <w:t>бы по воздушным целям адаптиро</w:t>
      </w:r>
      <w:r w:rsidRPr="00405303">
        <w:rPr>
          <w:bCs/>
          <w:color w:val="002060"/>
          <w:sz w:val="16"/>
          <w:szCs w:val="16"/>
          <w:lang w:val="ru-RU"/>
        </w:rPr>
        <w:softHyphen/>
        <w:t>вали несколько полевых орудий. Из- за драматичного ухудшения ситуа</w:t>
      </w:r>
      <w:r w:rsidRPr="00405303">
        <w:rPr>
          <w:bCs/>
          <w:color w:val="002060"/>
          <w:sz w:val="16"/>
          <w:szCs w:val="16"/>
          <w:lang w:val="ru-RU"/>
        </w:rPr>
        <w:softHyphen/>
        <w:t>ции на Балканском театре военных действий в конце 1915 г., король принял решение высести войска с территории Сербии. Тогда был уничтожен и первый воздушный шар «Србиа» После вывода сербской армии через Черногорию и Алба</w:t>
      </w:r>
      <w:r w:rsidRPr="00405303">
        <w:rPr>
          <w:bCs/>
          <w:color w:val="002060"/>
          <w:sz w:val="16"/>
          <w:szCs w:val="16"/>
          <w:lang w:val="ru-RU"/>
        </w:rPr>
        <w:softHyphen/>
        <w:t>нию в Грецию на состров Корфу, там была сформирована новая авиационная эскадрилья (12104).</w:t>
      </w:r>
    </w:p>
    <w:p w14:paraId="1CBBDB25" w14:textId="77777777" w:rsidR="00234C51" w:rsidRPr="00405303" w:rsidRDefault="00234C51" w:rsidP="00C15251">
      <w:pPr>
        <w:pStyle w:val="a5"/>
        <w:rPr>
          <w:bCs/>
          <w:color w:val="002060"/>
          <w:sz w:val="16"/>
          <w:szCs w:val="16"/>
          <w:lang w:val="ru-RU"/>
        </w:rPr>
      </w:pPr>
    </w:p>
    <w:p w14:paraId="57691FC7" w14:textId="77777777" w:rsidR="00ED6C9F" w:rsidRPr="00405303" w:rsidRDefault="00ED6C9F"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76F50250" w14:textId="77777777" w:rsidR="00ED6C9F" w:rsidRPr="00405303" w:rsidRDefault="00ED6C9F" w:rsidP="00C15251">
      <w:pPr>
        <w:shd w:val="clear" w:color="auto" w:fill="FFFFFF"/>
        <w:jc w:val="both"/>
        <w:rPr>
          <w:bCs/>
          <w:i/>
          <w:color w:val="002060"/>
          <w:sz w:val="16"/>
          <w:szCs w:val="16"/>
        </w:rPr>
      </w:pPr>
    </w:p>
    <w:p w14:paraId="70C912A8" w14:textId="21E9AAFF" w:rsidR="00ED6C9F" w:rsidRPr="00405303" w:rsidRDefault="00ED6C9F" w:rsidP="00C15251">
      <w:pPr>
        <w:pStyle w:val="ae"/>
        <w:spacing w:before="0" w:beforeAutospacing="0" w:after="0" w:afterAutospacing="0"/>
        <w:jc w:val="both"/>
        <w:rPr>
          <w:bCs/>
          <w:color w:val="002060"/>
          <w:sz w:val="16"/>
          <w:szCs w:val="16"/>
        </w:rPr>
      </w:pPr>
      <w:r w:rsidRPr="00405303">
        <w:rPr>
          <w:bCs/>
          <w:color w:val="002060"/>
          <w:sz w:val="16"/>
          <w:szCs w:val="16"/>
        </w:rPr>
        <w:t>3 (16) августа 1915 г. состоялся приказ об образовании при ГАУ специальной комиссии по заготовлению удушающих средств под председательством начальника Центральной научно-технической лаборатории военного ведомства и пяти членов военных инженеров, получивших высшее образование в артиллерийской академии. Военный министр генерал от инфантерии</w:t>
      </w:r>
      <w:r w:rsidR="00DB4D64" w:rsidRPr="00405303">
        <w:rPr>
          <w:bCs/>
          <w:color w:val="002060"/>
          <w:sz w:val="16"/>
          <w:szCs w:val="16"/>
        </w:rPr>
        <w:t xml:space="preserve"> </w:t>
      </w:r>
      <w:hyperlink r:id="rId53" w:history="1">
        <w:r w:rsidRPr="00405303">
          <w:rPr>
            <w:rStyle w:val="ad"/>
            <w:bCs/>
            <w:color w:val="002060"/>
            <w:sz w:val="16"/>
            <w:szCs w:val="16"/>
          </w:rPr>
          <w:t>А. А. Поливанов</w:t>
        </w:r>
      </w:hyperlink>
      <w:r w:rsidR="00DB4D64" w:rsidRPr="00405303">
        <w:rPr>
          <w:bCs/>
          <w:color w:val="002060"/>
          <w:sz w:val="16"/>
          <w:szCs w:val="16"/>
        </w:rPr>
        <w:t xml:space="preserve"> </w:t>
      </w:r>
      <w:r w:rsidRPr="00405303">
        <w:rPr>
          <w:bCs/>
          <w:color w:val="002060"/>
          <w:sz w:val="16"/>
          <w:szCs w:val="16"/>
        </w:rPr>
        <w:t>(1855-1920), сменивший в июне Сухомлинова, сообщил главковерху, что ГАУ работает по части получения удушливых газов с полным напряжением и что к началу августа будет доставлен на театр военных действий первый запас приспособлений для газов (20246).</w:t>
      </w:r>
    </w:p>
    <w:p w14:paraId="6CDDA865" w14:textId="77777777" w:rsidR="00ED6C9F" w:rsidRPr="00405303" w:rsidRDefault="00ED6C9F" w:rsidP="00C15251">
      <w:pPr>
        <w:shd w:val="clear" w:color="auto" w:fill="FFFFFF"/>
        <w:jc w:val="both"/>
        <w:rPr>
          <w:bCs/>
          <w:color w:val="002060"/>
          <w:sz w:val="16"/>
          <w:szCs w:val="16"/>
        </w:rPr>
      </w:pPr>
    </w:p>
    <w:p w14:paraId="571CFE2D" w14:textId="77777777" w:rsidR="009C3345" w:rsidRPr="00405303" w:rsidRDefault="009C3345" w:rsidP="00C15251">
      <w:pPr>
        <w:jc w:val="both"/>
        <w:rPr>
          <w:bCs/>
          <w:i/>
          <w:color w:val="002060"/>
          <w:sz w:val="16"/>
          <w:szCs w:val="16"/>
        </w:rPr>
      </w:pPr>
      <w:r w:rsidRPr="00405303">
        <w:rPr>
          <w:bCs/>
          <w:i/>
          <w:color w:val="002060"/>
          <w:sz w:val="16"/>
          <w:szCs w:val="16"/>
        </w:rPr>
        <w:t>Армия:</w:t>
      </w:r>
    </w:p>
    <w:p w14:paraId="0E4FEE3A" w14:textId="77777777" w:rsidR="009C3345" w:rsidRPr="00405303" w:rsidRDefault="009C3345" w:rsidP="00C15251">
      <w:pPr>
        <w:jc w:val="both"/>
        <w:rPr>
          <w:bCs/>
          <w:i/>
          <w:color w:val="002060"/>
          <w:sz w:val="16"/>
          <w:szCs w:val="16"/>
        </w:rPr>
      </w:pPr>
    </w:p>
    <w:p w14:paraId="2B72CD6F" w14:textId="57624E87" w:rsidR="009C3345" w:rsidRPr="00405303" w:rsidRDefault="009C3345" w:rsidP="00C15251">
      <w:pPr>
        <w:jc w:val="both"/>
        <w:rPr>
          <w:bCs/>
          <w:color w:val="002060"/>
          <w:sz w:val="16"/>
          <w:szCs w:val="16"/>
        </w:rPr>
      </w:pPr>
      <w:r w:rsidRPr="00405303">
        <w:rPr>
          <w:bCs/>
          <w:color w:val="002060"/>
          <w:sz w:val="16"/>
          <w:szCs w:val="16"/>
        </w:rPr>
        <w:t xml:space="preserve">3 </w:t>
      </w:r>
      <w:r w:rsidR="00F17DE0" w:rsidRPr="00405303">
        <w:rPr>
          <w:bCs/>
          <w:color w:val="002060"/>
          <w:sz w:val="16"/>
          <w:szCs w:val="16"/>
        </w:rPr>
        <w:t xml:space="preserve">(16) </w:t>
      </w:r>
      <w:r w:rsidRPr="00405303">
        <w:rPr>
          <w:bCs/>
          <w:color w:val="002060"/>
          <w:sz w:val="16"/>
          <w:szCs w:val="16"/>
        </w:rPr>
        <w:t>августа в 1915 году австрийские войска захватывают Владимир-Волынский (ныне Украина) (14972).</w:t>
      </w:r>
    </w:p>
    <w:p w14:paraId="6E3FF529" w14:textId="77777777" w:rsidR="009C3345" w:rsidRPr="00405303" w:rsidRDefault="009C3345" w:rsidP="00C15251">
      <w:pPr>
        <w:jc w:val="both"/>
        <w:rPr>
          <w:bCs/>
          <w:color w:val="002060"/>
          <w:sz w:val="16"/>
          <w:szCs w:val="16"/>
        </w:rPr>
      </w:pPr>
    </w:p>
    <w:p w14:paraId="098A9450" w14:textId="574341B3" w:rsidR="00244ED3" w:rsidRPr="00405303" w:rsidRDefault="00244ED3" w:rsidP="00C15251">
      <w:pPr>
        <w:jc w:val="both"/>
        <w:rPr>
          <w:bCs/>
          <w:color w:val="002060"/>
          <w:sz w:val="16"/>
          <w:szCs w:val="16"/>
        </w:rPr>
      </w:pPr>
      <w:r w:rsidRPr="00405303">
        <w:rPr>
          <w:bCs/>
          <w:color w:val="002060"/>
          <w:sz w:val="16"/>
          <w:szCs w:val="16"/>
          <w:lang w:bidi="en-US"/>
        </w:rPr>
        <w:lastRenderedPageBreak/>
        <w:t>3 (16) августа 1915 г. русские были вынуждены покинуть Вильно, Ковно и Белосток (23525).</w:t>
      </w:r>
    </w:p>
    <w:p w14:paraId="24686A0D" w14:textId="77777777" w:rsidR="00244ED3" w:rsidRPr="00405303" w:rsidRDefault="00244ED3" w:rsidP="00C15251">
      <w:pPr>
        <w:jc w:val="both"/>
        <w:rPr>
          <w:bCs/>
          <w:color w:val="002060"/>
          <w:sz w:val="16"/>
          <w:szCs w:val="16"/>
          <w:lang w:bidi="en-US"/>
        </w:rPr>
      </w:pPr>
    </w:p>
    <w:p w14:paraId="37986785" w14:textId="01D9656B" w:rsidR="00D866D7" w:rsidRPr="00405303" w:rsidRDefault="00D866D7" w:rsidP="00C15251">
      <w:pPr>
        <w:shd w:val="clear" w:color="auto" w:fill="FFFFFF"/>
        <w:jc w:val="both"/>
        <w:rPr>
          <w:bCs/>
          <w:i/>
          <w:color w:val="002060"/>
          <w:sz w:val="16"/>
          <w:szCs w:val="16"/>
        </w:rPr>
      </w:pPr>
      <w:r w:rsidRPr="00405303">
        <w:rPr>
          <w:bCs/>
          <w:i/>
          <w:color w:val="002060"/>
          <w:sz w:val="16"/>
          <w:szCs w:val="16"/>
        </w:rPr>
        <w:t>Авиация:</w:t>
      </w:r>
    </w:p>
    <w:p w14:paraId="58A148B8" w14:textId="77777777" w:rsidR="00D866D7" w:rsidRPr="00405303" w:rsidRDefault="00D866D7" w:rsidP="00C15251">
      <w:pPr>
        <w:shd w:val="clear" w:color="auto" w:fill="FFFFFF"/>
        <w:jc w:val="both"/>
        <w:rPr>
          <w:bCs/>
          <w:i/>
          <w:color w:val="002060"/>
          <w:sz w:val="16"/>
          <w:szCs w:val="16"/>
        </w:rPr>
      </w:pPr>
    </w:p>
    <w:p w14:paraId="3E6F932F" w14:textId="77777777" w:rsidR="00D866D7" w:rsidRPr="00405303" w:rsidRDefault="00D866D7" w:rsidP="00C15251">
      <w:pPr>
        <w:jc w:val="both"/>
        <w:rPr>
          <w:bCs/>
          <w:color w:val="002060"/>
          <w:sz w:val="16"/>
          <w:szCs w:val="16"/>
        </w:rPr>
      </w:pPr>
      <w:r w:rsidRPr="00405303">
        <w:rPr>
          <w:bCs/>
          <w:color w:val="002060"/>
          <w:sz w:val="16"/>
          <w:szCs w:val="16"/>
          <w:lang w:bidi="en-US"/>
        </w:rPr>
        <w:t>3 августа 1915 г. в Балтийском море в Либаву прибыл немецкий авианосец «Санта Елена» (</w:t>
      </w:r>
      <w:r w:rsidRPr="00405303">
        <w:rPr>
          <w:bCs/>
          <w:color w:val="002060"/>
          <w:sz w:val="16"/>
          <w:szCs w:val="16"/>
          <w:lang w:val="en-US" w:bidi="en-US"/>
        </w:rPr>
        <w:t>FS</w:t>
      </w:r>
      <w:r w:rsidRPr="00405303">
        <w:rPr>
          <w:bCs/>
          <w:color w:val="002060"/>
          <w:sz w:val="16"/>
          <w:szCs w:val="16"/>
          <w:lang w:bidi="en-US"/>
        </w:rPr>
        <w:t xml:space="preserve"> </w:t>
      </w:r>
      <w:r w:rsidRPr="00405303">
        <w:rPr>
          <w:bCs/>
          <w:color w:val="002060"/>
          <w:sz w:val="16"/>
          <w:szCs w:val="16"/>
          <w:lang w:val="en-US" w:bidi="en-US"/>
        </w:rPr>
        <w:t>II</w:t>
      </w:r>
      <w:r w:rsidRPr="00405303">
        <w:rPr>
          <w:bCs/>
          <w:color w:val="002060"/>
          <w:sz w:val="16"/>
          <w:szCs w:val="16"/>
          <w:lang w:bidi="en-US"/>
        </w:rPr>
        <w:t xml:space="preserve">) с 3-4 гидросамолетами. 20-го числа в Либаве к ней присоединился авианосец </w:t>
      </w:r>
      <w:r w:rsidRPr="00405303">
        <w:rPr>
          <w:bCs/>
          <w:color w:val="002060"/>
          <w:sz w:val="16"/>
          <w:szCs w:val="16"/>
          <w:lang w:val="en-US" w:bidi="en-US"/>
        </w:rPr>
        <w:t>Answald</w:t>
      </w:r>
      <w:r w:rsidRPr="00405303">
        <w:rPr>
          <w:bCs/>
          <w:color w:val="002060"/>
          <w:sz w:val="16"/>
          <w:szCs w:val="16"/>
          <w:lang w:bidi="en-US"/>
        </w:rPr>
        <w:t xml:space="preserve"> с 2-3 гидросамолетами. Их самолеты выполняли в основном обычное прибрежное патрулирование и наблюдение за судоходством. «Санта Елена» базировалась в Либаве до 27 августа, затем возобновила службу на Балтике 4 сентября, оставаясь на театре военных действий до 26 декабря 1916 года. «Ансвальд» служил на Балтике до 13 марта 1916 года.</w:t>
      </w:r>
    </w:p>
    <w:p w14:paraId="596E51D5" w14:textId="77777777" w:rsidR="00D866D7" w:rsidRPr="00405303" w:rsidRDefault="00D866D7" w:rsidP="00C15251">
      <w:pPr>
        <w:jc w:val="both"/>
        <w:rPr>
          <w:bCs/>
          <w:color w:val="002060"/>
          <w:sz w:val="16"/>
          <w:szCs w:val="16"/>
          <w:lang w:bidi="en-US"/>
        </w:rPr>
      </w:pPr>
    </w:p>
    <w:p w14:paraId="78463776" w14:textId="77777777" w:rsidR="00D866D7" w:rsidRPr="00405303" w:rsidRDefault="00D866D7" w:rsidP="00C15251">
      <w:pPr>
        <w:jc w:val="both"/>
        <w:rPr>
          <w:bCs/>
          <w:color w:val="002060"/>
          <w:sz w:val="16"/>
          <w:szCs w:val="16"/>
        </w:rPr>
      </w:pPr>
      <w:r w:rsidRPr="00405303">
        <w:rPr>
          <w:bCs/>
          <w:color w:val="002060"/>
          <w:sz w:val="16"/>
          <w:szCs w:val="16"/>
        </w:rPr>
        <w:t>В ночь на 3 августа 1915 г. над Белостоком появился цеппелин Z-XII, сбросивший несколько бомб, которые не причинили никакого вреда (23405).</w:t>
      </w:r>
    </w:p>
    <w:p w14:paraId="38CA96F7" w14:textId="77777777" w:rsidR="00D866D7" w:rsidRPr="00405303" w:rsidRDefault="00D866D7" w:rsidP="00C15251">
      <w:pPr>
        <w:jc w:val="both"/>
        <w:rPr>
          <w:bCs/>
          <w:color w:val="002060"/>
          <w:sz w:val="16"/>
          <w:szCs w:val="16"/>
        </w:rPr>
      </w:pPr>
    </w:p>
    <w:p w14:paraId="26AD1DEE" w14:textId="6CC83B8C"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5A620D00" w14:textId="77777777" w:rsidR="004B4E35" w:rsidRPr="00405303" w:rsidRDefault="004B4E35" w:rsidP="00C15251">
      <w:pPr>
        <w:shd w:val="clear" w:color="auto" w:fill="FFFFFF"/>
        <w:jc w:val="both"/>
        <w:rPr>
          <w:bCs/>
          <w:i/>
          <w:color w:val="002060"/>
          <w:sz w:val="16"/>
          <w:szCs w:val="16"/>
        </w:rPr>
      </w:pPr>
    </w:p>
    <w:p w14:paraId="7E999529" w14:textId="0F66802F" w:rsidR="004B4E35" w:rsidRPr="00405303" w:rsidRDefault="009E6F82" w:rsidP="00C15251">
      <w:pPr>
        <w:jc w:val="both"/>
        <w:rPr>
          <w:bCs/>
          <w:color w:val="002060"/>
          <w:sz w:val="16"/>
          <w:szCs w:val="16"/>
        </w:rPr>
      </w:pPr>
      <w:r w:rsidRPr="00405303">
        <w:rPr>
          <w:bCs/>
          <w:color w:val="002060"/>
          <w:sz w:val="16"/>
          <w:szCs w:val="16"/>
        </w:rPr>
        <w:t xml:space="preserve">4 (17) августа 1915 г. </w:t>
      </w:r>
      <w:r w:rsidR="00F17DE0" w:rsidRPr="00405303">
        <w:rPr>
          <w:bCs/>
          <w:color w:val="002060"/>
          <w:sz w:val="16"/>
          <w:szCs w:val="16"/>
        </w:rPr>
        <w:t xml:space="preserve">на заседании Комиссии по заготовке взрывчатых веществ </w:t>
      </w:r>
      <w:r w:rsidRPr="00405303">
        <w:rPr>
          <w:bCs/>
          <w:color w:val="002060"/>
          <w:sz w:val="16"/>
          <w:szCs w:val="16"/>
        </w:rPr>
        <w:t>Ипатьев сообщил, что на него возложен контроль за производством и расходом кислоты во всей России (РГВИА, ф. 507, оп. 2, д. 72, л. 57 об.). Для ведения строгого учета на заседании Комиссии 9 сентября 1915 г. было принято решение немедленно произвести ревизию на уральских Вадарском, Шайтанских и Верхне-Исетских заводах (РГВИА, ф. 507, оп. 2, д. 72, л. 57 об.). Серная кислота находит широкое применение в производственном процессе суперфосфатных, аммиачных, нефтеперегонных, а также металлургических заводов. Недостаточное ее количество привело к кислотному кризису в первые годы войны. Особенно страдали от этого частные производители, так как вся серная кислота шла на нужды фронта. В связи с этим процветала спекуляция и искусственно повышалась цена на кислоту. Рост цен на серную кислоту объяснялся и огромным спросом на нее предприятий, производивших взрывчатые вещества. Как пишет Ипатьев, были специально организованы "районные бюро Комиссии для надзора за выработкой минеральных кислот на всех частных заводах и для распределения остатков кислоты между частными потребителями" в интересах обороны. Исполнительная комиссия при военном министре на заседании 15 октября 1915 г. утвердила представление ГАУ об организации одного центрального и шести районных бюро для наблюдения и контроля за производством и распределением серной кислоты. Работа таких бюро способствовала также увеличению производства кислот до максимально возможного уровня, так как "благодаря техническому надзору удалось значительно улучшить технику производства на частных заводах". Важно было также и то, что удалось обеспечить на 2 года вперед снабжение всех казенных и частных заводов серной кислотой по сравнительно низким ценам, так как контракты на ее поставку были заключены в то время, когда цены на нее еще не были такими высокими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Пг., 1921.) (11781).</w:t>
      </w:r>
    </w:p>
    <w:p w14:paraId="64FC2FC4" w14:textId="77777777" w:rsidR="004B4E35" w:rsidRPr="00405303" w:rsidRDefault="004B4E35" w:rsidP="00C15251">
      <w:pPr>
        <w:jc w:val="both"/>
        <w:rPr>
          <w:bCs/>
          <w:color w:val="002060"/>
          <w:sz w:val="16"/>
          <w:szCs w:val="16"/>
        </w:rPr>
      </w:pPr>
    </w:p>
    <w:p w14:paraId="39C1655E" w14:textId="77777777" w:rsidR="00964D50" w:rsidRPr="00405303" w:rsidRDefault="00964D50" w:rsidP="00C15251">
      <w:pPr>
        <w:pStyle w:val="ae"/>
        <w:spacing w:before="0" w:beforeAutospacing="0" w:after="0" w:afterAutospacing="0"/>
        <w:jc w:val="both"/>
        <w:textAlignment w:val="top"/>
        <w:rPr>
          <w:bCs/>
          <w:color w:val="002060"/>
          <w:sz w:val="16"/>
          <w:szCs w:val="16"/>
        </w:rPr>
      </w:pPr>
      <w:r w:rsidRPr="00405303">
        <w:rPr>
          <w:bCs/>
          <w:color w:val="002060"/>
          <w:sz w:val="16"/>
          <w:szCs w:val="16"/>
        </w:rPr>
        <w:t xml:space="preserve">4 (17) августа 1915 г., то есть непосредственно перед смещением Великого князя Николая Николаевича-мл. с поста Верховного Главнокомандующего на заседании правительства обсуждался проект «Положения о Военно-промышленных комитетах», для чего туда был приглашен и А.И. Гучков. Несмотря на настороженное отношение И.Л. Горемыкина к Центральному комитету </w:t>
      </w:r>
      <w:proofErr w:type="gramStart"/>
      <w:r w:rsidRPr="00405303">
        <w:rPr>
          <w:bCs/>
          <w:color w:val="002060"/>
          <w:sz w:val="16"/>
          <w:szCs w:val="16"/>
        </w:rPr>
        <w:t>ВПК(</w:t>
      </w:r>
      <w:proofErr w:type="gramEnd"/>
      <w:r w:rsidRPr="00405303">
        <w:rPr>
          <w:bCs/>
          <w:color w:val="002060"/>
          <w:sz w:val="16"/>
          <w:szCs w:val="16"/>
        </w:rPr>
        <w:t xml:space="preserve">к этому времени комитеты были созданы уже в 73 городах), «Положение...» прошло с незначительными изменениями. Комитеты создавались лишь на время войны и по ее окончанию их имущество, запасы и денежные суммы передавались в казну. Тем не менее документ сохранил ряд важных положений – порядок финансирования </w:t>
      </w:r>
      <w:proofErr w:type="gramStart"/>
      <w:r w:rsidRPr="00405303">
        <w:rPr>
          <w:bCs/>
          <w:color w:val="002060"/>
          <w:sz w:val="16"/>
          <w:szCs w:val="16"/>
        </w:rPr>
        <w:t>комитетов(</w:t>
      </w:r>
      <w:proofErr w:type="gramEnd"/>
      <w:r w:rsidRPr="00405303">
        <w:rPr>
          <w:bCs/>
          <w:color w:val="002060"/>
          <w:sz w:val="16"/>
          <w:szCs w:val="16"/>
        </w:rPr>
        <w:t xml:space="preserve">1% от исчисляемых сумм по соглашению с фирмами), и порядок формирования и деятельности комитетов: «Состав, средства, порядок деятельности и сношений Центрального Военно-Промышленного Комитета устанавливаются самим комитетом.» «Положение...» было утверждено императором только по приезду в Ставку 27 </w:t>
      </w:r>
      <w:proofErr w:type="gramStart"/>
      <w:r w:rsidRPr="00405303">
        <w:rPr>
          <w:bCs/>
          <w:color w:val="002060"/>
          <w:sz w:val="16"/>
          <w:szCs w:val="16"/>
        </w:rPr>
        <w:t>августа(</w:t>
      </w:r>
      <w:proofErr w:type="gramEnd"/>
      <w:r w:rsidRPr="00405303">
        <w:rPr>
          <w:bCs/>
          <w:color w:val="002060"/>
          <w:sz w:val="16"/>
          <w:szCs w:val="16"/>
        </w:rPr>
        <w:t>9 сентября) 1915 года. Приняв решение возглавить армию и флот, Николай II демонстрировал готовность пойти если не на уступки либеральному лагерю, то на сотрудничество с ним.</w:t>
      </w:r>
    </w:p>
    <w:p w14:paraId="4B5AA7F5" w14:textId="77777777" w:rsidR="00964D50" w:rsidRPr="00405303" w:rsidRDefault="00964D50" w:rsidP="00C15251">
      <w:pPr>
        <w:pStyle w:val="ae"/>
        <w:spacing w:before="0" w:beforeAutospacing="0" w:after="0" w:afterAutospacing="0"/>
        <w:jc w:val="both"/>
        <w:textAlignment w:val="top"/>
        <w:rPr>
          <w:bCs/>
          <w:color w:val="002060"/>
          <w:sz w:val="16"/>
          <w:szCs w:val="16"/>
        </w:rPr>
      </w:pPr>
      <w:r w:rsidRPr="00405303">
        <w:rPr>
          <w:bCs/>
          <w:color w:val="002060"/>
          <w:sz w:val="16"/>
          <w:szCs w:val="16"/>
        </w:rPr>
        <w:t>До этого момента ВПК действовали без официально утвержденного положения. Тем не менее с приходом Поливанова в Военное министерство в июне 1915 г. кредиты, отпускаемые ВПК, начали постоянно расти. 8(21) августа министр торговли и промышленности кн. В.Н. Шаховской препроводил на имя Поливанова доклад представителей военно-технической комиссии о результатах проведенного ей осмотра фабрик и заводов Московского района, работавших на военные заказы. Выводы документа были недвусмысленны: «Представляя Вашему Сиятельству это заключение Комиссии, считаем долгом совести своей заявить, что при обзоре ею заводов и фабрик, она не нашла в их деятельности той готовности в деле скорейшего изготовления снарядов, которую неоднократно высказывали заводчики и фабриканты в своих пожеланиях.» (18405).</w:t>
      </w:r>
    </w:p>
    <w:p w14:paraId="6FEA2F8D" w14:textId="77777777" w:rsidR="00964D50" w:rsidRPr="00405303" w:rsidRDefault="00964D50" w:rsidP="00C15251">
      <w:pPr>
        <w:jc w:val="both"/>
        <w:rPr>
          <w:bCs/>
          <w:color w:val="002060"/>
          <w:sz w:val="16"/>
          <w:szCs w:val="16"/>
        </w:rPr>
      </w:pPr>
      <w:r w:rsidRPr="00405303">
        <w:rPr>
          <w:bCs/>
          <w:color w:val="002060"/>
          <w:sz w:val="16"/>
          <w:szCs w:val="16"/>
        </w:rPr>
        <w:t>4 августа в 1915 году (4-5 августа) после поражений на фронтах Первой мировой войны части российской царской армии оставили территорию Польши. Завершилось столетнее царствование российского престола в Варшаве и Королевстве Польском. 5 августа Варшава была оккупирована германскими войсками (14973).</w:t>
      </w:r>
    </w:p>
    <w:p w14:paraId="062F345B" w14:textId="77777777" w:rsidR="00964D50" w:rsidRPr="00405303" w:rsidRDefault="00964D50" w:rsidP="00C15251">
      <w:pPr>
        <w:jc w:val="both"/>
        <w:rPr>
          <w:bCs/>
          <w:color w:val="002060"/>
          <w:sz w:val="16"/>
          <w:szCs w:val="16"/>
        </w:rPr>
      </w:pPr>
    </w:p>
    <w:p w14:paraId="5BF82B8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4 (17) августа 1915 г. было утверждено положение о военно-промышленных комитетах. В соответствии с ним вся практическая работа по мобилизации промышленности на местах должна была сосредоточиться в областных комитетах, которые стали создаваться почти во всех сколько-нибудь крупных городах, хотя и не имевших предприятий, способных развернуть производство на оборону, во главе с Центральным Комитетом в Петрограде. Областные комитеты имели сложную организационную структуру построения (президиум, бюро, отделы) и делились на областные и районные. Сношения местных организаций с центральными осуществлялись посредством областных Комитетов. Задача их состояла в выполнении заказов не только на снаряды, но и на всевозможные мелкие предметы снаряжения, на обмундирование, обувь, валенки, ведра и т.д.</w:t>
      </w:r>
    </w:p>
    <w:p w14:paraId="5AAB854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Создаваемые военно-промышленные комитеты объединяли вокруг себя видных деятелей русской промышленной буржуазии во главе с председателем ЦВПК известным октябристом и бывшим председателем III Государственной думы А.И.Гучковым. В состав ЦВПК, как указывалось выше, входили такие крупные деятели буржуазии, как Коновалов, Терещенко, Рябушкинский, Третьяков, Крестовников, Нобель, а также некоторые представители инженерно-технического персонала и профессуры и, наконец, на началах «представительства»: по несколько лиц от областных комитетов Петербургской и Московской городских дум, от Земского и Городского союзов, представители ведомств Всероссийской сельскохозяйственной палаты. Центрального кооперативного комитета.</w:t>
      </w:r>
    </w:p>
    <w:p w14:paraId="0125ED5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Таким образом, состав ЦВПК был чисто буржуазно-бюрократический. С целью привлечь рабочих для участия в работе на оборону, заставить их повысить производительность труда на военных заводах, по предложению Гучкова, было решено образовать при ВПК «рабочие группы». Меньшевики поддержали эту идею Гучкова, большевики же энергично выступили против. Они использовали выборы рабочих в ВПК для разоблачения войны и правительства. В результате кампании большевиков выборы были провалены, и из 239 областных и местных ВПК рабочие группы были образованы лишь в 36.</w:t>
      </w:r>
    </w:p>
    <w:p w14:paraId="270DBFB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Общее же количество созданных областных и местных комитетов по подсчетам М.Ф.Юрия составило: в сентябре 1915 г. — 140, к февралю 1916 г. — 200, а в середине 1917 г. — 242: 36 областных и 206 местных.</w:t>
      </w:r>
    </w:p>
    <w:p w14:paraId="5580F5B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Практическая задача и деятельность ВПК заключались в мобилизации промышленности на нужды обороны, но у ВПК собственных предприятий не было, а также не было капиталов для реконструкции предприятий. Поэтому фактически вся деятельность ВПК сводилась к простому распределению заказов среди предприятий. Распределяя заказы, тот или иной отдел Комитета командировал на завод своих агентов для выяснения пригодности предприятия к исполнению поставки, заинтересованности в кредите, в получении материалов и для обследования общего положения предприятия.</w:t>
      </w:r>
    </w:p>
    <w:p w14:paraId="4F60880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Заказы были весьма важным рычагом, при помощи которого военно-промышленные комитеты могли влиять на промышленное производство посредством ограничения или льготами в выдаче недостающего сырья (металла, хлопка, шелка и т.п.), ходатайствами Центрального комитета об отсрочках мобилизованным рабочим заинтересованного предприятия, оказанием различных выгод в финансировании.</w:t>
      </w:r>
    </w:p>
    <w:p w14:paraId="45502CD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Имея в своем составе ряд деловых комиссий, ЦВПК участвовал через своих представителей в правительственных учреждениях и регулирующих органах, куда вносил немало инициативы, критики, добивался от государственных органов удовлетворения частно-хозяйственных интересов промышленности. Но основные </w:t>
      </w:r>
      <w:r w:rsidRPr="00405303">
        <w:rPr>
          <w:bCs/>
          <w:i w:val="0"/>
          <w:color w:val="002060"/>
          <w:spacing w:val="0"/>
          <w:kern w:val="0"/>
          <w:position w:val="0"/>
          <w:sz w:val="16"/>
          <w:szCs w:val="16"/>
        </w:rPr>
        <w:lastRenderedPageBreak/>
        <w:t>правительственные заказы военно-промышленные комитеты получали из рук Особого совещания по обороне и его местных органов — заводских совещаний, попытки же «предоставления ему … непосредственного надзора за исполнением всех заказов для нужд обороны» по решению Особого совещания по обороне от 2 декабря 1915 г. были отклонены. Так же как не удалась Военно-промышленным комитетам попытка превратиться в главный хозяйственный штаб страны, который распределял бы среди предприятий металл, топливо, рабочую силу, финансировал бы заводы, работавшие на оборону, устанавливал бы цены на промышленные изделия (11270).</w:t>
      </w:r>
    </w:p>
    <w:p w14:paraId="2FD5374E" w14:textId="77777777" w:rsidR="004B4E35" w:rsidRPr="00405303" w:rsidRDefault="004B4E35" w:rsidP="00C15251">
      <w:pPr>
        <w:pStyle w:val="a3"/>
        <w:jc w:val="both"/>
        <w:rPr>
          <w:bCs/>
          <w:i w:val="0"/>
          <w:color w:val="002060"/>
          <w:spacing w:val="0"/>
          <w:kern w:val="0"/>
          <w:position w:val="0"/>
          <w:sz w:val="16"/>
          <w:szCs w:val="16"/>
        </w:rPr>
      </w:pPr>
    </w:p>
    <w:p w14:paraId="5C543E1B" w14:textId="7EF83834" w:rsidR="004B4E35" w:rsidRPr="00405303" w:rsidRDefault="009E6F82" w:rsidP="00C15251">
      <w:pPr>
        <w:jc w:val="both"/>
        <w:rPr>
          <w:bCs/>
          <w:color w:val="002060"/>
          <w:sz w:val="16"/>
          <w:szCs w:val="16"/>
        </w:rPr>
      </w:pPr>
      <w:r w:rsidRPr="00405303">
        <w:rPr>
          <w:bCs/>
          <w:color w:val="002060"/>
          <w:sz w:val="16"/>
          <w:szCs w:val="16"/>
        </w:rPr>
        <w:t>4</w:t>
      </w:r>
      <w:r w:rsidR="00764D14" w:rsidRPr="00405303">
        <w:rPr>
          <w:bCs/>
          <w:color w:val="002060"/>
          <w:sz w:val="16"/>
          <w:szCs w:val="16"/>
        </w:rPr>
        <w:t xml:space="preserve"> (</w:t>
      </w:r>
      <w:r w:rsidRPr="00405303">
        <w:rPr>
          <w:bCs/>
          <w:color w:val="002060"/>
          <w:sz w:val="16"/>
          <w:szCs w:val="16"/>
        </w:rPr>
        <w:t>17</w:t>
      </w:r>
      <w:r w:rsidR="00764D14" w:rsidRPr="00405303">
        <w:rPr>
          <w:bCs/>
          <w:color w:val="002060"/>
          <w:sz w:val="16"/>
          <w:szCs w:val="16"/>
        </w:rPr>
        <w:t>)</w:t>
      </w:r>
      <w:r w:rsidRPr="00405303">
        <w:rPr>
          <w:bCs/>
          <w:color w:val="002060"/>
          <w:sz w:val="16"/>
          <w:szCs w:val="16"/>
        </w:rPr>
        <w:t xml:space="preserve"> августа 1915</w:t>
      </w:r>
      <w:r w:rsidR="00764D14" w:rsidRPr="00405303">
        <w:rPr>
          <w:bCs/>
          <w:color w:val="002060"/>
          <w:sz w:val="16"/>
          <w:szCs w:val="16"/>
        </w:rPr>
        <w:t xml:space="preserve"> г. проходило заседания Совета министров</w:t>
      </w:r>
      <w:r w:rsidRPr="00405303">
        <w:rPr>
          <w:bCs/>
          <w:color w:val="002060"/>
          <w:sz w:val="16"/>
          <w:szCs w:val="16"/>
        </w:rPr>
        <w:t xml:space="preserve">, на котором рассматривался проект «Положения о Военно-промышленном комитете» и на которое был приглашен председатель Центрального военно-промышленного комитета А. И. Гучков. </w:t>
      </w:r>
    </w:p>
    <w:p w14:paraId="26DF7F95"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«Впервые со времен графа Витте в официальной части заседания присутствовало лицо «свободной профессии», с правительственной службой не связанное. Это был Александр Иванович Гучков, приглашенный на заседание по настоянию генерала Поливанова для участия в рассмотрении проекта положения о Военно-промышленном комитете. Все чувствовали себя как-то неловко, натянуто. У Гучкова был такой вид, будто он попал в стан разбойников и находится под давлением угрозы злых козней. Вернее, он напоминал застенчивого человека, явившегося в незнакомое общество с предрешенным намерением рассердиться при первом поводе и тем проявить свою самостоятельность. На делаемые по статьям проекта замечания Гучков отвечал с не вызываемой существом возражений резкостью и требовал либо одобрения положения о Комитете полностью, либо отказа в санкции этого учреждения, подчеркивая, что положение это выработано представителями общественных организаций, желающих бескорыстно послужить делу снабжения армии. В конце концов обсуждение было скомкано, и все как бы спешили отделаться от не особенно приятного свидания».</w:t>
      </w:r>
    </w:p>
    <w:p w14:paraId="672E2E93" w14:textId="77777777" w:rsidR="004B4E35" w:rsidRPr="00405303" w:rsidRDefault="009E6F82" w:rsidP="00C15251">
      <w:pPr>
        <w:jc w:val="both"/>
        <w:rPr>
          <w:bCs/>
          <w:color w:val="002060"/>
          <w:sz w:val="16"/>
          <w:szCs w:val="16"/>
        </w:rPr>
      </w:pPr>
      <w:r w:rsidRPr="00405303">
        <w:rPr>
          <w:bCs/>
          <w:color w:val="002060"/>
          <w:sz w:val="16"/>
          <w:szCs w:val="16"/>
        </w:rPr>
        <w:t xml:space="preserve">«По выходе, однако, А. И. Гучкова из комнаты заседания, — замечает другой свидетель, а именно генерал Поливанов, — И. Л. Горемыкин проворчал неодобрительно и о многочисленности состава Центрального комитета, и о-том, что там проектировано ввести 10 представителей от рабочих, и о том, что он много шумит, а сделает ли что-нибудь — это мы увидим». </w:t>
      </w:r>
    </w:p>
    <w:p w14:paraId="71BDA720" w14:textId="77777777" w:rsidR="004B4E35" w:rsidRPr="00405303" w:rsidRDefault="009E6F82" w:rsidP="00C15251">
      <w:pPr>
        <w:jc w:val="both"/>
        <w:rPr>
          <w:bCs/>
          <w:color w:val="002060"/>
          <w:sz w:val="16"/>
          <w:szCs w:val="16"/>
        </w:rPr>
      </w:pPr>
      <w:r w:rsidRPr="00405303">
        <w:rPr>
          <w:bCs/>
          <w:color w:val="002060"/>
          <w:sz w:val="16"/>
          <w:szCs w:val="16"/>
        </w:rPr>
        <w:t xml:space="preserve">Даже строгие критики нашей «общественности» все-таки вынуждены признать большую заслугу перед Родиной Военно-промышленного комитета. «Создавшийся Военно-промышленный комитет, — пишет генерал Лукомский, — имевший свои отделы во всех промышленных центрах России, давал основание считать, что с его помощью будет достигнуто полное напряжение отечественной промышленности, а армия и страна получат от внутреннего рынка все, что только Россия в состоянии дать. Действительно, надо отдать в этом отношении справедливость Военно-промышленному комитету, который, постепенно расширяя все более и более свою деятельность, объединяя фабрично-заводские предприятия и кустарные артели, а также создавая новые предприятия, принес в деле снабжения армии колоссальную помощь Военному ведомству. Можно, конечно, критиковать деятельность Военно-промышленного комитета в том отношении, что на организацию собственного аппарата он тратил очень значительные суммы; что хотя он и не поощрял, но, во всяком случае, очень слабо боролся с громадными аппетитами многих промышленников, стремившихся нажиться на казенных поставках. Обвинений в этом отношении против Военно-промышленного комитета было много, но считаю, что при существовавшей обстановке и при отсутствии правильной организации центрального органа снабжения приходил ось часто переплачивать, лишь бы скорее дать необходимое армии. Надо также иметь в виду, что Военно-промышленный комитет являлся не единственным заказчиком на внутреннем рынке. Кроме него, заказывали Городской и Земский союзы, и крупные заказы продолжали даваться главными довольствующими управлениями, а следовательно, Военно-промышленному комитету приходилось иметь дело уже с определившимися расценками на различные предметы снабжения». </w:t>
      </w:r>
    </w:p>
    <w:p w14:paraId="13C15BC8" w14:textId="77777777" w:rsidR="004B4E35" w:rsidRPr="00405303" w:rsidRDefault="009E6F82" w:rsidP="00C15251">
      <w:pPr>
        <w:jc w:val="both"/>
        <w:rPr>
          <w:bCs/>
          <w:color w:val="002060"/>
          <w:sz w:val="16"/>
          <w:szCs w:val="16"/>
        </w:rPr>
      </w:pPr>
      <w:r w:rsidRPr="00405303">
        <w:rPr>
          <w:bCs/>
          <w:color w:val="002060"/>
          <w:sz w:val="16"/>
          <w:szCs w:val="16"/>
        </w:rPr>
        <w:t xml:space="preserve">Упрек, который делает генерал Лукомский Военно-промышленному комитету в том, что он слабо боролся с аппетитами многих промышленников, чрезвычайно серьезен, но причины этого зла лежали глубже недр Военно-промышленного комитета. </w:t>
      </w:r>
    </w:p>
    <w:p w14:paraId="7BEAC385" w14:textId="77777777" w:rsidR="004B4E35" w:rsidRPr="00405303" w:rsidRDefault="009E6F82" w:rsidP="00C15251">
      <w:pPr>
        <w:jc w:val="both"/>
        <w:rPr>
          <w:bCs/>
          <w:color w:val="002060"/>
          <w:sz w:val="16"/>
          <w:szCs w:val="16"/>
        </w:rPr>
      </w:pPr>
      <w:r w:rsidRPr="00405303">
        <w:rPr>
          <w:bCs/>
          <w:color w:val="002060"/>
          <w:sz w:val="16"/>
          <w:szCs w:val="16"/>
        </w:rPr>
        <w:t xml:space="preserve">Осуществить надлежащую организацию тыла можно было только при условии издания Закона о всеобщей промышленной военной повинности, составленного на основании тех же принципов, что и «Закон о всеобщей воинской повинности». Государство, считающее себя вправе требовать от своих граждан жертвы кровью и жизнью, конечно, имеет еще большее право требовать от своих граждан, оставшихся в тылу, жертв личным трудом и имуществом. Вопрос этот для всех государств был новый. Он требовал большой научной и социальной зрелости. Он был под силу только сильному правительству. Наша же Верховная власть хотя и боролась все время за осуществление самодержавия, но, восстановив против себя общественные круги и не сумев удержать расположение к себе народных масс, по существу дела, являлась слабой. Мы видели выше, как Совет министров трижды отклонил законопроект о милитаризации заводов, работающих на оборону. Несомненно, что он боялся рабочих. Так же точно он не смел по-настоящему бороться со злоупотреблениями промышленников. </w:t>
      </w:r>
    </w:p>
    <w:p w14:paraId="785BCA89" w14:textId="77777777" w:rsidR="004B4E35" w:rsidRPr="00405303" w:rsidRDefault="009E6F82" w:rsidP="00C15251">
      <w:pPr>
        <w:jc w:val="both"/>
        <w:rPr>
          <w:bCs/>
          <w:color w:val="002060"/>
          <w:sz w:val="16"/>
          <w:szCs w:val="16"/>
        </w:rPr>
      </w:pPr>
      <w:r w:rsidRPr="00405303">
        <w:rPr>
          <w:bCs/>
          <w:color w:val="002060"/>
          <w:sz w:val="16"/>
          <w:szCs w:val="16"/>
        </w:rPr>
        <w:t xml:space="preserve">Бессилие правительства </w:t>
      </w:r>
    </w:p>
    <w:p w14:paraId="7475E878" w14:textId="77777777" w:rsidR="004B4E35" w:rsidRPr="00405303" w:rsidRDefault="009E6F82" w:rsidP="00C15251">
      <w:pPr>
        <w:jc w:val="both"/>
        <w:rPr>
          <w:bCs/>
          <w:color w:val="002060"/>
          <w:sz w:val="16"/>
          <w:szCs w:val="16"/>
        </w:rPr>
      </w:pPr>
      <w:r w:rsidRPr="00405303">
        <w:rPr>
          <w:bCs/>
          <w:color w:val="002060"/>
          <w:sz w:val="16"/>
          <w:szCs w:val="16"/>
        </w:rPr>
        <w:t xml:space="preserve">В цитированных выше записях помощника управляющего делами Совета министров А. Н. Яхонтова, посвященных секретным заседаниям Совета министров в августе и сентябре 1915 г., ярко вырисовывается бессилие Совета министров в большинстве вопросов управления страной. Мы не будем здесь останавливаться на подробном рассмотрении причин этого бессилия. Их много, и многие из них обусловливаются событиями войны. Об этом мы будем говорить в III части нашего труда. Здесь же мы укажем на главную, которая резко сформулирована самими министрами в последних заседаниях. «Правительство не может висеть в безвоздушном пространстве и опираться на одну полицию», — говорит в заседании 8 сентября министр иностранных дел С. Д. Сазонов. </w:t>
      </w:r>
    </w:p>
    <w:p w14:paraId="6A6449CA" w14:textId="77777777" w:rsidR="004B4E35" w:rsidRPr="00405303" w:rsidRDefault="009E6F82" w:rsidP="00C15251">
      <w:pPr>
        <w:jc w:val="both"/>
        <w:rPr>
          <w:bCs/>
          <w:color w:val="002060"/>
          <w:sz w:val="16"/>
          <w:szCs w:val="16"/>
        </w:rPr>
      </w:pPr>
      <w:r w:rsidRPr="00405303">
        <w:rPr>
          <w:bCs/>
          <w:color w:val="002060"/>
          <w:sz w:val="16"/>
          <w:szCs w:val="16"/>
        </w:rPr>
        <w:t xml:space="preserve">На заседании через два дня другой видный министр, а именно министр земледелия А. В. Кривошеин, развивает ту же мысль: «Что мы ни говори, что мы ни обещай, как ни заигрывай с прогрессивным блоком и общественностью — нам все равно не поверят. Ведь требования Государственной думы и всей страны сводятся к вопросу не программы, а людей, которым вверяется власть. Поэтому мне думается, что центр наших суждений должен бы заключаться в постановке принципиального вопроса об отношении Его Императорского Величества к правительству настоящего состава и к требованиям страны об исполнительной власти, облеченной общественным доверием. Пускай Монарх решит, как ему угодно направить дальнейшую внутреннюю политику, по пути ли игнорирования таких пожеланий или же по пути примирения, избрав во втором случае пользующееся общественными симпатиями лицо и возложив на него образование правительства. Без разрешения этого кардинального вопроса мы все равно с места не сдвинемся. Лично я высказываюсь за второй путь действий — избрание Государем Императором лица и поручение ему составить кабинет, отвечающий чаяниям страны». </w:t>
      </w:r>
    </w:p>
    <w:p w14:paraId="246FB083" w14:textId="77777777" w:rsidR="004B4E35" w:rsidRPr="00405303" w:rsidRDefault="009E6F82" w:rsidP="00C15251">
      <w:pPr>
        <w:jc w:val="both"/>
        <w:rPr>
          <w:bCs/>
          <w:color w:val="002060"/>
          <w:sz w:val="16"/>
          <w:szCs w:val="16"/>
        </w:rPr>
      </w:pPr>
      <w:r w:rsidRPr="00405303">
        <w:rPr>
          <w:bCs/>
          <w:color w:val="002060"/>
          <w:sz w:val="16"/>
          <w:szCs w:val="16"/>
        </w:rPr>
        <w:t xml:space="preserve">С этим заявлением А. В. Кривошеина соглашаются большинство министров. </w:t>
      </w:r>
    </w:p>
    <w:p w14:paraId="6BD35B2B" w14:textId="77777777" w:rsidR="004B4E35" w:rsidRPr="00405303" w:rsidRDefault="009E6F82" w:rsidP="00C15251">
      <w:pPr>
        <w:jc w:val="both"/>
        <w:rPr>
          <w:bCs/>
          <w:color w:val="002060"/>
          <w:sz w:val="16"/>
          <w:szCs w:val="16"/>
        </w:rPr>
      </w:pPr>
      <w:r w:rsidRPr="00405303">
        <w:rPr>
          <w:bCs/>
          <w:color w:val="002060"/>
          <w:sz w:val="16"/>
          <w:szCs w:val="16"/>
        </w:rPr>
        <w:t xml:space="preserve">Государь избрал первый путь, и главный исполнительный орган, Совет министров, стал еще бессильнее. Социальный процесс изоляции правительства пошел еще быстрее. Авторитет его окончательно пал. При таких условиях правительство оказывается не только бессильным произвести какие-либо коренные органические реформы в структуре работы тыла, оно даже неспособно объединить в стройную организацию те крайние усилия, которые проявляет теперь вся страна, чтобы спасти свою армию от катастрофы. </w:t>
      </w:r>
    </w:p>
    <w:p w14:paraId="265D68B3" w14:textId="77777777" w:rsidR="004B4E35" w:rsidRPr="00405303" w:rsidRDefault="009E6F82" w:rsidP="00C15251">
      <w:pPr>
        <w:jc w:val="both"/>
        <w:rPr>
          <w:bCs/>
          <w:color w:val="002060"/>
          <w:sz w:val="16"/>
          <w:szCs w:val="16"/>
        </w:rPr>
      </w:pPr>
      <w:r w:rsidRPr="00405303">
        <w:rPr>
          <w:bCs/>
          <w:color w:val="002060"/>
          <w:sz w:val="16"/>
          <w:szCs w:val="16"/>
        </w:rPr>
        <w:t xml:space="preserve">Эта неспособность правительства увеличивается еще тем, что самый подбор министров чрезвычайно неудачен. Последнее не случайно, а является лишь одним из звеньев того социального процесса, который происходит. Выбор Верховной власти до крайности ограничен. Все лучшие элементы должны быть заподозрены в оппозиции к власти. И вот на замену уволенного 15/28 марта генерала Поливанова назначается военным министром генерал Шуваев. Председатель Государственной думы М. В. Родзянко так характеризует генерала Шуваева: «...Честный, хороший человек, но недостаточно подготовлен для такого поста в военное время; его председательствование в Особом совещании делало заседания путаными и утомительными». </w:t>
      </w:r>
    </w:p>
    <w:p w14:paraId="68865A0A" w14:textId="77777777" w:rsidR="004B4E35" w:rsidRPr="00405303" w:rsidRDefault="009E6F82" w:rsidP="00C15251">
      <w:pPr>
        <w:jc w:val="both"/>
        <w:rPr>
          <w:bCs/>
          <w:color w:val="002060"/>
          <w:sz w:val="16"/>
          <w:szCs w:val="16"/>
        </w:rPr>
      </w:pPr>
      <w:r w:rsidRPr="00405303">
        <w:rPr>
          <w:bCs/>
          <w:color w:val="002060"/>
          <w:sz w:val="16"/>
          <w:szCs w:val="16"/>
        </w:rPr>
        <w:t>Гораздо строже отзывается о нем французский министр снабжения г-н Тома, присланный французским правительством для ознакомления с нуждами русского военного снабжения. На просьбу председателя Государственной думы откровенно указать наши больные места в организации снабжения французский министр ответил: «Россия должна быть чрезвычайно богата и очень уверена в своих силах, чтобы позволять себе роскошь иметь правительство, подобное вашему, где премьер-министр является бедствием, а военный министр — катастрофой».</w:t>
      </w:r>
    </w:p>
    <w:p w14:paraId="0539289F" w14:textId="77777777" w:rsidR="004B4E35" w:rsidRPr="00405303" w:rsidRDefault="009E6F82" w:rsidP="00C15251">
      <w:pPr>
        <w:jc w:val="both"/>
        <w:rPr>
          <w:bCs/>
          <w:color w:val="002060"/>
          <w:sz w:val="16"/>
          <w:szCs w:val="16"/>
        </w:rPr>
      </w:pPr>
      <w:r w:rsidRPr="00405303">
        <w:rPr>
          <w:bCs/>
          <w:color w:val="002060"/>
          <w:sz w:val="16"/>
          <w:szCs w:val="16"/>
        </w:rPr>
        <w:t xml:space="preserve">Отзыв г-на Тома, быть может, слишком жесток. Но несомненно, что генерал Шуваев выше уровня обыкновенного строевого генерала или рядового интенданта подняться не мог. Выбор генерала Шуваева на должность военного министра обусловливался тем, что Верховная власть рассчитывала, что он будет бороться со все более и более усиливающейся ролью общественных сил в деле снабжения армии. «После ухода Поливанова, — пишет М. В. Родзянко, — Великий князь Сергей </w:t>
      </w:r>
      <w:r w:rsidRPr="00405303">
        <w:rPr>
          <w:bCs/>
          <w:color w:val="002060"/>
          <w:sz w:val="16"/>
          <w:szCs w:val="16"/>
        </w:rPr>
        <w:lastRenderedPageBreak/>
        <w:t xml:space="preserve">Михайлович повел агитацию против Особого совещания и убеждал Государя вовсе упразднить его. С Шуваевым на заседаниях происходили постоянные столкновения, и казалось, будто он нарочно вызывал резкости, чтобы иметь причины для ликвидации Совещания». </w:t>
      </w:r>
    </w:p>
    <w:p w14:paraId="7CD82051" w14:textId="77777777" w:rsidR="004B4E35" w:rsidRPr="00405303" w:rsidRDefault="009E6F82" w:rsidP="00C15251">
      <w:pPr>
        <w:jc w:val="both"/>
        <w:rPr>
          <w:bCs/>
          <w:color w:val="002060"/>
          <w:sz w:val="16"/>
          <w:szCs w:val="16"/>
        </w:rPr>
      </w:pPr>
      <w:r w:rsidRPr="00405303">
        <w:rPr>
          <w:bCs/>
          <w:color w:val="002060"/>
          <w:sz w:val="16"/>
          <w:szCs w:val="16"/>
        </w:rPr>
        <w:t xml:space="preserve">Но генерал Шуваев не оправдал связанных с его назначением политических расчетов. </w:t>
      </w:r>
    </w:p>
    <w:p w14:paraId="0A5CCB59"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«В заседании 5 ноября случилось событие, которое оставило сильное впечатление не только в Думе, но и в стране. Во время заседания в зале заседаний появились военный министр Шуваев и морской — Григорович. Они обратились к председателю, сообщив о желании сделать заявление. Когда Марков 2-й окончил свою речь, на трибуну поднялся Шуваев и, сильно волнуясь, сказал, что он как старый солдат верит в доблесть Русской армии, что армия снабжена всем необходимым благодаря единодушной поддержке народа и народного представительства. Он привел цифры увеличения поступления боевых припасов в армию со времени учреждения Особого совещания по обороне. Закончил он просьбой и впредь поддерживать его доверием».</w:t>
      </w:r>
    </w:p>
    <w:p w14:paraId="24F1DBFE" w14:textId="77777777" w:rsidR="004B4E35" w:rsidRPr="00405303" w:rsidRDefault="009E6F82" w:rsidP="00C15251">
      <w:pPr>
        <w:jc w:val="both"/>
        <w:rPr>
          <w:bCs/>
          <w:color w:val="002060"/>
          <w:sz w:val="16"/>
          <w:szCs w:val="16"/>
        </w:rPr>
      </w:pPr>
      <w:r w:rsidRPr="00405303">
        <w:rPr>
          <w:bCs/>
          <w:color w:val="002060"/>
          <w:sz w:val="16"/>
          <w:szCs w:val="16"/>
        </w:rPr>
        <w:t xml:space="preserve">Вскоре после этого выступления, а именно в начале января 1917 года, генерал Шуваев был заменен на посту военного министра генералом Беляевым. Назначение последнего состоялось по выбору императрицы Александры Феодоровны как человека, вполне верного принятому курсу самодержавной политики. Генерал Беляев представлял собой тип «военного чиновника». Все свое трудолюбие и большую работоспособность он направлял по «бумажному» руслу. В армии он был очень непопулярен, ибо за ним установилась репутация человека, мертвящего всякое живое дело. За ним даже прочно установилась кличка «Мертвая голова». </w:t>
      </w:r>
    </w:p>
    <w:p w14:paraId="6D915DC3" w14:textId="77777777" w:rsidR="004B4E35" w:rsidRPr="00405303" w:rsidRDefault="009E6F82" w:rsidP="00C15251">
      <w:pPr>
        <w:jc w:val="both"/>
        <w:rPr>
          <w:bCs/>
          <w:color w:val="002060"/>
          <w:sz w:val="16"/>
          <w:szCs w:val="16"/>
        </w:rPr>
      </w:pPr>
      <w:r w:rsidRPr="00405303">
        <w:rPr>
          <w:bCs/>
          <w:color w:val="002060"/>
          <w:sz w:val="16"/>
          <w:szCs w:val="16"/>
        </w:rPr>
        <w:t xml:space="preserve">Отрицательного влияния на дело снабжения назначение Беляева не могло оказать, так как в начале марта вспыхнула революция. </w:t>
      </w:r>
    </w:p>
    <w:p w14:paraId="7CC6EE68" w14:textId="77777777" w:rsidR="004B4E35" w:rsidRPr="00405303" w:rsidRDefault="009E6F82" w:rsidP="00C15251">
      <w:pPr>
        <w:jc w:val="both"/>
        <w:rPr>
          <w:bCs/>
          <w:color w:val="002060"/>
          <w:sz w:val="16"/>
          <w:szCs w:val="16"/>
        </w:rPr>
      </w:pPr>
      <w:r w:rsidRPr="00405303">
        <w:rPr>
          <w:bCs/>
          <w:color w:val="002060"/>
          <w:sz w:val="16"/>
          <w:szCs w:val="16"/>
        </w:rPr>
        <w:t xml:space="preserve">Революция </w:t>
      </w:r>
    </w:p>
    <w:p w14:paraId="76B513A0" w14:textId="77777777" w:rsidR="004B4E35" w:rsidRPr="00405303" w:rsidRDefault="009E6F82" w:rsidP="00C15251">
      <w:pPr>
        <w:jc w:val="both"/>
        <w:rPr>
          <w:bCs/>
          <w:color w:val="002060"/>
          <w:sz w:val="16"/>
          <w:szCs w:val="16"/>
        </w:rPr>
      </w:pPr>
      <w:r w:rsidRPr="00405303">
        <w:rPr>
          <w:bCs/>
          <w:color w:val="002060"/>
          <w:sz w:val="16"/>
          <w:szCs w:val="16"/>
        </w:rPr>
        <w:t xml:space="preserve">В разбушевавшейся революционной стихии сразу же начала падать на заводах и промышленных предприятиях трудовая дисциплина. Технический и административный персонал, который не был изгнан рабочими, не имел возможности руководить делом. Он был терроризован рабочими. В результате — крайняя небрежность в работе и все увеличивающееся падение производительности. Московская металлообрабатывающая промышленность уже в апреле пала на 32%, производительность петроградских фабрик и заводов — на 20–40%, добыча угля и общая производительность Донецкого бассейна к 1 июля — на 30% и т.д. Расстроилась также добыча нефти на бакинских и грозненских промыслах. </w:t>
      </w:r>
    </w:p>
    <w:p w14:paraId="1BBEC71B" w14:textId="77777777" w:rsidR="004B4E35" w:rsidRPr="00405303" w:rsidRDefault="004B4E35" w:rsidP="00C15251">
      <w:pPr>
        <w:jc w:val="both"/>
        <w:rPr>
          <w:bCs/>
          <w:color w:val="002060"/>
          <w:sz w:val="16"/>
          <w:szCs w:val="16"/>
        </w:rPr>
      </w:pPr>
    </w:p>
    <w:p w14:paraId="13CBDE36" w14:textId="470ABC2F" w:rsidR="00D866D7" w:rsidRPr="00405303" w:rsidRDefault="00D866D7" w:rsidP="00C15251">
      <w:pPr>
        <w:jc w:val="both"/>
        <w:rPr>
          <w:bCs/>
          <w:i/>
          <w:color w:val="002060"/>
          <w:sz w:val="16"/>
          <w:szCs w:val="16"/>
        </w:rPr>
      </w:pPr>
      <w:r w:rsidRPr="00405303">
        <w:rPr>
          <w:bCs/>
          <w:i/>
          <w:color w:val="002060"/>
          <w:sz w:val="16"/>
          <w:szCs w:val="16"/>
        </w:rPr>
        <w:t>Авиация:</w:t>
      </w:r>
    </w:p>
    <w:p w14:paraId="3AF07246" w14:textId="77777777" w:rsidR="00D866D7" w:rsidRPr="00405303" w:rsidRDefault="00D866D7" w:rsidP="00C15251">
      <w:pPr>
        <w:jc w:val="both"/>
        <w:rPr>
          <w:bCs/>
          <w:i/>
          <w:color w:val="002060"/>
          <w:sz w:val="16"/>
          <w:szCs w:val="16"/>
        </w:rPr>
      </w:pPr>
    </w:p>
    <w:p w14:paraId="355CC757" w14:textId="77777777" w:rsidR="00D866D7" w:rsidRPr="00405303" w:rsidRDefault="00D866D7" w:rsidP="00C15251">
      <w:pPr>
        <w:jc w:val="both"/>
        <w:rPr>
          <w:bCs/>
          <w:color w:val="002060"/>
          <w:sz w:val="16"/>
          <w:szCs w:val="16"/>
        </w:rPr>
      </w:pPr>
      <w:r w:rsidRPr="00405303">
        <w:rPr>
          <w:bCs/>
          <w:color w:val="002060"/>
          <w:sz w:val="16"/>
          <w:szCs w:val="16"/>
        </w:rPr>
        <w:t>4 августа 1915 г. в небе г. Каменец-Подольск было зафиксировано появление вражеского самолета-разведчика, который совершал полет на небольшой высоте. По нему было сделано два выстрела из артиллерийских орудий. Летательный аппарат быстро поднялся выше границы ведения зенитного огня и скрылся в юго-западном направлений. В ночь на 3 августа над Белостоком появился цеппелин Z-XII, сбросивший несколько бомб, которые не причинили никакого вреда (23405).</w:t>
      </w:r>
    </w:p>
    <w:p w14:paraId="43581B43" w14:textId="77777777" w:rsidR="00D866D7" w:rsidRPr="00405303" w:rsidRDefault="00D866D7" w:rsidP="00C15251">
      <w:pPr>
        <w:jc w:val="both"/>
        <w:rPr>
          <w:bCs/>
          <w:color w:val="002060"/>
          <w:sz w:val="16"/>
          <w:szCs w:val="16"/>
        </w:rPr>
      </w:pPr>
    </w:p>
    <w:p w14:paraId="00E91288" w14:textId="0F18869A"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087895F8" w14:textId="77777777" w:rsidR="004B4E35" w:rsidRPr="00405303" w:rsidRDefault="004B4E35" w:rsidP="00C15251">
      <w:pPr>
        <w:jc w:val="both"/>
        <w:rPr>
          <w:bCs/>
          <w:i/>
          <w:color w:val="002060"/>
          <w:sz w:val="16"/>
          <w:szCs w:val="16"/>
        </w:rPr>
      </w:pPr>
    </w:p>
    <w:p w14:paraId="151E052B" w14:textId="77777777" w:rsidR="004B4E35" w:rsidRPr="00405303" w:rsidRDefault="009E6F82" w:rsidP="00C15251">
      <w:pPr>
        <w:jc w:val="both"/>
        <w:rPr>
          <w:bCs/>
          <w:color w:val="002060"/>
          <w:sz w:val="16"/>
          <w:szCs w:val="16"/>
        </w:rPr>
      </w:pPr>
      <w:r w:rsidRPr="00405303">
        <w:rPr>
          <w:bCs/>
          <w:color w:val="002060"/>
          <w:sz w:val="16"/>
          <w:szCs w:val="16"/>
        </w:rPr>
        <w:t xml:space="preserve">В ночь с 4-5 (17 на 18) августа 1915 L-10, L-11 и L-14 благополучно отбомбились по английской столице, Саффолку, Эссексу и Кенту. Обер-лейтенант Венке не первый раз вел свой L-10 по привычному маршруту. Ловко маскируясь в облачности, дирижабль скрытно пересек береговую черту Англии в районе Оксфорд — Несс и направился в сторону Лондона. Около 11 часов вечера прямо по курсу L-10 замерцали огни огромного города. Ровно в полночь Венке подал команду «Сброс». </w:t>
      </w:r>
    </w:p>
    <w:p w14:paraId="3BB8F8D5" w14:textId="77777777" w:rsidR="004B4E35" w:rsidRPr="00405303" w:rsidRDefault="009E6F82" w:rsidP="00C15251">
      <w:pPr>
        <w:jc w:val="both"/>
        <w:rPr>
          <w:bCs/>
          <w:color w:val="002060"/>
          <w:sz w:val="16"/>
          <w:szCs w:val="16"/>
        </w:rPr>
      </w:pPr>
      <w:r w:rsidRPr="00405303">
        <w:rPr>
          <w:bCs/>
          <w:color w:val="002060"/>
          <w:sz w:val="16"/>
          <w:szCs w:val="16"/>
        </w:rPr>
        <w:t xml:space="preserve">«Над морем был довольно сильный туман, — вспоминал командир L-10, — но над Лондоном небо прояснилось, видимость стала просто прекрасной. Я принял решение заходить на город с восточной стороны, с таким расчетом, чтобы ветер дул нам в корму. Мы шли на высоте примерно трех километров, и под дирижаблем лежал бесконечный ковер лондонских огней. Справа по курсу блестела Темза. Беспечность английских зенитчиков просто поражала — никто не пытался не </w:t>
      </w:r>
      <w:proofErr w:type="gramStart"/>
      <w:r w:rsidRPr="00405303">
        <w:rPr>
          <w:bCs/>
          <w:color w:val="002060"/>
          <w:sz w:val="16"/>
          <w:szCs w:val="16"/>
        </w:rPr>
        <w:t>то</w:t>
      </w:r>
      <w:proofErr w:type="gramEnd"/>
      <w:r w:rsidRPr="00405303">
        <w:rPr>
          <w:bCs/>
          <w:color w:val="002060"/>
          <w:sz w:val="16"/>
          <w:szCs w:val="16"/>
        </w:rPr>
        <w:t xml:space="preserve"> что обстрелять нас, а даже обнаружить. Через несколько минут мы были уже на траверзе Блэкфейрса, и я приказал сбросить первую серию бомб. Судя по тому, что на земле начали рушиться здания, а затем возник сильный пожар, бомбовый удар оказался довольно точным». </w:t>
      </w:r>
    </w:p>
    <w:p w14:paraId="422EDA09" w14:textId="77777777" w:rsidR="004B4E35" w:rsidRPr="00405303" w:rsidRDefault="009E6F82" w:rsidP="00C15251">
      <w:pPr>
        <w:jc w:val="both"/>
        <w:rPr>
          <w:bCs/>
          <w:color w:val="002060"/>
          <w:sz w:val="16"/>
          <w:szCs w:val="16"/>
        </w:rPr>
      </w:pPr>
      <w:r w:rsidRPr="00405303">
        <w:rPr>
          <w:bCs/>
          <w:color w:val="002060"/>
          <w:sz w:val="16"/>
          <w:szCs w:val="16"/>
        </w:rPr>
        <w:t xml:space="preserve">На перехват цеппелина стартовали 6 самолетов, вела огонь и зенитная артиллерия Лондона, однако Венке удалось безнаказанно раствориться во мраке ночи. </w:t>
      </w:r>
    </w:p>
    <w:p w14:paraId="1A6F548D" w14:textId="77777777" w:rsidR="004B4E35" w:rsidRPr="00405303" w:rsidRDefault="009E6F82" w:rsidP="00C15251">
      <w:pPr>
        <w:jc w:val="both"/>
        <w:rPr>
          <w:bCs/>
          <w:color w:val="002060"/>
          <w:sz w:val="16"/>
          <w:szCs w:val="16"/>
        </w:rPr>
      </w:pPr>
      <w:r w:rsidRPr="00405303">
        <w:rPr>
          <w:bCs/>
          <w:color w:val="002060"/>
          <w:sz w:val="16"/>
          <w:szCs w:val="16"/>
        </w:rPr>
        <w:t xml:space="preserve">В этом полете принимал участие фон Буттлар, один из известнейших командиров морских цеппелинов, высокое боевое и навигационное искусство которого отмечается англичанами в официальных описаниях налетов германских воздушных кораблей на Англию. </w:t>
      </w:r>
    </w:p>
    <w:p w14:paraId="3C0B716D" w14:textId="77777777" w:rsidR="004B4E35" w:rsidRPr="00405303" w:rsidRDefault="009E6F82" w:rsidP="00C15251">
      <w:pPr>
        <w:jc w:val="both"/>
        <w:rPr>
          <w:bCs/>
          <w:color w:val="002060"/>
          <w:sz w:val="16"/>
          <w:szCs w:val="16"/>
        </w:rPr>
      </w:pPr>
      <w:r w:rsidRPr="00405303">
        <w:rPr>
          <w:bCs/>
          <w:color w:val="002060"/>
          <w:sz w:val="16"/>
          <w:szCs w:val="16"/>
        </w:rPr>
        <w:t xml:space="preserve">Воздухоплавательная карьера фон Буттлара чрезвычайно красочна [130] и исключительно удачна. Он последовательно командовал шестью цеппелинами, на которых совершил большое количество разведывательных и бомбардировочных полетов, находился много раз в самых критических ситуациях и всегда выходил с честью из самых безвыходных положений. Его последний корабль L-54 имел на пилотской гондоле орден «Пур ле мерит» (За заслуги) — высшую награду, которую в германских воздушных силах получали только самые заслуженные боевые летчики. </w:t>
      </w:r>
    </w:p>
    <w:p w14:paraId="1E0B3206" w14:textId="77777777" w:rsidR="004B4E35" w:rsidRPr="00405303" w:rsidRDefault="009E6F82" w:rsidP="00C15251">
      <w:pPr>
        <w:jc w:val="both"/>
        <w:rPr>
          <w:bCs/>
          <w:color w:val="002060"/>
          <w:sz w:val="16"/>
          <w:szCs w:val="16"/>
        </w:rPr>
      </w:pPr>
      <w:r w:rsidRPr="00405303">
        <w:rPr>
          <w:bCs/>
          <w:color w:val="002060"/>
          <w:sz w:val="16"/>
          <w:szCs w:val="16"/>
        </w:rPr>
        <w:t xml:space="preserve">Искусству пилотажа фон Буттлар обучался на дирижабле «Ганза», после чего он получил назначение в состав экипажа Z-II. Лишь по счастливой случайности в трагический день 17 октября 1913 года он остался на земле, когда при приемных испытаниях Z-II взорвался в воздухе и погиб вместе со всем экипажем. С объявлением войны фон Буттлар стал командиром Z-VI. </w:t>
      </w:r>
    </w:p>
    <w:p w14:paraId="2E8AD856" w14:textId="77777777" w:rsidR="004B4E35" w:rsidRPr="00405303" w:rsidRDefault="009E6F82" w:rsidP="00C15251">
      <w:pPr>
        <w:jc w:val="both"/>
        <w:rPr>
          <w:bCs/>
          <w:color w:val="002060"/>
          <w:sz w:val="16"/>
          <w:szCs w:val="16"/>
        </w:rPr>
      </w:pPr>
      <w:r w:rsidRPr="00405303">
        <w:rPr>
          <w:bCs/>
          <w:color w:val="002060"/>
          <w:sz w:val="16"/>
          <w:szCs w:val="16"/>
        </w:rPr>
        <w:t xml:space="preserve">При первом же разведывательном полете он бомбардировал английские суда, занятые постановкой мин, затем спустился на небольшую высоту и обстрелял эти суда из пулеметов. В ответ он подвергся жесточайшему ружейному и пулеметному обстрелу с палуб судов и едва дошел до своей базы, где обнаружил в баллонах дирижабля 600 пробоин. </w:t>
      </w:r>
    </w:p>
    <w:p w14:paraId="1F9A3203" w14:textId="77777777" w:rsidR="004B4E35" w:rsidRPr="00405303" w:rsidRDefault="009E6F82" w:rsidP="00C15251">
      <w:pPr>
        <w:jc w:val="both"/>
        <w:rPr>
          <w:bCs/>
          <w:color w:val="002060"/>
          <w:sz w:val="16"/>
          <w:szCs w:val="16"/>
        </w:rPr>
      </w:pPr>
      <w:r w:rsidRPr="00405303">
        <w:rPr>
          <w:bCs/>
          <w:color w:val="002060"/>
          <w:sz w:val="16"/>
          <w:szCs w:val="16"/>
        </w:rPr>
        <w:t xml:space="preserve">Фон Буттлар оставил описание того памятного августовского налета и событий, случившихся во время возвращения домой. «Наверху, на платформе воздушного корабля, сидел на вахте такелажмейстер. Он должен был предупредить, если пойдет дождь, чтобы мы могли своевременно узнать, подвергается ли корабль нагрузке от дождя или нет, так как при мелком дожде заметить это из расположенной под кораблем пилотской гондолы возможно лишь гораздо позднее, чем наверху с платформы. Едва прошло несколько минут, как сверху поступило донесение: «Идет дождь!» Вскоре мы сами в этом убедились: вода устремилась с корпуса корабля в гондолу целыми каскадами... Это был проливной дождь. Стол для карт стал совершенно мокрым, мой военный дневник поплыл, брызги летели со всех сторон, вода попадала за воротник и в рукава. Это было малоприятное положение... </w:t>
      </w:r>
    </w:p>
    <w:p w14:paraId="797D5D9A" w14:textId="77777777" w:rsidR="004B4E35" w:rsidRPr="00405303" w:rsidRDefault="009E6F82" w:rsidP="00C15251">
      <w:pPr>
        <w:jc w:val="both"/>
        <w:rPr>
          <w:bCs/>
          <w:color w:val="002060"/>
          <w:sz w:val="16"/>
          <w:szCs w:val="16"/>
        </w:rPr>
      </w:pPr>
      <w:r w:rsidRPr="00405303">
        <w:rPr>
          <w:bCs/>
          <w:color w:val="002060"/>
          <w:sz w:val="16"/>
          <w:szCs w:val="16"/>
        </w:rPr>
        <w:t xml:space="preserve">Вдруг весь корабль содрогнулся под действием ужасного вертикального ветра. Мы почувствовали, что нас неминуемо бросит на поверхность моря... Высотомер в течение тягостных секунд отмечал падение на двести, триста, пятьсот метров... Потом нас понесло вверх... Опять вниз... И так далее... </w:t>
      </w:r>
    </w:p>
    <w:p w14:paraId="597CC5D8" w14:textId="77777777" w:rsidR="004B4E35" w:rsidRPr="00405303" w:rsidRDefault="009E6F82" w:rsidP="00C15251">
      <w:pPr>
        <w:jc w:val="both"/>
        <w:rPr>
          <w:bCs/>
          <w:color w:val="002060"/>
          <w:sz w:val="16"/>
          <w:szCs w:val="16"/>
        </w:rPr>
      </w:pPr>
      <w:r w:rsidRPr="00405303">
        <w:rPr>
          <w:bCs/>
          <w:color w:val="002060"/>
          <w:sz w:val="16"/>
          <w:szCs w:val="16"/>
        </w:rPr>
        <w:t xml:space="preserve">Я приказал держать высоту 1200 м, но мы шли более чем на двух тысячах. </w:t>
      </w:r>
    </w:p>
    <w:p w14:paraId="22BED4B3" w14:textId="77777777" w:rsidR="004B4E35" w:rsidRPr="00405303" w:rsidRDefault="009E6F82" w:rsidP="00C15251">
      <w:pPr>
        <w:jc w:val="both"/>
        <w:rPr>
          <w:bCs/>
          <w:color w:val="002060"/>
          <w:sz w:val="16"/>
          <w:szCs w:val="16"/>
        </w:rPr>
      </w:pPr>
      <w:r w:rsidRPr="00405303">
        <w:rPr>
          <w:bCs/>
          <w:color w:val="002060"/>
          <w:sz w:val="16"/>
          <w:szCs w:val="16"/>
        </w:rPr>
        <w:t xml:space="preserve">Молнии становились сильнее и многочисленнее. Возле нас низринулась к земле исполинская шаровая молния, в гондоле стало светло как днем, весь корабль был освещен... Небо мерцало светло-зелеными всполохами. В следующее мгновение нас поглотила ночь. Мы пошли сквозь фиолетовый свет... </w:t>
      </w:r>
    </w:p>
    <w:p w14:paraId="0DF299B8" w14:textId="77777777" w:rsidR="004B4E35" w:rsidRPr="00405303" w:rsidRDefault="009E6F82" w:rsidP="00C15251">
      <w:pPr>
        <w:jc w:val="both"/>
        <w:rPr>
          <w:bCs/>
          <w:color w:val="002060"/>
          <w:sz w:val="16"/>
          <w:szCs w:val="16"/>
        </w:rPr>
      </w:pPr>
      <w:r w:rsidRPr="00405303">
        <w:rPr>
          <w:bCs/>
          <w:color w:val="002060"/>
          <w:sz w:val="16"/>
          <w:szCs w:val="16"/>
        </w:rPr>
        <w:t>Вновь темнота ослепила наши глаза. Шесть, семь молний исполинскими полипами бешено заветвились по небу. Громовые раскаты. [</w:t>
      </w:r>
      <w:proofErr w:type="gramStart"/>
      <w:r w:rsidRPr="00405303">
        <w:rPr>
          <w:bCs/>
          <w:color w:val="002060"/>
          <w:sz w:val="16"/>
          <w:szCs w:val="16"/>
        </w:rPr>
        <w:t>131] ..</w:t>
      </w:r>
      <w:proofErr w:type="gramEnd"/>
      <w:r w:rsidRPr="00405303">
        <w:rPr>
          <w:bCs/>
          <w:color w:val="002060"/>
          <w:sz w:val="16"/>
          <w:szCs w:val="16"/>
        </w:rPr>
        <w:t xml:space="preserve"> Со всех сторон тысячи огней. И среди них наполненный водородом корабль! Вновь ужасные порывы ветра, весь корабль содрогается. </w:t>
      </w:r>
    </w:p>
    <w:p w14:paraId="2EFFCE49" w14:textId="77777777" w:rsidR="004B4E35" w:rsidRPr="00405303" w:rsidRDefault="009E6F82" w:rsidP="00C15251">
      <w:pPr>
        <w:jc w:val="both"/>
        <w:rPr>
          <w:bCs/>
          <w:color w:val="002060"/>
          <w:sz w:val="16"/>
          <w:szCs w:val="16"/>
        </w:rPr>
      </w:pPr>
      <w:r w:rsidRPr="00405303">
        <w:rPr>
          <w:bCs/>
          <w:color w:val="002060"/>
          <w:sz w:val="16"/>
          <w:szCs w:val="16"/>
        </w:rPr>
        <w:t xml:space="preserve">Через переговорную трубу поступило донесение с платформы: «Мушки пулеметов горят!» </w:t>
      </w:r>
    </w:p>
    <w:p w14:paraId="269980F7" w14:textId="77777777" w:rsidR="004B4E35" w:rsidRPr="00405303" w:rsidRDefault="009E6F82" w:rsidP="00C15251">
      <w:pPr>
        <w:jc w:val="both"/>
        <w:rPr>
          <w:bCs/>
          <w:color w:val="002060"/>
          <w:sz w:val="16"/>
          <w:szCs w:val="16"/>
        </w:rPr>
      </w:pPr>
      <w:r w:rsidRPr="00405303">
        <w:rPr>
          <w:bCs/>
          <w:color w:val="002060"/>
          <w:sz w:val="16"/>
          <w:szCs w:val="16"/>
        </w:rPr>
        <w:t xml:space="preserve">Я ровно ничего не понимаю и посылаю наверх Шиллера (Ганс фон Шиллер — один из помощников Эккенера на «Графе Цеппелине», был вахтенным офицером на дирижаблях, которыми командовал фон Буттлар. — </w:t>
      </w:r>
      <w:r w:rsidRPr="00405303">
        <w:rPr>
          <w:bCs/>
          <w:i/>
          <w:color w:val="002060"/>
          <w:sz w:val="16"/>
          <w:szCs w:val="16"/>
        </w:rPr>
        <w:t>Сост.).</w:t>
      </w:r>
    </w:p>
    <w:p w14:paraId="69F55147" w14:textId="77777777" w:rsidR="004B4E35" w:rsidRPr="00405303" w:rsidRDefault="009E6F82" w:rsidP="00C15251">
      <w:pPr>
        <w:jc w:val="both"/>
        <w:rPr>
          <w:bCs/>
          <w:color w:val="002060"/>
          <w:sz w:val="16"/>
          <w:szCs w:val="16"/>
        </w:rPr>
      </w:pPr>
      <w:r w:rsidRPr="00405303">
        <w:rPr>
          <w:bCs/>
          <w:color w:val="002060"/>
          <w:sz w:val="16"/>
          <w:szCs w:val="16"/>
        </w:rPr>
        <w:t xml:space="preserve">Произошло нечто невиданное: мушки пулеметов излучали голубое пламя, матросские шапки были окружены сияющими нимбами, как на изображениях святых. На пулеметах зажглись огни Эльма, проволочные каркасы матросских фуражек также испускали сияние. Я далеко высунулся из окна гондолы и увидел, что мы шли через фиолетовое облако. Мы сами излучали электричество, весь корабль вел вместе с собой исполинское астральное тело. Когда я вернулся обратно внутрь гондолы и взял лежащий на карте циркуль, то получил разряд, даже циркуль был заряжен электричеством. Перед нами внезапно выросла сплошная стена молний — каждую секунду сотни молний. </w:t>
      </w:r>
    </w:p>
    <w:p w14:paraId="033C10ED"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И мы должны пройти через эту стену! Я передал мотористам: «Если хоть один мотор откажет, для нас наступит конец». Моторы не сдали, они работали без остановки, и мы были спасены от грозы. Однако порывы ветра стали ужасными. Весь корпус корабля содрогался и стонал... Это был настоящий ад... Кораблю удалось пробиться через шторм, и он благополучно приземлился в Нордхольце. </w:t>
      </w:r>
    </w:p>
    <w:p w14:paraId="3261F870" w14:textId="77777777" w:rsidR="004B4E35" w:rsidRPr="00405303" w:rsidRDefault="009E6F82" w:rsidP="00C15251">
      <w:pPr>
        <w:jc w:val="both"/>
        <w:rPr>
          <w:bCs/>
          <w:color w:val="002060"/>
          <w:sz w:val="16"/>
          <w:szCs w:val="16"/>
        </w:rPr>
      </w:pPr>
      <w:r w:rsidRPr="00405303">
        <w:rPr>
          <w:bCs/>
          <w:color w:val="002060"/>
          <w:sz w:val="16"/>
          <w:szCs w:val="16"/>
        </w:rPr>
        <w:t>В нашем маленьком казино, естественно, много говорили по поводу этого полета и дискуссировали вопрос: опасно ли на наполненном водородом корабле идти сквозь грозу. Я сказал: «Да». Мой прежний учитель лейтенант Штикер ответил: «Нет». К сожалению, я оказался прав. Несколько дней спустя, 3 сентября 1915 года, я стал свидетелем гибели L-10 под командой лейтенанта Штикера именно по этой причине (11324).</w:t>
      </w:r>
    </w:p>
    <w:p w14:paraId="7384BE33" w14:textId="77777777" w:rsidR="004B4E35" w:rsidRPr="00405303" w:rsidRDefault="004B4E35" w:rsidP="00C15251">
      <w:pPr>
        <w:pStyle w:val="a3"/>
        <w:jc w:val="both"/>
        <w:rPr>
          <w:bCs/>
          <w:color w:val="002060"/>
          <w:spacing w:val="0"/>
          <w:kern w:val="0"/>
          <w:position w:val="0"/>
          <w:sz w:val="16"/>
          <w:szCs w:val="16"/>
        </w:rPr>
      </w:pPr>
    </w:p>
    <w:p w14:paraId="01246AEB" w14:textId="77777777" w:rsidR="00ED6C9F" w:rsidRPr="00405303" w:rsidRDefault="00ED6C9F" w:rsidP="00C15251">
      <w:pPr>
        <w:jc w:val="both"/>
        <w:rPr>
          <w:bCs/>
          <w:color w:val="002060"/>
          <w:sz w:val="16"/>
          <w:szCs w:val="16"/>
        </w:rPr>
      </w:pPr>
      <w:r w:rsidRPr="00405303">
        <w:rPr>
          <w:bCs/>
          <w:color w:val="002060"/>
          <w:sz w:val="16"/>
          <w:szCs w:val="16"/>
        </w:rPr>
        <w:t>4-5 (17–18) августа (ночь) 1915 четыре дирижабля ВМС Германии пытаются бомбить Лондон. Двое поворачивают назад с неисправным двигателем, и L-11 по ошибке бомбит поля возле Эшфорда и Фавершема. L 10 , однако, становится первым дирижаблем ВМС Германии, когда-либо достигшим Лондона, но, думая, что он находится над центром Лондона, она по ошибке бомбила Лейтон , попав в железнодорожную станцию и несколько домов, убив 10 человек и ранив 48 (20338).</w:t>
      </w:r>
    </w:p>
    <w:p w14:paraId="6D2669D9" w14:textId="77777777" w:rsidR="00ED6C9F" w:rsidRPr="00405303" w:rsidRDefault="00ED6C9F" w:rsidP="00C15251">
      <w:pPr>
        <w:jc w:val="both"/>
        <w:rPr>
          <w:bCs/>
          <w:color w:val="002060"/>
          <w:sz w:val="16"/>
          <w:szCs w:val="16"/>
        </w:rPr>
      </w:pPr>
    </w:p>
    <w:p w14:paraId="46818F61"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Англии:</w:t>
      </w:r>
    </w:p>
    <w:p w14:paraId="736668F5" w14:textId="77777777" w:rsidR="004B4E35" w:rsidRPr="00405303" w:rsidRDefault="004B4E35" w:rsidP="00C15251">
      <w:pPr>
        <w:shd w:val="clear" w:color="auto" w:fill="FFFFFF"/>
        <w:jc w:val="both"/>
        <w:rPr>
          <w:bCs/>
          <w:i/>
          <w:color w:val="002060"/>
          <w:sz w:val="16"/>
          <w:szCs w:val="16"/>
        </w:rPr>
      </w:pPr>
    </w:p>
    <w:p w14:paraId="3AD56E59" w14:textId="48435FD7" w:rsidR="004B4E35" w:rsidRPr="00405303" w:rsidRDefault="009E6F82" w:rsidP="00C15251">
      <w:pPr>
        <w:jc w:val="both"/>
        <w:rPr>
          <w:bCs/>
          <w:color w:val="002060"/>
          <w:sz w:val="16"/>
          <w:szCs w:val="16"/>
        </w:rPr>
      </w:pPr>
      <w:r w:rsidRPr="00405303">
        <w:rPr>
          <w:bCs/>
          <w:color w:val="002060"/>
          <w:sz w:val="16"/>
          <w:szCs w:val="16"/>
        </w:rPr>
        <w:t>4 (17) ав</w:t>
      </w:r>
      <w:r w:rsidRPr="00405303">
        <w:rPr>
          <w:bCs/>
          <w:color w:val="002060"/>
          <w:sz w:val="16"/>
          <w:szCs w:val="16"/>
        </w:rPr>
        <w:softHyphen/>
        <w:t xml:space="preserve">густа 1915 </w:t>
      </w:r>
      <w:proofErr w:type="gramStart"/>
      <w:r w:rsidRPr="00405303">
        <w:rPr>
          <w:bCs/>
          <w:color w:val="002060"/>
          <w:sz w:val="16"/>
          <w:szCs w:val="16"/>
        </w:rPr>
        <w:t xml:space="preserve">г. </w:t>
      </w:r>
      <w:r w:rsidR="00764D14" w:rsidRPr="00405303">
        <w:rPr>
          <w:bCs/>
          <w:color w:val="002060"/>
          <w:sz w:val="16"/>
          <w:szCs w:val="16"/>
        </w:rPr>
        <w:t>,</w:t>
      </w:r>
      <w:proofErr w:type="gramEnd"/>
      <w:r w:rsidR="00764D14" w:rsidRPr="00405303">
        <w:rPr>
          <w:bCs/>
          <w:color w:val="002060"/>
          <w:sz w:val="16"/>
          <w:szCs w:val="16"/>
        </w:rPr>
        <w:t xml:space="preserve"> действуя с авиатранспорта, </w:t>
      </w:r>
      <w:r w:rsidRPr="00405303">
        <w:rPr>
          <w:bCs/>
          <w:color w:val="002060"/>
          <w:sz w:val="16"/>
          <w:szCs w:val="16"/>
        </w:rPr>
        <w:t>летчик капитан 2 ран</w:t>
      </w:r>
      <w:r w:rsidRPr="00405303">
        <w:rPr>
          <w:bCs/>
          <w:color w:val="002060"/>
          <w:sz w:val="16"/>
          <w:szCs w:val="16"/>
        </w:rPr>
        <w:softHyphen/>
        <w:t>га К. Эдмондс на самолете «Шорт» потопил торпедой турецкий транс</w:t>
      </w:r>
      <w:r w:rsidRPr="00405303">
        <w:rPr>
          <w:bCs/>
          <w:color w:val="002060"/>
          <w:sz w:val="16"/>
          <w:szCs w:val="16"/>
        </w:rPr>
        <w:softHyphen/>
        <w:t>порт водоизмещением 5000 т, гру</w:t>
      </w:r>
      <w:r w:rsidRPr="00405303">
        <w:rPr>
          <w:bCs/>
          <w:color w:val="002060"/>
          <w:sz w:val="16"/>
          <w:szCs w:val="16"/>
        </w:rPr>
        <w:softHyphen/>
        <w:t>женый боеприпасами. Это событие широко комментировалось в миро</w:t>
      </w:r>
      <w:r w:rsidRPr="00405303">
        <w:rPr>
          <w:bCs/>
          <w:color w:val="002060"/>
          <w:sz w:val="16"/>
          <w:szCs w:val="16"/>
        </w:rPr>
        <w:softHyphen/>
        <w:t>вой печати и знаменовало появле</w:t>
      </w:r>
      <w:r w:rsidRPr="00405303">
        <w:rPr>
          <w:bCs/>
          <w:color w:val="002060"/>
          <w:sz w:val="16"/>
          <w:szCs w:val="16"/>
        </w:rPr>
        <w:softHyphen/>
        <w:t>ние нового авиационного средства поражения. Как-то не очень акцен</w:t>
      </w:r>
      <w:r w:rsidRPr="00405303">
        <w:rPr>
          <w:bCs/>
          <w:color w:val="002060"/>
          <w:sz w:val="16"/>
          <w:szCs w:val="16"/>
        </w:rPr>
        <w:softHyphen/>
        <w:t>тировали одну немаловажную де</w:t>
      </w:r>
      <w:r w:rsidRPr="00405303">
        <w:rPr>
          <w:bCs/>
          <w:color w:val="002060"/>
          <w:sz w:val="16"/>
          <w:szCs w:val="16"/>
        </w:rPr>
        <w:softHyphen/>
        <w:t>таль: пуск торпеды производился с самолёта, вынужденного вследствие снижения тяги двигателя привод</w:t>
      </w:r>
      <w:r w:rsidRPr="00405303">
        <w:rPr>
          <w:bCs/>
          <w:color w:val="002060"/>
          <w:sz w:val="16"/>
          <w:szCs w:val="16"/>
        </w:rPr>
        <w:softHyphen/>
        <w:t>ниться и сбросить торпеду в режи</w:t>
      </w:r>
      <w:r w:rsidRPr="00405303">
        <w:rPr>
          <w:bCs/>
          <w:color w:val="002060"/>
          <w:sz w:val="16"/>
          <w:szCs w:val="16"/>
        </w:rPr>
        <w:softHyphen/>
        <w:t>ме глиссирования на небольшой скорости. Освободившись от на</w:t>
      </w:r>
      <w:r w:rsidRPr="00405303">
        <w:rPr>
          <w:bCs/>
          <w:color w:val="002060"/>
          <w:sz w:val="16"/>
          <w:szCs w:val="16"/>
        </w:rPr>
        <w:softHyphen/>
        <w:t>грузки, самолёт смог взлететь (11872).</w:t>
      </w:r>
    </w:p>
    <w:p w14:paraId="28F7232D" w14:textId="77777777" w:rsidR="004B4E35" w:rsidRPr="00405303" w:rsidRDefault="004B4E35" w:rsidP="00C15251">
      <w:pPr>
        <w:jc w:val="both"/>
        <w:rPr>
          <w:bCs/>
          <w:color w:val="002060"/>
          <w:sz w:val="16"/>
          <w:szCs w:val="16"/>
        </w:rPr>
      </w:pPr>
    </w:p>
    <w:p w14:paraId="2C0D3CD5" w14:textId="72ADFA11" w:rsidR="004B4E35" w:rsidRPr="00405303" w:rsidRDefault="009E6F82" w:rsidP="00C15251">
      <w:pPr>
        <w:jc w:val="both"/>
        <w:rPr>
          <w:bCs/>
          <w:color w:val="002060"/>
          <w:sz w:val="16"/>
          <w:szCs w:val="16"/>
        </w:rPr>
      </w:pPr>
      <w:r w:rsidRPr="00405303">
        <w:rPr>
          <w:bCs/>
          <w:color w:val="002060"/>
          <w:sz w:val="16"/>
          <w:szCs w:val="16"/>
        </w:rPr>
        <w:t xml:space="preserve">4 (17) августа </w:t>
      </w:r>
      <w:r w:rsidR="00764D14" w:rsidRPr="00405303">
        <w:rPr>
          <w:bCs/>
          <w:color w:val="002060"/>
          <w:sz w:val="16"/>
          <w:szCs w:val="16"/>
        </w:rPr>
        <w:t>1915 г.</w:t>
      </w:r>
      <w:r w:rsidRPr="00405303">
        <w:rPr>
          <w:bCs/>
          <w:color w:val="002060"/>
          <w:sz w:val="16"/>
          <w:szCs w:val="16"/>
        </w:rPr>
        <w:t xml:space="preserve"> </w:t>
      </w:r>
      <w:r w:rsidR="00764D14" w:rsidRPr="00405303">
        <w:rPr>
          <w:bCs/>
          <w:color w:val="002060"/>
          <w:sz w:val="16"/>
          <w:szCs w:val="16"/>
        </w:rPr>
        <w:t>е</w:t>
      </w:r>
      <w:r w:rsidRPr="00405303">
        <w:rPr>
          <w:bCs/>
          <w:color w:val="002060"/>
          <w:sz w:val="16"/>
          <w:szCs w:val="16"/>
        </w:rPr>
        <w:t>ще один английский самолет потопил турецкий транспорт с войсками, выпустив торпеду. Таким образом, англичане в Дарданелльской операции также неожиданным образом успешно расширили возможности применения авиации.</w:t>
      </w:r>
    </w:p>
    <w:p w14:paraId="12E375CC" w14:textId="77777777" w:rsidR="004B4E35" w:rsidRPr="00405303" w:rsidRDefault="009E6F82" w:rsidP="00C15251">
      <w:pPr>
        <w:jc w:val="both"/>
        <w:rPr>
          <w:bCs/>
          <w:color w:val="002060"/>
          <w:sz w:val="16"/>
          <w:szCs w:val="16"/>
        </w:rPr>
      </w:pPr>
      <w:r w:rsidRPr="00405303">
        <w:rPr>
          <w:bCs/>
          <w:color w:val="002060"/>
          <w:sz w:val="16"/>
          <w:szCs w:val="16"/>
        </w:rPr>
        <w:t>Тем не менее, несмотря на столь успешное применение самолетов как торпедоносцев, больше они в этом качестве не использовались. Дело в том, что отрыв от воды тяжело груженого поплавкового самолета в этот период требовал исключительно благоприятных погодных условий и безотказной работы на полном пределе маломощных двигателей. По-настоящему эта возможность применения авиации будет использована только в следующую мировую войну, когда будут созданы специальные смолеты-торпедоносцы (11999).</w:t>
      </w:r>
    </w:p>
    <w:p w14:paraId="3B2AD259" w14:textId="77777777" w:rsidR="004B4E35" w:rsidRPr="00405303" w:rsidRDefault="004B4E35" w:rsidP="00C15251">
      <w:pPr>
        <w:jc w:val="both"/>
        <w:rPr>
          <w:bCs/>
          <w:color w:val="002060"/>
          <w:sz w:val="16"/>
          <w:szCs w:val="16"/>
        </w:rPr>
      </w:pPr>
    </w:p>
    <w:p w14:paraId="74D485DB"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1820277C" w14:textId="77777777" w:rsidR="004B4E35" w:rsidRPr="00405303" w:rsidRDefault="004B4E35" w:rsidP="00C15251">
      <w:pPr>
        <w:pStyle w:val="a3"/>
        <w:jc w:val="both"/>
        <w:rPr>
          <w:bCs/>
          <w:color w:val="002060"/>
          <w:spacing w:val="0"/>
          <w:kern w:val="0"/>
          <w:position w:val="0"/>
          <w:sz w:val="16"/>
          <w:szCs w:val="16"/>
        </w:rPr>
      </w:pPr>
    </w:p>
    <w:p w14:paraId="24977C84" w14:textId="3AB34622"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5 (18) августа 1915 </w:t>
      </w:r>
      <w:r w:rsidR="00764D14" w:rsidRPr="00405303">
        <w:rPr>
          <w:bCs/>
          <w:color w:val="002060"/>
          <w:sz w:val="16"/>
          <w:szCs w:val="16"/>
        </w:rPr>
        <w:t xml:space="preserve">г. </w:t>
      </w:r>
      <w:r w:rsidRPr="00405303">
        <w:rPr>
          <w:bCs/>
          <w:color w:val="002060"/>
          <w:sz w:val="16"/>
          <w:szCs w:val="16"/>
        </w:rPr>
        <w:t>Воздухоплава</w:t>
      </w:r>
      <w:r w:rsidRPr="00405303">
        <w:rPr>
          <w:bCs/>
          <w:color w:val="002060"/>
          <w:sz w:val="16"/>
          <w:szCs w:val="16"/>
        </w:rPr>
        <w:softHyphen/>
        <w:t>тельный отдел ГВТУ извещает Адаменко о согласии сделать заказ. Потирая руки в предвкушении коммерческого успеха, предприим</w:t>
      </w:r>
      <w:r w:rsidRPr="00405303">
        <w:rPr>
          <w:bCs/>
          <w:color w:val="002060"/>
          <w:sz w:val="16"/>
          <w:szCs w:val="16"/>
        </w:rPr>
        <w:softHyphen/>
        <w:t>чивый дворянин уже собирался в Петроград для подписания кон</w:t>
      </w:r>
      <w:r w:rsidRPr="00405303">
        <w:rPr>
          <w:bCs/>
          <w:color w:val="002060"/>
          <w:sz w:val="16"/>
          <w:szCs w:val="16"/>
        </w:rPr>
        <w:softHyphen/>
        <w:t>тракта и просил телеграфировать размер задатка для закупки по</w:t>
      </w:r>
      <w:r w:rsidRPr="00405303">
        <w:rPr>
          <w:bCs/>
          <w:color w:val="002060"/>
          <w:sz w:val="16"/>
          <w:szCs w:val="16"/>
        </w:rPr>
        <w:softHyphen/>
        <w:t>луфабрикатов. Но поездку пришлось отложить, поскольку у заказ</w:t>
      </w:r>
      <w:r w:rsidRPr="00405303">
        <w:rPr>
          <w:bCs/>
          <w:color w:val="002060"/>
          <w:sz w:val="16"/>
          <w:szCs w:val="16"/>
        </w:rPr>
        <w:softHyphen/>
        <w:t>чика возникли сомнения в способности завода выполнить контракт. Потребовалось представить свиде</w:t>
      </w:r>
      <w:r w:rsidRPr="00405303">
        <w:rPr>
          <w:bCs/>
          <w:color w:val="002060"/>
          <w:sz w:val="16"/>
          <w:szCs w:val="16"/>
        </w:rPr>
        <w:softHyphen/>
        <w:t>тельство старшего фабричного инспектора Тав</w:t>
      </w:r>
      <w:r w:rsidRPr="00405303">
        <w:rPr>
          <w:bCs/>
          <w:color w:val="002060"/>
          <w:sz w:val="16"/>
          <w:szCs w:val="16"/>
        </w:rPr>
        <w:softHyphen/>
        <w:t>рической губернии, который отнес его к предпри</w:t>
      </w:r>
      <w:r w:rsidRPr="00405303">
        <w:rPr>
          <w:bCs/>
          <w:color w:val="002060"/>
          <w:sz w:val="16"/>
          <w:szCs w:val="16"/>
        </w:rPr>
        <w:softHyphen/>
        <w:t>ятиям 5-го разряда и подтвердил производствен</w:t>
      </w:r>
      <w:r w:rsidRPr="00405303">
        <w:rPr>
          <w:bCs/>
          <w:color w:val="002060"/>
          <w:sz w:val="16"/>
          <w:szCs w:val="16"/>
        </w:rPr>
        <w:softHyphen/>
        <w:t>ные возможности завода, находившегося по адресу «г. Карасубазар, собственный дом». Тем временем на завод прибыл назначенный наблю</w:t>
      </w:r>
      <w:r w:rsidRPr="00405303">
        <w:rPr>
          <w:bCs/>
          <w:color w:val="002060"/>
          <w:sz w:val="16"/>
          <w:szCs w:val="16"/>
        </w:rPr>
        <w:softHyphen/>
        <w:t>дающим за постройкой аэропланов капитан Ма</w:t>
      </w:r>
      <w:r w:rsidRPr="00405303">
        <w:rPr>
          <w:bCs/>
          <w:color w:val="002060"/>
          <w:sz w:val="16"/>
          <w:szCs w:val="16"/>
        </w:rPr>
        <w:softHyphen/>
        <w:t>кеев (11124).</w:t>
      </w:r>
    </w:p>
    <w:p w14:paraId="62909DD5" w14:textId="77777777" w:rsidR="004B4E35" w:rsidRPr="00405303" w:rsidRDefault="004B4E35" w:rsidP="00C15251">
      <w:pPr>
        <w:shd w:val="clear" w:color="auto" w:fill="FFFFFF"/>
        <w:jc w:val="both"/>
        <w:rPr>
          <w:bCs/>
          <w:color w:val="002060"/>
          <w:sz w:val="16"/>
          <w:szCs w:val="16"/>
        </w:rPr>
      </w:pPr>
    </w:p>
    <w:p w14:paraId="6A9AC58C" w14:textId="12BBE942" w:rsidR="00202AB0" w:rsidRPr="00405303" w:rsidRDefault="00202AB0" w:rsidP="00C15251">
      <w:pPr>
        <w:pStyle w:val="15"/>
        <w:spacing w:before="0" w:after="0"/>
        <w:jc w:val="both"/>
        <w:rPr>
          <w:bCs/>
          <w:color w:val="002060"/>
          <w:sz w:val="16"/>
          <w:szCs w:val="16"/>
        </w:rPr>
      </w:pPr>
      <w:bookmarkStart w:id="212" w:name="_Hlk117700993"/>
      <w:r w:rsidRPr="00405303">
        <w:rPr>
          <w:bCs/>
          <w:color w:val="002060"/>
          <w:sz w:val="16"/>
          <w:szCs w:val="16"/>
        </w:rPr>
        <w:t xml:space="preserve">5 </w:t>
      </w:r>
      <w:r w:rsidR="00764D14" w:rsidRPr="00405303">
        <w:rPr>
          <w:bCs/>
          <w:color w:val="002060"/>
          <w:sz w:val="16"/>
          <w:szCs w:val="16"/>
        </w:rPr>
        <w:t xml:space="preserve">(18) </w:t>
      </w:r>
      <w:r w:rsidRPr="00405303">
        <w:rPr>
          <w:bCs/>
          <w:color w:val="002060"/>
          <w:sz w:val="16"/>
          <w:szCs w:val="16"/>
        </w:rPr>
        <w:t xml:space="preserve">августа </w:t>
      </w:r>
      <w:r w:rsidR="00764D14" w:rsidRPr="00405303">
        <w:rPr>
          <w:bCs/>
          <w:color w:val="002060"/>
          <w:sz w:val="16"/>
          <w:szCs w:val="16"/>
        </w:rPr>
        <w:t xml:space="preserve">1915 г. </w:t>
      </w:r>
      <w:r w:rsidRPr="00405303">
        <w:rPr>
          <w:bCs/>
          <w:color w:val="002060"/>
          <w:sz w:val="16"/>
          <w:szCs w:val="16"/>
        </w:rPr>
        <w:t>Воздухоплавательный отдел ГВТУ извещает Адаменко о согласии сделать заказ. Потирая руки в предвкушении коммерческого успеха, предприимчивый дворянин уже собирался в Петроград для подписания контракта и просил телеграфировать размер задатка для закупки полуфабрикатов. Но поездку пришлось отложить, поскольку у заказчика возникли сомнения в способности завода выполнить контракт. Потребовалось представить свидетельство старшего фабричного инспектора Таврической губернии, который отнес его к предприятиям 5-го разряда и подтвердил производственные возможности завода, находившегося по адресу «г. Карасубазар, собственный дом». Тем временем на завод прибыл назначенный наблюдающим за постройкой аэропланов капитан Макеев. В конце сентября из Одессы с завода Анатры прислали комплект чертежей «Фармана IV», а в октябре Адаменко получил первую партию необходимых проволоки и тросов. Наконец, 12 ноября 1915 г. был подписан контракт № 30033, предусматривавший поставку десяти самолетов «Фарман IV» по цене 4875 руб. В соответствии с принятой в России практикой, аппараты поставлялись без моторов и винтов. Обычно партии самолетов сдавали, используя 1-2 двигателя, которые по очереди устанавливали на подлежащие облету машины. Сроки выполнения заказа определялись довольно жесткие — к 6 января 1916 г. Вполне естественно, что недавно родившееся предприятие не смогло их выдержать — первые 5 самолетов представитель Центрального воздухоплавательного склада принял лишь 29 марта, а вторую партию передали Севастопольской авиашколе 24 июня 1916 г. (12252).</w:t>
      </w:r>
    </w:p>
    <w:p w14:paraId="4E997D60" w14:textId="77777777" w:rsidR="00202AB0" w:rsidRPr="00405303" w:rsidRDefault="00202AB0" w:rsidP="00C15251">
      <w:pPr>
        <w:pStyle w:val="15"/>
        <w:spacing w:before="0" w:after="0"/>
        <w:jc w:val="both"/>
        <w:rPr>
          <w:bCs/>
          <w:color w:val="002060"/>
          <w:sz w:val="16"/>
          <w:szCs w:val="16"/>
        </w:rPr>
      </w:pPr>
    </w:p>
    <w:bookmarkEnd w:id="212"/>
    <w:p w14:paraId="43D779FE" w14:textId="1734EB6A" w:rsidR="00111B81" w:rsidRPr="00405303" w:rsidRDefault="00111B81" w:rsidP="00111B81">
      <w:pPr>
        <w:shd w:val="clear" w:color="auto" w:fill="FFFFFF"/>
        <w:jc w:val="both"/>
        <w:rPr>
          <w:bCs/>
          <w:i/>
          <w:color w:val="002060"/>
          <w:sz w:val="16"/>
          <w:szCs w:val="16"/>
        </w:rPr>
      </w:pPr>
      <w:r w:rsidRPr="00405303">
        <w:rPr>
          <w:bCs/>
          <w:i/>
          <w:color w:val="002060"/>
          <w:sz w:val="16"/>
          <w:szCs w:val="16"/>
        </w:rPr>
        <w:t>Армия:</w:t>
      </w:r>
    </w:p>
    <w:p w14:paraId="3C6FF0B9" w14:textId="77777777" w:rsidR="00111B81" w:rsidRPr="00405303" w:rsidRDefault="00111B81" w:rsidP="00111B81">
      <w:pPr>
        <w:shd w:val="clear" w:color="auto" w:fill="FFFFFF"/>
        <w:jc w:val="both"/>
        <w:rPr>
          <w:bCs/>
          <w:i/>
          <w:color w:val="002060"/>
          <w:sz w:val="16"/>
          <w:szCs w:val="16"/>
        </w:rPr>
      </w:pPr>
    </w:p>
    <w:p w14:paraId="3AC91955" w14:textId="77777777" w:rsidR="00111B81" w:rsidRPr="00405303" w:rsidRDefault="00111B81" w:rsidP="00111B81">
      <w:pPr>
        <w:jc w:val="both"/>
        <w:rPr>
          <w:color w:val="0070C0"/>
          <w:sz w:val="16"/>
          <w:szCs w:val="16"/>
        </w:rPr>
      </w:pPr>
      <w:r w:rsidRPr="00405303">
        <w:rPr>
          <w:rStyle w:val="aa"/>
          <w:rFonts w:ascii="Times New Roman" w:hAnsi="Times New Roman"/>
          <w:color w:val="0070C0"/>
          <w:spacing w:val="0"/>
          <w:sz w:val="16"/>
          <w:szCs w:val="16"/>
        </w:rPr>
        <w:t>5 (18) августа 1915 г. вследствие разделения Северо-Западного фронта были образованы новые стратегически-оперативные объединения: Северный и Западный фронты. Это позволило сконцентрировать на западном стратегическом направлении 2, 3, 4 и 10-ю русские армии, с перемещением туда позднее 1-й и 5-й армий (25135).</w:t>
      </w:r>
    </w:p>
    <w:p w14:paraId="4FDDA007" w14:textId="77777777" w:rsidR="00111B81" w:rsidRPr="00405303" w:rsidRDefault="00111B81" w:rsidP="00111B81">
      <w:pPr>
        <w:jc w:val="both"/>
        <w:rPr>
          <w:rStyle w:val="aa"/>
          <w:rFonts w:ascii="Times New Roman" w:hAnsi="Times New Roman"/>
          <w:color w:val="0070C0"/>
          <w:spacing w:val="0"/>
          <w:sz w:val="16"/>
          <w:szCs w:val="16"/>
        </w:rPr>
      </w:pPr>
    </w:p>
    <w:p w14:paraId="716BACD4"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4AD242DE" w14:textId="77777777" w:rsidR="004B4E35" w:rsidRPr="00405303" w:rsidRDefault="004B4E35" w:rsidP="00C15251">
      <w:pPr>
        <w:shd w:val="clear" w:color="auto" w:fill="FFFFFF"/>
        <w:jc w:val="both"/>
        <w:rPr>
          <w:bCs/>
          <w:i/>
          <w:color w:val="002060"/>
          <w:sz w:val="16"/>
          <w:szCs w:val="16"/>
        </w:rPr>
      </w:pPr>
    </w:p>
    <w:p w14:paraId="7F5C103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 (18) августа 1915 перед падением осажденной крепости Ново-Георгиевск 33-й КАО (бывший Ново-Георгиевский крепостной) в полном составе, погрузив знамена и секретные документы, вылетел под обстрелом артиллерии из осажденной крепости» Пролетев в тяжелых метеорологических условиях (туман) свыше 300 км, из которых около 200 км над расположением противника, отряд прибыл в район Белостока. Летчик К.К.Вакуловский, принявший крепостные знамена, дал клятву уничтожить себя и знамена в случае неудач</w:t>
      </w:r>
      <w:r w:rsidRPr="00405303">
        <w:rPr>
          <w:bCs/>
          <w:color w:val="002060"/>
          <w:sz w:val="16"/>
          <w:szCs w:val="16"/>
        </w:rPr>
        <w:softHyphen/>
        <w:t>ного полета. Поручик А.Н.Ливотов, вылетевший с секретными документами и мотористом, сбился с пути, сел в расположении противника и снова улетел, избежав пленения, а по пути произвол разведку и доставил важные сведения о передвижении противника к Брест-Литовску. Последним вылетел штабс-капитан Юрий Михай</w:t>
      </w:r>
      <w:r w:rsidRPr="00405303">
        <w:rPr>
          <w:bCs/>
          <w:color w:val="002060"/>
          <w:sz w:val="16"/>
          <w:szCs w:val="16"/>
        </w:rPr>
        <w:softHyphen/>
        <w:t xml:space="preserve">лович Козъмин, предварительно уничтожив остатки авиационного имущества и запасные двигатели, не вывезенные при эвакуации (ЦГВИА. ф. 493, </w:t>
      </w:r>
      <w:proofErr w:type="gramStart"/>
      <w:r w:rsidRPr="00405303">
        <w:rPr>
          <w:bCs/>
          <w:color w:val="002060"/>
          <w:sz w:val="16"/>
          <w:szCs w:val="16"/>
        </w:rPr>
        <w:t>оп.З</w:t>
      </w:r>
      <w:proofErr w:type="gramEnd"/>
      <w:r w:rsidRPr="00405303">
        <w:rPr>
          <w:bCs/>
          <w:color w:val="002060"/>
          <w:sz w:val="16"/>
          <w:szCs w:val="16"/>
        </w:rPr>
        <w:t>, д.129, л.12; "Военный летчик" 1917, № 4).</w:t>
      </w:r>
    </w:p>
    <w:p w14:paraId="09E81350" w14:textId="77777777" w:rsidR="004B4E35" w:rsidRPr="00405303" w:rsidRDefault="004B4E35" w:rsidP="00C15251">
      <w:pPr>
        <w:shd w:val="clear" w:color="auto" w:fill="FFFFFF"/>
        <w:jc w:val="both"/>
        <w:rPr>
          <w:bCs/>
          <w:color w:val="002060"/>
          <w:sz w:val="16"/>
          <w:szCs w:val="16"/>
        </w:rPr>
      </w:pPr>
    </w:p>
    <w:p w14:paraId="067D8730" w14:textId="77777777" w:rsidR="00764D14" w:rsidRPr="00405303" w:rsidRDefault="00764D14" w:rsidP="00C15251">
      <w:pPr>
        <w:jc w:val="both"/>
        <w:rPr>
          <w:bCs/>
          <w:color w:val="002060"/>
          <w:sz w:val="16"/>
          <w:szCs w:val="16"/>
        </w:rPr>
      </w:pPr>
      <w:r w:rsidRPr="00405303">
        <w:rPr>
          <w:bCs/>
          <w:color w:val="002060"/>
          <w:sz w:val="16"/>
          <w:szCs w:val="16"/>
        </w:rPr>
        <w:t>5 (18) августа 1915 г. перед падением крепости Ново-Георгиевск 33-й КАО (бывший кпепостной) в полном составе, погрузив знамена и секретные документы, вылетели под обстрелом артиллерии противника к Брест-Литовску. Последним вылетел шт.—капитан Юрий Михайлович Козьмин, предварительно уничтожив остатки ави</w:t>
      </w:r>
      <w:r w:rsidRPr="00405303">
        <w:rPr>
          <w:bCs/>
          <w:color w:val="002060"/>
          <w:sz w:val="16"/>
          <w:szCs w:val="16"/>
        </w:rPr>
        <w:softHyphen/>
        <w:t>ационного имущества и запасные моторы, не вывезенные при эвакуации.</w:t>
      </w:r>
    </w:p>
    <w:p w14:paraId="18B7E2BB" w14:textId="77777777" w:rsidR="00764D14" w:rsidRPr="00405303" w:rsidRDefault="00764D14" w:rsidP="00C15251">
      <w:pPr>
        <w:jc w:val="both"/>
        <w:rPr>
          <w:bCs/>
          <w:color w:val="002060"/>
          <w:sz w:val="16"/>
          <w:szCs w:val="16"/>
        </w:rPr>
      </w:pPr>
      <w:r w:rsidRPr="00405303">
        <w:rPr>
          <w:bCs/>
          <w:color w:val="002060"/>
          <w:sz w:val="16"/>
          <w:szCs w:val="16"/>
        </w:rPr>
        <w:t>/ЦГВИА, ф. 493, оп. 3, д. 129, л. 12; “Военный летчик",1917, № 4/ (23320).</w:t>
      </w:r>
    </w:p>
    <w:p w14:paraId="6181CC70" w14:textId="77777777" w:rsidR="00764D14" w:rsidRPr="00405303" w:rsidRDefault="00764D14" w:rsidP="00C15251">
      <w:pPr>
        <w:jc w:val="both"/>
        <w:rPr>
          <w:bCs/>
          <w:color w:val="002060"/>
          <w:sz w:val="16"/>
          <w:szCs w:val="16"/>
        </w:rPr>
      </w:pPr>
    </w:p>
    <w:p w14:paraId="61069AAA" w14:textId="53383F35" w:rsidR="00D866D7" w:rsidRPr="00405303" w:rsidRDefault="00D866D7" w:rsidP="00C15251">
      <w:pPr>
        <w:jc w:val="both"/>
        <w:rPr>
          <w:bCs/>
          <w:color w:val="002060"/>
          <w:sz w:val="16"/>
          <w:szCs w:val="16"/>
        </w:rPr>
      </w:pPr>
      <w:bookmarkStart w:id="213" w:name="bookmark237"/>
      <w:bookmarkStart w:id="214" w:name="bookmark238"/>
      <w:r w:rsidRPr="00405303">
        <w:rPr>
          <w:bCs/>
          <w:color w:val="002060"/>
          <w:sz w:val="16"/>
          <w:szCs w:val="16"/>
        </w:rPr>
        <w:t>5 (18) августа 1915 г. над Ригой было отмечено появление немецкого аэроплана, с которого разбрасывались прокламации, другой неприятельский летательный аппарат провел бомбардировку позиций наших войск (вблизи г. Ковель), сбросив шесть бомб (без какого-либо ущерба). Вечером того же дня бомбардировке подвергся г. Малкина. Появившийся в небе города цеппелин сбросил 24 снаряда (из них 11 не разорвалось), что привело к человеческим жертвам среди местного населения (23405).</w:t>
      </w:r>
      <w:bookmarkEnd w:id="213"/>
      <w:bookmarkEnd w:id="214"/>
    </w:p>
    <w:p w14:paraId="55685E79" w14:textId="77777777" w:rsidR="00D866D7" w:rsidRPr="00405303" w:rsidRDefault="00D866D7" w:rsidP="00C15251">
      <w:pPr>
        <w:jc w:val="both"/>
        <w:rPr>
          <w:bCs/>
          <w:color w:val="002060"/>
          <w:sz w:val="16"/>
          <w:szCs w:val="16"/>
        </w:rPr>
      </w:pPr>
    </w:p>
    <w:p w14:paraId="366722AE" w14:textId="0655CC56" w:rsidR="009F5F5A" w:rsidRPr="00405303" w:rsidRDefault="009F5F5A" w:rsidP="00C15251">
      <w:pPr>
        <w:shd w:val="clear" w:color="auto" w:fill="FFFFFF"/>
        <w:jc w:val="both"/>
        <w:rPr>
          <w:bCs/>
          <w:i/>
          <w:color w:val="002060"/>
          <w:sz w:val="16"/>
          <w:szCs w:val="16"/>
        </w:rPr>
      </w:pPr>
      <w:r w:rsidRPr="00405303">
        <w:rPr>
          <w:bCs/>
          <w:i/>
          <w:color w:val="002060"/>
          <w:sz w:val="16"/>
          <w:szCs w:val="16"/>
        </w:rPr>
        <w:lastRenderedPageBreak/>
        <w:t>Военное воздухоплавание:</w:t>
      </w:r>
    </w:p>
    <w:p w14:paraId="2DAA3119" w14:textId="77777777" w:rsidR="009F5F5A" w:rsidRPr="00405303" w:rsidRDefault="009F5F5A" w:rsidP="00C15251">
      <w:pPr>
        <w:shd w:val="clear" w:color="auto" w:fill="FFFFFF"/>
        <w:jc w:val="both"/>
        <w:rPr>
          <w:bCs/>
          <w:i/>
          <w:color w:val="002060"/>
          <w:sz w:val="16"/>
          <w:szCs w:val="16"/>
        </w:rPr>
      </w:pPr>
    </w:p>
    <w:p w14:paraId="21DB43AE" w14:textId="0AAD4346" w:rsidR="009F5F5A" w:rsidRPr="00405303" w:rsidRDefault="009F5F5A" w:rsidP="00C15251">
      <w:pPr>
        <w:jc w:val="both"/>
        <w:rPr>
          <w:bCs/>
          <w:color w:val="002060"/>
          <w:sz w:val="16"/>
          <w:szCs w:val="16"/>
        </w:rPr>
      </w:pPr>
      <w:r w:rsidRPr="00405303">
        <w:rPr>
          <w:rStyle w:val="42"/>
          <w:rFonts w:ascii="Times New Roman" w:hAnsi="Times New Roman" w:cs="Times New Roman"/>
          <w:bCs/>
          <w:color w:val="002060"/>
          <w:w w:val="100"/>
          <w:sz w:val="16"/>
          <w:szCs w:val="16"/>
        </w:rPr>
        <w:t xml:space="preserve">5 (18) августа 1915 в 19.00 </w:t>
      </w:r>
      <w:r w:rsidR="00B10892" w:rsidRPr="00405303">
        <w:rPr>
          <w:rStyle w:val="42"/>
          <w:rFonts w:ascii="Times New Roman" w:hAnsi="Times New Roman" w:cs="Times New Roman"/>
          <w:bCs/>
          <w:color w:val="002060"/>
          <w:w w:val="100"/>
          <w:sz w:val="16"/>
          <w:szCs w:val="16"/>
        </w:rPr>
        <w:t xml:space="preserve">дирижабль </w:t>
      </w:r>
      <w:r w:rsidRPr="00405303">
        <w:rPr>
          <w:rStyle w:val="42"/>
          <w:rFonts w:ascii="Times New Roman" w:hAnsi="Times New Roman" w:cs="Times New Roman"/>
          <w:bCs/>
          <w:color w:val="002060"/>
          <w:w w:val="100"/>
          <w:sz w:val="16"/>
          <w:szCs w:val="16"/>
        </w:rPr>
        <w:t>«Астра» покинула боевую стоянку и направилась в Лиду с экипажем в со</w:t>
      </w:r>
      <w:r w:rsidRPr="00405303">
        <w:rPr>
          <w:rStyle w:val="42"/>
          <w:rFonts w:ascii="Times New Roman" w:hAnsi="Times New Roman" w:cs="Times New Roman"/>
          <w:bCs/>
          <w:color w:val="002060"/>
          <w:w w:val="100"/>
          <w:sz w:val="16"/>
          <w:szCs w:val="16"/>
        </w:rPr>
        <w:softHyphen/>
        <w:t>ставе Е.Д. Карамышева, Е.Ф. Сапунова, О.С. Бого</w:t>
      </w:r>
      <w:r w:rsidRPr="00405303">
        <w:rPr>
          <w:rStyle w:val="42"/>
          <w:rFonts w:ascii="Times New Roman" w:hAnsi="Times New Roman" w:cs="Times New Roman"/>
          <w:bCs/>
          <w:color w:val="002060"/>
          <w:w w:val="100"/>
          <w:sz w:val="16"/>
          <w:szCs w:val="16"/>
        </w:rPr>
        <w:softHyphen/>
        <w:t>молова и механика Беляева. Телеграмма о полёте «Астры» опоздала на сутки, поэтому по всему пути её принимали за цеппелин и тушили огни, затрудняя экипажу ориентирование. Под Волковыском зенитная артиллерия штаба Северо-За</w:t>
      </w:r>
      <w:r w:rsidRPr="00405303">
        <w:rPr>
          <w:rStyle w:val="42"/>
          <w:rFonts w:ascii="Times New Roman" w:hAnsi="Times New Roman" w:cs="Times New Roman"/>
          <w:bCs/>
          <w:color w:val="002060"/>
          <w:w w:val="100"/>
          <w:sz w:val="16"/>
          <w:szCs w:val="16"/>
        </w:rPr>
        <w:softHyphen/>
        <w:t>падного фронта готовилась её расстрелять, но «Астра» сменила маршрут и пошла по компасу, оставив город в стороне. В 23.15. у дирижабля сломался коленчатый вал переднего двигателя, и Беляев выключил оба мотора. Начавшееся падение остановили на высоте 90 м сбросом 160 кг балласта. «Астра» в абсолютной темноте перешла в свободный полёт, временами над самыми вер</w:t>
      </w:r>
      <w:r w:rsidRPr="00405303">
        <w:rPr>
          <w:rStyle w:val="42"/>
          <w:rFonts w:ascii="Times New Roman" w:hAnsi="Times New Roman" w:cs="Times New Roman"/>
          <w:bCs/>
          <w:color w:val="002060"/>
          <w:w w:val="100"/>
          <w:sz w:val="16"/>
          <w:szCs w:val="16"/>
        </w:rPr>
        <w:softHyphen/>
        <w:t>шинами деревьев. Через 15 минут Беляев запу</w:t>
      </w:r>
      <w:r w:rsidRPr="00405303">
        <w:rPr>
          <w:rStyle w:val="42"/>
          <w:rFonts w:ascii="Times New Roman" w:hAnsi="Times New Roman" w:cs="Times New Roman"/>
          <w:bCs/>
          <w:color w:val="002060"/>
          <w:w w:val="100"/>
          <w:sz w:val="16"/>
          <w:szCs w:val="16"/>
        </w:rPr>
        <w:softHyphen/>
        <w:t>стил задний мотор, и к 1.00 «Астра» подошла к за</w:t>
      </w:r>
      <w:r w:rsidRPr="00405303">
        <w:rPr>
          <w:rStyle w:val="42"/>
          <w:rFonts w:ascii="Times New Roman" w:hAnsi="Times New Roman" w:cs="Times New Roman"/>
          <w:bCs/>
          <w:color w:val="002060"/>
          <w:w w:val="100"/>
          <w:sz w:val="16"/>
          <w:szCs w:val="16"/>
        </w:rPr>
        <w:softHyphen/>
        <w:t>темнённой Лиде. После сигнала сирены «Астры» зажглись огни на аэродроме, и 6 августа в 1.13 ди</w:t>
      </w:r>
      <w:r w:rsidRPr="00405303">
        <w:rPr>
          <w:rStyle w:val="42"/>
          <w:rFonts w:ascii="Times New Roman" w:hAnsi="Times New Roman" w:cs="Times New Roman"/>
          <w:bCs/>
          <w:color w:val="002060"/>
          <w:w w:val="100"/>
          <w:sz w:val="16"/>
          <w:szCs w:val="16"/>
        </w:rPr>
        <w:softHyphen/>
        <w:t>рижабль спустился на землю. «Астру» разобрали и эвакуировали в тыл. В 1921 г. она ненадолго ожила под именем «Красная звезда».</w:t>
      </w:r>
    </w:p>
    <w:p w14:paraId="73C025ED" w14:textId="77777777" w:rsidR="009F5F5A" w:rsidRPr="00405303" w:rsidRDefault="009F5F5A" w:rsidP="00C15251">
      <w:pPr>
        <w:jc w:val="both"/>
        <w:rPr>
          <w:bCs/>
          <w:color w:val="002060"/>
          <w:sz w:val="16"/>
          <w:szCs w:val="16"/>
        </w:rPr>
      </w:pPr>
      <w:r w:rsidRPr="00405303">
        <w:rPr>
          <w:rStyle w:val="42"/>
          <w:rFonts w:ascii="Times New Roman" w:hAnsi="Times New Roman" w:cs="Times New Roman"/>
          <w:bCs/>
          <w:color w:val="002060"/>
          <w:w w:val="100"/>
          <w:sz w:val="16"/>
          <w:szCs w:val="16"/>
        </w:rPr>
        <w:t>Опустевший эллинг «Астры» в Лиде заняли самолёты «Илья Муромец» Эскадры воздушных кораблей. Именно на них возложили задачи, ока</w:t>
      </w:r>
      <w:r w:rsidRPr="00405303">
        <w:rPr>
          <w:rStyle w:val="42"/>
          <w:rFonts w:ascii="Times New Roman" w:hAnsi="Times New Roman" w:cs="Times New Roman"/>
          <w:bCs/>
          <w:color w:val="002060"/>
          <w:w w:val="100"/>
          <w:sz w:val="16"/>
          <w:szCs w:val="16"/>
        </w:rPr>
        <w:softHyphen/>
        <w:t>завшиеся не по силам отечественным дирижа</w:t>
      </w:r>
      <w:r w:rsidRPr="00405303">
        <w:rPr>
          <w:rStyle w:val="42"/>
          <w:rFonts w:ascii="Times New Roman" w:hAnsi="Times New Roman" w:cs="Times New Roman"/>
          <w:bCs/>
          <w:color w:val="002060"/>
          <w:w w:val="100"/>
          <w:sz w:val="16"/>
          <w:szCs w:val="16"/>
        </w:rPr>
        <w:softHyphen/>
        <w:t>блям, — дальнюю разведку и бомбардировку (20120).</w:t>
      </w:r>
    </w:p>
    <w:p w14:paraId="2D7BEC63" w14:textId="77777777" w:rsidR="009F5F5A" w:rsidRPr="00405303" w:rsidRDefault="009F5F5A" w:rsidP="00C15251">
      <w:pPr>
        <w:jc w:val="both"/>
        <w:rPr>
          <w:rStyle w:val="af1"/>
          <w:rFonts w:ascii="Times New Roman" w:eastAsia="Segoe UI" w:hAnsi="Times New Roman" w:cs="Times New Roman"/>
          <w:b w:val="0"/>
          <w:color w:val="002060"/>
          <w:sz w:val="16"/>
          <w:szCs w:val="16"/>
        </w:rPr>
      </w:pPr>
    </w:p>
    <w:p w14:paraId="2739900C" w14:textId="77777777" w:rsidR="00964D50" w:rsidRPr="00405303" w:rsidRDefault="00964D50" w:rsidP="00C15251">
      <w:pPr>
        <w:jc w:val="both"/>
        <w:rPr>
          <w:bCs/>
          <w:i/>
          <w:color w:val="002060"/>
          <w:sz w:val="16"/>
          <w:szCs w:val="16"/>
        </w:rPr>
      </w:pPr>
      <w:r w:rsidRPr="00405303">
        <w:rPr>
          <w:bCs/>
          <w:i/>
          <w:color w:val="002060"/>
          <w:sz w:val="16"/>
          <w:szCs w:val="16"/>
        </w:rPr>
        <w:t>Армия:</w:t>
      </w:r>
    </w:p>
    <w:p w14:paraId="6657E7BC" w14:textId="77777777" w:rsidR="00964D50" w:rsidRPr="00405303" w:rsidRDefault="00964D50" w:rsidP="00C15251">
      <w:pPr>
        <w:jc w:val="both"/>
        <w:rPr>
          <w:bCs/>
          <w:i/>
          <w:color w:val="002060"/>
          <w:sz w:val="16"/>
          <w:szCs w:val="16"/>
        </w:rPr>
      </w:pPr>
    </w:p>
    <w:p w14:paraId="55620D28" w14:textId="1D9AEF9E" w:rsidR="00964D50" w:rsidRPr="00405303" w:rsidRDefault="00964D50" w:rsidP="00C15251">
      <w:pPr>
        <w:jc w:val="both"/>
        <w:rPr>
          <w:bCs/>
          <w:color w:val="002060"/>
          <w:sz w:val="16"/>
          <w:szCs w:val="16"/>
        </w:rPr>
      </w:pPr>
      <w:r w:rsidRPr="00405303">
        <w:rPr>
          <w:bCs/>
          <w:color w:val="002060"/>
          <w:sz w:val="16"/>
          <w:szCs w:val="16"/>
        </w:rPr>
        <w:t xml:space="preserve">5 </w:t>
      </w:r>
      <w:r w:rsidR="00B10892" w:rsidRPr="00405303">
        <w:rPr>
          <w:bCs/>
          <w:color w:val="002060"/>
          <w:sz w:val="16"/>
          <w:szCs w:val="16"/>
        </w:rPr>
        <w:t xml:space="preserve">(18) </w:t>
      </w:r>
      <w:r w:rsidRPr="00405303">
        <w:rPr>
          <w:bCs/>
          <w:color w:val="002060"/>
          <w:sz w:val="16"/>
          <w:szCs w:val="16"/>
        </w:rPr>
        <w:t xml:space="preserve">августа в 1915 году германские войска взяли Варшаву </w:t>
      </w:r>
    </w:p>
    <w:p w14:paraId="2D9FAD05" w14:textId="77777777" w:rsidR="00964D50" w:rsidRPr="00405303" w:rsidRDefault="00964D50" w:rsidP="00C15251">
      <w:pPr>
        <w:jc w:val="both"/>
        <w:rPr>
          <w:bCs/>
          <w:color w:val="002060"/>
          <w:sz w:val="16"/>
          <w:szCs w:val="16"/>
        </w:rPr>
      </w:pPr>
    </w:p>
    <w:p w14:paraId="61BD6B76" w14:textId="52CEB532" w:rsidR="00964D50" w:rsidRPr="00405303" w:rsidRDefault="00964D50" w:rsidP="00C15251">
      <w:pPr>
        <w:jc w:val="both"/>
        <w:rPr>
          <w:bCs/>
          <w:color w:val="002060"/>
          <w:sz w:val="16"/>
          <w:szCs w:val="16"/>
        </w:rPr>
      </w:pPr>
      <w:r w:rsidRPr="00405303">
        <w:rPr>
          <w:bCs/>
          <w:color w:val="002060"/>
          <w:sz w:val="16"/>
          <w:szCs w:val="16"/>
        </w:rPr>
        <w:t xml:space="preserve">5 </w:t>
      </w:r>
      <w:r w:rsidR="00B10892" w:rsidRPr="00405303">
        <w:rPr>
          <w:bCs/>
          <w:color w:val="002060"/>
          <w:sz w:val="16"/>
          <w:szCs w:val="16"/>
        </w:rPr>
        <w:t xml:space="preserve">(18) </w:t>
      </w:r>
      <w:r w:rsidRPr="00405303">
        <w:rPr>
          <w:bCs/>
          <w:color w:val="002060"/>
          <w:sz w:val="16"/>
          <w:szCs w:val="16"/>
        </w:rPr>
        <w:t>августа в 1915 году на Восточном фронте германские войска захватывают Варшаву, входящую в состав Российской империи (14974).</w:t>
      </w:r>
    </w:p>
    <w:p w14:paraId="3AD0751E" w14:textId="77777777" w:rsidR="00964D50" w:rsidRPr="00405303" w:rsidRDefault="00964D50" w:rsidP="00C15251">
      <w:pPr>
        <w:jc w:val="both"/>
        <w:rPr>
          <w:bCs/>
          <w:color w:val="002060"/>
          <w:sz w:val="16"/>
          <w:szCs w:val="16"/>
        </w:rPr>
      </w:pPr>
    </w:p>
    <w:p w14:paraId="6A29E546"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644DA56A" w14:textId="77777777" w:rsidR="004B4E35" w:rsidRPr="00405303" w:rsidRDefault="004B4E35" w:rsidP="00C15251">
      <w:pPr>
        <w:shd w:val="clear" w:color="auto" w:fill="FFFFFF"/>
        <w:jc w:val="both"/>
        <w:rPr>
          <w:bCs/>
          <w:i/>
          <w:color w:val="002060"/>
          <w:sz w:val="16"/>
          <w:szCs w:val="16"/>
        </w:rPr>
      </w:pPr>
    </w:p>
    <w:p w14:paraId="11CFBE6F" w14:textId="14957107" w:rsidR="00964D50" w:rsidRPr="00405303" w:rsidRDefault="00964D50" w:rsidP="00C15251">
      <w:pPr>
        <w:jc w:val="both"/>
        <w:rPr>
          <w:bCs/>
          <w:color w:val="002060"/>
          <w:sz w:val="16"/>
          <w:szCs w:val="16"/>
        </w:rPr>
      </w:pPr>
      <w:r w:rsidRPr="00405303">
        <w:rPr>
          <w:bCs/>
          <w:color w:val="002060"/>
          <w:sz w:val="16"/>
          <w:szCs w:val="16"/>
        </w:rPr>
        <w:t xml:space="preserve">6 </w:t>
      </w:r>
      <w:r w:rsidR="00B10892" w:rsidRPr="00405303">
        <w:rPr>
          <w:bCs/>
          <w:color w:val="002060"/>
          <w:sz w:val="16"/>
          <w:szCs w:val="16"/>
        </w:rPr>
        <w:t xml:space="preserve">(19) </w:t>
      </w:r>
      <w:r w:rsidRPr="00405303">
        <w:rPr>
          <w:bCs/>
          <w:color w:val="002060"/>
          <w:sz w:val="16"/>
          <w:szCs w:val="16"/>
        </w:rPr>
        <w:t>августа в 1915 году при попытке взлета самолет «Триплан Безобразова» потерпел аварию, в результате которой оказался значительно поврежденным. Летчик И.А. Орлов. Причиной аварии стала довольно типичная для той поры поломка оси колеса шасси. После аварии самолет долго восстанавливался, но не летал, последние упоминания о нем датируются февралем 1916 года (14975).</w:t>
      </w:r>
    </w:p>
    <w:p w14:paraId="69C96384" w14:textId="77777777" w:rsidR="00964D50" w:rsidRPr="00405303" w:rsidRDefault="00964D50" w:rsidP="00C15251">
      <w:pPr>
        <w:jc w:val="both"/>
        <w:rPr>
          <w:bCs/>
          <w:color w:val="002060"/>
          <w:sz w:val="16"/>
          <w:szCs w:val="16"/>
        </w:rPr>
      </w:pPr>
    </w:p>
    <w:p w14:paraId="65D6988B" w14:textId="74FBC45C" w:rsidR="00D866D7" w:rsidRPr="00405303" w:rsidRDefault="00D866D7" w:rsidP="00C15251">
      <w:pPr>
        <w:jc w:val="both"/>
        <w:rPr>
          <w:bCs/>
          <w:color w:val="002060"/>
          <w:sz w:val="16"/>
          <w:szCs w:val="16"/>
          <w:lang w:bidi="ru-RU"/>
        </w:rPr>
      </w:pPr>
      <w:r w:rsidRPr="00405303">
        <w:rPr>
          <w:bCs/>
          <w:color w:val="002060"/>
          <w:sz w:val="16"/>
          <w:szCs w:val="16"/>
          <w:lang w:bidi="ru-RU"/>
        </w:rPr>
        <w:t>6 (19) авгу</w:t>
      </w:r>
      <w:r w:rsidRPr="00405303">
        <w:rPr>
          <w:bCs/>
          <w:color w:val="002060"/>
          <w:sz w:val="16"/>
          <w:szCs w:val="16"/>
          <w:lang w:bidi="ru-RU"/>
        </w:rPr>
        <w:softHyphen/>
        <w:t>ста 1915 г. в Москве при попытке взлета летчиком И.А. Орловым самолет Безобразова потерпел аварию, в результате которой оказался значительно поврежденным. Причиной аварии стала до</w:t>
      </w:r>
      <w:r w:rsidRPr="00405303">
        <w:rPr>
          <w:bCs/>
          <w:color w:val="002060"/>
          <w:sz w:val="16"/>
          <w:szCs w:val="16"/>
          <w:lang w:bidi="ru-RU"/>
        </w:rPr>
        <w:softHyphen/>
        <w:t>вольно типичная для той поры поломка оси колеса шасси. После аварии самолет дол</w:t>
      </w:r>
      <w:r w:rsidRPr="00405303">
        <w:rPr>
          <w:bCs/>
          <w:color w:val="002060"/>
          <w:sz w:val="16"/>
          <w:szCs w:val="16"/>
          <w:lang w:bidi="ru-RU"/>
        </w:rPr>
        <w:softHyphen/>
        <w:t>го восстанавливался, но не летал, послед</w:t>
      </w:r>
      <w:r w:rsidRPr="00405303">
        <w:rPr>
          <w:bCs/>
          <w:color w:val="002060"/>
          <w:sz w:val="16"/>
          <w:szCs w:val="16"/>
          <w:lang w:bidi="ru-RU"/>
        </w:rPr>
        <w:softHyphen/>
        <w:t>ние упоминания о нем датируются февра</w:t>
      </w:r>
      <w:r w:rsidRPr="00405303">
        <w:rPr>
          <w:bCs/>
          <w:color w:val="002060"/>
          <w:sz w:val="16"/>
          <w:szCs w:val="16"/>
          <w:lang w:bidi="ru-RU"/>
        </w:rPr>
        <w:softHyphen/>
        <w:t>лем 1917 г. (23374)</w:t>
      </w:r>
    </w:p>
    <w:p w14:paraId="74A6E702" w14:textId="77777777" w:rsidR="00D866D7" w:rsidRPr="00405303" w:rsidRDefault="00D866D7" w:rsidP="00C15251">
      <w:pPr>
        <w:jc w:val="both"/>
        <w:rPr>
          <w:bCs/>
          <w:color w:val="002060"/>
          <w:sz w:val="16"/>
          <w:szCs w:val="16"/>
        </w:rPr>
      </w:pPr>
    </w:p>
    <w:p w14:paraId="6AFB9491" w14:textId="509376F9" w:rsidR="004B4E35" w:rsidRPr="00405303" w:rsidRDefault="009E6F82" w:rsidP="00C15251">
      <w:pPr>
        <w:jc w:val="both"/>
        <w:rPr>
          <w:bCs/>
          <w:color w:val="002060"/>
          <w:sz w:val="16"/>
          <w:szCs w:val="16"/>
        </w:rPr>
      </w:pPr>
      <w:r w:rsidRPr="00405303">
        <w:rPr>
          <w:bCs/>
          <w:color w:val="002060"/>
          <w:sz w:val="16"/>
          <w:szCs w:val="16"/>
        </w:rPr>
        <w:t xml:space="preserve">6 </w:t>
      </w:r>
      <w:r w:rsidR="00B10892" w:rsidRPr="00405303">
        <w:rPr>
          <w:bCs/>
          <w:color w:val="002060"/>
          <w:sz w:val="16"/>
          <w:szCs w:val="16"/>
        </w:rPr>
        <w:t xml:space="preserve">(19) </w:t>
      </w:r>
      <w:r w:rsidRPr="00405303">
        <w:rPr>
          <w:bCs/>
          <w:color w:val="002060"/>
          <w:sz w:val="16"/>
          <w:szCs w:val="16"/>
        </w:rPr>
        <w:t>августа 1915 г.</w:t>
      </w:r>
      <w:r w:rsidR="00B10892" w:rsidRPr="00405303">
        <w:rPr>
          <w:bCs/>
          <w:color w:val="002060"/>
          <w:sz w:val="16"/>
          <w:szCs w:val="16"/>
        </w:rPr>
        <w:t xml:space="preserve"> в Москве</w:t>
      </w:r>
      <w:r w:rsidRPr="00405303">
        <w:rPr>
          <w:bCs/>
          <w:color w:val="002060"/>
          <w:sz w:val="16"/>
          <w:szCs w:val="16"/>
        </w:rPr>
        <w:t>, при попытке взлета летчи</w:t>
      </w:r>
      <w:r w:rsidRPr="00405303">
        <w:rPr>
          <w:bCs/>
          <w:color w:val="002060"/>
          <w:sz w:val="16"/>
          <w:szCs w:val="16"/>
        </w:rPr>
        <w:softHyphen/>
        <w:t xml:space="preserve">ком И.А. Орловым, самолет </w:t>
      </w:r>
      <w:r w:rsidR="00B10892" w:rsidRPr="00405303">
        <w:rPr>
          <w:bCs/>
          <w:color w:val="002060"/>
          <w:sz w:val="16"/>
          <w:szCs w:val="16"/>
        </w:rPr>
        <w:t xml:space="preserve">Безобразова </w:t>
      </w:r>
      <w:r w:rsidRPr="00405303">
        <w:rPr>
          <w:bCs/>
          <w:color w:val="002060"/>
          <w:sz w:val="16"/>
          <w:szCs w:val="16"/>
        </w:rPr>
        <w:t>потерпел аварию, в результате которой оказался значительно поврежденным. Причиной аварии стала до</w:t>
      </w:r>
      <w:r w:rsidRPr="00405303">
        <w:rPr>
          <w:bCs/>
          <w:color w:val="002060"/>
          <w:sz w:val="16"/>
          <w:szCs w:val="16"/>
        </w:rPr>
        <w:softHyphen/>
        <w:t>вольно типичная для той поры поломка оси колеса шасси. После аварии самолет долго восстанавливался, но не летал, последние упоминания о нем датируются февралем 1917 г.</w:t>
      </w:r>
    </w:p>
    <w:p w14:paraId="507F737D" w14:textId="77777777" w:rsidR="004B4E35" w:rsidRPr="00405303" w:rsidRDefault="009E6F82" w:rsidP="00C15251">
      <w:pPr>
        <w:jc w:val="both"/>
        <w:rPr>
          <w:bCs/>
          <w:color w:val="002060"/>
          <w:sz w:val="16"/>
          <w:szCs w:val="16"/>
        </w:rPr>
      </w:pPr>
      <w:r w:rsidRPr="00405303">
        <w:rPr>
          <w:bCs/>
          <w:color w:val="002060"/>
          <w:sz w:val="16"/>
          <w:szCs w:val="16"/>
        </w:rPr>
        <w:t>Между тем, в 1916 г. графом был основан «Торговый дом А.А. Безобразов, В.А. Понизовкин и Ко” (ТДААБВАП и Ко), на котором разместили заказ от Военного ведомства на самолеты учебного типра “Фарман-4”. Стоимость каждого аппарата составляла 6300 руб. До наступления 1 октября надлежало сдать 15 машин. Для ор</w:t>
      </w:r>
      <w:r w:rsidRPr="00405303">
        <w:rPr>
          <w:bCs/>
          <w:color w:val="002060"/>
          <w:sz w:val="16"/>
          <w:szCs w:val="16"/>
        </w:rPr>
        <w:softHyphen/>
        <w:t>ганизации производства был приобретен участок земли под заводские постройки (стоимостью 30000 руб.) в селе Всехсвятское (западная окраина Ходынки в районе нынеш</w:t>
      </w:r>
      <w:r w:rsidRPr="00405303">
        <w:rPr>
          <w:bCs/>
          <w:color w:val="002060"/>
          <w:sz w:val="16"/>
          <w:szCs w:val="16"/>
        </w:rPr>
        <w:softHyphen/>
        <w:t>него метро «Сокол» в Москве). Авиационное предприятие, именуемое «Заводом аэропла</w:t>
      </w:r>
      <w:r w:rsidRPr="00405303">
        <w:rPr>
          <w:bCs/>
          <w:color w:val="002060"/>
          <w:sz w:val="16"/>
          <w:szCs w:val="16"/>
        </w:rPr>
        <w:softHyphen/>
        <w:t>нов», предполагалось образцовым, так как Безобразов много пишет о генераторах, дви</w:t>
      </w:r>
      <w:r w:rsidRPr="00405303">
        <w:rPr>
          <w:bCs/>
          <w:color w:val="002060"/>
          <w:sz w:val="16"/>
          <w:szCs w:val="16"/>
        </w:rPr>
        <w:softHyphen/>
        <w:t>гателях вырабатывающих постоянный ток, вкопанных резервуарах для охлаждения машин и т. д. Все делалось основательно и за</w:t>
      </w:r>
      <w:r w:rsidRPr="00405303">
        <w:rPr>
          <w:bCs/>
          <w:color w:val="002060"/>
          <w:sz w:val="16"/>
          <w:szCs w:val="16"/>
        </w:rPr>
        <w:softHyphen/>
      </w:r>
    </w:p>
    <w:p w14:paraId="447E6325" w14:textId="77777777" w:rsidR="004B4E35" w:rsidRPr="00405303" w:rsidRDefault="009E6F82" w:rsidP="00C15251">
      <w:pPr>
        <w:jc w:val="both"/>
        <w:rPr>
          <w:bCs/>
          <w:color w:val="002060"/>
          <w:sz w:val="16"/>
          <w:szCs w:val="16"/>
        </w:rPr>
      </w:pPr>
      <w:r w:rsidRPr="00405303">
        <w:rPr>
          <w:bCs/>
          <w:color w:val="002060"/>
          <w:sz w:val="16"/>
          <w:szCs w:val="16"/>
        </w:rPr>
        <w:t>нимало немало времени, достаточно сказать, что сам зачинатель предприятия при завод</w:t>
      </w:r>
      <w:r w:rsidRPr="00405303">
        <w:rPr>
          <w:bCs/>
          <w:color w:val="002060"/>
          <w:sz w:val="16"/>
          <w:szCs w:val="16"/>
        </w:rPr>
        <w:softHyphen/>
        <w:t>ском хозяйстве обосновал летний кабинет и поставил пасеку. В архиве Безобразова со</w:t>
      </w:r>
      <w:r w:rsidRPr="00405303">
        <w:rPr>
          <w:bCs/>
          <w:color w:val="002060"/>
          <w:sz w:val="16"/>
          <w:szCs w:val="16"/>
        </w:rPr>
        <w:softHyphen/>
        <w:t>хранилось прошение от десятка солдат, дати</w:t>
      </w:r>
      <w:r w:rsidRPr="00405303">
        <w:rPr>
          <w:bCs/>
          <w:color w:val="002060"/>
          <w:sz w:val="16"/>
          <w:szCs w:val="16"/>
        </w:rPr>
        <w:softHyphen/>
        <w:t>рованное апрелем 1917 г., которые обраща</w:t>
      </w:r>
      <w:r w:rsidRPr="00405303">
        <w:rPr>
          <w:bCs/>
          <w:color w:val="002060"/>
          <w:sz w:val="16"/>
          <w:szCs w:val="16"/>
        </w:rPr>
        <w:softHyphen/>
        <w:t>лись к графу с ходатайством прикомандиро</w:t>
      </w:r>
      <w:r w:rsidRPr="00405303">
        <w:rPr>
          <w:bCs/>
          <w:color w:val="002060"/>
          <w:sz w:val="16"/>
          <w:szCs w:val="16"/>
        </w:rPr>
        <w:softHyphen/>
        <w:t>вать их к заводу: «...просим Вас установить жалованье по Вашему усмотрению. Порядок для состоящих солдат на учете при заводе, остается прежний, все солдаты решили ис</w:t>
      </w:r>
      <w:r w:rsidRPr="00405303">
        <w:rPr>
          <w:bCs/>
          <w:color w:val="002060"/>
          <w:sz w:val="16"/>
          <w:szCs w:val="16"/>
        </w:rPr>
        <w:softHyphen/>
        <w:t>полнять дисциплину так же, как и раньше, а также работу будем исполнять аккуратно и добросовестно на пользу Вам и нашей доро</w:t>
      </w:r>
      <w:r w:rsidRPr="00405303">
        <w:rPr>
          <w:bCs/>
          <w:color w:val="002060"/>
          <w:sz w:val="16"/>
          <w:szCs w:val="16"/>
        </w:rPr>
        <w:softHyphen/>
        <w:t>гой Родине и всеми силами постараемся за</w:t>
      </w:r>
      <w:r w:rsidRPr="00405303">
        <w:rPr>
          <w:bCs/>
          <w:color w:val="002060"/>
          <w:sz w:val="16"/>
          <w:szCs w:val="16"/>
        </w:rPr>
        <w:softHyphen/>
        <w:t>служить Ваше доверие...» (11972).</w:t>
      </w:r>
    </w:p>
    <w:p w14:paraId="3FAE4906" w14:textId="77777777" w:rsidR="004B4E35" w:rsidRPr="00405303" w:rsidRDefault="004B4E35" w:rsidP="00C15251">
      <w:pPr>
        <w:jc w:val="both"/>
        <w:rPr>
          <w:bCs/>
          <w:color w:val="002060"/>
          <w:sz w:val="16"/>
          <w:szCs w:val="16"/>
        </w:rPr>
      </w:pPr>
    </w:p>
    <w:p w14:paraId="1C344911"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1CE3DB82" w14:textId="77777777" w:rsidR="004B4E35" w:rsidRPr="00405303" w:rsidRDefault="004B4E35" w:rsidP="00C15251">
      <w:pPr>
        <w:shd w:val="clear" w:color="auto" w:fill="FFFFFF"/>
        <w:jc w:val="both"/>
        <w:rPr>
          <w:bCs/>
          <w:i/>
          <w:color w:val="002060"/>
          <w:sz w:val="16"/>
          <w:szCs w:val="16"/>
        </w:rPr>
      </w:pPr>
    </w:p>
    <w:p w14:paraId="6C68C4E5" w14:textId="68220A74" w:rsidR="00964D50" w:rsidRPr="00405303" w:rsidRDefault="00964D50" w:rsidP="00C15251">
      <w:pPr>
        <w:jc w:val="both"/>
        <w:rPr>
          <w:bCs/>
          <w:color w:val="002060"/>
          <w:sz w:val="16"/>
          <w:szCs w:val="16"/>
        </w:rPr>
      </w:pPr>
      <w:r w:rsidRPr="00405303">
        <w:rPr>
          <w:bCs/>
          <w:color w:val="002060"/>
          <w:sz w:val="16"/>
          <w:szCs w:val="16"/>
        </w:rPr>
        <w:t xml:space="preserve">6 </w:t>
      </w:r>
      <w:r w:rsidR="00B10892" w:rsidRPr="00405303">
        <w:rPr>
          <w:bCs/>
          <w:color w:val="002060"/>
          <w:sz w:val="16"/>
          <w:szCs w:val="16"/>
        </w:rPr>
        <w:t xml:space="preserve">(19) </w:t>
      </w:r>
      <w:r w:rsidRPr="00405303">
        <w:rPr>
          <w:bCs/>
          <w:color w:val="002060"/>
          <w:sz w:val="16"/>
          <w:szCs w:val="16"/>
        </w:rPr>
        <w:t>августа 1915 г., ГАУ, согласно Журналу Артиллерийского комитета № 1361, решило уплатить Курчевскому 800 рублей и предложило доработать гранатомет с тем, чтобы обеспечить своевременное срабатывание защелки. Деньги Леонид Васильевич взял, но дорабатывать свои изобретения он не любил и к гранатомету больше не возвращался (15117).</w:t>
      </w:r>
    </w:p>
    <w:p w14:paraId="0A5667A7" w14:textId="77777777" w:rsidR="00964D50" w:rsidRPr="00405303" w:rsidRDefault="00964D50" w:rsidP="00C15251">
      <w:pPr>
        <w:jc w:val="both"/>
        <w:rPr>
          <w:bCs/>
          <w:color w:val="002060"/>
          <w:sz w:val="16"/>
          <w:szCs w:val="16"/>
        </w:rPr>
      </w:pPr>
    </w:p>
    <w:p w14:paraId="2FD318DB" w14:textId="66DF83C1" w:rsidR="004B4E35" w:rsidRPr="00405303" w:rsidRDefault="009E6F82" w:rsidP="00C15251">
      <w:pPr>
        <w:jc w:val="both"/>
        <w:rPr>
          <w:bCs/>
          <w:color w:val="002060"/>
          <w:sz w:val="16"/>
          <w:szCs w:val="16"/>
        </w:rPr>
      </w:pPr>
      <w:r w:rsidRPr="00405303">
        <w:rPr>
          <w:bCs/>
          <w:color w:val="002060"/>
          <w:sz w:val="16"/>
          <w:szCs w:val="16"/>
        </w:rPr>
        <w:t xml:space="preserve">6 </w:t>
      </w:r>
      <w:r w:rsidR="00B10892" w:rsidRPr="00405303">
        <w:rPr>
          <w:bCs/>
          <w:color w:val="002060"/>
          <w:sz w:val="16"/>
          <w:szCs w:val="16"/>
        </w:rPr>
        <w:t xml:space="preserve">(19) </w:t>
      </w:r>
      <w:r w:rsidRPr="00405303">
        <w:rPr>
          <w:bCs/>
          <w:color w:val="002060"/>
          <w:sz w:val="16"/>
          <w:szCs w:val="16"/>
        </w:rPr>
        <w:t>августа 1915 г. ГАУ, согласно журналу Артиллерийского комитета № 1361, решило уплатить Курчевскому 800 рублей и предложило доработать гранатомет с тем, чтобы обеспечить своевременное срабатывание защелки. Деньги Леонид Васильевич взял, но дорабатывать свои изобретения он не любил и к гранатомету больше не возвращался. Курчевский предлагает оригинальную конструкцию гранатомета. Он был создан по схеме средневековой баллисты. Основной частью гранатомета была стальная штанга, на одном конце которой крепился стакан для вкладывания рукояти ручной гранаты образца 1914 г., а с другой — противовес. Стрелок вручную с помощью рукояти зубчатой шестерни раскручивал штангу. А в нужный момент он (или 2-й номер расчета) нажимал на спуск, отмыкалась защелка, и граната летела по инерции. Опытный образец гранатомета был изготовлен в механической мастерской Охтенского порохового завода. В ходе испытаний дальность метания гранат составила 110–158 шагов (78–112 м). Однако одна из гранат попала в свой бруствер, а еще несколько полетели назад.</w:t>
      </w:r>
    </w:p>
    <w:p w14:paraId="506D6352" w14:textId="77777777" w:rsidR="004B4E35" w:rsidRPr="00405303" w:rsidRDefault="009E6F82" w:rsidP="00C15251">
      <w:pPr>
        <w:jc w:val="both"/>
        <w:rPr>
          <w:bCs/>
          <w:color w:val="002060"/>
          <w:sz w:val="16"/>
          <w:szCs w:val="16"/>
        </w:rPr>
      </w:pPr>
      <w:r w:rsidRPr="00405303">
        <w:rPr>
          <w:bCs/>
          <w:color w:val="002060"/>
          <w:sz w:val="16"/>
          <w:szCs w:val="16"/>
        </w:rPr>
        <w:t>С 1919 г. Курчевский руководил мастерской-автолабораторией при Комитете по делам изобретений, а в 1922–1924 гг. он стал начальником лаборатории отдела военных изобретений Комглисс, который тогда находился в Москве в Мертвом переулке, д. 20. Курчевский сразу проявил себя властным авторитарным начальником. От подчиненных во все инстанции шли жалобы, часто созывались собрания лаборатории, где стороны, не стесняясь в выражениях, выясняли отношения.</w:t>
      </w:r>
    </w:p>
    <w:p w14:paraId="0F8831DC" w14:textId="77777777" w:rsidR="004B4E35" w:rsidRPr="00405303" w:rsidRDefault="009E6F82" w:rsidP="00C15251">
      <w:pPr>
        <w:jc w:val="both"/>
        <w:rPr>
          <w:bCs/>
          <w:color w:val="002060"/>
          <w:sz w:val="16"/>
          <w:szCs w:val="16"/>
        </w:rPr>
      </w:pPr>
      <w:r w:rsidRPr="00405303">
        <w:rPr>
          <w:bCs/>
          <w:color w:val="002060"/>
          <w:sz w:val="16"/>
          <w:szCs w:val="16"/>
        </w:rPr>
        <w:t>Но, несмотря на склоки, Курчевский изобретал. Вот далеко не полный перечень его работ: полярная лодка-вездеход с авиационным мотором; электрическая машина, использующая энергию малых течений; горючее, заменяющее бензин, — смесь эфира со спиртом-сырцом; эмульсия для автомобильных шин, затягивающая пулевые пробоины; крылатая торпеда с реактивным двигателем; бесшумная пушка; дульный тормоз к обычным орудиям; переделка легкового автомобиля «ГАЗ-А» в трехосный вездеход на колесном и гусеничном ходу, система централизованного регулирования уличного движения в Москве и т. д. Вдобавок он писал научно-фантастические повести и охотничьи рассказы (12091).</w:t>
      </w:r>
    </w:p>
    <w:p w14:paraId="76ED7C11" w14:textId="77777777" w:rsidR="004B4E35" w:rsidRPr="00405303" w:rsidRDefault="004B4E35" w:rsidP="00C15251">
      <w:pPr>
        <w:jc w:val="both"/>
        <w:rPr>
          <w:bCs/>
          <w:color w:val="002060"/>
          <w:sz w:val="16"/>
          <w:szCs w:val="16"/>
        </w:rPr>
      </w:pPr>
    </w:p>
    <w:p w14:paraId="0FBD8C65" w14:textId="70BBE092" w:rsidR="00774DA7" w:rsidRPr="00405303" w:rsidRDefault="00774DA7" w:rsidP="00C15251">
      <w:pPr>
        <w:autoSpaceDE/>
        <w:autoSpaceDN/>
        <w:adjustRightInd/>
        <w:jc w:val="both"/>
        <w:rPr>
          <w:bCs/>
          <w:color w:val="002060"/>
          <w:sz w:val="16"/>
          <w:szCs w:val="16"/>
        </w:rPr>
      </w:pPr>
      <w:r w:rsidRPr="00405303">
        <w:rPr>
          <w:bCs/>
          <w:color w:val="002060"/>
          <w:sz w:val="16"/>
          <w:szCs w:val="16"/>
        </w:rPr>
        <w:t xml:space="preserve">6 </w:t>
      </w:r>
      <w:r w:rsidR="00B10892" w:rsidRPr="00405303">
        <w:rPr>
          <w:bCs/>
          <w:color w:val="002060"/>
          <w:sz w:val="16"/>
          <w:szCs w:val="16"/>
        </w:rPr>
        <w:t xml:space="preserve">(19) </w:t>
      </w:r>
      <w:r w:rsidRPr="00405303">
        <w:rPr>
          <w:bCs/>
          <w:color w:val="002060"/>
          <w:sz w:val="16"/>
          <w:szCs w:val="16"/>
        </w:rPr>
        <w:t>августа 1915</w:t>
      </w:r>
      <w:r w:rsidR="00DB4D64" w:rsidRPr="00405303">
        <w:rPr>
          <w:bCs/>
          <w:color w:val="002060"/>
          <w:sz w:val="16"/>
          <w:szCs w:val="16"/>
        </w:rPr>
        <w:t xml:space="preserve"> </w:t>
      </w:r>
      <w:r w:rsidRPr="00405303">
        <w:rPr>
          <w:bCs/>
          <w:color w:val="002060"/>
          <w:sz w:val="16"/>
          <w:szCs w:val="16"/>
        </w:rPr>
        <w:t>г.</w:t>
      </w:r>
      <w:r w:rsidR="00B10892" w:rsidRPr="00405303">
        <w:rPr>
          <w:bCs/>
          <w:color w:val="002060"/>
          <w:sz w:val="16"/>
          <w:szCs w:val="16"/>
        </w:rPr>
        <w:t xml:space="preserve"> </w:t>
      </w:r>
      <w:r w:rsidRPr="00405303">
        <w:rPr>
          <w:bCs/>
          <w:color w:val="002060"/>
          <w:sz w:val="16"/>
          <w:szCs w:val="16"/>
        </w:rPr>
        <w:t>ГАУ, согласно журналу Артиллерийского комитета №</w:t>
      </w:r>
      <w:r w:rsidR="00DB4D64" w:rsidRPr="00405303">
        <w:rPr>
          <w:bCs/>
          <w:color w:val="002060"/>
          <w:sz w:val="16"/>
          <w:szCs w:val="16"/>
        </w:rPr>
        <w:t xml:space="preserve"> </w:t>
      </w:r>
      <w:r w:rsidRPr="00405303">
        <w:rPr>
          <w:bCs/>
          <w:color w:val="002060"/>
          <w:sz w:val="16"/>
          <w:szCs w:val="16"/>
        </w:rPr>
        <w:t>1361, решило уплатить Курчевскому 800 рублей и предложило доработать гранатомет с тем, чтобы обеспечить своевременное срабатывание защелки. Деньги Леонид Васильевич взял, но дорабатывать свои изобретения он не любил и к гранатомету больше не возвращался (12705).</w:t>
      </w:r>
    </w:p>
    <w:p w14:paraId="75BFA7AD" w14:textId="77777777" w:rsidR="00774DA7" w:rsidRPr="00405303" w:rsidRDefault="00774DA7" w:rsidP="00C15251">
      <w:pPr>
        <w:autoSpaceDE/>
        <w:autoSpaceDN/>
        <w:adjustRightInd/>
        <w:jc w:val="both"/>
        <w:rPr>
          <w:bCs/>
          <w:color w:val="002060"/>
          <w:sz w:val="16"/>
          <w:szCs w:val="16"/>
        </w:rPr>
      </w:pPr>
    </w:p>
    <w:p w14:paraId="1E41FAFC" w14:textId="027849ED" w:rsidR="00244ED3" w:rsidRPr="00405303" w:rsidRDefault="00244ED3" w:rsidP="00C15251">
      <w:pPr>
        <w:shd w:val="clear" w:color="auto" w:fill="FFFFFF"/>
        <w:jc w:val="both"/>
        <w:rPr>
          <w:bCs/>
          <w:i/>
          <w:color w:val="002060"/>
          <w:sz w:val="16"/>
          <w:szCs w:val="16"/>
        </w:rPr>
      </w:pPr>
      <w:r w:rsidRPr="00405303">
        <w:rPr>
          <w:bCs/>
          <w:i/>
          <w:color w:val="002060"/>
          <w:sz w:val="16"/>
          <w:szCs w:val="16"/>
        </w:rPr>
        <w:t>Армия:</w:t>
      </w:r>
    </w:p>
    <w:p w14:paraId="7A8B58E5" w14:textId="77777777" w:rsidR="00244ED3" w:rsidRPr="00405303" w:rsidRDefault="00244ED3" w:rsidP="00C15251">
      <w:pPr>
        <w:shd w:val="clear" w:color="auto" w:fill="FFFFFF"/>
        <w:jc w:val="both"/>
        <w:rPr>
          <w:bCs/>
          <w:i/>
          <w:color w:val="002060"/>
          <w:sz w:val="16"/>
          <w:szCs w:val="16"/>
        </w:rPr>
      </w:pPr>
    </w:p>
    <w:p w14:paraId="4EDE4E30" w14:textId="2A6AA808" w:rsidR="00244ED3" w:rsidRPr="00405303" w:rsidRDefault="00244ED3" w:rsidP="00C15251">
      <w:pPr>
        <w:jc w:val="both"/>
        <w:rPr>
          <w:bCs/>
          <w:color w:val="002060"/>
          <w:sz w:val="16"/>
          <w:szCs w:val="16"/>
        </w:rPr>
      </w:pPr>
      <w:r w:rsidRPr="00405303">
        <w:rPr>
          <w:bCs/>
          <w:color w:val="002060"/>
          <w:sz w:val="16"/>
          <w:szCs w:val="16"/>
          <w:lang w:bidi="en-US"/>
        </w:rPr>
        <w:t>6-7 (19-20) августа 1915 г. крепость Новогеоргиевск была взята немцами (23525).</w:t>
      </w:r>
    </w:p>
    <w:p w14:paraId="416A7129" w14:textId="77777777" w:rsidR="00244ED3" w:rsidRPr="00405303" w:rsidRDefault="00244ED3" w:rsidP="00C15251">
      <w:pPr>
        <w:jc w:val="both"/>
        <w:rPr>
          <w:bCs/>
          <w:color w:val="002060"/>
          <w:sz w:val="16"/>
          <w:szCs w:val="16"/>
          <w:lang w:bidi="en-US"/>
        </w:rPr>
      </w:pPr>
    </w:p>
    <w:p w14:paraId="54907F66" w14:textId="64465DDA"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46744718" w14:textId="77777777" w:rsidR="004B4E35" w:rsidRPr="00405303" w:rsidRDefault="004B4E35" w:rsidP="00C15251">
      <w:pPr>
        <w:shd w:val="clear" w:color="auto" w:fill="FFFFFF"/>
        <w:jc w:val="both"/>
        <w:rPr>
          <w:bCs/>
          <w:i/>
          <w:color w:val="002060"/>
          <w:sz w:val="16"/>
          <w:szCs w:val="16"/>
        </w:rPr>
      </w:pPr>
    </w:p>
    <w:p w14:paraId="75D831CB" w14:textId="241C2C73" w:rsidR="004B4E35" w:rsidRPr="00405303" w:rsidRDefault="009E6F82" w:rsidP="00C15251">
      <w:pPr>
        <w:jc w:val="both"/>
        <w:rPr>
          <w:bCs/>
          <w:color w:val="002060"/>
          <w:sz w:val="16"/>
          <w:szCs w:val="16"/>
        </w:rPr>
      </w:pPr>
      <w:r w:rsidRPr="00405303">
        <w:rPr>
          <w:bCs/>
          <w:color w:val="002060"/>
          <w:sz w:val="16"/>
          <w:szCs w:val="16"/>
        </w:rPr>
        <w:t xml:space="preserve">6 (19) августа </w:t>
      </w:r>
      <w:r w:rsidR="00B10892" w:rsidRPr="00405303">
        <w:rPr>
          <w:bCs/>
          <w:color w:val="002060"/>
          <w:sz w:val="16"/>
          <w:szCs w:val="16"/>
        </w:rPr>
        <w:t>1915 г.</w:t>
      </w:r>
      <w:r w:rsidRPr="00405303">
        <w:rPr>
          <w:bCs/>
          <w:color w:val="002060"/>
          <w:sz w:val="16"/>
          <w:szCs w:val="16"/>
        </w:rPr>
        <w:t xml:space="preserve"> </w:t>
      </w:r>
      <w:r w:rsidR="00B10892" w:rsidRPr="00405303">
        <w:rPr>
          <w:bCs/>
          <w:color w:val="002060"/>
          <w:sz w:val="16"/>
          <w:szCs w:val="16"/>
        </w:rPr>
        <w:t>н</w:t>
      </w:r>
      <w:r w:rsidRPr="00405303">
        <w:rPr>
          <w:bCs/>
          <w:color w:val="002060"/>
          <w:sz w:val="16"/>
          <w:szCs w:val="16"/>
        </w:rPr>
        <w:t>акануне взятия германскими войсками крепости Новогеоргиевская 33-й корпусной авиаотряд, которым командовал военный авиатор Ю.М. Козьмин, вывез из крепости знамена и секретные документы. Русские авиаторы пролетели над территорией противника 200 км и опустились у Белостока.</w:t>
      </w:r>
    </w:p>
    <w:p w14:paraId="01FB1CEE" w14:textId="77777777" w:rsidR="004B4E35" w:rsidRPr="00405303" w:rsidRDefault="009E6F82" w:rsidP="00C15251">
      <w:pPr>
        <w:jc w:val="both"/>
        <w:rPr>
          <w:bCs/>
          <w:color w:val="002060"/>
          <w:sz w:val="16"/>
          <w:szCs w:val="16"/>
        </w:rPr>
      </w:pPr>
      <w:r w:rsidRPr="00405303">
        <w:rPr>
          <w:bCs/>
          <w:color w:val="002060"/>
          <w:sz w:val="16"/>
          <w:szCs w:val="16"/>
        </w:rPr>
        <w:t>Таким образом, и в случае эвакуации из осажденных крепостей аэропланы оказались более надежным средством, нежели воздушные шары, хотя накануне войны именно воздушные шары предписывалось использовать для эвакуации, как наиболее подходящее средство (11999).</w:t>
      </w:r>
    </w:p>
    <w:p w14:paraId="19918465" w14:textId="77777777" w:rsidR="004B4E35" w:rsidRPr="00405303" w:rsidRDefault="004B4E35" w:rsidP="00C15251">
      <w:pPr>
        <w:jc w:val="both"/>
        <w:rPr>
          <w:bCs/>
          <w:color w:val="002060"/>
          <w:sz w:val="16"/>
          <w:szCs w:val="16"/>
        </w:rPr>
      </w:pPr>
    </w:p>
    <w:p w14:paraId="4758BE9D" w14:textId="59AB2DBE" w:rsidR="0061079F" w:rsidRPr="00405303" w:rsidRDefault="0061079F" w:rsidP="00C15251">
      <w:pPr>
        <w:shd w:val="clear" w:color="auto" w:fill="FFFFFF"/>
        <w:jc w:val="both"/>
        <w:rPr>
          <w:bCs/>
          <w:i/>
          <w:color w:val="002060"/>
          <w:sz w:val="16"/>
          <w:szCs w:val="16"/>
        </w:rPr>
      </w:pPr>
      <w:r w:rsidRPr="00405303">
        <w:rPr>
          <w:bCs/>
          <w:i/>
          <w:color w:val="002060"/>
          <w:sz w:val="16"/>
          <w:szCs w:val="16"/>
        </w:rPr>
        <w:t>Военное воздухоплавание:</w:t>
      </w:r>
    </w:p>
    <w:p w14:paraId="329571F7" w14:textId="77777777" w:rsidR="0061079F" w:rsidRPr="00405303" w:rsidRDefault="0061079F" w:rsidP="00C15251">
      <w:pPr>
        <w:shd w:val="clear" w:color="auto" w:fill="FFFFFF"/>
        <w:jc w:val="both"/>
        <w:rPr>
          <w:bCs/>
          <w:i/>
          <w:color w:val="002060"/>
          <w:sz w:val="16"/>
          <w:szCs w:val="16"/>
        </w:rPr>
      </w:pPr>
    </w:p>
    <w:p w14:paraId="453A2B00" w14:textId="05F2F8EB" w:rsidR="0061079F" w:rsidRPr="00405303" w:rsidRDefault="0061079F" w:rsidP="00C15251">
      <w:pPr>
        <w:jc w:val="both"/>
        <w:rPr>
          <w:bCs/>
          <w:color w:val="002060"/>
          <w:sz w:val="16"/>
          <w:szCs w:val="16"/>
        </w:rPr>
      </w:pPr>
      <w:r w:rsidRPr="00405303">
        <w:rPr>
          <w:rStyle w:val="42"/>
          <w:rFonts w:ascii="Times New Roman" w:hAnsi="Times New Roman" w:cs="Times New Roman"/>
          <w:bCs/>
          <w:color w:val="002060"/>
          <w:w w:val="100"/>
          <w:sz w:val="16"/>
          <w:szCs w:val="16"/>
        </w:rPr>
        <w:t xml:space="preserve">6 (19) августа 1915 г. </w:t>
      </w:r>
      <w:r w:rsidR="00B10892" w:rsidRPr="00405303">
        <w:rPr>
          <w:rStyle w:val="42"/>
          <w:rFonts w:ascii="Times New Roman" w:hAnsi="Times New Roman" w:cs="Times New Roman"/>
          <w:bCs/>
          <w:color w:val="002060"/>
          <w:w w:val="100"/>
          <w:sz w:val="16"/>
          <w:szCs w:val="16"/>
        </w:rPr>
        <w:t>на</w:t>
      </w:r>
      <w:r w:rsidR="00B10892" w:rsidRPr="00405303">
        <w:rPr>
          <w:rStyle w:val="42"/>
          <w:rFonts w:ascii="Times New Roman" w:hAnsi="Times New Roman" w:cs="Times New Roman"/>
          <w:bCs/>
          <w:color w:val="002060"/>
          <w:w w:val="100"/>
          <w:sz w:val="16"/>
          <w:szCs w:val="16"/>
        </w:rPr>
        <w:softHyphen/>
        <w:t xml:space="preserve">кануне капитуляции крепости Новогеоргиевск </w:t>
      </w:r>
      <w:r w:rsidRPr="00405303">
        <w:rPr>
          <w:rStyle w:val="42"/>
          <w:rFonts w:ascii="Times New Roman" w:hAnsi="Times New Roman" w:cs="Times New Roman"/>
          <w:bCs/>
          <w:color w:val="002060"/>
          <w:w w:val="100"/>
          <w:sz w:val="16"/>
          <w:szCs w:val="16"/>
        </w:rPr>
        <w:t>из неё вылетели два аэроста</w:t>
      </w:r>
      <w:r w:rsidRPr="00405303">
        <w:rPr>
          <w:rStyle w:val="42"/>
          <w:rFonts w:ascii="Times New Roman" w:hAnsi="Times New Roman" w:cs="Times New Roman"/>
          <w:bCs/>
          <w:color w:val="002060"/>
          <w:w w:val="100"/>
          <w:sz w:val="16"/>
          <w:szCs w:val="16"/>
        </w:rPr>
        <w:softHyphen/>
        <w:t>та, ни одному из которых не удалось приземлить</w:t>
      </w:r>
      <w:r w:rsidRPr="00405303">
        <w:rPr>
          <w:rStyle w:val="42"/>
          <w:rFonts w:ascii="Times New Roman" w:hAnsi="Times New Roman" w:cs="Times New Roman"/>
          <w:bCs/>
          <w:color w:val="002060"/>
          <w:w w:val="100"/>
          <w:sz w:val="16"/>
          <w:szCs w:val="16"/>
        </w:rPr>
        <w:softHyphen/>
        <w:t>ся в районе расположения русских войск. Отряд же лётчиков под командованием штабс-капи</w:t>
      </w:r>
      <w:r w:rsidRPr="00405303">
        <w:rPr>
          <w:rStyle w:val="42"/>
          <w:rFonts w:ascii="Times New Roman" w:hAnsi="Times New Roman" w:cs="Times New Roman"/>
          <w:bCs/>
          <w:color w:val="002060"/>
          <w:w w:val="100"/>
          <w:sz w:val="16"/>
          <w:szCs w:val="16"/>
        </w:rPr>
        <w:softHyphen/>
        <w:t>тана В. Масальского на десяти аэропланах в не</w:t>
      </w:r>
      <w:r w:rsidRPr="00405303">
        <w:rPr>
          <w:rStyle w:val="42"/>
          <w:rFonts w:ascii="Times New Roman" w:hAnsi="Times New Roman" w:cs="Times New Roman"/>
          <w:bCs/>
          <w:color w:val="002060"/>
          <w:w w:val="100"/>
          <w:sz w:val="16"/>
          <w:szCs w:val="16"/>
        </w:rPr>
        <w:softHyphen/>
        <w:t>погоду, под сильным огнём противника, совер</w:t>
      </w:r>
      <w:r w:rsidRPr="00405303">
        <w:rPr>
          <w:rStyle w:val="42"/>
          <w:rFonts w:ascii="Times New Roman" w:hAnsi="Times New Roman" w:cs="Times New Roman"/>
          <w:bCs/>
          <w:color w:val="002060"/>
          <w:w w:val="100"/>
          <w:sz w:val="16"/>
          <w:szCs w:val="16"/>
        </w:rPr>
        <w:softHyphen/>
        <w:t>шил на десяти аэропланах перелёт длиной более 300 километров над вражеской территорией на небольшой высоте и благополучно вывез секрет</w:t>
      </w:r>
      <w:r w:rsidRPr="00405303">
        <w:rPr>
          <w:rStyle w:val="42"/>
          <w:rFonts w:ascii="Times New Roman" w:hAnsi="Times New Roman" w:cs="Times New Roman"/>
          <w:bCs/>
          <w:color w:val="002060"/>
          <w:w w:val="100"/>
          <w:sz w:val="16"/>
          <w:szCs w:val="16"/>
        </w:rPr>
        <w:softHyphen/>
        <w:t>ные документы, штандарты и Георгиевские кре</w:t>
      </w:r>
      <w:r w:rsidRPr="00405303">
        <w:rPr>
          <w:rStyle w:val="42"/>
          <w:rFonts w:ascii="Times New Roman" w:hAnsi="Times New Roman" w:cs="Times New Roman"/>
          <w:bCs/>
          <w:color w:val="002060"/>
          <w:w w:val="100"/>
          <w:sz w:val="16"/>
          <w:szCs w:val="16"/>
        </w:rPr>
        <w:softHyphen/>
        <w:t>сты. Авиаторов наградили орденами Св. Георгия 4-й ст. и Георгиевским оружием. Таким образом, и в поддержании связи с осаждённой крепостью аэропланы продемонстрировали своё превосход</w:t>
      </w:r>
      <w:r w:rsidRPr="00405303">
        <w:rPr>
          <w:rStyle w:val="42"/>
          <w:rFonts w:ascii="Times New Roman" w:hAnsi="Times New Roman" w:cs="Times New Roman"/>
          <w:bCs/>
          <w:color w:val="002060"/>
          <w:w w:val="100"/>
          <w:sz w:val="16"/>
          <w:szCs w:val="16"/>
        </w:rPr>
        <w:softHyphen/>
        <w:t>ство над свободными аэростатами (20120).</w:t>
      </w:r>
    </w:p>
    <w:p w14:paraId="639089FF" w14:textId="37233964" w:rsidR="0061079F" w:rsidRPr="00405303" w:rsidRDefault="0061079F" w:rsidP="00C15251">
      <w:pPr>
        <w:jc w:val="both"/>
        <w:rPr>
          <w:rStyle w:val="42"/>
          <w:rFonts w:ascii="Times New Roman" w:hAnsi="Times New Roman" w:cs="Times New Roman"/>
          <w:bCs/>
          <w:color w:val="002060"/>
          <w:w w:val="100"/>
          <w:sz w:val="16"/>
          <w:szCs w:val="16"/>
        </w:rPr>
      </w:pPr>
    </w:p>
    <w:p w14:paraId="5D5D8ACB" w14:textId="306E158E" w:rsidR="00DB2BFC" w:rsidRPr="00405303" w:rsidRDefault="00DB2BFC" w:rsidP="00C15251">
      <w:pPr>
        <w:jc w:val="both"/>
        <w:rPr>
          <w:rStyle w:val="42"/>
          <w:rFonts w:ascii="Times New Roman" w:hAnsi="Times New Roman" w:cs="Times New Roman"/>
          <w:bCs/>
          <w:i/>
          <w:iCs/>
          <w:color w:val="002060"/>
          <w:w w:val="100"/>
          <w:sz w:val="16"/>
          <w:szCs w:val="16"/>
        </w:rPr>
      </w:pPr>
      <w:r w:rsidRPr="00405303">
        <w:rPr>
          <w:rStyle w:val="42"/>
          <w:rFonts w:ascii="Times New Roman" w:hAnsi="Times New Roman" w:cs="Times New Roman"/>
          <w:bCs/>
          <w:i/>
          <w:iCs/>
          <w:color w:val="002060"/>
          <w:w w:val="100"/>
          <w:sz w:val="16"/>
          <w:szCs w:val="16"/>
        </w:rPr>
        <w:t>Армия:</w:t>
      </w:r>
    </w:p>
    <w:p w14:paraId="38BA7F2F" w14:textId="77777777" w:rsidR="00DB2BFC" w:rsidRPr="00405303" w:rsidRDefault="00DB2BFC" w:rsidP="00C15251">
      <w:pPr>
        <w:jc w:val="both"/>
        <w:rPr>
          <w:rStyle w:val="42"/>
          <w:rFonts w:ascii="Times New Roman" w:hAnsi="Times New Roman" w:cs="Times New Roman"/>
          <w:bCs/>
          <w:i/>
          <w:iCs/>
          <w:color w:val="002060"/>
          <w:w w:val="100"/>
          <w:sz w:val="16"/>
          <w:szCs w:val="16"/>
        </w:rPr>
      </w:pPr>
    </w:p>
    <w:p w14:paraId="0A3DB22B" w14:textId="77777777" w:rsidR="00DB2BFC" w:rsidRPr="00405303" w:rsidRDefault="00DB2BFC" w:rsidP="00C15251">
      <w:pPr>
        <w:pStyle w:val="ae"/>
        <w:spacing w:before="0" w:beforeAutospacing="0" w:after="0" w:afterAutospacing="0"/>
        <w:jc w:val="both"/>
        <w:rPr>
          <w:bCs/>
          <w:color w:val="002060"/>
          <w:sz w:val="16"/>
          <w:szCs w:val="16"/>
        </w:rPr>
      </w:pPr>
      <w:r w:rsidRPr="00405303">
        <w:rPr>
          <w:bCs/>
          <w:color w:val="002060"/>
          <w:sz w:val="16"/>
          <w:szCs w:val="16"/>
        </w:rPr>
        <w:t>6 (19) августа 1915 «В 4 ч 6 августа немцы пустили газ и открыли сильнейший артиллерийский огонь по железнодорожной гати, Заречной позиции, сообщениям Заречного форта с крепостью и по батареям плацдарма, после чего по сигналу ракетами пехота противника начала наступление.</w:t>
      </w:r>
    </w:p>
    <w:p w14:paraId="7BE8DD54" w14:textId="77777777" w:rsidR="00DB2BFC" w:rsidRPr="00405303" w:rsidRDefault="00DB2BFC" w:rsidP="00C15251">
      <w:pPr>
        <w:pStyle w:val="ae"/>
        <w:spacing w:before="0" w:beforeAutospacing="0" w:after="0" w:afterAutospacing="0"/>
        <w:jc w:val="both"/>
        <w:rPr>
          <w:bCs/>
          <w:color w:val="002060"/>
          <w:sz w:val="16"/>
          <w:szCs w:val="16"/>
        </w:rPr>
      </w:pPr>
      <w:r w:rsidRPr="00405303">
        <w:rPr>
          <w:bCs/>
          <w:color w:val="002060"/>
          <w:sz w:val="16"/>
          <w:szCs w:val="16"/>
        </w:rPr>
        <w:t>Газы нанесли огромные потери защитникам Сосненской позиции — 9-я, 10-я и 11-я роты Землянского полка погибли целиком, от 12-й роты осталось около 40 человек при одном пулемете; от трех рот, защищавших Бялогрон-ды, оставалось около 60 человек при двух пулеметах. При таких условиях немцы могли быстро овладеть всей передовой позицией и броситься на штурм Заречной позиции, однако наступление противника развивалось недостаточно быстро.</w:t>
      </w:r>
    </w:p>
    <w:p w14:paraId="2F7FEB2F" w14:textId="77777777" w:rsidR="00DB2BFC" w:rsidRPr="00405303" w:rsidRDefault="00DB2BFC" w:rsidP="00C15251">
      <w:pPr>
        <w:pStyle w:val="ae"/>
        <w:spacing w:before="0" w:beforeAutospacing="0" w:after="0" w:afterAutospacing="0"/>
        <w:jc w:val="both"/>
        <w:rPr>
          <w:bCs/>
          <w:color w:val="002060"/>
          <w:sz w:val="16"/>
          <w:szCs w:val="16"/>
        </w:rPr>
      </w:pPr>
      <w:r w:rsidRPr="00405303">
        <w:rPr>
          <w:bCs/>
          <w:color w:val="002060"/>
          <w:sz w:val="16"/>
          <w:szCs w:val="16"/>
        </w:rPr>
        <w:t>На правом фланге 76-й ландверный полк попал под свои же газы, понес огромные потери и овладев Сосня, дальше не мог продвинуться, остановленный огнем остатков 12-й роты.</w:t>
      </w:r>
    </w:p>
    <w:p w14:paraId="596E33BA" w14:textId="77777777" w:rsidR="00DB2BFC" w:rsidRPr="00405303" w:rsidRDefault="00DB2BFC" w:rsidP="00C15251">
      <w:pPr>
        <w:pStyle w:val="ae"/>
        <w:spacing w:before="0" w:beforeAutospacing="0" w:after="0" w:afterAutospacing="0"/>
        <w:jc w:val="both"/>
        <w:rPr>
          <w:bCs/>
          <w:color w:val="002060"/>
          <w:sz w:val="16"/>
          <w:szCs w:val="16"/>
        </w:rPr>
      </w:pPr>
      <w:r w:rsidRPr="00405303">
        <w:rPr>
          <w:bCs/>
          <w:color w:val="002060"/>
          <w:sz w:val="16"/>
          <w:szCs w:val="16"/>
        </w:rPr>
        <w:t>На левом фланге 5-й ландверный полк не мог проделать проходы в проволочных сетях Бялогрондской позиции, атака была отбита огнем защитников позиции, и атакующие роты (две или три) были отброшены в исходное положение. Наступление 41-го резервного батальона было остановлено появлением разведчиков 225-го полка из Осовца.</w:t>
      </w:r>
    </w:p>
    <w:p w14:paraId="73C3559C" w14:textId="77777777" w:rsidR="00DB2BFC" w:rsidRPr="00405303" w:rsidRDefault="00DB2BFC" w:rsidP="00C15251">
      <w:pPr>
        <w:pStyle w:val="ae"/>
        <w:spacing w:before="0" w:beforeAutospacing="0" w:after="0" w:afterAutospacing="0"/>
        <w:jc w:val="both"/>
        <w:rPr>
          <w:bCs/>
          <w:color w:val="002060"/>
          <w:sz w:val="16"/>
          <w:szCs w:val="16"/>
        </w:rPr>
      </w:pPr>
      <w:r w:rsidRPr="00405303">
        <w:rPr>
          <w:bCs/>
          <w:color w:val="002060"/>
          <w:sz w:val="16"/>
          <w:szCs w:val="16"/>
        </w:rPr>
        <w:t>Боевые действия 18-го ландверного полка были более успешны: полк прорезал в проволочных сетях десять проходов и быстро овладел окопами первой и второй линий на участке Рудский канал — полотно железной дороги. Приспособив окопы около двора Леонова для стрельбы по тылам позиции, полк продолжал продвигаться по обе стороны железной дороги и скоро достиг грунтовой дороги на Бялогронды. Эта дорога проходила через единственный мост на Рудском канале, и занятие моста противником отрезало Бя-логрондские позиции от остальных участков Сосненской позиции.</w:t>
      </w:r>
    </w:p>
    <w:p w14:paraId="27B84938" w14:textId="77777777" w:rsidR="00DB2BFC" w:rsidRPr="00405303" w:rsidRDefault="00DB2BFC" w:rsidP="00C15251">
      <w:pPr>
        <w:pStyle w:val="ae"/>
        <w:spacing w:before="0" w:beforeAutospacing="0" w:after="0" w:afterAutospacing="0"/>
        <w:jc w:val="both"/>
        <w:rPr>
          <w:bCs/>
          <w:color w:val="002060"/>
          <w:sz w:val="16"/>
          <w:szCs w:val="16"/>
        </w:rPr>
      </w:pPr>
      <w:r w:rsidRPr="00405303">
        <w:rPr>
          <w:bCs/>
          <w:color w:val="002060"/>
          <w:sz w:val="16"/>
          <w:szCs w:val="16"/>
        </w:rPr>
        <w:t>Комендант Сосненской позиции развернул роту ополченцев, представляющую общий резерв позиции, на песчаных буграх, вправо от окопов резерва, и приказал перейти в наступление; однако рота, потеряв более 50 % отравленными и ранеными, и деморализованная газовой атакой, задержать противника не смогла.</w:t>
      </w:r>
    </w:p>
    <w:p w14:paraId="63DDB372" w14:textId="77777777" w:rsidR="00DB2BFC" w:rsidRPr="00405303" w:rsidRDefault="00DB2BFC" w:rsidP="00C15251">
      <w:pPr>
        <w:pStyle w:val="ae"/>
        <w:spacing w:before="0" w:beforeAutospacing="0" w:after="0" w:afterAutospacing="0"/>
        <w:jc w:val="both"/>
        <w:rPr>
          <w:bCs/>
          <w:color w:val="002060"/>
          <w:sz w:val="16"/>
          <w:szCs w:val="16"/>
        </w:rPr>
      </w:pPr>
      <w:r w:rsidRPr="00405303">
        <w:rPr>
          <w:bCs/>
          <w:color w:val="002060"/>
          <w:sz w:val="16"/>
          <w:szCs w:val="16"/>
        </w:rPr>
        <w:t>Создалось грозное положение: с минуты на минуту можно было ожидать, что немцы бросятся на штурм Заречной позиции — остановить их было некому. Однако меры были приняты, комендант крепости, выяснив обстановку на Сосненской позиции, приказал начальнику 2-го отдела бросить в контратаку все что можно с Заречной позиции, крепостной артиллерии было приказано открыть огонь по окопам первого и второго участков Сосненской позиции и остальным войскам крепости быть готовыми к отражению штурма.</w:t>
      </w:r>
    </w:p>
    <w:p w14:paraId="4B3A0EE7" w14:textId="77777777" w:rsidR="00DB2BFC" w:rsidRPr="00405303" w:rsidRDefault="00DB2BFC" w:rsidP="00C15251">
      <w:pPr>
        <w:pStyle w:val="ae"/>
        <w:spacing w:before="0" w:beforeAutospacing="0" w:after="0" w:afterAutospacing="0"/>
        <w:jc w:val="both"/>
        <w:rPr>
          <w:bCs/>
          <w:color w:val="002060"/>
          <w:sz w:val="16"/>
          <w:szCs w:val="16"/>
        </w:rPr>
      </w:pPr>
      <w:r w:rsidRPr="00405303">
        <w:rPr>
          <w:bCs/>
          <w:color w:val="002060"/>
          <w:sz w:val="16"/>
          <w:szCs w:val="16"/>
        </w:rPr>
        <w:t>Батареи крепостной артиллерии, несмотря на большие потери в людях отравленными, открыли стрельбу, и скоро огонь девяти тяжелых и двух легких батарей замедлил наступление 18-го ландверного полка и отрезал общий резерв (75-й ландверный полк) от позиции.</w:t>
      </w:r>
    </w:p>
    <w:p w14:paraId="0D5AA2BE" w14:textId="77777777" w:rsidR="00DB2BFC" w:rsidRPr="00405303" w:rsidRDefault="00DB2BFC" w:rsidP="00C15251">
      <w:pPr>
        <w:pStyle w:val="ae"/>
        <w:spacing w:before="0" w:beforeAutospacing="0" w:after="0" w:afterAutospacing="0"/>
        <w:jc w:val="both"/>
        <w:rPr>
          <w:bCs/>
          <w:color w:val="002060"/>
          <w:sz w:val="16"/>
          <w:szCs w:val="16"/>
        </w:rPr>
      </w:pPr>
      <w:r w:rsidRPr="00405303">
        <w:rPr>
          <w:bCs/>
          <w:color w:val="002060"/>
          <w:sz w:val="16"/>
          <w:szCs w:val="16"/>
        </w:rPr>
        <w:t>Начальник 2-го отдела обороны выслал с Заречной позиции для контратаки 8-ю, 13-ю и 14-ю роты 226-го Землянского полка. 13-я и 8-я роты, потеряв до 50 % отравленными, развернулись по обе стороны железной дороги и начали наступление; 13-я рота, встретив части 18-го ландверного полка, с криком «ура» бросилась в штыки. Эта атака «мертвецов», как передает очевидец боя, настолько поразила немцев, что они не приняли боя и бросились назад, много немцев погибло на проволочных сетях перед второй линией окопов от огня крепостной артиллерии. Сосредоточенный огонь крепостной артиллерии по окопам первой линии (двор Леонова) был настолько силен, что немцы не приняли атаки и спешно отступили.</w:t>
      </w:r>
    </w:p>
    <w:p w14:paraId="6921F8EF" w14:textId="77777777" w:rsidR="00DB2BFC" w:rsidRPr="00405303" w:rsidRDefault="00DB2BFC" w:rsidP="00C15251">
      <w:pPr>
        <w:pStyle w:val="ae"/>
        <w:spacing w:before="0" w:beforeAutospacing="0" w:after="0" w:afterAutospacing="0"/>
        <w:jc w:val="both"/>
        <w:rPr>
          <w:bCs/>
          <w:color w:val="002060"/>
          <w:sz w:val="16"/>
          <w:szCs w:val="16"/>
        </w:rPr>
      </w:pPr>
      <w:r w:rsidRPr="00405303">
        <w:rPr>
          <w:bCs/>
          <w:color w:val="002060"/>
          <w:sz w:val="16"/>
          <w:szCs w:val="16"/>
        </w:rPr>
        <w:t>14-я рота, соединившись с остатками 12-й роты, выбила немцев из окопов Сосня, взяв несколько человек пленными; немцы быстро отступили, бросив захваченные орудия и пулеметы.</w:t>
      </w:r>
    </w:p>
    <w:p w14:paraId="5757E594" w14:textId="77777777" w:rsidR="00DB2BFC" w:rsidRPr="00405303" w:rsidRDefault="00DB2BFC" w:rsidP="00C15251">
      <w:pPr>
        <w:pStyle w:val="ae"/>
        <w:spacing w:before="0" w:beforeAutospacing="0" w:after="0" w:afterAutospacing="0"/>
        <w:jc w:val="both"/>
        <w:rPr>
          <w:bCs/>
          <w:color w:val="002060"/>
          <w:sz w:val="16"/>
          <w:szCs w:val="16"/>
        </w:rPr>
      </w:pPr>
      <w:r w:rsidRPr="00405303">
        <w:rPr>
          <w:bCs/>
          <w:color w:val="002060"/>
          <w:sz w:val="16"/>
          <w:szCs w:val="16"/>
        </w:rPr>
        <w:t>К 11 ч Сосненская позиция была очищена от врага, крепостная артиллерия перенесла огонь на подступы к позиции, но противник атаки не повторил.</w:t>
      </w:r>
    </w:p>
    <w:p w14:paraId="620F4929" w14:textId="77777777" w:rsidR="00DB2BFC" w:rsidRPr="00405303" w:rsidRDefault="00DB2BFC" w:rsidP="00C15251">
      <w:pPr>
        <w:pStyle w:val="ae"/>
        <w:spacing w:before="0" w:beforeAutospacing="0" w:after="0" w:afterAutospacing="0"/>
        <w:jc w:val="both"/>
        <w:rPr>
          <w:bCs/>
          <w:color w:val="002060"/>
          <w:sz w:val="16"/>
          <w:szCs w:val="16"/>
        </w:rPr>
      </w:pPr>
      <w:r w:rsidRPr="00405303">
        <w:rPr>
          <w:bCs/>
          <w:color w:val="002060"/>
          <w:sz w:val="16"/>
          <w:szCs w:val="16"/>
        </w:rPr>
        <w:t>Так кончился этот штурм, на который немцы возлагали столько надежд. Велики были потери гарнизона крепости, но велико было и истощение германских полков; они не возобновили атаки, а обстановка на Сосненской позиции к 12 ч была для них крайне благоприятна — проходы в сетях были открыты, противоштурмовое вооружение на 50 % уничтожено, на позиции находились три слабые утомленные роты, резервов на Заречной позиции не было</w:t>
      </w:r>
    </w:p>
    <w:p w14:paraId="7F76A765" w14:textId="77777777" w:rsidR="00DB2BFC" w:rsidRPr="00405303" w:rsidRDefault="00DB2BFC" w:rsidP="00C15251">
      <w:pPr>
        <w:pStyle w:val="ae"/>
        <w:spacing w:before="0" w:beforeAutospacing="0" w:after="0" w:afterAutospacing="0"/>
        <w:jc w:val="both"/>
        <w:rPr>
          <w:bCs/>
          <w:color w:val="002060"/>
          <w:sz w:val="16"/>
          <w:szCs w:val="16"/>
        </w:rPr>
      </w:pPr>
      <w:r w:rsidRPr="00405303">
        <w:rPr>
          <w:bCs/>
          <w:color w:val="002060"/>
          <w:sz w:val="16"/>
          <w:szCs w:val="16"/>
        </w:rPr>
        <w:t>Немецкая пехота слишком рано пошла в наступление и понесла огромные потери от своих же газов, утверждали, что в 18-м ландверном полку началась паника, были высказаны предположения, что вообще ландверные полки, напуганные непроходимостью болот Бобра, с неохотой шли на штурм крепости, отбивая больше «шаг на месте», чем продвигаясь вперед, и пр. Может быть, здесь и есть доля правды, но действительная причина поражения германцев заключается в огромной выносливости русского солдата, его поразительной выдержке, стойкости и беззаветной храбрости. Отражение газового штурма 6 августа 1915 г. является блестящей страницей в истории русской армии.</w:t>
      </w:r>
    </w:p>
    <w:p w14:paraId="0600D76A" w14:textId="77777777" w:rsidR="00DB2BFC" w:rsidRPr="00405303" w:rsidRDefault="00DB2BFC" w:rsidP="00C15251">
      <w:pPr>
        <w:pStyle w:val="ae"/>
        <w:spacing w:before="0" w:beforeAutospacing="0" w:after="0" w:afterAutospacing="0"/>
        <w:jc w:val="both"/>
        <w:rPr>
          <w:bCs/>
          <w:color w:val="002060"/>
          <w:sz w:val="16"/>
          <w:szCs w:val="16"/>
        </w:rPr>
      </w:pPr>
      <w:r w:rsidRPr="00405303">
        <w:rPr>
          <w:bCs/>
          <w:color w:val="002060"/>
          <w:sz w:val="16"/>
          <w:szCs w:val="16"/>
        </w:rPr>
        <w:t>Газы, пущенные немцами 6 августа, имели темно-зеленую окраску — это был хлор с примесью брома. Газовая волна, имевшая при выпуске около 3 км по фронту, стала быстро распространяться в стороны и, пройдя 10 км, имела уже около 8 км ширины; высота газовой волны над плацдармом была около 10-15 м.</w:t>
      </w:r>
    </w:p>
    <w:p w14:paraId="6954AB96" w14:textId="77777777" w:rsidR="00DB2BFC" w:rsidRPr="00405303" w:rsidRDefault="00DB2BFC" w:rsidP="00C15251">
      <w:pPr>
        <w:pStyle w:val="ae"/>
        <w:spacing w:before="0" w:beforeAutospacing="0" w:after="0" w:afterAutospacing="0"/>
        <w:jc w:val="both"/>
        <w:rPr>
          <w:bCs/>
          <w:color w:val="002060"/>
          <w:sz w:val="16"/>
          <w:szCs w:val="16"/>
        </w:rPr>
      </w:pPr>
      <w:r w:rsidRPr="00405303">
        <w:rPr>
          <w:bCs/>
          <w:color w:val="002060"/>
          <w:sz w:val="16"/>
          <w:szCs w:val="16"/>
        </w:rPr>
        <w:t>Все живое на открытом воздухе на плацдарме крепости было отравлено насмерть, большие потери несла во время стрельбы крепостная артиллерия; не участвующие в бою люди спаслись в казармах, убежищах, жилых домах, плотно заперев двери и окна, обильно обливая их водой.</w:t>
      </w:r>
    </w:p>
    <w:p w14:paraId="70478E87" w14:textId="77777777" w:rsidR="00DB2BFC" w:rsidRPr="00405303" w:rsidRDefault="00DB2BFC" w:rsidP="00C15251">
      <w:pPr>
        <w:pStyle w:val="ae"/>
        <w:spacing w:before="0" w:beforeAutospacing="0" w:after="0" w:afterAutospacing="0"/>
        <w:jc w:val="both"/>
        <w:rPr>
          <w:bCs/>
          <w:color w:val="002060"/>
          <w:sz w:val="16"/>
          <w:szCs w:val="16"/>
        </w:rPr>
      </w:pPr>
      <w:r w:rsidRPr="00405303">
        <w:rPr>
          <w:bCs/>
          <w:color w:val="002060"/>
          <w:sz w:val="16"/>
          <w:szCs w:val="16"/>
        </w:rPr>
        <w:t>В 12 км от места выпуска газа, в деревнях Овечки, Жодзи, Малая Крам-ковка, было тяжело отравлено 18 человек; известны случаи отравления животных — лошадей и коров. На станции Моньки, находящейся в 18 км от места выпуска газов, случаев отравления не наблюдалось. Газ застаивался в лесу и около водяных рвов, небольшая роща в 2 км от крепости по шоссе на Белосток оказалась непроходимой до 16 ч 6 августа.</w:t>
      </w:r>
    </w:p>
    <w:p w14:paraId="0433C69C" w14:textId="77777777" w:rsidR="00DB2BFC" w:rsidRPr="00405303" w:rsidRDefault="00DB2BFC" w:rsidP="00C15251">
      <w:pPr>
        <w:pStyle w:val="ae"/>
        <w:spacing w:before="0" w:beforeAutospacing="0" w:after="0" w:afterAutospacing="0"/>
        <w:jc w:val="both"/>
        <w:rPr>
          <w:bCs/>
          <w:color w:val="002060"/>
          <w:sz w:val="16"/>
          <w:szCs w:val="16"/>
        </w:rPr>
      </w:pPr>
      <w:r w:rsidRPr="00405303">
        <w:rPr>
          <w:bCs/>
          <w:color w:val="002060"/>
          <w:sz w:val="16"/>
          <w:szCs w:val="16"/>
        </w:rPr>
        <w:t>Вся зелень в крепости и в ближайшем районе по пути движения газов была уничтожена, листья на деревьях пожелтели, свернулись и опали, трава почернела и легла на землю, лепестки цветов облетели. Все медные предметы на плацдарме крепости — части орудий и снарядов, умывальники, баки и прочее — покрылись толстым зеленым слоем окиси хлора; предметы продовольствия, хранящиеся без герметической укупорки — мясо, масло, сало, овощи, оказались отравленными и непригодными для употребления. Газ оказался мощным средством поражения и мог свободно конкурировать с бомбами большой мощности» (20246)</w:t>
      </w:r>
      <w:r w:rsidRPr="00405303">
        <w:rPr>
          <w:rStyle w:val="af"/>
          <w:rFonts w:eastAsia="Segoe UI"/>
          <w:bCs/>
          <w:color w:val="002060"/>
          <w:sz w:val="16"/>
          <w:szCs w:val="16"/>
        </w:rPr>
        <w:t>.</w:t>
      </w:r>
    </w:p>
    <w:p w14:paraId="515701FF" w14:textId="77777777" w:rsidR="00DB2BFC" w:rsidRPr="00405303" w:rsidRDefault="00DB2BFC" w:rsidP="00C15251">
      <w:pPr>
        <w:pStyle w:val="ae"/>
        <w:spacing w:before="0" w:beforeAutospacing="0" w:after="0" w:afterAutospacing="0"/>
        <w:jc w:val="both"/>
        <w:rPr>
          <w:bCs/>
          <w:color w:val="002060"/>
          <w:sz w:val="16"/>
          <w:szCs w:val="16"/>
        </w:rPr>
      </w:pPr>
    </w:p>
    <w:p w14:paraId="1977CFD4" w14:textId="71F2EC7A" w:rsidR="00DB2BFC" w:rsidRPr="00405303" w:rsidRDefault="00DB2BFC" w:rsidP="00C15251">
      <w:pPr>
        <w:jc w:val="both"/>
        <w:rPr>
          <w:bCs/>
          <w:i/>
          <w:color w:val="002060"/>
          <w:sz w:val="16"/>
          <w:szCs w:val="16"/>
        </w:rPr>
      </w:pPr>
      <w:r w:rsidRPr="00405303">
        <w:rPr>
          <w:bCs/>
          <w:i/>
          <w:color w:val="002060"/>
          <w:sz w:val="16"/>
          <w:szCs w:val="16"/>
        </w:rPr>
        <w:t>Авиация и воздухоплавание Германии:</w:t>
      </w:r>
    </w:p>
    <w:p w14:paraId="246CA6B3" w14:textId="77777777" w:rsidR="00DB2BFC" w:rsidRPr="00405303" w:rsidRDefault="00DB2BFC" w:rsidP="00C15251">
      <w:pPr>
        <w:jc w:val="both"/>
        <w:rPr>
          <w:bCs/>
          <w:color w:val="002060"/>
          <w:sz w:val="16"/>
          <w:szCs w:val="16"/>
        </w:rPr>
      </w:pPr>
    </w:p>
    <w:p w14:paraId="03CB967E" w14:textId="77777777" w:rsidR="00DB2BFC" w:rsidRPr="00405303" w:rsidRDefault="00DB2BFC" w:rsidP="00C15251">
      <w:pPr>
        <w:jc w:val="both"/>
        <w:rPr>
          <w:bCs/>
          <w:color w:val="002060"/>
          <w:sz w:val="16"/>
          <w:szCs w:val="16"/>
        </w:rPr>
      </w:pPr>
      <w:r w:rsidRPr="00405303">
        <w:rPr>
          <w:bCs/>
          <w:color w:val="002060"/>
          <w:sz w:val="16"/>
          <w:szCs w:val="16"/>
        </w:rPr>
        <w:lastRenderedPageBreak/>
        <w:t xml:space="preserve">6 (19) августа 1915 лейтенант Освальд Бёльке на Fokker M.5K / MG с серийным номером E.3 / 15 </w:t>
      </w:r>
      <w:proofErr w:type="gramStart"/>
      <w:r w:rsidRPr="00405303">
        <w:rPr>
          <w:bCs/>
          <w:color w:val="002060"/>
          <w:sz w:val="16"/>
          <w:szCs w:val="16"/>
        </w:rPr>
        <w:t>IdFlieg ,</w:t>
      </w:r>
      <w:proofErr w:type="gramEnd"/>
      <w:r w:rsidRPr="00405303">
        <w:rPr>
          <w:bCs/>
          <w:color w:val="002060"/>
          <w:sz w:val="16"/>
          <w:szCs w:val="16"/>
        </w:rPr>
        <w:t xml:space="preserve"> оснащенном синхронизатором оружия и пулеметом Parabellum MG 14 сбивает свой первый самолет (20338).</w:t>
      </w:r>
    </w:p>
    <w:p w14:paraId="3459163F" w14:textId="77777777" w:rsidR="00DB2BFC" w:rsidRPr="00405303" w:rsidRDefault="00DB2BFC" w:rsidP="00C15251">
      <w:pPr>
        <w:jc w:val="both"/>
        <w:rPr>
          <w:bCs/>
          <w:color w:val="002060"/>
          <w:sz w:val="16"/>
          <w:szCs w:val="16"/>
        </w:rPr>
      </w:pPr>
    </w:p>
    <w:p w14:paraId="7E90D76E" w14:textId="77777777" w:rsidR="006F3862" w:rsidRPr="00405303" w:rsidRDefault="006F3862" w:rsidP="00C15251">
      <w:pPr>
        <w:jc w:val="both"/>
        <w:rPr>
          <w:bCs/>
          <w:i/>
          <w:color w:val="002060"/>
          <w:sz w:val="16"/>
          <w:szCs w:val="16"/>
        </w:rPr>
      </w:pPr>
      <w:r w:rsidRPr="00405303">
        <w:rPr>
          <w:bCs/>
          <w:i/>
          <w:color w:val="002060"/>
          <w:sz w:val="16"/>
          <w:szCs w:val="16"/>
        </w:rPr>
        <w:t>За рубежом:</w:t>
      </w:r>
    </w:p>
    <w:p w14:paraId="15A58568" w14:textId="77777777" w:rsidR="006F3862" w:rsidRPr="00405303" w:rsidRDefault="006F3862" w:rsidP="00C15251">
      <w:pPr>
        <w:jc w:val="both"/>
        <w:rPr>
          <w:bCs/>
          <w:color w:val="002060"/>
          <w:sz w:val="16"/>
          <w:szCs w:val="16"/>
        </w:rPr>
      </w:pPr>
    </w:p>
    <w:p w14:paraId="09FBB6BC" w14:textId="77777777" w:rsidR="006F3862" w:rsidRPr="00405303" w:rsidRDefault="006F3862" w:rsidP="00C15251">
      <w:pPr>
        <w:jc w:val="both"/>
        <w:rPr>
          <w:bCs/>
          <w:color w:val="002060"/>
          <w:sz w:val="16"/>
          <w:szCs w:val="16"/>
        </w:rPr>
      </w:pPr>
      <w:r w:rsidRPr="00405303">
        <w:rPr>
          <w:bCs/>
          <w:color w:val="002060"/>
          <w:sz w:val="16"/>
          <w:szCs w:val="16"/>
        </w:rPr>
        <w:t>6 (19) августа в 1915 году пароход-ловушка «HMS Baralong» патрулировал территорию примерно в 100 милях к югу от Куинстауна. Он был замаскирован под американское пассажирское судно, на мачте которого красовался американский флаг. В 15:00 с парохода заметили странно маневрирующее судно. Это было торговое судно «Nicosian», везущее рогатый скот для британской армии. Вскоре от него было получено радио, что его преследует подводная лодка, а позже - что судно захвачено немцами. Пароход «HMS Baralong» направился на выручку. К тому времени беззащитная команда «Nicosian» находилась в шлюпках, а лодка «U-27» расстреливала транспорт. Заметив подмогу, субмарина устремилась навстречу пароходу «HMS Baralong», на борту которого команда поспешно меняла флаг и готовилась к атаке. Немного приблизившись, англичане открыли огонь. Так как дистанция не превышала 600 метров, лодка сразу получила множество попаданий и быстро затонула. Вместе с субмариной погиб ее командир, один из лучших германских подводников капитан-лейтенант Вегенер. Когда экипаж судна вернулся в США, история массово обсуждалась, и правительство Германии утверждало, что экипаж судна «HMS Baralong» совершил злодеяние. Спор продолжался еще некоторое время и стал известен как Баралонгский инцидент (14988).</w:t>
      </w:r>
    </w:p>
    <w:p w14:paraId="189DF682" w14:textId="77777777" w:rsidR="006F3862" w:rsidRPr="00405303" w:rsidRDefault="006F3862" w:rsidP="00C15251">
      <w:pPr>
        <w:jc w:val="both"/>
        <w:rPr>
          <w:bCs/>
          <w:color w:val="002060"/>
          <w:sz w:val="16"/>
          <w:szCs w:val="16"/>
        </w:rPr>
      </w:pPr>
    </w:p>
    <w:p w14:paraId="5D044495" w14:textId="794A592E" w:rsidR="00244ED3" w:rsidRPr="00405303" w:rsidRDefault="00244ED3" w:rsidP="00C15251">
      <w:pPr>
        <w:jc w:val="both"/>
        <w:rPr>
          <w:bCs/>
          <w:i/>
          <w:color w:val="002060"/>
          <w:sz w:val="16"/>
          <w:szCs w:val="16"/>
        </w:rPr>
      </w:pPr>
      <w:r w:rsidRPr="00405303">
        <w:rPr>
          <w:bCs/>
          <w:i/>
          <w:color w:val="002060"/>
          <w:sz w:val="16"/>
          <w:szCs w:val="16"/>
        </w:rPr>
        <w:t>Авиация:</w:t>
      </w:r>
    </w:p>
    <w:p w14:paraId="1C9BF418" w14:textId="77777777" w:rsidR="00244ED3" w:rsidRPr="00405303" w:rsidRDefault="00244ED3" w:rsidP="00C15251">
      <w:pPr>
        <w:jc w:val="both"/>
        <w:rPr>
          <w:bCs/>
          <w:i/>
          <w:color w:val="002060"/>
          <w:sz w:val="16"/>
          <w:szCs w:val="16"/>
        </w:rPr>
      </w:pPr>
    </w:p>
    <w:p w14:paraId="25F00D7E" w14:textId="410F9BE9" w:rsidR="00244ED3" w:rsidRPr="00405303" w:rsidRDefault="00244ED3" w:rsidP="00C15251">
      <w:pPr>
        <w:jc w:val="both"/>
        <w:rPr>
          <w:bCs/>
          <w:color w:val="002060"/>
          <w:sz w:val="16"/>
          <w:szCs w:val="16"/>
          <w:lang w:bidi="en-US"/>
        </w:rPr>
      </w:pPr>
      <w:r w:rsidRPr="00405303">
        <w:rPr>
          <w:bCs/>
          <w:color w:val="002060"/>
          <w:sz w:val="16"/>
          <w:szCs w:val="16"/>
          <w:lang w:bidi="en-US"/>
        </w:rPr>
        <w:t xml:space="preserve">7 (20) августа 1915 г. на Балтике немецкий </w:t>
      </w:r>
      <w:r w:rsidRPr="00405303">
        <w:rPr>
          <w:bCs/>
          <w:color w:val="002060"/>
          <w:sz w:val="16"/>
          <w:szCs w:val="16"/>
          <w:lang w:val="en-US" w:bidi="en-US"/>
        </w:rPr>
        <w:t>Flugzeugmutterschiff</w:t>
      </w:r>
      <w:r w:rsidRPr="00405303">
        <w:rPr>
          <w:bCs/>
          <w:color w:val="002060"/>
          <w:sz w:val="16"/>
          <w:szCs w:val="16"/>
          <w:lang w:bidi="en-US"/>
        </w:rPr>
        <w:t xml:space="preserve"> </w:t>
      </w:r>
      <w:r w:rsidRPr="00405303">
        <w:rPr>
          <w:bCs/>
          <w:color w:val="002060"/>
          <w:sz w:val="16"/>
          <w:szCs w:val="16"/>
          <w:lang w:val="en-US" w:bidi="en-US"/>
        </w:rPr>
        <w:t>Answald</w:t>
      </w:r>
      <w:r w:rsidRPr="00405303">
        <w:rPr>
          <w:bCs/>
          <w:color w:val="002060"/>
          <w:sz w:val="16"/>
          <w:szCs w:val="16"/>
          <w:lang w:bidi="en-US"/>
        </w:rPr>
        <w:t xml:space="preserve"> (</w:t>
      </w:r>
      <w:r w:rsidRPr="00405303">
        <w:rPr>
          <w:bCs/>
          <w:color w:val="002060"/>
          <w:sz w:val="16"/>
          <w:szCs w:val="16"/>
          <w:lang w:val="en-US" w:bidi="en-US"/>
        </w:rPr>
        <w:t>FS</w:t>
      </w:r>
      <w:r w:rsidRPr="00405303">
        <w:rPr>
          <w:bCs/>
          <w:color w:val="002060"/>
          <w:sz w:val="16"/>
          <w:szCs w:val="16"/>
          <w:lang w:bidi="en-US"/>
        </w:rPr>
        <w:t xml:space="preserve"> </w:t>
      </w:r>
      <w:r w:rsidRPr="00405303">
        <w:rPr>
          <w:bCs/>
          <w:color w:val="002060"/>
          <w:sz w:val="16"/>
          <w:szCs w:val="16"/>
          <w:lang w:val="en-US" w:bidi="en-US"/>
        </w:rPr>
        <w:t>I</w:t>
      </w:r>
      <w:r w:rsidRPr="00405303">
        <w:rPr>
          <w:bCs/>
          <w:color w:val="002060"/>
          <w:sz w:val="16"/>
          <w:szCs w:val="16"/>
          <w:lang w:bidi="en-US"/>
        </w:rPr>
        <w:t>) с 2-3 гидросамолетами прибыл в Либаву, вернувшись из Германии. Он проводил операции до 12 мая 1916 года (23525).</w:t>
      </w:r>
    </w:p>
    <w:p w14:paraId="05426D46" w14:textId="77777777" w:rsidR="00244ED3" w:rsidRPr="00405303" w:rsidRDefault="00244ED3" w:rsidP="00C15251">
      <w:pPr>
        <w:jc w:val="both"/>
        <w:rPr>
          <w:bCs/>
          <w:color w:val="002060"/>
          <w:sz w:val="16"/>
          <w:szCs w:val="16"/>
        </w:rPr>
      </w:pPr>
    </w:p>
    <w:p w14:paraId="3865E885" w14:textId="07C7F202" w:rsidR="00B07D2C" w:rsidRPr="00405303" w:rsidRDefault="00B07D2C" w:rsidP="00C15251">
      <w:pPr>
        <w:jc w:val="both"/>
        <w:rPr>
          <w:bCs/>
          <w:i/>
          <w:color w:val="002060"/>
          <w:sz w:val="16"/>
          <w:szCs w:val="16"/>
        </w:rPr>
      </w:pPr>
      <w:r w:rsidRPr="00405303">
        <w:rPr>
          <w:bCs/>
          <w:i/>
          <w:color w:val="002060"/>
          <w:sz w:val="16"/>
          <w:szCs w:val="16"/>
        </w:rPr>
        <w:t>Авиация и воздухоплавание за рубежом:</w:t>
      </w:r>
    </w:p>
    <w:p w14:paraId="3895F735" w14:textId="77777777" w:rsidR="00B07D2C" w:rsidRPr="00405303" w:rsidRDefault="00B07D2C" w:rsidP="00C15251">
      <w:pPr>
        <w:jc w:val="both"/>
        <w:rPr>
          <w:bCs/>
          <w:i/>
          <w:color w:val="002060"/>
          <w:sz w:val="16"/>
          <w:szCs w:val="16"/>
        </w:rPr>
      </w:pPr>
    </w:p>
    <w:p w14:paraId="6C396B44" w14:textId="683BB8F4" w:rsidR="00B07D2C" w:rsidRPr="00405303" w:rsidRDefault="00B07D2C" w:rsidP="00C15251">
      <w:pPr>
        <w:jc w:val="both"/>
        <w:rPr>
          <w:bCs/>
          <w:color w:val="002060"/>
          <w:sz w:val="16"/>
          <w:szCs w:val="16"/>
        </w:rPr>
      </w:pPr>
      <w:r w:rsidRPr="00405303">
        <w:rPr>
          <w:bCs/>
          <w:color w:val="002060"/>
          <w:sz w:val="16"/>
          <w:szCs w:val="16"/>
        </w:rPr>
        <w:t>7 (20) августа 1915</w:t>
      </w:r>
      <w:r w:rsidR="00C93DD1" w:rsidRPr="00405303">
        <w:rPr>
          <w:bCs/>
          <w:color w:val="002060"/>
          <w:sz w:val="16"/>
          <w:szCs w:val="16"/>
        </w:rPr>
        <w:t xml:space="preserve"> г.</w:t>
      </w:r>
      <w:r w:rsidRPr="00405303">
        <w:rPr>
          <w:bCs/>
          <w:color w:val="002060"/>
          <w:sz w:val="16"/>
          <w:szCs w:val="16"/>
        </w:rPr>
        <w:t xml:space="preserve"> </w:t>
      </w:r>
      <w:r w:rsidR="00C93DD1" w:rsidRPr="00405303">
        <w:rPr>
          <w:bCs/>
          <w:color w:val="002060"/>
          <w:sz w:val="16"/>
          <w:szCs w:val="16"/>
        </w:rPr>
        <w:t xml:space="preserve">была </w:t>
      </w:r>
      <w:r w:rsidRPr="00405303">
        <w:rPr>
          <w:bCs/>
          <w:color w:val="002060"/>
          <w:sz w:val="16"/>
          <w:szCs w:val="16"/>
        </w:rPr>
        <w:t>перв</w:t>
      </w:r>
      <w:r w:rsidR="00C93DD1" w:rsidRPr="00405303">
        <w:rPr>
          <w:bCs/>
          <w:color w:val="002060"/>
          <w:sz w:val="16"/>
          <w:szCs w:val="16"/>
        </w:rPr>
        <w:t>ая</w:t>
      </w:r>
      <w:r w:rsidRPr="00405303">
        <w:rPr>
          <w:bCs/>
          <w:color w:val="002060"/>
          <w:sz w:val="16"/>
          <w:szCs w:val="16"/>
        </w:rPr>
        <w:t xml:space="preserve"> воздушн</w:t>
      </w:r>
      <w:r w:rsidR="00C93DD1" w:rsidRPr="00405303">
        <w:rPr>
          <w:bCs/>
          <w:color w:val="002060"/>
          <w:sz w:val="16"/>
          <w:szCs w:val="16"/>
        </w:rPr>
        <w:t>ая</w:t>
      </w:r>
      <w:r w:rsidRPr="00405303">
        <w:rPr>
          <w:bCs/>
          <w:color w:val="002060"/>
          <w:sz w:val="16"/>
          <w:szCs w:val="16"/>
        </w:rPr>
        <w:t xml:space="preserve"> бомбардировк</w:t>
      </w:r>
      <w:r w:rsidR="00C93DD1" w:rsidRPr="00405303">
        <w:rPr>
          <w:bCs/>
          <w:color w:val="002060"/>
          <w:sz w:val="16"/>
          <w:szCs w:val="16"/>
        </w:rPr>
        <w:t>а</w:t>
      </w:r>
      <w:r w:rsidRPr="00405303">
        <w:rPr>
          <w:bCs/>
          <w:color w:val="002060"/>
          <w:sz w:val="16"/>
          <w:szCs w:val="16"/>
        </w:rPr>
        <w:t xml:space="preserve"> с Caproni Ca.2s в ходе наступление итальянской против Австро-Венгрии. Ca.2 становится первым итальянским бомбардировщиком, нанесшим удар по позициям противника во время Первой мировой войны (20338).</w:t>
      </w:r>
    </w:p>
    <w:p w14:paraId="71D506B0" w14:textId="77777777" w:rsidR="00B07D2C" w:rsidRPr="00405303" w:rsidRDefault="00B07D2C" w:rsidP="00C15251">
      <w:pPr>
        <w:jc w:val="both"/>
        <w:rPr>
          <w:bCs/>
          <w:color w:val="002060"/>
          <w:sz w:val="16"/>
          <w:szCs w:val="16"/>
        </w:rPr>
      </w:pPr>
    </w:p>
    <w:p w14:paraId="7F069325" w14:textId="2C45F0D5" w:rsidR="004B4E35" w:rsidRPr="00405303" w:rsidRDefault="00B07D2C" w:rsidP="00C15251">
      <w:pPr>
        <w:shd w:val="clear" w:color="auto" w:fill="FFFFFF"/>
        <w:jc w:val="both"/>
        <w:rPr>
          <w:bCs/>
          <w:i/>
          <w:color w:val="002060"/>
          <w:sz w:val="16"/>
          <w:szCs w:val="16"/>
        </w:rPr>
      </w:pPr>
      <w:r w:rsidRPr="00405303">
        <w:rPr>
          <w:bCs/>
          <w:i/>
          <w:color w:val="002060"/>
          <w:sz w:val="16"/>
          <w:szCs w:val="16"/>
        </w:rPr>
        <w:t>Другие оборонные отрасли</w:t>
      </w:r>
      <w:r w:rsidR="009E6F82" w:rsidRPr="00405303">
        <w:rPr>
          <w:bCs/>
          <w:i/>
          <w:color w:val="002060"/>
          <w:sz w:val="16"/>
          <w:szCs w:val="16"/>
        </w:rPr>
        <w:t>:</w:t>
      </w:r>
    </w:p>
    <w:p w14:paraId="3FFFF3D3" w14:textId="77777777" w:rsidR="00B10892" w:rsidRPr="00405303" w:rsidRDefault="00B10892" w:rsidP="00C15251">
      <w:pPr>
        <w:jc w:val="both"/>
        <w:rPr>
          <w:bCs/>
          <w:color w:val="002060"/>
          <w:sz w:val="16"/>
          <w:szCs w:val="16"/>
        </w:rPr>
      </w:pPr>
    </w:p>
    <w:p w14:paraId="01D1F38A" w14:textId="77777777" w:rsidR="004B4E35" w:rsidRPr="00405303" w:rsidRDefault="009E6F82" w:rsidP="00C15251">
      <w:pPr>
        <w:jc w:val="both"/>
        <w:rPr>
          <w:bCs/>
          <w:color w:val="002060"/>
          <w:sz w:val="16"/>
          <w:szCs w:val="16"/>
        </w:rPr>
      </w:pPr>
      <w:r w:rsidRPr="00405303">
        <w:rPr>
          <w:bCs/>
          <w:color w:val="002060"/>
          <w:sz w:val="16"/>
          <w:szCs w:val="16"/>
        </w:rPr>
        <w:t>В конце июля-начале августа 1915 г. завод фирмы «Оливье и Петт» в Макеевке начал выдавать бензол и толуол, а в июле 1917-го первые порции продукции выдал первый в России завод по производству азотной кислоты из аммиака в Юзовке.</w:t>
      </w:r>
    </w:p>
    <w:p w14:paraId="6E78A16A" w14:textId="77777777" w:rsidR="004B4E35" w:rsidRPr="00405303" w:rsidRDefault="009E6F82" w:rsidP="00C15251">
      <w:pPr>
        <w:jc w:val="both"/>
        <w:rPr>
          <w:bCs/>
          <w:color w:val="002060"/>
          <w:sz w:val="16"/>
          <w:szCs w:val="16"/>
        </w:rPr>
      </w:pPr>
      <w:r w:rsidRPr="00405303">
        <w:rPr>
          <w:bCs/>
          <w:color w:val="002060"/>
          <w:sz w:val="16"/>
          <w:szCs w:val="16"/>
        </w:rPr>
        <w:t>Незадолго до войны было учреждено специальное Министерство Торговли и Промышленности. Однако в России не существовало такого государственного органа, который регулировал бы развитие различных отраслей химической промышленности, учитывал, обобщал и обрабатывал данные об их развитии и потребностях, а также выделял бы и выдвигал на первый план те отрасли химической промышленности, которые были наиболее важны и нужны для страны в данный момент.</w:t>
      </w:r>
    </w:p>
    <w:p w14:paraId="24D546C3" w14:textId="77777777" w:rsidR="004B4E35" w:rsidRPr="00405303" w:rsidRDefault="009E6F82" w:rsidP="00C15251">
      <w:pPr>
        <w:jc w:val="both"/>
        <w:rPr>
          <w:bCs/>
          <w:color w:val="002060"/>
          <w:sz w:val="16"/>
          <w:szCs w:val="16"/>
        </w:rPr>
      </w:pPr>
      <w:r w:rsidRPr="00405303">
        <w:rPr>
          <w:bCs/>
          <w:color w:val="002060"/>
          <w:sz w:val="16"/>
          <w:szCs w:val="16"/>
        </w:rPr>
        <w:t>Производство этих продуктов связано с процессом коксования каменного угля. В то время в Донецком бассейне, где были открыты огромные залежи каменного угля, строилось коксохимическое производство для нужд металлургической промышленности. В большинстве своем оно не имело оборудования для улавливания жидких углеводородов. Ввоз бензола из Германии и Англии с началом войны прекратился. Америка удовлетворить спрос России и ее союзников в бензоле не могла. Необходимо было наладить в России в самые кратчайшие сроки производство толуола. Главное артиллерийское управление (ГАУ) России направило в Донбасс в конце июля 1914 г. комиссию во главе с профессором А.В.Сапожниковым. Ее выводы: выработка сырого бензола на отечественных заводах незначительна, а увеличение его производства сопряжено со значительными техническими трудностями и потребует до полутора лет. ГАУ принимает решение послать в Донбасс еще одну комиссию. В ее состав вошли профессор Михайловской артиллерийской академии В.Н.Ипатьев, два представителя от Министерства Торговли и Промышленности — инженер-технолог Л.Ф.Фокин и В.Ю. Шуман, представитель Военного Ведомства О.Г.Филиппов. В течение месяца комиссия детально обследовала коксовые заводы бассейна. Ипатьев писал: «Нам пришлось убедиться, что фирма немецкая Копперс, которая до войны сооружала у нас коксовые печи, не старалась ...строить рекуперационные заводы для добывания бензола и толуола. Было несомненно, что эта и другие фирмы сознательно оберегали интересы Германии».</w:t>
      </w:r>
    </w:p>
    <w:p w14:paraId="25087CEF" w14:textId="77777777" w:rsidR="004B4E35" w:rsidRPr="00405303" w:rsidRDefault="009E6F82" w:rsidP="00C15251">
      <w:pPr>
        <w:jc w:val="both"/>
        <w:rPr>
          <w:bCs/>
          <w:color w:val="002060"/>
          <w:sz w:val="16"/>
          <w:szCs w:val="16"/>
        </w:rPr>
      </w:pPr>
      <w:r w:rsidRPr="00405303">
        <w:rPr>
          <w:bCs/>
          <w:color w:val="002060"/>
          <w:sz w:val="16"/>
          <w:szCs w:val="16"/>
        </w:rPr>
        <w:t>Выводы комиссии были доложены 19.12.1914 г. в Научно-технической Лаборатории Военного Ведомства в присутствии помощника Военного Министра генерала Вернандера и других высоких лиц. Главная цель доклада — для увеличения добычи бензола необходимо немедленно приступить к постройке ряда дополнительных сооружений для улавливания бензола при существующих уже коксовальных заводах. Это потребовало бы 5-6 месяцев. Однако конкретного решения принято не было — все ждали скорого окончания войны. А потому образовали еще одну комиссию «по заготовке взрывчатых веществ».</w:t>
      </w:r>
    </w:p>
    <w:p w14:paraId="51ADAB59" w14:textId="77777777" w:rsidR="004B4E35" w:rsidRPr="00405303" w:rsidRDefault="009E6F82" w:rsidP="00C15251">
      <w:pPr>
        <w:jc w:val="both"/>
        <w:rPr>
          <w:bCs/>
          <w:color w:val="002060"/>
          <w:sz w:val="16"/>
          <w:szCs w:val="16"/>
        </w:rPr>
      </w:pPr>
      <w:r w:rsidRPr="00405303">
        <w:rPr>
          <w:bCs/>
          <w:color w:val="002060"/>
          <w:sz w:val="16"/>
          <w:szCs w:val="16"/>
        </w:rPr>
        <w:t>Но Ипатьев и его коллеги, участвовавшие в поездке в Донбасс, наметили программу строительства бензоловых заводов и на свой страх и риск приступили к ее осуществлению.</w:t>
      </w:r>
    </w:p>
    <w:p w14:paraId="0E935CF6" w14:textId="77777777" w:rsidR="004B4E35" w:rsidRPr="00405303" w:rsidRDefault="009E6F82" w:rsidP="00C15251">
      <w:pPr>
        <w:jc w:val="both"/>
        <w:rPr>
          <w:bCs/>
          <w:color w:val="002060"/>
          <w:sz w:val="16"/>
          <w:szCs w:val="16"/>
        </w:rPr>
      </w:pPr>
      <w:r w:rsidRPr="00405303">
        <w:rPr>
          <w:bCs/>
          <w:color w:val="002060"/>
          <w:sz w:val="16"/>
          <w:szCs w:val="16"/>
        </w:rPr>
        <w:t>Это было не просто, ибо все дело строительства коксовых печей и устройства заводов побочных продуктов в Донбассе захватили несколько иностранных строительных фирм, главным образом немецких, которые сознательно тормозили развитие русской коксобензольной промышленности, строя заводы с неполной рекуперацией. А как только начиналась выработка бензола на русских заводах, германский синдикат снижал цены на него на столько, что конкуренция становилась невозможной и производство прекращалось.</w:t>
      </w:r>
    </w:p>
    <w:p w14:paraId="466204DC" w14:textId="77777777" w:rsidR="004B4E35" w:rsidRPr="00405303" w:rsidRDefault="009E6F82" w:rsidP="00C15251">
      <w:pPr>
        <w:jc w:val="both"/>
        <w:rPr>
          <w:bCs/>
          <w:color w:val="002060"/>
          <w:sz w:val="16"/>
          <w:szCs w:val="16"/>
        </w:rPr>
      </w:pPr>
      <w:r w:rsidRPr="00405303">
        <w:rPr>
          <w:bCs/>
          <w:color w:val="002060"/>
          <w:sz w:val="16"/>
          <w:szCs w:val="16"/>
        </w:rPr>
        <w:t>В этих условиях только один завод, принадлежавший бельгийской фирме «Оливье Пьетт» и расположенный в Макеевке, после долгих переговоров согласился построить у себя установку для улавливания сырого бензола и ректификационный завод для фракционировки и ректификации собственных и привозных ароматических углеводородов. В течение января 1915 г. комиссия выработала проект договора между фирмой «Оливье Пьетт» и Артиллерийским ведомством на поставку бензола и толуола, а в конце июля и в начале августа 1915 г. завод стал давать бензол и толуол.</w:t>
      </w:r>
    </w:p>
    <w:p w14:paraId="39614E4E" w14:textId="77777777" w:rsidR="004B4E35" w:rsidRPr="00405303" w:rsidRDefault="004B4E35" w:rsidP="00C15251">
      <w:pPr>
        <w:jc w:val="both"/>
        <w:rPr>
          <w:bCs/>
          <w:color w:val="002060"/>
          <w:sz w:val="16"/>
          <w:szCs w:val="16"/>
        </w:rPr>
      </w:pPr>
    </w:p>
    <w:p w14:paraId="2E86B68C" w14:textId="495629CE" w:rsidR="00244ED3" w:rsidRPr="00405303" w:rsidRDefault="00244ED3" w:rsidP="00C15251">
      <w:pPr>
        <w:jc w:val="both"/>
        <w:rPr>
          <w:bCs/>
          <w:i/>
          <w:color w:val="002060"/>
          <w:sz w:val="16"/>
          <w:szCs w:val="16"/>
        </w:rPr>
      </w:pPr>
      <w:r w:rsidRPr="00405303">
        <w:rPr>
          <w:bCs/>
          <w:i/>
          <w:color w:val="002060"/>
          <w:sz w:val="16"/>
          <w:szCs w:val="16"/>
        </w:rPr>
        <w:t>Авиация:</w:t>
      </w:r>
    </w:p>
    <w:p w14:paraId="3E6378DC" w14:textId="77777777" w:rsidR="00244ED3" w:rsidRPr="00405303" w:rsidRDefault="00244ED3" w:rsidP="00C15251">
      <w:pPr>
        <w:jc w:val="both"/>
        <w:rPr>
          <w:bCs/>
          <w:i/>
          <w:color w:val="002060"/>
          <w:sz w:val="16"/>
          <w:szCs w:val="16"/>
        </w:rPr>
      </w:pPr>
    </w:p>
    <w:p w14:paraId="09206A11" w14:textId="77777777" w:rsidR="00244ED3" w:rsidRPr="00405303" w:rsidRDefault="00244ED3" w:rsidP="00C15251">
      <w:pPr>
        <w:jc w:val="both"/>
        <w:rPr>
          <w:bCs/>
          <w:color w:val="002060"/>
          <w:sz w:val="16"/>
          <w:szCs w:val="16"/>
        </w:rPr>
      </w:pPr>
      <w:r w:rsidRPr="00405303">
        <w:rPr>
          <w:bCs/>
          <w:color w:val="002060"/>
          <w:sz w:val="16"/>
          <w:szCs w:val="16"/>
        </w:rPr>
        <w:t xml:space="preserve">В начале августа 1915 г. командование русского гарнизона ввиду опасности скорой капитуляции решило воспользоваться услугами летчиков Новогеоргиевского крепостного авиаотряда. Его начальник капитан Иван Массальский организовал отлет всех исправных самолетов, предварительно уничтожив авиационное имущество, которое нельзя было вывезти. Летчики поручик Константин Вакуловский, штабс-ротмистр Ливотов, капитан Массальский и другие по приказу коменданта крепости вылетели в непогоду под сильным обстрелом противника. Прорвавшись, они вывезли штандарты, Георгиевские кресты и секретные документы. Пролетев 4- 5 часов на небольшой высоте, авиаторы благополучно опустились в расположении своих войск. За этот подвиг они были награждены орденами Св. Георгия 4-й степени и Георгиевским оружием. В 1915 г. воздушные бои оставались редкостью. В большинстве случаев экипажи отправлялись на задания, располагая только карабинами и пистолетами, но и с таким оружием некоторые летчики добивались воздушных побед. Так, 25 февраля летчик°доброволец француз Пуаре с наблюдателем поручиком Шебалиным вылетели на трофейном "Эйлере" на разведку района Лович-Неборов-Болилов. Над своими позициями между Камионом и Сулишевым они атаковали немецкий аппарат. С дистанции 40-50 м по нему было произведено 5 выстрелов из карабина. Согласно донесению летчиков 2-го армейского авиаотряда, "после третьего выстрела самолет противника пошел с поворотом книзу и опустился под Скверневицами". 15-го июля во время разведки к востоку от Золотой Липы летчики 2-го Сибирского КАО поручик Покровский и корнет Плонский заметили неприятельский аэроплан. Из оружия у них были только пистолеты </w:t>
      </w:r>
      <w:r w:rsidRPr="00405303">
        <w:rPr>
          <w:bCs/>
          <w:color w:val="002060"/>
          <w:sz w:val="16"/>
          <w:szCs w:val="16"/>
        </w:rPr>
        <w:lastRenderedPageBreak/>
        <w:t>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7-й... авиароты.&gt; Оба русских героя были награждены орденами Св. Георгия 4-й степени. Кстати, &lt;Авиатик&gt;, как и большийство других самолетов того времени, был весьма слабой машиной. Об этом свидетельствует следующий факт: 27 ноября австрийские летчики Дример и Хубнер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Недостаток вооружения во многом компенсировался храбростью русских авиаторов. 18-го марта одержал свою первую победу летчик 4-го КАО поручик А. А. 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В 1915 г. на русских аэропланах появились пулеметы. Для их применения наиболее пригодным оказался биплан Вуазен, на который часто устанавливался пулемет Кольт. Такой самолет становился грозным оружием, 24-го июня летчик прапорщик Иванов и наблюдатель поручик Алексеев из 26-го КАО атаковали в районе Тарнополя австрийский Альбатрос (бортовой номер 21-01) из 1-й авиароты,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Тлусте,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3B91BA76" w14:textId="77777777" w:rsidR="00244ED3" w:rsidRPr="00405303" w:rsidRDefault="00244ED3" w:rsidP="00C15251">
      <w:pPr>
        <w:jc w:val="both"/>
        <w:rPr>
          <w:bCs/>
          <w:color w:val="002060"/>
          <w:sz w:val="16"/>
          <w:szCs w:val="16"/>
        </w:rPr>
      </w:pPr>
    </w:p>
    <w:p w14:paraId="68F25D5C" w14:textId="77777777" w:rsidR="00111B81" w:rsidRPr="00405303" w:rsidRDefault="00111B81" w:rsidP="00111B81">
      <w:pPr>
        <w:jc w:val="both"/>
        <w:rPr>
          <w:color w:val="0070C0"/>
          <w:sz w:val="16"/>
          <w:szCs w:val="16"/>
        </w:rPr>
      </w:pPr>
      <w:r w:rsidRPr="00405303">
        <w:rPr>
          <w:color w:val="0070C0"/>
          <w:sz w:val="16"/>
          <w:szCs w:val="16"/>
        </w:rPr>
        <w:t>В начале августа 1915 г., эскадра со всеми службами перешла на свою новую стоянку в предместье города Пскова – Кресты (24965).</w:t>
      </w:r>
    </w:p>
    <w:p w14:paraId="34F4849E" w14:textId="77777777" w:rsidR="00111B81" w:rsidRPr="00405303" w:rsidRDefault="00111B81" w:rsidP="00111B81">
      <w:pPr>
        <w:jc w:val="both"/>
        <w:rPr>
          <w:color w:val="0070C0"/>
          <w:sz w:val="16"/>
          <w:szCs w:val="16"/>
        </w:rPr>
      </w:pPr>
    </w:p>
    <w:p w14:paraId="239064FC" w14:textId="77777777" w:rsidR="00111B81" w:rsidRPr="00405303" w:rsidRDefault="00111B81" w:rsidP="00111B81">
      <w:pPr>
        <w:jc w:val="both"/>
        <w:rPr>
          <w:color w:val="0070C0"/>
          <w:sz w:val="16"/>
          <w:szCs w:val="16"/>
        </w:rPr>
      </w:pPr>
      <w:r w:rsidRPr="00405303">
        <w:rPr>
          <w:color w:val="0070C0"/>
          <w:sz w:val="16"/>
          <w:szCs w:val="16"/>
        </w:rPr>
        <w:t>В начале августа 1915 г. через три месяца вновь перебазирование: из Лиды в Псков. Пока база Эскадры эвакуировалась от Яблонны до Пскова и обживалась на новом месте, отдельный отряд эффективно действовал (24965).</w:t>
      </w:r>
    </w:p>
    <w:p w14:paraId="757EEB3D" w14:textId="77777777" w:rsidR="00111B81" w:rsidRPr="00405303" w:rsidRDefault="00111B81" w:rsidP="00111B81">
      <w:pPr>
        <w:jc w:val="both"/>
        <w:rPr>
          <w:color w:val="0070C0"/>
          <w:sz w:val="16"/>
          <w:szCs w:val="16"/>
        </w:rPr>
      </w:pPr>
    </w:p>
    <w:p w14:paraId="21137F3E" w14:textId="77777777" w:rsidR="00111B81" w:rsidRPr="00405303" w:rsidRDefault="00111B81" w:rsidP="00111B81">
      <w:pPr>
        <w:jc w:val="both"/>
        <w:rPr>
          <w:color w:val="0070C0"/>
          <w:sz w:val="16"/>
          <w:szCs w:val="16"/>
        </w:rPr>
      </w:pPr>
      <w:r w:rsidRPr="00405303">
        <w:rPr>
          <w:color w:val="0070C0"/>
          <w:sz w:val="16"/>
          <w:szCs w:val="16"/>
        </w:rPr>
        <w:t>В начале августа 1915 г. командование русского гарнизона ввиду опасности скорой капитуляции решило воспользоваться услугами летчиков Новогеоргиевского крепостного авиаотряда. Его начальник капитан Иван Массальский организовал отлет всех исправных самолетов, предварительно уничтожив авиационное имущество, которое нельзя было вывезти. Летчики поручик Константин Вакуловский, штабс-ротмистр Ливотов, капитан Массальский и другие по приказу коменданта крепости вылетели в непогоду под сильным обстрелом противника. Прорвавшись, они вывезли штандарты, Георгиевские кресты и секретные документы. Пролетев 4-5 часов на небольшой высоте, авиаторы благополучно опустились в расположении своих войск. За этот подвиг они были награждены орденами Св.Георгия 4-й степени и Георгиевским оружием (25151).</w:t>
      </w:r>
    </w:p>
    <w:p w14:paraId="04053F93" w14:textId="77777777" w:rsidR="00111B81" w:rsidRPr="00405303" w:rsidRDefault="00111B81" w:rsidP="00111B81">
      <w:pPr>
        <w:jc w:val="both"/>
        <w:rPr>
          <w:color w:val="0070C0"/>
          <w:sz w:val="16"/>
          <w:szCs w:val="16"/>
        </w:rPr>
      </w:pPr>
    </w:p>
    <w:p w14:paraId="586499E8" w14:textId="77777777" w:rsidR="00111B81" w:rsidRPr="00405303" w:rsidRDefault="00111B81" w:rsidP="00111B81">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В начале августа 1915 г. первый полет вражеского самолета над городом Рига стало сенсацией для местных жителей. По словам очевидцев, «Народ высыпался на улицы и любовался невиданным зрелищем. Сброшено две бомбы. Жертв нет. Аэроплан продержался над Ригой минут 15, а затем скрылся» (25166).</w:t>
      </w:r>
    </w:p>
    <w:p w14:paraId="26713944" w14:textId="77777777" w:rsidR="00111B81" w:rsidRPr="00405303" w:rsidRDefault="00111B81" w:rsidP="00111B81">
      <w:pPr>
        <w:jc w:val="both"/>
        <w:rPr>
          <w:color w:val="0070C0"/>
          <w:sz w:val="16"/>
          <w:szCs w:val="16"/>
        </w:rPr>
      </w:pPr>
    </w:p>
    <w:p w14:paraId="6505CCC4" w14:textId="0115DA4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2A8D7184" w14:textId="77777777" w:rsidR="004B4E35" w:rsidRPr="00405303" w:rsidRDefault="004B4E35" w:rsidP="00C15251">
      <w:pPr>
        <w:jc w:val="both"/>
        <w:rPr>
          <w:bCs/>
          <w:i/>
          <w:color w:val="002060"/>
          <w:sz w:val="16"/>
          <w:szCs w:val="16"/>
        </w:rPr>
      </w:pPr>
    </w:p>
    <w:p w14:paraId="0F48A787" w14:textId="77777777" w:rsidR="004B4E35" w:rsidRPr="00405303" w:rsidRDefault="009E6F82" w:rsidP="00C15251">
      <w:pPr>
        <w:jc w:val="both"/>
        <w:rPr>
          <w:bCs/>
          <w:color w:val="002060"/>
          <w:sz w:val="16"/>
          <w:szCs w:val="16"/>
        </w:rPr>
      </w:pPr>
      <w:r w:rsidRPr="00405303">
        <w:rPr>
          <w:bCs/>
          <w:color w:val="002060"/>
          <w:sz w:val="16"/>
          <w:szCs w:val="16"/>
        </w:rPr>
        <w:t>В начале августа 1915 г. 6-я армия вошла в состав Северного фронта и Балтийский флот был переподчинён его главнокомандующему генералу Н.В.Рузскому. Последний 21 августа издал новую директиву, в соответствии с которой главная задача флоту оставалась без изменений, но специально подчёркивалась необходимость удержания Моонзундских позиций и недопущение прорыва противника в Рижский залив (11927).</w:t>
      </w:r>
    </w:p>
    <w:p w14:paraId="714F9FF6" w14:textId="77777777" w:rsidR="004B4E35" w:rsidRPr="00405303" w:rsidRDefault="004B4E35" w:rsidP="00C15251">
      <w:pPr>
        <w:jc w:val="both"/>
        <w:rPr>
          <w:bCs/>
          <w:color w:val="002060"/>
          <w:sz w:val="16"/>
          <w:szCs w:val="16"/>
        </w:rPr>
      </w:pPr>
    </w:p>
    <w:p w14:paraId="16B889DE" w14:textId="77777777" w:rsidR="00964D50" w:rsidRPr="00405303" w:rsidRDefault="00964D50" w:rsidP="00C15251">
      <w:pPr>
        <w:jc w:val="both"/>
        <w:rPr>
          <w:bCs/>
          <w:i/>
          <w:color w:val="002060"/>
          <w:sz w:val="16"/>
          <w:szCs w:val="16"/>
        </w:rPr>
      </w:pPr>
      <w:r w:rsidRPr="00405303">
        <w:rPr>
          <w:bCs/>
          <w:i/>
          <w:color w:val="002060"/>
          <w:sz w:val="16"/>
          <w:szCs w:val="16"/>
        </w:rPr>
        <w:t>Самолетостроение:</w:t>
      </w:r>
    </w:p>
    <w:p w14:paraId="408DD9E6" w14:textId="77777777" w:rsidR="00964D50" w:rsidRPr="00405303" w:rsidRDefault="00964D50" w:rsidP="00C15251">
      <w:pPr>
        <w:jc w:val="both"/>
        <w:rPr>
          <w:bCs/>
          <w:i/>
          <w:color w:val="002060"/>
          <w:sz w:val="16"/>
          <w:szCs w:val="16"/>
        </w:rPr>
      </w:pPr>
    </w:p>
    <w:p w14:paraId="1CED14A3" w14:textId="5EC61756" w:rsidR="00964D50" w:rsidRPr="00405303" w:rsidRDefault="00964D50" w:rsidP="00C15251">
      <w:pPr>
        <w:pStyle w:val="2"/>
        <w:spacing w:before="0" w:after="0"/>
        <w:jc w:val="both"/>
        <w:rPr>
          <w:b w:val="0"/>
          <w:bCs/>
          <w:color w:val="002060"/>
          <w:sz w:val="16"/>
          <w:szCs w:val="16"/>
        </w:rPr>
      </w:pPr>
      <w:r w:rsidRPr="00405303">
        <w:rPr>
          <w:b w:val="0"/>
          <w:bCs/>
          <w:color w:val="002060"/>
          <w:sz w:val="16"/>
          <w:szCs w:val="16"/>
        </w:rPr>
        <w:t xml:space="preserve">8 </w:t>
      </w:r>
      <w:r w:rsidR="00C93DD1" w:rsidRPr="00405303">
        <w:rPr>
          <w:b w:val="0"/>
          <w:bCs/>
          <w:color w:val="002060"/>
          <w:sz w:val="16"/>
          <w:szCs w:val="16"/>
        </w:rPr>
        <w:t xml:space="preserve">(21) </w:t>
      </w:r>
      <w:r w:rsidRPr="00405303">
        <w:rPr>
          <w:b w:val="0"/>
          <w:bCs/>
          <w:color w:val="002060"/>
          <w:sz w:val="16"/>
          <w:szCs w:val="16"/>
        </w:rPr>
        <w:t>августа 1915 г. И.А.Меллер подписал контракт на 100 «Вуазенов» LAS без двигателей «Сальмсон» в 140—150 л.с., 200 «Моран-Сольнье» (парасоль) без моторов и винтов. Общая сумма контракта по тем временам была астрономической — 5.934.215 руб. Особо подчеркивалось изготовление самолетов на русских заводах из русских материалов (15464).</w:t>
      </w:r>
    </w:p>
    <w:p w14:paraId="4E3D8103" w14:textId="77777777" w:rsidR="00964D50" w:rsidRPr="00405303" w:rsidRDefault="00964D50" w:rsidP="00C15251">
      <w:pPr>
        <w:pStyle w:val="2"/>
        <w:spacing w:before="0" w:after="0"/>
        <w:jc w:val="both"/>
        <w:rPr>
          <w:b w:val="0"/>
          <w:bCs/>
          <w:color w:val="002060"/>
          <w:sz w:val="16"/>
          <w:szCs w:val="16"/>
        </w:rPr>
      </w:pPr>
    </w:p>
    <w:p w14:paraId="288B3B17" w14:textId="2879EA9C" w:rsidR="00964D50" w:rsidRPr="00405303" w:rsidRDefault="00964D50" w:rsidP="00C15251">
      <w:pPr>
        <w:pStyle w:val="2"/>
        <w:spacing w:before="0" w:after="0"/>
        <w:jc w:val="both"/>
        <w:rPr>
          <w:b w:val="0"/>
          <w:bCs/>
          <w:color w:val="002060"/>
          <w:sz w:val="16"/>
          <w:szCs w:val="16"/>
        </w:rPr>
      </w:pPr>
      <w:r w:rsidRPr="00405303">
        <w:rPr>
          <w:b w:val="0"/>
          <w:bCs/>
          <w:color w:val="002060"/>
          <w:sz w:val="16"/>
          <w:szCs w:val="16"/>
        </w:rPr>
        <w:t xml:space="preserve">8 </w:t>
      </w:r>
      <w:r w:rsidR="00C93DD1" w:rsidRPr="00405303">
        <w:rPr>
          <w:b w:val="0"/>
          <w:bCs/>
          <w:color w:val="002060"/>
          <w:sz w:val="16"/>
          <w:szCs w:val="16"/>
        </w:rPr>
        <w:t xml:space="preserve">(21) </w:t>
      </w:r>
      <w:r w:rsidRPr="00405303">
        <w:rPr>
          <w:b w:val="0"/>
          <w:bCs/>
          <w:color w:val="002060"/>
          <w:sz w:val="16"/>
          <w:szCs w:val="16"/>
        </w:rPr>
        <w:t>августа 1915 г. на основании положения Военного Совета ьыл выдан заказ на 25 аэропланов Моран-Сольнье. (парасоль). 25 комплектов запасных частей к ним и 2 дополнительных комплекта... к ним, всего на сумму 420.146 руб. заводу Терешенко (15464).</w:t>
      </w:r>
    </w:p>
    <w:p w14:paraId="0066A385" w14:textId="77777777" w:rsidR="00964D50" w:rsidRPr="00405303" w:rsidRDefault="00964D50" w:rsidP="00C15251">
      <w:pPr>
        <w:pStyle w:val="2"/>
        <w:spacing w:before="0" w:after="0"/>
        <w:jc w:val="both"/>
        <w:rPr>
          <w:b w:val="0"/>
          <w:bCs/>
          <w:color w:val="002060"/>
          <w:sz w:val="16"/>
          <w:szCs w:val="16"/>
        </w:rPr>
      </w:pPr>
    </w:p>
    <w:p w14:paraId="40746FF2" w14:textId="0A5088C0" w:rsidR="00D866D7" w:rsidRPr="00405303" w:rsidRDefault="00D866D7" w:rsidP="00C15251">
      <w:pPr>
        <w:jc w:val="both"/>
        <w:rPr>
          <w:bCs/>
          <w:i/>
          <w:color w:val="002060"/>
          <w:sz w:val="16"/>
          <w:szCs w:val="16"/>
        </w:rPr>
      </w:pPr>
      <w:r w:rsidRPr="00405303">
        <w:rPr>
          <w:bCs/>
          <w:i/>
          <w:color w:val="002060"/>
          <w:sz w:val="16"/>
          <w:szCs w:val="16"/>
        </w:rPr>
        <w:t>Авиация:</w:t>
      </w:r>
    </w:p>
    <w:p w14:paraId="293D2752" w14:textId="77777777" w:rsidR="00D866D7" w:rsidRPr="00405303" w:rsidRDefault="00D866D7" w:rsidP="00C15251">
      <w:pPr>
        <w:jc w:val="both"/>
        <w:rPr>
          <w:bCs/>
          <w:i/>
          <w:color w:val="002060"/>
          <w:sz w:val="16"/>
          <w:szCs w:val="16"/>
        </w:rPr>
      </w:pPr>
    </w:p>
    <w:p w14:paraId="2A1A3FF2" w14:textId="14F24E11" w:rsidR="00D866D7" w:rsidRPr="00405303" w:rsidRDefault="00D866D7" w:rsidP="00C15251">
      <w:pPr>
        <w:jc w:val="both"/>
        <w:rPr>
          <w:bCs/>
          <w:color w:val="002060"/>
          <w:sz w:val="16"/>
          <w:szCs w:val="16"/>
        </w:rPr>
      </w:pPr>
      <w:r w:rsidRPr="00405303">
        <w:rPr>
          <w:bCs/>
          <w:color w:val="002060"/>
          <w:sz w:val="16"/>
          <w:szCs w:val="16"/>
        </w:rPr>
        <w:t xml:space="preserve">Вечером 8 </w:t>
      </w:r>
      <w:r w:rsidR="00E2193F" w:rsidRPr="00405303">
        <w:rPr>
          <w:bCs/>
          <w:color w:val="002060"/>
          <w:sz w:val="16"/>
          <w:szCs w:val="16"/>
        </w:rPr>
        <w:t xml:space="preserve">(21) </w:t>
      </w:r>
      <w:r w:rsidRPr="00405303">
        <w:rPr>
          <w:bCs/>
          <w:color w:val="002060"/>
          <w:sz w:val="16"/>
          <w:szCs w:val="16"/>
        </w:rPr>
        <w:t>августа 1915 г. цеппелин Z-XII провел бомбометание жилых кварталов г. Вильна. Следующим объектом нападения неприятельского дирижабля стала Усть-Двинская крепость, на форты которой немцы сбросили две бомбы (угодили в море). На его перехват было поднято три наших самолета, одновременно огонь по воздушной цели открыла крепостная артиллерия. Цеппелин поспешил удалиться в сторону открытого моря. В тот же день его появление (в сопровождении нескольких аэропланов) было отмечено в районе г. Рига (23405).</w:t>
      </w:r>
    </w:p>
    <w:p w14:paraId="4C13E182" w14:textId="77777777" w:rsidR="00D866D7" w:rsidRPr="00405303" w:rsidRDefault="00D866D7" w:rsidP="00C15251">
      <w:pPr>
        <w:jc w:val="both"/>
        <w:rPr>
          <w:bCs/>
          <w:color w:val="002060"/>
          <w:sz w:val="16"/>
          <w:szCs w:val="16"/>
        </w:rPr>
      </w:pPr>
    </w:p>
    <w:p w14:paraId="7C9BE7B3" w14:textId="4DF77480"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0414BBB0" w14:textId="77777777" w:rsidR="004B4E35" w:rsidRPr="00405303" w:rsidRDefault="004B4E35" w:rsidP="00C15251">
      <w:pPr>
        <w:jc w:val="both"/>
        <w:rPr>
          <w:bCs/>
          <w:i/>
          <w:color w:val="002060"/>
          <w:sz w:val="16"/>
          <w:szCs w:val="16"/>
        </w:rPr>
      </w:pPr>
    </w:p>
    <w:p w14:paraId="2A7101F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период 8-21 августа (21 августа - 4 сентября) 1915 крупная группировка германского флота (7 линкоров, 6 крейсеров, 24 эсминца, 23 тральщика) под командованием вице-адмирала Шмидта пыталась форси</w:t>
      </w:r>
      <w:r w:rsidRPr="00405303">
        <w:rPr>
          <w:bCs/>
          <w:color w:val="002060"/>
          <w:sz w:val="16"/>
          <w:szCs w:val="16"/>
        </w:rPr>
        <w:softHyphen/>
        <w:t>ровать минно-артиллерийскую позицию в Ирбенском проли</w:t>
      </w:r>
      <w:r w:rsidRPr="00405303">
        <w:rPr>
          <w:bCs/>
          <w:color w:val="002060"/>
          <w:sz w:val="16"/>
          <w:szCs w:val="16"/>
        </w:rPr>
        <w:softHyphen/>
        <w:t>ве. В отражении этих попыток мужественно участвовали Мор</w:t>
      </w:r>
      <w:r w:rsidRPr="00405303">
        <w:rPr>
          <w:bCs/>
          <w:color w:val="002060"/>
          <w:sz w:val="16"/>
          <w:szCs w:val="16"/>
        </w:rPr>
        <w:softHyphen/>
        <w:t>ские силы Рижского залива под начальством контр-адмирала М. Бахирева, но остановить врага не смогли. Утром 19 августа германские корабли начали входить в южную часть залива.</w:t>
      </w:r>
    </w:p>
    <w:p w14:paraId="4C652EF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Отступившие в его северную часть, к Моонзундскому каналу, линкор «Слава», канлодка «Грозящий», авиатранспорт «Ор</w:t>
      </w:r>
      <w:r w:rsidRPr="00405303">
        <w:rPr>
          <w:bCs/>
          <w:color w:val="002060"/>
          <w:sz w:val="16"/>
          <w:szCs w:val="16"/>
        </w:rPr>
        <w:softHyphen/>
        <w:t>лица», семь эсминцев и другие суда продолжали активные бо</w:t>
      </w:r>
      <w:r w:rsidRPr="00405303">
        <w:rPr>
          <w:bCs/>
          <w:color w:val="002060"/>
          <w:sz w:val="16"/>
          <w:szCs w:val="16"/>
        </w:rPr>
        <w:softHyphen/>
        <w:t>евые действия. Так, например, 25 сентября они нанесли артил</w:t>
      </w:r>
      <w:r w:rsidRPr="00405303">
        <w:rPr>
          <w:bCs/>
          <w:color w:val="002060"/>
          <w:sz w:val="16"/>
          <w:szCs w:val="16"/>
        </w:rPr>
        <w:softHyphen/>
        <w:t xml:space="preserve">лерийские удары по вражеским позициям на захваченном побережье, а 22 </w:t>
      </w:r>
      <w:r w:rsidRPr="00405303">
        <w:rPr>
          <w:bCs/>
          <w:color w:val="002060"/>
          <w:sz w:val="16"/>
          <w:szCs w:val="16"/>
        </w:rPr>
        <w:lastRenderedPageBreak/>
        <w:t>октября, в другом месте высадили демонстра</w:t>
      </w:r>
      <w:r w:rsidRPr="00405303">
        <w:rPr>
          <w:bCs/>
          <w:color w:val="002060"/>
          <w:sz w:val="16"/>
          <w:szCs w:val="16"/>
        </w:rPr>
        <w:softHyphen/>
        <w:t>тивный морской десант. Летчики Килькондского и Орлицын-ского отрядов совершили десятки полетов в интересах отряда боевых кораблей (11283).</w:t>
      </w:r>
    </w:p>
    <w:p w14:paraId="60C738C1" w14:textId="77777777" w:rsidR="004B4E35" w:rsidRPr="00405303" w:rsidRDefault="004B4E35" w:rsidP="00C15251">
      <w:pPr>
        <w:shd w:val="clear" w:color="auto" w:fill="FFFFFF"/>
        <w:jc w:val="both"/>
        <w:rPr>
          <w:bCs/>
          <w:color w:val="002060"/>
          <w:sz w:val="16"/>
          <w:szCs w:val="16"/>
        </w:rPr>
      </w:pPr>
    </w:p>
    <w:p w14:paraId="588E39CE" w14:textId="243F0F4B" w:rsidR="00BE1378" w:rsidRPr="00405303" w:rsidRDefault="00BE1378" w:rsidP="00C15251">
      <w:pPr>
        <w:jc w:val="both"/>
        <w:rPr>
          <w:rFonts w:eastAsia="Times-Roman"/>
          <w:bCs/>
          <w:color w:val="002060"/>
          <w:sz w:val="16"/>
          <w:szCs w:val="16"/>
        </w:rPr>
      </w:pPr>
      <w:r w:rsidRPr="00405303">
        <w:rPr>
          <w:rFonts w:eastAsia="Times-Roman"/>
          <w:bCs/>
          <w:color w:val="002060"/>
          <w:sz w:val="16"/>
          <w:szCs w:val="16"/>
        </w:rPr>
        <w:t xml:space="preserve">8 (21) </w:t>
      </w:r>
      <w:r w:rsidRPr="00405303">
        <w:rPr>
          <w:rFonts w:eastAsia="TimesNewRoman"/>
          <w:bCs/>
          <w:color w:val="002060"/>
          <w:sz w:val="16"/>
          <w:szCs w:val="16"/>
        </w:rPr>
        <w:t xml:space="preserve">августа </w:t>
      </w:r>
      <w:r w:rsidRPr="00405303">
        <w:rPr>
          <w:rFonts w:eastAsia="Times-Roman"/>
          <w:bCs/>
          <w:color w:val="002060"/>
          <w:sz w:val="16"/>
          <w:szCs w:val="16"/>
        </w:rPr>
        <w:t xml:space="preserve">1915 </w:t>
      </w:r>
      <w:r w:rsidRPr="00405303">
        <w:rPr>
          <w:rFonts w:eastAsia="TimesNewRoman"/>
          <w:bCs/>
          <w:color w:val="002060"/>
          <w:sz w:val="16"/>
          <w:szCs w:val="16"/>
        </w:rPr>
        <w:t xml:space="preserve">года </w:t>
      </w:r>
      <w:r w:rsidR="00C93DD1" w:rsidRPr="00405303">
        <w:rPr>
          <w:rFonts w:eastAsia="TimesNewRoman"/>
          <w:bCs/>
          <w:color w:val="002060"/>
          <w:sz w:val="16"/>
          <w:szCs w:val="16"/>
        </w:rPr>
        <w:t xml:space="preserve">появилась </w:t>
      </w:r>
      <w:r w:rsidRPr="00405303">
        <w:rPr>
          <w:rFonts w:eastAsia="TimesNewRoman"/>
          <w:bCs/>
          <w:color w:val="002060"/>
          <w:sz w:val="16"/>
          <w:szCs w:val="16"/>
        </w:rPr>
        <w:t xml:space="preserve">справка товарища Морского министра Начальнику Морского генерального штаба </w:t>
      </w:r>
      <w:r w:rsidRPr="00405303">
        <w:rPr>
          <w:rFonts w:eastAsia="Times-Roman"/>
          <w:bCs/>
          <w:color w:val="002060"/>
          <w:sz w:val="16"/>
          <w:szCs w:val="16"/>
        </w:rPr>
        <w:t>(</w:t>
      </w:r>
      <w:r w:rsidRPr="00405303">
        <w:rPr>
          <w:bCs/>
          <w:color w:val="002060"/>
          <w:sz w:val="16"/>
          <w:szCs w:val="16"/>
        </w:rPr>
        <w:t>МГШ</w:t>
      </w:r>
      <w:r w:rsidRPr="00405303">
        <w:rPr>
          <w:rFonts w:eastAsia="Times-Roman"/>
          <w:bCs/>
          <w:color w:val="002060"/>
          <w:sz w:val="16"/>
          <w:szCs w:val="16"/>
        </w:rPr>
        <w:t xml:space="preserve">). </w:t>
      </w:r>
      <w:r w:rsidRPr="00405303">
        <w:rPr>
          <w:rFonts w:eastAsia="TimesNewRoman"/>
          <w:bCs/>
          <w:color w:val="002060"/>
          <w:sz w:val="16"/>
          <w:szCs w:val="16"/>
        </w:rPr>
        <w:t>В данном документе отмечалось</w:t>
      </w:r>
      <w:r w:rsidRPr="00405303">
        <w:rPr>
          <w:rFonts w:eastAsia="Times-Roman"/>
          <w:bCs/>
          <w:color w:val="002060"/>
          <w:sz w:val="16"/>
          <w:szCs w:val="16"/>
        </w:rPr>
        <w:t xml:space="preserve">, </w:t>
      </w:r>
      <w:r w:rsidRPr="00405303">
        <w:rPr>
          <w:rFonts w:eastAsia="TimesNewRoman"/>
          <w:bCs/>
          <w:color w:val="002060"/>
          <w:sz w:val="16"/>
          <w:szCs w:val="16"/>
        </w:rPr>
        <w:t>что от морского ведомства в Англию был командирован ряд должностных лиц со следующими задачами</w:t>
      </w:r>
      <w:r w:rsidRPr="00405303">
        <w:rPr>
          <w:rFonts w:eastAsia="Times-Roman"/>
          <w:bCs/>
          <w:color w:val="002060"/>
          <w:sz w:val="16"/>
          <w:szCs w:val="16"/>
        </w:rPr>
        <w:t>:</w:t>
      </w:r>
    </w:p>
    <w:p w14:paraId="634C7E88" w14:textId="77777777" w:rsidR="00BE1378" w:rsidRPr="00405303" w:rsidRDefault="00BE1378" w:rsidP="00C15251">
      <w:pPr>
        <w:jc w:val="both"/>
        <w:rPr>
          <w:rFonts w:eastAsia="Times-Roman"/>
          <w:bCs/>
          <w:color w:val="002060"/>
          <w:sz w:val="16"/>
          <w:szCs w:val="16"/>
        </w:rPr>
      </w:pPr>
      <w:r w:rsidRPr="00405303">
        <w:rPr>
          <w:rFonts w:eastAsia="Times-Roman"/>
          <w:bCs/>
          <w:color w:val="002060"/>
          <w:sz w:val="16"/>
          <w:szCs w:val="16"/>
        </w:rPr>
        <w:t xml:space="preserve">1. </w:t>
      </w:r>
      <w:r w:rsidRPr="00405303">
        <w:rPr>
          <w:rFonts w:eastAsia="TimesNewRoman"/>
          <w:bCs/>
          <w:color w:val="002060"/>
          <w:sz w:val="16"/>
          <w:szCs w:val="16"/>
        </w:rPr>
        <w:t xml:space="preserve">Морской агент </w:t>
      </w:r>
      <w:r w:rsidRPr="00405303">
        <w:rPr>
          <w:rFonts w:eastAsia="Times-Roman"/>
          <w:bCs/>
          <w:color w:val="002060"/>
          <w:sz w:val="16"/>
          <w:szCs w:val="16"/>
        </w:rPr>
        <w:t>(</w:t>
      </w:r>
      <w:r w:rsidRPr="00405303">
        <w:rPr>
          <w:rFonts w:eastAsia="TimesNewRoman"/>
          <w:bCs/>
          <w:color w:val="002060"/>
          <w:sz w:val="16"/>
          <w:szCs w:val="16"/>
        </w:rPr>
        <w:t>атташе</w:t>
      </w:r>
      <w:r w:rsidRPr="00405303">
        <w:rPr>
          <w:rFonts w:eastAsia="Times-Roman"/>
          <w:bCs/>
          <w:color w:val="002060"/>
          <w:sz w:val="16"/>
          <w:szCs w:val="16"/>
        </w:rPr>
        <w:t>) (</w:t>
      </w:r>
      <w:r w:rsidRPr="00405303">
        <w:rPr>
          <w:rFonts w:eastAsia="TimesNewRoman"/>
          <w:bCs/>
          <w:color w:val="002060"/>
          <w:sz w:val="16"/>
          <w:szCs w:val="16"/>
        </w:rPr>
        <w:t xml:space="preserve">штатная категория </w:t>
      </w:r>
      <w:r w:rsidRPr="00405303">
        <w:rPr>
          <w:rFonts w:eastAsia="Times-Roman"/>
          <w:bCs/>
          <w:color w:val="002060"/>
          <w:sz w:val="16"/>
          <w:szCs w:val="16"/>
        </w:rPr>
        <w:t>«</w:t>
      </w:r>
      <w:r w:rsidRPr="00405303">
        <w:rPr>
          <w:rFonts w:eastAsia="TimesNewRoman"/>
          <w:bCs/>
          <w:color w:val="002060"/>
          <w:sz w:val="16"/>
          <w:szCs w:val="16"/>
        </w:rPr>
        <w:t xml:space="preserve">капитан </w:t>
      </w:r>
      <w:r w:rsidRPr="00405303">
        <w:rPr>
          <w:rFonts w:eastAsia="Times-Roman"/>
          <w:bCs/>
          <w:color w:val="002060"/>
          <w:sz w:val="16"/>
          <w:szCs w:val="16"/>
        </w:rPr>
        <w:t xml:space="preserve">1 </w:t>
      </w:r>
      <w:r w:rsidRPr="00405303">
        <w:rPr>
          <w:rFonts w:eastAsia="TimesNewRoman"/>
          <w:bCs/>
          <w:color w:val="002060"/>
          <w:sz w:val="16"/>
          <w:szCs w:val="16"/>
        </w:rPr>
        <w:t>ранга</w:t>
      </w:r>
      <w:r w:rsidRPr="00405303">
        <w:rPr>
          <w:rFonts w:eastAsia="Times-Roman"/>
          <w:bCs/>
          <w:color w:val="002060"/>
          <w:sz w:val="16"/>
          <w:szCs w:val="16"/>
        </w:rPr>
        <w:t xml:space="preserve">»). </w:t>
      </w:r>
      <w:r w:rsidRPr="00405303">
        <w:rPr>
          <w:rFonts w:eastAsia="TimesNewRoman"/>
          <w:bCs/>
          <w:color w:val="002060"/>
          <w:sz w:val="16"/>
          <w:szCs w:val="16"/>
        </w:rPr>
        <w:t>На него возлагалось взаимодействие с английским Адмиралтейством по вопросам</w:t>
      </w:r>
      <w:r w:rsidRPr="00405303">
        <w:rPr>
          <w:rFonts w:eastAsia="Times-Roman"/>
          <w:bCs/>
          <w:color w:val="002060"/>
          <w:sz w:val="16"/>
          <w:szCs w:val="16"/>
        </w:rPr>
        <w:t xml:space="preserve">, </w:t>
      </w:r>
      <w:r w:rsidRPr="00405303">
        <w:rPr>
          <w:rFonts w:eastAsia="TimesNewRoman"/>
          <w:bCs/>
          <w:color w:val="002060"/>
          <w:sz w:val="16"/>
          <w:szCs w:val="16"/>
        </w:rPr>
        <w:t>касающимся непосредственно флота</w:t>
      </w:r>
      <w:r w:rsidRPr="00405303">
        <w:rPr>
          <w:rFonts w:eastAsia="Times-Roman"/>
          <w:bCs/>
          <w:color w:val="002060"/>
          <w:sz w:val="16"/>
          <w:szCs w:val="16"/>
        </w:rPr>
        <w:t xml:space="preserve">, </w:t>
      </w:r>
      <w:r w:rsidRPr="00405303">
        <w:rPr>
          <w:rFonts w:eastAsia="TimesNewRoman"/>
          <w:bCs/>
          <w:color w:val="002060"/>
          <w:sz w:val="16"/>
          <w:szCs w:val="16"/>
        </w:rPr>
        <w:t>его вооружения и снабжения</w:t>
      </w:r>
      <w:r w:rsidRPr="00405303">
        <w:rPr>
          <w:rFonts w:eastAsia="Times-Roman"/>
          <w:bCs/>
          <w:color w:val="002060"/>
          <w:sz w:val="16"/>
          <w:szCs w:val="16"/>
        </w:rPr>
        <w:t xml:space="preserve">. </w:t>
      </w:r>
      <w:r w:rsidRPr="00405303">
        <w:rPr>
          <w:rFonts w:eastAsia="TimesNewRoman"/>
          <w:bCs/>
          <w:color w:val="002060"/>
          <w:sz w:val="16"/>
          <w:szCs w:val="16"/>
        </w:rPr>
        <w:t>Ему подчинялись другие должностные лица</w:t>
      </w:r>
      <w:r w:rsidRPr="00405303">
        <w:rPr>
          <w:rFonts w:eastAsia="Times-Roman"/>
          <w:bCs/>
          <w:color w:val="002060"/>
          <w:sz w:val="16"/>
          <w:szCs w:val="16"/>
        </w:rPr>
        <w:t xml:space="preserve">, </w:t>
      </w:r>
      <w:r w:rsidRPr="00405303">
        <w:rPr>
          <w:rFonts w:eastAsia="TimesNewRoman"/>
          <w:bCs/>
          <w:color w:val="002060"/>
          <w:sz w:val="16"/>
          <w:szCs w:val="16"/>
        </w:rPr>
        <w:t>командированные в Англию и осуществляющие наблюдение за выполнением заказов</w:t>
      </w:r>
      <w:r w:rsidRPr="00405303">
        <w:rPr>
          <w:rFonts w:eastAsia="Times-Roman"/>
          <w:bCs/>
          <w:color w:val="002060"/>
          <w:sz w:val="16"/>
          <w:szCs w:val="16"/>
        </w:rPr>
        <w:t xml:space="preserve">, </w:t>
      </w:r>
      <w:r w:rsidRPr="00405303">
        <w:rPr>
          <w:rFonts w:eastAsia="TimesNewRoman"/>
          <w:bCs/>
          <w:color w:val="002060"/>
          <w:sz w:val="16"/>
          <w:szCs w:val="16"/>
        </w:rPr>
        <w:t>закупкой товаров и материалов</w:t>
      </w:r>
      <w:r w:rsidRPr="00405303">
        <w:rPr>
          <w:rFonts w:eastAsia="Times-Roman"/>
          <w:bCs/>
          <w:color w:val="002060"/>
          <w:sz w:val="16"/>
          <w:szCs w:val="16"/>
        </w:rPr>
        <w:t xml:space="preserve">. </w:t>
      </w:r>
      <w:r w:rsidRPr="00405303">
        <w:rPr>
          <w:rFonts w:eastAsia="TimesNewRoman"/>
          <w:bCs/>
          <w:color w:val="002060"/>
          <w:sz w:val="16"/>
          <w:szCs w:val="16"/>
        </w:rPr>
        <w:t>Будучи</w:t>
      </w:r>
      <w:r w:rsidRPr="00405303">
        <w:rPr>
          <w:rFonts w:eastAsia="Times-Roman"/>
          <w:bCs/>
          <w:color w:val="002060"/>
          <w:sz w:val="16"/>
          <w:szCs w:val="16"/>
        </w:rPr>
        <w:t xml:space="preserve">, </w:t>
      </w:r>
      <w:r w:rsidRPr="00405303">
        <w:rPr>
          <w:rFonts w:eastAsia="TimesNewRoman"/>
          <w:bCs/>
          <w:color w:val="002060"/>
          <w:sz w:val="16"/>
          <w:szCs w:val="16"/>
        </w:rPr>
        <w:t>таким образом</w:t>
      </w:r>
      <w:r w:rsidRPr="00405303">
        <w:rPr>
          <w:rFonts w:eastAsia="Times-Roman"/>
          <w:bCs/>
          <w:color w:val="002060"/>
          <w:sz w:val="16"/>
          <w:szCs w:val="16"/>
        </w:rPr>
        <w:t xml:space="preserve">, </w:t>
      </w:r>
      <w:r w:rsidRPr="00405303">
        <w:rPr>
          <w:rFonts w:eastAsia="TimesNewRoman"/>
          <w:bCs/>
          <w:color w:val="002060"/>
          <w:sz w:val="16"/>
          <w:szCs w:val="16"/>
        </w:rPr>
        <w:t>осведомлённым обо всех заказах и закупках он производил платежи за них из средств</w:t>
      </w:r>
      <w:r w:rsidRPr="00405303">
        <w:rPr>
          <w:rFonts w:eastAsia="Times-Roman"/>
          <w:bCs/>
          <w:color w:val="002060"/>
          <w:sz w:val="16"/>
          <w:szCs w:val="16"/>
        </w:rPr>
        <w:t xml:space="preserve">, </w:t>
      </w:r>
      <w:r w:rsidRPr="00405303">
        <w:rPr>
          <w:rFonts w:eastAsia="TimesNewRoman"/>
          <w:bCs/>
          <w:color w:val="002060"/>
          <w:sz w:val="16"/>
          <w:szCs w:val="16"/>
        </w:rPr>
        <w:t>переводимых для него по каждому заказу отдельно</w:t>
      </w:r>
      <w:r w:rsidRPr="00405303">
        <w:rPr>
          <w:rFonts w:eastAsia="Times-Roman"/>
          <w:bCs/>
          <w:color w:val="002060"/>
          <w:sz w:val="16"/>
          <w:szCs w:val="16"/>
        </w:rPr>
        <w:t>.</w:t>
      </w:r>
    </w:p>
    <w:p w14:paraId="089F1A6D" w14:textId="77777777" w:rsidR="00BE1378" w:rsidRPr="00405303" w:rsidRDefault="00BE1378" w:rsidP="00C15251">
      <w:pPr>
        <w:jc w:val="both"/>
        <w:rPr>
          <w:rFonts w:eastAsia="Times-Roman"/>
          <w:bCs/>
          <w:color w:val="002060"/>
          <w:sz w:val="16"/>
          <w:szCs w:val="16"/>
        </w:rPr>
      </w:pPr>
      <w:r w:rsidRPr="00405303">
        <w:rPr>
          <w:rFonts w:eastAsia="Times-Roman"/>
          <w:bCs/>
          <w:color w:val="002060"/>
          <w:sz w:val="16"/>
          <w:szCs w:val="16"/>
        </w:rPr>
        <w:t xml:space="preserve">2. </w:t>
      </w:r>
      <w:r w:rsidRPr="00405303">
        <w:rPr>
          <w:rFonts w:eastAsia="TimesNewRoman"/>
          <w:bCs/>
          <w:color w:val="002060"/>
          <w:sz w:val="16"/>
          <w:szCs w:val="16"/>
        </w:rPr>
        <w:t>Подчинённый морскому агенту инженер</w:t>
      </w:r>
      <w:r w:rsidRPr="00405303">
        <w:rPr>
          <w:rFonts w:eastAsia="Times-Roman"/>
          <w:bCs/>
          <w:color w:val="002060"/>
          <w:sz w:val="16"/>
          <w:szCs w:val="16"/>
        </w:rPr>
        <w:t>-</w:t>
      </w:r>
      <w:r w:rsidRPr="00405303">
        <w:rPr>
          <w:rFonts w:eastAsia="TimesNewRoman"/>
          <w:bCs/>
          <w:color w:val="002060"/>
          <w:sz w:val="16"/>
          <w:szCs w:val="16"/>
        </w:rPr>
        <w:t xml:space="preserve">механик </w:t>
      </w:r>
      <w:r w:rsidRPr="00405303">
        <w:rPr>
          <w:rFonts w:eastAsia="Times-Roman"/>
          <w:bCs/>
          <w:color w:val="002060"/>
          <w:sz w:val="16"/>
          <w:szCs w:val="16"/>
        </w:rPr>
        <w:t>(</w:t>
      </w:r>
      <w:r w:rsidRPr="00405303">
        <w:rPr>
          <w:rFonts w:eastAsia="TimesNewRoman"/>
          <w:bCs/>
          <w:color w:val="002060"/>
          <w:sz w:val="16"/>
          <w:szCs w:val="16"/>
        </w:rPr>
        <w:t xml:space="preserve">штатная категория </w:t>
      </w:r>
      <w:r w:rsidRPr="00405303">
        <w:rPr>
          <w:rFonts w:eastAsia="Times-Roman"/>
          <w:bCs/>
          <w:color w:val="002060"/>
          <w:sz w:val="16"/>
          <w:szCs w:val="16"/>
        </w:rPr>
        <w:t>«</w:t>
      </w:r>
      <w:r w:rsidRPr="00405303">
        <w:rPr>
          <w:rFonts w:eastAsia="TimesNewRoman"/>
          <w:bCs/>
          <w:color w:val="002060"/>
          <w:sz w:val="16"/>
          <w:szCs w:val="16"/>
        </w:rPr>
        <w:t xml:space="preserve">капитан </w:t>
      </w:r>
      <w:r w:rsidRPr="00405303">
        <w:rPr>
          <w:rFonts w:eastAsia="Times-Roman"/>
          <w:bCs/>
          <w:color w:val="002060"/>
          <w:sz w:val="16"/>
          <w:szCs w:val="16"/>
        </w:rPr>
        <w:t xml:space="preserve">1 </w:t>
      </w:r>
      <w:r w:rsidRPr="00405303">
        <w:rPr>
          <w:rFonts w:eastAsia="TimesNewRoman"/>
          <w:bCs/>
          <w:color w:val="002060"/>
          <w:sz w:val="16"/>
          <w:szCs w:val="16"/>
        </w:rPr>
        <w:t>ранга</w:t>
      </w:r>
      <w:r w:rsidRPr="00405303">
        <w:rPr>
          <w:rFonts w:eastAsia="Times-Roman"/>
          <w:bCs/>
          <w:color w:val="002060"/>
          <w:sz w:val="16"/>
          <w:szCs w:val="16"/>
        </w:rPr>
        <w:t xml:space="preserve">»). </w:t>
      </w:r>
      <w:r w:rsidRPr="00405303">
        <w:rPr>
          <w:rFonts w:eastAsia="TimesNewRoman"/>
          <w:bCs/>
          <w:color w:val="002060"/>
          <w:sz w:val="16"/>
          <w:szCs w:val="16"/>
        </w:rPr>
        <w:t>На него возлагалась задача организации заготовки угля для российского флота и расчёт за него</w:t>
      </w:r>
      <w:r w:rsidRPr="00405303">
        <w:rPr>
          <w:rFonts w:eastAsia="Times-Roman"/>
          <w:bCs/>
          <w:color w:val="002060"/>
          <w:sz w:val="16"/>
          <w:szCs w:val="16"/>
        </w:rPr>
        <w:t>.</w:t>
      </w:r>
    </w:p>
    <w:p w14:paraId="5AC5741B" w14:textId="77777777" w:rsidR="00BE1378" w:rsidRPr="00405303" w:rsidRDefault="00BE1378" w:rsidP="00C15251">
      <w:pPr>
        <w:jc w:val="both"/>
        <w:rPr>
          <w:rFonts w:eastAsia="Times-Roman"/>
          <w:bCs/>
          <w:color w:val="002060"/>
          <w:sz w:val="16"/>
          <w:szCs w:val="16"/>
        </w:rPr>
      </w:pPr>
      <w:r w:rsidRPr="00405303">
        <w:rPr>
          <w:rFonts w:eastAsia="Times-Roman"/>
          <w:bCs/>
          <w:color w:val="002060"/>
          <w:sz w:val="16"/>
          <w:szCs w:val="16"/>
        </w:rPr>
        <w:t xml:space="preserve">3. </w:t>
      </w:r>
      <w:r w:rsidRPr="00405303">
        <w:rPr>
          <w:rFonts w:eastAsia="TimesNewRoman"/>
          <w:bCs/>
          <w:color w:val="002060"/>
          <w:sz w:val="16"/>
          <w:szCs w:val="16"/>
        </w:rPr>
        <w:t>В распоряжении инженера</w:t>
      </w:r>
      <w:r w:rsidRPr="00405303">
        <w:rPr>
          <w:rFonts w:eastAsia="Times-Roman"/>
          <w:bCs/>
          <w:color w:val="002060"/>
          <w:sz w:val="16"/>
          <w:szCs w:val="16"/>
        </w:rPr>
        <w:t>-</w:t>
      </w:r>
      <w:r w:rsidRPr="00405303">
        <w:rPr>
          <w:rFonts w:eastAsia="TimesNewRoman"/>
          <w:bCs/>
          <w:color w:val="002060"/>
          <w:sz w:val="16"/>
          <w:szCs w:val="16"/>
        </w:rPr>
        <w:t>механика состояли два штаб</w:t>
      </w:r>
      <w:r w:rsidRPr="00405303">
        <w:rPr>
          <w:rFonts w:eastAsia="Times-Roman"/>
          <w:bCs/>
          <w:color w:val="002060"/>
          <w:sz w:val="16"/>
          <w:szCs w:val="16"/>
        </w:rPr>
        <w:t>-</w:t>
      </w:r>
      <w:r w:rsidRPr="00405303">
        <w:rPr>
          <w:rFonts w:eastAsia="TimesNewRoman"/>
          <w:bCs/>
          <w:color w:val="002060"/>
          <w:sz w:val="16"/>
          <w:szCs w:val="16"/>
        </w:rPr>
        <w:t>офицера и три обер</w:t>
      </w:r>
      <w:r w:rsidRPr="00405303">
        <w:rPr>
          <w:rFonts w:eastAsia="Times-Roman"/>
          <w:bCs/>
          <w:color w:val="002060"/>
          <w:sz w:val="16"/>
          <w:szCs w:val="16"/>
        </w:rPr>
        <w:t>-</w:t>
      </w:r>
      <w:r w:rsidRPr="00405303">
        <w:rPr>
          <w:rFonts w:eastAsia="TimesNewRoman"/>
          <w:bCs/>
          <w:color w:val="002060"/>
          <w:sz w:val="16"/>
          <w:szCs w:val="16"/>
        </w:rPr>
        <w:t>офицера</w:t>
      </w:r>
      <w:r w:rsidRPr="00405303">
        <w:rPr>
          <w:rFonts w:eastAsia="Times-Roman"/>
          <w:bCs/>
          <w:color w:val="002060"/>
          <w:sz w:val="16"/>
          <w:szCs w:val="16"/>
        </w:rPr>
        <w:t xml:space="preserve">. </w:t>
      </w:r>
      <w:r w:rsidRPr="00405303">
        <w:rPr>
          <w:rFonts w:eastAsia="TimesNewRoman"/>
          <w:bCs/>
          <w:color w:val="002060"/>
          <w:sz w:val="16"/>
          <w:szCs w:val="16"/>
        </w:rPr>
        <w:t>Они осуществляли общие мероприятия по всем угольным операциям</w:t>
      </w:r>
      <w:r w:rsidRPr="00405303">
        <w:rPr>
          <w:rFonts w:eastAsia="Times-Roman"/>
          <w:bCs/>
          <w:color w:val="002060"/>
          <w:sz w:val="16"/>
          <w:szCs w:val="16"/>
        </w:rPr>
        <w:t xml:space="preserve">. </w:t>
      </w:r>
      <w:r w:rsidRPr="00405303">
        <w:rPr>
          <w:rFonts w:eastAsia="TimesNewRoman"/>
          <w:bCs/>
          <w:color w:val="002060"/>
          <w:sz w:val="16"/>
          <w:szCs w:val="16"/>
        </w:rPr>
        <w:t>Данные офицеры находились в тех районах Англии</w:t>
      </w:r>
      <w:r w:rsidRPr="00405303">
        <w:rPr>
          <w:rFonts w:eastAsia="Times-Roman"/>
          <w:bCs/>
          <w:color w:val="002060"/>
          <w:sz w:val="16"/>
          <w:szCs w:val="16"/>
        </w:rPr>
        <w:t xml:space="preserve">, </w:t>
      </w:r>
      <w:r w:rsidRPr="00405303">
        <w:rPr>
          <w:rFonts w:eastAsia="TimesNewRoman"/>
          <w:bCs/>
          <w:color w:val="002060"/>
          <w:sz w:val="16"/>
          <w:szCs w:val="16"/>
        </w:rPr>
        <w:t>в которых проходила сдача продукции</w:t>
      </w:r>
      <w:r w:rsidRPr="00405303">
        <w:rPr>
          <w:rFonts w:eastAsia="Times-Roman"/>
          <w:bCs/>
          <w:color w:val="002060"/>
          <w:sz w:val="16"/>
          <w:szCs w:val="16"/>
        </w:rPr>
        <w:t>.</w:t>
      </w:r>
    </w:p>
    <w:p w14:paraId="6404059A" w14:textId="77777777" w:rsidR="00BE1378" w:rsidRPr="00405303" w:rsidRDefault="00BE1378" w:rsidP="00C15251">
      <w:pPr>
        <w:jc w:val="both"/>
        <w:rPr>
          <w:rFonts w:eastAsia="Times-Roman"/>
          <w:bCs/>
          <w:color w:val="002060"/>
          <w:sz w:val="16"/>
          <w:szCs w:val="16"/>
        </w:rPr>
      </w:pPr>
      <w:r w:rsidRPr="00405303">
        <w:rPr>
          <w:rFonts w:eastAsia="Times-Roman"/>
          <w:bCs/>
          <w:color w:val="002060"/>
          <w:sz w:val="16"/>
          <w:szCs w:val="16"/>
        </w:rPr>
        <w:t xml:space="preserve">4. </w:t>
      </w:r>
      <w:r w:rsidRPr="00405303">
        <w:rPr>
          <w:rFonts w:eastAsia="TimesNewRoman"/>
          <w:bCs/>
          <w:color w:val="002060"/>
          <w:sz w:val="16"/>
          <w:szCs w:val="16"/>
        </w:rPr>
        <w:t>Обер</w:t>
      </w:r>
      <w:r w:rsidRPr="00405303">
        <w:rPr>
          <w:rFonts w:eastAsia="Times-Roman"/>
          <w:bCs/>
          <w:color w:val="002060"/>
          <w:sz w:val="16"/>
          <w:szCs w:val="16"/>
        </w:rPr>
        <w:t>-</w:t>
      </w:r>
      <w:r w:rsidRPr="00405303">
        <w:rPr>
          <w:rFonts w:eastAsia="TimesNewRoman"/>
          <w:bCs/>
          <w:color w:val="002060"/>
          <w:sz w:val="16"/>
          <w:szCs w:val="16"/>
        </w:rPr>
        <w:t xml:space="preserve">офицер </w:t>
      </w:r>
      <w:r w:rsidRPr="00405303">
        <w:rPr>
          <w:rFonts w:eastAsia="Times-Roman"/>
          <w:bCs/>
          <w:color w:val="002060"/>
          <w:sz w:val="16"/>
          <w:szCs w:val="16"/>
        </w:rPr>
        <w:t>(</w:t>
      </w:r>
      <w:r w:rsidRPr="00405303">
        <w:rPr>
          <w:rFonts w:eastAsia="TimesNewRoman"/>
          <w:bCs/>
          <w:color w:val="002060"/>
          <w:sz w:val="16"/>
          <w:szCs w:val="16"/>
        </w:rPr>
        <w:t xml:space="preserve">штатная категория </w:t>
      </w:r>
      <w:r w:rsidRPr="00405303">
        <w:rPr>
          <w:rFonts w:eastAsia="Times-Roman"/>
          <w:bCs/>
          <w:color w:val="002060"/>
          <w:sz w:val="16"/>
          <w:szCs w:val="16"/>
        </w:rPr>
        <w:t>«</w:t>
      </w:r>
      <w:r w:rsidRPr="00405303">
        <w:rPr>
          <w:rFonts w:eastAsia="TimesNewRoman"/>
          <w:bCs/>
          <w:color w:val="002060"/>
          <w:sz w:val="16"/>
          <w:szCs w:val="16"/>
        </w:rPr>
        <w:t>лейтенант</w:t>
      </w:r>
      <w:r w:rsidRPr="00405303">
        <w:rPr>
          <w:rFonts w:eastAsia="Times-Roman"/>
          <w:bCs/>
          <w:color w:val="002060"/>
          <w:sz w:val="16"/>
          <w:szCs w:val="16"/>
        </w:rPr>
        <w:t xml:space="preserve">»). </w:t>
      </w:r>
      <w:r w:rsidRPr="00405303">
        <w:rPr>
          <w:rFonts w:eastAsia="TimesNewRoman"/>
          <w:bCs/>
          <w:color w:val="002060"/>
          <w:sz w:val="16"/>
          <w:szCs w:val="16"/>
        </w:rPr>
        <w:t>Был непосредственно подчинён морскому агенту для осуществления шифровальной телеграфной связи с МГШ</w:t>
      </w:r>
      <w:r w:rsidRPr="00405303">
        <w:rPr>
          <w:rFonts w:eastAsia="Times-Roman"/>
          <w:bCs/>
          <w:color w:val="002060"/>
          <w:sz w:val="16"/>
          <w:szCs w:val="16"/>
        </w:rPr>
        <w:t>.</w:t>
      </w:r>
    </w:p>
    <w:p w14:paraId="0957BDF7" w14:textId="77777777" w:rsidR="00BE1378" w:rsidRPr="00405303" w:rsidRDefault="00BE1378" w:rsidP="00C15251">
      <w:pPr>
        <w:jc w:val="both"/>
        <w:rPr>
          <w:rFonts w:eastAsia="Times-Roman"/>
          <w:bCs/>
          <w:color w:val="002060"/>
          <w:sz w:val="16"/>
          <w:szCs w:val="16"/>
        </w:rPr>
      </w:pPr>
      <w:r w:rsidRPr="00405303">
        <w:rPr>
          <w:rFonts w:eastAsia="Times-Roman"/>
          <w:bCs/>
          <w:color w:val="002060"/>
          <w:sz w:val="16"/>
          <w:szCs w:val="16"/>
        </w:rPr>
        <w:t xml:space="preserve">5. </w:t>
      </w:r>
      <w:r w:rsidRPr="00405303">
        <w:rPr>
          <w:rFonts w:eastAsia="TimesNewRoman"/>
          <w:bCs/>
          <w:color w:val="002060"/>
          <w:sz w:val="16"/>
          <w:szCs w:val="16"/>
        </w:rPr>
        <w:t>Штаб</w:t>
      </w:r>
      <w:r w:rsidRPr="00405303">
        <w:rPr>
          <w:rFonts w:eastAsia="Times-Roman"/>
          <w:bCs/>
          <w:color w:val="002060"/>
          <w:sz w:val="16"/>
          <w:szCs w:val="16"/>
        </w:rPr>
        <w:t>-</w:t>
      </w:r>
      <w:r w:rsidRPr="00405303">
        <w:rPr>
          <w:rFonts w:eastAsia="TimesNewRoman"/>
          <w:bCs/>
          <w:color w:val="002060"/>
          <w:sz w:val="16"/>
          <w:szCs w:val="16"/>
        </w:rPr>
        <w:t>офицер инженер</w:t>
      </w:r>
      <w:r w:rsidRPr="00405303">
        <w:rPr>
          <w:rFonts w:eastAsia="Times-Roman"/>
          <w:bCs/>
          <w:color w:val="002060"/>
          <w:sz w:val="16"/>
          <w:szCs w:val="16"/>
        </w:rPr>
        <w:t>-</w:t>
      </w:r>
      <w:r w:rsidRPr="00405303">
        <w:rPr>
          <w:rFonts w:eastAsia="TimesNewRoman"/>
          <w:bCs/>
          <w:color w:val="002060"/>
          <w:sz w:val="16"/>
          <w:szCs w:val="16"/>
        </w:rPr>
        <w:t xml:space="preserve">механик </w:t>
      </w:r>
      <w:r w:rsidRPr="00405303">
        <w:rPr>
          <w:rFonts w:eastAsia="Times-Roman"/>
          <w:bCs/>
          <w:color w:val="002060"/>
          <w:sz w:val="16"/>
          <w:szCs w:val="16"/>
        </w:rPr>
        <w:t>(</w:t>
      </w:r>
      <w:r w:rsidRPr="00405303">
        <w:rPr>
          <w:rFonts w:eastAsia="TimesNewRoman"/>
          <w:bCs/>
          <w:color w:val="002060"/>
          <w:sz w:val="16"/>
          <w:szCs w:val="16"/>
        </w:rPr>
        <w:t xml:space="preserve">штатная категория </w:t>
      </w:r>
      <w:r w:rsidRPr="00405303">
        <w:rPr>
          <w:rFonts w:eastAsia="Times-Roman"/>
          <w:bCs/>
          <w:color w:val="002060"/>
          <w:sz w:val="16"/>
          <w:szCs w:val="16"/>
        </w:rPr>
        <w:t>«</w:t>
      </w:r>
      <w:r w:rsidRPr="00405303">
        <w:rPr>
          <w:rFonts w:eastAsia="TimesNewRoman"/>
          <w:bCs/>
          <w:color w:val="002060"/>
          <w:sz w:val="16"/>
          <w:szCs w:val="16"/>
        </w:rPr>
        <w:t xml:space="preserve">капитан </w:t>
      </w:r>
      <w:r w:rsidRPr="00405303">
        <w:rPr>
          <w:rFonts w:eastAsia="Times-Roman"/>
          <w:bCs/>
          <w:color w:val="002060"/>
          <w:sz w:val="16"/>
          <w:szCs w:val="16"/>
        </w:rPr>
        <w:t xml:space="preserve">2 </w:t>
      </w:r>
      <w:r w:rsidRPr="00405303">
        <w:rPr>
          <w:rFonts w:eastAsia="TimesNewRoman"/>
          <w:bCs/>
          <w:color w:val="002060"/>
          <w:sz w:val="16"/>
          <w:szCs w:val="16"/>
        </w:rPr>
        <w:t>ранга</w:t>
      </w:r>
      <w:r w:rsidRPr="00405303">
        <w:rPr>
          <w:rFonts w:eastAsia="Times-Roman"/>
          <w:bCs/>
          <w:color w:val="002060"/>
          <w:sz w:val="16"/>
          <w:szCs w:val="16"/>
        </w:rPr>
        <w:t>»).</w:t>
      </w:r>
    </w:p>
    <w:p w14:paraId="061F581E" w14:textId="77777777" w:rsidR="00BE1378" w:rsidRPr="00405303" w:rsidRDefault="00BE1378" w:rsidP="00C15251">
      <w:pPr>
        <w:jc w:val="both"/>
        <w:rPr>
          <w:rFonts w:eastAsia="Times-Roman"/>
          <w:bCs/>
          <w:color w:val="002060"/>
          <w:sz w:val="16"/>
          <w:szCs w:val="16"/>
        </w:rPr>
      </w:pPr>
      <w:r w:rsidRPr="00405303">
        <w:rPr>
          <w:rFonts w:eastAsia="TimesNewRoman"/>
          <w:bCs/>
          <w:color w:val="002060"/>
          <w:sz w:val="16"/>
          <w:szCs w:val="16"/>
        </w:rPr>
        <w:t>Исполнял поручения морского агента при производстве закупок для Морского министерства</w:t>
      </w:r>
      <w:r w:rsidRPr="00405303">
        <w:rPr>
          <w:rFonts w:eastAsia="Times-Roman"/>
          <w:bCs/>
          <w:color w:val="002060"/>
          <w:sz w:val="16"/>
          <w:szCs w:val="16"/>
        </w:rPr>
        <w:t xml:space="preserve">, </w:t>
      </w:r>
      <w:r w:rsidRPr="00405303">
        <w:rPr>
          <w:rFonts w:eastAsia="TimesNewRoman"/>
          <w:bCs/>
          <w:color w:val="002060"/>
          <w:sz w:val="16"/>
          <w:szCs w:val="16"/>
        </w:rPr>
        <w:t xml:space="preserve">а </w:t>
      </w:r>
      <w:proofErr w:type="gramStart"/>
      <w:r w:rsidRPr="00405303">
        <w:rPr>
          <w:rFonts w:eastAsia="TimesNewRoman"/>
          <w:bCs/>
          <w:color w:val="002060"/>
          <w:sz w:val="16"/>
          <w:szCs w:val="16"/>
        </w:rPr>
        <w:t>так же</w:t>
      </w:r>
      <w:proofErr w:type="gramEnd"/>
      <w:r w:rsidRPr="00405303">
        <w:rPr>
          <w:rFonts w:eastAsia="TimesNewRoman"/>
          <w:bCs/>
          <w:color w:val="002060"/>
          <w:sz w:val="16"/>
          <w:szCs w:val="16"/>
        </w:rPr>
        <w:t xml:space="preserve"> на него возлагались обязанности</w:t>
      </w:r>
      <w:r w:rsidRPr="00405303">
        <w:rPr>
          <w:rFonts w:eastAsia="Times-Roman"/>
          <w:bCs/>
          <w:color w:val="002060"/>
          <w:sz w:val="16"/>
          <w:szCs w:val="16"/>
        </w:rPr>
        <w:t>:</w:t>
      </w:r>
    </w:p>
    <w:p w14:paraId="7B8430E4" w14:textId="77777777" w:rsidR="00BE1378" w:rsidRPr="00405303" w:rsidRDefault="00BE1378"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вести переговоры с английским Министерством амуниции</w:t>
      </w:r>
      <w:r w:rsidRPr="00405303">
        <w:rPr>
          <w:rFonts w:eastAsia="Times-Roman"/>
          <w:bCs/>
          <w:color w:val="002060"/>
          <w:sz w:val="16"/>
          <w:szCs w:val="16"/>
        </w:rPr>
        <w:t>;</w:t>
      </w:r>
    </w:p>
    <w:p w14:paraId="19548B4C" w14:textId="77777777" w:rsidR="00BE1378" w:rsidRPr="00405303" w:rsidRDefault="00BE1378"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испрашивать у правительства Англии разрешения на размещение заказов английским фирмам и вывоз готовой продукции</w:t>
      </w:r>
      <w:r w:rsidRPr="00405303">
        <w:rPr>
          <w:rFonts w:eastAsia="Times-Roman"/>
          <w:bCs/>
          <w:color w:val="002060"/>
          <w:sz w:val="16"/>
          <w:szCs w:val="16"/>
        </w:rPr>
        <w:t xml:space="preserve">, </w:t>
      </w:r>
      <w:r w:rsidRPr="00405303">
        <w:rPr>
          <w:rFonts w:eastAsia="TimesNewRoman"/>
          <w:bCs/>
          <w:color w:val="002060"/>
          <w:sz w:val="16"/>
          <w:szCs w:val="16"/>
        </w:rPr>
        <w:t>материалов</w:t>
      </w:r>
      <w:r w:rsidRPr="00405303">
        <w:rPr>
          <w:rFonts w:eastAsia="Times-Roman"/>
          <w:bCs/>
          <w:color w:val="002060"/>
          <w:sz w:val="16"/>
          <w:szCs w:val="16"/>
        </w:rPr>
        <w:t>.</w:t>
      </w:r>
    </w:p>
    <w:p w14:paraId="5B70AECF" w14:textId="77777777" w:rsidR="00BE1378" w:rsidRPr="00405303" w:rsidRDefault="00BE1378" w:rsidP="00C15251">
      <w:pPr>
        <w:jc w:val="both"/>
        <w:rPr>
          <w:rFonts w:eastAsia="Times-Roman"/>
          <w:bCs/>
          <w:color w:val="002060"/>
          <w:sz w:val="16"/>
          <w:szCs w:val="16"/>
        </w:rPr>
      </w:pPr>
      <w:r w:rsidRPr="00405303">
        <w:rPr>
          <w:rFonts w:eastAsia="Times-Roman"/>
          <w:bCs/>
          <w:color w:val="002060"/>
          <w:sz w:val="16"/>
          <w:szCs w:val="16"/>
        </w:rPr>
        <w:t xml:space="preserve">6. </w:t>
      </w:r>
      <w:r w:rsidRPr="00405303">
        <w:rPr>
          <w:rFonts w:eastAsia="TimesNewRoman"/>
          <w:bCs/>
          <w:color w:val="002060"/>
          <w:sz w:val="16"/>
          <w:szCs w:val="16"/>
        </w:rPr>
        <w:t>Штаб</w:t>
      </w:r>
      <w:r w:rsidRPr="00405303">
        <w:rPr>
          <w:rFonts w:eastAsia="Times-Roman"/>
          <w:bCs/>
          <w:color w:val="002060"/>
          <w:sz w:val="16"/>
          <w:szCs w:val="16"/>
        </w:rPr>
        <w:t>-</w:t>
      </w:r>
      <w:r w:rsidRPr="00405303">
        <w:rPr>
          <w:rFonts w:eastAsia="TimesNewRoman"/>
          <w:bCs/>
          <w:color w:val="002060"/>
          <w:sz w:val="16"/>
          <w:szCs w:val="16"/>
        </w:rPr>
        <w:t>офицер инженер</w:t>
      </w:r>
      <w:r w:rsidRPr="00405303">
        <w:rPr>
          <w:rFonts w:eastAsia="Times-Roman"/>
          <w:bCs/>
          <w:color w:val="002060"/>
          <w:sz w:val="16"/>
          <w:szCs w:val="16"/>
        </w:rPr>
        <w:t>-</w:t>
      </w:r>
      <w:r w:rsidRPr="00405303">
        <w:rPr>
          <w:rFonts w:eastAsia="TimesNewRoman"/>
          <w:bCs/>
          <w:color w:val="002060"/>
          <w:sz w:val="16"/>
          <w:szCs w:val="16"/>
        </w:rPr>
        <w:t xml:space="preserve">механик </w:t>
      </w:r>
      <w:r w:rsidRPr="00405303">
        <w:rPr>
          <w:rFonts w:eastAsia="Times-Roman"/>
          <w:bCs/>
          <w:color w:val="002060"/>
          <w:sz w:val="16"/>
          <w:szCs w:val="16"/>
        </w:rPr>
        <w:t>(</w:t>
      </w:r>
      <w:r w:rsidRPr="00405303">
        <w:rPr>
          <w:rFonts w:eastAsia="TimesNewRoman"/>
          <w:bCs/>
          <w:color w:val="002060"/>
          <w:sz w:val="16"/>
          <w:szCs w:val="16"/>
        </w:rPr>
        <w:t xml:space="preserve">штатная категория </w:t>
      </w:r>
      <w:r w:rsidRPr="00405303">
        <w:rPr>
          <w:rFonts w:eastAsia="Times-Roman"/>
          <w:bCs/>
          <w:color w:val="002060"/>
          <w:sz w:val="16"/>
          <w:szCs w:val="16"/>
        </w:rPr>
        <w:t>«</w:t>
      </w:r>
      <w:r w:rsidRPr="00405303">
        <w:rPr>
          <w:rFonts w:eastAsia="TimesNewRoman"/>
          <w:bCs/>
          <w:color w:val="002060"/>
          <w:sz w:val="16"/>
          <w:szCs w:val="16"/>
        </w:rPr>
        <w:t xml:space="preserve">капитан </w:t>
      </w:r>
      <w:r w:rsidRPr="00405303">
        <w:rPr>
          <w:rFonts w:eastAsia="Times-Roman"/>
          <w:bCs/>
          <w:color w:val="002060"/>
          <w:sz w:val="16"/>
          <w:szCs w:val="16"/>
        </w:rPr>
        <w:t xml:space="preserve">2 </w:t>
      </w:r>
      <w:r w:rsidRPr="00405303">
        <w:rPr>
          <w:rFonts w:eastAsia="TimesNewRoman"/>
          <w:bCs/>
          <w:color w:val="002060"/>
          <w:sz w:val="16"/>
          <w:szCs w:val="16"/>
        </w:rPr>
        <w:t>ранга</w:t>
      </w:r>
      <w:r w:rsidRPr="00405303">
        <w:rPr>
          <w:rFonts w:eastAsia="Times-Roman"/>
          <w:bCs/>
          <w:color w:val="002060"/>
          <w:sz w:val="16"/>
          <w:szCs w:val="16"/>
        </w:rPr>
        <w:t>»).</w:t>
      </w:r>
    </w:p>
    <w:p w14:paraId="0CEF30FD" w14:textId="77777777" w:rsidR="00BE1378" w:rsidRPr="00405303" w:rsidRDefault="00BE1378" w:rsidP="00C15251">
      <w:pPr>
        <w:jc w:val="both"/>
        <w:rPr>
          <w:rFonts w:eastAsia="Times-Roman"/>
          <w:bCs/>
          <w:color w:val="002060"/>
          <w:sz w:val="16"/>
          <w:szCs w:val="16"/>
        </w:rPr>
      </w:pPr>
      <w:r w:rsidRPr="00405303">
        <w:rPr>
          <w:rFonts w:eastAsia="TimesNewRoman"/>
          <w:bCs/>
          <w:color w:val="002060"/>
          <w:sz w:val="16"/>
          <w:szCs w:val="16"/>
        </w:rPr>
        <w:t>Старший наблюдающий за изготовлением всех заказов</w:t>
      </w:r>
      <w:r w:rsidRPr="00405303">
        <w:rPr>
          <w:rFonts w:eastAsia="Times-Roman"/>
          <w:bCs/>
          <w:color w:val="002060"/>
          <w:sz w:val="16"/>
          <w:szCs w:val="16"/>
        </w:rPr>
        <w:t xml:space="preserve">, </w:t>
      </w:r>
      <w:r w:rsidRPr="00405303">
        <w:rPr>
          <w:rFonts w:eastAsia="TimesNewRoman"/>
          <w:bCs/>
          <w:color w:val="002060"/>
          <w:sz w:val="16"/>
          <w:szCs w:val="16"/>
        </w:rPr>
        <w:t>как по качеству</w:t>
      </w:r>
      <w:r w:rsidRPr="00405303">
        <w:rPr>
          <w:rFonts w:eastAsia="Times-Roman"/>
          <w:bCs/>
          <w:color w:val="002060"/>
          <w:sz w:val="16"/>
          <w:szCs w:val="16"/>
        </w:rPr>
        <w:t xml:space="preserve">, </w:t>
      </w:r>
      <w:r w:rsidRPr="00405303">
        <w:rPr>
          <w:rFonts w:eastAsia="TimesNewRoman"/>
          <w:bCs/>
          <w:color w:val="002060"/>
          <w:sz w:val="16"/>
          <w:szCs w:val="16"/>
        </w:rPr>
        <w:t xml:space="preserve">так и по соответствию </w:t>
      </w:r>
      <w:proofErr w:type="gramStart"/>
      <w:r w:rsidRPr="00405303">
        <w:rPr>
          <w:rFonts w:eastAsia="TimesNewRoman"/>
          <w:bCs/>
          <w:color w:val="002060"/>
          <w:sz w:val="16"/>
          <w:szCs w:val="16"/>
        </w:rPr>
        <w:t>требованиям</w:t>
      </w:r>
      <w:proofErr w:type="gramEnd"/>
      <w:r w:rsidRPr="00405303">
        <w:rPr>
          <w:rFonts w:eastAsia="TimesNewRoman"/>
          <w:bCs/>
          <w:color w:val="002060"/>
          <w:sz w:val="16"/>
          <w:szCs w:val="16"/>
        </w:rPr>
        <w:t xml:space="preserve"> установленным условиями контрактов</w:t>
      </w:r>
      <w:r w:rsidRPr="00405303">
        <w:rPr>
          <w:rFonts w:eastAsia="Times-Roman"/>
          <w:bCs/>
          <w:color w:val="002060"/>
          <w:sz w:val="16"/>
          <w:szCs w:val="16"/>
        </w:rPr>
        <w:t>.</w:t>
      </w:r>
    </w:p>
    <w:p w14:paraId="4F372211" w14:textId="77777777" w:rsidR="00BE1378" w:rsidRPr="00405303" w:rsidRDefault="00BE1378" w:rsidP="00C15251">
      <w:pPr>
        <w:jc w:val="both"/>
        <w:rPr>
          <w:rFonts w:eastAsia="Times-Roman"/>
          <w:bCs/>
          <w:color w:val="002060"/>
          <w:sz w:val="16"/>
          <w:szCs w:val="16"/>
        </w:rPr>
      </w:pPr>
      <w:r w:rsidRPr="00405303">
        <w:rPr>
          <w:rFonts w:eastAsia="Times-Roman"/>
          <w:bCs/>
          <w:color w:val="002060"/>
          <w:sz w:val="16"/>
          <w:szCs w:val="16"/>
        </w:rPr>
        <w:t xml:space="preserve">7. </w:t>
      </w:r>
      <w:r w:rsidRPr="00405303">
        <w:rPr>
          <w:rFonts w:eastAsia="TimesNewRoman"/>
          <w:bCs/>
          <w:color w:val="002060"/>
          <w:sz w:val="16"/>
          <w:szCs w:val="16"/>
        </w:rPr>
        <w:t>Два штаб</w:t>
      </w:r>
      <w:r w:rsidRPr="00405303">
        <w:rPr>
          <w:rFonts w:eastAsia="Times-Roman"/>
          <w:bCs/>
          <w:color w:val="002060"/>
          <w:sz w:val="16"/>
          <w:szCs w:val="16"/>
        </w:rPr>
        <w:t>-</w:t>
      </w:r>
      <w:r w:rsidRPr="00405303">
        <w:rPr>
          <w:rFonts w:eastAsia="TimesNewRoman"/>
          <w:bCs/>
          <w:color w:val="002060"/>
          <w:sz w:val="16"/>
          <w:szCs w:val="16"/>
        </w:rPr>
        <w:t>офицера и три обер</w:t>
      </w:r>
      <w:r w:rsidRPr="00405303">
        <w:rPr>
          <w:rFonts w:eastAsia="Times-Roman"/>
          <w:bCs/>
          <w:color w:val="002060"/>
          <w:sz w:val="16"/>
          <w:szCs w:val="16"/>
        </w:rPr>
        <w:t>-</w:t>
      </w:r>
      <w:r w:rsidRPr="00405303">
        <w:rPr>
          <w:rFonts w:eastAsia="TimesNewRoman"/>
          <w:bCs/>
          <w:color w:val="002060"/>
          <w:sz w:val="16"/>
          <w:szCs w:val="16"/>
        </w:rPr>
        <w:t>офицера наблюдающие</w:t>
      </w:r>
      <w:r w:rsidRPr="00405303">
        <w:rPr>
          <w:rFonts w:eastAsia="Times-Roman"/>
          <w:bCs/>
          <w:color w:val="002060"/>
          <w:sz w:val="16"/>
          <w:szCs w:val="16"/>
        </w:rPr>
        <w:t xml:space="preserve">. </w:t>
      </w:r>
      <w:r w:rsidRPr="00405303">
        <w:rPr>
          <w:rFonts w:eastAsia="TimesNewRoman"/>
          <w:bCs/>
          <w:color w:val="002060"/>
          <w:sz w:val="16"/>
          <w:szCs w:val="16"/>
        </w:rPr>
        <w:t>Осуществляли общие мероприятия контроля над ходом выполнения заказов на английских заводах</w:t>
      </w:r>
      <w:r w:rsidRPr="00405303">
        <w:rPr>
          <w:rFonts w:eastAsia="Times-Roman"/>
          <w:bCs/>
          <w:color w:val="002060"/>
          <w:sz w:val="16"/>
          <w:szCs w:val="16"/>
        </w:rPr>
        <w:t>.</w:t>
      </w:r>
    </w:p>
    <w:p w14:paraId="1122BCF2" w14:textId="77777777" w:rsidR="00BE1378" w:rsidRPr="00405303" w:rsidRDefault="00BE1378" w:rsidP="00C15251">
      <w:pPr>
        <w:jc w:val="both"/>
        <w:rPr>
          <w:rFonts w:eastAsia="Times-Roman"/>
          <w:bCs/>
          <w:color w:val="002060"/>
          <w:sz w:val="16"/>
          <w:szCs w:val="16"/>
        </w:rPr>
      </w:pPr>
      <w:r w:rsidRPr="00405303">
        <w:rPr>
          <w:rFonts w:eastAsia="Times-Roman"/>
          <w:bCs/>
          <w:color w:val="002060"/>
          <w:sz w:val="16"/>
          <w:szCs w:val="16"/>
        </w:rPr>
        <w:t xml:space="preserve">8. </w:t>
      </w:r>
      <w:r w:rsidRPr="00405303">
        <w:rPr>
          <w:rFonts w:eastAsia="TimesNewRoman"/>
          <w:bCs/>
          <w:color w:val="002060"/>
          <w:sz w:val="16"/>
          <w:szCs w:val="16"/>
        </w:rPr>
        <w:t>Штаб</w:t>
      </w:r>
      <w:r w:rsidRPr="00405303">
        <w:rPr>
          <w:rFonts w:eastAsia="Times-Roman"/>
          <w:bCs/>
          <w:color w:val="002060"/>
          <w:sz w:val="16"/>
          <w:szCs w:val="16"/>
        </w:rPr>
        <w:t>-</w:t>
      </w:r>
      <w:r w:rsidRPr="00405303">
        <w:rPr>
          <w:rFonts w:eastAsia="TimesNewRoman"/>
          <w:bCs/>
          <w:color w:val="002060"/>
          <w:sz w:val="16"/>
          <w:szCs w:val="16"/>
        </w:rPr>
        <w:t>офицер инженер</w:t>
      </w:r>
      <w:r w:rsidRPr="00405303">
        <w:rPr>
          <w:rFonts w:eastAsia="Times-Roman"/>
          <w:bCs/>
          <w:color w:val="002060"/>
          <w:sz w:val="16"/>
          <w:szCs w:val="16"/>
        </w:rPr>
        <w:t>-</w:t>
      </w:r>
      <w:r w:rsidRPr="00405303">
        <w:rPr>
          <w:rFonts w:eastAsia="TimesNewRoman"/>
          <w:bCs/>
          <w:color w:val="002060"/>
          <w:sz w:val="16"/>
          <w:szCs w:val="16"/>
        </w:rPr>
        <w:t xml:space="preserve">механик </w:t>
      </w:r>
      <w:r w:rsidRPr="00405303">
        <w:rPr>
          <w:rFonts w:eastAsia="Times-Roman"/>
          <w:bCs/>
          <w:color w:val="002060"/>
          <w:sz w:val="16"/>
          <w:szCs w:val="16"/>
        </w:rPr>
        <w:t>(</w:t>
      </w:r>
      <w:r w:rsidRPr="00405303">
        <w:rPr>
          <w:rFonts w:eastAsia="TimesNewRoman"/>
          <w:bCs/>
          <w:color w:val="002060"/>
          <w:sz w:val="16"/>
          <w:szCs w:val="16"/>
        </w:rPr>
        <w:t xml:space="preserve">штатная категория </w:t>
      </w:r>
      <w:r w:rsidRPr="00405303">
        <w:rPr>
          <w:rFonts w:eastAsia="Times-Roman"/>
          <w:bCs/>
          <w:color w:val="002060"/>
          <w:sz w:val="16"/>
          <w:szCs w:val="16"/>
        </w:rPr>
        <w:t>«</w:t>
      </w:r>
      <w:r w:rsidRPr="00405303">
        <w:rPr>
          <w:rFonts w:eastAsia="TimesNewRoman"/>
          <w:bCs/>
          <w:color w:val="002060"/>
          <w:sz w:val="16"/>
          <w:szCs w:val="16"/>
        </w:rPr>
        <w:t xml:space="preserve">капитан </w:t>
      </w:r>
      <w:r w:rsidRPr="00405303">
        <w:rPr>
          <w:rFonts w:eastAsia="Times-Roman"/>
          <w:bCs/>
          <w:color w:val="002060"/>
          <w:sz w:val="16"/>
          <w:szCs w:val="16"/>
        </w:rPr>
        <w:t xml:space="preserve">2 </w:t>
      </w:r>
      <w:r w:rsidRPr="00405303">
        <w:rPr>
          <w:rFonts w:eastAsia="TimesNewRoman"/>
          <w:bCs/>
          <w:color w:val="002060"/>
          <w:sz w:val="16"/>
          <w:szCs w:val="16"/>
        </w:rPr>
        <w:t>ранга</w:t>
      </w:r>
      <w:r w:rsidRPr="00405303">
        <w:rPr>
          <w:rFonts w:eastAsia="Times-Roman"/>
          <w:bCs/>
          <w:color w:val="002060"/>
          <w:sz w:val="16"/>
          <w:szCs w:val="16"/>
        </w:rPr>
        <w:t xml:space="preserve">»). </w:t>
      </w:r>
      <w:r w:rsidRPr="00405303">
        <w:rPr>
          <w:rFonts w:eastAsia="TimesNewRoman"/>
          <w:bCs/>
          <w:color w:val="002060"/>
          <w:sz w:val="16"/>
          <w:szCs w:val="16"/>
        </w:rPr>
        <w:t xml:space="preserve">Приёмщик на заводе фирмы </w:t>
      </w:r>
      <w:r w:rsidRPr="00405303">
        <w:rPr>
          <w:rFonts w:eastAsia="Times-Roman"/>
          <w:bCs/>
          <w:color w:val="002060"/>
          <w:sz w:val="16"/>
          <w:szCs w:val="16"/>
        </w:rPr>
        <w:t>«</w:t>
      </w:r>
      <w:r w:rsidRPr="00405303">
        <w:rPr>
          <w:rFonts w:eastAsia="TimesNewRoman"/>
          <w:bCs/>
          <w:color w:val="002060"/>
          <w:sz w:val="16"/>
          <w:szCs w:val="16"/>
        </w:rPr>
        <w:t>Виккерс</w:t>
      </w:r>
      <w:r w:rsidRPr="00405303">
        <w:rPr>
          <w:rFonts w:eastAsia="Times-Roman"/>
          <w:bCs/>
          <w:color w:val="002060"/>
          <w:sz w:val="16"/>
          <w:szCs w:val="16"/>
        </w:rPr>
        <w:t xml:space="preserve">» </w:t>
      </w:r>
      <w:r w:rsidRPr="00405303">
        <w:rPr>
          <w:rFonts w:eastAsia="TimesNewRoman"/>
          <w:bCs/>
          <w:color w:val="002060"/>
          <w:sz w:val="16"/>
          <w:szCs w:val="16"/>
        </w:rPr>
        <w:t>морских артиллерийских орудий для Морского министерства Российской Империи</w:t>
      </w:r>
      <w:r w:rsidRPr="00405303">
        <w:rPr>
          <w:rFonts w:eastAsia="Times-Roman"/>
          <w:bCs/>
          <w:color w:val="002060"/>
          <w:sz w:val="16"/>
          <w:szCs w:val="16"/>
        </w:rPr>
        <w:t>.</w:t>
      </w:r>
    </w:p>
    <w:p w14:paraId="7CB7506D" w14:textId="77777777" w:rsidR="00BE1378" w:rsidRPr="00405303" w:rsidRDefault="00BE1378" w:rsidP="00C15251">
      <w:pPr>
        <w:jc w:val="both"/>
        <w:rPr>
          <w:rFonts w:eastAsia="Times-Roman"/>
          <w:bCs/>
          <w:color w:val="002060"/>
          <w:sz w:val="16"/>
          <w:szCs w:val="16"/>
        </w:rPr>
      </w:pPr>
      <w:r w:rsidRPr="00405303">
        <w:rPr>
          <w:rFonts w:eastAsia="TimesNewRoman"/>
          <w:bCs/>
          <w:color w:val="002060"/>
          <w:sz w:val="16"/>
          <w:szCs w:val="16"/>
        </w:rPr>
        <w:t>Вместе с тем</w:t>
      </w:r>
      <w:r w:rsidRPr="00405303">
        <w:rPr>
          <w:rFonts w:eastAsia="Times-Roman"/>
          <w:bCs/>
          <w:color w:val="002060"/>
          <w:sz w:val="16"/>
          <w:szCs w:val="16"/>
        </w:rPr>
        <w:t xml:space="preserve">, </w:t>
      </w:r>
      <w:r w:rsidRPr="00405303">
        <w:rPr>
          <w:rFonts w:eastAsia="TimesNewRoman"/>
          <w:bCs/>
          <w:color w:val="002060"/>
          <w:sz w:val="16"/>
          <w:szCs w:val="16"/>
        </w:rPr>
        <w:t>российское правительство организовало в Великобритании Англо</w:t>
      </w:r>
      <w:r w:rsidRPr="00405303">
        <w:rPr>
          <w:rFonts w:eastAsia="Times-Roman"/>
          <w:bCs/>
          <w:color w:val="002060"/>
          <w:sz w:val="16"/>
          <w:szCs w:val="16"/>
        </w:rPr>
        <w:t>-</w:t>
      </w:r>
      <w:r w:rsidRPr="00405303">
        <w:rPr>
          <w:rFonts w:eastAsia="TimesNewRoman"/>
          <w:bCs/>
          <w:color w:val="002060"/>
          <w:sz w:val="16"/>
          <w:szCs w:val="16"/>
        </w:rPr>
        <w:t>русский комитет в составе</w:t>
      </w:r>
      <w:r w:rsidRPr="00405303">
        <w:rPr>
          <w:rFonts w:eastAsia="Times-Roman"/>
          <w:bCs/>
          <w:color w:val="002060"/>
          <w:sz w:val="16"/>
          <w:szCs w:val="16"/>
        </w:rPr>
        <w:t>:</w:t>
      </w:r>
    </w:p>
    <w:p w14:paraId="1F954E80" w14:textId="77777777" w:rsidR="00BE1378" w:rsidRPr="00405303" w:rsidRDefault="00BE1378" w:rsidP="00C15251">
      <w:pPr>
        <w:jc w:val="both"/>
        <w:rPr>
          <w:rFonts w:eastAsia="Times-Roman"/>
          <w:bCs/>
          <w:color w:val="002060"/>
          <w:sz w:val="16"/>
          <w:szCs w:val="16"/>
        </w:rPr>
      </w:pPr>
      <w:r w:rsidRPr="00405303">
        <w:rPr>
          <w:rFonts w:eastAsia="TimesNewRoman"/>
          <w:bCs/>
          <w:color w:val="002060"/>
          <w:sz w:val="16"/>
          <w:szCs w:val="16"/>
        </w:rPr>
        <w:t xml:space="preserve">Председатель </w:t>
      </w:r>
      <w:r w:rsidRPr="00405303">
        <w:rPr>
          <w:rFonts w:eastAsia="Times-Roman"/>
          <w:bCs/>
          <w:color w:val="002060"/>
          <w:sz w:val="16"/>
          <w:szCs w:val="16"/>
        </w:rPr>
        <w:t xml:space="preserve">– </w:t>
      </w:r>
      <w:r w:rsidRPr="00405303">
        <w:rPr>
          <w:rFonts w:eastAsia="TimesNewRoman"/>
          <w:bCs/>
          <w:color w:val="002060"/>
          <w:sz w:val="16"/>
          <w:szCs w:val="16"/>
        </w:rPr>
        <w:t>представитель Министерства торговли и промышленности и члены комитета</w:t>
      </w:r>
      <w:r w:rsidRPr="00405303">
        <w:rPr>
          <w:rFonts w:eastAsia="Times-Roman"/>
          <w:bCs/>
          <w:color w:val="002060"/>
          <w:sz w:val="16"/>
          <w:szCs w:val="16"/>
        </w:rPr>
        <w:t xml:space="preserve">: </w:t>
      </w:r>
      <w:r w:rsidRPr="00405303">
        <w:rPr>
          <w:rFonts w:eastAsia="TimesNewRoman"/>
          <w:bCs/>
          <w:color w:val="002060"/>
          <w:sz w:val="16"/>
          <w:szCs w:val="16"/>
        </w:rPr>
        <w:t>морской агент</w:t>
      </w:r>
      <w:r w:rsidRPr="00405303">
        <w:rPr>
          <w:rFonts w:eastAsia="Times-Roman"/>
          <w:bCs/>
          <w:color w:val="002060"/>
          <w:sz w:val="16"/>
          <w:szCs w:val="16"/>
        </w:rPr>
        <w:t xml:space="preserve">, </w:t>
      </w:r>
      <w:proofErr w:type="gramStart"/>
      <w:r w:rsidRPr="00405303">
        <w:rPr>
          <w:rFonts w:eastAsia="TimesNewRoman"/>
          <w:bCs/>
          <w:color w:val="002060"/>
          <w:sz w:val="16"/>
          <w:szCs w:val="16"/>
        </w:rPr>
        <w:t>инженер</w:t>
      </w:r>
      <w:r w:rsidRPr="00405303">
        <w:rPr>
          <w:rFonts w:eastAsia="Times-Roman"/>
          <w:bCs/>
          <w:color w:val="002060"/>
          <w:sz w:val="16"/>
          <w:szCs w:val="16"/>
        </w:rPr>
        <w:t>-</w:t>
      </w:r>
      <w:r w:rsidRPr="00405303">
        <w:rPr>
          <w:rFonts w:eastAsia="TimesNewRoman"/>
          <w:bCs/>
          <w:color w:val="002060"/>
          <w:sz w:val="16"/>
          <w:szCs w:val="16"/>
        </w:rPr>
        <w:t>механик</w:t>
      </w:r>
      <w:proofErr w:type="gramEnd"/>
      <w:r w:rsidRPr="00405303">
        <w:rPr>
          <w:rFonts w:eastAsia="TimesNewRoman"/>
          <w:bCs/>
          <w:color w:val="002060"/>
          <w:sz w:val="16"/>
          <w:szCs w:val="16"/>
        </w:rPr>
        <w:t xml:space="preserve"> осуществляющий закупку угля</w:t>
      </w:r>
      <w:r w:rsidRPr="00405303">
        <w:rPr>
          <w:rFonts w:eastAsia="Times-Roman"/>
          <w:bCs/>
          <w:color w:val="002060"/>
          <w:sz w:val="16"/>
          <w:szCs w:val="16"/>
        </w:rPr>
        <w:t xml:space="preserve">, </w:t>
      </w:r>
      <w:r w:rsidRPr="00405303">
        <w:rPr>
          <w:rFonts w:eastAsia="TimesNewRoman"/>
          <w:bCs/>
          <w:color w:val="002060"/>
          <w:sz w:val="16"/>
          <w:szCs w:val="16"/>
        </w:rPr>
        <w:t>военный агент</w:t>
      </w:r>
      <w:r w:rsidRPr="00405303">
        <w:rPr>
          <w:rFonts w:eastAsia="Times-Roman"/>
          <w:bCs/>
          <w:color w:val="002060"/>
          <w:sz w:val="16"/>
          <w:szCs w:val="16"/>
        </w:rPr>
        <w:t xml:space="preserve">. </w:t>
      </w:r>
      <w:r w:rsidRPr="00405303">
        <w:rPr>
          <w:rFonts w:eastAsia="TimesNewRoman"/>
          <w:bCs/>
          <w:color w:val="002060"/>
          <w:sz w:val="16"/>
          <w:szCs w:val="16"/>
        </w:rPr>
        <w:t>Изначально предполагалось</w:t>
      </w:r>
      <w:r w:rsidRPr="00405303">
        <w:rPr>
          <w:rFonts w:eastAsia="Times-Roman"/>
          <w:bCs/>
          <w:color w:val="002060"/>
          <w:sz w:val="16"/>
          <w:szCs w:val="16"/>
        </w:rPr>
        <w:t xml:space="preserve">, </w:t>
      </w:r>
      <w:r w:rsidRPr="00405303">
        <w:rPr>
          <w:rFonts w:eastAsia="TimesNewRoman"/>
          <w:bCs/>
          <w:color w:val="002060"/>
          <w:sz w:val="16"/>
          <w:szCs w:val="16"/>
        </w:rPr>
        <w:t>что этот комитет</w:t>
      </w:r>
      <w:r w:rsidRPr="00405303">
        <w:rPr>
          <w:rFonts w:eastAsia="Times-Roman"/>
          <w:bCs/>
          <w:color w:val="002060"/>
          <w:sz w:val="16"/>
          <w:szCs w:val="16"/>
        </w:rPr>
        <w:t xml:space="preserve">, </w:t>
      </w:r>
      <w:r w:rsidRPr="00405303">
        <w:rPr>
          <w:rFonts w:eastAsia="TimesNewRoman"/>
          <w:bCs/>
          <w:color w:val="002060"/>
          <w:sz w:val="16"/>
          <w:szCs w:val="16"/>
        </w:rPr>
        <w:t>централизовав все заказы</w:t>
      </w:r>
      <w:r w:rsidRPr="00405303">
        <w:rPr>
          <w:rFonts w:eastAsia="Times-Roman"/>
          <w:bCs/>
          <w:color w:val="002060"/>
          <w:sz w:val="16"/>
          <w:szCs w:val="16"/>
        </w:rPr>
        <w:t xml:space="preserve">, </w:t>
      </w:r>
      <w:r w:rsidRPr="00405303">
        <w:rPr>
          <w:rFonts w:eastAsia="TimesNewRoman"/>
          <w:bCs/>
          <w:color w:val="002060"/>
          <w:sz w:val="16"/>
          <w:szCs w:val="16"/>
        </w:rPr>
        <w:t>поступающие из России</w:t>
      </w:r>
      <w:r w:rsidRPr="00405303">
        <w:rPr>
          <w:rFonts w:eastAsia="Times-Roman"/>
          <w:bCs/>
          <w:color w:val="002060"/>
          <w:sz w:val="16"/>
          <w:szCs w:val="16"/>
        </w:rPr>
        <w:t xml:space="preserve">, </w:t>
      </w:r>
      <w:r w:rsidRPr="00405303">
        <w:rPr>
          <w:rFonts w:eastAsia="TimesNewRoman"/>
          <w:bCs/>
          <w:color w:val="002060"/>
          <w:sz w:val="16"/>
          <w:szCs w:val="16"/>
        </w:rPr>
        <w:t>сможет предотвратить повышение цен на английском рынке</w:t>
      </w:r>
      <w:r w:rsidRPr="00405303">
        <w:rPr>
          <w:rFonts w:eastAsia="Times-Roman"/>
          <w:bCs/>
          <w:color w:val="002060"/>
          <w:sz w:val="16"/>
          <w:szCs w:val="16"/>
        </w:rPr>
        <w:t xml:space="preserve">. </w:t>
      </w:r>
      <w:r w:rsidRPr="00405303">
        <w:rPr>
          <w:rFonts w:eastAsia="TimesNewRoman"/>
          <w:bCs/>
          <w:color w:val="002060"/>
          <w:sz w:val="16"/>
          <w:szCs w:val="16"/>
        </w:rPr>
        <w:t>Во взаимоотношениях с Английским правительством ожидалось</w:t>
      </w:r>
      <w:r w:rsidRPr="00405303">
        <w:rPr>
          <w:rFonts w:eastAsia="Times-Roman"/>
          <w:bCs/>
          <w:color w:val="002060"/>
          <w:sz w:val="16"/>
          <w:szCs w:val="16"/>
        </w:rPr>
        <w:t xml:space="preserve">, </w:t>
      </w:r>
      <w:r w:rsidRPr="00405303">
        <w:rPr>
          <w:rFonts w:eastAsia="TimesNewRoman"/>
          <w:bCs/>
          <w:color w:val="002060"/>
          <w:sz w:val="16"/>
          <w:szCs w:val="16"/>
        </w:rPr>
        <w:t>что комитет облегчит получение от правительства необходимых разрешений на выдачу заказов великобританским фирмам и согласия на вывоз готовой продукции</w:t>
      </w:r>
      <w:r w:rsidRPr="00405303">
        <w:rPr>
          <w:rFonts w:eastAsia="Times-Roman"/>
          <w:bCs/>
          <w:color w:val="002060"/>
          <w:sz w:val="16"/>
          <w:szCs w:val="16"/>
        </w:rPr>
        <w:t xml:space="preserve">. </w:t>
      </w:r>
      <w:r w:rsidRPr="00405303">
        <w:rPr>
          <w:rFonts w:eastAsia="TimesNewRoman"/>
          <w:bCs/>
          <w:color w:val="002060"/>
          <w:sz w:val="16"/>
          <w:szCs w:val="16"/>
        </w:rPr>
        <w:t>Однако</w:t>
      </w:r>
      <w:r w:rsidRPr="00405303">
        <w:rPr>
          <w:rFonts w:eastAsia="Times-Roman"/>
          <w:bCs/>
          <w:color w:val="002060"/>
          <w:sz w:val="16"/>
          <w:szCs w:val="16"/>
        </w:rPr>
        <w:t xml:space="preserve">, </w:t>
      </w:r>
      <w:r w:rsidRPr="00405303">
        <w:rPr>
          <w:rFonts w:eastAsia="TimesNewRoman"/>
          <w:bCs/>
          <w:color w:val="002060"/>
          <w:sz w:val="16"/>
          <w:szCs w:val="16"/>
        </w:rPr>
        <w:t xml:space="preserve">за первые </w:t>
      </w:r>
      <w:r w:rsidRPr="00405303">
        <w:rPr>
          <w:rFonts w:eastAsia="Times-Roman"/>
          <w:bCs/>
          <w:color w:val="002060"/>
          <w:sz w:val="16"/>
          <w:szCs w:val="16"/>
        </w:rPr>
        <w:t xml:space="preserve">10 </w:t>
      </w:r>
      <w:r w:rsidRPr="00405303">
        <w:rPr>
          <w:rFonts w:eastAsia="TimesNewRoman"/>
          <w:bCs/>
          <w:color w:val="002060"/>
          <w:sz w:val="16"/>
          <w:szCs w:val="16"/>
        </w:rPr>
        <w:t>месяцев своей деятельности</w:t>
      </w:r>
      <w:r w:rsidRPr="00405303">
        <w:rPr>
          <w:rFonts w:eastAsia="Times-Roman"/>
          <w:bCs/>
          <w:color w:val="002060"/>
          <w:sz w:val="16"/>
          <w:szCs w:val="16"/>
        </w:rPr>
        <w:t xml:space="preserve">, </w:t>
      </w:r>
      <w:r w:rsidRPr="00405303">
        <w:rPr>
          <w:rFonts w:eastAsia="TimesNewRoman"/>
          <w:bCs/>
          <w:color w:val="002060"/>
          <w:sz w:val="16"/>
          <w:szCs w:val="16"/>
        </w:rPr>
        <w:t>комитет ощутимых положительных результатов не дал (20240)</w:t>
      </w:r>
      <w:r w:rsidRPr="00405303">
        <w:rPr>
          <w:rFonts w:eastAsia="Times-Roman"/>
          <w:bCs/>
          <w:color w:val="002060"/>
          <w:sz w:val="16"/>
          <w:szCs w:val="16"/>
        </w:rPr>
        <w:t>.</w:t>
      </w:r>
    </w:p>
    <w:p w14:paraId="3DF1435E" w14:textId="77777777" w:rsidR="00BE1378" w:rsidRPr="00405303" w:rsidRDefault="00BE1378" w:rsidP="00C15251">
      <w:pPr>
        <w:jc w:val="both"/>
        <w:rPr>
          <w:rFonts w:eastAsia="TimesNewRoman"/>
          <w:bCs/>
          <w:color w:val="002060"/>
          <w:sz w:val="16"/>
          <w:szCs w:val="16"/>
        </w:rPr>
      </w:pPr>
    </w:p>
    <w:p w14:paraId="0C26991E" w14:textId="22DD5FB2" w:rsidR="00DD43E9" w:rsidRPr="00405303" w:rsidRDefault="00DD43E9" w:rsidP="00DD43E9">
      <w:pPr>
        <w:jc w:val="both"/>
        <w:rPr>
          <w:bCs/>
          <w:i/>
          <w:color w:val="002060"/>
          <w:sz w:val="16"/>
          <w:szCs w:val="16"/>
        </w:rPr>
      </w:pPr>
      <w:r w:rsidRPr="00405303">
        <w:rPr>
          <w:bCs/>
          <w:i/>
          <w:color w:val="002060"/>
          <w:sz w:val="16"/>
          <w:szCs w:val="16"/>
        </w:rPr>
        <w:t>Самолетостроение:</w:t>
      </w:r>
    </w:p>
    <w:p w14:paraId="3FCCC7E6" w14:textId="77777777" w:rsidR="00DD43E9" w:rsidRPr="00405303" w:rsidRDefault="00DD43E9" w:rsidP="00DD43E9">
      <w:pPr>
        <w:jc w:val="both"/>
        <w:rPr>
          <w:bCs/>
          <w:i/>
          <w:color w:val="002060"/>
          <w:sz w:val="16"/>
          <w:szCs w:val="16"/>
        </w:rPr>
      </w:pPr>
    </w:p>
    <w:p w14:paraId="1C3D2A8D" w14:textId="77777777" w:rsidR="00DD43E9" w:rsidRPr="00405303" w:rsidRDefault="00DD43E9" w:rsidP="00DD43E9">
      <w:pPr>
        <w:jc w:val="both"/>
        <w:rPr>
          <w:color w:val="0070C0"/>
          <w:sz w:val="16"/>
          <w:szCs w:val="16"/>
        </w:rPr>
      </w:pPr>
      <w:r w:rsidRPr="00405303">
        <w:rPr>
          <w:color w:val="0070C0"/>
          <w:sz w:val="16"/>
          <w:szCs w:val="16"/>
        </w:rPr>
        <w:t>8 (21) августа 1915 г. АО РБВЗ представило свои условия на выполнение заказа на 18 самолетов С-16 (12 по табелю ЭВК и 6 «на пополнение ежемесячной убыли»). Исполнительная комиссия Осо</w:t>
      </w:r>
      <w:r w:rsidRPr="00405303">
        <w:rPr>
          <w:color w:val="0070C0"/>
          <w:sz w:val="16"/>
          <w:szCs w:val="16"/>
        </w:rPr>
        <w:softHyphen/>
        <w:t>бого совещания по обороне Государства одобрила эти условия, и 24 октября 1915 г. ГВТУ заключило с АО РБВЗ контракт No. 24130 на 18 самолетов С-16 под двигатели «Рон» или «Гном» мощностью в 80 или 100 л.с., а также 18 основных и 3 дополнительных комплекта запасных частей. В комплект запасных час</w:t>
      </w:r>
      <w:r w:rsidRPr="00405303">
        <w:rPr>
          <w:color w:val="0070C0"/>
          <w:sz w:val="16"/>
          <w:szCs w:val="16"/>
        </w:rPr>
        <w:softHyphen/>
        <w:t>тей входили, по сути дела, все основные детали самолета. ГВТУ обязалось выплатить по 9500 рублей за каждый самолет и по 4500 и 7300 рублей за каждый комплект запчастей соответственно. Двигатели и винты к аппара</w:t>
      </w:r>
      <w:r w:rsidRPr="00405303">
        <w:rPr>
          <w:color w:val="0070C0"/>
          <w:sz w:val="16"/>
          <w:szCs w:val="16"/>
        </w:rPr>
        <w:softHyphen/>
        <w:t>там также должно было поставить ГВТУ. Сроки постав</w:t>
      </w:r>
      <w:r w:rsidRPr="00405303">
        <w:rPr>
          <w:color w:val="0070C0"/>
          <w:sz w:val="16"/>
          <w:szCs w:val="16"/>
        </w:rPr>
        <w:softHyphen/>
        <w:t>ки были оговорены следующие: к 4.10.1915 - 3 самолета, к 4.11.1915-4 самолета и 7 комплектов и к 4.12.1915 - И самолетов и 14 комплектов. Условия сдачи самолетов были жесткие. Все расходы по сдаче, упаковке и возможному ремонту после поломок долж</w:t>
      </w:r>
      <w:r w:rsidRPr="00405303">
        <w:rPr>
          <w:color w:val="0070C0"/>
          <w:sz w:val="16"/>
          <w:szCs w:val="16"/>
        </w:rPr>
        <w:softHyphen/>
        <w:t>но было нести АО РБВЗ. Обществу предоставлялся задаток в 25% стоимости контракта для налаживания производства. Еще 25% должно было быть выделено на получение заводом необходимых материалов (25049).</w:t>
      </w:r>
    </w:p>
    <w:p w14:paraId="7196260E" w14:textId="77777777" w:rsidR="00DD43E9" w:rsidRPr="00405303" w:rsidRDefault="00DD43E9" w:rsidP="00DD43E9">
      <w:pPr>
        <w:jc w:val="both"/>
        <w:rPr>
          <w:color w:val="0070C0"/>
          <w:sz w:val="16"/>
          <w:szCs w:val="16"/>
        </w:rPr>
      </w:pPr>
    </w:p>
    <w:p w14:paraId="55D93674" w14:textId="77777777" w:rsidR="00964D50" w:rsidRPr="00405303" w:rsidRDefault="00964D50" w:rsidP="00C15251">
      <w:pPr>
        <w:jc w:val="both"/>
        <w:rPr>
          <w:bCs/>
          <w:i/>
          <w:color w:val="002060"/>
          <w:sz w:val="16"/>
          <w:szCs w:val="16"/>
        </w:rPr>
      </w:pPr>
      <w:r w:rsidRPr="00405303">
        <w:rPr>
          <w:bCs/>
          <w:i/>
          <w:color w:val="002060"/>
          <w:sz w:val="16"/>
          <w:szCs w:val="16"/>
        </w:rPr>
        <w:t>Армия:</w:t>
      </w:r>
    </w:p>
    <w:p w14:paraId="090AE107" w14:textId="77777777" w:rsidR="00964D50" w:rsidRPr="00405303" w:rsidRDefault="00964D50" w:rsidP="00C15251">
      <w:pPr>
        <w:jc w:val="both"/>
        <w:rPr>
          <w:bCs/>
          <w:i/>
          <w:color w:val="002060"/>
          <w:sz w:val="16"/>
          <w:szCs w:val="16"/>
        </w:rPr>
      </w:pPr>
    </w:p>
    <w:p w14:paraId="016777B4" w14:textId="7FCABF07" w:rsidR="00964D50" w:rsidRPr="00405303" w:rsidRDefault="00964D50" w:rsidP="00C15251">
      <w:pPr>
        <w:jc w:val="both"/>
        <w:rPr>
          <w:bCs/>
          <w:color w:val="002060"/>
          <w:sz w:val="16"/>
          <w:szCs w:val="16"/>
        </w:rPr>
      </w:pPr>
      <w:r w:rsidRPr="00405303">
        <w:rPr>
          <w:bCs/>
          <w:color w:val="002060"/>
          <w:sz w:val="16"/>
          <w:szCs w:val="16"/>
        </w:rPr>
        <w:t xml:space="preserve">8 </w:t>
      </w:r>
      <w:r w:rsidR="00C93DD1" w:rsidRPr="00405303">
        <w:rPr>
          <w:bCs/>
          <w:color w:val="002060"/>
          <w:sz w:val="16"/>
          <w:szCs w:val="16"/>
        </w:rPr>
        <w:t xml:space="preserve">(21) </w:t>
      </w:r>
      <w:r w:rsidRPr="00405303">
        <w:rPr>
          <w:bCs/>
          <w:color w:val="002060"/>
          <w:sz w:val="16"/>
          <w:szCs w:val="16"/>
        </w:rPr>
        <w:t>августа в 1915 году во время Первой мировой войны началась Моонзундская операция по отражению прорыва германского флота в Рижский залив. Германский флот, принимавший участие в прорыве, вдвое превосходил русский Балтийский флот и во много раз морские силы Рижского залива. Попытка противника протралить Ирбенский пролив 8 августа закончилась неудачей — на минах подорвались 2 тральщика, крейсер и эсминец. В течение 16–19 августа траление фарватера было закончено, но русские корабли оказали ожесточенное сопротивление. После упорных боев 21 августа германский флот, понеся большие потери (2 эсминца и 3 тральщика потоплены, повреждены 2 крейсера, эсминец и тральщик), отступил, не выполнив боевой задачи (14977).</w:t>
      </w:r>
    </w:p>
    <w:p w14:paraId="7967E3AB" w14:textId="77777777" w:rsidR="00964D50" w:rsidRPr="00405303" w:rsidRDefault="00964D50" w:rsidP="00C15251">
      <w:pPr>
        <w:jc w:val="both"/>
        <w:rPr>
          <w:bCs/>
          <w:color w:val="002060"/>
          <w:sz w:val="16"/>
          <w:szCs w:val="16"/>
        </w:rPr>
      </w:pPr>
    </w:p>
    <w:p w14:paraId="018C7D7E" w14:textId="77777777" w:rsidR="00244ED3" w:rsidRPr="00405303" w:rsidRDefault="00244ED3" w:rsidP="00C15251">
      <w:pPr>
        <w:jc w:val="both"/>
        <w:rPr>
          <w:bCs/>
          <w:color w:val="002060"/>
          <w:sz w:val="16"/>
          <w:szCs w:val="16"/>
          <w:lang w:bidi="en-US"/>
        </w:rPr>
      </w:pPr>
      <w:r w:rsidRPr="00405303">
        <w:rPr>
          <w:bCs/>
          <w:color w:val="002060"/>
          <w:sz w:val="16"/>
          <w:szCs w:val="16"/>
          <w:lang w:bidi="en-US"/>
        </w:rPr>
        <w:t>8 (21) августа 1915 г. на Юго-Западном фронте русские были вынуждены эвакуировать Ковель (23525).</w:t>
      </w:r>
    </w:p>
    <w:p w14:paraId="05B6FBC8" w14:textId="77777777" w:rsidR="00244ED3" w:rsidRPr="00405303" w:rsidRDefault="00244ED3" w:rsidP="00C15251">
      <w:pPr>
        <w:jc w:val="both"/>
        <w:rPr>
          <w:bCs/>
          <w:color w:val="002060"/>
          <w:sz w:val="16"/>
          <w:szCs w:val="16"/>
        </w:rPr>
      </w:pPr>
    </w:p>
    <w:p w14:paraId="7580301E" w14:textId="77777777" w:rsidR="00DD43E9" w:rsidRPr="00405303" w:rsidRDefault="00DD43E9" w:rsidP="00DD43E9">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8 (21) августа 1915 г. был отдан приказ об эвакуации брестской крепости и взрыве отдельных ее укреплений. Ставка ВГК приняла решение об эвакуации крепости, вызванное стремительным наступлением противника и быстрым падением крепостей Ковно и Новогеоргиевск.</w:t>
      </w:r>
    </w:p>
    <w:p w14:paraId="51C2D480" w14:textId="77777777" w:rsidR="00DD43E9" w:rsidRPr="00405303" w:rsidRDefault="00DD43E9" w:rsidP="00DD43E9">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По признанию специалистов, Брест-Литовск был одной из наиболее подготовленной к обороне крепостей, имея на вооружении до двух тысяч орудий различного калибра (включая зенитные). По мнению коменданта крепости генерала от артиллерии В.А. Лайминга, «при бережном использовании запасов крепости она [могла] продержаться 8 месяцев» (25135).</w:t>
      </w:r>
    </w:p>
    <w:p w14:paraId="3A5F1807" w14:textId="77777777" w:rsidR="00DD43E9" w:rsidRPr="00405303" w:rsidRDefault="00DD43E9" w:rsidP="00DD43E9">
      <w:pPr>
        <w:jc w:val="both"/>
        <w:rPr>
          <w:rStyle w:val="aa"/>
          <w:rFonts w:ascii="Times New Roman" w:hAnsi="Times New Roman"/>
          <w:color w:val="0070C0"/>
          <w:spacing w:val="0"/>
          <w:sz w:val="16"/>
          <w:szCs w:val="16"/>
        </w:rPr>
      </w:pPr>
    </w:p>
    <w:p w14:paraId="04B9370D" w14:textId="795B00EC" w:rsidR="00DD43E9" w:rsidRPr="00405303" w:rsidRDefault="00DD43E9" w:rsidP="00DD43E9">
      <w:pPr>
        <w:jc w:val="both"/>
        <w:rPr>
          <w:bCs/>
          <w:i/>
          <w:color w:val="002060"/>
          <w:sz w:val="16"/>
          <w:szCs w:val="16"/>
        </w:rPr>
      </w:pPr>
      <w:r w:rsidRPr="00405303">
        <w:rPr>
          <w:bCs/>
          <w:i/>
          <w:color w:val="002060"/>
          <w:sz w:val="16"/>
          <w:szCs w:val="16"/>
        </w:rPr>
        <w:t>Авиация:</w:t>
      </w:r>
    </w:p>
    <w:p w14:paraId="50819848" w14:textId="77777777" w:rsidR="00DD43E9" w:rsidRPr="00405303" w:rsidRDefault="00DD43E9" w:rsidP="00DD43E9">
      <w:pPr>
        <w:jc w:val="both"/>
        <w:rPr>
          <w:bCs/>
          <w:i/>
          <w:color w:val="002060"/>
          <w:sz w:val="16"/>
          <w:szCs w:val="16"/>
        </w:rPr>
      </w:pPr>
    </w:p>
    <w:p w14:paraId="111EADEB" w14:textId="77777777" w:rsidR="00DD43E9" w:rsidRPr="00405303" w:rsidRDefault="00DD43E9" w:rsidP="00DD43E9">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8 (21) августа 1915 г. целью воздушного нападения стал русский санитарный поезд, отходивший от станции в г. Брест-Литовск (25135).</w:t>
      </w:r>
    </w:p>
    <w:p w14:paraId="6102B9A8" w14:textId="77777777" w:rsidR="00DD43E9" w:rsidRPr="00405303" w:rsidRDefault="00DD43E9" w:rsidP="00DD43E9">
      <w:pPr>
        <w:jc w:val="both"/>
        <w:rPr>
          <w:rStyle w:val="aa"/>
          <w:rFonts w:ascii="Times New Roman" w:hAnsi="Times New Roman"/>
          <w:color w:val="0070C0"/>
          <w:spacing w:val="0"/>
          <w:sz w:val="16"/>
          <w:szCs w:val="16"/>
        </w:rPr>
      </w:pPr>
    </w:p>
    <w:p w14:paraId="21960891" w14:textId="77777777" w:rsidR="00964D50" w:rsidRPr="00405303" w:rsidRDefault="00964D50" w:rsidP="00C15251">
      <w:pPr>
        <w:jc w:val="both"/>
        <w:rPr>
          <w:bCs/>
          <w:i/>
          <w:color w:val="002060"/>
          <w:sz w:val="16"/>
          <w:szCs w:val="16"/>
        </w:rPr>
      </w:pPr>
      <w:r w:rsidRPr="00405303">
        <w:rPr>
          <w:bCs/>
          <w:i/>
          <w:color w:val="002060"/>
          <w:sz w:val="16"/>
          <w:szCs w:val="16"/>
        </w:rPr>
        <w:t>Жизнь и внутренняя политика:</w:t>
      </w:r>
    </w:p>
    <w:p w14:paraId="13D361D8" w14:textId="77777777" w:rsidR="00964D50" w:rsidRPr="00405303" w:rsidRDefault="00964D50" w:rsidP="00C15251">
      <w:pPr>
        <w:jc w:val="both"/>
        <w:rPr>
          <w:bCs/>
          <w:i/>
          <w:color w:val="002060"/>
          <w:sz w:val="16"/>
          <w:szCs w:val="16"/>
        </w:rPr>
      </w:pPr>
    </w:p>
    <w:p w14:paraId="2F5D53AB" w14:textId="18A8E278" w:rsidR="00964D50" w:rsidRPr="00405303" w:rsidRDefault="00964D50" w:rsidP="00C15251">
      <w:pPr>
        <w:pStyle w:val="ae"/>
        <w:spacing w:before="0" w:beforeAutospacing="0" w:after="0" w:afterAutospacing="0"/>
        <w:jc w:val="both"/>
        <w:rPr>
          <w:bCs/>
          <w:color w:val="002060"/>
          <w:sz w:val="16"/>
          <w:szCs w:val="16"/>
        </w:rPr>
      </w:pPr>
      <w:r w:rsidRPr="00405303">
        <w:rPr>
          <w:bCs/>
          <w:color w:val="002060"/>
          <w:sz w:val="16"/>
          <w:szCs w:val="16"/>
        </w:rPr>
        <w:t>8—9</w:t>
      </w:r>
      <w:r w:rsidR="00C93DD1" w:rsidRPr="00405303">
        <w:rPr>
          <w:bCs/>
          <w:color w:val="002060"/>
          <w:sz w:val="16"/>
          <w:szCs w:val="16"/>
        </w:rPr>
        <w:t xml:space="preserve"> (21-22)</w:t>
      </w:r>
      <w:r w:rsidRPr="00405303">
        <w:rPr>
          <w:bCs/>
          <w:color w:val="002060"/>
          <w:sz w:val="16"/>
          <w:szCs w:val="16"/>
        </w:rPr>
        <w:t xml:space="preserve"> августа</w:t>
      </w:r>
      <w:r w:rsidR="00C93DD1" w:rsidRPr="00405303">
        <w:rPr>
          <w:bCs/>
          <w:color w:val="002060"/>
          <w:sz w:val="16"/>
          <w:szCs w:val="16"/>
        </w:rPr>
        <w:t xml:space="preserve"> </w:t>
      </w:r>
      <w:r w:rsidRPr="00405303">
        <w:rPr>
          <w:bCs/>
          <w:color w:val="002060"/>
          <w:sz w:val="16"/>
          <w:szCs w:val="16"/>
        </w:rPr>
        <w:t>1915 на съезде представителей городов в Москве был основан Всероссийский союз городов для помощи больным и раненым воинам. Оба союза занимались эвакуацией раненых в глубь страны, организацией госпиталей и т.</w:t>
      </w:r>
      <w:r w:rsidR="00DB4D64" w:rsidRPr="00405303">
        <w:rPr>
          <w:bCs/>
          <w:color w:val="002060"/>
          <w:sz w:val="16"/>
          <w:szCs w:val="16"/>
        </w:rPr>
        <w:t xml:space="preserve"> </w:t>
      </w:r>
      <w:r w:rsidRPr="00405303">
        <w:rPr>
          <w:bCs/>
          <w:color w:val="002060"/>
          <w:sz w:val="16"/>
          <w:szCs w:val="16"/>
        </w:rPr>
        <w:t>п. В июле 1915 года эти организации объединились, образовав Главный комитет по снабжению армии (Земгор). По сути своей они явились предшественниками военно-промышленных комитетов (ВПК), решение о создании которых было принято весной 1915 года на IX съезде Советов представителей промышленности и торговли, т.</w:t>
      </w:r>
      <w:r w:rsidR="00DB4D64" w:rsidRPr="00405303">
        <w:rPr>
          <w:bCs/>
          <w:color w:val="002060"/>
          <w:sz w:val="16"/>
          <w:szCs w:val="16"/>
        </w:rPr>
        <w:t xml:space="preserve"> </w:t>
      </w:r>
      <w:r w:rsidRPr="00405303">
        <w:rPr>
          <w:bCs/>
          <w:color w:val="002060"/>
          <w:sz w:val="16"/>
          <w:szCs w:val="16"/>
        </w:rPr>
        <w:t>е. частных предпринимателей. В частности, Московский ВПК был создан 11 июня 1915 года при Московском биржевом комитете (15736).</w:t>
      </w:r>
    </w:p>
    <w:p w14:paraId="2A5F8371" w14:textId="77777777" w:rsidR="00964D50" w:rsidRPr="00405303" w:rsidRDefault="00964D50" w:rsidP="00C15251">
      <w:pPr>
        <w:pStyle w:val="ae"/>
        <w:spacing w:before="0" w:beforeAutospacing="0" w:after="0" w:afterAutospacing="0"/>
        <w:jc w:val="both"/>
        <w:rPr>
          <w:bCs/>
          <w:color w:val="002060"/>
          <w:sz w:val="16"/>
          <w:szCs w:val="16"/>
        </w:rPr>
      </w:pPr>
    </w:p>
    <w:p w14:paraId="2D4241FF"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61EA9319" w14:textId="77777777" w:rsidR="004B4E35" w:rsidRPr="00405303" w:rsidRDefault="004B4E35" w:rsidP="00C15251">
      <w:pPr>
        <w:jc w:val="both"/>
        <w:rPr>
          <w:bCs/>
          <w:i/>
          <w:color w:val="002060"/>
          <w:sz w:val="16"/>
          <w:szCs w:val="16"/>
        </w:rPr>
      </w:pPr>
    </w:p>
    <w:p w14:paraId="41E9A7AF" w14:textId="07C801C3" w:rsidR="004B4E35" w:rsidRPr="00405303" w:rsidRDefault="009E6F82" w:rsidP="00C15251">
      <w:pPr>
        <w:jc w:val="both"/>
        <w:rPr>
          <w:bCs/>
          <w:color w:val="002060"/>
          <w:sz w:val="16"/>
          <w:szCs w:val="16"/>
        </w:rPr>
      </w:pPr>
      <w:r w:rsidRPr="00405303">
        <w:rPr>
          <w:bCs/>
          <w:color w:val="002060"/>
          <w:sz w:val="16"/>
          <w:szCs w:val="16"/>
        </w:rPr>
        <w:lastRenderedPageBreak/>
        <w:t xml:space="preserve">8 (21) августа 1915 г. </w:t>
      </w:r>
      <w:r w:rsidR="00C93DD1" w:rsidRPr="00405303">
        <w:rPr>
          <w:bCs/>
          <w:color w:val="002060"/>
          <w:sz w:val="16"/>
          <w:szCs w:val="16"/>
        </w:rPr>
        <w:t xml:space="preserve">Рихтгофена </w:t>
      </w:r>
      <w:r w:rsidRPr="00405303">
        <w:rPr>
          <w:bCs/>
          <w:color w:val="002060"/>
          <w:sz w:val="16"/>
          <w:szCs w:val="16"/>
        </w:rPr>
        <w:t>неожиданно перебросили на большой военный аэроплан</w:t>
      </w:r>
      <w:r w:rsidR="00C93DD1" w:rsidRPr="00405303">
        <w:rPr>
          <w:bCs/>
          <w:color w:val="002060"/>
          <w:sz w:val="16"/>
          <w:szCs w:val="16"/>
        </w:rPr>
        <w:t xml:space="preserve"> и</w:t>
      </w:r>
      <w:r w:rsidRPr="00405303">
        <w:rPr>
          <w:bCs/>
          <w:color w:val="002060"/>
          <w:sz w:val="16"/>
          <w:szCs w:val="16"/>
        </w:rPr>
        <w:t xml:space="preserve"> на аэродром, базировавшийся под Остенде (11999).</w:t>
      </w:r>
    </w:p>
    <w:p w14:paraId="3BD2C349" w14:textId="77777777" w:rsidR="004B4E35" w:rsidRPr="00405303" w:rsidRDefault="004B4E35" w:rsidP="00C15251">
      <w:pPr>
        <w:jc w:val="both"/>
        <w:rPr>
          <w:bCs/>
          <w:color w:val="002060"/>
          <w:sz w:val="16"/>
          <w:szCs w:val="16"/>
        </w:rPr>
      </w:pPr>
    </w:p>
    <w:p w14:paraId="1F9A91C7"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07D732FF" w14:textId="1EF859CD" w:rsidR="004B4E35" w:rsidRPr="00405303" w:rsidRDefault="004B4E35" w:rsidP="00C15251">
      <w:pPr>
        <w:jc w:val="both"/>
        <w:rPr>
          <w:bCs/>
          <w:i/>
          <w:color w:val="002060"/>
          <w:sz w:val="16"/>
          <w:szCs w:val="16"/>
        </w:rPr>
      </w:pPr>
    </w:p>
    <w:p w14:paraId="3899DDA6" w14:textId="66D27763" w:rsidR="00C93DD1" w:rsidRPr="00405303" w:rsidRDefault="00C93DD1" w:rsidP="00C15251">
      <w:pPr>
        <w:jc w:val="both"/>
        <w:rPr>
          <w:bCs/>
          <w:iCs/>
          <w:color w:val="002060"/>
          <w:sz w:val="16"/>
          <w:szCs w:val="16"/>
        </w:rPr>
      </w:pPr>
      <w:r w:rsidRPr="00405303">
        <w:rPr>
          <w:bCs/>
          <w:iCs/>
          <w:color w:val="002060"/>
          <w:sz w:val="16"/>
          <w:szCs w:val="16"/>
        </w:rPr>
        <w:t>10 (23) августа 1915 г. был подписан очередной контракт на М-5</w:t>
      </w:r>
    </w:p>
    <w:p w14:paraId="65CC20D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Вряд ли будет ошибкой сказать, что как патрульный аппарат небольшого радиуса действия «пятер</w:t>
      </w:r>
      <w:r w:rsidRPr="00405303">
        <w:rPr>
          <w:bCs/>
          <w:color w:val="002060"/>
          <w:sz w:val="16"/>
          <w:szCs w:val="16"/>
        </w:rPr>
        <w:softHyphen/>
        <w:t>ка» оказалась весьма эффективным видом авиационного вооружения флота: при своей относительной дешевизне она демонстрировала полную пригодность к выполнению возложенных задач, особенно в тех районах черноморского театра, где не встречала активного противодействия авиации противника. В этом своем качестве машина могла успешно летать не только до 1918 г., но и далее, чему есть примеры в хронике Гражданской войны. Еще одной сферой удачного применения модели стали учебные подразде</w:t>
      </w:r>
      <w:r w:rsidRPr="00405303">
        <w:rPr>
          <w:bCs/>
          <w:color w:val="002060"/>
          <w:sz w:val="16"/>
          <w:szCs w:val="16"/>
        </w:rPr>
        <w:softHyphen/>
        <w:t>ления, с которыми гидроаэропланы типа М-5 прошли долгий путь, начиная с лета 1915г., открыв небо многим стремившимся к нему людям. В общем, в период с 10 июля 1915 г. по 20 июня 1917г. Черномор</w:t>
      </w:r>
      <w:r w:rsidRPr="00405303">
        <w:rPr>
          <w:bCs/>
          <w:color w:val="002060"/>
          <w:sz w:val="16"/>
          <w:szCs w:val="16"/>
        </w:rPr>
        <w:softHyphen/>
        <w:t>ский флот принял 71 летающую лодку М-5, а около 60 машин данного типа достались морским авиашко</w:t>
      </w:r>
      <w:r w:rsidRPr="00405303">
        <w:rPr>
          <w:bCs/>
          <w:color w:val="002060"/>
          <w:sz w:val="16"/>
          <w:szCs w:val="16"/>
        </w:rPr>
        <w:softHyphen/>
        <w:t>лам; с июня 1915 г. по декабрь 1917г. полное число принятых военно-морскими силами М-5 составило, по крайней мере, 1?3 аппарата, но некоторые из них изначально изготовлялись как запасные.</w:t>
      </w:r>
    </w:p>
    <w:p w14:paraId="6315183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4B4E35" w:rsidRPr="00405303" w14:paraId="16AE4DF3" w14:textId="77777777">
        <w:tc>
          <w:tcPr>
            <w:tcW w:w="1548" w:type="dxa"/>
            <w:shd w:val="clear" w:color="auto" w:fill="FFFFFF"/>
          </w:tcPr>
          <w:p w14:paraId="3B4F120F" w14:textId="77777777" w:rsidR="004B4E35" w:rsidRPr="00405303" w:rsidRDefault="009E6F82" w:rsidP="00C15251">
            <w:pPr>
              <w:jc w:val="both"/>
              <w:rPr>
                <w:bCs/>
                <w:color w:val="002060"/>
                <w:sz w:val="16"/>
                <w:szCs w:val="16"/>
              </w:rPr>
            </w:pPr>
            <w:r w:rsidRPr="00405303">
              <w:rPr>
                <w:bCs/>
                <w:color w:val="002060"/>
                <w:sz w:val="16"/>
                <w:szCs w:val="16"/>
              </w:rPr>
              <w:t>Дата контракта</w:t>
            </w:r>
          </w:p>
        </w:tc>
        <w:tc>
          <w:tcPr>
            <w:tcW w:w="1170" w:type="dxa"/>
            <w:shd w:val="clear" w:color="auto" w:fill="FFFFFF"/>
          </w:tcPr>
          <w:p w14:paraId="63748AA3" w14:textId="77777777" w:rsidR="004B4E35" w:rsidRPr="00405303" w:rsidRDefault="009E6F82" w:rsidP="00C15251">
            <w:pPr>
              <w:jc w:val="both"/>
              <w:rPr>
                <w:bCs/>
                <w:color w:val="002060"/>
                <w:sz w:val="16"/>
                <w:szCs w:val="16"/>
              </w:rPr>
            </w:pPr>
            <w:r w:rsidRPr="00405303">
              <w:rPr>
                <w:bCs/>
                <w:color w:val="002060"/>
                <w:sz w:val="16"/>
                <w:szCs w:val="16"/>
              </w:rPr>
              <w:t>Число заказанных аэропланов</w:t>
            </w:r>
          </w:p>
        </w:tc>
        <w:tc>
          <w:tcPr>
            <w:tcW w:w="6858" w:type="dxa"/>
            <w:shd w:val="clear" w:color="auto" w:fill="FFFFFF"/>
          </w:tcPr>
          <w:p w14:paraId="08F76A1B" w14:textId="77777777" w:rsidR="004B4E35" w:rsidRPr="00405303" w:rsidRDefault="009E6F82" w:rsidP="00C15251">
            <w:pPr>
              <w:jc w:val="both"/>
              <w:rPr>
                <w:bCs/>
                <w:color w:val="002060"/>
                <w:sz w:val="16"/>
                <w:szCs w:val="16"/>
              </w:rPr>
            </w:pPr>
            <w:r w:rsidRPr="00405303">
              <w:rPr>
                <w:bCs/>
                <w:color w:val="002060"/>
                <w:sz w:val="16"/>
                <w:szCs w:val="16"/>
              </w:rPr>
              <w:t>Условия</w:t>
            </w:r>
          </w:p>
        </w:tc>
      </w:tr>
      <w:tr w:rsidR="004B4E35" w:rsidRPr="00405303" w14:paraId="46AA27A8" w14:textId="77777777">
        <w:tc>
          <w:tcPr>
            <w:tcW w:w="1548" w:type="dxa"/>
            <w:shd w:val="clear" w:color="auto" w:fill="FFFFFF"/>
          </w:tcPr>
          <w:p w14:paraId="37F12956" w14:textId="77777777" w:rsidR="004B4E35" w:rsidRPr="00405303" w:rsidRDefault="009E6F82" w:rsidP="00C15251">
            <w:pPr>
              <w:jc w:val="both"/>
              <w:rPr>
                <w:bCs/>
                <w:color w:val="002060"/>
                <w:sz w:val="16"/>
                <w:szCs w:val="16"/>
              </w:rPr>
            </w:pPr>
            <w:r w:rsidRPr="00405303">
              <w:rPr>
                <w:bCs/>
                <w:color w:val="002060"/>
                <w:sz w:val="16"/>
                <w:szCs w:val="16"/>
              </w:rPr>
              <w:t>Май 27 1915</w:t>
            </w:r>
          </w:p>
        </w:tc>
        <w:tc>
          <w:tcPr>
            <w:tcW w:w="1170" w:type="dxa"/>
            <w:shd w:val="clear" w:color="auto" w:fill="FFFFFF"/>
          </w:tcPr>
          <w:p w14:paraId="39CB9BB7" w14:textId="77777777" w:rsidR="004B4E35" w:rsidRPr="00405303" w:rsidRDefault="009E6F82" w:rsidP="00C15251">
            <w:pPr>
              <w:jc w:val="both"/>
              <w:rPr>
                <w:bCs/>
                <w:color w:val="002060"/>
                <w:sz w:val="16"/>
                <w:szCs w:val="16"/>
              </w:rPr>
            </w:pPr>
            <w:r w:rsidRPr="00405303">
              <w:rPr>
                <w:bCs/>
                <w:color w:val="002060"/>
                <w:sz w:val="16"/>
                <w:szCs w:val="16"/>
              </w:rPr>
              <w:t>12</w:t>
            </w:r>
          </w:p>
        </w:tc>
        <w:tc>
          <w:tcPr>
            <w:tcW w:w="6858" w:type="dxa"/>
            <w:shd w:val="clear" w:color="auto" w:fill="FFFFFF"/>
          </w:tcPr>
          <w:p w14:paraId="53217C4B" w14:textId="77777777" w:rsidR="004B4E35" w:rsidRPr="00405303" w:rsidRDefault="009E6F82" w:rsidP="00C15251">
            <w:pPr>
              <w:jc w:val="both"/>
              <w:rPr>
                <w:bCs/>
                <w:color w:val="002060"/>
                <w:sz w:val="16"/>
                <w:szCs w:val="16"/>
              </w:rPr>
            </w:pPr>
            <w:r w:rsidRPr="00405303">
              <w:rPr>
                <w:bCs/>
                <w:color w:val="002060"/>
                <w:sz w:val="16"/>
                <w:szCs w:val="16"/>
              </w:rPr>
              <w:t>9 тыс. 500 руб. за аппарат без мотора, срок исполнения с 30 мая по 15 июля 1915 г. (выполнен к 20 июля 1915 г.)</w:t>
            </w:r>
          </w:p>
        </w:tc>
      </w:tr>
      <w:tr w:rsidR="004B4E35" w:rsidRPr="00405303" w14:paraId="576C1F2B" w14:textId="77777777">
        <w:tc>
          <w:tcPr>
            <w:tcW w:w="1548" w:type="dxa"/>
            <w:shd w:val="clear" w:color="auto" w:fill="FFFFFF"/>
          </w:tcPr>
          <w:p w14:paraId="08C02CC7" w14:textId="77777777" w:rsidR="004B4E35" w:rsidRPr="00405303" w:rsidRDefault="009E6F82" w:rsidP="00C15251">
            <w:pPr>
              <w:jc w:val="both"/>
              <w:rPr>
                <w:bCs/>
                <w:color w:val="002060"/>
                <w:sz w:val="16"/>
                <w:szCs w:val="16"/>
              </w:rPr>
            </w:pPr>
            <w:r w:rsidRPr="00405303">
              <w:rPr>
                <w:bCs/>
                <w:color w:val="002060"/>
                <w:sz w:val="16"/>
                <w:szCs w:val="16"/>
              </w:rPr>
              <w:t>Июль 17 1915</w:t>
            </w:r>
          </w:p>
        </w:tc>
        <w:tc>
          <w:tcPr>
            <w:tcW w:w="1170" w:type="dxa"/>
            <w:shd w:val="clear" w:color="auto" w:fill="FFFFFF"/>
          </w:tcPr>
          <w:p w14:paraId="4F82927A" w14:textId="77777777" w:rsidR="004B4E35" w:rsidRPr="00405303" w:rsidRDefault="009E6F82" w:rsidP="00C15251">
            <w:pPr>
              <w:jc w:val="both"/>
              <w:rPr>
                <w:bCs/>
                <w:color w:val="002060"/>
                <w:sz w:val="16"/>
                <w:szCs w:val="16"/>
              </w:rPr>
            </w:pPr>
            <w:r w:rsidRPr="00405303">
              <w:rPr>
                <w:bCs/>
                <w:color w:val="002060"/>
                <w:sz w:val="16"/>
                <w:szCs w:val="16"/>
              </w:rPr>
              <w:t>10</w:t>
            </w:r>
          </w:p>
        </w:tc>
        <w:tc>
          <w:tcPr>
            <w:tcW w:w="6858" w:type="dxa"/>
            <w:shd w:val="clear" w:color="auto" w:fill="FFFFFF"/>
          </w:tcPr>
          <w:p w14:paraId="5F3A3766" w14:textId="77777777" w:rsidR="004B4E35" w:rsidRPr="00405303" w:rsidRDefault="009E6F82" w:rsidP="00C15251">
            <w:pPr>
              <w:jc w:val="both"/>
              <w:rPr>
                <w:bCs/>
                <w:color w:val="002060"/>
                <w:sz w:val="16"/>
                <w:szCs w:val="16"/>
              </w:rPr>
            </w:pPr>
            <w:r w:rsidRPr="00405303">
              <w:rPr>
                <w:bCs/>
                <w:color w:val="002060"/>
                <w:sz w:val="16"/>
                <w:szCs w:val="16"/>
              </w:rPr>
              <w:t>выполнен к 10 сентября 1915 г.</w:t>
            </w:r>
          </w:p>
        </w:tc>
      </w:tr>
      <w:tr w:rsidR="004B4E35" w:rsidRPr="00405303" w14:paraId="176E26EE" w14:textId="77777777">
        <w:tc>
          <w:tcPr>
            <w:tcW w:w="1548" w:type="dxa"/>
            <w:shd w:val="clear" w:color="auto" w:fill="FFFFFF"/>
          </w:tcPr>
          <w:p w14:paraId="69F489AA" w14:textId="77777777" w:rsidR="004B4E35" w:rsidRPr="00405303" w:rsidRDefault="009E6F82" w:rsidP="00C15251">
            <w:pPr>
              <w:jc w:val="both"/>
              <w:rPr>
                <w:bCs/>
                <w:color w:val="002060"/>
                <w:sz w:val="16"/>
                <w:szCs w:val="16"/>
              </w:rPr>
            </w:pPr>
            <w:r w:rsidRPr="00405303">
              <w:rPr>
                <w:bCs/>
                <w:color w:val="002060"/>
                <w:sz w:val="16"/>
                <w:szCs w:val="16"/>
              </w:rPr>
              <w:t>Август 10 (23) 1915</w:t>
            </w:r>
          </w:p>
        </w:tc>
        <w:tc>
          <w:tcPr>
            <w:tcW w:w="1170" w:type="dxa"/>
            <w:shd w:val="clear" w:color="auto" w:fill="FFFFFF"/>
          </w:tcPr>
          <w:p w14:paraId="65521ED0" w14:textId="77777777" w:rsidR="004B4E35" w:rsidRPr="00405303" w:rsidRDefault="009E6F82" w:rsidP="00C15251">
            <w:pPr>
              <w:jc w:val="both"/>
              <w:rPr>
                <w:bCs/>
                <w:color w:val="002060"/>
                <w:sz w:val="16"/>
                <w:szCs w:val="16"/>
              </w:rPr>
            </w:pPr>
            <w:r w:rsidRPr="00405303">
              <w:rPr>
                <w:bCs/>
                <w:color w:val="002060"/>
                <w:sz w:val="16"/>
                <w:szCs w:val="16"/>
              </w:rPr>
              <w:t>3</w:t>
            </w:r>
          </w:p>
        </w:tc>
        <w:tc>
          <w:tcPr>
            <w:tcW w:w="6858" w:type="dxa"/>
            <w:shd w:val="clear" w:color="auto" w:fill="FFFFFF"/>
          </w:tcPr>
          <w:p w14:paraId="1A750C86" w14:textId="77777777" w:rsidR="004B4E35" w:rsidRPr="00405303" w:rsidRDefault="009E6F82" w:rsidP="00C15251">
            <w:pPr>
              <w:jc w:val="both"/>
              <w:rPr>
                <w:bCs/>
                <w:color w:val="002060"/>
                <w:sz w:val="16"/>
                <w:szCs w:val="16"/>
              </w:rPr>
            </w:pPr>
            <w:r w:rsidRPr="00405303">
              <w:rPr>
                <w:bCs/>
                <w:color w:val="002060"/>
                <w:sz w:val="16"/>
                <w:szCs w:val="16"/>
              </w:rPr>
              <w:t>выполнен к 20 июля 1915г.</w:t>
            </w:r>
          </w:p>
        </w:tc>
      </w:tr>
      <w:tr w:rsidR="004B4E35" w:rsidRPr="00405303" w14:paraId="6010CBBF" w14:textId="77777777">
        <w:tc>
          <w:tcPr>
            <w:tcW w:w="1548" w:type="dxa"/>
            <w:shd w:val="clear" w:color="auto" w:fill="FFFFFF"/>
          </w:tcPr>
          <w:p w14:paraId="77D83F6A" w14:textId="77777777" w:rsidR="004B4E35" w:rsidRPr="00405303" w:rsidRDefault="009E6F82" w:rsidP="00C15251">
            <w:pPr>
              <w:jc w:val="both"/>
              <w:rPr>
                <w:bCs/>
                <w:color w:val="002060"/>
                <w:sz w:val="16"/>
                <w:szCs w:val="16"/>
              </w:rPr>
            </w:pPr>
            <w:r w:rsidRPr="00405303">
              <w:rPr>
                <w:bCs/>
                <w:color w:val="002060"/>
                <w:sz w:val="16"/>
                <w:szCs w:val="16"/>
              </w:rPr>
              <w:t>Ноябрь 12 1915</w:t>
            </w:r>
          </w:p>
        </w:tc>
        <w:tc>
          <w:tcPr>
            <w:tcW w:w="1170" w:type="dxa"/>
            <w:shd w:val="clear" w:color="auto" w:fill="FFFFFF"/>
          </w:tcPr>
          <w:p w14:paraId="3E05C63C" w14:textId="77777777" w:rsidR="004B4E35" w:rsidRPr="00405303" w:rsidRDefault="009E6F82" w:rsidP="00C15251">
            <w:pPr>
              <w:jc w:val="both"/>
              <w:rPr>
                <w:bCs/>
                <w:color w:val="002060"/>
                <w:sz w:val="16"/>
                <w:szCs w:val="16"/>
              </w:rPr>
            </w:pPr>
            <w:r w:rsidRPr="00405303">
              <w:rPr>
                <w:bCs/>
                <w:color w:val="002060"/>
                <w:sz w:val="16"/>
                <w:szCs w:val="16"/>
              </w:rPr>
              <w:t>16</w:t>
            </w:r>
          </w:p>
        </w:tc>
        <w:tc>
          <w:tcPr>
            <w:tcW w:w="6858" w:type="dxa"/>
            <w:shd w:val="clear" w:color="auto" w:fill="FFFFFF"/>
          </w:tcPr>
          <w:p w14:paraId="7E92C808" w14:textId="77777777" w:rsidR="004B4E35" w:rsidRPr="00405303" w:rsidRDefault="009E6F82" w:rsidP="00C15251">
            <w:pPr>
              <w:jc w:val="both"/>
              <w:rPr>
                <w:bCs/>
                <w:color w:val="002060"/>
                <w:sz w:val="16"/>
                <w:szCs w:val="16"/>
              </w:rPr>
            </w:pPr>
            <w:r w:rsidRPr="00405303">
              <w:rPr>
                <w:bCs/>
                <w:color w:val="002060"/>
                <w:sz w:val="16"/>
                <w:szCs w:val="16"/>
              </w:rPr>
              <w:t>10 тыс. 500 руб. за аппарат без мотора, срок исполнения ноябрь 1915-март 1916 гг. (выполнен к 27 мая 1916 г.) ПРИМЕЧАНИЯ: аппараты с номерами 440 и 441 имели депердюссеновскую систему управления</w:t>
            </w:r>
          </w:p>
        </w:tc>
      </w:tr>
      <w:tr w:rsidR="004B4E35" w:rsidRPr="00405303" w14:paraId="1F915E23" w14:textId="77777777">
        <w:tc>
          <w:tcPr>
            <w:tcW w:w="1548" w:type="dxa"/>
            <w:shd w:val="clear" w:color="auto" w:fill="FFFFFF"/>
          </w:tcPr>
          <w:p w14:paraId="7F654D80" w14:textId="77777777" w:rsidR="004B4E35" w:rsidRPr="00405303" w:rsidRDefault="009E6F82" w:rsidP="00C15251">
            <w:pPr>
              <w:jc w:val="both"/>
              <w:rPr>
                <w:bCs/>
                <w:color w:val="002060"/>
                <w:sz w:val="16"/>
                <w:szCs w:val="16"/>
              </w:rPr>
            </w:pPr>
            <w:r w:rsidRPr="00405303">
              <w:rPr>
                <w:bCs/>
                <w:color w:val="002060"/>
                <w:sz w:val="16"/>
                <w:szCs w:val="16"/>
              </w:rPr>
              <w:t>Декабрь 21 1915</w:t>
            </w:r>
          </w:p>
        </w:tc>
        <w:tc>
          <w:tcPr>
            <w:tcW w:w="1170" w:type="dxa"/>
            <w:shd w:val="clear" w:color="auto" w:fill="FFFFFF"/>
          </w:tcPr>
          <w:p w14:paraId="6C5B3603" w14:textId="77777777" w:rsidR="004B4E35" w:rsidRPr="00405303" w:rsidRDefault="009E6F82" w:rsidP="00C15251">
            <w:pPr>
              <w:jc w:val="both"/>
              <w:rPr>
                <w:bCs/>
                <w:color w:val="002060"/>
                <w:sz w:val="16"/>
                <w:szCs w:val="16"/>
              </w:rPr>
            </w:pPr>
            <w:r w:rsidRPr="00405303">
              <w:rPr>
                <w:bCs/>
                <w:color w:val="002060"/>
                <w:sz w:val="16"/>
                <w:szCs w:val="16"/>
              </w:rPr>
              <w:t>10</w:t>
            </w:r>
          </w:p>
        </w:tc>
        <w:tc>
          <w:tcPr>
            <w:tcW w:w="6858" w:type="dxa"/>
            <w:shd w:val="clear" w:color="auto" w:fill="FFFFFF"/>
          </w:tcPr>
          <w:p w14:paraId="0233FD84" w14:textId="77777777" w:rsidR="004B4E35" w:rsidRPr="00405303" w:rsidRDefault="009E6F82" w:rsidP="00C15251">
            <w:pPr>
              <w:jc w:val="both"/>
              <w:rPr>
                <w:bCs/>
                <w:color w:val="002060"/>
                <w:sz w:val="16"/>
                <w:szCs w:val="16"/>
              </w:rPr>
            </w:pPr>
            <w:r w:rsidRPr="00405303">
              <w:rPr>
                <w:bCs/>
                <w:color w:val="002060"/>
                <w:sz w:val="16"/>
                <w:szCs w:val="16"/>
              </w:rPr>
              <w:t>10 корпусов без хвостовых оперений и мотора, но с сиденьями, по цене 4 тыс. 750 руб. за каждый</w:t>
            </w:r>
          </w:p>
        </w:tc>
      </w:tr>
      <w:tr w:rsidR="004B4E35" w:rsidRPr="00405303" w14:paraId="0BD9DFF2" w14:textId="77777777">
        <w:tc>
          <w:tcPr>
            <w:tcW w:w="1548" w:type="dxa"/>
            <w:shd w:val="clear" w:color="auto" w:fill="FFFFFF"/>
          </w:tcPr>
          <w:p w14:paraId="26D52C80" w14:textId="77777777" w:rsidR="004B4E35" w:rsidRPr="00405303" w:rsidRDefault="009E6F82" w:rsidP="00C15251">
            <w:pPr>
              <w:jc w:val="both"/>
              <w:rPr>
                <w:bCs/>
                <w:color w:val="002060"/>
                <w:sz w:val="16"/>
                <w:szCs w:val="16"/>
              </w:rPr>
            </w:pPr>
            <w:r w:rsidRPr="00405303">
              <w:rPr>
                <w:bCs/>
                <w:color w:val="002060"/>
                <w:sz w:val="16"/>
                <w:szCs w:val="16"/>
              </w:rPr>
              <w:t>Апрель 1 1916</w:t>
            </w:r>
          </w:p>
        </w:tc>
        <w:tc>
          <w:tcPr>
            <w:tcW w:w="1170" w:type="dxa"/>
            <w:shd w:val="clear" w:color="auto" w:fill="FFFFFF"/>
          </w:tcPr>
          <w:p w14:paraId="5B18F56D" w14:textId="77777777" w:rsidR="004B4E35" w:rsidRPr="00405303" w:rsidRDefault="009E6F82" w:rsidP="00C15251">
            <w:pPr>
              <w:jc w:val="both"/>
              <w:rPr>
                <w:bCs/>
                <w:color w:val="002060"/>
                <w:sz w:val="16"/>
                <w:szCs w:val="16"/>
              </w:rPr>
            </w:pPr>
            <w:r w:rsidRPr="00405303">
              <w:rPr>
                <w:bCs/>
                <w:color w:val="002060"/>
                <w:sz w:val="16"/>
                <w:szCs w:val="16"/>
              </w:rPr>
              <w:t>35</w:t>
            </w:r>
          </w:p>
        </w:tc>
        <w:tc>
          <w:tcPr>
            <w:tcW w:w="6858" w:type="dxa"/>
            <w:shd w:val="clear" w:color="auto" w:fill="FFFFFF"/>
          </w:tcPr>
          <w:p w14:paraId="678C4903" w14:textId="77777777" w:rsidR="004B4E35" w:rsidRPr="00405303" w:rsidRDefault="009E6F82" w:rsidP="00C15251">
            <w:pPr>
              <w:jc w:val="both"/>
              <w:rPr>
                <w:bCs/>
                <w:color w:val="002060"/>
                <w:sz w:val="16"/>
                <w:szCs w:val="16"/>
              </w:rPr>
            </w:pPr>
            <w:r w:rsidRPr="00405303">
              <w:rPr>
                <w:bCs/>
                <w:color w:val="002060"/>
                <w:sz w:val="16"/>
                <w:szCs w:val="16"/>
              </w:rPr>
              <w:t>выполнен к 23 сентября 1916 г.</w:t>
            </w:r>
          </w:p>
        </w:tc>
      </w:tr>
      <w:tr w:rsidR="004B4E35" w:rsidRPr="00405303" w14:paraId="4CDCC601" w14:textId="77777777">
        <w:tc>
          <w:tcPr>
            <w:tcW w:w="1548" w:type="dxa"/>
            <w:shd w:val="clear" w:color="auto" w:fill="FFFFFF"/>
          </w:tcPr>
          <w:p w14:paraId="4070F0F3" w14:textId="77777777" w:rsidR="004B4E35" w:rsidRPr="00405303" w:rsidRDefault="009E6F82" w:rsidP="00C15251">
            <w:pPr>
              <w:jc w:val="both"/>
              <w:rPr>
                <w:bCs/>
                <w:color w:val="002060"/>
                <w:sz w:val="16"/>
                <w:szCs w:val="16"/>
              </w:rPr>
            </w:pPr>
            <w:r w:rsidRPr="00405303">
              <w:rPr>
                <w:bCs/>
                <w:color w:val="002060"/>
                <w:sz w:val="16"/>
                <w:szCs w:val="16"/>
              </w:rPr>
              <w:t>Июнь 16 1916</w:t>
            </w:r>
          </w:p>
        </w:tc>
        <w:tc>
          <w:tcPr>
            <w:tcW w:w="1170" w:type="dxa"/>
            <w:shd w:val="clear" w:color="auto" w:fill="FFFFFF"/>
          </w:tcPr>
          <w:p w14:paraId="47D8704B" w14:textId="77777777" w:rsidR="004B4E35" w:rsidRPr="00405303" w:rsidRDefault="009E6F82" w:rsidP="00C15251">
            <w:pPr>
              <w:jc w:val="both"/>
              <w:rPr>
                <w:bCs/>
                <w:color w:val="002060"/>
                <w:sz w:val="16"/>
                <w:szCs w:val="16"/>
              </w:rPr>
            </w:pPr>
            <w:r w:rsidRPr="00405303">
              <w:rPr>
                <w:bCs/>
                <w:color w:val="002060"/>
                <w:sz w:val="16"/>
                <w:szCs w:val="16"/>
              </w:rPr>
              <w:t>20</w:t>
            </w:r>
          </w:p>
        </w:tc>
        <w:tc>
          <w:tcPr>
            <w:tcW w:w="6858" w:type="dxa"/>
            <w:shd w:val="clear" w:color="auto" w:fill="FFFFFF"/>
          </w:tcPr>
          <w:p w14:paraId="5558DB2A" w14:textId="77777777" w:rsidR="004B4E35" w:rsidRPr="00405303" w:rsidRDefault="009E6F82" w:rsidP="00C15251">
            <w:pPr>
              <w:jc w:val="both"/>
              <w:rPr>
                <w:bCs/>
                <w:color w:val="002060"/>
                <w:sz w:val="16"/>
                <w:szCs w:val="16"/>
              </w:rPr>
            </w:pPr>
            <w:r w:rsidRPr="00405303">
              <w:rPr>
                <w:bCs/>
                <w:color w:val="002060"/>
                <w:sz w:val="16"/>
                <w:szCs w:val="16"/>
              </w:rPr>
              <w:t>10 тыс. 500 руб. за аппарат без мотора, срок исполнения июль-август 1916 г. (выполнен к 20 мая 1917 г.)</w:t>
            </w:r>
          </w:p>
        </w:tc>
      </w:tr>
      <w:tr w:rsidR="004B4E35" w:rsidRPr="00405303" w14:paraId="44C2775F" w14:textId="77777777">
        <w:tc>
          <w:tcPr>
            <w:tcW w:w="1548" w:type="dxa"/>
            <w:shd w:val="clear" w:color="auto" w:fill="FFFFFF"/>
          </w:tcPr>
          <w:p w14:paraId="4CA4F5D8" w14:textId="77777777" w:rsidR="004B4E35" w:rsidRPr="00405303" w:rsidRDefault="009E6F82" w:rsidP="00C15251">
            <w:pPr>
              <w:jc w:val="both"/>
              <w:rPr>
                <w:bCs/>
                <w:color w:val="002060"/>
                <w:sz w:val="16"/>
                <w:szCs w:val="16"/>
              </w:rPr>
            </w:pPr>
            <w:r w:rsidRPr="00405303">
              <w:rPr>
                <w:bCs/>
                <w:color w:val="002060"/>
                <w:sz w:val="16"/>
                <w:szCs w:val="16"/>
              </w:rPr>
              <w:t xml:space="preserve">Июнь </w:t>
            </w:r>
            <w:r w:rsidRPr="00405303">
              <w:rPr>
                <w:bCs/>
                <w:i/>
                <w:color w:val="002060"/>
                <w:sz w:val="16"/>
                <w:szCs w:val="16"/>
              </w:rPr>
              <w:t xml:space="preserve">1 </w:t>
            </w:r>
            <w:r w:rsidRPr="00405303">
              <w:rPr>
                <w:bCs/>
                <w:color w:val="002060"/>
                <w:sz w:val="16"/>
                <w:szCs w:val="16"/>
              </w:rPr>
              <w:t>1916</w:t>
            </w:r>
          </w:p>
        </w:tc>
        <w:tc>
          <w:tcPr>
            <w:tcW w:w="1170" w:type="dxa"/>
            <w:shd w:val="clear" w:color="auto" w:fill="FFFFFF"/>
          </w:tcPr>
          <w:p w14:paraId="6F78455E" w14:textId="77777777" w:rsidR="004B4E35" w:rsidRPr="00405303" w:rsidRDefault="009E6F82" w:rsidP="00C15251">
            <w:pPr>
              <w:jc w:val="both"/>
              <w:rPr>
                <w:bCs/>
                <w:color w:val="002060"/>
                <w:sz w:val="16"/>
                <w:szCs w:val="16"/>
              </w:rPr>
            </w:pPr>
            <w:r w:rsidRPr="00405303">
              <w:rPr>
                <w:bCs/>
                <w:color w:val="002060"/>
                <w:sz w:val="16"/>
                <w:szCs w:val="16"/>
              </w:rPr>
              <w:t>20</w:t>
            </w:r>
          </w:p>
        </w:tc>
        <w:tc>
          <w:tcPr>
            <w:tcW w:w="6858" w:type="dxa"/>
            <w:shd w:val="clear" w:color="auto" w:fill="FFFFFF"/>
          </w:tcPr>
          <w:p w14:paraId="740A288C" w14:textId="77777777" w:rsidR="004B4E35" w:rsidRPr="00405303" w:rsidRDefault="009E6F82" w:rsidP="00C15251">
            <w:pPr>
              <w:jc w:val="both"/>
              <w:rPr>
                <w:bCs/>
                <w:color w:val="002060"/>
                <w:sz w:val="16"/>
                <w:szCs w:val="16"/>
              </w:rPr>
            </w:pPr>
            <w:r w:rsidRPr="00405303">
              <w:rPr>
                <w:bCs/>
                <w:color w:val="002060"/>
                <w:sz w:val="16"/>
                <w:szCs w:val="16"/>
              </w:rPr>
              <w:t>заказ на 20 запасных аппаратов, но затем некоторые из них все же использовались как боевые; контракт выполнен к апрелю 1917 г.</w:t>
            </w:r>
          </w:p>
        </w:tc>
      </w:tr>
      <w:tr w:rsidR="004B4E35" w:rsidRPr="00405303" w14:paraId="692B9124" w14:textId="77777777">
        <w:tc>
          <w:tcPr>
            <w:tcW w:w="1548" w:type="dxa"/>
            <w:shd w:val="clear" w:color="auto" w:fill="FFFFFF"/>
          </w:tcPr>
          <w:p w14:paraId="736A62BB" w14:textId="77777777" w:rsidR="004B4E35" w:rsidRPr="00405303" w:rsidRDefault="009E6F82" w:rsidP="00C15251">
            <w:pPr>
              <w:jc w:val="both"/>
              <w:rPr>
                <w:bCs/>
                <w:color w:val="002060"/>
                <w:sz w:val="16"/>
                <w:szCs w:val="16"/>
              </w:rPr>
            </w:pPr>
            <w:r w:rsidRPr="00405303">
              <w:rPr>
                <w:bCs/>
                <w:color w:val="002060"/>
                <w:sz w:val="16"/>
                <w:szCs w:val="16"/>
              </w:rPr>
              <w:t>Сентябрь 22 1916</w:t>
            </w:r>
          </w:p>
        </w:tc>
        <w:tc>
          <w:tcPr>
            <w:tcW w:w="1170" w:type="dxa"/>
            <w:shd w:val="clear" w:color="auto" w:fill="FFFFFF"/>
          </w:tcPr>
          <w:p w14:paraId="535A9D5D" w14:textId="77777777" w:rsidR="004B4E35" w:rsidRPr="00405303" w:rsidRDefault="009E6F82" w:rsidP="00C15251">
            <w:pPr>
              <w:jc w:val="both"/>
              <w:rPr>
                <w:bCs/>
                <w:color w:val="002060"/>
                <w:sz w:val="16"/>
                <w:szCs w:val="16"/>
              </w:rPr>
            </w:pPr>
            <w:r w:rsidRPr="00405303">
              <w:rPr>
                <w:bCs/>
                <w:color w:val="002060"/>
                <w:sz w:val="16"/>
                <w:szCs w:val="16"/>
              </w:rPr>
              <w:t>30</w:t>
            </w:r>
          </w:p>
        </w:tc>
        <w:tc>
          <w:tcPr>
            <w:tcW w:w="6858" w:type="dxa"/>
            <w:shd w:val="clear" w:color="auto" w:fill="FFFFFF"/>
          </w:tcPr>
          <w:p w14:paraId="5653D552" w14:textId="77777777" w:rsidR="004B4E35" w:rsidRPr="00405303" w:rsidRDefault="009E6F82" w:rsidP="00C15251">
            <w:pPr>
              <w:jc w:val="both"/>
              <w:rPr>
                <w:bCs/>
                <w:color w:val="002060"/>
                <w:sz w:val="16"/>
                <w:szCs w:val="16"/>
              </w:rPr>
            </w:pPr>
            <w:r w:rsidRPr="00405303">
              <w:rPr>
                <w:bCs/>
                <w:color w:val="002060"/>
                <w:sz w:val="16"/>
                <w:szCs w:val="16"/>
              </w:rPr>
              <w:t>11 тыс. руб. за аппарат без мотора; полезная нагрузкасниже-на до 275 кг; срок исполнения с 1 октября по 1 декабря 1916 г. (выполнен к концу августа 1917 г.)</w:t>
            </w:r>
          </w:p>
        </w:tc>
      </w:tr>
      <w:tr w:rsidR="004B4E35" w:rsidRPr="00405303" w14:paraId="712F9F6E" w14:textId="77777777">
        <w:tc>
          <w:tcPr>
            <w:tcW w:w="1548" w:type="dxa"/>
            <w:shd w:val="clear" w:color="auto" w:fill="FFFFFF"/>
          </w:tcPr>
          <w:p w14:paraId="476BF090" w14:textId="77777777" w:rsidR="004B4E35" w:rsidRPr="00405303" w:rsidRDefault="009E6F82" w:rsidP="00C15251">
            <w:pPr>
              <w:jc w:val="both"/>
              <w:rPr>
                <w:bCs/>
                <w:color w:val="002060"/>
                <w:sz w:val="16"/>
                <w:szCs w:val="16"/>
              </w:rPr>
            </w:pPr>
            <w:r w:rsidRPr="00405303">
              <w:rPr>
                <w:bCs/>
                <w:color w:val="002060"/>
                <w:sz w:val="16"/>
                <w:szCs w:val="16"/>
              </w:rPr>
              <w:t>Апрель 27 1917</w:t>
            </w:r>
          </w:p>
        </w:tc>
        <w:tc>
          <w:tcPr>
            <w:tcW w:w="1170" w:type="dxa"/>
            <w:shd w:val="clear" w:color="auto" w:fill="FFFFFF"/>
          </w:tcPr>
          <w:p w14:paraId="12F8A007" w14:textId="77777777" w:rsidR="004B4E35" w:rsidRPr="00405303" w:rsidRDefault="009E6F82" w:rsidP="00C15251">
            <w:pPr>
              <w:jc w:val="both"/>
              <w:rPr>
                <w:bCs/>
                <w:color w:val="002060"/>
                <w:sz w:val="16"/>
                <w:szCs w:val="16"/>
              </w:rPr>
            </w:pPr>
            <w:r w:rsidRPr="00405303">
              <w:rPr>
                <w:bCs/>
                <w:color w:val="002060"/>
                <w:sz w:val="16"/>
                <w:szCs w:val="16"/>
              </w:rPr>
              <w:t>70</w:t>
            </w:r>
          </w:p>
        </w:tc>
        <w:tc>
          <w:tcPr>
            <w:tcW w:w="6858" w:type="dxa"/>
            <w:shd w:val="clear" w:color="auto" w:fill="FFFFFF"/>
          </w:tcPr>
          <w:p w14:paraId="671FEC9B" w14:textId="77777777" w:rsidR="004B4E35" w:rsidRPr="00405303" w:rsidRDefault="009E6F82" w:rsidP="00C15251">
            <w:pPr>
              <w:jc w:val="both"/>
              <w:rPr>
                <w:bCs/>
                <w:color w:val="002060"/>
                <w:sz w:val="16"/>
                <w:szCs w:val="16"/>
              </w:rPr>
            </w:pPr>
            <w:r w:rsidRPr="00405303">
              <w:rPr>
                <w:bCs/>
                <w:color w:val="002060"/>
                <w:sz w:val="16"/>
                <w:szCs w:val="16"/>
              </w:rPr>
              <w:t>II тыс. руб. за аппарат без мотора, с уплатой 10% лицензион</w:t>
            </w:r>
            <w:r w:rsidRPr="00405303">
              <w:rPr>
                <w:bCs/>
                <w:color w:val="002060"/>
                <w:sz w:val="16"/>
                <w:szCs w:val="16"/>
              </w:rPr>
              <w:softHyphen/>
              <w:t>ной стоимости ПРТВ; аппараты под мотор «Рон» 110 л. с. или «Гном-Моносупап» 100-110 л. с.; полезная нагрузка 300 кг, скороподъемность 500 м за 5 мин., 1000 м за 10 мин., 2000 м за 30 мин., скорость 100 км/ч, запасы бензина/масла 215/21 л; срок исполнения с 1 декабря 1917 г. по 1 апреля 1918 г. (аннулирован к 2 ноября 1917 г.)</w:t>
            </w:r>
          </w:p>
          <w:p w14:paraId="4EC4DBC3" w14:textId="77777777" w:rsidR="004B4E35" w:rsidRPr="00405303" w:rsidRDefault="009E6F82" w:rsidP="00C15251">
            <w:pPr>
              <w:jc w:val="both"/>
              <w:rPr>
                <w:bCs/>
                <w:color w:val="002060"/>
                <w:sz w:val="16"/>
                <w:szCs w:val="16"/>
              </w:rPr>
            </w:pPr>
            <w:r w:rsidRPr="00405303">
              <w:rPr>
                <w:bCs/>
                <w:color w:val="002060"/>
                <w:sz w:val="16"/>
                <w:szCs w:val="16"/>
              </w:rPr>
              <w:t>ПРИМЕЧАНИЯ: условный контракт, данный компании Ф. Мельцера в Петрограде</w:t>
            </w:r>
          </w:p>
        </w:tc>
      </w:tr>
      <w:tr w:rsidR="004B4E35" w:rsidRPr="00405303" w14:paraId="482B12D5" w14:textId="77777777">
        <w:tc>
          <w:tcPr>
            <w:tcW w:w="1548" w:type="dxa"/>
            <w:shd w:val="clear" w:color="auto" w:fill="FFFFFF"/>
          </w:tcPr>
          <w:p w14:paraId="4B0425C3" w14:textId="77777777" w:rsidR="004B4E35" w:rsidRPr="00405303" w:rsidRDefault="009E6F82" w:rsidP="00C15251">
            <w:pPr>
              <w:jc w:val="both"/>
              <w:rPr>
                <w:bCs/>
                <w:color w:val="002060"/>
                <w:sz w:val="16"/>
                <w:szCs w:val="16"/>
              </w:rPr>
            </w:pPr>
            <w:r w:rsidRPr="00405303">
              <w:rPr>
                <w:bCs/>
                <w:color w:val="002060"/>
                <w:sz w:val="16"/>
                <w:szCs w:val="16"/>
              </w:rPr>
              <w:t>Апрель 29 1917</w:t>
            </w:r>
          </w:p>
        </w:tc>
        <w:tc>
          <w:tcPr>
            <w:tcW w:w="1170" w:type="dxa"/>
            <w:shd w:val="clear" w:color="auto" w:fill="FFFFFF"/>
          </w:tcPr>
          <w:p w14:paraId="79298BC5" w14:textId="77777777" w:rsidR="004B4E35" w:rsidRPr="00405303" w:rsidRDefault="009E6F82" w:rsidP="00C15251">
            <w:pPr>
              <w:jc w:val="both"/>
              <w:rPr>
                <w:bCs/>
                <w:color w:val="002060"/>
                <w:sz w:val="16"/>
                <w:szCs w:val="16"/>
              </w:rPr>
            </w:pPr>
            <w:r w:rsidRPr="00405303">
              <w:rPr>
                <w:bCs/>
                <w:color w:val="002060"/>
                <w:sz w:val="16"/>
                <w:szCs w:val="16"/>
              </w:rPr>
              <w:t>10</w:t>
            </w:r>
          </w:p>
        </w:tc>
        <w:tc>
          <w:tcPr>
            <w:tcW w:w="6858" w:type="dxa"/>
            <w:shd w:val="clear" w:color="auto" w:fill="FFFFFF"/>
          </w:tcPr>
          <w:p w14:paraId="49E3EDEA" w14:textId="77777777" w:rsidR="004B4E35" w:rsidRPr="00405303" w:rsidRDefault="009E6F82" w:rsidP="00C15251">
            <w:pPr>
              <w:jc w:val="both"/>
              <w:rPr>
                <w:bCs/>
                <w:color w:val="002060"/>
                <w:sz w:val="16"/>
                <w:szCs w:val="16"/>
              </w:rPr>
            </w:pPr>
            <w:r w:rsidRPr="00405303">
              <w:rPr>
                <w:bCs/>
                <w:color w:val="002060"/>
                <w:sz w:val="16"/>
                <w:szCs w:val="16"/>
              </w:rPr>
              <w:t>ПРИМЕЧАНИЯ: 10 запасных корпусов; выполнен к 25 мая 1917 г.; возможно, помимо корпусов поставлено и 20 запасных нижних крыльев</w:t>
            </w:r>
          </w:p>
        </w:tc>
      </w:tr>
      <w:tr w:rsidR="004B4E35" w:rsidRPr="00405303" w14:paraId="474703A8" w14:textId="77777777">
        <w:tc>
          <w:tcPr>
            <w:tcW w:w="1548" w:type="dxa"/>
            <w:shd w:val="clear" w:color="auto" w:fill="FFFFFF"/>
          </w:tcPr>
          <w:p w14:paraId="377E53A4" w14:textId="77777777" w:rsidR="004B4E35" w:rsidRPr="00405303" w:rsidRDefault="009E6F82" w:rsidP="00C15251">
            <w:pPr>
              <w:jc w:val="both"/>
              <w:rPr>
                <w:bCs/>
                <w:color w:val="002060"/>
                <w:sz w:val="16"/>
                <w:szCs w:val="16"/>
              </w:rPr>
            </w:pPr>
            <w:r w:rsidRPr="00405303">
              <w:rPr>
                <w:bCs/>
                <w:color w:val="002060"/>
                <w:sz w:val="16"/>
                <w:szCs w:val="16"/>
              </w:rPr>
              <w:t>Май 26 1917</w:t>
            </w:r>
          </w:p>
        </w:tc>
        <w:tc>
          <w:tcPr>
            <w:tcW w:w="1170" w:type="dxa"/>
            <w:shd w:val="clear" w:color="auto" w:fill="FFFFFF"/>
          </w:tcPr>
          <w:p w14:paraId="045B8164" w14:textId="77777777" w:rsidR="004B4E35" w:rsidRPr="00405303" w:rsidRDefault="009E6F82" w:rsidP="00C15251">
            <w:pPr>
              <w:jc w:val="both"/>
              <w:rPr>
                <w:bCs/>
                <w:color w:val="002060"/>
                <w:sz w:val="16"/>
                <w:szCs w:val="16"/>
              </w:rPr>
            </w:pPr>
            <w:r w:rsidRPr="00405303">
              <w:rPr>
                <w:bCs/>
                <w:color w:val="002060"/>
                <w:sz w:val="16"/>
                <w:szCs w:val="16"/>
              </w:rPr>
              <w:t>25</w:t>
            </w:r>
          </w:p>
        </w:tc>
        <w:tc>
          <w:tcPr>
            <w:tcW w:w="6858" w:type="dxa"/>
            <w:shd w:val="clear" w:color="auto" w:fill="FFFFFF"/>
          </w:tcPr>
          <w:p w14:paraId="457F7F64" w14:textId="77777777" w:rsidR="004B4E35" w:rsidRPr="00405303" w:rsidRDefault="009E6F82" w:rsidP="00C15251">
            <w:pPr>
              <w:jc w:val="both"/>
              <w:rPr>
                <w:bCs/>
                <w:color w:val="002060"/>
                <w:sz w:val="16"/>
                <w:szCs w:val="16"/>
              </w:rPr>
            </w:pPr>
            <w:r w:rsidRPr="00405303">
              <w:rPr>
                <w:bCs/>
                <w:color w:val="002060"/>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4B4E35" w:rsidRPr="00405303" w14:paraId="5732CCB7" w14:textId="77777777">
        <w:tc>
          <w:tcPr>
            <w:tcW w:w="1548" w:type="dxa"/>
            <w:shd w:val="clear" w:color="auto" w:fill="FFFFFF"/>
          </w:tcPr>
          <w:p w14:paraId="0A642631" w14:textId="77777777" w:rsidR="004B4E35" w:rsidRPr="00405303" w:rsidRDefault="009E6F82" w:rsidP="00C15251">
            <w:pPr>
              <w:jc w:val="both"/>
              <w:rPr>
                <w:bCs/>
                <w:color w:val="002060"/>
                <w:sz w:val="16"/>
                <w:szCs w:val="16"/>
              </w:rPr>
            </w:pPr>
            <w:r w:rsidRPr="00405303">
              <w:rPr>
                <w:bCs/>
                <w:color w:val="002060"/>
                <w:sz w:val="16"/>
                <w:szCs w:val="16"/>
              </w:rPr>
              <w:t>Июль 28 1917</w:t>
            </w:r>
          </w:p>
        </w:tc>
        <w:tc>
          <w:tcPr>
            <w:tcW w:w="1170" w:type="dxa"/>
            <w:shd w:val="clear" w:color="auto" w:fill="FFFFFF"/>
          </w:tcPr>
          <w:p w14:paraId="3F19D754" w14:textId="77777777" w:rsidR="004B4E35" w:rsidRPr="00405303" w:rsidRDefault="009E6F82" w:rsidP="00C15251">
            <w:pPr>
              <w:jc w:val="both"/>
              <w:rPr>
                <w:bCs/>
                <w:color w:val="002060"/>
                <w:sz w:val="16"/>
                <w:szCs w:val="16"/>
              </w:rPr>
            </w:pPr>
            <w:r w:rsidRPr="00405303">
              <w:rPr>
                <w:bCs/>
                <w:color w:val="002060"/>
                <w:sz w:val="16"/>
                <w:szCs w:val="16"/>
              </w:rPr>
              <w:t>40</w:t>
            </w:r>
          </w:p>
        </w:tc>
        <w:tc>
          <w:tcPr>
            <w:tcW w:w="6858" w:type="dxa"/>
            <w:shd w:val="clear" w:color="auto" w:fill="FFFFFF"/>
          </w:tcPr>
          <w:p w14:paraId="5D668DD3" w14:textId="77777777" w:rsidR="004B4E35" w:rsidRPr="00405303" w:rsidRDefault="009E6F82" w:rsidP="00C15251">
            <w:pPr>
              <w:jc w:val="both"/>
              <w:rPr>
                <w:bCs/>
                <w:color w:val="002060"/>
                <w:sz w:val="16"/>
                <w:szCs w:val="16"/>
              </w:rPr>
            </w:pPr>
            <w:r w:rsidRPr="00405303">
              <w:rPr>
                <w:bCs/>
                <w:color w:val="002060"/>
                <w:sz w:val="16"/>
                <w:szCs w:val="16"/>
              </w:rPr>
              <w:t>16 тыс. руб. за аппарат под мотор «Рон» 125 л.с., срок исполнения с 1 сентября 1917 г. по 1 января 1918 г. (не выполнен)</w:t>
            </w:r>
          </w:p>
          <w:p w14:paraId="425BCF76" w14:textId="77777777" w:rsidR="004B4E35" w:rsidRPr="00405303" w:rsidRDefault="009E6F82" w:rsidP="00C15251">
            <w:pPr>
              <w:jc w:val="both"/>
              <w:rPr>
                <w:bCs/>
                <w:color w:val="002060"/>
                <w:sz w:val="16"/>
                <w:szCs w:val="16"/>
              </w:rPr>
            </w:pPr>
            <w:r w:rsidRPr="00405303">
              <w:rPr>
                <w:bCs/>
                <w:color w:val="002060"/>
                <w:sz w:val="16"/>
                <w:szCs w:val="16"/>
              </w:rPr>
              <w:t>ПРИМЕЧАНИЯ: заказ дан Опытному заводу Д. П. Григоровича (см. главу 2 и раздел М-20)</w:t>
            </w:r>
          </w:p>
        </w:tc>
      </w:tr>
      <w:tr w:rsidR="004B4E35" w:rsidRPr="00405303" w14:paraId="6404593A" w14:textId="77777777">
        <w:tc>
          <w:tcPr>
            <w:tcW w:w="1548" w:type="dxa"/>
            <w:shd w:val="clear" w:color="auto" w:fill="FFFFFF"/>
          </w:tcPr>
          <w:p w14:paraId="52E46311" w14:textId="77777777" w:rsidR="004B4E35" w:rsidRPr="00405303" w:rsidRDefault="009E6F82" w:rsidP="00C15251">
            <w:pPr>
              <w:jc w:val="both"/>
              <w:rPr>
                <w:bCs/>
                <w:color w:val="002060"/>
                <w:sz w:val="16"/>
                <w:szCs w:val="16"/>
              </w:rPr>
            </w:pPr>
            <w:r w:rsidRPr="00405303">
              <w:rPr>
                <w:bCs/>
                <w:color w:val="002060"/>
                <w:sz w:val="16"/>
                <w:szCs w:val="16"/>
              </w:rPr>
              <w:t>Август 31 1917</w:t>
            </w:r>
          </w:p>
        </w:tc>
        <w:tc>
          <w:tcPr>
            <w:tcW w:w="1170" w:type="dxa"/>
            <w:shd w:val="clear" w:color="auto" w:fill="FFFFFF"/>
          </w:tcPr>
          <w:p w14:paraId="1EB9742C" w14:textId="77777777" w:rsidR="004B4E35" w:rsidRPr="00405303" w:rsidRDefault="009E6F82" w:rsidP="00C15251">
            <w:pPr>
              <w:jc w:val="both"/>
              <w:rPr>
                <w:bCs/>
                <w:color w:val="002060"/>
                <w:sz w:val="16"/>
                <w:szCs w:val="16"/>
              </w:rPr>
            </w:pPr>
            <w:r w:rsidRPr="00405303">
              <w:rPr>
                <w:bCs/>
                <w:color w:val="002060"/>
                <w:sz w:val="16"/>
                <w:szCs w:val="16"/>
              </w:rPr>
              <w:t>4</w:t>
            </w:r>
          </w:p>
        </w:tc>
        <w:tc>
          <w:tcPr>
            <w:tcW w:w="6858" w:type="dxa"/>
            <w:shd w:val="clear" w:color="auto" w:fill="FFFFFF"/>
          </w:tcPr>
          <w:p w14:paraId="4BAA6C2A" w14:textId="77777777" w:rsidR="004B4E35" w:rsidRPr="00405303" w:rsidRDefault="009E6F82" w:rsidP="00C15251">
            <w:pPr>
              <w:jc w:val="both"/>
              <w:rPr>
                <w:bCs/>
                <w:color w:val="002060"/>
                <w:sz w:val="16"/>
                <w:szCs w:val="16"/>
              </w:rPr>
            </w:pPr>
            <w:r w:rsidRPr="00405303">
              <w:rPr>
                <w:bCs/>
                <w:color w:val="002060"/>
                <w:sz w:val="16"/>
                <w:szCs w:val="16"/>
              </w:rPr>
              <w:t>контракт на ранее приобретенные аппараты (2807)</w:t>
            </w:r>
          </w:p>
        </w:tc>
      </w:tr>
    </w:tbl>
    <w:p w14:paraId="15DFFB56" w14:textId="77777777" w:rsidR="004B4E35" w:rsidRPr="00405303" w:rsidRDefault="004B4E35" w:rsidP="00C15251">
      <w:pPr>
        <w:shd w:val="clear" w:color="auto" w:fill="FFFFFF"/>
        <w:jc w:val="both"/>
        <w:rPr>
          <w:bCs/>
          <w:color w:val="002060"/>
          <w:sz w:val="16"/>
          <w:szCs w:val="16"/>
        </w:rPr>
      </w:pPr>
    </w:p>
    <w:p w14:paraId="4CB9CFF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 (23) августа 1915 Циркуляром № 8325 Заведующего авиацией в деиствующей армии предложено командирам авиационных рот и начальникам авиационных отрядов войти "безотлагательно с ходатайством о производстве в прапорщики летчиков-</w:t>
      </w:r>
      <w:proofErr w:type="gramStart"/>
      <w:r w:rsidRPr="00405303">
        <w:rPr>
          <w:bCs/>
          <w:color w:val="002060"/>
          <w:sz w:val="16"/>
          <w:szCs w:val="16"/>
        </w:rPr>
        <w:t>солдат,работающих</w:t>
      </w:r>
      <w:proofErr w:type="gramEnd"/>
      <w:r w:rsidRPr="00405303">
        <w:rPr>
          <w:bCs/>
          <w:color w:val="002060"/>
          <w:sz w:val="16"/>
          <w:szCs w:val="16"/>
        </w:rPr>
        <w:t xml:space="preserve"> с начала войны и имеющих по нескольку боевых наград» если за ними не чис</w:t>
      </w:r>
      <w:r w:rsidRPr="00405303">
        <w:rPr>
          <w:bCs/>
          <w:color w:val="002060"/>
          <w:sz w:val="16"/>
          <w:szCs w:val="16"/>
        </w:rPr>
        <w:softHyphen/>
        <w:t>лится каких-либо проступков, исключающих возможность допущения их к офицерскому званию". В октябре 1916 года действие этого циркуляра было распространено и на летчиков-солдат, выполнявших не менее 50 часов боевых полетов, "показавших себя храбрыми, самоотверженными и усердными работниками".</w:t>
      </w:r>
    </w:p>
    <w:p w14:paraId="0F6CC3CD" w14:textId="77777777" w:rsidR="004B4E35" w:rsidRPr="00405303" w:rsidRDefault="004B4E35" w:rsidP="00C15251">
      <w:pPr>
        <w:shd w:val="clear" w:color="auto" w:fill="FFFFFF"/>
        <w:jc w:val="both"/>
        <w:rPr>
          <w:bCs/>
          <w:color w:val="002060"/>
          <w:sz w:val="16"/>
          <w:szCs w:val="16"/>
        </w:rPr>
      </w:pPr>
    </w:p>
    <w:p w14:paraId="4AB44887" w14:textId="10361839" w:rsidR="0004080B" w:rsidRPr="00405303" w:rsidRDefault="0004080B" w:rsidP="00C15251">
      <w:pPr>
        <w:jc w:val="both"/>
        <w:rPr>
          <w:bCs/>
          <w:i/>
          <w:color w:val="002060"/>
          <w:sz w:val="16"/>
          <w:szCs w:val="16"/>
        </w:rPr>
      </w:pPr>
      <w:r w:rsidRPr="00405303">
        <w:rPr>
          <w:bCs/>
          <w:i/>
          <w:color w:val="002060"/>
          <w:sz w:val="16"/>
          <w:szCs w:val="16"/>
        </w:rPr>
        <w:t>Другие оборонные отрасли:</w:t>
      </w:r>
    </w:p>
    <w:p w14:paraId="014F4F65" w14:textId="77777777" w:rsidR="0004080B" w:rsidRPr="00405303" w:rsidRDefault="0004080B" w:rsidP="00C15251">
      <w:pPr>
        <w:jc w:val="both"/>
        <w:rPr>
          <w:bCs/>
          <w:i/>
          <w:color w:val="002060"/>
          <w:sz w:val="16"/>
          <w:szCs w:val="16"/>
        </w:rPr>
      </w:pPr>
    </w:p>
    <w:p w14:paraId="3AB0871E" w14:textId="0853A41D" w:rsidR="0004080B" w:rsidRPr="00405303" w:rsidRDefault="0004080B" w:rsidP="00C15251">
      <w:pPr>
        <w:pStyle w:val="af3"/>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10</w:t>
      </w:r>
      <w:r w:rsidR="00DB4D64" w:rsidRPr="00405303">
        <w:rPr>
          <w:rFonts w:ascii="Times New Roman" w:hAnsi="Times New Roman" w:cs="Times New Roman"/>
          <w:bCs/>
          <w:color w:val="002060"/>
          <w:sz w:val="16"/>
          <w:szCs w:val="16"/>
        </w:rPr>
        <w:t xml:space="preserve"> </w:t>
      </w:r>
      <w:r w:rsidRPr="00405303">
        <w:rPr>
          <w:rFonts w:ascii="Times New Roman" w:hAnsi="Times New Roman" w:cs="Times New Roman"/>
          <w:bCs/>
          <w:color w:val="002060"/>
          <w:sz w:val="16"/>
          <w:szCs w:val="16"/>
        </w:rPr>
        <w:t>(23) августа 1915 года было создано Особое совещание по</w:t>
      </w:r>
      <w:r w:rsidR="00DB4D64" w:rsidRPr="00405303">
        <w:rPr>
          <w:rFonts w:ascii="Times New Roman" w:hAnsi="Times New Roman" w:cs="Times New Roman"/>
          <w:bCs/>
          <w:color w:val="002060"/>
          <w:sz w:val="16"/>
          <w:szCs w:val="16"/>
        </w:rPr>
        <w:t xml:space="preserve"> </w:t>
      </w:r>
      <w:r w:rsidRPr="00405303">
        <w:rPr>
          <w:rFonts w:ascii="Times New Roman" w:hAnsi="Times New Roman" w:cs="Times New Roman"/>
          <w:bCs/>
          <w:color w:val="002060"/>
          <w:sz w:val="16"/>
          <w:szCs w:val="16"/>
        </w:rPr>
        <w:t>обороне, принявшее от</w:t>
      </w:r>
      <w:r w:rsidR="00DB4D64" w:rsidRPr="00405303">
        <w:rPr>
          <w:rFonts w:ascii="Times New Roman" w:hAnsi="Times New Roman" w:cs="Times New Roman"/>
          <w:bCs/>
          <w:color w:val="002060"/>
          <w:sz w:val="16"/>
          <w:szCs w:val="16"/>
        </w:rPr>
        <w:t xml:space="preserve"> </w:t>
      </w:r>
      <w:r w:rsidRPr="00405303">
        <w:rPr>
          <w:rFonts w:ascii="Times New Roman" w:hAnsi="Times New Roman" w:cs="Times New Roman"/>
          <w:bCs/>
          <w:color w:val="002060"/>
          <w:sz w:val="16"/>
          <w:szCs w:val="16"/>
        </w:rPr>
        <w:t>военного министерства ответственность за</w:t>
      </w:r>
      <w:r w:rsidR="00DB4D64" w:rsidRPr="00405303">
        <w:rPr>
          <w:rFonts w:ascii="Times New Roman" w:hAnsi="Times New Roman" w:cs="Times New Roman"/>
          <w:bCs/>
          <w:color w:val="002060"/>
          <w:sz w:val="16"/>
          <w:szCs w:val="16"/>
        </w:rPr>
        <w:t xml:space="preserve"> </w:t>
      </w:r>
      <w:r w:rsidRPr="00405303">
        <w:rPr>
          <w:rFonts w:ascii="Times New Roman" w:hAnsi="Times New Roman" w:cs="Times New Roman"/>
          <w:bCs/>
          <w:color w:val="002060"/>
          <w:sz w:val="16"/>
          <w:szCs w:val="16"/>
        </w:rPr>
        <w:t>производство вооружения. Помимо чиновников и</w:t>
      </w:r>
      <w:r w:rsidR="00DB4D64" w:rsidRPr="00405303">
        <w:rPr>
          <w:rFonts w:ascii="Times New Roman" w:hAnsi="Times New Roman" w:cs="Times New Roman"/>
          <w:bCs/>
          <w:color w:val="002060"/>
          <w:sz w:val="16"/>
          <w:szCs w:val="16"/>
        </w:rPr>
        <w:t xml:space="preserve"> </w:t>
      </w:r>
      <w:r w:rsidRPr="00405303">
        <w:rPr>
          <w:rFonts w:ascii="Times New Roman" w:hAnsi="Times New Roman" w:cs="Times New Roman"/>
          <w:bCs/>
          <w:color w:val="002060"/>
          <w:sz w:val="16"/>
          <w:szCs w:val="16"/>
        </w:rPr>
        <w:t>генералитета в</w:t>
      </w:r>
      <w:r w:rsidR="00DB4D64" w:rsidRPr="00405303">
        <w:rPr>
          <w:rFonts w:ascii="Times New Roman" w:hAnsi="Times New Roman" w:cs="Times New Roman"/>
          <w:bCs/>
          <w:color w:val="002060"/>
          <w:sz w:val="16"/>
          <w:szCs w:val="16"/>
        </w:rPr>
        <w:t xml:space="preserve"> </w:t>
      </w:r>
      <w:r w:rsidRPr="00405303">
        <w:rPr>
          <w:rFonts w:ascii="Times New Roman" w:hAnsi="Times New Roman" w:cs="Times New Roman"/>
          <w:bCs/>
          <w:color w:val="002060"/>
          <w:sz w:val="16"/>
          <w:szCs w:val="16"/>
        </w:rPr>
        <w:t>него входили общественные деятели и</w:t>
      </w:r>
      <w:r w:rsidR="00DB4D64" w:rsidRPr="00405303">
        <w:rPr>
          <w:rFonts w:ascii="Times New Roman" w:hAnsi="Times New Roman" w:cs="Times New Roman"/>
          <w:bCs/>
          <w:color w:val="002060"/>
          <w:sz w:val="16"/>
          <w:szCs w:val="16"/>
        </w:rPr>
        <w:t xml:space="preserve"> </w:t>
      </w:r>
      <w:r w:rsidRPr="00405303">
        <w:rPr>
          <w:rFonts w:ascii="Times New Roman" w:hAnsi="Times New Roman" w:cs="Times New Roman"/>
          <w:bCs/>
          <w:color w:val="002060"/>
          <w:sz w:val="16"/>
          <w:szCs w:val="16"/>
        </w:rPr>
        <w:t>промышленники. Председатель Особого совещания по</w:t>
      </w:r>
      <w:r w:rsidR="00DB4D64" w:rsidRPr="00405303">
        <w:rPr>
          <w:rFonts w:ascii="Times New Roman" w:hAnsi="Times New Roman" w:cs="Times New Roman"/>
          <w:bCs/>
          <w:color w:val="002060"/>
          <w:sz w:val="16"/>
          <w:szCs w:val="16"/>
        </w:rPr>
        <w:t xml:space="preserve"> </w:t>
      </w:r>
      <w:r w:rsidRPr="00405303">
        <w:rPr>
          <w:rFonts w:ascii="Times New Roman" w:hAnsi="Times New Roman" w:cs="Times New Roman"/>
          <w:bCs/>
          <w:color w:val="002060"/>
          <w:sz w:val="16"/>
          <w:szCs w:val="16"/>
        </w:rPr>
        <w:t>обороне военный министр А. А. Поливанов был</w:t>
      </w:r>
      <w:r w:rsidR="00DB4D64" w:rsidRPr="00405303">
        <w:rPr>
          <w:rFonts w:ascii="Times New Roman" w:hAnsi="Times New Roman" w:cs="Times New Roman"/>
          <w:bCs/>
          <w:color w:val="002060"/>
          <w:sz w:val="16"/>
          <w:szCs w:val="16"/>
        </w:rPr>
        <w:t xml:space="preserve"> </w:t>
      </w:r>
      <w:r w:rsidRPr="00405303">
        <w:rPr>
          <w:rFonts w:ascii="Times New Roman" w:hAnsi="Times New Roman" w:cs="Times New Roman"/>
          <w:bCs/>
          <w:color w:val="002060"/>
          <w:sz w:val="16"/>
          <w:szCs w:val="16"/>
        </w:rPr>
        <w:t>наделен широкими, почти диктаторскими полномочиями в</w:t>
      </w:r>
      <w:r w:rsidR="00DB4D64" w:rsidRPr="00405303">
        <w:rPr>
          <w:rFonts w:ascii="Times New Roman" w:hAnsi="Times New Roman" w:cs="Times New Roman"/>
          <w:bCs/>
          <w:color w:val="002060"/>
          <w:sz w:val="16"/>
          <w:szCs w:val="16"/>
        </w:rPr>
        <w:t xml:space="preserve"> </w:t>
      </w:r>
      <w:r w:rsidRPr="00405303">
        <w:rPr>
          <w:rFonts w:ascii="Times New Roman" w:hAnsi="Times New Roman" w:cs="Times New Roman"/>
          <w:bCs/>
          <w:color w:val="002060"/>
          <w:sz w:val="16"/>
          <w:szCs w:val="16"/>
        </w:rPr>
        <w:t>вопросах организации военной экономики. Стали создаваться местные органы Особого совещания по</w:t>
      </w:r>
      <w:r w:rsidR="00DB4D64" w:rsidRPr="00405303">
        <w:rPr>
          <w:rFonts w:ascii="Times New Roman" w:hAnsi="Times New Roman" w:cs="Times New Roman"/>
          <w:bCs/>
          <w:color w:val="002060"/>
          <w:sz w:val="16"/>
          <w:szCs w:val="16"/>
        </w:rPr>
        <w:t xml:space="preserve"> </w:t>
      </w:r>
      <w:r w:rsidRPr="00405303">
        <w:rPr>
          <w:rFonts w:ascii="Times New Roman" w:hAnsi="Times New Roman" w:cs="Times New Roman"/>
          <w:bCs/>
          <w:color w:val="002060"/>
          <w:sz w:val="16"/>
          <w:szCs w:val="16"/>
        </w:rPr>
        <w:t>обороне</w:t>
      </w:r>
      <w:r w:rsidR="00DB4D64" w:rsidRPr="00405303">
        <w:rPr>
          <w:rFonts w:ascii="Times New Roman" w:hAnsi="Times New Roman" w:cs="Times New Roman"/>
          <w:bCs/>
          <w:color w:val="002060"/>
          <w:sz w:val="16"/>
          <w:szCs w:val="16"/>
        </w:rPr>
        <w:t xml:space="preserve"> </w:t>
      </w:r>
      <w:r w:rsidRPr="00405303">
        <w:rPr>
          <w:rFonts w:ascii="Times New Roman" w:hAnsi="Times New Roman" w:cs="Times New Roman"/>
          <w:bCs/>
          <w:color w:val="002060"/>
          <w:sz w:val="16"/>
          <w:szCs w:val="16"/>
        </w:rPr>
        <w:t>— заводские совещания, по</w:t>
      </w:r>
      <w:r w:rsidR="00DB4D64" w:rsidRPr="00405303">
        <w:rPr>
          <w:rFonts w:ascii="Times New Roman" w:hAnsi="Times New Roman" w:cs="Times New Roman"/>
          <w:bCs/>
          <w:color w:val="002060"/>
          <w:sz w:val="16"/>
          <w:szCs w:val="16"/>
        </w:rPr>
        <w:t xml:space="preserve"> </w:t>
      </w:r>
      <w:r w:rsidRPr="00405303">
        <w:rPr>
          <w:rFonts w:ascii="Times New Roman" w:hAnsi="Times New Roman" w:cs="Times New Roman"/>
          <w:bCs/>
          <w:color w:val="002060"/>
          <w:sz w:val="16"/>
          <w:szCs w:val="16"/>
        </w:rPr>
        <w:t>одному на</w:t>
      </w:r>
      <w:r w:rsidR="00DB4D64" w:rsidRPr="00405303">
        <w:rPr>
          <w:rFonts w:ascii="Times New Roman" w:hAnsi="Times New Roman" w:cs="Times New Roman"/>
          <w:bCs/>
          <w:color w:val="002060"/>
          <w:sz w:val="16"/>
          <w:szCs w:val="16"/>
        </w:rPr>
        <w:t xml:space="preserve"> </w:t>
      </w:r>
      <w:r w:rsidRPr="00405303">
        <w:rPr>
          <w:rFonts w:ascii="Times New Roman" w:hAnsi="Times New Roman" w:cs="Times New Roman"/>
          <w:bCs/>
          <w:color w:val="002060"/>
          <w:sz w:val="16"/>
          <w:szCs w:val="16"/>
        </w:rPr>
        <w:t>несколько губерний. Правительство также создало особые совещания под</w:t>
      </w:r>
      <w:r w:rsidR="00DB4D64" w:rsidRPr="00405303">
        <w:rPr>
          <w:rFonts w:ascii="Times New Roman" w:hAnsi="Times New Roman" w:cs="Times New Roman"/>
          <w:bCs/>
          <w:color w:val="002060"/>
          <w:sz w:val="16"/>
          <w:szCs w:val="16"/>
        </w:rPr>
        <w:t xml:space="preserve"> </w:t>
      </w:r>
      <w:r w:rsidRPr="00405303">
        <w:rPr>
          <w:rFonts w:ascii="Times New Roman" w:hAnsi="Times New Roman" w:cs="Times New Roman"/>
          <w:bCs/>
          <w:color w:val="002060"/>
          <w:sz w:val="16"/>
          <w:szCs w:val="16"/>
        </w:rPr>
        <w:t>председательством отдельных отраслевых министров, подотчетных только царю (20068).</w:t>
      </w:r>
    </w:p>
    <w:p w14:paraId="213C5FC5" w14:textId="77777777" w:rsidR="0004080B" w:rsidRPr="00405303" w:rsidRDefault="0004080B" w:rsidP="00C15251">
      <w:pPr>
        <w:jc w:val="both"/>
        <w:rPr>
          <w:bCs/>
          <w:color w:val="002060"/>
          <w:sz w:val="16"/>
          <w:szCs w:val="16"/>
        </w:rPr>
      </w:pPr>
    </w:p>
    <w:p w14:paraId="5C84AD3C" w14:textId="46EEC076" w:rsidR="004126B0" w:rsidRPr="00405303" w:rsidRDefault="004126B0" w:rsidP="00C15251">
      <w:pPr>
        <w:jc w:val="both"/>
        <w:rPr>
          <w:bCs/>
          <w:i/>
          <w:color w:val="002060"/>
          <w:sz w:val="16"/>
          <w:szCs w:val="16"/>
        </w:rPr>
      </w:pPr>
      <w:r w:rsidRPr="00405303">
        <w:rPr>
          <w:bCs/>
          <w:i/>
          <w:color w:val="002060"/>
          <w:sz w:val="16"/>
          <w:szCs w:val="16"/>
        </w:rPr>
        <w:t>Авиация:</w:t>
      </w:r>
    </w:p>
    <w:p w14:paraId="68F6B91A" w14:textId="77777777" w:rsidR="004126B0" w:rsidRPr="00405303" w:rsidRDefault="004126B0" w:rsidP="00C15251">
      <w:pPr>
        <w:jc w:val="both"/>
        <w:rPr>
          <w:bCs/>
          <w:i/>
          <w:color w:val="002060"/>
          <w:sz w:val="16"/>
          <w:szCs w:val="16"/>
        </w:rPr>
      </w:pPr>
    </w:p>
    <w:p w14:paraId="30EDA91F" w14:textId="5467EE5B" w:rsidR="004126B0" w:rsidRPr="00405303" w:rsidRDefault="004126B0" w:rsidP="00C15251">
      <w:pPr>
        <w:jc w:val="both"/>
        <w:rPr>
          <w:bCs/>
          <w:color w:val="002060"/>
          <w:sz w:val="16"/>
          <w:szCs w:val="16"/>
        </w:rPr>
      </w:pPr>
      <w:r w:rsidRPr="00405303">
        <w:rPr>
          <w:bCs/>
          <w:color w:val="002060"/>
          <w:sz w:val="16"/>
          <w:szCs w:val="16"/>
        </w:rPr>
        <w:t>10 (23) августа 1915 г. циркуляром Заведующего авиацией в действующей армии № 8325 предложено командирам авиационных рот и начальникам авиационных отрядов войти "безотлагательно с ходатайством о производстве в прапорщики летчиков-солдат, работающих с начала войны и име</w:t>
      </w:r>
      <w:r w:rsidRPr="00405303">
        <w:rPr>
          <w:bCs/>
          <w:color w:val="002060"/>
          <w:sz w:val="16"/>
          <w:szCs w:val="16"/>
        </w:rPr>
        <w:softHyphen/>
        <w:t>ющих несколько боевых наград,</w:t>
      </w:r>
      <w:r w:rsidR="000F5756">
        <w:rPr>
          <w:bCs/>
          <w:color w:val="002060"/>
          <w:sz w:val="16"/>
          <w:szCs w:val="16"/>
        </w:rPr>
        <w:t xml:space="preserve"> </w:t>
      </w:r>
      <w:r w:rsidRPr="00405303">
        <w:rPr>
          <w:bCs/>
          <w:color w:val="002060"/>
          <w:sz w:val="16"/>
          <w:szCs w:val="16"/>
        </w:rPr>
        <w:t>если за ними не числится каких-либо проступков, исключающих возможность допущения их к офицерскому званию". В октябре 1916 года действие этого циркуляра было рас</w:t>
      </w:r>
      <w:r w:rsidRPr="00405303">
        <w:rPr>
          <w:bCs/>
          <w:color w:val="002060"/>
          <w:sz w:val="16"/>
          <w:szCs w:val="16"/>
        </w:rPr>
        <w:softHyphen/>
        <w:t>пространено и на летчиков-солдат, выполнивших не менее 50 часов боевых полетов, "показавших себя храбрыми, самоотверженными и усердными работниками" (23320).</w:t>
      </w:r>
    </w:p>
    <w:p w14:paraId="287DD963" w14:textId="77777777" w:rsidR="004126B0" w:rsidRPr="00405303" w:rsidRDefault="004126B0" w:rsidP="00C15251">
      <w:pPr>
        <w:jc w:val="both"/>
        <w:rPr>
          <w:bCs/>
          <w:color w:val="002060"/>
          <w:sz w:val="16"/>
          <w:szCs w:val="16"/>
        </w:rPr>
      </w:pPr>
    </w:p>
    <w:p w14:paraId="4898CD5E" w14:textId="77777777" w:rsidR="00DD43E9" w:rsidRPr="00405303" w:rsidRDefault="00DD43E9" w:rsidP="00DD43E9">
      <w:pPr>
        <w:jc w:val="both"/>
        <w:rPr>
          <w:color w:val="0070C0"/>
          <w:sz w:val="16"/>
          <w:szCs w:val="16"/>
        </w:rPr>
      </w:pPr>
      <w:r w:rsidRPr="00405303">
        <w:rPr>
          <w:rStyle w:val="aa"/>
          <w:rFonts w:ascii="Times New Roman" w:hAnsi="Times New Roman"/>
          <w:color w:val="0070C0"/>
          <w:spacing w:val="0"/>
          <w:sz w:val="16"/>
          <w:szCs w:val="16"/>
        </w:rPr>
        <w:lastRenderedPageBreak/>
        <w:t xml:space="preserve">10 (23) августа 1915 г. налет на город Брест-Литовск совершил цеппелин </w:t>
      </w:r>
      <w:r w:rsidRPr="00405303">
        <w:rPr>
          <w:rStyle w:val="aa"/>
          <w:rFonts w:ascii="Times New Roman" w:hAnsi="Times New Roman"/>
          <w:color w:val="0070C0"/>
          <w:spacing w:val="0"/>
          <w:sz w:val="16"/>
          <w:szCs w:val="16"/>
          <w:lang w:val="en-US"/>
        </w:rPr>
        <w:t>LZ</w:t>
      </w:r>
      <w:r w:rsidRPr="00405303">
        <w:rPr>
          <w:rStyle w:val="aa"/>
          <w:rFonts w:ascii="Times New Roman" w:hAnsi="Times New Roman"/>
          <w:color w:val="0070C0"/>
          <w:spacing w:val="0"/>
          <w:sz w:val="16"/>
          <w:szCs w:val="16"/>
        </w:rPr>
        <w:t>-79, разрушив при бомбометании железнодорожную станцию и три жилых дом</w:t>
      </w:r>
      <w:hyperlink w:anchor="bookmark1308" w:tooltip="Current Document">
        <w:r w:rsidRPr="00405303">
          <w:rPr>
            <w:rStyle w:val="aa"/>
            <w:rFonts w:ascii="Times New Roman" w:hAnsi="Times New Roman"/>
            <w:color w:val="0070C0"/>
            <w:spacing w:val="0"/>
            <w:sz w:val="16"/>
            <w:szCs w:val="16"/>
          </w:rPr>
          <w:t>а</w:t>
        </w:r>
      </w:hyperlink>
      <w:r w:rsidRPr="00405303">
        <w:rPr>
          <w:rStyle w:val="aa"/>
          <w:rFonts w:ascii="Times New Roman" w:hAnsi="Times New Roman"/>
          <w:color w:val="0070C0"/>
          <w:spacing w:val="0"/>
          <w:sz w:val="16"/>
          <w:szCs w:val="16"/>
        </w:rPr>
        <w:t>. Сохранились воспоминания об этом налете одного из членов экипажа дирижабля: «В этот момент ярко освещенные ж.-д. сооружения Брест- Литовска были под нами, в городе горели скудные огни. У русских была полная тишина. „Вниз – легкую бомбу!“ Блеск ее взрыва ярко выделился на фоне местного освещения, удар пришелся верно. Затем одна за другой были сброшены 12 бомб по 100 кг каждая. Глухое сотрясение корабля свидетельствовало о том, что они взорвались. Огни на земле потухли, и заработали прожекторы; русские искали нас: ими был открыт огонь, слабый и недействительный» (25135).</w:t>
      </w:r>
    </w:p>
    <w:p w14:paraId="290B6FCF" w14:textId="77777777" w:rsidR="00DD43E9" w:rsidRPr="00405303" w:rsidRDefault="00DD43E9" w:rsidP="00DD43E9">
      <w:pPr>
        <w:jc w:val="both"/>
        <w:rPr>
          <w:color w:val="0070C0"/>
          <w:sz w:val="16"/>
          <w:szCs w:val="16"/>
        </w:rPr>
      </w:pPr>
    </w:p>
    <w:p w14:paraId="514FAC60" w14:textId="77777777" w:rsidR="00964D50" w:rsidRPr="00405303" w:rsidRDefault="00964D50" w:rsidP="00C15251">
      <w:pPr>
        <w:jc w:val="both"/>
        <w:rPr>
          <w:bCs/>
          <w:i/>
          <w:color w:val="002060"/>
          <w:sz w:val="16"/>
          <w:szCs w:val="16"/>
        </w:rPr>
      </w:pPr>
      <w:r w:rsidRPr="00405303">
        <w:rPr>
          <w:bCs/>
          <w:i/>
          <w:color w:val="002060"/>
          <w:sz w:val="16"/>
          <w:szCs w:val="16"/>
        </w:rPr>
        <w:t>Армия:</w:t>
      </w:r>
    </w:p>
    <w:p w14:paraId="7894B7F6" w14:textId="77777777" w:rsidR="00964D50" w:rsidRPr="00405303" w:rsidRDefault="00964D50" w:rsidP="00C15251">
      <w:pPr>
        <w:jc w:val="both"/>
        <w:rPr>
          <w:bCs/>
          <w:i/>
          <w:color w:val="002060"/>
          <w:sz w:val="16"/>
          <w:szCs w:val="16"/>
        </w:rPr>
      </w:pPr>
    </w:p>
    <w:p w14:paraId="7C625771" w14:textId="22110121" w:rsidR="00964D50" w:rsidRPr="00405303" w:rsidRDefault="00964D50" w:rsidP="00C15251">
      <w:pPr>
        <w:jc w:val="both"/>
        <w:rPr>
          <w:bCs/>
          <w:color w:val="002060"/>
          <w:sz w:val="16"/>
          <w:szCs w:val="16"/>
        </w:rPr>
      </w:pPr>
      <w:r w:rsidRPr="00405303">
        <w:rPr>
          <w:bCs/>
          <w:color w:val="002060"/>
          <w:sz w:val="16"/>
          <w:szCs w:val="16"/>
        </w:rPr>
        <w:t xml:space="preserve">10 </w:t>
      </w:r>
      <w:r w:rsidR="00C93DD1" w:rsidRPr="00405303">
        <w:rPr>
          <w:bCs/>
          <w:color w:val="002060"/>
          <w:sz w:val="16"/>
          <w:szCs w:val="16"/>
        </w:rPr>
        <w:t xml:space="preserve">(23) </w:t>
      </w:r>
      <w:r w:rsidRPr="00405303">
        <w:rPr>
          <w:bCs/>
          <w:color w:val="002060"/>
          <w:sz w:val="16"/>
          <w:szCs w:val="16"/>
        </w:rPr>
        <w:t>августа в 1915 году немецкие войска осадили русскую крепость Новогеоргиевск (к северу от Варшавы) (14979).</w:t>
      </w:r>
    </w:p>
    <w:p w14:paraId="63C18CA6" w14:textId="77777777" w:rsidR="00964D50" w:rsidRPr="00405303" w:rsidRDefault="00964D50" w:rsidP="00C15251">
      <w:pPr>
        <w:jc w:val="both"/>
        <w:rPr>
          <w:bCs/>
          <w:color w:val="002060"/>
          <w:sz w:val="16"/>
          <w:szCs w:val="16"/>
        </w:rPr>
      </w:pPr>
    </w:p>
    <w:p w14:paraId="133DAD3A" w14:textId="3408F21B" w:rsidR="00964D50" w:rsidRPr="00405303" w:rsidRDefault="00964D50" w:rsidP="00C15251">
      <w:pPr>
        <w:jc w:val="both"/>
        <w:rPr>
          <w:bCs/>
          <w:color w:val="002060"/>
          <w:sz w:val="16"/>
          <w:szCs w:val="16"/>
        </w:rPr>
      </w:pPr>
      <w:r w:rsidRPr="00405303">
        <w:rPr>
          <w:bCs/>
          <w:color w:val="002060"/>
          <w:sz w:val="16"/>
          <w:szCs w:val="16"/>
        </w:rPr>
        <w:t xml:space="preserve">10 </w:t>
      </w:r>
      <w:r w:rsidR="00C93DD1" w:rsidRPr="00405303">
        <w:rPr>
          <w:bCs/>
          <w:color w:val="002060"/>
          <w:sz w:val="16"/>
          <w:szCs w:val="16"/>
        </w:rPr>
        <w:t xml:space="preserve">(23) </w:t>
      </w:r>
      <w:r w:rsidRPr="00405303">
        <w:rPr>
          <w:bCs/>
          <w:color w:val="002060"/>
          <w:sz w:val="16"/>
          <w:szCs w:val="16"/>
        </w:rPr>
        <w:t>августа в 1915 году немецкий флот заминировал воды возле Риги (14979).</w:t>
      </w:r>
    </w:p>
    <w:p w14:paraId="402B3348" w14:textId="77777777" w:rsidR="00964D50" w:rsidRPr="00405303" w:rsidRDefault="00964D50" w:rsidP="00C15251">
      <w:pPr>
        <w:jc w:val="both"/>
        <w:rPr>
          <w:bCs/>
          <w:color w:val="002060"/>
          <w:sz w:val="16"/>
          <w:szCs w:val="16"/>
        </w:rPr>
      </w:pPr>
    </w:p>
    <w:p w14:paraId="107505AD" w14:textId="792E2CA8" w:rsidR="00244ED3" w:rsidRPr="00405303" w:rsidRDefault="00244ED3" w:rsidP="00C15251">
      <w:pPr>
        <w:jc w:val="both"/>
        <w:rPr>
          <w:bCs/>
          <w:color w:val="002060"/>
          <w:sz w:val="16"/>
          <w:szCs w:val="16"/>
          <w:lang w:bidi="en-US"/>
        </w:rPr>
      </w:pPr>
      <w:r w:rsidRPr="00405303">
        <w:rPr>
          <w:bCs/>
          <w:color w:val="002060"/>
          <w:sz w:val="16"/>
          <w:szCs w:val="16"/>
          <w:lang w:bidi="en-US"/>
        </w:rPr>
        <w:t>10 (23) августа 1915 г. на Западном фронте немцы взяли крепость Осовец (23525).</w:t>
      </w:r>
    </w:p>
    <w:p w14:paraId="74676DA6" w14:textId="77777777" w:rsidR="00244ED3" w:rsidRPr="00405303" w:rsidRDefault="00244ED3" w:rsidP="00C15251">
      <w:pPr>
        <w:jc w:val="both"/>
        <w:rPr>
          <w:bCs/>
          <w:color w:val="002060"/>
          <w:sz w:val="16"/>
          <w:szCs w:val="16"/>
        </w:rPr>
      </w:pPr>
    </w:p>
    <w:p w14:paraId="1F0A3C01" w14:textId="77777777" w:rsidR="00C93DD1" w:rsidRPr="00405303" w:rsidRDefault="00C93DD1" w:rsidP="00C15251">
      <w:pPr>
        <w:shd w:val="clear" w:color="auto" w:fill="FFFFFF"/>
        <w:jc w:val="both"/>
        <w:rPr>
          <w:bCs/>
          <w:i/>
          <w:color w:val="002060"/>
          <w:sz w:val="16"/>
          <w:szCs w:val="16"/>
        </w:rPr>
      </w:pPr>
      <w:r w:rsidRPr="00405303">
        <w:rPr>
          <w:bCs/>
          <w:i/>
          <w:color w:val="002060"/>
          <w:sz w:val="16"/>
          <w:szCs w:val="16"/>
        </w:rPr>
        <w:t>Самолетостроение:</w:t>
      </w:r>
    </w:p>
    <w:p w14:paraId="66ACC11C" w14:textId="77777777" w:rsidR="00C93DD1" w:rsidRPr="00405303" w:rsidRDefault="00C93DD1" w:rsidP="00C15251">
      <w:pPr>
        <w:shd w:val="clear" w:color="auto" w:fill="FFFFFF"/>
        <w:jc w:val="both"/>
        <w:rPr>
          <w:bCs/>
          <w:i/>
          <w:color w:val="002060"/>
          <w:sz w:val="16"/>
          <w:szCs w:val="16"/>
        </w:rPr>
      </w:pPr>
    </w:p>
    <w:p w14:paraId="0C794BB5" w14:textId="77777777" w:rsidR="00C93DD1" w:rsidRPr="00405303" w:rsidRDefault="00C93DD1" w:rsidP="00C15251">
      <w:pPr>
        <w:jc w:val="both"/>
        <w:rPr>
          <w:bCs/>
          <w:color w:val="002060"/>
          <w:sz w:val="16"/>
          <w:szCs w:val="16"/>
        </w:rPr>
      </w:pPr>
      <w:r w:rsidRPr="00405303">
        <w:rPr>
          <w:bCs/>
          <w:color w:val="002060"/>
          <w:sz w:val="16"/>
          <w:szCs w:val="16"/>
        </w:rPr>
        <w:t>11 (24) августа 1915 г. вследствие неоднократных ходатайств М. В. Шидловского Ставка Верховного Главнокомандующего обратилась в Главное управление Генерального штаба с телеграммой: «Ввиду необходимости этих аппаратов для выполнения некоторых задач и тренировки личного состава Эскадры воздушных кораблей в табель введено 12 аэропланов (легких) . Часть этих аппаратов фактически уже имеется в Эскадре. Однако составляет, по-видимому, собственность Вагонбалта (АО РБВЗ). Ввиду желательности большую часть из указанных аппаратов иметь Сикорский 16, о чем ходатайствуют летчики, благоволите о распоряжении о приобретении имеющихся аппаратов и отпуске остальных... «После соответствующего отношения ГВУ обратилось с запросом в АО РБВЗ, которое представило 21 августа свои условия на выполнение заказа на 18 самолетов С-16 (12 по табелю ЭВK и 6 «на пополнение ежемесячной убыли</w:t>
      </w:r>
      <w:proofErr w:type="gramStart"/>
      <w:r w:rsidRPr="00405303">
        <w:rPr>
          <w:bCs/>
          <w:color w:val="002060"/>
          <w:sz w:val="16"/>
          <w:szCs w:val="16"/>
        </w:rPr>
        <w:t>» )</w:t>
      </w:r>
      <w:proofErr w:type="gramEnd"/>
      <w:r w:rsidRPr="00405303">
        <w:rPr>
          <w:bCs/>
          <w:color w:val="002060"/>
          <w:sz w:val="16"/>
          <w:szCs w:val="16"/>
        </w:rPr>
        <w:t>. Исполнительная комиссия Особого совещания по обороне Государства одобрила эти условия, и 24 октября 1915 г. ГВУ заключило с АО РБВЗ контракт Nо. 24130 на 18 самолетов С-16 под двигатели «Рон» или «Гном» мощностью в 80 или 100 л. с., а также 18 основных и 3 дополнительных комплекта запасных частей. В комплект запасных частей входили, по сути дела, все основные детали самолета, ГВУ обязалось выплатить по 9500 рублей за каждый самолет и по 4500 и 7300 рублей за каждый комплект запчастей соответственно. Двигатели и винты к аппаратам также должно было поставить ГВУ. Сроки поставки были оговорены следующие: к 4,10.1915 -- 3 самолета, к 4.11.1915 - 4 самолета и 7 комплектов и к 4.12.1915 -- 11 самолетов и 14 комплектов. Условия сдачи самолетов были жесткие. Все расходы по сдаче, упаковке и возможному ремонту после поломок долларно было нести АО РБВЗ. Обществу предоставлялся задаток в 25% стоимости контракта для налаживания производства. Еще 25% должно было быть выделено на получение заводом необходимых материалов. Воздухоплавательное отделение АО РБВЗ, переименованное в мае 1915 г. в Русско-Балтийский воздухоплавательный завод (часто его сокращенно называли «АвиаБалт» ) , приступило в сентябре 1915 г. к подготовке производства (по заводскому обозначению, заказа Nо. 213) . Однако не все пошло гладко. Только к концу месяца летчиками ЭВК были подготовлены замечания к первым опытным С-16, и И. И. Сикорский смог приступить к устранению отмеченных недостатков в конструкции серийных аппаратов, получивших обозначение С-16сер. Им были присвоены заводские номера с 201 по 215. Вместе с опытными С-16 Nо. 154,155 и 156 они должны были составить «контрактные» 18 машин. В конструкцию серийных самолетов И. И. Сикорский внес ряд небольших изменений по сравнению с опытными. Была изменена форма хвостового оперения. Другой стала площадь крыльев и т.д. коробка крыльев С-16сер. имела плоскости разных размеров, подобно опытному С-16 Nо. 156. С большими проблемами столкнулось производство Авиа-Балта в связи со срывом поставок полуфабрикатов и комплектующих изделий (стальных и латунных труб, листовой стали, колес, болтов и т. п,) , многие из которых доставлялись из-за границы, в основном из Швеции, В связи с этим Сикорскому и его помощникам пришлось срочно переконструировать часть деталей и даже наладить на заводе выпуск стальных труб. Из-за вносимых изменений вес серийных самолетов С-16сер. получился различным и колебался от 415,6 до 423,2 кг. Директор Авиа-Балта М. Ф. Климыссеев предпринял все меры для ускорения работ по построже серии С-16сер., благо, осенью 1915 г. появилось временное технологическое окно в производстве воздушных кораблей «Илья Муромец</w:t>
      </w:r>
      <w:proofErr w:type="gramStart"/>
      <w:r w:rsidRPr="00405303">
        <w:rPr>
          <w:bCs/>
          <w:color w:val="002060"/>
          <w:sz w:val="16"/>
          <w:szCs w:val="16"/>
        </w:rPr>
        <w:t>» .</w:t>
      </w:r>
      <w:proofErr w:type="gramEnd"/>
      <w:r w:rsidRPr="00405303">
        <w:rPr>
          <w:bCs/>
          <w:color w:val="002060"/>
          <w:sz w:val="16"/>
          <w:szCs w:val="16"/>
        </w:rPr>
        <w:t xml:space="preserve"> Все свободные рабочие были переведены на сборку легких самолетов, трудились сверхурочно, в выходные и в праздничные дни. Однако повторявшиеся одна за другой забастовки свели на нет все эти усилия. К концу ноября стало очевидным, что к сроку удастся закончить от силы лишь четыре (Ко. 206- 209) из заказанных пятнадцати самолетов. Пришлось просить в ГВУ отсрочку, которая сопровождалась уплатой соответствующей неустойки. Только 4 января 1916 г. Авиа-Балт смог заявить о готовности представить к осмотру все 15 серийных самолетов С-16сер. Однако сдача их опять затянулась. Плохая погода прервала начатые 22 декабря 1915 г. прибывшим с фронта Г. И. Лавровым летно-сдаточные испытания самолетов. Во время одного из первых полетов на самолете Nо. 206 из-за сильных порывов ветра летчик не смог при посадке справиться с управлением. Самолет и двигатель были сильно повреждены и ремонтировались до марта1916 г. С отъездом Лаврова на фронт на заводе не осталось летчиков-сдатчиков. Ссылаясь на условия контракта (АО РБВЗ было обязано проводить сдаточные испытания с помощью заводских летчиков и за свой счет</w:t>
      </w:r>
      <w:proofErr w:type="gramStart"/>
      <w:r w:rsidRPr="00405303">
        <w:rPr>
          <w:bCs/>
          <w:color w:val="002060"/>
          <w:sz w:val="16"/>
          <w:szCs w:val="16"/>
        </w:rPr>
        <w:t>) ,</w:t>
      </w:r>
      <w:proofErr w:type="gramEnd"/>
      <w:r w:rsidRPr="00405303">
        <w:rPr>
          <w:bCs/>
          <w:color w:val="002060"/>
          <w:sz w:val="16"/>
          <w:szCs w:val="16"/>
        </w:rPr>
        <w:t xml:space="preserve"> ГВУ отказывалось предоставить своих летчиков. Несвоевременно поступали из ГВУ на завод и двигатели «Гном</w:t>
      </w:r>
      <w:proofErr w:type="gramStart"/>
      <w:r w:rsidRPr="00405303">
        <w:rPr>
          <w:bCs/>
          <w:color w:val="002060"/>
          <w:sz w:val="16"/>
          <w:szCs w:val="16"/>
        </w:rPr>
        <w:t>» .</w:t>
      </w:r>
      <w:proofErr w:type="gramEnd"/>
      <w:r w:rsidRPr="00405303">
        <w:rPr>
          <w:bCs/>
          <w:color w:val="002060"/>
          <w:sz w:val="16"/>
          <w:szCs w:val="16"/>
        </w:rPr>
        <w:t xml:space="preserve"> Кроме того, задержка поставок в армию С-16сер. способствовала и изменению взглядов на применение этих машин. В истории С-16 произошло важное событие -- расширилось назначение этого самолета. Если в середине 1915 г. «Сикорский маленький» , как иногда называли С-16 в войсках, предполагалось использовать в ЭВК в основном для тренировок летчиков воздушных кораблей, а также в качестве «разведчиков при намечаемых налетах Эскадры на определенные пункты» , то к концу этого года наметилось применение их в качестве истребителей на боевых базах для защиты воздушных кораблей против налетов неприятельского воздушного флота» . По новым утвержденным штатам ЭВК в ее составе предполагалось иметь теперь помимо 12 учебных аппаратов школы Эскадры еще по 14 легких самолетов (4 истребителя, 4разведчика и 6тренировочных) в составе каждого боевого отряда, число которых увеличилось с двух до трех. Подобно большинству других скаутов, С-16 превращался в классический одноместный истребитель. Он стал, таким образом, первым истребителем отечественной конструкции. Изменение назначения самолета С-16 ознаменовалось разработкой для него стационарного бортового вооружения. Одним из главных пропагандистов создания истребительной авиации в российском воздушном флоте был лейтенант Г, И. Лавров. В 1915 г. он сделал ряд предложений по созданию авиационного вооружения и формированию отрядов истребителей. Осенью этого года им был разработан и построен в мастерских ЭВК образец первого в России синхронизатора или, как тогда называли, приспособления для автоматической стрельбы через винт (11188).</w:t>
      </w:r>
    </w:p>
    <w:p w14:paraId="245A0DE3" w14:textId="77777777" w:rsidR="00C93DD1" w:rsidRPr="00405303" w:rsidRDefault="00C93DD1" w:rsidP="00C15251">
      <w:pPr>
        <w:jc w:val="both"/>
        <w:rPr>
          <w:bCs/>
          <w:color w:val="002060"/>
          <w:sz w:val="16"/>
          <w:szCs w:val="16"/>
        </w:rPr>
      </w:pPr>
    </w:p>
    <w:p w14:paraId="38BC4B2E" w14:textId="7B4BFDC2" w:rsidR="00D866D7" w:rsidRPr="00405303" w:rsidRDefault="00D866D7" w:rsidP="00C15251">
      <w:pPr>
        <w:jc w:val="both"/>
        <w:rPr>
          <w:bCs/>
          <w:i/>
          <w:color w:val="002060"/>
          <w:sz w:val="16"/>
          <w:szCs w:val="16"/>
        </w:rPr>
      </w:pPr>
      <w:r w:rsidRPr="00405303">
        <w:rPr>
          <w:bCs/>
          <w:i/>
          <w:color w:val="002060"/>
          <w:sz w:val="16"/>
          <w:szCs w:val="16"/>
        </w:rPr>
        <w:t>Армия:</w:t>
      </w:r>
    </w:p>
    <w:p w14:paraId="651F2BBA" w14:textId="77777777" w:rsidR="00D866D7" w:rsidRPr="00405303" w:rsidRDefault="00D866D7" w:rsidP="00C15251">
      <w:pPr>
        <w:jc w:val="both"/>
        <w:rPr>
          <w:bCs/>
          <w:i/>
          <w:color w:val="002060"/>
          <w:sz w:val="16"/>
          <w:szCs w:val="16"/>
        </w:rPr>
      </w:pPr>
    </w:p>
    <w:p w14:paraId="77DD6DE9" w14:textId="0F3591FD" w:rsidR="00D866D7" w:rsidRPr="00405303" w:rsidRDefault="00D866D7" w:rsidP="00C15251">
      <w:pPr>
        <w:jc w:val="both"/>
        <w:rPr>
          <w:bCs/>
          <w:color w:val="002060"/>
          <w:sz w:val="16"/>
          <w:szCs w:val="16"/>
        </w:rPr>
      </w:pPr>
      <w:r w:rsidRPr="00405303">
        <w:rPr>
          <w:bCs/>
          <w:color w:val="002060"/>
          <w:sz w:val="16"/>
          <w:szCs w:val="16"/>
          <w:lang w:bidi="en-US"/>
        </w:rPr>
        <w:t>11-12 (24-25) августа 1915 г. на Западном фронте немцам достался Брест-Литовск (23525).</w:t>
      </w:r>
    </w:p>
    <w:p w14:paraId="04CE80B4" w14:textId="77777777" w:rsidR="00D866D7" w:rsidRPr="00405303" w:rsidRDefault="00D866D7" w:rsidP="00C15251">
      <w:pPr>
        <w:jc w:val="both"/>
        <w:rPr>
          <w:bCs/>
          <w:color w:val="002060"/>
          <w:sz w:val="16"/>
          <w:szCs w:val="16"/>
          <w:lang w:bidi="en-US"/>
        </w:rPr>
      </w:pPr>
    </w:p>
    <w:p w14:paraId="62717B1F" w14:textId="2A9D06EB" w:rsidR="007A2E85" w:rsidRPr="00405303" w:rsidRDefault="007A2E85" w:rsidP="00C15251">
      <w:pPr>
        <w:jc w:val="both"/>
        <w:rPr>
          <w:bCs/>
          <w:i/>
          <w:color w:val="002060"/>
          <w:sz w:val="16"/>
          <w:szCs w:val="16"/>
        </w:rPr>
      </w:pPr>
      <w:r w:rsidRPr="00405303">
        <w:rPr>
          <w:bCs/>
          <w:i/>
          <w:color w:val="002060"/>
          <w:sz w:val="16"/>
          <w:szCs w:val="16"/>
        </w:rPr>
        <w:t>Авиация:</w:t>
      </w:r>
    </w:p>
    <w:p w14:paraId="368D3226" w14:textId="77777777" w:rsidR="007A2E85" w:rsidRPr="00405303" w:rsidRDefault="007A2E85" w:rsidP="00C15251">
      <w:pPr>
        <w:jc w:val="both"/>
        <w:rPr>
          <w:bCs/>
          <w:i/>
          <w:color w:val="002060"/>
          <w:sz w:val="16"/>
          <w:szCs w:val="16"/>
        </w:rPr>
      </w:pPr>
    </w:p>
    <w:p w14:paraId="73DF0F0D" w14:textId="77777777" w:rsidR="004126B0" w:rsidRPr="00405303" w:rsidRDefault="004126B0" w:rsidP="00C15251">
      <w:pPr>
        <w:jc w:val="both"/>
        <w:rPr>
          <w:bCs/>
          <w:color w:val="002060"/>
          <w:sz w:val="16"/>
          <w:szCs w:val="16"/>
        </w:rPr>
      </w:pPr>
      <w:r w:rsidRPr="00405303">
        <w:rPr>
          <w:bCs/>
          <w:color w:val="002060"/>
          <w:sz w:val="16"/>
          <w:szCs w:val="16"/>
        </w:rPr>
        <w:t>11 (24) августа 1915 г. состоялся первый выпуск воздухоплавателей ускоренных курсов, организованных на время войны при Офицерской Воздухоплавательной школе и начавших функционировать 10-го июня. Выпущено 125 офицеров, которые пошли на укомплектование вновь формируемых воздухоплавательных рот.</w:t>
      </w:r>
    </w:p>
    <w:p w14:paraId="4F5149FA" w14:textId="77777777" w:rsidR="004126B0" w:rsidRPr="00405303" w:rsidRDefault="004126B0" w:rsidP="00C15251">
      <w:pPr>
        <w:jc w:val="both"/>
        <w:rPr>
          <w:bCs/>
          <w:color w:val="002060"/>
          <w:sz w:val="16"/>
          <w:szCs w:val="16"/>
        </w:rPr>
      </w:pPr>
      <w:r w:rsidRPr="00405303">
        <w:rPr>
          <w:bCs/>
          <w:color w:val="002060"/>
          <w:sz w:val="16"/>
          <w:szCs w:val="16"/>
        </w:rPr>
        <w:t>/Краткий обзор авиации и воздухоплавания за 1915 год, составлен</w:t>
      </w:r>
      <w:r w:rsidRPr="00405303">
        <w:rPr>
          <w:bCs/>
          <w:color w:val="002060"/>
          <w:sz w:val="16"/>
          <w:szCs w:val="16"/>
        </w:rPr>
        <w:softHyphen/>
        <w:t>ный канцелярией Заведующего авиацией 10 февраля 1916 г./ (23320).</w:t>
      </w:r>
    </w:p>
    <w:p w14:paraId="7C8FD728" w14:textId="77777777" w:rsidR="004126B0" w:rsidRPr="00405303" w:rsidRDefault="004126B0" w:rsidP="00C15251">
      <w:pPr>
        <w:jc w:val="both"/>
        <w:rPr>
          <w:bCs/>
          <w:color w:val="002060"/>
          <w:sz w:val="16"/>
          <w:szCs w:val="16"/>
        </w:rPr>
      </w:pPr>
    </w:p>
    <w:p w14:paraId="2EA99880" w14:textId="278BD604" w:rsidR="00E2193F" w:rsidRPr="00405303" w:rsidRDefault="00E2193F" w:rsidP="00C15251">
      <w:pPr>
        <w:jc w:val="both"/>
        <w:rPr>
          <w:bCs/>
          <w:color w:val="002060"/>
          <w:sz w:val="16"/>
          <w:szCs w:val="16"/>
        </w:rPr>
      </w:pPr>
      <w:r w:rsidRPr="00405303">
        <w:rPr>
          <w:bCs/>
          <w:color w:val="002060"/>
          <w:sz w:val="16"/>
          <w:szCs w:val="16"/>
        </w:rPr>
        <w:t xml:space="preserve">В ночь 11 на 12 (24/25) августа 1915 была следующую бомбардировка Белостока германским дирижаблем Z-XII. Несмотря на зенитный обстрел с </w:t>
      </w:r>
      <w:bookmarkStart w:id="215" w:name="bookmark232"/>
      <w:bookmarkStart w:id="216" w:name="bookmark233"/>
      <w:bookmarkStart w:id="217" w:name="bookmark234"/>
      <w:bookmarkStart w:id="218" w:name="bookmark235"/>
      <w:bookmarkStart w:id="219" w:name="bookmark236"/>
      <w:r w:rsidRPr="00405303">
        <w:rPr>
          <w:bCs/>
          <w:color w:val="002060"/>
          <w:sz w:val="16"/>
          <w:szCs w:val="16"/>
        </w:rPr>
        <w:t xml:space="preserve">гондолы дирижабля, было сброшено около 25 снарядов. Дальше дирижабль продолжил полет по маршруту Старосельце (Старосельцы) - г. Лапы (царство Польское). Над крепостью </w:t>
      </w:r>
      <w:r w:rsidRPr="00405303">
        <w:rPr>
          <w:bCs/>
          <w:color w:val="002060"/>
          <w:sz w:val="16"/>
          <w:szCs w:val="16"/>
        </w:rPr>
        <w:lastRenderedPageBreak/>
        <w:t>Осовец он был поврежден огнем ее артиллерии. Вследствие полученных повреждений цеппелин совершил вынужденную посадку в 16 км юго- западнее г. Алленштейн (Ольштын) и после был восстановлен (23405).</w:t>
      </w:r>
      <w:bookmarkEnd w:id="215"/>
      <w:bookmarkEnd w:id="216"/>
      <w:bookmarkEnd w:id="217"/>
      <w:bookmarkEnd w:id="218"/>
      <w:bookmarkEnd w:id="219"/>
    </w:p>
    <w:p w14:paraId="3B4C346D" w14:textId="77777777" w:rsidR="00E2193F" w:rsidRPr="00405303" w:rsidRDefault="00E2193F" w:rsidP="00C15251">
      <w:pPr>
        <w:jc w:val="both"/>
        <w:rPr>
          <w:bCs/>
          <w:color w:val="002060"/>
          <w:sz w:val="16"/>
          <w:szCs w:val="16"/>
          <w:lang w:bidi="ru-RU"/>
        </w:rPr>
      </w:pPr>
    </w:p>
    <w:p w14:paraId="545B273F" w14:textId="77777777" w:rsidR="004B4E35" w:rsidRPr="00405303" w:rsidRDefault="009E6F82" w:rsidP="00C15251">
      <w:pPr>
        <w:jc w:val="both"/>
        <w:rPr>
          <w:bCs/>
          <w:i/>
          <w:color w:val="002060"/>
          <w:sz w:val="16"/>
          <w:szCs w:val="16"/>
        </w:rPr>
      </w:pPr>
      <w:r w:rsidRPr="00405303">
        <w:rPr>
          <w:bCs/>
          <w:i/>
          <w:color w:val="002060"/>
          <w:sz w:val="16"/>
          <w:szCs w:val="16"/>
        </w:rPr>
        <w:t>Воздухоплавание:</w:t>
      </w:r>
    </w:p>
    <w:p w14:paraId="47FD90C6" w14:textId="77777777" w:rsidR="004B4E35" w:rsidRPr="00405303" w:rsidRDefault="004B4E35" w:rsidP="00C15251">
      <w:pPr>
        <w:jc w:val="both"/>
        <w:rPr>
          <w:bCs/>
          <w:i/>
          <w:color w:val="002060"/>
          <w:sz w:val="16"/>
          <w:szCs w:val="16"/>
        </w:rPr>
      </w:pPr>
    </w:p>
    <w:p w14:paraId="65A7E38E" w14:textId="77777777" w:rsidR="004B4E35" w:rsidRPr="00405303" w:rsidRDefault="009E6F82" w:rsidP="00C15251">
      <w:pPr>
        <w:shd w:val="clear" w:color="auto" w:fill="FFFFFF"/>
        <w:jc w:val="both"/>
        <w:rPr>
          <w:bCs/>
          <w:iCs/>
          <w:color w:val="002060"/>
          <w:sz w:val="16"/>
          <w:szCs w:val="16"/>
        </w:rPr>
      </w:pPr>
      <w:r w:rsidRPr="00405303">
        <w:rPr>
          <w:bCs/>
          <w:color w:val="002060"/>
          <w:sz w:val="16"/>
          <w:szCs w:val="16"/>
        </w:rPr>
        <w:t>11 (24) августа 1915 состоялся первый выпуск воздухоплавателей ускоренных курсов, организованных на время войны при Офицер</w:t>
      </w:r>
      <w:r w:rsidRPr="00405303">
        <w:rPr>
          <w:bCs/>
          <w:color w:val="002060"/>
          <w:sz w:val="16"/>
          <w:szCs w:val="16"/>
        </w:rPr>
        <w:softHyphen/>
        <w:t xml:space="preserve">ской Воздухоплавательной школе и начавших функционировать 10 июня. Выпущено 25 офицеров, которые пошли на укомплектование вновь формируемых воздухоплавательных рот </w:t>
      </w:r>
      <w:r w:rsidRPr="00405303">
        <w:rPr>
          <w:bCs/>
          <w:iCs/>
          <w:color w:val="002060"/>
          <w:sz w:val="16"/>
          <w:szCs w:val="16"/>
        </w:rPr>
        <w:t>(Краткий обзор авиации и воздухоплавания за 1915 год, составленный канцелярией Заведующего авиацией 10 февраля 1916 г.).</w:t>
      </w:r>
    </w:p>
    <w:p w14:paraId="74D1A070" w14:textId="77777777" w:rsidR="004B4E35" w:rsidRPr="00405303" w:rsidRDefault="004B4E35" w:rsidP="00C15251">
      <w:pPr>
        <w:shd w:val="clear" w:color="auto" w:fill="FFFFFF"/>
        <w:jc w:val="both"/>
        <w:rPr>
          <w:bCs/>
          <w:i/>
          <w:color w:val="002060"/>
          <w:sz w:val="16"/>
          <w:szCs w:val="16"/>
        </w:rPr>
      </w:pPr>
    </w:p>
    <w:p w14:paraId="2904F16F"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Франции:</w:t>
      </w:r>
    </w:p>
    <w:p w14:paraId="3DAEF5D5" w14:textId="77777777" w:rsidR="004B4E35" w:rsidRPr="00405303" w:rsidRDefault="004B4E35" w:rsidP="00C15251">
      <w:pPr>
        <w:jc w:val="both"/>
        <w:rPr>
          <w:bCs/>
          <w:i/>
          <w:color w:val="002060"/>
          <w:sz w:val="16"/>
          <w:szCs w:val="16"/>
        </w:rPr>
      </w:pPr>
    </w:p>
    <w:p w14:paraId="7C19C34B" w14:textId="7C1F89E9" w:rsidR="004B4E35" w:rsidRPr="00405303" w:rsidRDefault="009E6F82" w:rsidP="00C15251">
      <w:pPr>
        <w:jc w:val="both"/>
        <w:rPr>
          <w:bCs/>
          <w:color w:val="002060"/>
          <w:sz w:val="16"/>
          <w:szCs w:val="16"/>
        </w:rPr>
      </w:pPr>
      <w:r w:rsidRPr="00405303">
        <w:rPr>
          <w:bCs/>
          <w:color w:val="002060"/>
          <w:sz w:val="16"/>
          <w:szCs w:val="16"/>
        </w:rPr>
        <w:t xml:space="preserve">11 (24) августа </w:t>
      </w:r>
      <w:r w:rsidR="00C93DD1" w:rsidRPr="00405303">
        <w:rPr>
          <w:bCs/>
          <w:color w:val="002060"/>
          <w:sz w:val="16"/>
          <w:szCs w:val="16"/>
        </w:rPr>
        <w:t>1918 г. ф</w:t>
      </w:r>
      <w:r w:rsidRPr="00405303">
        <w:rPr>
          <w:bCs/>
          <w:color w:val="002060"/>
          <w:sz w:val="16"/>
          <w:szCs w:val="16"/>
        </w:rPr>
        <w:t>ранцузский штаб посылает на двух самолетах двух шпионов; на спецзадание летят два с неприязнью относящиеся друг к другу пилота Боу и Берти. Им следует оставить своих пассажиров в 90 км за линией фронта, за Мезьером. Боу перелетел линию фронта благополучно, Берти же был ранен пулей в бедро, а на его самолете осколками перебило тяги, крылья также были повреждены в нескольких местах. Пассажир предложил Берти вернуться, но пилот, узнав, что агент невредим, ответил, что задание должно быть выполнено. Самолета Боу уже нигде не было видно, и Берти направился прямо к месту высадки, старательно удерживая самолет в воздухе. Несмотря на довольно серьезные повреждения, французскому пилоту удалось успешно посадить самолет и даже, высадив пассажира, зновь взлететь. Однако машина и летчик были уже на пределе. Обратно Берти летел на высоте всего 100 м.</w:t>
      </w:r>
    </w:p>
    <w:p w14:paraId="03660910" w14:textId="77777777" w:rsidR="004B4E35" w:rsidRPr="00405303" w:rsidRDefault="009E6F82" w:rsidP="00C15251">
      <w:pPr>
        <w:jc w:val="both"/>
        <w:rPr>
          <w:bCs/>
          <w:color w:val="002060"/>
          <w:sz w:val="16"/>
          <w:szCs w:val="16"/>
        </w:rPr>
      </w:pPr>
      <w:r w:rsidRPr="00405303">
        <w:rPr>
          <w:bCs/>
          <w:color w:val="002060"/>
          <w:sz w:val="16"/>
          <w:szCs w:val="16"/>
        </w:rPr>
        <w:t>Вдруг он увидел на земле горящий "Моран-Солнье" Боу, пилота рядом с ним, а вдалеке - бегущих к самолету немецких солдат. Оказалось, что его товарища сбили, и пас' сажир при этом был убит. Не раздумывая ни секунды, Берти посадил свой искалеченный "Моран" рядом, помог раненому Боу забраться в свой самолет и взлетел в виду уже подбегающих немцев. Это произошло около фермы, имевшей странное название "Несмотря ни на что</w:t>
      </w:r>
      <w:proofErr w:type="gramStart"/>
      <w:r w:rsidRPr="00405303">
        <w:rPr>
          <w:bCs/>
          <w:color w:val="002060"/>
          <w:sz w:val="16"/>
          <w:szCs w:val="16"/>
        </w:rPr>
        <w:t>" .</w:t>
      </w:r>
      <w:proofErr w:type="gramEnd"/>
      <w:r w:rsidRPr="00405303">
        <w:rPr>
          <w:bCs/>
          <w:color w:val="002060"/>
          <w:sz w:val="16"/>
          <w:szCs w:val="16"/>
        </w:rPr>
        <w:t xml:space="preserve"> Солдаты остановились и начали стрелять по ним из винтовок, но Берти выжимал из своего самолета последние возможности и благополучно дотянул до своей территории.</w:t>
      </w:r>
    </w:p>
    <w:p w14:paraId="7C76652E" w14:textId="77777777" w:rsidR="004B4E35" w:rsidRPr="00405303" w:rsidRDefault="009E6F82" w:rsidP="00C15251">
      <w:pPr>
        <w:jc w:val="both"/>
        <w:rPr>
          <w:bCs/>
          <w:color w:val="002060"/>
          <w:sz w:val="16"/>
          <w:szCs w:val="16"/>
        </w:rPr>
      </w:pPr>
      <w:r w:rsidRPr="00405303">
        <w:rPr>
          <w:bCs/>
          <w:color w:val="002060"/>
          <w:sz w:val="16"/>
          <w:szCs w:val="16"/>
        </w:rPr>
        <w:t>Берти получил орден Почетного Легиона, и оба летчика стали до конца дней, которых им, увы, осталось немного, неразлучными друзьями. На следующий год весной Берти погиб, застрелившись, дабы избежать пленения, на своем самолете, называвшемся "Несмотря ни на что". Вскоре после этого разбился Боу (11999).</w:t>
      </w:r>
    </w:p>
    <w:p w14:paraId="651482A8" w14:textId="77777777" w:rsidR="004B4E35" w:rsidRPr="00405303" w:rsidRDefault="004B4E35" w:rsidP="00C15251">
      <w:pPr>
        <w:jc w:val="both"/>
        <w:rPr>
          <w:bCs/>
          <w:color w:val="002060"/>
          <w:sz w:val="16"/>
          <w:szCs w:val="16"/>
        </w:rPr>
      </w:pPr>
    </w:p>
    <w:p w14:paraId="5EE54511" w14:textId="77777777" w:rsidR="004B4E35" w:rsidRPr="00405303" w:rsidRDefault="009E6F82" w:rsidP="00C15251">
      <w:pPr>
        <w:jc w:val="both"/>
        <w:rPr>
          <w:bCs/>
          <w:i/>
          <w:color w:val="002060"/>
          <w:sz w:val="16"/>
          <w:szCs w:val="16"/>
        </w:rPr>
      </w:pPr>
      <w:r w:rsidRPr="00405303">
        <w:rPr>
          <w:bCs/>
          <w:i/>
          <w:color w:val="002060"/>
          <w:sz w:val="16"/>
          <w:szCs w:val="16"/>
        </w:rPr>
        <w:t>За рубежом:</w:t>
      </w:r>
    </w:p>
    <w:p w14:paraId="1C977572" w14:textId="77777777" w:rsidR="004B4E35" w:rsidRPr="00405303" w:rsidRDefault="004B4E35" w:rsidP="00C15251">
      <w:pPr>
        <w:jc w:val="both"/>
        <w:rPr>
          <w:bCs/>
          <w:i/>
          <w:color w:val="002060"/>
          <w:sz w:val="16"/>
          <w:szCs w:val="16"/>
        </w:rPr>
      </w:pPr>
    </w:p>
    <w:p w14:paraId="798148D6" w14:textId="0D102F25" w:rsidR="004B4E35" w:rsidRPr="00405303" w:rsidRDefault="009E6F82" w:rsidP="00C15251">
      <w:pPr>
        <w:jc w:val="both"/>
        <w:rPr>
          <w:bCs/>
          <w:color w:val="002060"/>
          <w:sz w:val="16"/>
          <w:szCs w:val="16"/>
        </w:rPr>
      </w:pPr>
      <w:r w:rsidRPr="00405303">
        <w:rPr>
          <w:bCs/>
          <w:color w:val="002060"/>
          <w:sz w:val="16"/>
          <w:szCs w:val="16"/>
        </w:rPr>
        <w:t>11 (24)</w:t>
      </w:r>
      <w:r w:rsidR="00C93DD1" w:rsidRPr="00405303">
        <w:rPr>
          <w:bCs/>
          <w:color w:val="002060"/>
          <w:sz w:val="16"/>
          <w:szCs w:val="16"/>
        </w:rPr>
        <w:t xml:space="preserve"> августа </w:t>
      </w:r>
      <w:r w:rsidRPr="00405303">
        <w:rPr>
          <w:bCs/>
          <w:color w:val="002060"/>
          <w:sz w:val="16"/>
          <w:szCs w:val="16"/>
        </w:rPr>
        <w:t>1915 г. Триттон представил д'Эйнкоурту эскиз нового сухопутного корабля и получил «добро» на разработку проекта, а через два дня по его требованию Стерн доставил в Линкольн спецификацию требований на сухопутный корабль составленную Свинтоном.</w:t>
      </w:r>
    </w:p>
    <w:p w14:paraId="6FD4434F" w14:textId="77777777" w:rsidR="004B4E35" w:rsidRPr="00405303" w:rsidRDefault="009E6F82" w:rsidP="00C15251">
      <w:pPr>
        <w:jc w:val="both"/>
        <w:rPr>
          <w:bCs/>
          <w:color w:val="002060"/>
          <w:sz w:val="16"/>
          <w:szCs w:val="16"/>
        </w:rPr>
      </w:pPr>
      <w:r w:rsidRPr="00405303">
        <w:rPr>
          <w:bCs/>
          <w:color w:val="002060"/>
          <w:sz w:val="16"/>
          <w:szCs w:val="16"/>
        </w:rPr>
        <w:t>15.09.1915 Little Willy пошел на ходовые испытания.</w:t>
      </w:r>
    </w:p>
    <w:p w14:paraId="3D271A6C" w14:textId="77777777" w:rsidR="004B4E35" w:rsidRPr="00405303" w:rsidRDefault="009E6F82" w:rsidP="00C15251">
      <w:pPr>
        <w:jc w:val="both"/>
        <w:rPr>
          <w:bCs/>
          <w:color w:val="002060"/>
          <w:sz w:val="16"/>
          <w:szCs w:val="16"/>
        </w:rPr>
      </w:pPr>
      <w:r w:rsidRPr="00405303">
        <w:rPr>
          <w:bCs/>
          <w:color w:val="002060"/>
          <w:sz w:val="16"/>
          <w:szCs w:val="16"/>
        </w:rPr>
        <w:t xml:space="preserve">22.09.1915 Стерну вручили телеграмму из Линкольна, которую </w:t>
      </w:r>
      <w:proofErr w:type="gramStart"/>
      <w:r w:rsidRPr="00405303">
        <w:rPr>
          <w:bCs/>
          <w:color w:val="002060"/>
          <w:sz w:val="16"/>
          <w:szCs w:val="16"/>
        </w:rPr>
        <w:t>не возможно</w:t>
      </w:r>
      <w:proofErr w:type="gramEnd"/>
      <w:r w:rsidRPr="00405303">
        <w:rPr>
          <w:bCs/>
          <w:color w:val="002060"/>
          <w:sz w:val="16"/>
          <w:szCs w:val="16"/>
        </w:rPr>
        <w:t xml:space="preserve"> читать без умиления: «Сегодня утром Balata погиб на испытательном стенде. Новорожденный от Триттона из листовой штамповки легкий по весу, но очень прочный. Все прошло хорошо, спасибо Вам. ГОРДЫЕ РОДИТЕЛИ».</w:t>
      </w:r>
    </w:p>
    <w:p w14:paraId="202D6A4B" w14:textId="77777777" w:rsidR="004B4E35" w:rsidRPr="00405303" w:rsidRDefault="009E6F82" w:rsidP="00C15251">
      <w:pPr>
        <w:jc w:val="both"/>
        <w:rPr>
          <w:bCs/>
          <w:color w:val="002060"/>
          <w:sz w:val="16"/>
          <w:szCs w:val="16"/>
        </w:rPr>
      </w:pPr>
      <w:r w:rsidRPr="00405303">
        <w:rPr>
          <w:bCs/>
          <w:color w:val="002060"/>
          <w:sz w:val="16"/>
          <w:szCs w:val="16"/>
        </w:rPr>
        <w:t>Так опытный никогда не вооружавшийся сухопутный корабль Little Willy, оснащенный специальным гусеничных ходом, явился первым английским танком и соответственно первым танком в мире. Но это была, как говорят, «бракованная лошадь». Свинтон: «Меня спросили о моем мнении, и я сказал, что Willy не пойдет. Он не соответствовал требованиям, присланным из Франции, и не мог преодолевать 5-футовые вертикальные препятствия. Little Willy был просто стальной коробкой». Да это все прекрасно понимали без Свинтона и не оспаривали.</w:t>
      </w:r>
    </w:p>
    <w:p w14:paraId="0953768C" w14:textId="77777777" w:rsidR="004B4E35" w:rsidRPr="00405303" w:rsidRDefault="009E6F82" w:rsidP="00C15251">
      <w:pPr>
        <w:jc w:val="both"/>
        <w:rPr>
          <w:bCs/>
          <w:color w:val="002060"/>
          <w:sz w:val="16"/>
          <w:szCs w:val="16"/>
        </w:rPr>
      </w:pPr>
      <w:r w:rsidRPr="00405303">
        <w:rPr>
          <w:bCs/>
          <w:color w:val="002060"/>
          <w:sz w:val="16"/>
          <w:szCs w:val="16"/>
        </w:rPr>
        <w:t xml:space="preserve">В основу формообразования новой БМ, известной больше под названием Mother, легло предложение Вильсона (идея Мекфи и Несфильда, с оговорками) о ромбовидном гусеничном обводе корпуса. С этого момента форма английских танков периода Первой мировой войны стала единым пластическим целым — гипертрофированной ходовой честью, демонстрирующей полную независимость от среды перемещения, переходящую в агрессивность по отношению этой среде, готовность проложить и проломать себе дорогу в любой ситуации. </w:t>
      </w:r>
    </w:p>
    <w:p w14:paraId="61F78E48" w14:textId="77777777" w:rsidR="004B4E35" w:rsidRPr="00405303" w:rsidRDefault="009E6F82" w:rsidP="00C15251">
      <w:pPr>
        <w:jc w:val="both"/>
        <w:rPr>
          <w:bCs/>
          <w:color w:val="002060"/>
          <w:sz w:val="16"/>
          <w:szCs w:val="16"/>
        </w:rPr>
      </w:pPr>
      <w:r w:rsidRPr="00405303">
        <w:rPr>
          <w:bCs/>
          <w:color w:val="002060"/>
          <w:sz w:val="16"/>
          <w:szCs w:val="16"/>
        </w:rPr>
        <w:t xml:space="preserve">Не следует толковать результаты создания Little Willy как неудачу. «Новорожденный от Тритона» отпустил все грехи. С видоизмененным, но конструктивно аналогичным движителем он вышел в лице своего приемника Big Willy (Mother) на уровень серийного производства и боевого триумфа, а его усовершенствованная ходовая часть стала ходовой частью кавалерийского Mark A. </w:t>
      </w:r>
      <w:proofErr w:type="gramStart"/>
      <w:r w:rsidRPr="00405303">
        <w:rPr>
          <w:bCs/>
          <w:color w:val="002060"/>
          <w:sz w:val="16"/>
          <w:szCs w:val="16"/>
        </w:rPr>
        <w:t>Конечно</w:t>
      </w:r>
      <w:proofErr w:type="gramEnd"/>
      <w:r w:rsidRPr="00405303">
        <w:rPr>
          <w:bCs/>
          <w:color w:val="002060"/>
          <w:sz w:val="16"/>
          <w:szCs w:val="16"/>
        </w:rPr>
        <w:t xml:space="preserve"> Mark A доблестный танк, но что бросается в глаза — отказ от ходовой части умеренного профиля на последовавших за ним Mark В и Mark С в пользу ромбовидного обвода. Уже в начале 20-х годов условия боевого применения БТТ изменятся, соответственно иные требования — иные решения. Но тогда альтернативы не было.</w:t>
      </w:r>
    </w:p>
    <w:p w14:paraId="711A4D8D" w14:textId="77777777" w:rsidR="004B4E35" w:rsidRPr="00405303" w:rsidRDefault="009E6F82" w:rsidP="00C15251">
      <w:pPr>
        <w:jc w:val="both"/>
        <w:rPr>
          <w:bCs/>
          <w:color w:val="002060"/>
          <w:sz w:val="16"/>
          <w:szCs w:val="16"/>
        </w:rPr>
      </w:pPr>
      <w:r w:rsidRPr="00405303">
        <w:rPr>
          <w:bCs/>
          <w:color w:val="002060"/>
          <w:sz w:val="16"/>
          <w:szCs w:val="16"/>
        </w:rPr>
        <w:t>В конце сентября 1915 г. завершили изготовление деревянного макета и продемонстрировали его в Уэмбли группе старших офицеров. Указание на изготовление опытного образца поступило 30.09.1915 г., Проблема размещения вооружения была решена д'Эйнкоуртом, предложившим съемные бортовые спонсоны. В результате: низко расположенный центр тяжести; способность «чистить» траншею на оба борта при ее пересечении и держать под обстрелом сразу две линии траншей при дефилировании вдоль фронта, возможность вписать машину в железнодорожный провозной габарит.</w:t>
      </w:r>
    </w:p>
    <w:p w14:paraId="191DFB8F" w14:textId="77777777" w:rsidR="004B4E35" w:rsidRPr="00405303" w:rsidRDefault="009E6F82" w:rsidP="00C15251">
      <w:pPr>
        <w:jc w:val="both"/>
        <w:rPr>
          <w:bCs/>
          <w:color w:val="002060"/>
          <w:sz w:val="16"/>
          <w:szCs w:val="16"/>
        </w:rPr>
      </w:pPr>
      <w:r w:rsidRPr="00405303">
        <w:rPr>
          <w:bCs/>
          <w:color w:val="002060"/>
          <w:sz w:val="16"/>
          <w:szCs w:val="16"/>
        </w:rPr>
        <w:t>От экспериментов и опытных работ Англия переходила в область практической реализации (12111).</w:t>
      </w:r>
    </w:p>
    <w:p w14:paraId="2E484EA1" w14:textId="77777777" w:rsidR="004B4E35" w:rsidRPr="00405303" w:rsidRDefault="004B4E35" w:rsidP="00C15251">
      <w:pPr>
        <w:jc w:val="both"/>
        <w:rPr>
          <w:bCs/>
          <w:color w:val="002060"/>
          <w:sz w:val="16"/>
          <w:szCs w:val="16"/>
        </w:rPr>
      </w:pPr>
    </w:p>
    <w:p w14:paraId="5B786371" w14:textId="6D12696B" w:rsidR="00E2193F" w:rsidRPr="00405303" w:rsidRDefault="00E2193F" w:rsidP="00C15251">
      <w:pPr>
        <w:jc w:val="both"/>
        <w:rPr>
          <w:bCs/>
          <w:i/>
          <w:color w:val="002060"/>
          <w:sz w:val="16"/>
          <w:szCs w:val="16"/>
        </w:rPr>
      </w:pPr>
      <w:r w:rsidRPr="00405303">
        <w:rPr>
          <w:bCs/>
          <w:i/>
          <w:color w:val="002060"/>
          <w:sz w:val="16"/>
          <w:szCs w:val="16"/>
        </w:rPr>
        <w:t>Самолетостроение:</w:t>
      </w:r>
    </w:p>
    <w:p w14:paraId="7377FB07" w14:textId="77777777" w:rsidR="00E2193F" w:rsidRPr="00405303" w:rsidRDefault="00E2193F" w:rsidP="00C15251">
      <w:pPr>
        <w:jc w:val="both"/>
        <w:rPr>
          <w:bCs/>
          <w:i/>
          <w:color w:val="002060"/>
          <w:sz w:val="16"/>
          <w:szCs w:val="16"/>
        </w:rPr>
      </w:pPr>
    </w:p>
    <w:p w14:paraId="2B7A027D" w14:textId="77777777" w:rsidR="00DD43E9" w:rsidRPr="00405303" w:rsidRDefault="00DD43E9" w:rsidP="00DD43E9">
      <w:pPr>
        <w:jc w:val="both"/>
        <w:rPr>
          <w:color w:val="0070C0"/>
          <w:sz w:val="16"/>
          <w:szCs w:val="16"/>
        </w:rPr>
      </w:pPr>
      <w:r w:rsidRPr="00405303">
        <w:rPr>
          <w:color w:val="0070C0"/>
          <w:sz w:val="16"/>
          <w:szCs w:val="16"/>
        </w:rPr>
        <w:t>12 (25) августа 1915 года</w:t>
      </w:r>
      <w:r w:rsidRPr="00405303">
        <w:rPr>
          <w:rFonts w:eastAsia="Cambria"/>
          <w:color w:val="0070C0"/>
          <w:sz w:val="16"/>
          <w:szCs w:val="16"/>
        </w:rPr>
        <w:t xml:space="preserve"> был наряд ГВТУ на аэропланы</w:t>
      </w:r>
      <w:r w:rsidRPr="00405303">
        <w:rPr>
          <w:color w:val="0070C0"/>
          <w:sz w:val="16"/>
          <w:szCs w:val="16"/>
        </w:rPr>
        <w:t>.</w:t>
      </w:r>
    </w:p>
    <w:tbl>
      <w:tblPr>
        <w:tblOverlap w:val="never"/>
        <w:tblW w:w="0" w:type="auto"/>
        <w:tblLayout w:type="fixed"/>
        <w:tblCellMar>
          <w:left w:w="10" w:type="dxa"/>
          <w:right w:w="10" w:type="dxa"/>
        </w:tblCellMar>
        <w:tblLook w:val="0000" w:firstRow="0" w:lastRow="0" w:firstColumn="0" w:lastColumn="0" w:noHBand="0" w:noVBand="0"/>
      </w:tblPr>
      <w:tblGrid>
        <w:gridCol w:w="2606"/>
        <w:gridCol w:w="2520"/>
        <w:gridCol w:w="1051"/>
      </w:tblGrid>
      <w:tr w:rsidR="00DD43E9" w:rsidRPr="00405303" w14:paraId="32E19C62" w14:textId="77777777" w:rsidTr="00BD0BCB">
        <w:trPr>
          <w:trHeight w:hRule="exact" w:val="566"/>
        </w:trPr>
        <w:tc>
          <w:tcPr>
            <w:tcW w:w="2606" w:type="dxa"/>
            <w:tcBorders>
              <w:top w:val="single" w:sz="4" w:space="0" w:color="auto"/>
            </w:tcBorders>
            <w:shd w:val="clear" w:color="auto" w:fill="FFFFFF"/>
            <w:vAlign w:val="center"/>
          </w:tcPr>
          <w:p w14:paraId="02BE4284" w14:textId="77777777" w:rsidR="00DD43E9" w:rsidRPr="00405303" w:rsidRDefault="00DD43E9" w:rsidP="00BD0BCB">
            <w:pPr>
              <w:jc w:val="both"/>
              <w:rPr>
                <w:color w:val="0070C0"/>
                <w:sz w:val="16"/>
                <w:szCs w:val="16"/>
              </w:rPr>
            </w:pPr>
            <w:r w:rsidRPr="00405303">
              <w:rPr>
                <w:color w:val="0070C0"/>
                <w:sz w:val="16"/>
                <w:szCs w:val="16"/>
              </w:rPr>
              <w:t>Завод.</w:t>
            </w:r>
          </w:p>
        </w:tc>
        <w:tc>
          <w:tcPr>
            <w:tcW w:w="2520" w:type="dxa"/>
            <w:tcBorders>
              <w:top w:val="single" w:sz="4" w:space="0" w:color="auto"/>
              <w:left w:val="single" w:sz="4" w:space="0" w:color="auto"/>
            </w:tcBorders>
            <w:shd w:val="clear" w:color="auto" w:fill="FFFFFF"/>
            <w:vAlign w:val="center"/>
          </w:tcPr>
          <w:p w14:paraId="580A71E8" w14:textId="77777777" w:rsidR="00DD43E9" w:rsidRPr="00405303" w:rsidRDefault="00DD43E9" w:rsidP="00BD0BCB">
            <w:pPr>
              <w:jc w:val="both"/>
              <w:rPr>
                <w:color w:val="0070C0"/>
                <w:sz w:val="16"/>
                <w:szCs w:val="16"/>
              </w:rPr>
            </w:pPr>
            <w:r w:rsidRPr="00405303">
              <w:rPr>
                <w:color w:val="0070C0"/>
                <w:sz w:val="16"/>
                <w:szCs w:val="16"/>
              </w:rPr>
              <w:t>Система.</w:t>
            </w:r>
          </w:p>
        </w:tc>
        <w:tc>
          <w:tcPr>
            <w:tcW w:w="1051" w:type="dxa"/>
            <w:tcBorders>
              <w:top w:val="single" w:sz="4" w:space="0" w:color="auto"/>
              <w:left w:val="single" w:sz="4" w:space="0" w:color="auto"/>
            </w:tcBorders>
            <w:shd w:val="clear" w:color="auto" w:fill="FFFFFF"/>
            <w:vAlign w:val="center"/>
          </w:tcPr>
          <w:p w14:paraId="23C0B4B7" w14:textId="77777777" w:rsidR="00DD43E9" w:rsidRPr="00405303" w:rsidRDefault="00DD43E9" w:rsidP="00BD0BCB">
            <w:pPr>
              <w:jc w:val="both"/>
              <w:rPr>
                <w:color w:val="0070C0"/>
                <w:sz w:val="16"/>
                <w:szCs w:val="16"/>
              </w:rPr>
            </w:pPr>
            <w:r w:rsidRPr="00405303">
              <w:rPr>
                <w:color w:val="0070C0"/>
                <w:sz w:val="16"/>
                <w:szCs w:val="16"/>
              </w:rPr>
              <w:t>Количество.</w:t>
            </w:r>
          </w:p>
        </w:tc>
      </w:tr>
      <w:tr w:rsidR="00DD43E9" w:rsidRPr="00405303" w14:paraId="487ADF29" w14:textId="77777777" w:rsidTr="00BD0BCB">
        <w:trPr>
          <w:trHeight w:hRule="exact" w:val="442"/>
        </w:trPr>
        <w:tc>
          <w:tcPr>
            <w:tcW w:w="2606" w:type="dxa"/>
            <w:tcBorders>
              <w:top w:val="single" w:sz="4" w:space="0" w:color="auto"/>
            </w:tcBorders>
            <w:shd w:val="clear" w:color="auto" w:fill="FFFFFF"/>
            <w:vAlign w:val="bottom"/>
          </w:tcPr>
          <w:p w14:paraId="14393585" w14:textId="77777777" w:rsidR="00DD43E9" w:rsidRPr="00405303" w:rsidRDefault="00DD43E9" w:rsidP="00BD0BCB">
            <w:pPr>
              <w:jc w:val="both"/>
              <w:rPr>
                <w:color w:val="0070C0"/>
                <w:sz w:val="16"/>
                <w:szCs w:val="16"/>
              </w:rPr>
            </w:pPr>
            <w:r w:rsidRPr="00405303">
              <w:rPr>
                <w:color w:val="0070C0"/>
                <w:sz w:val="16"/>
                <w:szCs w:val="16"/>
              </w:rPr>
              <w:t>Щетинин</w:t>
            </w:r>
            <w:r w:rsidRPr="00405303">
              <w:rPr>
                <w:color w:val="0070C0"/>
                <w:sz w:val="16"/>
                <w:szCs w:val="16"/>
              </w:rPr>
              <w:tab/>
            </w:r>
          </w:p>
        </w:tc>
        <w:tc>
          <w:tcPr>
            <w:tcW w:w="2520" w:type="dxa"/>
            <w:tcBorders>
              <w:top w:val="single" w:sz="4" w:space="0" w:color="auto"/>
              <w:left w:val="single" w:sz="4" w:space="0" w:color="auto"/>
            </w:tcBorders>
            <w:shd w:val="clear" w:color="auto" w:fill="FFFFFF"/>
            <w:vAlign w:val="bottom"/>
          </w:tcPr>
          <w:p w14:paraId="71C6E197" w14:textId="77777777" w:rsidR="00DD43E9" w:rsidRPr="00405303" w:rsidRDefault="00DD43E9" w:rsidP="00BD0BCB">
            <w:pPr>
              <w:jc w:val="both"/>
              <w:rPr>
                <w:color w:val="0070C0"/>
                <w:sz w:val="16"/>
                <w:szCs w:val="16"/>
              </w:rPr>
            </w:pPr>
            <w:r w:rsidRPr="00405303">
              <w:rPr>
                <w:color w:val="0070C0"/>
                <w:sz w:val="16"/>
                <w:szCs w:val="16"/>
              </w:rPr>
              <w:t>Вуазен</w:t>
            </w:r>
            <w:r w:rsidRPr="00405303">
              <w:rPr>
                <w:color w:val="0070C0"/>
                <w:sz w:val="16"/>
                <w:szCs w:val="16"/>
              </w:rPr>
              <w:tab/>
            </w:r>
          </w:p>
        </w:tc>
        <w:tc>
          <w:tcPr>
            <w:tcW w:w="1051" w:type="dxa"/>
            <w:tcBorders>
              <w:top w:val="single" w:sz="4" w:space="0" w:color="auto"/>
              <w:left w:val="single" w:sz="4" w:space="0" w:color="auto"/>
            </w:tcBorders>
            <w:shd w:val="clear" w:color="auto" w:fill="FFFFFF"/>
            <w:vAlign w:val="bottom"/>
          </w:tcPr>
          <w:p w14:paraId="75C9597C" w14:textId="77777777" w:rsidR="00DD43E9" w:rsidRPr="00405303" w:rsidRDefault="00DD43E9" w:rsidP="00BD0BCB">
            <w:pPr>
              <w:jc w:val="both"/>
              <w:rPr>
                <w:color w:val="0070C0"/>
                <w:sz w:val="16"/>
                <w:szCs w:val="16"/>
              </w:rPr>
            </w:pPr>
            <w:r w:rsidRPr="00405303">
              <w:rPr>
                <w:color w:val="0070C0"/>
                <w:sz w:val="16"/>
                <w:szCs w:val="16"/>
              </w:rPr>
              <w:t>150</w:t>
            </w:r>
          </w:p>
        </w:tc>
      </w:tr>
      <w:tr w:rsidR="00DD43E9" w:rsidRPr="00405303" w14:paraId="573D1A8A" w14:textId="77777777" w:rsidTr="00BD0BCB">
        <w:trPr>
          <w:trHeight w:hRule="exact" w:val="173"/>
        </w:trPr>
        <w:tc>
          <w:tcPr>
            <w:tcW w:w="2606" w:type="dxa"/>
            <w:tcBorders>
              <w:top w:val="single" w:sz="4" w:space="0" w:color="auto"/>
            </w:tcBorders>
            <w:shd w:val="clear" w:color="auto" w:fill="FFFFFF"/>
          </w:tcPr>
          <w:p w14:paraId="2CCFFE23" w14:textId="77777777" w:rsidR="00DD43E9" w:rsidRPr="00405303" w:rsidRDefault="00DD43E9" w:rsidP="00BD0BCB">
            <w:pPr>
              <w:jc w:val="both"/>
              <w:rPr>
                <w:color w:val="0070C0"/>
                <w:sz w:val="16"/>
                <w:szCs w:val="16"/>
              </w:rPr>
            </w:pPr>
            <w:r w:rsidRPr="00405303">
              <w:rPr>
                <w:color w:val="0070C0"/>
                <w:sz w:val="16"/>
                <w:szCs w:val="16"/>
              </w:rPr>
              <w:t xml:space="preserve">Лебедев </w:t>
            </w:r>
            <w:r w:rsidRPr="00405303">
              <w:rPr>
                <w:color w:val="0070C0"/>
                <w:sz w:val="16"/>
                <w:szCs w:val="16"/>
              </w:rPr>
              <w:tab/>
            </w:r>
          </w:p>
        </w:tc>
        <w:tc>
          <w:tcPr>
            <w:tcW w:w="2520" w:type="dxa"/>
            <w:tcBorders>
              <w:top w:val="single" w:sz="4" w:space="0" w:color="auto"/>
              <w:left w:val="single" w:sz="4" w:space="0" w:color="auto"/>
            </w:tcBorders>
            <w:shd w:val="clear" w:color="auto" w:fill="FFFFFF"/>
          </w:tcPr>
          <w:p w14:paraId="4255612D" w14:textId="77777777" w:rsidR="00DD43E9" w:rsidRPr="00405303" w:rsidRDefault="00DD43E9" w:rsidP="00BD0BCB">
            <w:pPr>
              <w:jc w:val="both"/>
              <w:rPr>
                <w:color w:val="0070C0"/>
                <w:sz w:val="16"/>
                <w:szCs w:val="16"/>
              </w:rPr>
            </w:pPr>
            <w:r w:rsidRPr="00405303">
              <w:rPr>
                <w:color w:val="0070C0"/>
                <w:sz w:val="16"/>
                <w:szCs w:val="16"/>
              </w:rPr>
              <w:t>Вуазен</w:t>
            </w:r>
            <w:r w:rsidRPr="00405303">
              <w:rPr>
                <w:color w:val="0070C0"/>
                <w:sz w:val="16"/>
                <w:szCs w:val="16"/>
              </w:rPr>
              <w:tab/>
              <w:t>•</w:t>
            </w:r>
          </w:p>
        </w:tc>
        <w:tc>
          <w:tcPr>
            <w:tcW w:w="1051" w:type="dxa"/>
            <w:tcBorders>
              <w:left w:val="single" w:sz="4" w:space="0" w:color="auto"/>
            </w:tcBorders>
            <w:shd w:val="clear" w:color="auto" w:fill="FFFFFF"/>
          </w:tcPr>
          <w:p w14:paraId="607DDABB" w14:textId="77777777" w:rsidR="00DD43E9" w:rsidRPr="00405303" w:rsidRDefault="00DD43E9" w:rsidP="00BD0BCB">
            <w:pPr>
              <w:jc w:val="both"/>
              <w:rPr>
                <w:color w:val="0070C0"/>
                <w:sz w:val="16"/>
                <w:szCs w:val="16"/>
              </w:rPr>
            </w:pPr>
            <w:r w:rsidRPr="00405303">
              <w:rPr>
                <w:color w:val="0070C0"/>
                <w:sz w:val="16"/>
                <w:szCs w:val="16"/>
              </w:rPr>
              <w:t>200</w:t>
            </w:r>
          </w:p>
        </w:tc>
      </w:tr>
      <w:tr w:rsidR="00DD43E9" w:rsidRPr="00405303" w14:paraId="1E98E999" w14:textId="77777777" w:rsidTr="00BD0BCB">
        <w:trPr>
          <w:trHeight w:hRule="exact" w:val="178"/>
        </w:trPr>
        <w:tc>
          <w:tcPr>
            <w:tcW w:w="2606" w:type="dxa"/>
            <w:vMerge w:val="restart"/>
            <w:tcBorders>
              <w:top w:val="single" w:sz="4" w:space="0" w:color="auto"/>
            </w:tcBorders>
            <w:shd w:val="clear" w:color="auto" w:fill="FFFFFF"/>
          </w:tcPr>
          <w:p w14:paraId="5E2FFB78" w14:textId="77777777" w:rsidR="00DD43E9" w:rsidRPr="00405303" w:rsidRDefault="00DD43E9" w:rsidP="00BD0BCB">
            <w:pPr>
              <w:jc w:val="both"/>
              <w:rPr>
                <w:color w:val="0070C0"/>
                <w:sz w:val="16"/>
                <w:szCs w:val="16"/>
              </w:rPr>
            </w:pPr>
            <w:r w:rsidRPr="00405303">
              <w:rPr>
                <w:color w:val="0070C0"/>
                <w:sz w:val="16"/>
                <w:szCs w:val="16"/>
              </w:rPr>
              <w:t>Дуке</w:t>
            </w:r>
            <w:r w:rsidRPr="00405303">
              <w:rPr>
                <w:color w:val="0070C0"/>
                <w:sz w:val="16"/>
                <w:szCs w:val="16"/>
              </w:rPr>
              <w:tab/>
            </w:r>
          </w:p>
        </w:tc>
        <w:tc>
          <w:tcPr>
            <w:tcW w:w="2520" w:type="dxa"/>
            <w:tcBorders>
              <w:top w:val="single" w:sz="4" w:space="0" w:color="auto"/>
              <w:left w:val="single" w:sz="4" w:space="0" w:color="auto"/>
            </w:tcBorders>
            <w:shd w:val="clear" w:color="auto" w:fill="FFFFFF"/>
          </w:tcPr>
          <w:p w14:paraId="71CF148A" w14:textId="77777777" w:rsidR="00DD43E9" w:rsidRPr="00405303" w:rsidRDefault="00DD43E9" w:rsidP="00BD0BCB">
            <w:pPr>
              <w:jc w:val="both"/>
              <w:rPr>
                <w:color w:val="0070C0"/>
                <w:sz w:val="16"/>
                <w:szCs w:val="16"/>
              </w:rPr>
            </w:pPr>
            <w:r w:rsidRPr="00405303">
              <w:rPr>
                <w:color w:val="0070C0"/>
                <w:sz w:val="16"/>
                <w:szCs w:val="16"/>
              </w:rPr>
              <w:t>I Вуазен</w:t>
            </w:r>
            <w:r w:rsidRPr="00405303">
              <w:rPr>
                <w:color w:val="0070C0"/>
                <w:sz w:val="16"/>
                <w:szCs w:val="16"/>
              </w:rPr>
              <w:tab/>
            </w:r>
          </w:p>
        </w:tc>
        <w:tc>
          <w:tcPr>
            <w:tcW w:w="1051" w:type="dxa"/>
            <w:tcBorders>
              <w:left w:val="single" w:sz="4" w:space="0" w:color="auto"/>
            </w:tcBorders>
            <w:shd w:val="clear" w:color="auto" w:fill="FFFFFF"/>
          </w:tcPr>
          <w:p w14:paraId="3053EC31" w14:textId="77777777" w:rsidR="00DD43E9" w:rsidRPr="00405303" w:rsidRDefault="00DD43E9" w:rsidP="00BD0BCB">
            <w:pPr>
              <w:jc w:val="both"/>
              <w:rPr>
                <w:color w:val="0070C0"/>
                <w:sz w:val="16"/>
                <w:szCs w:val="16"/>
              </w:rPr>
            </w:pPr>
            <w:r w:rsidRPr="00405303">
              <w:rPr>
                <w:color w:val="0070C0"/>
                <w:sz w:val="16"/>
                <w:szCs w:val="16"/>
              </w:rPr>
              <w:t>100</w:t>
            </w:r>
          </w:p>
        </w:tc>
      </w:tr>
      <w:tr w:rsidR="00DD43E9" w:rsidRPr="00405303" w14:paraId="2360BF8A" w14:textId="77777777" w:rsidTr="00BD0BCB">
        <w:trPr>
          <w:trHeight w:hRule="exact" w:val="168"/>
        </w:trPr>
        <w:tc>
          <w:tcPr>
            <w:tcW w:w="2606" w:type="dxa"/>
            <w:vMerge/>
            <w:shd w:val="clear" w:color="auto" w:fill="FFFFFF"/>
          </w:tcPr>
          <w:p w14:paraId="6B46453B" w14:textId="77777777" w:rsidR="00DD43E9" w:rsidRPr="00405303" w:rsidRDefault="00DD43E9" w:rsidP="00BD0BCB">
            <w:pPr>
              <w:jc w:val="both"/>
              <w:rPr>
                <w:color w:val="0070C0"/>
                <w:sz w:val="16"/>
                <w:szCs w:val="16"/>
              </w:rPr>
            </w:pPr>
          </w:p>
        </w:tc>
        <w:tc>
          <w:tcPr>
            <w:tcW w:w="2520" w:type="dxa"/>
            <w:tcBorders>
              <w:top w:val="single" w:sz="4" w:space="0" w:color="auto"/>
              <w:left w:val="single" w:sz="4" w:space="0" w:color="auto"/>
            </w:tcBorders>
            <w:shd w:val="clear" w:color="auto" w:fill="FFFFFF"/>
          </w:tcPr>
          <w:p w14:paraId="01DAE08C" w14:textId="77777777" w:rsidR="00DD43E9" w:rsidRPr="00405303" w:rsidRDefault="00DD43E9" w:rsidP="00BD0BCB">
            <w:pPr>
              <w:jc w:val="both"/>
              <w:rPr>
                <w:color w:val="0070C0"/>
                <w:sz w:val="16"/>
                <w:szCs w:val="16"/>
              </w:rPr>
            </w:pPr>
            <w:r w:rsidRPr="00405303">
              <w:rPr>
                <w:color w:val="0070C0"/>
                <w:sz w:val="16"/>
                <w:szCs w:val="16"/>
              </w:rPr>
              <w:t xml:space="preserve">1 Парасоль • </w:t>
            </w:r>
            <w:r w:rsidRPr="00405303">
              <w:rPr>
                <w:color w:val="0070C0"/>
                <w:sz w:val="16"/>
                <w:szCs w:val="16"/>
              </w:rPr>
              <w:tab/>
            </w:r>
          </w:p>
        </w:tc>
        <w:tc>
          <w:tcPr>
            <w:tcW w:w="1051" w:type="dxa"/>
            <w:tcBorders>
              <w:left w:val="single" w:sz="4" w:space="0" w:color="auto"/>
            </w:tcBorders>
            <w:shd w:val="clear" w:color="auto" w:fill="FFFFFF"/>
          </w:tcPr>
          <w:p w14:paraId="44E514EE" w14:textId="77777777" w:rsidR="00DD43E9" w:rsidRPr="00405303" w:rsidRDefault="00DD43E9" w:rsidP="00BD0BCB">
            <w:pPr>
              <w:jc w:val="both"/>
              <w:rPr>
                <w:color w:val="0070C0"/>
                <w:sz w:val="16"/>
                <w:szCs w:val="16"/>
              </w:rPr>
            </w:pPr>
            <w:r w:rsidRPr="00405303">
              <w:rPr>
                <w:color w:val="0070C0"/>
                <w:sz w:val="16"/>
                <w:szCs w:val="16"/>
              </w:rPr>
              <w:t>200</w:t>
            </w:r>
          </w:p>
        </w:tc>
      </w:tr>
      <w:tr w:rsidR="00DD43E9" w:rsidRPr="00405303" w14:paraId="481090A3" w14:textId="77777777" w:rsidTr="00BD0BCB">
        <w:trPr>
          <w:trHeight w:hRule="exact" w:val="173"/>
        </w:trPr>
        <w:tc>
          <w:tcPr>
            <w:tcW w:w="2606" w:type="dxa"/>
            <w:shd w:val="clear" w:color="auto" w:fill="FFFFFF"/>
          </w:tcPr>
          <w:p w14:paraId="51A0C9C7" w14:textId="77777777" w:rsidR="00DD43E9" w:rsidRPr="00405303" w:rsidRDefault="00DD43E9" w:rsidP="00BD0BCB">
            <w:pPr>
              <w:jc w:val="both"/>
              <w:rPr>
                <w:color w:val="0070C0"/>
                <w:sz w:val="16"/>
                <w:szCs w:val="16"/>
              </w:rPr>
            </w:pPr>
            <w:r w:rsidRPr="00405303">
              <w:rPr>
                <w:color w:val="0070C0"/>
                <w:sz w:val="16"/>
                <w:szCs w:val="16"/>
              </w:rPr>
              <w:t>Анатра</w:t>
            </w:r>
            <w:r w:rsidRPr="00405303">
              <w:rPr>
                <w:color w:val="0070C0"/>
                <w:sz w:val="16"/>
                <w:szCs w:val="16"/>
              </w:rPr>
              <w:tab/>
            </w:r>
          </w:p>
        </w:tc>
        <w:tc>
          <w:tcPr>
            <w:tcW w:w="2520" w:type="dxa"/>
            <w:tcBorders>
              <w:top w:val="single" w:sz="4" w:space="0" w:color="auto"/>
              <w:left w:val="single" w:sz="4" w:space="0" w:color="auto"/>
            </w:tcBorders>
            <w:shd w:val="clear" w:color="auto" w:fill="FFFFFF"/>
          </w:tcPr>
          <w:p w14:paraId="2069BD6C" w14:textId="77777777" w:rsidR="00DD43E9" w:rsidRPr="00405303" w:rsidRDefault="00DD43E9" w:rsidP="00BD0BCB">
            <w:pPr>
              <w:jc w:val="both"/>
              <w:rPr>
                <w:color w:val="0070C0"/>
                <w:sz w:val="16"/>
                <w:szCs w:val="16"/>
              </w:rPr>
            </w:pPr>
            <w:r w:rsidRPr="00405303">
              <w:rPr>
                <w:color w:val="0070C0"/>
                <w:sz w:val="16"/>
                <w:szCs w:val="16"/>
              </w:rPr>
              <w:t>Вуазен</w:t>
            </w:r>
            <w:r w:rsidRPr="00405303">
              <w:rPr>
                <w:color w:val="0070C0"/>
                <w:sz w:val="16"/>
                <w:szCs w:val="16"/>
              </w:rPr>
              <w:tab/>
            </w:r>
            <w:r w:rsidRPr="00405303">
              <w:rPr>
                <w:color w:val="0070C0"/>
                <w:sz w:val="16"/>
                <w:szCs w:val="16"/>
              </w:rPr>
              <w:tab/>
            </w:r>
          </w:p>
        </w:tc>
        <w:tc>
          <w:tcPr>
            <w:tcW w:w="1051" w:type="dxa"/>
            <w:tcBorders>
              <w:left w:val="single" w:sz="4" w:space="0" w:color="auto"/>
            </w:tcBorders>
            <w:shd w:val="clear" w:color="auto" w:fill="FFFFFF"/>
          </w:tcPr>
          <w:p w14:paraId="1394A1D1" w14:textId="77777777" w:rsidR="00DD43E9" w:rsidRPr="00405303" w:rsidRDefault="00DD43E9" w:rsidP="00BD0BCB">
            <w:pPr>
              <w:jc w:val="both"/>
              <w:rPr>
                <w:color w:val="0070C0"/>
                <w:sz w:val="16"/>
                <w:szCs w:val="16"/>
              </w:rPr>
            </w:pPr>
            <w:r w:rsidRPr="00405303">
              <w:rPr>
                <w:color w:val="0070C0"/>
                <w:sz w:val="16"/>
                <w:szCs w:val="16"/>
              </w:rPr>
              <w:t>150</w:t>
            </w:r>
          </w:p>
        </w:tc>
      </w:tr>
      <w:tr w:rsidR="00DD43E9" w:rsidRPr="00405303" w14:paraId="4C4D11A7" w14:textId="77777777" w:rsidTr="00BD0BCB">
        <w:trPr>
          <w:trHeight w:hRule="exact" w:val="341"/>
        </w:trPr>
        <w:tc>
          <w:tcPr>
            <w:tcW w:w="2606" w:type="dxa"/>
            <w:tcBorders>
              <w:top w:val="single" w:sz="4" w:space="0" w:color="auto"/>
            </w:tcBorders>
            <w:shd w:val="clear" w:color="auto" w:fill="FFFFFF"/>
          </w:tcPr>
          <w:p w14:paraId="3E89A285" w14:textId="77777777" w:rsidR="00DD43E9" w:rsidRPr="00405303" w:rsidRDefault="00DD43E9" w:rsidP="00BD0BCB">
            <w:pPr>
              <w:jc w:val="both"/>
              <w:rPr>
                <w:color w:val="0070C0"/>
                <w:sz w:val="16"/>
                <w:szCs w:val="16"/>
              </w:rPr>
            </w:pPr>
            <w:r w:rsidRPr="00405303">
              <w:rPr>
                <w:color w:val="0070C0"/>
                <w:sz w:val="16"/>
                <w:szCs w:val="16"/>
              </w:rPr>
              <w:t>Слюсаренко</w:t>
            </w:r>
            <w:r w:rsidRPr="00405303">
              <w:rPr>
                <w:color w:val="0070C0"/>
                <w:sz w:val="16"/>
                <w:szCs w:val="16"/>
              </w:rPr>
              <w:tab/>
            </w:r>
            <w:r w:rsidRPr="00405303">
              <w:rPr>
                <w:color w:val="0070C0"/>
                <w:sz w:val="16"/>
                <w:szCs w:val="16"/>
              </w:rPr>
              <w:tab/>
            </w:r>
          </w:p>
        </w:tc>
        <w:tc>
          <w:tcPr>
            <w:tcW w:w="2520" w:type="dxa"/>
            <w:tcBorders>
              <w:top w:val="single" w:sz="4" w:space="0" w:color="auto"/>
              <w:left w:val="single" w:sz="4" w:space="0" w:color="auto"/>
            </w:tcBorders>
            <w:shd w:val="clear" w:color="auto" w:fill="FFFFFF"/>
          </w:tcPr>
          <w:p w14:paraId="412C91F9" w14:textId="73EDDA14" w:rsidR="00DD43E9" w:rsidRPr="00405303" w:rsidRDefault="00DD43E9" w:rsidP="00BD0BCB">
            <w:pPr>
              <w:jc w:val="both"/>
              <w:rPr>
                <w:color w:val="0070C0"/>
                <w:sz w:val="16"/>
                <w:szCs w:val="16"/>
              </w:rPr>
            </w:pPr>
            <w:proofErr w:type="gramStart"/>
            <w:r w:rsidRPr="00405303">
              <w:rPr>
                <w:color w:val="0070C0"/>
                <w:sz w:val="16"/>
                <w:szCs w:val="16"/>
              </w:rPr>
              <w:t>( Парасоль</w:t>
            </w:r>
            <w:r w:rsidRPr="00405303">
              <w:rPr>
                <w:color w:val="0070C0"/>
                <w:sz w:val="16"/>
                <w:szCs w:val="16"/>
              </w:rPr>
              <w:tab/>
            </w:r>
            <w:r w:rsidR="000F5756">
              <w:rPr>
                <w:color w:val="0070C0"/>
                <w:sz w:val="16"/>
                <w:szCs w:val="16"/>
              </w:rPr>
              <w:t xml:space="preserve"> </w:t>
            </w:r>
            <w:r w:rsidRPr="00405303">
              <w:rPr>
                <w:color w:val="0070C0"/>
                <w:sz w:val="16"/>
                <w:szCs w:val="16"/>
              </w:rPr>
              <w:t>.</w:t>
            </w:r>
            <w:proofErr w:type="gramEnd"/>
          </w:p>
          <w:p w14:paraId="65E8C623" w14:textId="77777777" w:rsidR="00DD43E9" w:rsidRPr="00405303" w:rsidRDefault="00DD43E9" w:rsidP="00BD0BCB">
            <w:pPr>
              <w:jc w:val="both"/>
              <w:rPr>
                <w:color w:val="0070C0"/>
                <w:sz w:val="16"/>
                <w:szCs w:val="16"/>
              </w:rPr>
            </w:pPr>
            <w:proofErr w:type="gramStart"/>
            <w:r w:rsidRPr="00405303">
              <w:rPr>
                <w:color w:val="0070C0"/>
                <w:sz w:val="16"/>
                <w:szCs w:val="16"/>
              </w:rPr>
              <w:t>( Парасоль</w:t>
            </w:r>
            <w:proofErr w:type="gramEnd"/>
            <w:r w:rsidRPr="00405303">
              <w:rPr>
                <w:color w:val="0070C0"/>
                <w:sz w:val="16"/>
                <w:szCs w:val="16"/>
              </w:rPr>
              <w:tab/>
            </w:r>
          </w:p>
        </w:tc>
        <w:tc>
          <w:tcPr>
            <w:tcW w:w="1051" w:type="dxa"/>
            <w:tcBorders>
              <w:left w:val="single" w:sz="4" w:space="0" w:color="auto"/>
            </w:tcBorders>
            <w:shd w:val="clear" w:color="auto" w:fill="FFFFFF"/>
          </w:tcPr>
          <w:p w14:paraId="2E060DE6" w14:textId="77777777" w:rsidR="00DD43E9" w:rsidRPr="00405303" w:rsidRDefault="00DD43E9" w:rsidP="00BD0BCB">
            <w:pPr>
              <w:jc w:val="both"/>
              <w:rPr>
                <w:color w:val="0070C0"/>
                <w:sz w:val="16"/>
                <w:szCs w:val="16"/>
              </w:rPr>
            </w:pPr>
            <w:r w:rsidRPr="00405303">
              <w:rPr>
                <w:color w:val="0070C0"/>
                <w:sz w:val="16"/>
                <w:szCs w:val="16"/>
              </w:rPr>
              <w:t>50</w:t>
            </w:r>
          </w:p>
          <w:p w14:paraId="394FFA96" w14:textId="77777777" w:rsidR="00DD43E9" w:rsidRPr="00405303" w:rsidRDefault="00DD43E9" w:rsidP="00BD0BCB">
            <w:pPr>
              <w:jc w:val="both"/>
              <w:rPr>
                <w:color w:val="0070C0"/>
                <w:sz w:val="16"/>
                <w:szCs w:val="16"/>
              </w:rPr>
            </w:pPr>
            <w:r w:rsidRPr="00405303">
              <w:rPr>
                <w:color w:val="0070C0"/>
                <w:sz w:val="16"/>
                <w:szCs w:val="16"/>
              </w:rPr>
              <w:t>25</w:t>
            </w:r>
          </w:p>
        </w:tc>
      </w:tr>
      <w:tr w:rsidR="00DD43E9" w:rsidRPr="00405303" w14:paraId="3D749B40" w14:textId="77777777" w:rsidTr="00BD0BCB">
        <w:trPr>
          <w:trHeight w:hRule="exact" w:val="370"/>
        </w:trPr>
        <w:tc>
          <w:tcPr>
            <w:tcW w:w="2606" w:type="dxa"/>
            <w:shd w:val="clear" w:color="auto" w:fill="FFFFFF"/>
          </w:tcPr>
          <w:p w14:paraId="43AB003F" w14:textId="77777777" w:rsidR="00DD43E9" w:rsidRPr="00405303" w:rsidRDefault="00DD43E9" w:rsidP="00BD0BCB">
            <w:pPr>
              <w:jc w:val="both"/>
              <w:rPr>
                <w:color w:val="0070C0"/>
                <w:sz w:val="16"/>
                <w:szCs w:val="16"/>
              </w:rPr>
            </w:pPr>
            <w:r w:rsidRPr="00405303">
              <w:rPr>
                <w:color w:val="0070C0"/>
                <w:sz w:val="16"/>
                <w:szCs w:val="16"/>
              </w:rPr>
              <w:t xml:space="preserve">Терещенко (в </w:t>
            </w:r>
            <w:proofErr w:type="gramStart"/>
            <w:r w:rsidRPr="00405303">
              <w:rPr>
                <w:color w:val="0070C0"/>
                <w:sz w:val="16"/>
                <w:szCs w:val="16"/>
              </w:rPr>
              <w:t>Москве) ....</w:t>
            </w:r>
            <w:proofErr w:type="gramEnd"/>
          </w:p>
        </w:tc>
        <w:tc>
          <w:tcPr>
            <w:tcW w:w="2520" w:type="dxa"/>
            <w:tcBorders>
              <w:top w:val="single" w:sz="4" w:space="0" w:color="auto"/>
              <w:left w:val="single" w:sz="4" w:space="0" w:color="auto"/>
            </w:tcBorders>
            <w:shd w:val="clear" w:color="auto" w:fill="FFFFFF"/>
          </w:tcPr>
          <w:p w14:paraId="12353CCB" w14:textId="77777777" w:rsidR="00DD43E9" w:rsidRPr="00405303" w:rsidRDefault="00DD43E9" w:rsidP="00BD0BCB">
            <w:pPr>
              <w:jc w:val="both"/>
              <w:rPr>
                <w:color w:val="0070C0"/>
                <w:sz w:val="16"/>
                <w:szCs w:val="16"/>
              </w:rPr>
            </w:pPr>
            <w:r w:rsidRPr="00405303">
              <w:rPr>
                <w:color w:val="0070C0"/>
                <w:sz w:val="16"/>
                <w:szCs w:val="16"/>
              </w:rPr>
              <w:t xml:space="preserve">Парасоль </w:t>
            </w:r>
            <w:r w:rsidRPr="00405303">
              <w:rPr>
                <w:color w:val="0070C0"/>
                <w:sz w:val="16"/>
                <w:szCs w:val="16"/>
              </w:rPr>
              <w:tab/>
            </w:r>
          </w:p>
        </w:tc>
        <w:tc>
          <w:tcPr>
            <w:tcW w:w="1051" w:type="dxa"/>
            <w:tcBorders>
              <w:left w:val="single" w:sz="4" w:space="0" w:color="auto"/>
            </w:tcBorders>
            <w:shd w:val="clear" w:color="auto" w:fill="FFFFFF"/>
          </w:tcPr>
          <w:p w14:paraId="1F69EB4D" w14:textId="77777777" w:rsidR="00DD43E9" w:rsidRPr="00405303" w:rsidRDefault="00DD43E9" w:rsidP="00BD0BCB">
            <w:pPr>
              <w:jc w:val="both"/>
              <w:rPr>
                <w:color w:val="0070C0"/>
                <w:sz w:val="16"/>
                <w:szCs w:val="16"/>
              </w:rPr>
            </w:pPr>
            <w:r w:rsidRPr="00405303">
              <w:rPr>
                <w:color w:val="0070C0"/>
                <w:sz w:val="16"/>
                <w:szCs w:val="16"/>
              </w:rPr>
              <w:t>25</w:t>
            </w:r>
          </w:p>
        </w:tc>
      </w:tr>
    </w:tbl>
    <w:p w14:paraId="3D74BB85" w14:textId="77777777" w:rsidR="00DD43E9" w:rsidRPr="00405303" w:rsidRDefault="00DD43E9" w:rsidP="00DD43E9">
      <w:pPr>
        <w:jc w:val="both"/>
        <w:rPr>
          <w:color w:val="0070C0"/>
          <w:sz w:val="16"/>
          <w:szCs w:val="16"/>
        </w:rPr>
      </w:pPr>
      <w:r w:rsidRPr="00405303">
        <w:rPr>
          <w:color w:val="0070C0"/>
          <w:sz w:val="16"/>
          <w:szCs w:val="16"/>
        </w:rPr>
        <w:t>По наряду 12 августа 1915 года всего заказано было 900 аэропланов. Начальным сроком поставки по этому заказу был назначен октябрь 1915 года, а конечным—июнь 1916 года.</w:t>
      </w:r>
    </w:p>
    <w:p w14:paraId="424AABEB" w14:textId="77777777" w:rsidR="00DD43E9" w:rsidRPr="00405303" w:rsidRDefault="00DD43E9" w:rsidP="00DD43E9">
      <w:pPr>
        <w:jc w:val="both"/>
        <w:rPr>
          <w:color w:val="0070C0"/>
          <w:sz w:val="16"/>
          <w:szCs w:val="16"/>
        </w:rPr>
      </w:pPr>
      <w:r w:rsidRPr="00405303">
        <w:rPr>
          <w:color w:val="0070C0"/>
          <w:sz w:val="16"/>
          <w:szCs w:val="16"/>
        </w:rPr>
        <w:lastRenderedPageBreak/>
        <w:t>Таким образом, по трем указанным нарядам было за</w:t>
      </w:r>
      <w:r w:rsidRPr="00405303">
        <w:rPr>
          <w:color w:val="0070C0"/>
          <w:sz w:val="16"/>
          <w:szCs w:val="16"/>
        </w:rPr>
        <w:softHyphen/>
        <w:t xml:space="preserve">казано 1.472 аэроплана, т.-е. на 33 аппарата </w:t>
      </w:r>
      <w:proofErr w:type="gramStart"/>
      <w:r w:rsidRPr="00405303">
        <w:rPr>
          <w:color w:val="0070C0"/>
          <w:sz w:val="16"/>
          <w:szCs w:val="16"/>
        </w:rPr>
        <w:t>меньше,,</w:t>
      </w:r>
      <w:proofErr w:type="gramEnd"/>
      <w:r w:rsidRPr="00405303">
        <w:rPr>
          <w:color w:val="0070C0"/>
          <w:sz w:val="16"/>
          <w:szCs w:val="16"/>
        </w:rPr>
        <w:t xml:space="preserve"> чем разрешено было положениями Военного Совета. Это обгоняется тем, что при заготовках в 1915 году решено было часть аэропланов не </w:t>
      </w:r>
      <w:proofErr w:type="gramStart"/>
      <w:r w:rsidRPr="00405303">
        <w:rPr>
          <w:color w:val="0070C0"/>
          <w:sz w:val="16"/>
          <w:szCs w:val="16"/>
        </w:rPr>
        <w:t>заказывать, с тем, чтобы</w:t>
      </w:r>
      <w:proofErr w:type="gramEnd"/>
      <w:r w:rsidRPr="00405303">
        <w:rPr>
          <w:color w:val="0070C0"/>
          <w:sz w:val="16"/>
          <w:szCs w:val="16"/>
        </w:rPr>
        <w:t xml:space="preserve"> впо</w:t>
      </w:r>
      <w:r w:rsidRPr="00405303">
        <w:rPr>
          <w:color w:val="0070C0"/>
          <w:sz w:val="16"/>
          <w:szCs w:val="16"/>
        </w:rPr>
        <w:softHyphen/>
        <w:t>следствии заказать их тому заводу, который окажется наи</w:t>
      </w:r>
      <w:r w:rsidRPr="00405303">
        <w:rPr>
          <w:color w:val="0070C0"/>
          <w:sz w:val="16"/>
          <w:szCs w:val="16"/>
        </w:rPr>
        <w:softHyphen/>
        <w:t>более исправным в выполнении ранее полученных заказов.</w:t>
      </w:r>
    </w:p>
    <w:p w14:paraId="45B21E9A" w14:textId="77777777" w:rsidR="00DD43E9" w:rsidRPr="00405303" w:rsidRDefault="00DD43E9" w:rsidP="00DD43E9">
      <w:pPr>
        <w:jc w:val="both"/>
        <w:rPr>
          <w:color w:val="0070C0"/>
          <w:sz w:val="16"/>
          <w:szCs w:val="16"/>
        </w:rPr>
      </w:pPr>
      <w:r w:rsidRPr="00405303">
        <w:rPr>
          <w:color w:val="0070C0"/>
          <w:sz w:val="16"/>
          <w:szCs w:val="16"/>
        </w:rPr>
        <w:t>Кроме того, ГВТУ в различное время были приобре</w:t>
      </w:r>
      <w:r w:rsidRPr="00405303">
        <w:rPr>
          <w:color w:val="0070C0"/>
          <w:sz w:val="16"/>
          <w:szCs w:val="16"/>
        </w:rPr>
        <w:softHyphen/>
        <w:t>тены аэропланы путем наличной покупки или путем зака</w:t>
      </w:r>
      <w:r w:rsidRPr="00405303">
        <w:rPr>
          <w:color w:val="0070C0"/>
          <w:sz w:val="16"/>
          <w:szCs w:val="16"/>
        </w:rPr>
        <w:softHyphen/>
        <w:t>зов на срок мелкими партиями для школ и для действую</w:t>
      </w:r>
      <w:r w:rsidRPr="00405303">
        <w:rPr>
          <w:color w:val="0070C0"/>
          <w:sz w:val="16"/>
          <w:szCs w:val="16"/>
        </w:rPr>
        <w:softHyphen/>
        <w:t>щей армии по особым требованиям.</w:t>
      </w:r>
    </w:p>
    <w:p w14:paraId="5D4CD7AE" w14:textId="77777777" w:rsidR="00DD43E9" w:rsidRPr="00405303" w:rsidRDefault="00DD43E9" w:rsidP="00DD43E9">
      <w:pPr>
        <w:jc w:val="both"/>
        <w:rPr>
          <w:color w:val="0070C0"/>
          <w:sz w:val="16"/>
          <w:szCs w:val="16"/>
        </w:rPr>
      </w:pPr>
      <w:r w:rsidRPr="00405303">
        <w:rPr>
          <w:color w:val="0070C0"/>
          <w:sz w:val="16"/>
          <w:szCs w:val="16"/>
        </w:rPr>
        <w:t>Всего в течение 1914 и 1915 годов, ГВТУ в России было заказало и приобретено валичной покупкой 1.970 аэро</w:t>
      </w:r>
      <w:r w:rsidRPr="00405303">
        <w:rPr>
          <w:color w:val="0070C0"/>
          <w:sz w:val="16"/>
          <w:szCs w:val="16"/>
        </w:rPr>
        <w:softHyphen/>
        <w:t>планов. Все заказы были сделаны тем заводам, которые упомянуты в вышеприведенных таблицах, и только аэро</w:t>
      </w:r>
      <w:r w:rsidRPr="00405303">
        <w:rPr>
          <w:color w:val="0070C0"/>
          <w:sz w:val="16"/>
          <w:szCs w:val="16"/>
        </w:rPr>
        <w:softHyphen/>
        <w:t>планы Сикорский XVI (новейшей, усовершенствованной конструкции) заказаны были Русско-Балтийскому вагонному заводу</w:t>
      </w:r>
    </w:p>
    <w:tbl>
      <w:tblPr>
        <w:tblOverlap w:val="never"/>
        <w:tblW w:w="0" w:type="auto"/>
        <w:tblLayout w:type="fixed"/>
        <w:tblCellMar>
          <w:left w:w="10" w:type="dxa"/>
          <w:right w:w="10" w:type="dxa"/>
        </w:tblCellMar>
        <w:tblLook w:val="0000" w:firstRow="0" w:lastRow="0" w:firstColumn="0" w:lastColumn="0" w:noHBand="0" w:noVBand="0"/>
      </w:tblPr>
      <w:tblGrid>
        <w:gridCol w:w="2107"/>
        <w:gridCol w:w="974"/>
        <w:gridCol w:w="984"/>
        <w:gridCol w:w="1056"/>
        <w:gridCol w:w="1099"/>
      </w:tblGrid>
      <w:tr w:rsidR="00DD43E9" w:rsidRPr="00405303" w14:paraId="59673938" w14:textId="77777777" w:rsidTr="00BD0BCB">
        <w:trPr>
          <w:trHeight w:hRule="exact" w:val="384"/>
          <w:tblHeader/>
        </w:trPr>
        <w:tc>
          <w:tcPr>
            <w:tcW w:w="2107" w:type="dxa"/>
            <w:vMerge w:val="restart"/>
            <w:tcBorders>
              <w:top w:val="single" w:sz="4" w:space="0" w:color="auto"/>
            </w:tcBorders>
            <w:shd w:val="clear" w:color="auto" w:fill="FFFFFF"/>
            <w:vAlign w:val="center"/>
          </w:tcPr>
          <w:p w14:paraId="67FB10F7"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hAnsi="Times New Roman" w:cs="Times New Roman"/>
                <w:color w:val="0070C0"/>
                <w:sz w:val="16"/>
                <w:szCs w:val="16"/>
              </w:rPr>
              <w:t>Система.</w:t>
            </w:r>
          </w:p>
        </w:tc>
        <w:tc>
          <w:tcPr>
            <w:tcW w:w="974" w:type="dxa"/>
            <w:vMerge w:val="restart"/>
            <w:tcBorders>
              <w:top w:val="single" w:sz="4" w:space="0" w:color="auto"/>
              <w:left w:val="single" w:sz="4" w:space="0" w:color="auto"/>
            </w:tcBorders>
            <w:shd w:val="clear" w:color="auto" w:fill="FFFFFF"/>
            <w:vAlign w:val="center"/>
          </w:tcPr>
          <w:p w14:paraId="25C6BD02"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Заказано.</w:t>
            </w:r>
          </w:p>
        </w:tc>
        <w:tc>
          <w:tcPr>
            <w:tcW w:w="984" w:type="dxa"/>
            <w:vMerge w:val="restart"/>
            <w:tcBorders>
              <w:top w:val="single" w:sz="4" w:space="0" w:color="auto"/>
              <w:left w:val="single" w:sz="4" w:space="0" w:color="auto"/>
            </w:tcBorders>
            <w:shd w:val="clear" w:color="auto" w:fill="FFFFFF"/>
            <w:vAlign w:val="center"/>
          </w:tcPr>
          <w:p w14:paraId="544DB112"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Поступило.</w:t>
            </w:r>
          </w:p>
        </w:tc>
        <w:tc>
          <w:tcPr>
            <w:tcW w:w="2155" w:type="dxa"/>
            <w:gridSpan w:val="2"/>
            <w:tcBorders>
              <w:top w:val="single" w:sz="4" w:space="0" w:color="auto"/>
              <w:left w:val="single" w:sz="4" w:space="0" w:color="auto"/>
            </w:tcBorders>
            <w:shd w:val="clear" w:color="auto" w:fill="FFFFFF"/>
            <w:vAlign w:val="bottom"/>
          </w:tcPr>
          <w:p w14:paraId="438ED3FC"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Из поступившего.</w:t>
            </w:r>
          </w:p>
        </w:tc>
      </w:tr>
      <w:tr w:rsidR="00DD43E9" w:rsidRPr="00405303" w14:paraId="16D44EE7" w14:textId="77777777" w:rsidTr="00BD0BCB">
        <w:trPr>
          <w:trHeight w:hRule="exact" w:val="701"/>
        </w:trPr>
        <w:tc>
          <w:tcPr>
            <w:tcW w:w="2107" w:type="dxa"/>
            <w:vMerge/>
            <w:shd w:val="clear" w:color="auto" w:fill="FFFFFF"/>
            <w:vAlign w:val="center"/>
          </w:tcPr>
          <w:p w14:paraId="680B0EE7" w14:textId="77777777" w:rsidR="00DD43E9" w:rsidRPr="00405303" w:rsidRDefault="00DD43E9" w:rsidP="00BD0BCB">
            <w:pPr>
              <w:jc w:val="both"/>
              <w:rPr>
                <w:color w:val="0070C0"/>
                <w:sz w:val="16"/>
                <w:szCs w:val="16"/>
              </w:rPr>
            </w:pPr>
          </w:p>
        </w:tc>
        <w:tc>
          <w:tcPr>
            <w:tcW w:w="974" w:type="dxa"/>
            <w:vMerge/>
            <w:tcBorders>
              <w:left w:val="single" w:sz="4" w:space="0" w:color="auto"/>
            </w:tcBorders>
            <w:shd w:val="clear" w:color="auto" w:fill="FFFFFF"/>
            <w:vAlign w:val="center"/>
          </w:tcPr>
          <w:p w14:paraId="0B47B3E6" w14:textId="77777777" w:rsidR="00DD43E9" w:rsidRPr="00405303" w:rsidRDefault="00DD43E9" w:rsidP="00BD0BCB">
            <w:pPr>
              <w:jc w:val="both"/>
              <w:rPr>
                <w:color w:val="0070C0"/>
                <w:sz w:val="16"/>
                <w:szCs w:val="16"/>
              </w:rPr>
            </w:pPr>
          </w:p>
        </w:tc>
        <w:tc>
          <w:tcPr>
            <w:tcW w:w="984" w:type="dxa"/>
            <w:vMerge/>
            <w:tcBorders>
              <w:left w:val="single" w:sz="4" w:space="0" w:color="auto"/>
            </w:tcBorders>
            <w:shd w:val="clear" w:color="auto" w:fill="FFFFFF"/>
            <w:vAlign w:val="center"/>
          </w:tcPr>
          <w:p w14:paraId="58CD3B52" w14:textId="77777777" w:rsidR="00DD43E9" w:rsidRPr="00405303" w:rsidRDefault="00DD43E9" w:rsidP="00BD0BCB">
            <w:pPr>
              <w:jc w:val="both"/>
              <w:rPr>
                <w:color w:val="0070C0"/>
                <w:sz w:val="16"/>
                <w:szCs w:val="16"/>
              </w:rPr>
            </w:pPr>
          </w:p>
        </w:tc>
        <w:tc>
          <w:tcPr>
            <w:tcW w:w="1056" w:type="dxa"/>
            <w:tcBorders>
              <w:top w:val="single" w:sz="4" w:space="0" w:color="auto"/>
              <w:left w:val="single" w:sz="4" w:space="0" w:color="auto"/>
            </w:tcBorders>
            <w:shd w:val="clear" w:color="auto" w:fill="FFFFFF"/>
            <w:vAlign w:val="center"/>
          </w:tcPr>
          <w:p w14:paraId="54699E8A"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Отправлено на фронт.</w:t>
            </w:r>
          </w:p>
        </w:tc>
        <w:tc>
          <w:tcPr>
            <w:tcW w:w="1099" w:type="dxa"/>
            <w:tcBorders>
              <w:top w:val="single" w:sz="4" w:space="0" w:color="auto"/>
              <w:left w:val="single" w:sz="4" w:space="0" w:color="auto"/>
            </w:tcBorders>
            <w:shd w:val="clear" w:color="auto" w:fill="FFFFFF"/>
            <w:vAlign w:val="center"/>
          </w:tcPr>
          <w:p w14:paraId="72F40798"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Осталось в распоряже</w:t>
            </w:r>
            <w:r w:rsidRPr="00405303">
              <w:rPr>
                <w:rFonts w:ascii="Times New Roman" w:eastAsia="Cambria" w:hAnsi="Times New Roman" w:cs="Times New Roman"/>
                <w:color w:val="0070C0"/>
                <w:sz w:val="16"/>
                <w:szCs w:val="16"/>
              </w:rPr>
              <w:softHyphen/>
              <w:t>нии Г.В.Т.У.</w:t>
            </w:r>
          </w:p>
        </w:tc>
      </w:tr>
      <w:tr w:rsidR="00DD43E9" w:rsidRPr="00405303" w14:paraId="32D38D89" w14:textId="77777777" w:rsidTr="00BD0BCB">
        <w:trPr>
          <w:trHeight w:hRule="exact" w:val="437"/>
        </w:trPr>
        <w:tc>
          <w:tcPr>
            <w:tcW w:w="2107" w:type="dxa"/>
            <w:tcBorders>
              <w:top w:val="single" w:sz="4" w:space="0" w:color="auto"/>
            </w:tcBorders>
            <w:shd w:val="clear" w:color="auto" w:fill="FFFFFF"/>
            <w:vAlign w:val="bottom"/>
          </w:tcPr>
          <w:p w14:paraId="69E3B0FB"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Фарман XXII бис</w:t>
            </w:r>
            <w:proofErr w:type="gramStart"/>
            <w:r w:rsidRPr="00405303">
              <w:rPr>
                <w:rFonts w:ascii="Times New Roman" w:eastAsia="Cambria" w:hAnsi="Times New Roman" w:cs="Times New Roman"/>
                <w:color w:val="0070C0"/>
                <w:sz w:val="16"/>
                <w:szCs w:val="16"/>
              </w:rPr>
              <w:t xml:space="preserve"> ....</w:t>
            </w:r>
            <w:proofErr w:type="gramEnd"/>
          </w:p>
        </w:tc>
        <w:tc>
          <w:tcPr>
            <w:tcW w:w="974" w:type="dxa"/>
            <w:tcBorders>
              <w:top w:val="single" w:sz="4" w:space="0" w:color="auto"/>
              <w:left w:val="single" w:sz="4" w:space="0" w:color="auto"/>
            </w:tcBorders>
            <w:shd w:val="clear" w:color="auto" w:fill="FFFFFF"/>
            <w:vAlign w:val="bottom"/>
          </w:tcPr>
          <w:p w14:paraId="5F098ECF"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93</w:t>
            </w:r>
          </w:p>
        </w:tc>
        <w:tc>
          <w:tcPr>
            <w:tcW w:w="984" w:type="dxa"/>
            <w:tcBorders>
              <w:top w:val="single" w:sz="4" w:space="0" w:color="auto"/>
              <w:left w:val="single" w:sz="4" w:space="0" w:color="auto"/>
            </w:tcBorders>
            <w:shd w:val="clear" w:color="auto" w:fill="FFFFFF"/>
            <w:vAlign w:val="bottom"/>
          </w:tcPr>
          <w:p w14:paraId="0CB87E2F"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78</w:t>
            </w:r>
          </w:p>
        </w:tc>
        <w:tc>
          <w:tcPr>
            <w:tcW w:w="1056" w:type="dxa"/>
            <w:tcBorders>
              <w:top w:val="single" w:sz="4" w:space="0" w:color="auto"/>
              <w:left w:val="single" w:sz="4" w:space="0" w:color="auto"/>
            </w:tcBorders>
            <w:shd w:val="clear" w:color="auto" w:fill="FFFFFF"/>
            <w:vAlign w:val="bottom"/>
          </w:tcPr>
          <w:p w14:paraId="1CCD8288"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52</w:t>
            </w:r>
          </w:p>
        </w:tc>
        <w:tc>
          <w:tcPr>
            <w:tcW w:w="1099" w:type="dxa"/>
            <w:tcBorders>
              <w:top w:val="single" w:sz="4" w:space="0" w:color="auto"/>
              <w:left w:val="single" w:sz="4" w:space="0" w:color="auto"/>
            </w:tcBorders>
            <w:shd w:val="clear" w:color="auto" w:fill="FFFFFF"/>
            <w:vAlign w:val="bottom"/>
          </w:tcPr>
          <w:p w14:paraId="13154A64"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26</w:t>
            </w:r>
          </w:p>
        </w:tc>
      </w:tr>
      <w:tr w:rsidR="00DD43E9" w:rsidRPr="00405303" w14:paraId="095ADC90" w14:textId="77777777" w:rsidTr="00BD0BCB">
        <w:trPr>
          <w:trHeight w:hRule="exact" w:val="178"/>
        </w:trPr>
        <w:tc>
          <w:tcPr>
            <w:tcW w:w="2107" w:type="dxa"/>
            <w:shd w:val="clear" w:color="auto" w:fill="FFFFFF"/>
          </w:tcPr>
          <w:p w14:paraId="78E984E0" w14:textId="77777777" w:rsidR="00DD43E9" w:rsidRPr="00405303" w:rsidRDefault="00DD43E9" w:rsidP="00BD0BCB">
            <w:pPr>
              <w:pStyle w:val="afa"/>
              <w:tabs>
                <w:tab w:val="left" w:leader="dot" w:pos="1954"/>
              </w:tabs>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Фарман XVI</w:t>
            </w:r>
            <w:r w:rsidRPr="00405303">
              <w:rPr>
                <w:rFonts w:ascii="Times New Roman" w:eastAsia="Cambria" w:hAnsi="Times New Roman" w:cs="Times New Roman"/>
                <w:color w:val="0070C0"/>
                <w:sz w:val="16"/>
                <w:szCs w:val="16"/>
              </w:rPr>
              <w:tab/>
            </w:r>
          </w:p>
        </w:tc>
        <w:tc>
          <w:tcPr>
            <w:tcW w:w="974" w:type="dxa"/>
            <w:tcBorders>
              <w:left w:val="single" w:sz="4" w:space="0" w:color="auto"/>
            </w:tcBorders>
            <w:shd w:val="clear" w:color="auto" w:fill="FFFFFF"/>
          </w:tcPr>
          <w:p w14:paraId="319B89D9"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112</w:t>
            </w:r>
          </w:p>
        </w:tc>
        <w:tc>
          <w:tcPr>
            <w:tcW w:w="984" w:type="dxa"/>
            <w:tcBorders>
              <w:left w:val="single" w:sz="4" w:space="0" w:color="auto"/>
            </w:tcBorders>
            <w:shd w:val="clear" w:color="auto" w:fill="FFFFFF"/>
          </w:tcPr>
          <w:p w14:paraId="37042911"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112</w:t>
            </w:r>
          </w:p>
        </w:tc>
        <w:tc>
          <w:tcPr>
            <w:tcW w:w="1056" w:type="dxa"/>
            <w:tcBorders>
              <w:left w:val="single" w:sz="4" w:space="0" w:color="auto"/>
            </w:tcBorders>
            <w:shd w:val="clear" w:color="auto" w:fill="FFFFFF"/>
          </w:tcPr>
          <w:p w14:paraId="35A845D9"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112</w:t>
            </w:r>
          </w:p>
        </w:tc>
        <w:tc>
          <w:tcPr>
            <w:tcW w:w="1099" w:type="dxa"/>
            <w:tcBorders>
              <w:left w:val="single" w:sz="4" w:space="0" w:color="auto"/>
            </w:tcBorders>
            <w:shd w:val="clear" w:color="auto" w:fill="FFFFFF"/>
          </w:tcPr>
          <w:p w14:paraId="138C530D"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w:t>
            </w:r>
          </w:p>
        </w:tc>
      </w:tr>
      <w:tr w:rsidR="00DD43E9" w:rsidRPr="00405303" w14:paraId="3220024C" w14:textId="77777777" w:rsidTr="00BD0BCB">
        <w:trPr>
          <w:trHeight w:hRule="exact" w:val="168"/>
        </w:trPr>
        <w:tc>
          <w:tcPr>
            <w:tcW w:w="2107" w:type="dxa"/>
            <w:tcBorders>
              <w:top w:val="single" w:sz="4" w:space="0" w:color="auto"/>
            </w:tcBorders>
            <w:shd w:val="clear" w:color="auto" w:fill="FFFFFF"/>
          </w:tcPr>
          <w:p w14:paraId="7DCC34AF" w14:textId="77777777" w:rsidR="00DD43E9" w:rsidRPr="00405303" w:rsidRDefault="00DD43E9" w:rsidP="00BD0BCB">
            <w:pPr>
              <w:pStyle w:val="afa"/>
              <w:tabs>
                <w:tab w:val="left" w:leader="dot" w:pos="1954"/>
              </w:tabs>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Вуазен</w:t>
            </w:r>
            <w:r w:rsidRPr="00405303">
              <w:rPr>
                <w:rFonts w:ascii="Times New Roman" w:eastAsia="Cambria" w:hAnsi="Times New Roman" w:cs="Times New Roman"/>
                <w:color w:val="0070C0"/>
                <w:sz w:val="16"/>
                <w:szCs w:val="16"/>
              </w:rPr>
              <w:tab/>
            </w:r>
          </w:p>
        </w:tc>
        <w:tc>
          <w:tcPr>
            <w:tcW w:w="974" w:type="dxa"/>
            <w:tcBorders>
              <w:left w:val="single" w:sz="4" w:space="0" w:color="auto"/>
            </w:tcBorders>
            <w:shd w:val="clear" w:color="auto" w:fill="FFFFFF"/>
          </w:tcPr>
          <w:p w14:paraId="1E0E1C81"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809</w:t>
            </w:r>
          </w:p>
        </w:tc>
        <w:tc>
          <w:tcPr>
            <w:tcW w:w="984" w:type="dxa"/>
            <w:tcBorders>
              <w:left w:val="single" w:sz="4" w:space="0" w:color="auto"/>
            </w:tcBorders>
            <w:shd w:val="clear" w:color="auto" w:fill="FFFFFF"/>
          </w:tcPr>
          <w:p w14:paraId="1E684F51"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104</w:t>
            </w:r>
          </w:p>
        </w:tc>
        <w:tc>
          <w:tcPr>
            <w:tcW w:w="1056" w:type="dxa"/>
            <w:tcBorders>
              <w:left w:val="single" w:sz="4" w:space="0" w:color="auto"/>
            </w:tcBorders>
            <w:shd w:val="clear" w:color="auto" w:fill="FFFFFF"/>
          </w:tcPr>
          <w:p w14:paraId="22B790B9"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98</w:t>
            </w:r>
          </w:p>
        </w:tc>
        <w:tc>
          <w:tcPr>
            <w:tcW w:w="1099" w:type="dxa"/>
            <w:tcBorders>
              <w:left w:val="single" w:sz="4" w:space="0" w:color="auto"/>
            </w:tcBorders>
            <w:shd w:val="clear" w:color="auto" w:fill="FFFFFF"/>
          </w:tcPr>
          <w:p w14:paraId="7737C8D1" w14:textId="77777777" w:rsidR="00DD43E9" w:rsidRPr="00405303" w:rsidRDefault="00DD43E9" w:rsidP="00BD0BCB">
            <w:pPr>
              <w:pStyle w:val="afa"/>
              <w:ind w:right="280"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6</w:t>
            </w:r>
          </w:p>
        </w:tc>
      </w:tr>
      <w:tr w:rsidR="00DD43E9" w:rsidRPr="00405303" w14:paraId="3328164E" w14:textId="77777777" w:rsidTr="00BD0BCB">
        <w:trPr>
          <w:trHeight w:hRule="exact" w:val="178"/>
        </w:trPr>
        <w:tc>
          <w:tcPr>
            <w:tcW w:w="2107" w:type="dxa"/>
            <w:tcBorders>
              <w:top w:val="single" w:sz="4" w:space="0" w:color="auto"/>
            </w:tcBorders>
            <w:shd w:val="clear" w:color="auto" w:fill="FFFFFF"/>
          </w:tcPr>
          <w:p w14:paraId="1104E791"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Моран-Парасоль . . .</w:t>
            </w:r>
          </w:p>
        </w:tc>
        <w:tc>
          <w:tcPr>
            <w:tcW w:w="974" w:type="dxa"/>
            <w:tcBorders>
              <w:left w:val="single" w:sz="4" w:space="0" w:color="auto"/>
            </w:tcBorders>
            <w:shd w:val="clear" w:color="auto" w:fill="FFFFFF"/>
          </w:tcPr>
          <w:p w14:paraId="043463DF"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535</w:t>
            </w:r>
          </w:p>
        </w:tc>
        <w:tc>
          <w:tcPr>
            <w:tcW w:w="984" w:type="dxa"/>
            <w:tcBorders>
              <w:left w:val="single" w:sz="4" w:space="0" w:color="auto"/>
            </w:tcBorders>
            <w:shd w:val="clear" w:color="auto" w:fill="FFFFFF"/>
          </w:tcPr>
          <w:p w14:paraId="68E80C58"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235</w:t>
            </w:r>
          </w:p>
        </w:tc>
        <w:tc>
          <w:tcPr>
            <w:tcW w:w="1056" w:type="dxa"/>
            <w:tcBorders>
              <w:left w:val="single" w:sz="4" w:space="0" w:color="auto"/>
            </w:tcBorders>
            <w:shd w:val="clear" w:color="auto" w:fill="FFFFFF"/>
          </w:tcPr>
          <w:p w14:paraId="292E7DDD"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177</w:t>
            </w:r>
          </w:p>
        </w:tc>
        <w:tc>
          <w:tcPr>
            <w:tcW w:w="1099" w:type="dxa"/>
            <w:tcBorders>
              <w:left w:val="single" w:sz="4" w:space="0" w:color="auto"/>
            </w:tcBorders>
            <w:shd w:val="clear" w:color="auto" w:fill="FFFFFF"/>
          </w:tcPr>
          <w:p w14:paraId="779F3E5B"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58</w:t>
            </w:r>
          </w:p>
        </w:tc>
      </w:tr>
      <w:tr w:rsidR="00DD43E9" w:rsidRPr="00405303" w14:paraId="0D5F1E87" w14:textId="77777777" w:rsidTr="00BD0BCB">
        <w:trPr>
          <w:trHeight w:hRule="exact" w:val="163"/>
        </w:trPr>
        <w:tc>
          <w:tcPr>
            <w:tcW w:w="2107" w:type="dxa"/>
            <w:shd w:val="clear" w:color="auto" w:fill="FFFFFF"/>
          </w:tcPr>
          <w:p w14:paraId="23EC81E2" w14:textId="77777777" w:rsidR="00DD43E9" w:rsidRPr="00405303" w:rsidRDefault="00DD43E9" w:rsidP="00BD0BCB">
            <w:pPr>
              <w:pStyle w:val="afa"/>
              <w:tabs>
                <w:tab w:val="left" w:leader="dot" w:pos="1958"/>
              </w:tabs>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Моран типа Ж</w:t>
            </w:r>
            <w:r w:rsidRPr="00405303">
              <w:rPr>
                <w:rFonts w:ascii="Times New Roman" w:eastAsia="Cambria" w:hAnsi="Times New Roman" w:cs="Times New Roman"/>
                <w:color w:val="0070C0"/>
                <w:sz w:val="16"/>
                <w:szCs w:val="16"/>
              </w:rPr>
              <w:tab/>
            </w:r>
          </w:p>
        </w:tc>
        <w:tc>
          <w:tcPr>
            <w:tcW w:w="974" w:type="dxa"/>
            <w:tcBorders>
              <w:left w:val="single" w:sz="4" w:space="0" w:color="auto"/>
            </w:tcBorders>
            <w:shd w:val="clear" w:color="auto" w:fill="FFFFFF"/>
          </w:tcPr>
          <w:p w14:paraId="433F82E2"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73</w:t>
            </w:r>
          </w:p>
        </w:tc>
        <w:tc>
          <w:tcPr>
            <w:tcW w:w="984" w:type="dxa"/>
            <w:tcBorders>
              <w:left w:val="single" w:sz="4" w:space="0" w:color="auto"/>
            </w:tcBorders>
            <w:shd w:val="clear" w:color="auto" w:fill="FFFFFF"/>
          </w:tcPr>
          <w:p w14:paraId="768CF263"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73</w:t>
            </w:r>
          </w:p>
        </w:tc>
        <w:tc>
          <w:tcPr>
            <w:tcW w:w="1056" w:type="dxa"/>
            <w:tcBorders>
              <w:left w:val="single" w:sz="4" w:space="0" w:color="auto"/>
            </w:tcBorders>
            <w:shd w:val="clear" w:color="auto" w:fill="FFFFFF"/>
          </w:tcPr>
          <w:p w14:paraId="183BBB73"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73</w:t>
            </w:r>
          </w:p>
        </w:tc>
        <w:tc>
          <w:tcPr>
            <w:tcW w:w="1099" w:type="dxa"/>
            <w:tcBorders>
              <w:left w:val="single" w:sz="4" w:space="0" w:color="auto"/>
            </w:tcBorders>
            <w:shd w:val="clear" w:color="auto" w:fill="FFFFFF"/>
          </w:tcPr>
          <w:p w14:paraId="4692EB71"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w:t>
            </w:r>
          </w:p>
        </w:tc>
      </w:tr>
      <w:tr w:rsidR="00DD43E9" w:rsidRPr="00405303" w14:paraId="091FC419" w14:textId="77777777" w:rsidTr="00BD0BCB">
        <w:trPr>
          <w:trHeight w:hRule="exact" w:val="182"/>
        </w:trPr>
        <w:tc>
          <w:tcPr>
            <w:tcW w:w="2107" w:type="dxa"/>
            <w:shd w:val="clear" w:color="auto" w:fill="FFFFFF"/>
          </w:tcPr>
          <w:p w14:paraId="1522D7AB" w14:textId="77777777" w:rsidR="00DD43E9" w:rsidRPr="00405303" w:rsidRDefault="00DD43E9" w:rsidP="00BD0BCB">
            <w:pPr>
              <w:pStyle w:val="afa"/>
              <w:tabs>
                <w:tab w:val="left" w:leader="dot" w:pos="1963"/>
              </w:tabs>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Депердюссен</w:t>
            </w:r>
            <w:r w:rsidRPr="00405303">
              <w:rPr>
                <w:rFonts w:ascii="Times New Roman" w:eastAsia="Cambria" w:hAnsi="Times New Roman" w:cs="Times New Roman"/>
                <w:color w:val="0070C0"/>
                <w:sz w:val="16"/>
                <w:szCs w:val="16"/>
              </w:rPr>
              <w:tab/>
            </w:r>
          </w:p>
        </w:tc>
        <w:tc>
          <w:tcPr>
            <w:tcW w:w="974" w:type="dxa"/>
            <w:tcBorders>
              <w:left w:val="single" w:sz="4" w:space="0" w:color="auto"/>
            </w:tcBorders>
            <w:shd w:val="clear" w:color="auto" w:fill="FFFFFF"/>
          </w:tcPr>
          <w:p w14:paraId="74B87E8E"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63</w:t>
            </w:r>
          </w:p>
        </w:tc>
        <w:tc>
          <w:tcPr>
            <w:tcW w:w="984" w:type="dxa"/>
            <w:tcBorders>
              <w:left w:val="single" w:sz="4" w:space="0" w:color="auto"/>
            </w:tcBorders>
            <w:shd w:val="clear" w:color="auto" w:fill="FFFFFF"/>
          </w:tcPr>
          <w:p w14:paraId="64DBF9B5"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63</w:t>
            </w:r>
          </w:p>
        </w:tc>
        <w:tc>
          <w:tcPr>
            <w:tcW w:w="1056" w:type="dxa"/>
            <w:tcBorders>
              <w:left w:val="single" w:sz="4" w:space="0" w:color="auto"/>
            </w:tcBorders>
            <w:shd w:val="clear" w:color="auto" w:fill="FFFFFF"/>
          </w:tcPr>
          <w:p w14:paraId="660772C9"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63</w:t>
            </w:r>
          </w:p>
        </w:tc>
        <w:tc>
          <w:tcPr>
            <w:tcW w:w="1099" w:type="dxa"/>
            <w:tcBorders>
              <w:left w:val="single" w:sz="4" w:space="0" w:color="auto"/>
            </w:tcBorders>
            <w:shd w:val="clear" w:color="auto" w:fill="FFFFFF"/>
          </w:tcPr>
          <w:p w14:paraId="46CB87A6"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w:t>
            </w:r>
          </w:p>
        </w:tc>
      </w:tr>
      <w:tr w:rsidR="00DD43E9" w:rsidRPr="00405303" w14:paraId="0D31D6B3" w14:textId="77777777" w:rsidTr="00BD0BCB">
        <w:trPr>
          <w:trHeight w:hRule="exact" w:val="158"/>
        </w:trPr>
        <w:tc>
          <w:tcPr>
            <w:tcW w:w="2107" w:type="dxa"/>
            <w:tcBorders>
              <w:top w:val="single" w:sz="4" w:space="0" w:color="auto"/>
            </w:tcBorders>
            <w:shd w:val="clear" w:color="auto" w:fill="FFFFFF"/>
          </w:tcPr>
          <w:p w14:paraId="22B2AFED" w14:textId="77777777" w:rsidR="00DD43E9" w:rsidRPr="00405303" w:rsidRDefault="00DD43E9" w:rsidP="00BD0BCB">
            <w:pPr>
              <w:pStyle w:val="afa"/>
              <w:tabs>
                <w:tab w:val="left" w:leader="dot" w:pos="1958"/>
              </w:tabs>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Нькпор</w:t>
            </w:r>
            <w:r w:rsidRPr="00405303">
              <w:rPr>
                <w:rFonts w:ascii="Times New Roman" w:eastAsia="Cambria" w:hAnsi="Times New Roman" w:cs="Times New Roman"/>
                <w:color w:val="0070C0"/>
                <w:sz w:val="16"/>
                <w:szCs w:val="16"/>
              </w:rPr>
              <w:tab/>
            </w:r>
          </w:p>
        </w:tc>
        <w:tc>
          <w:tcPr>
            <w:tcW w:w="974" w:type="dxa"/>
            <w:tcBorders>
              <w:left w:val="single" w:sz="4" w:space="0" w:color="auto"/>
            </w:tcBorders>
            <w:shd w:val="clear" w:color="auto" w:fill="FFFFFF"/>
          </w:tcPr>
          <w:p w14:paraId="3C13DD75"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241</w:t>
            </w:r>
          </w:p>
        </w:tc>
        <w:tc>
          <w:tcPr>
            <w:tcW w:w="984" w:type="dxa"/>
            <w:tcBorders>
              <w:left w:val="single" w:sz="4" w:space="0" w:color="auto"/>
            </w:tcBorders>
            <w:shd w:val="clear" w:color="auto" w:fill="FFFFFF"/>
          </w:tcPr>
          <w:p w14:paraId="61239A7B"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163</w:t>
            </w:r>
          </w:p>
        </w:tc>
        <w:tc>
          <w:tcPr>
            <w:tcW w:w="1056" w:type="dxa"/>
            <w:tcBorders>
              <w:left w:val="single" w:sz="4" w:space="0" w:color="auto"/>
            </w:tcBorders>
            <w:shd w:val="clear" w:color="auto" w:fill="FFFFFF"/>
          </w:tcPr>
          <w:p w14:paraId="2DEA5DBE"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126</w:t>
            </w:r>
          </w:p>
        </w:tc>
        <w:tc>
          <w:tcPr>
            <w:tcW w:w="1099" w:type="dxa"/>
            <w:tcBorders>
              <w:left w:val="single" w:sz="4" w:space="0" w:color="auto"/>
            </w:tcBorders>
            <w:shd w:val="clear" w:color="auto" w:fill="FFFFFF"/>
          </w:tcPr>
          <w:p w14:paraId="131AFB92"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37</w:t>
            </w:r>
          </w:p>
        </w:tc>
      </w:tr>
      <w:tr w:rsidR="00DD43E9" w:rsidRPr="00405303" w14:paraId="3CDE87AD" w14:textId="77777777" w:rsidTr="00BD0BCB">
        <w:trPr>
          <w:trHeight w:hRule="exact" w:val="168"/>
        </w:trPr>
        <w:tc>
          <w:tcPr>
            <w:tcW w:w="2107" w:type="dxa"/>
            <w:tcBorders>
              <w:top w:val="single" w:sz="4" w:space="0" w:color="auto"/>
            </w:tcBorders>
            <w:shd w:val="clear" w:color="auto" w:fill="FFFFFF"/>
          </w:tcPr>
          <w:p w14:paraId="4C064F84" w14:textId="77777777" w:rsidR="00DD43E9" w:rsidRPr="00405303" w:rsidRDefault="00DD43E9" w:rsidP="00BD0BCB">
            <w:pPr>
              <w:pStyle w:val="afa"/>
              <w:tabs>
                <w:tab w:val="left" w:leader="dot" w:pos="1939"/>
              </w:tabs>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 xml:space="preserve">Сопвич </w:t>
            </w:r>
            <w:r w:rsidRPr="00405303">
              <w:rPr>
                <w:rFonts w:ascii="Times New Roman" w:eastAsia="Cambria" w:hAnsi="Times New Roman" w:cs="Times New Roman"/>
                <w:color w:val="0070C0"/>
                <w:sz w:val="16"/>
                <w:szCs w:val="16"/>
              </w:rPr>
              <w:tab/>
            </w:r>
          </w:p>
        </w:tc>
        <w:tc>
          <w:tcPr>
            <w:tcW w:w="974" w:type="dxa"/>
            <w:tcBorders>
              <w:left w:val="single" w:sz="4" w:space="0" w:color="auto"/>
            </w:tcBorders>
            <w:shd w:val="clear" w:color="auto" w:fill="FFFFFF"/>
          </w:tcPr>
          <w:p w14:paraId="29256787"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5</w:t>
            </w:r>
          </w:p>
        </w:tc>
        <w:tc>
          <w:tcPr>
            <w:tcW w:w="984" w:type="dxa"/>
            <w:tcBorders>
              <w:left w:val="single" w:sz="4" w:space="0" w:color="auto"/>
            </w:tcBorders>
            <w:shd w:val="clear" w:color="auto" w:fill="FFFFFF"/>
          </w:tcPr>
          <w:p w14:paraId="1B016117"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4</w:t>
            </w:r>
          </w:p>
        </w:tc>
        <w:tc>
          <w:tcPr>
            <w:tcW w:w="1056" w:type="dxa"/>
            <w:tcBorders>
              <w:left w:val="single" w:sz="4" w:space="0" w:color="auto"/>
            </w:tcBorders>
            <w:shd w:val="clear" w:color="auto" w:fill="FFFFFF"/>
          </w:tcPr>
          <w:p w14:paraId="1EF667EE"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4</w:t>
            </w:r>
          </w:p>
        </w:tc>
        <w:tc>
          <w:tcPr>
            <w:tcW w:w="1099" w:type="dxa"/>
            <w:tcBorders>
              <w:left w:val="single" w:sz="4" w:space="0" w:color="auto"/>
            </w:tcBorders>
            <w:shd w:val="clear" w:color="auto" w:fill="FFFFFF"/>
          </w:tcPr>
          <w:p w14:paraId="6DFDCE41" w14:textId="77777777" w:rsidR="00DD43E9" w:rsidRPr="00405303" w:rsidRDefault="00DD43E9" w:rsidP="00BD0BCB">
            <w:pPr>
              <w:jc w:val="both"/>
              <w:rPr>
                <w:color w:val="0070C0"/>
                <w:sz w:val="16"/>
                <w:szCs w:val="16"/>
              </w:rPr>
            </w:pPr>
          </w:p>
        </w:tc>
      </w:tr>
      <w:tr w:rsidR="00DD43E9" w:rsidRPr="00405303" w14:paraId="3282F18B" w14:textId="77777777" w:rsidTr="00BD0BCB">
        <w:trPr>
          <w:trHeight w:hRule="exact" w:val="178"/>
        </w:trPr>
        <w:tc>
          <w:tcPr>
            <w:tcW w:w="2107" w:type="dxa"/>
            <w:tcBorders>
              <w:top w:val="single" w:sz="4" w:space="0" w:color="auto"/>
            </w:tcBorders>
            <w:shd w:val="clear" w:color="auto" w:fill="FFFFFF"/>
          </w:tcPr>
          <w:p w14:paraId="4007DFA0" w14:textId="77777777" w:rsidR="00DD43E9" w:rsidRPr="00405303" w:rsidRDefault="00DD43E9" w:rsidP="00BD0BCB">
            <w:pPr>
              <w:pStyle w:val="afa"/>
              <w:tabs>
                <w:tab w:val="left" w:leader="dot" w:pos="1963"/>
              </w:tabs>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Лебедь</w:t>
            </w:r>
            <w:r w:rsidRPr="00405303">
              <w:rPr>
                <w:rFonts w:ascii="Times New Roman" w:eastAsia="Cambria" w:hAnsi="Times New Roman" w:cs="Times New Roman"/>
                <w:color w:val="0070C0"/>
                <w:sz w:val="16"/>
                <w:szCs w:val="16"/>
              </w:rPr>
              <w:tab/>
            </w:r>
          </w:p>
        </w:tc>
        <w:tc>
          <w:tcPr>
            <w:tcW w:w="974" w:type="dxa"/>
            <w:tcBorders>
              <w:left w:val="single" w:sz="4" w:space="0" w:color="auto"/>
            </w:tcBorders>
            <w:shd w:val="clear" w:color="auto" w:fill="FFFFFF"/>
          </w:tcPr>
          <w:p w14:paraId="091AC68F"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3</w:t>
            </w:r>
          </w:p>
        </w:tc>
        <w:tc>
          <w:tcPr>
            <w:tcW w:w="984" w:type="dxa"/>
            <w:tcBorders>
              <w:left w:val="single" w:sz="4" w:space="0" w:color="auto"/>
            </w:tcBorders>
            <w:shd w:val="clear" w:color="auto" w:fill="FFFFFF"/>
          </w:tcPr>
          <w:p w14:paraId="63400FB9"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3</w:t>
            </w:r>
          </w:p>
        </w:tc>
        <w:tc>
          <w:tcPr>
            <w:tcW w:w="1056" w:type="dxa"/>
            <w:tcBorders>
              <w:left w:val="single" w:sz="4" w:space="0" w:color="auto"/>
            </w:tcBorders>
            <w:shd w:val="clear" w:color="auto" w:fill="FFFFFF"/>
          </w:tcPr>
          <w:p w14:paraId="2BA819C1"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3</w:t>
            </w:r>
          </w:p>
        </w:tc>
        <w:tc>
          <w:tcPr>
            <w:tcW w:w="1099" w:type="dxa"/>
            <w:tcBorders>
              <w:left w:val="single" w:sz="4" w:space="0" w:color="auto"/>
            </w:tcBorders>
            <w:shd w:val="clear" w:color="auto" w:fill="FFFFFF"/>
          </w:tcPr>
          <w:p w14:paraId="6AF0CA04" w14:textId="77777777" w:rsidR="00DD43E9" w:rsidRPr="00405303" w:rsidRDefault="00DD43E9" w:rsidP="00BD0BCB">
            <w:pPr>
              <w:jc w:val="both"/>
              <w:rPr>
                <w:color w:val="0070C0"/>
                <w:sz w:val="16"/>
                <w:szCs w:val="16"/>
              </w:rPr>
            </w:pPr>
          </w:p>
        </w:tc>
      </w:tr>
      <w:tr w:rsidR="00DD43E9" w:rsidRPr="00405303" w14:paraId="3D6CC6CD" w14:textId="77777777" w:rsidTr="00BD0BCB">
        <w:trPr>
          <w:trHeight w:hRule="exact" w:val="182"/>
        </w:trPr>
        <w:tc>
          <w:tcPr>
            <w:tcW w:w="2107" w:type="dxa"/>
            <w:tcBorders>
              <w:top w:val="single" w:sz="4" w:space="0" w:color="auto"/>
            </w:tcBorders>
            <w:shd w:val="clear" w:color="auto" w:fill="FFFFFF"/>
          </w:tcPr>
          <w:p w14:paraId="64791F29" w14:textId="77777777" w:rsidR="00DD43E9" w:rsidRPr="00405303" w:rsidRDefault="00DD43E9" w:rsidP="00BD0BCB">
            <w:pPr>
              <w:pStyle w:val="afa"/>
              <w:tabs>
                <w:tab w:val="left" w:leader="dot" w:pos="1954"/>
              </w:tabs>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 xml:space="preserve">Альбатрос </w:t>
            </w:r>
            <w:r w:rsidRPr="00405303">
              <w:rPr>
                <w:rFonts w:ascii="Times New Roman" w:eastAsia="Cambria" w:hAnsi="Times New Roman" w:cs="Times New Roman"/>
                <w:color w:val="0070C0"/>
                <w:sz w:val="16"/>
                <w:szCs w:val="16"/>
              </w:rPr>
              <w:tab/>
            </w:r>
          </w:p>
        </w:tc>
        <w:tc>
          <w:tcPr>
            <w:tcW w:w="974" w:type="dxa"/>
            <w:tcBorders>
              <w:left w:val="single" w:sz="4" w:space="0" w:color="auto"/>
            </w:tcBorders>
            <w:shd w:val="clear" w:color="auto" w:fill="FFFFFF"/>
          </w:tcPr>
          <w:p w14:paraId="15AD548B"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8</w:t>
            </w:r>
          </w:p>
        </w:tc>
        <w:tc>
          <w:tcPr>
            <w:tcW w:w="984" w:type="dxa"/>
            <w:tcBorders>
              <w:left w:val="single" w:sz="4" w:space="0" w:color="auto"/>
            </w:tcBorders>
            <w:shd w:val="clear" w:color="auto" w:fill="FFFFFF"/>
          </w:tcPr>
          <w:p w14:paraId="35911A82"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6</w:t>
            </w:r>
          </w:p>
        </w:tc>
        <w:tc>
          <w:tcPr>
            <w:tcW w:w="1056" w:type="dxa"/>
            <w:tcBorders>
              <w:left w:val="single" w:sz="4" w:space="0" w:color="auto"/>
            </w:tcBorders>
            <w:shd w:val="clear" w:color="auto" w:fill="FFFFFF"/>
          </w:tcPr>
          <w:p w14:paraId="1AB2C80B"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6 '</w:t>
            </w:r>
          </w:p>
        </w:tc>
        <w:tc>
          <w:tcPr>
            <w:tcW w:w="1099" w:type="dxa"/>
            <w:tcBorders>
              <w:left w:val="single" w:sz="4" w:space="0" w:color="auto"/>
            </w:tcBorders>
            <w:shd w:val="clear" w:color="auto" w:fill="FFFFFF"/>
          </w:tcPr>
          <w:p w14:paraId="57B1072A"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w:t>
            </w:r>
          </w:p>
        </w:tc>
      </w:tr>
      <w:tr w:rsidR="00DD43E9" w:rsidRPr="00405303" w14:paraId="1110F97E" w14:textId="77777777" w:rsidTr="00BD0BCB">
        <w:trPr>
          <w:trHeight w:hRule="exact" w:val="163"/>
        </w:trPr>
        <w:tc>
          <w:tcPr>
            <w:tcW w:w="2107" w:type="dxa"/>
            <w:tcBorders>
              <w:top w:val="single" w:sz="4" w:space="0" w:color="auto"/>
            </w:tcBorders>
            <w:shd w:val="clear" w:color="auto" w:fill="FFFFFF"/>
          </w:tcPr>
          <w:p w14:paraId="11137992"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Летающие лодки</w:t>
            </w:r>
            <w:proofErr w:type="gramStart"/>
            <w:r w:rsidRPr="00405303">
              <w:rPr>
                <w:rFonts w:ascii="Times New Roman" w:eastAsia="Cambria" w:hAnsi="Times New Roman" w:cs="Times New Roman"/>
                <w:color w:val="0070C0"/>
                <w:sz w:val="16"/>
                <w:szCs w:val="16"/>
              </w:rPr>
              <w:t xml:space="preserve"> ....</w:t>
            </w:r>
            <w:proofErr w:type="gramEnd"/>
          </w:p>
        </w:tc>
        <w:tc>
          <w:tcPr>
            <w:tcW w:w="974" w:type="dxa"/>
            <w:tcBorders>
              <w:left w:val="single" w:sz="4" w:space="0" w:color="auto"/>
            </w:tcBorders>
            <w:shd w:val="clear" w:color="auto" w:fill="FFFFFF"/>
          </w:tcPr>
          <w:p w14:paraId="332B9A60"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10</w:t>
            </w:r>
          </w:p>
        </w:tc>
        <w:tc>
          <w:tcPr>
            <w:tcW w:w="984" w:type="dxa"/>
            <w:tcBorders>
              <w:left w:val="single" w:sz="4" w:space="0" w:color="auto"/>
            </w:tcBorders>
            <w:shd w:val="clear" w:color="auto" w:fill="FFFFFF"/>
          </w:tcPr>
          <w:p w14:paraId="2ACE2187"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10</w:t>
            </w:r>
          </w:p>
        </w:tc>
        <w:tc>
          <w:tcPr>
            <w:tcW w:w="1056" w:type="dxa"/>
            <w:tcBorders>
              <w:left w:val="single" w:sz="4" w:space="0" w:color="auto"/>
            </w:tcBorders>
            <w:shd w:val="clear" w:color="auto" w:fill="FFFFFF"/>
          </w:tcPr>
          <w:p w14:paraId="40E90AEA"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10</w:t>
            </w:r>
          </w:p>
        </w:tc>
        <w:tc>
          <w:tcPr>
            <w:tcW w:w="1099" w:type="dxa"/>
            <w:tcBorders>
              <w:left w:val="single" w:sz="4" w:space="0" w:color="auto"/>
            </w:tcBorders>
            <w:shd w:val="clear" w:color="auto" w:fill="FFFFFF"/>
          </w:tcPr>
          <w:p w14:paraId="475488CD"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w:t>
            </w:r>
          </w:p>
        </w:tc>
      </w:tr>
      <w:tr w:rsidR="00DD43E9" w:rsidRPr="00405303" w14:paraId="3BE6F7F7" w14:textId="77777777" w:rsidTr="00BD0BCB">
        <w:trPr>
          <w:trHeight w:hRule="exact" w:val="413"/>
        </w:trPr>
        <w:tc>
          <w:tcPr>
            <w:tcW w:w="2107" w:type="dxa"/>
            <w:shd w:val="clear" w:color="auto" w:fill="FFFFFF"/>
          </w:tcPr>
          <w:p w14:paraId="53400228" w14:textId="77777777" w:rsidR="00DD43E9" w:rsidRPr="00405303" w:rsidRDefault="00DD43E9" w:rsidP="00BD0BCB">
            <w:pPr>
              <w:pStyle w:val="afa"/>
              <w:tabs>
                <w:tab w:val="left" w:leader="dot" w:pos="1954"/>
              </w:tabs>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Сикорский XVI</w:t>
            </w:r>
            <w:r w:rsidRPr="00405303">
              <w:rPr>
                <w:rFonts w:ascii="Times New Roman" w:eastAsia="Cambria" w:hAnsi="Times New Roman" w:cs="Times New Roman"/>
                <w:color w:val="0070C0"/>
                <w:sz w:val="16"/>
                <w:szCs w:val="16"/>
              </w:rPr>
              <w:tab/>
            </w:r>
          </w:p>
          <w:p w14:paraId="599F98E3"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4</w:t>
            </w:r>
          </w:p>
        </w:tc>
        <w:tc>
          <w:tcPr>
            <w:tcW w:w="974" w:type="dxa"/>
            <w:tcBorders>
              <w:left w:val="single" w:sz="4" w:space="0" w:color="auto"/>
            </w:tcBorders>
            <w:shd w:val="clear" w:color="auto" w:fill="FFFFFF"/>
          </w:tcPr>
          <w:p w14:paraId="5AB92CEE"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18</w:t>
            </w:r>
          </w:p>
        </w:tc>
        <w:tc>
          <w:tcPr>
            <w:tcW w:w="984" w:type="dxa"/>
            <w:tcBorders>
              <w:left w:val="single" w:sz="4" w:space="0" w:color="auto"/>
            </w:tcBorders>
            <w:shd w:val="clear" w:color="auto" w:fill="FFFFFF"/>
          </w:tcPr>
          <w:p w14:paraId="0CFD98F4"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w:t>
            </w:r>
          </w:p>
        </w:tc>
        <w:tc>
          <w:tcPr>
            <w:tcW w:w="1056" w:type="dxa"/>
            <w:tcBorders>
              <w:left w:val="single" w:sz="4" w:space="0" w:color="auto"/>
            </w:tcBorders>
            <w:shd w:val="clear" w:color="auto" w:fill="FFFFFF"/>
          </w:tcPr>
          <w:p w14:paraId="77E19118"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w:t>
            </w:r>
          </w:p>
        </w:tc>
        <w:tc>
          <w:tcPr>
            <w:tcW w:w="1099" w:type="dxa"/>
            <w:tcBorders>
              <w:left w:val="single" w:sz="4" w:space="0" w:color="auto"/>
            </w:tcBorders>
            <w:shd w:val="clear" w:color="auto" w:fill="FFFFFF"/>
          </w:tcPr>
          <w:p w14:paraId="2388385C"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w:t>
            </w:r>
          </w:p>
        </w:tc>
      </w:tr>
      <w:tr w:rsidR="00DD43E9" w:rsidRPr="00405303" w14:paraId="77C5FAFD" w14:textId="77777777" w:rsidTr="00BD0BCB">
        <w:trPr>
          <w:trHeight w:hRule="exact" w:val="566"/>
        </w:trPr>
        <w:tc>
          <w:tcPr>
            <w:tcW w:w="2107" w:type="dxa"/>
            <w:tcBorders>
              <w:top w:val="single" w:sz="4" w:space="0" w:color="auto"/>
            </w:tcBorders>
            <w:shd w:val="clear" w:color="auto" w:fill="FFFFFF"/>
            <w:vAlign w:val="center"/>
          </w:tcPr>
          <w:p w14:paraId="26C390B4" w14:textId="77777777" w:rsidR="00DD43E9" w:rsidRPr="00405303" w:rsidRDefault="00DD43E9" w:rsidP="00BD0BCB">
            <w:pPr>
              <w:pStyle w:val="afa"/>
              <w:ind w:firstLine="0"/>
              <w:jc w:val="both"/>
              <w:rPr>
                <w:rFonts w:ascii="Times New Roman" w:hAnsi="Times New Roman" w:cs="Times New Roman"/>
                <w:color w:val="0070C0"/>
                <w:sz w:val="16"/>
                <w:szCs w:val="16"/>
              </w:rPr>
            </w:pPr>
            <w:proofErr w:type="gramStart"/>
            <w:r w:rsidRPr="00405303">
              <w:rPr>
                <w:rFonts w:ascii="Times New Roman" w:eastAsia="Cambria" w:hAnsi="Times New Roman" w:cs="Times New Roman"/>
                <w:color w:val="0070C0"/>
                <w:sz w:val="16"/>
                <w:szCs w:val="16"/>
              </w:rPr>
              <w:t>Итого....</w:t>
            </w:r>
            <w:proofErr w:type="gramEnd"/>
          </w:p>
        </w:tc>
        <w:tc>
          <w:tcPr>
            <w:tcW w:w="974" w:type="dxa"/>
            <w:tcBorders>
              <w:top w:val="single" w:sz="4" w:space="0" w:color="auto"/>
              <w:left w:val="single" w:sz="4" w:space="0" w:color="auto"/>
            </w:tcBorders>
            <w:shd w:val="clear" w:color="auto" w:fill="FFFFFF"/>
            <w:vAlign w:val="center"/>
          </w:tcPr>
          <w:p w14:paraId="3793184A"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1.970</w:t>
            </w:r>
          </w:p>
        </w:tc>
        <w:tc>
          <w:tcPr>
            <w:tcW w:w="984" w:type="dxa"/>
            <w:tcBorders>
              <w:top w:val="single" w:sz="4" w:space="0" w:color="auto"/>
              <w:left w:val="single" w:sz="4" w:space="0" w:color="auto"/>
            </w:tcBorders>
            <w:shd w:val="clear" w:color="auto" w:fill="FFFFFF"/>
            <w:vAlign w:val="center"/>
          </w:tcPr>
          <w:p w14:paraId="2117B2FD"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851</w:t>
            </w:r>
          </w:p>
        </w:tc>
        <w:tc>
          <w:tcPr>
            <w:tcW w:w="1056" w:type="dxa"/>
            <w:tcBorders>
              <w:top w:val="single" w:sz="4" w:space="0" w:color="auto"/>
              <w:left w:val="single" w:sz="4" w:space="0" w:color="auto"/>
            </w:tcBorders>
            <w:shd w:val="clear" w:color="auto" w:fill="FFFFFF"/>
            <w:vAlign w:val="center"/>
          </w:tcPr>
          <w:p w14:paraId="253A612A" w14:textId="77777777" w:rsidR="00DD43E9" w:rsidRPr="00405303" w:rsidRDefault="00DD43E9" w:rsidP="00BD0BCB">
            <w:pPr>
              <w:pStyle w:val="afa"/>
              <w:ind w:right="240"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724</w:t>
            </w:r>
          </w:p>
        </w:tc>
        <w:tc>
          <w:tcPr>
            <w:tcW w:w="1099" w:type="dxa"/>
            <w:tcBorders>
              <w:top w:val="single" w:sz="4" w:space="0" w:color="auto"/>
              <w:left w:val="single" w:sz="4" w:space="0" w:color="auto"/>
            </w:tcBorders>
            <w:shd w:val="clear" w:color="auto" w:fill="FFFFFF"/>
            <w:vAlign w:val="center"/>
          </w:tcPr>
          <w:p w14:paraId="4BAE4626" w14:textId="77777777" w:rsidR="00DD43E9" w:rsidRPr="00405303" w:rsidRDefault="00DD43E9" w:rsidP="00BD0BCB">
            <w:pPr>
              <w:pStyle w:val="afa"/>
              <w:ind w:firstLine="0"/>
              <w:jc w:val="both"/>
              <w:rPr>
                <w:rFonts w:ascii="Times New Roman" w:hAnsi="Times New Roman" w:cs="Times New Roman"/>
                <w:color w:val="0070C0"/>
                <w:sz w:val="16"/>
                <w:szCs w:val="16"/>
              </w:rPr>
            </w:pPr>
            <w:r w:rsidRPr="00405303">
              <w:rPr>
                <w:rFonts w:ascii="Times New Roman" w:eastAsia="Cambria" w:hAnsi="Times New Roman" w:cs="Times New Roman"/>
                <w:color w:val="0070C0"/>
                <w:sz w:val="16"/>
                <w:szCs w:val="16"/>
              </w:rPr>
              <w:t>127</w:t>
            </w:r>
          </w:p>
        </w:tc>
      </w:tr>
    </w:tbl>
    <w:p w14:paraId="013ABE4A" w14:textId="77777777" w:rsidR="00DD43E9" w:rsidRPr="00405303" w:rsidRDefault="00DD43E9" w:rsidP="00DD43E9">
      <w:pPr>
        <w:jc w:val="both"/>
        <w:rPr>
          <w:color w:val="0070C0"/>
          <w:sz w:val="16"/>
          <w:szCs w:val="16"/>
        </w:rPr>
      </w:pPr>
      <w:r w:rsidRPr="00405303">
        <w:rPr>
          <w:color w:val="0070C0"/>
          <w:sz w:val="16"/>
          <w:szCs w:val="16"/>
        </w:rPr>
        <w:t>За 16 месяцев войны был изготовлен 851 аппарат и что, в среднем, ежемесячно с русских заводов поступало приблизительно по 55 аппаратов. Такая производительность заводов не могла удовлетворить потребности армии при ежемесячной убыли аппаратов в 37°/</w:t>
      </w:r>
      <w:r w:rsidRPr="00405303">
        <w:rPr>
          <w:color w:val="0070C0"/>
          <w:sz w:val="16"/>
          <w:szCs w:val="16"/>
          <w:vertAlign w:val="subscript"/>
        </w:rPr>
        <w:t>0</w:t>
      </w:r>
      <w:r w:rsidRPr="00405303">
        <w:rPr>
          <w:color w:val="0070C0"/>
          <w:sz w:val="16"/>
          <w:szCs w:val="16"/>
        </w:rPr>
        <w:t xml:space="preserve"> (24923).</w:t>
      </w:r>
    </w:p>
    <w:p w14:paraId="45A2D275" w14:textId="77777777" w:rsidR="00DD43E9" w:rsidRPr="00405303" w:rsidRDefault="00DD43E9" w:rsidP="00DD43E9">
      <w:pPr>
        <w:jc w:val="both"/>
        <w:rPr>
          <w:color w:val="0070C0"/>
          <w:sz w:val="16"/>
          <w:szCs w:val="16"/>
        </w:rPr>
      </w:pPr>
    </w:p>
    <w:p w14:paraId="5CE6300E" w14:textId="5F4CC8B1" w:rsidR="00E2193F" w:rsidRPr="00405303" w:rsidRDefault="00E2193F" w:rsidP="00C15251">
      <w:pPr>
        <w:jc w:val="both"/>
        <w:rPr>
          <w:bCs/>
          <w:color w:val="002060"/>
          <w:sz w:val="16"/>
          <w:szCs w:val="16"/>
        </w:rPr>
      </w:pPr>
      <w:r w:rsidRPr="00405303">
        <w:rPr>
          <w:bCs/>
          <w:color w:val="002060"/>
          <w:sz w:val="16"/>
          <w:szCs w:val="16"/>
          <w:lang w:bidi="ru-RU"/>
        </w:rPr>
        <w:t>12 (25) августа 1915 г. состоялось заседание Авиационного комитета Службы связи Бал</w:t>
      </w:r>
      <w:r w:rsidRPr="00405303">
        <w:rPr>
          <w:bCs/>
          <w:color w:val="002060"/>
          <w:sz w:val="16"/>
          <w:szCs w:val="16"/>
          <w:lang w:bidi="ru-RU"/>
        </w:rPr>
        <w:softHyphen/>
        <w:t>тийского моря, на котором вновь рассмат</w:t>
      </w:r>
      <w:r w:rsidRPr="00405303">
        <w:rPr>
          <w:bCs/>
          <w:color w:val="002060"/>
          <w:sz w:val="16"/>
          <w:szCs w:val="16"/>
          <w:lang w:bidi="ru-RU"/>
        </w:rPr>
        <w:softHyphen/>
        <w:t>ривался вопрос о снабжении авиации фло</w:t>
      </w:r>
      <w:r w:rsidRPr="00405303">
        <w:rPr>
          <w:bCs/>
          <w:color w:val="002060"/>
          <w:sz w:val="16"/>
          <w:szCs w:val="16"/>
          <w:lang w:bidi="ru-RU"/>
        </w:rPr>
        <w:softHyphen/>
        <w:t>та большими гидроаэропланами, рассчи</w:t>
      </w:r>
      <w:r w:rsidRPr="00405303">
        <w:rPr>
          <w:bCs/>
          <w:color w:val="002060"/>
          <w:sz w:val="16"/>
          <w:szCs w:val="16"/>
          <w:lang w:bidi="ru-RU"/>
        </w:rPr>
        <w:softHyphen/>
        <w:t>танными на 6 часов полета. Сообразуясь с этими требованиями, конструктор Григо</w:t>
      </w:r>
      <w:r w:rsidRPr="00405303">
        <w:rPr>
          <w:bCs/>
          <w:color w:val="002060"/>
          <w:sz w:val="16"/>
          <w:szCs w:val="16"/>
          <w:lang w:bidi="ru-RU"/>
        </w:rPr>
        <w:softHyphen/>
        <w:t>рович внес на заседании предложение о постройке такого самолета на основе сво</w:t>
      </w:r>
      <w:r w:rsidRPr="00405303">
        <w:rPr>
          <w:bCs/>
          <w:color w:val="002060"/>
          <w:sz w:val="16"/>
          <w:szCs w:val="16"/>
          <w:lang w:bidi="ru-RU"/>
        </w:rPr>
        <w:softHyphen/>
        <w:t>его предварительного проекта. С двумя двигателями по 300 л.с. и полетным весом в 5100 кг аппарат должен был развивать максимальную скорость 105 км/ч.</w:t>
      </w:r>
    </w:p>
    <w:p w14:paraId="05CE7450" w14:textId="77777777" w:rsidR="00E2193F" w:rsidRPr="00405303" w:rsidRDefault="00E2193F" w:rsidP="00C15251">
      <w:pPr>
        <w:jc w:val="both"/>
        <w:rPr>
          <w:bCs/>
          <w:color w:val="002060"/>
          <w:sz w:val="16"/>
          <w:szCs w:val="16"/>
        </w:rPr>
      </w:pPr>
      <w:r w:rsidRPr="00405303">
        <w:rPr>
          <w:bCs/>
          <w:color w:val="002060"/>
          <w:sz w:val="16"/>
          <w:szCs w:val="16"/>
          <w:lang w:bidi="ru-RU"/>
        </w:rPr>
        <w:t>Это предложение послужило основой для разработки в начале 1916 г. техничес</w:t>
      </w:r>
      <w:r w:rsidRPr="00405303">
        <w:rPr>
          <w:bCs/>
          <w:color w:val="002060"/>
          <w:sz w:val="16"/>
          <w:szCs w:val="16"/>
          <w:lang w:bidi="ru-RU"/>
        </w:rPr>
        <w:softHyphen/>
        <w:t>кого проекта, получившего обозначение МК 1 — «морской крейсер первый». В том же году крупнейший в России лодочный ги</w:t>
      </w:r>
      <w:r w:rsidRPr="00405303">
        <w:rPr>
          <w:bCs/>
          <w:color w:val="002060"/>
          <w:sz w:val="16"/>
          <w:szCs w:val="16"/>
          <w:lang w:bidi="ru-RU"/>
        </w:rPr>
        <w:softHyphen/>
        <w:t>дросамолет был начат постройкой (23374).</w:t>
      </w:r>
    </w:p>
    <w:p w14:paraId="5C50D1C4" w14:textId="77777777" w:rsidR="00E2193F" w:rsidRPr="00405303" w:rsidRDefault="00E2193F" w:rsidP="00C15251">
      <w:pPr>
        <w:jc w:val="both"/>
        <w:rPr>
          <w:bCs/>
          <w:color w:val="002060"/>
          <w:sz w:val="16"/>
          <w:szCs w:val="16"/>
        </w:rPr>
      </w:pPr>
    </w:p>
    <w:p w14:paraId="26FD3A60" w14:textId="348BD505" w:rsidR="00964D50" w:rsidRPr="00405303" w:rsidRDefault="00964D50" w:rsidP="00C15251">
      <w:pPr>
        <w:jc w:val="both"/>
        <w:rPr>
          <w:bCs/>
          <w:i/>
          <w:color w:val="002060"/>
          <w:sz w:val="16"/>
          <w:szCs w:val="16"/>
        </w:rPr>
      </w:pPr>
      <w:r w:rsidRPr="00405303">
        <w:rPr>
          <w:bCs/>
          <w:i/>
          <w:color w:val="002060"/>
          <w:sz w:val="16"/>
          <w:szCs w:val="16"/>
        </w:rPr>
        <w:t>Другие оборонные отрасли:</w:t>
      </w:r>
    </w:p>
    <w:p w14:paraId="5BB53E14" w14:textId="77777777" w:rsidR="00964D50" w:rsidRPr="00405303" w:rsidRDefault="00964D50" w:rsidP="00C15251">
      <w:pPr>
        <w:jc w:val="both"/>
        <w:rPr>
          <w:bCs/>
          <w:i/>
          <w:color w:val="002060"/>
          <w:sz w:val="16"/>
          <w:szCs w:val="16"/>
        </w:rPr>
      </w:pPr>
    </w:p>
    <w:p w14:paraId="531B70DD" w14:textId="5FDCE4CE" w:rsidR="00964D50" w:rsidRPr="00405303" w:rsidRDefault="00964D50" w:rsidP="00C15251">
      <w:pPr>
        <w:pStyle w:val="p1"/>
        <w:spacing w:before="0" w:beforeAutospacing="0" w:after="0" w:afterAutospacing="0"/>
        <w:jc w:val="both"/>
        <w:rPr>
          <w:bCs/>
          <w:color w:val="002060"/>
          <w:sz w:val="16"/>
          <w:szCs w:val="16"/>
        </w:rPr>
      </w:pPr>
      <w:r w:rsidRPr="00405303">
        <w:rPr>
          <w:bCs/>
          <w:color w:val="002060"/>
          <w:sz w:val="16"/>
          <w:szCs w:val="16"/>
        </w:rPr>
        <w:t xml:space="preserve">12 </w:t>
      </w:r>
      <w:r w:rsidR="00C93DD1" w:rsidRPr="00405303">
        <w:rPr>
          <w:bCs/>
          <w:color w:val="002060"/>
          <w:sz w:val="16"/>
          <w:szCs w:val="16"/>
        </w:rPr>
        <w:t xml:space="preserve">(25) </w:t>
      </w:r>
      <w:r w:rsidRPr="00405303">
        <w:rPr>
          <w:bCs/>
          <w:color w:val="002060"/>
          <w:sz w:val="16"/>
          <w:szCs w:val="16"/>
        </w:rPr>
        <w:t xml:space="preserve">августа 1915 </w:t>
      </w:r>
      <w:r w:rsidR="00C93DD1" w:rsidRPr="00405303">
        <w:rPr>
          <w:bCs/>
          <w:color w:val="002060"/>
          <w:sz w:val="16"/>
          <w:szCs w:val="16"/>
        </w:rPr>
        <w:t xml:space="preserve">г. </w:t>
      </w:r>
      <w:r w:rsidRPr="00405303">
        <w:rPr>
          <w:bCs/>
          <w:color w:val="002060"/>
          <w:sz w:val="16"/>
          <w:szCs w:val="16"/>
        </w:rPr>
        <w:t>РАОАЗ, только что в очередной раз подвергшееся резким нападкам правых в Думе за то, что оно мешает развитию казенных заводов, согласилось продать Военному министерству заказанные в США станки. В конечном счете, как сообщил позднее думской комиссии военный министр А.А. Поливанов, «ведомство окончательно остановилось» на мысли об устройстве еще одного казенного, а не частного завода, чтобы довести «производство всех казенных заводов в совокупности» до полного обеспечения «выяснившейся на опыте текущей войны потребности». Совет министров одобрил этот замысел и 27 ноября 1915 г. отпустил 2 млн. руб., необходимых для начала работ в 1915 году. 5-й Екатеринославский казенный ружейный завод, подобно 4-му ружейному, 2-му сталелитейному, 4-му пороховому и др., позднее рассматривался как один из объектов «программы Маниковского».</w:t>
      </w:r>
    </w:p>
    <w:p w14:paraId="5EC5A1D4" w14:textId="77777777" w:rsidR="00964D50" w:rsidRPr="00405303" w:rsidRDefault="00964D50" w:rsidP="00C15251">
      <w:pPr>
        <w:pStyle w:val="p1"/>
        <w:spacing w:before="0" w:beforeAutospacing="0" w:after="0" w:afterAutospacing="0"/>
        <w:jc w:val="both"/>
        <w:rPr>
          <w:bCs/>
          <w:color w:val="002060"/>
          <w:sz w:val="16"/>
          <w:szCs w:val="16"/>
        </w:rPr>
      </w:pPr>
      <w:r w:rsidRPr="00405303">
        <w:rPr>
          <w:bCs/>
          <w:color w:val="002060"/>
          <w:sz w:val="16"/>
          <w:szCs w:val="16"/>
        </w:rPr>
        <w:t>При обсуждении законопроекта о Екатеринославском заводе в думской комиссии снова была подчеркнута желательность именно казенного завода. «И частный завод пришлось бы фактически строить на казенные средства, — повторил обычную аргументацию противников частной инициативы в военной индустрии Н.В. Савич, — и постоянно обеспечивать его значительными заказами, так как в противном случае всякий частный завод пришлось бы закрыть или изменить его производство» (18409).</w:t>
      </w:r>
    </w:p>
    <w:p w14:paraId="5EDE3029" w14:textId="77777777" w:rsidR="00964D50" w:rsidRPr="00405303" w:rsidRDefault="00964D50" w:rsidP="00C15251">
      <w:pPr>
        <w:pStyle w:val="p1"/>
        <w:spacing w:before="0" w:beforeAutospacing="0" w:after="0" w:afterAutospacing="0"/>
        <w:jc w:val="both"/>
        <w:rPr>
          <w:bCs/>
          <w:color w:val="002060"/>
          <w:sz w:val="16"/>
          <w:szCs w:val="16"/>
        </w:rPr>
      </w:pPr>
    </w:p>
    <w:p w14:paraId="368AD9F7" w14:textId="4E5D9ABA" w:rsidR="00E2193F" w:rsidRPr="00405303" w:rsidRDefault="00E2193F" w:rsidP="00C15251">
      <w:pPr>
        <w:jc w:val="both"/>
        <w:rPr>
          <w:bCs/>
          <w:color w:val="002060"/>
          <w:sz w:val="16"/>
          <w:szCs w:val="16"/>
        </w:rPr>
      </w:pPr>
      <w:r w:rsidRPr="00405303">
        <w:rPr>
          <w:bCs/>
          <w:color w:val="002060"/>
          <w:sz w:val="16"/>
          <w:szCs w:val="16"/>
        </w:rPr>
        <w:t>12 (25) августа 1915 г. РАОАЗ, только что в очередной раз под</w:t>
      </w:r>
      <w:r w:rsidRPr="00405303">
        <w:rPr>
          <w:bCs/>
          <w:color w:val="002060"/>
          <w:sz w:val="16"/>
          <w:szCs w:val="16"/>
        </w:rPr>
        <w:softHyphen/>
        <w:t xml:space="preserve">вергшееся резким нападкам правых в Думе за то, что оно мешает развитию казенных заводов, согласилось продать Военному министерству заказанные в США станки (РГВИА. Ф. 962. Оп. 2. Д. 136. Л. 135-136; Ф. 2000. </w:t>
      </w:r>
      <w:r w:rsidRPr="00405303">
        <w:rPr>
          <w:bCs/>
          <w:color w:val="002060"/>
          <w:sz w:val="16"/>
          <w:szCs w:val="16"/>
          <w:lang w:val="en-US" w:bidi="en-US"/>
        </w:rPr>
        <w:t>On</w:t>
      </w:r>
      <w:r w:rsidRPr="00405303">
        <w:rPr>
          <w:bCs/>
          <w:color w:val="002060"/>
          <w:sz w:val="16"/>
          <w:szCs w:val="16"/>
          <w:lang w:bidi="en-US"/>
        </w:rPr>
        <w:t xml:space="preserve">. </w:t>
      </w:r>
      <w:r w:rsidRPr="00405303">
        <w:rPr>
          <w:bCs/>
          <w:color w:val="002060"/>
          <w:sz w:val="16"/>
          <w:szCs w:val="16"/>
        </w:rPr>
        <w:t>1. Д. 5579. Л. 195; Загорулько М.М., Булатов В.В., Косторниченко В.Н. «Виккерс» в России. Волгоград, 2012. С. 153. ЖОСО 1915. М., 1975. С. 121, 186-187, 191. Изготовление ком</w:t>
      </w:r>
      <w:r w:rsidRPr="00405303">
        <w:rPr>
          <w:bCs/>
          <w:color w:val="002060"/>
          <w:sz w:val="16"/>
          <w:szCs w:val="16"/>
        </w:rPr>
        <w:softHyphen/>
        <w:t>плекта оборудования заканчивалось в декабре 1916 г., но к тому време</w:t>
      </w:r>
      <w:r w:rsidRPr="00405303">
        <w:rPr>
          <w:bCs/>
          <w:color w:val="002060"/>
          <w:sz w:val="16"/>
          <w:szCs w:val="16"/>
        </w:rPr>
        <w:softHyphen/>
        <w:t xml:space="preserve">ни контракт с «Виккерсом» об уступке его казне еще не был оформлен (РГВИА. Ф. 2000. </w:t>
      </w:r>
      <w:r w:rsidRPr="00405303">
        <w:rPr>
          <w:bCs/>
          <w:color w:val="002060"/>
          <w:sz w:val="16"/>
          <w:szCs w:val="16"/>
          <w:lang w:val="en-US" w:bidi="en-US"/>
        </w:rPr>
        <w:t>On</w:t>
      </w:r>
      <w:r w:rsidRPr="00405303">
        <w:rPr>
          <w:bCs/>
          <w:color w:val="002060"/>
          <w:sz w:val="16"/>
          <w:szCs w:val="16"/>
          <w:lang w:bidi="en-US"/>
        </w:rPr>
        <w:t xml:space="preserve">. </w:t>
      </w:r>
      <w:r w:rsidRPr="00405303">
        <w:rPr>
          <w:bCs/>
          <w:color w:val="002060"/>
          <w:sz w:val="16"/>
          <w:szCs w:val="16"/>
        </w:rPr>
        <w:t>1. Д. 5582. Л. 220, 314; Д. 5583. Л. 488. Телеграм</w:t>
      </w:r>
      <w:r w:rsidRPr="00405303">
        <w:rPr>
          <w:bCs/>
          <w:color w:val="002060"/>
          <w:sz w:val="16"/>
          <w:szCs w:val="16"/>
        </w:rPr>
        <w:softHyphen/>
        <w:t xml:space="preserve">ма Залюбовского ГАУ, </w:t>
      </w:r>
      <w:r w:rsidRPr="00405303">
        <w:rPr>
          <w:bCs/>
          <w:color w:val="002060"/>
          <w:sz w:val="16"/>
          <w:szCs w:val="16"/>
          <w:lang w:bidi="en-US"/>
        </w:rPr>
        <w:t>7.</w:t>
      </w:r>
      <w:r w:rsidRPr="00405303">
        <w:rPr>
          <w:bCs/>
          <w:color w:val="002060"/>
          <w:sz w:val="16"/>
          <w:szCs w:val="16"/>
          <w:lang w:val="en-US" w:bidi="en-US"/>
        </w:rPr>
        <w:t>XII</w:t>
      </w:r>
      <w:r w:rsidRPr="00405303">
        <w:rPr>
          <w:bCs/>
          <w:color w:val="002060"/>
          <w:sz w:val="16"/>
          <w:szCs w:val="16"/>
          <w:lang w:bidi="en-US"/>
        </w:rPr>
        <w:t xml:space="preserve">. </w:t>
      </w:r>
      <w:r w:rsidRPr="00405303">
        <w:rPr>
          <w:bCs/>
          <w:color w:val="002060"/>
          <w:sz w:val="16"/>
          <w:szCs w:val="16"/>
        </w:rPr>
        <w:t>1916, и предшествующая переписка с авгу</w:t>
      </w:r>
      <w:r w:rsidRPr="00405303">
        <w:rPr>
          <w:bCs/>
          <w:color w:val="002060"/>
          <w:sz w:val="16"/>
          <w:szCs w:val="16"/>
        </w:rPr>
        <w:softHyphen/>
        <w:t>ста 1916 г.)). В ко</w:t>
      </w:r>
      <w:r w:rsidRPr="00405303">
        <w:rPr>
          <w:bCs/>
          <w:color w:val="002060"/>
          <w:sz w:val="16"/>
          <w:szCs w:val="16"/>
        </w:rPr>
        <w:softHyphen/>
        <w:t>нечном счете, как сообщил позднее думской комиссии во</w:t>
      </w:r>
      <w:r w:rsidRPr="00405303">
        <w:rPr>
          <w:bCs/>
          <w:color w:val="002060"/>
          <w:sz w:val="16"/>
          <w:szCs w:val="16"/>
        </w:rPr>
        <w:softHyphen/>
        <w:t>енный министр А.А. Поливанов, «ведомство окончательно остановилось» на мысли об устройстве еще одного казен</w:t>
      </w:r>
      <w:r w:rsidRPr="00405303">
        <w:rPr>
          <w:bCs/>
          <w:color w:val="002060"/>
          <w:sz w:val="16"/>
          <w:szCs w:val="16"/>
        </w:rPr>
        <w:softHyphen/>
        <w:t>ного, а не частного завода, чтобы довести «производство всех казенных заводов в совокупности» до полного обеспе</w:t>
      </w:r>
      <w:r w:rsidRPr="00405303">
        <w:rPr>
          <w:bCs/>
          <w:color w:val="002060"/>
          <w:sz w:val="16"/>
          <w:szCs w:val="16"/>
        </w:rPr>
        <w:softHyphen/>
        <w:t>чения «выяснившейся на опыте текущей войны потребно</w:t>
      </w:r>
      <w:r w:rsidRPr="00405303">
        <w:rPr>
          <w:bCs/>
          <w:color w:val="002060"/>
          <w:sz w:val="16"/>
          <w:szCs w:val="16"/>
        </w:rPr>
        <w:softHyphen/>
        <w:t>сти». Совет министров одобрил этот замысел и 27 ноября 1915 г. отпустил 2 млн руб., необходимых для начала ра</w:t>
      </w:r>
      <w:r w:rsidRPr="00405303">
        <w:rPr>
          <w:bCs/>
          <w:color w:val="002060"/>
          <w:sz w:val="16"/>
          <w:szCs w:val="16"/>
        </w:rPr>
        <w:softHyphen/>
        <w:t>бот в 1915 году. 5-й Екатеринославский казенный ружей</w:t>
      </w:r>
      <w:r w:rsidRPr="00405303">
        <w:rPr>
          <w:bCs/>
          <w:color w:val="002060"/>
          <w:sz w:val="16"/>
          <w:szCs w:val="16"/>
        </w:rPr>
        <w:softHyphen/>
        <w:t>ный завод, подобно 4-му ружейному, 2-му сталелитейному, 4-му пороховому и др., позднее рассматривался как один из объектов «программы Маниковского» (23452).</w:t>
      </w:r>
    </w:p>
    <w:p w14:paraId="07D8AC94" w14:textId="77777777" w:rsidR="00E2193F" w:rsidRPr="00405303" w:rsidRDefault="00E2193F" w:rsidP="00C15251">
      <w:pPr>
        <w:jc w:val="both"/>
        <w:rPr>
          <w:bCs/>
          <w:color w:val="002060"/>
          <w:sz w:val="16"/>
          <w:szCs w:val="16"/>
        </w:rPr>
      </w:pPr>
    </w:p>
    <w:p w14:paraId="6923E160" w14:textId="61BBABA8" w:rsidR="0004080B" w:rsidRPr="00405303" w:rsidRDefault="0004080B" w:rsidP="00C15251">
      <w:pPr>
        <w:pStyle w:val="ae"/>
        <w:spacing w:before="0" w:beforeAutospacing="0" w:after="0" w:afterAutospacing="0"/>
        <w:jc w:val="both"/>
        <w:rPr>
          <w:bCs/>
          <w:color w:val="002060"/>
          <w:sz w:val="16"/>
          <w:szCs w:val="16"/>
        </w:rPr>
      </w:pPr>
      <w:r w:rsidRPr="00405303">
        <w:rPr>
          <w:bCs/>
          <w:color w:val="002060"/>
          <w:sz w:val="16"/>
          <w:szCs w:val="16"/>
        </w:rPr>
        <w:t xml:space="preserve">12 (25) августа 1915 </w:t>
      </w:r>
      <w:r w:rsidR="00C93DD1" w:rsidRPr="00405303">
        <w:rPr>
          <w:bCs/>
          <w:color w:val="002060"/>
          <w:sz w:val="16"/>
          <w:szCs w:val="16"/>
        </w:rPr>
        <w:t xml:space="preserve">г. </w:t>
      </w:r>
      <w:r w:rsidRPr="00405303">
        <w:rPr>
          <w:bCs/>
          <w:color w:val="002060"/>
          <w:sz w:val="16"/>
          <w:szCs w:val="16"/>
        </w:rPr>
        <w:t>в камере, содержащей фосген в концентрации в 0,01% было произведено прямо на людях первое испытание нового поглотителя ОВ – активированного угля. Оказалось, что при заполнении небольшого цилиндра маски Трындина зерненным углем можно оставаться в камере с надетой маской 15 мин. и более, не ощущая фосгена. Были проведены и другие испытания. Таким образом, в ноябре 1915 г. было уже совершенно ясно, что активированный древесный уголь является лучшим средством для защиты от газов, и выработаны принципиальные схемы противогазов (20246).</w:t>
      </w:r>
    </w:p>
    <w:p w14:paraId="208A009C" w14:textId="44591CFC" w:rsidR="0004080B" w:rsidRPr="00405303" w:rsidRDefault="0004080B" w:rsidP="00C15251">
      <w:pPr>
        <w:pStyle w:val="ae"/>
        <w:spacing w:before="0" w:beforeAutospacing="0" w:after="0" w:afterAutospacing="0"/>
        <w:jc w:val="both"/>
        <w:rPr>
          <w:bCs/>
          <w:color w:val="002060"/>
          <w:sz w:val="16"/>
          <w:szCs w:val="16"/>
        </w:rPr>
      </w:pPr>
      <w:r w:rsidRPr="00405303">
        <w:rPr>
          <w:bCs/>
          <w:color w:val="002060"/>
          <w:sz w:val="16"/>
          <w:szCs w:val="16"/>
        </w:rPr>
        <w:t>В июне 1915 г. Зелинский познакомился с инженером-технологом с завода «</w:t>
      </w:r>
      <w:hyperlink r:id="rId54" w:history="1">
        <w:r w:rsidRPr="00405303">
          <w:rPr>
            <w:rStyle w:val="ad"/>
            <w:bCs/>
            <w:color w:val="002060"/>
            <w:sz w:val="16"/>
            <w:szCs w:val="16"/>
            <w:u w:val="none"/>
          </w:rPr>
          <w:t>Треугольник</w:t>
        </w:r>
      </w:hyperlink>
      <w:r w:rsidRPr="00405303">
        <w:rPr>
          <w:bCs/>
          <w:color w:val="002060"/>
          <w:sz w:val="16"/>
          <w:szCs w:val="16"/>
        </w:rPr>
        <w:t>» М. И. Куммантом, разработавшим оригинальную маску для противогаза. Благодаря их сотрудничеству изобретение приобрело законченный вид: противогазовая коробка с активированным углем в качестве сорбента паров ОВ (Зелинского) и резиновая маска, к которой эта коробка крепилась (Кумманта). В дальнейшем новый противогаз</w:t>
      </w:r>
      <w:hyperlink r:id="rId55" w:anchor="ris18" w:history="1">
        <w:r w:rsidR="00DB4D64" w:rsidRPr="00405303">
          <w:rPr>
            <w:rStyle w:val="ad"/>
            <w:bCs/>
            <w:color w:val="002060"/>
            <w:sz w:val="16"/>
            <w:szCs w:val="16"/>
          </w:rPr>
          <w:t xml:space="preserve"> </w:t>
        </w:r>
        <w:r w:rsidRPr="00405303">
          <w:rPr>
            <w:rStyle w:val="ad"/>
            <w:bCs/>
            <w:color w:val="002060"/>
            <w:sz w:val="16"/>
            <w:szCs w:val="16"/>
          </w:rPr>
          <w:t>назывался противогазом Зелинского — Кумманта</w:t>
        </w:r>
      </w:hyperlink>
      <w:r w:rsidR="00DB4D64" w:rsidRPr="00405303">
        <w:rPr>
          <w:bCs/>
          <w:color w:val="002060"/>
          <w:sz w:val="16"/>
          <w:szCs w:val="16"/>
        </w:rPr>
        <w:t xml:space="preserve"> </w:t>
      </w:r>
      <w:r w:rsidRPr="00405303">
        <w:rPr>
          <w:bCs/>
          <w:color w:val="002060"/>
          <w:sz w:val="16"/>
          <w:szCs w:val="16"/>
        </w:rPr>
        <w:t>(20246).</w:t>
      </w:r>
    </w:p>
    <w:p w14:paraId="69462741" w14:textId="77777777" w:rsidR="0004080B" w:rsidRPr="00405303" w:rsidRDefault="0004080B" w:rsidP="00C15251">
      <w:pPr>
        <w:pStyle w:val="ae"/>
        <w:spacing w:before="0" w:beforeAutospacing="0" w:after="0" w:afterAutospacing="0"/>
        <w:jc w:val="both"/>
        <w:rPr>
          <w:bCs/>
          <w:color w:val="002060"/>
          <w:sz w:val="16"/>
          <w:szCs w:val="16"/>
        </w:rPr>
      </w:pPr>
    </w:p>
    <w:p w14:paraId="623E9F4E" w14:textId="2634F4A7" w:rsidR="00A652C2" w:rsidRPr="00405303" w:rsidRDefault="00A652C2" w:rsidP="00A652C2">
      <w:pPr>
        <w:jc w:val="both"/>
        <w:rPr>
          <w:bCs/>
          <w:i/>
          <w:color w:val="002060"/>
          <w:sz w:val="16"/>
          <w:szCs w:val="16"/>
        </w:rPr>
      </w:pPr>
      <w:r w:rsidRPr="00405303">
        <w:rPr>
          <w:bCs/>
          <w:i/>
          <w:color w:val="002060"/>
          <w:sz w:val="16"/>
          <w:szCs w:val="16"/>
        </w:rPr>
        <w:t>Авиация:</w:t>
      </w:r>
    </w:p>
    <w:p w14:paraId="1772678D" w14:textId="77777777" w:rsidR="00A652C2" w:rsidRPr="00405303" w:rsidRDefault="00A652C2" w:rsidP="00A652C2">
      <w:pPr>
        <w:jc w:val="both"/>
        <w:rPr>
          <w:bCs/>
          <w:i/>
          <w:color w:val="002060"/>
          <w:sz w:val="16"/>
          <w:szCs w:val="16"/>
        </w:rPr>
      </w:pPr>
    </w:p>
    <w:p w14:paraId="12DDF63E" w14:textId="77777777" w:rsidR="00A652C2" w:rsidRPr="00405303" w:rsidRDefault="00A652C2" w:rsidP="00A652C2">
      <w:pPr>
        <w:jc w:val="both"/>
        <w:rPr>
          <w:color w:val="0070C0"/>
          <w:sz w:val="16"/>
          <w:szCs w:val="16"/>
        </w:rPr>
      </w:pPr>
      <w:r w:rsidRPr="00405303">
        <w:rPr>
          <w:rStyle w:val="aa"/>
          <w:rFonts w:ascii="Times New Roman" w:hAnsi="Times New Roman"/>
          <w:color w:val="0070C0"/>
          <w:spacing w:val="0"/>
          <w:sz w:val="16"/>
          <w:szCs w:val="16"/>
        </w:rPr>
        <w:t>В ночь 12 на 13 (с 25 на 26) августа 1915 г. форты и опорные пункты 1-й и 2-й линии обороны на северо-восточной, восточной и юго-восточной сторонах брестской крепости были взорваны до основания, остальные частично. Орудия, наиболее необходимые боеприпасы и имущество вывезены в глубокий тыл. Остальное имущество, деревянные крепостные постройки были сожжены, мосты взорваны. 26 августа немецкие и австро-венгерские войска вошли в город и разрушенную крепость. Одна из мощных цитаделей России досталась им практически без боя (25135).</w:t>
      </w:r>
    </w:p>
    <w:p w14:paraId="683C5C99" w14:textId="77777777" w:rsidR="00A652C2" w:rsidRPr="00405303" w:rsidRDefault="00A652C2" w:rsidP="00A652C2">
      <w:pPr>
        <w:jc w:val="both"/>
        <w:rPr>
          <w:color w:val="0070C0"/>
          <w:sz w:val="16"/>
          <w:szCs w:val="16"/>
        </w:rPr>
      </w:pPr>
    </w:p>
    <w:p w14:paraId="0CEA6F30"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18B83332" w14:textId="77777777" w:rsidR="004B4E35" w:rsidRPr="00405303" w:rsidRDefault="004B4E35" w:rsidP="00C15251">
      <w:pPr>
        <w:jc w:val="both"/>
        <w:rPr>
          <w:bCs/>
          <w:i/>
          <w:color w:val="002060"/>
          <w:sz w:val="16"/>
          <w:szCs w:val="16"/>
        </w:rPr>
      </w:pPr>
    </w:p>
    <w:p w14:paraId="6D90C5D3" w14:textId="74391A11" w:rsidR="004B4E35" w:rsidRPr="00405303" w:rsidRDefault="004126B0" w:rsidP="00C15251">
      <w:pPr>
        <w:shd w:val="clear" w:color="auto" w:fill="FFFFFF"/>
        <w:jc w:val="both"/>
        <w:rPr>
          <w:bCs/>
          <w:color w:val="002060"/>
          <w:sz w:val="16"/>
          <w:szCs w:val="16"/>
        </w:rPr>
      </w:pPr>
      <w:r w:rsidRPr="00405303">
        <w:rPr>
          <w:bCs/>
          <w:color w:val="002060"/>
          <w:sz w:val="16"/>
          <w:szCs w:val="16"/>
        </w:rPr>
        <w:t>12 (25)</w:t>
      </w:r>
      <w:r w:rsidR="009E6F82" w:rsidRPr="00405303">
        <w:rPr>
          <w:bCs/>
          <w:color w:val="002060"/>
          <w:sz w:val="16"/>
          <w:szCs w:val="16"/>
        </w:rPr>
        <w:t xml:space="preserve"> августа 1915 </w:t>
      </w:r>
      <w:r w:rsidRPr="00405303">
        <w:rPr>
          <w:bCs/>
          <w:color w:val="002060"/>
          <w:sz w:val="16"/>
          <w:szCs w:val="16"/>
        </w:rPr>
        <w:t xml:space="preserve">г. </w:t>
      </w:r>
      <w:r w:rsidR="009E6F82" w:rsidRPr="00405303">
        <w:rPr>
          <w:bCs/>
          <w:color w:val="002060"/>
          <w:sz w:val="16"/>
          <w:szCs w:val="16"/>
        </w:rPr>
        <w:t>авиато</w:t>
      </w:r>
      <w:r w:rsidR="009E6F82" w:rsidRPr="00405303">
        <w:rPr>
          <w:bCs/>
          <w:color w:val="002060"/>
          <w:sz w:val="16"/>
          <w:szCs w:val="16"/>
        </w:rPr>
        <w:softHyphen/>
        <w:t>ры одобрили идею</w:t>
      </w:r>
      <w:r w:rsidRPr="00405303">
        <w:rPr>
          <w:bCs/>
          <w:color w:val="002060"/>
          <w:sz w:val="16"/>
          <w:szCs w:val="16"/>
        </w:rPr>
        <w:t xml:space="preserve"> новогог гидросамолета</w:t>
      </w:r>
      <w:r w:rsidR="009E6F82" w:rsidRPr="00405303">
        <w:rPr>
          <w:bCs/>
          <w:color w:val="002060"/>
          <w:sz w:val="16"/>
          <w:szCs w:val="16"/>
        </w:rPr>
        <w:t xml:space="preserve"> и предложили дать конструктору и ПРТВ 50% аванс для начала опытного строительства; остальные 50% стоимости работ выплачивались бы по готовности аппарата, но только в случае его успешных испытаний, при которых все названные показатели не могли быть ниже, чем на 10% от расчет</w:t>
      </w:r>
      <w:r w:rsidR="009E6F82" w:rsidRPr="00405303">
        <w:rPr>
          <w:bCs/>
          <w:color w:val="002060"/>
          <w:sz w:val="16"/>
          <w:szCs w:val="16"/>
        </w:rPr>
        <w:softHyphen/>
        <w:t>ных величин. Двадцать второго числа капитан 2 р. Б. П. Дудоров, начальник авиационного отдела Службы связи Балтийского моря, в свою очередь поддержал план создания лодки, но высказался против выдачи денег «на авось». Вместо них он полагал целесообразным снабдить фирму — в кредит и под расписку, двумя моторами требуемой мощности (2807).</w:t>
      </w:r>
    </w:p>
    <w:p w14:paraId="6602267D" w14:textId="77777777" w:rsidR="004B4E35" w:rsidRPr="00405303" w:rsidRDefault="004B4E35" w:rsidP="00C15251">
      <w:pPr>
        <w:shd w:val="clear" w:color="auto" w:fill="FFFFFF"/>
        <w:jc w:val="both"/>
        <w:rPr>
          <w:bCs/>
          <w:color w:val="002060"/>
          <w:sz w:val="16"/>
          <w:szCs w:val="16"/>
        </w:rPr>
      </w:pPr>
    </w:p>
    <w:p w14:paraId="7B8B668B" w14:textId="7EB45CBC" w:rsidR="004B4E35" w:rsidRPr="00405303" w:rsidRDefault="009E6F82" w:rsidP="00C15251">
      <w:pPr>
        <w:jc w:val="both"/>
        <w:rPr>
          <w:bCs/>
          <w:color w:val="002060"/>
          <w:sz w:val="16"/>
          <w:szCs w:val="16"/>
        </w:rPr>
      </w:pPr>
      <w:r w:rsidRPr="00405303">
        <w:rPr>
          <w:bCs/>
          <w:color w:val="002060"/>
          <w:sz w:val="16"/>
          <w:szCs w:val="16"/>
        </w:rPr>
        <w:t xml:space="preserve">12 </w:t>
      </w:r>
      <w:r w:rsidR="004126B0" w:rsidRPr="00405303">
        <w:rPr>
          <w:bCs/>
          <w:color w:val="002060"/>
          <w:sz w:val="16"/>
          <w:szCs w:val="16"/>
        </w:rPr>
        <w:t xml:space="preserve">(25) </w:t>
      </w:r>
      <w:r w:rsidRPr="00405303">
        <w:rPr>
          <w:bCs/>
          <w:color w:val="002060"/>
          <w:sz w:val="16"/>
          <w:szCs w:val="16"/>
        </w:rPr>
        <w:t xml:space="preserve">августа </w:t>
      </w:r>
      <w:r w:rsidR="004126B0" w:rsidRPr="00405303">
        <w:rPr>
          <w:bCs/>
          <w:color w:val="002060"/>
          <w:sz w:val="16"/>
          <w:szCs w:val="16"/>
        </w:rPr>
        <w:t xml:space="preserve">1915 г. Авиационный комитет Балтийского флота, собравшись </w:t>
      </w:r>
      <w:r w:rsidRPr="00405303">
        <w:rPr>
          <w:bCs/>
          <w:color w:val="002060"/>
          <w:sz w:val="16"/>
          <w:szCs w:val="16"/>
        </w:rPr>
        <w:t>на заседание, обсуждал вопрос о новых гидросамолётах и проблемах со снабжением. Пришли к мнению о необходимости самолёта, способного взлетать и производить посадку на лёд, так как в большинстве районов базирования гидросамолётов в зимнее время водные пространства покрывались льдом. Задача эта, по мнению авиационного комитета, могла бы быть решена приобретением некоторого числа поплавковых гидросамолётов на амортизации со стационарными моторами. В качестве доказательства возможности выполнения подобных полётов ссылались на опыт морских лётчиков инженер- механика лейтенанта Зверева и лейтенанта Нагурского.</w:t>
      </w:r>
    </w:p>
    <w:p w14:paraId="2DE9DA3C" w14:textId="77777777" w:rsidR="004B4E35" w:rsidRPr="00405303" w:rsidRDefault="009E6F82" w:rsidP="00C15251">
      <w:pPr>
        <w:jc w:val="both"/>
        <w:rPr>
          <w:bCs/>
          <w:color w:val="002060"/>
          <w:sz w:val="16"/>
          <w:szCs w:val="16"/>
        </w:rPr>
      </w:pPr>
      <w:r w:rsidRPr="00405303">
        <w:rPr>
          <w:bCs/>
          <w:color w:val="002060"/>
          <w:sz w:val="16"/>
          <w:szCs w:val="16"/>
        </w:rPr>
        <w:t>Представители авиационного комитета выразили беспокойство по поводу недостаточно развитой сети авиационных станций и для повышения оперативности предлагали создавать подвижную базу из двух - трёх специально оборудованных грузовых автомобилей на каждой станции 1-го разряда. Такая подвижная база при необходимости могла выдвигаться на желаемый пункт, вплотную к неприятелю, а в случае обстрела без затруднений менять позицию. Отряд, опирающийся на подобную базу, предлагалось формировать из любых самолётов авиационной станции, а личный состав по необходимости менять. При отсутствии надобности в работе подвижного отряда его возвращали на авиационную станцию. Члены комитета осознавали, что подобная мера только "несколько развивает самое дело, отнюдь не нарушая общей организации". Для повышения мобильности авиационный комитет рекомендовал включать в его состав не более трёх самолётов (11927).</w:t>
      </w:r>
    </w:p>
    <w:p w14:paraId="7F65ED76" w14:textId="77777777" w:rsidR="004B4E35" w:rsidRPr="00405303" w:rsidRDefault="004B4E35" w:rsidP="00C15251">
      <w:pPr>
        <w:jc w:val="both"/>
        <w:rPr>
          <w:bCs/>
          <w:color w:val="002060"/>
          <w:sz w:val="16"/>
          <w:szCs w:val="16"/>
        </w:rPr>
      </w:pPr>
    </w:p>
    <w:p w14:paraId="0453B484" w14:textId="3BB8C2E0" w:rsidR="004B4E35" w:rsidRPr="00405303" w:rsidRDefault="009E6F82" w:rsidP="00C15251">
      <w:pPr>
        <w:pStyle w:val="25"/>
        <w:shd w:val="clear" w:color="auto" w:fill="auto"/>
        <w:spacing w:after="0" w:line="240" w:lineRule="auto"/>
        <w:jc w:val="both"/>
        <w:rPr>
          <w:rFonts w:ascii="Times New Roman"/>
          <w:bCs/>
          <w:color w:val="002060"/>
          <w:sz w:val="16"/>
          <w:szCs w:val="16"/>
        </w:rPr>
      </w:pPr>
      <w:r w:rsidRPr="00405303">
        <w:rPr>
          <w:rFonts w:ascii="Times New Roman"/>
          <w:bCs/>
          <w:color w:val="002060"/>
          <w:sz w:val="16"/>
          <w:szCs w:val="16"/>
        </w:rPr>
        <w:t xml:space="preserve">12 </w:t>
      </w:r>
      <w:r w:rsidR="004126B0" w:rsidRPr="00405303">
        <w:rPr>
          <w:rFonts w:ascii="Times New Roman"/>
          <w:bCs/>
          <w:color w:val="002060"/>
          <w:sz w:val="16"/>
          <w:szCs w:val="16"/>
        </w:rPr>
        <w:t xml:space="preserve">(25) </w:t>
      </w:r>
      <w:r w:rsidRPr="00405303">
        <w:rPr>
          <w:rFonts w:ascii="Times New Roman"/>
          <w:bCs/>
          <w:color w:val="002060"/>
          <w:sz w:val="16"/>
          <w:szCs w:val="16"/>
        </w:rPr>
        <w:t>августа 1915 г. состоялось заседание Авиационного комитета Службы связи Балтийского моря, на котором вновь рассматривался вопрос о снабжении авиации фло</w:t>
      </w:r>
      <w:r w:rsidRPr="00405303">
        <w:rPr>
          <w:rFonts w:ascii="Times New Roman"/>
          <w:bCs/>
          <w:color w:val="002060"/>
          <w:sz w:val="16"/>
          <w:szCs w:val="16"/>
        </w:rPr>
        <w:softHyphen/>
        <w:t>та большими гидроаэропланами, рассчитанными на 6 часов полета. Сообразуясь с этими требования</w:t>
      </w:r>
      <w:r w:rsidRPr="00405303">
        <w:rPr>
          <w:rFonts w:ascii="Times New Roman"/>
          <w:bCs/>
          <w:color w:val="002060"/>
          <w:sz w:val="16"/>
          <w:szCs w:val="16"/>
        </w:rPr>
        <w:softHyphen/>
        <w:t>ми, конструктор Григорович внес на заседании предложение о построй</w:t>
      </w:r>
      <w:r w:rsidRPr="00405303">
        <w:rPr>
          <w:rFonts w:ascii="Times New Roman"/>
          <w:bCs/>
          <w:color w:val="002060"/>
          <w:sz w:val="16"/>
          <w:szCs w:val="16"/>
        </w:rPr>
        <w:softHyphen/>
        <w:t>ке такого самолета на основе сво</w:t>
      </w:r>
      <w:r w:rsidRPr="00405303">
        <w:rPr>
          <w:rFonts w:ascii="Times New Roman"/>
          <w:bCs/>
          <w:color w:val="002060"/>
          <w:sz w:val="16"/>
          <w:szCs w:val="16"/>
        </w:rPr>
        <w:softHyphen/>
        <w:t>его предварительного проекта. С двумя двигателями по 300 л.с. и по</w:t>
      </w:r>
      <w:r w:rsidRPr="00405303">
        <w:rPr>
          <w:rFonts w:ascii="Times New Roman"/>
          <w:bCs/>
          <w:color w:val="002060"/>
          <w:sz w:val="16"/>
          <w:szCs w:val="16"/>
        </w:rPr>
        <w:softHyphen/>
        <w:t>летным весом в 5100 кг аппарат должен был развивать максималь</w:t>
      </w:r>
      <w:r w:rsidRPr="00405303">
        <w:rPr>
          <w:rFonts w:ascii="Times New Roman"/>
          <w:bCs/>
          <w:color w:val="002060"/>
          <w:sz w:val="16"/>
          <w:szCs w:val="16"/>
        </w:rPr>
        <w:softHyphen/>
        <w:t>ную скорость 105 км/ч.</w:t>
      </w:r>
    </w:p>
    <w:p w14:paraId="1A40EE1E" w14:textId="77777777" w:rsidR="004B4E35" w:rsidRPr="00405303" w:rsidRDefault="009E6F82" w:rsidP="00C15251">
      <w:pPr>
        <w:pStyle w:val="25"/>
        <w:shd w:val="clear" w:color="auto" w:fill="auto"/>
        <w:spacing w:after="0" w:line="240" w:lineRule="auto"/>
        <w:jc w:val="both"/>
        <w:rPr>
          <w:rFonts w:ascii="Times New Roman"/>
          <w:bCs/>
          <w:color w:val="002060"/>
          <w:sz w:val="16"/>
          <w:szCs w:val="16"/>
        </w:rPr>
      </w:pPr>
      <w:r w:rsidRPr="00405303">
        <w:rPr>
          <w:rFonts w:ascii="Times New Roman"/>
          <w:bCs/>
          <w:color w:val="002060"/>
          <w:sz w:val="16"/>
          <w:szCs w:val="16"/>
        </w:rPr>
        <w:t>Исходя из тактических соображений, обосно</w:t>
      </w:r>
      <w:r w:rsidRPr="00405303">
        <w:rPr>
          <w:rFonts w:ascii="Times New Roman"/>
          <w:bCs/>
          <w:color w:val="002060"/>
          <w:sz w:val="16"/>
          <w:szCs w:val="16"/>
        </w:rPr>
        <w:softHyphen/>
        <w:t>ванных еще капитаном 2-го ранга А.В. Колчаком, флоту требовался дальний разведчик, способный пе</w:t>
      </w:r>
      <w:r w:rsidRPr="00405303">
        <w:rPr>
          <w:rFonts w:ascii="Times New Roman"/>
          <w:bCs/>
          <w:color w:val="002060"/>
          <w:sz w:val="16"/>
          <w:szCs w:val="16"/>
        </w:rPr>
        <w:softHyphen/>
        <w:t>рекрывать всю акваторию Балтики и (по возможности) Черного моря. Война дополнила круг возлагаемых задач на подобную машину еще и задачами поражения сил и средств неприятельского флота.</w:t>
      </w:r>
    </w:p>
    <w:p w14:paraId="47FBB749" w14:textId="77777777" w:rsidR="004B4E35" w:rsidRPr="00405303" w:rsidRDefault="009E6F82" w:rsidP="00C15251">
      <w:pPr>
        <w:pStyle w:val="25"/>
        <w:shd w:val="clear" w:color="auto" w:fill="auto"/>
        <w:spacing w:after="0" w:line="240" w:lineRule="auto"/>
        <w:jc w:val="both"/>
        <w:rPr>
          <w:rFonts w:ascii="Times New Roman"/>
          <w:bCs/>
          <w:color w:val="002060"/>
          <w:sz w:val="16"/>
          <w:szCs w:val="16"/>
        </w:rPr>
      </w:pPr>
      <w:r w:rsidRPr="00405303">
        <w:rPr>
          <w:rFonts w:ascii="Times New Roman"/>
          <w:bCs/>
          <w:color w:val="002060"/>
          <w:sz w:val="16"/>
          <w:szCs w:val="16"/>
        </w:rPr>
        <w:t>Это предложение послужило основой для разработки в начале 1916 г. технического проекта, по</w:t>
      </w:r>
      <w:r w:rsidRPr="00405303">
        <w:rPr>
          <w:rFonts w:ascii="Times New Roman"/>
          <w:bCs/>
          <w:color w:val="002060"/>
          <w:sz w:val="16"/>
          <w:szCs w:val="16"/>
        </w:rPr>
        <w:softHyphen/>
        <w:t>лучившего обозначение МК-1 - «морской крейсер первый». В том же году крупнейший в России ло</w:t>
      </w:r>
      <w:r w:rsidRPr="00405303">
        <w:rPr>
          <w:rFonts w:ascii="Times New Roman"/>
          <w:bCs/>
          <w:color w:val="002060"/>
          <w:sz w:val="16"/>
          <w:szCs w:val="16"/>
        </w:rPr>
        <w:softHyphen/>
        <w:t>дочный гидросамолет был начат постройкой.</w:t>
      </w:r>
    </w:p>
    <w:p w14:paraId="1EB342D0" w14:textId="77777777" w:rsidR="004B4E35" w:rsidRPr="00405303" w:rsidRDefault="009E6F82" w:rsidP="00C15251">
      <w:pPr>
        <w:pStyle w:val="25"/>
        <w:shd w:val="clear" w:color="auto" w:fill="auto"/>
        <w:spacing w:after="0" w:line="240" w:lineRule="auto"/>
        <w:jc w:val="both"/>
        <w:rPr>
          <w:rFonts w:ascii="Times New Roman"/>
          <w:bCs/>
          <w:color w:val="002060"/>
          <w:sz w:val="16"/>
          <w:szCs w:val="16"/>
        </w:rPr>
      </w:pPr>
      <w:r w:rsidRPr="00405303">
        <w:rPr>
          <w:rFonts w:ascii="Times New Roman"/>
          <w:bCs/>
          <w:color w:val="002060"/>
          <w:sz w:val="16"/>
          <w:szCs w:val="16"/>
        </w:rPr>
        <w:t>Он предназначался для исполь</w:t>
      </w:r>
      <w:r w:rsidRPr="00405303">
        <w:rPr>
          <w:rFonts w:ascii="Times New Roman"/>
          <w:bCs/>
          <w:color w:val="002060"/>
          <w:sz w:val="16"/>
          <w:szCs w:val="16"/>
        </w:rPr>
        <w:softHyphen/>
        <w:t>зования на Черном и Балтийском морях в качестве дальнего развед</w:t>
      </w:r>
      <w:r w:rsidRPr="00405303">
        <w:rPr>
          <w:rFonts w:ascii="Times New Roman"/>
          <w:bCs/>
          <w:color w:val="002060"/>
          <w:sz w:val="16"/>
          <w:szCs w:val="16"/>
        </w:rPr>
        <w:softHyphen/>
        <w:t>чика и морского бомбардировщи</w:t>
      </w:r>
      <w:r w:rsidRPr="00405303">
        <w:rPr>
          <w:rFonts w:ascii="Times New Roman"/>
          <w:bCs/>
          <w:color w:val="002060"/>
          <w:sz w:val="16"/>
          <w:szCs w:val="16"/>
        </w:rPr>
        <w:softHyphen/>
        <w:t>ка. Конструкция и технология изго</w:t>
      </w:r>
      <w:r w:rsidRPr="00405303">
        <w:rPr>
          <w:rFonts w:ascii="Times New Roman"/>
          <w:bCs/>
          <w:color w:val="002060"/>
          <w:sz w:val="16"/>
          <w:szCs w:val="16"/>
        </w:rPr>
        <w:softHyphen/>
        <w:t>товления МК-1 в основном соответ</w:t>
      </w:r>
      <w:r w:rsidRPr="00405303">
        <w:rPr>
          <w:rFonts w:ascii="Times New Roman"/>
          <w:bCs/>
          <w:color w:val="002060"/>
          <w:sz w:val="16"/>
          <w:szCs w:val="16"/>
        </w:rPr>
        <w:softHyphen/>
        <w:t>ствовали методам, принятым на заводе Щетинина.</w:t>
      </w:r>
    </w:p>
    <w:p w14:paraId="5E16F07D" w14:textId="77777777" w:rsidR="004B4E35" w:rsidRPr="00405303" w:rsidRDefault="009E6F82" w:rsidP="00C15251">
      <w:pPr>
        <w:pStyle w:val="25"/>
        <w:shd w:val="clear" w:color="auto" w:fill="auto"/>
        <w:spacing w:after="0" w:line="240" w:lineRule="auto"/>
        <w:jc w:val="both"/>
        <w:rPr>
          <w:rFonts w:ascii="Times New Roman"/>
          <w:bCs/>
          <w:color w:val="002060"/>
          <w:sz w:val="16"/>
          <w:szCs w:val="16"/>
        </w:rPr>
      </w:pPr>
      <w:r w:rsidRPr="00405303">
        <w:rPr>
          <w:rFonts w:ascii="Times New Roman"/>
          <w:bCs/>
          <w:color w:val="002060"/>
          <w:sz w:val="16"/>
          <w:szCs w:val="16"/>
        </w:rPr>
        <w:t>«Морской крейсер» отличался просторной, застекленной четырех</w:t>
      </w:r>
      <w:r w:rsidRPr="00405303">
        <w:rPr>
          <w:rFonts w:ascii="Times New Roman"/>
          <w:bCs/>
          <w:color w:val="002060"/>
          <w:sz w:val="16"/>
          <w:szCs w:val="16"/>
        </w:rPr>
        <w:softHyphen/>
        <w:t>местной кабиной пилотов, которая была приподнята над корпусом лод</w:t>
      </w:r>
      <w:r w:rsidRPr="00405303">
        <w:rPr>
          <w:rFonts w:ascii="Times New Roman"/>
          <w:bCs/>
          <w:color w:val="002060"/>
          <w:sz w:val="16"/>
          <w:szCs w:val="16"/>
        </w:rPr>
        <w:softHyphen/>
        <w:t>ки. Значительные размеры гидро</w:t>
      </w:r>
      <w:r w:rsidRPr="00405303">
        <w:rPr>
          <w:rFonts w:ascii="Times New Roman"/>
          <w:bCs/>
          <w:color w:val="002060"/>
          <w:sz w:val="16"/>
          <w:szCs w:val="16"/>
        </w:rPr>
        <w:softHyphen/>
        <w:t>самолета позволили его разработ</w:t>
      </w:r>
      <w:r w:rsidRPr="00405303">
        <w:rPr>
          <w:rFonts w:ascii="Times New Roman"/>
          <w:bCs/>
          <w:color w:val="002060"/>
          <w:sz w:val="16"/>
          <w:szCs w:val="16"/>
        </w:rPr>
        <w:softHyphen/>
        <w:t>чикам даже предполагать в носо</w:t>
      </w:r>
      <w:r w:rsidRPr="00405303">
        <w:rPr>
          <w:rFonts w:ascii="Times New Roman"/>
          <w:bCs/>
          <w:color w:val="002060"/>
          <w:sz w:val="16"/>
          <w:szCs w:val="16"/>
        </w:rPr>
        <w:softHyphen/>
        <w:t>вой части лодки установку 76 мм пушки.</w:t>
      </w:r>
    </w:p>
    <w:p w14:paraId="3114DDD4" w14:textId="77777777" w:rsidR="004B4E35" w:rsidRPr="00405303" w:rsidRDefault="009E6F82" w:rsidP="00C15251">
      <w:pPr>
        <w:pStyle w:val="25"/>
        <w:shd w:val="clear" w:color="auto" w:fill="auto"/>
        <w:spacing w:after="0" w:line="240" w:lineRule="auto"/>
        <w:jc w:val="both"/>
        <w:rPr>
          <w:rFonts w:ascii="Times New Roman"/>
          <w:bCs/>
          <w:color w:val="002060"/>
          <w:sz w:val="16"/>
          <w:szCs w:val="16"/>
        </w:rPr>
      </w:pPr>
      <w:r w:rsidRPr="00405303">
        <w:rPr>
          <w:rFonts w:ascii="Times New Roman"/>
          <w:bCs/>
          <w:color w:val="002060"/>
          <w:sz w:val="16"/>
          <w:szCs w:val="16"/>
        </w:rPr>
        <w:t>Силовая установка должна была состоять из двух двигателей «Роллс- Ройс» мощностью по 300 л.е., но их к моменту завершения постройки машины в Россию не доставили. Пришлось использовать два двига</w:t>
      </w:r>
      <w:r w:rsidRPr="00405303">
        <w:rPr>
          <w:rFonts w:ascii="Times New Roman"/>
          <w:bCs/>
          <w:color w:val="002060"/>
          <w:sz w:val="16"/>
          <w:szCs w:val="16"/>
        </w:rPr>
        <w:softHyphen/>
        <w:t>теля «Рено» по 220 л.е., размещен</w:t>
      </w:r>
      <w:r w:rsidRPr="00405303">
        <w:rPr>
          <w:rFonts w:ascii="Times New Roman"/>
          <w:bCs/>
          <w:color w:val="002060"/>
          <w:sz w:val="16"/>
          <w:szCs w:val="16"/>
        </w:rPr>
        <w:softHyphen/>
        <w:t>ных в пространстве между крылья</w:t>
      </w:r>
      <w:r w:rsidRPr="00405303">
        <w:rPr>
          <w:rFonts w:ascii="Times New Roman"/>
          <w:bCs/>
          <w:color w:val="002060"/>
          <w:sz w:val="16"/>
          <w:szCs w:val="16"/>
        </w:rPr>
        <w:softHyphen/>
        <w:t>ми, а на верхнем крыле установить дополнительный третий двигатель «Испано-Сюиза» мощностью 140 л.с. Превышение суммарной мощ</w:t>
      </w:r>
      <w:r w:rsidRPr="00405303">
        <w:rPr>
          <w:rFonts w:ascii="Times New Roman"/>
          <w:bCs/>
          <w:color w:val="002060"/>
          <w:sz w:val="16"/>
          <w:szCs w:val="16"/>
        </w:rPr>
        <w:softHyphen/>
        <w:t>ности двигателей над ранее приня</w:t>
      </w:r>
      <w:r w:rsidRPr="00405303">
        <w:rPr>
          <w:rFonts w:ascii="Times New Roman"/>
          <w:bCs/>
          <w:color w:val="002060"/>
          <w:sz w:val="16"/>
          <w:szCs w:val="16"/>
        </w:rPr>
        <w:softHyphen/>
        <w:t>тыми значениями должно было ком</w:t>
      </w:r>
      <w:r w:rsidRPr="00405303">
        <w:rPr>
          <w:rFonts w:ascii="Times New Roman"/>
          <w:bCs/>
          <w:color w:val="002060"/>
          <w:sz w:val="16"/>
          <w:szCs w:val="16"/>
        </w:rPr>
        <w:softHyphen/>
        <w:t>пенсировать несколько возросший полетный вес (12086).</w:t>
      </w:r>
    </w:p>
    <w:p w14:paraId="088ECF82" w14:textId="77777777" w:rsidR="004B4E35" w:rsidRPr="00405303" w:rsidRDefault="004B4E35" w:rsidP="00C15251">
      <w:pPr>
        <w:pStyle w:val="25"/>
        <w:shd w:val="clear" w:color="auto" w:fill="auto"/>
        <w:spacing w:after="0" w:line="240" w:lineRule="auto"/>
        <w:jc w:val="both"/>
        <w:rPr>
          <w:rFonts w:ascii="Times New Roman"/>
          <w:bCs/>
          <w:color w:val="002060"/>
          <w:sz w:val="16"/>
          <w:szCs w:val="16"/>
        </w:rPr>
      </w:pPr>
    </w:p>
    <w:p w14:paraId="16B49DE2" w14:textId="0EF57281" w:rsidR="0004080B" w:rsidRPr="00405303" w:rsidRDefault="0004080B" w:rsidP="00C15251">
      <w:pPr>
        <w:shd w:val="clear" w:color="auto" w:fill="FFFFFF"/>
        <w:jc w:val="both"/>
        <w:rPr>
          <w:bCs/>
          <w:i/>
          <w:color w:val="002060"/>
          <w:sz w:val="16"/>
          <w:szCs w:val="16"/>
        </w:rPr>
      </w:pPr>
      <w:r w:rsidRPr="00405303">
        <w:rPr>
          <w:bCs/>
          <w:i/>
          <w:color w:val="002060"/>
          <w:sz w:val="16"/>
          <w:szCs w:val="16"/>
        </w:rPr>
        <w:t>Воздухоплавание:</w:t>
      </w:r>
    </w:p>
    <w:p w14:paraId="2A19A5F8" w14:textId="77777777" w:rsidR="0004080B" w:rsidRPr="00405303" w:rsidRDefault="0004080B" w:rsidP="00C15251">
      <w:pPr>
        <w:shd w:val="clear" w:color="auto" w:fill="FFFFFF"/>
        <w:jc w:val="both"/>
        <w:rPr>
          <w:bCs/>
          <w:i/>
          <w:color w:val="002060"/>
          <w:sz w:val="16"/>
          <w:szCs w:val="16"/>
        </w:rPr>
      </w:pPr>
    </w:p>
    <w:p w14:paraId="71458067" w14:textId="77777777" w:rsidR="0004080B" w:rsidRPr="00405303" w:rsidRDefault="0004080B" w:rsidP="00C15251">
      <w:pPr>
        <w:jc w:val="both"/>
        <w:rPr>
          <w:bCs/>
          <w:color w:val="002060"/>
          <w:sz w:val="16"/>
          <w:szCs w:val="16"/>
        </w:rPr>
      </w:pPr>
      <w:r w:rsidRPr="00405303">
        <w:rPr>
          <w:bCs/>
          <w:color w:val="002060"/>
          <w:sz w:val="16"/>
          <w:szCs w:val="16"/>
        </w:rPr>
        <w:t>12 (25) августа 1915 был оставлен Брест-Литовск в Брест-Литовске находилась Владивостокская крепостная воздухоплавательная рота, сменив</w:t>
      </w:r>
      <w:r w:rsidRPr="00405303">
        <w:rPr>
          <w:bCs/>
          <w:color w:val="002060"/>
          <w:sz w:val="16"/>
          <w:szCs w:val="16"/>
        </w:rPr>
        <w:softHyphen/>
        <w:t>шая эвакуированную ранее крепостную возду</w:t>
      </w:r>
      <w:r w:rsidRPr="00405303">
        <w:rPr>
          <w:bCs/>
          <w:color w:val="002060"/>
          <w:sz w:val="16"/>
          <w:szCs w:val="16"/>
        </w:rPr>
        <w:softHyphen/>
        <w:t>хоплавательную роту. Летом 1915 г. она действо</w:t>
      </w:r>
      <w:r w:rsidRPr="00405303">
        <w:rPr>
          <w:bCs/>
          <w:color w:val="002060"/>
          <w:sz w:val="16"/>
          <w:szCs w:val="16"/>
        </w:rPr>
        <w:softHyphen/>
        <w:t>вала под Влодавой и в районе фортов крепости. Н.Д. Анощенко, будущий известный советский воздухоплаватель, служил в 1-й наблюдательной станции роты и выполнял визуальную и фотогра</w:t>
      </w:r>
      <w:r w:rsidRPr="00405303">
        <w:rPr>
          <w:bCs/>
          <w:color w:val="002060"/>
          <w:sz w:val="16"/>
          <w:szCs w:val="16"/>
        </w:rPr>
        <w:softHyphen/>
        <w:t>фическую проверку с воздуха маскировки армей</w:t>
      </w:r>
      <w:r w:rsidRPr="00405303">
        <w:rPr>
          <w:bCs/>
          <w:color w:val="002060"/>
          <w:sz w:val="16"/>
          <w:szCs w:val="16"/>
        </w:rPr>
        <w:softHyphen/>
        <w:t>ских узлов обороны. Личный состав роты, попав под бомбёжку немецких аэропланов на биваке вблизи дирижабельных эллингов Бреста, переме</w:t>
      </w:r>
      <w:r w:rsidRPr="00405303">
        <w:rPr>
          <w:bCs/>
          <w:color w:val="002060"/>
          <w:sz w:val="16"/>
          <w:szCs w:val="16"/>
        </w:rPr>
        <w:softHyphen/>
        <w:t>стился в бетонированные казематы центральной ограды крепости. После оставления Брест-Ли- товска 1-я наблюдательная станция вошла в со</w:t>
      </w:r>
      <w:r w:rsidRPr="00405303">
        <w:rPr>
          <w:bCs/>
          <w:color w:val="002060"/>
          <w:sz w:val="16"/>
          <w:szCs w:val="16"/>
        </w:rPr>
        <w:softHyphen/>
        <w:t>став частей 3-го Кавказского корпуса генерала В.А. Ирмана (Ирманова). Станция успешно вела разведку войск противника и корректировала огонь артиллерии. Её привязной аэростат, под</w:t>
      </w:r>
      <w:r w:rsidRPr="00405303">
        <w:rPr>
          <w:bCs/>
          <w:color w:val="002060"/>
          <w:sz w:val="16"/>
          <w:szCs w:val="16"/>
        </w:rPr>
        <w:softHyphen/>
        <w:t>нимавшийся, как правило, на удалении всего 3-4 км от линии соприкосновения с противни</w:t>
      </w:r>
      <w:r w:rsidRPr="00405303">
        <w:rPr>
          <w:bCs/>
          <w:color w:val="002060"/>
          <w:sz w:val="16"/>
          <w:szCs w:val="16"/>
        </w:rPr>
        <w:softHyphen/>
        <w:t>ком, часто являлся для командования корпуса единственным средством разведки на широком участке фронта. В.А. Ирманов, лично подни</w:t>
      </w:r>
      <w:r w:rsidRPr="00405303">
        <w:rPr>
          <w:bCs/>
          <w:color w:val="002060"/>
          <w:sz w:val="16"/>
          <w:szCs w:val="16"/>
        </w:rPr>
        <w:softHyphen/>
        <w:t>мавшийся на аэростате несколько раз, говорил, что воздухоплаватели дают его штабу ценные данные о противнике и о своих войсках. Подъё</w:t>
      </w:r>
      <w:r w:rsidRPr="00405303">
        <w:rPr>
          <w:bCs/>
          <w:color w:val="002060"/>
          <w:sz w:val="16"/>
          <w:szCs w:val="16"/>
        </w:rPr>
        <w:softHyphen/>
        <w:t>мы аэростатов на малом удалении от противни</w:t>
      </w:r>
      <w:r w:rsidRPr="00405303">
        <w:rPr>
          <w:bCs/>
          <w:color w:val="002060"/>
          <w:sz w:val="16"/>
          <w:szCs w:val="16"/>
        </w:rPr>
        <w:softHyphen/>
        <w:t>ка были возможны, правда, только потому, что у наступавших австрийских войск не было тяжё</w:t>
      </w:r>
      <w:r w:rsidRPr="00405303">
        <w:rPr>
          <w:bCs/>
          <w:color w:val="002060"/>
          <w:sz w:val="16"/>
          <w:szCs w:val="16"/>
        </w:rPr>
        <w:softHyphen/>
        <w:t>лой артиллерии, а полевые трёхдюймовые пушки для аэростата не представляли серьёзной опасно</w:t>
      </w:r>
      <w:r w:rsidRPr="00405303">
        <w:rPr>
          <w:bCs/>
          <w:color w:val="002060"/>
          <w:sz w:val="16"/>
          <w:szCs w:val="16"/>
        </w:rPr>
        <w:softHyphen/>
        <w:t>сти. Об успешных действиях аэростата станции можно судить по строкам донесения команди</w:t>
      </w:r>
      <w:r w:rsidRPr="00405303">
        <w:rPr>
          <w:bCs/>
          <w:color w:val="002060"/>
          <w:sz w:val="16"/>
          <w:szCs w:val="16"/>
        </w:rPr>
        <w:softHyphen/>
        <w:t>ра 49-й пехотной дивизии 24 сентября 1915 г.:</w:t>
      </w:r>
    </w:p>
    <w:p w14:paraId="125BEE6D" w14:textId="77777777" w:rsidR="0004080B" w:rsidRPr="00405303" w:rsidRDefault="0004080B" w:rsidP="00C15251">
      <w:pPr>
        <w:pStyle w:val="60"/>
        <w:shd w:val="clear" w:color="auto" w:fill="auto"/>
        <w:spacing w:line="240" w:lineRule="auto"/>
        <w:rPr>
          <w:bCs/>
          <w:color w:val="002060"/>
        </w:rPr>
      </w:pPr>
      <w:r w:rsidRPr="00405303">
        <w:rPr>
          <w:bCs/>
          <w:color w:val="002060"/>
        </w:rPr>
        <w:t>Наблюдатель с аэростата заметил австрийскую ба</w:t>
      </w:r>
      <w:r w:rsidRPr="00405303">
        <w:rPr>
          <w:bCs/>
          <w:color w:val="002060"/>
        </w:rPr>
        <w:softHyphen/>
        <w:t>тарею у ф[ольварка] Троицкое, которая обстреливала расположение дивизии, нанося поражения, но не была нами открыта.</w:t>
      </w:r>
    </w:p>
    <w:p w14:paraId="6BD67A93" w14:textId="77777777" w:rsidR="0004080B" w:rsidRPr="00405303" w:rsidRDefault="0004080B" w:rsidP="00C15251">
      <w:pPr>
        <w:pStyle w:val="60"/>
        <w:shd w:val="clear" w:color="auto" w:fill="auto"/>
        <w:spacing w:line="240" w:lineRule="auto"/>
        <w:rPr>
          <w:bCs/>
          <w:color w:val="002060"/>
        </w:rPr>
      </w:pPr>
      <w:r w:rsidRPr="00405303">
        <w:rPr>
          <w:bCs/>
          <w:color w:val="002060"/>
        </w:rPr>
        <w:t>По указанию наблюдателя местонахождения этой батареи наша 1-я батарея 24-го мортирного артдиви</w:t>
      </w:r>
      <w:r w:rsidRPr="00405303">
        <w:rPr>
          <w:bCs/>
          <w:color w:val="002060"/>
        </w:rPr>
        <w:softHyphen/>
        <w:t>зиона открыла огонь по ней; стрельбу корректировалнаблюдатель 1-й станции. После 8 бомб, выпущенных батареей, австрийская батарея замолчала и не откры</w:t>
      </w:r>
      <w:r w:rsidRPr="00405303">
        <w:rPr>
          <w:bCs/>
          <w:color w:val="002060"/>
        </w:rPr>
        <w:softHyphen/>
        <w:t>вала огня в течение дня. Несколько раз пытались пе</w:t>
      </w:r>
      <w:r w:rsidRPr="00405303">
        <w:rPr>
          <w:bCs/>
          <w:color w:val="002060"/>
        </w:rPr>
        <w:softHyphen/>
        <w:t>редки подать под батарею, но каждый раз, встречаемые метким огнём нашей артиллерии, стрельбу которой корректировал наблюдатель с аэростата, они возвра</w:t>
      </w:r>
      <w:r w:rsidRPr="00405303">
        <w:rPr>
          <w:bCs/>
          <w:color w:val="002060"/>
        </w:rPr>
        <w:softHyphen/>
        <w:t>щались обратно. Только под вечер батарея противни</w:t>
      </w:r>
      <w:r w:rsidRPr="00405303">
        <w:rPr>
          <w:bCs/>
          <w:color w:val="002060"/>
        </w:rPr>
        <w:softHyphen/>
        <w:t>ка опять-таки была обнаружена наблюдателем; огонь открыть нельзя было ввиду наступления темноты (20120).</w:t>
      </w:r>
    </w:p>
    <w:p w14:paraId="1E295556" w14:textId="77777777" w:rsidR="0004080B" w:rsidRPr="00405303" w:rsidRDefault="0004080B" w:rsidP="00C15251">
      <w:pPr>
        <w:pStyle w:val="book"/>
        <w:spacing w:before="0" w:beforeAutospacing="0" w:after="0" w:afterAutospacing="0"/>
        <w:jc w:val="both"/>
        <w:rPr>
          <w:bCs/>
          <w:color w:val="002060"/>
          <w:sz w:val="16"/>
          <w:szCs w:val="16"/>
        </w:rPr>
      </w:pPr>
    </w:p>
    <w:p w14:paraId="69BB5842"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Армия:</w:t>
      </w:r>
    </w:p>
    <w:p w14:paraId="5335D85B" w14:textId="77777777" w:rsidR="004B4E35" w:rsidRPr="00405303" w:rsidRDefault="004B4E35" w:rsidP="00C15251">
      <w:pPr>
        <w:shd w:val="clear" w:color="auto" w:fill="FFFFFF"/>
        <w:jc w:val="both"/>
        <w:rPr>
          <w:bCs/>
          <w:i/>
          <w:color w:val="002060"/>
          <w:sz w:val="16"/>
          <w:szCs w:val="16"/>
        </w:rPr>
      </w:pPr>
    </w:p>
    <w:p w14:paraId="53BA08FA" w14:textId="3A18E97C" w:rsidR="004B4E35" w:rsidRPr="00405303" w:rsidRDefault="009E6F82" w:rsidP="00C15251">
      <w:pPr>
        <w:jc w:val="both"/>
        <w:rPr>
          <w:bCs/>
          <w:color w:val="002060"/>
          <w:sz w:val="16"/>
          <w:szCs w:val="16"/>
        </w:rPr>
      </w:pPr>
      <w:r w:rsidRPr="00405303">
        <w:rPr>
          <w:bCs/>
          <w:color w:val="002060"/>
          <w:sz w:val="16"/>
          <w:szCs w:val="16"/>
        </w:rPr>
        <w:t>12-13 (25-26) августа LZ-89 повторил нападение на Брест-Литовск, обрушив на железнодорожный вокзал 1100 кг бомб (11324).</w:t>
      </w:r>
    </w:p>
    <w:p w14:paraId="22F74A92" w14:textId="77777777" w:rsidR="004B4E35" w:rsidRPr="00405303" w:rsidRDefault="004B4E35" w:rsidP="00C15251">
      <w:pPr>
        <w:jc w:val="both"/>
        <w:rPr>
          <w:bCs/>
          <w:i/>
          <w:color w:val="002060"/>
          <w:sz w:val="16"/>
          <w:szCs w:val="16"/>
        </w:rPr>
      </w:pPr>
    </w:p>
    <w:p w14:paraId="03F47E29" w14:textId="77777777" w:rsidR="004B4E35" w:rsidRPr="00405303" w:rsidRDefault="009E6F82" w:rsidP="00C15251">
      <w:pPr>
        <w:jc w:val="both"/>
        <w:rPr>
          <w:bCs/>
          <w:i/>
          <w:color w:val="002060"/>
          <w:sz w:val="16"/>
          <w:szCs w:val="16"/>
        </w:rPr>
      </w:pPr>
      <w:r w:rsidRPr="00405303">
        <w:rPr>
          <w:bCs/>
          <w:i/>
          <w:color w:val="002060"/>
          <w:sz w:val="16"/>
          <w:szCs w:val="16"/>
        </w:rPr>
        <w:lastRenderedPageBreak/>
        <w:t>Авиация и воздухоплавание Англии:</w:t>
      </w:r>
    </w:p>
    <w:p w14:paraId="5598AA6F" w14:textId="77777777" w:rsidR="004B4E35" w:rsidRPr="00405303" w:rsidRDefault="004B4E35" w:rsidP="00C15251">
      <w:pPr>
        <w:jc w:val="both"/>
        <w:rPr>
          <w:bCs/>
          <w:i/>
          <w:color w:val="002060"/>
          <w:sz w:val="16"/>
          <w:szCs w:val="16"/>
        </w:rPr>
      </w:pPr>
    </w:p>
    <w:p w14:paraId="5CCF3F5C" w14:textId="77777777" w:rsidR="004B4E35" w:rsidRPr="00405303" w:rsidRDefault="009E6F82" w:rsidP="00C15251">
      <w:pPr>
        <w:jc w:val="both"/>
        <w:rPr>
          <w:bCs/>
          <w:color w:val="002060"/>
          <w:sz w:val="16"/>
          <w:szCs w:val="16"/>
        </w:rPr>
      </w:pPr>
      <w:r w:rsidRPr="00405303">
        <w:rPr>
          <w:bCs/>
          <w:color w:val="002060"/>
          <w:sz w:val="16"/>
          <w:szCs w:val="16"/>
        </w:rPr>
        <w:t>12 (25) августа 1915 год, проведена первая торпедная атака с воздуха. Её провёл Ч.Г.Едмондсон, который поднялся в воздух на гидроплане Шорт 184 с борта гидронесущего корабля Британских ВМС «Бен-Май-Кри». Объектом атаки в Мраморном море стало турецкое вспомогательное судно водоизмещением 5080 тонн. На эту же победу претендовал и командир одной из английских подводных лодок действоваших в том же районе. Как потом выяснилось подводная лодка Е14 действительно атаковала это судно и лишило его маневренности</w:t>
      </w:r>
    </w:p>
    <w:p w14:paraId="15BEA0DD" w14:textId="77777777" w:rsidR="004B4E35" w:rsidRPr="00405303" w:rsidRDefault="004B4E35" w:rsidP="00C15251">
      <w:pPr>
        <w:jc w:val="both"/>
        <w:rPr>
          <w:bCs/>
          <w:color w:val="002060"/>
          <w:sz w:val="16"/>
          <w:szCs w:val="16"/>
        </w:rPr>
      </w:pPr>
    </w:p>
    <w:p w14:paraId="4838DF03" w14:textId="77777777" w:rsidR="00DE5F3B" w:rsidRPr="00405303" w:rsidRDefault="00DE5F3B" w:rsidP="00C15251">
      <w:pPr>
        <w:jc w:val="both"/>
        <w:rPr>
          <w:bCs/>
          <w:i/>
          <w:color w:val="002060"/>
          <w:sz w:val="16"/>
          <w:szCs w:val="16"/>
        </w:rPr>
      </w:pPr>
      <w:r w:rsidRPr="00405303">
        <w:rPr>
          <w:bCs/>
          <w:i/>
          <w:color w:val="002060"/>
          <w:sz w:val="16"/>
          <w:szCs w:val="16"/>
        </w:rPr>
        <w:t>Другие оборонные отрасли:</w:t>
      </w:r>
    </w:p>
    <w:p w14:paraId="48D04E21" w14:textId="77777777" w:rsidR="00DE5F3B" w:rsidRPr="00405303" w:rsidRDefault="00DE5F3B" w:rsidP="00C15251">
      <w:pPr>
        <w:jc w:val="both"/>
        <w:rPr>
          <w:bCs/>
          <w:i/>
          <w:color w:val="002060"/>
          <w:sz w:val="16"/>
          <w:szCs w:val="16"/>
        </w:rPr>
      </w:pPr>
    </w:p>
    <w:p w14:paraId="1713D750" w14:textId="566CFC02" w:rsidR="00DE5F3B" w:rsidRPr="00405303" w:rsidRDefault="00DE5F3B" w:rsidP="00C15251">
      <w:pPr>
        <w:pStyle w:val="ae"/>
        <w:spacing w:before="0" w:beforeAutospacing="0" w:after="0" w:afterAutospacing="0"/>
        <w:jc w:val="both"/>
        <w:rPr>
          <w:bCs/>
          <w:color w:val="002060"/>
          <w:sz w:val="16"/>
          <w:szCs w:val="16"/>
        </w:rPr>
      </w:pPr>
      <w:r w:rsidRPr="00405303">
        <w:rPr>
          <w:bCs/>
          <w:color w:val="002060"/>
          <w:sz w:val="16"/>
          <w:szCs w:val="16"/>
        </w:rPr>
        <w:t>13 (26) августа 1915 г. на заседании Комиссии В. М. Горбенко сообщил о найденном в Московском техническом училище средстве для пропитки влажных масок с целью защиты от фосгена —</w:t>
      </w:r>
      <w:r w:rsidR="00DB4D64" w:rsidRPr="00405303">
        <w:rPr>
          <w:bCs/>
          <w:color w:val="002060"/>
          <w:sz w:val="16"/>
          <w:szCs w:val="16"/>
        </w:rPr>
        <w:t xml:space="preserve"> </w:t>
      </w:r>
      <w:r w:rsidRPr="00405303">
        <w:rPr>
          <w:rStyle w:val="af"/>
          <w:rFonts w:eastAsia="Segoe UI"/>
          <w:bCs/>
          <w:color w:val="002060"/>
          <w:sz w:val="16"/>
          <w:szCs w:val="16"/>
        </w:rPr>
        <w:t>уротропине</w:t>
      </w:r>
      <w:r w:rsidRPr="00405303">
        <w:rPr>
          <w:bCs/>
          <w:color w:val="002060"/>
          <w:sz w:val="16"/>
          <w:szCs w:val="16"/>
        </w:rPr>
        <w:t>, полученном впервые</w:t>
      </w:r>
      <w:r w:rsidR="00DB4D64" w:rsidRPr="00405303">
        <w:rPr>
          <w:bCs/>
          <w:color w:val="002060"/>
          <w:sz w:val="16"/>
          <w:szCs w:val="16"/>
        </w:rPr>
        <w:t xml:space="preserve"> </w:t>
      </w:r>
      <w:hyperlink r:id="rId56" w:history="1">
        <w:r w:rsidRPr="00405303">
          <w:rPr>
            <w:rStyle w:val="ad"/>
            <w:bCs/>
            <w:color w:val="002060"/>
            <w:sz w:val="16"/>
            <w:szCs w:val="16"/>
          </w:rPr>
          <w:t>A. M. Бутлеровым</w:t>
        </w:r>
      </w:hyperlink>
      <w:r w:rsidR="00DB4D64" w:rsidRPr="00405303">
        <w:rPr>
          <w:bCs/>
          <w:color w:val="002060"/>
          <w:sz w:val="16"/>
          <w:szCs w:val="16"/>
        </w:rPr>
        <w:t xml:space="preserve"> </w:t>
      </w:r>
      <w:r w:rsidRPr="00405303">
        <w:rPr>
          <w:bCs/>
          <w:color w:val="002060"/>
          <w:sz w:val="16"/>
          <w:szCs w:val="16"/>
        </w:rPr>
        <w:t>(1828-1886) в 1860 г. Это важное средство, честь изобретения которого и введения в противогазовую практику принадлежит русским ученым, было быстро воспринято англичанами и другими союзниками России того времени. Испытания новой пропитки, содержащей уротропин, дали хорошие результаты, и к концу войны в России уже оказалось налаженным производство значительных количеств уротропина (20246).</w:t>
      </w:r>
    </w:p>
    <w:p w14:paraId="6F37DD5E" w14:textId="77777777" w:rsidR="00DE5F3B" w:rsidRPr="00405303" w:rsidRDefault="00DE5F3B" w:rsidP="00C15251">
      <w:pPr>
        <w:pStyle w:val="ae"/>
        <w:spacing w:before="0" w:beforeAutospacing="0" w:after="0" w:afterAutospacing="0"/>
        <w:jc w:val="both"/>
        <w:rPr>
          <w:bCs/>
          <w:color w:val="002060"/>
          <w:sz w:val="16"/>
          <w:szCs w:val="16"/>
        </w:rPr>
      </w:pPr>
    </w:p>
    <w:p w14:paraId="529B31AD" w14:textId="74113986" w:rsidR="00E2193F" w:rsidRPr="00405303" w:rsidRDefault="00E2193F" w:rsidP="00C15251">
      <w:pPr>
        <w:jc w:val="both"/>
        <w:rPr>
          <w:bCs/>
          <w:i/>
          <w:color w:val="002060"/>
          <w:sz w:val="16"/>
          <w:szCs w:val="16"/>
        </w:rPr>
      </w:pPr>
      <w:r w:rsidRPr="00405303">
        <w:rPr>
          <w:bCs/>
          <w:i/>
          <w:color w:val="002060"/>
          <w:sz w:val="16"/>
          <w:szCs w:val="16"/>
        </w:rPr>
        <w:t>Авиация:</w:t>
      </w:r>
    </w:p>
    <w:p w14:paraId="3923078A" w14:textId="77777777" w:rsidR="00E2193F" w:rsidRPr="00405303" w:rsidRDefault="00E2193F" w:rsidP="00C15251">
      <w:pPr>
        <w:jc w:val="both"/>
        <w:rPr>
          <w:bCs/>
          <w:i/>
          <w:color w:val="002060"/>
          <w:sz w:val="16"/>
          <w:szCs w:val="16"/>
        </w:rPr>
      </w:pPr>
    </w:p>
    <w:p w14:paraId="0FE50BA2" w14:textId="77777777" w:rsidR="00E2193F" w:rsidRPr="00405303" w:rsidRDefault="00E2193F" w:rsidP="00C15251">
      <w:pPr>
        <w:jc w:val="both"/>
        <w:rPr>
          <w:bCs/>
          <w:color w:val="002060"/>
          <w:sz w:val="16"/>
          <w:szCs w:val="16"/>
          <w:lang w:bidi="ru-RU"/>
        </w:rPr>
      </w:pPr>
      <w:r w:rsidRPr="00405303">
        <w:rPr>
          <w:bCs/>
          <w:color w:val="002060"/>
          <w:sz w:val="16"/>
          <w:szCs w:val="16"/>
          <w:lang w:bidi="ru-RU"/>
        </w:rPr>
        <w:t>13—15 августа 1915 г.</w:t>
      </w:r>
    </w:p>
    <w:p w14:paraId="60FBF8CD" w14:textId="77777777" w:rsidR="00E2193F" w:rsidRPr="00405303" w:rsidRDefault="00E2193F" w:rsidP="00C15251">
      <w:pPr>
        <w:jc w:val="both"/>
        <w:rPr>
          <w:bCs/>
          <w:color w:val="002060"/>
          <w:sz w:val="16"/>
          <w:szCs w:val="16"/>
        </w:rPr>
      </w:pPr>
      <w:r w:rsidRPr="00405303">
        <w:rPr>
          <w:bCs/>
          <w:color w:val="002060"/>
          <w:sz w:val="16"/>
          <w:szCs w:val="16"/>
          <w:lang w:bidi="ru-RU"/>
        </w:rPr>
        <w:t>13-й и 14-й месяцы. Русский фронт. 13—15 августа 1915 г.</w:t>
      </w:r>
    </w:p>
    <w:p w14:paraId="3D84BE18" w14:textId="77777777" w:rsidR="00E2193F" w:rsidRPr="00405303" w:rsidRDefault="00E2193F" w:rsidP="00C15251">
      <w:pPr>
        <w:jc w:val="both"/>
        <w:rPr>
          <w:bCs/>
          <w:color w:val="002060"/>
          <w:sz w:val="16"/>
          <w:szCs w:val="16"/>
        </w:rPr>
      </w:pPr>
      <w:r w:rsidRPr="00405303">
        <w:rPr>
          <w:bCs/>
          <w:color w:val="002060"/>
          <w:sz w:val="16"/>
          <w:szCs w:val="16"/>
          <w:lang w:bidi="ru-RU"/>
        </w:rPr>
        <w:t>Германский аэроплан, появившийся над Двинском и сбросивший там три бомбы, был подстрелен у Ново-Александровска (к юго-западу), причем с аппарата, в котором оказалось раздробленным левое крыло и поврежденным мотор, были взяты в плен два летчика-офицера. Шесть бомб остава</w:t>
      </w:r>
      <w:r w:rsidRPr="00405303">
        <w:rPr>
          <w:bCs/>
          <w:color w:val="002060"/>
          <w:sz w:val="16"/>
          <w:szCs w:val="16"/>
          <w:lang w:bidi="ru-RU"/>
        </w:rPr>
        <w:softHyphen/>
        <w:t>лись у летчиков неизрасходованными. Другой германский аэроплан был подбит 15 августа в районе крепости Гродно (23374).</w:t>
      </w:r>
    </w:p>
    <w:p w14:paraId="287D6E98" w14:textId="77777777" w:rsidR="00E2193F" w:rsidRPr="00405303" w:rsidRDefault="00E2193F" w:rsidP="00C15251">
      <w:pPr>
        <w:jc w:val="both"/>
        <w:rPr>
          <w:bCs/>
          <w:color w:val="002060"/>
          <w:sz w:val="16"/>
          <w:szCs w:val="16"/>
          <w:lang w:bidi="ru-RU"/>
        </w:rPr>
      </w:pPr>
    </w:p>
    <w:p w14:paraId="3076A119" w14:textId="77777777" w:rsidR="00020A9D" w:rsidRPr="00405303" w:rsidRDefault="00020A9D" w:rsidP="00020A9D">
      <w:pPr>
        <w:jc w:val="both"/>
        <w:rPr>
          <w:color w:val="0070C0"/>
          <w:sz w:val="16"/>
          <w:szCs w:val="16"/>
        </w:rPr>
      </w:pPr>
      <w:r w:rsidRPr="00405303">
        <w:rPr>
          <w:rStyle w:val="aa"/>
          <w:rFonts w:ascii="Times New Roman" w:hAnsi="Times New Roman"/>
          <w:color w:val="0070C0"/>
          <w:spacing w:val="0"/>
          <w:sz w:val="16"/>
          <w:szCs w:val="16"/>
        </w:rPr>
        <w:t>13 (26) августа 1915 г. группа германских аэропланов атаковала ст. Наревка (царство Польское), где в то время находился наш санитарный поезд с беженцами. Немецкие летчики сбросили 30 бомб и много металлических стрел (дротиков), повредившие несколько вагонов, а также имелись человеческие жертвы (25135).</w:t>
      </w:r>
    </w:p>
    <w:p w14:paraId="520EFEB1" w14:textId="77777777" w:rsidR="00020A9D" w:rsidRPr="00405303" w:rsidRDefault="00020A9D" w:rsidP="00020A9D">
      <w:pPr>
        <w:jc w:val="both"/>
        <w:rPr>
          <w:color w:val="0070C0"/>
          <w:sz w:val="16"/>
          <w:szCs w:val="16"/>
        </w:rPr>
      </w:pPr>
    </w:p>
    <w:p w14:paraId="4D2DFC1A" w14:textId="26CD9D94" w:rsidR="00964D50" w:rsidRPr="00405303" w:rsidRDefault="00964D50" w:rsidP="00C15251">
      <w:pPr>
        <w:jc w:val="both"/>
        <w:rPr>
          <w:bCs/>
          <w:i/>
          <w:color w:val="002060"/>
          <w:sz w:val="16"/>
          <w:szCs w:val="16"/>
        </w:rPr>
      </w:pPr>
      <w:r w:rsidRPr="00405303">
        <w:rPr>
          <w:bCs/>
          <w:i/>
          <w:color w:val="002060"/>
          <w:sz w:val="16"/>
          <w:szCs w:val="16"/>
        </w:rPr>
        <w:t>Другие оборонные отрасли:</w:t>
      </w:r>
    </w:p>
    <w:p w14:paraId="782D45A9" w14:textId="77777777" w:rsidR="00964D50" w:rsidRPr="00405303" w:rsidRDefault="00964D50" w:rsidP="00C15251">
      <w:pPr>
        <w:jc w:val="both"/>
        <w:rPr>
          <w:bCs/>
          <w:i/>
          <w:color w:val="002060"/>
          <w:sz w:val="16"/>
          <w:szCs w:val="16"/>
        </w:rPr>
      </w:pPr>
    </w:p>
    <w:p w14:paraId="7BD66AE3" w14:textId="77777777" w:rsidR="00964D50" w:rsidRPr="00405303" w:rsidRDefault="00964D50" w:rsidP="00C15251">
      <w:pPr>
        <w:jc w:val="both"/>
        <w:rPr>
          <w:bCs/>
          <w:color w:val="002060"/>
          <w:sz w:val="16"/>
          <w:szCs w:val="16"/>
        </w:rPr>
      </w:pPr>
      <w:r w:rsidRPr="00405303">
        <w:rPr>
          <w:bCs/>
          <w:color w:val="002060"/>
          <w:sz w:val="16"/>
          <w:szCs w:val="16"/>
        </w:rPr>
        <w:t>14 августа 1915 г. было письмо помощника военного министра генерал-лейтенанта А.С. Лукомского в адрес Главного военно-технического управления (ГВТУ) о необходимости принятия мер на случай эвакуации петроградских электротехнических заводов. Руководством ведомства были сделаны предложения правлениям крупнейших фирм города «озаботиться» созданием в центральных районах России заводов-дублеров.</w:t>
      </w:r>
    </w:p>
    <w:p w14:paraId="6BCF8877" w14:textId="77777777" w:rsidR="00964D50" w:rsidRPr="00405303" w:rsidRDefault="00964D50" w:rsidP="00C15251">
      <w:pPr>
        <w:jc w:val="both"/>
        <w:rPr>
          <w:bCs/>
          <w:color w:val="002060"/>
          <w:sz w:val="16"/>
          <w:szCs w:val="16"/>
        </w:rPr>
      </w:pPr>
      <w:r w:rsidRPr="00405303">
        <w:rPr>
          <w:bCs/>
          <w:color w:val="002060"/>
          <w:sz w:val="16"/>
          <w:szCs w:val="16"/>
        </w:rPr>
        <w:t>В результате владелец кабельного завода в Петрограде А.Н. Петичев приступил к постройке аналогичного предприятия в Воронеже. Петроградское арматурно-электрическое общество в марте 1916 г. заключило договор с ГВТУ на поставку крупной партии телеграфно-телефонного имущества, а на полученный аванс начало строительство в Москве завода соответствующего профиля. РОБТиТ, испытывая острую потребность в электромоторах отечественного производства, организовало в 1916 году в Москве на Шаболовке специальную ма-</w:t>
      </w:r>
    </w:p>
    <w:p w14:paraId="13B31CC4" w14:textId="77777777" w:rsidR="00964D50" w:rsidRPr="00405303" w:rsidRDefault="00964D50" w:rsidP="00C15251">
      <w:pPr>
        <w:jc w:val="both"/>
        <w:rPr>
          <w:bCs/>
          <w:color w:val="002060"/>
          <w:sz w:val="16"/>
          <w:szCs w:val="16"/>
        </w:rPr>
      </w:pPr>
      <w:r w:rsidRPr="00405303">
        <w:rPr>
          <w:bCs/>
          <w:color w:val="002060"/>
          <w:sz w:val="16"/>
          <w:szCs w:val="16"/>
        </w:rPr>
        <w:t>стерскую по их изготовлению, которая позже была преобразована в Радиомашинный завод (18297).</w:t>
      </w:r>
    </w:p>
    <w:p w14:paraId="59635575" w14:textId="77777777" w:rsidR="00964D50" w:rsidRPr="00405303" w:rsidRDefault="00964D50" w:rsidP="00C15251">
      <w:pPr>
        <w:jc w:val="both"/>
        <w:rPr>
          <w:bCs/>
          <w:color w:val="002060"/>
          <w:sz w:val="16"/>
          <w:szCs w:val="16"/>
        </w:rPr>
      </w:pPr>
    </w:p>
    <w:p w14:paraId="52D24391"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6776F840" w14:textId="77777777" w:rsidR="004B4E35" w:rsidRPr="00405303" w:rsidRDefault="004B4E35" w:rsidP="00C15251">
      <w:pPr>
        <w:jc w:val="both"/>
        <w:rPr>
          <w:bCs/>
          <w:i/>
          <w:color w:val="002060"/>
          <w:sz w:val="16"/>
          <w:szCs w:val="16"/>
        </w:rPr>
      </w:pPr>
    </w:p>
    <w:p w14:paraId="5A1EA2A3" w14:textId="77777777" w:rsidR="004B4E35" w:rsidRPr="00405303" w:rsidRDefault="009E6F82" w:rsidP="00C15251">
      <w:pPr>
        <w:jc w:val="both"/>
        <w:rPr>
          <w:bCs/>
          <w:color w:val="002060"/>
          <w:sz w:val="16"/>
          <w:szCs w:val="16"/>
        </w:rPr>
      </w:pPr>
      <w:r w:rsidRPr="00405303">
        <w:rPr>
          <w:bCs/>
          <w:color w:val="002060"/>
          <w:sz w:val="16"/>
          <w:szCs w:val="16"/>
        </w:rPr>
        <w:t>14 (27) августа 1915 - Перед лицом германских войск, наступающих на Северном фронте по направлению к Риге, состоялся 710-ти км перелет ЭВК из Лиды в Псков. Эскадра имела уже семь "Муромцев": "ИМ-1", "ИМ-2", "ИМ-3", "ИМ-4", "ИМ-5", "ИМ-6" и "ИМ-Киевский". Полет пришлось проводить в трудных погодных условиях, заставлявших лететь через туман и дождь. Большинство командиров по привычке летели, не пользуясь компасом. Только лейтенант Г.И. Лавров, летевший на "ИМ-1", избежал воздействия плохой погоды, подняв свое воздушное судно выше облаков, затем, пройдя через облака, благополучно приземлился в Пскове.</w:t>
      </w:r>
    </w:p>
    <w:p w14:paraId="64523CED" w14:textId="77777777" w:rsidR="004B4E35" w:rsidRPr="00405303" w:rsidRDefault="009E6F82" w:rsidP="00C15251">
      <w:pPr>
        <w:jc w:val="both"/>
        <w:rPr>
          <w:bCs/>
          <w:color w:val="002060"/>
          <w:sz w:val="16"/>
          <w:szCs w:val="16"/>
        </w:rPr>
      </w:pPr>
      <w:r w:rsidRPr="00405303">
        <w:rPr>
          <w:bCs/>
          <w:color w:val="002060"/>
          <w:sz w:val="16"/>
          <w:szCs w:val="16"/>
        </w:rPr>
        <w:t>Лавров летал с Сикорским в 1914 г. из Петербурга в Киев и приобрел большой опыт в полетах над морем по компасу. Штабс-капитан Башко, пилотировавший "ИМ- Киевский", выражал некоторый скептицизм относительно компаса и, более того, опасался, что его воздушный корабль может попасть в руки немцам, которые в то время наступали на Вильно. Поэтому он решил лететь в Псков под нижней кромкой облаков - иногда на высоте всего 100 м. Существуют свидетельства о том, что на некоторых псковских крестьян этот пролетавший гигант навел настоящий ужас. Чтобы достичь Пскова, Башко понадобилось 5 час. 15 мин. "ИМ-5", под командой лейтенанта Г.В. Алехновича, приземлился в поместье в 20-ти км от Пскова. "ИМ-2", под командованием капитана А.В. Панкратьева, заблудился по дороге и приземлился в Ново-Свенцянах.</w:t>
      </w:r>
    </w:p>
    <w:p w14:paraId="41F837A6" w14:textId="77777777" w:rsidR="004B4E35" w:rsidRPr="00405303" w:rsidRDefault="009E6F82" w:rsidP="00C15251">
      <w:pPr>
        <w:jc w:val="both"/>
        <w:rPr>
          <w:bCs/>
          <w:color w:val="002060"/>
          <w:sz w:val="16"/>
          <w:szCs w:val="16"/>
        </w:rPr>
      </w:pPr>
      <w:r w:rsidRPr="00405303">
        <w:rPr>
          <w:bCs/>
          <w:color w:val="002060"/>
          <w:sz w:val="16"/>
          <w:szCs w:val="16"/>
        </w:rPr>
        <w:t>Каждый из этих "Муромцев" позднее добрался до Пскова. Только "ИМ-4", под командованием лейтенанта М. В. Смирнова, вынужден был остаться в Режице (11999).</w:t>
      </w:r>
    </w:p>
    <w:p w14:paraId="6A7BB631" w14:textId="77777777" w:rsidR="004B4E35" w:rsidRPr="00405303" w:rsidRDefault="004B4E35" w:rsidP="00C15251">
      <w:pPr>
        <w:jc w:val="both"/>
        <w:rPr>
          <w:bCs/>
          <w:color w:val="002060"/>
          <w:sz w:val="16"/>
          <w:szCs w:val="16"/>
        </w:rPr>
      </w:pPr>
    </w:p>
    <w:p w14:paraId="27095C4E" w14:textId="64BF185F" w:rsidR="004B4E35" w:rsidRPr="00405303" w:rsidRDefault="009E6F82" w:rsidP="00C15251">
      <w:pPr>
        <w:jc w:val="both"/>
        <w:rPr>
          <w:bCs/>
          <w:color w:val="002060"/>
          <w:sz w:val="16"/>
          <w:szCs w:val="16"/>
        </w:rPr>
      </w:pPr>
      <w:bookmarkStart w:id="220" w:name="_Hlk117702898"/>
      <w:r w:rsidRPr="00405303">
        <w:rPr>
          <w:bCs/>
          <w:color w:val="002060"/>
          <w:sz w:val="16"/>
          <w:szCs w:val="16"/>
        </w:rPr>
        <w:t xml:space="preserve">14 </w:t>
      </w:r>
      <w:r w:rsidR="007A2E85" w:rsidRPr="00405303">
        <w:rPr>
          <w:bCs/>
          <w:color w:val="002060"/>
          <w:sz w:val="16"/>
          <w:szCs w:val="16"/>
        </w:rPr>
        <w:t xml:space="preserve">(27) </w:t>
      </w:r>
      <w:r w:rsidRPr="00405303">
        <w:rPr>
          <w:bCs/>
          <w:color w:val="002060"/>
          <w:sz w:val="16"/>
          <w:szCs w:val="16"/>
        </w:rPr>
        <w:t xml:space="preserve">августа </w:t>
      </w:r>
      <w:r w:rsidR="007A2E85" w:rsidRPr="00405303">
        <w:rPr>
          <w:bCs/>
          <w:color w:val="002060"/>
          <w:sz w:val="16"/>
          <w:szCs w:val="16"/>
        </w:rPr>
        <w:t xml:space="preserve">1915 г. </w:t>
      </w:r>
      <w:r w:rsidRPr="00405303">
        <w:rPr>
          <w:bCs/>
          <w:color w:val="002060"/>
          <w:sz w:val="16"/>
          <w:szCs w:val="16"/>
        </w:rPr>
        <w:t>из Лиды в Псков совершили почти пятичасовой перелёт корабли "Киевский", I, II и VI, а 16-го туда добрался VIII корабль. Эшелон с имуществом прибыл на станцию Псков только 24 августа.</w:t>
      </w:r>
    </w:p>
    <w:p w14:paraId="2D26E265" w14:textId="77777777" w:rsidR="004B4E35" w:rsidRPr="00405303" w:rsidRDefault="009E6F82" w:rsidP="00C15251">
      <w:pPr>
        <w:jc w:val="both"/>
        <w:rPr>
          <w:bCs/>
          <w:color w:val="002060"/>
          <w:sz w:val="16"/>
          <w:szCs w:val="16"/>
        </w:rPr>
      </w:pPr>
      <w:r w:rsidRPr="00405303">
        <w:rPr>
          <w:bCs/>
          <w:color w:val="002060"/>
          <w:sz w:val="16"/>
          <w:szCs w:val="16"/>
        </w:rPr>
        <w:t>В Лиде и Пскове экипажи Панкратьева и Башко получили новые "тупоносые" корабли типа В. На II корабль (№ 167) поставили сделанные в Риге моторы РБЗ-6 по 150 л.с. (аналог "Аргуса"), а на "Киевский" (№ 169) были поставлены "Аргусы" с подбитой немцами прошлой машины Башко (№ 150). Теперь эти корабли стали лучшими и продемонстрировали отличную боевую работу с конца 1915-го и за весь 1916 год. Огромную роль сыграли не только выдающиеся командиры этих машин, но и отличные моторы, тогда как на других машинах стояли не самые лучшие английские моторы "Санбим".</w:t>
      </w:r>
    </w:p>
    <w:p w14:paraId="47C81029" w14:textId="77777777" w:rsidR="004B4E35" w:rsidRPr="00405303" w:rsidRDefault="009E6F82" w:rsidP="00C15251">
      <w:pPr>
        <w:jc w:val="both"/>
        <w:rPr>
          <w:bCs/>
          <w:color w:val="002060"/>
          <w:sz w:val="16"/>
          <w:szCs w:val="16"/>
        </w:rPr>
      </w:pPr>
      <w:r w:rsidRPr="00405303">
        <w:rPr>
          <w:bCs/>
          <w:color w:val="002060"/>
          <w:sz w:val="16"/>
          <w:szCs w:val="16"/>
        </w:rPr>
        <w:t>Только в сентябре 1915 года из Эскадры был выделен боевой отряд на Северный фронт в распоряжение штаба 12-й армии. Первым на аэродром у станции Зегевольд (под Ригой) прилетел Панкратьев, а через несколько дней Алехнович и Лавров. Штабс-капитаны Башкой Нижевский смогли прибыть в начале октября.</w:t>
      </w:r>
    </w:p>
    <w:p w14:paraId="6120DC12" w14:textId="77777777" w:rsidR="004B4E35" w:rsidRPr="00405303" w:rsidRDefault="009E6F82" w:rsidP="00C15251">
      <w:pPr>
        <w:jc w:val="both"/>
        <w:rPr>
          <w:bCs/>
          <w:color w:val="002060"/>
          <w:sz w:val="16"/>
          <w:szCs w:val="16"/>
        </w:rPr>
      </w:pPr>
      <w:r w:rsidRPr="00405303">
        <w:rPr>
          <w:bCs/>
          <w:color w:val="002060"/>
          <w:sz w:val="16"/>
          <w:szCs w:val="16"/>
        </w:rPr>
        <w:t>Боевая работа отряда в Зегевольде началась с полёта штабс-капитана Панкратьева на II корабле (№ 167). Захватив с собой пять бомб, корабль слетал "посмотреть" на Мита- ву. Встреченный и обстрелянный на обратном пути "Альбатрос" не проявил враждебности. Второй вылет "Илья Муромец И" тоже совершил в одиночестве. Захватив на борт семь двухпудовых и шесть пудовых бомб, аппарат направился громить артиллерийские склады у мызы Вальгоф. Из-за плохой видимости последние, на их счастье, не были обнаружены и уцелели (12041).</w:t>
      </w:r>
    </w:p>
    <w:p w14:paraId="44A77CF3" w14:textId="77777777" w:rsidR="004B4E35" w:rsidRPr="00405303" w:rsidRDefault="004B4E35" w:rsidP="00C15251">
      <w:pPr>
        <w:jc w:val="both"/>
        <w:rPr>
          <w:bCs/>
          <w:color w:val="002060"/>
          <w:sz w:val="16"/>
          <w:szCs w:val="16"/>
        </w:rPr>
      </w:pPr>
    </w:p>
    <w:bookmarkEnd w:id="220"/>
    <w:p w14:paraId="7C93702D" w14:textId="7BFD03F8" w:rsidR="00E2193F" w:rsidRPr="00405303" w:rsidRDefault="00E2193F" w:rsidP="00C15251">
      <w:pPr>
        <w:jc w:val="both"/>
        <w:rPr>
          <w:bCs/>
          <w:i/>
          <w:color w:val="002060"/>
          <w:sz w:val="16"/>
          <w:szCs w:val="16"/>
        </w:rPr>
      </w:pPr>
      <w:r w:rsidRPr="00405303">
        <w:rPr>
          <w:bCs/>
          <w:i/>
          <w:color w:val="002060"/>
          <w:sz w:val="16"/>
          <w:szCs w:val="16"/>
        </w:rPr>
        <w:t>Армия:</w:t>
      </w:r>
    </w:p>
    <w:p w14:paraId="16C74210" w14:textId="77777777" w:rsidR="00E2193F" w:rsidRPr="00405303" w:rsidRDefault="00E2193F" w:rsidP="00C15251">
      <w:pPr>
        <w:jc w:val="both"/>
        <w:rPr>
          <w:bCs/>
          <w:i/>
          <w:color w:val="002060"/>
          <w:sz w:val="16"/>
          <w:szCs w:val="16"/>
        </w:rPr>
      </w:pPr>
    </w:p>
    <w:p w14:paraId="0DF3DCEF" w14:textId="0AC2D6F5" w:rsidR="00E2193F" w:rsidRPr="00405303" w:rsidRDefault="00E2193F" w:rsidP="00C15251">
      <w:pPr>
        <w:jc w:val="both"/>
        <w:rPr>
          <w:bCs/>
          <w:color w:val="002060"/>
          <w:sz w:val="16"/>
          <w:szCs w:val="16"/>
          <w:lang w:bidi="en-US"/>
        </w:rPr>
      </w:pPr>
      <w:r w:rsidRPr="00405303">
        <w:rPr>
          <w:bCs/>
          <w:color w:val="002060"/>
          <w:sz w:val="16"/>
          <w:szCs w:val="16"/>
          <w:lang w:bidi="en-US"/>
        </w:rPr>
        <w:t>15 (28) августа 1915 г. политическое давление вынудило штаб Ставки двинуть гвардейскую армию для защиты побережья Балтийского моря и путей на Петроград.</w:t>
      </w:r>
    </w:p>
    <w:p w14:paraId="5F6F72D9" w14:textId="77777777" w:rsidR="00E2193F" w:rsidRPr="00405303" w:rsidRDefault="00E2193F" w:rsidP="00C15251">
      <w:pPr>
        <w:jc w:val="both"/>
        <w:rPr>
          <w:bCs/>
          <w:color w:val="002060"/>
          <w:sz w:val="16"/>
          <w:szCs w:val="16"/>
          <w:lang w:bidi="en-US"/>
        </w:rPr>
      </w:pPr>
    </w:p>
    <w:p w14:paraId="68714B05" w14:textId="3F436004" w:rsidR="004B4E35" w:rsidRPr="00405303" w:rsidRDefault="009E6F82" w:rsidP="00C15251">
      <w:pPr>
        <w:jc w:val="both"/>
        <w:rPr>
          <w:bCs/>
          <w:i/>
          <w:color w:val="002060"/>
          <w:sz w:val="16"/>
          <w:szCs w:val="16"/>
        </w:rPr>
      </w:pPr>
      <w:r w:rsidRPr="00405303">
        <w:rPr>
          <w:bCs/>
          <w:i/>
          <w:color w:val="002060"/>
          <w:sz w:val="16"/>
          <w:szCs w:val="16"/>
        </w:rPr>
        <w:t>Авиация:</w:t>
      </w:r>
    </w:p>
    <w:p w14:paraId="5D57E95D" w14:textId="77777777" w:rsidR="004B4E35" w:rsidRPr="00405303" w:rsidRDefault="004B4E35" w:rsidP="00C15251">
      <w:pPr>
        <w:jc w:val="both"/>
        <w:rPr>
          <w:bCs/>
          <w:i/>
          <w:color w:val="002060"/>
          <w:sz w:val="16"/>
          <w:szCs w:val="16"/>
        </w:rPr>
      </w:pPr>
    </w:p>
    <w:p w14:paraId="78D56797" w14:textId="3267F86E" w:rsidR="00E2193F" w:rsidRPr="00405303" w:rsidRDefault="00E2193F" w:rsidP="00C15251">
      <w:pPr>
        <w:jc w:val="both"/>
        <w:rPr>
          <w:bCs/>
          <w:color w:val="002060"/>
          <w:sz w:val="16"/>
          <w:szCs w:val="16"/>
        </w:rPr>
      </w:pPr>
      <w:r w:rsidRPr="00405303">
        <w:rPr>
          <w:bCs/>
          <w:color w:val="002060"/>
          <w:sz w:val="16"/>
          <w:szCs w:val="16"/>
        </w:rPr>
        <w:lastRenderedPageBreak/>
        <w:t xml:space="preserve">Утром 15 (28) августа 1915 г. четыре германских самолета сбросили на город Брест-Литовск 10 бомб. Вечером того же дня над Брест-Литовском «снова реял неприятельский аэроплан, но бомб не сбрасывал». 23 августа свой налет на город совершил цеппелин LZ-79, разрушив при бомбометании железнодорожную станцию и три жилых дома. Сохранились воспоминания об этом налете одного из членов экипажа дирижабля: «В этот момент ярко освещенные ж.-д. сооружения Брест- Литовска были под нами, в городе горели скудные огни. У русских была полная тишина. „Вниз - легкую бомбу!“ Блеск ее взрыва ярко </w:t>
      </w:r>
      <w:bookmarkStart w:id="221" w:name="bookmark247"/>
      <w:r w:rsidRPr="00405303">
        <w:rPr>
          <w:bCs/>
          <w:color w:val="002060"/>
          <w:sz w:val="16"/>
          <w:szCs w:val="16"/>
        </w:rPr>
        <w:t>выделился на фоне местного освещения, удар пришелся верно. Затем одна за другой были сброшены 12 бомб по 100 кг каждая. Глухое сотрясение корабля свидетельствовало о том, что они взорвались. Огни на земле потухли, и заработали прожекторы; русские искали нас: ими был открыт огонь, слабый и недействительный».</w:t>
      </w:r>
      <w:bookmarkEnd w:id="221"/>
    </w:p>
    <w:p w14:paraId="2DF40A56" w14:textId="77777777" w:rsidR="00E2193F" w:rsidRPr="00405303" w:rsidRDefault="00E2193F" w:rsidP="00C15251">
      <w:pPr>
        <w:jc w:val="both"/>
        <w:rPr>
          <w:bCs/>
          <w:color w:val="002060"/>
          <w:sz w:val="16"/>
          <w:szCs w:val="16"/>
        </w:rPr>
      </w:pPr>
      <w:r w:rsidRPr="00405303">
        <w:rPr>
          <w:bCs/>
          <w:color w:val="002060"/>
          <w:sz w:val="16"/>
          <w:szCs w:val="16"/>
        </w:rPr>
        <w:t>Действиям ВВФ Германии активно мешали летчики Брест- Литовского КАО, а также крепостная артиллерия, открывавшая шквальный зенитный огонь при каждом появлении над крепостью противника. В одном из разведывательных полетов над Брест- Литовском нашим пулеметным огнем был сбит немецкий аэроплан «Альбатрос» (64 АО), пилотируемый германским летчиком графом Хольком. В качестве наблюдателя с ним летел будущий летчик-ас, легенда Первой мировой войны барон М. фон Рихтхофен. Лишь посадка на территории, занятой германскими войсками, спасла обоих авиаторов от неминуемого плена. Сам Рихтхофен признал тот факт, что «нет ничего хуже, как совершить вынужденную посадку на чужой территории, особенно в России. Русские ненавидели летчиков, и если они их ловили, то убивали». Похоже, провидение хранило жизнь немецкого аса. Ему будет суждено погибнуть через три года в небе Франции (23405).</w:t>
      </w:r>
    </w:p>
    <w:p w14:paraId="063D5019" w14:textId="77777777" w:rsidR="00E2193F" w:rsidRPr="00405303" w:rsidRDefault="00E2193F" w:rsidP="00C15251">
      <w:pPr>
        <w:jc w:val="both"/>
        <w:rPr>
          <w:bCs/>
          <w:color w:val="002060"/>
          <w:sz w:val="16"/>
          <w:szCs w:val="16"/>
        </w:rPr>
      </w:pPr>
    </w:p>
    <w:p w14:paraId="10A079D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 (28) августа 1915 летчик 1-го армейского отряда прапорщик .А.Орлов и наблюдатель Ярослав Окулич-Казаринов на самолете "Вуазен" при исключительно трудных условиях, под дождем и облачностью не выше 175 сажень, имея пробоины в самолете,произ</w:t>
      </w:r>
      <w:r w:rsidRPr="00405303">
        <w:rPr>
          <w:bCs/>
          <w:color w:val="002060"/>
          <w:sz w:val="16"/>
          <w:szCs w:val="16"/>
        </w:rPr>
        <w:softHyphen/>
        <w:t>вели разведку в районе Фридрихштадта и обнаружили там скрытый в весу значительный резерв противника. В результате этой разведки 37-й армейский корпус вовремя принял необходимые меры против шечавшегося прорыва ("Русский инвалид". 1916 г.,3 апреля; "Военный летчик". 1917, №2).</w:t>
      </w:r>
    </w:p>
    <w:p w14:paraId="776FEE65" w14:textId="77777777" w:rsidR="004B4E35" w:rsidRPr="00405303" w:rsidRDefault="004B4E35" w:rsidP="00C15251">
      <w:pPr>
        <w:shd w:val="clear" w:color="auto" w:fill="FFFFFF"/>
        <w:jc w:val="both"/>
        <w:rPr>
          <w:bCs/>
          <w:color w:val="002060"/>
          <w:sz w:val="16"/>
          <w:szCs w:val="16"/>
        </w:rPr>
      </w:pPr>
    </w:p>
    <w:p w14:paraId="3A7E2C0D" w14:textId="77777777" w:rsidR="007A2E85" w:rsidRPr="00405303" w:rsidRDefault="007A2E85" w:rsidP="00C15251">
      <w:pPr>
        <w:jc w:val="both"/>
        <w:rPr>
          <w:bCs/>
          <w:color w:val="002060"/>
          <w:sz w:val="16"/>
          <w:szCs w:val="16"/>
        </w:rPr>
      </w:pPr>
      <w:r w:rsidRPr="00405303">
        <w:rPr>
          <w:bCs/>
          <w:color w:val="002060"/>
          <w:sz w:val="16"/>
          <w:szCs w:val="16"/>
        </w:rPr>
        <w:t>15 (28) августа 1915 г. летчик 1-го армейского отряда прапорщик И.А.Орлов и наблюдатель Ярослав Окулич-Казаринов на самолете Вуазен при исключительно трудных условиях, под дождем и облачностью не выше 175 сажен, имея пробоины в самолете, произвели разведку в районе Фридрих - обнаружили там скрытый в лесу значительный резерв противника. В результате этой разведки 37-й армейский корпус вовремя при</w:t>
      </w:r>
      <w:r w:rsidRPr="00405303">
        <w:rPr>
          <w:bCs/>
          <w:color w:val="002060"/>
          <w:sz w:val="16"/>
          <w:szCs w:val="16"/>
        </w:rPr>
        <w:softHyphen/>
        <w:t>нял необходимые меры против намечавшегося прорыва.</w:t>
      </w:r>
    </w:p>
    <w:p w14:paraId="156CC74A" w14:textId="77777777" w:rsidR="007A2E85" w:rsidRPr="00405303" w:rsidRDefault="007A2E85" w:rsidP="00C15251">
      <w:pPr>
        <w:jc w:val="both"/>
        <w:rPr>
          <w:bCs/>
          <w:color w:val="002060"/>
          <w:sz w:val="16"/>
          <w:szCs w:val="16"/>
        </w:rPr>
      </w:pPr>
      <w:r w:rsidRPr="00405303">
        <w:rPr>
          <w:bCs/>
          <w:color w:val="002060"/>
          <w:sz w:val="16"/>
          <w:szCs w:val="16"/>
        </w:rPr>
        <w:t>/“Русский инвалид" за 3 апреля 1916; "Военный летчик", 1917, № 2/ (23320).</w:t>
      </w:r>
    </w:p>
    <w:p w14:paraId="09263030" w14:textId="77777777" w:rsidR="007A2E85" w:rsidRPr="00405303" w:rsidRDefault="007A2E85" w:rsidP="00C15251">
      <w:pPr>
        <w:jc w:val="both"/>
        <w:rPr>
          <w:bCs/>
          <w:color w:val="002060"/>
          <w:sz w:val="16"/>
          <w:szCs w:val="16"/>
        </w:rPr>
      </w:pPr>
    </w:p>
    <w:p w14:paraId="1C19941A" w14:textId="77777777" w:rsidR="004B4E35" w:rsidRPr="00405303" w:rsidRDefault="009E6F82" w:rsidP="00C15251">
      <w:pPr>
        <w:jc w:val="both"/>
        <w:rPr>
          <w:bCs/>
          <w:color w:val="002060"/>
          <w:sz w:val="16"/>
          <w:szCs w:val="16"/>
        </w:rPr>
      </w:pPr>
      <w:r w:rsidRPr="00405303">
        <w:rPr>
          <w:bCs/>
          <w:color w:val="002060"/>
          <w:sz w:val="16"/>
          <w:szCs w:val="16"/>
        </w:rPr>
        <w:t>15 (28) августа - Русский военный летчик Орлов с наблюдателем Готовским, несмотря на пробоины в самолете, выполнив разведку в районе Фридрихштадта, обнаружили в лесу значительные силы германцев, готовые к прорыву русских позиций. Русские летчики тут же доставили эти сведения в XXXVII армейский корпус, который решительным контрударом сорвал замысел противника.</w:t>
      </w:r>
    </w:p>
    <w:p w14:paraId="1C536338" w14:textId="77777777" w:rsidR="004B4E35" w:rsidRPr="00405303" w:rsidRDefault="009E6F82" w:rsidP="00C15251">
      <w:pPr>
        <w:jc w:val="both"/>
        <w:rPr>
          <w:bCs/>
          <w:color w:val="002060"/>
          <w:sz w:val="16"/>
          <w:szCs w:val="16"/>
        </w:rPr>
      </w:pPr>
      <w:r w:rsidRPr="00405303">
        <w:rPr>
          <w:bCs/>
          <w:color w:val="002060"/>
          <w:sz w:val="16"/>
          <w:szCs w:val="16"/>
        </w:rPr>
        <w:t>Также в конце августа германское командование, решив прорвать фронт в районе Риги, перебрасывало сюда на автомашинах большие силы. Летчики 20-го русского авиаотряда вскрыли эти перемещения. В результате, не успев сконцентрироваться, германские силы были рассеяны и отброшены от Риги. Особенно отличился при проведении воздушной разведки военный наблюдатель В.И. Брожевский (11999).</w:t>
      </w:r>
    </w:p>
    <w:p w14:paraId="4612108B" w14:textId="77777777" w:rsidR="004B4E35" w:rsidRPr="00405303" w:rsidRDefault="004B4E35" w:rsidP="00C15251">
      <w:pPr>
        <w:jc w:val="both"/>
        <w:rPr>
          <w:bCs/>
          <w:i/>
          <w:color w:val="002060"/>
          <w:sz w:val="16"/>
          <w:szCs w:val="16"/>
        </w:rPr>
      </w:pPr>
    </w:p>
    <w:p w14:paraId="0F9827D9" w14:textId="77777777" w:rsidR="00020A9D" w:rsidRPr="00405303" w:rsidRDefault="00020A9D" w:rsidP="00020A9D">
      <w:pPr>
        <w:jc w:val="both"/>
        <w:rPr>
          <w:rStyle w:val="aa"/>
          <w:rFonts w:ascii="Times New Roman" w:hAnsi="Times New Roman"/>
          <w:color w:val="0070C0"/>
          <w:spacing w:val="0"/>
          <w:sz w:val="16"/>
          <w:szCs w:val="16"/>
        </w:rPr>
      </w:pPr>
      <w:bookmarkStart w:id="222" w:name="bookmark252"/>
      <w:r w:rsidRPr="00405303">
        <w:rPr>
          <w:rStyle w:val="aa"/>
          <w:rFonts w:ascii="Times New Roman" w:hAnsi="Times New Roman"/>
          <w:color w:val="0070C0"/>
          <w:spacing w:val="0"/>
          <w:sz w:val="16"/>
          <w:szCs w:val="16"/>
        </w:rPr>
        <w:t xml:space="preserve">В ночь с 15 ев 16 (28 на 29) августа 1915 г. центр города г. Вильна подвергся наиболее ожесточенной бомбардировке с воздуха. Тем не менее большинство попыток германских аэропланов проникнуть в границы города срывались умелыми действиями русских зенитчиков (25135). </w:t>
      </w:r>
    </w:p>
    <w:p w14:paraId="5B3D6F4C" w14:textId="77777777" w:rsidR="00020A9D" w:rsidRPr="00405303" w:rsidRDefault="00020A9D" w:rsidP="00020A9D">
      <w:pPr>
        <w:jc w:val="both"/>
        <w:rPr>
          <w:rStyle w:val="aa"/>
          <w:rFonts w:ascii="Times New Roman" w:hAnsi="Times New Roman"/>
          <w:color w:val="0070C0"/>
          <w:spacing w:val="0"/>
          <w:sz w:val="16"/>
          <w:szCs w:val="16"/>
        </w:rPr>
      </w:pPr>
    </w:p>
    <w:bookmarkEnd w:id="222"/>
    <w:p w14:paraId="3E117CFD" w14:textId="77777777" w:rsidR="00964D50" w:rsidRPr="00405303" w:rsidRDefault="00964D50" w:rsidP="00C15251">
      <w:pPr>
        <w:jc w:val="both"/>
        <w:rPr>
          <w:bCs/>
          <w:i/>
          <w:color w:val="002060"/>
          <w:sz w:val="16"/>
          <w:szCs w:val="16"/>
        </w:rPr>
      </w:pPr>
      <w:r w:rsidRPr="00405303">
        <w:rPr>
          <w:bCs/>
          <w:i/>
          <w:color w:val="002060"/>
          <w:sz w:val="16"/>
          <w:szCs w:val="16"/>
        </w:rPr>
        <w:t>Армия:</w:t>
      </w:r>
    </w:p>
    <w:p w14:paraId="3FF4BD3E" w14:textId="77777777" w:rsidR="00964D50" w:rsidRPr="00405303" w:rsidRDefault="00964D50" w:rsidP="00C15251">
      <w:pPr>
        <w:jc w:val="both"/>
        <w:rPr>
          <w:bCs/>
          <w:i/>
          <w:color w:val="002060"/>
          <w:sz w:val="16"/>
          <w:szCs w:val="16"/>
        </w:rPr>
      </w:pPr>
    </w:p>
    <w:p w14:paraId="2B0CCA5E" w14:textId="4BF70D9C" w:rsidR="00964D50" w:rsidRPr="00405303" w:rsidRDefault="00964D50" w:rsidP="00C15251">
      <w:pPr>
        <w:jc w:val="both"/>
        <w:rPr>
          <w:bCs/>
          <w:color w:val="002060"/>
          <w:sz w:val="16"/>
          <w:szCs w:val="16"/>
        </w:rPr>
      </w:pPr>
      <w:r w:rsidRPr="00405303">
        <w:rPr>
          <w:bCs/>
          <w:color w:val="002060"/>
          <w:sz w:val="16"/>
          <w:szCs w:val="16"/>
        </w:rPr>
        <w:t xml:space="preserve">15 </w:t>
      </w:r>
      <w:r w:rsidR="007A2E85" w:rsidRPr="00405303">
        <w:rPr>
          <w:bCs/>
          <w:color w:val="002060"/>
          <w:sz w:val="16"/>
          <w:szCs w:val="16"/>
        </w:rPr>
        <w:t xml:space="preserve">(28) </w:t>
      </w:r>
      <w:r w:rsidRPr="00405303">
        <w:rPr>
          <w:bCs/>
          <w:color w:val="002060"/>
          <w:sz w:val="16"/>
          <w:szCs w:val="16"/>
        </w:rPr>
        <w:t>августа в 1915 году в Балтийском море подрывается на мине и тонет русский крейсер "Ладога" (14984).</w:t>
      </w:r>
    </w:p>
    <w:p w14:paraId="24BC3FA2" w14:textId="77777777" w:rsidR="00964D50" w:rsidRPr="00405303" w:rsidRDefault="00964D50" w:rsidP="00C15251">
      <w:pPr>
        <w:jc w:val="both"/>
        <w:rPr>
          <w:bCs/>
          <w:color w:val="002060"/>
          <w:sz w:val="16"/>
          <w:szCs w:val="16"/>
        </w:rPr>
      </w:pPr>
    </w:p>
    <w:p w14:paraId="6BEC1A19" w14:textId="74C13986" w:rsidR="00E2193F" w:rsidRPr="00405303" w:rsidRDefault="00E2193F" w:rsidP="00C15251">
      <w:pPr>
        <w:jc w:val="both"/>
        <w:rPr>
          <w:bCs/>
          <w:i/>
          <w:color w:val="002060"/>
          <w:sz w:val="16"/>
          <w:szCs w:val="16"/>
        </w:rPr>
      </w:pPr>
      <w:r w:rsidRPr="00405303">
        <w:rPr>
          <w:bCs/>
          <w:i/>
          <w:color w:val="002060"/>
          <w:sz w:val="16"/>
          <w:szCs w:val="16"/>
        </w:rPr>
        <w:t>Авиация:</w:t>
      </w:r>
    </w:p>
    <w:p w14:paraId="5C05C744" w14:textId="77777777" w:rsidR="00E2193F" w:rsidRPr="00405303" w:rsidRDefault="00E2193F" w:rsidP="00C15251">
      <w:pPr>
        <w:jc w:val="both"/>
        <w:rPr>
          <w:bCs/>
          <w:i/>
          <w:color w:val="002060"/>
          <w:sz w:val="16"/>
          <w:szCs w:val="16"/>
        </w:rPr>
      </w:pPr>
    </w:p>
    <w:p w14:paraId="64BA5E28" w14:textId="77777777" w:rsidR="00E2193F" w:rsidRPr="00405303" w:rsidRDefault="00E2193F" w:rsidP="00C15251">
      <w:pPr>
        <w:jc w:val="both"/>
        <w:rPr>
          <w:bCs/>
          <w:color w:val="002060"/>
          <w:sz w:val="16"/>
          <w:szCs w:val="16"/>
        </w:rPr>
      </w:pPr>
      <w:r w:rsidRPr="00405303">
        <w:rPr>
          <w:bCs/>
          <w:color w:val="002060"/>
          <w:sz w:val="16"/>
          <w:szCs w:val="16"/>
        </w:rPr>
        <w:t>С середины августа по середину сентября 1916 г. корабль «Илья Муромец» В-16 (ИМ В-16 № 162, борт № VI) экз. № 16, стратегический разведчик, тяжелый бомбардировщик выполнял боевые вылеты на поддержку наступления, предпринятого русским командованием на Рижском плацдарме и в Белоруссии – в этих полетах его экипаж отмечен как отличившийся.</w:t>
      </w:r>
    </w:p>
    <w:p w14:paraId="5CBB184B" w14:textId="77777777" w:rsidR="00E2193F" w:rsidRPr="00405303" w:rsidRDefault="00E2193F" w:rsidP="00C15251">
      <w:pPr>
        <w:jc w:val="both"/>
        <w:rPr>
          <w:bCs/>
          <w:color w:val="002060"/>
          <w:sz w:val="16"/>
          <w:szCs w:val="16"/>
        </w:rPr>
      </w:pPr>
      <w:r w:rsidRPr="00405303">
        <w:rPr>
          <w:bCs/>
          <w:color w:val="002060"/>
          <w:sz w:val="16"/>
          <w:szCs w:val="16"/>
        </w:rPr>
        <w:t>10.09.16 г. (23.09.16 г. по н.ст.) над Рижским заливом возвращаясь с боевого задания корабль был атакован неприятельскими самолетами. Весь экипаж, включая командира С.Н. Головина был ранен, корабль получил 293 пробоины, но смог вернуться на аэродром и совершить нормальную посадку.</w:t>
      </w:r>
    </w:p>
    <w:p w14:paraId="109FE771" w14:textId="77777777" w:rsidR="00E2193F" w:rsidRPr="00405303" w:rsidRDefault="00E2193F" w:rsidP="00C15251">
      <w:pPr>
        <w:jc w:val="both"/>
        <w:rPr>
          <w:bCs/>
          <w:color w:val="002060"/>
          <w:sz w:val="16"/>
          <w:szCs w:val="16"/>
        </w:rPr>
      </w:pPr>
      <w:r w:rsidRPr="00405303">
        <w:rPr>
          <w:bCs/>
          <w:color w:val="002060"/>
          <w:sz w:val="16"/>
          <w:szCs w:val="16"/>
        </w:rPr>
        <w:t>В ноябре 1916 г. разбит (23563).</w:t>
      </w:r>
    </w:p>
    <w:p w14:paraId="617E86A2" w14:textId="77777777" w:rsidR="00E2193F" w:rsidRPr="00405303" w:rsidRDefault="00E2193F" w:rsidP="00C15251">
      <w:pPr>
        <w:jc w:val="both"/>
        <w:rPr>
          <w:bCs/>
          <w:color w:val="002060"/>
          <w:sz w:val="16"/>
          <w:szCs w:val="16"/>
        </w:rPr>
      </w:pPr>
    </w:p>
    <w:p w14:paraId="4DFFD19D" w14:textId="77777777" w:rsidR="00E2193F" w:rsidRPr="00405303" w:rsidRDefault="00E2193F" w:rsidP="00C15251">
      <w:pPr>
        <w:jc w:val="both"/>
        <w:rPr>
          <w:bCs/>
          <w:color w:val="002060"/>
          <w:sz w:val="16"/>
          <w:szCs w:val="16"/>
        </w:rPr>
      </w:pPr>
      <w:r w:rsidRPr="00405303">
        <w:rPr>
          <w:bCs/>
          <w:color w:val="002060"/>
          <w:sz w:val="16"/>
          <w:szCs w:val="16"/>
        </w:rPr>
        <w:t>В середине августа 1915 г. на перегоне Брест-Литовск - Ковель германские летчики сбросили на поезд четыре бомбы, взрывы которых повлекли за собой ранения среди пассажиров различной тяжести (23405).</w:t>
      </w:r>
    </w:p>
    <w:p w14:paraId="6A1948ED" w14:textId="77777777" w:rsidR="00E2193F" w:rsidRPr="00405303" w:rsidRDefault="00E2193F" w:rsidP="00C15251">
      <w:pPr>
        <w:jc w:val="both"/>
        <w:rPr>
          <w:bCs/>
          <w:color w:val="002060"/>
          <w:sz w:val="16"/>
          <w:szCs w:val="16"/>
        </w:rPr>
      </w:pPr>
    </w:p>
    <w:p w14:paraId="670FA495" w14:textId="77777777" w:rsidR="00E2193F" w:rsidRPr="00405303" w:rsidRDefault="00E2193F" w:rsidP="00C15251">
      <w:pPr>
        <w:jc w:val="both"/>
        <w:rPr>
          <w:bCs/>
          <w:color w:val="002060"/>
          <w:sz w:val="16"/>
          <w:szCs w:val="16"/>
        </w:rPr>
      </w:pPr>
      <w:r w:rsidRPr="00405303">
        <w:rPr>
          <w:bCs/>
          <w:color w:val="002060"/>
          <w:sz w:val="16"/>
          <w:szCs w:val="16"/>
        </w:rPr>
        <w:t>В середине августа 1915 г. огнем артиллерийских расчетов форта Кобринского укрепления (крепость Брест-Литовск) был сбит австрийский самолет (23405).</w:t>
      </w:r>
    </w:p>
    <w:p w14:paraId="5E29C4F7" w14:textId="77777777" w:rsidR="00E2193F" w:rsidRPr="00405303" w:rsidRDefault="00E2193F" w:rsidP="00C15251">
      <w:pPr>
        <w:jc w:val="both"/>
        <w:rPr>
          <w:bCs/>
          <w:color w:val="002060"/>
          <w:sz w:val="16"/>
          <w:szCs w:val="16"/>
        </w:rPr>
      </w:pPr>
    </w:p>
    <w:p w14:paraId="3C6A6302" w14:textId="77777777" w:rsidR="00020A9D" w:rsidRPr="00405303" w:rsidRDefault="00020A9D" w:rsidP="00020A9D">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В середине августа 1915 г. огнем артиллерийских расчетов форта Кобринского укрепления (крепость Брест-Литовск) был сбит австрийский самолет (25135).</w:t>
      </w:r>
    </w:p>
    <w:p w14:paraId="58651D90" w14:textId="77777777" w:rsidR="00020A9D" w:rsidRPr="00405303" w:rsidRDefault="00020A9D" w:rsidP="00020A9D">
      <w:pPr>
        <w:jc w:val="both"/>
        <w:rPr>
          <w:rStyle w:val="aa"/>
          <w:rFonts w:ascii="Times New Roman" w:hAnsi="Times New Roman"/>
          <w:color w:val="0070C0"/>
          <w:spacing w:val="0"/>
          <w:sz w:val="16"/>
          <w:szCs w:val="16"/>
        </w:rPr>
      </w:pPr>
    </w:p>
    <w:p w14:paraId="3A2C1559" w14:textId="77777777" w:rsidR="00020A9D" w:rsidRPr="00405303" w:rsidRDefault="00020A9D" w:rsidP="00020A9D">
      <w:pPr>
        <w:jc w:val="both"/>
        <w:rPr>
          <w:color w:val="0070C0"/>
          <w:sz w:val="16"/>
          <w:szCs w:val="16"/>
        </w:rPr>
      </w:pPr>
      <w:r w:rsidRPr="00405303">
        <w:rPr>
          <w:rStyle w:val="aa"/>
          <w:rFonts w:ascii="Times New Roman" w:hAnsi="Times New Roman"/>
          <w:color w:val="0070C0"/>
          <w:spacing w:val="0"/>
          <w:sz w:val="16"/>
          <w:szCs w:val="16"/>
        </w:rPr>
        <w:t>В середине августа 1915 г. на перегоне Брест-Литовск – Ковель германские летчики сбросили на поезд четыре бомбы, взрывы которых повлекли за собой ранения среди пассажиров различной тяжести (25135).</w:t>
      </w:r>
    </w:p>
    <w:p w14:paraId="483BD0B9" w14:textId="77777777" w:rsidR="00020A9D" w:rsidRPr="00405303" w:rsidRDefault="00020A9D" w:rsidP="00020A9D">
      <w:pPr>
        <w:jc w:val="both"/>
        <w:rPr>
          <w:color w:val="0070C0"/>
          <w:sz w:val="16"/>
          <w:szCs w:val="16"/>
        </w:rPr>
      </w:pPr>
    </w:p>
    <w:p w14:paraId="39C3176F" w14:textId="77777777" w:rsidR="00020A9D" w:rsidRPr="00405303" w:rsidRDefault="00020A9D" w:rsidP="00020A9D">
      <w:pPr>
        <w:jc w:val="both"/>
        <w:rPr>
          <w:color w:val="0070C0"/>
          <w:sz w:val="16"/>
          <w:szCs w:val="16"/>
        </w:rPr>
      </w:pPr>
      <w:r w:rsidRPr="00405303">
        <w:rPr>
          <w:color w:val="0070C0"/>
          <w:sz w:val="16"/>
          <w:szCs w:val="16"/>
        </w:rPr>
        <w:t>В середине августа 1915 г. из Лиды в имении Кресты под Псковом было переправлено имущество Эскадры и корабли. Боевые самолеты предполагалось использовать с аэродрома Зегевольд (Сигулда) под Ригой в полосе действий 12-й армии (24965).</w:t>
      </w:r>
    </w:p>
    <w:p w14:paraId="0C66C915" w14:textId="77777777" w:rsidR="00020A9D" w:rsidRPr="00405303" w:rsidRDefault="00020A9D" w:rsidP="00020A9D">
      <w:pPr>
        <w:jc w:val="both"/>
        <w:rPr>
          <w:color w:val="0070C0"/>
          <w:sz w:val="16"/>
          <w:szCs w:val="16"/>
        </w:rPr>
      </w:pPr>
    </w:p>
    <w:p w14:paraId="64E1E844" w14:textId="5BB2236C"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49985E4E" w14:textId="77777777" w:rsidR="004B4E35" w:rsidRPr="00405303" w:rsidRDefault="004B4E35" w:rsidP="00C15251">
      <w:pPr>
        <w:jc w:val="both"/>
        <w:rPr>
          <w:bCs/>
          <w:i/>
          <w:color w:val="002060"/>
          <w:sz w:val="16"/>
          <w:szCs w:val="16"/>
        </w:rPr>
      </w:pPr>
    </w:p>
    <w:p w14:paraId="7566BBDC" w14:textId="77777777" w:rsidR="004B4E35" w:rsidRPr="00405303" w:rsidRDefault="009E6F82" w:rsidP="00C15251">
      <w:pPr>
        <w:jc w:val="both"/>
        <w:rPr>
          <w:bCs/>
          <w:color w:val="002060"/>
          <w:sz w:val="16"/>
          <w:szCs w:val="16"/>
        </w:rPr>
      </w:pPr>
      <w:r w:rsidRPr="00405303">
        <w:rPr>
          <w:bCs/>
          <w:color w:val="002060"/>
          <w:sz w:val="16"/>
          <w:szCs w:val="16"/>
        </w:rPr>
        <w:t>В середине августа 1915 г. крупная группировка германского флота форсировала минно-артиллерийскую позицию в Ирбенском проливе и через четыре дня начала входить в южную часть Рижского залива. Отошедшие к Моонзундс- кому каналу линкор "Слава", канонерская лодка "Грозящий", авиатранспорт "Орлица" и другие корабли вели активные боевые действия. Лётчики Килькондского и 1-го корабельного отряда выполняли десятки полётов в интересах отряда кораблей (11927).</w:t>
      </w:r>
    </w:p>
    <w:p w14:paraId="0141EBD9" w14:textId="77777777" w:rsidR="004B4E35" w:rsidRPr="00405303" w:rsidRDefault="004B4E35" w:rsidP="00C15251">
      <w:pPr>
        <w:jc w:val="both"/>
        <w:rPr>
          <w:bCs/>
          <w:color w:val="002060"/>
          <w:sz w:val="16"/>
          <w:szCs w:val="16"/>
        </w:rPr>
      </w:pPr>
    </w:p>
    <w:p w14:paraId="5901A04C" w14:textId="77777777" w:rsidR="004B4E35" w:rsidRPr="00405303" w:rsidRDefault="009E6F82" w:rsidP="00C15251">
      <w:pPr>
        <w:jc w:val="both"/>
        <w:rPr>
          <w:bCs/>
          <w:i/>
          <w:color w:val="002060"/>
          <w:sz w:val="16"/>
          <w:szCs w:val="16"/>
        </w:rPr>
      </w:pPr>
      <w:r w:rsidRPr="00405303">
        <w:rPr>
          <w:bCs/>
          <w:i/>
          <w:color w:val="002060"/>
          <w:sz w:val="16"/>
          <w:szCs w:val="16"/>
        </w:rPr>
        <w:t>Армия:</w:t>
      </w:r>
    </w:p>
    <w:p w14:paraId="2E6F73DB" w14:textId="77777777" w:rsidR="004B4E35" w:rsidRPr="00405303" w:rsidRDefault="004B4E35" w:rsidP="00C15251">
      <w:pPr>
        <w:jc w:val="both"/>
        <w:rPr>
          <w:bCs/>
          <w:i/>
          <w:color w:val="002060"/>
          <w:sz w:val="16"/>
          <w:szCs w:val="16"/>
        </w:rPr>
      </w:pPr>
    </w:p>
    <w:p w14:paraId="04BC5B40" w14:textId="64AEA42E" w:rsidR="004B4E35" w:rsidRPr="00405303" w:rsidRDefault="009E6F82" w:rsidP="00C15251">
      <w:pPr>
        <w:jc w:val="both"/>
        <w:rPr>
          <w:bCs/>
          <w:color w:val="002060"/>
          <w:sz w:val="16"/>
          <w:szCs w:val="16"/>
        </w:rPr>
      </w:pPr>
      <w:r w:rsidRPr="00405303">
        <w:rPr>
          <w:bCs/>
          <w:color w:val="002060"/>
          <w:sz w:val="16"/>
          <w:szCs w:val="16"/>
        </w:rPr>
        <w:t xml:space="preserve">16-го </w:t>
      </w:r>
      <w:r w:rsidR="007A2E85" w:rsidRPr="00405303">
        <w:rPr>
          <w:bCs/>
          <w:color w:val="002060"/>
          <w:sz w:val="16"/>
          <w:szCs w:val="16"/>
        </w:rPr>
        <w:t xml:space="preserve">(29) августа 1915 г. в Псков </w:t>
      </w:r>
      <w:r w:rsidRPr="00405303">
        <w:rPr>
          <w:bCs/>
          <w:color w:val="002060"/>
          <w:sz w:val="16"/>
          <w:szCs w:val="16"/>
        </w:rPr>
        <w:t>добрался VIII корабль. Эшелон с имуществом прибыл на станцию Псков только 24 августа.</w:t>
      </w:r>
    </w:p>
    <w:p w14:paraId="49054CB0" w14:textId="77777777" w:rsidR="004B4E35" w:rsidRPr="00405303" w:rsidRDefault="009E6F82" w:rsidP="00C15251">
      <w:pPr>
        <w:jc w:val="both"/>
        <w:rPr>
          <w:bCs/>
          <w:color w:val="002060"/>
          <w:sz w:val="16"/>
          <w:szCs w:val="16"/>
        </w:rPr>
      </w:pPr>
      <w:r w:rsidRPr="00405303">
        <w:rPr>
          <w:bCs/>
          <w:color w:val="002060"/>
          <w:sz w:val="16"/>
          <w:szCs w:val="16"/>
        </w:rPr>
        <w:t xml:space="preserve">В Лиде и Пскове экипажи Панкратьева и Башко получили новые "тупоносые" корабли типа В. На II корабль (№ 167) поставили сделанные в Риге моторы РБЗ-6 по 150 л.с. (аналог "Аргуса"), а на "Киевский" (№ 169) были поставлены "Аргусы" с подбитой немцами прошлой машины Башко (№ 150). Теперь эти корабли стали </w:t>
      </w:r>
      <w:r w:rsidRPr="00405303">
        <w:rPr>
          <w:bCs/>
          <w:color w:val="002060"/>
          <w:sz w:val="16"/>
          <w:szCs w:val="16"/>
        </w:rPr>
        <w:lastRenderedPageBreak/>
        <w:t>лучшими и продемонстрировали отличную боевую работу с конца 1915-го и за весь 1916 год. Огромную роль сыграли не только выдающиеся командиры этих машин, но и отличные моторы, тогда как на других машинах стояли не самые лучшие английские моторы "Санбим".</w:t>
      </w:r>
    </w:p>
    <w:p w14:paraId="6B5BDCBE" w14:textId="77777777" w:rsidR="004B4E35" w:rsidRPr="00405303" w:rsidRDefault="009E6F82" w:rsidP="00C15251">
      <w:pPr>
        <w:jc w:val="both"/>
        <w:rPr>
          <w:bCs/>
          <w:color w:val="002060"/>
          <w:sz w:val="16"/>
          <w:szCs w:val="16"/>
        </w:rPr>
      </w:pPr>
      <w:r w:rsidRPr="00405303">
        <w:rPr>
          <w:bCs/>
          <w:color w:val="002060"/>
          <w:sz w:val="16"/>
          <w:szCs w:val="16"/>
        </w:rPr>
        <w:t>Только в сентябре 1915 года из Эскадры был выделен боевой отряд на Северный фронт в распоряжение штаба 12-й армии. Первым на аэродром у станции Зегевольд (под Ригой) прилетел Панкратьев, а через несколько дней Алехнович и Лавров. Штабс-капитаны Башкой Нижевский смогли прибыть в начале октября.</w:t>
      </w:r>
    </w:p>
    <w:p w14:paraId="3E3058F0" w14:textId="77777777" w:rsidR="004B4E35" w:rsidRPr="00405303" w:rsidRDefault="009E6F82" w:rsidP="00C15251">
      <w:pPr>
        <w:jc w:val="both"/>
        <w:rPr>
          <w:bCs/>
          <w:color w:val="002060"/>
          <w:sz w:val="16"/>
          <w:szCs w:val="16"/>
        </w:rPr>
      </w:pPr>
      <w:r w:rsidRPr="00405303">
        <w:rPr>
          <w:bCs/>
          <w:color w:val="002060"/>
          <w:sz w:val="16"/>
          <w:szCs w:val="16"/>
        </w:rPr>
        <w:t>Боевая работа отряда в Зегевольде началась с полёта штабс-капитана Панкратьева на II корабле (№ 167). Захватив с собой пять бомб, корабль слетал "посмотреть" на Мита- ву. Встреченный и обстрелянный на обратном пути "Альбатрос" не проявил враждебности. Второй вылет "Илья Муромец И" тоже совершил в одиночестве. Захватив на борт семь двухпудовых и шесть пудовых бомб, аппарат направился громить артиллерийские склады у мызы Вальгоф. Из-за плохой видимости последние, на их счастье, не были обнаружены и уцелели (12041).</w:t>
      </w:r>
    </w:p>
    <w:p w14:paraId="5FD0C906" w14:textId="5D901B57" w:rsidR="004B4E35" w:rsidRPr="00405303" w:rsidRDefault="004B4E35" w:rsidP="00C15251">
      <w:pPr>
        <w:jc w:val="both"/>
        <w:rPr>
          <w:bCs/>
          <w:color w:val="002060"/>
          <w:sz w:val="16"/>
          <w:szCs w:val="16"/>
        </w:rPr>
      </w:pPr>
    </w:p>
    <w:p w14:paraId="7C75D342" w14:textId="1675084F" w:rsidR="007A2E85" w:rsidRPr="00405303" w:rsidRDefault="007A2E85" w:rsidP="00C15251">
      <w:pPr>
        <w:jc w:val="both"/>
        <w:rPr>
          <w:bCs/>
          <w:i/>
          <w:iCs/>
          <w:color w:val="002060"/>
          <w:sz w:val="16"/>
          <w:szCs w:val="16"/>
        </w:rPr>
      </w:pPr>
      <w:r w:rsidRPr="00405303">
        <w:rPr>
          <w:bCs/>
          <w:i/>
          <w:iCs/>
          <w:color w:val="002060"/>
          <w:sz w:val="16"/>
          <w:szCs w:val="16"/>
        </w:rPr>
        <w:t>Армия:</w:t>
      </w:r>
    </w:p>
    <w:p w14:paraId="7C82FE7D" w14:textId="77777777" w:rsidR="007A2E85" w:rsidRPr="00405303" w:rsidRDefault="007A2E85" w:rsidP="00C15251">
      <w:pPr>
        <w:jc w:val="both"/>
        <w:rPr>
          <w:bCs/>
          <w:i/>
          <w:iCs/>
          <w:color w:val="002060"/>
          <w:sz w:val="16"/>
          <w:szCs w:val="16"/>
        </w:rPr>
      </w:pPr>
    </w:p>
    <w:p w14:paraId="67BCE336" w14:textId="2B46FE22"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16 </w:t>
      </w:r>
      <w:r w:rsidR="007A2E85" w:rsidRPr="00405303">
        <w:rPr>
          <w:bCs/>
          <w:i w:val="0"/>
          <w:color w:val="002060"/>
          <w:spacing w:val="0"/>
          <w:kern w:val="0"/>
          <w:position w:val="0"/>
          <w:sz w:val="16"/>
          <w:szCs w:val="16"/>
        </w:rPr>
        <w:t xml:space="preserve">(29) </w:t>
      </w:r>
      <w:r w:rsidRPr="00405303">
        <w:rPr>
          <w:bCs/>
          <w:i w:val="0"/>
          <w:color w:val="002060"/>
          <w:spacing w:val="0"/>
          <w:kern w:val="0"/>
          <w:position w:val="0"/>
          <w:sz w:val="16"/>
          <w:szCs w:val="16"/>
        </w:rPr>
        <w:t>августа 1915 г. Генерал-инспарт в своем отчете об артснабжении Юго-западного фронта отмечал случайный характер организации сбора оружия и считал необходимым "установить прочную штатную организацию сбора оружия и патронов" (11483).</w:t>
      </w:r>
    </w:p>
    <w:p w14:paraId="54658E5E" w14:textId="77777777" w:rsidR="004B4E35" w:rsidRPr="00405303" w:rsidRDefault="004B4E35" w:rsidP="00C15251">
      <w:pPr>
        <w:pStyle w:val="a3"/>
        <w:jc w:val="both"/>
        <w:rPr>
          <w:bCs/>
          <w:i w:val="0"/>
          <w:color w:val="002060"/>
          <w:spacing w:val="0"/>
          <w:kern w:val="0"/>
          <w:position w:val="0"/>
          <w:sz w:val="16"/>
          <w:szCs w:val="16"/>
        </w:rPr>
      </w:pPr>
    </w:p>
    <w:p w14:paraId="4E0E7B0F" w14:textId="649488CB" w:rsidR="00D866D7" w:rsidRPr="00405303" w:rsidRDefault="00D866D7" w:rsidP="00C15251">
      <w:pPr>
        <w:jc w:val="both"/>
        <w:rPr>
          <w:bCs/>
          <w:i/>
          <w:color w:val="002060"/>
          <w:sz w:val="16"/>
          <w:szCs w:val="16"/>
        </w:rPr>
      </w:pPr>
      <w:r w:rsidRPr="00405303">
        <w:rPr>
          <w:bCs/>
          <w:i/>
          <w:color w:val="002060"/>
          <w:sz w:val="16"/>
          <w:szCs w:val="16"/>
        </w:rPr>
        <w:t>Авиация:</w:t>
      </w:r>
    </w:p>
    <w:p w14:paraId="6E6E99EC" w14:textId="77777777" w:rsidR="00D866D7" w:rsidRPr="00405303" w:rsidRDefault="00D866D7" w:rsidP="00C15251">
      <w:pPr>
        <w:jc w:val="both"/>
        <w:rPr>
          <w:bCs/>
          <w:i/>
          <w:color w:val="002060"/>
          <w:sz w:val="16"/>
          <w:szCs w:val="16"/>
        </w:rPr>
      </w:pPr>
    </w:p>
    <w:p w14:paraId="2413D3D8" w14:textId="77777777" w:rsidR="00D866D7" w:rsidRPr="00405303" w:rsidRDefault="00D866D7" w:rsidP="00C15251">
      <w:pPr>
        <w:jc w:val="both"/>
        <w:rPr>
          <w:bCs/>
          <w:color w:val="002060"/>
          <w:sz w:val="16"/>
          <w:szCs w:val="16"/>
          <w:lang w:bidi="en-US"/>
        </w:rPr>
      </w:pPr>
      <w:r w:rsidRPr="00405303">
        <w:rPr>
          <w:bCs/>
          <w:color w:val="002060"/>
          <w:sz w:val="16"/>
          <w:szCs w:val="16"/>
          <w:lang w:bidi="en-US"/>
        </w:rPr>
        <w:t>29 августа 1915 г. началось формирование 3-й армии АО. Ушел на фронт 2 ноября 1915 года (23525).</w:t>
      </w:r>
    </w:p>
    <w:p w14:paraId="27B2C888" w14:textId="77777777" w:rsidR="00D866D7" w:rsidRPr="00405303" w:rsidRDefault="00D866D7" w:rsidP="00C15251">
      <w:pPr>
        <w:jc w:val="both"/>
        <w:rPr>
          <w:bCs/>
          <w:color w:val="002060"/>
          <w:sz w:val="16"/>
          <w:szCs w:val="16"/>
        </w:rPr>
      </w:pPr>
    </w:p>
    <w:p w14:paraId="5713A0BC" w14:textId="1C93D567" w:rsidR="00964D50" w:rsidRPr="00405303" w:rsidRDefault="00964D50" w:rsidP="00C15251">
      <w:pPr>
        <w:jc w:val="both"/>
        <w:rPr>
          <w:bCs/>
          <w:i/>
          <w:color w:val="002060"/>
          <w:sz w:val="16"/>
          <w:szCs w:val="16"/>
        </w:rPr>
      </w:pPr>
      <w:r w:rsidRPr="00405303">
        <w:rPr>
          <w:bCs/>
          <w:i/>
          <w:color w:val="002060"/>
          <w:sz w:val="16"/>
          <w:szCs w:val="16"/>
        </w:rPr>
        <w:t>За рубежом:</w:t>
      </w:r>
    </w:p>
    <w:p w14:paraId="270A3E6A" w14:textId="77777777" w:rsidR="00964D50" w:rsidRPr="00405303" w:rsidRDefault="00964D50" w:rsidP="00C15251">
      <w:pPr>
        <w:jc w:val="both"/>
        <w:rPr>
          <w:bCs/>
          <w:color w:val="002060"/>
          <w:sz w:val="16"/>
          <w:szCs w:val="16"/>
        </w:rPr>
      </w:pPr>
    </w:p>
    <w:p w14:paraId="4F09347C" w14:textId="29FA0F1B" w:rsidR="00964D50" w:rsidRPr="00405303" w:rsidRDefault="00964D50" w:rsidP="00C15251">
      <w:pPr>
        <w:jc w:val="both"/>
        <w:rPr>
          <w:bCs/>
          <w:color w:val="002060"/>
          <w:sz w:val="16"/>
          <w:szCs w:val="16"/>
        </w:rPr>
      </w:pPr>
      <w:r w:rsidRPr="00405303">
        <w:rPr>
          <w:bCs/>
          <w:color w:val="002060"/>
          <w:sz w:val="16"/>
          <w:szCs w:val="16"/>
        </w:rPr>
        <w:t xml:space="preserve">16 </w:t>
      </w:r>
      <w:r w:rsidR="007A2E85" w:rsidRPr="00405303">
        <w:rPr>
          <w:bCs/>
          <w:color w:val="002060"/>
          <w:sz w:val="16"/>
          <w:szCs w:val="16"/>
        </w:rPr>
        <w:t xml:space="preserve">(29) </w:t>
      </w:r>
      <w:r w:rsidRPr="00405303">
        <w:rPr>
          <w:bCs/>
          <w:color w:val="002060"/>
          <w:sz w:val="16"/>
          <w:szCs w:val="16"/>
        </w:rPr>
        <w:t>августа в 1915 году британский пассажирский пароход «Арабик «под командованием капитана У.Финча следовал из Ливерпуля в Нью-Йорк. В этот деньлайнер был потоплен без предупреждения германской субмариной «U 24», хотя у капитана лодки лейтенанта Шнейдера был приказ не топить без предупреждения пассажирские корабли. Впоследствии командир субмарины докладывал, что принял следование лайнера противолодочным зигзагом за попытку тарана его лодки. Была выпущена одна торпеда и через десять минут лайнер «Арабик» затонул. Из 429 человек находившихся на борту лайнера 389 были спасены (14985).</w:t>
      </w:r>
    </w:p>
    <w:p w14:paraId="2F2F59EE" w14:textId="77777777" w:rsidR="00964D50" w:rsidRPr="00405303" w:rsidRDefault="00964D50" w:rsidP="00C15251">
      <w:pPr>
        <w:jc w:val="both"/>
        <w:rPr>
          <w:bCs/>
          <w:color w:val="002060"/>
          <w:sz w:val="16"/>
          <w:szCs w:val="16"/>
        </w:rPr>
      </w:pPr>
    </w:p>
    <w:p w14:paraId="2363A87D" w14:textId="1C4CB079" w:rsidR="00DE5F3B" w:rsidRPr="00405303" w:rsidRDefault="00DE5F3B" w:rsidP="00C15251">
      <w:pPr>
        <w:jc w:val="both"/>
        <w:rPr>
          <w:bCs/>
          <w:i/>
          <w:color w:val="002060"/>
          <w:sz w:val="16"/>
          <w:szCs w:val="16"/>
        </w:rPr>
      </w:pPr>
      <w:bookmarkStart w:id="223" w:name="_Hlk55921819"/>
      <w:r w:rsidRPr="00405303">
        <w:rPr>
          <w:bCs/>
          <w:i/>
          <w:color w:val="002060"/>
          <w:sz w:val="16"/>
          <w:szCs w:val="16"/>
        </w:rPr>
        <w:t>Самолетостроение:</w:t>
      </w:r>
    </w:p>
    <w:p w14:paraId="41437FCD" w14:textId="77777777" w:rsidR="00DE5F3B" w:rsidRPr="00405303" w:rsidRDefault="00DE5F3B" w:rsidP="00C15251">
      <w:pPr>
        <w:jc w:val="both"/>
        <w:rPr>
          <w:bCs/>
          <w:color w:val="002060"/>
          <w:sz w:val="16"/>
          <w:szCs w:val="16"/>
        </w:rPr>
      </w:pPr>
    </w:p>
    <w:p w14:paraId="7734F7EB" w14:textId="30A2242D"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17 (30) </w:t>
      </w:r>
      <w:r w:rsidRPr="00405303">
        <w:rPr>
          <w:rFonts w:eastAsia="TimesNewRoman"/>
          <w:bCs/>
          <w:color w:val="002060"/>
          <w:sz w:val="16"/>
          <w:szCs w:val="16"/>
        </w:rPr>
        <w:t xml:space="preserve">августа </w:t>
      </w:r>
      <w:r w:rsidRPr="00405303">
        <w:rPr>
          <w:rFonts w:eastAsia="Times-Roman"/>
          <w:bCs/>
          <w:color w:val="002060"/>
          <w:sz w:val="16"/>
          <w:szCs w:val="16"/>
        </w:rPr>
        <w:t xml:space="preserve">1915 </w:t>
      </w:r>
      <w:r w:rsidRPr="00405303">
        <w:rPr>
          <w:rFonts w:eastAsia="TimesNewRoman"/>
          <w:bCs/>
          <w:color w:val="002060"/>
          <w:sz w:val="16"/>
          <w:szCs w:val="16"/>
        </w:rPr>
        <w:t>г</w:t>
      </w:r>
      <w:r w:rsidRPr="00405303">
        <w:rPr>
          <w:rFonts w:eastAsia="Times-Roman"/>
          <w:bCs/>
          <w:color w:val="002060"/>
          <w:sz w:val="16"/>
          <w:szCs w:val="16"/>
        </w:rPr>
        <w:t xml:space="preserve">. </w:t>
      </w:r>
      <w:r w:rsidR="007A2E85" w:rsidRPr="00405303">
        <w:rPr>
          <w:rFonts w:eastAsia="Times-Roman"/>
          <w:bCs/>
          <w:color w:val="002060"/>
          <w:sz w:val="16"/>
          <w:szCs w:val="16"/>
        </w:rPr>
        <w:t>п</w:t>
      </w:r>
      <w:r w:rsidRPr="00405303">
        <w:rPr>
          <w:rFonts w:eastAsia="TimesNewRoman"/>
          <w:bCs/>
          <w:color w:val="002060"/>
          <w:sz w:val="16"/>
          <w:szCs w:val="16"/>
        </w:rPr>
        <w:t xml:space="preserve">осле реорганизации по закону 57 совещание стало именоваться </w:t>
      </w:r>
      <w:r w:rsidRPr="00405303">
        <w:rPr>
          <w:rFonts w:eastAsia="Times-Roman"/>
          <w:bCs/>
          <w:color w:val="002060"/>
          <w:sz w:val="16"/>
          <w:szCs w:val="16"/>
        </w:rPr>
        <w:t xml:space="preserve">– </w:t>
      </w:r>
      <w:r w:rsidRPr="00405303">
        <w:rPr>
          <w:rFonts w:eastAsia="TimesNewRoman"/>
          <w:bCs/>
          <w:color w:val="002060"/>
          <w:sz w:val="16"/>
          <w:szCs w:val="16"/>
        </w:rPr>
        <w:t xml:space="preserve">Особое совещание для обсуждения и объединения мероприятий по обороне государства </w:t>
      </w:r>
      <w:r w:rsidRPr="00405303">
        <w:rPr>
          <w:rFonts w:eastAsia="Times-Roman"/>
          <w:bCs/>
          <w:color w:val="002060"/>
          <w:sz w:val="16"/>
          <w:szCs w:val="16"/>
        </w:rPr>
        <w:t>(</w:t>
      </w:r>
      <w:r w:rsidRPr="00405303">
        <w:rPr>
          <w:rFonts w:eastAsia="TimesNewRoman"/>
          <w:bCs/>
          <w:color w:val="002060"/>
          <w:sz w:val="16"/>
          <w:szCs w:val="16"/>
        </w:rPr>
        <w:t>Особое совещание по обороне</w:t>
      </w:r>
      <w:r w:rsidRPr="00405303">
        <w:rPr>
          <w:rFonts w:eastAsia="Times-Roman"/>
          <w:bCs/>
          <w:color w:val="002060"/>
          <w:sz w:val="16"/>
          <w:szCs w:val="16"/>
        </w:rPr>
        <w:t xml:space="preserve">). </w:t>
      </w:r>
      <w:r w:rsidRPr="00405303">
        <w:rPr>
          <w:rFonts w:eastAsia="TimesNewRoman"/>
          <w:bCs/>
          <w:color w:val="002060"/>
          <w:sz w:val="16"/>
          <w:szCs w:val="16"/>
        </w:rPr>
        <w:t>Его полномочия по регулирующему воздействию на различные стороны военно</w:t>
      </w:r>
      <w:r w:rsidRPr="00405303">
        <w:rPr>
          <w:rFonts w:eastAsia="Times-Roman"/>
          <w:bCs/>
          <w:color w:val="002060"/>
          <w:sz w:val="16"/>
          <w:szCs w:val="16"/>
        </w:rPr>
        <w:t>-</w:t>
      </w:r>
      <w:r w:rsidRPr="00405303">
        <w:rPr>
          <w:rFonts w:eastAsia="TimesNewRoman"/>
          <w:bCs/>
          <w:color w:val="002060"/>
          <w:sz w:val="16"/>
          <w:szCs w:val="16"/>
        </w:rPr>
        <w:t>хозяйственного комплекса страны были существенно расширены</w:t>
      </w:r>
      <w:r w:rsidRPr="00405303">
        <w:rPr>
          <w:rFonts w:eastAsia="Times-Roman"/>
          <w:bCs/>
          <w:color w:val="002060"/>
          <w:sz w:val="16"/>
          <w:szCs w:val="16"/>
        </w:rPr>
        <w:t>.</w:t>
      </w:r>
    </w:p>
    <w:p w14:paraId="4617E396"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Основными задачами Особого совещания по обороне были определены</w:t>
      </w:r>
      <w:r w:rsidRPr="00405303">
        <w:rPr>
          <w:rFonts w:eastAsia="Times-Roman"/>
          <w:bCs/>
          <w:color w:val="002060"/>
          <w:sz w:val="16"/>
          <w:szCs w:val="16"/>
        </w:rPr>
        <w:t>:</w:t>
      </w:r>
    </w:p>
    <w:p w14:paraId="1D82DD04"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w:t>
      </w:r>
      <w:r w:rsidRPr="00405303">
        <w:rPr>
          <w:rFonts w:eastAsia="TimesNewRoman"/>
          <w:bCs/>
          <w:color w:val="002060"/>
          <w:sz w:val="16"/>
          <w:szCs w:val="16"/>
        </w:rPr>
        <w:t>высший надзор</w:t>
      </w:r>
      <w:r w:rsidRPr="00405303">
        <w:rPr>
          <w:rFonts w:eastAsia="Times-Roman"/>
          <w:bCs/>
          <w:color w:val="002060"/>
          <w:sz w:val="16"/>
          <w:szCs w:val="16"/>
        </w:rPr>
        <w:t xml:space="preserve">» </w:t>
      </w:r>
      <w:r w:rsidRPr="00405303">
        <w:rPr>
          <w:rFonts w:eastAsia="TimesNewRoman"/>
          <w:bCs/>
          <w:color w:val="002060"/>
          <w:sz w:val="16"/>
          <w:szCs w:val="16"/>
        </w:rPr>
        <w:t>за деятельностью предприятий всех форм собственности</w:t>
      </w:r>
      <w:r w:rsidRPr="00405303">
        <w:rPr>
          <w:rFonts w:eastAsia="Times-Roman"/>
          <w:bCs/>
          <w:color w:val="002060"/>
          <w:sz w:val="16"/>
          <w:szCs w:val="16"/>
        </w:rPr>
        <w:t xml:space="preserve">, </w:t>
      </w:r>
      <w:r w:rsidRPr="00405303">
        <w:rPr>
          <w:rFonts w:eastAsia="TimesNewRoman"/>
          <w:bCs/>
          <w:color w:val="002060"/>
          <w:sz w:val="16"/>
          <w:szCs w:val="16"/>
        </w:rPr>
        <w:t>выполняющих военные заказы</w:t>
      </w:r>
      <w:r w:rsidRPr="00405303">
        <w:rPr>
          <w:rFonts w:eastAsia="Times-Roman"/>
          <w:bCs/>
          <w:color w:val="002060"/>
          <w:sz w:val="16"/>
          <w:szCs w:val="16"/>
        </w:rPr>
        <w:t>;</w:t>
      </w:r>
    </w:p>
    <w:p w14:paraId="4065AF08"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содействие строительству новых заводов</w:t>
      </w:r>
      <w:r w:rsidRPr="00405303">
        <w:rPr>
          <w:rFonts w:eastAsia="Times-Roman"/>
          <w:bCs/>
          <w:color w:val="002060"/>
          <w:sz w:val="16"/>
          <w:szCs w:val="16"/>
        </w:rPr>
        <w:t>, «</w:t>
      </w:r>
      <w:r w:rsidRPr="00405303">
        <w:rPr>
          <w:rFonts w:eastAsia="TimesNewRoman"/>
          <w:bCs/>
          <w:color w:val="002060"/>
          <w:sz w:val="16"/>
          <w:szCs w:val="16"/>
        </w:rPr>
        <w:t>а равно переустройству</w:t>
      </w:r>
      <w:r w:rsidRPr="00405303">
        <w:rPr>
          <w:rFonts w:eastAsia="Times-Roman"/>
          <w:bCs/>
          <w:color w:val="002060"/>
          <w:sz w:val="16"/>
          <w:szCs w:val="16"/>
        </w:rPr>
        <w:t xml:space="preserve">, </w:t>
      </w:r>
      <w:r w:rsidRPr="00405303">
        <w:rPr>
          <w:rFonts w:eastAsia="TimesNewRoman"/>
          <w:bCs/>
          <w:color w:val="002060"/>
          <w:sz w:val="16"/>
          <w:szCs w:val="16"/>
        </w:rPr>
        <w:t>расширению и правильному ходу деятельности существующих</w:t>
      </w:r>
      <w:r w:rsidRPr="00405303">
        <w:rPr>
          <w:rFonts w:eastAsia="Times-Roman"/>
          <w:bCs/>
          <w:color w:val="002060"/>
          <w:sz w:val="16"/>
          <w:szCs w:val="16"/>
        </w:rPr>
        <w:t>»;</w:t>
      </w:r>
    </w:p>
    <w:p w14:paraId="17F891D0"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распределение заказов между русскими и иностранными заводами</w:t>
      </w:r>
      <w:r w:rsidRPr="00405303">
        <w:rPr>
          <w:rFonts w:eastAsia="Times-Roman"/>
          <w:bCs/>
          <w:color w:val="002060"/>
          <w:sz w:val="16"/>
          <w:szCs w:val="16"/>
        </w:rPr>
        <w:t>;</w:t>
      </w:r>
    </w:p>
    <w:p w14:paraId="35FE8C1D"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контроль за ходом выполнения заказов</w:t>
      </w:r>
      <w:r w:rsidRPr="00405303">
        <w:rPr>
          <w:rFonts w:eastAsia="Times-Roman"/>
          <w:bCs/>
          <w:color w:val="002060"/>
          <w:sz w:val="16"/>
          <w:szCs w:val="16"/>
        </w:rPr>
        <w:t>.</w:t>
      </w:r>
    </w:p>
    <w:p w14:paraId="01520D2E"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Исходя из этих задач можно выделить следующие направления деятельности Особого совещания</w:t>
      </w:r>
      <w:r w:rsidRPr="00405303">
        <w:rPr>
          <w:rFonts w:eastAsia="Times-Roman"/>
          <w:bCs/>
          <w:color w:val="002060"/>
          <w:sz w:val="16"/>
          <w:szCs w:val="16"/>
        </w:rPr>
        <w:t>:</w:t>
      </w:r>
    </w:p>
    <w:p w14:paraId="43D04C9E"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планирование заготовительной деятельности довольствующих управлений военного ведомства</w:t>
      </w:r>
      <w:r w:rsidRPr="00405303">
        <w:rPr>
          <w:rFonts w:eastAsia="Times-Roman"/>
          <w:bCs/>
          <w:color w:val="002060"/>
          <w:sz w:val="16"/>
          <w:szCs w:val="16"/>
        </w:rPr>
        <w:t>;</w:t>
      </w:r>
    </w:p>
    <w:p w14:paraId="29181800"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w:t>
      </w:r>
      <w:r w:rsidRPr="00405303">
        <w:rPr>
          <w:rFonts w:eastAsia="TimesNewRoman"/>
          <w:bCs/>
          <w:color w:val="002060"/>
          <w:sz w:val="16"/>
          <w:szCs w:val="16"/>
        </w:rPr>
        <w:t>создание условий для перевода промышленных предприятий на производство продукции военного назначения</w:t>
      </w:r>
      <w:r w:rsidRPr="00405303">
        <w:rPr>
          <w:rFonts w:eastAsia="Times-Roman"/>
          <w:bCs/>
          <w:color w:val="002060"/>
          <w:sz w:val="16"/>
          <w:szCs w:val="16"/>
        </w:rPr>
        <w:t>;</w:t>
      </w:r>
    </w:p>
    <w:p w14:paraId="1C5D8BB3"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организация контроля за деятельностью предприятий и ходом выполнения заготовительных планов ведомств</w:t>
      </w:r>
      <w:r w:rsidRPr="00405303">
        <w:rPr>
          <w:rFonts w:eastAsia="Times-Roman"/>
          <w:bCs/>
          <w:color w:val="002060"/>
          <w:sz w:val="16"/>
          <w:szCs w:val="16"/>
        </w:rPr>
        <w:t>;</w:t>
      </w:r>
    </w:p>
    <w:p w14:paraId="4BC50162"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содействие развитию новых отраслей промышленности</w:t>
      </w:r>
      <w:r w:rsidRPr="00405303">
        <w:rPr>
          <w:rFonts w:eastAsia="Times-Roman"/>
          <w:bCs/>
          <w:color w:val="002060"/>
          <w:sz w:val="16"/>
          <w:szCs w:val="16"/>
        </w:rPr>
        <w:t xml:space="preserve">, </w:t>
      </w:r>
      <w:r w:rsidRPr="00405303">
        <w:rPr>
          <w:rFonts w:eastAsia="TimesNewRoman"/>
          <w:bCs/>
          <w:color w:val="002060"/>
          <w:sz w:val="16"/>
          <w:szCs w:val="16"/>
        </w:rPr>
        <w:t>строительству новых предприятий</w:t>
      </w:r>
      <w:r w:rsidRPr="00405303">
        <w:rPr>
          <w:rFonts w:eastAsia="Times-Roman"/>
          <w:bCs/>
          <w:color w:val="002060"/>
          <w:sz w:val="16"/>
          <w:szCs w:val="16"/>
        </w:rPr>
        <w:t>;</w:t>
      </w:r>
    </w:p>
    <w:p w14:paraId="5FD2DEA5"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обеспечение народного хозяйства рабочей силой</w:t>
      </w:r>
      <w:r w:rsidRPr="00405303">
        <w:rPr>
          <w:rFonts w:eastAsia="Times-Roman"/>
          <w:bCs/>
          <w:color w:val="002060"/>
          <w:sz w:val="16"/>
          <w:szCs w:val="16"/>
        </w:rPr>
        <w:t>;</w:t>
      </w:r>
    </w:p>
    <w:p w14:paraId="37B45C2C"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вопросы работы транспорта и доставки военных грузов из</w:t>
      </w:r>
      <w:r w:rsidRPr="00405303">
        <w:rPr>
          <w:rFonts w:eastAsia="Times-Roman"/>
          <w:bCs/>
          <w:color w:val="002060"/>
          <w:sz w:val="16"/>
          <w:szCs w:val="16"/>
        </w:rPr>
        <w:t>-</w:t>
      </w:r>
      <w:r w:rsidRPr="00405303">
        <w:rPr>
          <w:rFonts w:eastAsia="TimesNewRoman"/>
          <w:bCs/>
          <w:color w:val="002060"/>
          <w:sz w:val="16"/>
          <w:szCs w:val="16"/>
        </w:rPr>
        <w:t>за границы</w:t>
      </w:r>
      <w:r w:rsidRPr="00405303">
        <w:rPr>
          <w:rFonts w:eastAsia="Times-Roman"/>
          <w:bCs/>
          <w:color w:val="002060"/>
          <w:sz w:val="16"/>
          <w:szCs w:val="16"/>
        </w:rPr>
        <w:t>;</w:t>
      </w:r>
    </w:p>
    <w:p w14:paraId="1D40E3F8"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содействие эвакуации промышленных предприятий</w:t>
      </w:r>
      <w:r w:rsidRPr="00405303">
        <w:rPr>
          <w:rFonts w:eastAsia="Times-Roman"/>
          <w:bCs/>
          <w:color w:val="002060"/>
          <w:sz w:val="16"/>
          <w:szCs w:val="16"/>
        </w:rPr>
        <w:t>;</w:t>
      </w:r>
    </w:p>
    <w:p w14:paraId="5D766EB8"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реквизиции и секвестр</w:t>
      </w:r>
      <w:r w:rsidRPr="00405303">
        <w:rPr>
          <w:rFonts w:eastAsia="Times-Roman"/>
          <w:bCs/>
          <w:color w:val="002060"/>
          <w:sz w:val="16"/>
          <w:szCs w:val="16"/>
        </w:rPr>
        <w:t>;</w:t>
      </w:r>
    </w:p>
    <w:p w14:paraId="23826994"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организация снабжения промышленности металлами</w:t>
      </w:r>
      <w:r w:rsidRPr="00405303">
        <w:rPr>
          <w:rFonts w:eastAsia="Times-Roman"/>
          <w:bCs/>
          <w:color w:val="002060"/>
          <w:sz w:val="16"/>
          <w:szCs w:val="16"/>
        </w:rPr>
        <w:t>;</w:t>
      </w:r>
    </w:p>
    <w:p w14:paraId="5D191959"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организация заграничного снабжения</w:t>
      </w:r>
      <w:r w:rsidRPr="00405303">
        <w:rPr>
          <w:rFonts w:eastAsia="Times-Roman"/>
          <w:bCs/>
          <w:color w:val="002060"/>
          <w:sz w:val="16"/>
          <w:szCs w:val="16"/>
        </w:rPr>
        <w:t>;</w:t>
      </w:r>
    </w:p>
    <w:p w14:paraId="26EE4938"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содействие заготовительной деятельности довольствующих управлений военного ведомства</w:t>
      </w:r>
      <w:r w:rsidRPr="00405303">
        <w:rPr>
          <w:rFonts w:eastAsia="Times-Roman"/>
          <w:bCs/>
          <w:color w:val="002060"/>
          <w:sz w:val="16"/>
          <w:szCs w:val="16"/>
        </w:rPr>
        <w:t>;</w:t>
      </w:r>
    </w:p>
    <w:p w14:paraId="1E7BB3AD"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использование потенциала средней и мелкой промышленности в интересах обороны путем взаимодействия с общественными организациями</w:t>
      </w:r>
      <w:r w:rsidRPr="00405303">
        <w:rPr>
          <w:rFonts w:eastAsia="Times-Roman"/>
          <w:bCs/>
          <w:color w:val="002060"/>
          <w:sz w:val="16"/>
          <w:szCs w:val="16"/>
        </w:rPr>
        <w:t>.</w:t>
      </w:r>
    </w:p>
    <w:p w14:paraId="0AA8AE85"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Масштабы заготовительной деятельности довольствующих управлений Военного министерства</w:t>
      </w:r>
      <w:r w:rsidRPr="00405303">
        <w:rPr>
          <w:rFonts w:eastAsia="Times-Roman"/>
          <w:bCs/>
          <w:color w:val="002060"/>
          <w:sz w:val="16"/>
          <w:szCs w:val="16"/>
        </w:rPr>
        <w:t xml:space="preserve">, </w:t>
      </w:r>
      <w:r w:rsidRPr="00405303">
        <w:rPr>
          <w:rFonts w:eastAsia="TimesNewRoman"/>
          <w:bCs/>
          <w:color w:val="002060"/>
          <w:sz w:val="16"/>
          <w:szCs w:val="16"/>
        </w:rPr>
        <w:t>гигантские размеры финансовых средств</w:t>
      </w:r>
      <w:r w:rsidRPr="00405303">
        <w:rPr>
          <w:rFonts w:eastAsia="Times-Roman"/>
          <w:bCs/>
          <w:color w:val="002060"/>
          <w:sz w:val="16"/>
          <w:szCs w:val="16"/>
        </w:rPr>
        <w:t xml:space="preserve">, </w:t>
      </w:r>
      <w:r w:rsidRPr="00405303">
        <w:rPr>
          <w:rFonts w:eastAsia="TimesNewRoman"/>
          <w:bCs/>
          <w:color w:val="002060"/>
          <w:sz w:val="16"/>
          <w:szCs w:val="16"/>
        </w:rPr>
        <w:t>требующиеся для этого</w:t>
      </w:r>
      <w:r w:rsidRPr="00405303">
        <w:rPr>
          <w:rFonts w:eastAsia="Times-Roman"/>
          <w:bCs/>
          <w:color w:val="002060"/>
          <w:sz w:val="16"/>
          <w:szCs w:val="16"/>
        </w:rPr>
        <w:t xml:space="preserve">, </w:t>
      </w:r>
      <w:r w:rsidRPr="00405303">
        <w:rPr>
          <w:rFonts w:eastAsia="TimesNewRoman"/>
          <w:bCs/>
          <w:color w:val="002060"/>
          <w:sz w:val="16"/>
          <w:szCs w:val="16"/>
        </w:rPr>
        <w:t>заставили Особое совещание по обороне заняться планированием этой деятельности</w:t>
      </w:r>
      <w:r w:rsidRPr="00405303">
        <w:rPr>
          <w:rFonts w:eastAsia="Times-Roman"/>
          <w:bCs/>
          <w:color w:val="002060"/>
          <w:sz w:val="16"/>
          <w:szCs w:val="16"/>
        </w:rPr>
        <w:t>.</w:t>
      </w:r>
    </w:p>
    <w:p w14:paraId="043BE06A"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 xml:space="preserve">Планирование заказов осуществлялось на основании расчетов довольствующих управлений </w:t>
      </w:r>
      <w:r w:rsidRPr="00405303">
        <w:rPr>
          <w:rFonts w:eastAsia="Times-Roman"/>
          <w:bCs/>
          <w:color w:val="002060"/>
          <w:sz w:val="16"/>
          <w:szCs w:val="16"/>
        </w:rPr>
        <w:t xml:space="preserve">– </w:t>
      </w:r>
      <w:r w:rsidRPr="00405303">
        <w:rPr>
          <w:rFonts w:eastAsia="TimesNewRoman"/>
          <w:bCs/>
          <w:color w:val="002060"/>
          <w:sz w:val="16"/>
          <w:szCs w:val="16"/>
        </w:rPr>
        <w:t>артиллерийского</w:t>
      </w:r>
      <w:r w:rsidRPr="00405303">
        <w:rPr>
          <w:rFonts w:eastAsia="Times-Roman"/>
          <w:bCs/>
          <w:color w:val="002060"/>
          <w:sz w:val="16"/>
          <w:szCs w:val="16"/>
        </w:rPr>
        <w:t xml:space="preserve">, </w:t>
      </w:r>
      <w:r w:rsidRPr="00405303">
        <w:rPr>
          <w:rFonts w:eastAsia="TimesNewRoman"/>
          <w:bCs/>
          <w:color w:val="002060"/>
          <w:sz w:val="16"/>
          <w:szCs w:val="16"/>
        </w:rPr>
        <w:t>военно</w:t>
      </w:r>
      <w:r w:rsidRPr="00405303">
        <w:rPr>
          <w:rFonts w:eastAsia="Times-Roman"/>
          <w:bCs/>
          <w:color w:val="002060"/>
          <w:sz w:val="16"/>
          <w:szCs w:val="16"/>
        </w:rPr>
        <w:t>-</w:t>
      </w:r>
      <w:r w:rsidRPr="00405303">
        <w:rPr>
          <w:rFonts w:eastAsia="TimesNewRoman"/>
          <w:bCs/>
          <w:color w:val="002060"/>
          <w:sz w:val="16"/>
          <w:szCs w:val="16"/>
        </w:rPr>
        <w:t>технического</w:t>
      </w:r>
      <w:r w:rsidRPr="00405303">
        <w:rPr>
          <w:rFonts w:eastAsia="Times-Roman"/>
          <w:bCs/>
          <w:color w:val="002060"/>
          <w:sz w:val="16"/>
          <w:szCs w:val="16"/>
        </w:rPr>
        <w:t xml:space="preserve">, </w:t>
      </w:r>
      <w:r w:rsidRPr="00405303">
        <w:rPr>
          <w:rFonts w:eastAsia="TimesNewRoman"/>
          <w:bCs/>
          <w:color w:val="002060"/>
          <w:sz w:val="16"/>
          <w:szCs w:val="16"/>
        </w:rPr>
        <w:t>интендантского и военно</w:t>
      </w:r>
      <w:r w:rsidRPr="00405303">
        <w:rPr>
          <w:rFonts w:eastAsia="Times-Roman"/>
          <w:bCs/>
          <w:color w:val="002060"/>
          <w:sz w:val="16"/>
          <w:szCs w:val="16"/>
        </w:rPr>
        <w:t>-</w:t>
      </w:r>
      <w:r w:rsidRPr="00405303">
        <w:rPr>
          <w:rFonts w:eastAsia="TimesNewRoman"/>
          <w:bCs/>
          <w:color w:val="002060"/>
          <w:sz w:val="16"/>
          <w:szCs w:val="16"/>
        </w:rPr>
        <w:t>санитарного</w:t>
      </w:r>
      <w:r w:rsidRPr="00405303">
        <w:rPr>
          <w:rFonts w:eastAsia="Times-Roman"/>
          <w:bCs/>
          <w:color w:val="002060"/>
          <w:sz w:val="16"/>
          <w:szCs w:val="16"/>
        </w:rPr>
        <w:t xml:space="preserve">. </w:t>
      </w:r>
      <w:r w:rsidRPr="00405303">
        <w:rPr>
          <w:rFonts w:eastAsia="TimesNewRoman"/>
          <w:bCs/>
          <w:color w:val="002060"/>
          <w:sz w:val="16"/>
          <w:szCs w:val="16"/>
        </w:rPr>
        <w:t>Исходными данными таких расчетов становились</w:t>
      </w:r>
      <w:r w:rsidRPr="00405303">
        <w:rPr>
          <w:rFonts w:eastAsia="Times-Roman"/>
          <w:bCs/>
          <w:color w:val="002060"/>
          <w:sz w:val="16"/>
          <w:szCs w:val="16"/>
        </w:rPr>
        <w:t xml:space="preserve">: </w:t>
      </w:r>
      <w:r w:rsidRPr="00405303">
        <w:rPr>
          <w:rFonts w:eastAsia="TimesNewRoman"/>
          <w:bCs/>
          <w:color w:val="002060"/>
          <w:sz w:val="16"/>
          <w:szCs w:val="16"/>
        </w:rPr>
        <w:t xml:space="preserve">существовавшие нормы снабжения предметами довольствия и количество расчетных единиц </w:t>
      </w:r>
      <w:r w:rsidRPr="00405303">
        <w:rPr>
          <w:rFonts w:eastAsia="Times-Roman"/>
          <w:bCs/>
          <w:color w:val="002060"/>
          <w:sz w:val="16"/>
          <w:szCs w:val="16"/>
        </w:rPr>
        <w:t>(</w:t>
      </w:r>
      <w:r w:rsidRPr="00405303">
        <w:rPr>
          <w:rFonts w:eastAsia="TimesNewRoman"/>
          <w:bCs/>
          <w:color w:val="002060"/>
          <w:sz w:val="16"/>
          <w:szCs w:val="16"/>
        </w:rPr>
        <w:t>подразделений</w:t>
      </w:r>
      <w:r w:rsidRPr="00405303">
        <w:rPr>
          <w:rFonts w:eastAsia="Times-Roman"/>
          <w:bCs/>
          <w:color w:val="002060"/>
          <w:sz w:val="16"/>
          <w:szCs w:val="16"/>
        </w:rPr>
        <w:t xml:space="preserve">, </w:t>
      </w:r>
      <w:r w:rsidRPr="00405303">
        <w:rPr>
          <w:rFonts w:eastAsia="TimesNewRoman"/>
          <w:bCs/>
          <w:color w:val="002060"/>
          <w:sz w:val="16"/>
          <w:szCs w:val="16"/>
        </w:rPr>
        <w:t>частей</w:t>
      </w:r>
      <w:r w:rsidRPr="00405303">
        <w:rPr>
          <w:rFonts w:eastAsia="Times-Roman"/>
          <w:bCs/>
          <w:color w:val="002060"/>
          <w:sz w:val="16"/>
          <w:szCs w:val="16"/>
        </w:rPr>
        <w:t xml:space="preserve">, </w:t>
      </w:r>
      <w:r w:rsidRPr="00405303">
        <w:rPr>
          <w:rFonts w:eastAsia="TimesNewRoman"/>
          <w:bCs/>
          <w:color w:val="002060"/>
          <w:sz w:val="16"/>
          <w:szCs w:val="16"/>
        </w:rPr>
        <w:t>соединений</w:t>
      </w:r>
      <w:r w:rsidRPr="00405303">
        <w:rPr>
          <w:rFonts w:eastAsia="Times-Roman"/>
          <w:bCs/>
          <w:color w:val="002060"/>
          <w:sz w:val="16"/>
          <w:szCs w:val="16"/>
        </w:rPr>
        <w:t xml:space="preserve">), </w:t>
      </w:r>
      <w:r w:rsidRPr="00405303">
        <w:rPr>
          <w:rFonts w:eastAsia="TimesNewRoman"/>
          <w:bCs/>
          <w:color w:val="002060"/>
          <w:sz w:val="16"/>
          <w:szCs w:val="16"/>
        </w:rPr>
        <w:t>количество планировавшихся новых формирований тех или иных родов войск</w:t>
      </w:r>
      <w:r w:rsidRPr="00405303">
        <w:rPr>
          <w:rFonts w:eastAsia="Times-Roman"/>
          <w:bCs/>
          <w:color w:val="002060"/>
          <w:sz w:val="16"/>
          <w:szCs w:val="16"/>
        </w:rPr>
        <w:t xml:space="preserve">, </w:t>
      </w:r>
      <w:r w:rsidRPr="00405303">
        <w:rPr>
          <w:rFonts w:eastAsia="TimesNewRoman"/>
          <w:bCs/>
          <w:color w:val="002060"/>
          <w:sz w:val="16"/>
          <w:szCs w:val="16"/>
        </w:rPr>
        <w:t>ежемесячная убыль предметов довольствия по опыту боевых действий</w:t>
      </w:r>
      <w:r w:rsidRPr="00405303">
        <w:rPr>
          <w:rFonts w:eastAsia="Times-Roman"/>
          <w:bCs/>
          <w:color w:val="002060"/>
          <w:sz w:val="16"/>
          <w:szCs w:val="16"/>
        </w:rPr>
        <w:t xml:space="preserve">, </w:t>
      </w:r>
      <w:r w:rsidRPr="00405303">
        <w:rPr>
          <w:rFonts w:eastAsia="TimesNewRoman"/>
          <w:bCs/>
          <w:color w:val="002060"/>
          <w:sz w:val="16"/>
          <w:szCs w:val="16"/>
        </w:rPr>
        <w:t>типы заказываемых предметов снабжения</w:t>
      </w:r>
      <w:r w:rsidRPr="00405303">
        <w:rPr>
          <w:rFonts w:eastAsia="Times-Roman"/>
          <w:bCs/>
          <w:color w:val="002060"/>
          <w:sz w:val="16"/>
          <w:szCs w:val="16"/>
        </w:rPr>
        <w:t xml:space="preserve">, </w:t>
      </w:r>
      <w:r w:rsidRPr="00405303">
        <w:rPr>
          <w:rFonts w:eastAsia="TimesNewRoman"/>
          <w:bCs/>
          <w:color w:val="002060"/>
          <w:sz w:val="16"/>
          <w:szCs w:val="16"/>
        </w:rPr>
        <w:t>мощности отечественных предприятий по производству данного вида продукции</w:t>
      </w:r>
      <w:r w:rsidRPr="00405303">
        <w:rPr>
          <w:rFonts w:eastAsia="Times-Roman"/>
          <w:bCs/>
          <w:color w:val="002060"/>
          <w:sz w:val="16"/>
          <w:szCs w:val="16"/>
        </w:rPr>
        <w:t xml:space="preserve">. </w:t>
      </w:r>
      <w:r w:rsidRPr="00405303">
        <w:rPr>
          <w:rFonts w:eastAsia="TimesNewRoman"/>
          <w:bCs/>
          <w:color w:val="002060"/>
          <w:sz w:val="16"/>
          <w:szCs w:val="16"/>
        </w:rPr>
        <w:t>Кроме того</w:t>
      </w:r>
      <w:r w:rsidRPr="00405303">
        <w:rPr>
          <w:rFonts w:eastAsia="Times-Roman"/>
          <w:bCs/>
          <w:color w:val="002060"/>
          <w:sz w:val="16"/>
          <w:szCs w:val="16"/>
        </w:rPr>
        <w:t xml:space="preserve">, </w:t>
      </w:r>
      <w:r w:rsidRPr="00405303">
        <w:rPr>
          <w:rFonts w:eastAsia="TimesNewRoman"/>
          <w:bCs/>
          <w:color w:val="002060"/>
          <w:sz w:val="16"/>
          <w:szCs w:val="16"/>
        </w:rPr>
        <w:t>при наличии возможностей промышленности</w:t>
      </w:r>
      <w:r w:rsidRPr="00405303">
        <w:rPr>
          <w:rFonts w:eastAsia="Times-Roman"/>
          <w:bCs/>
          <w:color w:val="002060"/>
          <w:sz w:val="16"/>
          <w:szCs w:val="16"/>
        </w:rPr>
        <w:t xml:space="preserve">, </w:t>
      </w:r>
      <w:r w:rsidRPr="00405303">
        <w:rPr>
          <w:rFonts w:eastAsia="TimesNewRoman"/>
          <w:bCs/>
          <w:color w:val="002060"/>
          <w:sz w:val="16"/>
          <w:szCs w:val="16"/>
        </w:rPr>
        <w:t>планировалось также создание войсковых и тыловых запасов</w:t>
      </w:r>
      <w:r w:rsidRPr="00405303">
        <w:rPr>
          <w:rFonts w:eastAsia="Times-Roman"/>
          <w:bCs/>
          <w:color w:val="002060"/>
          <w:sz w:val="16"/>
          <w:szCs w:val="16"/>
        </w:rPr>
        <w:t>.</w:t>
      </w:r>
    </w:p>
    <w:p w14:paraId="081CE98D"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 xml:space="preserve">В общей сложности под контролем Особого совещания по обороне довольствующими управлениями Военного министерство были спланированы три заготовительные компании </w:t>
      </w:r>
      <w:r w:rsidRPr="00405303">
        <w:rPr>
          <w:rFonts w:eastAsia="Times-Roman"/>
          <w:bCs/>
          <w:color w:val="002060"/>
          <w:sz w:val="16"/>
          <w:szCs w:val="16"/>
        </w:rPr>
        <w:t xml:space="preserve">– </w:t>
      </w:r>
      <w:r w:rsidRPr="00405303">
        <w:rPr>
          <w:rFonts w:eastAsia="TimesNewRoman"/>
          <w:bCs/>
          <w:color w:val="002060"/>
          <w:sz w:val="16"/>
          <w:szCs w:val="16"/>
        </w:rPr>
        <w:t xml:space="preserve">с предельными сроками выполнения заказов до </w:t>
      </w:r>
      <w:r w:rsidRPr="00405303">
        <w:rPr>
          <w:rFonts w:eastAsia="Times-Roman"/>
          <w:bCs/>
          <w:color w:val="002060"/>
          <w:sz w:val="16"/>
          <w:szCs w:val="16"/>
        </w:rPr>
        <w:t xml:space="preserve">1 </w:t>
      </w:r>
      <w:r w:rsidRPr="00405303">
        <w:rPr>
          <w:rFonts w:eastAsia="TimesNewRoman"/>
          <w:bCs/>
          <w:color w:val="002060"/>
          <w:sz w:val="16"/>
          <w:szCs w:val="16"/>
        </w:rPr>
        <w:t xml:space="preserve">июня </w:t>
      </w:r>
      <w:r w:rsidRPr="00405303">
        <w:rPr>
          <w:rFonts w:eastAsia="Times-Roman"/>
          <w:bCs/>
          <w:color w:val="002060"/>
          <w:sz w:val="16"/>
          <w:szCs w:val="16"/>
        </w:rPr>
        <w:t xml:space="preserve">1916 </w:t>
      </w:r>
      <w:r w:rsidRPr="00405303">
        <w:rPr>
          <w:rFonts w:eastAsia="TimesNewRoman"/>
          <w:bCs/>
          <w:color w:val="002060"/>
          <w:sz w:val="16"/>
          <w:szCs w:val="16"/>
        </w:rPr>
        <w:t>г</w:t>
      </w:r>
      <w:r w:rsidRPr="00405303">
        <w:rPr>
          <w:rFonts w:eastAsia="Times-Roman"/>
          <w:bCs/>
          <w:color w:val="002060"/>
          <w:sz w:val="16"/>
          <w:szCs w:val="16"/>
        </w:rPr>
        <w:t xml:space="preserve">., 1 </w:t>
      </w:r>
      <w:r w:rsidRPr="00405303">
        <w:rPr>
          <w:rFonts w:eastAsia="TimesNewRoman"/>
          <w:bCs/>
          <w:color w:val="002060"/>
          <w:sz w:val="16"/>
          <w:szCs w:val="16"/>
        </w:rPr>
        <w:t xml:space="preserve">июля </w:t>
      </w:r>
      <w:r w:rsidRPr="00405303">
        <w:rPr>
          <w:rFonts w:eastAsia="Times-Roman"/>
          <w:bCs/>
          <w:color w:val="002060"/>
          <w:sz w:val="16"/>
          <w:szCs w:val="16"/>
        </w:rPr>
        <w:t xml:space="preserve">1917 </w:t>
      </w:r>
      <w:r w:rsidRPr="00405303">
        <w:rPr>
          <w:rFonts w:eastAsia="TimesNewRoman"/>
          <w:bCs/>
          <w:color w:val="002060"/>
          <w:sz w:val="16"/>
          <w:szCs w:val="16"/>
        </w:rPr>
        <w:t>г</w:t>
      </w:r>
      <w:r w:rsidRPr="00405303">
        <w:rPr>
          <w:rFonts w:eastAsia="Times-Roman"/>
          <w:bCs/>
          <w:color w:val="002060"/>
          <w:sz w:val="16"/>
          <w:szCs w:val="16"/>
        </w:rPr>
        <w:t xml:space="preserve">. </w:t>
      </w:r>
      <w:r w:rsidRPr="00405303">
        <w:rPr>
          <w:rFonts w:eastAsia="TimesNewRoman"/>
          <w:bCs/>
          <w:color w:val="002060"/>
          <w:sz w:val="16"/>
          <w:szCs w:val="16"/>
        </w:rPr>
        <w:t xml:space="preserve">и </w:t>
      </w:r>
      <w:r w:rsidRPr="00405303">
        <w:rPr>
          <w:rFonts w:eastAsia="Times-Roman"/>
          <w:bCs/>
          <w:color w:val="002060"/>
          <w:sz w:val="16"/>
          <w:szCs w:val="16"/>
        </w:rPr>
        <w:t xml:space="preserve">1 </w:t>
      </w:r>
      <w:r w:rsidRPr="00405303">
        <w:rPr>
          <w:rFonts w:eastAsia="TimesNewRoman"/>
          <w:bCs/>
          <w:color w:val="002060"/>
          <w:sz w:val="16"/>
          <w:szCs w:val="16"/>
        </w:rPr>
        <w:t xml:space="preserve">июля </w:t>
      </w:r>
      <w:r w:rsidRPr="00405303">
        <w:rPr>
          <w:rFonts w:eastAsia="Times-Roman"/>
          <w:bCs/>
          <w:color w:val="002060"/>
          <w:sz w:val="16"/>
          <w:szCs w:val="16"/>
        </w:rPr>
        <w:t xml:space="preserve">1918 </w:t>
      </w:r>
      <w:r w:rsidRPr="00405303">
        <w:rPr>
          <w:rFonts w:eastAsia="TimesNewRoman"/>
          <w:bCs/>
          <w:color w:val="002060"/>
          <w:sz w:val="16"/>
          <w:szCs w:val="16"/>
        </w:rPr>
        <w:t>г</w:t>
      </w:r>
      <w:r w:rsidRPr="00405303">
        <w:rPr>
          <w:rFonts w:eastAsia="Times-Roman"/>
          <w:bCs/>
          <w:color w:val="002060"/>
          <w:sz w:val="16"/>
          <w:szCs w:val="16"/>
        </w:rPr>
        <w:t>.</w:t>
      </w:r>
    </w:p>
    <w:p w14:paraId="58386BB0"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 xml:space="preserve">Важнейшим направлением деятельности Особого совещания по обороне стало привлечение к работе </w:t>
      </w:r>
      <w:r w:rsidRPr="00405303">
        <w:rPr>
          <w:rFonts w:eastAsia="Times-Roman"/>
          <w:bCs/>
          <w:color w:val="002060"/>
          <w:sz w:val="16"/>
          <w:szCs w:val="16"/>
        </w:rPr>
        <w:t>«</w:t>
      </w:r>
      <w:r w:rsidRPr="00405303">
        <w:rPr>
          <w:rFonts w:eastAsia="TimesNewRoman"/>
          <w:bCs/>
          <w:color w:val="002060"/>
          <w:sz w:val="16"/>
          <w:szCs w:val="16"/>
        </w:rPr>
        <w:t>на оборону</w:t>
      </w:r>
      <w:r w:rsidRPr="00405303">
        <w:rPr>
          <w:rFonts w:eastAsia="Times-Roman"/>
          <w:bCs/>
          <w:color w:val="002060"/>
          <w:sz w:val="16"/>
          <w:szCs w:val="16"/>
        </w:rPr>
        <w:t xml:space="preserve">» </w:t>
      </w:r>
      <w:r w:rsidRPr="00405303">
        <w:rPr>
          <w:rFonts w:eastAsia="TimesNewRoman"/>
          <w:bCs/>
          <w:color w:val="002060"/>
          <w:sz w:val="16"/>
          <w:szCs w:val="16"/>
        </w:rPr>
        <w:t>широкого круга предприятий</w:t>
      </w:r>
      <w:r w:rsidRPr="00405303">
        <w:rPr>
          <w:rFonts w:eastAsia="Times-Roman"/>
          <w:bCs/>
          <w:color w:val="002060"/>
          <w:sz w:val="16"/>
          <w:szCs w:val="16"/>
        </w:rPr>
        <w:t xml:space="preserve">, </w:t>
      </w:r>
      <w:r w:rsidRPr="00405303">
        <w:rPr>
          <w:rFonts w:eastAsia="TimesNewRoman"/>
          <w:bCs/>
          <w:color w:val="002060"/>
          <w:sz w:val="16"/>
          <w:szCs w:val="16"/>
        </w:rPr>
        <w:t>как частных</w:t>
      </w:r>
      <w:r w:rsidRPr="00405303">
        <w:rPr>
          <w:rFonts w:eastAsia="Times-Roman"/>
          <w:bCs/>
          <w:color w:val="002060"/>
          <w:sz w:val="16"/>
          <w:szCs w:val="16"/>
        </w:rPr>
        <w:t xml:space="preserve">, </w:t>
      </w:r>
      <w:r w:rsidRPr="00405303">
        <w:rPr>
          <w:rFonts w:eastAsia="TimesNewRoman"/>
          <w:bCs/>
          <w:color w:val="002060"/>
          <w:sz w:val="16"/>
          <w:szCs w:val="16"/>
        </w:rPr>
        <w:t>так и казенных</w:t>
      </w:r>
      <w:r w:rsidRPr="00405303">
        <w:rPr>
          <w:rFonts w:eastAsia="Times-Roman"/>
          <w:bCs/>
          <w:color w:val="002060"/>
          <w:sz w:val="16"/>
          <w:szCs w:val="16"/>
        </w:rPr>
        <w:t xml:space="preserve">. </w:t>
      </w:r>
      <w:r w:rsidRPr="00405303">
        <w:rPr>
          <w:rFonts w:eastAsia="TimesNewRoman"/>
          <w:bCs/>
          <w:color w:val="002060"/>
          <w:sz w:val="16"/>
          <w:szCs w:val="16"/>
        </w:rPr>
        <w:t>Для этого требовалось создание определенных условий</w:t>
      </w:r>
      <w:r w:rsidRPr="00405303">
        <w:rPr>
          <w:rFonts w:eastAsia="Times-Roman"/>
          <w:bCs/>
          <w:color w:val="002060"/>
          <w:sz w:val="16"/>
          <w:szCs w:val="16"/>
        </w:rPr>
        <w:t xml:space="preserve">, </w:t>
      </w:r>
      <w:r w:rsidRPr="00405303">
        <w:rPr>
          <w:rFonts w:eastAsia="TimesNewRoman"/>
          <w:bCs/>
          <w:color w:val="002060"/>
          <w:sz w:val="16"/>
          <w:szCs w:val="16"/>
        </w:rPr>
        <w:t>прежде всего путем их финансирования за счет средств казны</w:t>
      </w:r>
      <w:r w:rsidRPr="00405303">
        <w:rPr>
          <w:rFonts w:eastAsia="Times-Roman"/>
          <w:bCs/>
          <w:color w:val="002060"/>
          <w:sz w:val="16"/>
          <w:szCs w:val="16"/>
        </w:rPr>
        <w:t xml:space="preserve">. </w:t>
      </w:r>
      <w:r w:rsidRPr="00405303">
        <w:rPr>
          <w:rFonts w:eastAsia="TimesNewRoman"/>
          <w:bCs/>
          <w:color w:val="002060"/>
          <w:sz w:val="16"/>
          <w:szCs w:val="16"/>
        </w:rPr>
        <w:t>В целях снижения рисков для казны была налажена система предварительного мониторинга финансового и технического состояния хозяйствующих субъектов</w:t>
      </w:r>
      <w:r w:rsidRPr="00405303">
        <w:rPr>
          <w:rFonts w:eastAsia="Times-Roman"/>
          <w:bCs/>
          <w:color w:val="002060"/>
          <w:sz w:val="16"/>
          <w:szCs w:val="16"/>
        </w:rPr>
        <w:t xml:space="preserve">, </w:t>
      </w:r>
      <w:r w:rsidRPr="00405303">
        <w:rPr>
          <w:rFonts w:eastAsia="TimesNewRoman"/>
          <w:bCs/>
          <w:color w:val="002060"/>
          <w:sz w:val="16"/>
          <w:szCs w:val="16"/>
        </w:rPr>
        <w:t>а также созданы механизмы контроля за ходом выполнения военных заказов</w:t>
      </w:r>
      <w:r w:rsidRPr="00405303">
        <w:rPr>
          <w:rFonts w:eastAsia="Times-Roman"/>
          <w:bCs/>
          <w:color w:val="002060"/>
          <w:sz w:val="16"/>
          <w:szCs w:val="16"/>
        </w:rPr>
        <w:t>.</w:t>
      </w:r>
    </w:p>
    <w:p w14:paraId="078811E3"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Важнейшими частями этого механизма были органы Особого совещания по обороне</w:t>
      </w:r>
      <w:r w:rsidRPr="00405303">
        <w:rPr>
          <w:rFonts w:eastAsia="Times-Roman"/>
          <w:bCs/>
          <w:color w:val="002060"/>
          <w:sz w:val="16"/>
          <w:szCs w:val="16"/>
        </w:rPr>
        <w:t xml:space="preserve">: </w:t>
      </w:r>
      <w:r w:rsidRPr="00405303">
        <w:rPr>
          <w:rFonts w:eastAsia="TimesNewRoman"/>
          <w:bCs/>
          <w:color w:val="002060"/>
          <w:sz w:val="16"/>
          <w:szCs w:val="16"/>
        </w:rPr>
        <w:t xml:space="preserve">три подготовительные комиссии </w:t>
      </w:r>
      <w:r w:rsidRPr="00405303">
        <w:rPr>
          <w:rFonts w:eastAsia="Times-Roman"/>
          <w:bCs/>
          <w:color w:val="002060"/>
          <w:sz w:val="16"/>
          <w:szCs w:val="16"/>
        </w:rPr>
        <w:t>(</w:t>
      </w:r>
      <w:r w:rsidRPr="00405303">
        <w:rPr>
          <w:rFonts w:eastAsia="TimesNewRoman"/>
          <w:bCs/>
          <w:color w:val="002060"/>
          <w:sz w:val="16"/>
          <w:szCs w:val="16"/>
        </w:rPr>
        <w:t>по общим</w:t>
      </w:r>
      <w:r w:rsidRPr="00405303">
        <w:rPr>
          <w:rFonts w:eastAsia="Times-Roman"/>
          <w:bCs/>
          <w:color w:val="002060"/>
          <w:sz w:val="16"/>
          <w:szCs w:val="16"/>
        </w:rPr>
        <w:t xml:space="preserve">, </w:t>
      </w:r>
      <w:r w:rsidRPr="00405303">
        <w:rPr>
          <w:rFonts w:eastAsia="TimesNewRoman"/>
          <w:bCs/>
          <w:color w:val="002060"/>
          <w:sz w:val="16"/>
          <w:szCs w:val="16"/>
        </w:rPr>
        <w:t>артиллерийским и авиационным вопросам</w:t>
      </w:r>
      <w:r w:rsidRPr="00405303">
        <w:rPr>
          <w:rFonts w:eastAsia="Times-Roman"/>
          <w:bCs/>
          <w:color w:val="002060"/>
          <w:sz w:val="16"/>
          <w:szCs w:val="16"/>
        </w:rPr>
        <w:t xml:space="preserve">), </w:t>
      </w:r>
      <w:r w:rsidRPr="00405303">
        <w:rPr>
          <w:rFonts w:eastAsia="TimesNewRoman"/>
          <w:bCs/>
          <w:color w:val="002060"/>
          <w:sz w:val="16"/>
          <w:szCs w:val="16"/>
        </w:rPr>
        <w:t>наблюдательная комиссия</w:t>
      </w:r>
      <w:r w:rsidRPr="00405303">
        <w:rPr>
          <w:rFonts w:eastAsia="Times-Roman"/>
          <w:bCs/>
          <w:color w:val="002060"/>
          <w:sz w:val="16"/>
          <w:szCs w:val="16"/>
        </w:rPr>
        <w:t xml:space="preserve">, </w:t>
      </w:r>
      <w:r w:rsidRPr="00405303">
        <w:rPr>
          <w:rFonts w:eastAsia="TimesNewRoman"/>
          <w:bCs/>
          <w:color w:val="002060"/>
          <w:sz w:val="16"/>
          <w:szCs w:val="16"/>
        </w:rPr>
        <w:t xml:space="preserve">а также уполномоченные председателя Особого совещания на местах и </w:t>
      </w:r>
      <w:r w:rsidRPr="00405303">
        <w:rPr>
          <w:rFonts w:eastAsia="Times-Roman"/>
          <w:bCs/>
          <w:color w:val="002060"/>
          <w:sz w:val="16"/>
          <w:szCs w:val="16"/>
        </w:rPr>
        <w:t>«</w:t>
      </w:r>
      <w:r w:rsidRPr="00405303">
        <w:rPr>
          <w:rFonts w:eastAsia="TimesNewRoman"/>
          <w:bCs/>
          <w:color w:val="002060"/>
          <w:sz w:val="16"/>
          <w:szCs w:val="16"/>
        </w:rPr>
        <w:t>состоящие при них</w:t>
      </w:r>
      <w:r w:rsidRPr="00405303">
        <w:rPr>
          <w:rFonts w:eastAsia="Times-Roman"/>
          <w:bCs/>
          <w:color w:val="002060"/>
          <w:sz w:val="16"/>
          <w:szCs w:val="16"/>
        </w:rPr>
        <w:t xml:space="preserve">» </w:t>
      </w:r>
      <w:r w:rsidRPr="00405303">
        <w:rPr>
          <w:rFonts w:eastAsia="TimesNewRoman"/>
          <w:bCs/>
          <w:color w:val="002060"/>
          <w:sz w:val="16"/>
          <w:szCs w:val="16"/>
        </w:rPr>
        <w:t>заводские совещания</w:t>
      </w:r>
      <w:r w:rsidRPr="00405303">
        <w:rPr>
          <w:rFonts w:eastAsia="Times-Roman"/>
          <w:bCs/>
          <w:color w:val="002060"/>
          <w:sz w:val="16"/>
          <w:szCs w:val="16"/>
        </w:rPr>
        <w:t>.</w:t>
      </w:r>
    </w:p>
    <w:p w14:paraId="0A22E7DE"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В отношении предприятий</w:t>
      </w:r>
      <w:r w:rsidRPr="00405303">
        <w:rPr>
          <w:rFonts w:eastAsia="Times-Roman"/>
          <w:bCs/>
          <w:color w:val="002060"/>
          <w:sz w:val="16"/>
          <w:szCs w:val="16"/>
        </w:rPr>
        <w:t xml:space="preserve">, </w:t>
      </w:r>
      <w:r w:rsidRPr="00405303">
        <w:rPr>
          <w:rFonts w:eastAsia="TimesNewRoman"/>
          <w:bCs/>
          <w:color w:val="002060"/>
          <w:sz w:val="16"/>
          <w:szCs w:val="16"/>
        </w:rPr>
        <w:t>привлекавшихся к выполнению военных заказов</w:t>
      </w:r>
      <w:r w:rsidRPr="00405303">
        <w:rPr>
          <w:rFonts w:eastAsia="Times-Roman"/>
          <w:bCs/>
          <w:color w:val="002060"/>
          <w:sz w:val="16"/>
          <w:szCs w:val="16"/>
        </w:rPr>
        <w:t xml:space="preserve">, </w:t>
      </w:r>
      <w:r w:rsidRPr="00405303">
        <w:rPr>
          <w:rFonts w:eastAsia="TimesNewRoman"/>
          <w:bCs/>
          <w:color w:val="002060"/>
          <w:sz w:val="16"/>
          <w:szCs w:val="16"/>
        </w:rPr>
        <w:t>практиковались выдачи авансов без обеспечения</w:t>
      </w:r>
      <w:r w:rsidRPr="00405303">
        <w:rPr>
          <w:rFonts w:eastAsia="Times-Roman"/>
          <w:bCs/>
          <w:color w:val="002060"/>
          <w:sz w:val="16"/>
          <w:szCs w:val="16"/>
        </w:rPr>
        <w:t xml:space="preserve">. </w:t>
      </w:r>
      <w:r w:rsidRPr="00405303">
        <w:rPr>
          <w:rFonts w:eastAsia="TimesNewRoman"/>
          <w:bCs/>
          <w:color w:val="002060"/>
          <w:sz w:val="16"/>
          <w:szCs w:val="16"/>
        </w:rPr>
        <w:t>Однако</w:t>
      </w:r>
      <w:r w:rsidRPr="00405303">
        <w:rPr>
          <w:rFonts w:eastAsia="Times-Roman"/>
          <w:bCs/>
          <w:color w:val="002060"/>
          <w:sz w:val="16"/>
          <w:szCs w:val="16"/>
        </w:rPr>
        <w:t xml:space="preserve">, </w:t>
      </w:r>
      <w:r w:rsidRPr="00405303">
        <w:rPr>
          <w:rFonts w:eastAsia="TimesNewRoman"/>
          <w:bCs/>
          <w:color w:val="002060"/>
          <w:sz w:val="16"/>
          <w:szCs w:val="16"/>
        </w:rPr>
        <w:t>чтобы гарантировать при этом обеспечение интересов казны</w:t>
      </w:r>
      <w:r w:rsidRPr="00405303">
        <w:rPr>
          <w:rFonts w:eastAsia="Times-Roman"/>
          <w:bCs/>
          <w:color w:val="002060"/>
          <w:sz w:val="16"/>
          <w:szCs w:val="16"/>
        </w:rPr>
        <w:t xml:space="preserve">, </w:t>
      </w:r>
      <w:r w:rsidRPr="00405303">
        <w:rPr>
          <w:rFonts w:eastAsia="TimesNewRoman"/>
          <w:bCs/>
          <w:color w:val="002060"/>
          <w:sz w:val="16"/>
          <w:szCs w:val="16"/>
        </w:rPr>
        <w:t>такие выдачи сопровождались предварительной проверкой финансового положения фирмы и ее технической способности выполнить контракт</w:t>
      </w:r>
      <w:r w:rsidRPr="00405303">
        <w:rPr>
          <w:rFonts w:eastAsia="Times-Roman"/>
          <w:bCs/>
          <w:color w:val="002060"/>
          <w:sz w:val="16"/>
          <w:szCs w:val="16"/>
        </w:rPr>
        <w:t xml:space="preserve">. </w:t>
      </w:r>
      <w:r w:rsidRPr="00405303">
        <w:rPr>
          <w:rFonts w:eastAsia="TimesNewRoman"/>
          <w:bCs/>
          <w:color w:val="002060"/>
          <w:sz w:val="16"/>
          <w:szCs w:val="16"/>
        </w:rPr>
        <w:t>Авансы выдавались</w:t>
      </w:r>
      <w:r w:rsidRPr="00405303">
        <w:rPr>
          <w:rFonts w:eastAsia="Times-Roman"/>
          <w:bCs/>
          <w:color w:val="002060"/>
          <w:sz w:val="16"/>
          <w:szCs w:val="16"/>
        </w:rPr>
        <w:t xml:space="preserve">, </w:t>
      </w:r>
      <w:r w:rsidRPr="00405303">
        <w:rPr>
          <w:rFonts w:eastAsia="TimesNewRoman"/>
          <w:bCs/>
          <w:color w:val="002060"/>
          <w:sz w:val="16"/>
          <w:szCs w:val="16"/>
        </w:rPr>
        <w:t>как правило</w:t>
      </w:r>
      <w:r w:rsidRPr="00405303">
        <w:rPr>
          <w:rFonts w:eastAsia="Times-Roman"/>
          <w:bCs/>
          <w:color w:val="002060"/>
          <w:sz w:val="16"/>
          <w:szCs w:val="16"/>
        </w:rPr>
        <w:t xml:space="preserve">, </w:t>
      </w:r>
      <w:r w:rsidRPr="00405303">
        <w:rPr>
          <w:rFonts w:eastAsia="TimesNewRoman"/>
          <w:bCs/>
          <w:color w:val="002060"/>
          <w:sz w:val="16"/>
          <w:szCs w:val="16"/>
        </w:rPr>
        <w:t xml:space="preserve">в размере </w:t>
      </w:r>
      <w:r w:rsidRPr="00405303">
        <w:rPr>
          <w:rFonts w:eastAsia="Times-Roman"/>
          <w:bCs/>
          <w:color w:val="002060"/>
          <w:sz w:val="16"/>
          <w:szCs w:val="16"/>
        </w:rPr>
        <w:t xml:space="preserve">30% </w:t>
      </w:r>
      <w:r w:rsidRPr="00405303">
        <w:rPr>
          <w:rFonts w:eastAsia="TimesNewRoman"/>
          <w:bCs/>
          <w:color w:val="002060"/>
          <w:sz w:val="16"/>
          <w:szCs w:val="16"/>
        </w:rPr>
        <w:t>от стоимости заказов</w:t>
      </w:r>
      <w:r w:rsidRPr="00405303">
        <w:rPr>
          <w:rFonts w:eastAsia="Times-Roman"/>
          <w:bCs/>
          <w:color w:val="002060"/>
          <w:sz w:val="16"/>
          <w:szCs w:val="16"/>
        </w:rPr>
        <w:t xml:space="preserve">, </w:t>
      </w:r>
      <w:r w:rsidRPr="00405303">
        <w:rPr>
          <w:rFonts w:eastAsia="TimesNewRoman"/>
          <w:bCs/>
          <w:color w:val="002060"/>
          <w:sz w:val="16"/>
          <w:szCs w:val="16"/>
        </w:rPr>
        <w:t xml:space="preserve">и только когда для его выполнения требовалось приобрести новое оборудование размер аванса мог быть увеличен до </w:t>
      </w:r>
      <w:r w:rsidRPr="00405303">
        <w:rPr>
          <w:rFonts w:eastAsia="Times-Roman"/>
          <w:bCs/>
          <w:color w:val="002060"/>
          <w:sz w:val="16"/>
          <w:szCs w:val="16"/>
        </w:rPr>
        <w:t xml:space="preserve">65%. </w:t>
      </w:r>
      <w:r w:rsidRPr="00405303">
        <w:rPr>
          <w:rFonts w:eastAsia="TimesNewRoman"/>
          <w:bCs/>
          <w:color w:val="002060"/>
          <w:sz w:val="16"/>
          <w:szCs w:val="16"/>
        </w:rPr>
        <w:t>Выдачи разрешенных Особым совещанием авансов производились по частям</w:t>
      </w:r>
      <w:r w:rsidRPr="00405303">
        <w:rPr>
          <w:rFonts w:eastAsia="Times-Roman"/>
          <w:bCs/>
          <w:color w:val="002060"/>
          <w:sz w:val="16"/>
          <w:szCs w:val="16"/>
        </w:rPr>
        <w:t xml:space="preserve">, </w:t>
      </w:r>
      <w:r w:rsidRPr="00405303">
        <w:rPr>
          <w:rFonts w:eastAsia="TimesNewRoman"/>
          <w:bCs/>
          <w:color w:val="002060"/>
          <w:sz w:val="16"/>
          <w:szCs w:val="16"/>
        </w:rPr>
        <w:t>при чем чтобы получить очередную часть предприятие должно было представить удостоверение правительственного чиновника о расходовании предыдущей части аванса по прямому назначению</w:t>
      </w:r>
      <w:r w:rsidRPr="00405303">
        <w:rPr>
          <w:rFonts w:eastAsia="Times-Roman"/>
          <w:bCs/>
          <w:color w:val="002060"/>
          <w:sz w:val="16"/>
          <w:szCs w:val="16"/>
        </w:rPr>
        <w:t xml:space="preserve">. </w:t>
      </w:r>
      <w:r w:rsidRPr="00405303">
        <w:rPr>
          <w:rFonts w:eastAsia="TimesNewRoman"/>
          <w:bCs/>
          <w:color w:val="002060"/>
          <w:sz w:val="16"/>
          <w:szCs w:val="16"/>
        </w:rPr>
        <w:t>Зачастую в состав правлений тех фирм</w:t>
      </w:r>
      <w:r w:rsidRPr="00405303">
        <w:rPr>
          <w:rFonts w:eastAsia="Times-Roman"/>
          <w:bCs/>
          <w:color w:val="002060"/>
          <w:sz w:val="16"/>
          <w:szCs w:val="16"/>
        </w:rPr>
        <w:t xml:space="preserve">, </w:t>
      </w:r>
      <w:r w:rsidRPr="00405303">
        <w:rPr>
          <w:rFonts w:eastAsia="TimesNewRoman"/>
          <w:bCs/>
          <w:color w:val="002060"/>
          <w:sz w:val="16"/>
          <w:szCs w:val="16"/>
        </w:rPr>
        <w:t>которым предоставлялись авансы</w:t>
      </w:r>
      <w:r w:rsidRPr="00405303">
        <w:rPr>
          <w:rFonts w:eastAsia="Times-Roman"/>
          <w:bCs/>
          <w:color w:val="002060"/>
          <w:sz w:val="16"/>
          <w:szCs w:val="16"/>
        </w:rPr>
        <w:t xml:space="preserve">, </w:t>
      </w:r>
      <w:r w:rsidRPr="00405303">
        <w:rPr>
          <w:rFonts w:eastAsia="TimesNewRoman"/>
          <w:bCs/>
          <w:color w:val="002060"/>
          <w:sz w:val="16"/>
          <w:szCs w:val="16"/>
        </w:rPr>
        <w:t>включались правительственные инспекторы для контроля за расходованием казенных средств</w:t>
      </w:r>
      <w:r w:rsidRPr="00405303">
        <w:rPr>
          <w:rFonts w:eastAsia="Times-Roman"/>
          <w:bCs/>
          <w:color w:val="002060"/>
          <w:sz w:val="16"/>
          <w:szCs w:val="16"/>
        </w:rPr>
        <w:t>.</w:t>
      </w:r>
    </w:p>
    <w:p w14:paraId="7825DE2D"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Выделение крупных финансовых средств сопровождалось созданием достаточно сложной системы контроля за ходом выполнения военных заказов</w:t>
      </w:r>
      <w:r w:rsidRPr="00405303">
        <w:rPr>
          <w:rFonts w:eastAsia="Times-Roman"/>
          <w:bCs/>
          <w:color w:val="002060"/>
          <w:sz w:val="16"/>
          <w:szCs w:val="16"/>
        </w:rPr>
        <w:t>.</w:t>
      </w:r>
    </w:p>
    <w:p w14:paraId="5FC95CD5"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lastRenderedPageBreak/>
        <w:t>Главную роль в этом деле играла специально созданная наблюдательная комиссия Особого совещания во главе с председателем Государственного совета</w:t>
      </w:r>
      <w:r w:rsidRPr="00405303">
        <w:rPr>
          <w:rFonts w:eastAsia="Times-Roman"/>
          <w:bCs/>
          <w:color w:val="002060"/>
          <w:sz w:val="16"/>
          <w:szCs w:val="16"/>
        </w:rPr>
        <w:t xml:space="preserve">. </w:t>
      </w:r>
      <w:r w:rsidRPr="00405303">
        <w:rPr>
          <w:rFonts w:eastAsia="TimesNewRoman"/>
          <w:bCs/>
          <w:color w:val="002060"/>
          <w:sz w:val="16"/>
          <w:szCs w:val="16"/>
        </w:rPr>
        <w:t>Основное внимание наблюдательная комиссия уделяла проверке деятельности тех предприятий</w:t>
      </w:r>
      <w:r w:rsidRPr="00405303">
        <w:rPr>
          <w:rFonts w:eastAsia="Times-Roman"/>
          <w:bCs/>
          <w:color w:val="002060"/>
          <w:sz w:val="16"/>
          <w:szCs w:val="16"/>
        </w:rPr>
        <w:t xml:space="preserve">, </w:t>
      </w:r>
      <w:r w:rsidRPr="00405303">
        <w:rPr>
          <w:rFonts w:eastAsia="TimesNewRoman"/>
          <w:bCs/>
          <w:color w:val="002060"/>
          <w:sz w:val="16"/>
          <w:szCs w:val="16"/>
        </w:rPr>
        <w:t>которые хронически не исполняли принятые на себя обязательства по поставкам продукции военного назначения</w:t>
      </w:r>
      <w:r w:rsidRPr="00405303">
        <w:rPr>
          <w:rFonts w:eastAsia="Times-Roman"/>
          <w:bCs/>
          <w:color w:val="002060"/>
          <w:sz w:val="16"/>
          <w:szCs w:val="16"/>
        </w:rPr>
        <w:t xml:space="preserve">. </w:t>
      </w:r>
      <w:proofErr w:type="gramStart"/>
      <w:r w:rsidRPr="00405303">
        <w:rPr>
          <w:rFonts w:eastAsia="TimesNewRoman"/>
          <w:bCs/>
          <w:color w:val="002060"/>
          <w:sz w:val="16"/>
          <w:szCs w:val="16"/>
        </w:rPr>
        <w:t>Кроме этого</w:t>
      </w:r>
      <w:proofErr w:type="gramEnd"/>
      <w:r w:rsidRPr="00405303">
        <w:rPr>
          <w:rFonts w:eastAsia="TimesNewRoman"/>
          <w:bCs/>
          <w:color w:val="002060"/>
          <w:sz w:val="16"/>
          <w:szCs w:val="16"/>
        </w:rPr>
        <w:t xml:space="preserve"> комиссия регулярно заслушивала представителей довольствующих управлений о ходе выполнения планов обеспечения армии</w:t>
      </w:r>
      <w:r w:rsidRPr="00405303">
        <w:rPr>
          <w:rFonts w:eastAsia="Times-Roman"/>
          <w:bCs/>
          <w:color w:val="002060"/>
          <w:sz w:val="16"/>
          <w:szCs w:val="16"/>
        </w:rPr>
        <w:t>.</w:t>
      </w:r>
    </w:p>
    <w:p w14:paraId="4AFB3437"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О действенности работы наблюдательной комиссии один из сотрудников ее делопроизводства писал следующее</w:t>
      </w:r>
      <w:r w:rsidRPr="00405303">
        <w:rPr>
          <w:rFonts w:eastAsia="Times-Roman"/>
          <w:bCs/>
          <w:color w:val="002060"/>
          <w:sz w:val="16"/>
          <w:szCs w:val="16"/>
        </w:rPr>
        <w:t>: «</w:t>
      </w:r>
      <w:r w:rsidRPr="00405303">
        <w:rPr>
          <w:rFonts w:eastAsia="TimesNewRoman"/>
          <w:bCs/>
          <w:color w:val="002060"/>
          <w:sz w:val="16"/>
          <w:szCs w:val="16"/>
        </w:rPr>
        <w:t>Если обнаруживалось</w:t>
      </w:r>
      <w:r w:rsidRPr="00405303">
        <w:rPr>
          <w:rFonts w:eastAsia="Times-Roman"/>
          <w:bCs/>
          <w:color w:val="002060"/>
          <w:sz w:val="16"/>
          <w:szCs w:val="16"/>
        </w:rPr>
        <w:t xml:space="preserve">, </w:t>
      </w:r>
      <w:r w:rsidRPr="00405303">
        <w:rPr>
          <w:rFonts w:eastAsia="TimesNewRoman"/>
          <w:bCs/>
          <w:color w:val="002060"/>
          <w:sz w:val="16"/>
          <w:szCs w:val="16"/>
        </w:rPr>
        <w:t>что в текущем месяце на каком</w:t>
      </w:r>
      <w:r w:rsidRPr="00405303">
        <w:rPr>
          <w:rFonts w:eastAsia="Times-Roman"/>
          <w:bCs/>
          <w:color w:val="002060"/>
          <w:sz w:val="16"/>
          <w:szCs w:val="16"/>
        </w:rPr>
        <w:t>-</w:t>
      </w:r>
      <w:r w:rsidRPr="00405303">
        <w:rPr>
          <w:rFonts w:eastAsia="TimesNewRoman"/>
          <w:bCs/>
          <w:color w:val="002060"/>
          <w:sz w:val="16"/>
          <w:szCs w:val="16"/>
        </w:rPr>
        <w:t>либо заводе производство предметов обороны уменьшалось или не увеличивалось</w:t>
      </w:r>
      <w:r w:rsidRPr="00405303">
        <w:rPr>
          <w:rFonts w:eastAsia="Times-Roman"/>
          <w:bCs/>
          <w:color w:val="002060"/>
          <w:sz w:val="16"/>
          <w:szCs w:val="16"/>
        </w:rPr>
        <w:t xml:space="preserve">, </w:t>
      </w:r>
      <w:r w:rsidRPr="00405303">
        <w:rPr>
          <w:rFonts w:eastAsia="TimesNewRoman"/>
          <w:bCs/>
          <w:color w:val="002060"/>
          <w:sz w:val="16"/>
          <w:szCs w:val="16"/>
        </w:rPr>
        <w:t>то комиссия постановляла сделать запрос о причинах неисправности завода</w:t>
      </w:r>
      <w:r w:rsidRPr="00405303">
        <w:rPr>
          <w:rFonts w:eastAsia="Times-Roman"/>
          <w:bCs/>
          <w:color w:val="002060"/>
          <w:sz w:val="16"/>
          <w:szCs w:val="16"/>
        </w:rPr>
        <w:t xml:space="preserve">. </w:t>
      </w:r>
      <w:r w:rsidRPr="00405303">
        <w:rPr>
          <w:rFonts w:eastAsia="TimesNewRoman"/>
          <w:bCs/>
          <w:color w:val="002060"/>
          <w:sz w:val="16"/>
          <w:szCs w:val="16"/>
        </w:rPr>
        <w:t>Тогда на завод отправляли грозный запрос за подписью председателя Государственного совета</w:t>
      </w:r>
      <w:r w:rsidRPr="00405303">
        <w:rPr>
          <w:rFonts w:eastAsia="Times-Roman"/>
          <w:bCs/>
          <w:color w:val="002060"/>
          <w:sz w:val="16"/>
          <w:szCs w:val="16"/>
        </w:rPr>
        <w:t xml:space="preserve">. </w:t>
      </w:r>
      <w:r w:rsidRPr="00405303">
        <w:rPr>
          <w:rFonts w:eastAsia="TimesNewRoman"/>
          <w:bCs/>
          <w:color w:val="002060"/>
          <w:sz w:val="16"/>
          <w:szCs w:val="16"/>
        </w:rPr>
        <w:t>Он имел обыкновенно благоприятные результаты</w:t>
      </w:r>
      <w:r w:rsidRPr="00405303">
        <w:rPr>
          <w:rFonts w:eastAsia="Times-Roman"/>
          <w:bCs/>
          <w:color w:val="002060"/>
          <w:sz w:val="16"/>
          <w:szCs w:val="16"/>
        </w:rPr>
        <w:t xml:space="preserve">, - </w:t>
      </w:r>
      <w:r w:rsidRPr="00405303">
        <w:rPr>
          <w:rFonts w:eastAsia="TimesNewRoman"/>
          <w:bCs/>
          <w:color w:val="002060"/>
          <w:sz w:val="16"/>
          <w:szCs w:val="16"/>
        </w:rPr>
        <w:t>и производство увеличивалось</w:t>
      </w:r>
      <w:r w:rsidRPr="00405303">
        <w:rPr>
          <w:rFonts w:eastAsia="Times-Roman"/>
          <w:bCs/>
          <w:color w:val="002060"/>
          <w:sz w:val="16"/>
          <w:szCs w:val="16"/>
        </w:rPr>
        <w:t xml:space="preserve">. </w:t>
      </w:r>
      <w:r w:rsidRPr="00405303">
        <w:rPr>
          <w:rFonts w:eastAsia="TimesNewRoman"/>
          <w:bCs/>
          <w:color w:val="002060"/>
          <w:sz w:val="16"/>
          <w:szCs w:val="16"/>
        </w:rPr>
        <w:t>В редких случаях</w:t>
      </w:r>
      <w:r w:rsidRPr="00405303">
        <w:rPr>
          <w:rFonts w:eastAsia="Times-Roman"/>
          <w:bCs/>
          <w:color w:val="002060"/>
          <w:sz w:val="16"/>
          <w:szCs w:val="16"/>
        </w:rPr>
        <w:t xml:space="preserve">, </w:t>
      </w:r>
      <w:r w:rsidRPr="00405303">
        <w:rPr>
          <w:rFonts w:eastAsia="TimesNewRoman"/>
          <w:bCs/>
          <w:color w:val="002060"/>
          <w:sz w:val="16"/>
          <w:szCs w:val="16"/>
        </w:rPr>
        <w:t>если завод оказывался безнадежно неисправным и не внимал предупреждениям и угрозам</w:t>
      </w:r>
      <w:r w:rsidRPr="00405303">
        <w:rPr>
          <w:rFonts w:eastAsia="Times-Roman"/>
          <w:bCs/>
          <w:color w:val="002060"/>
          <w:sz w:val="16"/>
          <w:szCs w:val="16"/>
        </w:rPr>
        <w:t xml:space="preserve">, </w:t>
      </w:r>
      <w:r w:rsidRPr="00405303">
        <w:rPr>
          <w:rFonts w:eastAsia="TimesNewRoman"/>
          <w:bCs/>
          <w:color w:val="002060"/>
          <w:sz w:val="16"/>
          <w:szCs w:val="16"/>
        </w:rPr>
        <w:t>против него постановлялось принять экстренные меры</w:t>
      </w:r>
      <w:r w:rsidRPr="00405303">
        <w:rPr>
          <w:rFonts w:eastAsia="Times-Roman"/>
          <w:bCs/>
          <w:color w:val="002060"/>
          <w:sz w:val="16"/>
          <w:szCs w:val="16"/>
        </w:rPr>
        <w:t>» [10].</w:t>
      </w:r>
    </w:p>
    <w:p w14:paraId="220EFDD8"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Помимо работы наблюдательной комиссии контрольные функции Особого совещания реализовывались путем</w:t>
      </w:r>
      <w:r w:rsidRPr="00405303">
        <w:rPr>
          <w:rFonts w:eastAsia="Times-Roman"/>
          <w:bCs/>
          <w:color w:val="002060"/>
          <w:sz w:val="16"/>
          <w:szCs w:val="16"/>
        </w:rPr>
        <w:t xml:space="preserve">: </w:t>
      </w:r>
      <w:r w:rsidRPr="00405303">
        <w:rPr>
          <w:rFonts w:eastAsia="TimesNewRoman"/>
          <w:bCs/>
          <w:color w:val="002060"/>
          <w:sz w:val="16"/>
          <w:szCs w:val="16"/>
        </w:rPr>
        <w:t>периодических рассмотрений хода снабжения на пленарных заседаниях Совещания</w:t>
      </w:r>
      <w:r w:rsidRPr="00405303">
        <w:rPr>
          <w:rFonts w:eastAsia="Times-Roman"/>
          <w:bCs/>
          <w:color w:val="002060"/>
          <w:sz w:val="16"/>
          <w:szCs w:val="16"/>
        </w:rPr>
        <w:t xml:space="preserve">; </w:t>
      </w:r>
      <w:r w:rsidRPr="00405303">
        <w:rPr>
          <w:rFonts w:eastAsia="TimesNewRoman"/>
          <w:bCs/>
          <w:color w:val="002060"/>
          <w:sz w:val="16"/>
          <w:szCs w:val="16"/>
        </w:rPr>
        <w:t xml:space="preserve">обследования отдельных предприятий и целых промышленных </w:t>
      </w:r>
      <w:r w:rsidRPr="00405303">
        <w:rPr>
          <w:rFonts w:eastAsia="Times-Roman"/>
          <w:bCs/>
          <w:color w:val="002060"/>
          <w:sz w:val="16"/>
          <w:szCs w:val="16"/>
        </w:rPr>
        <w:t>«</w:t>
      </w:r>
      <w:r w:rsidRPr="00405303">
        <w:rPr>
          <w:rFonts w:eastAsia="TimesNewRoman"/>
          <w:bCs/>
          <w:color w:val="002060"/>
          <w:sz w:val="16"/>
          <w:szCs w:val="16"/>
        </w:rPr>
        <w:t>кустов</w:t>
      </w:r>
      <w:r w:rsidRPr="00405303">
        <w:rPr>
          <w:rFonts w:eastAsia="Times-Roman"/>
          <w:bCs/>
          <w:color w:val="002060"/>
          <w:sz w:val="16"/>
          <w:szCs w:val="16"/>
        </w:rPr>
        <w:t xml:space="preserve">» </w:t>
      </w:r>
      <w:r w:rsidRPr="00405303">
        <w:rPr>
          <w:rFonts w:eastAsia="TimesNewRoman"/>
          <w:bCs/>
          <w:color w:val="002060"/>
          <w:sz w:val="16"/>
          <w:szCs w:val="16"/>
        </w:rPr>
        <w:t>временными комиссиями по назначению Совещания</w:t>
      </w:r>
      <w:r w:rsidRPr="00405303">
        <w:rPr>
          <w:rFonts w:eastAsia="Times-Roman"/>
          <w:bCs/>
          <w:color w:val="002060"/>
          <w:sz w:val="16"/>
          <w:szCs w:val="16"/>
        </w:rPr>
        <w:t xml:space="preserve">; </w:t>
      </w:r>
      <w:r w:rsidRPr="00405303">
        <w:rPr>
          <w:rFonts w:eastAsia="TimesNewRoman"/>
          <w:bCs/>
          <w:color w:val="002060"/>
          <w:sz w:val="16"/>
          <w:szCs w:val="16"/>
        </w:rPr>
        <w:t>работы на местах заводских совещаний</w:t>
      </w:r>
      <w:r w:rsidRPr="00405303">
        <w:rPr>
          <w:rFonts w:eastAsia="Times-Roman"/>
          <w:bCs/>
          <w:color w:val="002060"/>
          <w:sz w:val="16"/>
          <w:szCs w:val="16"/>
        </w:rPr>
        <w:t xml:space="preserve">, </w:t>
      </w:r>
      <w:r w:rsidRPr="00405303">
        <w:rPr>
          <w:rFonts w:eastAsia="TimesNewRoman"/>
          <w:bCs/>
          <w:color w:val="002060"/>
          <w:sz w:val="16"/>
          <w:szCs w:val="16"/>
        </w:rPr>
        <w:t>на которые</w:t>
      </w:r>
      <w:r w:rsidRPr="00405303">
        <w:rPr>
          <w:rFonts w:eastAsia="Times-Roman"/>
          <w:bCs/>
          <w:color w:val="002060"/>
          <w:sz w:val="16"/>
          <w:szCs w:val="16"/>
        </w:rPr>
        <w:t xml:space="preserve">, </w:t>
      </w:r>
      <w:r w:rsidRPr="00405303">
        <w:rPr>
          <w:rFonts w:eastAsia="TimesNewRoman"/>
          <w:bCs/>
          <w:color w:val="002060"/>
          <w:sz w:val="16"/>
          <w:szCs w:val="16"/>
        </w:rPr>
        <w:t xml:space="preserve">согласно регламентировавших их работу </w:t>
      </w:r>
      <w:r w:rsidRPr="00405303">
        <w:rPr>
          <w:rFonts w:eastAsia="Times-Roman"/>
          <w:bCs/>
          <w:color w:val="002060"/>
          <w:sz w:val="16"/>
          <w:szCs w:val="16"/>
        </w:rPr>
        <w:t>«</w:t>
      </w:r>
      <w:r w:rsidRPr="00405303">
        <w:rPr>
          <w:rFonts w:eastAsia="TimesNewRoman"/>
          <w:bCs/>
          <w:color w:val="002060"/>
          <w:sz w:val="16"/>
          <w:szCs w:val="16"/>
        </w:rPr>
        <w:t>Правил о порядке действий</w:t>
      </w:r>
      <w:r w:rsidRPr="00405303">
        <w:rPr>
          <w:rFonts w:eastAsia="Times-Roman"/>
          <w:bCs/>
          <w:color w:val="002060"/>
          <w:sz w:val="16"/>
          <w:szCs w:val="16"/>
        </w:rPr>
        <w:t xml:space="preserve">…», </w:t>
      </w:r>
      <w:r w:rsidRPr="00405303">
        <w:rPr>
          <w:rFonts w:eastAsia="TimesNewRoman"/>
          <w:bCs/>
          <w:color w:val="002060"/>
          <w:sz w:val="16"/>
          <w:szCs w:val="16"/>
        </w:rPr>
        <w:t xml:space="preserve">возлагалось </w:t>
      </w:r>
      <w:r w:rsidRPr="00405303">
        <w:rPr>
          <w:rFonts w:eastAsia="Times-Roman"/>
          <w:bCs/>
          <w:color w:val="002060"/>
          <w:sz w:val="16"/>
          <w:szCs w:val="16"/>
        </w:rPr>
        <w:t>«</w:t>
      </w:r>
      <w:r w:rsidRPr="00405303">
        <w:rPr>
          <w:rFonts w:eastAsia="TimesNewRoman"/>
          <w:bCs/>
          <w:color w:val="002060"/>
          <w:sz w:val="16"/>
          <w:szCs w:val="16"/>
        </w:rPr>
        <w:t>обследование деятельности предприятий в отношении использования ими своих технических средств</w:t>
      </w:r>
      <w:r w:rsidRPr="00405303">
        <w:rPr>
          <w:rFonts w:eastAsia="Times-Roman"/>
          <w:bCs/>
          <w:color w:val="002060"/>
          <w:sz w:val="16"/>
          <w:szCs w:val="16"/>
        </w:rPr>
        <w:t>…», «</w:t>
      </w:r>
      <w:r w:rsidRPr="00405303">
        <w:rPr>
          <w:rFonts w:eastAsia="TimesNewRoman"/>
          <w:bCs/>
          <w:color w:val="002060"/>
          <w:sz w:val="16"/>
          <w:szCs w:val="16"/>
        </w:rPr>
        <w:t>рассмотрение вопросов о порядке исполнения заказов разных ведомств предприятиями</w:t>
      </w:r>
      <w:r w:rsidRPr="00405303">
        <w:rPr>
          <w:rFonts w:eastAsia="Times-Roman"/>
          <w:bCs/>
          <w:color w:val="002060"/>
          <w:sz w:val="16"/>
          <w:szCs w:val="16"/>
        </w:rPr>
        <w:t>» [11].</w:t>
      </w:r>
    </w:p>
    <w:p w14:paraId="342D1578"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Узость отечественной промышленной базы при необходимости не только обеспечить действующую армию в ходе идущей войны</w:t>
      </w:r>
      <w:r w:rsidRPr="00405303">
        <w:rPr>
          <w:rFonts w:eastAsia="Times-Roman"/>
          <w:bCs/>
          <w:color w:val="002060"/>
          <w:sz w:val="16"/>
          <w:szCs w:val="16"/>
        </w:rPr>
        <w:t xml:space="preserve">, </w:t>
      </w:r>
      <w:r w:rsidRPr="00405303">
        <w:rPr>
          <w:rFonts w:eastAsia="TimesNewRoman"/>
          <w:bCs/>
          <w:color w:val="002060"/>
          <w:sz w:val="16"/>
          <w:szCs w:val="16"/>
        </w:rPr>
        <w:t>но и добиться определенной самодостаточности в этом вопросе на будущее требовало от Особого совещания заниматься развитием внутреннего производства разнообразных предметов боевого и материально</w:t>
      </w:r>
      <w:r w:rsidRPr="00405303">
        <w:rPr>
          <w:rFonts w:eastAsia="Times-Roman"/>
          <w:bCs/>
          <w:color w:val="002060"/>
          <w:sz w:val="16"/>
          <w:szCs w:val="16"/>
        </w:rPr>
        <w:t>-</w:t>
      </w:r>
      <w:r w:rsidRPr="00405303">
        <w:rPr>
          <w:rFonts w:eastAsia="TimesNewRoman"/>
          <w:bCs/>
          <w:color w:val="002060"/>
          <w:sz w:val="16"/>
          <w:szCs w:val="16"/>
        </w:rPr>
        <w:t>технического снабжения вооруженных сил</w:t>
      </w:r>
      <w:r w:rsidRPr="00405303">
        <w:rPr>
          <w:rFonts w:eastAsia="Times-Roman"/>
          <w:bCs/>
          <w:color w:val="002060"/>
          <w:sz w:val="16"/>
          <w:szCs w:val="16"/>
        </w:rPr>
        <w:t xml:space="preserve">. </w:t>
      </w:r>
      <w:r w:rsidRPr="00405303">
        <w:rPr>
          <w:rFonts w:eastAsia="TimesNewRoman"/>
          <w:bCs/>
          <w:color w:val="002060"/>
          <w:sz w:val="16"/>
          <w:szCs w:val="16"/>
        </w:rPr>
        <w:t xml:space="preserve">Согласно закону от </w:t>
      </w:r>
      <w:r w:rsidRPr="00405303">
        <w:rPr>
          <w:rFonts w:eastAsia="Times-Roman"/>
          <w:bCs/>
          <w:color w:val="002060"/>
          <w:sz w:val="16"/>
          <w:szCs w:val="16"/>
        </w:rPr>
        <w:t xml:space="preserve">17 </w:t>
      </w:r>
      <w:r w:rsidRPr="00405303">
        <w:rPr>
          <w:rFonts w:eastAsia="TimesNewRoman"/>
          <w:bCs/>
          <w:color w:val="002060"/>
          <w:sz w:val="16"/>
          <w:szCs w:val="16"/>
        </w:rPr>
        <w:t xml:space="preserve">августа </w:t>
      </w:r>
      <w:r w:rsidRPr="00405303">
        <w:rPr>
          <w:rFonts w:eastAsia="Times-Roman"/>
          <w:bCs/>
          <w:color w:val="002060"/>
          <w:sz w:val="16"/>
          <w:szCs w:val="16"/>
        </w:rPr>
        <w:t xml:space="preserve">1915 </w:t>
      </w:r>
      <w:r w:rsidRPr="00405303">
        <w:rPr>
          <w:rFonts w:eastAsia="TimesNewRoman"/>
          <w:bCs/>
          <w:color w:val="002060"/>
          <w:sz w:val="16"/>
          <w:szCs w:val="16"/>
        </w:rPr>
        <w:t>г</w:t>
      </w:r>
      <w:r w:rsidRPr="00405303">
        <w:rPr>
          <w:rFonts w:eastAsia="Times-Roman"/>
          <w:bCs/>
          <w:color w:val="002060"/>
          <w:sz w:val="16"/>
          <w:szCs w:val="16"/>
        </w:rPr>
        <w:t xml:space="preserve">. </w:t>
      </w:r>
      <w:r w:rsidRPr="00405303">
        <w:rPr>
          <w:rFonts w:eastAsia="TimesNewRoman"/>
          <w:bCs/>
          <w:color w:val="002060"/>
          <w:sz w:val="16"/>
          <w:szCs w:val="16"/>
        </w:rPr>
        <w:t xml:space="preserve">на совещание возлагалось </w:t>
      </w:r>
      <w:r w:rsidRPr="00405303">
        <w:rPr>
          <w:rFonts w:eastAsia="Times-Roman"/>
          <w:bCs/>
          <w:color w:val="002060"/>
          <w:sz w:val="16"/>
          <w:szCs w:val="16"/>
        </w:rPr>
        <w:t>«</w:t>
      </w:r>
      <w:r w:rsidRPr="00405303">
        <w:rPr>
          <w:rFonts w:eastAsia="TimesNewRoman"/>
          <w:bCs/>
          <w:color w:val="002060"/>
          <w:sz w:val="16"/>
          <w:szCs w:val="16"/>
        </w:rPr>
        <w:t>содействие образованию новых заводов и иного рода промышленных предприятий</w:t>
      </w:r>
      <w:r w:rsidRPr="00405303">
        <w:rPr>
          <w:rFonts w:eastAsia="Times-Roman"/>
          <w:bCs/>
          <w:color w:val="002060"/>
          <w:sz w:val="16"/>
          <w:szCs w:val="16"/>
        </w:rPr>
        <w:t xml:space="preserve">, … </w:t>
      </w:r>
      <w:r w:rsidRPr="00405303">
        <w:rPr>
          <w:rFonts w:eastAsia="TimesNewRoman"/>
          <w:bCs/>
          <w:color w:val="002060"/>
          <w:sz w:val="16"/>
          <w:szCs w:val="16"/>
        </w:rPr>
        <w:t>а равно переустройству</w:t>
      </w:r>
      <w:r w:rsidRPr="00405303">
        <w:rPr>
          <w:rFonts w:eastAsia="Times-Roman"/>
          <w:bCs/>
          <w:color w:val="002060"/>
          <w:sz w:val="16"/>
          <w:szCs w:val="16"/>
        </w:rPr>
        <w:t xml:space="preserve">, </w:t>
      </w:r>
      <w:r w:rsidRPr="00405303">
        <w:rPr>
          <w:rFonts w:eastAsia="TimesNewRoman"/>
          <w:bCs/>
          <w:color w:val="002060"/>
          <w:sz w:val="16"/>
          <w:szCs w:val="16"/>
        </w:rPr>
        <w:t>расширению и правильному ходу деятельности существующих</w:t>
      </w:r>
      <w:r w:rsidRPr="00405303">
        <w:rPr>
          <w:rFonts w:eastAsia="Times-Roman"/>
          <w:bCs/>
          <w:color w:val="002060"/>
          <w:sz w:val="16"/>
          <w:szCs w:val="16"/>
        </w:rPr>
        <w:t>» [12].</w:t>
      </w:r>
    </w:p>
    <w:p w14:paraId="409D79CE"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Такое содействие со стороны Совещания и его органов осуществлялось путем</w:t>
      </w:r>
      <w:r w:rsidRPr="00405303">
        <w:rPr>
          <w:rFonts w:eastAsia="Times-Roman"/>
          <w:bCs/>
          <w:color w:val="002060"/>
          <w:sz w:val="16"/>
          <w:szCs w:val="16"/>
        </w:rPr>
        <w:t>:</w:t>
      </w:r>
    </w:p>
    <w:p w14:paraId="7456AC2C"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предоставления предприятиям ссуд</w:t>
      </w:r>
      <w:r w:rsidRPr="00405303">
        <w:rPr>
          <w:rFonts w:eastAsia="Times-Roman"/>
          <w:bCs/>
          <w:color w:val="002060"/>
          <w:sz w:val="16"/>
          <w:szCs w:val="16"/>
        </w:rPr>
        <w:t>;</w:t>
      </w:r>
    </w:p>
    <w:p w14:paraId="3C181A1B"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выдачи авансов в увеличенных размерах под заказы</w:t>
      </w:r>
      <w:r w:rsidRPr="00405303">
        <w:rPr>
          <w:rFonts w:eastAsia="Times-Roman"/>
          <w:bCs/>
          <w:color w:val="002060"/>
          <w:sz w:val="16"/>
          <w:szCs w:val="16"/>
        </w:rPr>
        <w:t xml:space="preserve">, </w:t>
      </w:r>
      <w:r w:rsidRPr="00405303">
        <w:rPr>
          <w:rFonts w:eastAsia="TimesNewRoman"/>
          <w:bCs/>
          <w:color w:val="002060"/>
          <w:sz w:val="16"/>
          <w:szCs w:val="16"/>
        </w:rPr>
        <w:t>которые предстояло исполнить на новых производственных мощностях</w:t>
      </w:r>
      <w:r w:rsidRPr="00405303">
        <w:rPr>
          <w:rFonts w:eastAsia="Times-Roman"/>
          <w:bCs/>
          <w:color w:val="002060"/>
          <w:sz w:val="16"/>
          <w:szCs w:val="16"/>
        </w:rPr>
        <w:t>;</w:t>
      </w:r>
    </w:p>
    <w:p w14:paraId="03AE5D0C"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выдачи валюты по льготным курсам для закупки импортного оборудования</w:t>
      </w:r>
      <w:r w:rsidRPr="00405303">
        <w:rPr>
          <w:rFonts w:eastAsia="Times-Roman"/>
          <w:bCs/>
          <w:color w:val="002060"/>
          <w:sz w:val="16"/>
          <w:szCs w:val="16"/>
        </w:rPr>
        <w:t>;</w:t>
      </w:r>
    </w:p>
    <w:p w14:paraId="533443AA"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содействия в доставке оборудования из</w:t>
      </w:r>
      <w:r w:rsidRPr="00405303">
        <w:rPr>
          <w:rFonts w:eastAsia="Times-Roman"/>
          <w:bCs/>
          <w:color w:val="002060"/>
          <w:sz w:val="16"/>
          <w:szCs w:val="16"/>
        </w:rPr>
        <w:t>-</w:t>
      </w:r>
      <w:r w:rsidRPr="00405303">
        <w:rPr>
          <w:rFonts w:eastAsia="TimesNewRoman"/>
          <w:bCs/>
          <w:color w:val="002060"/>
          <w:sz w:val="16"/>
          <w:szCs w:val="16"/>
        </w:rPr>
        <w:t>за границы и перевозке его к местам назначения внутри страны и др</w:t>
      </w:r>
      <w:r w:rsidRPr="00405303">
        <w:rPr>
          <w:rFonts w:eastAsia="Times-Roman"/>
          <w:bCs/>
          <w:color w:val="002060"/>
          <w:sz w:val="16"/>
          <w:szCs w:val="16"/>
        </w:rPr>
        <w:t>.</w:t>
      </w:r>
    </w:p>
    <w:p w14:paraId="1714B457"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Во многом благодаря содействию со стороны Особого совещания по обороне наибольшего развития в годы Первой мировой войны получили такие отрасли народного хозяйства России</w:t>
      </w:r>
      <w:r w:rsidRPr="00405303">
        <w:rPr>
          <w:rFonts w:eastAsia="Times-Roman"/>
          <w:bCs/>
          <w:color w:val="002060"/>
          <w:sz w:val="16"/>
          <w:szCs w:val="16"/>
        </w:rPr>
        <w:t>:</w:t>
      </w:r>
    </w:p>
    <w:p w14:paraId="10573072"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химическая промышленность</w:t>
      </w:r>
      <w:r w:rsidRPr="00405303">
        <w:rPr>
          <w:rFonts w:eastAsia="Times-Roman"/>
          <w:bCs/>
          <w:color w:val="002060"/>
          <w:sz w:val="16"/>
          <w:szCs w:val="16"/>
        </w:rPr>
        <w:t>. «</w:t>
      </w:r>
      <w:r w:rsidRPr="00405303">
        <w:rPr>
          <w:rFonts w:eastAsia="TimesNewRoman"/>
          <w:bCs/>
          <w:color w:val="002060"/>
          <w:sz w:val="16"/>
          <w:szCs w:val="16"/>
        </w:rPr>
        <w:t>Творцом</w:t>
      </w:r>
      <w:r w:rsidRPr="00405303">
        <w:rPr>
          <w:rFonts w:eastAsia="Times-Roman"/>
          <w:bCs/>
          <w:color w:val="002060"/>
          <w:sz w:val="16"/>
          <w:szCs w:val="16"/>
        </w:rPr>
        <w:t xml:space="preserve">» </w:t>
      </w:r>
      <w:r w:rsidRPr="00405303">
        <w:rPr>
          <w:rFonts w:eastAsia="TimesNewRoman"/>
          <w:bCs/>
          <w:color w:val="002060"/>
          <w:sz w:val="16"/>
          <w:szCs w:val="16"/>
        </w:rPr>
        <w:t>этой отрасли по праву считается выдающийся химик и организатор производства профессор Михайловской академии генерал</w:t>
      </w:r>
      <w:r w:rsidRPr="00405303">
        <w:rPr>
          <w:rFonts w:eastAsia="Times-Roman"/>
          <w:bCs/>
          <w:color w:val="002060"/>
          <w:sz w:val="16"/>
          <w:szCs w:val="16"/>
        </w:rPr>
        <w:t>-</w:t>
      </w:r>
      <w:r w:rsidRPr="00405303">
        <w:rPr>
          <w:rFonts w:eastAsia="TimesNewRoman"/>
          <w:bCs/>
          <w:color w:val="002060"/>
          <w:sz w:val="16"/>
          <w:szCs w:val="16"/>
        </w:rPr>
        <w:t>майор В</w:t>
      </w:r>
      <w:r w:rsidRPr="00405303">
        <w:rPr>
          <w:rFonts w:eastAsia="Times-Roman"/>
          <w:bCs/>
          <w:color w:val="002060"/>
          <w:sz w:val="16"/>
          <w:szCs w:val="16"/>
        </w:rPr>
        <w:t>.</w:t>
      </w:r>
      <w:r w:rsidRPr="00405303">
        <w:rPr>
          <w:rFonts w:eastAsia="TimesNewRoman"/>
          <w:bCs/>
          <w:color w:val="002060"/>
          <w:sz w:val="16"/>
          <w:szCs w:val="16"/>
        </w:rPr>
        <w:t>Н</w:t>
      </w:r>
      <w:r w:rsidRPr="00405303">
        <w:rPr>
          <w:rFonts w:eastAsia="Times-Roman"/>
          <w:bCs/>
          <w:color w:val="002060"/>
          <w:sz w:val="16"/>
          <w:szCs w:val="16"/>
        </w:rPr>
        <w:t xml:space="preserve">. </w:t>
      </w:r>
      <w:r w:rsidRPr="00405303">
        <w:rPr>
          <w:rFonts w:eastAsia="TimesNewRoman"/>
          <w:bCs/>
          <w:color w:val="002060"/>
          <w:sz w:val="16"/>
          <w:szCs w:val="16"/>
        </w:rPr>
        <w:t>Ипатьев</w:t>
      </w:r>
      <w:r w:rsidRPr="00405303">
        <w:rPr>
          <w:rFonts w:eastAsia="Times-Roman"/>
          <w:bCs/>
          <w:color w:val="002060"/>
          <w:sz w:val="16"/>
          <w:szCs w:val="16"/>
        </w:rPr>
        <w:t xml:space="preserve">, </w:t>
      </w:r>
      <w:r w:rsidRPr="00405303">
        <w:rPr>
          <w:rFonts w:eastAsia="TimesNewRoman"/>
          <w:bCs/>
          <w:color w:val="002060"/>
          <w:sz w:val="16"/>
          <w:szCs w:val="16"/>
        </w:rPr>
        <w:t xml:space="preserve">возглавлявший комиссию по заготовке взрывчатых веществ </w:t>
      </w:r>
      <w:r w:rsidRPr="00405303">
        <w:rPr>
          <w:rFonts w:eastAsia="Times-Roman"/>
          <w:bCs/>
          <w:color w:val="002060"/>
          <w:sz w:val="16"/>
          <w:szCs w:val="16"/>
        </w:rPr>
        <w:t>(</w:t>
      </w:r>
      <w:r w:rsidRPr="00405303">
        <w:rPr>
          <w:rFonts w:eastAsia="TimesNewRoman"/>
          <w:bCs/>
          <w:color w:val="002060"/>
          <w:sz w:val="16"/>
          <w:szCs w:val="16"/>
        </w:rPr>
        <w:t xml:space="preserve">позднее </w:t>
      </w:r>
      <w:r w:rsidRPr="00405303">
        <w:rPr>
          <w:rFonts w:eastAsia="Times-Roman"/>
          <w:bCs/>
          <w:color w:val="002060"/>
          <w:sz w:val="16"/>
          <w:szCs w:val="16"/>
        </w:rPr>
        <w:t xml:space="preserve">– </w:t>
      </w:r>
      <w:r w:rsidRPr="00405303">
        <w:rPr>
          <w:rFonts w:eastAsia="TimesNewRoman"/>
          <w:bCs/>
          <w:color w:val="002060"/>
          <w:sz w:val="16"/>
          <w:szCs w:val="16"/>
        </w:rPr>
        <w:t>Химический комитет</w:t>
      </w:r>
      <w:r w:rsidRPr="00405303">
        <w:rPr>
          <w:rFonts w:eastAsia="Times-Roman"/>
          <w:bCs/>
          <w:color w:val="002060"/>
          <w:sz w:val="16"/>
          <w:szCs w:val="16"/>
        </w:rPr>
        <w:t xml:space="preserve">) </w:t>
      </w:r>
      <w:r w:rsidRPr="00405303">
        <w:rPr>
          <w:rFonts w:eastAsia="TimesNewRoman"/>
          <w:bCs/>
          <w:color w:val="002060"/>
          <w:sz w:val="16"/>
          <w:szCs w:val="16"/>
        </w:rPr>
        <w:t>при ГАУ</w:t>
      </w:r>
      <w:r w:rsidRPr="00405303">
        <w:rPr>
          <w:rFonts w:eastAsia="Times-Roman"/>
          <w:bCs/>
          <w:color w:val="002060"/>
          <w:sz w:val="16"/>
          <w:szCs w:val="16"/>
        </w:rPr>
        <w:t xml:space="preserve">. </w:t>
      </w:r>
      <w:r w:rsidRPr="00405303">
        <w:rPr>
          <w:rFonts w:eastAsia="TimesNewRoman"/>
          <w:bCs/>
          <w:color w:val="002060"/>
          <w:sz w:val="16"/>
          <w:szCs w:val="16"/>
        </w:rPr>
        <w:t>Не будучи непосредственно структурным элементом Особого совещания по обороне</w:t>
      </w:r>
      <w:r w:rsidRPr="00405303">
        <w:rPr>
          <w:rFonts w:eastAsia="Times-Roman"/>
          <w:bCs/>
          <w:color w:val="002060"/>
          <w:sz w:val="16"/>
          <w:szCs w:val="16"/>
        </w:rPr>
        <w:t xml:space="preserve">, </w:t>
      </w:r>
      <w:r w:rsidRPr="00405303">
        <w:rPr>
          <w:rFonts w:eastAsia="TimesNewRoman"/>
          <w:bCs/>
          <w:color w:val="002060"/>
          <w:sz w:val="16"/>
          <w:szCs w:val="16"/>
        </w:rPr>
        <w:t xml:space="preserve">эта комиссия </w:t>
      </w:r>
      <w:r w:rsidRPr="00405303">
        <w:rPr>
          <w:rFonts w:eastAsia="Times-Roman"/>
          <w:bCs/>
          <w:color w:val="002060"/>
          <w:sz w:val="16"/>
          <w:szCs w:val="16"/>
        </w:rPr>
        <w:t>(</w:t>
      </w:r>
      <w:r w:rsidRPr="00405303">
        <w:rPr>
          <w:rFonts w:eastAsia="TimesNewRoman"/>
          <w:bCs/>
          <w:color w:val="002060"/>
          <w:sz w:val="16"/>
          <w:szCs w:val="16"/>
        </w:rPr>
        <w:t>комитет</w:t>
      </w:r>
      <w:r w:rsidRPr="00405303">
        <w:rPr>
          <w:rFonts w:eastAsia="Times-Roman"/>
          <w:bCs/>
          <w:color w:val="002060"/>
          <w:sz w:val="16"/>
          <w:szCs w:val="16"/>
        </w:rPr>
        <w:t xml:space="preserve">) </w:t>
      </w:r>
      <w:r w:rsidRPr="00405303">
        <w:rPr>
          <w:rFonts w:eastAsia="TimesNewRoman"/>
          <w:bCs/>
          <w:color w:val="002060"/>
          <w:sz w:val="16"/>
          <w:szCs w:val="16"/>
        </w:rPr>
        <w:t>тем не менее в полной мере опиралась на авторитет Совещания</w:t>
      </w:r>
      <w:r w:rsidRPr="00405303">
        <w:rPr>
          <w:rFonts w:eastAsia="Times-Roman"/>
          <w:bCs/>
          <w:color w:val="002060"/>
          <w:sz w:val="16"/>
          <w:szCs w:val="16"/>
        </w:rPr>
        <w:t xml:space="preserve">, </w:t>
      </w:r>
      <w:r w:rsidRPr="00405303">
        <w:rPr>
          <w:rFonts w:eastAsia="TimesNewRoman"/>
          <w:bCs/>
          <w:color w:val="002060"/>
          <w:sz w:val="16"/>
          <w:szCs w:val="16"/>
        </w:rPr>
        <w:t>а сам В</w:t>
      </w:r>
      <w:r w:rsidRPr="00405303">
        <w:rPr>
          <w:rFonts w:eastAsia="Times-Roman"/>
          <w:bCs/>
          <w:color w:val="002060"/>
          <w:sz w:val="16"/>
          <w:szCs w:val="16"/>
        </w:rPr>
        <w:t>.</w:t>
      </w:r>
      <w:r w:rsidRPr="00405303">
        <w:rPr>
          <w:rFonts w:eastAsia="TimesNewRoman"/>
          <w:bCs/>
          <w:color w:val="002060"/>
          <w:sz w:val="16"/>
          <w:szCs w:val="16"/>
        </w:rPr>
        <w:t>Н</w:t>
      </w:r>
      <w:r w:rsidRPr="00405303">
        <w:rPr>
          <w:rFonts w:eastAsia="Times-Roman"/>
          <w:bCs/>
          <w:color w:val="002060"/>
          <w:sz w:val="16"/>
          <w:szCs w:val="16"/>
        </w:rPr>
        <w:t xml:space="preserve">. </w:t>
      </w:r>
      <w:r w:rsidRPr="00405303">
        <w:rPr>
          <w:rFonts w:eastAsia="TimesNewRoman"/>
          <w:bCs/>
          <w:color w:val="002060"/>
          <w:sz w:val="16"/>
          <w:szCs w:val="16"/>
        </w:rPr>
        <w:t>Ипатьев по сути дела стал уполномоченным его председателя по вопросам химического производства</w:t>
      </w:r>
      <w:r w:rsidRPr="00405303">
        <w:rPr>
          <w:rFonts w:eastAsia="Times-Roman"/>
          <w:bCs/>
          <w:color w:val="002060"/>
          <w:sz w:val="16"/>
          <w:szCs w:val="16"/>
        </w:rPr>
        <w:t>;</w:t>
      </w:r>
    </w:p>
    <w:p w14:paraId="7BEA39C9"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автомобильная промышленость</w:t>
      </w:r>
      <w:r w:rsidRPr="00405303">
        <w:rPr>
          <w:rFonts w:eastAsia="Times-Roman"/>
          <w:bCs/>
          <w:color w:val="002060"/>
          <w:sz w:val="16"/>
          <w:szCs w:val="16"/>
        </w:rPr>
        <w:t xml:space="preserve">. </w:t>
      </w:r>
      <w:r w:rsidRPr="00405303">
        <w:rPr>
          <w:rFonts w:eastAsia="TimesNewRoman"/>
          <w:bCs/>
          <w:color w:val="002060"/>
          <w:sz w:val="16"/>
          <w:szCs w:val="16"/>
        </w:rPr>
        <w:t xml:space="preserve">В начале </w:t>
      </w:r>
      <w:r w:rsidRPr="00405303">
        <w:rPr>
          <w:rFonts w:eastAsia="Times-Roman"/>
          <w:bCs/>
          <w:color w:val="002060"/>
          <w:sz w:val="16"/>
          <w:szCs w:val="16"/>
        </w:rPr>
        <w:t xml:space="preserve">1916 </w:t>
      </w:r>
      <w:r w:rsidRPr="00405303">
        <w:rPr>
          <w:rFonts w:eastAsia="TimesNewRoman"/>
          <w:bCs/>
          <w:color w:val="002060"/>
          <w:sz w:val="16"/>
          <w:szCs w:val="16"/>
        </w:rPr>
        <w:t>г</w:t>
      </w:r>
      <w:r w:rsidRPr="00405303">
        <w:rPr>
          <w:rFonts w:eastAsia="Times-Roman"/>
          <w:bCs/>
          <w:color w:val="002060"/>
          <w:sz w:val="16"/>
          <w:szCs w:val="16"/>
        </w:rPr>
        <w:t xml:space="preserve">. </w:t>
      </w:r>
      <w:r w:rsidRPr="00405303">
        <w:rPr>
          <w:rFonts w:eastAsia="TimesNewRoman"/>
          <w:bCs/>
          <w:color w:val="002060"/>
          <w:sz w:val="16"/>
          <w:szCs w:val="16"/>
        </w:rPr>
        <w:t xml:space="preserve">правительством было принято решение о поддержке проекта строительства пяти частных автозаводов </w:t>
      </w:r>
      <w:r w:rsidRPr="00405303">
        <w:rPr>
          <w:rFonts w:eastAsia="Times-Roman"/>
          <w:bCs/>
          <w:color w:val="002060"/>
          <w:sz w:val="16"/>
          <w:szCs w:val="16"/>
        </w:rPr>
        <w:t>(</w:t>
      </w:r>
      <w:r w:rsidRPr="00405303">
        <w:rPr>
          <w:rFonts w:eastAsia="TimesNewRoman"/>
          <w:bCs/>
          <w:color w:val="002060"/>
          <w:sz w:val="16"/>
          <w:szCs w:val="16"/>
        </w:rPr>
        <w:t xml:space="preserve">товарищества </w:t>
      </w:r>
      <w:r w:rsidRPr="00405303">
        <w:rPr>
          <w:rFonts w:eastAsia="Times-Roman"/>
          <w:bCs/>
          <w:color w:val="002060"/>
          <w:sz w:val="16"/>
          <w:szCs w:val="16"/>
        </w:rPr>
        <w:t>«</w:t>
      </w:r>
      <w:r w:rsidRPr="00405303">
        <w:rPr>
          <w:rFonts w:eastAsia="TimesNewRoman"/>
          <w:bCs/>
          <w:color w:val="002060"/>
          <w:sz w:val="16"/>
          <w:szCs w:val="16"/>
        </w:rPr>
        <w:t>Кузнецов и Рябушинский</w:t>
      </w:r>
      <w:r w:rsidRPr="00405303">
        <w:rPr>
          <w:rFonts w:eastAsia="Times-Roman"/>
          <w:bCs/>
          <w:color w:val="002060"/>
          <w:sz w:val="16"/>
          <w:szCs w:val="16"/>
        </w:rPr>
        <w:t xml:space="preserve">» </w:t>
      </w:r>
      <w:r w:rsidRPr="00405303">
        <w:rPr>
          <w:rFonts w:eastAsia="TimesNewRoman"/>
          <w:bCs/>
          <w:color w:val="002060"/>
          <w:sz w:val="16"/>
          <w:szCs w:val="16"/>
        </w:rPr>
        <w:t>и Русско</w:t>
      </w:r>
      <w:r w:rsidRPr="00405303">
        <w:rPr>
          <w:rFonts w:eastAsia="Times-Roman"/>
          <w:bCs/>
          <w:color w:val="002060"/>
          <w:sz w:val="16"/>
          <w:szCs w:val="16"/>
        </w:rPr>
        <w:t>-</w:t>
      </w:r>
      <w:r w:rsidRPr="00405303">
        <w:rPr>
          <w:rFonts w:eastAsia="TimesNewRoman"/>
          <w:bCs/>
          <w:color w:val="002060"/>
          <w:sz w:val="16"/>
          <w:szCs w:val="16"/>
        </w:rPr>
        <w:t>Балтийского вагонного завода в Москве</w:t>
      </w:r>
      <w:r w:rsidRPr="00405303">
        <w:rPr>
          <w:rFonts w:eastAsia="Times-Roman"/>
          <w:bCs/>
          <w:color w:val="002060"/>
          <w:sz w:val="16"/>
          <w:szCs w:val="16"/>
        </w:rPr>
        <w:t xml:space="preserve">, </w:t>
      </w:r>
      <w:r w:rsidRPr="00405303">
        <w:rPr>
          <w:rFonts w:eastAsia="TimesNewRoman"/>
          <w:bCs/>
          <w:color w:val="002060"/>
          <w:sz w:val="16"/>
          <w:szCs w:val="16"/>
        </w:rPr>
        <w:t xml:space="preserve">АО воздухоплавания </w:t>
      </w:r>
      <w:r w:rsidRPr="00405303">
        <w:rPr>
          <w:rFonts w:eastAsia="Times-Roman"/>
          <w:bCs/>
          <w:color w:val="002060"/>
          <w:sz w:val="16"/>
          <w:szCs w:val="16"/>
        </w:rPr>
        <w:t>«</w:t>
      </w:r>
      <w:r w:rsidRPr="00405303">
        <w:rPr>
          <w:rFonts w:eastAsia="TimesNewRoman"/>
          <w:bCs/>
          <w:color w:val="002060"/>
          <w:sz w:val="16"/>
          <w:szCs w:val="16"/>
        </w:rPr>
        <w:t>В</w:t>
      </w:r>
      <w:r w:rsidRPr="00405303">
        <w:rPr>
          <w:rFonts w:eastAsia="Times-Roman"/>
          <w:bCs/>
          <w:color w:val="002060"/>
          <w:sz w:val="16"/>
          <w:szCs w:val="16"/>
        </w:rPr>
        <w:t>.</w:t>
      </w:r>
      <w:r w:rsidRPr="00405303">
        <w:rPr>
          <w:rFonts w:eastAsia="TimesNewRoman"/>
          <w:bCs/>
          <w:color w:val="002060"/>
          <w:sz w:val="16"/>
          <w:szCs w:val="16"/>
        </w:rPr>
        <w:t>А</w:t>
      </w:r>
      <w:r w:rsidRPr="00405303">
        <w:rPr>
          <w:rFonts w:eastAsia="Times-Roman"/>
          <w:bCs/>
          <w:color w:val="002060"/>
          <w:sz w:val="16"/>
          <w:szCs w:val="16"/>
        </w:rPr>
        <w:t xml:space="preserve">. </w:t>
      </w:r>
      <w:r w:rsidRPr="00405303">
        <w:rPr>
          <w:rFonts w:eastAsia="TimesNewRoman"/>
          <w:bCs/>
          <w:color w:val="002060"/>
          <w:sz w:val="16"/>
          <w:szCs w:val="16"/>
        </w:rPr>
        <w:t>Лебедев</w:t>
      </w:r>
      <w:r w:rsidRPr="00405303">
        <w:rPr>
          <w:rFonts w:eastAsia="Times-Roman"/>
          <w:bCs/>
          <w:color w:val="002060"/>
          <w:sz w:val="16"/>
          <w:szCs w:val="16"/>
        </w:rPr>
        <w:t xml:space="preserve">» </w:t>
      </w:r>
      <w:r w:rsidRPr="00405303">
        <w:rPr>
          <w:rFonts w:eastAsia="TimesNewRoman"/>
          <w:bCs/>
          <w:color w:val="002060"/>
          <w:sz w:val="16"/>
          <w:szCs w:val="16"/>
        </w:rPr>
        <w:t>в Ярославле</w:t>
      </w:r>
      <w:r w:rsidRPr="00405303">
        <w:rPr>
          <w:rFonts w:eastAsia="Times-Roman"/>
          <w:bCs/>
          <w:color w:val="002060"/>
          <w:sz w:val="16"/>
          <w:szCs w:val="16"/>
        </w:rPr>
        <w:t xml:space="preserve">, </w:t>
      </w:r>
      <w:r w:rsidRPr="00405303">
        <w:rPr>
          <w:rFonts w:eastAsia="TimesNewRoman"/>
          <w:bCs/>
          <w:color w:val="002060"/>
          <w:sz w:val="16"/>
          <w:szCs w:val="16"/>
        </w:rPr>
        <w:t xml:space="preserve">АО </w:t>
      </w:r>
      <w:r w:rsidRPr="00405303">
        <w:rPr>
          <w:rFonts w:eastAsia="Times-Roman"/>
          <w:bCs/>
          <w:color w:val="002060"/>
          <w:sz w:val="16"/>
          <w:szCs w:val="16"/>
        </w:rPr>
        <w:t>«</w:t>
      </w:r>
      <w:r w:rsidRPr="00405303">
        <w:rPr>
          <w:rFonts w:eastAsia="TimesNewRoman"/>
          <w:bCs/>
          <w:color w:val="002060"/>
          <w:sz w:val="16"/>
          <w:szCs w:val="16"/>
        </w:rPr>
        <w:t>Русский Рено</w:t>
      </w:r>
      <w:r w:rsidRPr="00405303">
        <w:rPr>
          <w:rFonts w:eastAsia="Times-Roman"/>
          <w:bCs/>
          <w:color w:val="002060"/>
          <w:sz w:val="16"/>
          <w:szCs w:val="16"/>
        </w:rPr>
        <w:t xml:space="preserve">» </w:t>
      </w:r>
      <w:r w:rsidRPr="00405303">
        <w:rPr>
          <w:rFonts w:eastAsia="TimesNewRoman"/>
          <w:bCs/>
          <w:color w:val="002060"/>
          <w:sz w:val="16"/>
          <w:szCs w:val="16"/>
        </w:rPr>
        <w:t xml:space="preserve">в Рыбинске и АО </w:t>
      </w:r>
      <w:r w:rsidRPr="00405303">
        <w:rPr>
          <w:rFonts w:eastAsia="Times-Roman"/>
          <w:bCs/>
          <w:color w:val="002060"/>
          <w:sz w:val="16"/>
          <w:szCs w:val="16"/>
        </w:rPr>
        <w:t>«</w:t>
      </w:r>
      <w:r w:rsidRPr="00405303">
        <w:rPr>
          <w:rFonts w:eastAsia="TimesNewRoman"/>
          <w:bCs/>
          <w:color w:val="002060"/>
          <w:sz w:val="16"/>
          <w:szCs w:val="16"/>
        </w:rPr>
        <w:t>Аксай</w:t>
      </w:r>
      <w:r w:rsidRPr="00405303">
        <w:rPr>
          <w:rFonts w:eastAsia="Times-Roman"/>
          <w:bCs/>
          <w:color w:val="002060"/>
          <w:sz w:val="16"/>
          <w:szCs w:val="16"/>
        </w:rPr>
        <w:t xml:space="preserve">» </w:t>
      </w:r>
      <w:r w:rsidRPr="00405303">
        <w:rPr>
          <w:rFonts w:eastAsia="TimesNewRoman"/>
          <w:bCs/>
          <w:color w:val="002060"/>
          <w:sz w:val="16"/>
          <w:szCs w:val="16"/>
        </w:rPr>
        <w:t>в пригороде Ростова</w:t>
      </w:r>
      <w:r w:rsidRPr="00405303">
        <w:rPr>
          <w:rFonts w:eastAsia="Times-Roman"/>
          <w:bCs/>
          <w:color w:val="002060"/>
          <w:sz w:val="16"/>
          <w:szCs w:val="16"/>
        </w:rPr>
        <w:t>-</w:t>
      </w:r>
      <w:r w:rsidRPr="00405303">
        <w:rPr>
          <w:rFonts w:eastAsia="TimesNewRoman"/>
          <w:bCs/>
          <w:color w:val="002060"/>
          <w:sz w:val="16"/>
          <w:szCs w:val="16"/>
        </w:rPr>
        <w:t>на</w:t>
      </w:r>
      <w:r w:rsidRPr="00405303">
        <w:rPr>
          <w:rFonts w:eastAsia="Times-Roman"/>
          <w:bCs/>
          <w:color w:val="002060"/>
          <w:sz w:val="16"/>
          <w:szCs w:val="16"/>
        </w:rPr>
        <w:t>-</w:t>
      </w:r>
      <w:r w:rsidRPr="00405303">
        <w:rPr>
          <w:rFonts w:eastAsia="TimesNewRoman"/>
          <w:bCs/>
          <w:color w:val="002060"/>
          <w:sz w:val="16"/>
          <w:szCs w:val="16"/>
        </w:rPr>
        <w:t>Дону Нахичевани</w:t>
      </w:r>
      <w:r w:rsidRPr="00405303">
        <w:rPr>
          <w:rFonts w:eastAsia="Times-Roman"/>
          <w:bCs/>
          <w:color w:val="002060"/>
          <w:sz w:val="16"/>
          <w:szCs w:val="16"/>
        </w:rPr>
        <w:t xml:space="preserve">), </w:t>
      </w:r>
      <w:r w:rsidRPr="00405303">
        <w:rPr>
          <w:rFonts w:eastAsia="TimesNewRoman"/>
          <w:bCs/>
          <w:color w:val="002060"/>
          <w:sz w:val="16"/>
          <w:szCs w:val="16"/>
        </w:rPr>
        <w:t>а также казенного автозавода в Мытищах</w:t>
      </w:r>
      <w:r w:rsidRPr="00405303">
        <w:rPr>
          <w:rFonts w:eastAsia="Times-Roman"/>
          <w:bCs/>
          <w:color w:val="002060"/>
          <w:sz w:val="16"/>
          <w:szCs w:val="16"/>
        </w:rPr>
        <w:t xml:space="preserve">, </w:t>
      </w:r>
      <w:r w:rsidRPr="00405303">
        <w:rPr>
          <w:rFonts w:eastAsia="TimesNewRoman"/>
          <w:bCs/>
          <w:color w:val="002060"/>
          <w:sz w:val="16"/>
          <w:szCs w:val="16"/>
        </w:rPr>
        <w:t xml:space="preserve">сооружавшегося фирмой </w:t>
      </w:r>
      <w:r w:rsidRPr="00405303">
        <w:rPr>
          <w:rFonts w:eastAsia="Times-Roman"/>
          <w:bCs/>
          <w:color w:val="002060"/>
          <w:sz w:val="16"/>
          <w:szCs w:val="16"/>
        </w:rPr>
        <w:t>«</w:t>
      </w:r>
      <w:r w:rsidRPr="00405303">
        <w:rPr>
          <w:rFonts w:eastAsia="TimesNewRoman"/>
          <w:bCs/>
          <w:color w:val="002060"/>
          <w:sz w:val="16"/>
          <w:szCs w:val="16"/>
        </w:rPr>
        <w:t>Британское инженерное общество Сибири</w:t>
      </w:r>
      <w:r w:rsidRPr="00405303">
        <w:rPr>
          <w:rFonts w:eastAsia="Times-Roman"/>
          <w:bCs/>
          <w:color w:val="002060"/>
          <w:sz w:val="16"/>
          <w:szCs w:val="16"/>
        </w:rPr>
        <w:t>»;</w:t>
      </w:r>
    </w:p>
    <w:p w14:paraId="63B7D2F2"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авиационная промышленность</w:t>
      </w:r>
      <w:r w:rsidRPr="00405303">
        <w:rPr>
          <w:rFonts w:eastAsia="Times-Roman"/>
          <w:bCs/>
          <w:color w:val="002060"/>
          <w:sz w:val="16"/>
          <w:szCs w:val="16"/>
        </w:rPr>
        <w:t xml:space="preserve">. </w:t>
      </w:r>
      <w:r w:rsidRPr="00405303">
        <w:rPr>
          <w:rFonts w:eastAsia="TimesNewRoman"/>
          <w:bCs/>
          <w:color w:val="002060"/>
          <w:sz w:val="16"/>
          <w:szCs w:val="16"/>
        </w:rPr>
        <w:t>Благодаря всемерной поддержке со стороны Особого совещания по обороне</w:t>
      </w:r>
      <w:r w:rsidRPr="00405303">
        <w:rPr>
          <w:rFonts w:eastAsia="Times-Roman"/>
          <w:bCs/>
          <w:color w:val="002060"/>
          <w:sz w:val="16"/>
          <w:szCs w:val="16"/>
        </w:rPr>
        <w:t xml:space="preserve">, </w:t>
      </w:r>
      <w:r w:rsidRPr="00405303">
        <w:rPr>
          <w:rFonts w:eastAsia="TimesNewRoman"/>
          <w:bCs/>
          <w:color w:val="002060"/>
          <w:sz w:val="16"/>
          <w:szCs w:val="16"/>
        </w:rPr>
        <w:t xml:space="preserve">производительность отечественных авиационных предприятий возросла в </w:t>
      </w:r>
      <w:r w:rsidRPr="00405303">
        <w:rPr>
          <w:rFonts w:eastAsia="Times-Roman"/>
          <w:bCs/>
          <w:color w:val="002060"/>
          <w:sz w:val="16"/>
          <w:szCs w:val="16"/>
        </w:rPr>
        <w:t xml:space="preserve">1917 </w:t>
      </w:r>
      <w:r w:rsidRPr="00405303">
        <w:rPr>
          <w:rFonts w:eastAsia="TimesNewRoman"/>
          <w:bCs/>
          <w:color w:val="002060"/>
          <w:sz w:val="16"/>
          <w:szCs w:val="16"/>
        </w:rPr>
        <w:t>г</w:t>
      </w:r>
      <w:r w:rsidRPr="00405303">
        <w:rPr>
          <w:rFonts w:eastAsia="Times-Roman"/>
          <w:bCs/>
          <w:color w:val="002060"/>
          <w:sz w:val="16"/>
          <w:szCs w:val="16"/>
        </w:rPr>
        <w:t xml:space="preserve">. </w:t>
      </w:r>
      <w:r w:rsidRPr="00405303">
        <w:rPr>
          <w:rFonts w:eastAsia="TimesNewRoman"/>
          <w:bCs/>
          <w:color w:val="002060"/>
          <w:sz w:val="16"/>
          <w:szCs w:val="16"/>
        </w:rPr>
        <w:t xml:space="preserve">по сравнению с довоенным периодом почти в </w:t>
      </w:r>
      <w:r w:rsidRPr="00405303">
        <w:rPr>
          <w:rFonts w:eastAsia="Times-Roman"/>
          <w:bCs/>
          <w:color w:val="002060"/>
          <w:sz w:val="16"/>
          <w:szCs w:val="16"/>
        </w:rPr>
        <w:t xml:space="preserve">10 </w:t>
      </w:r>
      <w:r w:rsidRPr="00405303">
        <w:rPr>
          <w:rFonts w:eastAsia="TimesNewRoman"/>
          <w:bCs/>
          <w:color w:val="002060"/>
          <w:sz w:val="16"/>
          <w:szCs w:val="16"/>
        </w:rPr>
        <w:t xml:space="preserve">раз </w:t>
      </w:r>
      <w:r w:rsidRPr="00405303">
        <w:rPr>
          <w:rFonts w:eastAsia="Times-Roman"/>
          <w:bCs/>
          <w:color w:val="002060"/>
          <w:sz w:val="16"/>
          <w:szCs w:val="16"/>
        </w:rPr>
        <w:t>[13];</w:t>
      </w:r>
    </w:p>
    <w:p w14:paraId="1E2482BB"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электротехническая промышленность</w:t>
      </w:r>
      <w:r w:rsidRPr="00405303">
        <w:rPr>
          <w:rFonts w:eastAsia="Times-Roman"/>
          <w:bCs/>
          <w:color w:val="002060"/>
          <w:sz w:val="16"/>
          <w:szCs w:val="16"/>
        </w:rPr>
        <w:t xml:space="preserve">. </w:t>
      </w:r>
      <w:r w:rsidRPr="00405303">
        <w:rPr>
          <w:rFonts w:eastAsia="TimesNewRoman"/>
          <w:bCs/>
          <w:color w:val="002060"/>
          <w:sz w:val="16"/>
          <w:szCs w:val="16"/>
        </w:rPr>
        <w:t xml:space="preserve">В годы войны была начата региональная диверсификация этой отрасли в связи со строительством ряда предприятий вне Петроградского промышленного района </w:t>
      </w:r>
      <w:r w:rsidRPr="00405303">
        <w:rPr>
          <w:rFonts w:eastAsia="Times-Roman"/>
          <w:bCs/>
          <w:color w:val="002060"/>
          <w:sz w:val="16"/>
          <w:szCs w:val="16"/>
        </w:rPr>
        <w:t>(</w:t>
      </w:r>
      <w:r w:rsidRPr="00405303">
        <w:rPr>
          <w:rFonts w:eastAsia="TimesNewRoman"/>
          <w:bCs/>
          <w:color w:val="002060"/>
          <w:sz w:val="16"/>
          <w:szCs w:val="16"/>
        </w:rPr>
        <w:t>кабельный завод в Харькове</w:t>
      </w:r>
      <w:r w:rsidRPr="00405303">
        <w:rPr>
          <w:rFonts w:eastAsia="Times-Roman"/>
          <w:bCs/>
          <w:color w:val="002060"/>
          <w:sz w:val="16"/>
          <w:szCs w:val="16"/>
        </w:rPr>
        <w:t xml:space="preserve">, </w:t>
      </w:r>
      <w:r w:rsidRPr="00405303">
        <w:rPr>
          <w:rFonts w:eastAsia="TimesNewRoman"/>
          <w:bCs/>
          <w:color w:val="002060"/>
          <w:sz w:val="16"/>
          <w:szCs w:val="16"/>
        </w:rPr>
        <w:t>телефонно</w:t>
      </w:r>
      <w:r w:rsidRPr="00405303">
        <w:rPr>
          <w:rFonts w:eastAsia="Times-Roman"/>
          <w:bCs/>
          <w:color w:val="002060"/>
          <w:sz w:val="16"/>
          <w:szCs w:val="16"/>
        </w:rPr>
        <w:t>-</w:t>
      </w:r>
      <w:r w:rsidRPr="00405303">
        <w:rPr>
          <w:rFonts w:eastAsia="TimesNewRoman"/>
          <w:bCs/>
          <w:color w:val="002060"/>
          <w:sz w:val="16"/>
          <w:szCs w:val="16"/>
        </w:rPr>
        <w:t>телеграфные заводы там же в Харькове</w:t>
      </w:r>
      <w:r w:rsidRPr="00405303">
        <w:rPr>
          <w:rFonts w:eastAsia="Times-Roman"/>
          <w:bCs/>
          <w:color w:val="002060"/>
          <w:sz w:val="16"/>
          <w:szCs w:val="16"/>
        </w:rPr>
        <w:t xml:space="preserve">, </w:t>
      </w:r>
      <w:r w:rsidRPr="00405303">
        <w:rPr>
          <w:rFonts w:eastAsia="TimesNewRoman"/>
          <w:bCs/>
          <w:color w:val="002060"/>
          <w:sz w:val="16"/>
          <w:szCs w:val="16"/>
        </w:rPr>
        <w:t>а также в Москве и Нижнем Новгороде</w:t>
      </w:r>
      <w:r w:rsidRPr="00405303">
        <w:rPr>
          <w:rFonts w:eastAsia="Times-Roman"/>
          <w:bCs/>
          <w:color w:val="002060"/>
          <w:sz w:val="16"/>
          <w:szCs w:val="16"/>
        </w:rPr>
        <w:t>).</w:t>
      </w:r>
    </w:p>
    <w:p w14:paraId="79B7FA3A"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Определенный толчок к развитию получили также станкостроение</w:t>
      </w:r>
      <w:r w:rsidRPr="00405303">
        <w:rPr>
          <w:rFonts w:eastAsia="Times-Roman"/>
          <w:bCs/>
          <w:color w:val="002060"/>
          <w:sz w:val="16"/>
          <w:szCs w:val="16"/>
        </w:rPr>
        <w:t xml:space="preserve">, </w:t>
      </w:r>
      <w:r w:rsidRPr="00405303">
        <w:rPr>
          <w:rFonts w:eastAsia="TimesNewRoman"/>
          <w:bCs/>
          <w:color w:val="002060"/>
          <w:sz w:val="16"/>
          <w:szCs w:val="16"/>
        </w:rPr>
        <w:t>подшипникостроение</w:t>
      </w:r>
      <w:r w:rsidRPr="00405303">
        <w:rPr>
          <w:rFonts w:eastAsia="Times-Roman"/>
          <w:bCs/>
          <w:color w:val="002060"/>
          <w:sz w:val="16"/>
          <w:szCs w:val="16"/>
        </w:rPr>
        <w:t xml:space="preserve">, </w:t>
      </w:r>
      <w:r w:rsidRPr="00405303">
        <w:rPr>
          <w:rFonts w:eastAsia="TimesNewRoman"/>
          <w:bCs/>
          <w:color w:val="002060"/>
          <w:sz w:val="16"/>
          <w:szCs w:val="16"/>
        </w:rPr>
        <w:t>резиновое и оптическое производства</w:t>
      </w:r>
      <w:r w:rsidRPr="00405303">
        <w:rPr>
          <w:rFonts w:eastAsia="Times-Roman"/>
          <w:bCs/>
          <w:color w:val="002060"/>
          <w:sz w:val="16"/>
          <w:szCs w:val="16"/>
        </w:rPr>
        <w:t>.</w:t>
      </w:r>
    </w:p>
    <w:p w14:paraId="2207690D"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Особое совещание активно занималось решением вопросов обеспечения промышленности необходимыми для ее работы ресурсами</w:t>
      </w:r>
      <w:r w:rsidRPr="00405303">
        <w:rPr>
          <w:rFonts w:eastAsia="Times-Roman"/>
          <w:bCs/>
          <w:color w:val="002060"/>
          <w:sz w:val="16"/>
          <w:szCs w:val="16"/>
        </w:rPr>
        <w:t xml:space="preserve">, </w:t>
      </w:r>
      <w:r w:rsidRPr="00405303">
        <w:rPr>
          <w:rFonts w:eastAsia="TimesNewRoman"/>
          <w:bCs/>
          <w:color w:val="002060"/>
          <w:sz w:val="16"/>
          <w:szCs w:val="16"/>
        </w:rPr>
        <w:t>поступление которых по обычным каналам в условиях войны было затруднено или вовсе прекратилось</w:t>
      </w:r>
      <w:r w:rsidRPr="00405303">
        <w:rPr>
          <w:rFonts w:eastAsia="Times-Roman"/>
          <w:bCs/>
          <w:color w:val="002060"/>
          <w:sz w:val="16"/>
          <w:szCs w:val="16"/>
        </w:rPr>
        <w:t>.</w:t>
      </w:r>
    </w:p>
    <w:p w14:paraId="1155D372"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С этой целью был создан целый ряд функциональных органов Совещания</w:t>
      </w:r>
      <w:r w:rsidRPr="00405303">
        <w:rPr>
          <w:rFonts w:eastAsia="Times-Roman"/>
          <w:bCs/>
          <w:color w:val="002060"/>
          <w:sz w:val="16"/>
          <w:szCs w:val="16"/>
        </w:rPr>
        <w:t xml:space="preserve">, </w:t>
      </w:r>
      <w:r w:rsidRPr="00405303">
        <w:rPr>
          <w:rFonts w:eastAsia="TimesNewRoman"/>
          <w:bCs/>
          <w:color w:val="002060"/>
          <w:sz w:val="16"/>
          <w:szCs w:val="16"/>
        </w:rPr>
        <w:t>отвечавших за определенные направления деятельности</w:t>
      </w:r>
      <w:r w:rsidRPr="00405303">
        <w:rPr>
          <w:rFonts w:eastAsia="Times-Roman"/>
          <w:bCs/>
          <w:color w:val="002060"/>
          <w:sz w:val="16"/>
          <w:szCs w:val="16"/>
        </w:rPr>
        <w:t xml:space="preserve">. </w:t>
      </w:r>
      <w:r w:rsidRPr="00405303">
        <w:rPr>
          <w:rFonts w:eastAsia="TimesNewRoman"/>
          <w:bCs/>
          <w:color w:val="002060"/>
          <w:sz w:val="16"/>
          <w:szCs w:val="16"/>
        </w:rPr>
        <w:t>К их числу относились</w:t>
      </w:r>
      <w:r w:rsidRPr="00405303">
        <w:rPr>
          <w:rFonts w:eastAsia="Times-Roman"/>
          <w:bCs/>
          <w:color w:val="002060"/>
          <w:sz w:val="16"/>
          <w:szCs w:val="16"/>
        </w:rPr>
        <w:t>:</w:t>
      </w:r>
    </w:p>
    <w:p w14:paraId="249D66FA"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Комитет по делам металлургической промышленности</w:t>
      </w:r>
      <w:r w:rsidRPr="00405303">
        <w:rPr>
          <w:rFonts w:eastAsia="Times-Roman"/>
          <w:bCs/>
          <w:color w:val="002060"/>
          <w:sz w:val="16"/>
          <w:szCs w:val="16"/>
        </w:rPr>
        <w:t xml:space="preserve">. </w:t>
      </w:r>
      <w:r w:rsidRPr="00405303">
        <w:rPr>
          <w:rFonts w:eastAsia="TimesNewRoman"/>
          <w:bCs/>
          <w:color w:val="002060"/>
          <w:sz w:val="16"/>
          <w:szCs w:val="16"/>
        </w:rPr>
        <w:t>В январе</w:t>
      </w:r>
      <w:r w:rsidRPr="00405303">
        <w:rPr>
          <w:rFonts w:eastAsia="Times-Roman"/>
          <w:bCs/>
          <w:color w:val="002060"/>
          <w:sz w:val="16"/>
          <w:szCs w:val="16"/>
        </w:rPr>
        <w:t>-</w:t>
      </w:r>
      <w:r w:rsidRPr="00405303">
        <w:rPr>
          <w:rFonts w:eastAsia="TimesNewRoman"/>
          <w:bCs/>
          <w:color w:val="002060"/>
          <w:sz w:val="16"/>
          <w:szCs w:val="16"/>
        </w:rPr>
        <w:t xml:space="preserve">августе </w:t>
      </w:r>
      <w:r w:rsidRPr="00405303">
        <w:rPr>
          <w:rFonts w:eastAsia="Times-Roman"/>
          <w:bCs/>
          <w:color w:val="002060"/>
          <w:sz w:val="16"/>
          <w:szCs w:val="16"/>
        </w:rPr>
        <w:t xml:space="preserve">1916 </w:t>
      </w:r>
      <w:r w:rsidRPr="00405303">
        <w:rPr>
          <w:rFonts w:eastAsia="TimesNewRoman"/>
          <w:bCs/>
          <w:color w:val="002060"/>
          <w:sz w:val="16"/>
          <w:szCs w:val="16"/>
        </w:rPr>
        <w:t>г</w:t>
      </w:r>
      <w:r w:rsidRPr="00405303">
        <w:rPr>
          <w:rFonts w:eastAsia="Times-Roman"/>
          <w:bCs/>
          <w:color w:val="002060"/>
          <w:sz w:val="16"/>
          <w:szCs w:val="16"/>
        </w:rPr>
        <w:t xml:space="preserve">. </w:t>
      </w:r>
      <w:r w:rsidRPr="00405303">
        <w:rPr>
          <w:rFonts w:eastAsia="TimesNewRoman"/>
          <w:bCs/>
          <w:color w:val="002060"/>
          <w:sz w:val="16"/>
          <w:szCs w:val="16"/>
        </w:rPr>
        <w:t>данный орган переходит от посреднической деятельности по размещению заказов на металл к регулированию его распределения</w:t>
      </w:r>
      <w:r w:rsidRPr="00405303">
        <w:rPr>
          <w:rFonts w:eastAsia="Times-Roman"/>
          <w:bCs/>
          <w:color w:val="002060"/>
          <w:sz w:val="16"/>
          <w:szCs w:val="16"/>
        </w:rPr>
        <w:t xml:space="preserve">. </w:t>
      </w:r>
      <w:r w:rsidRPr="00405303">
        <w:rPr>
          <w:rFonts w:eastAsia="TimesNewRoman"/>
          <w:bCs/>
          <w:color w:val="002060"/>
          <w:sz w:val="16"/>
          <w:szCs w:val="16"/>
        </w:rPr>
        <w:t>Для этого привлекается учетно</w:t>
      </w:r>
      <w:r w:rsidRPr="00405303">
        <w:rPr>
          <w:rFonts w:eastAsia="Times-Roman"/>
          <w:bCs/>
          <w:color w:val="002060"/>
          <w:sz w:val="16"/>
          <w:szCs w:val="16"/>
        </w:rPr>
        <w:t>-</w:t>
      </w:r>
      <w:r w:rsidRPr="00405303">
        <w:rPr>
          <w:rFonts w:eastAsia="TimesNewRoman"/>
          <w:bCs/>
          <w:color w:val="002060"/>
          <w:sz w:val="16"/>
          <w:szCs w:val="16"/>
        </w:rPr>
        <w:t xml:space="preserve">распределительный аппарат обществ </w:t>
      </w:r>
      <w:r w:rsidRPr="00405303">
        <w:rPr>
          <w:rFonts w:eastAsia="Times-Roman"/>
          <w:bCs/>
          <w:color w:val="002060"/>
          <w:sz w:val="16"/>
          <w:szCs w:val="16"/>
        </w:rPr>
        <w:t>«</w:t>
      </w:r>
      <w:r w:rsidRPr="00405303">
        <w:rPr>
          <w:rFonts w:eastAsia="TimesNewRoman"/>
          <w:bCs/>
          <w:color w:val="002060"/>
          <w:sz w:val="16"/>
          <w:szCs w:val="16"/>
        </w:rPr>
        <w:t>Продамета</w:t>
      </w:r>
      <w:r w:rsidRPr="00405303">
        <w:rPr>
          <w:rFonts w:eastAsia="Times-Roman"/>
          <w:bCs/>
          <w:color w:val="002060"/>
          <w:sz w:val="16"/>
          <w:szCs w:val="16"/>
        </w:rPr>
        <w:t xml:space="preserve">» </w:t>
      </w:r>
      <w:r w:rsidRPr="00405303">
        <w:rPr>
          <w:rFonts w:eastAsia="TimesNewRoman"/>
          <w:bCs/>
          <w:color w:val="002060"/>
          <w:sz w:val="16"/>
          <w:szCs w:val="16"/>
        </w:rPr>
        <w:t xml:space="preserve">и </w:t>
      </w:r>
      <w:r w:rsidRPr="00405303">
        <w:rPr>
          <w:rFonts w:eastAsia="Times-Roman"/>
          <w:bCs/>
          <w:color w:val="002060"/>
          <w:sz w:val="16"/>
          <w:szCs w:val="16"/>
        </w:rPr>
        <w:t>«</w:t>
      </w:r>
      <w:r w:rsidRPr="00405303">
        <w:rPr>
          <w:rFonts w:eastAsia="TimesNewRoman"/>
          <w:bCs/>
          <w:color w:val="002060"/>
          <w:sz w:val="16"/>
          <w:szCs w:val="16"/>
        </w:rPr>
        <w:t>Кровля</w:t>
      </w:r>
      <w:r w:rsidRPr="00405303">
        <w:rPr>
          <w:rFonts w:eastAsia="Times-Roman"/>
          <w:bCs/>
          <w:color w:val="002060"/>
          <w:sz w:val="16"/>
          <w:szCs w:val="16"/>
        </w:rPr>
        <w:t xml:space="preserve">», </w:t>
      </w:r>
      <w:r w:rsidRPr="00405303">
        <w:rPr>
          <w:rFonts w:eastAsia="TimesNewRoman"/>
          <w:bCs/>
          <w:color w:val="002060"/>
          <w:sz w:val="16"/>
          <w:szCs w:val="16"/>
        </w:rPr>
        <w:t>что повлекло за собой необходимость централизованного установления высших предельных цен</w:t>
      </w:r>
      <w:r w:rsidRPr="00405303">
        <w:rPr>
          <w:rFonts w:eastAsia="Times-Roman"/>
          <w:bCs/>
          <w:color w:val="002060"/>
          <w:sz w:val="16"/>
          <w:szCs w:val="16"/>
        </w:rPr>
        <w:t xml:space="preserve">. </w:t>
      </w:r>
      <w:r w:rsidRPr="00405303">
        <w:rPr>
          <w:rFonts w:eastAsia="TimesNewRoman"/>
          <w:bCs/>
          <w:color w:val="002060"/>
          <w:sz w:val="16"/>
          <w:szCs w:val="16"/>
        </w:rPr>
        <w:t xml:space="preserve">В августе </w:t>
      </w:r>
      <w:r w:rsidRPr="00405303">
        <w:rPr>
          <w:rFonts w:eastAsia="Times-Roman"/>
          <w:bCs/>
          <w:color w:val="002060"/>
          <w:sz w:val="16"/>
          <w:szCs w:val="16"/>
        </w:rPr>
        <w:t xml:space="preserve">1916 </w:t>
      </w:r>
      <w:r w:rsidRPr="00405303">
        <w:rPr>
          <w:rFonts w:eastAsia="TimesNewRoman"/>
          <w:bCs/>
          <w:color w:val="002060"/>
          <w:sz w:val="16"/>
          <w:szCs w:val="16"/>
        </w:rPr>
        <w:t>г</w:t>
      </w:r>
      <w:r w:rsidRPr="00405303">
        <w:rPr>
          <w:rFonts w:eastAsia="Times-Roman"/>
          <w:bCs/>
          <w:color w:val="002060"/>
          <w:sz w:val="16"/>
          <w:szCs w:val="16"/>
        </w:rPr>
        <w:t xml:space="preserve">. </w:t>
      </w:r>
      <w:r w:rsidRPr="00405303">
        <w:rPr>
          <w:rFonts w:eastAsia="TimesNewRoman"/>
          <w:bCs/>
          <w:color w:val="002060"/>
          <w:sz w:val="16"/>
          <w:szCs w:val="16"/>
        </w:rPr>
        <w:t>происходит полная централизация всего дела снабжения металлами промышленности</w:t>
      </w:r>
      <w:r w:rsidRPr="00405303">
        <w:rPr>
          <w:rFonts w:eastAsia="Times-Roman"/>
          <w:bCs/>
          <w:color w:val="002060"/>
          <w:sz w:val="16"/>
          <w:szCs w:val="16"/>
        </w:rPr>
        <w:t xml:space="preserve">, </w:t>
      </w:r>
      <w:r w:rsidRPr="00405303">
        <w:rPr>
          <w:rFonts w:eastAsia="TimesNewRoman"/>
          <w:bCs/>
          <w:color w:val="002060"/>
          <w:sz w:val="16"/>
          <w:szCs w:val="16"/>
        </w:rPr>
        <w:t>работающей на оборону</w:t>
      </w:r>
      <w:r w:rsidRPr="00405303">
        <w:rPr>
          <w:rFonts w:eastAsia="Times-Roman"/>
          <w:bCs/>
          <w:color w:val="002060"/>
          <w:sz w:val="16"/>
          <w:szCs w:val="16"/>
        </w:rPr>
        <w:t xml:space="preserve">, </w:t>
      </w:r>
      <w:r w:rsidRPr="00405303">
        <w:rPr>
          <w:rFonts w:eastAsia="TimesNewRoman"/>
          <w:bCs/>
          <w:color w:val="002060"/>
          <w:sz w:val="16"/>
          <w:szCs w:val="16"/>
        </w:rPr>
        <w:t>в руках главноуполномоченного председателя Особого совещания генерала</w:t>
      </w:r>
      <w:r w:rsidRPr="00405303">
        <w:rPr>
          <w:rFonts w:eastAsia="Times-Roman"/>
          <w:bCs/>
          <w:color w:val="002060"/>
          <w:sz w:val="16"/>
          <w:szCs w:val="16"/>
        </w:rPr>
        <w:t>-</w:t>
      </w:r>
      <w:r w:rsidRPr="00405303">
        <w:rPr>
          <w:rFonts w:eastAsia="TimesNewRoman"/>
          <w:bCs/>
          <w:color w:val="002060"/>
          <w:sz w:val="16"/>
          <w:szCs w:val="16"/>
        </w:rPr>
        <w:t>от инфантерии А</w:t>
      </w:r>
      <w:r w:rsidRPr="00405303">
        <w:rPr>
          <w:rFonts w:eastAsia="Times-Roman"/>
          <w:bCs/>
          <w:color w:val="002060"/>
          <w:sz w:val="16"/>
          <w:szCs w:val="16"/>
        </w:rPr>
        <w:t>.</w:t>
      </w:r>
      <w:r w:rsidRPr="00405303">
        <w:rPr>
          <w:rFonts w:eastAsia="TimesNewRoman"/>
          <w:bCs/>
          <w:color w:val="002060"/>
          <w:sz w:val="16"/>
          <w:szCs w:val="16"/>
        </w:rPr>
        <w:t>З</w:t>
      </w:r>
      <w:r w:rsidRPr="00405303">
        <w:rPr>
          <w:rFonts w:eastAsia="Times-Roman"/>
          <w:bCs/>
          <w:color w:val="002060"/>
          <w:sz w:val="16"/>
          <w:szCs w:val="16"/>
        </w:rPr>
        <w:t xml:space="preserve">. </w:t>
      </w:r>
      <w:r w:rsidRPr="00405303">
        <w:rPr>
          <w:rFonts w:eastAsia="TimesNewRoman"/>
          <w:bCs/>
          <w:color w:val="002060"/>
          <w:sz w:val="16"/>
          <w:szCs w:val="16"/>
        </w:rPr>
        <w:t>Мышлаевского</w:t>
      </w:r>
      <w:r w:rsidRPr="00405303">
        <w:rPr>
          <w:rFonts w:eastAsia="Times-Roman"/>
          <w:bCs/>
          <w:color w:val="002060"/>
          <w:sz w:val="16"/>
          <w:szCs w:val="16"/>
        </w:rPr>
        <w:t xml:space="preserve">. </w:t>
      </w:r>
      <w:r w:rsidRPr="00405303">
        <w:rPr>
          <w:rFonts w:eastAsia="TimesNewRoman"/>
          <w:bCs/>
          <w:color w:val="002060"/>
          <w:sz w:val="16"/>
          <w:szCs w:val="16"/>
        </w:rPr>
        <w:t>Начинает налаживаться</w:t>
      </w:r>
      <w:r w:rsidRPr="00405303">
        <w:rPr>
          <w:rFonts w:eastAsia="Times-Roman"/>
          <w:bCs/>
          <w:color w:val="002060"/>
          <w:sz w:val="16"/>
          <w:szCs w:val="16"/>
        </w:rPr>
        <w:t xml:space="preserve">, </w:t>
      </w:r>
      <w:r w:rsidRPr="00405303">
        <w:rPr>
          <w:rFonts w:eastAsia="TimesNewRoman"/>
          <w:bCs/>
          <w:color w:val="002060"/>
          <w:sz w:val="16"/>
          <w:szCs w:val="16"/>
        </w:rPr>
        <w:t xml:space="preserve">а с октября </w:t>
      </w:r>
      <w:r w:rsidRPr="00405303">
        <w:rPr>
          <w:rFonts w:eastAsia="Times-Roman"/>
          <w:bCs/>
          <w:color w:val="002060"/>
          <w:sz w:val="16"/>
          <w:szCs w:val="16"/>
        </w:rPr>
        <w:t xml:space="preserve">1916 </w:t>
      </w:r>
      <w:r w:rsidRPr="00405303">
        <w:rPr>
          <w:rFonts w:eastAsia="TimesNewRoman"/>
          <w:bCs/>
          <w:color w:val="002060"/>
          <w:sz w:val="16"/>
          <w:szCs w:val="16"/>
        </w:rPr>
        <w:t>г</w:t>
      </w:r>
      <w:r w:rsidRPr="00405303">
        <w:rPr>
          <w:rFonts w:eastAsia="Times-Roman"/>
          <w:bCs/>
          <w:color w:val="002060"/>
          <w:sz w:val="16"/>
          <w:szCs w:val="16"/>
        </w:rPr>
        <w:t xml:space="preserve">. </w:t>
      </w:r>
      <w:r w:rsidRPr="00405303">
        <w:rPr>
          <w:rFonts w:eastAsia="TimesNewRoman"/>
          <w:bCs/>
          <w:color w:val="002060"/>
          <w:sz w:val="16"/>
          <w:szCs w:val="16"/>
        </w:rPr>
        <w:t>осуществляется централизованное распределение всего производимого металла</w:t>
      </w:r>
      <w:r w:rsidRPr="00405303">
        <w:rPr>
          <w:rFonts w:eastAsia="Times-Roman"/>
          <w:bCs/>
          <w:color w:val="002060"/>
          <w:sz w:val="16"/>
          <w:szCs w:val="16"/>
        </w:rPr>
        <w:t>.</w:t>
      </w:r>
    </w:p>
    <w:p w14:paraId="45843EE4"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 xml:space="preserve">С декабря </w:t>
      </w:r>
      <w:r w:rsidRPr="00405303">
        <w:rPr>
          <w:rFonts w:eastAsia="Times-Roman"/>
          <w:bCs/>
          <w:color w:val="002060"/>
          <w:sz w:val="16"/>
          <w:szCs w:val="16"/>
        </w:rPr>
        <w:t xml:space="preserve">1916 </w:t>
      </w:r>
      <w:r w:rsidRPr="00405303">
        <w:rPr>
          <w:rFonts w:eastAsia="TimesNewRoman"/>
          <w:bCs/>
          <w:color w:val="002060"/>
          <w:sz w:val="16"/>
          <w:szCs w:val="16"/>
        </w:rPr>
        <w:t>г</w:t>
      </w:r>
      <w:r w:rsidRPr="00405303">
        <w:rPr>
          <w:rFonts w:eastAsia="Times-Roman"/>
          <w:bCs/>
          <w:color w:val="002060"/>
          <w:sz w:val="16"/>
          <w:szCs w:val="16"/>
        </w:rPr>
        <w:t xml:space="preserve">. </w:t>
      </w:r>
      <w:r w:rsidRPr="00405303">
        <w:rPr>
          <w:rFonts w:eastAsia="TimesNewRoman"/>
          <w:bCs/>
          <w:color w:val="002060"/>
          <w:sz w:val="16"/>
          <w:szCs w:val="16"/>
        </w:rPr>
        <w:t xml:space="preserve">предпринимаются попытки вмешательства в регулирование самого металлургического производства путем организации централизованного снабжения металлургических заводов топливом и сырьем </w:t>
      </w:r>
      <w:r w:rsidRPr="00405303">
        <w:rPr>
          <w:rFonts w:eastAsia="Times-Roman"/>
          <w:bCs/>
          <w:color w:val="002060"/>
          <w:sz w:val="16"/>
          <w:szCs w:val="16"/>
        </w:rPr>
        <w:t xml:space="preserve">[14]. </w:t>
      </w:r>
      <w:r w:rsidRPr="00405303">
        <w:rPr>
          <w:rFonts w:eastAsia="TimesNewRoman"/>
          <w:bCs/>
          <w:color w:val="002060"/>
          <w:sz w:val="16"/>
          <w:szCs w:val="16"/>
        </w:rPr>
        <w:t>Даже советские авторы признавали</w:t>
      </w:r>
      <w:r w:rsidRPr="00405303">
        <w:rPr>
          <w:rFonts w:eastAsia="Times-Roman"/>
          <w:bCs/>
          <w:color w:val="002060"/>
          <w:sz w:val="16"/>
          <w:szCs w:val="16"/>
        </w:rPr>
        <w:t xml:space="preserve">, </w:t>
      </w:r>
      <w:r w:rsidRPr="00405303">
        <w:rPr>
          <w:rFonts w:eastAsia="TimesNewRoman"/>
          <w:bCs/>
          <w:color w:val="002060"/>
          <w:sz w:val="16"/>
          <w:szCs w:val="16"/>
        </w:rPr>
        <w:t xml:space="preserve">что Особому совещанию удалось справиться с задачей </w:t>
      </w:r>
      <w:r w:rsidRPr="00405303">
        <w:rPr>
          <w:rFonts w:eastAsia="Times-Roman"/>
          <w:bCs/>
          <w:color w:val="002060"/>
          <w:sz w:val="16"/>
          <w:szCs w:val="16"/>
        </w:rPr>
        <w:t>«</w:t>
      </w:r>
      <w:r w:rsidRPr="00405303">
        <w:rPr>
          <w:rFonts w:eastAsia="TimesNewRoman"/>
          <w:bCs/>
          <w:color w:val="002060"/>
          <w:sz w:val="16"/>
          <w:szCs w:val="16"/>
        </w:rPr>
        <w:t>направить имеющийся металл исключительно на нужды фронта</w:t>
      </w:r>
      <w:r w:rsidRPr="00405303">
        <w:rPr>
          <w:rFonts w:eastAsia="Times-Roman"/>
          <w:bCs/>
          <w:color w:val="002060"/>
          <w:sz w:val="16"/>
          <w:szCs w:val="16"/>
        </w:rPr>
        <w:t xml:space="preserve">», </w:t>
      </w:r>
      <w:r w:rsidRPr="00405303">
        <w:rPr>
          <w:rFonts w:eastAsia="TimesNewRoman"/>
          <w:bCs/>
          <w:color w:val="002060"/>
          <w:sz w:val="16"/>
          <w:szCs w:val="16"/>
        </w:rPr>
        <w:t xml:space="preserve">следствием чего явился известный рост военного производства в стране и смягчение кризиса вооружения армии </w:t>
      </w:r>
      <w:r w:rsidRPr="00405303">
        <w:rPr>
          <w:rFonts w:eastAsia="Times-Roman"/>
          <w:bCs/>
          <w:color w:val="002060"/>
          <w:sz w:val="16"/>
          <w:szCs w:val="16"/>
        </w:rPr>
        <w:t>[15];</w:t>
      </w:r>
    </w:p>
    <w:p w14:paraId="7D6D81E6"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реквизиционная комиссия</w:t>
      </w:r>
      <w:r w:rsidRPr="00405303">
        <w:rPr>
          <w:rFonts w:eastAsia="Times-Roman"/>
          <w:bCs/>
          <w:color w:val="002060"/>
          <w:sz w:val="16"/>
          <w:szCs w:val="16"/>
        </w:rPr>
        <w:t xml:space="preserve">. </w:t>
      </w:r>
      <w:r w:rsidRPr="00405303">
        <w:rPr>
          <w:rFonts w:eastAsia="TimesNewRoman"/>
          <w:bCs/>
          <w:color w:val="002060"/>
          <w:sz w:val="16"/>
          <w:szCs w:val="16"/>
        </w:rPr>
        <w:t>В условиях войны реквизиции стали важным инструментом перераспределения материальных производственных ресурсов между хозяйствующими субъектами в целях их эффективного использования</w:t>
      </w:r>
      <w:r w:rsidRPr="00405303">
        <w:rPr>
          <w:rFonts w:eastAsia="Times-Roman"/>
          <w:bCs/>
          <w:color w:val="002060"/>
          <w:sz w:val="16"/>
          <w:szCs w:val="16"/>
        </w:rPr>
        <w:t>.</w:t>
      </w:r>
    </w:p>
    <w:p w14:paraId="6D1D42EC"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 xml:space="preserve">Для централизации и координации реквизиционной деятельности в ноябре </w:t>
      </w:r>
      <w:r w:rsidRPr="00405303">
        <w:rPr>
          <w:rFonts w:eastAsia="Times-Roman"/>
          <w:bCs/>
          <w:color w:val="002060"/>
          <w:sz w:val="16"/>
          <w:szCs w:val="16"/>
        </w:rPr>
        <w:t xml:space="preserve">1915 </w:t>
      </w:r>
      <w:r w:rsidRPr="00405303">
        <w:rPr>
          <w:rFonts w:eastAsia="TimesNewRoman"/>
          <w:bCs/>
          <w:color w:val="002060"/>
          <w:sz w:val="16"/>
          <w:szCs w:val="16"/>
        </w:rPr>
        <w:t>г</w:t>
      </w:r>
      <w:r w:rsidRPr="00405303">
        <w:rPr>
          <w:rFonts w:eastAsia="Times-Roman"/>
          <w:bCs/>
          <w:color w:val="002060"/>
          <w:sz w:val="16"/>
          <w:szCs w:val="16"/>
        </w:rPr>
        <w:t xml:space="preserve">. </w:t>
      </w:r>
      <w:r w:rsidRPr="00405303">
        <w:rPr>
          <w:rFonts w:eastAsia="TimesNewRoman"/>
          <w:bCs/>
          <w:color w:val="002060"/>
          <w:sz w:val="16"/>
          <w:szCs w:val="16"/>
        </w:rPr>
        <w:t>при Особом совещании была учреждена реквизиционная комиссия</w:t>
      </w:r>
      <w:r w:rsidRPr="00405303">
        <w:rPr>
          <w:rFonts w:eastAsia="Times-Roman"/>
          <w:bCs/>
          <w:color w:val="002060"/>
          <w:sz w:val="16"/>
          <w:szCs w:val="16"/>
        </w:rPr>
        <w:t xml:space="preserve">. </w:t>
      </w:r>
      <w:r w:rsidRPr="00405303">
        <w:rPr>
          <w:rFonts w:eastAsia="TimesNewRoman"/>
          <w:bCs/>
          <w:color w:val="002060"/>
          <w:sz w:val="16"/>
          <w:szCs w:val="16"/>
        </w:rPr>
        <w:t>Она была завязана</w:t>
      </w:r>
      <w:r w:rsidRPr="00405303">
        <w:rPr>
          <w:rFonts w:eastAsia="Times-Roman"/>
          <w:bCs/>
          <w:color w:val="002060"/>
          <w:sz w:val="16"/>
          <w:szCs w:val="16"/>
        </w:rPr>
        <w:t xml:space="preserve">, </w:t>
      </w:r>
      <w:r w:rsidRPr="00405303">
        <w:rPr>
          <w:rFonts w:eastAsia="TimesNewRoman"/>
          <w:bCs/>
          <w:color w:val="002060"/>
          <w:sz w:val="16"/>
          <w:szCs w:val="16"/>
        </w:rPr>
        <w:t>с одной стороны</w:t>
      </w:r>
      <w:r w:rsidRPr="00405303">
        <w:rPr>
          <w:rFonts w:eastAsia="Times-Roman"/>
          <w:bCs/>
          <w:color w:val="002060"/>
          <w:sz w:val="16"/>
          <w:szCs w:val="16"/>
        </w:rPr>
        <w:t xml:space="preserve">, </w:t>
      </w:r>
      <w:r w:rsidRPr="00405303">
        <w:rPr>
          <w:rFonts w:eastAsia="TimesNewRoman"/>
          <w:bCs/>
          <w:color w:val="002060"/>
          <w:sz w:val="16"/>
          <w:szCs w:val="16"/>
        </w:rPr>
        <w:t>на председателя Совещания</w:t>
      </w:r>
      <w:r w:rsidRPr="00405303">
        <w:rPr>
          <w:rFonts w:eastAsia="Times-Roman"/>
          <w:bCs/>
          <w:color w:val="002060"/>
          <w:sz w:val="16"/>
          <w:szCs w:val="16"/>
        </w:rPr>
        <w:t xml:space="preserve">, </w:t>
      </w:r>
      <w:r w:rsidRPr="00405303">
        <w:rPr>
          <w:rFonts w:eastAsia="TimesNewRoman"/>
          <w:bCs/>
          <w:color w:val="002060"/>
          <w:sz w:val="16"/>
          <w:szCs w:val="16"/>
        </w:rPr>
        <w:t>имевшего единоличное право утверждать решения о реквизиции и секвестре</w:t>
      </w:r>
      <w:r w:rsidRPr="00405303">
        <w:rPr>
          <w:rFonts w:eastAsia="Times-Roman"/>
          <w:bCs/>
          <w:color w:val="002060"/>
          <w:sz w:val="16"/>
          <w:szCs w:val="16"/>
        </w:rPr>
        <w:t xml:space="preserve">, </w:t>
      </w:r>
      <w:r w:rsidRPr="00405303">
        <w:rPr>
          <w:rFonts w:eastAsia="TimesNewRoman"/>
          <w:bCs/>
          <w:color w:val="002060"/>
          <w:sz w:val="16"/>
          <w:szCs w:val="16"/>
        </w:rPr>
        <w:t>а с другой стороны</w:t>
      </w:r>
      <w:r w:rsidRPr="00405303">
        <w:rPr>
          <w:rFonts w:eastAsia="Times-Roman"/>
          <w:bCs/>
          <w:color w:val="002060"/>
          <w:sz w:val="16"/>
          <w:szCs w:val="16"/>
        </w:rPr>
        <w:t xml:space="preserve">, </w:t>
      </w:r>
      <w:r w:rsidRPr="00405303">
        <w:rPr>
          <w:rFonts w:eastAsia="TimesNewRoman"/>
          <w:bCs/>
          <w:color w:val="002060"/>
          <w:sz w:val="16"/>
          <w:szCs w:val="16"/>
        </w:rPr>
        <w:t>на главные управления военного министерства и заводские совещания</w:t>
      </w:r>
      <w:r w:rsidRPr="00405303">
        <w:rPr>
          <w:rFonts w:eastAsia="Times-Roman"/>
          <w:bCs/>
          <w:color w:val="002060"/>
          <w:sz w:val="16"/>
          <w:szCs w:val="16"/>
        </w:rPr>
        <w:t xml:space="preserve">, </w:t>
      </w:r>
      <w:r w:rsidRPr="00405303">
        <w:rPr>
          <w:rFonts w:eastAsia="TimesNewRoman"/>
          <w:bCs/>
          <w:color w:val="002060"/>
          <w:sz w:val="16"/>
          <w:szCs w:val="16"/>
        </w:rPr>
        <w:t>откуда в комиссию поступали ходатайства об осуществлении реквизиций</w:t>
      </w:r>
      <w:r w:rsidRPr="00405303">
        <w:rPr>
          <w:rFonts w:eastAsia="Times-Roman"/>
          <w:bCs/>
          <w:color w:val="002060"/>
          <w:sz w:val="16"/>
          <w:szCs w:val="16"/>
        </w:rPr>
        <w:t xml:space="preserve">. </w:t>
      </w:r>
      <w:r w:rsidRPr="00405303">
        <w:rPr>
          <w:rFonts w:eastAsia="TimesNewRoman"/>
          <w:bCs/>
          <w:color w:val="002060"/>
          <w:sz w:val="16"/>
          <w:szCs w:val="16"/>
        </w:rPr>
        <w:t>Все местные власти</w:t>
      </w:r>
      <w:r w:rsidRPr="00405303">
        <w:rPr>
          <w:rFonts w:eastAsia="Times-Roman"/>
          <w:bCs/>
          <w:color w:val="002060"/>
          <w:sz w:val="16"/>
          <w:szCs w:val="16"/>
        </w:rPr>
        <w:t xml:space="preserve">, </w:t>
      </w:r>
      <w:r w:rsidRPr="00405303">
        <w:rPr>
          <w:rFonts w:eastAsia="TimesNewRoman"/>
          <w:bCs/>
          <w:color w:val="002060"/>
          <w:sz w:val="16"/>
          <w:szCs w:val="16"/>
        </w:rPr>
        <w:t>уполномоченные производить реквизиции</w:t>
      </w:r>
      <w:r w:rsidRPr="00405303">
        <w:rPr>
          <w:rFonts w:eastAsia="Times-Roman"/>
          <w:bCs/>
          <w:color w:val="002060"/>
          <w:sz w:val="16"/>
          <w:szCs w:val="16"/>
        </w:rPr>
        <w:t xml:space="preserve">, </w:t>
      </w:r>
      <w:r w:rsidRPr="00405303">
        <w:rPr>
          <w:rFonts w:eastAsia="TimesNewRoman"/>
          <w:bCs/>
          <w:color w:val="002060"/>
          <w:sz w:val="16"/>
          <w:szCs w:val="16"/>
        </w:rPr>
        <w:t xml:space="preserve">отныне имели право делать это только при положительном заключении реквизиционной комиссии </w:t>
      </w:r>
      <w:r w:rsidRPr="00405303">
        <w:rPr>
          <w:rFonts w:eastAsia="Times-Roman"/>
          <w:bCs/>
          <w:color w:val="002060"/>
          <w:sz w:val="16"/>
          <w:szCs w:val="16"/>
        </w:rPr>
        <w:t>[16];</w:t>
      </w:r>
    </w:p>
    <w:p w14:paraId="169D4701"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комиссия по учету и распределению иностранной валюты</w:t>
      </w:r>
      <w:r w:rsidRPr="00405303">
        <w:rPr>
          <w:rFonts w:eastAsia="Times-Roman"/>
          <w:bCs/>
          <w:color w:val="002060"/>
          <w:sz w:val="16"/>
          <w:szCs w:val="16"/>
        </w:rPr>
        <w:t xml:space="preserve">, </w:t>
      </w:r>
      <w:r w:rsidRPr="00405303">
        <w:rPr>
          <w:rFonts w:eastAsia="TimesNewRoman"/>
          <w:bCs/>
          <w:color w:val="002060"/>
          <w:sz w:val="16"/>
          <w:szCs w:val="16"/>
        </w:rPr>
        <w:t xml:space="preserve">заграничные заготовительные органы </w:t>
      </w:r>
      <w:r w:rsidRPr="00405303">
        <w:rPr>
          <w:rFonts w:eastAsia="Times-Roman"/>
          <w:bCs/>
          <w:color w:val="002060"/>
          <w:sz w:val="16"/>
          <w:szCs w:val="16"/>
        </w:rPr>
        <w:t>(</w:t>
      </w:r>
      <w:r w:rsidRPr="00405303">
        <w:rPr>
          <w:rFonts w:eastAsia="TimesNewRoman"/>
          <w:bCs/>
          <w:color w:val="002060"/>
          <w:sz w:val="16"/>
          <w:szCs w:val="16"/>
        </w:rPr>
        <w:t>Русский правительственный комитет в Лондоне</w:t>
      </w:r>
      <w:r w:rsidRPr="00405303">
        <w:rPr>
          <w:rFonts w:eastAsia="Times-Roman"/>
          <w:bCs/>
          <w:color w:val="002060"/>
          <w:sz w:val="16"/>
          <w:szCs w:val="16"/>
        </w:rPr>
        <w:t>,</w:t>
      </w:r>
    </w:p>
    <w:p w14:paraId="2AB9C12A"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Комитет по заготовлению в Америке предметов боевого и материального снабжения армии</w:t>
      </w:r>
      <w:r w:rsidRPr="00405303">
        <w:rPr>
          <w:rFonts w:eastAsia="Times-Roman"/>
          <w:bCs/>
          <w:color w:val="002060"/>
          <w:sz w:val="16"/>
          <w:szCs w:val="16"/>
        </w:rPr>
        <w:t xml:space="preserve">). </w:t>
      </w:r>
    </w:p>
    <w:p w14:paraId="33342CE5"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С помощью этих органов Особое совещание осуществляло контроль за импортными поставками</w:t>
      </w:r>
      <w:r w:rsidRPr="00405303">
        <w:rPr>
          <w:rFonts w:eastAsia="Times-Roman"/>
          <w:bCs/>
          <w:color w:val="002060"/>
          <w:sz w:val="16"/>
          <w:szCs w:val="16"/>
        </w:rPr>
        <w:t xml:space="preserve">. </w:t>
      </w:r>
      <w:r w:rsidRPr="00405303">
        <w:rPr>
          <w:rFonts w:eastAsia="TimesNewRoman"/>
          <w:bCs/>
          <w:color w:val="002060"/>
          <w:sz w:val="16"/>
          <w:szCs w:val="16"/>
        </w:rPr>
        <w:t>В условиях нарушенных войной международных экономических связей</w:t>
      </w:r>
      <w:r w:rsidRPr="00405303">
        <w:rPr>
          <w:rFonts w:eastAsia="Times-Roman"/>
          <w:bCs/>
          <w:color w:val="002060"/>
          <w:sz w:val="16"/>
          <w:szCs w:val="16"/>
        </w:rPr>
        <w:t xml:space="preserve">, </w:t>
      </w:r>
      <w:r w:rsidRPr="00405303">
        <w:rPr>
          <w:rFonts w:eastAsia="TimesNewRoman"/>
          <w:bCs/>
          <w:color w:val="002060"/>
          <w:sz w:val="16"/>
          <w:szCs w:val="16"/>
        </w:rPr>
        <w:t>дефицита на мировом рынке многих видов оборудования</w:t>
      </w:r>
      <w:r w:rsidRPr="00405303">
        <w:rPr>
          <w:rFonts w:eastAsia="Times-Roman"/>
          <w:bCs/>
          <w:color w:val="002060"/>
          <w:sz w:val="16"/>
          <w:szCs w:val="16"/>
        </w:rPr>
        <w:t xml:space="preserve">, </w:t>
      </w:r>
      <w:r w:rsidRPr="00405303">
        <w:rPr>
          <w:rFonts w:eastAsia="TimesNewRoman"/>
          <w:bCs/>
          <w:color w:val="002060"/>
          <w:sz w:val="16"/>
          <w:szCs w:val="16"/>
        </w:rPr>
        <w:t>сырья и материалов</w:t>
      </w:r>
      <w:r w:rsidRPr="00405303">
        <w:rPr>
          <w:rFonts w:eastAsia="Times-Roman"/>
          <w:bCs/>
          <w:color w:val="002060"/>
          <w:sz w:val="16"/>
          <w:szCs w:val="16"/>
        </w:rPr>
        <w:t xml:space="preserve">, </w:t>
      </w:r>
      <w:r w:rsidRPr="00405303">
        <w:rPr>
          <w:rFonts w:eastAsia="TimesNewRoman"/>
          <w:bCs/>
          <w:color w:val="002060"/>
          <w:sz w:val="16"/>
          <w:szCs w:val="16"/>
        </w:rPr>
        <w:t>необходимых для функционирования военного производства</w:t>
      </w:r>
      <w:r w:rsidRPr="00405303">
        <w:rPr>
          <w:rFonts w:eastAsia="Times-Roman"/>
          <w:bCs/>
          <w:color w:val="002060"/>
          <w:sz w:val="16"/>
          <w:szCs w:val="16"/>
        </w:rPr>
        <w:t xml:space="preserve">, </w:t>
      </w:r>
      <w:r w:rsidRPr="00405303">
        <w:rPr>
          <w:rFonts w:eastAsia="TimesNewRoman"/>
          <w:bCs/>
          <w:color w:val="002060"/>
          <w:sz w:val="16"/>
          <w:szCs w:val="16"/>
        </w:rPr>
        <w:t>это стало мощным рычагом воздействия на промышленность</w:t>
      </w:r>
      <w:r w:rsidRPr="00405303">
        <w:rPr>
          <w:rFonts w:eastAsia="Times-Roman"/>
          <w:bCs/>
          <w:color w:val="002060"/>
          <w:sz w:val="16"/>
          <w:szCs w:val="16"/>
        </w:rPr>
        <w:t>.</w:t>
      </w:r>
    </w:p>
    <w:p w14:paraId="73AB0F5A"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Острой проблемой</w:t>
      </w:r>
      <w:r w:rsidRPr="00405303">
        <w:rPr>
          <w:rFonts w:eastAsia="Times-Roman"/>
          <w:bCs/>
          <w:color w:val="002060"/>
          <w:sz w:val="16"/>
          <w:szCs w:val="16"/>
        </w:rPr>
        <w:t xml:space="preserve">, </w:t>
      </w:r>
      <w:r w:rsidRPr="00405303">
        <w:rPr>
          <w:rFonts w:eastAsia="TimesNewRoman"/>
          <w:bCs/>
          <w:color w:val="002060"/>
          <w:sz w:val="16"/>
          <w:szCs w:val="16"/>
        </w:rPr>
        <w:t>лихорадившей промышленность</w:t>
      </w:r>
      <w:r w:rsidRPr="00405303">
        <w:rPr>
          <w:rFonts w:eastAsia="Times-Roman"/>
          <w:bCs/>
          <w:color w:val="002060"/>
          <w:sz w:val="16"/>
          <w:szCs w:val="16"/>
        </w:rPr>
        <w:t xml:space="preserve">, </w:t>
      </w:r>
      <w:r w:rsidRPr="00405303">
        <w:rPr>
          <w:rFonts w:eastAsia="TimesNewRoman"/>
          <w:bCs/>
          <w:color w:val="002060"/>
          <w:sz w:val="16"/>
          <w:szCs w:val="16"/>
        </w:rPr>
        <w:t>была нехватка рабочих кадров</w:t>
      </w:r>
      <w:r w:rsidRPr="00405303">
        <w:rPr>
          <w:rFonts w:eastAsia="Times-Roman"/>
          <w:bCs/>
          <w:color w:val="002060"/>
          <w:sz w:val="16"/>
          <w:szCs w:val="16"/>
        </w:rPr>
        <w:t xml:space="preserve">, </w:t>
      </w:r>
      <w:r w:rsidRPr="00405303">
        <w:rPr>
          <w:rFonts w:eastAsia="TimesNewRoman"/>
          <w:bCs/>
          <w:color w:val="002060"/>
          <w:sz w:val="16"/>
          <w:szCs w:val="16"/>
        </w:rPr>
        <w:t>вызванная большим отрывом их по мобилизации и очередными призывами</w:t>
      </w:r>
      <w:r w:rsidRPr="00405303">
        <w:rPr>
          <w:rFonts w:eastAsia="Times-Roman"/>
          <w:bCs/>
          <w:color w:val="002060"/>
          <w:sz w:val="16"/>
          <w:szCs w:val="16"/>
        </w:rPr>
        <w:t xml:space="preserve">. </w:t>
      </w:r>
      <w:r w:rsidRPr="00405303">
        <w:rPr>
          <w:rFonts w:eastAsia="TimesNewRoman"/>
          <w:bCs/>
          <w:color w:val="002060"/>
          <w:sz w:val="16"/>
          <w:szCs w:val="16"/>
        </w:rPr>
        <w:t>Как писал А</w:t>
      </w:r>
      <w:r w:rsidRPr="00405303">
        <w:rPr>
          <w:rFonts w:eastAsia="Times-Roman"/>
          <w:bCs/>
          <w:color w:val="002060"/>
          <w:sz w:val="16"/>
          <w:szCs w:val="16"/>
        </w:rPr>
        <w:t>.</w:t>
      </w:r>
      <w:r w:rsidRPr="00405303">
        <w:rPr>
          <w:rFonts w:eastAsia="TimesNewRoman"/>
          <w:bCs/>
          <w:color w:val="002060"/>
          <w:sz w:val="16"/>
          <w:szCs w:val="16"/>
        </w:rPr>
        <w:t>И</w:t>
      </w:r>
      <w:r w:rsidRPr="00405303">
        <w:rPr>
          <w:rFonts w:eastAsia="Times-Roman"/>
          <w:bCs/>
          <w:color w:val="002060"/>
          <w:sz w:val="16"/>
          <w:szCs w:val="16"/>
        </w:rPr>
        <w:t xml:space="preserve">. </w:t>
      </w:r>
      <w:r w:rsidRPr="00405303">
        <w:rPr>
          <w:rFonts w:eastAsia="TimesNewRoman"/>
          <w:bCs/>
          <w:color w:val="002060"/>
          <w:sz w:val="16"/>
          <w:szCs w:val="16"/>
        </w:rPr>
        <w:t>Гучков</w:t>
      </w:r>
      <w:r w:rsidRPr="00405303">
        <w:rPr>
          <w:rFonts w:eastAsia="Times-Roman"/>
          <w:bCs/>
          <w:color w:val="002060"/>
          <w:sz w:val="16"/>
          <w:szCs w:val="16"/>
        </w:rPr>
        <w:t>, «</w:t>
      </w:r>
      <w:r w:rsidRPr="00405303">
        <w:rPr>
          <w:rFonts w:eastAsia="TimesNewRoman"/>
          <w:bCs/>
          <w:color w:val="002060"/>
          <w:sz w:val="16"/>
          <w:szCs w:val="16"/>
        </w:rPr>
        <w:t>в условиях настоящей войны промышленность должна быть рассматриваема как особый род оружия не менее необходимый</w:t>
      </w:r>
      <w:r w:rsidRPr="00405303">
        <w:rPr>
          <w:rFonts w:eastAsia="Times-Roman"/>
          <w:bCs/>
          <w:color w:val="002060"/>
          <w:sz w:val="16"/>
          <w:szCs w:val="16"/>
        </w:rPr>
        <w:t xml:space="preserve">, </w:t>
      </w:r>
      <w:r w:rsidRPr="00405303">
        <w:rPr>
          <w:rFonts w:eastAsia="TimesNewRoman"/>
          <w:bCs/>
          <w:color w:val="002060"/>
          <w:sz w:val="16"/>
          <w:szCs w:val="16"/>
        </w:rPr>
        <w:t>чем артиллерия или пехота</w:t>
      </w:r>
      <w:r w:rsidRPr="00405303">
        <w:rPr>
          <w:rFonts w:eastAsia="Times-Roman"/>
          <w:bCs/>
          <w:color w:val="002060"/>
          <w:sz w:val="16"/>
          <w:szCs w:val="16"/>
        </w:rPr>
        <w:t xml:space="preserve">, </w:t>
      </w:r>
      <w:r w:rsidRPr="00405303">
        <w:rPr>
          <w:rFonts w:eastAsia="TimesNewRoman"/>
          <w:bCs/>
          <w:color w:val="002060"/>
          <w:sz w:val="16"/>
          <w:szCs w:val="16"/>
        </w:rPr>
        <w:t>а люди</w:t>
      </w:r>
      <w:r w:rsidRPr="00405303">
        <w:rPr>
          <w:rFonts w:eastAsia="Times-Roman"/>
          <w:bCs/>
          <w:color w:val="002060"/>
          <w:sz w:val="16"/>
          <w:szCs w:val="16"/>
        </w:rPr>
        <w:t xml:space="preserve">, </w:t>
      </w:r>
      <w:r w:rsidRPr="00405303">
        <w:rPr>
          <w:rFonts w:eastAsia="TimesNewRoman"/>
          <w:bCs/>
          <w:color w:val="002060"/>
          <w:sz w:val="16"/>
          <w:szCs w:val="16"/>
        </w:rPr>
        <w:t xml:space="preserve">работающие на дело снабжения армии </w:t>
      </w:r>
      <w:r w:rsidRPr="00405303">
        <w:rPr>
          <w:rFonts w:eastAsia="Times-Roman"/>
          <w:bCs/>
          <w:color w:val="002060"/>
          <w:sz w:val="16"/>
          <w:szCs w:val="16"/>
        </w:rPr>
        <w:t xml:space="preserve">– </w:t>
      </w:r>
      <w:r w:rsidRPr="00405303">
        <w:rPr>
          <w:rFonts w:eastAsia="TimesNewRoman"/>
          <w:bCs/>
          <w:color w:val="002060"/>
          <w:sz w:val="16"/>
          <w:szCs w:val="16"/>
        </w:rPr>
        <w:t>такими же необходимыми воинами</w:t>
      </w:r>
      <w:r w:rsidRPr="00405303">
        <w:rPr>
          <w:rFonts w:eastAsia="Times-Roman"/>
          <w:bCs/>
          <w:color w:val="002060"/>
          <w:sz w:val="16"/>
          <w:szCs w:val="16"/>
        </w:rPr>
        <w:t xml:space="preserve">, </w:t>
      </w:r>
      <w:r w:rsidRPr="00405303">
        <w:rPr>
          <w:rFonts w:eastAsia="TimesNewRoman"/>
          <w:bCs/>
          <w:color w:val="002060"/>
          <w:sz w:val="16"/>
          <w:szCs w:val="16"/>
        </w:rPr>
        <w:t>как солдаты на фронте</w:t>
      </w:r>
      <w:r w:rsidRPr="00405303">
        <w:rPr>
          <w:rFonts w:eastAsia="Times-Roman"/>
          <w:bCs/>
          <w:color w:val="002060"/>
          <w:sz w:val="16"/>
          <w:szCs w:val="16"/>
        </w:rPr>
        <w:t>» [17].</w:t>
      </w:r>
    </w:p>
    <w:p w14:paraId="0478D873"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Основными способами решения этой проблемы</w:t>
      </w:r>
      <w:r w:rsidRPr="00405303">
        <w:rPr>
          <w:rFonts w:eastAsia="Times-Roman"/>
          <w:bCs/>
          <w:color w:val="002060"/>
          <w:sz w:val="16"/>
          <w:szCs w:val="16"/>
        </w:rPr>
        <w:t xml:space="preserve">, </w:t>
      </w:r>
      <w:r w:rsidRPr="00405303">
        <w:rPr>
          <w:rFonts w:eastAsia="TimesNewRoman"/>
          <w:bCs/>
          <w:color w:val="002060"/>
          <w:sz w:val="16"/>
          <w:szCs w:val="16"/>
        </w:rPr>
        <w:t>которые использовались Особым совещанием по обороне</w:t>
      </w:r>
      <w:r w:rsidRPr="00405303">
        <w:rPr>
          <w:rFonts w:eastAsia="Times-Roman"/>
          <w:bCs/>
          <w:color w:val="002060"/>
          <w:sz w:val="16"/>
          <w:szCs w:val="16"/>
        </w:rPr>
        <w:t xml:space="preserve">, </w:t>
      </w:r>
      <w:r w:rsidRPr="00405303">
        <w:rPr>
          <w:rFonts w:eastAsia="TimesNewRoman"/>
          <w:bCs/>
          <w:color w:val="002060"/>
          <w:sz w:val="16"/>
          <w:szCs w:val="16"/>
        </w:rPr>
        <w:t>были</w:t>
      </w:r>
      <w:r w:rsidRPr="00405303">
        <w:rPr>
          <w:rFonts w:eastAsia="Times-Roman"/>
          <w:bCs/>
          <w:color w:val="002060"/>
          <w:sz w:val="16"/>
          <w:szCs w:val="16"/>
        </w:rPr>
        <w:t>:</w:t>
      </w:r>
    </w:p>
    <w:p w14:paraId="2B1464DB"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предоставление отсрочек от призыва военнообязанным работникам предприятий</w:t>
      </w:r>
      <w:r w:rsidRPr="00405303">
        <w:rPr>
          <w:rFonts w:eastAsia="Times-Roman"/>
          <w:bCs/>
          <w:color w:val="002060"/>
          <w:sz w:val="16"/>
          <w:szCs w:val="16"/>
        </w:rPr>
        <w:t xml:space="preserve">, </w:t>
      </w:r>
      <w:r w:rsidRPr="00405303">
        <w:rPr>
          <w:rFonts w:eastAsia="TimesNewRoman"/>
          <w:bCs/>
          <w:color w:val="002060"/>
          <w:sz w:val="16"/>
          <w:szCs w:val="16"/>
        </w:rPr>
        <w:t>выполняющих военные заказы</w:t>
      </w:r>
      <w:r w:rsidRPr="00405303">
        <w:rPr>
          <w:rFonts w:eastAsia="Times-Roman"/>
          <w:bCs/>
          <w:color w:val="002060"/>
          <w:sz w:val="16"/>
          <w:szCs w:val="16"/>
        </w:rPr>
        <w:t>;</w:t>
      </w:r>
    </w:p>
    <w:p w14:paraId="486DFE6C"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возвращение на предприятия призванных ранее квалифицированных рабочих и техников</w:t>
      </w:r>
      <w:r w:rsidRPr="00405303">
        <w:rPr>
          <w:rFonts w:eastAsia="Times-Roman"/>
          <w:bCs/>
          <w:color w:val="002060"/>
          <w:sz w:val="16"/>
          <w:szCs w:val="16"/>
        </w:rPr>
        <w:t>;</w:t>
      </w:r>
    </w:p>
    <w:p w14:paraId="3EC65F68"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использование труда военнопленных</w:t>
      </w:r>
      <w:r w:rsidRPr="00405303">
        <w:rPr>
          <w:rFonts w:eastAsia="Times-Roman"/>
          <w:bCs/>
          <w:color w:val="002060"/>
          <w:sz w:val="16"/>
          <w:szCs w:val="16"/>
        </w:rPr>
        <w:t xml:space="preserve">, </w:t>
      </w:r>
      <w:r w:rsidRPr="00405303">
        <w:rPr>
          <w:rFonts w:eastAsia="TimesNewRoman"/>
          <w:bCs/>
          <w:color w:val="002060"/>
          <w:sz w:val="16"/>
          <w:szCs w:val="16"/>
        </w:rPr>
        <w:t>иностранных рабочих</w:t>
      </w:r>
      <w:r w:rsidRPr="00405303">
        <w:rPr>
          <w:rFonts w:eastAsia="Times-Roman"/>
          <w:bCs/>
          <w:color w:val="002060"/>
          <w:sz w:val="16"/>
          <w:szCs w:val="16"/>
        </w:rPr>
        <w:t xml:space="preserve">, </w:t>
      </w:r>
      <w:r w:rsidRPr="00405303">
        <w:rPr>
          <w:rFonts w:eastAsia="TimesNewRoman"/>
          <w:bCs/>
          <w:color w:val="002060"/>
          <w:sz w:val="16"/>
          <w:szCs w:val="16"/>
        </w:rPr>
        <w:t>инородцев</w:t>
      </w:r>
      <w:r w:rsidRPr="00405303">
        <w:rPr>
          <w:rFonts w:eastAsia="Times-Roman"/>
          <w:bCs/>
          <w:color w:val="002060"/>
          <w:sz w:val="16"/>
          <w:szCs w:val="16"/>
        </w:rPr>
        <w:t>;</w:t>
      </w:r>
    </w:p>
    <w:p w14:paraId="5B470161"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снятие ограничений на использование труда женщин и подростков</w:t>
      </w:r>
      <w:r w:rsidRPr="00405303">
        <w:rPr>
          <w:rFonts w:eastAsia="Times-Roman"/>
          <w:bCs/>
          <w:color w:val="002060"/>
          <w:sz w:val="16"/>
          <w:szCs w:val="16"/>
        </w:rPr>
        <w:t>;</w:t>
      </w:r>
    </w:p>
    <w:p w14:paraId="4E0CD5F5"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 xml:space="preserve">привлечение населения к принудительным работам </w:t>
      </w:r>
      <w:r w:rsidRPr="00405303">
        <w:rPr>
          <w:rFonts w:eastAsia="Times-Roman"/>
          <w:bCs/>
          <w:color w:val="002060"/>
          <w:sz w:val="16"/>
          <w:szCs w:val="16"/>
        </w:rPr>
        <w:t>(</w:t>
      </w:r>
      <w:r w:rsidRPr="00405303">
        <w:rPr>
          <w:rFonts w:eastAsia="TimesNewRoman"/>
          <w:bCs/>
          <w:color w:val="002060"/>
          <w:sz w:val="16"/>
          <w:szCs w:val="16"/>
        </w:rPr>
        <w:t>реквизиция труда</w:t>
      </w:r>
      <w:r w:rsidRPr="00405303">
        <w:rPr>
          <w:rFonts w:eastAsia="Times-Roman"/>
          <w:bCs/>
          <w:color w:val="002060"/>
          <w:sz w:val="16"/>
          <w:szCs w:val="16"/>
        </w:rPr>
        <w:t>);</w:t>
      </w:r>
    </w:p>
    <w:p w14:paraId="5D78EB2C"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t xml:space="preserve">- </w:t>
      </w:r>
      <w:r w:rsidRPr="00405303">
        <w:rPr>
          <w:rFonts w:eastAsia="TimesNewRoman"/>
          <w:bCs/>
          <w:color w:val="002060"/>
          <w:sz w:val="16"/>
          <w:szCs w:val="16"/>
        </w:rPr>
        <w:t>подготовка кадров рабочих и техников для работающих на оборону предприятий</w:t>
      </w:r>
      <w:r w:rsidRPr="00405303">
        <w:rPr>
          <w:rFonts w:eastAsia="Times-Roman"/>
          <w:bCs/>
          <w:color w:val="002060"/>
          <w:sz w:val="16"/>
          <w:szCs w:val="16"/>
        </w:rPr>
        <w:t>;</w:t>
      </w:r>
    </w:p>
    <w:p w14:paraId="02E2E8A8" w14:textId="77777777" w:rsidR="00DE5F3B" w:rsidRPr="00405303" w:rsidRDefault="00DE5F3B" w:rsidP="00C15251">
      <w:pPr>
        <w:jc w:val="both"/>
        <w:rPr>
          <w:rFonts w:eastAsia="Times-Roman"/>
          <w:bCs/>
          <w:color w:val="002060"/>
          <w:sz w:val="16"/>
          <w:szCs w:val="16"/>
        </w:rPr>
      </w:pPr>
      <w:r w:rsidRPr="00405303">
        <w:rPr>
          <w:rFonts w:eastAsia="Times-Roman"/>
          <w:bCs/>
          <w:color w:val="002060"/>
          <w:sz w:val="16"/>
          <w:szCs w:val="16"/>
        </w:rPr>
        <w:lastRenderedPageBreak/>
        <w:t xml:space="preserve">- </w:t>
      </w:r>
      <w:r w:rsidRPr="00405303">
        <w:rPr>
          <w:rFonts w:eastAsia="TimesNewRoman"/>
          <w:bCs/>
          <w:color w:val="002060"/>
          <w:sz w:val="16"/>
          <w:szCs w:val="16"/>
        </w:rPr>
        <w:t xml:space="preserve">противодействие нарушениям нормального хода рабочего процесса на предприятиях </w:t>
      </w:r>
      <w:r w:rsidRPr="00405303">
        <w:rPr>
          <w:rFonts w:eastAsia="Times-Roman"/>
          <w:bCs/>
          <w:color w:val="002060"/>
          <w:sz w:val="16"/>
          <w:szCs w:val="16"/>
        </w:rPr>
        <w:t>(</w:t>
      </w:r>
      <w:r w:rsidRPr="00405303">
        <w:rPr>
          <w:rFonts w:eastAsia="TimesNewRoman"/>
          <w:bCs/>
          <w:color w:val="002060"/>
          <w:sz w:val="16"/>
          <w:szCs w:val="16"/>
        </w:rPr>
        <w:t>забастовки</w:t>
      </w:r>
      <w:r w:rsidRPr="00405303">
        <w:rPr>
          <w:rFonts w:eastAsia="Times-Roman"/>
          <w:bCs/>
          <w:color w:val="002060"/>
          <w:sz w:val="16"/>
          <w:szCs w:val="16"/>
        </w:rPr>
        <w:t xml:space="preserve">, </w:t>
      </w:r>
      <w:r w:rsidRPr="00405303">
        <w:rPr>
          <w:rFonts w:eastAsia="TimesNewRoman"/>
          <w:bCs/>
          <w:color w:val="002060"/>
          <w:sz w:val="16"/>
          <w:szCs w:val="16"/>
        </w:rPr>
        <w:t>переходы рабочих с завода на завод и т</w:t>
      </w:r>
      <w:r w:rsidRPr="00405303">
        <w:rPr>
          <w:rFonts w:eastAsia="Times-Roman"/>
          <w:bCs/>
          <w:color w:val="002060"/>
          <w:sz w:val="16"/>
          <w:szCs w:val="16"/>
        </w:rPr>
        <w:t>.</w:t>
      </w:r>
      <w:r w:rsidRPr="00405303">
        <w:rPr>
          <w:rFonts w:eastAsia="TimesNewRoman"/>
          <w:bCs/>
          <w:color w:val="002060"/>
          <w:sz w:val="16"/>
          <w:szCs w:val="16"/>
        </w:rPr>
        <w:t>п</w:t>
      </w:r>
      <w:r w:rsidRPr="00405303">
        <w:rPr>
          <w:rFonts w:eastAsia="Times-Roman"/>
          <w:bCs/>
          <w:color w:val="002060"/>
          <w:sz w:val="16"/>
          <w:szCs w:val="16"/>
        </w:rPr>
        <w:t>.).</w:t>
      </w:r>
    </w:p>
    <w:p w14:paraId="56041733"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Большое внимание Особое совещание по обороне уделяло обеспечению функционирования транспортной и энергетической инфраструктуры страны</w:t>
      </w:r>
      <w:r w:rsidRPr="00405303">
        <w:rPr>
          <w:rFonts w:eastAsia="Times-Roman"/>
          <w:bCs/>
          <w:color w:val="002060"/>
          <w:sz w:val="16"/>
          <w:szCs w:val="16"/>
        </w:rPr>
        <w:t xml:space="preserve">. </w:t>
      </w:r>
      <w:r w:rsidRPr="00405303">
        <w:rPr>
          <w:rFonts w:eastAsia="TimesNewRoman"/>
          <w:bCs/>
          <w:color w:val="002060"/>
          <w:sz w:val="16"/>
          <w:szCs w:val="16"/>
        </w:rPr>
        <w:t xml:space="preserve">В соответствии с законом от </w:t>
      </w:r>
      <w:r w:rsidRPr="00405303">
        <w:rPr>
          <w:rFonts w:eastAsia="Times-Roman"/>
          <w:bCs/>
          <w:color w:val="002060"/>
          <w:sz w:val="16"/>
          <w:szCs w:val="16"/>
        </w:rPr>
        <w:t xml:space="preserve">17 </w:t>
      </w:r>
      <w:r w:rsidRPr="00405303">
        <w:rPr>
          <w:rFonts w:eastAsia="TimesNewRoman"/>
          <w:bCs/>
          <w:color w:val="002060"/>
          <w:sz w:val="16"/>
          <w:szCs w:val="16"/>
        </w:rPr>
        <w:t xml:space="preserve">августа </w:t>
      </w:r>
      <w:r w:rsidRPr="00405303">
        <w:rPr>
          <w:rFonts w:eastAsia="Times-Roman"/>
          <w:bCs/>
          <w:color w:val="002060"/>
          <w:sz w:val="16"/>
          <w:szCs w:val="16"/>
        </w:rPr>
        <w:t xml:space="preserve">1915 </w:t>
      </w:r>
      <w:r w:rsidRPr="00405303">
        <w:rPr>
          <w:rFonts w:eastAsia="TimesNewRoman"/>
          <w:bCs/>
          <w:color w:val="002060"/>
          <w:sz w:val="16"/>
          <w:szCs w:val="16"/>
        </w:rPr>
        <w:t>г</w:t>
      </w:r>
      <w:r w:rsidRPr="00405303">
        <w:rPr>
          <w:rFonts w:eastAsia="Times-Roman"/>
          <w:bCs/>
          <w:color w:val="002060"/>
          <w:sz w:val="16"/>
          <w:szCs w:val="16"/>
        </w:rPr>
        <w:t xml:space="preserve">. </w:t>
      </w:r>
      <w:r w:rsidRPr="00405303">
        <w:rPr>
          <w:rFonts w:eastAsia="TimesNewRoman"/>
          <w:bCs/>
          <w:color w:val="002060"/>
          <w:sz w:val="16"/>
          <w:szCs w:val="16"/>
        </w:rPr>
        <w:t>вопросы регулирования поставок топлива и осуществления перевозок перешли в ведение специализированных Особых совещаний</w:t>
      </w:r>
      <w:r w:rsidRPr="00405303">
        <w:rPr>
          <w:rFonts w:eastAsia="Times-Roman"/>
          <w:bCs/>
          <w:color w:val="002060"/>
          <w:sz w:val="16"/>
          <w:szCs w:val="16"/>
        </w:rPr>
        <w:t xml:space="preserve">. </w:t>
      </w:r>
      <w:r w:rsidRPr="00405303">
        <w:rPr>
          <w:rFonts w:eastAsia="TimesNewRoman"/>
          <w:bCs/>
          <w:color w:val="002060"/>
          <w:sz w:val="16"/>
          <w:szCs w:val="16"/>
        </w:rPr>
        <w:t>Однако хронический характер перебоев в работе транспорта вынуждал Особое совещание по обороне регулярно обращаться к этой проблеме</w:t>
      </w:r>
      <w:r w:rsidRPr="00405303">
        <w:rPr>
          <w:rFonts w:eastAsia="Times-Roman"/>
          <w:bCs/>
          <w:color w:val="002060"/>
          <w:sz w:val="16"/>
          <w:szCs w:val="16"/>
        </w:rPr>
        <w:t>.</w:t>
      </w:r>
    </w:p>
    <w:p w14:paraId="75FAD2C6"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К числу важнейших вопросов</w:t>
      </w:r>
      <w:r w:rsidRPr="00405303">
        <w:rPr>
          <w:rFonts w:eastAsia="Times-Roman"/>
          <w:bCs/>
          <w:color w:val="002060"/>
          <w:sz w:val="16"/>
          <w:szCs w:val="16"/>
        </w:rPr>
        <w:t xml:space="preserve">, </w:t>
      </w:r>
      <w:r w:rsidRPr="00405303">
        <w:rPr>
          <w:rFonts w:eastAsia="TimesNewRoman"/>
          <w:bCs/>
          <w:color w:val="002060"/>
          <w:sz w:val="16"/>
          <w:szCs w:val="16"/>
        </w:rPr>
        <w:t>обсуждавшихся Совещанием</w:t>
      </w:r>
      <w:r w:rsidRPr="00405303">
        <w:rPr>
          <w:rFonts w:eastAsia="Times-Roman"/>
          <w:bCs/>
          <w:color w:val="002060"/>
          <w:sz w:val="16"/>
          <w:szCs w:val="16"/>
        </w:rPr>
        <w:t xml:space="preserve">, </w:t>
      </w:r>
      <w:r w:rsidRPr="00405303">
        <w:rPr>
          <w:rFonts w:eastAsia="TimesNewRoman"/>
          <w:bCs/>
          <w:color w:val="002060"/>
          <w:sz w:val="16"/>
          <w:szCs w:val="16"/>
        </w:rPr>
        <w:t>можно отнести</w:t>
      </w:r>
      <w:r w:rsidRPr="00405303">
        <w:rPr>
          <w:rFonts w:eastAsia="Times-Roman"/>
          <w:bCs/>
          <w:color w:val="002060"/>
          <w:sz w:val="16"/>
          <w:szCs w:val="16"/>
        </w:rPr>
        <w:t>:</w:t>
      </w:r>
    </w:p>
    <w:p w14:paraId="3274DF35"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организация доставки военных грузов из</w:t>
      </w:r>
      <w:r w:rsidRPr="00405303">
        <w:rPr>
          <w:rFonts w:eastAsia="Times-Roman"/>
          <w:bCs/>
          <w:color w:val="002060"/>
          <w:sz w:val="16"/>
          <w:szCs w:val="16"/>
        </w:rPr>
        <w:t>-</w:t>
      </w:r>
      <w:r w:rsidRPr="00405303">
        <w:rPr>
          <w:rFonts w:eastAsia="TimesNewRoman"/>
          <w:bCs/>
          <w:color w:val="002060"/>
          <w:sz w:val="16"/>
          <w:szCs w:val="16"/>
        </w:rPr>
        <w:t xml:space="preserve">за границы </w:t>
      </w:r>
      <w:r w:rsidRPr="00405303">
        <w:rPr>
          <w:rFonts w:eastAsia="Times-Roman"/>
          <w:bCs/>
          <w:color w:val="002060"/>
          <w:sz w:val="16"/>
          <w:szCs w:val="16"/>
        </w:rPr>
        <w:t>(</w:t>
      </w:r>
      <w:r w:rsidRPr="00405303">
        <w:rPr>
          <w:rFonts w:eastAsia="TimesNewRoman"/>
          <w:bCs/>
          <w:color w:val="002060"/>
          <w:sz w:val="16"/>
          <w:szCs w:val="16"/>
        </w:rPr>
        <w:t>финансирование расходов по транспортировке грузов</w:t>
      </w:r>
      <w:r w:rsidRPr="00405303">
        <w:rPr>
          <w:rFonts w:eastAsia="Times-Roman"/>
          <w:bCs/>
          <w:color w:val="002060"/>
          <w:sz w:val="16"/>
          <w:szCs w:val="16"/>
        </w:rPr>
        <w:t xml:space="preserve">, </w:t>
      </w:r>
      <w:r w:rsidRPr="00405303">
        <w:rPr>
          <w:rFonts w:eastAsia="TimesNewRoman"/>
          <w:bCs/>
          <w:color w:val="002060"/>
          <w:sz w:val="16"/>
          <w:szCs w:val="16"/>
        </w:rPr>
        <w:t>передача организации морских перевозок в руки правительства Великобритании</w:t>
      </w:r>
      <w:r w:rsidRPr="00405303">
        <w:rPr>
          <w:rFonts w:eastAsia="Times-Roman"/>
          <w:bCs/>
          <w:color w:val="002060"/>
          <w:sz w:val="16"/>
          <w:szCs w:val="16"/>
        </w:rPr>
        <w:t xml:space="preserve">, </w:t>
      </w:r>
      <w:r w:rsidRPr="00405303">
        <w:rPr>
          <w:rFonts w:eastAsia="TimesNewRoman"/>
          <w:bCs/>
          <w:color w:val="002060"/>
          <w:sz w:val="16"/>
          <w:szCs w:val="16"/>
        </w:rPr>
        <w:t>обеспечение безопасности перевозок</w:t>
      </w:r>
      <w:r w:rsidRPr="00405303">
        <w:rPr>
          <w:rFonts w:eastAsia="Times-Roman"/>
          <w:bCs/>
          <w:color w:val="002060"/>
          <w:sz w:val="16"/>
          <w:szCs w:val="16"/>
        </w:rPr>
        <w:t>),</w:t>
      </w:r>
    </w:p>
    <w:p w14:paraId="48A3AFAC"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обеспечение работы Петроградского железнодорожного узла</w:t>
      </w:r>
      <w:r w:rsidRPr="00405303">
        <w:rPr>
          <w:rFonts w:eastAsia="Times-Roman"/>
          <w:bCs/>
          <w:color w:val="002060"/>
          <w:sz w:val="16"/>
          <w:szCs w:val="16"/>
        </w:rPr>
        <w:t xml:space="preserve">, </w:t>
      </w:r>
      <w:r w:rsidRPr="00405303">
        <w:rPr>
          <w:rFonts w:eastAsia="TimesNewRoman"/>
          <w:bCs/>
          <w:color w:val="002060"/>
          <w:sz w:val="16"/>
          <w:szCs w:val="16"/>
        </w:rPr>
        <w:t xml:space="preserve">распространение правил о приоритетном исполнении предприятиями казенных заказов на заказы МПС </w:t>
      </w:r>
      <w:r w:rsidRPr="00405303">
        <w:rPr>
          <w:rFonts w:eastAsia="Times-Roman"/>
          <w:bCs/>
          <w:color w:val="002060"/>
          <w:sz w:val="16"/>
          <w:szCs w:val="16"/>
        </w:rPr>
        <w:t xml:space="preserve">[18], </w:t>
      </w:r>
      <w:r w:rsidRPr="00405303">
        <w:rPr>
          <w:rFonts w:eastAsia="TimesNewRoman"/>
          <w:bCs/>
          <w:color w:val="002060"/>
          <w:sz w:val="16"/>
          <w:szCs w:val="16"/>
        </w:rPr>
        <w:t>усиление использования для перевозок грузов внутренних водных путей</w:t>
      </w:r>
      <w:r w:rsidRPr="00405303">
        <w:rPr>
          <w:rFonts w:eastAsia="Times-Roman"/>
          <w:bCs/>
          <w:color w:val="002060"/>
          <w:sz w:val="16"/>
          <w:szCs w:val="16"/>
        </w:rPr>
        <w:t xml:space="preserve">, </w:t>
      </w:r>
      <w:r w:rsidRPr="00405303">
        <w:rPr>
          <w:rFonts w:eastAsia="TimesNewRoman"/>
          <w:bCs/>
          <w:color w:val="002060"/>
          <w:sz w:val="16"/>
          <w:szCs w:val="16"/>
        </w:rPr>
        <w:t>улучшение работы Архангельского порта и Архангельской железной дороги и др</w:t>
      </w:r>
      <w:r w:rsidRPr="00405303">
        <w:rPr>
          <w:rFonts w:eastAsia="Times-Roman"/>
          <w:bCs/>
          <w:color w:val="002060"/>
          <w:sz w:val="16"/>
          <w:szCs w:val="16"/>
        </w:rPr>
        <w:t>.</w:t>
      </w:r>
    </w:p>
    <w:p w14:paraId="4A9734E6"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О том внимании</w:t>
      </w:r>
      <w:r w:rsidRPr="00405303">
        <w:rPr>
          <w:rFonts w:eastAsia="Times-Roman"/>
          <w:bCs/>
          <w:color w:val="002060"/>
          <w:sz w:val="16"/>
          <w:szCs w:val="16"/>
        </w:rPr>
        <w:t xml:space="preserve">, </w:t>
      </w:r>
      <w:r w:rsidRPr="00405303">
        <w:rPr>
          <w:rFonts w:eastAsia="TimesNewRoman"/>
          <w:bCs/>
          <w:color w:val="002060"/>
          <w:sz w:val="16"/>
          <w:szCs w:val="16"/>
        </w:rPr>
        <w:t>которое вынуждено было оказывать Особое совещание по обороне вопросам работы транспорта и доставки военных грузов из</w:t>
      </w:r>
      <w:r w:rsidRPr="00405303">
        <w:rPr>
          <w:rFonts w:eastAsia="Times-Roman"/>
          <w:bCs/>
          <w:color w:val="002060"/>
          <w:sz w:val="16"/>
          <w:szCs w:val="16"/>
        </w:rPr>
        <w:t>-</w:t>
      </w:r>
      <w:r w:rsidRPr="00405303">
        <w:rPr>
          <w:rFonts w:eastAsia="TimesNewRoman"/>
          <w:bCs/>
          <w:color w:val="002060"/>
          <w:sz w:val="16"/>
          <w:szCs w:val="16"/>
        </w:rPr>
        <w:t>за границы</w:t>
      </w:r>
      <w:r w:rsidRPr="00405303">
        <w:rPr>
          <w:rFonts w:eastAsia="Times-Roman"/>
          <w:bCs/>
          <w:color w:val="002060"/>
          <w:sz w:val="16"/>
          <w:szCs w:val="16"/>
        </w:rPr>
        <w:t xml:space="preserve">, </w:t>
      </w:r>
      <w:r w:rsidRPr="00405303">
        <w:rPr>
          <w:rFonts w:eastAsia="TimesNewRoman"/>
          <w:bCs/>
          <w:color w:val="002060"/>
          <w:sz w:val="16"/>
          <w:szCs w:val="16"/>
        </w:rPr>
        <w:t>наглядно свидетельствует</w:t>
      </w:r>
      <w:r w:rsidRPr="00405303">
        <w:rPr>
          <w:rFonts w:eastAsia="Times-Roman"/>
          <w:bCs/>
          <w:color w:val="002060"/>
          <w:sz w:val="16"/>
          <w:szCs w:val="16"/>
        </w:rPr>
        <w:t xml:space="preserve">, </w:t>
      </w:r>
      <w:r w:rsidRPr="00405303">
        <w:rPr>
          <w:rFonts w:eastAsia="TimesNewRoman"/>
          <w:bCs/>
          <w:color w:val="002060"/>
          <w:sz w:val="16"/>
          <w:szCs w:val="16"/>
        </w:rPr>
        <w:t>к примеру</w:t>
      </w:r>
      <w:r w:rsidRPr="00405303">
        <w:rPr>
          <w:rFonts w:eastAsia="Times-Roman"/>
          <w:bCs/>
          <w:color w:val="002060"/>
          <w:sz w:val="16"/>
          <w:szCs w:val="16"/>
        </w:rPr>
        <w:t xml:space="preserve">, </w:t>
      </w:r>
      <w:r w:rsidRPr="00405303">
        <w:rPr>
          <w:rFonts w:eastAsia="TimesNewRoman"/>
          <w:bCs/>
          <w:color w:val="002060"/>
          <w:sz w:val="16"/>
          <w:szCs w:val="16"/>
        </w:rPr>
        <w:t>тот факт</w:t>
      </w:r>
      <w:r w:rsidRPr="00405303">
        <w:rPr>
          <w:rFonts w:eastAsia="Times-Roman"/>
          <w:bCs/>
          <w:color w:val="002060"/>
          <w:sz w:val="16"/>
          <w:szCs w:val="16"/>
        </w:rPr>
        <w:t xml:space="preserve">, </w:t>
      </w:r>
      <w:r w:rsidRPr="00405303">
        <w:rPr>
          <w:rFonts w:eastAsia="TimesNewRoman"/>
          <w:bCs/>
          <w:color w:val="002060"/>
          <w:sz w:val="16"/>
          <w:szCs w:val="16"/>
        </w:rPr>
        <w:t xml:space="preserve">что из </w:t>
      </w:r>
      <w:r w:rsidRPr="00405303">
        <w:rPr>
          <w:rFonts w:eastAsia="Times-Roman"/>
          <w:bCs/>
          <w:color w:val="002060"/>
          <w:sz w:val="16"/>
          <w:szCs w:val="16"/>
        </w:rPr>
        <w:t xml:space="preserve">146 </w:t>
      </w:r>
      <w:r w:rsidRPr="00405303">
        <w:rPr>
          <w:rFonts w:eastAsia="TimesNewRoman"/>
          <w:bCs/>
          <w:color w:val="002060"/>
          <w:sz w:val="16"/>
          <w:szCs w:val="16"/>
        </w:rPr>
        <w:t>заседаний Совещания</w:t>
      </w:r>
      <w:r w:rsidRPr="00405303">
        <w:rPr>
          <w:rFonts w:eastAsia="Times-Roman"/>
          <w:bCs/>
          <w:color w:val="002060"/>
          <w:sz w:val="16"/>
          <w:szCs w:val="16"/>
        </w:rPr>
        <w:t xml:space="preserve">, </w:t>
      </w:r>
      <w:r w:rsidRPr="00405303">
        <w:rPr>
          <w:rFonts w:eastAsia="TimesNewRoman"/>
          <w:bCs/>
          <w:color w:val="002060"/>
          <w:sz w:val="16"/>
          <w:szCs w:val="16"/>
        </w:rPr>
        <w:t xml:space="preserve">прошедших в период с </w:t>
      </w:r>
      <w:r w:rsidRPr="00405303">
        <w:rPr>
          <w:rFonts w:eastAsia="Times-Roman"/>
          <w:bCs/>
          <w:color w:val="002060"/>
          <w:sz w:val="16"/>
          <w:szCs w:val="16"/>
        </w:rPr>
        <w:t xml:space="preserve">26 </w:t>
      </w:r>
      <w:r w:rsidRPr="00405303">
        <w:rPr>
          <w:rFonts w:eastAsia="TimesNewRoman"/>
          <w:bCs/>
          <w:color w:val="002060"/>
          <w:sz w:val="16"/>
          <w:szCs w:val="16"/>
        </w:rPr>
        <w:t xml:space="preserve">августа </w:t>
      </w:r>
      <w:r w:rsidRPr="00405303">
        <w:rPr>
          <w:rFonts w:eastAsia="Times-Roman"/>
          <w:bCs/>
          <w:color w:val="002060"/>
          <w:sz w:val="16"/>
          <w:szCs w:val="16"/>
        </w:rPr>
        <w:t xml:space="preserve">1915 </w:t>
      </w:r>
      <w:r w:rsidRPr="00405303">
        <w:rPr>
          <w:rFonts w:eastAsia="TimesNewRoman"/>
          <w:bCs/>
          <w:color w:val="002060"/>
          <w:sz w:val="16"/>
          <w:szCs w:val="16"/>
        </w:rPr>
        <w:t>г</w:t>
      </w:r>
      <w:r w:rsidRPr="00405303">
        <w:rPr>
          <w:rFonts w:eastAsia="Times-Roman"/>
          <w:bCs/>
          <w:color w:val="002060"/>
          <w:sz w:val="16"/>
          <w:szCs w:val="16"/>
        </w:rPr>
        <w:t xml:space="preserve">. </w:t>
      </w:r>
      <w:r w:rsidRPr="00405303">
        <w:rPr>
          <w:rFonts w:eastAsia="TimesNewRoman"/>
          <w:bCs/>
          <w:color w:val="002060"/>
          <w:sz w:val="16"/>
          <w:szCs w:val="16"/>
        </w:rPr>
        <w:t xml:space="preserve">по </w:t>
      </w:r>
      <w:r w:rsidRPr="00405303">
        <w:rPr>
          <w:rFonts w:eastAsia="Times-Roman"/>
          <w:bCs/>
          <w:color w:val="002060"/>
          <w:sz w:val="16"/>
          <w:szCs w:val="16"/>
        </w:rPr>
        <w:t xml:space="preserve">22 </w:t>
      </w:r>
      <w:r w:rsidRPr="00405303">
        <w:rPr>
          <w:rFonts w:eastAsia="TimesNewRoman"/>
          <w:bCs/>
          <w:color w:val="002060"/>
          <w:sz w:val="16"/>
          <w:szCs w:val="16"/>
        </w:rPr>
        <w:t xml:space="preserve">февраля </w:t>
      </w:r>
      <w:r w:rsidRPr="00405303">
        <w:rPr>
          <w:rFonts w:eastAsia="Times-Roman"/>
          <w:bCs/>
          <w:color w:val="002060"/>
          <w:sz w:val="16"/>
          <w:szCs w:val="16"/>
        </w:rPr>
        <w:t xml:space="preserve">1917 </w:t>
      </w:r>
      <w:r w:rsidRPr="00405303">
        <w:rPr>
          <w:rFonts w:eastAsia="TimesNewRoman"/>
          <w:bCs/>
          <w:color w:val="002060"/>
          <w:sz w:val="16"/>
          <w:szCs w:val="16"/>
        </w:rPr>
        <w:t>г</w:t>
      </w:r>
      <w:r w:rsidRPr="00405303">
        <w:rPr>
          <w:rFonts w:eastAsia="Times-Roman"/>
          <w:bCs/>
          <w:color w:val="002060"/>
          <w:sz w:val="16"/>
          <w:szCs w:val="16"/>
        </w:rPr>
        <w:t xml:space="preserve">., </w:t>
      </w:r>
      <w:r w:rsidRPr="00405303">
        <w:rPr>
          <w:rFonts w:eastAsia="TimesNewRoman"/>
          <w:bCs/>
          <w:color w:val="002060"/>
          <w:sz w:val="16"/>
          <w:szCs w:val="16"/>
        </w:rPr>
        <w:t xml:space="preserve">данные вопросы в той или иной степени рассматривались в ходе </w:t>
      </w:r>
      <w:r w:rsidRPr="00405303">
        <w:rPr>
          <w:rFonts w:eastAsia="Times-Roman"/>
          <w:bCs/>
          <w:color w:val="002060"/>
          <w:sz w:val="16"/>
          <w:szCs w:val="16"/>
        </w:rPr>
        <w:t xml:space="preserve">58 </w:t>
      </w:r>
      <w:r w:rsidRPr="00405303">
        <w:rPr>
          <w:rFonts w:eastAsia="TimesNewRoman"/>
          <w:bCs/>
          <w:color w:val="002060"/>
          <w:sz w:val="16"/>
          <w:szCs w:val="16"/>
        </w:rPr>
        <w:t>заседаний</w:t>
      </w:r>
      <w:r w:rsidRPr="00405303">
        <w:rPr>
          <w:rFonts w:eastAsia="Times-Roman"/>
          <w:bCs/>
          <w:color w:val="002060"/>
          <w:sz w:val="16"/>
          <w:szCs w:val="16"/>
        </w:rPr>
        <w:t>.</w:t>
      </w:r>
    </w:p>
    <w:p w14:paraId="25D5261C"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Совершенно новым явлением в условиях Первой мировой войны стала массовая эвакуация как мирного населения и правительственных учреждений</w:t>
      </w:r>
      <w:r w:rsidRPr="00405303">
        <w:rPr>
          <w:rFonts w:eastAsia="Times-Roman"/>
          <w:bCs/>
          <w:color w:val="002060"/>
          <w:sz w:val="16"/>
          <w:szCs w:val="16"/>
        </w:rPr>
        <w:t xml:space="preserve">, </w:t>
      </w:r>
      <w:r w:rsidRPr="00405303">
        <w:rPr>
          <w:rFonts w:eastAsia="TimesNewRoman"/>
          <w:bCs/>
          <w:color w:val="002060"/>
          <w:sz w:val="16"/>
          <w:szCs w:val="16"/>
        </w:rPr>
        <w:t>так и промышленно</w:t>
      </w:r>
      <w:r w:rsidRPr="00405303">
        <w:rPr>
          <w:rFonts w:eastAsia="Times-Roman"/>
          <w:bCs/>
          <w:color w:val="002060"/>
          <w:sz w:val="16"/>
          <w:szCs w:val="16"/>
        </w:rPr>
        <w:t>-</w:t>
      </w:r>
      <w:r w:rsidRPr="00405303">
        <w:rPr>
          <w:rFonts w:eastAsia="TimesNewRoman"/>
          <w:bCs/>
          <w:color w:val="002060"/>
          <w:sz w:val="16"/>
          <w:szCs w:val="16"/>
        </w:rPr>
        <w:t>торговых предприятий</w:t>
      </w:r>
      <w:r w:rsidRPr="00405303">
        <w:rPr>
          <w:rFonts w:eastAsia="Times-Roman"/>
          <w:bCs/>
          <w:color w:val="002060"/>
          <w:sz w:val="16"/>
          <w:szCs w:val="16"/>
        </w:rPr>
        <w:t xml:space="preserve">. </w:t>
      </w:r>
      <w:r w:rsidRPr="00405303">
        <w:rPr>
          <w:rFonts w:eastAsia="TimesNewRoman"/>
          <w:bCs/>
          <w:color w:val="002060"/>
          <w:sz w:val="16"/>
          <w:szCs w:val="16"/>
        </w:rPr>
        <w:t xml:space="preserve">Уже на первом заседании Особого совещания по обороне </w:t>
      </w:r>
      <w:r w:rsidRPr="00405303">
        <w:rPr>
          <w:rFonts w:eastAsia="Times-Roman"/>
          <w:bCs/>
          <w:color w:val="002060"/>
          <w:sz w:val="16"/>
          <w:szCs w:val="16"/>
        </w:rPr>
        <w:t xml:space="preserve">26 </w:t>
      </w:r>
      <w:r w:rsidRPr="00405303">
        <w:rPr>
          <w:rFonts w:eastAsia="TimesNewRoman"/>
          <w:bCs/>
          <w:color w:val="002060"/>
          <w:sz w:val="16"/>
          <w:szCs w:val="16"/>
        </w:rPr>
        <w:t xml:space="preserve">августа </w:t>
      </w:r>
      <w:r w:rsidRPr="00405303">
        <w:rPr>
          <w:rFonts w:eastAsia="Times-Roman"/>
          <w:bCs/>
          <w:color w:val="002060"/>
          <w:sz w:val="16"/>
          <w:szCs w:val="16"/>
        </w:rPr>
        <w:t xml:space="preserve">1915 </w:t>
      </w:r>
      <w:r w:rsidRPr="00405303">
        <w:rPr>
          <w:rFonts w:eastAsia="TimesNewRoman"/>
          <w:bCs/>
          <w:color w:val="002060"/>
          <w:sz w:val="16"/>
          <w:szCs w:val="16"/>
        </w:rPr>
        <w:t>г</w:t>
      </w:r>
      <w:r w:rsidRPr="00405303">
        <w:rPr>
          <w:rFonts w:eastAsia="Times-Roman"/>
          <w:bCs/>
          <w:color w:val="002060"/>
          <w:sz w:val="16"/>
          <w:szCs w:val="16"/>
        </w:rPr>
        <w:t xml:space="preserve">. </w:t>
      </w:r>
      <w:r w:rsidRPr="00405303">
        <w:rPr>
          <w:rFonts w:eastAsia="TimesNewRoman"/>
          <w:bCs/>
          <w:color w:val="002060"/>
          <w:sz w:val="16"/>
          <w:szCs w:val="16"/>
        </w:rPr>
        <w:t>была учреждена эвакуационная комиссия</w:t>
      </w:r>
      <w:r w:rsidRPr="00405303">
        <w:rPr>
          <w:rFonts w:eastAsia="Times-Roman"/>
          <w:bCs/>
          <w:color w:val="002060"/>
          <w:sz w:val="16"/>
          <w:szCs w:val="16"/>
        </w:rPr>
        <w:t xml:space="preserve">, </w:t>
      </w:r>
      <w:r w:rsidRPr="00405303">
        <w:rPr>
          <w:rFonts w:eastAsia="TimesNewRoman"/>
          <w:bCs/>
          <w:color w:val="002060"/>
          <w:sz w:val="16"/>
          <w:szCs w:val="16"/>
        </w:rPr>
        <w:t>которую возглавил председатель Государственной думы М</w:t>
      </w:r>
      <w:r w:rsidRPr="00405303">
        <w:rPr>
          <w:rFonts w:eastAsia="Times-Roman"/>
          <w:bCs/>
          <w:color w:val="002060"/>
          <w:sz w:val="16"/>
          <w:szCs w:val="16"/>
        </w:rPr>
        <w:t>.</w:t>
      </w:r>
      <w:r w:rsidRPr="00405303">
        <w:rPr>
          <w:rFonts w:eastAsia="TimesNewRoman"/>
          <w:bCs/>
          <w:color w:val="002060"/>
          <w:sz w:val="16"/>
          <w:szCs w:val="16"/>
        </w:rPr>
        <w:t>В</w:t>
      </w:r>
      <w:r w:rsidRPr="00405303">
        <w:rPr>
          <w:rFonts w:eastAsia="Times-Roman"/>
          <w:bCs/>
          <w:color w:val="002060"/>
          <w:sz w:val="16"/>
          <w:szCs w:val="16"/>
        </w:rPr>
        <w:t>.</w:t>
      </w:r>
      <w:r w:rsidRPr="00405303">
        <w:rPr>
          <w:rFonts w:eastAsia="TimesNewRoman"/>
          <w:bCs/>
          <w:color w:val="002060"/>
          <w:sz w:val="16"/>
          <w:szCs w:val="16"/>
        </w:rPr>
        <w:t>Родзянко</w:t>
      </w:r>
      <w:r w:rsidRPr="00405303">
        <w:rPr>
          <w:rFonts w:eastAsia="Times-Roman"/>
          <w:bCs/>
          <w:color w:val="002060"/>
          <w:sz w:val="16"/>
          <w:szCs w:val="16"/>
        </w:rPr>
        <w:t xml:space="preserve">. </w:t>
      </w:r>
      <w:r w:rsidRPr="00405303">
        <w:rPr>
          <w:rFonts w:eastAsia="TimesNewRoman"/>
          <w:bCs/>
          <w:color w:val="002060"/>
          <w:sz w:val="16"/>
          <w:szCs w:val="16"/>
        </w:rPr>
        <w:t xml:space="preserve">Комиссии предоставлялись полномочия по рассмотрению вопросов о </w:t>
      </w:r>
      <w:r w:rsidRPr="00405303">
        <w:rPr>
          <w:rFonts w:eastAsia="Times-Roman"/>
          <w:bCs/>
          <w:color w:val="002060"/>
          <w:sz w:val="16"/>
          <w:szCs w:val="16"/>
        </w:rPr>
        <w:t>«</w:t>
      </w:r>
      <w:r w:rsidRPr="00405303">
        <w:rPr>
          <w:rFonts w:eastAsia="TimesNewRoman"/>
          <w:bCs/>
          <w:color w:val="002060"/>
          <w:sz w:val="16"/>
          <w:szCs w:val="16"/>
        </w:rPr>
        <w:t>заблаговременном выборе мест и помещений и о приспособлении последних для предприятий</w:t>
      </w:r>
      <w:r w:rsidRPr="00405303">
        <w:rPr>
          <w:rFonts w:eastAsia="Times-Roman"/>
          <w:bCs/>
          <w:color w:val="002060"/>
          <w:sz w:val="16"/>
          <w:szCs w:val="16"/>
        </w:rPr>
        <w:t xml:space="preserve">, </w:t>
      </w:r>
      <w:r w:rsidRPr="00405303">
        <w:rPr>
          <w:rFonts w:eastAsia="TimesNewRoman"/>
          <w:bCs/>
          <w:color w:val="002060"/>
          <w:sz w:val="16"/>
          <w:szCs w:val="16"/>
        </w:rPr>
        <w:t>переводимых из местностей</w:t>
      </w:r>
      <w:r w:rsidRPr="00405303">
        <w:rPr>
          <w:rFonts w:eastAsia="Times-Roman"/>
          <w:bCs/>
          <w:color w:val="002060"/>
          <w:sz w:val="16"/>
          <w:szCs w:val="16"/>
        </w:rPr>
        <w:t xml:space="preserve">, </w:t>
      </w:r>
      <w:r w:rsidRPr="00405303">
        <w:rPr>
          <w:rFonts w:eastAsia="TimesNewRoman"/>
          <w:bCs/>
          <w:color w:val="002060"/>
          <w:sz w:val="16"/>
          <w:szCs w:val="16"/>
        </w:rPr>
        <w:t>угрожаемых нашествием неприятеля</w:t>
      </w:r>
      <w:r w:rsidRPr="00405303">
        <w:rPr>
          <w:rFonts w:eastAsia="Times-Roman"/>
          <w:bCs/>
          <w:color w:val="002060"/>
          <w:sz w:val="16"/>
          <w:szCs w:val="16"/>
        </w:rPr>
        <w:t xml:space="preserve">, </w:t>
      </w:r>
      <w:r w:rsidRPr="00405303">
        <w:rPr>
          <w:rFonts w:eastAsia="TimesNewRoman"/>
          <w:bCs/>
          <w:color w:val="002060"/>
          <w:sz w:val="16"/>
          <w:szCs w:val="16"/>
        </w:rPr>
        <w:t>в места безопасные</w:t>
      </w:r>
      <w:r w:rsidRPr="00405303">
        <w:rPr>
          <w:rFonts w:eastAsia="Times-Roman"/>
          <w:bCs/>
          <w:color w:val="002060"/>
          <w:sz w:val="16"/>
          <w:szCs w:val="16"/>
        </w:rPr>
        <w:t>» [19].</w:t>
      </w:r>
    </w:p>
    <w:p w14:paraId="7D23CFBE" w14:textId="77777777" w:rsidR="00DE5F3B" w:rsidRPr="00405303" w:rsidRDefault="00DE5F3B" w:rsidP="00C15251">
      <w:pPr>
        <w:jc w:val="both"/>
        <w:rPr>
          <w:rFonts w:eastAsia="Times-Roman"/>
          <w:bCs/>
          <w:color w:val="002060"/>
          <w:sz w:val="16"/>
          <w:szCs w:val="16"/>
        </w:rPr>
      </w:pPr>
      <w:r w:rsidRPr="00405303">
        <w:rPr>
          <w:rFonts w:eastAsia="TimesNewRoman"/>
          <w:bCs/>
          <w:color w:val="002060"/>
          <w:sz w:val="16"/>
          <w:szCs w:val="16"/>
        </w:rPr>
        <w:t>Основным способом содействия в эвакуации предприятий являлось оказание им финансовой помощи</w:t>
      </w:r>
      <w:r w:rsidRPr="00405303">
        <w:rPr>
          <w:rFonts w:eastAsia="Times-Roman"/>
          <w:bCs/>
          <w:color w:val="002060"/>
          <w:sz w:val="16"/>
          <w:szCs w:val="16"/>
        </w:rPr>
        <w:t xml:space="preserve">, </w:t>
      </w:r>
      <w:r w:rsidRPr="00405303">
        <w:rPr>
          <w:rFonts w:eastAsia="TimesNewRoman"/>
          <w:bCs/>
          <w:color w:val="002060"/>
          <w:sz w:val="16"/>
          <w:szCs w:val="16"/>
        </w:rPr>
        <w:t xml:space="preserve">которая производилась на основании </w:t>
      </w:r>
      <w:r w:rsidRPr="00405303">
        <w:rPr>
          <w:rFonts w:eastAsia="Times-Roman"/>
          <w:bCs/>
          <w:color w:val="002060"/>
          <w:sz w:val="16"/>
          <w:szCs w:val="16"/>
        </w:rPr>
        <w:t>«</w:t>
      </w:r>
      <w:r w:rsidRPr="00405303">
        <w:rPr>
          <w:rFonts w:eastAsia="TimesNewRoman"/>
          <w:bCs/>
          <w:color w:val="002060"/>
          <w:sz w:val="16"/>
          <w:szCs w:val="16"/>
        </w:rPr>
        <w:t>Правил о способах и порядке оказания содействия эвакуируемым предприятиям к возобновлению их деятельности на новых местах</w:t>
      </w:r>
      <w:r w:rsidRPr="00405303">
        <w:rPr>
          <w:rFonts w:eastAsia="Times-Roman"/>
          <w:bCs/>
          <w:color w:val="002060"/>
          <w:sz w:val="16"/>
          <w:szCs w:val="16"/>
        </w:rPr>
        <w:t xml:space="preserve">» [20]. </w:t>
      </w:r>
      <w:r w:rsidRPr="00405303">
        <w:rPr>
          <w:rFonts w:eastAsia="TimesNewRoman"/>
          <w:bCs/>
          <w:color w:val="002060"/>
          <w:sz w:val="16"/>
          <w:szCs w:val="16"/>
        </w:rPr>
        <w:t>С помощью организованной сети районных комиссий и подкомиссий впервые была предпринята попытка заблаговременного планирования эвакуации из угрожаемых районов промышленных предприятий</w:t>
      </w:r>
      <w:r w:rsidRPr="00405303">
        <w:rPr>
          <w:rFonts w:eastAsia="Times-Roman"/>
          <w:bCs/>
          <w:color w:val="002060"/>
          <w:sz w:val="16"/>
          <w:szCs w:val="16"/>
        </w:rPr>
        <w:t xml:space="preserve">, </w:t>
      </w:r>
      <w:r w:rsidRPr="00405303">
        <w:rPr>
          <w:rFonts w:eastAsia="TimesNewRoman"/>
          <w:bCs/>
          <w:color w:val="002060"/>
          <w:sz w:val="16"/>
          <w:szCs w:val="16"/>
        </w:rPr>
        <w:t>населения</w:t>
      </w:r>
      <w:r w:rsidRPr="00405303">
        <w:rPr>
          <w:rFonts w:eastAsia="Times-Roman"/>
          <w:bCs/>
          <w:color w:val="002060"/>
          <w:sz w:val="16"/>
          <w:szCs w:val="16"/>
        </w:rPr>
        <w:t xml:space="preserve">, </w:t>
      </w:r>
      <w:r w:rsidRPr="00405303">
        <w:rPr>
          <w:rFonts w:eastAsia="TimesNewRoman"/>
          <w:bCs/>
          <w:color w:val="002060"/>
          <w:sz w:val="16"/>
          <w:szCs w:val="16"/>
        </w:rPr>
        <w:t>хлебных запасов</w:t>
      </w:r>
      <w:r w:rsidRPr="00405303">
        <w:rPr>
          <w:rFonts w:eastAsia="Times-Roman"/>
          <w:bCs/>
          <w:color w:val="002060"/>
          <w:sz w:val="16"/>
          <w:szCs w:val="16"/>
        </w:rPr>
        <w:t xml:space="preserve">, </w:t>
      </w:r>
      <w:r w:rsidRPr="00405303">
        <w:rPr>
          <w:rFonts w:eastAsia="TimesNewRoman"/>
          <w:bCs/>
          <w:color w:val="002060"/>
          <w:sz w:val="16"/>
          <w:szCs w:val="16"/>
        </w:rPr>
        <w:t>сельскохозяйственных машин и проч</w:t>
      </w:r>
      <w:r w:rsidRPr="00405303">
        <w:rPr>
          <w:rFonts w:eastAsia="Times-Roman"/>
          <w:bCs/>
          <w:color w:val="002060"/>
          <w:sz w:val="16"/>
          <w:szCs w:val="16"/>
        </w:rPr>
        <w:t>. [21] (20240).</w:t>
      </w:r>
    </w:p>
    <w:p w14:paraId="61E5A87A" w14:textId="77777777" w:rsidR="00DE5F3B" w:rsidRPr="00405303" w:rsidRDefault="00DE5F3B" w:rsidP="00C15251">
      <w:pPr>
        <w:jc w:val="both"/>
        <w:rPr>
          <w:rFonts w:eastAsia="Times-Roman"/>
          <w:bCs/>
          <w:color w:val="002060"/>
          <w:sz w:val="16"/>
          <w:szCs w:val="16"/>
        </w:rPr>
      </w:pPr>
    </w:p>
    <w:bookmarkEnd w:id="223"/>
    <w:p w14:paraId="4699D3FB"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166619D4" w14:textId="50A2FC63" w:rsidR="004B4E35" w:rsidRPr="00405303" w:rsidRDefault="004B4E35" w:rsidP="00C15251">
      <w:pPr>
        <w:shd w:val="clear" w:color="auto" w:fill="FFFFFF"/>
        <w:jc w:val="both"/>
        <w:rPr>
          <w:bCs/>
          <w:i/>
          <w:color w:val="002060"/>
          <w:sz w:val="16"/>
          <w:szCs w:val="16"/>
        </w:rPr>
      </w:pPr>
    </w:p>
    <w:p w14:paraId="17B93DD4" w14:textId="0C8D3CAD" w:rsidR="007A2E85" w:rsidRPr="00405303" w:rsidRDefault="007A2E85" w:rsidP="00C15251">
      <w:pPr>
        <w:shd w:val="clear" w:color="auto" w:fill="FFFFFF"/>
        <w:jc w:val="both"/>
        <w:rPr>
          <w:bCs/>
          <w:i/>
          <w:color w:val="002060"/>
          <w:sz w:val="16"/>
          <w:szCs w:val="16"/>
        </w:rPr>
      </w:pPr>
      <w:r w:rsidRPr="00405303">
        <w:rPr>
          <w:bCs/>
          <w:color w:val="002060"/>
          <w:sz w:val="16"/>
          <w:szCs w:val="16"/>
        </w:rPr>
        <w:t>17 (30) августа 1915 г. появился новый з</w:t>
      </w:r>
      <w:r w:rsidRPr="00405303">
        <w:rPr>
          <w:rStyle w:val="12"/>
          <w:bCs/>
          <w:i w:val="0"/>
          <w:color w:val="002060"/>
          <w:sz w:val="16"/>
          <w:szCs w:val="16"/>
        </w:rPr>
        <w:t>аказы на трехлинейные винтовки фирме Вестингауз</w:t>
      </w:r>
    </w:p>
    <w:p w14:paraId="65F9A517" w14:textId="77777777" w:rsidR="004B4E35" w:rsidRPr="00405303" w:rsidRDefault="009E6F82" w:rsidP="00C15251">
      <w:pPr>
        <w:pStyle w:val="2"/>
        <w:spacing w:before="0" w:after="0"/>
        <w:jc w:val="both"/>
        <w:rPr>
          <w:b w:val="0"/>
          <w:bCs/>
          <w:color w:val="002060"/>
          <w:sz w:val="16"/>
          <w:szCs w:val="16"/>
        </w:rPr>
      </w:pPr>
      <w:r w:rsidRPr="00405303">
        <w:rPr>
          <w:rStyle w:val="12"/>
          <w:b w:val="0"/>
          <w:bCs/>
          <w:i w:val="0"/>
          <w:color w:val="002060"/>
          <w:sz w:val="16"/>
          <w:szCs w:val="16"/>
        </w:rPr>
        <w:t>Заказы на трехлинейные винтовки фирме Вестингауз</w:t>
      </w:r>
    </w:p>
    <w:p w14:paraId="353F63B5" w14:textId="77777777" w:rsidR="004B4E35" w:rsidRPr="00405303" w:rsidRDefault="009E6F82" w:rsidP="00C15251">
      <w:pPr>
        <w:jc w:val="both"/>
        <w:rPr>
          <w:bCs/>
          <w:color w:val="002060"/>
          <w:sz w:val="16"/>
          <w:szCs w:val="16"/>
        </w:rPr>
      </w:pPr>
      <w:r w:rsidRPr="00405303">
        <w:rPr>
          <w:bCs/>
          <w:color w:val="002060"/>
          <w:sz w:val="16"/>
          <w:szCs w:val="16"/>
        </w:rPr>
        <w:t xml:space="preserve">С фирмой Вестингауз были заключены нижеследующие контракты на поставку трехлинейных винтовок русского образца: </w:t>
      </w:r>
    </w:p>
    <w:p w14:paraId="5BE0F65C" w14:textId="77777777" w:rsidR="004B4E35" w:rsidRPr="00405303" w:rsidRDefault="009E6F82" w:rsidP="00C15251">
      <w:pPr>
        <w:jc w:val="both"/>
        <w:rPr>
          <w:bCs/>
          <w:color w:val="002060"/>
          <w:sz w:val="16"/>
          <w:szCs w:val="16"/>
        </w:rPr>
      </w:pPr>
      <w:r w:rsidRPr="00405303">
        <w:rPr>
          <w:bCs/>
          <w:color w:val="002060"/>
          <w:sz w:val="16"/>
          <w:szCs w:val="16"/>
        </w:rPr>
        <w:t xml:space="preserve">24 мая 1915 г. — 1 000 000 винтовок, </w:t>
      </w:r>
    </w:p>
    <w:p w14:paraId="60581EEE" w14:textId="215D6223" w:rsidR="004B4E35" w:rsidRPr="00405303" w:rsidRDefault="009E6F82" w:rsidP="00C15251">
      <w:pPr>
        <w:jc w:val="both"/>
        <w:rPr>
          <w:bCs/>
          <w:color w:val="002060"/>
          <w:sz w:val="16"/>
          <w:szCs w:val="16"/>
        </w:rPr>
      </w:pPr>
      <w:r w:rsidRPr="00405303">
        <w:rPr>
          <w:bCs/>
          <w:color w:val="002060"/>
          <w:sz w:val="16"/>
          <w:szCs w:val="16"/>
        </w:rPr>
        <w:t xml:space="preserve">17 (30) августа 1915 г. — 800 000 винтовок, </w:t>
      </w:r>
    </w:p>
    <w:p w14:paraId="2FA785CD" w14:textId="77777777" w:rsidR="004B4E35" w:rsidRPr="00405303" w:rsidRDefault="009E6F82" w:rsidP="00C15251">
      <w:pPr>
        <w:jc w:val="both"/>
        <w:rPr>
          <w:bCs/>
          <w:color w:val="002060"/>
          <w:sz w:val="16"/>
          <w:szCs w:val="16"/>
        </w:rPr>
      </w:pPr>
      <w:r w:rsidRPr="00405303">
        <w:rPr>
          <w:bCs/>
          <w:color w:val="002060"/>
          <w:sz w:val="16"/>
          <w:szCs w:val="16"/>
        </w:rPr>
        <w:t xml:space="preserve">те и другие по цене 25,75 доллара. Стоимость всего заказа 46 350 000 долларов. Начальный срок поставки — ноябрь 1915 г. и конечный — март 1917 года. Оба заказа даны британским правительством через банкирский дом Моргана. </w:t>
      </w:r>
    </w:p>
    <w:p w14:paraId="48C4CE2F" w14:textId="77777777" w:rsidR="004B4E35" w:rsidRPr="00405303" w:rsidRDefault="009E6F82" w:rsidP="00C15251">
      <w:pPr>
        <w:jc w:val="both"/>
        <w:rPr>
          <w:bCs/>
          <w:color w:val="002060"/>
          <w:sz w:val="16"/>
          <w:szCs w:val="16"/>
        </w:rPr>
      </w:pPr>
      <w:r w:rsidRPr="00405303">
        <w:rPr>
          <w:bCs/>
          <w:color w:val="002060"/>
          <w:sz w:val="16"/>
          <w:szCs w:val="16"/>
        </w:rPr>
        <w:t xml:space="preserve">Для выполнения указанных заказов фирмой были приобретены четыре завода: три в Спрингфильде и один в Меридене. Из указанных четырех заводов два ранее изготовляли охотничьи ружья, а два — автомобильные части. На всех этих четырех заводах все оборудование для производства винтовок было поставлено заново. </w:t>
      </w:r>
    </w:p>
    <w:p w14:paraId="4126AA34" w14:textId="77777777" w:rsidR="004B4E35" w:rsidRPr="00405303" w:rsidRDefault="009E6F82" w:rsidP="00C15251">
      <w:pPr>
        <w:jc w:val="both"/>
        <w:rPr>
          <w:bCs/>
          <w:color w:val="002060"/>
          <w:sz w:val="16"/>
          <w:szCs w:val="16"/>
        </w:rPr>
      </w:pPr>
      <w:r w:rsidRPr="00405303">
        <w:rPr>
          <w:bCs/>
          <w:color w:val="002060"/>
          <w:sz w:val="16"/>
          <w:szCs w:val="16"/>
        </w:rPr>
        <w:t xml:space="preserve">Кроме того, фирмой Вестингауз были привлечены к участию в работе 35 заводов в качестве субконтракторов, между коими было распределено изготовление отдельных частей винтовки. Субконтракторы были разбросаны по различным штатам Америки. </w:t>
      </w:r>
    </w:p>
    <w:p w14:paraId="035C7186" w14:textId="77777777" w:rsidR="004B4E35" w:rsidRPr="00405303" w:rsidRDefault="009E6F82" w:rsidP="00C15251">
      <w:pPr>
        <w:jc w:val="both"/>
        <w:rPr>
          <w:bCs/>
          <w:color w:val="002060"/>
          <w:sz w:val="16"/>
          <w:szCs w:val="16"/>
        </w:rPr>
      </w:pPr>
      <w:r w:rsidRPr="00405303">
        <w:rPr>
          <w:bCs/>
          <w:color w:val="002060"/>
          <w:sz w:val="16"/>
          <w:szCs w:val="16"/>
        </w:rPr>
        <w:t xml:space="preserve">Эта разбросанность весьма осложняла дело для заказчика, то есть России, так как ощущался сильнейший недостаток в знающих дело приемщиках и браковщиках для комплектования инспекции. К началу войны [и в] 1915 г. все наличие хороших производственных оружейников ограничивалось теми тремя-четырьмя десятками инженеров, кои к тому времени служили на русских оружейных заводах. Так как с началом войны работа оружейных заводов развивалась форсированным ходом, уделить из наличного штата кого-нибудь для организации приемки в Америке, конечно, ни один оружейный завод склонен не был. </w:t>
      </w:r>
    </w:p>
    <w:p w14:paraId="0C7BD2FC" w14:textId="77777777" w:rsidR="004B4E35" w:rsidRPr="00405303" w:rsidRDefault="009E6F82" w:rsidP="00C15251">
      <w:pPr>
        <w:jc w:val="both"/>
        <w:rPr>
          <w:bCs/>
          <w:color w:val="002060"/>
          <w:sz w:val="16"/>
          <w:szCs w:val="16"/>
        </w:rPr>
      </w:pPr>
      <w:r w:rsidRPr="00405303">
        <w:rPr>
          <w:bCs/>
          <w:color w:val="002060"/>
          <w:sz w:val="16"/>
          <w:szCs w:val="16"/>
        </w:rPr>
        <w:t xml:space="preserve">По плану фирмы Вестингауз, окончательная сборка винтовок должна была вестись на ее четырех основных заводах (три в Спрингфильде и один в Меридене), куда с остальных заводов-субконтракторов должны были доставляться изготовленные детали. </w:t>
      </w:r>
    </w:p>
    <w:p w14:paraId="0559D4F5" w14:textId="77777777" w:rsidR="004B4E35" w:rsidRPr="00405303" w:rsidRDefault="009E6F82" w:rsidP="00C15251">
      <w:pPr>
        <w:jc w:val="both"/>
        <w:rPr>
          <w:bCs/>
          <w:color w:val="002060"/>
          <w:sz w:val="16"/>
          <w:szCs w:val="16"/>
        </w:rPr>
      </w:pPr>
      <w:r w:rsidRPr="00405303">
        <w:rPr>
          <w:bCs/>
          <w:color w:val="002060"/>
          <w:sz w:val="16"/>
          <w:szCs w:val="16"/>
        </w:rPr>
        <w:t xml:space="preserve">Еще до заключения с фирмой Вестингауз указанных контрактов ей были переданы в апреле 1915 г. образцы винтовки, а также спецификация и чертежи как винтовки, так и лекал, а осенью того же года был передан также весь набор лекал в натуре. </w:t>
      </w:r>
    </w:p>
    <w:p w14:paraId="624B7273" w14:textId="77777777" w:rsidR="004B4E35" w:rsidRPr="00405303" w:rsidRDefault="009E6F82" w:rsidP="00C15251">
      <w:pPr>
        <w:jc w:val="both"/>
        <w:rPr>
          <w:bCs/>
          <w:color w:val="002060"/>
          <w:sz w:val="16"/>
          <w:szCs w:val="16"/>
        </w:rPr>
      </w:pPr>
      <w:r w:rsidRPr="00405303">
        <w:rPr>
          <w:bCs/>
          <w:color w:val="002060"/>
          <w:sz w:val="16"/>
          <w:szCs w:val="16"/>
        </w:rPr>
        <w:t xml:space="preserve">Тотчас по подписании контракта с Вестингаузом вышло недоразумение относительно определения момента, с коего должны течь сроки сдачи винтовок. Причиной была неясная формулировка этого вопроса в тексте контракта, который составлялся фирмой Морган по поручению из Лондона, без участия Русского заготовительного комитета. Пришлось уступить настояниям Вестингауза, и, таким образом, все намеченные частные сроки сдачи винтовок и окончание поставки сразу оттянулись на 4 месяца. </w:t>
      </w:r>
    </w:p>
    <w:p w14:paraId="03728F81" w14:textId="77777777" w:rsidR="004B4E35" w:rsidRPr="00405303" w:rsidRDefault="009E6F82" w:rsidP="00C15251">
      <w:pPr>
        <w:jc w:val="both"/>
        <w:rPr>
          <w:bCs/>
          <w:color w:val="002060"/>
          <w:sz w:val="16"/>
          <w:szCs w:val="16"/>
        </w:rPr>
      </w:pPr>
      <w:r w:rsidRPr="00405303">
        <w:rPr>
          <w:bCs/>
          <w:color w:val="002060"/>
          <w:sz w:val="16"/>
          <w:szCs w:val="16"/>
        </w:rPr>
        <w:t xml:space="preserve">Надо отметить, что в присланных Вестингаузу из России лекалах оказалось расхождение с чертежами. Затем, в самых чертежах оказались некоторые неточности и неувязки. Наконец, сами лекала были не новые и в них был известный износ. Ко всему надо еще прибавить, что при обмере точных размеров американскими мерительными машинами получалась постоянная разница на 0,0006 дм по сравнению с русскими обмерами. </w:t>
      </w:r>
    </w:p>
    <w:p w14:paraId="5CF806A7" w14:textId="77777777" w:rsidR="004B4E35" w:rsidRPr="00405303" w:rsidRDefault="009E6F82" w:rsidP="00C15251">
      <w:pPr>
        <w:jc w:val="both"/>
        <w:rPr>
          <w:bCs/>
          <w:color w:val="002060"/>
          <w:sz w:val="16"/>
          <w:szCs w:val="16"/>
        </w:rPr>
      </w:pPr>
      <w:r w:rsidRPr="00405303">
        <w:rPr>
          <w:bCs/>
          <w:color w:val="002060"/>
          <w:sz w:val="16"/>
          <w:szCs w:val="16"/>
        </w:rPr>
        <w:t xml:space="preserve">Что касается присланных образцовых винтовок, то и в них не все было благополучно: тоже оказалось расхождение некоторых размеров самих винтовок с лекалами и чертежами. Кроме того, сами винтовки имели некоторые дефекты. </w:t>
      </w:r>
    </w:p>
    <w:p w14:paraId="322416C0" w14:textId="77777777" w:rsidR="004B4E35" w:rsidRPr="00405303" w:rsidRDefault="009E6F82" w:rsidP="00C15251">
      <w:pPr>
        <w:jc w:val="both"/>
        <w:rPr>
          <w:bCs/>
          <w:color w:val="002060"/>
          <w:sz w:val="16"/>
          <w:szCs w:val="16"/>
        </w:rPr>
      </w:pPr>
      <w:r w:rsidRPr="00405303">
        <w:rPr>
          <w:bCs/>
          <w:color w:val="002060"/>
          <w:sz w:val="16"/>
          <w:szCs w:val="16"/>
        </w:rPr>
        <w:t xml:space="preserve">Все эти весьма досадные обстоятельства, лежавшие целиком на вине заказчика, конечно, были наилучшим образом учтены Вестингаузом и в дальнейшем служили ему отличной базой для оттяжки сроков поставки, претензий к заказчику об убытках и всякого рода препирательств с инспекцией приемок. По существу же дела, указанные погрешности в образцах и чертежах, конечно, не могли иметь заметного влияния на ход работы Вестингауза, и он не обратил бы на них внимания, если бы был в состоянии технически и организационно сразу хорошо справиться с делом. </w:t>
      </w:r>
    </w:p>
    <w:p w14:paraId="2D8994AD" w14:textId="77777777" w:rsidR="004B4E35" w:rsidRPr="00405303" w:rsidRDefault="009E6F82" w:rsidP="00C15251">
      <w:pPr>
        <w:jc w:val="both"/>
        <w:rPr>
          <w:bCs/>
          <w:color w:val="002060"/>
          <w:sz w:val="16"/>
          <w:szCs w:val="16"/>
        </w:rPr>
      </w:pPr>
      <w:r w:rsidRPr="00405303">
        <w:rPr>
          <w:bCs/>
          <w:color w:val="002060"/>
          <w:sz w:val="16"/>
          <w:szCs w:val="16"/>
        </w:rPr>
        <w:t xml:space="preserve">Более серьезной помехой делу надо считать отсутствие в русской инспекции достаточного числа опытных приемщиков и браковщиков, которые должны были бы в самом начале дела консультировать и инструктировать заводы контрагентов. Но такой помощи заводы, к сожалению, не получили. </w:t>
      </w:r>
    </w:p>
    <w:p w14:paraId="12196AEC" w14:textId="77777777" w:rsidR="004B4E35" w:rsidRPr="00405303" w:rsidRDefault="009E6F82" w:rsidP="00C15251">
      <w:pPr>
        <w:jc w:val="both"/>
        <w:rPr>
          <w:bCs/>
          <w:color w:val="002060"/>
          <w:sz w:val="16"/>
          <w:szCs w:val="16"/>
        </w:rPr>
      </w:pPr>
      <w:r w:rsidRPr="00405303">
        <w:rPr>
          <w:bCs/>
          <w:color w:val="002060"/>
          <w:sz w:val="16"/>
          <w:szCs w:val="16"/>
        </w:rPr>
        <w:t xml:space="preserve">Первое и весьма крупное затруднение в работе Вестингауза вышло с точными лекалами, необходимыми для массовой фабрикации винтовок. Компания Вестингауза должна была, по контракту, в кратчайший срок предоставить в распоряжение русской приемки образцовые серии лекал. Как указано, первый контракт был заключен в мае 1915 года. Между тем даже в январе 1916 г. эти лекала еще не были Вестингаузом заказаны. Он ссылался на отсутствие на американском рынке подходящей стали (это в Америке-то!), затем — на отсутствие лекальщиков и, наконец, на указанные выше неточности в русских образцах лекал. После долгих настояний Вестингауз пообещал эти лекала представить в апреле 1916 г., но и этот срок не был выдержан, и лишь в мае, то есть через год после заключения контракта, было доставлено весьма ограниченное количество лекал, причем неполными комплектами. </w:t>
      </w:r>
    </w:p>
    <w:p w14:paraId="74278A71" w14:textId="77777777" w:rsidR="004B4E35" w:rsidRPr="00405303" w:rsidRDefault="009E6F82" w:rsidP="00C15251">
      <w:pPr>
        <w:jc w:val="both"/>
        <w:rPr>
          <w:bCs/>
          <w:color w:val="002060"/>
          <w:sz w:val="16"/>
          <w:szCs w:val="16"/>
        </w:rPr>
      </w:pPr>
      <w:r w:rsidRPr="00405303">
        <w:rPr>
          <w:bCs/>
          <w:color w:val="002060"/>
          <w:sz w:val="16"/>
          <w:szCs w:val="16"/>
        </w:rPr>
        <w:t xml:space="preserve">Нужно сказать, что вопрос с лекалами так до конца заказа и не получил надлежащего разрешения. Уже 16 ноября 1916 г. председатель Заготовительного комитета доносил в Артиллерийское управление: "Завод Вестингауза до сих пор не установил у себя надлежащим образом производство винтовок и предъявляет к приемке такие винтовки, которые не удовлетворяют нашим техническим условиям, и главным образом — взаимозаменяемости частей, причем выход винтовок далеко не соответствует контрактным условиям. Происходит это вследствие того, что завод, не заботившийся до настоящего времени о приобретении лекал в надлежащем количестве, на основании спорного пункта контракта упорно отрицает право нашей инспекции проверять лекалами отдельные части винтовок до сборки их и утверждает, что для поверки должны представляться винтовки в собранном виде". </w:t>
      </w:r>
    </w:p>
    <w:p w14:paraId="2BF6FF6C" w14:textId="77777777" w:rsidR="004B4E35" w:rsidRPr="00405303" w:rsidRDefault="009E6F82" w:rsidP="00C15251">
      <w:pPr>
        <w:jc w:val="both"/>
        <w:rPr>
          <w:bCs/>
          <w:color w:val="002060"/>
          <w:sz w:val="16"/>
          <w:szCs w:val="16"/>
        </w:rPr>
      </w:pPr>
      <w:r w:rsidRPr="00405303">
        <w:rPr>
          <w:bCs/>
          <w:color w:val="002060"/>
          <w:sz w:val="16"/>
          <w:szCs w:val="16"/>
        </w:rPr>
        <w:t xml:space="preserve">Далее, еще через год, в августе 1917 г., старший приемщик доносит в Петроград, что к этому времени его настойчивые требования об установке полной лекальной поверки винтовок все-таки не выполнены и производится поверка лишь главных частей винтовки. </w:t>
      </w:r>
    </w:p>
    <w:p w14:paraId="3DB19B24"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Вестингауз до конца не мог понять, что полная лекальность изготовления деталей винтовки является основой массового точного производства, благодаря этому не проявлял особых забот об обеспечении заводов лекалами, и это было одной из главных причин того, что заводы не могли, как будет видно ниже, правильно поставить массовое производство и быстро развернуть его. </w:t>
      </w:r>
    </w:p>
    <w:p w14:paraId="619983CD" w14:textId="77777777" w:rsidR="004B4E35" w:rsidRPr="00405303" w:rsidRDefault="009E6F82" w:rsidP="00C15251">
      <w:pPr>
        <w:jc w:val="both"/>
        <w:rPr>
          <w:bCs/>
          <w:color w:val="002060"/>
          <w:sz w:val="16"/>
          <w:szCs w:val="16"/>
        </w:rPr>
      </w:pPr>
      <w:r w:rsidRPr="00405303">
        <w:rPr>
          <w:bCs/>
          <w:color w:val="002060"/>
          <w:sz w:val="16"/>
          <w:szCs w:val="16"/>
        </w:rPr>
        <w:t xml:space="preserve">Что касается производства винтовок, то оно налаживалось весьма медленно как в техническом отношении, так и в организационном. Выпуск винтовок шел с большим опозданием против сроков, предусмотренных контрактом. Вся работа протекала на фоне непрерывных пререканий администрации завода с русской инспекцией. </w:t>
      </w:r>
    </w:p>
    <w:p w14:paraId="59623380" w14:textId="77777777" w:rsidR="004B4E35" w:rsidRPr="00405303" w:rsidRDefault="009E6F82" w:rsidP="00C15251">
      <w:pPr>
        <w:jc w:val="both"/>
        <w:rPr>
          <w:bCs/>
          <w:color w:val="002060"/>
          <w:sz w:val="16"/>
          <w:szCs w:val="16"/>
        </w:rPr>
      </w:pPr>
      <w:r w:rsidRPr="00405303">
        <w:rPr>
          <w:bCs/>
          <w:color w:val="002060"/>
          <w:sz w:val="16"/>
          <w:szCs w:val="16"/>
        </w:rPr>
        <w:t xml:space="preserve">В июне 1916 г. Вестингауз обратился к Моргану с категорическим требованием изменить контрактные сроки. Затем уведомил, что он предъявляет иск к заказчику о возмещении убытков, понесенных фирмой. Отсрочка мотивировалась забастовкой, имевшей место на заводе. Что касается убытков, то главной причиной их, по заявлению фирмы, являются действия русской инспекции, которая задерживала разрешение различного рода технических вопросов, в особенности в отношении чертежей лекал, затем давала фирме разноречивые указания и распоряжения и, наконец, благодаря незнанию английского языка осложняла деловые сношения с фирмой. </w:t>
      </w:r>
    </w:p>
    <w:p w14:paraId="275EA226" w14:textId="77777777" w:rsidR="004B4E35" w:rsidRPr="00405303" w:rsidRDefault="009E6F82" w:rsidP="00C15251">
      <w:pPr>
        <w:jc w:val="both"/>
        <w:rPr>
          <w:bCs/>
          <w:color w:val="002060"/>
          <w:sz w:val="16"/>
          <w:szCs w:val="16"/>
        </w:rPr>
      </w:pPr>
      <w:r w:rsidRPr="00405303">
        <w:rPr>
          <w:bCs/>
          <w:color w:val="002060"/>
          <w:sz w:val="16"/>
          <w:szCs w:val="16"/>
        </w:rPr>
        <w:t xml:space="preserve">В отношении несогласованности действий русской инспекции фирма была права. Инспекция не имела твердых директив от Заготовительного комитета, так как в самом Комитете существовали два резко противоположных взгляда на дело выполнения заказа. Большинство представителей Комитета придерживалось письменного указания начальника ГАУ — стремиться в возможно краткий срок получить возможно большее количество винтовок, поступаясь их качеством и ограничиваясь главным образом требованием их боеспособности. Другая же, меньшая часть Комитета, во главе с председателем инженером Залюбовским, настаивала на том, что необходимо настойчиво требовать от фирмы полной кондиционности изготовляемых ружей. При таких условиях была неизбежная двойственность директив Заготовительного комитета и путаница в действиях приемщиков, что остро ощущалось заводами и приносило вред делу. </w:t>
      </w:r>
    </w:p>
    <w:p w14:paraId="747F4DD0" w14:textId="77777777" w:rsidR="004B4E35" w:rsidRPr="00405303" w:rsidRDefault="009E6F82" w:rsidP="00C15251">
      <w:pPr>
        <w:jc w:val="both"/>
        <w:rPr>
          <w:bCs/>
          <w:color w:val="002060"/>
          <w:sz w:val="16"/>
          <w:szCs w:val="16"/>
        </w:rPr>
      </w:pPr>
      <w:r w:rsidRPr="00405303">
        <w:rPr>
          <w:bCs/>
          <w:color w:val="002060"/>
          <w:sz w:val="16"/>
          <w:szCs w:val="16"/>
        </w:rPr>
        <w:t xml:space="preserve">Что касается фирмы, то она, само собой разумеется, присоединялась к взгляду большинства и резко протестовала против всяких на нее нажимов. В письме от 13 сентября 1916 г. директор фирмы указывает, что приложенная к контракту инструкция о приеме винтовок "составлена применительно к условиям производства и приемки на русских казенных заводах и совершенно неприемлема в условиях частнозаводской практики". </w:t>
      </w:r>
    </w:p>
    <w:p w14:paraId="52D925BD" w14:textId="77777777" w:rsidR="004B4E35" w:rsidRPr="00405303" w:rsidRDefault="009E6F82" w:rsidP="00C15251">
      <w:pPr>
        <w:jc w:val="both"/>
        <w:rPr>
          <w:bCs/>
          <w:color w:val="002060"/>
          <w:sz w:val="16"/>
          <w:szCs w:val="16"/>
        </w:rPr>
      </w:pPr>
      <w:r w:rsidRPr="00405303">
        <w:rPr>
          <w:bCs/>
          <w:color w:val="002060"/>
          <w:sz w:val="16"/>
          <w:szCs w:val="16"/>
        </w:rPr>
        <w:t xml:space="preserve">Осуществление всяких жестких мер по отношению к фирме было крайне трудно, так как в этот момент хозяином положения являлась, конечно, фирма, а не Заготовительный комитет. В Америке хорошо было известно об острой потребности в ружьях, которую испытывала к этому времени Россия. И когда фирме предъявляли жесткие требования ввести то или иное мероприятие, направленное к улучшению качества ружей, фирма неизменно давала один и тот же ответ, смысл которого был следующий: "Ружья нужны вам, а не нам, и если вы не захотите принять те ружья, которые изготовляются в настоящий момент, то лучших вам придется ждать по крайней мере полгода". </w:t>
      </w:r>
    </w:p>
    <w:p w14:paraId="6F89A331" w14:textId="77777777" w:rsidR="004B4E35" w:rsidRPr="00405303" w:rsidRDefault="009E6F82" w:rsidP="00C15251">
      <w:pPr>
        <w:jc w:val="both"/>
        <w:rPr>
          <w:bCs/>
          <w:color w:val="002060"/>
          <w:sz w:val="16"/>
          <w:szCs w:val="16"/>
        </w:rPr>
      </w:pPr>
      <w:r w:rsidRPr="00405303">
        <w:rPr>
          <w:bCs/>
          <w:color w:val="002060"/>
          <w:sz w:val="16"/>
          <w:szCs w:val="16"/>
        </w:rPr>
        <w:t xml:space="preserve">В октябре 1916 г. директор фирмы Вестингауз вновь обратился к Заготовительному комитету с заявлением, что при создавшейся обстановке он не может нести ответственность за выполнение контракта в срок и что фирме грозит банкротство. Поэтому фирма требует: 1) внести изменения в условия приемки, 2) выдать дополнительные авансы, 3) продлить сроки поставки. </w:t>
      </w:r>
    </w:p>
    <w:p w14:paraId="0E467F59" w14:textId="77777777" w:rsidR="004B4E35" w:rsidRPr="00405303" w:rsidRDefault="009E6F82" w:rsidP="00C15251">
      <w:pPr>
        <w:jc w:val="both"/>
        <w:rPr>
          <w:bCs/>
          <w:color w:val="002060"/>
          <w:sz w:val="16"/>
          <w:szCs w:val="16"/>
        </w:rPr>
      </w:pPr>
      <w:r w:rsidRPr="00405303">
        <w:rPr>
          <w:bCs/>
          <w:color w:val="002060"/>
          <w:sz w:val="16"/>
          <w:szCs w:val="16"/>
        </w:rPr>
        <w:t xml:space="preserve">Требования эти были удовлетворены, за исключением аванса, вопрос о котором был отложен. Частные сроки были значительно сдвинуты, и конечный срок поставки с 1 апреля 1917 г. переносился на 1 января 1918 г., то есть на 9 месяцев. Если прибавить четыре месяца оттяжки, имевшей место вначале из-за неясности в редакции контракта, то опоздание составляло уже 13 месяцев. </w:t>
      </w:r>
    </w:p>
    <w:p w14:paraId="41902637" w14:textId="77777777" w:rsidR="004B4E35" w:rsidRPr="00405303" w:rsidRDefault="009E6F82" w:rsidP="00C15251">
      <w:pPr>
        <w:jc w:val="both"/>
        <w:rPr>
          <w:bCs/>
          <w:color w:val="002060"/>
          <w:sz w:val="16"/>
          <w:szCs w:val="16"/>
        </w:rPr>
      </w:pPr>
      <w:r w:rsidRPr="00405303">
        <w:rPr>
          <w:bCs/>
          <w:color w:val="002060"/>
          <w:sz w:val="16"/>
          <w:szCs w:val="16"/>
        </w:rPr>
        <w:t xml:space="preserve">В разгар этих переговоров председатель Заготовительного комитета доносил в Петроград: "За два месяца со времени первого осмотра заводов Вестингауза почти никакого прогресса в производстве я не заметил. По-прежнему ощущается острый недостаток в лекалах, при наличии чего правильно установить производство технически невозможно; по-прежнему наиболее влиятельные чины заводоуправления проявляют явное нежелание подчиниться требованиям наших технических условий; по-прежнему в процессе производства не видно ясно продуманного плана — практически обоснованной схемы работ. Очевидно, администрация не отдает себе отчета, что именно нужно для правильной организации дела. Между тем дело остается на прежнем низком уровне, а подаваемые винтовки, хотя и принимаются нашими приемщиками, но лишь ввиду крайней надобности для нашей армии. В общем же винтовки эти по своему качеству не могут быть признаны удовлетворительными". </w:t>
      </w:r>
    </w:p>
    <w:p w14:paraId="5216DE40" w14:textId="77777777" w:rsidR="004B4E35" w:rsidRPr="00405303" w:rsidRDefault="009E6F82" w:rsidP="00C15251">
      <w:pPr>
        <w:jc w:val="both"/>
        <w:rPr>
          <w:bCs/>
          <w:color w:val="002060"/>
          <w:sz w:val="16"/>
          <w:szCs w:val="16"/>
        </w:rPr>
      </w:pPr>
      <w:r w:rsidRPr="00405303">
        <w:rPr>
          <w:bCs/>
          <w:color w:val="002060"/>
          <w:sz w:val="16"/>
          <w:szCs w:val="16"/>
        </w:rPr>
        <w:t xml:space="preserve">Далее в письме председатель заявляет, что он поднял вопрос об устранении директора компании. Затем, говоря о русской инспекции, отмечает, что при всей добросовестности в работе, она не может оказать большой помощи в сложном деле постановки нового производства, так как в инспекции почти нет инженеров — специалистов оружейного дела, и просит прислать опытных инженеров-оружейников. </w:t>
      </w:r>
    </w:p>
    <w:p w14:paraId="52592806" w14:textId="77777777" w:rsidR="004B4E35" w:rsidRPr="00405303" w:rsidRDefault="009E6F82" w:rsidP="00C15251">
      <w:pPr>
        <w:jc w:val="both"/>
        <w:rPr>
          <w:bCs/>
          <w:color w:val="002060"/>
          <w:sz w:val="16"/>
          <w:szCs w:val="16"/>
        </w:rPr>
      </w:pPr>
      <w:r w:rsidRPr="00405303">
        <w:rPr>
          <w:bCs/>
          <w:color w:val="002060"/>
          <w:sz w:val="16"/>
          <w:szCs w:val="16"/>
        </w:rPr>
        <w:t xml:space="preserve">После длинных переговоров между Петроградом и Лондоном Вестингаузу в авансе было отказано. В ответ на это фирма сделала краткое заявление, что она отказывается от дальнейшего выполнения заказа. Таким образом создался конфликт, для разрешения которого британское правительство командировало специальное лицо с тем, чтобы достигнуть соглашения сторон, на основе которого можно было бы довести ружейный заказ до благополучного конца. После двухмесячной работы, в середине марта 1917 г., переговоры с Вестингаузом временно приостановились ввиду решений, принятых на происходившей в то время союзной конференции в Петрограде, — ограничить американский ружейный заказ. Через месяц из Лондона было получено извещение, что ружейный заказ сокращаться не будет. </w:t>
      </w:r>
    </w:p>
    <w:p w14:paraId="416141CD" w14:textId="77777777" w:rsidR="004B4E35" w:rsidRPr="00405303" w:rsidRDefault="009E6F82" w:rsidP="00C15251">
      <w:pPr>
        <w:jc w:val="both"/>
        <w:rPr>
          <w:bCs/>
          <w:color w:val="002060"/>
          <w:sz w:val="16"/>
          <w:szCs w:val="16"/>
        </w:rPr>
      </w:pPr>
      <w:r w:rsidRPr="00405303">
        <w:rPr>
          <w:bCs/>
          <w:color w:val="002060"/>
          <w:sz w:val="16"/>
          <w:szCs w:val="16"/>
        </w:rPr>
        <w:t xml:space="preserve">После длительных переговоров, которые все затягивались благодаря разногласию Заготовительного комитета с представителем Великобритании, а также разногласию в самом Комитете, наконец, состоялось соглашение с Вестингаузом. Оно вылилось в форму нового контракта, который заменил существовавший первоначальный. </w:t>
      </w:r>
    </w:p>
    <w:p w14:paraId="4B262439" w14:textId="77777777" w:rsidR="004B4E35" w:rsidRPr="00405303" w:rsidRDefault="009E6F82" w:rsidP="00C15251">
      <w:pPr>
        <w:jc w:val="both"/>
        <w:rPr>
          <w:bCs/>
          <w:color w:val="002060"/>
          <w:sz w:val="16"/>
          <w:szCs w:val="16"/>
        </w:rPr>
      </w:pPr>
      <w:r w:rsidRPr="00405303">
        <w:rPr>
          <w:bCs/>
          <w:color w:val="002060"/>
          <w:sz w:val="16"/>
          <w:szCs w:val="16"/>
        </w:rPr>
        <w:t>Основы нового контракта, заключенного 1 мая 1917 г., были следующие:</w:t>
      </w:r>
    </w:p>
    <w:p w14:paraId="114874E1" w14:textId="77777777" w:rsidR="004B4E35" w:rsidRPr="00405303" w:rsidRDefault="009E6F82" w:rsidP="00C15251">
      <w:pPr>
        <w:jc w:val="both"/>
        <w:rPr>
          <w:bCs/>
          <w:color w:val="002060"/>
          <w:sz w:val="16"/>
          <w:szCs w:val="16"/>
        </w:rPr>
      </w:pPr>
      <w:r w:rsidRPr="00405303">
        <w:rPr>
          <w:bCs/>
          <w:color w:val="002060"/>
          <w:sz w:val="16"/>
          <w:szCs w:val="16"/>
        </w:rPr>
        <w:t xml:space="preserve">1) убытки Вестингауза ограничиваются 5 млн долларов; </w:t>
      </w:r>
    </w:p>
    <w:p w14:paraId="23B88ADF" w14:textId="77777777" w:rsidR="004B4E35" w:rsidRPr="00405303" w:rsidRDefault="009E6F82" w:rsidP="00C15251">
      <w:pPr>
        <w:jc w:val="both"/>
        <w:rPr>
          <w:bCs/>
          <w:color w:val="002060"/>
          <w:sz w:val="16"/>
          <w:szCs w:val="16"/>
        </w:rPr>
      </w:pPr>
      <w:r w:rsidRPr="00405303">
        <w:rPr>
          <w:bCs/>
          <w:color w:val="002060"/>
          <w:sz w:val="16"/>
          <w:szCs w:val="16"/>
        </w:rPr>
        <w:t xml:space="preserve">2) количество законтрактованного заказа — 1 800 000 винтовок — уменьшается до 1 000 000, которые должны быть сданы к 1 января 1918 г.; </w:t>
      </w:r>
    </w:p>
    <w:p w14:paraId="79B44A26" w14:textId="77777777" w:rsidR="004B4E35" w:rsidRPr="00405303" w:rsidRDefault="009E6F82" w:rsidP="00C15251">
      <w:pPr>
        <w:jc w:val="both"/>
        <w:rPr>
          <w:bCs/>
          <w:color w:val="002060"/>
          <w:sz w:val="16"/>
          <w:szCs w:val="16"/>
        </w:rPr>
      </w:pPr>
      <w:r w:rsidRPr="00405303">
        <w:rPr>
          <w:bCs/>
          <w:color w:val="002060"/>
          <w:sz w:val="16"/>
          <w:szCs w:val="16"/>
        </w:rPr>
        <w:t xml:space="preserve">3) цена винтовки устанавливается в 32 доллара 75 центов; </w:t>
      </w:r>
    </w:p>
    <w:p w14:paraId="148D9C67" w14:textId="77777777" w:rsidR="004B4E35" w:rsidRPr="00405303" w:rsidRDefault="009E6F82" w:rsidP="00C15251">
      <w:pPr>
        <w:jc w:val="both"/>
        <w:rPr>
          <w:bCs/>
          <w:color w:val="002060"/>
          <w:sz w:val="16"/>
          <w:szCs w:val="16"/>
        </w:rPr>
      </w:pPr>
      <w:r w:rsidRPr="00405303">
        <w:rPr>
          <w:bCs/>
          <w:color w:val="002060"/>
          <w:sz w:val="16"/>
          <w:szCs w:val="16"/>
        </w:rPr>
        <w:t xml:space="preserve">4) предусматриваются опционы 400 тыс., 200 тыс. и 200 тыс. </w:t>
      </w:r>
    </w:p>
    <w:p w14:paraId="17B5D3FE" w14:textId="77777777" w:rsidR="004B4E35" w:rsidRPr="00405303" w:rsidRDefault="009E6F82" w:rsidP="00C15251">
      <w:pPr>
        <w:jc w:val="both"/>
        <w:rPr>
          <w:bCs/>
          <w:color w:val="002060"/>
          <w:sz w:val="16"/>
          <w:szCs w:val="16"/>
        </w:rPr>
      </w:pPr>
      <w:r w:rsidRPr="00405303">
        <w:rPr>
          <w:bCs/>
          <w:color w:val="002060"/>
          <w:sz w:val="16"/>
          <w:szCs w:val="16"/>
        </w:rPr>
        <w:t xml:space="preserve">Ко времени подписания дополнительного контракта производство ружей на заводах Вестингауза развилось следующим образом (тыс. шт.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16"/>
        <w:gridCol w:w="792"/>
      </w:tblGrid>
      <w:tr w:rsidR="004B4E35" w:rsidRPr="00405303" w14:paraId="79617BDC" w14:textId="77777777">
        <w:tc>
          <w:tcPr>
            <w:tcW w:w="2016" w:type="dxa"/>
          </w:tcPr>
          <w:p w14:paraId="35927012" w14:textId="77777777" w:rsidR="004B4E35" w:rsidRPr="00405303" w:rsidRDefault="009E6F82" w:rsidP="00C15251">
            <w:pPr>
              <w:jc w:val="both"/>
              <w:rPr>
                <w:bCs/>
                <w:color w:val="002060"/>
                <w:sz w:val="16"/>
                <w:szCs w:val="16"/>
              </w:rPr>
            </w:pPr>
            <w:r w:rsidRPr="00405303">
              <w:rPr>
                <w:bCs/>
                <w:color w:val="002060"/>
                <w:sz w:val="16"/>
                <w:szCs w:val="16"/>
              </w:rPr>
              <w:t>с января 1917 г.</w:t>
            </w:r>
          </w:p>
        </w:tc>
        <w:tc>
          <w:tcPr>
            <w:tcW w:w="792" w:type="dxa"/>
          </w:tcPr>
          <w:p w14:paraId="4DE2303D" w14:textId="77777777" w:rsidR="004B4E35" w:rsidRPr="00405303" w:rsidRDefault="009E6F82" w:rsidP="00C15251">
            <w:pPr>
              <w:jc w:val="both"/>
              <w:rPr>
                <w:bCs/>
                <w:color w:val="002060"/>
                <w:sz w:val="16"/>
                <w:szCs w:val="16"/>
              </w:rPr>
            </w:pPr>
            <w:r w:rsidRPr="00405303">
              <w:rPr>
                <w:bCs/>
                <w:color w:val="002060"/>
                <w:sz w:val="16"/>
                <w:szCs w:val="16"/>
              </w:rPr>
              <w:t xml:space="preserve">по 40 </w:t>
            </w:r>
          </w:p>
        </w:tc>
      </w:tr>
      <w:tr w:rsidR="004B4E35" w:rsidRPr="00405303" w14:paraId="5F2D36FB" w14:textId="77777777">
        <w:tc>
          <w:tcPr>
            <w:tcW w:w="2016" w:type="dxa"/>
          </w:tcPr>
          <w:p w14:paraId="2BD98FC0" w14:textId="77777777" w:rsidR="004B4E35" w:rsidRPr="00405303" w:rsidRDefault="009E6F82" w:rsidP="00C15251">
            <w:pPr>
              <w:jc w:val="both"/>
              <w:rPr>
                <w:bCs/>
                <w:color w:val="002060"/>
                <w:sz w:val="16"/>
                <w:szCs w:val="16"/>
              </w:rPr>
            </w:pPr>
            <w:r w:rsidRPr="00405303">
              <w:rPr>
                <w:bCs/>
                <w:color w:val="002060"/>
                <w:sz w:val="16"/>
                <w:szCs w:val="16"/>
              </w:rPr>
              <w:t>с мая 1917 г.</w:t>
            </w:r>
          </w:p>
        </w:tc>
        <w:tc>
          <w:tcPr>
            <w:tcW w:w="792" w:type="dxa"/>
          </w:tcPr>
          <w:p w14:paraId="546C70B8" w14:textId="77777777" w:rsidR="004B4E35" w:rsidRPr="00405303" w:rsidRDefault="009E6F82" w:rsidP="00C15251">
            <w:pPr>
              <w:jc w:val="both"/>
              <w:rPr>
                <w:bCs/>
                <w:color w:val="002060"/>
                <w:sz w:val="16"/>
                <w:szCs w:val="16"/>
              </w:rPr>
            </w:pPr>
            <w:r w:rsidRPr="00405303">
              <w:rPr>
                <w:bCs/>
                <w:color w:val="002060"/>
                <w:sz w:val="16"/>
                <w:szCs w:val="16"/>
              </w:rPr>
              <w:t xml:space="preserve">75 </w:t>
            </w:r>
          </w:p>
        </w:tc>
      </w:tr>
      <w:tr w:rsidR="004B4E35" w:rsidRPr="00405303" w14:paraId="4E567A30" w14:textId="77777777">
        <w:tc>
          <w:tcPr>
            <w:tcW w:w="2016" w:type="dxa"/>
          </w:tcPr>
          <w:p w14:paraId="64A329DA" w14:textId="77777777" w:rsidR="004B4E35" w:rsidRPr="00405303" w:rsidRDefault="009E6F82" w:rsidP="00C15251">
            <w:pPr>
              <w:jc w:val="both"/>
              <w:rPr>
                <w:bCs/>
                <w:color w:val="002060"/>
                <w:sz w:val="16"/>
                <w:szCs w:val="16"/>
              </w:rPr>
            </w:pPr>
            <w:r w:rsidRPr="00405303">
              <w:rPr>
                <w:bCs/>
                <w:color w:val="002060"/>
                <w:sz w:val="16"/>
                <w:szCs w:val="16"/>
              </w:rPr>
              <w:t>с июля 1917 г.</w:t>
            </w:r>
          </w:p>
        </w:tc>
        <w:tc>
          <w:tcPr>
            <w:tcW w:w="792" w:type="dxa"/>
          </w:tcPr>
          <w:p w14:paraId="628974E6" w14:textId="77777777" w:rsidR="004B4E35" w:rsidRPr="00405303" w:rsidRDefault="009E6F82" w:rsidP="00C15251">
            <w:pPr>
              <w:jc w:val="both"/>
              <w:rPr>
                <w:bCs/>
                <w:color w:val="002060"/>
                <w:sz w:val="16"/>
                <w:szCs w:val="16"/>
              </w:rPr>
            </w:pPr>
            <w:r w:rsidRPr="00405303">
              <w:rPr>
                <w:bCs/>
                <w:color w:val="002060"/>
                <w:sz w:val="16"/>
                <w:szCs w:val="16"/>
              </w:rPr>
              <w:t xml:space="preserve">100 </w:t>
            </w:r>
          </w:p>
        </w:tc>
      </w:tr>
      <w:tr w:rsidR="004B4E35" w:rsidRPr="00405303" w14:paraId="3AE77B8D" w14:textId="77777777">
        <w:tc>
          <w:tcPr>
            <w:tcW w:w="2016" w:type="dxa"/>
          </w:tcPr>
          <w:p w14:paraId="669A6D16" w14:textId="77777777" w:rsidR="004B4E35" w:rsidRPr="00405303" w:rsidRDefault="009E6F82" w:rsidP="00C15251">
            <w:pPr>
              <w:jc w:val="both"/>
              <w:rPr>
                <w:bCs/>
                <w:color w:val="002060"/>
                <w:sz w:val="16"/>
                <w:szCs w:val="16"/>
              </w:rPr>
            </w:pPr>
            <w:r w:rsidRPr="00405303">
              <w:rPr>
                <w:bCs/>
                <w:color w:val="002060"/>
                <w:sz w:val="16"/>
                <w:szCs w:val="16"/>
              </w:rPr>
              <w:t>с октября 1917 г.</w:t>
            </w:r>
          </w:p>
        </w:tc>
        <w:tc>
          <w:tcPr>
            <w:tcW w:w="792" w:type="dxa"/>
          </w:tcPr>
          <w:p w14:paraId="4D57C32D" w14:textId="77777777" w:rsidR="004B4E35" w:rsidRPr="00405303" w:rsidRDefault="009E6F82" w:rsidP="00C15251">
            <w:pPr>
              <w:jc w:val="both"/>
              <w:rPr>
                <w:bCs/>
                <w:color w:val="002060"/>
                <w:sz w:val="16"/>
                <w:szCs w:val="16"/>
              </w:rPr>
            </w:pPr>
            <w:r w:rsidRPr="00405303">
              <w:rPr>
                <w:bCs/>
                <w:color w:val="002060"/>
                <w:sz w:val="16"/>
                <w:szCs w:val="16"/>
              </w:rPr>
              <w:t xml:space="preserve">120. </w:t>
            </w:r>
          </w:p>
        </w:tc>
      </w:tr>
    </w:tbl>
    <w:p w14:paraId="5D7BA0C5" w14:textId="77777777" w:rsidR="004B4E35" w:rsidRPr="00405303" w:rsidRDefault="009E6F82" w:rsidP="00C15251">
      <w:pPr>
        <w:jc w:val="both"/>
        <w:rPr>
          <w:bCs/>
          <w:color w:val="002060"/>
          <w:sz w:val="16"/>
          <w:szCs w:val="16"/>
        </w:rPr>
      </w:pPr>
      <w:r w:rsidRPr="00405303">
        <w:rPr>
          <w:bCs/>
          <w:color w:val="002060"/>
          <w:sz w:val="16"/>
          <w:szCs w:val="16"/>
        </w:rPr>
        <w:t xml:space="preserve">Параллельно постепенно улучшалось и качество ружей. </w:t>
      </w:r>
    </w:p>
    <w:p w14:paraId="6AD38985" w14:textId="77777777" w:rsidR="004B4E35" w:rsidRPr="00405303" w:rsidRDefault="009E6F82" w:rsidP="00C15251">
      <w:pPr>
        <w:jc w:val="both"/>
        <w:rPr>
          <w:bCs/>
          <w:color w:val="002060"/>
          <w:sz w:val="16"/>
          <w:szCs w:val="16"/>
        </w:rPr>
      </w:pPr>
      <w:r w:rsidRPr="00405303">
        <w:rPr>
          <w:bCs/>
          <w:color w:val="002060"/>
          <w:sz w:val="16"/>
          <w:szCs w:val="16"/>
        </w:rPr>
        <w:t xml:space="preserve">19 декабря 1917 г. в связи с общей ликвидацией деятельности Заготовительного комитета Вестингауз был осведомлен о канцеляции заказа как по основному контракту, так и опционов, которые предполагалось использовать. Вследствие этого приступлено было к ликвидации контракта. </w:t>
      </w:r>
    </w:p>
    <w:p w14:paraId="504F98FE" w14:textId="77777777" w:rsidR="004B4E35" w:rsidRPr="00405303" w:rsidRDefault="009E6F82" w:rsidP="00C15251">
      <w:pPr>
        <w:jc w:val="both"/>
        <w:rPr>
          <w:bCs/>
          <w:color w:val="002060"/>
          <w:sz w:val="16"/>
          <w:szCs w:val="16"/>
        </w:rPr>
      </w:pPr>
      <w:r w:rsidRPr="00405303">
        <w:rPr>
          <w:bCs/>
          <w:color w:val="002060"/>
          <w:sz w:val="16"/>
          <w:szCs w:val="16"/>
        </w:rPr>
        <w:t xml:space="preserve">Американское правительство выразило желание приобрести у Вестингауза 200 тыс. трехлинейных винтовок, которые он должен продолжать готовить после окончания русского заказа, с тем что оборудование завода не пойдет в ликвидацию и будет подготовлено к помещению заказа американского правительства на 15 тыс. пулеметных браунингов. </w:t>
      </w:r>
    </w:p>
    <w:p w14:paraId="18AD34D9" w14:textId="77777777" w:rsidR="004B4E35" w:rsidRPr="00405303" w:rsidRDefault="009E6F82" w:rsidP="00C15251">
      <w:pPr>
        <w:jc w:val="both"/>
        <w:rPr>
          <w:bCs/>
          <w:color w:val="002060"/>
          <w:sz w:val="16"/>
          <w:szCs w:val="16"/>
        </w:rPr>
      </w:pPr>
      <w:r w:rsidRPr="00405303">
        <w:rPr>
          <w:bCs/>
          <w:color w:val="002060"/>
          <w:sz w:val="16"/>
          <w:szCs w:val="16"/>
        </w:rPr>
        <w:t xml:space="preserve">В итоге всех указанных выше перипетий по 1 января 1918 г. было принято 1 073 560 ружей. Из этого количества в Россию было отправлено 769 520 ружей, а остальные 304 040 русских ружей были отправлены по распоряжению британского правительства в Англию. Всего за весь заказ было уплачено 40 907 873 доллара. </w:t>
      </w:r>
    </w:p>
    <w:p w14:paraId="47D123E0" w14:textId="77777777" w:rsidR="004B4E35" w:rsidRPr="00405303" w:rsidRDefault="009E6F82" w:rsidP="00C15251">
      <w:pPr>
        <w:jc w:val="both"/>
        <w:rPr>
          <w:bCs/>
          <w:color w:val="002060"/>
          <w:sz w:val="16"/>
          <w:szCs w:val="16"/>
        </w:rPr>
      </w:pPr>
      <w:r w:rsidRPr="00405303">
        <w:rPr>
          <w:bCs/>
          <w:color w:val="002060"/>
          <w:sz w:val="16"/>
          <w:szCs w:val="16"/>
        </w:rPr>
        <w:t xml:space="preserve">В итоге всех этих длинных и сложных перипетий первоначальный заказ на винтовки был выполнен Вестингаузом на 60% и срок исполнения этой части заказа был оттянут на 20 месяцев против контрактного. </w:t>
      </w:r>
    </w:p>
    <w:p w14:paraId="3D5A274F" w14:textId="77777777" w:rsidR="004B4E35" w:rsidRPr="00405303" w:rsidRDefault="009E6F82" w:rsidP="00C15251">
      <w:pPr>
        <w:pStyle w:val="2"/>
        <w:spacing w:before="0" w:after="0"/>
        <w:jc w:val="both"/>
        <w:rPr>
          <w:b w:val="0"/>
          <w:bCs/>
          <w:color w:val="002060"/>
          <w:sz w:val="16"/>
          <w:szCs w:val="16"/>
        </w:rPr>
      </w:pPr>
      <w:r w:rsidRPr="00405303">
        <w:rPr>
          <w:rStyle w:val="12"/>
          <w:b w:val="0"/>
          <w:bCs/>
          <w:i w:val="0"/>
          <w:color w:val="002060"/>
          <w:sz w:val="16"/>
          <w:szCs w:val="16"/>
        </w:rPr>
        <w:t>Заказы на винтовки компании Ремингтон</w:t>
      </w:r>
    </w:p>
    <w:p w14:paraId="46A2E0DC" w14:textId="77777777" w:rsidR="004B4E35" w:rsidRPr="00405303" w:rsidRDefault="009E6F82" w:rsidP="00C15251">
      <w:pPr>
        <w:jc w:val="both"/>
        <w:rPr>
          <w:bCs/>
          <w:color w:val="002060"/>
          <w:sz w:val="16"/>
          <w:szCs w:val="16"/>
        </w:rPr>
      </w:pPr>
      <w:r w:rsidRPr="00405303">
        <w:rPr>
          <w:bCs/>
          <w:color w:val="002060"/>
          <w:sz w:val="16"/>
          <w:szCs w:val="16"/>
        </w:rPr>
        <w:t>Компании Ремингтон были даны следующие заказы на трехлинейные винтовки для России (тыс. шт.):</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848"/>
        <w:gridCol w:w="1476"/>
      </w:tblGrid>
      <w:tr w:rsidR="004B4E35" w:rsidRPr="00405303" w14:paraId="47C793B1" w14:textId="77777777">
        <w:tc>
          <w:tcPr>
            <w:tcW w:w="4848" w:type="dxa"/>
          </w:tcPr>
          <w:p w14:paraId="7199259F" w14:textId="77777777" w:rsidR="004B4E35" w:rsidRPr="00405303" w:rsidRDefault="009E6F82" w:rsidP="00C15251">
            <w:pPr>
              <w:jc w:val="both"/>
              <w:rPr>
                <w:bCs/>
                <w:color w:val="002060"/>
                <w:sz w:val="16"/>
                <w:szCs w:val="16"/>
              </w:rPr>
            </w:pPr>
            <w:r w:rsidRPr="00405303">
              <w:rPr>
                <w:bCs/>
                <w:color w:val="002060"/>
                <w:sz w:val="16"/>
                <w:szCs w:val="16"/>
              </w:rPr>
              <w:t>По контракту с русским правительством 26 января 1915 г.</w:t>
            </w:r>
          </w:p>
        </w:tc>
        <w:tc>
          <w:tcPr>
            <w:tcW w:w="1476" w:type="dxa"/>
          </w:tcPr>
          <w:p w14:paraId="1B452C77" w14:textId="77777777" w:rsidR="004B4E35" w:rsidRPr="00405303" w:rsidRDefault="009E6F82" w:rsidP="00C15251">
            <w:pPr>
              <w:jc w:val="both"/>
              <w:rPr>
                <w:bCs/>
                <w:color w:val="002060"/>
                <w:sz w:val="16"/>
                <w:szCs w:val="16"/>
              </w:rPr>
            </w:pPr>
            <w:r w:rsidRPr="00405303">
              <w:rPr>
                <w:bCs/>
                <w:color w:val="002060"/>
                <w:sz w:val="16"/>
                <w:szCs w:val="16"/>
              </w:rPr>
              <w:t xml:space="preserve">на 1000 </w:t>
            </w:r>
          </w:p>
        </w:tc>
      </w:tr>
      <w:tr w:rsidR="004B4E35" w:rsidRPr="00405303" w14:paraId="0D8DE3B1" w14:textId="77777777">
        <w:tc>
          <w:tcPr>
            <w:tcW w:w="4848" w:type="dxa"/>
          </w:tcPr>
          <w:p w14:paraId="4E79CB8F" w14:textId="77777777" w:rsidR="004B4E35" w:rsidRPr="00405303" w:rsidRDefault="009E6F82" w:rsidP="00C15251">
            <w:pPr>
              <w:jc w:val="both"/>
              <w:rPr>
                <w:bCs/>
                <w:color w:val="002060"/>
                <w:sz w:val="16"/>
                <w:szCs w:val="16"/>
              </w:rPr>
            </w:pPr>
            <w:r w:rsidRPr="00405303">
              <w:rPr>
                <w:bCs/>
                <w:color w:val="002060"/>
                <w:sz w:val="16"/>
                <w:szCs w:val="16"/>
              </w:rPr>
              <w:lastRenderedPageBreak/>
              <w:t>То же 16 июля 1915 г.</w:t>
            </w:r>
          </w:p>
        </w:tc>
        <w:tc>
          <w:tcPr>
            <w:tcW w:w="1476" w:type="dxa"/>
          </w:tcPr>
          <w:p w14:paraId="31831A1F" w14:textId="77777777" w:rsidR="004B4E35" w:rsidRPr="00405303" w:rsidRDefault="009E6F82" w:rsidP="00C15251">
            <w:pPr>
              <w:jc w:val="both"/>
              <w:rPr>
                <w:bCs/>
                <w:color w:val="002060"/>
                <w:sz w:val="16"/>
                <w:szCs w:val="16"/>
              </w:rPr>
            </w:pPr>
            <w:r w:rsidRPr="00405303">
              <w:rPr>
                <w:bCs/>
                <w:color w:val="002060"/>
                <w:sz w:val="16"/>
                <w:szCs w:val="16"/>
              </w:rPr>
              <w:t xml:space="preserve">на 200 </w:t>
            </w:r>
          </w:p>
        </w:tc>
      </w:tr>
      <w:tr w:rsidR="004B4E35" w:rsidRPr="00405303" w14:paraId="20612CD1" w14:textId="77777777">
        <w:tc>
          <w:tcPr>
            <w:tcW w:w="4848" w:type="dxa"/>
          </w:tcPr>
          <w:p w14:paraId="1764BB45" w14:textId="77777777" w:rsidR="004B4E35" w:rsidRPr="00405303" w:rsidRDefault="009E6F82" w:rsidP="00C15251">
            <w:pPr>
              <w:jc w:val="both"/>
              <w:rPr>
                <w:bCs/>
                <w:color w:val="002060"/>
                <w:sz w:val="16"/>
                <w:szCs w:val="16"/>
              </w:rPr>
            </w:pPr>
            <w:r w:rsidRPr="00405303">
              <w:rPr>
                <w:bCs/>
                <w:color w:val="002060"/>
                <w:sz w:val="16"/>
                <w:szCs w:val="16"/>
              </w:rPr>
              <w:t>По контракту с британским правительством 9 сентября 1915 г.</w:t>
            </w:r>
          </w:p>
        </w:tc>
        <w:tc>
          <w:tcPr>
            <w:tcW w:w="1476" w:type="dxa"/>
          </w:tcPr>
          <w:p w14:paraId="0E7101DD" w14:textId="77777777" w:rsidR="004B4E35" w:rsidRPr="00405303" w:rsidRDefault="009E6F82" w:rsidP="00C15251">
            <w:pPr>
              <w:jc w:val="both"/>
              <w:rPr>
                <w:bCs/>
                <w:color w:val="002060"/>
                <w:sz w:val="16"/>
                <w:szCs w:val="16"/>
              </w:rPr>
            </w:pPr>
            <w:r w:rsidRPr="00405303">
              <w:rPr>
                <w:bCs/>
                <w:color w:val="002060"/>
                <w:sz w:val="16"/>
                <w:szCs w:val="16"/>
              </w:rPr>
              <w:t xml:space="preserve">на 300 </w:t>
            </w:r>
          </w:p>
        </w:tc>
      </w:tr>
      <w:tr w:rsidR="004B4E35" w:rsidRPr="00405303" w14:paraId="3D945823" w14:textId="77777777">
        <w:tc>
          <w:tcPr>
            <w:tcW w:w="4848" w:type="dxa"/>
          </w:tcPr>
          <w:p w14:paraId="4B0103E0" w14:textId="77777777" w:rsidR="004B4E35" w:rsidRPr="00405303" w:rsidRDefault="009E6F82" w:rsidP="00C15251">
            <w:pPr>
              <w:jc w:val="both"/>
              <w:rPr>
                <w:bCs/>
                <w:color w:val="002060"/>
                <w:sz w:val="16"/>
                <w:szCs w:val="16"/>
              </w:rPr>
            </w:pPr>
            <w:r w:rsidRPr="00405303">
              <w:rPr>
                <w:bCs/>
                <w:color w:val="002060"/>
                <w:sz w:val="16"/>
                <w:szCs w:val="16"/>
              </w:rPr>
              <w:t>Итого</w:t>
            </w:r>
          </w:p>
        </w:tc>
        <w:tc>
          <w:tcPr>
            <w:tcW w:w="1476" w:type="dxa"/>
          </w:tcPr>
          <w:p w14:paraId="00FE79D4" w14:textId="77777777" w:rsidR="004B4E35" w:rsidRPr="00405303" w:rsidRDefault="009E6F82" w:rsidP="00C15251">
            <w:pPr>
              <w:jc w:val="both"/>
              <w:rPr>
                <w:bCs/>
                <w:color w:val="002060"/>
                <w:sz w:val="16"/>
                <w:szCs w:val="16"/>
              </w:rPr>
            </w:pPr>
            <w:r w:rsidRPr="00405303">
              <w:rPr>
                <w:bCs/>
                <w:color w:val="002060"/>
                <w:sz w:val="16"/>
                <w:szCs w:val="16"/>
              </w:rPr>
              <w:t xml:space="preserve">1 500 000 штук. </w:t>
            </w:r>
          </w:p>
        </w:tc>
      </w:tr>
    </w:tbl>
    <w:p w14:paraId="7F06114D" w14:textId="77777777" w:rsidR="004B4E35" w:rsidRPr="00405303" w:rsidRDefault="009E6F82" w:rsidP="00C15251">
      <w:pPr>
        <w:jc w:val="both"/>
        <w:rPr>
          <w:bCs/>
          <w:color w:val="002060"/>
          <w:sz w:val="16"/>
          <w:szCs w:val="16"/>
        </w:rPr>
      </w:pPr>
      <w:r w:rsidRPr="00405303">
        <w:rPr>
          <w:bCs/>
          <w:color w:val="002060"/>
          <w:sz w:val="16"/>
          <w:szCs w:val="16"/>
        </w:rPr>
        <w:t xml:space="preserve">Кроме того, заказано 300 000 черновых ружейных стволов по цене 4,75 доллара за штуку. Начальный срок поставки винтовок — ноябрь 1915 г. и конечный — март 1917 года. Цена — 30 долларов за винтовку франко-завод. </w:t>
      </w:r>
    </w:p>
    <w:p w14:paraId="26D2B36E" w14:textId="77777777" w:rsidR="004B4E35" w:rsidRPr="00405303" w:rsidRDefault="009E6F82" w:rsidP="00C15251">
      <w:pPr>
        <w:jc w:val="both"/>
        <w:rPr>
          <w:bCs/>
          <w:color w:val="002060"/>
          <w:sz w:val="16"/>
          <w:szCs w:val="16"/>
        </w:rPr>
      </w:pPr>
      <w:r w:rsidRPr="00405303">
        <w:rPr>
          <w:bCs/>
          <w:color w:val="002060"/>
          <w:sz w:val="16"/>
          <w:szCs w:val="16"/>
        </w:rPr>
        <w:t xml:space="preserve">В противоположность Вестингаузу, разбросавшему выполнение заказа по нескольким десяткам заводов, Ремингтон сосредоточил выполнение заказа в одном месте. Для этого в Бриджпорте был выстроен и богато оборудован завод громадных размеров. Мощность его рассчитана была на 6000 винтовок в сутки, максимальная же сдача по плану выполнения контракта предусмотрена в 4500 штук. </w:t>
      </w:r>
    </w:p>
    <w:p w14:paraId="7C3A518F" w14:textId="77777777" w:rsidR="004B4E35" w:rsidRPr="00405303" w:rsidRDefault="009E6F82" w:rsidP="00C15251">
      <w:pPr>
        <w:jc w:val="both"/>
        <w:rPr>
          <w:bCs/>
          <w:color w:val="002060"/>
          <w:sz w:val="16"/>
          <w:szCs w:val="16"/>
        </w:rPr>
      </w:pPr>
      <w:r w:rsidRPr="00405303">
        <w:rPr>
          <w:bCs/>
          <w:color w:val="002060"/>
          <w:sz w:val="16"/>
          <w:szCs w:val="16"/>
        </w:rPr>
        <w:t xml:space="preserve">Постройка завода началась в марте 1915 г. и закончилась в сентябре того же года. </w:t>
      </w:r>
    </w:p>
    <w:p w14:paraId="6457C98B" w14:textId="77777777" w:rsidR="004B4E35" w:rsidRPr="00405303" w:rsidRDefault="009E6F82" w:rsidP="00C15251">
      <w:pPr>
        <w:jc w:val="both"/>
        <w:rPr>
          <w:bCs/>
          <w:color w:val="002060"/>
          <w:sz w:val="16"/>
          <w:szCs w:val="16"/>
        </w:rPr>
      </w:pPr>
      <w:r w:rsidRPr="00405303">
        <w:rPr>
          <w:bCs/>
          <w:color w:val="002060"/>
          <w:sz w:val="16"/>
          <w:szCs w:val="16"/>
        </w:rPr>
        <w:t xml:space="preserve">Предварительные данные, необходимые для постановки производства были сообщены заводу заблаговременно еще в 1914 году. Русские приемщики вместе с представителями завода начали разрабатывать необходимые чертежи и корректировать в них некоторые ошибки, наличие коих было указано в главе о Вестингаузе. Эта работа продолжалась по май 1915 года. В марте 1915 г. в распоряжении завода было несколько десятков винтовок, образцовые лекала и чертежи тех и других. Винтовки были не образцовые, так как изготовлялись в военное время по облегченным кондициям. Лекала — новые и вполне исправные. </w:t>
      </w:r>
    </w:p>
    <w:p w14:paraId="16DBB73C" w14:textId="77777777" w:rsidR="004B4E35" w:rsidRPr="00405303" w:rsidRDefault="009E6F82" w:rsidP="00C15251">
      <w:pPr>
        <w:jc w:val="both"/>
        <w:rPr>
          <w:bCs/>
          <w:color w:val="002060"/>
          <w:sz w:val="16"/>
          <w:szCs w:val="16"/>
        </w:rPr>
      </w:pPr>
      <w:r w:rsidRPr="00405303">
        <w:rPr>
          <w:bCs/>
          <w:color w:val="002060"/>
          <w:sz w:val="16"/>
          <w:szCs w:val="16"/>
        </w:rPr>
        <w:t xml:space="preserve">В конце 1915 г. прибыли на завод назначенные туда от Заготовительного комитета приемщики. Весьма быстро между администрацией завода и ними возник серьезный конфликт, в результате коего приемщику отказали в допуске в завод. Для ликвидации конфликта на завод прибыла большая комиссия. Один из приемщиков был отозван в Россию, и инцидент был исчерпан. </w:t>
      </w:r>
    </w:p>
    <w:p w14:paraId="06113531" w14:textId="77777777" w:rsidR="004B4E35" w:rsidRPr="00405303" w:rsidRDefault="009E6F82" w:rsidP="00C15251">
      <w:pPr>
        <w:jc w:val="both"/>
        <w:rPr>
          <w:bCs/>
          <w:color w:val="002060"/>
          <w:sz w:val="16"/>
          <w:szCs w:val="16"/>
        </w:rPr>
      </w:pPr>
      <w:r w:rsidRPr="00405303">
        <w:rPr>
          <w:bCs/>
          <w:color w:val="002060"/>
          <w:sz w:val="16"/>
          <w:szCs w:val="16"/>
        </w:rPr>
        <w:t xml:space="preserve">Сдача винтовок началась с большим запозданием, лишь в апреле 1916 года. Дело шло плохо и в отношении выпуска, и в отношении качеств изделия. Ввиду этого по настоянию русской инспекции директор завода был смещен. Новый директор, весьма опытный человек, предпринял коренную техническую перепланировку производства. Это вызвало резкий упадок достигнутого уже выпуска винтовок. Сдача, дошедшая в августе 1916 г. до 2000 шт. в сутки, снизилась </w:t>
      </w:r>
      <w:proofErr w:type="gramStart"/>
      <w:r w:rsidRPr="00405303">
        <w:rPr>
          <w:bCs/>
          <w:color w:val="002060"/>
          <w:sz w:val="16"/>
          <w:szCs w:val="16"/>
        </w:rPr>
        <w:t>больше</w:t>
      </w:r>
      <w:proofErr w:type="gramEnd"/>
      <w:r w:rsidRPr="00405303">
        <w:rPr>
          <w:bCs/>
          <w:color w:val="002060"/>
          <w:sz w:val="16"/>
          <w:szCs w:val="16"/>
        </w:rPr>
        <w:t xml:space="preserve"> чем вдвое. Но зато методы производства были значительно улучшены проведением правильно-лекального изготовления всех деталей. Это создавало прочную базу для быстрого и широкого разворачивания производства и улучшало качества изделия. Потребовалась перепланировка помещения цехов. </w:t>
      </w:r>
    </w:p>
    <w:p w14:paraId="5D325BB6" w14:textId="77777777" w:rsidR="004B4E35" w:rsidRPr="00405303" w:rsidRDefault="009E6F82" w:rsidP="00C15251">
      <w:pPr>
        <w:jc w:val="both"/>
        <w:rPr>
          <w:bCs/>
          <w:color w:val="002060"/>
          <w:sz w:val="16"/>
          <w:szCs w:val="16"/>
        </w:rPr>
      </w:pPr>
      <w:r w:rsidRPr="00405303">
        <w:rPr>
          <w:bCs/>
          <w:color w:val="002060"/>
          <w:sz w:val="16"/>
          <w:szCs w:val="16"/>
        </w:rPr>
        <w:t xml:space="preserve">По прошествии полутора лет со дня заключения контракта фактическое состояние производства по сравнению с контрактным планом представлялось в следующем виде: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984"/>
        <w:gridCol w:w="984"/>
        <w:gridCol w:w="984"/>
        <w:gridCol w:w="1128"/>
      </w:tblGrid>
      <w:tr w:rsidR="004B4E35" w:rsidRPr="00405303" w14:paraId="1CE5538D" w14:textId="77777777">
        <w:tc>
          <w:tcPr>
            <w:tcW w:w="1248" w:type="dxa"/>
          </w:tcPr>
          <w:p w14:paraId="6FF536D2" w14:textId="77777777" w:rsidR="004B4E35" w:rsidRPr="00405303" w:rsidRDefault="009E6F82" w:rsidP="00C15251">
            <w:pPr>
              <w:jc w:val="both"/>
              <w:rPr>
                <w:bCs/>
                <w:color w:val="002060"/>
                <w:sz w:val="16"/>
                <w:szCs w:val="16"/>
              </w:rPr>
            </w:pPr>
            <w:r w:rsidRPr="00405303">
              <w:rPr>
                <w:bCs/>
                <w:color w:val="002060"/>
                <w:sz w:val="16"/>
                <w:szCs w:val="16"/>
              </w:rPr>
              <w:t xml:space="preserve">Сдача </w:t>
            </w:r>
          </w:p>
        </w:tc>
        <w:tc>
          <w:tcPr>
            <w:tcW w:w="1968" w:type="dxa"/>
            <w:gridSpan w:val="2"/>
          </w:tcPr>
          <w:p w14:paraId="2D451119" w14:textId="77777777" w:rsidR="004B4E35" w:rsidRPr="00405303" w:rsidRDefault="009E6F82" w:rsidP="00C15251">
            <w:pPr>
              <w:jc w:val="both"/>
              <w:rPr>
                <w:bCs/>
                <w:color w:val="002060"/>
                <w:sz w:val="16"/>
                <w:szCs w:val="16"/>
              </w:rPr>
            </w:pPr>
            <w:r w:rsidRPr="00405303">
              <w:rPr>
                <w:bCs/>
                <w:color w:val="002060"/>
                <w:sz w:val="16"/>
                <w:szCs w:val="16"/>
              </w:rPr>
              <w:t>Надлежало по плану</w:t>
            </w:r>
          </w:p>
        </w:tc>
        <w:tc>
          <w:tcPr>
            <w:tcW w:w="2112" w:type="dxa"/>
            <w:gridSpan w:val="2"/>
          </w:tcPr>
          <w:p w14:paraId="4DADBAD5" w14:textId="77777777" w:rsidR="004B4E35" w:rsidRPr="00405303" w:rsidRDefault="009E6F82" w:rsidP="00C15251">
            <w:pPr>
              <w:jc w:val="both"/>
              <w:rPr>
                <w:bCs/>
                <w:color w:val="002060"/>
                <w:sz w:val="16"/>
                <w:szCs w:val="16"/>
              </w:rPr>
            </w:pPr>
            <w:r w:rsidRPr="00405303">
              <w:rPr>
                <w:bCs/>
                <w:color w:val="002060"/>
                <w:sz w:val="16"/>
                <w:szCs w:val="16"/>
              </w:rPr>
              <w:t>Фактическая</w:t>
            </w:r>
          </w:p>
        </w:tc>
      </w:tr>
      <w:tr w:rsidR="004B4E35" w:rsidRPr="00405303" w14:paraId="363B04F7" w14:textId="77777777">
        <w:tc>
          <w:tcPr>
            <w:tcW w:w="1248" w:type="dxa"/>
          </w:tcPr>
          <w:p w14:paraId="24C2F75B" w14:textId="77777777" w:rsidR="004B4E35" w:rsidRPr="00405303" w:rsidRDefault="009E6F82" w:rsidP="00C15251">
            <w:pPr>
              <w:jc w:val="both"/>
              <w:rPr>
                <w:bCs/>
                <w:color w:val="002060"/>
                <w:sz w:val="16"/>
                <w:szCs w:val="16"/>
              </w:rPr>
            </w:pPr>
            <w:r w:rsidRPr="00405303">
              <w:rPr>
                <w:bCs/>
                <w:color w:val="002060"/>
                <w:sz w:val="16"/>
                <w:szCs w:val="16"/>
              </w:rPr>
              <w:t>винтовок</w:t>
            </w:r>
          </w:p>
        </w:tc>
        <w:tc>
          <w:tcPr>
            <w:tcW w:w="984" w:type="dxa"/>
          </w:tcPr>
          <w:p w14:paraId="66981B33" w14:textId="77777777" w:rsidR="004B4E35" w:rsidRPr="00405303" w:rsidRDefault="009E6F82" w:rsidP="00C15251">
            <w:pPr>
              <w:jc w:val="both"/>
              <w:rPr>
                <w:bCs/>
                <w:color w:val="002060"/>
                <w:sz w:val="16"/>
                <w:szCs w:val="16"/>
              </w:rPr>
            </w:pPr>
            <w:r w:rsidRPr="00405303">
              <w:rPr>
                <w:bCs/>
                <w:color w:val="002060"/>
                <w:sz w:val="16"/>
                <w:szCs w:val="16"/>
              </w:rPr>
              <w:t>В сутки</w:t>
            </w:r>
          </w:p>
        </w:tc>
        <w:tc>
          <w:tcPr>
            <w:tcW w:w="984" w:type="dxa"/>
          </w:tcPr>
          <w:p w14:paraId="745855C1" w14:textId="77777777" w:rsidR="004B4E35" w:rsidRPr="00405303" w:rsidRDefault="009E6F82" w:rsidP="00C15251">
            <w:pPr>
              <w:jc w:val="both"/>
              <w:rPr>
                <w:bCs/>
                <w:color w:val="002060"/>
                <w:sz w:val="16"/>
                <w:szCs w:val="16"/>
              </w:rPr>
            </w:pPr>
            <w:r w:rsidRPr="00405303">
              <w:rPr>
                <w:bCs/>
                <w:color w:val="002060"/>
                <w:sz w:val="16"/>
                <w:szCs w:val="16"/>
              </w:rPr>
              <w:t>От начала работ</w:t>
            </w:r>
          </w:p>
        </w:tc>
        <w:tc>
          <w:tcPr>
            <w:tcW w:w="984" w:type="dxa"/>
          </w:tcPr>
          <w:p w14:paraId="7BDED255" w14:textId="77777777" w:rsidR="004B4E35" w:rsidRPr="00405303" w:rsidRDefault="009E6F82" w:rsidP="00C15251">
            <w:pPr>
              <w:jc w:val="both"/>
              <w:rPr>
                <w:bCs/>
                <w:color w:val="002060"/>
                <w:sz w:val="16"/>
                <w:szCs w:val="16"/>
              </w:rPr>
            </w:pPr>
            <w:r w:rsidRPr="00405303">
              <w:rPr>
                <w:bCs/>
                <w:color w:val="002060"/>
                <w:sz w:val="16"/>
                <w:szCs w:val="16"/>
              </w:rPr>
              <w:t>В сутки</w:t>
            </w:r>
          </w:p>
        </w:tc>
        <w:tc>
          <w:tcPr>
            <w:tcW w:w="1128" w:type="dxa"/>
          </w:tcPr>
          <w:p w14:paraId="2E380596" w14:textId="77777777" w:rsidR="004B4E35" w:rsidRPr="00405303" w:rsidRDefault="009E6F82" w:rsidP="00C15251">
            <w:pPr>
              <w:jc w:val="both"/>
              <w:rPr>
                <w:bCs/>
                <w:color w:val="002060"/>
                <w:sz w:val="16"/>
                <w:szCs w:val="16"/>
              </w:rPr>
            </w:pPr>
            <w:r w:rsidRPr="00405303">
              <w:rPr>
                <w:bCs/>
                <w:color w:val="002060"/>
                <w:sz w:val="16"/>
                <w:szCs w:val="16"/>
              </w:rPr>
              <w:t>От начала работ</w:t>
            </w:r>
          </w:p>
        </w:tc>
      </w:tr>
      <w:tr w:rsidR="004B4E35" w:rsidRPr="00405303" w14:paraId="75CB4708" w14:textId="77777777">
        <w:tc>
          <w:tcPr>
            <w:tcW w:w="1248" w:type="dxa"/>
          </w:tcPr>
          <w:p w14:paraId="113A376C" w14:textId="77777777" w:rsidR="004B4E35" w:rsidRPr="00405303" w:rsidRDefault="009E6F82" w:rsidP="00C15251">
            <w:pPr>
              <w:jc w:val="both"/>
              <w:rPr>
                <w:bCs/>
                <w:color w:val="002060"/>
                <w:sz w:val="16"/>
                <w:szCs w:val="16"/>
              </w:rPr>
            </w:pPr>
            <w:r w:rsidRPr="00405303">
              <w:rPr>
                <w:bCs/>
                <w:color w:val="002060"/>
                <w:sz w:val="16"/>
                <w:szCs w:val="16"/>
              </w:rPr>
              <w:t>Декабрь 1916 г.</w:t>
            </w:r>
          </w:p>
        </w:tc>
        <w:tc>
          <w:tcPr>
            <w:tcW w:w="984" w:type="dxa"/>
          </w:tcPr>
          <w:p w14:paraId="016CECDA" w14:textId="77777777" w:rsidR="004B4E35" w:rsidRPr="00405303" w:rsidRDefault="009E6F82" w:rsidP="00C15251">
            <w:pPr>
              <w:jc w:val="both"/>
              <w:rPr>
                <w:bCs/>
                <w:color w:val="002060"/>
                <w:sz w:val="16"/>
                <w:szCs w:val="16"/>
              </w:rPr>
            </w:pPr>
            <w:r w:rsidRPr="00405303">
              <w:rPr>
                <w:bCs/>
                <w:color w:val="002060"/>
                <w:sz w:val="16"/>
                <w:szCs w:val="16"/>
              </w:rPr>
              <w:t>1.000</w:t>
            </w:r>
          </w:p>
        </w:tc>
        <w:tc>
          <w:tcPr>
            <w:tcW w:w="984" w:type="dxa"/>
          </w:tcPr>
          <w:p w14:paraId="4AC706AA" w14:textId="77777777" w:rsidR="004B4E35" w:rsidRPr="00405303" w:rsidRDefault="009E6F82" w:rsidP="00C15251">
            <w:pPr>
              <w:jc w:val="both"/>
              <w:rPr>
                <w:bCs/>
                <w:color w:val="002060"/>
                <w:sz w:val="16"/>
                <w:szCs w:val="16"/>
              </w:rPr>
            </w:pPr>
            <w:r w:rsidRPr="00405303">
              <w:rPr>
                <w:bCs/>
                <w:color w:val="002060"/>
                <w:sz w:val="16"/>
                <w:szCs w:val="16"/>
              </w:rPr>
              <w:t>1.000.000</w:t>
            </w:r>
          </w:p>
        </w:tc>
        <w:tc>
          <w:tcPr>
            <w:tcW w:w="984" w:type="dxa"/>
          </w:tcPr>
          <w:p w14:paraId="50578CB0" w14:textId="77777777" w:rsidR="004B4E35" w:rsidRPr="00405303" w:rsidRDefault="009E6F82" w:rsidP="00C15251">
            <w:pPr>
              <w:jc w:val="both"/>
              <w:rPr>
                <w:bCs/>
                <w:color w:val="002060"/>
                <w:sz w:val="16"/>
                <w:szCs w:val="16"/>
              </w:rPr>
            </w:pPr>
            <w:r w:rsidRPr="00405303">
              <w:rPr>
                <w:bCs/>
                <w:color w:val="002060"/>
                <w:sz w:val="16"/>
                <w:szCs w:val="16"/>
              </w:rPr>
              <w:t>500</w:t>
            </w:r>
          </w:p>
        </w:tc>
        <w:tc>
          <w:tcPr>
            <w:tcW w:w="1128" w:type="dxa"/>
          </w:tcPr>
          <w:p w14:paraId="49BD1494" w14:textId="77777777" w:rsidR="004B4E35" w:rsidRPr="00405303" w:rsidRDefault="009E6F82" w:rsidP="00C15251">
            <w:pPr>
              <w:jc w:val="both"/>
              <w:rPr>
                <w:bCs/>
                <w:color w:val="002060"/>
                <w:sz w:val="16"/>
                <w:szCs w:val="16"/>
              </w:rPr>
            </w:pPr>
            <w:r w:rsidRPr="00405303">
              <w:rPr>
                <w:bCs/>
                <w:color w:val="002060"/>
                <w:sz w:val="16"/>
                <w:szCs w:val="16"/>
              </w:rPr>
              <w:t>70.000</w:t>
            </w:r>
          </w:p>
        </w:tc>
      </w:tr>
      <w:tr w:rsidR="004B4E35" w:rsidRPr="00405303" w14:paraId="58516854" w14:textId="77777777">
        <w:tc>
          <w:tcPr>
            <w:tcW w:w="1248" w:type="dxa"/>
          </w:tcPr>
          <w:p w14:paraId="1270F2DF" w14:textId="77777777" w:rsidR="004B4E35" w:rsidRPr="00405303" w:rsidRDefault="009E6F82" w:rsidP="00C15251">
            <w:pPr>
              <w:jc w:val="both"/>
              <w:rPr>
                <w:bCs/>
                <w:color w:val="002060"/>
                <w:sz w:val="16"/>
                <w:szCs w:val="16"/>
              </w:rPr>
            </w:pPr>
            <w:r w:rsidRPr="00405303">
              <w:rPr>
                <w:bCs/>
                <w:color w:val="002060"/>
                <w:sz w:val="16"/>
                <w:szCs w:val="16"/>
              </w:rPr>
              <w:t>Март 1917 г.</w:t>
            </w:r>
          </w:p>
        </w:tc>
        <w:tc>
          <w:tcPr>
            <w:tcW w:w="984" w:type="dxa"/>
          </w:tcPr>
          <w:p w14:paraId="12221D52" w14:textId="77777777" w:rsidR="004B4E35" w:rsidRPr="00405303" w:rsidRDefault="009E6F82" w:rsidP="00C15251">
            <w:pPr>
              <w:jc w:val="both"/>
              <w:rPr>
                <w:bCs/>
                <w:color w:val="002060"/>
                <w:sz w:val="16"/>
                <w:szCs w:val="16"/>
              </w:rPr>
            </w:pPr>
            <w:r w:rsidRPr="00405303">
              <w:rPr>
                <w:bCs/>
                <w:color w:val="002060"/>
                <w:sz w:val="16"/>
                <w:szCs w:val="16"/>
              </w:rPr>
              <w:t>4.000</w:t>
            </w:r>
          </w:p>
        </w:tc>
        <w:tc>
          <w:tcPr>
            <w:tcW w:w="984" w:type="dxa"/>
          </w:tcPr>
          <w:p w14:paraId="41CB9121" w14:textId="77777777" w:rsidR="004B4E35" w:rsidRPr="00405303" w:rsidRDefault="009E6F82" w:rsidP="00C15251">
            <w:pPr>
              <w:jc w:val="both"/>
              <w:rPr>
                <w:bCs/>
                <w:color w:val="002060"/>
                <w:sz w:val="16"/>
                <w:szCs w:val="16"/>
              </w:rPr>
            </w:pPr>
            <w:r w:rsidRPr="00405303">
              <w:rPr>
                <w:bCs/>
                <w:color w:val="002060"/>
                <w:sz w:val="16"/>
                <w:szCs w:val="16"/>
              </w:rPr>
              <w:t>1.250.000</w:t>
            </w:r>
          </w:p>
        </w:tc>
        <w:tc>
          <w:tcPr>
            <w:tcW w:w="984" w:type="dxa"/>
          </w:tcPr>
          <w:p w14:paraId="398B7DA0" w14:textId="77777777" w:rsidR="004B4E35" w:rsidRPr="00405303" w:rsidRDefault="009E6F82" w:rsidP="00C15251">
            <w:pPr>
              <w:jc w:val="both"/>
              <w:rPr>
                <w:bCs/>
                <w:color w:val="002060"/>
                <w:sz w:val="16"/>
                <w:szCs w:val="16"/>
              </w:rPr>
            </w:pPr>
            <w:r w:rsidRPr="00405303">
              <w:rPr>
                <w:bCs/>
                <w:color w:val="002060"/>
                <w:sz w:val="16"/>
                <w:szCs w:val="16"/>
              </w:rPr>
              <w:t>1.200</w:t>
            </w:r>
          </w:p>
        </w:tc>
        <w:tc>
          <w:tcPr>
            <w:tcW w:w="1128" w:type="dxa"/>
          </w:tcPr>
          <w:p w14:paraId="375F2669" w14:textId="77777777" w:rsidR="004B4E35" w:rsidRPr="00405303" w:rsidRDefault="009E6F82" w:rsidP="00C15251">
            <w:pPr>
              <w:jc w:val="both"/>
              <w:rPr>
                <w:bCs/>
                <w:color w:val="002060"/>
                <w:sz w:val="16"/>
                <w:szCs w:val="16"/>
              </w:rPr>
            </w:pPr>
            <w:r w:rsidRPr="00405303">
              <w:rPr>
                <w:bCs/>
                <w:color w:val="002060"/>
                <w:sz w:val="16"/>
                <w:szCs w:val="16"/>
              </w:rPr>
              <w:t>120.000</w:t>
            </w:r>
          </w:p>
        </w:tc>
      </w:tr>
      <w:tr w:rsidR="004B4E35" w:rsidRPr="00405303" w14:paraId="11A214D1" w14:textId="77777777">
        <w:tc>
          <w:tcPr>
            <w:tcW w:w="1248" w:type="dxa"/>
          </w:tcPr>
          <w:p w14:paraId="461C44B8" w14:textId="77777777" w:rsidR="004B4E35" w:rsidRPr="00405303" w:rsidRDefault="009E6F82" w:rsidP="00C15251">
            <w:pPr>
              <w:jc w:val="both"/>
              <w:rPr>
                <w:bCs/>
                <w:color w:val="002060"/>
                <w:sz w:val="16"/>
                <w:szCs w:val="16"/>
              </w:rPr>
            </w:pPr>
            <w:r w:rsidRPr="00405303">
              <w:rPr>
                <w:bCs/>
                <w:color w:val="002060"/>
                <w:sz w:val="16"/>
                <w:szCs w:val="16"/>
              </w:rPr>
              <w:t>Май 1917 г.</w:t>
            </w:r>
          </w:p>
        </w:tc>
        <w:tc>
          <w:tcPr>
            <w:tcW w:w="984" w:type="dxa"/>
          </w:tcPr>
          <w:p w14:paraId="45851764" w14:textId="77777777" w:rsidR="004B4E35" w:rsidRPr="00405303" w:rsidRDefault="009E6F82" w:rsidP="00C15251">
            <w:pPr>
              <w:jc w:val="both"/>
              <w:rPr>
                <w:bCs/>
                <w:color w:val="002060"/>
                <w:sz w:val="16"/>
                <w:szCs w:val="16"/>
              </w:rPr>
            </w:pPr>
            <w:r w:rsidRPr="00405303">
              <w:rPr>
                <w:bCs/>
                <w:color w:val="002060"/>
                <w:sz w:val="16"/>
                <w:szCs w:val="16"/>
              </w:rPr>
              <w:t>4.000</w:t>
            </w:r>
          </w:p>
        </w:tc>
        <w:tc>
          <w:tcPr>
            <w:tcW w:w="984" w:type="dxa"/>
          </w:tcPr>
          <w:p w14:paraId="1DDF3B49" w14:textId="77777777" w:rsidR="004B4E35" w:rsidRPr="00405303" w:rsidRDefault="009E6F82" w:rsidP="00C15251">
            <w:pPr>
              <w:jc w:val="both"/>
              <w:rPr>
                <w:bCs/>
                <w:color w:val="002060"/>
                <w:sz w:val="16"/>
                <w:szCs w:val="16"/>
              </w:rPr>
            </w:pPr>
            <w:r w:rsidRPr="00405303">
              <w:rPr>
                <w:bCs/>
                <w:color w:val="002060"/>
                <w:sz w:val="16"/>
                <w:szCs w:val="16"/>
              </w:rPr>
              <w:t>1.450.000</w:t>
            </w:r>
          </w:p>
        </w:tc>
        <w:tc>
          <w:tcPr>
            <w:tcW w:w="984" w:type="dxa"/>
          </w:tcPr>
          <w:p w14:paraId="17F21ED6" w14:textId="77777777" w:rsidR="004B4E35" w:rsidRPr="00405303" w:rsidRDefault="009E6F82" w:rsidP="00C15251">
            <w:pPr>
              <w:jc w:val="both"/>
              <w:rPr>
                <w:bCs/>
                <w:color w:val="002060"/>
                <w:sz w:val="16"/>
                <w:szCs w:val="16"/>
              </w:rPr>
            </w:pPr>
            <w:r w:rsidRPr="00405303">
              <w:rPr>
                <w:bCs/>
                <w:color w:val="002060"/>
                <w:sz w:val="16"/>
                <w:szCs w:val="16"/>
              </w:rPr>
              <w:t>1.800</w:t>
            </w:r>
          </w:p>
        </w:tc>
        <w:tc>
          <w:tcPr>
            <w:tcW w:w="1128" w:type="dxa"/>
          </w:tcPr>
          <w:p w14:paraId="3E95BDE0" w14:textId="77777777" w:rsidR="004B4E35" w:rsidRPr="00405303" w:rsidRDefault="009E6F82" w:rsidP="00C15251">
            <w:pPr>
              <w:jc w:val="both"/>
              <w:rPr>
                <w:bCs/>
                <w:color w:val="002060"/>
                <w:sz w:val="16"/>
                <w:szCs w:val="16"/>
              </w:rPr>
            </w:pPr>
            <w:r w:rsidRPr="00405303">
              <w:rPr>
                <w:bCs/>
                <w:color w:val="002060"/>
                <w:sz w:val="16"/>
                <w:szCs w:val="16"/>
              </w:rPr>
              <w:t>200.000</w:t>
            </w:r>
          </w:p>
        </w:tc>
      </w:tr>
    </w:tbl>
    <w:p w14:paraId="1205529F" w14:textId="77777777" w:rsidR="004B4E35" w:rsidRPr="00405303" w:rsidRDefault="009E6F82" w:rsidP="00C15251">
      <w:pPr>
        <w:jc w:val="both"/>
        <w:rPr>
          <w:bCs/>
          <w:color w:val="002060"/>
          <w:sz w:val="16"/>
          <w:szCs w:val="16"/>
        </w:rPr>
      </w:pPr>
      <w:r w:rsidRPr="00405303">
        <w:rPr>
          <w:bCs/>
          <w:color w:val="002060"/>
          <w:sz w:val="16"/>
          <w:szCs w:val="16"/>
        </w:rPr>
        <w:t xml:space="preserve">Таким образом, сдача катастрофически отставала от плана. Это обстоятельство, естественно, создавало для компании крайне тяжелое финансовое положение, угрожавшее крахом, так как поступлений платежей не было, а расходы шли своим порядком. </w:t>
      </w:r>
    </w:p>
    <w:p w14:paraId="713F562E" w14:textId="77777777" w:rsidR="004B4E35" w:rsidRPr="00405303" w:rsidRDefault="009E6F82" w:rsidP="00C15251">
      <w:pPr>
        <w:jc w:val="both"/>
        <w:rPr>
          <w:bCs/>
          <w:color w:val="002060"/>
          <w:sz w:val="16"/>
          <w:szCs w:val="16"/>
        </w:rPr>
      </w:pPr>
      <w:r w:rsidRPr="00405303">
        <w:rPr>
          <w:bCs/>
          <w:color w:val="002060"/>
          <w:sz w:val="16"/>
          <w:szCs w:val="16"/>
        </w:rPr>
        <w:t xml:space="preserve">В декабре 1916 г. Заготовительным комитетом был канцелирован заказ на 300 000 винтовок. </w:t>
      </w:r>
    </w:p>
    <w:p w14:paraId="25DA1A4C" w14:textId="77777777" w:rsidR="004B4E35" w:rsidRPr="00405303" w:rsidRDefault="009E6F82" w:rsidP="00C15251">
      <w:pPr>
        <w:jc w:val="both"/>
        <w:rPr>
          <w:bCs/>
          <w:color w:val="002060"/>
          <w:sz w:val="16"/>
          <w:szCs w:val="16"/>
        </w:rPr>
      </w:pPr>
      <w:r w:rsidRPr="00405303">
        <w:rPr>
          <w:bCs/>
          <w:color w:val="002060"/>
          <w:sz w:val="16"/>
          <w:szCs w:val="16"/>
        </w:rPr>
        <w:t xml:space="preserve">В связи со всем этим Ремингтон возбудил вопрос о пересмотре контрактов, угрожая в противном случае остановить производство. Создавался, таким образом, конфликт, подобный тому, какой имел место с Вестингаузом. </w:t>
      </w:r>
    </w:p>
    <w:p w14:paraId="3B2FAB8E" w14:textId="77777777" w:rsidR="004B4E35" w:rsidRPr="00405303" w:rsidRDefault="009E6F82" w:rsidP="00C15251">
      <w:pPr>
        <w:jc w:val="both"/>
        <w:rPr>
          <w:bCs/>
          <w:color w:val="002060"/>
          <w:sz w:val="16"/>
          <w:szCs w:val="16"/>
        </w:rPr>
      </w:pPr>
      <w:r w:rsidRPr="00405303">
        <w:rPr>
          <w:bCs/>
          <w:color w:val="002060"/>
          <w:sz w:val="16"/>
          <w:szCs w:val="16"/>
        </w:rPr>
        <w:t xml:space="preserve">Председатель Заготовительного комитета по этому поводу доносит в Петроград: "Завод Ремингтон, вероятно, опираясь на Вестингауза, получающего всякие льготы, начал опять подавать брак и тоже начинает протестовать против наших правильных требований". </w:t>
      </w:r>
    </w:p>
    <w:p w14:paraId="2ED5272D" w14:textId="77777777" w:rsidR="004B4E35" w:rsidRPr="00405303" w:rsidRDefault="009E6F82" w:rsidP="00C15251">
      <w:pPr>
        <w:jc w:val="both"/>
        <w:rPr>
          <w:bCs/>
          <w:color w:val="002060"/>
          <w:sz w:val="16"/>
          <w:szCs w:val="16"/>
        </w:rPr>
      </w:pPr>
      <w:r w:rsidRPr="00405303">
        <w:rPr>
          <w:bCs/>
          <w:color w:val="002060"/>
          <w:sz w:val="16"/>
          <w:szCs w:val="16"/>
        </w:rPr>
        <w:t xml:space="preserve">Очевиден был сговор банков, которые требуют — или брать такие ружья, какие нам дают, или же, в противном случае, грозят закрыть завод, предпочитая не нести дальнейших убытков. Такое давление банков понятно, поскольку некоторые из директоров компании были в то же время директорами банков. </w:t>
      </w:r>
    </w:p>
    <w:p w14:paraId="424CB2DA" w14:textId="77777777" w:rsidR="004B4E35" w:rsidRPr="00405303" w:rsidRDefault="009E6F82" w:rsidP="00C15251">
      <w:pPr>
        <w:jc w:val="both"/>
        <w:rPr>
          <w:bCs/>
          <w:color w:val="002060"/>
          <w:sz w:val="16"/>
          <w:szCs w:val="16"/>
        </w:rPr>
      </w:pPr>
      <w:r w:rsidRPr="00405303">
        <w:rPr>
          <w:bCs/>
          <w:color w:val="002060"/>
          <w:sz w:val="16"/>
          <w:szCs w:val="16"/>
        </w:rPr>
        <w:t xml:space="preserve">В периоде переговоров об изменении условий контракта Ремингтон возбудил вопрос о передаче его завода в полное техническое управление русским инженерам-оружейникам. Одновременно такой же вопрос поставил и Вестингауз. </w:t>
      </w:r>
    </w:p>
    <w:p w14:paraId="1376364E" w14:textId="77777777" w:rsidR="004B4E35" w:rsidRPr="00405303" w:rsidRDefault="009E6F82" w:rsidP="00C15251">
      <w:pPr>
        <w:jc w:val="both"/>
        <w:rPr>
          <w:bCs/>
          <w:color w:val="002060"/>
          <w:sz w:val="16"/>
          <w:szCs w:val="16"/>
        </w:rPr>
      </w:pPr>
      <w:r w:rsidRPr="00405303">
        <w:rPr>
          <w:bCs/>
          <w:color w:val="002060"/>
          <w:sz w:val="16"/>
          <w:szCs w:val="16"/>
        </w:rPr>
        <w:t xml:space="preserve">В середине марта 1916 г. переговоры были задержаны почти на месяц союзной конференцией в Петрограде, после чего опять возобновились и шли успешно. </w:t>
      </w:r>
    </w:p>
    <w:p w14:paraId="390E1166" w14:textId="77777777" w:rsidR="004B4E35" w:rsidRPr="00405303" w:rsidRDefault="009E6F82" w:rsidP="00C15251">
      <w:pPr>
        <w:jc w:val="both"/>
        <w:rPr>
          <w:bCs/>
          <w:color w:val="002060"/>
          <w:sz w:val="16"/>
          <w:szCs w:val="16"/>
        </w:rPr>
      </w:pPr>
      <w:r w:rsidRPr="00405303">
        <w:rPr>
          <w:bCs/>
          <w:color w:val="002060"/>
          <w:sz w:val="16"/>
          <w:szCs w:val="16"/>
        </w:rPr>
        <w:t xml:space="preserve">После долгих переговоров и сношений с Лондоном и Петроградом был, наконец, 10 сентября 1917 г. подписан новый договор с фирмой Ремингтон, заменяющий предшествующие контракты. Основные положения нового договора сводились к следующему. </w:t>
      </w:r>
    </w:p>
    <w:p w14:paraId="6BBE3F55" w14:textId="77777777" w:rsidR="004B4E35" w:rsidRPr="00405303" w:rsidRDefault="009E6F82" w:rsidP="00C15251">
      <w:pPr>
        <w:jc w:val="both"/>
        <w:rPr>
          <w:bCs/>
          <w:color w:val="002060"/>
          <w:sz w:val="16"/>
          <w:szCs w:val="16"/>
        </w:rPr>
      </w:pPr>
      <w:r w:rsidRPr="00405303">
        <w:rPr>
          <w:bCs/>
          <w:color w:val="002060"/>
          <w:sz w:val="16"/>
          <w:szCs w:val="16"/>
        </w:rPr>
        <w:t xml:space="preserve">1) Заказ 1 500 000 ружей сокращается до 1 млн. </w:t>
      </w:r>
    </w:p>
    <w:p w14:paraId="7C909271" w14:textId="77777777" w:rsidR="004B4E35" w:rsidRPr="00405303" w:rsidRDefault="009E6F82" w:rsidP="00C15251">
      <w:pPr>
        <w:jc w:val="both"/>
        <w:rPr>
          <w:bCs/>
          <w:color w:val="002060"/>
          <w:sz w:val="16"/>
          <w:szCs w:val="16"/>
        </w:rPr>
      </w:pPr>
      <w:r w:rsidRPr="00405303">
        <w:rPr>
          <w:bCs/>
          <w:color w:val="002060"/>
          <w:sz w:val="16"/>
          <w:szCs w:val="16"/>
        </w:rPr>
        <w:t xml:space="preserve">2) Организуется общество Новый Ремингтон, в котором половина акций принадлежит старому Ремингтону, другая — русскому правительству. </w:t>
      </w:r>
    </w:p>
    <w:p w14:paraId="514EEEEA" w14:textId="77777777" w:rsidR="004B4E35" w:rsidRPr="00405303" w:rsidRDefault="009E6F82" w:rsidP="00C15251">
      <w:pPr>
        <w:jc w:val="both"/>
        <w:rPr>
          <w:bCs/>
          <w:color w:val="002060"/>
          <w:sz w:val="16"/>
          <w:szCs w:val="16"/>
        </w:rPr>
      </w:pPr>
      <w:r w:rsidRPr="00405303">
        <w:rPr>
          <w:bCs/>
          <w:color w:val="002060"/>
          <w:sz w:val="16"/>
          <w:szCs w:val="16"/>
        </w:rPr>
        <w:t xml:space="preserve">3) Русское правительство вносит за акции 6 млн долларов, которые составляют половину капитала, затраченного фирмой в дело с начала работы по день нового контракта. </w:t>
      </w:r>
    </w:p>
    <w:p w14:paraId="5C305635" w14:textId="77777777" w:rsidR="004B4E35" w:rsidRPr="00405303" w:rsidRDefault="009E6F82" w:rsidP="00C15251">
      <w:pPr>
        <w:jc w:val="both"/>
        <w:rPr>
          <w:bCs/>
          <w:color w:val="002060"/>
          <w:sz w:val="16"/>
          <w:szCs w:val="16"/>
        </w:rPr>
      </w:pPr>
      <w:r w:rsidRPr="00405303">
        <w:rPr>
          <w:bCs/>
          <w:color w:val="002060"/>
          <w:sz w:val="16"/>
          <w:szCs w:val="16"/>
        </w:rPr>
        <w:t xml:space="preserve">4) Старый Ремингтон уступает Новому 0,68 доли участия в недвижимом имуществе, заводе и инвентаре, что отвечает потребности ружейного контракта. Часть имущества по особой описи вполне отчуждается Новому Ремингтону. </w:t>
      </w:r>
    </w:p>
    <w:p w14:paraId="456808DE" w14:textId="77777777" w:rsidR="004B4E35" w:rsidRPr="00405303" w:rsidRDefault="009E6F82" w:rsidP="00C15251">
      <w:pPr>
        <w:jc w:val="both"/>
        <w:rPr>
          <w:bCs/>
          <w:color w:val="002060"/>
          <w:sz w:val="16"/>
          <w:szCs w:val="16"/>
        </w:rPr>
      </w:pPr>
      <w:r w:rsidRPr="00405303">
        <w:rPr>
          <w:bCs/>
          <w:color w:val="002060"/>
          <w:sz w:val="16"/>
          <w:szCs w:val="16"/>
        </w:rPr>
        <w:t xml:space="preserve">5) Новый Ремингтон управляется директоратом из шести директоров — три от Ремингтона и три от Русского заготовительного комитета. </w:t>
      </w:r>
    </w:p>
    <w:p w14:paraId="43290FC7" w14:textId="77777777" w:rsidR="004B4E35" w:rsidRPr="00405303" w:rsidRDefault="009E6F82" w:rsidP="00C15251">
      <w:pPr>
        <w:jc w:val="both"/>
        <w:rPr>
          <w:bCs/>
          <w:color w:val="002060"/>
          <w:sz w:val="16"/>
          <w:szCs w:val="16"/>
        </w:rPr>
      </w:pPr>
      <w:r w:rsidRPr="00405303">
        <w:rPr>
          <w:bCs/>
          <w:color w:val="002060"/>
          <w:sz w:val="16"/>
          <w:szCs w:val="16"/>
        </w:rPr>
        <w:t>6) Цена винтовки 30 долларов.</w:t>
      </w:r>
    </w:p>
    <w:p w14:paraId="194F2B0C" w14:textId="77777777" w:rsidR="004B4E35" w:rsidRPr="00405303" w:rsidRDefault="009E6F82" w:rsidP="00C15251">
      <w:pPr>
        <w:jc w:val="both"/>
        <w:rPr>
          <w:bCs/>
          <w:color w:val="002060"/>
          <w:sz w:val="16"/>
          <w:szCs w:val="16"/>
        </w:rPr>
      </w:pPr>
      <w:r w:rsidRPr="00405303">
        <w:rPr>
          <w:bCs/>
          <w:color w:val="002060"/>
          <w:sz w:val="16"/>
          <w:szCs w:val="16"/>
        </w:rPr>
        <w:t xml:space="preserve">7) По окончании договора Россия приобретает от Нового Ремингтона машины, инструмент и пр. оборудование для оружейного дела. </w:t>
      </w:r>
    </w:p>
    <w:p w14:paraId="0D333877" w14:textId="77777777" w:rsidR="004B4E35" w:rsidRPr="00405303" w:rsidRDefault="009E6F82" w:rsidP="00C15251">
      <w:pPr>
        <w:jc w:val="both"/>
        <w:rPr>
          <w:bCs/>
          <w:color w:val="002060"/>
          <w:sz w:val="16"/>
          <w:szCs w:val="16"/>
        </w:rPr>
      </w:pPr>
      <w:r w:rsidRPr="00405303">
        <w:rPr>
          <w:bCs/>
          <w:color w:val="002060"/>
          <w:sz w:val="16"/>
          <w:szCs w:val="16"/>
        </w:rPr>
        <w:t xml:space="preserve">Указанное соглашение было принято Заготовительным комитетом под давлением обстоятельств, так как иного выхода не было: ружья были до зарезу нужны, а крах фирмы во всех отношениях для России был неприемлем. </w:t>
      </w:r>
    </w:p>
    <w:p w14:paraId="0109DD30" w14:textId="77777777" w:rsidR="004B4E35" w:rsidRPr="00405303" w:rsidRDefault="009E6F82" w:rsidP="00C15251">
      <w:pPr>
        <w:jc w:val="both"/>
        <w:rPr>
          <w:bCs/>
          <w:color w:val="002060"/>
          <w:sz w:val="16"/>
          <w:szCs w:val="16"/>
        </w:rPr>
      </w:pPr>
      <w:r w:rsidRPr="00405303">
        <w:rPr>
          <w:bCs/>
          <w:color w:val="002060"/>
          <w:sz w:val="16"/>
          <w:szCs w:val="16"/>
        </w:rPr>
        <w:t xml:space="preserve">Таким образом, с подписанием нового контракта производство стало быстро прогрессировать, в то время как в период переговоров и неопределенности оно значительно упало. С мая по сентябрь 1917 г. завод выпускал примерно по 30 000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80"/>
        <w:gridCol w:w="816"/>
      </w:tblGrid>
      <w:tr w:rsidR="004B4E35" w:rsidRPr="00405303" w14:paraId="29185925" w14:textId="77777777">
        <w:tc>
          <w:tcPr>
            <w:tcW w:w="1680" w:type="dxa"/>
          </w:tcPr>
          <w:p w14:paraId="72773780" w14:textId="77777777" w:rsidR="004B4E35" w:rsidRPr="00405303" w:rsidRDefault="009E6F82" w:rsidP="00C15251">
            <w:pPr>
              <w:jc w:val="both"/>
              <w:rPr>
                <w:bCs/>
                <w:color w:val="002060"/>
                <w:sz w:val="16"/>
                <w:szCs w:val="16"/>
              </w:rPr>
            </w:pPr>
            <w:r w:rsidRPr="00405303">
              <w:rPr>
                <w:bCs/>
                <w:color w:val="002060"/>
                <w:sz w:val="16"/>
                <w:szCs w:val="16"/>
              </w:rPr>
              <w:t>в сентябре 1917 г.</w:t>
            </w:r>
          </w:p>
        </w:tc>
        <w:tc>
          <w:tcPr>
            <w:tcW w:w="816" w:type="dxa"/>
          </w:tcPr>
          <w:p w14:paraId="62992B20" w14:textId="77777777" w:rsidR="004B4E35" w:rsidRPr="00405303" w:rsidRDefault="009E6F82" w:rsidP="00C15251">
            <w:pPr>
              <w:jc w:val="both"/>
              <w:rPr>
                <w:bCs/>
                <w:color w:val="002060"/>
                <w:sz w:val="16"/>
                <w:szCs w:val="16"/>
              </w:rPr>
            </w:pPr>
            <w:r w:rsidRPr="00405303">
              <w:rPr>
                <w:bCs/>
                <w:color w:val="002060"/>
                <w:sz w:val="16"/>
                <w:szCs w:val="16"/>
              </w:rPr>
              <w:t xml:space="preserve">52 000 </w:t>
            </w:r>
          </w:p>
        </w:tc>
      </w:tr>
      <w:tr w:rsidR="004B4E35" w:rsidRPr="00405303" w14:paraId="297F01E4" w14:textId="77777777">
        <w:tc>
          <w:tcPr>
            <w:tcW w:w="1680" w:type="dxa"/>
          </w:tcPr>
          <w:p w14:paraId="2620B736" w14:textId="77777777" w:rsidR="004B4E35" w:rsidRPr="00405303" w:rsidRDefault="009E6F82" w:rsidP="00C15251">
            <w:pPr>
              <w:jc w:val="both"/>
              <w:rPr>
                <w:bCs/>
                <w:color w:val="002060"/>
                <w:sz w:val="16"/>
                <w:szCs w:val="16"/>
              </w:rPr>
            </w:pPr>
            <w:r w:rsidRPr="00405303">
              <w:rPr>
                <w:bCs/>
                <w:color w:val="002060"/>
                <w:sz w:val="16"/>
                <w:szCs w:val="16"/>
              </w:rPr>
              <w:t>в октябре</w:t>
            </w:r>
          </w:p>
        </w:tc>
        <w:tc>
          <w:tcPr>
            <w:tcW w:w="816" w:type="dxa"/>
          </w:tcPr>
          <w:p w14:paraId="50215321" w14:textId="77777777" w:rsidR="004B4E35" w:rsidRPr="00405303" w:rsidRDefault="009E6F82" w:rsidP="00C15251">
            <w:pPr>
              <w:jc w:val="both"/>
              <w:rPr>
                <w:bCs/>
                <w:color w:val="002060"/>
                <w:sz w:val="16"/>
                <w:szCs w:val="16"/>
              </w:rPr>
            </w:pPr>
            <w:r w:rsidRPr="00405303">
              <w:rPr>
                <w:bCs/>
                <w:color w:val="002060"/>
                <w:sz w:val="16"/>
                <w:szCs w:val="16"/>
              </w:rPr>
              <w:t xml:space="preserve">70 000 </w:t>
            </w:r>
          </w:p>
        </w:tc>
      </w:tr>
      <w:tr w:rsidR="004B4E35" w:rsidRPr="00405303" w14:paraId="7F04927E" w14:textId="77777777">
        <w:tc>
          <w:tcPr>
            <w:tcW w:w="1680" w:type="dxa"/>
          </w:tcPr>
          <w:p w14:paraId="087846B2" w14:textId="77777777" w:rsidR="004B4E35" w:rsidRPr="00405303" w:rsidRDefault="009E6F82" w:rsidP="00C15251">
            <w:pPr>
              <w:jc w:val="both"/>
              <w:rPr>
                <w:bCs/>
                <w:color w:val="002060"/>
                <w:sz w:val="16"/>
                <w:szCs w:val="16"/>
              </w:rPr>
            </w:pPr>
            <w:r w:rsidRPr="00405303">
              <w:rPr>
                <w:bCs/>
                <w:color w:val="002060"/>
                <w:sz w:val="16"/>
                <w:szCs w:val="16"/>
              </w:rPr>
              <w:t>в ноябре</w:t>
            </w:r>
          </w:p>
        </w:tc>
        <w:tc>
          <w:tcPr>
            <w:tcW w:w="816" w:type="dxa"/>
          </w:tcPr>
          <w:p w14:paraId="093CDD5B" w14:textId="77777777" w:rsidR="004B4E35" w:rsidRPr="00405303" w:rsidRDefault="009E6F82" w:rsidP="00C15251">
            <w:pPr>
              <w:jc w:val="both"/>
              <w:rPr>
                <w:bCs/>
                <w:color w:val="002060"/>
                <w:sz w:val="16"/>
                <w:szCs w:val="16"/>
              </w:rPr>
            </w:pPr>
            <w:r w:rsidRPr="00405303">
              <w:rPr>
                <w:bCs/>
                <w:color w:val="002060"/>
                <w:sz w:val="16"/>
                <w:szCs w:val="16"/>
              </w:rPr>
              <w:t xml:space="preserve">108 000 </w:t>
            </w:r>
          </w:p>
        </w:tc>
      </w:tr>
      <w:tr w:rsidR="004B4E35" w:rsidRPr="00405303" w14:paraId="19F3DE12" w14:textId="77777777">
        <w:tc>
          <w:tcPr>
            <w:tcW w:w="1680" w:type="dxa"/>
          </w:tcPr>
          <w:p w14:paraId="6D74F2F1" w14:textId="77777777" w:rsidR="004B4E35" w:rsidRPr="00405303" w:rsidRDefault="009E6F82" w:rsidP="00C15251">
            <w:pPr>
              <w:jc w:val="both"/>
              <w:rPr>
                <w:bCs/>
                <w:color w:val="002060"/>
                <w:sz w:val="16"/>
                <w:szCs w:val="16"/>
              </w:rPr>
            </w:pPr>
            <w:r w:rsidRPr="00405303">
              <w:rPr>
                <w:bCs/>
                <w:color w:val="002060"/>
                <w:sz w:val="16"/>
                <w:szCs w:val="16"/>
              </w:rPr>
              <w:t>в декабре</w:t>
            </w:r>
          </w:p>
        </w:tc>
        <w:tc>
          <w:tcPr>
            <w:tcW w:w="816" w:type="dxa"/>
          </w:tcPr>
          <w:p w14:paraId="3A98FB77" w14:textId="77777777" w:rsidR="004B4E35" w:rsidRPr="00405303" w:rsidRDefault="009E6F82" w:rsidP="00C15251">
            <w:pPr>
              <w:jc w:val="both"/>
              <w:rPr>
                <w:bCs/>
                <w:color w:val="002060"/>
                <w:sz w:val="16"/>
                <w:szCs w:val="16"/>
              </w:rPr>
            </w:pPr>
            <w:r w:rsidRPr="00405303">
              <w:rPr>
                <w:bCs/>
                <w:color w:val="002060"/>
                <w:sz w:val="16"/>
                <w:szCs w:val="16"/>
              </w:rPr>
              <w:t xml:space="preserve">107 000 </w:t>
            </w:r>
          </w:p>
        </w:tc>
      </w:tr>
    </w:tbl>
    <w:p w14:paraId="3B9B2A36" w14:textId="77777777" w:rsidR="004B4E35" w:rsidRPr="00405303" w:rsidRDefault="009E6F82" w:rsidP="00C15251">
      <w:pPr>
        <w:jc w:val="both"/>
        <w:rPr>
          <w:bCs/>
          <w:color w:val="002060"/>
          <w:sz w:val="16"/>
          <w:szCs w:val="16"/>
        </w:rPr>
      </w:pPr>
      <w:r w:rsidRPr="00405303">
        <w:rPr>
          <w:bCs/>
          <w:color w:val="002060"/>
          <w:sz w:val="16"/>
          <w:szCs w:val="16"/>
        </w:rPr>
        <w:t xml:space="preserve">В конце 1917 г. в связи с прекращением войны Россией началась общая ликвидация работ Заготовительного комитета. Ввиду этого с Ремингтоном было выработано в январе 1918 г. особое соглашение о ликвидации контрактов. </w:t>
      </w:r>
    </w:p>
    <w:p w14:paraId="4AAF3302" w14:textId="77777777" w:rsidR="004B4E35" w:rsidRPr="00405303" w:rsidRDefault="009E6F82" w:rsidP="00C15251">
      <w:pPr>
        <w:jc w:val="both"/>
        <w:rPr>
          <w:bCs/>
          <w:color w:val="002060"/>
          <w:sz w:val="16"/>
          <w:szCs w:val="16"/>
        </w:rPr>
      </w:pPr>
      <w:r w:rsidRPr="00405303">
        <w:rPr>
          <w:bCs/>
          <w:color w:val="002060"/>
          <w:sz w:val="16"/>
          <w:szCs w:val="16"/>
        </w:rPr>
        <w:t xml:space="preserve">Нет надобности входить в детали этого соглашения, оно чрезвычайно сложно, что и понятно при той исключительной сложности взаимоотношения сторон, которое создавалась при учреждении общества Новый Ремингтон. В общем счете всего сдано Ремингтоном 840 307 винтовок. К сожалению, не имеется данных, коими можно было бы установить, сколько же этих ружей попало в Россию и сколько Россия уплатила фирме за все время, чтобы подсчитать, во что обошлось ружье. </w:t>
      </w:r>
    </w:p>
    <w:p w14:paraId="3E44A1F4" w14:textId="77777777" w:rsidR="004B4E35" w:rsidRPr="00405303" w:rsidRDefault="009E6F82" w:rsidP="00C15251">
      <w:pPr>
        <w:jc w:val="both"/>
        <w:rPr>
          <w:bCs/>
          <w:color w:val="002060"/>
          <w:sz w:val="16"/>
          <w:szCs w:val="16"/>
        </w:rPr>
      </w:pPr>
      <w:r w:rsidRPr="00405303">
        <w:rPr>
          <w:bCs/>
          <w:color w:val="002060"/>
          <w:sz w:val="16"/>
          <w:szCs w:val="16"/>
        </w:rPr>
        <w:t>В итоге заказ был выполнен Ремингтоном только в 55% его первоначального контрактного объема, причем часть эта исполнена с запозданием на 20 месяцев против контрактного срока для всего заказа (11329).</w:t>
      </w:r>
    </w:p>
    <w:p w14:paraId="6A05D964" w14:textId="77777777" w:rsidR="004B4E35" w:rsidRPr="00405303" w:rsidRDefault="004B4E35" w:rsidP="00C15251">
      <w:pPr>
        <w:pStyle w:val="a3"/>
        <w:jc w:val="both"/>
        <w:rPr>
          <w:bCs/>
          <w:color w:val="002060"/>
          <w:spacing w:val="0"/>
          <w:kern w:val="0"/>
          <w:position w:val="0"/>
          <w:sz w:val="16"/>
          <w:szCs w:val="16"/>
        </w:rPr>
      </w:pPr>
    </w:p>
    <w:p w14:paraId="61CC80AE" w14:textId="6B98A6F6" w:rsidR="00D866D7" w:rsidRPr="00405303" w:rsidRDefault="00D866D7" w:rsidP="00C15251">
      <w:pPr>
        <w:jc w:val="both"/>
        <w:rPr>
          <w:bCs/>
          <w:color w:val="002060"/>
          <w:sz w:val="16"/>
          <w:szCs w:val="16"/>
        </w:rPr>
      </w:pPr>
      <w:r w:rsidRPr="00405303">
        <w:rPr>
          <w:bCs/>
          <w:color w:val="002060"/>
          <w:sz w:val="16"/>
          <w:szCs w:val="16"/>
          <w:lang w:bidi="en-US"/>
        </w:rPr>
        <w:lastRenderedPageBreak/>
        <w:t>17 (30) августа 1915 г. царь утвердил закон об учреждении Особого совещания для обсуждения и согласования мер государственной обороны под председательством военного министра генерала Поливанова. Конференция создала Особый совет обороны, который сформировал Центральный военно-промышленный комитет для управления военными поставками. Всероссийский союз земств и городских советов учредил «ЗЕМГОР» для удовлетворения нужд мирных жителей и беженцев (23525).</w:t>
      </w:r>
    </w:p>
    <w:p w14:paraId="7D718028" w14:textId="77777777" w:rsidR="00D866D7" w:rsidRPr="00405303" w:rsidRDefault="00D866D7" w:rsidP="00C15251">
      <w:pPr>
        <w:jc w:val="both"/>
        <w:rPr>
          <w:bCs/>
          <w:color w:val="002060"/>
          <w:sz w:val="16"/>
          <w:szCs w:val="16"/>
          <w:lang w:bidi="en-US"/>
        </w:rPr>
      </w:pPr>
    </w:p>
    <w:p w14:paraId="2E98DD5B" w14:textId="1C80C40A" w:rsidR="004B4E35" w:rsidRPr="00405303" w:rsidRDefault="009E6F82" w:rsidP="00C15251">
      <w:pPr>
        <w:jc w:val="both"/>
        <w:rPr>
          <w:bCs/>
          <w:color w:val="002060"/>
          <w:sz w:val="16"/>
          <w:szCs w:val="16"/>
        </w:rPr>
      </w:pPr>
      <w:r w:rsidRPr="00405303">
        <w:rPr>
          <w:bCs/>
          <w:color w:val="002060"/>
          <w:sz w:val="16"/>
          <w:szCs w:val="16"/>
        </w:rPr>
        <w:t xml:space="preserve">17 </w:t>
      </w:r>
      <w:r w:rsidR="007A2E85" w:rsidRPr="00405303">
        <w:rPr>
          <w:bCs/>
          <w:color w:val="002060"/>
          <w:sz w:val="16"/>
          <w:szCs w:val="16"/>
        </w:rPr>
        <w:t xml:space="preserve">(30) </w:t>
      </w:r>
      <w:r w:rsidRPr="00405303">
        <w:rPr>
          <w:bCs/>
          <w:color w:val="002060"/>
          <w:sz w:val="16"/>
          <w:szCs w:val="16"/>
        </w:rPr>
        <w:t>августа 1915 г.</w:t>
      </w:r>
      <w:r w:rsidR="00331D4D" w:rsidRPr="00405303">
        <w:rPr>
          <w:bCs/>
          <w:color w:val="002060"/>
          <w:sz w:val="16"/>
          <w:szCs w:val="16"/>
        </w:rPr>
        <w:t>, возникшее в мае 1915 г., Особое совещание было окончательно утверждено законом</w:t>
      </w:r>
      <w:r w:rsidRPr="00405303">
        <w:rPr>
          <w:bCs/>
          <w:color w:val="002060"/>
          <w:sz w:val="16"/>
          <w:szCs w:val="16"/>
        </w:rPr>
        <w:t>, по которому являлось высшим государственным установлением, призванным осуществлять мобилизацию российской промышленности, организовывать ее работу для обеспечения и улучшения снабжения армии не только выдачей соответствующих заказов, но и созданием, налаживанием новых производств на фабрично-заводских предприятиях Российской империи. Совещание имело чрезвычайно развитую структуру как в центре (около 20 постоянных и временных комиссий и комитетов), так и на местах (12 районных заводских совещаний, десятки фронтовых и районных эвакуационных подкомиссий). В статье широко используются документы из фондов Особого совещания по обороне государства [Материалы делопроизводственного комплекса Особого совещания находятся в нескольких архивохранилищах: РГВИА. Ф. 369 (Особое совещание по обороне); РГИА; Ф. 31 (Комитет по делам металлургической промышленности), Ф.1524 (Валютная комиссия); Ф. 1525 (Главное управление по заграничному снабжению); Архив ВИМАИВС и ВС. Ф. 13 (Особое совещание по обороне). Источниковедческое исследование комплекса и описание его фондов см.: Воронкова С.В. Материалы Особого совещания по обороне государства. М., 1975], а также ряда структур Военного министерства [РГВИА. Ф. 802 (Главное военно-техническое управление); Ф. 493 (Управление военно-воздушного флота); Ф. 814 (Делопроизводство ГВТУ по сооружению казенного завода военных самоходов); Ф. 815 (Делопроизводство ГВТУ по сооружению частных автомобильных заводов)].</w:t>
      </w:r>
    </w:p>
    <w:p w14:paraId="3970C66C" w14:textId="77777777" w:rsidR="004B4E35" w:rsidRPr="00405303" w:rsidRDefault="009E6F82" w:rsidP="00C15251">
      <w:pPr>
        <w:jc w:val="both"/>
        <w:rPr>
          <w:bCs/>
          <w:color w:val="002060"/>
          <w:sz w:val="16"/>
          <w:szCs w:val="16"/>
        </w:rPr>
      </w:pPr>
      <w:r w:rsidRPr="00405303">
        <w:rPr>
          <w:bCs/>
          <w:color w:val="002060"/>
          <w:sz w:val="16"/>
          <w:szCs w:val="16"/>
        </w:rPr>
        <w:t>Война, начавшаяся в августе 1914 г., очень скоро проявилась как машинная война, которую успешно могли вести лишь страны, обладавшие достаточным экономическим потенциалом, имевшие развитую промышленность, особенно такие ее отрасли как топливная, металлургическая, машиностроительная и химическая. Россия очень скоро после начала войны оказалась в тисках острейшего хозяйственного кризиса, прежде всего, транспорта, нехватки топлива и металла, продовольствия и квалифицированных рабочих кадров, что вызвало серьезные трудности в вооружении и общем материально-техническом обеспечении армии, в условиях жизни населения страны. Это повлекло активное обсуждение в обществе и государственных структурах не только проблем преодоления кризиса вооружения русских войск, но и более общих вопросов развития отечественной индустрии [См. об этом: Воронкова С.В. Поиск путей модернизации экономики России в начале ХХ в. // Модернизация в Центральной и Восточной Европе. М., 2000].</w:t>
      </w:r>
    </w:p>
    <w:p w14:paraId="3678F952" w14:textId="77777777" w:rsidR="004B4E35" w:rsidRPr="00405303" w:rsidRDefault="009E6F82" w:rsidP="00C15251">
      <w:pPr>
        <w:jc w:val="both"/>
        <w:rPr>
          <w:bCs/>
          <w:color w:val="002060"/>
          <w:sz w:val="16"/>
          <w:szCs w:val="16"/>
        </w:rPr>
      </w:pPr>
      <w:r w:rsidRPr="00405303">
        <w:rPr>
          <w:bCs/>
          <w:color w:val="002060"/>
          <w:sz w:val="16"/>
          <w:szCs w:val="16"/>
        </w:rPr>
        <w:t>Война обнажила масштабность подчиненности российской промышленности индустрии других государств. Многие предприятия не могли осуществлять успешный выпуск продукции, не имея заграничного или сырья, или полуфабрикатов, или отдельных частей и деталей, агрегатов к ним, особенно при выпуске сложной машиностроительной продукции. При чем это было характерно, как для традиционных военных производств (снарядное, взрывчатых веществ), так и новейших (авиационное). Именно под флагом промышленной независимости шло выдвижение различных программ индустриального развития страны, естественно предусматривающих и развитие заводского строительства. Царское правительство, представительные организации русской буржуазии, стремясь выйти из кризиса вооружения армии, мобилизуя промышленные ресурсы страны на достижение военных успехов, пытались обеспечить и стабильность послевоенной экономики, что могло быть достигнуто только при условии развития промышленности.</w:t>
      </w:r>
    </w:p>
    <w:p w14:paraId="5A01A1B1" w14:textId="77777777" w:rsidR="004B4E35" w:rsidRPr="00405303" w:rsidRDefault="009E6F82" w:rsidP="00C15251">
      <w:pPr>
        <w:jc w:val="both"/>
        <w:rPr>
          <w:bCs/>
          <w:color w:val="002060"/>
          <w:sz w:val="16"/>
          <w:szCs w:val="16"/>
        </w:rPr>
      </w:pPr>
      <w:r w:rsidRPr="00405303">
        <w:rPr>
          <w:bCs/>
          <w:color w:val="002060"/>
          <w:sz w:val="16"/>
          <w:szCs w:val="16"/>
        </w:rPr>
        <w:t>В истории заводского строительства в годы Первой мировой войны можно условно выделить три основных периода. Первый период охватывает время с начала войны и до весны 1915 г. Для него характерны незначительная выдача оборонных заказов и проявление, в основном, частной инициативы со стороны небольшой группы крупных предприятий в переоборудовании заводов для производства вооружений и боеприпасов, которые и до войны получали казенные заказы. Второй период начинается с весны 1915 г., когда полномасштабно проявился кризис вооружения русской армии, и государственная власть вынуждена была принимать энергичные меры для его ликвидации. В ходе решения этой проблемы предполагалось широкое привлечение частной промышленности к выпуску предметов вооружения и общего материально-технического обеспечения фронта. Основным методом выполнения этой задачи стала широкая выдача казенных заказов, которая, как правило, предполагала строительство новых заводов, реконструкцию предприятий и даже их отраслевую переориентацию. Этот период продолжался приблизительно до начала 1916 г., когда стала очевидной необходимость принятия более радикальных мер для развития отечественной промышленности. Третий период (с начала 1916 г. и до осени 1917 г.) характеризуется выработкой определенных «программ» заводского строительства, которые касались сооружения не отдельных предприятий, а определенных групп заведений соответствующей производственной направленности (11863).</w:t>
      </w:r>
    </w:p>
    <w:p w14:paraId="0BA4FA84" w14:textId="77777777" w:rsidR="004B4E35" w:rsidRPr="00405303" w:rsidRDefault="004B4E35" w:rsidP="00C15251">
      <w:pPr>
        <w:jc w:val="both"/>
        <w:rPr>
          <w:bCs/>
          <w:color w:val="002060"/>
          <w:sz w:val="16"/>
          <w:szCs w:val="16"/>
        </w:rPr>
      </w:pPr>
    </w:p>
    <w:p w14:paraId="532B4D0E" w14:textId="49CAB1D6" w:rsidR="00964D50" w:rsidRPr="00405303" w:rsidRDefault="00964D50" w:rsidP="00C15251">
      <w:pPr>
        <w:jc w:val="both"/>
        <w:rPr>
          <w:bCs/>
          <w:color w:val="002060"/>
          <w:sz w:val="16"/>
          <w:szCs w:val="16"/>
        </w:rPr>
      </w:pPr>
      <w:r w:rsidRPr="00405303">
        <w:rPr>
          <w:bCs/>
          <w:color w:val="002060"/>
          <w:sz w:val="16"/>
          <w:szCs w:val="16"/>
        </w:rPr>
        <w:t xml:space="preserve">17 </w:t>
      </w:r>
      <w:r w:rsidR="00331D4D" w:rsidRPr="00405303">
        <w:rPr>
          <w:bCs/>
          <w:color w:val="002060"/>
          <w:sz w:val="16"/>
          <w:szCs w:val="16"/>
        </w:rPr>
        <w:t xml:space="preserve">(30) </w:t>
      </w:r>
      <w:r w:rsidRPr="00405303">
        <w:rPr>
          <w:bCs/>
          <w:color w:val="002060"/>
          <w:sz w:val="16"/>
          <w:szCs w:val="16"/>
        </w:rPr>
        <w:t>августа 1915 г. вышел закон, в соответствии с которым была сформирована система военно-экономической мобилизации и государственного регулирования хозяйства в лице Особого совещания по обороне государства и его органов, определяющее влияние на все стороны жизнедеятельности оборонных предприятий (18297).</w:t>
      </w:r>
    </w:p>
    <w:p w14:paraId="3F37E748" w14:textId="77777777" w:rsidR="00964D50" w:rsidRPr="00405303" w:rsidRDefault="00964D50" w:rsidP="00C15251">
      <w:pPr>
        <w:jc w:val="both"/>
        <w:rPr>
          <w:bCs/>
          <w:color w:val="002060"/>
          <w:sz w:val="16"/>
          <w:szCs w:val="16"/>
        </w:rPr>
      </w:pPr>
    </w:p>
    <w:p w14:paraId="5EB07CC9" w14:textId="1BBAF1F3" w:rsidR="00964D50" w:rsidRPr="00405303" w:rsidRDefault="00964D50" w:rsidP="00C15251">
      <w:pPr>
        <w:pStyle w:val="ae"/>
        <w:spacing w:before="0" w:beforeAutospacing="0" w:after="0" w:afterAutospacing="0"/>
        <w:jc w:val="both"/>
        <w:rPr>
          <w:bCs/>
          <w:color w:val="002060"/>
          <w:sz w:val="16"/>
          <w:szCs w:val="16"/>
        </w:rPr>
      </w:pPr>
      <w:r w:rsidRPr="00405303">
        <w:rPr>
          <w:bCs/>
          <w:color w:val="002060"/>
          <w:sz w:val="16"/>
          <w:szCs w:val="16"/>
        </w:rPr>
        <w:t xml:space="preserve">17 </w:t>
      </w:r>
      <w:r w:rsidR="00331D4D" w:rsidRPr="00405303">
        <w:rPr>
          <w:bCs/>
          <w:color w:val="002060"/>
          <w:sz w:val="16"/>
          <w:szCs w:val="16"/>
        </w:rPr>
        <w:t xml:space="preserve">(30) </w:t>
      </w:r>
      <w:r w:rsidRPr="00405303">
        <w:rPr>
          <w:bCs/>
          <w:color w:val="002060"/>
          <w:sz w:val="16"/>
          <w:szCs w:val="16"/>
        </w:rPr>
        <w:t>августа 1915 года Государственный совет принял законопроект «Об особых совещаниях», поступивший из Государственной думы, и в тот же день он был утвержден для опубликования.</w:t>
      </w:r>
    </w:p>
    <w:p w14:paraId="33B01DBC" w14:textId="77777777" w:rsidR="00964D50" w:rsidRPr="00405303" w:rsidRDefault="00964D50" w:rsidP="00C15251">
      <w:pPr>
        <w:pStyle w:val="ae"/>
        <w:spacing w:before="0" w:beforeAutospacing="0" w:after="0" w:afterAutospacing="0"/>
        <w:jc w:val="both"/>
        <w:rPr>
          <w:bCs/>
          <w:color w:val="002060"/>
          <w:sz w:val="16"/>
          <w:szCs w:val="16"/>
        </w:rPr>
      </w:pPr>
      <w:r w:rsidRPr="00405303">
        <w:rPr>
          <w:bCs/>
          <w:color w:val="002060"/>
          <w:sz w:val="16"/>
          <w:szCs w:val="16"/>
        </w:rPr>
        <w:t>Особые совещания были созданы: по обороне – при Военном министерстве, по топливу – при Министерстве торговли и промышленности, по перевозкам – при Министерстве путей сообщения, по продовольствию – при Министерстве земледелия. Председателями Особых совещаний стали соответствующие министры.</w:t>
      </w:r>
    </w:p>
    <w:p w14:paraId="067192A9" w14:textId="77777777" w:rsidR="00964D50" w:rsidRPr="00405303" w:rsidRDefault="00964D50" w:rsidP="00C15251">
      <w:pPr>
        <w:pStyle w:val="ae"/>
        <w:spacing w:before="0" w:beforeAutospacing="0" w:after="0" w:afterAutospacing="0"/>
        <w:jc w:val="both"/>
        <w:rPr>
          <w:bCs/>
          <w:color w:val="002060"/>
          <w:sz w:val="16"/>
          <w:szCs w:val="16"/>
        </w:rPr>
      </w:pPr>
      <w:r w:rsidRPr="00405303">
        <w:rPr>
          <w:bCs/>
          <w:color w:val="002060"/>
          <w:sz w:val="16"/>
          <w:szCs w:val="16"/>
        </w:rPr>
        <w:t>Круг подведомственных Особому совещанию по обороне вопросов был довольно широким: 1) высший надзор за деятельностью всех правительственных заводов, арсеналов и мастерских, частных заводов и промышленных предприятий, занимавшихся производством предметов боевого и материального снабжения армии и флота; 2) содействие образованию новых предприятий, переустройству, расширению и правильному ходу деятельности предприятий, которые поставляли армии вооружение и прочее имущество; 3) распределение заказов на вооружение между русскими и иностранными предприятиями; 4) контроль за исполнением заказов военного ведомства.</w:t>
      </w:r>
    </w:p>
    <w:p w14:paraId="4E141D4F" w14:textId="3AAF1961" w:rsidR="00964D50" w:rsidRPr="00405303" w:rsidRDefault="00964D50" w:rsidP="00C15251">
      <w:pPr>
        <w:pStyle w:val="ae"/>
        <w:spacing w:before="0" w:beforeAutospacing="0" w:after="0" w:afterAutospacing="0"/>
        <w:jc w:val="both"/>
        <w:rPr>
          <w:bCs/>
          <w:color w:val="002060"/>
          <w:sz w:val="16"/>
          <w:szCs w:val="16"/>
        </w:rPr>
      </w:pPr>
      <w:r w:rsidRPr="00405303">
        <w:rPr>
          <w:bCs/>
          <w:color w:val="002060"/>
          <w:sz w:val="16"/>
          <w:szCs w:val="16"/>
        </w:rPr>
        <w:t>Особое совещание по обороне играло роль центрального координирующего органа, осуществляющего контроль над всей хозяйственной жизнью страны. Согласно ст. 14 Положения все распоряжения председателя совещания, которые входили в его компетенцию, сообщались военным и гражданским властям для безотлагательного исполнения. Законом 17 августа 1915</w:t>
      </w:r>
      <w:r w:rsidR="00DB4D64" w:rsidRPr="00405303">
        <w:rPr>
          <w:bCs/>
          <w:color w:val="002060"/>
          <w:sz w:val="16"/>
          <w:szCs w:val="16"/>
        </w:rPr>
        <w:t xml:space="preserve"> </w:t>
      </w:r>
      <w:r w:rsidRPr="00405303">
        <w:rPr>
          <w:bCs/>
          <w:color w:val="002060"/>
          <w:sz w:val="16"/>
          <w:szCs w:val="16"/>
        </w:rPr>
        <w:t>г. председателю Особого совещания по обороне предоставлялось право собственной властью приостанавливать решения всех Особых совещаний, о которых его обязаны были подробно извещать, направляя при этом протоколы заседаний.</w:t>
      </w:r>
    </w:p>
    <w:p w14:paraId="74B53736" w14:textId="04372DDB" w:rsidR="00964D50" w:rsidRPr="00405303" w:rsidRDefault="00964D50" w:rsidP="00C15251">
      <w:pPr>
        <w:pStyle w:val="ae"/>
        <w:spacing w:before="0" w:beforeAutospacing="0" w:after="0" w:afterAutospacing="0"/>
        <w:jc w:val="both"/>
        <w:rPr>
          <w:bCs/>
          <w:color w:val="002060"/>
          <w:sz w:val="16"/>
          <w:szCs w:val="16"/>
        </w:rPr>
      </w:pPr>
      <w:r w:rsidRPr="00405303">
        <w:rPr>
          <w:bCs/>
          <w:color w:val="002060"/>
          <w:sz w:val="16"/>
          <w:szCs w:val="16"/>
        </w:rPr>
        <w:t>Круг вопросов особого совещания по обороне был необычайно широк, начиная с вопросов распределения военных заказов и кончая контролем производственной деятельности предприятий, выполнявших эти заказы. Совещание имело право требовать от всех предприятий принятия военных заказов и представления ими всяких сведений, характеризующих их деятельность; производить осмотр предприятий и требовать предъявления торговых книг и документов, удостоверяющих количество наличного оборудования, материалов и изделий; назначать и смещать в случае надобности членов правлений, директоров и управляющих как казенных, так и частных заводов и т.</w:t>
      </w:r>
      <w:r w:rsidR="00DB4D64" w:rsidRPr="00405303">
        <w:rPr>
          <w:bCs/>
          <w:color w:val="002060"/>
          <w:sz w:val="16"/>
          <w:szCs w:val="16"/>
        </w:rPr>
        <w:t xml:space="preserve"> </w:t>
      </w:r>
      <w:r w:rsidRPr="00405303">
        <w:rPr>
          <w:bCs/>
          <w:color w:val="002060"/>
          <w:sz w:val="16"/>
          <w:szCs w:val="16"/>
        </w:rPr>
        <w:t>д.</w:t>
      </w:r>
    </w:p>
    <w:p w14:paraId="671418D0" w14:textId="77777777" w:rsidR="00964D50" w:rsidRPr="00405303" w:rsidRDefault="00964D50" w:rsidP="00C15251">
      <w:pPr>
        <w:pStyle w:val="ae"/>
        <w:spacing w:before="0" w:beforeAutospacing="0" w:after="0" w:afterAutospacing="0"/>
        <w:jc w:val="both"/>
        <w:rPr>
          <w:bCs/>
          <w:color w:val="002060"/>
          <w:sz w:val="16"/>
          <w:szCs w:val="16"/>
        </w:rPr>
      </w:pPr>
      <w:r w:rsidRPr="00405303">
        <w:rPr>
          <w:bCs/>
          <w:color w:val="002060"/>
          <w:sz w:val="16"/>
          <w:szCs w:val="16"/>
        </w:rPr>
        <w:t>Председателю Особого совещания были даны широкие права в деле руководства производством предметов вооружения и организацией всего хозяйства России. Он мог отстранять от руководства предприятиями (казенными и частными) директоров, управляющих, полностью или частично изменять состав правлений, советов, наблюдательных комитетов; принимать постановления об изменении характера и объема производства предприятий; выдавать авансы, пособия и ссуды от казны; закрывать предприятия, не имеющие военного значения; устанавливать размер заработной платы (15736).</w:t>
      </w:r>
    </w:p>
    <w:p w14:paraId="0908C9B2" w14:textId="77777777" w:rsidR="00964D50" w:rsidRPr="00405303" w:rsidRDefault="00964D50" w:rsidP="00C15251">
      <w:pPr>
        <w:pStyle w:val="ae"/>
        <w:spacing w:before="0" w:beforeAutospacing="0" w:after="0" w:afterAutospacing="0"/>
        <w:jc w:val="both"/>
        <w:rPr>
          <w:bCs/>
          <w:color w:val="002060"/>
          <w:sz w:val="16"/>
          <w:szCs w:val="16"/>
        </w:rPr>
      </w:pPr>
    </w:p>
    <w:p w14:paraId="312E54E2"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Армия:</w:t>
      </w:r>
    </w:p>
    <w:p w14:paraId="597B23D0" w14:textId="77777777" w:rsidR="004B4E35" w:rsidRPr="00405303" w:rsidRDefault="004B4E35" w:rsidP="00C15251">
      <w:pPr>
        <w:shd w:val="clear" w:color="auto" w:fill="FFFFFF"/>
        <w:jc w:val="both"/>
        <w:rPr>
          <w:bCs/>
          <w:i/>
          <w:color w:val="002060"/>
          <w:sz w:val="16"/>
          <w:szCs w:val="16"/>
        </w:rPr>
      </w:pPr>
    </w:p>
    <w:p w14:paraId="6419C7DD" w14:textId="7840DB25" w:rsidR="006F3862" w:rsidRPr="00405303" w:rsidRDefault="006F3862" w:rsidP="00C15251">
      <w:pPr>
        <w:jc w:val="both"/>
        <w:rPr>
          <w:bCs/>
          <w:color w:val="002060"/>
          <w:sz w:val="16"/>
          <w:szCs w:val="16"/>
        </w:rPr>
      </w:pPr>
      <w:r w:rsidRPr="00405303">
        <w:rPr>
          <w:bCs/>
          <w:color w:val="002060"/>
          <w:sz w:val="16"/>
          <w:szCs w:val="16"/>
        </w:rPr>
        <w:t xml:space="preserve">17 </w:t>
      </w:r>
      <w:r w:rsidR="00331D4D" w:rsidRPr="00405303">
        <w:rPr>
          <w:bCs/>
          <w:color w:val="002060"/>
          <w:sz w:val="16"/>
          <w:szCs w:val="16"/>
        </w:rPr>
        <w:t xml:space="preserve">(30) </w:t>
      </w:r>
      <w:r w:rsidRPr="00405303">
        <w:rPr>
          <w:bCs/>
          <w:color w:val="002060"/>
          <w:sz w:val="16"/>
          <w:szCs w:val="16"/>
        </w:rPr>
        <w:t>августа в 1915 году русское командование разделяет Северно-Западный фронт на два: Северный и Западный фронты (14986).</w:t>
      </w:r>
    </w:p>
    <w:p w14:paraId="4C15594D" w14:textId="77777777" w:rsidR="006F3862" w:rsidRPr="00405303" w:rsidRDefault="006F3862" w:rsidP="00C15251">
      <w:pPr>
        <w:jc w:val="both"/>
        <w:rPr>
          <w:bCs/>
          <w:color w:val="002060"/>
          <w:sz w:val="16"/>
          <w:szCs w:val="16"/>
        </w:rPr>
      </w:pPr>
    </w:p>
    <w:p w14:paraId="6A0FCE04" w14:textId="6F8A6392" w:rsidR="006F3862" w:rsidRPr="00405303" w:rsidRDefault="006F3862" w:rsidP="00C15251">
      <w:pPr>
        <w:jc w:val="both"/>
        <w:rPr>
          <w:bCs/>
          <w:color w:val="002060"/>
          <w:sz w:val="16"/>
          <w:szCs w:val="16"/>
        </w:rPr>
      </w:pPr>
      <w:r w:rsidRPr="00405303">
        <w:rPr>
          <w:bCs/>
          <w:color w:val="002060"/>
          <w:sz w:val="16"/>
          <w:szCs w:val="16"/>
        </w:rPr>
        <w:t xml:space="preserve">17 </w:t>
      </w:r>
      <w:r w:rsidR="00331D4D" w:rsidRPr="00405303">
        <w:rPr>
          <w:bCs/>
          <w:color w:val="002060"/>
          <w:sz w:val="16"/>
          <w:szCs w:val="16"/>
        </w:rPr>
        <w:t xml:space="preserve">(30) </w:t>
      </w:r>
      <w:r w:rsidRPr="00405303">
        <w:rPr>
          <w:bCs/>
          <w:color w:val="002060"/>
          <w:sz w:val="16"/>
          <w:szCs w:val="16"/>
        </w:rPr>
        <w:t>августа в 1915 году немецкие войска захватыватили Ковно (ныне Каунас) (14986).</w:t>
      </w:r>
    </w:p>
    <w:p w14:paraId="7B5F50A2" w14:textId="77777777" w:rsidR="006F3862" w:rsidRPr="00405303" w:rsidRDefault="006F3862" w:rsidP="00C15251">
      <w:pPr>
        <w:jc w:val="both"/>
        <w:rPr>
          <w:bCs/>
          <w:color w:val="002060"/>
          <w:sz w:val="16"/>
          <w:szCs w:val="16"/>
        </w:rPr>
      </w:pPr>
    </w:p>
    <w:p w14:paraId="12A5473F" w14:textId="642204CA" w:rsidR="004B4E35" w:rsidRPr="00405303" w:rsidRDefault="009E6F82" w:rsidP="00C15251">
      <w:pPr>
        <w:jc w:val="both"/>
        <w:rPr>
          <w:bCs/>
          <w:color w:val="002060"/>
          <w:sz w:val="16"/>
          <w:szCs w:val="16"/>
        </w:rPr>
      </w:pPr>
      <w:r w:rsidRPr="00405303">
        <w:rPr>
          <w:bCs/>
          <w:color w:val="002060"/>
          <w:sz w:val="16"/>
          <w:szCs w:val="16"/>
        </w:rPr>
        <w:t>17 (3</w:t>
      </w:r>
      <w:r w:rsidR="00331D4D" w:rsidRPr="00405303">
        <w:rPr>
          <w:bCs/>
          <w:color w:val="002060"/>
          <w:sz w:val="16"/>
          <w:szCs w:val="16"/>
        </w:rPr>
        <w:t>0</w:t>
      </w:r>
      <w:r w:rsidRPr="00405303">
        <w:rPr>
          <w:bCs/>
          <w:color w:val="002060"/>
          <w:sz w:val="16"/>
          <w:szCs w:val="16"/>
        </w:rPr>
        <w:t xml:space="preserve">) августа) </w:t>
      </w:r>
      <w:r w:rsidR="00331D4D" w:rsidRPr="00405303">
        <w:rPr>
          <w:bCs/>
          <w:color w:val="002060"/>
          <w:sz w:val="16"/>
          <w:szCs w:val="16"/>
        </w:rPr>
        <w:t>п</w:t>
      </w:r>
      <w:r w:rsidRPr="00405303">
        <w:rPr>
          <w:bCs/>
          <w:color w:val="002060"/>
          <w:sz w:val="16"/>
          <w:szCs w:val="16"/>
        </w:rPr>
        <w:t>роисходят новые перестановки в русском командовании. Верховный главнокомандующий Великий князь Николай Николаевич смещен, Верховным главнокомандующим становится царь Николай II. Генерал Алексеев оставляет пост командующего Северо-Западным фронтом и становится Начальником штаба Веховного главнокомандующего. Северо-Западный фронт разделен на Северный во главе с генералом Рузским и занявший центральное положение Западный во главе с генералом Эвертом (11999).</w:t>
      </w:r>
    </w:p>
    <w:p w14:paraId="69AB010B" w14:textId="77777777" w:rsidR="004B4E35" w:rsidRPr="00405303" w:rsidRDefault="004B4E35" w:rsidP="00C15251">
      <w:pPr>
        <w:jc w:val="both"/>
        <w:rPr>
          <w:bCs/>
          <w:color w:val="002060"/>
          <w:sz w:val="16"/>
          <w:szCs w:val="16"/>
        </w:rPr>
      </w:pPr>
    </w:p>
    <w:p w14:paraId="1AC675C1" w14:textId="7CB32F06" w:rsidR="00BC6508" w:rsidRPr="00405303" w:rsidRDefault="00BC6508" w:rsidP="00BC6508">
      <w:pPr>
        <w:shd w:val="clear" w:color="auto" w:fill="FFFFFF"/>
        <w:jc w:val="both"/>
        <w:rPr>
          <w:bCs/>
          <w:i/>
          <w:color w:val="002060"/>
          <w:sz w:val="16"/>
          <w:szCs w:val="16"/>
        </w:rPr>
      </w:pPr>
      <w:r w:rsidRPr="00405303">
        <w:rPr>
          <w:bCs/>
          <w:i/>
          <w:color w:val="002060"/>
          <w:sz w:val="16"/>
          <w:szCs w:val="16"/>
        </w:rPr>
        <w:t>Авиация:</w:t>
      </w:r>
    </w:p>
    <w:p w14:paraId="4AA03B7D" w14:textId="77777777" w:rsidR="00BC6508" w:rsidRPr="00405303" w:rsidRDefault="00BC6508" w:rsidP="00BC6508">
      <w:pPr>
        <w:shd w:val="clear" w:color="auto" w:fill="FFFFFF"/>
        <w:jc w:val="both"/>
        <w:rPr>
          <w:bCs/>
          <w:i/>
          <w:color w:val="002060"/>
          <w:sz w:val="16"/>
          <w:szCs w:val="16"/>
        </w:rPr>
      </w:pPr>
    </w:p>
    <w:p w14:paraId="5C60B79A" w14:textId="77777777" w:rsidR="00BC6508" w:rsidRPr="00405303" w:rsidRDefault="00BC6508" w:rsidP="00BC6508">
      <w:pPr>
        <w:jc w:val="both"/>
        <w:rPr>
          <w:color w:val="0070C0"/>
          <w:sz w:val="16"/>
          <w:szCs w:val="16"/>
        </w:rPr>
      </w:pPr>
      <w:r w:rsidRPr="00405303">
        <w:rPr>
          <w:color w:val="0070C0"/>
          <w:sz w:val="16"/>
          <w:szCs w:val="16"/>
        </w:rPr>
        <w:t>17 (</w:t>
      </w:r>
      <w:r w:rsidRPr="00405303">
        <w:rPr>
          <w:rStyle w:val="aa"/>
          <w:rFonts w:ascii="Times New Roman" w:hAnsi="Times New Roman"/>
          <w:color w:val="0070C0"/>
          <w:spacing w:val="0"/>
          <w:sz w:val="16"/>
          <w:szCs w:val="16"/>
        </w:rPr>
        <w:t>30) августа 1915 г. возле волостного центра Влодавы (Люблинское воеводство, Польша) наш аэроплан, атакованный в воздухе тремя вражескими «Альбатросами», сбил одного из них и «обратил в бегство два других» (25135).</w:t>
      </w:r>
    </w:p>
    <w:p w14:paraId="05707FCB" w14:textId="77777777" w:rsidR="00BC6508" w:rsidRPr="00405303" w:rsidRDefault="00BC6508" w:rsidP="00BC6508">
      <w:pPr>
        <w:jc w:val="both"/>
        <w:rPr>
          <w:color w:val="0070C0"/>
          <w:sz w:val="16"/>
          <w:szCs w:val="16"/>
        </w:rPr>
      </w:pPr>
    </w:p>
    <w:p w14:paraId="47E330FD" w14:textId="77777777" w:rsidR="00BC6508" w:rsidRPr="00405303" w:rsidRDefault="00BC6508" w:rsidP="00BC6508">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17 (30) августа 1915 г. появившиеся вблизи Вильны два неприятельских разведчика подверглись обстрелу боевыми расчетами 6-й противосамолетной батареи (прапорщика Рудзита), израсходовавших при этом более 90 снарядов и гранат.</w:t>
      </w:r>
    </w:p>
    <w:p w14:paraId="71DB341F" w14:textId="77777777" w:rsidR="00BC6508" w:rsidRPr="00405303" w:rsidRDefault="00BC6508" w:rsidP="00BC6508">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 xml:space="preserve">В последующие дни противник продолжал совершать одиночные и групповые налеты на город, постоянно рискуя быть сбитыми нашей артиллерией (25135). </w:t>
      </w:r>
    </w:p>
    <w:p w14:paraId="016B7DC8" w14:textId="77777777" w:rsidR="00BC6508" w:rsidRPr="00405303" w:rsidRDefault="00BC6508" w:rsidP="00BC6508">
      <w:pPr>
        <w:jc w:val="both"/>
        <w:rPr>
          <w:rStyle w:val="aa"/>
          <w:rFonts w:ascii="Times New Roman" w:hAnsi="Times New Roman"/>
          <w:color w:val="0070C0"/>
          <w:spacing w:val="0"/>
          <w:sz w:val="16"/>
          <w:szCs w:val="16"/>
        </w:rPr>
      </w:pPr>
    </w:p>
    <w:p w14:paraId="088A8EA8" w14:textId="641A0287" w:rsidR="005A78DA" w:rsidRPr="00405303" w:rsidRDefault="005A78DA" w:rsidP="00C15251">
      <w:pPr>
        <w:jc w:val="both"/>
        <w:rPr>
          <w:bCs/>
          <w:color w:val="002060"/>
          <w:sz w:val="16"/>
          <w:szCs w:val="16"/>
        </w:rPr>
      </w:pPr>
      <w:r w:rsidRPr="00405303">
        <w:rPr>
          <w:bCs/>
          <w:color w:val="002060"/>
          <w:sz w:val="16"/>
          <w:szCs w:val="16"/>
        </w:rPr>
        <w:t>17 (30) августа 1915 г., согласно немецкому радио, "Немецкие самолёты атаковали русские морские силы, находившиеся в Рижском заливе и Усть-Двин- ске. Один аэроплан зажёг перед входом в залив неприятельское опорное судно для аэропланов; второму удалось сбросить бомбы но миноносец, третий дважды сбрасывал бомбы на стоявшее в Аренсбургской бухте неприятельское опорное судно .для аэропланов; четвёртый сражался у Цереля с двумя русскими аэропланами и сбросил бомбы на миноносец; пятый бросал бомбы на две погрузившиеся у Виндавы неприятельские подводные лодки с неизвестными пока результатами; шестой сбросил бомбы в верфь для миноносцев на берегу Двины, причинив пожар последней".</w:t>
      </w:r>
    </w:p>
    <w:p w14:paraId="0951F2D0" w14:textId="77777777" w:rsidR="005A78DA" w:rsidRPr="00405303" w:rsidRDefault="005A78DA" w:rsidP="00C15251">
      <w:pPr>
        <w:jc w:val="both"/>
        <w:rPr>
          <w:bCs/>
          <w:color w:val="002060"/>
          <w:sz w:val="16"/>
          <w:szCs w:val="16"/>
        </w:rPr>
      </w:pPr>
    </w:p>
    <w:p w14:paraId="3EAF2D47" w14:textId="2F23CC0D" w:rsidR="005A78DA" w:rsidRPr="00405303" w:rsidRDefault="005A78DA" w:rsidP="00C15251">
      <w:pPr>
        <w:jc w:val="both"/>
        <w:rPr>
          <w:bCs/>
          <w:i/>
          <w:iCs/>
          <w:color w:val="002060"/>
          <w:sz w:val="16"/>
          <w:szCs w:val="16"/>
        </w:rPr>
      </w:pPr>
      <w:r w:rsidRPr="00405303">
        <w:rPr>
          <w:bCs/>
          <w:i/>
          <w:iCs/>
          <w:color w:val="002060"/>
          <w:sz w:val="16"/>
          <w:szCs w:val="16"/>
        </w:rPr>
        <w:t>За рубежом:</w:t>
      </w:r>
    </w:p>
    <w:p w14:paraId="0A8F3E1A" w14:textId="77777777" w:rsidR="005A78DA" w:rsidRPr="00405303" w:rsidRDefault="005A78DA" w:rsidP="00C15251">
      <w:pPr>
        <w:jc w:val="both"/>
        <w:rPr>
          <w:bCs/>
          <w:i/>
          <w:iCs/>
          <w:color w:val="002060"/>
          <w:sz w:val="16"/>
          <w:szCs w:val="16"/>
        </w:rPr>
      </w:pPr>
    </w:p>
    <w:p w14:paraId="4C09567F" w14:textId="6168BFB4" w:rsidR="00331D4D" w:rsidRPr="00405303" w:rsidRDefault="00331D4D" w:rsidP="00C15251">
      <w:pPr>
        <w:jc w:val="both"/>
        <w:rPr>
          <w:bCs/>
          <w:color w:val="002060"/>
          <w:sz w:val="16"/>
          <w:szCs w:val="16"/>
        </w:rPr>
      </w:pPr>
      <w:r w:rsidRPr="00405303">
        <w:rPr>
          <w:bCs/>
          <w:color w:val="002060"/>
          <w:sz w:val="16"/>
          <w:szCs w:val="16"/>
        </w:rPr>
        <w:t>17 (30) августа в 1915 году принимая во внимание протесты со стороны США, германское командование приказывает своим командирам подводных лодок и надводных боевых кораблей предупреждать пассажирские корабли противника о нападении (14754).</w:t>
      </w:r>
    </w:p>
    <w:p w14:paraId="1D481616" w14:textId="77777777" w:rsidR="00331D4D" w:rsidRPr="00405303" w:rsidRDefault="00331D4D" w:rsidP="00C15251">
      <w:pPr>
        <w:jc w:val="both"/>
        <w:rPr>
          <w:bCs/>
          <w:color w:val="002060"/>
          <w:sz w:val="16"/>
          <w:szCs w:val="16"/>
        </w:rPr>
      </w:pPr>
    </w:p>
    <w:p w14:paraId="0A83B998" w14:textId="77777777" w:rsidR="00944891" w:rsidRPr="00405303" w:rsidRDefault="00944891" w:rsidP="00C15251">
      <w:pPr>
        <w:jc w:val="both"/>
        <w:rPr>
          <w:bCs/>
          <w:i/>
          <w:color w:val="002060"/>
          <w:sz w:val="16"/>
          <w:szCs w:val="16"/>
        </w:rPr>
      </w:pPr>
      <w:r w:rsidRPr="00405303">
        <w:rPr>
          <w:bCs/>
          <w:i/>
          <w:color w:val="002060"/>
          <w:sz w:val="16"/>
          <w:szCs w:val="16"/>
        </w:rPr>
        <w:t>Армия:</w:t>
      </w:r>
    </w:p>
    <w:p w14:paraId="7A73B3F7" w14:textId="77777777" w:rsidR="00944891" w:rsidRPr="00405303" w:rsidRDefault="00944891" w:rsidP="00C15251">
      <w:pPr>
        <w:jc w:val="both"/>
        <w:rPr>
          <w:bCs/>
          <w:i/>
          <w:color w:val="002060"/>
          <w:sz w:val="16"/>
          <w:szCs w:val="16"/>
        </w:rPr>
      </w:pPr>
    </w:p>
    <w:p w14:paraId="43CBF577" w14:textId="77777777" w:rsidR="00944891" w:rsidRPr="00405303" w:rsidRDefault="00944891" w:rsidP="00C15251">
      <w:pPr>
        <w:jc w:val="both"/>
        <w:rPr>
          <w:bCs/>
          <w:color w:val="002060"/>
          <w:sz w:val="16"/>
          <w:szCs w:val="16"/>
        </w:rPr>
      </w:pPr>
      <w:r w:rsidRPr="00405303">
        <w:rPr>
          <w:bCs/>
          <w:color w:val="002060"/>
          <w:sz w:val="16"/>
          <w:szCs w:val="16"/>
        </w:rPr>
        <w:t>18 (31) августа в 1915 году в Рижском заливе немецкий крейсер "Мольтке" торпедируется английской подлодкой (14987).</w:t>
      </w:r>
    </w:p>
    <w:p w14:paraId="0294B9AA" w14:textId="77777777" w:rsidR="00944891" w:rsidRPr="00405303" w:rsidRDefault="00944891" w:rsidP="00C15251">
      <w:pPr>
        <w:jc w:val="both"/>
        <w:rPr>
          <w:bCs/>
          <w:color w:val="002060"/>
          <w:sz w:val="16"/>
          <w:szCs w:val="16"/>
        </w:rPr>
      </w:pPr>
    </w:p>
    <w:p w14:paraId="1EA363A9" w14:textId="77777777" w:rsidR="00944891" w:rsidRPr="00405303" w:rsidRDefault="00944891" w:rsidP="00C15251">
      <w:pPr>
        <w:jc w:val="both"/>
        <w:rPr>
          <w:bCs/>
          <w:color w:val="002060"/>
          <w:sz w:val="16"/>
          <w:szCs w:val="16"/>
        </w:rPr>
      </w:pPr>
      <w:r w:rsidRPr="00405303">
        <w:rPr>
          <w:bCs/>
          <w:color w:val="002060"/>
          <w:sz w:val="16"/>
          <w:szCs w:val="16"/>
        </w:rPr>
        <w:t xml:space="preserve">18 (31) августа в 1915 году экипаж немецкого бомбардировщика </w:t>
      </w:r>
      <w:hyperlink r:id="rId57" w:tgtFrame="_blank" w:history="1">
        <w:r w:rsidRPr="00405303">
          <w:rPr>
            <w:bCs/>
            <w:color w:val="002060"/>
            <w:sz w:val="16"/>
            <w:szCs w:val="16"/>
          </w:rPr>
          <w:t xml:space="preserve">«VGO.I» </w:t>
        </w:r>
      </w:hyperlink>
      <w:r w:rsidRPr="00405303">
        <w:rPr>
          <w:bCs/>
          <w:color w:val="002060"/>
          <w:sz w:val="16"/>
          <w:szCs w:val="16"/>
        </w:rPr>
        <w:t>впервые "познакомился" с российскими зенитчиками. При налете на военный лагерь в Кемери самолет получил три шрапнельных попадания в крылья, но пилоты сумели привести поврежденную машину на аэродром. Так, впервые проявилась высокая боевая живучесть "ризенов". Через полгода к первым двум добавились еще несколько более совершенных бомбардировщиков "Цеппелин-Штаакен" «R.IV» и «R.V». Они действовали с Вильнюсского аэродрома, совершая налеты на военные объекты, железнодорожные узлы и базы российского флота в Рижском заливе (14987).</w:t>
      </w:r>
    </w:p>
    <w:p w14:paraId="7D330703" w14:textId="77777777" w:rsidR="00944891" w:rsidRPr="00405303" w:rsidRDefault="00944891" w:rsidP="00C15251">
      <w:pPr>
        <w:jc w:val="both"/>
        <w:rPr>
          <w:bCs/>
          <w:color w:val="002060"/>
          <w:sz w:val="16"/>
          <w:szCs w:val="16"/>
        </w:rPr>
      </w:pPr>
    </w:p>
    <w:p w14:paraId="37477886" w14:textId="24F8B9BF" w:rsidR="00D866D7" w:rsidRPr="00405303" w:rsidRDefault="00D866D7" w:rsidP="00C15251">
      <w:pPr>
        <w:jc w:val="both"/>
        <w:rPr>
          <w:bCs/>
          <w:color w:val="002060"/>
          <w:sz w:val="16"/>
          <w:szCs w:val="16"/>
        </w:rPr>
      </w:pPr>
      <w:r w:rsidRPr="00405303">
        <w:rPr>
          <w:bCs/>
          <w:color w:val="002060"/>
          <w:sz w:val="16"/>
          <w:szCs w:val="16"/>
          <w:lang w:bidi="en-US"/>
        </w:rPr>
        <w:t xml:space="preserve">18 (31) августа 1915 г. царь Николай </w:t>
      </w:r>
      <w:r w:rsidRPr="00405303">
        <w:rPr>
          <w:bCs/>
          <w:color w:val="002060"/>
          <w:sz w:val="16"/>
          <w:szCs w:val="16"/>
          <w:lang w:val="en-US" w:bidi="en-US"/>
        </w:rPr>
        <w:t>II</w:t>
      </w:r>
      <w:r w:rsidRPr="00405303">
        <w:rPr>
          <w:bCs/>
          <w:color w:val="002060"/>
          <w:sz w:val="16"/>
          <w:szCs w:val="16"/>
          <w:lang w:bidi="en-US"/>
        </w:rPr>
        <w:t xml:space="preserve"> приказал военному министру генералу Поливанову доставить грамоту великому князю Николаю Николаевичу об освобождении его от командования. 5 сентября в Петрограде был издан императорский указ, в котором объявлялось о решении царя принять на себя верховное командование армиями. Царь прибыл в Ставку в тот же день. Генерал М. В. Алексеев был быстро переведен из командования Северным фронтом в должность начальника штаба к царю. Великий князь Николай Николаевич был отправлен наместником на Кавказ, командуя там армией (23525).</w:t>
      </w:r>
    </w:p>
    <w:p w14:paraId="4BE78D1D" w14:textId="77777777" w:rsidR="00D866D7" w:rsidRPr="00405303" w:rsidRDefault="00D866D7" w:rsidP="00C15251">
      <w:pPr>
        <w:jc w:val="both"/>
        <w:rPr>
          <w:bCs/>
          <w:color w:val="002060"/>
          <w:sz w:val="16"/>
          <w:szCs w:val="16"/>
          <w:lang w:bidi="en-US"/>
        </w:rPr>
      </w:pPr>
    </w:p>
    <w:p w14:paraId="0D1D629C" w14:textId="3BBE117C" w:rsidR="00D866D7" w:rsidRPr="00405303" w:rsidRDefault="00D866D7" w:rsidP="00C15251">
      <w:pPr>
        <w:jc w:val="both"/>
        <w:rPr>
          <w:bCs/>
          <w:color w:val="002060"/>
          <w:sz w:val="16"/>
          <w:szCs w:val="16"/>
        </w:rPr>
      </w:pPr>
      <w:r w:rsidRPr="00405303">
        <w:rPr>
          <w:bCs/>
          <w:color w:val="002060"/>
          <w:sz w:val="16"/>
          <w:szCs w:val="16"/>
          <w:lang w:bidi="en-US"/>
        </w:rPr>
        <w:t>18 (31) августа 1915 г. Ставка Ставки организовала Западный фронт (23525).</w:t>
      </w:r>
    </w:p>
    <w:p w14:paraId="3B5CC2AE" w14:textId="77777777" w:rsidR="00D866D7" w:rsidRPr="00405303" w:rsidRDefault="00D866D7" w:rsidP="00C15251">
      <w:pPr>
        <w:jc w:val="both"/>
        <w:rPr>
          <w:bCs/>
          <w:color w:val="002060"/>
          <w:sz w:val="16"/>
          <w:szCs w:val="16"/>
        </w:rPr>
      </w:pPr>
    </w:p>
    <w:p w14:paraId="72E1A5BA" w14:textId="77777777" w:rsidR="00331D4D" w:rsidRPr="00405303" w:rsidRDefault="00331D4D" w:rsidP="00C15251">
      <w:pPr>
        <w:shd w:val="clear" w:color="auto" w:fill="FFFFFF"/>
        <w:jc w:val="both"/>
        <w:rPr>
          <w:bCs/>
          <w:i/>
          <w:color w:val="002060"/>
          <w:sz w:val="16"/>
          <w:szCs w:val="16"/>
        </w:rPr>
      </w:pPr>
      <w:r w:rsidRPr="00405303">
        <w:rPr>
          <w:bCs/>
          <w:i/>
          <w:color w:val="002060"/>
          <w:sz w:val="16"/>
          <w:szCs w:val="16"/>
        </w:rPr>
        <w:t>Авиация и воздухоплавание Франции:</w:t>
      </w:r>
    </w:p>
    <w:p w14:paraId="559FD15F" w14:textId="77777777" w:rsidR="00331D4D" w:rsidRPr="00405303" w:rsidRDefault="00331D4D" w:rsidP="00C15251">
      <w:pPr>
        <w:shd w:val="clear" w:color="auto" w:fill="FFFFFF"/>
        <w:jc w:val="both"/>
        <w:rPr>
          <w:bCs/>
          <w:i/>
          <w:color w:val="002060"/>
          <w:sz w:val="16"/>
          <w:szCs w:val="16"/>
        </w:rPr>
      </w:pPr>
    </w:p>
    <w:p w14:paraId="6F300CA4" w14:textId="77777777" w:rsidR="00331D4D" w:rsidRPr="00405303" w:rsidRDefault="00331D4D" w:rsidP="00C15251">
      <w:pPr>
        <w:jc w:val="both"/>
        <w:rPr>
          <w:bCs/>
          <w:color w:val="002060"/>
          <w:sz w:val="16"/>
          <w:szCs w:val="16"/>
        </w:rPr>
      </w:pPr>
      <w:r w:rsidRPr="00405303">
        <w:rPr>
          <w:bCs/>
          <w:color w:val="002060"/>
          <w:sz w:val="16"/>
          <w:szCs w:val="16"/>
        </w:rPr>
        <w:t>18 (31) августа 1915 в бою сбит и погиб первый французский ас Адольф Пегу. На его счету было шесть побед (20338).</w:t>
      </w:r>
    </w:p>
    <w:p w14:paraId="2161D555" w14:textId="77777777" w:rsidR="00331D4D" w:rsidRPr="00405303" w:rsidRDefault="00331D4D" w:rsidP="00C15251">
      <w:pPr>
        <w:jc w:val="both"/>
        <w:rPr>
          <w:bCs/>
          <w:color w:val="002060"/>
          <w:sz w:val="16"/>
          <w:szCs w:val="16"/>
        </w:rPr>
      </w:pPr>
    </w:p>
    <w:p w14:paraId="554A320D" w14:textId="77777777" w:rsidR="00944891" w:rsidRPr="00405303" w:rsidRDefault="00944891" w:rsidP="00C15251">
      <w:pPr>
        <w:shd w:val="clear" w:color="auto" w:fill="FFFFFF"/>
        <w:jc w:val="both"/>
        <w:rPr>
          <w:bCs/>
          <w:i/>
          <w:color w:val="002060"/>
          <w:sz w:val="16"/>
          <w:szCs w:val="16"/>
        </w:rPr>
      </w:pPr>
      <w:r w:rsidRPr="00405303">
        <w:rPr>
          <w:bCs/>
          <w:i/>
          <w:color w:val="002060"/>
          <w:sz w:val="16"/>
          <w:szCs w:val="16"/>
        </w:rPr>
        <w:t>Морская авиация:</w:t>
      </w:r>
    </w:p>
    <w:p w14:paraId="1A6F0314" w14:textId="77777777" w:rsidR="00944891" w:rsidRPr="00405303" w:rsidRDefault="00944891" w:rsidP="00C15251">
      <w:pPr>
        <w:shd w:val="clear" w:color="auto" w:fill="FFFFFF"/>
        <w:jc w:val="both"/>
        <w:rPr>
          <w:bCs/>
          <w:i/>
          <w:color w:val="002060"/>
          <w:sz w:val="16"/>
          <w:szCs w:val="16"/>
        </w:rPr>
      </w:pPr>
    </w:p>
    <w:p w14:paraId="2FD5CE63" w14:textId="77777777" w:rsidR="00944891" w:rsidRPr="00405303" w:rsidRDefault="00944891" w:rsidP="00C15251">
      <w:pPr>
        <w:jc w:val="both"/>
        <w:rPr>
          <w:bCs/>
          <w:color w:val="002060"/>
          <w:sz w:val="16"/>
          <w:szCs w:val="16"/>
        </w:rPr>
      </w:pPr>
      <w:r w:rsidRPr="00405303">
        <w:rPr>
          <w:bCs/>
          <w:color w:val="002060"/>
          <w:sz w:val="16"/>
          <w:szCs w:val="16"/>
        </w:rPr>
        <w:t>19 августа (1 сентября) 1915 г. была подготовлена справка авиационного инженера службы связи Чёрного моря лейтенанта Н.Л.Михайлова о наличии гидросамолётов: "Имеется боевых самолётов - пять "Кертисс" типа Ф и семь Щетинин М-5. Испытывоются 30 лодок "Кертисса" типа К, одна типа Ф; три Щетинин М-5. Три самолёта числятся учебными: "Кертисс" тип К; М-5 и "Морон"-биплан" (11930).</w:t>
      </w:r>
    </w:p>
    <w:p w14:paraId="385B87AE" w14:textId="77777777" w:rsidR="00944891" w:rsidRPr="00405303" w:rsidRDefault="00944891" w:rsidP="00C15251">
      <w:pPr>
        <w:jc w:val="both"/>
        <w:rPr>
          <w:bCs/>
          <w:color w:val="002060"/>
          <w:sz w:val="16"/>
          <w:szCs w:val="16"/>
        </w:rPr>
      </w:pPr>
    </w:p>
    <w:p w14:paraId="2A70DE47" w14:textId="77777777" w:rsidR="00944891" w:rsidRPr="00405303" w:rsidRDefault="00944891" w:rsidP="00C15251">
      <w:pPr>
        <w:shd w:val="clear" w:color="auto" w:fill="FFFFFF"/>
        <w:jc w:val="both"/>
        <w:rPr>
          <w:bCs/>
          <w:color w:val="002060"/>
          <w:sz w:val="16"/>
          <w:szCs w:val="16"/>
        </w:rPr>
      </w:pPr>
      <w:r w:rsidRPr="00405303">
        <w:rPr>
          <w:bCs/>
          <w:color w:val="002060"/>
          <w:sz w:val="16"/>
          <w:szCs w:val="16"/>
        </w:rPr>
        <w:t>19 августа (1 сентября) 1915 г. утром германские корабли начали входить в южную часть Рижского залива. Отступившие в его северную часть, к Моонзундскому каналу, линкор «Слава», канлодка «Грозящий», авиатранспорт «Ор</w:t>
      </w:r>
      <w:r w:rsidRPr="00405303">
        <w:rPr>
          <w:bCs/>
          <w:color w:val="002060"/>
          <w:sz w:val="16"/>
          <w:szCs w:val="16"/>
        </w:rPr>
        <w:softHyphen/>
        <w:t>лица», семь эсминцев и другие суда продолжали активные бо</w:t>
      </w:r>
      <w:r w:rsidRPr="00405303">
        <w:rPr>
          <w:bCs/>
          <w:color w:val="002060"/>
          <w:sz w:val="16"/>
          <w:szCs w:val="16"/>
        </w:rPr>
        <w:softHyphen/>
        <w:t>евые действия. Так, например, 25 сентября они нанесли артил</w:t>
      </w:r>
      <w:r w:rsidRPr="00405303">
        <w:rPr>
          <w:bCs/>
          <w:color w:val="002060"/>
          <w:sz w:val="16"/>
          <w:szCs w:val="16"/>
        </w:rPr>
        <w:softHyphen/>
        <w:t>лерийские удары по вражеским позициям на захваченном побережье, а 22 октября, в другом месте высадили демонстра</w:t>
      </w:r>
      <w:r w:rsidRPr="00405303">
        <w:rPr>
          <w:bCs/>
          <w:color w:val="002060"/>
          <w:sz w:val="16"/>
          <w:szCs w:val="16"/>
        </w:rPr>
        <w:softHyphen/>
        <w:t>тивный морской десант. Летчики Килькондского и Орлицын-ского отрядов совершили десятки полетов в интересах отряда боевых кораблей (11283).</w:t>
      </w:r>
    </w:p>
    <w:p w14:paraId="470C08E2" w14:textId="77777777" w:rsidR="00944891" w:rsidRPr="00405303" w:rsidRDefault="00944891" w:rsidP="00C15251">
      <w:pPr>
        <w:shd w:val="clear" w:color="auto" w:fill="FFFFFF"/>
        <w:jc w:val="both"/>
        <w:rPr>
          <w:bCs/>
          <w:color w:val="002060"/>
          <w:sz w:val="16"/>
          <w:szCs w:val="16"/>
        </w:rPr>
      </w:pPr>
    </w:p>
    <w:p w14:paraId="33BD9DB2" w14:textId="77777777" w:rsidR="00944891" w:rsidRPr="00405303" w:rsidRDefault="00944891" w:rsidP="00C15251">
      <w:pPr>
        <w:jc w:val="both"/>
        <w:rPr>
          <w:bCs/>
          <w:i/>
          <w:color w:val="002060"/>
          <w:sz w:val="16"/>
          <w:szCs w:val="16"/>
        </w:rPr>
      </w:pPr>
      <w:r w:rsidRPr="00405303">
        <w:rPr>
          <w:bCs/>
          <w:i/>
          <w:color w:val="002060"/>
          <w:sz w:val="16"/>
          <w:szCs w:val="16"/>
        </w:rPr>
        <w:t>Армия:</w:t>
      </w:r>
    </w:p>
    <w:p w14:paraId="0C57761B" w14:textId="77777777" w:rsidR="00944891" w:rsidRPr="00405303" w:rsidRDefault="00944891" w:rsidP="00C15251">
      <w:pPr>
        <w:jc w:val="both"/>
        <w:rPr>
          <w:bCs/>
          <w:i/>
          <w:color w:val="002060"/>
          <w:sz w:val="16"/>
          <w:szCs w:val="16"/>
        </w:rPr>
      </w:pPr>
    </w:p>
    <w:p w14:paraId="125AA561" w14:textId="77777777" w:rsidR="00944891" w:rsidRPr="00405303" w:rsidRDefault="00944891" w:rsidP="00C15251">
      <w:pPr>
        <w:jc w:val="both"/>
        <w:rPr>
          <w:bCs/>
          <w:color w:val="002060"/>
          <w:sz w:val="16"/>
          <w:szCs w:val="16"/>
        </w:rPr>
      </w:pPr>
      <w:r w:rsidRPr="00405303">
        <w:rPr>
          <w:bCs/>
          <w:color w:val="002060"/>
          <w:sz w:val="16"/>
          <w:szCs w:val="16"/>
        </w:rPr>
        <w:t>19 августа в 1915 году немецкое командование отказывается от попыток высадки десанта на берегу Рижского залива (14988).</w:t>
      </w:r>
    </w:p>
    <w:p w14:paraId="3A873D3A" w14:textId="77777777" w:rsidR="00944891" w:rsidRPr="00405303" w:rsidRDefault="00944891" w:rsidP="00C15251">
      <w:pPr>
        <w:jc w:val="both"/>
        <w:rPr>
          <w:bCs/>
          <w:color w:val="002060"/>
          <w:sz w:val="16"/>
          <w:szCs w:val="16"/>
        </w:rPr>
      </w:pPr>
    </w:p>
    <w:p w14:paraId="6053F5EF" w14:textId="77777777" w:rsidR="006F3862" w:rsidRPr="00405303" w:rsidRDefault="006F3862" w:rsidP="00C15251">
      <w:pPr>
        <w:jc w:val="both"/>
        <w:rPr>
          <w:bCs/>
          <w:i/>
          <w:color w:val="002060"/>
          <w:sz w:val="16"/>
          <w:szCs w:val="16"/>
        </w:rPr>
      </w:pPr>
      <w:r w:rsidRPr="00405303">
        <w:rPr>
          <w:bCs/>
          <w:i/>
          <w:color w:val="002060"/>
          <w:sz w:val="16"/>
          <w:szCs w:val="16"/>
        </w:rPr>
        <w:t>Внешняя политика:</w:t>
      </w:r>
    </w:p>
    <w:p w14:paraId="100EC418" w14:textId="77777777" w:rsidR="006F3862" w:rsidRPr="00405303" w:rsidRDefault="006F3862" w:rsidP="00C15251">
      <w:pPr>
        <w:jc w:val="both"/>
        <w:rPr>
          <w:bCs/>
          <w:i/>
          <w:color w:val="002060"/>
          <w:sz w:val="16"/>
          <w:szCs w:val="16"/>
        </w:rPr>
      </w:pPr>
    </w:p>
    <w:p w14:paraId="21858046" w14:textId="7448A098" w:rsidR="006F3862" w:rsidRPr="00405303" w:rsidRDefault="006F3862" w:rsidP="00C15251">
      <w:pPr>
        <w:jc w:val="both"/>
        <w:rPr>
          <w:bCs/>
          <w:color w:val="002060"/>
          <w:sz w:val="16"/>
          <w:szCs w:val="16"/>
        </w:rPr>
      </w:pPr>
      <w:r w:rsidRPr="00405303">
        <w:rPr>
          <w:rStyle w:val="ucoz-forum-post"/>
          <w:rFonts w:eastAsiaTheme="majorEastAsia"/>
          <w:bCs/>
          <w:color w:val="002060"/>
          <w:sz w:val="16"/>
          <w:szCs w:val="16"/>
        </w:rPr>
        <w:t>1</w:t>
      </w:r>
      <w:r w:rsidR="00331D4D" w:rsidRPr="00405303">
        <w:rPr>
          <w:rStyle w:val="ucoz-forum-post"/>
          <w:rFonts w:eastAsiaTheme="majorEastAsia"/>
          <w:bCs/>
          <w:color w:val="002060"/>
          <w:sz w:val="16"/>
          <w:szCs w:val="16"/>
        </w:rPr>
        <w:t>9</w:t>
      </w:r>
      <w:r w:rsidRPr="00405303">
        <w:rPr>
          <w:rStyle w:val="ucoz-forum-post"/>
          <w:rFonts w:eastAsiaTheme="majorEastAsia"/>
          <w:bCs/>
          <w:color w:val="002060"/>
          <w:sz w:val="16"/>
          <w:szCs w:val="16"/>
        </w:rPr>
        <w:t xml:space="preserve"> августа (1 сентября) </w:t>
      </w:r>
      <w:r w:rsidRPr="00405303">
        <w:rPr>
          <w:bCs/>
          <w:color w:val="002060"/>
          <w:sz w:val="16"/>
          <w:szCs w:val="16"/>
        </w:rPr>
        <w:t>в 1915 году лидер польских националистов Ю.Пилсудский основывает Движение за освобождение Польши (14756).</w:t>
      </w:r>
    </w:p>
    <w:p w14:paraId="1996AFB6" w14:textId="77777777" w:rsidR="006F3862" w:rsidRPr="00405303" w:rsidRDefault="006F3862" w:rsidP="00C15251">
      <w:pPr>
        <w:jc w:val="both"/>
        <w:rPr>
          <w:bCs/>
          <w:color w:val="002060"/>
          <w:sz w:val="16"/>
          <w:szCs w:val="16"/>
        </w:rPr>
      </w:pPr>
    </w:p>
    <w:p w14:paraId="5713ED48"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3282CC6F" w14:textId="77777777" w:rsidR="004B4E35" w:rsidRPr="00405303" w:rsidRDefault="004B4E35" w:rsidP="00C15251">
      <w:pPr>
        <w:shd w:val="clear" w:color="auto" w:fill="FFFFFF"/>
        <w:jc w:val="both"/>
        <w:rPr>
          <w:bCs/>
          <w:i/>
          <w:color w:val="002060"/>
          <w:sz w:val="16"/>
          <w:szCs w:val="16"/>
        </w:rPr>
      </w:pPr>
    </w:p>
    <w:p w14:paraId="7364AD97" w14:textId="0E67D30A" w:rsidR="00DA6567" w:rsidRPr="00405303" w:rsidRDefault="00DA6567" w:rsidP="00C15251">
      <w:pPr>
        <w:jc w:val="both"/>
        <w:rPr>
          <w:bCs/>
          <w:color w:val="002060"/>
          <w:sz w:val="16"/>
          <w:szCs w:val="16"/>
        </w:rPr>
      </w:pPr>
      <w:r w:rsidRPr="00405303">
        <w:rPr>
          <w:bCs/>
          <w:color w:val="002060"/>
          <w:sz w:val="16"/>
          <w:szCs w:val="16"/>
        </w:rPr>
        <w:t>1</w:t>
      </w:r>
      <w:r w:rsidR="00331D4D" w:rsidRPr="00405303">
        <w:rPr>
          <w:bCs/>
          <w:color w:val="002060"/>
          <w:sz w:val="16"/>
          <w:szCs w:val="16"/>
        </w:rPr>
        <w:t>9</w:t>
      </w:r>
      <w:r w:rsidRPr="00405303">
        <w:rPr>
          <w:bCs/>
          <w:color w:val="002060"/>
          <w:sz w:val="16"/>
          <w:szCs w:val="16"/>
        </w:rPr>
        <w:t xml:space="preserve"> августа (1 сентября) 1915 г. фирмой «Дойче Флюгцойгверке» (Deutsche Flugzeugwerke G.m.b.H. или просто DFW) была начата постройка самолета DFW R I и продолжалась почти год. Окончательная сборка выполнялась не на заводе, а на аэродроме Гросцшохер у Лейпцига в Саксонии на восток Германии, и на его перевозку </w:t>
      </w:r>
      <w:r w:rsidRPr="00405303">
        <w:rPr>
          <w:bCs/>
          <w:color w:val="002060"/>
          <w:sz w:val="16"/>
          <w:szCs w:val="16"/>
        </w:rPr>
        <w:lastRenderedPageBreak/>
        <w:t xml:space="preserve">едва ли не через всю страну тоже потребовалось много времени. Там 5 сентября 1916 г. специально приглашенные для проведения испытаний самолета военные авиаторы Брюкманн, Денике и Штайнбек выполнили на самолете первый полет, который сразу показал слишком большую нагрузку на мощность и недостаточную курсовую устойчивость самолета. </w:t>
      </w:r>
      <w:proofErr w:type="gramStart"/>
      <w:r w:rsidRPr="00405303">
        <w:rPr>
          <w:bCs/>
          <w:color w:val="002060"/>
          <w:sz w:val="16"/>
          <w:szCs w:val="16"/>
        </w:rPr>
        <w:t>После этого и каждого последующего</w:t>
      </w:r>
      <w:proofErr w:type="gramEnd"/>
      <w:r w:rsidRPr="00405303">
        <w:rPr>
          <w:bCs/>
          <w:color w:val="002060"/>
          <w:sz w:val="16"/>
          <w:szCs w:val="16"/>
        </w:rPr>
        <w:t xml:space="preserve"> испытательного полета, а всего их было 12 общей продолжительностью 8 часов, вносились многочисленные доработки (23077).</w:t>
      </w:r>
    </w:p>
    <w:p w14:paraId="78646560" w14:textId="77777777" w:rsidR="00DA6567" w:rsidRPr="00405303" w:rsidRDefault="00DA6567" w:rsidP="00C15251">
      <w:pPr>
        <w:jc w:val="both"/>
        <w:rPr>
          <w:bCs/>
          <w:color w:val="002060"/>
          <w:sz w:val="16"/>
          <w:szCs w:val="16"/>
        </w:rPr>
      </w:pPr>
    </w:p>
    <w:p w14:paraId="5EE979AA" w14:textId="719AED5D" w:rsidR="004B4E35" w:rsidRPr="00405303" w:rsidRDefault="009E6F82" w:rsidP="00C15251">
      <w:pPr>
        <w:jc w:val="both"/>
        <w:rPr>
          <w:bCs/>
          <w:color w:val="002060"/>
          <w:sz w:val="16"/>
          <w:szCs w:val="16"/>
        </w:rPr>
      </w:pPr>
      <w:r w:rsidRPr="00405303">
        <w:rPr>
          <w:bCs/>
          <w:color w:val="002060"/>
          <w:sz w:val="16"/>
          <w:szCs w:val="16"/>
        </w:rPr>
        <w:t>1</w:t>
      </w:r>
      <w:r w:rsidR="00331D4D" w:rsidRPr="00405303">
        <w:rPr>
          <w:bCs/>
          <w:color w:val="002060"/>
          <w:sz w:val="16"/>
          <w:szCs w:val="16"/>
        </w:rPr>
        <w:t>9</w:t>
      </w:r>
      <w:r w:rsidRPr="00405303">
        <w:rPr>
          <w:bCs/>
          <w:color w:val="002060"/>
          <w:sz w:val="16"/>
          <w:szCs w:val="16"/>
        </w:rPr>
        <w:t xml:space="preserve"> августа (1 сентября) 1915 - Рихтгофен отправляется в испытательный полет на новом двухмоторном самолете "Гота", который поначалу все называют просто "Grossflugzeuge" - большой самолет.</w:t>
      </w:r>
    </w:p>
    <w:p w14:paraId="3DED6991" w14:textId="77777777" w:rsidR="004B4E35" w:rsidRPr="00405303" w:rsidRDefault="009E6F82" w:rsidP="00C15251">
      <w:pPr>
        <w:jc w:val="both"/>
        <w:rPr>
          <w:bCs/>
          <w:color w:val="002060"/>
          <w:sz w:val="16"/>
          <w:szCs w:val="16"/>
        </w:rPr>
      </w:pPr>
      <w:r w:rsidRPr="00405303">
        <w:rPr>
          <w:bCs/>
          <w:color w:val="002060"/>
          <w:sz w:val="16"/>
          <w:szCs w:val="16"/>
        </w:rPr>
        <w:t>Рихтгофен: "В одном из полетов мы оказались далеко над морем. Наш аэроплан имел теперь два мотора, и мы экспериментировали с новым рулевым механизмом, который, как все утверждали, может позволить лететь по прямой даже при одном работающем моторе.</w:t>
      </w:r>
    </w:p>
    <w:p w14:paraId="57F7AE59" w14:textId="13A60F59" w:rsidR="004B4E35" w:rsidRPr="00405303" w:rsidRDefault="009E6F82" w:rsidP="00C15251">
      <w:pPr>
        <w:jc w:val="both"/>
        <w:rPr>
          <w:bCs/>
          <w:color w:val="002060"/>
          <w:sz w:val="16"/>
          <w:szCs w:val="16"/>
        </w:rPr>
      </w:pPr>
      <w:r w:rsidRPr="00405303">
        <w:rPr>
          <w:bCs/>
          <w:color w:val="002060"/>
          <w:sz w:val="16"/>
          <w:szCs w:val="16"/>
        </w:rPr>
        <w:t>И вот тогда-то я вдруг увидел внизу, но не на воде, а под водой, судно. Это было забавно. Когда море спокойно, то действительно можно видеть почти до дна. Конечно, не на глубину в двадцать пять миль, но на несколько сотен ярдов</w:t>
      </w:r>
      <w:r w:rsidR="000F5756">
        <w:rPr>
          <w:bCs/>
          <w:color w:val="002060"/>
          <w:sz w:val="16"/>
          <w:szCs w:val="16"/>
        </w:rPr>
        <w:t xml:space="preserve"> </w:t>
      </w:r>
      <w:r w:rsidRPr="00405303">
        <w:rPr>
          <w:bCs/>
          <w:color w:val="002060"/>
          <w:sz w:val="16"/>
          <w:szCs w:val="16"/>
        </w:rPr>
        <w:t>- точно. И мое предположение о том, что корабль плывет не по воде, а под водой, оказалось истинным, хотя поначалу мы очень сильно в этом сомневались. Я сказал о моем открытии Цоймеру и мы спустились ниже, чтобы окончательно удостовериться. Я, конечно, не великий знаток морского дела, но все же смею утверждать, что это была субмарина. Но какого государства? Этот сложный вопрос мог быть разрешен только специалистом, да и то не всегда. Различить под водой цвета - дело нелегкое, а флага на судне не было. Кроме того, подводные лодки вообще ходят без опознавательных знаков. У нас была с собой пара бомб, и я долго думал, бросать их или нет. Нас с лодки, конечно, не видели. Мы могли летать прямо над ней без всякого для себя риска и дожидаться, пока она не всплывет на поверхность. Тогда можно было бы и уронить наши яйца.</w:t>
      </w:r>
    </w:p>
    <w:p w14:paraId="53E881E5" w14:textId="77777777" w:rsidR="004B4E35" w:rsidRPr="00405303" w:rsidRDefault="009E6F82" w:rsidP="00C15251">
      <w:pPr>
        <w:jc w:val="both"/>
        <w:rPr>
          <w:bCs/>
          <w:color w:val="002060"/>
          <w:sz w:val="16"/>
          <w:szCs w:val="16"/>
        </w:rPr>
      </w:pPr>
      <w:r w:rsidRPr="00405303">
        <w:rPr>
          <w:bCs/>
          <w:color w:val="002060"/>
          <w:sz w:val="16"/>
          <w:szCs w:val="16"/>
        </w:rPr>
        <w:t>Так мы летали до тех пор, пока я неожиданно не заметил, что вода из аппарата охлаждения постепенно испаряется. Мне это не понравилось, и я сообщил об этом напарнику. Лицо у него вытянулось, и мы поспешили домой. Тем не мене мы находились в двенадцати милях от берега и могли бы залететь еще дальше. Мотор начал работать медленнее, и я уже приготовился к непредвиденному холодному купанию. Но ура, гип-гип ура, мы дотянули до берега! Наш огромный круглобокий, как яблоко, аэроплан дотянул на одном моторе и новом рулевом механизме. Мы достигли берега и умудрились приземлиться в гавани без особых трудностей" (11999).</w:t>
      </w:r>
    </w:p>
    <w:p w14:paraId="19CC07CF" w14:textId="77777777" w:rsidR="004B4E35" w:rsidRPr="00405303" w:rsidRDefault="004B4E35" w:rsidP="00C15251">
      <w:pPr>
        <w:jc w:val="both"/>
        <w:rPr>
          <w:bCs/>
          <w:color w:val="002060"/>
          <w:sz w:val="16"/>
          <w:szCs w:val="16"/>
        </w:rPr>
      </w:pPr>
    </w:p>
    <w:p w14:paraId="436B113D"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7D81303E" w14:textId="77777777" w:rsidR="004B4E35" w:rsidRPr="00405303" w:rsidRDefault="004B4E35" w:rsidP="00C15251">
      <w:pPr>
        <w:jc w:val="both"/>
        <w:rPr>
          <w:bCs/>
          <w:i/>
          <w:color w:val="002060"/>
          <w:sz w:val="16"/>
          <w:szCs w:val="16"/>
        </w:rPr>
      </w:pPr>
    </w:p>
    <w:p w14:paraId="10935EDB" w14:textId="2733C2DE" w:rsidR="004B4E35" w:rsidRPr="00405303" w:rsidRDefault="00944891" w:rsidP="00C15251">
      <w:pPr>
        <w:jc w:val="both"/>
        <w:rPr>
          <w:bCs/>
          <w:color w:val="002060"/>
          <w:sz w:val="16"/>
          <w:szCs w:val="16"/>
        </w:rPr>
      </w:pPr>
      <w:r w:rsidRPr="00405303">
        <w:rPr>
          <w:bCs/>
          <w:color w:val="002060"/>
          <w:sz w:val="16"/>
          <w:szCs w:val="16"/>
        </w:rPr>
        <w:t>К</w:t>
      </w:r>
      <w:r w:rsidR="009E6F82" w:rsidRPr="00405303">
        <w:rPr>
          <w:bCs/>
          <w:color w:val="002060"/>
          <w:sz w:val="16"/>
          <w:szCs w:val="16"/>
        </w:rPr>
        <w:t xml:space="preserve"> 20 августа </w:t>
      </w:r>
      <w:r w:rsidR="00D4614E" w:rsidRPr="00405303">
        <w:rPr>
          <w:bCs/>
          <w:color w:val="002060"/>
          <w:sz w:val="16"/>
          <w:szCs w:val="16"/>
        </w:rPr>
        <w:t xml:space="preserve">(2 сентября) </w:t>
      </w:r>
      <w:r w:rsidR="009E6F82" w:rsidRPr="00405303">
        <w:rPr>
          <w:bCs/>
          <w:color w:val="002060"/>
          <w:sz w:val="16"/>
          <w:szCs w:val="16"/>
        </w:rPr>
        <w:t xml:space="preserve">1915 г. </w:t>
      </w:r>
      <w:r w:rsidR="00D4614E" w:rsidRPr="00405303">
        <w:rPr>
          <w:bCs/>
          <w:color w:val="002060"/>
          <w:sz w:val="16"/>
          <w:szCs w:val="16"/>
        </w:rPr>
        <w:t xml:space="preserve">близ станции Алмазная в Кадиевке </w:t>
      </w:r>
      <w:r w:rsidRPr="00405303">
        <w:rPr>
          <w:bCs/>
          <w:color w:val="002060"/>
          <w:sz w:val="16"/>
          <w:szCs w:val="16"/>
        </w:rPr>
        <w:t xml:space="preserve">был готов Кадиевский завод. </w:t>
      </w:r>
      <w:r w:rsidR="009E6F82" w:rsidRPr="00405303">
        <w:rPr>
          <w:bCs/>
          <w:color w:val="002060"/>
          <w:sz w:val="16"/>
          <w:szCs w:val="16"/>
        </w:rPr>
        <w:t xml:space="preserve">Пуск первого казенного бензолового завода пробил брешь в инертности частных каменноугольных промышленников и в конце 1915 г. началось строительство около 20 бензоловых заводов в Донбассе и в Сибири. Но еще в июне комиссию Ипатьева обязали увеличить производство бензола до 3 млн. пудов (4900 т) в год </w:t>
      </w:r>
      <w:proofErr w:type="gramStart"/>
      <w:r w:rsidR="009E6F82" w:rsidRPr="00405303">
        <w:rPr>
          <w:bCs/>
          <w:color w:val="002060"/>
          <w:sz w:val="16"/>
          <w:szCs w:val="16"/>
        </w:rPr>
        <w:t>( в</w:t>
      </w:r>
      <w:proofErr w:type="gramEnd"/>
      <w:r w:rsidR="009E6F82" w:rsidRPr="00405303">
        <w:rPr>
          <w:bCs/>
          <w:color w:val="002060"/>
          <w:sz w:val="16"/>
          <w:szCs w:val="16"/>
        </w:rPr>
        <w:t xml:space="preserve"> 4 раза!) и в кратчайшие сроки. Было решено, что 2 млн пудов (32760 т) сырого бензола можно получить от коксования угля, а 1 миллион — за счет разложения нефти. Комиссия командировала Н.Ф.Дитмара в Донбасс для выяснения, возможно ли в годичный срок построить новые коксовые печи и бензольные заводы. Через месяц он сообщил, что в короткое время увеличить производство сырого бензола в Донбассе затруднительно в связи с нехваткой материалов и рабочих рук. Кстати, было предложение за 10-11 месяцев построить в Донбассе 2000 коксовых печей с улавливанием побочных продуктов. Его признали утопическими, хотя и трудно было доказать это. Комиссия по заготовке взрывчатых веществ обратила внимание на получение толуола через пирогенетическое разложение нефти. Опытное производство наладили в Казани. Проблему дефицита серной кислоты решили, построив сернокислотные заводы на местах разработки колчеданов.</w:t>
      </w:r>
    </w:p>
    <w:p w14:paraId="00AA9F33" w14:textId="77777777" w:rsidR="004B4E35" w:rsidRPr="00405303" w:rsidRDefault="004B4E35" w:rsidP="00C15251">
      <w:pPr>
        <w:jc w:val="both"/>
        <w:rPr>
          <w:bCs/>
          <w:color w:val="002060"/>
          <w:sz w:val="16"/>
          <w:szCs w:val="16"/>
        </w:rPr>
      </w:pPr>
    </w:p>
    <w:p w14:paraId="14F081AC" w14:textId="21492A99" w:rsidR="004B4E35" w:rsidRPr="00405303" w:rsidRDefault="009E6F82" w:rsidP="00C15251">
      <w:pPr>
        <w:jc w:val="both"/>
        <w:rPr>
          <w:bCs/>
          <w:color w:val="002060"/>
          <w:sz w:val="16"/>
          <w:szCs w:val="16"/>
        </w:rPr>
      </w:pPr>
      <w:r w:rsidRPr="00405303">
        <w:rPr>
          <w:bCs/>
          <w:color w:val="002060"/>
          <w:sz w:val="16"/>
          <w:szCs w:val="16"/>
        </w:rPr>
        <w:t>20 августа (3 сентября) 1915 г.</w:t>
      </w:r>
      <w:r w:rsidR="002D54FF" w:rsidRPr="00405303">
        <w:rPr>
          <w:bCs/>
          <w:color w:val="002060"/>
          <w:sz w:val="16"/>
          <w:szCs w:val="16"/>
        </w:rPr>
        <w:t xml:space="preserve"> был готов Калиевский завод</w:t>
      </w:r>
      <w:r w:rsidRPr="00405303">
        <w:rPr>
          <w:bCs/>
          <w:color w:val="002060"/>
          <w:sz w:val="16"/>
          <w:szCs w:val="16"/>
        </w:rPr>
        <w:t xml:space="preserve">, на полтора месяца ранее назначенного срока. Завод тотчас был пущен в ход и давал бензол по ценам, которые не превосходили цен мирного времени на германских бензоловых заводах, и, таким образом, расходы на сооружение завода должны были быстро окупиться. </w:t>
      </w:r>
    </w:p>
    <w:p w14:paraId="69AB5383" w14:textId="77777777" w:rsidR="004B4E35" w:rsidRPr="00405303" w:rsidRDefault="009E6F82" w:rsidP="00C15251">
      <w:pPr>
        <w:jc w:val="both"/>
        <w:rPr>
          <w:bCs/>
          <w:color w:val="002060"/>
          <w:sz w:val="16"/>
          <w:szCs w:val="16"/>
        </w:rPr>
      </w:pPr>
      <w:r w:rsidRPr="00405303">
        <w:rPr>
          <w:bCs/>
          <w:color w:val="002060"/>
          <w:sz w:val="16"/>
          <w:szCs w:val="16"/>
        </w:rPr>
        <w:t xml:space="preserve">Постройка Макеевского и в особенности Кадиевского казенного завода сыграла огромную роль в деле насаждения на Юге коксобензольной промышленности. Как только выяснилось, что постройка этих заводов идет успешно, частные предприниматели нашли в себе, наконец, решимость взяться за дело, и в ГАУ стали поступать от них предложения на поставку бензола и толуола, при условии выдачи авансов на постройку заводов. </w:t>
      </w:r>
    </w:p>
    <w:p w14:paraId="6CAFB2FC" w14:textId="77777777" w:rsidR="004B4E35" w:rsidRPr="00405303" w:rsidRDefault="009E6F82" w:rsidP="00C15251">
      <w:pPr>
        <w:jc w:val="both"/>
        <w:rPr>
          <w:bCs/>
          <w:color w:val="002060"/>
          <w:sz w:val="16"/>
          <w:szCs w:val="16"/>
        </w:rPr>
      </w:pPr>
      <w:r w:rsidRPr="00405303">
        <w:rPr>
          <w:bCs/>
          <w:color w:val="002060"/>
          <w:sz w:val="16"/>
          <w:szCs w:val="16"/>
        </w:rPr>
        <w:t xml:space="preserve">В дальнейшем таким порядком предпринята была постройка до 20 бензольных заводов не только в Донецком бассейне, но и в Сибири, в Кузнецком бассейне. </w:t>
      </w:r>
    </w:p>
    <w:p w14:paraId="2B726B0E" w14:textId="77777777" w:rsidR="004B4E35" w:rsidRPr="00405303" w:rsidRDefault="009E6F82" w:rsidP="00C15251">
      <w:pPr>
        <w:jc w:val="both"/>
        <w:rPr>
          <w:bCs/>
          <w:color w:val="002060"/>
          <w:sz w:val="16"/>
          <w:szCs w:val="16"/>
        </w:rPr>
      </w:pPr>
      <w:r w:rsidRPr="00405303">
        <w:rPr>
          <w:bCs/>
          <w:color w:val="002060"/>
          <w:sz w:val="16"/>
          <w:szCs w:val="16"/>
        </w:rPr>
        <w:t xml:space="preserve">Фактический рост за время войны бензольных заводов в Донецком бассейне виден из следующей таблицы, где цифры указывают общее наличие заводов к означенным датам: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684"/>
      </w:tblGrid>
      <w:tr w:rsidR="004B4E35" w:rsidRPr="00405303" w14:paraId="01F282F2" w14:textId="77777777">
        <w:tc>
          <w:tcPr>
            <w:tcW w:w="1788" w:type="dxa"/>
          </w:tcPr>
          <w:p w14:paraId="5F81B527" w14:textId="77777777" w:rsidR="004B4E35" w:rsidRPr="00405303" w:rsidRDefault="009E6F82" w:rsidP="00C15251">
            <w:pPr>
              <w:jc w:val="both"/>
              <w:rPr>
                <w:bCs/>
                <w:color w:val="002060"/>
                <w:sz w:val="16"/>
                <w:szCs w:val="16"/>
              </w:rPr>
            </w:pPr>
            <w:r w:rsidRPr="00405303">
              <w:rPr>
                <w:bCs/>
                <w:color w:val="002060"/>
                <w:sz w:val="16"/>
                <w:szCs w:val="16"/>
              </w:rPr>
              <w:t xml:space="preserve">1915 г.: </w:t>
            </w:r>
          </w:p>
        </w:tc>
        <w:tc>
          <w:tcPr>
            <w:tcW w:w="684" w:type="dxa"/>
          </w:tcPr>
          <w:p w14:paraId="0E0F746F" w14:textId="5B484C49" w:rsidR="004B4E35" w:rsidRPr="00405303" w:rsidRDefault="00DB4D64" w:rsidP="00C15251">
            <w:pPr>
              <w:jc w:val="both"/>
              <w:rPr>
                <w:bCs/>
                <w:color w:val="002060"/>
                <w:sz w:val="16"/>
                <w:szCs w:val="16"/>
              </w:rPr>
            </w:pPr>
            <w:r w:rsidRPr="00405303">
              <w:rPr>
                <w:bCs/>
                <w:color w:val="002060"/>
                <w:sz w:val="16"/>
                <w:szCs w:val="16"/>
              </w:rPr>
              <w:t xml:space="preserve"> </w:t>
            </w:r>
          </w:p>
        </w:tc>
      </w:tr>
      <w:tr w:rsidR="004B4E35" w:rsidRPr="00405303" w14:paraId="61671458" w14:textId="77777777">
        <w:tc>
          <w:tcPr>
            <w:tcW w:w="1788" w:type="dxa"/>
          </w:tcPr>
          <w:p w14:paraId="4F962F5E" w14:textId="77777777" w:rsidR="004B4E35" w:rsidRPr="00405303" w:rsidRDefault="009E6F82" w:rsidP="00C15251">
            <w:pPr>
              <w:jc w:val="both"/>
              <w:rPr>
                <w:bCs/>
                <w:color w:val="002060"/>
                <w:sz w:val="16"/>
                <w:szCs w:val="16"/>
              </w:rPr>
            </w:pPr>
            <w:r w:rsidRPr="00405303">
              <w:rPr>
                <w:bCs/>
                <w:color w:val="002060"/>
                <w:sz w:val="16"/>
                <w:szCs w:val="16"/>
              </w:rPr>
              <w:t>Февраль</w:t>
            </w:r>
          </w:p>
        </w:tc>
        <w:tc>
          <w:tcPr>
            <w:tcW w:w="684" w:type="dxa"/>
          </w:tcPr>
          <w:p w14:paraId="4FA3FE7E" w14:textId="77777777" w:rsidR="004B4E35" w:rsidRPr="00405303" w:rsidRDefault="009E6F82" w:rsidP="00C15251">
            <w:pPr>
              <w:jc w:val="both"/>
              <w:rPr>
                <w:bCs/>
                <w:color w:val="002060"/>
                <w:sz w:val="16"/>
                <w:szCs w:val="16"/>
              </w:rPr>
            </w:pPr>
            <w:r w:rsidRPr="00405303">
              <w:rPr>
                <w:bCs/>
                <w:color w:val="002060"/>
                <w:sz w:val="16"/>
                <w:szCs w:val="16"/>
              </w:rPr>
              <w:t xml:space="preserve">3 </w:t>
            </w:r>
          </w:p>
        </w:tc>
      </w:tr>
      <w:tr w:rsidR="004B4E35" w:rsidRPr="00405303" w14:paraId="1F603E5C" w14:textId="77777777">
        <w:tc>
          <w:tcPr>
            <w:tcW w:w="1788" w:type="dxa"/>
          </w:tcPr>
          <w:p w14:paraId="4A845560" w14:textId="77777777" w:rsidR="004B4E35" w:rsidRPr="00405303" w:rsidRDefault="009E6F82" w:rsidP="00C15251">
            <w:pPr>
              <w:jc w:val="both"/>
              <w:rPr>
                <w:bCs/>
                <w:color w:val="002060"/>
                <w:sz w:val="16"/>
                <w:szCs w:val="16"/>
              </w:rPr>
            </w:pPr>
            <w:r w:rsidRPr="00405303">
              <w:rPr>
                <w:bCs/>
                <w:color w:val="002060"/>
                <w:sz w:val="16"/>
                <w:szCs w:val="16"/>
              </w:rPr>
              <w:t>Июнь</w:t>
            </w:r>
          </w:p>
        </w:tc>
        <w:tc>
          <w:tcPr>
            <w:tcW w:w="684" w:type="dxa"/>
          </w:tcPr>
          <w:p w14:paraId="51CC22CF" w14:textId="77777777" w:rsidR="004B4E35" w:rsidRPr="00405303" w:rsidRDefault="009E6F82" w:rsidP="00C15251">
            <w:pPr>
              <w:jc w:val="both"/>
              <w:rPr>
                <w:bCs/>
                <w:color w:val="002060"/>
                <w:sz w:val="16"/>
                <w:szCs w:val="16"/>
              </w:rPr>
            </w:pPr>
            <w:r w:rsidRPr="00405303">
              <w:rPr>
                <w:bCs/>
                <w:color w:val="002060"/>
                <w:sz w:val="16"/>
                <w:szCs w:val="16"/>
              </w:rPr>
              <w:t xml:space="preserve">4 </w:t>
            </w:r>
          </w:p>
        </w:tc>
      </w:tr>
      <w:tr w:rsidR="004B4E35" w:rsidRPr="00405303" w14:paraId="05066732" w14:textId="77777777">
        <w:tc>
          <w:tcPr>
            <w:tcW w:w="1788" w:type="dxa"/>
          </w:tcPr>
          <w:p w14:paraId="4A451D1F" w14:textId="77777777" w:rsidR="004B4E35" w:rsidRPr="00405303" w:rsidRDefault="009E6F82" w:rsidP="00C15251">
            <w:pPr>
              <w:jc w:val="both"/>
              <w:rPr>
                <w:bCs/>
                <w:color w:val="002060"/>
                <w:sz w:val="16"/>
                <w:szCs w:val="16"/>
              </w:rPr>
            </w:pPr>
            <w:r w:rsidRPr="00405303">
              <w:rPr>
                <w:bCs/>
                <w:color w:val="002060"/>
                <w:sz w:val="16"/>
                <w:szCs w:val="16"/>
              </w:rPr>
              <w:t>Июль</w:t>
            </w:r>
          </w:p>
        </w:tc>
        <w:tc>
          <w:tcPr>
            <w:tcW w:w="684" w:type="dxa"/>
          </w:tcPr>
          <w:p w14:paraId="587B15F6" w14:textId="77777777" w:rsidR="004B4E35" w:rsidRPr="00405303" w:rsidRDefault="009E6F82" w:rsidP="00C15251">
            <w:pPr>
              <w:jc w:val="both"/>
              <w:rPr>
                <w:bCs/>
                <w:color w:val="002060"/>
                <w:sz w:val="16"/>
                <w:szCs w:val="16"/>
              </w:rPr>
            </w:pPr>
            <w:r w:rsidRPr="00405303">
              <w:rPr>
                <w:bCs/>
                <w:color w:val="002060"/>
                <w:sz w:val="16"/>
                <w:szCs w:val="16"/>
              </w:rPr>
              <w:t xml:space="preserve">5 </w:t>
            </w:r>
          </w:p>
        </w:tc>
      </w:tr>
      <w:tr w:rsidR="004B4E35" w:rsidRPr="00405303" w14:paraId="27840531" w14:textId="77777777">
        <w:tc>
          <w:tcPr>
            <w:tcW w:w="1788" w:type="dxa"/>
          </w:tcPr>
          <w:p w14:paraId="61B1A10F" w14:textId="77777777" w:rsidR="004B4E35" w:rsidRPr="00405303" w:rsidRDefault="009E6F82" w:rsidP="00C15251">
            <w:pPr>
              <w:jc w:val="both"/>
              <w:rPr>
                <w:bCs/>
                <w:color w:val="002060"/>
                <w:sz w:val="16"/>
                <w:szCs w:val="16"/>
              </w:rPr>
            </w:pPr>
            <w:r w:rsidRPr="00405303">
              <w:rPr>
                <w:bCs/>
                <w:color w:val="002060"/>
                <w:sz w:val="16"/>
                <w:szCs w:val="16"/>
              </w:rPr>
              <w:t>Сентябрь</w:t>
            </w:r>
          </w:p>
        </w:tc>
        <w:tc>
          <w:tcPr>
            <w:tcW w:w="684" w:type="dxa"/>
          </w:tcPr>
          <w:p w14:paraId="767CA99E" w14:textId="77777777" w:rsidR="004B4E35" w:rsidRPr="00405303" w:rsidRDefault="009E6F82" w:rsidP="00C15251">
            <w:pPr>
              <w:jc w:val="both"/>
              <w:rPr>
                <w:bCs/>
                <w:color w:val="002060"/>
                <w:sz w:val="16"/>
                <w:szCs w:val="16"/>
              </w:rPr>
            </w:pPr>
            <w:r w:rsidRPr="00405303">
              <w:rPr>
                <w:bCs/>
                <w:color w:val="002060"/>
                <w:sz w:val="16"/>
                <w:szCs w:val="16"/>
              </w:rPr>
              <w:t xml:space="preserve">7 </w:t>
            </w:r>
          </w:p>
        </w:tc>
      </w:tr>
      <w:tr w:rsidR="004B4E35" w:rsidRPr="00405303" w14:paraId="08DBD451" w14:textId="77777777">
        <w:tc>
          <w:tcPr>
            <w:tcW w:w="1788" w:type="dxa"/>
          </w:tcPr>
          <w:p w14:paraId="0EC7E6C5"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684" w:type="dxa"/>
          </w:tcPr>
          <w:p w14:paraId="25ECCF5C" w14:textId="77777777" w:rsidR="004B4E35" w:rsidRPr="00405303" w:rsidRDefault="009E6F82" w:rsidP="00C15251">
            <w:pPr>
              <w:jc w:val="both"/>
              <w:rPr>
                <w:bCs/>
                <w:color w:val="002060"/>
                <w:sz w:val="16"/>
                <w:szCs w:val="16"/>
              </w:rPr>
            </w:pPr>
            <w:r w:rsidRPr="00405303">
              <w:rPr>
                <w:bCs/>
                <w:color w:val="002060"/>
                <w:sz w:val="16"/>
                <w:szCs w:val="16"/>
              </w:rPr>
              <w:t xml:space="preserve">8 </w:t>
            </w:r>
          </w:p>
        </w:tc>
      </w:tr>
      <w:tr w:rsidR="004B4E35" w:rsidRPr="00405303" w14:paraId="29559DB7" w14:textId="77777777">
        <w:tc>
          <w:tcPr>
            <w:tcW w:w="1788" w:type="dxa"/>
          </w:tcPr>
          <w:p w14:paraId="746CDD5F" w14:textId="77777777" w:rsidR="004B4E35" w:rsidRPr="00405303" w:rsidRDefault="009E6F82" w:rsidP="00C15251">
            <w:pPr>
              <w:jc w:val="both"/>
              <w:rPr>
                <w:bCs/>
                <w:color w:val="002060"/>
                <w:sz w:val="16"/>
                <w:szCs w:val="16"/>
              </w:rPr>
            </w:pPr>
            <w:r w:rsidRPr="00405303">
              <w:rPr>
                <w:bCs/>
                <w:color w:val="002060"/>
                <w:sz w:val="16"/>
                <w:szCs w:val="16"/>
              </w:rPr>
              <w:t xml:space="preserve">1916 г.: </w:t>
            </w:r>
          </w:p>
        </w:tc>
        <w:tc>
          <w:tcPr>
            <w:tcW w:w="684" w:type="dxa"/>
          </w:tcPr>
          <w:p w14:paraId="0F757D53" w14:textId="3B4CE113" w:rsidR="004B4E35" w:rsidRPr="00405303" w:rsidRDefault="00DB4D64" w:rsidP="00C15251">
            <w:pPr>
              <w:jc w:val="both"/>
              <w:rPr>
                <w:bCs/>
                <w:color w:val="002060"/>
                <w:sz w:val="16"/>
                <w:szCs w:val="16"/>
              </w:rPr>
            </w:pPr>
            <w:r w:rsidRPr="00405303">
              <w:rPr>
                <w:bCs/>
                <w:color w:val="002060"/>
                <w:sz w:val="16"/>
                <w:szCs w:val="16"/>
              </w:rPr>
              <w:t xml:space="preserve"> </w:t>
            </w:r>
          </w:p>
        </w:tc>
      </w:tr>
      <w:tr w:rsidR="004B4E35" w:rsidRPr="00405303" w14:paraId="5F6130F9" w14:textId="77777777">
        <w:tc>
          <w:tcPr>
            <w:tcW w:w="1788" w:type="dxa"/>
          </w:tcPr>
          <w:p w14:paraId="549030AC" w14:textId="77777777" w:rsidR="004B4E35" w:rsidRPr="00405303" w:rsidRDefault="009E6F82" w:rsidP="00C15251">
            <w:pPr>
              <w:jc w:val="both"/>
              <w:rPr>
                <w:bCs/>
                <w:color w:val="002060"/>
                <w:sz w:val="16"/>
                <w:szCs w:val="16"/>
              </w:rPr>
            </w:pPr>
            <w:r w:rsidRPr="00405303">
              <w:rPr>
                <w:bCs/>
                <w:color w:val="002060"/>
                <w:sz w:val="16"/>
                <w:szCs w:val="16"/>
              </w:rPr>
              <w:t>Август</w:t>
            </w:r>
          </w:p>
        </w:tc>
        <w:tc>
          <w:tcPr>
            <w:tcW w:w="684" w:type="dxa"/>
          </w:tcPr>
          <w:p w14:paraId="3AA8235B" w14:textId="77777777" w:rsidR="004B4E35" w:rsidRPr="00405303" w:rsidRDefault="009E6F82" w:rsidP="00C15251">
            <w:pPr>
              <w:jc w:val="both"/>
              <w:rPr>
                <w:bCs/>
                <w:color w:val="002060"/>
                <w:sz w:val="16"/>
                <w:szCs w:val="16"/>
              </w:rPr>
            </w:pPr>
            <w:r w:rsidRPr="00405303">
              <w:rPr>
                <w:bCs/>
                <w:color w:val="002060"/>
                <w:sz w:val="16"/>
                <w:szCs w:val="16"/>
              </w:rPr>
              <w:t xml:space="preserve">10 </w:t>
            </w:r>
          </w:p>
        </w:tc>
      </w:tr>
      <w:tr w:rsidR="004B4E35" w:rsidRPr="00405303" w14:paraId="3190B730" w14:textId="77777777">
        <w:tc>
          <w:tcPr>
            <w:tcW w:w="1788" w:type="dxa"/>
          </w:tcPr>
          <w:p w14:paraId="2EA0B546" w14:textId="77777777" w:rsidR="004B4E35" w:rsidRPr="00405303" w:rsidRDefault="009E6F82" w:rsidP="00C15251">
            <w:pPr>
              <w:jc w:val="both"/>
              <w:rPr>
                <w:bCs/>
                <w:color w:val="002060"/>
                <w:sz w:val="16"/>
                <w:szCs w:val="16"/>
              </w:rPr>
            </w:pPr>
            <w:r w:rsidRPr="00405303">
              <w:rPr>
                <w:bCs/>
                <w:color w:val="002060"/>
                <w:sz w:val="16"/>
                <w:szCs w:val="16"/>
              </w:rPr>
              <w:t>Сентябрь</w:t>
            </w:r>
          </w:p>
        </w:tc>
        <w:tc>
          <w:tcPr>
            <w:tcW w:w="684" w:type="dxa"/>
          </w:tcPr>
          <w:p w14:paraId="6656F8B9" w14:textId="77777777" w:rsidR="004B4E35" w:rsidRPr="00405303" w:rsidRDefault="009E6F82" w:rsidP="00C15251">
            <w:pPr>
              <w:jc w:val="both"/>
              <w:rPr>
                <w:bCs/>
                <w:color w:val="002060"/>
                <w:sz w:val="16"/>
                <w:szCs w:val="16"/>
              </w:rPr>
            </w:pPr>
            <w:r w:rsidRPr="00405303">
              <w:rPr>
                <w:bCs/>
                <w:color w:val="002060"/>
                <w:sz w:val="16"/>
                <w:szCs w:val="16"/>
              </w:rPr>
              <w:t xml:space="preserve">11 </w:t>
            </w:r>
          </w:p>
        </w:tc>
      </w:tr>
      <w:tr w:rsidR="004B4E35" w:rsidRPr="00405303" w14:paraId="74D0B3AE" w14:textId="77777777">
        <w:tc>
          <w:tcPr>
            <w:tcW w:w="1788" w:type="dxa"/>
          </w:tcPr>
          <w:p w14:paraId="17D06815"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684" w:type="dxa"/>
          </w:tcPr>
          <w:p w14:paraId="3135B796" w14:textId="77777777" w:rsidR="004B4E35" w:rsidRPr="00405303" w:rsidRDefault="009E6F82" w:rsidP="00C15251">
            <w:pPr>
              <w:jc w:val="both"/>
              <w:rPr>
                <w:bCs/>
                <w:color w:val="002060"/>
                <w:sz w:val="16"/>
                <w:szCs w:val="16"/>
              </w:rPr>
            </w:pPr>
            <w:r w:rsidRPr="00405303">
              <w:rPr>
                <w:bCs/>
                <w:color w:val="002060"/>
                <w:sz w:val="16"/>
                <w:szCs w:val="16"/>
              </w:rPr>
              <w:t xml:space="preserve">12 </w:t>
            </w:r>
          </w:p>
        </w:tc>
      </w:tr>
      <w:tr w:rsidR="004B4E35" w:rsidRPr="00405303" w14:paraId="5E4DF54F" w14:textId="77777777">
        <w:tc>
          <w:tcPr>
            <w:tcW w:w="1788" w:type="dxa"/>
          </w:tcPr>
          <w:p w14:paraId="058A1147"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684" w:type="dxa"/>
          </w:tcPr>
          <w:p w14:paraId="1CC57609" w14:textId="77777777" w:rsidR="004B4E35" w:rsidRPr="00405303" w:rsidRDefault="009E6F82" w:rsidP="00C15251">
            <w:pPr>
              <w:jc w:val="both"/>
              <w:rPr>
                <w:bCs/>
                <w:color w:val="002060"/>
                <w:sz w:val="16"/>
                <w:szCs w:val="16"/>
              </w:rPr>
            </w:pPr>
            <w:r w:rsidRPr="00405303">
              <w:rPr>
                <w:bCs/>
                <w:color w:val="002060"/>
                <w:sz w:val="16"/>
                <w:szCs w:val="16"/>
              </w:rPr>
              <w:t xml:space="preserve">14 </w:t>
            </w:r>
          </w:p>
        </w:tc>
      </w:tr>
      <w:tr w:rsidR="004B4E35" w:rsidRPr="00405303" w14:paraId="4D8D3612" w14:textId="77777777">
        <w:tc>
          <w:tcPr>
            <w:tcW w:w="1788" w:type="dxa"/>
          </w:tcPr>
          <w:p w14:paraId="6FC8C0D2" w14:textId="77777777" w:rsidR="004B4E35" w:rsidRPr="00405303" w:rsidRDefault="009E6F82" w:rsidP="00C15251">
            <w:pPr>
              <w:jc w:val="both"/>
              <w:rPr>
                <w:bCs/>
                <w:color w:val="002060"/>
                <w:sz w:val="16"/>
                <w:szCs w:val="16"/>
              </w:rPr>
            </w:pPr>
            <w:r w:rsidRPr="00405303">
              <w:rPr>
                <w:bCs/>
                <w:color w:val="002060"/>
                <w:sz w:val="16"/>
                <w:szCs w:val="16"/>
              </w:rPr>
              <w:t xml:space="preserve">1917 г.: </w:t>
            </w:r>
          </w:p>
        </w:tc>
        <w:tc>
          <w:tcPr>
            <w:tcW w:w="684" w:type="dxa"/>
          </w:tcPr>
          <w:p w14:paraId="039A326D" w14:textId="76A587F7" w:rsidR="004B4E35" w:rsidRPr="00405303" w:rsidRDefault="00DB4D64" w:rsidP="00C15251">
            <w:pPr>
              <w:jc w:val="both"/>
              <w:rPr>
                <w:bCs/>
                <w:color w:val="002060"/>
                <w:sz w:val="16"/>
                <w:szCs w:val="16"/>
              </w:rPr>
            </w:pPr>
            <w:r w:rsidRPr="00405303">
              <w:rPr>
                <w:bCs/>
                <w:color w:val="002060"/>
                <w:sz w:val="16"/>
                <w:szCs w:val="16"/>
              </w:rPr>
              <w:t xml:space="preserve"> </w:t>
            </w:r>
          </w:p>
        </w:tc>
      </w:tr>
      <w:tr w:rsidR="004B4E35" w:rsidRPr="00405303" w14:paraId="2A6B9B15" w14:textId="77777777">
        <w:tc>
          <w:tcPr>
            <w:tcW w:w="1788" w:type="dxa"/>
          </w:tcPr>
          <w:p w14:paraId="3D602C67" w14:textId="77777777" w:rsidR="004B4E35" w:rsidRPr="00405303" w:rsidRDefault="009E6F82" w:rsidP="00C15251">
            <w:pPr>
              <w:jc w:val="both"/>
              <w:rPr>
                <w:bCs/>
                <w:color w:val="002060"/>
                <w:sz w:val="16"/>
                <w:szCs w:val="16"/>
              </w:rPr>
            </w:pPr>
            <w:r w:rsidRPr="00405303">
              <w:rPr>
                <w:bCs/>
                <w:color w:val="002060"/>
                <w:sz w:val="16"/>
                <w:szCs w:val="16"/>
              </w:rPr>
              <w:t>Январь</w:t>
            </w:r>
          </w:p>
        </w:tc>
        <w:tc>
          <w:tcPr>
            <w:tcW w:w="684" w:type="dxa"/>
          </w:tcPr>
          <w:p w14:paraId="2D94396B" w14:textId="77777777" w:rsidR="004B4E35" w:rsidRPr="00405303" w:rsidRDefault="009E6F82" w:rsidP="00C15251">
            <w:pPr>
              <w:jc w:val="both"/>
              <w:rPr>
                <w:bCs/>
                <w:color w:val="002060"/>
                <w:sz w:val="16"/>
                <w:szCs w:val="16"/>
              </w:rPr>
            </w:pPr>
            <w:r w:rsidRPr="00405303">
              <w:rPr>
                <w:bCs/>
                <w:color w:val="002060"/>
                <w:sz w:val="16"/>
                <w:szCs w:val="16"/>
              </w:rPr>
              <w:t xml:space="preserve">15 </w:t>
            </w:r>
          </w:p>
        </w:tc>
      </w:tr>
    </w:tbl>
    <w:p w14:paraId="7D294CF7" w14:textId="77777777" w:rsidR="004B4E35" w:rsidRPr="00405303" w:rsidRDefault="009E6F82" w:rsidP="00C15251">
      <w:pPr>
        <w:jc w:val="both"/>
        <w:rPr>
          <w:bCs/>
          <w:color w:val="002060"/>
          <w:sz w:val="16"/>
          <w:szCs w:val="16"/>
        </w:rPr>
      </w:pPr>
      <w:r w:rsidRPr="00405303">
        <w:rPr>
          <w:bCs/>
          <w:color w:val="002060"/>
          <w:sz w:val="16"/>
          <w:szCs w:val="16"/>
        </w:rPr>
        <w:t xml:space="preserve">Добывание бензола, толуола и др. побочных продуктов коксования каменного угля явилось совершенно новой у нас отраслью промышленности. До войны этим путем добывались исключительно сернокислый аммоний, нашатырный спирт, каменноугольная смола и др. Более ценные продукты — бензол, толуол, антрацен и др. получались лишь в весьма незначительном количестве на трех заводах: в Енакиеве, Байраке и Щербинском. </w:t>
      </w:r>
    </w:p>
    <w:p w14:paraId="347AA5DA" w14:textId="77777777" w:rsidR="004B4E35" w:rsidRPr="00405303" w:rsidRDefault="009E6F82" w:rsidP="00C15251">
      <w:pPr>
        <w:jc w:val="both"/>
        <w:rPr>
          <w:bCs/>
          <w:color w:val="002060"/>
          <w:sz w:val="16"/>
          <w:szCs w:val="16"/>
        </w:rPr>
      </w:pPr>
      <w:r w:rsidRPr="00405303">
        <w:rPr>
          <w:bCs/>
          <w:color w:val="002060"/>
          <w:sz w:val="16"/>
          <w:szCs w:val="16"/>
        </w:rPr>
        <w:t>Бензоловые заводы представляют подлинную здоровую базу для питания необходимыми материалами важнейшей отрасли военной промышленности, вырабатывающей взрывчатые вещества. В то же время эти заводы нужны были и мирной промышленности для красящих веществ, фармацевтических средств, медицинских препаратов и т.д. Эти последние отрасли ранее черпали всегда сырье из Германии, и широкое развитие коксобензольной промышленности освободило бы всю нашу химическую промышленность, как военную, так и гражданскую, от иностранной зависимости.</w:t>
      </w:r>
    </w:p>
    <w:p w14:paraId="60397B6D" w14:textId="77777777" w:rsidR="004B4E35" w:rsidRPr="00405303" w:rsidRDefault="009E6F82" w:rsidP="00C15251">
      <w:pPr>
        <w:jc w:val="both"/>
        <w:rPr>
          <w:bCs/>
          <w:color w:val="002060"/>
          <w:sz w:val="16"/>
          <w:szCs w:val="16"/>
        </w:rPr>
      </w:pPr>
      <w:r w:rsidRPr="00405303">
        <w:rPr>
          <w:bCs/>
          <w:color w:val="002060"/>
          <w:sz w:val="16"/>
          <w:szCs w:val="16"/>
        </w:rPr>
        <w:t xml:space="preserve">В 1914 г. в Донецком бассейне существовало 6150 коксовальных печей. Из них только 1268, при 13 коксовых заводах, были приспособлены к частичному улавливанию побочных продуктов коксования: 10 заводов (910 печей) улавливали дешевые и тяжелые продукты, и только упомянутые выше три завода — Енакиевский, Байракский и Щербиновский (358 печей) улавливали сырой бензол. </w:t>
      </w:r>
    </w:p>
    <w:p w14:paraId="1840FFA2" w14:textId="77777777" w:rsidR="004B4E35" w:rsidRPr="00405303" w:rsidRDefault="009E6F82" w:rsidP="00C15251">
      <w:pPr>
        <w:jc w:val="both"/>
        <w:rPr>
          <w:bCs/>
          <w:color w:val="002060"/>
          <w:sz w:val="16"/>
          <w:szCs w:val="16"/>
        </w:rPr>
      </w:pPr>
      <w:r w:rsidRPr="00405303">
        <w:rPr>
          <w:bCs/>
          <w:color w:val="002060"/>
          <w:sz w:val="16"/>
          <w:szCs w:val="16"/>
        </w:rPr>
        <w:t xml:space="preserve">В первую очередь комиссия Ипатьева занялась постройкой бензоловых заводов при указанных 13 предприятиях. Затем в 1915 и 1916 гг. была предпринята постройка еще 13 заводов с расчетом на обслуживание 1200 печей, из которых часть печей возводилась заново. Намечен был, таким образом, план создать 26 бензольных заводов с 2400 печами. Осуществить постройку всех 26 заводов не удалось по разным причинам — расстройство транспорта, недостаток материалов и пр. Из строившихся 20 заводов часть была пущена в ход в 1915 и 1916 гг., часть была в 1917 г. еще не достроена. </w:t>
      </w:r>
    </w:p>
    <w:p w14:paraId="109BA712" w14:textId="77777777" w:rsidR="004B4E35" w:rsidRPr="00405303" w:rsidRDefault="009E6F82" w:rsidP="00C15251">
      <w:pPr>
        <w:jc w:val="both"/>
        <w:rPr>
          <w:bCs/>
          <w:color w:val="002060"/>
          <w:sz w:val="16"/>
          <w:szCs w:val="16"/>
        </w:rPr>
      </w:pPr>
      <w:r w:rsidRPr="00405303">
        <w:rPr>
          <w:bCs/>
          <w:color w:val="002060"/>
          <w:sz w:val="16"/>
          <w:szCs w:val="16"/>
        </w:rPr>
        <w:t xml:space="preserve">Производство сырого бензола в 1915 и 1916 гг. по отдельным заводам показано в следующей таблице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68"/>
        <w:gridCol w:w="792"/>
        <w:gridCol w:w="684"/>
      </w:tblGrid>
      <w:tr w:rsidR="004B4E35" w:rsidRPr="00405303" w14:paraId="5DD9EA3E" w14:textId="77777777">
        <w:tc>
          <w:tcPr>
            <w:tcW w:w="2268" w:type="dxa"/>
          </w:tcPr>
          <w:p w14:paraId="3E652060" w14:textId="77777777" w:rsidR="004B4E35" w:rsidRPr="00405303" w:rsidRDefault="009E6F82" w:rsidP="00C15251">
            <w:pPr>
              <w:jc w:val="both"/>
              <w:rPr>
                <w:bCs/>
                <w:color w:val="002060"/>
                <w:sz w:val="16"/>
                <w:szCs w:val="16"/>
              </w:rPr>
            </w:pPr>
            <w:r w:rsidRPr="00405303">
              <w:rPr>
                <w:bCs/>
                <w:color w:val="002060"/>
                <w:sz w:val="16"/>
                <w:szCs w:val="16"/>
              </w:rPr>
              <w:lastRenderedPageBreak/>
              <w:t>Заводы</w:t>
            </w:r>
          </w:p>
        </w:tc>
        <w:tc>
          <w:tcPr>
            <w:tcW w:w="792" w:type="dxa"/>
          </w:tcPr>
          <w:p w14:paraId="4897DD9D" w14:textId="77777777" w:rsidR="004B4E35" w:rsidRPr="00405303" w:rsidRDefault="009E6F82" w:rsidP="00C15251">
            <w:pPr>
              <w:jc w:val="both"/>
              <w:rPr>
                <w:bCs/>
                <w:color w:val="002060"/>
                <w:sz w:val="16"/>
                <w:szCs w:val="16"/>
              </w:rPr>
            </w:pPr>
            <w:r w:rsidRPr="00405303">
              <w:rPr>
                <w:bCs/>
                <w:color w:val="002060"/>
                <w:sz w:val="16"/>
                <w:szCs w:val="16"/>
              </w:rPr>
              <w:t>1915 г.</w:t>
            </w:r>
          </w:p>
        </w:tc>
        <w:tc>
          <w:tcPr>
            <w:tcW w:w="684" w:type="dxa"/>
          </w:tcPr>
          <w:p w14:paraId="051DA89B" w14:textId="77777777" w:rsidR="004B4E35" w:rsidRPr="00405303" w:rsidRDefault="009E6F82" w:rsidP="00C15251">
            <w:pPr>
              <w:jc w:val="both"/>
              <w:rPr>
                <w:bCs/>
                <w:color w:val="002060"/>
                <w:sz w:val="16"/>
                <w:szCs w:val="16"/>
              </w:rPr>
            </w:pPr>
            <w:r w:rsidRPr="00405303">
              <w:rPr>
                <w:bCs/>
                <w:color w:val="002060"/>
                <w:sz w:val="16"/>
                <w:szCs w:val="16"/>
              </w:rPr>
              <w:t>1916 г.</w:t>
            </w:r>
          </w:p>
        </w:tc>
      </w:tr>
      <w:tr w:rsidR="004B4E35" w:rsidRPr="00405303" w14:paraId="6A0847F8" w14:textId="77777777">
        <w:tc>
          <w:tcPr>
            <w:tcW w:w="2268" w:type="dxa"/>
          </w:tcPr>
          <w:p w14:paraId="0BFC459C" w14:textId="77777777" w:rsidR="004B4E35" w:rsidRPr="00405303" w:rsidRDefault="009E6F82" w:rsidP="00C15251">
            <w:pPr>
              <w:jc w:val="both"/>
              <w:rPr>
                <w:bCs/>
                <w:color w:val="002060"/>
                <w:sz w:val="16"/>
                <w:szCs w:val="16"/>
              </w:rPr>
            </w:pPr>
            <w:r w:rsidRPr="00405303">
              <w:rPr>
                <w:bCs/>
                <w:color w:val="002060"/>
                <w:sz w:val="16"/>
                <w:szCs w:val="16"/>
              </w:rPr>
              <w:t>Э. Коппе, ст. Енакиево</w:t>
            </w:r>
          </w:p>
        </w:tc>
        <w:tc>
          <w:tcPr>
            <w:tcW w:w="792" w:type="dxa"/>
          </w:tcPr>
          <w:p w14:paraId="68073987" w14:textId="77777777" w:rsidR="004B4E35" w:rsidRPr="00405303" w:rsidRDefault="009E6F82" w:rsidP="00C15251">
            <w:pPr>
              <w:jc w:val="both"/>
              <w:rPr>
                <w:bCs/>
                <w:color w:val="002060"/>
                <w:sz w:val="16"/>
                <w:szCs w:val="16"/>
              </w:rPr>
            </w:pPr>
            <w:r w:rsidRPr="00405303">
              <w:rPr>
                <w:bCs/>
                <w:color w:val="002060"/>
                <w:sz w:val="16"/>
                <w:szCs w:val="16"/>
              </w:rPr>
              <w:t>117,9</w:t>
            </w:r>
          </w:p>
        </w:tc>
        <w:tc>
          <w:tcPr>
            <w:tcW w:w="684" w:type="dxa"/>
          </w:tcPr>
          <w:p w14:paraId="7836D14C" w14:textId="77777777" w:rsidR="004B4E35" w:rsidRPr="00405303" w:rsidRDefault="009E6F82" w:rsidP="00C15251">
            <w:pPr>
              <w:jc w:val="both"/>
              <w:rPr>
                <w:bCs/>
                <w:color w:val="002060"/>
                <w:sz w:val="16"/>
                <w:szCs w:val="16"/>
              </w:rPr>
            </w:pPr>
            <w:r w:rsidRPr="00405303">
              <w:rPr>
                <w:bCs/>
                <w:color w:val="002060"/>
                <w:sz w:val="16"/>
                <w:szCs w:val="16"/>
              </w:rPr>
              <w:t>131,1</w:t>
            </w:r>
          </w:p>
        </w:tc>
      </w:tr>
      <w:tr w:rsidR="004B4E35" w:rsidRPr="00405303" w14:paraId="00CB032D" w14:textId="77777777">
        <w:tc>
          <w:tcPr>
            <w:tcW w:w="2268" w:type="dxa"/>
          </w:tcPr>
          <w:p w14:paraId="5ABDDC92" w14:textId="77777777" w:rsidR="004B4E35" w:rsidRPr="00405303" w:rsidRDefault="009E6F82" w:rsidP="00C15251">
            <w:pPr>
              <w:jc w:val="both"/>
              <w:rPr>
                <w:bCs/>
                <w:color w:val="002060"/>
                <w:sz w:val="16"/>
                <w:szCs w:val="16"/>
              </w:rPr>
            </w:pPr>
            <w:r w:rsidRPr="00405303">
              <w:rPr>
                <w:bCs/>
                <w:color w:val="002060"/>
                <w:sz w:val="16"/>
                <w:szCs w:val="16"/>
              </w:rPr>
              <w:t>Э. Коппк, ст. Юзовка</w:t>
            </w:r>
          </w:p>
        </w:tc>
        <w:tc>
          <w:tcPr>
            <w:tcW w:w="792" w:type="dxa"/>
          </w:tcPr>
          <w:p w14:paraId="40C3A0F6" w14:textId="77777777" w:rsidR="004B4E35" w:rsidRPr="00405303" w:rsidRDefault="009E6F82" w:rsidP="00C15251">
            <w:pPr>
              <w:jc w:val="both"/>
              <w:rPr>
                <w:bCs/>
                <w:color w:val="002060"/>
                <w:sz w:val="16"/>
                <w:szCs w:val="16"/>
              </w:rPr>
            </w:pPr>
            <w:r w:rsidRPr="00405303">
              <w:rPr>
                <w:bCs/>
                <w:color w:val="002060"/>
                <w:sz w:val="16"/>
                <w:szCs w:val="16"/>
              </w:rPr>
              <w:t>46,6</w:t>
            </w:r>
          </w:p>
        </w:tc>
        <w:tc>
          <w:tcPr>
            <w:tcW w:w="684" w:type="dxa"/>
          </w:tcPr>
          <w:p w14:paraId="2C02C1A1" w14:textId="77777777" w:rsidR="004B4E35" w:rsidRPr="00405303" w:rsidRDefault="009E6F82" w:rsidP="00C15251">
            <w:pPr>
              <w:jc w:val="both"/>
              <w:rPr>
                <w:bCs/>
                <w:color w:val="002060"/>
                <w:sz w:val="16"/>
                <w:szCs w:val="16"/>
              </w:rPr>
            </w:pPr>
            <w:r w:rsidRPr="00405303">
              <w:rPr>
                <w:bCs/>
                <w:color w:val="002060"/>
                <w:sz w:val="16"/>
                <w:szCs w:val="16"/>
              </w:rPr>
              <w:t>90,1</w:t>
            </w:r>
          </w:p>
        </w:tc>
      </w:tr>
      <w:tr w:rsidR="004B4E35" w:rsidRPr="00405303" w14:paraId="7BBC1429" w14:textId="77777777">
        <w:tc>
          <w:tcPr>
            <w:tcW w:w="2268" w:type="dxa"/>
          </w:tcPr>
          <w:p w14:paraId="074585FB" w14:textId="77777777" w:rsidR="004B4E35" w:rsidRPr="00405303" w:rsidRDefault="009E6F82" w:rsidP="00C15251">
            <w:pPr>
              <w:jc w:val="both"/>
              <w:rPr>
                <w:bCs/>
                <w:color w:val="002060"/>
                <w:sz w:val="16"/>
                <w:szCs w:val="16"/>
              </w:rPr>
            </w:pPr>
            <w:r w:rsidRPr="00405303">
              <w:rPr>
                <w:bCs/>
                <w:color w:val="002060"/>
                <w:sz w:val="16"/>
                <w:szCs w:val="16"/>
              </w:rPr>
              <w:t>Э. Коппе, ст. Байрак</w:t>
            </w:r>
          </w:p>
        </w:tc>
        <w:tc>
          <w:tcPr>
            <w:tcW w:w="792" w:type="dxa"/>
          </w:tcPr>
          <w:p w14:paraId="11319D3E" w14:textId="77777777" w:rsidR="004B4E35" w:rsidRPr="00405303" w:rsidRDefault="009E6F82" w:rsidP="00C15251">
            <w:pPr>
              <w:jc w:val="both"/>
              <w:rPr>
                <w:bCs/>
                <w:color w:val="002060"/>
                <w:sz w:val="16"/>
                <w:szCs w:val="16"/>
              </w:rPr>
            </w:pPr>
            <w:r w:rsidRPr="00405303">
              <w:rPr>
                <w:bCs/>
                <w:color w:val="002060"/>
                <w:sz w:val="16"/>
                <w:szCs w:val="16"/>
              </w:rPr>
              <w:t>31,2</w:t>
            </w:r>
          </w:p>
        </w:tc>
        <w:tc>
          <w:tcPr>
            <w:tcW w:w="684" w:type="dxa"/>
          </w:tcPr>
          <w:p w14:paraId="376A1533" w14:textId="77777777" w:rsidR="004B4E35" w:rsidRPr="00405303" w:rsidRDefault="009E6F82" w:rsidP="00C15251">
            <w:pPr>
              <w:jc w:val="both"/>
              <w:rPr>
                <w:bCs/>
                <w:color w:val="002060"/>
                <w:sz w:val="16"/>
                <w:szCs w:val="16"/>
              </w:rPr>
            </w:pPr>
            <w:r w:rsidRPr="00405303">
              <w:rPr>
                <w:bCs/>
                <w:color w:val="002060"/>
                <w:sz w:val="16"/>
                <w:szCs w:val="16"/>
              </w:rPr>
              <w:t>26,9</w:t>
            </w:r>
          </w:p>
        </w:tc>
      </w:tr>
      <w:tr w:rsidR="004B4E35" w:rsidRPr="00405303" w14:paraId="7C448253" w14:textId="77777777">
        <w:tc>
          <w:tcPr>
            <w:tcW w:w="2268" w:type="dxa"/>
          </w:tcPr>
          <w:p w14:paraId="795E6E1D" w14:textId="77777777" w:rsidR="004B4E35" w:rsidRPr="00405303" w:rsidRDefault="009E6F82" w:rsidP="00C15251">
            <w:pPr>
              <w:jc w:val="both"/>
              <w:rPr>
                <w:bCs/>
                <w:color w:val="002060"/>
                <w:sz w:val="16"/>
                <w:szCs w:val="16"/>
              </w:rPr>
            </w:pPr>
            <w:r w:rsidRPr="00405303">
              <w:rPr>
                <w:bCs/>
                <w:color w:val="002060"/>
                <w:sz w:val="16"/>
                <w:szCs w:val="16"/>
              </w:rPr>
              <w:t>Э. Коппе, ст. Веровка</w:t>
            </w:r>
          </w:p>
        </w:tc>
        <w:tc>
          <w:tcPr>
            <w:tcW w:w="792" w:type="dxa"/>
          </w:tcPr>
          <w:p w14:paraId="36B34D3D" w14:textId="77777777" w:rsidR="004B4E35" w:rsidRPr="00405303" w:rsidRDefault="009E6F82" w:rsidP="00C15251">
            <w:pPr>
              <w:jc w:val="both"/>
              <w:rPr>
                <w:bCs/>
                <w:color w:val="002060"/>
                <w:sz w:val="16"/>
                <w:szCs w:val="16"/>
              </w:rPr>
            </w:pPr>
            <w:r w:rsidRPr="00405303">
              <w:rPr>
                <w:bCs/>
                <w:color w:val="002060"/>
                <w:sz w:val="16"/>
                <w:szCs w:val="16"/>
              </w:rPr>
              <w:t>11,5</w:t>
            </w:r>
          </w:p>
        </w:tc>
        <w:tc>
          <w:tcPr>
            <w:tcW w:w="684" w:type="dxa"/>
          </w:tcPr>
          <w:p w14:paraId="17A6FCFF" w14:textId="77777777" w:rsidR="004B4E35" w:rsidRPr="00405303" w:rsidRDefault="009E6F82" w:rsidP="00C15251">
            <w:pPr>
              <w:jc w:val="both"/>
              <w:rPr>
                <w:bCs/>
                <w:color w:val="002060"/>
                <w:sz w:val="16"/>
                <w:szCs w:val="16"/>
              </w:rPr>
            </w:pPr>
            <w:r w:rsidRPr="00405303">
              <w:rPr>
                <w:bCs/>
                <w:color w:val="002060"/>
                <w:sz w:val="16"/>
                <w:szCs w:val="16"/>
              </w:rPr>
              <w:t>19,3</w:t>
            </w:r>
          </w:p>
        </w:tc>
      </w:tr>
      <w:tr w:rsidR="004B4E35" w:rsidRPr="00405303" w14:paraId="5090D248" w14:textId="77777777">
        <w:tc>
          <w:tcPr>
            <w:tcW w:w="2268" w:type="dxa"/>
          </w:tcPr>
          <w:p w14:paraId="6B489320" w14:textId="77777777" w:rsidR="004B4E35" w:rsidRPr="00405303" w:rsidRDefault="009E6F82" w:rsidP="00C15251">
            <w:pPr>
              <w:jc w:val="both"/>
              <w:rPr>
                <w:bCs/>
                <w:color w:val="002060"/>
                <w:sz w:val="16"/>
                <w:szCs w:val="16"/>
              </w:rPr>
            </w:pPr>
            <w:r w:rsidRPr="00405303">
              <w:rPr>
                <w:bCs/>
                <w:color w:val="002060"/>
                <w:sz w:val="16"/>
                <w:szCs w:val="16"/>
              </w:rPr>
              <w:t>Э. Коппе, ст. Сартана</w:t>
            </w:r>
          </w:p>
        </w:tc>
        <w:tc>
          <w:tcPr>
            <w:tcW w:w="792" w:type="dxa"/>
          </w:tcPr>
          <w:p w14:paraId="5A411EE5" w14:textId="77777777" w:rsidR="004B4E35" w:rsidRPr="00405303" w:rsidRDefault="009E6F82" w:rsidP="00C15251">
            <w:pPr>
              <w:jc w:val="both"/>
              <w:rPr>
                <w:bCs/>
                <w:color w:val="002060"/>
                <w:sz w:val="16"/>
                <w:szCs w:val="16"/>
              </w:rPr>
            </w:pPr>
            <w:r w:rsidRPr="00405303">
              <w:rPr>
                <w:bCs/>
                <w:color w:val="002060"/>
                <w:sz w:val="16"/>
                <w:szCs w:val="16"/>
              </w:rPr>
              <w:t>2.5</w:t>
            </w:r>
          </w:p>
        </w:tc>
        <w:tc>
          <w:tcPr>
            <w:tcW w:w="684" w:type="dxa"/>
          </w:tcPr>
          <w:p w14:paraId="0F4B232B" w14:textId="77777777" w:rsidR="004B4E35" w:rsidRPr="00405303" w:rsidRDefault="009E6F82" w:rsidP="00C15251">
            <w:pPr>
              <w:jc w:val="both"/>
              <w:rPr>
                <w:bCs/>
                <w:color w:val="002060"/>
                <w:sz w:val="16"/>
                <w:szCs w:val="16"/>
              </w:rPr>
            </w:pPr>
            <w:r w:rsidRPr="00405303">
              <w:rPr>
                <w:bCs/>
                <w:color w:val="002060"/>
                <w:sz w:val="16"/>
                <w:szCs w:val="16"/>
              </w:rPr>
              <w:t>15,7</w:t>
            </w:r>
          </w:p>
        </w:tc>
      </w:tr>
      <w:tr w:rsidR="004B4E35" w:rsidRPr="00405303" w14:paraId="3277D8C5" w14:textId="77777777">
        <w:tc>
          <w:tcPr>
            <w:tcW w:w="2268" w:type="dxa"/>
          </w:tcPr>
          <w:p w14:paraId="5EDFEDB2" w14:textId="77777777" w:rsidR="004B4E35" w:rsidRPr="00405303" w:rsidRDefault="009E6F82" w:rsidP="00C15251">
            <w:pPr>
              <w:jc w:val="both"/>
              <w:rPr>
                <w:bCs/>
                <w:color w:val="002060"/>
                <w:sz w:val="16"/>
                <w:szCs w:val="16"/>
              </w:rPr>
            </w:pPr>
            <w:r w:rsidRPr="00405303">
              <w:rPr>
                <w:bCs/>
                <w:color w:val="002060"/>
                <w:sz w:val="16"/>
                <w:szCs w:val="16"/>
              </w:rPr>
              <w:t>О. Пьетт, ст. Макеевка</w:t>
            </w:r>
          </w:p>
        </w:tc>
        <w:tc>
          <w:tcPr>
            <w:tcW w:w="792" w:type="dxa"/>
          </w:tcPr>
          <w:p w14:paraId="4FAEA1D3" w14:textId="77777777" w:rsidR="004B4E35" w:rsidRPr="00405303" w:rsidRDefault="009E6F82" w:rsidP="00C15251">
            <w:pPr>
              <w:jc w:val="both"/>
              <w:rPr>
                <w:bCs/>
                <w:color w:val="002060"/>
                <w:sz w:val="16"/>
                <w:szCs w:val="16"/>
              </w:rPr>
            </w:pPr>
            <w:r w:rsidRPr="00405303">
              <w:rPr>
                <w:bCs/>
                <w:color w:val="002060"/>
                <w:sz w:val="16"/>
                <w:szCs w:val="16"/>
              </w:rPr>
              <w:t>62,6</w:t>
            </w:r>
          </w:p>
        </w:tc>
        <w:tc>
          <w:tcPr>
            <w:tcW w:w="684" w:type="dxa"/>
          </w:tcPr>
          <w:p w14:paraId="79830586" w14:textId="77777777" w:rsidR="004B4E35" w:rsidRPr="00405303" w:rsidRDefault="009E6F82" w:rsidP="00C15251">
            <w:pPr>
              <w:jc w:val="both"/>
              <w:rPr>
                <w:bCs/>
                <w:color w:val="002060"/>
                <w:sz w:val="16"/>
                <w:szCs w:val="16"/>
              </w:rPr>
            </w:pPr>
            <w:r w:rsidRPr="00405303">
              <w:rPr>
                <w:bCs/>
                <w:color w:val="002060"/>
                <w:sz w:val="16"/>
                <w:szCs w:val="16"/>
              </w:rPr>
              <w:t>125,9</w:t>
            </w:r>
          </w:p>
        </w:tc>
      </w:tr>
      <w:tr w:rsidR="004B4E35" w:rsidRPr="00405303" w14:paraId="6701B0A1" w14:textId="77777777">
        <w:tc>
          <w:tcPr>
            <w:tcW w:w="2268" w:type="dxa"/>
          </w:tcPr>
          <w:p w14:paraId="3AC3D768" w14:textId="77777777" w:rsidR="004B4E35" w:rsidRPr="00405303" w:rsidRDefault="009E6F82" w:rsidP="00C15251">
            <w:pPr>
              <w:jc w:val="both"/>
              <w:rPr>
                <w:bCs/>
                <w:color w:val="002060"/>
                <w:sz w:val="16"/>
                <w:szCs w:val="16"/>
              </w:rPr>
            </w:pPr>
            <w:r w:rsidRPr="00405303">
              <w:rPr>
                <w:bCs/>
                <w:color w:val="002060"/>
                <w:sz w:val="16"/>
                <w:szCs w:val="16"/>
              </w:rPr>
              <w:t>Кадиевский казенный завод</w:t>
            </w:r>
          </w:p>
        </w:tc>
        <w:tc>
          <w:tcPr>
            <w:tcW w:w="792" w:type="dxa"/>
          </w:tcPr>
          <w:p w14:paraId="062B8275" w14:textId="77777777" w:rsidR="004B4E35" w:rsidRPr="00405303" w:rsidRDefault="009E6F82" w:rsidP="00C15251">
            <w:pPr>
              <w:jc w:val="both"/>
              <w:rPr>
                <w:bCs/>
                <w:color w:val="002060"/>
                <w:sz w:val="16"/>
                <w:szCs w:val="16"/>
              </w:rPr>
            </w:pPr>
            <w:r w:rsidRPr="00405303">
              <w:rPr>
                <w:bCs/>
                <w:color w:val="002060"/>
                <w:sz w:val="16"/>
                <w:szCs w:val="16"/>
              </w:rPr>
              <w:t>62,3</w:t>
            </w:r>
          </w:p>
        </w:tc>
        <w:tc>
          <w:tcPr>
            <w:tcW w:w="684" w:type="dxa"/>
          </w:tcPr>
          <w:p w14:paraId="4E387588" w14:textId="77777777" w:rsidR="004B4E35" w:rsidRPr="00405303" w:rsidRDefault="009E6F82" w:rsidP="00C15251">
            <w:pPr>
              <w:jc w:val="both"/>
              <w:rPr>
                <w:bCs/>
                <w:color w:val="002060"/>
                <w:sz w:val="16"/>
                <w:szCs w:val="16"/>
              </w:rPr>
            </w:pPr>
            <w:r w:rsidRPr="00405303">
              <w:rPr>
                <w:bCs/>
                <w:color w:val="002060"/>
                <w:sz w:val="16"/>
                <w:szCs w:val="16"/>
              </w:rPr>
              <w:t>167,1</w:t>
            </w:r>
          </w:p>
        </w:tc>
      </w:tr>
      <w:tr w:rsidR="004B4E35" w:rsidRPr="00405303" w14:paraId="7779F0EF" w14:textId="77777777">
        <w:tc>
          <w:tcPr>
            <w:tcW w:w="2268" w:type="dxa"/>
          </w:tcPr>
          <w:p w14:paraId="46E2029B" w14:textId="77777777" w:rsidR="004B4E35" w:rsidRPr="00405303" w:rsidRDefault="009E6F82" w:rsidP="00C15251">
            <w:pPr>
              <w:jc w:val="both"/>
              <w:rPr>
                <w:bCs/>
                <w:color w:val="002060"/>
                <w:sz w:val="16"/>
                <w:szCs w:val="16"/>
              </w:rPr>
            </w:pPr>
            <w:r w:rsidRPr="00405303">
              <w:rPr>
                <w:bCs/>
                <w:color w:val="002060"/>
                <w:sz w:val="16"/>
                <w:szCs w:val="16"/>
              </w:rPr>
              <w:t>Щербиновский завод</w:t>
            </w:r>
          </w:p>
        </w:tc>
        <w:tc>
          <w:tcPr>
            <w:tcW w:w="792" w:type="dxa"/>
          </w:tcPr>
          <w:p w14:paraId="678AC049" w14:textId="77777777" w:rsidR="004B4E35" w:rsidRPr="00405303" w:rsidRDefault="009E6F82" w:rsidP="00C15251">
            <w:pPr>
              <w:jc w:val="both"/>
              <w:rPr>
                <w:bCs/>
                <w:color w:val="002060"/>
                <w:sz w:val="16"/>
                <w:szCs w:val="16"/>
              </w:rPr>
            </w:pPr>
            <w:r w:rsidRPr="00405303">
              <w:rPr>
                <w:bCs/>
                <w:color w:val="002060"/>
                <w:sz w:val="16"/>
                <w:szCs w:val="16"/>
              </w:rPr>
              <w:t>29,7</w:t>
            </w:r>
          </w:p>
        </w:tc>
        <w:tc>
          <w:tcPr>
            <w:tcW w:w="684" w:type="dxa"/>
          </w:tcPr>
          <w:p w14:paraId="50FF9167" w14:textId="77777777" w:rsidR="004B4E35" w:rsidRPr="00405303" w:rsidRDefault="009E6F82" w:rsidP="00C15251">
            <w:pPr>
              <w:jc w:val="both"/>
              <w:rPr>
                <w:bCs/>
                <w:color w:val="002060"/>
                <w:sz w:val="16"/>
                <w:szCs w:val="16"/>
              </w:rPr>
            </w:pPr>
            <w:r w:rsidRPr="00405303">
              <w:rPr>
                <w:bCs/>
                <w:color w:val="002060"/>
                <w:sz w:val="16"/>
                <w:szCs w:val="16"/>
              </w:rPr>
              <w:t>36,9</w:t>
            </w:r>
          </w:p>
        </w:tc>
      </w:tr>
      <w:tr w:rsidR="004B4E35" w:rsidRPr="00405303" w14:paraId="6DE59745" w14:textId="77777777">
        <w:tc>
          <w:tcPr>
            <w:tcW w:w="2268" w:type="dxa"/>
          </w:tcPr>
          <w:p w14:paraId="1C1CFCD5" w14:textId="77777777" w:rsidR="004B4E35" w:rsidRPr="00405303" w:rsidRDefault="009E6F82" w:rsidP="00C15251">
            <w:pPr>
              <w:jc w:val="both"/>
              <w:rPr>
                <w:bCs/>
                <w:color w:val="002060"/>
                <w:sz w:val="16"/>
                <w:szCs w:val="16"/>
              </w:rPr>
            </w:pPr>
            <w:r w:rsidRPr="00405303">
              <w:rPr>
                <w:bCs/>
                <w:color w:val="002060"/>
                <w:sz w:val="16"/>
                <w:szCs w:val="16"/>
              </w:rPr>
              <w:t>Общество Карбонизоми (Горловка)</w:t>
            </w:r>
          </w:p>
        </w:tc>
        <w:tc>
          <w:tcPr>
            <w:tcW w:w="792" w:type="dxa"/>
          </w:tcPr>
          <w:p w14:paraId="1F1C4289" w14:textId="77777777" w:rsidR="004B4E35" w:rsidRPr="00405303" w:rsidRDefault="009E6F82" w:rsidP="00C15251">
            <w:pPr>
              <w:jc w:val="both"/>
              <w:rPr>
                <w:bCs/>
                <w:color w:val="002060"/>
                <w:sz w:val="16"/>
                <w:szCs w:val="16"/>
              </w:rPr>
            </w:pPr>
            <w:r w:rsidRPr="00405303">
              <w:rPr>
                <w:bCs/>
                <w:color w:val="002060"/>
                <w:sz w:val="16"/>
                <w:szCs w:val="16"/>
              </w:rPr>
              <w:t>—</w:t>
            </w:r>
          </w:p>
        </w:tc>
        <w:tc>
          <w:tcPr>
            <w:tcW w:w="684" w:type="dxa"/>
          </w:tcPr>
          <w:p w14:paraId="1A313C5E" w14:textId="77777777" w:rsidR="004B4E35" w:rsidRPr="00405303" w:rsidRDefault="009E6F82" w:rsidP="00C15251">
            <w:pPr>
              <w:jc w:val="both"/>
              <w:rPr>
                <w:bCs/>
                <w:color w:val="002060"/>
                <w:sz w:val="16"/>
                <w:szCs w:val="16"/>
              </w:rPr>
            </w:pPr>
            <w:r w:rsidRPr="00405303">
              <w:rPr>
                <w:bCs/>
                <w:color w:val="002060"/>
                <w:sz w:val="16"/>
                <w:szCs w:val="16"/>
              </w:rPr>
              <w:t>12,4</w:t>
            </w:r>
          </w:p>
        </w:tc>
      </w:tr>
      <w:tr w:rsidR="004B4E35" w:rsidRPr="00405303" w14:paraId="4DC95871" w14:textId="77777777">
        <w:tc>
          <w:tcPr>
            <w:tcW w:w="2268" w:type="dxa"/>
          </w:tcPr>
          <w:p w14:paraId="1BE929F4" w14:textId="77777777" w:rsidR="004B4E35" w:rsidRPr="00405303" w:rsidRDefault="009E6F82" w:rsidP="00C15251">
            <w:pPr>
              <w:jc w:val="both"/>
              <w:rPr>
                <w:bCs/>
                <w:color w:val="002060"/>
                <w:sz w:val="16"/>
                <w:szCs w:val="16"/>
              </w:rPr>
            </w:pPr>
            <w:r w:rsidRPr="00405303">
              <w:rPr>
                <w:bCs/>
                <w:color w:val="002060"/>
                <w:sz w:val="16"/>
                <w:szCs w:val="16"/>
              </w:rPr>
              <w:t>О. Пьетт (Дружковка)</w:t>
            </w:r>
          </w:p>
        </w:tc>
        <w:tc>
          <w:tcPr>
            <w:tcW w:w="792" w:type="dxa"/>
          </w:tcPr>
          <w:p w14:paraId="5AFB4118" w14:textId="77777777" w:rsidR="004B4E35" w:rsidRPr="00405303" w:rsidRDefault="009E6F82" w:rsidP="00C15251">
            <w:pPr>
              <w:jc w:val="both"/>
              <w:rPr>
                <w:bCs/>
                <w:color w:val="002060"/>
                <w:sz w:val="16"/>
                <w:szCs w:val="16"/>
              </w:rPr>
            </w:pPr>
            <w:r w:rsidRPr="00405303">
              <w:rPr>
                <w:bCs/>
                <w:color w:val="002060"/>
                <w:sz w:val="16"/>
                <w:szCs w:val="16"/>
              </w:rPr>
              <w:t>—</w:t>
            </w:r>
          </w:p>
        </w:tc>
        <w:tc>
          <w:tcPr>
            <w:tcW w:w="684" w:type="dxa"/>
          </w:tcPr>
          <w:p w14:paraId="73FD0C2F" w14:textId="77777777" w:rsidR="004B4E35" w:rsidRPr="00405303" w:rsidRDefault="009E6F82" w:rsidP="00C15251">
            <w:pPr>
              <w:jc w:val="both"/>
              <w:rPr>
                <w:bCs/>
                <w:color w:val="002060"/>
                <w:sz w:val="16"/>
                <w:szCs w:val="16"/>
              </w:rPr>
            </w:pPr>
            <w:r w:rsidRPr="00405303">
              <w:rPr>
                <w:bCs/>
                <w:color w:val="002060"/>
                <w:sz w:val="16"/>
                <w:szCs w:val="16"/>
              </w:rPr>
              <w:t>23,1</w:t>
            </w:r>
          </w:p>
        </w:tc>
      </w:tr>
      <w:tr w:rsidR="004B4E35" w:rsidRPr="00405303" w14:paraId="4194EDCE" w14:textId="77777777">
        <w:tc>
          <w:tcPr>
            <w:tcW w:w="2268" w:type="dxa"/>
          </w:tcPr>
          <w:p w14:paraId="4052BA26" w14:textId="77777777" w:rsidR="004B4E35" w:rsidRPr="00405303" w:rsidRDefault="009E6F82" w:rsidP="00C15251">
            <w:pPr>
              <w:jc w:val="both"/>
              <w:rPr>
                <w:bCs/>
                <w:color w:val="002060"/>
                <w:sz w:val="16"/>
                <w:szCs w:val="16"/>
              </w:rPr>
            </w:pPr>
            <w:r w:rsidRPr="00405303">
              <w:rPr>
                <w:bCs/>
                <w:color w:val="002060"/>
                <w:sz w:val="16"/>
                <w:szCs w:val="16"/>
              </w:rPr>
              <w:t>Э. Коппе (Константиновка)</w:t>
            </w:r>
          </w:p>
        </w:tc>
        <w:tc>
          <w:tcPr>
            <w:tcW w:w="792" w:type="dxa"/>
          </w:tcPr>
          <w:p w14:paraId="40BC0824" w14:textId="77777777" w:rsidR="004B4E35" w:rsidRPr="00405303" w:rsidRDefault="009E6F82" w:rsidP="00C15251">
            <w:pPr>
              <w:jc w:val="both"/>
              <w:rPr>
                <w:bCs/>
                <w:color w:val="002060"/>
                <w:sz w:val="16"/>
                <w:szCs w:val="16"/>
              </w:rPr>
            </w:pPr>
            <w:r w:rsidRPr="00405303">
              <w:rPr>
                <w:bCs/>
                <w:color w:val="002060"/>
                <w:sz w:val="16"/>
                <w:szCs w:val="16"/>
              </w:rPr>
              <w:t>—</w:t>
            </w:r>
          </w:p>
        </w:tc>
        <w:tc>
          <w:tcPr>
            <w:tcW w:w="684" w:type="dxa"/>
          </w:tcPr>
          <w:p w14:paraId="089119BC" w14:textId="77777777" w:rsidR="004B4E35" w:rsidRPr="00405303" w:rsidRDefault="009E6F82" w:rsidP="00C15251">
            <w:pPr>
              <w:jc w:val="both"/>
              <w:rPr>
                <w:bCs/>
                <w:color w:val="002060"/>
                <w:sz w:val="16"/>
                <w:szCs w:val="16"/>
              </w:rPr>
            </w:pPr>
            <w:r w:rsidRPr="00405303">
              <w:rPr>
                <w:bCs/>
                <w:color w:val="002060"/>
                <w:sz w:val="16"/>
                <w:szCs w:val="16"/>
              </w:rPr>
              <w:t>8,2</w:t>
            </w:r>
          </w:p>
        </w:tc>
      </w:tr>
      <w:tr w:rsidR="004B4E35" w:rsidRPr="00405303" w14:paraId="3CBD9108" w14:textId="77777777">
        <w:tc>
          <w:tcPr>
            <w:tcW w:w="2268" w:type="dxa"/>
          </w:tcPr>
          <w:p w14:paraId="0973CDA2" w14:textId="77777777" w:rsidR="004B4E35" w:rsidRPr="00405303" w:rsidRDefault="009E6F82" w:rsidP="00C15251">
            <w:pPr>
              <w:jc w:val="both"/>
              <w:rPr>
                <w:bCs/>
                <w:color w:val="002060"/>
                <w:sz w:val="16"/>
                <w:szCs w:val="16"/>
              </w:rPr>
            </w:pPr>
            <w:r w:rsidRPr="00405303">
              <w:rPr>
                <w:bCs/>
                <w:color w:val="002060"/>
                <w:sz w:val="16"/>
                <w:szCs w:val="16"/>
              </w:rPr>
              <w:t>Всего</w:t>
            </w:r>
          </w:p>
        </w:tc>
        <w:tc>
          <w:tcPr>
            <w:tcW w:w="792" w:type="dxa"/>
          </w:tcPr>
          <w:p w14:paraId="3AA47281" w14:textId="77777777" w:rsidR="004B4E35" w:rsidRPr="00405303" w:rsidRDefault="009E6F82" w:rsidP="00C15251">
            <w:pPr>
              <w:jc w:val="both"/>
              <w:rPr>
                <w:bCs/>
                <w:color w:val="002060"/>
                <w:sz w:val="16"/>
                <w:szCs w:val="16"/>
              </w:rPr>
            </w:pPr>
            <w:r w:rsidRPr="00405303">
              <w:rPr>
                <w:bCs/>
                <w:color w:val="002060"/>
                <w:sz w:val="16"/>
                <w:szCs w:val="16"/>
              </w:rPr>
              <w:t>364,3</w:t>
            </w:r>
          </w:p>
        </w:tc>
        <w:tc>
          <w:tcPr>
            <w:tcW w:w="684" w:type="dxa"/>
          </w:tcPr>
          <w:p w14:paraId="51C9909C" w14:textId="77777777" w:rsidR="004B4E35" w:rsidRPr="00405303" w:rsidRDefault="009E6F82" w:rsidP="00C15251">
            <w:pPr>
              <w:jc w:val="both"/>
              <w:rPr>
                <w:bCs/>
                <w:color w:val="002060"/>
                <w:sz w:val="16"/>
                <w:szCs w:val="16"/>
              </w:rPr>
            </w:pPr>
            <w:r w:rsidRPr="00405303">
              <w:rPr>
                <w:bCs/>
                <w:color w:val="002060"/>
                <w:sz w:val="16"/>
                <w:szCs w:val="16"/>
              </w:rPr>
              <w:t>656,7</w:t>
            </w:r>
          </w:p>
        </w:tc>
      </w:tr>
    </w:tbl>
    <w:p w14:paraId="4F71AA02" w14:textId="77777777" w:rsidR="004B4E35" w:rsidRPr="00405303" w:rsidRDefault="009E6F82" w:rsidP="00C15251">
      <w:pPr>
        <w:jc w:val="both"/>
        <w:rPr>
          <w:bCs/>
          <w:color w:val="002060"/>
          <w:sz w:val="16"/>
          <w:szCs w:val="16"/>
        </w:rPr>
      </w:pPr>
      <w:r w:rsidRPr="00405303">
        <w:rPr>
          <w:bCs/>
          <w:color w:val="002060"/>
          <w:sz w:val="16"/>
          <w:szCs w:val="16"/>
        </w:rPr>
        <w:t xml:space="preserve">Надо отметить, что заводы не всегда могли работать на полную свою мощность, так как сплошь и рядом каменный уголь для коксования доставлялся не по адресу, а именно: на печи без улавливания продуктов коксования, а печи с улавливанием месяцами стояли, не имея что коксовать. </w:t>
      </w:r>
    </w:p>
    <w:p w14:paraId="56940137" w14:textId="77777777" w:rsidR="004B4E35" w:rsidRPr="00405303" w:rsidRDefault="009E6F82" w:rsidP="00C15251">
      <w:pPr>
        <w:jc w:val="both"/>
        <w:rPr>
          <w:bCs/>
          <w:color w:val="002060"/>
          <w:sz w:val="16"/>
          <w:szCs w:val="16"/>
        </w:rPr>
      </w:pPr>
      <w:r w:rsidRPr="00405303">
        <w:rPr>
          <w:bCs/>
          <w:color w:val="002060"/>
          <w:sz w:val="16"/>
          <w:szCs w:val="16"/>
        </w:rPr>
        <w:t xml:space="preserve">В итоге мероприятий по развитию коксобензольного дела удалось в 7-8 раз увеличить количество печей, могущих давать полностью все продукты сухой перегонки каменного угля. </w:t>
      </w:r>
    </w:p>
    <w:p w14:paraId="06FF89CE" w14:textId="77777777" w:rsidR="004B4E35" w:rsidRPr="00405303" w:rsidRDefault="009E6F82" w:rsidP="00C15251">
      <w:pPr>
        <w:jc w:val="both"/>
        <w:rPr>
          <w:bCs/>
          <w:color w:val="002060"/>
          <w:sz w:val="16"/>
          <w:szCs w:val="16"/>
        </w:rPr>
      </w:pPr>
      <w:r w:rsidRPr="00405303">
        <w:rPr>
          <w:bCs/>
          <w:color w:val="002060"/>
          <w:sz w:val="16"/>
          <w:szCs w:val="16"/>
        </w:rPr>
        <w:t xml:space="preserve">Затем, Комиссией Ипатьева были произведены крупные работы по организации заводов для ректификации продуктов коксования угля. </w:t>
      </w:r>
    </w:p>
    <w:p w14:paraId="145649C1" w14:textId="77777777" w:rsidR="004B4E35" w:rsidRPr="00405303" w:rsidRDefault="009E6F82" w:rsidP="00C15251">
      <w:pPr>
        <w:jc w:val="both"/>
        <w:rPr>
          <w:bCs/>
          <w:color w:val="002060"/>
          <w:sz w:val="16"/>
          <w:szCs w:val="16"/>
        </w:rPr>
      </w:pPr>
      <w:r w:rsidRPr="00405303">
        <w:rPr>
          <w:bCs/>
          <w:color w:val="002060"/>
          <w:sz w:val="16"/>
          <w:szCs w:val="16"/>
        </w:rPr>
        <w:t xml:space="preserve">До войны, получаемые на Юге небольшие количества сырого бензола фракционировалось на 90%-ный бензол, 50%-ный бензол и сольвентнафта, без выделения чистых продуктов — бензола, толуола и ксилола. Между тем для фабрикации взрывчатых веществ требовались именно эти продукты. </w:t>
      </w:r>
    </w:p>
    <w:p w14:paraId="4D582124" w14:textId="77777777" w:rsidR="004B4E35" w:rsidRPr="00405303" w:rsidRDefault="009E6F82" w:rsidP="00C15251">
      <w:pPr>
        <w:jc w:val="both"/>
        <w:rPr>
          <w:bCs/>
          <w:color w:val="002060"/>
          <w:sz w:val="16"/>
          <w:szCs w:val="16"/>
        </w:rPr>
      </w:pPr>
      <w:r w:rsidRPr="00405303">
        <w:rPr>
          <w:bCs/>
          <w:color w:val="002060"/>
          <w:sz w:val="16"/>
          <w:szCs w:val="16"/>
        </w:rPr>
        <w:t xml:space="preserve">В начале деятельности Химического комитета сырой бензол, получаемый в Донбассе, направлялся в Петроград для фракционировки на Тентелевском химическом заводе, после чего полученный чистый толуол отправлялся для нитрования в Самарский завод взрывчатых веществ, а чистый бензол — обратно на Юг для выработки пикриновой кислоты, на завод Сольвей. </w:t>
      </w:r>
    </w:p>
    <w:p w14:paraId="48FC4C7A" w14:textId="77777777" w:rsidR="004B4E35" w:rsidRPr="00405303" w:rsidRDefault="009E6F82" w:rsidP="00C15251">
      <w:pPr>
        <w:jc w:val="both"/>
        <w:rPr>
          <w:bCs/>
          <w:color w:val="002060"/>
          <w:sz w:val="16"/>
          <w:szCs w:val="16"/>
        </w:rPr>
      </w:pPr>
      <w:r w:rsidRPr="00405303">
        <w:rPr>
          <w:bCs/>
          <w:color w:val="002060"/>
          <w:sz w:val="16"/>
          <w:szCs w:val="16"/>
        </w:rPr>
        <w:t xml:space="preserve">Так как Тентелевский завод не справлялся с фракционировкой, за малой производительностью аппаратов, то было произведено переоборудование Гутуевского спиртоочистительного завода для фракционировки бензола. </w:t>
      </w:r>
    </w:p>
    <w:p w14:paraId="120EBB77" w14:textId="77777777" w:rsidR="004B4E35" w:rsidRPr="00405303" w:rsidRDefault="009E6F82" w:rsidP="00C15251">
      <w:pPr>
        <w:jc w:val="both"/>
        <w:rPr>
          <w:bCs/>
          <w:color w:val="002060"/>
          <w:sz w:val="16"/>
          <w:szCs w:val="16"/>
        </w:rPr>
      </w:pPr>
      <w:r w:rsidRPr="00405303">
        <w:rPr>
          <w:bCs/>
          <w:color w:val="002060"/>
          <w:sz w:val="16"/>
          <w:szCs w:val="16"/>
        </w:rPr>
        <w:t xml:space="preserve">Ввиду указанных обстоятельств для фракционирования бензола Комиссией по заготовке взрывчатых веществ была предпринята постройка казенного ректификационного завода в Кадиевке с производительностью 500 000 пудов в год, считая на сырой бензол. </w:t>
      </w:r>
    </w:p>
    <w:p w14:paraId="5A3A8139" w14:textId="77777777" w:rsidR="004B4E35" w:rsidRPr="00405303" w:rsidRDefault="009E6F82" w:rsidP="00C15251">
      <w:pPr>
        <w:jc w:val="both"/>
        <w:rPr>
          <w:bCs/>
          <w:color w:val="002060"/>
          <w:sz w:val="16"/>
          <w:szCs w:val="16"/>
        </w:rPr>
      </w:pPr>
      <w:r w:rsidRPr="00405303">
        <w:rPr>
          <w:bCs/>
          <w:color w:val="002060"/>
          <w:sz w:val="16"/>
          <w:szCs w:val="16"/>
        </w:rPr>
        <w:t xml:space="preserve">Независимо от этого, по поручению Комиссии профессора Ипатьева были поставлены ректификационные оборудования частными фирмами — Оливье Пьетт в Макеевке, Эванс Коппе при Новосмоляниновском руднике в Юзовке, Брянским обществом в Орловской губернии и Обществом Коксобензол при ст. Рубежной (начато постройкой). </w:t>
      </w:r>
    </w:p>
    <w:p w14:paraId="117C3C01" w14:textId="77777777" w:rsidR="004B4E35" w:rsidRPr="00405303" w:rsidRDefault="009E6F82" w:rsidP="00C15251">
      <w:pPr>
        <w:jc w:val="both"/>
        <w:rPr>
          <w:bCs/>
          <w:color w:val="002060"/>
          <w:sz w:val="16"/>
          <w:szCs w:val="16"/>
        </w:rPr>
      </w:pPr>
      <w:r w:rsidRPr="00405303">
        <w:rPr>
          <w:bCs/>
          <w:color w:val="002060"/>
          <w:sz w:val="16"/>
          <w:szCs w:val="16"/>
        </w:rPr>
        <w:t xml:space="preserve">Ввиду того, что производство каменноугольного толуола в Донецком бассейне не могло быстро развернуться в таком масштабе, чтобы покрывать всю потребность войны, Комиссия Ипатьева озаботилась изысканием других источников получения толуола. Было обращено внимание на бензины, содержащие большой процент толуола. </w:t>
      </w:r>
    </w:p>
    <w:p w14:paraId="6616B319" w14:textId="77777777" w:rsidR="004B4E35" w:rsidRPr="00405303" w:rsidRDefault="009E6F82" w:rsidP="00C15251">
      <w:pPr>
        <w:jc w:val="both"/>
        <w:rPr>
          <w:bCs/>
          <w:color w:val="002060"/>
          <w:sz w:val="16"/>
          <w:szCs w:val="16"/>
        </w:rPr>
      </w:pPr>
      <w:r w:rsidRPr="00405303">
        <w:rPr>
          <w:bCs/>
          <w:color w:val="002060"/>
          <w:sz w:val="16"/>
          <w:szCs w:val="16"/>
        </w:rPr>
        <w:t xml:space="preserve">Большие и ценные в научном отношении работы по этому вопросу сделаны были химиком Центральной научно-технической лаборатории военного ведомства Н.П. Андреевым. Предположено было первоначально добывать толуол из галицийской нефти, где процент его очень высок. Отступление русских войск из Галиции в 1915 г. не позволило сделать этого. Тогда были произведены исследования бензинов Майкопских и Грозненских месторождений, давшие вполне благоприятные результаты. После этого было решено строить заводы для извлечения толуола из бензинов. Дело было поручено строительной Комиссии под председательством В.Н. Ипатьева. </w:t>
      </w:r>
    </w:p>
    <w:p w14:paraId="0FE1C3E4" w14:textId="77777777" w:rsidR="004B4E35" w:rsidRPr="00405303" w:rsidRDefault="009E6F82" w:rsidP="00C15251">
      <w:pPr>
        <w:jc w:val="both"/>
        <w:rPr>
          <w:bCs/>
          <w:color w:val="002060"/>
          <w:sz w:val="16"/>
          <w:szCs w:val="16"/>
        </w:rPr>
      </w:pPr>
      <w:r w:rsidRPr="00405303">
        <w:rPr>
          <w:bCs/>
          <w:color w:val="002060"/>
          <w:sz w:val="16"/>
          <w:szCs w:val="16"/>
        </w:rPr>
        <w:t xml:space="preserve">Первый такой завод построен был в Екатеринодаре, около Майкопских нефтеперегонных заводов. В 1916 г. он давал уже до 2000 пудов в месяц монотринитротолуола, получаемого обработкой нитрующей смесью фракции бензина, содержащей 15-20% толуола. Монопродукт отправлялся для донитрования в Самарский завод взрывчатых веществ. </w:t>
      </w:r>
    </w:p>
    <w:p w14:paraId="6324B454" w14:textId="77777777" w:rsidR="004B4E35" w:rsidRPr="00405303" w:rsidRDefault="009E6F82" w:rsidP="00C15251">
      <w:pPr>
        <w:jc w:val="both"/>
        <w:rPr>
          <w:bCs/>
          <w:color w:val="002060"/>
          <w:sz w:val="16"/>
          <w:szCs w:val="16"/>
        </w:rPr>
      </w:pPr>
      <w:r w:rsidRPr="00405303">
        <w:rPr>
          <w:bCs/>
          <w:color w:val="002060"/>
          <w:sz w:val="16"/>
          <w:szCs w:val="16"/>
        </w:rPr>
        <w:t xml:space="preserve">В Грозном на заводах "Русский Стандарт" и Ахвердова были сделаны крупные ректификационные установки для получения толуола из лигроина, с производительностью до 4000 пудов в месяц. Производство было начато в начале 1917 года. </w:t>
      </w:r>
    </w:p>
    <w:p w14:paraId="1226E4B1" w14:textId="77777777" w:rsidR="004B4E35" w:rsidRPr="00405303" w:rsidRDefault="009E6F82" w:rsidP="00C15251">
      <w:pPr>
        <w:jc w:val="both"/>
        <w:rPr>
          <w:bCs/>
          <w:color w:val="002060"/>
          <w:sz w:val="16"/>
          <w:szCs w:val="16"/>
        </w:rPr>
      </w:pPr>
      <w:r w:rsidRPr="00405303">
        <w:rPr>
          <w:bCs/>
          <w:color w:val="002060"/>
          <w:sz w:val="16"/>
          <w:szCs w:val="16"/>
        </w:rPr>
        <w:t xml:space="preserve">Независимо от получения толуола указанным путем, с начала 1915 г. велись деятельные опыты над разложением нефти при высоких температурах по методам, предложенным химиком Никифоровым. Опыты велись проф. Тихвинским, Зелинским и Лебедевым, а также в Научно-технической лаборатории военного ведомства. К концу 1915 г. имелось уже достаточно материалов, чтобы ставить заводское производство. Первые заводские опыты были поставлены Комиссией Ипатьева на газовом заводе казанской городской управы и там же было поставлено первое валовое производство ароматических углеводородов на небольшую производительность — около 1000 пудов в месяц. </w:t>
      </w:r>
    </w:p>
    <w:p w14:paraId="79201C89" w14:textId="77777777" w:rsidR="004B4E35" w:rsidRPr="00405303" w:rsidRDefault="009E6F82" w:rsidP="00C15251">
      <w:pPr>
        <w:jc w:val="both"/>
        <w:rPr>
          <w:bCs/>
          <w:color w:val="002060"/>
          <w:sz w:val="16"/>
          <w:szCs w:val="16"/>
        </w:rPr>
      </w:pPr>
      <w:r w:rsidRPr="00405303">
        <w:rPr>
          <w:bCs/>
          <w:color w:val="002060"/>
          <w:sz w:val="16"/>
          <w:szCs w:val="16"/>
        </w:rPr>
        <w:t xml:space="preserve">Вопросом получения толуола из нефти пирогенетическим путем занимался деятельно и Военно-промышленный комитет. Бакинский ВПК взял на себя постройку для этой цели завода в Баку. Предварительный проект был составлен проф. П. Кошицем, Смоленским и Громаном. Завод был рассчитан на производство 4000 пудов и к осени 1916 г. был пущен уже в ход. </w:t>
      </w:r>
    </w:p>
    <w:p w14:paraId="5FF3A37C" w14:textId="77777777" w:rsidR="004B4E35" w:rsidRPr="00405303" w:rsidRDefault="009E6F82" w:rsidP="00C15251">
      <w:pPr>
        <w:jc w:val="both"/>
        <w:rPr>
          <w:bCs/>
          <w:color w:val="002060"/>
          <w:sz w:val="16"/>
          <w:szCs w:val="16"/>
        </w:rPr>
      </w:pPr>
      <w:r w:rsidRPr="00405303">
        <w:rPr>
          <w:bCs/>
          <w:color w:val="002060"/>
          <w:sz w:val="16"/>
          <w:szCs w:val="16"/>
        </w:rPr>
        <w:t xml:space="preserve">Одновременно с бакинским ВПК была начата постройка трех заводов для получения ароматических углеводородов из нефти фирмами: Бр. Нобель, Бенкендорф и Нефтегаз. Из них только первая выполнила задачу вовремя. Другие две закончили постройку к самому концу войны. </w:t>
      </w:r>
    </w:p>
    <w:p w14:paraId="20D3C5A8" w14:textId="77777777" w:rsidR="004B4E35" w:rsidRPr="00405303" w:rsidRDefault="009E6F82" w:rsidP="00C15251">
      <w:pPr>
        <w:jc w:val="both"/>
        <w:rPr>
          <w:bCs/>
          <w:color w:val="002060"/>
          <w:sz w:val="16"/>
          <w:szCs w:val="16"/>
        </w:rPr>
      </w:pPr>
      <w:r w:rsidRPr="00405303">
        <w:rPr>
          <w:bCs/>
          <w:color w:val="002060"/>
          <w:sz w:val="16"/>
          <w:szCs w:val="16"/>
        </w:rPr>
        <w:t xml:space="preserve">В итоге за время войны было изготовлено пирогенетического толуола до 150 000 пудов и была создана таким образом новая отрасль химической промышленности. </w:t>
      </w:r>
    </w:p>
    <w:p w14:paraId="7752904D" w14:textId="77777777" w:rsidR="004B4E35" w:rsidRPr="00405303" w:rsidRDefault="009E6F82" w:rsidP="00C15251">
      <w:pPr>
        <w:jc w:val="both"/>
        <w:rPr>
          <w:bCs/>
          <w:color w:val="002060"/>
          <w:sz w:val="16"/>
          <w:szCs w:val="16"/>
        </w:rPr>
      </w:pPr>
      <w:r w:rsidRPr="00405303">
        <w:rPr>
          <w:bCs/>
          <w:color w:val="002060"/>
          <w:sz w:val="16"/>
          <w:szCs w:val="16"/>
        </w:rPr>
        <w:t xml:space="preserve">Суммарное получение чистого бензола и [чистого] толуола всеми перечисленными методами (каменноугольного и нефтяного) выражается в следующих цифрах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837"/>
        <w:gridCol w:w="636"/>
        <w:gridCol w:w="641"/>
        <w:gridCol w:w="636"/>
        <w:gridCol w:w="641"/>
      </w:tblGrid>
      <w:tr w:rsidR="004B4E35" w:rsidRPr="00405303" w14:paraId="6A0E7660" w14:textId="77777777">
        <w:tc>
          <w:tcPr>
            <w:tcW w:w="837" w:type="dxa"/>
          </w:tcPr>
          <w:p w14:paraId="3576C4BF" w14:textId="7E197C73" w:rsidR="004B4E35" w:rsidRPr="00405303" w:rsidRDefault="00DB4D64" w:rsidP="00C15251">
            <w:pPr>
              <w:jc w:val="both"/>
              <w:rPr>
                <w:bCs/>
                <w:color w:val="002060"/>
                <w:sz w:val="16"/>
                <w:szCs w:val="16"/>
              </w:rPr>
            </w:pPr>
            <w:r w:rsidRPr="00405303">
              <w:rPr>
                <w:bCs/>
                <w:color w:val="002060"/>
                <w:sz w:val="16"/>
                <w:szCs w:val="16"/>
              </w:rPr>
              <w:t xml:space="preserve"> </w:t>
            </w:r>
          </w:p>
        </w:tc>
        <w:tc>
          <w:tcPr>
            <w:tcW w:w="1277" w:type="dxa"/>
            <w:gridSpan w:val="2"/>
          </w:tcPr>
          <w:p w14:paraId="2866A715" w14:textId="77777777" w:rsidR="004B4E35" w:rsidRPr="00405303" w:rsidRDefault="009E6F82" w:rsidP="00C15251">
            <w:pPr>
              <w:jc w:val="both"/>
              <w:rPr>
                <w:bCs/>
                <w:color w:val="002060"/>
                <w:sz w:val="16"/>
                <w:szCs w:val="16"/>
              </w:rPr>
            </w:pPr>
            <w:r w:rsidRPr="00405303">
              <w:rPr>
                <w:bCs/>
                <w:color w:val="002060"/>
                <w:sz w:val="16"/>
                <w:szCs w:val="16"/>
              </w:rPr>
              <w:t>1916 год</w:t>
            </w:r>
          </w:p>
        </w:tc>
        <w:tc>
          <w:tcPr>
            <w:tcW w:w="1277" w:type="dxa"/>
            <w:gridSpan w:val="2"/>
          </w:tcPr>
          <w:p w14:paraId="0524A65A" w14:textId="77777777" w:rsidR="004B4E35" w:rsidRPr="00405303" w:rsidRDefault="009E6F82" w:rsidP="00C15251">
            <w:pPr>
              <w:jc w:val="both"/>
              <w:rPr>
                <w:bCs/>
                <w:color w:val="002060"/>
                <w:sz w:val="16"/>
                <w:szCs w:val="16"/>
              </w:rPr>
            </w:pPr>
            <w:r w:rsidRPr="00405303">
              <w:rPr>
                <w:bCs/>
                <w:color w:val="002060"/>
                <w:sz w:val="16"/>
                <w:szCs w:val="16"/>
              </w:rPr>
              <w:t>1917 год</w:t>
            </w:r>
          </w:p>
        </w:tc>
      </w:tr>
      <w:tr w:rsidR="004B4E35" w:rsidRPr="00405303" w14:paraId="6BEC966E" w14:textId="77777777">
        <w:tc>
          <w:tcPr>
            <w:tcW w:w="837" w:type="dxa"/>
          </w:tcPr>
          <w:p w14:paraId="47E03D1B" w14:textId="77777777" w:rsidR="004B4E35" w:rsidRPr="00405303" w:rsidRDefault="009E6F82" w:rsidP="00C15251">
            <w:pPr>
              <w:jc w:val="both"/>
              <w:rPr>
                <w:bCs/>
                <w:color w:val="002060"/>
                <w:sz w:val="16"/>
                <w:szCs w:val="16"/>
              </w:rPr>
            </w:pPr>
            <w:r w:rsidRPr="00405303">
              <w:rPr>
                <w:bCs/>
                <w:color w:val="002060"/>
                <w:sz w:val="16"/>
                <w:szCs w:val="16"/>
              </w:rPr>
              <w:t>Месяцы</w:t>
            </w:r>
          </w:p>
        </w:tc>
        <w:tc>
          <w:tcPr>
            <w:tcW w:w="636" w:type="dxa"/>
          </w:tcPr>
          <w:p w14:paraId="009514CC" w14:textId="77777777" w:rsidR="004B4E35" w:rsidRPr="00405303" w:rsidRDefault="009E6F82" w:rsidP="00C15251">
            <w:pPr>
              <w:jc w:val="both"/>
              <w:rPr>
                <w:bCs/>
                <w:color w:val="002060"/>
                <w:sz w:val="16"/>
                <w:szCs w:val="16"/>
              </w:rPr>
            </w:pPr>
            <w:r w:rsidRPr="00405303">
              <w:rPr>
                <w:bCs/>
                <w:color w:val="002060"/>
                <w:sz w:val="16"/>
                <w:szCs w:val="16"/>
              </w:rPr>
              <w:t>Бензол</w:t>
            </w:r>
          </w:p>
        </w:tc>
        <w:tc>
          <w:tcPr>
            <w:tcW w:w="641" w:type="dxa"/>
          </w:tcPr>
          <w:p w14:paraId="724B7D5E" w14:textId="77777777" w:rsidR="004B4E35" w:rsidRPr="00405303" w:rsidRDefault="009E6F82" w:rsidP="00C15251">
            <w:pPr>
              <w:jc w:val="both"/>
              <w:rPr>
                <w:bCs/>
                <w:color w:val="002060"/>
                <w:sz w:val="16"/>
                <w:szCs w:val="16"/>
              </w:rPr>
            </w:pPr>
            <w:r w:rsidRPr="00405303">
              <w:rPr>
                <w:bCs/>
                <w:color w:val="002060"/>
                <w:sz w:val="16"/>
                <w:szCs w:val="16"/>
              </w:rPr>
              <w:t>Толуол</w:t>
            </w:r>
          </w:p>
        </w:tc>
        <w:tc>
          <w:tcPr>
            <w:tcW w:w="636" w:type="dxa"/>
          </w:tcPr>
          <w:p w14:paraId="5515863F" w14:textId="77777777" w:rsidR="004B4E35" w:rsidRPr="00405303" w:rsidRDefault="009E6F82" w:rsidP="00C15251">
            <w:pPr>
              <w:jc w:val="both"/>
              <w:rPr>
                <w:bCs/>
                <w:color w:val="002060"/>
                <w:sz w:val="16"/>
                <w:szCs w:val="16"/>
              </w:rPr>
            </w:pPr>
            <w:r w:rsidRPr="00405303">
              <w:rPr>
                <w:bCs/>
                <w:color w:val="002060"/>
                <w:sz w:val="16"/>
                <w:szCs w:val="16"/>
              </w:rPr>
              <w:t xml:space="preserve">Бензол </w:t>
            </w:r>
          </w:p>
        </w:tc>
        <w:tc>
          <w:tcPr>
            <w:tcW w:w="641" w:type="dxa"/>
          </w:tcPr>
          <w:p w14:paraId="35CBF116" w14:textId="77777777" w:rsidR="004B4E35" w:rsidRPr="00405303" w:rsidRDefault="009E6F82" w:rsidP="00C15251">
            <w:pPr>
              <w:jc w:val="both"/>
              <w:rPr>
                <w:bCs/>
                <w:color w:val="002060"/>
                <w:sz w:val="16"/>
                <w:szCs w:val="16"/>
              </w:rPr>
            </w:pPr>
            <w:r w:rsidRPr="00405303">
              <w:rPr>
                <w:bCs/>
                <w:color w:val="002060"/>
                <w:sz w:val="16"/>
                <w:szCs w:val="16"/>
              </w:rPr>
              <w:t>Толуол</w:t>
            </w:r>
          </w:p>
        </w:tc>
      </w:tr>
      <w:tr w:rsidR="004B4E35" w:rsidRPr="00405303" w14:paraId="7E1B3C13" w14:textId="77777777">
        <w:tc>
          <w:tcPr>
            <w:tcW w:w="837" w:type="dxa"/>
          </w:tcPr>
          <w:p w14:paraId="6E53F810" w14:textId="77777777" w:rsidR="004B4E35" w:rsidRPr="00405303" w:rsidRDefault="009E6F82" w:rsidP="00C15251">
            <w:pPr>
              <w:jc w:val="both"/>
              <w:rPr>
                <w:bCs/>
                <w:color w:val="002060"/>
                <w:sz w:val="16"/>
                <w:szCs w:val="16"/>
              </w:rPr>
            </w:pPr>
            <w:r w:rsidRPr="00405303">
              <w:rPr>
                <w:bCs/>
                <w:color w:val="002060"/>
                <w:sz w:val="16"/>
                <w:szCs w:val="16"/>
              </w:rPr>
              <w:t>Январь</w:t>
            </w:r>
          </w:p>
        </w:tc>
        <w:tc>
          <w:tcPr>
            <w:tcW w:w="636" w:type="dxa"/>
          </w:tcPr>
          <w:p w14:paraId="266072A1" w14:textId="77777777" w:rsidR="004B4E35" w:rsidRPr="00405303" w:rsidRDefault="009E6F82" w:rsidP="00C15251">
            <w:pPr>
              <w:jc w:val="both"/>
              <w:rPr>
                <w:bCs/>
                <w:color w:val="002060"/>
                <w:sz w:val="16"/>
                <w:szCs w:val="16"/>
              </w:rPr>
            </w:pPr>
            <w:r w:rsidRPr="00405303">
              <w:rPr>
                <w:bCs/>
                <w:color w:val="002060"/>
                <w:sz w:val="16"/>
                <w:szCs w:val="16"/>
              </w:rPr>
              <w:t>13,6</w:t>
            </w:r>
          </w:p>
        </w:tc>
        <w:tc>
          <w:tcPr>
            <w:tcW w:w="641" w:type="dxa"/>
          </w:tcPr>
          <w:p w14:paraId="5D1A44DB" w14:textId="77777777" w:rsidR="004B4E35" w:rsidRPr="00405303" w:rsidRDefault="009E6F82" w:rsidP="00C15251">
            <w:pPr>
              <w:jc w:val="both"/>
              <w:rPr>
                <w:bCs/>
                <w:color w:val="002060"/>
                <w:sz w:val="16"/>
                <w:szCs w:val="16"/>
              </w:rPr>
            </w:pPr>
            <w:r w:rsidRPr="00405303">
              <w:rPr>
                <w:bCs/>
                <w:color w:val="002060"/>
                <w:sz w:val="16"/>
                <w:szCs w:val="16"/>
              </w:rPr>
              <w:t>10,9</w:t>
            </w:r>
          </w:p>
        </w:tc>
        <w:tc>
          <w:tcPr>
            <w:tcW w:w="636" w:type="dxa"/>
          </w:tcPr>
          <w:p w14:paraId="53D07281" w14:textId="77777777" w:rsidR="004B4E35" w:rsidRPr="00405303" w:rsidRDefault="009E6F82" w:rsidP="00C15251">
            <w:pPr>
              <w:jc w:val="both"/>
              <w:rPr>
                <w:bCs/>
                <w:color w:val="002060"/>
                <w:sz w:val="16"/>
                <w:szCs w:val="16"/>
              </w:rPr>
            </w:pPr>
            <w:r w:rsidRPr="00405303">
              <w:rPr>
                <w:bCs/>
                <w:color w:val="002060"/>
                <w:sz w:val="16"/>
                <w:szCs w:val="16"/>
              </w:rPr>
              <w:t xml:space="preserve">20,0 </w:t>
            </w:r>
          </w:p>
        </w:tc>
        <w:tc>
          <w:tcPr>
            <w:tcW w:w="641" w:type="dxa"/>
          </w:tcPr>
          <w:p w14:paraId="7EC59CBF" w14:textId="77777777" w:rsidR="004B4E35" w:rsidRPr="00405303" w:rsidRDefault="009E6F82" w:rsidP="00C15251">
            <w:pPr>
              <w:jc w:val="both"/>
              <w:rPr>
                <w:bCs/>
                <w:color w:val="002060"/>
                <w:sz w:val="16"/>
                <w:szCs w:val="16"/>
              </w:rPr>
            </w:pPr>
            <w:r w:rsidRPr="00405303">
              <w:rPr>
                <w:bCs/>
                <w:color w:val="002060"/>
                <w:sz w:val="16"/>
                <w:szCs w:val="16"/>
              </w:rPr>
              <w:t>16,8</w:t>
            </w:r>
          </w:p>
        </w:tc>
      </w:tr>
      <w:tr w:rsidR="004B4E35" w:rsidRPr="00405303" w14:paraId="4780E197" w14:textId="77777777">
        <w:tc>
          <w:tcPr>
            <w:tcW w:w="837" w:type="dxa"/>
          </w:tcPr>
          <w:p w14:paraId="75DCAC4B" w14:textId="77777777" w:rsidR="004B4E35" w:rsidRPr="00405303" w:rsidRDefault="009E6F82" w:rsidP="00C15251">
            <w:pPr>
              <w:jc w:val="both"/>
              <w:rPr>
                <w:bCs/>
                <w:color w:val="002060"/>
                <w:sz w:val="16"/>
                <w:szCs w:val="16"/>
              </w:rPr>
            </w:pPr>
            <w:r w:rsidRPr="00405303">
              <w:rPr>
                <w:bCs/>
                <w:color w:val="002060"/>
                <w:sz w:val="16"/>
                <w:szCs w:val="16"/>
              </w:rPr>
              <w:t>Февраль</w:t>
            </w:r>
          </w:p>
        </w:tc>
        <w:tc>
          <w:tcPr>
            <w:tcW w:w="636" w:type="dxa"/>
          </w:tcPr>
          <w:p w14:paraId="2DCAC224" w14:textId="77777777" w:rsidR="004B4E35" w:rsidRPr="00405303" w:rsidRDefault="009E6F82" w:rsidP="00C15251">
            <w:pPr>
              <w:jc w:val="both"/>
              <w:rPr>
                <w:bCs/>
                <w:color w:val="002060"/>
                <w:sz w:val="16"/>
                <w:szCs w:val="16"/>
              </w:rPr>
            </w:pPr>
            <w:r w:rsidRPr="00405303">
              <w:rPr>
                <w:bCs/>
                <w:color w:val="002060"/>
                <w:sz w:val="16"/>
                <w:szCs w:val="16"/>
              </w:rPr>
              <w:t>13,3</w:t>
            </w:r>
          </w:p>
        </w:tc>
        <w:tc>
          <w:tcPr>
            <w:tcW w:w="641" w:type="dxa"/>
          </w:tcPr>
          <w:p w14:paraId="5686B385" w14:textId="77777777" w:rsidR="004B4E35" w:rsidRPr="00405303" w:rsidRDefault="009E6F82" w:rsidP="00C15251">
            <w:pPr>
              <w:jc w:val="both"/>
              <w:rPr>
                <w:bCs/>
                <w:color w:val="002060"/>
                <w:sz w:val="16"/>
                <w:szCs w:val="16"/>
              </w:rPr>
            </w:pPr>
            <w:r w:rsidRPr="00405303">
              <w:rPr>
                <w:bCs/>
                <w:color w:val="002060"/>
                <w:sz w:val="16"/>
                <w:szCs w:val="16"/>
              </w:rPr>
              <w:t>10,5</w:t>
            </w:r>
          </w:p>
        </w:tc>
        <w:tc>
          <w:tcPr>
            <w:tcW w:w="636" w:type="dxa"/>
          </w:tcPr>
          <w:p w14:paraId="08A1EA5C" w14:textId="77777777" w:rsidR="004B4E35" w:rsidRPr="00405303" w:rsidRDefault="009E6F82" w:rsidP="00C15251">
            <w:pPr>
              <w:jc w:val="both"/>
              <w:rPr>
                <w:bCs/>
                <w:color w:val="002060"/>
                <w:sz w:val="16"/>
                <w:szCs w:val="16"/>
              </w:rPr>
            </w:pPr>
            <w:r w:rsidRPr="00405303">
              <w:rPr>
                <w:bCs/>
                <w:color w:val="002060"/>
                <w:sz w:val="16"/>
                <w:szCs w:val="16"/>
              </w:rPr>
              <w:t xml:space="preserve">23,5 </w:t>
            </w:r>
          </w:p>
        </w:tc>
        <w:tc>
          <w:tcPr>
            <w:tcW w:w="641" w:type="dxa"/>
          </w:tcPr>
          <w:p w14:paraId="46A87442" w14:textId="77777777" w:rsidR="004B4E35" w:rsidRPr="00405303" w:rsidRDefault="009E6F82" w:rsidP="00C15251">
            <w:pPr>
              <w:jc w:val="both"/>
              <w:rPr>
                <w:bCs/>
                <w:color w:val="002060"/>
                <w:sz w:val="16"/>
                <w:szCs w:val="16"/>
              </w:rPr>
            </w:pPr>
            <w:r w:rsidRPr="00405303">
              <w:rPr>
                <w:bCs/>
                <w:color w:val="002060"/>
                <w:sz w:val="16"/>
                <w:szCs w:val="16"/>
              </w:rPr>
              <w:t>19,1</w:t>
            </w:r>
          </w:p>
        </w:tc>
      </w:tr>
      <w:tr w:rsidR="004B4E35" w:rsidRPr="00405303" w14:paraId="4B39A532" w14:textId="77777777">
        <w:tc>
          <w:tcPr>
            <w:tcW w:w="837" w:type="dxa"/>
          </w:tcPr>
          <w:p w14:paraId="365B40FD" w14:textId="77777777" w:rsidR="004B4E35" w:rsidRPr="00405303" w:rsidRDefault="009E6F82" w:rsidP="00C15251">
            <w:pPr>
              <w:jc w:val="both"/>
              <w:rPr>
                <w:bCs/>
                <w:color w:val="002060"/>
                <w:sz w:val="16"/>
                <w:szCs w:val="16"/>
              </w:rPr>
            </w:pPr>
            <w:r w:rsidRPr="00405303">
              <w:rPr>
                <w:bCs/>
                <w:color w:val="002060"/>
                <w:sz w:val="16"/>
                <w:szCs w:val="16"/>
              </w:rPr>
              <w:t>Март</w:t>
            </w:r>
          </w:p>
        </w:tc>
        <w:tc>
          <w:tcPr>
            <w:tcW w:w="636" w:type="dxa"/>
          </w:tcPr>
          <w:p w14:paraId="65D8E94C" w14:textId="77777777" w:rsidR="004B4E35" w:rsidRPr="00405303" w:rsidRDefault="009E6F82" w:rsidP="00C15251">
            <w:pPr>
              <w:jc w:val="both"/>
              <w:rPr>
                <w:bCs/>
                <w:color w:val="002060"/>
                <w:sz w:val="16"/>
                <w:szCs w:val="16"/>
              </w:rPr>
            </w:pPr>
            <w:r w:rsidRPr="00405303">
              <w:rPr>
                <w:bCs/>
                <w:color w:val="002060"/>
                <w:sz w:val="16"/>
                <w:szCs w:val="16"/>
              </w:rPr>
              <w:t>14,2</w:t>
            </w:r>
          </w:p>
        </w:tc>
        <w:tc>
          <w:tcPr>
            <w:tcW w:w="641" w:type="dxa"/>
          </w:tcPr>
          <w:p w14:paraId="4D7AFC13" w14:textId="77777777" w:rsidR="004B4E35" w:rsidRPr="00405303" w:rsidRDefault="009E6F82" w:rsidP="00C15251">
            <w:pPr>
              <w:jc w:val="both"/>
              <w:rPr>
                <w:bCs/>
                <w:color w:val="002060"/>
                <w:sz w:val="16"/>
                <w:szCs w:val="16"/>
              </w:rPr>
            </w:pPr>
            <w:r w:rsidRPr="00405303">
              <w:rPr>
                <w:bCs/>
                <w:color w:val="002060"/>
                <w:sz w:val="16"/>
                <w:szCs w:val="16"/>
              </w:rPr>
              <w:t>11,4</w:t>
            </w:r>
          </w:p>
        </w:tc>
        <w:tc>
          <w:tcPr>
            <w:tcW w:w="636" w:type="dxa"/>
          </w:tcPr>
          <w:p w14:paraId="02253B39" w14:textId="77777777" w:rsidR="004B4E35" w:rsidRPr="00405303" w:rsidRDefault="009E6F82" w:rsidP="00C15251">
            <w:pPr>
              <w:jc w:val="both"/>
              <w:rPr>
                <w:bCs/>
                <w:color w:val="002060"/>
                <w:sz w:val="16"/>
                <w:szCs w:val="16"/>
              </w:rPr>
            </w:pPr>
            <w:r w:rsidRPr="00405303">
              <w:rPr>
                <w:bCs/>
                <w:color w:val="002060"/>
                <w:sz w:val="16"/>
                <w:szCs w:val="16"/>
              </w:rPr>
              <w:t xml:space="preserve">26,3 </w:t>
            </w:r>
          </w:p>
        </w:tc>
        <w:tc>
          <w:tcPr>
            <w:tcW w:w="641" w:type="dxa"/>
          </w:tcPr>
          <w:p w14:paraId="695DB6C5" w14:textId="77777777" w:rsidR="004B4E35" w:rsidRPr="00405303" w:rsidRDefault="009E6F82" w:rsidP="00C15251">
            <w:pPr>
              <w:jc w:val="both"/>
              <w:rPr>
                <w:bCs/>
                <w:color w:val="002060"/>
                <w:sz w:val="16"/>
                <w:szCs w:val="16"/>
              </w:rPr>
            </w:pPr>
            <w:r w:rsidRPr="00405303">
              <w:rPr>
                <w:bCs/>
                <w:color w:val="002060"/>
                <w:sz w:val="16"/>
                <w:szCs w:val="16"/>
              </w:rPr>
              <w:t>21,6</w:t>
            </w:r>
          </w:p>
        </w:tc>
      </w:tr>
      <w:tr w:rsidR="004B4E35" w:rsidRPr="00405303" w14:paraId="6355E5E6" w14:textId="77777777">
        <w:tc>
          <w:tcPr>
            <w:tcW w:w="837" w:type="dxa"/>
          </w:tcPr>
          <w:p w14:paraId="7D8342C8" w14:textId="77777777" w:rsidR="004B4E35" w:rsidRPr="00405303" w:rsidRDefault="009E6F82" w:rsidP="00C15251">
            <w:pPr>
              <w:jc w:val="both"/>
              <w:rPr>
                <w:bCs/>
                <w:color w:val="002060"/>
                <w:sz w:val="16"/>
                <w:szCs w:val="16"/>
              </w:rPr>
            </w:pPr>
            <w:r w:rsidRPr="00405303">
              <w:rPr>
                <w:bCs/>
                <w:color w:val="002060"/>
                <w:sz w:val="16"/>
                <w:szCs w:val="16"/>
              </w:rPr>
              <w:t>Апрель</w:t>
            </w:r>
          </w:p>
        </w:tc>
        <w:tc>
          <w:tcPr>
            <w:tcW w:w="636" w:type="dxa"/>
          </w:tcPr>
          <w:p w14:paraId="2FA5E7C5" w14:textId="77777777" w:rsidR="004B4E35" w:rsidRPr="00405303" w:rsidRDefault="009E6F82" w:rsidP="00C15251">
            <w:pPr>
              <w:jc w:val="both"/>
              <w:rPr>
                <w:bCs/>
                <w:color w:val="002060"/>
                <w:sz w:val="16"/>
                <w:szCs w:val="16"/>
              </w:rPr>
            </w:pPr>
            <w:r w:rsidRPr="00405303">
              <w:rPr>
                <w:bCs/>
                <w:color w:val="002060"/>
                <w:sz w:val="16"/>
                <w:szCs w:val="16"/>
              </w:rPr>
              <w:t>13.5</w:t>
            </w:r>
          </w:p>
        </w:tc>
        <w:tc>
          <w:tcPr>
            <w:tcW w:w="641" w:type="dxa"/>
          </w:tcPr>
          <w:p w14:paraId="0AB946D0" w14:textId="77777777" w:rsidR="004B4E35" w:rsidRPr="00405303" w:rsidRDefault="009E6F82" w:rsidP="00C15251">
            <w:pPr>
              <w:jc w:val="both"/>
              <w:rPr>
                <w:bCs/>
                <w:color w:val="002060"/>
                <w:sz w:val="16"/>
                <w:szCs w:val="16"/>
              </w:rPr>
            </w:pPr>
            <w:r w:rsidRPr="00405303">
              <w:rPr>
                <w:bCs/>
                <w:color w:val="002060"/>
                <w:sz w:val="16"/>
                <w:szCs w:val="16"/>
              </w:rPr>
              <w:t>9,5</w:t>
            </w:r>
          </w:p>
        </w:tc>
        <w:tc>
          <w:tcPr>
            <w:tcW w:w="636" w:type="dxa"/>
          </w:tcPr>
          <w:p w14:paraId="00DE4FAA" w14:textId="77777777" w:rsidR="004B4E35" w:rsidRPr="00405303" w:rsidRDefault="009E6F82" w:rsidP="00C15251">
            <w:pPr>
              <w:jc w:val="both"/>
              <w:rPr>
                <w:bCs/>
                <w:color w:val="002060"/>
                <w:sz w:val="16"/>
                <w:szCs w:val="16"/>
              </w:rPr>
            </w:pPr>
            <w:r w:rsidRPr="00405303">
              <w:rPr>
                <w:bCs/>
                <w:color w:val="002060"/>
                <w:sz w:val="16"/>
                <w:szCs w:val="16"/>
              </w:rPr>
              <w:t>31,5</w:t>
            </w:r>
          </w:p>
        </w:tc>
        <w:tc>
          <w:tcPr>
            <w:tcW w:w="641" w:type="dxa"/>
          </w:tcPr>
          <w:p w14:paraId="6BA2E5C7" w14:textId="77777777" w:rsidR="004B4E35" w:rsidRPr="00405303" w:rsidRDefault="009E6F82" w:rsidP="00C15251">
            <w:pPr>
              <w:jc w:val="both"/>
              <w:rPr>
                <w:bCs/>
                <w:color w:val="002060"/>
                <w:sz w:val="16"/>
                <w:szCs w:val="16"/>
              </w:rPr>
            </w:pPr>
            <w:r w:rsidRPr="00405303">
              <w:rPr>
                <w:bCs/>
                <w:color w:val="002060"/>
                <w:sz w:val="16"/>
                <w:szCs w:val="16"/>
              </w:rPr>
              <w:t>26,3</w:t>
            </w:r>
          </w:p>
        </w:tc>
      </w:tr>
      <w:tr w:rsidR="004B4E35" w:rsidRPr="00405303" w14:paraId="6B8B523A" w14:textId="77777777">
        <w:tc>
          <w:tcPr>
            <w:tcW w:w="837" w:type="dxa"/>
          </w:tcPr>
          <w:p w14:paraId="71618F6E" w14:textId="77777777" w:rsidR="004B4E35" w:rsidRPr="00405303" w:rsidRDefault="009E6F82" w:rsidP="00C15251">
            <w:pPr>
              <w:jc w:val="both"/>
              <w:rPr>
                <w:bCs/>
                <w:color w:val="002060"/>
                <w:sz w:val="16"/>
                <w:szCs w:val="16"/>
              </w:rPr>
            </w:pPr>
            <w:r w:rsidRPr="00405303">
              <w:rPr>
                <w:bCs/>
                <w:color w:val="002060"/>
                <w:sz w:val="16"/>
                <w:szCs w:val="16"/>
              </w:rPr>
              <w:t>Май</w:t>
            </w:r>
          </w:p>
        </w:tc>
        <w:tc>
          <w:tcPr>
            <w:tcW w:w="636" w:type="dxa"/>
          </w:tcPr>
          <w:p w14:paraId="46C857DC" w14:textId="77777777" w:rsidR="004B4E35" w:rsidRPr="00405303" w:rsidRDefault="009E6F82" w:rsidP="00C15251">
            <w:pPr>
              <w:jc w:val="both"/>
              <w:rPr>
                <w:bCs/>
                <w:color w:val="002060"/>
                <w:sz w:val="16"/>
                <w:szCs w:val="16"/>
              </w:rPr>
            </w:pPr>
            <w:r w:rsidRPr="00405303">
              <w:rPr>
                <w:bCs/>
                <w:color w:val="002060"/>
                <w:sz w:val="16"/>
                <w:szCs w:val="16"/>
              </w:rPr>
              <w:t>14,5</w:t>
            </w:r>
          </w:p>
        </w:tc>
        <w:tc>
          <w:tcPr>
            <w:tcW w:w="641" w:type="dxa"/>
          </w:tcPr>
          <w:p w14:paraId="0EDF7827" w14:textId="77777777" w:rsidR="004B4E35" w:rsidRPr="00405303" w:rsidRDefault="009E6F82" w:rsidP="00C15251">
            <w:pPr>
              <w:jc w:val="both"/>
              <w:rPr>
                <w:bCs/>
                <w:color w:val="002060"/>
                <w:sz w:val="16"/>
                <w:szCs w:val="16"/>
              </w:rPr>
            </w:pPr>
            <w:r w:rsidRPr="00405303">
              <w:rPr>
                <w:bCs/>
                <w:color w:val="002060"/>
                <w:sz w:val="16"/>
                <w:szCs w:val="16"/>
              </w:rPr>
              <w:t>9,5</w:t>
            </w:r>
          </w:p>
        </w:tc>
        <w:tc>
          <w:tcPr>
            <w:tcW w:w="636" w:type="dxa"/>
          </w:tcPr>
          <w:p w14:paraId="2E1132DB" w14:textId="77777777" w:rsidR="004B4E35" w:rsidRPr="00405303" w:rsidRDefault="009E6F82" w:rsidP="00C15251">
            <w:pPr>
              <w:jc w:val="both"/>
              <w:rPr>
                <w:bCs/>
                <w:color w:val="002060"/>
                <w:sz w:val="16"/>
                <w:szCs w:val="16"/>
              </w:rPr>
            </w:pPr>
            <w:r w:rsidRPr="00405303">
              <w:rPr>
                <w:bCs/>
                <w:color w:val="002060"/>
                <w:sz w:val="16"/>
                <w:szCs w:val="16"/>
              </w:rPr>
              <w:t xml:space="preserve">33,7 </w:t>
            </w:r>
          </w:p>
        </w:tc>
        <w:tc>
          <w:tcPr>
            <w:tcW w:w="641" w:type="dxa"/>
          </w:tcPr>
          <w:p w14:paraId="64D8C85C" w14:textId="77777777" w:rsidR="004B4E35" w:rsidRPr="00405303" w:rsidRDefault="009E6F82" w:rsidP="00C15251">
            <w:pPr>
              <w:jc w:val="both"/>
              <w:rPr>
                <w:bCs/>
                <w:color w:val="002060"/>
                <w:sz w:val="16"/>
                <w:szCs w:val="16"/>
              </w:rPr>
            </w:pPr>
            <w:r w:rsidRPr="00405303">
              <w:rPr>
                <w:bCs/>
                <w:color w:val="002060"/>
                <w:sz w:val="16"/>
                <w:szCs w:val="16"/>
              </w:rPr>
              <w:t>28,0</w:t>
            </w:r>
          </w:p>
        </w:tc>
      </w:tr>
      <w:tr w:rsidR="004B4E35" w:rsidRPr="00405303" w14:paraId="148D7786" w14:textId="77777777">
        <w:tc>
          <w:tcPr>
            <w:tcW w:w="837" w:type="dxa"/>
          </w:tcPr>
          <w:p w14:paraId="5ADE6EFC" w14:textId="77777777" w:rsidR="004B4E35" w:rsidRPr="00405303" w:rsidRDefault="009E6F82" w:rsidP="00C15251">
            <w:pPr>
              <w:jc w:val="both"/>
              <w:rPr>
                <w:bCs/>
                <w:color w:val="002060"/>
                <w:sz w:val="16"/>
                <w:szCs w:val="16"/>
              </w:rPr>
            </w:pPr>
            <w:r w:rsidRPr="00405303">
              <w:rPr>
                <w:bCs/>
                <w:color w:val="002060"/>
                <w:sz w:val="16"/>
                <w:szCs w:val="16"/>
              </w:rPr>
              <w:t>Июнь</w:t>
            </w:r>
          </w:p>
        </w:tc>
        <w:tc>
          <w:tcPr>
            <w:tcW w:w="636" w:type="dxa"/>
          </w:tcPr>
          <w:p w14:paraId="22549363" w14:textId="77777777" w:rsidR="004B4E35" w:rsidRPr="00405303" w:rsidRDefault="009E6F82" w:rsidP="00C15251">
            <w:pPr>
              <w:jc w:val="both"/>
              <w:rPr>
                <w:bCs/>
                <w:color w:val="002060"/>
                <w:sz w:val="16"/>
                <w:szCs w:val="16"/>
              </w:rPr>
            </w:pPr>
            <w:r w:rsidRPr="00405303">
              <w:rPr>
                <w:bCs/>
                <w:color w:val="002060"/>
                <w:sz w:val="16"/>
                <w:szCs w:val="16"/>
              </w:rPr>
              <w:t>116,5</w:t>
            </w:r>
          </w:p>
        </w:tc>
        <w:tc>
          <w:tcPr>
            <w:tcW w:w="641" w:type="dxa"/>
          </w:tcPr>
          <w:p w14:paraId="21A70EA4" w14:textId="77777777" w:rsidR="004B4E35" w:rsidRPr="00405303" w:rsidRDefault="009E6F82" w:rsidP="00C15251">
            <w:pPr>
              <w:jc w:val="both"/>
              <w:rPr>
                <w:bCs/>
                <w:color w:val="002060"/>
                <w:sz w:val="16"/>
                <w:szCs w:val="16"/>
              </w:rPr>
            </w:pPr>
            <w:r w:rsidRPr="00405303">
              <w:rPr>
                <w:bCs/>
                <w:color w:val="002060"/>
                <w:sz w:val="16"/>
                <w:szCs w:val="16"/>
              </w:rPr>
              <w:t>12,8</w:t>
            </w:r>
          </w:p>
        </w:tc>
        <w:tc>
          <w:tcPr>
            <w:tcW w:w="636" w:type="dxa"/>
          </w:tcPr>
          <w:p w14:paraId="20E95C9B" w14:textId="77777777" w:rsidR="004B4E35" w:rsidRPr="00405303" w:rsidRDefault="009E6F82" w:rsidP="00C15251">
            <w:pPr>
              <w:jc w:val="both"/>
              <w:rPr>
                <w:bCs/>
                <w:color w:val="002060"/>
                <w:sz w:val="16"/>
                <w:szCs w:val="16"/>
              </w:rPr>
            </w:pPr>
            <w:r w:rsidRPr="00405303">
              <w:rPr>
                <w:bCs/>
                <w:color w:val="002060"/>
                <w:sz w:val="16"/>
                <w:szCs w:val="16"/>
              </w:rPr>
              <w:t xml:space="preserve">33,7 </w:t>
            </w:r>
          </w:p>
        </w:tc>
        <w:tc>
          <w:tcPr>
            <w:tcW w:w="641" w:type="dxa"/>
          </w:tcPr>
          <w:p w14:paraId="33927489" w14:textId="77777777" w:rsidR="004B4E35" w:rsidRPr="00405303" w:rsidRDefault="009E6F82" w:rsidP="00C15251">
            <w:pPr>
              <w:jc w:val="both"/>
              <w:rPr>
                <w:bCs/>
                <w:color w:val="002060"/>
                <w:sz w:val="16"/>
                <w:szCs w:val="16"/>
              </w:rPr>
            </w:pPr>
            <w:r w:rsidRPr="00405303">
              <w:rPr>
                <w:bCs/>
                <w:color w:val="002060"/>
                <w:sz w:val="16"/>
                <w:szCs w:val="16"/>
              </w:rPr>
              <w:t>28,0</w:t>
            </w:r>
          </w:p>
        </w:tc>
      </w:tr>
      <w:tr w:rsidR="004B4E35" w:rsidRPr="00405303" w14:paraId="0102B772" w14:textId="77777777">
        <w:tc>
          <w:tcPr>
            <w:tcW w:w="837" w:type="dxa"/>
          </w:tcPr>
          <w:p w14:paraId="122F1BA9" w14:textId="77777777" w:rsidR="004B4E35" w:rsidRPr="00405303" w:rsidRDefault="009E6F82" w:rsidP="00C15251">
            <w:pPr>
              <w:jc w:val="both"/>
              <w:rPr>
                <w:bCs/>
                <w:color w:val="002060"/>
                <w:sz w:val="16"/>
                <w:szCs w:val="16"/>
              </w:rPr>
            </w:pPr>
            <w:r w:rsidRPr="00405303">
              <w:rPr>
                <w:bCs/>
                <w:color w:val="002060"/>
                <w:sz w:val="16"/>
                <w:szCs w:val="16"/>
              </w:rPr>
              <w:t>Июль</w:t>
            </w:r>
          </w:p>
        </w:tc>
        <w:tc>
          <w:tcPr>
            <w:tcW w:w="636" w:type="dxa"/>
          </w:tcPr>
          <w:p w14:paraId="3444DCEA" w14:textId="77777777" w:rsidR="004B4E35" w:rsidRPr="00405303" w:rsidRDefault="009E6F82" w:rsidP="00C15251">
            <w:pPr>
              <w:jc w:val="both"/>
              <w:rPr>
                <w:bCs/>
                <w:color w:val="002060"/>
                <w:sz w:val="16"/>
                <w:szCs w:val="16"/>
              </w:rPr>
            </w:pPr>
            <w:r w:rsidRPr="00405303">
              <w:rPr>
                <w:bCs/>
                <w:color w:val="002060"/>
                <w:sz w:val="16"/>
                <w:szCs w:val="16"/>
              </w:rPr>
              <w:t>126,7</w:t>
            </w:r>
          </w:p>
        </w:tc>
        <w:tc>
          <w:tcPr>
            <w:tcW w:w="641" w:type="dxa"/>
          </w:tcPr>
          <w:p w14:paraId="50DBD187" w14:textId="77777777" w:rsidR="004B4E35" w:rsidRPr="00405303" w:rsidRDefault="009E6F82" w:rsidP="00C15251">
            <w:pPr>
              <w:jc w:val="both"/>
              <w:rPr>
                <w:bCs/>
                <w:color w:val="002060"/>
                <w:sz w:val="16"/>
                <w:szCs w:val="16"/>
              </w:rPr>
            </w:pPr>
            <w:r w:rsidRPr="00405303">
              <w:rPr>
                <w:bCs/>
                <w:color w:val="002060"/>
                <w:sz w:val="16"/>
                <w:szCs w:val="16"/>
              </w:rPr>
              <w:t>12,5</w:t>
            </w:r>
          </w:p>
        </w:tc>
        <w:tc>
          <w:tcPr>
            <w:tcW w:w="636" w:type="dxa"/>
          </w:tcPr>
          <w:p w14:paraId="1C01FDB0"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136E1405"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66C04DE6" w14:textId="77777777">
        <w:tc>
          <w:tcPr>
            <w:tcW w:w="837" w:type="dxa"/>
          </w:tcPr>
          <w:p w14:paraId="604449A8" w14:textId="77777777" w:rsidR="004B4E35" w:rsidRPr="00405303" w:rsidRDefault="009E6F82" w:rsidP="00C15251">
            <w:pPr>
              <w:jc w:val="both"/>
              <w:rPr>
                <w:bCs/>
                <w:color w:val="002060"/>
                <w:sz w:val="16"/>
                <w:szCs w:val="16"/>
              </w:rPr>
            </w:pPr>
            <w:r w:rsidRPr="00405303">
              <w:rPr>
                <w:bCs/>
                <w:color w:val="002060"/>
                <w:sz w:val="16"/>
                <w:szCs w:val="16"/>
              </w:rPr>
              <w:t>Август</w:t>
            </w:r>
          </w:p>
        </w:tc>
        <w:tc>
          <w:tcPr>
            <w:tcW w:w="636" w:type="dxa"/>
          </w:tcPr>
          <w:p w14:paraId="36CAA98B" w14:textId="77777777" w:rsidR="004B4E35" w:rsidRPr="00405303" w:rsidRDefault="009E6F82" w:rsidP="00C15251">
            <w:pPr>
              <w:jc w:val="both"/>
              <w:rPr>
                <w:bCs/>
                <w:color w:val="002060"/>
                <w:sz w:val="16"/>
                <w:szCs w:val="16"/>
              </w:rPr>
            </w:pPr>
            <w:r w:rsidRPr="00405303">
              <w:rPr>
                <w:bCs/>
                <w:color w:val="002060"/>
                <w:sz w:val="16"/>
                <w:szCs w:val="16"/>
              </w:rPr>
              <w:t>15,1</w:t>
            </w:r>
          </w:p>
        </w:tc>
        <w:tc>
          <w:tcPr>
            <w:tcW w:w="641" w:type="dxa"/>
          </w:tcPr>
          <w:p w14:paraId="17D713F0" w14:textId="77777777" w:rsidR="004B4E35" w:rsidRPr="00405303" w:rsidRDefault="009E6F82" w:rsidP="00C15251">
            <w:pPr>
              <w:jc w:val="both"/>
              <w:rPr>
                <w:bCs/>
                <w:color w:val="002060"/>
                <w:sz w:val="16"/>
                <w:szCs w:val="16"/>
              </w:rPr>
            </w:pPr>
            <w:r w:rsidRPr="00405303">
              <w:rPr>
                <w:bCs/>
                <w:color w:val="002060"/>
                <w:sz w:val="16"/>
                <w:szCs w:val="16"/>
              </w:rPr>
              <w:t>12,4</w:t>
            </w:r>
          </w:p>
        </w:tc>
        <w:tc>
          <w:tcPr>
            <w:tcW w:w="636" w:type="dxa"/>
          </w:tcPr>
          <w:p w14:paraId="31249AE1"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64568885"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2646D9F4" w14:textId="77777777">
        <w:tc>
          <w:tcPr>
            <w:tcW w:w="837" w:type="dxa"/>
          </w:tcPr>
          <w:p w14:paraId="7A796CDC" w14:textId="77777777" w:rsidR="004B4E35" w:rsidRPr="00405303" w:rsidRDefault="009E6F82" w:rsidP="00C15251">
            <w:pPr>
              <w:jc w:val="both"/>
              <w:rPr>
                <w:bCs/>
                <w:color w:val="002060"/>
                <w:sz w:val="16"/>
                <w:szCs w:val="16"/>
              </w:rPr>
            </w:pPr>
            <w:r w:rsidRPr="00405303">
              <w:rPr>
                <w:bCs/>
                <w:color w:val="002060"/>
                <w:sz w:val="16"/>
                <w:szCs w:val="16"/>
              </w:rPr>
              <w:t>Сентябрь</w:t>
            </w:r>
          </w:p>
        </w:tc>
        <w:tc>
          <w:tcPr>
            <w:tcW w:w="636" w:type="dxa"/>
          </w:tcPr>
          <w:p w14:paraId="1F521AE0" w14:textId="77777777" w:rsidR="004B4E35" w:rsidRPr="00405303" w:rsidRDefault="009E6F82" w:rsidP="00C15251">
            <w:pPr>
              <w:jc w:val="both"/>
              <w:rPr>
                <w:bCs/>
                <w:color w:val="002060"/>
                <w:sz w:val="16"/>
                <w:szCs w:val="16"/>
              </w:rPr>
            </w:pPr>
            <w:r w:rsidRPr="00405303">
              <w:rPr>
                <w:bCs/>
                <w:color w:val="002060"/>
                <w:sz w:val="16"/>
                <w:szCs w:val="16"/>
              </w:rPr>
              <w:t>18,3</w:t>
            </w:r>
          </w:p>
        </w:tc>
        <w:tc>
          <w:tcPr>
            <w:tcW w:w="641" w:type="dxa"/>
          </w:tcPr>
          <w:p w14:paraId="2BDDCD08" w14:textId="77777777" w:rsidR="004B4E35" w:rsidRPr="00405303" w:rsidRDefault="009E6F82" w:rsidP="00C15251">
            <w:pPr>
              <w:jc w:val="both"/>
              <w:rPr>
                <w:bCs/>
                <w:color w:val="002060"/>
                <w:sz w:val="16"/>
                <w:szCs w:val="16"/>
              </w:rPr>
            </w:pPr>
            <w:r w:rsidRPr="00405303">
              <w:rPr>
                <w:bCs/>
                <w:color w:val="002060"/>
                <w:sz w:val="16"/>
                <w:szCs w:val="16"/>
              </w:rPr>
              <w:t>14,3</w:t>
            </w:r>
          </w:p>
        </w:tc>
        <w:tc>
          <w:tcPr>
            <w:tcW w:w="636" w:type="dxa"/>
          </w:tcPr>
          <w:p w14:paraId="770F7495"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26F87FAD"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380939FF" w14:textId="77777777">
        <w:tc>
          <w:tcPr>
            <w:tcW w:w="837" w:type="dxa"/>
          </w:tcPr>
          <w:p w14:paraId="072431C6" w14:textId="77777777" w:rsidR="004B4E35" w:rsidRPr="00405303" w:rsidRDefault="009E6F82" w:rsidP="00C15251">
            <w:pPr>
              <w:jc w:val="both"/>
              <w:rPr>
                <w:bCs/>
                <w:color w:val="002060"/>
                <w:sz w:val="16"/>
                <w:szCs w:val="16"/>
              </w:rPr>
            </w:pPr>
            <w:r w:rsidRPr="00405303">
              <w:rPr>
                <w:bCs/>
                <w:color w:val="002060"/>
                <w:sz w:val="16"/>
                <w:szCs w:val="16"/>
              </w:rPr>
              <w:lastRenderedPageBreak/>
              <w:t>Октябрь</w:t>
            </w:r>
          </w:p>
        </w:tc>
        <w:tc>
          <w:tcPr>
            <w:tcW w:w="636" w:type="dxa"/>
          </w:tcPr>
          <w:p w14:paraId="12961B06" w14:textId="77777777" w:rsidR="004B4E35" w:rsidRPr="00405303" w:rsidRDefault="009E6F82" w:rsidP="00C15251">
            <w:pPr>
              <w:jc w:val="both"/>
              <w:rPr>
                <w:bCs/>
                <w:color w:val="002060"/>
                <w:sz w:val="16"/>
                <w:szCs w:val="16"/>
              </w:rPr>
            </w:pPr>
            <w:r w:rsidRPr="00405303">
              <w:rPr>
                <w:bCs/>
                <w:color w:val="002060"/>
                <w:sz w:val="16"/>
                <w:szCs w:val="16"/>
              </w:rPr>
              <w:t>22,3</w:t>
            </w:r>
          </w:p>
        </w:tc>
        <w:tc>
          <w:tcPr>
            <w:tcW w:w="641" w:type="dxa"/>
          </w:tcPr>
          <w:p w14:paraId="23978175" w14:textId="77777777" w:rsidR="004B4E35" w:rsidRPr="00405303" w:rsidRDefault="009E6F82" w:rsidP="00C15251">
            <w:pPr>
              <w:jc w:val="both"/>
              <w:rPr>
                <w:bCs/>
                <w:color w:val="002060"/>
                <w:sz w:val="16"/>
                <w:szCs w:val="16"/>
              </w:rPr>
            </w:pPr>
            <w:r w:rsidRPr="00405303">
              <w:rPr>
                <w:bCs/>
                <w:color w:val="002060"/>
                <w:sz w:val="16"/>
                <w:szCs w:val="16"/>
              </w:rPr>
              <w:t>16,7</w:t>
            </w:r>
          </w:p>
        </w:tc>
        <w:tc>
          <w:tcPr>
            <w:tcW w:w="636" w:type="dxa"/>
          </w:tcPr>
          <w:p w14:paraId="064E3BE6"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025CAA98"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2A7BD65A" w14:textId="77777777">
        <w:tc>
          <w:tcPr>
            <w:tcW w:w="837" w:type="dxa"/>
          </w:tcPr>
          <w:p w14:paraId="5502CEFE"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636" w:type="dxa"/>
          </w:tcPr>
          <w:p w14:paraId="67CBD192" w14:textId="77777777" w:rsidR="004B4E35" w:rsidRPr="00405303" w:rsidRDefault="009E6F82" w:rsidP="00C15251">
            <w:pPr>
              <w:jc w:val="both"/>
              <w:rPr>
                <w:bCs/>
                <w:color w:val="002060"/>
                <w:sz w:val="16"/>
                <w:szCs w:val="16"/>
              </w:rPr>
            </w:pPr>
            <w:r w:rsidRPr="00405303">
              <w:rPr>
                <w:bCs/>
                <w:color w:val="002060"/>
                <w:sz w:val="16"/>
                <w:szCs w:val="16"/>
              </w:rPr>
              <w:t>19,7</w:t>
            </w:r>
          </w:p>
        </w:tc>
        <w:tc>
          <w:tcPr>
            <w:tcW w:w="641" w:type="dxa"/>
          </w:tcPr>
          <w:p w14:paraId="1133AC14" w14:textId="77777777" w:rsidR="004B4E35" w:rsidRPr="00405303" w:rsidRDefault="009E6F82" w:rsidP="00C15251">
            <w:pPr>
              <w:jc w:val="both"/>
              <w:rPr>
                <w:bCs/>
                <w:color w:val="002060"/>
                <w:sz w:val="16"/>
                <w:szCs w:val="16"/>
              </w:rPr>
            </w:pPr>
            <w:r w:rsidRPr="00405303">
              <w:rPr>
                <w:bCs/>
                <w:color w:val="002060"/>
                <w:sz w:val="16"/>
                <w:szCs w:val="16"/>
              </w:rPr>
              <w:t>15,4</w:t>
            </w:r>
          </w:p>
        </w:tc>
        <w:tc>
          <w:tcPr>
            <w:tcW w:w="636" w:type="dxa"/>
          </w:tcPr>
          <w:p w14:paraId="065D2D2C"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3F9AA369"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571D4091" w14:textId="77777777">
        <w:tc>
          <w:tcPr>
            <w:tcW w:w="837" w:type="dxa"/>
          </w:tcPr>
          <w:p w14:paraId="6BDB010D"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636" w:type="dxa"/>
          </w:tcPr>
          <w:p w14:paraId="4BC43F11" w14:textId="77777777" w:rsidR="004B4E35" w:rsidRPr="00405303" w:rsidRDefault="009E6F82" w:rsidP="00C15251">
            <w:pPr>
              <w:jc w:val="both"/>
              <w:rPr>
                <w:bCs/>
                <w:color w:val="002060"/>
                <w:sz w:val="16"/>
                <w:szCs w:val="16"/>
              </w:rPr>
            </w:pPr>
            <w:r w:rsidRPr="00405303">
              <w:rPr>
                <w:bCs/>
                <w:color w:val="002060"/>
                <w:sz w:val="16"/>
                <w:szCs w:val="16"/>
              </w:rPr>
              <w:t>26,7</w:t>
            </w:r>
          </w:p>
        </w:tc>
        <w:tc>
          <w:tcPr>
            <w:tcW w:w="641" w:type="dxa"/>
          </w:tcPr>
          <w:p w14:paraId="42B44605" w14:textId="77777777" w:rsidR="004B4E35" w:rsidRPr="00405303" w:rsidRDefault="009E6F82" w:rsidP="00C15251">
            <w:pPr>
              <w:jc w:val="both"/>
              <w:rPr>
                <w:bCs/>
                <w:color w:val="002060"/>
                <w:sz w:val="16"/>
                <w:szCs w:val="16"/>
              </w:rPr>
            </w:pPr>
            <w:r w:rsidRPr="00405303">
              <w:rPr>
                <w:bCs/>
                <w:color w:val="002060"/>
                <w:sz w:val="16"/>
                <w:szCs w:val="16"/>
              </w:rPr>
              <w:t>18,7</w:t>
            </w:r>
          </w:p>
        </w:tc>
        <w:tc>
          <w:tcPr>
            <w:tcW w:w="636" w:type="dxa"/>
          </w:tcPr>
          <w:p w14:paraId="18EEF54D"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22454964"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7B54689C" w14:textId="77777777">
        <w:tc>
          <w:tcPr>
            <w:tcW w:w="837" w:type="dxa"/>
          </w:tcPr>
          <w:p w14:paraId="1842E035" w14:textId="77777777" w:rsidR="004B4E35" w:rsidRPr="00405303" w:rsidRDefault="009E6F82" w:rsidP="00C15251">
            <w:pPr>
              <w:jc w:val="both"/>
              <w:rPr>
                <w:bCs/>
                <w:color w:val="002060"/>
                <w:sz w:val="16"/>
                <w:szCs w:val="16"/>
              </w:rPr>
            </w:pPr>
            <w:r w:rsidRPr="00405303">
              <w:rPr>
                <w:bCs/>
                <w:color w:val="002060"/>
                <w:sz w:val="16"/>
                <w:szCs w:val="16"/>
              </w:rPr>
              <w:t>[Всего]</w:t>
            </w:r>
          </w:p>
        </w:tc>
        <w:tc>
          <w:tcPr>
            <w:tcW w:w="636" w:type="dxa"/>
          </w:tcPr>
          <w:p w14:paraId="58A00973" w14:textId="77777777" w:rsidR="004B4E35" w:rsidRPr="00405303" w:rsidRDefault="009E6F82" w:rsidP="00C15251">
            <w:pPr>
              <w:jc w:val="both"/>
              <w:rPr>
                <w:bCs/>
                <w:color w:val="002060"/>
                <w:sz w:val="16"/>
                <w:szCs w:val="16"/>
              </w:rPr>
            </w:pPr>
            <w:r w:rsidRPr="00405303">
              <w:rPr>
                <w:bCs/>
                <w:color w:val="002060"/>
                <w:sz w:val="16"/>
                <w:szCs w:val="16"/>
              </w:rPr>
              <w:t>414,4</w:t>
            </w:r>
          </w:p>
        </w:tc>
        <w:tc>
          <w:tcPr>
            <w:tcW w:w="641" w:type="dxa"/>
          </w:tcPr>
          <w:p w14:paraId="0E976376" w14:textId="77777777" w:rsidR="004B4E35" w:rsidRPr="00405303" w:rsidRDefault="009E6F82" w:rsidP="00C15251">
            <w:pPr>
              <w:jc w:val="both"/>
              <w:rPr>
                <w:bCs/>
                <w:color w:val="002060"/>
                <w:sz w:val="16"/>
                <w:szCs w:val="16"/>
              </w:rPr>
            </w:pPr>
            <w:r w:rsidRPr="00405303">
              <w:rPr>
                <w:bCs/>
                <w:color w:val="002060"/>
                <w:sz w:val="16"/>
                <w:szCs w:val="16"/>
              </w:rPr>
              <w:t>154,6</w:t>
            </w:r>
          </w:p>
        </w:tc>
        <w:tc>
          <w:tcPr>
            <w:tcW w:w="636" w:type="dxa"/>
          </w:tcPr>
          <w:p w14:paraId="60CF61CF" w14:textId="77777777" w:rsidR="004B4E35" w:rsidRPr="00405303" w:rsidRDefault="009E6F82" w:rsidP="00C15251">
            <w:pPr>
              <w:jc w:val="both"/>
              <w:rPr>
                <w:bCs/>
                <w:color w:val="002060"/>
                <w:sz w:val="16"/>
                <w:szCs w:val="16"/>
              </w:rPr>
            </w:pPr>
            <w:r w:rsidRPr="00405303">
              <w:rPr>
                <w:bCs/>
                <w:color w:val="002060"/>
                <w:sz w:val="16"/>
                <w:szCs w:val="16"/>
              </w:rPr>
              <w:t>168,7</w:t>
            </w:r>
          </w:p>
        </w:tc>
        <w:tc>
          <w:tcPr>
            <w:tcW w:w="641" w:type="dxa"/>
          </w:tcPr>
          <w:p w14:paraId="0EE82808" w14:textId="77777777" w:rsidR="004B4E35" w:rsidRPr="00405303" w:rsidRDefault="009E6F82" w:rsidP="00C15251">
            <w:pPr>
              <w:jc w:val="both"/>
              <w:rPr>
                <w:bCs/>
                <w:color w:val="002060"/>
                <w:sz w:val="16"/>
                <w:szCs w:val="16"/>
              </w:rPr>
            </w:pPr>
            <w:r w:rsidRPr="00405303">
              <w:rPr>
                <w:bCs/>
                <w:color w:val="002060"/>
                <w:sz w:val="16"/>
                <w:szCs w:val="16"/>
              </w:rPr>
              <w:t>139,8</w:t>
            </w:r>
          </w:p>
        </w:tc>
      </w:tr>
    </w:tbl>
    <w:p w14:paraId="703E213B" w14:textId="77777777" w:rsidR="004B4E35" w:rsidRPr="00405303" w:rsidRDefault="009E6F82" w:rsidP="00C15251">
      <w:pPr>
        <w:jc w:val="both"/>
        <w:rPr>
          <w:bCs/>
          <w:color w:val="002060"/>
          <w:sz w:val="16"/>
          <w:szCs w:val="16"/>
        </w:rPr>
      </w:pPr>
      <w:r w:rsidRPr="00405303">
        <w:rPr>
          <w:bCs/>
          <w:color w:val="002060"/>
          <w:sz w:val="16"/>
          <w:szCs w:val="16"/>
        </w:rPr>
        <w:t xml:space="preserve">Цифры 1916 года показывают фактический выход продуктов. Для 1917 г. показан выход, предполагавшийся соответственно мощности заводов. Цифры выражают суммарный выход бензола и толуола, как нефтяного, так и каменноугольного. </w:t>
      </w:r>
    </w:p>
    <w:p w14:paraId="1A8DB851" w14:textId="77777777" w:rsidR="004B4E35" w:rsidRPr="00405303" w:rsidRDefault="009E6F82" w:rsidP="00C15251">
      <w:pPr>
        <w:jc w:val="both"/>
        <w:rPr>
          <w:bCs/>
          <w:color w:val="002060"/>
          <w:sz w:val="16"/>
          <w:szCs w:val="16"/>
        </w:rPr>
      </w:pPr>
      <w:r w:rsidRPr="00405303">
        <w:rPr>
          <w:bCs/>
          <w:color w:val="002060"/>
          <w:sz w:val="16"/>
          <w:szCs w:val="16"/>
        </w:rPr>
        <w:t xml:space="preserve">Количество каменноугольного продукта составляет от общего количества следующий процент: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792"/>
      </w:tblGrid>
      <w:tr w:rsidR="004B4E35" w:rsidRPr="00405303" w14:paraId="1F02B808" w14:textId="77777777">
        <w:tc>
          <w:tcPr>
            <w:tcW w:w="1896" w:type="dxa"/>
          </w:tcPr>
          <w:p w14:paraId="49E4B3D9" w14:textId="77777777" w:rsidR="004B4E35" w:rsidRPr="00405303" w:rsidRDefault="009E6F82" w:rsidP="00C15251">
            <w:pPr>
              <w:jc w:val="both"/>
              <w:rPr>
                <w:bCs/>
                <w:color w:val="002060"/>
                <w:sz w:val="16"/>
                <w:szCs w:val="16"/>
              </w:rPr>
            </w:pPr>
            <w:r w:rsidRPr="00405303">
              <w:rPr>
                <w:bCs/>
                <w:color w:val="002060"/>
                <w:sz w:val="16"/>
                <w:szCs w:val="16"/>
              </w:rPr>
              <w:t>В январе 1916 г.</w:t>
            </w:r>
          </w:p>
        </w:tc>
        <w:tc>
          <w:tcPr>
            <w:tcW w:w="792" w:type="dxa"/>
          </w:tcPr>
          <w:p w14:paraId="65D45D0D" w14:textId="77777777" w:rsidR="004B4E35" w:rsidRPr="00405303" w:rsidRDefault="009E6F82" w:rsidP="00C15251">
            <w:pPr>
              <w:jc w:val="both"/>
              <w:rPr>
                <w:bCs/>
                <w:color w:val="002060"/>
                <w:sz w:val="16"/>
                <w:szCs w:val="16"/>
              </w:rPr>
            </w:pPr>
            <w:r w:rsidRPr="00405303">
              <w:rPr>
                <w:bCs/>
                <w:color w:val="002060"/>
                <w:sz w:val="16"/>
                <w:szCs w:val="16"/>
              </w:rPr>
              <w:t xml:space="preserve">100% </w:t>
            </w:r>
          </w:p>
        </w:tc>
      </w:tr>
      <w:tr w:rsidR="004B4E35" w:rsidRPr="00405303" w14:paraId="68E2C4AF" w14:textId="77777777">
        <w:tc>
          <w:tcPr>
            <w:tcW w:w="1896" w:type="dxa"/>
          </w:tcPr>
          <w:p w14:paraId="465ACB7F" w14:textId="77777777" w:rsidR="004B4E35" w:rsidRPr="00405303" w:rsidRDefault="009E6F82" w:rsidP="00C15251">
            <w:pPr>
              <w:jc w:val="both"/>
              <w:rPr>
                <w:bCs/>
                <w:color w:val="002060"/>
                <w:sz w:val="16"/>
                <w:szCs w:val="16"/>
              </w:rPr>
            </w:pPr>
            <w:r w:rsidRPr="00405303">
              <w:rPr>
                <w:bCs/>
                <w:color w:val="002060"/>
                <w:sz w:val="16"/>
                <w:szCs w:val="16"/>
              </w:rPr>
              <w:t>В январе 1917 г.</w:t>
            </w:r>
          </w:p>
        </w:tc>
        <w:tc>
          <w:tcPr>
            <w:tcW w:w="792" w:type="dxa"/>
          </w:tcPr>
          <w:p w14:paraId="243D90A5" w14:textId="77777777" w:rsidR="004B4E35" w:rsidRPr="00405303" w:rsidRDefault="009E6F82" w:rsidP="00C15251">
            <w:pPr>
              <w:jc w:val="both"/>
              <w:rPr>
                <w:bCs/>
                <w:color w:val="002060"/>
                <w:sz w:val="16"/>
                <w:szCs w:val="16"/>
              </w:rPr>
            </w:pPr>
            <w:r w:rsidRPr="00405303">
              <w:rPr>
                <w:bCs/>
                <w:color w:val="002060"/>
                <w:sz w:val="16"/>
                <w:szCs w:val="16"/>
              </w:rPr>
              <w:t xml:space="preserve">70% </w:t>
            </w:r>
          </w:p>
        </w:tc>
      </w:tr>
    </w:tbl>
    <w:p w14:paraId="5EA056FF" w14:textId="77777777" w:rsidR="004B4E35" w:rsidRPr="00405303" w:rsidRDefault="009E6F82" w:rsidP="00C15251">
      <w:pPr>
        <w:jc w:val="both"/>
        <w:rPr>
          <w:bCs/>
          <w:color w:val="002060"/>
          <w:sz w:val="16"/>
          <w:szCs w:val="16"/>
        </w:rPr>
      </w:pPr>
      <w:r w:rsidRPr="00405303">
        <w:rPr>
          <w:bCs/>
          <w:color w:val="002060"/>
          <w:sz w:val="16"/>
          <w:szCs w:val="16"/>
        </w:rPr>
        <w:t xml:space="preserve">С 1909 г. для снаряжения фугасных снарядов был принят в армии и флоте тротил. Однако заводы взрывчатых веществ, изготовлявшие тротил, Самарский казенный и Шлиссельбургский частный, по состоянию их мощности на 1917 г. далеко не могли покрыть той потребности во взрывчатых веществах для снарядов, которая была заявлена военным ведомством уже в первый, а в особенности во второй год войны. </w:t>
      </w:r>
    </w:p>
    <w:p w14:paraId="48366448" w14:textId="77777777" w:rsidR="004B4E35" w:rsidRPr="00405303" w:rsidRDefault="009E6F82" w:rsidP="00C15251">
      <w:pPr>
        <w:jc w:val="both"/>
        <w:rPr>
          <w:bCs/>
          <w:color w:val="002060"/>
          <w:sz w:val="16"/>
          <w:szCs w:val="16"/>
        </w:rPr>
      </w:pPr>
      <w:r w:rsidRPr="00405303">
        <w:rPr>
          <w:bCs/>
          <w:color w:val="002060"/>
          <w:sz w:val="16"/>
          <w:szCs w:val="16"/>
        </w:rPr>
        <w:t xml:space="preserve">Поэтому Комиссия Ипатьева наряду с другими задачами поставила себе целью развивать производство как тротила, так и других взрывчатых веществ, пригодных для военных целей. Среди них главное место занимала пикриновая кислота, которая до тротила около 15 лет применялась в русской армии как вещество для снаряжения фугасных и бризантных снарядов и была хорошо изучена. </w:t>
      </w:r>
    </w:p>
    <w:p w14:paraId="69B1EA5B" w14:textId="77777777" w:rsidR="004B4E35" w:rsidRPr="00405303" w:rsidRDefault="009E6F82" w:rsidP="00C15251">
      <w:pPr>
        <w:jc w:val="both"/>
        <w:rPr>
          <w:bCs/>
          <w:color w:val="002060"/>
          <w:sz w:val="16"/>
          <w:szCs w:val="16"/>
        </w:rPr>
      </w:pPr>
      <w:r w:rsidRPr="00405303">
        <w:rPr>
          <w:bCs/>
          <w:color w:val="002060"/>
          <w:sz w:val="16"/>
          <w:szCs w:val="16"/>
        </w:rPr>
        <w:t xml:space="preserve">Натуральный фенол, получаемый из каменноугольной смолы, из которого ранее фабриковалась пикриновая кислота, в России почти не вырабатывался. Поэтому проф. Ипатьев озаботился прежде всего поставить производство синтетического фенола через сульфацию бензола и получение из него пикриновой кислоты. Ранее других это производство было организовано на заводе Фарбверке в Москве. Начав производство в мае 1915 г., завод в декабре мог давать уже до 6000 пудов в месяц. Затем были устроены заводы синтетического фенола: у ст. Рубежной, при заводе "Русско-Краска", и у ст. Шахтной Донецкой области при заводе Парамонова. </w:t>
      </w:r>
    </w:p>
    <w:p w14:paraId="69789AD8" w14:textId="77777777" w:rsidR="004B4E35" w:rsidRPr="00405303" w:rsidRDefault="009E6F82" w:rsidP="00C15251">
      <w:pPr>
        <w:jc w:val="both"/>
        <w:rPr>
          <w:bCs/>
          <w:color w:val="002060"/>
          <w:sz w:val="16"/>
          <w:szCs w:val="16"/>
        </w:rPr>
      </w:pPr>
      <w:r w:rsidRPr="00405303">
        <w:rPr>
          <w:bCs/>
          <w:color w:val="002060"/>
          <w:sz w:val="16"/>
          <w:szCs w:val="16"/>
        </w:rPr>
        <w:t xml:space="preserve">Так как производство синтетического фенола в нормальных условиях спроса не может выдерживать конкуренцию с фенолом натуральным, то Химический комитет, заботясь о нормальном развитии химической промышленности в дальнейшем, когда кончится война, организовал также получение карболовой кислоты и крезолов из тяжелой каменноугольной смолы и очистку этих продуктов. С этой целью был Львовым построен завод при ст. Железной Екатеринославской железной дороги. </w:t>
      </w:r>
    </w:p>
    <w:p w14:paraId="52D93EFD" w14:textId="77777777" w:rsidR="004B4E35" w:rsidRPr="00405303" w:rsidRDefault="009E6F82" w:rsidP="00C15251">
      <w:pPr>
        <w:jc w:val="both"/>
        <w:rPr>
          <w:bCs/>
          <w:color w:val="002060"/>
          <w:sz w:val="16"/>
          <w:szCs w:val="16"/>
        </w:rPr>
      </w:pPr>
      <w:r w:rsidRPr="00405303">
        <w:rPr>
          <w:bCs/>
          <w:color w:val="002060"/>
          <w:sz w:val="16"/>
          <w:szCs w:val="16"/>
        </w:rPr>
        <w:t xml:space="preserve">Выработка синтетического фенола в 1916 г. выражается в следующих цифрах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08"/>
        <w:gridCol w:w="792"/>
      </w:tblGrid>
      <w:tr w:rsidR="004B4E35" w:rsidRPr="00405303" w14:paraId="3EDC3F2F" w14:textId="77777777">
        <w:tc>
          <w:tcPr>
            <w:tcW w:w="2808" w:type="dxa"/>
          </w:tcPr>
          <w:p w14:paraId="735246AD" w14:textId="77777777" w:rsidR="004B4E35" w:rsidRPr="00405303" w:rsidRDefault="009E6F82" w:rsidP="00C15251">
            <w:pPr>
              <w:jc w:val="both"/>
              <w:rPr>
                <w:bCs/>
                <w:color w:val="002060"/>
                <w:sz w:val="16"/>
                <w:szCs w:val="16"/>
              </w:rPr>
            </w:pPr>
            <w:r w:rsidRPr="00405303">
              <w:rPr>
                <w:bCs/>
                <w:color w:val="002060"/>
                <w:sz w:val="16"/>
                <w:szCs w:val="16"/>
              </w:rPr>
              <w:t>Первое полугодие 1916 г.</w:t>
            </w:r>
          </w:p>
        </w:tc>
        <w:tc>
          <w:tcPr>
            <w:tcW w:w="792" w:type="dxa"/>
          </w:tcPr>
          <w:p w14:paraId="366E41BA" w14:textId="77777777" w:rsidR="004B4E35" w:rsidRPr="00405303" w:rsidRDefault="009E6F82" w:rsidP="00C15251">
            <w:pPr>
              <w:jc w:val="both"/>
              <w:rPr>
                <w:bCs/>
                <w:color w:val="002060"/>
                <w:sz w:val="16"/>
                <w:szCs w:val="16"/>
              </w:rPr>
            </w:pPr>
            <w:r w:rsidRPr="00405303">
              <w:rPr>
                <w:bCs/>
                <w:color w:val="002060"/>
                <w:sz w:val="16"/>
                <w:szCs w:val="16"/>
              </w:rPr>
              <w:t xml:space="preserve">51.8 </w:t>
            </w:r>
          </w:p>
        </w:tc>
      </w:tr>
      <w:tr w:rsidR="004B4E35" w:rsidRPr="00405303" w14:paraId="5A1ED4CB" w14:textId="77777777">
        <w:tc>
          <w:tcPr>
            <w:tcW w:w="2808" w:type="dxa"/>
          </w:tcPr>
          <w:p w14:paraId="2270B3E9" w14:textId="77777777" w:rsidR="004B4E35" w:rsidRPr="00405303" w:rsidRDefault="009E6F82" w:rsidP="00C15251">
            <w:pPr>
              <w:jc w:val="both"/>
              <w:rPr>
                <w:bCs/>
                <w:color w:val="002060"/>
                <w:sz w:val="16"/>
                <w:szCs w:val="16"/>
              </w:rPr>
            </w:pPr>
            <w:r w:rsidRPr="00405303">
              <w:rPr>
                <w:bCs/>
                <w:color w:val="002060"/>
                <w:sz w:val="16"/>
                <w:szCs w:val="16"/>
              </w:rPr>
              <w:t>Второе полугодие 1916 г.</w:t>
            </w:r>
          </w:p>
        </w:tc>
        <w:tc>
          <w:tcPr>
            <w:tcW w:w="792" w:type="dxa"/>
          </w:tcPr>
          <w:p w14:paraId="58B2B035" w14:textId="77777777" w:rsidR="004B4E35" w:rsidRPr="00405303" w:rsidRDefault="009E6F82" w:rsidP="00C15251">
            <w:pPr>
              <w:jc w:val="both"/>
              <w:rPr>
                <w:bCs/>
                <w:color w:val="002060"/>
                <w:sz w:val="16"/>
                <w:szCs w:val="16"/>
              </w:rPr>
            </w:pPr>
            <w:r w:rsidRPr="00405303">
              <w:rPr>
                <w:bCs/>
                <w:color w:val="002060"/>
                <w:sz w:val="16"/>
                <w:szCs w:val="16"/>
              </w:rPr>
              <w:t xml:space="preserve">73.1 </w:t>
            </w:r>
          </w:p>
        </w:tc>
      </w:tr>
      <w:tr w:rsidR="004B4E35" w:rsidRPr="00405303" w14:paraId="5AF9189E" w14:textId="77777777">
        <w:tc>
          <w:tcPr>
            <w:tcW w:w="2808" w:type="dxa"/>
          </w:tcPr>
          <w:p w14:paraId="6BD64D08" w14:textId="77777777" w:rsidR="004B4E35" w:rsidRPr="00405303" w:rsidRDefault="009E6F82" w:rsidP="00C15251">
            <w:pPr>
              <w:jc w:val="both"/>
              <w:rPr>
                <w:bCs/>
                <w:color w:val="002060"/>
                <w:sz w:val="16"/>
                <w:szCs w:val="16"/>
              </w:rPr>
            </w:pPr>
            <w:r w:rsidRPr="00405303">
              <w:rPr>
                <w:bCs/>
                <w:color w:val="002060"/>
                <w:sz w:val="16"/>
                <w:szCs w:val="16"/>
              </w:rPr>
              <w:t>Всего за 1916 г.</w:t>
            </w:r>
          </w:p>
        </w:tc>
        <w:tc>
          <w:tcPr>
            <w:tcW w:w="792" w:type="dxa"/>
          </w:tcPr>
          <w:p w14:paraId="17560B38" w14:textId="77777777" w:rsidR="004B4E35" w:rsidRPr="00405303" w:rsidRDefault="009E6F82" w:rsidP="00C15251">
            <w:pPr>
              <w:jc w:val="both"/>
              <w:rPr>
                <w:bCs/>
                <w:color w:val="002060"/>
                <w:sz w:val="16"/>
                <w:szCs w:val="16"/>
              </w:rPr>
            </w:pPr>
            <w:r w:rsidRPr="00405303">
              <w:rPr>
                <w:bCs/>
                <w:color w:val="002060"/>
                <w:sz w:val="16"/>
                <w:szCs w:val="16"/>
              </w:rPr>
              <w:t>124.9.</w:t>
            </w:r>
          </w:p>
        </w:tc>
      </w:tr>
    </w:tbl>
    <w:p w14:paraId="213244DC" w14:textId="77777777" w:rsidR="004B4E35" w:rsidRPr="00405303" w:rsidRDefault="009E6F82" w:rsidP="00C15251">
      <w:pPr>
        <w:jc w:val="both"/>
        <w:rPr>
          <w:bCs/>
          <w:color w:val="002060"/>
          <w:sz w:val="16"/>
          <w:szCs w:val="16"/>
        </w:rPr>
      </w:pPr>
      <w:r w:rsidRPr="00405303">
        <w:rPr>
          <w:bCs/>
          <w:color w:val="002060"/>
          <w:sz w:val="16"/>
          <w:szCs w:val="16"/>
        </w:rPr>
        <w:t xml:space="preserve">До войны серная кислота вырабатывалась в России в количестве до 1,25 млн пудов в месяц. Колчедан, необходимый для этой цели, в четверть добывался на Урале, остальные же три четверти привозились из-за границы. </w:t>
      </w:r>
    </w:p>
    <w:p w14:paraId="20886F23" w14:textId="77777777" w:rsidR="004B4E35" w:rsidRPr="00405303" w:rsidRDefault="009E6F82" w:rsidP="00C15251">
      <w:pPr>
        <w:jc w:val="both"/>
        <w:rPr>
          <w:bCs/>
          <w:color w:val="002060"/>
          <w:sz w:val="16"/>
          <w:szCs w:val="16"/>
        </w:rPr>
      </w:pPr>
      <w:r w:rsidRPr="00405303">
        <w:rPr>
          <w:bCs/>
          <w:color w:val="002060"/>
          <w:sz w:val="16"/>
          <w:szCs w:val="16"/>
        </w:rPr>
        <w:t xml:space="preserve">В связи с военными операциями на Западном фронте сернокислотные заводы Прибалтики и Царства Польского прекратили работы, благодаря чему с общего счета нужно было скинуть 0,5 млн пудов месячной производительности. </w:t>
      </w:r>
    </w:p>
    <w:p w14:paraId="2D1C4292" w14:textId="77777777" w:rsidR="004B4E35" w:rsidRPr="00405303" w:rsidRDefault="009E6F82" w:rsidP="00C15251">
      <w:pPr>
        <w:jc w:val="both"/>
        <w:rPr>
          <w:bCs/>
          <w:color w:val="002060"/>
          <w:sz w:val="16"/>
          <w:szCs w:val="16"/>
        </w:rPr>
      </w:pPr>
      <w:r w:rsidRPr="00405303">
        <w:rPr>
          <w:bCs/>
          <w:color w:val="002060"/>
          <w:sz w:val="16"/>
          <w:szCs w:val="16"/>
        </w:rPr>
        <w:t xml:space="preserve">Такое положение с серной кислотой являлось угрозой делу производства порохов и взрывчатых веществ, которые вместе с ростом производства основных материалов — толуола, бензола и пр. — должны были и дальше сильно расти, соответственно с заданиями высшего командования. Поэтому требовались энергичные мероприятия со стороны Комиссии Ипатьева по восстановлению и развитию сернокислотного дела и исходных материалов для него. </w:t>
      </w:r>
    </w:p>
    <w:p w14:paraId="30329F00" w14:textId="77777777" w:rsidR="004B4E35" w:rsidRPr="00405303" w:rsidRDefault="009E6F82" w:rsidP="00C15251">
      <w:pPr>
        <w:jc w:val="both"/>
        <w:rPr>
          <w:bCs/>
          <w:color w:val="002060"/>
          <w:sz w:val="16"/>
          <w:szCs w:val="16"/>
        </w:rPr>
      </w:pPr>
      <w:r w:rsidRPr="00405303">
        <w:rPr>
          <w:bCs/>
          <w:color w:val="002060"/>
          <w:sz w:val="16"/>
          <w:szCs w:val="16"/>
        </w:rPr>
        <w:t xml:space="preserve">С целью выяснить вопрос о возможности постройки новых сернокислотных заводов и развития старых, а также усиления добычи колчедана, в июне 1915 г. был собран съезд кислотозаводчиков и представителей серноколчеданных рудников. На съезде была выработала детальная программа развития сернокислотного и колчеданного дела, и, по утверждении ее Особым совещанием по обороне, с лета 1915 г. было приступлено к осуществлению ее. </w:t>
      </w:r>
    </w:p>
    <w:p w14:paraId="210A932D" w14:textId="77777777" w:rsidR="004B4E35" w:rsidRPr="00405303" w:rsidRDefault="009E6F82" w:rsidP="00C15251">
      <w:pPr>
        <w:jc w:val="both"/>
        <w:rPr>
          <w:bCs/>
          <w:color w:val="002060"/>
          <w:sz w:val="16"/>
          <w:szCs w:val="16"/>
        </w:rPr>
      </w:pPr>
      <w:proofErr w:type="gramStart"/>
      <w:r w:rsidRPr="00405303">
        <w:rPr>
          <w:bCs/>
          <w:color w:val="002060"/>
          <w:sz w:val="16"/>
          <w:szCs w:val="16"/>
        </w:rPr>
        <w:t>Согласно программы</w:t>
      </w:r>
      <w:proofErr w:type="gramEnd"/>
      <w:r w:rsidRPr="00405303">
        <w:rPr>
          <w:bCs/>
          <w:color w:val="002060"/>
          <w:sz w:val="16"/>
          <w:szCs w:val="16"/>
        </w:rPr>
        <w:t xml:space="preserve">, намечена была постройка с лета 1915 г. до 20 заводов серной кислоты, которые должны были увеличить вдвое выработку кислоты. Часть этих заводов предположена была к оборудованию контактными системами. </w:t>
      </w:r>
    </w:p>
    <w:p w14:paraId="2DBCE676" w14:textId="77777777" w:rsidR="004B4E35" w:rsidRPr="00405303" w:rsidRDefault="009E6F82" w:rsidP="00C15251">
      <w:pPr>
        <w:jc w:val="both"/>
        <w:rPr>
          <w:bCs/>
          <w:color w:val="002060"/>
          <w:sz w:val="16"/>
          <w:szCs w:val="16"/>
        </w:rPr>
      </w:pPr>
      <w:r w:rsidRPr="00405303">
        <w:rPr>
          <w:bCs/>
          <w:color w:val="002060"/>
          <w:sz w:val="16"/>
          <w:szCs w:val="16"/>
        </w:rPr>
        <w:t xml:space="preserve">Для наблюдения на местах за производством кислоты и правильного распределения ее между заводами военной и частной промышленности, а также для наблюдения за строительством, Комиссией по заготовлению взрывчатых веществ были организованы районные бюро. Районов было установлено шесть: Петроградский, Московский, Верхневолжский, Казанский, Уральский, Южный и Кавказский. </w:t>
      </w:r>
    </w:p>
    <w:p w14:paraId="42E210C9" w14:textId="77777777" w:rsidR="004B4E35" w:rsidRPr="00405303" w:rsidRDefault="009E6F82" w:rsidP="00C15251">
      <w:pPr>
        <w:jc w:val="both"/>
        <w:rPr>
          <w:bCs/>
          <w:color w:val="002060"/>
          <w:sz w:val="16"/>
          <w:szCs w:val="16"/>
        </w:rPr>
      </w:pPr>
      <w:r w:rsidRPr="00405303">
        <w:rPr>
          <w:bCs/>
          <w:color w:val="002060"/>
          <w:sz w:val="16"/>
          <w:szCs w:val="16"/>
        </w:rPr>
        <w:t xml:space="preserve">Весьма серьезным вопросом являлось правильное распределение кислоты между потребителями частной промышленности, так как в связи с кислотным кризисом на рынке началась спекуляция и искусственное вздутие цен на этот материал. </w:t>
      </w:r>
    </w:p>
    <w:p w14:paraId="75AAD9A4" w14:textId="77777777" w:rsidR="004B4E35" w:rsidRPr="00405303" w:rsidRDefault="009E6F82" w:rsidP="00C15251">
      <w:pPr>
        <w:jc w:val="both"/>
        <w:rPr>
          <w:bCs/>
          <w:color w:val="002060"/>
          <w:sz w:val="16"/>
          <w:szCs w:val="16"/>
        </w:rPr>
      </w:pPr>
      <w:r w:rsidRPr="00405303">
        <w:rPr>
          <w:bCs/>
          <w:color w:val="002060"/>
          <w:sz w:val="16"/>
          <w:szCs w:val="16"/>
        </w:rPr>
        <w:t xml:space="preserve">Ниже приводится таблица, в которой по месяцам указаны: 1) программа работы по производству серной кислоты заводов, существовавших к осени 1915 г., 2) число вновь организованных заводов, вступивших в работу, 3) программа, работы последних и 4) суммарный выпуск серной кислоты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1503"/>
        <w:gridCol w:w="1092"/>
        <w:gridCol w:w="1792"/>
        <w:gridCol w:w="972"/>
      </w:tblGrid>
      <w:tr w:rsidR="004B4E35" w:rsidRPr="00405303" w14:paraId="32F60AD9" w14:textId="77777777">
        <w:tc>
          <w:tcPr>
            <w:tcW w:w="1248" w:type="dxa"/>
          </w:tcPr>
          <w:p w14:paraId="366C54A0" w14:textId="45004213" w:rsidR="004B4E35" w:rsidRPr="00405303" w:rsidRDefault="00DB4D64" w:rsidP="00C15251">
            <w:pPr>
              <w:jc w:val="both"/>
              <w:rPr>
                <w:bCs/>
                <w:color w:val="002060"/>
                <w:sz w:val="16"/>
                <w:szCs w:val="16"/>
              </w:rPr>
            </w:pPr>
            <w:r w:rsidRPr="00405303">
              <w:rPr>
                <w:bCs/>
                <w:color w:val="002060"/>
                <w:sz w:val="16"/>
                <w:szCs w:val="16"/>
              </w:rPr>
              <w:t xml:space="preserve"> </w:t>
            </w:r>
          </w:p>
        </w:tc>
        <w:tc>
          <w:tcPr>
            <w:tcW w:w="1503" w:type="dxa"/>
          </w:tcPr>
          <w:p w14:paraId="74F75544" w14:textId="77777777" w:rsidR="004B4E35" w:rsidRPr="00405303" w:rsidRDefault="009E6F82" w:rsidP="00C15251">
            <w:pPr>
              <w:jc w:val="both"/>
              <w:rPr>
                <w:bCs/>
                <w:color w:val="002060"/>
                <w:sz w:val="16"/>
                <w:szCs w:val="16"/>
              </w:rPr>
            </w:pPr>
            <w:r w:rsidRPr="00405303">
              <w:rPr>
                <w:bCs/>
                <w:color w:val="002060"/>
                <w:sz w:val="16"/>
                <w:szCs w:val="16"/>
              </w:rPr>
              <w:t>Существовавшие к осени 1915 г. заводы</w:t>
            </w:r>
          </w:p>
        </w:tc>
        <w:tc>
          <w:tcPr>
            <w:tcW w:w="1092" w:type="dxa"/>
          </w:tcPr>
          <w:p w14:paraId="4F8EF50F" w14:textId="77777777" w:rsidR="004B4E35" w:rsidRPr="00405303" w:rsidRDefault="009E6F82" w:rsidP="00C15251">
            <w:pPr>
              <w:jc w:val="both"/>
              <w:rPr>
                <w:bCs/>
                <w:color w:val="002060"/>
                <w:sz w:val="16"/>
                <w:szCs w:val="16"/>
              </w:rPr>
            </w:pPr>
            <w:r w:rsidRPr="00405303">
              <w:rPr>
                <w:bCs/>
                <w:color w:val="002060"/>
                <w:sz w:val="16"/>
                <w:szCs w:val="16"/>
              </w:rPr>
              <w:t>Число новых заводов</w:t>
            </w:r>
          </w:p>
        </w:tc>
        <w:tc>
          <w:tcPr>
            <w:tcW w:w="1792" w:type="dxa"/>
          </w:tcPr>
          <w:p w14:paraId="3A5C14E5" w14:textId="77777777" w:rsidR="004B4E35" w:rsidRPr="00405303" w:rsidRDefault="009E6F82" w:rsidP="00C15251">
            <w:pPr>
              <w:jc w:val="both"/>
              <w:rPr>
                <w:bCs/>
                <w:color w:val="002060"/>
                <w:sz w:val="16"/>
                <w:szCs w:val="16"/>
              </w:rPr>
            </w:pPr>
            <w:r w:rsidRPr="00405303">
              <w:rPr>
                <w:bCs/>
                <w:color w:val="002060"/>
                <w:sz w:val="16"/>
                <w:szCs w:val="16"/>
              </w:rPr>
              <w:t>Производительность новых заводов</w:t>
            </w:r>
          </w:p>
        </w:tc>
        <w:tc>
          <w:tcPr>
            <w:tcW w:w="972" w:type="dxa"/>
          </w:tcPr>
          <w:p w14:paraId="799A63DD" w14:textId="77777777" w:rsidR="004B4E35" w:rsidRPr="00405303" w:rsidRDefault="009E6F82" w:rsidP="00C15251">
            <w:pPr>
              <w:jc w:val="both"/>
              <w:rPr>
                <w:bCs/>
                <w:color w:val="002060"/>
                <w:sz w:val="16"/>
                <w:szCs w:val="16"/>
              </w:rPr>
            </w:pPr>
            <w:r w:rsidRPr="00405303">
              <w:rPr>
                <w:bCs/>
                <w:color w:val="002060"/>
                <w:sz w:val="16"/>
                <w:szCs w:val="16"/>
              </w:rPr>
              <w:t xml:space="preserve">Итого старые и новые </w:t>
            </w:r>
          </w:p>
        </w:tc>
      </w:tr>
      <w:tr w:rsidR="004B4E35" w:rsidRPr="00405303" w14:paraId="3A15FE8E" w14:textId="77777777">
        <w:tc>
          <w:tcPr>
            <w:tcW w:w="1248" w:type="dxa"/>
          </w:tcPr>
          <w:p w14:paraId="240B0086" w14:textId="627E4C71" w:rsidR="004B4E35" w:rsidRPr="00405303" w:rsidRDefault="00DB4D64" w:rsidP="00C15251">
            <w:pPr>
              <w:jc w:val="both"/>
              <w:rPr>
                <w:bCs/>
                <w:color w:val="002060"/>
                <w:sz w:val="16"/>
                <w:szCs w:val="16"/>
              </w:rPr>
            </w:pPr>
            <w:r w:rsidRPr="00405303">
              <w:rPr>
                <w:bCs/>
                <w:color w:val="002060"/>
                <w:sz w:val="16"/>
                <w:szCs w:val="16"/>
              </w:rPr>
              <w:t xml:space="preserve"> </w:t>
            </w:r>
          </w:p>
        </w:tc>
        <w:tc>
          <w:tcPr>
            <w:tcW w:w="4387" w:type="dxa"/>
            <w:gridSpan w:val="3"/>
          </w:tcPr>
          <w:p w14:paraId="551FD86A" w14:textId="77777777" w:rsidR="004B4E35" w:rsidRPr="00405303" w:rsidRDefault="009E6F82" w:rsidP="00C15251">
            <w:pPr>
              <w:jc w:val="both"/>
              <w:rPr>
                <w:bCs/>
                <w:color w:val="002060"/>
                <w:sz w:val="16"/>
                <w:szCs w:val="16"/>
              </w:rPr>
            </w:pPr>
            <w:r w:rsidRPr="00405303">
              <w:rPr>
                <w:bCs/>
                <w:color w:val="002060"/>
                <w:sz w:val="16"/>
                <w:szCs w:val="16"/>
              </w:rPr>
              <w:t>Программа</w:t>
            </w:r>
          </w:p>
        </w:tc>
        <w:tc>
          <w:tcPr>
            <w:tcW w:w="972" w:type="dxa"/>
          </w:tcPr>
          <w:p w14:paraId="41BE3C24" w14:textId="2901A479" w:rsidR="004B4E35" w:rsidRPr="00405303" w:rsidRDefault="00DB4D64" w:rsidP="00C15251">
            <w:pPr>
              <w:jc w:val="both"/>
              <w:rPr>
                <w:bCs/>
                <w:color w:val="002060"/>
                <w:sz w:val="16"/>
                <w:szCs w:val="16"/>
              </w:rPr>
            </w:pPr>
            <w:r w:rsidRPr="00405303">
              <w:rPr>
                <w:bCs/>
                <w:color w:val="002060"/>
                <w:sz w:val="16"/>
                <w:szCs w:val="16"/>
              </w:rPr>
              <w:t xml:space="preserve"> </w:t>
            </w:r>
          </w:p>
        </w:tc>
      </w:tr>
      <w:tr w:rsidR="004B4E35" w:rsidRPr="00405303" w14:paraId="5C902FC8" w14:textId="77777777">
        <w:tc>
          <w:tcPr>
            <w:tcW w:w="1248" w:type="dxa"/>
          </w:tcPr>
          <w:p w14:paraId="78D36061" w14:textId="77777777" w:rsidR="004B4E35" w:rsidRPr="00405303" w:rsidRDefault="009E6F82" w:rsidP="00C15251">
            <w:pPr>
              <w:jc w:val="both"/>
              <w:rPr>
                <w:bCs/>
                <w:color w:val="002060"/>
                <w:sz w:val="16"/>
                <w:szCs w:val="16"/>
              </w:rPr>
            </w:pPr>
            <w:r w:rsidRPr="00405303">
              <w:rPr>
                <w:bCs/>
                <w:color w:val="002060"/>
                <w:sz w:val="16"/>
                <w:szCs w:val="16"/>
              </w:rPr>
              <w:t>Декабрь 1915 г.</w:t>
            </w:r>
          </w:p>
        </w:tc>
        <w:tc>
          <w:tcPr>
            <w:tcW w:w="1503" w:type="dxa"/>
          </w:tcPr>
          <w:p w14:paraId="60255E6D"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14A458BD" w14:textId="77777777" w:rsidR="004B4E35" w:rsidRPr="00405303" w:rsidRDefault="009E6F82" w:rsidP="00C15251">
            <w:pPr>
              <w:jc w:val="both"/>
              <w:rPr>
                <w:bCs/>
                <w:color w:val="002060"/>
                <w:sz w:val="16"/>
                <w:szCs w:val="16"/>
              </w:rPr>
            </w:pPr>
            <w:r w:rsidRPr="00405303">
              <w:rPr>
                <w:bCs/>
                <w:color w:val="002060"/>
                <w:sz w:val="16"/>
                <w:szCs w:val="16"/>
              </w:rPr>
              <w:t>2</w:t>
            </w:r>
          </w:p>
        </w:tc>
        <w:tc>
          <w:tcPr>
            <w:tcW w:w="1792" w:type="dxa"/>
          </w:tcPr>
          <w:p w14:paraId="7FECF5AA" w14:textId="77777777" w:rsidR="004B4E35" w:rsidRPr="00405303" w:rsidRDefault="009E6F82" w:rsidP="00C15251">
            <w:pPr>
              <w:jc w:val="both"/>
              <w:rPr>
                <w:bCs/>
                <w:color w:val="002060"/>
                <w:sz w:val="16"/>
                <w:szCs w:val="16"/>
              </w:rPr>
            </w:pPr>
            <w:r w:rsidRPr="00405303">
              <w:rPr>
                <w:bCs/>
                <w:color w:val="002060"/>
                <w:sz w:val="16"/>
                <w:szCs w:val="16"/>
              </w:rPr>
              <w:t>75</w:t>
            </w:r>
          </w:p>
        </w:tc>
        <w:tc>
          <w:tcPr>
            <w:tcW w:w="972" w:type="dxa"/>
          </w:tcPr>
          <w:p w14:paraId="40998500" w14:textId="77777777" w:rsidR="004B4E35" w:rsidRPr="00405303" w:rsidRDefault="009E6F82" w:rsidP="00C15251">
            <w:pPr>
              <w:jc w:val="both"/>
              <w:rPr>
                <w:bCs/>
                <w:color w:val="002060"/>
                <w:sz w:val="16"/>
                <w:szCs w:val="16"/>
              </w:rPr>
            </w:pPr>
            <w:r w:rsidRPr="00405303">
              <w:rPr>
                <w:bCs/>
                <w:color w:val="002060"/>
                <w:sz w:val="16"/>
                <w:szCs w:val="16"/>
              </w:rPr>
              <w:t>875</w:t>
            </w:r>
          </w:p>
        </w:tc>
      </w:tr>
      <w:tr w:rsidR="004B4E35" w:rsidRPr="00405303" w14:paraId="29C27170" w14:textId="77777777">
        <w:tc>
          <w:tcPr>
            <w:tcW w:w="1248" w:type="dxa"/>
          </w:tcPr>
          <w:p w14:paraId="2286033E" w14:textId="77777777" w:rsidR="004B4E35" w:rsidRPr="00405303" w:rsidRDefault="009E6F82" w:rsidP="00C15251">
            <w:pPr>
              <w:jc w:val="both"/>
              <w:rPr>
                <w:bCs/>
                <w:color w:val="002060"/>
                <w:sz w:val="16"/>
                <w:szCs w:val="16"/>
              </w:rPr>
            </w:pPr>
            <w:r w:rsidRPr="00405303">
              <w:rPr>
                <w:bCs/>
                <w:color w:val="002060"/>
                <w:sz w:val="16"/>
                <w:szCs w:val="16"/>
              </w:rPr>
              <w:t>Январь 1916 г.</w:t>
            </w:r>
          </w:p>
        </w:tc>
        <w:tc>
          <w:tcPr>
            <w:tcW w:w="1503" w:type="dxa"/>
          </w:tcPr>
          <w:p w14:paraId="0A373778"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0357B730" w14:textId="77777777" w:rsidR="004B4E35" w:rsidRPr="00405303" w:rsidRDefault="009E6F82" w:rsidP="00C15251">
            <w:pPr>
              <w:jc w:val="both"/>
              <w:rPr>
                <w:bCs/>
                <w:color w:val="002060"/>
                <w:sz w:val="16"/>
                <w:szCs w:val="16"/>
              </w:rPr>
            </w:pPr>
            <w:r w:rsidRPr="00405303">
              <w:rPr>
                <w:bCs/>
                <w:color w:val="002060"/>
                <w:sz w:val="16"/>
                <w:szCs w:val="16"/>
              </w:rPr>
              <w:t>6</w:t>
            </w:r>
          </w:p>
        </w:tc>
        <w:tc>
          <w:tcPr>
            <w:tcW w:w="1792" w:type="dxa"/>
          </w:tcPr>
          <w:p w14:paraId="571B4F94" w14:textId="77777777" w:rsidR="004B4E35" w:rsidRPr="00405303" w:rsidRDefault="009E6F82" w:rsidP="00C15251">
            <w:pPr>
              <w:jc w:val="both"/>
              <w:rPr>
                <w:bCs/>
                <w:color w:val="002060"/>
                <w:sz w:val="16"/>
                <w:szCs w:val="16"/>
              </w:rPr>
            </w:pPr>
            <w:r w:rsidRPr="00405303">
              <w:rPr>
                <w:bCs/>
                <w:color w:val="002060"/>
                <w:sz w:val="16"/>
                <w:szCs w:val="16"/>
              </w:rPr>
              <w:t>249,1</w:t>
            </w:r>
          </w:p>
        </w:tc>
        <w:tc>
          <w:tcPr>
            <w:tcW w:w="972" w:type="dxa"/>
          </w:tcPr>
          <w:p w14:paraId="4DC8C1DF" w14:textId="77777777" w:rsidR="004B4E35" w:rsidRPr="00405303" w:rsidRDefault="009E6F82" w:rsidP="00C15251">
            <w:pPr>
              <w:jc w:val="both"/>
              <w:rPr>
                <w:bCs/>
                <w:color w:val="002060"/>
                <w:sz w:val="16"/>
                <w:szCs w:val="16"/>
              </w:rPr>
            </w:pPr>
            <w:r w:rsidRPr="00405303">
              <w:rPr>
                <w:bCs/>
                <w:color w:val="002060"/>
                <w:sz w:val="16"/>
                <w:szCs w:val="16"/>
              </w:rPr>
              <w:t>1.049,1</w:t>
            </w:r>
          </w:p>
        </w:tc>
      </w:tr>
      <w:tr w:rsidR="004B4E35" w:rsidRPr="00405303" w14:paraId="3E6DD6AA" w14:textId="77777777">
        <w:tc>
          <w:tcPr>
            <w:tcW w:w="1248" w:type="dxa"/>
          </w:tcPr>
          <w:p w14:paraId="23869EF8" w14:textId="77777777" w:rsidR="004B4E35" w:rsidRPr="00405303" w:rsidRDefault="009E6F82" w:rsidP="00C15251">
            <w:pPr>
              <w:jc w:val="both"/>
              <w:rPr>
                <w:bCs/>
                <w:color w:val="002060"/>
                <w:sz w:val="16"/>
                <w:szCs w:val="16"/>
              </w:rPr>
            </w:pPr>
            <w:r w:rsidRPr="00405303">
              <w:rPr>
                <w:bCs/>
                <w:color w:val="002060"/>
                <w:sz w:val="16"/>
                <w:szCs w:val="16"/>
              </w:rPr>
              <w:t>Февраль</w:t>
            </w:r>
          </w:p>
        </w:tc>
        <w:tc>
          <w:tcPr>
            <w:tcW w:w="1503" w:type="dxa"/>
          </w:tcPr>
          <w:p w14:paraId="7E8D5C4B"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101A9F09" w14:textId="77777777" w:rsidR="004B4E35" w:rsidRPr="00405303" w:rsidRDefault="009E6F82" w:rsidP="00C15251">
            <w:pPr>
              <w:jc w:val="both"/>
              <w:rPr>
                <w:bCs/>
                <w:color w:val="002060"/>
                <w:sz w:val="16"/>
                <w:szCs w:val="16"/>
              </w:rPr>
            </w:pPr>
            <w:r w:rsidRPr="00405303">
              <w:rPr>
                <w:bCs/>
                <w:color w:val="002060"/>
                <w:sz w:val="16"/>
                <w:szCs w:val="16"/>
              </w:rPr>
              <w:t>8</w:t>
            </w:r>
          </w:p>
        </w:tc>
        <w:tc>
          <w:tcPr>
            <w:tcW w:w="1792" w:type="dxa"/>
          </w:tcPr>
          <w:p w14:paraId="6853E46C" w14:textId="77777777" w:rsidR="004B4E35" w:rsidRPr="00405303" w:rsidRDefault="009E6F82" w:rsidP="00C15251">
            <w:pPr>
              <w:jc w:val="both"/>
              <w:rPr>
                <w:bCs/>
                <w:color w:val="002060"/>
                <w:sz w:val="16"/>
                <w:szCs w:val="16"/>
              </w:rPr>
            </w:pPr>
            <w:r w:rsidRPr="00405303">
              <w:rPr>
                <w:bCs/>
                <w:color w:val="002060"/>
                <w:sz w:val="16"/>
                <w:szCs w:val="16"/>
              </w:rPr>
              <w:t>342,6</w:t>
            </w:r>
          </w:p>
        </w:tc>
        <w:tc>
          <w:tcPr>
            <w:tcW w:w="972" w:type="dxa"/>
          </w:tcPr>
          <w:p w14:paraId="756F005D" w14:textId="77777777" w:rsidR="004B4E35" w:rsidRPr="00405303" w:rsidRDefault="009E6F82" w:rsidP="00C15251">
            <w:pPr>
              <w:jc w:val="both"/>
              <w:rPr>
                <w:bCs/>
                <w:color w:val="002060"/>
                <w:sz w:val="16"/>
                <w:szCs w:val="16"/>
              </w:rPr>
            </w:pPr>
            <w:r w:rsidRPr="00405303">
              <w:rPr>
                <w:bCs/>
                <w:color w:val="002060"/>
                <w:sz w:val="16"/>
                <w:szCs w:val="16"/>
              </w:rPr>
              <w:t>1.142,6</w:t>
            </w:r>
          </w:p>
        </w:tc>
      </w:tr>
      <w:tr w:rsidR="004B4E35" w:rsidRPr="00405303" w14:paraId="28FE96A7" w14:textId="77777777">
        <w:tc>
          <w:tcPr>
            <w:tcW w:w="1248" w:type="dxa"/>
          </w:tcPr>
          <w:p w14:paraId="16D0FA5F" w14:textId="77777777" w:rsidR="004B4E35" w:rsidRPr="00405303" w:rsidRDefault="009E6F82" w:rsidP="00C15251">
            <w:pPr>
              <w:jc w:val="both"/>
              <w:rPr>
                <w:bCs/>
                <w:color w:val="002060"/>
                <w:sz w:val="16"/>
                <w:szCs w:val="16"/>
              </w:rPr>
            </w:pPr>
            <w:r w:rsidRPr="00405303">
              <w:rPr>
                <w:bCs/>
                <w:color w:val="002060"/>
                <w:sz w:val="16"/>
                <w:szCs w:val="16"/>
              </w:rPr>
              <w:t>М«рт</w:t>
            </w:r>
          </w:p>
        </w:tc>
        <w:tc>
          <w:tcPr>
            <w:tcW w:w="1503" w:type="dxa"/>
          </w:tcPr>
          <w:p w14:paraId="6A21D458"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2EDC18E6" w14:textId="77777777" w:rsidR="004B4E35" w:rsidRPr="00405303" w:rsidRDefault="009E6F82" w:rsidP="00C15251">
            <w:pPr>
              <w:jc w:val="both"/>
              <w:rPr>
                <w:bCs/>
                <w:color w:val="002060"/>
                <w:sz w:val="16"/>
                <w:szCs w:val="16"/>
              </w:rPr>
            </w:pPr>
            <w:r w:rsidRPr="00405303">
              <w:rPr>
                <w:bCs/>
                <w:color w:val="002060"/>
                <w:sz w:val="16"/>
                <w:szCs w:val="16"/>
              </w:rPr>
              <w:t>11</w:t>
            </w:r>
          </w:p>
        </w:tc>
        <w:tc>
          <w:tcPr>
            <w:tcW w:w="1792" w:type="dxa"/>
          </w:tcPr>
          <w:p w14:paraId="4CB3FCBB" w14:textId="77777777" w:rsidR="004B4E35" w:rsidRPr="00405303" w:rsidRDefault="009E6F82" w:rsidP="00C15251">
            <w:pPr>
              <w:jc w:val="both"/>
              <w:rPr>
                <w:bCs/>
                <w:color w:val="002060"/>
                <w:sz w:val="16"/>
                <w:szCs w:val="16"/>
              </w:rPr>
            </w:pPr>
            <w:r w:rsidRPr="00405303">
              <w:rPr>
                <w:bCs/>
                <w:color w:val="002060"/>
                <w:sz w:val="16"/>
                <w:szCs w:val="16"/>
              </w:rPr>
              <w:t>479,9</w:t>
            </w:r>
          </w:p>
        </w:tc>
        <w:tc>
          <w:tcPr>
            <w:tcW w:w="972" w:type="dxa"/>
          </w:tcPr>
          <w:p w14:paraId="2FF36F38" w14:textId="77777777" w:rsidR="004B4E35" w:rsidRPr="00405303" w:rsidRDefault="009E6F82" w:rsidP="00C15251">
            <w:pPr>
              <w:jc w:val="both"/>
              <w:rPr>
                <w:bCs/>
                <w:color w:val="002060"/>
                <w:sz w:val="16"/>
                <w:szCs w:val="16"/>
              </w:rPr>
            </w:pPr>
            <w:r w:rsidRPr="00405303">
              <w:rPr>
                <w:bCs/>
                <w:color w:val="002060"/>
                <w:sz w:val="16"/>
                <w:szCs w:val="16"/>
              </w:rPr>
              <w:t>1.279,9</w:t>
            </w:r>
          </w:p>
        </w:tc>
      </w:tr>
      <w:tr w:rsidR="004B4E35" w:rsidRPr="00405303" w14:paraId="7CFB311B" w14:textId="77777777">
        <w:tc>
          <w:tcPr>
            <w:tcW w:w="1248" w:type="dxa"/>
          </w:tcPr>
          <w:p w14:paraId="49E6604E" w14:textId="77777777" w:rsidR="004B4E35" w:rsidRPr="00405303" w:rsidRDefault="009E6F82" w:rsidP="00C15251">
            <w:pPr>
              <w:jc w:val="both"/>
              <w:rPr>
                <w:bCs/>
                <w:color w:val="002060"/>
                <w:sz w:val="16"/>
                <w:szCs w:val="16"/>
              </w:rPr>
            </w:pPr>
            <w:r w:rsidRPr="00405303">
              <w:rPr>
                <w:bCs/>
                <w:color w:val="002060"/>
                <w:sz w:val="16"/>
                <w:szCs w:val="16"/>
              </w:rPr>
              <w:t>Апрель</w:t>
            </w:r>
          </w:p>
        </w:tc>
        <w:tc>
          <w:tcPr>
            <w:tcW w:w="1503" w:type="dxa"/>
          </w:tcPr>
          <w:p w14:paraId="26096FCC"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5312A852" w14:textId="77777777" w:rsidR="004B4E35" w:rsidRPr="00405303" w:rsidRDefault="009E6F82" w:rsidP="00C15251">
            <w:pPr>
              <w:jc w:val="both"/>
              <w:rPr>
                <w:bCs/>
                <w:color w:val="002060"/>
                <w:sz w:val="16"/>
                <w:szCs w:val="16"/>
              </w:rPr>
            </w:pPr>
            <w:r w:rsidRPr="00405303">
              <w:rPr>
                <w:bCs/>
                <w:color w:val="002060"/>
                <w:sz w:val="16"/>
                <w:szCs w:val="16"/>
              </w:rPr>
              <w:t>15</w:t>
            </w:r>
          </w:p>
        </w:tc>
        <w:tc>
          <w:tcPr>
            <w:tcW w:w="1792" w:type="dxa"/>
          </w:tcPr>
          <w:p w14:paraId="0DD02902" w14:textId="77777777" w:rsidR="004B4E35" w:rsidRPr="00405303" w:rsidRDefault="009E6F82" w:rsidP="00C15251">
            <w:pPr>
              <w:jc w:val="both"/>
              <w:rPr>
                <w:bCs/>
                <w:color w:val="002060"/>
                <w:sz w:val="16"/>
                <w:szCs w:val="16"/>
              </w:rPr>
            </w:pPr>
            <w:r w:rsidRPr="00405303">
              <w:rPr>
                <w:bCs/>
                <w:color w:val="002060"/>
                <w:sz w:val="16"/>
                <w:szCs w:val="16"/>
              </w:rPr>
              <w:t>632,1</w:t>
            </w:r>
          </w:p>
        </w:tc>
        <w:tc>
          <w:tcPr>
            <w:tcW w:w="972" w:type="dxa"/>
          </w:tcPr>
          <w:p w14:paraId="05C1F5B1" w14:textId="77777777" w:rsidR="004B4E35" w:rsidRPr="00405303" w:rsidRDefault="009E6F82" w:rsidP="00C15251">
            <w:pPr>
              <w:jc w:val="both"/>
              <w:rPr>
                <w:bCs/>
                <w:color w:val="002060"/>
                <w:sz w:val="16"/>
                <w:szCs w:val="16"/>
              </w:rPr>
            </w:pPr>
            <w:r w:rsidRPr="00405303">
              <w:rPr>
                <w:bCs/>
                <w:color w:val="002060"/>
                <w:sz w:val="16"/>
                <w:szCs w:val="16"/>
              </w:rPr>
              <w:t>1.432,1</w:t>
            </w:r>
          </w:p>
        </w:tc>
      </w:tr>
      <w:tr w:rsidR="004B4E35" w:rsidRPr="00405303" w14:paraId="1EAC7920" w14:textId="77777777">
        <w:tc>
          <w:tcPr>
            <w:tcW w:w="1248" w:type="dxa"/>
          </w:tcPr>
          <w:p w14:paraId="4B97E6A6" w14:textId="77777777" w:rsidR="004B4E35" w:rsidRPr="00405303" w:rsidRDefault="009E6F82" w:rsidP="00C15251">
            <w:pPr>
              <w:jc w:val="both"/>
              <w:rPr>
                <w:bCs/>
                <w:color w:val="002060"/>
                <w:sz w:val="16"/>
                <w:szCs w:val="16"/>
              </w:rPr>
            </w:pPr>
            <w:r w:rsidRPr="00405303">
              <w:rPr>
                <w:bCs/>
                <w:color w:val="002060"/>
                <w:sz w:val="16"/>
                <w:szCs w:val="16"/>
              </w:rPr>
              <w:t>Май</w:t>
            </w:r>
          </w:p>
        </w:tc>
        <w:tc>
          <w:tcPr>
            <w:tcW w:w="1503" w:type="dxa"/>
          </w:tcPr>
          <w:p w14:paraId="1D78424D"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29944F34" w14:textId="77777777" w:rsidR="004B4E35" w:rsidRPr="00405303" w:rsidRDefault="009E6F82" w:rsidP="00C15251">
            <w:pPr>
              <w:jc w:val="both"/>
              <w:rPr>
                <w:bCs/>
                <w:color w:val="002060"/>
                <w:sz w:val="16"/>
                <w:szCs w:val="16"/>
              </w:rPr>
            </w:pPr>
            <w:r w:rsidRPr="00405303">
              <w:rPr>
                <w:bCs/>
                <w:color w:val="002060"/>
                <w:sz w:val="16"/>
                <w:szCs w:val="16"/>
              </w:rPr>
              <w:t>18</w:t>
            </w:r>
          </w:p>
        </w:tc>
        <w:tc>
          <w:tcPr>
            <w:tcW w:w="1792" w:type="dxa"/>
          </w:tcPr>
          <w:p w14:paraId="39AF3F74" w14:textId="77777777" w:rsidR="004B4E35" w:rsidRPr="00405303" w:rsidRDefault="009E6F82" w:rsidP="00C15251">
            <w:pPr>
              <w:jc w:val="both"/>
              <w:rPr>
                <w:bCs/>
                <w:color w:val="002060"/>
                <w:sz w:val="16"/>
                <w:szCs w:val="16"/>
              </w:rPr>
            </w:pPr>
            <w:r w:rsidRPr="00405303">
              <w:rPr>
                <w:bCs/>
                <w:color w:val="002060"/>
                <w:sz w:val="16"/>
                <w:szCs w:val="16"/>
              </w:rPr>
              <w:t>739,8</w:t>
            </w:r>
          </w:p>
        </w:tc>
        <w:tc>
          <w:tcPr>
            <w:tcW w:w="972" w:type="dxa"/>
          </w:tcPr>
          <w:p w14:paraId="13221C83" w14:textId="77777777" w:rsidR="004B4E35" w:rsidRPr="00405303" w:rsidRDefault="009E6F82" w:rsidP="00C15251">
            <w:pPr>
              <w:jc w:val="both"/>
              <w:rPr>
                <w:bCs/>
                <w:color w:val="002060"/>
                <w:sz w:val="16"/>
                <w:szCs w:val="16"/>
              </w:rPr>
            </w:pPr>
            <w:r w:rsidRPr="00405303">
              <w:rPr>
                <w:bCs/>
                <w:color w:val="002060"/>
                <w:sz w:val="16"/>
                <w:szCs w:val="16"/>
              </w:rPr>
              <w:t>1.539,8</w:t>
            </w:r>
          </w:p>
        </w:tc>
      </w:tr>
      <w:tr w:rsidR="004B4E35" w:rsidRPr="00405303" w14:paraId="76C6E288" w14:textId="77777777">
        <w:tc>
          <w:tcPr>
            <w:tcW w:w="1248" w:type="dxa"/>
          </w:tcPr>
          <w:p w14:paraId="59AF888E" w14:textId="77777777" w:rsidR="004B4E35" w:rsidRPr="00405303" w:rsidRDefault="009E6F82" w:rsidP="00C15251">
            <w:pPr>
              <w:jc w:val="both"/>
              <w:rPr>
                <w:bCs/>
                <w:color w:val="002060"/>
                <w:sz w:val="16"/>
                <w:szCs w:val="16"/>
              </w:rPr>
            </w:pPr>
            <w:r w:rsidRPr="00405303">
              <w:rPr>
                <w:bCs/>
                <w:color w:val="002060"/>
                <w:sz w:val="16"/>
                <w:szCs w:val="16"/>
              </w:rPr>
              <w:t>Июнь</w:t>
            </w:r>
          </w:p>
        </w:tc>
        <w:tc>
          <w:tcPr>
            <w:tcW w:w="1503" w:type="dxa"/>
          </w:tcPr>
          <w:p w14:paraId="3E1697D0"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03CAD371" w14:textId="77777777" w:rsidR="004B4E35" w:rsidRPr="00405303" w:rsidRDefault="009E6F82" w:rsidP="00C15251">
            <w:pPr>
              <w:jc w:val="both"/>
              <w:rPr>
                <w:bCs/>
                <w:color w:val="002060"/>
                <w:sz w:val="16"/>
                <w:szCs w:val="16"/>
              </w:rPr>
            </w:pPr>
            <w:r w:rsidRPr="00405303">
              <w:rPr>
                <w:bCs/>
                <w:color w:val="002060"/>
                <w:sz w:val="16"/>
                <w:szCs w:val="16"/>
              </w:rPr>
              <w:t>18</w:t>
            </w:r>
          </w:p>
        </w:tc>
        <w:tc>
          <w:tcPr>
            <w:tcW w:w="1792" w:type="dxa"/>
          </w:tcPr>
          <w:p w14:paraId="171E5777" w14:textId="77777777" w:rsidR="004B4E35" w:rsidRPr="00405303" w:rsidRDefault="009E6F82" w:rsidP="00C15251">
            <w:pPr>
              <w:jc w:val="both"/>
              <w:rPr>
                <w:bCs/>
                <w:color w:val="002060"/>
                <w:sz w:val="16"/>
                <w:szCs w:val="16"/>
              </w:rPr>
            </w:pPr>
            <w:r w:rsidRPr="00405303">
              <w:rPr>
                <w:bCs/>
                <w:color w:val="002060"/>
                <w:sz w:val="16"/>
                <w:szCs w:val="16"/>
              </w:rPr>
              <w:t>739,8</w:t>
            </w:r>
          </w:p>
        </w:tc>
        <w:tc>
          <w:tcPr>
            <w:tcW w:w="972" w:type="dxa"/>
          </w:tcPr>
          <w:p w14:paraId="020E39AA" w14:textId="77777777" w:rsidR="004B4E35" w:rsidRPr="00405303" w:rsidRDefault="009E6F82" w:rsidP="00C15251">
            <w:pPr>
              <w:jc w:val="both"/>
              <w:rPr>
                <w:bCs/>
                <w:color w:val="002060"/>
                <w:sz w:val="16"/>
                <w:szCs w:val="16"/>
              </w:rPr>
            </w:pPr>
            <w:r w:rsidRPr="00405303">
              <w:rPr>
                <w:bCs/>
                <w:color w:val="002060"/>
                <w:sz w:val="16"/>
                <w:szCs w:val="16"/>
              </w:rPr>
              <w:t>1.539,8</w:t>
            </w:r>
          </w:p>
        </w:tc>
      </w:tr>
      <w:tr w:rsidR="004B4E35" w:rsidRPr="00405303" w14:paraId="1C11FE60" w14:textId="77777777">
        <w:tc>
          <w:tcPr>
            <w:tcW w:w="1248" w:type="dxa"/>
          </w:tcPr>
          <w:p w14:paraId="46ED68F4" w14:textId="77777777" w:rsidR="004B4E35" w:rsidRPr="00405303" w:rsidRDefault="009E6F82" w:rsidP="00C15251">
            <w:pPr>
              <w:jc w:val="both"/>
              <w:rPr>
                <w:bCs/>
                <w:color w:val="002060"/>
                <w:sz w:val="16"/>
                <w:szCs w:val="16"/>
              </w:rPr>
            </w:pPr>
            <w:r w:rsidRPr="00405303">
              <w:rPr>
                <w:bCs/>
                <w:color w:val="002060"/>
                <w:sz w:val="16"/>
                <w:szCs w:val="16"/>
              </w:rPr>
              <w:t>Июль</w:t>
            </w:r>
          </w:p>
        </w:tc>
        <w:tc>
          <w:tcPr>
            <w:tcW w:w="1503" w:type="dxa"/>
          </w:tcPr>
          <w:p w14:paraId="1CE038A0"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60E91FC0" w14:textId="77777777" w:rsidR="004B4E35" w:rsidRPr="00405303" w:rsidRDefault="009E6F82" w:rsidP="00C15251">
            <w:pPr>
              <w:jc w:val="both"/>
              <w:rPr>
                <w:bCs/>
                <w:color w:val="002060"/>
                <w:sz w:val="16"/>
                <w:szCs w:val="16"/>
              </w:rPr>
            </w:pPr>
            <w:r w:rsidRPr="00405303">
              <w:rPr>
                <w:bCs/>
                <w:color w:val="002060"/>
                <w:sz w:val="16"/>
                <w:szCs w:val="16"/>
              </w:rPr>
              <w:t>23</w:t>
            </w:r>
          </w:p>
        </w:tc>
        <w:tc>
          <w:tcPr>
            <w:tcW w:w="1792" w:type="dxa"/>
          </w:tcPr>
          <w:p w14:paraId="6A73E97B" w14:textId="77777777" w:rsidR="004B4E35" w:rsidRPr="00405303" w:rsidRDefault="009E6F82" w:rsidP="00C15251">
            <w:pPr>
              <w:jc w:val="both"/>
              <w:rPr>
                <w:bCs/>
                <w:color w:val="002060"/>
                <w:sz w:val="16"/>
                <w:szCs w:val="16"/>
              </w:rPr>
            </w:pPr>
            <w:r w:rsidRPr="00405303">
              <w:rPr>
                <w:bCs/>
                <w:color w:val="002060"/>
                <w:sz w:val="16"/>
                <w:szCs w:val="16"/>
              </w:rPr>
              <w:t>932,4</w:t>
            </w:r>
          </w:p>
        </w:tc>
        <w:tc>
          <w:tcPr>
            <w:tcW w:w="972" w:type="dxa"/>
          </w:tcPr>
          <w:p w14:paraId="7BD100A0" w14:textId="77777777" w:rsidR="004B4E35" w:rsidRPr="00405303" w:rsidRDefault="009E6F82" w:rsidP="00C15251">
            <w:pPr>
              <w:jc w:val="both"/>
              <w:rPr>
                <w:bCs/>
                <w:color w:val="002060"/>
                <w:sz w:val="16"/>
                <w:szCs w:val="16"/>
              </w:rPr>
            </w:pPr>
            <w:r w:rsidRPr="00405303">
              <w:rPr>
                <w:bCs/>
                <w:color w:val="002060"/>
                <w:sz w:val="16"/>
                <w:szCs w:val="16"/>
              </w:rPr>
              <w:t>1.732,4</w:t>
            </w:r>
          </w:p>
        </w:tc>
      </w:tr>
      <w:tr w:rsidR="004B4E35" w:rsidRPr="00405303" w14:paraId="416385B2" w14:textId="77777777">
        <w:tc>
          <w:tcPr>
            <w:tcW w:w="1248" w:type="dxa"/>
          </w:tcPr>
          <w:p w14:paraId="79587347" w14:textId="77777777" w:rsidR="004B4E35" w:rsidRPr="00405303" w:rsidRDefault="009E6F82" w:rsidP="00C15251">
            <w:pPr>
              <w:jc w:val="both"/>
              <w:rPr>
                <w:bCs/>
                <w:color w:val="002060"/>
                <w:sz w:val="16"/>
                <w:szCs w:val="16"/>
              </w:rPr>
            </w:pPr>
            <w:r w:rsidRPr="00405303">
              <w:rPr>
                <w:bCs/>
                <w:color w:val="002060"/>
                <w:sz w:val="16"/>
                <w:szCs w:val="16"/>
              </w:rPr>
              <w:t>Август</w:t>
            </w:r>
          </w:p>
        </w:tc>
        <w:tc>
          <w:tcPr>
            <w:tcW w:w="1503" w:type="dxa"/>
          </w:tcPr>
          <w:p w14:paraId="514B52CB"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51B41414" w14:textId="77777777" w:rsidR="004B4E35" w:rsidRPr="00405303" w:rsidRDefault="009E6F82" w:rsidP="00C15251">
            <w:pPr>
              <w:jc w:val="both"/>
              <w:rPr>
                <w:bCs/>
                <w:color w:val="002060"/>
                <w:sz w:val="16"/>
                <w:szCs w:val="16"/>
              </w:rPr>
            </w:pPr>
            <w:r w:rsidRPr="00405303">
              <w:rPr>
                <w:bCs/>
                <w:color w:val="002060"/>
                <w:sz w:val="16"/>
                <w:szCs w:val="16"/>
              </w:rPr>
              <w:t>23</w:t>
            </w:r>
          </w:p>
        </w:tc>
        <w:tc>
          <w:tcPr>
            <w:tcW w:w="1792" w:type="dxa"/>
          </w:tcPr>
          <w:p w14:paraId="04733769" w14:textId="77777777" w:rsidR="004B4E35" w:rsidRPr="00405303" w:rsidRDefault="009E6F82" w:rsidP="00C15251">
            <w:pPr>
              <w:jc w:val="both"/>
              <w:rPr>
                <w:bCs/>
                <w:color w:val="002060"/>
                <w:sz w:val="16"/>
                <w:szCs w:val="16"/>
              </w:rPr>
            </w:pPr>
            <w:r w:rsidRPr="00405303">
              <w:rPr>
                <w:bCs/>
                <w:color w:val="002060"/>
                <w:sz w:val="16"/>
                <w:szCs w:val="16"/>
              </w:rPr>
              <w:t>932,4</w:t>
            </w:r>
          </w:p>
        </w:tc>
        <w:tc>
          <w:tcPr>
            <w:tcW w:w="972" w:type="dxa"/>
          </w:tcPr>
          <w:p w14:paraId="53215916" w14:textId="77777777" w:rsidR="004B4E35" w:rsidRPr="00405303" w:rsidRDefault="009E6F82" w:rsidP="00C15251">
            <w:pPr>
              <w:jc w:val="both"/>
              <w:rPr>
                <w:bCs/>
                <w:color w:val="002060"/>
                <w:sz w:val="16"/>
                <w:szCs w:val="16"/>
              </w:rPr>
            </w:pPr>
            <w:r w:rsidRPr="00405303">
              <w:rPr>
                <w:bCs/>
                <w:color w:val="002060"/>
                <w:sz w:val="16"/>
                <w:szCs w:val="16"/>
              </w:rPr>
              <w:t>1.732,4</w:t>
            </w:r>
          </w:p>
        </w:tc>
      </w:tr>
      <w:tr w:rsidR="004B4E35" w:rsidRPr="00405303" w14:paraId="25C0ED72" w14:textId="77777777">
        <w:tc>
          <w:tcPr>
            <w:tcW w:w="1248" w:type="dxa"/>
          </w:tcPr>
          <w:p w14:paraId="220CDC4D" w14:textId="77777777" w:rsidR="004B4E35" w:rsidRPr="00405303" w:rsidRDefault="009E6F82" w:rsidP="00C15251">
            <w:pPr>
              <w:jc w:val="both"/>
              <w:rPr>
                <w:bCs/>
                <w:color w:val="002060"/>
                <w:sz w:val="16"/>
                <w:szCs w:val="16"/>
              </w:rPr>
            </w:pPr>
            <w:r w:rsidRPr="00405303">
              <w:rPr>
                <w:bCs/>
                <w:color w:val="002060"/>
                <w:sz w:val="16"/>
                <w:szCs w:val="16"/>
              </w:rPr>
              <w:t>Сентябрь</w:t>
            </w:r>
          </w:p>
        </w:tc>
        <w:tc>
          <w:tcPr>
            <w:tcW w:w="1503" w:type="dxa"/>
          </w:tcPr>
          <w:p w14:paraId="626C3942"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6CDD7729" w14:textId="77777777" w:rsidR="004B4E35" w:rsidRPr="00405303" w:rsidRDefault="009E6F82" w:rsidP="00C15251">
            <w:pPr>
              <w:jc w:val="both"/>
              <w:rPr>
                <w:bCs/>
                <w:color w:val="002060"/>
                <w:sz w:val="16"/>
                <w:szCs w:val="16"/>
              </w:rPr>
            </w:pPr>
            <w:r w:rsidRPr="00405303">
              <w:rPr>
                <w:bCs/>
                <w:color w:val="002060"/>
                <w:sz w:val="16"/>
                <w:szCs w:val="16"/>
              </w:rPr>
              <w:t>28</w:t>
            </w:r>
          </w:p>
        </w:tc>
        <w:tc>
          <w:tcPr>
            <w:tcW w:w="1792" w:type="dxa"/>
          </w:tcPr>
          <w:p w14:paraId="0731461A" w14:textId="77777777" w:rsidR="004B4E35" w:rsidRPr="00405303" w:rsidRDefault="009E6F82" w:rsidP="00C15251">
            <w:pPr>
              <w:jc w:val="both"/>
              <w:rPr>
                <w:bCs/>
                <w:color w:val="002060"/>
                <w:sz w:val="16"/>
                <w:szCs w:val="16"/>
              </w:rPr>
            </w:pPr>
            <w:r w:rsidRPr="00405303">
              <w:rPr>
                <w:bCs/>
                <w:color w:val="002060"/>
                <w:sz w:val="16"/>
                <w:szCs w:val="16"/>
              </w:rPr>
              <w:t>1.064,7</w:t>
            </w:r>
          </w:p>
        </w:tc>
        <w:tc>
          <w:tcPr>
            <w:tcW w:w="972" w:type="dxa"/>
          </w:tcPr>
          <w:p w14:paraId="085AFDA2" w14:textId="77777777" w:rsidR="004B4E35" w:rsidRPr="00405303" w:rsidRDefault="009E6F82" w:rsidP="00C15251">
            <w:pPr>
              <w:jc w:val="both"/>
              <w:rPr>
                <w:bCs/>
                <w:color w:val="002060"/>
                <w:sz w:val="16"/>
                <w:szCs w:val="16"/>
              </w:rPr>
            </w:pPr>
            <w:r w:rsidRPr="00405303">
              <w:rPr>
                <w:bCs/>
                <w:color w:val="002060"/>
                <w:sz w:val="16"/>
                <w:szCs w:val="16"/>
              </w:rPr>
              <w:t>1.864,7</w:t>
            </w:r>
          </w:p>
        </w:tc>
      </w:tr>
      <w:tr w:rsidR="004B4E35" w:rsidRPr="00405303" w14:paraId="06F2D04E" w14:textId="77777777">
        <w:tc>
          <w:tcPr>
            <w:tcW w:w="1248" w:type="dxa"/>
          </w:tcPr>
          <w:p w14:paraId="7561EDBA" w14:textId="77777777" w:rsidR="004B4E35" w:rsidRPr="00405303" w:rsidRDefault="009E6F82" w:rsidP="00C15251">
            <w:pPr>
              <w:jc w:val="both"/>
              <w:rPr>
                <w:bCs/>
                <w:color w:val="002060"/>
                <w:sz w:val="16"/>
                <w:szCs w:val="16"/>
              </w:rPr>
            </w:pPr>
            <w:r w:rsidRPr="00405303">
              <w:rPr>
                <w:bCs/>
                <w:color w:val="002060"/>
                <w:sz w:val="16"/>
                <w:szCs w:val="16"/>
              </w:rPr>
              <w:t>Октябрь</w:t>
            </w:r>
          </w:p>
        </w:tc>
        <w:tc>
          <w:tcPr>
            <w:tcW w:w="1503" w:type="dxa"/>
          </w:tcPr>
          <w:p w14:paraId="48E9E511"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5005979D" w14:textId="77777777" w:rsidR="004B4E35" w:rsidRPr="00405303" w:rsidRDefault="009E6F82" w:rsidP="00C15251">
            <w:pPr>
              <w:jc w:val="both"/>
              <w:rPr>
                <w:bCs/>
                <w:color w:val="002060"/>
                <w:sz w:val="16"/>
                <w:szCs w:val="16"/>
              </w:rPr>
            </w:pPr>
            <w:r w:rsidRPr="00405303">
              <w:rPr>
                <w:bCs/>
                <w:color w:val="002060"/>
                <w:sz w:val="16"/>
                <w:szCs w:val="16"/>
              </w:rPr>
              <w:t>28</w:t>
            </w:r>
          </w:p>
        </w:tc>
        <w:tc>
          <w:tcPr>
            <w:tcW w:w="1792" w:type="dxa"/>
          </w:tcPr>
          <w:p w14:paraId="01964518" w14:textId="77777777" w:rsidR="004B4E35" w:rsidRPr="00405303" w:rsidRDefault="009E6F82" w:rsidP="00C15251">
            <w:pPr>
              <w:jc w:val="both"/>
              <w:rPr>
                <w:bCs/>
                <w:color w:val="002060"/>
                <w:sz w:val="16"/>
                <w:szCs w:val="16"/>
              </w:rPr>
            </w:pPr>
            <w:r w:rsidRPr="00405303">
              <w:rPr>
                <w:bCs/>
                <w:color w:val="002060"/>
                <w:sz w:val="16"/>
                <w:szCs w:val="16"/>
              </w:rPr>
              <w:t>1.064,7</w:t>
            </w:r>
          </w:p>
        </w:tc>
        <w:tc>
          <w:tcPr>
            <w:tcW w:w="972" w:type="dxa"/>
          </w:tcPr>
          <w:p w14:paraId="7CE56223" w14:textId="77777777" w:rsidR="004B4E35" w:rsidRPr="00405303" w:rsidRDefault="009E6F82" w:rsidP="00C15251">
            <w:pPr>
              <w:jc w:val="both"/>
              <w:rPr>
                <w:bCs/>
                <w:color w:val="002060"/>
                <w:sz w:val="16"/>
                <w:szCs w:val="16"/>
              </w:rPr>
            </w:pPr>
            <w:r w:rsidRPr="00405303">
              <w:rPr>
                <w:bCs/>
                <w:color w:val="002060"/>
                <w:sz w:val="16"/>
                <w:szCs w:val="16"/>
              </w:rPr>
              <w:t>1.864,7</w:t>
            </w:r>
          </w:p>
        </w:tc>
      </w:tr>
      <w:tr w:rsidR="004B4E35" w:rsidRPr="00405303" w14:paraId="51587EEA" w14:textId="77777777">
        <w:tc>
          <w:tcPr>
            <w:tcW w:w="1248" w:type="dxa"/>
          </w:tcPr>
          <w:p w14:paraId="2C2DFB75"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1503" w:type="dxa"/>
          </w:tcPr>
          <w:p w14:paraId="7B14770A"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5B27BC08" w14:textId="77777777" w:rsidR="004B4E35" w:rsidRPr="00405303" w:rsidRDefault="009E6F82" w:rsidP="00C15251">
            <w:pPr>
              <w:jc w:val="both"/>
              <w:rPr>
                <w:bCs/>
                <w:color w:val="002060"/>
                <w:sz w:val="16"/>
                <w:szCs w:val="16"/>
              </w:rPr>
            </w:pPr>
            <w:r w:rsidRPr="00405303">
              <w:rPr>
                <w:bCs/>
                <w:color w:val="002060"/>
                <w:sz w:val="16"/>
                <w:szCs w:val="16"/>
              </w:rPr>
              <w:t>28</w:t>
            </w:r>
          </w:p>
        </w:tc>
        <w:tc>
          <w:tcPr>
            <w:tcW w:w="1792" w:type="dxa"/>
          </w:tcPr>
          <w:p w14:paraId="1E65736C" w14:textId="77777777" w:rsidR="004B4E35" w:rsidRPr="00405303" w:rsidRDefault="009E6F82" w:rsidP="00C15251">
            <w:pPr>
              <w:jc w:val="both"/>
              <w:rPr>
                <w:bCs/>
                <w:color w:val="002060"/>
                <w:sz w:val="16"/>
                <w:szCs w:val="16"/>
              </w:rPr>
            </w:pPr>
            <w:r w:rsidRPr="00405303">
              <w:rPr>
                <w:bCs/>
                <w:color w:val="002060"/>
                <w:sz w:val="16"/>
                <w:szCs w:val="16"/>
              </w:rPr>
              <w:t>1.064,7</w:t>
            </w:r>
          </w:p>
        </w:tc>
        <w:tc>
          <w:tcPr>
            <w:tcW w:w="972" w:type="dxa"/>
          </w:tcPr>
          <w:p w14:paraId="3509BB05" w14:textId="77777777" w:rsidR="004B4E35" w:rsidRPr="00405303" w:rsidRDefault="009E6F82" w:rsidP="00C15251">
            <w:pPr>
              <w:jc w:val="both"/>
              <w:rPr>
                <w:bCs/>
                <w:color w:val="002060"/>
                <w:sz w:val="16"/>
                <w:szCs w:val="16"/>
              </w:rPr>
            </w:pPr>
            <w:r w:rsidRPr="00405303">
              <w:rPr>
                <w:bCs/>
                <w:color w:val="002060"/>
                <w:sz w:val="16"/>
                <w:szCs w:val="16"/>
              </w:rPr>
              <w:t>1.864,7</w:t>
            </w:r>
          </w:p>
        </w:tc>
      </w:tr>
      <w:tr w:rsidR="004B4E35" w:rsidRPr="00405303" w14:paraId="6B422C84" w14:textId="77777777">
        <w:tc>
          <w:tcPr>
            <w:tcW w:w="1248" w:type="dxa"/>
          </w:tcPr>
          <w:p w14:paraId="4B09B784"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1503" w:type="dxa"/>
          </w:tcPr>
          <w:p w14:paraId="4ED21AFE"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6D626C85" w14:textId="77777777" w:rsidR="004B4E35" w:rsidRPr="00405303" w:rsidRDefault="009E6F82" w:rsidP="00C15251">
            <w:pPr>
              <w:jc w:val="both"/>
              <w:rPr>
                <w:bCs/>
                <w:color w:val="002060"/>
                <w:sz w:val="16"/>
                <w:szCs w:val="16"/>
              </w:rPr>
            </w:pPr>
            <w:r w:rsidRPr="00405303">
              <w:rPr>
                <w:bCs/>
                <w:color w:val="002060"/>
                <w:sz w:val="16"/>
                <w:szCs w:val="16"/>
              </w:rPr>
              <w:t>28</w:t>
            </w:r>
          </w:p>
        </w:tc>
        <w:tc>
          <w:tcPr>
            <w:tcW w:w="1792" w:type="dxa"/>
          </w:tcPr>
          <w:p w14:paraId="73EA19E2" w14:textId="77777777" w:rsidR="004B4E35" w:rsidRPr="00405303" w:rsidRDefault="009E6F82" w:rsidP="00C15251">
            <w:pPr>
              <w:jc w:val="both"/>
              <w:rPr>
                <w:bCs/>
                <w:color w:val="002060"/>
                <w:sz w:val="16"/>
                <w:szCs w:val="16"/>
              </w:rPr>
            </w:pPr>
            <w:r w:rsidRPr="00405303">
              <w:rPr>
                <w:bCs/>
                <w:color w:val="002060"/>
                <w:sz w:val="16"/>
                <w:szCs w:val="16"/>
              </w:rPr>
              <w:t>1.064,7</w:t>
            </w:r>
          </w:p>
        </w:tc>
        <w:tc>
          <w:tcPr>
            <w:tcW w:w="972" w:type="dxa"/>
          </w:tcPr>
          <w:p w14:paraId="76EFDEC5" w14:textId="77777777" w:rsidR="004B4E35" w:rsidRPr="00405303" w:rsidRDefault="009E6F82" w:rsidP="00C15251">
            <w:pPr>
              <w:jc w:val="both"/>
              <w:rPr>
                <w:bCs/>
                <w:color w:val="002060"/>
                <w:sz w:val="16"/>
                <w:szCs w:val="16"/>
              </w:rPr>
            </w:pPr>
            <w:r w:rsidRPr="00405303">
              <w:rPr>
                <w:bCs/>
                <w:color w:val="002060"/>
                <w:sz w:val="16"/>
                <w:szCs w:val="16"/>
              </w:rPr>
              <w:t>1.864,7</w:t>
            </w:r>
          </w:p>
        </w:tc>
      </w:tr>
    </w:tbl>
    <w:p w14:paraId="64B2B505" w14:textId="77777777" w:rsidR="004B4E35" w:rsidRPr="00405303" w:rsidRDefault="009E6F82" w:rsidP="00C15251">
      <w:pPr>
        <w:jc w:val="both"/>
        <w:rPr>
          <w:bCs/>
          <w:color w:val="002060"/>
          <w:sz w:val="16"/>
          <w:szCs w:val="16"/>
        </w:rPr>
      </w:pPr>
      <w:r w:rsidRPr="00405303">
        <w:rPr>
          <w:bCs/>
          <w:color w:val="002060"/>
          <w:sz w:val="16"/>
          <w:szCs w:val="16"/>
        </w:rPr>
        <w:t>Фактически эта программа выполнялась на 80%.</w:t>
      </w:r>
    </w:p>
    <w:p w14:paraId="36D75E67" w14:textId="530976E9" w:rsidR="004B4E35" w:rsidRPr="00405303" w:rsidRDefault="00DB4D64" w:rsidP="00C15251">
      <w:pPr>
        <w:jc w:val="both"/>
        <w:rPr>
          <w:bCs/>
          <w:color w:val="002060"/>
          <w:sz w:val="16"/>
          <w:szCs w:val="16"/>
        </w:rPr>
      </w:pPr>
      <w:r w:rsidRPr="00405303">
        <w:rPr>
          <w:bCs/>
          <w:color w:val="002060"/>
          <w:sz w:val="16"/>
          <w:szCs w:val="16"/>
        </w:rPr>
        <w:t xml:space="preserve"> </w:t>
      </w:r>
      <w:r w:rsidR="009E6F82" w:rsidRPr="00405303">
        <w:rPr>
          <w:bCs/>
          <w:color w:val="002060"/>
          <w:sz w:val="16"/>
          <w:szCs w:val="16"/>
        </w:rPr>
        <w:t xml:space="preserve">Что касается добычи колчедана, то в связи с программой сернокислотных заводов программа по колчедану была намечена следующая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52"/>
        <w:gridCol w:w="612"/>
        <w:gridCol w:w="650"/>
        <w:gridCol w:w="636"/>
        <w:gridCol w:w="728"/>
      </w:tblGrid>
      <w:tr w:rsidR="004B4E35" w:rsidRPr="00405303" w14:paraId="07253A95" w14:textId="77777777">
        <w:tc>
          <w:tcPr>
            <w:tcW w:w="2652" w:type="dxa"/>
          </w:tcPr>
          <w:p w14:paraId="7F4D6A3C" w14:textId="4BAA1A62" w:rsidR="004B4E35" w:rsidRPr="00405303" w:rsidRDefault="00DB4D64" w:rsidP="00C15251">
            <w:pPr>
              <w:jc w:val="both"/>
              <w:rPr>
                <w:bCs/>
                <w:color w:val="002060"/>
                <w:sz w:val="16"/>
                <w:szCs w:val="16"/>
              </w:rPr>
            </w:pPr>
            <w:r w:rsidRPr="00405303">
              <w:rPr>
                <w:bCs/>
                <w:color w:val="002060"/>
                <w:sz w:val="16"/>
                <w:szCs w:val="16"/>
              </w:rPr>
              <w:t xml:space="preserve"> </w:t>
            </w:r>
          </w:p>
        </w:tc>
        <w:tc>
          <w:tcPr>
            <w:tcW w:w="612" w:type="dxa"/>
          </w:tcPr>
          <w:p w14:paraId="57F17150" w14:textId="77777777" w:rsidR="004B4E35" w:rsidRPr="00405303" w:rsidRDefault="009E6F82" w:rsidP="00C15251">
            <w:pPr>
              <w:jc w:val="both"/>
              <w:rPr>
                <w:bCs/>
                <w:color w:val="002060"/>
                <w:sz w:val="16"/>
                <w:szCs w:val="16"/>
              </w:rPr>
            </w:pPr>
            <w:r w:rsidRPr="00405303">
              <w:rPr>
                <w:bCs/>
                <w:color w:val="002060"/>
                <w:sz w:val="16"/>
                <w:szCs w:val="16"/>
              </w:rPr>
              <w:t>Август 1915 г.</w:t>
            </w:r>
          </w:p>
        </w:tc>
        <w:tc>
          <w:tcPr>
            <w:tcW w:w="650" w:type="dxa"/>
          </w:tcPr>
          <w:p w14:paraId="6494EB18" w14:textId="77777777" w:rsidR="004B4E35" w:rsidRPr="00405303" w:rsidRDefault="009E6F82" w:rsidP="00C15251">
            <w:pPr>
              <w:jc w:val="both"/>
              <w:rPr>
                <w:bCs/>
                <w:color w:val="002060"/>
                <w:sz w:val="16"/>
                <w:szCs w:val="16"/>
              </w:rPr>
            </w:pPr>
            <w:r w:rsidRPr="00405303">
              <w:rPr>
                <w:bCs/>
                <w:color w:val="002060"/>
                <w:sz w:val="16"/>
                <w:szCs w:val="16"/>
              </w:rPr>
              <w:t>Январь 1916 г.</w:t>
            </w:r>
          </w:p>
        </w:tc>
        <w:tc>
          <w:tcPr>
            <w:tcW w:w="636" w:type="dxa"/>
          </w:tcPr>
          <w:p w14:paraId="400BDA2D" w14:textId="77777777" w:rsidR="004B4E35" w:rsidRPr="00405303" w:rsidRDefault="009E6F82" w:rsidP="00C15251">
            <w:pPr>
              <w:jc w:val="both"/>
              <w:rPr>
                <w:bCs/>
                <w:color w:val="002060"/>
                <w:sz w:val="16"/>
                <w:szCs w:val="16"/>
              </w:rPr>
            </w:pPr>
            <w:r w:rsidRPr="00405303">
              <w:rPr>
                <w:bCs/>
                <w:color w:val="002060"/>
                <w:sz w:val="16"/>
                <w:szCs w:val="16"/>
              </w:rPr>
              <w:t>Июнь 1916 г.</w:t>
            </w:r>
          </w:p>
        </w:tc>
        <w:tc>
          <w:tcPr>
            <w:tcW w:w="728" w:type="dxa"/>
          </w:tcPr>
          <w:p w14:paraId="21BDBDC0" w14:textId="77777777" w:rsidR="004B4E35" w:rsidRPr="00405303" w:rsidRDefault="009E6F82" w:rsidP="00C15251">
            <w:pPr>
              <w:jc w:val="both"/>
              <w:rPr>
                <w:bCs/>
                <w:color w:val="002060"/>
                <w:sz w:val="16"/>
                <w:szCs w:val="16"/>
              </w:rPr>
            </w:pPr>
            <w:r w:rsidRPr="00405303">
              <w:rPr>
                <w:bCs/>
                <w:color w:val="002060"/>
                <w:sz w:val="16"/>
                <w:szCs w:val="16"/>
              </w:rPr>
              <w:t>Декабрь 1916 г.</w:t>
            </w:r>
          </w:p>
        </w:tc>
      </w:tr>
      <w:tr w:rsidR="004B4E35" w:rsidRPr="00405303" w14:paraId="4BBC721C" w14:textId="77777777">
        <w:tc>
          <w:tcPr>
            <w:tcW w:w="2652" w:type="dxa"/>
          </w:tcPr>
          <w:p w14:paraId="3A4512B6" w14:textId="77777777" w:rsidR="004B4E35" w:rsidRPr="00405303" w:rsidRDefault="009E6F82" w:rsidP="00C15251">
            <w:pPr>
              <w:jc w:val="both"/>
              <w:rPr>
                <w:bCs/>
                <w:color w:val="002060"/>
                <w:sz w:val="16"/>
                <w:szCs w:val="16"/>
              </w:rPr>
            </w:pPr>
            <w:r w:rsidRPr="00405303">
              <w:rPr>
                <w:bCs/>
                <w:color w:val="002060"/>
                <w:sz w:val="16"/>
                <w:szCs w:val="16"/>
              </w:rPr>
              <w:t>Кыштымский горный округ</w:t>
            </w:r>
          </w:p>
        </w:tc>
        <w:tc>
          <w:tcPr>
            <w:tcW w:w="612" w:type="dxa"/>
          </w:tcPr>
          <w:p w14:paraId="06EBACE2" w14:textId="77777777" w:rsidR="004B4E35" w:rsidRPr="00405303" w:rsidRDefault="009E6F82" w:rsidP="00C15251">
            <w:pPr>
              <w:jc w:val="both"/>
              <w:rPr>
                <w:bCs/>
                <w:color w:val="002060"/>
                <w:sz w:val="16"/>
                <w:szCs w:val="16"/>
              </w:rPr>
            </w:pPr>
            <w:r w:rsidRPr="00405303">
              <w:rPr>
                <w:bCs/>
                <w:color w:val="002060"/>
                <w:sz w:val="16"/>
                <w:szCs w:val="16"/>
              </w:rPr>
              <w:t>225</w:t>
            </w:r>
          </w:p>
        </w:tc>
        <w:tc>
          <w:tcPr>
            <w:tcW w:w="650" w:type="dxa"/>
          </w:tcPr>
          <w:p w14:paraId="1A5408A2"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636" w:type="dxa"/>
          </w:tcPr>
          <w:p w14:paraId="24DC00FA"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728" w:type="dxa"/>
          </w:tcPr>
          <w:p w14:paraId="271E2D4C" w14:textId="77777777" w:rsidR="004B4E35" w:rsidRPr="00405303" w:rsidRDefault="009E6F82" w:rsidP="00C15251">
            <w:pPr>
              <w:jc w:val="both"/>
              <w:rPr>
                <w:bCs/>
                <w:color w:val="002060"/>
                <w:sz w:val="16"/>
                <w:szCs w:val="16"/>
              </w:rPr>
            </w:pPr>
            <w:r w:rsidRPr="00405303">
              <w:rPr>
                <w:bCs/>
                <w:color w:val="002060"/>
                <w:sz w:val="16"/>
                <w:szCs w:val="16"/>
              </w:rPr>
              <w:t>800</w:t>
            </w:r>
          </w:p>
        </w:tc>
      </w:tr>
      <w:tr w:rsidR="004B4E35" w:rsidRPr="00405303" w14:paraId="6AEA1E90" w14:textId="77777777">
        <w:tc>
          <w:tcPr>
            <w:tcW w:w="2652" w:type="dxa"/>
          </w:tcPr>
          <w:p w14:paraId="17726A2D" w14:textId="77777777" w:rsidR="004B4E35" w:rsidRPr="00405303" w:rsidRDefault="009E6F82" w:rsidP="00C15251">
            <w:pPr>
              <w:jc w:val="both"/>
              <w:rPr>
                <w:bCs/>
                <w:color w:val="002060"/>
                <w:sz w:val="16"/>
                <w:szCs w:val="16"/>
              </w:rPr>
            </w:pPr>
            <w:r w:rsidRPr="00405303">
              <w:rPr>
                <w:bCs/>
                <w:color w:val="002060"/>
                <w:sz w:val="16"/>
                <w:szCs w:val="16"/>
              </w:rPr>
              <w:t>Верх-Исетский горный округ</w:t>
            </w:r>
          </w:p>
        </w:tc>
        <w:tc>
          <w:tcPr>
            <w:tcW w:w="612" w:type="dxa"/>
          </w:tcPr>
          <w:p w14:paraId="1B5FF733" w14:textId="77777777" w:rsidR="004B4E35" w:rsidRPr="00405303" w:rsidRDefault="009E6F82" w:rsidP="00C15251">
            <w:pPr>
              <w:jc w:val="both"/>
              <w:rPr>
                <w:bCs/>
                <w:color w:val="002060"/>
                <w:sz w:val="16"/>
                <w:szCs w:val="16"/>
              </w:rPr>
            </w:pPr>
            <w:r w:rsidRPr="00405303">
              <w:rPr>
                <w:bCs/>
                <w:color w:val="002060"/>
                <w:sz w:val="16"/>
                <w:szCs w:val="16"/>
              </w:rPr>
              <w:t>325</w:t>
            </w:r>
          </w:p>
        </w:tc>
        <w:tc>
          <w:tcPr>
            <w:tcW w:w="650" w:type="dxa"/>
          </w:tcPr>
          <w:p w14:paraId="4B9B1181" w14:textId="77777777" w:rsidR="004B4E35" w:rsidRPr="00405303" w:rsidRDefault="009E6F82" w:rsidP="00C15251">
            <w:pPr>
              <w:jc w:val="both"/>
              <w:rPr>
                <w:bCs/>
                <w:color w:val="002060"/>
                <w:sz w:val="16"/>
                <w:szCs w:val="16"/>
              </w:rPr>
            </w:pPr>
            <w:r w:rsidRPr="00405303">
              <w:rPr>
                <w:bCs/>
                <w:color w:val="002060"/>
                <w:sz w:val="16"/>
                <w:szCs w:val="16"/>
              </w:rPr>
              <w:t>325</w:t>
            </w:r>
          </w:p>
        </w:tc>
        <w:tc>
          <w:tcPr>
            <w:tcW w:w="636" w:type="dxa"/>
          </w:tcPr>
          <w:p w14:paraId="16FB61A0" w14:textId="77777777" w:rsidR="004B4E35" w:rsidRPr="00405303" w:rsidRDefault="009E6F82" w:rsidP="00C15251">
            <w:pPr>
              <w:jc w:val="both"/>
              <w:rPr>
                <w:bCs/>
                <w:color w:val="002060"/>
                <w:sz w:val="16"/>
                <w:szCs w:val="16"/>
              </w:rPr>
            </w:pPr>
            <w:r w:rsidRPr="00405303">
              <w:rPr>
                <w:bCs/>
                <w:color w:val="002060"/>
                <w:sz w:val="16"/>
                <w:szCs w:val="16"/>
              </w:rPr>
              <w:t>325</w:t>
            </w:r>
          </w:p>
        </w:tc>
        <w:tc>
          <w:tcPr>
            <w:tcW w:w="728" w:type="dxa"/>
          </w:tcPr>
          <w:p w14:paraId="44DCEFD9" w14:textId="77777777" w:rsidR="004B4E35" w:rsidRPr="00405303" w:rsidRDefault="009E6F82" w:rsidP="00C15251">
            <w:pPr>
              <w:jc w:val="both"/>
              <w:rPr>
                <w:bCs/>
                <w:color w:val="002060"/>
                <w:sz w:val="16"/>
                <w:szCs w:val="16"/>
              </w:rPr>
            </w:pPr>
            <w:r w:rsidRPr="00405303">
              <w:rPr>
                <w:bCs/>
                <w:color w:val="002060"/>
                <w:sz w:val="16"/>
                <w:szCs w:val="16"/>
              </w:rPr>
              <w:t>325</w:t>
            </w:r>
          </w:p>
        </w:tc>
      </w:tr>
      <w:tr w:rsidR="004B4E35" w:rsidRPr="00405303" w14:paraId="305F1207" w14:textId="77777777">
        <w:tc>
          <w:tcPr>
            <w:tcW w:w="2652" w:type="dxa"/>
          </w:tcPr>
          <w:p w14:paraId="32A36623" w14:textId="77777777" w:rsidR="004B4E35" w:rsidRPr="00405303" w:rsidRDefault="009E6F82" w:rsidP="00C15251">
            <w:pPr>
              <w:jc w:val="both"/>
              <w:rPr>
                <w:bCs/>
                <w:color w:val="002060"/>
                <w:sz w:val="16"/>
                <w:szCs w:val="16"/>
              </w:rPr>
            </w:pPr>
            <w:r w:rsidRPr="00405303">
              <w:rPr>
                <w:bCs/>
                <w:color w:val="002060"/>
                <w:sz w:val="16"/>
                <w:szCs w:val="16"/>
              </w:rPr>
              <w:lastRenderedPageBreak/>
              <w:t>Сысертский горный округ</w:t>
            </w:r>
          </w:p>
        </w:tc>
        <w:tc>
          <w:tcPr>
            <w:tcW w:w="612" w:type="dxa"/>
          </w:tcPr>
          <w:p w14:paraId="41920EE0" w14:textId="77777777" w:rsidR="004B4E35" w:rsidRPr="00405303" w:rsidRDefault="009E6F82" w:rsidP="00C15251">
            <w:pPr>
              <w:jc w:val="both"/>
              <w:rPr>
                <w:bCs/>
                <w:color w:val="002060"/>
                <w:sz w:val="16"/>
                <w:szCs w:val="16"/>
              </w:rPr>
            </w:pPr>
            <w:r w:rsidRPr="00405303">
              <w:rPr>
                <w:bCs/>
                <w:color w:val="002060"/>
                <w:sz w:val="16"/>
                <w:szCs w:val="16"/>
              </w:rPr>
              <w:t>—</w:t>
            </w:r>
          </w:p>
        </w:tc>
        <w:tc>
          <w:tcPr>
            <w:tcW w:w="650" w:type="dxa"/>
          </w:tcPr>
          <w:p w14:paraId="1B519021" w14:textId="77777777" w:rsidR="004B4E35" w:rsidRPr="00405303" w:rsidRDefault="009E6F82" w:rsidP="00C15251">
            <w:pPr>
              <w:jc w:val="both"/>
              <w:rPr>
                <w:bCs/>
                <w:color w:val="002060"/>
                <w:sz w:val="16"/>
                <w:szCs w:val="16"/>
              </w:rPr>
            </w:pPr>
            <w:r w:rsidRPr="00405303">
              <w:rPr>
                <w:bCs/>
                <w:color w:val="002060"/>
                <w:sz w:val="16"/>
                <w:szCs w:val="16"/>
              </w:rPr>
              <w:t>100</w:t>
            </w:r>
          </w:p>
        </w:tc>
        <w:tc>
          <w:tcPr>
            <w:tcW w:w="636" w:type="dxa"/>
          </w:tcPr>
          <w:p w14:paraId="2312F2EB" w14:textId="77777777" w:rsidR="004B4E35" w:rsidRPr="00405303" w:rsidRDefault="009E6F82" w:rsidP="00C15251">
            <w:pPr>
              <w:jc w:val="both"/>
              <w:rPr>
                <w:bCs/>
                <w:color w:val="002060"/>
                <w:sz w:val="16"/>
                <w:szCs w:val="16"/>
              </w:rPr>
            </w:pPr>
            <w:r w:rsidRPr="00405303">
              <w:rPr>
                <w:bCs/>
                <w:color w:val="002060"/>
                <w:sz w:val="16"/>
                <w:szCs w:val="16"/>
              </w:rPr>
              <w:t>100</w:t>
            </w:r>
          </w:p>
        </w:tc>
        <w:tc>
          <w:tcPr>
            <w:tcW w:w="728" w:type="dxa"/>
          </w:tcPr>
          <w:p w14:paraId="28FDEC4D" w14:textId="77777777" w:rsidR="004B4E35" w:rsidRPr="00405303" w:rsidRDefault="009E6F82" w:rsidP="00C15251">
            <w:pPr>
              <w:jc w:val="both"/>
              <w:rPr>
                <w:bCs/>
                <w:color w:val="002060"/>
                <w:sz w:val="16"/>
                <w:szCs w:val="16"/>
              </w:rPr>
            </w:pPr>
            <w:r w:rsidRPr="00405303">
              <w:rPr>
                <w:bCs/>
                <w:color w:val="002060"/>
                <w:sz w:val="16"/>
                <w:szCs w:val="16"/>
              </w:rPr>
              <w:t>100</w:t>
            </w:r>
          </w:p>
        </w:tc>
      </w:tr>
      <w:tr w:rsidR="004B4E35" w:rsidRPr="00405303" w14:paraId="7F1C0723" w14:textId="77777777">
        <w:tc>
          <w:tcPr>
            <w:tcW w:w="2652" w:type="dxa"/>
          </w:tcPr>
          <w:p w14:paraId="4A435808" w14:textId="77777777" w:rsidR="004B4E35" w:rsidRPr="00405303" w:rsidRDefault="009E6F82" w:rsidP="00C15251">
            <w:pPr>
              <w:jc w:val="both"/>
              <w:rPr>
                <w:bCs/>
                <w:color w:val="002060"/>
                <w:sz w:val="16"/>
                <w:szCs w:val="16"/>
              </w:rPr>
            </w:pPr>
            <w:r w:rsidRPr="00405303">
              <w:rPr>
                <w:bCs/>
                <w:color w:val="002060"/>
                <w:sz w:val="16"/>
                <w:szCs w:val="16"/>
              </w:rPr>
              <w:t>Ревдинский горный округ</w:t>
            </w:r>
          </w:p>
        </w:tc>
        <w:tc>
          <w:tcPr>
            <w:tcW w:w="612" w:type="dxa"/>
          </w:tcPr>
          <w:p w14:paraId="1494FB4F" w14:textId="77777777" w:rsidR="004B4E35" w:rsidRPr="00405303" w:rsidRDefault="009E6F82" w:rsidP="00C15251">
            <w:pPr>
              <w:jc w:val="both"/>
              <w:rPr>
                <w:bCs/>
                <w:color w:val="002060"/>
                <w:sz w:val="16"/>
                <w:szCs w:val="16"/>
              </w:rPr>
            </w:pPr>
            <w:r w:rsidRPr="00405303">
              <w:rPr>
                <w:bCs/>
                <w:color w:val="002060"/>
                <w:sz w:val="16"/>
                <w:szCs w:val="16"/>
              </w:rPr>
              <w:t>—</w:t>
            </w:r>
          </w:p>
        </w:tc>
        <w:tc>
          <w:tcPr>
            <w:tcW w:w="650" w:type="dxa"/>
          </w:tcPr>
          <w:p w14:paraId="3279B55B" w14:textId="77777777" w:rsidR="004B4E35" w:rsidRPr="00405303" w:rsidRDefault="009E6F82" w:rsidP="00C15251">
            <w:pPr>
              <w:jc w:val="both"/>
              <w:rPr>
                <w:bCs/>
                <w:color w:val="002060"/>
                <w:sz w:val="16"/>
                <w:szCs w:val="16"/>
              </w:rPr>
            </w:pPr>
            <w:r w:rsidRPr="00405303">
              <w:rPr>
                <w:bCs/>
                <w:color w:val="002060"/>
                <w:sz w:val="16"/>
                <w:szCs w:val="16"/>
              </w:rPr>
              <w:t>150</w:t>
            </w:r>
          </w:p>
        </w:tc>
        <w:tc>
          <w:tcPr>
            <w:tcW w:w="636" w:type="dxa"/>
          </w:tcPr>
          <w:p w14:paraId="022F2B9F" w14:textId="77777777" w:rsidR="004B4E35" w:rsidRPr="00405303" w:rsidRDefault="009E6F82" w:rsidP="00C15251">
            <w:pPr>
              <w:jc w:val="both"/>
              <w:rPr>
                <w:bCs/>
                <w:color w:val="002060"/>
                <w:sz w:val="16"/>
                <w:szCs w:val="16"/>
              </w:rPr>
            </w:pPr>
            <w:r w:rsidRPr="00405303">
              <w:rPr>
                <w:bCs/>
                <w:color w:val="002060"/>
                <w:sz w:val="16"/>
                <w:szCs w:val="16"/>
              </w:rPr>
              <w:t>150</w:t>
            </w:r>
          </w:p>
        </w:tc>
        <w:tc>
          <w:tcPr>
            <w:tcW w:w="728" w:type="dxa"/>
          </w:tcPr>
          <w:p w14:paraId="66A911C8" w14:textId="77777777" w:rsidR="004B4E35" w:rsidRPr="00405303" w:rsidRDefault="009E6F82" w:rsidP="00C15251">
            <w:pPr>
              <w:jc w:val="both"/>
              <w:rPr>
                <w:bCs/>
                <w:color w:val="002060"/>
                <w:sz w:val="16"/>
                <w:szCs w:val="16"/>
              </w:rPr>
            </w:pPr>
            <w:r w:rsidRPr="00405303">
              <w:rPr>
                <w:bCs/>
                <w:color w:val="002060"/>
                <w:sz w:val="16"/>
                <w:szCs w:val="16"/>
              </w:rPr>
              <w:t>150</w:t>
            </w:r>
          </w:p>
        </w:tc>
      </w:tr>
      <w:tr w:rsidR="004B4E35" w:rsidRPr="00405303" w14:paraId="2CF51F41" w14:textId="77777777">
        <w:tc>
          <w:tcPr>
            <w:tcW w:w="2652" w:type="dxa"/>
          </w:tcPr>
          <w:p w14:paraId="714AC69E" w14:textId="77777777" w:rsidR="004B4E35" w:rsidRPr="00405303" w:rsidRDefault="009E6F82" w:rsidP="00C15251">
            <w:pPr>
              <w:jc w:val="both"/>
              <w:rPr>
                <w:bCs/>
                <w:color w:val="002060"/>
                <w:sz w:val="16"/>
                <w:szCs w:val="16"/>
              </w:rPr>
            </w:pPr>
            <w:r w:rsidRPr="00405303">
              <w:rPr>
                <w:bCs/>
                <w:color w:val="002060"/>
                <w:sz w:val="16"/>
                <w:szCs w:val="16"/>
              </w:rPr>
              <w:t>Рудники Ушакова</w:t>
            </w:r>
          </w:p>
        </w:tc>
        <w:tc>
          <w:tcPr>
            <w:tcW w:w="612" w:type="dxa"/>
          </w:tcPr>
          <w:p w14:paraId="5CB293CF" w14:textId="77777777" w:rsidR="004B4E35" w:rsidRPr="00405303" w:rsidRDefault="009E6F82" w:rsidP="00C15251">
            <w:pPr>
              <w:jc w:val="both"/>
              <w:rPr>
                <w:bCs/>
                <w:color w:val="002060"/>
                <w:sz w:val="16"/>
                <w:szCs w:val="16"/>
              </w:rPr>
            </w:pPr>
            <w:r w:rsidRPr="00405303">
              <w:rPr>
                <w:bCs/>
                <w:color w:val="002060"/>
                <w:sz w:val="16"/>
                <w:szCs w:val="16"/>
              </w:rPr>
              <w:t>—</w:t>
            </w:r>
          </w:p>
        </w:tc>
        <w:tc>
          <w:tcPr>
            <w:tcW w:w="650" w:type="dxa"/>
          </w:tcPr>
          <w:p w14:paraId="49DD4224" w14:textId="77777777" w:rsidR="004B4E35" w:rsidRPr="00405303" w:rsidRDefault="009E6F82" w:rsidP="00C15251">
            <w:pPr>
              <w:jc w:val="both"/>
              <w:rPr>
                <w:bCs/>
                <w:color w:val="002060"/>
                <w:sz w:val="16"/>
                <w:szCs w:val="16"/>
              </w:rPr>
            </w:pPr>
            <w:r w:rsidRPr="00405303">
              <w:rPr>
                <w:bCs/>
                <w:color w:val="002060"/>
                <w:sz w:val="16"/>
                <w:szCs w:val="16"/>
              </w:rPr>
              <w:t>100</w:t>
            </w:r>
          </w:p>
        </w:tc>
        <w:tc>
          <w:tcPr>
            <w:tcW w:w="636" w:type="dxa"/>
          </w:tcPr>
          <w:p w14:paraId="483F4608" w14:textId="77777777" w:rsidR="004B4E35" w:rsidRPr="00405303" w:rsidRDefault="009E6F82" w:rsidP="00C15251">
            <w:pPr>
              <w:jc w:val="both"/>
              <w:rPr>
                <w:bCs/>
                <w:color w:val="002060"/>
                <w:sz w:val="16"/>
                <w:szCs w:val="16"/>
              </w:rPr>
            </w:pPr>
            <w:r w:rsidRPr="00405303">
              <w:rPr>
                <w:bCs/>
                <w:color w:val="002060"/>
                <w:sz w:val="16"/>
                <w:szCs w:val="16"/>
              </w:rPr>
              <w:t>100</w:t>
            </w:r>
          </w:p>
        </w:tc>
        <w:tc>
          <w:tcPr>
            <w:tcW w:w="728" w:type="dxa"/>
          </w:tcPr>
          <w:p w14:paraId="3E6E6A69" w14:textId="77777777" w:rsidR="004B4E35" w:rsidRPr="00405303" w:rsidRDefault="009E6F82" w:rsidP="00C15251">
            <w:pPr>
              <w:jc w:val="both"/>
              <w:rPr>
                <w:bCs/>
                <w:color w:val="002060"/>
                <w:sz w:val="16"/>
                <w:szCs w:val="16"/>
              </w:rPr>
            </w:pPr>
            <w:r w:rsidRPr="00405303">
              <w:rPr>
                <w:bCs/>
                <w:color w:val="002060"/>
                <w:sz w:val="16"/>
                <w:szCs w:val="16"/>
              </w:rPr>
              <w:t>100</w:t>
            </w:r>
          </w:p>
        </w:tc>
      </w:tr>
      <w:tr w:rsidR="004B4E35" w:rsidRPr="00405303" w14:paraId="77626E9E" w14:textId="77777777">
        <w:tc>
          <w:tcPr>
            <w:tcW w:w="2652" w:type="dxa"/>
          </w:tcPr>
          <w:p w14:paraId="52BCC3AC" w14:textId="77777777" w:rsidR="004B4E35" w:rsidRPr="00405303" w:rsidRDefault="009E6F82" w:rsidP="00C15251">
            <w:pPr>
              <w:jc w:val="both"/>
              <w:rPr>
                <w:bCs/>
                <w:color w:val="002060"/>
                <w:sz w:val="16"/>
                <w:szCs w:val="16"/>
              </w:rPr>
            </w:pPr>
            <w:r w:rsidRPr="00405303">
              <w:rPr>
                <w:bCs/>
                <w:color w:val="002060"/>
                <w:sz w:val="16"/>
                <w:szCs w:val="16"/>
              </w:rPr>
              <w:t xml:space="preserve">Прочие мелкие добычи </w:t>
            </w:r>
          </w:p>
          <w:p w14:paraId="2EAB8D21" w14:textId="77777777" w:rsidR="004B4E35" w:rsidRPr="00405303" w:rsidRDefault="009E6F82" w:rsidP="00C15251">
            <w:pPr>
              <w:jc w:val="both"/>
              <w:rPr>
                <w:bCs/>
                <w:color w:val="002060"/>
                <w:sz w:val="16"/>
                <w:szCs w:val="16"/>
              </w:rPr>
            </w:pPr>
            <w:r w:rsidRPr="00405303">
              <w:rPr>
                <w:bCs/>
                <w:color w:val="002060"/>
                <w:sz w:val="16"/>
                <w:szCs w:val="16"/>
              </w:rPr>
              <w:t>(Кавказские, Донецкие, Подмосковные)</w:t>
            </w:r>
          </w:p>
        </w:tc>
        <w:tc>
          <w:tcPr>
            <w:tcW w:w="612" w:type="dxa"/>
          </w:tcPr>
          <w:p w14:paraId="0651F732" w14:textId="77777777" w:rsidR="004B4E35" w:rsidRPr="00405303" w:rsidRDefault="009E6F82" w:rsidP="00C15251">
            <w:pPr>
              <w:jc w:val="both"/>
              <w:rPr>
                <w:bCs/>
                <w:color w:val="002060"/>
                <w:sz w:val="16"/>
                <w:szCs w:val="16"/>
              </w:rPr>
            </w:pPr>
            <w:r w:rsidRPr="00405303">
              <w:rPr>
                <w:bCs/>
                <w:color w:val="002060"/>
                <w:sz w:val="16"/>
                <w:szCs w:val="16"/>
              </w:rPr>
              <w:t>105</w:t>
            </w:r>
          </w:p>
        </w:tc>
        <w:tc>
          <w:tcPr>
            <w:tcW w:w="650" w:type="dxa"/>
          </w:tcPr>
          <w:p w14:paraId="1184E23A" w14:textId="77777777" w:rsidR="004B4E35" w:rsidRPr="00405303" w:rsidRDefault="009E6F82" w:rsidP="00C15251">
            <w:pPr>
              <w:jc w:val="both"/>
              <w:rPr>
                <w:bCs/>
                <w:color w:val="002060"/>
                <w:sz w:val="16"/>
                <w:szCs w:val="16"/>
              </w:rPr>
            </w:pPr>
            <w:r w:rsidRPr="00405303">
              <w:rPr>
                <w:bCs/>
                <w:color w:val="002060"/>
                <w:sz w:val="16"/>
                <w:szCs w:val="16"/>
              </w:rPr>
              <w:t>110</w:t>
            </w:r>
          </w:p>
        </w:tc>
        <w:tc>
          <w:tcPr>
            <w:tcW w:w="636" w:type="dxa"/>
          </w:tcPr>
          <w:p w14:paraId="31E7933A" w14:textId="77777777" w:rsidR="004B4E35" w:rsidRPr="00405303" w:rsidRDefault="009E6F82" w:rsidP="00C15251">
            <w:pPr>
              <w:jc w:val="both"/>
              <w:rPr>
                <w:bCs/>
                <w:color w:val="002060"/>
                <w:sz w:val="16"/>
                <w:szCs w:val="16"/>
              </w:rPr>
            </w:pPr>
            <w:r w:rsidRPr="00405303">
              <w:rPr>
                <w:bCs/>
                <w:color w:val="002060"/>
                <w:sz w:val="16"/>
                <w:szCs w:val="16"/>
              </w:rPr>
              <w:t>140</w:t>
            </w:r>
          </w:p>
        </w:tc>
        <w:tc>
          <w:tcPr>
            <w:tcW w:w="728" w:type="dxa"/>
          </w:tcPr>
          <w:p w14:paraId="1C07EED7" w14:textId="77777777" w:rsidR="004B4E35" w:rsidRPr="00405303" w:rsidRDefault="009E6F82" w:rsidP="00C15251">
            <w:pPr>
              <w:jc w:val="both"/>
              <w:rPr>
                <w:bCs/>
                <w:color w:val="002060"/>
                <w:sz w:val="16"/>
                <w:szCs w:val="16"/>
              </w:rPr>
            </w:pPr>
            <w:r w:rsidRPr="00405303">
              <w:rPr>
                <w:bCs/>
                <w:color w:val="002060"/>
                <w:sz w:val="16"/>
                <w:szCs w:val="16"/>
              </w:rPr>
              <w:t>150</w:t>
            </w:r>
          </w:p>
        </w:tc>
      </w:tr>
    </w:tbl>
    <w:p w14:paraId="163A8C4D" w14:textId="77777777" w:rsidR="004B4E35" w:rsidRPr="00405303" w:rsidRDefault="009E6F82" w:rsidP="00C15251">
      <w:pPr>
        <w:jc w:val="both"/>
        <w:rPr>
          <w:bCs/>
          <w:color w:val="002060"/>
          <w:sz w:val="16"/>
          <w:szCs w:val="16"/>
        </w:rPr>
      </w:pPr>
      <w:r w:rsidRPr="00405303">
        <w:rPr>
          <w:bCs/>
          <w:color w:val="002060"/>
          <w:sz w:val="16"/>
          <w:szCs w:val="16"/>
        </w:rPr>
        <w:t xml:space="preserve">Не менее забот представлял вопрос с азотной кислотой. Для изготовления ее ежегодно в Россию необходимо было ввозить до 6 млн пудов чилийской селитры. Комиссия Ипатьева, а впоследствии Химический комитет взял на себя надзор за провозом и распределением ее. </w:t>
      </w:r>
    </w:p>
    <w:p w14:paraId="5F2524D6" w14:textId="77777777" w:rsidR="004B4E35" w:rsidRPr="00405303" w:rsidRDefault="009E6F82" w:rsidP="00C15251">
      <w:pPr>
        <w:jc w:val="both"/>
        <w:rPr>
          <w:bCs/>
          <w:color w:val="002060"/>
          <w:sz w:val="16"/>
          <w:szCs w:val="16"/>
        </w:rPr>
      </w:pPr>
      <w:r w:rsidRPr="00405303">
        <w:rPr>
          <w:bCs/>
          <w:color w:val="002060"/>
          <w:sz w:val="16"/>
          <w:szCs w:val="16"/>
        </w:rPr>
        <w:t xml:space="preserve">Комитет занялся также исследованием залежей отечественной селитры, но эти месторождения оказались неблагонадежными. </w:t>
      </w:r>
    </w:p>
    <w:p w14:paraId="2F030ECB" w14:textId="77777777" w:rsidR="004B4E35" w:rsidRPr="00405303" w:rsidRDefault="009E6F82" w:rsidP="00C15251">
      <w:pPr>
        <w:jc w:val="both"/>
        <w:rPr>
          <w:bCs/>
          <w:color w:val="002060"/>
          <w:sz w:val="16"/>
          <w:szCs w:val="16"/>
        </w:rPr>
      </w:pPr>
      <w:r w:rsidRPr="00405303">
        <w:rPr>
          <w:bCs/>
          <w:color w:val="002060"/>
          <w:sz w:val="16"/>
          <w:szCs w:val="16"/>
        </w:rPr>
        <w:t xml:space="preserve">Имея в виду в будущем освободиться от иностранной зависимости, Химический комитет приступил к разработке вопроса о наилучшем для России методе получения азотной кислоты. </w:t>
      </w:r>
    </w:p>
    <w:p w14:paraId="235B4E8D" w14:textId="77777777" w:rsidR="004B4E35" w:rsidRPr="00405303" w:rsidRDefault="009E6F82" w:rsidP="00C15251">
      <w:pPr>
        <w:jc w:val="both"/>
        <w:rPr>
          <w:bCs/>
          <w:color w:val="002060"/>
          <w:sz w:val="16"/>
          <w:szCs w:val="16"/>
        </w:rPr>
      </w:pPr>
      <w:r w:rsidRPr="00405303">
        <w:rPr>
          <w:bCs/>
          <w:color w:val="002060"/>
          <w:sz w:val="16"/>
          <w:szCs w:val="16"/>
        </w:rPr>
        <w:t xml:space="preserve">В связи с установлением улавливания побочных продуктов коксования угля начала быстро расти выработка аммиачных вод. Были привлечены крупные научные силы к разработке практического метода превращения аммиака в азотную кислоту. Лабораторные изыскания и опытная заводская работа дали благоприятные результаты. После этого Химический комитет построил первый казенный завод в Юзовке для получения азотной кислоты переработкой аммиачных вод, производительностью на 50 тыс. пудов селитры в месяц. Этот завод должен был послужить образцом для постройки в дальнейшем таких же заводов. </w:t>
      </w:r>
    </w:p>
    <w:p w14:paraId="00E131AC" w14:textId="77777777" w:rsidR="004B4E35" w:rsidRPr="00405303" w:rsidRDefault="009E6F82" w:rsidP="00C15251">
      <w:pPr>
        <w:jc w:val="both"/>
        <w:rPr>
          <w:bCs/>
          <w:color w:val="002060"/>
          <w:sz w:val="16"/>
          <w:szCs w:val="16"/>
        </w:rPr>
      </w:pPr>
      <w:r w:rsidRPr="00405303">
        <w:rPr>
          <w:bCs/>
          <w:color w:val="002060"/>
          <w:sz w:val="16"/>
          <w:szCs w:val="16"/>
        </w:rPr>
        <w:t xml:space="preserve">В целях разрешения полностью вопроса о связанном азоте Химическим комитетом был осенью 1916 г. разработан проект завода цианамида кальция производительностью на 2 000 000 пудов в год, который предположено было строить на Кавказе, в Грозном. </w:t>
      </w:r>
    </w:p>
    <w:p w14:paraId="5A3B3AAC" w14:textId="77777777" w:rsidR="004B4E35" w:rsidRPr="00405303" w:rsidRDefault="009E6F82" w:rsidP="00C15251">
      <w:pPr>
        <w:jc w:val="both"/>
        <w:rPr>
          <w:bCs/>
          <w:color w:val="002060"/>
          <w:sz w:val="16"/>
          <w:szCs w:val="16"/>
        </w:rPr>
      </w:pPr>
      <w:r w:rsidRPr="00405303">
        <w:rPr>
          <w:bCs/>
          <w:color w:val="002060"/>
          <w:sz w:val="16"/>
          <w:szCs w:val="16"/>
        </w:rPr>
        <w:t xml:space="preserve">Таким образом, Комиссия Ипатьева, а в дальнейшем Химический комитет, как видно из приведенного очерка, несли на себе все заботы о снабжении казенных и частных заводов пороха и взрывчатых веществ основными материалами для производства. </w:t>
      </w:r>
    </w:p>
    <w:p w14:paraId="2D46B240" w14:textId="77777777" w:rsidR="004B4E35" w:rsidRPr="00405303" w:rsidRDefault="009E6F82" w:rsidP="00C15251">
      <w:pPr>
        <w:jc w:val="both"/>
        <w:rPr>
          <w:bCs/>
          <w:color w:val="002060"/>
          <w:sz w:val="16"/>
          <w:szCs w:val="16"/>
        </w:rPr>
      </w:pPr>
      <w:r w:rsidRPr="00405303">
        <w:rPr>
          <w:bCs/>
          <w:color w:val="002060"/>
          <w:sz w:val="16"/>
          <w:szCs w:val="16"/>
        </w:rPr>
        <w:t xml:space="preserve">Независимо от этого на Химическом комитете лежала обязанность привлечь частную промышленность к изготовлению самых взрывчатых веществ в дополнение к тем, которые изготовлялись казенными заводами. </w:t>
      </w:r>
    </w:p>
    <w:p w14:paraId="0C31176C" w14:textId="77777777" w:rsidR="004B4E35" w:rsidRPr="00405303" w:rsidRDefault="009E6F82" w:rsidP="00C15251">
      <w:pPr>
        <w:jc w:val="both"/>
        <w:rPr>
          <w:bCs/>
          <w:color w:val="002060"/>
          <w:sz w:val="16"/>
          <w:szCs w:val="16"/>
        </w:rPr>
      </w:pPr>
      <w:r w:rsidRPr="00405303">
        <w:rPr>
          <w:bCs/>
          <w:color w:val="002060"/>
          <w:sz w:val="16"/>
          <w:szCs w:val="16"/>
        </w:rPr>
        <w:t xml:space="preserve">Во время войны производство тротила было установлено на нескольких существовавших частных химических заводах (отдельные цеха) и построены новые тротиловые заводы. Общее число частных заводов, готовивших тротил во время войны, достигло восьми. </w:t>
      </w:r>
    </w:p>
    <w:p w14:paraId="525C395D" w14:textId="77777777" w:rsidR="004B4E35" w:rsidRPr="00405303" w:rsidRDefault="009E6F82" w:rsidP="00C15251">
      <w:pPr>
        <w:jc w:val="both"/>
        <w:rPr>
          <w:bCs/>
          <w:color w:val="002060"/>
          <w:sz w:val="16"/>
          <w:szCs w:val="16"/>
        </w:rPr>
      </w:pPr>
      <w:r w:rsidRPr="00405303">
        <w:rPr>
          <w:bCs/>
          <w:color w:val="002060"/>
          <w:sz w:val="16"/>
          <w:szCs w:val="16"/>
        </w:rPr>
        <w:t xml:space="preserve">Пикриновая кислота во время войны готовилась только на частных заводах: на пяти — нитрацией фенола и на двух — синтетическим путем из бензола. До войны ее готовили только два завода по первому способу. Синтетический способ был разработан в России уже во время войны в Центральной научно-технической лаборатории военного ведомства и представляет большой научный интерес. </w:t>
      </w:r>
    </w:p>
    <w:p w14:paraId="3711884A" w14:textId="77777777" w:rsidR="004B4E35" w:rsidRPr="00405303" w:rsidRDefault="009E6F82" w:rsidP="00C15251">
      <w:pPr>
        <w:jc w:val="both"/>
        <w:rPr>
          <w:bCs/>
          <w:color w:val="002060"/>
          <w:sz w:val="16"/>
          <w:szCs w:val="16"/>
        </w:rPr>
      </w:pPr>
      <w:r w:rsidRPr="00405303">
        <w:rPr>
          <w:bCs/>
          <w:color w:val="002060"/>
          <w:sz w:val="16"/>
          <w:szCs w:val="16"/>
        </w:rPr>
        <w:t xml:space="preserve">Было установлено Химическим комитетом также производство тринитроксилола и динитронафталина, каждый на двух заводах. </w:t>
      </w:r>
    </w:p>
    <w:p w14:paraId="36A6611D" w14:textId="77777777" w:rsidR="004B4E35" w:rsidRPr="00405303" w:rsidRDefault="009E6F82" w:rsidP="00C15251">
      <w:pPr>
        <w:jc w:val="both"/>
        <w:rPr>
          <w:bCs/>
          <w:color w:val="002060"/>
          <w:sz w:val="16"/>
          <w:szCs w:val="16"/>
        </w:rPr>
      </w:pPr>
      <w:r w:rsidRPr="00405303">
        <w:rPr>
          <w:bCs/>
          <w:color w:val="002060"/>
          <w:sz w:val="16"/>
          <w:szCs w:val="16"/>
        </w:rPr>
        <w:t xml:space="preserve">Изготовление аммиачной селитры, кроме упомянутого выше Юзовского казенного завода, было организовано Комиссией еще на двух заводах в Донецком бассейне. </w:t>
      </w:r>
    </w:p>
    <w:p w14:paraId="27E87465" w14:textId="77777777" w:rsidR="004B4E35" w:rsidRPr="00405303" w:rsidRDefault="009E6F82" w:rsidP="00C15251">
      <w:pPr>
        <w:jc w:val="both"/>
        <w:rPr>
          <w:bCs/>
          <w:color w:val="002060"/>
          <w:sz w:val="16"/>
          <w:szCs w:val="16"/>
        </w:rPr>
      </w:pPr>
      <w:r w:rsidRPr="00405303">
        <w:rPr>
          <w:bCs/>
          <w:color w:val="002060"/>
          <w:sz w:val="16"/>
          <w:szCs w:val="16"/>
        </w:rPr>
        <w:t xml:space="preserve">Фабрикация взрывчатых смесей на основе аммиачной селитры была организована Химическим комитетом в нескольких мастерских и заводах. </w:t>
      </w:r>
    </w:p>
    <w:p w14:paraId="1BC61EE2" w14:textId="77777777" w:rsidR="004B4E35" w:rsidRPr="00405303" w:rsidRDefault="009E6F82" w:rsidP="00C15251">
      <w:pPr>
        <w:jc w:val="both"/>
        <w:rPr>
          <w:bCs/>
          <w:color w:val="002060"/>
          <w:sz w:val="16"/>
          <w:szCs w:val="16"/>
        </w:rPr>
      </w:pPr>
      <w:r w:rsidRPr="00405303">
        <w:rPr>
          <w:bCs/>
          <w:color w:val="002060"/>
          <w:sz w:val="16"/>
          <w:szCs w:val="16"/>
        </w:rPr>
        <w:t xml:space="preserve">Общее количество заводов, изготовлявших взрывчатые вещества, возросло с февраля 1915 г. по январь 1917 г. с 4 до 28. Общая мощность их по оборудованию в 1917 г. возросла до 218 000 пудов в месяц. Из них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4B4E35" w:rsidRPr="00405303" w14:paraId="11FF39CC" w14:textId="77777777">
        <w:tc>
          <w:tcPr>
            <w:tcW w:w="1788" w:type="dxa"/>
          </w:tcPr>
          <w:p w14:paraId="1A9B95ED" w14:textId="77777777" w:rsidR="004B4E35" w:rsidRPr="00405303" w:rsidRDefault="009E6F82" w:rsidP="00C15251">
            <w:pPr>
              <w:jc w:val="both"/>
              <w:rPr>
                <w:bCs/>
                <w:color w:val="002060"/>
                <w:sz w:val="16"/>
                <w:szCs w:val="16"/>
              </w:rPr>
            </w:pPr>
            <w:r w:rsidRPr="00405303">
              <w:rPr>
                <w:bCs/>
                <w:color w:val="002060"/>
                <w:sz w:val="16"/>
                <w:szCs w:val="16"/>
              </w:rPr>
              <w:t>Тротила</w:t>
            </w:r>
          </w:p>
        </w:tc>
        <w:tc>
          <w:tcPr>
            <w:tcW w:w="936" w:type="dxa"/>
          </w:tcPr>
          <w:p w14:paraId="5DD3660F" w14:textId="77777777" w:rsidR="004B4E35" w:rsidRPr="00405303" w:rsidRDefault="009E6F82" w:rsidP="00C15251">
            <w:pPr>
              <w:jc w:val="both"/>
              <w:rPr>
                <w:bCs/>
                <w:color w:val="002060"/>
                <w:sz w:val="16"/>
                <w:szCs w:val="16"/>
              </w:rPr>
            </w:pPr>
            <w:r w:rsidRPr="00405303">
              <w:rPr>
                <w:bCs/>
                <w:color w:val="002060"/>
                <w:sz w:val="16"/>
                <w:szCs w:val="16"/>
              </w:rPr>
              <w:t xml:space="preserve">52.000 </w:t>
            </w:r>
          </w:p>
        </w:tc>
      </w:tr>
      <w:tr w:rsidR="004B4E35" w:rsidRPr="00405303" w14:paraId="0F7A3222" w14:textId="77777777">
        <w:tc>
          <w:tcPr>
            <w:tcW w:w="1788" w:type="dxa"/>
          </w:tcPr>
          <w:p w14:paraId="0759139D" w14:textId="77777777" w:rsidR="004B4E35" w:rsidRPr="00405303" w:rsidRDefault="009E6F82" w:rsidP="00C15251">
            <w:pPr>
              <w:jc w:val="both"/>
              <w:rPr>
                <w:bCs/>
                <w:color w:val="002060"/>
                <w:sz w:val="16"/>
                <w:szCs w:val="16"/>
              </w:rPr>
            </w:pPr>
            <w:r w:rsidRPr="00405303">
              <w:rPr>
                <w:bCs/>
                <w:color w:val="002060"/>
                <w:sz w:val="16"/>
                <w:szCs w:val="16"/>
              </w:rPr>
              <w:t>Пикриновой кислоты</w:t>
            </w:r>
          </w:p>
        </w:tc>
        <w:tc>
          <w:tcPr>
            <w:tcW w:w="936" w:type="dxa"/>
          </w:tcPr>
          <w:p w14:paraId="7F5232F7" w14:textId="77777777" w:rsidR="004B4E35" w:rsidRPr="00405303" w:rsidRDefault="009E6F82" w:rsidP="00C15251">
            <w:pPr>
              <w:jc w:val="both"/>
              <w:rPr>
                <w:bCs/>
                <w:color w:val="002060"/>
                <w:sz w:val="16"/>
                <w:szCs w:val="16"/>
              </w:rPr>
            </w:pPr>
            <w:r w:rsidRPr="00405303">
              <w:rPr>
                <w:bCs/>
                <w:color w:val="002060"/>
                <w:sz w:val="16"/>
                <w:szCs w:val="16"/>
              </w:rPr>
              <w:t xml:space="preserve">50.000 </w:t>
            </w:r>
          </w:p>
        </w:tc>
      </w:tr>
      <w:tr w:rsidR="004B4E35" w:rsidRPr="00405303" w14:paraId="4E67CE83" w14:textId="77777777">
        <w:tc>
          <w:tcPr>
            <w:tcW w:w="1788" w:type="dxa"/>
          </w:tcPr>
          <w:p w14:paraId="5DE1F454" w14:textId="77777777" w:rsidR="004B4E35" w:rsidRPr="00405303" w:rsidRDefault="009E6F82" w:rsidP="00C15251">
            <w:pPr>
              <w:jc w:val="both"/>
              <w:rPr>
                <w:bCs/>
                <w:color w:val="002060"/>
                <w:sz w:val="16"/>
                <w:szCs w:val="16"/>
              </w:rPr>
            </w:pPr>
            <w:r w:rsidRPr="00405303">
              <w:rPr>
                <w:bCs/>
                <w:color w:val="002060"/>
                <w:sz w:val="16"/>
                <w:szCs w:val="16"/>
              </w:rPr>
              <w:t>Аммиачной селитры</w:t>
            </w:r>
          </w:p>
        </w:tc>
        <w:tc>
          <w:tcPr>
            <w:tcW w:w="936" w:type="dxa"/>
          </w:tcPr>
          <w:p w14:paraId="40671A46" w14:textId="77777777" w:rsidR="004B4E35" w:rsidRPr="00405303" w:rsidRDefault="009E6F82" w:rsidP="00C15251">
            <w:pPr>
              <w:jc w:val="both"/>
              <w:rPr>
                <w:bCs/>
                <w:color w:val="002060"/>
                <w:sz w:val="16"/>
                <w:szCs w:val="16"/>
              </w:rPr>
            </w:pPr>
            <w:r w:rsidRPr="00405303">
              <w:rPr>
                <w:bCs/>
                <w:color w:val="002060"/>
                <w:sz w:val="16"/>
                <w:szCs w:val="16"/>
              </w:rPr>
              <w:t xml:space="preserve">60.000 </w:t>
            </w:r>
          </w:p>
        </w:tc>
      </w:tr>
      <w:tr w:rsidR="004B4E35" w:rsidRPr="00405303" w14:paraId="7A2F0037" w14:textId="77777777">
        <w:tc>
          <w:tcPr>
            <w:tcW w:w="1788" w:type="dxa"/>
          </w:tcPr>
          <w:p w14:paraId="7F6A64AF" w14:textId="77777777" w:rsidR="004B4E35" w:rsidRPr="00405303" w:rsidRDefault="009E6F82" w:rsidP="00C15251">
            <w:pPr>
              <w:jc w:val="both"/>
              <w:rPr>
                <w:bCs/>
                <w:color w:val="002060"/>
                <w:sz w:val="16"/>
                <w:szCs w:val="16"/>
              </w:rPr>
            </w:pPr>
            <w:r w:rsidRPr="00405303">
              <w:rPr>
                <w:bCs/>
                <w:color w:val="002060"/>
                <w:sz w:val="16"/>
                <w:szCs w:val="16"/>
              </w:rPr>
              <w:t>Ксилола</w:t>
            </w:r>
          </w:p>
        </w:tc>
        <w:tc>
          <w:tcPr>
            <w:tcW w:w="936" w:type="dxa"/>
          </w:tcPr>
          <w:p w14:paraId="2FA57966" w14:textId="77777777" w:rsidR="004B4E35" w:rsidRPr="00405303" w:rsidRDefault="009E6F82" w:rsidP="00C15251">
            <w:pPr>
              <w:jc w:val="both"/>
              <w:rPr>
                <w:bCs/>
                <w:color w:val="002060"/>
                <w:sz w:val="16"/>
                <w:szCs w:val="16"/>
              </w:rPr>
            </w:pPr>
            <w:r w:rsidRPr="00405303">
              <w:rPr>
                <w:bCs/>
                <w:color w:val="002060"/>
                <w:sz w:val="16"/>
                <w:szCs w:val="16"/>
              </w:rPr>
              <w:t xml:space="preserve">9.000 </w:t>
            </w:r>
          </w:p>
        </w:tc>
      </w:tr>
      <w:tr w:rsidR="004B4E35" w:rsidRPr="00405303" w14:paraId="5F555AD0" w14:textId="77777777">
        <w:tc>
          <w:tcPr>
            <w:tcW w:w="1788" w:type="dxa"/>
          </w:tcPr>
          <w:p w14:paraId="782826BA" w14:textId="77777777" w:rsidR="004B4E35" w:rsidRPr="00405303" w:rsidRDefault="009E6F82" w:rsidP="00C15251">
            <w:pPr>
              <w:jc w:val="both"/>
              <w:rPr>
                <w:bCs/>
                <w:color w:val="002060"/>
                <w:sz w:val="16"/>
                <w:szCs w:val="16"/>
              </w:rPr>
            </w:pPr>
            <w:r w:rsidRPr="00405303">
              <w:rPr>
                <w:bCs/>
                <w:color w:val="002060"/>
                <w:sz w:val="16"/>
                <w:szCs w:val="16"/>
              </w:rPr>
              <w:t>Динитронафталина</w:t>
            </w:r>
          </w:p>
        </w:tc>
        <w:tc>
          <w:tcPr>
            <w:tcW w:w="936" w:type="dxa"/>
          </w:tcPr>
          <w:p w14:paraId="3762AB60" w14:textId="77777777" w:rsidR="004B4E35" w:rsidRPr="00405303" w:rsidRDefault="009E6F82" w:rsidP="00C15251">
            <w:pPr>
              <w:jc w:val="both"/>
              <w:rPr>
                <w:bCs/>
                <w:color w:val="002060"/>
                <w:sz w:val="16"/>
                <w:szCs w:val="16"/>
              </w:rPr>
            </w:pPr>
            <w:r w:rsidRPr="00405303">
              <w:rPr>
                <w:bCs/>
                <w:color w:val="002060"/>
                <w:sz w:val="16"/>
                <w:szCs w:val="16"/>
              </w:rPr>
              <w:t xml:space="preserve">12.000 </w:t>
            </w:r>
          </w:p>
        </w:tc>
      </w:tr>
    </w:tbl>
    <w:p w14:paraId="6889CEB4" w14:textId="77777777" w:rsidR="004B4E35" w:rsidRPr="00405303" w:rsidRDefault="009E6F82" w:rsidP="00C15251">
      <w:pPr>
        <w:jc w:val="both"/>
        <w:rPr>
          <w:bCs/>
          <w:color w:val="002060"/>
          <w:sz w:val="16"/>
          <w:szCs w:val="16"/>
        </w:rPr>
      </w:pPr>
      <w:r w:rsidRPr="00405303">
        <w:rPr>
          <w:bCs/>
          <w:color w:val="002060"/>
          <w:sz w:val="16"/>
          <w:szCs w:val="16"/>
        </w:rPr>
        <w:t xml:space="preserve">Фактически эта мощность не была использована полностью. </w:t>
      </w:r>
    </w:p>
    <w:p w14:paraId="09CBB3E0" w14:textId="77777777" w:rsidR="004B4E35" w:rsidRPr="00405303" w:rsidRDefault="009E6F82" w:rsidP="00C15251">
      <w:pPr>
        <w:jc w:val="both"/>
        <w:rPr>
          <w:bCs/>
          <w:color w:val="002060"/>
          <w:sz w:val="16"/>
          <w:szCs w:val="16"/>
        </w:rPr>
      </w:pPr>
      <w:r w:rsidRPr="00405303">
        <w:rPr>
          <w:bCs/>
          <w:color w:val="002060"/>
          <w:sz w:val="16"/>
          <w:szCs w:val="16"/>
        </w:rPr>
        <w:t xml:space="preserve">Летом 1915 г. определенно выяснилась необходимость организовать производство целого ряда химических продуктов для газовой борьбы с противником. </w:t>
      </w:r>
    </w:p>
    <w:p w14:paraId="66C03BBD" w14:textId="77777777" w:rsidR="004B4E35" w:rsidRPr="00405303" w:rsidRDefault="009E6F82" w:rsidP="00C15251">
      <w:pPr>
        <w:jc w:val="both"/>
        <w:rPr>
          <w:bCs/>
          <w:color w:val="002060"/>
          <w:sz w:val="16"/>
          <w:szCs w:val="16"/>
        </w:rPr>
      </w:pPr>
      <w:r w:rsidRPr="00405303">
        <w:rPr>
          <w:bCs/>
          <w:color w:val="002060"/>
          <w:sz w:val="16"/>
          <w:szCs w:val="16"/>
        </w:rPr>
        <w:t xml:space="preserve">Это дело проводилось с большой энергией и успехом, сначала специально для этой цели организованной Комиссией у[душающих] с[редств], а после Химическим комитетом, куда вошла Комиссия УС. Организации заводского производства предшествовал ряд научных изысканий. </w:t>
      </w:r>
    </w:p>
    <w:p w14:paraId="77C0B7AB" w14:textId="77777777" w:rsidR="004B4E35" w:rsidRPr="00405303" w:rsidRDefault="009E6F82" w:rsidP="00C15251">
      <w:pPr>
        <w:jc w:val="both"/>
        <w:rPr>
          <w:bCs/>
          <w:color w:val="002060"/>
          <w:sz w:val="16"/>
          <w:szCs w:val="16"/>
        </w:rPr>
      </w:pPr>
      <w:r w:rsidRPr="00405303">
        <w:rPr>
          <w:bCs/>
          <w:color w:val="002060"/>
          <w:sz w:val="16"/>
          <w:szCs w:val="16"/>
        </w:rPr>
        <w:t xml:space="preserve">Для выпуска из баллонов принят был сжиженный хлор. Производство было быстро организовано на двух заводах Донецкого бассейна и в период с осени 1915 г. к осени 1916 г. достигло 500-600 пудов в сутки, что вполне покрывало потребность фронта. </w:t>
      </w:r>
    </w:p>
    <w:p w14:paraId="37531E8C" w14:textId="77777777" w:rsidR="004B4E35" w:rsidRPr="00405303" w:rsidRDefault="009E6F82" w:rsidP="00C15251">
      <w:pPr>
        <w:jc w:val="both"/>
        <w:rPr>
          <w:bCs/>
          <w:color w:val="002060"/>
          <w:sz w:val="16"/>
          <w:szCs w:val="16"/>
        </w:rPr>
      </w:pPr>
      <w:r w:rsidRPr="00405303">
        <w:rPr>
          <w:bCs/>
          <w:color w:val="002060"/>
          <w:sz w:val="16"/>
          <w:szCs w:val="16"/>
        </w:rPr>
        <w:t xml:space="preserve">Второе вещество, необходимое для баллоновой газовой борьбы, фосген, в России ранее вовсе не вырабатывалось. </w:t>
      </w:r>
    </w:p>
    <w:p w14:paraId="0AC7AB6B" w14:textId="77777777" w:rsidR="004B4E35" w:rsidRPr="00405303" w:rsidRDefault="009E6F82" w:rsidP="00C15251">
      <w:pPr>
        <w:jc w:val="both"/>
        <w:rPr>
          <w:bCs/>
          <w:color w:val="002060"/>
          <w:sz w:val="16"/>
          <w:szCs w:val="16"/>
        </w:rPr>
      </w:pPr>
      <w:r w:rsidRPr="00405303">
        <w:rPr>
          <w:bCs/>
          <w:color w:val="002060"/>
          <w:sz w:val="16"/>
          <w:szCs w:val="16"/>
        </w:rPr>
        <w:t xml:space="preserve">На это производство оборудовалось пять заводов, из коих один казенный. Из пяти только два своевременно справились с делом. С января по октябрь 1916 г. производство фосгена достигло 600 пудов в месяц. Установка его представляла большие технические трудности. </w:t>
      </w:r>
    </w:p>
    <w:p w14:paraId="2907D115" w14:textId="77777777" w:rsidR="004B4E35" w:rsidRPr="00405303" w:rsidRDefault="009E6F82" w:rsidP="00C15251">
      <w:pPr>
        <w:jc w:val="both"/>
        <w:rPr>
          <w:bCs/>
          <w:color w:val="002060"/>
          <w:sz w:val="16"/>
          <w:szCs w:val="16"/>
        </w:rPr>
      </w:pPr>
      <w:r w:rsidRPr="00405303">
        <w:rPr>
          <w:bCs/>
          <w:color w:val="002060"/>
          <w:sz w:val="16"/>
          <w:szCs w:val="16"/>
        </w:rPr>
        <w:t xml:space="preserve">Что касается других удушающих веществ, то Химический комитет поставил следующие производства: </w:t>
      </w:r>
    </w:p>
    <w:p w14:paraId="2BECE8B9" w14:textId="77777777" w:rsidR="004B4E35" w:rsidRPr="00405303" w:rsidRDefault="009E6F82" w:rsidP="00C15251">
      <w:pPr>
        <w:jc w:val="both"/>
        <w:rPr>
          <w:bCs/>
          <w:color w:val="002060"/>
          <w:sz w:val="16"/>
          <w:szCs w:val="16"/>
        </w:rPr>
      </w:pPr>
      <w:r w:rsidRPr="00405303">
        <w:rPr>
          <w:bCs/>
          <w:color w:val="002060"/>
          <w:sz w:val="16"/>
          <w:szCs w:val="16"/>
        </w:rPr>
        <w:t xml:space="preserve">Хлорпикрин — производство было поставлено на семи заводах. Из них один казенный (Глобинский). По 1 октября 1916 г. изготовлено 21 000 пудов. </w:t>
      </w:r>
    </w:p>
    <w:p w14:paraId="3AA8CFBC" w14:textId="77777777" w:rsidR="004B4E35" w:rsidRPr="00405303" w:rsidRDefault="009E6F82" w:rsidP="00C15251">
      <w:pPr>
        <w:jc w:val="both"/>
        <w:rPr>
          <w:bCs/>
          <w:color w:val="002060"/>
          <w:sz w:val="16"/>
          <w:szCs w:val="16"/>
        </w:rPr>
      </w:pPr>
      <w:r w:rsidRPr="00405303">
        <w:rPr>
          <w:bCs/>
          <w:color w:val="002060"/>
          <w:sz w:val="16"/>
          <w:szCs w:val="16"/>
        </w:rPr>
        <w:t xml:space="preserve">Хлористый сульфурин и хлористый ангидрид — на одном заводе, до 1 октября 1916 г. выработано: первого 14 000 пудов, а второго 18 000 пудов. </w:t>
      </w:r>
    </w:p>
    <w:p w14:paraId="7936208E" w14:textId="77777777" w:rsidR="004B4E35" w:rsidRPr="00405303" w:rsidRDefault="009E6F82" w:rsidP="00C15251">
      <w:pPr>
        <w:jc w:val="both"/>
        <w:rPr>
          <w:bCs/>
          <w:color w:val="002060"/>
          <w:sz w:val="16"/>
          <w:szCs w:val="16"/>
        </w:rPr>
      </w:pPr>
      <w:r w:rsidRPr="00405303">
        <w:rPr>
          <w:bCs/>
          <w:color w:val="002060"/>
          <w:sz w:val="16"/>
          <w:szCs w:val="16"/>
        </w:rPr>
        <w:t xml:space="preserve">Хлорное олово — на одном заводе, до 1 октября 1916 г. выработано 14 000 пудов. </w:t>
      </w:r>
    </w:p>
    <w:p w14:paraId="2C8BEFCF" w14:textId="77777777" w:rsidR="004B4E35" w:rsidRPr="00405303" w:rsidRDefault="009E6F82" w:rsidP="00C15251">
      <w:pPr>
        <w:jc w:val="both"/>
        <w:rPr>
          <w:bCs/>
          <w:color w:val="002060"/>
          <w:sz w:val="16"/>
          <w:szCs w:val="16"/>
        </w:rPr>
      </w:pPr>
      <w:r w:rsidRPr="00405303">
        <w:rPr>
          <w:bCs/>
          <w:color w:val="002060"/>
          <w:sz w:val="16"/>
          <w:szCs w:val="16"/>
        </w:rPr>
        <w:t xml:space="preserve">Цианистый калий — на одном заводе, за 1916 г. выработано 100 пудов. </w:t>
      </w:r>
    </w:p>
    <w:p w14:paraId="0F7B945F" w14:textId="77777777" w:rsidR="004B4E35" w:rsidRPr="00405303" w:rsidRDefault="009E6F82" w:rsidP="00C15251">
      <w:pPr>
        <w:jc w:val="both"/>
        <w:rPr>
          <w:bCs/>
          <w:color w:val="002060"/>
          <w:sz w:val="16"/>
          <w:szCs w:val="16"/>
        </w:rPr>
      </w:pPr>
      <w:r w:rsidRPr="00405303">
        <w:rPr>
          <w:bCs/>
          <w:color w:val="002060"/>
          <w:sz w:val="16"/>
          <w:szCs w:val="16"/>
        </w:rPr>
        <w:t xml:space="preserve">Хлороформ — на одном заводе, до 1 октября 1916 г. — 300 пудов. </w:t>
      </w:r>
    </w:p>
    <w:p w14:paraId="12F7AE85" w14:textId="77777777" w:rsidR="004B4E35" w:rsidRPr="00405303" w:rsidRDefault="009E6F82" w:rsidP="00C15251">
      <w:pPr>
        <w:jc w:val="both"/>
        <w:rPr>
          <w:bCs/>
          <w:color w:val="002060"/>
          <w:sz w:val="16"/>
          <w:szCs w:val="16"/>
        </w:rPr>
      </w:pPr>
      <w:r w:rsidRPr="00405303">
        <w:rPr>
          <w:bCs/>
          <w:color w:val="002060"/>
          <w:sz w:val="16"/>
          <w:szCs w:val="16"/>
        </w:rPr>
        <w:t xml:space="preserve">Хлористый мышьяк — на одном заводе, до 1 октября 1916 г. — 2000 пудов. </w:t>
      </w:r>
    </w:p>
    <w:p w14:paraId="42EEEC06" w14:textId="77777777" w:rsidR="004B4E35" w:rsidRPr="00405303" w:rsidRDefault="009E6F82" w:rsidP="00C15251">
      <w:pPr>
        <w:jc w:val="both"/>
        <w:rPr>
          <w:bCs/>
          <w:color w:val="002060"/>
          <w:sz w:val="16"/>
          <w:szCs w:val="16"/>
        </w:rPr>
      </w:pPr>
      <w:r w:rsidRPr="00405303">
        <w:rPr>
          <w:bCs/>
          <w:color w:val="002060"/>
          <w:sz w:val="16"/>
          <w:szCs w:val="16"/>
        </w:rPr>
        <w:t xml:space="preserve">Для производства бромбензола было установлено, впервые в России, производство брома. </w:t>
      </w:r>
    </w:p>
    <w:p w14:paraId="62E17580" w14:textId="77777777" w:rsidR="004B4E35" w:rsidRPr="00405303" w:rsidRDefault="009E6F82" w:rsidP="00C15251">
      <w:pPr>
        <w:jc w:val="both"/>
        <w:rPr>
          <w:bCs/>
          <w:color w:val="002060"/>
          <w:sz w:val="16"/>
          <w:szCs w:val="16"/>
        </w:rPr>
      </w:pPr>
      <w:r w:rsidRPr="00405303">
        <w:rPr>
          <w:bCs/>
          <w:color w:val="002060"/>
          <w:sz w:val="16"/>
          <w:szCs w:val="16"/>
        </w:rPr>
        <w:t xml:space="preserve">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 </w:t>
      </w:r>
    </w:p>
    <w:p w14:paraId="7E6588BC" w14:textId="77777777" w:rsidR="004B4E35" w:rsidRPr="00405303" w:rsidRDefault="009E6F82" w:rsidP="00C15251">
      <w:pPr>
        <w:jc w:val="both"/>
        <w:rPr>
          <w:bCs/>
          <w:color w:val="002060"/>
          <w:sz w:val="16"/>
          <w:szCs w:val="16"/>
        </w:rPr>
      </w:pPr>
      <w:r w:rsidRPr="00405303">
        <w:rPr>
          <w:bCs/>
          <w:color w:val="002060"/>
          <w:sz w:val="16"/>
          <w:szCs w:val="16"/>
        </w:rPr>
        <w:t xml:space="preserve">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 </w:t>
      </w:r>
    </w:p>
    <w:p w14:paraId="183BA151" w14:textId="77777777" w:rsidR="004B4E35" w:rsidRPr="00405303" w:rsidRDefault="009E6F82" w:rsidP="00C15251">
      <w:pPr>
        <w:jc w:val="both"/>
        <w:rPr>
          <w:bCs/>
          <w:color w:val="002060"/>
          <w:sz w:val="16"/>
          <w:szCs w:val="16"/>
        </w:rPr>
      </w:pPr>
      <w:r w:rsidRPr="00405303">
        <w:rPr>
          <w:bCs/>
          <w:color w:val="002060"/>
          <w:sz w:val="16"/>
          <w:szCs w:val="16"/>
        </w:rPr>
        <w:t xml:space="preserve">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 </w:t>
      </w:r>
    </w:p>
    <w:p w14:paraId="42A84E35" w14:textId="77777777" w:rsidR="004B4E35" w:rsidRPr="00405303" w:rsidRDefault="009E6F82" w:rsidP="00C15251">
      <w:pPr>
        <w:jc w:val="both"/>
        <w:rPr>
          <w:bCs/>
          <w:color w:val="002060"/>
          <w:sz w:val="16"/>
          <w:szCs w:val="16"/>
        </w:rPr>
      </w:pPr>
      <w:r w:rsidRPr="00405303">
        <w:rPr>
          <w:bCs/>
          <w:color w:val="002060"/>
          <w:sz w:val="16"/>
          <w:szCs w:val="16"/>
        </w:rPr>
        <w:t xml:space="preserve">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 </w:t>
      </w:r>
    </w:p>
    <w:p w14:paraId="4DCD206B"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 </w:t>
      </w:r>
    </w:p>
    <w:p w14:paraId="5161888E" w14:textId="77777777" w:rsidR="004B4E35" w:rsidRPr="00405303" w:rsidRDefault="009E6F82" w:rsidP="00C15251">
      <w:pPr>
        <w:jc w:val="both"/>
        <w:rPr>
          <w:bCs/>
          <w:color w:val="002060"/>
          <w:sz w:val="16"/>
          <w:szCs w:val="16"/>
        </w:rPr>
      </w:pPr>
      <w:r w:rsidRPr="00405303">
        <w:rPr>
          <w:bCs/>
          <w:color w:val="002060"/>
          <w:sz w:val="16"/>
          <w:szCs w:val="16"/>
        </w:rPr>
        <w:t xml:space="preserve">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w:t>
      </w:r>
    </w:p>
    <w:p w14:paraId="25C087B4" w14:textId="77777777" w:rsidR="004B4E35" w:rsidRPr="00405303" w:rsidRDefault="009E6F82" w:rsidP="00C15251">
      <w:pPr>
        <w:jc w:val="both"/>
        <w:rPr>
          <w:bCs/>
          <w:color w:val="002060"/>
          <w:sz w:val="16"/>
          <w:szCs w:val="16"/>
        </w:rPr>
      </w:pPr>
      <w:r w:rsidRPr="00405303">
        <w:rPr>
          <w:bCs/>
          <w:color w:val="002060"/>
          <w:sz w:val="16"/>
          <w:szCs w:val="16"/>
        </w:rPr>
        <w:t>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6622CF3E" w14:textId="77777777" w:rsidR="004B4E35" w:rsidRPr="00405303" w:rsidRDefault="009E6F82" w:rsidP="00C15251">
      <w:pPr>
        <w:jc w:val="both"/>
        <w:rPr>
          <w:bCs/>
          <w:color w:val="002060"/>
          <w:sz w:val="16"/>
          <w:szCs w:val="16"/>
        </w:rPr>
      </w:pPr>
      <w:r w:rsidRPr="00405303">
        <w:rPr>
          <w:bCs/>
          <w:color w:val="002060"/>
          <w:sz w:val="16"/>
          <w:szCs w:val="16"/>
        </w:rPr>
        <w:t xml:space="preserve">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607568F8" w14:textId="77777777" w:rsidR="004B4E35" w:rsidRPr="00405303" w:rsidRDefault="009E6F82" w:rsidP="00C15251">
      <w:pPr>
        <w:jc w:val="both"/>
        <w:rPr>
          <w:bCs/>
          <w:color w:val="002060"/>
          <w:sz w:val="16"/>
          <w:szCs w:val="16"/>
        </w:rPr>
      </w:pPr>
      <w:r w:rsidRPr="00405303">
        <w:rPr>
          <w:bCs/>
          <w:color w:val="002060"/>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1348DE12" w14:textId="77777777" w:rsidR="004B4E35" w:rsidRPr="00405303" w:rsidRDefault="009E6F82" w:rsidP="00C15251">
      <w:pPr>
        <w:jc w:val="both"/>
        <w:rPr>
          <w:bCs/>
          <w:color w:val="002060"/>
          <w:sz w:val="16"/>
          <w:szCs w:val="16"/>
        </w:rPr>
      </w:pPr>
      <w:r w:rsidRPr="00405303">
        <w:rPr>
          <w:bCs/>
          <w:color w:val="002060"/>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6D7C0232" w14:textId="77777777" w:rsidR="004B4E35" w:rsidRPr="00405303" w:rsidRDefault="009E6F82" w:rsidP="00C15251">
      <w:pPr>
        <w:jc w:val="both"/>
        <w:rPr>
          <w:bCs/>
          <w:color w:val="002060"/>
          <w:sz w:val="16"/>
          <w:szCs w:val="16"/>
        </w:rPr>
      </w:pPr>
      <w:r w:rsidRPr="00405303">
        <w:rPr>
          <w:bCs/>
          <w:color w:val="002060"/>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496D3811" w14:textId="77777777" w:rsidR="004B4E35" w:rsidRPr="00405303" w:rsidRDefault="004B4E35" w:rsidP="00C15251">
      <w:pPr>
        <w:jc w:val="both"/>
        <w:rPr>
          <w:bCs/>
          <w:i/>
          <w:color w:val="002060"/>
          <w:sz w:val="16"/>
          <w:szCs w:val="16"/>
        </w:rPr>
      </w:pPr>
    </w:p>
    <w:p w14:paraId="7E0CC069" w14:textId="29C03A60" w:rsidR="00892A4C" w:rsidRPr="00405303" w:rsidRDefault="00892A4C" w:rsidP="00C15251">
      <w:pPr>
        <w:jc w:val="both"/>
        <w:rPr>
          <w:bCs/>
          <w:color w:val="002060"/>
          <w:sz w:val="16"/>
          <w:szCs w:val="16"/>
        </w:rPr>
      </w:pPr>
      <w:r w:rsidRPr="00405303">
        <w:rPr>
          <w:bCs/>
          <w:color w:val="002060"/>
          <w:sz w:val="16"/>
          <w:szCs w:val="16"/>
        </w:rPr>
        <w:t xml:space="preserve">20 августа </w:t>
      </w:r>
      <w:r w:rsidR="002D54FF" w:rsidRPr="00405303">
        <w:rPr>
          <w:bCs/>
          <w:color w:val="002060"/>
          <w:sz w:val="16"/>
          <w:szCs w:val="16"/>
        </w:rPr>
        <w:t xml:space="preserve">(2 сентября) </w:t>
      </w:r>
      <w:r w:rsidRPr="00405303">
        <w:rPr>
          <w:bCs/>
          <w:color w:val="002060"/>
          <w:sz w:val="16"/>
          <w:szCs w:val="16"/>
        </w:rPr>
        <w:t>1915 г., когда «общественные» организации наконец пробились к снабжению армии, Военный совет запретил казенным заводам «дополнительные расходы», возникающие сверх «плановых», «относить на кредиты, за счет которых выполняются наряды». Петроградский арсенал в сентябре 1915 г. ходатайствовал о дополнительном отпуске средств и сообщал, что эти дополнительные издержки «можно было бы… отнести на кредиты, за счет которых выполняются наряды на изготовление различных изделий». Но Маниковский «во избежание… чрезмерного повышения стоимости этих изделий» провел доплату иначе — «из военного фонда».</w:t>
      </w:r>
    </w:p>
    <w:p w14:paraId="4A3E6CFC" w14:textId="77777777" w:rsidR="00892A4C" w:rsidRPr="00405303" w:rsidRDefault="00892A4C" w:rsidP="00C15251">
      <w:pPr>
        <w:jc w:val="both"/>
        <w:rPr>
          <w:bCs/>
          <w:color w:val="002060"/>
          <w:sz w:val="16"/>
          <w:szCs w:val="16"/>
        </w:rPr>
      </w:pPr>
      <w:r w:rsidRPr="00405303">
        <w:rPr>
          <w:bCs/>
          <w:color w:val="002060"/>
          <w:sz w:val="16"/>
          <w:szCs w:val="16"/>
        </w:rPr>
        <w:t>В 1916–1917 гг., давая наряды Пермскому, Ижевскому заводам и Петроградскому арсеналу на орудия, ГАУ своим решением понизило исчисленную заводами «примерную стоимость» до довоенного уровня, оговариваясь, что «истинная» стоимость изготовления «выяснится по представлении… заводами в ГАУ установленного отчета на поверку» «с тем, чтобы впоследствии, по определении действительной стоимости указанных орудий, установлена была окончательная их цена». Пока заводы исполняли заказы, происходило «вздорожание материалов и рабочих рук», и в результате к первоначальной «цене» изделий казна доплачивала «из военного фонда» многие миллионы рублей, так что в итоге получилось не по 5 или 6 тыс., а по 206 Поликарпов В.В. 8 тыс. руб. за орудие [РГВИА. Ф. 29. Оп. 3. Д. 5330. Л. 31, 85, 52; ф. 369. Оп. 16. Д. 511. Л. 11; ф. 504. Оп. 6. Д. 198. Л. 92–95]. В качестве «цен» своих изделий ведомства указывали произвольные цифры, на деле отражавшие лишь исходный минимальный размер требуемых ассигнований. Сопоставления цен уязвимы и с другой стороны — ввиду недоразумений, относящихся к частным заводам. Например, по сведениям О.Р. Айрапетова, Путиловский завод брал по 9 тыс. руб. за 3-дм полевую пушку, что совпадает с ценой, указанной Маниковским (та же цена — в журнале Совета министров от 3 ноября 1915 г. и у Н.Е. Маркова-2). Однако судя по контрактам, заключенным ГАУ с Путиловским заводом в 1914–1915 гг., он делал в 1915 и 1916 гг. 3-дм полевые пушки по цене все же не 9, а 7 тыс. руб. В июле — августе 1915 г. при новом заказе таких же пушек по 7 тыс. руб. Путиловскому заводу, чтобы поторопить его, была обещана премия в 2 тыс. руб. (сверх 7 тыс.) за каждую пушку, которую завод успеет сдать до истечения 1915 г., но одновременно назначена и неустойка в 10% за сдаваемые в 1917 г. [Там же. Ф. 29. Оп. 3. Д. 720. Л. 194 а–196; д. 941. Л. 211; ф. 504. Оп. 6. Д. 16. Ч. 1. Л. 124–125, 1 об.–2 об]. Получить премию в 2 тыс. руб. Путиловскому заводу не довелось, так как даже к концу 1916 г. он выполнил лишь часть (2102 орудия из 2500) из трех других, ранее принятых им (в сентябре 1914, январе и марте 1915 г.) заказов [Маниковский 1922, ч. 2: 155; РГВИА. Ф. 369. Оп. 4. Д. 32. Л. 238–239; ф. 29. Оп. 3. Д. 969. Л. 32.]49, а далее должен был получать уже не премию, а штраф, т. е. сдавать орудия не за 7 тыс., а за 6300 руб. Даже при столь выгодных условиях, побуждавших фирмы торопиться с исполнением заказов, принятые ими на себя обязательства оказались непосильными ни Путиловскому, ни «Царицынской» группе заводов по ее контракту на 2500 пушек (также со скользящей ценой) (18408).</w:t>
      </w:r>
    </w:p>
    <w:p w14:paraId="57E7EEAA" w14:textId="77777777" w:rsidR="00892A4C" w:rsidRPr="00405303" w:rsidRDefault="00892A4C" w:rsidP="00C15251">
      <w:pPr>
        <w:jc w:val="both"/>
        <w:rPr>
          <w:bCs/>
          <w:color w:val="002060"/>
          <w:sz w:val="16"/>
          <w:szCs w:val="16"/>
        </w:rPr>
      </w:pPr>
    </w:p>
    <w:p w14:paraId="65EB4C1A" w14:textId="0ACB7D6B" w:rsidR="00E2193F" w:rsidRPr="00405303" w:rsidRDefault="00E2193F" w:rsidP="00C15251">
      <w:pPr>
        <w:jc w:val="both"/>
        <w:rPr>
          <w:bCs/>
          <w:color w:val="002060"/>
          <w:sz w:val="16"/>
          <w:szCs w:val="16"/>
        </w:rPr>
      </w:pPr>
      <w:r w:rsidRPr="00405303">
        <w:rPr>
          <w:bCs/>
          <w:color w:val="002060"/>
          <w:sz w:val="16"/>
          <w:szCs w:val="16"/>
        </w:rPr>
        <w:t>20 августа (3 сентября) 1915 г., то есть в момент обострения критического внимания к развалу снабжения фронта, Военный совет негласно запретил казен</w:t>
      </w:r>
      <w:r w:rsidRPr="00405303">
        <w:rPr>
          <w:bCs/>
          <w:color w:val="002060"/>
          <w:sz w:val="16"/>
          <w:szCs w:val="16"/>
        </w:rPr>
        <w:softHyphen/>
        <w:t>ным заводам «дополнительные расходы», возникавшие сверх «плановых», покрывать из кредитов, отпущенных на выпол</w:t>
      </w:r>
      <w:r w:rsidRPr="00405303">
        <w:rPr>
          <w:bCs/>
          <w:color w:val="002060"/>
          <w:sz w:val="16"/>
          <w:szCs w:val="16"/>
        </w:rPr>
        <w:softHyphen/>
        <w:t>нение «нарядов». Между тем Петроградскому арсеналу, на</w:t>
      </w:r>
      <w:r w:rsidRPr="00405303">
        <w:rPr>
          <w:bCs/>
          <w:color w:val="002060"/>
          <w:sz w:val="16"/>
          <w:szCs w:val="16"/>
        </w:rPr>
        <w:softHyphen/>
        <w:t>пример, ввиду усиленных «по случаю военного времени» работ не хватило в 1915 г. средств, ассигнованных по плану, составленному еще в марте 1914 г., и пришлось в сентябре 1915 г. ходатайствовать о дополнительном отпуске средств. Эти дополнительные (сопоставимые, впрочем, с плановыми) расходы «можно было бы... отнести на кредиты, за счет ко</w:t>
      </w:r>
      <w:r w:rsidRPr="00405303">
        <w:rPr>
          <w:bCs/>
          <w:color w:val="002060"/>
          <w:sz w:val="16"/>
          <w:szCs w:val="16"/>
        </w:rPr>
        <w:softHyphen/>
        <w:t>торых выполняются наряды на изготовление различных из</w:t>
      </w:r>
      <w:r w:rsidRPr="00405303">
        <w:rPr>
          <w:bCs/>
          <w:color w:val="002060"/>
          <w:sz w:val="16"/>
          <w:szCs w:val="16"/>
        </w:rPr>
        <w:softHyphen/>
        <w:t>делий, но ГАУ, во избежание... чрезмерного повышения стоимости этих изделий... полагало бы необходимым от</w:t>
      </w:r>
      <w:r w:rsidRPr="00405303">
        <w:rPr>
          <w:bCs/>
          <w:color w:val="002060"/>
          <w:sz w:val="16"/>
          <w:szCs w:val="16"/>
        </w:rPr>
        <w:softHyphen/>
        <w:t>пустить Петроградскому арсеналу просимую им сумму в 190 тысяч рублей из военного фонда». Военный совет 19 сен</w:t>
      </w:r>
      <w:r w:rsidRPr="00405303">
        <w:rPr>
          <w:bCs/>
          <w:color w:val="002060"/>
          <w:sz w:val="16"/>
          <w:szCs w:val="16"/>
        </w:rPr>
        <w:softHyphen/>
        <w:t>тября 1915 г. согласился с этим предложением Маниковского.</w:t>
      </w:r>
    </w:p>
    <w:p w14:paraId="0ED36567" w14:textId="77777777" w:rsidR="00E2193F" w:rsidRPr="00405303" w:rsidRDefault="00E2193F" w:rsidP="00C15251">
      <w:pPr>
        <w:jc w:val="both"/>
        <w:rPr>
          <w:bCs/>
          <w:color w:val="002060"/>
          <w:sz w:val="16"/>
          <w:szCs w:val="16"/>
        </w:rPr>
      </w:pPr>
      <w:r w:rsidRPr="00405303">
        <w:rPr>
          <w:bCs/>
          <w:color w:val="002060"/>
          <w:sz w:val="16"/>
          <w:szCs w:val="16"/>
        </w:rPr>
        <w:t>Свои «перерасходы», обусловленные ростом цен на при</w:t>
      </w:r>
      <w:r w:rsidRPr="00405303">
        <w:rPr>
          <w:bCs/>
          <w:color w:val="002060"/>
          <w:sz w:val="16"/>
          <w:szCs w:val="16"/>
        </w:rPr>
        <w:softHyphen/>
        <w:t>обретаемые на рынке сырье, материалы, механизмы и от</w:t>
      </w:r>
      <w:r w:rsidRPr="00405303">
        <w:rPr>
          <w:bCs/>
          <w:color w:val="002060"/>
          <w:sz w:val="16"/>
          <w:szCs w:val="16"/>
        </w:rPr>
        <w:softHyphen/>
        <w:t>части на рабочую силу, ведомства лишь фиксировали в документах, предназначенных для отчета в будущем. В сере</w:t>
      </w:r>
      <w:r w:rsidRPr="00405303">
        <w:rPr>
          <w:bCs/>
          <w:color w:val="002060"/>
          <w:sz w:val="16"/>
          <w:szCs w:val="16"/>
        </w:rPr>
        <w:softHyphen/>
        <w:t>дине 1916 г., давая наряды Ижевскому заводу и Петроград</w:t>
      </w:r>
      <w:r w:rsidRPr="00405303">
        <w:rPr>
          <w:bCs/>
          <w:color w:val="002060"/>
          <w:sz w:val="16"/>
          <w:szCs w:val="16"/>
        </w:rPr>
        <w:softHyphen/>
        <w:t>скому арсеналу на части 3-дм пушек и 48-лин. гаубиц, при рассмотрении исчисленной заводом «примерной стоимости» ГАУ находило излишним вникать в ее обоснование: «Ис</w:t>
      </w:r>
      <w:r w:rsidRPr="00405303">
        <w:rPr>
          <w:bCs/>
          <w:color w:val="002060"/>
          <w:sz w:val="16"/>
          <w:szCs w:val="16"/>
        </w:rPr>
        <w:softHyphen/>
        <w:t>тинная же стоимость изготовления предметов выяснится по представлении... заводами в ГАУ установленного отчета на поверку» для списания разницы на «военный фонд». 17 фев</w:t>
      </w:r>
      <w:r w:rsidRPr="00405303">
        <w:rPr>
          <w:bCs/>
          <w:color w:val="002060"/>
          <w:sz w:val="16"/>
          <w:szCs w:val="16"/>
        </w:rPr>
        <w:softHyphen/>
        <w:t>раля 1917 г., не согласившись с предложенной Пермским заводом ценой 6-дм крепостной гаубицы (30 тысяч руб.), Комиссия по артиллерийским вопросам Особого совещания по обороне решила дать заводу заказ по той («нормальной») цене, какая была установлена при таком же заказе в «нормаль</w:t>
      </w:r>
      <w:r w:rsidRPr="00405303">
        <w:rPr>
          <w:bCs/>
          <w:color w:val="002060"/>
          <w:sz w:val="16"/>
          <w:szCs w:val="16"/>
        </w:rPr>
        <w:softHyphen/>
        <w:t>ное» время, в 1913 г., то есть 20 500 руб., «с тем, чтобы впо</w:t>
      </w:r>
      <w:r w:rsidRPr="00405303">
        <w:rPr>
          <w:bCs/>
          <w:color w:val="002060"/>
          <w:sz w:val="16"/>
          <w:szCs w:val="16"/>
        </w:rPr>
        <w:softHyphen/>
        <w:t>следствии, по определении действительной стоимости указан</w:t>
      </w:r>
      <w:r w:rsidRPr="00405303">
        <w:rPr>
          <w:bCs/>
          <w:color w:val="002060"/>
          <w:sz w:val="16"/>
          <w:szCs w:val="16"/>
        </w:rPr>
        <w:softHyphen/>
        <w:t>ных орудий, установлена была окончательная их цена» (РГВИА. Ф. 29. Оп. 3. Д. 5330. Л. 31, 85, 52; Ф. 369. Оп. 16. Д. 511. Л. 11) (23452).</w:t>
      </w:r>
    </w:p>
    <w:p w14:paraId="5EE5DFBB" w14:textId="77777777" w:rsidR="00E2193F" w:rsidRPr="00405303" w:rsidRDefault="00E2193F" w:rsidP="00C15251">
      <w:pPr>
        <w:jc w:val="both"/>
        <w:rPr>
          <w:bCs/>
          <w:color w:val="002060"/>
          <w:sz w:val="16"/>
          <w:szCs w:val="16"/>
        </w:rPr>
      </w:pPr>
    </w:p>
    <w:p w14:paraId="77BBD7E8"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7C56CB8D" w14:textId="77777777" w:rsidR="004B4E35" w:rsidRPr="00405303" w:rsidRDefault="004B4E35" w:rsidP="00C15251">
      <w:pPr>
        <w:shd w:val="clear" w:color="auto" w:fill="FFFFFF"/>
        <w:jc w:val="both"/>
        <w:rPr>
          <w:bCs/>
          <w:i/>
          <w:color w:val="002060"/>
          <w:sz w:val="16"/>
          <w:szCs w:val="16"/>
        </w:rPr>
      </w:pPr>
    </w:p>
    <w:p w14:paraId="28CBCC32" w14:textId="2863A602" w:rsidR="004B4E35" w:rsidRPr="00405303" w:rsidRDefault="009E6F82" w:rsidP="00C15251">
      <w:pPr>
        <w:jc w:val="both"/>
        <w:rPr>
          <w:bCs/>
          <w:color w:val="002060"/>
          <w:sz w:val="16"/>
          <w:szCs w:val="16"/>
        </w:rPr>
      </w:pPr>
      <w:r w:rsidRPr="00405303">
        <w:rPr>
          <w:bCs/>
          <w:color w:val="002060"/>
          <w:sz w:val="16"/>
          <w:szCs w:val="16"/>
        </w:rPr>
        <w:t>20 августа (3 сентября) 1915 года</w:t>
      </w:r>
      <w:r w:rsidR="002D54FF" w:rsidRPr="00405303">
        <w:rPr>
          <w:bCs/>
          <w:color w:val="002060"/>
          <w:sz w:val="16"/>
          <w:szCs w:val="16"/>
        </w:rPr>
        <w:t xml:space="preserve"> погиб</w:t>
      </w:r>
      <w:r w:rsidRPr="00405303">
        <w:rPr>
          <w:bCs/>
          <w:color w:val="002060"/>
          <w:sz w:val="16"/>
          <w:szCs w:val="16"/>
        </w:rPr>
        <w:t xml:space="preserve"> L-10 под командой лейтенанта Штикера </w:t>
      </w:r>
      <w:r w:rsidR="002D54FF" w:rsidRPr="00405303">
        <w:rPr>
          <w:bCs/>
          <w:color w:val="002060"/>
          <w:sz w:val="16"/>
          <w:szCs w:val="16"/>
        </w:rPr>
        <w:t>по</w:t>
      </w:r>
      <w:r w:rsidRPr="00405303">
        <w:rPr>
          <w:bCs/>
          <w:color w:val="002060"/>
          <w:sz w:val="16"/>
          <w:szCs w:val="16"/>
        </w:rPr>
        <w:t xml:space="preserve"> причине</w:t>
      </w:r>
      <w:r w:rsidR="002D54FF" w:rsidRPr="00405303">
        <w:rPr>
          <w:bCs/>
          <w:color w:val="002060"/>
          <w:sz w:val="16"/>
          <w:szCs w:val="16"/>
        </w:rPr>
        <w:t xml:space="preserve"> взрыва водорода</w:t>
      </w:r>
      <w:r w:rsidRPr="00405303">
        <w:rPr>
          <w:bCs/>
          <w:color w:val="002060"/>
          <w:sz w:val="16"/>
          <w:szCs w:val="16"/>
        </w:rPr>
        <w:t>.</w:t>
      </w:r>
    </w:p>
    <w:p w14:paraId="2D656A44"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А вот второй случай, имевший место опять-таки при возвращении из бомбардировочного полета на Англию, при котором наш корабль подвергся жестокому обстрелу зенитной артиллерией. Ко мне явился такелажмейстер и доложил: «Из двух средних отсеков совершенно вышел газ». Это, впрочем, давно уже было обнаружено штурвальным высоты. «Я не могу больше держать пять тысяч метров — вынужден спускаться», — сказал он. Дифферент корабля на нос становился все больше и больше. Хорошо... Тогда я должен возможно точнее определить положение точки, где мы упадем в море. Однако я напрасно надеялся — мне некогда было произвести свои расчеты, так как корабль грозил разломиться пополам. Я стоял с Шиллером и слышал стоны и треск в каркасе... Так как средние отсеки были разбиты, то прочность каркаса нарушилась. </w:t>
      </w:r>
    </w:p>
    <w:p w14:paraId="26AA6CD9" w14:textId="77777777" w:rsidR="004B4E35" w:rsidRPr="00405303" w:rsidRDefault="009E6F82" w:rsidP="00C15251">
      <w:pPr>
        <w:jc w:val="both"/>
        <w:rPr>
          <w:bCs/>
          <w:color w:val="002060"/>
          <w:sz w:val="16"/>
          <w:szCs w:val="16"/>
        </w:rPr>
      </w:pPr>
      <w:r w:rsidRPr="00405303">
        <w:rPr>
          <w:bCs/>
          <w:color w:val="002060"/>
          <w:sz w:val="16"/>
          <w:szCs w:val="16"/>
        </w:rPr>
        <w:t xml:space="preserve">Шиллер нашел еще в себе, к моему изумлению, юмор отчаявшегося человека, задав мне вопрос: «Чем вы желаете командовать, когда мы разломимся, — кормой [132] или носом?» Последовал ответ: один из стрингеров сломался с протяжным треском... </w:t>
      </w:r>
    </w:p>
    <w:p w14:paraId="731E98DF" w14:textId="77777777" w:rsidR="004B4E35" w:rsidRPr="00405303" w:rsidRDefault="009E6F82" w:rsidP="00C15251">
      <w:pPr>
        <w:jc w:val="both"/>
        <w:rPr>
          <w:bCs/>
          <w:color w:val="002060"/>
          <w:sz w:val="16"/>
          <w:szCs w:val="16"/>
        </w:rPr>
      </w:pPr>
      <w:r w:rsidRPr="00405303">
        <w:rPr>
          <w:bCs/>
          <w:color w:val="002060"/>
          <w:sz w:val="16"/>
          <w:szCs w:val="16"/>
        </w:rPr>
        <w:t xml:space="preserve">Внезапно мне или Шиллеру, или обоим одновременно пришла в голову одна и та же мысль. Мы взглянули друг на друга и воскликнули: «Якорный канат!» У нас был длинный якорный канат в передней части коридора. Стремительно несемся по килевому коридору и разматываем канат. Натягиваем его между фермами, расположенными в месте опустевших баллонов, перекрещиваем канат по разным направлениям. Укрепляем посредине корабля все запасные части: баллон от сжатого воздуха, слесарные инструменты, постепенно тяжелее становится средняя часть... Постепенно усиливаются стержни каркаса... Между тем еще и третий отсек полностью опорожнился от газа... Но корабль уже идет без дифферента». </w:t>
      </w:r>
    </w:p>
    <w:p w14:paraId="77DB8D42" w14:textId="77777777" w:rsidR="004B4E35" w:rsidRPr="00405303" w:rsidRDefault="009E6F82" w:rsidP="00C15251">
      <w:pPr>
        <w:jc w:val="both"/>
        <w:rPr>
          <w:bCs/>
          <w:color w:val="002060"/>
          <w:sz w:val="16"/>
          <w:szCs w:val="16"/>
        </w:rPr>
      </w:pPr>
      <w:r w:rsidRPr="00405303">
        <w:rPr>
          <w:bCs/>
          <w:color w:val="002060"/>
          <w:sz w:val="16"/>
          <w:szCs w:val="16"/>
        </w:rPr>
        <w:t>Фон Буттлару удалось и на этот раз довести свой тяжело поврежденный корабль до базы с середины Северного моря. Приведенные отрывки дают достаточно полное представление о тех тягчайших положениях, из которых приходилось выходить экипажам германских дирижаблей в Первую мировую войну (11324).</w:t>
      </w:r>
    </w:p>
    <w:p w14:paraId="3CC70CB2" w14:textId="77777777" w:rsidR="004B4E35" w:rsidRPr="00405303" w:rsidRDefault="004B4E35" w:rsidP="00C15251">
      <w:pPr>
        <w:pStyle w:val="a3"/>
        <w:jc w:val="both"/>
        <w:rPr>
          <w:bCs/>
          <w:color w:val="002060"/>
          <w:spacing w:val="0"/>
          <w:kern w:val="0"/>
          <w:position w:val="0"/>
          <w:sz w:val="16"/>
          <w:szCs w:val="16"/>
        </w:rPr>
      </w:pPr>
    </w:p>
    <w:p w14:paraId="3B3EDBE9" w14:textId="77777777" w:rsidR="004B4E35" w:rsidRPr="00405303" w:rsidRDefault="009E6F82" w:rsidP="00C15251">
      <w:pPr>
        <w:jc w:val="both"/>
        <w:rPr>
          <w:bCs/>
          <w:color w:val="002060"/>
          <w:sz w:val="16"/>
          <w:szCs w:val="16"/>
        </w:rPr>
      </w:pPr>
      <w:r w:rsidRPr="00405303">
        <w:rPr>
          <w:bCs/>
          <w:color w:val="002060"/>
          <w:sz w:val="16"/>
          <w:szCs w:val="16"/>
        </w:rPr>
        <w:t xml:space="preserve">20 августа (3 сентября) 1915 года Петер Штрассер находился на военно-морской базе в Куксхафене на острове Гельголанд. Из бухты был прекрасно виден дирижабль L-10, который после удачного разведывательного полета заходил на посадку на базу Нордхольц, расположенную неподалеку. Погода в тот день была ветреной, по небу неслись низкие дождевые облака. Командовал воздушным кораблем лейтенант Штикер, один из самых опытных воздухоплавателей германского флота и участник многих рейдов на Лондон. </w:t>
      </w:r>
    </w:p>
    <w:p w14:paraId="75874BEA" w14:textId="77777777" w:rsidR="004B4E35" w:rsidRPr="00405303" w:rsidRDefault="009E6F82" w:rsidP="00C15251">
      <w:pPr>
        <w:jc w:val="both"/>
        <w:rPr>
          <w:bCs/>
          <w:color w:val="002060"/>
          <w:sz w:val="16"/>
          <w:szCs w:val="16"/>
        </w:rPr>
      </w:pPr>
      <w:r w:rsidRPr="00405303">
        <w:rPr>
          <w:bCs/>
          <w:color w:val="002060"/>
          <w:sz w:val="16"/>
          <w:szCs w:val="16"/>
        </w:rPr>
        <w:t xml:space="preserve">Вот дирижабль завис на высоте примерно 600 м, затем описал плавный круг над акваторией Гельголандской бухты. L-10 уже нацелил свой нос на причальную мачту и начал снижение, как вдруг яркая вспышка осветила 180-метровый корпус цеппелина. Спустя несколько секунд все было кончено — гигантской кометой дирижабль врезался в волны, ставшие могилой для девятнадцати аэронавтов и их командира. </w:t>
      </w:r>
    </w:p>
    <w:p w14:paraId="62783AC7" w14:textId="77777777" w:rsidR="004B4E35" w:rsidRPr="00405303" w:rsidRDefault="009E6F82" w:rsidP="00C15251">
      <w:pPr>
        <w:jc w:val="both"/>
        <w:rPr>
          <w:bCs/>
          <w:color w:val="002060"/>
          <w:sz w:val="16"/>
          <w:szCs w:val="16"/>
        </w:rPr>
      </w:pPr>
      <w:r w:rsidRPr="00405303">
        <w:rPr>
          <w:bCs/>
          <w:color w:val="002060"/>
          <w:sz w:val="16"/>
          <w:szCs w:val="16"/>
        </w:rPr>
        <w:t xml:space="preserve">Удар молнии? Взрыв водорода, вызванный разрядом статического электричества? Ошибка или небрежность экипажа? Причину катастрофы, свидетелем которой он невольно стал, Штрассер решил установить лично. Он опросил всех очевидцев трагедии, включая расчеты береговых батарей и экипаж корабля брандвахты. Все они считали, что в момент взрыва корпус дирижабля частично находился в облаках и, скорее всего, был поражен грозовым разрядом. Мощная искра воспламенила смесь кислорода и водорода, которая неизбежно образуется в оболочке во время стравливания несущего газа из баллонов. </w:t>
      </w:r>
    </w:p>
    <w:p w14:paraId="3973DE5A" w14:textId="77777777" w:rsidR="004B4E35" w:rsidRPr="00405303" w:rsidRDefault="009E6F82" w:rsidP="00C15251">
      <w:pPr>
        <w:jc w:val="both"/>
        <w:rPr>
          <w:bCs/>
          <w:color w:val="002060"/>
          <w:sz w:val="16"/>
          <w:szCs w:val="16"/>
        </w:rPr>
      </w:pPr>
      <w:r w:rsidRPr="00405303">
        <w:rPr>
          <w:bCs/>
          <w:color w:val="002060"/>
          <w:sz w:val="16"/>
          <w:szCs w:val="16"/>
        </w:rPr>
        <w:t xml:space="preserve">Петер Штрассер придерживался иной точки зрения. Материалы расследования легли в основу подготовленной им инструкции по [143] маневрированию в непосредственной близости от грозовых облаков, которая была немедленно доведена до всех экипажей Дивизиона воздушных кораблей. Особое внимание командиров дирижаблей обращалось на соблюдение правильного режима снижения и графика стравливания водорода из баллонетов. По мнению Штрассера, Штикер слишком быстро выпускал водород, что могло привести к электризации оболочек баллонов. Командам цеппелинов строжайше запрещалось производить снижение в грозовых облаках. </w:t>
      </w:r>
    </w:p>
    <w:p w14:paraId="2D25F86A" w14:textId="77777777" w:rsidR="004B4E35" w:rsidRPr="00405303" w:rsidRDefault="009E6F82" w:rsidP="00C15251">
      <w:pPr>
        <w:jc w:val="both"/>
        <w:rPr>
          <w:bCs/>
          <w:color w:val="002060"/>
          <w:sz w:val="16"/>
          <w:szCs w:val="16"/>
        </w:rPr>
      </w:pPr>
      <w:r w:rsidRPr="00405303">
        <w:rPr>
          <w:bCs/>
          <w:color w:val="002060"/>
          <w:sz w:val="16"/>
          <w:szCs w:val="16"/>
        </w:rPr>
        <w:t xml:space="preserve">С тех пор как Петер Штрассер увидел в Фридрихсхафене обугленные обломки L-2, в его душе осталась боль. Боль и тревога за тех людей, которых он как командир посылал на смертельно опасные задания и которые верили ему, как Богу. Каждую потерю он переживал как личную трагедию. Да это и были действительно личные трагедии — Дивизион воздушных кораблей стал и домом, и семьей одинокого офицера флота. Педантичный и придирчивый во всем, что касалось службы, Штрассер слыл душой компании во время офицерских вечеринок, нередко оплачивая счета из своего не очень большого жалованья. </w:t>
      </w:r>
    </w:p>
    <w:p w14:paraId="24B7CC8E" w14:textId="77777777" w:rsidR="004B4E35" w:rsidRPr="00405303" w:rsidRDefault="009E6F82" w:rsidP="00C15251">
      <w:pPr>
        <w:jc w:val="both"/>
        <w:rPr>
          <w:bCs/>
          <w:color w:val="002060"/>
          <w:sz w:val="16"/>
          <w:szCs w:val="16"/>
        </w:rPr>
      </w:pPr>
      <w:r w:rsidRPr="00405303">
        <w:rPr>
          <w:bCs/>
          <w:color w:val="002060"/>
          <w:sz w:val="16"/>
          <w:szCs w:val="16"/>
        </w:rPr>
        <w:t xml:space="preserve">Но не этим завоевал он расположение и любовь своих подчиненных. Дивизион воздушных кораблей был совершенно необычным подразделением, не имевшим аналогов ни в военно-морском флоте Германии, ни в сухопутной армии. Практически весь его офицерский состав комплектовался на добровольной основе. Служить сюда шли те, кто были влюблены в небо и не представляли себя вне авиации. Они сознательно обрекали себя на жизнь, полную риска и опасности, ради одной цели — летать. Даже самые отчаянные </w:t>
      </w:r>
      <w:proofErr w:type="gramStart"/>
      <w:r w:rsidRPr="00405303">
        <w:rPr>
          <w:bCs/>
          <w:color w:val="002060"/>
          <w:sz w:val="16"/>
          <w:szCs w:val="16"/>
        </w:rPr>
        <w:t>сорви-головы</w:t>
      </w:r>
      <w:proofErr w:type="gramEnd"/>
      <w:r w:rsidRPr="00405303">
        <w:rPr>
          <w:bCs/>
          <w:color w:val="002060"/>
          <w:sz w:val="16"/>
          <w:szCs w:val="16"/>
        </w:rPr>
        <w:t xml:space="preserve">, подводники, и те признавали, что им далеко до «самоубийц на «летающих сосисках». </w:t>
      </w:r>
    </w:p>
    <w:p w14:paraId="3A2F3974" w14:textId="77777777" w:rsidR="004B4E35" w:rsidRPr="00405303" w:rsidRDefault="009E6F82" w:rsidP="00C15251">
      <w:pPr>
        <w:jc w:val="both"/>
        <w:rPr>
          <w:bCs/>
          <w:color w:val="002060"/>
          <w:sz w:val="16"/>
          <w:szCs w:val="16"/>
        </w:rPr>
      </w:pPr>
      <w:r w:rsidRPr="00405303">
        <w:rPr>
          <w:bCs/>
          <w:color w:val="002060"/>
          <w:sz w:val="16"/>
          <w:szCs w:val="16"/>
        </w:rPr>
        <w:t xml:space="preserve">Несмотря на </w:t>
      </w:r>
      <w:proofErr w:type="gramStart"/>
      <w:r w:rsidRPr="00405303">
        <w:rPr>
          <w:bCs/>
          <w:color w:val="002060"/>
          <w:sz w:val="16"/>
          <w:szCs w:val="16"/>
        </w:rPr>
        <w:t>то</w:t>
      </w:r>
      <w:proofErr w:type="gramEnd"/>
      <w:r w:rsidRPr="00405303">
        <w:rPr>
          <w:bCs/>
          <w:color w:val="002060"/>
          <w:sz w:val="16"/>
          <w:szCs w:val="16"/>
        </w:rPr>
        <w:t xml:space="preserve"> что во время боевых вылетов экипажам дирижаблей приходилось в буквальном смысле ходить по лезвию бритвы, служба в дивизионе была... скучноватой. Погодные условия позволяли вести воздухоплавателям активные боевые действия практически только с апреля по сентябрь, да и в этот короткий промежуток времени Атлантика успевала не раз показать свой непредсказуемый и весьма скверный нрав. Длительные перерывы между налетами на Британские острова расхолаживали экипажи. </w:t>
      </w:r>
    </w:p>
    <w:p w14:paraId="40BBF720" w14:textId="77777777" w:rsidR="004B4E35" w:rsidRPr="00405303" w:rsidRDefault="009E6F82" w:rsidP="00C15251">
      <w:pPr>
        <w:jc w:val="both"/>
        <w:rPr>
          <w:bCs/>
          <w:color w:val="002060"/>
          <w:sz w:val="16"/>
          <w:szCs w:val="16"/>
        </w:rPr>
      </w:pPr>
      <w:r w:rsidRPr="00405303">
        <w:rPr>
          <w:bCs/>
          <w:color w:val="002060"/>
          <w:sz w:val="16"/>
          <w:szCs w:val="16"/>
        </w:rPr>
        <w:t xml:space="preserve">Да и какие могут быть на войне развлечения? Офицерский клуб, примитивные спортивные снаряды, книги, изредка кино — вот, пожалуй, и все, чем могли занять себя бесстрашные асы ночных бомбардировок долгими зимними вечерами. Будучи экспертом в области аэронавтики, Штрассер и от подчиненных требовал безупречного знания своей боевой техники. Он заставлял офицеров проводить регулярные тренировки с экипажами, добиваясь отличной слетанности и закрепляя навыки управления таким неуклюжим летательным аппаратом, как дирижабль. Правда, цеппелины, хотя и считались в начале века чудом техники, по конструкции были весьма просты, если не сказать [144] примитивны. Их двигатели мало чем отличались от обычных автомобильных моторов того времени, а органы управления практически полностью копировали корабельные. Вооружались дирижабли обычными авиационными бомбами и пулеметами, поэтому неудивительно, что на освоение новой летающей техники у моряков уходило всего несколько недель. </w:t>
      </w:r>
    </w:p>
    <w:p w14:paraId="06045441" w14:textId="77777777" w:rsidR="004B4E35" w:rsidRPr="00405303" w:rsidRDefault="009E6F82" w:rsidP="00C15251">
      <w:pPr>
        <w:jc w:val="both"/>
        <w:rPr>
          <w:bCs/>
          <w:color w:val="002060"/>
          <w:sz w:val="16"/>
          <w:szCs w:val="16"/>
        </w:rPr>
      </w:pPr>
      <w:r w:rsidRPr="00405303">
        <w:rPr>
          <w:bCs/>
          <w:color w:val="002060"/>
          <w:sz w:val="16"/>
          <w:szCs w:val="16"/>
        </w:rPr>
        <w:t xml:space="preserve">Командиров кораблей Петер Штрассер постоянно «натаскивал» в решении навигационных задач, принимал самое деятельное участие в разработке будущих маршрутов, проводил занятия по метеорологии. Каждый боевой эпизод тщательно разбирался на своеобразных научно-практических конференциях, в ходе которых рождались новые тактические приемы, совершенствовалась техника преодоления ПВО, обсуждались возможные усовершенствования конструкции цеппелинов и их вооружения. </w:t>
      </w:r>
    </w:p>
    <w:p w14:paraId="6F20FBFB" w14:textId="77777777" w:rsidR="004B4E35" w:rsidRPr="00405303" w:rsidRDefault="009E6F82" w:rsidP="00C15251">
      <w:pPr>
        <w:jc w:val="both"/>
        <w:rPr>
          <w:bCs/>
          <w:color w:val="002060"/>
          <w:sz w:val="16"/>
          <w:szCs w:val="16"/>
        </w:rPr>
      </w:pPr>
      <w:r w:rsidRPr="00405303">
        <w:rPr>
          <w:bCs/>
          <w:color w:val="002060"/>
          <w:sz w:val="16"/>
          <w:szCs w:val="16"/>
        </w:rPr>
        <w:t xml:space="preserve">Одним из способов поддержания боевого духа и практических навыков аэронавтов стало участие дирижаблей дивизиона в маневрах и боевых операциях военно-морского флота. При совместном маневрировании боевых кораблей и дирижаблей, последним отводилась роль разведчиков и корректировщиков стрельбы. Несколько раз Петер Штрассер предпринимал попытки поразить учебными бомбами плавучую мишень, но результат этих экспериментов оказался весьма разочаровывающим — существовавшие в то время примитивные бомбардировочные прицелы не позволяли добиться приемлемого числа попаданий в мишень. </w:t>
      </w:r>
    </w:p>
    <w:p w14:paraId="5F6FB921" w14:textId="77777777" w:rsidR="004B4E35" w:rsidRPr="00405303" w:rsidRDefault="009E6F82" w:rsidP="00C15251">
      <w:pPr>
        <w:jc w:val="both"/>
        <w:rPr>
          <w:bCs/>
          <w:color w:val="002060"/>
          <w:sz w:val="16"/>
          <w:szCs w:val="16"/>
        </w:rPr>
      </w:pPr>
      <w:r w:rsidRPr="00405303">
        <w:rPr>
          <w:bCs/>
          <w:color w:val="002060"/>
          <w:sz w:val="16"/>
          <w:szCs w:val="16"/>
        </w:rPr>
        <w:t>Иногда зимняя погода преподносила аэронавтам приятные сюрпризы в виде морозных безлунных ночей, и тогда рейды на Британские острова ненадолго возобновлялись. Следует заметить, что англичане тоже не дремали, используя осенне-весеннюю передышку для укрепления противовоздушной обороны метрополии. Налеты на неприятельские города в 1915 году все меньше стали походить на «увеселительные прогулки», которыми наслаждались экипажи цеппелинов (11324).</w:t>
      </w:r>
    </w:p>
    <w:p w14:paraId="5C1E0506" w14:textId="77777777" w:rsidR="004B4E35" w:rsidRPr="00405303" w:rsidRDefault="004B4E35" w:rsidP="00C15251">
      <w:pPr>
        <w:jc w:val="both"/>
        <w:rPr>
          <w:bCs/>
          <w:i/>
          <w:color w:val="002060"/>
          <w:sz w:val="16"/>
          <w:szCs w:val="16"/>
        </w:rPr>
      </w:pPr>
    </w:p>
    <w:p w14:paraId="06B38F73" w14:textId="77777777" w:rsidR="00992F24" w:rsidRPr="00405303" w:rsidRDefault="00992F24" w:rsidP="00C15251">
      <w:pPr>
        <w:jc w:val="both"/>
        <w:rPr>
          <w:bCs/>
          <w:i/>
          <w:color w:val="002060"/>
          <w:sz w:val="16"/>
          <w:szCs w:val="16"/>
        </w:rPr>
      </w:pPr>
      <w:r w:rsidRPr="00405303">
        <w:rPr>
          <w:bCs/>
          <w:i/>
          <w:color w:val="002060"/>
          <w:sz w:val="16"/>
          <w:szCs w:val="16"/>
        </w:rPr>
        <w:t>Армия:</w:t>
      </w:r>
    </w:p>
    <w:p w14:paraId="3192E135" w14:textId="77777777" w:rsidR="00992F24" w:rsidRPr="00405303" w:rsidRDefault="00992F24" w:rsidP="00C15251">
      <w:pPr>
        <w:jc w:val="both"/>
        <w:rPr>
          <w:bCs/>
          <w:i/>
          <w:color w:val="002060"/>
          <w:sz w:val="16"/>
          <w:szCs w:val="16"/>
        </w:rPr>
      </w:pPr>
    </w:p>
    <w:p w14:paraId="6AD66B18" w14:textId="1255E558" w:rsidR="00992F24" w:rsidRPr="00405303" w:rsidRDefault="00992F24" w:rsidP="00C15251">
      <w:pPr>
        <w:jc w:val="both"/>
        <w:rPr>
          <w:bCs/>
          <w:color w:val="002060"/>
          <w:sz w:val="16"/>
          <w:szCs w:val="16"/>
        </w:rPr>
      </w:pPr>
      <w:r w:rsidRPr="00405303">
        <w:rPr>
          <w:bCs/>
          <w:color w:val="002060"/>
          <w:sz w:val="16"/>
          <w:szCs w:val="16"/>
        </w:rPr>
        <w:t xml:space="preserve">20 августа </w:t>
      </w:r>
      <w:r w:rsidR="002D54FF" w:rsidRPr="00405303">
        <w:rPr>
          <w:bCs/>
          <w:color w:val="002060"/>
          <w:sz w:val="16"/>
          <w:szCs w:val="16"/>
        </w:rPr>
        <w:t xml:space="preserve">(2 сентября) </w:t>
      </w:r>
      <w:r w:rsidRPr="00405303">
        <w:rPr>
          <w:bCs/>
          <w:color w:val="002060"/>
          <w:sz w:val="16"/>
          <w:szCs w:val="16"/>
        </w:rPr>
        <w:t>в 1915 году немецкие войска занимают Митаву (ныне Елгава) (14989).</w:t>
      </w:r>
    </w:p>
    <w:p w14:paraId="3ED76471" w14:textId="77777777" w:rsidR="00992F24" w:rsidRPr="00405303" w:rsidRDefault="00992F24" w:rsidP="00C15251">
      <w:pPr>
        <w:jc w:val="both"/>
        <w:rPr>
          <w:bCs/>
          <w:color w:val="002060"/>
          <w:sz w:val="16"/>
          <w:szCs w:val="16"/>
        </w:rPr>
      </w:pPr>
    </w:p>
    <w:p w14:paraId="68350C1B" w14:textId="27A25B37" w:rsidR="00992F24" w:rsidRPr="00405303" w:rsidRDefault="00992F24" w:rsidP="00C15251">
      <w:pPr>
        <w:jc w:val="both"/>
        <w:rPr>
          <w:bCs/>
          <w:color w:val="002060"/>
          <w:sz w:val="16"/>
          <w:szCs w:val="16"/>
        </w:rPr>
      </w:pPr>
      <w:r w:rsidRPr="00405303">
        <w:rPr>
          <w:bCs/>
          <w:color w:val="002060"/>
          <w:sz w:val="16"/>
          <w:szCs w:val="16"/>
        </w:rPr>
        <w:t xml:space="preserve">20 августа </w:t>
      </w:r>
      <w:r w:rsidR="002D54FF" w:rsidRPr="00405303">
        <w:rPr>
          <w:bCs/>
          <w:color w:val="002060"/>
          <w:sz w:val="16"/>
          <w:szCs w:val="16"/>
        </w:rPr>
        <w:t xml:space="preserve">(2 сентября) </w:t>
      </w:r>
      <w:r w:rsidRPr="00405303">
        <w:rPr>
          <w:bCs/>
          <w:color w:val="002060"/>
          <w:sz w:val="16"/>
          <w:szCs w:val="16"/>
        </w:rPr>
        <w:t>в 1915 году в уездном городе Малоярославце Калужской губернии по объявленному в связи с войной досрочному призыву был принят в армию 18-летний уроженец окрестной деревеньки Стрелковки мастер-скорняк и толковый приказчик одного из меховых магазинов в центре Москвы Георгий Жуков. Формальности на призывном пункте заняли считанные минуты, и будущего Маршала Советского Союза записали в кавалерию — на зависть приятелям, коих всех без исключения направили в пехоту (14989).</w:t>
      </w:r>
    </w:p>
    <w:p w14:paraId="561E4578" w14:textId="77777777" w:rsidR="00992F24" w:rsidRPr="00405303" w:rsidRDefault="00992F24" w:rsidP="00C15251">
      <w:pPr>
        <w:jc w:val="both"/>
        <w:rPr>
          <w:bCs/>
          <w:color w:val="002060"/>
          <w:sz w:val="16"/>
          <w:szCs w:val="16"/>
        </w:rPr>
      </w:pPr>
    </w:p>
    <w:p w14:paraId="00CAD7CA"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00C5033B" w14:textId="77777777" w:rsidR="004B4E35" w:rsidRPr="00405303" w:rsidRDefault="004B4E35" w:rsidP="00C15251">
      <w:pPr>
        <w:jc w:val="both"/>
        <w:rPr>
          <w:bCs/>
          <w:i/>
          <w:color w:val="002060"/>
          <w:sz w:val="16"/>
          <w:szCs w:val="16"/>
        </w:rPr>
      </w:pPr>
    </w:p>
    <w:p w14:paraId="21198D4F" w14:textId="0A8DCE75" w:rsidR="004B4E35" w:rsidRPr="00405303" w:rsidRDefault="009E6F82" w:rsidP="00C15251">
      <w:pPr>
        <w:jc w:val="both"/>
        <w:rPr>
          <w:bCs/>
          <w:color w:val="002060"/>
          <w:sz w:val="16"/>
          <w:szCs w:val="16"/>
        </w:rPr>
      </w:pPr>
      <w:r w:rsidRPr="00405303">
        <w:rPr>
          <w:bCs/>
          <w:color w:val="002060"/>
          <w:sz w:val="16"/>
          <w:szCs w:val="16"/>
        </w:rPr>
        <w:t>21 августа (</w:t>
      </w:r>
      <w:r w:rsidR="002D54FF" w:rsidRPr="00405303">
        <w:rPr>
          <w:bCs/>
          <w:color w:val="002060"/>
          <w:sz w:val="16"/>
          <w:szCs w:val="16"/>
        </w:rPr>
        <w:t>3</w:t>
      </w:r>
      <w:r w:rsidRPr="00405303">
        <w:rPr>
          <w:bCs/>
          <w:color w:val="002060"/>
          <w:sz w:val="16"/>
          <w:szCs w:val="16"/>
        </w:rPr>
        <w:t xml:space="preserve"> сентября) 1915 </w:t>
      </w:r>
      <w:r w:rsidR="002D54FF" w:rsidRPr="00405303">
        <w:rPr>
          <w:bCs/>
          <w:color w:val="002060"/>
          <w:sz w:val="16"/>
          <w:szCs w:val="16"/>
        </w:rPr>
        <w:t xml:space="preserve">«После соответствующего отношения ГВУ обратилось с запросом в АО РБВЗ, которое представило </w:t>
      </w:r>
      <w:r w:rsidRPr="00405303">
        <w:rPr>
          <w:bCs/>
          <w:color w:val="002060"/>
          <w:sz w:val="16"/>
          <w:szCs w:val="16"/>
        </w:rPr>
        <w:t>свои условия на выполнение заказа на 18 самолетов С-16 (12 по табелю ЭВK и 6 «на пополнение ежемесячной убыли</w:t>
      </w:r>
      <w:proofErr w:type="gramStart"/>
      <w:r w:rsidRPr="00405303">
        <w:rPr>
          <w:bCs/>
          <w:color w:val="002060"/>
          <w:sz w:val="16"/>
          <w:szCs w:val="16"/>
        </w:rPr>
        <w:t>» )</w:t>
      </w:r>
      <w:proofErr w:type="gramEnd"/>
      <w:r w:rsidRPr="00405303">
        <w:rPr>
          <w:bCs/>
          <w:color w:val="002060"/>
          <w:sz w:val="16"/>
          <w:szCs w:val="16"/>
        </w:rPr>
        <w:t>. Исполнительная комиссия Особого совещания по обороне Государства одобрила эти условия, и 24 октября 1915 г. ГВУ заключило с АО РБВЗ контракт Nо. 24130 на 18 самолетов С-16 под двигатели «Рож» или «Гном» мощностью в 80 или 100 л. с., а также 18 основных и 3 дополнительных комплекта запасных частей. В комплект запасных частей входили, по сути дела, все основные детали самолета, ГВУ обязалось выплатить по 9500 рублей за каждый самолет и по 4500 и 7300 рублей за каждый комплект запчастей соответственно. Двигатели и винты к аппаратам также должно было поставить ГВУ. Сроки поставки были оговорены следующие: к 4,10.1915 -- 3 самолета, к 4.11.1915 - 4 самолета и 7 комплектов и к 4.12.1915 -- 11 самолетов и 14 комплектов. условия сдачи самолетов были жесткие. Все расходы по сдаче, упаковке и возможному ремонту после поломок долларно было нести АО РБВЗ. Обществу предоставлялся задаток в 25% стоимости контракта для налаживания производства. Еще 25% должно было быть выделено на получение заводом необходимых материалов. Воздухоплавательное отделение АО РБВЗ, переименованное в мае 1915 г. в Русско-Балтийский воздухоплавательный завод (часто его сокращенно называли «АвиаБалт» ) , приступило в сентябре 1915 г. к подготовке производства (по заводскому обозначению, заказа Nо. 213) . Однако не все пошло гладко. Только к концу месяца летчиками ЭВК были подготовлены замечания к первым опытным С-16, и И. И. Сикорский смог приступить к устранению отмеченных недостатков в конструкции серийных аппаратов, получивших обозначение С-16сер. Им были присвоены заводские номера с 201 по 215. Вместе с опытными С-16 Nо. 154,155 и 156 они должны были составить «контрактные» 18 машин. В конструкцию серийных самолетов И. И. Сикорский внес ряд небольших изменений по сравнению с опытными. Была изменена форма хвостового оперения. Другой стала площадь крыльев и т.д. коробка крыльев С-16сер. имела плоскости разных размеров, подобно опытному С-16 Nо. 156. С большими проблемами столкнулось производство Авиа-Балта в связи со срывом поставок полуфабрикатов и комплектующих изделий (стальных и латунных труб, листовой стали, колес, болтов и т. п,) , многие из которых доставлялись из-за границы, в основном из Швеции, В связи с этим Сикорскому и его помощникам пришлось срочно переконструировать часть деталей и даже наладить на заводе выпуск стальных труб. Из-за вносимых изменений вес серийных самолетов С-16сер. получился различным и колебался от 415,6 до 423,2 кг. Директор Авиа-Балта М. Ф. Климыссеев предпринял все меры для ускорения работ по построже серии С-16сер., благо, осенью 1915 г. появилось временное технологическое окно в производстве воздушных кораблей «Илья Муромец</w:t>
      </w:r>
      <w:proofErr w:type="gramStart"/>
      <w:r w:rsidRPr="00405303">
        <w:rPr>
          <w:bCs/>
          <w:color w:val="002060"/>
          <w:sz w:val="16"/>
          <w:szCs w:val="16"/>
        </w:rPr>
        <w:t>» .</w:t>
      </w:r>
      <w:proofErr w:type="gramEnd"/>
      <w:r w:rsidRPr="00405303">
        <w:rPr>
          <w:bCs/>
          <w:color w:val="002060"/>
          <w:sz w:val="16"/>
          <w:szCs w:val="16"/>
        </w:rPr>
        <w:t xml:space="preserve"> Все свободные рабочие были переведены на сборку легких самолетов, трудились сверхурочно, в выходные и в праздничные дни. Однако повторявшиеся одна за другой забастовки свели на нет все эти усилия. К концу ноября стало очевидным, что к сроку удастся закончить от силы лишь четыре (Ко. 206- 209) из заказанных пятнадцати самолетов. Пришлось просить в ГВУ отсрочку, которая сопровождалась уплатой соответствующей неустойки. Только 4 января 1916 г. Авиа-Балт смог заявить о готовности представить к осмотру все 15 серийных самолетов С-16сер. Однако сдача их опять затянулась. Плохая погода прервала начатые 22 декабря 1915 г. прибывшим с фронта Г. И. Лавровым летно-сдаточные испытания самолетов. Во время одного из первых полетов на самолете Nо. 206 из-за сильных порывов ветра летчик не смог при посадке справиться с управлением. Самолет и двигатель были сильно повреждены и ремонтировались до марта1916 г. С отъездом Лаврова на фронт на заводе не осталось летчиков-сдатчиков. Ссылаясь на условия контракта (АО РБВЗ было обязано проводить сдаточные испытания с помощью заводских летчиков и за свой счет</w:t>
      </w:r>
      <w:proofErr w:type="gramStart"/>
      <w:r w:rsidRPr="00405303">
        <w:rPr>
          <w:bCs/>
          <w:color w:val="002060"/>
          <w:sz w:val="16"/>
          <w:szCs w:val="16"/>
        </w:rPr>
        <w:t>) ,</w:t>
      </w:r>
      <w:proofErr w:type="gramEnd"/>
      <w:r w:rsidRPr="00405303">
        <w:rPr>
          <w:bCs/>
          <w:color w:val="002060"/>
          <w:sz w:val="16"/>
          <w:szCs w:val="16"/>
        </w:rPr>
        <w:t xml:space="preserve"> ГВУ отказывалось предоставить своих летчиков. Несвоевременно поступали из ГВУ на завод и двигатели «Гном</w:t>
      </w:r>
      <w:proofErr w:type="gramStart"/>
      <w:r w:rsidRPr="00405303">
        <w:rPr>
          <w:bCs/>
          <w:color w:val="002060"/>
          <w:sz w:val="16"/>
          <w:szCs w:val="16"/>
        </w:rPr>
        <w:t>» .</w:t>
      </w:r>
      <w:proofErr w:type="gramEnd"/>
      <w:r w:rsidRPr="00405303">
        <w:rPr>
          <w:bCs/>
          <w:color w:val="002060"/>
          <w:sz w:val="16"/>
          <w:szCs w:val="16"/>
        </w:rPr>
        <w:t xml:space="preserve"> Кроме того, задержка поставок в армию С-16сер. способствовала и изменению взглядов на применение этих машин. В истории С-16 произошло важное событие -- расширилось назначение этого самолета. Если в середине 1915 г. «Сикорский маленький» , как иногда называли С-16 в войсках, предполагалось использовать в ЭВК в основном для тренировок летчиков воздушных кораблей, а также в качестве «разведчиков при намечаемых налетах Эскадры на определенные пункты» , то к концу этого года наметилось применение их в качестве истребителей на боевых базах для защиты воздушных кораблей против налетов неприятельского воздушного флота» . По новым утвержденным штатам ЭВК в ее составе предполагалось иметь теперь помимо 12 учебных аппаратов школы Эскадры еще по 14 легких самолетов (4 истребителя, 4разведчика и 6тренировочных) в составе каждого боевого отряда, число которых увеличилось с двух до трех. Подобно большинству других скаутов, С-16 превращался в классический одноместный истребитель. Он стал, таким образом, первым истребителем отечественной конструкции. Изменение назначения самолета С-16 ознаменовалось разработкой для него стационарного бортового вооружения. Одним из главных пропагандистов создания истребительной авиации в российском воздушном флоте был лейтенант Г, И. Лавров. В 1915 г. он сделал ряд предложений по созданию авиационного вооружения и формированию отрядов истребителей. Осенью этого года им был разработан и построен в мастерских ЭВК образец первого в России синхронизатора или, как тогда называли, приспособления для автоматической стрельбы через винт (11188).</w:t>
      </w:r>
    </w:p>
    <w:p w14:paraId="6C4EC861" w14:textId="77777777" w:rsidR="004B4E35" w:rsidRPr="00405303" w:rsidRDefault="004B4E35" w:rsidP="00C15251">
      <w:pPr>
        <w:jc w:val="both"/>
        <w:rPr>
          <w:bCs/>
          <w:color w:val="002060"/>
          <w:sz w:val="16"/>
          <w:szCs w:val="16"/>
        </w:rPr>
      </w:pPr>
    </w:p>
    <w:p w14:paraId="58D22384" w14:textId="77777777" w:rsidR="009A3618" w:rsidRPr="00405303" w:rsidRDefault="009A3618" w:rsidP="00C15251">
      <w:pPr>
        <w:jc w:val="both"/>
        <w:rPr>
          <w:bCs/>
          <w:color w:val="002060"/>
          <w:sz w:val="16"/>
          <w:szCs w:val="16"/>
        </w:rPr>
      </w:pPr>
      <w:r w:rsidRPr="00405303">
        <w:rPr>
          <w:bCs/>
          <w:color w:val="002060"/>
          <w:sz w:val="16"/>
          <w:szCs w:val="16"/>
        </w:rPr>
        <w:t xml:space="preserve">21 августа (3 сентября) 1915 РБВЗ послало ГВТУ технические условия на поставку двенадцати готовых С-16 и шести несобранных «на пополнение ежемесячной убыли». В правлении РБВЗ очень надеялись на заказ, но неожиданно 24 августа 1915 г. ГВТУ ГШ выдало расширенный контракт на поставку 18 готовых С-16 без моторов и винтов по цене 9 500 руб. и 21 полного и неполного комплекта агрегатов и деталей за 7 300 и 4 500 руб., соответственно. Первые три самолета надо было сдать к 4 октября 1915 г., следующие четыре и семь комплектов — к 4 ноября, и последние 11 готовых и 14 комплектов — к 4 декабря 1915 г. При этом Сикорский должен был исправить чертежи по результатам испытаний и заменить ставшие дефицитом материалы — латунь и ввозимую из США орегонскую сосну. Он это делал впопыхах, конструкцию не пересчитывая, но все равно опоздал. А тут пришла новая вводная — немецкие и австрийские аэропланы стали атаковать «Муромцы», и если поначалу те успешно отбивались своими многочисленными пулеметами, то появившиеся на фронте истребители уже стали представлять для них угрозу (22826). </w:t>
      </w:r>
    </w:p>
    <w:p w14:paraId="10A9616A" w14:textId="77777777" w:rsidR="009A3618" w:rsidRPr="00405303" w:rsidRDefault="009A3618" w:rsidP="00C15251">
      <w:pPr>
        <w:jc w:val="both"/>
        <w:rPr>
          <w:bCs/>
          <w:color w:val="002060"/>
          <w:sz w:val="16"/>
          <w:szCs w:val="16"/>
        </w:rPr>
      </w:pPr>
    </w:p>
    <w:p w14:paraId="7A55441F" w14:textId="66674588" w:rsidR="00935431" w:rsidRPr="00405303" w:rsidRDefault="00935431" w:rsidP="00C15251">
      <w:pPr>
        <w:jc w:val="both"/>
        <w:rPr>
          <w:bCs/>
          <w:color w:val="002060"/>
          <w:sz w:val="16"/>
          <w:szCs w:val="16"/>
        </w:rPr>
      </w:pPr>
      <w:r w:rsidRPr="00405303">
        <w:rPr>
          <w:bCs/>
          <w:color w:val="002060"/>
          <w:sz w:val="16"/>
          <w:szCs w:val="16"/>
        </w:rPr>
        <w:t>21 августа (3 сентября) 1915 г. РБВЗ представило условия на поставку самолетов С-16, предложив сделать 18 серийных самолетов С-16 – и них 12 в готовом виде и 6 самолето-комплектов «на пополнение ежемесячной убыли» (23557).</w:t>
      </w:r>
    </w:p>
    <w:p w14:paraId="3423636E" w14:textId="77777777" w:rsidR="00935431" w:rsidRPr="00405303" w:rsidRDefault="00935431" w:rsidP="00C15251">
      <w:pPr>
        <w:jc w:val="both"/>
        <w:rPr>
          <w:bCs/>
          <w:color w:val="002060"/>
          <w:sz w:val="16"/>
          <w:szCs w:val="16"/>
        </w:rPr>
      </w:pPr>
    </w:p>
    <w:p w14:paraId="256A1708" w14:textId="77777777" w:rsidR="00476F03" w:rsidRPr="00405303" w:rsidRDefault="00476F03" w:rsidP="00C15251">
      <w:pPr>
        <w:shd w:val="clear" w:color="auto" w:fill="FFFFFF"/>
        <w:jc w:val="both"/>
        <w:rPr>
          <w:bCs/>
          <w:i/>
          <w:color w:val="002060"/>
          <w:sz w:val="16"/>
          <w:szCs w:val="16"/>
        </w:rPr>
      </w:pPr>
      <w:r w:rsidRPr="00405303">
        <w:rPr>
          <w:bCs/>
          <w:i/>
          <w:color w:val="002060"/>
          <w:sz w:val="16"/>
          <w:szCs w:val="16"/>
        </w:rPr>
        <w:t>Авиация:</w:t>
      </w:r>
    </w:p>
    <w:p w14:paraId="72024B6B" w14:textId="77777777" w:rsidR="00476F03" w:rsidRPr="00405303" w:rsidRDefault="00476F03" w:rsidP="00C15251">
      <w:pPr>
        <w:shd w:val="clear" w:color="auto" w:fill="FFFFFF"/>
        <w:jc w:val="both"/>
        <w:rPr>
          <w:bCs/>
          <w:i/>
          <w:color w:val="002060"/>
          <w:sz w:val="16"/>
          <w:szCs w:val="16"/>
        </w:rPr>
      </w:pPr>
    </w:p>
    <w:p w14:paraId="5D144CF1" w14:textId="0489036C" w:rsidR="00476F03" w:rsidRPr="00405303" w:rsidRDefault="00476F03" w:rsidP="00C15251">
      <w:pPr>
        <w:jc w:val="both"/>
        <w:rPr>
          <w:bCs/>
          <w:color w:val="002060"/>
          <w:sz w:val="16"/>
          <w:szCs w:val="16"/>
        </w:rPr>
      </w:pPr>
      <w:r w:rsidRPr="00405303">
        <w:rPr>
          <w:bCs/>
          <w:color w:val="002060"/>
          <w:sz w:val="16"/>
          <w:szCs w:val="16"/>
        </w:rPr>
        <w:t xml:space="preserve">21 августа </w:t>
      </w:r>
      <w:r w:rsidR="002D54FF" w:rsidRPr="00405303">
        <w:rPr>
          <w:bCs/>
          <w:color w:val="002060"/>
          <w:sz w:val="16"/>
          <w:szCs w:val="16"/>
        </w:rPr>
        <w:t xml:space="preserve">(3 сентября) </w:t>
      </w:r>
      <w:r w:rsidRPr="00405303">
        <w:rPr>
          <w:bCs/>
          <w:color w:val="002060"/>
          <w:sz w:val="16"/>
          <w:szCs w:val="16"/>
        </w:rPr>
        <w:t>в 1915 году начались первые полеты (по 13 сентября) на самолете в Арктике. Полет совершили летчик Я.И.Нагурский и механик Е.В.Кузнецов на поплавковом биплане «Фарман» (Farman Maurice) в районе Новой Земли, достигнув 76 градусов северной широты. Полет был совершен в связи с поисками экспедиции исследователя Г.Я.Седова. Нагурский доказал, что летать в арктических странах можно, что авиация в будущем может оказать большую услугу в следующих случаях: при рекогносцировках льдов, при открытии новых земель, нахождении и нанесении на карты подводных преград, препятствующих судоходству и т.д. «Морис-Фарман»: В России были два типа: образца 1912 г. с передним рулем высоты и образца 1914 г. — поплавковый учебный «Морис Фарман» с «Рено» в 70 л.с. (позднее 80 л.с.). Самолетов 1912 года на Балтике было два, а 20 самолетов образца 1914 года активно использовались в боях до 1917 года. В 1915—1916 годах они находились в авиаотрядах на Або-Аландских островах. Начальником 5-го воздушного дивизиона там служил лейтенант Я.И.Нагурский, в августе 1915 года на «Морис-Фармане» он летал на Новой Земле в поисках экспедиции Г.Я.Седова. Именем Нагурского названа самая северная пограничная застава на Шпицбергене (14995).</w:t>
      </w:r>
    </w:p>
    <w:p w14:paraId="6ED8AA2A" w14:textId="77777777" w:rsidR="00476F03" w:rsidRPr="00405303" w:rsidRDefault="00476F03" w:rsidP="00C15251">
      <w:pPr>
        <w:jc w:val="both"/>
        <w:rPr>
          <w:bCs/>
          <w:color w:val="002060"/>
          <w:sz w:val="16"/>
          <w:szCs w:val="16"/>
        </w:rPr>
      </w:pPr>
    </w:p>
    <w:p w14:paraId="16D66EA5" w14:textId="604132AC" w:rsidR="00935431" w:rsidRPr="00405303" w:rsidRDefault="00935431" w:rsidP="00C15251">
      <w:pPr>
        <w:jc w:val="both"/>
        <w:rPr>
          <w:bCs/>
          <w:color w:val="002060"/>
          <w:sz w:val="16"/>
          <w:szCs w:val="16"/>
        </w:rPr>
      </w:pPr>
      <w:bookmarkStart w:id="224" w:name="bookmark241"/>
      <w:r w:rsidRPr="00405303">
        <w:rPr>
          <w:bCs/>
          <w:color w:val="002060"/>
          <w:sz w:val="16"/>
          <w:szCs w:val="16"/>
        </w:rPr>
        <w:t xml:space="preserve">21 августа (3 сентября) 1915 г. целью воздушного нападения стал русский санитарный поезд, отходивший от станции в г. Брест-Литовск (23405). </w:t>
      </w:r>
      <w:bookmarkEnd w:id="224"/>
    </w:p>
    <w:p w14:paraId="3B5F7720" w14:textId="77777777" w:rsidR="00935431" w:rsidRPr="00405303" w:rsidRDefault="00935431" w:rsidP="00C15251">
      <w:pPr>
        <w:jc w:val="both"/>
        <w:rPr>
          <w:bCs/>
          <w:color w:val="002060"/>
          <w:sz w:val="16"/>
          <w:szCs w:val="16"/>
          <w:lang w:bidi="ru-RU"/>
        </w:rPr>
      </w:pPr>
    </w:p>
    <w:p w14:paraId="0E683B74" w14:textId="1F7EEA01" w:rsidR="00F01F18" w:rsidRPr="00405303" w:rsidRDefault="00F01F18" w:rsidP="00F01F18">
      <w:pPr>
        <w:shd w:val="clear" w:color="auto" w:fill="FFFFFF"/>
        <w:jc w:val="both"/>
        <w:rPr>
          <w:bCs/>
          <w:i/>
          <w:color w:val="002060"/>
          <w:sz w:val="16"/>
          <w:szCs w:val="16"/>
        </w:rPr>
      </w:pPr>
      <w:r w:rsidRPr="00405303">
        <w:rPr>
          <w:bCs/>
          <w:i/>
          <w:color w:val="002060"/>
          <w:sz w:val="16"/>
          <w:szCs w:val="16"/>
        </w:rPr>
        <w:t>Морская авиация:</w:t>
      </w:r>
    </w:p>
    <w:p w14:paraId="4FBD8F41" w14:textId="77777777" w:rsidR="00F01F18" w:rsidRPr="00405303" w:rsidRDefault="00F01F18" w:rsidP="00F01F18">
      <w:pPr>
        <w:shd w:val="clear" w:color="auto" w:fill="FFFFFF"/>
        <w:jc w:val="both"/>
        <w:rPr>
          <w:bCs/>
          <w:i/>
          <w:color w:val="002060"/>
          <w:sz w:val="16"/>
          <w:szCs w:val="16"/>
        </w:rPr>
      </w:pPr>
    </w:p>
    <w:p w14:paraId="77EA15EC" w14:textId="77777777" w:rsidR="00F01F18" w:rsidRPr="00405303" w:rsidRDefault="00F01F18" w:rsidP="00F01F18">
      <w:pPr>
        <w:jc w:val="both"/>
        <w:rPr>
          <w:color w:val="0070C0"/>
          <w:sz w:val="16"/>
          <w:szCs w:val="16"/>
        </w:rPr>
      </w:pPr>
      <w:r w:rsidRPr="00405303">
        <w:rPr>
          <w:rStyle w:val="aa"/>
          <w:rFonts w:ascii="Times New Roman" w:hAnsi="Times New Roman"/>
          <w:color w:val="0070C0"/>
          <w:spacing w:val="0"/>
          <w:sz w:val="16"/>
          <w:szCs w:val="16"/>
        </w:rPr>
        <w:t>21-22 августа (3–4 сентября) 1915 г. у входа в Рижский залив «неприятельские разведывательные гидропланы неоднократно появлялись над Ирбенским проливом, бросая бомбы в наши миноносцы; последние всякий раз отгоняли гидропланы огнем» (25135).</w:t>
      </w:r>
    </w:p>
    <w:p w14:paraId="6A57F4BF" w14:textId="77777777" w:rsidR="00F01F18" w:rsidRPr="00405303" w:rsidRDefault="00F01F18" w:rsidP="00F01F18">
      <w:pPr>
        <w:jc w:val="both"/>
        <w:rPr>
          <w:color w:val="0070C0"/>
          <w:sz w:val="16"/>
          <w:szCs w:val="16"/>
        </w:rPr>
      </w:pPr>
    </w:p>
    <w:p w14:paraId="09050DB0" w14:textId="77777777" w:rsidR="00476F03" w:rsidRPr="00405303" w:rsidRDefault="00476F03" w:rsidP="00C15251">
      <w:pPr>
        <w:jc w:val="both"/>
        <w:rPr>
          <w:bCs/>
          <w:i/>
          <w:color w:val="002060"/>
          <w:sz w:val="16"/>
          <w:szCs w:val="16"/>
        </w:rPr>
      </w:pPr>
      <w:r w:rsidRPr="00405303">
        <w:rPr>
          <w:bCs/>
          <w:i/>
          <w:color w:val="002060"/>
          <w:sz w:val="16"/>
          <w:szCs w:val="16"/>
        </w:rPr>
        <w:t>Армия:</w:t>
      </w:r>
    </w:p>
    <w:p w14:paraId="21EAD94E" w14:textId="77777777" w:rsidR="00476F03" w:rsidRPr="00405303" w:rsidRDefault="00476F03" w:rsidP="00C15251">
      <w:pPr>
        <w:jc w:val="both"/>
        <w:rPr>
          <w:bCs/>
          <w:i/>
          <w:color w:val="002060"/>
          <w:sz w:val="16"/>
          <w:szCs w:val="16"/>
        </w:rPr>
      </w:pPr>
    </w:p>
    <w:p w14:paraId="499F39EF" w14:textId="1A9ADC1F" w:rsidR="00476F03" w:rsidRPr="00405303" w:rsidRDefault="00476F03" w:rsidP="00C15251">
      <w:pPr>
        <w:jc w:val="both"/>
        <w:rPr>
          <w:bCs/>
          <w:color w:val="002060"/>
          <w:sz w:val="16"/>
          <w:szCs w:val="16"/>
        </w:rPr>
      </w:pPr>
      <w:r w:rsidRPr="00405303">
        <w:rPr>
          <w:bCs/>
          <w:color w:val="002060"/>
          <w:sz w:val="16"/>
          <w:szCs w:val="16"/>
        </w:rPr>
        <w:t xml:space="preserve">21 августа </w:t>
      </w:r>
      <w:r w:rsidR="002D54FF" w:rsidRPr="00405303">
        <w:rPr>
          <w:bCs/>
          <w:color w:val="002060"/>
          <w:sz w:val="16"/>
          <w:szCs w:val="16"/>
        </w:rPr>
        <w:t xml:space="preserve">(3 сентября) </w:t>
      </w:r>
      <w:r w:rsidRPr="00405303">
        <w:rPr>
          <w:bCs/>
          <w:color w:val="002060"/>
          <w:sz w:val="16"/>
          <w:szCs w:val="16"/>
        </w:rPr>
        <w:t>в 1915 году под ударами русского Балтфлота немецкая эскадра отступает из Финского залива (14995).</w:t>
      </w:r>
    </w:p>
    <w:p w14:paraId="7C7E734B" w14:textId="77777777" w:rsidR="00476F03" w:rsidRPr="00405303" w:rsidRDefault="00476F03" w:rsidP="00C15251">
      <w:pPr>
        <w:jc w:val="both"/>
        <w:rPr>
          <w:bCs/>
          <w:color w:val="002060"/>
          <w:sz w:val="16"/>
          <w:szCs w:val="16"/>
        </w:rPr>
      </w:pPr>
    </w:p>
    <w:p w14:paraId="1A19EC8D" w14:textId="32E59B24" w:rsidR="00476F03" w:rsidRPr="00405303" w:rsidRDefault="00476F03" w:rsidP="00C15251">
      <w:pPr>
        <w:jc w:val="both"/>
        <w:rPr>
          <w:bCs/>
          <w:color w:val="002060"/>
          <w:sz w:val="16"/>
          <w:szCs w:val="16"/>
        </w:rPr>
      </w:pPr>
      <w:r w:rsidRPr="00405303">
        <w:rPr>
          <w:bCs/>
          <w:color w:val="002060"/>
          <w:sz w:val="16"/>
          <w:szCs w:val="16"/>
        </w:rPr>
        <w:t xml:space="preserve">21 августа </w:t>
      </w:r>
      <w:r w:rsidR="002D54FF" w:rsidRPr="00405303">
        <w:rPr>
          <w:bCs/>
          <w:color w:val="002060"/>
          <w:sz w:val="16"/>
          <w:szCs w:val="16"/>
        </w:rPr>
        <w:t xml:space="preserve">(3 сентября) </w:t>
      </w:r>
      <w:r w:rsidRPr="00405303">
        <w:rPr>
          <w:bCs/>
          <w:color w:val="002060"/>
          <w:sz w:val="16"/>
          <w:szCs w:val="16"/>
        </w:rPr>
        <w:t>в 1915 году завершилась Моонзундская операция (14995).</w:t>
      </w:r>
    </w:p>
    <w:p w14:paraId="6F948AB4" w14:textId="77777777" w:rsidR="00476F03" w:rsidRPr="00405303" w:rsidRDefault="00476F03" w:rsidP="00C15251">
      <w:pPr>
        <w:jc w:val="both"/>
        <w:rPr>
          <w:bCs/>
          <w:color w:val="002060"/>
          <w:sz w:val="16"/>
          <w:szCs w:val="16"/>
        </w:rPr>
      </w:pPr>
    </w:p>
    <w:p w14:paraId="60792F4D" w14:textId="223BE867" w:rsidR="00935431" w:rsidRPr="00405303" w:rsidRDefault="00935431" w:rsidP="00C15251">
      <w:pPr>
        <w:jc w:val="both"/>
        <w:rPr>
          <w:bCs/>
          <w:color w:val="002060"/>
          <w:sz w:val="16"/>
          <w:szCs w:val="16"/>
        </w:rPr>
      </w:pPr>
      <w:r w:rsidRPr="00405303">
        <w:rPr>
          <w:bCs/>
          <w:color w:val="002060"/>
          <w:sz w:val="16"/>
          <w:szCs w:val="16"/>
        </w:rPr>
        <w:t>21 августа (3 сентября) 1915 г. был отдан приказ об эвакуации крепости Брест-Литовск и взрыве отдельных ее укреплений. В ночь с 25 на 26 августа форты и опорные пункты 1-й и 2-й линии обороны на северо-восточной, восточной и юго-восточной сторонах крепости были взорваны до основания, остальные частично. Орудия, наиболее необходимые боеприпасы и имущество вывезены в глубокий тыл. Остальное имущество, деревянные крепостные постройки были сожжены, мосты взорваны. 26 августа немецкие и австро-венгерские войска вошли в город и разрушенную крепость. Одна из мощных цитаделей России досталась им практически без боя (23405).</w:t>
      </w:r>
    </w:p>
    <w:p w14:paraId="24187AEF" w14:textId="77777777" w:rsidR="00935431" w:rsidRPr="00405303" w:rsidRDefault="00935431" w:rsidP="00C15251">
      <w:pPr>
        <w:jc w:val="both"/>
        <w:rPr>
          <w:bCs/>
          <w:color w:val="002060"/>
          <w:sz w:val="16"/>
          <w:szCs w:val="16"/>
          <w:lang w:bidi="ru-RU"/>
        </w:rPr>
      </w:pPr>
    </w:p>
    <w:p w14:paraId="3AAD512D" w14:textId="727AE4ED" w:rsidR="00735E6F" w:rsidRPr="00405303" w:rsidRDefault="00735E6F" w:rsidP="00C15251">
      <w:pPr>
        <w:jc w:val="both"/>
        <w:rPr>
          <w:bCs/>
          <w:i/>
          <w:color w:val="002060"/>
          <w:sz w:val="16"/>
          <w:szCs w:val="16"/>
        </w:rPr>
      </w:pPr>
      <w:r w:rsidRPr="00405303">
        <w:rPr>
          <w:bCs/>
          <w:i/>
          <w:color w:val="002060"/>
          <w:sz w:val="16"/>
          <w:szCs w:val="16"/>
        </w:rPr>
        <w:t>Авиация и воздухоплавание Германии:</w:t>
      </w:r>
    </w:p>
    <w:p w14:paraId="26100B1C" w14:textId="77777777" w:rsidR="00735E6F" w:rsidRPr="00405303" w:rsidRDefault="00735E6F" w:rsidP="00C15251">
      <w:pPr>
        <w:jc w:val="both"/>
        <w:rPr>
          <w:bCs/>
          <w:i/>
          <w:color w:val="002060"/>
          <w:sz w:val="16"/>
          <w:szCs w:val="16"/>
        </w:rPr>
      </w:pPr>
    </w:p>
    <w:p w14:paraId="1AC5C938" w14:textId="77777777" w:rsidR="00735E6F" w:rsidRPr="00405303" w:rsidRDefault="00735E6F" w:rsidP="00C15251">
      <w:pPr>
        <w:jc w:val="both"/>
        <w:rPr>
          <w:bCs/>
          <w:color w:val="002060"/>
          <w:sz w:val="16"/>
          <w:szCs w:val="16"/>
        </w:rPr>
      </w:pPr>
      <w:r w:rsidRPr="00405303">
        <w:rPr>
          <w:bCs/>
          <w:color w:val="002060"/>
          <w:sz w:val="16"/>
          <w:szCs w:val="16"/>
        </w:rPr>
        <w:t>21-22 августа (3–4 сентября (ночь)) 1915 четыре дирижабля имперского флота Германии пытаются бомбить Англию. Один из них, L 10, поражен молнией и разбивается в Северном море недалеко от Нойверка, Германия, с потерей всего экипажа из 20 человек (29338).</w:t>
      </w:r>
    </w:p>
    <w:p w14:paraId="30C51ED8" w14:textId="77777777" w:rsidR="00735E6F" w:rsidRPr="00405303" w:rsidRDefault="00735E6F" w:rsidP="00C15251">
      <w:pPr>
        <w:jc w:val="both"/>
        <w:rPr>
          <w:bCs/>
          <w:color w:val="002060"/>
          <w:sz w:val="16"/>
          <w:szCs w:val="16"/>
        </w:rPr>
      </w:pPr>
    </w:p>
    <w:p w14:paraId="3099FF0C" w14:textId="77777777" w:rsidR="00476F03" w:rsidRPr="00405303" w:rsidRDefault="00476F03" w:rsidP="00C15251">
      <w:pPr>
        <w:jc w:val="both"/>
        <w:rPr>
          <w:bCs/>
          <w:i/>
          <w:color w:val="002060"/>
          <w:sz w:val="16"/>
          <w:szCs w:val="16"/>
        </w:rPr>
      </w:pPr>
      <w:r w:rsidRPr="00405303">
        <w:rPr>
          <w:bCs/>
          <w:i/>
          <w:color w:val="002060"/>
          <w:sz w:val="16"/>
          <w:szCs w:val="16"/>
        </w:rPr>
        <w:t>За рубежом:</w:t>
      </w:r>
    </w:p>
    <w:p w14:paraId="1EDA3951" w14:textId="77777777" w:rsidR="00476F03" w:rsidRPr="00405303" w:rsidRDefault="00476F03" w:rsidP="00C15251">
      <w:pPr>
        <w:jc w:val="both"/>
        <w:rPr>
          <w:bCs/>
          <w:color w:val="002060"/>
          <w:sz w:val="16"/>
          <w:szCs w:val="16"/>
        </w:rPr>
      </w:pPr>
    </w:p>
    <w:p w14:paraId="34D5969E" w14:textId="1480555F" w:rsidR="00476F03" w:rsidRPr="00405303" w:rsidRDefault="00476F03" w:rsidP="00C15251">
      <w:pPr>
        <w:jc w:val="both"/>
        <w:rPr>
          <w:bCs/>
          <w:color w:val="002060"/>
          <w:sz w:val="16"/>
          <w:szCs w:val="16"/>
        </w:rPr>
      </w:pPr>
      <w:r w:rsidRPr="00405303">
        <w:rPr>
          <w:bCs/>
          <w:color w:val="002060"/>
          <w:sz w:val="16"/>
          <w:szCs w:val="16"/>
        </w:rPr>
        <w:t xml:space="preserve">21 августа </w:t>
      </w:r>
      <w:r w:rsidR="002D54FF" w:rsidRPr="00405303">
        <w:rPr>
          <w:bCs/>
          <w:color w:val="002060"/>
          <w:sz w:val="16"/>
          <w:szCs w:val="16"/>
        </w:rPr>
        <w:t xml:space="preserve">(3 сентября) </w:t>
      </w:r>
      <w:r w:rsidRPr="00405303">
        <w:rPr>
          <w:bCs/>
          <w:color w:val="002060"/>
          <w:sz w:val="16"/>
          <w:szCs w:val="16"/>
        </w:rPr>
        <w:t>в 1915 году в тумане исчезает батальон английских солдат (145 человек) недалеко от Дарданелл (Турция). Больше их никто никогда не увидит (14995).</w:t>
      </w:r>
    </w:p>
    <w:p w14:paraId="00FFFC1A" w14:textId="77777777" w:rsidR="00476F03" w:rsidRPr="00405303" w:rsidRDefault="00476F03" w:rsidP="00C15251">
      <w:pPr>
        <w:jc w:val="both"/>
        <w:rPr>
          <w:bCs/>
          <w:color w:val="002060"/>
          <w:sz w:val="16"/>
          <w:szCs w:val="16"/>
        </w:rPr>
      </w:pPr>
    </w:p>
    <w:p w14:paraId="3C68B124" w14:textId="10C42D34" w:rsidR="002D54FF" w:rsidRPr="00405303" w:rsidRDefault="002D54FF" w:rsidP="00C15251">
      <w:pPr>
        <w:jc w:val="both"/>
        <w:rPr>
          <w:bCs/>
          <w:color w:val="002060"/>
          <w:sz w:val="16"/>
          <w:szCs w:val="16"/>
        </w:rPr>
      </w:pPr>
      <w:r w:rsidRPr="00405303">
        <w:rPr>
          <w:rStyle w:val="ucoz-forum-post"/>
          <w:rFonts w:eastAsiaTheme="majorEastAsia"/>
          <w:bCs/>
          <w:color w:val="002060"/>
          <w:sz w:val="16"/>
          <w:szCs w:val="16"/>
        </w:rPr>
        <w:t xml:space="preserve">21 августа (3 сентября) </w:t>
      </w:r>
      <w:r w:rsidRPr="00405303">
        <w:rPr>
          <w:bCs/>
          <w:color w:val="002060"/>
          <w:sz w:val="16"/>
          <w:szCs w:val="16"/>
        </w:rPr>
        <w:t>в 1915 году в австрийской армии создан полк украинских сечовых стрельцов (14758).</w:t>
      </w:r>
    </w:p>
    <w:p w14:paraId="17608D6B" w14:textId="77777777" w:rsidR="002D54FF" w:rsidRPr="00405303" w:rsidRDefault="002D54FF" w:rsidP="00C15251">
      <w:pPr>
        <w:jc w:val="both"/>
        <w:rPr>
          <w:bCs/>
          <w:color w:val="002060"/>
          <w:sz w:val="16"/>
          <w:szCs w:val="16"/>
        </w:rPr>
      </w:pPr>
    </w:p>
    <w:p w14:paraId="2B4986CE" w14:textId="41E66E4C" w:rsidR="005D69B1" w:rsidRPr="00405303" w:rsidRDefault="005D69B1" w:rsidP="005D69B1">
      <w:pPr>
        <w:jc w:val="both"/>
        <w:rPr>
          <w:bCs/>
          <w:i/>
          <w:color w:val="002060"/>
          <w:sz w:val="16"/>
          <w:szCs w:val="16"/>
        </w:rPr>
      </w:pPr>
      <w:r w:rsidRPr="00405303">
        <w:rPr>
          <w:bCs/>
          <w:i/>
          <w:color w:val="002060"/>
          <w:sz w:val="16"/>
          <w:szCs w:val="16"/>
        </w:rPr>
        <w:t>Авиация:</w:t>
      </w:r>
    </w:p>
    <w:p w14:paraId="3EC56866" w14:textId="77777777" w:rsidR="005D69B1" w:rsidRPr="00405303" w:rsidRDefault="005D69B1" w:rsidP="005D69B1">
      <w:pPr>
        <w:jc w:val="both"/>
        <w:rPr>
          <w:bCs/>
          <w:i/>
          <w:color w:val="002060"/>
          <w:sz w:val="16"/>
          <w:szCs w:val="16"/>
        </w:rPr>
      </w:pPr>
    </w:p>
    <w:p w14:paraId="70C028D9" w14:textId="77777777" w:rsidR="005D69B1" w:rsidRPr="00405303" w:rsidRDefault="005D69B1" w:rsidP="005D69B1">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22 августа (4 сентября 1915 года Приказом ВГК за № 737 было утверждено положение и временный штат на военное время Дружины с последующим включением ее в состав 6-й армии.</w:t>
      </w:r>
    </w:p>
    <w:p w14:paraId="16EBFA28" w14:textId="77777777" w:rsidR="005D69B1" w:rsidRPr="00405303" w:rsidRDefault="005D69B1" w:rsidP="005D69B1">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Чтобы обеспечить хоть какую-нибудь воздушную защиту столицы в частном порядке (на личные средства генерал-адъютанта графа А.Д. Шереметева) создается авиационно</w:t>
      </w:r>
      <w:r w:rsidRPr="00405303">
        <w:rPr>
          <w:rStyle w:val="aa"/>
          <w:rFonts w:ascii="Times New Roman" w:hAnsi="Times New Roman"/>
          <w:color w:val="0070C0"/>
          <w:spacing w:val="0"/>
          <w:sz w:val="16"/>
          <w:szCs w:val="16"/>
        </w:rPr>
        <w:softHyphen/>
        <w:t>автомобильная дружина (ААД). Ее появление вытекало из решения Совета всероссийского аэроклуба (1911 г.) об организации в России «вольных воздухоплавательных дружин», по примеру уже существовавших автомобильных аналогов. Подобные дружины на период войны могли выступать резервом ВВФ, в распоряжении Верховного главнокомандующего. Однако сам проект не нашел должной поддержки ни в военном, ни в морском ведомствах. В результате ААД стала продуктом патриотического порыва одного из царских сановников.</w:t>
      </w:r>
    </w:p>
    <w:p w14:paraId="75E8849A" w14:textId="77777777" w:rsidR="005D69B1" w:rsidRPr="00405303" w:rsidRDefault="005D69B1" w:rsidP="005D69B1">
      <w:pPr>
        <w:jc w:val="both"/>
        <w:rPr>
          <w:color w:val="0070C0"/>
          <w:sz w:val="16"/>
          <w:szCs w:val="16"/>
        </w:rPr>
      </w:pPr>
      <w:r w:rsidRPr="00405303">
        <w:rPr>
          <w:rStyle w:val="aa"/>
          <w:rFonts w:ascii="Times New Roman" w:hAnsi="Times New Roman"/>
          <w:color w:val="0070C0"/>
          <w:spacing w:val="0"/>
          <w:sz w:val="16"/>
          <w:szCs w:val="16"/>
        </w:rPr>
        <w:t>Несвоевременные поставки военной техники привели к тому, что основные работы по ее формированию начались лишь в 1916 году. Дружина организовывалась «для содействия в борьбе с воздушным противником при обороне Петрограда, несения разведывательной службы в армии и бомбометания». Штат ее авиационного отряда (командир - подпоручик Х.Н. Семененко-Славороссов) составлял девять авиаторов и десять летательных аппаратов. Местом базирования ААД был выбран участок земли на юго-западной окраине столицы: от Петергофского шоссе до южного берега залива (близ местечка Ульянино).</w:t>
      </w:r>
    </w:p>
    <w:p w14:paraId="7434115C" w14:textId="77777777" w:rsidR="005D69B1" w:rsidRPr="00405303" w:rsidRDefault="005D69B1" w:rsidP="005D69B1">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Рассматривая возможность организации ведения дальней разведки и противоборства с неприятельским ВВФ, руководство Дружины неоднократно обращалось в вышестоящие инстанции о необходимости увеличения штата авиаотряда, замене самолетного парка на самолеты-истребители (из резерва Главного военно-технического управления (ГВТУ)) и вооружение их пулеметами. Однако по причине срыва французскими и английскими фирмами поставок самолетов и авиамоторов формирование авиационного отряда Дружины постоянно затягивалось. Возникли проблемы и с включением ААД в состав ВВФ действующей армии. По мнению его руководителя великого князя адмирала Александра Михайловича, «[она] нарушила бы стройность и единство организации авиационных частей» (25166).</w:t>
      </w:r>
    </w:p>
    <w:p w14:paraId="0C8AFBB9" w14:textId="77777777" w:rsidR="005D69B1" w:rsidRPr="00405303" w:rsidRDefault="005D69B1" w:rsidP="005D69B1">
      <w:pPr>
        <w:jc w:val="both"/>
        <w:rPr>
          <w:rStyle w:val="aa"/>
          <w:rFonts w:ascii="Times New Roman" w:hAnsi="Times New Roman"/>
          <w:color w:val="0070C0"/>
          <w:spacing w:val="0"/>
          <w:sz w:val="16"/>
          <w:szCs w:val="16"/>
        </w:rPr>
      </w:pPr>
    </w:p>
    <w:p w14:paraId="7777169B"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2EAB3C1C" w14:textId="77777777" w:rsidR="004B4E35" w:rsidRPr="00405303" w:rsidRDefault="004B4E35" w:rsidP="00C15251">
      <w:pPr>
        <w:jc w:val="both"/>
        <w:rPr>
          <w:bCs/>
          <w:i/>
          <w:color w:val="002060"/>
          <w:sz w:val="16"/>
          <w:szCs w:val="16"/>
        </w:rPr>
      </w:pPr>
    </w:p>
    <w:p w14:paraId="7A2DD0AA" w14:textId="73B21C47" w:rsidR="004B4E35" w:rsidRPr="00405303" w:rsidRDefault="002D54FF" w:rsidP="00C15251">
      <w:pPr>
        <w:shd w:val="clear" w:color="auto" w:fill="FFFFFF"/>
        <w:jc w:val="both"/>
        <w:rPr>
          <w:bCs/>
          <w:color w:val="002060"/>
          <w:sz w:val="16"/>
          <w:szCs w:val="16"/>
        </w:rPr>
      </w:pPr>
      <w:r w:rsidRPr="00405303">
        <w:rPr>
          <w:bCs/>
          <w:color w:val="002060"/>
          <w:sz w:val="16"/>
          <w:szCs w:val="16"/>
        </w:rPr>
        <w:t xml:space="preserve">22 </w:t>
      </w:r>
      <w:r w:rsidR="00476F03" w:rsidRPr="00405303">
        <w:rPr>
          <w:bCs/>
          <w:color w:val="002060"/>
          <w:sz w:val="16"/>
          <w:szCs w:val="16"/>
        </w:rPr>
        <w:t xml:space="preserve">августа </w:t>
      </w:r>
      <w:r w:rsidR="009E6F82" w:rsidRPr="00405303">
        <w:rPr>
          <w:bCs/>
          <w:color w:val="002060"/>
          <w:sz w:val="16"/>
          <w:szCs w:val="16"/>
        </w:rPr>
        <w:t>(</w:t>
      </w:r>
      <w:r w:rsidRPr="00405303">
        <w:rPr>
          <w:bCs/>
          <w:color w:val="002060"/>
          <w:sz w:val="16"/>
          <w:szCs w:val="16"/>
        </w:rPr>
        <w:t>4</w:t>
      </w:r>
      <w:r w:rsidR="009E6F82" w:rsidRPr="00405303">
        <w:rPr>
          <w:bCs/>
          <w:color w:val="002060"/>
          <w:sz w:val="16"/>
          <w:szCs w:val="16"/>
        </w:rPr>
        <w:t xml:space="preserve"> сентября) 1915 капитан 2 р. Б. П. Дудоров, начальник авиационного отдела Службы связи Балтийского моря, в свою очередь поддержал план создания </w:t>
      </w:r>
      <w:r w:rsidRPr="00405303">
        <w:rPr>
          <w:bCs/>
          <w:color w:val="002060"/>
          <w:sz w:val="16"/>
          <w:szCs w:val="16"/>
        </w:rPr>
        <w:t>новой лодки ПРТВ</w:t>
      </w:r>
      <w:r w:rsidR="009E6F82" w:rsidRPr="00405303">
        <w:rPr>
          <w:bCs/>
          <w:color w:val="002060"/>
          <w:sz w:val="16"/>
          <w:szCs w:val="16"/>
        </w:rPr>
        <w:t>, но высказался против выдачи денег «на авось». Вместо них он полагал целесообразным снабдить фирму — в кредит и под расписку, двумя моторами требуемой мощности (2807).</w:t>
      </w:r>
    </w:p>
    <w:p w14:paraId="4AAB096F" w14:textId="77777777" w:rsidR="004B4E35" w:rsidRPr="00405303" w:rsidRDefault="004B4E35" w:rsidP="00C15251">
      <w:pPr>
        <w:shd w:val="clear" w:color="auto" w:fill="FFFFFF"/>
        <w:jc w:val="both"/>
        <w:rPr>
          <w:bCs/>
          <w:color w:val="002060"/>
          <w:sz w:val="16"/>
          <w:szCs w:val="16"/>
        </w:rPr>
      </w:pPr>
    </w:p>
    <w:p w14:paraId="5864B745" w14:textId="77777777" w:rsidR="002D54FF" w:rsidRPr="00405303" w:rsidRDefault="002D54FF" w:rsidP="00C15251">
      <w:pPr>
        <w:jc w:val="both"/>
        <w:rPr>
          <w:bCs/>
          <w:i/>
          <w:color w:val="002060"/>
          <w:sz w:val="16"/>
          <w:szCs w:val="16"/>
        </w:rPr>
      </w:pPr>
      <w:r w:rsidRPr="00405303">
        <w:rPr>
          <w:bCs/>
          <w:i/>
          <w:color w:val="002060"/>
          <w:sz w:val="16"/>
          <w:szCs w:val="16"/>
        </w:rPr>
        <w:t>Армия:</w:t>
      </w:r>
    </w:p>
    <w:p w14:paraId="2AD7BC64" w14:textId="77777777" w:rsidR="002D54FF" w:rsidRPr="00405303" w:rsidRDefault="002D54FF" w:rsidP="00C15251">
      <w:pPr>
        <w:jc w:val="both"/>
        <w:rPr>
          <w:bCs/>
          <w:i/>
          <w:color w:val="002060"/>
          <w:sz w:val="16"/>
          <w:szCs w:val="16"/>
        </w:rPr>
      </w:pPr>
    </w:p>
    <w:p w14:paraId="1E95D4F2" w14:textId="4F0C5CC2" w:rsidR="00476F03" w:rsidRPr="00405303" w:rsidRDefault="00476F03" w:rsidP="00C15251">
      <w:pPr>
        <w:jc w:val="both"/>
        <w:rPr>
          <w:bCs/>
          <w:color w:val="002060"/>
          <w:sz w:val="16"/>
          <w:szCs w:val="16"/>
        </w:rPr>
      </w:pPr>
      <w:r w:rsidRPr="00405303">
        <w:rPr>
          <w:bCs/>
          <w:color w:val="002060"/>
          <w:sz w:val="16"/>
          <w:szCs w:val="16"/>
        </w:rPr>
        <w:t xml:space="preserve">22 августа </w:t>
      </w:r>
      <w:r w:rsidR="002D54FF" w:rsidRPr="00405303">
        <w:rPr>
          <w:bCs/>
          <w:color w:val="002060"/>
          <w:sz w:val="16"/>
          <w:szCs w:val="16"/>
        </w:rPr>
        <w:t xml:space="preserve">(4 сентября) </w:t>
      </w:r>
      <w:r w:rsidRPr="00405303">
        <w:rPr>
          <w:bCs/>
          <w:color w:val="002060"/>
          <w:sz w:val="16"/>
          <w:szCs w:val="16"/>
        </w:rPr>
        <w:t>в 1915 году австрийская армия захватывает Ковель (14990).</w:t>
      </w:r>
    </w:p>
    <w:p w14:paraId="751717C9" w14:textId="77777777" w:rsidR="00476F03" w:rsidRPr="00405303" w:rsidRDefault="00476F03" w:rsidP="00C15251">
      <w:pPr>
        <w:jc w:val="both"/>
        <w:rPr>
          <w:bCs/>
          <w:color w:val="002060"/>
          <w:sz w:val="16"/>
          <w:szCs w:val="16"/>
        </w:rPr>
      </w:pPr>
    </w:p>
    <w:p w14:paraId="3E6EE672" w14:textId="076C8DA0" w:rsidR="007031D6" w:rsidRPr="00405303" w:rsidRDefault="007031D6" w:rsidP="00C15251">
      <w:pPr>
        <w:jc w:val="both"/>
        <w:rPr>
          <w:bCs/>
          <w:color w:val="002060"/>
          <w:sz w:val="16"/>
          <w:szCs w:val="16"/>
        </w:rPr>
      </w:pPr>
      <w:r w:rsidRPr="00405303">
        <w:rPr>
          <w:rStyle w:val="ucoz-forum-post"/>
          <w:rFonts w:eastAsiaTheme="majorEastAsia"/>
          <w:bCs/>
          <w:color w:val="002060"/>
          <w:sz w:val="16"/>
          <w:szCs w:val="16"/>
        </w:rPr>
        <w:t xml:space="preserve">22 августа (4 сентября) </w:t>
      </w:r>
      <w:r w:rsidRPr="00405303">
        <w:rPr>
          <w:bCs/>
          <w:color w:val="002060"/>
          <w:sz w:val="16"/>
          <w:szCs w:val="16"/>
        </w:rPr>
        <w:t>в 1915 году император Николай II принял верховное командование войсками в первой мировой войне (14759).</w:t>
      </w:r>
    </w:p>
    <w:p w14:paraId="3F8B7C21" w14:textId="77777777" w:rsidR="007031D6" w:rsidRPr="00405303" w:rsidRDefault="007031D6" w:rsidP="00C15251">
      <w:pPr>
        <w:jc w:val="both"/>
        <w:rPr>
          <w:bCs/>
          <w:color w:val="002060"/>
          <w:sz w:val="16"/>
          <w:szCs w:val="16"/>
        </w:rPr>
      </w:pPr>
    </w:p>
    <w:p w14:paraId="2142B388" w14:textId="3F51A75E" w:rsidR="00174C66" w:rsidRPr="00405303" w:rsidRDefault="00174C66" w:rsidP="00C15251">
      <w:pPr>
        <w:shd w:val="clear" w:color="auto" w:fill="FFFFFF"/>
        <w:jc w:val="both"/>
        <w:rPr>
          <w:bCs/>
          <w:i/>
          <w:color w:val="002060"/>
          <w:sz w:val="16"/>
          <w:szCs w:val="16"/>
        </w:rPr>
      </w:pPr>
      <w:r w:rsidRPr="00405303">
        <w:rPr>
          <w:bCs/>
          <w:i/>
          <w:color w:val="002060"/>
          <w:sz w:val="16"/>
          <w:szCs w:val="16"/>
        </w:rPr>
        <w:t>Жизнь и внутренняя политика:</w:t>
      </w:r>
    </w:p>
    <w:p w14:paraId="49F244C7" w14:textId="77777777" w:rsidR="00174C66" w:rsidRPr="00405303" w:rsidRDefault="00174C66" w:rsidP="00C15251">
      <w:pPr>
        <w:shd w:val="clear" w:color="auto" w:fill="FFFFFF"/>
        <w:jc w:val="both"/>
        <w:rPr>
          <w:bCs/>
          <w:i/>
          <w:color w:val="002060"/>
          <w:sz w:val="16"/>
          <w:szCs w:val="16"/>
        </w:rPr>
      </w:pPr>
    </w:p>
    <w:p w14:paraId="6E456F57" w14:textId="55B2CC93" w:rsidR="00174C66" w:rsidRPr="00405303" w:rsidRDefault="00174C66" w:rsidP="00C15251">
      <w:pPr>
        <w:jc w:val="both"/>
        <w:rPr>
          <w:bCs/>
          <w:color w:val="002060"/>
          <w:sz w:val="16"/>
          <w:szCs w:val="16"/>
          <w:lang w:bidi="en-US"/>
        </w:rPr>
      </w:pPr>
      <w:r w:rsidRPr="00405303">
        <w:rPr>
          <w:bCs/>
          <w:color w:val="002060"/>
          <w:sz w:val="16"/>
          <w:szCs w:val="16"/>
          <w:lang w:bidi="en-US"/>
        </w:rPr>
        <w:t>22 августа (4 сентября) 1915 г. в Петрограде большинством в две трети депутатов Государственной Думы сформировался Прогрессивный блок, выдвинувший требования о предоставлении права вето на все министерские решения: назначения, освобождение политических заключенных, права евреев и меньшинств, призыв к более парламентскому правительству. В ответ царь прервал Думу и уехал в Ставку в Могилеве. В конце сентября он уволил тех министров, которые выступали против его решения взять на себя военное командование, что только усугубило нарастающий внутриполитический и экономический кризис (23525).</w:t>
      </w:r>
    </w:p>
    <w:p w14:paraId="78CD4FC4" w14:textId="77777777" w:rsidR="00174C66" w:rsidRPr="00405303" w:rsidRDefault="00174C66" w:rsidP="00C15251">
      <w:pPr>
        <w:jc w:val="both"/>
        <w:rPr>
          <w:bCs/>
          <w:color w:val="002060"/>
          <w:sz w:val="16"/>
          <w:szCs w:val="16"/>
        </w:rPr>
      </w:pPr>
    </w:p>
    <w:p w14:paraId="11F86BFD" w14:textId="16EE2AF2" w:rsidR="00476F03" w:rsidRPr="00405303" w:rsidRDefault="00476F03" w:rsidP="00C15251">
      <w:pPr>
        <w:shd w:val="clear" w:color="auto" w:fill="FFFFFF"/>
        <w:jc w:val="both"/>
        <w:rPr>
          <w:bCs/>
          <w:i/>
          <w:color w:val="002060"/>
          <w:sz w:val="16"/>
          <w:szCs w:val="16"/>
        </w:rPr>
      </w:pPr>
      <w:r w:rsidRPr="00405303">
        <w:rPr>
          <w:bCs/>
          <w:i/>
          <w:color w:val="002060"/>
          <w:sz w:val="16"/>
          <w:szCs w:val="16"/>
        </w:rPr>
        <w:t>Самолетостроение:</w:t>
      </w:r>
    </w:p>
    <w:p w14:paraId="02538708" w14:textId="77777777" w:rsidR="00476F03" w:rsidRPr="00405303" w:rsidRDefault="00476F03" w:rsidP="00C15251">
      <w:pPr>
        <w:shd w:val="clear" w:color="auto" w:fill="FFFFFF"/>
        <w:jc w:val="both"/>
        <w:rPr>
          <w:bCs/>
          <w:i/>
          <w:color w:val="002060"/>
          <w:sz w:val="16"/>
          <w:szCs w:val="16"/>
        </w:rPr>
      </w:pPr>
    </w:p>
    <w:p w14:paraId="596FE145" w14:textId="24371CDB" w:rsidR="00476F03" w:rsidRPr="00405303" w:rsidRDefault="00476F03" w:rsidP="00C15251">
      <w:pPr>
        <w:shd w:val="clear" w:color="auto" w:fill="FFFFFF"/>
        <w:jc w:val="both"/>
        <w:rPr>
          <w:bCs/>
          <w:color w:val="002060"/>
          <w:sz w:val="16"/>
          <w:szCs w:val="16"/>
        </w:rPr>
      </w:pPr>
      <w:r w:rsidRPr="00405303">
        <w:rPr>
          <w:bCs/>
          <w:color w:val="002060"/>
          <w:sz w:val="16"/>
          <w:szCs w:val="16"/>
        </w:rPr>
        <w:t>23 августа (</w:t>
      </w:r>
      <w:r w:rsidR="00D50BEC" w:rsidRPr="00405303">
        <w:rPr>
          <w:bCs/>
          <w:color w:val="002060"/>
          <w:sz w:val="16"/>
          <w:szCs w:val="16"/>
        </w:rPr>
        <w:t>5</w:t>
      </w:r>
      <w:r w:rsidRPr="00405303">
        <w:rPr>
          <w:bCs/>
          <w:color w:val="002060"/>
          <w:sz w:val="16"/>
          <w:szCs w:val="16"/>
        </w:rPr>
        <w:t xml:space="preserve"> сентября) 1915 Из рапорта старшего лейтенанта Стаховского: «Аппараты Щети</w:t>
      </w:r>
      <w:r w:rsidRPr="00405303">
        <w:rPr>
          <w:bCs/>
          <w:color w:val="002060"/>
          <w:sz w:val="16"/>
          <w:szCs w:val="16"/>
        </w:rPr>
        <w:softHyphen/>
        <w:t>нина (летающие лодки М-5 Д. П. Григоровича) зарекомендовали себя отлично ... Имеющиеся аппараты Кертиса и один Моран для боевых целей не пригодны и могут быть использованы лишь как учебные» (1137).</w:t>
      </w:r>
    </w:p>
    <w:p w14:paraId="34220A15" w14:textId="77777777" w:rsidR="00476F03" w:rsidRPr="00405303" w:rsidRDefault="00476F03" w:rsidP="00C15251">
      <w:pPr>
        <w:shd w:val="clear" w:color="auto" w:fill="FFFFFF"/>
        <w:jc w:val="both"/>
        <w:rPr>
          <w:bCs/>
          <w:color w:val="002060"/>
          <w:sz w:val="16"/>
          <w:szCs w:val="16"/>
        </w:rPr>
      </w:pPr>
    </w:p>
    <w:p w14:paraId="0D4CC8A8" w14:textId="70ACA422" w:rsidR="00F363E5" w:rsidRPr="00405303" w:rsidRDefault="00F363E5" w:rsidP="00C15251">
      <w:pPr>
        <w:shd w:val="clear" w:color="auto" w:fill="FFFFFF"/>
        <w:jc w:val="both"/>
        <w:rPr>
          <w:bCs/>
          <w:i/>
          <w:color w:val="002060"/>
          <w:sz w:val="16"/>
          <w:szCs w:val="16"/>
        </w:rPr>
      </w:pPr>
      <w:r w:rsidRPr="00405303">
        <w:rPr>
          <w:bCs/>
          <w:i/>
          <w:color w:val="002060"/>
          <w:sz w:val="16"/>
          <w:szCs w:val="16"/>
        </w:rPr>
        <w:t>Авиация:</w:t>
      </w:r>
    </w:p>
    <w:p w14:paraId="55BA7C11" w14:textId="77777777" w:rsidR="00F363E5" w:rsidRPr="00405303" w:rsidRDefault="00F363E5" w:rsidP="00C15251">
      <w:pPr>
        <w:shd w:val="clear" w:color="auto" w:fill="FFFFFF"/>
        <w:jc w:val="both"/>
        <w:rPr>
          <w:bCs/>
          <w:i/>
          <w:color w:val="002060"/>
          <w:sz w:val="16"/>
          <w:szCs w:val="16"/>
        </w:rPr>
      </w:pPr>
    </w:p>
    <w:p w14:paraId="3438290A" w14:textId="77777777" w:rsidR="00F363E5" w:rsidRPr="00405303" w:rsidRDefault="00F363E5" w:rsidP="00C15251">
      <w:pPr>
        <w:jc w:val="both"/>
        <w:rPr>
          <w:bCs/>
          <w:color w:val="002060"/>
          <w:sz w:val="16"/>
          <w:szCs w:val="16"/>
        </w:rPr>
      </w:pPr>
      <w:r w:rsidRPr="00405303">
        <w:rPr>
          <w:bCs/>
          <w:color w:val="002060"/>
          <w:sz w:val="16"/>
          <w:szCs w:val="16"/>
        </w:rPr>
        <w:lastRenderedPageBreak/>
        <w:t>23 августа (5 сентября) 1915 г. приказом ВГК № 737 сформирована авиационно-автомобильная дружина для «содействия в борьбе с воздушным противником цри обороне Петрограда, несения разведывательной службы в армии и бомбометания. Дружина состояла из двух отрядов: авиационного и авто</w:t>
      </w:r>
      <w:r w:rsidRPr="00405303">
        <w:rPr>
          <w:bCs/>
          <w:color w:val="002060"/>
          <w:sz w:val="16"/>
          <w:szCs w:val="16"/>
        </w:rPr>
        <w:softHyphen/>
        <w:t>мобильного. Авиационный отряд сформирован из восьми действующих и двух запасных самолетов при восьми летчиках и командире отряда. Дружина была сформирована на средства генерала, графа А.Д.Шереметева, почему и называлась часто "Шереметевской". Подчинялась она начальнику штаба 6—й армии.</w:t>
      </w:r>
    </w:p>
    <w:p w14:paraId="698B2B37" w14:textId="77777777" w:rsidR="00F363E5" w:rsidRPr="00405303" w:rsidRDefault="00F363E5" w:rsidP="00C15251">
      <w:pPr>
        <w:jc w:val="both"/>
        <w:rPr>
          <w:bCs/>
          <w:color w:val="002060"/>
          <w:sz w:val="16"/>
          <w:szCs w:val="16"/>
        </w:rPr>
      </w:pPr>
      <w:r w:rsidRPr="00405303">
        <w:rPr>
          <w:bCs/>
          <w:color w:val="002060"/>
          <w:sz w:val="16"/>
          <w:szCs w:val="16"/>
        </w:rPr>
        <w:t>/ЦГВИА, ф. 2003, оп. 1, д. 619, Л. 21/ (23320).</w:t>
      </w:r>
    </w:p>
    <w:p w14:paraId="1B05BADE" w14:textId="77777777" w:rsidR="00F363E5" w:rsidRPr="00405303" w:rsidRDefault="00F363E5" w:rsidP="00C15251">
      <w:pPr>
        <w:jc w:val="both"/>
        <w:rPr>
          <w:bCs/>
          <w:color w:val="002060"/>
          <w:sz w:val="16"/>
          <w:szCs w:val="16"/>
        </w:rPr>
      </w:pPr>
    </w:p>
    <w:p w14:paraId="2951A1A3" w14:textId="2F7B7815" w:rsidR="00935431" w:rsidRPr="00405303" w:rsidRDefault="00935431" w:rsidP="00C15251">
      <w:pPr>
        <w:jc w:val="both"/>
        <w:rPr>
          <w:bCs/>
          <w:color w:val="002060"/>
          <w:sz w:val="16"/>
          <w:szCs w:val="16"/>
        </w:rPr>
      </w:pPr>
      <w:r w:rsidRPr="00405303">
        <w:rPr>
          <w:bCs/>
          <w:color w:val="002060"/>
          <w:sz w:val="16"/>
          <w:szCs w:val="16"/>
        </w:rPr>
        <w:t>23 августа (5 сентября) 1915 свой налет на город Брест-Литовск совершил цеппелин LZ-79, разрушив при бомбометании железнодорожную станцию и три жилых дома. Сохранились воспоминания об этом налете одного из членов экипажа дирижабля: «В этот момент ярко освещенные ж.-д. сооружения Брест- Литовска были под нами, в городе горели скудные огни. У русских была полная тишина. „Вниз - легкую бомбу!“ Блеск ее взрыва ярко выделился на фоне местного освещения, удар пришелся верно. Затем одна за другой были сброшены 12 бомб по 100 кг каждая. Глухое сотрясение корабля свидетельствовало о том, что они взорвались. Огни на земле потухли, и заработали прожекторы; русские искали нас: ими был открыт огонь, слабый и недействительный».</w:t>
      </w:r>
    </w:p>
    <w:p w14:paraId="3BB2AB67" w14:textId="77777777" w:rsidR="00935431" w:rsidRPr="00405303" w:rsidRDefault="00935431" w:rsidP="00C15251">
      <w:pPr>
        <w:jc w:val="both"/>
        <w:rPr>
          <w:bCs/>
          <w:color w:val="002060"/>
          <w:sz w:val="16"/>
          <w:szCs w:val="16"/>
        </w:rPr>
      </w:pPr>
      <w:r w:rsidRPr="00405303">
        <w:rPr>
          <w:bCs/>
          <w:color w:val="002060"/>
          <w:sz w:val="16"/>
          <w:szCs w:val="16"/>
        </w:rPr>
        <w:t>Действиям ВВФ Германии активно мешали летчики Брест- Литовского КАО, а также крепостная артиллерия, открывавшая шквальный зенитный огонь при каждом появлении над крепостью противника. В одном из разведывательных полетов над Брест- Литовском нашим пулеметным огнем был сбит немецкий аэроплан «Альбатрос» (64 АО), пилотируемый германским летчиком графом Хольком. В качестве наблюдателя с ним летел будущий летчик-ас, легенда Первой мировой войны барон М. фон Рихтхофен. Лишь посадка на территории, занятой германскими войсками, спасла обоих авиаторов от неминуемого плена. Сам Рихтхофен признал тот факт, что «нет ничего хуже, как совершить вынужденную посадку на чужой территории, особенно в России. Русские ненавидели летчиков, и если они их ловили, то убивали». Похоже, провидение хранило жизнь немецкого аса. Ему будет суждено погибнуть через три года в небе Франции (23405).</w:t>
      </w:r>
    </w:p>
    <w:p w14:paraId="5066694E" w14:textId="77777777" w:rsidR="00935431" w:rsidRPr="00405303" w:rsidRDefault="00935431" w:rsidP="00C15251">
      <w:pPr>
        <w:jc w:val="both"/>
        <w:rPr>
          <w:bCs/>
          <w:color w:val="002060"/>
          <w:sz w:val="16"/>
          <w:szCs w:val="16"/>
        </w:rPr>
      </w:pPr>
    </w:p>
    <w:p w14:paraId="70401FE3" w14:textId="77777777" w:rsidR="00CF64B9" w:rsidRPr="00405303" w:rsidRDefault="00CF64B9" w:rsidP="00C15251">
      <w:pPr>
        <w:shd w:val="clear" w:color="auto" w:fill="FFFFFF"/>
        <w:jc w:val="both"/>
        <w:rPr>
          <w:bCs/>
          <w:i/>
          <w:color w:val="002060"/>
          <w:sz w:val="16"/>
          <w:szCs w:val="16"/>
        </w:rPr>
      </w:pPr>
      <w:r w:rsidRPr="00405303">
        <w:rPr>
          <w:bCs/>
          <w:i/>
          <w:color w:val="002060"/>
          <w:sz w:val="16"/>
          <w:szCs w:val="16"/>
        </w:rPr>
        <w:t>Армия:</w:t>
      </w:r>
    </w:p>
    <w:p w14:paraId="67143A54" w14:textId="77777777" w:rsidR="00CF64B9" w:rsidRPr="00405303" w:rsidRDefault="00CF64B9" w:rsidP="00C15251">
      <w:pPr>
        <w:shd w:val="clear" w:color="auto" w:fill="FFFFFF"/>
        <w:jc w:val="both"/>
        <w:rPr>
          <w:bCs/>
          <w:i/>
          <w:color w:val="002060"/>
          <w:sz w:val="16"/>
          <w:szCs w:val="16"/>
        </w:rPr>
      </w:pPr>
    </w:p>
    <w:p w14:paraId="5AE60543" w14:textId="77777777" w:rsidR="00D50BEC" w:rsidRPr="00405303" w:rsidRDefault="00D50BEC" w:rsidP="00C15251">
      <w:pPr>
        <w:shd w:val="clear" w:color="auto" w:fill="FFFFFF"/>
        <w:jc w:val="both"/>
        <w:rPr>
          <w:bCs/>
          <w:color w:val="002060"/>
          <w:sz w:val="16"/>
          <w:szCs w:val="16"/>
        </w:rPr>
      </w:pPr>
      <w:r w:rsidRPr="00405303">
        <w:rPr>
          <w:bCs/>
          <w:color w:val="002060"/>
          <w:sz w:val="16"/>
          <w:szCs w:val="16"/>
        </w:rPr>
        <w:t>23 августа (5 сентября) 1915 года соизволивший «принять на себя предводительство все</w:t>
      </w:r>
      <w:r w:rsidRPr="00405303">
        <w:rPr>
          <w:bCs/>
          <w:color w:val="002060"/>
          <w:sz w:val="16"/>
          <w:szCs w:val="16"/>
        </w:rPr>
        <w:softHyphen/>
        <w:t>ми Сухопутными и Морскими вооруженными силами, находя</w:t>
      </w:r>
      <w:r w:rsidRPr="00405303">
        <w:rPr>
          <w:bCs/>
          <w:color w:val="002060"/>
          <w:sz w:val="16"/>
          <w:szCs w:val="16"/>
        </w:rPr>
        <w:softHyphen/>
        <w:t>щимися на театрах военных действий» император Николай II «с твердой верой в милость Божью и с неколебимой уверенно</w:t>
      </w:r>
      <w:r w:rsidRPr="00405303">
        <w:rPr>
          <w:bCs/>
          <w:color w:val="002060"/>
          <w:sz w:val="16"/>
          <w:szCs w:val="16"/>
        </w:rPr>
        <w:softHyphen/>
        <w:t>стью в конечной победе» приступил к исполнению святого долга по защите Родины. Однако непосредственное руководство стра</w:t>
      </w:r>
      <w:r w:rsidRPr="00405303">
        <w:rPr>
          <w:bCs/>
          <w:color w:val="002060"/>
          <w:sz w:val="16"/>
          <w:szCs w:val="16"/>
        </w:rPr>
        <w:softHyphen/>
        <w:t>тегическими операциями тотчас поручил ставшему начальни</w:t>
      </w:r>
      <w:r w:rsidRPr="00405303">
        <w:rPr>
          <w:bCs/>
          <w:color w:val="002060"/>
          <w:sz w:val="16"/>
          <w:szCs w:val="16"/>
        </w:rPr>
        <w:softHyphen/>
        <w:t>ком штаба Ставки Верховного Главнокомандующего генера</w:t>
      </w:r>
      <w:r w:rsidRPr="00405303">
        <w:rPr>
          <w:bCs/>
          <w:color w:val="002060"/>
          <w:sz w:val="16"/>
          <w:szCs w:val="16"/>
        </w:rPr>
        <w:softHyphen/>
        <w:t>лу от инфантерии М. Алексееву, бывшему главнокомандующему Северо-Западным фронтом. Кроме того, император вскоре повелел своему шурину вели</w:t>
      </w:r>
      <w:r w:rsidRPr="00405303">
        <w:rPr>
          <w:bCs/>
          <w:color w:val="002060"/>
          <w:sz w:val="16"/>
          <w:szCs w:val="16"/>
        </w:rPr>
        <w:softHyphen/>
        <w:t>кому князю вице-адмиралу А. Романову «иметь общее наблю</w:t>
      </w:r>
      <w:r w:rsidRPr="00405303">
        <w:rPr>
          <w:bCs/>
          <w:color w:val="002060"/>
          <w:sz w:val="16"/>
          <w:szCs w:val="16"/>
        </w:rPr>
        <w:softHyphen/>
        <w:t>дение за авиацией Балтийского флота» и ускорить становле</w:t>
      </w:r>
      <w:r w:rsidRPr="00405303">
        <w:rPr>
          <w:bCs/>
          <w:color w:val="002060"/>
          <w:sz w:val="16"/>
          <w:szCs w:val="16"/>
        </w:rPr>
        <w:softHyphen/>
        <w:t>ние ее боевой силой. По ходатайству последнего, военный министр распорядился передать создаваемой крепостной авиа</w:t>
      </w:r>
      <w:r w:rsidRPr="00405303">
        <w:rPr>
          <w:bCs/>
          <w:color w:val="002060"/>
          <w:sz w:val="16"/>
          <w:szCs w:val="16"/>
        </w:rPr>
        <w:softHyphen/>
        <w:t>ционной части 19 аэропланов «М. Фарман», которые армейс</w:t>
      </w:r>
      <w:r w:rsidRPr="00405303">
        <w:rPr>
          <w:bCs/>
          <w:color w:val="002060"/>
          <w:sz w:val="16"/>
          <w:szCs w:val="16"/>
        </w:rPr>
        <w:softHyphen/>
        <w:t>кие отряды уже не использовали. Столичный авиазавод Лебе</w:t>
      </w:r>
      <w:r w:rsidRPr="00405303">
        <w:rPr>
          <w:bCs/>
          <w:color w:val="002060"/>
          <w:sz w:val="16"/>
          <w:szCs w:val="16"/>
        </w:rPr>
        <w:softHyphen/>
        <w:t>дева брался довольно быстро отремонтировать и установить их на поплавки (11283).</w:t>
      </w:r>
    </w:p>
    <w:p w14:paraId="4564CE6E" w14:textId="77777777" w:rsidR="00D50BEC" w:rsidRPr="00405303" w:rsidRDefault="00D50BEC" w:rsidP="00C15251">
      <w:pPr>
        <w:jc w:val="both"/>
        <w:rPr>
          <w:bCs/>
          <w:color w:val="002060"/>
          <w:sz w:val="16"/>
          <w:szCs w:val="16"/>
        </w:rPr>
      </w:pPr>
    </w:p>
    <w:p w14:paraId="4471C274" w14:textId="77777777" w:rsidR="00D50BEC" w:rsidRPr="00405303" w:rsidRDefault="00D50BEC" w:rsidP="00C15251">
      <w:pPr>
        <w:jc w:val="both"/>
        <w:rPr>
          <w:bCs/>
          <w:color w:val="002060"/>
          <w:sz w:val="16"/>
          <w:szCs w:val="16"/>
        </w:rPr>
      </w:pPr>
      <w:r w:rsidRPr="00405303">
        <w:rPr>
          <w:bCs/>
          <w:color w:val="002060"/>
          <w:sz w:val="16"/>
          <w:szCs w:val="16"/>
        </w:rPr>
        <w:t>23 августа (5 сентября) в 1915 году Николай II прибыл в Могилев в ставку русской армии и принял на себя обязанности главнокомандующего (14991).</w:t>
      </w:r>
    </w:p>
    <w:p w14:paraId="5B3DC32A" w14:textId="77777777" w:rsidR="00D50BEC" w:rsidRPr="00405303" w:rsidRDefault="00D50BEC" w:rsidP="00C15251">
      <w:pPr>
        <w:jc w:val="both"/>
        <w:rPr>
          <w:bCs/>
          <w:color w:val="002060"/>
          <w:sz w:val="16"/>
          <w:szCs w:val="16"/>
        </w:rPr>
      </w:pPr>
    </w:p>
    <w:p w14:paraId="44C9AF40" w14:textId="14D0D57B" w:rsidR="007031D6" w:rsidRPr="00405303" w:rsidRDefault="007031D6" w:rsidP="00C15251">
      <w:pPr>
        <w:jc w:val="both"/>
        <w:rPr>
          <w:bCs/>
          <w:color w:val="002060"/>
          <w:sz w:val="16"/>
          <w:szCs w:val="16"/>
        </w:rPr>
      </w:pPr>
      <w:r w:rsidRPr="00405303">
        <w:rPr>
          <w:bCs/>
          <w:color w:val="002060"/>
          <w:sz w:val="16"/>
          <w:szCs w:val="16"/>
        </w:rPr>
        <w:t>23 августа (5 сентября) в 1915 году после летних военных неудач император Николай II прибывает в Ставку в Могилев, отстраняет с должности Верховного главнокомандующего своего дядю великого князя Николая Николаевича и сам занимает этот пост (14760).</w:t>
      </w:r>
    </w:p>
    <w:p w14:paraId="0854F64E" w14:textId="77777777" w:rsidR="007031D6" w:rsidRPr="00405303" w:rsidRDefault="007031D6" w:rsidP="00C15251">
      <w:pPr>
        <w:jc w:val="both"/>
        <w:rPr>
          <w:bCs/>
          <w:color w:val="002060"/>
          <w:sz w:val="16"/>
          <w:szCs w:val="16"/>
        </w:rPr>
      </w:pPr>
    </w:p>
    <w:p w14:paraId="6AD89F5B" w14:textId="64A099EA" w:rsidR="00CF64B9" w:rsidRPr="00405303" w:rsidRDefault="00CF64B9" w:rsidP="00C15251">
      <w:pPr>
        <w:jc w:val="both"/>
        <w:rPr>
          <w:bCs/>
          <w:color w:val="002060"/>
          <w:sz w:val="16"/>
          <w:szCs w:val="16"/>
        </w:rPr>
      </w:pPr>
      <w:r w:rsidRPr="00405303">
        <w:rPr>
          <w:bCs/>
          <w:color w:val="002060"/>
          <w:sz w:val="16"/>
          <w:szCs w:val="16"/>
        </w:rPr>
        <w:t xml:space="preserve">23 августа </w:t>
      </w:r>
      <w:r w:rsidR="00D50BEC" w:rsidRPr="00405303">
        <w:rPr>
          <w:bCs/>
          <w:color w:val="002060"/>
          <w:sz w:val="16"/>
          <w:szCs w:val="16"/>
        </w:rPr>
        <w:t xml:space="preserve">(5 сентября) </w:t>
      </w:r>
      <w:r w:rsidRPr="00405303">
        <w:rPr>
          <w:bCs/>
          <w:color w:val="002060"/>
          <w:sz w:val="16"/>
          <w:szCs w:val="16"/>
        </w:rPr>
        <w:t>1915 г. 25-й автопулеметный взвод под командованием Былинского был отправлен в 5-ю армию на Северный фронт.</w:t>
      </w:r>
    </w:p>
    <w:p w14:paraId="13665748" w14:textId="77777777" w:rsidR="00CF64B9" w:rsidRPr="00405303" w:rsidRDefault="00CF64B9" w:rsidP="00C15251">
      <w:pPr>
        <w:jc w:val="both"/>
        <w:rPr>
          <w:bCs/>
          <w:color w:val="002060"/>
          <w:sz w:val="16"/>
          <w:szCs w:val="16"/>
        </w:rPr>
      </w:pPr>
      <w:r w:rsidRPr="00405303">
        <w:rPr>
          <w:bCs/>
          <w:color w:val="002060"/>
          <w:sz w:val="16"/>
          <w:szCs w:val="16"/>
        </w:rPr>
        <w:t xml:space="preserve">По приказу начальника Штаба Верховного Главнокомандующего от 7 июня 1916 г. </w:t>
      </w:r>
      <w:proofErr w:type="gramStart"/>
      <w:r w:rsidRPr="00405303">
        <w:rPr>
          <w:bCs/>
          <w:color w:val="002060"/>
          <w:sz w:val="16"/>
          <w:szCs w:val="16"/>
        </w:rPr>
        <w:t>пуле-метные</w:t>
      </w:r>
      <w:proofErr w:type="gramEnd"/>
      <w:r w:rsidRPr="00405303">
        <w:rPr>
          <w:bCs/>
          <w:color w:val="002060"/>
          <w:sz w:val="16"/>
          <w:szCs w:val="16"/>
        </w:rPr>
        <w:t xml:space="preserve"> автомобильные взводы были объеди-нены в броневые автомобильные дивизионы из расчета один дивизион на армию. При этом взвод переименовывался в отделение. На Кавказском фронте была сохранена взводная организация бронеавтомобильных частей. На 1 сентября 1916 г. в России действовали 12 </w:t>
      </w:r>
      <w:proofErr w:type="gramStart"/>
      <w:r w:rsidRPr="00405303">
        <w:rPr>
          <w:bCs/>
          <w:color w:val="002060"/>
          <w:sz w:val="16"/>
          <w:szCs w:val="16"/>
        </w:rPr>
        <w:t>ли-нейных</w:t>
      </w:r>
      <w:proofErr w:type="gramEnd"/>
      <w:r w:rsidRPr="00405303">
        <w:rPr>
          <w:bCs/>
          <w:color w:val="002060"/>
          <w:sz w:val="16"/>
          <w:szCs w:val="16"/>
        </w:rPr>
        <w:t xml:space="preserve"> броневых автомобильных дивизионов Русской армии, а также бельгийский и </w:t>
      </w:r>
      <w:proofErr w:type="gramStart"/>
      <w:r w:rsidRPr="00405303">
        <w:rPr>
          <w:bCs/>
          <w:color w:val="002060"/>
          <w:sz w:val="16"/>
          <w:szCs w:val="16"/>
        </w:rPr>
        <w:t>бри-танский</w:t>
      </w:r>
      <w:proofErr w:type="gramEnd"/>
      <w:r w:rsidRPr="00405303">
        <w:rPr>
          <w:bCs/>
          <w:color w:val="002060"/>
          <w:sz w:val="16"/>
          <w:szCs w:val="16"/>
        </w:rPr>
        <w:t xml:space="preserve"> бронедивизионы; в Петрограде </w:t>
      </w:r>
      <w:proofErr w:type="gramStart"/>
      <w:r w:rsidRPr="00405303">
        <w:rPr>
          <w:bCs/>
          <w:color w:val="002060"/>
          <w:sz w:val="16"/>
          <w:szCs w:val="16"/>
        </w:rPr>
        <w:t>рас-полагался</w:t>
      </w:r>
      <w:proofErr w:type="gramEnd"/>
      <w:r w:rsidRPr="00405303">
        <w:rPr>
          <w:bCs/>
          <w:color w:val="002060"/>
          <w:sz w:val="16"/>
          <w:szCs w:val="16"/>
        </w:rPr>
        <w:t xml:space="preserve"> Запасной бронедивизион. В начале 1917 г. к ним добавился дивизион особого </w:t>
      </w:r>
      <w:proofErr w:type="gramStart"/>
      <w:r w:rsidRPr="00405303">
        <w:rPr>
          <w:bCs/>
          <w:color w:val="002060"/>
          <w:sz w:val="16"/>
          <w:szCs w:val="16"/>
        </w:rPr>
        <w:t>на-значения</w:t>
      </w:r>
      <w:proofErr w:type="gramEnd"/>
      <w:r w:rsidRPr="00405303">
        <w:rPr>
          <w:bCs/>
          <w:color w:val="002060"/>
          <w:sz w:val="16"/>
          <w:szCs w:val="16"/>
        </w:rPr>
        <w:t>. Бронеавтомобили получили весьма широкое распространение в Русской армии. До октября 1917 г. организация подразделений, тактика боевого использования и количество бронеавтомобилей во многом превосходили показатели армий других стран.</w:t>
      </w:r>
    </w:p>
    <w:p w14:paraId="582F0F7D" w14:textId="77777777" w:rsidR="00CF64B9" w:rsidRPr="00405303" w:rsidRDefault="00CF64B9" w:rsidP="00C15251">
      <w:pPr>
        <w:jc w:val="both"/>
        <w:rPr>
          <w:bCs/>
          <w:color w:val="002060"/>
          <w:sz w:val="16"/>
          <w:szCs w:val="16"/>
        </w:rPr>
      </w:pPr>
      <w:r w:rsidRPr="00405303">
        <w:rPr>
          <w:bCs/>
          <w:color w:val="002060"/>
          <w:sz w:val="16"/>
          <w:szCs w:val="16"/>
        </w:rPr>
        <w:t xml:space="preserve">Что касается немцев, то только 27 октября 1914 г., когда 1-я автомобильная пулеметная рота Русской армии уже прибыла на фронт, военное министерство Пруссии обязало Транспортно-техническую испытательную </w:t>
      </w:r>
      <w:proofErr w:type="gramStart"/>
      <w:r w:rsidRPr="00405303">
        <w:rPr>
          <w:bCs/>
          <w:color w:val="002060"/>
          <w:sz w:val="16"/>
          <w:szCs w:val="16"/>
        </w:rPr>
        <w:t>ко-миссию</w:t>
      </w:r>
      <w:proofErr w:type="gramEnd"/>
      <w:r w:rsidRPr="00405303">
        <w:rPr>
          <w:bCs/>
          <w:color w:val="002060"/>
          <w:sz w:val="16"/>
          <w:szCs w:val="16"/>
        </w:rPr>
        <w:t xml:space="preserve"> разработать план мероприятий по </w:t>
      </w:r>
      <w:proofErr w:type="gramStart"/>
      <w:r w:rsidRPr="00405303">
        <w:rPr>
          <w:bCs/>
          <w:color w:val="002060"/>
          <w:sz w:val="16"/>
          <w:szCs w:val="16"/>
        </w:rPr>
        <w:t>по-стройке</w:t>
      </w:r>
      <w:proofErr w:type="gramEnd"/>
      <w:r w:rsidRPr="00405303">
        <w:rPr>
          <w:bCs/>
          <w:color w:val="002060"/>
          <w:sz w:val="16"/>
          <w:szCs w:val="16"/>
        </w:rPr>
        <w:t xml:space="preserve"> бронеавтомобилей и формированию броневых частей. К этому подключили также Оржейную испытательную комиссию и Отдел «А2» (Отдел инфантерии). 3 ноября </w:t>
      </w:r>
      <w:proofErr w:type="gramStart"/>
      <w:r w:rsidRPr="00405303">
        <w:rPr>
          <w:bCs/>
          <w:color w:val="002060"/>
          <w:sz w:val="16"/>
          <w:szCs w:val="16"/>
        </w:rPr>
        <w:t>совместны-ми</w:t>
      </w:r>
      <w:proofErr w:type="gramEnd"/>
      <w:r w:rsidRPr="00405303">
        <w:rPr>
          <w:bCs/>
          <w:color w:val="002060"/>
          <w:sz w:val="16"/>
          <w:szCs w:val="16"/>
        </w:rPr>
        <w:t xml:space="preserve"> усилиями были сформулированы состоящие из 16 пунктов требования к бронеавтомобилям. После их одобрения военным министерством на заводах «Бюссинг», «Даймлер» и «Эрхардт» разместили заказ на изготовление трех бро-нированных машин (12256).</w:t>
      </w:r>
    </w:p>
    <w:p w14:paraId="2072204E" w14:textId="77777777" w:rsidR="00CF64B9" w:rsidRPr="00405303" w:rsidRDefault="00CF64B9" w:rsidP="00C15251">
      <w:pPr>
        <w:jc w:val="both"/>
        <w:rPr>
          <w:bCs/>
          <w:color w:val="002060"/>
          <w:sz w:val="16"/>
          <w:szCs w:val="16"/>
        </w:rPr>
      </w:pPr>
    </w:p>
    <w:p w14:paraId="7E49F5EF"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766CD864" w14:textId="77777777" w:rsidR="004B4E35" w:rsidRPr="00405303" w:rsidRDefault="004B4E35" w:rsidP="00C15251">
      <w:pPr>
        <w:shd w:val="clear" w:color="auto" w:fill="FFFFFF"/>
        <w:jc w:val="both"/>
        <w:rPr>
          <w:bCs/>
          <w:i/>
          <w:color w:val="002060"/>
          <w:sz w:val="16"/>
          <w:szCs w:val="16"/>
        </w:rPr>
      </w:pPr>
    </w:p>
    <w:p w14:paraId="48B67D39" w14:textId="77777777" w:rsidR="004B4E35" w:rsidRPr="00405303" w:rsidRDefault="009E6F82" w:rsidP="00C15251">
      <w:pPr>
        <w:jc w:val="both"/>
        <w:rPr>
          <w:bCs/>
          <w:color w:val="002060"/>
          <w:sz w:val="16"/>
          <w:szCs w:val="16"/>
        </w:rPr>
      </w:pPr>
      <w:r w:rsidRPr="00405303">
        <w:rPr>
          <w:bCs/>
          <w:color w:val="002060"/>
          <w:sz w:val="16"/>
          <w:szCs w:val="16"/>
        </w:rPr>
        <w:t>23-29 августа (5-11 сентября) 1915 - С необычайной силой разгорелись воздушные нападения на Англию.</w:t>
      </w:r>
    </w:p>
    <w:p w14:paraId="1BEEC827" w14:textId="77777777" w:rsidR="004B4E35" w:rsidRPr="00405303" w:rsidRDefault="009E6F82" w:rsidP="00C15251">
      <w:pPr>
        <w:jc w:val="both"/>
        <w:rPr>
          <w:bCs/>
          <w:color w:val="002060"/>
          <w:sz w:val="16"/>
          <w:szCs w:val="16"/>
        </w:rPr>
      </w:pPr>
      <w:r w:rsidRPr="00405303">
        <w:rPr>
          <w:bCs/>
          <w:color w:val="002060"/>
          <w:sz w:val="16"/>
          <w:szCs w:val="16"/>
        </w:rPr>
        <w:t>6 сентября - Немецкие цеппелины совершили нападение на город Люневиль в базарный день. Погйбло 41 человек и 50 человек было ранено.</w:t>
      </w:r>
    </w:p>
    <w:p w14:paraId="32814ED8" w14:textId="77777777" w:rsidR="004B4E35" w:rsidRPr="00405303" w:rsidRDefault="009E6F82" w:rsidP="00C15251">
      <w:pPr>
        <w:jc w:val="both"/>
        <w:rPr>
          <w:bCs/>
          <w:color w:val="002060"/>
          <w:sz w:val="16"/>
          <w:szCs w:val="16"/>
        </w:rPr>
      </w:pPr>
      <w:r w:rsidRPr="00405303">
        <w:rPr>
          <w:bCs/>
          <w:color w:val="002060"/>
          <w:sz w:val="16"/>
          <w:szCs w:val="16"/>
        </w:rPr>
        <w:t>7 сентября - В ночь цеппелин прорвался в Лондонский Сити и сбросил бомбы. Начался большой пожар - 30 раненых, 18 убитых, из них шестеро детей.</w:t>
      </w:r>
    </w:p>
    <w:p w14:paraId="25BA83AB" w14:textId="77777777" w:rsidR="004B4E35" w:rsidRPr="00405303" w:rsidRDefault="009E6F82" w:rsidP="00C15251">
      <w:pPr>
        <w:jc w:val="both"/>
        <w:rPr>
          <w:bCs/>
          <w:color w:val="002060"/>
          <w:sz w:val="16"/>
          <w:szCs w:val="16"/>
        </w:rPr>
      </w:pPr>
      <w:r w:rsidRPr="00405303">
        <w:rPr>
          <w:bCs/>
          <w:color w:val="002060"/>
          <w:sz w:val="16"/>
          <w:szCs w:val="16"/>
        </w:rPr>
        <w:t xml:space="preserve">8 сентября - В ночь цеппелин произвел бомбардировку Холборна и Блумбери. Было разбито 2 автобуса и погибло 22 </w:t>
      </w:r>
      <w:proofErr w:type="gramStart"/>
      <w:r w:rsidRPr="00405303">
        <w:rPr>
          <w:bCs/>
          <w:color w:val="002060"/>
          <w:sz w:val="16"/>
          <w:szCs w:val="16"/>
        </w:rPr>
        <w:t>человека .</w:t>
      </w:r>
      <w:proofErr w:type="gramEnd"/>
    </w:p>
    <w:p w14:paraId="7F5A10BB" w14:textId="77777777" w:rsidR="004B4E35" w:rsidRPr="00405303" w:rsidRDefault="009E6F82" w:rsidP="00C15251">
      <w:pPr>
        <w:jc w:val="both"/>
        <w:rPr>
          <w:bCs/>
          <w:color w:val="002060"/>
          <w:sz w:val="16"/>
          <w:szCs w:val="16"/>
        </w:rPr>
      </w:pPr>
      <w:r w:rsidRPr="00405303">
        <w:rPr>
          <w:bCs/>
          <w:color w:val="002060"/>
          <w:sz w:val="16"/>
          <w:szCs w:val="16"/>
        </w:rPr>
        <w:t>Лондонцы требовали создания мощной противовоздушной обороны. Полковник Ролинсон был послан в Париж, где генерал Пелле, начальник французского генерального штаба, согласился поставить Англии 75-ти мм автоматические пушки на подвижных бронированных платформах. Пушки были доставлены в Лондон в течение 2-х следующих дней. Тут же было заказано еще 30 таких орудий. Начальником ПВО Лондона был назначен герцог Майкл, праправнук Екатерины Великой. Орудия ПВО были расставлены вокруг Лондона, что весьма затрудняло проникновение к столице сначала цеппелинов, а затем и самолетов. Каждый расчет ПВО имел свое имя. Один назывался "Молния", другой "Нож в сердце", третий - "Счастливчик" и т. д. (11999).</w:t>
      </w:r>
    </w:p>
    <w:p w14:paraId="3D40DF6D" w14:textId="77777777" w:rsidR="004B4E35" w:rsidRPr="00405303" w:rsidRDefault="004B4E35" w:rsidP="00C15251">
      <w:pPr>
        <w:jc w:val="both"/>
        <w:rPr>
          <w:bCs/>
          <w:color w:val="002060"/>
          <w:sz w:val="16"/>
          <w:szCs w:val="16"/>
        </w:rPr>
      </w:pPr>
    </w:p>
    <w:p w14:paraId="6368849A" w14:textId="728965F4" w:rsidR="00762929" w:rsidRPr="00405303" w:rsidRDefault="00762929" w:rsidP="00C15251">
      <w:pPr>
        <w:jc w:val="both"/>
        <w:rPr>
          <w:bCs/>
          <w:i/>
          <w:color w:val="002060"/>
          <w:sz w:val="16"/>
          <w:szCs w:val="16"/>
        </w:rPr>
      </w:pPr>
      <w:r w:rsidRPr="00405303">
        <w:rPr>
          <w:bCs/>
          <w:i/>
          <w:color w:val="002060"/>
          <w:sz w:val="16"/>
          <w:szCs w:val="16"/>
        </w:rPr>
        <w:t>Самолетостроение:</w:t>
      </w:r>
    </w:p>
    <w:p w14:paraId="3BB3F3FE" w14:textId="77777777" w:rsidR="00762929" w:rsidRPr="00405303" w:rsidRDefault="00762929" w:rsidP="00C15251">
      <w:pPr>
        <w:jc w:val="both"/>
        <w:rPr>
          <w:bCs/>
          <w:i/>
          <w:color w:val="002060"/>
          <w:sz w:val="16"/>
          <w:szCs w:val="16"/>
        </w:rPr>
      </w:pPr>
    </w:p>
    <w:p w14:paraId="2B7A2E16" w14:textId="77777777" w:rsidR="00762929" w:rsidRPr="00405303" w:rsidRDefault="00762929" w:rsidP="00C15251">
      <w:pPr>
        <w:jc w:val="both"/>
        <w:rPr>
          <w:bCs/>
          <w:color w:val="002060"/>
          <w:sz w:val="16"/>
          <w:szCs w:val="16"/>
        </w:rPr>
      </w:pPr>
      <w:r w:rsidRPr="00405303">
        <w:rPr>
          <w:bCs/>
          <w:color w:val="002060"/>
          <w:sz w:val="16"/>
          <w:szCs w:val="16"/>
        </w:rPr>
        <w:t xml:space="preserve">24 августа (6 сентября) 1915 г. ГВТУ ГШ выдало расширенный контракт на поставку 18 готовых С-16 без моторов и винтов по цене 9 500 руб. и 21 полного и неполного комплекта агрегатов и деталей за 7 300 и 4 500 руб., соответственно. Первые три самолета надо было сдать к 4 октября 1915 г., следующие четыре и семь комплектов — к 4 ноября, и последние 11 готовых и 14 комплектов — к 4 декабря 1915 г. При этом Сикорский должен был исправить чертежи по результатам испытаний и заменить ставшие дефицитом материалы — латунь и ввозимую из США орегонскую сосну. Он это делал впопыхах, конструкцию не пересчитывая, но все равно опоздал. А тут пришла новая вводная — немецкие и австрийские аэропланы стали атаковать «Муромцы», и если поначалу те успешно отбивались своими многочисленными пулеметами, то появившиеся на фронте истребители уже стали представлять для них угрозу (22826). </w:t>
      </w:r>
    </w:p>
    <w:p w14:paraId="0946D22B" w14:textId="77777777" w:rsidR="00762929" w:rsidRPr="00405303" w:rsidRDefault="00762929" w:rsidP="00C15251">
      <w:pPr>
        <w:jc w:val="both"/>
        <w:rPr>
          <w:bCs/>
          <w:color w:val="002060"/>
          <w:sz w:val="16"/>
          <w:szCs w:val="16"/>
        </w:rPr>
      </w:pPr>
    </w:p>
    <w:p w14:paraId="6B460F70" w14:textId="4FB49086" w:rsidR="00935431" w:rsidRPr="00405303" w:rsidRDefault="00935431" w:rsidP="00C15251">
      <w:pPr>
        <w:jc w:val="both"/>
        <w:rPr>
          <w:bCs/>
          <w:color w:val="002060"/>
          <w:sz w:val="16"/>
          <w:szCs w:val="16"/>
        </w:rPr>
      </w:pPr>
      <w:r w:rsidRPr="00405303">
        <w:rPr>
          <w:bCs/>
          <w:color w:val="002060"/>
          <w:sz w:val="16"/>
          <w:szCs w:val="16"/>
        </w:rPr>
        <w:t xml:space="preserve">24 августа (6 сентября) 1915 г. Главное военно-техническое управление Генерального штаба (ГВТУ ГШ) выдало РБВЗ расширенный контракт на поставку 18 серийных самолетов С-16 в готовом виде без моторов и винтов по цене 9500 руб. (но они должны были поставляться ГВТУ и устанавливаться на самолет силами работников РБВЗ) и 21 самолето-комплекта в двух вариантах (полный комплекты агрегатов без моторов, на которых не выполнена сборка и регулировка, или комплект основных деталей по цене 7300 и 4500 руб. соответственно). Все расходы на сдачу и тару, а также восстановление самолетов в случае поломки при ПСИ и </w:t>
      </w:r>
      <w:r w:rsidRPr="00405303">
        <w:rPr>
          <w:bCs/>
          <w:color w:val="002060"/>
          <w:sz w:val="16"/>
          <w:szCs w:val="16"/>
        </w:rPr>
        <w:lastRenderedPageBreak/>
        <w:t>транспортировке заказчику возлагались на РБВЗ, который получал задаток в объеме 50% от общей сметы в равных долях на приобретение материалов и развертывание серийного производства.</w:t>
      </w:r>
    </w:p>
    <w:p w14:paraId="79CB37FE" w14:textId="77777777" w:rsidR="00935431" w:rsidRPr="00405303" w:rsidRDefault="00935431" w:rsidP="00C15251">
      <w:pPr>
        <w:jc w:val="both"/>
        <w:rPr>
          <w:bCs/>
          <w:color w:val="002060"/>
          <w:sz w:val="16"/>
          <w:szCs w:val="16"/>
        </w:rPr>
      </w:pPr>
      <w:r w:rsidRPr="00405303">
        <w:rPr>
          <w:bCs/>
          <w:color w:val="002060"/>
          <w:sz w:val="16"/>
          <w:szCs w:val="16"/>
        </w:rPr>
        <w:t>Был намечен график сдачи самолетов:</w:t>
      </w:r>
    </w:p>
    <w:p w14:paraId="042FF24E" w14:textId="77777777" w:rsidR="00935431" w:rsidRPr="00405303" w:rsidRDefault="00935431" w:rsidP="00C15251">
      <w:pPr>
        <w:jc w:val="both"/>
        <w:rPr>
          <w:bCs/>
          <w:color w:val="002060"/>
          <w:sz w:val="16"/>
          <w:szCs w:val="16"/>
        </w:rPr>
      </w:pPr>
      <w:r w:rsidRPr="00405303">
        <w:rPr>
          <w:bCs/>
          <w:color w:val="002060"/>
          <w:sz w:val="16"/>
          <w:szCs w:val="16"/>
        </w:rPr>
        <w:t>- первые 3 готовых самолета к 4 октября 1915 г.;</w:t>
      </w:r>
    </w:p>
    <w:p w14:paraId="3E6F4485" w14:textId="77777777" w:rsidR="00935431" w:rsidRPr="00405303" w:rsidRDefault="00935431" w:rsidP="00C15251">
      <w:pPr>
        <w:jc w:val="both"/>
        <w:rPr>
          <w:bCs/>
          <w:color w:val="002060"/>
          <w:sz w:val="16"/>
          <w:szCs w:val="16"/>
        </w:rPr>
      </w:pPr>
      <w:r w:rsidRPr="00405303">
        <w:rPr>
          <w:bCs/>
          <w:color w:val="002060"/>
          <w:sz w:val="16"/>
          <w:szCs w:val="16"/>
        </w:rPr>
        <w:t>- 4 готовых самолета и 7 самолето-комплектов к 4 ноября 1915 г.;</w:t>
      </w:r>
    </w:p>
    <w:p w14:paraId="4DA48645" w14:textId="77777777" w:rsidR="00935431" w:rsidRPr="00405303" w:rsidRDefault="00935431" w:rsidP="00C15251">
      <w:pPr>
        <w:jc w:val="both"/>
        <w:rPr>
          <w:bCs/>
          <w:color w:val="002060"/>
          <w:sz w:val="16"/>
          <w:szCs w:val="16"/>
        </w:rPr>
      </w:pPr>
      <w:r w:rsidRPr="00405303">
        <w:rPr>
          <w:bCs/>
          <w:color w:val="002060"/>
          <w:sz w:val="16"/>
          <w:szCs w:val="16"/>
        </w:rPr>
        <w:t>- 11 готовых самолетов и 14 самолето-комплектов к 4 декабря 1915 г.</w:t>
      </w:r>
    </w:p>
    <w:p w14:paraId="3BBFEABF" w14:textId="77777777" w:rsidR="00935431" w:rsidRPr="00405303" w:rsidRDefault="00935431" w:rsidP="00C15251">
      <w:pPr>
        <w:jc w:val="both"/>
        <w:rPr>
          <w:bCs/>
          <w:color w:val="002060"/>
          <w:sz w:val="16"/>
          <w:szCs w:val="16"/>
        </w:rPr>
      </w:pPr>
      <w:r w:rsidRPr="00405303">
        <w:rPr>
          <w:bCs/>
          <w:color w:val="002060"/>
          <w:sz w:val="16"/>
          <w:szCs w:val="16"/>
        </w:rPr>
        <w:t>Серийный самолет по конструкции должен был соответствовать 3-му опытному образцу, но оснащаться мотором Рон 9С (80 л.с.). При этом необходимо было сделать изменения по результатам испытаний первых трех опытных машин (доработка документации была начата только в августе 1915 г., когда Сикорский вернулся на завод):</w:t>
      </w:r>
    </w:p>
    <w:p w14:paraId="4C9D6785" w14:textId="77777777" w:rsidR="00935431" w:rsidRPr="00405303" w:rsidRDefault="00935431" w:rsidP="00C15251">
      <w:pPr>
        <w:jc w:val="both"/>
        <w:rPr>
          <w:bCs/>
          <w:color w:val="002060"/>
          <w:sz w:val="16"/>
          <w:szCs w:val="16"/>
        </w:rPr>
      </w:pPr>
      <w:r w:rsidRPr="00405303">
        <w:rPr>
          <w:bCs/>
          <w:color w:val="002060"/>
          <w:sz w:val="16"/>
          <w:szCs w:val="16"/>
        </w:rPr>
        <w:t>- предусмотрена установка мотора Гном 9 мощностью 80 л.с.;</w:t>
      </w:r>
    </w:p>
    <w:p w14:paraId="4D9933C1" w14:textId="77777777" w:rsidR="00935431" w:rsidRPr="00405303" w:rsidRDefault="00935431" w:rsidP="00C15251">
      <w:pPr>
        <w:jc w:val="both"/>
        <w:rPr>
          <w:bCs/>
          <w:color w:val="002060"/>
          <w:sz w:val="16"/>
          <w:szCs w:val="16"/>
        </w:rPr>
      </w:pPr>
      <w:r w:rsidRPr="00405303">
        <w:rPr>
          <w:bCs/>
          <w:color w:val="002060"/>
          <w:sz w:val="16"/>
          <w:szCs w:val="16"/>
        </w:rPr>
        <w:t>- сделана полуторапланная коробка крыльев по типу 3-го опытного самолета;</w:t>
      </w:r>
    </w:p>
    <w:p w14:paraId="0963562C" w14:textId="77777777" w:rsidR="00935431" w:rsidRPr="00405303" w:rsidRDefault="00935431" w:rsidP="00C15251">
      <w:pPr>
        <w:jc w:val="both"/>
        <w:rPr>
          <w:bCs/>
          <w:color w:val="002060"/>
          <w:sz w:val="16"/>
          <w:szCs w:val="16"/>
        </w:rPr>
      </w:pPr>
      <w:r w:rsidRPr="00405303">
        <w:rPr>
          <w:bCs/>
          <w:color w:val="002060"/>
          <w:sz w:val="16"/>
          <w:szCs w:val="16"/>
        </w:rPr>
        <w:t>- перед кабиной установлен ветровой козырек из целлулоида;</w:t>
      </w:r>
    </w:p>
    <w:p w14:paraId="42ED8E68" w14:textId="77777777" w:rsidR="00935431" w:rsidRPr="00405303" w:rsidRDefault="00935431" w:rsidP="00C15251">
      <w:pPr>
        <w:jc w:val="both"/>
        <w:rPr>
          <w:bCs/>
          <w:color w:val="002060"/>
          <w:sz w:val="16"/>
          <w:szCs w:val="16"/>
        </w:rPr>
      </w:pPr>
      <w:r w:rsidRPr="00405303">
        <w:rPr>
          <w:bCs/>
          <w:color w:val="002060"/>
          <w:sz w:val="16"/>
          <w:szCs w:val="16"/>
        </w:rPr>
        <w:t>- за кабиной сделан округлый гаргрот небольшой высоты (деревянные полушпангоуты, стрингеры и полотняная обшивка);</w:t>
      </w:r>
    </w:p>
    <w:p w14:paraId="2E7CFD01" w14:textId="77777777" w:rsidR="00935431" w:rsidRPr="00405303" w:rsidRDefault="00935431" w:rsidP="00C15251">
      <w:pPr>
        <w:jc w:val="both"/>
        <w:rPr>
          <w:bCs/>
          <w:color w:val="002060"/>
          <w:sz w:val="16"/>
          <w:szCs w:val="16"/>
        </w:rPr>
      </w:pPr>
      <w:r w:rsidRPr="00405303">
        <w:rPr>
          <w:bCs/>
          <w:color w:val="002060"/>
          <w:sz w:val="16"/>
          <w:szCs w:val="16"/>
        </w:rPr>
        <w:t>- изменена конструкция хвостового оперения и др.</w:t>
      </w:r>
    </w:p>
    <w:p w14:paraId="0C02E54F" w14:textId="77777777" w:rsidR="00935431" w:rsidRPr="00405303" w:rsidRDefault="00935431" w:rsidP="00C15251">
      <w:pPr>
        <w:jc w:val="both"/>
        <w:rPr>
          <w:bCs/>
          <w:color w:val="002060"/>
          <w:sz w:val="16"/>
          <w:szCs w:val="16"/>
        </w:rPr>
      </w:pPr>
      <w:r w:rsidRPr="00405303">
        <w:rPr>
          <w:bCs/>
          <w:color w:val="002060"/>
          <w:sz w:val="16"/>
          <w:szCs w:val="16"/>
        </w:rPr>
        <w:t>График был составлен из учета того, что в этот период требовалось меньше строить самолетов «Илья Муромец» (23557).</w:t>
      </w:r>
    </w:p>
    <w:p w14:paraId="6623C849" w14:textId="77777777" w:rsidR="00935431" w:rsidRPr="00405303" w:rsidRDefault="00935431" w:rsidP="00C15251">
      <w:pPr>
        <w:jc w:val="both"/>
        <w:rPr>
          <w:bCs/>
          <w:color w:val="002060"/>
          <w:sz w:val="16"/>
          <w:szCs w:val="16"/>
          <w:lang w:bidi="en-US"/>
        </w:rPr>
      </w:pPr>
    </w:p>
    <w:p w14:paraId="72C4BCA2"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00857A1B" w14:textId="77777777" w:rsidR="004B4E35" w:rsidRPr="00405303" w:rsidRDefault="004B4E35" w:rsidP="00C15251">
      <w:pPr>
        <w:jc w:val="both"/>
        <w:rPr>
          <w:bCs/>
          <w:i/>
          <w:color w:val="002060"/>
          <w:sz w:val="16"/>
          <w:szCs w:val="16"/>
        </w:rPr>
      </w:pPr>
    </w:p>
    <w:p w14:paraId="083152FD" w14:textId="705648A3"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24 августа </w:t>
      </w:r>
      <w:r w:rsidR="00D50BEC" w:rsidRPr="00405303">
        <w:rPr>
          <w:bCs/>
          <w:color w:val="002060"/>
          <w:sz w:val="16"/>
          <w:szCs w:val="16"/>
        </w:rPr>
        <w:t xml:space="preserve">(6 сентября) </w:t>
      </w:r>
      <w:r w:rsidRPr="00405303">
        <w:rPr>
          <w:bCs/>
          <w:color w:val="002060"/>
          <w:sz w:val="16"/>
          <w:szCs w:val="16"/>
        </w:rPr>
        <w:t>1915 г.</w:t>
      </w:r>
      <w:r w:rsidR="00D50BEC" w:rsidRPr="00405303">
        <w:rPr>
          <w:bCs/>
          <w:color w:val="002060"/>
          <w:sz w:val="16"/>
          <w:szCs w:val="16"/>
        </w:rPr>
        <w:t xml:space="preserve"> Пензенский трубочный завод получил первый заказ на производство военной продукции</w:t>
      </w:r>
      <w:r w:rsidRPr="00405303">
        <w:rPr>
          <w:bCs/>
          <w:color w:val="002060"/>
          <w:sz w:val="16"/>
          <w:szCs w:val="16"/>
        </w:rPr>
        <w:t>, а выпуск ее начал в апреле 1916 г. (5484).</w:t>
      </w:r>
    </w:p>
    <w:p w14:paraId="67495733" w14:textId="77777777" w:rsidR="004B4E35" w:rsidRPr="00405303" w:rsidRDefault="004B4E35" w:rsidP="00C15251">
      <w:pPr>
        <w:shd w:val="clear" w:color="auto" w:fill="FFFFFF"/>
        <w:jc w:val="both"/>
        <w:rPr>
          <w:bCs/>
          <w:color w:val="002060"/>
          <w:sz w:val="16"/>
          <w:szCs w:val="16"/>
        </w:rPr>
      </w:pPr>
    </w:p>
    <w:p w14:paraId="03A32E93" w14:textId="1BA071CE" w:rsidR="004B4E35" w:rsidRPr="00405303" w:rsidRDefault="009E6F82" w:rsidP="00C15251">
      <w:pPr>
        <w:jc w:val="both"/>
        <w:rPr>
          <w:bCs/>
          <w:i/>
          <w:color w:val="002060"/>
          <w:sz w:val="16"/>
          <w:szCs w:val="16"/>
        </w:rPr>
      </w:pPr>
      <w:r w:rsidRPr="00405303">
        <w:rPr>
          <w:bCs/>
          <w:i/>
          <w:color w:val="002060"/>
          <w:sz w:val="16"/>
          <w:szCs w:val="16"/>
        </w:rPr>
        <w:t>А</w:t>
      </w:r>
      <w:r w:rsidR="00935431" w:rsidRPr="00405303">
        <w:rPr>
          <w:bCs/>
          <w:i/>
          <w:color w:val="002060"/>
          <w:sz w:val="16"/>
          <w:szCs w:val="16"/>
        </w:rPr>
        <w:t>виация</w:t>
      </w:r>
      <w:r w:rsidRPr="00405303">
        <w:rPr>
          <w:bCs/>
          <w:i/>
          <w:color w:val="002060"/>
          <w:sz w:val="16"/>
          <w:szCs w:val="16"/>
        </w:rPr>
        <w:t>:</w:t>
      </w:r>
    </w:p>
    <w:p w14:paraId="263E7839" w14:textId="77777777" w:rsidR="004B4E35" w:rsidRPr="00405303" w:rsidRDefault="004B4E35" w:rsidP="00C15251">
      <w:pPr>
        <w:jc w:val="both"/>
        <w:rPr>
          <w:bCs/>
          <w:i/>
          <w:color w:val="002060"/>
          <w:sz w:val="16"/>
          <w:szCs w:val="16"/>
        </w:rPr>
      </w:pPr>
    </w:p>
    <w:p w14:paraId="4596ECBC" w14:textId="718728BD" w:rsidR="004B4E35" w:rsidRPr="00405303" w:rsidRDefault="009E6F82" w:rsidP="00C15251">
      <w:pPr>
        <w:jc w:val="both"/>
        <w:rPr>
          <w:bCs/>
          <w:color w:val="002060"/>
          <w:sz w:val="16"/>
          <w:szCs w:val="16"/>
        </w:rPr>
      </w:pPr>
      <w:r w:rsidRPr="00405303">
        <w:rPr>
          <w:bCs/>
          <w:color w:val="002060"/>
          <w:sz w:val="16"/>
          <w:szCs w:val="16"/>
        </w:rPr>
        <w:t>24 августа</w:t>
      </w:r>
      <w:r w:rsidR="00D50BEC" w:rsidRPr="00405303">
        <w:rPr>
          <w:bCs/>
          <w:color w:val="002060"/>
          <w:sz w:val="16"/>
          <w:szCs w:val="16"/>
        </w:rPr>
        <w:t xml:space="preserve"> (6 сентября) 1915 г. эшелон с имуществом ЭВК прибыл на станцию</w:t>
      </w:r>
      <w:r w:rsidRPr="00405303">
        <w:rPr>
          <w:bCs/>
          <w:color w:val="002060"/>
          <w:sz w:val="16"/>
          <w:szCs w:val="16"/>
        </w:rPr>
        <w:t>.</w:t>
      </w:r>
    </w:p>
    <w:p w14:paraId="4A04D3D2" w14:textId="77777777" w:rsidR="004B4E35" w:rsidRPr="00405303" w:rsidRDefault="009E6F82" w:rsidP="00C15251">
      <w:pPr>
        <w:jc w:val="both"/>
        <w:rPr>
          <w:bCs/>
          <w:color w:val="002060"/>
          <w:sz w:val="16"/>
          <w:szCs w:val="16"/>
        </w:rPr>
      </w:pPr>
      <w:r w:rsidRPr="00405303">
        <w:rPr>
          <w:bCs/>
          <w:color w:val="002060"/>
          <w:sz w:val="16"/>
          <w:szCs w:val="16"/>
        </w:rPr>
        <w:t>В Лиде и Пскове экипажи Панкратьева и Башко получили новые "тупоносые" корабли типа В. На II корабль (№ 167) поставили сделанные в Риге моторы РБЗ-6 по 150 л.с. (аналог "Аргуса"), а на "Киевский" (№ 169) были поставлены "Аргусы" с подбитой немцами прошлой машины Башко (№ 150). Теперь эти корабли стали лучшими и продемонстрировали отличную боевую работу с конца 1915-го и за весь 1916 год. Огромную роль сыграли не только выдающиеся командиры этих машин, но и отличные моторы, тогда как на других машинах стояли не самые лучшие английские моторы "Санбим".</w:t>
      </w:r>
    </w:p>
    <w:p w14:paraId="363EEBDE" w14:textId="77777777" w:rsidR="004B4E35" w:rsidRPr="00405303" w:rsidRDefault="009E6F82" w:rsidP="00C15251">
      <w:pPr>
        <w:jc w:val="both"/>
        <w:rPr>
          <w:bCs/>
          <w:color w:val="002060"/>
          <w:sz w:val="16"/>
          <w:szCs w:val="16"/>
        </w:rPr>
      </w:pPr>
      <w:r w:rsidRPr="00405303">
        <w:rPr>
          <w:bCs/>
          <w:color w:val="002060"/>
          <w:sz w:val="16"/>
          <w:szCs w:val="16"/>
        </w:rPr>
        <w:t>Только в сентябре 1915 года из Эскадры был выделен боевой отряд на Северный фронт в распоряжение штаба 12-й армии. Первым на аэродром у станции Зегевольд (под Ригой) прилетел Панкратьев, а через несколько дней Алехнович и Лавров. Штабс-капитаны Башкой Нижевский смогли прибыть в начале октября.</w:t>
      </w:r>
    </w:p>
    <w:p w14:paraId="26EB6F8D" w14:textId="77777777" w:rsidR="004B4E35" w:rsidRPr="00405303" w:rsidRDefault="009E6F82" w:rsidP="00C15251">
      <w:pPr>
        <w:jc w:val="both"/>
        <w:rPr>
          <w:bCs/>
          <w:color w:val="002060"/>
          <w:sz w:val="16"/>
          <w:szCs w:val="16"/>
        </w:rPr>
      </w:pPr>
      <w:r w:rsidRPr="00405303">
        <w:rPr>
          <w:bCs/>
          <w:color w:val="002060"/>
          <w:sz w:val="16"/>
          <w:szCs w:val="16"/>
        </w:rPr>
        <w:t>Боевая работа отряда в Зегевольде началась с полёта штабс-капитана Панкратьева на II корабле (№ 167). Захватив с собой пять бомб, корабль слетал "посмотреть" на Мита- ву. Встреченный и обстрелянный на обратном пути "Альбатрос" не проявил враждебности. Второй вылет "Илья Муромец И" тоже совершил в одиночестве. Захватив на борт семь двухпудовых и шесть пудовых бомб, аппарат направился громить артиллерийские склады у мызы Вальгоф. Из-за плохой видимости последние, на их счастье, не были обнаружены и уцелели (12041).</w:t>
      </w:r>
    </w:p>
    <w:p w14:paraId="31234E23" w14:textId="77777777" w:rsidR="004B4E35" w:rsidRPr="00405303" w:rsidRDefault="004B4E35" w:rsidP="00C15251">
      <w:pPr>
        <w:jc w:val="both"/>
        <w:rPr>
          <w:bCs/>
          <w:color w:val="002060"/>
          <w:sz w:val="16"/>
          <w:szCs w:val="16"/>
        </w:rPr>
      </w:pPr>
    </w:p>
    <w:p w14:paraId="4C5B9350" w14:textId="77777777" w:rsidR="00D50BEC" w:rsidRPr="00405303" w:rsidRDefault="00D50BEC" w:rsidP="00C15251">
      <w:pPr>
        <w:jc w:val="both"/>
        <w:rPr>
          <w:bCs/>
          <w:i/>
          <w:color w:val="002060"/>
          <w:sz w:val="16"/>
          <w:szCs w:val="16"/>
        </w:rPr>
      </w:pPr>
      <w:r w:rsidRPr="00405303">
        <w:rPr>
          <w:bCs/>
          <w:i/>
          <w:color w:val="002060"/>
          <w:sz w:val="16"/>
          <w:szCs w:val="16"/>
        </w:rPr>
        <w:t>За рубежом:</w:t>
      </w:r>
    </w:p>
    <w:p w14:paraId="702F3642" w14:textId="77777777" w:rsidR="00D50BEC" w:rsidRPr="00405303" w:rsidRDefault="00D50BEC" w:rsidP="00C15251">
      <w:pPr>
        <w:jc w:val="both"/>
        <w:rPr>
          <w:bCs/>
          <w:color w:val="002060"/>
          <w:sz w:val="16"/>
          <w:szCs w:val="16"/>
        </w:rPr>
      </w:pPr>
    </w:p>
    <w:p w14:paraId="5E4165C8" w14:textId="77777777" w:rsidR="00D50BEC" w:rsidRPr="00405303" w:rsidRDefault="00D50BEC" w:rsidP="00C15251">
      <w:pPr>
        <w:jc w:val="both"/>
        <w:rPr>
          <w:bCs/>
          <w:color w:val="002060"/>
          <w:sz w:val="16"/>
          <w:szCs w:val="16"/>
        </w:rPr>
      </w:pPr>
      <w:r w:rsidRPr="00405303">
        <w:rPr>
          <w:bCs/>
          <w:color w:val="002060"/>
          <w:sz w:val="16"/>
          <w:szCs w:val="16"/>
        </w:rPr>
        <w:t>24 августа (6 сентября) в 1915 году Болгария подписывает военный договор с Германией и Турцией (14761).</w:t>
      </w:r>
    </w:p>
    <w:p w14:paraId="0DEA8167" w14:textId="77777777" w:rsidR="00D50BEC" w:rsidRPr="00405303" w:rsidRDefault="00D50BEC" w:rsidP="00C15251">
      <w:pPr>
        <w:jc w:val="both"/>
        <w:rPr>
          <w:bCs/>
          <w:color w:val="002060"/>
          <w:sz w:val="16"/>
          <w:szCs w:val="16"/>
        </w:rPr>
      </w:pPr>
    </w:p>
    <w:p w14:paraId="7872F46D" w14:textId="77777777" w:rsidR="00D50BEC" w:rsidRPr="00405303" w:rsidRDefault="00D50BEC" w:rsidP="00C15251">
      <w:pPr>
        <w:jc w:val="both"/>
        <w:rPr>
          <w:bCs/>
          <w:color w:val="002060"/>
          <w:sz w:val="16"/>
          <w:szCs w:val="16"/>
        </w:rPr>
      </w:pPr>
      <w:r w:rsidRPr="00405303">
        <w:rPr>
          <w:bCs/>
          <w:color w:val="002060"/>
          <w:sz w:val="16"/>
          <w:szCs w:val="16"/>
        </w:rPr>
        <w:t>24 августа (6 сентября) в 1915 году начались ходовые испытания первого в мире танка «Линкольн N1», построенного английской компанией «Уильям Фостер энд компани». Через год, 15 сентября 1916 года, англичане проверили свое создание в боевых условиях — в Первую мировую войну в битве на Сомме (Франция). Машины включили в состав специального отделения пулеметного корпуса, которое затем было преобразовано в Королевский танковый корпус. Военные историки считают, что эффект от нового типа вооружений был в основном психологический (14761).</w:t>
      </w:r>
    </w:p>
    <w:p w14:paraId="6D17F9A6" w14:textId="77777777" w:rsidR="00D50BEC" w:rsidRPr="00405303" w:rsidRDefault="00D50BEC" w:rsidP="00C15251">
      <w:pPr>
        <w:jc w:val="both"/>
        <w:rPr>
          <w:bCs/>
          <w:color w:val="002060"/>
          <w:sz w:val="16"/>
          <w:szCs w:val="16"/>
        </w:rPr>
      </w:pPr>
    </w:p>
    <w:p w14:paraId="75F138B8" w14:textId="2008FEED" w:rsidR="0096460C" w:rsidRPr="00405303" w:rsidRDefault="0096460C" w:rsidP="00C15251">
      <w:pPr>
        <w:jc w:val="both"/>
        <w:rPr>
          <w:bCs/>
          <w:i/>
          <w:color w:val="002060"/>
          <w:sz w:val="16"/>
          <w:szCs w:val="16"/>
        </w:rPr>
      </w:pPr>
      <w:r w:rsidRPr="00405303">
        <w:rPr>
          <w:bCs/>
          <w:i/>
          <w:color w:val="002060"/>
          <w:sz w:val="16"/>
          <w:szCs w:val="16"/>
        </w:rPr>
        <w:t>Другие оборонные отрасли:</w:t>
      </w:r>
    </w:p>
    <w:p w14:paraId="74220225" w14:textId="77777777" w:rsidR="0096460C" w:rsidRPr="00405303" w:rsidRDefault="0096460C" w:rsidP="00C15251">
      <w:pPr>
        <w:jc w:val="both"/>
        <w:rPr>
          <w:bCs/>
          <w:i/>
          <w:color w:val="002060"/>
          <w:sz w:val="16"/>
          <w:szCs w:val="16"/>
        </w:rPr>
      </w:pPr>
    </w:p>
    <w:p w14:paraId="57B93EAD" w14:textId="77777777" w:rsidR="0096460C" w:rsidRPr="00405303" w:rsidRDefault="0096460C"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С 25 августа 1915 г. на Императорском фарфоровом заводе начались опыты по производству оптического стекла под руководством про</w:t>
      </w:r>
      <w:r w:rsidRPr="00405303">
        <w:rPr>
          <w:rFonts w:ascii="Times New Roman" w:hAnsi="Times New Roman" w:cs="Times New Roman"/>
          <w:bCs/>
          <w:color w:val="002060"/>
          <w:sz w:val="16"/>
          <w:szCs w:val="16"/>
        </w:rPr>
        <w:softHyphen/>
        <w:t>фессора Петербургского университета Тищенко, пытавше</w:t>
      </w:r>
      <w:r w:rsidRPr="00405303">
        <w:rPr>
          <w:rFonts w:ascii="Times New Roman" w:hAnsi="Times New Roman" w:cs="Times New Roman"/>
          <w:bCs/>
          <w:color w:val="002060"/>
          <w:sz w:val="16"/>
          <w:szCs w:val="16"/>
        </w:rPr>
        <w:softHyphen/>
        <w:t xml:space="preserve">гося ориентироваться в новом </w:t>
      </w:r>
      <w:proofErr w:type="gramStart"/>
      <w:r w:rsidRPr="00405303">
        <w:rPr>
          <w:rFonts w:ascii="Times New Roman" w:hAnsi="Times New Roman" w:cs="Times New Roman"/>
          <w:bCs/>
          <w:color w:val="002060"/>
          <w:sz w:val="16"/>
          <w:szCs w:val="16"/>
        </w:rPr>
        <w:t>деле по скупым сведениям</w:t>
      </w:r>
      <w:proofErr w:type="gramEnd"/>
      <w:r w:rsidRPr="00405303">
        <w:rPr>
          <w:rFonts w:ascii="Times New Roman" w:hAnsi="Times New Roman" w:cs="Times New Roman"/>
          <w:bCs/>
          <w:color w:val="002060"/>
          <w:sz w:val="16"/>
          <w:szCs w:val="16"/>
        </w:rPr>
        <w:t xml:space="preserve"> о технологии, собранным из печатных источников. Первая плавка состоялась 4 сентября, но усилия были тщетными: оказалось, что использованный фарфорообжигательный горн, дававший необходимую высокую температуру, не был пригоден, так как не обеспечивал равномерного ее распре</w:t>
      </w:r>
      <w:r w:rsidRPr="00405303">
        <w:rPr>
          <w:rFonts w:ascii="Times New Roman" w:hAnsi="Times New Roman" w:cs="Times New Roman"/>
          <w:bCs/>
          <w:color w:val="002060"/>
          <w:sz w:val="16"/>
          <w:szCs w:val="16"/>
        </w:rPr>
        <w:softHyphen/>
        <w:t>деления в расплавленной массе. За конструирование спе</w:t>
      </w:r>
      <w:r w:rsidRPr="00405303">
        <w:rPr>
          <w:rFonts w:ascii="Times New Roman" w:hAnsi="Times New Roman" w:cs="Times New Roman"/>
          <w:bCs/>
          <w:color w:val="002060"/>
          <w:sz w:val="16"/>
          <w:szCs w:val="16"/>
        </w:rPr>
        <w:softHyphen/>
        <w:t>циальной печи взялся профессор Политехнического инсти</w:t>
      </w:r>
      <w:r w:rsidRPr="00405303">
        <w:rPr>
          <w:rFonts w:ascii="Times New Roman" w:hAnsi="Times New Roman" w:cs="Times New Roman"/>
          <w:bCs/>
          <w:color w:val="002060"/>
          <w:sz w:val="16"/>
          <w:szCs w:val="16"/>
        </w:rPr>
        <w:softHyphen/>
        <w:t>тута В.Е. Грум-Гржимайло. Зима «прошла безрезультатно», но удалось добиться «сильного увеличения ассигнований», была модернизирована лаборатория. С мая 1915 г. для опыт</w:t>
      </w:r>
      <w:r w:rsidRPr="00405303">
        <w:rPr>
          <w:rFonts w:ascii="Times New Roman" w:hAnsi="Times New Roman" w:cs="Times New Roman"/>
          <w:bCs/>
          <w:color w:val="002060"/>
          <w:sz w:val="16"/>
          <w:szCs w:val="16"/>
        </w:rPr>
        <w:softHyphen/>
        <w:t>ных работ на Фарфоровый завод был приглашен профессор Варшавского политехнического института Жуковский. По</w:t>
      </w:r>
      <w:r w:rsidRPr="00405303">
        <w:rPr>
          <w:rFonts w:ascii="Times New Roman" w:hAnsi="Times New Roman" w:cs="Times New Roman"/>
          <w:bCs/>
          <w:color w:val="002060"/>
          <w:sz w:val="16"/>
          <w:szCs w:val="16"/>
        </w:rPr>
        <w:softHyphen/>
        <w:t>мимо негодности печей, «обнаружилось несовершенство плавильных горшков», для них нужно было выработать со</w:t>
      </w:r>
      <w:r w:rsidRPr="00405303">
        <w:rPr>
          <w:rFonts w:ascii="Times New Roman" w:hAnsi="Times New Roman" w:cs="Times New Roman"/>
          <w:bCs/>
          <w:color w:val="002060"/>
          <w:sz w:val="16"/>
          <w:szCs w:val="16"/>
        </w:rPr>
        <w:softHyphen/>
        <w:t>став глиняной массы; предстояло определить температуру и время плавки, химический состав стеклянной массы, ус</w:t>
      </w:r>
      <w:r w:rsidRPr="00405303">
        <w:rPr>
          <w:rFonts w:ascii="Times New Roman" w:hAnsi="Times New Roman" w:cs="Times New Roman"/>
          <w:bCs/>
          <w:color w:val="002060"/>
          <w:sz w:val="16"/>
          <w:szCs w:val="16"/>
        </w:rPr>
        <w:softHyphen/>
        <w:t>ловия ее остывания. За лето 1915 г. были проведены «более систематические и разносторонние опыты», появилась на</w:t>
      </w:r>
      <w:r w:rsidRPr="00405303">
        <w:rPr>
          <w:rFonts w:ascii="Times New Roman" w:hAnsi="Times New Roman" w:cs="Times New Roman"/>
          <w:bCs/>
          <w:color w:val="002060"/>
          <w:sz w:val="16"/>
          <w:szCs w:val="16"/>
        </w:rPr>
        <w:softHyphen/>
        <w:t>дежда (Стожаров А.И. Наука об оптическом стекле в ГОИ за 50 лет // 50 лет Государственного оптического института им. С.И. Вавилова. Л., 1968. С. 449—450; Осиновский А.Н., Коненков А.Ф. Указ. соч. С. 37; Качалов Н.Н. Указ. соч. С. 447; РГВИА. Ф. 29. Оп. 3. Д. 786. Л. 2; Жуковский Г.Ю. Указ. соч. С. И. С сентября 1914 по сентябрь 1915 г. состоялось до 12 плавок стеклянной массы — «насколько это допуска</w:t>
      </w:r>
      <w:r w:rsidRPr="00405303">
        <w:rPr>
          <w:rFonts w:ascii="Times New Roman" w:hAnsi="Times New Roman" w:cs="Times New Roman"/>
          <w:bCs/>
          <w:color w:val="002060"/>
          <w:sz w:val="16"/>
          <w:szCs w:val="16"/>
        </w:rPr>
        <w:softHyphen/>
        <w:t>лось незначительным масштабом и механическим оборудованием» ка</w:t>
      </w:r>
      <w:r w:rsidRPr="00405303">
        <w:rPr>
          <w:rFonts w:ascii="Times New Roman" w:hAnsi="Times New Roman" w:cs="Times New Roman"/>
          <w:bCs/>
          <w:color w:val="002060"/>
          <w:sz w:val="16"/>
          <w:szCs w:val="16"/>
        </w:rPr>
        <w:softHyphen/>
        <w:t>бинетского завода (Стеклозаводчик. 1915. № 23. С. 8)).</w:t>
      </w:r>
    </w:p>
    <w:p w14:paraId="78A648CA" w14:textId="77777777" w:rsidR="0096460C" w:rsidRPr="00405303" w:rsidRDefault="0096460C" w:rsidP="00C15251">
      <w:pPr>
        <w:jc w:val="both"/>
        <w:rPr>
          <w:bCs/>
          <w:color w:val="002060"/>
          <w:sz w:val="16"/>
          <w:szCs w:val="16"/>
        </w:rPr>
      </w:pPr>
      <w:r w:rsidRPr="00405303">
        <w:rPr>
          <w:bCs/>
          <w:color w:val="002060"/>
          <w:sz w:val="16"/>
          <w:szCs w:val="16"/>
        </w:rPr>
        <w:t>Но все же изготовленное во второй половине 1915 г. стек</w:t>
      </w:r>
      <w:r w:rsidRPr="00405303">
        <w:rPr>
          <w:bCs/>
          <w:color w:val="002060"/>
          <w:sz w:val="16"/>
          <w:szCs w:val="16"/>
        </w:rPr>
        <w:softHyphen/>
        <w:t>ло не имело «оптического качества», было не «вполне отве</w:t>
      </w:r>
      <w:r w:rsidRPr="00405303">
        <w:rPr>
          <w:bCs/>
          <w:color w:val="002060"/>
          <w:sz w:val="16"/>
          <w:szCs w:val="16"/>
        </w:rPr>
        <w:softHyphen/>
        <w:t>чающим своему назначению» (позднее выяснилось, что до</w:t>
      </w:r>
      <w:r w:rsidRPr="00405303">
        <w:rPr>
          <w:bCs/>
          <w:color w:val="002060"/>
          <w:sz w:val="16"/>
          <w:szCs w:val="16"/>
        </w:rPr>
        <w:softHyphen/>
        <w:t>стигнуть этого нельзя, если пользоваться, как это делали на Фарфоровом заводе, горшками слишком малой емкости). Его «нельзя считать пригодным для оптических целей, — пи</w:t>
      </w:r>
      <w:r w:rsidRPr="00405303">
        <w:rPr>
          <w:bCs/>
          <w:color w:val="002060"/>
          <w:sz w:val="16"/>
          <w:szCs w:val="16"/>
        </w:rPr>
        <w:softHyphen/>
        <w:t>сал в августе 1915 г. Жуковский, — так как, во-первых, оно содержит камни, во-вторых, пузыри, в-третьих, свили, в-четвертых, оно обладает желтовато-зеленым цветом». В этом деле «нам неизвестны основные задания, — признавал Жуковский, — они могут быть выработаны только при ши</w:t>
      </w:r>
      <w:r w:rsidRPr="00405303">
        <w:rPr>
          <w:bCs/>
          <w:color w:val="002060"/>
          <w:sz w:val="16"/>
          <w:szCs w:val="16"/>
        </w:rPr>
        <w:softHyphen/>
        <w:t>роком участии научных сил» — физиков, химиков, техников; при заводе должна быть лаборатория с «научным отделени</w:t>
      </w:r>
      <w:r w:rsidRPr="00405303">
        <w:rPr>
          <w:bCs/>
          <w:color w:val="002060"/>
          <w:sz w:val="16"/>
          <w:szCs w:val="16"/>
        </w:rPr>
        <w:softHyphen/>
        <w:t>ем, производящим систематические опыты». Не добьется успеха «завод, не произведший почти никаких собственных исследований», ограничивающийся «простым копированием приемов иностранной техники». Жуковский доложил ГАУ о том, что дальнейшие опыты следует поставить «на иных ос</w:t>
      </w:r>
      <w:r w:rsidRPr="00405303">
        <w:rPr>
          <w:bCs/>
          <w:color w:val="002060"/>
          <w:sz w:val="16"/>
          <w:szCs w:val="16"/>
        </w:rPr>
        <w:softHyphen/>
        <w:t>нованиях и в более широком масштабе». ГАУ отозвалось ассигнованием 40 тысяч рублей на продолжение изысканий и обещанием «привлечь к этому делу опытных специалистов» (23452).</w:t>
      </w:r>
    </w:p>
    <w:p w14:paraId="1E435456" w14:textId="77777777" w:rsidR="0096460C" w:rsidRPr="00405303" w:rsidRDefault="0096460C" w:rsidP="00C15251">
      <w:pPr>
        <w:jc w:val="both"/>
        <w:rPr>
          <w:bCs/>
          <w:color w:val="002060"/>
          <w:sz w:val="16"/>
          <w:szCs w:val="16"/>
        </w:rPr>
      </w:pPr>
    </w:p>
    <w:p w14:paraId="4DA14A0F" w14:textId="4219D58B" w:rsidR="008D0DAF" w:rsidRPr="00405303" w:rsidRDefault="008D0DAF" w:rsidP="00C15251">
      <w:pPr>
        <w:jc w:val="both"/>
        <w:rPr>
          <w:bCs/>
          <w:i/>
          <w:color w:val="002060"/>
          <w:sz w:val="16"/>
          <w:szCs w:val="16"/>
        </w:rPr>
      </w:pPr>
      <w:r w:rsidRPr="00405303">
        <w:rPr>
          <w:bCs/>
          <w:i/>
          <w:color w:val="002060"/>
          <w:sz w:val="16"/>
          <w:szCs w:val="16"/>
        </w:rPr>
        <w:t>Армия:</w:t>
      </w:r>
    </w:p>
    <w:p w14:paraId="3FA2F585" w14:textId="77777777" w:rsidR="008D0DAF" w:rsidRPr="00405303" w:rsidRDefault="008D0DAF" w:rsidP="00C15251">
      <w:pPr>
        <w:jc w:val="both"/>
        <w:rPr>
          <w:bCs/>
          <w:i/>
          <w:color w:val="002060"/>
          <w:sz w:val="16"/>
          <w:szCs w:val="16"/>
        </w:rPr>
      </w:pPr>
    </w:p>
    <w:p w14:paraId="69B1C183" w14:textId="717C722B" w:rsidR="008D0DAF" w:rsidRPr="00405303" w:rsidRDefault="008D0DAF" w:rsidP="00C15251">
      <w:pPr>
        <w:jc w:val="both"/>
        <w:rPr>
          <w:bCs/>
          <w:color w:val="002060"/>
          <w:sz w:val="16"/>
          <w:szCs w:val="16"/>
        </w:rPr>
      </w:pPr>
      <w:r w:rsidRPr="00405303">
        <w:rPr>
          <w:bCs/>
          <w:color w:val="002060"/>
          <w:sz w:val="16"/>
          <w:szCs w:val="16"/>
        </w:rPr>
        <w:t xml:space="preserve">25 августа </w:t>
      </w:r>
      <w:r w:rsidR="00D50BEC" w:rsidRPr="00405303">
        <w:rPr>
          <w:bCs/>
          <w:color w:val="002060"/>
          <w:sz w:val="16"/>
          <w:szCs w:val="16"/>
        </w:rPr>
        <w:t xml:space="preserve">(7 сентября) </w:t>
      </w:r>
      <w:r w:rsidRPr="00405303">
        <w:rPr>
          <w:bCs/>
          <w:color w:val="002060"/>
          <w:sz w:val="16"/>
          <w:szCs w:val="16"/>
        </w:rPr>
        <w:t>в 1915 году немецкие войска захватывают Брест-Литовск (14993).</w:t>
      </w:r>
    </w:p>
    <w:p w14:paraId="6359A264" w14:textId="77777777" w:rsidR="008D0DAF" w:rsidRPr="00405303" w:rsidRDefault="008D0DAF" w:rsidP="00C15251">
      <w:pPr>
        <w:jc w:val="both"/>
        <w:rPr>
          <w:bCs/>
          <w:color w:val="002060"/>
          <w:sz w:val="16"/>
          <w:szCs w:val="16"/>
        </w:rPr>
      </w:pPr>
    </w:p>
    <w:p w14:paraId="7EC9CA5C" w14:textId="206D1B35" w:rsidR="003746B3" w:rsidRPr="00405303" w:rsidRDefault="003746B3" w:rsidP="00C15251">
      <w:pPr>
        <w:jc w:val="both"/>
        <w:rPr>
          <w:bCs/>
          <w:color w:val="002060"/>
          <w:sz w:val="16"/>
          <w:szCs w:val="16"/>
        </w:rPr>
      </w:pPr>
      <w:r w:rsidRPr="00405303">
        <w:rPr>
          <w:bCs/>
          <w:color w:val="002060"/>
          <w:sz w:val="16"/>
          <w:szCs w:val="16"/>
        </w:rPr>
        <w:lastRenderedPageBreak/>
        <w:t>В ночь с 25 на 26 августа (с 7 на 8 сентября) 1915 г. форты и опорные пункты 1-й и 2-й линии обороны на северо-восточной, восточной и юго-восточной сторонах крепости были взорваны до основания, остальные частично. Орудия, наиболее необходимые боеприпасы и имущество вывезены в глубокий тыл. Остальное имущество, деревянные крепостные постройки были сожжены, мосты взорваны. 26 августа немецкие и австро-венгерские войска вошли в город и разрушенную крепость. Одна из мощных цитаделей России досталась им практически без боя (23405).</w:t>
      </w:r>
    </w:p>
    <w:p w14:paraId="1E651D17" w14:textId="77777777" w:rsidR="003746B3" w:rsidRPr="00405303" w:rsidRDefault="003746B3" w:rsidP="00C15251">
      <w:pPr>
        <w:jc w:val="both"/>
        <w:rPr>
          <w:bCs/>
          <w:color w:val="002060"/>
          <w:sz w:val="16"/>
          <w:szCs w:val="16"/>
          <w:lang w:bidi="ru-RU"/>
        </w:rPr>
      </w:pPr>
    </w:p>
    <w:p w14:paraId="00B7D470" w14:textId="6E90F95E" w:rsidR="008D0DAF" w:rsidRPr="00405303" w:rsidRDefault="008D0DAF" w:rsidP="00C15251">
      <w:pPr>
        <w:jc w:val="both"/>
        <w:rPr>
          <w:bCs/>
          <w:color w:val="002060"/>
          <w:sz w:val="16"/>
          <w:szCs w:val="16"/>
        </w:rPr>
      </w:pPr>
      <w:r w:rsidRPr="00405303">
        <w:rPr>
          <w:bCs/>
          <w:color w:val="002060"/>
          <w:sz w:val="16"/>
          <w:szCs w:val="16"/>
        </w:rPr>
        <w:t xml:space="preserve">25 августа </w:t>
      </w:r>
      <w:r w:rsidR="00D50BEC" w:rsidRPr="00405303">
        <w:rPr>
          <w:bCs/>
          <w:color w:val="002060"/>
          <w:sz w:val="16"/>
          <w:szCs w:val="16"/>
        </w:rPr>
        <w:t xml:space="preserve">(7 сентября) </w:t>
      </w:r>
      <w:r w:rsidRPr="00405303">
        <w:rPr>
          <w:bCs/>
          <w:color w:val="002060"/>
          <w:sz w:val="16"/>
          <w:szCs w:val="16"/>
        </w:rPr>
        <w:t>в 1915 году спикер Госдумы России М.Родзянко призывает царя Николая II отказаться от идеи возглавить русскую армию (14993).</w:t>
      </w:r>
    </w:p>
    <w:p w14:paraId="275D74B3" w14:textId="77777777" w:rsidR="008D0DAF" w:rsidRPr="00405303" w:rsidRDefault="008D0DAF" w:rsidP="00C15251">
      <w:pPr>
        <w:jc w:val="both"/>
        <w:rPr>
          <w:bCs/>
          <w:color w:val="002060"/>
          <w:sz w:val="16"/>
          <w:szCs w:val="16"/>
        </w:rPr>
      </w:pPr>
    </w:p>
    <w:p w14:paraId="3BFB55AC" w14:textId="7CEA70E1" w:rsidR="00D50BEC" w:rsidRPr="00405303" w:rsidRDefault="00D50BEC" w:rsidP="00C15251">
      <w:pPr>
        <w:jc w:val="both"/>
        <w:rPr>
          <w:bCs/>
          <w:i/>
          <w:color w:val="002060"/>
          <w:sz w:val="16"/>
          <w:szCs w:val="16"/>
        </w:rPr>
      </w:pPr>
      <w:r w:rsidRPr="00405303">
        <w:rPr>
          <w:bCs/>
          <w:i/>
          <w:color w:val="002060"/>
          <w:sz w:val="16"/>
          <w:szCs w:val="16"/>
        </w:rPr>
        <w:t>Авиация и воздухоплавание Германии:</w:t>
      </w:r>
    </w:p>
    <w:p w14:paraId="34127689" w14:textId="77777777" w:rsidR="00D50BEC" w:rsidRPr="00405303" w:rsidRDefault="00D50BEC" w:rsidP="00C15251">
      <w:pPr>
        <w:jc w:val="both"/>
        <w:rPr>
          <w:bCs/>
          <w:i/>
          <w:color w:val="002060"/>
          <w:sz w:val="16"/>
          <w:szCs w:val="16"/>
        </w:rPr>
      </w:pPr>
    </w:p>
    <w:p w14:paraId="435A3172" w14:textId="77777777" w:rsidR="00D50BEC" w:rsidRPr="00405303" w:rsidRDefault="00D50BEC" w:rsidP="00C15251">
      <w:pPr>
        <w:jc w:val="both"/>
        <w:rPr>
          <w:bCs/>
          <w:color w:val="002060"/>
          <w:sz w:val="16"/>
          <w:szCs w:val="16"/>
        </w:rPr>
      </w:pPr>
      <w:r w:rsidRPr="00405303">
        <w:rPr>
          <w:bCs/>
          <w:color w:val="002060"/>
          <w:sz w:val="16"/>
          <w:szCs w:val="16"/>
        </w:rPr>
        <w:t xml:space="preserve">25 августа (7 сентября) 1915 года армейцы, улучив момент, напомнили англичанам о своем существовании. LZ-74, LZ-77 и SL-2 удачно атаковали Лондон, Саффолк и Эссекс. Они оставили после себя 18 убитых и 39 раненых. Правда, в конце полета не повезло SL-2 — он получил незначительные повреждения при посадке. Не совсем удачно слетал и LZ-74 — на подходе к цели он был атакован самолетами и ему пришлось сыпануть бомбы в поле. В качестве баз для нападения на Англию эти дирижабли использовали воздушные порты Брюсселя и Мобежа, а также эллинги около Намюра, предоставленные морским ведомством. </w:t>
      </w:r>
    </w:p>
    <w:p w14:paraId="7627CDC9" w14:textId="77777777" w:rsidR="00D50BEC" w:rsidRPr="00405303" w:rsidRDefault="00D50BEC" w:rsidP="00C15251">
      <w:pPr>
        <w:shd w:val="clear" w:color="auto" w:fill="FFFFFF"/>
        <w:jc w:val="both"/>
        <w:rPr>
          <w:bCs/>
          <w:i/>
          <w:color w:val="002060"/>
          <w:sz w:val="16"/>
          <w:szCs w:val="16"/>
        </w:rPr>
      </w:pPr>
    </w:p>
    <w:p w14:paraId="700E7D05" w14:textId="77777777" w:rsidR="00D50BEC" w:rsidRPr="00405303" w:rsidRDefault="00D50BEC" w:rsidP="00C15251">
      <w:pPr>
        <w:jc w:val="both"/>
        <w:rPr>
          <w:bCs/>
          <w:color w:val="002060"/>
          <w:sz w:val="16"/>
          <w:szCs w:val="16"/>
        </w:rPr>
      </w:pPr>
      <w:r w:rsidRPr="00405303">
        <w:rPr>
          <w:bCs/>
          <w:color w:val="002060"/>
          <w:sz w:val="16"/>
          <w:szCs w:val="16"/>
        </w:rPr>
        <w:t>25 августа (7 сентября) 1915 г. в ночь цеппелин прорвался в Лондонский Сити и сбросил бомбы. Начался большой пожар - 30 раненых, 18 убитых, из них шестеро детей.</w:t>
      </w:r>
    </w:p>
    <w:p w14:paraId="76DF2352" w14:textId="77777777" w:rsidR="00D50BEC" w:rsidRPr="00405303" w:rsidRDefault="00D50BEC" w:rsidP="00C15251">
      <w:pPr>
        <w:jc w:val="both"/>
        <w:rPr>
          <w:bCs/>
          <w:color w:val="002060"/>
          <w:sz w:val="16"/>
          <w:szCs w:val="16"/>
        </w:rPr>
      </w:pPr>
      <w:r w:rsidRPr="00405303">
        <w:rPr>
          <w:bCs/>
          <w:color w:val="002060"/>
          <w:sz w:val="16"/>
          <w:szCs w:val="16"/>
        </w:rPr>
        <w:t xml:space="preserve">8 сентября - В ночь цеппелин произвел бомбардировку Холборна и Блумбери. Было разбито 2 автобуса и погибло 22 </w:t>
      </w:r>
      <w:proofErr w:type="gramStart"/>
      <w:r w:rsidRPr="00405303">
        <w:rPr>
          <w:bCs/>
          <w:color w:val="002060"/>
          <w:sz w:val="16"/>
          <w:szCs w:val="16"/>
        </w:rPr>
        <w:t>человека .</w:t>
      </w:r>
      <w:proofErr w:type="gramEnd"/>
    </w:p>
    <w:p w14:paraId="695B0064" w14:textId="77777777" w:rsidR="00D50BEC" w:rsidRPr="00405303" w:rsidRDefault="00D50BEC" w:rsidP="00C15251">
      <w:pPr>
        <w:jc w:val="both"/>
        <w:rPr>
          <w:bCs/>
          <w:color w:val="002060"/>
          <w:sz w:val="16"/>
          <w:szCs w:val="16"/>
        </w:rPr>
      </w:pPr>
      <w:r w:rsidRPr="00405303">
        <w:rPr>
          <w:bCs/>
          <w:color w:val="002060"/>
          <w:sz w:val="16"/>
          <w:szCs w:val="16"/>
        </w:rPr>
        <w:t>Лондонцы требовали создания мощной противовоздушной обороны. Полковник Ролинсон был послан в Париж, где генерал Пелле, начальник французского генерального штаба, согласился поставить Англии 75-ти мм автоматические пушки на подвижных бронированных платформах. Пушки были доставлены в Лондон в течение 2-х следующих дней. Тут же было заказано еще 30 таких орудий. Начальником ПВО Лондона был назначен герцог Майкл, праправнук Екатерины Великой. Орудия ПВО были расставлены вокруг Лондона, что весьма затрудняло проникновение к столице сначала цеппелинов, а затем и самолетов. Каждый расчет ПВО имел свое имя. Один назывался "Молния", другой "Нож в сердце", третий - "Счастливчик" и т. д. (11999).</w:t>
      </w:r>
    </w:p>
    <w:p w14:paraId="632AE30E" w14:textId="77777777" w:rsidR="00D50BEC" w:rsidRPr="00405303" w:rsidRDefault="00D50BEC" w:rsidP="00C15251">
      <w:pPr>
        <w:jc w:val="both"/>
        <w:rPr>
          <w:bCs/>
          <w:color w:val="002060"/>
          <w:sz w:val="16"/>
          <w:szCs w:val="16"/>
        </w:rPr>
      </w:pPr>
    </w:p>
    <w:p w14:paraId="1EFC36EB" w14:textId="77777777" w:rsidR="00D50BEC" w:rsidRPr="00405303" w:rsidRDefault="00D50BEC" w:rsidP="00C15251">
      <w:pPr>
        <w:jc w:val="both"/>
        <w:rPr>
          <w:bCs/>
          <w:color w:val="002060"/>
          <w:sz w:val="16"/>
          <w:szCs w:val="16"/>
        </w:rPr>
      </w:pPr>
      <w:r w:rsidRPr="00405303">
        <w:rPr>
          <w:bCs/>
          <w:color w:val="002060"/>
          <w:sz w:val="16"/>
          <w:szCs w:val="16"/>
        </w:rPr>
        <w:t xml:space="preserve">25 августа (7 сентября) 1915 отряд кораблей Королевского флота в Северном море, обстреливающий позиции Императорской немецкой армии в Остенде, </w:t>
      </w:r>
      <w:proofErr w:type="gramStart"/>
      <w:r w:rsidRPr="00405303">
        <w:rPr>
          <w:bCs/>
          <w:color w:val="002060"/>
          <w:sz w:val="16"/>
          <w:szCs w:val="16"/>
        </w:rPr>
        <w:t>Бельгия ,</w:t>
      </w:r>
      <w:proofErr w:type="gramEnd"/>
      <w:r w:rsidRPr="00405303">
        <w:rPr>
          <w:bCs/>
          <w:color w:val="002060"/>
          <w:sz w:val="16"/>
          <w:szCs w:val="16"/>
        </w:rPr>
        <w:t xml:space="preserve"> подвергается атаке немецкой авиации, которая бомбит крейсер-разведчик HMS Attentive. Крейсер теряет двух убитыми и семь ранеными. Силы Королевского флота ненадолго рассеиваются, прежде чем вернуться, чтобы возобновить обстрел (20338).</w:t>
      </w:r>
    </w:p>
    <w:p w14:paraId="4CD39EF3" w14:textId="77777777" w:rsidR="00D50BEC" w:rsidRPr="00405303" w:rsidRDefault="00D50BEC" w:rsidP="00C15251">
      <w:pPr>
        <w:jc w:val="both"/>
        <w:rPr>
          <w:bCs/>
          <w:color w:val="002060"/>
          <w:sz w:val="16"/>
          <w:szCs w:val="16"/>
        </w:rPr>
      </w:pPr>
    </w:p>
    <w:p w14:paraId="6D85B85A" w14:textId="77777777" w:rsidR="00D50BEC" w:rsidRPr="00405303" w:rsidRDefault="00D50BEC" w:rsidP="00C15251">
      <w:pPr>
        <w:jc w:val="both"/>
        <w:rPr>
          <w:bCs/>
          <w:color w:val="002060"/>
          <w:sz w:val="16"/>
          <w:szCs w:val="16"/>
        </w:rPr>
      </w:pPr>
      <w:r w:rsidRPr="00405303">
        <w:rPr>
          <w:bCs/>
          <w:color w:val="002060"/>
          <w:sz w:val="16"/>
          <w:szCs w:val="16"/>
        </w:rPr>
        <w:t>25-26 августа (7–8 сентября (ночь)) 1915 два дирижабля немецкой армии совершают налет на Англию. Один из них, Schütte-Lanz SL-2, бомбит доки Миллуолла , Дептфорда , Гринвича и Вулвича , но совершает аварийную посадку в Германии, не доходя до своей базы, из-за отказа двигателя по пути домой. Другой, Zeppelin LZ 74, сбрасывает большую часть своей 2000-кг (4 409 фунтов) бомбовой нагрузки на теплицы в Чешунте, прежде чем сбросить свою единственную оставшуюся зажигательную бомбу на магазин на Фенчерч-стрит в Лондоне (20338).</w:t>
      </w:r>
    </w:p>
    <w:p w14:paraId="3DFE3A00" w14:textId="77777777" w:rsidR="00D50BEC" w:rsidRPr="00405303" w:rsidRDefault="00D50BEC" w:rsidP="00C15251">
      <w:pPr>
        <w:jc w:val="both"/>
        <w:rPr>
          <w:bCs/>
          <w:color w:val="002060"/>
          <w:sz w:val="16"/>
          <w:szCs w:val="16"/>
        </w:rPr>
      </w:pPr>
    </w:p>
    <w:p w14:paraId="02FB0F47"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7485D3DB" w14:textId="77777777" w:rsidR="004B4E35" w:rsidRPr="00405303" w:rsidRDefault="004B4E35" w:rsidP="00C15251">
      <w:pPr>
        <w:shd w:val="clear" w:color="auto" w:fill="FFFFFF"/>
        <w:jc w:val="both"/>
        <w:rPr>
          <w:bCs/>
          <w:i/>
          <w:color w:val="002060"/>
          <w:sz w:val="16"/>
          <w:szCs w:val="16"/>
        </w:rPr>
      </w:pPr>
    </w:p>
    <w:p w14:paraId="4D1D7A30" w14:textId="1CE826F2" w:rsidR="004B4E35" w:rsidRPr="00405303" w:rsidRDefault="009E6F82" w:rsidP="00C15251">
      <w:pPr>
        <w:shd w:val="clear" w:color="auto" w:fill="FFFFFF"/>
        <w:jc w:val="both"/>
        <w:rPr>
          <w:bCs/>
          <w:color w:val="002060"/>
          <w:sz w:val="16"/>
          <w:szCs w:val="16"/>
        </w:rPr>
      </w:pPr>
      <w:r w:rsidRPr="00405303">
        <w:rPr>
          <w:bCs/>
          <w:color w:val="002060"/>
          <w:sz w:val="16"/>
          <w:szCs w:val="16"/>
        </w:rPr>
        <w:t>26 августа (</w:t>
      </w:r>
      <w:r w:rsidR="0018164E" w:rsidRPr="00405303">
        <w:rPr>
          <w:bCs/>
          <w:color w:val="002060"/>
          <w:sz w:val="16"/>
          <w:szCs w:val="16"/>
        </w:rPr>
        <w:t>8</w:t>
      </w:r>
      <w:r w:rsidRPr="00405303">
        <w:rPr>
          <w:bCs/>
          <w:color w:val="002060"/>
          <w:sz w:val="16"/>
          <w:szCs w:val="16"/>
        </w:rPr>
        <w:t xml:space="preserve"> сентября) 1915 заводу дали официальный контракт на 5 «запасных» самолетов</w:t>
      </w:r>
      <w:r w:rsidR="0018164E" w:rsidRPr="00405303">
        <w:rPr>
          <w:bCs/>
          <w:color w:val="002060"/>
          <w:sz w:val="16"/>
          <w:szCs w:val="16"/>
        </w:rPr>
        <w:t xml:space="preserve"> Кертисс</w:t>
      </w:r>
      <w:r w:rsidRPr="00405303">
        <w:rPr>
          <w:bCs/>
          <w:color w:val="002060"/>
          <w:sz w:val="16"/>
          <w:szCs w:val="16"/>
        </w:rPr>
        <w:t>, стоимостью 5 тыс. 595 рублей каждый, и он нелегально изготовил их; принятые затем в Севастополе в период с октября по декабрь, все пятеро активно летали в боевых отрядах (2807).</w:t>
      </w:r>
    </w:p>
    <w:p w14:paraId="7EE55721" w14:textId="77777777" w:rsidR="004B4E35" w:rsidRPr="00405303" w:rsidRDefault="004B4E35" w:rsidP="00C15251">
      <w:pPr>
        <w:shd w:val="clear" w:color="auto" w:fill="FFFFFF"/>
        <w:jc w:val="both"/>
        <w:rPr>
          <w:bCs/>
          <w:color w:val="002060"/>
          <w:sz w:val="16"/>
          <w:szCs w:val="16"/>
        </w:rPr>
      </w:pPr>
    </w:p>
    <w:p w14:paraId="3F4C8912" w14:textId="524834D4"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26 </w:t>
      </w:r>
      <w:proofErr w:type="gramStart"/>
      <w:r w:rsidRPr="00405303">
        <w:rPr>
          <w:bCs/>
          <w:color w:val="002060"/>
          <w:sz w:val="16"/>
          <w:szCs w:val="16"/>
        </w:rPr>
        <w:t>августа(</w:t>
      </w:r>
      <w:proofErr w:type="gramEnd"/>
      <w:r w:rsidR="0018164E" w:rsidRPr="00405303">
        <w:rPr>
          <w:bCs/>
          <w:color w:val="002060"/>
          <w:sz w:val="16"/>
          <w:szCs w:val="16"/>
        </w:rPr>
        <w:t>8</w:t>
      </w:r>
      <w:r w:rsidRPr="00405303">
        <w:rPr>
          <w:bCs/>
          <w:color w:val="002060"/>
          <w:sz w:val="16"/>
          <w:szCs w:val="16"/>
        </w:rPr>
        <w:t xml:space="preserve"> сентября) 1915 </w:t>
      </w:r>
      <w:r w:rsidR="0018164E" w:rsidRPr="00405303">
        <w:rPr>
          <w:bCs/>
          <w:color w:val="002060"/>
          <w:sz w:val="16"/>
          <w:szCs w:val="16"/>
        </w:rPr>
        <w:t>ПРТВ был выдан наряд на М-6</w:t>
      </w:r>
      <w:r w:rsidRPr="00405303">
        <w:rPr>
          <w:bCs/>
          <w:color w:val="002060"/>
          <w:sz w:val="16"/>
          <w:szCs w:val="16"/>
        </w:rPr>
        <w:t xml:space="preserve"> (2807).</w:t>
      </w:r>
    </w:p>
    <w:p w14:paraId="7633499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Сведения о контракте на аппараты М-6 (условно)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4B4E35" w:rsidRPr="00405303" w14:paraId="04B9C527" w14:textId="77777777">
        <w:tc>
          <w:tcPr>
            <w:tcW w:w="4788" w:type="dxa"/>
            <w:shd w:val="clear" w:color="auto" w:fill="FFFFFF"/>
          </w:tcPr>
          <w:p w14:paraId="289AD55D" w14:textId="77777777" w:rsidR="004B4E35" w:rsidRPr="00405303" w:rsidRDefault="009E6F82" w:rsidP="00C15251">
            <w:pPr>
              <w:jc w:val="both"/>
              <w:rPr>
                <w:bCs/>
                <w:color w:val="002060"/>
                <w:sz w:val="16"/>
                <w:szCs w:val="16"/>
              </w:rPr>
            </w:pPr>
            <w:r w:rsidRPr="00405303">
              <w:rPr>
                <w:bCs/>
                <w:color w:val="002060"/>
                <w:sz w:val="16"/>
                <w:szCs w:val="16"/>
              </w:rPr>
              <w:t>Дата контракта</w:t>
            </w:r>
          </w:p>
        </w:tc>
        <w:tc>
          <w:tcPr>
            <w:tcW w:w="4788" w:type="dxa"/>
            <w:shd w:val="clear" w:color="auto" w:fill="FFFFFF"/>
          </w:tcPr>
          <w:p w14:paraId="56F80A8E" w14:textId="77777777" w:rsidR="004B4E35" w:rsidRPr="00405303" w:rsidRDefault="009E6F82" w:rsidP="00C15251">
            <w:pPr>
              <w:jc w:val="both"/>
              <w:rPr>
                <w:bCs/>
                <w:color w:val="002060"/>
                <w:sz w:val="16"/>
                <w:szCs w:val="16"/>
              </w:rPr>
            </w:pPr>
            <w:r w:rsidRPr="00405303">
              <w:rPr>
                <w:bCs/>
                <w:color w:val="002060"/>
                <w:sz w:val="16"/>
                <w:szCs w:val="16"/>
              </w:rPr>
              <w:t>Август 26 1915</w:t>
            </w:r>
          </w:p>
        </w:tc>
      </w:tr>
      <w:tr w:rsidR="004B4E35" w:rsidRPr="00405303" w14:paraId="092D6965" w14:textId="77777777">
        <w:tc>
          <w:tcPr>
            <w:tcW w:w="4788" w:type="dxa"/>
            <w:shd w:val="clear" w:color="auto" w:fill="FFFFFF"/>
          </w:tcPr>
          <w:p w14:paraId="65CD1B4B" w14:textId="77777777" w:rsidR="004B4E35" w:rsidRPr="00405303" w:rsidRDefault="009E6F82" w:rsidP="00C15251">
            <w:pPr>
              <w:jc w:val="both"/>
              <w:rPr>
                <w:bCs/>
                <w:color w:val="002060"/>
                <w:sz w:val="16"/>
                <w:szCs w:val="16"/>
              </w:rPr>
            </w:pPr>
            <w:r w:rsidRPr="00405303">
              <w:rPr>
                <w:bCs/>
                <w:color w:val="002060"/>
                <w:sz w:val="16"/>
                <w:szCs w:val="16"/>
              </w:rPr>
              <w:t>Число заказанных аэропланов</w:t>
            </w:r>
          </w:p>
        </w:tc>
        <w:tc>
          <w:tcPr>
            <w:tcW w:w="4788" w:type="dxa"/>
            <w:shd w:val="clear" w:color="auto" w:fill="FFFFFF"/>
          </w:tcPr>
          <w:p w14:paraId="089CF9F2" w14:textId="77777777" w:rsidR="004B4E35" w:rsidRPr="00405303" w:rsidRDefault="009E6F82" w:rsidP="00C15251">
            <w:pPr>
              <w:jc w:val="both"/>
              <w:rPr>
                <w:bCs/>
                <w:color w:val="002060"/>
                <w:sz w:val="16"/>
                <w:szCs w:val="16"/>
              </w:rPr>
            </w:pPr>
            <w:r w:rsidRPr="00405303">
              <w:rPr>
                <w:bCs/>
                <w:color w:val="002060"/>
                <w:sz w:val="16"/>
                <w:szCs w:val="16"/>
              </w:rPr>
              <w:t>5</w:t>
            </w:r>
          </w:p>
        </w:tc>
      </w:tr>
      <w:tr w:rsidR="004B4E35" w:rsidRPr="00405303" w14:paraId="033DF172" w14:textId="77777777">
        <w:tc>
          <w:tcPr>
            <w:tcW w:w="4788" w:type="dxa"/>
            <w:shd w:val="clear" w:color="auto" w:fill="FFFFFF"/>
          </w:tcPr>
          <w:p w14:paraId="2E310F2D" w14:textId="77777777" w:rsidR="004B4E35" w:rsidRPr="00405303" w:rsidRDefault="009E6F82" w:rsidP="00C15251">
            <w:pPr>
              <w:jc w:val="both"/>
              <w:rPr>
                <w:bCs/>
                <w:color w:val="002060"/>
                <w:sz w:val="16"/>
                <w:szCs w:val="16"/>
              </w:rPr>
            </w:pPr>
            <w:r w:rsidRPr="00405303">
              <w:rPr>
                <w:bCs/>
                <w:color w:val="002060"/>
                <w:sz w:val="16"/>
                <w:szCs w:val="16"/>
              </w:rPr>
              <w:t>Заводские номера сданных аэропланов</w:t>
            </w:r>
          </w:p>
        </w:tc>
        <w:tc>
          <w:tcPr>
            <w:tcW w:w="4788" w:type="dxa"/>
            <w:shd w:val="clear" w:color="auto" w:fill="FFFFFF"/>
          </w:tcPr>
          <w:p w14:paraId="2B1FEFC4"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3E09EEE9" w14:textId="77777777">
        <w:tc>
          <w:tcPr>
            <w:tcW w:w="4788" w:type="dxa"/>
          </w:tcPr>
          <w:p w14:paraId="7A646193" w14:textId="77777777" w:rsidR="004B4E35" w:rsidRPr="00405303" w:rsidRDefault="009E6F82" w:rsidP="00C15251">
            <w:pPr>
              <w:jc w:val="both"/>
              <w:rPr>
                <w:bCs/>
                <w:color w:val="002060"/>
                <w:sz w:val="16"/>
                <w:szCs w:val="16"/>
              </w:rPr>
            </w:pPr>
            <w:r w:rsidRPr="00405303">
              <w:rPr>
                <w:bCs/>
                <w:color w:val="002060"/>
                <w:sz w:val="16"/>
                <w:szCs w:val="16"/>
              </w:rPr>
              <w:t>УСЛОВИЯ:</w:t>
            </w:r>
          </w:p>
        </w:tc>
        <w:tc>
          <w:tcPr>
            <w:tcW w:w="4788" w:type="dxa"/>
          </w:tcPr>
          <w:p w14:paraId="78004953" w14:textId="77777777" w:rsidR="004B4E35" w:rsidRPr="00405303" w:rsidRDefault="009E6F82" w:rsidP="00C15251">
            <w:pPr>
              <w:jc w:val="both"/>
              <w:rPr>
                <w:bCs/>
                <w:color w:val="002060"/>
                <w:sz w:val="16"/>
                <w:szCs w:val="16"/>
              </w:rPr>
            </w:pPr>
            <w:r w:rsidRPr="00405303">
              <w:rPr>
                <w:bCs/>
                <w:color w:val="002060"/>
                <w:sz w:val="16"/>
                <w:szCs w:val="16"/>
              </w:rPr>
              <w:t>5 тыс. 595 руб. за «запасной» аппарат. (2807)</w:t>
            </w:r>
          </w:p>
        </w:tc>
      </w:tr>
    </w:tbl>
    <w:p w14:paraId="1E1F40EE" w14:textId="77777777" w:rsidR="004B4E35" w:rsidRPr="00405303" w:rsidRDefault="004B4E35" w:rsidP="00C15251">
      <w:pPr>
        <w:jc w:val="both"/>
        <w:rPr>
          <w:bCs/>
          <w:color w:val="002060"/>
          <w:sz w:val="16"/>
          <w:szCs w:val="16"/>
        </w:rPr>
      </w:pPr>
    </w:p>
    <w:p w14:paraId="300AAD99"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24B296D5" w14:textId="77777777" w:rsidR="004B4E35" w:rsidRPr="00405303" w:rsidRDefault="004B4E35" w:rsidP="00C15251">
      <w:pPr>
        <w:jc w:val="both"/>
        <w:rPr>
          <w:bCs/>
          <w:i/>
          <w:color w:val="002060"/>
          <w:sz w:val="16"/>
          <w:szCs w:val="16"/>
        </w:rPr>
      </w:pPr>
    </w:p>
    <w:p w14:paraId="023B8B79" w14:textId="7467D6D5" w:rsidR="0018164E" w:rsidRPr="00405303" w:rsidRDefault="009E6F82" w:rsidP="00C15251">
      <w:pPr>
        <w:jc w:val="both"/>
        <w:rPr>
          <w:bCs/>
          <w:color w:val="002060"/>
          <w:sz w:val="16"/>
          <w:szCs w:val="16"/>
        </w:rPr>
      </w:pPr>
      <w:r w:rsidRPr="00405303">
        <w:rPr>
          <w:bCs/>
          <w:color w:val="002060"/>
          <w:sz w:val="16"/>
          <w:szCs w:val="16"/>
        </w:rPr>
        <w:t>26 августа (</w:t>
      </w:r>
      <w:r w:rsidR="0018164E" w:rsidRPr="00405303">
        <w:rPr>
          <w:bCs/>
          <w:color w:val="002060"/>
          <w:sz w:val="16"/>
          <w:szCs w:val="16"/>
        </w:rPr>
        <w:t>8</w:t>
      </w:r>
      <w:r w:rsidRPr="00405303">
        <w:rPr>
          <w:bCs/>
          <w:color w:val="002060"/>
          <w:sz w:val="16"/>
          <w:szCs w:val="16"/>
        </w:rPr>
        <w:t xml:space="preserve"> сентября) 1915 года в Петрограде</w:t>
      </w:r>
      <w:r w:rsidR="0018164E" w:rsidRPr="00405303">
        <w:rPr>
          <w:bCs/>
          <w:color w:val="002060"/>
          <w:sz w:val="16"/>
          <w:szCs w:val="16"/>
        </w:rPr>
        <w:t xml:space="preserve"> состоялось первое заседание новой организации - «Особого совещания для обсуждения и объединения мероприятий по обороне государства»</w:t>
      </w:r>
    </w:p>
    <w:p w14:paraId="3DDAA3D5" w14:textId="4162551B" w:rsidR="004B4E35" w:rsidRPr="00405303" w:rsidRDefault="009E6F82" w:rsidP="00C15251">
      <w:pPr>
        <w:jc w:val="both"/>
        <w:rPr>
          <w:bCs/>
          <w:color w:val="002060"/>
          <w:sz w:val="16"/>
          <w:szCs w:val="16"/>
        </w:rPr>
      </w:pPr>
      <w:r w:rsidRPr="00405303">
        <w:rPr>
          <w:bCs/>
          <w:color w:val="002060"/>
          <w:sz w:val="16"/>
          <w:szCs w:val="16"/>
        </w:rPr>
        <w:t>. На нем была создана нефтяная секция Осотопа во главе с председателем — членом Государственного совета А.А. Макаровым и его заместителем — представителем Центрального ВПК, крупным нефтепромышленником А.О. Гукасовым (Кроме того, в составе Осотопа были созданы секции: угольная, дровяная и торфяная, по перевозке и распределению топлива, а также нормировке его потребления, исполнительная – для спешных дел. См.: Монополистический капитал… С. 50—54.).</w:t>
      </w:r>
    </w:p>
    <w:p w14:paraId="07CBEB83" w14:textId="77777777" w:rsidR="004B4E35" w:rsidRPr="00405303" w:rsidRDefault="009E6F82" w:rsidP="00C15251">
      <w:pPr>
        <w:jc w:val="both"/>
        <w:rPr>
          <w:bCs/>
          <w:color w:val="002060"/>
          <w:sz w:val="16"/>
          <w:szCs w:val="16"/>
        </w:rPr>
      </w:pPr>
      <w:r w:rsidRPr="00405303">
        <w:rPr>
          <w:bCs/>
          <w:color w:val="002060"/>
          <w:sz w:val="16"/>
          <w:szCs w:val="16"/>
        </w:rPr>
        <w:t>Статус Осотопа был весьма высок, он являлся, как сказано в положении, «высшим государственным установлением». Никакое правительственное учреждение или лицо не могло давать Особому совещанию предписаний или требовать от него отчета, а председатель Осотопа имел право требовать от всех правительственных и общественных учреждений, должностных и частных лиц, от частных обществ содействия в выполнении возложенных на Совещание задач, отчеты по заготовкам и поставкам топлива, мог также реквизировать топливо и устанавливать на него предельные цены и перераспределять его с учетом государственных интересов.</w:t>
      </w:r>
    </w:p>
    <w:p w14:paraId="3516BEDB" w14:textId="77777777" w:rsidR="004B4E35" w:rsidRPr="00405303" w:rsidRDefault="009E6F82" w:rsidP="00C15251">
      <w:pPr>
        <w:jc w:val="both"/>
        <w:rPr>
          <w:bCs/>
          <w:color w:val="002060"/>
          <w:sz w:val="16"/>
          <w:szCs w:val="16"/>
        </w:rPr>
      </w:pPr>
      <w:r w:rsidRPr="00405303">
        <w:rPr>
          <w:bCs/>
          <w:color w:val="002060"/>
          <w:sz w:val="16"/>
          <w:szCs w:val="16"/>
        </w:rPr>
        <w:t>Некоторые меры, например передачу топлива от одних учреждений другим, председатель Осотопа мог принимать единолично, другие вопросы, как правило, выносились на общее обсуждение.</w:t>
      </w:r>
    </w:p>
    <w:p w14:paraId="44A4AF3A" w14:textId="77777777" w:rsidR="004B4E35" w:rsidRPr="00405303" w:rsidRDefault="009E6F82" w:rsidP="00C15251">
      <w:pPr>
        <w:jc w:val="both"/>
        <w:rPr>
          <w:bCs/>
          <w:color w:val="002060"/>
          <w:sz w:val="16"/>
          <w:szCs w:val="16"/>
        </w:rPr>
      </w:pPr>
      <w:r w:rsidRPr="00405303">
        <w:rPr>
          <w:bCs/>
          <w:color w:val="002060"/>
          <w:sz w:val="16"/>
          <w:szCs w:val="16"/>
        </w:rPr>
        <w:t>Для создания вертикали власти председатель назначал на местах уполномоченных, под председательством которых там создавались местные Особые совещания.</w:t>
      </w:r>
    </w:p>
    <w:p w14:paraId="7CE30B79" w14:textId="77777777" w:rsidR="004B4E35" w:rsidRPr="00405303" w:rsidRDefault="009E6F82" w:rsidP="00C15251">
      <w:pPr>
        <w:jc w:val="both"/>
        <w:rPr>
          <w:bCs/>
          <w:color w:val="002060"/>
          <w:sz w:val="16"/>
          <w:szCs w:val="16"/>
        </w:rPr>
      </w:pPr>
      <w:r w:rsidRPr="00405303">
        <w:rPr>
          <w:bCs/>
          <w:color w:val="002060"/>
          <w:sz w:val="16"/>
          <w:szCs w:val="16"/>
        </w:rPr>
        <w:t>В состав последних входили представители властных и общественных (Земгора) организаций. Что касалось установления новых цен при секвестре и реквизиции топлива, а также при его казенных заготовках, то этим занимались особые губернские комиссии, в состав которых входили представители Военного, Морского и других министерств.</w:t>
      </w:r>
    </w:p>
    <w:p w14:paraId="2D3C2522" w14:textId="77777777" w:rsidR="004B4E35" w:rsidRPr="00405303" w:rsidRDefault="009E6F82" w:rsidP="00C15251">
      <w:pPr>
        <w:jc w:val="both"/>
        <w:rPr>
          <w:bCs/>
          <w:color w:val="002060"/>
          <w:sz w:val="16"/>
          <w:szCs w:val="16"/>
        </w:rPr>
      </w:pPr>
      <w:r w:rsidRPr="00405303">
        <w:rPr>
          <w:bCs/>
          <w:color w:val="002060"/>
          <w:sz w:val="16"/>
          <w:szCs w:val="16"/>
        </w:rPr>
        <w:t>ИЗ ШИРОКОГО круга вопросов, чем сразу же начал заниматься Осотоп, следует отметить два главных: установление порядка распределения нефтепродуктов среди потребителей и введение на нефть и нефтепродукты фиксированных цен (Там же. С. 117—125.).</w:t>
      </w:r>
    </w:p>
    <w:p w14:paraId="77694CB6" w14:textId="77777777" w:rsidR="004B4E35" w:rsidRPr="00405303" w:rsidRDefault="009E6F82" w:rsidP="00C15251">
      <w:pPr>
        <w:jc w:val="both"/>
        <w:rPr>
          <w:bCs/>
          <w:color w:val="002060"/>
          <w:sz w:val="16"/>
          <w:szCs w:val="16"/>
        </w:rPr>
      </w:pPr>
      <w:r w:rsidRPr="00405303">
        <w:rPr>
          <w:bCs/>
          <w:color w:val="002060"/>
          <w:sz w:val="16"/>
          <w:szCs w:val="16"/>
        </w:rPr>
        <w:t>Для распределения топлива была введена должность главноуполномоченного по снабжению нефтью и нефтяными остатками (продуктами нефтепереработки) потребителей империи (статский советник С.П. Доможиров) и при нем совещание представителей Военного и Морского министерств, транспортных и нефтяных организаций и др. Функции главноуполномоченного в местных органах были возложены на районных уполномоченных. Кроме того, в Закавказском, а затем еще в 10 регионах были созданы районные заводские совещания, которые и должны были наблюдать за очередностью отгрузок, распределением и выполнением заказов. Они обязывались докладывать Военному министерству обо всех срывах, а Осотопу давали предложения об отстранении от должностей провинившихся руководителей предприятий и о проведении необходимых реквизиций.</w:t>
      </w:r>
    </w:p>
    <w:p w14:paraId="1DB0C746" w14:textId="77777777" w:rsidR="004B4E35" w:rsidRPr="00405303" w:rsidRDefault="009E6F82" w:rsidP="00C15251">
      <w:pPr>
        <w:jc w:val="both"/>
        <w:rPr>
          <w:bCs/>
          <w:color w:val="002060"/>
          <w:sz w:val="16"/>
          <w:szCs w:val="16"/>
        </w:rPr>
      </w:pPr>
      <w:r w:rsidRPr="00405303">
        <w:rPr>
          <w:bCs/>
          <w:color w:val="002060"/>
          <w:sz w:val="16"/>
          <w:szCs w:val="16"/>
        </w:rPr>
        <w:lastRenderedPageBreak/>
        <w:t>Что касается регулирования цен, то отметим, что 31 декабря 1915 года Осотоп принял решение № 509616 об установлении предельных продажных цен на нефть и нефтяные остатки на местах их добычи: для сырой нефти — 45 копеек и для нефтяных остатков на заводах — 47 копеек за пуд.</w:t>
      </w:r>
    </w:p>
    <w:p w14:paraId="21D9844D" w14:textId="77777777" w:rsidR="004B4E35" w:rsidRPr="00405303" w:rsidRDefault="009E6F82" w:rsidP="00C15251">
      <w:pPr>
        <w:jc w:val="both"/>
        <w:rPr>
          <w:bCs/>
          <w:color w:val="002060"/>
          <w:sz w:val="16"/>
          <w:szCs w:val="16"/>
        </w:rPr>
      </w:pPr>
      <w:r w:rsidRPr="00405303">
        <w:rPr>
          <w:bCs/>
          <w:color w:val="002060"/>
          <w:sz w:val="16"/>
          <w:szCs w:val="16"/>
        </w:rPr>
        <w:t>При этом указывалось, что виновные в неисполнении данного решения будут подвергнуты заключению «в тюрьме или крепости на срок не свыше 3 месяцев, или штрафу не свыше 3 тыс. рублей» (11178).</w:t>
      </w:r>
    </w:p>
    <w:p w14:paraId="30B53678" w14:textId="77777777" w:rsidR="004B4E35" w:rsidRPr="00405303" w:rsidRDefault="004B4E35" w:rsidP="00C15251">
      <w:pPr>
        <w:jc w:val="both"/>
        <w:rPr>
          <w:bCs/>
          <w:color w:val="002060"/>
          <w:sz w:val="16"/>
          <w:szCs w:val="16"/>
        </w:rPr>
      </w:pPr>
    </w:p>
    <w:p w14:paraId="32F771C9" w14:textId="77777777" w:rsidR="008D0DAF" w:rsidRPr="00405303" w:rsidRDefault="008D0DAF" w:rsidP="00C15251">
      <w:pPr>
        <w:shd w:val="clear" w:color="auto" w:fill="FFFFFF"/>
        <w:jc w:val="both"/>
        <w:rPr>
          <w:bCs/>
          <w:i/>
          <w:color w:val="002060"/>
          <w:sz w:val="16"/>
          <w:szCs w:val="16"/>
        </w:rPr>
      </w:pPr>
      <w:r w:rsidRPr="00405303">
        <w:rPr>
          <w:bCs/>
          <w:i/>
          <w:color w:val="002060"/>
          <w:sz w:val="16"/>
          <w:szCs w:val="16"/>
        </w:rPr>
        <w:t>Авиация:</w:t>
      </w:r>
    </w:p>
    <w:p w14:paraId="59D4FDD7" w14:textId="77777777" w:rsidR="008D0DAF" w:rsidRPr="00405303" w:rsidRDefault="008D0DAF" w:rsidP="00C15251">
      <w:pPr>
        <w:shd w:val="clear" w:color="auto" w:fill="FFFFFF"/>
        <w:jc w:val="both"/>
        <w:rPr>
          <w:bCs/>
          <w:i/>
          <w:color w:val="002060"/>
          <w:sz w:val="16"/>
          <w:szCs w:val="16"/>
        </w:rPr>
      </w:pPr>
    </w:p>
    <w:p w14:paraId="5B1B086E" w14:textId="29E44DC0" w:rsidR="008D0DAF" w:rsidRPr="00405303" w:rsidRDefault="008D0DAF" w:rsidP="00C15251">
      <w:pPr>
        <w:jc w:val="both"/>
        <w:rPr>
          <w:bCs/>
          <w:color w:val="002060"/>
          <w:sz w:val="16"/>
          <w:szCs w:val="16"/>
        </w:rPr>
      </w:pPr>
      <w:r w:rsidRPr="00405303">
        <w:rPr>
          <w:bCs/>
          <w:color w:val="002060"/>
          <w:sz w:val="16"/>
          <w:szCs w:val="16"/>
        </w:rPr>
        <w:t xml:space="preserve">26 августа </w:t>
      </w:r>
      <w:r w:rsidR="0018164E" w:rsidRPr="00405303">
        <w:rPr>
          <w:bCs/>
          <w:color w:val="002060"/>
          <w:sz w:val="16"/>
          <w:szCs w:val="16"/>
        </w:rPr>
        <w:t xml:space="preserve">(8 сентября) </w:t>
      </w:r>
      <w:r w:rsidRPr="00405303">
        <w:rPr>
          <w:bCs/>
          <w:color w:val="002060"/>
          <w:sz w:val="16"/>
          <w:szCs w:val="16"/>
        </w:rPr>
        <w:t>1915 г. ВГК (Николай II) повелел: «В целях полного согласования дела снабжения авиационных и воздухоплавательных частей с интересами армии предоставить Августейшему Заведующему организацией авиационного дела в действующей армии право давать руководящие указания по вопросам (...) заказов и приема [авиа]имущества» (19566).</w:t>
      </w:r>
    </w:p>
    <w:p w14:paraId="371F504F" w14:textId="77777777" w:rsidR="008D0DAF" w:rsidRPr="00405303" w:rsidRDefault="008D0DAF" w:rsidP="00C15251">
      <w:pPr>
        <w:jc w:val="both"/>
        <w:rPr>
          <w:bCs/>
          <w:color w:val="002060"/>
          <w:sz w:val="16"/>
          <w:szCs w:val="16"/>
        </w:rPr>
      </w:pPr>
    </w:p>
    <w:p w14:paraId="41F09211" w14:textId="76E48444" w:rsidR="003746B3" w:rsidRPr="00405303" w:rsidRDefault="003746B3" w:rsidP="00C15251">
      <w:pPr>
        <w:jc w:val="both"/>
        <w:rPr>
          <w:bCs/>
          <w:color w:val="002060"/>
          <w:sz w:val="16"/>
          <w:szCs w:val="16"/>
          <w:lang w:bidi="ru-RU"/>
        </w:rPr>
      </w:pPr>
      <w:r w:rsidRPr="00405303">
        <w:rPr>
          <w:bCs/>
          <w:color w:val="002060"/>
          <w:sz w:val="16"/>
          <w:szCs w:val="16"/>
        </w:rPr>
        <w:t>26 августа (8 сентября) 1915 г. группа германских аэропланов атаковала ст. Наревка (царство Польское), где в то время находился наш санитарный поезд с беженцами. Немецкие летчики сбросили 30 бомб и много металлических стрел (дротиков), повредившие несколько вагонов, а также имелись человеческие жертвы (23405).</w:t>
      </w:r>
    </w:p>
    <w:p w14:paraId="45207D34" w14:textId="77777777" w:rsidR="003746B3" w:rsidRPr="00405303" w:rsidRDefault="003746B3" w:rsidP="00C15251">
      <w:pPr>
        <w:jc w:val="both"/>
        <w:rPr>
          <w:bCs/>
          <w:color w:val="002060"/>
          <w:sz w:val="16"/>
          <w:szCs w:val="16"/>
          <w:lang w:bidi="ru-RU"/>
        </w:rPr>
      </w:pPr>
    </w:p>
    <w:p w14:paraId="212473FE" w14:textId="77777777" w:rsidR="00EF36CA" w:rsidRPr="00405303" w:rsidRDefault="00EF36CA" w:rsidP="00EF36CA">
      <w:pPr>
        <w:jc w:val="both"/>
        <w:rPr>
          <w:color w:val="0070C0"/>
          <w:sz w:val="16"/>
          <w:szCs w:val="16"/>
        </w:rPr>
      </w:pPr>
      <w:r w:rsidRPr="00405303">
        <w:rPr>
          <w:rStyle w:val="aa"/>
          <w:rFonts w:ascii="Times New Roman" w:hAnsi="Times New Roman"/>
          <w:color w:val="0070C0"/>
          <w:spacing w:val="0"/>
          <w:sz w:val="16"/>
          <w:szCs w:val="16"/>
        </w:rPr>
        <w:t xml:space="preserve">26 августа (8 сентября) 1915 г. экипаж цеппелина </w:t>
      </w:r>
      <w:r w:rsidRPr="00405303">
        <w:rPr>
          <w:rStyle w:val="aa"/>
          <w:rFonts w:ascii="Times New Roman" w:hAnsi="Times New Roman"/>
          <w:color w:val="0070C0"/>
          <w:spacing w:val="0"/>
          <w:sz w:val="16"/>
          <w:szCs w:val="16"/>
          <w:lang w:val="en-US"/>
        </w:rPr>
        <w:t>LZ</w:t>
      </w:r>
      <w:r w:rsidRPr="00405303">
        <w:rPr>
          <w:rStyle w:val="aa"/>
          <w:rFonts w:ascii="Times New Roman" w:hAnsi="Times New Roman"/>
          <w:color w:val="0070C0"/>
          <w:spacing w:val="0"/>
          <w:sz w:val="16"/>
          <w:szCs w:val="16"/>
        </w:rPr>
        <w:t>-79 получил боевой приказ бомбардировать железнодорожную магистраль Брест-Литовск – Барановичи и Брест-Литовск – Лунинец. У ст. Жабинка цеппелин снизился до 2 км и сбросил бомбы в 60 и 100 кг. Затем полетел на Кобрин, пересек железную дорогу на Барановичи, у Тевли сбросил последние бомбы на проходивший в этот момент поезд, вызвав неописуемую панику у его пассажиров (25135).</w:t>
      </w:r>
    </w:p>
    <w:p w14:paraId="0E82A6A0" w14:textId="77777777" w:rsidR="00EF36CA" w:rsidRPr="00405303" w:rsidRDefault="00EF36CA" w:rsidP="00EF36CA">
      <w:pPr>
        <w:jc w:val="both"/>
        <w:rPr>
          <w:color w:val="0070C0"/>
          <w:sz w:val="16"/>
          <w:szCs w:val="16"/>
        </w:rPr>
      </w:pPr>
    </w:p>
    <w:p w14:paraId="4758B333" w14:textId="77777777" w:rsidR="001C2313" w:rsidRPr="00405303" w:rsidRDefault="001C2313" w:rsidP="00C15251">
      <w:pPr>
        <w:jc w:val="both"/>
        <w:rPr>
          <w:bCs/>
          <w:i/>
          <w:color w:val="002060"/>
          <w:sz w:val="16"/>
          <w:szCs w:val="16"/>
        </w:rPr>
      </w:pPr>
      <w:r w:rsidRPr="00405303">
        <w:rPr>
          <w:bCs/>
          <w:i/>
          <w:color w:val="002060"/>
          <w:sz w:val="16"/>
          <w:szCs w:val="16"/>
        </w:rPr>
        <w:t>Армия:</w:t>
      </w:r>
    </w:p>
    <w:p w14:paraId="30DF96D3" w14:textId="77777777" w:rsidR="001C2313" w:rsidRPr="00405303" w:rsidRDefault="001C2313" w:rsidP="00C15251">
      <w:pPr>
        <w:jc w:val="both"/>
        <w:rPr>
          <w:bCs/>
          <w:i/>
          <w:color w:val="002060"/>
          <w:sz w:val="16"/>
          <w:szCs w:val="16"/>
        </w:rPr>
      </w:pPr>
    </w:p>
    <w:p w14:paraId="0CA9FAB1" w14:textId="57E1F2DA" w:rsidR="001C2313" w:rsidRPr="00405303" w:rsidRDefault="001C2313" w:rsidP="00C15251">
      <w:pPr>
        <w:jc w:val="both"/>
        <w:rPr>
          <w:bCs/>
          <w:color w:val="002060"/>
          <w:sz w:val="16"/>
          <w:szCs w:val="16"/>
        </w:rPr>
      </w:pPr>
      <w:r w:rsidRPr="00405303">
        <w:rPr>
          <w:bCs/>
          <w:color w:val="002060"/>
          <w:sz w:val="16"/>
          <w:szCs w:val="16"/>
        </w:rPr>
        <w:t xml:space="preserve">26 августа </w:t>
      </w:r>
      <w:r w:rsidR="0018164E" w:rsidRPr="00405303">
        <w:rPr>
          <w:bCs/>
          <w:color w:val="002060"/>
          <w:sz w:val="16"/>
          <w:szCs w:val="16"/>
        </w:rPr>
        <w:t xml:space="preserve">(8 сентября) </w:t>
      </w:r>
      <w:r w:rsidRPr="00405303">
        <w:rPr>
          <w:bCs/>
          <w:color w:val="002060"/>
          <w:sz w:val="16"/>
          <w:szCs w:val="16"/>
        </w:rPr>
        <w:t>в 1915 году на Восточном фронте германские войска оккупируют Брест-Литовск в южной части принадлежавших России польских земель (14994).</w:t>
      </w:r>
    </w:p>
    <w:p w14:paraId="70030A33" w14:textId="77777777" w:rsidR="001C2313" w:rsidRPr="00405303" w:rsidRDefault="001C2313" w:rsidP="00C15251">
      <w:pPr>
        <w:jc w:val="both"/>
        <w:rPr>
          <w:bCs/>
          <w:color w:val="002060"/>
          <w:sz w:val="16"/>
          <w:szCs w:val="16"/>
        </w:rPr>
      </w:pPr>
    </w:p>
    <w:p w14:paraId="3FAB45AE" w14:textId="19A5E69C" w:rsidR="001C2313" w:rsidRPr="00405303" w:rsidRDefault="001C2313" w:rsidP="00C15251">
      <w:pPr>
        <w:jc w:val="both"/>
        <w:rPr>
          <w:bCs/>
          <w:color w:val="002060"/>
          <w:sz w:val="16"/>
          <w:szCs w:val="16"/>
        </w:rPr>
      </w:pPr>
      <w:r w:rsidRPr="00405303">
        <w:rPr>
          <w:bCs/>
          <w:color w:val="002060"/>
          <w:sz w:val="16"/>
          <w:szCs w:val="16"/>
        </w:rPr>
        <w:t>26 августа</w:t>
      </w:r>
      <w:r w:rsidR="0018164E" w:rsidRPr="00405303">
        <w:rPr>
          <w:bCs/>
          <w:color w:val="002060"/>
          <w:sz w:val="16"/>
          <w:szCs w:val="16"/>
        </w:rPr>
        <w:t xml:space="preserve"> (8 сентября)</w:t>
      </w:r>
      <w:r w:rsidRPr="00405303">
        <w:rPr>
          <w:bCs/>
          <w:color w:val="002060"/>
          <w:sz w:val="16"/>
          <w:szCs w:val="16"/>
        </w:rPr>
        <w:t xml:space="preserve"> в 1915 году германские войска взяли Брест-Литовск </w:t>
      </w:r>
    </w:p>
    <w:p w14:paraId="289D077E" w14:textId="77777777" w:rsidR="001C2313" w:rsidRPr="00405303" w:rsidRDefault="001C2313" w:rsidP="00C15251">
      <w:pPr>
        <w:jc w:val="both"/>
        <w:rPr>
          <w:bCs/>
          <w:color w:val="002060"/>
          <w:sz w:val="16"/>
          <w:szCs w:val="16"/>
        </w:rPr>
      </w:pPr>
    </w:p>
    <w:p w14:paraId="71B0CFE8" w14:textId="64681D8F" w:rsidR="0076682D" w:rsidRPr="00405303" w:rsidRDefault="0076682D" w:rsidP="00C15251">
      <w:pPr>
        <w:jc w:val="both"/>
        <w:rPr>
          <w:bCs/>
          <w:i/>
          <w:iCs/>
          <w:color w:val="002060"/>
          <w:sz w:val="16"/>
          <w:szCs w:val="16"/>
        </w:rPr>
      </w:pPr>
      <w:r w:rsidRPr="00405303">
        <w:rPr>
          <w:bCs/>
          <w:i/>
          <w:iCs/>
          <w:color w:val="002060"/>
          <w:sz w:val="16"/>
          <w:szCs w:val="16"/>
        </w:rPr>
        <w:t>Авиация и воздухоплавание Германии:</w:t>
      </w:r>
    </w:p>
    <w:p w14:paraId="2724FB75" w14:textId="77777777" w:rsidR="0076682D" w:rsidRPr="00405303" w:rsidRDefault="0076682D" w:rsidP="00C15251">
      <w:pPr>
        <w:jc w:val="both"/>
        <w:rPr>
          <w:bCs/>
          <w:i/>
          <w:iCs/>
          <w:color w:val="002060"/>
          <w:sz w:val="16"/>
          <w:szCs w:val="16"/>
        </w:rPr>
      </w:pPr>
    </w:p>
    <w:p w14:paraId="1D7D5351" w14:textId="77777777" w:rsidR="0076682D" w:rsidRPr="00405303" w:rsidRDefault="0076682D" w:rsidP="00C15251">
      <w:pPr>
        <w:jc w:val="both"/>
        <w:rPr>
          <w:bCs/>
          <w:color w:val="002060"/>
          <w:sz w:val="16"/>
          <w:szCs w:val="16"/>
        </w:rPr>
      </w:pPr>
      <w:r w:rsidRPr="00405303">
        <w:rPr>
          <w:bCs/>
          <w:color w:val="002060"/>
          <w:sz w:val="16"/>
          <w:szCs w:val="16"/>
        </w:rPr>
        <w:t>26-27 августа (8–9 сентября (ночь)) 1915 четыре цеппелина ВМС Германии пытаются бомбить Англию. Два из них посрадали от неисправности двигателя, в то время как L 9 атакует бензольный завод в Скиннингроув, Йоркшир , но бомбы не пробивают крышу цеха, а также соседнего склада TNT, и нет никаких жертв. L 13, однако, бомбит Лондон, включая сброс 300-кг (661 фунта) бомбы, крупнейшей из всех сброшенных на Британию, в результате чего погибло 22 человека и нанесен наибольший ущерб - оцененный в 530 787 фунтов стерлингов – наибольший ущерб от одного дирижабля или самолета в бомбардировке на протяжении всей Первой мировой войны. Командир дирижабля, капитан-лейтенант Генрих Мати, становится в Германии героем (20338).</w:t>
      </w:r>
    </w:p>
    <w:p w14:paraId="6BF2143A" w14:textId="707E0589" w:rsidR="0076682D" w:rsidRPr="00405303" w:rsidRDefault="0076682D" w:rsidP="00C15251">
      <w:pPr>
        <w:jc w:val="both"/>
        <w:rPr>
          <w:bCs/>
          <w:color w:val="002060"/>
          <w:sz w:val="16"/>
          <w:szCs w:val="16"/>
        </w:rPr>
      </w:pPr>
    </w:p>
    <w:p w14:paraId="12655DC2" w14:textId="77777777" w:rsidR="0018164E" w:rsidRPr="00405303" w:rsidRDefault="0018164E" w:rsidP="00C15251">
      <w:pPr>
        <w:jc w:val="both"/>
        <w:rPr>
          <w:bCs/>
          <w:i/>
          <w:color w:val="002060"/>
          <w:sz w:val="16"/>
          <w:szCs w:val="16"/>
        </w:rPr>
      </w:pPr>
      <w:r w:rsidRPr="00405303">
        <w:rPr>
          <w:bCs/>
          <w:i/>
          <w:color w:val="002060"/>
          <w:sz w:val="16"/>
          <w:szCs w:val="16"/>
        </w:rPr>
        <w:t>Авиация и воздухоплавание Германии:</w:t>
      </w:r>
    </w:p>
    <w:p w14:paraId="55CA92FF" w14:textId="77777777" w:rsidR="0018164E" w:rsidRPr="00405303" w:rsidRDefault="0018164E" w:rsidP="00C15251">
      <w:pPr>
        <w:jc w:val="both"/>
        <w:rPr>
          <w:bCs/>
          <w:i/>
          <w:color w:val="002060"/>
          <w:sz w:val="16"/>
          <w:szCs w:val="16"/>
        </w:rPr>
      </w:pPr>
    </w:p>
    <w:p w14:paraId="57763154" w14:textId="77777777" w:rsidR="0018164E" w:rsidRPr="00405303" w:rsidRDefault="0018164E" w:rsidP="00C15251">
      <w:pPr>
        <w:jc w:val="both"/>
        <w:rPr>
          <w:bCs/>
          <w:color w:val="002060"/>
          <w:sz w:val="16"/>
          <w:szCs w:val="16"/>
        </w:rPr>
      </w:pPr>
      <w:r w:rsidRPr="00405303">
        <w:rPr>
          <w:bCs/>
          <w:color w:val="002060"/>
          <w:sz w:val="16"/>
          <w:szCs w:val="16"/>
        </w:rPr>
        <w:t xml:space="preserve">26 августа (8 сентября) 1915 особенно отличился L-13. В два часа пополудни он плавно отошел от причальной мачты авиабазы Хаг и взял курс на Лондон. Во избежание повторения неприятностей, которые случились с кораблем во время предыдущего рейда, двигатели L-13 были перебраны и несколько раз проверены в испытательных полетах. Командирское место на мостике в этот раз занял капитан-лейтенант Генрих Мати, бывший командир эскадренного миноносца, добровольно перешедший служить на дирижабли со дня создания Дивизиона воздушных кораблей. По мнению Штрассера, Мати был самым опытным и способным офицером его части. Это мнение разделяли все без исключения офицеры. </w:t>
      </w:r>
    </w:p>
    <w:p w14:paraId="6C4F448C" w14:textId="77777777" w:rsidR="0018164E" w:rsidRPr="00405303" w:rsidRDefault="0018164E" w:rsidP="00C15251">
      <w:pPr>
        <w:jc w:val="both"/>
        <w:rPr>
          <w:bCs/>
          <w:color w:val="002060"/>
          <w:sz w:val="16"/>
          <w:szCs w:val="16"/>
        </w:rPr>
      </w:pPr>
      <w:r w:rsidRPr="00405303">
        <w:rPr>
          <w:bCs/>
          <w:color w:val="002060"/>
          <w:sz w:val="16"/>
          <w:szCs w:val="16"/>
        </w:rPr>
        <w:t xml:space="preserve">Генрих Мати и дирижабли взрослели одновременно. Еще подростком Мати поднимался в небо на привязных аэростатах и воздушных шарах. Первый опыт управляемых полетов на летательных аппаратах легче воздуха он получил на мягких дирижаблях задолго до начала Первой мировой войны. Мати был прекрасно знаком с возможностями и недостатками дирижаблей, как говорят летчики, «чувствовал» их и мог подчинять этих неповоротливых воздушных монстров своей воле. Мати никогда не был «небесным гусаром», но рисковал всегда, когда [133] был уверен в своей правоте и успехе задуманного им предприятия. Так, однажды перед вылетом на бомбардировку Британских островов он приказал снять с цеппелина все пулеметы и запас патронов для того, чтобы взять побольше бомб. На удивленные вопросы сослуживцев Мати отвечал: «Англичане еще не научились летать ночью, а против зениток пулемет не защита». </w:t>
      </w:r>
    </w:p>
    <w:p w14:paraId="38059151" w14:textId="77777777" w:rsidR="0018164E" w:rsidRPr="00405303" w:rsidRDefault="0018164E" w:rsidP="00C15251">
      <w:pPr>
        <w:jc w:val="both"/>
        <w:rPr>
          <w:bCs/>
          <w:color w:val="002060"/>
          <w:sz w:val="16"/>
          <w:szCs w:val="16"/>
        </w:rPr>
      </w:pPr>
      <w:r w:rsidRPr="00405303">
        <w:rPr>
          <w:bCs/>
          <w:color w:val="002060"/>
          <w:sz w:val="16"/>
          <w:szCs w:val="16"/>
        </w:rPr>
        <w:t xml:space="preserve">Несмотря на то что Штрассер очень ценил Генриха Мати как командира дирижабля и считал его своим близким другом, их взгляды на массированные налеты на Англию были диаметрально противоположными. Штрассер полагал необходимым значительно уменьшить интенсивность рейдов до тех пор, пока не будут построены цеппелины с увеличенным потолком полета. Его точка зрения основывалась на весьма печальных фактах — только за 1915 год из-за [134] боевых действий противника было потеряно 10 дирижаблей, 160 аэронавтов погибли. Мати был уверен в обратном: «Да, мы несем тяжелые потери. Да, материальный урон, который наносят противнику наши бомбардировки, незначителен. Но наша помощь фронту заключается не только в этом. Для того чтобы защитить Британию даже от одиночных рейдов, англичанам приходится держать на островах целую армию, которая в случае прекращения бомбардировок немедленно окажется на Западном фронте. Вряд ли германские солдаты, сидящие в окопах под Верденом, будут нам за это благодарны». Точку в затянувшейся дискуссии — продолжать ли налеты на Англию или отложить их до тех пор, пока дивизион не получит новые корабли, поставила осенняя непогода. Цеппелины замерли в эллингах, а Штрассер, Мати и другие офицеры-воздухоплаватели получили возможность заняться совершенствованием тактики и стратегии массированных бомбардировок Лондона и других крупных промышленных центров Великобритании. </w:t>
      </w:r>
    </w:p>
    <w:p w14:paraId="48A49DFA" w14:textId="77777777" w:rsidR="0018164E" w:rsidRPr="00405303" w:rsidRDefault="0018164E" w:rsidP="00C15251">
      <w:pPr>
        <w:jc w:val="both"/>
        <w:rPr>
          <w:bCs/>
          <w:color w:val="002060"/>
          <w:sz w:val="16"/>
          <w:szCs w:val="16"/>
        </w:rPr>
      </w:pPr>
      <w:r w:rsidRPr="00405303">
        <w:rPr>
          <w:bCs/>
          <w:color w:val="002060"/>
          <w:sz w:val="16"/>
          <w:szCs w:val="16"/>
        </w:rPr>
        <w:t xml:space="preserve">В ходе своеобразных «научно-практических конференций» командиры дирижаблей делились своими взглядами на будущее этого нового вида оружия, обсуждали тактические приемы и делились «маленькими хитростями», помогавшими обмануть неприятеля и невредимыми вернуться домой, которые в достатке имелись у каждого, кто не раз водил свои громадные корабли в ночные рейды. И здесь Генрих Мати оказался на высоте. В частности, он первым предложил отказаться от прежней тактики уклонения от лучей прожекторов, которая заключалась в постоянной перемене курса полета, так называемом «слаломе». Лавирование позволяло довольно легко уходить от сопровождения прожекторными установками, но очень сильно мешало работе бомбардира, который не успевал вносить поправки в данные для бомбометания, в результате чего и без того невысокая точность ночных атак становилась практически нулевой. Мати считал, что лучшей защитой дирижабля от зенитного огня является скорость, и поэтому настаивал на том, что на цель следует выходить по прямой, имея ветер в корму, сокращая тем самым время нахождения в зоне обнаружения и поражения средствами ПВО. </w:t>
      </w:r>
    </w:p>
    <w:p w14:paraId="6E4D5995" w14:textId="77777777" w:rsidR="0018164E" w:rsidRPr="00405303" w:rsidRDefault="0018164E" w:rsidP="00C15251">
      <w:pPr>
        <w:jc w:val="both"/>
        <w:rPr>
          <w:bCs/>
          <w:color w:val="002060"/>
          <w:sz w:val="16"/>
          <w:szCs w:val="16"/>
        </w:rPr>
      </w:pPr>
      <w:r w:rsidRPr="00405303">
        <w:rPr>
          <w:bCs/>
          <w:color w:val="002060"/>
          <w:sz w:val="16"/>
          <w:szCs w:val="16"/>
        </w:rPr>
        <w:t xml:space="preserve">Генриху Мати принадлежала идея довольно остроумной «ловушки» для английских зенитчиков. Для того чтобы сбивать с толку расчеты прожекторов и орудий, он предложил экипажам дирижаблей иметь на борту комплект сигнальных ракет белого цвета. Дело в том, что точно такие же ракеты использовали пилоты истребителей-перехватчиков для обозначения своего присутствия в воздухе. Заметив белую ракету, прожектористы, чтобы не слепить своих летчиков, должны были немедленно выключить прожекторы, а расчеты зенитных орудий соответственно были вынуждены прекращать огонь. Даже несколько десятков секунд замешательства в стане неприятеля позволяли цеппелину незаметно ускользнуть из опасного [135] района. Особое внимание командиров дирижаблей Венке обратил на то, что прожекторы противника не в состоянии удерживать дирижабль в луче, если тот летит на высоте более трех километров. </w:t>
      </w:r>
    </w:p>
    <w:p w14:paraId="28729A33" w14:textId="77777777" w:rsidR="0018164E" w:rsidRPr="00405303" w:rsidRDefault="0018164E" w:rsidP="00C15251">
      <w:pPr>
        <w:jc w:val="both"/>
        <w:rPr>
          <w:bCs/>
          <w:color w:val="002060"/>
          <w:sz w:val="16"/>
          <w:szCs w:val="16"/>
        </w:rPr>
      </w:pPr>
      <w:r w:rsidRPr="00405303">
        <w:rPr>
          <w:bCs/>
          <w:color w:val="002060"/>
          <w:sz w:val="16"/>
          <w:szCs w:val="16"/>
        </w:rPr>
        <w:lastRenderedPageBreak/>
        <w:t xml:space="preserve">Делясь с другими своим богатым опытом, капитан-лейтенант Мати не считал зазорным прислушиваться к чужим советам. Особенно ценным он считал мнение Фридриха Венке, которому удалось-таки совершить тот «идеальный» налет на Лондон, о котором так мечтал Петер Штрассер. </w:t>
      </w:r>
    </w:p>
    <w:p w14:paraId="4F924DC0" w14:textId="77777777" w:rsidR="0018164E" w:rsidRPr="00405303" w:rsidRDefault="0018164E" w:rsidP="00C15251">
      <w:pPr>
        <w:jc w:val="both"/>
        <w:rPr>
          <w:bCs/>
          <w:color w:val="002060"/>
          <w:sz w:val="16"/>
          <w:szCs w:val="16"/>
        </w:rPr>
      </w:pPr>
      <w:r w:rsidRPr="00405303">
        <w:rPr>
          <w:bCs/>
          <w:color w:val="002060"/>
          <w:sz w:val="16"/>
          <w:szCs w:val="16"/>
        </w:rPr>
        <w:t xml:space="preserve">8 сентября 1915 года Генрих Мати собирался повторить успех своего коллеги, даже превзойти его. Тем более, что он был не один. Погода благоприятствовала рейду, поэтому рандеву воздушных кораблей прошло успешно, и, рокоча моторами «Майбах» СХ, цеппелины развернулись в сторону Британских островов. В 8.30 вечера, на час раньше назначенного срока, «эскадра» Мати подошла к английскому берегу. Попутный ветер заметно прибавил цеппелинам скорости, и Мати пришлось еще добрых три четверти часа кружить на минимальных оборотах винтов вне видимости берега. Впрочем, задержка пошла даже на пользу потому, что экипажи получили возможность передохнуть после семичасового перелета. Наконец стемнело, и Генрих Мати решил, что пора приступать к выполнению задания. </w:t>
      </w:r>
    </w:p>
    <w:p w14:paraId="3ABD9392" w14:textId="77777777" w:rsidR="0018164E" w:rsidRPr="00405303" w:rsidRDefault="0018164E" w:rsidP="00C15251">
      <w:pPr>
        <w:jc w:val="both"/>
        <w:rPr>
          <w:bCs/>
          <w:color w:val="002060"/>
          <w:sz w:val="16"/>
          <w:szCs w:val="16"/>
        </w:rPr>
      </w:pPr>
      <w:r w:rsidRPr="00405303">
        <w:rPr>
          <w:bCs/>
          <w:color w:val="002060"/>
          <w:sz w:val="16"/>
          <w:szCs w:val="16"/>
        </w:rPr>
        <w:t xml:space="preserve">К этому моменту L-13 остался в одиночестве. L-9 ушел вперед, чтобы попытаться нанести удар по химическому заводу, расположенному на северном побережье Англии, a L-11 и L-14 отстали в наступивших сумерках. Видимо, неполадки в двигателях не позволяли им поддерживать необходимую скорость. Выяснить, куда же подевались эти корабли, Мати не мог из-за режима радиомолчания, неукоснительно соблюдавшегося с момента рандеву. </w:t>
      </w:r>
    </w:p>
    <w:p w14:paraId="15D31332" w14:textId="77777777" w:rsidR="0018164E" w:rsidRPr="00405303" w:rsidRDefault="0018164E" w:rsidP="00C15251">
      <w:pPr>
        <w:jc w:val="both"/>
        <w:rPr>
          <w:bCs/>
          <w:color w:val="002060"/>
          <w:sz w:val="16"/>
          <w:szCs w:val="16"/>
        </w:rPr>
      </w:pPr>
      <w:r w:rsidRPr="00405303">
        <w:rPr>
          <w:bCs/>
          <w:color w:val="002060"/>
          <w:sz w:val="16"/>
          <w:szCs w:val="16"/>
        </w:rPr>
        <w:t xml:space="preserve">Следует отметить, что что для своих радиосообщений германские цеппелины часто пользовались так называемым кодом «HVB» (Handels schiffsverkehprsbuch) — официальным кодом германского торгового флота. Один экземпляр этой книги попал в руки англичан в Австралии еще в начале войны, второй был выловлен сетями траулера в Северном море. Таким образом, англичане получили возможность иногда перехватывать переговоры командиров цеппелинов. </w:t>
      </w:r>
    </w:p>
    <w:p w14:paraId="5D941FC2" w14:textId="77777777" w:rsidR="0018164E" w:rsidRPr="00405303" w:rsidRDefault="0018164E" w:rsidP="00C15251">
      <w:pPr>
        <w:jc w:val="both"/>
        <w:rPr>
          <w:bCs/>
          <w:color w:val="002060"/>
          <w:sz w:val="16"/>
          <w:szCs w:val="16"/>
        </w:rPr>
      </w:pPr>
      <w:r w:rsidRPr="00405303">
        <w:rPr>
          <w:bCs/>
          <w:color w:val="002060"/>
          <w:sz w:val="16"/>
          <w:szCs w:val="16"/>
        </w:rPr>
        <w:t xml:space="preserve">Ночь была исключительно благоприятной для нападения. На угольно-черном небе ярко сверкали звезды, от предательницы-луны, главного врага цеппелинов в первых налетах, серебрился только узенький серпик. </w:t>
      </w:r>
      <w:proofErr w:type="gramStart"/>
      <w:r w:rsidRPr="00405303">
        <w:rPr>
          <w:bCs/>
          <w:color w:val="002060"/>
          <w:sz w:val="16"/>
          <w:szCs w:val="16"/>
        </w:rPr>
        <w:t>Приглушено</w:t>
      </w:r>
      <w:proofErr w:type="gramEnd"/>
      <w:r w:rsidRPr="00405303">
        <w:rPr>
          <w:bCs/>
          <w:color w:val="002060"/>
          <w:sz w:val="16"/>
          <w:szCs w:val="16"/>
        </w:rPr>
        <w:t xml:space="preserve"> урча моторами, L-13 набирал высоту над английской землей. Генрих Мати планировал выйти на Лондон с той стороны, откуда его меньше всего ожидали — с севера, из глубины Британии. Больше всего командира дирижабля тревожила возможная потеря ориентировки в случае введения англичанами в действие плана по затемнению. Однако, к большому удивлению Мати, под воздушным кораблем медленно проплывали ярко освещенные городки и деревни, выбрасывая снопы искр из паровозных [136] труб, по рельсам бежали поезда, по реке Кем, притоку Темзы, скользили баржи и пароходы. Мати не верил своей удаче — британская служба наблюдения и оповещения проморгала их пролет над побережьем! Безо всякого труда штурман L-13 вывел дирижабль на Кембридж, расположенный в семидесяти километрах к северу от Лондона. Город сверкал ослепительным морем огней. Отсюда Мати рассчитывал начать заход на неприятельскую столицу. </w:t>
      </w:r>
    </w:p>
    <w:p w14:paraId="169330F8" w14:textId="77777777" w:rsidR="0018164E" w:rsidRPr="00405303" w:rsidRDefault="0018164E" w:rsidP="00C15251">
      <w:pPr>
        <w:jc w:val="both"/>
        <w:rPr>
          <w:bCs/>
          <w:color w:val="002060"/>
          <w:sz w:val="16"/>
          <w:szCs w:val="16"/>
        </w:rPr>
      </w:pPr>
      <w:r w:rsidRPr="00405303">
        <w:rPr>
          <w:bCs/>
          <w:color w:val="002060"/>
          <w:sz w:val="16"/>
          <w:szCs w:val="16"/>
        </w:rPr>
        <w:t xml:space="preserve">Зарево огней, стоявшее над огромным городом, успокаивало — L-13 до сих пор не был обнаружен. «Увеличить высоту до 2800 метров», — скомандовал Мати, и громадная сигара цеппелина слегка приподняла нос. Генрих Мати недаром считался самым удачливым командиром. Он старался не давать противнику ни малейшего шанса на успех. Несмотря на то что практически вся английская авиация находилась на Западном фронте, а большинство зенитных орудий, прикрывавших Лондон, имели вертикальную дальность стрельбы менее двух километров, Мати хотел исключить даже ничтожно малую вероятность поражения дирижабля каким-нибудь шальным снарядом. По мере </w:t>
      </w:r>
      <w:proofErr w:type="gramStart"/>
      <w:r w:rsidRPr="00405303">
        <w:rPr>
          <w:bCs/>
          <w:color w:val="002060"/>
          <w:sz w:val="16"/>
          <w:szCs w:val="16"/>
        </w:rPr>
        <w:t>того</w:t>
      </w:r>
      <w:proofErr w:type="gramEnd"/>
      <w:r w:rsidRPr="00405303">
        <w:rPr>
          <w:bCs/>
          <w:color w:val="002060"/>
          <w:sz w:val="16"/>
          <w:szCs w:val="16"/>
        </w:rPr>
        <w:t xml:space="preserve"> как воздушный корабль забирался выше и выше, в неотапливаемой, продуваемой всеми ветрами рубке управления становилось все холоднее. Аэронавты ежились в своих кожаных регланах на меху, и только командир, казалось, не чувствовал никакого дискомфорта. Он спокойно стоял в распахнутом реглане и в бинокль высматривал цели для бомбового удара. А он обещал быть весьма болезненным — L-13 нес около двух тонн зажигательных и фугасных бомб, среди которых находилось и «чудо-оружие» — фугаска весом 300 кг. По тем временам это была одна из самых мощных бомб, которую способен был поднять летательный аппарат. Осенью 1915 года русские авиаторы сбросили с бомбардировщика «Илья Муромец» 410-килограммовую бомбу, но эти работы так и не вышли из стадии эксперимента. Обычная бомбовая нагрузка этого «летающего крейсера» не превышала 150-200 кг. </w:t>
      </w:r>
    </w:p>
    <w:p w14:paraId="27CA4541" w14:textId="77777777" w:rsidR="0018164E" w:rsidRPr="00405303" w:rsidRDefault="0018164E" w:rsidP="00C15251">
      <w:pPr>
        <w:jc w:val="both"/>
        <w:rPr>
          <w:bCs/>
          <w:color w:val="002060"/>
          <w:sz w:val="16"/>
          <w:szCs w:val="16"/>
        </w:rPr>
      </w:pPr>
      <w:r w:rsidRPr="00405303">
        <w:rPr>
          <w:bCs/>
          <w:color w:val="002060"/>
          <w:sz w:val="16"/>
          <w:szCs w:val="16"/>
        </w:rPr>
        <w:t xml:space="preserve">Центр Лондона был частично затемнен, но Генрих Мати, который до войны не раз бывал в британской столице, легко, словно на карте, определял контуры кварталов, проплывавших внизу. L-13 уже миновал северо-западную окраину Лондона, и члены экипажа, возбужденные опасностью и чувством близкой победы, забыв о субординации, устроили в рубке настоящий базар. Каждый считал своим долгом указать командиру на достойный, по его мнению, объект для бомбардировки. Мати, прекрасно понимавший состояние своих подчиненных, не одергивал их слишком резко. «Главное — не торопиться, — повторял он. — Раз уж мы забрались в королевский дворец, то надо как следует побуянить в тронном зале, а не колотить горшки на кухне». И когда впереди замаячил характерный силуэт здания британского парламента, он отдал команду: «Приготовиться!». </w:t>
      </w:r>
    </w:p>
    <w:p w14:paraId="15CF9A12" w14:textId="77777777" w:rsidR="0018164E" w:rsidRPr="00405303" w:rsidRDefault="0018164E" w:rsidP="00C15251">
      <w:pPr>
        <w:jc w:val="both"/>
        <w:rPr>
          <w:bCs/>
          <w:color w:val="002060"/>
          <w:sz w:val="16"/>
          <w:szCs w:val="16"/>
        </w:rPr>
      </w:pPr>
      <w:r w:rsidRPr="00405303">
        <w:rPr>
          <w:bCs/>
          <w:color w:val="002060"/>
          <w:sz w:val="16"/>
          <w:szCs w:val="16"/>
        </w:rPr>
        <w:t xml:space="preserve">Хронометр в рулевой рубке L-13 показывал 22.49, когда первая серия фугасных и зажигательных [137] бомб ушла в темноту. Дирижабль, освободившись от груза, рванулся вверх. «Вторая серия — пошла!» — крикнул Мати, и следующий десяток смертоносных снарядов обрушился на беззащитный город. Наконец-то спохватились английские зенитчики — в небе беспорядочно захлопали разрывы шрапнели, а белые лучи прожекторов, словно пальцы слепца, начали нащупывать в кромешной темноте серебристую «сигару» цеппелина. В воздух поднялись 6 самолетов. Однако освещение на улицах Лондона продолжало гореть как ни в чем не бывало, и Генрих Мати решил пока не вводить в дело свой «главный калибр», 300-килограммовой бомбой он рассчитывал поразить здание Английского банка, обнаружить которое в ярком свете уличных фонарей было не так-то сложно. Но тут первый луч прожектора скользнул по борту L-13, ослепив на несколько секунд весь экипаж. Как не велико было желание покружить над Лондоном еще несколько минут, но опытный Мати понимал, что его основной козырь, внезапность, уже утерян. Сейчас прожектористы вцепятся в дирижабль мертвой хваткой, а 26 зенитных орудий, прикрывающих центр города, сосредоточат всю мощь огня на попавшем в ловушку L-13. Целиться стало практически невозможно, и командир принял единственно правильное в этой ситуации решение — избавиться от бомбового груза и уходить. </w:t>
      </w:r>
    </w:p>
    <w:p w14:paraId="585654A4" w14:textId="77777777" w:rsidR="0018164E" w:rsidRPr="00405303" w:rsidRDefault="0018164E" w:rsidP="00C15251">
      <w:pPr>
        <w:jc w:val="both"/>
        <w:rPr>
          <w:bCs/>
          <w:color w:val="002060"/>
          <w:sz w:val="16"/>
          <w:szCs w:val="16"/>
        </w:rPr>
      </w:pPr>
      <w:r w:rsidRPr="00405303">
        <w:rPr>
          <w:bCs/>
          <w:color w:val="002060"/>
          <w:sz w:val="16"/>
          <w:szCs w:val="16"/>
        </w:rPr>
        <w:t xml:space="preserve">Третий залп был самым мощным. Вместе с «колосс-бомбой» на Лондон пролился настоящий дождь зажигалок и фугасок. Четыре «Майбаха» взревели во всю мощь, и, набирая скорость, L-13 скрылся в спасительной темноте. Последней точкой в этом налете стали 2 бомбы, сброшенные на Ливерпульский вокзал (попавшие, однако, в стоявшие на привокзальной площади омнибусы). Оставив за собой 109 убитых и раненых, более 500 000 фунтов стерлингов материального ущерба и гигантский пожар, бушующий в центре города, воздушный корабль Генриха Мати бесследно растаял в ночном небе Англии... </w:t>
      </w:r>
    </w:p>
    <w:p w14:paraId="02FA08F3" w14:textId="77777777" w:rsidR="0018164E" w:rsidRPr="00405303" w:rsidRDefault="0018164E" w:rsidP="00C15251">
      <w:pPr>
        <w:jc w:val="both"/>
        <w:rPr>
          <w:bCs/>
          <w:color w:val="002060"/>
          <w:sz w:val="16"/>
          <w:szCs w:val="16"/>
        </w:rPr>
      </w:pPr>
      <w:r w:rsidRPr="00405303">
        <w:rPr>
          <w:bCs/>
          <w:color w:val="002060"/>
          <w:sz w:val="16"/>
          <w:szCs w:val="16"/>
        </w:rPr>
        <w:t xml:space="preserve">Рейд 8 сентября 1915 года стал самым удачным налетом на британскую столицу за всю историю Дивизиона воздушных кораблей. Неудивительно, что историография этого, скажем прямо, неординарного события, весьма обширна. Вот, к примеру, свидетельство старшего механика L-13, находившегося во время бомбардировки Лондона в рулевой гондоле рядом с Генрихом Мати. </w:t>
      </w:r>
    </w:p>
    <w:p w14:paraId="4D35FEEF" w14:textId="77777777" w:rsidR="0018164E" w:rsidRPr="00405303" w:rsidRDefault="0018164E" w:rsidP="00C15251">
      <w:pPr>
        <w:jc w:val="both"/>
        <w:rPr>
          <w:bCs/>
          <w:color w:val="002060"/>
          <w:sz w:val="16"/>
          <w:szCs w:val="16"/>
        </w:rPr>
      </w:pPr>
      <w:r w:rsidRPr="00405303">
        <w:rPr>
          <w:bCs/>
          <w:color w:val="002060"/>
          <w:sz w:val="16"/>
          <w:szCs w:val="16"/>
        </w:rPr>
        <w:t xml:space="preserve">«Самую большую бомбу мы сбросили с высоты примерно в два с половиной километра. К сожалению, в цель она не попала, но даже с той высоты, на которой находился L-13, можно было разглядеть чудовищный масштаб разрушений, вызванных взрывом 300-килограммового монстра. Целый городской квартал превратился в груду обломков и щебня. Через несколько секунд на этом же месте начал разгораться пожар, охвативший затем всю центральную часть Лондона. Эта картина казалась нам совершенно фантастической, и буквально весь экипаж словно завороженный застыл у иллюминаторов гондолы. И вдруг — резкий [138] свет, ослепительный, как удар по глазам. Это зенитный прожектор поймал нас в свой луч. Когда ко мне вернулось зрение, на фоне огненного ковра, застилавшего Лондон, сквозь слезы я разглядел странные темные шарики, которые как бы подплывали к дирижаблю все ближе и ближе. Другие члены команды L-13 с неменьшим интересом разглядывали эти штуки, пытаясь понять, что же все-таки это такое. Внезапная догадка пронзила меня, словно электрический ток. Шрапнель! И действительно, это были разрывы зенитных снарядов, медленно, но верно приближавшиеся к нашему воздушному кораблю, в оболочке которого находилось 35 000 куб. м водорода. </w:t>
      </w:r>
    </w:p>
    <w:p w14:paraId="2B81FA8F" w14:textId="77777777" w:rsidR="0018164E" w:rsidRPr="00405303" w:rsidRDefault="0018164E" w:rsidP="00C15251">
      <w:pPr>
        <w:jc w:val="both"/>
        <w:rPr>
          <w:bCs/>
          <w:color w:val="002060"/>
          <w:sz w:val="16"/>
          <w:szCs w:val="16"/>
        </w:rPr>
      </w:pPr>
      <w:r w:rsidRPr="00405303">
        <w:rPr>
          <w:bCs/>
          <w:color w:val="002060"/>
          <w:sz w:val="16"/>
          <w:szCs w:val="16"/>
        </w:rPr>
        <w:t xml:space="preserve">Видимо, я не один был таким догадливым — кто-то в рубке заорал не своим голосом: «Пора сматываться отсюда к чертовой матери!» Этот призыв был поддержан другими членами команды с большим энтузиазмом, но наш командир казался абсолютно безразличен к этим воплям. Он приказал сделать еще один круг над центром, чтобы подыскать цель для последних двух фугасок. Генрих Мати был спокоен так, будто он находился не под обстрелом на мостике цеппелина, а сидел в прогулочной лодке, выбирая на берегу самое удобное место для пикника. Да, черт возьми, такого командира дирижабля надо было еще поискать! </w:t>
      </w:r>
    </w:p>
    <w:p w14:paraId="3476015D" w14:textId="77777777" w:rsidR="0018164E" w:rsidRPr="00405303" w:rsidRDefault="0018164E" w:rsidP="00C15251">
      <w:pPr>
        <w:jc w:val="both"/>
        <w:rPr>
          <w:bCs/>
          <w:color w:val="002060"/>
          <w:sz w:val="16"/>
          <w:szCs w:val="16"/>
        </w:rPr>
      </w:pPr>
      <w:r w:rsidRPr="00405303">
        <w:rPr>
          <w:bCs/>
          <w:color w:val="002060"/>
          <w:sz w:val="16"/>
          <w:szCs w:val="16"/>
        </w:rPr>
        <w:t xml:space="preserve">Оставшиеся бомбы мы сбросили на железнодорожную станцию. Удар был точным — вверх полетели рельсы, обломки пакгауза и двух больших автобусов, стоявших перед зданием вокзала. Разглядеть эти подробности не составляло никакого труда — по улицам Лондона текли огненные реки пожаров, вызванных нашими зажигалками. </w:t>
      </w:r>
    </w:p>
    <w:p w14:paraId="2E1F1637" w14:textId="77777777" w:rsidR="0018164E" w:rsidRPr="00405303" w:rsidRDefault="0018164E" w:rsidP="00C15251">
      <w:pPr>
        <w:jc w:val="both"/>
        <w:rPr>
          <w:bCs/>
          <w:color w:val="002060"/>
          <w:sz w:val="16"/>
          <w:szCs w:val="16"/>
        </w:rPr>
      </w:pPr>
      <w:r w:rsidRPr="00405303">
        <w:rPr>
          <w:bCs/>
          <w:color w:val="002060"/>
          <w:sz w:val="16"/>
          <w:szCs w:val="16"/>
        </w:rPr>
        <w:t xml:space="preserve">Наконец-то Мати успокоился. Все, что мог, он уже сделал. Бомбы закончились, пришло время выходить из боя. Он приказал дать полный ход и увеличить высоту полета до трех с половиной километров. Эта предосторожность была явно не лишней — зенитные снаряды начинали рваться в опасной близости от дирижабля, и </w:t>
      </w:r>
      <w:r w:rsidRPr="00405303">
        <w:rPr>
          <w:bCs/>
          <w:color w:val="002060"/>
          <w:sz w:val="16"/>
          <w:szCs w:val="16"/>
        </w:rPr>
        <w:lastRenderedPageBreak/>
        <w:t xml:space="preserve">достаточно было маленького раскаленного осколка, чтобы L-13 превратился в погребальный костер для всех шестнадцати членов его команды. Парашютов мы с собой никогда не брали. Во-первых, они были еще слишком ненадежны, а во-вторых, тяжелые и громоздкие ранцы «съедали» драгоценные килограммы полезной нагрузки. Вместо них мы либо грузили лишнюю пару-тройку бомб, либо заливали несколько десятков литров горючего. </w:t>
      </w:r>
    </w:p>
    <w:p w14:paraId="79A4161E" w14:textId="77777777" w:rsidR="0018164E" w:rsidRPr="00405303" w:rsidRDefault="0018164E" w:rsidP="00C15251">
      <w:pPr>
        <w:jc w:val="both"/>
        <w:rPr>
          <w:bCs/>
          <w:color w:val="002060"/>
          <w:sz w:val="16"/>
          <w:szCs w:val="16"/>
        </w:rPr>
      </w:pPr>
      <w:r w:rsidRPr="00405303">
        <w:rPr>
          <w:bCs/>
          <w:color w:val="002060"/>
          <w:sz w:val="16"/>
          <w:szCs w:val="16"/>
        </w:rPr>
        <w:t xml:space="preserve">Когда горящий Лондон остался позади и я смог перевести дух, то с удивлением обнаружил, что несмотря на зверский холод, который царил в продуваемой всеми ветрами гондоле, пот буквально катится с меня градом. Слаженный рев «Майбахов», за которыми я неусыпно следил во время всего пути, успокаивал, вселяя надежду на благополучное возвращение домой. Те 12 минут, которые мы провели над центром британской столицы, показались мне вечностью. Целых 10 часов понадобилось L-13 чтобы пересечь Северное море [139] и добраться до своего эллинга. Подвахтенные забрались в свои подвесные койки и захрапели. Я же, отстояв две вахты, буквально валился с ног, но так и не смог сомкнуть глаз. Нервное напряжение было так велико, что несмотря на смертельную усталость, сон не шел ко мне. </w:t>
      </w:r>
    </w:p>
    <w:p w14:paraId="26F16A72" w14:textId="77777777" w:rsidR="0018164E" w:rsidRPr="00405303" w:rsidRDefault="0018164E" w:rsidP="00C15251">
      <w:pPr>
        <w:jc w:val="both"/>
        <w:rPr>
          <w:bCs/>
          <w:color w:val="002060"/>
          <w:sz w:val="16"/>
          <w:szCs w:val="16"/>
        </w:rPr>
      </w:pPr>
      <w:r w:rsidRPr="00405303">
        <w:rPr>
          <w:bCs/>
          <w:color w:val="002060"/>
          <w:sz w:val="16"/>
          <w:szCs w:val="16"/>
        </w:rPr>
        <w:t xml:space="preserve">Я смотрел на занимавшийся рассвет и, может быть впервые, понимал, насколько он прекрасен. Я никогда не был верующим человеком, нет. Но в это утро я благодарил Бога за то, что он не дал мне умереть. И я молился о том, чтобы удача сопутствовала нам в следующем рейде. И в следующем. И в тех, что будут потом. Но в глубине души я чувствовал, что от судьбы не уйдешь. В полной мере это чувство знакомо, пожалуй, только подводникам и боевым аэронавтам. Рано или поздно каждый из нас должен вытащить из колоды туза пик». </w:t>
      </w:r>
    </w:p>
    <w:p w14:paraId="168D6079" w14:textId="77777777" w:rsidR="0018164E" w:rsidRPr="00405303" w:rsidRDefault="0018164E" w:rsidP="00C15251">
      <w:pPr>
        <w:jc w:val="both"/>
        <w:rPr>
          <w:bCs/>
          <w:color w:val="002060"/>
          <w:sz w:val="16"/>
          <w:szCs w:val="16"/>
        </w:rPr>
      </w:pPr>
      <w:r w:rsidRPr="00405303">
        <w:rPr>
          <w:bCs/>
          <w:color w:val="002060"/>
          <w:sz w:val="16"/>
          <w:szCs w:val="16"/>
        </w:rPr>
        <w:t xml:space="preserve">Итак, экипаж L-13 как триумфаторов встречал весь личный состав Дивизиона воздушных кораблей. А что же противная сторона? Как пережили этот разрушительный налет жители британской столицы? Американский репортер А. Шеферд, ставший очевидцем бомбардировки, оставил после себя следующее свидетельство: </w:t>
      </w:r>
    </w:p>
    <w:p w14:paraId="48BAB941" w14:textId="77777777" w:rsidR="0018164E" w:rsidRPr="00405303" w:rsidRDefault="0018164E" w:rsidP="00C15251">
      <w:pPr>
        <w:jc w:val="both"/>
        <w:rPr>
          <w:bCs/>
          <w:color w:val="002060"/>
          <w:sz w:val="16"/>
          <w:szCs w:val="16"/>
        </w:rPr>
      </w:pPr>
      <w:r w:rsidRPr="00405303">
        <w:rPr>
          <w:bCs/>
          <w:color w:val="002060"/>
          <w:sz w:val="16"/>
          <w:szCs w:val="16"/>
        </w:rPr>
        <w:t xml:space="preserve">«...Все движение на улицах замерло. Тысячи людей провожали глазами продолговатый силуэт цеппелина, так мирно плывущий среди осенних звезд. Время от времени лучи прожекторов касались боков несущего смерть корабля, и тогда его корпус начинал светиться лунно-желтым светом. Город сотрясали разрывы бомб. Смерть и разрушение пришли в Лондон. Отчаянно лаяли зенитки, пытаясь поразить шрапнелью неуязвимого врага. </w:t>
      </w:r>
    </w:p>
    <w:p w14:paraId="3E61CE67" w14:textId="77777777" w:rsidR="0018164E" w:rsidRPr="00405303" w:rsidRDefault="0018164E" w:rsidP="00C15251">
      <w:pPr>
        <w:jc w:val="both"/>
        <w:rPr>
          <w:bCs/>
          <w:color w:val="002060"/>
          <w:sz w:val="16"/>
          <w:szCs w:val="16"/>
        </w:rPr>
      </w:pPr>
      <w:r w:rsidRPr="00405303">
        <w:rPr>
          <w:bCs/>
          <w:color w:val="002060"/>
          <w:sz w:val="16"/>
          <w:szCs w:val="16"/>
        </w:rPr>
        <w:t xml:space="preserve">— Ради всего святого, не делайте этого! — услышал я рядом испуганный шепот. Один человек умолял другого погасить спичку, от которой тот пытался прикурить. И тут я вдруг обратил внимание, что люди вокруг меня боялись открыть рот! Они разговаривали только шепотом, словно неосторожный, громкий звук мог достигнуть ушей тех, кто управлял цеппелином, и новая порция бомб тотчас же обрушилась бы на голову болтуна и заставила его замолчать навеки. </w:t>
      </w:r>
    </w:p>
    <w:p w14:paraId="49380C73" w14:textId="77777777" w:rsidR="0018164E" w:rsidRPr="00405303" w:rsidRDefault="0018164E" w:rsidP="00C15251">
      <w:pPr>
        <w:jc w:val="both"/>
        <w:rPr>
          <w:bCs/>
          <w:color w:val="002060"/>
          <w:sz w:val="16"/>
          <w:szCs w:val="16"/>
        </w:rPr>
      </w:pPr>
      <w:r w:rsidRPr="00405303">
        <w:rPr>
          <w:bCs/>
          <w:color w:val="002060"/>
          <w:sz w:val="16"/>
          <w:szCs w:val="16"/>
        </w:rPr>
        <w:t xml:space="preserve">В эту ночь самый большой город на Земле превратился в поле битвы, причем англичанам приходилось сражаться и за те семь миллионов мирных мужчин, женщин и детей, что до сих пор не подозревали, какую опасность таит в себе лондонское небо. Одинокий дирижабль заставил целый город сжаться в ужасе, как кролик перед удавом. На четверть часа война вошла в жизнь каждого лондонца». </w:t>
      </w:r>
    </w:p>
    <w:p w14:paraId="0642791D" w14:textId="77777777" w:rsidR="0018164E" w:rsidRPr="00405303" w:rsidRDefault="0018164E" w:rsidP="00C15251">
      <w:pPr>
        <w:jc w:val="both"/>
        <w:rPr>
          <w:bCs/>
          <w:color w:val="002060"/>
          <w:sz w:val="16"/>
          <w:szCs w:val="16"/>
        </w:rPr>
      </w:pPr>
      <w:r w:rsidRPr="00405303">
        <w:rPr>
          <w:bCs/>
          <w:color w:val="002060"/>
          <w:sz w:val="16"/>
          <w:szCs w:val="16"/>
        </w:rPr>
        <w:t xml:space="preserve">Пока в Берлине гремели фанфары, а кайзер раздавал награды экипажу L-13, в английских военных штабах царили уныние и растерянность. Британские газеты в один голос призывали доблестные войска метрополии покарать наглых агрессоров, подвергших варварской бомбардировке городской парк, жилые районы и склады текстильной фабрики. Среди убитых и раненых во время налета 8 сентября основную массу составляли мирные жители Лондона. Собор [140] святого Павла, один из главных католических храмов страны, уцелел просто чудом, так как самая тяжелая бомба разорвалась буквально на соседней улице. Наибольшее количество жертв оказалось в двух омнибусах, разбитых во время атаки Ливерпульского вокзала. Страсти разгорались с каждым днем, грозя обрушить волну народного гнева на головы британских генералов и адмиралов. Для того чтобы успокоить общественное мнение, требовались решительные действия по укреплению системы ПВО столицы Великобритании и ее крупных политических и экономических центров. Но наличных сил и средств для реализации этой задачи было явно недостаточно. Через неделю после налета L-13 на Лондон британское Адмиралтейство выпустило секретный меморандум о реальном положении дел с защитой Англии от рейдов цеппелинов. Вскоре этот документ по каналам немецкой разведки попал в штаб Дивизиона воздушных кораблей, и его чтение доставило немало приятных минут Петеру Штрассеру. Меморандум был очень длинным и весьма подробным, но кратко его содержание сводилось к следующим пунктам: </w:t>
      </w:r>
    </w:p>
    <w:p w14:paraId="3F2CFF23" w14:textId="77777777" w:rsidR="0018164E" w:rsidRPr="00405303" w:rsidRDefault="0018164E" w:rsidP="00C15251">
      <w:pPr>
        <w:jc w:val="both"/>
        <w:rPr>
          <w:bCs/>
          <w:color w:val="002060"/>
          <w:sz w:val="16"/>
          <w:szCs w:val="16"/>
        </w:rPr>
      </w:pPr>
      <w:r w:rsidRPr="00405303">
        <w:rPr>
          <w:bCs/>
          <w:color w:val="002060"/>
          <w:sz w:val="16"/>
          <w:szCs w:val="16"/>
        </w:rPr>
        <w:t xml:space="preserve">— одиночный рейдер за 12 минут нанес столице Британской империи ущерб, сопоставимый с потерями в крупной военной операции; </w:t>
      </w:r>
    </w:p>
    <w:p w14:paraId="3C44C4FF" w14:textId="77777777" w:rsidR="0018164E" w:rsidRPr="00405303" w:rsidRDefault="0018164E" w:rsidP="00C15251">
      <w:pPr>
        <w:jc w:val="both"/>
        <w:rPr>
          <w:bCs/>
          <w:color w:val="002060"/>
          <w:sz w:val="16"/>
          <w:szCs w:val="16"/>
        </w:rPr>
      </w:pPr>
      <w:r w:rsidRPr="00405303">
        <w:rPr>
          <w:bCs/>
          <w:color w:val="002060"/>
          <w:sz w:val="16"/>
          <w:szCs w:val="16"/>
        </w:rPr>
        <w:t xml:space="preserve">— нападение было абсолютно внезапным, силы противовоздушной обороны не подозревали о присутствии L-13 до тех пор, пока первые бомбы не начали рваться на улицах города; </w:t>
      </w:r>
    </w:p>
    <w:p w14:paraId="354637F7" w14:textId="77777777" w:rsidR="0018164E" w:rsidRPr="00405303" w:rsidRDefault="0018164E" w:rsidP="00C15251">
      <w:pPr>
        <w:jc w:val="both"/>
        <w:rPr>
          <w:bCs/>
          <w:color w:val="002060"/>
          <w:sz w:val="16"/>
          <w:szCs w:val="16"/>
        </w:rPr>
      </w:pPr>
      <w:r w:rsidRPr="00405303">
        <w:rPr>
          <w:bCs/>
          <w:color w:val="002060"/>
          <w:sz w:val="16"/>
          <w:szCs w:val="16"/>
        </w:rPr>
        <w:t xml:space="preserve">— расчеты прожекторных установок производили поиск дирижабля совершенно хаотично и не могли удерживать его в луче дольше нескольких секунд; </w:t>
      </w:r>
    </w:p>
    <w:p w14:paraId="61DDC396" w14:textId="77777777" w:rsidR="0018164E" w:rsidRPr="00405303" w:rsidRDefault="0018164E" w:rsidP="00C15251">
      <w:pPr>
        <w:jc w:val="both"/>
        <w:rPr>
          <w:bCs/>
          <w:color w:val="002060"/>
          <w:sz w:val="16"/>
          <w:szCs w:val="16"/>
        </w:rPr>
      </w:pPr>
      <w:r w:rsidRPr="00405303">
        <w:rPr>
          <w:bCs/>
          <w:color w:val="002060"/>
          <w:sz w:val="16"/>
          <w:szCs w:val="16"/>
        </w:rPr>
        <w:t xml:space="preserve">— наводчики зенитных орудий не смогли определить высоту полета L-13 и его курс, несмотря на то что цель находилась в зоне эффективного огня около 15 минут; </w:t>
      </w:r>
    </w:p>
    <w:p w14:paraId="13A54EED" w14:textId="77777777" w:rsidR="0018164E" w:rsidRPr="00405303" w:rsidRDefault="0018164E" w:rsidP="00C15251">
      <w:pPr>
        <w:jc w:val="both"/>
        <w:rPr>
          <w:bCs/>
          <w:color w:val="002060"/>
          <w:sz w:val="16"/>
          <w:szCs w:val="16"/>
        </w:rPr>
      </w:pPr>
      <w:r w:rsidRPr="00405303">
        <w:rPr>
          <w:bCs/>
          <w:color w:val="002060"/>
          <w:sz w:val="16"/>
          <w:szCs w:val="16"/>
        </w:rPr>
        <w:t xml:space="preserve">— истребители-перехватчики так и не были подняты по тревоге; причины: во-первых, самолеты не были оборудованы для ночных полетов, во-вторых, время набора необходимой для атаки цеппелина высоты было слишком велико, чтобы догнать и атаковать его; </w:t>
      </w:r>
    </w:p>
    <w:p w14:paraId="47D1901F" w14:textId="77777777" w:rsidR="0018164E" w:rsidRPr="00405303" w:rsidRDefault="0018164E" w:rsidP="00C15251">
      <w:pPr>
        <w:jc w:val="both"/>
        <w:rPr>
          <w:bCs/>
          <w:color w:val="002060"/>
          <w:sz w:val="16"/>
          <w:szCs w:val="16"/>
        </w:rPr>
      </w:pPr>
      <w:r w:rsidRPr="00405303">
        <w:rPr>
          <w:bCs/>
          <w:color w:val="002060"/>
          <w:sz w:val="16"/>
          <w:szCs w:val="16"/>
        </w:rPr>
        <w:t xml:space="preserve">— в случае нападения на город нескольких дирижаблей, количество жертв и разрушений возрастет в несколько раз, а вероятность их перехвата заметно снизится из-за того, что силам ПВО придется бороться с несколькими целями одновременно; </w:t>
      </w:r>
    </w:p>
    <w:p w14:paraId="4D92CDAD" w14:textId="77777777" w:rsidR="0018164E" w:rsidRPr="00405303" w:rsidRDefault="0018164E" w:rsidP="00C15251">
      <w:pPr>
        <w:jc w:val="both"/>
        <w:rPr>
          <w:bCs/>
          <w:color w:val="002060"/>
          <w:sz w:val="16"/>
          <w:szCs w:val="16"/>
        </w:rPr>
      </w:pPr>
      <w:r w:rsidRPr="00405303">
        <w:rPr>
          <w:bCs/>
          <w:color w:val="002060"/>
          <w:sz w:val="16"/>
          <w:szCs w:val="16"/>
        </w:rPr>
        <w:t xml:space="preserve">— в ближайшее время следует ожидать активизации действий немецких цеппелинов и повышения эффективности налетов, так как на вооружение воздухоплавательных частей должны поступить корабли улучшенной конструкции, с большей бомбовой нагрузкой, скоростью и высотой полета. </w:t>
      </w:r>
    </w:p>
    <w:p w14:paraId="13E94C94" w14:textId="77777777" w:rsidR="0018164E" w:rsidRPr="00405303" w:rsidRDefault="0018164E" w:rsidP="00C15251">
      <w:pPr>
        <w:jc w:val="both"/>
        <w:rPr>
          <w:bCs/>
          <w:color w:val="002060"/>
          <w:sz w:val="16"/>
          <w:szCs w:val="16"/>
        </w:rPr>
      </w:pPr>
      <w:r w:rsidRPr="00405303">
        <w:rPr>
          <w:bCs/>
          <w:color w:val="002060"/>
          <w:sz w:val="16"/>
          <w:szCs w:val="16"/>
        </w:rPr>
        <w:t xml:space="preserve">У командира Дивизиона воздушных кораблей были все основания гордиться действиями экипажа Генриха Мати. С каждой страницы меморандума Адмиралтейства сквозила неприкрытая тревога и даже страх перед новыми рейдами. Штрассер отдавал себе отчет в том, что противник приложит все усилия для того, [141] чтобы защитить своих граждан, города и военные объекты на территории Британских островов, но эта перспектива его не пугала. Скорее наоборот, это являлось одной из главных задач, которую Петер Штрассер пытался реализовать при помощи налетов своих дирижаблей. Не нанесение прямого материального ущерба, а подрыв военного потенциала неприятеля — вот ради чего уходили в ночное небо воздушные корабли. </w:t>
      </w:r>
    </w:p>
    <w:p w14:paraId="782B7E5D" w14:textId="77777777" w:rsidR="0018164E" w:rsidRPr="00405303" w:rsidRDefault="0018164E" w:rsidP="00C15251">
      <w:pPr>
        <w:jc w:val="both"/>
        <w:rPr>
          <w:bCs/>
          <w:color w:val="002060"/>
          <w:sz w:val="16"/>
          <w:szCs w:val="16"/>
        </w:rPr>
      </w:pPr>
      <w:r w:rsidRPr="00405303">
        <w:rPr>
          <w:bCs/>
          <w:color w:val="002060"/>
          <w:sz w:val="16"/>
          <w:szCs w:val="16"/>
        </w:rPr>
        <w:t>Чтобы отбиться даже от одиночного воздушного рейдера, англичанам приходилось строить новые аэродромы, отводить с фронта эскадрильи истребителей, оборудовать прожекторные и звукоулавливающие станции, постоянно увеличивать число зенитных батарей, прикрывающих крупные города и центры военной промышленности. Мероприятия по затемнению нарушали ритмичность работы промышленности и транспорта, что негативно сказывалось на выпуске военной продукции. В обществе росло недовольство бессилием военных и их неспособностью предотвратить жертвы среди мирного населения. Моральный дух жителей столицы и крупных городов Англии заметно упал. Многие готовились эвакуироваться на север страны или уехать на время в сельскую местность. Штрассер чувствовал, что еще немного, и в стане врага начнется самая настоящая паника. Цифры, приведенные в меморандуме, подкрепляли эту уверенность (11324).</w:t>
      </w:r>
    </w:p>
    <w:p w14:paraId="379BA342" w14:textId="77777777" w:rsidR="0018164E" w:rsidRPr="00405303" w:rsidRDefault="0018164E" w:rsidP="00C15251">
      <w:pPr>
        <w:shd w:val="clear" w:color="auto" w:fill="FFFFFF"/>
        <w:jc w:val="both"/>
        <w:rPr>
          <w:bCs/>
          <w:i/>
          <w:color w:val="002060"/>
          <w:sz w:val="16"/>
          <w:szCs w:val="16"/>
        </w:rPr>
      </w:pPr>
    </w:p>
    <w:p w14:paraId="68D2DCFC" w14:textId="77777777" w:rsidR="0018164E" w:rsidRPr="00405303" w:rsidRDefault="0018164E" w:rsidP="00C15251">
      <w:pPr>
        <w:jc w:val="both"/>
        <w:rPr>
          <w:bCs/>
          <w:color w:val="002060"/>
          <w:sz w:val="16"/>
          <w:szCs w:val="16"/>
        </w:rPr>
      </w:pPr>
      <w:r w:rsidRPr="00405303">
        <w:rPr>
          <w:bCs/>
          <w:color w:val="002060"/>
          <w:sz w:val="16"/>
          <w:szCs w:val="16"/>
        </w:rPr>
        <w:t xml:space="preserve">26 августа (8 сентября) 1915 </w:t>
      </w:r>
      <w:proofErr w:type="gramStart"/>
      <w:r w:rsidRPr="00405303">
        <w:rPr>
          <w:bCs/>
          <w:color w:val="002060"/>
          <w:sz w:val="16"/>
          <w:szCs w:val="16"/>
        </w:rPr>
        <w:t>года</w:t>
      </w:r>
      <w:proofErr w:type="gramEnd"/>
      <w:r w:rsidRPr="00405303">
        <w:rPr>
          <w:bCs/>
          <w:color w:val="002060"/>
          <w:sz w:val="16"/>
          <w:szCs w:val="16"/>
        </w:rPr>
        <w:t xml:space="preserve"> После удачного налета на Лондон, Петер Штрассер получил личную благодарность адмирала фон Мюллера, начальника военно-морской канцелярии кайзера, и был повышен в звании. В приказе фон Мюллер отметил высокую точность бомбардировок. Отдельным пунктом было выделено неукоснительное следование директиве кайзера, запрещающей бомбометание по Букингемскому дворцу и исторической части Лондона (11324).</w:t>
      </w:r>
    </w:p>
    <w:p w14:paraId="7C74B0B8" w14:textId="77777777" w:rsidR="0018164E" w:rsidRPr="00405303" w:rsidRDefault="0018164E" w:rsidP="00C15251">
      <w:pPr>
        <w:shd w:val="clear" w:color="auto" w:fill="FFFFFF"/>
        <w:jc w:val="both"/>
        <w:rPr>
          <w:bCs/>
          <w:i/>
          <w:color w:val="002060"/>
          <w:sz w:val="16"/>
          <w:szCs w:val="16"/>
        </w:rPr>
      </w:pPr>
    </w:p>
    <w:p w14:paraId="23AC88BE" w14:textId="77777777" w:rsidR="0018164E" w:rsidRPr="00405303" w:rsidRDefault="0018164E" w:rsidP="00C15251">
      <w:pPr>
        <w:jc w:val="both"/>
        <w:rPr>
          <w:bCs/>
          <w:color w:val="002060"/>
          <w:sz w:val="16"/>
          <w:szCs w:val="16"/>
        </w:rPr>
      </w:pPr>
      <w:r w:rsidRPr="00405303">
        <w:rPr>
          <w:bCs/>
          <w:color w:val="002060"/>
          <w:sz w:val="16"/>
          <w:szCs w:val="16"/>
        </w:rPr>
        <w:t xml:space="preserve">26 августа (8 сентября) 1915 г. в- В ночь цеппелин произвел бомбардировку Холборна и Блумбери. Было разбито 2 автобуса и погибло 22 </w:t>
      </w:r>
      <w:proofErr w:type="gramStart"/>
      <w:r w:rsidRPr="00405303">
        <w:rPr>
          <w:bCs/>
          <w:color w:val="002060"/>
          <w:sz w:val="16"/>
          <w:szCs w:val="16"/>
        </w:rPr>
        <w:t>человека .</w:t>
      </w:r>
      <w:proofErr w:type="gramEnd"/>
    </w:p>
    <w:p w14:paraId="2D06AB47" w14:textId="77777777" w:rsidR="0018164E" w:rsidRPr="00405303" w:rsidRDefault="0018164E" w:rsidP="00C15251">
      <w:pPr>
        <w:jc w:val="both"/>
        <w:rPr>
          <w:bCs/>
          <w:color w:val="002060"/>
          <w:sz w:val="16"/>
          <w:szCs w:val="16"/>
        </w:rPr>
      </w:pPr>
      <w:r w:rsidRPr="00405303">
        <w:rPr>
          <w:bCs/>
          <w:color w:val="002060"/>
          <w:sz w:val="16"/>
          <w:szCs w:val="16"/>
        </w:rPr>
        <w:t>Лондонцы требовали создания мощной противовоздушной обороны. Полковник Ролинсон был послан в Париж, где генерал Пелле, начальник французского генерального штаба, согласился поставить Англии 75-ти мм автоматические пушки на подвижных бронированных платформах. Пушки были доставлены в Лондон в течение 2-х следующих дней. Тут же было заказано еще 30 таких орудий. Начальником ПВО Лондона был назначен герцог Майкл, праправнук Екатерины Великой. Орудия ПВО были расставлены вокруг Лондона, что весьма затрудняло проникновение к столице сначала цеппелинов, а затем и самолетов. Каждый расчет ПВО имел свое имя. Один назывался "Молния", другой "Нож в сердце", третий - "Счастливчик" и т. д. (11999).</w:t>
      </w:r>
    </w:p>
    <w:p w14:paraId="73E59CDB" w14:textId="77777777" w:rsidR="0018164E" w:rsidRPr="00405303" w:rsidRDefault="0018164E" w:rsidP="00C15251">
      <w:pPr>
        <w:jc w:val="both"/>
        <w:rPr>
          <w:bCs/>
          <w:color w:val="002060"/>
          <w:sz w:val="16"/>
          <w:szCs w:val="16"/>
        </w:rPr>
      </w:pPr>
    </w:p>
    <w:p w14:paraId="2DA73D40" w14:textId="5F263465" w:rsidR="0076682D" w:rsidRPr="00405303" w:rsidRDefault="0076682D" w:rsidP="00C15251">
      <w:pPr>
        <w:jc w:val="both"/>
        <w:rPr>
          <w:bCs/>
          <w:i/>
          <w:iCs/>
          <w:color w:val="002060"/>
          <w:sz w:val="16"/>
          <w:szCs w:val="16"/>
        </w:rPr>
      </w:pPr>
      <w:r w:rsidRPr="00405303">
        <w:rPr>
          <w:bCs/>
          <w:i/>
          <w:iCs/>
          <w:color w:val="002060"/>
          <w:sz w:val="16"/>
          <w:szCs w:val="16"/>
        </w:rPr>
        <w:t>За рубежом:</w:t>
      </w:r>
    </w:p>
    <w:p w14:paraId="17EE11B5" w14:textId="77777777" w:rsidR="0076682D" w:rsidRPr="00405303" w:rsidRDefault="0076682D" w:rsidP="00C15251">
      <w:pPr>
        <w:jc w:val="both"/>
        <w:rPr>
          <w:bCs/>
          <w:i/>
          <w:iCs/>
          <w:color w:val="002060"/>
          <w:sz w:val="16"/>
          <w:szCs w:val="16"/>
        </w:rPr>
      </w:pPr>
    </w:p>
    <w:p w14:paraId="40FEF20D" w14:textId="77777777" w:rsidR="0076682D" w:rsidRPr="00405303" w:rsidRDefault="0076682D" w:rsidP="00C15251">
      <w:pPr>
        <w:jc w:val="both"/>
        <w:rPr>
          <w:bCs/>
          <w:color w:val="002060"/>
          <w:sz w:val="16"/>
          <w:szCs w:val="16"/>
        </w:rPr>
      </w:pPr>
      <w:r w:rsidRPr="00405303">
        <w:rPr>
          <w:bCs/>
          <w:color w:val="002060"/>
          <w:sz w:val="16"/>
          <w:szCs w:val="16"/>
        </w:rPr>
        <w:t xml:space="preserve">26 августа (8 сентября) 1915 г. в Бартон-он-Трент на экспериментальной испытательной площадке (попросту говоря — полигоне) закончили первый трактор на гусеницах с уменьшенной длинной соприкосновения гусениц с грунтом до 5 футов и 4 дюймов, как и у обычных тракторов. Для этого носовую часть гусениц </w:t>
      </w:r>
      <w:r w:rsidRPr="00405303">
        <w:rPr>
          <w:bCs/>
          <w:color w:val="002060"/>
          <w:sz w:val="16"/>
          <w:szCs w:val="16"/>
        </w:rPr>
        <w:lastRenderedPageBreak/>
        <w:t>приподнять, а их среднюю часть — опустить. На следующий день машину обкатали уже на заводском дворе. Как и ожидалось, она оказалась совершенно неуправляемой, и больше в таком виде ее уже никогда не испытывали. К 14 сентября ее модифицировали, приподняв ходовую часть на специальных кронштейнах — брекетах, поддерживающих катки тракторов. 19 сентября новую машину показали членам Комитета: Юстасу Теннисону Д’Айнкорту, Эрнесту Свинтону, г-ну Хетерингтону, упорно ратовавшему за «сочлененные корабли», и самому Вильсону. Накрытый брезентом, первый в истории человечества по-настоящему выглядевший танк перевезли на Кросс-Клифф Филд — «Кроссклиффское поле», неподалеку от города, и там его объездили, однако представление на собравшихся особого впечатления не произвело, поскольку траки с направляющих колес часто соскальзывали (22855).</w:t>
      </w:r>
    </w:p>
    <w:p w14:paraId="0F98B5AA" w14:textId="77777777" w:rsidR="0076682D" w:rsidRPr="00405303" w:rsidRDefault="0076682D" w:rsidP="00C15251">
      <w:pPr>
        <w:jc w:val="both"/>
        <w:rPr>
          <w:bCs/>
          <w:color w:val="002060"/>
          <w:sz w:val="16"/>
          <w:szCs w:val="16"/>
        </w:rPr>
      </w:pPr>
    </w:p>
    <w:p w14:paraId="2B353A1A"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3402BC4E" w14:textId="77777777" w:rsidR="004B4E35" w:rsidRPr="00405303" w:rsidRDefault="004B4E35" w:rsidP="00C15251">
      <w:pPr>
        <w:jc w:val="both"/>
        <w:rPr>
          <w:bCs/>
          <w:i/>
          <w:color w:val="002060"/>
          <w:sz w:val="16"/>
          <w:szCs w:val="16"/>
        </w:rPr>
      </w:pPr>
    </w:p>
    <w:p w14:paraId="67FED367" w14:textId="067B077B" w:rsidR="004B4E35" w:rsidRPr="00405303" w:rsidRDefault="009E6F82" w:rsidP="00C15251">
      <w:pPr>
        <w:shd w:val="clear" w:color="auto" w:fill="FFFFFF"/>
        <w:jc w:val="both"/>
        <w:rPr>
          <w:bCs/>
          <w:color w:val="002060"/>
          <w:sz w:val="16"/>
          <w:szCs w:val="16"/>
        </w:rPr>
      </w:pPr>
      <w:r w:rsidRPr="00405303">
        <w:rPr>
          <w:bCs/>
          <w:color w:val="002060"/>
          <w:sz w:val="16"/>
          <w:szCs w:val="16"/>
        </w:rPr>
        <w:t>27 августа (</w:t>
      </w:r>
      <w:r w:rsidR="0018164E" w:rsidRPr="00405303">
        <w:rPr>
          <w:bCs/>
          <w:color w:val="002060"/>
          <w:sz w:val="16"/>
          <w:szCs w:val="16"/>
        </w:rPr>
        <w:t>9</w:t>
      </w:r>
      <w:r w:rsidRPr="00405303">
        <w:rPr>
          <w:bCs/>
          <w:color w:val="002060"/>
          <w:sz w:val="16"/>
          <w:szCs w:val="16"/>
        </w:rPr>
        <w:t xml:space="preserve"> сентября) 1915 </w:t>
      </w:r>
      <w:r w:rsidR="0018164E" w:rsidRPr="00405303">
        <w:rPr>
          <w:bCs/>
          <w:color w:val="002060"/>
          <w:sz w:val="16"/>
          <w:szCs w:val="16"/>
        </w:rPr>
        <w:t>г. из-за отсутствия нужных стальных труб Ф.В. Эбергард был вынужден заменять их деревянными стойками, что вызвало задержку в строительстве</w:t>
      </w:r>
      <w:r w:rsidRPr="00405303">
        <w:rPr>
          <w:bCs/>
          <w:color w:val="002060"/>
          <w:sz w:val="16"/>
          <w:szCs w:val="16"/>
        </w:rPr>
        <w:t xml:space="preserve"> </w:t>
      </w:r>
      <w:r w:rsidR="0018164E" w:rsidRPr="00405303">
        <w:rPr>
          <w:bCs/>
          <w:color w:val="002060"/>
          <w:sz w:val="16"/>
          <w:szCs w:val="16"/>
        </w:rPr>
        <w:t xml:space="preserve">и </w:t>
      </w:r>
      <w:r w:rsidRPr="00405303">
        <w:rPr>
          <w:bCs/>
          <w:color w:val="002060"/>
          <w:sz w:val="16"/>
          <w:szCs w:val="16"/>
        </w:rPr>
        <w:t>просил заказчика об от</w:t>
      </w:r>
      <w:r w:rsidRPr="00405303">
        <w:rPr>
          <w:bCs/>
          <w:color w:val="002060"/>
          <w:sz w:val="16"/>
          <w:szCs w:val="16"/>
        </w:rPr>
        <w:softHyphen/>
        <w:t>срочке до 15 сентября, на что получил согласие — всего за 5 дней до этой даты. Аэроплан собрали только в конце сентября или даже в октябре, а 4 ноября его отправили в Ревель для опытов. Спустя неделю А.Ю. Виллиш телеграфировал в МГШ о том, что и аппарат, и его мотор находились в ожидании первого полета; по другой версии, летающую лодку сна</w:t>
      </w:r>
      <w:r w:rsidRPr="00405303">
        <w:rPr>
          <w:bCs/>
          <w:color w:val="002060"/>
          <w:sz w:val="16"/>
          <w:szCs w:val="16"/>
        </w:rPr>
        <w:softHyphen/>
        <w:t>чала доставили в Петроградскую офицерскую школу морских летчиков и только затем, в конце ноября, она поступила в Ревель вместе с некоторым другим школьным имуществом (2843).</w:t>
      </w:r>
    </w:p>
    <w:p w14:paraId="3600F2CE" w14:textId="77777777" w:rsidR="004B4E35" w:rsidRPr="00405303" w:rsidRDefault="004B4E35" w:rsidP="00C15251">
      <w:pPr>
        <w:shd w:val="clear" w:color="auto" w:fill="FFFFFF"/>
        <w:jc w:val="both"/>
        <w:rPr>
          <w:bCs/>
          <w:color w:val="002060"/>
          <w:sz w:val="16"/>
          <w:szCs w:val="16"/>
        </w:rPr>
      </w:pPr>
    </w:p>
    <w:p w14:paraId="5D6FA140"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1E89FAFB" w14:textId="77777777" w:rsidR="004B4E35" w:rsidRPr="00405303" w:rsidRDefault="004B4E35" w:rsidP="00C15251">
      <w:pPr>
        <w:jc w:val="both"/>
        <w:rPr>
          <w:bCs/>
          <w:i/>
          <w:color w:val="002060"/>
          <w:sz w:val="16"/>
          <w:szCs w:val="16"/>
        </w:rPr>
      </w:pPr>
    </w:p>
    <w:p w14:paraId="24508CF3" w14:textId="6C9FA1F5" w:rsidR="0076682D" w:rsidRPr="00405303" w:rsidRDefault="0076682D" w:rsidP="00C15251">
      <w:pPr>
        <w:shd w:val="clear" w:color="auto" w:fill="FFFFFF"/>
        <w:jc w:val="both"/>
        <w:rPr>
          <w:bCs/>
          <w:color w:val="002060"/>
          <w:sz w:val="16"/>
          <w:szCs w:val="16"/>
          <w:shd w:val="clear" w:color="auto" w:fill="FFFFFF"/>
        </w:rPr>
      </w:pPr>
      <w:r w:rsidRPr="00405303">
        <w:rPr>
          <w:bCs/>
          <w:color w:val="002060"/>
          <w:sz w:val="16"/>
          <w:szCs w:val="16"/>
          <w:shd w:val="clear" w:color="auto" w:fill="FFFFFF"/>
        </w:rPr>
        <w:t xml:space="preserve">27 августа (9 сентября) 1915 года Положение о ВПК было утверждено. Организация выступала в качестве посредника между Военным министерством и предприятиями, изготовлявшими военную продукцию. Ее работу возглавлял Центральный ВПК. Средства ВПК складывались из государственных субсидий, отчислений с суммы заказов, передававшихся через комитеты военным ведомством, добровольных взносов (в основном в виде гарантированных капиталов) и авансов из казны. К I съезду 25-27 июня 1915 г. были образованы 79 местных комитетов, в дальнейшем их число возросло до 250. Вклад в обеспечение армии вооружением был невелик: стоимость заказов, выполненных при посредничестве ВПК, составляла лишь 2-3% от общей стоимости заказов </w:t>
      </w:r>
      <w:r w:rsidRPr="00405303">
        <w:rPr>
          <w:bCs/>
          <w:color w:val="002060"/>
          <w:sz w:val="16"/>
          <w:szCs w:val="16"/>
          <w:bdr w:val="none" w:sz="0" w:space="0" w:color="auto" w:frame="1"/>
          <w:shd w:val="clear" w:color="auto" w:fill="FFFFFF"/>
        </w:rPr>
        <w:t>{</w:t>
      </w:r>
      <w:r w:rsidRPr="00405303">
        <w:rPr>
          <w:bCs/>
          <w:color w:val="002060"/>
          <w:sz w:val="16"/>
          <w:szCs w:val="16"/>
          <w:shd w:val="clear" w:color="auto" w:fill="FFFFFF"/>
        </w:rPr>
        <w:t xml:space="preserve"> Экономическая история России с древнейших времен до 1917 г. М., 2008. Т. 1. С. 418-419.</w:t>
      </w:r>
      <w:r w:rsidRPr="00405303">
        <w:rPr>
          <w:bCs/>
          <w:color w:val="002060"/>
          <w:sz w:val="16"/>
          <w:szCs w:val="16"/>
          <w:bdr w:val="none" w:sz="0" w:space="0" w:color="auto" w:frame="1"/>
          <w:shd w:val="clear" w:color="auto" w:fill="FFFFFF"/>
        </w:rPr>
        <w:t xml:space="preserve"> }</w:t>
      </w:r>
      <w:r w:rsidRPr="00405303">
        <w:rPr>
          <w:bCs/>
          <w:color w:val="002060"/>
          <w:sz w:val="16"/>
          <w:szCs w:val="16"/>
          <w:shd w:val="clear" w:color="auto" w:fill="FFFFFF"/>
        </w:rPr>
        <w:t>. Хозяйственная деятельность ВПК оставила самые тягостные воспоминания у современников:</w:t>
      </w:r>
      <w:r w:rsidR="00DB4D64" w:rsidRPr="00405303">
        <w:rPr>
          <w:bCs/>
          <w:color w:val="002060"/>
          <w:sz w:val="16"/>
          <w:szCs w:val="16"/>
          <w:shd w:val="clear" w:color="auto" w:fill="FFFFFF"/>
        </w:rPr>
        <w:t xml:space="preserve"> </w:t>
      </w:r>
      <w:r w:rsidRPr="00405303">
        <w:rPr>
          <w:bCs/>
          <w:color w:val="002060"/>
          <w:sz w:val="16"/>
          <w:szCs w:val="16"/>
          <w:bdr w:val="none" w:sz="0" w:space="0" w:color="auto" w:frame="1"/>
          <w:shd w:val="clear" w:color="auto" w:fill="FFFFFF"/>
        </w:rPr>
        <w:t>«Печальный пример “военно-промышленного комитета”, наживавшегося на русской крови в 1915-1917 гг. и поставлявшего за 32 рубля шрапнель плохого качества, стоившую в безупречной “ювелирной” отделке казенных заводов только 9 рублей, — этот пример должен навеки остаться в умах и сердцах правителей Российской империи»{</w:t>
      </w:r>
      <w:r w:rsidRPr="00405303">
        <w:rPr>
          <w:bCs/>
          <w:color w:val="002060"/>
          <w:sz w:val="16"/>
          <w:szCs w:val="16"/>
          <w:shd w:val="clear" w:color="auto" w:fill="FFFFFF"/>
        </w:rPr>
        <w:t xml:space="preserve"> Керсновский А. А. Указ. соч. С. 125.</w:t>
      </w:r>
      <w:r w:rsidRPr="00405303">
        <w:rPr>
          <w:bCs/>
          <w:color w:val="002060"/>
          <w:sz w:val="16"/>
          <w:szCs w:val="16"/>
          <w:bdr w:val="none" w:sz="0" w:space="0" w:color="auto" w:frame="1"/>
          <w:shd w:val="clear" w:color="auto" w:fill="FFFFFF"/>
        </w:rPr>
        <w:t xml:space="preserve"> }</w:t>
      </w:r>
      <w:r w:rsidRPr="00405303">
        <w:rPr>
          <w:bCs/>
          <w:color w:val="002060"/>
          <w:sz w:val="16"/>
          <w:szCs w:val="16"/>
          <w:shd w:val="clear" w:color="auto" w:fill="FFFFFF"/>
        </w:rPr>
        <w:t>. Более того, известны случаи, когда руководство ВПК пыталось сорвать выпуск производства неподконтрольного им предприятия.</w:t>
      </w:r>
    </w:p>
    <w:p w14:paraId="413C061E" w14:textId="77777777" w:rsidR="0076682D" w:rsidRPr="00405303" w:rsidRDefault="0076682D" w:rsidP="00C15251">
      <w:pPr>
        <w:shd w:val="clear" w:color="auto" w:fill="FFFFFF"/>
        <w:jc w:val="both"/>
        <w:rPr>
          <w:bCs/>
          <w:color w:val="002060"/>
          <w:sz w:val="16"/>
          <w:szCs w:val="16"/>
        </w:rPr>
      </w:pPr>
      <w:r w:rsidRPr="00405303">
        <w:rPr>
          <w:bCs/>
          <w:color w:val="002060"/>
          <w:sz w:val="16"/>
          <w:szCs w:val="16"/>
          <w:shd w:val="clear" w:color="auto" w:fill="FFFFFF"/>
        </w:rPr>
        <w:t>Такое произошло с вышеупомянутым купцом Мыслиным, который по этому поводу обратился в штаб авиации и воздухоплавания</w:t>
      </w:r>
      <w:r w:rsidRPr="00405303">
        <w:rPr>
          <w:bCs/>
          <w:color w:val="002060"/>
          <w:sz w:val="16"/>
          <w:szCs w:val="16"/>
          <w:bdr w:val="none" w:sz="0" w:space="0" w:color="auto" w:frame="1"/>
          <w:shd w:val="clear" w:color="auto" w:fill="FFFFFF"/>
        </w:rPr>
        <w:t>{</w:t>
      </w:r>
      <w:r w:rsidRPr="00405303">
        <w:rPr>
          <w:bCs/>
          <w:color w:val="002060"/>
          <w:sz w:val="16"/>
          <w:szCs w:val="16"/>
          <w:shd w:val="clear" w:color="auto" w:fill="FFFFFF"/>
        </w:rPr>
        <w:t xml:space="preserve"> РГВИА. Ф. 2008. Oп. 1. Д. 731. Л. 415.</w:t>
      </w:r>
      <w:r w:rsidRPr="00405303">
        <w:rPr>
          <w:bCs/>
          <w:color w:val="002060"/>
          <w:sz w:val="16"/>
          <w:szCs w:val="16"/>
          <w:bdr w:val="none" w:sz="0" w:space="0" w:color="auto" w:frame="1"/>
          <w:shd w:val="clear" w:color="auto" w:fill="FFFFFF"/>
        </w:rPr>
        <w:t xml:space="preserve"> }</w:t>
      </w:r>
      <w:r w:rsidRPr="00405303">
        <w:rPr>
          <w:bCs/>
          <w:color w:val="002060"/>
          <w:sz w:val="16"/>
          <w:szCs w:val="16"/>
          <w:shd w:val="clear" w:color="auto" w:fill="FFFFFF"/>
        </w:rPr>
        <w:t>.</w:t>
      </w:r>
    </w:p>
    <w:p w14:paraId="36C37D72" w14:textId="77777777" w:rsidR="0076682D" w:rsidRPr="00405303" w:rsidRDefault="0076682D" w:rsidP="00C15251">
      <w:pPr>
        <w:shd w:val="clear" w:color="auto" w:fill="FFFFFF"/>
        <w:jc w:val="both"/>
        <w:rPr>
          <w:bCs/>
          <w:color w:val="002060"/>
          <w:sz w:val="16"/>
          <w:szCs w:val="16"/>
        </w:rPr>
      </w:pPr>
    </w:p>
    <w:p w14:paraId="2E6E23C9" w14:textId="70B4E40C" w:rsidR="005B251F" w:rsidRPr="00405303" w:rsidRDefault="005B251F" w:rsidP="00C15251">
      <w:pPr>
        <w:pStyle w:val="ae"/>
        <w:spacing w:before="0" w:beforeAutospacing="0" w:after="0" w:afterAutospacing="0"/>
        <w:jc w:val="both"/>
        <w:rPr>
          <w:bCs/>
          <w:color w:val="002060"/>
          <w:sz w:val="16"/>
          <w:szCs w:val="16"/>
        </w:rPr>
      </w:pPr>
      <w:r w:rsidRPr="00405303">
        <w:rPr>
          <w:bCs/>
          <w:color w:val="002060"/>
          <w:sz w:val="16"/>
          <w:szCs w:val="16"/>
        </w:rPr>
        <w:t xml:space="preserve">27 августа </w:t>
      </w:r>
      <w:r w:rsidR="0018164E" w:rsidRPr="00405303">
        <w:rPr>
          <w:bCs/>
          <w:color w:val="002060"/>
          <w:sz w:val="16"/>
          <w:szCs w:val="16"/>
        </w:rPr>
        <w:t xml:space="preserve">(9 сентября) </w:t>
      </w:r>
      <w:r w:rsidRPr="00405303">
        <w:rPr>
          <w:bCs/>
          <w:color w:val="002060"/>
          <w:sz w:val="16"/>
          <w:szCs w:val="16"/>
        </w:rPr>
        <w:t>1915 года создание военно-промышленных комитетов было закреплено законом, который предоставлял им функции содействия правительственным учреждениям в деле снабжения армии и флота всеми необходимыми предметами снаряжения и довольствия путем планового распределения сырья и заказов, своевременного их выполнения, установления цен (15736).</w:t>
      </w:r>
    </w:p>
    <w:p w14:paraId="525F9D20" w14:textId="77777777" w:rsidR="005B251F" w:rsidRPr="00405303" w:rsidRDefault="005B251F" w:rsidP="00C15251">
      <w:pPr>
        <w:pStyle w:val="ae"/>
        <w:spacing w:before="0" w:beforeAutospacing="0" w:after="0" w:afterAutospacing="0"/>
        <w:jc w:val="both"/>
        <w:rPr>
          <w:bCs/>
          <w:color w:val="002060"/>
          <w:sz w:val="16"/>
          <w:szCs w:val="16"/>
        </w:rPr>
      </w:pPr>
    </w:p>
    <w:p w14:paraId="391BBCED" w14:textId="77777777" w:rsidR="005B251F" w:rsidRPr="00405303" w:rsidRDefault="005B251F" w:rsidP="00C15251">
      <w:pPr>
        <w:pStyle w:val="ae"/>
        <w:spacing w:before="0" w:beforeAutospacing="0" w:after="0" w:afterAutospacing="0"/>
        <w:jc w:val="both"/>
        <w:textAlignment w:val="top"/>
        <w:rPr>
          <w:bCs/>
          <w:color w:val="002060"/>
          <w:sz w:val="16"/>
          <w:szCs w:val="16"/>
        </w:rPr>
      </w:pPr>
      <w:r w:rsidRPr="00405303">
        <w:rPr>
          <w:bCs/>
          <w:color w:val="002060"/>
          <w:sz w:val="16"/>
          <w:szCs w:val="16"/>
        </w:rPr>
        <w:t>27 августа (9 сентября) 1915 года. «Положение...» было утверждено императором только по приезду в Ставку. Приняв решение возглавить армию и флот, Николай II демонстрировал готовность пойти если не на уступки либеральному лагерю, то на сотрудничество с ним.</w:t>
      </w:r>
    </w:p>
    <w:p w14:paraId="782BA3F0" w14:textId="77777777" w:rsidR="005B251F" w:rsidRPr="00405303" w:rsidRDefault="005B251F" w:rsidP="00C15251">
      <w:pPr>
        <w:pStyle w:val="ae"/>
        <w:spacing w:before="0" w:beforeAutospacing="0" w:after="0" w:afterAutospacing="0"/>
        <w:jc w:val="both"/>
        <w:textAlignment w:val="top"/>
        <w:rPr>
          <w:bCs/>
          <w:color w:val="002060"/>
          <w:sz w:val="16"/>
          <w:szCs w:val="16"/>
        </w:rPr>
      </w:pPr>
      <w:r w:rsidRPr="00405303">
        <w:rPr>
          <w:bCs/>
          <w:color w:val="002060"/>
          <w:sz w:val="16"/>
          <w:szCs w:val="16"/>
        </w:rPr>
        <w:t>До этого момента ВПК действовали без официально утвержденного положения. Тем не менее с приходом Поливанова в Военное министерство в июне 1915 г. кредиты, отпускаемые ВПК, начали постоянно расти. 8(21) августа министр торговли и промышленности кн. В.Н. Шаховской препроводил на имя Поливанова доклад представителей военно-технической комиссии о результатах проведенного ей осмотра фабрик и заводов Московского района, работавших на военные заказы. Выводы документа были недвусмысленны: «Представляя Вашему Сиятельству это заключение Комиссии, считаем долгом совести своей заявить, что при обзоре ею заводов и фабрик, она не нашла в их деятельности той готовности в деле скорейшего изготовления снарядов, которую неоднократно высказывали заводчики и фабриканты в своих пожеланиях.» (18405).</w:t>
      </w:r>
    </w:p>
    <w:p w14:paraId="3D3D3835" w14:textId="77777777" w:rsidR="005B251F" w:rsidRPr="00405303" w:rsidRDefault="005B251F" w:rsidP="00C15251">
      <w:pPr>
        <w:pStyle w:val="ae"/>
        <w:spacing w:before="0" w:beforeAutospacing="0" w:after="0" w:afterAutospacing="0"/>
        <w:jc w:val="both"/>
        <w:textAlignment w:val="top"/>
        <w:rPr>
          <w:bCs/>
          <w:color w:val="002060"/>
          <w:sz w:val="16"/>
          <w:szCs w:val="16"/>
        </w:rPr>
      </w:pPr>
    </w:p>
    <w:p w14:paraId="70A21335" w14:textId="0256F2D5"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27 августа (</w:t>
      </w:r>
      <w:r w:rsidR="0018164E" w:rsidRPr="00405303">
        <w:rPr>
          <w:bCs/>
          <w:i w:val="0"/>
          <w:color w:val="002060"/>
          <w:spacing w:val="0"/>
          <w:kern w:val="0"/>
          <w:position w:val="0"/>
          <w:sz w:val="16"/>
          <w:szCs w:val="16"/>
        </w:rPr>
        <w:t>9</w:t>
      </w:r>
      <w:r w:rsidRPr="00405303">
        <w:rPr>
          <w:bCs/>
          <w:i w:val="0"/>
          <w:color w:val="002060"/>
          <w:spacing w:val="0"/>
          <w:kern w:val="0"/>
          <w:position w:val="0"/>
          <w:sz w:val="16"/>
          <w:szCs w:val="16"/>
        </w:rPr>
        <w:t xml:space="preserve"> сентября) 1915 г. </w:t>
      </w:r>
      <w:r w:rsidR="0018164E" w:rsidRPr="00405303">
        <w:rPr>
          <w:bCs/>
          <w:i w:val="0"/>
          <w:color w:val="002060"/>
          <w:spacing w:val="0"/>
          <w:kern w:val="0"/>
          <w:position w:val="0"/>
          <w:sz w:val="16"/>
          <w:szCs w:val="16"/>
        </w:rPr>
        <w:t xml:space="preserve">в «Положении о военно-промышленных комитетах», утвержденном </w:t>
      </w:r>
      <w:r w:rsidRPr="00405303">
        <w:rPr>
          <w:bCs/>
          <w:i w:val="0"/>
          <w:color w:val="002060"/>
          <w:spacing w:val="0"/>
          <w:kern w:val="0"/>
          <w:position w:val="0"/>
          <w:sz w:val="16"/>
          <w:szCs w:val="16"/>
        </w:rPr>
        <w:t>царем, было записано, что эта организация создается «для содействия правительственным учреждениям в деле снабжения армии и флота всеми необходимыми предметами снаряжения и довольствия» и учреждаются «на время текущей войны». «Военно-промышленные комитеты являются общественными организациями, не преследующими коммерческих целей… Состав, средства, порядок деятельности и сношений центрального военно-промышленного комитета устанавливаются самим комитетом… Взаимоотношения правительственных учреждений с ВПК, содействующими им в деле снабжения армий и флота предметами снаряжения, определяются по ближайшему соглашению комитетов с подлежащими военными и гражданскими властями. Центральный ВПК имеет право приобретать всякого рода движимое и недвижимое имущество, вступать в договоры, как с частными лицами, так равно и с казенными и общественными учреждениями…» (11270).</w:t>
      </w:r>
    </w:p>
    <w:p w14:paraId="14C7BCD0" w14:textId="4EEB7C58" w:rsidR="004B4E35" w:rsidRPr="00405303" w:rsidRDefault="004B4E35" w:rsidP="00C15251">
      <w:pPr>
        <w:pStyle w:val="a3"/>
        <w:jc w:val="both"/>
        <w:rPr>
          <w:bCs/>
          <w:i w:val="0"/>
          <w:color w:val="002060"/>
          <w:spacing w:val="0"/>
          <w:kern w:val="0"/>
          <w:position w:val="0"/>
          <w:sz w:val="16"/>
          <w:szCs w:val="16"/>
        </w:rPr>
      </w:pPr>
    </w:p>
    <w:p w14:paraId="72009951" w14:textId="77777777" w:rsidR="00EF36CA" w:rsidRPr="00405303" w:rsidRDefault="00EF36CA" w:rsidP="00EF36CA">
      <w:pPr>
        <w:jc w:val="both"/>
        <w:rPr>
          <w:color w:val="0070C0"/>
          <w:sz w:val="16"/>
          <w:szCs w:val="16"/>
        </w:rPr>
      </w:pPr>
      <w:r w:rsidRPr="00405303">
        <w:rPr>
          <w:color w:val="0070C0"/>
          <w:sz w:val="16"/>
          <w:szCs w:val="16"/>
        </w:rPr>
        <w:t xml:space="preserve">27 августа (9 сентября) 1915 года у станции Орудьево севернее Дмитрова, сейчас районного города в Московской области, взревел авиационный двигатель и первый русский танк, построенный в железе, сдвинулся с места, ломая березки. И в тот же день в 2500 верстах от Москвы совершила свой первый испытательный пробег по двору завода «Wellington Foundry» боевая гусеничная машина «Lincoln Machine» № 1. Не зря видимо День танкиста празднуют во второе воскресенье сентября, хотя конечно 9 сентября 1915 года был четверг, но ведь возможно отметили рождение танка, который еще не назывался танком, в ближайшее воскресенье, что в России, что на Туманном Альбионе. История показала, что верный путь выбрали все-таки английские специалисты, </w:t>
      </w:r>
      <w:proofErr w:type="gramStart"/>
      <w:r w:rsidRPr="00405303">
        <w:rPr>
          <w:color w:val="0070C0"/>
          <w:sz w:val="16"/>
          <w:szCs w:val="16"/>
        </w:rPr>
        <w:t>но</w:t>
      </w:r>
      <w:proofErr w:type="gramEnd"/>
      <w:r w:rsidRPr="00405303">
        <w:rPr>
          <w:color w:val="0070C0"/>
          <w:sz w:val="16"/>
          <w:szCs w:val="16"/>
        </w:rPr>
        <w:t xml:space="preserve"> когда в России начали реализацию сложнейшего проекта колесной боевой машины, они ещё не знали, что это тупиковый путь (25466).</w:t>
      </w:r>
    </w:p>
    <w:p w14:paraId="1C06BC61" w14:textId="77777777" w:rsidR="00EF36CA" w:rsidRPr="00405303" w:rsidRDefault="00EF36CA" w:rsidP="00EF36CA">
      <w:pPr>
        <w:jc w:val="both"/>
        <w:rPr>
          <w:color w:val="0070C0"/>
          <w:sz w:val="16"/>
          <w:szCs w:val="16"/>
        </w:rPr>
      </w:pPr>
    </w:p>
    <w:p w14:paraId="3B0E10CA" w14:textId="0BDEB818" w:rsidR="005F0A52" w:rsidRPr="00405303" w:rsidRDefault="005F0A52" w:rsidP="00C15251">
      <w:pPr>
        <w:pStyle w:val="a3"/>
        <w:jc w:val="both"/>
        <w:rPr>
          <w:bCs/>
          <w:iCs/>
          <w:color w:val="002060"/>
          <w:spacing w:val="0"/>
          <w:kern w:val="0"/>
          <w:position w:val="0"/>
          <w:sz w:val="16"/>
          <w:szCs w:val="16"/>
        </w:rPr>
      </w:pPr>
      <w:r w:rsidRPr="00405303">
        <w:rPr>
          <w:bCs/>
          <w:iCs/>
          <w:color w:val="002060"/>
          <w:spacing w:val="0"/>
          <w:kern w:val="0"/>
          <w:position w:val="0"/>
          <w:sz w:val="16"/>
          <w:szCs w:val="16"/>
        </w:rPr>
        <w:t>Авиация:</w:t>
      </w:r>
    </w:p>
    <w:p w14:paraId="0E00C8BB" w14:textId="77777777" w:rsidR="005F0A52" w:rsidRPr="00405303" w:rsidRDefault="005F0A52" w:rsidP="00C15251">
      <w:pPr>
        <w:pStyle w:val="a3"/>
        <w:jc w:val="both"/>
        <w:rPr>
          <w:bCs/>
          <w:iCs/>
          <w:color w:val="002060"/>
          <w:spacing w:val="0"/>
          <w:kern w:val="0"/>
          <w:position w:val="0"/>
          <w:sz w:val="16"/>
          <w:szCs w:val="16"/>
        </w:rPr>
      </w:pPr>
    </w:p>
    <w:p w14:paraId="17B6DB29" w14:textId="77777777" w:rsidR="005F0A52" w:rsidRPr="00405303" w:rsidRDefault="005F0A52" w:rsidP="00C15251">
      <w:pPr>
        <w:jc w:val="both"/>
        <w:rPr>
          <w:bCs/>
          <w:color w:val="002060"/>
          <w:sz w:val="16"/>
          <w:szCs w:val="16"/>
        </w:rPr>
      </w:pPr>
      <w:r w:rsidRPr="00405303">
        <w:rPr>
          <w:bCs/>
          <w:color w:val="002060"/>
          <w:sz w:val="16"/>
          <w:szCs w:val="16"/>
        </w:rPr>
        <w:t>27 августа (9 сентября) 1915 г. генерал-квартирмистр 12-й армии в письме к генерал— квартирмистру 1-й армии дал такую оценку боевой деятельности летчиков за июль: "Сведения воздушной разведки нашей армии 15-22 июля о перегруппировке германских сил с вашего фронта против нашего левого крыла, в районе Рожанской излучины являлись чрезвычайно ценными и способствовали своевременному подтягиванию резервов и упорному ведению боя здесь нашей армией".</w:t>
      </w:r>
    </w:p>
    <w:p w14:paraId="5D02705C" w14:textId="77777777" w:rsidR="005F0A52" w:rsidRPr="00405303" w:rsidRDefault="005F0A52" w:rsidP="00C15251">
      <w:pPr>
        <w:jc w:val="both"/>
        <w:rPr>
          <w:bCs/>
          <w:color w:val="002060"/>
          <w:sz w:val="16"/>
          <w:szCs w:val="16"/>
        </w:rPr>
      </w:pPr>
      <w:r w:rsidRPr="00405303">
        <w:rPr>
          <w:bCs/>
          <w:color w:val="002060"/>
          <w:sz w:val="16"/>
          <w:szCs w:val="16"/>
        </w:rPr>
        <w:t>/ЦГВИА, ф. 2008, д. 123, лл. 142-143/ (23320).</w:t>
      </w:r>
    </w:p>
    <w:p w14:paraId="419D69AA" w14:textId="77777777" w:rsidR="005F0A52" w:rsidRPr="00405303" w:rsidRDefault="005F0A52" w:rsidP="00C15251">
      <w:pPr>
        <w:jc w:val="both"/>
        <w:rPr>
          <w:bCs/>
          <w:color w:val="002060"/>
          <w:sz w:val="16"/>
          <w:szCs w:val="16"/>
        </w:rPr>
      </w:pPr>
    </w:p>
    <w:p w14:paraId="1CBFE4E2" w14:textId="470101C4" w:rsidR="003746B3" w:rsidRPr="00405303" w:rsidRDefault="003746B3" w:rsidP="00C15251">
      <w:pPr>
        <w:jc w:val="both"/>
        <w:rPr>
          <w:bCs/>
          <w:color w:val="002060"/>
          <w:sz w:val="16"/>
          <w:szCs w:val="16"/>
          <w:shd w:val="clear" w:color="auto" w:fill="FFFFFF"/>
        </w:rPr>
      </w:pPr>
      <w:r w:rsidRPr="00405303">
        <w:rPr>
          <w:bCs/>
          <w:color w:val="002060"/>
          <w:sz w:val="16"/>
          <w:szCs w:val="16"/>
          <w:shd w:val="clear" w:color="auto" w:fill="FFFFFF"/>
        </w:rPr>
        <w:t xml:space="preserve">27 августа </w:t>
      </w:r>
      <w:r w:rsidRPr="00405303">
        <w:rPr>
          <w:bCs/>
          <w:color w:val="002060"/>
          <w:sz w:val="16"/>
          <w:szCs w:val="16"/>
        </w:rPr>
        <w:t xml:space="preserve">(9 сентября) </w:t>
      </w:r>
      <w:r w:rsidRPr="00405303">
        <w:rPr>
          <w:bCs/>
          <w:color w:val="002060"/>
          <w:sz w:val="16"/>
          <w:szCs w:val="16"/>
          <w:shd w:val="clear" w:color="auto" w:fill="FFFFFF"/>
        </w:rPr>
        <w:t xml:space="preserve">1915 г. состоялся 710-км перелет муромцев из Лиды в Псков. В то время эскадрилья состояла из шести Муромцев: ИМ-1, ИМ-2, ИМ-3, ИМ-4, ИМ-5, ИМ-6 и ИМ-Киевского. Полет пришлось проводить в трудных погодных условиях, заставлявших лететь через туман и дождь на предназначенный аэродром. Большинство командиров по привычке летели, не пользуясь компасом. Только лейтенант Г. И. Лавров, летевший </w:t>
      </w:r>
      <w:proofErr w:type="gramStart"/>
      <w:r w:rsidRPr="00405303">
        <w:rPr>
          <w:bCs/>
          <w:color w:val="002060"/>
          <w:sz w:val="16"/>
          <w:szCs w:val="16"/>
          <w:shd w:val="clear" w:color="auto" w:fill="FFFFFF"/>
        </w:rPr>
        <w:t>на ИМ-1</w:t>
      </w:r>
      <w:proofErr w:type="gramEnd"/>
      <w:r w:rsidRPr="00405303">
        <w:rPr>
          <w:bCs/>
          <w:color w:val="002060"/>
          <w:sz w:val="16"/>
          <w:szCs w:val="16"/>
          <w:shd w:val="clear" w:color="auto" w:fill="FFFFFF"/>
        </w:rPr>
        <w:t xml:space="preserve"> избежал плохой погоды, подняв свое воздушное судно выше облаков, затем, пройдя через облака, благополучно приземлился в Пскове (23470).</w:t>
      </w:r>
    </w:p>
    <w:p w14:paraId="08BC7F0E" w14:textId="77777777" w:rsidR="003746B3" w:rsidRPr="00405303" w:rsidRDefault="003746B3" w:rsidP="00C15251">
      <w:pPr>
        <w:jc w:val="both"/>
        <w:rPr>
          <w:bCs/>
          <w:color w:val="002060"/>
          <w:sz w:val="16"/>
          <w:szCs w:val="16"/>
          <w:lang w:bidi="ru-RU"/>
        </w:rPr>
      </w:pPr>
    </w:p>
    <w:p w14:paraId="42630478" w14:textId="2F428FEB" w:rsidR="003746B3" w:rsidRPr="00405303" w:rsidRDefault="003746B3" w:rsidP="00C15251">
      <w:pPr>
        <w:jc w:val="both"/>
        <w:rPr>
          <w:bCs/>
          <w:color w:val="002060"/>
          <w:sz w:val="16"/>
          <w:szCs w:val="16"/>
        </w:rPr>
      </w:pPr>
      <w:r w:rsidRPr="00405303">
        <w:rPr>
          <w:bCs/>
          <w:color w:val="002060"/>
          <w:sz w:val="16"/>
          <w:szCs w:val="16"/>
          <w:lang w:bidi="ru-RU"/>
        </w:rPr>
        <w:t xml:space="preserve">27—28 августа </w:t>
      </w:r>
      <w:r w:rsidR="00DB4D64" w:rsidRPr="00405303">
        <w:rPr>
          <w:bCs/>
          <w:color w:val="002060"/>
          <w:sz w:val="16"/>
          <w:szCs w:val="16"/>
        </w:rPr>
        <w:t xml:space="preserve">(9-10 сентября) </w:t>
      </w:r>
      <w:r w:rsidRPr="00405303">
        <w:rPr>
          <w:bCs/>
          <w:color w:val="002060"/>
          <w:sz w:val="16"/>
          <w:szCs w:val="16"/>
          <w:lang w:bidi="ru-RU"/>
        </w:rPr>
        <w:t>1915 г.</w:t>
      </w:r>
    </w:p>
    <w:p w14:paraId="6BAF34E6" w14:textId="77777777" w:rsidR="003746B3" w:rsidRPr="00405303" w:rsidRDefault="003746B3" w:rsidP="00C15251">
      <w:pPr>
        <w:jc w:val="both"/>
        <w:rPr>
          <w:bCs/>
          <w:color w:val="002060"/>
          <w:sz w:val="16"/>
          <w:szCs w:val="16"/>
        </w:rPr>
      </w:pPr>
      <w:r w:rsidRPr="00405303">
        <w:rPr>
          <w:bCs/>
          <w:color w:val="002060"/>
          <w:sz w:val="16"/>
          <w:szCs w:val="16"/>
          <w:lang w:bidi="ru-RU"/>
        </w:rPr>
        <w:lastRenderedPageBreak/>
        <w:t>13-й и 14-й месяцы. Русский фронт. 27—28 августа 1915 г.</w:t>
      </w:r>
    </w:p>
    <w:p w14:paraId="3B8D5C6F" w14:textId="77777777" w:rsidR="003746B3" w:rsidRPr="00405303" w:rsidRDefault="003746B3" w:rsidP="00C15251">
      <w:pPr>
        <w:jc w:val="both"/>
        <w:rPr>
          <w:bCs/>
          <w:color w:val="002060"/>
          <w:sz w:val="16"/>
          <w:szCs w:val="16"/>
        </w:rPr>
      </w:pPr>
      <w:r w:rsidRPr="00405303">
        <w:rPr>
          <w:bCs/>
          <w:color w:val="002060"/>
          <w:sz w:val="16"/>
          <w:szCs w:val="16"/>
          <w:lang w:bidi="ru-RU"/>
        </w:rPr>
        <w:t>На двинском направлении, у станции Понемунек наша артиллерия подбила немец</w:t>
      </w:r>
      <w:r w:rsidRPr="00405303">
        <w:rPr>
          <w:bCs/>
          <w:color w:val="002060"/>
          <w:sz w:val="16"/>
          <w:szCs w:val="16"/>
          <w:lang w:bidi="ru-RU"/>
        </w:rPr>
        <w:softHyphen/>
        <w:t>кий аэроплан, сбросивший бомбы в сани</w:t>
      </w:r>
      <w:r w:rsidRPr="00405303">
        <w:rPr>
          <w:bCs/>
          <w:color w:val="002060"/>
          <w:sz w:val="16"/>
          <w:szCs w:val="16"/>
          <w:lang w:bidi="ru-RU"/>
        </w:rPr>
        <w:softHyphen/>
        <w:t>тарный поезд (23374).</w:t>
      </w:r>
    </w:p>
    <w:p w14:paraId="391FD1FC" w14:textId="77777777" w:rsidR="003746B3" w:rsidRPr="00405303" w:rsidRDefault="003746B3" w:rsidP="00C15251">
      <w:pPr>
        <w:jc w:val="both"/>
        <w:rPr>
          <w:bCs/>
          <w:color w:val="002060"/>
          <w:sz w:val="16"/>
          <w:szCs w:val="16"/>
          <w:lang w:bidi="ru-RU"/>
        </w:rPr>
      </w:pPr>
    </w:p>
    <w:p w14:paraId="4DA3220C" w14:textId="77777777" w:rsidR="005B251F" w:rsidRPr="00405303" w:rsidRDefault="005B251F" w:rsidP="00C15251">
      <w:pPr>
        <w:jc w:val="both"/>
        <w:rPr>
          <w:bCs/>
          <w:i/>
          <w:color w:val="002060"/>
          <w:sz w:val="16"/>
          <w:szCs w:val="16"/>
        </w:rPr>
      </w:pPr>
      <w:r w:rsidRPr="00405303">
        <w:rPr>
          <w:bCs/>
          <w:i/>
          <w:color w:val="002060"/>
          <w:sz w:val="16"/>
          <w:szCs w:val="16"/>
        </w:rPr>
        <w:t>Армия:</w:t>
      </w:r>
    </w:p>
    <w:p w14:paraId="065DFFD4" w14:textId="77777777" w:rsidR="005B251F" w:rsidRPr="00405303" w:rsidRDefault="005B251F" w:rsidP="00C15251">
      <w:pPr>
        <w:jc w:val="both"/>
        <w:rPr>
          <w:bCs/>
          <w:i/>
          <w:color w:val="002060"/>
          <w:sz w:val="16"/>
          <w:szCs w:val="16"/>
        </w:rPr>
      </w:pPr>
    </w:p>
    <w:p w14:paraId="5F2C16D8" w14:textId="45F1DEF0" w:rsidR="005B251F" w:rsidRPr="00405303" w:rsidRDefault="005B251F" w:rsidP="00C15251">
      <w:pPr>
        <w:jc w:val="both"/>
        <w:rPr>
          <w:bCs/>
          <w:color w:val="002060"/>
          <w:sz w:val="16"/>
          <w:szCs w:val="16"/>
        </w:rPr>
      </w:pPr>
      <w:r w:rsidRPr="00405303">
        <w:rPr>
          <w:bCs/>
          <w:color w:val="002060"/>
          <w:sz w:val="16"/>
          <w:szCs w:val="16"/>
        </w:rPr>
        <w:t xml:space="preserve">27 августа </w:t>
      </w:r>
      <w:r w:rsidR="0018164E" w:rsidRPr="00405303">
        <w:rPr>
          <w:bCs/>
          <w:color w:val="002060"/>
          <w:sz w:val="16"/>
          <w:szCs w:val="16"/>
        </w:rPr>
        <w:t xml:space="preserve">(9 сентября) </w:t>
      </w:r>
      <w:r w:rsidRPr="00405303">
        <w:rPr>
          <w:bCs/>
          <w:color w:val="002060"/>
          <w:sz w:val="16"/>
          <w:szCs w:val="16"/>
        </w:rPr>
        <w:t>в 1915 году Польш</w:t>
      </w:r>
      <w:r w:rsidR="0018164E" w:rsidRPr="00405303">
        <w:rPr>
          <w:bCs/>
          <w:color w:val="002060"/>
          <w:sz w:val="16"/>
          <w:szCs w:val="16"/>
        </w:rPr>
        <w:t>а была занята</w:t>
      </w:r>
      <w:r w:rsidRPr="00405303">
        <w:rPr>
          <w:bCs/>
          <w:color w:val="002060"/>
          <w:sz w:val="16"/>
          <w:szCs w:val="16"/>
        </w:rPr>
        <w:t xml:space="preserve"> немецко-австрийскими войсками</w:t>
      </w:r>
      <w:r w:rsidRPr="00405303">
        <w:rPr>
          <w:rStyle w:val="ucoz-forum-post"/>
          <w:rFonts w:eastAsiaTheme="majorEastAsia"/>
          <w:bCs/>
          <w:color w:val="002060"/>
          <w:sz w:val="16"/>
          <w:szCs w:val="16"/>
        </w:rPr>
        <w:t xml:space="preserve"> (14751)</w:t>
      </w:r>
      <w:r w:rsidRPr="00405303">
        <w:rPr>
          <w:bCs/>
          <w:color w:val="002060"/>
          <w:sz w:val="16"/>
          <w:szCs w:val="16"/>
        </w:rPr>
        <w:t>.</w:t>
      </w:r>
    </w:p>
    <w:p w14:paraId="39754A77" w14:textId="77777777" w:rsidR="005B251F" w:rsidRPr="00405303" w:rsidRDefault="005B251F" w:rsidP="00C15251">
      <w:pPr>
        <w:jc w:val="both"/>
        <w:rPr>
          <w:bCs/>
          <w:color w:val="002060"/>
          <w:sz w:val="16"/>
          <w:szCs w:val="16"/>
        </w:rPr>
      </w:pPr>
    </w:p>
    <w:p w14:paraId="11C63044" w14:textId="45E4957A" w:rsidR="0061179B" w:rsidRPr="00405303" w:rsidRDefault="0061179B"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7B366569" w14:textId="77777777" w:rsidR="0061179B" w:rsidRPr="00405303" w:rsidRDefault="0061179B" w:rsidP="00C15251">
      <w:pPr>
        <w:pStyle w:val="a3"/>
        <w:jc w:val="both"/>
        <w:rPr>
          <w:bCs/>
          <w:color w:val="002060"/>
          <w:spacing w:val="0"/>
          <w:kern w:val="0"/>
          <w:position w:val="0"/>
          <w:sz w:val="16"/>
          <w:szCs w:val="16"/>
        </w:rPr>
      </w:pPr>
    </w:p>
    <w:p w14:paraId="01F4F17D" w14:textId="77777777" w:rsidR="0061179B" w:rsidRPr="00405303" w:rsidRDefault="0061179B" w:rsidP="00C15251">
      <w:pPr>
        <w:jc w:val="both"/>
        <w:rPr>
          <w:bCs/>
          <w:color w:val="002060"/>
          <w:sz w:val="16"/>
          <w:szCs w:val="16"/>
        </w:rPr>
      </w:pPr>
      <w:r w:rsidRPr="00405303">
        <w:rPr>
          <w:bCs/>
          <w:color w:val="002060"/>
          <w:sz w:val="16"/>
          <w:szCs w:val="16"/>
        </w:rPr>
        <w:t>28 августа (10 сентября) 1915 г. изобретатель Э.А.Николаи представил в отдел изобретений проект летательного аппарата «Аэропланет», представлявший собой комбинацию свойств аэростата, аэроплана и геликоптера. Аппарат проектировался из алюминия с двухпалубным корпусом - верхним для газа, нижним для людей и механизмов. По бокам его имелись две пары крыльев, способных двигаться в вертикальном направлении и даже складываться в случае необходимости. Три пары винтов предназначались для создания тяги в горизонтальном и вертикальном направлениях. Основная мысль изобретателя - сделать аппарат максимально устойчивым и безопасным в полете. Проект, как и следовало полагать, был отклонен. в то время, когда самолет уже показал свои качества и нуждался только в дальнейшем усовершенствовании, подоб</w:t>
      </w:r>
      <w:r w:rsidRPr="00405303">
        <w:rPr>
          <w:bCs/>
          <w:color w:val="002060"/>
          <w:sz w:val="16"/>
          <w:szCs w:val="16"/>
        </w:rPr>
        <w:softHyphen/>
        <w:t>иые "комбинированные»» проекты еще появлялись.</w:t>
      </w:r>
    </w:p>
    <w:p w14:paraId="2CE0FE49" w14:textId="77777777" w:rsidR="0061179B" w:rsidRPr="00405303" w:rsidRDefault="0061179B" w:rsidP="00C15251">
      <w:pPr>
        <w:jc w:val="both"/>
        <w:rPr>
          <w:bCs/>
          <w:color w:val="002060"/>
          <w:sz w:val="16"/>
          <w:szCs w:val="16"/>
        </w:rPr>
      </w:pPr>
      <w:r w:rsidRPr="00405303">
        <w:rPr>
          <w:bCs/>
          <w:color w:val="002060"/>
          <w:sz w:val="16"/>
          <w:szCs w:val="16"/>
        </w:rPr>
        <w:t>/ЦГВИА, ф. 13251, оп. 4, Д. 902, лл. 3-4/ (23320).</w:t>
      </w:r>
    </w:p>
    <w:p w14:paraId="4E880100" w14:textId="77777777" w:rsidR="0061179B" w:rsidRPr="00405303" w:rsidRDefault="0061179B" w:rsidP="00C15251">
      <w:pPr>
        <w:jc w:val="both"/>
        <w:rPr>
          <w:bCs/>
          <w:color w:val="002060"/>
          <w:sz w:val="16"/>
          <w:szCs w:val="16"/>
        </w:rPr>
      </w:pPr>
    </w:p>
    <w:p w14:paraId="64BD3555" w14:textId="420ED59D" w:rsidR="0076682D" w:rsidRPr="00405303" w:rsidRDefault="0018164E" w:rsidP="00C15251">
      <w:pPr>
        <w:pStyle w:val="a3"/>
        <w:jc w:val="both"/>
        <w:rPr>
          <w:bCs/>
          <w:color w:val="002060"/>
          <w:spacing w:val="0"/>
          <w:kern w:val="0"/>
          <w:position w:val="0"/>
          <w:sz w:val="16"/>
          <w:szCs w:val="16"/>
        </w:rPr>
      </w:pPr>
      <w:r w:rsidRPr="00405303">
        <w:rPr>
          <w:bCs/>
          <w:color w:val="002060"/>
          <w:spacing w:val="0"/>
          <w:kern w:val="0"/>
          <w:position w:val="0"/>
          <w:sz w:val="16"/>
          <w:szCs w:val="16"/>
        </w:rPr>
        <w:t>Аэростато</w:t>
      </w:r>
      <w:r w:rsidR="0076682D" w:rsidRPr="00405303">
        <w:rPr>
          <w:bCs/>
          <w:color w:val="002060"/>
          <w:spacing w:val="0"/>
          <w:kern w:val="0"/>
          <w:position w:val="0"/>
          <w:sz w:val="16"/>
          <w:szCs w:val="16"/>
        </w:rPr>
        <w:t>строение:</w:t>
      </w:r>
    </w:p>
    <w:p w14:paraId="49B3FA8F" w14:textId="77777777" w:rsidR="0076682D" w:rsidRPr="00405303" w:rsidRDefault="0076682D" w:rsidP="00C15251">
      <w:pPr>
        <w:pStyle w:val="a3"/>
        <w:jc w:val="both"/>
        <w:rPr>
          <w:bCs/>
          <w:color w:val="002060"/>
          <w:spacing w:val="0"/>
          <w:kern w:val="0"/>
          <w:position w:val="0"/>
          <w:sz w:val="16"/>
          <w:szCs w:val="16"/>
        </w:rPr>
      </w:pPr>
    </w:p>
    <w:p w14:paraId="7A12AC25" w14:textId="77777777" w:rsidR="0076682D" w:rsidRPr="00405303" w:rsidRDefault="0076682D" w:rsidP="00C15251">
      <w:pPr>
        <w:jc w:val="both"/>
        <w:rPr>
          <w:bCs/>
          <w:color w:val="002060"/>
          <w:sz w:val="16"/>
          <w:szCs w:val="16"/>
        </w:rPr>
      </w:pPr>
      <w:r w:rsidRPr="00405303">
        <w:rPr>
          <w:bCs/>
          <w:color w:val="002060"/>
          <w:sz w:val="16"/>
          <w:szCs w:val="16"/>
        </w:rPr>
        <w:t>28 августа (10 сентября) 1915 г. Отдел изобретений Центрального военно-промышленного комитета, рассмотрев предложение К.Э. Циолковского и ознакомившись с представленными брошюрами по этому вопросу, дал отрицательное заключение. В нем говорилось: «Проект ... является ... не настолько разработанным, чтобы можно было тотчас же приступить к постройке аэростата такой системы для военных целей...» (22857).</w:t>
      </w:r>
    </w:p>
    <w:p w14:paraId="3963083E" w14:textId="77777777" w:rsidR="0076682D" w:rsidRPr="00405303" w:rsidRDefault="0076682D" w:rsidP="00C15251">
      <w:pPr>
        <w:jc w:val="both"/>
        <w:rPr>
          <w:bCs/>
          <w:color w:val="002060"/>
          <w:sz w:val="16"/>
          <w:szCs w:val="16"/>
        </w:rPr>
      </w:pPr>
    </w:p>
    <w:p w14:paraId="63B68395"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6BE2C87D" w14:textId="77777777" w:rsidR="004B4E35" w:rsidRPr="00405303" w:rsidRDefault="004B4E35" w:rsidP="00C15251">
      <w:pPr>
        <w:pStyle w:val="a3"/>
        <w:jc w:val="both"/>
        <w:rPr>
          <w:bCs/>
          <w:color w:val="002060"/>
          <w:spacing w:val="0"/>
          <w:kern w:val="0"/>
          <w:position w:val="0"/>
          <w:sz w:val="16"/>
          <w:szCs w:val="16"/>
        </w:rPr>
      </w:pPr>
    </w:p>
    <w:p w14:paraId="763249AF" w14:textId="0665AB0B" w:rsidR="004B4E35" w:rsidRPr="00405303" w:rsidRDefault="009E6F82" w:rsidP="00C15251">
      <w:pPr>
        <w:shd w:val="clear" w:color="auto" w:fill="FFFFFF"/>
        <w:jc w:val="both"/>
        <w:rPr>
          <w:bCs/>
          <w:color w:val="002060"/>
          <w:sz w:val="16"/>
          <w:szCs w:val="16"/>
        </w:rPr>
      </w:pPr>
      <w:r w:rsidRPr="00405303">
        <w:rPr>
          <w:bCs/>
          <w:color w:val="002060"/>
          <w:sz w:val="16"/>
          <w:szCs w:val="16"/>
        </w:rPr>
        <w:t>28 августа (1</w:t>
      </w:r>
      <w:r w:rsidR="0018164E" w:rsidRPr="00405303">
        <w:rPr>
          <w:bCs/>
          <w:color w:val="002060"/>
          <w:sz w:val="16"/>
          <w:szCs w:val="16"/>
        </w:rPr>
        <w:t>0</w:t>
      </w:r>
      <w:r w:rsidRPr="00405303">
        <w:rPr>
          <w:bCs/>
          <w:color w:val="002060"/>
          <w:sz w:val="16"/>
          <w:szCs w:val="16"/>
        </w:rPr>
        <w:t xml:space="preserve"> сентября) 1915 военный летчик 20 КАО поручик Владимир Ивано</w:t>
      </w:r>
      <w:r w:rsidRPr="00405303">
        <w:rPr>
          <w:bCs/>
          <w:color w:val="002060"/>
          <w:sz w:val="16"/>
          <w:szCs w:val="16"/>
        </w:rPr>
        <w:softHyphen/>
        <w:t xml:space="preserve">вич Бржозовский в исключительно трудной обстановке во время боя проник в тыл неприятельских войск и установил факт переброски значительных сил противника к Якобштадту. Разведка дала возможность принять мери, к предотвращению прорыва и перехода противником Западной Двины (ЦГВИА. ф.493, </w:t>
      </w:r>
      <w:proofErr w:type="gramStart"/>
      <w:r w:rsidRPr="00405303">
        <w:rPr>
          <w:bCs/>
          <w:color w:val="002060"/>
          <w:sz w:val="16"/>
          <w:szCs w:val="16"/>
        </w:rPr>
        <w:t>оп.З</w:t>
      </w:r>
      <w:proofErr w:type="gramEnd"/>
      <w:r w:rsidRPr="00405303">
        <w:rPr>
          <w:bCs/>
          <w:color w:val="002060"/>
          <w:sz w:val="16"/>
          <w:szCs w:val="16"/>
        </w:rPr>
        <w:t>, д.129, л.59, Приказ по 12-й армии).</w:t>
      </w:r>
    </w:p>
    <w:p w14:paraId="0241BC88" w14:textId="77777777" w:rsidR="004B4E35" w:rsidRPr="00405303" w:rsidRDefault="004B4E35" w:rsidP="00C15251">
      <w:pPr>
        <w:shd w:val="clear" w:color="auto" w:fill="FFFFFF"/>
        <w:jc w:val="both"/>
        <w:rPr>
          <w:bCs/>
          <w:color w:val="002060"/>
          <w:sz w:val="16"/>
          <w:szCs w:val="16"/>
        </w:rPr>
      </w:pPr>
    </w:p>
    <w:p w14:paraId="40635281" w14:textId="77777777" w:rsidR="005F0A52" w:rsidRPr="00405303" w:rsidRDefault="005F0A52" w:rsidP="00C15251">
      <w:pPr>
        <w:jc w:val="both"/>
        <w:rPr>
          <w:bCs/>
          <w:color w:val="002060"/>
          <w:sz w:val="16"/>
          <w:szCs w:val="16"/>
        </w:rPr>
      </w:pPr>
      <w:r w:rsidRPr="00405303">
        <w:rPr>
          <w:bCs/>
          <w:color w:val="002060"/>
          <w:sz w:val="16"/>
          <w:szCs w:val="16"/>
        </w:rPr>
        <w:t>28 августа (10 сентября) 1915 г. военный летчик 20 КАО поручик Владимир Иванович |Бржозовский при исключительно трудной обстановке во время боя проник в тыл неприятельских войск и установил факт переброски значительных сил противника к Якобштадту. Разведка дала возможность кость принять меры к предотвращению прорыва и перехода противником Зап. Двины.</w:t>
      </w:r>
    </w:p>
    <w:p w14:paraId="3D60F3AF" w14:textId="77777777" w:rsidR="005F0A52" w:rsidRPr="00405303" w:rsidRDefault="005F0A52" w:rsidP="00C15251">
      <w:pPr>
        <w:jc w:val="both"/>
        <w:rPr>
          <w:bCs/>
          <w:color w:val="002060"/>
          <w:sz w:val="16"/>
          <w:szCs w:val="16"/>
        </w:rPr>
      </w:pPr>
      <w:r w:rsidRPr="00405303">
        <w:rPr>
          <w:bCs/>
          <w:color w:val="002060"/>
          <w:sz w:val="16"/>
          <w:szCs w:val="16"/>
        </w:rPr>
        <w:t>/Приказ по 12-й армии, ЦГВИА, Ф. 493, оп. 3, д. 129, л. 59/ (23320).</w:t>
      </w:r>
    </w:p>
    <w:p w14:paraId="4B714BBA" w14:textId="77777777" w:rsidR="005F0A52" w:rsidRPr="00405303" w:rsidRDefault="005F0A52" w:rsidP="00C15251">
      <w:pPr>
        <w:jc w:val="both"/>
        <w:rPr>
          <w:bCs/>
          <w:color w:val="002060"/>
          <w:sz w:val="16"/>
          <w:szCs w:val="16"/>
        </w:rPr>
      </w:pPr>
    </w:p>
    <w:p w14:paraId="06155AB3" w14:textId="0C14DDBC" w:rsidR="00DB4D64" w:rsidRPr="00405303" w:rsidRDefault="00DB4D64" w:rsidP="00C15251">
      <w:pPr>
        <w:jc w:val="both"/>
        <w:rPr>
          <w:bCs/>
          <w:color w:val="002060"/>
          <w:sz w:val="16"/>
          <w:szCs w:val="16"/>
        </w:rPr>
      </w:pPr>
      <w:r w:rsidRPr="00405303">
        <w:rPr>
          <w:bCs/>
          <w:color w:val="002060"/>
          <w:sz w:val="16"/>
          <w:szCs w:val="16"/>
        </w:rPr>
        <w:t xml:space="preserve">В ночь с 28 на 29 августа (10-11 сентября) 1915 г. центр города Вильно подвергся наиболее ожесточенной бомбардировке с воздуха. Тем не менее большинство попыток германских аэропланов проникнуть в границы города срывались умелыми действиями русских зенитчиков. Так, 30 августа появившиеся вблизи Вильны два неприятельских разведчика подверглись обстрелу боевыми расчетами 6-й противосамолетной батареи (прапорщика Рудзита), израсходовавших при этом более 90 снарядов и гранат. В последующие дни противник продолжал совершать одиночные и групповые налеты на город, постоянно рискуя быть сбитыми нашей артиллерией. Утром 10 сентября над Вильной появился немецкий аэроплан, сбросивший две бомбы в районе городского вокзала (без видимого ущерба). Зенитный огонь и поднятие в воздух нашего дежурного самолета вынудили противника удалиться. Днем воздушный налет повторился. В результате брошенной бомбы с борта «Таубе» над центром города ранение получил случайный </w:t>
      </w:r>
      <w:bookmarkStart w:id="225" w:name="bookmark253"/>
      <w:bookmarkStart w:id="226" w:name="bookmark254"/>
      <w:r w:rsidRPr="00405303">
        <w:rPr>
          <w:bCs/>
          <w:color w:val="002060"/>
          <w:sz w:val="16"/>
          <w:szCs w:val="16"/>
        </w:rPr>
        <w:t>прохожий (мальчик). Только в первой декаде сентября в сектор огня 6-й батареи попало восемь вражеских летательных аппаратов [—].</w:t>
      </w:r>
      <w:bookmarkEnd w:id="225"/>
      <w:bookmarkEnd w:id="226"/>
    </w:p>
    <w:p w14:paraId="7C453667" w14:textId="77777777" w:rsidR="00DB4D64" w:rsidRPr="00405303" w:rsidRDefault="00DB4D64" w:rsidP="00C15251">
      <w:pPr>
        <w:jc w:val="both"/>
        <w:rPr>
          <w:bCs/>
          <w:color w:val="002060"/>
          <w:sz w:val="16"/>
          <w:szCs w:val="16"/>
        </w:rPr>
      </w:pPr>
      <w:r w:rsidRPr="00405303">
        <w:rPr>
          <w:bCs/>
          <w:color w:val="002060"/>
          <w:sz w:val="16"/>
          <w:szCs w:val="16"/>
        </w:rPr>
        <w:t>Несмотря на ожесточенное сопротивление, в ходе Виленской оборонительной операции (22.08—2.10.1915 г.) правое крыло 10-й русской армии было оттеснено за р. Вилия, где имелись наши основные резервы. Создавшееся положение заставило Ставку ВГК отвести войска за линию фронта и оставить 17 сентября г. Вильна (23405).</w:t>
      </w:r>
    </w:p>
    <w:p w14:paraId="06450229" w14:textId="77777777" w:rsidR="00DB4D64" w:rsidRPr="00405303" w:rsidRDefault="00DB4D64" w:rsidP="00C15251">
      <w:pPr>
        <w:jc w:val="both"/>
        <w:rPr>
          <w:bCs/>
          <w:color w:val="002060"/>
          <w:sz w:val="16"/>
          <w:szCs w:val="16"/>
        </w:rPr>
      </w:pPr>
    </w:p>
    <w:p w14:paraId="505D1194" w14:textId="77777777" w:rsidR="00241FDC" w:rsidRPr="00405303" w:rsidRDefault="00241FDC" w:rsidP="00241FDC">
      <w:pPr>
        <w:jc w:val="both"/>
        <w:rPr>
          <w:color w:val="0070C0"/>
          <w:sz w:val="16"/>
          <w:szCs w:val="16"/>
        </w:rPr>
      </w:pPr>
      <w:r w:rsidRPr="00405303">
        <w:rPr>
          <w:rStyle w:val="aa"/>
          <w:rFonts w:ascii="Times New Roman" w:hAnsi="Times New Roman"/>
          <w:color w:val="0070C0"/>
          <w:spacing w:val="0"/>
          <w:sz w:val="16"/>
          <w:szCs w:val="16"/>
        </w:rPr>
        <w:t>28 августа (10 сентября) 1915 г. утром над Вильной появился немецкий аэроплан, сбросивший две бомбы в районе городского вокзала (без видимого ущерба). Зенитный огонь и поднятие в воздух нашего дежурного самолета вынудили противника удалиться. Днем воздушный налет повторился. В результате брошенной бомбы с борта «Таубе» над центром города ранение получил случайный прохожий (мальчик)</w:t>
      </w:r>
      <w:hyperlink w:anchor="bookmark1315" w:tooltip="Current Document">
        <w:r w:rsidRPr="00405303">
          <w:rPr>
            <w:rStyle w:val="aa"/>
            <w:rFonts w:ascii="Times New Roman" w:hAnsi="Times New Roman"/>
            <w:color w:val="0070C0"/>
            <w:spacing w:val="0"/>
            <w:sz w:val="16"/>
            <w:szCs w:val="16"/>
            <w:u w:val="single"/>
            <w:vertAlign w:val="superscript"/>
          </w:rPr>
          <w:t>[245]</w:t>
        </w:r>
      </w:hyperlink>
      <w:r w:rsidRPr="00405303">
        <w:rPr>
          <w:rStyle w:val="aa"/>
          <w:rFonts w:ascii="Times New Roman" w:hAnsi="Times New Roman"/>
          <w:color w:val="0070C0"/>
          <w:spacing w:val="0"/>
          <w:sz w:val="16"/>
          <w:szCs w:val="16"/>
        </w:rPr>
        <w:t>. Только в первой декаде сентября в сектор огня 6-й батареи попало восемь вражеских летательных аппаратов.</w:t>
      </w:r>
    </w:p>
    <w:p w14:paraId="1D784A09" w14:textId="77777777" w:rsidR="00241FDC" w:rsidRPr="00405303" w:rsidRDefault="00241FDC" w:rsidP="00241FDC">
      <w:pPr>
        <w:jc w:val="both"/>
        <w:rPr>
          <w:color w:val="0070C0"/>
          <w:sz w:val="16"/>
          <w:szCs w:val="16"/>
        </w:rPr>
      </w:pPr>
    </w:p>
    <w:p w14:paraId="2ABD0AFF" w14:textId="77777777" w:rsidR="00241FDC" w:rsidRPr="00405303" w:rsidRDefault="00241FDC" w:rsidP="00241FDC">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28 августа (10 сентября) 1915 г. рано утром над Балтийским портом пролетел цеппелин, сбросивший на его объекты несколько бомб (25135).</w:t>
      </w:r>
    </w:p>
    <w:p w14:paraId="315B964E" w14:textId="77777777" w:rsidR="00241FDC" w:rsidRPr="00405303" w:rsidRDefault="00241FDC" w:rsidP="00241FDC">
      <w:pPr>
        <w:jc w:val="both"/>
        <w:rPr>
          <w:rStyle w:val="aa"/>
          <w:rFonts w:ascii="Times New Roman" w:hAnsi="Times New Roman"/>
          <w:color w:val="0070C0"/>
          <w:spacing w:val="0"/>
          <w:sz w:val="16"/>
          <w:szCs w:val="16"/>
        </w:rPr>
      </w:pPr>
    </w:p>
    <w:p w14:paraId="21A1F49F" w14:textId="77777777" w:rsidR="00241FDC" w:rsidRPr="00405303" w:rsidRDefault="00241FDC" w:rsidP="00241FDC">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28 августа (10 сентября) 1915 г. германский аэроплан сбросил три бомбы на поезд в районе ст. Олай (вблизи г. Рига) (25135).</w:t>
      </w:r>
    </w:p>
    <w:p w14:paraId="5D3239C6" w14:textId="77777777" w:rsidR="00241FDC" w:rsidRPr="00405303" w:rsidRDefault="00241FDC" w:rsidP="00241FDC">
      <w:pPr>
        <w:jc w:val="both"/>
        <w:rPr>
          <w:rStyle w:val="aa"/>
          <w:rFonts w:ascii="Times New Roman" w:hAnsi="Times New Roman"/>
          <w:color w:val="0070C0"/>
          <w:spacing w:val="0"/>
          <w:sz w:val="16"/>
          <w:szCs w:val="16"/>
        </w:rPr>
      </w:pPr>
    </w:p>
    <w:p w14:paraId="632A1396" w14:textId="77777777" w:rsidR="00241FDC" w:rsidRPr="00405303" w:rsidRDefault="00241FDC" w:rsidP="00241FDC">
      <w:pPr>
        <w:jc w:val="both"/>
        <w:rPr>
          <w:bCs/>
          <w:color w:val="002060"/>
          <w:sz w:val="16"/>
          <w:szCs w:val="16"/>
          <w:lang w:bidi="en-US"/>
        </w:rPr>
      </w:pPr>
      <w:r w:rsidRPr="00405303">
        <w:rPr>
          <w:bCs/>
          <w:color w:val="002060"/>
          <w:sz w:val="16"/>
          <w:szCs w:val="16"/>
          <w:lang w:bidi="en-US"/>
        </w:rPr>
        <w:t xml:space="preserve">28 августа (10 сентября) 1915 г. немецкий дирижабль </w:t>
      </w:r>
      <w:r w:rsidRPr="00405303">
        <w:rPr>
          <w:bCs/>
          <w:color w:val="002060"/>
          <w:sz w:val="16"/>
          <w:szCs w:val="16"/>
          <w:lang w:val="en-US" w:bidi="en-US"/>
        </w:rPr>
        <w:t>SL</w:t>
      </w:r>
      <w:r w:rsidRPr="00405303">
        <w:rPr>
          <w:bCs/>
          <w:color w:val="002060"/>
          <w:sz w:val="16"/>
          <w:szCs w:val="16"/>
          <w:lang w:bidi="en-US"/>
        </w:rPr>
        <w:t>.4 сбросил двадцать бомб на Балтийский порт под Ревелем в Финском заливе (23525).</w:t>
      </w:r>
    </w:p>
    <w:p w14:paraId="603E3F13" w14:textId="77777777" w:rsidR="00241FDC" w:rsidRPr="00405303" w:rsidRDefault="00241FDC" w:rsidP="00241FDC">
      <w:pPr>
        <w:jc w:val="both"/>
        <w:rPr>
          <w:bCs/>
          <w:color w:val="002060"/>
          <w:sz w:val="16"/>
          <w:szCs w:val="16"/>
        </w:rPr>
      </w:pPr>
    </w:p>
    <w:p w14:paraId="2BFB3B17" w14:textId="77777777" w:rsidR="002452A3" w:rsidRPr="00405303" w:rsidRDefault="002452A3" w:rsidP="002452A3">
      <w:pPr>
        <w:shd w:val="clear" w:color="auto" w:fill="FFFFFF"/>
        <w:jc w:val="both"/>
        <w:rPr>
          <w:bCs/>
          <w:i/>
          <w:color w:val="002060"/>
          <w:sz w:val="16"/>
          <w:szCs w:val="16"/>
        </w:rPr>
      </w:pPr>
      <w:r w:rsidRPr="00405303">
        <w:rPr>
          <w:bCs/>
          <w:i/>
          <w:color w:val="002060"/>
          <w:sz w:val="16"/>
          <w:szCs w:val="16"/>
        </w:rPr>
        <w:t>Авиация:</w:t>
      </w:r>
    </w:p>
    <w:p w14:paraId="6016A2FE" w14:textId="77777777" w:rsidR="002452A3" w:rsidRPr="00405303" w:rsidRDefault="002452A3" w:rsidP="002452A3">
      <w:pPr>
        <w:shd w:val="clear" w:color="auto" w:fill="FFFFFF"/>
        <w:jc w:val="both"/>
        <w:rPr>
          <w:bCs/>
          <w:i/>
          <w:color w:val="002060"/>
          <w:sz w:val="16"/>
          <w:szCs w:val="16"/>
        </w:rPr>
      </w:pPr>
    </w:p>
    <w:p w14:paraId="53D7F94E" w14:textId="77777777" w:rsidR="002452A3" w:rsidRPr="00405303" w:rsidRDefault="002452A3" w:rsidP="002452A3">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29 августа (11 сентября) 1915 г. объектом воздушного нападения стала ст. Царский Лес (район г. Рига) (25135).</w:t>
      </w:r>
    </w:p>
    <w:p w14:paraId="1F83FF41" w14:textId="77777777" w:rsidR="002452A3" w:rsidRPr="00405303" w:rsidRDefault="002452A3" w:rsidP="002452A3">
      <w:pPr>
        <w:jc w:val="both"/>
        <w:rPr>
          <w:rStyle w:val="aa"/>
          <w:rFonts w:ascii="Times New Roman" w:hAnsi="Times New Roman"/>
          <w:color w:val="0070C0"/>
          <w:spacing w:val="0"/>
          <w:sz w:val="16"/>
          <w:szCs w:val="16"/>
        </w:rPr>
      </w:pPr>
    </w:p>
    <w:p w14:paraId="2EEA6DEC"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7287B945" w14:textId="77777777" w:rsidR="004B4E35" w:rsidRPr="00405303" w:rsidRDefault="004B4E35" w:rsidP="00C15251">
      <w:pPr>
        <w:shd w:val="clear" w:color="auto" w:fill="FFFFFF"/>
        <w:jc w:val="both"/>
        <w:rPr>
          <w:bCs/>
          <w:i/>
          <w:color w:val="002060"/>
          <w:sz w:val="16"/>
          <w:szCs w:val="16"/>
        </w:rPr>
      </w:pPr>
    </w:p>
    <w:p w14:paraId="5BDB884C" w14:textId="3B6102D6" w:rsidR="004B4E35" w:rsidRPr="00405303" w:rsidRDefault="009E6F82" w:rsidP="00C15251">
      <w:pPr>
        <w:jc w:val="both"/>
        <w:rPr>
          <w:bCs/>
          <w:color w:val="002060"/>
          <w:sz w:val="16"/>
          <w:szCs w:val="16"/>
        </w:rPr>
      </w:pPr>
      <w:r w:rsidRPr="00405303">
        <w:rPr>
          <w:bCs/>
          <w:color w:val="002060"/>
          <w:sz w:val="16"/>
          <w:szCs w:val="16"/>
        </w:rPr>
        <w:t>В ночь на 2</w:t>
      </w:r>
      <w:r w:rsidR="0018164E" w:rsidRPr="00405303">
        <w:rPr>
          <w:bCs/>
          <w:color w:val="002060"/>
          <w:sz w:val="16"/>
          <w:szCs w:val="16"/>
        </w:rPr>
        <w:t>9</w:t>
      </w:r>
      <w:r w:rsidRPr="00405303">
        <w:rPr>
          <w:bCs/>
          <w:color w:val="002060"/>
          <w:sz w:val="16"/>
          <w:szCs w:val="16"/>
        </w:rPr>
        <w:t xml:space="preserve"> августа (11 сентября) 1915 армейский LZ-77 совершил рейд на Эссекс, который закончился полным провалом — ни одна из сброшенных бомб не взорвалась (11324).</w:t>
      </w:r>
    </w:p>
    <w:p w14:paraId="1008ABBF" w14:textId="77777777" w:rsidR="004B4E35" w:rsidRPr="00405303" w:rsidRDefault="004B4E35" w:rsidP="00C15251">
      <w:pPr>
        <w:shd w:val="clear" w:color="auto" w:fill="FFFFFF"/>
        <w:jc w:val="both"/>
        <w:rPr>
          <w:bCs/>
          <w:i/>
          <w:color w:val="002060"/>
          <w:sz w:val="16"/>
          <w:szCs w:val="16"/>
        </w:rPr>
      </w:pPr>
    </w:p>
    <w:p w14:paraId="7795889C" w14:textId="77777777" w:rsidR="00397A21" w:rsidRPr="00405303" w:rsidRDefault="00397A21" w:rsidP="00C15251">
      <w:pPr>
        <w:pStyle w:val="a3"/>
        <w:jc w:val="both"/>
        <w:rPr>
          <w:bCs/>
          <w:color w:val="002060"/>
          <w:spacing w:val="0"/>
          <w:kern w:val="0"/>
          <w:position w:val="0"/>
          <w:sz w:val="16"/>
          <w:szCs w:val="16"/>
        </w:rPr>
      </w:pPr>
      <w:r w:rsidRPr="00405303">
        <w:rPr>
          <w:bCs/>
          <w:color w:val="002060"/>
          <w:spacing w:val="0"/>
          <w:kern w:val="0"/>
          <w:position w:val="0"/>
          <w:sz w:val="16"/>
          <w:szCs w:val="16"/>
        </w:rPr>
        <w:t>Армия:</w:t>
      </w:r>
    </w:p>
    <w:p w14:paraId="3EA6AD73" w14:textId="77777777" w:rsidR="00397A21" w:rsidRPr="00405303" w:rsidRDefault="00397A21" w:rsidP="00C15251">
      <w:pPr>
        <w:pStyle w:val="a3"/>
        <w:jc w:val="both"/>
        <w:rPr>
          <w:bCs/>
          <w:color w:val="002060"/>
          <w:spacing w:val="0"/>
          <w:kern w:val="0"/>
          <w:position w:val="0"/>
          <w:sz w:val="16"/>
          <w:szCs w:val="16"/>
        </w:rPr>
      </w:pPr>
    </w:p>
    <w:p w14:paraId="1B58FA75" w14:textId="6C26A7F7" w:rsidR="00397A21" w:rsidRPr="00405303" w:rsidRDefault="00397A21" w:rsidP="00C15251">
      <w:pPr>
        <w:jc w:val="both"/>
        <w:rPr>
          <w:bCs/>
          <w:color w:val="002060"/>
          <w:sz w:val="16"/>
          <w:szCs w:val="16"/>
        </w:rPr>
      </w:pPr>
      <w:r w:rsidRPr="00405303">
        <w:rPr>
          <w:bCs/>
          <w:color w:val="002060"/>
          <w:sz w:val="16"/>
          <w:szCs w:val="16"/>
        </w:rPr>
        <w:t>30 августа</w:t>
      </w:r>
      <w:r w:rsidR="00174C66" w:rsidRPr="00405303">
        <w:rPr>
          <w:bCs/>
          <w:color w:val="002060"/>
          <w:sz w:val="16"/>
          <w:szCs w:val="16"/>
          <w:lang w:bidi="en-US"/>
        </w:rPr>
        <w:t xml:space="preserve"> (12 сентября)</w:t>
      </w:r>
      <w:r w:rsidRPr="00405303">
        <w:rPr>
          <w:bCs/>
          <w:color w:val="002060"/>
          <w:sz w:val="16"/>
          <w:szCs w:val="16"/>
        </w:rPr>
        <w:t xml:space="preserve"> в 1915 году немцы берут Брест-Литовск, прорвав мощную линию оборону русских (14754).</w:t>
      </w:r>
    </w:p>
    <w:p w14:paraId="3F8D20A3" w14:textId="77777777" w:rsidR="00397A21" w:rsidRPr="00405303" w:rsidRDefault="00397A21" w:rsidP="00C15251">
      <w:pPr>
        <w:jc w:val="both"/>
        <w:rPr>
          <w:bCs/>
          <w:color w:val="002060"/>
          <w:sz w:val="16"/>
          <w:szCs w:val="16"/>
        </w:rPr>
      </w:pPr>
    </w:p>
    <w:p w14:paraId="2429E7A8" w14:textId="2206B168" w:rsidR="00397A21" w:rsidRPr="00405303" w:rsidRDefault="00397A21" w:rsidP="00C15251">
      <w:pPr>
        <w:jc w:val="both"/>
        <w:rPr>
          <w:bCs/>
          <w:color w:val="002060"/>
          <w:sz w:val="16"/>
          <w:szCs w:val="16"/>
        </w:rPr>
      </w:pPr>
      <w:r w:rsidRPr="00405303">
        <w:rPr>
          <w:bCs/>
          <w:color w:val="002060"/>
          <w:sz w:val="16"/>
          <w:szCs w:val="16"/>
        </w:rPr>
        <w:t>30 августа</w:t>
      </w:r>
      <w:r w:rsidR="00174C66" w:rsidRPr="00405303">
        <w:rPr>
          <w:bCs/>
          <w:color w:val="002060"/>
          <w:sz w:val="16"/>
          <w:szCs w:val="16"/>
          <w:lang w:bidi="en-US"/>
        </w:rPr>
        <w:t xml:space="preserve"> (12 сентября)</w:t>
      </w:r>
      <w:r w:rsidRPr="00405303">
        <w:rPr>
          <w:bCs/>
          <w:color w:val="002060"/>
          <w:sz w:val="16"/>
          <w:szCs w:val="16"/>
        </w:rPr>
        <w:t xml:space="preserve"> в 1915 году в России формируется Северный фронт (14754).</w:t>
      </w:r>
    </w:p>
    <w:p w14:paraId="76A8D4B8" w14:textId="77777777" w:rsidR="00397A21" w:rsidRPr="00405303" w:rsidRDefault="00397A21" w:rsidP="00C15251">
      <w:pPr>
        <w:jc w:val="both"/>
        <w:rPr>
          <w:bCs/>
          <w:color w:val="002060"/>
          <w:sz w:val="16"/>
          <w:szCs w:val="16"/>
        </w:rPr>
      </w:pPr>
    </w:p>
    <w:p w14:paraId="69DF91A4" w14:textId="3E964A5C" w:rsidR="00DB4D64" w:rsidRPr="00405303" w:rsidRDefault="00DB4D64" w:rsidP="00C15251">
      <w:pPr>
        <w:shd w:val="clear" w:color="auto" w:fill="FFFFFF"/>
        <w:jc w:val="both"/>
        <w:rPr>
          <w:bCs/>
          <w:i/>
          <w:color w:val="002060"/>
          <w:sz w:val="16"/>
          <w:szCs w:val="16"/>
        </w:rPr>
      </w:pPr>
      <w:r w:rsidRPr="00405303">
        <w:rPr>
          <w:bCs/>
          <w:i/>
          <w:color w:val="002060"/>
          <w:sz w:val="16"/>
          <w:szCs w:val="16"/>
        </w:rPr>
        <w:lastRenderedPageBreak/>
        <w:t>Авиация:</w:t>
      </w:r>
    </w:p>
    <w:p w14:paraId="663C6CBA" w14:textId="77777777" w:rsidR="00DB4D64" w:rsidRPr="00405303" w:rsidRDefault="00DB4D64" w:rsidP="00C15251">
      <w:pPr>
        <w:shd w:val="clear" w:color="auto" w:fill="FFFFFF"/>
        <w:jc w:val="both"/>
        <w:rPr>
          <w:bCs/>
          <w:i/>
          <w:color w:val="002060"/>
          <w:sz w:val="16"/>
          <w:szCs w:val="16"/>
        </w:rPr>
      </w:pPr>
    </w:p>
    <w:p w14:paraId="24544CB3" w14:textId="77777777" w:rsidR="002452A3" w:rsidRPr="00405303" w:rsidRDefault="002452A3" w:rsidP="002452A3">
      <w:pPr>
        <w:jc w:val="both"/>
        <w:rPr>
          <w:color w:val="0070C0"/>
          <w:sz w:val="16"/>
          <w:szCs w:val="16"/>
        </w:rPr>
      </w:pPr>
      <w:r w:rsidRPr="00405303">
        <w:rPr>
          <w:rStyle w:val="aa"/>
          <w:rFonts w:ascii="Times New Roman" w:hAnsi="Times New Roman"/>
          <w:color w:val="0070C0"/>
          <w:spacing w:val="0"/>
          <w:sz w:val="16"/>
          <w:szCs w:val="16"/>
        </w:rPr>
        <w:t>30 августа (12 сентября) 1915 г. противник продолжал активно работать по столице Лифляндской губернии. Утром над Мюль-грабеном (окрестности г. Рига) появился немецкий аэроплан типа «Таубе», сбросивший пять бомб (разорвалась лишь одна). При этом одна из бомб упала в р. Западная Двина.</w:t>
      </w:r>
    </w:p>
    <w:p w14:paraId="510F29C5" w14:textId="77777777" w:rsidR="002452A3" w:rsidRPr="00405303" w:rsidRDefault="002452A3" w:rsidP="002452A3">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Другим местом бомбардировки стало имением Катлекане. Вечером очередной неприятельский летательный аппарат пытался прорваться к городу, но, наткнувшись на плотную зенитную завесу, был вынужден повернуть назад (25135).</w:t>
      </w:r>
    </w:p>
    <w:p w14:paraId="4DC253FD" w14:textId="77777777" w:rsidR="002452A3" w:rsidRPr="00405303" w:rsidRDefault="002452A3" w:rsidP="002452A3">
      <w:pPr>
        <w:jc w:val="both"/>
        <w:rPr>
          <w:rStyle w:val="aa"/>
          <w:rFonts w:ascii="Times New Roman" w:hAnsi="Times New Roman"/>
          <w:color w:val="0070C0"/>
          <w:spacing w:val="0"/>
          <w:sz w:val="16"/>
          <w:szCs w:val="16"/>
        </w:rPr>
      </w:pPr>
    </w:p>
    <w:p w14:paraId="37240AFD" w14:textId="0F54D12D" w:rsidR="00DB4D64" w:rsidRPr="00405303" w:rsidRDefault="00DB4D64" w:rsidP="00C15251">
      <w:pPr>
        <w:jc w:val="both"/>
        <w:rPr>
          <w:bCs/>
          <w:color w:val="002060"/>
          <w:sz w:val="16"/>
          <w:szCs w:val="16"/>
        </w:rPr>
      </w:pPr>
      <w:r w:rsidRPr="00405303">
        <w:rPr>
          <w:bCs/>
          <w:color w:val="002060"/>
          <w:sz w:val="16"/>
          <w:szCs w:val="16"/>
        </w:rPr>
        <w:t>30 августа</w:t>
      </w:r>
      <w:r w:rsidR="00174C66" w:rsidRPr="00405303">
        <w:rPr>
          <w:bCs/>
          <w:color w:val="002060"/>
          <w:sz w:val="16"/>
          <w:szCs w:val="16"/>
          <w:lang w:bidi="en-US"/>
        </w:rPr>
        <w:t xml:space="preserve"> (12 сентября)</w:t>
      </w:r>
      <w:r w:rsidRPr="00405303">
        <w:rPr>
          <w:bCs/>
          <w:color w:val="002060"/>
          <w:sz w:val="16"/>
          <w:szCs w:val="16"/>
        </w:rPr>
        <w:t xml:space="preserve"> 1915 г. возле волостного центра Влодавы (Люблинское воеводство, Польша) наш аэроплан, атакованный в воздухе тремя вражескими «Альбатросами», сбил одного из них и «обратил в бегство два других» (23405).</w:t>
      </w:r>
    </w:p>
    <w:p w14:paraId="7CC66991" w14:textId="77777777" w:rsidR="00DB4D64" w:rsidRPr="00405303" w:rsidRDefault="00DB4D64" w:rsidP="00C15251">
      <w:pPr>
        <w:jc w:val="both"/>
        <w:rPr>
          <w:bCs/>
          <w:color w:val="002060"/>
          <w:sz w:val="16"/>
          <w:szCs w:val="16"/>
        </w:rPr>
      </w:pPr>
    </w:p>
    <w:p w14:paraId="62CCE1D3" w14:textId="43E96724" w:rsidR="00DB4D64" w:rsidRPr="00405303" w:rsidRDefault="00DB4D64" w:rsidP="00C15251">
      <w:pPr>
        <w:jc w:val="both"/>
        <w:rPr>
          <w:bCs/>
          <w:color w:val="002060"/>
          <w:sz w:val="16"/>
          <w:szCs w:val="16"/>
        </w:rPr>
      </w:pPr>
      <w:r w:rsidRPr="00405303">
        <w:rPr>
          <w:bCs/>
          <w:color w:val="002060"/>
          <w:sz w:val="16"/>
          <w:szCs w:val="16"/>
        </w:rPr>
        <w:t>30 августа</w:t>
      </w:r>
      <w:r w:rsidR="00174C66" w:rsidRPr="00405303">
        <w:rPr>
          <w:bCs/>
          <w:color w:val="002060"/>
          <w:sz w:val="16"/>
          <w:szCs w:val="16"/>
          <w:lang w:bidi="en-US"/>
        </w:rPr>
        <w:t xml:space="preserve"> (12 сентября)</w:t>
      </w:r>
      <w:r w:rsidRPr="00405303">
        <w:rPr>
          <w:bCs/>
          <w:color w:val="002060"/>
          <w:sz w:val="16"/>
          <w:szCs w:val="16"/>
        </w:rPr>
        <w:t xml:space="preserve"> 1915 г. появившиеся вблизи Вильны два неприятельских разведчика подверглись обстрелу боевыми расчетами 6-й противосамолетной батареи (прапорщика Рудзита), израсходовавших при этом более 90 снарядов и гранат. В последующие дни противник продолжал совершать одиночные и групповые налеты на город, постоянно рискуя быть сбитыми нашей артиллерией. Утром 10 сентября над Вильной появился немецкий аэроплан, сбросивший две бомбы в районе городского вокзала (без видимого ущерба). Зенитный огонь и поднятие в воздух нашего дежурного самолета вынудили противника удалиться. Днем воздушный налет повторился. В результате брошенной бомбы с борта «Таубе» над центром города ранение получил случайный прохожий (мальчик). Только в первой декаде сентября в сектор огня 6-й батареи попало восемь вражеских летательных аппаратов [—].</w:t>
      </w:r>
    </w:p>
    <w:p w14:paraId="6900491F" w14:textId="77777777" w:rsidR="00DB4D64" w:rsidRPr="00405303" w:rsidRDefault="00DB4D64" w:rsidP="00C15251">
      <w:pPr>
        <w:jc w:val="both"/>
        <w:rPr>
          <w:bCs/>
          <w:color w:val="002060"/>
          <w:sz w:val="16"/>
          <w:szCs w:val="16"/>
        </w:rPr>
      </w:pPr>
      <w:r w:rsidRPr="00405303">
        <w:rPr>
          <w:bCs/>
          <w:color w:val="002060"/>
          <w:sz w:val="16"/>
          <w:szCs w:val="16"/>
        </w:rPr>
        <w:t>Несмотря на ожесточенное сопротивление, в ходе Виленской оборонительной операции (22.08—2.10.1915 г.) правое крыло 10-й русской армии было оттеснено за р. Вилия, где имелись наши основные резервы. Создавшееся положение заставило Ставку ВГК отвести войска за линию фронта и оставить 17 сентября г. Вильна (23405).</w:t>
      </w:r>
    </w:p>
    <w:p w14:paraId="4B021290" w14:textId="77777777" w:rsidR="00DB4D64" w:rsidRPr="00405303" w:rsidRDefault="00DB4D64" w:rsidP="00C15251">
      <w:pPr>
        <w:jc w:val="both"/>
        <w:rPr>
          <w:bCs/>
          <w:color w:val="002060"/>
          <w:sz w:val="16"/>
          <w:szCs w:val="16"/>
        </w:rPr>
      </w:pPr>
    </w:p>
    <w:p w14:paraId="4ACC4EAB" w14:textId="47BF54C7" w:rsidR="00174C66" w:rsidRPr="00405303" w:rsidRDefault="00174C66" w:rsidP="00C15251">
      <w:pPr>
        <w:jc w:val="both"/>
        <w:rPr>
          <w:bCs/>
          <w:color w:val="002060"/>
          <w:sz w:val="16"/>
          <w:szCs w:val="16"/>
        </w:rPr>
      </w:pPr>
      <w:r w:rsidRPr="00405303">
        <w:rPr>
          <w:bCs/>
          <w:color w:val="002060"/>
          <w:sz w:val="16"/>
          <w:szCs w:val="16"/>
          <w:lang w:bidi="en-US"/>
        </w:rPr>
        <w:t>30 августа (12 сентября) 1915 г. боевой порядок ВВС России (с севера на юг): 12-я армия с 20-й КАО и 23-й КАО; 5-я армия в составе 10-й КАО, 13-й КАО, 15-й КАО, 19-й КАО и 1-й армии АО; 1-я армия в составе 2-й КАО, 29-й КАО, 1-й и 4-й Сибирских КАО и 1-й армии АО; 2-я армия в составе 1-й КАО, 4-й КАО, 21-й КАО и 2-й армейской АО; 10-я армия в составе 22-й КАО, 27-й КАО, 28-й КАО и 34-й КАО; 4-я армия в составе 3-й КАО, 6-й КАО, 14-й КАО, 25-й КАО и Гренадерской КАО; 3-я армия в составе 9-й КАО, 11-й КАО, 24-й КАО, 31-й КАО и Гвардейской КАО; 8-я армия в составе 3-й полевой АО, 7-й КАО, 8-й КАО, 12-й КАО и 32-й КАО; 11-я армия с 18-й КАО; 9-я армия в составе 16-й КАО, 26-й КАО и 30-й КАО; Кавказская армия в составе 1-й, 2-й и 3-й Кавказских КАО (23525).</w:t>
      </w:r>
    </w:p>
    <w:p w14:paraId="1AF2C22D" w14:textId="77777777" w:rsidR="00174C66" w:rsidRPr="00405303" w:rsidRDefault="00174C66" w:rsidP="00C15251">
      <w:pPr>
        <w:jc w:val="both"/>
        <w:rPr>
          <w:bCs/>
          <w:color w:val="002060"/>
          <w:sz w:val="16"/>
          <w:szCs w:val="16"/>
          <w:lang w:bidi="en-US"/>
        </w:rPr>
      </w:pPr>
    </w:p>
    <w:p w14:paraId="2B6227DF" w14:textId="40E32CDA" w:rsidR="0076682D" w:rsidRPr="00405303" w:rsidRDefault="0076682D" w:rsidP="00C15251">
      <w:pPr>
        <w:shd w:val="clear" w:color="auto" w:fill="FFFFFF"/>
        <w:jc w:val="both"/>
        <w:rPr>
          <w:bCs/>
          <w:i/>
          <w:color w:val="002060"/>
          <w:sz w:val="16"/>
          <w:szCs w:val="16"/>
        </w:rPr>
      </w:pPr>
      <w:r w:rsidRPr="00405303">
        <w:rPr>
          <w:bCs/>
          <w:i/>
          <w:color w:val="002060"/>
          <w:sz w:val="16"/>
          <w:szCs w:val="16"/>
        </w:rPr>
        <w:t>Авиация и воздухоплавание за рубежом:</w:t>
      </w:r>
    </w:p>
    <w:p w14:paraId="6FA05F70" w14:textId="77777777" w:rsidR="0076682D" w:rsidRPr="00405303" w:rsidRDefault="0076682D" w:rsidP="00C15251">
      <w:pPr>
        <w:shd w:val="clear" w:color="auto" w:fill="FFFFFF"/>
        <w:jc w:val="both"/>
        <w:rPr>
          <w:bCs/>
          <w:i/>
          <w:color w:val="002060"/>
          <w:sz w:val="16"/>
          <w:szCs w:val="16"/>
        </w:rPr>
      </w:pPr>
    </w:p>
    <w:p w14:paraId="4DD04507" w14:textId="77777777" w:rsidR="0076682D" w:rsidRPr="00405303" w:rsidRDefault="0076682D" w:rsidP="00C15251">
      <w:pPr>
        <w:jc w:val="both"/>
        <w:rPr>
          <w:bCs/>
          <w:color w:val="002060"/>
          <w:sz w:val="16"/>
          <w:szCs w:val="16"/>
        </w:rPr>
      </w:pPr>
      <w:r w:rsidRPr="00405303">
        <w:rPr>
          <w:bCs/>
          <w:color w:val="002060"/>
          <w:sz w:val="16"/>
          <w:szCs w:val="16"/>
        </w:rPr>
        <w:t>30 августа (12 сентября) 1915, управляя самолетом Nieuport 10 по имени le Demon («Демон»), Ян Олислагерс сбивает немецкий самолет Aviatik, став первым бельгийским пилотом, одержавшим победу в воздухе (20338).</w:t>
      </w:r>
    </w:p>
    <w:p w14:paraId="49F50BD6" w14:textId="77777777" w:rsidR="0076682D" w:rsidRPr="00405303" w:rsidRDefault="0076682D" w:rsidP="00C15251">
      <w:pPr>
        <w:jc w:val="both"/>
        <w:rPr>
          <w:bCs/>
          <w:color w:val="002060"/>
          <w:sz w:val="16"/>
          <w:szCs w:val="16"/>
        </w:rPr>
      </w:pPr>
    </w:p>
    <w:p w14:paraId="4DDE4A20"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63CE922D" w14:textId="77777777" w:rsidR="004B4E35" w:rsidRPr="00405303" w:rsidRDefault="004B4E35" w:rsidP="00C15251">
      <w:pPr>
        <w:shd w:val="clear" w:color="auto" w:fill="FFFFFF"/>
        <w:jc w:val="both"/>
        <w:rPr>
          <w:bCs/>
          <w:i/>
          <w:color w:val="002060"/>
          <w:sz w:val="16"/>
          <w:szCs w:val="16"/>
        </w:rPr>
      </w:pPr>
    </w:p>
    <w:p w14:paraId="06CABF6A" w14:textId="3DE0B7ED"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31 августа (13 сентября) 1915 </w:t>
      </w:r>
      <w:r w:rsidR="005A78DA" w:rsidRPr="00405303">
        <w:rPr>
          <w:bCs/>
          <w:color w:val="002060"/>
          <w:sz w:val="16"/>
          <w:szCs w:val="16"/>
        </w:rPr>
        <w:t xml:space="preserve">г. </w:t>
      </w:r>
      <w:r w:rsidRPr="00405303">
        <w:rPr>
          <w:bCs/>
          <w:color w:val="002060"/>
          <w:sz w:val="16"/>
          <w:szCs w:val="16"/>
        </w:rPr>
        <w:t xml:space="preserve">командир 6-й авиационной роты доносил Заведующему авиацией действующей армии об использовании авиаотрядами прицельных </w:t>
      </w:r>
      <w:proofErr w:type="gramStart"/>
      <w:r w:rsidRPr="00405303">
        <w:rPr>
          <w:bCs/>
          <w:color w:val="002060"/>
          <w:sz w:val="16"/>
          <w:szCs w:val="16"/>
        </w:rPr>
        <w:t>приборов;...</w:t>
      </w:r>
      <w:proofErr w:type="gramEnd"/>
      <w:r w:rsidRPr="00405303">
        <w:rPr>
          <w:bCs/>
          <w:color w:val="002060"/>
          <w:sz w:val="16"/>
          <w:szCs w:val="16"/>
        </w:rPr>
        <w:t xml:space="preserve"> "большинство из отрядов указанных прибороров совсем не заводило, так как при ознакомлении с ними еще в авиационных школах пришли к убеждению, что все они мало пригодны и что обыкновенный навык- при достаточно выработанном глазомере в настоящее время стоит выше всех предложенных приборов". На 20 августа 1915 года в отрядах имелись прицелы трех видов - Слесарева, Тираспольского и Лебеденке, но все они из-за несовершенства своей конструкции мало использовались по назначению (ЦГВИА. ф. 2008, д. 158, л. 21).</w:t>
      </w:r>
    </w:p>
    <w:p w14:paraId="2B1DEAAD" w14:textId="77777777" w:rsidR="004B4E35" w:rsidRPr="00405303" w:rsidRDefault="004B4E35" w:rsidP="00C15251">
      <w:pPr>
        <w:shd w:val="clear" w:color="auto" w:fill="FFFFFF"/>
        <w:jc w:val="both"/>
        <w:rPr>
          <w:bCs/>
          <w:color w:val="002060"/>
          <w:sz w:val="16"/>
          <w:szCs w:val="16"/>
        </w:rPr>
      </w:pPr>
    </w:p>
    <w:p w14:paraId="0CC77D11" w14:textId="77777777" w:rsidR="008D3714" w:rsidRPr="00405303" w:rsidRDefault="008D3714" w:rsidP="00C15251">
      <w:pPr>
        <w:jc w:val="both"/>
        <w:rPr>
          <w:bCs/>
          <w:color w:val="002060"/>
          <w:sz w:val="16"/>
          <w:szCs w:val="16"/>
        </w:rPr>
      </w:pPr>
      <w:r w:rsidRPr="00405303">
        <w:rPr>
          <w:bCs/>
          <w:color w:val="002060"/>
          <w:sz w:val="16"/>
          <w:szCs w:val="16"/>
        </w:rPr>
        <w:t>31 августа (13 сентября) 1915 г. командир 6-й авиационной роты доносил заведующему авиацией действующей армии об использовании авиаотрядами прицельных приборов "большинство из отрядов указанных приборов совсем не заводило, т.к. при ознакомлении с ними еще в авиационных школах пришли к убеждению, что все они мало пригодны для своего назначения и считают, что обыкновенный навык при достаточно выра</w:t>
      </w:r>
      <w:r w:rsidRPr="00405303">
        <w:rPr>
          <w:bCs/>
          <w:color w:val="002060"/>
          <w:sz w:val="16"/>
          <w:szCs w:val="16"/>
        </w:rPr>
        <w:softHyphen/>
        <w:t>ботанном глазомере в настоящее время стоит выше всех предложен</w:t>
      </w:r>
      <w:r w:rsidRPr="00405303">
        <w:rPr>
          <w:bCs/>
          <w:color w:val="002060"/>
          <w:sz w:val="16"/>
          <w:szCs w:val="16"/>
        </w:rPr>
        <w:softHyphen/>
        <w:t>ных приборов; единственными, заслуживающими внимания, могут считать</w:t>
      </w:r>
      <w:r w:rsidRPr="00405303">
        <w:rPr>
          <w:bCs/>
          <w:color w:val="002060"/>
          <w:sz w:val="16"/>
          <w:szCs w:val="16"/>
        </w:rPr>
        <w:softHyphen/>
        <w:t>ся приборы Толмачева /упрощенные/ и Тираспольского, но польза от них настолько проблематична, что начальники отрядов даже не наста</w:t>
      </w:r>
      <w:r w:rsidRPr="00405303">
        <w:rPr>
          <w:bCs/>
          <w:color w:val="002060"/>
          <w:sz w:val="16"/>
          <w:szCs w:val="16"/>
        </w:rPr>
        <w:softHyphen/>
        <w:t>ивают на заведении их в отрядах. Очень желательно получить эти при</w:t>
      </w:r>
      <w:r w:rsidRPr="00405303">
        <w:rPr>
          <w:bCs/>
          <w:color w:val="002060"/>
          <w:sz w:val="16"/>
          <w:szCs w:val="16"/>
        </w:rPr>
        <w:softHyphen/>
        <w:t>боры для выдачи в отряды для всестороннего изучения й испытания”. По данным генерала фон-Роппа на 20 августа 1915 года в отрядах имлись прицелы трех видов Слесарева, Тираспольского и Лебеденко, но все они из-за несовершенства своей конструкции мало использовались по назначению.</w:t>
      </w:r>
    </w:p>
    <w:p w14:paraId="5C15B3D0" w14:textId="77777777" w:rsidR="008D3714" w:rsidRPr="00405303" w:rsidRDefault="008D3714" w:rsidP="00C15251">
      <w:pPr>
        <w:jc w:val="both"/>
        <w:rPr>
          <w:bCs/>
          <w:color w:val="002060"/>
          <w:sz w:val="16"/>
          <w:szCs w:val="16"/>
        </w:rPr>
      </w:pPr>
      <w:r w:rsidRPr="00405303">
        <w:rPr>
          <w:bCs/>
          <w:color w:val="002060"/>
          <w:sz w:val="16"/>
          <w:szCs w:val="16"/>
        </w:rPr>
        <w:t>/ЦГВИА, ф. 2008, д. 153, л. 21/ (23320).</w:t>
      </w:r>
    </w:p>
    <w:p w14:paraId="47A02D12" w14:textId="77777777" w:rsidR="008D3714" w:rsidRPr="00405303" w:rsidRDefault="008D3714" w:rsidP="00C15251">
      <w:pPr>
        <w:jc w:val="both"/>
        <w:rPr>
          <w:bCs/>
          <w:color w:val="002060"/>
          <w:sz w:val="16"/>
          <w:szCs w:val="16"/>
        </w:rPr>
      </w:pPr>
    </w:p>
    <w:p w14:paraId="35C0A5EC" w14:textId="77777777" w:rsidR="00397A21" w:rsidRPr="00405303" w:rsidRDefault="00397A21" w:rsidP="00C15251">
      <w:pPr>
        <w:pStyle w:val="a3"/>
        <w:jc w:val="both"/>
        <w:rPr>
          <w:bCs/>
          <w:color w:val="002060"/>
          <w:spacing w:val="0"/>
          <w:kern w:val="0"/>
          <w:position w:val="0"/>
          <w:sz w:val="16"/>
          <w:szCs w:val="16"/>
        </w:rPr>
      </w:pPr>
      <w:r w:rsidRPr="00405303">
        <w:rPr>
          <w:bCs/>
          <w:color w:val="002060"/>
          <w:spacing w:val="0"/>
          <w:kern w:val="0"/>
          <w:position w:val="0"/>
          <w:sz w:val="16"/>
          <w:szCs w:val="16"/>
        </w:rPr>
        <w:t>Армия:</w:t>
      </w:r>
    </w:p>
    <w:p w14:paraId="3AAA159E" w14:textId="77777777" w:rsidR="00397A21" w:rsidRPr="00405303" w:rsidRDefault="00397A21" w:rsidP="00C15251">
      <w:pPr>
        <w:pStyle w:val="a3"/>
        <w:jc w:val="both"/>
        <w:rPr>
          <w:bCs/>
          <w:color w:val="002060"/>
          <w:spacing w:val="0"/>
          <w:kern w:val="0"/>
          <w:position w:val="0"/>
          <w:sz w:val="16"/>
          <w:szCs w:val="16"/>
        </w:rPr>
      </w:pPr>
    </w:p>
    <w:p w14:paraId="2A0C21CC" w14:textId="00E62722" w:rsidR="00397A21" w:rsidRPr="00405303" w:rsidRDefault="00397A21" w:rsidP="00C15251">
      <w:pPr>
        <w:jc w:val="both"/>
        <w:rPr>
          <w:bCs/>
          <w:color w:val="002060"/>
          <w:sz w:val="16"/>
          <w:szCs w:val="16"/>
        </w:rPr>
      </w:pPr>
      <w:r w:rsidRPr="00405303">
        <w:rPr>
          <w:bCs/>
          <w:color w:val="002060"/>
          <w:sz w:val="16"/>
          <w:szCs w:val="16"/>
        </w:rPr>
        <w:t xml:space="preserve">31 августа </w:t>
      </w:r>
      <w:r w:rsidR="005A78DA" w:rsidRPr="00405303">
        <w:rPr>
          <w:bCs/>
          <w:color w:val="002060"/>
          <w:sz w:val="16"/>
          <w:szCs w:val="16"/>
        </w:rPr>
        <w:t xml:space="preserve">(13 сентября) </w:t>
      </w:r>
      <w:r w:rsidRPr="00405303">
        <w:rPr>
          <w:bCs/>
          <w:color w:val="002060"/>
          <w:sz w:val="16"/>
          <w:szCs w:val="16"/>
        </w:rPr>
        <w:t>в 1915 году немецкие войска захватывают Луцк (14755).</w:t>
      </w:r>
    </w:p>
    <w:p w14:paraId="2E7948F5" w14:textId="77777777" w:rsidR="00397A21" w:rsidRPr="00405303" w:rsidRDefault="00397A21" w:rsidP="00C15251">
      <w:pPr>
        <w:jc w:val="both"/>
        <w:rPr>
          <w:bCs/>
          <w:color w:val="002060"/>
          <w:sz w:val="16"/>
          <w:szCs w:val="16"/>
        </w:rPr>
      </w:pPr>
    </w:p>
    <w:p w14:paraId="56D41C6C" w14:textId="77777777" w:rsidR="005A78DA" w:rsidRPr="00405303" w:rsidRDefault="005A78DA" w:rsidP="00C15251">
      <w:pPr>
        <w:jc w:val="both"/>
        <w:rPr>
          <w:bCs/>
          <w:i/>
          <w:color w:val="002060"/>
          <w:sz w:val="16"/>
          <w:szCs w:val="16"/>
        </w:rPr>
      </w:pPr>
      <w:r w:rsidRPr="00405303">
        <w:rPr>
          <w:bCs/>
          <w:i/>
          <w:color w:val="002060"/>
          <w:sz w:val="16"/>
          <w:szCs w:val="16"/>
        </w:rPr>
        <w:t>За рубежом:</w:t>
      </w:r>
    </w:p>
    <w:p w14:paraId="22533646" w14:textId="77777777" w:rsidR="005A78DA" w:rsidRPr="00405303" w:rsidRDefault="005A78DA" w:rsidP="00C15251">
      <w:pPr>
        <w:jc w:val="both"/>
        <w:rPr>
          <w:bCs/>
          <w:color w:val="002060"/>
          <w:sz w:val="16"/>
          <w:szCs w:val="16"/>
        </w:rPr>
      </w:pPr>
    </w:p>
    <w:p w14:paraId="6D55E981" w14:textId="77777777" w:rsidR="005A78DA" w:rsidRPr="00405303" w:rsidRDefault="005A78DA" w:rsidP="00C15251">
      <w:pPr>
        <w:jc w:val="both"/>
        <w:rPr>
          <w:bCs/>
          <w:color w:val="002060"/>
          <w:sz w:val="16"/>
          <w:szCs w:val="16"/>
        </w:rPr>
      </w:pPr>
      <w:r w:rsidRPr="00405303">
        <w:rPr>
          <w:rStyle w:val="ucoz-forum-post"/>
          <w:rFonts w:eastAsiaTheme="majorEastAsia"/>
          <w:bCs/>
          <w:color w:val="002060"/>
          <w:sz w:val="16"/>
          <w:szCs w:val="16"/>
        </w:rPr>
        <w:t xml:space="preserve">31 августа (13 сентября) </w:t>
      </w:r>
      <w:r w:rsidRPr="00405303">
        <w:rPr>
          <w:bCs/>
          <w:color w:val="002060"/>
          <w:sz w:val="16"/>
          <w:szCs w:val="16"/>
        </w:rPr>
        <w:t>в 1915 году во Франции формируется Канадский военный корпус (14768).</w:t>
      </w:r>
    </w:p>
    <w:p w14:paraId="13EBDE0C" w14:textId="77777777" w:rsidR="005A78DA" w:rsidRPr="00405303" w:rsidRDefault="005A78DA" w:rsidP="00C15251">
      <w:pPr>
        <w:jc w:val="both"/>
        <w:rPr>
          <w:bCs/>
          <w:color w:val="002060"/>
          <w:sz w:val="16"/>
          <w:szCs w:val="16"/>
        </w:rPr>
      </w:pPr>
    </w:p>
    <w:p w14:paraId="0BE0F671" w14:textId="6D957B39" w:rsidR="002452A3" w:rsidRPr="00405303" w:rsidRDefault="002452A3" w:rsidP="002452A3">
      <w:pPr>
        <w:shd w:val="clear" w:color="auto" w:fill="FFFFFF"/>
        <w:jc w:val="both"/>
        <w:rPr>
          <w:bCs/>
          <w:i/>
          <w:color w:val="002060"/>
          <w:sz w:val="16"/>
          <w:szCs w:val="16"/>
        </w:rPr>
      </w:pPr>
      <w:r w:rsidRPr="00405303">
        <w:rPr>
          <w:bCs/>
          <w:i/>
          <w:color w:val="002060"/>
          <w:sz w:val="16"/>
          <w:szCs w:val="16"/>
        </w:rPr>
        <w:t>Другие оборонные отрасли:</w:t>
      </w:r>
    </w:p>
    <w:p w14:paraId="505B1608" w14:textId="77777777" w:rsidR="002452A3" w:rsidRPr="00405303" w:rsidRDefault="002452A3" w:rsidP="002452A3">
      <w:pPr>
        <w:shd w:val="clear" w:color="auto" w:fill="FFFFFF"/>
        <w:jc w:val="both"/>
        <w:rPr>
          <w:bCs/>
          <w:i/>
          <w:color w:val="002060"/>
          <w:sz w:val="16"/>
          <w:szCs w:val="16"/>
        </w:rPr>
      </w:pPr>
    </w:p>
    <w:p w14:paraId="7F8B3C2A" w14:textId="77777777" w:rsidR="002452A3" w:rsidRPr="00405303" w:rsidRDefault="002452A3" w:rsidP="002452A3">
      <w:pPr>
        <w:jc w:val="both"/>
        <w:rPr>
          <w:color w:val="0070C0"/>
          <w:sz w:val="16"/>
          <w:szCs w:val="16"/>
        </w:rPr>
      </w:pPr>
      <w:r w:rsidRPr="00405303">
        <w:rPr>
          <w:color w:val="0070C0"/>
          <w:sz w:val="16"/>
          <w:szCs w:val="16"/>
        </w:rPr>
        <w:t>В последних числах августа 1915 г. первые «остины» 2-й серии прибыли из Архангельска в Петроград, а последние из 60 заказан</w:t>
      </w:r>
      <w:r w:rsidRPr="00405303">
        <w:rPr>
          <w:color w:val="0070C0"/>
          <w:sz w:val="16"/>
          <w:szCs w:val="16"/>
        </w:rPr>
        <w:softHyphen/>
        <w:t>ных - в конце декабря 1915 года. В докумен</w:t>
      </w:r>
      <w:r w:rsidRPr="00405303">
        <w:rPr>
          <w:color w:val="0070C0"/>
          <w:sz w:val="16"/>
          <w:szCs w:val="16"/>
        </w:rPr>
        <w:softHyphen/>
        <w:t>тах того времени эти бронеавтомобили назы</w:t>
      </w:r>
      <w:r w:rsidRPr="00405303">
        <w:rPr>
          <w:color w:val="0070C0"/>
          <w:sz w:val="16"/>
          <w:szCs w:val="16"/>
        </w:rPr>
        <w:softHyphen/>
        <w:t>вались «Остин» 2-й заготовки (далее по тек</w:t>
      </w:r>
      <w:r w:rsidRPr="00405303">
        <w:rPr>
          <w:color w:val="0070C0"/>
          <w:sz w:val="16"/>
          <w:szCs w:val="16"/>
        </w:rPr>
        <w:softHyphen/>
        <w:t>сту они именуются машинами 2-й серии). По равнению с предыдущими броневиками выпуска 1914 года, они имели раму изменен</w:t>
      </w:r>
      <w:r w:rsidRPr="00405303">
        <w:rPr>
          <w:color w:val="0070C0"/>
          <w:sz w:val="16"/>
          <w:szCs w:val="16"/>
        </w:rPr>
        <w:softHyphen/>
        <w:t>ной конструкции - хотя изгиб балок в задней части (над осью) сохранился, заднюю часть балок удлинили. Не исключено, что для из</w:t>
      </w:r>
      <w:r w:rsidRPr="00405303">
        <w:rPr>
          <w:color w:val="0070C0"/>
          <w:sz w:val="16"/>
          <w:szCs w:val="16"/>
        </w:rPr>
        <w:softHyphen/>
        <w:t>готовления балок рамы использовался про</w:t>
      </w:r>
      <w:r w:rsidRPr="00405303">
        <w:rPr>
          <w:color w:val="0070C0"/>
          <w:sz w:val="16"/>
          <w:szCs w:val="16"/>
        </w:rPr>
        <w:softHyphen/>
        <w:t>филь из стали большей толщины, чем на ма</w:t>
      </w:r>
      <w:r w:rsidRPr="00405303">
        <w:rPr>
          <w:color w:val="0070C0"/>
          <w:sz w:val="16"/>
          <w:szCs w:val="16"/>
        </w:rPr>
        <w:softHyphen/>
        <w:t>шинах 1-й серии. Кроме того, задний мост теперь подвешивался на полуэллиптической (а не эллиптической как раньше) рессоре, и крепился к нижней части последней. Веро</w:t>
      </w:r>
      <w:r w:rsidRPr="00405303">
        <w:rPr>
          <w:color w:val="0070C0"/>
          <w:sz w:val="16"/>
          <w:szCs w:val="16"/>
        </w:rPr>
        <w:softHyphen/>
        <w:t>ятно, задние (возможно и передние) рессоры усилили по сравнению с машинами 1-й се</w:t>
      </w:r>
      <w:r w:rsidRPr="00405303">
        <w:rPr>
          <w:color w:val="0070C0"/>
          <w:sz w:val="16"/>
          <w:szCs w:val="16"/>
        </w:rPr>
        <w:softHyphen/>
        <w:t>рии за счет увеличения толщины листов. Так</w:t>
      </w:r>
      <w:r w:rsidRPr="00405303">
        <w:rPr>
          <w:color w:val="0070C0"/>
          <w:sz w:val="16"/>
          <w:szCs w:val="16"/>
        </w:rPr>
        <w:softHyphen/>
        <w:t>же броневики оснастили колесами с шинами увеличенного размера (920 х 135). В результа</w:t>
      </w:r>
      <w:r w:rsidRPr="00405303">
        <w:rPr>
          <w:color w:val="0070C0"/>
          <w:sz w:val="16"/>
          <w:szCs w:val="16"/>
        </w:rPr>
        <w:softHyphen/>
        <w:t>те этих мероприятий, у нового броневика до 250 мм увеличился клиренс (200 мм у машин 1-й серии). Кроме того, «Остины» 2-й серии получили более мощный двигатель в 50 л.с. Это был форсированный вариант того же 4-цилиндрового мотора, стоявшего на маши</w:t>
      </w:r>
      <w:r w:rsidRPr="00405303">
        <w:rPr>
          <w:color w:val="0070C0"/>
          <w:sz w:val="16"/>
          <w:szCs w:val="16"/>
        </w:rPr>
        <w:softHyphen/>
        <w:t>нах 1-й серии (объем цилиндров на машинах 1-й серии 111 х 152, у 2-й серии - 111 х 162).</w:t>
      </w:r>
    </w:p>
    <w:p w14:paraId="1B901537" w14:textId="77777777" w:rsidR="002452A3" w:rsidRPr="00405303" w:rsidRDefault="002452A3" w:rsidP="002452A3">
      <w:pPr>
        <w:jc w:val="both"/>
        <w:rPr>
          <w:color w:val="0070C0"/>
          <w:sz w:val="16"/>
          <w:szCs w:val="16"/>
        </w:rPr>
      </w:pPr>
      <w:r w:rsidRPr="00405303">
        <w:rPr>
          <w:color w:val="0070C0"/>
          <w:sz w:val="16"/>
          <w:szCs w:val="16"/>
        </w:rPr>
        <w:t>Бронекорпус «остинов» 2-й серии соби</w:t>
      </w:r>
      <w:r w:rsidRPr="00405303">
        <w:rPr>
          <w:color w:val="0070C0"/>
          <w:sz w:val="16"/>
          <w:szCs w:val="16"/>
        </w:rPr>
        <w:softHyphen/>
        <w:t>рался из 7-мм бронелистов, изготовленных фирмой «Виккерс». По сравнению с маши</w:t>
      </w:r>
      <w:r w:rsidRPr="00405303">
        <w:rPr>
          <w:color w:val="0070C0"/>
          <w:sz w:val="16"/>
          <w:szCs w:val="16"/>
        </w:rPr>
        <w:softHyphen/>
        <w:t xml:space="preserve">нами 1-й серии была изменена форма крыши над шофером, что дало возможность вести огонь из пулеметов вперед по ходу машины. Правда, </w:t>
      </w:r>
      <w:proofErr w:type="gramStart"/>
      <w:r w:rsidRPr="00405303">
        <w:rPr>
          <w:color w:val="0070C0"/>
          <w:sz w:val="16"/>
          <w:szCs w:val="16"/>
        </w:rPr>
        <w:t>согласно русских документов</w:t>
      </w:r>
      <w:proofErr w:type="gramEnd"/>
      <w:r w:rsidRPr="00405303">
        <w:rPr>
          <w:color w:val="0070C0"/>
          <w:sz w:val="16"/>
          <w:szCs w:val="16"/>
        </w:rPr>
        <w:t xml:space="preserve"> об ос</w:t>
      </w:r>
      <w:r w:rsidRPr="00405303">
        <w:rPr>
          <w:color w:val="0070C0"/>
          <w:sz w:val="16"/>
          <w:szCs w:val="16"/>
        </w:rPr>
        <w:softHyphen/>
        <w:t>мотре первых прибывших «остинов» 2-й се</w:t>
      </w:r>
      <w:r w:rsidRPr="00405303">
        <w:rPr>
          <w:color w:val="0070C0"/>
          <w:sz w:val="16"/>
          <w:szCs w:val="16"/>
        </w:rPr>
        <w:softHyphen/>
        <w:t>рии, их бронекорпус в задней части укороти</w:t>
      </w:r>
      <w:r w:rsidRPr="00405303">
        <w:rPr>
          <w:color w:val="0070C0"/>
          <w:sz w:val="16"/>
          <w:szCs w:val="16"/>
        </w:rPr>
        <w:softHyphen/>
        <w:t>ли на 450 мм, а также ликвидировали двери в кормовом листе корпуса. Все это привело к тесноте в боевом отделении и неудобству посадки и высадки экипаж (для этого име</w:t>
      </w:r>
      <w:r w:rsidRPr="00405303">
        <w:rPr>
          <w:color w:val="0070C0"/>
          <w:sz w:val="16"/>
          <w:szCs w:val="16"/>
        </w:rPr>
        <w:softHyphen/>
        <w:t>лась только одна дверь в левом борту).</w:t>
      </w:r>
    </w:p>
    <w:p w14:paraId="018A9F7F" w14:textId="77777777" w:rsidR="002452A3" w:rsidRPr="00405303" w:rsidRDefault="002452A3" w:rsidP="002452A3">
      <w:pPr>
        <w:jc w:val="both"/>
        <w:rPr>
          <w:color w:val="0070C0"/>
          <w:sz w:val="16"/>
          <w:szCs w:val="16"/>
        </w:rPr>
      </w:pPr>
      <w:r w:rsidRPr="00405303">
        <w:rPr>
          <w:noProof/>
          <w:color w:val="0070C0"/>
          <w:sz w:val="16"/>
          <w:szCs w:val="16"/>
        </w:rPr>
        <w:lastRenderedPageBreak/>
        <mc:AlternateContent>
          <mc:Choice Requires="wps">
            <w:drawing>
              <wp:anchor distT="0" distB="0" distL="0" distR="0" simplePos="0" relativeHeight="251659264" behindDoc="0" locked="0" layoutInCell="1" allowOverlap="1" wp14:anchorId="109B0EA2" wp14:editId="278D21A3">
                <wp:simplePos x="0" y="0"/>
                <wp:positionH relativeFrom="page">
                  <wp:posOffset>178435</wp:posOffset>
                </wp:positionH>
                <wp:positionV relativeFrom="margin">
                  <wp:posOffset>-3191510</wp:posOffset>
                </wp:positionV>
                <wp:extent cx="1054735" cy="1359535"/>
                <wp:effectExtent l="0" t="0" r="0" b="0"/>
                <wp:wrapNone/>
                <wp:docPr id="172" name="Shape 172"/>
                <wp:cNvGraphicFramePr/>
                <a:graphic xmlns:a="http://schemas.openxmlformats.org/drawingml/2006/main">
                  <a:graphicData uri="http://schemas.microsoft.com/office/word/2010/wordprocessingShape">
                    <wps:wsp>
                      <wps:cNvSpPr txBox="1"/>
                      <wps:spPr>
                        <a:xfrm>
                          <a:off x="0" y="0"/>
                          <a:ext cx="1054735" cy="1359535"/>
                        </a:xfrm>
                        <a:prstGeom prst="rect">
                          <a:avLst/>
                        </a:prstGeom>
                        <a:noFill/>
                      </wps:spPr>
                      <wps:txbx>
                        <w:txbxContent>
                          <w:p w14:paraId="242C112F" w14:textId="77777777" w:rsidR="002452A3" w:rsidRDefault="002452A3" w:rsidP="002452A3">
                            <w:pPr>
                              <w:pStyle w:val="a7"/>
                              <w:spacing w:line="293" w:lineRule="auto"/>
                              <w:jc w:val="right"/>
                              <w:rPr>
                                <w:sz w:val="15"/>
                                <w:szCs w:val="15"/>
                              </w:rPr>
                            </w:pPr>
                            <w:r>
                              <w:rPr>
                                <w:i/>
                                <w:iCs/>
                                <w:color w:val="000000"/>
                                <w:sz w:val="15"/>
                                <w:szCs w:val="15"/>
                              </w:rPr>
                              <w:t>Обложка технического описания бронемашины «Остин» 1-й серии, напечатанного в Петрограде в 1915 году (из коллекции С. Кирильца).</w:t>
                            </w:r>
                          </w:p>
                        </w:txbxContent>
                      </wps:txbx>
                      <wps:bodyPr lIns="0" tIns="0" rIns="0" bIns="0"/>
                    </wps:wsp>
                  </a:graphicData>
                </a:graphic>
              </wp:anchor>
            </w:drawing>
          </mc:Choice>
          <mc:Fallback>
            <w:pict>
              <v:shapetype w14:anchorId="109B0EA2" id="_x0000_t202" coordsize="21600,21600" o:spt="202" path="m,l,21600r21600,l21600,xe">
                <v:stroke joinstyle="miter"/>
                <v:path gradientshapeok="t" o:connecttype="rect"/>
              </v:shapetype>
              <v:shape id="Shape 172" o:spid="_x0000_s1026" type="#_x0000_t202" style="position:absolute;left:0;text-align:left;margin-left:14.05pt;margin-top:-251.3pt;width:83.05pt;height:107.05pt;z-index:251659264;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" filled="f" stroked="f">
                <v:textbox inset="0,0,0,0">
                  <w:txbxContent>
                    <w:p w14:paraId="242C112F" w14:textId="77777777" w:rsidR="002452A3" w:rsidRDefault="002452A3" w:rsidP="002452A3">
                      <w:pPr>
                        <w:pStyle w:val="a7"/>
                        <w:spacing w:line="293" w:lineRule="auto"/>
                        <w:jc w:val="right"/>
                        <w:rPr>
                          <w:sz w:val="15"/>
                          <w:szCs w:val="15"/>
                        </w:rPr>
                      </w:pPr>
                      <w:r>
                        <w:rPr>
                          <w:i/>
                          <w:iCs/>
                          <w:color w:val="000000"/>
                          <w:sz w:val="15"/>
                          <w:szCs w:val="15"/>
                        </w:rPr>
                        <w:t>Обложка технического описания бронемашины «Остин» 1-й серии, напечатанного в Петрограде в 1915 году (из коллекции С. Кирильца).</w:t>
                      </w:r>
                    </w:p>
                  </w:txbxContent>
                </v:textbox>
                <w10:wrap anchorx="page" anchory="margin"/>
              </v:shape>
            </w:pict>
          </mc:Fallback>
        </mc:AlternateContent>
      </w:r>
      <w:r w:rsidRPr="00405303">
        <w:rPr>
          <w:color w:val="0070C0"/>
          <w:sz w:val="16"/>
          <w:szCs w:val="16"/>
        </w:rPr>
        <w:t>«Остин» 2-й серии получил бронезащиту передних рессор и рамы в нижней части, была убрана внутрь корпуса тяга для откры</w:t>
      </w:r>
      <w:r w:rsidRPr="00405303">
        <w:rPr>
          <w:color w:val="0070C0"/>
          <w:sz w:val="16"/>
          <w:szCs w:val="16"/>
        </w:rPr>
        <w:softHyphen/>
        <w:t>вания бронелиста перед радиатором (на ма</w:t>
      </w:r>
      <w:r w:rsidRPr="00405303">
        <w:rPr>
          <w:color w:val="0070C0"/>
          <w:sz w:val="16"/>
          <w:szCs w:val="16"/>
        </w:rPr>
        <w:softHyphen/>
        <w:t>шинах 1-й серии были случаи, когда ее пе</w:t>
      </w:r>
      <w:r w:rsidRPr="00405303">
        <w:rPr>
          <w:color w:val="0070C0"/>
          <w:sz w:val="16"/>
          <w:szCs w:val="16"/>
        </w:rPr>
        <w:softHyphen/>
        <w:t>ребивало при обстреле). Новые броневики имели такую же схему электрооборудования, конструкцию башен и экипаж, как и заказан</w:t>
      </w:r>
      <w:r w:rsidRPr="00405303">
        <w:rPr>
          <w:color w:val="0070C0"/>
          <w:sz w:val="16"/>
          <w:szCs w:val="16"/>
        </w:rPr>
        <w:softHyphen/>
        <w:t>ные в 1914 году. Правда, для улучшения вы</w:t>
      </w:r>
      <w:r w:rsidRPr="00405303">
        <w:rPr>
          <w:color w:val="0070C0"/>
          <w:sz w:val="16"/>
          <w:szCs w:val="16"/>
        </w:rPr>
        <w:softHyphen/>
        <w:t>тяжки пороховых газов из боевого отделения при стрельбе в крыше башен увеличили диа</w:t>
      </w:r>
      <w:r w:rsidRPr="00405303">
        <w:rPr>
          <w:color w:val="0070C0"/>
          <w:sz w:val="16"/>
          <w:szCs w:val="16"/>
        </w:rPr>
        <w:softHyphen/>
        <w:t>метр вентиляционного отверстия, закрытого броневым колпаком.</w:t>
      </w:r>
    </w:p>
    <w:p w14:paraId="3E158DAC" w14:textId="77777777" w:rsidR="002452A3" w:rsidRPr="00405303" w:rsidRDefault="002452A3" w:rsidP="002452A3">
      <w:pPr>
        <w:jc w:val="both"/>
        <w:rPr>
          <w:color w:val="0070C0"/>
          <w:sz w:val="16"/>
          <w:szCs w:val="16"/>
        </w:rPr>
      </w:pPr>
      <w:r w:rsidRPr="00405303">
        <w:rPr>
          <w:color w:val="0070C0"/>
          <w:sz w:val="16"/>
          <w:szCs w:val="16"/>
        </w:rPr>
        <w:t>Масса «Остина» 2-й серии без экипажа, во</w:t>
      </w:r>
      <w:r w:rsidRPr="00405303">
        <w:rPr>
          <w:color w:val="0070C0"/>
          <w:sz w:val="16"/>
          <w:szCs w:val="16"/>
        </w:rPr>
        <w:softHyphen/>
        <w:t>оружения и боекомплекта составляла 208 пу</w:t>
      </w:r>
      <w:r w:rsidRPr="00405303">
        <w:rPr>
          <w:color w:val="0070C0"/>
          <w:sz w:val="16"/>
          <w:szCs w:val="16"/>
        </w:rPr>
        <w:softHyphen/>
        <w:t>дов 20 фунтов (3336 кг) (25008).</w:t>
      </w:r>
    </w:p>
    <w:p w14:paraId="5BE8E4B6" w14:textId="77777777" w:rsidR="002452A3" w:rsidRPr="00405303" w:rsidRDefault="002452A3" w:rsidP="002452A3">
      <w:pPr>
        <w:jc w:val="both"/>
        <w:rPr>
          <w:color w:val="0070C0"/>
          <w:sz w:val="16"/>
          <w:szCs w:val="16"/>
        </w:rPr>
      </w:pPr>
    </w:p>
    <w:p w14:paraId="6B18A951" w14:textId="51AB98AA" w:rsidR="00DB4D64" w:rsidRPr="00405303" w:rsidRDefault="00DB4D64" w:rsidP="00C15251">
      <w:pPr>
        <w:shd w:val="clear" w:color="auto" w:fill="FFFFFF"/>
        <w:jc w:val="both"/>
        <w:rPr>
          <w:bCs/>
          <w:i/>
          <w:color w:val="002060"/>
          <w:sz w:val="16"/>
          <w:szCs w:val="16"/>
        </w:rPr>
      </w:pPr>
      <w:r w:rsidRPr="00405303">
        <w:rPr>
          <w:bCs/>
          <w:i/>
          <w:color w:val="002060"/>
          <w:sz w:val="16"/>
          <w:szCs w:val="16"/>
        </w:rPr>
        <w:t>Военное воздухоплавание:</w:t>
      </w:r>
    </w:p>
    <w:p w14:paraId="0D80FDEF" w14:textId="77777777" w:rsidR="00DB4D64" w:rsidRPr="00405303" w:rsidRDefault="00DB4D64" w:rsidP="00C15251">
      <w:pPr>
        <w:shd w:val="clear" w:color="auto" w:fill="FFFFFF"/>
        <w:jc w:val="both"/>
        <w:rPr>
          <w:bCs/>
          <w:i/>
          <w:color w:val="002060"/>
          <w:sz w:val="16"/>
          <w:szCs w:val="16"/>
        </w:rPr>
      </w:pPr>
    </w:p>
    <w:p w14:paraId="289A6655" w14:textId="77777777" w:rsidR="00DB4D64" w:rsidRPr="00405303" w:rsidRDefault="00DB4D64" w:rsidP="00C15251">
      <w:pPr>
        <w:jc w:val="both"/>
        <w:rPr>
          <w:bCs/>
          <w:color w:val="002060"/>
          <w:sz w:val="16"/>
          <w:szCs w:val="16"/>
        </w:rPr>
      </w:pPr>
      <w:r w:rsidRPr="00405303">
        <w:rPr>
          <w:bCs/>
          <w:color w:val="002060"/>
          <w:sz w:val="16"/>
          <w:szCs w:val="16"/>
        </w:rPr>
        <w:t>С конца августа 1915 г. с оставлением русскими войсками Брест- Литовска, имевшиеся в крепости дирижабли были перебазированы на другие участки фронта. Судьба одного из них - «Беркута» - оказалась незавидная. Он почти год в разобранном виде пролежал в воздухоплавательном парке Западного фронта. Позднее из его оболочки сшили девять газгольдеров для нужд военного воздухоплавания.</w:t>
      </w:r>
    </w:p>
    <w:p w14:paraId="4654A0AC" w14:textId="77777777" w:rsidR="00DB4D64" w:rsidRPr="00405303" w:rsidRDefault="00DB4D64" w:rsidP="00C15251">
      <w:pPr>
        <w:jc w:val="both"/>
        <w:rPr>
          <w:bCs/>
          <w:color w:val="002060"/>
          <w:sz w:val="16"/>
          <w:szCs w:val="16"/>
        </w:rPr>
      </w:pPr>
      <w:r w:rsidRPr="00405303">
        <w:rPr>
          <w:bCs/>
          <w:color w:val="002060"/>
          <w:sz w:val="16"/>
          <w:szCs w:val="16"/>
        </w:rPr>
        <w:t>По признанию специалистов, Брест-Литовск был одной из наиболее подготовленной к обороне крепостей, имея на вооружении до двух тысяч орудий различного калибра (включая зенитные). По мнению коменданта крепости генерала от артиллерии В.А. Лайминга, «при бережном использовании запасов крепости она [могла] продержаться 8 месяцев». Все же Ставка ВГК приняла решение об эвакуации крепости, вызванное стремительным наступлением противника и быстрым падением крепостей Ковно и Новогеоргиевск. 21 августа был отдан приказ об эвакуации крепости и взрыве отдельных ее укреплений. В ночь с 25 на 26 августа форты и опорные пункты 1-й и 2-й линии обороны на северо-восточной, восточной и юго-восточной сторонах крепости были взорваны до основания, остальные частично. Орудия, наиболее необходимые боеприпасы и имущество вывезены в глубокий тыл. Остальное имущество, деревянные крепостные постройки были сожжены, мосты взорваны. 26 августа немецкие и австро-венгерские войска вошли в город и разрушенную крепость. Одна из мощных цитаделей России досталась им практически без боя (23405).</w:t>
      </w:r>
    </w:p>
    <w:p w14:paraId="37A4BF80" w14:textId="77777777" w:rsidR="00DB4D64" w:rsidRPr="00405303" w:rsidRDefault="00DB4D64" w:rsidP="00C15251">
      <w:pPr>
        <w:jc w:val="both"/>
        <w:rPr>
          <w:bCs/>
          <w:color w:val="002060"/>
          <w:sz w:val="16"/>
          <w:szCs w:val="16"/>
          <w:lang w:bidi="ru-RU"/>
        </w:rPr>
      </w:pPr>
    </w:p>
    <w:p w14:paraId="7DF09B2B" w14:textId="2C2473F3" w:rsidR="00870EBC" w:rsidRPr="00405303" w:rsidRDefault="00870EBC" w:rsidP="00C15251">
      <w:pPr>
        <w:shd w:val="clear" w:color="auto" w:fill="FFFFFF"/>
        <w:jc w:val="both"/>
        <w:rPr>
          <w:bCs/>
          <w:i/>
          <w:color w:val="002060"/>
          <w:sz w:val="16"/>
          <w:szCs w:val="16"/>
        </w:rPr>
      </w:pPr>
      <w:r w:rsidRPr="00405303">
        <w:rPr>
          <w:bCs/>
          <w:i/>
          <w:color w:val="002060"/>
          <w:sz w:val="16"/>
          <w:szCs w:val="16"/>
        </w:rPr>
        <w:t>Авиация:</w:t>
      </w:r>
    </w:p>
    <w:p w14:paraId="127DBB5B" w14:textId="77777777" w:rsidR="00870EBC" w:rsidRPr="00405303" w:rsidRDefault="00870EBC" w:rsidP="00C15251">
      <w:pPr>
        <w:shd w:val="clear" w:color="auto" w:fill="FFFFFF"/>
        <w:jc w:val="both"/>
        <w:rPr>
          <w:bCs/>
          <w:i/>
          <w:color w:val="002060"/>
          <w:sz w:val="16"/>
          <w:szCs w:val="16"/>
        </w:rPr>
      </w:pPr>
    </w:p>
    <w:p w14:paraId="7C8959E9" w14:textId="77777777" w:rsidR="00870EBC" w:rsidRPr="00405303" w:rsidRDefault="00870EBC" w:rsidP="00C15251">
      <w:pPr>
        <w:jc w:val="both"/>
        <w:rPr>
          <w:bCs/>
          <w:color w:val="002060"/>
          <w:sz w:val="16"/>
          <w:szCs w:val="16"/>
        </w:rPr>
      </w:pPr>
      <w:r w:rsidRPr="00405303">
        <w:rPr>
          <w:bCs/>
          <w:color w:val="002060"/>
          <w:sz w:val="16"/>
          <w:szCs w:val="16"/>
        </w:rPr>
        <w:t>В конце августа 1915 г. Управление авиацией приступило к новой организации авиачастей. Планировалось с 1 сентября 1915 г. по 1 сентября 1916 г. сформировать 33 новых авиаотряда, которые необходимо было обеспечить кадрами. С этой целью Александр Михайлович добился предоставления ему полномочий в отношении подготовки летного и технического состава. В Повелении Николая II указывалось, что необходимо «возложить на все время настоящей войны на Августейшего Заведующего организацией авиационного дела (...) общее руководство деятельностью, как военных, так и частных авиационных школ». В первую очередь Александр Михайлович потребовал от начальников авиашкол представить ему планы подготовки летных кадров. В это время оказались востребованными предложения руководителей Всероссийского аэроклуба (ВАК), Московского общества воздухоплавания (МОВ), а также одесского предпринимателя А.А. Анатра и других частных лиц о готовности открыть летные школы для военной авиации. Часть расходов по их содержанию и обустройству аэроклубы и частные лица обязывались взять на себя. После согласований Ставка, Авиаканц, Генштаб и ГВТУ пришли к заключению о создании трех школ, принадлежащих ВАК, МОВ и «учреждаемой А. Анатра». Вскоре указанные школы были открыты (19566).</w:t>
      </w:r>
    </w:p>
    <w:p w14:paraId="3C4B4744" w14:textId="77777777" w:rsidR="00870EBC" w:rsidRPr="00405303" w:rsidRDefault="00870EBC" w:rsidP="00C15251">
      <w:pPr>
        <w:jc w:val="both"/>
        <w:rPr>
          <w:bCs/>
          <w:color w:val="002060"/>
          <w:sz w:val="16"/>
          <w:szCs w:val="16"/>
        </w:rPr>
      </w:pPr>
    </w:p>
    <w:p w14:paraId="2EF9CCDA" w14:textId="1852C99C" w:rsidR="00C70383" w:rsidRPr="00405303" w:rsidRDefault="00C70383" w:rsidP="00C15251">
      <w:pPr>
        <w:pStyle w:val="a3"/>
        <w:jc w:val="both"/>
        <w:rPr>
          <w:bCs/>
          <w:color w:val="002060"/>
          <w:spacing w:val="0"/>
          <w:kern w:val="0"/>
          <w:position w:val="0"/>
          <w:sz w:val="16"/>
          <w:szCs w:val="16"/>
        </w:rPr>
      </w:pPr>
      <w:r w:rsidRPr="00405303">
        <w:rPr>
          <w:bCs/>
          <w:color w:val="002060"/>
          <w:spacing w:val="0"/>
          <w:kern w:val="0"/>
          <w:position w:val="0"/>
          <w:sz w:val="16"/>
          <w:szCs w:val="16"/>
        </w:rPr>
        <w:t>Армия:</w:t>
      </w:r>
    </w:p>
    <w:p w14:paraId="4034962C" w14:textId="77777777" w:rsidR="00C70383" w:rsidRPr="00405303" w:rsidRDefault="00C70383" w:rsidP="00C15251">
      <w:pPr>
        <w:pStyle w:val="a3"/>
        <w:jc w:val="both"/>
        <w:rPr>
          <w:bCs/>
          <w:color w:val="002060"/>
          <w:spacing w:val="0"/>
          <w:kern w:val="0"/>
          <w:position w:val="0"/>
          <w:sz w:val="16"/>
          <w:szCs w:val="16"/>
        </w:rPr>
      </w:pPr>
    </w:p>
    <w:p w14:paraId="355FC204" w14:textId="77777777" w:rsidR="005A78DA" w:rsidRPr="00405303" w:rsidRDefault="005A78DA" w:rsidP="00C15251">
      <w:pPr>
        <w:jc w:val="both"/>
        <w:rPr>
          <w:bCs/>
          <w:color w:val="002060"/>
          <w:sz w:val="16"/>
          <w:szCs w:val="16"/>
        </w:rPr>
      </w:pPr>
      <w:bookmarkStart w:id="227" w:name="_Hlk117706053"/>
      <w:r w:rsidRPr="00405303">
        <w:rPr>
          <w:bCs/>
          <w:color w:val="002060"/>
          <w:sz w:val="16"/>
          <w:szCs w:val="16"/>
        </w:rPr>
        <w:t>В</w:t>
      </w:r>
      <w:r w:rsidR="00C70383" w:rsidRPr="00405303">
        <w:rPr>
          <w:bCs/>
          <w:color w:val="002060"/>
          <w:sz w:val="16"/>
          <w:szCs w:val="16"/>
        </w:rPr>
        <w:t xml:space="preserve"> конце августа 1915 г. </w:t>
      </w:r>
      <w:r w:rsidRPr="00405303">
        <w:rPr>
          <w:bCs/>
          <w:color w:val="002060"/>
          <w:sz w:val="16"/>
          <w:szCs w:val="16"/>
        </w:rPr>
        <w:t xml:space="preserve">экскаваторы прибыли во Владивосток </w:t>
      </w:r>
      <w:r w:rsidR="00C70383" w:rsidRPr="00405303">
        <w:rPr>
          <w:bCs/>
          <w:color w:val="002060"/>
          <w:sz w:val="16"/>
          <w:szCs w:val="16"/>
        </w:rPr>
        <w:t>в разобранном виде и вскоре были отправлены в Москву, где предполагалось их собрать и испытать.</w:t>
      </w:r>
    </w:p>
    <w:p w14:paraId="351DB6A4" w14:textId="77777777" w:rsidR="005A78DA" w:rsidRPr="00405303" w:rsidRDefault="005A78DA" w:rsidP="00C15251">
      <w:pPr>
        <w:jc w:val="both"/>
        <w:rPr>
          <w:bCs/>
          <w:color w:val="002060"/>
          <w:sz w:val="16"/>
          <w:szCs w:val="16"/>
        </w:rPr>
      </w:pPr>
      <w:r w:rsidRPr="00405303">
        <w:rPr>
          <w:bCs/>
          <w:color w:val="002060"/>
          <w:sz w:val="16"/>
          <w:szCs w:val="16"/>
        </w:rPr>
        <w:t>Представитель ГВТУ в Америке военный инженер полковник С.Ф. Балдин осмотрел тамошние заводы и присутствовал на испытаниях экскаваторов «Остин» (Austin – марка американской фирмы Austin-Western, не путать с одноименным английским производителем автомобилей), «Парсонс» (Parsons) и «Бьюсайрус» (Bucyrus). По итогам испытаний ГВТУ запросило разрешение на закупку 12 экскаваторов на гусеничном ходу типа «Парсонс» с шестью комплектами запасных частей. «Стоимость всех выписанных экскаваторов с запасными частями определилась в 31440 долларов франко Владивосток».</w:t>
      </w:r>
    </w:p>
    <w:p w14:paraId="2F8CA0DA" w14:textId="31EA4AC4" w:rsidR="00C70383" w:rsidRPr="00405303" w:rsidRDefault="005A78DA" w:rsidP="00C15251">
      <w:pPr>
        <w:jc w:val="both"/>
        <w:rPr>
          <w:bCs/>
          <w:color w:val="002060"/>
          <w:sz w:val="16"/>
          <w:szCs w:val="16"/>
        </w:rPr>
      </w:pPr>
      <w:r w:rsidRPr="00405303">
        <w:rPr>
          <w:bCs/>
          <w:color w:val="002060"/>
          <w:sz w:val="16"/>
          <w:szCs w:val="16"/>
        </w:rPr>
        <w:t xml:space="preserve">В Москве </w:t>
      </w:r>
      <w:r w:rsidR="00C70383" w:rsidRPr="00405303">
        <w:rPr>
          <w:bCs/>
          <w:color w:val="002060"/>
          <w:sz w:val="16"/>
          <w:szCs w:val="16"/>
        </w:rPr>
        <w:t>для обслуживания новых машин предусматривалось подготовить команду из 24 специалистов из числа нижних чинов, откомандированных Московским военным округом. Сборкой экскаваторов и обучением технического персонала руководил инженер Центрального военно-промышленного комитета Сухих, а в качестве инструктора по сборке и применению дорожных машин был привлечен служивший в Министерстве земледелия инженер Н.С. Ветчинкин.</w:t>
      </w:r>
    </w:p>
    <w:p w14:paraId="41038591" w14:textId="77777777" w:rsidR="00C70383" w:rsidRPr="00405303" w:rsidRDefault="00C70383" w:rsidP="00C15251">
      <w:pPr>
        <w:jc w:val="both"/>
        <w:rPr>
          <w:bCs/>
          <w:color w:val="002060"/>
          <w:sz w:val="16"/>
          <w:szCs w:val="16"/>
        </w:rPr>
      </w:pPr>
      <w:r w:rsidRPr="00405303">
        <w:rPr>
          <w:bCs/>
          <w:color w:val="002060"/>
          <w:sz w:val="16"/>
          <w:szCs w:val="16"/>
        </w:rPr>
        <w:t>Тем временем ГВТУ подняло вопрос об увеличении заказа на траншейные экскаваторы «Парсонс» еще на десять штук и о заказе Путиловскому заводу десяти экскаваторов отечественной конструкции на шасси автомобилей. Необходимо отметить, что петроградское Общество Путиловских заводов было единственным предприятием в России, имевшим опыт постройки большегрузных сухопутных экскаваторов. Несколько десятков таких машин на железнодорожном ходу изготовили по заказу Министерства путей сообщения (МПС). Тем временем автомобили-траншеекопатели уже успешно использовались союзниками на Западном театре военных действий. По их образцу в России разработали аналогичные легкие машины, имевшие некоторые преимущества по сравнению с тяжелой американской техникой: в первую очередь – высокую мобильность и возможность быстрой переброски на различные участки фронтового строительства. Но этот заказ по причине загруженности завода был, к сожалению, отложен и в итоге аннулирован.</w:t>
      </w:r>
    </w:p>
    <w:p w14:paraId="3F27D242" w14:textId="77777777" w:rsidR="00C70383" w:rsidRPr="00405303" w:rsidRDefault="00C70383" w:rsidP="00C15251">
      <w:pPr>
        <w:jc w:val="both"/>
        <w:rPr>
          <w:bCs/>
          <w:color w:val="002060"/>
          <w:sz w:val="16"/>
          <w:szCs w:val="16"/>
        </w:rPr>
      </w:pPr>
      <w:r w:rsidRPr="00405303">
        <w:rPr>
          <w:bCs/>
          <w:color w:val="002060"/>
          <w:sz w:val="16"/>
          <w:szCs w:val="16"/>
        </w:rPr>
        <w:t>В Америке ГВТУ закупило также комплекты дорожной техники. В каждый комплект входили: один дорожный струг большой, один струг малый, один утюг; и на два комплекта – один дорожный каток.</w:t>
      </w:r>
    </w:p>
    <w:p w14:paraId="75BA0BDC" w14:textId="77777777" w:rsidR="00C70383" w:rsidRPr="00405303" w:rsidRDefault="00C70383" w:rsidP="00C15251">
      <w:pPr>
        <w:jc w:val="both"/>
        <w:rPr>
          <w:bCs/>
          <w:color w:val="002060"/>
          <w:sz w:val="16"/>
          <w:szCs w:val="16"/>
        </w:rPr>
      </w:pPr>
      <w:r w:rsidRPr="00405303">
        <w:rPr>
          <w:bCs/>
          <w:color w:val="002060"/>
          <w:sz w:val="16"/>
          <w:szCs w:val="16"/>
        </w:rPr>
        <w:t>Экскаваторы попали на инженерные склады фронтов, а дорожные машины разделили на две партии: одну (из пяти комплектов) направили в Киев в распоряжение начальника снабжения Юго-Западного фронта, а другую (из девяти комплектов) – в Минск в распоряжение начальника снабжения Северо-Западного фронта. С ними в действующую армию отправились нижние чины Военной автомобильной школы (по три обученных солдата на комплект) и упомянутый инженер Ветчинкин.</w:t>
      </w:r>
    </w:p>
    <w:p w14:paraId="7D65E79C" w14:textId="77777777" w:rsidR="00C70383" w:rsidRPr="00405303" w:rsidRDefault="00C70383" w:rsidP="00C15251">
      <w:pPr>
        <w:jc w:val="both"/>
        <w:rPr>
          <w:bCs/>
          <w:color w:val="002060"/>
          <w:sz w:val="16"/>
          <w:szCs w:val="16"/>
        </w:rPr>
      </w:pPr>
      <w:r w:rsidRPr="00405303">
        <w:rPr>
          <w:bCs/>
          <w:color w:val="002060"/>
          <w:sz w:val="16"/>
          <w:szCs w:val="16"/>
        </w:rPr>
        <w:t>Всего за 1915 и 1916 г. ГВТУ выписало из Америки 22 гусеничных экскаватора «Парсонс». Первые собранные в Москве шесть машин летом 1916 г. направили в составе вновь сформированных тракторно-экскаваторных отделений на Северный фронт. К концу 1916 г. в Россию прибыли 12 экскаваторов. Четыре машины остались в Луге в распоряжении Северного фронта, одна направлена в Дриссу на Западный фронт и четыре – в Киев на Юго-Западный фронт. Три экскаватора находились в сборке и должны были быть готовы к апрелю 1917 г. Остальные десять выписанных из САСШ экскаваторов за время войны частью прибыли в ящиках в Архангельск, но не были собраны, а некоторые и вовсе затерялись где-то в пути.</w:t>
      </w:r>
    </w:p>
    <w:p w14:paraId="49735311" w14:textId="77777777" w:rsidR="00C70383" w:rsidRPr="00405303" w:rsidRDefault="00C70383" w:rsidP="00C15251">
      <w:pPr>
        <w:jc w:val="both"/>
        <w:rPr>
          <w:bCs/>
          <w:color w:val="002060"/>
          <w:sz w:val="16"/>
          <w:szCs w:val="16"/>
        </w:rPr>
      </w:pPr>
      <w:r w:rsidRPr="00405303">
        <w:rPr>
          <w:bCs/>
          <w:color w:val="002060"/>
          <w:sz w:val="16"/>
          <w:szCs w:val="16"/>
        </w:rPr>
        <w:t>Но так как экскаваторов в армии имелось крайне мало, зачастую рытье окопов производилось при помощи колесного трактора и обычного трехкорпусного плуга. Специальные плуги, приспособленные для рытья траншей, были приобретены из наличного запаса со складов различных американских фирм весной 1916 г. в количестве 36 штук. Из них 19 плугов производства фирмы «Румели» (Rumely), 15 – «Молин» (Moline) и два – «Сеттлей» (Sattley). Все они были рассчитаны для прокладки канав глубиной до восьми, шириной до 20 и насыпью высотой до четырех вершков в один проход. Кроме того, на Брянском заводе изготовили один пробный плуг, дающий канаву шириной до девятнадцати, глубиной до четырнадцати и насыпь высотой до десяти вершков.</w:t>
      </w:r>
    </w:p>
    <w:p w14:paraId="684695B4" w14:textId="77777777" w:rsidR="00C70383" w:rsidRPr="00405303" w:rsidRDefault="00C70383" w:rsidP="00C15251">
      <w:pPr>
        <w:jc w:val="both"/>
        <w:rPr>
          <w:bCs/>
          <w:color w:val="002060"/>
          <w:sz w:val="16"/>
          <w:szCs w:val="16"/>
        </w:rPr>
      </w:pPr>
      <w:r w:rsidRPr="00405303">
        <w:rPr>
          <w:bCs/>
          <w:color w:val="002060"/>
          <w:sz w:val="16"/>
          <w:szCs w:val="16"/>
        </w:rPr>
        <w:t>Для работы с плугами и транспортных целей выделялось 75 американских тракторов различных систем (все мощностью по 60 л.с.), которые отправили в Киев, Брест-Литовск, Ивангород, Гродну, Варшаву и Белосток. Позже многие из них эвакуировали в Москву, откуда часть тракторов отправили на Северный фронт, а несколько машин оставили в Москве. Тракторы заказывались Крепостным отделением ГВТУ для механизации позиционных работ. Однако требования к их техническим характеристикам с уклоном для выполнения дорожных работ поступали от Отдела военных сообщений, а не от Главного инженерного управления (12140).</w:t>
      </w:r>
    </w:p>
    <w:p w14:paraId="76EA151F" w14:textId="77777777" w:rsidR="00C70383" w:rsidRPr="00405303" w:rsidRDefault="00C70383" w:rsidP="00C15251">
      <w:pPr>
        <w:pStyle w:val="8"/>
        <w:shd w:val="clear" w:color="auto" w:fill="auto"/>
        <w:spacing w:after="0" w:line="240" w:lineRule="auto"/>
        <w:ind w:firstLine="0"/>
        <w:jc w:val="both"/>
        <w:rPr>
          <w:rFonts w:ascii="Times New Roman" w:hAnsi="Times New Roman"/>
          <w:bCs/>
          <w:color w:val="002060"/>
          <w:sz w:val="16"/>
          <w:szCs w:val="16"/>
        </w:rPr>
      </w:pPr>
    </w:p>
    <w:bookmarkEnd w:id="227"/>
    <w:p w14:paraId="55C8CAC1" w14:textId="77777777" w:rsidR="008528A0" w:rsidRPr="00405303" w:rsidRDefault="008528A0"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13172D20" w14:textId="77777777" w:rsidR="008528A0" w:rsidRPr="00405303" w:rsidRDefault="008528A0" w:rsidP="00C15251">
      <w:pPr>
        <w:shd w:val="clear" w:color="auto" w:fill="FFFFFF"/>
        <w:jc w:val="both"/>
        <w:rPr>
          <w:bCs/>
          <w:i/>
          <w:color w:val="002060"/>
          <w:sz w:val="16"/>
          <w:szCs w:val="16"/>
        </w:rPr>
      </w:pPr>
    </w:p>
    <w:p w14:paraId="0D0C7DB8" w14:textId="12218184" w:rsidR="008528A0" w:rsidRPr="00405303" w:rsidRDefault="008528A0" w:rsidP="00C15251">
      <w:pPr>
        <w:jc w:val="both"/>
        <w:rPr>
          <w:bCs/>
          <w:color w:val="002060"/>
          <w:sz w:val="16"/>
          <w:szCs w:val="16"/>
        </w:rPr>
      </w:pPr>
      <w:r w:rsidRPr="00405303">
        <w:rPr>
          <w:bCs/>
          <w:color w:val="002060"/>
          <w:sz w:val="16"/>
          <w:szCs w:val="16"/>
        </w:rPr>
        <w:lastRenderedPageBreak/>
        <w:t>В конце августа 1915 г. немецкое радио сообщило: "Немецкие самолёты 30 августа атаковали русские морские силы, находившиеся в Рижском заливе и Усть-Двин- ске. Один аэроплан зажёг перед входом в залив неприятельское опорное судно для аэропланов; второму удалось сбросить бомбы но миноносец, третий дважды сбрасывал бомбы на стоявшее в Аренсбургской бухте неприятельское опорное судно .для аэропланов; четвёртый сражался у Цереля с двумя русскими аэропланами и сбросил бомбы на миноносец; пятый бросал бомбы на две погрузившиеся у Виндавы неприятельские подводные лодки с неизвестными пока результатами; шестой сбросил бомбы в верфь для миноносцев на берегу Двины, причинив пожар последней; седьмой потопил русский парусник, команда которого спасена" (11927).</w:t>
      </w:r>
    </w:p>
    <w:p w14:paraId="333FB278" w14:textId="77777777" w:rsidR="008528A0" w:rsidRPr="00405303" w:rsidRDefault="008528A0" w:rsidP="00C15251">
      <w:pPr>
        <w:jc w:val="both"/>
        <w:rPr>
          <w:bCs/>
          <w:color w:val="002060"/>
          <w:sz w:val="16"/>
          <w:szCs w:val="16"/>
        </w:rPr>
      </w:pPr>
    </w:p>
    <w:p w14:paraId="0D393456"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66997446" w14:textId="77777777" w:rsidR="004B4E35" w:rsidRPr="00405303" w:rsidRDefault="004B4E35" w:rsidP="00C15251">
      <w:pPr>
        <w:pStyle w:val="a3"/>
        <w:jc w:val="both"/>
        <w:rPr>
          <w:bCs/>
          <w:color w:val="002060"/>
          <w:spacing w:val="0"/>
          <w:kern w:val="0"/>
          <w:position w:val="0"/>
          <w:sz w:val="16"/>
          <w:szCs w:val="16"/>
        </w:rPr>
      </w:pPr>
    </w:p>
    <w:p w14:paraId="280E81A4" w14:textId="77777777" w:rsidR="00B055CD" w:rsidRPr="00405303" w:rsidRDefault="00B055CD" w:rsidP="00C15251">
      <w:pPr>
        <w:pStyle w:val="p1"/>
        <w:spacing w:before="0" w:beforeAutospacing="0" w:after="0" w:afterAutospacing="0"/>
        <w:jc w:val="both"/>
        <w:rPr>
          <w:bCs/>
          <w:color w:val="002060"/>
          <w:sz w:val="16"/>
          <w:szCs w:val="16"/>
        </w:rPr>
      </w:pPr>
      <w:r w:rsidRPr="00405303">
        <w:rPr>
          <w:bCs/>
          <w:color w:val="002060"/>
          <w:sz w:val="16"/>
          <w:szCs w:val="16"/>
        </w:rPr>
        <w:t>В августе 1915 г. был подписан подписания контракт «Русского Рено» с ГАУ и к октябрю на «Русский Рено» привезли из Франции первые партии станков; «к этому времени были уже на месте прибывшие мастера», командированные, как и директор, из Франции. «Вся работа по организации производства была предоставлена мастерам», обращавшимся во Францию «при всех затруднениях»; каждый мастер «старался восстановить вокруг себя обстановку, хорошо ему известную по прежней его работе во Франции» (19409).</w:t>
      </w:r>
    </w:p>
    <w:p w14:paraId="4F902CBF" w14:textId="77777777" w:rsidR="00B055CD" w:rsidRPr="00405303" w:rsidRDefault="00B055CD" w:rsidP="00C15251">
      <w:pPr>
        <w:pStyle w:val="p1"/>
        <w:spacing w:before="0" w:beforeAutospacing="0" w:after="0" w:afterAutospacing="0"/>
        <w:jc w:val="both"/>
        <w:rPr>
          <w:bCs/>
          <w:color w:val="002060"/>
          <w:sz w:val="16"/>
          <w:szCs w:val="16"/>
        </w:rPr>
      </w:pPr>
    </w:p>
    <w:p w14:paraId="69116FC1" w14:textId="77777777" w:rsidR="00B055CD" w:rsidRPr="00405303" w:rsidRDefault="00B055CD" w:rsidP="00C15251">
      <w:pPr>
        <w:pStyle w:val="16"/>
        <w:shd w:val="clear" w:color="auto" w:fill="auto"/>
        <w:spacing w:before="0" w:line="240" w:lineRule="auto"/>
        <w:ind w:firstLine="0"/>
        <w:jc w:val="both"/>
        <w:rPr>
          <w:bCs/>
          <w:color w:val="002060"/>
          <w:sz w:val="16"/>
          <w:szCs w:val="16"/>
        </w:rPr>
      </w:pPr>
      <w:r w:rsidRPr="00405303">
        <w:rPr>
          <w:bCs/>
          <w:color w:val="002060"/>
          <w:sz w:val="16"/>
          <w:szCs w:val="16"/>
        </w:rPr>
        <w:t>В августе 1915 г. после опробывания несколько прототипов бомбардировочных прицелов более простой конструкции Ботезат остановился, на десятом по счету. Общество «ДЕКА», специализировавшееся на выпуске точной электротехники, вполне подходило для изготовления опытного образца. Руководство ГВТУ вновь об</w:t>
      </w:r>
      <w:r w:rsidRPr="00405303">
        <w:rPr>
          <w:bCs/>
          <w:color w:val="002060"/>
          <w:sz w:val="16"/>
          <w:szCs w:val="16"/>
        </w:rPr>
        <w:softHyphen/>
        <w:t>ратилось в Военный совет и без задержки получило разрешение выделить ис</w:t>
      </w:r>
      <w:r w:rsidRPr="00405303">
        <w:rPr>
          <w:bCs/>
          <w:color w:val="002060"/>
          <w:sz w:val="16"/>
          <w:szCs w:val="16"/>
        </w:rPr>
        <w:softHyphen/>
        <w:t>прашиваемые 15 тыс. рублей на изготовление прицела Ботезата. Более того, деньги были выданы заранее, настолько был высок авторитет ученого (15740).</w:t>
      </w:r>
    </w:p>
    <w:p w14:paraId="5CF92D2E" w14:textId="77777777" w:rsidR="00B055CD" w:rsidRPr="00405303" w:rsidRDefault="00B055CD" w:rsidP="00C15251">
      <w:pPr>
        <w:pStyle w:val="16"/>
        <w:shd w:val="clear" w:color="auto" w:fill="auto"/>
        <w:spacing w:before="0" w:line="240" w:lineRule="auto"/>
        <w:ind w:firstLine="0"/>
        <w:jc w:val="both"/>
        <w:rPr>
          <w:bCs/>
          <w:color w:val="002060"/>
          <w:sz w:val="16"/>
          <w:szCs w:val="16"/>
        </w:rPr>
      </w:pPr>
    </w:p>
    <w:p w14:paraId="5E473765" w14:textId="77777777" w:rsidR="004B4E35" w:rsidRPr="00405303" w:rsidRDefault="009E6F82" w:rsidP="00C15251">
      <w:pPr>
        <w:jc w:val="both"/>
        <w:rPr>
          <w:bCs/>
          <w:color w:val="002060"/>
          <w:sz w:val="16"/>
          <w:szCs w:val="16"/>
        </w:rPr>
      </w:pPr>
      <w:r w:rsidRPr="00405303">
        <w:rPr>
          <w:bCs/>
          <w:color w:val="002060"/>
          <w:sz w:val="16"/>
          <w:szCs w:val="16"/>
        </w:rPr>
        <w:t>В августе 1915 г. на заседании Авиационного комитета пришли к выводу о необходимости гидро</w:t>
      </w:r>
      <w:r w:rsidRPr="00405303">
        <w:rPr>
          <w:bCs/>
          <w:color w:val="002060"/>
          <w:sz w:val="16"/>
          <w:szCs w:val="16"/>
        </w:rPr>
        <w:softHyphen/>
        <w:t>самолётов, способных производить взлёт и посадку на ледовое поле. Война показала, что для воспол</w:t>
      </w:r>
      <w:r w:rsidRPr="00405303">
        <w:rPr>
          <w:bCs/>
          <w:color w:val="002060"/>
          <w:sz w:val="16"/>
          <w:szCs w:val="16"/>
        </w:rPr>
        <w:softHyphen/>
        <w:t>нения потерь нужны более совер</w:t>
      </w:r>
      <w:r w:rsidRPr="00405303">
        <w:rPr>
          <w:bCs/>
          <w:color w:val="002060"/>
          <w:sz w:val="16"/>
          <w:szCs w:val="16"/>
        </w:rPr>
        <w:softHyphen/>
        <w:t>шенные самолеты, построенные с учетом климатических условий их использования. Последнее обстоя</w:t>
      </w:r>
      <w:r w:rsidRPr="00405303">
        <w:rPr>
          <w:bCs/>
          <w:color w:val="002060"/>
          <w:sz w:val="16"/>
          <w:szCs w:val="16"/>
        </w:rPr>
        <w:softHyphen/>
        <w:t>тельство больше всего волновало балтийцев, поскольку многие гидро</w:t>
      </w:r>
      <w:r w:rsidRPr="00405303">
        <w:rPr>
          <w:bCs/>
          <w:color w:val="002060"/>
          <w:sz w:val="16"/>
          <w:szCs w:val="16"/>
        </w:rPr>
        <w:softHyphen/>
        <w:t>аэродромы в зимнее время замер</w:t>
      </w:r>
      <w:r w:rsidRPr="00405303">
        <w:rPr>
          <w:bCs/>
          <w:color w:val="002060"/>
          <w:sz w:val="16"/>
          <w:szCs w:val="16"/>
        </w:rPr>
        <w:softHyphen/>
        <w:t>зали. В то же время у экипа</w:t>
      </w:r>
      <w:r w:rsidRPr="00405303">
        <w:rPr>
          <w:bCs/>
          <w:color w:val="002060"/>
          <w:sz w:val="16"/>
          <w:szCs w:val="16"/>
        </w:rPr>
        <w:softHyphen/>
        <w:t>жа должна была ос</w:t>
      </w:r>
      <w:r w:rsidRPr="00405303">
        <w:rPr>
          <w:bCs/>
          <w:color w:val="002060"/>
          <w:sz w:val="16"/>
          <w:szCs w:val="16"/>
        </w:rPr>
        <w:softHyphen/>
        <w:t>таваться возможность при остановке мото</w:t>
      </w:r>
      <w:r w:rsidRPr="00405303">
        <w:rPr>
          <w:bCs/>
          <w:color w:val="002060"/>
          <w:sz w:val="16"/>
          <w:szCs w:val="16"/>
        </w:rPr>
        <w:softHyphen/>
        <w:t>ра произвести посад</w:t>
      </w:r>
      <w:r w:rsidRPr="00405303">
        <w:rPr>
          <w:bCs/>
          <w:color w:val="002060"/>
          <w:sz w:val="16"/>
          <w:szCs w:val="16"/>
        </w:rPr>
        <w:softHyphen/>
        <w:t>ку на воду и остаться на плаву. По мнению Авиационного коми</w:t>
      </w:r>
      <w:r w:rsidRPr="00405303">
        <w:rPr>
          <w:bCs/>
          <w:color w:val="002060"/>
          <w:sz w:val="16"/>
          <w:szCs w:val="16"/>
        </w:rPr>
        <w:softHyphen/>
        <w:t>тета задача могла быть решена с приме</w:t>
      </w:r>
      <w:r w:rsidRPr="00405303">
        <w:rPr>
          <w:bCs/>
          <w:color w:val="002060"/>
          <w:sz w:val="16"/>
          <w:szCs w:val="16"/>
        </w:rPr>
        <w:softHyphen/>
        <w:t>нением поплавковых аэропланов на амор</w:t>
      </w:r>
      <w:r w:rsidRPr="00405303">
        <w:rPr>
          <w:bCs/>
          <w:color w:val="002060"/>
          <w:sz w:val="16"/>
          <w:szCs w:val="16"/>
        </w:rPr>
        <w:softHyphen/>
        <w:t>тизаторах. В принципе все летающие лодки Григоровича, позволяли поставить их на лыжи, используя проходящую у нижних скул под реданом сталь</w:t>
      </w:r>
      <w:r w:rsidRPr="00405303">
        <w:rPr>
          <w:bCs/>
          <w:color w:val="002060"/>
          <w:sz w:val="16"/>
          <w:szCs w:val="16"/>
        </w:rPr>
        <w:softHyphen/>
        <w:t>ную трубу с фланцами (или крепить лыжи под реданом на специальных узлах). Под хвостовой частью уста</w:t>
      </w:r>
      <w:r w:rsidRPr="00405303">
        <w:rPr>
          <w:bCs/>
          <w:color w:val="002060"/>
          <w:sz w:val="16"/>
          <w:szCs w:val="16"/>
        </w:rPr>
        <w:softHyphen/>
        <w:t>навливали третью лыжу. Однако в этом случае летные качества само</w:t>
      </w:r>
      <w:r w:rsidRPr="00405303">
        <w:rPr>
          <w:bCs/>
          <w:color w:val="002060"/>
          <w:sz w:val="16"/>
          <w:szCs w:val="16"/>
        </w:rPr>
        <w:softHyphen/>
        <w:t>летов, и без того невысокие, еще более ухудшались. Учитывая поже</w:t>
      </w:r>
      <w:r w:rsidRPr="00405303">
        <w:rPr>
          <w:bCs/>
          <w:color w:val="002060"/>
          <w:sz w:val="16"/>
          <w:szCs w:val="16"/>
        </w:rPr>
        <w:softHyphen/>
        <w:t>лания балтийцев, Григорович в кон</w:t>
      </w:r>
      <w:r w:rsidRPr="00405303">
        <w:rPr>
          <w:bCs/>
          <w:color w:val="002060"/>
          <w:sz w:val="16"/>
          <w:szCs w:val="16"/>
        </w:rPr>
        <w:softHyphen/>
        <w:t>це 1916 г. построил гидросамолет М-16 - поплавковый трехстоечный биплан с ферменной хвостовой частью и толкающей силовой уста</w:t>
      </w:r>
      <w:r w:rsidRPr="00405303">
        <w:rPr>
          <w:bCs/>
          <w:color w:val="002060"/>
          <w:sz w:val="16"/>
          <w:szCs w:val="16"/>
        </w:rPr>
        <w:softHyphen/>
        <w:t>новкой, включающей двигатель «Сальмсон» мощностью 150 л.с. Вместо поплавков зимой устанав</w:t>
      </w:r>
      <w:r w:rsidRPr="00405303">
        <w:rPr>
          <w:bCs/>
          <w:color w:val="002060"/>
          <w:sz w:val="16"/>
          <w:szCs w:val="16"/>
        </w:rPr>
        <w:softHyphen/>
        <w:t>ливали лыжи. В принципе поплавки, имевшие плоское основание, мог</w:t>
      </w:r>
      <w:r w:rsidRPr="00405303">
        <w:rPr>
          <w:bCs/>
          <w:color w:val="002060"/>
          <w:sz w:val="16"/>
          <w:szCs w:val="16"/>
        </w:rPr>
        <w:softHyphen/>
        <w:t>ли применяться для взлета и посад</w:t>
      </w:r>
      <w:r w:rsidRPr="00405303">
        <w:rPr>
          <w:bCs/>
          <w:color w:val="002060"/>
          <w:sz w:val="16"/>
          <w:szCs w:val="16"/>
        </w:rPr>
        <w:softHyphen/>
        <w:t>ки со льда и воды. По остальным характеристикам М-16 находилась на уровне летающей лодки М-9. Во</w:t>
      </w:r>
      <w:r w:rsidRPr="00405303">
        <w:rPr>
          <w:bCs/>
          <w:color w:val="002060"/>
          <w:sz w:val="16"/>
          <w:szCs w:val="16"/>
        </w:rPr>
        <w:softHyphen/>
        <w:t>оружение - пулемет. Однако ко</w:t>
      </w:r>
      <w:r w:rsidRPr="00405303">
        <w:rPr>
          <w:bCs/>
          <w:color w:val="002060"/>
          <w:sz w:val="16"/>
          <w:szCs w:val="16"/>
        </w:rPr>
        <w:softHyphen/>
        <w:t>миссия, принимавшая самолеты М-15 и М-16, дала им высокую оцен</w:t>
      </w:r>
      <w:r w:rsidRPr="00405303">
        <w:rPr>
          <w:bCs/>
          <w:color w:val="002060"/>
          <w:sz w:val="16"/>
          <w:szCs w:val="16"/>
        </w:rPr>
        <w:softHyphen/>
        <w:t>ку, указав, что они, имея прекрас</w:t>
      </w:r>
      <w:r w:rsidRPr="00405303">
        <w:rPr>
          <w:bCs/>
          <w:color w:val="002060"/>
          <w:sz w:val="16"/>
          <w:szCs w:val="16"/>
        </w:rPr>
        <w:softHyphen/>
        <w:t>ные конструктивные данные, пре</w:t>
      </w:r>
      <w:r w:rsidRPr="00405303">
        <w:rPr>
          <w:bCs/>
          <w:color w:val="002060"/>
          <w:sz w:val="16"/>
          <w:szCs w:val="16"/>
        </w:rPr>
        <w:softHyphen/>
        <w:t>восходят в скорости и быстроте подъема на высоту аппараты пре</w:t>
      </w:r>
      <w:r w:rsidRPr="00405303">
        <w:rPr>
          <w:bCs/>
          <w:color w:val="002060"/>
          <w:sz w:val="16"/>
          <w:szCs w:val="16"/>
        </w:rPr>
        <w:softHyphen/>
        <w:t>жнего типа М-9. Всего построили около 40 самолетов М-16, эксплуа</w:t>
      </w:r>
      <w:r w:rsidRPr="00405303">
        <w:rPr>
          <w:bCs/>
          <w:color w:val="002060"/>
          <w:sz w:val="16"/>
          <w:szCs w:val="16"/>
        </w:rPr>
        <w:softHyphen/>
        <w:t>тировавшихся в течение нескольких лет. В процессе эксплуатации не обошлось без халатности, грани</w:t>
      </w:r>
      <w:r w:rsidRPr="00405303">
        <w:rPr>
          <w:bCs/>
          <w:color w:val="002060"/>
          <w:sz w:val="16"/>
          <w:szCs w:val="16"/>
        </w:rPr>
        <w:softHyphen/>
        <w:t xml:space="preserve">чащей с преступлением: в марте </w:t>
      </w:r>
      <w:proofErr w:type="gramStart"/>
      <w:r w:rsidRPr="00405303">
        <w:rPr>
          <w:bCs/>
          <w:color w:val="002060"/>
          <w:sz w:val="16"/>
          <w:szCs w:val="16"/>
        </w:rPr>
        <w:t>1917 г. к величайшему удивлению</w:t>
      </w:r>
      <w:proofErr w:type="gramEnd"/>
      <w:r w:rsidRPr="00405303">
        <w:rPr>
          <w:bCs/>
          <w:color w:val="002060"/>
          <w:sz w:val="16"/>
          <w:szCs w:val="16"/>
        </w:rPr>
        <w:t xml:space="preserve"> в хвостовых поплавках гидроаэропланов М-16 обнаружили дополнительный груз в виде мешков с песком, пред</w:t>
      </w:r>
      <w:r w:rsidRPr="00405303">
        <w:rPr>
          <w:bCs/>
          <w:color w:val="002060"/>
          <w:sz w:val="16"/>
          <w:szCs w:val="16"/>
        </w:rPr>
        <w:softHyphen/>
        <w:t>назначенных для поддержания цен</w:t>
      </w:r>
      <w:r w:rsidRPr="00405303">
        <w:rPr>
          <w:bCs/>
          <w:color w:val="002060"/>
          <w:sz w:val="16"/>
          <w:szCs w:val="16"/>
        </w:rPr>
        <w:softHyphen/>
        <w:t>тровки в эксплуатационном диапа</w:t>
      </w:r>
      <w:r w:rsidRPr="00405303">
        <w:rPr>
          <w:bCs/>
          <w:color w:val="002060"/>
          <w:sz w:val="16"/>
          <w:szCs w:val="16"/>
        </w:rPr>
        <w:softHyphen/>
        <w:t>зоне, что могло привести к катаст</w:t>
      </w:r>
      <w:r w:rsidRPr="00405303">
        <w:rPr>
          <w:bCs/>
          <w:color w:val="002060"/>
          <w:sz w:val="16"/>
          <w:szCs w:val="16"/>
        </w:rPr>
        <w:softHyphen/>
        <w:t>рофе при изменении центровки из- за намокания песка. Летом 1917 г. начальник VI Воздушного дивизио</w:t>
      </w:r>
      <w:r w:rsidRPr="00405303">
        <w:rPr>
          <w:bCs/>
          <w:color w:val="002060"/>
          <w:sz w:val="16"/>
          <w:szCs w:val="16"/>
        </w:rPr>
        <w:softHyphen/>
        <w:t>на воздушной дивизии Балтийского моря лейтенант А. И. Макаревич, предпринял попытку улучшить лёт</w:t>
      </w:r>
      <w:r w:rsidRPr="00405303">
        <w:rPr>
          <w:bCs/>
          <w:color w:val="002060"/>
          <w:sz w:val="16"/>
          <w:szCs w:val="16"/>
        </w:rPr>
        <w:softHyphen/>
        <w:t>ные характеристики, оборудовав самолёт М-16 колёсным шасси. Переделка происходила на базе 2-й Воздушной бригады дивизии в Або и осталась незавершённой по трагическим обстоятельствам, так как 30 августа 1917 г. взбунтовав</w:t>
      </w:r>
      <w:r w:rsidRPr="00405303">
        <w:rPr>
          <w:bCs/>
          <w:color w:val="002060"/>
          <w:sz w:val="16"/>
          <w:szCs w:val="16"/>
        </w:rPr>
        <w:softHyphen/>
        <w:t>шиеся матросы убили своего зас</w:t>
      </w:r>
      <w:r w:rsidRPr="00405303">
        <w:rPr>
          <w:bCs/>
          <w:color w:val="002060"/>
          <w:sz w:val="16"/>
          <w:szCs w:val="16"/>
        </w:rPr>
        <w:softHyphen/>
        <w:t>луженного командира, награждён</w:t>
      </w:r>
      <w:r w:rsidRPr="00405303">
        <w:rPr>
          <w:bCs/>
          <w:color w:val="002060"/>
          <w:sz w:val="16"/>
          <w:szCs w:val="16"/>
        </w:rPr>
        <w:softHyphen/>
        <w:t>ного орденами: св. Станислава 3-й степени; св. Анны 4-й степени с надписью «За храбрость»; св. Ан</w:t>
      </w:r>
      <w:r w:rsidRPr="00405303">
        <w:rPr>
          <w:bCs/>
          <w:color w:val="002060"/>
          <w:sz w:val="16"/>
          <w:szCs w:val="16"/>
        </w:rPr>
        <w:softHyphen/>
        <w:t>ны - 3 -йстепени с мечами и бан</w:t>
      </w:r>
      <w:r w:rsidRPr="00405303">
        <w:rPr>
          <w:bCs/>
          <w:color w:val="002060"/>
          <w:sz w:val="16"/>
          <w:szCs w:val="16"/>
        </w:rPr>
        <w:softHyphen/>
        <w:t>тами (11872).</w:t>
      </w:r>
    </w:p>
    <w:p w14:paraId="6D24F6EE" w14:textId="77777777" w:rsidR="004B4E35" w:rsidRPr="00405303" w:rsidRDefault="004B4E35" w:rsidP="00C15251">
      <w:pPr>
        <w:jc w:val="both"/>
        <w:rPr>
          <w:bCs/>
          <w:color w:val="002060"/>
          <w:sz w:val="16"/>
          <w:szCs w:val="16"/>
        </w:rPr>
      </w:pPr>
    </w:p>
    <w:p w14:paraId="3E21EF1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августе 1915 г. для проведения испытаний самолета Слесарева "ав</w:t>
      </w:r>
      <w:r w:rsidRPr="00405303">
        <w:rPr>
          <w:bCs/>
          <w:color w:val="002060"/>
          <w:sz w:val="16"/>
          <w:szCs w:val="16"/>
        </w:rPr>
        <w:softHyphen/>
        <w:t>густейший" шеф авиации отзывает с фронта командира 31 армейско</w:t>
      </w:r>
      <w:r w:rsidRPr="00405303">
        <w:rPr>
          <w:bCs/>
          <w:color w:val="002060"/>
          <w:sz w:val="16"/>
          <w:szCs w:val="16"/>
        </w:rPr>
        <w:softHyphen/>
        <w:t>го авиаотряда Е.В.Руднева, первого русского военного летчика, в свое время не менее знаменитого, чем М.Н.Ефимов или С.И.Уточ</w:t>
      </w:r>
      <w:r w:rsidRPr="00405303">
        <w:rPr>
          <w:bCs/>
          <w:color w:val="002060"/>
          <w:sz w:val="16"/>
          <w:szCs w:val="16"/>
        </w:rPr>
        <w:softHyphen/>
        <w:t>кин. Летом 1914 г. он прошел обучение на "Илье Муромце" и при формировании с началом войны на базе этого самолета боевых от</w:t>
      </w:r>
      <w:r w:rsidRPr="00405303">
        <w:rPr>
          <w:bCs/>
          <w:color w:val="002060"/>
          <w:sz w:val="16"/>
          <w:szCs w:val="16"/>
        </w:rPr>
        <w:softHyphen/>
        <w:t>рядов был назначен командиром 1-го отряда, но вскоре перешел в легкую авиацию (11069).</w:t>
      </w:r>
    </w:p>
    <w:p w14:paraId="36DEFFAE" w14:textId="77777777" w:rsidR="004B4E35" w:rsidRPr="00405303" w:rsidRDefault="004B4E35" w:rsidP="00C15251">
      <w:pPr>
        <w:shd w:val="clear" w:color="auto" w:fill="FFFFFF"/>
        <w:jc w:val="both"/>
        <w:rPr>
          <w:bCs/>
          <w:color w:val="002060"/>
          <w:sz w:val="16"/>
          <w:szCs w:val="16"/>
        </w:rPr>
      </w:pPr>
    </w:p>
    <w:p w14:paraId="24038F6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августе 1915 г. двигатели Рено по 220 л.с. для самолета Слесарева пришли из Франции Первоначально Слесарев запроектировал для своего самолета либо двигатели "Сальмсон" по 300 л.с., либо "Лавиатор" по 250 л.с. при меньшем взлетном весе. Но первый тип Франция в Россию не продавала, а второй при закупке не прошел испытаний. Была сделана попытка заполучить немецкие двигатели "Майбах" по 300 л.с., снятые со взятого в плен "цеппелина", но те после ремонта на Балтийском заводе по распоряжению военного министра были отправлены для установки на "Илье Муромце") (11069).</w:t>
      </w:r>
    </w:p>
    <w:p w14:paraId="37A0358F" w14:textId="77777777" w:rsidR="004B4E35" w:rsidRPr="00405303" w:rsidRDefault="004B4E35" w:rsidP="00C15251">
      <w:pPr>
        <w:shd w:val="clear" w:color="auto" w:fill="FFFFFF"/>
        <w:jc w:val="both"/>
        <w:rPr>
          <w:bCs/>
          <w:color w:val="002060"/>
          <w:sz w:val="16"/>
          <w:szCs w:val="16"/>
        </w:rPr>
      </w:pPr>
    </w:p>
    <w:p w14:paraId="18338711" w14:textId="77777777" w:rsidR="004B4E35" w:rsidRPr="00405303" w:rsidRDefault="009E6F82" w:rsidP="00C15251">
      <w:pPr>
        <w:jc w:val="both"/>
        <w:rPr>
          <w:bCs/>
          <w:color w:val="002060"/>
          <w:sz w:val="16"/>
          <w:szCs w:val="16"/>
        </w:rPr>
      </w:pPr>
      <w:r w:rsidRPr="00405303">
        <w:rPr>
          <w:bCs/>
          <w:color w:val="002060"/>
          <w:sz w:val="16"/>
          <w:szCs w:val="16"/>
        </w:rPr>
        <w:t>В августе 1915 завод Мотор, эвакуированный из Риги в Москву, начал выпускать военную продукцию: авиационные моторы К-80. Рабочие «Мотора» принимали деятельное участие в революционном движении 1917 года. Сразу после Февраля организовали тайный склад оружия, где хранилось двести револьверов и пулемет. Потом один рабочий, бывший матрос мятежного броненосца «Князь Потемкин Таврический», раздобыл и привез в Замоскворечье две тысячи винтовок. Сто рабочих «Мотора» организовали отряд Красной гвардии. Это особенно важно, потому что пролетарии авиационных заводов принадлежали к рабочей элите. Условия труда у них были несравненно лучше, чем на других предприятиях. Они получали более высокое жалованье. Человека с улицы на работу не брали — требовались солидные рекомендации. Поощрялись рабочие династии, оберегающие заводы от кадровой текучки. Даже по внешнему виду в них не сразу можно было признать пролетариев: на памятных фото мы видим их в темных сюртуках, крахмальных манишках, шляпах канотье и в обязательных по тогдашней моде черных кожаных крагах. На «Моторе» в Москве работало примерно полторы сотни рабочих и инженеров. В 1917 году завод выпустил двадцать моторов К-80 и около 120 комплектов запасных частей к ним. Сразу после революции начали осваивать выпуск новых, более сильных моторов РОН мощностью в 110 лошадиных сил (11228).</w:t>
      </w:r>
    </w:p>
    <w:p w14:paraId="0BD16208" w14:textId="77777777" w:rsidR="004B4E35" w:rsidRPr="00405303" w:rsidRDefault="004B4E35" w:rsidP="00C15251">
      <w:pPr>
        <w:jc w:val="both"/>
        <w:rPr>
          <w:bCs/>
          <w:color w:val="002060"/>
          <w:sz w:val="16"/>
          <w:szCs w:val="16"/>
        </w:rPr>
      </w:pPr>
    </w:p>
    <w:p w14:paraId="24421ADB" w14:textId="05BFBF6B" w:rsidR="004B4E35" w:rsidRPr="00405303" w:rsidRDefault="005A78DA"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августе 1915 г. </w:t>
      </w:r>
      <w:r w:rsidRPr="00405303">
        <w:rPr>
          <w:bCs/>
          <w:color w:val="002060"/>
          <w:sz w:val="16"/>
          <w:szCs w:val="16"/>
        </w:rPr>
        <w:t xml:space="preserve">при помощи государственных субсидий акционерное общество «Дюфлон и Константинович» (ДЕКА) </w:t>
      </w:r>
      <w:r w:rsidR="009E6F82" w:rsidRPr="00405303">
        <w:rPr>
          <w:bCs/>
          <w:color w:val="002060"/>
          <w:sz w:val="16"/>
          <w:szCs w:val="16"/>
        </w:rPr>
        <w:t>приобрело недостроенный завод в Александровске (ныне Запорожье). После расширения он должен был стать крупнейшим моторостроительным предприятием России.</w:t>
      </w:r>
    </w:p>
    <w:p w14:paraId="170CFF21" w14:textId="77777777" w:rsidR="004B4E35" w:rsidRPr="00405303" w:rsidRDefault="009E6F82" w:rsidP="00C15251">
      <w:pPr>
        <w:jc w:val="both"/>
        <w:rPr>
          <w:bCs/>
          <w:color w:val="002060"/>
          <w:sz w:val="16"/>
          <w:szCs w:val="16"/>
        </w:rPr>
      </w:pPr>
      <w:r w:rsidRPr="00405303">
        <w:rPr>
          <w:bCs/>
          <w:color w:val="002060"/>
          <w:sz w:val="16"/>
          <w:szCs w:val="16"/>
        </w:rPr>
        <w:t>По решению, принятому в феврале 1916 г., на деньги государственных кредитов началось строительство новых автомобильных заводов, часть из которых должна была параллельно производить авиамоторы. Это были «Аксай» в Нахичевани, «Кузнецов, Рябушинский и компания» (АМО) и РБВЗ под Москвой, «Русский Рено» в Рыбинске и завод Акционерного общества воздухоплавания В.А. Лебедева в Ярославле. Велась подготовка к выпуску авиационных двигателей на одном из заводов А.А. Анатра. Все эти предприятия, как и существовавшие ранее, были частными. В 1916 г. начали строительство крупного казенного завода в Херсоне, включавшего моторостроительное производство (11852).</w:t>
      </w:r>
    </w:p>
    <w:p w14:paraId="68A457F9" w14:textId="77777777" w:rsidR="004B4E35" w:rsidRPr="00405303" w:rsidRDefault="004B4E35" w:rsidP="00C15251">
      <w:pPr>
        <w:jc w:val="both"/>
        <w:rPr>
          <w:bCs/>
          <w:color w:val="002060"/>
          <w:sz w:val="16"/>
          <w:szCs w:val="16"/>
        </w:rPr>
      </w:pPr>
    </w:p>
    <w:p w14:paraId="03CFD423" w14:textId="060ED886" w:rsidR="004B4E35" w:rsidRPr="00405303" w:rsidRDefault="005A78DA"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августе 1915 г.</w:t>
      </w:r>
      <w:r w:rsidRPr="00405303">
        <w:rPr>
          <w:bCs/>
          <w:color w:val="002060"/>
          <w:sz w:val="16"/>
          <w:szCs w:val="16"/>
        </w:rPr>
        <w:t>, получив при поддержке Военного ведомства государственные субсидии, акционерное общество «Дюфлон и Константинович» (ДЕКА)</w:t>
      </w:r>
      <w:r w:rsidR="000F5756">
        <w:rPr>
          <w:bCs/>
          <w:color w:val="002060"/>
          <w:sz w:val="16"/>
          <w:szCs w:val="16"/>
        </w:rPr>
        <w:t xml:space="preserve"> </w:t>
      </w:r>
      <w:r w:rsidR="009E6F82" w:rsidRPr="00405303">
        <w:rPr>
          <w:bCs/>
          <w:color w:val="002060"/>
          <w:sz w:val="16"/>
          <w:szCs w:val="16"/>
        </w:rPr>
        <w:t>купило недостроенный завод в Александровске (ныне Запорожье). Вложив большие средства в его переоборудование и новое строительство, через год общество ДЕКА уже имело самый крупный моторостроитель</w:t>
      </w:r>
      <w:r w:rsidR="009E6F82" w:rsidRPr="00405303">
        <w:rPr>
          <w:bCs/>
          <w:color w:val="002060"/>
          <w:sz w:val="16"/>
          <w:szCs w:val="16"/>
        </w:rPr>
        <w:softHyphen/>
        <w:t>ный завод России. Но он еще не был полностью готов к серийному про</w:t>
      </w:r>
      <w:r w:rsidR="009E6F82" w:rsidRPr="00405303">
        <w:rPr>
          <w:bCs/>
          <w:color w:val="002060"/>
          <w:sz w:val="16"/>
          <w:szCs w:val="16"/>
        </w:rPr>
        <w:softHyphen/>
        <w:t>изводству, хотя уже получил заказы от Управления воздушного флота (11852).</w:t>
      </w:r>
    </w:p>
    <w:p w14:paraId="5709ECAC" w14:textId="77777777" w:rsidR="004B4E35" w:rsidRPr="00405303" w:rsidRDefault="004B4E35" w:rsidP="00C15251">
      <w:pPr>
        <w:shd w:val="clear" w:color="auto" w:fill="FFFFFF"/>
        <w:jc w:val="both"/>
        <w:rPr>
          <w:bCs/>
          <w:color w:val="002060"/>
          <w:sz w:val="16"/>
          <w:szCs w:val="16"/>
        </w:rPr>
      </w:pPr>
    </w:p>
    <w:p w14:paraId="32C977E6" w14:textId="13A6DB78" w:rsidR="004B4E35" w:rsidRPr="00405303" w:rsidRDefault="005A78DA"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ав</w:t>
      </w:r>
      <w:r w:rsidR="009E6F82" w:rsidRPr="00405303">
        <w:rPr>
          <w:bCs/>
          <w:color w:val="002060"/>
          <w:sz w:val="16"/>
          <w:szCs w:val="16"/>
        </w:rPr>
        <w:softHyphen/>
        <w:t xml:space="preserve">густе 1915 г. </w:t>
      </w:r>
      <w:r w:rsidRPr="00405303">
        <w:rPr>
          <w:bCs/>
          <w:color w:val="002060"/>
          <w:sz w:val="16"/>
          <w:szCs w:val="16"/>
        </w:rPr>
        <w:t>был рапорт на</w:t>
      </w:r>
      <w:r w:rsidRPr="00405303">
        <w:rPr>
          <w:bCs/>
          <w:color w:val="002060"/>
          <w:sz w:val="16"/>
          <w:szCs w:val="16"/>
        </w:rPr>
        <w:softHyphen/>
        <w:t xml:space="preserve">чальника воздухоплавательного отделения Морского генерального штаба старшего лейтенанта А.А.Тучкова в адрес начальника организационного отделения </w:t>
      </w:r>
      <w:r w:rsidR="009E6F82" w:rsidRPr="00405303">
        <w:rPr>
          <w:bCs/>
          <w:color w:val="002060"/>
          <w:sz w:val="16"/>
          <w:szCs w:val="16"/>
        </w:rPr>
        <w:t>по вопросу приобре</w:t>
      </w:r>
      <w:r w:rsidR="009E6F82" w:rsidRPr="00405303">
        <w:rPr>
          <w:bCs/>
          <w:color w:val="002060"/>
          <w:sz w:val="16"/>
          <w:szCs w:val="16"/>
        </w:rPr>
        <w:softHyphen/>
        <w:t>тения моторов во Франции: «До</w:t>
      </w:r>
      <w:r w:rsidR="009E6F82" w:rsidRPr="00405303">
        <w:rPr>
          <w:bCs/>
          <w:color w:val="002060"/>
          <w:sz w:val="16"/>
          <w:szCs w:val="16"/>
        </w:rPr>
        <w:softHyphen/>
        <w:t xml:space="preserve">ношу нижеследующее: Военно-морской агент в Париже уведомил, что 40 моторов </w:t>
      </w:r>
      <w:r w:rsidR="009E6F82" w:rsidRPr="00405303">
        <w:rPr>
          <w:bCs/>
          <w:color w:val="002060"/>
          <w:sz w:val="16"/>
          <w:szCs w:val="16"/>
        </w:rPr>
        <w:lastRenderedPageBreak/>
        <w:t>«Гном-Моносупап» бу</w:t>
      </w:r>
      <w:r w:rsidR="009E6F82" w:rsidRPr="00405303">
        <w:rPr>
          <w:bCs/>
          <w:color w:val="002060"/>
          <w:sz w:val="16"/>
          <w:szCs w:val="16"/>
        </w:rPr>
        <w:softHyphen/>
        <w:t>дут доставлены нам по 10 штук в месяц, начиная с апреля сего года. . Таким образом, к августу должно было быть получено 40 моторов. Фактически же до 12 августа было получено 10 моторов, из них шесть установленными на летающих лод</w:t>
      </w:r>
      <w:r w:rsidR="009E6F82" w:rsidRPr="00405303">
        <w:rPr>
          <w:bCs/>
          <w:color w:val="002060"/>
          <w:sz w:val="16"/>
          <w:szCs w:val="16"/>
        </w:rPr>
        <w:softHyphen/>
        <w:t>ках Ф.Б.А. т.е. таких, которые в чис</w:t>
      </w:r>
      <w:r w:rsidR="009E6F82" w:rsidRPr="00405303">
        <w:rPr>
          <w:bCs/>
          <w:color w:val="002060"/>
          <w:sz w:val="16"/>
          <w:szCs w:val="16"/>
        </w:rPr>
        <w:softHyphen/>
        <w:t>ло моторов, необходимых для уста</w:t>
      </w:r>
      <w:r w:rsidR="009E6F82" w:rsidRPr="00405303">
        <w:rPr>
          <w:bCs/>
          <w:color w:val="002060"/>
          <w:sz w:val="16"/>
          <w:szCs w:val="16"/>
        </w:rPr>
        <w:softHyphen/>
        <w:t>новки на аппаратах русской выдел</w:t>
      </w:r>
      <w:r w:rsidR="009E6F82" w:rsidRPr="00405303">
        <w:rPr>
          <w:bCs/>
          <w:color w:val="002060"/>
          <w:sz w:val="16"/>
          <w:szCs w:val="16"/>
        </w:rPr>
        <w:softHyphen/>
        <w:t>ки (как например, прекрасно себя зарекомендовавшей лодки Щетини</w:t>
      </w:r>
      <w:r w:rsidR="009E6F82" w:rsidRPr="00405303">
        <w:rPr>
          <w:bCs/>
          <w:color w:val="002060"/>
          <w:sz w:val="16"/>
          <w:szCs w:val="16"/>
        </w:rPr>
        <w:softHyphen/>
        <w:t>на М-5), не могут. Вместе с тем, с Балтийского и Черноморского фло</w:t>
      </w:r>
      <w:r w:rsidR="009E6F82" w:rsidRPr="00405303">
        <w:rPr>
          <w:bCs/>
          <w:color w:val="002060"/>
          <w:sz w:val="16"/>
          <w:szCs w:val="16"/>
        </w:rPr>
        <w:softHyphen/>
        <w:t>тов целым рядом запросов указы</w:t>
      </w:r>
      <w:r w:rsidR="009E6F82" w:rsidRPr="00405303">
        <w:rPr>
          <w:bCs/>
          <w:color w:val="002060"/>
          <w:sz w:val="16"/>
          <w:szCs w:val="16"/>
        </w:rPr>
        <w:softHyphen/>
        <w:t>валось на крайнюю необходимость в срочности получения упомянутых моторов, о чём неоднократно те</w:t>
      </w:r>
      <w:r w:rsidR="009E6F82" w:rsidRPr="00405303">
        <w:rPr>
          <w:bCs/>
          <w:color w:val="002060"/>
          <w:sz w:val="16"/>
          <w:szCs w:val="16"/>
        </w:rPr>
        <w:softHyphen/>
        <w:t>леграфировалось военно-морскому агенту. Видя, что при заказах через нашего военно-морского агента мы совершенно не сможем быть уве</w:t>
      </w:r>
      <w:r w:rsidR="009E6F82" w:rsidRPr="00405303">
        <w:rPr>
          <w:bCs/>
          <w:color w:val="002060"/>
          <w:sz w:val="16"/>
          <w:szCs w:val="16"/>
        </w:rPr>
        <w:softHyphen/>
        <w:t>рены в сроках поставки, я доклады</w:t>
      </w:r>
      <w:r w:rsidR="009E6F82" w:rsidRPr="00405303">
        <w:rPr>
          <w:bCs/>
          <w:color w:val="002060"/>
          <w:sz w:val="16"/>
          <w:szCs w:val="16"/>
        </w:rPr>
        <w:softHyphen/>
        <w:t>вал Вашему высокоблагородию о необходимости обратиться к комис</w:t>
      </w:r>
      <w:r w:rsidR="009E6F82" w:rsidRPr="00405303">
        <w:rPr>
          <w:bCs/>
          <w:color w:val="002060"/>
          <w:sz w:val="16"/>
          <w:szCs w:val="16"/>
        </w:rPr>
        <w:softHyphen/>
        <w:t>сионерам. Платя им в случае на</w:t>
      </w:r>
      <w:r w:rsidR="009E6F82" w:rsidRPr="00405303">
        <w:rPr>
          <w:bCs/>
          <w:color w:val="002060"/>
          <w:sz w:val="16"/>
          <w:szCs w:val="16"/>
        </w:rPr>
        <w:softHyphen/>
        <w:t>добности дороже за моторы, но оговорив самым определённым образом сроки их доставки... Од</w:t>
      </w:r>
      <w:r w:rsidR="009E6F82" w:rsidRPr="00405303">
        <w:rPr>
          <w:bCs/>
          <w:color w:val="002060"/>
          <w:sz w:val="16"/>
          <w:szCs w:val="16"/>
        </w:rPr>
        <w:softHyphen/>
        <w:t>нако в лице капитана 2-го ранга Дмитриева фирма («Яков Прозоров с сыном») не только не получила поддержки, но и наоборот, из це</w:t>
      </w:r>
      <w:r w:rsidR="009E6F82" w:rsidRPr="00405303">
        <w:rPr>
          <w:bCs/>
          <w:color w:val="002060"/>
          <w:sz w:val="16"/>
          <w:szCs w:val="16"/>
        </w:rPr>
        <w:softHyphen/>
        <w:t>лого ряда телеграмм видно, что он всё время настаивает на отказе от услуг комиссионеров... В настоящее время положение дела таково: со</w:t>
      </w:r>
      <w:r w:rsidR="009E6F82" w:rsidRPr="00405303">
        <w:rPr>
          <w:bCs/>
          <w:color w:val="002060"/>
          <w:sz w:val="16"/>
          <w:szCs w:val="16"/>
        </w:rPr>
        <w:softHyphen/>
        <w:t>ответствующие суммы агенту в Па</w:t>
      </w:r>
      <w:r w:rsidR="009E6F82" w:rsidRPr="00405303">
        <w:rPr>
          <w:bCs/>
          <w:color w:val="002060"/>
          <w:sz w:val="16"/>
          <w:szCs w:val="16"/>
        </w:rPr>
        <w:softHyphen/>
        <w:t>риже переведены, но надежды на содействие его нет. Между тем от</w:t>
      </w:r>
      <w:r w:rsidR="009E6F82" w:rsidRPr="00405303">
        <w:rPr>
          <w:bCs/>
          <w:color w:val="002060"/>
          <w:sz w:val="16"/>
          <w:szCs w:val="16"/>
        </w:rPr>
        <w:softHyphen/>
        <w:t>сутствие моторов грозит останов</w:t>
      </w:r>
      <w:r w:rsidR="009E6F82" w:rsidRPr="00405303">
        <w:rPr>
          <w:bCs/>
          <w:color w:val="002060"/>
          <w:sz w:val="16"/>
          <w:szCs w:val="16"/>
        </w:rPr>
        <w:softHyphen/>
        <w:t>кой деятельности гидроавиации обоих морей». В подобной обста</w:t>
      </w:r>
      <w:r w:rsidR="009E6F82" w:rsidRPr="00405303">
        <w:rPr>
          <w:bCs/>
          <w:color w:val="002060"/>
          <w:sz w:val="16"/>
          <w:szCs w:val="16"/>
        </w:rPr>
        <w:softHyphen/>
        <w:t>новке буквально шла «борьба» за двигатели (11872).</w:t>
      </w:r>
    </w:p>
    <w:p w14:paraId="76097E3B" w14:textId="77777777" w:rsidR="004B4E35" w:rsidRPr="00405303" w:rsidRDefault="004B4E35" w:rsidP="00C15251">
      <w:pPr>
        <w:jc w:val="both"/>
        <w:rPr>
          <w:bCs/>
          <w:color w:val="002060"/>
          <w:sz w:val="16"/>
          <w:szCs w:val="16"/>
        </w:rPr>
      </w:pPr>
    </w:p>
    <w:p w14:paraId="1DF68B1F" w14:textId="3F8AADB8" w:rsidR="004B4E35" w:rsidRPr="00405303" w:rsidRDefault="009E6F82" w:rsidP="00C15251">
      <w:pPr>
        <w:shd w:val="clear" w:color="auto" w:fill="FFFFFF"/>
        <w:jc w:val="both"/>
        <w:rPr>
          <w:bCs/>
          <w:color w:val="002060"/>
          <w:sz w:val="16"/>
          <w:szCs w:val="16"/>
        </w:rPr>
      </w:pPr>
      <w:r w:rsidRPr="00405303">
        <w:rPr>
          <w:bCs/>
          <w:color w:val="002060"/>
          <w:sz w:val="16"/>
          <w:szCs w:val="16"/>
        </w:rPr>
        <w:t>В августе 1915 г. Ботезат остановился на вариан</w:t>
      </w:r>
      <w:r w:rsidRPr="00405303">
        <w:rPr>
          <w:bCs/>
          <w:color w:val="002060"/>
          <w:sz w:val="16"/>
          <w:szCs w:val="16"/>
        </w:rPr>
        <w:softHyphen/>
        <w:t>те гироскопического прицела. В октябре 1915</w:t>
      </w:r>
      <w:r w:rsidR="005A78DA" w:rsidRPr="00405303">
        <w:rPr>
          <w:bCs/>
          <w:color w:val="002060"/>
          <w:sz w:val="16"/>
          <w:szCs w:val="16"/>
        </w:rPr>
        <w:t xml:space="preserve"> </w:t>
      </w:r>
      <w:r w:rsidRPr="00405303">
        <w:rPr>
          <w:bCs/>
          <w:color w:val="002060"/>
          <w:sz w:val="16"/>
          <w:szCs w:val="16"/>
        </w:rPr>
        <w:t>г. ГВТУ заключило контракт с акционерным обществом «Электромеханические сооружения» на пост</w:t>
      </w:r>
      <w:r w:rsidRPr="00405303">
        <w:rPr>
          <w:bCs/>
          <w:color w:val="002060"/>
          <w:sz w:val="16"/>
          <w:szCs w:val="16"/>
        </w:rPr>
        <w:softHyphen/>
        <w:t>ройку одного комплекта «бомбометательной системы профессора ГА. Ботезата». К 1917 г. система была изготовлена и испытана. Командова</w:t>
      </w:r>
      <w:r w:rsidRPr="00405303">
        <w:rPr>
          <w:bCs/>
          <w:color w:val="002060"/>
          <w:sz w:val="16"/>
          <w:szCs w:val="16"/>
        </w:rPr>
        <w:softHyphen/>
        <w:t>ние УВВФ результат испытаний признало удачным и направило в Воен</w:t>
      </w:r>
      <w:r w:rsidRPr="00405303">
        <w:rPr>
          <w:bCs/>
          <w:color w:val="002060"/>
          <w:sz w:val="16"/>
          <w:szCs w:val="16"/>
        </w:rPr>
        <w:softHyphen/>
        <w:t>ный совет предложение о серийном производстве прибора. В предложе</w:t>
      </w:r>
      <w:r w:rsidRPr="00405303">
        <w:rPr>
          <w:bCs/>
          <w:color w:val="002060"/>
          <w:sz w:val="16"/>
          <w:szCs w:val="16"/>
        </w:rPr>
        <w:softHyphen/>
        <w:t>нии было сказано: «Проведенными испытаниями прибора на аэропланах выявлена полная целесообразность прибора и надежность его действия. Специальная комиссия по изучению воздушной артиллерии при УВВФ, производившая испытание прибора, признала желательным снабдить наши авиационные части этими приборами».</w:t>
      </w:r>
    </w:p>
    <w:p w14:paraId="1643F94F" w14:textId="77777777" w:rsidR="004B4E35" w:rsidRPr="00405303" w:rsidRDefault="009E6F82" w:rsidP="00C15251">
      <w:pPr>
        <w:jc w:val="both"/>
        <w:rPr>
          <w:bCs/>
          <w:color w:val="002060"/>
          <w:sz w:val="16"/>
          <w:szCs w:val="16"/>
        </w:rPr>
      </w:pPr>
      <w:r w:rsidRPr="00405303">
        <w:rPr>
          <w:bCs/>
          <w:color w:val="002060"/>
          <w:sz w:val="16"/>
          <w:szCs w:val="16"/>
        </w:rPr>
        <w:t>Февральская революция и последующие события, к сожалению, раз</w:t>
      </w:r>
      <w:r w:rsidRPr="00405303">
        <w:rPr>
          <w:bCs/>
          <w:color w:val="002060"/>
          <w:sz w:val="16"/>
          <w:szCs w:val="16"/>
        </w:rPr>
        <w:softHyphen/>
        <w:t>рушила эти планы. После пресловутого приказа Ю.М. Ларина о ликвида</w:t>
      </w:r>
      <w:r w:rsidRPr="00405303">
        <w:rPr>
          <w:bCs/>
          <w:color w:val="002060"/>
          <w:sz w:val="16"/>
          <w:szCs w:val="16"/>
        </w:rPr>
        <w:softHyphen/>
        <w:t>ции авиационной промышленности в России, о прицельных приборах Бо</w:t>
      </w:r>
      <w:r w:rsidRPr="00405303">
        <w:rPr>
          <w:bCs/>
          <w:color w:val="002060"/>
          <w:sz w:val="16"/>
          <w:szCs w:val="16"/>
        </w:rPr>
        <w:softHyphen/>
        <w:t>тезата вспомнили только в конце апреля 1918 г. Специальная комиссия ВВФ РККА, прибывшая на завод Общества ДЕКА сделала следующий вы</w:t>
      </w:r>
      <w:r w:rsidRPr="00405303">
        <w:rPr>
          <w:bCs/>
          <w:color w:val="002060"/>
          <w:sz w:val="16"/>
          <w:szCs w:val="16"/>
        </w:rPr>
        <w:softHyphen/>
        <w:t>вод: «Дальнейшее проведение работ и испытаний невозможно как по при</w:t>
      </w:r>
      <w:r w:rsidRPr="00405303">
        <w:rPr>
          <w:bCs/>
          <w:color w:val="002060"/>
          <w:sz w:val="16"/>
          <w:szCs w:val="16"/>
        </w:rPr>
        <w:softHyphen/>
        <w:t>чине отсутствия специального персонала для исполнения требующихся чрезвычайно точных работ, так и за отсутствием требующихся указаний профессора Ботезата.»</w:t>
      </w:r>
    </w:p>
    <w:p w14:paraId="48C0056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Анализ развития прицельного бомбометания в годы первой миро</w:t>
      </w:r>
      <w:r w:rsidRPr="00405303">
        <w:rPr>
          <w:bCs/>
          <w:color w:val="002060"/>
          <w:sz w:val="16"/>
          <w:szCs w:val="16"/>
        </w:rPr>
        <w:softHyphen/>
        <w:t>вой войны показывает, что отечественные специалисты и практики лет</w:t>
      </w:r>
      <w:r w:rsidRPr="00405303">
        <w:rPr>
          <w:bCs/>
          <w:color w:val="002060"/>
          <w:sz w:val="16"/>
          <w:szCs w:val="16"/>
        </w:rPr>
        <w:softHyphen/>
        <w:t>ного дела сделали ценный вклад в дело развития прицельных приспособ</w:t>
      </w:r>
      <w:r w:rsidRPr="00405303">
        <w:rPr>
          <w:bCs/>
          <w:color w:val="002060"/>
          <w:sz w:val="16"/>
          <w:szCs w:val="16"/>
        </w:rPr>
        <w:softHyphen/>
        <w:t>лений для бомбометания, главным образом механического типа. По ре</w:t>
      </w:r>
      <w:r w:rsidRPr="00405303">
        <w:rPr>
          <w:bCs/>
          <w:color w:val="002060"/>
          <w:sz w:val="16"/>
          <w:szCs w:val="16"/>
        </w:rPr>
        <w:softHyphen/>
        <w:t>зультатам бомбометаний эти прицелы не только не уступали загранич</w:t>
      </w:r>
      <w:r w:rsidRPr="00405303">
        <w:rPr>
          <w:bCs/>
          <w:color w:val="002060"/>
          <w:sz w:val="16"/>
          <w:szCs w:val="16"/>
        </w:rPr>
        <w:softHyphen/>
        <w:t>ным, но зачастую превосходили их (11425).</w:t>
      </w:r>
    </w:p>
    <w:p w14:paraId="099BC84A" w14:textId="77777777" w:rsidR="004B4E35" w:rsidRPr="00405303" w:rsidRDefault="004B4E35" w:rsidP="00C15251">
      <w:pPr>
        <w:shd w:val="clear" w:color="auto" w:fill="FFFFFF"/>
        <w:jc w:val="both"/>
        <w:rPr>
          <w:bCs/>
          <w:color w:val="002060"/>
          <w:sz w:val="16"/>
          <w:szCs w:val="16"/>
        </w:rPr>
      </w:pPr>
    </w:p>
    <w:p w14:paraId="4309E66B" w14:textId="77777777" w:rsidR="003C16CD" w:rsidRPr="00405303" w:rsidRDefault="003C16CD" w:rsidP="00C15251">
      <w:pPr>
        <w:jc w:val="both"/>
        <w:rPr>
          <w:bCs/>
          <w:color w:val="002060"/>
          <w:sz w:val="16"/>
          <w:szCs w:val="16"/>
        </w:rPr>
      </w:pPr>
      <w:r w:rsidRPr="00405303">
        <w:rPr>
          <w:bCs/>
          <w:color w:val="002060"/>
          <w:sz w:val="16"/>
          <w:szCs w:val="16"/>
        </w:rPr>
        <w:t xml:space="preserve">В августе 1915 г. командир ЭВК Шидловский направил телеграмму в Главное военнотехническое управление Генштаба, требуя оплатить ему 12 легких самолетов, в том числе три уже поставленных С-16. 21 августа РБВЗ послало ГВТУ технические условия на поставку двенадцати готовых С-16 и шести несобранных «на пополнение ежемесячной убыли». В правлении РБВЗ очень надеялись на заказ, но неожиданно 24 августа 1915 г. ГВТУ ГШ выдало расширенный контракт на поставку 18 готовых С-16 без моторов и винтов по цене 9 500 руб. и 21 полного и неполного комплекта агрегатов и деталей за 7 300 и 4 500 руб., соответственно. Первые три самолета надо было сдать к 4 октября 1915 г., следующие четыре и семь комплектов — к 4 ноября, и последние 11 готовых и 14 комплектов — к 4 декабря 1915 г. При этом Сикорский должен был исправить чертежи по результатам испытаний и заменить ставшие дефицитом материалы — латунь и ввозимую из США орегонскую сосну. Он это делал впопыхах, конструкцию не пересчитывая, но все равно опоздал. А тут пришла новая вводная — немецкие и австрийские аэропланы стали атаковать «Муромцы», и если поначалу те успешно отбивались своими многочисленными пулеметами, то появившиеся на фронте истребители уже стали представлять для них угрозу (22826). </w:t>
      </w:r>
    </w:p>
    <w:p w14:paraId="6DD973C8" w14:textId="77777777" w:rsidR="003C16CD" w:rsidRPr="00405303" w:rsidRDefault="003C16CD" w:rsidP="00C15251">
      <w:pPr>
        <w:jc w:val="both"/>
        <w:rPr>
          <w:bCs/>
          <w:color w:val="002060"/>
          <w:sz w:val="16"/>
          <w:szCs w:val="16"/>
        </w:rPr>
      </w:pPr>
    </w:p>
    <w:p w14:paraId="4A3BA27D" w14:textId="77777777" w:rsidR="003C16CD" w:rsidRPr="00405303" w:rsidRDefault="003C16CD" w:rsidP="00C15251">
      <w:pPr>
        <w:jc w:val="both"/>
        <w:rPr>
          <w:bCs/>
          <w:color w:val="002060"/>
          <w:sz w:val="16"/>
          <w:szCs w:val="16"/>
        </w:rPr>
      </w:pPr>
      <w:r w:rsidRPr="00405303">
        <w:rPr>
          <w:bCs/>
          <w:color w:val="002060"/>
          <w:sz w:val="16"/>
          <w:szCs w:val="16"/>
        </w:rPr>
        <w:t xml:space="preserve">В августе 1915 г. податной инспектор статский советник Н.А. Панов обратился в Центральный военно-промышленный комитет с заявлением по поводу изобретенного К.Э. Циолковским управляемого металлического аэростата. Панов подробно изложил историю этого изобретения и правдиво обрисовал облик скромного русского ученого. Он писал: «В Калуге четверть века назад поселился даровитый русский ученый, представляющий собой тип европейских ученых XVII и XVIII в., в тиши </w:t>
      </w:r>
      <w:proofErr w:type="gramStart"/>
      <w:r w:rsidRPr="00405303">
        <w:rPr>
          <w:bCs/>
          <w:color w:val="002060"/>
          <w:sz w:val="16"/>
          <w:szCs w:val="16"/>
        </w:rPr>
        <w:t>своих бедных кабинетов</w:t>
      </w:r>
      <w:proofErr w:type="gramEnd"/>
      <w:r w:rsidRPr="00405303">
        <w:rPr>
          <w:bCs/>
          <w:color w:val="002060"/>
          <w:sz w:val="16"/>
          <w:szCs w:val="16"/>
        </w:rPr>
        <w:t xml:space="preserve"> скромно создававших и разрабатывавших новые теории в области физико-математических наук. Этот ученый — Константин Эдуардович Циолковский, создавший теорию металлического управляемого аэростата, подвинувший вперед теорию аэроплана и занимающийся многими вопросами аэростатики, аэродинамики и физической астрономии. Несмотря, однако, на многолетние научные труды Циолковского, на старание его сделать свои идеи о возможности устройства металлического аэростата доступными для ученых и широкой публики, до сих пор ни правительственные ученые учреждения, ни частные лица не дали ему денежных средств для постройки модели в больших размерах, чтобы произвести опыты полета с людьми».</w:t>
      </w:r>
    </w:p>
    <w:p w14:paraId="6CD55F5D" w14:textId="77777777" w:rsidR="003C16CD" w:rsidRPr="00405303" w:rsidRDefault="003C16CD" w:rsidP="00C15251">
      <w:pPr>
        <w:jc w:val="both"/>
        <w:rPr>
          <w:bCs/>
          <w:color w:val="002060"/>
          <w:sz w:val="16"/>
          <w:szCs w:val="16"/>
        </w:rPr>
      </w:pPr>
      <w:r w:rsidRPr="00405303">
        <w:rPr>
          <w:bCs/>
          <w:color w:val="002060"/>
          <w:sz w:val="16"/>
          <w:szCs w:val="16"/>
        </w:rPr>
        <w:t>К.Э. Циолковский к началу Первой мировой войны построил небольшие модели цельнометаллического аэростата. Он неоднократно предлагал военному ведомству безвозмездно взять на себя руководство постройкой дирижабля своей системы. Для создания большой модели, имеющей практическое значение, изобретатель просил около 25 тыс. руб. Дирижабль К.Э. Циолковского, будучи выполнен из гофрированного металла, должен был, по идее ученого, изменять свой объем в зависимости от высоты полета (22857).</w:t>
      </w:r>
    </w:p>
    <w:p w14:paraId="50B85757" w14:textId="77777777" w:rsidR="003C16CD" w:rsidRPr="00405303" w:rsidRDefault="003C16CD" w:rsidP="00C15251">
      <w:pPr>
        <w:jc w:val="both"/>
        <w:rPr>
          <w:bCs/>
          <w:color w:val="002060"/>
          <w:sz w:val="16"/>
          <w:szCs w:val="16"/>
        </w:rPr>
      </w:pPr>
    </w:p>
    <w:p w14:paraId="41B15B81" w14:textId="0500DED0" w:rsidR="003C16CD" w:rsidRPr="00405303" w:rsidRDefault="003C16CD" w:rsidP="00C15251">
      <w:pPr>
        <w:pStyle w:val="book"/>
        <w:spacing w:before="0" w:beforeAutospacing="0" w:after="0" w:afterAutospacing="0"/>
        <w:jc w:val="both"/>
        <w:rPr>
          <w:bCs/>
          <w:color w:val="002060"/>
          <w:sz w:val="16"/>
          <w:szCs w:val="16"/>
        </w:rPr>
      </w:pPr>
      <w:r w:rsidRPr="00405303">
        <w:rPr>
          <w:bCs/>
          <w:color w:val="002060"/>
          <w:sz w:val="16"/>
          <w:szCs w:val="16"/>
        </w:rPr>
        <w:t>В августе 1915</w:t>
      </w:r>
      <w:r w:rsidR="00DB4D64" w:rsidRPr="00405303">
        <w:rPr>
          <w:bCs/>
          <w:color w:val="002060"/>
          <w:sz w:val="16"/>
          <w:szCs w:val="16"/>
        </w:rPr>
        <w:t xml:space="preserve"> </w:t>
      </w:r>
      <w:r w:rsidRPr="00405303">
        <w:rPr>
          <w:bCs/>
          <w:color w:val="002060"/>
          <w:sz w:val="16"/>
          <w:szCs w:val="16"/>
        </w:rPr>
        <w:t>г. податной инспектор статский советник Н. А. Панов обратился в Центральный военно-промышленный комитет с заявлением по поводу изобретенного К. Э. Циолковским управляемого металлического аэростата. Панов подробно изложил историю этого изобретения и правдиво обрисовал облик скромного русского ученого. Он писал: "В Калуге четверть века назад поселился даровитый русский ученый, представляющий собой тип европейских ученых XVII и XVIII</w:t>
      </w:r>
      <w:r w:rsidR="00DB4D64" w:rsidRPr="00405303">
        <w:rPr>
          <w:bCs/>
          <w:color w:val="002060"/>
          <w:sz w:val="16"/>
          <w:szCs w:val="16"/>
        </w:rPr>
        <w:t xml:space="preserve"> </w:t>
      </w:r>
      <w:r w:rsidRPr="00405303">
        <w:rPr>
          <w:bCs/>
          <w:color w:val="002060"/>
          <w:sz w:val="16"/>
          <w:szCs w:val="16"/>
        </w:rPr>
        <w:t xml:space="preserve">в., в тиши </w:t>
      </w:r>
      <w:proofErr w:type="gramStart"/>
      <w:r w:rsidRPr="00405303">
        <w:rPr>
          <w:bCs/>
          <w:color w:val="002060"/>
          <w:sz w:val="16"/>
          <w:szCs w:val="16"/>
        </w:rPr>
        <w:t>своих бедных кабинетов</w:t>
      </w:r>
      <w:proofErr w:type="gramEnd"/>
      <w:r w:rsidRPr="00405303">
        <w:rPr>
          <w:bCs/>
          <w:color w:val="002060"/>
          <w:sz w:val="16"/>
          <w:szCs w:val="16"/>
        </w:rPr>
        <w:t xml:space="preserve"> скромно создававших и разрабатывавших новые теории в области физико-математических наук. Этот ученый — Константин Эдуардович Циолковский, создавший теорию металлического управляемого аэростата, подвинувший вперед теорию аэроплана и занимающийся многими вопросами аэростатики, аэродинамики и физической астрономии (20120).</w:t>
      </w:r>
    </w:p>
    <w:p w14:paraId="4C102B7F" w14:textId="77777777" w:rsidR="003C16CD" w:rsidRPr="00405303" w:rsidRDefault="003C16CD" w:rsidP="00C15251">
      <w:pPr>
        <w:jc w:val="both"/>
        <w:rPr>
          <w:bCs/>
          <w:color w:val="002060"/>
          <w:sz w:val="16"/>
          <w:szCs w:val="16"/>
        </w:rPr>
      </w:pPr>
    </w:p>
    <w:p w14:paraId="614643B3" w14:textId="77777777" w:rsidR="00DB4D64" w:rsidRPr="00405303" w:rsidRDefault="00DB4D64" w:rsidP="00C15251">
      <w:pPr>
        <w:jc w:val="both"/>
        <w:rPr>
          <w:bCs/>
          <w:color w:val="002060"/>
          <w:sz w:val="16"/>
          <w:szCs w:val="16"/>
        </w:rPr>
      </w:pPr>
      <w:r w:rsidRPr="00405303">
        <w:rPr>
          <w:bCs/>
          <w:color w:val="002060"/>
          <w:sz w:val="16"/>
          <w:szCs w:val="16"/>
        </w:rPr>
        <w:t>В августе 1915 г. в Пскове с самолета «Илья Муромец» В-21 «тупоносый» (ИМ В-21 № 167, борт № II) экз. № 20, стратегический разведчик, тяжелый бомбардировщик был проведен опыт сбрасывания 25-пудовой (400 кг) бомбы.</w:t>
      </w:r>
    </w:p>
    <w:p w14:paraId="5FA02090" w14:textId="77777777" w:rsidR="00DB4D64" w:rsidRPr="00405303" w:rsidRDefault="00DB4D64" w:rsidP="00C15251">
      <w:pPr>
        <w:jc w:val="both"/>
        <w:rPr>
          <w:bCs/>
          <w:color w:val="002060"/>
          <w:sz w:val="16"/>
          <w:szCs w:val="16"/>
        </w:rPr>
      </w:pPr>
      <w:r w:rsidRPr="00405303">
        <w:rPr>
          <w:bCs/>
          <w:color w:val="002060"/>
          <w:sz w:val="16"/>
          <w:szCs w:val="16"/>
        </w:rPr>
        <w:t>Построен РБВЗ со следующим конструктивными особенностями:</w:t>
      </w:r>
    </w:p>
    <w:p w14:paraId="1D0E1BCA" w14:textId="77777777" w:rsidR="00DB4D64" w:rsidRPr="00405303" w:rsidRDefault="00DB4D64" w:rsidP="00C15251">
      <w:pPr>
        <w:jc w:val="both"/>
        <w:rPr>
          <w:bCs/>
          <w:color w:val="002060"/>
          <w:sz w:val="16"/>
          <w:szCs w:val="16"/>
        </w:rPr>
      </w:pPr>
      <w:r w:rsidRPr="00405303">
        <w:rPr>
          <w:bCs/>
          <w:color w:val="002060"/>
          <w:sz w:val="16"/>
          <w:szCs w:val="16"/>
        </w:rPr>
        <w:t>- силовая установка с четырьмя двигателями РБЗ-6 (РБВЗ-6, рядный 6-цилиндровый двигатель водяного охлаждения, номинальная мощность 150 л.с., часовой расход топлива на этом режиме 34,25 кг/ч, удельный расход – 0,23 кг/л.с.*ч.);</w:t>
      </w:r>
    </w:p>
    <w:p w14:paraId="414CE84E" w14:textId="77777777" w:rsidR="00DB4D64" w:rsidRPr="00405303" w:rsidRDefault="00DB4D64" w:rsidP="00C15251">
      <w:pPr>
        <w:jc w:val="both"/>
        <w:rPr>
          <w:bCs/>
          <w:color w:val="002060"/>
          <w:sz w:val="16"/>
          <w:szCs w:val="16"/>
        </w:rPr>
      </w:pPr>
      <w:r w:rsidRPr="00405303">
        <w:rPr>
          <w:bCs/>
          <w:color w:val="002060"/>
          <w:sz w:val="16"/>
          <w:szCs w:val="16"/>
        </w:rPr>
        <w:t>- топливная система с двумя большими цилиндрическими баками с оживальными законцовками над фюзеляжем;</w:t>
      </w:r>
    </w:p>
    <w:p w14:paraId="3E78BC99" w14:textId="77777777" w:rsidR="00DB4D64" w:rsidRPr="00405303" w:rsidRDefault="00DB4D64" w:rsidP="00C15251">
      <w:pPr>
        <w:jc w:val="both"/>
        <w:rPr>
          <w:bCs/>
          <w:color w:val="002060"/>
          <w:sz w:val="16"/>
          <w:szCs w:val="16"/>
        </w:rPr>
      </w:pPr>
      <w:r w:rsidRPr="00405303">
        <w:rPr>
          <w:bCs/>
          <w:color w:val="002060"/>
          <w:sz w:val="16"/>
          <w:szCs w:val="16"/>
        </w:rPr>
        <w:t>- масляная система с цилиндрическими баками с оживальными законцовками над моторами;</w:t>
      </w:r>
    </w:p>
    <w:p w14:paraId="38E7FF44" w14:textId="77777777" w:rsidR="00DB4D64" w:rsidRPr="00405303" w:rsidRDefault="00DB4D64" w:rsidP="00C15251">
      <w:pPr>
        <w:jc w:val="both"/>
        <w:rPr>
          <w:bCs/>
          <w:color w:val="002060"/>
          <w:sz w:val="16"/>
          <w:szCs w:val="16"/>
        </w:rPr>
      </w:pPr>
      <w:r w:rsidRPr="00405303">
        <w:rPr>
          <w:bCs/>
          <w:color w:val="002060"/>
          <w:sz w:val="16"/>
          <w:szCs w:val="16"/>
        </w:rPr>
        <w:t>- система охлаждения с двумя радиаторами на каждый мотор, установленными наклонно по бокам его задних частей (радиатор состоял из расширительного и конденсационного баков в виде сегментов диска по концам пакета прямоугольного сечения из латунных трубок, ставился широкой стороной сечения по потоку);</w:t>
      </w:r>
    </w:p>
    <w:p w14:paraId="3738AAB2" w14:textId="77777777" w:rsidR="00DB4D64" w:rsidRPr="00405303" w:rsidRDefault="00DB4D64" w:rsidP="00C15251">
      <w:pPr>
        <w:jc w:val="both"/>
        <w:rPr>
          <w:bCs/>
          <w:color w:val="002060"/>
          <w:sz w:val="16"/>
          <w:szCs w:val="16"/>
        </w:rPr>
      </w:pPr>
      <w:r w:rsidRPr="00405303">
        <w:rPr>
          <w:bCs/>
          <w:color w:val="002060"/>
          <w:sz w:val="16"/>
          <w:szCs w:val="16"/>
        </w:rPr>
        <w:t>- остекление кабины летчика с одним большим лобовым стеклом, открываемым поворотом вокруг горизонтальной оси примерно на 2/3 его высоты, 8 больших боковых стекол (2 из них – сдвижные), нескольких верхних стекол, 12 нижних боковых и 6 нижних горизонтальных стекол.</w:t>
      </w:r>
    </w:p>
    <w:p w14:paraId="13F94416" w14:textId="77777777" w:rsidR="00DB4D64" w:rsidRPr="00405303" w:rsidRDefault="00DB4D64" w:rsidP="00C15251">
      <w:pPr>
        <w:jc w:val="both"/>
        <w:rPr>
          <w:bCs/>
          <w:color w:val="002060"/>
          <w:sz w:val="16"/>
          <w:szCs w:val="16"/>
        </w:rPr>
      </w:pPr>
      <w:r w:rsidRPr="00405303">
        <w:rPr>
          <w:bCs/>
          <w:color w:val="002060"/>
          <w:sz w:val="16"/>
          <w:szCs w:val="16"/>
        </w:rPr>
        <w:t>29.07.15 г. (11.08.15 г. по н.ст.) принят капитаном Панкратьевым, который ранее командовал кораблями № 128 и 160.</w:t>
      </w:r>
    </w:p>
    <w:p w14:paraId="5CB5B62A" w14:textId="77777777" w:rsidR="00DB4D64" w:rsidRPr="00405303" w:rsidRDefault="00DB4D64" w:rsidP="00C15251">
      <w:pPr>
        <w:jc w:val="both"/>
        <w:rPr>
          <w:bCs/>
          <w:color w:val="002060"/>
          <w:sz w:val="16"/>
          <w:szCs w:val="16"/>
        </w:rPr>
      </w:pPr>
      <w:r w:rsidRPr="00405303">
        <w:rPr>
          <w:bCs/>
          <w:color w:val="002060"/>
          <w:sz w:val="16"/>
          <w:szCs w:val="16"/>
        </w:rPr>
        <w:t xml:space="preserve">В июле 1915 г. в условиях общего отступления русских войск в Польше в составе ЭВК перелетел на а/д Лида (Гродненская губерния Белоруссии), однако противник </w:t>
      </w:r>
      <w:proofErr w:type="gramStart"/>
      <w:r w:rsidRPr="00405303">
        <w:rPr>
          <w:bCs/>
          <w:color w:val="002060"/>
          <w:sz w:val="16"/>
          <w:szCs w:val="16"/>
        </w:rPr>
        <w:t>продолжал наступать</w:t>
      </w:r>
      <w:proofErr w:type="gramEnd"/>
      <w:r w:rsidRPr="00405303">
        <w:rPr>
          <w:bCs/>
          <w:color w:val="002060"/>
          <w:sz w:val="16"/>
          <w:szCs w:val="16"/>
        </w:rPr>
        <w:t xml:space="preserve"> и эта база тоже оказалась под угрозой захвата и ЭВК была вновь перебазирована – в Псков.</w:t>
      </w:r>
    </w:p>
    <w:p w14:paraId="421A4F9C" w14:textId="77777777" w:rsidR="00DB4D64" w:rsidRPr="00405303" w:rsidRDefault="00DB4D64" w:rsidP="00C15251">
      <w:pPr>
        <w:jc w:val="both"/>
        <w:rPr>
          <w:bCs/>
          <w:color w:val="002060"/>
          <w:sz w:val="16"/>
          <w:szCs w:val="16"/>
        </w:rPr>
      </w:pPr>
      <w:r w:rsidRPr="00405303">
        <w:rPr>
          <w:bCs/>
          <w:color w:val="002060"/>
          <w:sz w:val="16"/>
          <w:szCs w:val="16"/>
        </w:rPr>
        <w:t>В сентябре 1915 г. корабль был направлен на а/д Зегевольд.</w:t>
      </w:r>
    </w:p>
    <w:p w14:paraId="066CF229" w14:textId="77777777" w:rsidR="00DB4D64" w:rsidRPr="00405303" w:rsidRDefault="00DB4D64" w:rsidP="00C15251">
      <w:pPr>
        <w:jc w:val="both"/>
        <w:rPr>
          <w:bCs/>
          <w:color w:val="002060"/>
          <w:sz w:val="16"/>
          <w:szCs w:val="16"/>
        </w:rPr>
      </w:pPr>
      <w:r w:rsidRPr="00405303">
        <w:rPr>
          <w:bCs/>
          <w:color w:val="002060"/>
          <w:sz w:val="16"/>
          <w:szCs w:val="16"/>
        </w:rPr>
        <w:t>17.09.15 г. (30.09.15 г. по н.ст.) корабль совершил первый боевой вылет.</w:t>
      </w:r>
    </w:p>
    <w:p w14:paraId="1C92C43F" w14:textId="77777777" w:rsidR="00DB4D64" w:rsidRPr="00405303" w:rsidRDefault="00DB4D64" w:rsidP="00C15251">
      <w:pPr>
        <w:jc w:val="both"/>
        <w:rPr>
          <w:bCs/>
          <w:color w:val="002060"/>
          <w:sz w:val="16"/>
          <w:szCs w:val="16"/>
        </w:rPr>
      </w:pPr>
      <w:r w:rsidRPr="00405303">
        <w:rPr>
          <w:bCs/>
          <w:color w:val="002060"/>
          <w:sz w:val="16"/>
          <w:szCs w:val="16"/>
        </w:rPr>
        <w:lastRenderedPageBreak/>
        <w:t>В январе-феврале 1916 г. это был единственный боеспособный корабль ЭВК и за эти 2 месяца он сделал 4 вылета, сбросив 1440 кг бомб, летая с максимальной загрузкой. При этом была отмечена неспособность корабля идти на заданной боевой высоте 2500…3000 м, а ниже он мог быть легко настигнут самолетами противника и оказывался в зоне эффективного огня его артиллерии.</w:t>
      </w:r>
    </w:p>
    <w:p w14:paraId="457F64F3" w14:textId="77777777" w:rsidR="00DB4D64" w:rsidRPr="00405303" w:rsidRDefault="00DB4D64" w:rsidP="00C15251">
      <w:pPr>
        <w:jc w:val="both"/>
        <w:rPr>
          <w:bCs/>
          <w:color w:val="002060"/>
          <w:sz w:val="16"/>
          <w:szCs w:val="16"/>
        </w:rPr>
      </w:pPr>
      <w:r w:rsidRPr="00405303">
        <w:rPr>
          <w:bCs/>
          <w:color w:val="002060"/>
          <w:sz w:val="16"/>
          <w:szCs w:val="16"/>
        </w:rPr>
        <w:t>26.05.16 г. (08.06.16 г. по н.ст.) корабль совершил последний боевой вылет.</w:t>
      </w:r>
    </w:p>
    <w:p w14:paraId="4350A3BB" w14:textId="77777777" w:rsidR="00DB4D64" w:rsidRPr="00405303" w:rsidRDefault="00DB4D64" w:rsidP="00C15251">
      <w:pPr>
        <w:jc w:val="both"/>
        <w:rPr>
          <w:bCs/>
          <w:color w:val="002060"/>
          <w:sz w:val="16"/>
          <w:szCs w:val="16"/>
        </w:rPr>
      </w:pPr>
      <w:r w:rsidRPr="00405303">
        <w:rPr>
          <w:bCs/>
          <w:color w:val="002060"/>
          <w:sz w:val="16"/>
          <w:szCs w:val="16"/>
        </w:rPr>
        <w:t>Всего самолет совершил 17 боевых вылетов, прошел более 10000 км и сбросил около 300 бомб общим весом более 5424 кг (339 пудов) бомб.</w:t>
      </w:r>
    </w:p>
    <w:p w14:paraId="07A61487" w14:textId="77777777" w:rsidR="00DB4D64" w:rsidRPr="00405303" w:rsidRDefault="00DB4D64" w:rsidP="00C15251">
      <w:pPr>
        <w:jc w:val="both"/>
        <w:rPr>
          <w:bCs/>
          <w:color w:val="002060"/>
          <w:sz w:val="16"/>
          <w:szCs w:val="16"/>
          <w:lang w:bidi="en-US"/>
        </w:rPr>
      </w:pPr>
      <w:r w:rsidRPr="00405303">
        <w:rPr>
          <w:bCs/>
          <w:color w:val="002060"/>
          <w:sz w:val="16"/>
          <w:szCs w:val="16"/>
        </w:rPr>
        <w:t>Списан в июле 1916 г. (23563).</w:t>
      </w:r>
    </w:p>
    <w:p w14:paraId="096E3F7C" w14:textId="77777777" w:rsidR="00DB4D64" w:rsidRPr="00405303" w:rsidRDefault="00DB4D64" w:rsidP="00C15251">
      <w:pPr>
        <w:jc w:val="both"/>
        <w:rPr>
          <w:bCs/>
          <w:color w:val="002060"/>
          <w:sz w:val="16"/>
          <w:szCs w:val="16"/>
          <w:lang w:bidi="en-US"/>
        </w:rPr>
      </w:pPr>
    </w:p>
    <w:p w14:paraId="6586339D" w14:textId="77777777" w:rsidR="00DB4D64" w:rsidRPr="00405303" w:rsidRDefault="00DB4D64" w:rsidP="00C15251">
      <w:pPr>
        <w:jc w:val="both"/>
        <w:rPr>
          <w:bCs/>
          <w:color w:val="002060"/>
          <w:sz w:val="16"/>
          <w:szCs w:val="16"/>
        </w:rPr>
      </w:pPr>
      <w:r w:rsidRPr="00405303">
        <w:rPr>
          <w:bCs/>
          <w:color w:val="002060"/>
          <w:sz w:val="16"/>
          <w:szCs w:val="16"/>
        </w:rPr>
        <w:t>В августе 1915 г. Шидловский направил телеграмму в Главное управление Генерального штаба с предложением закупить для ЭВК 12 легких самолетов, в т.ч. оплатить уже поставленные, среди которых было три опытных экземпляра С-16.</w:t>
      </w:r>
    </w:p>
    <w:p w14:paraId="6876F762" w14:textId="77777777" w:rsidR="00DB4D64" w:rsidRPr="00405303" w:rsidRDefault="00DB4D64" w:rsidP="00C15251">
      <w:pPr>
        <w:jc w:val="both"/>
        <w:rPr>
          <w:bCs/>
          <w:color w:val="002060"/>
          <w:sz w:val="16"/>
          <w:szCs w:val="16"/>
        </w:rPr>
      </w:pPr>
      <w:r w:rsidRPr="00405303">
        <w:rPr>
          <w:bCs/>
          <w:color w:val="002060"/>
          <w:sz w:val="16"/>
          <w:szCs w:val="16"/>
        </w:rPr>
        <w:t>В то же время РБВЗ не справлялся со своевременными поставками самолетов, и он согласился поставить в ЭВК четыре дополнительных тяжелых самолета ИМ в счет оплаченных, но не сданных 45 легких самолетов производства РБВЗ (23557).</w:t>
      </w:r>
    </w:p>
    <w:p w14:paraId="36FD5347" w14:textId="77777777" w:rsidR="00DB4D64" w:rsidRPr="00405303" w:rsidRDefault="00DB4D64" w:rsidP="00C15251">
      <w:pPr>
        <w:jc w:val="both"/>
        <w:rPr>
          <w:bCs/>
          <w:color w:val="002060"/>
          <w:sz w:val="16"/>
          <w:szCs w:val="16"/>
        </w:rPr>
      </w:pPr>
    </w:p>
    <w:p w14:paraId="3F462BFC" w14:textId="77777777" w:rsidR="002452A3" w:rsidRPr="00405303" w:rsidRDefault="002452A3" w:rsidP="002452A3">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В августе 1915 г. А.С. Корзинщиков, который за 4 года ист</w:t>
      </w:r>
      <w:r w:rsidRPr="00405303">
        <w:rPr>
          <w:rStyle w:val="aa"/>
          <w:rFonts w:ascii="Times New Roman" w:hAnsi="Times New Roman"/>
          <w:color w:val="0070C0"/>
          <w:spacing w:val="0"/>
          <w:sz w:val="16"/>
          <w:szCs w:val="16"/>
        </w:rPr>
        <w:softHyphen/>
        <w:t>ратил на опыты 1500 рублей из личных средств и рассчитал, что на разработку черте</w:t>
      </w:r>
      <w:r w:rsidRPr="00405303">
        <w:rPr>
          <w:rStyle w:val="aa"/>
          <w:rFonts w:ascii="Times New Roman" w:hAnsi="Times New Roman"/>
          <w:color w:val="0070C0"/>
          <w:spacing w:val="0"/>
          <w:sz w:val="16"/>
          <w:szCs w:val="16"/>
        </w:rPr>
        <w:softHyphen/>
        <w:t>жей вертолета и проведение дополнительных экспериментальных исс</w:t>
      </w:r>
      <w:r w:rsidRPr="00405303">
        <w:rPr>
          <w:rStyle w:val="aa"/>
          <w:rFonts w:ascii="Times New Roman" w:hAnsi="Times New Roman"/>
          <w:color w:val="0070C0"/>
          <w:spacing w:val="0"/>
          <w:sz w:val="16"/>
          <w:szCs w:val="16"/>
        </w:rPr>
        <w:softHyphen/>
        <w:t>ледований требовалось еще 1000 рублей, а на постройку одно- двухмест</w:t>
      </w:r>
      <w:r w:rsidRPr="00405303">
        <w:rPr>
          <w:rStyle w:val="aa"/>
          <w:rFonts w:ascii="Times New Roman" w:hAnsi="Times New Roman"/>
          <w:color w:val="0070C0"/>
          <w:spacing w:val="0"/>
          <w:sz w:val="16"/>
          <w:szCs w:val="16"/>
        </w:rPr>
        <w:softHyphen/>
        <w:t>ного вертолета с двигателем «Гном» в 60—80 л.с. — еще 10—15 тысяч, обратился в Центральный военно-промышленный комитет. Он обещал построить вертолет за 3—4 месяца. Однако эксперты отдела изобретений комитета отказали Корзинщикову в помощи: «При современном состоянии техники воздухо</w:t>
      </w:r>
      <w:r w:rsidRPr="00405303">
        <w:rPr>
          <w:rStyle w:val="aa"/>
          <w:rFonts w:ascii="Times New Roman" w:hAnsi="Times New Roman"/>
          <w:color w:val="0070C0"/>
          <w:spacing w:val="0"/>
          <w:sz w:val="16"/>
          <w:szCs w:val="16"/>
        </w:rPr>
        <w:softHyphen/>
        <w:t>плавания идея создания летательного аппарата геликоптерного типа представляется вряд ли осуществимой. Кроме того, устойчивость предло</w:t>
      </w:r>
      <w:r w:rsidRPr="00405303">
        <w:rPr>
          <w:rStyle w:val="aa"/>
          <w:rFonts w:ascii="Times New Roman" w:hAnsi="Times New Roman"/>
          <w:color w:val="0070C0"/>
          <w:spacing w:val="0"/>
          <w:sz w:val="16"/>
          <w:szCs w:val="16"/>
        </w:rPr>
        <w:softHyphen/>
        <w:t>женного Вами аппарата ничем не обеспечена. Ввиду сказанного отдел вашим изобретением пока не предполагает воспользоваться» (26622).</w:t>
      </w:r>
    </w:p>
    <w:p w14:paraId="021241B6" w14:textId="77777777" w:rsidR="002452A3" w:rsidRPr="00405303" w:rsidRDefault="002452A3" w:rsidP="002452A3">
      <w:pPr>
        <w:jc w:val="both"/>
        <w:rPr>
          <w:color w:val="0070C0"/>
          <w:sz w:val="16"/>
          <w:szCs w:val="16"/>
        </w:rPr>
      </w:pPr>
    </w:p>
    <w:p w14:paraId="385F7522"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411D604F" w14:textId="77777777" w:rsidR="004B4E35" w:rsidRPr="00405303" w:rsidRDefault="004B4E35" w:rsidP="00C15251">
      <w:pPr>
        <w:jc w:val="both"/>
        <w:rPr>
          <w:bCs/>
          <w:i/>
          <w:color w:val="002060"/>
          <w:sz w:val="16"/>
          <w:szCs w:val="16"/>
        </w:rPr>
      </w:pPr>
    </w:p>
    <w:p w14:paraId="1F049111" w14:textId="77777777" w:rsidR="00B055CD" w:rsidRPr="00405303" w:rsidRDefault="00B055CD" w:rsidP="00C15251">
      <w:pPr>
        <w:pStyle w:val="p1"/>
        <w:spacing w:before="0" w:beforeAutospacing="0" w:after="0" w:afterAutospacing="0"/>
        <w:jc w:val="both"/>
        <w:rPr>
          <w:bCs/>
          <w:color w:val="002060"/>
          <w:sz w:val="16"/>
          <w:szCs w:val="16"/>
        </w:rPr>
      </w:pPr>
      <w:r w:rsidRPr="00405303">
        <w:rPr>
          <w:bCs/>
          <w:color w:val="002060"/>
          <w:sz w:val="16"/>
          <w:szCs w:val="16"/>
        </w:rPr>
        <w:t>В августе 1915 г. НА. Бердяев осудил социал-демократов за то, что они отказались участвовать в думской военно-морской комиссии и тем самым — «не берут на себя ответственности за оборону страны». Правые в Думе пытались заманить рабочих в Особое совещание по обороне, заявив, что только при условии их участия одобрят включение в его состав представителей ЦВПК (18409).</w:t>
      </w:r>
    </w:p>
    <w:p w14:paraId="0D3DEEE7" w14:textId="77777777" w:rsidR="00B055CD" w:rsidRPr="00405303" w:rsidRDefault="00B055CD" w:rsidP="00C15251">
      <w:pPr>
        <w:pStyle w:val="p1"/>
        <w:spacing w:before="0" w:beforeAutospacing="0" w:after="0" w:afterAutospacing="0"/>
        <w:jc w:val="both"/>
        <w:rPr>
          <w:bCs/>
          <w:color w:val="002060"/>
          <w:sz w:val="16"/>
          <w:szCs w:val="16"/>
        </w:rPr>
      </w:pPr>
    </w:p>
    <w:p w14:paraId="1C02D076" w14:textId="77777777" w:rsidR="00B055CD" w:rsidRPr="00405303" w:rsidRDefault="00B055CD" w:rsidP="00C15251">
      <w:pPr>
        <w:jc w:val="both"/>
        <w:rPr>
          <w:bCs/>
          <w:color w:val="002060"/>
          <w:sz w:val="16"/>
          <w:szCs w:val="16"/>
        </w:rPr>
      </w:pPr>
      <w:r w:rsidRPr="00405303">
        <w:rPr>
          <w:bCs/>
          <w:color w:val="002060"/>
          <w:sz w:val="16"/>
          <w:szCs w:val="16"/>
        </w:rPr>
        <w:t>В августе 1915 г. Н.А. Бердяев осудил социалдемократов за то, что они отказались участвовать в Особом совещании по обороне и тем самым — «брать на себя ответственность за оборону страны» (в это Совещание, выступая в Думе, заманивал рабочих — в лице их представителей в Центральном военно-промышленном комитете — Н.Е. Марков). Этот шаг Бердяев расценил как «классический образец совершенной отвлеченности и формальной абсолютности в политике» (18408).</w:t>
      </w:r>
    </w:p>
    <w:p w14:paraId="33040FB7" w14:textId="77777777" w:rsidR="00B055CD" w:rsidRPr="00405303" w:rsidRDefault="00B055CD" w:rsidP="00C15251">
      <w:pPr>
        <w:pStyle w:val="ae"/>
        <w:spacing w:before="0" w:beforeAutospacing="0" w:after="0" w:afterAutospacing="0"/>
        <w:jc w:val="both"/>
        <w:rPr>
          <w:bCs/>
          <w:color w:val="002060"/>
          <w:sz w:val="16"/>
          <w:szCs w:val="16"/>
        </w:rPr>
      </w:pPr>
      <w:r w:rsidRPr="00405303">
        <w:rPr>
          <w:bCs/>
          <w:color w:val="002060"/>
          <w:sz w:val="16"/>
          <w:szCs w:val="16"/>
        </w:rPr>
        <w:t>В августе 1915 г. представлении военного министра в Государственную думу по поводу строительства казенных оружейного и сталелитейного заводов говорилось: «Однако нам неизвестна конъюнктура будущей войны. В основание системы питания запасов оружия должно быть положено пополнение только внутренними силами. Необходимо приступить уже сейчас к развитию оружейного дела в России» (18391).</w:t>
      </w:r>
    </w:p>
    <w:p w14:paraId="3DDBB8F2" w14:textId="77777777" w:rsidR="00B055CD" w:rsidRPr="00405303" w:rsidRDefault="00B055CD" w:rsidP="00C15251">
      <w:pPr>
        <w:pStyle w:val="ae"/>
        <w:spacing w:before="0" w:beforeAutospacing="0" w:after="0" w:afterAutospacing="0"/>
        <w:jc w:val="both"/>
        <w:rPr>
          <w:bCs/>
          <w:color w:val="002060"/>
          <w:sz w:val="16"/>
          <w:szCs w:val="16"/>
        </w:rPr>
      </w:pPr>
    </w:p>
    <w:p w14:paraId="3152F11C" w14:textId="15E0DDDD" w:rsidR="00B055CD" w:rsidRPr="00405303" w:rsidRDefault="00B055CD" w:rsidP="00C15251">
      <w:pPr>
        <w:jc w:val="both"/>
        <w:rPr>
          <w:bCs/>
          <w:color w:val="002060"/>
          <w:sz w:val="16"/>
          <w:szCs w:val="16"/>
        </w:rPr>
      </w:pPr>
      <w:r w:rsidRPr="00405303">
        <w:rPr>
          <w:bCs/>
          <w:color w:val="002060"/>
          <w:sz w:val="16"/>
          <w:szCs w:val="16"/>
        </w:rPr>
        <w:t>В августе 1915 г. Невский судостроительный завод обследовала специальная комиссия Особого совещания по обороне, которая установила невыполнение заказа морского ведомства на миноносцы. В заключении комиссии указывалось, что завод "в общем по своим техническим средствам находится в хорошем состоянии и мог бы легко справится со всеми предъявленными к нему требованиями, причиной же хронического запаздывания в исполнении заказов является недостаточное внимание к нуждам флота"</w:t>
      </w:r>
      <w:proofErr w:type="gramStart"/>
      <w:r w:rsidRPr="00405303">
        <w:rPr>
          <w:bCs/>
          <w:color w:val="002060"/>
          <w:sz w:val="16"/>
          <w:szCs w:val="16"/>
          <w:vertAlign w:val="superscript"/>
        </w:rPr>
        <w:t>18</w:t>
      </w:r>
      <w:r w:rsidR="00DB4D64" w:rsidRPr="00405303">
        <w:rPr>
          <w:bCs/>
          <w:color w:val="002060"/>
          <w:sz w:val="16"/>
          <w:szCs w:val="16"/>
        </w:rPr>
        <w:t xml:space="preserve"> </w:t>
      </w:r>
      <w:r w:rsidRPr="00405303">
        <w:rPr>
          <w:bCs/>
          <w:color w:val="002060"/>
          <w:sz w:val="16"/>
          <w:szCs w:val="16"/>
        </w:rPr>
        <w:t>.</w:t>
      </w:r>
      <w:proofErr w:type="gramEnd"/>
      <w:r w:rsidRPr="00405303">
        <w:rPr>
          <w:bCs/>
          <w:color w:val="002060"/>
          <w:sz w:val="16"/>
          <w:szCs w:val="16"/>
        </w:rPr>
        <w:t xml:space="preserve"> Вместе с тем заказы на снаряды выполнялись вполне удовлетворительно. На 1 февраля 1916 г. завод поставил Главному артиллерийскому управлению 269 тыс. снарядов вместо полагавшихся по контракту 260 тыс (18381).</w:t>
      </w:r>
    </w:p>
    <w:p w14:paraId="55F886CD" w14:textId="77777777" w:rsidR="00B055CD" w:rsidRPr="00405303" w:rsidRDefault="00B055CD" w:rsidP="00C15251">
      <w:pPr>
        <w:jc w:val="both"/>
        <w:rPr>
          <w:bCs/>
          <w:color w:val="002060"/>
          <w:sz w:val="16"/>
          <w:szCs w:val="16"/>
        </w:rPr>
      </w:pPr>
    </w:p>
    <w:p w14:paraId="3A585930" w14:textId="77777777" w:rsidR="00B055CD" w:rsidRPr="00405303" w:rsidRDefault="00B055CD" w:rsidP="00C15251">
      <w:pPr>
        <w:jc w:val="both"/>
        <w:rPr>
          <w:bCs/>
          <w:color w:val="002060"/>
          <w:sz w:val="16"/>
          <w:szCs w:val="16"/>
        </w:rPr>
      </w:pPr>
      <w:r w:rsidRPr="00405303">
        <w:rPr>
          <w:bCs/>
          <w:color w:val="002060"/>
          <w:sz w:val="16"/>
          <w:szCs w:val="16"/>
        </w:rPr>
        <w:t>В августе 1915 г. был принят закон о создании четырёх особых совещаний: по обороне, топливу, перевозкам и продовольствию. Во главе этих совещаний были поставлены соответствующие министры: военный, торговли и промышленности, путей сообщения и земледелия. Особому совещанию по обороне, в состав которого привлекались представители буржуазии, были присвоены высшие функции по регулированию мобилизованного хозяйства (18381).</w:t>
      </w:r>
    </w:p>
    <w:p w14:paraId="6A6263CC" w14:textId="77777777" w:rsidR="00B055CD" w:rsidRPr="00405303" w:rsidRDefault="00B055CD" w:rsidP="00C15251">
      <w:pPr>
        <w:jc w:val="both"/>
        <w:rPr>
          <w:bCs/>
          <w:color w:val="002060"/>
          <w:sz w:val="16"/>
          <w:szCs w:val="16"/>
        </w:rPr>
      </w:pPr>
    </w:p>
    <w:p w14:paraId="5B9B6F63" w14:textId="77777777" w:rsidR="00B055CD" w:rsidRPr="00405303" w:rsidRDefault="00B055CD" w:rsidP="00C15251">
      <w:pPr>
        <w:pStyle w:val="p1"/>
        <w:spacing w:before="0" w:beforeAutospacing="0" w:after="0" w:afterAutospacing="0"/>
        <w:jc w:val="both"/>
        <w:rPr>
          <w:bCs/>
          <w:color w:val="002060"/>
          <w:sz w:val="16"/>
          <w:szCs w:val="16"/>
        </w:rPr>
      </w:pPr>
      <w:r w:rsidRPr="00405303">
        <w:rPr>
          <w:bCs/>
          <w:color w:val="002060"/>
          <w:sz w:val="16"/>
          <w:szCs w:val="16"/>
        </w:rPr>
        <w:t>В августе 1915 г., как установил А.Л. Сидоров, было принято и утверждено царем окончательное решение о постройке завода на Суне; председателем строительной комиссии был назначен Забудский, он же составил проект завода. «В конце 1915 г. военным ведомством было приступлено к строительству завода, — писал Сидоров. — Однако более детальные данные о строительстве этого завода отсутствуют», известно лишь, что «пока строился небольшой опытный завод». Сооружаемый «небольшой» завод, даже в первоначальном проекте рассчитанный на полное удовлетворение потребности всех пороховых заводов, к августу 1916 г. обрел иной проектируемый масштаб, и стоимость сооружения его с 6 млн. возросла до 26 146 679 руб. (к 1917 г. из этой суммы было истрачено 1,5 млн.).</w:t>
      </w:r>
    </w:p>
    <w:p w14:paraId="750D007A" w14:textId="77777777" w:rsidR="00B055CD" w:rsidRPr="00405303" w:rsidRDefault="00B055CD" w:rsidP="00C15251">
      <w:pPr>
        <w:pStyle w:val="p1"/>
        <w:spacing w:before="0" w:beforeAutospacing="0" w:after="0" w:afterAutospacing="0"/>
        <w:jc w:val="both"/>
        <w:rPr>
          <w:bCs/>
          <w:color w:val="002060"/>
          <w:sz w:val="16"/>
          <w:szCs w:val="16"/>
        </w:rPr>
      </w:pPr>
      <w:r w:rsidRPr="00405303">
        <w:rPr>
          <w:bCs/>
          <w:color w:val="002060"/>
          <w:sz w:val="16"/>
          <w:szCs w:val="16"/>
        </w:rPr>
        <w:t>Указанный Сидоровым пробел заполнил Н. Стоун. В ряду приведенных им примеров того, в чем «несомненно» проявилась «реальная» и «значительная мощь» российской экономики, Стоун назвал и завод «русской постройки», «работающий по методу Габера — Боша», на Суне, который якобы был готов к концу 1916 г. «и работал… Даже в Германии это было последнее слово научной технологии в данной области».</w:t>
      </w:r>
    </w:p>
    <w:p w14:paraId="0ED84E85" w14:textId="77777777" w:rsidR="00B055CD" w:rsidRPr="00405303" w:rsidRDefault="00B055CD" w:rsidP="00C15251">
      <w:pPr>
        <w:pStyle w:val="p1"/>
        <w:spacing w:before="0" w:beforeAutospacing="0" w:after="0" w:afterAutospacing="0"/>
        <w:jc w:val="both"/>
        <w:rPr>
          <w:bCs/>
          <w:color w:val="002060"/>
          <w:sz w:val="16"/>
          <w:szCs w:val="16"/>
        </w:rPr>
      </w:pPr>
      <w:r w:rsidRPr="00405303">
        <w:rPr>
          <w:bCs/>
          <w:color w:val="002060"/>
          <w:sz w:val="16"/>
          <w:szCs w:val="16"/>
        </w:rPr>
        <w:t>Другой автор в исследовании о гидросооружении на Суне тоже утверждал, что получилось «успешное решение вопроса», что «научно-техническая мысль России независимо от заграницы обеспечила создание эффективного и экономичного способа», что «этот успех является еще одним подтверждением высокого уровня русской науки, сумевшей в неблагоприятных условиях общей экономической отсталости страны добиться разрешения еще одной технической проблемы, имеющей мировое значение». Но возведение агрегата на Суне он расценивал как «неудачу»: царизм «оказался не в состоянии осуществить планы освоения гидроресурсов Карелии и довести до конца крупнейшую в стране гидростройку» (18409).</w:t>
      </w:r>
    </w:p>
    <w:p w14:paraId="1B490415" w14:textId="77777777" w:rsidR="00B055CD" w:rsidRPr="00405303" w:rsidRDefault="00B055CD" w:rsidP="00C15251">
      <w:pPr>
        <w:pStyle w:val="p1"/>
        <w:spacing w:before="0" w:beforeAutospacing="0" w:after="0" w:afterAutospacing="0"/>
        <w:jc w:val="both"/>
        <w:rPr>
          <w:bCs/>
          <w:color w:val="002060"/>
          <w:sz w:val="16"/>
          <w:szCs w:val="16"/>
        </w:rPr>
      </w:pPr>
    </w:p>
    <w:p w14:paraId="5B2E6335" w14:textId="77777777" w:rsidR="00B055CD" w:rsidRPr="00405303" w:rsidRDefault="00B055CD" w:rsidP="00C15251">
      <w:pPr>
        <w:pStyle w:val="ae"/>
        <w:spacing w:before="0" w:beforeAutospacing="0" w:after="0" w:afterAutospacing="0"/>
        <w:jc w:val="both"/>
        <w:rPr>
          <w:bCs/>
          <w:color w:val="002060"/>
          <w:sz w:val="16"/>
          <w:szCs w:val="16"/>
          <w:vertAlign w:val="superscript"/>
        </w:rPr>
      </w:pPr>
      <w:r w:rsidRPr="00405303">
        <w:rPr>
          <w:bCs/>
          <w:color w:val="002060"/>
          <w:sz w:val="16"/>
          <w:szCs w:val="16"/>
        </w:rPr>
        <w:t>В августе 1915 г. помощник военного министра А. П. Вернандер мог заявить, что теперь «мы имеем достаточное количество русского толуола».</w:t>
      </w:r>
      <w:hyperlink r:id="rId58" w:anchor="78p" w:history="1">
        <w:r w:rsidRPr="00405303">
          <w:rPr>
            <w:rStyle w:val="ad"/>
            <w:bCs/>
            <w:color w:val="002060"/>
            <w:sz w:val="16"/>
            <w:szCs w:val="16"/>
            <w:vertAlign w:val="superscript"/>
          </w:rPr>
          <w:t>78</w:t>
        </w:r>
      </w:hyperlink>
    </w:p>
    <w:p w14:paraId="1DA0D055" w14:textId="77777777" w:rsidR="00B055CD" w:rsidRPr="00405303" w:rsidRDefault="00B055CD" w:rsidP="00C15251">
      <w:pPr>
        <w:pStyle w:val="ae"/>
        <w:spacing w:before="0" w:beforeAutospacing="0" w:after="0" w:afterAutospacing="0"/>
        <w:jc w:val="both"/>
        <w:rPr>
          <w:bCs/>
          <w:color w:val="002060"/>
          <w:sz w:val="16"/>
          <w:szCs w:val="16"/>
        </w:rPr>
      </w:pPr>
      <w:r w:rsidRPr="00405303">
        <w:rPr>
          <w:bCs/>
          <w:color w:val="002060"/>
          <w:sz w:val="16"/>
          <w:szCs w:val="16"/>
        </w:rPr>
        <w:t>Однако не следует переоценивать достижений Химического комитета. Потребность во взрывчатых веществах росла еще быстрее, чем в порохе. Два завода взрывчатых веществ — Охтенский и Самарский — давали в 1914 г. 75 тыс. пуд. тротила в год; потребность определилась к маю 1915 г. в 165 тыс. пуд. в месяц, а позднее даже в 258 тыс. пуд. взрывчатых веществ</w:t>
      </w:r>
      <w:bookmarkStart w:id="228" w:name="79r"/>
      <w:bookmarkEnd w:id="228"/>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"79p"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79</w:t>
      </w:r>
      <w:r w:rsidR="00617EB0" w:rsidRPr="00405303">
        <w:rPr>
          <w:bCs/>
          <w:color w:val="002060"/>
          <w:sz w:val="16"/>
          <w:szCs w:val="16"/>
          <w:vertAlign w:val="superscript"/>
        </w:rPr>
        <w:fldChar w:fldCharType="end"/>
      </w:r>
      <w:r w:rsidRPr="00405303">
        <w:rPr>
          <w:bCs/>
          <w:color w:val="002060"/>
          <w:sz w:val="16"/>
          <w:szCs w:val="16"/>
        </w:rPr>
        <w:t>. Поэтому недостаток взрывчатых веществ остро чувствовался как в 1914, так и в 1915 г. Троекратное расширение казенных заводов взрывчатых веществ прибавило каплю в море</w:t>
      </w:r>
      <w:bookmarkStart w:id="229" w:name="80r"/>
      <w:bookmarkEnd w:id="229"/>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"80p"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80</w:t>
      </w:r>
      <w:r w:rsidR="00617EB0" w:rsidRPr="00405303">
        <w:rPr>
          <w:bCs/>
          <w:color w:val="002060"/>
          <w:sz w:val="16"/>
          <w:szCs w:val="16"/>
          <w:vertAlign w:val="superscript"/>
        </w:rPr>
        <w:fldChar w:fldCharType="end"/>
      </w:r>
      <w:r w:rsidRPr="00405303">
        <w:rPr>
          <w:bCs/>
          <w:color w:val="002060"/>
          <w:sz w:val="16"/>
          <w:szCs w:val="16"/>
        </w:rPr>
        <w:t>. Ипатьев ранее чем в других областях военного хозяйства привлек частную промышленность (более 90 заводов) к изготовлению взрывчатых веществ, особенно серной кислоты. Он выдал им огромные заказы — на 2805 тыс. пуд., в счет которых за 9 месяцев 1915 г. — до 1 декабря — они поставили 320,5 тыс. пуд. разного рода взрывчатых веществ.</w:t>
      </w:r>
    </w:p>
    <w:p w14:paraId="3D650BD2" w14:textId="77777777" w:rsidR="00B055CD" w:rsidRPr="00405303" w:rsidRDefault="00B055CD" w:rsidP="00C15251">
      <w:pPr>
        <w:pStyle w:val="ae"/>
        <w:spacing w:before="0" w:beforeAutospacing="0" w:after="0" w:afterAutospacing="0"/>
        <w:jc w:val="both"/>
        <w:rPr>
          <w:bCs/>
          <w:color w:val="002060"/>
          <w:sz w:val="16"/>
          <w:szCs w:val="16"/>
        </w:rPr>
      </w:pPr>
      <w:r w:rsidRPr="00405303">
        <w:rPr>
          <w:bCs/>
          <w:color w:val="002060"/>
          <w:sz w:val="16"/>
          <w:szCs w:val="16"/>
        </w:rPr>
        <w:t>Все заводы вместе давали всего только 300 тыс. трубок в месяц, что равнялось, примерно, количеству изготовлявшихся осенью 1914 г. корпусов и шрапнелей. «Поэтому если бы удалось усилить производство шрапнелей на наших заводах, то это пользы бы не принесло, так как за недостатком дистанционных трубок нельзя было бы готовить патронов. Это и было причиною того, что заказы в Англии (Виккерсу) и в Америке (Клергу) были даны не на снаряды, а на патроны»</w:t>
      </w:r>
      <w:bookmarkStart w:id="230" w:name="81r"/>
      <w:bookmarkEnd w:id="230"/>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"81p"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81</w:t>
      </w:r>
      <w:r w:rsidR="00617EB0" w:rsidRPr="00405303">
        <w:rPr>
          <w:bCs/>
          <w:color w:val="002060"/>
          <w:sz w:val="16"/>
          <w:szCs w:val="16"/>
          <w:vertAlign w:val="superscript"/>
        </w:rPr>
        <w:fldChar w:fldCharType="end"/>
      </w:r>
      <w:r w:rsidRPr="00405303">
        <w:rPr>
          <w:bCs/>
          <w:color w:val="002060"/>
          <w:sz w:val="16"/>
          <w:szCs w:val="16"/>
        </w:rPr>
        <w:t>. Одновременно были приняты меры к увеличению производства трубок на существовавших заводах; к производству трубок были привлечены заводы Столль в Вороненке и Метальникова — в Петрограде. Оба завода получили заказ на 1,75 млн. трубок</w:t>
      </w:r>
      <w:bookmarkStart w:id="231" w:name="82r"/>
      <w:bookmarkEnd w:id="231"/>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"82p"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82</w:t>
      </w:r>
      <w:r w:rsidR="00617EB0" w:rsidRPr="00405303">
        <w:rPr>
          <w:bCs/>
          <w:color w:val="002060"/>
          <w:sz w:val="16"/>
          <w:szCs w:val="16"/>
          <w:vertAlign w:val="superscript"/>
        </w:rPr>
        <w:fldChar w:fldCharType="end"/>
      </w:r>
      <w:r w:rsidRPr="00405303">
        <w:rPr>
          <w:bCs/>
          <w:color w:val="002060"/>
          <w:sz w:val="16"/>
          <w:szCs w:val="16"/>
        </w:rPr>
        <w:t>, но они нуждались еще в дооборудовании и строительстве, поэтому поставка трубок начиналась ими в мае и августе 1915 г. Заготовка трубок не была должным образом налажена и, как показали события весны 1915 г., снабжение трубками причинило немало хлопот нашему артиллерийскому ведомству. Недостаточность трубок все время сказывалась на снабжении фронта снарядами (18524).</w:t>
      </w:r>
    </w:p>
    <w:p w14:paraId="688340F1" w14:textId="77777777" w:rsidR="00B055CD" w:rsidRPr="00405303" w:rsidRDefault="00B055CD" w:rsidP="00C15251">
      <w:pPr>
        <w:pStyle w:val="ae"/>
        <w:spacing w:before="0" w:beforeAutospacing="0" w:after="0" w:afterAutospacing="0"/>
        <w:jc w:val="both"/>
        <w:rPr>
          <w:bCs/>
          <w:color w:val="002060"/>
          <w:sz w:val="16"/>
          <w:szCs w:val="16"/>
        </w:rPr>
      </w:pPr>
    </w:p>
    <w:p w14:paraId="0E5F4C99" w14:textId="09B3D56C" w:rsidR="004B4E35" w:rsidRPr="00405303" w:rsidRDefault="005A78DA" w:rsidP="00C15251">
      <w:pPr>
        <w:shd w:val="clear" w:color="auto" w:fill="FFFFFF"/>
        <w:jc w:val="both"/>
        <w:rPr>
          <w:bCs/>
          <w:color w:val="002060"/>
          <w:sz w:val="16"/>
          <w:szCs w:val="16"/>
        </w:rPr>
      </w:pPr>
      <w:r w:rsidRPr="00405303">
        <w:rPr>
          <w:bCs/>
          <w:color w:val="002060"/>
          <w:sz w:val="16"/>
          <w:szCs w:val="16"/>
        </w:rPr>
        <w:lastRenderedPageBreak/>
        <w:t>В</w:t>
      </w:r>
      <w:r w:rsidR="009E6F82" w:rsidRPr="00405303">
        <w:rPr>
          <w:bCs/>
          <w:color w:val="002060"/>
          <w:sz w:val="16"/>
          <w:szCs w:val="16"/>
        </w:rPr>
        <w:t xml:space="preserve"> августе 1915 г. были созданы четыре особых совещания: по обороне, топли</w:t>
      </w:r>
      <w:r w:rsidR="009E6F82" w:rsidRPr="00405303">
        <w:rPr>
          <w:bCs/>
          <w:color w:val="002060"/>
          <w:sz w:val="16"/>
          <w:szCs w:val="16"/>
        </w:rPr>
        <w:softHyphen/>
        <w:t>ву, перевозкам и продовольствию. Главным среди них было Особое совещание по обороне, председателем которого был военный ми</w:t>
      </w:r>
      <w:r w:rsidR="009E6F82" w:rsidRPr="00405303">
        <w:rPr>
          <w:bCs/>
          <w:color w:val="002060"/>
          <w:sz w:val="16"/>
          <w:szCs w:val="16"/>
        </w:rPr>
        <w:softHyphen/>
        <w:t xml:space="preserve">нистр. Вплоть до Февральской революции 1917 г. Особое совещание по обороне являлось «высшим государственным установлением», осуществлявшим мобилизацию всей промышленности, организацию ее работы </w:t>
      </w:r>
      <w:proofErr w:type="gramStart"/>
      <w:r w:rsidR="009E6F82" w:rsidRPr="00405303">
        <w:rPr>
          <w:bCs/>
          <w:color w:val="002060"/>
          <w:sz w:val="16"/>
          <w:szCs w:val="16"/>
        </w:rPr>
        <w:t>по боевому</w:t>
      </w:r>
      <w:proofErr w:type="gramEnd"/>
      <w:r w:rsidR="009E6F82" w:rsidRPr="00405303">
        <w:rPr>
          <w:bCs/>
          <w:color w:val="002060"/>
          <w:sz w:val="16"/>
          <w:szCs w:val="16"/>
        </w:rPr>
        <w:t xml:space="preserve"> и материальному снабжению армии [6, с. 71].</w:t>
      </w:r>
    </w:p>
    <w:p w14:paraId="790A446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Наряду с Особым совещанием по обороне известную роль в мо</w:t>
      </w:r>
      <w:r w:rsidRPr="00405303">
        <w:rPr>
          <w:bCs/>
          <w:color w:val="002060"/>
          <w:sz w:val="16"/>
          <w:szCs w:val="16"/>
        </w:rPr>
        <w:softHyphen/>
        <w:t>билизации средней и мелкой промышленности на выполнение воен</w:t>
      </w:r>
      <w:r w:rsidRPr="00405303">
        <w:rPr>
          <w:bCs/>
          <w:color w:val="002060"/>
          <w:sz w:val="16"/>
          <w:szCs w:val="16"/>
        </w:rPr>
        <w:softHyphen/>
        <w:t>ных заказов сыграли Военно-промышленные комитеты (ВПК), ко</w:t>
      </w:r>
      <w:r w:rsidRPr="00405303">
        <w:rPr>
          <w:bCs/>
          <w:color w:val="002060"/>
          <w:sz w:val="16"/>
          <w:szCs w:val="16"/>
        </w:rPr>
        <w:softHyphen/>
        <w:t>торые представляли собой общественные организации, созданные в 1915 г. по решению 9-го Всероссийского съезда представителей тор</w:t>
      </w:r>
      <w:r w:rsidRPr="00405303">
        <w:rPr>
          <w:bCs/>
          <w:color w:val="002060"/>
          <w:sz w:val="16"/>
          <w:szCs w:val="16"/>
        </w:rPr>
        <w:softHyphen/>
        <w:t>говли и промышленности для содействия правительству «в деле снабжения армии и флота всеми необходимыми предметами снаря</w:t>
      </w:r>
      <w:r w:rsidRPr="00405303">
        <w:rPr>
          <w:bCs/>
          <w:color w:val="002060"/>
          <w:sz w:val="16"/>
          <w:szCs w:val="16"/>
        </w:rPr>
        <w:softHyphen/>
        <w:t>жения и довольствия». Создавая ВПК, промышленники стремились взять руководство экономикой в свои руки, но встретили противодействие царского правительства. ВПК стали лишь посредниками между государством и частной промышленностью (5484).</w:t>
      </w:r>
    </w:p>
    <w:p w14:paraId="19EEED73" w14:textId="77777777" w:rsidR="004B4E35" w:rsidRPr="00405303" w:rsidRDefault="004B4E35" w:rsidP="00C15251">
      <w:pPr>
        <w:shd w:val="clear" w:color="auto" w:fill="FFFFFF"/>
        <w:jc w:val="both"/>
        <w:rPr>
          <w:bCs/>
          <w:color w:val="002060"/>
          <w:sz w:val="16"/>
          <w:szCs w:val="16"/>
        </w:rPr>
      </w:pPr>
    </w:p>
    <w:p w14:paraId="36744F28" w14:textId="37676072" w:rsidR="004B4E35" w:rsidRPr="00405303" w:rsidRDefault="002A10E8"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августе и сентябре 1915 г., ярко вырисовывается бессилие Совета министров в большинстве вопросов управления страной. Мы не будем здесь останавливаться на подробном рассмотрении причин этого бессилия. Их много, и многие из них обусловливаются событиями войны. Об этом мы будем говорить в III части нашего труда. Здесь же мы укажем на главную, которая резко сформулирована самими министрами в последних заседаниях. «Правительство не может висеть в безвоздушном пространстве и опираться на одну полицию», — говорит в заседании 8 сентября министр иностранных дел С. Д. Сазонов. </w:t>
      </w:r>
    </w:p>
    <w:p w14:paraId="270D7BA3" w14:textId="77777777" w:rsidR="004B4E35" w:rsidRPr="00405303" w:rsidRDefault="009E6F82" w:rsidP="00C15251">
      <w:pPr>
        <w:jc w:val="both"/>
        <w:rPr>
          <w:bCs/>
          <w:color w:val="002060"/>
          <w:sz w:val="16"/>
          <w:szCs w:val="16"/>
        </w:rPr>
      </w:pPr>
      <w:r w:rsidRPr="00405303">
        <w:rPr>
          <w:bCs/>
          <w:color w:val="002060"/>
          <w:sz w:val="16"/>
          <w:szCs w:val="16"/>
        </w:rPr>
        <w:t xml:space="preserve">На заседании через два дня другой видный министр, а именно министр земледелия А. В. Кривошеин, развивает ту же мысль: «Что мы ни говори, что мы ни обещай, как ни заигрывай с прогрессивным блоком и общественностью — нам все равно не поверят. Ведь требования Государственной думы и всей страны сводятся к вопросу не программы, а людей, которым вверяется власть. Поэтому мне думается, что центр наших суждений должен бы заключаться в постановке принципиального вопроса об отношении Его Императорского Величества к правительству настоящего состава и к требованиям страны об исполнительной власти, облеченной общественным доверием. Пускай Монарх решит, как ему угодно направить дальнейшую внутреннюю политику, по пути ли игнорирования таких пожеланий или же по пути примирения, избрав во втором случае пользующееся общественными симпатиями лицо и возложив на него образование правительства. Без разрешения этого кардинального вопроса мы все равно с места не сдвинемся. Лично я высказываюсь за второй путь действий — избрание Государем Императором лица и поручение ему составить кабинет, отвечающий чаяниям страны». </w:t>
      </w:r>
    </w:p>
    <w:p w14:paraId="4B4CE857" w14:textId="77777777" w:rsidR="004B4E35" w:rsidRPr="00405303" w:rsidRDefault="009E6F82" w:rsidP="00C15251">
      <w:pPr>
        <w:jc w:val="both"/>
        <w:rPr>
          <w:bCs/>
          <w:color w:val="002060"/>
          <w:sz w:val="16"/>
          <w:szCs w:val="16"/>
        </w:rPr>
      </w:pPr>
      <w:r w:rsidRPr="00405303">
        <w:rPr>
          <w:bCs/>
          <w:color w:val="002060"/>
          <w:sz w:val="16"/>
          <w:szCs w:val="16"/>
        </w:rPr>
        <w:t xml:space="preserve">С этим заявлением А. В. Кривошеина соглашаются большинство министров. </w:t>
      </w:r>
    </w:p>
    <w:p w14:paraId="607A406C" w14:textId="77777777" w:rsidR="004B4E35" w:rsidRPr="00405303" w:rsidRDefault="009E6F82" w:rsidP="00C15251">
      <w:pPr>
        <w:jc w:val="both"/>
        <w:rPr>
          <w:bCs/>
          <w:color w:val="002060"/>
          <w:sz w:val="16"/>
          <w:szCs w:val="16"/>
        </w:rPr>
      </w:pPr>
      <w:r w:rsidRPr="00405303">
        <w:rPr>
          <w:bCs/>
          <w:color w:val="002060"/>
          <w:sz w:val="16"/>
          <w:szCs w:val="16"/>
        </w:rPr>
        <w:t xml:space="preserve">Государь избрал первый путь, и главный исполнительный орган, Совет министров, стал еще бессильнее. Социальный процесс изоляции правительства пошел еще быстрее. Авторитет его окончательно пал. При таких условиях правительство оказывается не только бессильным произвести какие-либо коренные органические реформы в структуре работы тыла, оно даже неспособно объединить в стройную организацию те крайние усилия, которые проявляет теперь вся страна, чтобы спасти свою армию от катастрофы. </w:t>
      </w:r>
    </w:p>
    <w:p w14:paraId="4D0661E0" w14:textId="77777777" w:rsidR="004B4E35" w:rsidRPr="00405303" w:rsidRDefault="009E6F82" w:rsidP="00C15251">
      <w:pPr>
        <w:jc w:val="both"/>
        <w:rPr>
          <w:bCs/>
          <w:color w:val="002060"/>
          <w:sz w:val="16"/>
          <w:szCs w:val="16"/>
        </w:rPr>
      </w:pPr>
      <w:r w:rsidRPr="00405303">
        <w:rPr>
          <w:bCs/>
          <w:color w:val="002060"/>
          <w:sz w:val="16"/>
          <w:szCs w:val="16"/>
        </w:rPr>
        <w:t xml:space="preserve">Эта неспособность правительства увеличивается еще тем, что самый подбор министров чрезвычайно неудачен. Последнее не случайно, а является лишь одним из звеньев того социального процесса, который происходит. Выбор Верховной власти до крайности ограничен. Все лучшие элементы должны быть заподозрены в оппозиции к власти. И вот на замену уволенного 15/28 марта генерала Поливанова назначается военным министром генерал Шуваев. Председатель Государственной думы М. В. Родзянко так характеризует генерала Шуваева: «...Честный, хороший человек, но недостаточно подготовлен для такого поста в военное время; его председательствование в Особом совещании делало заседания путаными и утомительными». </w:t>
      </w:r>
    </w:p>
    <w:p w14:paraId="08E5A4C5" w14:textId="77777777" w:rsidR="004B4E35" w:rsidRPr="00405303" w:rsidRDefault="009E6F82" w:rsidP="00C15251">
      <w:pPr>
        <w:jc w:val="both"/>
        <w:rPr>
          <w:bCs/>
          <w:color w:val="002060"/>
          <w:sz w:val="16"/>
          <w:szCs w:val="16"/>
        </w:rPr>
      </w:pPr>
      <w:r w:rsidRPr="00405303">
        <w:rPr>
          <w:bCs/>
          <w:color w:val="002060"/>
          <w:sz w:val="16"/>
          <w:szCs w:val="16"/>
        </w:rPr>
        <w:t>Гораздо строже отзывается о нем французский министр снабжения г-н Тома, присланный французским правительством для ознакомления с нуждами русского военного снабжения. На просьбу председателя Государственной думы откровенно указать наши больные места в организации снабжения французский министр ответил: «Россия должна быть чрезвычайно богата и очень уверена в своих силах, чтобы позволять себе роскошь иметь правительство, подобное вашему, где премьер-министр является бедствием, а военный министр — катастрофой».</w:t>
      </w:r>
    </w:p>
    <w:p w14:paraId="6CEEDD99" w14:textId="77777777" w:rsidR="004B4E35" w:rsidRPr="00405303" w:rsidRDefault="009E6F82" w:rsidP="00C15251">
      <w:pPr>
        <w:jc w:val="both"/>
        <w:rPr>
          <w:bCs/>
          <w:color w:val="002060"/>
          <w:sz w:val="16"/>
          <w:szCs w:val="16"/>
        </w:rPr>
      </w:pPr>
      <w:r w:rsidRPr="00405303">
        <w:rPr>
          <w:bCs/>
          <w:color w:val="002060"/>
          <w:sz w:val="16"/>
          <w:szCs w:val="16"/>
        </w:rPr>
        <w:t xml:space="preserve">Отзыв г-на Тома, быть может, слишком жесток. Но несомненно, что генерал Шуваев выше уровня обыкновенного строевого генерала или рядового интенданта подняться не мог. Выбор генерала Шуваева на должность военного министра обусловливался тем, что Верховная власть рассчитывала, что он будет бороться со все более и более усиливающейся ролью общественных сил в деле снабжения армии. «После ухода Поливанова, — пишет М. В. Родзянко, — Великий князь Сергей Михайлович повел агитацию против Особого совещания и убеждал Государя вовсе упразднить его. С Шуваевым на заседаниях происходили постоянные столкновения, и казалось, будто он нарочно вызывал резкости, чтобы иметь причины для ликвидации Совещания». </w:t>
      </w:r>
    </w:p>
    <w:p w14:paraId="22B83417" w14:textId="77777777" w:rsidR="004B4E35" w:rsidRPr="00405303" w:rsidRDefault="009E6F82" w:rsidP="00C15251">
      <w:pPr>
        <w:jc w:val="both"/>
        <w:rPr>
          <w:bCs/>
          <w:color w:val="002060"/>
          <w:sz w:val="16"/>
          <w:szCs w:val="16"/>
        </w:rPr>
      </w:pPr>
      <w:r w:rsidRPr="00405303">
        <w:rPr>
          <w:bCs/>
          <w:color w:val="002060"/>
          <w:sz w:val="16"/>
          <w:szCs w:val="16"/>
        </w:rPr>
        <w:t xml:space="preserve">Но генерал Шуваев не оправдал связанных с его назначением политических расчетов. </w:t>
      </w:r>
    </w:p>
    <w:p w14:paraId="0FB3136D"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«В заседании 5 ноября случилось событие, которое оставило сильное впечатление не только в Думе, но и в стране. Во время заседания в зале заседаний появились военный министр Шуваев и морской — Григорович. Они обратились к председателю, сообщив о желании сделать заявление. Когда Марков 2-й окончил свою речь, на трибуну поднялся Шуваев и, сильно волнуясь, сказал, что он как старый солдат верит в доблесть Русской армии, что армия снабжена всем необходимым благодаря единодушной поддержке народа и народного представительства. Он привел цифры увеличения поступления боевых припасов в армию со времени учреждения Особого совещания по обороне. Закончил он просьбой и впредь поддерживать его доверием».</w:t>
      </w:r>
    </w:p>
    <w:p w14:paraId="63FCF17F" w14:textId="77777777" w:rsidR="004B4E35" w:rsidRPr="00405303" w:rsidRDefault="009E6F82" w:rsidP="00C15251">
      <w:pPr>
        <w:jc w:val="both"/>
        <w:rPr>
          <w:bCs/>
          <w:color w:val="002060"/>
          <w:sz w:val="16"/>
          <w:szCs w:val="16"/>
        </w:rPr>
      </w:pPr>
      <w:r w:rsidRPr="00405303">
        <w:rPr>
          <w:bCs/>
          <w:color w:val="002060"/>
          <w:sz w:val="16"/>
          <w:szCs w:val="16"/>
        </w:rPr>
        <w:t xml:space="preserve">Вскоре после этого выступления, а именно в начале января 1917 года, генерал Шуваев был заменен на посту военного министра генералом Беляевым. Назначение последнего состоялось по выбору императрицы Александры Феодоровны как человека, вполне верного принятому курсу самодержавной политики. Генерал Беляев представлял собой тип «военного чиновника». Все свое трудолюбие и большую работоспособность он направлял по «бумажному» руслу. В армии он был очень непопулярен, ибо за ним установилась репутация человека, мертвящего всякое живое дело. За ним даже прочно установилась кличка «Мертвая голова». </w:t>
      </w:r>
    </w:p>
    <w:p w14:paraId="79C9781D" w14:textId="77777777" w:rsidR="004B4E35" w:rsidRPr="00405303" w:rsidRDefault="009E6F82" w:rsidP="00C15251">
      <w:pPr>
        <w:jc w:val="both"/>
        <w:rPr>
          <w:bCs/>
          <w:color w:val="002060"/>
          <w:sz w:val="16"/>
          <w:szCs w:val="16"/>
        </w:rPr>
      </w:pPr>
      <w:r w:rsidRPr="00405303">
        <w:rPr>
          <w:bCs/>
          <w:color w:val="002060"/>
          <w:sz w:val="16"/>
          <w:szCs w:val="16"/>
        </w:rPr>
        <w:t xml:space="preserve">Отрицательного влияния на дело снабжения назначение Беляева не могло оказать, так как в начале марта вспыхнула революция. </w:t>
      </w:r>
    </w:p>
    <w:p w14:paraId="4111EEB7" w14:textId="77777777" w:rsidR="004B4E35" w:rsidRPr="00405303" w:rsidRDefault="009E6F82" w:rsidP="00C15251">
      <w:pPr>
        <w:jc w:val="both"/>
        <w:rPr>
          <w:bCs/>
          <w:color w:val="002060"/>
          <w:sz w:val="16"/>
          <w:szCs w:val="16"/>
        </w:rPr>
      </w:pPr>
      <w:r w:rsidRPr="00405303">
        <w:rPr>
          <w:bCs/>
          <w:color w:val="002060"/>
          <w:sz w:val="16"/>
          <w:szCs w:val="16"/>
        </w:rPr>
        <w:t xml:space="preserve">Революция </w:t>
      </w:r>
    </w:p>
    <w:p w14:paraId="67FFB7D2" w14:textId="77777777" w:rsidR="004B4E35" w:rsidRPr="00405303" w:rsidRDefault="009E6F82" w:rsidP="00C15251">
      <w:pPr>
        <w:jc w:val="both"/>
        <w:rPr>
          <w:bCs/>
          <w:color w:val="002060"/>
          <w:sz w:val="16"/>
          <w:szCs w:val="16"/>
        </w:rPr>
      </w:pPr>
      <w:r w:rsidRPr="00405303">
        <w:rPr>
          <w:bCs/>
          <w:color w:val="002060"/>
          <w:sz w:val="16"/>
          <w:szCs w:val="16"/>
        </w:rPr>
        <w:t xml:space="preserve">В разбушевавшейся революционной стихии сразу же начала падать на заводах и промышленных предприятиях трудовая дисциплина. Технический и административный персонал, который не был изгнан рабочими, не имел возможности руководить делом. Он был терроризован рабочими. В результате — крайняя небрежность в работе и все увеличивающееся падение производительности. Московская металлообрабатывающая промышленность уже в апреле пала на 32%, производительность петроградских фабрик и заводов — на 20–40%, добыча угля и общая производительность Донецкого бассейна к 1 июля — на 30% и т.д. Расстроилась также добыча нефти на бакинских и грозненских промыслах. </w:t>
      </w:r>
    </w:p>
    <w:p w14:paraId="583BEF38" w14:textId="77777777" w:rsidR="004B4E35" w:rsidRPr="00405303" w:rsidRDefault="004B4E35" w:rsidP="00C15251">
      <w:pPr>
        <w:jc w:val="both"/>
        <w:rPr>
          <w:bCs/>
          <w:color w:val="002060"/>
          <w:sz w:val="16"/>
          <w:szCs w:val="16"/>
        </w:rPr>
      </w:pPr>
    </w:p>
    <w:p w14:paraId="0E5521D2" w14:textId="77777777" w:rsidR="004B4E35" w:rsidRPr="00405303" w:rsidRDefault="009E6F82" w:rsidP="00C15251">
      <w:pPr>
        <w:jc w:val="both"/>
        <w:rPr>
          <w:bCs/>
          <w:color w:val="002060"/>
          <w:sz w:val="16"/>
          <w:szCs w:val="16"/>
        </w:rPr>
      </w:pPr>
      <w:r w:rsidRPr="00405303">
        <w:rPr>
          <w:bCs/>
          <w:color w:val="002060"/>
          <w:sz w:val="16"/>
          <w:szCs w:val="16"/>
        </w:rPr>
        <w:t xml:space="preserve">«Главной ошибкой в тыловой работе России являлось, — пишет подполковник Ребуль в статье «Промышленная мобилизация России во время войны», — отсутствие единого руководства и общего плана работы. В Петрограде не было создано того единого центра, который мог бы составить объединенную в одно целое программу; только такая программа может урегулировать работу каждой технической службы, каждого производственного центра в зависимости от степени потребности армии и наличия сырья и полуфабрикатов. Иначе неизбежен полный разнобой в производстве». </w:t>
      </w:r>
    </w:p>
    <w:p w14:paraId="72FF2D08" w14:textId="77777777" w:rsidR="004B4E35" w:rsidRPr="00405303" w:rsidRDefault="009E6F82" w:rsidP="00C15251">
      <w:pPr>
        <w:jc w:val="both"/>
        <w:rPr>
          <w:bCs/>
          <w:color w:val="002060"/>
          <w:sz w:val="16"/>
          <w:szCs w:val="16"/>
        </w:rPr>
      </w:pPr>
      <w:r w:rsidRPr="00405303">
        <w:rPr>
          <w:bCs/>
          <w:color w:val="002060"/>
          <w:sz w:val="16"/>
          <w:szCs w:val="16"/>
        </w:rPr>
        <w:t xml:space="preserve">Нужно признать, что, по существу дела, подполковник Ребуль прав. </w:t>
      </w:r>
    </w:p>
    <w:p w14:paraId="426F9181" w14:textId="77777777" w:rsidR="004B4E35" w:rsidRPr="00405303" w:rsidRDefault="009E6F82" w:rsidP="00C15251">
      <w:pPr>
        <w:jc w:val="both"/>
        <w:rPr>
          <w:bCs/>
          <w:color w:val="002060"/>
          <w:sz w:val="16"/>
          <w:szCs w:val="16"/>
        </w:rPr>
      </w:pPr>
      <w:r w:rsidRPr="00405303">
        <w:rPr>
          <w:bCs/>
          <w:color w:val="002060"/>
          <w:sz w:val="16"/>
          <w:szCs w:val="16"/>
        </w:rPr>
        <w:t>Вот небольшой пример. Прошел год войны, и генерал Маниковский никак не мог добиться от Министерства торговли и промышленности сведений, на каких заводах (коксовальных) и в каком количестве производится добыча сырого бензина и переделка (разгонка) его на толуол, каковы перспективы этого министерства по части обеспечения нашей потребности в кислотах — серной и азотной, а также в смазочных маслах, где можно достать квалифицированных рабочих таких-то специальностей и т.п.</w:t>
      </w:r>
    </w:p>
    <w:p w14:paraId="4D2DD69B"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«И вместо того, — продолжает дальше генерал Маниковский, — чтобы министр торговли и промышленности с первого же дня войны сел рядом с военным министром и стал бы его первым и ближайшим помощником, он вместо этого избрал благую часть, совершенно отстранившись от дела и продолжая лишь ту исключительно «бумажную» работу, которая и в мирное время была, строго говоря, и бесплодна, и не нужна».</w:t>
      </w:r>
    </w:p>
    <w:p w14:paraId="728EE2DB"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Но и в недрах самого Военного ведомства, во главе которого стоял генерал В. А. Сухомлинов, надлежащей организационной работы не было... </w:t>
      </w:r>
    </w:p>
    <w:p w14:paraId="6EA1D0A2" w14:textId="77777777" w:rsidR="004B4E35" w:rsidRPr="00405303" w:rsidRDefault="009E6F82" w:rsidP="00C15251">
      <w:pPr>
        <w:jc w:val="both"/>
        <w:rPr>
          <w:bCs/>
          <w:color w:val="002060"/>
          <w:sz w:val="16"/>
          <w:szCs w:val="16"/>
        </w:rPr>
      </w:pPr>
      <w:r w:rsidRPr="00405303">
        <w:rPr>
          <w:bCs/>
          <w:color w:val="002060"/>
          <w:sz w:val="16"/>
          <w:szCs w:val="16"/>
        </w:rPr>
        <w:t xml:space="preserve">Для того чтобы достигнуть наибольшей продуктивности в работе современного тыла, мало еще подчинения всего дела одному лицу. Последнее может привести лишь к формальному, если можно так выразиться, к механическому единству. В сложной работе современного тыла существенное значение имело не только то, чтобы установить какую-либо комбинацию, а требовалось избрать наилучшую для данных условий комбинацию. </w:t>
      </w:r>
    </w:p>
    <w:p w14:paraId="50CDD867" w14:textId="77777777" w:rsidR="004B4E35" w:rsidRPr="00405303" w:rsidRDefault="009E6F82" w:rsidP="00C15251">
      <w:pPr>
        <w:jc w:val="both"/>
        <w:rPr>
          <w:bCs/>
          <w:color w:val="002060"/>
          <w:sz w:val="16"/>
          <w:szCs w:val="16"/>
        </w:rPr>
      </w:pPr>
      <w:r w:rsidRPr="00405303">
        <w:rPr>
          <w:bCs/>
          <w:color w:val="002060"/>
          <w:sz w:val="16"/>
          <w:szCs w:val="16"/>
        </w:rPr>
        <w:t xml:space="preserve">Объясним это на примере. </w:t>
      </w:r>
    </w:p>
    <w:p w14:paraId="03F3C382" w14:textId="77777777" w:rsidR="004B4E35" w:rsidRPr="00405303" w:rsidRDefault="009E6F82" w:rsidP="00C15251">
      <w:pPr>
        <w:jc w:val="both"/>
        <w:rPr>
          <w:bCs/>
          <w:color w:val="002060"/>
          <w:sz w:val="16"/>
          <w:szCs w:val="16"/>
        </w:rPr>
      </w:pPr>
      <w:r w:rsidRPr="00405303">
        <w:rPr>
          <w:bCs/>
          <w:color w:val="002060"/>
          <w:sz w:val="16"/>
          <w:szCs w:val="16"/>
        </w:rPr>
        <w:t xml:space="preserve">Когда приступлено было в 1915 г. к массовому производству снарядов, была создана особая организация во главе с генерал-майором Ванковым для установления на отечественных заводах упрошенного производства цельнотянутой 3'' гранаты французского образца. Простота этой работы позволяла привлечь к производству снарядов наиболее слабые заводы. Так было сделано во Франции. У нас же генерал Ванков для выполнения возложенного поручения привлек целый ряд таких солидных заводов, как Коломенский, и много таких же других и этим отвлек их от не менее важных, но более сложных работ. </w:t>
      </w:r>
    </w:p>
    <w:p w14:paraId="39A00EC5" w14:textId="77777777" w:rsidR="004B4E35" w:rsidRPr="00405303" w:rsidRDefault="009E6F82" w:rsidP="00C15251">
      <w:pPr>
        <w:jc w:val="both"/>
        <w:rPr>
          <w:bCs/>
          <w:color w:val="002060"/>
          <w:sz w:val="16"/>
          <w:szCs w:val="16"/>
        </w:rPr>
      </w:pPr>
      <w:r w:rsidRPr="00405303">
        <w:rPr>
          <w:bCs/>
          <w:color w:val="002060"/>
          <w:sz w:val="16"/>
          <w:szCs w:val="16"/>
        </w:rPr>
        <w:t xml:space="preserve">На предыдущих страницах этой главы читатель может найти много аналогичных примеров. Напомним хотя бы то, как на наши малочисленные и слабосильные оружейные заводы в самый критический для них период был взвален ремонт ручного оружия. Напомним также то, как вместо того, чтобы использовать крайне ограниченный для России тоннаж для привоза из-за границы станков для заводов, мы везли из-за границы колючую проволоку, организовать производство которой не представляло больших трудностей. </w:t>
      </w:r>
    </w:p>
    <w:p w14:paraId="4C636C6A" w14:textId="77777777" w:rsidR="004B4E35" w:rsidRPr="00405303" w:rsidRDefault="009E6F82" w:rsidP="00C15251">
      <w:pPr>
        <w:jc w:val="both"/>
        <w:rPr>
          <w:bCs/>
          <w:color w:val="002060"/>
          <w:sz w:val="16"/>
          <w:szCs w:val="16"/>
        </w:rPr>
      </w:pPr>
      <w:r w:rsidRPr="00405303">
        <w:rPr>
          <w:bCs/>
          <w:color w:val="002060"/>
          <w:sz w:val="16"/>
          <w:szCs w:val="16"/>
        </w:rPr>
        <w:t xml:space="preserve">Главной причиной этого отсутствия организации снабжения в нужном государственном масштабе являлась полная неподготовленность к этому наших военных руководящих верхов. Мы видели, как эти верхи опаздывали с осознанием размеров каждой из потребностей армии. Буквально каждый раз армии нужно было выдерживать длительную борьбу, чтобы доказать правильность своих требований. Господа, сидящие в глубоком тылу, первым делом старались доказывать, что армия преувеличивает, затем, что армия небережлива, и только после новых и новых тяжелых уроков на полях брани приступали по-настоящему к требуемой работе. И тогда, поняв, как много времени уже упущено, все в тылу бросались на скорейшее удовлетворение требуемого в данную минуту, совершенно упуская из виду возникающие в это время новые требования. </w:t>
      </w:r>
    </w:p>
    <w:p w14:paraId="1D42F7FA" w14:textId="77777777" w:rsidR="004B4E35" w:rsidRPr="00405303" w:rsidRDefault="009E6F82" w:rsidP="00C15251">
      <w:pPr>
        <w:jc w:val="both"/>
        <w:rPr>
          <w:bCs/>
          <w:color w:val="002060"/>
          <w:sz w:val="16"/>
          <w:szCs w:val="16"/>
        </w:rPr>
      </w:pPr>
      <w:r w:rsidRPr="00405303">
        <w:rPr>
          <w:bCs/>
          <w:color w:val="002060"/>
          <w:sz w:val="16"/>
          <w:szCs w:val="16"/>
        </w:rPr>
        <w:t xml:space="preserve">Не будем повторять сказанного об ошибках в наших мобилизационных расчетах, основанных на предположении быстротечности войны. Но казалось бы, что уже после первого месяца войны эти ошибки стали ясно видны и наше Военное министерство должно было бы приступить к широчайшему развертыванию нашей промышленности. Для этого требовалось в первую очередь получение из Америки станков и прочих предметов оборудования заводов. Этого не было сделано. Когда же мы спустя много времени бросились со своими заказами в Америку, то пришлось убедиться на горьком опыте, что американский рынок оказался неприспособленным; ему потребовалось для развертывания военной промышленности столько же времени, сколько потребовалось бы для такого же развертывания в России. В итоге: «Без особо ощутительных для нашей армии результатов, — пишет генерал Маниковский, — в труднейшее для нас время пришлось влить в американский рынок колоссальное количество золота, создать и оборудовать там на наши деньги массу военных предприятий; другими словами, произвести на наш счет генеральную мобилизацию американской промышленности, не имея возможности сделать того же по отношению к своей собственной». </w:t>
      </w:r>
    </w:p>
    <w:p w14:paraId="2D2FE0A7" w14:textId="77777777" w:rsidR="004B4E35" w:rsidRPr="00405303" w:rsidRDefault="009E6F82" w:rsidP="00C15251">
      <w:pPr>
        <w:jc w:val="both"/>
        <w:rPr>
          <w:bCs/>
          <w:color w:val="002060"/>
          <w:sz w:val="16"/>
          <w:szCs w:val="16"/>
        </w:rPr>
      </w:pPr>
      <w:r w:rsidRPr="00405303">
        <w:rPr>
          <w:bCs/>
          <w:color w:val="002060"/>
          <w:sz w:val="16"/>
          <w:szCs w:val="16"/>
        </w:rPr>
        <w:t xml:space="preserve">По мере </w:t>
      </w:r>
      <w:proofErr w:type="gramStart"/>
      <w:r w:rsidRPr="00405303">
        <w:rPr>
          <w:bCs/>
          <w:color w:val="002060"/>
          <w:sz w:val="16"/>
          <w:szCs w:val="16"/>
        </w:rPr>
        <w:t>того</w:t>
      </w:r>
      <w:proofErr w:type="gramEnd"/>
      <w:r w:rsidRPr="00405303">
        <w:rPr>
          <w:bCs/>
          <w:color w:val="002060"/>
          <w:sz w:val="16"/>
          <w:szCs w:val="16"/>
        </w:rPr>
        <w:t xml:space="preserve"> как в армии стал ощущаться недостаток в боевом снабжении, в ней начало расти недовольство тылом. Это недовольство быстро передавалось в общественные круги. Когда же недостаток в боевых припасах начал принимать катастрофический характер, это недовольство породило множество часто совершенно не обоснованных слухов. Говорили о колоссальном воровстве, о взяточничестве и даже об измене. Эти слухи создавали своего рода психическую атмосферу, от влияния которой не могли уклониться даже такие лица, как председатель Государственной думы, в чем можно легко убедиться, читая воспоминания М. В. Родзянко. </w:t>
      </w:r>
    </w:p>
    <w:p w14:paraId="20CA2E4D" w14:textId="77777777" w:rsidR="004B4E35" w:rsidRPr="00405303" w:rsidRDefault="009E6F82" w:rsidP="00C15251">
      <w:pPr>
        <w:jc w:val="both"/>
        <w:rPr>
          <w:bCs/>
          <w:color w:val="002060"/>
          <w:sz w:val="16"/>
          <w:szCs w:val="16"/>
        </w:rPr>
      </w:pPr>
      <w:r w:rsidRPr="00405303">
        <w:rPr>
          <w:bCs/>
          <w:color w:val="002060"/>
          <w:sz w:val="16"/>
          <w:szCs w:val="16"/>
        </w:rPr>
        <w:t xml:space="preserve">Неспособность нашего Военного министерства удовлетворить потребности армии вызвала в общественных кругах и в среде членов Государственной думы стремление добиться контроля в деле снабжения армии. </w:t>
      </w:r>
    </w:p>
    <w:p w14:paraId="075F0C54" w14:textId="77777777" w:rsidR="004B4E35" w:rsidRPr="00405303" w:rsidRDefault="004B4E35" w:rsidP="00C15251">
      <w:pPr>
        <w:jc w:val="both"/>
        <w:rPr>
          <w:bCs/>
          <w:color w:val="002060"/>
          <w:sz w:val="16"/>
          <w:szCs w:val="16"/>
        </w:rPr>
      </w:pPr>
    </w:p>
    <w:p w14:paraId="1E3BECDF" w14:textId="637D8755" w:rsidR="004B4E35" w:rsidRPr="00405303" w:rsidRDefault="002A10E8"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августе 1915 г.</w:t>
      </w:r>
      <w:r w:rsidRPr="00405303">
        <w:rPr>
          <w:bCs/>
          <w:color w:val="002060"/>
          <w:sz w:val="16"/>
          <w:szCs w:val="16"/>
        </w:rPr>
        <w:t xml:space="preserve">, так как сталелитейный отдел Ижевского оружейного завода не мог быть расширен, по техническим причинам, в такой мере, чтобы взять указанные задачи на себя, была разрешена </w:t>
      </w:r>
      <w:r w:rsidR="009E6F82" w:rsidRPr="00405303">
        <w:rPr>
          <w:bCs/>
          <w:color w:val="002060"/>
          <w:sz w:val="16"/>
          <w:szCs w:val="16"/>
        </w:rPr>
        <w:t xml:space="preserve">постройка </w:t>
      </w:r>
      <w:r w:rsidRPr="00405303">
        <w:rPr>
          <w:bCs/>
          <w:color w:val="002060"/>
          <w:sz w:val="16"/>
          <w:szCs w:val="16"/>
        </w:rPr>
        <w:t>крупного сталелитейного завода</w:t>
      </w:r>
      <w:r w:rsidR="009E6F82" w:rsidRPr="00405303">
        <w:rPr>
          <w:bCs/>
          <w:color w:val="002060"/>
          <w:sz w:val="16"/>
          <w:szCs w:val="16"/>
        </w:rPr>
        <w:t>.</w:t>
      </w:r>
    </w:p>
    <w:p w14:paraId="7BFAD829" w14:textId="77777777" w:rsidR="004B4E35" w:rsidRPr="00405303" w:rsidRDefault="009E6F82" w:rsidP="00C15251">
      <w:pPr>
        <w:jc w:val="both"/>
        <w:rPr>
          <w:bCs/>
          <w:color w:val="002060"/>
          <w:sz w:val="16"/>
          <w:szCs w:val="16"/>
        </w:rPr>
      </w:pPr>
      <w:r w:rsidRPr="00405303">
        <w:rPr>
          <w:bCs/>
          <w:color w:val="002060"/>
          <w:sz w:val="16"/>
          <w:szCs w:val="16"/>
        </w:rPr>
        <w:t xml:space="preserve">Проект завода был составлен по следующему заданию (производительность в год):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04"/>
        <w:gridCol w:w="4080"/>
        <w:gridCol w:w="1584"/>
      </w:tblGrid>
      <w:tr w:rsidR="004B4E35" w:rsidRPr="00405303" w14:paraId="2CF54F5A" w14:textId="77777777">
        <w:tc>
          <w:tcPr>
            <w:tcW w:w="1104" w:type="dxa"/>
          </w:tcPr>
          <w:p w14:paraId="6143A317" w14:textId="5BED381D" w:rsidR="004B4E35" w:rsidRPr="00405303" w:rsidRDefault="00DB4D64" w:rsidP="00C15251">
            <w:pPr>
              <w:jc w:val="both"/>
              <w:rPr>
                <w:bCs/>
                <w:color w:val="002060"/>
                <w:sz w:val="16"/>
                <w:szCs w:val="16"/>
              </w:rPr>
            </w:pPr>
            <w:r w:rsidRPr="00405303">
              <w:rPr>
                <w:bCs/>
                <w:color w:val="002060"/>
                <w:sz w:val="16"/>
                <w:szCs w:val="16"/>
              </w:rPr>
              <w:t xml:space="preserve"> </w:t>
            </w:r>
          </w:p>
        </w:tc>
        <w:tc>
          <w:tcPr>
            <w:tcW w:w="4080" w:type="dxa"/>
          </w:tcPr>
          <w:p w14:paraId="7AD48F7B" w14:textId="77777777" w:rsidR="004B4E35" w:rsidRPr="00405303" w:rsidRDefault="009E6F82" w:rsidP="00C15251">
            <w:pPr>
              <w:jc w:val="both"/>
              <w:rPr>
                <w:bCs/>
                <w:color w:val="002060"/>
                <w:sz w:val="16"/>
                <w:szCs w:val="16"/>
              </w:rPr>
            </w:pPr>
            <w:r w:rsidRPr="00405303">
              <w:rPr>
                <w:bCs/>
                <w:color w:val="002060"/>
                <w:sz w:val="16"/>
                <w:szCs w:val="16"/>
              </w:rPr>
              <w:t>черновых ружейных стволов</w:t>
            </w:r>
          </w:p>
        </w:tc>
        <w:tc>
          <w:tcPr>
            <w:tcW w:w="1584" w:type="dxa"/>
          </w:tcPr>
          <w:p w14:paraId="479151A0" w14:textId="77777777" w:rsidR="004B4E35" w:rsidRPr="00405303" w:rsidRDefault="009E6F82" w:rsidP="00C15251">
            <w:pPr>
              <w:jc w:val="both"/>
              <w:rPr>
                <w:bCs/>
                <w:color w:val="002060"/>
                <w:sz w:val="16"/>
                <w:szCs w:val="16"/>
              </w:rPr>
            </w:pPr>
            <w:r w:rsidRPr="00405303">
              <w:rPr>
                <w:bCs/>
                <w:color w:val="002060"/>
                <w:sz w:val="16"/>
                <w:szCs w:val="16"/>
              </w:rPr>
              <w:t xml:space="preserve">1000 000 шт. </w:t>
            </w:r>
          </w:p>
        </w:tc>
      </w:tr>
      <w:tr w:rsidR="004B4E35" w:rsidRPr="00405303" w14:paraId="3CB34033" w14:textId="77777777">
        <w:tc>
          <w:tcPr>
            <w:tcW w:w="1104" w:type="dxa"/>
          </w:tcPr>
          <w:p w14:paraId="59F1FC92" w14:textId="174DC04E" w:rsidR="004B4E35" w:rsidRPr="00405303" w:rsidRDefault="00DB4D64" w:rsidP="00C15251">
            <w:pPr>
              <w:jc w:val="both"/>
              <w:rPr>
                <w:bCs/>
                <w:color w:val="002060"/>
                <w:sz w:val="16"/>
                <w:szCs w:val="16"/>
              </w:rPr>
            </w:pPr>
            <w:r w:rsidRPr="00405303">
              <w:rPr>
                <w:bCs/>
                <w:color w:val="002060"/>
                <w:sz w:val="16"/>
                <w:szCs w:val="16"/>
              </w:rPr>
              <w:t xml:space="preserve"> </w:t>
            </w:r>
          </w:p>
        </w:tc>
        <w:tc>
          <w:tcPr>
            <w:tcW w:w="4080" w:type="dxa"/>
          </w:tcPr>
          <w:p w14:paraId="337354D1" w14:textId="77777777" w:rsidR="004B4E35" w:rsidRPr="00405303" w:rsidRDefault="009E6F82" w:rsidP="00C15251">
            <w:pPr>
              <w:jc w:val="both"/>
              <w:rPr>
                <w:bCs/>
                <w:color w:val="002060"/>
                <w:sz w:val="16"/>
                <w:szCs w:val="16"/>
              </w:rPr>
            </w:pPr>
            <w:r w:rsidRPr="00405303">
              <w:rPr>
                <w:bCs/>
                <w:color w:val="002060"/>
                <w:sz w:val="16"/>
                <w:szCs w:val="16"/>
              </w:rPr>
              <w:t>сортового материала для изготовления винтовок</w:t>
            </w:r>
          </w:p>
        </w:tc>
        <w:tc>
          <w:tcPr>
            <w:tcW w:w="1584" w:type="dxa"/>
          </w:tcPr>
          <w:p w14:paraId="6A899F5A" w14:textId="77777777" w:rsidR="004B4E35" w:rsidRPr="00405303" w:rsidRDefault="009E6F82" w:rsidP="00C15251">
            <w:pPr>
              <w:jc w:val="both"/>
              <w:rPr>
                <w:bCs/>
                <w:color w:val="002060"/>
                <w:sz w:val="16"/>
                <w:szCs w:val="16"/>
              </w:rPr>
            </w:pPr>
            <w:r w:rsidRPr="00405303">
              <w:rPr>
                <w:bCs/>
                <w:color w:val="002060"/>
                <w:sz w:val="16"/>
                <w:szCs w:val="16"/>
              </w:rPr>
              <w:t xml:space="preserve">400 000 пудов </w:t>
            </w:r>
          </w:p>
        </w:tc>
      </w:tr>
      <w:tr w:rsidR="004B4E35" w:rsidRPr="00405303" w14:paraId="67A460F2" w14:textId="77777777">
        <w:tc>
          <w:tcPr>
            <w:tcW w:w="1104" w:type="dxa"/>
          </w:tcPr>
          <w:p w14:paraId="43B2ABB6" w14:textId="0776D25B" w:rsidR="004B4E35" w:rsidRPr="00405303" w:rsidRDefault="00DB4D64" w:rsidP="00C15251">
            <w:pPr>
              <w:jc w:val="both"/>
              <w:rPr>
                <w:bCs/>
                <w:color w:val="002060"/>
                <w:sz w:val="16"/>
                <w:szCs w:val="16"/>
              </w:rPr>
            </w:pPr>
            <w:r w:rsidRPr="00405303">
              <w:rPr>
                <w:bCs/>
                <w:color w:val="002060"/>
                <w:sz w:val="16"/>
                <w:szCs w:val="16"/>
              </w:rPr>
              <w:t xml:space="preserve"> </w:t>
            </w:r>
          </w:p>
        </w:tc>
        <w:tc>
          <w:tcPr>
            <w:tcW w:w="4080" w:type="dxa"/>
          </w:tcPr>
          <w:p w14:paraId="38722E06" w14:textId="77777777" w:rsidR="004B4E35" w:rsidRPr="00405303" w:rsidRDefault="009E6F82" w:rsidP="00C15251">
            <w:pPr>
              <w:jc w:val="both"/>
              <w:rPr>
                <w:bCs/>
                <w:color w:val="002060"/>
                <w:sz w:val="16"/>
                <w:szCs w:val="16"/>
              </w:rPr>
            </w:pPr>
            <w:r w:rsidRPr="00405303">
              <w:rPr>
                <w:bCs/>
                <w:color w:val="002060"/>
                <w:sz w:val="16"/>
                <w:szCs w:val="16"/>
              </w:rPr>
              <w:t>инструментальной стали для оружейных заводов</w:t>
            </w:r>
          </w:p>
        </w:tc>
        <w:tc>
          <w:tcPr>
            <w:tcW w:w="1584" w:type="dxa"/>
          </w:tcPr>
          <w:p w14:paraId="0F5C6BE8" w14:textId="77777777" w:rsidR="004B4E35" w:rsidRPr="00405303" w:rsidRDefault="009E6F82" w:rsidP="00C15251">
            <w:pPr>
              <w:jc w:val="both"/>
              <w:rPr>
                <w:bCs/>
                <w:color w:val="002060"/>
                <w:sz w:val="16"/>
                <w:szCs w:val="16"/>
              </w:rPr>
            </w:pPr>
            <w:r w:rsidRPr="00405303">
              <w:rPr>
                <w:bCs/>
                <w:color w:val="002060"/>
                <w:sz w:val="16"/>
                <w:szCs w:val="16"/>
              </w:rPr>
              <w:t xml:space="preserve">180 000 пудов </w:t>
            </w:r>
          </w:p>
        </w:tc>
      </w:tr>
      <w:tr w:rsidR="004B4E35" w:rsidRPr="00405303" w14:paraId="4B199B44" w14:textId="77777777">
        <w:tc>
          <w:tcPr>
            <w:tcW w:w="1104" w:type="dxa"/>
          </w:tcPr>
          <w:p w14:paraId="28281090" w14:textId="1EE583CA" w:rsidR="004B4E35" w:rsidRPr="00405303" w:rsidRDefault="00DB4D64" w:rsidP="00C15251">
            <w:pPr>
              <w:jc w:val="both"/>
              <w:rPr>
                <w:bCs/>
                <w:color w:val="002060"/>
                <w:sz w:val="16"/>
                <w:szCs w:val="16"/>
              </w:rPr>
            </w:pPr>
            <w:r w:rsidRPr="00405303">
              <w:rPr>
                <w:bCs/>
                <w:color w:val="002060"/>
                <w:sz w:val="16"/>
                <w:szCs w:val="16"/>
              </w:rPr>
              <w:t xml:space="preserve"> </w:t>
            </w:r>
          </w:p>
        </w:tc>
        <w:tc>
          <w:tcPr>
            <w:tcW w:w="4080" w:type="dxa"/>
          </w:tcPr>
          <w:p w14:paraId="24102654" w14:textId="77777777" w:rsidR="004B4E35" w:rsidRPr="00405303" w:rsidRDefault="009E6F82" w:rsidP="00C15251">
            <w:pPr>
              <w:jc w:val="both"/>
              <w:rPr>
                <w:bCs/>
                <w:color w:val="002060"/>
                <w:sz w:val="16"/>
                <w:szCs w:val="16"/>
              </w:rPr>
            </w:pPr>
            <w:r w:rsidRPr="00405303">
              <w:rPr>
                <w:bCs/>
                <w:color w:val="002060"/>
                <w:sz w:val="16"/>
                <w:szCs w:val="16"/>
              </w:rPr>
              <w:t>инструментальной стали для других заводов</w:t>
            </w:r>
          </w:p>
        </w:tc>
        <w:tc>
          <w:tcPr>
            <w:tcW w:w="1584" w:type="dxa"/>
          </w:tcPr>
          <w:p w14:paraId="1A9B18F8" w14:textId="77777777" w:rsidR="004B4E35" w:rsidRPr="00405303" w:rsidRDefault="009E6F82" w:rsidP="00C15251">
            <w:pPr>
              <w:jc w:val="both"/>
              <w:rPr>
                <w:bCs/>
                <w:color w:val="002060"/>
                <w:sz w:val="16"/>
                <w:szCs w:val="16"/>
              </w:rPr>
            </w:pPr>
            <w:r w:rsidRPr="00405303">
              <w:rPr>
                <w:bCs/>
                <w:color w:val="002060"/>
                <w:sz w:val="16"/>
                <w:szCs w:val="16"/>
              </w:rPr>
              <w:t xml:space="preserve">100 000 пудов </w:t>
            </w:r>
          </w:p>
        </w:tc>
      </w:tr>
      <w:tr w:rsidR="004B4E35" w:rsidRPr="00405303" w14:paraId="5E6518EF" w14:textId="77777777">
        <w:tc>
          <w:tcPr>
            <w:tcW w:w="1104" w:type="dxa"/>
          </w:tcPr>
          <w:p w14:paraId="306649E2" w14:textId="4EE315CC" w:rsidR="004B4E35" w:rsidRPr="00405303" w:rsidRDefault="00DB4D64" w:rsidP="00C15251">
            <w:pPr>
              <w:jc w:val="both"/>
              <w:rPr>
                <w:bCs/>
                <w:color w:val="002060"/>
                <w:sz w:val="16"/>
                <w:szCs w:val="16"/>
              </w:rPr>
            </w:pPr>
            <w:r w:rsidRPr="00405303">
              <w:rPr>
                <w:bCs/>
                <w:color w:val="002060"/>
                <w:sz w:val="16"/>
                <w:szCs w:val="16"/>
              </w:rPr>
              <w:t xml:space="preserve"> </w:t>
            </w:r>
          </w:p>
        </w:tc>
        <w:tc>
          <w:tcPr>
            <w:tcW w:w="4080" w:type="dxa"/>
          </w:tcPr>
          <w:p w14:paraId="5F2D3632" w14:textId="77777777" w:rsidR="004B4E35" w:rsidRPr="00405303" w:rsidRDefault="009E6F82" w:rsidP="00C15251">
            <w:pPr>
              <w:jc w:val="both"/>
              <w:rPr>
                <w:bCs/>
                <w:color w:val="002060"/>
                <w:sz w:val="16"/>
                <w:szCs w:val="16"/>
              </w:rPr>
            </w:pPr>
            <w:r w:rsidRPr="00405303">
              <w:rPr>
                <w:bCs/>
                <w:color w:val="002060"/>
                <w:sz w:val="16"/>
                <w:szCs w:val="16"/>
              </w:rPr>
              <w:t>стали для взрывателей</w:t>
            </w:r>
          </w:p>
        </w:tc>
        <w:tc>
          <w:tcPr>
            <w:tcW w:w="1584" w:type="dxa"/>
          </w:tcPr>
          <w:p w14:paraId="648506DC" w14:textId="77777777" w:rsidR="004B4E35" w:rsidRPr="00405303" w:rsidRDefault="009E6F82" w:rsidP="00C15251">
            <w:pPr>
              <w:jc w:val="both"/>
              <w:rPr>
                <w:bCs/>
                <w:color w:val="002060"/>
                <w:sz w:val="16"/>
                <w:szCs w:val="16"/>
              </w:rPr>
            </w:pPr>
            <w:r w:rsidRPr="00405303">
              <w:rPr>
                <w:bCs/>
                <w:color w:val="002060"/>
                <w:sz w:val="16"/>
                <w:szCs w:val="16"/>
              </w:rPr>
              <w:t xml:space="preserve">150 000 пудов </w:t>
            </w:r>
          </w:p>
        </w:tc>
      </w:tr>
      <w:tr w:rsidR="004B4E35" w:rsidRPr="00405303" w14:paraId="28AB3DE2" w14:textId="77777777">
        <w:tc>
          <w:tcPr>
            <w:tcW w:w="1104" w:type="dxa"/>
          </w:tcPr>
          <w:p w14:paraId="677A820E" w14:textId="2C46E7BA" w:rsidR="004B4E35" w:rsidRPr="00405303" w:rsidRDefault="00DB4D64" w:rsidP="00C15251">
            <w:pPr>
              <w:jc w:val="both"/>
              <w:rPr>
                <w:bCs/>
                <w:color w:val="002060"/>
                <w:sz w:val="16"/>
                <w:szCs w:val="16"/>
              </w:rPr>
            </w:pPr>
            <w:r w:rsidRPr="00405303">
              <w:rPr>
                <w:bCs/>
                <w:color w:val="002060"/>
                <w:sz w:val="16"/>
                <w:szCs w:val="16"/>
              </w:rPr>
              <w:t xml:space="preserve"> </w:t>
            </w:r>
          </w:p>
        </w:tc>
        <w:tc>
          <w:tcPr>
            <w:tcW w:w="4080" w:type="dxa"/>
          </w:tcPr>
          <w:p w14:paraId="61DC4F3E" w14:textId="77777777" w:rsidR="004B4E35" w:rsidRPr="00405303" w:rsidRDefault="009E6F82" w:rsidP="00C15251">
            <w:pPr>
              <w:jc w:val="both"/>
              <w:rPr>
                <w:bCs/>
                <w:color w:val="002060"/>
                <w:sz w:val="16"/>
                <w:szCs w:val="16"/>
              </w:rPr>
            </w:pPr>
            <w:r w:rsidRPr="00405303">
              <w:rPr>
                <w:bCs/>
                <w:color w:val="002060"/>
                <w:sz w:val="16"/>
                <w:szCs w:val="16"/>
              </w:rPr>
              <w:t>ленточной стали для обойм</w:t>
            </w:r>
          </w:p>
        </w:tc>
        <w:tc>
          <w:tcPr>
            <w:tcW w:w="1584" w:type="dxa"/>
          </w:tcPr>
          <w:p w14:paraId="5BD8D689" w14:textId="77777777" w:rsidR="004B4E35" w:rsidRPr="00405303" w:rsidRDefault="009E6F82" w:rsidP="00C15251">
            <w:pPr>
              <w:jc w:val="both"/>
              <w:rPr>
                <w:bCs/>
                <w:color w:val="002060"/>
                <w:sz w:val="16"/>
                <w:szCs w:val="16"/>
              </w:rPr>
            </w:pPr>
            <w:r w:rsidRPr="00405303">
              <w:rPr>
                <w:bCs/>
                <w:color w:val="002060"/>
                <w:sz w:val="16"/>
                <w:szCs w:val="16"/>
              </w:rPr>
              <w:t xml:space="preserve">60 000 пудов </w:t>
            </w:r>
          </w:p>
        </w:tc>
      </w:tr>
      <w:tr w:rsidR="004B4E35" w:rsidRPr="00405303" w14:paraId="0514C223" w14:textId="77777777">
        <w:tc>
          <w:tcPr>
            <w:tcW w:w="1104" w:type="dxa"/>
          </w:tcPr>
          <w:p w14:paraId="4C71C118" w14:textId="7A1E1B9B" w:rsidR="004B4E35" w:rsidRPr="00405303" w:rsidRDefault="00DB4D64" w:rsidP="00C15251">
            <w:pPr>
              <w:jc w:val="both"/>
              <w:rPr>
                <w:bCs/>
                <w:color w:val="002060"/>
                <w:sz w:val="16"/>
                <w:szCs w:val="16"/>
              </w:rPr>
            </w:pPr>
            <w:r w:rsidRPr="00405303">
              <w:rPr>
                <w:bCs/>
                <w:color w:val="002060"/>
                <w:sz w:val="16"/>
                <w:szCs w:val="16"/>
              </w:rPr>
              <w:t xml:space="preserve"> </w:t>
            </w:r>
          </w:p>
        </w:tc>
        <w:tc>
          <w:tcPr>
            <w:tcW w:w="4080" w:type="dxa"/>
          </w:tcPr>
          <w:p w14:paraId="4309A630" w14:textId="77777777" w:rsidR="004B4E35" w:rsidRPr="00405303" w:rsidRDefault="009E6F82" w:rsidP="00C15251">
            <w:pPr>
              <w:jc w:val="both"/>
              <w:rPr>
                <w:bCs/>
                <w:color w:val="002060"/>
                <w:sz w:val="16"/>
                <w:szCs w:val="16"/>
              </w:rPr>
            </w:pPr>
            <w:r w:rsidRPr="00405303">
              <w:rPr>
                <w:bCs/>
                <w:color w:val="002060"/>
                <w:sz w:val="16"/>
                <w:szCs w:val="16"/>
              </w:rPr>
              <w:t>пулеметных щитов</w:t>
            </w:r>
          </w:p>
        </w:tc>
        <w:tc>
          <w:tcPr>
            <w:tcW w:w="1584" w:type="dxa"/>
          </w:tcPr>
          <w:p w14:paraId="64394B90" w14:textId="77777777" w:rsidR="004B4E35" w:rsidRPr="00405303" w:rsidRDefault="009E6F82" w:rsidP="00C15251">
            <w:pPr>
              <w:jc w:val="both"/>
              <w:rPr>
                <w:bCs/>
                <w:color w:val="002060"/>
                <w:sz w:val="16"/>
                <w:szCs w:val="16"/>
              </w:rPr>
            </w:pPr>
            <w:r w:rsidRPr="00405303">
              <w:rPr>
                <w:bCs/>
                <w:color w:val="002060"/>
                <w:sz w:val="16"/>
                <w:szCs w:val="16"/>
              </w:rPr>
              <w:t xml:space="preserve">3 000 пудов </w:t>
            </w:r>
          </w:p>
        </w:tc>
      </w:tr>
      <w:tr w:rsidR="004B4E35" w:rsidRPr="00405303" w14:paraId="382BEBDB" w14:textId="77777777">
        <w:tc>
          <w:tcPr>
            <w:tcW w:w="1104" w:type="dxa"/>
          </w:tcPr>
          <w:p w14:paraId="08685EA2" w14:textId="17808376" w:rsidR="004B4E35" w:rsidRPr="00405303" w:rsidRDefault="00DB4D64" w:rsidP="00C15251">
            <w:pPr>
              <w:jc w:val="both"/>
              <w:rPr>
                <w:bCs/>
                <w:color w:val="002060"/>
                <w:sz w:val="16"/>
                <w:szCs w:val="16"/>
              </w:rPr>
            </w:pPr>
            <w:r w:rsidRPr="00405303">
              <w:rPr>
                <w:bCs/>
                <w:color w:val="002060"/>
                <w:sz w:val="16"/>
                <w:szCs w:val="16"/>
              </w:rPr>
              <w:t xml:space="preserve"> </w:t>
            </w:r>
          </w:p>
        </w:tc>
        <w:tc>
          <w:tcPr>
            <w:tcW w:w="4080" w:type="dxa"/>
          </w:tcPr>
          <w:p w14:paraId="27031CE2" w14:textId="77777777" w:rsidR="004B4E35" w:rsidRPr="00405303" w:rsidRDefault="009E6F82" w:rsidP="00C15251">
            <w:pPr>
              <w:jc w:val="both"/>
              <w:rPr>
                <w:bCs/>
                <w:color w:val="002060"/>
                <w:sz w:val="16"/>
                <w:szCs w:val="16"/>
              </w:rPr>
            </w:pPr>
            <w:r w:rsidRPr="00405303">
              <w:rPr>
                <w:bCs/>
                <w:color w:val="002060"/>
                <w:sz w:val="16"/>
                <w:szCs w:val="16"/>
              </w:rPr>
              <w:t>щитовых листов для артиллерии</w:t>
            </w:r>
          </w:p>
        </w:tc>
        <w:tc>
          <w:tcPr>
            <w:tcW w:w="1584" w:type="dxa"/>
          </w:tcPr>
          <w:p w14:paraId="3D77CE23" w14:textId="77777777" w:rsidR="004B4E35" w:rsidRPr="00405303" w:rsidRDefault="009E6F82" w:rsidP="00C15251">
            <w:pPr>
              <w:jc w:val="both"/>
              <w:rPr>
                <w:bCs/>
                <w:color w:val="002060"/>
                <w:sz w:val="16"/>
                <w:szCs w:val="16"/>
              </w:rPr>
            </w:pPr>
            <w:r w:rsidRPr="00405303">
              <w:rPr>
                <w:bCs/>
                <w:color w:val="002060"/>
                <w:sz w:val="16"/>
                <w:szCs w:val="16"/>
              </w:rPr>
              <w:t xml:space="preserve">10 000 шт. </w:t>
            </w:r>
          </w:p>
        </w:tc>
      </w:tr>
      <w:tr w:rsidR="004B4E35" w:rsidRPr="00405303" w14:paraId="234EE959" w14:textId="77777777">
        <w:tc>
          <w:tcPr>
            <w:tcW w:w="1104" w:type="dxa"/>
          </w:tcPr>
          <w:p w14:paraId="080413EB" w14:textId="0BA91B7C" w:rsidR="004B4E35" w:rsidRPr="00405303" w:rsidRDefault="00DB4D64" w:rsidP="00C15251">
            <w:pPr>
              <w:jc w:val="both"/>
              <w:rPr>
                <w:bCs/>
                <w:color w:val="002060"/>
                <w:sz w:val="16"/>
                <w:szCs w:val="16"/>
              </w:rPr>
            </w:pPr>
            <w:r w:rsidRPr="00405303">
              <w:rPr>
                <w:bCs/>
                <w:color w:val="002060"/>
                <w:sz w:val="16"/>
                <w:szCs w:val="16"/>
              </w:rPr>
              <w:t xml:space="preserve"> </w:t>
            </w:r>
          </w:p>
        </w:tc>
        <w:tc>
          <w:tcPr>
            <w:tcW w:w="4080" w:type="dxa"/>
          </w:tcPr>
          <w:p w14:paraId="1F7CCC4E" w14:textId="77777777" w:rsidR="004B4E35" w:rsidRPr="00405303" w:rsidRDefault="009E6F82" w:rsidP="00C15251">
            <w:pPr>
              <w:jc w:val="both"/>
              <w:rPr>
                <w:bCs/>
                <w:color w:val="002060"/>
                <w:sz w:val="16"/>
                <w:szCs w:val="16"/>
              </w:rPr>
            </w:pPr>
            <w:r w:rsidRPr="00405303">
              <w:rPr>
                <w:bCs/>
                <w:color w:val="002060"/>
                <w:sz w:val="16"/>
                <w:szCs w:val="16"/>
              </w:rPr>
              <w:t>различной стали для своего завода</w:t>
            </w:r>
          </w:p>
        </w:tc>
        <w:tc>
          <w:tcPr>
            <w:tcW w:w="1584" w:type="dxa"/>
          </w:tcPr>
          <w:p w14:paraId="11B68D14" w14:textId="77777777" w:rsidR="004B4E35" w:rsidRPr="00405303" w:rsidRDefault="009E6F82" w:rsidP="00C15251">
            <w:pPr>
              <w:jc w:val="both"/>
              <w:rPr>
                <w:bCs/>
                <w:color w:val="002060"/>
                <w:sz w:val="16"/>
                <w:szCs w:val="16"/>
              </w:rPr>
            </w:pPr>
            <w:r w:rsidRPr="00405303">
              <w:rPr>
                <w:bCs/>
                <w:color w:val="002060"/>
                <w:sz w:val="16"/>
                <w:szCs w:val="16"/>
              </w:rPr>
              <w:t xml:space="preserve">150 000 пудов </w:t>
            </w:r>
          </w:p>
        </w:tc>
      </w:tr>
      <w:tr w:rsidR="004B4E35" w:rsidRPr="00405303" w14:paraId="07414B03" w14:textId="77777777">
        <w:tc>
          <w:tcPr>
            <w:tcW w:w="1104" w:type="dxa"/>
          </w:tcPr>
          <w:p w14:paraId="255AADD6" w14:textId="425BA4E6" w:rsidR="004B4E35" w:rsidRPr="00405303" w:rsidRDefault="00DB4D64" w:rsidP="00C15251">
            <w:pPr>
              <w:jc w:val="both"/>
              <w:rPr>
                <w:bCs/>
                <w:color w:val="002060"/>
                <w:sz w:val="16"/>
                <w:szCs w:val="16"/>
              </w:rPr>
            </w:pPr>
            <w:r w:rsidRPr="00405303">
              <w:rPr>
                <w:bCs/>
                <w:color w:val="002060"/>
                <w:sz w:val="16"/>
                <w:szCs w:val="16"/>
              </w:rPr>
              <w:t xml:space="preserve"> </w:t>
            </w:r>
          </w:p>
        </w:tc>
        <w:tc>
          <w:tcPr>
            <w:tcW w:w="4080" w:type="dxa"/>
          </w:tcPr>
          <w:p w14:paraId="22CBAE8E" w14:textId="77777777" w:rsidR="004B4E35" w:rsidRPr="00405303" w:rsidRDefault="009E6F82" w:rsidP="00C15251">
            <w:pPr>
              <w:jc w:val="both"/>
              <w:rPr>
                <w:bCs/>
                <w:color w:val="002060"/>
                <w:sz w:val="16"/>
                <w:szCs w:val="16"/>
              </w:rPr>
            </w:pPr>
            <w:r w:rsidRPr="00405303">
              <w:rPr>
                <w:bCs/>
                <w:color w:val="002060"/>
                <w:sz w:val="16"/>
                <w:szCs w:val="16"/>
              </w:rPr>
              <w:t>3-дм фугасных снарядов</w:t>
            </w:r>
          </w:p>
        </w:tc>
        <w:tc>
          <w:tcPr>
            <w:tcW w:w="1584" w:type="dxa"/>
          </w:tcPr>
          <w:p w14:paraId="7AF43FD2" w14:textId="77777777" w:rsidR="004B4E35" w:rsidRPr="00405303" w:rsidRDefault="009E6F82" w:rsidP="00C15251">
            <w:pPr>
              <w:jc w:val="both"/>
              <w:rPr>
                <w:bCs/>
                <w:color w:val="002060"/>
                <w:sz w:val="16"/>
                <w:szCs w:val="16"/>
              </w:rPr>
            </w:pPr>
            <w:r w:rsidRPr="00405303">
              <w:rPr>
                <w:bCs/>
                <w:color w:val="002060"/>
                <w:sz w:val="16"/>
                <w:szCs w:val="16"/>
              </w:rPr>
              <w:t xml:space="preserve">1000 000 шт. </w:t>
            </w:r>
          </w:p>
        </w:tc>
      </w:tr>
    </w:tbl>
    <w:p w14:paraId="6EE75EF8" w14:textId="77777777" w:rsidR="004B4E35" w:rsidRPr="00405303" w:rsidRDefault="009E6F82" w:rsidP="00C15251">
      <w:pPr>
        <w:jc w:val="both"/>
        <w:rPr>
          <w:bCs/>
          <w:color w:val="002060"/>
          <w:sz w:val="16"/>
          <w:szCs w:val="16"/>
        </w:rPr>
      </w:pPr>
      <w:r w:rsidRPr="00405303">
        <w:rPr>
          <w:bCs/>
          <w:color w:val="002060"/>
          <w:sz w:val="16"/>
          <w:szCs w:val="16"/>
        </w:rPr>
        <w:t xml:space="preserve">Намечалось построить семь печей Мартена по 30 т и три электрических печи по 1,5 тонны. Годовое производство мартеновского металла — 5 млн пудов. </w:t>
      </w:r>
    </w:p>
    <w:p w14:paraId="3D3348BB" w14:textId="77777777" w:rsidR="004B4E35" w:rsidRPr="00405303" w:rsidRDefault="009E6F82" w:rsidP="00C15251">
      <w:pPr>
        <w:jc w:val="both"/>
        <w:rPr>
          <w:bCs/>
          <w:color w:val="002060"/>
          <w:sz w:val="16"/>
          <w:szCs w:val="16"/>
        </w:rPr>
      </w:pPr>
      <w:r w:rsidRPr="00405303">
        <w:rPr>
          <w:bCs/>
          <w:color w:val="002060"/>
          <w:sz w:val="16"/>
          <w:szCs w:val="16"/>
        </w:rPr>
        <w:t xml:space="preserve">Местом для постройки завода была выбрана станция Каменская Области войска Донского. Общая площадь участка составляла 750 десятин, из коих 135 десятин — под завод непосредственно. </w:t>
      </w:r>
    </w:p>
    <w:p w14:paraId="7379F27D" w14:textId="77777777" w:rsidR="004B4E35" w:rsidRPr="00405303" w:rsidRDefault="009E6F82" w:rsidP="00C15251">
      <w:pPr>
        <w:jc w:val="both"/>
        <w:rPr>
          <w:bCs/>
          <w:color w:val="002060"/>
          <w:sz w:val="16"/>
          <w:szCs w:val="16"/>
        </w:rPr>
      </w:pPr>
      <w:r w:rsidRPr="00405303">
        <w:rPr>
          <w:bCs/>
          <w:color w:val="002060"/>
          <w:sz w:val="16"/>
          <w:szCs w:val="16"/>
        </w:rPr>
        <w:t xml:space="preserve">Строительные работы начаты были в апреле 1916 г. и продолжались до октября 1917 года. </w:t>
      </w:r>
    </w:p>
    <w:p w14:paraId="2858AD55" w14:textId="77777777" w:rsidR="004B4E35" w:rsidRPr="00405303" w:rsidRDefault="009E6F82" w:rsidP="00C15251">
      <w:pPr>
        <w:jc w:val="both"/>
        <w:rPr>
          <w:bCs/>
          <w:color w:val="002060"/>
          <w:sz w:val="16"/>
          <w:szCs w:val="16"/>
        </w:rPr>
      </w:pPr>
      <w:r w:rsidRPr="00405303">
        <w:rPr>
          <w:bCs/>
          <w:color w:val="002060"/>
          <w:sz w:val="16"/>
          <w:szCs w:val="16"/>
        </w:rPr>
        <w:t xml:space="preserve">К этому последнему сроку была выполнена следующая часть работ. Под здание Мартена (площадь 1 дес.) был готов фундамент. Из трех корпусов сверлильно-токарного цеха один окончен, два доведены до крыши и один — до перемычек. Два корпуса инструментального цеха — до потолков. В механической положен цоколь и в управлении — фундамент. Прокатная и молотовая не начаты. </w:t>
      </w:r>
    </w:p>
    <w:p w14:paraId="6CFE5C89" w14:textId="77777777" w:rsidR="004B4E35" w:rsidRPr="00405303" w:rsidRDefault="009E6F82" w:rsidP="00C15251">
      <w:pPr>
        <w:jc w:val="both"/>
        <w:rPr>
          <w:bCs/>
          <w:color w:val="002060"/>
          <w:sz w:val="16"/>
          <w:szCs w:val="16"/>
        </w:rPr>
      </w:pPr>
      <w:r w:rsidRPr="00405303">
        <w:rPr>
          <w:bCs/>
          <w:color w:val="002060"/>
          <w:sz w:val="16"/>
          <w:szCs w:val="16"/>
        </w:rPr>
        <w:t xml:space="preserve">Оборудование было в значительной части заказано, причем крупные заказы даны в Англии и Америке. Из заказанного получена лишь небольшая часть предметов оборудования. Строительство завода закончилось в октябре 1917 г. и в 1918 г. было совершенно ликвидировано. </w:t>
      </w:r>
    </w:p>
    <w:p w14:paraId="7530D89F" w14:textId="77777777" w:rsidR="004B4E35" w:rsidRPr="00405303" w:rsidRDefault="009E6F82" w:rsidP="00C15251">
      <w:pPr>
        <w:jc w:val="both"/>
        <w:rPr>
          <w:bCs/>
          <w:color w:val="002060"/>
          <w:sz w:val="16"/>
          <w:szCs w:val="16"/>
        </w:rPr>
      </w:pPr>
      <w:r w:rsidRPr="00405303">
        <w:rPr>
          <w:bCs/>
          <w:color w:val="002060"/>
          <w:sz w:val="16"/>
          <w:szCs w:val="16"/>
        </w:rPr>
        <w:t xml:space="preserve">По сметам 1916 г. стоимость постройки завода оценивалась в 49 млн рублей. </w:t>
      </w:r>
    </w:p>
    <w:p w14:paraId="6DF3387B" w14:textId="77777777" w:rsidR="004B4E35" w:rsidRPr="00405303" w:rsidRDefault="009E6F82" w:rsidP="00C15251">
      <w:pPr>
        <w:jc w:val="both"/>
        <w:rPr>
          <w:bCs/>
          <w:color w:val="002060"/>
          <w:sz w:val="16"/>
          <w:szCs w:val="16"/>
        </w:rPr>
      </w:pPr>
      <w:r w:rsidRPr="00405303">
        <w:rPr>
          <w:bCs/>
          <w:color w:val="002060"/>
          <w:sz w:val="16"/>
          <w:szCs w:val="16"/>
        </w:rPr>
        <w:t xml:space="preserve">В первоначальном проекте, составленном в первые месяцы войны, имелось в виду на Каменском заводе иметь производство только 3-дм снарядов. Так как опыт мировой войны указал на очень большую потребность в снарядах тяжелой артиллерии и изготовление их не было установлено ни на одном из казенных заводов, то ГАУ признало необходимым при Каменском сталелитейном заводе организовать отдел по изготовлению снарядов среднего и крупного калибра. Основное задание этому отделу было — изготовлять в сутки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4B4E35" w:rsidRPr="00405303" w14:paraId="54A38477" w14:textId="77777777">
        <w:tc>
          <w:tcPr>
            <w:tcW w:w="1788" w:type="dxa"/>
          </w:tcPr>
          <w:p w14:paraId="26CAB61B" w14:textId="77777777" w:rsidR="004B4E35" w:rsidRPr="00405303" w:rsidRDefault="009E6F82" w:rsidP="00C15251">
            <w:pPr>
              <w:jc w:val="both"/>
              <w:rPr>
                <w:bCs/>
                <w:color w:val="002060"/>
                <w:sz w:val="16"/>
                <w:szCs w:val="16"/>
              </w:rPr>
            </w:pPr>
            <w:r w:rsidRPr="00405303">
              <w:rPr>
                <w:bCs/>
                <w:color w:val="002060"/>
                <w:sz w:val="16"/>
                <w:szCs w:val="16"/>
              </w:rPr>
              <w:t>6-дм снарядов</w:t>
            </w:r>
          </w:p>
        </w:tc>
        <w:tc>
          <w:tcPr>
            <w:tcW w:w="936" w:type="dxa"/>
          </w:tcPr>
          <w:p w14:paraId="49B8E12E" w14:textId="77777777" w:rsidR="004B4E35" w:rsidRPr="00405303" w:rsidRDefault="009E6F82" w:rsidP="00C15251">
            <w:pPr>
              <w:jc w:val="both"/>
              <w:rPr>
                <w:bCs/>
                <w:color w:val="002060"/>
                <w:sz w:val="16"/>
                <w:szCs w:val="16"/>
              </w:rPr>
            </w:pPr>
            <w:r w:rsidRPr="00405303">
              <w:rPr>
                <w:bCs/>
                <w:color w:val="002060"/>
                <w:sz w:val="16"/>
                <w:szCs w:val="16"/>
              </w:rPr>
              <w:t xml:space="preserve">10000 </w:t>
            </w:r>
          </w:p>
        </w:tc>
      </w:tr>
      <w:tr w:rsidR="004B4E35" w:rsidRPr="00405303" w14:paraId="2F95157C" w14:textId="77777777">
        <w:tc>
          <w:tcPr>
            <w:tcW w:w="1788" w:type="dxa"/>
          </w:tcPr>
          <w:p w14:paraId="201DB282" w14:textId="77777777" w:rsidR="004B4E35" w:rsidRPr="00405303" w:rsidRDefault="009E6F82" w:rsidP="00C15251">
            <w:pPr>
              <w:jc w:val="both"/>
              <w:rPr>
                <w:bCs/>
                <w:color w:val="002060"/>
                <w:sz w:val="16"/>
                <w:szCs w:val="16"/>
              </w:rPr>
            </w:pPr>
            <w:r w:rsidRPr="00405303">
              <w:rPr>
                <w:bCs/>
                <w:color w:val="002060"/>
                <w:sz w:val="16"/>
                <w:szCs w:val="16"/>
              </w:rPr>
              <w:t>8-дм снарядов</w:t>
            </w:r>
          </w:p>
        </w:tc>
        <w:tc>
          <w:tcPr>
            <w:tcW w:w="936" w:type="dxa"/>
          </w:tcPr>
          <w:p w14:paraId="2E55E092" w14:textId="77777777" w:rsidR="004B4E35" w:rsidRPr="00405303" w:rsidRDefault="009E6F82" w:rsidP="00C15251">
            <w:pPr>
              <w:jc w:val="both"/>
              <w:rPr>
                <w:bCs/>
                <w:color w:val="002060"/>
                <w:sz w:val="16"/>
                <w:szCs w:val="16"/>
              </w:rPr>
            </w:pPr>
            <w:r w:rsidRPr="00405303">
              <w:rPr>
                <w:bCs/>
                <w:color w:val="002060"/>
                <w:sz w:val="16"/>
                <w:szCs w:val="16"/>
              </w:rPr>
              <w:t xml:space="preserve">1000 </w:t>
            </w:r>
          </w:p>
        </w:tc>
      </w:tr>
      <w:tr w:rsidR="004B4E35" w:rsidRPr="00405303" w14:paraId="0712FB66" w14:textId="77777777">
        <w:tc>
          <w:tcPr>
            <w:tcW w:w="1788" w:type="dxa"/>
          </w:tcPr>
          <w:p w14:paraId="056604BA" w14:textId="77777777" w:rsidR="004B4E35" w:rsidRPr="00405303" w:rsidRDefault="009E6F82" w:rsidP="00C15251">
            <w:pPr>
              <w:jc w:val="both"/>
              <w:rPr>
                <w:bCs/>
                <w:color w:val="002060"/>
                <w:sz w:val="16"/>
                <w:szCs w:val="16"/>
              </w:rPr>
            </w:pPr>
            <w:r w:rsidRPr="00405303">
              <w:rPr>
                <w:bCs/>
                <w:color w:val="002060"/>
                <w:sz w:val="16"/>
                <w:szCs w:val="16"/>
              </w:rPr>
              <w:t>11-12-дм снарядов</w:t>
            </w:r>
          </w:p>
        </w:tc>
        <w:tc>
          <w:tcPr>
            <w:tcW w:w="936" w:type="dxa"/>
          </w:tcPr>
          <w:p w14:paraId="35CFFC68" w14:textId="77777777" w:rsidR="004B4E35" w:rsidRPr="00405303" w:rsidRDefault="009E6F82" w:rsidP="00C15251">
            <w:pPr>
              <w:jc w:val="both"/>
              <w:rPr>
                <w:bCs/>
                <w:color w:val="002060"/>
                <w:sz w:val="16"/>
                <w:szCs w:val="16"/>
              </w:rPr>
            </w:pPr>
            <w:r w:rsidRPr="00405303">
              <w:rPr>
                <w:bCs/>
                <w:color w:val="002060"/>
                <w:sz w:val="16"/>
                <w:szCs w:val="16"/>
              </w:rPr>
              <w:t>200</w:t>
            </w:r>
          </w:p>
        </w:tc>
      </w:tr>
    </w:tbl>
    <w:p w14:paraId="7E4334D1" w14:textId="77777777" w:rsidR="004B4E35" w:rsidRPr="00405303" w:rsidRDefault="009E6F82" w:rsidP="00C15251">
      <w:pPr>
        <w:jc w:val="both"/>
        <w:rPr>
          <w:bCs/>
          <w:color w:val="002060"/>
          <w:sz w:val="16"/>
          <w:szCs w:val="16"/>
        </w:rPr>
      </w:pPr>
      <w:r w:rsidRPr="00405303">
        <w:rPr>
          <w:bCs/>
          <w:color w:val="002060"/>
          <w:sz w:val="16"/>
          <w:szCs w:val="16"/>
        </w:rPr>
        <w:t xml:space="preserve">Дополнительные расходы, вызываемые сооружением снарядного отдела, выражались в следующих цифрах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4B4E35" w:rsidRPr="00405303" w14:paraId="2193EE38" w14:textId="77777777">
        <w:tc>
          <w:tcPr>
            <w:tcW w:w="1788" w:type="dxa"/>
          </w:tcPr>
          <w:p w14:paraId="734E420A" w14:textId="77777777" w:rsidR="004B4E35" w:rsidRPr="00405303" w:rsidRDefault="009E6F82" w:rsidP="00C15251">
            <w:pPr>
              <w:jc w:val="both"/>
              <w:rPr>
                <w:bCs/>
                <w:color w:val="002060"/>
                <w:sz w:val="16"/>
                <w:szCs w:val="16"/>
              </w:rPr>
            </w:pPr>
            <w:r w:rsidRPr="00405303">
              <w:rPr>
                <w:bCs/>
                <w:color w:val="002060"/>
                <w:sz w:val="16"/>
                <w:szCs w:val="16"/>
              </w:rPr>
              <w:t>строительные работы</w:t>
            </w:r>
          </w:p>
        </w:tc>
        <w:tc>
          <w:tcPr>
            <w:tcW w:w="936" w:type="dxa"/>
          </w:tcPr>
          <w:p w14:paraId="1C486D40" w14:textId="77777777" w:rsidR="004B4E35" w:rsidRPr="00405303" w:rsidRDefault="009E6F82" w:rsidP="00C15251">
            <w:pPr>
              <w:jc w:val="both"/>
              <w:rPr>
                <w:bCs/>
                <w:color w:val="002060"/>
                <w:sz w:val="16"/>
                <w:szCs w:val="16"/>
              </w:rPr>
            </w:pPr>
            <w:r w:rsidRPr="00405303">
              <w:rPr>
                <w:bCs/>
                <w:color w:val="002060"/>
                <w:sz w:val="16"/>
                <w:szCs w:val="16"/>
              </w:rPr>
              <w:t xml:space="preserve">42,5 </w:t>
            </w:r>
          </w:p>
        </w:tc>
      </w:tr>
      <w:tr w:rsidR="004B4E35" w:rsidRPr="00405303" w14:paraId="4003DA9F" w14:textId="77777777">
        <w:tc>
          <w:tcPr>
            <w:tcW w:w="1788" w:type="dxa"/>
          </w:tcPr>
          <w:p w14:paraId="43269623" w14:textId="77777777" w:rsidR="004B4E35" w:rsidRPr="00405303" w:rsidRDefault="009E6F82" w:rsidP="00C15251">
            <w:pPr>
              <w:jc w:val="both"/>
              <w:rPr>
                <w:bCs/>
                <w:color w:val="002060"/>
                <w:sz w:val="16"/>
                <w:szCs w:val="16"/>
              </w:rPr>
            </w:pPr>
            <w:r w:rsidRPr="00405303">
              <w:rPr>
                <w:bCs/>
                <w:color w:val="002060"/>
                <w:sz w:val="16"/>
                <w:szCs w:val="16"/>
              </w:rPr>
              <w:t>механические работы</w:t>
            </w:r>
          </w:p>
        </w:tc>
        <w:tc>
          <w:tcPr>
            <w:tcW w:w="936" w:type="dxa"/>
          </w:tcPr>
          <w:p w14:paraId="3A5A949B" w14:textId="77777777" w:rsidR="004B4E35" w:rsidRPr="00405303" w:rsidRDefault="009E6F82" w:rsidP="00C15251">
            <w:pPr>
              <w:jc w:val="both"/>
              <w:rPr>
                <w:bCs/>
                <w:color w:val="002060"/>
                <w:sz w:val="16"/>
                <w:szCs w:val="16"/>
              </w:rPr>
            </w:pPr>
            <w:r w:rsidRPr="00405303">
              <w:rPr>
                <w:bCs/>
                <w:color w:val="002060"/>
                <w:sz w:val="16"/>
                <w:szCs w:val="16"/>
              </w:rPr>
              <w:t xml:space="preserve">93,5 </w:t>
            </w:r>
          </w:p>
        </w:tc>
      </w:tr>
      <w:tr w:rsidR="004B4E35" w:rsidRPr="00405303" w14:paraId="73467B2E" w14:textId="77777777">
        <w:tc>
          <w:tcPr>
            <w:tcW w:w="1788" w:type="dxa"/>
          </w:tcPr>
          <w:p w14:paraId="6EE6D735" w14:textId="77777777" w:rsidR="004B4E35" w:rsidRPr="00405303" w:rsidRDefault="009E6F82" w:rsidP="00C15251">
            <w:pPr>
              <w:jc w:val="both"/>
              <w:rPr>
                <w:bCs/>
                <w:color w:val="002060"/>
                <w:sz w:val="16"/>
                <w:szCs w:val="16"/>
              </w:rPr>
            </w:pPr>
            <w:r w:rsidRPr="00405303">
              <w:rPr>
                <w:bCs/>
                <w:color w:val="002060"/>
                <w:sz w:val="16"/>
                <w:szCs w:val="16"/>
              </w:rPr>
              <w:t>прочие расходы</w:t>
            </w:r>
          </w:p>
        </w:tc>
        <w:tc>
          <w:tcPr>
            <w:tcW w:w="936" w:type="dxa"/>
          </w:tcPr>
          <w:p w14:paraId="28DAF71A" w14:textId="77777777" w:rsidR="004B4E35" w:rsidRPr="00405303" w:rsidRDefault="009E6F82" w:rsidP="00C15251">
            <w:pPr>
              <w:jc w:val="both"/>
              <w:rPr>
                <w:bCs/>
                <w:color w:val="002060"/>
                <w:sz w:val="16"/>
                <w:szCs w:val="16"/>
              </w:rPr>
            </w:pPr>
            <w:r w:rsidRPr="00405303">
              <w:rPr>
                <w:bCs/>
                <w:color w:val="002060"/>
                <w:sz w:val="16"/>
                <w:szCs w:val="16"/>
              </w:rPr>
              <w:t xml:space="preserve">2,0 </w:t>
            </w:r>
          </w:p>
        </w:tc>
      </w:tr>
      <w:tr w:rsidR="004B4E35" w:rsidRPr="00405303" w14:paraId="03DB2948" w14:textId="77777777">
        <w:tc>
          <w:tcPr>
            <w:tcW w:w="1788" w:type="dxa"/>
          </w:tcPr>
          <w:p w14:paraId="71F092A3" w14:textId="77777777" w:rsidR="004B4E35" w:rsidRPr="00405303" w:rsidRDefault="009E6F82" w:rsidP="00C15251">
            <w:pPr>
              <w:jc w:val="both"/>
              <w:rPr>
                <w:bCs/>
                <w:color w:val="002060"/>
                <w:sz w:val="16"/>
                <w:szCs w:val="16"/>
              </w:rPr>
            </w:pPr>
            <w:r w:rsidRPr="00405303">
              <w:rPr>
                <w:bCs/>
                <w:color w:val="002060"/>
                <w:sz w:val="16"/>
                <w:szCs w:val="16"/>
              </w:rPr>
              <w:lastRenderedPageBreak/>
              <w:t>Итого</w:t>
            </w:r>
          </w:p>
        </w:tc>
        <w:tc>
          <w:tcPr>
            <w:tcW w:w="936" w:type="dxa"/>
          </w:tcPr>
          <w:p w14:paraId="35366C07" w14:textId="77777777" w:rsidR="004B4E35" w:rsidRPr="00405303" w:rsidRDefault="009E6F82" w:rsidP="00C15251">
            <w:pPr>
              <w:jc w:val="both"/>
              <w:rPr>
                <w:bCs/>
                <w:color w:val="002060"/>
                <w:sz w:val="16"/>
                <w:szCs w:val="16"/>
              </w:rPr>
            </w:pPr>
            <w:r w:rsidRPr="00405303">
              <w:rPr>
                <w:bCs/>
                <w:color w:val="002060"/>
                <w:sz w:val="16"/>
                <w:szCs w:val="16"/>
              </w:rPr>
              <w:t xml:space="preserve">138,0. </w:t>
            </w:r>
          </w:p>
        </w:tc>
      </w:tr>
    </w:tbl>
    <w:p w14:paraId="09CB4F61" w14:textId="77777777" w:rsidR="004B4E35" w:rsidRPr="00405303" w:rsidRDefault="009E6F82" w:rsidP="00C15251">
      <w:pPr>
        <w:jc w:val="both"/>
        <w:rPr>
          <w:bCs/>
          <w:color w:val="002060"/>
          <w:sz w:val="16"/>
          <w:szCs w:val="16"/>
        </w:rPr>
      </w:pPr>
      <w:r w:rsidRPr="00405303">
        <w:rPr>
          <w:bCs/>
          <w:color w:val="002060"/>
          <w:sz w:val="16"/>
          <w:szCs w:val="16"/>
        </w:rPr>
        <w:t xml:space="preserve">Однако к осуществлению этого дополнительного проекта приступлено не было (11329). </w:t>
      </w:r>
    </w:p>
    <w:p w14:paraId="57B0F3C2" w14:textId="77777777" w:rsidR="004B4E35" w:rsidRPr="00405303" w:rsidRDefault="004B4E35" w:rsidP="00C15251">
      <w:pPr>
        <w:jc w:val="both"/>
        <w:rPr>
          <w:bCs/>
          <w:i/>
          <w:color w:val="002060"/>
          <w:sz w:val="16"/>
          <w:szCs w:val="16"/>
        </w:rPr>
      </w:pPr>
    </w:p>
    <w:p w14:paraId="3A844A2B" w14:textId="10CA9EFE" w:rsidR="004B4E35" w:rsidRPr="00405303" w:rsidRDefault="002A10E8"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августе 1915 г. </w:t>
      </w:r>
      <w:r w:rsidRPr="00405303">
        <w:rPr>
          <w:bCs/>
          <w:color w:val="002060"/>
          <w:sz w:val="16"/>
          <w:szCs w:val="16"/>
        </w:rPr>
        <w:t xml:space="preserve">заявленная потребность в 60 тыс. пудов взрывчатых веществ в месяц уже </w:t>
      </w:r>
      <w:r w:rsidR="009E6F82" w:rsidRPr="00405303">
        <w:rPr>
          <w:bCs/>
          <w:color w:val="002060"/>
          <w:sz w:val="16"/>
          <w:szCs w:val="16"/>
        </w:rPr>
        <w:t>стала удовлетворяться. Строительство заводов шло быстрыми темпами. Если в феврале 1915 г. были всего 1 частный и 2 казенных завода взрывчатых веществ, то в марте 1916 г. насчитывалось уже 10 частных, дававших совместно с 2 казенными предприятиями (141 тыс. пуд.) почти 800 тыс. пудов взрывчатых веществ [РГВИА. Ф. 369. Оп. 1. Д. 175. Л. 157; Барсуков Е.З. Указ. соч. С. 285].</w:t>
      </w:r>
    </w:p>
    <w:p w14:paraId="001E34A8" w14:textId="77777777" w:rsidR="004B4E35" w:rsidRPr="00405303" w:rsidRDefault="009E6F82" w:rsidP="00C15251">
      <w:pPr>
        <w:jc w:val="both"/>
        <w:rPr>
          <w:bCs/>
          <w:color w:val="002060"/>
          <w:sz w:val="16"/>
          <w:szCs w:val="16"/>
        </w:rPr>
      </w:pPr>
      <w:r w:rsidRPr="00405303">
        <w:rPr>
          <w:bCs/>
          <w:color w:val="002060"/>
          <w:sz w:val="16"/>
          <w:szCs w:val="16"/>
        </w:rPr>
        <w:t>Чрезвычайно важной задачей в условиях войны явилось налаживание новых способов производства взрывчатых веществ, сырье для которых раньше ввозилось из Германии. В.Н. Ипатьевым был разработан способ улавливания бензола из отходов угля в коксовых печах и получения бензола путем пирогенизации нефти. Быстрая постройка (всего за пять с половиной месяцев) казенного бензольного завода при кадиевских коксовых печах Южно-Днепровского общества, оконченная к 1 сентября 1915 г., привлекла к этому делу многие частные фирмы. Большинство строившихся заводов были полностью готовы уже к лету 1916 г. Это дало увеличение производства сырого бензола только в Донбассе с 15,6 пуд. в начале 1915 г. до 69,4 пуд. в конце 1916 г., а общегодовое производство в целом к этому времени увеличилось в 2 раза [Ипатьев В. Работа химической промышленности на оборону во время войны. Пг., 1920. С. 5, 7, 12-13].</w:t>
      </w:r>
    </w:p>
    <w:p w14:paraId="21D6CD20" w14:textId="77777777" w:rsidR="004B4E35" w:rsidRPr="00405303" w:rsidRDefault="009E6F82" w:rsidP="00C15251">
      <w:pPr>
        <w:jc w:val="both"/>
        <w:rPr>
          <w:bCs/>
          <w:color w:val="002060"/>
          <w:sz w:val="16"/>
          <w:szCs w:val="16"/>
        </w:rPr>
      </w:pPr>
      <w:r w:rsidRPr="00405303">
        <w:rPr>
          <w:bCs/>
          <w:color w:val="002060"/>
          <w:sz w:val="16"/>
          <w:szCs w:val="16"/>
        </w:rPr>
        <w:t>Производство пирогенизации нефти налаживалось в 1915-1916 гг. на 6 предприятиях. Из них только один завод Нобеля довел в конце 1916 г. выработку бензола и толуола уже до 12 тыс. пуд. в месяц. Было построено 2 казенных завода (Екатеринодар, Грозный) с крупными ректификационными установками, которые получали толуол из определенных сортов бензина и лигроина от 4 до 6 тыс. пуд. в месяц [РГВИА. Ф. 369. Оп. 16. Д. 89. Л. 33об.-34].</w:t>
      </w:r>
    </w:p>
    <w:p w14:paraId="48881207" w14:textId="77777777" w:rsidR="004B4E35" w:rsidRPr="00405303" w:rsidRDefault="009E6F82" w:rsidP="00C15251">
      <w:pPr>
        <w:jc w:val="both"/>
        <w:rPr>
          <w:bCs/>
          <w:color w:val="002060"/>
          <w:sz w:val="16"/>
          <w:szCs w:val="16"/>
        </w:rPr>
      </w:pPr>
      <w:r w:rsidRPr="00405303">
        <w:rPr>
          <w:bCs/>
          <w:color w:val="002060"/>
          <w:sz w:val="16"/>
          <w:szCs w:val="16"/>
        </w:rPr>
        <w:t>Очень большую роль сыграло в годы войны налаживание производства кислот. Изготовление синтетического фенола для производства пикриновой кислоты начали построенные в Москве завод «Фарбверке» и 2 завода на Юге России. В итоге выработка фенола увеличилась с 8,3 тыс. пуд. в начале 1916 г. до 13,5 тыс. пуд. в конце года. Особенно трудное положение было с производством серной кислоты в связи с сокращением ввоза колчедана и оккупацией Польши и прибалтийских губерний, где находилось большинство сернокислотных заводов. В результате производство серной кислоты осенью 1915 г. упало до 700 тыс. пуд. против 1,25 млн. пудов в довоенный период. Для исправления положения приступили к постройке 20 новых сернокислотных заводов. Всего к маю 1917 г. в России было сооружено 32 предприятия этого профиля, что дало увеличение выработки серной кислоты до 1864,7 тыс. пуд. в месяц [Ипатьев В. Указ. соч. С. 19, 18, 21.]. Производство азотной кислоты в годы войны резко снизилось в связи с трудностями в доставке чилийской селитры. Химическим комитетом был разработан новый способ получения азотной кислоты из аммиака и на его основе был сооружен опытный завод в Макеевке.</w:t>
      </w:r>
    </w:p>
    <w:p w14:paraId="272870C2" w14:textId="77777777" w:rsidR="004B4E35" w:rsidRPr="00405303" w:rsidRDefault="009E6F82" w:rsidP="00C15251">
      <w:pPr>
        <w:jc w:val="both"/>
        <w:rPr>
          <w:bCs/>
          <w:color w:val="002060"/>
          <w:sz w:val="16"/>
          <w:szCs w:val="16"/>
        </w:rPr>
      </w:pPr>
      <w:r w:rsidRPr="00405303">
        <w:rPr>
          <w:bCs/>
          <w:color w:val="002060"/>
          <w:sz w:val="16"/>
          <w:szCs w:val="16"/>
        </w:rPr>
        <w:t>Благодаря развитию указанных производств химической промышленности было развернуто и строительство специальных заводов взрывчатых веществ. Всего, по данным В.Н. Ипатьева, к концу войны было построено 25 мастерских и заводов по производству взрывчатых веществ. Наряду с частными заводами, которые численно преобладали в этой группе, строилось два казенных: в Нижнем Новгороде и в Грозном (не был достроен). Все это позволило значительно увеличить производство взрывчатых веществ, которое за 11 месяцев 1915 г. составляло 503,0 тыс. пудов, за весь 1916 г. - 1668,7 тыс. пудов, а за 6 месяцев 1917 г. - 1243, 4 тыс. пудов [РГВИА. Ф. 369. Оп. 16. Д. 89. Л. 16об.-17, 33об.-34.].</w:t>
      </w:r>
    </w:p>
    <w:p w14:paraId="557A90A0" w14:textId="77777777" w:rsidR="004B4E35" w:rsidRPr="00405303" w:rsidRDefault="009E6F82" w:rsidP="00C15251">
      <w:pPr>
        <w:jc w:val="both"/>
        <w:rPr>
          <w:bCs/>
          <w:color w:val="002060"/>
          <w:sz w:val="16"/>
          <w:szCs w:val="16"/>
        </w:rPr>
      </w:pPr>
      <w:r w:rsidRPr="00405303">
        <w:rPr>
          <w:bCs/>
          <w:color w:val="002060"/>
          <w:sz w:val="16"/>
          <w:szCs w:val="16"/>
        </w:rPr>
        <w:t>Менее успешным в годы войны явилось сооружение двух пороховых заводов - частного (акционерное общество механических, гильзовых и трубочных заводов П.В. Барановского), сооружавшегося в Коврове Владимирской губернии и 4-ого казенного (Тамбовского). Осенью 1915 г. подготовительная комиссия по артиллерийским вопросам Особого совещания по обороне отмечала, что постройка указанных заводов находится в крайне неудовлетворительном положении [РГВИА. Ф. 369. Оп. 3. Д. 6. Л. 7.]. Несколько улучшилось дело к весне 1916 г. с постройкой завода общества Барановского, который уже с июня должен был начать производство пороха путем переработки заграничного пироксилина, а с августа осуществлять производство на собственном сырье. Весной постройки пироксилинового отдела были уже большей частью закончены и, по мере доставки механизмов и аппаратов, оборудовались. Производство пороха из готового пироксилина на казенном Тамбовском заводе должно было начаться в мае 1916 г. Однако срок отодвигался до июля в связи с опозданием в доставке оборудования, как заграничного, так и с русских заводов. Полное окончание строительства и пуск завода был перенесен на 1918 г. [РГВИА. Ф. 369. Оп. 16. Д. 135. Л. 43-43об., 45.] Такая ситуация со строительством пороховых заводов приводила к тому, что около 62 % потребности русской армии в порохе удовлетворялись за счет экспорта[22].</w:t>
      </w:r>
    </w:p>
    <w:p w14:paraId="5A0B3545" w14:textId="77777777" w:rsidR="004B4E35" w:rsidRPr="00405303" w:rsidRDefault="009E6F82" w:rsidP="00C15251">
      <w:pPr>
        <w:jc w:val="both"/>
        <w:rPr>
          <w:bCs/>
          <w:color w:val="002060"/>
          <w:sz w:val="16"/>
          <w:szCs w:val="16"/>
        </w:rPr>
      </w:pPr>
      <w:r w:rsidRPr="00405303">
        <w:rPr>
          <w:bCs/>
          <w:color w:val="002060"/>
          <w:sz w:val="16"/>
          <w:szCs w:val="16"/>
        </w:rPr>
        <w:t>Итак, в целом заводское строительство в отдельных производствах химической промышленности, особенно связанное с производством взрывчатых веществ и кислот, осуществлялось в значительных размерах и было достаточно успешным (11863).</w:t>
      </w:r>
    </w:p>
    <w:p w14:paraId="7B078E86" w14:textId="77777777" w:rsidR="004B4E35" w:rsidRPr="00405303" w:rsidRDefault="004B4E35" w:rsidP="00C15251">
      <w:pPr>
        <w:jc w:val="both"/>
        <w:rPr>
          <w:bCs/>
          <w:color w:val="002060"/>
          <w:sz w:val="16"/>
          <w:szCs w:val="16"/>
        </w:rPr>
      </w:pPr>
    </w:p>
    <w:p w14:paraId="6540E401" w14:textId="54FB06FC" w:rsidR="004B4E35" w:rsidRPr="00405303" w:rsidRDefault="002A10E8"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w:t>
      </w:r>
      <w:r w:rsidR="009E6F82" w:rsidRPr="00405303">
        <w:rPr>
          <w:bCs/>
          <w:i w:val="0"/>
          <w:color w:val="002060"/>
          <w:spacing w:val="0"/>
          <w:kern w:val="0"/>
          <w:position w:val="0"/>
          <w:sz w:val="16"/>
          <w:szCs w:val="16"/>
        </w:rPr>
        <w:t xml:space="preserve"> августе 1915 г.</w:t>
      </w:r>
      <w:r w:rsidRPr="00405303">
        <w:rPr>
          <w:bCs/>
          <w:i w:val="0"/>
          <w:color w:val="002060"/>
          <w:spacing w:val="0"/>
          <w:kern w:val="0"/>
          <w:position w:val="0"/>
          <w:sz w:val="16"/>
          <w:szCs w:val="16"/>
        </w:rPr>
        <w:t xml:space="preserve"> началось</w:t>
      </w:r>
      <w:r w:rsidR="009E6F82" w:rsidRPr="00405303">
        <w:rPr>
          <w:bCs/>
          <w:i w:val="0"/>
          <w:color w:val="002060"/>
          <w:spacing w:val="0"/>
          <w:kern w:val="0"/>
          <w:position w:val="0"/>
          <w:sz w:val="16"/>
          <w:szCs w:val="16"/>
        </w:rPr>
        <w:t xml:space="preserve"> </w:t>
      </w:r>
      <w:r w:rsidRPr="00405303">
        <w:rPr>
          <w:bCs/>
          <w:i w:val="0"/>
          <w:color w:val="002060"/>
          <w:spacing w:val="0"/>
          <w:kern w:val="0"/>
          <w:position w:val="0"/>
          <w:sz w:val="16"/>
          <w:szCs w:val="16"/>
        </w:rPr>
        <w:t xml:space="preserve">заготовление удушающих средств, </w:t>
      </w:r>
      <w:r w:rsidR="009E6F82" w:rsidRPr="00405303">
        <w:rPr>
          <w:bCs/>
          <w:i w:val="0"/>
          <w:color w:val="002060"/>
          <w:spacing w:val="0"/>
          <w:kern w:val="0"/>
          <w:position w:val="0"/>
          <w:sz w:val="16"/>
          <w:szCs w:val="16"/>
        </w:rPr>
        <w:t xml:space="preserve">причем в первые месяцы производительность химических заводов не превышала 150-500 пудов. Большие затруднения встречались не только в выборе самих средств, но и в способе добывания, а главным образом сжижения с целью снаряжения баллонов и снарядов. </w:t>
      </w:r>
    </w:p>
    <w:p w14:paraId="0577E8D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Приходилось не только заботиться о химическом способе добывания того или другого газа, но и о побочных технических производствах, например, холодильном деле, не знавшем у нас до сих пор тех низких температур (-50°), какие понадобились, например, для хлора. </w:t>
      </w:r>
    </w:p>
    <w:p w14:paraId="642B1CF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первую очередь налажено было производство жидкого хлора, который до войны привозился целиком из-за границы и то в небольшом количестве, затем приступлеяо было к производству фосгена, изготовление которого за полным отсутствием этого вида промышленности в России и совершенным незнанием его фабричного производства встретило крайние трудности. </w:t>
      </w:r>
    </w:p>
    <w:p w14:paraId="65044DA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Для выяснения действия других ядовитых жидкостей понадобились опыты физиологического характера, с целью установить их токсическое действие и степень их пригодности для преследуемых целей. </w:t>
      </w:r>
    </w:p>
    <w:p w14:paraId="7123286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августе 1915 г. добыто было впервые хлора 167 пудов. Фосген появился в октябре, причем за первый месяц производство его составляло лишь 1 п. 13 ф. в день. </w:t>
      </w:r>
    </w:p>
    <w:p w14:paraId="6CD0D39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Затем производство всех жидкостей постепенно увеличивалось и к 1 января 1916 г. общее количество добытых жидкостей составляло уже 17.544 пуда. </w:t>
      </w:r>
    </w:p>
    <w:p w14:paraId="2253789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Весною 1916 г. были пущены в ход новые заводы, и в результате общее количество жидкостей за все время существования комиссия У. С. достигло к 1 ноября 1916 г., т. е. за 15 месяцев, 190.600 пудов. Из этого количества отправлено было на фронт - 142.500 пудов, т. е. 72,5% всей выработки. </w:t>
      </w:r>
    </w:p>
    <w:p w14:paraId="77452B9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Месячное количество жидкостей, добываемых на заводах, все возрастало благодаря увеличению производительности существующих заводов и возникновению новых как частных, так и казенных. </w:t>
      </w:r>
    </w:p>
    <w:p w14:paraId="33A7172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Иллюстрацией роста общей производительности могут служить следующие цифры: за октябрь 1916 г. добыто было 20.600 пудов; программой 1917 г. предусматривалась месячная производительность на январь 36.000 пудов, а на май - 80.000 пудов. </w:t>
      </w:r>
    </w:p>
    <w:p w14:paraId="2C30FDF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Одновременно с производством удушающих средств на русских заводах дан был заказ на поставку жидкого хлора в Англии - 150.000 пуд., но в счет этого количества до 1917 г. прибыло 25.000 пудов, что составляла лишь 16% всего количества удушающих средств, имеющихся в распоряжении армии. Остальные же 84% добыты на русских заводах. </w:t>
      </w:r>
    </w:p>
    <w:p w14:paraId="6E8C377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Снаряжение У. С. </w:t>
      </w:r>
    </w:p>
    <w:p w14:paraId="14397DD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Удушающие средства применялись для снаряжения снарядов и баллонов. </w:t>
      </w:r>
    </w:p>
    <w:p w14:paraId="7C9C98C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Снаряды </w:t>
      </w:r>
    </w:p>
    <w:p w14:paraId="1E9F2DE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Удушающие средства в артиллерийских снарядах применялись в виде 76-мм химических гранат и ручных гранат. </w:t>
      </w:r>
    </w:p>
    <w:p w14:paraId="5BB064D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Снабжение 76-мм химическими снарядами началось в феврале 1916 г. Первоначальная потребность в них была заявлена в 2 парка в месяц, затем эта норма постепенно увеличивалась, и после майского и июньского наступлений указано было довести число таких снарядов до 5 парков (150.000 снарядов) в месяц. </w:t>
      </w:r>
    </w:p>
    <w:p w14:paraId="191A2E6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76-мм химические снаряды изготовлялись двух типов: а) удушающие, действие которых вызывало поражение дыхательных органов и глаз в такой степени, что пребывание людей в этой атмосфере было невозможно; б) ядовитые, действие которых вызывало обморок или смерть в зависимости от степени концентрации. </w:t>
      </w:r>
    </w:p>
    <w:p w14:paraId="1C720CA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lastRenderedPageBreak/>
        <w:t xml:space="preserve">К осени 1916 г. требования армии на эти снаряды полностью удовлетворялись; ежемесячно на фронты отправлялось 5 парков, в том числе 1 ядовитый и 4 удушающих (на зимнее время пред, полагалось высылать по 2 ядовитых и по 3 удушающих парка) </w:t>
      </w:r>
    </w:p>
    <w:p w14:paraId="5E5BBB6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Всего в действующую армию до ноября 1916 г. было выслано 95.000 ядовитых и 945.000 удушающих снарядов. </w:t>
      </w:r>
    </w:p>
    <w:p w14:paraId="003157B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Эти снаряды (главным образом удушающие) неоднократно применялись на фронте. Отзывы об их действии получались вполне удовлетворительные: замечено было, что при обстреле этими снарядами неприятельские батареи быстро умолкала. Полевой генерал-инспектор телеграфировал начальнику ГАУ, что в майском и июньском наступлении 1916 г. химические снаряды оказали большую услугу армии. </w:t>
      </w:r>
    </w:p>
    <w:p w14:paraId="7FFF575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Кроме 76-мм химических снарядов, приготовленных в России, 500.000 ядовитых 76-мм снарядов заказано было в Англии; около 100.000 из них были готовы к концу 1916 г. Снабжение нашей армии химическими снарядами большого калибра затруднялось недостатком корпусов снарядов, которые полностью назначались для снаряжения взрывчатыми веществами. </w:t>
      </w:r>
    </w:p>
    <w:p w14:paraId="01C62CC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Для боевого опыта предполагалось доставить на фронты в начале 1917 г. по 3.000 снарядов - 152-мм гаубичных и 107-мм пушечных. </w:t>
      </w:r>
    </w:p>
    <w:p w14:paraId="2AB0888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Кроме того, заказаны были химические снаряды к минометам, причем в каждый такой снаряд помещалось около пуда У. С. </w:t>
      </w:r>
    </w:p>
    <w:p w14:paraId="5171E89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конце 1916 г. выслано было в действующую армию 9.500 ручных стеклянных гранат с У. С. и было заказано еще 100.000 ручных химических гранат. Гранаты эти, а также химические мины ожидались в армию к весне 1917 г. </w:t>
      </w:r>
    </w:p>
    <w:p w14:paraId="19F532B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Баллоны </w:t>
      </w:r>
    </w:p>
    <w:p w14:paraId="6EA756F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Баллоны с сжиженным газом применялись для производства газововой атаки в виде газового облака, направляемого в неприятельские окопы при помощи попутного ветра. Главной принадлежностью газовых атак являются баллоны, испытываемые на высокое давление. Производства таких баллонов в России не существовало, так как баллоны аналогичной конструкции, как, например, аммиачные и кислородные, привозились из-за границы. </w:t>
      </w:r>
    </w:p>
    <w:p w14:paraId="24C1372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Потребовалась выработка типа баллонов и установка специального оборудования да трубопрокатных заводах. </w:t>
      </w:r>
    </w:p>
    <w:p w14:paraId="236E783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Конструкция баллонов все время совершенствовалась: от малых сварных перешли к большим без сварных швов - штампованным баллонам. </w:t>
      </w:r>
    </w:p>
    <w:p w14:paraId="600698A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До ноября 1916 г. изготовлено было 184.000 баллонов; из них снаряжено и отправлено на фронт 89.000, т. е. 48,5%. </w:t>
      </w:r>
    </w:p>
    <w:p w14:paraId="781BA4E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Одновременно к баллонам были впервые сконструированы специальные коллекторы-распылители и другие принадлежности, обслуживающие баллоны во время атаки. </w:t>
      </w:r>
    </w:p>
    <w:p w14:paraId="5792D28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С октября 1915 г. начали формироваться особые химические команды и отправляться на фронт. До начала 1917 г. было отправлено на фронт 13 химических команд, принимавших участие в боевых действиях. Запас сжиженного газа для боевого выступления вначале для каждой команды составлял по 1.875 пудов, затем к марту 1916 г. - 3.750 пудов и в конце того же года был доведен до 10.500 пудов. </w:t>
      </w:r>
    </w:p>
    <w:p w14:paraId="36A3EC0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Кроме того, на фронте организованы были тыловые склады для пополнения убыли и снабжения химических команд новым специальным имуществом. </w:t>
      </w:r>
    </w:p>
    <w:p w14:paraId="49A3622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Для усиления всего газового и противогазового дела на фронтах были назначены особые штаб-офицеры, получившие специальную для этого подготовку как практическую, так и теоретическую в Химическом комитете при ГАУ. </w:t>
      </w:r>
    </w:p>
    <w:p w14:paraId="1BF8305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С 1917 г. предполагалось для химической борьбы применять смеси не менее ядовитые, чем употребляли немцы, и по токсическому действию своему значительно превосходящие те, которые применялись нами до того времени (11483).</w:t>
      </w:r>
    </w:p>
    <w:p w14:paraId="1B62E407" w14:textId="77777777" w:rsidR="004B4E35" w:rsidRPr="00405303" w:rsidRDefault="004B4E35" w:rsidP="00C15251">
      <w:pPr>
        <w:pStyle w:val="a3"/>
        <w:jc w:val="both"/>
        <w:rPr>
          <w:bCs/>
          <w:i w:val="0"/>
          <w:color w:val="002060"/>
          <w:spacing w:val="0"/>
          <w:kern w:val="0"/>
          <w:position w:val="0"/>
          <w:sz w:val="16"/>
          <w:szCs w:val="16"/>
        </w:rPr>
      </w:pPr>
    </w:p>
    <w:p w14:paraId="3BD2AE65" w14:textId="7F269F4C" w:rsidR="004B4E35" w:rsidRPr="00405303" w:rsidRDefault="002A10E8"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августе 1915 г.</w:t>
      </w:r>
      <w:r w:rsidRPr="00405303">
        <w:rPr>
          <w:bCs/>
          <w:color w:val="002060"/>
          <w:sz w:val="16"/>
          <w:szCs w:val="16"/>
        </w:rPr>
        <w:t xml:space="preserve">, согласно данным В.Н. Ипатьева, </w:t>
      </w:r>
      <w:r w:rsidR="009E6F82" w:rsidRPr="00405303">
        <w:rPr>
          <w:bCs/>
          <w:color w:val="002060"/>
          <w:sz w:val="16"/>
          <w:szCs w:val="16"/>
        </w:rPr>
        <w:t>в России было 1555 тыс. пуд. серного колчедана в месяц, включая запас в 900 тыс. пуд. В сентябре того же года никакого запаса уже не было, а добыча серного колчедана составляла 855 тыс. пуд. при потребности в 964 тыс. пуд. Однако уже в октябре добыча поднялась до 1280 тыс. пуд. при потребности в 964 тыс. пуд. В дальнейшем добыча опережала потребность, но разрыв этот уменьшался, и с сентября по декабрь 1916 г. добыча серного колчедана составила 1875 тыс. пуд., а потребность – только на 2 тыс. пуд. меньше. Благодаря мерам, принятым Комиссией по заготовке взрывчатых веществ, ежемесячное производство серной кислоты на существующих заводах в декабре 1915 г. составило 800 тыс. пуд., что было явно недостаточно. Однако после постройки новых сернокислотных заводов к сентябрю 1916 г. общий объем произведенной кислоты равнялся 1864,7 тыс. пуд., что было больше довоенного уровня (Ипатьев В.Н. Работа химической промышленности на оборону во время войны. Пг., 1920. Эта тема была затронута и в мемуарах В.Н. Ипатьева "Жизнь одного химика" (Нью-Йорк, 1945).). Если в феврале 1915 г. было изготовлено 6.3 тыс. пуд. взрывчатых веществ, то в январе 1917 г. – 130,8 тыс. пуд. Если в феврале 1915 г. взрывчатые вещества производились только на четырех заводах, то в январе 1917 г. этих заводов было 28{42}. Производство сырого каменноугольного бензола выросло с 15,6 тыс. пуд. в феврале 1915 г. до 61,8 тыс. пуд. в январе 1917 г. (11781).</w:t>
      </w:r>
    </w:p>
    <w:p w14:paraId="1C7927F8" w14:textId="77777777" w:rsidR="004B4E35" w:rsidRPr="00405303" w:rsidRDefault="004B4E35" w:rsidP="00C15251">
      <w:pPr>
        <w:jc w:val="both"/>
        <w:rPr>
          <w:bCs/>
          <w:color w:val="002060"/>
          <w:sz w:val="16"/>
          <w:szCs w:val="16"/>
        </w:rPr>
      </w:pPr>
    </w:p>
    <w:p w14:paraId="6EFF0F4F" w14:textId="159624BF"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августе 1915 года доверенное лицо фирмы </w:t>
      </w:r>
      <w:r w:rsidR="002A10E8" w:rsidRPr="00405303">
        <w:rPr>
          <w:bCs/>
          <w:i w:val="0"/>
          <w:color w:val="002060"/>
          <w:spacing w:val="0"/>
          <w:kern w:val="0"/>
          <w:position w:val="0"/>
          <w:sz w:val="16"/>
          <w:szCs w:val="16"/>
        </w:rPr>
        <w:t xml:space="preserve">фирмы «Дукс», как имеющая наибольший опыт по этой части, </w:t>
      </w:r>
      <w:r w:rsidRPr="00405303">
        <w:rPr>
          <w:bCs/>
          <w:i w:val="0"/>
          <w:color w:val="002060"/>
          <w:spacing w:val="0"/>
          <w:kern w:val="0"/>
          <w:position w:val="0"/>
          <w:sz w:val="16"/>
          <w:szCs w:val="16"/>
        </w:rPr>
        <w:t>М. Щипанов получил от ГВТУ технические условия и образцы для работы. И уже 2 декабря новый велосипед прошел испытания в учебной автомобильной роте и был возвращен на доработку фирме с незначительными замечаниями. В начале 1916 года новую модель, получившую название «Дукс боевой», приняли к производству. Еще во время разработки «Боевого», летом 1915 года, произошли важные изменения в делах крупнейших велосипедных предприятий России. 10 июля велосипедная фабрика А. Лейтнера в Риге получила приказ об эвакуации в Харьков, так как немецкие войска уже подходили к этому прибалтийскому городу. Фабрика выполняла заказ Главного военно-технического управления (ГВТУ) на поставку военных велосипедов и взрывателей для гранат. 24 сентября 1915 года имущество и оборудование «Фабрики велосипедов и автомобилей «Россия» А. Лейтнера и Ко» было отправлено со станции Ревель в нескольких десятках вагонов в Харьков. Примерно в то же время «Дукс» получает крупный военный заказ на производство аэропланов и гидропланов. Велосипедное производство отступает на второй план, так как почти все производственные мощности были переориентированы на авиапроизводство. Дело в том, что к этому моменту фабрика осталась единственным отечественным поставщиком авиации для фронта (11257).</w:t>
      </w:r>
    </w:p>
    <w:p w14:paraId="49FB4F12" w14:textId="77777777" w:rsidR="004B4E35" w:rsidRPr="00405303" w:rsidRDefault="004B4E35" w:rsidP="00C15251">
      <w:pPr>
        <w:pStyle w:val="a3"/>
        <w:jc w:val="both"/>
        <w:rPr>
          <w:bCs/>
          <w:i w:val="0"/>
          <w:color w:val="002060"/>
          <w:spacing w:val="0"/>
          <w:kern w:val="0"/>
          <w:position w:val="0"/>
          <w:sz w:val="16"/>
          <w:szCs w:val="16"/>
        </w:rPr>
      </w:pPr>
    </w:p>
    <w:p w14:paraId="49154BAB" w14:textId="6BE596E9"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августе 1915 года доверенное лицо фирмы М. Щипанов получил от ГВТУ технические условия и образцы для работы. И уже 2 декабря новый велосипед прошел испытания в учебной автомобильной роте и был возвращен на доработку фирме с незначительными замечаниями. В начале 1916 года новую модель, получившую название «Дукс боевой», приняли к производству (11257).</w:t>
      </w:r>
    </w:p>
    <w:p w14:paraId="5104A8B3" w14:textId="77777777" w:rsidR="004B4E35" w:rsidRPr="00405303" w:rsidRDefault="004B4E35" w:rsidP="00C15251">
      <w:pPr>
        <w:pStyle w:val="a3"/>
        <w:jc w:val="both"/>
        <w:rPr>
          <w:bCs/>
          <w:i w:val="0"/>
          <w:color w:val="002060"/>
          <w:spacing w:val="0"/>
          <w:kern w:val="0"/>
          <w:position w:val="0"/>
          <w:sz w:val="16"/>
          <w:szCs w:val="16"/>
        </w:rPr>
      </w:pPr>
    </w:p>
    <w:p w14:paraId="1792B83D" w14:textId="77777777" w:rsidR="003C16CD" w:rsidRPr="00405303" w:rsidRDefault="003C16CD" w:rsidP="00C15251">
      <w:pPr>
        <w:jc w:val="both"/>
        <w:rPr>
          <w:bCs/>
          <w:color w:val="002060"/>
          <w:sz w:val="16"/>
          <w:szCs w:val="16"/>
        </w:rPr>
      </w:pPr>
      <w:r w:rsidRPr="00405303">
        <w:rPr>
          <w:bCs/>
          <w:color w:val="002060"/>
          <w:sz w:val="16"/>
          <w:szCs w:val="16"/>
        </w:rPr>
        <w:t>С августа 1915 г. по 9 (22) августа 1916 г. велись переговоры с финским сенатом об организации производства жидкого хлора. В конце концов Особое совещание по обороне решило передать заготовку жидкого хлора особой комиссии (комиссия по заготовлению удушающих средств), учрежденной при Сенате, и на оборудование двух заводов отпустило 3 млн. 200 тыс. рублей. Комиссия была образована по образцу русских хозяйственных комиссий с участием представителей от русского правительства — от Государственного контроля и от Химического комитета — профессора Лилина, который председательствовал в комиссии (Широкорад А. Б., 2005).</w:t>
      </w:r>
    </w:p>
    <w:p w14:paraId="72B2AD4F" w14:textId="77777777" w:rsidR="003C16CD" w:rsidRPr="00405303" w:rsidRDefault="003C16CD" w:rsidP="00C15251">
      <w:pPr>
        <w:jc w:val="both"/>
        <w:rPr>
          <w:bCs/>
          <w:color w:val="002060"/>
          <w:sz w:val="16"/>
          <w:szCs w:val="16"/>
        </w:rPr>
      </w:pPr>
    </w:p>
    <w:p w14:paraId="4BAFB5E5" w14:textId="77777777" w:rsidR="003C16CD" w:rsidRPr="00405303" w:rsidRDefault="003C16CD" w:rsidP="00C15251">
      <w:pPr>
        <w:jc w:val="both"/>
        <w:rPr>
          <w:bCs/>
          <w:color w:val="002060"/>
          <w:sz w:val="16"/>
          <w:szCs w:val="16"/>
        </w:rPr>
      </w:pPr>
      <w:r w:rsidRPr="00405303">
        <w:rPr>
          <w:bCs/>
          <w:color w:val="002060"/>
          <w:sz w:val="16"/>
          <w:szCs w:val="16"/>
        </w:rPr>
        <w:t>В августе 1915 г. добыто было впервые жидкого хлора около 2 т. (20246).</w:t>
      </w:r>
    </w:p>
    <w:p w14:paraId="2EE1F852" w14:textId="77777777" w:rsidR="003C16CD" w:rsidRPr="00405303" w:rsidRDefault="003C16CD" w:rsidP="00C15251">
      <w:pPr>
        <w:jc w:val="both"/>
        <w:rPr>
          <w:bCs/>
          <w:color w:val="002060"/>
          <w:sz w:val="16"/>
          <w:szCs w:val="16"/>
        </w:rPr>
      </w:pPr>
    </w:p>
    <w:p w14:paraId="2E002B5F" w14:textId="77777777" w:rsidR="003C16CD" w:rsidRPr="00405303" w:rsidRDefault="003C16CD" w:rsidP="00C15251">
      <w:pPr>
        <w:pStyle w:val="160"/>
        <w:shd w:val="clear" w:color="auto" w:fill="auto"/>
        <w:spacing w:before="0"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ru-RU"/>
        </w:rPr>
        <w:t>С</w:t>
      </w:r>
      <w:r w:rsidRPr="00405303">
        <w:rPr>
          <w:rFonts w:ascii="Times New Roman" w:hAnsi="Times New Roman" w:cs="Times New Roman"/>
          <w:bCs/>
          <w:color w:val="002060"/>
          <w:sz w:val="16"/>
          <w:szCs w:val="16"/>
        </w:rPr>
        <w:t xml:space="preserve"> августа 1915 г. отечественные заводы начали изго</w:t>
      </w:r>
      <w:r w:rsidRPr="00405303">
        <w:rPr>
          <w:rFonts w:ascii="Times New Roman" w:hAnsi="Times New Roman" w:cs="Times New Roman"/>
          <w:bCs/>
          <w:color w:val="002060"/>
          <w:sz w:val="16"/>
          <w:szCs w:val="16"/>
        </w:rPr>
        <w:softHyphen/>
        <w:t>тавливать бомбометы, а с ноября и миноме</w:t>
      </w:r>
      <w:r w:rsidRPr="00405303">
        <w:rPr>
          <w:rFonts w:ascii="Times New Roman" w:hAnsi="Times New Roman" w:cs="Times New Roman"/>
          <w:bCs/>
          <w:color w:val="002060"/>
          <w:sz w:val="16"/>
          <w:szCs w:val="16"/>
        </w:rPr>
        <w:softHyphen/>
        <w:t>ты</w:t>
      </w:r>
      <w:r w:rsidRPr="00405303">
        <w:rPr>
          <w:rFonts w:ascii="Times New Roman" w:hAnsi="Times New Roman" w:cs="Times New Roman"/>
          <w:bCs/>
          <w:color w:val="002060"/>
          <w:sz w:val="16"/>
          <w:szCs w:val="16"/>
          <w:lang w:val="ru-RU"/>
        </w:rPr>
        <w:t xml:space="preserve"> (19865)</w:t>
      </w:r>
      <w:r w:rsidRPr="00405303">
        <w:rPr>
          <w:rFonts w:ascii="Times New Roman" w:hAnsi="Times New Roman" w:cs="Times New Roman"/>
          <w:bCs/>
          <w:color w:val="002060"/>
          <w:sz w:val="16"/>
          <w:szCs w:val="16"/>
        </w:rPr>
        <w:t>.</w:t>
      </w:r>
    </w:p>
    <w:p w14:paraId="578C9D39" w14:textId="77777777" w:rsidR="003C16CD" w:rsidRPr="00405303" w:rsidRDefault="003C16CD" w:rsidP="00C15251">
      <w:pPr>
        <w:pStyle w:val="160"/>
        <w:shd w:val="clear" w:color="auto" w:fill="auto"/>
        <w:spacing w:before="0" w:line="240" w:lineRule="auto"/>
        <w:jc w:val="both"/>
        <w:rPr>
          <w:rFonts w:ascii="Times New Roman" w:hAnsi="Times New Roman" w:cs="Times New Roman"/>
          <w:bCs/>
          <w:color w:val="002060"/>
          <w:sz w:val="16"/>
          <w:szCs w:val="16"/>
        </w:rPr>
      </w:pPr>
    </w:p>
    <w:p w14:paraId="48787903" w14:textId="77777777" w:rsidR="003C16CD" w:rsidRPr="00405303" w:rsidRDefault="003C16CD" w:rsidP="00C15251">
      <w:pPr>
        <w:jc w:val="both"/>
        <w:rPr>
          <w:rFonts w:eastAsia="Times-Roman"/>
          <w:bCs/>
          <w:color w:val="002060"/>
          <w:sz w:val="16"/>
          <w:szCs w:val="16"/>
        </w:rPr>
      </w:pPr>
      <w:r w:rsidRPr="00405303">
        <w:rPr>
          <w:rFonts w:eastAsia="TimesNewRoman"/>
          <w:bCs/>
          <w:color w:val="002060"/>
          <w:sz w:val="16"/>
          <w:szCs w:val="16"/>
        </w:rPr>
        <w:t xml:space="preserve">В августе </w:t>
      </w:r>
      <w:r w:rsidRPr="00405303">
        <w:rPr>
          <w:rFonts w:eastAsia="Times-Roman"/>
          <w:bCs/>
          <w:color w:val="002060"/>
          <w:sz w:val="16"/>
          <w:szCs w:val="16"/>
        </w:rPr>
        <w:t xml:space="preserve">1915 </w:t>
      </w:r>
      <w:r w:rsidRPr="00405303">
        <w:rPr>
          <w:rFonts w:eastAsia="TimesNewRoman"/>
          <w:bCs/>
          <w:color w:val="002060"/>
          <w:sz w:val="16"/>
          <w:szCs w:val="16"/>
        </w:rPr>
        <w:t>г</w:t>
      </w:r>
      <w:r w:rsidRPr="00405303">
        <w:rPr>
          <w:rFonts w:eastAsia="Times-Roman"/>
          <w:bCs/>
          <w:color w:val="002060"/>
          <w:sz w:val="16"/>
          <w:szCs w:val="16"/>
        </w:rPr>
        <w:t xml:space="preserve">. </w:t>
      </w:r>
      <w:r w:rsidRPr="00405303">
        <w:rPr>
          <w:rFonts w:eastAsia="TimesNewRoman"/>
          <w:bCs/>
          <w:color w:val="002060"/>
          <w:sz w:val="16"/>
          <w:szCs w:val="16"/>
        </w:rPr>
        <w:t>был реализован выпуск промышленного хлора</w:t>
      </w:r>
      <w:r w:rsidRPr="00405303">
        <w:rPr>
          <w:rFonts w:eastAsia="Times-Roman"/>
          <w:bCs/>
          <w:color w:val="002060"/>
          <w:sz w:val="16"/>
          <w:szCs w:val="16"/>
        </w:rPr>
        <w:t xml:space="preserve">, </w:t>
      </w:r>
      <w:r w:rsidRPr="00405303">
        <w:rPr>
          <w:rFonts w:eastAsia="TimesNewRoman"/>
          <w:bCs/>
          <w:color w:val="002060"/>
          <w:sz w:val="16"/>
          <w:szCs w:val="16"/>
        </w:rPr>
        <w:t>в октябре началось производство фосгена</w:t>
      </w:r>
      <w:r w:rsidRPr="00405303">
        <w:rPr>
          <w:rFonts w:eastAsia="Times-Roman"/>
          <w:bCs/>
          <w:color w:val="002060"/>
          <w:sz w:val="16"/>
          <w:szCs w:val="16"/>
        </w:rPr>
        <w:t xml:space="preserve">. </w:t>
      </w:r>
      <w:r w:rsidRPr="00405303">
        <w:rPr>
          <w:rFonts w:eastAsia="TimesNewRoman"/>
          <w:bCs/>
          <w:color w:val="002060"/>
          <w:sz w:val="16"/>
          <w:szCs w:val="16"/>
        </w:rPr>
        <w:t xml:space="preserve">В </w:t>
      </w:r>
      <w:r w:rsidRPr="00405303">
        <w:rPr>
          <w:rFonts w:eastAsia="Times-Roman"/>
          <w:bCs/>
          <w:color w:val="002060"/>
          <w:sz w:val="16"/>
          <w:szCs w:val="16"/>
        </w:rPr>
        <w:t xml:space="preserve">1915 </w:t>
      </w:r>
      <w:r w:rsidRPr="00405303">
        <w:rPr>
          <w:rFonts w:eastAsia="TimesNewRoman"/>
          <w:bCs/>
          <w:color w:val="002060"/>
          <w:sz w:val="16"/>
          <w:szCs w:val="16"/>
        </w:rPr>
        <w:t>г</w:t>
      </w:r>
      <w:r w:rsidRPr="00405303">
        <w:rPr>
          <w:rFonts w:eastAsia="Times-Roman"/>
          <w:bCs/>
          <w:color w:val="002060"/>
          <w:sz w:val="16"/>
          <w:szCs w:val="16"/>
        </w:rPr>
        <w:t xml:space="preserve">. </w:t>
      </w:r>
      <w:r w:rsidRPr="00405303">
        <w:rPr>
          <w:rFonts w:eastAsia="TimesNewRoman"/>
          <w:bCs/>
          <w:color w:val="002060"/>
          <w:sz w:val="16"/>
          <w:szCs w:val="16"/>
        </w:rPr>
        <w:t>была реализована программа развёртывания в России химического производства</w:t>
      </w:r>
      <w:r w:rsidRPr="00405303">
        <w:rPr>
          <w:rFonts w:eastAsia="Times-Roman"/>
          <w:bCs/>
          <w:color w:val="002060"/>
          <w:sz w:val="16"/>
          <w:szCs w:val="16"/>
        </w:rPr>
        <w:t xml:space="preserve">, </w:t>
      </w:r>
      <w:r w:rsidRPr="00405303">
        <w:rPr>
          <w:rFonts w:eastAsia="TimesNewRoman"/>
          <w:bCs/>
          <w:color w:val="002060"/>
          <w:sz w:val="16"/>
          <w:szCs w:val="16"/>
        </w:rPr>
        <w:t>координировавшаяся ген</w:t>
      </w:r>
      <w:r w:rsidRPr="00405303">
        <w:rPr>
          <w:rFonts w:eastAsia="Times-Roman"/>
          <w:bCs/>
          <w:color w:val="002060"/>
          <w:sz w:val="16"/>
          <w:szCs w:val="16"/>
        </w:rPr>
        <w:t>.-</w:t>
      </w:r>
      <w:r w:rsidRPr="00405303">
        <w:rPr>
          <w:rFonts w:eastAsia="TimesNewRoman"/>
          <w:bCs/>
          <w:color w:val="002060"/>
          <w:sz w:val="16"/>
          <w:szCs w:val="16"/>
        </w:rPr>
        <w:t>лейт</w:t>
      </w:r>
      <w:r w:rsidRPr="00405303">
        <w:rPr>
          <w:rFonts w:eastAsia="Times-Roman"/>
          <w:bCs/>
          <w:color w:val="002060"/>
          <w:sz w:val="16"/>
          <w:szCs w:val="16"/>
        </w:rPr>
        <w:t xml:space="preserve">., </w:t>
      </w:r>
      <w:r w:rsidRPr="00405303">
        <w:rPr>
          <w:rFonts w:eastAsia="TimesNewRoman"/>
          <w:bCs/>
          <w:color w:val="002060"/>
          <w:sz w:val="16"/>
          <w:szCs w:val="16"/>
        </w:rPr>
        <w:t>акад</w:t>
      </w:r>
      <w:r w:rsidRPr="00405303">
        <w:rPr>
          <w:rFonts w:eastAsia="Times-Roman"/>
          <w:bCs/>
          <w:color w:val="002060"/>
          <w:sz w:val="16"/>
          <w:szCs w:val="16"/>
        </w:rPr>
        <w:t xml:space="preserve">. </w:t>
      </w:r>
      <w:r w:rsidRPr="00405303">
        <w:rPr>
          <w:rFonts w:eastAsia="TimesNewRoman"/>
          <w:bCs/>
          <w:color w:val="002060"/>
          <w:sz w:val="16"/>
          <w:szCs w:val="16"/>
        </w:rPr>
        <w:t>В</w:t>
      </w:r>
      <w:r w:rsidRPr="00405303">
        <w:rPr>
          <w:rFonts w:eastAsia="Times-Roman"/>
          <w:bCs/>
          <w:color w:val="002060"/>
          <w:sz w:val="16"/>
          <w:szCs w:val="16"/>
        </w:rPr>
        <w:t>.</w:t>
      </w:r>
      <w:r w:rsidRPr="00405303">
        <w:rPr>
          <w:rFonts w:eastAsia="TimesNewRoman"/>
          <w:bCs/>
          <w:color w:val="002060"/>
          <w:sz w:val="16"/>
          <w:szCs w:val="16"/>
        </w:rPr>
        <w:t>Н</w:t>
      </w:r>
      <w:r w:rsidRPr="00405303">
        <w:rPr>
          <w:rFonts w:eastAsia="Times-Roman"/>
          <w:bCs/>
          <w:color w:val="002060"/>
          <w:sz w:val="16"/>
          <w:szCs w:val="16"/>
        </w:rPr>
        <w:t>.</w:t>
      </w:r>
      <w:r w:rsidRPr="00405303">
        <w:rPr>
          <w:rFonts w:eastAsia="TimesNewRoman"/>
          <w:bCs/>
          <w:color w:val="002060"/>
          <w:sz w:val="16"/>
          <w:szCs w:val="16"/>
        </w:rPr>
        <w:t>Ипатьевым (20240).</w:t>
      </w:r>
    </w:p>
    <w:p w14:paraId="50C731BE" w14:textId="77777777" w:rsidR="003C16CD" w:rsidRPr="00405303" w:rsidRDefault="003C16CD" w:rsidP="00C15251">
      <w:pPr>
        <w:jc w:val="both"/>
        <w:rPr>
          <w:rFonts w:eastAsia="TimesNewRoman"/>
          <w:bCs/>
          <w:color w:val="002060"/>
          <w:sz w:val="16"/>
          <w:szCs w:val="16"/>
        </w:rPr>
      </w:pPr>
    </w:p>
    <w:p w14:paraId="7426BE2A" w14:textId="77777777" w:rsidR="00DB4D64" w:rsidRPr="00405303" w:rsidRDefault="00DB4D64" w:rsidP="00C15251">
      <w:pPr>
        <w:jc w:val="both"/>
        <w:rPr>
          <w:bCs/>
          <w:color w:val="002060"/>
          <w:sz w:val="16"/>
          <w:szCs w:val="16"/>
        </w:rPr>
      </w:pPr>
      <w:r w:rsidRPr="00405303">
        <w:rPr>
          <w:bCs/>
          <w:color w:val="002060"/>
          <w:sz w:val="16"/>
          <w:szCs w:val="16"/>
        </w:rPr>
        <w:t>В августе 1915 г. Французской формой Рено был подписан контракт с ГАУ на производство трубок и к октябрю на «Русский Рено» привезли из Франции первые партии станков; «к этому времени были уже на ме</w:t>
      </w:r>
      <w:r w:rsidRPr="00405303">
        <w:rPr>
          <w:bCs/>
          <w:color w:val="002060"/>
          <w:sz w:val="16"/>
          <w:szCs w:val="16"/>
        </w:rPr>
        <w:softHyphen/>
        <w:t>сте прибывшие мастера», командированные, как и дирек</w:t>
      </w:r>
      <w:r w:rsidRPr="00405303">
        <w:rPr>
          <w:bCs/>
          <w:color w:val="002060"/>
          <w:sz w:val="16"/>
          <w:szCs w:val="16"/>
        </w:rPr>
        <w:softHyphen/>
        <w:t xml:space="preserve">тор, из Франции. «Вся работа по организации производства </w:t>
      </w:r>
      <w:r w:rsidRPr="00405303">
        <w:rPr>
          <w:bCs/>
          <w:color w:val="002060"/>
          <w:sz w:val="16"/>
          <w:szCs w:val="16"/>
        </w:rPr>
        <w:lastRenderedPageBreak/>
        <w:t>была предоставлена мастерам», обращавшимся во Францию «при всех затруднениях»; каждый мастер «старался восста</w:t>
      </w:r>
      <w:r w:rsidRPr="00405303">
        <w:rPr>
          <w:bCs/>
          <w:color w:val="002060"/>
          <w:sz w:val="16"/>
          <w:szCs w:val="16"/>
        </w:rPr>
        <w:softHyphen/>
        <w:t>новить вокруг себя обстановку, хорошо ему известную по прежней его работе во Франции» (23452).</w:t>
      </w:r>
    </w:p>
    <w:p w14:paraId="0D5A4733" w14:textId="77777777" w:rsidR="00DB4D64" w:rsidRPr="00405303" w:rsidRDefault="00DB4D64" w:rsidP="00C15251">
      <w:pPr>
        <w:jc w:val="both"/>
        <w:rPr>
          <w:bCs/>
          <w:color w:val="002060"/>
          <w:sz w:val="16"/>
          <w:szCs w:val="16"/>
          <w:lang w:bidi="ru-RU"/>
        </w:rPr>
      </w:pPr>
    </w:p>
    <w:p w14:paraId="5B6A1F68" w14:textId="77777777" w:rsidR="00DB4D64" w:rsidRPr="00405303" w:rsidRDefault="00DB4D64"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В августе 1915 г. было принято окончательное решение о по</w:t>
      </w:r>
      <w:r w:rsidRPr="00405303">
        <w:rPr>
          <w:rFonts w:ascii="Times New Roman" w:hAnsi="Times New Roman" w:cs="Times New Roman"/>
          <w:bCs/>
          <w:color w:val="002060"/>
          <w:sz w:val="16"/>
          <w:szCs w:val="16"/>
        </w:rPr>
        <w:softHyphen/>
        <w:t>стройке азотного завода на Суне и ут</w:t>
      </w:r>
      <w:r w:rsidRPr="00405303">
        <w:rPr>
          <w:rFonts w:ascii="Times New Roman" w:hAnsi="Times New Roman" w:cs="Times New Roman"/>
          <w:bCs/>
          <w:color w:val="002060"/>
          <w:sz w:val="16"/>
          <w:szCs w:val="16"/>
        </w:rPr>
        <w:softHyphen/>
        <w:t>верждено царем; председателем строительной комиссии был назначен Забудский, он же составил проект завода. «В конце 1915 г. военным ведомством было приступлено к строительству завода, однако более детальные данные о строительстве этого завода отсутствуют», известно лишь, что «пока строился небольшой опытный завод» (РГВИА. Ф. 369. Оп. 4. Д. 209. Л. 1. К своим заявлениям Токарский приложил копии ряда своих проектов, относящихся еще к 1901—1902 гг., об использовании порогов Меты, включая брошюру «Электропередача водяной энергии» — проект замены паровой тяги на Николаевской же</w:t>
      </w:r>
      <w:r w:rsidRPr="00405303">
        <w:rPr>
          <w:rFonts w:ascii="Times New Roman" w:hAnsi="Times New Roman" w:cs="Times New Roman"/>
          <w:bCs/>
          <w:color w:val="002060"/>
          <w:sz w:val="16"/>
          <w:szCs w:val="16"/>
        </w:rPr>
        <w:softHyphen/>
        <w:t xml:space="preserve">лезной дороге электрической. Дело тогда заглохло, </w:t>
      </w:r>
      <w:proofErr w:type="gramStart"/>
      <w:r w:rsidRPr="00405303">
        <w:rPr>
          <w:rFonts w:ascii="Times New Roman" w:hAnsi="Times New Roman" w:cs="Times New Roman"/>
          <w:bCs/>
          <w:color w:val="002060"/>
          <w:sz w:val="16"/>
          <w:szCs w:val="16"/>
        </w:rPr>
        <w:t>очевидно, потому, что</w:t>
      </w:r>
      <w:proofErr w:type="gramEnd"/>
      <w:r w:rsidRPr="00405303">
        <w:rPr>
          <w:rFonts w:ascii="Times New Roman" w:hAnsi="Times New Roman" w:cs="Times New Roman"/>
          <w:bCs/>
          <w:color w:val="002060"/>
          <w:sz w:val="16"/>
          <w:szCs w:val="16"/>
        </w:rPr>
        <w:t xml:space="preserve"> собрание отделов Русского технического общества в 1902 г., под</w:t>
      </w:r>
      <w:r w:rsidRPr="00405303">
        <w:rPr>
          <w:rFonts w:ascii="Times New Roman" w:hAnsi="Times New Roman" w:cs="Times New Roman"/>
          <w:bCs/>
          <w:color w:val="002060"/>
          <w:sz w:val="16"/>
          <w:szCs w:val="16"/>
        </w:rPr>
        <w:softHyphen/>
        <w:t>держав идею, обратилось за финансированием изысканий в ведомство финансов. В декабре 1903 г. «смета эта должна была быть внесена в Государственный совет по Министерству путей сообщения», но «откры</w:t>
      </w:r>
      <w:r w:rsidRPr="00405303">
        <w:rPr>
          <w:rFonts w:ascii="Times New Roman" w:hAnsi="Times New Roman" w:cs="Times New Roman"/>
          <w:bCs/>
          <w:color w:val="002060"/>
          <w:sz w:val="16"/>
          <w:szCs w:val="16"/>
        </w:rPr>
        <w:softHyphen/>
        <w:t>тие военных действий в Порт-Артуре наложило руку на все новые кре</w:t>
      </w:r>
      <w:r w:rsidRPr="00405303">
        <w:rPr>
          <w:rFonts w:ascii="Times New Roman" w:hAnsi="Times New Roman" w:cs="Times New Roman"/>
          <w:bCs/>
          <w:color w:val="002060"/>
          <w:sz w:val="16"/>
          <w:szCs w:val="16"/>
        </w:rPr>
        <w:softHyphen/>
        <w:t>диты, и дело о р. Мете замерло». Отчаявшись добиться казенных средств, Токарский в дальнейшем хотел взяться за работу на частные средства, если Николаевская дорога согласится воспользоваться элек</w:t>
      </w:r>
      <w:r w:rsidRPr="00405303">
        <w:rPr>
          <w:rFonts w:ascii="Times New Roman" w:hAnsi="Times New Roman" w:cs="Times New Roman"/>
          <w:bCs/>
          <w:color w:val="002060"/>
          <w:sz w:val="16"/>
          <w:szCs w:val="16"/>
        </w:rPr>
        <w:softHyphen/>
        <w:t>троэнергией будущего предприятия (Там же. Л. 43 об.—48); Сидоров АЛ. Экономическое положение России. С. 445). Сооружаемый «небольшой» завод, даже в первоначальном проекте рассчитан</w:t>
      </w:r>
      <w:r w:rsidRPr="00405303">
        <w:rPr>
          <w:rFonts w:ascii="Times New Roman" w:hAnsi="Times New Roman" w:cs="Times New Roman"/>
          <w:bCs/>
          <w:color w:val="002060"/>
          <w:sz w:val="16"/>
          <w:szCs w:val="16"/>
        </w:rPr>
        <w:softHyphen/>
        <w:t>ный на полное удовлетворение потребности всех пороховых заводов, к августу 1916 г. обрел иной проектируемый масштаб, и стоимость сооружения его с 6 млн возросла до 26 146 679 руб. (к 1917 г. из этой суммы было истрачено 1,5 млн) (ОЖСМ 1917. М. 2009. С. 170) (23452).</w:t>
      </w:r>
    </w:p>
    <w:p w14:paraId="1143B53F" w14:textId="77777777" w:rsidR="00DB4D64" w:rsidRPr="00405303" w:rsidRDefault="00DB4D64" w:rsidP="00C15251">
      <w:pPr>
        <w:pStyle w:val="af6"/>
        <w:spacing w:line="240" w:lineRule="auto"/>
        <w:jc w:val="both"/>
        <w:rPr>
          <w:rFonts w:ascii="Times New Roman" w:hAnsi="Times New Roman" w:cs="Times New Roman"/>
          <w:bCs/>
          <w:color w:val="002060"/>
          <w:sz w:val="16"/>
          <w:szCs w:val="16"/>
        </w:rPr>
      </w:pPr>
    </w:p>
    <w:p w14:paraId="75289DB7" w14:textId="77777777" w:rsidR="002452A3" w:rsidRPr="00405303" w:rsidRDefault="002452A3" w:rsidP="002452A3">
      <w:pPr>
        <w:jc w:val="both"/>
        <w:rPr>
          <w:color w:val="0070C0"/>
          <w:sz w:val="16"/>
          <w:szCs w:val="16"/>
        </w:rPr>
      </w:pPr>
      <w:r w:rsidRPr="00405303">
        <w:rPr>
          <w:color w:val="0070C0"/>
          <w:sz w:val="16"/>
          <w:szCs w:val="16"/>
        </w:rPr>
        <w:t>В августе 1915 года руководство Российского Императорского автомобильного общества выступило с ини</w:t>
      </w:r>
      <w:r w:rsidRPr="00405303">
        <w:rPr>
          <w:color w:val="0070C0"/>
          <w:sz w:val="16"/>
          <w:szCs w:val="16"/>
        </w:rPr>
        <w:softHyphen/>
        <w:t>циативой об оснащении пяти автомоби</w:t>
      </w:r>
      <w:r w:rsidRPr="00405303">
        <w:rPr>
          <w:color w:val="0070C0"/>
          <w:sz w:val="16"/>
          <w:szCs w:val="16"/>
        </w:rPr>
        <w:softHyphen/>
        <w:t>лей движителем Кегресса и формирования из них автосанитарного отряда. Работы ве</w:t>
      </w:r>
      <w:r w:rsidRPr="00405303">
        <w:rPr>
          <w:color w:val="0070C0"/>
          <w:sz w:val="16"/>
          <w:szCs w:val="16"/>
        </w:rPr>
        <w:softHyphen/>
        <w:t>лись на Путиловском заводе под руковод</w:t>
      </w:r>
      <w:r w:rsidRPr="00405303">
        <w:rPr>
          <w:color w:val="0070C0"/>
          <w:sz w:val="16"/>
          <w:szCs w:val="16"/>
        </w:rPr>
        <w:softHyphen/>
        <w:t>ством инженера Б. Харитонова при непосредственном участии А. Кегресса, в качестве базы использовались автомобили француз</w:t>
      </w:r>
      <w:r w:rsidRPr="00405303">
        <w:rPr>
          <w:color w:val="0070C0"/>
          <w:sz w:val="16"/>
          <w:szCs w:val="16"/>
        </w:rPr>
        <w:softHyphen/>
        <w:t>ской фирмы «Рено» (25008).</w:t>
      </w:r>
    </w:p>
    <w:p w14:paraId="32376FD7" w14:textId="77777777" w:rsidR="002452A3" w:rsidRPr="00405303" w:rsidRDefault="002452A3" w:rsidP="002452A3">
      <w:pPr>
        <w:jc w:val="both"/>
        <w:rPr>
          <w:color w:val="0070C0"/>
          <w:sz w:val="16"/>
          <w:szCs w:val="16"/>
        </w:rPr>
      </w:pPr>
    </w:p>
    <w:p w14:paraId="13CA5669" w14:textId="77777777" w:rsidR="002452A3" w:rsidRPr="00405303" w:rsidRDefault="002452A3" w:rsidP="002452A3">
      <w:pPr>
        <w:jc w:val="both"/>
        <w:rPr>
          <w:color w:val="0070C0"/>
          <w:sz w:val="16"/>
          <w:szCs w:val="16"/>
        </w:rPr>
      </w:pPr>
      <w:r w:rsidRPr="00405303">
        <w:rPr>
          <w:color w:val="0070C0"/>
          <w:sz w:val="16"/>
          <w:szCs w:val="16"/>
        </w:rPr>
        <w:t>В августе 1915 г. в лесу под городом Дмитровом начали испытания танка Лебеденко.</w:t>
      </w:r>
    </w:p>
    <w:p w14:paraId="5461C2AD" w14:textId="77777777" w:rsidR="002452A3" w:rsidRPr="00405303" w:rsidRDefault="002452A3" w:rsidP="002452A3">
      <w:pPr>
        <w:jc w:val="both"/>
        <w:rPr>
          <w:color w:val="0070C0"/>
          <w:sz w:val="16"/>
          <w:szCs w:val="16"/>
        </w:rPr>
      </w:pPr>
      <w:r w:rsidRPr="00405303">
        <w:rPr>
          <w:color w:val="0070C0"/>
          <w:sz w:val="16"/>
          <w:szCs w:val="16"/>
        </w:rPr>
        <w:t>Движителями танка были два 9-метровых колеса со спицами. Вес 60 тонн. Броня противопульная. Вооружение: 2 пулемёта «максим».</w:t>
      </w:r>
    </w:p>
    <w:p w14:paraId="45763A18" w14:textId="77777777" w:rsidR="002452A3" w:rsidRPr="00405303" w:rsidRDefault="002452A3" w:rsidP="002452A3">
      <w:pPr>
        <w:jc w:val="both"/>
        <w:rPr>
          <w:color w:val="0070C0"/>
          <w:sz w:val="16"/>
          <w:szCs w:val="16"/>
        </w:rPr>
      </w:pPr>
      <w:r w:rsidRPr="00405303">
        <w:rPr>
          <w:color w:val="0070C0"/>
          <w:sz w:val="16"/>
          <w:szCs w:val="16"/>
        </w:rPr>
        <w:t>Для передвижения машина была снабжена двумя 240-сильными двигателями «Майбах», снятыми с германского «цеппелина». Своих двигателей подобной мощности у нас не производилось.</w:t>
      </w:r>
    </w:p>
    <w:p w14:paraId="639F7CFD" w14:textId="77777777" w:rsidR="002452A3" w:rsidRPr="00405303" w:rsidRDefault="002452A3" w:rsidP="002452A3">
      <w:pPr>
        <w:jc w:val="both"/>
        <w:rPr>
          <w:color w:val="0070C0"/>
          <w:sz w:val="16"/>
          <w:szCs w:val="16"/>
        </w:rPr>
      </w:pPr>
      <w:r w:rsidRPr="00405303">
        <w:rPr>
          <w:color w:val="0070C0"/>
          <w:sz w:val="16"/>
          <w:szCs w:val="16"/>
        </w:rPr>
        <w:t>Чудо-танк застрял, и вытащить его было невозможно. До лета 1917 г. лес, где стояла «шайтан-арба», был оцеплен войсками. Ну а потом солдатики разбежались, а о танке забыли. А в 1923 г. его на месте разобрали на металлолом (25184).</w:t>
      </w:r>
    </w:p>
    <w:p w14:paraId="788AE0AE" w14:textId="77777777" w:rsidR="002452A3" w:rsidRPr="00405303" w:rsidRDefault="002452A3" w:rsidP="002452A3">
      <w:pPr>
        <w:jc w:val="both"/>
        <w:rPr>
          <w:color w:val="0070C0"/>
          <w:sz w:val="16"/>
          <w:szCs w:val="16"/>
        </w:rPr>
      </w:pPr>
    </w:p>
    <w:p w14:paraId="3AC8C31A"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42F1A1C0" w14:textId="77777777" w:rsidR="004B4E35" w:rsidRPr="00405303" w:rsidRDefault="004B4E35" w:rsidP="00C15251">
      <w:pPr>
        <w:shd w:val="clear" w:color="auto" w:fill="FFFFFF"/>
        <w:jc w:val="both"/>
        <w:rPr>
          <w:bCs/>
          <w:i/>
          <w:color w:val="002060"/>
          <w:sz w:val="16"/>
          <w:szCs w:val="16"/>
        </w:rPr>
      </w:pPr>
    </w:p>
    <w:p w14:paraId="4AD70C67" w14:textId="77777777" w:rsidR="004B4E35" w:rsidRPr="00405303" w:rsidRDefault="009E6F82" w:rsidP="00C15251">
      <w:pPr>
        <w:jc w:val="both"/>
        <w:rPr>
          <w:bCs/>
          <w:color w:val="002060"/>
          <w:sz w:val="16"/>
          <w:szCs w:val="16"/>
        </w:rPr>
      </w:pPr>
      <w:r w:rsidRPr="00405303">
        <w:rPr>
          <w:bCs/>
          <w:color w:val="002060"/>
          <w:sz w:val="16"/>
          <w:szCs w:val="16"/>
        </w:rPr>
        <w:t xml:space="preserve">В августе Эскадра перебазировалась из Лиды </w:t>
      </w:r>
      <w:proofErr w:type="gramStart"/>
      <w:r w:rsidRPr="00405303">
        <w:rPr>
          <w:bCs/>
          <w:color w:val="002060"/>
          <w:sz w:val="16"/>
          <w:szCs w:val="16"/>
        </w:rPr>
        <w:t>в Псков</w:t>
      </w:r>
      <w:proofErr w:type="gramEnd"/>
      <w:r w:rsidRPr="00405303">
        <w:rPr>
          <w:bCs/>
          <w:color w:val="002060"/>
          <w:sz w:val="16"/>
          <w:szCs w:val="16"/>
        </w:rPr>
        <w:t xml:space="preserve"> и занятая перебазированием не могла пока дать боевых кораблей для работы на фронте. 14 августа из Лиды в Псков совершили почти пятичасовой перелёт корабли "Киевский", I, II и VI, а 16-го туда добрался VIII корабль. Эшелон с имуществом прибыл на станцию Псков только 24 августа.</w:t>
      </w:r>
    </w:p>
    <w:p w14:paraId="3703BA76" w14:textId="77777777" w:rsidR="004B4E35" w:rsidRPr="00405303" w:rsidRDefault="009E6F82" w:rsidP="00C15251">
      <w:pPr>
        <w:jc w:val="both"/>
        <w:rPr>
          <w:bCs/>
          <w:color w:val="002060"/>
          <w:sz w:val="16"/>
          <w:szCs w:val="16"/>
        </w:rPr>
      </w:pPr>
      <w:r w:rsidRPr="00405303">
        <w:rPr>
          <w:bCs/>
          <w:color w:val="002060"/>
          <w:sz w:val="16"/>
          <w:szCs w:val="16"/>
        </w:rPr>
        <w:t>В Лиде и Пскове экипажи Панкратьева и Башко получили новые "тупоносые" корабли типа В. На II корабль (№ 167) поставили сделанные в Риге моторы РБЗ-6 по 150 л.с. (аналог "Аргуса"), а на "Киевский" (№ 169) были поставлены "Аргусы" с подбитой немцами прошлой машины Башко (№ 150). Теперь эти корабли стали лучшими и продемонстрировали отличную боевую работу с конца 1915-го и за весь 1916 год. Огромную роль сыграли не только выдающиеся командиры этих машин, но и отличные моторы, тогда как на других машинах стояли не самые лучшие английские моторы "Санбим".</w:t>
      </w:r>
    </w:p>
    <w:p w14:paraId="2515220D" w14:textId="77777777" w:rsidR="004B4E35" w:rsidRPr="00405303" w:rsidRDefault="009E6F82" w:rsidP="00C15251">
      <w:pPr>
        <w:jc w:val="both"/>
        <w:rPr>
          <w:bCs/>
          <w:color w:val="002060"/>
          <w:sz w:val="16"/>
          <w:szCs w:val="16"/>
        </w:rPr>
      </w:pPr>
      <w:r w:rsidRPr="00405303">
        <w:rPr>
          <w:bCs/>
          <w:color w:val="002060"/>
          <w:sz w:val="16"/>
          <w:szCs w:val="16"/>
        </w:rPr>
        <w:t>Только в сентябре 1915 года из Эскадры был выделен боевой отряд на Северный фронт в распоряжение штаба 12-й армии. Первым на аэродром у станции Зегевольд (под Ригой) прилетел Панкратьев, а через несколько дней Алехнович и Лавров. Штабс-капитаны Башкой Нижевский смогли прибыть в начале октября.</w:t>
      </w:r>
    </w:p>
    <w:p w14:paraId="36C816C1" w14:textId="77777777" w:rsidR="004B4E35" w:rsidRPr="00405303" w:rsidRDefault="009E6F82" w:rsidP="00C15251">
      <w:pPr>
        <w:jc w:val="both"/>
        <w:rPr>
          <w:bCs/>
          <w:color w:val="002060"/>
          <w:sz w:val="16"/>
          <w:szCs w:val="16"/>
        </w:rPr>
      </w:pPr>
      <w:r w:rsidRPr="00405303">
        <w:rPr>
          <w:bCs/>
          <w:color w:val="002060"/>
          <w:sz w:val="16"/>
          <w:szCs w:val="16"/>
        </w:rPr>
        <w:t>Боевая работа отряда в Зегевольде началась с полёта штабс-капитана Панкратьева на II корабле (№ 167). Захватив с собой пять бомб, корабль слетал "посмотреть" на Мита- ву. Встреченный и обстрелянный на обратном пути "Альбатрос" не проявил враждебности. Второй вылет "Илья Муромец И" тоже совершил в одиночестве. Захватив на борт семь двухпудовых и шесть пудовых бомб, аппарат направился громить артиллерийские склады у мызы Вальгоф. Из-за плохой видимости последние, на их счастье, не были обнаружены и уцелели (12041).</w:t>
      </w:r>
    </w:p>
    <w:p w14:paraId="351DAF46" w14:textId="77777777" w:rsidR="004B4E35" w:rsidRPr="00405303" w:rsidRDefault="004B4E35" w:rsidP="00C15251">
      <w:pPr>
        <w:jc w:val="both"/>
        <w:rPr>
          <w:bCs/>
          <w:color w:val="002060"/>
          <w:sz w:val="16"/>
          <w:szCs w:val="16"/>
        </w:rPr>
      </w:pPr>
    </w:p>
    <w:p w14:paraId="4ED9DD01" w14:textId="77777777" w:rsidR="00B055CD" w:rsidRPr="00405303" w:rsidRDefault="00B055CD" w:rsidP="00C15251">
      <w:pPr>
        <w:jc w:val="both"/>
        <w:rPr>
          <w:bCs/>
          <w:color w:val="002060"/>
          <w:sz w:val="16"/>
          <w:szCs w:val="16"/>
        </w:rPr>
      </w:pPr>
      <w:r w:rsidRPr="00405303">
        <w:rPr>
          <w:bCs/>
          <w:color w:val="002060"/>
          <w:sz w:val="16"/>
          <w:szCs w:val="16"/>
        </w:rPr>
        <w:t>В августе 1915 г. Александр Михайлович обратился к НШ ВГК с запиской следующего содержания: «В виду поручения мне наблюдения за снабжением отрядов аппаратами и другим авиационным имуществом, руководства работой авиационных школ, широкого развития авиационных рот, а также увеличения числа авиационных частей (в начале войны их было 30, воздухоплавательных рот – 14, ныне – 49, будет к 1 января – 60, к 1 сентября – 83, воздухоплавательных рот – 27): (…) нынешнее название должности, как не соответствующее уже действующей компетенции и могущее порождать недоразумения, желательно заменить другим: «Заведующий авиацией и воздухоплаванием в действующей армии». В 1915 г. авиаотряды подчинялись войсковым начальникам в оперативном и строевом отношении, а по специальным вопросам – командирам авиарот. Прерогатива назначения командного состава авиачастей, находящихся на ТВД, а также распределения авиатехники неизменно принадлежала Великому князю.</w:t>
      </w:r>
    </w:p>
    <w:p w14:paraId="170061A2" w14:textId="77777777" w:rsidR="00B055CD" w:rsidRPr="00405303" w:rsidRDefault="00B055CD" w:rsidP="00C15251">
      <w:pPr>
        <w:jc w:val="both"/>
        <w:rPr>
          <w:bCs/>
          <w:color w:val="002060"/>
          <w:sz w:val="16"/>
          <w:szCs w:val="16"/>
        </w:rPr>
      </w:pPr>
      <w:r w:rsidRPr="00405303">
        <w:rPr>
          <w:bCs/>
          <w:color w:val="002060"/>
          <w:sz w:val="16"/>
          <w:szCs w:val="16"/>
        </w:rPr>
        <w:t>Управление авиацией на фронте осуществлялось в директивной форме. Обратная связь, необходимая для функционирования любой системы управления, действовала следующим образом: отряды должны были подавать полумесячные и месячные сведения под общим названием: «О личном составе, аппаратах, деятельности и заслуживающих особого внимания случаях жизни». Каждый полет записывался в журнал полетов, формуляр самолета, в недельную, полумесячную и месячную ведомость, в журнал военных действий и в донесение, пересылаемое в вышестоящий штаб по принадлежности</w:t>
      </w:r>
      <w:proofErr w:type="gramStart"/>
      <w:r w:rsidRPr="00405303">
        <w:rPr>
          <w:bCs/>
          <w:color w:val="002060"/>
          <w:sz w:val="16"/>
          <w:szCs w:val="16"/>
        </w:rPr>
        <w:t>3 .</w:t>
      </w:r>
      <w:proofErr w:type="gramEnd"/>
      <w:r w:rsidRPr="00405303">
        <w:rPr>
          <w:bCs/>
          <w:color w:val="002060"/>
          <w:sz w:val="16"/>
          <w:szCs w:val="16"/>
        </w:rPr>
        <w:t xml:space="preserve"> К недельным ведомостям прилагались нарисованные на кальке разноцветной тушью маршруты полетов; в месячные отчеты входили вопросы о состоянии материальной части, личного состава и т.п. (19566).</w:t>
      </w:r>
    </w:p>
    <w:p w14:paraId="04AE3768" w14:textId="77777777" w:rsidR="00B055CD" w:rsidRPr="00405303" w:rsidRDefault="00B055CD" w:rsidP="00C15251">
      <w:pPr>
        <w:jc w:val="both"/>
        <w:rPr>
          <w:bCs/>
          <w:color w:val="002060"/>
          <w:sz w:val="16"/>
          <w:szCs w:val="16"/>
        </w:rPr>
      </w:pPr>
    </w:p>
    <w:p w14:paraId="2A90430F" w14:textId="77777777" w:rsidR="00B055CD" w:rsidRPr="00405303" w:rsidRDefault="00B055CD" w:rsidP="00C15251">
      <w:pPr>
        <w:jc w:val="both"/>
        <w:rPr>
          <w:bCs/>
          <w:color w:val="002060"/>
          <w:sz w:val="16"/>
          <w:szCs w:val="16"/>
        </w:rPr>
      </w:pPr>
      <w:r w:rsidRPr="00405303">
        <w:rPr>
          <w:bCs/>
          <w:color w:val="002060"/>
          <w:sz w:val="16"/>
          <w:szCs w:val="16"/>
        </w:rPr>
        <w:t>В августе 1915 г. Великий князь решил объединить авиаотряды в авиационные дивизионы армейского подчинения. Для исключения крупных просчетов Ставка приняла решение ввести авиадивизионы пока только в 5 и 7-й армиях (приказ НШ ВГК от 18 сентября 1915 г. № 6526). Выполнение этого проекта должно было направить усилия летчиков на качественное выполнение расширяющегося круга задач, возлагаемых на авиаотряд. Последний все в большей степени приобретал признаки многоцелевой авиачасти, а это неизбежно должно было предъявить к летчикам и наблюдателям повышенные и разнообразные требования. С другой стороны, появление в армейском звене авиадивизиона создавало предпосылки для сосредоточения усилий авиаотрядов на важнейших направлениях и объектах действий, то есть – для массирования сил авиации (19566).</w:t>
      </w:r>
    </w:p>
    <w:p w14:paraId="7B696BB7" w14:textId="77777777" w:rsidR="00B055CD" w:rsidRPr="00405303" w:rsidRDefault="00B055CD" w:rsidP="00C15251">
      <w:pPr>
        <w:jc w:val="both"/>
        <w:rPr>
          <w:bCs/>
          <w:color w:val="002060"/>
          <w:sz w:val="16"/>
          <w:szCs w:val="16"/>
        </w:rPr>
      </w:pPr>
    </w:p>
    <w:p w14:paraId="106C860E" w14:textId="77777777" w:rsidR="00FE7948" w:rsidRPr="00405303" w:rsidRDefault="00FE7948" w:rsidP="00FE7948">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 xml:space="preserve">В августе 1915 г. дирижабль </w:t>
      </w:r>
      <w:r w:rsidRPr="00405303">
        <w:rPr>
          <w:rStyle w:val="aa"/>
          <w:rFonts w:ascii="Times New Roman" w:hAnsi="Times New Roman"/>
          <w:color w:val="0070C0"/>
          <w:spacing w:val="0"/>
          <w:sz w:val="16"/>
          <w:szCs w:val="16"/>
          <w:lang w:val="en-US"/>
        </w:rPr>
        <w:t>LZ</w:t>
      </w:r>
      <w:r w:rsidRPr="00405303">
        <w:rPr>
          <w:rStyle w:val="aa"/>
          <w:rFonts w:ascii="Times New Roman" w:hAnsi="Times New Roman"/>
          <w:color w:val="0070C0"/>
          <w:spacing w:val="0"/>
          <w:sz w:val="16"/>
          <w:szCs w:val="16"/>
        </w:rPr>
        <w:t>-39произвел бомбардировку Новогеоргиевской крепости и Новоминска, сбросив на них по 0,5 тонны бомб (25135).</w:t>
      </w:r>
    </w:p>
    <w:p w14:paraId="2E5F8A99" w14:textId="77777777" w:rsidR="00FE7948" w:rsidRPr="00405303" w:rsidRDefault="00FE7948" w:rsidP="00FE7948">
      <w:pPr>
        <w:jc w:val="both"/>
        <w:rPr>
          <w:rStyle w:val="aa"/>
          <w:rFonts w:ascii="Times New Roman" w:hAnsi="Times New Roman"/>
          <w:color w:val="0070C0"/>
          <w:spacing w:val="0"/>
          <w:sz w:val="16"/>
          <w:szCs w:val="16"/>
        </w:rPr>
      </w:pPr>
    </w:p>
    <w:p w14:paraId="16564072"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05F31DB9" w14:textId="77777777" w:rsidR="004B4E35" w:rsidRPr="00405303" w:rsidRDefault="004B4E35" w:rsidP="00C15251">
      <w:pPr>
        <w:shd w:val="clear" w:color="auto" w:fill="FFFFFF"/>
        <w:jc w:val="both"/>
        <w:rPr>
          <w:bCs/>
          <w:i/>
          <w:color w:val="002060"/>
          <w:sz w:val="16"/>
          <w:szCs w:val="16"/>
        </w:rPr>
      </w:pPr>
    </w:p>
    <w:p w14:paraId="5AC8008C" w14:textId="395CD393"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В августе 1915 </w:t>
      </w:r>
      <w:r w:rsidR="002A10E8" w:rsidRPr="00405303">
        <w:rPr>
          <w:bCs/>
          <w:color w:val="002060"/>
          <w:sz w:val="16"/>
          <w:szCs w:val="16"/>
        </w:rPr>
        <w:t xml:space="preserve">г. </w:t>
      </w:r>
      <w:r w:rsidRPr="00405303">
        <w:rPr>
          <w:bCs/>
          <w:color w:val="002060"/>
          <w:sz w:val="16"/>
          <w:szCs w:val="16"/>
        </w:rPr>
        <w:t>Школа морской авиации основана в Петрограде (1137).</w:t>
      </w:r>
    </w:p>
    <w:p w14:paraId="45C9D97E" w14:textId="77777777" w:rsidR="004B4E35" w:rsidRPr="00405303" w:rsidRDefault="004B4E35" w:rsidP="00C15251">
      <w:pPr>
        <w:shd w:val="clear" w:color="auto" w:fill="FFFFFF"/>
        <w:jc w:val="both"/>
        <w:rPr>
          <w:bCs/>
          <w:color w:val="002060"/>
          <w:sz w:val="16"/>
          <w:szCs w:val="16"/>
        </w:rPr>
      </w:pPr>
    </w:p>
    <w:p w14:paraId="6BA9A06C" w14:textId="1111DC2A" w:rsidR="004B4E35" w:rsidRPr="00405303" w:rsidRDefault="00DB73D1" w:rsidP="00C15251">
      <w:pPr>
        <w:shd w:val="clear" w:color="auto" w:fill="FFFFFF"/>
        <w:jc w:val="both"/>
        <w:rPr>
          <w:bCs/>
          <w:color w:val="002060"/>
          <w:sz w:val="16"/>
          <w:szCs w:val="16"/>
        </w:rPr>
      </w:pPr>
      <w:r w:rsidRPr="00405303">
        <w:rPr>
          <w:bCs/>
          <w:color w:val="002060"/>
          <w:sz w:val="16"/>
          <w:szCs w:val="16"/>
        </w:rPr>
        <w:t>В а</w:t>
      </w:r>
      <w:r w:rsidR="009E6F82" w:rsidRPr="00405303">
        <w:rPr>
          <w:bCs/>
          <w:color w:val="002060"/>
          <w:sz w:val="16"/>
          <w:szCs w:val="16"/>
        </w:rPr>
        <w:t>вгуст</w:t>
      </w:r>
      <w:r w:rsidRPr="00405303">
        <w:rPr>
          <w:bCs/>
          <w:color w:val="002060"/>
          <w:sz w:val="16"/>
          <w:szCs w:val="16"/>
        </w:rPr>
        <w:t>е</w:t>
      </w:r>
      <w:r w:rsidR="009E6F82" w:rsidRPr="00405303">
        <w:rPr>
          <w:bCs/>
          <w:color w:val="002060"/>
          <w:sz w:val="16"/>
          <w:szCs w:val="16"/>
        </w:rPr>
        <w:t xml:space="preserve"> 1915 </w:t>
      </w:r>
      <w:r w:rsidR="002A10E8" w:rsidRPr="00405303">
        <w:rPr>
          <w:bCs/>
          <w:color w:val="002060"/>
          <w:sz w:val="16"/>
          <w:szCs w:val="16"/>
        </w:rPr>
        <w:t xml:space="preserve">г. </w:t>
      </w:r>
      <w:r w:rsidR="009E6F82" w:rsidRPr="00405303">
        <w:rPr>
          <w:bCs/>
          <w:color w:val="002060"/>
          <w:sz w:val="16"/>
          <w:szCs w:val="16"/>
        </w:rPr>
        <w:t>Школа морской авиации основана в Петрограде (11425).</w:t>
      </w:r>
    </w:p>
    <w:p w14:paraId="657C2D6B" w14:textId="77777777" w:rsidR="004B4E35" w:rsidRPr="00405303" w:rsidRDefault="004B4E35" w:rsidP="00C15251">
      <w:pPr>
        <w:shd w:val="clear" w:color="auto" w:fill="FFFFFF"/>
        <w:jc w:val="both"/>
        <w:rPr>
          <w:bCs/>
          <w:color w:val="002060"/>
          <w:sz w:val="16"/>
          <w:szCs w:val="16"/>
        </w:rPr>
      </w:pPr>
    </w:p>
    <w:p w14:paraId="67E7482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В августе 1915 в Петрограде на Гутуевском острове основана школа морской авиации Отдела воздушного флота. До этого обуче</w:t>
      </w:r>
      <w:r w:rsidRPr="00405303">
        <w:rPr>
          <w:bCs/>
          <w:color w:val="002060"/>
          <w:sz w:val="16"/>
          <w:szCs w:val="16"/>
        </w:rPr>
        <w:softHyphen/>
        <w:t>ние на гидросамолетах производилось при частях гидроавиации. Шосле заморозков, в ноябре этого же года часть школы в виде ее филиала- была переведена в город Баку, как в незамерзающий порт. ро конца года в эту школу было принято для обучения 27 офицеров, 6 солдат и 24 добровольца (Отчет Управления Заведующего авиацией за 1915).</w:t>
      </w:r>
    </w:p>
    <w:p w14:paraId="2EC7B153" w14:textId="77777777" w:rsidR="004B4E35" w:rsidRPr="00405303" w:rsidRDefault="004B4E35" w:rsidP="00C15251">
      <w:pPr>
        <w:shd w:val="clear" w:color="auto" w:fill="FFFFFF"/>
        <w:jc w:val="both"/>
        <w:rPr>
          <w:bCs/>
          <w:color w:val="002060"/>
          <w:sz w:val="16"/>
          <w:szCs w:val="16"/>
        </w:rPr>
      </w:pPr>
    </w:p>
    <w:p w14:paraId="14AA9383" w14:textId="77777777" w:rsidR="00DA314A" w:rsidRPr="00405303" w:rsidRDefault="00DA314A" w:rsidP="00C15251">
      <w:pPr>
        <w:jc w:val="both"/>
        <w:rPr>
          <w:bCs/>
          <w:color w:val="002060"/>
          <w:sz w:val="16"/>
          <w:szCs w:val="16"/>
        </w:rPr>
      </w:pPr>
      <w:r w:rsidRPr="00405303">
        <w:rPr>
          <w:bCs/>
          <w:color w:val="002060"/>
          <w:sz w:val="16"/>
          <w:szCs w:val="16"/>
        </w:rPr>
        <w:t>В августе 1915 г. в Петрограде на Гутуевском острове основана школа морской авиации Отдела воздушного флота. До этого обучение на гидропланах производилось при частях гидроавиации. После заморозков, 13 ноябре этого же года часть школы в виде ее филиала была переведена в Баку, как в незамерзающий порт. До конца года в эту школу было принято для обучения 27 офицеров и солдат и 24 добровольца.</w:t>
      </w:r>
    </w:p>
    <w:p w14:paraId="6EE9D696" w14:textId="77777777" w:rsidR="00DA314A" w:rsidRPr="00405303" w:rsidRDefault="00DA314A" w:rsidP="00C15251">
      <w:pPr>
        <w:jc w:val="both"/>
        <w:rPr>
          <w:bCs/>
          <w:color w:val="002060"/>
          <w:sz w:val="16"/>
          <w:szCs w:val="16"/>
        </w:rPr>
      </w:pPr>
      <w:r w:rsidRPr="00405303">
        <w:rPr>
          <w:bCs/>
          <w:color w:val="002060"/>
          <w:sz w:val="16"/>
          <w:szCs w:val="16"/>
        </w:rPr>
        <w:t>/Отчет Управления заведующего авиацией за 1915/ (23320).</w:t>
      </w:r>
    </w:p>
    <w:p w14:paraId="1BDA3C12" w14:textId="77777777" w:rsidR="00DA314A" w:rsidRPr="00405303" w:rsidRDefault="00DA314A" w:rsidP="00C15251">
      <w:pPr>
        <w:jc w:val="both"/>
        <w:rPr>
          <w:bCs/>
          <w:color w:val="002060"/>
          <w:sz w:val="16"/>
          <w:szCs w:val="16"/>
        </w:rPr>
      </w:pPr>
    </w:p>
    <w:p w14:paraId="2B2DEF8A" w14:textId="03B59F05" w:rsidR="004B4E35" w:rsidRPr="00405303" w:rsidRDefault="009E6F82" w:rsidP="00C15251">
      <w:pPr>
        <w:jc w:val="both"/>
        <w:rPr>
          <w:bCs/>
          <w:color w:val="002060"/>
          <w:sz w:val="16"/>
          <w:szCs w:val="16"/>
        </w:rPr>
      </w:pPr>
      <w:r w:rsidRPr="00405303">
        <w:rPr>
          <w:bCs/>
          <w:color w:val="002060"/>
          <w:sz w:val="16"/>
          <w:szCs w:val="16"/>
        </w:rPr>
        <w:t xml:space="preserve">В августе </w:t>
      </w:r>
      <w:r w:rsidR="002A10E8" w:rsidRPr="00405303">
        <w:rPr>
          <w:bCs/>
          <w:color w:val="002060"/>
          <w:sz w:val="16"/>
          <w:szCs w:val="16"/>
        </w:rPr>
        <w:t>1915 г. LZ-39</w:t>
      </w:r>
      <w:r w:rsidRPr="00405303">
        <w:rPr>
          <w:bCs/>
          <w:color w:val="002060"/>
          <w:sz w:val="16"/>
          <w:szCs w:val="16"/>
        </w:rPr>
        <w:t xml:space="preserve"> бомбил Новогеоргиевск и Новоминск, сбросив на них по 500 кг бомб. 13-14 октября 1915 года цеппелин атаковал Ковно, обрушив на него 1000 кг бомб. 7 декабря дирижабль попал под сильный шрапнельный огонь под Ковно, в результате чего был разбит один из двигателей. Пришлось совершать в районе Лыка вынужденную посадку (11324). </w:t>
      </w:r>
    </w:p>
    <w:p w14:paraId="1C4B46F8" w14:textId="77777777" w:rsidR="004B4E35" w:rsidRPr="00405303" w:rsidRDefault="004B4E35" w:rsidP="00C15251">
      <w:pPr>
        <w:shd w:val="clear" w:color="auto" w:fill="FFFFFF"/>
        <w:jc w:val="both"/>
        <w:rPr>
          <w:bCs/>
          <w:color w:val="002060"/>
          <w:sz w:val="16"/>
          <w:szCs w:val="16"/>
        </w:rPr>
      </w:pPr>
    </w:p>
    <w:p w14:paraId="0EEE56AA" w14:textId="77777777" w:rsidR="004B4E35" w:rsidRPr="00405303" w:rsidRDefault="009E6F82" w:rsidP="00C15251">
      <w:pPr>
        <w:jc w:val="both"/>
        <w:rPr>
          <w:bCs/>
          <w:i/>
          <w:color w:val="002060"/>
          <w:sz w:val="16"/>
          <w:szCs w:val="16"/>
        </w:rPr>
      </w:pPr>
      <w:r w:rsidRPr="00405303">
        <w:rPr>
          <w:bCs/>
          <w:i/>
          <w:color w:val="002060"/>
          <w:sz w:val="16"/>
          <w:szCs w:val="16"/>
        </w:rPr>
        <w:t>Жизнь и внутреняя политика:</w:t>
      </w:r>
    </w:p>
    <w:p w14:paraId="687F5E92" w14:textId="77777777" w:rsidR="004B4E35" w:rsidRPr="00405303" w:rsidRDefault="004B4E35" w:rsidP="00C15251">
      <w:pPr>
        <w:jc w:val="both"/>
        <w:rPr>
          <w:bCs/>
          <w:i/>
          <w:color w:val="002060"/>
          <w:sz w:val="16"/>
          <w:szCs w:val="16"/>
        </w:rPr>
      </w:pPr>
    </w:p>
    <w:p w14:paraId="140F3720" w14:textId="4FDEE619" w:rsidR="004B4E35" w:rsidRPr="00405303" w:rsidRDefault="002A10E8"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w:t>
      </w:r>
      <w:r w:rsidR="009E6F82" w:rsidRPr="00405303">
        <w:rPr>
          <w:bCs/>
          <w:i w:val="0"/>
          <w:color w:val="002060"/>
          <w:spacing w:val="0"/>
          <w:kern w:val="0"/>
          <w:position w:val="0"/>
          <w:sz w:val="16"/>
          <w:szCs w:val="16"/>
        </w:rPr>
        <w:t xml:space="preserve"> августе 1915 г. </w:t>
      </w:r>
      <w:r w:rsidRPr="00405303">
        <w:rPr>
          <w:bCs/>
          <w:i w:val="0"/>
          <w:color w:val="002060"/>
          <w:spacing w:val="0"/>
          <w:kern w:val="0"/>
          <w:position w:val="0"/>
          <w:sz w:val="16"/>
          <w:szCs w:val="16"/>
        </w:rPr>
        <w:t xml:space="preserve">была создана </w:t>
      </w:r>
      <w:r w:rsidR="009E6F82" w:rsidRPr="00405303">
        <w:rPr>
          <w:bCs/>
          <w:i w:val="0"/>
          <w:color w:val="002060"/>
          <w:spacing w:val="0"/>
          <w:kern w:val="0"/>
          <w:position w:val="0"/>
          <w:sz w:val="16"/>
          <w:szCs w:val="16"/>
        </w:rPr>
        <w:t>буржуазно-помещичь</w:t>
      </w:r>
      <w:r w:rsidRPr="00405303">
        <w:rPr>
          <w:bCs/>
          <w:i w:val="0"/>
          <w:color w:val="002060"/>
          <w:spacing w:val="0"/>
          <w:kern w:val="0"/>
          <w:position w:val="0"/>
          <w:sz w:val="16"/>
          <w:szCs w:val="16"/>
        </w:rPr>
        <w:t>я</w:t>
      </w:r>
      <w:r w:rsidR="009E6F82" w:rsidRPr="00405303">
        <w:rPr>
          <w:bCs/>
          <w:i w:val="0"/>
          <w:color w:val="002060"/>
          <w:spacing w:val="0"/>
          <w:kern w:val="0"/>
          <w:position w:val="0"/>
          <w:sz w:val="16"/>
          <w:szCs w:val="16"/>
        </w:rPr>
        <w:t xml:space="preserve"> фракци</w:t>
      </w:r>
      <w:r w:rsidRPr="00405303">
        <w:rPr>
          <w:bCs/>
          <w:i w:val="0"/>
          <w:color w:val="002060"/>
          <w:spacing w:val="0"/>
          <w:kern w:val="0"/>
          <w:position w:val="0"/>
          <w:sz w:val="16"/>
          <w:szCs w:val="16"/>
        </w:rPr>
        <w:t>я</w:t>
      </w:r>
      <w:r w:rsidR="009E6F82" w:rsidRPr="00405303">
        <w:rPr>
          <w:bCs/>
          <w:i w:val="0"/>
          <w:color w:val="002060"/>
          <w:spacing w:val="0"/>
          <w:kern w:val="0"/>
          <w:position w:val="0"/>
          <w:sz w:val="16"/>
          <w:szCs w:val="16"/>
        </w:rPr>
        <w:t xml:space="preserve"> в Государственной думе — Прогрессивн</w:t>
      </w:r>
      <w:r w:rsidRPr="00405303">
        <w:rPr>
          <w:bCs/>
          <w:i w:val="0"/>
          <w:color w:val="002060"/>
          <w:spacing w:val="0"/>
          <w:kern w:val="0"/>
          <w:position w:val="0"/>
          <w:sz w:val="16"/>
          <w:szCs w:val="16"/>
        </w:rPr>
        <w:t>ый</w:t>
      </w:r>
      <w:r w:rsidR="009E6F82" w:rsidRPr="00405303">
        <w:rPr>
          <w:bCs/>
          <w:i w:val="0"/>
          <w:color w:val="002060"/>
          <w:spacing w:val="0"/>
          <w:kern w:val="0"/>
          <w:position w:val="0"/>
          <w:sz w:val="16"/>
          <w:szCs w:val="16"/>
        </w:rPr>
        <w:t xml:space="preserve"> блок, разработавш</w:t>
      </w:r>
      <w:r w:rsidRPr="00405303">
        <w:rPr>
          <w:bCs/>
          <w:i w:val="0"/>
          <w:color w:val="002060"/>
          <w:spacing w:val="0"/>
          <w:kern w:val="0"/>
          <w:position w:val="0"/>
          <w:sz w:val="16"/>
          <w:szCs w:val="16"/>
        </w:rPr>
        <w:t>ий</w:t>
      </w:r>
      <w:r w:rsidR="009E6F82" w:rsidRPr="00405303">
        <w:rPr>
          <w:bCs/>
          <w:i w:val="0"/>
          <w:color w:val="002060"/>
          <w:spacing w:val="0"/>
          <w:kern w:val="0"/>
          <w:position w:val="0"/>
          <w:sz w:val="16"/>
          <w:szCs w:val="16"/>
        </w:rPr>
        <w:t xml:space="preserve"> программу, основой которой стало допущение буржуазии к власти и осуществление таких задач, как предотвращение революции, доведение войны до победного конца при сохранении монархии. В качестве средства к достижению этих целей Прогрессивный блок требовал от царя создания «объединенного правительства» из лиц, пользующихся доверием страны, т.е. такого министерства, которому доверяла бы буржуазия. Осенью 1916 г. эти требования буржуазии конкретизировались в лозунге создания «ответственного министерства», которое было бы подконтрольно в своей деятельности Думе. Однако царь отверг эти требования, а затем поставил вопрос о роспуске самой Думы до конца войны (11270).</w:t>
      </w:r>
    </w:p>
    <w:p w14:paraId="26C28FC2" w14:textId="77777777" w:rsidR="004B4E35" w:rsidRPr="00405303" w:rsidRDefault="004B4E35" w:rsidP="00C15251">
      <w:pPr>
        <w:jc w:val="both"/>
        <w:rPr>
          <w:bCs/>
          <w:color w:val="002060"/>
          <w:sz w:val="16"/>
          <w:szCs w:val="16"/>
        </w:rPr>
      </w:pPr>
    </w:p>
    <w:p w14:paraId="548D1B70" w14:textId="77777777" w:rsidR="007048CF" w:rsidRPr="00405303" w:rsidRDefault="007048CF"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В августе 1915 г. Н.А. Бердяев осудил социал-демо</w:t>
      </w:r>
      <w:r w:rsidRPr="00405303">
        <w:rPr>
          <w:rFonts w:ascii="Times New Roman" w:hAnsi="Times New Roman" w:cs="Times New Roman"/>
          <w:bCs/>
          <w:color w:val="002060"/>
          <w:sz w:val="16"/>
          <w:szCs w:val="16"/>
        </w:rPr>
        <w:softHyphen/>
        <w:t>кратов за то, что они отказались участвовать в думской во</w:t>
      </w:r>
      <w:r w:rsidRPr="00405303">
        <w:rPr>
          <w:rFonts w:ascii="Times New Roman" w:hAnsi="Times New Roman" w:cs="Times New Roman"/>
          <w:bCs/>
          <w:color w:val="002060"/>
          <w:sz w:val="16"/>
          <w:szCs w:val="16"/>
        </w:rPr>
        <w:softHyphen/>
        <w:t>енно-морской комиссии и тем самым — «не берут на себя ответственности за оборону страны». Правые в Думе пыта</w:t>
      </w:r>
      <w:r w:rsidRPr="00405303">
        <w:rPr>
          <w:rFonts w:ascii="Times New Roman" w:hAnsi="Times New Roman" w:cs="Times New Roman"/>
          <w:bCs/>
          <w:color w:val="002060"/>
          <w:sz w:val="16"/>
          <w:szCs w:val="16"/>
        </w:rPr>
        <w:softHyphen/>
        <w:t>лись заманить рабочих в Особое совещание по обороне, за</w:t>
      </w:r>
      <w:r w:rsidRPr="00405303">
        <w:rPr>
          <w:rFonts w:ascii="Times New Roman" w:hAnsi="Times New Roman" w:cs="Times New Roman"/>
          <w:bCs/>
          <w:color w:val="002060"/>
          <w:sz w:val="16"/>
          <w:szCs w:val="16"/>
        </w:rPr>
        <w:softHyphen/>
        <w:t>явив, что только при условии их участия одобрят включение в его состав представителей ЦВПК. Предложенная правыми 20 июля 1915 г. формула перехода (постановление) Думы со</w:t>
      </w:r>
      <w:r w:rsidRPr="00405303">
        <w:rPr>
          <w:rFonts w:ascii="Times New Roman" w:hAnsi="Times New Roman" w:cs="Times New Roman"/>
          <w:bCs/>
          <w:color w:val="002060"/>
          <w:sz w:val="16"/>
          <w:szCs w:val="16"/>
        </w:rPr>
        <w:softHyphen/>
        <w:t>держала требование («выражая надежду»), что деятелями ЦВПК «при выборе членов Особого совещания при военном министре будет дано место представителям рабочих». «Вот при принятии такой формулы перехода [к очередным делам] мы, правые, скрепя сердце, поддержим допущение в состав Особого совещания трех представителей ЦВПК», — объяс</w:t>
      </w:r>
      <w:r w:rsidRPr="00405303">
        <w:rPr>
          <w:rFonts w:ascii="Times New Roman" w:hAnsi="Times New Roman" w:cs="Times New Roman"/>
          <w:bCs/>
          <w:color w:val="002060"/>
          <w:sz w:val="16"/>
          <w:szCs w:val="16"/>
        </w:rPr>
        <w:softHyphen/>
        <w:t>нил Н.Е. Марков. К принятой Думой формуле правых при</w:t>
      </w:r>
      <w:r w:rsidRPr="00405303">
        <w:rPr>
          <w:rFonts w:ascii="Times New Roman" w:hAnsi="Times New Roman" w:cs="Times New Roman"/>
          <w:bCs/>
          <w:color w:val="002060"/>
          <w:sz w:val="16"/>
          <w:szCs w:val="16"/>
        </w:rPr>
        <w:softHyphen/>
        <w:t>соединился и Государственный совет. Последовавший отказ социал-демократов принять приглашение к сотрудничеству Бердяев заклеймил как «классический образец совершенной отвлеченности и формальной абсолютности в политике» (Голлербах Евг. К незримому граду: религиозно-философская груп</w:t>
      </w:r>
      <w:r w:rsidRPr="00405303">
        <w:rPr>
          <w:rFonts w:ascii="Times New Roman" w:hAnsi="Times New Roman" w:cs="Times New Roman"/>
          <w:bCs/>
          <w:color w:val="002060"/>
          <w:sz w:val="16"/>
          <w:szCs w:val="16"/>
        </w:rPr>
        <w:softHyphen/>
        <w:t>па «Путь» (1910—1919) в поисках новой русской идентичности. СПб., 2000. С. 19, 246 сл., 324 сл., 376 сл., 396; Бердяев Н.А. Падение священ</w:t>
      </w:r>
      <w:r w:rsidRPr="00405303">
        <w:rPr>
          <w:rFonts w:ascii="Times New Roman" w:hAnsi="Times New Roman" w:cs="Times New Roman"/>
          <w:bCs/>
          <w:color w:val="002060"/>
          <w:sz w:val="16"/>
          <w:szCs w:val="16"/>
        </w:rPr>
        <w:softHyphen/>
        <w:t>ного русского царства: Публицистика, 1914—1922. М., 2007. «Более углу</w:t>
      </w:r>
      <w:r w:rsidRPr="00405303">
        <w:rPr>
          <w:rFonts w:ascii="Times New Roman" w:hAnsi="Times New Roman" w:cs="Times New Roman"/>
          <w:bCs/>
          <w:color w:val="002060"/>
          <w:sz w:val="16"/>
          <w:szCs w:val="16"/>
        </w:rPr>
        <w:softHyphen/>
        <w:t>бленному, более религиозному взгляду» Бердяева открылось, что «ма</w:t>
      </w:r>
      <w:r w:rsidRPr="00405303">
        <w:rPr>
          <w:rFonts w:ascii="Times New Roman" w:hAnsi="Times New Roman" w:cs="Times New Roman"/>
          <w:bCs/>
          <w:color w:val="002060"/>
          <w:sz w:val="16"/>
          <w:szCs w:val="16"/>
        </w:rPr>
        <w:softHyphen/>
        <w:t xml:space="preserve">ленькая, чувствующая себя раздавленной частная жизнь» — ничто, а «частно-гуманистическое мировоззрение» — хуже анархизма; СОГД </w:t>
      </w:r>
      <w:r w:rsidRPr="00405303">
        <w:rPr>
          <w:rFonts w:ascii="Times New Roman" w:hAnsi="Times New Roman" w:cs="Times New Roman"/>
          <w:bCs/>
          <w:color w:val="002060"/>
          <w:sz w:val="16"/>
          <w:szCs w:val="16"/>
          <w:lang w:val="en-US" w:bidi="en-US"/>
        </w:rPr>
        <w:t>IV</w:t>
      </w:r>
      <w:r w:rsidRPr="00405303">
        <w:rPr>
          <w:rFonts w:ascii="Times New Roman" w:hAnsi="Times New Roman" w:cs="Times New Roman"/>
          <w:bCs/>
          <w:color w:val="002060"/>
          <w:sz w:val="16"/>
          <w:szCs w:val="16"/>
          <w:lang w:bidi="en-US"/>
        </w:rPr>
        <w:t xml:space="preserve">/4. </w:t>
      </w:r>
      <w:r w:rsidRPr="00405303">
        <w:rPr>
          <w:rFonts w:ascii="Times New Roman" w:hAnsi="Times New Roman" w:cs="Times New Roman"/>
          <w:bCs/>
          <w:color w:val="002060"/>
          <w:sz w:val="16"/>
          <w:szCs w:val="16"/>
        </w:rPr>
        <w:t>Ч. 1. Стб. 290; Всеподданнейший отчет председателя Государственного совета за X и XI сессии 1915 г. Пг., 1915. С. 23; Бер</w:t>
      </w:r>
      <w:r w:rsidRPr="00405303">
        <w:rPr>
          <w:rFonts w:ascii="Times New Roman" w:hAnsi="Times New Roman" w:cs="Times New Roman"/>
          <w:bCs/>
          <w:color w:val="002060"/>
          <w:sz w:val="16"/>
          <w:szCs w:val="16"/>
        </w:rPr>
        <w:softHyphen/>
        <w:t>дяев Н.А.\ 1) Об отвлеченности и абсолютности в политике // Биржевые ведомости. 1915, 18 авг.; 2) Судьбы России. Опыты по психологии войны и национальности. М., 1918. С. 213—214) (23452).</w:t>
      </w:r>
    </w:p>
    <w:p w14:paraId="44626E4E" w14:textId="77777777" w:rsidR="007048CF" w:rsidRPr="00405303" w:rsidRDefault="007048CF" w:rsidP="00C15251">
      <w:pPr>
        <w:jc w:val="both"/>
        <w:rPr>
          <w:bCs/>
          <w:color w:val="002060"/>
          <w:sz w:val="16"/>
          <w:szCs w:val="16"/>
          <w:lang w:bidi="ru-RU"/>
        </w:rPr>
      </w:pPr>
    </w:p>
    <w:p w14:paraId="1111C3BF"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Франции:</w:t>
      </w:r>
    </w:p>
    <w:p w14:paraId="718F27B0" w14:textId="77777777" w:rsidR="004B4E35" w:rsidRPr="00405303" w:rsidRDefault="004B4E35" w:rsidP="00C15251">
      <w:pPr>
        <w:jc w:val="both"/>
        <w:rPr>
          <w:bCs/>
          <w:i/>
          <w:color w:val="002060"/>
          <w:sz w:val="16"/>
          <w:szCs w:val="16"/>
        </w:rPr>
      </w:pPr>
    </w:p>
    <w:p w14:paraId="5AD2138D" w14:textId="77777777" w:rsidR="002A10E8" w:rsidRPr="00405303" w:rsidRDefault="002A10E8"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августе 1915 года</w:t>
      </w:r>
      <w:r w:rsidRPr="00405303">
        <w:rPr>
          <w:bCs/>
          <w:color w:val="002060"/>
          <w:sz w:val="16"/>
          <w:szCs w:val="16"/>
        </w:rPr>
        <w:t xml:space="preserve"> дирижабль «Д'Арланд» поднялся в небо</w:t>
      </w:r>
      <w:r w:rsidR="009E6F82" w:rsidRPr="00405303">
        <w:rPr>
          <w:bCs/>
          <w:color w:val="002060"/>
          <w:sz w:val="16"/>
          <w:szCs w:val="16"/>
        </w:rPr>
        <w:t xml:space="preserve">, а «Шампань» — в январе следующего года. </w:t>
      </w:r>
    </w:p>
    <w:p w14:paraId="768C8C4F" w14:textId="77777777" w:rsidR="002A10E8" w:rsidRPr="00405303" w:rsidRDefault="002A10E8" w:rsidP="00C15251">
      <w:pPr>
        <w:jc w:val="both"/>
        <w:rPr>
          <w:bCs/>
          <w:color w:val="002060"/>
          <w:sz w:val="16"/>
          <w:szCs w:val="16"/>
        </w:rPr>
      </w:pPr>
      <w:r w:rsidRPr="00405303">
        <w:rPr>
          <w:bCs/>
          <w:color w:val="002060"/>
          <w:sz w:val="16"/>
          <w:szCs w:val="16"/>
        </w:rPr>
        <w:t xml:space="preserve">Два воздушных корабля разобрали, трансформировав каждый в два новых дирижабля меньшего объема. Из «Пилатр де Розье» создали дирижабли объемом 14 000 куб. м — один из них сохранил имя предшественника (командиром назначен капитан Прешер), а другой назвали «Эльзас» (лейтенант Коэн). Оба были построены в августе 1915 года. Подобным образом появились «д'Арланд» (капитан Леро) и «Шампань» (капитан Жу), каждый объемом 14 200 куб. м. </w:t>
      </w:r>
    </w:p>
    <w:p w14:paraId="400D95A4" w14:textId="158A5286" w:rsidR="004B4E35" w:rsidRPr="00405303" w:rsidRDefault="009E6F82" w:rsidP="00C15251">
      <w:pPr>
        <w:jc w:val="both"/>
        <w:rPr>
          <w:bCs/>
          <w:color w:val="002060"/>
          <w:sz w:val="16"/>
          <w:szCs w:val="16"/>
        </w:rPr>
      </w:pPr>
      <w:r w:rsidRPr="00405303">
        <w:rPr>
          <w:bCs/>
          <w:color w:val="002060"/>
          <w:sz w:val="16"/>
          <w:szCs w:val="16"/>
        </w:rPr>
        <w:t xml:space="preserve">Эти дирижабли были направлены в Верден, Эпиналь, Туль и Гревекер. «Д'Арланд» выполнил четыре полета в 1916 году. Он налетал всего 1400 км, сбрасывая в каждом полете тонну взрывчатых веществ. </w:t>
      </w:r>
    </w:p>
    <w:p w14:paraId="64327EE8" w14:textId="77777777" w:rsidR="004B4E35" w:rsidRPr="00405303" w:rsidRDefault="009E6F82" w:rsidP="00C15251">
      <w:pPr>
        <w:jc w:val="both"/>
        <w:rPr>
          <w:bCs/>
          <w:color w:val="002060"/>
          <w:sz w:val="16"/>
          <w:szCs w:val="16"/>
        </w:rPr>
      </w:pPr>
      <w:r w:rsidRPr="00405303">
        <w:rPr>
          <w:bCs/>
          <w:color w:val="002060"/>
          <w:sz w:val="16"/>
          <w:szCs w:val="16"/>
        </w:rPr>
        <w:t>Во время выполнения третьего задания он был поврежден германской артиллерией, но дошел до своей территории и был отремонтирован. После четвертого полета дирижабль сняли с сухопутного фронта и передали флоту (11324).</w:t>
      </w:r>
    </w:p>
    <w:p w14:paraId="003B6B51" w14:textId="77777777" w:rsidR="004B4E35" w:rsidRPr="00405303" w:rsidRDefault="004B4E35" w:rsidP="00C15251">
      <w:pPr>
        <w:shd w:val="clear" w:color="auto" w:fill="FFFFFF"/>
        <w:jc w:val="both"/>
        <w:rPr>
          <w:bCs/>
          <w:i/>
          <w:color w:val="002060"/>
          <w:sz w:val="16"/>
          <w:szCs w:val="16"/>
        </w:rPr>
      </w:pPr>
    </w:p>
    <w:p w14:paraId="0290BE86"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Англии:</w:t>
      </w:r>
    </w:p>
    <w:p w14:paraId="05E9C1B9" w14:textId="77777777" w:rsidR="004B4E35" w:rsidRPr="00405303" w:rsidRDefault="004B4E35" w:rsidP="00C15251">
      <w:pPr>
        <w:shd w:val="clear" w:color="auto" w:fill="FFFFFF"/>
        <w:jc w:val="both"/>
        <w:rPr>
          <w:bCs/>
          <w:i/>
          <w:color w:val="002060"/>
          <w:sz w:val="16"/>
          <w:szCs w:val="16"/>
        </w:rPr>
      </w:pPr>
    </w:p>
    <w:p w14:paraId="73B98A0B" w14:textId="10A8E795" w:rsidR="004B4E35" w:rsidRPr="00405303" w:rsidRDefault="00E1214F"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августе 1915 г.</w:t>
      </w:r>
      <w:r w:rsidRPr="00405303">
        <w:rPr>
          <w:bCs/>
          <w:color w:val="002060"/>
          <w:sz w:val="16"/>
          <w:szCs w:val="16"/>
        </w:rPr>
        <w:t xml:space="preserve"> </w:t>
      </w:r>
      <w:r w:rsidR="009E6F82" w:rsidRPr="00405303">
        <w:rPr>
          <w:bCs/>
          <w:color w:val="002060"/>
          <w:sz w:val="16"/>
          <w:szCs w:val="16"/>
          <w:lang w:val="en-US"/>
        </w:rPr>
        <w:t>Short</w:t>
      </w:r>
      <w:r w:rsidR="009E6F82" w:rsidRPr="00405303">
        <w:rPr>
          <w:bCs/>
          <w:color w:val="002060"/>
          <w:sz w:val="16"/>
          <w:szCs w:val="16"/>
        </w:rPr>
        <w:t>184 стал первым самолетом, успешно атаковавшим реальную цель. Но если же говорить о специ</w:t>
      </w:r>
      <w:r w:rsidR="009E6F82" w:rsidRPr="00405303">
        <w:rPr>
          <w:bCs/>
          <w:color w:val="002060"/>
          <w:sz w:val="16"/>
          <w:szCs w:val="16"/>
        </w:rPr>
        <w:softHyphen/>
        <w:t>ально спроектированном морском торпедоносце, то в Великобрита</w:t>
      </w:r>
      <w:r w:rsidR="009E6F82" w:rsidRPr="00405303">
        <w:rPr>
          <w:bCs/>
          <w:color w:val="002060"/>
          <w:sz w:val="16"/>
          <w:szCs w:val="16"/>
        </w:rPr>
        <w:softHyphen/>
        <w:t xml:space="preserve">нии им, пожалуй, был </w:t>
      </w:r>
      <w:r w:rsidR="009E6F82" w:rsidRPr="00405303">
        <w:rPr>
          <w:bCs/>
          <w:color w:val="002060"/>
          <w:sz w:val="16"/>
          <w:szCs w:val="16"/>
          <w:lang w:val="en-US"/>
        </w:rPr>
        <w:t>AD</w:t>
      </w:r>
      <w:r w:rsidR="009E6F82" w:rsidRPr="00405303">
        <w:rPr>
          <w:bCs/>
          <w:color w:val="002060"/>
          <w:sz w:val="16"/>
          <w:szCs w:val="16"/>
        </w:rPr>
        <w:t>.1000, ко</w:t>
      </w:r>
      <w:r w:rsidR="009E6F82" w:rsidRPr="00405303">
        <w:rPr>
          <w:bCs/>
          <w:color w:val="002060"/>
          <w:sz w:val="16"/>
          <w:szCs w:val="16"/>
        </w:rPr>
        <w:softHyphen/>
        <w:t>торый в 1914 г. сконструировал Харис Бут. Строительство необыч</w:t>
      </w:r>
      <w:r w:rsidR="009E6F82" w:rsidRPr="00405303">
        <w:rPr>
          <w:bCs/>
          <w:color w:val="002060"/>
          <w:sz w:val="16"/>
          <w:szCs w:val="16"/>
        </w:rPr>
        <w:softHyphen/>
        <w:t>ного гидросамолёта началось осе</w:t>
      </w:r>
      <w:r w:rsidR="009E6F82" w:rsidRPr="00405303">
        <w:rPr>
          <w:bCs/>
          <w:color w:val="002060"/>
          <w:sz w:val="16"/>
          <w:szCs w:val="16"/>
        </w:rPr>
        <w:softHyphen/>
        <w:t xml:space="preserve">нью 1914 г. на заводе </w:t>
      </w:r>
      <w:r w:rsidR="009E6F82" w:rsidRPr="00405303">
        <w:rPr>
          <w:bCs/>
          <w:color w:val="002060"/>
          <w:sz w:val="16"/>
          <w:szCs w:val="16"/>
          <w:lang w:val="en-US"/>
        </w:rPr>
        <w:t>JohnSamuelWhite</w:t>
      </w:r>
      <w:r w:rsidR="009E6F82" w:rsidRPr="00405303">
        <w:rPr>
          <w:bCs/>
          <w:color w:val="002060"/>
          <w:sz w:val="16"/>
          <w:szCs w:val="16"/>
        </w:rPr>
        <w:t xml:space="preserve">&amp; Со </w:t>
      </w:r>
      <w:r w:rsidR="009E6F82" w:rsidRPr="00405303">
        <w:rPr>
          <w:bCs/>
          <w:color w:val="002060"/>
          <w:sz w:val="16"/>
          <w:szCs w:val="16"/>
          <w:lang w:val="en-US"/>
        </w:rPr>
        <w:t>Ltd</w:t>
      </w:r>
      <w:r w:rsidR="009E6F82" w:rsidRPr="00405303">
        <w:rPr>
          <w:bCs/>
          <w:color w:val="002060"/>
          <w:sz w:val="16"/>
          <w:szCs w:val="16"/>
        </w:rPr>
        <w:t>. (</w:t>
      </w:r>
      <w:r w:rsidR="009E6F82" w:rsidRPr="00405303">
        <w:rPr>
          <w:bCs/>
          <w:color w:val="002060"/>
          <w:sz w:val="16"/>
          <w:szCs w:val="16"/>
          <w:lang w:val="en-US"/>
        </w:rPr>
        <w:t>WightAircraft</w:t>
      </w:r>
      <w:r w:rsidR="009E6F82" w:rsidRPr="00405303">
        <w:rPr>
          <w:bCs/>
          <w:color w:val="002060"/>
          <w:sz w:val="16"/>
          <w:szCs w:val="16"/>
        </w:rPr>
        <w:t>). Это был пятиместный четырёх- стоечный биплан с двойным фюзе</w:t>
      </w:r>
      <w:r w:rsidR="009E6F82" w:rsidRPr="00405303">
        <w:rPr>
          <w:bCs/>
          <w:color w:val="002060"/>
          <w:sz w:val="16"/>
          <w:szCs w:val="16"/>
        </w:rPr>
        <w:softHyphen/>
        <w:t>ляжем, одним толкающим (в цент</w:t>
      </w:r>
      <w:r w:rsidR="009E6F82" w:rsidRPr="00405303">
        <w:rPr>
          <w:bCs/>
          <w:color w:val="002060"/>
          <w:sz w:val="16"/>
          <w:szCs w:val="16"/>
        </w:rPr>
        <w:softHyphen/>
        <w:t>ральной гондоле) и двумя тянущи</w:t>
      </w:r>
      <w:r w:rsidR="009E6F82" w:rsidRPr="00405303">
        <w:rPr>
          <w:bCs/>
          <w:color w:val="002060"/>
          <w:sz w:val="16"/>
          <w:szCs w:val="16"/>
        </w:rPr>
        <w:softHyphen/>
        <w:t xml:space="preserve">ми (в балках) двигателями </w:t>
      </w:r>
      <w:r w:rsidR="009E6F82" w:rsidRPr="00405303">
        <w:rPr>
          <w:bCs/>
          <w:color w:val="002060"/>
          <w:sz w:val="16"/>
          <w:szCs w:val="16"/>
          <w:lang w:val="en-US"/>
        </w:rPr>
        <w:t>Sunbeam</w:t>
      </w:r>
      <w:r w:rsidR="009E6F82" w:rsidRPr="00405303">
        <w:rPr>
          <w:bCs/>
          <w:color w:val="002060"/>
          <w:sz w:val="16"/>
          <w:szCs w:val="16"/>
        </w:rPr>
        <w:t xml:space="preserve">мощностью по 310 л.с. с </w:t>
      </w:r>
      <w:proofErr w:type="gramStart"/>
      <w:r w:rsidR="009E6F82" w:rsidRPr="00405303">
        <w:rPr>
          <w:bCs/>
          <w:color w:val="002060"/>
          <w:sz w:val="16"/>
          <w:szCs w:val="16"/>
        </w:rPr>
        <w:t>четырех- лопастными</w:t>
      </w:r>
      <w:proofErr w:type="gramEnd"/>
      <w:r w:rsidR="009E6F82" w:rsidRPr="00405303">
        <w:rPr>
          <w:bCs/>
          <w:color w:val="002060"/>
          <w:sz w:val="16"/>
          <w:szCs w:val="16"/>
        </w:rPr>
        <w:t xml:space="preserve"> винтами.</w:t>
      </w:r>
    </w:p>
    <w:p w14:paraId="2FF1BCA0" w14:textId="77777777" w:rsidR="004B4E35" w:rsidRPr="00405303" w:rsidRDefault="009E6F82" w:rsidP="00C15251">
      <w:pPr>
        <w:jc w:val="both"/>
        <w:rPr>
          <w:bCs/>
          <w:color w:val="002060"/>
          <w:sz w:val="16"/>
          <w:szCs w:val="16"/>
        </w:rPr>
      </w:pPr>
      <w:r w:rsidRPr="00405303">
        <w:rPr>
          <w:bCs/>
          <w:color w:val="002060"/>
          <w:sz w:val="16"/>
          <w:szCs w:val="16"/>
        </w:rPr>
        <w:t>Шасси состояло из двух основ</w:t>
      </w:r>
      <w:r w:rsidRPr="00405303">
        <w:rPr>
          <w:bCs/>
          <w:color w:val="002060"/>
          <w:sz w:val="16"/>
          <w:szCs w:val="16"/>
        </w:rPr>
        <w:softHyphen/>
        <w:t>ных и двух хвостовых поплавков. Два руля высоты и руль направления были снабжены большой роговой компенсацией. Элероны только на верхнем крыле. Экипаж размещал</w:t>
      </w:r>
      <w:r w:rsidRPr="00405303">
        <w:rPr>
          <w:bCs/>
          <w:color w:val="002060"/>
          <w:sz w:val="16"/>
          <w:szCs w:val="16"/>
        </w:rPr>
        <w:softHyphen/>
        <w:t>ся в трёх отдельных кабинах, у каж</w:t>
      </w:r>
      <w:r w:rsidRPr="00405303">
        <w:rPr>
          <w:bCs/>
          <w:color w:val="002060"/>
          <w:sz w:val="16"/>
          <w:szCs w:val="16"/>
        </w:rPr>
        <w:softHyphen/>
        <w:t>дого мотора был свой механик. Под центральной гондолой подвешивалась одна 356 мм торпеда массой 367 кг.</w:t>
      </w:r>
    </w:p>
    <w:p w14:paraId="67DE024A" w14:textId="77777777" w:rsidR="004B4E35" w:rsidRPr="00405303" w:rsidRDefault="009E6F82" w:rsidP="00C15251">
      <w:pPr>
        <w:jc w:val="both"/>
        <w:rPr>
          <w:bCs/>
          <w:color w:val="002060"/>
          <w:sz w:val="16"/>
          <w:szCs w:val="16"/>
        </w:rPr>
      </w:pPr>
      <w:r w:rsidRPr="00405303">
        <w:rPr>
          <w:bCs/>
          <w:color w:val="002060"/>
          <w:sz w:val="16"/>
          <w:szCs w:val="16"/>
        </w:rPr>
        <w:t xml:space="preserve">Самолёт, получивший флотский номер </w:t>
      </w:r>
      <w:r w:rsidRPr="00405303">
        <w:rPr>
          <w:bCs/>
          <w:color w:val="002060"/>
          <w:sz w:val="16"/>
          <w:szCs w:val="16"/>
          <w:lang w:val="en-US"/>
        </w:rPr>
        <w:t>N</w:t>
      </w:r>
      <w:r w:rsidRPr="00405303">
        <w:rPr>
          <w:bCs/>
          <w:color w:val="002060"/>
          <w:sz w:val="16"/>
          <w:szCs w:val="16"/>
        </w:rPr>
        <w:t xml:space="preserve">.1358, был готов весной 1915 г., но вот двигателей </w:t>
      </w:r>
      <w:r w:rsidRPr="00405303">
        <w:rPr>
          <w:bCs/>
          <w:color w:val="002060"/>
          <w:sz w:val="16"/>
          <w:szCs w:val="16"/>
          <w:lang w:val="en-US"/>
        </w:rPr>
        <w:t>Sunbeam</w:t>
      </w:r>
      <w:r w:rsidRPr="00405303">
        <w:rPr>
          <w:bCs/>
          <w:color w:val="002060"/>
          <w:sz w:val="16"/>
          <w:szCs w:val="16"/>
        </w:rPr>
        <w:t>ещё не было. Гидроплан простоял целый год, но так и не взлетел. Одной из причин была неуверен</w:t>
      </w:r>
      <w:r w:rsidRPr="00405303">
        <w:rPr>
          <w:bCs/>
          <w:color w:val="002060"/>
          <w:sz w:val="16"/>
          <w:szCs w:val="16"/>
        </w:rPr>
        <w:softHyphen/>
        <w:t>ность моряков в прочности поплав</w:t>
      </w:r>
      <w:r w:rsidRPr="00405303">
        <w:rPr>
          <w:bCs/>
          <w:color w:val="002060"/>
          <w:sz w:val="16"/>
          <w:szCs w:val="16"/>
        </w:rPr>
        <w:softHyphen/>
        <w:t>кового шасси для такой огромной машины, размах крыла которой был равен 35 м.</w:t>
      </w:r>
    </w:p>
    <w:p w14:paraId="4B0ACB9D" w14:textId="77777777" w:rsidR="004B4E35" w:rsidRPr="00405303" w:rsidRDefault="009E6F82" w:rsidP="00C15251">
      <w:pPr>
        <w:jc w:val="both"/>
        <w:rPr>
          <w:bCs/>
          <w:color w:val="002060"/>
          <w:sz w:val="16"/>
          <w:szCs w:val="16"/>
        </w:rPr>
      </w:pPr>
      <w:r w:rsidRPr="00405303">
        <w:rPr>
          <w:bCs/>
          <w:color w:val="002060"/>
          <w:sz w:val="16"/>
          <w:szCs w:val="16"/>
        </w:rPr>
        <w:t xml:space="preserve">Но хотя </w:t>
      </w:r>
      <w:r w:rsidRPr="00405303">
        <w:rPr>
          <w:bCs/>
          <w:color w:val="002060"/>
          <w:sz w:val="16"/>
          <w:szCs w:val="16"/>
          <w:lang w:val="en-US"/>
        </w:rPr>
        <w:t>Short</w:t>
      </w:r>
      <w:r w:rsidRPr="00405303">
        <w:rPr>
          <w:bCs/>
          <w:color w:val="002060"/>
          <w:sz w:val="16"/>
          <w:szCs w:val="16"/>
        </w:rPr>
        <w:t>184 - первый мор</w:t>
      </w:r>
      <w:r w:rsidRPr="00405303">
        <w:rPr>
          <w:bCs/>
          <w:color w:val="002060"/>
          <w:sz w:val="16"/>
          <w:szCs w:val="16"/>
        </w:rPr>
        <w:softHyphen/>
        <w:t>ской торпедоносец, применённый в бою (и добившийся победы), паль</w:t>
      </w:r>
      <w:r w:rsidRPr="00405303">
        <w:rPr>
          <w:bCs/>
          <w:color w:val="002060"/>
          <w:sz w:val="16"/>
          <w:szCs w:val="16"/>
        </w:rPr>
        <w:softHyphen/>
        <w:t>ма первенства в создании само</w:t>
      </w:r>
      <w:r w:rsidRPr="00405303">
        <w:rPr>
          <w:bCs/>
          <w:color w:val="002060"/>
          <w:sz w:val="16"/>
          <w:szCs w:val="16"/>
        </w:rPr>
        <w:softHyphen/>
        <w:t>лётов такого типа англичанам не принадлежит.</w:t>
      </w:r>
    </w:p>
    <w:p w14:paraId="7832341A" w14:textId="77777777" w:rsidR="004B4E35" w:rsidRPr="00405303" w:rsidRDefault="009E6F82" w:rsidP="00C15251">
      <w:pPr>
        <w:jc w:val="both"/>
        <w:rPr>
          <w:bCs/>
          <w:color w:val="002060"/>
          <w:sz w:val="16"/>
          <w:szCs w:val="16"/>
        </w:rPr>
      </w:pPr>
      <w:r w:rsidRPr="00405303">
        <w:rPr>
          <w:bCs/>
          <w:color w:val="002060"/>
          <w:sz w:val="16"/>
          <w:szCs w:val="16"/>
        </w:rPr>
        <w:t>Ещё в феврале 1914 г. 33-лет</w:t>
      </w:r>
      <w:r w:rsidRPr="00405303">
        <w:rPr>
          <w:bCs/>
          <w:color w:val="002060"/>
          <w:sz w:val="16"/>
          <w:szCs w:val="16"/>
        </w:rPr>
        <w:softHyphen/>
        <w:t>ний капитан итальянской армии Алессандро Гуидони подвесил под «Фарман» с 80-сильным двигателем «Гном» торпеду и успешно сбросил её. Правда, «Фарман» был сухопут</w:t>
      </w:r>
      <w:r w:rsidRPr="00405303">
        <w:rPr>
          <w:bCs/>
          <w:color w:val="002060"/>
          <w:sz w:val="16"/>
          <w:szCs w:val="16"/>
        </w:rPr>
        <w:softHyphen/>
        <w:t>ным, на колёсном шасси, и к воп</w:t>
      </w:r>
      <w:r w:rsidRPr="00405303">
        <w:rPr>
          <w:bCs/>
          <w:color w:val="002060"/>
          <w:sz w:val="16"/>
          <w:szCs w:val="16"/>
        </w:rPr>
        <w:softHyphen/>
        <w:t>росу о первенстве морских торпе</w:t>
      </w:r>
      <w:r w:rsidRPr="00405303">
        <w:rPr>
          <w:bCs/>
          <w:color w:val="002060"/>
          <w:sz w:val="16"/>
          <w:szCs w:val="16"/>
        </w:rPr>
        <w:softHyphen/>
        <w:t>доносцев отношения не имеет.</w:t>
      </w:r>
    </w:p>
    <w:p w14:paraId="3905C321" w14:textId="77777777" w:rsidR="004B4E35" w:rsidRPr="00405303" w:rsidRDefault="009E6F82" w:rsidP="00C15251">
      <w:pPr>
        <w:jc w:val="both"/>
        <w:rPr>
          <w:bCs/>
          <w:color w:val="002060"/>
          <w:sz w:val="16"/>
          <w:szCs w:val="16"/>
        </w:rPr>
      </w:pPr>
      <w:r w:rsidRPr="00405303">
        <w:rPr>
          <w:bCs/>
          <w:color w:val="002060"/>
          <w:sz w:val="16"/>
          <w:szCs w:val="16"/>
        </w:rPr>
        <w:t>Но в том же 1914 г. Гуидони со</w:t>
      </w:r>
      <w:r w:rsidRPr="00405303">
        <w:rPr>
          <w:bCs/>
          <w:color w:val="002060"/>
          <w:sz w:val="16"/>
          <w:szCs w:val="16"/>
        </w:rPr>
        <w:softHyphen/>
        <w:t>здал гидросамолёт специальной конструкции.</w:t>
      </w:r>
    </w:p>
    <w:p w14:paraId="2D1BA23B" w14:textId="77777777" w:rsidR="004B4E35" w:rsidRPr="00405303" w:rsidRDefault="009E6F82" w:rsidP="00C15251">
      <w:pPr>
        <w:jc w:val="both"/>
        <w:rPr>
          <w:bCs/>
          <w:color w:val="002060"/>
          <w:sz w:val="16"/>
          <w:szCs w:val="16"/>
        </w:rPr>
      </w:pPr>
      <w:r w:rsidRPr="00405303">
        <w:rPr>
          <w:bCs/>
          <w:color w:val="002060"/>
          <w:sz w:val="16"/>
          <w:szCs w:val="16"/>
        </w:rPr>
        <w:t>Это был расчалочный моноплан на двух больших поплавках. Для облегчения взлёта под поплавками были установлены подводные кры</w:t>
      </w:r>
      <w:r w:rsidRPr="00405303">
        <w:rPr>
          <w:bCs/>
          <w:color w:val="002060"/>
          <w:sz w:val="16"/>
          <w:szCs w:val="16"/>
        </w:rPr>
        <w:softHyphen/>
        <w:t>лья.</w:t>
      </w:r>
    </w:p>
    <w:p w14:paraId="182B71BA" w14:textId="77777777" w:rsidR="004B4E35" w:rsidRPr="00405303" w:rsidRDefault="009E6F82" w:rsidP="00C15251">
      <w:pPr>
        <w:jc w:val="both"/>
        <w:rPr>
          <w:bCs/>
          <w:color w:val="002060"/>
          <w:sz w:val="16"/>
          <w:szCs w:val="16"/>
        </w:rPr>
      </w:pPr>
      <w:r w:rsidRPr="00405303">
        <w:rPr>
          <w:bCs/>
          <w:color w:val="002060"/>
          <w:sz w:val="16"/>
          <w:szCs w:val="16"/>
        </w:rPr>
        <w:t xml:space="preserve">Экипаж - всего один человек. Два мотора </w:t>
      </w:r>
      <w:r w:rsidRPr="00405303">
        <w:rPr>
          <w:bCs/>
          <w:color w:val="002060"/>
          <w:sz w:val="16"/>
          <w:szCs w:val="16"/>
          <w:lang w:val="en-US"/>
        </w:rPr>
        <w:t>Gnome</w:t>
      </w:r>
      <w:r w:rsidRPr="00405303">
        <w:rPr>
          <w:bCs/>
          <w:color w:val="002060"/>
          <w:sz w:val="16"/>
          <w:szCs w:val="16"/>
        </w:rPr>
        <w:t>по 160 л.с. были установлены в фюзеляже носками друг к другу и вращали винты, «про</w:t>
      </w:r>
      <w:r w:rsidRPr="00405303">
        <w:rPr>
          <w:bCs/>
          <w:color w:val="002060"/>
          <w:sz w:val="16"/>
          <w:szCs w:val="16"/>
        </w:rPr>
        <w:softHyphen/>
        <w:t>резающие» фюзеляж. Хвостовая часть держалась только на трубе, проходящей через валы винтов, и на расчалках.</w:t>
      </w:r>
    </w:p>
    <w:p w14:paraId="55B69A33" w14:textId="77777777" w:rsidR="004B4E35" w:rsidRPr="00405303" w:rsidRDefault="009E6F82" w:rsidP="00C15251">
      <w:pPr>
        <w:jc w:val="both"/>
        <w:rPr>
          <w:bCs/>
          <w:color w:val="002060"/>
          <w:sz w:val="16"/>
          <w:szCs w:val="16"/>
        </w:rPr>
      </w:pPr>
      <w:r w:rsidRPr="00405303">
        <w:rPr>
          <w:bCs/>
          <w:color w:val="002060"/>
          <w:sz w:val="16"/>
          <w:szCs w:val="16"/>
        </w:rPr>
        <w:t>Подобная конструкция была поз</w:t>
      </w:r>
      <w:r w:rsidRPr="00405303">
        <w:rPr>
          <w:bCs/>
          <w:color w:val="002060"/>
          <w:sz w:val="16"/>
          <w:szCs w:val="16"/>
        </w:rPr>
        <w:softHyphen/>
        <w:t>же применена в американских са</w:t>
      </w:r>
      <w:r w:rsidRPr="00405303">
        <w:rPr>
          <w:bCs/>
          <w:color w:val="002060"/>
          <w:sz w:val="16"/>
          <w:szCs w:val="16"/>
        </w:rPr>
        <w:softHyphen/>
        <w:t xml:space="preserve">молётах </w:t>
      </w:r>
      <w:r w:rsidRPr="00405303">
        <w:rPr>
          <w:bCs/>
          <w:color w:val="002060"/>
          <w:sz w:val="16"/>
          <w:szCs w:val="16"/>
          <w:lang w:val="en-US"/>
        </w:rPr>
        <w:t>GallaudetD</w:t>
      </w:r>
      <w:r w:rsidRPr="00405303">
        <w:rPr>
          <w:bCs/>
          <w:color w:val="002060"/>
          <w:sz w:val="16"/>
          <w:szCs w:val="16"/>
        </w:rPr>
        <w:t xml:space="preserve">-2 и </w:t>
      </w:r>
      <w:r w:rsidRPr="00405303">
        <w:rPr>
          <w:bCs/>
          <w:color w:val="002060"/>
          <w:sz w:val="16"/>
          <w:szCs w:val="16"/>
          <w:lang w:val="en-US"/>
        </w:rPr>
        <w:t>D</w:t>
      </w:r>
      <w:r w:rsidRPr="00405303">
        <w:rPr>
          <w:bCs/>
          <w:color w:val="002060"/>
          <w:sz w:val="16"/>
          <w:szCs w:val="16"/>
        </w:rPr>
        <w:t>-4</w:t>
      </w:r>
    </w:p>
    <w:p w14:paraId="5946881E" w14:textId="77777777" w:rsidR="004B4E35" w:rsidRPr="00405303" w:rsidRDefault="009E6F82" w:rsidP="00C15251">
      <w:pPr>
        <w:jc w:val="both"/>
        <w:rPr>
          <w:bCs/>
          <w:color w:val="002060"/>
          <w:sz w:val="16"/>
          <w:szCs w:val="16"/>
        </w:rPr>
      </w:pPr>
      <w:r w:rsidRPr="00405303">
        <w:rPr>
          <w:bCs/>
          <w:color w:val="002060"/>
          <w:sz w:val="16"/>
          <w:szCs w:val="16"/>
        </w:rPr>
        <w:t>Итальянский самолёт был успеш</w:t>
      </w:r>
      <w:r w:rsidRPr="00405303">
        <w:rPr>
          <w:bCs/>
          <w:color w:val="002060"/>
          <w:sz w:val="16"/>
          <w:szCs w:val="16"/>
        </w:rPr>
        <w:softHyphen/>
        <w:t>но испытан, но на вооружение его не приняли. Он не получил и специ</w:t>
      </w:r>
      <w:r w:rsidRPr="00405303">
        <w:rPr>
          <w:bCs/>
          <w:color w:val="002060"/>
          <w:sz w:val="16"/>
          <w:szCs w:val="16"/>
        </w:rPr>
        <w:softHyphen/>
        <w:t>ального обозначения, так и остав</w:t>
      </w:r>
      <w:r w:rsidRPr="00405303">
        <w:rPr>
          <w:bCs/>
          <w:color w:val="002060"/>
          <w:sz w:val="16"/>
          <w:szCs w:val="16"/>
        </w:rPr>
        <w:softHyphen/>
        <w:t xml:space="preserve">шись в истории авиации как </w:t>
      </w:r>
      <w:r w:rsidRPr="00405303">
        <w:rPr>
          <w:bCs/>
          <w:color w:val="002060"/>
          <w:sz w:val="16"/>
          <w:szCs w:val="16"/>
          <w:lang w:val="en-US"/>
        </w:rPr>
        <w:t>Guidoniidrosilurante</w:t>
      </w:r>
      <w:r w:rsidRPr="00405303">
        <w:rPr>
          <w:bCs/>
          <w:color w:val="002060"/>
          <w:sz w:val="16"/>
          <w:szCs w:val="16"/>
        </w:rPr>
        <w:t>(гидросамолёт-торпе</w:t>
      </w:r>
      <w:r w:rsidRPr="00405303">
        <w:rPr>
          <w:bCs/>
          <w:color w:val="002060"/>
          <w:sz w:val="16"/>
          <w:szCs w:val="16"/>
        </w:rPr>
        <w:softHyphen/>
        <w:t>доносец Гуидони).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69"/>
        <w:gridCol w:w="1176"/>
        <w:gridCol w:w="1133"/>
        <w:gridCol w:w="1090"/>
        <w:gridCol w:w="1267"/>
      </w:tblGrid>
      <w:tr w:rsidR="004B4E35" w:rsidRPr="00405303" w14:paraId="0EF94ED3" w14:textId="77777777">
        <w:trPr>
          <w:trHeight w:val="494"/>
        </w:trPr>
        <w:tc>
          <w:tcPr>
            <w:tcW w:w="2069" w:type="dxa"/>
            <w:shd w:val="clear" w:color="auto" w:fill="FFFFFF"/>
          </w:tcPr>
          <w:p w14:paraId="01E0CED4" w14:textId="77777777" w:rsidR="004B4E35" w:rsidRPr="00405303" w:rsidRDefault="009E6F82" w:rsidP="00C15251">
            <w:pPr>
              <w:jc w:val="both"/>
              <w:rPr>
                <w:bCs/>
                <w:color w:val="002060"/>
                <w:sz w:val="16"/>
                <w:szCs w:val="16"/>
              </w:rPr>
            </w:pPr>
            <w:r w:rsidRPr="00405303">
              <w:rPr>
                <w:bCs/>
                <w:color w:val="002060"/>
                <w:sz w:val="16"/>
                <w:szCs w:val="16"/>
              </w:rPr>
              <w:lastRenderedPageBreak/>
              <w:t>Модель</w:t>
            </w:r>
          </w:p>
        </w:tc>
        <w:tc>
          <w:tcPr>
            <w:tcW w:w="1176" w:type="dxa"/>
            <w:shd w:val="clear" w:color="auto" w:fill="FFFFFF"/>
          </w:tcPr>
          <w:p w14:paraId="286B4C05" w14:textId="77777777" w:rsidR="004B4E35" w:rsidRPr="00405303" w:rsidRDefault="009E6F82" w:rsidP="00C15251">
            <w:pPr>
              <w:jc w:val="both"/>
              <w:rPr>
                <w:bCs/>
                <w:color w:val="002060"/>
                <w:sz w:val="16"/>
                <w:szCs w:val="16"/>
              </w:rPr>
            </w:pPr>
            <w:r w:rsidRPr="00405303">
              <w:rPr>
                <w:bCs/>
                <w:color w:val="002060"/>
                <w:sz w:val="16"/>
                <w:szCs w:val="16"/>
                <w:lang w:val="en-US"/>
              </w:rPr>
              <w:t>Guidoni Seaplane</w:t>
            </w:r>
          </w:p>
        </w:tc>
        <w:tc>
          <w:tcPr>
            <w:tcW w:w="1133" w:type="dxa"/>
            <w:shd w:val="clear" w:color="auto" w:fill="FFFFFF"/>
          </w:tcPr>
          <w:p w14:paraId="37502DB7" w14:textId="77777777" w:rsidR="004B4E35" w:rsidRPr="00405303" w:rsidRDefault="009E6F82" w:rsidP="00C15251">
            <w:pPr>
              <w:jc w:val="both"/>
              <w:rPr>
                <w:bCs/>
                <w:color w:val="002060"/>
                <w:sz w:val="16"/>
                <w:szCs w:val="16"/>
              </w:rPr>
            </w:pPr>
            <w:r w:rsidRPr="00405303">
              <w:rPr>
                <w:bCs/>
                <w:color w:val="002060"/>
                <w:sz w:val="16"/>
                <w:szCs w:val="16"/>
                <w:lang w:val="en-US"/>
              </w:rPr>
              <w:t xml:space="preserve">Short </w:t>
            </w:r>
            <w:r w:rsidRPr="00405303">
              <w:rPr>
                <w:bCs/>
                <w:color w:val="002060"/>
                <w:sz w:val="16"/>
                <w:szCs w:val="16"/>
              </w:rPr>
              <w:t>184</w:t>
            </w:r>
          </w:p>
        </w:tc>
        <w:tc>
          <w:tcPr>
            <w:tcW w:w="1090" w:type="dxa"/>
            <w:shd w:val="clear" w:color="auto" w:fill="FFFFFF"/>
          </w:tcPr>
          <w:p w14:paraId="19F6A46B" w14:textId="77777777" w:rsidR="004B4E35" w:rsidRPr="00405303" w:rsidRDefault="009E6F82" w:rsidP="00C15251">
            <w:pPr>
              <w:jc w:val="both"/>
              <w:rPr>
                <w:bCs/>
                <w:color w:val="002060"/>
                <w:sz w:val="16"/>
                <w:szCs w:val="16"/>
              </w:rPr>
            </w:pPr>
            <w:r w:rsidRPr="00405303">
              <w:rPr>
                <w:bCs/>
                <w:color w:val="002060"/>
                <w:sz w:val="16"/>
                <w:szCs w:val="16"/>
                <w:lang w:val="en-US"/>
              </w:rPr>
              <w:t xml:space="preserve">AD. </w:t>
            </w:r>
            <w:r w:rsidRPr="00405303">
              <w:rPr>
                <w:bCs/>
                <w:color w:val="002060"/>
                <w:sz w:val="16"/>
                <w:szCs w:val="16"/>
              </w:rPr>
              <w:t>1000</w:t>
            </w:r>
          </w:p>
        </w:tc>
        <w:tc>
          <w:tcPr>
            <w:tcW w:w="1267" w:type="dxa"/>
            <w:shd w:val="clear" w:color="auto" w:fill="FFFFFF"/>
          </w:tcPr>
          <w:p w14:paraId="260E55AB" w14:textId="77777777" w:rsidR="004B4E35" w:rsidRPr="00405303" w:rsidRDefault="009E6F82" w:rsidP="00C15251">
            <w:pPr>
              <w:jc w:val="both"/>
              <w:rPr>
                <w:bCs/>
                <w:color w:val="002060"/>
                <w:sz w:val="16"/>
                <w:szCs w:val="16"/>
              </w:rPr>
            </w:pPr>
            <w:r w:rsidRPr="00405303">
              <w:rPr>
                <w:bCs/>
                <w:color w:val="002060"/>
                <w:sz w:val="16"/>
                <w:szCs w:val="16"/>
              </w:rPr>
              <w:t>ГАСН</w:t>
            </w:r>
          </w:p>
        </w:tc>
      </w:tr>
      <w:tr w:rsidR="004B4E35" w:rsidRPr="00405303" w14:paraId="22C13140" w14:textId="77777777">
        <w:trPr>
          <w:trHeight w:val="648"/>
        </w:trPr>
        <w:tc>
          <w:tcPr>
            <w:tcW w:w="2069" w:type="dxa"/>
            <w:shd w:val="clear" w:color="auto" w:fill="FFFFFF"/>
          </w:tcPr>
          <w:p w14:paraId="0D51B5FE" w14:textId="77777777" w:rsidR="004B4E35" w:rsidRPr="00405303" w:rsidRDefault="009E6F82" w:rsidP="00C15251">
            <w:pPr>
              <w:jc w:val="both"/>
              <w:rPr>
                <w:bCs/>
                <w:color w:val="002060"/>
                <w:sz w:val="16"/>
                <w:szCs w:val="16"/>
              </w:rPr>
            </w:pPr>
            <w:r w:rsidRPr="00405303">
              <w:rPr>
                <w:bCs/>
                <w:color w:val="002060"/>
                <w:sz w:val="16"/>
                <w:szCs w:val="16"/>
              </w:rPr>
              <w:t>Первый полёт</w:t>
            </w:r>
          </w:p>
        </w:tc>
        <w:tc>
          <w:tcPr>
            <w:tcW w:w="1176" w:type="dxa"/>
            <w:shd w:val="clear" w:color="auto" w:fill="FFFFFF"/>
          </w:tcPr>
          <w:p w14:paraId="12BF93BD" w14:textId="77777777" w:rsidR="004B4E35" w:rsidRPr="00405303" w:rsidRDefault="004B4E35" w:rsidP="00C15251">
            <w:pPr>
              <w:jc w:val="both"/>
              <w:rPr>
                <w:bCs/>
                <w:color w:val="002060"/>
                <w:sz w:val="16"/>
                <w:szCs w:val="16"/>
              </w:rPr>
            </w:pPr>
          </w:p>
        </w:tc>
        <w:tc>
          <w:tcPr>
            <w:tcW w:w="1133" w:type="dxa"/>
            <w:shd w:val="clear" w:color="auto" w:fill="FFFFFF"/>
          </w:tcPr>
          <w:p w14:paraId="5A93718E" w14:textId="77777777" w:rsidR="004B4E35" w:rsidRPr="00405303" w:rsidRDefault="009E6F82" w:rsidP="00C15251">
            <w:pPr>
              <w:jc w:val="both"/>
              <w:rPr>
                <w:bCs/>
                <w:color w:val="002060"/>
                <w:sz w:val="16"/>
                <w:szCs w:val="16"/>
              </w:rPr>
            </w:pPr>
            <w:r w:rsidRPr="00405303">
              <w:rPr>
                <w:bCs/>
                <w:color w:val="002060"/>
                <w:sz w:val="16"/>
                <w:szCs w:val="16"/>
              </w:rPr>
              <w:t>07.1915</w:t>
            </w:r>
          </w:p>
        </w:tc>
        <w:tc>
          <w:tcPr>
            <w:tcW w:w="1090" w:type="dxa"/>
            <w:shd w:val="clear" w:color="auto" w:fill="FFFFFF"/>
          </w:tcPr>
          <w:p w14:paraId="657841C1" w14:textId="77777777" w:rsidR="004B4E35" w:rsidRPr="00405303" w:rsidRDefault="009E6F82" w:rsidP="00C15251">
            <w:pPr>
              <w:jc w:val="both"/>
              <w:rPr>
                <w:bCs/>
                <w:color w:val="002060"/>
                <w:sz w:val="16"/>
                <w:szCs w:val="16"/>
              </w:rPr>
            </w:pPr>
            <w:r w:rsidRPr="00405303">
              <w:rPr>
                <w:bCs/>
                <w:color w:val="002060"/>
                <w:sz w:val="16"/>
                <w:szCs w:val="16"/>
              </w:rPr>
              <w:t>Построен 03.1915, не летал</w:t>
            </w:r>
          </w:p>
        </w:tc>
        <w:tc>
          <w:tcPr>
            <w:tcW w:w="1267" w:type="dxa"/>
            <w:shd w:val="clear" w:color="auto" w:fill="FFFFFF"/>
          </w:tcPr>
          <w:p w14:paraId="517F7BE7" w14:textId="77777777" w:rsidR="004B4E35" w:rsidRPr="00405303" w:rsidRDefault="009E6F82" w:rsidP="00C15251">
            <w:pPr>
              <w:jc w:val="both"/>
              <w:rPr>
                <w:bCs/>
                <w:color w:val="002060"/>
                <w:sz w:val="16"/>
                <w:szCs w:val="16"/>
              </w:rPr>
            </w:pPr>
            <w:r w:rsidRPr="00405303">
              <w:rPr>
                <w:bCs/>
                <w:color w:val="002060"/>
                <w:sz w:val="16"/>
                <w:szCs w:val="16"/>
              </w:rPr>
              <w:t>24.08.1917</w:t>
            </w:r>
          </w:p>
        </w:tc>
      </w:tr>
      <w:tr w:rsidR="004B4E35" w:rsidRPr="00405303" w14:paraId="0A5086D2" w14:textId="77777777">
        <w:trPr>
          <w:trHeight w:val="221"/>
        </w:trPr>
        <w:tc>
          <w:tcPr>
            <w:tcW w:w="2069" w:type="dxa"/>
            <w:shd w:val="clear" w:color="auto" w:fill="FFFFFF"/>
          </w:tcPr>
          <w:p w14:paraId="688B200A" w14:textId="77777777" w:rsidR="004B4E35" w:rsidRPr="00405303" w:rsidRDefault="009E6F82" w:rsidP="00C15251">
            <w:pPr>
              <w:jc w:val="both"/>
              <w:rPr>
                <w:bCs/>
                <w:color w:val="002060"/>
                <w:sz w:val="16"/>
                <w:szCs w:val="16"/>
              </w:rPr>
            </w:pPr>
            <w:r w:rsidRPr="00405303">
              <w:rPr>
                <w:bCs/>
                <w:color w:val="002060"/>
                <w:sz w:val="16"/>
                <w:szCs w:val="16"/>
              </w:rPr>
              <w:t>Боевая нагрузка</w:t>
            </w:r>
          </w:p>
        </w:tc>
        <w:tc>
          <w:tcPr>
            <w:tcW w:w="1176" w:type="dxa"/>
            <w:shd w:val="clear" w:color="auto" w:fill="FFFFFF"/>
          </w:tcPr>
          <w:p w14:paraId="3C591DE3" w14:textId="77777777" w:rsidR="004B4E35" w:rsidRPr="00405303" w:rsidRDefault="009E6F82" w:rsidP="00C15251">
            <w:pPr>
              <w:jc w:val="both"/>
              <w:rPr>
                <w:bCs/>
                <w:color w:val="002060"/>
                <w:sz w:val="16"/>
                <w:szCs w:val="16"/>
              </w:rPr>
            </w:pPr>
            <w:r w:rsidRPr="00405303">
              <w:rPr>
                <w:bCs/>
                <w:color w:val="002060"/>
                <w:sz w:val="16"/>
                <w:szCs w:val="16"/>
              </w:rPr>
              <w:t>357мм</w:t>
            </w:r>
          </w:p>
        </w:tc>
        <w:tc>
          <w:tcPr>
            <w:tcW w:w="1133" w:type="dxa"/>
            <w:shd w:val="clear" w:color="auto" w:fill="FFFFFF"/>
          </w:tcPr>
          <w:p w14:paraId="41DC69C7" w14:textId="77777777" w:rsidR="004B4E35" w:rsidRPr="00405303" w:rsidRDefault="009E6F82" w:rsidP="00C15251">
            <w:pPr>
              <w:jc w:val="both"/>
              <w:rPr>
                <w:bCs/>
                <w:color w:val="002060"/>
                <w:sz w:val="16"/>
                <w:szCs w:val="16"/>
              </w:rPr>
            </w:pPr>
            <w:r w:rsidRPr="00405303">
              <w:rPr>
                <w:bCs/>
                <w:color w:val="002060"/>
                <w:sz w:val="16"/>
                <w:szCs w:val="16"/>
              </w:rPr>
              <w:t>357мм</w:t>
            </w:r>
          </w:p>
        </w:tc>
        <w:tc>
          <w:tcPr>
            <w:tcW w:w="1090" w:type="dxa"/>
            <w:shd w:val="clear" w:color="auto" w:fill="FFFFFF"/>
          </w:tcPr>
          <w:p w14:paraId="3FD2C8BE" w14:textId="77777777" w:rsidR="004B4E35" w:rsidRPr="00405303" w:rsidRDefault="009E6F82" w:rsidP="00C15251">
            <w:pPr>
              <w:jc w:val="both"/>
              <w:rPr>
                <w:bCs/>
                <w:color w:val="002060"/>
                <w:sz w:val="16"/>
                <w:szCs w:val="16"/>
              </w:rPr>
            </w:pPr>
            <w:r w:rsidRPr="00405303">
              <w:rPr>
                <w:bCs/>
                <w:color w:val="002060"/>
                <w:sz w:val="16"/>
                <w:szCs w:val="16"/>
              </w:rPr>
              <w:t>357мм</w:t>
            </w:r>
          </w:p>
        </w:tc>
        <w:tc>
          <w:tcPr>
            <w:tcW w:w="1267" w:type="dxa"/>
            <w:shd w:val="clear" w:color="auto" w:fill="FFFFFF"/>
          </w:tcPr>
          <w:p w14:paraId="146BE583" w14:textId="77777777" w:rsidR="004B4E35" w:rsidRPr="00405303" w:rsidRDefault="009E6F82" w:rsidP="00C15251">
            <w:pPr>
              <w:jc w:val="both"/>
              <w:rPr>
                <w:bCs/>
                <w:color w:val="002060"/>
                <w:sz w:val="16"/>
                <w:szCs w:val="16"/>
              </w:rPr>
            </w:pPr>
            <w:r w:rsidRPr="00405303">
              <w:rPr>
                <w:bCs/>
                <w:color w:val="002060"/>
                <w:sz w:val="16"/>
                <w:szCs w:val="16"/>
              </w:rPr>
              <w:t>450мм</w:t>
            </w:r>
          </w:p>
        </w:tc>
      </w:tr>
      <w:tr w:rsidR="004B4E35" w:rsidRPr="00405303" w14:paraId="1C427174" w14:textId="77777777">
        <w:trPr>
          <w:trHeight w:val="240"/>
        </w:trPr>
        <w:tc>
          <w:tcPr>
            <w:tcW w:w="2069" w:type="dxa"/>
            <w:shd w:val="clear" w:color="auto" w:fill="FFFFFF"/>
          </w:tcPr>
          <w:p w14:paraId="4E50CA8E" w14:textId="77777777" w:rsidR="004B4E35" w:rsidRPr="00405303" w:rsidRDefault="009E6F82" w:rsidP="00C15251">
            <w:pPr>
              <w:jc w:val="both"/>
              <w:rPr>
                <w:bCs/>
                <w:color w:val="002060"/>
                <w:sz w:val="16"/>
                <w:szCs w:val="16"/>
              </w:rPr>
            </w:pPr>
            <w:r w:rsidRPr="00405303">
              <w:rPr>
                <w:bCs/>
                <w:color w:val="002060"/>
                <w:sz w:val="16"/>
                <w:szCs w:val="16"/>
              </w:rPr>
              <w:t>(торпеда)</w:t>
            </w:r>
          </w:p>
        </w:tc>
        <w:tc>
          <w:tcPr>
            <w:tcW w:w="1176" w:type="dxa"/>
            <w:shd w:val="clear" w:color="auto" w:fill="FFFFFF"/>
          </w:tcPr>
          <w:p w14:paraId="0C778022" w14:textId="77777777" w:rsidR="004B4E35" w:rsidRPr="00405303" w:rsidRDefault="004B4E35" w:rsidP="00C15251">
            <w:pPr>
              <w:jc w:val="both"/>
              <w:rPr>
                <w:bCs/>
                <w:color w:val="002060"/>
                <w:sz w:val="16"/>
                <w:szCs w:val="16"/>
              </w:rPr>
            </w:pPr>
          </w:p>
        </w:tc>
        <w:tc>
          <w:tcPr>
            <w:tcW w:w="1133" w:type="dxa"/>
            <w:shd w:val="clear" w:color="auto" w:fill="FFFFFF"/>
          </w:tcPr>
          <w:p w14:paraId="5F7B43F5" w14:textId="77777777" w:rsidR="004B4E35" w:rsidRPr="00405303" w:rsidRDefault="004B4E35" w:rsidP="00C15251">
            <w:pPr>
              <w:jc w:val="both"/>
              <w:rPr>
                <w:bCs/>
                <w:color w:val="002060"/>
                <w:sz w:val="16"/>
                <w:szCs w:val="16"/>
              </w:rPr>
            </w:pPr>
          </w:p>
        </w:tc>
        <w:tc>
          <w:tcPr>
            <w:tcW w:w="1090" w:type="dxa"/>
            <w:shd w:val="clear" w:color="auto" w:fill="FFFFFF"/>
          </w:tcPr>
          <w:p w14:paraId="16EB0345" w14:textId="77777777" w:rsidR="004B4E35" w:rsidRPr="00405303" w:rsidRDefault="004B4E35" w:rsidP="00C15251">
            <w:pPr>
              <w:jc w:val="both"/>
              <w:rPr>
                <w:bCs/>
                <w:color w:val="002060"/>
                <w:sz w:val="16"/>
                <w:szCs w:val="16"/>
              </w:rPr>
            </w:pPr>
          </w:p>
        </w:tc>
        <w:tc>
          <w:tcPr>
            <w:tcW w:w="1267" w:type="dxa"/>
            <w:shd w:val="clear" w:color="auto" w:fill="FFFFFF"/>
          </w:tcPr>
          <w:p w14:paraId="50E92BCE" w14:textId="77777777" w:rsidR="004B4E35" w:rsidRPr="00405303" w:rsidRDefault="004B4E35" w:rsidP="00C15251">
            <w:pPr>
              <w:jc w:val="both"/>
              <w:rPr>
                <w:bCs/>
                <w:color w:val="002060"/>
                <w:sz w:val="16"/>
                <w:szCs w:val="16"/>
              </w:rPr>
            </w:pPr>
          </w:p>
        </w:tc>
      </w:tr>
      <w:tr w:rsidR="004B4E35" w:rsidRPr="00405303" w14:paraId="224D5D47" w14:textId="77777777">
        <w:trPr>
          <w:trHeight w:val="211"/>
        </w:trPr>
        <w:tc>
          <w:tcPr>
            <w:tcW w:w="2069" w:type="dxa"/>
            <w:shd w:val="clear" w:color="auto" w:fill="FFFFFF"/>
          </w:tcPr>
          <w:p w14:paraId="3C072D08" w14:textId="77777777" w:rsidR="004B4E35" w:rsidRPr="00405303" w:rsidRDefault="009E6F82" w:rsidP="00C15251">
            <w:pPr>
              <w:jc w:val="both"/>
              <w:rPr>
                <w:bCs/>
                <w:color w:val="002060"/>
                <w:sz w:val="16"/>
                <w:szCs w:val="16"/>
              </w:rPr>
            </w:pPr>
            <w:r w:rsidRPr="00405303">
              <w:rPr>
                <w:bCs/>
                <w:color w:val="002060"/>
                <w:sz w:val="16"/>
                <w:szCs w:val="16"/>
              </w:rPr>
              <w:t>Двигатели</w:t>
            </w:r>
          </w:p>
        </w:tc>
        <w:tc>
          <w:tcPr>
            <w:tcW w:w="1176" w:type="dxa"/>
            <w:shd w:val="clear" w:color="auto" w:fill="FFFFFF"/>
          </w:tcPr>
          <w:p w14:paraId="7A576717" w14:textId="77777777" w:rsidR="004B4E35" w:rsidRPr="00405303" w:rsidRDefault="009E6F82" w:rsidP="00C15251">
            <w:pPr>
              <w:jc w:val="both"/>
              <w:rPr>
                <w:bCs/>
                <w:color w:val="002060"/>
                <w:sz w:val="16"/>
                <w:szCs w:val="16"/>
              </w:rPr>
            </w:pPr>
            <w:r w:rsidRPr="00405303">
              <w:rPr>
                <w:bCs/>
                <w:color w:val="002060"/>
                <w:sz w:val="16"/>
                <w:szCs w:val="16"/>
                <w:lang w:val="en-US"/>
              </w:rPr>
              <w:t>Gnome</w:t>
            </w:r>
          </w:p>
        </w:tc>
        <w:tc>
          <w:tcPr>
            <w:tcW w:w="1133" w:type="dxa"/>
            <w:shd w:val="clear" w:color="auto" w:fill="FFFFFF"/>
          </w:tcPr>
          <w:p w14:paraId="061ADFBC" w14:textId="77777777" w:rsidR="004B4E35" w:rsidRPr="00405303" w:rsidRDefault="009E6F82" w:rsidP="00C15251">
            <w:pPr>
              <w:jc w:val="both"/>
              <w:rPr>
                <w:bCs/>
                <w:color w:val="002060"/>
                <w:sz w:val="16"/>
                <w:szCs w:val="16"/>
              </w:rPr>
            </w:pPr>
            <w:r w:rsidRPr="00405303">
              <w:rPr>
                <w:bCs/>
                <w:color w:val="002060"/>
                <w:sz w:val="16"/>
                <w:szCs w:val="16"/>
                <w:lang w:val="en-US"/>
              </w:rPr>
              <w:t>Sunbeam</w:t>
            </w:r>
          </w:p>
        </w:tc>
        <w:tc>
          <w:tcPr>
            <w:tcW w:w="1090" w:type="dxa"/>
            <w:shd w:val="clear" w:color="auto" w:fill="FFFFFF"/>
          </w:tcPr>
          <w:p w14:paraId="5005E4DF" w14:textId="77777777" w:rsidR="004B4E35" w:rsidRPr="00405303" w:rsidRDefault="009E6F82" w:rsidP="00C15251">
            <w:pPr>
              <w:jc w:val="both"/>
              <w:rPr>
                <w:bCs/>
                <w:color w:val="002060"/>
                <w:sz w:val="16"/>
                <w:szCs w:val="16"/>
              </w:rPr>
            </w:pPr>
            <w:r w:rsidRPr="00405303">
              <w:rPr>
                <w:bCs/>
                <w:color w:val="002060"/>
                <w:sz w:val="16"/>
                <w:szCs w:val="16"/>
                <w:lang w:val="en-US"/>
              </w:rPr>
              <w:t>Sunbeam</w:t>
            </w:r>
          </w:p>
        </w:tc>
        <w:tc>
          <w:tcPr>
            <w:tcW w:w="1267" w:type="dxa"/>
            <w:shd w:val="clear" w:color="auto" w:fill="FFFFFF"/>
          </w:tcPr>
          <w:p w14:paraId="0D2A13FC" w14:textId="77777777" w:rsidR="004B4E35" w:rsidRPr="00405303" w:rsidRDefault="009E6F82" w:rsidP="00C15251">
            <w:pPr>
              <w:jc w:val="both"/>
              <w:rPr>
                <w:bCs/>
                <w:color w:val="002060"/>
                <w:sz w:val="16"/>
                <w:szCs w:val="16"/>
              </w:rPr>
            </w:pPr>
            <w:r w:rsidRPr="00405303">
              <w:rPr>
                <w:bCs/>
                <w:color w:val="002060"/>
                <w:sz w:val="16"/>
                <w:szCs w:val="16"/>
                <w:lang w:val="en-US"/>
              </w:rPr>
              <w:t xml:space="preserve">Renault </w:t>
            </w:r>
            <w:r w:rsidRPr="00405303">
              <w:rPr>
                <w:bCs/>
                <w:color w:val="002060"/>
                <w:sz w:val="16"/>
                <w:szCs w:val="16"/>
              </w:rPr>
              <w:t xml:space="preserve">8 </w:t>
            </w:r>
            <w:r w:rsidRPr="00405303">
              <w:rPr>
                <w:bCs/>
                <w:color w:val="002060"/>
                <w:sz w:val="16"/>
                <w:szCs w:val="16"/>
                <w:lang w:val="en-US"/>
              </w:rPr>
              <w:t>Gd,</w:t>
            </w:r>
          </w:p>
        </w:tc>
      </w:tr>
      <w:tr w:rsidR="004B4E35" w:rsidRPr="00405303" w14:paraId="3414954A" w14:textId="77777777">
        <w:trPr>
          <w:trHeight w:val="206"/>
        </w:trPr>
        <w:tc>
          <w:tcPr>
            <w:tcW w:w="2069" w:type="dxa"/>
            <w:shd w:val="clear" w:color="auto" w:fill="FFFFFF"/>
          </w:tcPr>
          <w:p w14:paraId="0D001F26" w14:textId="77777777" w:rsidR="004B4E35" w:rsidRPr="00405303" w:rsidRDefault="004B4E35" w:rsidP="00C15251">
            <w:pPr>
              <w:jc w:val="both"/>
              <w:rPr>
                <w:bCs/>
                <w:color w:val="002060"/>
                <w:sz w:val="16"/>
                <w:szCs w:val="16"/>
              </w:rPr>
            </w:pPr>
          </w:p>
        </w:tc>
        <w:tc>
          <w:tcPr>
            <w:tcW w:w="1176" w:type="dxa"/>
            <w:shd w:val="clear" w:color="auto" w:fill="FFFFFF"/>
          </w:tcPr>
          <w:p w14:paraId="58B7AAAD" w14:textId="77777777" w:rsidR="004B4E35" w:rsidRPr="00405303" w:rsidRDefault="009E6F82" w:rsidP="00C15251">
            <w:pPr>
              <w:jc w:val="both"/>
              <w:rPr>
                <w:bCs/>
                <w:color w:val="002060"/>
                <w:sz w:val="16"/>
                <w:szCs w:val="16"/>
              </w:rPr>
            </w:pPr>
            <w:r w:rsidRPr="00405303">
              <w:rPr>
                <w:bCs/>
                <w:color w:val="002060"/>
                <w:sz w:val="16"/>
                <w:szCs w:val="16"/>
                <w:lang w:val="en-US"/>
              </w:rPr>
              <w:t>Double</w:t>
            </w:r>
          </w:p>
        </w:tc>
        <w:tc>
          <w:tcPr>
            <w:tcW w:w="1133" w:type="dxa"/>
            <w:shd w:val="clear" w:color="auto" w:fill="FFFFFF"/>
          </w:tcPr>
          <w:p w14:paraId="191B9FB1" w14:textId="77777777" w:rsidR="004B4E35" w:rsidRPr="00405303" w:rsidRDefault="009E6F82" w:rsidP="00C15251">
            <w:pPr>
              <w:jc w:val="both"/>
              <w:rPr>
                <w:bCs/>
                <w:color w:val="002060"/>
                <w:sz w:val="16"/>
                <w:szCs w:val="16"/>
              </w:rPr>
            </w:pPr>
            <w:r w:rsidRPr="00405303">
              <w:rPr>
                <w:bCs/>
                <w:color w:val="002060"/>
                <w:sz w:val="16"/>
                <w:szCs w:val="16"/>
                <w:lang w:val="en-US"/>
              </w:rPr>
              <w:t>Maori,</w:t>
            </w:r>
          </w:p>
        </w:tc>
        <w:tc>
          <w:tcPr>
            <w:tcW w:w="1090" w:type="dxa"/>
            <w:shd w:val="clear" w:color="auto" w:fill="FFFFFF"/>
          </w:tcPr>
          <w:p w14:paraId="53CA11E8" w14:textId="77777777" w:rsidR="004B4E35" w:rsidRPr="00405303" w:rsidRDefault="009E6F82" w:rsidP="00C15251">
            <w:pPr>
              <w:jc w:val="both"/>
              <w:rPr>
                <w:bCs/>
                <w:color w:val="002060"/>
                <w:sz w:val="16"/>
                <w:szCs w:val="16"/>
              </w:rPr>
            </w:pPr>
            <w:r w:rsidRPr="00405303">
              <w:rPr>
                <w:bCs/>
                <w:color w:val="002060"/>
                <w:sz w:val="16"/>
                <w:szCs w:val="16"/>
                <w:lang w:val="en-US"/>
              </w:rPr>
              <w:t>Cossack</w:t>
            </w:r>
            <w:r w:rsidRPr="00405303">
              <w:rPr>
                <w:bCs/>
                <w:color w:val="002060"/>
                <w:sz w:val="16"/>
                <w:szCs w:val="16"/>
              </w:rPr>
              <w:t>,</w:t>
            </w:r>
          </w:p>
        </w:tc>
        <w:tc>
          <w:tcPr>
            <w:tcW w:w="1267" w:type="dxa"/>
            <w:shd w:val="clear" w:color="auto" w:fill="FFFFFF"/>
          </w:tcPr>
          <w:p w14:paraId="0A1DCB80" w14:textId="77777777" w:rsidR="004B4E35" w:rsidRPr="00405303" w:rsidRDefault="009E6F82" w:rsidP="00C15251">
            <w:pPr>
              <w:jc w:val="both"/>
              <w:rPr>
                <w:bCs/>
                <w:color w:val="002060"/>
                <w:sz w:val="16"/>
                <w:szCs w:val="16"/>
              </w:rPr>
            </w:pPr>
            <w:r w:rsidRPr="00405303">
              <w:rPr>
                <w:bCs/>
                <w:color w:val="002060"/>
                <w:sz w:val="16"/>
                <w:szCs w:val="16"/>
              </w:rPr>
              <w:t>2*220 л. с.</w:t>
            </w:r>
          </w:p>
        </w:tc>
      </w:tr>
      <w:tr w:rsidR="004B4E35" w:rsidRPr="00405303" w14:paraId="5DDEC8B6" w14:textId="77777777">
        <w:trPr>
          <w:trHeight w:val="211"/>
        </w:trPr>
        <w:tc>
          <w:tcPr>
            <w:tcW w:w="2069" w:type="dxa"/>
            <w:shd w:val="clear" w:color="auto" w:fill="FFFFFF"/>
          </w:tcPr>
          <w:p w14:paraId="14AFFCAC" w14:textId="77777777" w:rsidR="004B4E35" w:rsidRPr="00405303" w:rsidRDefault="004B4E35" w:rsidP="00C15251">
            <w:pPr>
              <w:jc w:val="both"/>
              <w:rPr>
                <w:bCs/>
                <w:color w:val="002060"/>
                <w:sz w:val="16"/>
                <w:szCs w:val="16"/>
              </w:rPr>
            </w:pPr>
          </w:p>
        </w:tc>
        <w:tc>
          <w:tcPr>
            <w:tcW w:w="1176" w:type="dxa"/>
            <w:shd w:val="clear" w:color="auto" w:fill="FFFFFF"/>
          </w:tcPr>
          <w:p w14:paraId="3E7CFC38" w14:textId="77777777" w:rsidR="004B4E35" w:rsidRPr="00405303" w:rsidRDefault="009E6F82" w:rsidP="00C15251">
            <w:pPr>
              <w:jc w:val="both"/>
              <w:rPr>
                <w:bCs/>
                <w:color w:val="002060"/>
                <w:sz w:val="16"/>
                <w:szCs w:val="16"/>
              </w:rPr>
            </w:pPr>
            <w:r w:rsidRPr="00405303">
              <w:rPr>
                <w:bCs/>
                <w:color w:val="002060"/>
                <w:sz w:val="16"/>
                <w:szCs w:val="16"/>
                <w:lang w:val="en-US"/>
              </w:rPr>
              <w:t>Lambda,</w:t>
            </w:r>
          </w:p>
        </w:tc>
        <w:tc>
          <w:tcPr>
            <w:tcW w:w="1133" w:type="dxa"/>
            <w:shd w:val="clear" w:color="auto" w:fill="FFFFFF"/>
          </w:tcPr>
          <w:p w14:paraId="5BE4D0DA" w14:textId="77777777" w:rsidR="004B4E35" w:rsidRPr="00405303" w:rsidRDefault="009E6F82" w:rsidP="00C15251">
            <w:pPr>
              <w:jc w:val="both"/>
              <w:rPr>
                <w:bCs/>
                <w:color w:val="002060"/>
                <w:sz w:val="16"/>
                <w:szCs w:val="16"/>
              </w:rPr>
            </w:pPr>
            <w:r w:rsidRPr="00405303">
              <w:rPr>
                <w:bCs/>
                <w:color w:val="002060"/>
                <w:sz w:val="16"/>
                <w:szCs w:val="16"/>
              </w:rPr>
              <w:t>1*260 л.с.</w:t>
            </w:r>
          </w:p>
        </w:tc>
        <w:tc>
          <w:tcPr>
            <w:tcW w:w="1090" w:type="dxa"/>
            <w:shd w:val="clear" w:color="auto" w:fill="FFFFFF"/>
          </w:tcPr>
          <w:p w14:paraId="742D133C" w14:textId="77777777" w:rsidR="004B4E35" w:rsidRPr="00405303" w:rsidRDefault="009E6F82" w:rsidP="00C15251">
            <w:pPr>
              <w:jc w:val="both"/>
              <w:rPr>
                <w:bCs/>
                <w:color w:val="002060"/>
                <w:sz w:val="16"/>
                <w:szCs w:val="16"/>
              </w:rPr>
            </w:pPr>
            <w:r w:rsidRPr="00405303">
              <w:rPr>
                <w:bCs/>
                <w:color w:val="002060"/>
                <w:sz w:val="16"/>
                <w:szCs w:val="16"/>
              </w:rPr>
              <w:t>3*320 л. с.</w:t>
            </w:r>
          </w:p>
        </w:tc>
        <w:tc>
          <w:tcPr>
            <w:tcW w:w="1267" w:type="dxa"/>
            <w:shd w:val="clear" w:color="auto" w:fill="FFFFFF"/>
          </w:tcPr>
          <w:p w14:paraId="0047CF0D" w14:textId="77777777" w:rsidR="004B4E35" w:rsidRPr="00405303" w:rsidRDefault="004B4E35" w:rsidP="00C15251">
            <w:pPr>
              <w:jc w:val="both"/>
              <w:rPr>
                <w:bCs/>
                <w:color w:val="002060"/>
                <w:sz w:val="16"/>
                <w:szCs w:val="16"/>
              </w:rPr>
            </w:pPr>
          </w:p>
        </w:tc>
      </w:tr>
      <w:tr w:rsidR="004B4E35" w:rsidRPr="00405303" w14:paraId="155B133F" w14:textId="77777777">
        <w:trPr>
          <w:trHeight w:val="221"/>
        </w:trPr>
        <w:tc>
          <w:tcPr>
            <w:tcW w:w="2069" w:type="dxa"/>
            <w:shd w:val="clear" w:color="auto" w:fill="FFFFFF"/>
          </w:tcPr>
          <w:p w14:paraId="46C6E7A7" w14:textId="77777777" w:rsidR="004B4E35" w:rsidRPr="00405303" w:rsidRDefault="004B4E35" w:rsidP="00C15251">
            <w:pPr>
              <w:jc w:val="both"/>
              <w:rPr>
                <w:bCs/>
                <w:color w:val="002060"/>
                <w:sz w:val="16"/>
                <w:szCs w:val="16"/>
              </w:rPr>
            </w:pPr>
          </w:p>
        </w:tc>
        <w:tc>
          <w:tcPr>
            <w:tcW w:w="1176" w:type="dxa"/>
            <w:shd w:val="clear" w:color="auto" w:fill="FFFFFF"/>
          </w:tcPr>
          <w:p w14:paraId="57B1CB5B" w14:textId="77777777" w:rsidR="004B4E35" w:rsidRPr="00405303" w:rsidRDefault="009E6F82" w:rsidP="00C15251">
            <w:pPr>
              <w:jc w:val="both"/>
              <w:rPr>
                <w:bCs/>
                <w:color w:val="002060"/>
                <w:sz w:val="16"/>
                <w:szCs w:val="16"/>
              </w:rPr>
            </w:pPr>
            <w:r w:rsidRPr="00405303">
              <w:rPr>
                <w:bCs/>
                <w:color w:val="002060"/>
                <w:sz w:val="16"/>
                <w:szCs w:val="16"/>
              </w:rPr>
              <w:t>2*160 л.с.</w:t>
            </w:r>
          </w:p>
        </w:tc>
        <w:tc>
          <w:tcPr>
            <w:tcW w:w="1133" w:type="dxa"/>
            <w:shd w:val="clear" w:color="auto" w:fill="FFFFFF"/>
          </w:tcPr>
          <w:p w14:paraId="5AD34C28" w14:textId="77777777" w:rsidR="004B4E35" w:rsidRPr="00405303" w:rsidRDefault="004B4E35" w:rsidP="00C15251">
            <w:pPr>
              <w:jc w:val="both"/>
              <w:rPr>
                <w:bCs/>
                <w:color w:val="002060"/>
                <w:sz w:val="16"/>
                <w:szCs w:val="16"/>
              </w:rPr>
            </w:pPr>
          </w:p>
        </w:tc>
        <w:tc>
          <w:tcPr>
            <w:tcW w:w="1090" w:type="dxa"/>
            <w:shd w:val="clear" w:color="auto" w:fill="FFFFFF"/>
          </w:tcPr>
          <w:p w14:paraId="771D7C29" w14:textId="77777777" w:rsidR="004B4E35" w:rsidRPr="00405303" w:rsidRDefault="004B4E35" w:rsidP="00C15251">
            <w:pPr>
              <w:jc w:val="both"/>
              <w:rPr>
                <w:bCs/>
                <w:color w:val="002060"/>
                <w:sz w:val="16"/>
                <w:szCs w:val="16"/>
              </w:rPr>
            </w:pPr>
          </w:p>
        </w:tc>
        <w:tc>
          <w:tcPr>
            <w:tcW w:w="1267" w:type="dxa"/>
            <w:shd w:val="clear" w:color="auto" w:fill="FFFFFF"/>
          </w:tcPr>
          <w:p w14:paraId="413124BC" w14:textId="77777777" w:rsidR="004B4E35" w:rsidRPr="00405303" w:rsidRDefault="004B4E35" w:rsidP="00C15251">
            <w:pPr>
              <w:jc w:val="both"/>
              <w:rPr>
                <w:bCs/>
                <w:color w:val="002060"/>
                <w:sz w:val="16"/>
                <w:szCs w:val="16"/>
              </w:rPr>
            </w:pPr>
          </w:p>
        </w:tc>
      </w:tr>
      <w:tr w:rsidR="004B4E35" w:rsidRPr="00405303" w14:paraId="03B1D767" w14:textId="77777777">
        <w:trPr>
          <w:trHeight w:val="240"/>
        </w:trPr>
        <w:tc>
          <w:tcPr>
            <w:tcW w:w="2069" w:type="dxa"/>
            <w:shd w:val="clear" w:color="auto" w:fill="FFFFFF"/>
          </w:tcPr>
          <w:p w14:paraId="61FE0E48" w14:textId="77777777" w:rsidR="004B4E35" w:rsidRPr="00405303" w:rsidRDefault="009E6F82" w:rsidP="00C15251">
            <w:pPr>
              <w:jc w:val="both"/>
              <w:rPr>
                <w:bCs/>
                <w:color w:val="002060"/>
                <w:sz w:val="16"/>
                <w:szCs w:val="16"/>
              </w:rPr>
            </w:pPr>
            <w:r w:rsidRPr="00405303">
              <w:rPr>
                <w:bCs/>
                <w:color w:val="002060"/>
                <w:sz w:val="16"/>
                <w:szCs w:val="16"/>
              </w:rPr>
              <w:t>Взлётный вес, кг</w:t>
            </w:r>
          </w:p>
        </w:tc>
        <w:tc>
          <w:tcPr>
            <w:tcW w:w="1176" w:type="dxa"/>
            <w:shd w:val="clear" w:color="auto" w:fill="FFFFFF"/>
          </w:tcPr>
          <w:p w14:paraId="6A76DB69" w14:textId="77777777" w:rsidR="004B4E35" w:rsidRPr="00405303" w:rsidRDefault="009E6F82" w:rsidP="00C15251">
            <w:pPr>
              <w:jc w:val="both"/>
              <w:rPr>
                <w:bCs/>
                <w:color w:val="002060"/>
                <w:sz w:val="16"/>
                <w:szCs w:val="16"/>
              </w:rPr>
            </w:pPr>
            <w:r w:rsidRPr="00405303">
              <w:rPr>
                <w:bCs/>
                <w:color w:val="002060"/>
                <w:sz w:val="16"/>
                <w:szCs w:val="16"/>
              </w:rPr>
              <w:t>2800</w:t>
            </w:r>
          </w:p>
        </w:tc>
        <w:tc>
          <w:tcPr>
            <w:tcW w:w="1133" w:type="dxa"/>
            <w:shd w:val="clear" w:color="auto" w:fill="FFFFFF"/>
          </w:tcPr>
          <w:p w14:paraId="6CCC43A0" w14:textId="77777777" w:rsidR="004B4E35" w:rsidRPr="00405303" w:rsidRDefault="009E6F82" w:rsidP="00C15251">
            <w:pPr>
              <w:jc w:val="both"/>
              <w:rPr>
                <w:bCs/>
                <w:color w:val="002060"/>
                <w:sz w:val="16"/>
                <w:szCs w:val="16"/>
              </w:rPr>
            </w:pPr>
            <w:r w:rsidRPr="00405303">
              <w:rPr>
                <w:bCs/>
                <w:color w:val="002060"/>
                <w:sz w:val="16"/>
                <w:szCs w:val="16"/>
              </w:rPr>
              <w:t>2430</w:t>
            </w:r>
          </w:p>
        </w:tc>
        <w:tc>
          <w:tcPr>
            <w:tcW w:w="1090" w:type="dxa"/>
            <w:shd w:val="clear" w:color="auto" w:fill="FFFFFF"/>
          </w:tcPr>
          <w:p w14:paraId="734B5452" w14:textId="77777777" w:rsidR="004B4E35" w:rsidRPr="00405303" w:rsidRDefault="004B4E35" w:rsidP="00C15251">
            <w:pPr>
              <w:jc w:val="both"/>
              <w:rPr>
                <w:bCs/>
                <w:color w:val="002060"/>
                <w:sz w:val="16"/>
                <w:szCs w:val="16"/>
              </w:rPr>
            </w:pPr>
          </w:p>
        </w:tc>
        <w:tc>
          <w:tcPr>
            <w:tcW w:w="1267" w:type="dxa"/>
            <w:shd w:val="clear" w:color="auto" w:fill="FFFFFF"/>
          </w:tcPr>
          <w:p w14:paraId="2BEED017" w14:textId="77777777" w:rsidR="004B4E35" w:rsidRPr="00405303" w:rsidRDefault="004B4E35" w:rsidP="00C15251">
            <w:pPr>
              <w:jc w:val="both"/>
              <w:rPr>
                <w:bCs/>
                <w:color w:val="002060"/>
                <w:sz w:val="16"/>
                <w:szCs w:val="16"/>
              </w:rPr>
            </w:pPr>
          </w:p>
        </w:tc>
      </w:tr>
      <w:tr w:rsidR="004B4E35" w:rsidRPr="00405303" w14:paraId="03E41F3F" w14:textId="77777777">
        <w:trPr>
          <w:trHeight w:val="245"/>
        </w:trPr>
        <w:tc>
          <w:tcPr>
            <w:tcW w:w="2069" w:type="dxa"/>
            <w:shd w:val="clear" w:color="auto" w:fill="FFFFFF"/>
          </w:tcPr>
          <w:p w14:paraId="58A1441D" w14:textId="77777777" w:rsidR="004B4E35" w:rsidRPr="00405303" w:rsidRDefault="009E6F82" w:rsidP="00C15251">
            <w:pPr>
              <w:jc w:val="both"/>
              <w:rPr>
                <w:bCs/>
                <w:color w:val="002060"/>
                <w:sz w:val="16"/>
                <w:szCs w:val="16"/>
              </w:rPr>
            </w:pPr>
            <w:r w:rsidRPr="00405303">
              <w:rPr>
                <w:bCs/>
                <w:color w:val="002060"/>
                <w:sz w:val="16"/>
                <w:szCs w:val="16"/>
              </w:rPr>
              <w:t>Размах крыла, м</w:t>
            </w:r>
          </w:p>
        </w:tc>
        <w:tc>
          <w:tcPr>
            <w:tcW w:w="1176" w:type="dxa"/>
            <w:shd w:val="clear" w:color="auto" w:fill="FFFFFF"/>
          </w:tcPr>
          <w:p w14:paraId="3DBEE121" w14:textId="77777777" w:rsidR="004B4E35" w:rsidRPr="00405303" w:rsidRDefault="009E6F82" w:rsidP="00C15251">
            <w:pPr>
              <w:jc w:val="both"/>
              <w:rPr>
                <w:bCs/>
                <w:color w:val="002060"/>
                <w:sz w:val="16"/>
                <w:szCs w:val="16"/>
              </w:rPr>
            </w:pPr>
            <w:r w:rsidRPr="00405303">
              <w:rPr>
                <w:bCs/>
                <w:color w:val="002060"/>
                <w:sz w:val="16"/>
                <w:szCs w:val="16"/>
              </w:rPr>
              <w:t>19</w:t>
            </w:r>
          </w:p>
        </w:tc>
        <w:tc>
          <w:tcPr>
            <w:tcW w:w="1133" w:type="dxa"/>
            <w:shd w:val="clear" w:color="auto" w:fill="FFFFFF"/>
          </w:tcPr>
          <w:p w14:paraId="5ECF8B99" w14:textId="77777777" w:rsidR="004B4E35" w:rsidRPr="00405303" w:rsidRDefault="009E6F82" w:rsidP="00C15251">
            <w:pPr>
              <w:jc w:val="both"/>
              <w:rPr>
                <w:bCs/>
                <w:color w:val="002060"/>
                <w:sz w:val="16"/>
                <w:szCs w:val="16"/>
              </w:rPr>
            </w:pPr>
            <w:r w:rsidRPr="00405303">
              <w:rPr>
                <w:bCs/>
                <w:color w:val="002060"/>
                <w:sz w:val="16"/>
                <w:szCs w:val="16"/>
              </w:rPr>
              <w:t>19,35</w:t>
            </w:r>
          </w:p>
        </w:tc>
        <w:tc>
          <w:tcPr>
            <w:tcW w:w="1090" w:type="dxa"/>
            <w:shd w:val="clear" w:color="auto" w:fill="FFFFFF"/>
          </w:tcPr>
          <w:p w14:paraId="5B2B59E7" w14:textId="77777777" w:rsidR="004B4E35" w:rsidRPr="00405303" w:rsidRDefault="009E6F82" w:rsidP="00C15251">
            <w:pPr>
              <w:jc w:val="both"/>
              <w:rPr>
                <w:bCs/>
                <w:color w:val="002060"/>
                <w:sz w:val="16"/>
                <w:szCs w:val="16"/>
              </w:rPr>
            </w:pPr>
            <w:r w:rsidRPr="00405303">
              <w:rPr>
                <w:bCs/>
                <w:color w:val="002060"/>
                <w:sz w:val="16"/>
                <w:szCs w:val="16"/>
              </w:rPr>
              <w:t>35,05</w:t>
            </w:r>
          </w:p>
        </w:tc>
        <w:tc>
          <w:tcPr>
            <w:tcW w:w="1267" w:type="dxa"/>
            <w:shd w:val="clear" w:color="auto" w:fill="FFFFFF"/>
          </w:tcPr>
          <w:p w14:paraId="2924CD49" w14:textId="77777777" w:rsidR="004B4E35" w:rsidRPr="00405303" w:rsidRDefault="009E6F82" w:rsidP="00C15251">
            <w:pPr>
              <w:jc w:val="both"/>
              <w:rPr>
                <w:bCs/>
                <w:color w:val="002060"/>
                <w:sz w:val="16"/>
                <w:szCs w:val="16"/>
              </w:rPr>
            </w:pPr>
            <w:r w:rsidRPr="00405303">
              <w:rPr>
                <w:bCs/>
                <w:color w:val="002060"/>
                <w:sz w:val="16"/>
                <w:szCs w:val="16"/>
              </w:rPr>
              <w:t>28</w:t>
            </w:r>
          </w:p>
        </w:tc>
      </w:tr>
      <w:tr w:rsidR="004B4E35" w:rsidRPr="00405303" w14:paraId="159291C9" w14:textId="77777777">
        <w:trPr>
          <w:trHeight w:val="240"/>
        </w:trPr>
        <w:tc>
          <w:tcPr>
            <w:tcW w:w="2069" w:type="dxa"/>
            <w:shd w:val="clear" w:color="auto" w:fill="FFFFFF"/>
          </w:tcPr>
          <w:p w14:paraId="618F706D" w14:textId="77777777" w:rsidR="004B4E35" w:rsidRPr="00405303" w:rsidRDefault="009E6F82" w:rsidP="00C15251">
            <w:pPr>
              <w:jc w:val="both"/>
              <w:rPr>
                <w:bCs/>
                <w:color w:val="002060"/>
                <w:sz w:val="16"/>
                <w:szCs w:val="16"/>
              </w:rPr>
            </w:pPr>
            <w:r w:rsidRPr="00405303">
              <w:rPr>
                <w:bCs/>
                <w:color w:val="002060"/>
                <w:sz w:val="16"/>
                <w:szCs w:val="16"/>
              </w:rPr>
              <w:t>Длина, м</w:t>
            </w:r>
          </w:p>
        </w:tc>
        <w:tc>
          <w:tcPr>
            <w:tcW w:w="1176" w:type="dxa"/>
            <w:shd w:val="clear" w:color="auto" w:fill="FFFFFF"/>
          </w:tcPr>
          <w:p w14:paraId="56D8FCCF" w14:textId="77777777" w:rsidR="004B4E35" w:rsidRPr="00405303" w:rsidRDefault="009E6F82" w:rsidP="00C15251">
            <w:pPr>
              <w:jc w:val="both"/>
              <w:rPr>
                <w:bCs/>
                <w:color w:val="002060"/>
                <w:sz w:val="16"/>
                <w:szCs w:val="16"/>
              </w:rPr>
            </w:pPr>
            <w:r w:rsidRPr="00405303">
              <w:rPr>
                <w:bCs/>
                <w:color w:val="002060"/>
                <w:sz w:val="16"/>
                <w:szCs w:val="16"/>
              </w:rPr>
              <w:t>15</w:t>
            </w:r>
          </w:p>
        </w:tc>
        <w:tc>
          <w:tcPr>
            <w:tcW w:w="1133" w:type="dxa"/>
            <w:shd w:val="clear" w:color="auto" w:fill="FFFFFF"/>
          </w:tcPr>
          <w:p w14:paraId="5D676AAA" w14:textId="77777777" w:rsidR="004B4E35" w:rsidRPr="00405303" w:rsidRDefault="009E6F82" w:rsidP="00C15251">
            <w:pPr>
              <w:jc w:val="both"/>
              <w:rPr>
                <w:bCs/>
                <w:color w:val="002060"/>
                <w:sz w:val="16"/>
                <w:szCs w:val="16"/>
              </w:rPr>
            </w:pPr>
            <w:r w:rsidRPr="00405303">
              <w:rPr>
                <w:bCs/>
                <w:color w:val="002060"/>
                <w:sz w:val="16"/>
                <w:szCs w:val="16"/>
              </w:rPr>
              <w:t>12,4:</w:t>
            </w:r>
          </w:p>
        </w:tc>
        <w:tc>
          <w:tcPr>
            <w:tcW w:w="1090" w:type="dxa"/>
            <w:shd w:val="clear" w:color="auto" w:fill="FFFFFF"/>
          </w:tcPr>
          <w:p w14:paraId="6373D0F3" w14:textId="77777777" w:rsidR="004B4E35" w:rsidRPr="00405303" w:rsidRDefault="004B4E35" w:rsidP="00C15251">
            <w:pPr>
              <w:jc w:val="both"/>
              <w:rPr>
                <w:bCs/>
                <w:color w:val="002060"/>
                <w:sz w:val="16"/>
                <w:szCs w:val="16"/>
              </w:rPr>
            </w:pPr>
          </w:p>
        </w:tc>
        <w:tc>
          <w:tcPr>
            <w:tcW w:w="1267" w:type="dxa"/>
            <w:shd w:val="clear" w:color="auto" w:fill="FFFFFF"/>
          </w:tcPr>
          <w:p w14:paraId="6D23E845" w14:textId="77777777" w:rsidR="004B4E35" w:rsidRPr="00405303" w:rsidRDefault="009E6F82" w:rsidP="00C15251">
            <w:pPr>
              <w:jc w:val="both"/>
              <w:rPr>
                <w:bCs/>
                <w:color w:val="002060"/>
                <w:sz w:val="16"/>
                <w:szCs w:val="16"/>
              </w:rPr>
            </w:pPr>
            <w:r w:rsidRPr="00405303">
              <w:rPr>
                <w:bCs/>
                <w:color w:val="002060"/>
                <w:sz w:val="16"/>
                <w:szCs w:val="16"/>
              </w:rPr>
              <w:t>14,5</w:t>
            </w:r>
          </w:p>
        </w:tc>
      </w:tr>
      <w:tr w:rsidR="004B4E35" w:rsidRPr="00405303" w14:paraId="6134CD16" w14:textId="77777777">
        <w:trPr>
          <w:trHeight w:val="235"/>
        </w:trPr>
        <w:tc>
          <w:tcPr>
            <w:tcW w:w="2069" w:type="dxa"/>
            <w:shd w:val="clear" w:color="auto" w:fill="FFFFFF"/>
          </w:tcPr>
          <w:p w14:paraId="32EF8318" w14:textId="77777777" w:rsidR="004B4E35" w:rsidRPr="00405303" w:rsidRDefault="009E6F82" w:rsidP="00C15251">
            <w:pPr>
              <w:jc w:val="both"/>
              <w:rPr>
                <w:bCs/>
                <w:color w:val="002060"/>
                <w:sz w:val="16"/>
                <w:szCs w:val="16"/>
              </w:rPr>
            </w:pPr>
            <w:r w:rsidRPr="00405303">
              <w:rPr>
                <w:bCs/>
                <w:color w:val="002060"/>
                <w:sz w:val="16"/>
                <w:szCs w:val="16"/>
              </w:rPr>
              <w:t>Площадь крыла, м</w:t>
            </w:r>
            <w:r w:rsidRPr="00405303">
              <w:rPr>
                <w:bCs/>
                <w:color w:val="002060"/>
                <w:sz w:val="16"/>
                <w:szCs w:val="16"/>
                <w:vertAlign w:val="superscript"/>
              </w:rPr>
              <w:t>2</w:t>
            </w:r>
          </w:p>
        </w:tc>
        <w:tc>
          <w:tcPr>
            <w:tcW w:w="1176" w:type="dxa"/>
            <w:shd w:val="clear" w:color="auto" w:fill="FFFFFF"/>
          </w:tcPr>
          <w:p w14:paraId="2984F69A" w14:textId="77777777" w:rsidR="004B4E35" w:rsidRPr="00405303" w:rsidRDefault="009E6F82" w:rsidP="00C15251">
            <w:pPr>
              <w:jc w:val="both"/>
              <w:rPr>
                <w:bCs/>
                <w:color w:val="002060"/>
                <w:sz w:val="16"/>
                <w:szCs w:val="16"/>
              </w:rPr>
            </w:pPr>
            <w:r w:rsidRPr="00405303">
              <w:rPr>
                <w:bCs/>
                <w:color w:val="002060"/>
                <w:sz w:val="16"/>
                <w:szCs w:val="16"/>
              </w:rPr>
              <w:t>70</w:t>
            </w:r>
          </w:p>
        </w:tc>
        <w:tc>
          <w:tcPr>
            <w:tcW w:w="1133" w:type="dxa"/>
            <w:shd w:val="clear" w:color="auto" w:fill="FFFFFF"/>
          </w:tcPr>
          <w:p w14:paraId="6CF54557" w14:textId="77777777" w:rsidR="004B4E35" w:rsidRPr="00405303" w:rsidRDefault="009E6F82" w:rsidP="00C15251">
            <w:pPr>
              <w:jc w:val="both"/>
              <w:rPr>
                <w:bCs/>
                <w:color w:val="002060"/>
                <w:sz w:val="16"/>
                <w:szCs w:val="16"/>
              </w:rPr>
            </w:pPr>
            <w:r w:rsidRPr="00405303">
              <w:rPr>
                <w:bCs/>
                <w:color w:val="002060"/>
                <w:sz w:val="16"/>
                <w:szCs w:val="16"/>
              </w:rPr>
              <w:t>64</w:t>
            </w:r>
          </w:p>
        </w:tc>
        <w:tc>
          <w:tcPr>
            <w:tcW w:w="1090" w:type="dxa"/>
            <w:shd w:val="clear" w:color="auto" w:fill="FFFFFF"/>
          </w:tcPr>
          <w:p w14:paraId="1871FAD1" w14:textId="77777777" w:rsidR="004B4E35" w:rsidRPr="00405303" w:rsidRDefault="004B4E35" w:rsidP="00C15251">
            <w:pPr>
              <w:jc w:val="both"/>
              <w:rPr>
                <w:bCs/>
                <w:color w:val="002060"/>
                <w:sz w:val="16"/>
                <w:szCs w:val="16"/>
              </w:rPr>
            </w:pPr>
          </w:p>
        </w:tc>
        <w:tc>
          <w:tcPr>
            <w:tcW w:w="1267" w:type="dxa"/>
            <w:shd w:val="clear" w:color="auto" w:fill="FFFFFF"/>
          </w:tcPr>
          <w:p w14:paraId="67AFE017" w14:textId="77777777" w:rsidR="004B4E35" w:rsidRPr="00405303" w:rsidRDefault="009E6F82" w:rsidP="00C15251">
            <w:pPr>
              <w:jc w:val="both"/>
              <w:rPr>
                <w:bCs/>
                <w:color w:val="002060"/>
                <w:sz w:val="16"/>
                <w:szCs w:val="16"/>
              </w:rPr>
            </w:pPr>
            <w:r w:rsidRPr="00405303">
              <w:rPr>
                <w:bCs/>
                <w:color w:val="002060"/>
                <w:sz w:val="16"/>
                <w:szCs w:val="16"/>
              </w:rPr>
              <w:t>150</w:t>
            </w:r>
          </w:p>
        </w:tc>
      </w:tr>
      <w:tr w:rsidR="004B4E35" w:rsidRPr="00405303" w14:paraId="546FFCEF" w14:textId="77777777">
        <w:trPr>
          <w:trHeight w:val="245"/>
        </w:trPr>
        <w:tc>
          <w:tcPr>
            <w:tcW w:w="2069" w:type="dxa"/>
            <w:shd w:val="clear" w:color="auto" w:fill="FFFFFF"/>
          </w:tcPr>
          <w:p w14:paraId="41ACB310" w14:textId="77777777" w:rsidR="004B4E35" w:rsidRPr="00405303" w:rsidRDefault="009E6F82" w:rsidP="00C15251">
            <w:pPr>
              <w:jc w:val="both"/>
              <w:rPr>
                <w:bCs/>
                <w:color w:val="002060"/>
                <w:sz w:val="16"/>
                <w:szCs w:val="16"/>
              </w:rPr>
            </w:pPr>
            <w:r w:rsidRPr="00405303">
              <w:rPr>
                <w:bCs/>
                <w:color w:val="002060"/>
                <w:sz w:val="16"/>
                <w:szCs w:val="16"/>
              </w:rPr>
              <w:t>Макс, скорость, км/ч</w:t>
            </w:r>
          </w:p>
        </w:tc>
        <w:tc>
          <w:tcPr>
            <w:tcW w:w="1176" w:type="dxa"/>
            <w:shd w:val="clear" w:color="auto" w:fill="FFFFFF"/>
          </w:tcPr>
          <w:p w14:paraId="195E4023" w14:textId="77777777" w:rsidR="004B4E35" w:rsidRPr="00405303" w:rsidRDefault="004B4E35" w:rsidP="00C15251">
            <w:pPr>
              <w:jc w:val="both"/>
              <w:rPr>
                <w:bCs/>
                <w:color w:val="002060"/>
                <w:sz w:val="16"/>
                <w:szCs w:val="16"/>
              </w:rPr>
            </w:pPr>
          </w:p>
        </w:tc>
        <w:tc>
          <w:tcPr>
            <w:tcW w:w="1133" w:type="dxa"/>
            <w:shd w:val="clear" w:color="auto" w:fill="FFFFFF"/>
          </w:tcPr>
          <w:p w14:paraId="4FCF3197" w14:textId="77777777" w:rsidR="004B4E35" w:rsidRPr="00405303" w:rsidRDefault="009E6F82" w:rsidP="00C15251">
            <w:pPr>
              <w:jc w:val="both"/>
              <w:rPr>
                <w:bCs/>
                <w:color w:val="002060"/>
                <w:sz w:val="16"/>
                <w:szCs w:val="16"/>
              </w:rPr>
            </w:pPr>
            <w:r w:rsidRPr="00405303">
              <w:rPr>
                <w:bCs/>
                <w:color w:val="002060"/>
                <w:sz w:val="16"/>
                <w:szCs w:val="16"/>
              </w:rPr>
              <w:t>142</w:t>
            </w:r>
          </w:p>
        </w:tc>
        <w:tc>
          <w:tcPr>
            <w:tcW w:w="1090" w:type="dxa"/>
            <w:shd w:val="clear" w:color="auto" w:fill="FFFFFF"/>
          </w:tcPr>
          <w:p w14:paraId="5AAE5482" w14:textId="77777777" w:rsidR="004B4E35" w:rsidRPr="00405303" w:rsidRDefault="004B4E35" w:rsidP="00C15251">
            <w:pPr>
              <w:jc w:val="both"/>
              <w:rPr>
                <w:bCs/>
                <w:color w:val="002060"/>
                <w:sz w:val="16"/>
                <w:szCs w:val="16"/>
              </w:rPr>
            </w:pPr>
          </w:p>
        </w:tc>
        <w:tc>
          <w:tcPr>
            <w:tcW w:w="1267" w:type="dxa"/>
            <w:shd w:val="clear" w:color="auto" w:fill="FFFFFF"/>
          </w:tcPr>
          <w:p w14:paraId="6CECD338" w14:textId="77777777" w:rsidR="004B4E35" w:rsidRPr="00405303" w:rsidRDefault="009E6F82" w:rsidP="00C15251">
            <w:pPr>
              <w:jc w:val="both"/>
              <w:rPr>
                <w:bCs/>
                <w:color w:val="002060"/>
                <w:sz w:val="16"/>
                <w:szCs w:val="16"/>
              </w:rPr>
            </w:pPr>
            <w:r w:rsidRPr="00405303">
              <w:rPr>
                <w:bCs/>
                <w:color w:val="002060"/>
                <w:sz w:val="16"/>
                <w:szCs w:val="16"/>
              </w:rPr>
              <w:t>110</w:t>
            </w:r>
          </w:p>
        </w:tc>
      </w:tr>
      <w:tr w:rsidR="004B4E35" w:rsidRPr="00405303" w14:paraId="43138AE0" w14:textId="77777777">
        <w:trPr>
          <w:trHeight w:val="230"/>
        </w:trPr>
        <w:tc>
          <w:tcPr>
            <w:tcW w:w="2069" w:type="dxa"/>
            <w:shd w:val="clear" w:color="auto" w:fill="FFFFFF"/>
          </w:tcPr>
          <w:p w14:paraId="674744BF" w14:textId="77777777" w:rsidR="004B4E35" w:rsidRPr="00405303" w:rsidRDefault="009E6F82" w:rsidP="00C15251">
            <w:pPr>
              <w:jc w:val="both"/>
              <w:rPr>
                <w:bCs/>
                <w:color w:val="002060"/>
                <w:sz w:val="16"/>
                <w:szCs w:val="16"/>
              </w:rPr>
            </w:pPr>
            <w:r w:rsidRPr="00405303">
              <w:rPr>
                <w:bCs/>
                <w:color w:val="002060"/>
                <w:sz w:val="16"/>
                <w:szCs w:val="16"/>
              </w:rPr>
              <w:t>Дальность, км</w:t>
            </w:r>
          </w:p>
        </w:tc>
        <w:tc>
          <w:tcPr>
            <w:tcW w:w="1176" w:type="dxa"/>
            <w:shd w:val="clear" w:color="auto" w:fill="FFFFFF"/>
          </w:tcPr>
          <w:p w14:paraId="3425511E" w14:textId="77777777" w:rsidR="004B4E35" w:rsidRPr="00405303" w:rsidRDefault="004B4E35" w:rsidP="00C15251">
            <w:pPr>
              <w:jc w:val="both"/>
              <w:rPr>
                <w:bCs/>
                <w:color w:val="002060"/>
                <w:sz w:val="16"/>
                <w:szCs w:val="16"/>
              </w:rPr>
            </w:pPr>
          </w:p>
        </w:tc>
        <w:tc>
          <w:tcPr>
            <w:tcW w:w="1133" w:type="dxa"/>
            <w:shd w:val="clear" w:color="auto" w:fill="FFFFFF"/>
          </w:tcPr>
          <w:p w14:paraId="16A5BDCC" w14:textId="77777777" w:rsidR="004B4E35" w:rsidRPr="00405303" w:rsidRDefault="009E6F82" w:rsidP="00C15251">
            <w:pPr>
              <w:jc w:val="both"/>
              <w:rPr>
                <w:bCs/>
                <w:color w:val="002060"/>
                <w:sz w:val="16"/>
                <w:szCs w:val="16"/>
              </w:rPr>
            </w:pPr>
            <w:r w:rsidRPr="00405303">
              <w:rPr>
                <w:bCs/>
                <w:color w:val="002060"/>
                <w:sz w:val="16"/>
                <w:szCs w:val="16"/>
              </w:rPr>
              <w:t>330</w:t>
            </w:r>
          </w:p>
        </w:tc>
        <w:tc>
          <w:tcPr>
            <w:tcW w:w="1090" w:type="dxa"/>
            <w:shd w:val="clear" w:color="auto" w:fill="FFFFFF"/>
          </w:tcPr>
          <w:p w14:paraId="6F6F030A" w14:textId="77777777" w:rsidR="004B4E35" w:rsidRPr="00405303" w:rsidRDefault="004B4E35" w:rsidP="00C15251">
            <w:pPr>
              <w:jc w:val="both"/>
              <w:rPr>
                <w:bCs/>
                <w:color w:val="002060"/>
                <w:sz w:val="16"/>
                <w:szCs w:val="16"/>
              </w:rPr>
            </w:pPr>
          </w:p>
        </w:tc>
        <w:tc>
          <w:tcPr>
            <w:tcW w:w="1267" w:type="dxa"/>
            <w:shd w:val="clear" w:color="auto" w:fill="FFFFFF"/>
          </w:tcPr>
          <w:p w14:paraId="10D47EDC" w14:textId="77777777" w:rsidR="004B4E35" w:rsidRPr="00405303" w:rsidRDefault="004B4E35" w:rsidP="00C15251">
            <w:pPr>
              <w:jc w:val="both"/>
              <w:rPr>
                <w:bCs/>
                <w:color w:val="002060"/>
                <w:sz w:val="16"/>
                <w:szCs w:val="16"/>
              </w:rPr>
            </w:pPr>
          </w:p>
        </w:tc>
      </w:tr>
      <w:tr w:rsidR="004B4E35" w:rsidRPr="00405303" w14:paraId="2E6C0FAB" w14:textId="77777777">
        <w:trPr>
          <w:trHeight w:val="230"/>
        </w:trPr>
        <w:tc>
          <w:tcPr>
            <w:tcW w:w="2069" w:type="dxa"/>
            <w:shd w:val="clear" w:color="auto" w:fill="FFFFFF"/>
          </w:tcPr>
          <w:p w14:paraId="5FC37BC1" w14:textId="77777777" w:rsidR="004B4E35" w:rsidRPr="00405303" w:rsidRDefault="009E6F82" w:rsidP="00C15251">
            <w:pPr>
              <w:jc w:val="both"/>
              <w:rPr>
                <w:bCs/>
                <w:color w:val="002060"/>
                <w:sz w:val="16"/>
                <w:szCs w:val="16"/>
              </w:rPr>
            </w:pPr>
            <w:r w:rsidRPr="00405303">
              <w:rPr>
                <w:bCs/>
                <w:color w:val="002060"/>
                <w:sz w:val="16"/>
                <w:szCs w:val="16"/>
              </w:rPr>
              <w:t>Потолок, м</w:t>
            </w:r>
          </w:p>
        </w:tc>
        <w:tc>
          <w:tcPr>
            <w:tcW w:w="1176" w:type="dxa"/>
            <w:shd w:val="clear" w:color="auto" w:fill="FFFFFF"/>
          </w:tcPr>
          <w:p w14:paraId="696F86C8" w14:textId="77777777" w:rsidR="004B4E35" w:rsidRPr="00405303" w:rsidRDefault="004B4E35" w:rsidP="00C15251">
            <w:pPr>
              <w:jc w:val="both"/>
              <w:rPr>
                <w:bCs/>
                <w:color w:val="002060"/>
                <w:sz w:val="16"/>
                <w:szCs w:val="16"/>
              </w:rPr>
            </w:pPr>
          </w:p>
        </w:tc>
        <w:tc>
          <w:tcPr>
            <w:tcW w:w="1133" w:type="dxa"/>
            <w:shd w:val="clear" w:color="auto" w:fill="FFFFFF"/>
          </w:tcPr>
          <w:p w14:paraId="7692A788" w14:textId="77777777" w:rsidR="004B4E35" w:rsidRPr="00405303" w:rsidRDefault="009E6F82" w:rsidP="00C15251">
            <w:pPr>
              <w:jc w:val="both"/>
              <w:rPr>
                <w:bCs/>
                <w:color w:val="002060"/>
                <w:sz w:val="16"/>
                <w:szCs w:val="16"/>
              </w:rPr>
            </w:pPr>
            <w:r w:rsidRPr="00405303">
              <w:rPr>
                <w:bCs/>
                <w:color w:val="002060"/>
                <w:sz w:val="16"/>
                <w:szCs w:val="16"/>
              </w:rPr>
              <w:t>2750</w:t>
            </w:r>
          </w:p>
        </w:tc>
        <w:tc>
          <w:tcPr>
            <w:tcW w:w="1090" w:type="dxa"/>
            <w:shd w:val="clear" w:color="auto" w:fill="FFFFFF"/>
          </w:tcPr>
          <w:p w14:paraId="7331F66D" w14:textId="77777777" w:rsidR="004B4E35" w:rsidRPr="00405303" w:rsidRDefault="004B4E35" w:rsidP="00C15251">
            <w:pPr>
              <w:jc w:val="both"/>
              <w:rPr>
                <w:bCs/>
                <w:color w:val="002060"/>
                <w:sz w:val="16"/>
                <w:szCs w:val="16"/>
              </w:rPr>
            </w:pPr>
          </w:p>
        </w:tc>
        <w:tc>
          <w:tcPr>
            <w:tcW w:w="1267" w:type="dxa"/>
            <w:shd w:val="clear" w:color="auto" w:fill="FFFFFF"/>
          </w:tcPr>
          <w:p w14:paraId="5EC7B4B3" w14:textId="77777777" w:rsidR="004B4E35" w:rsidRPr="00405303" w:rsidRDefault="004B4E35" w:rsidP="00C15251">
            <w:pPr>
              <w:jc w:val="both"/>
              <w:rPr>
                <w:bCs/>
                <w:color w:val="002060"/>
                <w:sz w:val="16"/>
                <w:szCs w:val="16"/>
              </w:rPr>
            </w:pPr>
          </w:p>
        </w:tc>
      </w:tr>
      <w:tr w:rsidR="004B4E35" w:rsidRPr="00405303" w14:paraId="3A9007F7" w14:textId="77777777">
        <w:trPr>
          <w:trHeight w:val="293"/>
        </w:trPr>
        <w:tc>
          <w:tcPr>
            <w:tcW w:w="2069" w:type="dxa"/>
            <w:shd w:val="clear" w:color="auto" w:fill="FFFFFF"/>
          </w:tcPr>
          <w:p w14:paraId="02A1E865" w14:textId="77777777" w:rsidR="004B4E35" w:rsidRPr="00405303" w:rsidRDefault="009E6F82" w:rsidP="00C15251">
            <w:pPr>
              <w:jc w:val="both"/>
              <w:rPr>
                <w:bCs/>
                <w:color w:val="002060"/>
                <w:sz w:val="16"/>
                <w:szCs w:val="16"/>
              </w:rPr>
            </w:pPr>
            <w:r w:rsidRPr="00405303">
              <w:rPr>
                <w:bCs/>
                <w:color w:val="002060"/>
                <w:sz w:val="16"/>
                <w:szCs w:val="16"/>
              </w:rPr>
              <w:t>Экипаж, чел</w:t>
            </w:r>
          </w:p>
        </w:tc>
        <w:tc>
          <w:tcPr>
            <w:tcW w:w="1176" w:type="dxa"/>
            <w:shd w:val="clear" w:color="auto" w:fill="FFFFFF"/>
          </w:tcPr>
          <w:p w14:paraId="185D12EE" w14:textId="77777777" w:rsidR="004B4E35" w:rsidRPr="00405303" w:rsidRDefault="009E6F82" w:rsidP="00C15251">
            <w:pPr>
              <w:jc w:val="both"/>
              <w:rPr>
                <w:bCs/>
                <w:color w:val="002060"/>
                <w:sz w:val="16"/>
                <w:szCs w:val="16"/>
              </w:rPr>
            </w:pPr>
            <w:r w:rsidRPr="00405303">
              <w:rPr>
                <w:bCs/>
                <w:color w:val="002060"/>
                <w:sz w:val="16"/>
                <w:szCs w:val="16"/>
              </w:rPr>
              <w:t>1</w:t>
            </w:r>
          </w:p>
        </w:tc>
        <w:tc>
          <w:tcPr>
            <w:tcW w:w="1133" w:type="dxa"/>
            <w:shd w:val="clear" w:color="auto" w:fill="FFFFFF"/>
          </w:tcPr>
          <w:p w14:paraId="45ABFCB2" w14:textId="77777777" w:rsidR="004B4E35" w:rsidRPr="00405303" w:rsidRDefault="009E6F82" w:rsidP="00C15251">
            <w:pPr>
              <w:jc w:val="both"/>
              <w:rPr>
                <w:bCs/>
                <w:color w:val="002060"/>
                <w:sz w:val="16"/>
                <w:szCs w:val="16"/>
              </w:rPr>
            </w:pPr>
            <w:r w:rsidRPr="00405303">
              <w:rPr>
                <w:bCs/>
                <w:color w:val="002060"/>
                <w:sz w:val="16"/>
                <w:szCs w:val="16"/>
              </w:rPr>
              <w:t>2</w:t>
            </w:r>
          </w:p>
        </w:tc>
        <w:tc>
          <w:tcPr>
            <w:tcW w:w="1090" w:type="dxa"/>
            <w:shd w:val="clear" w:color="auto" w:fill="FFFFFF"/>
          </w:tcPr>
          <w:p w14:paraId="720A0709" w14:textId="77777777" w:rsidR="004B4E35" w:rsidRPr="00405303" w:rsidRDefault="009E6F82" w:rsidP="00C15251">
            <w:pPr>
              <w:jc w:val="both"/>
              <w:rPr>
                <w:bCs/>
                <w:color w:val="002060"/>
                <w:sz w:val="16"/>
                <w:szCs w:val="16"/>
              </w:rPr>
            </w:pPr>
            <w:r w:rsidRPr="00405303">
              <w:rPr>
                <w:bCs/>
                <w:color w:val="002060"/>
                <w:sz w:val="16"/>
                <w:szCs w:val="16"/>
              </w:rPr>
              <w:t>5</w:t>
            </w:r>
          </w:p>
        </w:tc>
        <w:tc>
          <w:tcPr>
            <w:tcW w:w="1267" w:type="dxa"/>
            <w:shd w:val="clear" w:color="auto" w:fill="FFFFFF"/>
          </w:tcPr>
          <w:p w14:paraId="05BCE453" w14:textId="77777777" w:rsidR="004B4E35" w:rsidRPr="00405303" w:rsidRDefault="009E6F82" w:rsidP="00C15251">
            <w:pPr>
              <w:jc w:val="both"/>
              <w:rPr>
                <w:bCs/>
                <w:color w:val="002060"/>
                <w:sz w:val="16"/>
                <w:szCs w:val="16"/>
              </w:rPr>
            </w:pPr>
            <w:r w:rsidRPr="00405303">
              <w:rPr>
                <w:bCs/>
                <w:color w:val="002060"/>
                <w:sz w:val="16"/>
                <w:szCs w:val="16"/>
              </w:rPr>
              <w:t>5</w:t>
            </w:r>
          </w:p>
        </w:tc>
      </w:tr>
    </w:tbl>
    <w:p w14:paraId="428E50F8" w14:textId="77777777" w:rsidR="004B4E35" w:rsidRPr="00405303" w:rsidRDefault="009E6F82" w:rsidP="00C15251">
      <w:pPr>
        <w:jc w:val="both"/>
        <w:rPr>
          <w:bCs/>
          <w:color w:val="002060"/>
          <w:sz w:val="16"/>
          <w:szCs w:val="16"/>
        </w:rPr>
      </w:pPr>
      <w:r w:rsidRPr="00405303">
        <w:rPr>
          <w:bCs/>
          <w:color w:val="002060"/>
          <w:sz w:val="16"/>
          <w:szCs w:val="16"/>
        </w:rPr>
        <w:t>(11873).</w:t>
      </w:r>
    </w:p>
    <w:p w14:paraId="68C50372" w14:textId="77777777" w:rsidR="004B4E35" w:rsidRPr="00405303" w:rsidRDefault="004B4E35" w:rsidP="00C15251">
      <w:pPr>
        <w:jc w:val="both"/>
        <w:rPr>
          <w:bCs/>
          <w:color w:val="002060"/>
          <w:sz w:val="16"/>
          <w:szCs w:val="16"/>
        </w:rPr>
      </w:pPr>
    </w:p>
    <w:p w14:paraId="692225F2"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за рубежом:</w:t>
      </w:r>
    </w:p>
    <w:p w14:paraId="5E16A694" w14:textId="77777777" w:rsidR="004B4E35" w:rsidRPr="00405303" w:rsidRDefault="004B4E35" w:rsidP="00C15251">
      <w:pPr>
        <w:shd w:val="clear" w:color="auto" w:fill="FFFFFF"/>
        <w:jc w:val="both"/>
        <w:rPr>
          <w:bCs/>
          <w:i/>
          <w:color w:val="002060"/>
          <w:sz w:val="16"/>
          <w:szCs w:val="16"/>
        </w:rPr>
      </w:pPr>
    </w:p>
    <w:p w14:paraId="26016AA9" w14:textId="556ABE7D" w:rsidR="004B4E35" w:rsidRPr="00405303" w:rsidRDefault="00E1214F" w:rsidP="00C15251">
      <w:pPr>
        <w:jc w:val="both"/>
        <w:rPr>
          <w:bCs/>
          <w:color w:val="002060"/>
          <w:sz w:val="16"/>
          <w:szCs w:val="16"/>
        </w:rPr>
      </w:pPr>
      <w:r w:rsidRPr="00405303">
        <w:rPr>
          <w:bCs/>
          <w:color w:val="002060"/>
          <w:sz w:val="16"/>
          <w:szCs w:val="16"/>
        </w:rPr>
        <w:t>С</w:t>
      </w:r>
      <w:r w:rsidR="009E6F82" w:rsidRPr="00405303">
        <w:rPr>
          <w:bCs/>
          <w:color w:val="002060"/>
          <w:sz w:val="16"/>
          <w:szCs w:val="16"/>
        </w:rPr>
        <w:t xml:space="preserve"> августа 1915 г. </w:t>
      </w:r>
      <w:r w:rsidRPr="00405303">
        <w:rPr>
          <w:bCs/>
          <w:color w:val="002060"/>
          <w:sz w:val="16"/>
          <w:szCs w:val="16"/>
        </w:rPr>
        <w:t xml:space="preserve">итальянский тяжелый самолет «Капрони» (Ка-32) стал поступать в войска. </w:t>
      </w:r>
      <w:r w:rsidR="009E6F82" w:rsidRPr="00405303">
        <w:rPr>
          <w:bCs/>
          <w:color w:val="002060"/>
          <w:sz w:val="16"/>
          <w:szCs w:val="16"/>
        </w:rPr>
        <w:t xml:space="preserve">Это был второй после «Ильи Муромца» многомоторный бомбардировщик, запущенный в серийное производство и широко применявшийся в боевых действиях. Другие самолеты с разнесенными двигателями появились в первых образцах лишь в 1914 г., да и то в двухмоторных вариантах ( «Гота Г-1», Германия; «Моран-Солнье-25», Франция и др. ). В серию они пошли только через год. Как по размерам, так и по боевой нагрузке и эффективности боевого применения они значительно уступали «Муромцам» (11196). Британское адмиралтейство смогло составить технические требования к тяжелому бомбардировщику только к началу 1915 г. и сделало заказ на 40 машин. В конце того же года появился на свет самолет «Хендли Пейдж 0/100», аналогичный по размерам «Илье Муромцу», но оснащенный в отличие от нашего гиганта двумя двигателями. На фронт «Хендли Пейдж» поступил только в ноябре 1916 г. С весны 1917 г. началось производство следующей модели 0/400. Годный для боевого применения четырехмоторный бомбардировщик англичанам удалось построить только в 1918 г. Принять участие в боевых действиях он уже не успел. Не успели наладить до конца войны серийное производство тяжелых бомбардировщиков и французы. Они так и были вынуждены строить по лицензии трехмоторный «Капрони». Американцы, как и англичане, только в 1918 г. наладили серийное производство четырехмоторных самолетов. Это были летающие лодки Кертиса. Самыми результативными из иностранцев в деле разработки многомоторных самолетов оказались немцы. Не исключено, что на это повлияла и эффективность боевого применения «Муромцев», однако значение русских «тяжеловозов» некоторые немецкие специалисты оценили еще до войны. Тем не менее приступить к разработке подобных собственных образцов немцы смогли только к концу 1914 г. В 1915 — начале 1916 г. стали подниматься в воздух первые опытные многомоторные «Цеппелин-Штаакены» и «Сименс-Шукерты», получившие в Германии обозначение «Р» от слова «Ризенфлюг-цойг» — гигантский самолет. Первый «Р» попал на Восточный фронт в конце 1915 г., но после многочисленных поломок и аварий в марте 1916 г. возвращен на завод. Он так и не успел совершить ни одного боевого вылета. Боевые действия на этих машинах удалось начать лишь в августе 1916 г., когда наконец после доработки стали поступать самолеты «Р», годные для практического применения. Немецкое командование образовало два </w:t>
      </w:r>
      <w:proofErr w:type="gramStart"/>
      <w:r w:rsidR="009E6F82" w:rsidRPr="00405303">
        <w:rPr>
          <w:bCs/>
          <w:color w:val="002060"/>
          <w:sz w:val="16"/>
          <w:szCs w:val="16"/>
        </w:rPr>
        <w:t>« Р</w:t>
      </w:r>
      <w:proofErr w:type="gramEnd"/>
      <w:r w:rsidR="009E6F82" w:rsidRPr="00405303">
        <w:rPr>
          <w:bCs/>
          <w:color w:val="002060"/>
          <w:sz w:val="16"/>
          <w:szCs w:val="16"/>
        </w:rPr>
        <w:t xml:space="preserve">-эскадрона». Оба они действовали на Восточном фронте. Самолеты применялись для налетов на Ригу и против русских кораблей в заливе. По своей организационной структуре и численности «Р-эскадроны» значительно уступали эскадре воздушных кораблей, так как их комплектование обеспечивалось штучными опытными образцами, не все из которых оказались работоспособными. Только в 1917 г. немцам удалось выпустить серию из 18 сравнительно однотипных самолетов «Цеппелин-Штаакен P-IV». В выборе компоновки и параметров первых немецких многомоторных самолетов, так </w:t>
      </w:r>
      <w:proofErr w:type="gramStart"/>
      <w:r w:rsidR="009E6F82" w:rsidRPr="00405303">
        <w:rPr>
          <w:bCs/>
          <w:color w:val="002060"/>
          <w:sz w:val="16"/>
          <w:szCs w:val="16"/>
        </w:rPr>
        <w:t>же</w:t>
      </w:r>
      <w:proofErr w:type="gramEnd"/>
      <w:r w:rsidR="009E6F82" w:rsidRPr="00405303">
        <w:rPr>
          <w:bCs/>
          <w:color w:val="002060"/>
          <w:sz w:val="16"/>
          <w:szCs w:val="16"/>
        </w:rPr>
        <w:t xml:space="preserve"> как и британских, отчетливо просматривается влияние «Русского Витязя» и «Ильи Муромца». Царское правительство, радея за качество российских самолетов (</w:t>
      </w:r>
      <w:proofErr w:type="gramStart"/>
      <w:r w:rsidR="009E6F82" w:rsidRPr="00405303">
        <w:rPr>
          <w:bCs/>
          <w:color w:val="002060"/>
          <w:sz w:val="16"/>
          <w:szCs w:val="16"/>
        </w:rPr>
        <w:t>впрочем</w:t>
      </w:r>
      <w:proofErr w:type="gramEnd"/>
      <w:r w:rsidR="009E6F82" w:rsidRPr="00405303">
        <w:rPr>
          <w:bCs/>
          <w:color w:val="002060"/>
          <w:sz w:val="16"/>
          <w:szCs w:val="16"/>
        </w:rPr>
        <w:t xml:space="preserve"> не только их) и стремясь не допустить любую монополизацию, стимулировало здоровую конкуренцию. Оно давало возможность разным авиаконструкторам проявить свои способности на ниве создания тяжелых машин. Так, в конце 1914 г. на заводе В. А. Лебедева в Петрограде была начата постройка оригинального тяжелого самолета «Святогор» конструкции талантливого ученого В. А. Слесарева. Имея большой опыт продувок в аэродинамической трубе Политехнического института различных моделей многих самолетов, в том числе и Сикорского, конструктор создал машину, которая по аэродинамике и продуманности компоновки представляла собой значительный шаг вперед. Однако главной ошибкой Слесарева был выбор схемы силовой установки — двигатели в фюзеляже и привод трансмиссией вынесенных по бокам винтов. Это и предопределило неудачу. «Святогор» так и не поднялся в воздух. Разработка Слесарева была не единственной попыткой составить конкуренцию «Муромцу». В 1916–1917 гг. выдающийся русский ученый Г. А. Ботезат, хорошо знакомый с конструкциями Сикорского, консультировал на Ижорском заводе по заказу военного ведомства разработку шестимоторных гигантов — биплана и триплана, а мобилизованный в армию инженер РБВЗ В. Ф. Савельев вместе с В. Залевским в 1916 г. приступили в Смоленском авиапарке к разработке гигантского четырехплана. Завершить эти интересные планы до октября 1917 г. не удалось. Г. А. Ботезат и В. Залевский в 1917 г. встретились в Херсоне, куда оба переехали для интересной </w:t>
      </w:r>
      <w:proofErr w:type="gramStart"/>
      <w:r w:rsidR="009E6F82" w:rsidRPr="00405303">
        <w:rPr>
          <w:bCs/>
          <w:color w:val="002060"/>
          <w:sz w:val="16"/>
          <w:szCs w:val="16"/>
        </w:rPr>
        <w:t>в перспективной работы</w:t>
      </w:r>
      <w:proofErr w:type="gramEnd"/>
      <w:r w:rsidR="009E6F82" w:rsidRPr="00405303">
        <w:rPr>
          <w:bCs/>
          <w:color w:val="002060"/>
          <w:sz w:val="16"/>
          <w:szCs w:val="16"/>
        </w:rPr>
        <w:t xml:space="preserve">. Дело в том, что в 1916 г. царское правительство привяло решение создать под Херсоном, где достаточно благоприятный климат, крупнейший в мире государственный многопрофильный авиационный комплекс ( «Авиагородок»), куда должны были входить научно-исследовательская аэродинамическая лаборатория с аэродинамической трубой, позволявшей исследовать самолеты в натуральную величину при скоростях полета до 320 км/ч, опытный завод для постройки по проектам талантливых изобретателей и конструкторов самолетов, двигателей и авиационного оборудования, два серийных завода (самолетный и двигательный), высшее учебное заведение, авиашкола, а также аэродром Управления Военно-Воздушного Флота России, предназначенный для летных испытаний и доводки опытных самолетов — предшественник нынешнего ГНИКИ ВВС. Научными руководителями этого комплекса были приглашены профессоры Г. А. Ботезат и А. П. Фан-дер-Флит. Там В. Залевский и разрабатывал свой тяжелый мультиплан. Однако всем этим грандиозным планам, как и многим другим, свершиться было не дано. 1917 г. изменил весь ход событий. В истории мирового самолетостроения «Муромцы» являются одной из наиболее ярких страниц ее начального периода. Воздушные гиганты И. И. Сикорского стали гордостью России, символом ее нарождавшейся технической мощи. Они были самобытны, уникальны, и их создание является неоспоримым приоритетом России в области разработки </w:t>
      </w:r>
      <w:r w:rsidR="009E6F82" w:rsidRPr="00405303">
        <w:rPr>
          <w:bCs/>
          <w:color w:val="002060"/>
          <w:sz w:val="16"/>
          <w:szCs w:val="16"/>
        </w:rPr>
        <w:lastRenderedPageBreak/>
        <w:t>тяжелых воздушных кораблей, их оборудования, вооружения, а также военного применения. Полученный огромный опыт постройки и эксплуатации многомоторных тяжелых самолетов стал весомым вкладом в развитие мировой авиации, и это, несомненно, является предметом нашей национальной гордости (11196).</w:t>
      </w:r>
    </w:p>
    <w:p w14:paraId="1F65A8A4" w14:textId="77777777" w:rsidR="004B4E35" w:rsidRPr="00405303" w:rsidRDefault="004B4E35" w:rsidP="00C15251">
      <w:pPr>
        <w:jc w:val="both"/>
        <w:rPr>
          <w:bCs/>
          <w:color w:val="002060"/>
          <w:sz w:val="16"/>
          <w:szCs w:val="16"/>
        </w:rPr>
      </w:pPr>
    </w:p>
    <w:p w14:paraId="1FC174CF" w14:textId="77777777" w:rsidR="003C16CD" w:rsidRPr="00405303" w:rsidRDefault="003C16CD" w:rsidP="00C15251">
      <w:pPr>
        <w:jc w:val="both"/>
        <w:rPr>
          <w:bCs/>
          <w:color w:val="002060"/>
          <w:sz w:val="16"/>
          <w:szCs w:val="16"/>
        </w:rPr>
      </w:pPr>
      <w:r w:rsidRPr="00405303">
        <w:rPr>
          <w:bCs/>
          <w:color w:val="002060"/>
          <w:sz w:val="16"/>
          <w:szCs w:val="16"/>
        </w:rPr>
        <w:t>В августе 1915 будущий лидер итальянских фашистов Бенито Муссолини впервые летит на самолете. Он начнет летные уроки в июле 1919 года и получит квалификацию пилота в мае 1921 года (20338).</w:t>
      </w:r>
    </w:p>
    <w:p w14:paraId="5BAAF879" w14:textId="77777777" w:rsidR="003C16CD" w:rsidRPr="00405303" w:rsidRDefault="003C16CD" w:rsidP="00C15251">
      <w:pPr>
        <w:jc w:val="both"/>
        <w:rPr>
          <w:bCs/>
          <w:color w:val="002060"/>
          <w:sz w:val="16"/>
          <w:szCs w:val="16"/>
        </w:rPr>
      </w:pPr>
    </w:p>
    <w:p w14:paraId="1A036DDA"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За рубежом:</w:t>
      </w:r>
    </w:p>
    <w:p w14:paraId="109A089C" w14:textId="77777777" w:rsidR="004B4E35" w:rsidRPr="00405303" w:rsidRDefault="004B4E35" w:rsidP="00C15251">
      <w:pPr>
        <w:pStyle w:val="a3"/>
        <w:jc w:val="both"/>
        <w:rPr>
          <w:bCs/>
          <w:color w:val="002060"/>
          <w:spacing w:val="0"/>
          <w:kern w:val="0"/>
          <w:position w:val="0"/>
          <w:sz w:val="16"/>
          <w:szCs w:val="16"/>
        </w:rPr>
      </w:pPr>
    </w:p>
    <w:p w14:paraId="0048F5EF" w14:textId="77777777" w:rsidR="004B4E35" w:rsidRPr="00405303" w:rsidRDefault="009E6F82" w:rsidP="00C15251">
      <w:pPr>
        <w:jc w:val="both"/>
        <w:rPr>
          <w:bCs/>
          <w:color w:val="002060"/>
          <w:sz w:val="16"/>
          <w:szCs w:val="16"/>
        </w:rPr>
      </w:pPr>
      <w:r w:rsidRPr="00405303">
        <w:rPr>
          <w:bCs/>
          <w:color w:val="002060"/>
          <w:sz w:val="16"/>
          <w:szCs w:val="16"/>
        </w:rPr>
        <w:t>В августе 1915 г. шло сооружение Little Willy, а Триттон и Вильсон уже не испытывали к нему никакого интереса и с тем же рвением переключились на проработку концепции приемника. 24.08.1915 г. Триттон представил д'Эйнкоурту эскиз нового сухопутного корабля и получил «добро» на разработку проекта, а через два дня по его требованию Стерн доставил в Линкольн спецификацию требований на сухопутный корабль составленную Свинтоном.</w:t>
      </w:r>
    </w:p>
    <w:p w14:paraId="0A0F7A37" w14:textId="77777777" w:rsidR="004B4E35" w:rsidRPr="00405303" w:rsidRDefault="009E6F82" w:rsidP="00C15251">
      <w:pPr>
        <w:jc w:val="both"/>
        <w:rPr>
          <w:bCs/>
          <w:color w:val="002060"/>
          <w:sz w:val="16"/>
          <w:szCs w:val="16"/>
        </w:rPr>
      </w:pPr>
      <w:r w:rsidRPr="00405303">
        <w:rPr>
          <w:bCs/>
          <w:color w:val="002060"/>
          <w:sz w:val="16"/>
          <w:szCs w:val="16"/>
        </w:rPr>
        <w:t>15.09.1915 Little Willy пошел на ходовые испытания.</w:t>
      </w:r>
    </w:p>
    <w:p w14:paraId="0ED03FCA" w14:textId="77777777" w:rsidR="004B4E35" w:rsidRPr="00405303" w:rsidRDefault="009E6F82" w:rsidP="00C15251">
      <w:pPr>
        <w:jc w:val="both"/>
        <w:rPr>
          <w:bCs/>
          <w:color w:val="002060"/>
          <w:sz w:val="16"/>
          <w:szCs w:val="16"/>
        </w:rPr>
      </w:pPr>
      <w:r w:rsidRPr="00405303">
        <w:rPr>
          <w:bCs/>
          <w:color w:val="002060"/>
          <w:sz w:val="16"/>
          <w:szCs w:val="16"/>
        </w:rPr>
        <w:t xml:space="preserve">22.09.1915 Стерну вручили телеграмму из Линкольна, которую </w:t>
      </w:r>
      <w:proofErr w:type="gramStart"/>
      <w:r w:rsidRPr="00405303">
        <w:rPr>
          <w:bCs/>
          <w:color w:val="002060"/>
          <w:sz w:val="16"/>
          <w:szCs w:val="16"/>
        </w:rPr>
        <w:t>не возможно</w:t>
      </w:r>
      <w:proofErr w:type="gramEnd"/>
      <w:r w:rsidRPr="00405303">
        <w:rPr>
          <w:bCs/>
          <w:color w:val="002060"/>
          <w:sz w:val="16"/>
          <w:szCs w:val="16"/>
        </w:rPr>
        <w:t xml:space="preserve"> читать без умиления: «Сегодня утром Balata погиб на испытательном стенде. Новорожденный от Триттона из листовой штамповки легкий по весу, но очень прочный. Все прошло хорошо, спасибо Вам. ГОРДЫЕ РОДИТЕЛИ».</w:t>
      </w:r>
    </w:p>
    <w:p w14:paraId="662BE5E3" w14:textId="77777777" w:rsidR="004B4E35" w:rsidRPr="00405303" w:rsidRDefault="009E6F82" w:rsidP="00C15251">
      <w:pPr>
        <w:jc w:val="both"/>
        <w:rPr>
          <w:bCs/>
          <w:color w:val="002060"/>
          <w:sz w:val="16"/>
          <w:szCs w:val="16"/>
        </w:rPr>
      </w:pPr>
      <w:r w:rsidRPr="00405303">
        <w:rPr>
          <w:bCs/>
          <w:color w:val="002060"/>
          <w:sz w:val="16"/>
          <w:szCs w:val="16"/>
        </w:rPr>
        <w:t>Так опытный никогда не вооружавшийся сухопутный корабль Little Willy, оснащенный специальным гусеничных ходом, явился первым английским танком и соответственно первым танком в мире. Но это была, как говорят, «бракованная лошадь». Свинтон: «Меня спросили о моем мнении, и я сказал, что Willy не пойдет. Он не соответствовал требованиям, присланным из Франции, и не мог преодолевать 5-футовые вертикальные препятствия. Little Willy был просто стальной коробкой». Да это все прекрасно понимали без Свинтона и не оспаривали.</w:t>
      </w:r>
    </w:p>
    <w:p w14:paraId="3D1F2B4A" w14:textId="77777777" w:rsidR="004B4E35" w:rsidRPr="00405303" w:rsidRDefault="009E6F82" w:rsidP="00C15251">
      <w:pPr>
        <w:jc w:val="both"/>
        <w:rPr>
          <w:bCs/>
          <w:color w:val="002060"/>
          <w:sz w:val="16"/>
          <w:szCs w:val="16"/>
        </w:rPr>
      </w:pPr>
      <w:r w:rsidRPr="00405303">
        <w:rPr>
          <w:bCs/>
          <w:color w:val="002060"/>
          <w:sz w:val="16"/>
          <w:szCs w:val="16"/>
        </w:rPr>
        <w:t xml:space="preserve">В основу формообразования новой БМ, известной больше под названием Mother, легло предложение Вильсона (идея Мекфи и Несфильда, с оговорками) о ромбовидном гусеничном обводе корпуса. С этого момента форма английских танков периода Первой мировой войны стала единым пластическим целым — гипертрофированной ходовой честью, демонстрирующей полную независимость от среды перемещения, переходящую в агрессивность по отношению этой среде, готовность проложить и проломать себе дорогу в любой ситуации. </w:t>
      </w:r>
    </w:p>
    <w:p w14:paraId="6FCC94BD" w14:textId="77777777" w:rsidR="004B4E35" w:rsidRPr="00405303" w:rsidRDefault="009E6F82" w:rsidP="00C15251">
      <w:pPr>
        <w:jc w:val="both"/>
        <w:rPr>
          <w:bCs/>
          <w:color w:val="002060"/>
          <w:sz w:val="16"/>
          <w:szCs w:val="16"/>
        </w:rPr>
      </w:pPr>
      <w:r w:rsidRPr="00405303">
        <w:rPr>
          <w:bCs/>
          <w:color w:val="002060"/>
          <w:sz w:val="16"/>
          <w:szCs w:val="16"/>
        </w:rPr>
        <w:t xml:space="preserve">Не следует толковать результаты создания Little Willy как неудачу. «Новорожденный от Тритона» отпустил все грехи. С видоизмененным, но конструктивно аналогичным движителем он вышел в лице своего приемника Big Willy (Mother) на уровень серийного производства и боевого триумфа, а его усовершенствованная ходовая часть стала ходовой частью кавалерийского Mark A. </w:t>
      </w:r>
      <w:proofErr w:type="gramStart"/>
      <w:r w:rsidRPr="00405303">
        <w:rPr>
          <w:bCs/>
          <w:color w:val="002060"/>
          <w:sz w:val="16"/>
          <w:szCs w:val="16"/>
        </w:rPr>
        <w:t>Конечно</w:t>
      </w:r>
      <w:proofErr w:type="gramEnd"/>
      <w:r w:rsidRPr="00405303">
        <w:rPr>
          <w:bCs/>
          <w:color w:val="002060"/>
          <w:sz w:val="16"/>
          <w:szCs w:val="16"/>
        </w:rPr>
        <w:t xml:space="preserve"> Mark A доблестный танк, но что бросается в глаза — отказ от ходовой части умеренного профиля на последовавших за ним Mark В и Mark С в пользу ромбовидного обвода. Уже в начале 20-х годов условия боевого применения БТТ изменятся, соответственно иные требования — иные решения. Но тогда альтернативы не было.</w:t>
      </w:r>
    </w:p>
    <w:p w14:paraId="16731538" w14:textId="77777777" w:rsidR="004B4E35" w:rsidRPr="00405303" w:rsidRDefault="009E6F82" w:rsidP="00C15251">
      <w:pPr>
        <w:jc w:val="both"/>
        <w:rPr>
          <w:bCs/>
          <w:color w:val="002060"/>
          <w:sz w:val="16"/>
          <w:szCs w:val="16"/>
        </w:rPr>
      </w:pPr>
      <w:r w:rsidRPr="00405303">
        <w:rPr>
          <w:bCs/>
          <w:color w:val="002060"/>
          <w:sz w:val="16"/>
          <w:szCs w:val="16"/>
        </w:rPr>
        <w:t>В конце сентября 1915 г. завершили изготовление деревянного макета и продемонстрировали его в Уэмбли группе старших офицеров. Указание на изготовление опытного образца поступило 30.09.1915 г., Проблема размещения вооружения была решена д'Эйнкоуртом, предложившим съемные бортовые спонсоны. В результате: низко расположенный центр тяжести; способность «чистить» траншею на оба борта при ее пересечении и держать под обстрелом сразу две линии траншей при дефилировании вдоль фронта, возможность вписать машину в железнодорожный провозной габарит.</w:t>
      </w:r>
    </w:p>
    <w:p w14:paraId="5801B0E0" w14:textId="77777777" w:rsidR="004B4E35" w:rsidRPr="00405303" w:rsidRDefault="009E6F82" w:rsidP="00C15251">
      <w:pPr>
        <w:jc w:val="both"/>
        <w:rPr>
          <w:bCs/>
          <w:color w:val="002060"/>
          <w:sz w:val="16"/>
          <w:szCs w:val="16"/>
        </w:rPr>
      </w:pPr>
      <w:r w:rsidRPr="00405303">
        <w:rPr>
          <w:bCs/>
          <w:color w:val="002060"/>
          <w:sz w:val="16"/>
          <w:szCs w:val="16"/>
        </w:rPr>
        <w:t>От экспериментов и опытных работ Англия переходила в область практической реализации (12111).</w:t>
      </w:r>
    </w:p>
    <w:p w14:paraId="53EB6FAB" w14:textId="77777777" w:rsidR="004B4E35" w:rsidRPr="00405303" w:rsidRDefault="004B4E35" w:rsidP="00C15251">
      <w:pPr>
        <w:jc w:val="both"/>
        <w:rPr>
          <w:bCs/>
          <w:color w:val="002060"/>
          <w:sz w:val="16"/>
          <w:szCs w:val="16"/>
        </w:rPr>
      </w:pPr>
    </w:p>
    <w:p w14:paraId="0A27DB5A"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3616B236" w14:textId="77777777" w:rsidR="004B4E35" w:rsidRPr="00405303" w:rsidRDefault="004B4E35" w:rsidP="00C15251">
      <w:pPr>
        <w:pStyle w:val="a3"/>
        <w:jc w:val="both"/>
        <w:rPr>
          <w:bCs/>
          <w:color w:val="002060"/>
          <w:spacing w:val="0"/>
          <w:kern w:val="0"/>
          <w:position w:val="0"/>
          <w:sz w:val="16"/>
          <w:szCs w:val="16"/>
        </w:rPr>
      </w:pPr>
    </w:p>
    <w:p w14:paraId="1FBF830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Судьба заложенного в августе-сентябре 1915 г. аппарата М-8 неизвестна, а упоминавшиеся выше характеристики дают основания связать ее с историей еще одной конструкции ПРТВ — с «Морским крейсером» (см. раздел Щетинин: Григорович тип МК). В том, что тип М-8 действительно существовал, нет никаких сомнений. Одним из свидетельств этому может служить известие от 26 октября 1915г., гласившее:</w:t>
      </w:r>
    </w:p>
    <w:p w14:paraId="1112935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«&lt;...&gt; В настоящее время завод Щетинина выстроил и строит два больших опытных гидроаэроплана с увеличенным районом действия и большой грузоподъемности. Ныне один (меньший) аппарат уже готов и находится в стадии испытаний &lt;...»&gt; (2807).</w:t>
      </w:r>
    </w:p>
    <w:p w14:paraId="10AB2462" w14:textId="77777777" w:rsidR="004B4E35" w:rsidRPr="00405303" w:rsidRDefault="004B4E35" w:rsidP="00C15251">
      <w:pPr>
        <w:shd w:val="clear" w:color="auto" w:fill="FFFFFF"/>
        <w:jc w:val="both"/>
        <w:rPr>
          <w:bCs/>
          <w:color w:val="002060"/>
          <w:sz w:val="16"/>
          <w:szCs w:val="16"/>
        </w:rPr>
      </w:pPr>
    </w:p>
    <w:p w14:paraId="109F8AC9"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539C09ED" w14:textId="77777777" w:rsidR="004B4E35" w:rsidRPr="00405303" w:rsidRDefault="004B4E35" w:rsidP="00C15251">
      <w:pPr>
        <w:shd w:val="clear" w:color="auto" w:fill="FFFFFF"/>
        <w:jc w:val="both"/>
        <w:rPr>
          <w:bCs/>
          <w:i/>
          <w:color w:val="002060"/>
          <w:sz w:val="16"/>
          <w:szCs w:val="16"/>
        </w:rPr>
      </w:pPr>
    </w:p>
    <w:p w14:paraId="243598D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августе-октябре 1915 самолеты “Орлицы” вели разведку и корректировали артилле</w:t>
      </w:r>
      <w:r w:rsidRPr="00405303">
        <w:rPr>
          <w:bCs/>
          <w:color w:val="002060"/>
          <w:sz w:val="16"/>
          <w:szCs w:val="16"/>
        </w:rPr>
        <w:softHyphen/>
        <w:t>рийский огонь кораблей, ведущих обстрел немецких ук</w:t>
      </w:r>
      <w:r w:rsidRPr="00405303">
        <w:rPr>
          <w:bCs/>
          <w:color w:val="002060"/>
          <w:sz w:val="16"/>
          <w:szCs w:val="16"/>
        </w:rPr>
        <w:softHyphen/>
        <w:t>реплений в районе мыса Рагоцем (11107).</w:t>
      </w:r>
    </w:p>
    <w:p w14:paraId="37349452" w14:textId="0B624375" w:rsidR="004B4E35" w:rsidRPr="00405303" w:rsidRDefault="004B4E35" w:rsidP="00C15251">
      <w:pPr>
        <w:shd w:val="clear" w:color="auto" w:fill="FFFFFF"/>
        <w:jc w:val="both"/>
        <w:rPr>
          <w:bCs/>
          <w:color w:val="002060"/>
          <w:sz w:val="16"/>
          <w:szCs w:val="16"/>
        </w:rPr>
      </w:pPr>
    </w:p>
    <w:p w14:paraId="53C29E85" w14:textId="35F87C0E" w:rsidR="003C16CD" w:rsidRPr="00405303" w:rsidRDefault="003C16CD" w:rsidP="00C15251">
      <w:pPr>
        <w:shd w:val="clear" w:color="auto" w:fill="FFFFFF"/>
        <w:jc w:val="both"/>
        <w:rPr>
          <w:bCs/>
          <w:i/>
          <w:iCs/>
          <w:color w:val="002060"/>
          <w:sz w:val="16"/>
          <w:szCs w:val="16"/>
        </w:rPr>
      </w:pPr>
      <w:r w:rsidRPr="00405303">
        <w:rPr>
          <w:bCs/>
          <w:i/>
          <w:iCs/>
          <w:color w:val="002060"/>
          <w:sz w:val="16"/>
          <w:szCs w:val="16"/>
        </w:rPr>
        <w:t>Армия:</w:t>
      </w:r>
    </w:p>
    <w:p w14:paraId="26BDF61D" w14:textId="77777777" w:rsidR="003C16CD" w:rsidRPr="00405303" w:rsidRDefault="003C16CD" w:rsidP="00C15251">
      <w:pPr>
        <w:shd w:val="clear" w:color="auto" w:fill="FFFFFF"/>
        <w:jc w:val="both"/>
        <w:rPr>
          <w:bCs/>
          <w:i/>
          <w:iCs/>
          <w:color w:val="002060"/>
          <w:sz w:val="16"/>
          <w:szCs w:val="16"/>
        </w:rPr>
      </w:pPr>
    </w:p>
    <w:p w14:paraId="6319EE34" w14:textId="77777777" w:rsidR="003C16CD" w:rsidRPr="00405303" w:rsidRDefault="003C16CD" w:rsidP="00C15251">
      <w:pPr>
        <w:shd w:val="clear" w:color="auto" w:fill="FFFFFF"/>
        <w:jc w:val="both"/>
        <w:rPr>
          <w:bCs/>
          <w:color w:val="002060"/>
          <w:sz w:val="16"/>
          <w:szCs w:val="16"/>
        </w:rPr>
      </w:pPr>
      <w:r w:rsidRPr="00405303">
        <w:rPr>
          <w:bCs/>
          <w:color w:val="002060"/>
          <w:sz w:val="16"/>
          <w:szCs w:val="16"/>
        </w:rPr>
        <w:t>В августе-сентябре 1915 г. цар</w:t>
      </w:r>
      <w:r w:rsidRPr="00405303">
        <w:rPr>
          <w:bCs/>
          <w:color w:val="002060"/>
          <w:sz w:val="16"/>
          <w:szCs w:val="16"/>
        </w:rPr>
        <w:softHyphen/>
        <w:t>ское правительство приняло решение о мобилизации сту</w:t>
      </w:r>
      <w:r w:rsidRPr="00405303">
        <w:rPr>
          <w:bCs/>
          <w:color w:val="002060"/>
          <w:sz w:val="16"/>
          <w:szCs w:val="16"/>
        </w:rPr>
        <w:softHyphen/>
        <w:t>дентов высших учебных заведений в армию (20362).</w:t>
      </w:r>
    </w:p>
    <w:p w14:paraId="74D430D5" w14:textId="3428D2EF" w:rsidR="003C16CD" w:rsidRPr="00405303" w:rsidRDefault="003C16CD" w:rsidP="00C15251">
      <w:pPr>
        <w:shd w:val="clear" w:color="auto" w:fill="FFFFFF"/>
        <w:jc w:val="both"/>
        <w:rPr>
          <w:bCs/>
          <w:color w:val="002060"/>
          <w:sz w:val="16"/>
          <w:szCs w:val="16"/>
        </w:rPr>
      </w:pPr>
    </w:p>
    <w:p w14:paraId="1D30FB8F" w14:textId="7A68AC0C" w:rsidR="0085292E" w:rsidRPr="00405303" w:rsidRDefault="0085292E" w:rsidP="00C15251">
      <w:pPr>
        <w:shd w:val="clear" w:color="auto" w:fill="FFFFFF"/>
        <w:jc w:val="both"/>
        <w:rPr>
          <w:bCs/>
          <w:i/>
          <w:iCs/>
          <w:color w:val="002060"/>
          <w:sz w:val="16"/>
          <w:szCs w:val="16"/>
        </w:rPr>
      </w:pPr>
      <w:r w:rsidRPr="00405303">
        <w:rPr>
          <w:bCs/>
          <w:i/>
          <w:iCs/>
          <w:color w:val="002060"/>
          <w:sz w:val="16"/>
          <w:szCs w:val="16"/>
        </w:rPr>
        <w:t>Авиация:</w:t>
      </w:r>
    </w:p>
    <w:p w14:paraId="640A364A" w14:textId="77777777" w:rsidR="0085292E" w:rsidRPr="00405303" w:rsidRDefault="0085292E" w:rsidP="00C15251">
      <w:pPr>
        <w:shd w:val="clear" w:color="auto" w:fill="FFFFFF"/>
        <w:jc w:val="both"/>
        <w:rPr>
          <w:bCs/>
          <w:i/>
          <w:iCs/>
          <w:color w:val="002060"/>
          <w:sz w:val="16"/>
          <w:szCs w:val="16"/>
        </w:rPr>
      </w:pPr>
    </w:p>
    <w:p w14:paraId="20E10973" w14:textId="77777777" w:rsidR="0085292E" w:rsidRPr="00405303" w:rsidRDefault="0085292E" w:rsidP="00C15251">
      <w:pPr>
        <w:shd w:val="clear" w:color="auto" w:fill="FFFFFF"/>
        <w:jc w:val="both"/>
        <w:rPr>
          <w:bCs/>
          <w:color w:val="002060"/>
          <w:sz w:val="16"/>
          <w:szCs w:val="16"/>
        </w:rPr>
      </w:pPr>
      <w:r w:rsidRPr="00405303">
        <w:rPr>
          <w:bCs/>
          <w:color w:val="002060"/>
          <w:sz w:val="16"/>
          <w:szCs w:val="16"/>
        </w:rPr>
        <w:t>В конце лета 1915 г поступила новая ко</w:t>
      </w:r>
      <w:r w:rsidRPr="00405303">
        <w:rPr>
          <w:bCs/>
          <w:color w:val="002060"/>
          <w:sz w:val="16"/>
          <w:szCs w:val="16"/>
        </w:rPr>
        <w:softHyphen/>
        <w:t>манда - в спешном порядке убыть в Минск и обеспечить защиту штаба вновь созданно</w:t>
      </w:r>
      <w:r w:rsidRPr="00405303">
        <w:rPr>
          <w:bCs/>
          <w:color w:val="002060"/>
          <w:sz w:val="16"/>
          <w:szCs w:val="16"/>
        </w:rPr>
        <w:softHyphen/>
        <w:t>го Западного фронта (ЗФ). 28 августа бата</w:t>
      </w:r>
      <w:r w:rsidRPr="00405303">
        <w:rPr>
          <w:bCs/>
          <w:color w:val="002060"/>
          <w:sz w:val="16"/>
          <w:szCs w:val="16"/>
        </w:rPr>
        <w:softHyphen/>
        <w:t>рея прибыла к новому месту назначения и заняла позицию в 2 км к югу от города. Близость линии фронта позволяла против</w:t>
      </w:r>
      <w:r w:rsidRPr="00405303">
        <w:rPr>
          <w:bCs/>
          <w:color w:val="002060"/>
          <w:sz w:val="16"/>
          <w:szCs w:val="16"/>
        </w:rPr>
        <w:softHyphen/>
        <w:t>нику почти ежедневно беспрепятственно появляться в небе Минска. Почти «с колёс» вокруг города стала создаваться зенитно-артиллерийская оборона. Её возглавил штаб-офицер при главкоме армиями ЗФ полковник фон Н.М.Энден. Вскоре из Варша</w:t>
      </w:r>
      <w:r w:rsidRPr="00405303">
        <w:rPr>
          <w:bCs/>
          <w:color w:val="002060"/>
          <w:sz w:val="16"/>
          <w:szCs w:val="16"/>
        </w:rPr>
        <w:softHyphen/>
        <w:t>вы в состав ЗАО Минска прибыли две зенит</w:t>
      </w:r>
      <w:r w:rsidRPr="00405303">
        <w:rPr>
          <w:bCs/>
          <w:color w:val="002060"/>
          <w:sz w:val="16"/>
          <w:szCs w:val="16"/>
        </w:rPr>
        <w:softHyphen/>
        <w:t>ные батареи с прожекторной командой. Ка</w:t>
      </w:r>
      <w:r w:rsidRPr="00405303">
        <w:rPr>
          <w:bCs/>
          <w:color w:val="002060"/>
          <w:sz w:val="16"/>
          <w:szCs w:val="16"/>
        </w:rPr>
        <w:softHyphen/>
        <w:t>питану В.В.Тарновскому поставили задачу в сжатые сроки сформировать систему обо</w:t>
      </w:r>
      <w:r w:rsidRPr="00405303">
        <w:rPr>
          <w:bCs/>
          <w:color w:val="002060"/>
          <w:sz w:val="16"/>
          <w:szCs w:val="16"/>
        </w:rPr>
        <w:softHyphen/>
        <w:t>роны города от воздушного нападения. Ва</w:t>
      </w:r>
      <w:r w:rsidRPr="00405303">
        <w:rPr>
          <w:bCs/>
          <w:color w:val="002060"/>
          <w:sz w:val="16"/>
          <w:szCs w:val="16"/>
        </w:rPr>
        <w:softHyphen/>
        <w:t>силий Васильевич успешно с ней справился, о чём информировал полковника Эндена. В частности, внутри города были размеще</w:t>
      </w:r>
      <w:r w:rsidRPr="00405303">
        <w:rPr>
          <w:bCs/>
          <w:color w:val="002060"/>
          <w:sz w:val="16"/>
          <w:szCs w:val="16"/>
        </w:rPr>
        <w:softHyphen/>
        <w:t>ны зенитные батареи, имевшие на вооружении прожектора для ведения огня в тёмное время суток.</w:t>
      </w:r>
    </w:p>
    <w:p w14:paraId="743449C1" w14:textId="77777777" w:rsidR="0085292E" w:rsidRPr="00405303" w:rsidRDefault="0085292E" w:rsidP="00C15251">
      <w:pPr>
        <w:shd w:val="clear" w:color="auto" w:fill="FFFFFF"/>
        <w:jc w:val="both"/>
        <w:rPr>
          <w:bCs/>
          <w:color w:val="002060"/>
          <w:sz w:val="16"/>
          <w:szCs w:val="16"/>
        </w:rPr>
      </w:pPr>
      <w:r w:rsidRPr="00405303">
        <w:rPr>
          <w:bCs/>
          <w:color w:val="002060"/>
          <w:sz w:val="16"/>
          <w:szCs w:val="16"/>
        </w:rPr>
        <w:t>Особое внимание в организации ЗАО сто</w:t>
      </w:r>
      <w:r w:rsidRPr="00405303">
        <w:rPr>
          <w:bCs/>
          <w:color w:val="002060"/>
          <w:sz w:val="16"/>
          <w:szCs w:val="16"/>
        </w:rPr>
        <w:softHyphen/>
        <w:t xml:space="preserve">лицы Минской губернии было обращено прикрытию </w:t>
      </w:r>
      <w:r w:rsidRPr="00405303">
        <w:rPr>
          <w:bCs/>
          <w:i/>
          <w:color w:val="002060"/>
          <w:sz w:val="16"/>
          <w:szCs w:val="16"/>
        </w:rPr>
        <w:t xml:space="preserve">вокзалов </w:t>
      </w:r>
      <w:proofErr w:type="gramStart"/>
      <w:r w:rsidRPr="00405303">
        <w:rPr>
          <w:bCs/>
          <w:i/>
          <w:color w:val="002060"/>
          <w:sz w:val="16"/>
          <w:szCs w:val="16"/>
        </w:rPr>
        <w:t xml:space="preserve">и </w:t>
      </w:r>
      <w:r w:rsidRPr="00405303">
        <w:rPr>
          <w:bCs/>
          <w:color w:val="002060"/>
          <w:sz w:val="16"/>
          <w:szCs w:val="16"/>
        </w:rPr>
        <w:t>.железнодорожных</w:t>
      </w:r>
      <w:proofErr w:type="gramEnd"/>
      <w:r w:rsidRPr="00405303">
        <w:rPr>
          <w:bCs/>
          <w:color w:val="002060"/>
          <w:sz w:val="16"/>
          <w:szCs w:val="16"/>
        </w:rPr>
        <w:t xml:space="preserve"> путей в границах города. Именно транспорт</w:t>
      </w:r>
      <w:r w:rsidRPr="00405303">
        <w:rPr>
          <w:bCs/>
          <w:color w:val="002060"/>
          <w:sz w:val="16"/>
          <w:szCs w:val="16"/>
        </w:rPr>
        <w:softHyphen/>
        <w:t>ная сеть наиболее привлекала вражеских лётчиков, одновременно служа им хорошим ориентиром в русском тылу. Для своевре</w:t>
      </w:r>
      <w:r w:rsidRPr="00405303">
        <w:rPr>
          <w:bCs/>
          <w:color w:val="002060"/>
          <w:sz w:val="16"/>
          <w:szCs w:val="16"/>
        </w:rPr>
        <w:softHyphen/>
        <w:t>менного предупреждения зенитных батарей о приближении воздушного противника вдоль железнодорожного полотна на «воздухоопасных направлениях» выставляли разведывательные посты Отдельной авто</w:t>
      </w:r>
      <w:r w:rsidRPr="00405303">
        <w:rPr>
          <w:bCs/>
          <w:color w:val="002060"/>
          <w:sz w:val="16"/>
          <w:szCs w:val="16"/>
        </w:rPr>
        <w:softHyphen/>
        <w:t>мобильной батареи. В их составе были на</w:t>
      </w:r>
      <w:r w:rsidRPr="00405303">
        <w:rPr>
          <w:bCs/>
          <w:color w:val="002060"/>
          <w:sz w:val="16"/>
          <w:szCs w:val="16"/>
        </w:rPr>
        <w:softHyphen/>
        <w:t>блюдатели, хорошо знакомые с большинст</w:t>
      </w:r>
      <w:r w:rsidRPr="00405303">
        <w:rPr>
          <w:bCs/>
          <w:color w:val="002060"/>
          <w:sz w:val="16"/>
          <w:szCs w:val="16"/>
        </w:rPr>
        <w:softHyphen/>
        <w:t>вом типов германских ЛА. Им в помощь вре</w:t>
      </w:r>
      <w:r w:rsidRPr="00405303">
        <w:rPr>
          <w:bCs/>
          <w:color w:val="002060"/>
          <w:sz w:val="16"/>
          <w:szCs w:val="16"/>
        </w:rPr>
        <w:softHyphen/>
        <w:t>менно из комендантских команд прикоман</w:t>
      </w:r>
      <w:r w:rsidRPr="00405303">
        <w:rPr>
          <w:bCs/>
          <w:color w:val="002060"/>
          <w:sz w:val="16"/>
          <w:szCs w:val="16"/>
        </w:rPr>
        <w:softHyphen/>
        <w:t>дировали нижних чинов для несения дежур</w:t>
      </w:r>
      <w:r w:rsidRPr="00405303">
        <w:rPr>
          <w:bCs/>
          <w:color w:val="002060"/>
          <w:sz w:val="16"/>
          <w:szCs w:val="16"/>
        </w:rPr>
        <w:softHyphen/>
        <w:t>ства.</w:t>
      </w:r>
    </w:p>
    <w:p w14:paraId="14FE6E2C" w14:textId="77777777" w:rsidR="0085292E" w:rsidRPr="00405303" w:rsidRDefault="0085292E" w:rsidP="00C15251">
      <w:pPr>
        <w:shd w:val="clear" w:color="auto" w:fill="FFFFFF"/>
        <w:jc w:val="both"/>
        <w:rPr>
          <w:bCs/>
          <w:color w:val="002060"/>
          <w:sz w:val="16"/>
          <w:szCs w:val="16"/>
        </w:rPr>
      </w:pPr>
      <w:r w:rsidRPr="00405303">
        <w:rPr>
          <w:bCs/>
          <w:color w:val="002060"/>
          <w:sz w:val="16"/>
          <w:szCs w:val="16"/>
        </w:rPr>
        <w:t>Противник вскоре смог ощутить на себе всю прочность ПВО Минска. 16 октября гер</w:t>
      </w:r>
      <w:r w:rsidRPr="00405303">
        <w:rPr>
          <w:bCs/>
          <w:color w:val="002060"/>
          <w:sz w:val="16"/>
          <w:szCs w:val="16"/>
        </w:rPr>
        <w:softHyphen/>
        <w:t>манская авиация предприняла воздушный налёт на город, сбросив 15 бомб, но огонь зенитной артиллерии отогнал их. Последую</w:t>
      </w:r>
      <w:r w:rsidRPr="00405303">
        <w:rPr>
          <w:bCs/>
          <w:color w:val="002060"/>
          <w:sz w:val="16"/>
          <w:szCs w:val="16"/>
        </w:rPr>
        <w:softHyphen/>
        <w:t>щие налёты также не принесли противнику успеха, и вскоре он был вынужден это при</w:t>
      </w:r>
      <w:r w:rsidRPr="00405303">
        <w:rPr>
          <w:bCs/>
          <w:color w:val="002060"/>
          <w:sz w:val="16"/>
          <w:szCs w:val="16"/>
        </w:rPr>
        <w:softHyphen/>
        <w:t>знать (11391).</w:t>
      </w:r>
    </w:p>
    <w:p w14:paraId="7FD5479A" w14:textId="77777777" w:rsidR="0085292E" w:rsidRPr="00405303" w:rsidRDefault="0085292E" w:rsidP="00C15251">
      <w:pPr>
        <w:shd w:val="clear" w:color="auto" w:fill="FFFFFF"/>
        <w:jc w:val="both"/>
        <w:rPr>
          <w:bCs/>
          <w:color w:val="002060"/>
          <w:sz w:val="16"/>
          <w:szCs w:val="16"/>
        </w:rPr>
      </w:pPr>
    </w:p>
    <w:p w14:paraId="6D3E7284" w14:textId="77777777" w:rsidR="007048CF" w:rsidRPr="00405303" w:rsidRDefault="007048CF" w:rsidP="00C15251">
      <w:pPr>
        <w:jc w:val="both"/>
        <w:rPr>
          <w:bCs/>
          <w:color w:val="002060"/>
          <w:sz w:val="16"/>
          <w:szCs w:val="16"/>
          <w:lang w:bidi="en-US"/>
        </w:rPr>
      </w:pPr>
      <w:r w:rsidRPr="00405303">
        <w:rPr>
          <w:bCs/>
          <w:color w:val="002060"/>
          <w:sz w:val="16"/>
          <w:szCs w:val="16"/>
          <w:lang w:bidi="en-US"/>
        </w:rPr>
        <w:t>В конце лета 1915 в Москве была открыта Военная школа летчиков для переподготовки летчиков к боевым действиям, которая была передана в ведение ОВФ (23525).</w:t>
      </w:r>
    </w:p>
    <w:p w14:paraId="0FBC220D" w14:textId="77777777" w:rsidR="007048CF" w:rsidRPr="00405303" w:rsidRDefault="007048CF" w:rsidP="00C15251">
      <w:pPr>
        <w:jc w:val="both"/>
        <w:rPr>
          <w:bCs/>
          <w:color w:val="002060"/>
          <w:sz w:val="16"/>
          <w:szCs w:val="16"/>
        </w:rPr>
      </w:pPr>
    </w:p>
    <w:p w14:paraId="4402422A" w14:textId="77777777" w:rsidR="00CF6007" w:rsidRPr="00405303" w:rsidRDefault="00CF6007" w:rsidP="00C15251">
      <w:pPr>
        <w:jc w:val="both"/>
        <w:rPr>
          <w:bCs/>
          <w:i/>
          <w:color w:val="002060"/>
          <w:sz w:val="16"/>
          <w:szCs w:val="16"/>
        </w:rPr>
      </w:pPr>
      <w:r w:rsidRPr="00405303">
        <w:rPr>
          <w:bCs/>
          <w:i/>
          <w:color w:val="002060"/>
          <w:sz w:val="16"/>
          <w:szCs w:val="16"/>
        </w:rPr>
        <w:t>Морская авиация:</w:t>
      </w:r>
    </w:p>
    <w:p w14:paraId="25B11FFF" w14:textId="77777777" w:rsidR="00CF6007" w:rsidRPr="00405303" w:rsidRDefault="00CF6007" w:rsidP="00C15251">
      <w:pPr>
        <w:jc w:val="both"/>
        <w:rPr>
          <w:bCs/>
          <w:i/>
          <w:color w:val="002060"/>
          <w:sz w:val="16"/>
          <w:szCs w:val="16"/>
        </w:rPr>
      </w:pPr>
    </w:p>
    <w:p w14:paraId="17255234" w14:textId="77777777" w:rsidR="00CF6007" w:rsidRPr="00405303" w:rsidRDefault="00CF6007" w:rsidP="00C15251">
      <w:pPr>
        <w:shd w:val="clear" w:color="auto" w:fill="FFFFFF"/>
        <w:jc w:val="both"/>
        <w:rPr>
          <w:bCs/>
          <w:color w:val="002060"/>
          <w:sz w:val="16"/>
          <w:szCs w:val="16"/>
        </w:rPr>
      </w:pPr>
      <w:proofErr w:type="gramStart"/>
      <w:r w:rsidRPr="00405303">
        <w:rPr>
          <w:bCs/>
          <w:color w:val="002060"/>
          <w:sz w:val="16"/>
          <w:szCs w:val="16"/>
        </w:rPr>
        <w:lastRenderedPageBreak/>
        <w:t>К конце</w:t>
      </w:r>
      <w:proofErr w:type="gramEnd"/>
      <w:r w:rsidRPr="00405303">
        <w:rPr>
          <w:bCs/>
          <w:color w:val="002060"/>
          <w:sz w:val="16"/>
          <w:szCs w:val="16"/>
        </w:rPr>
        <w:t xml:space="preserve"> лета - начале осени 1915 года появились ведомости потребностей боеприпасов и ору</w:t>
      </w:r>
      <w:r w:rsidRPr="00405303">
        <w:rPr>
          <w:bCs/>
          <w:color w:val="002060"/>
          <w:sz w:val="16"/>
          <w:szCs w:val="16"/>
        </w:rPr>
        <w:softHyphen/>
        <w:t>жия в следующей военной кампании, поданные авиационными комитетами флотов в воздухоплавательное отделение генштаба. Более обширный заказ черноморцев содержал поставки: 300 двухпудовых, 600 однопудовых, 2400 малых 5-фунтовых бомб российских образцов, а также 150000 американских зажигательных и разрывных стрел. Для вооружения создаваемых истребителей и морских летчиков требовалось приобрести 8 пулеметов «Кольт» и 20 пистолетов «Маузер» с патронами.</w:t>
      </w:r>
    </w:p>
    <w:p w14:paraId="0DCF6332" w14:textId="77777777" w:rsidR="00CF6007" w:rsidRPr="00405303" w:rsidRDefault="00CF6007" w:rsidP="00C15251">
      <w:pPr>
        <w:shd w:val="clear" w:color="auto" w:fill="FFFFFF"/>
        <w:jc w:val="both"/>
        <w:rPr>
          <w:bCs/>
          <w:color w:val="002060"/>
          <w:sz w:val="16"/>
          <w:szCs w:val="16"/>
        </w:rPr>
      </w:pPr>
      <w:r w:rsidRPr="00405303">
        <w:rPr>
          <w:bCs/>
          <w:color w:val="002060"/>
          <w:sz w:val="16"/>
          <w:szCs w:val="16"/>
        </w:rPr>
        <w:t xml:space="preserve">Приведенные сведения указывали на то, </w:t>
      </w:r>
      <w:proofErr w:type="gramStart"/>
      <w:r w:rsidRPr="00405303">
        <w:rPr>
          <w:bCs/>
          <w:color w:val="002060"/>
          <w:sz w:val="16"/>
          <w:szCs w:val="16"/>
        </w:rPr>
        <w:t>что</w:t>
      </w:r>
      <w:proofErr w:type="gramEnd"/>
      <w:r w:rsidRPr="00405303">
        <w:rPr>
          <w:bCs/>
          <w:color w:val="002060"/>
          <w:sz w:val="16"/>
          <w:szCs w:val="16"/>
        </w:rPr>
        <w:t xml:space="preserve"> располагая пер</w:t>
      </w:r>
      <w:r w:rsidRPr="00405303">
        <w:rPr>
          <w:bCs/>
          <w:color w:val="002060"/>
          <w:sz w:val="16"/>
          <w:szCs w:val="16"/>
        </w:rPr>
        <w:softHyphen/>
        <w:t>вичным опытом использования таких боевых средств, бал</w:t>
      </w:r>
      <w:r w:rsidRPr="00405303">
        <w:rPr>
          <w:bCs/>
          <w:color w:val="002060"/>
          <w:sz w:val="16"/>
          <w:szCs w:val="16"/>
        </w:rPr>
        <w:softHyphen/>
        <w:t>тийцы и черноморцы нашли достаточные основания для оп</w:t>
      </w:r>
      <w:r w:rsidRPr="00405303">
        <w:rPr>
          <w:bCs/>
          <w:color w:val="002060"/>
          <w:sz w:val="16"/>
          <w:szCs w:val="16"/>
        </w:rPr>
        <w:softHyphen/>
        <w:t>ределения ближайших перспектив развития морской авиации и расширения ее возможностей (11283).</w:t>
      </w:r>
    </w:p>
    <w:p w14:paraId="681D2185" w14:textId="77777777" w:rsidR="00CF6007" w:rsidRPr="00405303" w:rsidRDefault="00CF6007" w:rsidP="00C15251">
      <w:pPr>
        <w:shd w:val="clear" w:color="auto" w:fill="FFFFFF"/>
        <w:jc w:val="both"/>
        <w:rPr>
          <w:bCs/>
          <w:color w:val="002060"/>
          <w:sz w:val="16"/>
          <w:szCs w:val="16"/>
        </w:rPr>
      </w:pPr>
    </w:p>
    <w:p w14:paraId="772AD412" w14:textId="4A706B1F"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41169EEA" w14:textId="77777777" w:rsidR="004B4E35" w:rsidRPr="00405303" w:rsidRDefault="004B4E35" w:rsidP="00C15251">
      <w:pPr>
        <w:shd w:val="clear" w:color="auto" w:fill="FFFFFF"/>
        <w:jc w:val="both"/>
        <w:rPr>
          <w:bCs/>
          <w:i/>
          <w:color w:val="002060"/>
          <w:sz w:val="16"/>
          <w:szCs w:val="16"/>
        </w:rPr>
      </w:pPr>
    </w:p>
    <w:p w14:paraId="1BDB51E6" w14:textId="77777777" w:rsidR="004B4E35" w:rsidRPr="00405303" w:rsidRDefault="009E6F82" w:rsidP="00C15251">
      <w:pPr>
        <w:jc w:val="both"/>
        <w:rPr>
          <w:bCs/>
          <w:color w:val="002060"/>
          <w:sz w:val="16"/>
          <w:szCs w:val="16"/>
        </w:rPr>
      </w:pPr>
      <w:r w:rsidRPr="00405303">
        <w:rPr>
          <w:bCs/>
          <w:color w:val="002060"/>
          <w:sz w:val="16"/>
          <w:szCs w:val="16"/>
        </w:rPr>
        <w:t>В конце лета 1915 в Германии весь полученный опыт ночных бомбардировок был использован при составлении "Руководства для произведения ночных полетов".</w:t>
      </w:r>
    </w:p>
    <w:p w14:paraId="47E1A4B1" w14:textId="77777777" w:rsidR="004B4E35" w:rsidRPr="00405303" w:rsidRDefault="009E6F82" w:rsidP="00C15251">
      <w:pPr>
        <w:jc w:val="both"/>
        <w:rPr>
          <w:bCs/>
          <w:color w:val="002060"/>
          <w:sz w:val="16"/>
          <w:szCs w:val="16"/>
        </w:rPr>
      </w:pPr>
      <w:r w:rsidRPr="00405303">
        <w:rPr>
          <w:bCs/>
          <w:color w:val="002060"/>
          <w:sz w:val="16"/>
          <w:szCs w:val="16"/>
        </w:rPr>
        <w:t>Зигерт: "Не было надобности брать с собой оружие, и это увеличивало полезную нагрузку бомбами. Возможность ходить низко увеличивала шансы попадания. Планирование без шума позволяло приближаться к цели на самое близкое расстояние". Однако, несмотря на это "штабом армии и генеральным штабом был выражен тот взгляд, что "для производства ночных полетов нет достаточных причин и необходимости". Может быть, в эти понимания слишком вкрадывалось беспокойство о том, что противник пожелает отплатить тем же и похитит этим у штабов остаток их сна, и так скупо им отмеренного?" (11999).</w:t>
      </w:r>
    </w:p>
    <w:p w14:paraId="367806B9" w14:textId="77777777" w:rsidR="004B4E35" w:rsidRPr="00405303" w:rsidRDefault="004B4E35" w:rsidP="00C15251">
      <w:pPr>
        <w:jc w:val="both"/>
        <w:rPr>
          <w:bCs/>
          <w:color w:val="002060"/>
          <w:sz w:val="16"/>
          <w:szCs w:val="16"/>
        </w:rPr>
      </w:pPr>
    </w:p>
    <w:p w14:paraId="5BC5EDD9" w14:textId="77777777" w:rsidR="0049529C" w:rsidRPr="00CF03EC" w:rsidRDefault="0049529C" w:rsidP="0049529C">
      <w:pPr>
        <w:jc w:val="both"/>
        <w:rPr>
          <w:color w:val="0070C0"/>
          <w:sz w:val="16"/>
          <w:szCs w:val="16"/>
        </w:rPr>
      </w:pPr>
      <w:r w:rsidRPr="00CF03EC">
        <w:rPr>
          <w:color w:val="0070C0"/>
          <w:sz w:val="16"/>
          <w:szCs w:val="16"/>
        </w:rPr>
        <w:t>В конце лета 1915 г. на испытания поступил головной образец истребителя Пфальц E I пока без вооружения, отличаясь от прототипа-разведчика только одноместной кабиной и уменьшенными размерами. Одним из первых среди строевых пилотов опробовал новый аэроплан Отто Паршау, который вводил в строй и Фоккер E I – он выразил полное удовлетворение и «Айндеккером» фирмы «Пфальц».</w:t>
      </w:r>
    </w:p>
    <w:p w14:paraId="5342927F" w14:textId="77777777" w:rsidR="0049529C" w:rsidRPr="00CF03EC" w:rsidRDefault="0049529C" w:rsidP="0049529C">
      <w:pPr>
        <w:jc w:val="both"/>
        <w:rPr>
          <w:color w:val="0070C0"/>
          <w:sz w:val="16"/>
          <w:szCs w:val="16"/>
        </w:rPr>
      </w:pPr>
      <w:r w:rsidRPr="00CF03EC">
        <w:rPr>
          <w:color w:val="0070C0"/>
          <w:sz w:val="16"/>
          <w:szCs w:val="16"/>
        </w:rPr>
        <w:t>Пфальц E I казался ближе по конструкции к французскому прототипу Моран-Солнье Тип Н, в некоторых построенных даже использовались купленные еще перед войной во Франции делали, например, готовые и покрашенные капоты мотора с эмблемой производителя “MS”, но тоже не повторял его полностью. Благодаря деревянному каркасу фюзеляжа (варившемуся на «Фоккерах» из высокопрочных труб хромомолибденовой стали квадратного сечения, которые оказалось очень трудно гнуть и даже резать) его быстрее освоили в производстве. Крыло Пфальца E I сделали чуть больше прототипа, а фюзеляж – меньше чем у конкурента из фирмы «Фоккер». Пфальц E I получился легче и потому с тем же мотором Оберурсель U 0 в 80 сил несколько резвее – 145 км/ч против 130…132 у Фоккера E Iи обгонял даже Фоккеры E II и III, которые со стосильным U I давали 140…142 км/ч.</w:t>
      </w:r>
    </w:p>
    <w:p w14:paraId="3BFAE4DC" w14:textId="77777777" w:rsidR="0049529C" w:rsidRPr="00CF03EC" w:rsidRDefault="0049529C" w:rsidP="0049529C">
      <w:pPr>
        <w:jc w:val="both"/>
        <w:rPr>
          <w:color w:val="0070C0"/>
          <w:sz w:val="16"/>
          <w:szCs w:val="16"/>
        </w:rPr>
      </w:pPr>
      <w:r w:rsidRPr="00CF03EC">
        <w:rPr>
          <w:color w:val="0070C0"/>
          <w:sz w:val="16"/>
          <w:szCs w:val="16"/>
        </w:rPr>
        <w:t>На фюзеляже поставили пулемет LMG 08/15 с синхронизатором системы Фоккера, который – хотя Пфальц E I являлся конкурентом его типу E I, он передал документацию на механизм по распоряжению Военного министерства (25772).</w:t>
      </w:r>
    </w:p>
    <w:p w14:paraId="232A93C8" w14:textId="77777777" w:rsidR="0049529C" w:rsidRPr="00CF03EC" w:rsidRDefault="0049529C" w:rsidP="0049529C">
      <w:pPr>
        <w:jc w:val="both"/>
        <w:rPr>
          <w:color w:val="0070C0"/>
          <w:sz w:val="16"/>
          <w:szCs w:val="16"/>
        </w:rPr>
      </w:pPr>
    </w:p>
    <w:p w14:paraId="3068F53E" w14:textId="78051B2D" w:rsidR="00FE7948" w:rsidRPr="00405303" w:rsidRDefault="00FE7948" w:rsidP="00FE7948">
      <w:pPr>
        <w:shd w:val="clear" w:color="auto" w:fill="FFFFFF"/>
        <w:jc w:val="both"/>
        <w:rPr>
          <w:bCs/>
          <w:i/>
          <w:color w:val="002060"/>
          <w:sz w:val="16"/>
          <w:szCs w:val="16"/>
        </w:rPr>
      </w:pPr>
      <w:r w:rsidRPr="00405303">
        <w:rPr>
          <w:bCs/>
          <w:i/>
          <w:color w:val="002060"/>
          <w:sz w:val="16"/>
          <w:szCs w:val="16"/>
        </w:rPr>
        <w:t>Авиация и воздухоплавание Франции:</w:t>
      </w:r>
    </w:p>
    <w:p w14:paraId="45951028" w14:textId="77777777" w:rsidR="00FE7948" w:rsidRPr="00405303" w:rsidRDefault="00FE7948" w:rsidP="00FE7948">
      <w:pPr>
        <w:shd w:val="clear" w:color="auto" w:fill="FFFFFF"/>
        <w:jc w:val="both"/>
        <w:rPr>
          <w:bCs/>
          <w:i/>
          <w:color w:val="002060"/>
          <w:sz w:val="16"/>
          <w:szCs w:val="16"/>
        </w:rPr>
      </w:pPr>
    </w:p>
    <w:p w14:paraId="17C291A8" w14:textId="77777777" w:rsidR="00FE7948" w:rsidRPr="00405303" w:rsidRDefault="00FE7948" w:rsidP="00FE7948">
      <w:pPr>
        <w:jc w:val="both"/>
        <w:rPr>
          <w:color w:val="0070C0"/>
          <w:sz w:val="16"/>
          <w:szCs w:val="16"/>
        </w:rPr>
      </w:pPr>
      <w:r w:rsidRPr="00405303">
        <w:rPr>
          <w:color w:val="0070C0"/>
          <w:sz w:val="16"/>
          <w:szCs w:val="16"/>
        </w:rPr>
        <w:t>К концу лета 1915 г. французская авиация насчиты</w:t>
      </w:r>
      <w:r w:rsidRPr="00405303">
        <w:rPr>
          <w:color w:val="0070C0"/>
          <w:sz w:val="16"/>
          <w:szCs w:val="16"/>
        </w:rPr>
        <w:softHyphen/>
        <w:t>вала уже 14 бомбардировочных эскадрилий. Впослед</w:t>
      </w:r>
      <w:r w:rsidRPr="00405303">
        <w:rPr>
          <w:color w:val="0070C0"/>
          <w:sz w:val="16"/>
          <w:szCs w:val="16"/>
        </w:rPr>
        <w:softHyphen/>
        <w:t>ствии их количество постоянно возрастало, эскадри</w:t>
      </w:r>
      <w:r w:rsidRPr="00405303">
        <w:rPr>
          <w:color w:val="0070C0"/>
          <w:sz w:val="16"/>
          <w:szCs w:val="16"/>
        </w:rPr>
        <w:softHyphen/>
        <w:t>льи стали сводить в группы (Group de Bombardement), каждая из которых объединяла 3-4 эскадрильи (ино</w:t>
      </w:r>
      <w:r w:rsidRPr="00405303">
        <w:rPr>
          <w:color w:val="0070C0"/>
          <w:sz w:val="16"/>
          <w:szCs w:val="16"/>
        </w:rPr>
        <w:softHyphen/>
        <w:t>гда и больше) (24992).</w:t>
      </w:r>
    </w:p>
    <w:p w14:paraId="1E5A8FC2" w14:textId="77777777" w:rsidR="00FE7948" w:rsidRPr="00405303" w:rsidRDefault="00FE7948" w:rsidP="00FE7948">
      <w:pPr>
        <w:jc w:val="both"/>
        <w:rPr>
          <w:color w:val="0070C0"/>
          <w:sz w:val="16"/>
          <w:szCs w:val="16"/>
        </w:rPr>
      </w:pPr>
    </w:p>
    <w:p w14:paraId="6D170651" w14:textId="77777777" w:rsidR="0049529C" w:rsidRPr="00CF03EC" w:rsidRDefault="0049529C" w:rsidP="0049529C">
      <w:pPr>
        <w:jc w:val="both"/>
        <w:rPr>
          <w:color w:val="0070C0"/>
          <w:sz w:val="16"/>
          <w:szCs w:val="16"/>
        </w:rPr>
      </w:pPr>
      <w:r w:rsidRPr="00CF03EC">
        <w:rPr>
          <w:color w:val="0070C0"/>
          <w:sz w:val="16"/>
          <w:szCs w:val="16"/>
        </w:rPr>
        <w:t>К концу лета 1915 ситуация на Западном фронте, где господствовали многочисленные и вооруженные французские и английские двухместные «Вуазены», «Ньюпоры» и В.Е.2, коренным образом изменилась. Счета воздушных побед таких пилотов, как Иммельман и Бёльке из FFA 62, Буддеке, фон Альтхауз и Бертольд из FFA 23, а также фон Крайлшайн из FFA 53, стали уверенно расти – к концу года они сбили 28 французских и английских аэропланов. Хотя на фоне тех воздушных сил, которые Антанта держала на фронте, это капля в море (менее 1% единовременно находившихся в действующей армии самолетов), тем не менее, это стало настоящим шоком: газетчики кричали об избиении англо-французской авиации, назвав происходящее «бичом Фоккера» (25772).</w:t>
      </w:r>
    </w:p>
    <w:p w14:paraId="275A4E42" w14:textId="77777777" w:rsidR="0049529C" w:rsidRPr="00CF03EC" w:rsidRDefault="0049529C" w:rsidP="0049529C">
      <w:pPr>
        <w:jc w:val="both"/>
        <w:rPr>
          <w:color w:val="0070C0"/>
          <w:sz w:val="16"/>
          <w:szCs w:val="16"/>
        </w:rPr>
      </w:pPr>
    </w:p>
    <w:p w14:paraId="27BFC011" w14:textId="77777777" w:rsidR="00DB73D1" w:rsidRPr="00405303" w:rsidRDefault="00DB73D1" w:rsidP="00C15251">
      <w:pPr>
        <w:pStyle w:val="a3"/>
        <w:jc w:val="both"/>
        <w:rPr>
          <w:bCs/>
          <w:color w:val="002060"/>
          <w:spacing w:val="0"/>
          <w:kern w:val="0"/>
          <w:position w:val="0"/>
          <w:sz w:val="16"/>
          <w:szCs w:val="16"/>
        </w:rPr>
      </w:pPr>
      <w:r w:rsidRPr="00405303">
        <w:rPr>
          <w:bCs/>
          <w:color w:val="002060"/>
          <w:spacing w:val="0"/>
          <w:kern w:val="0"/>
          <w:position w:val="0"/>
          <w:sz w:val="16"/>
          <w:szCs w:val="16"/>
        </w:rPr>
        <w:t>Другие оборонные отрасли:</w:t>
      </w:r>
    </w:p>
    <w:p w14:paraId="02381190" w14:textId="77777777" w:rsidR="00DB73D1" w:rsidRPr="00405303" w:rsidRDefault="00DB73D1" w:rsidP="00C15251">
      <w:pPr>
        <w:pStyle w:val="a3"/>
        <w:jc w:val="both"/>
        <w:rPr>
          <w:bCs/>
          <w:color w:val="002060"/>
          <w:spacing w:val="0"/>
          <w:kern w:val="0"/>
          <w:position w:val="0"/>
          <w:sz w:val="16"/>
          <w:szCs w:val="16"/>
        </w:rPr>
      </w:pPr>
    </w:p>
    <w:p w14:paraId="3C067C6E" w14:textId="77777777" w:rsidR="00DB73D1" w:rsidRPr="00405303" w:rsidRDefault="00DB73D1" w:rsidP="00C15251">
      <w:pPr>
        <w:pStyle w:val="ae"/>
        <w:spacing w:before="0" w:beforeAutospacing="0" w:after="0" w:afterAutospacing="0"/>
        <w:jc w:val="both"/>
        <w:rPr>
          <w:bCs/>
          <w:color w:val="002060"/>
          <w:sz w:val="16"/>
          <w:szCs w:val="16"/>
        </w:rPr>
      </w:pPr>
      <w:r w:rsidRPr="00405303">
        <w:rPr>
          <w:bCs/>
          <w:color w:val="002060"/>
          <w:sz w:val="16"/>
          <w:szCs w:val="16"/>
        </w:rPr>
        <w:t>К осени 1915 г. производство Петроградского и Самарского трубочных заводов было доведено до 7,8 млн. штук, а кроме того, проводились меры к увеличению их производительности: первого — до 7,5 млн., второго — до 6 млн. Приступлено было к строительству трубочного завода в Пензе с производством трубок до 6 млн. штук. Кроме того, еще осенью 1914 г. был сделан заказ на трубки за границей</w:t>
      </w:r>
      <w:hyperlink r:id="rId59" w:anchor="96p" w:history="1">
        <w:r w:rsidRPr="00405303">
          <w:rPr>
            <w:rStyle w:val="ad"/>
            <w:bCs/>
            <w:color w:val="002060"/>
            <w:sz w:val="16"/>
            <w:szCs w:val="16"/>
            <w:vertAlign w:val="superscript"/>
          </w:rPr>
          <w:t>96</w:t>
        </w:r>
      </w:hyperlink>
      <w:r w:rsidRPr="00405303">
        <w:rPr>
          <w:bCs/>
          <w:color w:val="002060"/>
          <w:sz w:val="16"/>
          <w:szCs w:val="16"/>
        </w:rPr>
        <w:t>.</w:t>
      </w:r>
    </w:p>
    <w:p w14:paraId="5FE06DDD" w14:textId="77777777" w:rsidR="00DB73D1" w:rsidRPr="00405303" w:rsidRDefault="00DB73D1" w:rsidP="00C15251">
      <w:pPr>
        <w:pStyle w:val="ae"/>
        <w:spacing w:before="0" w:beforeAutospacing="0" w:after="0" w:afterAutospacing="0"/>
        <w:jc w:val="both"/>
        <w:rPr>
          <w:bCs/>
          <w:color w:val="002060"/>
          <w:sz w:val="16"/>
          <w:szCs w:val="16"/>
        </w:rPr>
      </w:pPr>
      <w:r w:rsidRPr="00405303">
        <w:rPr>
          <w:bCs/>
          <w:color w:val="002060"/>
          <w:sz w:val="16"/>
          <w:szCs w:val="16"/>
        </w:rPr>
        <w:t>Комиссия решила провести учет станков, нужных для производства снарядов и пушек. На предприятия были посланы специалисты и инженеры Путиловского завода. Но сразу же предприятия подняли «вопль», что их обирают и мешают выполнять план. «Эта мера встретила почти непреодолимые препятствия»</w:t>
      </w:r>
      <w:hyperlink r:id="rId60" w:anchor="97p" w:history="1">
        <w:r w:rsidRPr="00405303">
          <w:rPr>
            <w:rStyle w:val="ad"/>
            <w:bCs/>
            <w:color w:val="002060"/>
            <w:sz w:val="16"/>
            <w:szCs w:val="16"/>
            <w:vertAlign w:val="superscript"/>
          </w:rPr>
          <w:t>97</w:t>
        </w:r>
      </w:hyperlink>
      <w:r w:rsidRPr="00405303">
        <w:rPr>
          <w:bCs/>
          <w:color w:val="002060"/>
          <w:sz w:val="16"/>
          <w:szCs w:val="16"/>
        </w:rPr>
        <w:t>. Следовательно, попытка использовать оборудование с целью увеличить производство вооружения встретила сопротивление со стороны буржуазии, расценившей проводимую меру как нарушение ее интересов (18524).</w:t>
      </w:r>
    </w:p>
    <w:p w14:paraId="3FE3A954" w14:textId="77777777" w:rsidR="00DB73D1" w:rsidRPr="00405303" w:rsidRDefault="00DB73D1" w:rsidP="00C15251">
      <w:pPr>
        <w:jc w:val="both"/>
        <w:rPr>
          <w:bCs/>
          <w:color w:val="002060"/>
          <w:sz w:val="16"/>
          <w:szCs w:val="16"/>
        </w:rPr>
      </w:pPr>
    </w:p>
    <w:p w14:paraId="1BE3C087" w14:textId="77777777" w:rsidR="00DB73D1" w:rsidRPr="00405303" w:rsidRDefault="00DB73D1" w:rsidP="00C15251">
      <w:pPr>
        <w:pStyle w:val="p1"/>
        <w:spacing w:before="0" w:beforeAutospacing="0" w:after="0" w:afterAutospacing="0"/>
        <w:jc w:val="both"/>
        <w:rPr>
          <w:bCs/>
          <w:color w:val="002060"/>
          <w:sz w:val="16"/>
          <w:szCs w:val="16"/>
        </w:rPr>
      </w:pPr>
      <w:r w:rsidRPr="00405303">
        <w:rPr>
          <w:bCs/>
          <w:color w:val="002060"/>
          <w:sz w:val="16"/>
          <w:szCs w:val="16"/>
        </w:rPr>
        <w:t xml:space="preserve">К осени 1915 г. закончилось строительство пути из Ижевска на Казань, начатое в 1913 г. Эта ветка обладала малой пропускной способностью; она была сооружена в условиях нехватки материалов, с укладкой пониженного против нормы числа шпал и скреплений. Усиленная заготовка топлива вызвала проведение узкоколейной дороги в 55 верст к первому лесничеству, строительство началось осенью 1915 г. и к 1917 г. обошлось в 2,2 млн. руб. В 1915 г. закончились изыскательские работы для сооружения железной дороги с выходом на Пермскую линию, что должно было открыть доступ на Урал и к Кизеловскому угольному бассейну. Изыскания начались еще в 1913 г. (ранее идея обсуждалась в течение двух десятилетий), но практически к строительству в то время так и не удалось </w:t>
      </w:r>
      <w:proofErr w:type="gramStart"/>
      <w:r w:rsidRPr="00405303">
        <w:rPr>
          <w:bCs/>
          <w:color w:val="002060"/>
          <w:sz w:val="16"/>
          <w:szCs w:val="16"/>
        </w:rPr>
        <w:t>приступить</w:t>
      </w:r>
      <w:r w:rsidRPr="00405303">
        <w:rPr>
          <w:bCs/>
          <w:color w:val="002060"/>
          <w:sz w:val="16"/>
          <w:szCs w:val="16"/>
          <w:vertAlign w:val="superscript"/>
        </w:rPr>
        <w:t>{</w:t>
      </w:r>
      <w:proofErr w:type="gramEnd"/>
      <w:r w:rsidRPr="00405303">
        <w:rPr>
          <w:bCs/>
          <w:color w:val="002060"/>
          <w:sz w:val="16"/>
          <w:szCs w:val="16"/>
          <w:vertAlign w:val="superscript"/>
        </w:rPr>
        <w:t>144}</w:t>
      </w:r>
      <w:r w:rsidRPr="00405303">
        <w:rPr>
          <w:bCs/>
          <w:color w:val="002060"/>
          <w:sz w:val="16"/>
          <w:szCs w:val="16"/>
        </w:rPr>
        <w:t>. В феврале 1916 г. началась установка баков для хранения нефтяных остатков на 6 млн. пудов. Частные фирмы не согласились продать топливо по предельным ценам, назначенным Особым совещанием по обороне, и тогда Министерство путей сообщения уступило заводу 2 млн. пудов мазута из заказанных ранее для себя (18409).</w:t>
      </w:r>
    </w:p>
    <w:p w14:paraId="0B5DB9B0" w14:textId="77777777" w:rsidR="00DB73D1" w:rsidRPr="00405303" w:rsidRDefault="00DB73D1" w:rsidP="00C15251">
      <w:pPr>
        <w:pStyle w:val="p1"/>
        <w:spacing w:before="0" w:beforeAutospacing="0" w:after="0" w:afterAutospacing="0"/>
        <w:jc w:val="both"/>
        <w:rPr>
          <w:bCs/>
          <w:color w:val="002060"/>
          <w:sz w:val="16"/>
          <w:szCs w:val="16"/>
        </w:rPr>
      </w:pPr>
    </w:p>
    <w:p w14:paraId="25A942B8" w14:textId="77777777" w:rsidR="00DB73D1" w:rsidRPr="00405303" w:rsidRDefault="00DB73D1" w:rsidP="00C15251">
      <w:pPr>
        <w:pStyle w:val="p1"/>
        <w:spacing w:before="0" w:beforeAutospacing="0" w:after="0" w:afterAutospacing="0"/>
        <w:jc w:val="both"/>
        <w:rPr>
          <w:bCs/>
          <w:color w:val="002060"/>
          <w:sz w:val="16"/>
          <w:szCs w:val="16"/>
        </w:rPr>
      </w:pPr>
      <w:r w:rsidRPr="00405303">
        <w:rPr>
          <w:bCs/>
          <w:color w:val="002060"/>
          <w:sz w:val="16"/>
          <w:szCs w:val="16"/>
        </w:rPr>
        <w:t>К осени 1915 г. СОЗ располагал 1962 станками (включая 45 в пиковой мастерской и 278 во взрывательной), использовал 720 кВт электроэнергии и имел 4 тысячи мастеровых. Их усердие администрация повышала с помощью выплаты премий (18409).</w:t>
      </w:r>
    </w:p>
    <w:p w14:paraId="69716602" w14:textId="77777777" w:rsidR="00DB73D1" w:rsidRPr="00405303" w:rsidRDefault="00DB73D1" w:rsidP="00C15251">
      <w:pPr>
        <w:pStyle w:val="p1"/>
        <w:spacing w:before="0" w:beforeAutospacing="0" w:after="0" w:afterAutospacing="0"/>
        <w:jc w:val="both"/>
        <w:rPr>
          <w:bCs/>
          <w:color w:val="002060"/>
          <w:sz w:val="16"/>
          <w:szCs w:val="16"/>
        </w:rPr>
      </w:pPr>
    </w:p>
    <w:p w14:paraId="3E633A69" w14:textId="77777777" w:rsidR="00DB73D1" w:rsidRPr="00405303" w:rsidRDefault="00DB73D1" w:rsidP="00C15251">
      <w:pPr>
        <w:jc w:val="both"/>
        <w:rPr>
          <w:bCs/>
          <w:color w:val="002060"/>
          <w:sz w:val="16"/>
          <w:szCs w:val="16"/>
        </w:rPr>
      </w:pPr>
      <w:r w:rsidRPr="00405303">
        <w:rPr>
          <w:bCs/>
          <w:color w:val="002060"/>
          <w:sz w:val="16"/>
          <w:szCs w:val="16"/>
        </w:rPr>
        <w:t>К осени 1915 г. И.И.Андреевым была разработана лабораторная установка по производству азотной кислоты из аммиака, а позже им же были предприняты небольшие заводские опыты на бензольном заводе в Макеевке, которые имели положительные результаты. Первый цех по производству азотной кислоты из аммиака в России был построен в 1916 г. в Юзовке по проекту Н. И. Андреева, Н. М. Кулепетова и А. К. Колосова. Проектная мощность завода равнялась 600000 пудов (9800 т) азотной кислоты в год. Проект был составлен инженер-технологом Н.М. Кулепетовым, "проявившим исключительную энергию и талант в разработке всех деталей новых конструкций аппаратов, необходимых для этого нового процесса".50 Завод был пущен в ход в начале 1917 года. Стоимость постройки завода, включая расходы на постройку жилых домов для рабочих, не превышала 2 млн. рублей. Время постройки завода — менее года.</w:t>
      </w:r>
    </w:p>
    <w:p w14:paraId="7FC4A642" w14:textId="77777777" w:rsidR="00DB73D1" w:rsidRPr="00405303" w:rsidRDefault="00DB73D1" w:rsidP="00C15251">
      <w:pPr>
        <w:jc w:val="both"/>
        <w:rPr>
          <w:bCs/>
          <w:color w:val="002060"/>
          <w:sz w:val="16"/>
          <w:szCs w:val="16"/>
        </w:rPr>
      </w:pPr>
      <w:r w:rsidRPr="00405303">
        <w:rPr>
          <w:bCs/>
          <w:color w:val="002060"/>
          <w:sz w:val="16"/>
          <w:szCs w:val="16"/>
        </w:rPr>
        <w:t>Завод давал 8 тысяч тонн кислоты в год, и кислота эта шла целиком на военные нужды. Параллельно с Андреевым в Германии работал В. Оствальд. Волею судеб ученые, получившие сходное образование (Оствальд, прибалтийский немец, учился в Рижском политехническом институте; в свою очередь, Андреев стажировался в Германии), оказались по разные стороны фронта и о работах друг друга знать не могли. Но их схемы оказались во многом схожи. Только Оствальд использовал катализаторные спирали, а Андреев — сетки, которые, в конце концов, оказались удобнее.</w:t>
      </w:r>
    </w:p>
    <w:p w14:paraId="362B2332" w14:textId="77777777" w:rsidR="00DB73D1" w:rsidRPr="00405303" w:rsidRDefault="00DB73D1" w:rsidP="00C15251">
      <w:pPr>
        <w:jc w:val="both"/>
        <w:rPr>
          <w:bCs/>
          <w:color w:val="002060"/>
          <w:sz w:val="16"/>
          <w:szCs w:val="16"/>
        </w:rPr>
      </w:pPr>
      <w:r w:rsidRPr="00405303">
        <w:rPr>
          <w:bCs/>
          <w:color w:val="002060"/>
          <w:sz w:val="16"/>
          <w:szCs w:val="16"/>
        </w:rPr>
        <w:lastRenderedPageBreak/>
        <w:t>Завод в Юзовке был разрушен во время гражданской войны. Всю документацию Временное правительство бесплатно передало союзникам за границу. Цех по производству азотной кислоты, построенный через 10 лет в Березниках на импортном оборудовании, по технологическим показателям значительно уступал юзовскому.</w:t>
      </w:r>
    </w:p>
    <w:p w14:paraId="2FF1FA53" w14:textId="43F7AB97" w:rsidR="00DB73D1" w:rsidRPr="00405303" w:rsidRDefault="00DB73D1" w:rsidP="00C15251">
      <w:pPr>
        <w:jc w:val="both"/>
        <w:rPr>
          <w:bCs/>
          <w:color w:val="002060"/>
          <w:sz w:val="16"/>
          <w:szCs w:val="16"/>
        </w:rPr>
      </w:pPr>
    </w:p>
    <w:p w14:paraId="7F649964" w14:textId="77777777" w:rsidR="007048CF" w:rsidRPr="00405303" w:rsidRDefault="007048CF"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К осени 1915 г. закон</w:t>
      </w:r>
      <w:r w:rsidRPr="00405303">
        <w:rPr>
          <w:rFonts w:ascii="Times New Roman" w:hAnsi="Times New Roman" w:cs="Times New Roman"/>
          <w:bCs/>
          <w:color w:val="002060"/>
          <w:sz w:val="16"/>
          <w:szCs w:val="16"/>
        </w:rPr>
        <w:softHyphen/>
        <w:t>чилось строительство пути из Ижевска на Казань, начатое в 1913 г. Эта ветка обладала малой пропускной способностью; она была сооружена в условиях нехватки материалов, с укладкой по</w:t>
      </w:r>
      <w:r w:rsidRPr="00405303">
        <w:rPr>
          <w:rFonts w:ascii="Times New Roman" w:hAnsi="Times New Roman" w:cs="Times New Roman"/>
          <w:bCs/>
          <w:color w:val="002060"/>
          <w:sz w:val="16"/>
          <w:szCs w:val="16"/>
        </w:rPr>
        <w:softHyphen/>
        <w:t>ниженного против нормы числа шпал и скреплений. Уси</w:t>
      </w:r>
      <w:r w:rsidRPr="00405303">
        <w:rPr>
          <w:rFonts w:ascii="Times New Roman" w:hAnsi="Times New Roman" w:cs="Times New Roman"/>
          <w:bCs/>
          <w:color w:val="002060"/>
          <w:sz w:val="16"/>
          <w:szCs w:val="16"/>
        </w:rPr>
        <w:softHyphen/>
        <w:t>ленная заготовка топлива вызвала проведение узкоколей</w:t>
      </w:r>
      <w:r w:rsidRPr="00405303">
        <w:rPr>
          <w:rFonts w:ascii="Times New Roman" w:hAnsi="Times New Roman" w:cs="Times New Roman"/>
          <w:bCs/>
          <w:color w:val="002060"/>
          <w:sz w:val="16"/>
          <w:szCs w:val="16"/>
        </w:rPr>
        <w:softHyphen/>
        <w:t>ной дороги в 55 верст к первому лесничеству, строительство началось осенью 1915 г. и к 1917 г. обошлось в 2,2 млн руб. В 1915 г. закончились изыскательские работы для сооруже</w:t>
      </w:r>
      <w:r w:rsidRPr="00405303">
        <w:rPr>
          <w:rFonts w:ascii="Times New Roman" w:hAnsi="Times New Roman" w:cs="Times New Roman"/>
          <w:bCs/>
          <w:color w:val="002060"/>
          <w:sz w:val="16"/>
          <w:szCs w:val="16"/>
        </w:rPr>
        <w:softHyphen/>
        <w:t>ния железной дороги с выходом на Пермскую линию, что должно было открыть доступ на Урал и к Кизеловскому угольному бассейну. Изыскания начались еще в 1913 г. (ра</w:t>
      </w:r>
      <w:r w:rsidRPr="00405303">
        <w:rPr>
          <w:rFonts w:ascii="Times New Roman" w:hAnsi="Times New Roman" w:cs="Times New Roman"/>
          <w:bCs/>
          <w:color w:val="002060"/>
          <w:sz w:val="16"/>
          <w:szCs w:val="16"/>
        </w:rPr>
        <w:softHyphen/>
        <w:t>нее идея обсуждалась в течение двух десятилетий), но прак</w:t>
      </w:r>
      <w:r w:rsidRPr="00405303">
        <w:rPr>
          <w:rFonts w:ascii="Times New Roman" w:hAnsi="Times New Roman" w:cs="Times New Roman"/>
          <w:bCs/>
          <w:color w:val="002060"/>
          <w:sz w:val="16"/>
          <w:szCs w:val="16"/>
        </w:rPr>
        <w:softHyphen/>
        <w:t>тически к строительству в то время так и не удалось при</w:t>
      </w:r>
      <w:r w:rsidRPr="00405303">
        <w:rPr>
          <w:rFonts w:ascii="Times New Roman" w:hAnsi="Times New Roman" w:cs="Times New Roman"/>
          <w:bCs/>
          <w:color w:val="002060"/>
          <w:sz w:val="16"/>
          <w:szCs w:val="16"/>
        </w:rPr>
        <w:softHyphen/>
        <w:t>ступить (Мельников С.Л. Пристанское хозяйство Камеко-Вятского бассейна во второй половине XIX — начале XX в. // Государство и общество, 2001, № 1. С. 132. В период весеннего половодья, в дни самого высоко</w:t>
      </w:r>
      <w:r w:rsidRPr="00405303">
        <w:rPr>
          <w:rFonts w:ascii="Times New Roman" w:hAnsi="Times New Roman" w:cs="Times New Roman"/>
          <w:bCs/>
          <w:color w:val="002060"/>
          <w:sz w:val="16"/>
          <w:szCs w:val="16"/>
        </w:rPr>
        <w:softHyphen/>
        <w:t>го подъема воды, часть продукции завода можно было отправлять с Ижевской пристани по реке Ижу, но этот период был очень коротким. СУ. 1</w:t>
      </w:r>
      <w:r w:rsidRPr="00405303">
        <w:rPr>
          <w:rFonts w:ascii="Times New Roman" w:hAnsi="Times New Roman" w:cs="Times New Roman"/>
          <w:bCs/>
          <w:color w:val="002060"/>
          <w:sz w:val="16"/>
          <w:szCs w:val="16"/>
          <w:lang w:bidi="en-US"/>
        </w:rPr>
        <w:t>3.</w:t>
      </w:r>
      <w:r w:rsidRPr="00405303">
        <w:rPr>
          <w:rFonts w:ascii="Times New Roman" w:hAnsi="Times New Roman" w:cs="Times New Roman"/>
          <w:bCs/>
          <w:color w:val="002060"/>
          <w:sz w:val="16"/>
          <w:szCs w:val="16"/>
          <w:lang w:val="en-US" w:bidi="en-US"/>
        </w:rPr>
        <w:t>VIIL</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1913. № 192. Отд. 2. Ст. 1102; «Мы за ценой не посто</w:t>
      </w:r>
      <w:r w:rsidRPr="00405303">
        <w:rPr>
          <w:rFonts w:ascii="Times New Roman" w:hAnsi="Times New Roman" w:cs="Times New Roman"/>
          <w:bCs/>
          <w:color w:val="002060"/>
          <w:sz w:val="16"/>
          <w:szCs w:val="16"/>
        </w:rPr>
        <w:softHyphen/>
        <w:t>им...» Из истории строительства железной дороги Ижевск—Балезино. Ижевск, 2005. С. 60, 24; РГВИА. Ф. 369. Оп. 16. Д. 39. Л. 10-13, 19; Ф. 29. Оп. 3. Д. 942. Л. 324; Д. 1004. Л. 178-179; Д. 1023. Л. 116). В феврале 1916 г. началась установка баков для хранения нефтяных остатков на 6 млн пудов. Частные фир</w:t>
      </w:r>
      <w:r w:rsidRPr="00405303">
        <w:rPr>
          <w:rFonts w:ascii="Times New Roman" w:hAnsi="Times New Roman" w:cs="Times New Roman"/>
          <w:bCs/>
          <w:color w:val="002060"/>
          <w:sz w:val="16"/>
          <w:szCs w:val="16"/>
        </w:rPr>
        <w:softHyphen/>
        <w:t>мы не согласились продать топливо по предельным ценам, назначенным Особым совещанием по обороне, и тогда Ми</w:t>
      </w:r>
      <w:r w:rsidRPr="00405303">
        <w:rPr>
          <w:rFonts w:ascii="Times New Roman" w:hAnsi="Times New Roman" w:cs="Times New Roman"/>
          <w:bCs/>
          <w:color w:val="002060"/>
          <w:sz w:val="16"/>
          <w:szCs w:val="16"/>
        </w:rPr>
        <w:softHyphen/>
        <w:t>нистерство путей сообщения уступило заводу 2 млн пудов мазута из заказанных ранее для себя (РГВИА. Ф. 29. Оп. 3. Д. 2578. Л. 61 и об.) (23452).</w:t>
      </w:r>
    </w:p>
    <w:p w14:paraId="515D96ED" w14:textId="77777777" w:rsidR="007048CF" w:rsidRPr="00405303" w:rsidRDefault="007048CF" w:rsidP="00C15251">
      <w:pPr>
        <w:jc w:val="both"/>
        <w:rPr>
          <w:bCs/>
          <w:color w:val="002060"/>
          <w:sz w:val="16"/>
          <w:szCs w:val="16"/>
          <w:lang w:bidi="ru-RU"/>
        </w:rPr>
      </w:pPr>
    </w:p>
    <w:p w14:paraId="0F7E9A99" w14:textId="3CFEEF37" w:rsidR="00592C4C" w:rsidRPr="00405303" w:rsidRDefault="00592C4C" w:rsidP="00C15251">
      <w:pPr>
        <w:jc w:val="both"/>
        <w:rPr>
          <w:bCs/>
          <w:i/>
          <w:iCs/>
          <w:color w:val="002060"/>
          <w:sz w:val="16"/>
          <w:szCs w:val="16"/>
        </w:rPr>
      </w:pPr>
      <w:r w:rsidRPr="00405303">
        <w:rPr>
          <w:bCs/>
          <w:i/>
          <w:iCs/>
          <w:color w:val="002060"/>
          <w:sz w:val="16"/>
          <w:szCs w:val="16"/>
        </w:rPr>
        <w:t>Авиация:</w:t>
      </w:r>
    </w:p>
    <w:p w14:paraId="48CE9A52" w14:textId="77777777" w:rsidR="00592C4C" w:rsidRPr="00405303" w:rsidRDefault="00592C4C" w:rsidP="00C15251">
      <w:pPr>
        <w:jc w:val="both"/>
        <w:rPr>
          <w:bCs/>
          <w:i/>
          <w:iCs/>
          <w:color w:val="002060"/>
          <w:sz w:val="16"/>
          <w:szCs w:val="16"/>
        </w:rPr>
      </w:pPr>
    </w:p>
    <w:p w14:paraId="1F0DF32B" w14:textId="77777777" w:rsidR="00592C4C" w:rsidRPr="00405303" w:rsidRDefault="00592C4C" w:rsidP="00C15251">
      <w:pPr>
        <w:jc w:val="both"/>
        <w:rPr>
          <w:bCs/>
          <w:color w:val="002060"/>
          <w:sz w:val="16"/>
          <w:szCs w:val="16"/>
        </w:rPr>
      </w:pPr>
      <w:r w:rsidRPr="00405303">
        <w:rPr>
          <w:bCs/>
          <w:color w:val="002060"/>
          <w:sz w:val="16"/>
          <w:szCs w:val="16"/>
        </w:rPr>
        <w:t>К осени 1915 г. собственной воздушной обороной обзаводятся важные (в военном отношении) города: Минск, Двинск (ныне - Даугавпилс) и Псков. В отличие от Пскова, расположенного на значительном расстоянии от линии фронта, Минск и Двинск периодически подвергались воздушным налетам противника. Особая заслуга в создании их воздушной обороны принадлежала капитану В.В. Тарновскому, сумевшему создать непреодолимый рубеж для германской авиации. Его идея огневой воздушной завесы для противника, легла в дальнейшем в основу боевого применения Войск ПВО страны (11163).</w:t>
      </w:r>
    </w:p>
    <w:p w14:paraId="75366CC5" w14:textId="77777777" w:rsidR="00592C4C" w:rsidRPr="00405303" w:rsidRDefault="00592C4C" w:rsidP="00C15251">
      <w:pPr>
        <w:jc w:val="both"/>
        <w:rPr>
          <w:bCs/>
          <w:color w:val="002060"/>
          <w:sz w:val="16"/>
          <w:szCs w:val="16"/>
        </w:rPr>
      </w:pPr>
    </w:p>
    <w:p w14:paraId="307C1304" w14:textId="77777777" w:rsidR="00FE7948" w:rsidRPr="00405303" w:rsidRDefault="00FE7948" w:rsidP="00FE7948">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К осени 1915 года обстановка на Балтике заметно ухудшилась. Германское командование морскими силами развернуло на восточном направлении три воздушных базы (Седдин, Зеераппен и Вайнодене). Это позволило немецкой стороне значительно увеличить свою воздухоплавательную группировку на Балтике, доведя ее к концу года до шести воздушных кораблей (</w:t>
      </w:r>
      <w:r w:rsidRPr="00405303">
        <w:rPr>
          <w:rStyle w:val="aa"/>
          <w:rFonts w:ascii="Times New Roman" w:hAnsi="Times New Roman"/>
          <w:color w:val="0070C0"/>
          <w:spacing w:val="0"/>
          <w:sz w:val="16"/>
          <w:szCs w:val="16"/>
          <w:lang w:val="en-US"/>
        </w:rPr>
        <w:t>L</w:t>
      </w:r>
      <w:r w:rsidRPr="00405303">
        <w:rPr>
          <w:rStyle w:val="aa"/>
          <w:rFonts w:ascii="Times New Roman" w:hAnsi="Times New Roman"/>
          <w:color w:val="0070C0"/>
          <w:spacing w:val="0"/>
          <w:sz w:val="16"/>
          <w:szCs w:val="16"/>
        </w:rPr>
        <w:t>-</w:t>
      </w:r>
      <w:r w:rsidRPr="00405303">
        <w:rPr>
          <w:rStyle w:val="aa"/>
          <w:rFonts w:ascii="Times New Roman" w:hAnsi="Times New Roman"/>
          <w:color w:val="0070C0"/>
          <w:spacing w:val="0"/>
          <w:sz w:val="16"/>
          <w:szCs w:val="16"/>
          <w:lang w:val="en-US"/>
        </w:rPr>
        <w:t>S</w:t>
      </w:r>
      <w:r w:rsidRPr="00405303">
        <w:rPr>
          <w:rStyle w:val="aa"/>
          <w:rFonts w:ascii="Times New Roman" w:hAnsi="Times New Roman"/>
          <w:color w:val="0070C0"/>
          <w:spacing w:val="0"/>
          <w:sz w:val="16"/>
          <w:szCs w:val="16"/>
        </w:rPr>
        <w:t xml:space="preserve">, </w:t>
      </w:r>
      <w:r w:rsidRPr="00405303">
        <w:rPr>
          <w:rStyle w:val="aa"/>
          <w:rFonts w:ascii="Times New Roman" w:hAnsi="Times New Roman"/>
          <w:color w:val="0070C0"/>
          <w:spacing w:val="0"/>
          <w:sz w:val="16"/>
          <w:szCs w:val="16"/>
          <w:lang w:val="en-US"/>
        </w:rPr>
        <w:t>SL</w:t>
      </w:r>
      <w:r w:rsidRPr="00405303">
        <w:rPr>
          <w:rStyle w:val="aa"/>
          <w:rFonts w:ascii="Times New Roman" w:hAnsi="Times New Roman"/>
          <w:color w:val="0070C0"/>
          <w:spacing w:val="0"/>
          <w:sz w:val="16"/>
          <w:szCs w:val="16"/>
        </w:rPr>
        <w:t xml:space="preserve">-4, </w:t>
      </w:r>
      <w:r w:rsidRPr="00405303">
        <w:rPr>
          <w:rStyle w:val="aa"/>
          <w:rFonts w:ascii="Times New Roman" w:hAnsi="Times New Roman"/>
          <w:color w:val="0070C0"/>
          <w:spacing w:val="0"/>
          <w:sz w:val="16"/>
          <w:szCs w:val="16"/>
          <w:lang w:val="en-US"/>
        </w:rPr>
        <w:t>SL</w:t>
      </w:r>
      <w:r w:rsidRPr="00405303">
        <w:rPr>
          <w:rStyle w:val="aa"/>
          <w:rFonts w:ascii="Times New Roman" w:hAnsi="Times New Roman"/>
          <w:color w:val="0070C0"/>
          <w:spacing w:val="0"/>
          <w:sz w:val="16"/>
          <w:szCs w:val="16"/>
        </w:rPr>
        <w:t xml:space="preserve">-6, </w:t>
      </w:r>
      <w:r w:rsidRPr="00405303">
        <w:rPr>
          <w:rStyle w:val="aa"/>
          <w:rFonts w:ascii="Times New Roman" w:hAnsi="Times New Roman"/>
          <w:color w:val="0070C0"/>
          <w:spacing w:val="0"/>
          <w:sz w:val="16"/>
          <w:szCs w:val="16"/>
          <w:lang w:val="en-US"/>
        </w:rPr>
        <w:t>M</w:t>
      </w:r>
      <w:r w:rsidRPr="00405303">
        <w:rPr>
          <w:rStyle w:val="aa"/>
          <w:rFonts w:ascii="Times New Roman" w:hAnsi="Times New Roman"/>
          <w:color w:val="0070C0"/>
          <w:spacing w:val="0"/>
          <w:sz w:val="16"/>
          <w:szCs w:val="16"/>
        </w:rPr>
        <w:t>-</w:t>
      </w:r>
      <w:r w:rsidRPr="00405303">
        <w:rPr>
          <w:rStyle w:val="aa"/>
          <w:rFonts w:ascii="Times New Roman" w:hAnsi="Times New Roman"/>
          <w:color w:val="0070C0"/>
          <w:spacing w:val="0"/>
          <w:sz w:val="16"/>
          <w:szCs w:val="16"/>
          <w:lang w:val="en-US"/>
        </w:rPr>
        <w:t>IV</w:t>
      </w:r>
      <w:r w:rsidRPr="00405303">
        <w:rPr>
          <w:rStyle w:val="aa"/>
          <w:rFonts w:ascii="Times New Roman" w:hAnsi="Times New Roman"/>
          <w:color w:val="0070C0"/>
          <w:spacing w:val="0"/>
          <w:sz w:val="16"/>
          <w:szCs w:val="16"/>
        </w:rPr>
        <w:t xml:space="preserve">, </w:t>
      </w:r>
      <w:r w:rsidRPr="00405303">
        <w:rPr>
          <w:rStyle w:val="aa"/>
          <w:rFonts w:ascii="Times New Roman" w:hAnsi="Times New Roman"/>
          <w:color w:val="0070C0"/>
          <w:spacing w:val="0"/>
          <w:sz w:val="16"/>
          <w:szCs w:val="16"/>
          <w:lang w:val="en-US"/>
        </w:rPr>
        <w:t>SL</w:t>
      </w:r>
      <w:r w:rsidRPr="00405303">
        <w:rPr>
          <w:rStyle w:val="aa"/>
          <w:rFonts w:ascii="Times New Roman" w:hAnsi="Times New Roman"/>
          <w:color w:val="0070C0"/>
          <w:spacing w:val="0"/>
          <w:sz w:val="16"/>
          <w:szCs w:val="16"/>
        </w:rPr>
        <w:t xml:space="preserve">-3, </w:t>
      </w:r>
      <w:r w:rsidRPr="00405303">
        <w:rPr>
          <w:rStyle w:val="aa"/>
          <w:rFonts w:ascii="Times New Roman" w:hAnsi="Times New Roman"/>
          <w:color w:val="0070C0"/>
          <w:spacing w:val="0"/>
          <w:sz w:val="16"/>
          <w:szCs w:val="16"/>
          <w:lang w:val="en-US"/>
        </w:rPr>
        <w:t>L</w:t>
      </w:r>
      <w:r w:rsidRPr="00405303">
        <w:rPr>
          <w:rStyle w:val="aa"/>
          <w:rFonts w:ascii="Times New Roman" w:hAnsi="Times New Roman"/>
          <w:color w:val="0070C0"/>
          <w:spacing w:val="0"/>
          <w:sz w:val="16"/>
          <w:szCs w:val="16"/>
        </w:rPr>
        <w:t>-25). Помимо разведывательных полетов в интересах германского флота, дирижабли также решали и бомбардировочные задачи. Неоднократно их воздушным налетам подвергалась главная морская база Балтфлота - г. Ревель, а также Балтийский порт (Пальдиски, западнее Ревеля), игравший важную роль в снабжении наших войск на северо-востоке Прибалтики (25166).</w:t>
      </w:r>
    </w:p>
    <w:p w14:paraId="22F24FCE" w14:textId="77777777" w:rsidR="00FE7948" w:rsidRPr="00405303" w:rsidRDefault="00FE7948" w:rsidP="00FE7948">
      <w:pPr>
        <w:jc w:val="both"/>
        <w:rPr>
          <w:color w:val="0070C0"/>
          <w:sz w:val="16"/>
          <w:szCs w:val="16"/>
        </w:rPr>
      </w:pPr>
    </w:p>
    <w:p w14:paraId="44EC5306" w14:textId="77777777" w:rsidR="00FE7948" w:rsidRPr="00405303" w:rsidRDefault="00FE7948" w:rsidP="00FE7948">
      <w:pPr>
        <w:jc w:val="both"/>
        <w:rPr>
          <w:color w:val="0070C0"/>
          <w:sz w:val="16"/>
          <w:szCs w:val="16"/>
        </w:rPr>
      </w:pPr>
      <w:r w:rsidRPr="00405303">
        <w:rPr>
          <w:rStyle w:val="aa"/>
          <w:rFonts w:ascii="Times New Roman" w:hAnsi="Times New Roman"/>
          <w:color w:val="0070C0"/>
          <w:spacing w:val="0"/>
          <w:sz w:val="16"/>
          <w:szCs w:val="16"/>
        </w:rPr>
        <w:t>К осени 1915 года принятые меры позволили заметно усилить зенитно-артиллерийскую оборону Царского Села и Петрограда, насчитывавшей в своем составе 16 зенитных батарей (57 орудий) и 10 пулеметных взводов (20 пулеметов). Кроме того, для обороны важных объектов в окрестностях столицы часть батарей выдвигалась (на воздухоопасных направлениях) на значительное удаление от города. Ранее, с окончанием белых ночей в северо-западном регионе страны, на вооружение зенитной артиллерии Петрограда и Царского Села поступили десять 120- см прожекторов. В целом, созданная зенитная защита столицы позволяла отражать налеты воздушного противника на ближних подступах к городу и обеспечивала надежное прикрытие наиболее важных объектов внутри него.</w:t>
      </w:r>
    </w:p>
    <w:p w14:paraId="3939E812" w14:textId="77777777" w:rsidR="00FE7948" w:rsidRPr="00405303" w:rsidRDefault="00FE7948" w:rsidP="00FE7948">
      <w:pPr>
        <w:jc w:val="both"/>
        <w:rPr>
          <w:color w:val="0070C0"/>
          <w:sz w:val="16"/>
          <w:szCs w:val="16"/>
        </w:rPr>
      </w:pPr>
      <w:r w:rsidRPr="00405303">
        <w:rPr>
          <w:rStyle w:val="aa"/>
          <w:rFonts w:ascii="Times New Roman" w:hAnsi="Times New Roman"/>
          <w:color w:val="0070C0"/>
          <w:spacing w:val="0"/>
          <w:sz w:val="16"/>
          <w:szCs w:val="16"/>
        </w:rPr>
        <w:t>Организацию воздушной обороны крепостей (Свеаборг, Выборг, Кронштадт, морской Императора Петра Великого в г. Ревель и др.), входивших в состав 6 А, осуществляло командование соответствующих крепостных артиллерийских батальонов. Непосредственное прикрытие с воздуха крепостей обеспечивали имевшиеся в их составе крепостные авиаотряды.</w:t>
      </w:r>
    </w:p>
    <w:p w14:paraId="7D88BAAD" w14:textId="77777777" w:rsidR="00FE7948" w:rsidRPr="00405303" w:rsidRDefault="00FE7948" w:rsidP="00FE7948">
      <w:pPr>
        <w:jc w:val="both"/>
        <w:rPr>
          <w:color w:val="0070C0"/>
          <w:sz w:val="16"/>
          <w:szCs w:val="16"/>
        </w:rPr>
      </w:pPr>
      <w:r w:rsidRPr="00405303">
        <w:rPr>
          <w:rStyle w:val="aa"/>
          <w:rFonts w:ascii="Times New Roman" w:hAnsi="Times New Roman"/>
          <w:color w:val="0070C0"/>
          <w:spacing w:val="0"/>
          <w:sz w:val="16"/>
          <w:szCs w:val="16"/>
        </w:rPr>
        <w:t>Авиационная составляющая ВоздО Царского Села и Петрограда включала в себя вновь сформированный специальный авиационный отряд (САО) для воздушной охраны Императорской резиденции и два нештатных экипажа с самолетами, выделенных от Гатчинской военной авиационной школы. Личный состав САО размещался в деревянных казармах 1-го железнодорожного полка в селе Большое Кузьмино рядом с Царским павильоном «собственной» железной дороги (специальная императорская ветка железной дороги от Витебского вокзала до Царского Села).</w:t>
      </w:r>
    </w:p>
    <w:p w14:paraId="016E6B46" w14:textId="77777777" w:rsidR="00FE7948" w:rsidRPr="00405303" w:rsidRDefault="00FE7948" w:rsidP="00FE7948">
      <w:pPr>
        <w:jc w:val="both"/>
        <w:rPr>
          <w:color w:val="0070C0"/>
          <w:sz w:val="16"/>
          <w:szCs w:val="16"/>
        </w:rPr>
      </w:pPr>
      <w:r w:rsidRPr="00405303">
        <w:rPr>
          <w:rStyle w:val="aa"/>
          <w:rFonts w:ascii="Times New Roman" w:hAnsi="Times New Roman"/>
          <w:color w:val="0070C0"/>
          <w:spacing w:val="0"/>
          <w:sz w:val="16"/>
          <w:szCs w:val="16"/>
        </w:rPr>
        <w:t>В случае возможного воздушного налета противника на Царское Село дежурным самолетам САО предстояло взлетать прямо с Кузьминского шоссе. Время для подготовки к подъему в воздух ограничивалось 20 минутами. При этом авиационному отряду запрещалось действовать зоне зенитного артиллерийского огня. Чтобы исключить несанкционированный обстрел своих самолетов заведующий обороной Императорской резиденции был обязан предупреждать отдельно каждый взвод Отдельной батареи о подъеме в воздух каждого летательного аппарата.</w:t>
      </w:r>
    </w:p>
    <w:p w14:paraId="0416099E" w14:textId="77777777" w:rsidR="00FE7948" w:rsidRPr="00405303" w:rsidRDefault="00FE7948" w:rsidP="00FE7948">
      <w:pPr>
        <w:jc w:val="both"/>
        <w:rPr>
          <w:color w:val="0070C0"/>
          <w:sz w:val="16"/>
          <w:szCs w:val="16"/>
        </w:rPr>
      </w:pPr>
      <w:r w:rsidRPr="00405303">
        <w:rPr>
          <w:rStyle w:val="aa"/>
          <w:rFonts w:ascii="Times New Roman" w:hAnsi="Times New Roman"/>
          <w:color w:val="0070C0"/>
          <w:spacing w:val="0"/>
          <w:sz w:val="16"/>
          <w:szCs w:val="16"/>
        </w:rPr>
        <w:t>В ночное время дежурному летчику разрешалось вылетать только в случае «особо благоприятных» условий (периода белых ночей). Инструкция № 7 «Для действия специального авиационного отряда для воздушной обороны [И]мператорской резиденции» от 12 июля 1915 г. гласила: «В темную ночь вылет бесцелен, так как разыскание противника невозможно, а для своих войск является крайне трудным отличить свой воздухоплавательный аппарат от неприятельского» (25166).</w:t>
      </w:r>
    </w:p>
    <w:p w14:paraId="5C7B93D1" w14:textId="77777777" w:rsidR="00FE7948" w:rsidRPr="00405303" w:rsidRDefault="00FE7948" w:rsidP="00FE7948">
      <w:pPr>
        <w:jc w:val="both"/>
        <w:rPr>
          <w:color w:val="0070C0"/>
          <w:sz w:val="16"/>
          <w:szCs w:val="16"/>
        </w:rPr>
      </w:pPr>
    </w:p>
    <w:p w14:paraId="711D0EBA" w14:textId="77777777" w:rsidR="00DB73D1" w:rsidRPr="00405303" w:rsidRDefault="00DB73D1" w:rsidP="00C15251">
      <w:pPr>
        <w:jc w:val="both"/>
        <w:rPr>
          <w:bCs/>
          <w:i/>
          <w:color w:val="002060"/>
          <w:sz w:val="16"/>
          <w:szCs w:val="16"/>
        </w:rPr>
      </w:pPr>
      <w:r w:rsidRPr="00405303">
        <w:rPr>
          <w:bCs/>
          <w:i/>
          <w:color w:val="002060"/>
          <w:sz w:val="16"/>
          <w:szCs w:val="16"/>
        </w:rPr>
        <w:t>Авиация и воздухоплавание Германии:</w:t>
      </w:r>
    </w:p>
    <w:p w14:paraId="02CAE7D7" w14:textId="77777777" w:rsidR="00DB73D1" w:rsidRPr="00405303" w:rsidRDefault="00DB73D1" w:rsidP="00C15251">
      <w:pPr>
        <w:jc w:val="both"/>
        <w:rPr>
          <w:bCs/>
          <w:i/>
          <w:color w:val="002060"/>
          <w:sz w:val="16"/>
          <w:szCs w:val="16"/>
        </w:rPr>
      </w:pPr>
    </w:p>
    <w:p w14:paraId="3D2CD6BB" w14:textId="77777777" w:rsidR="00DB73D1" w:rsidRPr="00405303" w:rsidRDefault="00DB73D1" w:rsidP="00C15251">
      <w:pPr>
        <w:jc w:val="both"/>
        <w:rPr>
          <w:bCs/>
          <w:color w:val="002060"/>
          <w:sz w:val="16"/>
          <w:szCs w:val="16"/>
        </w:rPr>
      </w:pPr>
      <w:r w:rsidRPr="00405303">
        <w:rPr>
          <w:bCs/>
          <w:color w:val="002060"/>
          <w:sz w:val="16"/>
          <w:szCs w:val="16"/>
        </w:rPr>
        <w:t>К осени 1915 г. выпуск 100-сильных моторов Оберурсель U I был все же налажен, постройку самолетов Фоккер E I с двигателями U 0 прекратили, собрав 56 таких самолетов, часть из которых впоследствии была переделана по типу E II. Но и «Айндеккер-2» находился в производстве недолго — до конца года их построили всего 23 штуки. Следующим шагом стал Фоккер E III, отличавшийся от предшественника зауженным крылом меньшей площади. Очевидно, конструктор хотел поднять скорость за счет уменьшения веса и сопротивления трения, но ничего не вышло — по летным данным самолет не отличался от «двойки», и единственным ее достоинством оказалась поначалу лишь экономия квадратного метра обшивочного перкаля на каждой машине. Тем не менее он пошел в большую серию, и до конца 1915 г. фирма Антона Фоккера сдала 258 таких самолетов, из которых шесть было передано Австро-Венгрии, три — Болгарии, а 22 — Османской империи. К тому времени Фоккер успел на выделенные из казны деньги расширить свои цехи, чем и объясняется то, что именно модель E III была выпущена в таких больших количествах, ведь перед «двойкой» существенных технических преимуществ она не имела. Но Фоккеров E III стало в строевых частях кайзеровских воздушных войск более-менее много только к концу 1915 г., а летом на всех фронтах имели единовременно максимум 25 «Айндеккеров» этой фирмы, причем первых моделей, а основным немецким поставщиком истребителей в те дни была фирма «Пфальц Флюгцойгверке», основанная в 1913 г. Альфредом Эвербухом и Брудером Эрнстом в г. Шпайер — тогда он относился к Королевству Бавария, ныне это земля РейнландПфальц.</w:t>
      </w:r>
    </w:p>
    <w:p w14:paraId="7C36A38B" w14:textId="77777777" w:rsidR="00DB73D1" w:rsidRPr="00405303" w:rsidRDefault="00DB73D1" w:rsidP="00C15251">
      <w:pPr>
        <w:jc w:val="both"/>
        <w:rPr>
          <w:bCs/>
          <w:color w:val="002060"/>
          <w:sz w:val="16"/>
          <w:szCs w:val="16"/>
        </w:rPr>
      </w:pPr>
      <w:r w:rsidRPr="00405303">
        <w:rPr>
          <w:bCs/>
          <w:color w:val="002060"/>
          <w:sz w:val="16"/>
          <w:szCs w:val="16"/>
        </w:rPr>
        <w:t xml:space="preserve">Истребитель Пфальц E I был ближе по конструкции к французскому прототипу Моран Н и благодаря деревянному каркасу фюзеляжа (на «Фоккерах» его варили из особо прочных труб хромомолибденовой стали квадратного сечения, которые было очень трудно гнуть и даже резать) его быстрее освоили в производстве. Крыло Пфальца E I было чуть больше, а фюзеляж — меньше, чем у конкурента из фирмы «Фоккер», он был легче и быстрее. Потому с тем же мотором Оберурсель U 0 в 80 сил он получился несколько резвее — 145 км/ч по сравнению с 130–132 у Фоккера E I — и обгонял даже Фоккеры E II и III, которые со 100-сильным U I давали 140–142 км/ч. На фюзеляже поставили пулемет LMG 08/15 с синхронизатором системы Фоккера. Хотя самолет был конкурентом его типу E I, он передал документацию на синхронизатор по распоряжению военного министерства. Но головной самолет был облетан в конце лета 1915 г. пока без вооружения, отличаясь от прототипа-разведчика только одноместной кабиной и уменьшенными размерами. Одним из первых среди строевых пилотов опробовал новый самолет Отто Паршау, который «дал путевку в жизнь» и Фоккеру E I, — он остался доволен и «Айндеккером» фирмы «Пфальц». Даже если бы летные данные самолета оказались ниже, чем были, заказ на него был бы выдан — в Берлине очень боялись французских истребителей. И действительно, 28 сентября 1915 г. фирма получила кредит на 25 серийных </w:t>
      </w:r>
      <w:r w:rsidRPr="00405303">
        <w:rPr>
          <w:bCs/>
          <w:color w:val="002060"/>
          <w:sz w:val="16"/>
          <w:szCs w:val="16"/>
        </w:rPr>
        <w:lastRenderedPageBreak/>
        <w:t>самолетов Пфальц E I. Они появились на Западном фронте в конце октября 1915 г., но сначала не в воздушных войсках, а в морской авиации, которая также остро нуждалась в прикрытии своих разведчиков и бомбардировщиков, в том числе и дирижаблей и их баз. Несколько самолетов этого типа было продано Австро-Венгрии — также для моряков (22750).</w:t>
      </w:r>
    </w:p>
    <w:p w14:paraId="572CF3A5" w14:textId="77777777" w:rsidR="00DB73D1" w:rsidRPr="00405303" w:rsidRDefault="00DB73D1" w:rsidP="00C15251">
      <w:pPr>
        <w:jc w:val="both"/>
        <w:rPr>
          <w:bCs/>
          <w:color w:val="002060"/>
          <w:sz w:val="16"/>
          <w:szCs w:val="16"/>
        </w:rPr>
      </w:pPr>
    </w:p>
    <w:p w14:paraId="728BED5C" w14:textId="77777777" w:rsidR="00DB73D1" w:rsidRPr="00405303" w:rsidRDefault="00DB73D1" w:rsidP="00C15251">
      <w:pPr>
        <w:jc w:val="both"/>
        <w:rPr>
          <w:bCs/>
          <w:color w:val="002060"/>
          <w:sz w:val="16"/>
          <w:szCs w:val="16"/>
        </w:rPr>
      </w:pPr>
      <w:r w:rsidRPr="00405303">
        <w:rPr>
          <w:bCs/>
          <w:color w:val="002060"/>
          <w:sz w:val="16"/>
          <w:szCs w:val="16"/>
        </w:rPr>
        <w:t>К осени 1915 г. после того, как Кастильони построил два новых завода – в Берлине у вокзала Руммельсбург и в Гамбурге в районе Вандсбек (бранденбургский оставался базовым и гидропланами занимались именно там – на реке Хафель оказалось удобно вести их испытания) капитал предприятия достиг 1,5 млн. марок, а число работающих превысило 1000 человек – «Ганза-Бранденбург» стала крупнейшим производителем самолетов в Германии. Хотя едиными лишь одномоторными разведчиками для Армии жизнь ее не ограничилась, однако все другое оказалось «в тени» этого важнейшего, по мнению хозяев предприятия, направления (23073).</w:t>
      </w:r>
    </w:p>
    <w:p w14:paraId="7D1DDC40" w14:textId="77777777" w:rsidR="00DB73D1" w:rsidRPr="00405303" w:rsidRDefault="00DB73D1" w:rsidP="00C15251">
      <w:pPr>
        <w:jc w:val="both"/>
        <w:rPr>
          <w:bCs/>
          <w:color w:val="002060"/>
          <w:sz w:val="16"/>
          <w:szCs w:val="16"/>
        </w:rPr>
      </w:pPr>
    </w:p>
    <w:p w14:paraId="430CFD83" w14:textId="77777777" w:rsidR="00D3615C" w:rsidRPr="00CF03EC" w:rsidRDefault="00D3615C" w:rsidP="00D3615C">
      <w:pPr>
        <w:jc w:val="both"/>
        <w:rPr>
          <w:color w:val="0070C0"/>
          <w:sz w:val="16"/>
          <w:szCs w:val="16"/>
        </w:rPr>
      </w:pPr>
      <w:r w:rsidRPr="00CF03EC">
        <w:rPr>
          <w:color w:val="0070C0"/>
          <w:sz w:val="16"/>
          <w:szCs w:val="16"/>
        </w:rPr>
        <w:t>К осени 1915 г. выпуск 100-сильных моторов Оберурсель U I все же пошел в достаточных объемах, и постройку самолетов Фоккер E I с маломощными U0 прекратили, собрав их 56 штук, причем часть из них впоследствии переделали по типу E II. Но и «Айндеккер-2» находился в производстве недолго – до конца года их построили всего 23 (25772).</w:t>
      </w:r>
    </w:p>
    <w:p w14:paraId="64665285" w14:textId="77777777" w:rsidR="00D3615C" w:rsidRPr="00CF03EC" w:rsidRDefault="00D3615C" w:rsidP="00D3615C">
      <w:pPr>
        <w:jc w:val="both"/>
        <w:rPr>
          <w:color w:val="0070C0"/>
          <w:sz w:val="16"/>
          <w:szCs w:val="16"/>
        </w:rPr>
      </w:pPr>
    </w:p>
    <w:p w14:paraId="1FE64575" w14:textId="77777777" w:rsidR="007F0BAA" w:rsidRPr="00405303" w:rsidRDefault="007F0BAA"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60034F13" w14:textId="77777777" w:rsidR="007F0BAA" w:rsidRPr="00405303" w:rsidRDefault="007F0BAA" w:rsidP="00C15251">
      <w:pPr>
        <w:pStyle w:val="a3"/>
        <w:jc w:val="both"/>
        <w:rPr>
          <w:bCs/>
          <w:color w:val="002060"/>
          <w:spacing w:val="0"/>
          <w:kern w:val="0"/>
          <w:position w:val="0"/>
          <w:sz w:val="16"/>
          <w:szCs w:val="16"/>
        </w:rPr>
      </w:pPr>
    </w:p>
    <w:p w14:paraId="0202BC4A" w14:textId="77777777" w:rsidR="007F0BAA" w:rsidRPr="00405303" w:rsidRDefault="007F0BAA" w:rsidP="00C15251">
      <w:pPr>
        <w:pStyle w:val="ae"/>
        <w:shd w:val="clear" w:color="auto" w:fill="FFFFFF"/>
        <w:spacing w:before="0" w:beforeAutospacing="0" w:after="0" w:afterAutospacing="0"/>
        <w:jc w:val="both"/>
        <w:rPr>
          <w:bCs/>
          <w:color w:val="002060"/>
          <w:sz w:val="16"/>
          <w:szCs w:val="16"/>
        </w:rPr>
      </w:pPr>
      <w:r w:rsidRPr="00405303">
        <w:rPr>
          <w:bCs/>
          <w:color w:val="002060"/>
          <w:sz w:val="16"/>
          <w:szCs w:val="16"/>
        </w:rPr>
        <w:t>К сентябрю 1915 г. с начала войны общее количество заказанных заводу Гном, учрежденному французской фирмой «Гном-Рон» и начавший производство в Москве в 1912 г., двигателей составляло 567 шт. Однако выполнение договорных обязательств заводом было крайне неудовлетворительным, что, по мнению Д.В. Яковлева, было обусловлено нежеланием парижского правления общества иметь сильное моторостроительное отделение в Москве (РГВИА. Ф. 369. Оп. 8. Д. 21. Л. 19-24об). Эти обстоятельства вызвали даже обсуждения вопроса о реквизиции предприятия, но на такой шаг не пошли из опасения испортить отношения с французскими предпринимателями, являвшимися главными поставщиками заграничных заказов для русской авиации, и ограничились назначением на завод правительственного инспектора с правами члена правления.</w:t>
      </w:r>
    </w:p>
    <w:p w14:paraId="3DFE02CD" w14:textId="216B0D92" w:rsidR="007F0BAA" w:rsidRPr="00405303" w:rsidRDefault="007F0BAA" w:rsidP="00C15251">
      <w:pPr>
        <w:pStyle w:val="ae"/>
        <w:shd w:val="clear" w:color="auto" w:fill="FFFFFF"/>
        <w:spacing w:before="0" w:beforeAutospacing="0" w:after="0" w:afterAutospacing="0"/>
        <w:jc w:val="both"/>
        <w:rPr>
          <w:bCs/>
          <w:color w:val="002060"/>
          <w:sz w:val="16"/>
          <w:szCs w:val="16"/>
        </w:rPr>
      </w:pPr>
      <w:r w:rsidRPr="00405303">
        <w:rPr>
          <w:bCs/>
          <w:color w:val="002060"/>
          <w:sz w:val="16"/>
          <w:szCs w:val="16"/>
        </w:rPr>
        <w:t>Заслуга в расширении предприятия «Гном», безусловно, принадлежит русским военным учреждениям и военным инженерам. Все работы по развитию завода финансировались военным ведомством. Например, только к октябрю 1915 г. ГВТУ из общей суммы расходов в 200 тыс. руб. на расширение производства приобрело для предприятия станков и инструментов почти на 143 тыс. руб. (Ф. 493. Оп. 4. Д. 17. Л. 17,8).</w:t>
      </w:r>
      <w:r w:rsidR="00DB4D64" w:rsidRPr="00405303">
        <w:rPr>
          <w:bCs/>
          <w:color w:val="002060"/>
          <w:sz w:val="16"/>
          <w:szCs w:val="16"/>
        </w:rPr>
        <w:t xml:space="preserve"> </w:t>
      </w:r>
      <w:r w:rsidRPr="00405303">
        <w:rPr>
          <w:bCs/>
          <w:color w:val="002060"/>
          <w:sz w:val="16"/>
          <w:szCs w:val="16"/>
        </w:rPr>
        <w:t>Итогом финансовой помощи заводу и содействия в организации работ стало увеличение производительности завода «Гном» до 30 моторов в месяц, освоение более совершенных типов моторов («Рон», «Моносупан»), рост численности рабочих на предприятии до 300 человек (РГВИА. Ф. 369. Оп. 8. Д. 74. Л. 18об.; Там же. Д. 77. Л. 9-10) (21552).</w:t>
      </w:r>
    </w:p>
    <w:p w14:paraId="54BE5AD9" w14:textId="77777777" w:rsidR="007F0BAA" w:rsidRPr="00405303" w:rsidRDefault="007F0BAA" w:rsidP="00C15251">
      <w:pPr>
        <w:jc w:val="both"/>
        <w:rPr>
          <w:bCs/>
          <w:color w:val="002060"/>
          <w:sz w:val="16"/>
          <w:szCs w:val="16"/>
        </w:rPr>
      </w:pPr>
    </w:p>
    <w:p w14:paraId="796D70DD" w14:textId="77777777" w:rsidR="00DB73D1" w:rsidRPr="00405303" w:rsidRDefault="00DB73D1" w:rsidP="00C15251">
      <w:pPr>
        <w:pStyle w:val="ae"/>
        <w:spacing w:before="0" w:beforeAutospacing="0" w:after="0" w:afterAutospacing="0"/>
        <w:jc w:val="both"/>
        <w:rPr>
          <w:bCs/>
          <w:color w:val="002060"/>
          <w:sz w:val="16"/>
          <w:szCs w:val="16"/>
        </w:rPr>
      </w:pPr>
      <w:r w:rsidRPr="00405303">
        <w:rPr>
          <w:bCs/>
          <w:color w:val="002060"/>
          <w:sz w:val="16"/>
          <w:szCs w:val="16"/>
        </w:rPr>
        <w:t>К сентябрю 1915 г. общее количество заказанных моторному заводу «Гном», учрежденному французской фирмой «Гном-Рон» и начавшем производство в Москве в 1912 г., двигателей составляло 567 шт. Однако выполнение договорных обязательств заводом было крайне неудовлетворительным, что, по мнению Д.В. Яковлева, было обусловлено нежеланием парижского правления общества иметь сильное моторостроительное отделение в Москве. Эти обстоятельства вызвали даже обсуждения вопроса о реквизиции предприятия, но на такой шаг не пошли из опасения испортить отношения с французскими предпринимателями, являвшимися главными поставщиками заграничных заказов для русской авиации, и ограничились назначением на завод правительственного инспектора с правами члена правления.</w:t>
      </w:r>
    </w:p>
    <w:p w14:paraId="768FD7B3" w14:textId="129643E3" w:rsidR="00DB73D1" w:rsidRPr="00405303" w:rsidRDefault="00DB73D1" w:rsidP="00C15251">
      <w:pPr>
        <w:pStyle w:val="ae"/>
        <w:spacing w:before="0" w:beforeAutospacing="0" w:after="0" w:afterAutospacing="0"/>
        <w:jc w:val="both"/>
        <w:rPr>
          <w:bCs/>
          <w:color w:val="002060"/>
          <w:sz w:val="16"/>
          <w:szCs w:val="16"/>
        </w:rPr>
      </w:pPr>
      <w:r w:rsidRPr="00405303">
        <w:rPr>
          <w:bCs/>
          <w:color w:val="002060"/>
          <w:sz w:val="16"/>
          <w:szCs w:val="16"/>
        </w:rPr>
        <w:t>Заслуга в расширении предприятия «Гном», безусловно, принадлежит русским военным учреждениям и военным инженерам. Все работы по развитию завода финансировались военным ведомством. Например, только к октябрю 1915 г. ГВТУ из общей суммы расходов в 200 тыс. руб. на расширение производства приобрело для предприятия станков и инструментов почти на 143 тыс. руб.</w:t>
      </w:r>
      <w:r w:rsidR="00DB4D64" w:rsidRPr="00405303">
        <w:rPr>
          <w:bCs/>
          <w:color w:val="002060"/>
          <w:sz w:val="16"/>
          <w:szCs w:val="16"/>
        </w:rPr>
        <w:t xml:space="preserve"> </w:t>
      </w:r>
      <w:r w:rsidRPr="00405303">
        <w:rPr>
          <w:bCs/>
          <w:color w:val="002060"/>
          <w:sz w:val="16"/>
          <w:szCs w:val="16"/>
        </w:rPr>
        <w:t>Итогом финансовой помощи заводу и содействия в организации работ стало увеличение производительности завода «Гном» до 30 моторов в месяц, освоение более совершенных типов моторов («Рон», «Моносупан»), рост численности рабочих на предприятии до 300 человек (18369).</w:t>
      </w:r>
    </w:p>
    <w:p w14:paraId="0752F354" w14:textId="77777777" w:rsidR="00DB73D1" w:rsidRPr="00405303" w:rsidRDefault="00DB73D1" w:rsidP="00C15251">
      <w:pPr>
        <w:pStyle w:val="ae"/>
        <w:spacing w:before="0" w:beforeAutospacing="0" w:after="0" w:afterAutospacing="0"/>
        <w:jc w:val="both"/>
        <w:rPr>
          <w:bCs/>
          <w:color w:val="002060"/>
          <w:sz w:val="16"/>
          <w:szCs w:val="16"/>
        </w:rPr>
      </w:pPr>
    </w:p>
    <w:p w14:paraId="7552F34E" w14:textId="77777777" w:rsidR="00DB73D1" w:rsidRPr="00405303" w:rsidRDefault="00DB73D1"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0A4CEC61" w14:textId="77777777" w:rsidR="00DB73D1" w:rsidRPr="00405303" w:rsidRDefault="00DB73D1" w:rsidP="00C15251">
      <w:pPr>
        <w:shd w:val="clear" w:color="auto" w:fill="FFFFFF"/>
        <w:jc w:val="both"/>
        <w:rPr>
          <w:bCs/>
          <w:i/>
          <w:color w:val="002060"/>
          <w:sz w:val="16"/>
          <w:szCs w:val="16"/>
        </w:rPr>
      </w:pPr>
    </w:p>
    <w:p w14:paraId="4414EE39" w14:textId="77777777" w:rsidR="00DB73D1" w:rsidRPr="00405303" w:rsidRDefault="00DB73D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 сентябрю 1915 г, то есть ко времени контрактного пуска предприятия, РАОАЗ так и не получило детальных планов металлургических мастерских. Особой проблемой являлось отсутствие проектов </w:t>
      </w:r>
      <w:proofErr w:type="gramStart"/>
      <w:r w:rsidRPr="00405303">
        <w:rPr>
          <w:bCs/>
          <w:i w:val="0"/>
          <w:color w:val="002060"/>
          <w:spacing w:val="0"/>
          <w:kern w:val="0"/>
          <w:position w:val="0"/>
          <w:sz w:val="16"/>
          <w:szCs w:val="16"/>
        </w:rPr>
        <w:t>мартеновских печей</w:t>
      </w:r>
      <w:proofErr w:type="gramEnd"/>
      <w:r w:rsidRPr="00405303">
        <w:rPr>
          <w:bCs/>
          <w:i w:val="0"/>
          <w:color w:val="002060"/>
          <w:spacing w:val="0"/>
          <w:kern w:val="0"/>
          <w:position w:val="0"/>
          <w:sz w:val="16"/>
          <w:szCs w:val="16"/>
        </w:rPr>
        <w:t xml:space="preserve"> которые в России строить не </w:t>
      </w:r>
      <w:proofErr w:type="gramStart"/>
      <w:r w:rsidRPr="00405303">
        <w:rPr>
          <w:bCs/>
          <w:i w:val="0"/>
          <w:color w:val="002060"/>
          <w:spacing w:val="0"/>
          <w:kern w:val="0"/>
          <w:position w:val="0"/>
          <w:sz w:val="16"/>
          <w:szCs w:val="16"/>
        </w:rPr>
        <w:t>умели</w:t>
      </w:r>
      <w:proofErr w:type="gramEnd"/>
      <w:r w:rsidRPr="00405303">
        <w:rPr>
          <w:bCs/>
          <w:i w:val="0"/>
          <w:color w:val="002060"/>
          <w:spacing w:val="0"/>
          <w:kern w:val="0"/>
          <w:position w:val="0"/>
          <w:sz w:val="16"/>
          <w:szCs w:val="16"/>
        </w:rPr>
        <w:t xml:space="preserve"> а заказывали проекты зарубежом.</w:t>
      </w:r>
    </w:p>
    <w:p w14:paraId="7203E841" w14:textId="77777777" w:rsidR="00DB73D1" w:rsidRPr="00405303" w:rsidRDefault="00DB73D1"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итоге Царицынский орудийный завод не мог существовать как полноценное предприятие с законченным циклом производства, а представлял собой набор различных мастерских, оборудованных не до конца. Все же работы по строительству предприятия и заводских поселков во время войны шли довольно интенсивно. Грузы оборудования хоть и медленно, но продолжали поступать (11448).</w:t>
      </w:r>
    </w:p>
    <w:p w14:paraId="1AF206DE" w14:textId="77777777" w:rsidR="00DB73D1" w:rsidRPr="00405303" w:rsidRDefault="00DB73D1" w:rsidP="00C15251">
      <w:pPr>
        <w:pStyle w:val="a3"/>
        <w:jc w:val="both"/>
        <w:rPr>
          <w:bCs/>
          <w:i w:val="0"/>
          <w:color w:val="002060"/>
          <w:spacing w:val="0"/>
          <w:kern w:val="0"/>
          <w:position w:val="0"/>
          <w:sz w:val="16"/>
          <w:szCs w:val="16"/>
        </w:rPr>
      </w:pPr>
    </w:p>
    <w:p w14:paraId="6B10DB90" w14:textId="77777777" w:rsidR="0031207D" w:rsidRPr="00405303" w:rsidRDefault="0031207D" w:rsidP="0031207D">
      <w:pPr>
        <w:jc w:val="both"/>
        <w:rPr>
          <w:bCs/>
          <w:i/>
          <w:iCs/>
          <w:color w:val="002060"/>
          <w:sz w:val="16"/>
          <w:szCs w:val="16"/>
        </w:rPr>
      </w:pPr>
      <w:r w:rsidRPr="00405303">
        <w:rPr>
          <w:bCs/>
          <w:i/>
          <w:iCs/>
          <w:color w:val="002060"/>
          <w:sz w:val="16"/>
          <w:szCs w:val="16"/>
        </w:rPr>
        <w:t>Авиация:</w:t>
      </w:r>
    </w:p>
    <w:p w14:paraId="00C41D73" w14:textId="77777777" w:rsidR="0031207D" w:rsidRPr="00405303" w:rsidRDefault="0031207D" w:rsidP="0031207D">
      <w:pPr>
        <w:jc w:val="both"/>
        <w:rPr>
          <w:bCs/>
          <w:i/>
          <w:iCs/>
          <w:color w:val="002060"/>
          <w:sz w:val="16"/>
          <w:szCs w:val="16"/>
        </w:rPr>
      </w:pPr>
    </w:p>
    <w:p w14:paraId="49C18670" w14:textId="77777777" w:rsidR="0031207D" w:rsidRPr="00405303" w:rsidRDefault="0031207D" w:rsidP="0031207D">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К сентябрю 1915 года основу организации защиты крепости Свеаборг от воздушного нападения составили 10 зенитных орудий (8 75-мм морских пушек на станках системы Меллера - форт «Торра-Мьеле» и остров Опасный; два 76,2-мм полевых орудия - Николаевский остров). Все зенитные средства, объединенные в три «батареи специального назначения по воздушным целям» (командиры: прапорщик Цируль, штабс-капитан Левицкий и прапорщик Антонов), были подчинены командиру Свеаборгского крепостного артиллерийского полка (25166).</w:t>
      </w:r>
    </w:p>
    <w:p w14:paraId="204F58D9" w14:textId="77777777" w:rsidR="0031207D" w:rsidRPr="00405303" w:rsidRDefault="0031207D" w:rsidP="0031207D">
      <w:pPr>
        <w:jc w:val="both"/>
        <w:rPr>
          <w:rStyle w:val="aa"/>
          <w:rFonts w:ascii="Times New Roman" w:hAnsi="Times New Roman"/>
          <w:color w:val="0070C0"/>
          <w:spacing w:val="0"/>
          <w:sz w:val="16"/>
          <w:szCs w:val="16"/>
        </w:rPr>
      </w:pPr>
    </w:p>
    <w:p w14:paraId="712579C8"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45BDE05F" w14:textId="77777777" w:rsidR="004B4E35" w:rsidRPr="00405303" w:rsidRDefault="004B4E35" w:rsidP="00C15251">
      <w:pPr>
        <w:pStyle w:val="a3"/>
        <w:jc w:val="both"/>
        <w:rPr>
          <w:bCs/>
          <w:color w:val="002060"/>
          <w:spacing w:val="0"/>
          <w:kern w:val="0"/>
          <w:position w:val="0"/>
          <w:sz w:val="16"/>
          <w:szCs w:val="16"/>
        </w:rPr>
      </w:pPr>
    </w:p>
    <w:p w14:paraId="773D0060" w14:textId="68085110" w:rsidR="00CC4B36" w:rsidRPr="00405303" w:rsidRDefault="00CC4B36" w:rsidP="00C15251">
      <w:pPr>
        <w:jc w:val="both"/>
        <w:rPr>
          <w:bCs/>
          <w:color w:val="002060"/>
          <w:sz w:val="16"/>
          <w:szCs w:val="16"/>
        </w:rPr>
      </w:pPr>
      <w:r w:rsidRPr="00405303">
        <w:rPr>
          <w:bCs/>
          <w:color w:val="002060"/>
          <w:sz w:val="16"/>
          <w:szCs w:val="16"/>
        </w:rPr>
        <w:t xml:space="preserve">1 </w:t>
      </w:r>
      <w:r w:rsidR="00E83162" w:rsidRPr="00405303">
        <w:rPr>
          <w:bCs/>
          <w:color w:val="002060"/>
          <w:sz w:val="16"/>
          <w:szCs w:val="16"/>
        </w:rPr>
        <w:t xml:space="preserve">(14) </w:t>
      </w:r>
      <w:r w:rsidRPr="00405303">
        <w:rPr>
          <w:bCs/>
          <w:color w:val="002060"/>
          <w:sz w:val="16"/>
          <w:szCs w:val="16"/>
        </w:rPr>
        <w:t>сентября 1915 г., последовало «высочайшее соизволение на командирование во Францию для заготовления авиационного и воздухоплавательного имущества комиссии в составе: председателя комиссии начальника Военной авиационной школы, военного летчика полковника Ульянина и членов (…)» (19566).</w:t>
      </w:r>
    </w:p>
    <w:p w14:paraId="7A445E47" w14:textId="77777777" w:rsidR="00CC4B36" w:rsidRPr="00405303" w:rsidRDefault="00CC4B36" w:rsidP="00C15251">
      <w:pPr>
        <w:jc w:val="both"/>
        <w:rPr>
          <w:bCs/>
          <w:color w:val="002060"/>
          <w:sz w:val="16"/>
          <w:szCs w:val="16"/>
        </w:rPr>
      </w:pPr>
    </w:p>
    <w:p w14:paraId="2BE1D04A"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Другие оборонные отрасли:</w:t>
      </w:r>
    </w:p>
    <w:p w14:paraId="11008286" w14:textId="77777777" w:rsidR="004B4E35" w:rsidRPr="00405303" w:rsidRDefault="004B4E35" w:rsidP="00C15251">
      <w:pPr>
        <w:pStyle w:val="a3"/>
        <w:jc w:val="both"/>
        <w:rPr>
          <w:bCs/>
          <w:color w:val="002060"/>
          <w:spacing w:val="0"/>
          <w:kern w:val="0"/>
          <w:position w:val="0"/>
          <w:sz w:val="16"/>
          <w:szCs w:val="16"/>
        </w:rPr>
      </w:pPr>
    </w:p>
    <w:p w14:paraId="5B9C07C6" w14:textId="47CB6560" w:rsidR="00CC4B36" w:rsidRPr="00405303" w:rsidRDefault="00CC4B36" w:rsidP="00C15251">
      <w:pPr>
        <w:pStyle w:val="ae"/>
        <w:spacing w:before="0" w:beforeAutospacing="0" w:after="0" w:afterAutospacing="0"/>
        <w:jc w:val="both"/>
        <w:rPr>
          <w:bCs/>
          <w:color w:val="002060"/>
          <w:sz w:val="16"/>
          <w:szCs w:val="16"/>
        </w:rPr>
      </w:pPr>
      <w:r w:rsidRPr="00405303">
        <w:rPr>
          <w:bCs/>
          <w:color w:val="002060"/>
          <w:sz w:val="16"/>
          <w:szCs w:val="16"/>
        </w:rPr>
        <w:t xml:space="preserve">К 1 </w:t>
      </w:r>
      <w:r w:rsidR="00E83162" w:rsidRPr="00405303">
        <w:rPr>
          <w:bCs/>
          <w:color w:val="002060"/>
          <w:sz w:val="16"/>
          <w:szCs w:val="16"/>
        </w:rPr>
        <w:t xml:space="preserve">(14) </w:t>
      </w:r>
      <w:r w:rsidRPr="00405303">
        <w:rPr>
          <w:bCs/>
          <w:color w:val="002060"/>
          <w:sz w:val="16"/>
          <w:szCs w:val="16"/>
        </w:rPr>
        <w:t>сентября 1915 г. была окончена постройка (всего за пять с половиной месяцев) казенного бензольного завода при кадиевских коксовых печах Южно-Днепровского общества, что привлекло к этому делу многие частные фирмы.</w:t>
      </w:r>
    </w:p>
    <w:p w14:paraId="0BE32082" w14:textId="77777777" w:rsidR="00CC4B36" w:rsidRPr="00405303" w:rsidRDefault="00CC4B36" w:rsidP="00C15251">
      <w:pPr>
        <w:pStyle w:val="ae"/>
        <w:spacing w:before="0" w:beforeAutospacing="0" w:after="0" w:afterAutospacing="0"/>
        <w:jc w:val="both"/>
        <w:rPr>
          <w:bCs/>
          <w:color w:val="002060"/>
          <w:sz w:val="16"/>
          <w:szCs w:val="16"/>
        </w:rPr>
      </w:pPr>
      <w:r w:rsidRPr="00405303">
        <w:rPr>
          <w:bCs/>
          <w:color w:val="002060"/>
          <w:sz w:val="16"/>
          <w:szCs w:val="16"/>
        </w:rPr>
        <w:t>К лету 1916 г. большинство строившихся химических заводов были полностью готовы. Это дало увеличение производства сырого бензола только в Донбассе с 15,6 пуд. в начале 1915 г. до 69,4 пуд. в конце 1916 г., а общегодовое производство в целом к этому времени увеличилось в 2 раза (18369).</w:t>
      </w:r>
    </w:p>
    <w:p w14:paraId="2362CC15" w14:textId="77777777" w:rsidR="00CC4B36" w:rsidRPr="00405303" w:rsidRDefault="00CC4B36" w:rsidP="00C15251">
      <w:pPr>
        <w:pStyle w:val="ae"/>
        <w:spacing w:before="0" w:beforeAutospacing="0" w:after="0" w:afterAutospacing="0"/>
        <w:jc w:val="both"/>
        <w:rPr>
          <w:bCs/>
          <w:color w:val="002060"/>
          <w:sz w:val="16"/>
          <w:szCs w:val="16"/>
        </w:rPr>
      </w:pPr>
    </w:p>
    <w:p w14:paraId="6DAC09BC" w14:textId="214E2702" w:rsidR="004B4E35" w:rsidRPr="00405303" w:rsidRDefault="00E83162" w:rsidP="00C15251">
      <w:pPr>
        <w:jc w:val="both"/>
        <w:rPr>
          <w:bCs/>
          <w:color w:val="002060"/>
          <w:sz w:val="16"/>
          <w:szCs w:val="16"/>
        </w:rPr>
      </w:pPr>
      <w:r w:rsidRPr="00405303">
        <w:rPr>
          <w:bCs/>
          <w:color w:val="002060"/>
          <w:sz w:val="16"/>
          <w:szCs w:val="16"/>
        </w:rPr>
        <w:t>К</w:t>
      </w:r>
      <w:r w:rsidR="009E6F82" w:rsidRPr="00405303">
        <w:rPr>
          <w:bCs/>
          <w:color w:val="002060"/>
          <w:sz w:val="16"/>
          <w:szCs w:val="16"/>
        </w:rPr>
        <w:t xml:space="preserve"> 1 </w:t>
      </w:r>
      <w:r w:rsidRPr="00405303">
        <w:rPr>
          <w:bCs/>
          <w:color w:val="002060"/>
          <w:sz w:val="16"/>
          <w:szCs w:val="16"/>
        </w:rPr>
        <w:t xml:space="preserve">(14) </w:t>
      </w:r>
      <w:r w:rsidR="009E6F82" w:rsidRPr="00405303">
        <w:rPr>
          <w:bCs/>
          <w:color w:val="002060"/>
          <w:sz w:val="16"/>
          <w:szCs w:val="16"/>
        </w:rPr>
        <w:t>сентября 1915 г.</w:t>
      </w:r>
      <w:r w:rsidRPr="00405303">
        <w:rPr>
          <w:bCs/>
          <w:color w:val="002060"/>
          <w:sz w:val="16"/>
          <w:szCs w:val="16"/>
        </w:rPr>
        <w:t xml:space="preserve"> окончилась быстрая постройка (всего за пять с половиной месяцев) казенного бензольного завода при кадиевских коксовых печах Южно-Днепровского общества</w:t>
      </w:r>
      <w:r w:rsidR="009E6F82" w:rsidRPr="00405303">
        <w:rPr>
          <w:bCs/>
          <w:color w:val="002060"/>
          <w:sz w:val="16"/>
          <w:szCs w:val="16"/>
        </w:rPr>
        <w:t xml:space="preserve">, </w:t>
      </w:r>
      <w:r w:rsidRPr="00405303">
        <w:rPr>
          <w:bCs/>
          <w:color w:val="002060"/>
          <w:sz w:val="16"/>
          <w:szCs w:val="16"/>
        </w:rPr>
        <w:t xml:space="preserve">которая </w:t>
      </w:r>
      <w:r w:rsidR="009E6F82" w:rsidRPr="00405303">
        <w:rPr>
          <w:bCs/>
          <w:color w:val="002060"/>
          <w:sz w:val="16"/>
          <w:szCs w:val="16"/>
        </w:rPr>
        <w:t>привлекла к этому делу многие частные фирмы. Большинство строившихся заводов были полностью готовы уже к лету 1916 г. Это дало увеличение производства сырого бензола только в Донбассе с 15,6 пуд. в начале 1915 г. до 69,4 пуд. в конце 1916 г., а общегодовое производство в целом к этому времени увеличилось в 2 раза [Ипатьев В. Работа химической промышленности на оборону во время войны. Пг., 1920. С. 5, 7, 12-13].</w:t>
      </w:r>
    </w:p>
    <w:p w14:paraId="7BFE5BEB" w14:textId="77777777" w:rsidR="004B4E35" w:rsidRPr="00405303" w:rsidRDefault="009E6F82" w:rsidP="00C15251">
      <w:pPr>
        <w:jc w:val="both"/>
        <w:rPr>
          <w:bCs/>
          <w:color w:val="002060"/>
          <w:sz w:val="16"/>
          <w:szCs w:val="16"/>
        </w:rPr>
      </w:pPr>
      <w:r w:rsidRPr="00405303">
        <w:rPr>
          <w:bCs/>
          <w:color w:val="002060"/>
          <w:sz w:val="16"/>
          <w:szCs w:val="16"/>
        </w:rPr>
        <w:lastRenderedPageBreak/>
        <w:t>Производство пирогенизации нефти налаживалось в 1915-1916 гг. на 6 предприятиях. Из них только один завод Нобеля довел в конце 1916 г. выработку бензола и толуола уже до 12 тыс. пуд. в месяц. Было построено 2 казенных завода (Екатеринодар, Грозный) с крупными ректификационными установками, которые получали толуол из определенных сортов бензина и лигроина от 4 до 6 тыс. пуд. в месяц [РГВИА. Ф. 369. Оп. 16. Д. 89. Л. 33об.-34].</w:t>
      </w:r>
    </w:p>
    <w:p w14:paraId="6819327E" w14:textId="77777777" w:rsidR="004B4E35" w:rsidRPr="00405303" w:rsidRDefault="009E6F82" w:rsidP="00C15251">
      <w:pPr>
        <w:jc w:val="both"/>
        <w:rPr>
          <w:bCs/>
          <w:color w:val="002060"/>
          <w:sz w:val="16"/>
          <w:szCs w:val="16"/>
        </w:rPr>
      </w:pPr>
      <w:r w:rsidRPr="00405303">
        <w:rPr>
          <w:bCs/>
          <w:color w:val="002060"/>
          <w:sz w:val="16"/>
          <w:szCs w:val="16"/>
        </w:rPr>
        <w:t>Очень большую роль сыграло в годы войны налаживание производства кислот. Изготовление синтетического фенола для производства пикриновой кислоты начали построенные в Москве завод «Фарбверке» и 2 завода на Юге России. В итоге выработка фенола увеличилась с 8,3 тыс. пуд. в начале 1916 г. до 13,5 тыс. пуд. в конце года. Особенно трудное положение было с производством серной кислоты в связи с сокращением ввоза колчедана и оккупацией Польши и прибалтийских губерний, где находилось большинство сернокислотных заводов. В результате производство серной кислоты осенью 1915 г. упало до 700 тыс. пуд. против 1,25 млн. пудов в довоенный период. Для исправления положения приступили к постройке 20 новых сернокислотных заводов. Всего к маю 1917 г. в России было сооружено 32 предприятия этого профиля, что дало увеличение выработки серной кислоты до 1864,7 тыс. пуд. в месяц [Ипатьев В. Указ. соч. С. 19, 18, 21.]. Производство азотной кислоты в годы войны резко снизилось в связи с трудностями в доставке чилийской селитры. Химическим комитетом был разработан новый способ получения азотной кислоты из аммиака и на его основе был сооружен опытный завод в Макеевке.</w:t>
      </w:r>
    </w:p>
    <w:p w14:paraId="29B2E9CF" w14:textId="77777777" w:rsidR="004B4E35" w:rsidRPr="00405303" w:rsidRDefault="009E6F82" w:rsidP="00C15251">
      <w:pPr>
        <w:jc w:val="both"/>
        <w:rPr>
          <w:bCs/>
          <w:color w:val="002060"/>
          <w:sz w:val="16"/>
          <w:szCs w:val="16"/>
        </w:rPr>
      </w:pPr>
      <w:r w:rsidRPr="00405303">
        <w:rPr>
          <w:bCs/>
          <w:color w:val="002060"/>
          <w:sz w:val="16"/>
          <w:szCs w:val="16"/>
        </w:rPr>
        <w:t>Благодаря развитию указанных производств химической промышленности было развернуто и строительство специальных заводов взрывчатых веществ. Всего, по данным В.Н. Ипатьева, к концу войны было построено 25 мастерских и заводов по производству взрывчатых веществ. Наряду с частными заводами, которые численно преобладали в этой группе, строилось два казенных: в Нижнем Новгороде и в Грозном (не был достроен). Все это позволило значительно увеличить производство взрывчатых веществ, которое за 11 месяцев 1915 г. составляло 503,0 тыс. пудов, за весь 1916 г. - 1668,7 тыс. пудов, а за 6 месяцев 1917 г. - 1243, 4 тыс. пудов [РГВИА. Ф. 369. Оп. 16. Д. 89. Л. 16об.-17, 33об.-34.].</w:t>
      </w:r>
    </w:p>
    <w:p w14:paraId="4FC08277" w14:textId="77777777" w:rsidR="004B4E35" w:rsidRPr="00405303" w:rsidRDefault="009E6F82" w:rsidP="00C15251">
      <w:pPr>
        <w:jc w:val="both"/>
        <w:rPr>
          <w:bCs/>
          <w:color w:val="002060"/>
          <w:sz w:val="16"/>
          <w:szCs w:val="16"/>
        </w:rPr>
      </w:pPr>
      <w:r w:rsidRPr="00405303">
        <w:rPr>
          <w:bCs/>
          <w:color w:val="002060"/>
          <w:sz w:val="16"/>
          <w:szCs w:val="16"/>
        </w:rPr>
        <w:t>Менее успешным в годы войны явилось сооружение двух пороховых заводов - частного (акционерное общество механических, гильзовых и трубочных заводов П.В. Барановского), сооружавшегося в Коврове Владимирской губернии и 4-ого казенного (Тамбовского). Осенью 1915 г. подготовительная комиссия по артиллерийским вопросам Особого совещания по обороне отмечала, что постройка указанных заводов находится в крайне неудовлетворительном положении [РГВИА. Ф. 369. Оп. 3. Д. 6. Л. 7.]. Несколько улучшилось дело к весне 1916 г. с постройкой завода общества Барановского, который уже с июня должен был начать производство пороха путем переработки заграничного пироксилина, а с августа осуществлять производство на собственном сырье. Весной постройки пироксилинового отдела были уже большей частью закончены и, по мере доставки механизмов и аппаратов, оборудовались. Производство пороха из готового пироксилина на казенном Тамбовском заводе должно было начаться в мае 1916 г. Однако срок отодвигался до июля в связи с опозданием в доставке оборудования, как заграничного, так и с русских заводов. Полное окончание строительства и пуск завода был перенесен на 1918 г. [РГВИА. Ф. 369. Оп. 16. Д. 135. Л. 43-43об., 45.] Такая ситуация со строительством пороховых заводов приводила к тому, что около 62 % потребности русской армии в порохе удовлетворялись за счет экспорта[22].</w:t>
      </w:r>
    </w:p>
    <w:p w14:paraId="2759E806" w14:textId="77777777" w:rsidR="004B4E35" w:rsidRPr="00405303" w:rsidRDefault="009E6F82" w:rsidP="00C15251">
      <w:pPr>
        <w:jc w:val="both"/>
        <w:rPr>
          <w:bCs/>
          <w:color w:val="002060"/>
          <w:sz w:val="16"/>
          <w:szCs w:val="16"/>
        </w:rPr>
      </w:pPr>
      <w:r w:rsidRPr="00405303">
        <w:rPr>
          <w:bCs/>
          <w:color w:val="002060"/>
          <w:sz w:val="16"/>
          <w:szCs w:val="16"/>
        </w:rPr>
        <w:t>Итак, в целом заводское строительство в отдельных производствах химической промышленности, особенно связанное с производством взрывчатых веществ и кислот, осуществлялось в значительных размерах и было достаточно успешным (11863).</w:t>
      </w:r>
    </w:p>
    <w:p w14:paraId="3F26EB06" w14:textId="77777777" w:rsidR="004B4E35" w:rsidRPr="00405303" w:rsidRDefault="004B4E35" w:rsidP="00C15251">
      <w:pPr>
        <w:jc w:val="both"/>
        <w:rPr>
          <w:bCs/>
          <w:color w:val="002060"/>
          <w:sz w:val="16"/>
          <w:szCs w:val="16"/>
        </w:rPr>
      </w:pPr>
    </w:p>
    <w:p w14:paraId="03AC00A7" w14:textId="77777777" w:rsidR="00E83162" w:rsidRPr="00405303" w:rsidRDefault="00E83162" w:rsidP="00C15251">
      <w:pPr>
        <w:pStyle w:val="20"/>
        <w:shd w:val="clear" w:color="auto" w:fill="auto"/>
        <w:spacing w:after="0" w:line="240" w:lineRule="auto"/>
        <w:ind w:firstLine="0"/>
        <w:jc w:val="both"/>
        <w:rPr>
          <w:rFonts w:ascii="Times New Roman" w:hAnsi="Times New Roman"/>
          <w:bCs/>
          <w:color w:val="002060"/>
          <w:spacing w:val="0"/>
          <w:sz w:val="16"/>
          <w:szCs w:val="16"/>
        </w:rPr>
      </w:pPr>
      <w:r w:rsidRPr="00405303">
        <w:rPr>
          <w:rFonts w:ascii="Times New Roman" w:hAnsi="Times New Roman"/>
          <w:bCs/>
          <w:color w:val="002060"/>
          <w:spacing w:val="0"/>
          <w:sz w:val="16"/>
          <w:szCs w:val="16"/>
        </w:rPr>
        <w:t>На 1 (14) сентября 1915 года среднемесячный расход патронов в целом по действующей армии возрос до 156 млн штук, а с учетом потребности тыловых и учебных частей — не менее 200 млн штук. В октябре 1915 года генерал штаба Ставки М.А. Беляев был вынужден с грустью констатировать: «Общая потребность в винтовочных патронах исчисляется в месяц в 200 миллионов, однако в значительной мере не покрывается в данный момент производительностью патронных заводов, изготавливающих в месяц 100-115 млн патронов» (15230).</w:t>
      </w:r>
    </w:p>
    <w:p w14:paraId="78A1BA37" w14:textId="77777777" w:rsidR="00E83162" w:rsidRPr="00405303" w:rsidRDefault="00E83162" w:rsidP="00C15251">
      <w:pPr>
        <w:pStyle w:val="20"/>
        <w:shd w:val="clear" w:color="auto" w:fill="auto"/>
        <w:spacing w:after="0" w:line="240" w:lineRule="auto"/>
        <w:ind w:firstLine="0"/>
        <w:jc w:val="both"/>
        <w:rPr>
          <w:rFonts w:ascii="Times New Roman" w:hAnsi="Times New Roman"/>
          <w:bCs/>
          <w:color w:val="002060"/>
          <w:spacing w:val="0"/>
          <w:sz w:val="16"/>
          <w:szCs w:val="16"/>
        </w:rPr>
      </w:pPr>
    </w:p>
    <w:p w14:paraId="53130B89" w14:textId="77777777" w:rsidR="002C4E14" w:rsidRPr="00405303" w:rsidRDefault="002C4E14" w:rsidP="00C15251">
      <w:pPr>
        <w:shd w:val="clear" w:color="auto" w:fill="FFFFFF"/>
        <w:jc w:val="both"/>
        <w:rPr>
          <w:bCs/>
          <w:i/>
          <w:color w:val="002060"/>
          <w:sz w:val="16"/>
          <w:szCs w:val="16"/>
        </w:rPr>
      </w:pPr>
      <w:r w:rsidRPr="00405303">
        <w:rPr>
          <w:bCs/>
          <w:i/>
          <w:color w:val="002060"/>
          <w:sz w:val="16"/>
          <w:szCs w:val="16"/>
        </w:rPr>
        <w:t>Авиация:</w:t>
      </w:r>
    </w:p>
    <w:p w14:paraId="1CAE761E" w14:textId="77777777" w:rsidR="002C4E14" w:rsidRPr="00405303" w:rsidRDefault="002C4E14" w:rsidP="00C15251">
      <w:pPr>
        <w:shd w:val="clear" w:color="auto" w:fill="FFFFFF"/>
        <w:jc w:val="both"/>
        <w:rPr>
          <w:bCs/>
          <w:i/>
          <w:color w:val="002060"/>
          <w:sz w:val="16"/>
          <w:szCs w:val="16"/>
        </w:rPr>
      </w:pPr>
    </w:p>
    <w:p w14:paraId="6BF60D3A" w14:textId="582AD7B9" w:rsidR="002C4E14" w:rsidRPr="00405303" w:rsidRDefault="002C4E14" w:rsidP="00C15251">
      <w:pPr>
        <w:jc w:val="both"/>
        <w:rPr>
          <w:bCs/>
          <w:color w:val="002060"/>
          <w:sz w:val="16"/>
          <w:szCs w:val="16"/>
        </w:rPr>
      </w:pPr>
      <w:r w:rsidRPr="00405303">
        <w:rPr>
          <w:bCs/>
          <w:color w:val="002060"/>
          <w:sz w:val="16"/>
          <w:szCs w:val="16"/>
        </w:rPr>
        <w:t xml:space="preserve">На период с 1 </w:t>
      </w:r>
      <w:r w:rsidR="00E83162" w:rsidRPr="00405303">
        <w:rPr>
          <w:bCs/>
          <w:color w:val="002060"/>
          <w:sz w:val="16"/>
          <w:szCs w:val="16"/>
        </w:rPr>
        <w:t xml:space="preserve">(14) </w:t>
      </w:r>
      <w:r w:rsidRPr="00405303">
        <w:rPr>
          <w:bCs/>
          <w:color w:val="002060"/>
          <w:sz w:val="16"/>
          <w:szCs w:val="16"/>
        </w:rPr>
        <w:t xml:space="preserve">сентября 1915 г. по 1 </w:t>
      </w:r>
      <w:r w:rsidR="00E83162" w:rsidRPr="00405303">
        <w:rPr>
          <w:bCs/>
          <w:color w:val="002060"/>
          <w:sz w:val="16"/>
          <w:szCs w:val="16"/>
        </w:rPr>
        <w:t xml:space="preserve">(14) </w:t>
      </w:r>
      <w:r w:rsidRPr="00405303">
        <w:rPr>
          <w:bCs/>
          <w:color w:val="002060"/>
          <w:sz w:val="16"/>
          <w:szCs w:val="16"/>
        </w:rPr>
        <w:t>сентября 1916 г. «Проект новой организации авиационных частей», принятый Управлением авиации, был изменен, а именно: к вышеуказанному сроку планировалось иметь 92 авиаотряда, 7 авиарот, 20 экипажей воздушных кораблей, 3 боевых отряда воздушных кораблей и 12 дивизионов. Весной 1916 г. выяснилось, что обстановка требует формирования дополнительно 12 истребительных авиаотрядов, оснащения самолетов пулеметами, аэрофотоаппаратурой, а также снабжения всех отрядов многочисленными предметами авиаимущества, номенклатура которого уже превысила 300 наименований (19566).</w:t>
      </w:r>
    </w:p>
    <w:p w14:paraId="596649FA" w14:textId="77777777" w:rsidR="002C4E14" w:rsidRPr="00405303" w:rsidRDefault="002C4E14" w:rsidP="00C15251">
      <w:pPr>
        <w:jc w:val="both"/>
        <w:rPr>
          <w:bCs/>
          <w:color w:val="002060"/>
          <w:sz w:val="16"/>
          <w:szCs w:val="16"/>
        </w:rPr>
      </w:pPr>
    </w:p>
    <w:p w14:paraId="2214A293" w14:textId="47371668" w:rsidR="007538DE" w:rsidRPr="00405303" w:rsidRDefault="007538DE" w:rsidP="00C15251">
      <w:pPr>
        <w:jc w:val="both"/>
        <w:rPr>
          <w:bCs/>
          <w:color w:val="002060"/>
          <w:sz w:val="16"/>
          <w:szCs w:val="16"/>
        </w:rPr>
      </w:pPr>
      <w:r w:rsidRPr="00405303">
        <w:rPr>
          <w:bCs/>
          <w:color w:val="002060"/>
          <w:sz w:val="16"/>
          <w:szCs w:val="16"/>
          <w:lang w:bidi="ru-RU"/>
        </w:rPr>
        <w:t>1—3 (14-17) сентября 1915 г.</w:t>
      </w:r>
    </w:p>
    <w:p w14:paraId="0CADB40D" w14:textId="77777777" w:rsidR="007538DE" w:rsidRPr="00405303" w:rsidRDefault="007538DE" w:rsidP="00C15251">
      <w:pPr>
        <w:jc w:val="both"/>
        <w:rPr>
          <w:bCs/>
          <w:color w:val="002060"/>
          <w:sz w:val="16"/>
          <w:szCs w:val="16"/>
          <w:lang w:bidi="ru-RU"/>
        </w:rPr>
      </w:pPr>
      <w:r w:rsidRPr="00405303">
        <w:rPr>
          <w:bCs/>
          <w:color w:val="002060"/>
          <w:sz w:val="16"/>
          <w:szCs w:val="16"/>
          <w:lang w:bidi="ru-RU"/>
        </w:rPr>
        <w:t>13-й и 14-й месяцы. Русский фронт. 1—3 сентября 1915 г.</w:t>
      </w:r>
    </w:p>
    <w:p w14:paraId="7EE1179B" w14:textId="77777777" w:rsidR="007538DE" w:rsidRPr="00405303" w:rsidRDefault="007538DE" w:rsidP="00C15251">
      <w:pPr>
        <w:jc w:val="both"/>
        <w:rPr>
          <w:bCs/>
          <w:color w:val="002060"/>
          <w:sz w:val="16"/>
          <w:szCs w:val="16"/>
        </w:rPr>
      </w:pPr>
      <w:r w:rsidRPr="00405303">
        <w:rPr>
          <w:bCs/>
          <w:color w:val="002060"/>
          <w:sz w:val="16"/>
          <w:szCs w:val="16"/>
          <w:lang w:bidi="ru-RU"/>
        </w:rPr>
        <w:t>Нашей артиллерией подбит самолет, ко</w:t>
      </w:r>
      <w:r w:rsidRPr="00405303">
        <w:rPr>
          <w:bCs/>
          <w:color w:val="002060"/>
          <w:sz w:val="16"/>
          <w:szCs w:val="16"/>
          <w:lang w:bidi="ru-RU"/>
        </w:rPr>
        <w:softHyphen/>
        <w:t>торый упал вблизи Микилевшизка (23374).</w:t>
      </w:r>
    </w:p>
    <w:p w14:paraId="1C53A10D" w14:textId="77777777" w:rsidR="007538DE" w:rsidRPr="00405303" w:rsidRDefault="007538DE" w:rsidP="00C15251">
      <w:pPr>
        <w:jc w:val="both"/>
        <w:rPr>
          <w:bCs/>
          <w:color w:val="002060"/>
          <w:sz w:val="16"/>
          <w:szCs w:val="16"/>
          <w:lang w:bidi="ru-RU"/>
        </w:rPr>
      </w:pPr>
    </w:p>
    <w:p w14:paraId="5A463D79" w14:textId="77777777" w:rsidR="00E83162" w:rsidRPr="00405303" w:rsidRDefault="00E83162" w:rsidP="00C15251">
      <w:pPr>
        <w:jc w:val="both"/>
        <w:rPr>
          <w:bCs/>
          <w:i/>
          <w:color w:val="002060"/>
          <w:sz w:val="16"/>
          <w:szCs w:val="16"/>
        </w:rPr>
      </w:pPr>
      <w:r w:rsidRPr="00405303">
        <w:rPr>
          <w:bCs/>
          <w:i/>
          <w:color w:val="002060"/>
          <w:sz w:val="16"/>
          <w:szCs w:val="16"/>
        </w:rPr>
        <w:t>Авиация и воздухоплавание Германии:</w:t>
      </w:r>
    </w:p>
    <w:p w14:paraId="53B127A4" w14:textId="77777777" w:rsidR="00E83162" w:rsidRPr="00405303" w:rsidRDefault="00E83162" w:rsidP="00C15251">
      <w:pPr>
        <w:jc w:val="both"/>
        <w:rPr>
          <w:bCs/>
          <w:i/>
          <w:color w:val="002060"/>
          <w:sz w:val="16"/>
          <w:szCs w:val="16"/>
        </w:rPr>
      </w:pPr>
    </w:p>
    <w:p w14:paraId="4E4AB2DE" w14:textId="77777777" w:rsidR="00E83162" w:rsidRPr="00405303" w:rsidRDefault="00E83162" w:rsidP="00C15251">
      <w:pPr>
        <w:jc w:val="both"/>
        <w:rPr>
          <w:bCs/>
          <w:color w:val="002060"/>
          <w:sz w:val="16"/>
          <w:szCs w:val="16"/>
        </w:rPr>
      </w:pPr>
      <w:r w:rsidRPr="00405303">
        <w:rPr>
          <w:bCs/>
          <w:color w:val="002060"/>
          <w:sz w:val="16"/>
          <w:szCs w:val="16"/>
        </w:rPr>
        <w:t>1 (14) сентября 1915 адмирал Хеннинг фон Хольцендорф, начальник военно- морского штаба Германии, ограничивает немецкие военно-морские дирижабли, бомбящие Лондон, целями вдоль берегов Темзы и направляет их, насколько это возможно, чтобы избежать бомбардировок более бедных районов рабочего класса в северных кварталах города (20338).</w:t>
      </w:r>
    </w:p>
    <w:p w14:paraId="22BCC4E5" w14:textId="77777777" w:rsidR="00E83162" w:rsidRPr="00405303" w:rsidRDefault="00E83162" w:rsidP="00C15251">
      <w:pPr>
        <w:jc w:val="both"/>
        <w:rPr>
          <w:bCs/>
          <w:color w:val="002060"/>
          <w:sz w:val="16"/>
          <w:szCs w:val="16"/>
        </w:rPr>
      </w:pPr>
    </w:p>
    <w:p w14:paraId="0736A41C" w14:textId="28EA91B9" w:rsidR="0031207D" w:rsidRPr="00405303" w:rsidRDefault="0031207D" w:rsidP="0031207D">
      <w:pPr>
        <w:jc w:val="both"/>
        <w:rPr>
          <w:bCs/>
          <w:i/>
          <w:color w:val="002060"/>
          <w:sz w:val="16"/>
          <w:szCs w:val="16"/>
        </w:rPr>
      </w:pPr>
      <w:r w:rsidRPr="00405303">
        <w:rPr>
          <w:bCs/>
          <w:i/>
          <w:color w:val="002060"/>
          <w:sz w:val="16"/>
          <w:szCs w:val="16"/>
        </w:rPr>
        <w:t>Самолетостроение:</w:t>
      </w:r>
    </w:p>
    <w:p w14:paraId="5642693D" w14:textId="77777777" w:rsidR="0031207D" w:rsidRPr="00405303" w:rsidRDefault="0031207D" w:rsidP="0031207D">
      <w:pPr>
        <w:jc w:val="both"/>
        <w:rPr>
          <w:bCs/>
          <w:i/>
          <w:color w:val="002060"/>
          <w:sz w:val="16"/>
          <w:szCs w:val="16"/>
        </w:rPr>
      </w:pPr>
    </w:p>
    <w:p w14:paraId="48EE7CFC" w14:textId="77777777" w:rsidR="0031207D" w:rsidRPr="00405303" w:rsidRDefault="0031207D" w:rsidP="0031207D">
      <w:pPr>
        <w:jc w:val="both"/>
        <w:rPr>
          <w:color w:val="0070C0"/>
          <w:sz w:val="16"/>
          <w:szCs w:val="16"/>
        </w:rPr>
      </w:pPr>
      <w:r w:rsidRPr="00405303">
        <w:rPr>
          <w:color w:val="0070C0"/>
          <w:sz w:val="16"/>
          <w:szCs w:val="16"/>
        </w:rPr>
        <w:t>На 2 (15) сентября 1915 года, по подсчетам крупного специалиста в области истории армии и флота Российской империи Л.Г. Бескровного, из 208 аэропланов, состоявших на тот период на вооружении русских, вскоре убыло 94 машины.</w:t>
      </w:r>
    </w:p>
    <w:p w14:paraId="003DB0E2" w14:textId="77777777" w:rsidR="0031207D" w:rsidRPr="00405303" w:rsidRDefault="0031207D" w:rsidP="0031207D">
      <w:pPr>
        <w:jc w:val="both"/>
        <w:rPr>
          <w:color w:val="0070C0"/>
          <w:sz w:val="16"/>
          <w:szCs w:val="16"/>
        </w:rPr>
      </w:pPr>
      <w:r w:rsidRPr="00405303">
        <w:rPr>
          <w:color w:val="0070C0"/>
          <w:sz w:val="16"/>
          <w:szCs w:val="16"/>
        </w:rPr>
        <w:t>В течение 1915 года армия получила с русских заводов 772 самолета, из них 18 — типа «Илья Муромец», (по другим данным с русских заводов поступило 724 аэроплана), и с французских — 250.</w:t>
      </w:r>
    </w:p>
    <w:p w14:paraId="59B77FB4" w14:textId="77777777" w:rsidR="0031207D" w:rsidRPr="00405303" w:rsidRDefault="0031207D" w:rsidP="0031207D">
      <w:pPr>
        <w:jc w:val="both"/>
        <w:rPr>
          <w:color w:val="0070C0"/>
          <w:sz w:val="16"/>
          <w:szCs w:val="16"/>
        </w:rPr>
      </w:pPr>
      <w:r w:rsidRPr="00405303">
        <w:rPr>
          <w:color w:val="0070C0"/>
          <w:sz w:val="16"/>
          <w:szCs w:val="16"/>
        </w:rPr>
        <w:t>К началу 1916 года, как отмечает Л.Г. Бескровный, в русской авиации насчитывалось 360 машин, в союзной французской — 783, а в одной только германской (без Австро-Венгрии) — 1600 (26149).</w:t>
      </w:r>
    </w:p>
    <w:p w14:paraId="6FAAFFAB" w14:textId="77777777" w:rsidR="0031207D" w:rsidRPr="00405303" w:rsidRDefault="0031207D" w:rsidP="0031207D">
      <w:pPr>
        <w:jc w:val="both"/>
        <w:rPr>
          <w:color w:val="0070C0"/>
          <w:sz w:val="16"/>
          <w:szCs w:val="16"/>
        </w:rPr>
      </w:pPr>
    </w:p>
    <w:p w14:paraId="7653D8B0" w14:textId="77777777" w:rsidR="0031207D" w:rsidRPr="00405303" w:rsidRDefault="0031207D" w:rsidP="0031207D">
      <w:pPr>
        <w:jc w:val="both"/>
        <w:rPr>
          <w:bCs/>
          <w:i/>
          <w:color w:val="002060"/>
          <w:sz w:val="16"/>
          <w:szCs w:val="16"/>
        </w:rPr>
      </w:pPr>
      <w:r w:rsidRPr="00405303">
        <w:rPr>
          <w:bCs/>
          <w:i/>
          <w:color w:val="002060"/>
          <w:sz w:val="16"/>
          <w:szCs w:val="16"/>
        </w:rPr>
        <w:t>Авиация:</w:t>
      </w:r>
    </w:p>
    <w:p w14:paraId="09ACCDBA" w14:textId="77777777" w:rsidR="0031207D" w:rsidRPr="00405303" w:rsidRDefault="0031207D" w:rsidP="0031207D">
      <w:pPr>
        <w:jc w:val="both"/>
        <w:rPr>
          <w:bCs/>
          <w:i/>
          <w:color w:val="002060"/>
          <w:sz w:val="16"/>
          <w:szCs w:val="16"/>
        </w:rPr>
      </w:pPr>
    </w:p>
    <w:p w14:paraId="0E1F4533" w14:textId="77777777" w:rsidR="0031207D" w:rsidRPr="00405303" w:rsidRDefault="0031207D" w:rsidP="0031207D">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2 (15) сентября 1915 г. Рига вновь подверглась бомбардировке с воздуха (25135).</w:t>
      </w:r>
    </w:p>
    <w:p w14:paraId="60AE7597" w14:textId="77777777" w:rsidR="0031207D" w:rsidRPr="00405303" w:rsidRDefault="0031207D" w:rsidP="0031207D">
      <w:pPr>
        <w:jc w:val="both"/>
        <w:rPr>
          <w:rStyle w:val="aa"/>
          <w:rFonts w:ascii="Times New Roman" w:hAnsi="Times New Roman"/>
          <w:color w:val="0070C0"/>
          <w:spacing w:val="0"/>
          <w:sz w:val="16"/>
          <w:szCs w:val="16"/>
        </w:rPr>
      </w:pPr>
    </w:p>
    <w:p w14:paraId="1FE20750" w14:textId="77777777" w:rsidR="0031207D" w:rsidRPr="00405303" w:rsidRDefault="0031207D" w:rsidP="0031207D">
      <w:pPr>
        <w:jc w:val="both"/>
        <w:rPr>
          <w:color w:val="0070C0"/>
          <w:sz w:val="16"/>
          <w:szCs w:val="16"/>
        </w:rPr>
      </w:pPr>
      <w:r w:rsidRPr="00405303">
        <w:rPr>
          <w:color w:val="0070C0"/>
          <w:sz w:val="16"/>
          <w:szCs w:val="16"/>
        </w:rPr>
        <w:t>2 (15) сентября 1915 г. вышел Приказ начальника Управления Эскадры воздушных кораблей Генерала Шидловского № 260 § 6</w:t>
      </w:r>
    </w:p>
    <w:p w14:paraId="3D3F394A" w14:textId="77777777" w:rsidR="0031207D" w:rsidRPr="00405303" w:rsidRDefault="0031207D" w:rsidP="0031207D">
      <w:pPr>
        <w:jc w:val="both"/>
        <w:rPr>
          <w:color w:val="0070C0"/>
          <w:sz w:val="16"/>
          <w:szCs w:val="16"/>
        </w:rPr>
      </w:pPr>
      <w:r w:rsidRPr="00405303">
        <w:rPr>
          <w:color w:val="0070C0"/>
          <w:sz w:val="16"/>
          <w:szCs w:val="16"/>
        </w:rPr>
        <w:t>«Отправившийся на боевую базу (Зегевольд) Воздушный Корабль II в составе экипажа:</w:t>
      </w:r>
    </w:p>
    <w:p w14:paraId="3D85B2AF" w14:textId="77777777" w:rsidR="0031207D" w:rsidRPr="00405303" w:rsidRDefault="0031207D" w:rsidP="0031207D">
      <w:pPr>
        <w:jc w:val="both"/>
        <w:rPr>
          <w:color w:val="0070C0"/>
          <w:sz w:val="16"/>
          <w:szCs w:val="16"/>
        </w:rPr>
      </w:pPr>
      <w:r w:rsidRPr="00405303">
        <w:rPr>
          <w:color w:val="0070C0"/>
          <w:sz w:val="16"/>
          <w:szCs w:val="16"/>
        </w:rPr>
        <w:t>Командира Корабля штабс-капитана ПАНКРАТЬЕВА, помощника Командира Корабля штабс-капитана НИКОЛЬСКОГО, артиллерийского офицера поручика ПАВЛОВА и 21 нижнего чина полагать в командировке с 14 сего сентября» (24965).</w:t>
      </w:r>
    </w:p>
    <w:p w14:paraId="4D24C581" w14:textId="77777777" w:rsidR="0031207D" w:rsidRPr="00405303" w:rsidRDefault="0031207D" w:rsidP="0031207D">
      <w:pPr>
        <w:jc w:val="both"/>
        <w:rPr>
          <w:color w:val="0070C0"/>
          <w:sz w:val="16"/>
          <w:szCs w:val="16"/>
        </w:rPr>
      </w:pPr>
    </w:p>
    <w:p w14:paraId="4430E8D7"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236164F6" w14:textId="77777777" w:rsidR="004B4E35" w:rsidRPr="00405303" w:rsidRDefault="004B4E35" w:rsidP="00C15251">
      <w:pPr>
        <w:jc w:val="both"/>
        <w:rPr>
          <w:bCs/>
          <w:i/>
          <w:color w:val="002060"/>
          <w:sz w:val="16"/>
          <w:szCs w:val="16"/>
        </w:rPr>
      </w:pPr>
    </w:p>
    <w:p w14:paraId="6A6AF793" w14:textId="60F93438" w:rsidR="004B4E35" w:rsidRPr="00405303" w:rsidRDefault="009E6F82" w:rsidP="00C15251">
      <w:pPr>
        <w:jc w:val="both"/>
        <w:rPr>
          <w:bCs/>
          <w:color w:val="002060"/>
          <w:sz w:val="16"/>
          <w:szCs w:val="16"/>
        </w:rPr>
      </w:pPr>
      <w:r w:rsidRPr="00405303">
        <w:rPr>
          <w:bCs/>
          <w:color w:val="002060"/>
          <w:sz w:val="16"/>
          <w:szCs w:val="16"/>
        </w:rPr>
        <w:lastRenderedPageBreak/>
        <w:t xml:space="preserve">2 </w:t>
      </w:r>
      <w:r w:rsidR="00E83162" w:rsidRPr="00405303">
        <w:rPr>
          <w:bCs/>
          <w:color w:val="002060"/>
          <w:sz w:val="16"/>
          <w:szCs w:val="16"/>
        </w:rPr>
        <w:t xml:space="preserve">(15) </w:t>
      </w:r>
      <w:r w:rsidRPr="00405303">
        <w:rPr>
          <w:bCs/>
          <w:color w:val="002060"/>
          <w:sz w:val="16"/>
          <w:szCs w:val="16"/>
        </w:rPr>
        <w:t xml:space="preserve">сентября </w:t>
      </w:r>
      <w:r w:rsidR="00E83162" w:rsidRPr="00405303">
        <w:rPr>
          <w:bCs/>
          <w:color w:val="002060"/>
          <w:sz w:val="16"/>
          <w:szCs w:val="16"/>
        </w:rPr>
        <w:t xml:space="preserve">1915 г. в ответном налёте на Виндаву </w:t>
      </w:r>
      <w:r w:rsidRPr="00405303">
        <w:rPr>
          <w:bCs/>
          <w:color w:val="002060"/>
          <w:sz w:val="16"/>
          <w:szCs w:val="16"/>
        </w:rPr>
        <w:t>участвовали летчики 1-го судового отряда "Орлицы": лейтенанты Краевский, Зверев (старший офицер "Орлицы" старший пейте кант. С. Л. Кавелин находился на борту в качестве наблюдателя), мичманы Туржанский и Штраль- борн, а также летчики 2-го авиационного отряда: лейтенанты Литви нов, Лишин, Нагурский и авиационный кондуктор Еременко. Два самолёта до Виндавы не дошли: мичман Штральборн вернулся из- за отказа мотора, лейтенант Лишин приводнился недалеко от "Прозорливого". Над Виндавой гидро самолёты были обстреляны. Получив повреждения лейтенант Зверев с Кавелиным вынужден был приводниться близ Виндавы. Самолёт они уничтожили, а сами оказались в плену (11927).</w:t>
      </w:r>
    </w:p>
    <w:p w14:paraId="24A8A3D0" w14:textId="77777777" w:rsidR="004B4E35" w:rsidRPr="00405303" w:rsidRDefault="004B4E35" w:rsidP="00C15251">
      <w:pPr>
        <w:jc w:val="both"/>
        <w:rPr>
          <w:bCs/>
          <w:color w:val="002060"/>
          <w:sz w:val="16"/>
          <w:szCs w:val="16"/>
        </w:rPr>
      </w:pPr>
    </w:p>
    <w:p w14:paraId="74A11B21" w14:textId="77777777" w:rsidR="002C4E14" w:rsidRPr="00405303" w:rsidRDefault="002C4E14" w:rsidP="00C15251">
      <w:pPr>
        <w:jc w:val="both"/>
        <w:rPr>
          <w:bCs/>
          <w:i/>
          <w:color w:val="002060"/>
          <w:sz w:val="16"/>
          <w:szCs w:val="16"/>
        </w:rPr>
      </w:pPr>
      <w:r w:rsidRPr="00405303">
        <w:rPr>
          <w:bCs/>
          <w:i/>
          <w:color w:val="002060"/>
          <w:sz w:val="16"/>
          <w:szCs w:val="16"/>
        </w:rPr>
        <w:t>Армия:</w:t>
      </w:r>
    </w:p>
    <w:p w14:paraId="639AC682" w14:textId="77777777" w:rsidR="002C4E14" w:rsidRPr="00405303" w:rsidRDefault="002C4E14" w:rsidP="00C15251">
      <w:pPr>
        <w:jc w:val="both"/>
        <w:rPr>
          <w:bCs/>
          <w:i/>
          <w:color w:val="002060"/>
          <w:sz w:val="16"/>
          <w:szCs w:val="16"/>
        </w:rPr>
      </w:pPr>
    </w:p>
    <w:p w14:paraId="43BE5D71" w14:textId="1421303F" w:rsidR="002C4E14" w:rsidRPr="00405303" w:rsidRDefault="002C4E14" w:rsidP="00C15251">
      <w:pPr>
        <w:jc w:val="both"/>
        <w:rPr>
          <w:bCs/>
          <w:color w:val="002060"/>
          <w:sz w:val="16"/>
          <w:szCs w:val="16"/>
        </w:rPr>
      </w:pPr>
      <w:r w:rsidRPr="00405303">
        <w:rPr>
          <w:rStyle w:val="ucoz-forum-post"/>
          <w:rFonts w:eastAsiaTheme="majorEastAsia"/>
          <w:bCs/>
          <w:color w:val="002060"/>
          <w:sz w:val="16"/>
          <w:szCs w:val="16"/>
        </w:rPr>
        <w:t xml:space="preserve">2 </w:t>
      </w:r>
      <w:r w:rsidR="00E83162" w:rsidRPr="00405303">
        <w:rPr>
          <w:rStyle w:val="ucoz-forum-post"/>
          <w:rFonts w:eastAsiaTheme="majorEastAsia"/>
          <w:bCs/>
          <w:color w:val="002060"/>
          <w:sz w:val="16"/>
          <w:szCs w:val="16"/>
        </w:rPr>
        <w:t xml:space="preserve">(15) </w:t>
      </w:r>
      <w:r w:rsidRPr="00405303">
        <w:rPr>
          <w:rStyle w:val="ucoz-forum-post"/>
          <w:rFonts w:eastAsiaTheme="majorEastAsia"/>
          <w:bCs/>
          <w:color w:val="002060"/>
          <w:sz w:val="16"/>
          <w:szCs w:val="16"/>
        </w:rPr>
        <w:t xml:space="preserve">сентября </w:t>
      </w:r>
      <w:r w:rsidRPr="00405303">
        <w:rPr>
          <w:bCs/>
          <w:color w:val="002060"/>
          <w:sz w:val="16"/>
          <w:szCs w:val="16"/>
        </w:rPr>
        <w:t>в 1915 году немецкие войска заняли Гродно (14757).</w:t>
      </w:r>
    </w:p>
    <w:p w14:paraId="79138752" w14:textId="77777777" w:rsidR="002C4E14" w:rsidRPr="00405303" w:rsidRDefault="002C4E14" w:rsidP="00C15251">
      <w:pPr>
        <w:jc w:val="both"/>
        <w:rPr>
          <w:bCs/>
          <w:color w:val="002060"/>
          <w:sz w:val="16"/>
          <w:szCs w:val="16"/>
        </w:rPr>
      </w:pPr>
    </w:p>
    <w:p w14:paraId="0D30DFF7" w14:textId="4D5948B4" w:rsidR="00174C66" w:rsidRPr="00405303" w:rsidRDefault="00174C66" w:rsidP="00C15251">
      <w:pPr>
        <w:jc w:val="both"/>
        <w:rPr>
          <w:bCs/>
          <w:i/>
          <w:color w:val="002060"/>
          <w:sz w:val="16"/>
          <w:szCs w:val="16"/>
        </w:rPr>
      </w:pPr>
      <w:r w:rsidRPr="00405303">
        <w:rPr>
          <w:bCs/>
          <w:i/>
          <w:color w:val="002060"/>
          <w:sz w:val="16"/>
          <w:szCs w:val="16"/>
        </w:rPr>
        <w:t>Авиация и воздухоплавание за рубежом:</w:t>
      </w:r>
    </w:p>
    <w:p w14:paraId="2D3F4137" w14:textId="77777777" w:rsidR="00174C66" w:rsidRPr="00405303" w:rsidRDefault="00174C66" w:rsidP="00C15251">
      <w:pPr>
        <w:jc w:val="both"/>
        <w:rPr>
          <w:bCs/>
          <w:i/>
          <w:color w:val="002060"/>
          <w:sz w:val="16"/>
          <w:szCs w:val="16"/>
        </w:rPr>
      </w:pPr>
    </w:p>
    <w:p w14:paraId="6EB595DF" w14:textId="249A2F54" w:rsidR="00174C66" w:rsidRPr="00405303" w:rsidRDefault="00174C66" w:rsidP="00C15251">
      <w:pPr>
        <w:jc w:val="both"/>
        <w:rPr>
          <w:bCs/>
          <w:color w:val="002060"/>
          <w:sz w:val="16"/>
          <w:szCs w:val="16"/>
          <w:lang w:bidi="en-US"/>
        </w:rPr>
      </w:pPr>
      <w:r w:rsidRPr="00405303">
        <w:rPr>
          <w:bCs/>
          <w:color w:val="002060"/>
          <w:sz w:val="16"/>
          <w:szCs w:val="16"/>
          <w:lang w:bidi="en-US"/>
        </w:rPr>
        <w:t xml:space="preserve">2 (15) сентября 1915 г. военное министерство Румынии издало приказ № 11009 о реорганизации своей авиации в </w:t>
      </w:r>
      <w:r w:rsidRPr="00405303">
        <w:rPr>
          <w:bCs/>
          <w:color w:val="002060"/>
          <w:sz w:val="16"/>
          <w:szCs w:val="16"/>
          <w:lang w:val="en-US" w:bidi="en-US"/>
        </w:rPr>
        <w:t>Corpul</w:t>
      </w:r>
      <w:r w:rsidRPr="00405303">
        <w:rPr>
          <w:bCs/>
          <w:color w:val="002060"/>
          <w:sz w:val="16"/>
          <w:szCs w:val="16"/>
          <w:lang w:bidi="en-US"/>
        </w:rPr>
        <w:t xml:space="preserve"> </w:t>
      </w:r>
      <w:r w:rsidRPr="00405303">
        <w:rPr>
          <w:bCs/>
          <w:color w:val="002060"/>
          <w:sz w:val="16"/>
          <w:szCs w:val="16"/>
          <w:lang w:val="en-US" w:bidi="en-US"/>
        </w:rPr>
        <w:t>Aerian</w:t>
      </w:r>
      <w:r w:rsidRPr="00405303">
        <w:rPr>
          <w:bCs/>
          <w:color w:val="002060"/>
          <w:sz w:val="16"/>
          <w:szCs w:val="16"/>
          <w:lang w:bidi="en-US"/>
        </w:rPr>
        <w:t xml:space="preserve"> </w:t>
      </w:r>
      <w:r w:rsidRPr="00405303">
        <w:rPr>
          <w:bCs/>
          <w:color w:val="002060"/>
          <w:sz w:val="16"/>
          <w:szCs w:val="16"/>
          <w:lang w:val="en-US" w:bidi="en-US"/>
        </w:rPr>
        <w:t>Romana</w:t>
      </w:r>
      <w:r w:rsidRPr="00405303">
        <w:rPr>
          <w:bCs/>
          <w:color w:val="002060"/>
          <w:sz w:val="16"/>
          <w:szCs w:val="16"/>
          <w:lang w:bidi="en-US"/>
        </w:rPr>
        <w:t xml:space="preserve"> (Румынский авиационный корпус) во главе с полковником-локотенентом Константином Гаванеску, который подчинялся инженерному отделу министерства. Авиационный корпус имел три авиагруппы, одну разведывательную часть со штабом и четыре аэростатных (аэростатных) отделения. Осенью 1915 года Франция поставила Румынии сорок четыре самолета, в том числе «Морис Фарман», «Вуазен», «Моран Солнье» и «Блерио». Все они требовали капитального ремонта по прибытии. До августа 1916 года и вступления Румынии в войну на стороне союзников они использовались для обучения девяноста семи пилотов в Бэняса и Котрочень (23525).</w:t>
      </w:r>
    </w:p>
    <w:p w14:paraId="4743835F" w14:textId="77777777" w:rsidR="00174C66" w:rsidRPr="00405303" w:rsidRDefault="00174C66" w:rsidP="00C15251">
      <w:pPr>
        <w:jc w:val="both"/>
        <w:rPr>
          <w:bCs/>
          <w:color w:val="002060"/>
          <w:sz w:val="16"/>
          <w:szCs w:val="16"/>
        </w:rPr>
      </w:pPr>
    </w:p>
    <w:p w14:paraId="7D3B5BBB" w14:textId="270CB317" w:rsidR="004B4E35" w:rsidRPr="00405303" w:rsidRDefault="009E6F82" w:rsidP="00C15251">
      <w:pPr>
        <w:jc w:val="both"/>
        <w:rPr>
          <w:bCs/>
          <w:i/>
          <w:color w:val="002060"/>
          <w:sz w:val="16"/>
          <w:szCs w:val="16"/>
        </w:rPr>
      </w:pPr>
      <w:r w:rsidRPr="00405303">
        <w:rPr>
          <w:bCs/>
          <w:i/>
          <w:color w:val="002060"/>
          <w:sz w:val="16"/>
          <w:szCs w:val="16"/>
        </w:rPr>
        <w:t>За рубежом:</w:t>
      </w:r>
    </w:p>
    <w:p w14:paraId="693B1A61" w14:textId="77777777" w:rsidR="004B4E35" w:rsidRPr="00405303" w:rsidRDefault="004B4E35" w:rsidP="00C15251">
      <w:pPr>
        <w:jc w:val="both"/>
        <w:rPr>
          <w:bCs/>
          <w:i/>
          <w:color w:val="002060"/>
          <w:sz w:val="16"/>
          <w:szCs w:val="16"/>
        </w:rPr>
      </w:pPr>
    </w:p>
    <w:p w14:paraId="2F33D093" w14:textId="39D2CC8C" w:rsidR="004B4E35" w:rsidRPr="00405303" w:rsidRDefault="009E6F82" w:rsidP="00C15251">
      <w:pPr>
        <w:jc w:val="both"/>
        <w:rPr>
          <w:bCs/>
          <w:color w:val="002060"/>
          <w:sz w:val="16"/>
          <w:szCs w:val="16"/>
        </w:rPr>
      </w:pPr>
      <w:r w:rsidRPr="00405303">
        <w:rPr>
          <w:bCs/>
          <w:color w:val="002060"/>
          <w:sz w:val="16"/>
          <w:szCs w:val="16"/>
        </w:rPr>
        <w:t>2 (15)</w:t>
      </w:r>
      <w:r w:rsidR="00E83162" w:rsidRPr="00405303">
        <w:rPr>
          <w:bCs/>
          <w:color w:val="002060"/>
          <w:sz w:val="16"/>
          <w:szCs w:val="16"/>
        </w:rPr>
        <w:t xml:space="preserve"> сентября </w:t>
      </w:r>
      <w:r w:rsidRPr="00405303">
        <w:rPr>
          <w:bCs/>
          <w:color w:val="002060"/>
          <w:sz w:val="16"/>
          <w:szCs w:val="16"/>
        </w:rPr>
        <w:t xml:space="preserve">1915 </w:t>
      </w:r>
      <w:r w:rsidR="00E83162" w:rsidRPr="00405303">
        <w:rPr>
          <w:bCs/>
          <w:color w:val="002060"/>
          <w:sz w:val="16"/>
          <w:szCs w:val="16"/>
        </w:rPr>
        <w:t xml:space="preserve">г. сухопутный корабль </w:t>
      </w:r>
      <w:r w:rsidRPr="00405303">
        <w:rPr>
          <w:bCs/>
          <w:color w:val="002060"/>
          <w:sz w:val="16"/>
          <w:szCs w:val="16"/>
        </w:rPr>
        <w:t>Little Willy пошел на ходовые испытания.</w:t>
      </w:r>
    </w:p>
    <w:p w14:paraId="71D5555E" w14:textId="77777777" w:rsidR="004B4E35" w:rsidRPr="00405303" w:rsidRDefault="009E6F82" w:rsidP="00C15251">
      <w:pPr>
        <w:jc w:val="both"/>
        <w:rPr>
          <w:bCs/>
          <w:color w:val="002060"/>
          <w:sz w:val="16"/>
          <w:szCs w:val="16"/>
        </w:rPr>
      </w:pPr>
      <w:r w:rsidRPr="00405303">
        <w:rPr>
          <w:bCs/>
          <w:color w:val="002060"/>
          <w:sz w:val="16"/>
          <w:szCs w:val="16"/>
        </w:rPr>
        <w:t xml:space="preserve">22.09.1915 Стерну вручили телеграмму из Линкольна, которую </w:t>
      </w:r>
      <w:proofErr w:type="gramStart"/>
      <w:r w:rsidRPr="00405303">
        <w:rPr>
          <w:bCs/>
          <w:color w:val="002060"/>
          <w:sz w:val="16"/>
          <w:szCs w:val="16"/>
        </w:rPr>
        <w:t>не возможно</w:t>
      </w:r>
      <w:proofErr w:type="gramEnd"/>
      <w:r w:rsidRPr="00405303">
        <w:rPr>
          <w:bCs/>
          <w:color w:val="002060"/>
          <w:sz w:val="16"/>
          <w:szCs w:val="16"/>
        </w:rPr>
        <w:t xml:space="preserve"> читать без умиления: «Сегодня утром Balata погиб на испытательном стенде. Новорожденный от Триттона из листовой штамповки легкий по весу, но очень прочный. Все прошло хорошо, спасибо Вам. ГОРДЫЕ РОДИТЕЛИ».</w:t>
      </w:r>
    </w:p>
    <w:p w14:paraId="2038D94F" w14:textId="77777777" w:rsidR="004B4E35" w:rsidRPr="00405303" w:rsidRDefault="009E6F82" w:rsidP="00C15251">
      <w:pPr>
        <w:jc w:val="both"/>
        <w:rPr>
          <w:bCs/>
          <w:color w:val="002060"/>
          <w:sz w:val="16"/>
          <w:szCs w:val="16"/>
        </w:rPr>
      </w:pPr>
      <w:r w:rsidRPr="00405303">
        <w:rPr>
          <w:bCs/>
          <w:color w:val="002060"/>
          <w:sz w:val="16"/>
          <w:szCs w:val="16"/>
        </w:rPr>
        <w:t>Так опытный никогда не вооружавшийся сухопутный корабль Little Willy, оснащенный специальным гусеничных ходом, явился первым английским танком и соответственно первым танком в мире. Но это была, как говорят, «бракованная лошадь». Свинтон: «Меня спросили о моем мнении, и я сказал, что Willy не пойдет. Он не соответствовал требованиям, присланным из Франции, и не мог преодолевать 5-футовые вертикальные препятствия. Little Willy был просто стальной коробкой». Да это все прекрасно понимали без Свинтона и не оспаривали.</w:t>
      </w:r>
    </w:p>
    <w:p w14:paraId="3FF55D61" w14:textId="77777777" w:rsidR="004B4E35" w:rsidRPr="00405303" w:rsidRDefault="009E6F82" w:rsidP="00C15251">
      <w:pPr>
        <w:jc w:val="both"/>
        <w:rPr>
          <w:bCs/>
          <w:color w:val="002060"/>
          <w:sz w:val="16"/>
          <w:szCs w:val="16"/>
        </w:rPr>
      </w:pPr>
      <w:r w:rsidRPr="00405303">
        <w:rPr>
          <w:bCs/>
          <w:color w:val="002060"/>
          <w:sz w:val="16"/>
          <w:szCs w:val="16"/>
        </w:rPr>
        <w:t xml:space="preserve">В основу формообразования новой БМ, известной больше под названием Mother, легло предложение Вильсона (идея Мекфи и Несфильда, с оговорками) о ромбовидном гусеничном обводе корпуса. С этого момента форма английских танков периода Первой мировой войны стала единым пластическим целым — гипертрофированной ходовой честью, демонстрирующей полную независимость от среды перемещения, переходящую в агрессивность по отношению этой среде, готовность проложить и проломать себе дорогу в любой ситуации. </w:t>
      </w:r>
    </w:p>
    <w:p w14:paraId="430C1620" w14:textId="77777777" w:rsidR="004B4E35" w:rsidRPr="00405303" w:rsidRDefault="009E6F82" w:rsidP="00C15251">
      <w:pPr>
        <w:jc w:val="both"/>
        <w:rPr>
          <w:bCs/>
          <w:color w:val="002060"/>
          <w:sz w:val="16"/>
          <w:szCs w:val="16"/>
        </w:rPr>
      </w:pPr>
      <w:r w:rsidRPr="00405303">
        <w:rPr>
          <w:bCs/>
          <w:color w:val="002060"/>
          <w:sz w:val="16"/>
          <w:szCs w:val="16"/>
        </w:rPr>
        <w:t xml:space="preserve">Не следует толковать результаты создания Little Willy как неудачу. «Новорожденный от Тритона» отпустил все грехи. С видоизмененным, но конструктивно аналогичным движителем он вышел в лице своего приемника Big Willy (Mother) на уровень серийного производства и боевого триумфа, а его усовершенствованная ходовая часть стала ходовой частью кавалерийского Mark A. </w:t>
      </w:r>
      <w:proofErr w:type="gramStart"/>
      <w:r w:rsidRPr="00405303">
        <w:rPr>
          <w:bCs/>
          <w:color w:val="002060"/>
          <w:sz w:val="16"/>
          <w:szCs w:val="16"/>
        </w:rPr>
        <w:t>Конечно</w:t>
      </w:r>
      <w:proofErr w:type="gramEnd"/>
      <w:r w:rsidRPr="00405303">
        <w:rPr>
          <w:bCs/>
          <w:color w:val="002060"/>
          <w:sz w:val="16"/>
          <w:szCs w:val="16"/>
        </w:rPr>
        <w:t xml:space="preserve"> Mark A доблестный танк, но что бросается в глаза — отказ от ходовой части умеренного профиля на последовавших за ним Mark В и Mark С в пользу ромбовидного обвода. Уже в начале 20-х годов условия боевого применения БТТ изменятся, соответственно иные требования — иные решения. Но тогда альтернативы не было.</w:t>
      </w:r>
    </w:p>
    <w:p w14:paraId="41B992D5" w14:textId="77777777" w:rsidR="004B4E35" w:rsidRPr="00405303" w:rsidRDefault="009E6F82" w:rsidP="00C15251">
      <w:pPr>
        <w:jc w:val="both"/>
        <w:rPr>
          <w:bCs/>
          <w:color w:val="002060"/>
          <w:sz w:val="16"/>
          <w:szCs w:val="16"/>
        </w:rPr>
      </w:pPr>
      <w:r w:rsidRPr="00405303">
        <w:rPr>
          <w:bCs/>
          <w:color w:val="002060"/>
          <w:sz w:val="16"/>
          <w:szCs w:val="16"/>
        </w:rPr>
        <w:t>В конце сентября 1915 г. завершили изготовление деревянного макета и продемонстрировали его в Уэмбли группе старших офицеров. Указание на изготовление опытного образца поступило 30.09.1915 г., Проблема размещения вооружения была решена д'Эйнкоуртом, предложившим съемные бортовые спонсоны. В результате: низко расположенный центр тяжести; способность «чистить» траншею на оба борта при ее пересечении и держать под обстрелом сразу две линии траншей при дефилировании вдоль фронта, возможность вписать машину в железнодорожный провозной габарит.</w:t>
      </w:r>
    </w:p>
    <w:p w14:paraId="0742BA9E" w14:textId="77777777" w:rsidR="004B4E35" w:rsidRPr="00405303" w:rsidRDefault="009E6F82" w:rsidP="00C15251">
      <w:pPr>
        <w:jc w:val="both"/>
        <w:rPr>
          <w:bCs/>
          <w:color w:val="002060"/>
          <w:sz w:val="16"/>
          <w:szCs w:val="16"/>
        </w:rPr>
      </w:pPr>
      <w:r w:rsidRPr="00405303">
        <w:rPr>
          <w:bCs/>
          <w:color w:val="002060"/>
          <w:sz w:val="16"/>
          <w:szCs w:val="16"/>
        </w:rPr>
        <w:t>От экспериментов и опытных работ Англия переходила в область практической реализации (12111).</w:t>
      </w:r>
    </w:p>
    <w:p w14:paraId="25FDEC95" w14:textId="1484A19F" w:rsidR="004B4E35" w:rsidRPr="00405303" w:rsidRDefault="004B4E35" w:rsidP="00C15251">
      <w:pPr>
        <w:jc w:val="both"/>
        <w:rPr>
          <w:bCs/>
          <w:color w:val="002060"/>
          <w:sz w:val="16"/>
          <w:szCs w:val="16"/>
        </w:rPr>
      </w:pPr>
    </w:p>
    <w:p w14:paraId="3F38FF84" w14:textId="6A41DED6" w:rsidR="00C639AC" w:rsidRPr="00405303" w:rsidRDefault="00C639AC" w:rsidP="00C15251">
      <w:pPr>
        <w:jc w:val="both"/>
        <w:rPr>
          <w:bCs/>
          <w:i/>
          <w:iCs/>
          <w:color w:val="002060"/>
          <w:sz w:val="16"/>
          <w:szCs w:val="16"/>
        </w:rPr>
      </w:pPr>
      <w:r w:rsidRPr="00405303">
        <w:rPr>
          <w:bCs/>
          <w:i/>
          <w:iCs/>
          <w:color w:val="002060"/>
          <w:sz w:val="16"/>
          <w:szCs w:val="16"/>
        </w:rPr>
        <w:t>Авиация:</w:t>
      </w:r>
    </w:p>
    <w:p w14:paraId="48E8DAA8" w14:textId="77777777" w:rsidR="00C639AC" w:rsidRPr="00405303" w:rsidRDefault="00C639AC" w:rsidP="00C15251">
      <w:pPr>
        <w:jc w:val="both"/>
        <w:rPr>
          <w:bCs/>
          <w:i/>
          <w:iCs/>
          <w:color w:val="002060"/>
          <w:sz w:val="16"/>
          <w:szCs w:val="16"/>
        </w:rPr>
      </w:pPr>
    </w:p>
    <w:p w14:paraId="207B0454" w14:textId="6D49964B" w:rsidR="00C639AC" w:rsidRPr="00405303" w:rsidRDefault="00C639AC" w:rsidP="00C15251">
      <w:pPr>
        <w:shd w:val="clear" w:color="auto" w:fill="FFFFFF"/>
        <w:jc w:val="both"/>
        <w:rPr>
          <w:bCs/>
          <w:color w:val="002060"/>
          <w:sz w:val="16"/>
          <w:szCs w:val="16"/>
        </w:rPr>
      </w:pPr>
      <w:r w:rsidRPr="00405303">
        <w:rPr>
          <w:bCs/>
          <w:color w:val="002060"/>
          <w:sz w:val="16"/>
          <w:szCs w:val="16"/>
          <w:shd w:val="clear" w:color="auto" w:fill="FFFFFF"/>
        </w:rPr>
        <w:t>3 (16) сентября 1915 г. по распоряжению императора «для установления единообразия в обучении летчиков и постановки такого обучения на вполне рациональных началах и в соответствие с требованиями, вытекающими из опыта войны, возложить на все время настоящей войны на Августейшего заведующего организацией авиационного дела в действующей армии великого князя Александра Михайловича... общее руководство деятельностью как военных, так и частных авиационных школ, а равно и Офицерской воздухоплавательной школы по всем отделам обучения». Ему предоставлялось</w:t>
      </w:r>
      <w:r w:rsidR="00DB4D64" w:rsidRPr="00405303">
        <w:rPr>
          <w:bCs/>
          <w:color w:val="002060"/>
          <w:sz w:val="16"/>
          <w:szCs w:val="16"/>
          <w:shd w:val="clear" w:color="auto" w:fill="FFFFFF"/>
        </w:rPr>
        <w:t xml:space="preserve"> </w:t>
      </w:r>
      <w:r w:rsidRPr="00405303">
        <w:rPr>
          <w:bCs/>
          <w:color w:val="002060"/>
          <w:sz w:val="16"/>
          <w:szCs w:val="16"/>
          <w:bdr w:val="none" w:sz="0" w:space="0" w:color="auto" w:frame="1"/>
          <w:shd w:val="clear" w:color="auto" w:fill="FFFFFF"/>
        </w:rPr>
        <w:t>«право давать руководящие указания по вопросам обшего направления деятельности школ, инспектировать все означенные школы, а также входить в непосредственные сношения по вопросам обучения с соответствующими Главными управлениями Военного министерства... В целях полного согласования дела снабжения авиационных и воздухоплавательных частей с интересами армии предоставить Августейшему заведующему организацией авиационного дела в действующей армии право давать руководящие указания по вопросам, касающимися заказов и приема этого имущества, проверять деятельность всех заводов, изготовляющих авиационное и воздухоплавательное имущество, и складов, хранящих и отправляющих такое имущество в армию, а равно входить по изложенным вопросам в непосредственные сношения с подлежащими Главными управлениями Военного министерства»{</w:t>
      </w:r>
      <w:r w:rsidRPr="00405303">
        <w:rPr>
          <w:bCs/>
          <w:color w:val="002060"/>
          <w:sz w:val="16"/>
          <w:szCs w:val="16"/>
          <w:shd w:val="clear" w:color="auto" w:fill="FFFFFF"/>
        </w:rPr>
        <w:t xml:space="preserve"> ГАРФ. Ф. 555. Oп. 1. Д. 141. Л. 1, 2.</w:t>
      </w:r>
      <w:r w:rsidRPr="00405303">
        <w:rPr>
          <w:bCs/>
          <w:color w:val="002060"/>
          <w:sz w:val="16"/>
          <w:szCs w:val="16"/>
          <w:bdr w:val="none" w:sz="0" w:space="0" w:color="auto" w:frame="1"/>
          <w:shd w:val="clear" w:color="auto" w:fill="FFFFFF"/>
        </w:rPr>
        <w:t xml:space="preserve"> }</w:t>
      </w:r>
      <w:r w:rsidRPr="00405303">
        <w:rPr>
          <w:bCs/>
          <w:color w:val="002060"/>
          <w:sz w:val="16"/>
          <w:szCs w:val="16"/>
          <w:shd w:val="clear" w:color="auto" w:fill="FFFFFF"/>
        </w:rPr>
        <w:t>. В 1916 г. великий князь получил звание полевого генерала-инспектора военно-воздушного флота (19949).</w:t>
      </w:r>
    </w:p>
    <w:p w14:paraId="2A61CFC0" w14:textId="77777777" w:rsidR="00C639AC" w:rsidRPr="00405303" w:rsidRDefault="00C639AC" w:rsidP="00C15251">
      <w:pPr>
        <w:shd w:val="clear" w:color="auto" w:fill="FFFFFF"/>
        <w:jc w:val="both"/>
        <w:rPr>
          <w:bCs/>
          <w:color w:val="002060"/>
          <w:sz w:val="16"/>
          <w:szCs w:val="16"/>
        </w:rPr>
      </w:pPr>
    </w:p>
    <w:p w14:paraId="14EB73B2" w14:textId="2113AE03" w:rsidR="007538DE" w:rsidRPr="00405303" w:rsidRDefault="007538DE" w:rsidP="00C15251">
      <w:pPr>
        <w:jc w:val="both"/>
        <w:rPr>
          <w:bCs/>
          <w:color w:val="002060"/>
          <w:sz w:val="16"/>
          <w:szCs w:val="16"/>
        </w:rPr>
      </w:pPr>
      <w:r w:rsidRPr="00405303">
        <w:rPr>
          <w:bCs/>
          <w:color w:val="002060"/>
          <w:sz w:val="16"/>
          <w:szCs w:val="16"/>
        </w:rPr>
        <w:t>3-4 (16-17) сентября 1915 г. у входа в Рижский залив «неприятельские разведывательные гидропланы неоднократно появлялись над Ирбенским проливом, бросая бомбы в наши миноносцы; последние всякий раз отгоняли гидропланы огнем» (23405).</w:t>
      </w:r>
    </w:p>
    <w:p w14:paraId="27C227F7" w14:textId="77777777" w:rsidR="007538DE" w:rsidRPr="00405303" w:rsidRDefault="007538DE" w:rsidP="00C15251">
      <w:pPr>
        <w:jc w:val="both"/>
        <w:rPr>
          <w:bCs/>
          <w:color w:val="002060"/>
          <w:sz w:val="16"/>
          <w:szCs w:val="16"/>
        </w:rPr>
      </w:pPr>
    </w:p>
    <w:p w14:paraId="1969D7EA" w14:textId="77777777" w:rsidR="004B4E35" w:rsidRPr="00405303" w:rsidRDefault="009E6F82" w:rsidP="00C15251">
      <w:pPr>
        <w:jc w:val="both"/>
        <w:rPr>
          <w:bCs/>
          <w:i/>
          <w:color w:val="002060"/>
          <w:sz w:val="16"/>
          <w:szCs w:val="16"/>
        </w:rPr>
      </w:pPr>
      <w:r w:rsidRPr="00405303">
        <w:rPr>
          <w:bCs/>
          <w:i/>
          <w:color w:val="002060"/>
          <w:sz w:val="16"/>
          <w:szCs w:val="16"/>
        </w:rPr>
        <w:t>Жизнь и внутреняя политика:</w:t>
      </w:r>
    </w:p>
    <w:p w14:paraId="0C8CDFF0" w14:textId="77777777" w:rsidR="004B4E35" w:rsidRPr="00405303" w:rsidRDefault="004B4E35" w:rsidP="00C15251">
      <w:pPr>
        <w:jc w:val="both"/>
        <w:rPr>
          <w:bCs/>
          <w:i/>
          <w:color w:val="002060"/>
          <w:sz w:val="16"/>
          <w:szCs w:val="16"/>
        </w:rPr>
      </w:pPr>
    </w:p>
    <w:p w14:paraId="1377A8F2" w14:textId="5A6F52A4"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3 (1</w:t>
      </w:r>
      <w:r w:rsidR="00E83162" w:rsidRPr="00405303">
        <w:rPr>
          <w:bCs/>
          <w:i w:val="0"/>
          <w:color w:val="002060"/>
          <w:spacing w:val="0"/>
          <w:kern w:val="0"/>
          <w:position w:val="0"/>
          <w:sz w:val="16"/>
          <w:szCs w:val="16"/>
        </w:rPr>
        <w:t>6</w:t>
      </w:r>
      <w:r w:rsidRPr="00405303">
        <w:rPr>
          <w:bCs/>
          <w:i w:val="0"/>
          <w:color w:val="002060"/>
          <w:spacing w:val="0"/>
          <w:kern w:val="0"/>
          <w:position w:val="0"/>
          <w:sz w:val="16"/>
          <w:szCs w:val="16"/>
        </w:rPr>
        <w:t xml:space="preserve">) сентября 1915 г. </w:t>
      </w:r>
      <w:r w:rsidR="00E83162" w:rsidRPr="00405303">
        <w:rPr>
          <w:bCs/>
          <w:i w:val="0"/>
          <w:color w:val="002060"/>
          <w:spacing w:val="0"/>
          <w:kern w:val="0"/>
          <w:position w:val="0"/>
          <w:sz w:val="16"/>
          <w:szCs w:val="16"/>
        </w:rPr>
        <w:t xml:space="preserve">после роспуска Думы </w:t>
      </w:r>
      <w:r w:rsidRPr="00405303">
        <w:rPr>
          <w:bCs/>
          <w:i w:val="0"/>
          <w:color w:val="002060"/>
          <w:spacing w:val="0"/>
          <w:kern w:val="0"/>
          <w:position w:val="0"/>
          <w:sz w:val="16"/>
          <w:szCs w:val="16"/>
        </w:rPr>
        <w:t>конфликт либеральной оппозиции с правительством достиг своей кульминации и превратился, по словам Милюкова, в открытый разрыв. Правительство устанавливает надзор за деятельностью буржуазных общественных организаций, сокращает количество военных заказов для них, что приводит к закрытию заводов и фабрик, увольнению рабочих, разорению мелкой и средней буржуазии. В кругах буржуазии зреет заговор по проведению «дворцового переворота» (1916 г.) с целью устранения Николая II от власти. Но в то время, когда требовалась решительность в действиях, буржуазия упустила руководство событиями, которое перешло к более левым силам.</w:t>
      </w:r>
    </w:p>
    <w:p w14:paraId="70990C9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Нарастал кризис и самогу царского правительства, что проявилось в так называемой министерской чехарде. За время войны сменилось 4 председателя совета министров, 8 министров внутренних дел, 4 военных министра, 3 министра иностранных дел, 4 министра земледелия, 4 министра юстиции. К концу 1916 г. в среде прогермански настроенной буржуазии, в МВД, в царском окружении рассматриваются планы заключения сепаратного мира с Германией с целью подавления революционных настроений и укрепления позиций царизма (11270).</w:t>
      </w:r>
    </w:p>
    <w:p w14:paraId="3A845A3D" w14:textId="77777777" w:rsidR="004B4E35" w:rsidRPr="00405303" w:rsidRDefault="004B4E35" w:rsidP="00C15251">
      <w:pPr>
        <w:pStyle w:val="a3"/>
        <w:jc w:val="both"/>
        <w:rPr>
          <w:bCs/>
          <w:i w:val="0"/>
          <w:color w:val="002060"/>
          <w:spacing w:val="0"/>
          <w:kern w:val="0"/>
          <w:position w:val="0"/>
          <w:sz w:val="16"/>
          <w:szCs w:val="16"/>
        </w:rPr>
      </w:pPr>
    </w:p>
    <w:p w14:paraId="0286B34D" w14:textId="68194FE8" w:rsidR="002C4E14" w:rsidRPr="00405303" w:rsidRDefault="002C4E14" w:rsidP="00C15251">
      <w:pPr>
        <w:jc w:val="both"/>
        <w:rPr>
          <w:bCs/>
          <w:color w:val="002060"/>
          <w:sz w:val="16"/>
          <w:szCs w:val="16"/>
        </w:rPr>
      </w:pPr>
      <w:r w:rsidRPr="00405303">
        <w:rPr>
          <w:rStyle w:val="ucoz-forum-post"/>
          <w:rFonts w:eastAsiaTheme="majorEastAsia"/>
          <w:bCs/>
          <w:color w:val="002060"/>
          <w:sz w:val="16"/>
          <w:szCs w:val="16"/>
        </w:rPr>
        <w:lastRenderedPageBreak/>
        <w:t xml:space="preserve">3 </w:t>
      </w:r>
      <w:r w:rsidR="00E83162" w:rsidRPr="00405303">
        <w:rPr>
          <w:rStyle w:val="ucoz-forum-post"/>
          <w:rFonts w:eastAsiaTheme="majorEastAsia"/>
          <w:bCs/>
          <w:color w:val="002060"/>
          <w:sz w:val="16"/>
          <w:szCs w:val="16"/>
        </w:rPr>
        <w:t xml:space="preserve">(16) </w:t>
      </w:r>
      <w:r w:rsidRPr="00405303">
        <w:rPr>
          <w:rStyle w:val="ucoz-forum-post"/>
          <w:rFonts w:eastAsiaTheme="majorEastAsia"/>
          <w:bCs/>
          <w:color w:val="002060"/>
          <w:sz w:val="16"/>
          <w:szCs w:val="16"/>
        </w:rPr>
        <w:t xml:space="preserve">сентября </w:t>
      </w:r>
      <w:r w:rsidRPr="00405303">
        <w:rPr>
          <w:bCs/>
          <w:color w:val="002060"/>
          <w:sz w:val="16"/>
          <w:szCs w:val="16"/>
        </w:rPr>
        <w:t>в 1915 году оканчивается первая гидрографическая экспедиция под руководством Б.А.Вилькицкого - сквозной рейс Северным морским путем в Западном направлении на кораблях "Таймыр" и "Вайгач" (14758).</w:t>
      </w:r>
    </w:p>
    <w:p w14:paraId="04993BFC" w14:textId="77777777" w:rsidR="002C4E14" w:rsidRPr="00405303" w:rsidRDefault="002C4E14" w:rsidP="00C15251">
      <w:pPr>
        <w:jc w:val="both"/>
        <w:rPr>
          <w:bCs/>
          <w:color w:val="002060"/>
          <w:sz w:val="16"/>
          <w:szCs w:val="16"/>
        </w:rPr>
      </w:pPr>
    </w:p>
    <w:p w14:paraId="059EF012" w14:textId="77777777" w:rsidR="002C4E14" w:rsidRPr="00405303" w:rsidRDefault="002C4E14" w:rsidP="00C15251">
      <w:pPr>
        <w:jc w:val="both"/>
        <w:rPr>
          <w:bCs/>
          <w:i/>
          <w:color w:val="002060"/>
          <w:sz w:val="16"/>
          <w:szCs w:val="16"/>
        </w:rPr>
      </w:pPr>
      <w:r w:rsidRPr="00405303">
        <w:rPr>
          <w:bCs/>
          <w:i/>
          <w:color w:val="002060"/>
          <w:sz w:val="16"/>
          <w:szCs w:val="16"/>
        </w:rPr>
        <w:t>За рубежом:</w:t>
      </w:r>
    </w:p>
    <w:p w14:paraId="3D6C8B84" w14:textId="77777777" w:rsidR="002C4E14" w:rsidRPr="00405303" w:rsidRDefault="002C4E14" w:rsidP="00C15251">
      <w:pPr>
        <w:jc w:val="both"/>
        <w:rPr>
          <w:bCs/>
          <w:color w:val="002060"/>
          <w:sz w:val="16"/>
          <w:szCs w:val="16"/>
        </w:rPr>
      </w:pPr>
    </w:p>
    <w:p w14:paraId="08311F40" w14:textId="77777777" w:rsidR="002C4E14" w:rsidRPr="00405303" w:rsidRDefault="002C4E14" w:rsidP="00C15251">
      <w:pPr>
        <w:jc w:val="both"/>
        <w:rPr>
          <w:bCs/>
          <w:color w:val="002060"/>
          <w:sz w:val="16"/>
          <w:szCs w:val="16"/>
        </w:rPr>
      </w:pPr>
      <w:r w:rsidRPr="00405303">
        <w:rPr>
          <w:rStyle w:val="ucoz-forum-post"/>
          <w:rFonts w:eastAsiaTheme="majorEastAsia"/>
          <w:bCs/>
          <w:color w:val="002060"/>
          <w:sz w:val="16"/>
          <w:szCs w:val="16"/>
        </w:rPr>
        <w:t xml:space="preserve">3 (16) сентября </w:t>
      </w:r>
      <w:r w:rsidRPr="00405303">
        <w:rPr>
          <w:bCs/>
          <w:color w:val="002060"/>
          <w:sz w:val="16"/>
          <w:szCs w:val="16"/>
        </w:rPr>
        <w:t>в 1915 году США берет на себя управление таможней и финансами Гаити на 10 лет (14771).</w:t>
      </w:r>
    </w:p>
    <w:p w14:paraId="5F889418" w14:textId="77777777" w:rsidR="002C4E14" w:rsidRPr="00405303" w:rsidRDefault="002C4E14" w:rsidP="00C15251">
      <w:pPr>
        <w:jc w:val="both"/>
        <w:rPr>
          <w:bCs/>
          <w:color w:val="002060"/>
          <w:sz w:val="16"/>
          <w:szCs w:val="16"/>
        </w:rPr>
      </w:pPr>
    </w:p>
    <w:p w14:paraId="15A63F41" w14:textId="77777777" w:rsidR="002C4E14" w:rsidRPr="00405303" w:rsidRDefault="002C4E14" w:rsidP="00C15251">
      <w:pPr>
        <w:jc w:val="both"/>
        <w:rPr>
          <w:bCs/>
          <w:i/>
          <w:color w:val="002060"/>
          <w:sz w:val="16"/>
          <w:szCs w:val="16"/>
        </w:rPr>
      </w:pPr>
      <w:r w:rsidRPr="00405303">
        <w:rPr>
          <w:bCs/>
          <w:i/>
          <w:color w:val="002060"/>
          <w:sz w:val="16"/>
          <w:szCs w:val="16"/>
        </w:rPr>
        <w:t>Другие оборонные отрасли:</w:t>
      </w:r>
    </w:p>
    <w:p w14:paraId="25D54E9F" w14:textId="77777777" w:rsidR="002C4E14" w:rsidRPr="00405303" w:rsidRDefault="002C4E14" w:rsidP="00C15251">
      <w:pPr>
        <w:jc w:val="both"/>
        <w:rPr>
          <w:bCs/>
          <w:i/>
          <w:color w:val="002060"/>
          <w:sz w:val="16"/>
          <w:szCs w:val="16"/>
        </w:rPr>
      </w:pPr>
    </w:p>
    <w:p w14:paraId="0335F179" w14:textId="279C73B2" w:rsidR="002C4E14" w:rsidRPr="00405303" w:rsidRDefault="002C4E14" w:rsidP="00C15251">
      <w:pPr>
        <w:pStyle w:val="ae"/>
        <w:spacing w:before="0" w:beforeAutospacing="0" w:after="0" w:afterAutospacing="0"/>
        <w:jc w:val="both"/>
        <w:rPr>
          <w:bCs/>
          <w:color w:val="002060"/>
          <w:sz w:val="16"/>
          <w:szCs w:val="16"/>
        </w:rPr>
      </w:pPr>
      <w:r w:rsidRPr="00405303">
        <w:rPr>
          <w:bCs/>
          <w:color w:val="002060"/>
          <w:sz w:val="16"/>
          <w:szCs w:val="16"/>
        </w:rPr>
        <w:t xml:space="preserve">4 </w:t>
      </w:r>
      <w:r w:rsidR="00E83162" w:rsidRPr="00405303">
        <w:rPr>
          <w:bCs/>
          <w:color w:val="002060"/>
          <w:sz w:val="16"/>
          <w:szCs w:val="16"/>
        </w:rPr>
        <w:t xml:space="preserve">(17) </w:t>
      </w:r>
      <w:r w:rsidRPr="00405303">
        <w:rPr>
          <w:bCs/>
          <w:color w:val="002060"/>
          <w:sz w:val="16"/>
          <w:szCs w:val="16"/>
        </w:rPr>
        <w:t>сентября 1915 года во время фронтовых испытаний нового вида вооружения недалеко от местечка Новые Троки (двадцать верст от Вильнюса) погиб Мгебров. Дело в том, что Мгебров разрабатывал, как это полагается, не только бронемашины, но и средства борьбы с ними. Одна из его работ</w:t>
      </w:r>
      <w:r w:rsidR="00DB4D64" w:rsidRPr="00405303">
        <w:rPr>
          <w:bCs/>
          <w:color w:val="002060"/>
          <w:sz w:val="16"/>
          <w:szCs w:val="16"/>
        </w:rPr>
        <w:t xml:space="preserve"> </w:t>
      </w:r>
      <w:r w:rsidRPr="00405303">
        <w:rPr>
          <w:bCs/>
          <w:color w:val="002060"/>
          <w:sz w:val="16"/>
          <w:szCs w:val="16"/>
        </w:rPr>
        <w:t>— ружейная граната</w:t>
      </w:r>
      <w:r w:rsidR="00DB4D64" w:rsidRPr="00405303">
        <w:rPr>
          <w:bCs/>
          <w:color w:val="002060"/>
          <w:sz w:val="16"/>
          <w:szCs w:val="16"/>
        </w:rPr>
        <w:t xml:space="preserve"> </w:t>
      </w:r>
      <w:r w:rsidRPr="00405303">
        <w:rPr>
          <w:bCs/>
          <w:color w:val="002060"/>
          <w:sz w:val="16"/>
          <w:szCs w:val="16"/>
        </w:rPr>
        <w:t>— как раз и проходила испытание. Ружейная граната</w:t>
      </w:r>
      <w:r w:rsidR="00DB4D64" w:rsidRPr="00405303">
        <w:rPr>
          <w:bCs/>
          <w:color w:val="002060"/>
          <w:sz w:val="16"/>
          <w:szCs w:val="16"/>
        </w:rPr>
        <w:t xml:space="preserve"> </w:t>
      </w:r>
      <w:r w:rsidRPr="00405303">
        <w:rPr>
          <w:bCs/>
          <w:color w:val="002060"/>
          <w:sz w:val="16"/>
          <w:szCs w:val="16"/>
        </w:rPr>
        <w:t xml:space="preserve">— это прообраз современного </w:t>
      </w:r>
      <w:proofErr w:type="gramStart"/>
      <w:r w:rsidRPr="00405303">
        <w:rPr>
          <w:bCs/>
          <w:color w:val="002060"/>
          <w:sz w:val="16"/>
          <w:szCs w:val="16"/>
        </w:rPr>
        <w:t>под- ствольного</w:t>
      </w:r>
      <w:proofErr w:type="gramEnd"/>
      <w:r w:rsidRPr="00405303">
        <w:rPr>
          <w:bCs/>
          <w:color w:val="002060"/>
          <w:sz w:val="16"/>
          <w:szCs w:val="16"/>
        </w:rPr>
        <w:t xml:space="preserve"> гранатомета. Специальная мортирка надевалась на конец винтовочного дула, в нее вставлялась ручная граната (при этом вынималась чека, а предохранительная скоба удерживалась особым выступом мортирки), после чего производился выстрел холостым патроном, который и выталкивал гранату.</w:t>
      </w:r>
    </w:p>
    <w:p w14:paraId="477D5BEA" w14:textId="77777777" w:rsidR="002C4E14" w:rsidRPr="00405303" w:rsidRDefault="002C4E14" w:rsidP="00C15251">
      <w:pPr>
        <w:pStyle w:val="ae"/>
        <w:spacing w:before="0" w:beforeAutospacing="0" w:after="0" w:afterAutospacing="0"/>
        <w:jc w:val="both"/>
        <w:rPr>
          <w:bCs/>
          <w:color w:val="002060"/>
          <w:sz w:val="16"/>
          <w:szCs w:val="16"/>
        </w:rPr>
      </w:pPr>
      <w:r w:rsidRPr="00405303">
        <w:rPr>
          <w:bCs/>
          <w:color w:val="002060"/>
          <w:sz w:val="16"/>
          <w:szCs w:val="16"/>
        </w:rPr>
        <w:t>Испытания проходили во время реальных атак на реального неприятеля. И когда командир роты был убит, штабс-капитан Владимир Мгебров занял его место. Русская пехота заняла немецкие окопы, но разрывная пуля ранила изобретателя в бедро. Он умер на следующий день от потери крови после ампутации ноги в полевом госпитале.</w:t>
      </w:r>
    </w:p>
    <w:p w14:paraId="2F3BF940" w14:textId="77777777" w:rsidR="002C4E14" w:rsidRPr="00405303" w:rsidRDefault="002C4E14" w:rsidP="00C15251">
      <w:pPr>
        <w:pStyle w:val="ae"/>
        <w:spacing w:before="0" w:beforeAutospacing="0" w:after="0" w:afterAutospacing="0"/>
        <w:jc w:val="both"/>
        <w:rPr>
          <w:bCs/>
          <w:color w:val="002060"/>
          <w:sz w:val="16"/>
          <w:szCs w:val="16"/>
        </w:rPr>
      </w:pPr>
      <w:r w:rsidRPr="00405303">
        <w:rPr>
          <w:bCs/>
          <w:color w:val="002060"/>
          <w:sz w:val="16"/>
          <w:szCs w:val="16"/>
        </w:rPr>
        <w:t>Владимир Мгебров был посмертно награжден орденом Св. Георгия 4-й степени (18519).</w:t>
      </w:r>
    </w:p>
    <w:p w14:paraId="2AD5E38B" w14:textId="77777777" w:rsidR="002C4E14" w:rsidRPr="00405303" w:rsidRDefault="002C4E14" w:rsidP="00C15251">
      <w:pPr>
        <w:pStyle w:val="ae"/>
        <w:spacing w:before="0" w:beforeAutospacing="0" w:after="0" w:afterAutospacing="0"/>
        <w:jc w:val="both"/>
        <w:rPr>
          <w:bCs/>
          <w:color w:val="002060"/>
          <w:sz w:val="16"/>
          <w:szCs w:val="16"/>
        </w:rPr>
      </w:pPr>
    </w:p>
    <w:p w14:paraId="0E2BDFC6" w14:textId="4673B52C" w:rsidR="0031207D" w:rsidRPr="00405303" w:rsidRDefault="0031207D" w:rsidP="0031207D">
      <w:pPr>
        <w:jc w:val="both"/>
        <w:rPr>
          <w:bCs/>
          <w:i/>
          <w:color w:val="002060"/>
          <w:sz w:val="16"/>
          <w:szCs w:val="16"/>
        </w:rPr>
      </w:pPr>
      <w:r w:rsidRPr="00405303">
        <w:rPr>
          <w:bCs/>
          <w:i/>
          <w:color w:val="002060"/>
          <w:sz w:val="16"/>
          <w:szCs w:val="16"/>
        </w:rPr>
        <w:t>Армия:</w:t>
      </w:r>
    </w:p>
    <w:p w14:paraId="4434767C" w14:textId="77777777" w:rsidR="0031207D" w:rsidRPr="00405303" w:rsidRDefault="0031207D" w:rsidP="0031207D">
      <w:pPr>
        <w:jc w:val="both"/>
        <w:rPr>
          <w:bCs/>
          <w:i/>
          <w:color w:val="002060"/>
          <w:sz w:val="16"/>
          <w:szCs w:val="16"/>
        </w:rPr>
      </w:pPr>
    </w:p>
    <w:p w14:paraId="3968AE90" w14:textId="77777777" w:rsidR="0031207D" w:rsidRPr="00405303" w:rsidRDefault="0031207D" w:rsidP="0031207D">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4 (17) сентября 1915 г. Ставка ВГК решила отвести войска за линию фронта и оставить г. Вильна несмотря на ожесточенное сопротивление, в ходе Виленской оборонительной операции (22.08—2.10.1915 г.). Правое крыло 10-й русской армии было оттеснено за р. Вилия, где имелись наши основные резервы (25135).</w:t>
      </w:r>
    </w:p>
    <w:p w14:paraId="7FFDA319" w14:textId="77777777" w:rsidR="0031207D" w:rsidRPr="00405303" w:rsidRDefault="0031207D" w:rsidP="0031207D">
      <w:pPr>
        <w:jc w:val="both"/>
        <w:rPr>
          <w:color w:val="0070C0"/>
          <w:sz w:val="16"/>
          <w:szCs w:val="16"/>
        </w:rPr>
      </w:pPr>
    </w:p>
    <w:p w14:paraId="08DCBF9B" w14:textId="22189605" w:rsidR="00E83162" w:rsidRPr="00405303" w:rsidRDefault="00E83162" w:rsidP="00C15251">
      <w:pPr>
        <w:jc w:val="both"/>
        <w:rPr>
          <w:bCs/>
          <w:i/>
          <w:color w:val="002060"/>
          <w:sz w:val="16"/>
          <w:szCs w:val="16"/>
        </w:rPr>
      </w:pPr>
      <w:r w:rsidRPr="00405303">
        <w:rPr>
          <w:bCs/>
          <w:i/>
          <w:color w:val="002060"/>
          <w:sz w:val="16"/>
          <w:szCs w:val="16"/>
        </w:rPr>
        <w:t>Авиация:</w:t>
      </w:r>
    </w:p>
    <w:p w14:paraId="3BCF1FC9" w14:textId="77777777" w:rsidR="00E83162" w:rsidRPr="00405303" w:rsidRDefault="00E83162" w:rsidP="00C15251">
      <w:pPr>
        <w:jc w:val="both"/>
        <w:rPr>
          <w:bCs/>
          <w:i/>
          <w:color w:val="002060"/>
          <w:sz w:val="16"/>
          <w:szCs w:val="16"/>
        </w:rPr>
      </w:pPr>
    </w:p>
    <w:p w14:paraId="61BE0071" w14:textId="77777777" w:rsidR="00E83162" w:rsidRPr="00405303" w:rsidRDefault="00E83162" w:rsidP="00C15251">
      <w:pPr>
        <w:jc w:val="both"/>
        <w:rPr>
          <w:bCs/>
          <w:color w:val="002060"/>
          <w:sz w:val="16"/>
          <w:szCs w:val="16"/>
        </w:rPr>
      </w:pPr>
      <w:r w:rsidRPr="00405303">
        <w:rPr>
          <w:rStyle w:val="ucoz-forum-post"/>
          <w:rFonts w:eastAsiaTheme="majorEastAsia"/>
          <w:bCs/>
          <w:color w:val="002060"/>
          <w:sz w:val="16"/>
          <w:szCs w:val="16"/>
        </w:rPr>
        <w:t xml:space="preserve">4 (17) сентября </w:t>
      </w:r>
      <w:r w:rsidRPr="00405303">
        <w:rPr>
          <w:bCs/>
          <w:color w:val="002060"/>
          <w:sz w:val="16"/>
          <w:szCs w:val="16"/>
        </w:rPr>
        <w:t>в 1915 году приказом Верховного Главнокомандующего главнокомандующему армиями Северного фронта определено сформировать авиационно-автомобильную дружину для воздушной обороны Петрограда. Начальник дружины граф А.Д.Шереметьев на свои средства создал авиационный и автомобильный отряды. В декабре 1916 г. Дружина перешла в подчинение Главного начальника Петроградского военного округа (14759).</w:t>
      </w:r>
    </w:p>
    <w:p w14:paraId="5123DD1F" w14:textId="77777777" w:rsidR="00E83162" w:rsidRPr="00405303" w:rsidRDefault="00E83162" w:rsidP="00C15251">
      <w:pPr>
        <w:jc w:val="both"/>
        <w:rPr>
          <w:bCs/>
          <w:color w:val="002060"/>
          <w:sz w:val="16"/>
          <w:szCs w:val="16"/>
        </w:rPr>
      </w:pPr>
    </w:p>
    <w:p w14:paraId="2D16B8A9" w14:textId="77777777" w:rsidR="007538DE" w:rsidRPr="00405303" w:rsidRDefault="007538DE" w:rsidP="00C15251">
      <w:pPr>
        <w:jc w:val="both"/>
        <w:rPr>
          <w:bCs/>
          <w:i/>
          <w:color w:val="002060"/>
          <w:sz w:val="16"/>
          <w:szCs w:val="16"/>
        </w:rPr>
      </w:pPr>
      <w:r w:rsidRPr="00405303">
        <w:rPr>
          <w:bCs/>
          <w:i/>
          <w:color w:val="002060"/>
          <w:sz w:val="16"/>
          <w:szCs w:val="16"/>
        </w:rPr>
        <w:t>Другие оборонные отрасли:</w:t>
      </w:r>
    </w:p>
    <w:p w14:paraId="5BB6EFA7" w14:textId="77777777" w:rsidR="007538DE" w:rsidRPr="00405303" w:rsidRDefault="007538DE" w:rsidP="00C15251">
      <w:pPr>
        <w:jc w:val="both"/>
        <w:rPr>
          <w:bCs/>
          <w:i/>
          <w:color w:val="002060"/>
          <w:sz w:val="16"/>
          <w:szCs w:val="16"/>
        </w:rPr>
      </w:pPr>
    </w:p>
    <w:p w14:paraId="4E8DA5D5" w14:textId="05609880" w:rsidR="007538DE" w:rsidRPr="00405303" w:rsidRDefault="007538DE" w:rsidP="00C15251">
      <w:pPr>
        <w:jc w:val="both"/>
        <w:rPr>
          <w:bCs/>
          <w:color w:val="002060"/>
          <w:sz w:val="16"/>
          <w:szCs w:val="16"/>
        </w:rPr>
      </w:pPr>
      <w:r w:rsidRPr="00405303">
        <w:rPr>
          <w:bCs/>
          <w:color w:val="002060"/>
          <w:sz w:val="16"/>
          <w:szCs w:val="16"/>
        </w:rPr>
        <w:t>5 (18) сентября 1915 г. в Петрограде стеклозаводчики на своем заседании признали, что «организация производства оптического стекла в России возможна только в настоящее время, если же время будет упущено, то по окончании войны дело может заглохнуть».</w:t>
      </w:r>
    </w:p>
    <w:p w14:paraId="2B1FA8F5" w14:textId="77777777" w:rsidR="007538DE" w:rsidRPr="00405303" w:rsidRDefault="007538DE"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Переговоры с фирмой семейства Парра-Мантуа об уступке технологии оказались бесплодными. Многочасовую беседу провела с упрямым Нума Парра целая делегация из России — профессора Гарднер, Путин, артиллерийский полковник В.А. Свидерский; они пытались «убедить Парра выдать секреты производства, предлагая какие угодно де</w:t>
      </w:r>
      <w:r w:rsidRPr="00405303">
        <w:rPr>
          <w:rFonts w:ascii="Times New Roman" w:hAnsi="Times New Roman" w:cs="Times New Roman"/>
          <w:bCs/>
          <w:color w:val="002060"/>
          <w:sz w:val="16"/>
          <w:szCs w:val="16"/>
        </w:rPr>
        <w:softHyphen/>
        <w:t>нежные вознаграждения», но ничего не вышло. «Следуя по иерархической лестнице, — писал Игнатьев, — я довел это дело до самого президента Республики». Р. Пуанкаре, «учи</w:t>
      </w:r>
      <w:r w:rsidRPr="00405303">
        <w:rPr>
          <w:rFonts w:ascii="Times New Roman" w:hAnsi="Times New Roman" w:cs="Times New Roman"/>
          <w:bCs/>
          <w:color w:val="002060"/>
          <w:sz w:val="16"/>
          <w:szCs w:val="16"/>
        </w:rPr>
        <w:softHyphen/>
        <w:t>тывая критическое положение под Верденом» и рассчитывая на помощь с Восточного фронта, «счел нужным оказать... содействие». Командированный им адъютант попытался по</w:t>
      </w:r>
      <w:r w:rsidRPr="00405303">
        <w:rPr>
          <w:rFonts w:ascii="Times New Roman" w:hAnsi="Times New Roman" w:cs="Times New Roman"/>
          <w:bCs/>
          <w:color w:val="002060"/>
          <w:sz w:val="16"/>
          <w:szCs w:val="16"/>
        </w:rPr>
        <w:softHyphen/>
        <w:t>влиять на заводчика, но тот «пришел в ярость и, в ответ на призыв к патриотическим чувствам, заявил, что покончил с патриотизмом, что сын его, единственный его помощник в варке стекла, убит под Верденом и если его, старика, бу</w:t>
      </w:r>
      <w:r w:rsidRPr="00405303">
        <w:rPr>
          <w:rFonts w:ascii="Times New Roman" w:hAnsi="Times New Roman" w:cs="Times New Roman"/>
          <w:bCs/>
          <w:color w:val="002060"/>
          <w:sz w:val="16"/>
          <w:szCs w:val="16"/>
        </w:rPr>
        <w:softHyphen/>
        <w:t>дут продолжать волновать такими разговорами, то он вооб</w:t>
      </w:r>
      <w:r w:rsidRPr="00405303">
        <w:rPr>
          <w:rFonts w:ascii="Times New Roman" w:hAnsi="Times New Roman" w:cs="Times New Roman"/>
          <w:bCs/>
          <w:color w:val="002060"/>
          <w:sz w:val="16"/>
          <w:szCs w:val="16"/>
        </w:rPr>
        <w:softHyphen/>
        <w:t>ще будет не в состоянии варить оптическое стекло. “Так и передайте президенту”, — отрезал он на прощанье и попро</w:t>
      </w:r>
      <w:r w:rsidRPr="00405303">
        <w:rPr>
          <w:rFonts w:ascii="Times New Roman" w:hAnsi="Times New Roman" w:cs="Times New Roman"/>
          <w:bCs/>
          <w:color w:val="002060"/>
          <w:sz w:val="16"/>
          <w:szCs w:val="16"/>
        </w:rPr>
        <w:softHyphen/>
        <w:t>сил гостей о выходе». По просьбе Игнатьева французское военное ведомство заказало пробную партию стекла неболь</w:t>
      </w:r>
      <w:r w:rsidRPr="00405303">
        <w:rPr>
          <w:rFonts w:ascii="Times New Roman" w:hAnsi="Times New Roman" w:cs="Times New Roman"/>
          <w:bCs/>
          <w:color w:val="002060"/>
          <w:sz w:val="16"/>
          <w:szCs w:val="16"/>
        </w:rPr>
        <w:softHyphen/>
        <w:t>шим заводам «Грайо» и «Энне», или «Хенне» (Graillot и Неп- пё) в пригороде Парижа. Он рассчитывал, что артиллерий</w:t>
      </w:r>
      <w:r w:rsidRPr="00405303">
        <w:rPr>
          <w:rFonts w:ascii="Times New Roman" w:hAnsi="Times New Roman" w:cs="Times New Roman"/>
          <w:bCs/>
          <w:color w:val="002060"/>
          <w:sz w:val="16"/>
          <w:szCs w:val="16"/>
        </w:rPr>
        <w:softHyphen/>
        <w:t>ский приемщик в дальнейшем «сможет, пожалуй, извлечь часть необходимых сведений от этих двух заводчиков, хотя и менее совершенных, но более сговорчивых, чем Парра» (Стеклозаводчик. 1915. № 23. С. 8; РГВИА. Ф. 504. Оп. 10. Д. 8. Л. 314 и об.; Качалов Н.Н. Указ. соч. С. 448).</w:t>
      </w:r>
    </w:p>
    <w:p w14:paraId="78A18AE7" w14:textId="77777777" w:rsidR="007538DE" w:rsidRPr="00405303" w:rsidRDefault="007538DE"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В конце концов пришлось обратиться к англичанам; на фирму «Чанс» было произведено «сильное давление» со стороны английского правительства. Выяснилось, что на переоборудование Фарфорового завода «потребуется круп</w:t>
      </w:r>
      <w:r w:rsidRPr="00405303">
        <w:rPr>
          <w:rFonts w:ascii="Times New Roman" w:hAnsi="Times New Roman" w:cs="Times New Roman"/>
          <w:bCs/>
          <w:color w:val="002060"/>
          <w:sz w:val="16"/>
          <w:szCs w:val="16"/>
        </w:rPr>
        <w:softHyphen/>
        <w:t>ная затрата, хотя и раскладываемая на несколько ближай</w:t>
      </w:r>
      <w:r w:rsidRPr="00405303">
        <w:rPr>
          <w:rFonts w:ascii="Times New Roman" w:hAnsi="Times New Roman" w:cs="Times New Roman"/>
          <w:bCs/>
          <w:color w:val="002060"/>
          <w:sz w:val="16"/>
          <w:szCs w:val="16"/>
        </w:rPr>
        <w:softHyphen/>
        <w:t>ших лет, но в общем достигающая суммы свыше 500 тысяч рублей». Согласие английской фирмы оказать техническое содействие обошлось заводу еще в 600 тысяч рублей золотом1. Качалову и инженерам Гребенщикову и Б.Ф. Тарнке было разрешено «в деталях» ознакомиться с постановкой произ</w:t>
      </w:r>
      <w:r w:rsidRPr="00405303">
        <w:rPr>
          <w:rFonts w:ascii="Times New Roman" w:hAnsi="Times New Roman" w:cs="Times New Roman"/>
          <w:bCs/>
          <w:color w:val="002060"/>
          <w:sz w:val="16"/>
          <w:szCs w:val="16"/>
        </w:rPr>
        <w:softHyphen/>
        <w:t>водства в Бирмингеме. Вместе с ними в мае и летом 1916 г. на английском заводе побывали трое рабочих Фарфорового завода — стекловар, горшечник и мастер разрезки стекла. Качалову передали «все чертежи печей и установок вплоть до мельчайших деталей, описание всего производства», и он приступил к проектированию цеха «по типу завода братьев Чанс». Этим «производство оптического стекла было гаран</w:t>
      </w:r>
      <w:r w:rsidRPr="00405303">
        <w:rPr>
          <w:rFonts w:ascii="Times New Roman" w:hAnsi="Times New Roman" w:cs="Times New Roman"/>
          <w:bCs/>
          <w:color w:val="002060"/>
          <w:sz w:val="16"/>
          <w:szCs w:val="16"/>
        </w:rPr>
        <w:softHyphen/>
        <w:t xml:space="preserve">тировано в России», — писал Рождественский (РГВИА. Ф. 369. </w:t>
      </w:r>
      <w:r w:rsidRPr="00405303">
        <w:rPr>
          <w:rFonts w:ascii="Times New Roman" w:hAnsi="Times New Roman" w:cs="Times New Roman"/>
          <w:bCs/>
          <w:color w:val="002060"/>
          <w:sz w:val="16"/>
          <w:szCs w:val="16"/>
          <w:lang w:val="en-US" w:bidi="en-US"/>
        </w:rPr>
        <w:t>On</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1. Д. 122. Л. 2, 14; Рождественский Д.С. За</w:t>
      </w:r>
      <w:r w:rsidRPr="00405303">
        <w:rPr>
          <w:rFonts w:ascii="Times New Roman" w:hAnsi="Times New Roman" w:cs="Times New Roman"/>
          <w:bCs/>
          <w:color w:val="002060"/>
          <w:sz w:val="16"/>
          <w:szCs w:val="16"/>
        </w:rPr>
        <w:softHyphen/>
        <w:t>писка. С. 594; Цейтлин М.А. Указ. соч. С</w:t>
      </w:r>
      <w:r w:rsidRPr="00405303">
        <w:rPr>
          <w:rFonts w:ascii="Times New Roman" w:hAnsi="Times New Roman" w:cs="Times New Roman"/>
          <w:bCs/>
          <w:color w:val="002060"/>
          <w:sz w:val="16"/>
          <w:szCs w:val="16"/>
          <w:lang w:val="en-US"/>
        </w:rPr>
        <w:t xml:space="preserve">. 124; </w:t>
      </w:r>
      <w:r w:rsidRPr="00405303">
        <w:rPr>
          <w:rFonts w:ascii="Times New Roman" w:hAnsi="Times New Roman" w:cs="Times New Roman"/>
          <w:bCs/>
          <w:color w:val="002060"/>
          <w:sz w:val="16"/>
          <w:szCs w:val="16"/>
          <w:lang w:val="en-US" w:bidi="en-US"/>
        </w:rPr>
        <w:t xml:space="preserve">From Tsarism to the New Economic Policy. P. 196; </w:t>
      </w:r>
      <w:r w:rsidRPr="00405303">
        <w:rPr>
          <w:rFonts w:ascii="Times New Roman" w:hAnsi="Times New Roman" w:cs="Times New Roman"/>
          <w:bCs/>
          <w:color w:val="002060"/>
          <w:sz w:val="16"/>
          <w:szCs w:val="16"/>
        </w:rPr>
        <w:t>РГВИА</w:t>
      </w:r>
      <w:r w:rsidRPr="00405303">
        <w:rPr>
          <w:rFonts w:ascii="Times New Roman" w:hAnsi="Times New Roman" w:cs="Times New Roman"/>
          <w:bCs/>
          <w:color w:val="002060"/>
          <w:sz w:val="16"/>
          <w:szCs w:val="16"/>
          <w:lang w:val="en-US"/>
        </w:rPr>
        <w:t xml:space="preserve">. </w:t>
      </w:r>
      <w:r w:rsidRPr="00405303">
        <w:rPr>
          <w:rFonts w:ascii="Times New Roman" w:hAnsi="Times New Roman" w:cs="Times New Roman"/>
          <w:bCs/>
          <w:color w:val="002060"/>
          <w:sz w:val="16"/>
          <w:szCs w:val="16"/>
        </w:rPr>
        <w:t xml:space="preserve">Ф. </w:t>
      </w:r>
      <w:r w:rsidRPr="00405303">
        <w:rPr>
          <w:rFonts w:ascii="Times New Roman" w:hAnsi="Times New Roman" w:cs="Times New Roman"/>
          <w:bCs/>
          <w:color w:val="002060"/>
          <w:sz w:val="16"/>
          <w:szCs w:val="16"/>
          <w:lang w:bidi="en-US"/>
        </w:rPr>
        <w:t xml:space="preserve">29. </w:t>
      </w:r>
      <w:r w:rsidRPr="00405303">
        <w:rPr>
          <w:rFonts w:ascii="Times New Roman" w:hAnsi="Times New Roman" w:cs="Times New Roman"/>
          <w:bCs/>
          <w:color w:val="002060"/>
          <w:sz w:val="16"/>
          <w:szCs w:val="16"/>
          <w:lang w:val="en-US" w:bidi="en-US"/>
        </w:rPr>
        <w:t>On</w:t>
      </w:r>
      <w:r w:rsidRPr="00405303">
        <w:rPr>
          <w:rFonts w:ascii="Times New Roman" w:hAnsi="Times New Roman" w:cs="Times New Roman"/>
          <w:bCs/>
          <w:color w:val="002060"/>
          <w:sz w:val="16"/>
          <w:szCs w:val="16"/>
          <w:lang w:bidi="en-US"/>
        </w:rPr>
        <w:t xml:space="preserve">. 3. </w:t>
      </w:r>
      <w:r w:rsidRPr="00405303">
        <w:rPr>
          <w:rFonts w:ascii="Times New Roman" w:hAnsi="Times New Roman" w:cs="Times New Roman"/>
          <w:bCs/>
          <w:color w:val="002060"/>
          <w:sz w:val="16"/>
          <w:szCs w:val="16"/>
        </w:rPr>
        <w:t xml:space="preserve">Д. </w:t>
      </w:r>
      <w:r w:rsidRPr="00405303">
        <w:rPr>
          <w:rFonts w:ascii="Times New Roman" w:hAnsi="Times New Roman" w:cs="Times New Roman"/>
          <w:bCs/>
          <w:color w:val="002060"/>
          <w:sz w:val="16"/>
          <w:szCs w:val="16"/>
          <w:lang w:bidi="en-US"/>
        </w:rPr>
        <w:t xml:space="preserve">786. </w:t>
      </w:r>
      <w:r w:rsidRPr="00405303">
        <w:rPr>
          <w:rFonts w:ascii="Times New Roman" w:hAnsi="Times New Roman" w:cs="Times New Roman"/>
          <w:bCs/>
          <w:color w:val="002060"/>
          <w:sz w:val="16"/>
          <w:szCs w:val="16"/>
        </w:rPr>
        <w:t xml:space="preserve">Л. </w:t>
      </w:r>
      <w:r w:rsidRPr="00405303">
        <w:rPr>
          <w:rFonts w:ascii="Times New Roman" w:hAnsi="Times New Roman" w:cs="Times New Roman"/>
          <w:bCs/>
          <w:color w:val="002060"/>
          <w:sz w:val="16"/>
          <w:szCs w:val="16"/>
          <w:lang w:bidi="en-US"/>
        </w:rPr>
        <w:t xml:space="preserve">2; </w:t>
      </w:r>
      <w:r w:rsidRPr="00405303">
        <w:rPr>
          <w:rFonts w:ascii="Times New Roman" w:hAnsi="Times New Roman" w:cs="Times New Roman"/>
          <w:bCs/>
          <w:color w:val="002060"/>
          <w:sz w:val="16"/>
          <w:szCs w:val="16"/>
        </w:rPr>
        <w:t xml:space="preserve">Рождественский Д.С. Записка. С. </w:t>
      </w:r>
      <w:r w:rsidRPr="00405303">
        <w:rPr>
          <w:rFonts w:ascii="Times New Roman" w:hAnsi="Times New Roman" w:cs="Times New Roman"/>
          <w:bCs/>
          <w:color w:val="002060"/>
          <w:sz w:val="16"/>
          <w:szCs w:val="16"/>
          <w:lang w:bidi="en-US"/>
        </w:rPr>
        <w:t xml:space="preserve">594; </w:t>
      </w:r>
      <w:r w:rsidRPr="00405303">
        <w:rPr>
          <w:rFonts w:ascii="Times New Roman" w:hAnsi="Times New Roman" w:cs="Times New Roman"/>
          <w:bCs/>
          <w:color w:val="002060"/>
          <w:sz w:val="16"/>
          <w:szCs w:val="16"/>
        </w:rPr>
        <w:t>Стожаров А.И. Наука об оптическом стекле. С. 450; Качалов Н.Н. Указ. соч. С. 448) (23452).</w:t>
      </w:r>
    </w:p>
    <w:p w14:paraId="685AC031" w14:textId="77777777" w:rsidR="007538DE" w:rsidRPr="00405303" w:rsidRDefault="007538DE" w:rsidP="00C15251">
      <w:pPr>
        <w:jc w:val="both"/>
        <w:rPr>
          <w:bCs/>
          <w:color w:val="002060"/>
          <w:sz w:val="16"/>
          <w:szCs w:val="16"/>
        </w:rPr>
      </w:pPr>
    </w:p>
    <w:p w14:paraId="69E9FCAC" w14:textId="4D04AE56" w:rsidR="00174C66" w:rsidRPr="00405303" w:rsidRDefault="00174C66" w:rsidP="00C15251">
      <w:pPr>
        <w:jc w:val="both"/>
        <w:rPr>
          <w:bCs/>
          <w:i/>
          <w:color w:val="002060"/>
          <w:sz w:val="16"/>
          <w:szCs w:val="16"/>
        </w:rPr>
      </w:pPr>
      <w:r w:rsidRPr="00405303">
        <w:rPr>
          <w:bCs/>
          <w:i/>
          <w:color w:val="002060"/>
          <w:sz w:val="16"/>
          <w:szCs w:val="16"/>
        </w:rPr>
        <w:t>Армия:</w:t>
      </w:r>
    </w:p>
    <w:p w14:paraId="205675CF" w14:textId="77777777" w:rsidR="00174C66" w:rsidRPr="00405303" w:rsidRDefault="00174C66" w:rsidP="00C15251">
      <w:pPr>
        <w:jc w:val="both"/>
        <w:rPr>
          <w:bCs/>
          <w:i/>
          <w:color w:val="002060"/>
          <w:sz w:val="16"/>
          <w:szCs w:val="16"/>
        </w:rPr>
      </w:pPr>
    </w:p>
    <w:p w14:paraId="2FF24644" w14:textId="34304D91" w:rsidR="00174C66" w:rsidRPr="00405303" w:rsidRDefault="00174C66" w:rsidP="00C15251">
      <w:pPr>
        <w:jc w:val="both"/>
        <w:rPr>
          <w:bCs/>
          <w:color w:val="002060"/>
          <w:sz w:val="16"/>
          <w:szCs w:val="16"/>
          <w:lang w:bidi="en-US"/>
        </w:rPr>
      </w:pPr>
      <w:r w:rsidRPr="00405303">
        <w:rPr>
          <w:bCs/>
          <w:color w:val="002060"/>
          <w:sz w:val="16"/>
          <w:szCs w:val="16"/>
          <w:lang w:bidi="en-US"/>
        </w:rPr>
        <w:t>5 (18) сентября 1915 г. на Западном фронте быстро наступавшие немцы захватили Вильно (23525).</w:t>
      </w:r>
    </w:p>
    <w:p w14:paraId="7C7E5DCA" w14:textId="77777777" w:rsidR="00174C66" w:rsidRPr="00405303" w:rsidRDefault="00174C66" w:rsidP="00C15251">
      <w:pPr>
        <w:jc w:val="both"/>
        <w:rPr>
          <w:bCs/>
          <w:color w:val="002060"/>
          <w:sz w:val="16"/>
          <w:szCs w:val="16"/>
        </w:rPr>
      </w:pPr>
    </w:p>
    <w:p w14:paraId="21E82EE9" w14:textId="508F30F8" w:rsidR="004B4E35" w:rsidRPr="00405303" w:rsidRDefault="009E6F82" w:rsidP="00C15251">
      <w:pPr>
        <w:jc w:val="both"/>
        <w:rPr>
          <w:bCs/>
          <w:i/>
          <w:color w:val="002060"/>
          <w:sz w:val="16"/>
          <w:szCs w:val="16"/>
        </w:rPr>
      </w:pPr>
      <w:r w:rsidRPr="00405303">
        <w:rPr>
          <w:bCs/>
          <w:i/>
          <w:color w:val="002060"/>
          <w:sz w:val="16"/>
          <w:szCs w:val="16"/>
        </w:rPr>
        <w:t>Жизнь и внутреняя политика:</w:t>
      </w:r>
    </w:p>
    <w:p w14:paraId="635C5BC3" w14:textId="77777777" w:rsidR="004B4E35" w:rsidRPr="00405303" w:rsidRDefault="004B4E35" w:rsidP="00C15251">
      <w:pPr>
        <w:jc w:val="both"/>
        <w:rPr>
          <w:bCs/>
          <w:i/>
          <w:color w:val="002060"/>
          <w:sz w:val="16"/>
          <w:szCs w:val="16"/>
        </w:rPr>
      </w:pPr>
    </w:p>
    <w:p w14:paraId="56901605" w14:textId="0BAC0710"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5—8 (18-21) сентября 1915 г. в Циммервальде (Швейцария) </w:t>
      </w:r>
      <w:r w:rsidR="00E83162" w:rsidRPr="00405303">
        <w:rPr>
          <w:bCs/>
          <w:i w:val="0"/>
          <w:color w:val="002060"/>
          <w:spacing w:val="0"/>
          <w:kern w:val="0"/>
          <w:position w:val="0"/>
          <w:sz w:val="16"/>
          <w:szCs w:val="16"/>
        </w:rPr>
        <w:t xml:space="preserve">прошла международная социалистическая конференция </w:t>
      </w:r>
      <w:r w:rsidRPr="00405303">
        <w:rPr>
          <w:bCs/>
          <w:i w:val="0"/>
          <w:color w:val="002060"/>
          <w:spacing w:val="0"/>
          <w:kern w:val="0"/>
          <w:position w:val="0"/>
          <w:sz w:val="16"/>
          <w:szCs w:val="16"/>
        </w:rPr>
        <w:t xml:space="preserve">и </w:t>
      </w:r>
      <w:r w:rsidR="00E83162" w:rsidRPr="00405303">
        <w:rPr>
          <w:bCs/>
          <w:i w:val="0"/>
          <w:color w:val="002060"/>
          <w:spacing w:val="0"/>
          <w:kern w:val="0"/>
          <w:position w:val="0"/>
          <w:sz w:val="16"/>
          <w:szCs w:val="16"/>
        </w:rPr>
        <w:t xml:space="preserve">была </w:t>
      </w:r>
      <w:r w:rsidRPr="00405303">
        <w:rPr>
          <w:bCs/>
          <w:i w:val="0"/>
          <w:color w:val="002060"/>
          <w:spacing w:val="0"/>
          <w:kern w:val="0"/>
          <w:position w:val="0"/>
          <w:sz w:val="16"/>
          <w:szCs w:val="16"/>
        </w:rPr>
        <w:t>создан</w:t>
      </w:r>
      <w:r w:rsidR="00E83162" w:rsidRPr="00405303">
        <w:rPr>
          <w:bCs/>
          <w:i w:val="0"/>
          <w:color w:val="002060"/>
          <w:spacing w:val="0"/>
          <w:kern w:val="0"/>
          <w:position w:val="0"/>
          <w:sz w:val="16"/>
          <w:szCs w:val="16"/>
        </w:rPr>
        <w:t>а</w:t>
      </w:r>
      <w:r w:rsidRPr="00405303">
        <w:rPr>
          <w:bCs/>
          <w:i w:val="0"/>
          <w:color w:val="002060"/>
          <w:spacing w:val="0"/>
          <w:kern w:val="0"/>
          <w:position w:val="0"/>
          <w:sz w:val="16"/>
          <w:szCs w:val="16"/>
        </w:rPr>
        <w:t xml:space="preserve"> так называем</w:t>
      </w:r>
      <w:r w:rsidR="00E83162" w:rsidRPr="00405303">
        <w:rPr>
          <w:bCs/>
          <w:i w:val="0"/>
          <w:color w:val="002060"/>
          <w:spacing w:val="0"/>
          <w:kern w:val="0"/>
          <w:position w:val="0"/>
          <w:sz w:val="16"/>
          <w:szCs w:val="16"/>
        </w:rPr>
        <w:t>ая</w:t>
      </w:r>
      <w:r w:rsidRPr="00405303">
        <w:rPr>
          <w:bCs/>
          <w:i w:val="0"/>
          <w:color w:val="002060"/>
          <w:spacing w:val="0"/>
          <w:kern w:val="0"/>
          <w:position w:val="0"/>
          <w:sz w:val="16"/>
          <w:szCs w:val="16"/>
        </w:rPr>
        <w:t xml:space="preserve"> </w:t>
      </w:r>
      <w:r w:rsidRPr="00405303">
        <w:rPr>
          <w:bCs/>
          <w:color w:val="002060"/>
          <w:spacing w:val="0"/>
          <w:kern w:val="0"/>
          <w:position w:val="0"/>
          <w:sz w:val="16"/>
          <w:szCs w:val="16"/>
        </w:rPr>
        <w:t>Циммервальдск</w:t>
      </w:r>
      <w:r w:rsidR="00E83162" w:rsidRPr="00405303">
        <w:rPr>
          <w:bCs/>
          <w:color w:val="002060"/>
          <w:spacing w:val="0"/>
          <w:kern w:val="0"/>
          <w:position w:val="0"/>
          <w:sz w:val="16"/>
          <w:szCs w:val="16"/>
        </w:rPr>
        <w:t>ая</w:t>
      </w:r>
      <w:r w:rsidRPr="00405303">
        <w:rPr>
          <w:bCs/>
          <w:color w:val="002060"/>
          <w:spacing w:val="0"/>
          <w:kern w:val="0"/>
          <w:position w:val="0"/>
          <w:sz w:val="16"/>
          <w:szCs w:val="16"/>
        </w:rPr>
        <w:t xml:space="preserve"> лев</w:t>
      </w:r>
      <w:r w:rsidR="00E83162" w:rsidRPr="00405303">
        <w:rPr>
          <w:bCs/>
          <w:color w:val="002060"/>
          <w:spacing w:val="0"/>
          <w:kern w:val="0"/>
          <w:position w:val="0"/>
          <w:sz w:val="16"/>
          <w:szCs w:val="16"/>
        </w:rPr>
        <w:t>ая</w:t>
      </w:r>
      <w:r w:rsidRPr="00405303">
        <w:rPr>
          <w:bCs/>
          <w:i w:val="0"/>
          <w:color w:val="002060"/>
          <w:spacing w:val="0"/>
          <w:kern w:val="0"/>
          <w:position w:val="0"/>
          <w:sz w:val="16"/>
          <w:szCs w:val="16"/>
        </w:rPr>
        <w:t>, а втор</w:t>
      </w:r>
      <w:r w:rsidR="00E83162" w:rsidRPr="00405303">
        <w:rPr>
          <w:bCs/>
          <w:i w:val="0"/>
          <w:color w:val="002060"/>
          <w:spacing w:val="0"/>
          <w:kern w:val="0"/>
          <w:position w:val="0"/>
          <w:sz w:val="16"/>
          <w:szCs w:val="16"/>
        </w:rPr>
        <w:t>ая</w:t>
      </w:r>
      <w:r w:rsidRPr="00405303">
        <w:rPr>
          <w:bCs/>
          <w:i w:val="0"/>
          <w:color w:val="002060"/>
          <w:spacing w:val="0"/>
          <w:kern w:val="0"/>
          <w:position w:val="0"/>
          <w:sz w:val="16"/>
          <w:szCs w:val="16"/>
        </w:rPr>
        <w:t xml:space="preserve"> социалистическ</w:t>
      </w:r>
      <w:r w:rsidR="00E83162" w:rsidRPr="00405303">
        <w:rPr>
          <w:bCs/>
          <w:i w:val="0"/>
          <w:color w:val="002060"/>
          <w:spacing w:val="0"/>
          <w:kern w:val="0"/>
          <w:position w:val="0"/>
          <w:sz w:val="16"/>
          <w:szCs w:val="16"/>
        </w:rPr>
        <w:t>ая</w:t>
      </w:r>
      <w:r w:rsidRPr="00405303">
        <w:rPr>
          <w:bCs/>
          <w:i w:val="0"/>
          <w:color w:val="002060"/>
          <w:spacing w:val="0"/>
          <w:kern w:val="0"/>
          <w:position w:val="0"/>
          <w:sz w:val="16"/>
          <w:szCs w:val="16"/>
        </w:rPr>
        <w:t xml:space="preserve"> конференци</w:t>
      </w:r>
      <w:r w:rsidR="00E83162" w:rsidRPr="00405303">
        <w:rPr>
          <w:bCs/>
          <w:i w:val="0"/>
          <w:color w:val="002060"/>
          <w:spacing w:val="0"/>
          <w:kern w:val="0"/>
          <w:position w:val="0"/>
          <w:sz w:val="16"/>
          <w:szCs w:val="16"/>
        </w:rPr>
        <w:t>я</w:t>
      </w:r>
      <w:r w:rsidRPr="00405303">
        <w:rPr>
          <w:bCs/>
          <w:i w:val="0"/>
          <w:color w:val="002060"/>
          <w:spacing w:val="0"/>
          <w:kern w:val="0"/>
          <w:position w:val="0"/>
          <w:sz w:val="16"/>
          <w:szCs w:val="16"/>
        </w:rPr>
        <w:t xml:space="preserve"> (апрель 1916 г.) </w:t>
      </w:r>
      <w:r w:rsidR="00E83162" w:rsidRPr="00405303">
        <w:rPr>
          <w:bCs/>
          <w:i w:val="0"/>
          <w:color w:val="002060"/>
          <w:spacing w:val="0"/>
          <w:kern w:val="0"/>
          <w:position w:val="0"/>
          <w:sz w:val="16"/>
          <w:szCs w:val="16"/>
        </w:rPr>
        <w:t xml:space="preserve">прошла </w:t>
      </w:r>
      <w:r w:rsidRPr="00405303">
        <w:rPr>
          <w:bCs/>
          <w:i w:val="0"/>
          <w:color w:val="002060"/>
          <w:spacing w:val="0"/>
          <w:kern w:val="0"/>
          <w:position w:val="0"/>
          <w:sz w:val="16"/>
          <w:szCs w:val="16"/>
        </w:rPr>
        <w:t>в Кинтале (Швейцария). Конференция в Кинтале продолжила работу Циммервальдской левой по дальнейшему размежеванию с оппортунистами и центристами, сплочению левых интернационалистических элементов.</w:t>
      </w:r>
    </w:p>
    <w:p w14:paraId="70A9A76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Политика РСДРП(б), проводимая в тылу и на фронте, усугубила размежевание масс, породила сомнения в конечном успехе в войне. Главным настроением на фронте и в тылу становится стремление к миру — к окончанию чуждой народу, длительной и кровопролитной войны. Это стремление у солдат проявилось в различных формах. Широкий размах приобрели братание, а также дезертирство. Всюду в воинских частях, в офицерских собраниях в присутствии командиров, в штабах и т.д. — говорилось о негодности правительства. В тылу формой недовольства правительством стал рост забастовочного движения.</w:t>
      </w:r>
    </w:p>
    <w:p w14:paraId="3788928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Свою лепту в раскол общества внес буржуазный лагерь, представленный несколькими партиями и группами. Деятельность буржуазных общественных организаций, подобных Центральному военно-промышленному комитету (ЦВПК) и Всероссийскому земскому и городскому союзам (Земгору), по консолидации власти в руках буржуазии привела к росту оппозиционных настроений в обществе. Раскол усугубило создание в августе 1915 г. буржуазно-помещичьей фракции в Государственной </w:t>
      </w:r>
      <w:r w:rsidRPr="00405303">
        <w:rPr>
          <w:bCs/>
          <w:i w:val="0"/>
          <w:color w:val="002060"/>
          <w:spacing w:val="0"/>
          <w:kern w:val="0"/>
          <w:position w:val="0"/>
          <w:sz w:val="16"/>
          <w:szCs w:val="16"/>
        </w:rPr>
        <w:lastRenderedPageBreak/>
        <w:t>думе — Прогрессивного блока, разработавшего программу, основой которой стало допущение буржуазии к власти и осуществление таких задач, как предотвращение революции, доведение войны до победного конца при сохранении монархии. В качестве средства к достижению этих целей Прогрессивный блок требовал от царя создания «объединенного правительства» из лиц, пользующихся доверием страны, т.е. такого министерства, которому доверяла бы буржуазия. Осенью 1916 г. эти требования буржуазии конкретизировались в лозунге создания «ответственного министерства», которое было бы подконтрольно в своей деятельности Думе. Однако царь отверг эти требования, а затем поставил вопрос о роспуске самой Думы до конца войны (11270).</w:t>
      </w:r>
    </w:p>
    <w:p w14:paraId="0D694897" w14:textId="77777777" w:rsidR="004B4E35" w:rsidRPr="00405303" w:rsidRDefault="004B4E35" w:rsidP="00C15251">
      <w:pPr>
        <w:jc w:val="both"/>
        <w:rPr>
          <w:bCs/>
          <w:color w:val="002060"/>
          <w:sz w:val="16"/>
          <w:szCs w:val="16"/>
        </w:rPr>
      </w:pPr>
    </w:p>
    <w:p w14:paraId="430C93DF" w14:textId="70CD8D66" w:rsidR="002C4E14" w:rsidRPr="00405303" w:rsidRDefault="002C4E14" w:rsidP="00C15251">
      <w:pPr>
        <w:jc w:val="both"/>
        <w:rPr>
          <w:bCs/>
          <w:color w:val="002060"/>
          <w:sz w:val="16"/>
          <w:szCs w:val="16"/>
        </w:rPr>
      </w:pPr>
      <w:r w:rsidRPr="00405303">
        <w:rPr>
          <w:bCs/>
          <w:color w:val="002060"/>
          <w:sz w:val="16"/>
          <w:szCs w:val="16"/>
        </w:rPr>
        <w:t xml:space="preserve">5 </w:t>
      </w:r>
      <w:r w:rsidR="007031D6" w:rsidRPr="00405303">
        <w:rPr>
          <w:bCs/>
          <w:color w:val="002060"/>
          <w:sz w:val="16"/>
          <w:szCs w:val="16"/>
        </w:rPr>
        <w:t xml:space="preserve">(18) </w:t>
      </w:r>
      <w:r w:rsidRPr="00405303">
        <w:rPr>
          <w:bCs/>
          <w:color w:val="002060"/>
          <w:sz w:val="16"/>
          <w:szCs w:val="16"/>
        </w:rPr>
        <w:t>сентября в 1915 году в Циммеpвальде начинает pаботу Междунаpодная социалистическая конфеpенция с участием pоссийских большевиков и меньшевиков. Ленин и Зиновьев выдвигают лозунг "превращения империалистической войны в войну революционную" (14760).</w:t>
      </w:r>
    </w:p>
    <w:p w14:paraId="54919AC4" w14:textId="77777777" w:rsidR="002C4E14" w:rsidRPr="00405303" w:rsidRDefault="002C4E14" w:rsidP="00C15251">
      <w:pPr>
        <w:jc w:val="both"/>
        <w:rPr>
          <w:bCs/>
          <w:color w:val="002060"/>
          <w:sz w:val="16"/>
          <w:szCs w:val="16"/>
        </w:rPr>
      </w:pPr>
    </w:p>
    <w:p w14:paraId="70EB395A" w14:textId="77777777" w:rsidR="002C4E14" w:rsidRPr="00405303" w:rsidRDefault="002C4E14" w:rsidP="00C15251">
      <w:pPr>
        <w:jc w:val="both"/>
        <w:rPr>
          <w:bCs/>
          <w:i/>
          <w:color w:val="002060"/>
          <w:sz w:val="16"/>
          <w:szCs w:val="16"/>
        </w:rPr>
      </w:pPr>
      <w:r w:rsidRPr="00405303">
        <w:rPr>
          <w:bCs/>
          <w:i/>
          <w:color w:val="002060"/>
          <w:sz w:val="16"/>
          <w:szCs w:val="16"/>
        </w:rPr>
        <w:t>За рубежом:</w:t>
      </w:r>
    </w:p>
    <w:p w14:paraId="0B041DF8" w14:textId="77777777" w:rsidR="002C4E14" w:rsidRPr="00405303" w:rsidRDefault="002C4E14" w:rsidP="00C15251">
      <w:pPr>
        <w:jc w:val="both"/>
        <w:rPr>
          <w:bCs/>
          <w:color w:val="002060"/>
          <w:sz w:val="16"/>
          <w:szCs w:val="16"/>
        </w:rPr>
      </w:pPr>
    </w:p>
    <w:p w14:paraId="37FE78B4" w14:textId="77777777" w:rsidR="002C4E14" w:rsidRPr="00405303" w:rsidRDefault="002C4E14" w:rsidP="00C15251">
      <w:pPr>
        <w:jc w:val="both"/>
        <w:rPr>
          <w:bCs/>
          <w:color w:val="002060"/>
          <w:sz w:val="16"/>
          <w:szCs w:val="16"/>
        </w:rPr>
      </w:pPr>
      <w:r w:rsidRPr="00405303">
        <w:rPr>
          <w:rStyle w:val="ucoz-forum-post"/>
          <w:rFonts w:eastAsiaTheme="majorEastAsia"/>
          <w:bCs/>
          <w:color w:val="002060"/>
          <w:sz w:val="16"/>
          <w:szCs w:val="16"/>
        </w:rPr>
        <w:t xml:space="preserve">5 (18) сентября </w:t>
      </w:r>
      <w:r w:rsidRPr="00405303">
        <w:rPr>
          <w:bCs/>
          <w:color w:val="002060"/>
          <w:sz w:val="16"/>
          <w:szCs w:val="16"/>
        </w:rPr>
        <w:t>в 1915 году Германия отводит свои подводные лодки из Ла-Манша и Западной Атлантики, чтобы уменьшить опасность, которой подвергаются американские суда (14773).</w:t>
      </w:r>
    </w:p>
    <w:p w14:paraId="3869616A" w14:textId="77777777" w:rsidR="002C4E14" w:rsidRPr="00405303" w:rsidRDefault="002C4E14" w:rsidP="00C15251">
      <w:pPr>
        <w:jc w:val="both"/>
        <w:rPr>
          <w:bCs/>
          <w:color w:val="002060"/>
          <w:sz w:val="16"/>
          <w:szCs w:val="16"/>
        </w:rPr>
      </w:pPr>
    </w:p>
    <w:p w14:paraId="5577320C" w14:textId="77777777" w:rsidR="007538DE" w:rsidRPr="00405303" w:rsidRDefault="007538DE" w:rsidP="00C15251">
      <w:pPr>
        <w:jc w:val="both"/>
        <w:rPr>
          <w:bCs/>
          <w:i/>
          <w:color w:val="002060"/>
          <w:sz w:val="16"/>
          <w:szCs w:val="16"/>
        </w:rPr>
      </w:pPr>
      <w:r w:rsidRPr="00405303">
        <w:rPr>
          <w:bCs/>
          <w:i/>
          <w:color w:val="002060"/>
          <w:sz w:val="16"/>
          <w:szCs w:val="16"/>
        </w:rPr>
        <w:t>Другие оборонные отрасли:</w:t>
      </w:r>
    </w:p>
    <w:p w14:paraId="58C7CABA" w14:textId="77777777" w:rsidR="007538DE" w:rsidRPr="00405303" w:rsidRDefault="007538DE" w:rsidP="00C15251">
      <w:pPr>
        <w:jc w:val="both"/>
        <w:rPr>
          <w:bCs/>
          <w:i/>
          <w:color w:val="002060"/>
          <w:sz w:val="16"/>
          <w:szCs w:val="16"/>
        </w:rPr>
      </w:pPr>
    </w:p>
    <w:p w14:paraId="35E92963" w14:textId="1BC0F3EC" w:rsidR="007538DE" w:rsidRPr="00405303" w:rsidRDefault="007538DE"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6 (19) сентября 1915 г., согласно справке ГАУ, использование в металлургии древесного угля предполагало обширные лесозаготовки, для чего к заводу были приписаны два лесничества, использовавшие в военных условиях при</w:t>
      </w:r>
      <w:r w:rsidRPr="00405303">
        <w:rPr>
          <w:rFonts w:ascii="Times New Roman" w:hAnsi="Times New Roman" w:cs="Times New Roman"/>
          <w:bCs/>
          <w:color w:val="002060"/>
          <w:sz w:val="16"/>
          <w:szCs w:val="16"/>
        </w:rPr>
        <w:softHyphen/>
        <w:t>нудительный труд десятков тысяч лесорубов, возчиков и углежогов из окрестных крестьян и военнопленных (Рабочий класс Урала в годы войны и революций. Свердловск, 1927. Т. 1. С. 10, 15; Садаков М.А. Аграрные отношения на территории Удмуртии в период империализ</w:t>
      </w:r>
      <w:r w:rsidRPr="00405303">
        <w:rPr>
          <w:rFonts w:ascii="Times New Roman" w:hAnsi="Times New Roman" w:cs="Times New Roman"/>
          <w:bCs/>
          <w:color w:val="002060"/>
          <w:sz w:val="16"/>
          <w:szCs w:val="16"/>
        </w:rPr>
        <w:softHyphen/>
        <w:t>ма // Вопросы истории Удмуртии. Ижевск, 1974. Вып. 2. С. 190—192) (23452).</w:t>
      </w:r>
    </w:p>
    <w:p w14:paraId="4CE57A0E" w14:textId="77777777" w:rsidR="007538DE" w:rsidRPr="00405303" w:rsidRDefault="007538DE" w:rsidP="00C15251">
      <w:pPr>
        <w:pStyle w:val="af6"/>
        <w:spacing w:line="240" w:lineRule="auto"/>
        <w:jc w:val="both"/>
        <w:rPr>
          <w:rFonts w:ascii="Times New Roman" w:hAnsi="Times New Roman" w:cs="Times New Roman"/>
          <w:bCs/>
          <w:color w:val="002060"/>
          <w:sz w:val="16"/>
          <w:szCs w:val="16"/>
        </w:rPr>
      </w:pPr>
    </w:p>
    <w:p w14:paraId="3DCAF90C" w14:textId="77777777" w:rsidR="003D5795" w:rsidRPr="00405303" w:rsidRDefault="003D5795" w:rsidP="00C15251">
      <w:pPr>
        <w:jc w:val="both"/>
        <w:rPr>
          <w:bCs/>
          <w:i/>
          <w:color w:val="002060"/>
          <w:sz w:val="16"/>
          <w:szCs w:val="16"/>
        </w:rPr>
      </w:pPr>
      <w:r w:rsidRPr="00405303">
        <w:rPr>
          <w:bCs/>
          <w:i/>
          <w:color w:val="002060"/>
          <w:sz w:val="16"/>
          <w:szCs w:val="16"/>
        </w:rPr>
        <w:t>Армия:</w:t>
      </w:r>
    </w:p>
    <w:p w14:paraId="2EC11D86" w14:textId="77777777" w:rsidR="003D5795" w:rsidRPr="00405303" w:rsidRDefault="003D5795" w:rsidP="00C15251">
      <w:pPr>
        <w:jc w:val="both"/>
        <w:rPr>
          <w:bCs/>
          <w:i/>
          <w:color w:val="002060"/>
          <w:sz w:val="16"/>
          <w:szCs w:val="16"/>
        </w:rPr>
      </w:pPr>
    </w:p>
    <w:p w14:paraId="41966131" w14:textId="1CEEC8EC" w:rsidR="003D5795" w:rsidRPr="00405303" w:rsidRDefault="003D5795" w:rsidP="00C15251">
      <w:pPr>
        <w:jc w:val="both"/>
        <w:rPr>
          <w:bCs/>
          <w:color w:val="002060"/>
          <w:sz w:val="16"/>
          <w:szCs w:val="16"/>
        </w:rPr>
      </w:pPr>
      <w:r w:rsidRPr="00405303">
        <w:rPr>
          <w:bCs/>
          <w:color w:val="002060"/>
          <w:sz w:val="16"/>
          <w:szCs w:val="16"/>
        </w:rPr>
        <w:t xml:space="preserve">6 </w:t>
      </w:r>
      <w:r w:rsidR="007031D6" w:rsidRPr="00405303">
        <w:rPr>
          <w:bCs/>
          <w:color w:val="002060"/>
          <w:sz w:val="16"/>
          <w:szCs w:val="16"/>
        </w:rPr>
        <w:t xml:space="preserve">(19) </w:t>
      </w:r>
      <w:r w:rsidRPr="00405303">
        <w:rPr>
          <w:bCs/>
          <w:color w:val="002060"/>
          <w:sz w:val="16"/>
          <w:szCs w:val="16"/>
        </w:rPr>
        <w:t>сентября в 1915 году на Восточном фронте русские войска останавливают наступление германских войск у Тернополя (14761).</w:t>
      </w:r>
    </w:p>
    <w:p w14:paraId="411B6187" w14:textId="77777777" w:rsidR="003D5795" w:rsidRPr="00405303" w:rsidRDefault="003D5795" w:rsidP="00C15251">
      <w:pPr>
        <w:jc w:val="both"/>
        <w:rPr>
          <w:bCs/>
          <w:color w:val="002060"/>
          <w:sz w:val="16"/>
          <w:szCs w:val="16"/>
        </w:rPr>
      </w:pPr>
    </w:p>
    <w:p w14:paraId="527951E2" w14:textId="77777777" w:rsidR="003D5795" w:rsidRPr="00405303" w:rsidRDefault="003D5795" w:rsidP="00C15251">
      <w:pPr>
        <w:jc w:val="both"/>
        <w:rPr>
          <w:bCs/>
          <w:i/>
          <w:color w:val="002060"/>
          <w:sz w:val="16"/>
          <w:szCs w:val="16"/>
        </w:rPr>
      </w:pPr>
      <w:r w:rsidRPr="00405303">
        <w:rPr>
          <w:bCs/>
          <w:i/>
          <w:color w:val="002060"/>
          <w:sz w:val="16"/>
          <w:szCs w:val="16"/>
        </w:rPr>
        <w:t>За рубежом:</w:t>
      </w:r>
    </w:p>
    <w:p w14:paraId="13471CC7" w14:textId="77777777" w:rsidR="003D5795" w:rsidRPr="00405303" w:rsidRDefault="003D5795" w:rsidP="00C15251">
      <w:pPr>
        <w:jc w:val="both"/>
        <w:rPr>
          <w:bCs/>
          <w:color w:val="002060"/>
          <w:sz w:val="16"/>
          <w:szCs w:val="16"/>
        </w:rPr>
      </w:pPr>
    </w:p>
    <w:p w14:paraId="2A27B152" w14:textId="1793ABB2" w:rsidR="003D5795" w:rsidRPr="00405303" w:rsidRDefault="003D5795" w:rsidP="00C15251">
      <w:pPr>
        <w:jc w:val="both"/>
        <w:rPr>
          <w:bCs/>
          <w:color w:val="002060"/>
          <w:sz w:val="16"/>
          <w:szCs w:val="16"/>
        </w:rPr>
      </w:pPr>
      <w:r w:rsidRPr="00405303">
        <w:rPr>
          <w:bCs/>
          <w:color w:val="002060"/>
          <w:sz w:val="16"/>
          <w:szCs w:val="16"/>
        </w:rPr>
        <w:t>6 (19)</w:t>
      </w:r>
      <w:r w:rsidR="00DB4D64" w:rsidRPr="00405303">
        <w:rPr>
          <w:bCs/>
          <w:color w:val="002060"/>
          <w:sz w:val="16"/>
          <w:szCs w:val="16"/>
        </w:rPr>
        <w:t xml:space="preserve"> </w:t>
      </w:r>
      <w:r w:rsidRPr="00405303">
        <w:rPr>
          <w:bCs/>
          <w:color w:val="002060"/>
          <w:sz w:val="16"/>
          <w:szCs w:val="16"/>
        </w:rPr>
        <w:t>сентября 1915</w:t>
      </w:r>
      <w:r w:rsidR="00DB4D64" w:rsidRPr="00405303">
        <w:rPr>
          <w:bCs/>
          <w:color w:val="002060"/>
          <w:sz w:val="16"/>
          <w:szCs w:val="16"/>
        </w:rPr>
        <w:t xml:space="preserve"> </w:t>
      </w:r>
      <w:r w:rsidRPr="00405303">
        <w:rPr>
          <w:bCs/>
          <w:color w:val="002060"/>
          <w:sz w:val="16"/>
          <w:szCs w:val="16"/>
        </w:rPr>
        <w:t>года был построен первый английский опытный танк. Образец, принятый на вооружение британской армией, опробовали в феврале 1916</w:t>
      </w:r>
      <w:r w:rsidR="00DB4D64" w:rsidRPr="00405303">
        <w:rPr>
          <w:bCs/>
          <w:color w:val="002060"/>
          <w:sz w:val="16"/>
          <w:szCs w:val="16"/>
        </w:rPr>
        <w:t xml:space="preserve"> </w:t>
      </w:r>
      <w:r w:rsidRPr="00405303">
        <w:rPr>
          <w:bCs/>
          <w:color w:val="002060"/>
          <w:sz w:val="16"/>
          <w:szCs w:val="16"/>
        </w:rPr>
        <w:t>года (18268).</w:t>
      </w:r>
    </w:p>
    <w:p w14:paraId="4FCA6503" w14:textId="77777777" w:rsidR="003D5795" w:rsidRPr="00405303" w:rsidRDefault="003D5795" w:rsidP="00C15251">
      <w:pPr>
        <w:pStyle w:val="ae"/>
        <w:spacing w:before="0" w:beforeAutospacing="0" w:after="0" w:afterAutospacing="0"/>
        <w:jc w:val="both"/>
        <w:rPr>
          <w:bCs/>
          <w:color w:val="002060"/>
          <w:sz w:val="16"/>
          <w:szCs w:val="16"/>
        </w:rPr>
      </w:pPr>
    </w:p>
    <w:p w14:paraId="735E4A1B" w14:textId="77777777" w:rsidR="0031207D" w:rsidRPr="00405303" w:rsidRDefault="0031207D" w:rsidP="0031207D">
      <w:pPr>
        <w:shd w:val="clear" w:color="auto" w:fill="FFFFFF"/>
        <w:jc w:val="both"/>
        <w:rPr>
          <w:bCs/>
          <w:i/>
          <w:color w:val="002060"/>
          <w:sz w:val="16"/>
          <w:szCs w:val="16"/>
        </w:rPr>
      </w:pPr>
      <w:r w:rsidRPr="00405303">
        <w:rPr>
          <w:bCs/>
          <w:i/>
          <w:color w:val="002060"/>
          <w:sz w:val="16"/>
          <w:szCs w:val="16"/>
        </w:rPr>
        <w:t>Авиация:</w:t>
      </w:r>
    </w:p>
    <w:p w14:paraId="034DDCB5" w14:textId="77777777" w:rsidR="0031207D" w:rsidRPr="00405303" w:rsidRDefault="0031207D" w:rsidP="0031207D">
      <w:pPr>
        <w:shd w:val="clear" w:color="auto" w:fill="FFFFFF"/>
        <w:jc w:val="both"/>
        <w:rPr>
          <w:bCs/>
          <w:i/>
          <w:color w:val="002060"/>
          <w:sz w:val="16"/>
          <w:szCs w:val="16"/>
        </w:rPr>
      </w:pPr>
    </w:p>
    <w:p w14:paraId="2CD5CF68" w14:textId="77777777" w:rsidR="0031207D" w:rsidRPr="00405303" w:rsidRDefault="0031207D" w:rsidP="0031207D">
      <w:pPr>
        <w:jc w:val="both"/>
        <w:rPr>
          <w:color w:val="0070C0"/>
          <w:sz w:val="16"/>
          <w:szCs w:val="16"/>
        </w:rPr>
      </w:pPr>
      <w:r w:rsidRPr="00405303">
        <w:rPr>
          <w:color w:val="0070C0"/>
          <w:sz w:val="16"/>
          <w:szCs w:val="16"/>
        </w:rPr>
        <w:t>7 (20) сентября 1915 г. приказом командира Эскадры было официально объявлено о формировании в Зегевольде боевого отряда. В ноябре 1915 г. ЭВК получила статус соединения и новый штат, который предусматривал выделение от Эскадры трех боевых отрядов, по одному на каждый из фронтов (24965).</w:t>
      </w:r>
    </w:p>
    <w:p w14:paraId="21828866" w14:textId="77777777" w:rsidR="0031207D" w:rsidRPr="00405303" w:rsidRDefault="0031207D" w:rsidP="0031207D">
      <w:pPr>
        <w:jc w:val="both"/>
        <w:rPr>
          <w:color w:val="0070C0"/>
          <w:sz w:val="16"/>
          <w:szCs w:val="16"/>
        </w:rPr>
      </w:pPr>
    </w:p>
    <w:p w14:paraId="1511735F" w14:textId="77777777" w:rsidR="007031D6" w:rsidRPr="00405303" w:rsidRDefault="007031D6" w:rsidP="00C15251">
      <w:pPr>
        <w:jc w:val="both"/>
        <w:rPr>
          <w:bCs/>
          <w:i/>
          <w:color w:val="002060"/>
          <w:sz w:val="16"/>
          <w:szCs w:val="16"/>
        </w:rPr>
      </w:pPr>
      <w:r w:rsidRPr="00405303">
        <w:rPr>
          <w:bCs/>
          <w:i/>
          <w:color w:val="002060"/>
          <w:sz w:val="16"/>
          <w:szCs w:val="16"/>
        </w:rPr>
        <w:t>Авиация и воздухоплавание Франции:</w:t>
      </w:r>
    </w:p>
    <w:p w14:paraId="5983C7D8" w14:textId="77777777" w:rsidR="007031D6" w:rsidRPr="00405303" w:rsidRDefault="007031D6" w:rsidP="00C15251">
      <w:pPr>
        <w:jc w:val="both"/>
        <w:rPr>
          <w:bCs/>
          <w:i/>
          <w:color w:val="002060"/>
          <w:sz w:val="16"/>
          <w:szCs w:val="16"/>
        </w:rPr>
      </w:pPr>
    </w:p>
    <w:p w14:paraId="2F969C7C" w14:textId="7872CE1D" w:rsidR="007031D6" w:rsidRPr="00405303" w:rsidRDefault="007031D6" w:rsidP="00C15251">
      <w:pPr>
        <w:jc w:val="both"/>
        <w:rPr>
          <w:bCs/>
          <w:color w:val="002060"/>
          <w:sz w:val="16"/>
          <w:szCs w:val="16"/>
        </w:rPr>
      </w:pPr>
      <w:r w:rsidRPr="00405303">
        <w:rPr>
          <w:bCs/>
          <w:color w:val="002060"/>
          <w:sz w:val="16"/>
          <w:szCs w:val="16"/>
        </w:rPr>
        <w:t>7, 8, 9, 10 и 17 (20, 21, 22, 23 и 30) сентября 1915 года дирижабль «Эльзас» активно участвовал в бомбардировочных операциях, поддерживая наступление армии в Шампани. Дирижабль отличился в боях несмотря на то, что из-за недостаточной надежности мотора и установки несоответствующего ему воздушного винта скорость дирижабля вместо расчетных 70 км/ч составляла всего 59 км/ч. Потолок не превышал 2250 м. Его боевая карьера была яркой, но недолгой. 2 октября «Эльзас» был сбит над территорией противника, экипаж попал в плен (11324).</w:t>
      </w:r>
    </w:p>
    <w:p w14:paraId="3FFE13EB" w14:textId="77777777" w:rsidR="007031D6" w:rsidRPr="00405303" w:rsidRDefault="007031D6" w:rsidP="00C15251">
      <w:pPr>
        <w:jc w:val="both"/>
        <w:rPr>
          <w:bCs/>
          <w:i/>
          <w:color w:val="002060"/>
          <w:sz w:val="16"/>
          <w:szCs w:val="16"/>
        </w:rPr>
      </w:pPr>
    </w:p>
    <w:p w14:paraId="22921635" w14:textId="77777777" w:rsidR="003D5795" w:rsidRPr="00405303" w:rsidRDefault="003D5795" w:rsidP="00C15251">
      <w:pPr>
        <w:jc w:val="both"/>
        <w:rPr>
          <w:bCs/>
          <w:i/>
          <w:color w:val="002060"/>
          <w:sz w:val="16"/>
          <w:szCs w:val="16"/>
        </w:rPr>
      </w:pPr>
      <w:r w:rsidRPr="00405303">
        <w:rPr>
          <w:bCs/>
          <w:i/>
          <w:color w:val="002060"/>
          <w:sz w:val="16"/>
          <w:szCs w:val="16"/>
        </w:rPr>
        <w:t>Другие оборонные отрасли:</w:t>
      </w:r>
    </w:p>
    <w:p w14:paraId="596ABB3B" w14:textId="77777777" w:rsidR="003D5795" w:rsidRPr="00405303" w:rsidRDefault="003D5795" w:rsidP="00C15251">
      <w:pPr>
        <w:jc w:val="both"/>
        <w:rPr>
          <w:bCs/>
          <w:i/>
          <w:color w:val="002060"/>
          <w:sz w:val="16"/>
          <w:szCs w:val="16"/>
        </w:rPr>
      </w:pPr>
    </w:p>
    <w:p w14:paraId="6E9DA750" w14:textId="77777777" w:rsidR="003D5795" w:rsidRPr="00405303" w:rsidRDefault="003D5795" w:rsidP="00C15251">
      <w:pPr>
        <w:jc w:val="both"/>
        <w:rPr>
          <w:bCs/>
          <w:color w:val="002060"/>
          <w:sz w:val="16"/>
          <w:szCs w:val="16"/>
        </w:rPr>
      </w:pPr>
      <w:r w:rsidRPr="00405303">
        <w:rPr>
          <w:bCs/>
          <w:color w:val="002060"/>
          <w:sz w:val="16"/>
          <w:szCs w:val="16"/>
        </w:rPr>
        <w:t>В начале сентября 1915 г. утверждено Положением о местных (заводских) совещаниях приемщиков на наиболее важных и крупных заводах. На эти совещания возлагалась задача установления очередности выполнения предприятиями заказов различных ведомств2. Возглавляли эти совещания наиболее опытные и авторитетные представители ГВТУ и ГАУ, такие, например, как полковник Ф.Я.Юхницкий, генерал-майор А.И. Залесский.</w:t>
      </w:r>
    </w:p>
    <w:p w14:paraId="3128A2F2" w14:textId="77777777" w:rsidR="003D5795" w:rsidRPr="00405303" w:rsidRDefault="003D5795" w:rsidP="00C15251">
      <w:pPr>
        <w:jc w:val="both"/>
        <w:rPr>
          <w:bCs/>
          <w:color w:val="002060"/>
          <w:sz w:val="16"/>
          <w:szCs w:val="16"/>
        </w:rPr>
      </w:pPr>
      <w:r w:rsidRPr="00405303">
        <w:rPr>
          <w:bCs/>
          <w:color w:val="002060"/>
          <w:sz w:val="16"/>
          <w:szCs w:val="16"/>
        </w:rPr>
        <w:t>На практике круг вопросов, которые оказывались в поле зрения совещаний приемщиков, оказался гораздо более широким. Самой острой оставалась проблема своевременной поставки сырья и материалов предприятиями-смежниками, которая напрямую влияла на ритмичность работы электрослаботочных предприятий. Важным являлся вопрос и об освобождении рабочих и служащих заводов от воинской повинности (18297).</w:t>
      </w:r>
    </w:p>
    <w:p w14:paraId="7EFFF38E" w14:textId="77777777" w:rsidR="003D5795" w:rsidRPr="00405303" w:rsidRDefault="003D5795" w:rsidP="00C15251">
      <w:pPr>
        <w:jc w:val="both"/>
        <w:rPr>
          <w:bCs/>
          <w:color w:val="002060"/>
          <w:sz w:val="16"/>
          <w:szCs w:val="16"/>
        </w:rPr>
      </w:pPr>
    </w:p>
    <w:p w14:paraId="3C2F8007" w14:textId="77777777" w:rsidR="003D5795" w:rsidRPr="00405303" w:rsidRDefault="003D5795" w:rsidP="00C15251">
      <w:pPr>
        <w:shd w:val="clear" w:color="auto" w:fill="FFFFFF"/>
        <w:jc w:val="both"/>
        <w:rPr>
          <w:bCs/>
          <w:i/>
          <w:color w:val="002060"/>
          <w:sz w:val="16"/>
          <w:szCs w:val="16"/>
        </w:rPr>
      </w:pPr>
      <w:r w:rsidRPr="00405303">
        <w:rPr>
          <w:bCs/>
          <w:i/>
          <w:color w:val="002060"/>
          <w:sz w:val="16"/>
          <w:szCs w:val="16"/>
        </w:rPr>
        <w:t>Авиация:</w:t>
      </w:r>
    </w:p>
    <w:p w14:paraId="054F66B0" w14:textId="77777777" w:rsidR="003D5795" w:rsidRPr="00405303" w:rsidRDefault="003D5795" w:rsidP="00C15251">
      <w:pPr>
        <w:shd w:val="clear" w:color="auto" w:fill="FFFFFF"/>
        <w:jc w:val="both"/>
        <w:rPr>
          <w:bCs/>
          <w:i/>
          <w:color w:val="002060"/>
          <w:sz w:val="16"/>
          <w:szCs w:val="16"/>
        </w:rPr>
      </w:pPr>
    </w:p>
    <w:p w14:paraId="52230EC1" w14:textId="77777777" w:rsidR="003D5795" w:rsidRPr="00405303" w:rsidRDefault="003D5795" w:rsidP="00C15251">
      <w:pPr>
        <w:jc w:val="both"/>
        <w:rPr>
          <w:bCs/>
          <w:color w:val="002060"/>
          <w:sz w:val="16"/>
          <w:szCs w:val="16"/>
        </w:rPr>
      </w:pPr>
      <w:r w:rsidRPr="00405303">
        <w:rPr>
          <w:bCs/>
          <w:color w:val="002060"/>
          <w:sz w:val="16"/>
          <w:szCs w:val="16"/>
        </w:rPr>
        <w:t>В начале сентября 1915 г. был разработан «План новых формирований и снабжения авиационных частей», согласно которому к 1 сентября 1916 г. должны были быть сформированы 33 авиаотряда (3 – для штабов фронтов, 6 армейских и 24 корпусных). Число летчиков на фронте к этому сроку планировалось довести до 552 человек. Рассчитывали также на поступление в войска от промышленности и по импорту 1995 самолетов (19566).</w:t>
      </w:r>
    </w:p>
    <w:p w14:paraId="25F9F162" w14:textId="77777777" w:rsidR="003D5795" w:rsidRPr="00405303" w:rsidRDefault="003D5795" w:rsidP="00C15251">
      <w:pPr>
        <w:jc w:val="both"/>
        <w:rPr>
          <w:bCs/>
          <w:color w:val="002060"/>
          <w:sz w:val="16"/>
          <w:szCs w:val="16"/>
        </w:rPr>
      </w:pPr>
    </w:p>
    <w:p w14:paraId="5B03C149"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3A1AED6E" w14:textId="77777777" w:rsidR="004B4E35" w:rsidRPr="00405303" w:rsidRDefault="004B4E35" w:rsidP="00C15251">
      <w:pPr>
        <w:jc w:val="both"/>
        <w:rPr>
          <w:bCs/>
          <w:i/>
          <w:color w:val="002060"/>
          <w:sz w:val="16"/>
          <w:szCs w:val="16"/>
        </w:rPr>
      </w:pPr>
    </w:p>
    <w:p w14:paraId="36135B9F" w14:textId="599E9B13"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8 (21) сентября 1915 Надсмотрщик вагонов станции Юрьев Северо-Западной железной дороги Корнелий Егорович Мороз разработал (конструкцию геликоптера и начал строить его на свои средства. Реликоптер имел корпус в виде лодки, складные крылья,позволяв-ш геликоптеру превращаться в случае надобности в моноплан. 5инты (несущие) могли менять угол наклона, чем </w:t>
      </w:r>
      <w:proofErr w:type="gramStart"/>
      <w:r w:rsidRPr="00405303">
        <w:rPr>
          <w:bCs/>
          <w:color w:val="002060"/>
          <w:sz w:val="16"/>
          <w:szCs w:val="16"/>
        </w:rPr>
        <w:t>достигалось ?оризонтальное</w:t>
      </w:r>
      <w:proofErr w:type="gramEnd"/>
      <w:r w:rsidRPr="00405303">
        <w:rPr>
          <w:bCs/>
          <w:color w:val="002060"/>
          <w:sz w:val="16"/>
          <w:szCs w:val="16"/>
        </w:rPr>
        <w:t xml:space="preserve"> передвижение аппарата. Двигатель предполагался ротативный. Аппарат не был закончен постройкой (ЦГВИА. ф. 13251, оп~Л, д. 898, л.1).</w:t>
      </w:r>
    </w:p>
    <w:p w14:paraId="1FAEA141" w14:textId="77777777" w:rsidR="004B4E35" w:rsidRPr="00405303" w:rsidRDefault="004B4E35" w:rsidP="00C15251">
      <w:pPr>
        <w:shd w:val="clear" w:color="auto" w:fill="FFFFFF"/>
        <w:jc w:val="both"/>
        <w:rPr>
          <w:bCs/>
          <w:color w:val="002060"/>
          <w:sz w:val="16"/>
          <w:szCs w:val="16"/>
        </w:rPr>
      </w:pPr>
    </w:p>
    <w:p w14:paraId="6A8D2D4A" w14:textId="77777777" w:rsidR="00634805" w:rsidRPr="00405303" w:rsidRDefault="00634805" w:rsidP="00C15251">
      <w:pPr>
        <w:jc w:val="both"/>
        <w:rPr>
          <w:bCs/>
          <w:color w:val="002060"/>
          <w:sz w:val="16"/>
          <w:szCs w:val="16"/>
        </w:rPr>
      </w:pPr>
      <w:r w:rsidRPr="00405303">
        <w:rPr>
          <w:bCs/>
          <w:color w:val="002060"/>
          <w:sz w:val="16"/>
          <w:szCs w:val="16"/>
        </w:rPr>
        <w:t>8 (21) сентября 1915 г. надсмотрщик вагонов ст. Юрьев сев.-запад. ж.д. Корнелий Егорович Мороз разработал конструкцию геликоптера и начал строить его на свои средства. Геликоптер имел корпус-в виде лодки, складные крылья, позволявшие геликоптеру превращаться в случае надобности в моноплан. Винты /несущие/ могли менять угол наклона, чем достига</w:t>
      </w:r>
      <w:r w:rsidRPr="00405303">
        <w:rPr>
          <w:bCs/>
          <w:color w:val="002060"/>
          <w:sz w:val="16"/>
          <w:szCs w:val="16"/>
        </w:rPr>
        <w:softHyphen/>
        <w:t>лось горизонтальное передвижение аппарата. Мотор проектировался ротативный. Из-за отсутствия мотора аппарат остался не достроенным. Это был один из первых в мире проектов геликоптера-амфибии.</w:t>
      </w:r>
    </w:p>
    <w:p w14:paraId="450F5EB4" w14:textId="77777777" w:rsidR="00634805" w:rsidRPr="00405303" w:rsidRDefault="00634805" w:rsidP="00C15251">
      <w:pPr>
        <w:jc w:val="both"/>
        <w:rPr>
          <w:bCs/>
          <w:color w:val="002060"/>
          <w:sz w:val="16"/>
          <w:szCs w:val="16"/>
        </w:rPr>
      </w:pPr>
      <w:r w:rsidRPr="00405303">
        <w:rPr>
          <w:bCs/>
          <w:color w:val="002060"/>
          <w:sz w:val="16"/>
          <w:szCs w:val="16"/>
        </w:rPr>
        <w:t>/ЦГВИА, ф. 13251, оп. 4, д. 898, л. 1/ (23320).</w:t>
      </w:r>
    </w:p>
    <w:p w14:paraId="79B0EBAA" w14:textId="77777777" w:rsidR="00634805" w:rsidRPr="00405303" w:rsidRDefault="00634805" w:rsidP="00C15251">
      <w:pPr>
        <w:jc w:val="both"/>
        <w:rPr>
          <w:bCs/>
          <w:color w:val="002060"/>
          <w:sz w:val="16"/>
          <w:szCs w:val="16"/>
        </w:rPr>
      </w:pPr>
    </w:p>
    <w:p w14:paraId="209D19F2" w14:textId="52978C0D" w:rsidR="00DB5091" w:rsidRPr="00405303" w:rsidRDefault="00746050" w:rsidP="00C15251">
      <w:pPr>
        <w:jc w:val="both"/>
        <w:rPr>
          <w:bCs/>
          <w:i/>
          <w:color w:val="002060"/>
          <w:sz w:val="16"/>
          <w:szCs w:val="16"/>
        </w:rPr>
      </w:pPr>
      <w:r w:rsidRPr="00405303">
        <w:rPr>
          <w:bCs/>
          <w:i/>
          <w:color w:val="002060"/>
          <w:sz w:val="16"/>
          <w:szCs w:val="16"/>
        </w:rPr>
        <w:t>Другие оборонные отрасли</w:t>
      </w:r>
      <w:r w:rsidR="00DB5091" w:rsidRPr="00405303">
        <w:rPr>
          <w:bCs/>
          <w:i/>
          <w:color w:val="002060"/>
          <w:sz w:val="16"/>
          <w:szCs w:val="16"/>
        </w:rPr>
        <w:t>:</w:t>
      </w:r>
    </w:p>
    <w:p w14:paraId="45F90BD4" w14:textId="77777777" w:rsidR="00DB5091" w:rsidRPr="00405303" w:rsidRDefault="00DB5091" w:rsidP="00C15251">
      <w:pPr>
        <w:jc w:val="both"/>
        <w:rPr>
          <w:bCs/>
          <w:i/>
          <w:color w:val="002060"/>
          <w:sz w:val="16"/>
          <w:szCs w:val="16"/>
        </w:rPr>
      </w:pPr>
    </w:p>
    <w:p w14:paraId="00D59380" w14:textId="77777777" w:rsidR="00DB5091" w:rsidRPr="00405303" w:rsidRDefault="00DB5091" w:rsidP="00C15251">
      <w:pPr>
        <w:jc w:val="both"/>
        <w:rPr>
          <w:bCs/>
          <w:color w:val="002060"/>
          <w:sz w:val="16"/>
          <w:szCs w:val="16"/>
        </w:rPr>
      </w:pPr>
      <w:r w:rsidRPr="00405303">
        <w:rPr>
          <w:bCs/>
          <w:color w:val="002060"/>
          <w:sz w:val="16"/>
          <w:szCs w:val="16"/>
        </w:rPr>
        <w:t>8 (21) сентября 1915 г. Главный комитет ВЗС, заслушав сообщение Н.Р. Брилинга о возможнос</w:t>
      </w:r>
      <w:r w:rsidRPr="00405303">
        <w:rPr>
          <w:bCs/>
          <w:color w:val="002060"/>
          <w:sz w:val="16"/>
          <w:szCs w:val="16"/>
        </w:rPr>
        <w:softHyphen/>
        <w:t>ти постройки к зимней кампании 20 аэросаней в бое</w:t>
      </w:r>
      <w:r w:rsidRPr="00405303">
        <w:rPr>
          <w:bCs/>
          <w:color w:val="002060"/>
          <w:sz w:val="16"/>
          <w:szCs w:val="16"/>
        </w:rPr>
        <w:softHyphen/>
        <w:t>вом или санитарном исполнении, вынес решение о финансировании этой программы и поручил Ни</w:t>
      </w:r>
      <w:r w:rsidRPr="00405303">
        <w:rPr>
          <w:bCs/>
          <w:color w:val="002060"/>
          <w:sz w:val="16"/>
          <w:szCs w:val="16"/>
        </w:rPr>
        <w:softHyphen/>
        <w:t>колаю Романовичу развернуть производство аэро</w:t>
      </w:r>
      <w:r w:rsidRPr="00405303">
        <w:rPr>
          <w:bCs/>
          <w:color w:val="002060"/>
          <w:sz w:val="16"/>
          <w:szCs w:val="16"/>
        </w:rPr>
        <w:softHyphen/>
        <w:t>саней для нужд фронта. К зиме, при участии инжене</w:t>
      </w:r>
      <w:r w:rsidRPr="00405303">
        <w:rPr>
          <w:bCs/>
          <w:color w:val="002060"/>
          <w:sz w:val="16"/>
          <w:szCs w:val="16"/>
        </w:rPr>
        <w:softHyphen/>
        <w:t>ров А.С. Кузина и А.А. Архангельского, на основе немецких образцов, аэросани разработали, а затем в мастерских ВЗС изготовили партию из 24 машин (22518).</w:t>
      </w:r>
    </w:p>
    <w:p w14:paraId="1C883978" w14:textId="77777777" w:rsidR="00DB5091" w:rsidRPr="00405303" w:rsidRDefault="00DB5091" w:rsidP="00C15251">
      <w:pPr>
        <w:shd w:val="clear" w:color="auto" w:fill="FFFFFF"/>
        <w:jc w:val="both"/>
        <w:rPr>
          <w:bCs/>
          <w:color w:val="002060"/>
          <w:sz w:val="16"/>
          <w:szCs w:val="16"/>
        </w:rPr>
      </w:pPr>
    </w:p>
    <w:p w14:paraId="2D7739C8" w14:textId="29CE05E5" w:rsidR="007538DE" w:rsidRPr="00405303" w:rsidRDefault="007538DE" w:rsidP="00C15251">
      <w:pPr>
        <w:jc w:val="both"/>
        <w:rPr>
          <w:bCs/>
          <w:i/>
          <w:color w:val="002060"/>
          <w:sz w:val="16"/>
          <w:szCs w:val="16"/>
        </w:rPr>
      </w:pPr>
      <w:r w:rsidRPr="00405303">
        <w:rPr>
          <w:bCs/>
          <w:i/>
          <w:color w:val="002060"/>
          <w:sz w:val="16"/>
          <w:szCs w:val="16"/>
        </w:rPr>
        <w:t>Авиация:</w:t>
      </w:r>
    </w:p>
    <w:p w14:paraId="1129803B" w14:textId="77777777" w:rsidR="007538DE" w:rsidRPr="00405303" w:rsidRDefault="007538DE" w:rsidP="00C15251">
      <w:pPr>
        <w:jc w:val="both"/>
        <w:rPr>
          <w:bCs/>
          <w:i/>
          <w:color w:val="002060"/>
          <w:sz w:val="16"/>
          <w:szCs w:val="16"/>
        </w:rPr>
      </w:pPr>
    </w:p>
    <w:p w14:paraId="002901C6" w14:textId="07D1182C" w:rsidR="007538DE" w:rsidRPr="00405303" w:rsidRDefault="007538DE" w:rsidP="00C15251">
      <w:pPr>
        <w:jc w:val="both"/>
        <w:rPr>
          <w:bCs/>
          <w:color w:val="002060"/>
          <w:sz w:val="16"/>
          <w:szCs w:val="16"/>
        </w:rPr>
      </w:pPr>
      <w:r w:rsidRPr="00405303">
        <w:rPr>
          <w:bCs/>
          <w:color w:val="002060"/>
          <w:sz w:val="16"/>
          <w:szCs w:val="16"/>
        </w:rPr>
        <w:t>8 (21) сентября 1915 г. экипаж цеппелина LZ-79 получил боевой приказ бомбардировать железнодорожную магистраль Брест-Литовск - Барановичи и Брест-Литовск - Лунинец. У ст. Жабинка цеппелин снизился до 2 км и сбросил бомбы в 60 и 100 кг. Затем полетел на Кобрин, пересек железную дорогу на Барановичи, у Тевли сбросил последние бомбы на проходивший в этот момент поезд, вызвав неописуемую панику у его пассажиров (23405).</w:t>
      </w:r>
    </w:p>
    <w:p w14:paraId="4035AE18" w14:textId="77777777" w:rsidR="007538DE" w:rsidRPr="00405303" w:rsidRDefault="007538DE" w:rsidP="00C15251">
      <w:pPr>
        <w:jc w:val="both"/>
        <w:rPr>
          <w:bCs/>
          <w:color w:val="002060"/>
          <w:sz w:val="16"/>
          <w:szCs w:val="16"/>
        </w:rPr>
      </w:pPr>
    </w:p>
    <w:p w14:paraId="0D1F9CA8" w14:textId="51F0779C" w:rsidR="00271B68" w:rsidRPr="00405303" w:rsidRDefault="00271B68" w:rsidP="00C15251">
      <w:pPr>
        <w:jc w:val="both"/>
        <w:rPr>
          <w:bCs/>
          <w:i/>
          <w:color w:val="002060"/>
          <w:sz w:val="16"/>
          <w:szCs w:val="16"/>
        </w:rPr>
      </w:pPr>
      <w:r w:rsidRPr="00405303">
        <w:rPr>
          <w:bCs/>
          <w:i/>
          <w:color w:val="002060"/>
          <w:sz w:val="16"/>
          <w:szCs w:val="16"/>
        </w:rPr>
        <w:t>Жизнь и внутренняя политика:</w:t>
      </w:r>
    </w:p>
    <w:p w14:paraId="10C98923" w14:textId="77777777" w:rsidR="00271B68" w:rsidRPr="00405303" w:rsidRDefault="00271B68" w:rsidP="00C15251">
      <w:pPr>
        <w:jc w:val="both"/>
        <w:rPr>
          <w:bCs/>
          <w:i/>
          <w:color w:val="002060"/>
          <w:sz w:val="16"/>
          <w:szCs w:val="16"/>
        </w:rPr>
      </w:pPr>
    </w:p>
    <w:p w14:paraId="048A4978" w14:textId="77777777" w:rsidR="00746050" w:rsidRPr="00405303" w:rsidRDefault="00746050" w:rsidP="00C15251">
      <w:pPr>
        <w:jc w:val="both"/>
        <w:rPr>
          <w:bCs/>
          <w:color w:val="002060"/>
          <w:sz w:val="16"/>
          <w:szCs w:val="16"/>
        </w:rPr>
      </w:pPr>
      <w:r w:rsidRPr="00405303">
        <w:rPr>
          <w:bCs/>
          <w:color w:val="002060"/>
          <w:sz w:val="16"/>
          <w:szCs w:val="16"/>
        </w:rPr>
        <w:t xml:space="preserve">8 (21) сентября 1915 «Правительство не может висеть в безвоздушном пространстве и опираться на одну полицию», — говорит в заседании министр иностранных дел С. Д. Сазонов. </w:t>
      </w:r>
    </w:p>
    <w:p w14:paraId="48313A23" w14:textId="77777777" w:rsidR="00746050" w:rsidRPr="00405303" w:rsidRDefault="00746050" w:rsidP="00C15251">
      <w:pPr>
        <w:jc w:val="both"/>
        <w:rPr>
          <w:bCs/>
          <w:color w:val="002060"/>
          <w:sz w:val="16"/>
          <w:szCs w:val="16"/>
        </w:rPr>
      </w:pPr>
      <w:r w:rsidRPr="00405303">
        <w:rPr>
          <w:bCs/>
          <w:color w:val="002060"/>
          <w:sz w:val="16"/>
          <w:szCs w:val="16"/>
        </w:rPr>
        <w:t xml:space="preserve">На заседании через два дня другой видный министр, а именно министр земледелия А. В. Кривошеин, развивает ту же мысль: «Что мы ни говори, что мы ни обещай, как ни заигрывай с прогрессивным блоком и общественностью — нам все равно не поверят. Ведь требования Государственной думы и всей страны сводятся к вопросу не программы, а людей, которым вверяется власть. Поэтому мне думается, что центр наших суждений должен бы заключаться в постановке принципиального вопроса об отношении Его Императорского Величества к правительству настоящего состава и к требованиям страны об исполнительной власти, облеченной общественным доверием. Пускай Монарх решит, как ему угодно направить дальнейшую внутреннюю политику, по пути ли игнорирования таких пожеланий или же по пути примирения, избрав во втором случае пользующееся общественными симпатиями лицо и возложив на него образование правительства. Без разрешения этого кардинального вопроса мы все равно с места не сдвинемся. Лично я высказываюсь за второй путь действий — избрание Государем Императором лица и поручение ему составить кабинет, отвечающий чаяниям страны». </w:t>
      </w:r>
    </w:p>
    <w:p w14:paraId="23903DBD" w14:textId="77777777" w:rsidR="00746050" w:rsidRPr="00405303" w:rsidRDefault="00746050" w:rsidP="00C15251">
      <w:pPr>
        <w:jc w:val="both"/>
        <w:rPr>
          <w:bCs/>
          <w:color w:val="002060"/>
          <w:sz w:val="16"/>
          <w:szCs w:val="16"/>
        </w:rPr>
      </w:pPr>
      <w:r w:rsidRPr="00405303">
        <w:rPr>
          <w:bCs/>
          <w:color w:val="002060"/>
          <w:sz w:val="16"/>
          <w:szCs w:val="16"/>
        </w:rPr>
        <w:t xml:space="preserve">С этим заявлением А. В. Кривошеина соглашаются большинство министров. </w:t>
      </w:r>
    </w:p>
    <w:p w14:paraId="6F9D3A26" w14:textId="77777777" w:rsidR="00746050" w:rsidRPr="00405303" w:rsidRDefault="00746050" w:rsidP="00C15251">
      <w:pPr>
        <w:jc w:val="both"/>
        <w:rPr>
          <w:bCs/>
          <w:color w:val="002060"/>
          <w:sz w:val="16"/>
          <w:szCs w:val="16"/>
        </w:rPr>
      </w:pPr>
      <w:r w:rsidRPr="00405303">
        <w:rPr>
          <w:bCs/>
          <w:color w:val="002060"/>
          <w:sz w:val="16"/>
          <w:szCs w:val="16"/>
        </w:rPr>
        <w:t xml:space="preserve">Государь избрал первый путь, и главный исполнительный орган, Совет министров, стал еще бессильнее. Социальный процесс изоляции правительства пошел еще быстрее. Авторитет его окончательно пал. При таких условиях правительство оказывается не только бессильным произвести какие-либо коренные органические реформы в структуре работы тыла, оно даже неспособно объединить в стройную организацию те крайние усилия, которые проявляет теперь вся страна, чтобы спасти свою армию от катастрофы. </w:t>
      </w:r>
    </w:p>
    <w:p w14:paraId="7DCCB05F" w14:textId="77777777" w:rsidR="00746050" w:rsidRPr="00405303" w:rsidRDefault="00746050" w:rsidP="00C15251">
      <w:pPr>
        <w:jc w:val="both"/>
        <w:rPr>
          <w:bCs/>
          <w:color w:val="002060"/>
          <w:sz w:val="16"/>
          <w:szCs w:val="16"/>
        </w:rPr>
      </w:pPr>
      <w:r w:rsidRPr="00405303">
        <w:rPr>
          <w:bCs/>
          <w:color w:val="002060"/>
          <w:sz w:val="16"/>
          <w:szCs w:val="16"/>
        </w:rPr>
        <w:t xml:space="preserve">Эта неспособность правительства увеличивается еще тем, что самый подбор министров чрезвычайно неудачен. Последнее не случайно, а является лишь одним из звеньев того социального процесса, который происходит. Выбор Верховной власти до крайности ограничен. Все лучшие элементы должны быть заподозрены в оппозиции к власти. И вот на замену уволенного 15/28 марта генерала Поливанова назначается военным министром генерал Шуваев. Председатель Государственной думы М. В. Родзянко так характеризует генерала Шуваева: «...Честный, хороший человек, но недостаточно подготовлен для такого поста в военное время; его председательствование в Особом совещании делало заседания путаными и утомительными». </w:t>
      </w:r>
    </w:p>
    <w:p w14:paraId="3097345C" w14:textId="77777777" w:rsidR="00746050" w:rsidRPr="00405303" w:rsidRDefault="00746050" w:rsidP="00C15251">
      <w:pPr>
        <w:jc w:val="both"/>
        <w:rPr>
          <w:bCs/>
          <w:color w:val="002060"/>
          <w:sz w:val="16"/>
          <w:szCs w:val="16"/>
        </w:rPr>
      </w:pPr>
      <w:r w:rsidRPr="00405303">
        <w:rPr>
          <w:bCs/>
          <w:color w:val="002060"/>
          <w:sz w:val="16"/>
          <w:szCs w:val="16"/>
        </w:rPr>
        <w:t>Гораздо строже отзывается о нем французский министр снабжения г-н Тома, присланный французским правительством для ознакомления с нуждами русского военного снабжения. На просьбу председателя Государственной думы откровенно указать наши больные места в организации снабжения французский министр ответил: «Россия должна быть чрезвычайно богата и очень уверена в своих силах, чтобы позволять себе роскошь иметь правительство, подобное вашему, где премьер-министр является бедствием, а военный министр — катастрофой».</w:t>
      </w:r>
    </w:p>
    <w:p w14:paraId="33C06D09" w14:textId="77777777" w:rsidR="00746050" w:rsidRPr="00405303" w:rsidRDefault="00746050" w:rsidP="00C15251">
      <w:pPr>
        <w:jc w:val="both"/>
        <w:rPr>
          <w:bCs/>
          <w:color w:val="002060"/>
          <w:sz w:val="16"/>
          <w:szCs w:val="16"/>
        </w:rPr>
      </w:pPr>
      <w:r w:rsidRPr="00405303">
        <w:rPr>
          <w:bCs/>
          <w:color w:val="002060"/>
          <w:sz w:val="16"/>
          <w:szCs w:val="16"/>
        </w:rPr>
        <w:t xml:space="preserve">Отзыв г-на Тома, быть может, слишком жесток. Но несомненно, что генерал Шуваев выше уровня обыкновенного строевого генерала или рядового интенданта подняться не мог. Выбор генерала Шуваева на должность военного министра обусловливался тем, что Верховная власть рассчитывала, что он будет бороться со все более и более усиливающейся ролью общественных сил в деле снабжения армии. «После ухода Поливанова, — пишет М. В. Родзянко, — Великий князь Сергей Михайлович повел агитацию против Особого совещания и убеждал Государя вовсе упразднить его. С Шуваевым на заседаниях происходили постоянные столкновения, и казалось, будто он нарочно вызывал резкости, чтобы иметь причины для ликвидации Совещания». </w:t>
      </w:r>
    </w:p>
    <w:p w14:paraId="7823D446" w14:textId="77777777" w:rsidR="00746050" w:rsidRPr="00405303" w:rsidRDefault="00746050" w:rsidP="00C15251">
      <w:pPr>
        <w:jc w:val="both"/>
        <w:rPr>
          <w:bCs/>
          <w:color w:val="002060"/>
          <w:sz w:val="16"/>
          <w:szCs w:val="16"/>
        </w:rPr>
      </w:pPr>
      <w:r w:rsidRPr="00405303">
        <w:rPr>
          <w:bCs/>
          <w:color w:val="002060"/>
          <w:sz w:val="16"/>
          <w:szCs w:val="16"/>
        </w:rPr>
        <w:t xml:space="preserve">Но генерал Шуваев не оправдал связанных с его назначением политических расчетов. </w:t>
      </w:r>
    </w:p>
    <w:p w14:paraId="119371C0" w14:textId="77777777" w:rsidR="00746050" w:rsidRPr="00405303" w:rsidRDefault="00746050" w:rsidP="00C15251">
      <w:pPr>
        <w:pStyle w:val="Blockquote"/>
        <w:spacing w:before="0" w:after="0"/>
        <w:ind w:left="0" w:right="0"/>
        <w:jc w:val="both"/>
        <w:rPr>
          <w:bCs/>
          <w:color w:val="002060"/>
          <w:sz w:val="16"/>
          <w:szCs w:val="16"/>
        </w:rPr>
      </w:pPr>
      <w:r w:rsidRPr="00405303">
        <w:rPr>
          <w:bCs/>
          <w:color w:val="002060"/>
          <w:sz w:val="16"/>
          <w:szCs w:val="16"/>
        </w:rPr>
        <w:t>«В заседании 5 ноября случилось событие, которое оставило сильное впечатление не только в Думе, но и в стране. Во время заседания в зале заседаний появились военный министр Шуваев и морской — Григорович. Они обратились к председателю, сообщив о желании сделать заявление. Когда Марков 2-й окончил свою речь, на трибуну поднялся Шуваев и, сильно волнуясь, сказал, что он как старый солдат верит в доблесть Русской армии, что армия снабжена всем необходимым благодаря единодушной поддержке народа и народного представительства. Он привел цифры увеличения поступления боевых припасов в армию со времени учреждения Особого совещания по обороне. Закончил он просьбой и впредь поддерживать его доверием».</w:t>
      </w:r>
    </w:p>
    <w:p w14:paraId="607F9104" w14:textId="77777777" w:rsidR="00746050" w:rsidRPr="00405303" w:rsidRDefault="00746050" w:rsidP="00C15251">
      <w:pPr>
        <w:jc w:val="both"/>
        <w:rPr>
          <w:bCs/>
          <w:color w:val="002060"/>
          <w:sz w:val="16"/>
          <w:szCs w:val="16"/>
        </w:rPr>
      </w:pPr>
      <w:r w:rsidRPr="00405303">
        <w:rPr>
          <w:bCs/>
          <w:color w:val="002060"/>
          <w:sz w:val="16"/>
          <w:szCs w:val="16"/>
        </w:rPr>
        <w:t xml:space="preserve">Вскоре после этого выступления, а именно в начале января 1917 года, генерал Шуваев был заменен на посту военного министра генералом Беляевым. Назначение последнего состоялось по выбору императрицы Александры Феодоровны как человека, вполне верного принятому курсу самодержавной политики. Генерал Беляев представлял собой тип «военного чиновника». Все свое трудолюбие и большую работоспособность он направлял по «бумажному» руслу. В армии он был очень непопулярен, ибо за ним установилась репутация человека, мертвящего всякое живое дело. За ним даже прочно установилась кличка «Мертвая голова». </w:t>
      </w:r>
    </w:p>
    <w:p w14:paraId="18EB1E1F" w14:textId="77777777" w:rsidR="00746050" w:rsidRPr="00405303" w:rsidRDefault="00746050" w:rsidP="00C15251">
      <w:pPr>
        <w:jc w:val="both"/>
        <w:rPr>
          <w:bCs/>
          <w:color w:val="002060"/>
          <w:sz w:val="16"/>
          <w:szCs w:val="16"/>
        </w:rPr>
      </w:pPr>
      <w:r w:rsidRPr="00405303">
        <w:rPr>
          <w:bCs/>
          <w:color w:val="002060"/>
          <w:sz w:val="16"/>
          <w:szCs w:val="16"/>
        </w:rPr>
        <w:t xml:space="preserve">Отрицательного влияния на дело снабжения назначение Беляева не могло оказать, так как в начале марта вспыхнула революция. </w:t>
      </w:r>
    </w:p>
    <w:p w14:paraId="0EEF52AC" w14:textId="77777777" w:rsidR="00746050" w:rsidRPr="00405303" w:rsidRDefault="00746050" w:rsidP="00C15251">
      <w:pPr>
        <w:jc w:val="both"/>
        <w:rPr>
          <w:bCs/>
          <w:color w:val="002060"/>
          <w:sz w:val="16"/>
          <w:szCs w:val="16"/>
        </w:rPr>
      </w:pPr>
      <w:r w:rsidRPr="00405303">
        <w:rPr>
          <w:bCs/>
          <w:color w:val="002060"/>
          <w:sz w:val="16"/>
          <w:szCs w:val="16"/>
        </w:rPr>
        <w:t xml:space="preserve">Революция </w:t>
      </w:r>
    </w:p>
    <w:p w14:paraId="0E4347EF" w14:textId="77777777" w:rsidR="00746050" w:rsidRPr="00405303" w:rsidRDefault="00746050" w:rsidP="00C15251">
      <w:pPr>
        <w:jc w:val="both"/>
        <w:rPr>
          <w:bCs/>
          <w:color w:val="002060"/>
          <w:sz w:val="16"/>
          <w:szCs w:val="16"/>
        </w:rPr>
      </w:pPr>
      <w:r w:rsidRPr="00405303">
        <w:rPr>
          <w:bCs/>
          <w:color w:val="002060"/>
          <w:sz w:val="16"/>
          <w:szCs w:val="16"/>
        </w:rPr>
        <w:t xml:space="preserve">В разбушевавшейся революционной стихии сразу же начала падать на заводах и промышленных предприятиях трудовая дисциплина. Технический и административный персонал, который не был изгнан рабочими, не имел возможности руководить делом. Он был терроризован рабочими. В результате — крайняя небрежность в работе и все увеличивающееся падение производительности. Московская металлообрабатывающая промышленность уже в апреле пала на 32%, производительность петроградских фабрик и заводов — на 20–40%, добыча угля и общая производительность Донецкого бассейна к 1 июля — на 30% и т.д. Расстроилась также добыча нефти на бакинских и грозненских промыслах. </w:t>
      </w:r>
    </w:p>
    <w:p w14:paraId="462B5F2F" w14:textId="77777777" w:rsidR="00746050" w:rsidRPr="00405303" w:rsidRDefault="00746050" w:rsidP="00C15251">
      <w:pPr>
        <w:jc w:val="both"/>
        <w:rPr>
          <w:bCs/>
          <w:color w:val="002060"/>
          <w:sz w:val="16"/>
          <w:szCs w:val="16"/>
        </w:rPr>
      </w:pPr>
    </w:p>
    <w:p w14:paraId="1E9ECEB8" w14:textId="7EA5EAA1" w:rsidR="00271B68" w:rsidRPr="00405303" w:rsidRDefault="00271B68" w:rsidP="00C15251">
      <w:pPr>
        <w:jc w:val="both"/>
        <w:rPr>
          <w:bCs/>
          <w:color w:val="002060"/>
          <w:sz w:val="16"/>
          <w:szCs w:val="16"/>
        </w:rPr>
      </w:pPr>
      <w:r w:rsidRPr="00405303">
        <w:rPr>
          <w:bCs/>
          <w:color w:val="002060"/>
          <w:sz w:val="16"/>
          <w:szCs w:val="16"/>
        </w:rPr>
        <w:t xml:space="preserve">8 </w:t>
      </w:r>
      <w:r w:rsidR="00746050" w:rsidRPr="00405303">
        <w:rPr>
          <w:bCs/>
          <w:color w:val="002060"/>
          <w:sz w:val="16"/>
          <w:szCs w:val="16"/>
        </w:rPr>
        <w:t xml:space="preserve">(21) </w:t>
      </w:r>
      <w:r w:rsidRPr="00405303">
        <w:rPr>
          <w:bCs/>
          <w:color w:val="002060"/>
          <w:sz w:val="16"/>
          <w:szCs w:val="16"/>
        </w:rPr>
        <w:t>сентября в 1915 году заканчивается Циммервальдская международная социалистическая конференция, осудившая империалистическую мировую войну (14763).</w:t>
      </w:r>
    </w:p>
    <w:p w14:paraId="4D6D3BDD" w14:textId="77777777" w:rsidR="00271B68" w:rsidRPr="00405303" w:rsidRDefault="00271B68" w:rsidP="00C15251">
      <w:pPr>
        <w:jc w:val="both"/>
        <w:rPr>
          <w:bCs/>
          <w:color w:val="002060"/>
          <w:sz w:val="16"/>
          <w:szCs w:val="16"/>
        </w:rPr>
      </w:pPr>
    </w:p>
    <w:p w14:paraId="729E7103" w14:textId="6F6EF81A" w:rsidR="00271B68" w:rsidRPr="00405303" w:rsidRDefault="00271B68" w:rsidP="00C15251">
      <w:pPr>
        <w:jc w:val="both"/>
        <w:rPr>
          <w:bCs/>
          <w:color w:val="002060"/>
          <w:sz w:val="16"/>
          <w:szCs w:val="16"/>
        </w:rPr>
      </w:pPr>
      <w:r w:rsidRPr="00405303">
        <w:rPr>
          <w:bCs/>
          <w:color w:val="002060"/>
          <w:sz w:val="16"/>
          <w:szCs w:val="16"/>
        </w:rPr>
        <w:t xml:space="preserve">8 </w:t>
      </w:r>
      <w:r w:rsidR="00746050" w:rsidRPr="00405303">
        <w:rPr>
          <w:bCs/>
          <w:color w:val="002060"/>
          <w:sz w:val="16"/>
          <w:szCs w:val="16"/>
        </w:rPr>
        <w:t xml:space="preserve">(21) </w:t>
      </w:r>
      <w:r w:rsidRPr="00405303">
        <w:rPr>
          <w:bCs/>
          <w:color w:val="002060"/>
          <w:sz w:val="16"/>
          <w:szCs w:val="16"/>
        </w:rPr>
        <w:t>сентября в 1915 году публикуется программа "Прогрессивного блока" (требования политических и административных реформ), объединившего представителей правого крыла и центристских групп IV Государственной думы (14763).</w:t>
      </w:r>
    </w:p>
    <w:p w14:paraId="4362773A" w14:textId="77777777" w:rsidR="00271B68" w:rsidRPr="00405303" w:rsidRDefault="00271B68" w:rsidP="00C15251">
      <w:pPr>
        <w:jc w:val="both"/>
        <w:rPr>
          <w:bCs/>
          <w:color w:val="002060"/>
          <w:sz w:val="16"/>
          <w:szCs w:val="16"/>
        </w:rPr>
      </w:pPr>
    </w:p>
    <w:p w14:paraId="648C839A" w14:textId="094DE9C0" w:rsidR="00174C66" w:rsidRPr="00405303" w:rsidRDefault="00174C66" w:rsidP="00C15251">
      <w:pPr>
        <w:jc w:val="both"/>
        <w:rPr>
          <w:bCs/>
          <w:i/>
          <w:color w:val="002060"/>
          <w:sz w:val="16"/>
          <w:szCs w:val="16"/>
        </w:rPr>
      </w:pPr>
      <w:r w:rsidRPr="00405303">
        <w:rPr>
          <w:bCs/>
          <w:i/>
          <w:color w:val="002060"/>
          <w:sz w:val="16"/>
          <w:szCs w:val="16"/>
        </w:rPr>
        <w:t>Внешняя политика:</w:t>
      </w:r>
    </w:p>
    <w:p w14:paraId="391C5CEF" w14:textId="77777777" w:rsidR="00174C66" w:rsidRPr="00405303" w:rsidRDefault="00174C66" w:rsidP="00C15251">
      <w:pPr>
        <w:jc w:val="both"/>
        <w:rPr>
          <w:bCs/>
          <w:i/>
          <w:color w:val="002060"/>
          <w:sz w:val="16"/>
          <w:szCs w:val="16"/>
        </w:rPr>
      </w:pPr>
    </w:p>
    <w:p w14:paraId="10260548" w14:textId="6ADD7159" w:rsidR="00174C66" w:rsidRPr="00405303" w:rsidRDefault="00174C66" w:rsidP="00C15251">
      <w:pPr>
        <w:jc w:val="both"/>
        <w:rPr>
          <w:bCs/>
          <w:color w:val="002060"/>
          <w:sz w:val="16"/>
          <w:szCs w:val="16"/>
          <w:lang w:bidi="en-US"/>
        </w:rPr>
      </w:pPr>
      <w:r w:rsidRPr="00405303">
        <w:rPr>
          <w:bCs/>
          <w:color w:val="002060"/>
          <w:sz w:val="16"/>
          <w:szCs w:val="16"/>
          <w:lang w:bidi="en-US"/>
        </w:rPr>
        <w:t>8 (21) сентября 1915 г. бельгийская броневая дивизия выехала из Франции на транспортном корабле в Архангельск для службы на русском фронте. По прибытии они оставались в Петрограде несколько месяцев, а в конце декабря перебрались для действий на Юго-Западном фронте (23525).</w:t>
      </w:r>
    </w:p>
    <w:p w14:paraId="1DA56770" w14:textId="77777777" w:rsidR="00174C66" w:rsidRPr="00405303" w:rsidRDefault="00174C66" w:rsidP="00C15251">
      <w:pPr>
        <w:jc w:val="both"/>
        <w:rPr>
          <w:bCs/>
          <w:color w:val="002060"/>
          <w:sz w:val="16"/>
          <w:szCs w:val="16"/>
        </w:rPr>
      </w:pPr>
    </w:p>
    <w:p w14:paraId="3384BEB8" w14:textId="7DA1894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069559BC" w14:textId="77777777" w:rsidR="004B4E35" w:rsidRPr="00405303" w:rsidRDefault="004B4E35" w:rsidP="00C15251">
      <w:pPr>
        <w:jc w:val="both"/>
        <w:rPr>
          <w:bCs/>
          <w:i/>
          <w:color w:val="002060"/>
          <w:sz w:val="16"/>
          <w:szCs w:val="16"/>
        </w:rPr>
      </w:pPr>
    </w:p>
    <w:p w14:paraId="2AA04050" w14:textId="7ACCE6D9" w:rsidR="00F05CB8" w:rsidRPr="00405303" w:rsidRDefault="00F05CB8" w:rsidP="00C15251">
      <w:pPr>
        <w:jc w:val="both"/>
        <w:rPr>
          <w:bCs/>
          <w:color w:val="002060"/>
          <w:sz w:val="16"/>
          <w:szCs w:val="16"/>
        </w:rPr>
      </w:pPr>
      <w:r w:rsidRPr="00405303">
        <w:rPr>
          <w:bCs/>
          <w:color w:val="002060"/>
          <w:sz w:val="16"/>
          <w:szCs w:val="16"/>
        </w:rPr>
        <w:t xml:space="preserve">9 </w:t>
      </w:r>
      <w:r w:rsidR="00746050" w:rsidRPr="00405303">
        <w:rPr>
          <w:bCs/>
          <w:color w:val="002060"/>
          <w:sz w:val="16"/>
          <w:szCs w:val="16"/>
        </w:rPr>
        <w:t xml:space="preserve">(22) </w:t>
      </w:r>
      <w:r w:rsidRPr="00405303">
        <w:rPr>
          <w:bCs/>
          <w:color w:val="002060"/>
          <w:sz w:val="16"/>
          <w:szCs w:val="16"/>
        </w:rPr>
        <w:t>сентября 1915 г. от ГВТУ был получен заказ на 18 «Сикорских маленьких», так их звали в действующей армии. В соответствии с этим заказом «Авиа-Балт» в дополнение к первым трем С-16 сдал в начале 1916 г. еще 15 новых самолетов С-16сер, мало отличавшихся от первых. Большая часть их была одноместными. Для превращения безоружного поначалу самолета в боевой истребитель ГВТУ заключило с</w:t>
      </w:r>
      <w:r w:rsidR="000F5756">
        <w:rPr>
          <w:bCs/>
          <w:color w:val="002060"/>
          <w:sz w:val="16"/>
          <w:szCs w:val="16"/>
        </w:rPr>
        <w:t xml:space="preserve"> </w:t>
      </w:r>
      <w:r w:rsidRPr="00405303">
        <w:rPr>
          <w:bCs/>
          <w:color w:val="002060"/>
          <w:sz w:val="16"/>
          <w:szCs w:val="16"/>
        </w:rPr>
        <w:t>РБВЗ</w:t>
      </w:r>
      <w:r w:rsidR="000F5756">
        <w:rPr>
          <w:bCs/>
          <w:color w:val="002060"/>
          <w:sz w:val="16"/>
          <w:szCs w:val="16"/>
        </w:rPr>
        <w:t xml:space="preserve"> </w:t>
      </w:r>
      <w:r w:rsidRPr="00405303">
        <w:rPr>
          <w:bCs/>
          <w:color w:val="002060"/>
          <w:sz w:val="16"/>
          <w:szCs w:val="16"/>
        </w:rPr>
        <w:t>дополнительный контракт на оснащение С-16 пулеметами «Виккерс» и «Кольт». Синхронизатор был разработан Г. И. Лавровым. На двухместных машинах иногда устанавливали второй пулемет для стрельбы назад. Поступившие в эскадру С-16 были первыми серийными истребителями отечественной конструкции (15127).</w:t>
      </w:r>
    </w:p>
    <w:p w14:paraId="60D00DAF" w14:textId="77777777" w:rsidR="00F05CB8" w:rsidRPr="00405303" w:rsidRDefault="00F05CB8" w:rsidP="00C15251">
      <w:pPr>
        <w:jc w:val="both"/>
        <w:rPr>
          <w:bCs/>
          <w:color w:val="002060"/>
          <w:sz w:val="16"/>
          <w:szCs w:val="16"/>
        </w:rPr>
      </w:pPr>
    </w:p>
    <w:p w14:paraId="28A9DD80" w14:textId="77777777" w:rsidR="004B4E35" w:rsidRPr="00405303" w:rsidRDefault="009E6F82" w:rsidP="00C15251">
      <w:pPr>
        <w:jc w:val="both"/>
        <w:rPr>
          <w:bCs/>
          <w:color w:val="002060"/>
          <w:sz w:val="16"/>
          <w:szCs w:val="16"/>
        </w:rPr>
      </w:pPr>
      <w:r w:rsidRPr="00405303">
        <w:rPr>
          <w:bCs/>
          <w:color w:val="002060"/>
          <w:sz w:val="16"/>
          <w:szCs w:val="16"/>
        </w:rPr>
        <w:t xml:space="preserve">9 (22) сентября 1915 г. от ГВТУ был получен заказ на 18 «Сикорских маленьких», так их звали в действующей армии. В соответствии с этим заказом «Авиа-Балт» в дополнение к первым трем С-16 сдал в начале 1916 г. еще 15 новых самолетов С-16сер, мало отличавшихся от первых. Большая часть их была одноместными. Для превращения безоружного поначалу самолета в боевой истребитель ГВТУ заключило с РБВЗ дополнительный контракт на оснащение С-16 пулеметами «Виккерс» и «Кольт». Синхронизатор был разработан хорошо нам известным Г. И. Лавровым. На двухместных машинах иногда устанавливали второй пулемет для стрельбы назад. Поступившие в эскадру С-16 были первыми серийными истребителями отечественной конструкции. О них тотчас прознал Августейший командующий легкой авиацией. У него появилась реальная возможность отхватить от эскадры приличный кусок. 3 февраля 1916 г. Великий Князь Александр Михайлович шлет начальнику штаба Верховного Главнокомандования генералу М. В. Алексееву депешу: </w:t>
      </w:r>
      <w:proofErr w:type="gramStart"/>
      <w:r w:rsidRPr="00405303">
        <w:rPr>
          <w:bCs/>
          <w:color w:val="002060"/>
          <w:sz w:val="16"/>
          <w:szCs w:val="16"/>
        </w:rPr>
        <w:t>« ...</w:t>
      </w:r>
      <w:proofErr w:type="gramEnd"/>
      <w:r w:rsidRPr="00405303">
        <w:rPr>
          <w:bCs/>
          <w:color w:val="002060"/>
          <w:sz w:val="16"/>
          <w:szCs w:val="16"/>
        </w:rPr>
        <w:t xml:space="preserve"> Прошу разрешения, ввиду того что Эскадра еще не приступила к боевой работе, послать в 7 и 11 армии аппараты Сикорского-16, являющиеся ныне наиболее быстроходными. В противном случае дальнейшая разведка станет невозможной». Что ж, достаточно высокая оценка в устах недоброжелателя. Шидловский, надеясь на широкое в будущем использование С-16, не только согласился уступить шесть машин, но и предложил переобучить на них славных соколов Великого Князя. Однако от последнего Августейший высокомерно отказался: «Всякий «моранист» полетит на «Сикорском</w:t>
      </w:r>
      <w:proofErr w:type="gramStart"/>
      <w:r w:rsidRPr="00405303">
        <w:rPr>
          <w:bCs/>
          <w:color w:val="002060"/>
          <w:sz w:val="16"/>
          <w:szCs w:val="16"/>
        </w:rPr>
        <w:t>» .</w:t>
      </w:r>
      <w:proofErr w:type="gramEnd"/>
      <w:r w:rsidRPr="00405303">
        <w:rPr>
          <w:bCs/>
          <w:color w:val="002060"/>
          <w:sz w:val="16"/>
          <w:szCs w:val="16"/>
        </w:rPr>
        <w:t xml:space="preserve"> Но и этим отказом Великий Князь невольно подчеркнул простоту техники пилотирования «Сикорского маленького». Вскоре один из запрошенных (№ 205) поступил в истребительное звено 33-го корпусного отряда. Его «оседлал» поручик Вокуловский. Три других (№201, 202 и 204) были переданы в знаменитый 7-й истребительный авиаотряд под командованием поручика И. А. Орлова, где были с энтузиазмом приняты летчиками. С-16 активно использовали, применяли в воздушных боях. 27 апреля 1916 г., возвращаясь с боевого задания, потерпел аварию двухместный С-16 известного русского аса прапорщика Ю. В. Гильшера. Самолет на снижении попал в штопор. Летнаб Квасников отделался испугом, летчик же сильно повредил ногу. Авария произошла после тяжелого и победного воздушного боя с австрийцем, но «Мефистофель Муромцев», как называет Великого Князя Александра Михайловича крупнейший зарубежный знаток русской авиации, </w:t>
      </w:r>
      <w:proofErr w:type="gramStart"/>
      <w:r w:rsidRPr="00405303">
        <w:rPr>
          <w:bCs/>
          <w:color w:val="002060"/>
          <w:sz w:val="16"/>
          <w:szCs w:val="16"/>
        </w:rPr>
        <w:t>и в частности</w:t>
      </w:r>
      <w:proofErr w:type="gramEnd"/>
      <w:r w:rsidRPr="00405303">
        <w:rPr>
          <w:bCs/>
          <w:color w:val="002060"/>
          <w:sz w:val="16"/>
          <w:szCs w:val="16"/>
        </w:rPr>
        <w:t xml:space="preserve"> творчества Сикорского, английский историк Харри Уудман, разбираться в причинах не стал и запретил применять С-16 в подчиненной ему авиации. Все машины вернули в эскадру, где претензий к ним не было. Смущала только ставшая к тому времени недостаточной скорость, однако исправить этот показатель было нельзя — более мощных двигателей для этих самолетов не было. Как только летом 1916 г. на одном из серийных С-16 (№ 210) был поставлен двигатель «Гном-Моносупап» в 100 л. с., летно-технические характеристики самолета заметно улучшились. Под этот двигатель начала готовиться следующая серия С-16. Первый образец новой серии «С-16–3» (№ 246) отправили в эскадру для испытаний в августе 1916 г. Он отличался более обтекаемыми формами. За кабиной был установлен алюминиевый гаргрот. Крылья сделаны разного размера. Элероны с нижнего крыла удалены, а на верхнем увеличены. Биплан начал превращаться в полутораплан в полном соответствии с общим ходом развития класса истребителей. Однако ни первый образец новой серии, ни последовавшие за ним еще 14 машин (№ 247–260) не оправдали возлагавшихся на них надежд. Виной всему был проклятый «моторный голод». В 1916 г. его удалось устранить для воздушных кораблей, но не для легких самолетов. Командующий легкой авиацией наотрез отказался делиться двигателями для истребителей производства РБВЗ, не без удовольствия напоминая УВВФ, что в 1915 г. «г. Шидловский отрицал необходимость охраны «Муромцев» истребителями». Великий Князь, видимо, не хотел учитывать, что на дворе уже стоял 1917 г. и «Муромцам» нужны были истребители хотя бы для прикрытия мест базирования. Так была утеряна последняя возможность наладить крупносерийное производство истребителей отечественной конструкции, под которое Правление РБВЗ даже предлагало свой Тверской завод. Враждебность Августейшего командующего не охладила интереса Сикорского к разработке легких самолетов. Применение их было обеспечено. Дело в том, что по приказу М. В. Алексеева от 21 ноября 1915 г. в штат эскадры должны были входить помимо кораблей легкие самолеты: 12 учебных — в эскадренную школу и по 4 истребителя, 4 разведчика и 6 тренировочных — в каждый боевой отряд, а всего их с учетом развития эскадры предусматривалось пять. В начале 1917 г. общая потребность эскадры оценивалась в 80 истребителей, 52 тренировочных и 20 учебных самолетов. Все предполагалось строить на предприятиях РБВЗ (11196).</w:t>
      </w:r>
    </w:p>
    <w:p w14:paraId="17A332B2" w14:textId="77777777" w:rsidR="004B4E35" w:rsidRPr="00405303" w:rsidRDefault="004B4E35" w:rsidP="00C15251">
      <w:pPr>
        <w:jc w:val="both"/>
        <w:rPr>
          <w:bCs/>
          <w:color w:val="002060"/>
          <w:sz w:val="16"/>
          <w:szCs w:val="16"/>
        </w:rPr>
      </w:pPr>
    </w:p>
    <w:p w14:paraId="4AFA6144" w14:textId="2511421A" w:rsidR="007538DE" w:rsidRPr="00405303" w:rsidRDefault="007538DE" w:rsidP="00C15251">
      <w:pPr>
        <w:jc w:val="both"/>
        <w:rPr>
          <w:bCs/>
          <w:color w:val="002060"/>
          <w:sz w:val="16"/>
          <w:szCs w:val="16"/>
        </w:rPr>
      </w:pPr>
      <w:bookmarkStart w:id="232" w:name="_Hlk94186523"/>
      <w:r w:rsidRPr="00405303">
        <w:rPr>
          <w:bCs/>
          <w:color w:val="002060"/>
          <w:sz w:val="16"/>
          <w:szCs w:val="16"/>
        </w:rPr>
        <w:t>9 (22) сентября 1915 г. РВБЗ от ГВТУ был получен за</w:t>
      </w:r>
      <w:r w:rsidRPr="00405303">
        <w:rPr>
          <w:bCs/>
          <w:color w:val="002060"/>
          <w:sz w:val="16"/>
          <w:szCs w:val="16"/>
        </w:rPr>
        <w:softHyphen/>
        <w:t>каз на 18 «Сикорских маленьких», так их звали в дей</w:t>
      </w:r>
      <w:r w:rsidRPr="00405303">
        <w:rPr>
          <w:bCs/>
          <w:color w:val="002060"/>
          <w:sz w:val="16"/>
          <w:szCs w:val="16"/>
        </w:rPr>
        <w:softHyphen/>
        <w:t>ствующей армии. В соответствии с этим заказом «Авиа- Балт» в дополнение к первым трем С-16 сдал в начале 1916 г. еще 15 новых самолетов С-16сер, мало отличав</w:t>
      </w:r>
      <w:r w:rsidRPr="00405303">
        <w:rPr>
          <w:bCs/>
          <w:color w:val="002060"/>
          <w:sz w:val="16"/>
          <w:szCs w:val="16"/>
        </w:rPr>
        <w:softHyphen/>
        <w:t>шихся от первых. Большая часть их была одноместны</w:t>
      </w:r>
      <w:r w:rsidRPr="00405303">
        <w:rPr>
          <w:bCs/>
          <w:color w:val="002060"/>
          <w:sz w:val="16"/>
          <w:szCs w:val="16"/>
        </w:rPr>
        <w:softHyphen/>
        <w:t>ми. Для превращения безоружного поначалу самолета в боевой истребитель ГВТУ заключило с РБВЗ дополни</w:t>
      </w:r>
      <w:r w:rsidRPr="00405303">
        <w:rPr>
          <w:bCs/>
          <w:color w:val="002060"/>
          <w:sz w:val="16"/>
          <w:szCs w:val="16"/>
        </w:rPr>
        <w:softHyphen/>
        <w:t>тельный контракт на оснащение С-16 пулеметами «Виккерс» и «Кольт». Синхронизатор был разработан хорошо нам известным Г. И. Лавровым. На двухмест</w:t>
      </w:r>
      <w:r w:rsidRPr="00405303">
        <w:rPr>
          <w:bCs/>
          <w:color w:val="002060"/>
          <w:sz w:val="16"/>
          <w:szCs w:val="16"/>
        </w:rPr>
        <w:softHyphen/>
        <w:t>ных машинах иногда устанавливали второй пулемет для стрельбы назад.</w:t>
      </w:r>
    </w:p>
    <w:p w14:paraId="02725D6D" w14:textId="77777777" w:rsidR="007538DE" w:rsidRPr="00405303" w:rsidRDefault="007538DE" w:rsidP="00C15251">
      <w:pPr>
        <w:jc w:val="both"/>
        <w:rPr>
          <w:bCs/>
          <w:color w:val="002060"/>
          <w:sz w:val="16"/>
          <w:szCs w:val="16"/>
        </w:rPr>
      </w:pPr>
      <w:r w:rsidRPr="00405303">
        <w:rPr>
          <w:bCs/>
          <w:color w:val="002060"/>
          <w:sz w:val="16"/>
          <w:szCs w:val="16"/>
        </w:rPr>
        <w:t>Поступившие в эскадру С-16 были первыми серийны</w:t>
      </w:r>
      <w:r w:rsidRPr="00405303">
        <w:rPr>
          <w:bCs/>
          <w:color w:val="002060"/>
          <w:sz w:val="16"/>
          <w:szCs w:val="16"/>
        </w:rPr>
        <w:softHyphen/>
        <w:t>ми истребителями отечественной конструкции. О них тотчас прознал Августейший командующий легкой авиацией. У него появилась реальная возможность от</w:t>
      </w:r>
      <w:r w:rsidRPr="00405303">
        <w:rPr>
          <w:bCs/>
          <w:color w:val="002060"/>
          <w:sz w:val="16"/>
          <w:szCs w:val="16"/>
        </w:rPr>
        <w:softHyphen/>
        <w:t>хватить от эскадры приличный кусок (24177).</w:t>
      </w:r>
    </w:p>
    <w:p w14:paraId="7876CB67" w14:textId="77777777" w:rsidR="007538DE" w:rsidRPr="00405303" w:rsidRDefault="007538DE" w:rsidP="00C15251">
      <w:pPr>
        <w:jc w:val="both"/>
        <w:rPr>
          <w:bCs/>
          <w:color w:val="002060"/>
          <w:sz w:val="16"/>
          <w:szCs w:val="16"/>
        </w:rPr>
      </w:pPr>
    </w:p>
    <w:p w14:paraId="36A86E14" w14:textId="77777777" w:rsidR="00DB5091" w:rsidRPr="00405303" w:rsidRDefault="00DB5091" w:rsidP="00C15251">
      <w:pPr>
        <w:jc w:val="both"/>
        <w:rPr>
          <w:bCs/>
          <w:color w:val="002060"/>
          <w:sz w:val="16"/>
          <w:szCs w:val="16"/>
        </w:rPr>
      </w:pPr>
      <w:r w:rsidRPr="00405303">
        <w:rPr>
          <w:bCs/>
          <w:color w:val="002060"/>
          <w:sz w:val="16"/>
          <w:szCs w:val="16"/>
        </w:rPr>
        <w:t>9 (22) сентября 1915 года директор-распорядитель «Товарищества Дюфлон, Константинович и К°» - к тому времени он прошел реорганизацию и именовался «Общество электромеханических сооружений», но старая марка ДЕКА продолжала использоваться - Петр Павлович Азбелев подписал контракт с Главным Военно-Техническим Управлением, принимая на себя следующие обязательства:</w:t>
      </w:r>
    </w:p>
    <w:p w14:paraId="7693CC1B" w14:textId="77777777" w:rsidR="00DB5091" w:rsidRPr="00405303" w:rsidRDefault="00DB5091" w:rsidP="00C15251">
      <w:pPr>
        <w:jc w:val="both"/>
        <w:rPr>
          <w:bCs/>
          <w:color w:val="002060"/>
          <w:sz w:val="16"/>
          <w:szCs w:val="16"/>
        </w:rPr>
      </w:pPr>
      <w:r w:rsidRPr="00405303">
        <w:rPr>
          <w:bCs/>
          <w:color w:val="002060"/>
          <w:sz w:val="16"/>
          <w:szCs w:val="16"/>
        </w:rPr>
        <w:t xml:space="preserve">«1. …применительно образцов и на точном основании прилагаемых общих условий и списков, а также технических условий, которые будут впоследствии даны Обществу Главным Военно-Техническим Управлением, изготовить и поставить … </w:t>
      </w:r>
    </w:p>
    <w:p w14:paraId="1F0A15A8" w14:textId="77777777" w:rsidR="00DB5091" w:rsidRPr="00405303" w:rsidRDefault="00DB5091" w:rsidP="00C15251">
      <w:pPr>
        <w:jc w:val="both"/>
        <w:rPr>
          <w:bCs/>
          <w:color w:val="002060"/>
          <w:sz w:val="16"/>
          <w:szCs w:val="16"/>
        </w:rPr>
      </w:pPr>
      <w:r w:rsidRPr="00405303">
        <w:rPr>
          <w:bCs/>
          <w:color w:val="002060"/>
          <w:sz w:val="16"/>
          <w:szCs w:val="16"/>
        </w:rPr>
        <w:t>а) сто моторов типа Бенц 150 НР, по 16.200 рублей за мотор;</w:t>
      </w:r>
    </w:p>
    <w:p w14:paraId="60ED8C98" w14:textId="77777777" w:rsidR="00DB5091" w:rsidRPr="00405303" w:rsidRDefault="00DB5091" w:rsidP="00C15251">
      <w:pPr>
        <w:jc w:val="both"/>
        <w:rPr>
          <w:bCs/>
          <w:color w:val="002060"/>
          <w:sz w:val="16"/>
          <w:szCs w:val="16"/>
        </w:rPr>
      </w:pPr>
      <w:r w:rsidRPr="00405303">
        <w:rPr>
          <w:bCs/>
          <w:color w:val="002060"/>
          <w:sz w:val="16"/>
          <w:szCs w:val="16"/>
        </w:rPr>
        <w:t>б) сто комплектов запасных частей к ним по 1.570 рублей за комплект;</w:t>
      </w:r>
    </w:p>
    <w:p w14:paraId="143796C3" w14:textId="77777777" w:rsidR="00DB5091" w:rsidRPr="00405303" w:rsidRDefault="00DB5091" w:rsidP="00C15251">
      <w:pPr>
        <w:jc w:val="both"/>
        <w:rPr>
          <w:bCs/>
          <w:color w:val="002060"/>
          <w:sz w:val="16"/>
          <w:szCs w:val="16"/>
        </w:rPr>
      </w:pPr>
      <w:r w:rsidRPr="00405303">
        <w:rPr>
          <w:bCs/>
          <w:color w:val="002060"/>
          <w:sz w:val="16"/>
          <w:szCs w:val="16"/>
        </w:rPr>
        <w:t>в) двадцать дополнительных комплектов к ним по /12/ 15.250 рублей за комплект;</w:t>
      </w:r>
    </w:p>
    <w:p w14:paraId="339F6DC3" w14:textId="77777777" w:rsidR="00DB5091" w:rsidRPr="00405303" w:rsidRDefault="00DB5091" w:rsidP="00C15251">
      <w:pPr>
        <w:jc w:val="both"/>
        <w:rPr>
          <w:bCs/>
          <w:color w:val="002060"/>
          <w:sz w:val="16"/>
          <w:szCs w:val="16"/>
        </w:rPr>
      </w:pPr>
      <w:r w:rsidRPr="00405303">
        <w:rPr>
          <w:bCs/>
          <w:color w:val="002060"/>
          <w:sz w:val="16"/>
          <w:szCs w:val="16"/>
        </w:rPr>
        <w:t>г) двадцать пять моторов типа Мерседес 100-150 НР, по 11340 рублей за мотор;</w:t>
      </w:r>
    </w:p>
    <w:p w14:paraId="0642B127" w14:textId="77777777" w:rsidR="00DB5091" w:rsidRPr="00405303" w:rsidRDefault="00DB5091" w:rsidP="00C15251">
      <w:pPr>
        <w:jc w:val="both"/>
        <w:rPr>
          <w:bCs/>
          <w:color w:val="002060"/>
          <w:sz w:val="16"/>
          <w:szCs w:val="16"/>
        </w:rPr>
      </w:pPr>
      <w:r w:rsidRPr="00405303">
        <w:rPr>
          <w:bCs/>
          <w:color w:val="002060"/>
          <w:sz w:val="16"/>
          <w:szCs w:val="16"/>
        </w:rPr>
        <w:t>д) двадцать пять комплектов запасных частей к ним по 1500 рублей за комплект и</w:t>
      </w:r>
    </w:p>
    <w:p w14:paraId="4792DA71" w14:textId="77777777" w:rsidR="00DB5091" w:rsidRPr="00405303" w:rsidRDefault="00DB5091" w:rsidP="00C15251">
      <w:pPr>
        <w:jc w:val="both"/>
        <w:rPr>
          <w:bCs/>
          <w:color w:val="002060"/>
          <w:sz w:val="16"/>
          <w:szCs w:val="16"/>
        </w:rPr>
      </w:pPr>
      <w:r w:rsidRPr="00405303">
        <w:rPr>
          <w:bCs/>
          <w:color w:val="002060"/>
          <w:sz w:val="16"/>
          <w:szCs w:val="16"/>
        </w:rPr>
        <w:t>е) пять дополнительных комплектов к ним по 14.000 руб. за комплект,</w:t>
      </w:r>
    </w:p>
    <w:p w14:paraId="67D30082" w14:textId="77777777" w:rsidR="00DB5091" w:rsidRPr="00405303" w:rsidRDefault="00DB5091" w:rsidP="00C15251">
      <w:pPr>
        <w:jc w:val="both"/>
        <w:rPr>
          <w:bCs/>
          <w:color w:val="002060"/>
          <w:sz w:val="16"/>
          <w:szCs w:val="16"/>
        </w:rPr>
      </w:pPr>
      <w:r w:rsidRPr="00405303">
        <w:rPr>
          <w:bCs/>
          <w:color w:val="002060"/>
          <w:sz w:val="16"/>
          <w:szCs w:val="16"/>
        </w:rPr>
        <w:t>а всего на общую сумму ДВА МИЛЛИОНА ЧЕТЫРЕСТА СЕМЬДЕСЯТ ТРИ ТЫСЯЧИ (2.473.000) рублей.</w:t>
      </w:r>
    </w:p>
    <w:p w14:paraId="24C764CD" w14:textId="77777777" w:rsidR="00DB5091" w:rsidRPr="00405303" w:rsidRDefault="00DB5091" w:rsidP="00C15251">
      <w:pPr>
        <w:jc w:val="both"/>
        <w:rPr>
          <w:bCs/>
          <w:color w:val="002060"/>
          <w:sz w:val="16"/>
          <w:szCs w:val="16"/>
        </w:rPr>
      </w:pPr>
      <w:r w:rsidRPr="00405303">
        <w:rPr>
          <w:bCs/>
          <w:color w:val="002060"/>
          <w:sz w:val="16"/>
          <w:szCs w:val="16"/>
        </w:rPr>
        <w:t>2) Испытание моторов производится за счет поставщика по правилам, которые будут даны обществу Управлением.</w:t>
      </w:r>
    </w:p>
    <w:p w14:paraId="1072E3B1" w14:textId="77777777" w:rsidR="00DB5091" w:rsidRPr="00405303" w:rsidRDefault="00DB5091" w:rsidP="00C15251">
      <w:pPr>
        <w:jc w:val="both"/>
        <w:rPr>
          <w:bCs/>
          <w:color w:val="002060"/>
          <w:sz w:val="16"/>
          <w:szCs w:val="16"/>
        </w:rPr>
      </w:pPr>
      <w:r w:rsidRPr="00405303">
        <w:rPr>
          <w:bCs/>
          <w:color w:val="002060"/>
          <w:sz w:val="16"/>
          <w:szCs w:val="16"/>
        </w:rPr>
        <w:t xml:space="preserve">3) Общество обязуется изготовить означенные моторы и запасные части на русских заводах и представить у себя на заводах для осмотра и освидетельствования приемной комиссией: моторы в 150 НР, первые пять моторов и пять комплектов запасных частей и один дополнительный комплект запасных частей через десять месяцев со дня выдачи Обществу образца, а остальные моторы 150 НР, и комплекты запасных к ним частей равномерными партиями в течение последующих за первой сдачей восьми месяцев, считая на последний месяц 11 моторов и 14 комплектов запасных частей; моторы Мерседес в 100-105 НР, — первый один мотор, один комплект запасных частей и один дополнительный комплект запасных частей через десять месяцев со дня выдачи образца… </w:t>
      </w:r>
    </w:p>
    <w:p w14:paraId="2295C143" w14:textId="77777777" w:rsidR="00DB5091" w:rsidRPr="00405303" w:rsidRDefault="00DB5091" w:rsidP="00C15251">
      <w:pPr>
        <w:jc w:val="both"/>
        <w:rPr>
          <w:bCs/>
          <w:color w:val="002060"/>
          <w:sz w:val="16"/>
          <w:szCs w:val="16"/>
        </w:rPr>
      </w:pPr>
      <w:r w:rsidRPr="00405303">
        <w:rPr>
          <w:bCs/>
          <w:color w:val="002060"/>
          <w:sz w:val="16"/>
          <w:szCs w:val="16"/>
        </w:rPr>
        <w:t>4) По приемке моторов и запасных частей поставщик обязуется произвести за свой счет укупорку и доставку их в Центральный воздухоплавательный склад при Офицерской воздухоплавательной школе, или же на одну из железнодорожных станций в г. Петроград по указанию Технического отдела, а равно отправить их если то потребуется (без всякой доплаты от казны) по предложениям военного ведомства в места по указанию Технического отдела…».</w:t>
      </w:r>
    </w:p>
    <w:p w14:paraId="6623F783" w14:textId="77777777" w:rsidR="00DB5091" w:rsidRPr="00405303" w:rsidRDefault="00DB5091" w:rsidP="00C15251">
      <w:pPr>
        <w:jc w:val="both"/>
        <w:rPr>
          <w:bCs/>
          <w:color w:val="002060"/>
          <w:sz w:val="16"/>
          <w:szCs w:val="16"/>
        </w:rPr>
      </w:pPr>
      <w:r w:rsidRPr="00405303">
        <w:rPr>
          <w:bCs/>
          <w:color w:val="002060"/>
          <w:sz w:val="16"/>
          <w:szCs w:val="16"/>
        </w:rPr>
        <w:lastRenderedPageBreak/>
        <w:t>От военного ведомства договор подписал начальник Технического отдела ГВТУ генерал-майор Болотов.</w:t>
      </w:r>
    </w:p>
    <w:p w14:paraId="0CDB4412" w14:textId="77777777" w:rsidR="00DB5091" w:rsidRPr="00405303" w:rsidRDefault="00DB5091" w:rsidP="00C15251">
      <w:pPr>
        <w:jc w:val="both"/>
        <w:rPr>
          <w:bCs/>
          <w:color w:val="002060"/>
          <w:sz w:val="16"/>
          <w:szCs w:val="16"/>
        </w:rPr>
      </w:pPr>
      <w:r w:rsidRPr="00405303">
        <w:rPr>
          <w:bCs/>
          <w:color w:val="002060"/>
          <w:sz w:val="16"/>
          <w:szCs w:val="16"/>
        </w:rPr>
        <w:t>Фирма Дюфлона и Константиновича располагала сравнительно большой и оснащенной производственной базой, имея помимо главных предприятий в Петербурге и Москве еще и несколько филиалов в больших провинциальных центрах Российской Империи, однако все они были загружены военным производством и не имели возможности разместить еще один заказ, да еще такой сложный, требующий освоения сразу двух новых изделий. В поиске площадки для нового производства правление «Общества электромеханических сооружений» обратило внимание на предприятие братьев Мознаим в Александровске на Украине (ныне это город Запорожье). Его хозяева не могли найти военные заказы, а спрос на гражданскую продукцию неуклонно сокращался. Дела у братьев шли неважно, потому с ними удалось договориться, и вскоре завод сменил владельца (22984).</w:t>
      </w:r>
    </w:p>
    <w:p w14:paraId="52CF1418" w14:textId="77777777" w:rsidR="00DB5091" w:rsidRPr="00405303" w:rsidRDefault="00DB5091" w:rsidP="00C15251">
      <w:pPr>
        <w:shd w:val="clear" w:color="auto" w:fill="FFFFFF"/>
        <w:jc w:val="both"/>
        <w:rPr>
          <w:bCs/>
          <w:color w:val="002060"/>
          <w:sz w:val="16"/>
          <w:szCs w:val="16"/>
        </w:rPr>
      </w:pPr>
    </w:p>
    <w:bookmarkEnd w:id="232"/>
    <w:p w14:paraId="6ADC9D2B"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2C8677E7" w14:textId="77777777" w:rsidR="004B4E35" w:rsidRPr="00405303" w:rsidRDefault="004B4E35" w:rsidP="00C15251">
      <w:pPr>
        <w:shd w:val="clear" w:color="auto" w:fill="FFFFFF"/>
        <w:jc w:val="both"/>
        <w:rPr>
          <w:bCs/>
          <w:i/>
          <w:color w:val="002060"/>
          <w:sz w:val="16"/>
          <w:szCs w:val="16"/>
        </w:rPr>
      </w:pPr>
    </w:p>
    <w:p w14:paraId="3DB2A75E" w14:textId="01DEA0F7" w:rsidR="004B4E35" w:rsidRPr="00405303" w:rsidRDefault="009E6F82" w:rsidP="00C15251">
      <w:pPr>
        <w:jc w:val="both"/>
        <w:rPr>
          <w:bCs/>
          <w:color w:val="002060"/>
          <w:sz w:val="16"/>
          <w:szCs w:val="16"/>
        </w:rPr>
      </w:pPr>
      <w:r w:rsidRPr="00405303">
        <w:rPr>
          <w:bCs/>
          <w:color w:val="002060"/>
          <w:sz w:val="16"/>
          <w:szCs w:val="16"/>
        </w:rPr>
        <w:t xml:space="preserve">9 (22) сентября 1915 г. </w:t>
      </w:r>
      <w:r w:rsidR="00746050" w:rsidRPr="00405303">
        <w:rPr>
          <w:bCs/>
          <w:color w:val="002060"/>
          <w:sz w:val="16"/>
          <w:szCs w:val="16"/>
        </w:rPr>
        <w:t xml:space="preserve">Для ведения строгого учета за производством и расходом кислоты во всей России на заседании Комиссии </w:t>
      </w:r>
      <w:r w:rsidRPr="00405303">
        <w:rPr>
          <w:bCs/>
          <w:color w:val="002060"/>
          <w:sz w:val="16"/>
          <w:szCs w:val="16"/>
        </w:rPr>
        <w:t>было принято решение немедленно произвести ревизию на уральских Вадарском, Шайтанских и Верхне-Исетских заводах (РГВИА, ф. 507, оп. 2, д. 72, л. 57 об.). Серная кислота находит широкое применение в производственном процессе суперфосфатных, аммиачных, нефтеперегонных, а также металлургических заводов. Недостаточное ее количество привело к кислотному кризису в первые годы войны. Особенно страдали от этого частные производители, так как вся серная кислота шла на нужды фронта. В связи с этим процветала спекуляция и искусственно повышалась цена на кислоту. Рост цен на серную кислоту объяснялся и огромным спросом на нее предприятий, производивших взрывчатые вещества. Как пишет Ипатьев, были специально организованы "районные бюро Комиссии для надзора за выработкой минеральных кислот на всех частных заводах и для распределения остатков кислоты между частными потребителями" в интересах обороны. Исполнительная комиссия при военном министре на заседании 15 октября 1915 г. утвердила представление ГАУ об организации одного центрального и шести районных бюро для наблюдения и контроля за производством и распределением серной кислоты. Работа таких бюро способствовала также увеличению производства кислот до максимально возможного уровня, так как "благодаря техническому надзору удалось значительно улучшить технику производства на частных заводах". Важно было также и то, что удалось обеспечить на 2 года вперед снабжение всех казенных и частных заводов серной кислотой по сравнительно низким ценам, так как контракты на ее поставку были заключены в то время, когда цены на нее еще не были такими высокими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Пг., 1921.) (11781).</w:t>
      </w:r>
    </w:p>
    <w:p w14:paraId="09CBA1CF" w14:textId="77777777" w:rsidR="004B4E35" w:rsidRPr="00405303" w:rsidRDefault="004B4E35" w:rsidP="00C15251">
      <w:pPr>
        <w:jc w:val="both"/>
        <w:rPr>
          <w:bCs/>
          <w:color w:val="002060"/>
          <w:sz w:val="16"/>
          <w:szCs w:val="16"/>
        </w:rPr>
      </w:pPr>
    </w:p>
    <w:p w14:paraId="172947A6" w14:textId="76897591" w:rsidR="00174C66" w:rsidRPr="00405303" w:rsidRDefault="00174C66" w:rsidP="00C15251">
      <w:pPr>
        <w:shd w:val="clear" w:color="auto" w:fill="FFFFFF"/>
        <w:jc w:val="both"/>
        <w:rPr>
          <w:bCs/>
          <w:i/>
          <w:color w:val="002060"/>
          <w:sz w:val="16"/>
          <w:szCs w:val="16"/>
        </w:rPr>
      </w:pPr>
      <w:r w:rsidRPr="00405303">
        <w:rPr>
          <w:bCs/>
          <w:i/>
          <w:color w:val="002060"/>
          <w:sz w:val="16"/>
          <w:szCs w:val="16"/>
        </w:rPr>
        <w:t>Армия:</w:t>
      </w:r>
    </w:p>
    <w:p w14:paraId="2F233D0F" w14:textId="77777777" w:rsidR="00174C66" w:rsidRPr="00405303" w:rsidRDefault="00174C66" w:rsidP="00C15251">
      <w:pPr>
        <w:shd w:val="clear" w:color="auto" w:fill="FFFFFF"/>
        <w:jc w:val="both"/>
        <w:rPr>
          <w:bCs/>
          <w:i/>
          <w:color w:val="002060"/>
          <w:sz w:val="16"/>
          <w:szCs w:val="16"/>
        </w:rPr>
      </w:pPr>
    </w:p>
    <w:p w14:paraId="75EA419C" w14:textId="11232790" w:rsidR="00174C66" w:rsidRPr="00405303" w:rsidRDefault="00174C66" w:rsidP="00C15251">
      <w:pPr>
        <w:jc w:val="both"/>
        <w:rPr>
          <w:bCs/>
          <w:color w:val="002060"/>
          <w:sz w:val="16"/>
          <w:szCs w:val="16"/>
        </w:rPr>
      </w:pPr>
      <w:r w:rsidRPr="00405303">
        <w:rPr>
          <w:bCs/>
          <w:color w:val="002060"/>
          <w:sz w:val="16"/>
          <w:szCs w:val="16"/>
          <w:lang w:bidi="en-US"/>
        </w:rPr>
        <w:t>9 (22) сентября 1915 г. на Юго-Западном фронте произошла стабилизация, поскольку 8-я русская армия остановила австро-венгерское наступление (23525).</w:t>
      </w:r>
    </w:p>
    <w:p w14:paraId="36E403B8" w14:textId="77777777" w:rsidR="00174C66" w:rsidRPr="00405303" w:rsidRDefault="00174C66" w:rsidP="00C15251">
      <w:pPr>
        <w:jc w:val="both"/>
        <w:rPr>
          <w:bCs/>
          <w:color w:val="002060"/>
          <w:sz w:val="16"/>
          <w:szCs w:val="16"/>
          <w:lang w:bidi="en-US"/>
        </w:rPr>
      </w:pPr>
    </w:p>
    <w:p w14:paraId="45D0B192" w14:textId="5969C7B7" w:rsidR="0031207D" w:rsidRPr="00405303" w:rsidRDefault="0031207D" w:rsidP="0031207D">
      <w:pPr>
        <w:shd w:val="clear" w:color="auto" w:fill="FFFFFF"/>
        <w:jc w:val="both"/>
        <w:rPr>
          <w:bCs/>
          <w:i/>
          <w:color w:val="002060"/>
          <w:sz w:val="16"/>
          <w:szCs w:val="16"/>
        </w:rPr>
      </w:pPr>
      <w:r w:rsidRPr="00405303">
        <w:rPr>
          <w:bCs/>
          <w:i/>
          <w:color w:val="002060"/>
          <w:sz w:val="16"/>
          <w:szCs w:val="16"/>
        </w:rPr>
        <w:t>Авиация:</w:t>
      </w:r>
    </w:p>
    <w:p w14:paraId="7238F764" w14:textId="77777777" w:rsidR="0031207D" w:rsidRPr="00405303" w:rsidRDefault="0031207D" w:rsidP="0031207D">
      <w:pPr>
        <w:shd w:val="clear" w:color="auto" w:fill="FFFFFF"/>
        <w:jc w:val="both"/>
        <w:rPr>
          <w:bCs/>
          <w:i/>
          <w:color w:val="002060"/>
          <w:sz w:val="16"/>
          <w:szCs w:val="16"/>
        </w:rPr>
      </w:pPr>
    </w:p>
    <w:p w14:paraId="438AAFD1" w14:textId="77777777" w:rsidR="0031207D" w:rsidRPr="00405303" w:rsidRDefault="0031207D" w:rsidP="0031207D">
      <w:pPr>
        <w:jc w:val="both"/>
        <w:rPr>
          <w:color w:val="0070C0"/>
          <w:sz w:val="16"/>
          <w:szCs w:val="16"/>
        </w:rPr>
      </w:pPr>
      <w:r w:rsidRPr="00405303">
        <w:rPr>
          <w:rStyle w:val="aa"/>
          <w:rFonts w:ascii="Times New Roman" w:hAnsi="Times New Roman"/>
          <w:color w:val="0070C0"/>
          <w:spacing w:val="0"/>
          <w:sz w:val="16"/>
          <w:szCs w:val="16"/>
        </w:rPr>
        <w:t xml:space="preserve">9 (22) сентября 1915 г. в ходе очередной бомбардировки порта Ревеля с борта немецкого дирижабля </w:t>
      </w:r>
      <w:r w:rsidRPr="00405303">
        <w:rPr>
          <w:rStyle w:val="aa"/>
          <w:rFonts w:ascii="Times New Roman" w:hAnsi="Times New Roman"/>
          <w:color w:val="0070C0"/>
          <w:spacing w:val="0"/>
          <w:sz w:val="16"/>
          <w:szCs w:val="16"/>
          <w:lang w:val="en-US"/>
        </w:rPr>
        <w:t>SL</w:t>
      </w:r>
      <w:r w:rsidRPr="00405303">
        <w:rPr>
          <w:rStyle w:val="aa"/>
          <w:rFonts w:ascii="Times New Roman" w:hAnsi="Times New Roman"/>
          <w:color w:val="0070C0"/>
          <w:spacing w:val="0"/>
          <w:sz w:val="16"/>
          <w:szCs w:val="16"/>
        </w:rPr>
        <w:t>-4 на сооружения порта было сброшено до одной тонны бомб зажигательного и разрывного характера (25166).</w:t>
      </w:r>
    </w:p>
    <w:p w14:paraId="3A87B660" w14:textId="77777777" w:rsidR="0031207D" w:rsidRPr="00405303" w:rsidRDefault="0031207D" w:rsidP="0031207D">
      <w:pPr>
        <w:jc w:val="both"/>
        <w:rPr>
          <w:color w:val="0070C0"/>
          <w:sz w:val="16"/>
          <w:szCs w:val="16"/>
        </w:rPr>
      </w:pPr>
    </w:p>
    <w:p w14:paraId="640B41D0" w14:textId="25AE69F2" w:rsidR="004B4E35" w:rsidRPr="00405303" w:rsidRDefault="009E6F82" w:rsidP="00C15251">
      <w:pPr>
        <w:shd w:val="clear" w:color="auto" w:fill="FFFFFF"/>
        <w:jc w:val="both"/>
        <w:rPr>
          <w:bCs/>
          <w:i/>
          <w:color w:val="002060"/>
          <w:sz w:val="16"/>
          <w:szCs w:val="16"/>
        </w:rPr>
      </w:pPr>
      <w:r w:rsidRPr="00405303">
        <w:rPr>
          <w:bCs/>
          <w:i/>
          <w:color w:val="002060"/>
          <w:sz w:val="16"/>
          <w:szCs w:val="16"/>
        </w:rPr>
        <w:t>Внешняя политика:</w:t>
      </w:r>
    </w:p>
    <w:p w14:paraId="1EE8AA92" w14:textId="54D1E0DF" w:rsidR="004B4E35" w:rsidRPr="00405303" w:rsidRDefault="004B4E35" w:rsidP="00C15251">
      <w:pPr>
        <w:shd w:val="clear" w:color="auto" w:fill="FFFFFF"/>
        <w:jc w:val="both"/>
        <w:rPr>
          <w:bCs/>
          <w:i/>
          <w:color w:val="002060"/>
          <w:sz w:val="16"/>
          <w:szCs w:val="16"/>
        </w:rPr>
      </w:pPr>
    </w:p>
    <w:p w14:paraId="12ACAD40" w14:textId="7B290EFE" w:rsidR="00746050" w:rsidRPr="00405303" w:rsidRDefault="00746050" w:rsidP="00C15251">
      <w:pPr>
        <w:shd w:val="clear" w:color="auto" w:fill="FFFFFF"/>
        <w:jc w:val="both"/>
        <w:rPr>
          <w:bCs/>
          <w:iCs/>
          <w:color w:val="002060"/>
          <w:sz w:val="16"/>
          <w:szCs w:val="16"/>
        </w:rPr>
      </w:pPr>
      <w:r w:rsidRPr="00405303">
        <w:rPr>
          <w:bCs/>
          <w:iCs/>
          <w:color w:val="002060"/>
          <w:sz w:val="16"/>
          <w:szCs w:val="16"/>
        </w:rPr>
        <w:t>9 (22) сентября 1915 г. появился очередной контракт на производство винтовое.</w:t>
      </w:r>
    </w:p>
    <w:p w14:paraId="5EE46CFE" w14:textId="77777777" w:rsidR="004B4E35" w:rsidRPr="00405303" w:rsidRDefault="009E6F82" w:rsidP="00C15251">
      <w:pPr>
        <w:jc w:val="both"/>
        <w:rPr>
          <w:bCs/>
          <w:color w:val="002060"/>
          <w:sz w:val="16"/>
          <w:szCs w:val="16"/>
        </w:rPr>
      </w:pPr>
      <w:r w:rsidRPr="00405303">
        <w:rPr>
          <w:bCs/>
          <w:color w:val="002060"/>
          <w:sz w:val="16"/>
          <w:szCs w:val="16"/>
        </w:rPr>
        <w:t>Компании Ремингтон были даны следующие заказы на трехлинейные винтовки для России (тыс. шт.):</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848"/>
        <w:gridCol w:w="1476"/>
      </w:tblGrid>
      <w:tr w:rsidR="004B4E35" w:rsidRPr="00405303" w14:paraId="70740915" w14:textId="77777777">
        <w:tc>
          <w:tcPr>
            <w:tcW w:w="4848" w:type="dxa"/>
          </w:tcPr>
          <w:p w14:paraId="7C3630D3" w14:textId="77777777" w:rsidR="004B4E35" w:rsidRPr="00405303" w:rsidRDefault="009E6F82" w:rsidP="00C15251">
            <w:pPr>
              <w:jc w:val="both"/>
              <w:rPr>
                <w:bCs/>
                <w:color w:val="002060"/>
                <w:sz w:val="16"/>
                <w:szCs w:val="16"/>
              </w:rPr>
            </w:pPr>
            <w:r w:rsidRPr="00405303">
              <w:rPr>
                <w:bCs/>
                <w:color w:val="002060"/>
                <w:sz w:val="16"/>
                <w:szCs w:val="16"/>
              </w:rPr>
              <w:t>По контракту с русским правительством 26 января 1915 г.</w:t>
            </w:r>
          </w:p>
        </w:tc>
        <w:tc>
          <w:tcPr>
            <w:tcW w:w="1476" w:type="dxa"/>
          </w:tcPr>
          <w:p w14:paraId="45FC05B7" w14:textId="77777777" w:rsidR="004B4E35" w:rsidRPr="00405303" w:rsidRDefault="009E6F82" w:rsidP="00C15251">
            <w:pPr>
              <w:jc w:val="both"/>
              <w:rPr>
                <w:bCs/>
                <w:color w:val="002060"/>
                <w:sz w:val="16"/>
                <w:szCs w:val="16"/>
              </w:rPr>
            </w:pPr>
            <w:r w:rsidRPr="00405303">
              <w:rPr>
                <w:bCs/>
                <w:color w:val="002060"/>
                <w:sz w:val="16"/>
                <w:szCs w:val="16"/>
              </w:rPr>
              <w:t xml:space="preserve">на 1000 </w:t>
            </w:r>
          </w:p>
        </w:tc>
      </w:tr>
      <w:tr w:rsidR="004B4E35" w:rsidRPr="00405303" w14:paraId="589C39AD" w14:textId="77777777">
        <w:tc>
          <w:tcPr>
            <w:tcW w:w="4848" w:type="dxa"/>
          </w:tcPr>
          <w:p w14:paraId="2E8D4F09" w14:textId="77777777" w:rsidR="004B4E35" w:rsidRPr="00405303" w:rsidRDefault="009E6F82" w:rsidP="00C15251">
            <w:pPr>
              <w:jc w:val="both"/>
              <w:rPr>
                <w:bCs/>
                <w:color w:val="002060"/>
                <w:sz w:val="16"/>
                <w:szCs w:val="16"/>
              </w:rPr>
            </w:pPr>
            <w:r w:rsidRPr="00405303">
              <w:rPr>
                <w:bCs/>
                <w:color w:val="002060"/>
                <w:sz w:val="16"/>
                <w:szCs w:val="16"/>
              </w:rPr>
              <w:t>То же 16 июля 1915 г.</w:t>
            </w:r>
          </w:p>
        </w:tc>
        <w:tc>
          <w:tcPr>
            <w:tcW w:w="1476" w:type="dxa"/>
          </w:tcPr>
          <w:p w14:paraId="7E1DCF07" w14:textId="77777777" w:rsidR="004B4E35" w:rsidRPr="00405303" w:rsidRDefault="009E6F82" w:rsidP="00C15251">
            <w:pPr>
              <w:jc w:val="both"/>
              <w:rPr>
                <w:bCs/>
                <w:color w:val="002060"/>
                <w:sz w:val="16"/>
                <w:szCs w:val="16"/>
              </w:rPr>
            </w:pPr>
            <w:r w:rsidRPr="00405303">
              <w:rPr>
                <w:bCs/>
                <w:color w:val="002060"/>
                <w:sz w:val="16"/>
                <w:szCs w:val="16"/>
              </w:rPr>
              <w:t xml:space="preserve">на 200 </w:t>
            </w:r>
          </w:p>
        </w:tc>
      </w:tr>
      <w:tr w:rsidR="004B4E35" w:rsidRPr="00405303" w14:paraId="72DC25D6" w14:textId="77777777">
        <w:tc>
          <w:tcPr>
            <w:tcW w:w="4848" w:type="dxa"/>
          </w:tcPr>
          <w:p w14:paraId="7C5D7EAE" w14:textId="77777777" w:rsidR="004B4E35" w:rsidRPr="00405303" w:rsidRDefault="009E6F82" w:rsidP="00C15251">
            <w:pPr>
              <w:jc w:val="both"/>
              <w:rPr>
                <w:bCs/>
                <w:color w:val="002060"/>
                <w:sz w:val="16"/>
                <w:szCs w:val="16"/>
              </w:rPr>
            </w:pPr>
            <w:r w:rsidRPr="00405303">
              <w:rPr>
                <w:bCs/>
                <w:color w:val="002060"/>
                <w:sz w:val="16"/>
                <w:szCs w:val="16"/>
              </w:rPr>
              <w:t>По контракту с британским правительством 9 (22) сентября 1915 г.</w:t>
            </w:r>
          </w:p>
        </w:tc>
        <w:tc>
          <w:tcPr>
            <w:tcW w:w="1476" w:type="dxa"/>
          </w:tcPr>
          <w:p w14:paraId="29D1DB70" w14:textId="77777777" w:rsidR="004B4E35" w:rsidRPr="00405303" w:rsidRDefault="009E6F82" w:rsidP="00C15251">
            <w:pPr>
              <w:jc w:val="both"/>
              <w:rPr>
                <w:bCs/>
                <w:color w:val="002060"/>
                <w:sz w:val="16"/>
                <w:szCs w:val="16"/>
              </w:rPr>
            </w:pPr>
            <w:r w:rsidRPr="00405303">
              <w:rPr>
                <w:bCs/>
                <w:color w:val="002060"/>
                <w:sz w:val="16"/>
                <w:szCs w:val="16"/>
              </w:rPr>
              <w:t xml:space="preserve">на 300 </w:t>
            </w:r>
          </w:p>
        </w:tc>
      </w:tr>
      <w:tr w:rsidR="004B4E35" w:rsidRPr="00405303" w14:paraId="3EF58B59" w14:textId="77777777">
        <w:tc>
          <w:tcPr>
            <w:tcW w:w="4848" w:type="dxa"/>
          </w:tcPr>
          <w:p w14:paraId="02A46DE5" w14:textId="77777777" w:rsidR="004B4E35" w:rsidRPr="00405303" w:rsidRDefault="009E6F82" w:rsidP="00C15251">
            <w:pPr>
              <w:jc w:val="both"/>
              <w:rPr>
                <w:bCs/>
                <w:color w:val="002060"/>
                <w:sz w:val="16"/>
                <w:szCs w:val="16"/>
              </w:rPr>
            </w:pPr>
            <w:r w:rsidRPr="00405303">
              <w:rPr>
                <w:bCs/>
                <w:color w:val="002060"/>
                <w:sz w:val="16"/>
                <w:szCs w:val="16"/>
              </w:rPr>
              <w:t>Итого</w:t>
            </w:r>
          </w:p>
        </w:tc>
        <w:tc>
          <w:tcPr>
            <w:tcW w:w="1476" w:type="dxa"/>
          </w:tcPr>
          <w:p w14:paraId="79189413" w14:textId="77777777" w:rsidR="004B4E35" w:rsidRPr="00405303" w:rsidRDefault="009E6F82" w:rsidP="00C15251">
            <w:pPr>
              <w:jc w:val="both"/>
              <w:rPr>
                <w:bCs/>
                <w:color w:val="002060"/>
                <w:sz w:val="16"/>
                <w:szCs w:val="16"/>
              </w:rPr>
            </w:pPr>
            <w:r w:rsidRPr="00405303">
              <w:rPr>
                <w:bCs/>
                <w:color w:val="002060"/>
                <w:sz w:val="16"/>
                <w:szCs w:val="16"/>
              </w:rPr>
              <w:t xml:space="preserve">1 500 000 штук. </w:t>
            </w:r>
          </w:p>
        </w:tc>
      </w:tr>
    </w:tbl>
    <w:p w14:paraId="6CEFBC35" w14:textId="77777777" w:rsidR="004B4E35" w:rsidRPr="00405303" w:rsidRDefault="009E6F82" w:rsidP="00C15251">
      <w:pPr>
        <w:jc w:val="both"/>
        <w:rPr>
          <w:bCs/>
          <w:color w:val="002060"/>
          <w:sz w:val="16"/>
          <w:szCs w:val="16"/>
        </w:rPr>
      </w:pPr>
      <w:r w:rsidRPr="00405303">
        <w:rPr>
          <w:bCs/>
          <w:color w:val="002060"/>
          <w:sz w:val="16"/>
          <w:szCs w:val="16"/>
        </w:rPr>
        <w:t xml:space="preserve">Кроме того, заказано 300 000 черновых ружейных стволов по цене 4,75 доллара за штуку. Начальный срок поставки винтовок — ноябрь 1915 г. и конечный — март 1917 года. Цена — 30 долларов за винтовку франко-завод. </w:t>
      </w:r>
    </w:p>
    <w:p w14:paraId="44142627" w14:textId="77777777" w:rsidR="004B4E35" w:rsidRPr="00405303" w:rsidRDefault="009E6F82" w:rsidP="00C15251">
      <w:pPr>
        <w:jc w:val="both"/>
        <w:rPr>
          <w:bCs/>
          <w:color w:val="002060"/>
          <w:sz w:val="16"/>
          <w:szCs w:val="16"/>
        </w:rPr>
      </w:pPr>
      <w:r w:rsidRPr="00405303">
        <w:rPr>
          <w:bCs/>
          <w:color w:val="002060"/>
          <w:sz w:val="16"/>
          <w:szCs w:val="16"/>
        </w:rPr>
        <w:t xml:space="preserve">В противоположность Вестингаузу, разбросавшему выполнение заказа по нескольким десяткам заводов, Ремингтон сосредоточил выполнение заказа в одном месте. Для этого в Бриджпорте был выстроен и богато оборудован завод громадных размеров. Мощность его рассчитана была на 6000 винтовок в сутки, максимальная же сдача по плану выполнения контракта предусмотрена в 4500 штук. </w:t>
      </w:r>
    </w:p>
    <w:p w14:paraId="54088B65" w14:textId="77777777" w:rsidR="004B4E35" w:rsidRPr="00405303" w:rsidRDefault="009E6F82" w:rsidP="00C15251">
      <w:pPr>
        <w:jc w:val="both"/>
        <w:rPr>
          <w:bCs/>
          <w:color w:val="002060"/>
          <w:sz w:val="16"/>
          <w:szCs w:val="16"/>
        </w:rPr>
      </w:pPr>
      <w:r w:rsidRPr="00405303">
        <w:rPr>
          <w:bCs/>
          <w:color w:val="002060"/>
          <w:sz w:val="16"/>
          <w:szCs w:val="16"/>
        </w:rPr>
        <w:t xml:space="preserve">Постройка завода началась в марте 1915 г. и закончилась в сентябре того же года. </w:t>
      </w:r>
    </w:p>
    <w:p w14:paraId="66D88ABD" w14:textId="77777777" w:rsidR="004B4E35" w:rsidRPr="00405303" w:rsidRDefault="009E6F82" w:rsidP="00C15251">
      <w:pPr>
        <w:jc w:val="both"/>
        <w:rPr>
          <w:bCs/>
          <w:color w:val="002060"/>
          <w:sz w:val="16"/>
          <w:szCs w:val="16"/>
        </w:rPr>
      </w:pPr>
      <w:r w:rsidRPr="00405303">
        <w:rPr>
          <w:bCs/>
          <w:color w:val="002060"/>
          <w:sz w:val="16"/>
          <w:szCs w:val="16"/>
        </w:rPr>
        <w:t xml:space="preserve">Предварительные данные, необходимые для постановки производства были сообщены заводу заблаговременно еще в 1914 году. Русские приемщики вместе с представителями завода начали разрабатывать необходимые чертежи и корректировать в них некоторые ошибки, наличие коих было указано в главе о Вестингаузе. Эта работа продолжалась по май 1915 года. В марте 1915 г. в распоряжении завода было несколько десятков винтовок, образцовые лекала и чертежи тех и других. Винтовки были не образцовые, так как изготовлялись в военное время по облегченным кондициям. Лекала — новые и вполне исправные. </w:t>
      </w:r>
    </w:p>
    <w:p w14:paraId="1C4F67D4" w14:textId="77777777" w:rsidR="004B4E35" w:rsidRPr="00405303" w:rsidRDefault="009E6F82" w:rsidP="00C15251">
      <w:pPr>
        <w:jc w:val="both"/>
        <w:rPr>
          <w:bCs/>
          <w:color w:val="002060"/>
          <w:sz w:val="16"/>
          <w:szCs w:val="16"/>
        </w:rPr>
      </w:pPr>
      <w:r w:rsidRPr="00405303">
        <w:rPr>
          <w:bCs/>
          <w:color w:val="002060"/>
          <w:sz w:val="16"/>
          <w:szCs w:val="16"/>
        </w:rPr>
        <w:t xml:space="preserve">В конце 1915 г. прибыли на завод назначенные туда от Заготовительного комитета приемщики. Весьма быстро между администрацией завода и ними возник серьезный конфликт, в результате коего приемщику отказали в допуске в завод. Для ликвидации конфликта на завод прибыла большая комиссия. Один из приемщиков был отозван в Россию, и инцидент был исчерпан. </w:t>
      </w:r>
    </w:p>
    <w:p w14:paraId="2D4EEA76" w14:textId="77777777" w:rsidR="004B4E35" w:rsidRPr="00405303" w:rsidRDefault="009E6F82" w:rsidP="00C15251">
      <w:pPr>
        <w:jc w:val="both"/>
        <w:rPr>
          <w:bCs/>
          <w:color w:val="002060"/>
          <w:sz w:val="16"/>
          <w:szCs w:val="16"/>
        </w:rPr>
      </w:pPr>
      <w:r w:rsidRPr="00405303">
        <w:rPr>
          <w:bCs/>
          <w:color w:val="002060"/>
          <w:sz w:val="16"/>
          <w:szCs w:val="16"/>
        </w:rPr>
        <w:t xml:space="preserve">Сдача винтовок началась с большим запозданием, лишь в апреле 1916 года. Дело шло плохо и в отношении выпуска, и в отношении качеств изделия. Ввиду этого по настоянию русской инспекции директор завода был смещен. Новый директор, весьма опытный человек, предпринял коренную техническую перепланировку производства. Это вызвало резкий упадок достигнутого уже выпуска винтовок. Сдача, дошедшая в августе 1916 г. до 2000 шт. в сутки, снизилась </w:t>
      </w:r>
      <w:proofErr w:type="gramStart"/>
      <w:r w:rsidRPr="00405303">
        <w:rPr>
          <w:bCs/>
          <w:color w:val="002060"/>
          <w:sz w:val="16"/>
          <w:szCs w:val="16"/>
        </w:rPr>
        <w:t>больше</w:t>
      </w:r>
      <w:proofErr w:type="gramEnd"/>
      <w:r w:rsidRPr="00405303">
        <w:rPr>
          <w:bCs/>
          <w:color w:val="002060"/>
          <w:sz w:val="16"/>
          <w:szCs w:val="16"/>
        </w:rPr>
        <w:t xml:space="preserve"> чем вдвое. Но зато методы производства были значительно улучшены проведением правильно-лекального изготовления всех деталей. Это создавало прочную базу для быстрого и широкого разворачивания производства и улучшало качества изделия. Потребовалась перепланировка помещения цехов. </w:t>
      </w:r>
    </w:p>
    <w:p w14:paraId="47857E6B" w14:textId="77777777" w:rsidR="004B4E35" w:rsidRPr="00405303" w:rsidRDefault="009E6F82" w:rsidP="00C15251">
      <w:pPr>
        <w:jc w:val="both"/>
        <w:rPr>
          <w:bCs/>
          <w:color w:val="002060"/>
          <w:sz w:val="16"/>
          <w:szCs w:val="16"/>
        </w:rPr>
      </w:pPr>
      <w:r w:rsidRPr="00405303">
        <w:rPr>
          <w:bCs/>
          <w:color w:val="002060"/>
          <w:sz w:val="16"/>
          <w:szCs w:val="16"/>
        </w:rPr>
        <w:t xml:space="preserve">По прошествии полутора лет со дня заключения контракта фактическое состояние производства по сравнению с контрактным планом представлялось в следующем виде: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984"/>
        <w:gridCol w:w="984"/>
        <w:gridCol w:w="984"/>
        <w:gridCol w:w="1128"/>
      </w:tblGrid>
      <w:tr w:rsidR="004B4E35" w:rsidRPr="00405303" w14:paraId="293F66F4" w14:textId="77777777">
        <w:tc>
          <w:tcPr>
            <w:tcW w:w="1248" w:type="dxa"/>
          </w:tcPr>
          <w:p w14:paraId="674FA8A2" w14:textId="77777777" w:rsidR="004B4E35" w:rsidRPr="00405303" w:rsidRDefault="009E6F82" w:rsidP="00C15251">
            <w:pPr>
              <w:jc w:val="both"/>
              <w:rPr>
                <w:bCs/>
                <w:color w:val="002060"/>
                <w:sz w:val="16"/>
                <w:szCs w:val="16"/>
              </w:rPr>
            </w:pPr>
            <w:r w:rsidRPr="00405303">
              <w:rPr>
                <w:bCs/>
                <w:color w:val="002060"/>
                <w:sz w:val="16"/>
                <w:szCs w:val="16"/>
              </w:rPr>
              <w:t xml:space="preserve">Сдача </w:t>
            </w:r>
          </w:p>
        </w:tc>
        <w:tc>
          <w:tcPr>
            <w:tcW w:w="1968" w:type="dxa"/>
            <w:gridSpan w:val="2"/>
          </w:tcPr>
          <w:p w14:paraId="76053FEA" w14:textId="77777777" w:rsidR="004B4E35" w:rsidRPr="00405303" w:rsidRDefault="009E6F82" w:rsidP="00C15251">
            <w:pPr>
              <w:jc w:val="both"/>
              <w:rPr>
                <w:bCs/>
                <w:color w:val="002060"/>
                <w:sz w:val="16"/>
                <w:szCs w:val="16"/>
              </w:rPr>
            </w:pPr>
            <w:r w:rsidRPr="00405303">
              <w:rPr>
                <w:bCs/>
                <w:color w:val="002060"/>
                <w:sz w:val="16"/>
                <w:szCs w:val="16"/>
              </w:rPr>
              <w:t>Надлежало по плану</w:t>
            </w:r>
          </w:p>
        </w:tc>
        <w:tc>
          <w:tcPr>
            <w:tcW w:w="2112" w:type="dxa"/>
            <w:gridSpan w:val="2"/>
          </w:tcPr>
          <w:p w14:paraId="4271F7E2" w14:textId="77777777" w:rsidR="004B4E35" w:rsidRPr="00405303" w:rsidRDefault="009E6F82" w:rsidP="00C15251">
            <w:pPr>
              <w:jc w:val="both"/>
              <w:rPr>
                <w:bCs/>
                <w:color w:val="002060"/>
                <w:sz w:val="16"/>
                <w:szCs w:val="16"/>
              </w:rPr>
            </w:pPr>
            <w:r w:rsidRPr="00405303">
              <w:rPr>
                <w:bCs/>
                <w:color w:val="002060"/>
                <w:sz w:val="16"/>
                <w:szCs w:val="16"/>
              </w:rPr>
              <w:t>Фактическая</w:t>
            </w:r>
          </w:p>
        </w:tc>
      </w:tr>
      <w:tr w:rsidR="004B4E35" w:rsidRPr="00405303" w14:paraId="4B756413" w14:textId="77777777">
        <w:tc>
          <w:tcPr>
            <w:tcW w:w="1248" w:type="dxa"/>
          </w:tcPr>
          <w:p w14:paraId="005D6DEB" w14:textId="77777777" w:rsidR="004B4E35" w:rsidRPr="00405303" w:rsidRDefault="009E6F82" w:rsidP="00C15251">
            <w:pPr>
              <w:jc w:val="both"/>
              <w:rPr>
                <w:bCs/>
                <w:color w:val="002060"/>
                <w:sz w:val="16"/>
                <w:szCs w:val="16"/>
              </w:rPr>
            </w:pPr>
            <w:r w:rsidRPr="00405303">
              <w:rPr>
                <w:bCs/>
                <w:color w:val="002060"/>
                <w:sz w:val="16"/>
                <w:szCs w:val="16"/>
              </w:rPr>
              <w:t>винтовок</w:t>
            </w:r>
          </w:p>
        </w:tc>
        <w:tc>
          <w:tcPr>
            <w:tcW w:w="984" w:type="dxa"/>
          </w:tcPr>
          <w:p w14:paraId="1B4E8A98" w14:textId="77777777" w:rsidR="004B4E35" w:rsidRPr="00405303" w:rsidRDefault="009E6F82" w:rsidP="00C15251">
            <w:pPr>
              <w:jc w:val="both"/>
              <w:rPr>
                <w:bCs/>
                <w:color w:val="002060"/>
                <w:sz w:val="16"/>
                <w:szCs w:val="16"/>
              </w:rPr>
            </w:pPr>
            <w:r w:rsidRPr="00405303">
              <w:rPr>
                <w:bCs/>
                <w:color w:val="002060"/>
                <w:sz w:val="16"/>
                <w:szCs w:val="16"/>
              </w:rPr>
              <w:t>В сутки</w:t>
            </w:r>
          </w:p>
        </w:tc>
        <w:tc>
          <w:tcPr>
            <w:tcW w:w="984" w:type="dxa"/>
          </w:tcPr>
          <w:p w14:paraId="2F27A1DE" w14:textId="77777777" w:rsidR="004B4E35" w:rsidRPr="00405303" w:rsidRDefault="009E6F82" w:rsidP="00C15251">
            <w:pPr>
              <w:jc w:val="both"/>
              <w:rPr>
                <w:bCs/>
                <w:color w:val="002060"/>
                <w:sz w:val="16"/>
                <w:szCs w:val="16"/>
              </w:rPr>
            </w:pPr>
            <w:r w:rsidRPr="00405303">
              <w:rPr>
                <w:bCs/>
                <w:color w:val="002060"/>
                <w:sz w:val="16"/>
                <w:szCs w:val="16"/>
              </w:rPr>
              <w:t>От начала работ</w:t>
            </w:r>
          </w:p>
        </w:tc>
        <w:tc>
          <w:tcPr>
            <w:tcW w:w="984" w:type="dxa"/>
          </w:tcPr>
          <w:p w14:paraId="1E798FCD" w14:textId="77777777" w:rsidR="004B4E35" w:rsidRPr="00405303" w:rsidRDefault="009E6F82" w:rsidP="00C15251">
            <w:pPr>
              <w:jc w:val="both"/>
              <w:rPr>
                <w:bCs/>
                <w:color w:val="002060"/>
                <w:sz w:val="16"/>
                <w:szCs w:val="16"/>
              </w:rPr>
            </w:pPr>
            <w:r w:rsidRPr="00405303">
              <w:rPr>
                <w:bCs/>
                <w:color w:val="002060"/>
                <w:sz w:val="16"/>
                <w:szCs w:val="16"/>
              </w:rPr>
              <w:t>В сутки</w:t>
            </w:r>
          </w:p>
        </w:tc>
        <w:tc>
          <w:tcPr>
            <w:tcW w:w="1128" w:type="dxa"/>
          </w:tcPr>
          <w:p w14:paraId="388E7042" w14:textId="77777777" w:rsidR="004B4E35" w:rsidRPr="00405303" w:rsidRDefault="009E6F82" w:rsidP="00C15251">
            <w:pPr>
              <w:jc w:val="both"/>
              <w:rPr>
                <w:bCs/>
                <w:color w:val="002060"/>
                <w:sz w:val="16"/>
                <w:szCs w:val="16"/>
              </w:rPr>
            </w:pPr>
            <w:r w:rsidRPr="00405303">
              <w:rPr>
                <w:bCs/>
                <w:color w:val="002060"/>
                <w:sz w:val="16"/>
                <w:szCs w:val="16"/>
              </w:rPr>
              <w:t>От начала работ</w:t>
            </w:r>
          </w:p>
        </w:tc>
      </w:tr>
      <w:tr w:rsidR="004B4E35" w:rsidRPr="00405303" w14:paraId="0FDC4DC8" w14:textId="77777777">
        <w:tc>
          <w:tcPr>
            <w:tcW w:w="1248" w:type="dxa"/>
          </w:tcPr>
          <w:p w14:paraId="718D0D68" w14:textId="77777777" w:rsidR="004B4E35" w:rsidRPr="00405303" w:rsidRDefault="009E6F82" w:rsidP="00C15251">
            <w:pPr>
              <w:jc w:val="both"/>
              <w:rPr>
                <w:bCs/>
                <w:color w:val="002060"/>
                <w:sz w:val="16"/>
                <w:szCs w:val="16"/>
              </w:rPr>
            </w:pPr>
            <w:r w:rsidRPr="00405303">
              <w:rPr>
                <w:bCs/>
                <w:color w:val="002060"/>
                <w:sz w:val="16"/>
                <w:szCs w:val="16"/>
              </w:rPr>
              <w:t>Декабрь 1916 г.</w:t>
            </w:r>
          </w:p>
        </w:tc>
        <w:tc>
          <w:tcPr>
            <w:tcW w:w="984" w:type="dxa"/>
          </w:tcPr>
          <w:p w14:paraId="4B484D2F" w14:textId="77777777" w:rsidR="004B4E35" w:rsidRPr="00405303" w:rsidRDefault="009E6F82" w:rsidP="00C15251">
            <w:pPr>
              <w:jc w:val="both"/>
              <w:rPr>
                <w:bCs/>
                <w:color w:val="002060"/>
                <w:sz w:val="16"/>
                <w:szCs w:val="16"/>
              </w:rPr>
            </w:pPr>
            <w:r w:rsidRPr="00405303">
              <w:rPr>
                <w:bCs/>
                <w:color w:val="002060"/>
                <w:sz w:val="16"/>
                <w:szCs w:val="16"/>
              </w:rPr>
              <w:t>1.000</w:t>
            </w:r>
          </w:p>
        </w:tc>
        <w:tc>
          <w:tcPr>
            <w:tcW w:w="984" w:type="dxa"/>
          </w:tcPr>
          <w:p w14:paraId="2FC5EE66" w14:textId="77777777" w:rsidR="004B4E35" w:rsidRPr="00405303" w:rsidRDefault="009E6F82" w:rsidP="00C15251">
            <w:pPr>
              <w:jc w:val="both"/>
              <w:rPr>
                <w:bCs/>
                <w:color w:val="002060"/>
                <w:sz w:val="16"/>
                <w:szCs w:val="16"/>
              </w:rPr>
            </w:pPr>
            <w:r w:rsidRPr="00405303">
              <w:rPr>
                <w:bCs/>
                <w:color w:val="002060"/>
                <w:sz w:val="16"/>
                <w:szCs w:val="16"/>
              </w:rPr>
              <w:t>1.000.000</w:t>
            </w:r>
          </w:p>
        </w:tc>
        <w:tc>
          <w:tcPr>
            <w:tcW w:w="984" w:type="dxa"/>
          </w:tcPr>
          <w:p w14:paraId="57578F3A" w14:textId="77777777" w:rsidR="004B4E35" w:rsidRPr="00405303" w:rsidRDefault="009E6F82" w:rsidP="00C15251">
            <w:pPr>
              <w:jc w:val="both"/>
              <w:rPr>
                <w:bCs/>
                <w:color w:val="002060"/>
                <w:sz w:val="16"/>
                <w:szCs w:val="16"/>
              </w:rPr>
            </w:pPr>
            <w:r w:rsidRPr="00405303">
              <w:rPr>
                <w:bCs/>
                <w:color w:val="002060"/>
                <w:sz w:val="16"/>
                <w:szCs w:val="16"/>
              </w:rPr>
              <w:t>500</w:t>
            </w:r>
          </w:p>
        </w:tc>
        <w:tc>
          <w:tcPr>
            <w:tcW w:w="1128" w:type="dxa"/>
          </w:tcPr>
          <w:p w14:paraId="551E8B8C" w14:textId="77777777" w:rsidR="004B4E35" w:rsidRPr="00405303" w:rsidRDefault="009E6F82" w:rsidP="00C15251">
            <w:pPr>
              <w:jc w:val="both"/>
              <w:rPr>
                <w:bCs/>
                <w:color w:val="002060"/>
                <w:sz w:val="16"/>
                <w:szCs w:val="16"/>
              </w:rPr>
            </w:pPr>
            <w:r w:rsidRPr="00405303">
              <w:rPr>
                <w:bCs/>
                <w:color w:val="002060"/>
                <w:sz w:val="16"/>
                <w:szCs w:val="16"/>
              </w:rPr>
              <w:t>70.000</w:t>
            </w:r>
          </w:p>
        </w:tc>
      </w:tr>
      <w:tr w:rsidR="004B4E35" w:rsidRPr="00405303" w14:paraId="60F05886" w14:textId="77777777">
        <w:tc>
          <w:tcPr>
            <w:tcW w:w="1248" w:type="dxa"/>
          </w:tcPr>
          <w:p w14:paraId="11A0B5EB" w14:textId="77777777" w:rsidR="004B4E35" w:rsidRPr="00405303" w:rsidRDefault="009E6F82" w:rsidP="00C15251">
            <w:pPr>
              <w:jc w:val="both"/>
              <w:rPr>
                <w:bCs/>
                <w:color w:val="002060"/>
                <w:sz w:val="16"/>
                <w:szCs w:val="16"/>
              </w:rPr>
            </w:pPr>
            <w:r w:rsidRPr="00405303">
              <w:rPr>
                <w:bCs/>
                <w:color w:val="002060"/>
                <w:sz w:val="16"/>
                <w:szCs w:val="16"/>
              </w:rPr>
              <w:t>Март 1917 г.</w:t>
            </w:r>
          </w:p>
        </w:tc>
        <w:tc>
          <w:tcPr>
            <w:tcW w:w="984" w:type="dxa"/>
          </w:tcPr>
          <w:p w14:paraId="5D6FBE0E" w14:textId="77777777" w:rsidR="004B4E35" w:rsidRPr="00405303" w:rsidRDefault="009E6F82" w:rsidP="00C15251">
            <w:pPr>
              <w:jc w:val="both"/>
              <w:rPr>
                <w:bCs/>
                <w:color w:val="002060"/>
                <w:sz w:val="16"/>
                <w:szCs w:val="16"/>
              </w:rPr>
            </w:pPr>
            <w:r w:rsidRPr="00405303">
              <w:rPr>
                <w:bCs/>
                <w:color w:val="002060"/>
                <w:sz w:val="16"/>
                <w:szCs w:val="16"/>
              </w:rPr>
              <w:t>4.000</w:t>
            </w:r>
          </w:p>
        </w:tc>
        <w:tc>
          <w:tcPr>
            <w:tcW w:w="984" w:type="dxa"/>
          </w:tcPr>
          <w:p w14:paraId="22DAF614" w14:textId="77777777" w:rsidR="004B4E35" w:rsidRPr="00405303" w:rsidRDefault="009E6F82" w:rsidP="00C15251">
            <w:pPr>
              <w:jc w:val="both"/>
              <w:rPr>
                <w:bCs/>
                <w:color w:val="002060"/>
                <w:sz w:val="16"/>
                <w:szCs w:val="16"/>
              </w:rPr>
            </w:pPr>
            <w:r w:rsidRPr="00405303">
              <w:rPr>
                <w:bCs/>
                <w:color w:val="002060"/>
                <w:sz w:val="16"/>
                <w:szCs w:val="16"/>
              </w:rPr>
              <w:t>1.250.000</w:t>
            </w:r>
          </w:p>
        </w:tc>
        <w:tc>
          <w:tcPr>
            <w:tcW w:w="984" w:type="dxa"/>
          </w:tcPr>
          <w:p w14:paraId="451F32AF" w14:textId="77777777" w:rsidR="004B4E35" w:rsidRPr="00405303" w:rsidRDefault="009E6F82" w:rsidP="00C15251">
            <w:pPr>
              <w:jc w:val="both"/>
              <w:rPr>
                <w:bCs/>
                <w:color w:val="002060"/>
                <w:sz w:val="16"/>
                <w:szCs w:val="16"/>
              </w:rPr>
            </w:pPr>
            <w:r w:rsidRPr="00405303">
              <w:rPr>
                <w:bCs/>
                <w:color w:val="002060"/>
                <w:sz w:val="16"/>
                <w:szCs w:val="16"/>
              </w:rPr>
              <w:t>1.200</w:t>
            </w:r>
          </w:p>
        </w:tc>
        <w:tc>
          <w:tcPr>
            <w:tcW w:w="1128" w:type="dxa"/>
          </w:tcPr>
          <w:p w14:paraId="58E8401C" w14:textId="77777777" w:rsidR="004B4E35" w:rsidRPr="00405303" w:rsidRDefault="009E6F82" w:rsidP="00C15251">
            <w:pPr>
              <w:jc w:val="both"/>
              <w:rPr>
                <w:bCs/>
                <w:color w:val="002060"/>
                <w:sz w:val="16"/>
                <w:szCs w:val="16"/>
              </w:rPr>
            </w:pPr>
            <w:r w:rsidRPr="00405303">
              <w:rPr>
                <w:bCs/>
                <w:color w:val="002060"/>
                <w:sz w:val="16"/>
                <w:szCs w:val="16"/>
              </w:rPr>
              <w:t>120.000</w:t>
            </w:r>
          </w:p>
        </w:tc>
      </w:tr>
      <w:tr w:rsidR="004B4E35" w:rsidRPr="00405303" w14:paraId="0D253E56" w14:textId="77777777">
        <w:tc>
          <w:tcPr>
            <w:tcW w:w="1248" w:type="dxa"/>
          </w:tcPr>
          <w:p w14:paraId="7F80EB29" w14:textId="77777777" w:rsidR="004B4E35" w:rsidRPr="00405303" w:rsidRDefault="009E6F82" w:rsidP="00C15251">
            <w:pPr>
              <w:jc w:val="both"/>
              <w:rPr>
                <w:bCs/>
                <w:color w:val="002060"/>
                <w:sz w:val="16"/>
                <w:szCs w:val="16"/>
              </w:rPr>
            </w:pPr>
            <w:r w:rsidRPr="00405303">
              <w:rPr>
                <w:bCs/>
                <w:color w:val="002060"/>
                <w:sz w:val="16"/>
                <w:szCs w:val="16"/>
              </w:rPr>
              <w:t>Май 1917 г.</w:t>
            </w:r>
          </w:p>
        </w:tc>
        <w:tc>
          <w:tcPr>
            <w:tcW w:w="984" w:type="dxa"/>
          </w:tcPr>
          <w:p w14:paraId="0FCA85F9" w14:textId="77777777" w:rsidR="004B4E35" w:rsidRPr="00405303" w:rsidRDefault="009E6F82" w:rsidP="00C15251">
            <w:pPr>
              <w:jc w:val="both"/>
              <w:rPr>
                <w:bCs/>
                <w:color w:val="002060"/>
                <w:sz w:val="16"/>
                <w:szCs w:val="16"/>
              </w:rPr>
            </w:pPr>
            <w:r w:rsidRPr="00405303">
              <w:rPr>
                <w:bCs/>
                <w:color w:val="002060"/>
                <w:sz w:val="16"/>
                <w:szCs w:val="16"/>
              </w:rPr>
              <w:t>4.000</w:t>
            </w:r>
          </w:p>
        </w:tc>
        <w:tc>
          <w:tcPr>
            <w:tcW w:w="984" w:type="dxa"/>
          </w:tcPr>
          <w:p w14:paraId="67826185" w14:textId="77777777" w:rsidR="004B4E35" w:rsidRPr="00405303" w:rsidRDefault="009E6F82" w:rsidP="00C15251">
            <w:pPr>
              <w:jc w:val="both"/>
              <w:rPr>
                <w:bCs/>
                <w:color w:val="002060"/>
                <w:sz w:val="16"/>
                <w:szCs w:val="16"/>
              </w:rPr>
            </w:pPr>
            <w:r w:rsidRPr="00405303">
              <w:rPr>
                <w:bCs/>
                <w:color w:val="002060"/>
                <w:sz w:val="16"/>
                <w:szCs w:val="16"/>
              </w:rPr>
              <w:t>1.450.000</w:t>
            </w:r>
          </w:p>
        </w:tc>
        <w:tc>
          <w:tcPr>
            <w:tcW w:w="984" w:type="dxa"/>
          </w:tcPr>
          <w:p w14:paraId="0FE410C6" w14:textId="77777777" w:rsidR="004B4E35" w:rsidRPr="00405303" w:rsidRDefault="009E6F82" w:rsidP="00C15251">
            <w:pPr>
              <w:jc w:val="both"/>
              <w:rPr>
                <w:bCs/>
                <w:color w:val="002060"/>
                <w:sz w:val="16"/>
                <w:szCs w:val="16"/>
              </w:rPr>
            </w:pPr>
            <w:r w:rsidRPr="00405303">
              <w:rPr>
                <w:bCs/>
                <w:color w:val="002060"/>
                <w:sz w:val="16"/>
                <w:szCs w:val="16"/>
              </w:rPr>
              <w:t>1.800</w:t>
            </w:r>
          </w:p>
        </w:tc>
        <w:tc>
          <w:tcPr>
            <w:tcW w:w="1128" w:type="dxa"/>
          </w:tcPr>
          <w:p w14:paraId="3B642D28" w14:textId="77777777" w:rsidR="004B4E35" w:rsidRPr="00405303" w:rsidRDefault="009E6F82" w:rsidP="00C15251">
            <w:pPr>
              <w:jc w:val="both"/>
              <w:rPr>
                <w:bCs/>
                <w:color w:val="002060"/>
                <w:sz w:val="16"/>
                <w:szCs w:val="16"/>
              </w:rPr>
            </w:pPr>
            <w:r w:rsidRPr="00405303">
              <w:rPr>
                <w:bCs/>
                <w:color w:val="002060"/>
                <w:sz w:val="16"/>
                <w:szCs w:val="16"/>
              </w:rPr>
              <w:t>200.000</w:t>
            </w:r>
          </w:p>
        </w:tc>
      </w:tr>
    </w:tbl>
    <w:p w14:paraId="68D524CF" w14:textId="77777777" w:rsidR="004B4E35" w:rsidRPr="00405303" w:rsidRDefault="009E6F82" w:rsidP="00C15251">
      <w:pPr>
        <w:jc w:val="both"/>
        <w:rPr>
          <w:bCs/>
          <w:color w:val="002060"/>
          <w:sz w:val="16"/>
          <w:szCs w:val="16"/>
        </w:rPr>
      </w:pPr>
      <w:r w:rsidRPr="00405303">
        <w:rPr>
          <w:bCs/>
          <w:color w:val="002060"/>
          <w:sz w:val="16"/>
          <w:szCs w:val="16"/>
        </w:rPr>
        <w:t xml:space="preserve">Таким образом, сдача катастрофически отставала от плана. Это обстоятельство, естественно, создавало для компании крайне тяжелое финансовое положение, угрожавшее крахом, так как поступлений платежей не было, а расходы шли своим порядком. </w:t>
      </w:r>
    </w:p>
    <w:p w14:paraId="53F2028C"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В декабре 1916 г. Заготовительным комитетом был канцелирован заказ на 300 000 винтовок. </w:t>
      </w:r>
    </w:p>
    <w:p w14:paraId="06589D8A" w14:textId="77777777" w:rsidR="004B4E35" w:rsidRPr="00405303" w:rsidRDefault="009E6F82" w:rsidP="00C15251">
      <w:pPr>
        <w:jc w:val="both"/>
        <w:rPr>
          <w:bCs/>
          <w:color w:val="002060"/>
          <w:sz w:val="16"/>
          <w:szCs w:val="16"/>
        </w:rPr>
      </w:pPr>
      <w:r w:rsidRPr="00405303">
        <w:rPr>
          <w:bCs/>
          <w:color w:val="002060"/>
          <w:sz w:val="16"/>
          <w:szCs w:val="16"/>
        </w:rPr>
        <w:t xml:space="preserve">В связи со всем этим Ремингтон возбудил вопрос о пересмотре контрактов, угрожая в противном случае остановить производство. Создавался, таким образом, конфликт, подобный тому, какой имел место с Вестингаузом. </w:t>
      </w:r>
    </w:p>
    <w:p w14:paraId="10A06119" w14:textId="77777777" w:rsidR="004B4E35" w:rsidRPr="00405303" w:rsidRDefault="009E6F82" w:rsidP="00C15251">
      <w:pPr>
        <w:jc w:val="both"/>
        <w:rPr>
          <w:bCs/>
          <w:color w:val="002060"/>
          <w:sz w:val="16"/>
          <w:szCs w:val="16"/>
        </w:rPr>
      </w:pPr>
      <w:r w:rsidRPr="00405303">
        <w:rPr>
          <w:bCs/>
          <w:color w:val="002060"/>
          <w:sz w:val="16"/>
          <w:szCs w:val="16"/>
        </w:rPr>
        <w:t xml:space="preserve">Председатель Заготовительного комитета по этому поводу доносит в Петроград: "Завод Ремингтон, вероятно, опираясь на Вестингауза, получающего всякие льготы, начал опять подавать брак и тоже начинает протестовать против наших правильных требований". </w:t>
      </w:r>
    </w:p>
    <w:p w14:paraId="73B9A4C4" w14:textId="77777777" w:rsidR="004B4E35" w:rsidRPr="00405303" w:rsidRDefault="009E6F82" w:rsidP="00C15251">
      <w:pPr>
        <w:jc w:val="both"/>
        <w:rPr>
          <w:bCs/>
          <w:color w:val="002060"/>
          <w:sz w:val="16"/>
          <w:szCs w:val="16"/>
        </w:rPr>
      </w:pPr>
      <w:r w:rsidRPr="00405303">
        <w:rPr>
          <w:bCs/>
          <w:color w:val="002060"/>
          <w:sz w:val="16"/>
          <w:szCs w:val="16"/>
        </w:rPr>
        <w:t xml:space="preserve">Очевиден был сговор банков, которые требуют — или брать такие ружья, какие нам дают, или же, в противном случае, грозят закрыть завод, предпочитая не нести дальнейших убытков. Такое давление банков понятно, поскольку некоторые из директоров компании были в то же время директорами банков. </w:t>
      </w:r>
    </w:p>
    <w:p w14:paraId="33F2E53F" w14:textId="77777777" w:rsidR="004B4E35" w:rsidRPr="00405303" w:rsidRDefault="009E6F82" w:rsidP="00C15251">
      <w:pPr>
        <w:jc w:val="both"/>
        <w:rPr>
          <w:bCs/>
          <w:color w:val="002060"/>
          <w:sz w:val="16"/>
          <w:szCs w:val="16"/>
        </w:rPr>
      </w:pPr>
      <w:r w:rsidRPr="00405303">
        <w:rPr>
          <w:bCs/>
          <w:color w:val="002060"/>
          <w:sz w:val="16"/>
          <w:szCs w:val="16"/>
        </w:rPr>
        <w:t xml:space="preserve">В периоде переговоров об изменении условий контракта Ремингтон возбудил вопрос о передаче его завода в полное техническое управление русским инженерам-оружейникам. Одновременно такой же вопрос поставил и Вестингауз. </w:t>
      </w:r>
    </w:p>
    <w:p w14:paraId="0851670D" w14:textId="77777777" w:rsidR="004B4E35" w:rsidRPr="00405303" w:rsidRDefault="009E6F82" w:rsidP="00C15251">
      <w:pPr>
        <w:jc w:val="both"/>
        <w:rPr>
          <w:bCs/>
          <w:color w:val="002060"/>
          <w:sz w:val="16"/>
          <w:szCs w:val="16"/>
        </w:rPr>
      </w:pPr>
      <w:r w:rsidRPr="00405303">
        <w:rPr>
          <w:bCs/>
          <w:color w:val="002060"/>
          <w:sz w:val="16"/>
          <w:szCs w:val="16"/>
        </w:rPr>
        <w:t xml:space="preserve">В середине марта 1916 г. переговоры были задержаны почти на месяц союзной конференцией в Петрограде, после чего опять возобновились и шли успешно. </w:t>
      </w:r>
    </w:p>
    <w:p w14:paraId="35EB03F0" w14:textId="77777777" w:rsidR="004B4E35" w:rsidRPr="00405303" w:rsidRDefault="009E6F82" w:rsidP="00C15251">
      <w:pPr>
        <w:jc w:val="both"/>
        <w:rPr>
          <w:bCs/>
          <w:color w:val="002060"/>
          <w:sz w:val="16"/>
          <w:szCs w:val="16"/>
        </w:rPr>
      </w:pPr>
      <w:r w:rsidRPr="00405303">
        <w:rPr>
          <w:bCs/>
          <w:color w:val="002060"/>
          <w:sz w:val="16"/>
          <w:szCs w:val="16"/>
        </w:rPr>
        <w:t xml:space="preserve">После долгих переговоров и сношений с Лондоном и Петроградом был, наконец, 10 сентября 1917 г. подписан новый договор с фирмой Ремингтон, заменяющий предшествующие контракты. Основные положения нового договора сводились к следующему. </w:t>
      </w:r>
    </w:p>
    <w:p w14:paraId="1402DA18" w14:textId="77777777" w:rsidR="004B4E35" w:rsidRPr="00405303" w:rsidRDefault="009E6F82" w:rsidP="00C15251">
      <w:pPr>
        <w:jc w:val="both"/>
        <w:rPr>
          <w:bCs/>
          <w:color w:val="002060"/>
          <w:sz w:val="16"/>
          <w:szCs w:val="16"/>
        </w:rPr>
      </w:pPr>
      <w:r w:rsidRPr="00405303">
        <w:rPr>
          <w:bCs/>
          <w:color w:val="002060"/>
          <w:sz w:val="16"/>
          <w:szCs w:val="16"/>
        </w:rPr>
        <w:t xml:space="preserve">1) Заказ 1 500 000 ружей сокращается до 1 млн. </w:t>
      </w:r>
    </w:p>
    <w:p w14:paraId="4C757E45" w14:textId="77777777" w:rsidR="004B4E35" w:rsidRPr="00405303" w:rsidRDefault="009E6F82" w:rsidP="00C15251">
      <w:pPr>
        <w:jc w:val="both"/>
        <w:rPr>
          <w:bCs/>
          <w:color w:val="002060"/>
          <w:sz w:val="16"/>
          <w:szCs w:val="16"/>
        </w:rPr>
      </w:pPr>
      <w:r w:rsidRPr="00405303">
        <w:rPr>
          <w:bCs/>
          <w:color w:val="002060"/>
          <w:sz w:val="16"/>
          <w:szCs w:val="16"/>
        </w:rPr>
        <w:t xml:space="preserve">2) Организуется общество Новый Ремингтон, в котором половина акций принадлежит старому Ремингтону, другая — русскому правительству. </w:t>
      </w:r>
    </w:p>
    <w:p w14:paraId="5279F5B5" w14:textId="77777777" w:rsidR="004B4E35" w:rsidRPr="00405303" w:rsidRDefault="009E6F82" w:rsidP="00C15251">
      <w:pPr>
        <w:jc w:val="both"/>
        <w:rPr>
          <w:bCs/>
          <w:color w:val="002060"/>
          <w:sz w:val="16"/>
          <w:szCs w:val="16"/>
        </w:rPr>
      </w:pPr>
      <w:r w:rsidRPr="00405303">
        <w:rPr>
          <w:bCs/>
          <w:color w:val="002060"/>
          <w:sz w:val="16"/>
          <w:szCs w:val="16"/>
        </w:rPr>
        <w:t xml:space="preserve">3) Русское правительство вносит за акции 6 млн долларов, которые составляют половину капитала, затраченного фирмой в дело с начала работы по день нового контракта. </w:t>
      </w:r>
    </w:p>
    <w:p w14:paraId="2BD3F606" w14:textId="77777777" w:rsidR="004B4E35" w:rsidRPr="00405303" w:rsidRDefault="009E6F82" w:rsidP="00C15251">
      <w:pPr>
        <w:jc w:val="both"/>
        <w:rPr>
          <w:bCs/>
          <w:color w:val="002060"/>
          <w:sz w:val="16"/>
          <w:szCs w:val="16"/>
        </w:rPr>
      </w:pPr>
      <w:r w:rsidRPr="00405303">
        <w:rPr>
          <w:bCs/>
          <w:color w:val="002060"/>
          <w:sz w:val="16"/>
          <w:szCs w:val="16"/>
        </w:rPr>
        <w:t xml:space="preserve">4) Старый Ремингтон уступает Новому 0,68 доли участия в недвижимом имуществе, заводе и инвентаре, что отвечает потребности ружейного контракта. Часть имущества по особой описи вполне отчуждается Новому Ремингтону. </w:t>
      </w:r>
    </w:p>
    <w:p w14:paraId="7D9212C7" w14:textId="77777777" w:rsidR="004B4E35" w:rsidRPr="00405303" w:rsidRDefault="009E6F82" w:rsidP="00C15251">
      <w:pPr>
        <w:jc w:val="both"/>
        <w:rPr>
          <w:bCs/>
          <w:color w:val="002060"/>
          <w:sz w:val="16"/>
          <w:szCs w:val="16"/>
        </w:rPr>
      </w:pPr>
      <w:r w:rsidRPr="00405303">
        <w:rPr>
          <w:bCs/>
          <w:color w:val="002060"/>
          <w:sz w:val="16"/>
          <w:szCs w:val="16"/>
        </w:rPr>
        <w:t xml:space="preserve">5) Новый Ремингтон управляется директоратом из шести директоров — три от Ремингтона и три от Русского заготовительного комитета. </w:t>
      </w:r>
    </w:p>
    <w:p w14:paraId="67E74AE3" w14:textId="77777777" w:rsidR="004B4E35" w:rsidRPr="00405303" w:rsidRDefault="009E6F82" w:rsidP="00C15251">
      <w:pPr>
        <w:jc w:val="both"/>
        <w:rPr>
          <w:bCs/>
          <w:color w:val="002060"/>
          <w:sz w:val="16"/>
          <w:szCs w:val="16"/>
        </w:rPr>
      </w:pPr>
      <w:r w:rsidRPr="00405303">
        <w:rPr>
          <w:bCs/>
          <w:color w:val="002060"/>
          <w:sz w:val="16"/>
          <w:szCs w:val="16"/>
        </w:rPr>
        <w:t>6) Цена винтовки 30 долларов.</w:t>
      </w:r>
    </w:p>
    <w:p w14:paraId="2F30C434" w14:textId="77777777" w:rsidR="004B4E35" w:rsidRPr="00405303" w:rsidRDefault="009E6F82" w:rsidP="00C15251">
      <w:pPr>
        <w:jc w:val="both"/>
        <w:rPr>
          <w:bCs/>
          <w:color w:val="002060"/>
          <w:sz w:val="16"/>
          <w:szCs w:val="16"/>
        </w:rPr>
      </w:pPr>
      <w:r w:rsidRPr="00405303">
        <w:rPr>
          <w:bCs/>
          <w:color w:val="002060"/>
          <w:sz w:val="16"/>
          <w:szCs w:val="16"/>
        </w:rPr>
        <w:t xml:space="preserve">7) По окончании договора Россия приобретает от Нового Ремингтона машины, инструмент и пр. оборудование для оружейного дела. </w:t>
      </w:r>
    </w:p>
    <w:p w14:paraId="7CE3BB48" w14:textId="77777777" w:rsidR="004B4E35" w:rsidRPr="00405303" w:rsidRDefault="009E6F82" w:rsidP="00C15251">
      <w:pPr>
        <w:jc w:val="both"/>
        <w:rPr>
          <w:bCs/>
          <w:color w:val="002060"/>
          <w:sz w:val="16"/>
          <w:szCs w:val="16"/>
        </w:rPr>
      </w:pPr>
      <w:r w:rsidRPr="00405303">
        <w:rPr>
          <w:bCs/>
          <w:color w:val="002060"/>
          <w:sz w:val="16"/>
          <w:szCs w:val="16"/>
        </w:rPr>
        <w:t xml:space="preserve">Указанное соглашение было принято Заготовительным комитетом под давлением обстоятельств, так как иного выхода не было: ружья были до зарезу нужны, а крах фирмы во всех отношениях для России был неприемлем. </w:t>
      </w:r>
    </w:p>
    <w:p w14:paraId="4794A26E" w14:textId="77777777" w:rsidR="004B4E35" w:rsidRPr="00405303" w:rsidRDefault="009E6F82" w:rsidP="00C15251">
      <w:pPr>
        <w:jc w:val="both"/>
        <w:rPr>
          <w:bCs/>
          <w:color w:val="002060"/>
          <w:sz w:val="16"/>
          <w:szCs w:val="16"/>
        </w:rPr>
      </w:pPr>
      <w:r w:rsidRPr="00405303">
        <w:rPr>
          <w:bCs/>
          <w:color w:val="002060"/>
          <w:sz w:val="16"/>
          <w:szCs w:val="16"/>
        </w:rPr>
        <w:t xml:space="preserve">Таким образом, с подписанием нового контракта производство стало быстро прогрессировать, в то время как в период переговоров и неопределенности оно значительно упало. С мая по сентябрь 1917 г. завод выпускал примерно по 30 000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80"/>
        <w:gridCol w:w="816"/>
      </w:tblGrid>
      <w:tr w:rsidR="004B4E35" w:rsidRPr="00405303" w14:paraId="00C7463F" w14:textId="77777777">
        <w:tc>
          <w:tcPr>
            <w:tcW w:w="1680" w:type="dxa"/>
          </w:tcPr>
          <w:p w14:paraId="2C2837BE" w14:textId="77777777" w:rsidR="004B4E35" w:rsidRPr="00405303" w:rsidRDefault="009E6F82" w:rsidP="00C15251">
            <w:pPr>
              <w:jc w:val="both"/>
              <w:rPr>
                <w:bCs/>
                <w:color w:val="002060"/>
                <w:sz w:val="16"/>
                <w:szCs w:val="16"/>
              </w:rPr>
            </w:pPr>
            <w:r w:rsidRPr="00405303">
              <w:rPr>
                <w:bCs/>
                <w:color w:val="002060"/>
                <w:sz w:val="16"/>
                <w:szCs w:val="16"/>
              </w:rPr>
              <w:t>в сентябре 1917 г.</w:t>
            </w:r>
          </w:p>
        </w:tc>
        <w:tc>
          <w:tcPr>
            <w:tcW w:w="816" w:type="dxa"/>
          </w:tcPr>
          <w:p w14:paraId="1DEF4F70" w14:textId="77777777" w:rsidR="004B4E35" w:rsidRPr="00405303" w:rsidRDefault="009E6F82" w:rsidP="00C15251">
            <w:pPr>
              <w:jc w:val="both"/>
              <w:rPr>
                <w:bCs/>
                <w:color w:val="002060"/>
                <w:sz w:val="16"/>
                <w:szCs w:val="16"/>
              </w:rPr>
            </w:pPr>
            <w:r w:rsidRPr="00405303">
              <w:rPr>
                <w:bCs/>
                <w:color w:val="002060"/>
                <w:sz w:val="16"/>
                <w:szCs w:val="16"/>
              </w:rPr>
              <w:t xml:space="preserve">52 000 </w:t>
            </w:r>
          </w:p>
        </w:tc>
      </w:tr>
      <w:tr w:rsidR="004B4E35" w:rsidRPr="00405303" w14:paraId="4658817D" w14:textId="77777777">
        <w:tc>
          <w:tcPr>
            <w:tcW w:w="1680" w:type="dxa"/>
          </w:tcPr>
          <w:p w14:paraId="77DE8818" w14:textId="77777777" w:rsidR="004B4E35" w:rsidRPr="00405303" w:rsidRDefault="009E6F82" w:rsidP="00C15251">
            <w:pPr>
              <w:jc w:val="both"/>
              <w:rPr>
                <w:bCs/>
                <w:color w:val="002060"/>
                <w:sz w:val="16"/>
                <w:szCs w:val="16"/>
              </w:rPr>
            </w:pPr>
            <w:r w:rsidRPr="00405303">
              <w:rPr>
                <w:bCs/>
                <w:color w:val="002060"/>
                <w:sz w:val="16"/>
                <w:szCs w:val="16"/>
              </w:rPr>
              <w:t>в октябре</w:t>
            </w:r>
          </w:p>
        </w:tc>
        <w:tc>
          <w:tcPr>
            <w:tcW w:w="816" w:type="dxa"/>
          </w:tcPr>
          <w:p w14:paraId="2F17FD2D" w14:textId="77777777" w:rsidR="004B4E35" w:rsidRPr="00405303" w:rsidRDefault="009E6F82" w:rsidP="00C15251">
            <w:pPr>
              <w:jc w:val="both"/>
              <w:rPr>
                <w:bCs/>
                <w:color w:val="002060"/>
                <w:sz w:val="16"/>
                <w:szCs w:val="16"/>
              </w:rPr>
            </w:pPr>
            <w:r w:rsidRPr="00405303">
              <w:rPr>
                <w:bCs/>
                <w:color w:val="002060"/>
                <w:sz w:val="16"/>
                <w:szCs w:val="16"/>
              </w:rPr>
              <w:t xml:space="preserve">70 000 </w:t>
            </w:r>
          </w:p>
        </w:tc>
      </w:tr>
      <w:tr w:rsidR="004B4E35" w:rsidRPr="00405303" w14:paraId="2296825A" w14:textId="77777777">
        <w:tc>
          <w:tcPr>
            <w:tcW w:w="1680" w:type="dxa"/>
          </w:tcPr>
          <w:p w14:paraId="4C6C5F97" w14:textId="77777777" w:rsidR="004B4E35" w:rsidRPr="00405303" w:rsidRDefault="009E6F82" w:rsidP="00C15251">
            <w:pPr>
              <w:jc w:val="both"/>
              <w:rPr>
                <w:bCs/>
                <w:color w:val="002060"/>
                <w:sz w:val="16"/>
                <w:szCs w:val="16"/>
              </w:rPr>
            </w:pPr>
            <w:r w:rsidRPr="00405303">
              <w:rPr>
                <w:bCs/>
                <w:color w:val="002060"/>
                <w:sz w:val="16"/>
                <w:szCs w:val="16"/>
              </w:rPr>
              <w:t>в ноябре</w:t>
            </w:r>
          </w:p>
        </w:tc>
        <w:tc>
          <w:tcPr>
            <w:tcW w:w="816" w:type="dxa"/>
          </w:tcPr>
          <w:p w14:paraId="749C131F" w14:textId="77777777" w:rsidR="004B4E35" w:rsidRPr="00405303" w:rsidRDefault="009E6F82" w:rsidP="00C15251">
            <w:pPr>
              <w:jc w:val="both"/>
              <w:rPr>
                <w:bCs/>
                <w:color w:val="002060"/>
                <w:sz w:val="16"/>
                <w:szCs w:val="16"/>
              </w:rPr>
            </w:pPr>
            <w:r w:rsidRPr="00405303">
              <w:rPr>
                <w:bCs/>
                <w:color w:val="002060"/>
                <w:sz w:val="16"/>
                <w:szCs w:val="16"/>
              </w:rPr>
              <w:t xml:space="preserve">108 000 </w:t>
            </w:r>
          </w:p>
        </w:tc>
      </w:tr>
      <w:tr w:rsidR="004B4E35" w:rsidRPr="00405303" w14:paraId="3DB1A68E" w14:textId="77777777">
        <w:tc>
          <w:tcPr>
            <w:tcW w:w="1680" w:type="dxa"/>
          </w:tcPr>
          <w:p w14:paraId="0313745E" w14:textId="77777777" w:rsidR="004B4E35" w:rsidRPr="00405303" w:rsidRDefault="009E6F82" w:rsidP="00C15251">
            <w:pPr>
              <w:jc w:val="both"/>
              <w:rPr>
                <w:bCs/>
                <w:color w:val="002060"/>
                <w:sz w:val="16"/>
                <w:szCs w:val="16"/>
              </w:rPr>
            </w:pPr>
            <w:r w:rsidRPr="00405303">
              <w:rPr>
                <w:bCs/>
                <w:color w:val="002060"/>
                <w:sz w:val="16"/>
                <w:szCs w:val="16"/>
              </w:rPr>
              <w:t>в декабре</w:t>
            </w:r>
          </w:p>
        </w:tc>
        <w:tc>
          <w:tcPr>
            <w:tcW w:w="816" w:type="dxa"/>
          </w:tcPr>
          <w:p w14:paraId="1C63DA12" w14:textId="77777777" w:rsidR="004B4E35" w:rsidRPr="00405303" w:rsidRDefault="009E6F82" w:rsidP="00C15251">
            <w:pPr>
              <w:jc w:val="both"/>
              <w:rPr>
                <w:bCs/>
                <w:color w:val="002060"/>
                <w:sz w:val="16"/>
                <w:szCs w:val="16"/>
              </w:rPr>
            </w:pPr>
            <w:r w:rsidRPr="00405303">
              <w:rPr>
                <w:bCs/>
                <w:color w:val="002060"/>
                <w:sz w:val="16"/>
                <w:szCs w:val="16"/>
              </w:rPr>
              <w:t xml:space="preserve">107 000 </w:t>
            </w:r>
          </w:p>
        </w:tc>
      </w:tr>
    </w:tbl>
    <w:p w14:paraId="634F6109" w14:textId="77777777" w:rsidR="004B4E35" w:rsidRPr="00405303" w:rsidRDefault="009E6F82" w:rsidP="00C15251">
      <w:pPr>
        <w:jc w:val="both"/>
        <w:rPr>
          <w:bCs/>
          <w:color w:val="002060"/>
          <w:sz w:val="16"/>
          <w:szCs w:val="16"/>
        </w:rPr>
      </w:pPr>
      <w:r w:rsidRPr="00405303">
        <w:rPr>
          <w:bCs/>
          <w:color w:val="002060"/>
          <w:sz w:val="16"/>
          <w:szCs w:val="16"/>
        </w:rPr>
        <w:t xml:space="preserve">В конце 1917 г. в связи с прекращением войны Россией началась общая ликвидация работ Заготовительного комитета. Ввиду этого с Ремингтоном было выработано в январе 1918 г. особое соглашение о ликвидации контрактов. </w:t>
      </w:r>
    </w:p>
    <w:p w14:paraId="774A9319" w14:textId="77777777" w:rsidR="004B4E35" w:rsidRPr="00405303" w:rsidRDefault="009E6F82" w:rsidP="00C15251">
      <w:pPr>
        <w:jc w:val="both"/>
        <w:rPr>
          <w:bCs/>
          <w:color w:val="002060"/>
          <w:sz w:val="16"/>
          <w:szCs w:val="16"/>
        </w:rPr>
      </w:pPr>
      <w:r w:rsidRPr="00405303">
        <w:rPr>
          <w:bCs/>
          <w:color w:val="002060"/>
          <w:sz w:val="16"/>
          <w:szCs w:val="16"/>
        </w:rPr>
        <w:t xml:space="preserve">Нет надобности входить в детали этого соглашения, оно чрезвычайно сложно, что и понятно при той исключительной сложности взаимоотношения сторон, которое создавалась при учреждении общества Новый Ремингтон. В общем счете всего сдано Ремингтоном 840 307 винтовок. К сожалению, не имеется данных, коими можно было бы установить, сколько же этих ружей попало в Россию и сколько Россия уплатила фирме за все время, чтобы подсчитать, во что обошлось ружье. </w:t>
      </w:r>
    </w:p>
    <w:p w14:paraId="02FA1774" w14:textId="77777777" w:rsidR="004B4E35" w:rsidRPr="00405303" w:rsidRDefault="009E6F82" w:rsidP="00C15251">
      <w:pPr>
        <w:jc w:val="both"/>
        <w:rPr>
          <w:bCs/>
          <w:color w:val="002060"/>
          <w:sz w:val="16"/>
          <w:szCs w:val="16"/>
        </w:rPr>
      </w:pPr>
      <w:r w:rsidRPr="00405303">
        <w:rPr>
          <w:bCs/>
          <w:color w:val="002060"/>
          <w:sz w:val="16"/>
          <w:szCs w:val="16"/>
        </w:rPr>
        <w:t>В итоге заказ был выполнен Ремингтоном только в 55% его первоначального контрактного объема, причем часть эта исполнена с запозданием на 20 месяцев против контрактного срока для всего заказа (11329).</w:t>
      </w:r>
    </w:p>
    <w:p w14:paraId="4F6269DF" w14:textId="77777777" w:rsidR="004B4E35" w:rsidRPr="00405303" w:rsidRDefault="004B4E35" w:rsidP="00C15251">
      <w:pPr>
        <w:pStyle w:val="a3"/>
        <w:jc w:val="both"/>
        <w:rPr>
          <w:bCs/>
          <w:color w:val="002060"/>
          <w:spacing w:val="0"/>
          <w:kern w:val="0"/>
          <w:position w:val="0"/>
          <w:sz w:val="16"/>
          <w:szCs w:val="16"/>
        </w:rPr>
      </w:pPr>
    </w:p>
    <w:p w14:paraId="0D847AB7" w14:textId="77777777" w:rsidR="004B4E35" w:rsidRPr="00405303" w:rsidRDefault="009E6F82" w:rsidP="00C15251">
      <w:pPr>
        <w:jc w:val="both"/>
        <w:rPr>
          <w:bCs/>
          <w:i/>
          <w:color w:val="002060"/>
          <w:sz w:val="16"/>
          <w:szCs w:val="16"/>
        </w:rPr>
      </w:pPr>
      <w:r w:rsidRPr="00405303">
        <w:rPr>
          <w:bCs/>
          <w:i/>
          <w:color w:val="002060"/>
          <w:sz w:val="16"/>
          <w:szCs w:val="16"/>
        </w:rPr>
        <w:t>За рубежом:</w:t>
      </w:r>
    </w:p>
    <w:p w14:paraId="2E647BC6" w14:textId="77777777" w:rsidR="004B4E35" w:rsidRPr="00405303" w:rsidRDefault="004B4E35" w:rsidP="00C15251">
      <w:pPr>
        <w:jc w:val="both"/>
        <w:rPr>
          <w:bCs/>
          <w:i/>
          <w:color w:val="002060"/>
          <w:sz w:val="16"/>
          <w:szCs w:val="16"/>
        </w:rPr>
      </w:pPr>
    </w:p>
    <w:p w14:paraId="5026E7F2" w14:textId="2169EE64" w:rsidR="004B4E35" w:rsidRPr="00405303" w:rsidRDefault="009E6F82" w:rsidP="00C15251">
      <w:pPr>
        <w:jc w:val="both"/>
        <w:rPr>
          <w:bCs/>
          <w:color w:val="002060"/>
          <w:sz w:val="16"/>
          <w:szCs w:val="16"/>
        </w:rPr>
      </w:pPr>
      <w:r w:rsidRPr="00405303">
        <w:rPr>
          <w:bCs/>
          <w:color w:val="002060"/>
          <w:sz w:val="16"/>
          <w:szCs w:val="16"/>
        </w:rPr>
        <w:t>9 (22)</w:t>
      </w:r>
      <w:r w:rsidR="00746050" w:rsidRPr="00405303">
        <w:rPr>
          <w:bCs/>
          <w:color w:val="002060"/>
          <w:sz w:val="16"/>
          <w:szCs w:val="16"/>
        </w:rPr>
        <w:t xml:space="preserve"> сентября </w:t>
      </w:r>
      <w:r w:rsidRPr="00405303">
        <w:rPr>
          <w:bCs/>
          <w:color w:val="002060"/>
          <w:sz w:val="16"/>
          <w:szCs w:val="16"/>
        </w:rPr>
        <w:t xml:space="preserve">1915 </w:t>
      </w:r>
      <w:r w:rsidR="00746050" w:rsidRPr="00405303">
        <w:rPr>
          <w:bCs/>
          <w:color w:val="002060"/>
          <w:sz w:val="16"/>
          <w:szCs w:val="16"/>
        </w:rPr>
        <w:t xml:space="preserve">г. </w:t>
      </w:r>
      <w:r w:rsidRPr="00405303">
        <w:rPr>
          <w:bCs/>
          <w:color w:val="002060"/>
          <w:sz w:val="16"/>
          <w:szCs w:val="16"/>
        </w:rPr>
        <w:t xml:space="preserve">Стерну вручили телеграмму из Линкольна, которую </w:t>
      </w:r>
      <w:proofErr w:type="gramStart"/>
      <w:r w:rsidRPr="00405303">
        <w:rPr>
          <w:bCs/>
          <w:color w:val="002060"/>
          <w:sz w:val="16"/>
          <w:szCs w:val="16"/>
        </w:rPr>
        <w:t>не возможно</w:t>
      </w:r>
      <w:proofErr w:type="gramEnd"/>
      <w:r w:rsidRPr="00405303">
        <w:rPr>
          <w:bCs/>
          <w:color w:val="002060"/>
          <w:sz w:val="16"/>
          <w:szCs w:val="16"/>
        </w:rPr>
        <w:t xml:space="preserve"> читать без умиления: «Сегодня утром Balata погиб на испытательном стенде. Новорожденный от Триттона из листовой штамповки легкий по весу, но очень прочный. Все прошло хорошо, спасибо Вам. ГОРДЫЕ РОДИТЕЛИ».</w:t>
      </w:r>
    </w:p>
    <w:p w14:paraId="7F9D200D" w14:textId="77777777" w:rsidR="004B4E35" w:rsidRPr="00405303" w:rsidRDefault="009E6F82" w:rsidP="00C15251">
      <w:pPr>
        <w:jc w:val="both"/>
        <w:rPr>
          <w:bCs/>
          <w:color w:val="002060"/>
          <w:sz w:val="16"/>
          <w:szCs w:val="16"/>
        </w:rPr>
      </w:pPr>
      <w:r w:rsidRPr="00405303">
        <w:rPr>
          <w:bCs/>
          <w:color w:val="002060"/>
          <w:sz w:val="16"/>
          <w:szCs w:val="16"/>
        </w:rPr>
        <w:t>Так опытный никогда не вооружавшийся сухопутный корабль Little Willy, оснащенный специальным гусеничных ходом, явился первым английским танком и соответственно первым танком в мире. Но это была, как говорят, «бракованная лошадь». Свинтон: «Меня спросили о моем мнении, и я сказал, что Willy не пойдет. Он не соответствовал требованиям, присланным из Франции, и не мог преодолевать 5-футовые вертикальные препятствия. Little Willy был просто стальной коробкой». Да это все прекрасно понимали без Свинтона и не оспаривали.</w:t>
      </w:r>
    </w:p>
    <w:p w14:paraId="49E39D91" w14:textId="77777777" w:rsidR="004B4E35" w:rsidRPr="00405303" w:rsidRDefault="009E6F82" w:rsidP="00C15251">
      <w:pPr>
        <w:jc w:val="both"/>
        <w:rPr>
          <w:bCs/>
          <w:color w:val="002060"/>
          <w:sz w:val="16"/>
          <w:szCs w:val="16"/>
        </w:rPr>
      </w:pPr>
      <w:r w:rsidRPr="00405303">
        <w:rPr>
          <w:bCs/>
          <w:color w:val="002060"/>
          <w:sz w:val="16"/>
          <w:szCs w:val="16"/>
        </w:rPr>
        <w:t xml:space="preserve">В основу формообразования новой БМ, известной больше под названием Mother, легло предложение Вильсона (идея Мекфи и Несфильда, с оговорками) о ромбовидном гусеничном обводе корпуса. С этого момента форма английских танков периода Первой мировой войны стала единым пластическим целым — гипертрофированной ходовой честью, демонстрирующей полную независимость от среды перемещения, переходящую в агрессивность по отношению этой среде, готовность проложить и проломать себе дорогу в любой ситуации. </w:t>
      </w:r>
    </w:p>
    <w:p w14:paraId="3C208D7B" w14:textId="77777777" w:rsidR="004B4E35" w:rsidRPr="00405303" w:rsidRDefault="009E6F82" w:rsidP="00C15251">
      <w:pPr>
        <w:jc w:val="both"/>
        <w:rPr>
          <w:bCs/>
          <w:color w:val="002060"/>
          <w:sz w:val="16"/>
          <w:szCs w:val="16"/>
        </w:rPr>
      </w:pPr>
      <w:r w:rsidRPr="00405303">
        <w:rPr>
          <w:bCs/>
          <w:color w:val="002060"/>
          <w:sz w:val="16"/>
          <w:szCs w:val="16"/>
        </w:rPr>
        <w:t xml:space="preserve">Не следует толковать результаты создания Little Willy как неудачу. «Новорожденный от Тритона» отпустил все грехи. С видоизмененным, но конструктивно аналогичным движителем он вышел в лице своего приемника Big Willy (Mother) на уровень серийного производства и боевого триумфа, а его усовершенствованная ходовая часть стала ходовой частью кавалерийского Mark A. </w:t>
      </w:r>
      <w:proofErr w:type="gramStart"/>
      <w:r w:rsidRPr="00405303">
        <w:rPr>
          <w:bCs/>
          <w:color w:val="002060"/>
          <w:sz w:val="16"/>
          <w:szCs w:val="16"/>
        </w:rPr>
        <w:t>Конечно</w:t>
      </w:r>
      <w:proofErr w:type="gramEnd"/>
      <w:r w:rsidRPr="00405303">
        <w:rPr>
          <w:bCs/>
          <w:color w:val="002060"/>
          <w:sz w:val="16"/>
          <w:szCs w:val="16"/>
        </w:rPr>
        <w:t xml:space="preserve"> Mark A доблестный танк, но что бросается в глаза — отказ от ходовой части умеренного профиля на последовавших за ним Mark В и Mark С в пользу ромбовидного обвода. Уже в начале 20-х годов условия боевого применения БТТ изменятся, соответственно иные требования — иные решения. Но тогда альтернативы не было.</w:t>
      </w:r>
    </w:p>
    <w:p w14:paraId="47E07E4D" w14:textId="77777777" w:rsidR="004B4E35" w:rsidRPr="00405303" w:rsidRDefault="009E6F82" w:rsidP="00C15251">
      <w:pPr>
        <w:jc w:val="both"/>
        <w:rPr>
          <w:bCs/>
          <w:color w:val="002060"/>
          <w:sz w:val="16"/>
          <w:szCs w:val="16"/>
        </w:rPr>
      </w:pPr>
      <w:r w:rsidRPr="00405303">
        <w:rPr>
          <w:bCs/>
          <w:color w:val="002060"/>
          <w:sz w:val="16"/>
          <w:szCs w:val="16"/>
        </w:rPr>
        <w:t>В конце сентября 1915 г. завершили изготовление деревянного макета и продемонстрировали его в Уэмбли группе старших офицеров. Указание на изготовление опытного образца поступило 30.09.1915 г., Проблема размещения вооружения была решена д'Эйнкоуртом, предложившим съемные бортовые спонсоны. В результате: низко расположенный центр тяжести; способность «чистить» траншею на оба борта при ее пересечении и держать под обстрелом сразу две линии траншей при дефилировании вдоль фронта, возможность вписать машину в железнодорожный провозной габарит.</w:t>
      </w:r>
    </w:p>
    <w:p w14:paraId="0A5A28EB" w14:textId="77777777" w:rsidR="004B4E35" w:rsidRPr="00405303" w:rsidRDefault="009E6F82" w:rsidP="00C15251">
      <w:pPr>
        <w:jc w:val="both"/>
        <w:rPr>
          <w:bCs/>
          <w:color w:val="002060"/>
          <w:sz w:val="16"/>
          <w:szCs w:val="16"/>
        </w:rPr>
      </w:pPr>
      <w:r w:rsidRPr="00405303">
        <w:rPr>
          <w:bCs/>
          <w:color w:val="002060"/>
          <w:sz w:val="16"/>
          <w:szCs w:val="16"/>
        </w:rPr>
        <w:t>От экспериментов и опытных работ Англия переходила в область практической реализации (12111).</w:t>
      </w:r>
    </w:p>
    <w:p w14:paraId="3FE063C9" w14:textId="77777777" w:rsidR="004B4E35" w:rsidRPr="00405303" w:rsidRDefault="004B4E35" w:rsidP="00C15251">
      <w:pPr>
        <w:jc w:val="both"/>
        <w:rPr>
          <w:bCs/>
          <w:color w:val="002060"/>
          <w:sz w:val="16"/>
          <w:szCs w:val="16"/>
        </w:rPr>
      </w:pPr>
    </w:p>
    <w:p w14:paraId="1E60FA80" w14:textId="756CBE0C" w:rsidR="00F05CB8" w:rsidRPr="00405303" w:rsidRDefault="00F05CB8" w:rsidP="00C15251">
      <w:pPr>
        <w:jc w:val="both"/>
        <w:rPr>
          <w:bCs/>
          <w:color w:val="002060"/>
          <w:sz w:val="16"/>
          <w:szCs w:val="16"/>
        </w:rPr>
      </w:pPr>
      <w:r w:rsidRPr="00405303">
        <w:rPr>
          <w:bCs/>
          <w:color w:val="002060"/>
          <w:sz w:val="16"/>
          <w:szCs w:val="16"/>
        </w:rPr>
        <w:t xml:space="preserve">9 </w:t>
      </w:r>
      <w:r w:rsidR="00746050" w:rsidRPr="00405303">
        <w:rPr>
          <w:bCs/>
          <w:color w:val="002060"/>
          <w:sz w:val="16"/>
          <w:szCs w:val="16"/>
        </w:rPr>
        <w:t xml:space="preserve">(22) </w:t>
      </w:r>
      <w:r w:rsidRPr="00405303">
        <w:rPr>
          <w:bCs/>
          <w:color w:val="002060"/>
          <w:sz w:val="16"/>
          <w:szCs w:val="16"/>
        </w:rPr>
        <w:t>сентября в 1915 году США требуют, чтобы Австрия отозвала своего посла (посол покинет Нью-Йорк 5 октября) (14764).</w:t>
      </w:r>
    </w:p>
    <w:p w14:paraId="0976CA3C" w14:textId="77777777" w:rsidR="00F05CB8" w:rsidRPr="00405303" w:rsidRDefault="00F05CB8" w:rsidP="00C15251">
      <w:pPr>
        <w:jc w:val="both"/>
        <w:rPr>
          <w:bCs/>
          <w:color w:val="002060"/>
          <w:sz w:val="16"/>
          <w:szCs w:val="16"/>
        </w:rPr>
      </w:pPr>
    </w:p>
    <w:p w14:paraId="6BA9F498" w14:textId="1CC49BE2" w:rsidR="004A25C3" w:rsidRPr="00405303" w:rsidRDefault="00746050" w:rsidP="00C15251">
      <w:pPr>
        <w:jc w:val="both"/>
        <w:rPr>
          <w:bCs/>
          <w:i/>
          <w:color w:val="002060"/>
          <w:sz w:val="16"/>
          <w:szCs w:val="16"/>
        </w:rPr>
      </w:pPr>
      <w:r w:rsidRPr="00405303">
        <w:rPr>
          <w:bCs/>
          <w:i/>
          <w:color w:val="002060"/>
          <w:sz w:val="16"/>
          <w:szCs w:val="16"/>
        </w:rPr>
        <w:t>Аэростато</w:t>
      </w:r>
      <w:r w:rsidR="004A25C3" w:rsidRPr="00405303">
        <w:rPr>
          <w:bCs/>
          <w:i/>
          <w:color w:val="002060"/>
          <w:sz w:val="16"/>
          <w:szCs w:val="16"/>
        </w:rPr>
        <w:t>строение:</w:t>
      </w:r>
    </w:p>
    <w:p w14:paraId="72196640" w14:textId="77777777" w:rsidR="004A25C3" w:rsidRPr="00405303" w:rsidRDefault="004A25C3" w:rsidP="00C15251">
      <w:pPr>
        <w:jc w:val="both"/>
        <w:rPr>
          <w:bCs/>
          <w:i/>
          <w:color w:val="002060"/>
          <w:sz w:val="16"/>
          <w:szCs w:val="16"/>
        </w:rPr>
      </w:pPr>
    </w:p>
    <w:p w14:paraId="175FDD8D" w14:textId="2241C8BF" w:rsidR="004A25C3" w:rsidRPr="00405303" w:rsidRDefault="004A25C3" w:rsidP="00C15251">
      <w:pPr>
        <w:pStyle w:val="book"/>
        <w:spacing w:before="0" w:beforeAutospacing="0" w:after="0" w:afterAutospacing="0"/>
        <w:jc w:val="both"/>
        <w:rPr>
          <w:bCs/>
          <w:color w:val="002060"/>
          <w:sz w:val="16"/>
          <w:szCs w:val="16"/>
        </w:rPr>
      </w:pPr>
      <w:r w:rsidRPr="00405303">
        <w:rPr>
          <w:bCs/>
          <w:color w:val="002060"/>
          <w:sz w:val="16"/>
          <w:szCs w:val="16"/>
        </w:rPr>
        <w:t>10 (23) сентября 1915</w:t>
      </w:r>
      <w:r w:rsidR="00DB4D64" w:rsidRPr="00405303">
        <w:rPr>
          <w:bCs/>
          <w:color w:val="002060"/>
          <w:sz w:val="16"/>
          <w:szCs w:val="16"/>
        </w:rPr>
        <w:t xml:space="preserve"> </w:t>
      </w:r>
      <w:r w:rsidRPr="00405303">
        <w:rPr>
          <w:bCs/>
          <w:color w:val="002060"/>
          <w:sz w:val="16"/>
          <w:szCs w:val="16"/>
        </w:rPr>
        <w:t>г. Отдел изобретений Центрального военно-промышленного комитета, рассмотрев предложение К. Э. Циолковского и ознакомившись с представленными брошюрами по этому вопросу, дал отрицательное заключение. В нем говорилось: "Проект является не настолько разработанным, чтобы можно было тотчас же приступить к постройке аэростата такой системы для военных целей…"</w:t>
      </w:r>
      <w:bookmarkStart w:id="233" w:name="r276"/>
      <w:bookmarkEnd w:id="233"/>
      <w:r w:rsidRPr="00405303">
        <w:rPr>
          <w:bCs/>
          <w:color w:val="002060"/>
          <w:sz w:val="16"/>
          <w:szCs w:val="16"/>
        </w:rPr>
        <w:t xml:space="preserve"> (20120).</w:t>
      </w:r>
    </w:p>
    <w:p w14:paraId="53C31CB9" w14:textId="77777777" w:rsidR="004A25C3" w:rsidRPr="00405303" w:rsidRDefault="004A25C3" w:rsidP="00C15251">
      <w:pPr>
        <w:jc w:val="both"/>
        <w:rPr>
          <w:bCs/>
          <w:color w:val="002060"/>
          <w:sz w:val="16"/>
          <w:szCs w:val="16"/>
        </w:rPr>
      </w:pPr>
    </w:p>
    <w:p w14:paraId="69BB7880" w14:textId="77777777" w:rsidR="0075094F" w:rsidRPr="00405303" w:rsidRDefault="0075094F" w:rsidP="00C15251">
      <w:pPr>
        <w:jc w:val="both"/>
        <w:rPr>
          <w:bCs/>
          <w:color w:val="002060"/>
          <w:sz w:val="16"/>
          <w:szCs w:val="16"/>
        </w:rPr>
      </w:pPr>
      <w:r w:rsidRPr="00405303">
        <w:rPr>
          <w:bCs/>
          <w:color w:val="002060"/>
          <w:sz w:val="16"/>
          <w:szCs w:val="16"/>
        </w:rPr>
        <w:lastRenderedPageBreak/>
        <w:t>10 (23) сентября 1915 г. Центральный военно-промышленный комитет, рассмотрев ходатай</w:t>
      </w:r>
      <w:r w:rsidRPr="00405303">
        <w:rPr>
          <w:bCs/>
          <w:color w:val="002060"/>
          <w:sz w:val="16"/>
          <w:szCs w:val="16"/>
        </w:rPr>
        <w:softHyphen/>
        <w:t>ство податного инспектора г. Калуги Н.И.Панова о выдаче К.Э.Циолкому 25.000 рублей на дальнейшую разработку конструкции его металлического дирижабля, постановил отклонить ходатайство, так «отдел изобретений не ожидает благоприятных результатов от осуществления постройки управляемого аэростата по системе г. Циолковского в ближайшее время».</w:t>
      </w:r>
    </w:p>
    <w:p w14:paraId="580ABC10" w14:textId="77777777" w:rsidR="0075094F" w:rsidRPr="00405303" w:rsidRDefault="0075094F" w:rsidP="00C15251">
      <w:pPr>
        <w:jc w:val="both"/>
        <w:rPr>
          <w:bCs/>
          <w:color w:val="002060"/>
          <w:sz w:val="16"/>
          <w:szCs w:val="16"/>
        </w:rPr>
      </w:pPr>
      <w:r w:rsidRPr="00405303">
        <w:rPr>
          <w:bCs/>
          <w:color w:val="002060"/>
          <w:sz w:val="16"/>
          <w:szCs w:val="16"/>
        </w:rPr>
        <w:t>/ЦГВИА, ф. 13251, оп. 4, д. 881, л. 1/ (23320).</w:t>
      </w:r>
    </w:p>
    <w:p w14:paraId="2EDD8B6E" w14:textId="77777777" w:rsidR="0075094F" w:rsidRPr="00405303" w:rsidRDefault="0075094F" w:rsidP="00C15251">
      <w:pPr>
        <w:jc w:val="both"/>
        <w:rPr>
          <w:bCs/>
          <w:color w:val="002060"/>
          <w:sz w:val="16"/>
          <w:szCs w:val="16"/>
        </w:rPr>
      </w:pPr>
    </w:p>
    <w:p w14:paraId="215E0643" w14:textId="675ADEC3" w:rsidR="00A474F8" w:rsidRPr="00405303" w:rsidRDefault="00A474F8" w:rsidP="00A474F8">
      <w:pPr>
        <w:jc w:val="both"/>
        <w:rPr>
          <w:bCs/>
          <w:i/>
          <w:color w:val="002060"/>
          <w:sz w:val="16"/>
          <w:szCs w:val="16"/>
        </w:rPr>
      </w:pPr>
      <w:r w:rsidRPr="00405303">
        <w:rPr>
          <w:bCs/>
          <w:i/>
          <w:color w:val="002060"/>
          <w:sz w:val="16"/>
          <w:szCs w:val="16"/>
        </w:rPr>
        <w:t>Другие оборонные отрасли:</w:t>
      </w:r>
    </w:p>
    <w:p w14:paraId="2F230033" w14:textId="77777777" w:rsidR="00A474F8" w:rsidRPr="00405303" w:rsidRDefault="00A474F8" w:rsidP="00A474F8">
      <w:pPr>
        <w:jc w:val="both"/>
        <w:rPr>
          <w:bCs/>
          <w:i/>
          <w:color w:val="002060"/>
          <w:sz w:val="16"/>
          <w:szCs w:val="16"/>
        </w:rPr>
      </w:pPr>
    </w:p>
    <w:p w14:paraId="387B811D" w14:textId="77777777" w:rsidR="00A474F8" w:rsidRPr="00405303" w:rsidRDefault="00A474F8" w:rsidP="00A474F8">
      <w:pPr>
        <w:jc w:val="both"/>
        <w:rPr>
          <w:color w:val="0070C0"/>
          <w:sz w:val="16"/>
          <w:szCs w:val="16"/>
        </w:rPr>
      </w:pPr>
      <w:r w:rsidRPr="00405303">
        <w:rPr>
          <w:color w:val="0070C0"/>
          <w:sz w:val="16"/>
          <w:szCs w:val="16"/>
        </w:rPr>
        <w:t>К 10 (23) сентября 1915 года, согласно докладу командира За</w:t>
      </w:r>
      <w:r w:rsidRPr="00405303">
        <w:rPr>
          <w:color w:val="0070C0"/>
          <w:sz w:val="16"/>
          <w:szCs w:val="16"/>
        </w:rPr>
        <w:softHyphen/>
        <w:t>пасной броневой роты капитана Халецкого, объем проведенных по перебронировке «остинов» работ был следующим:</w:t>
      </w:r>
    </w:p>
    <w:p w14:paraId="7514FA8B" w14:textId="77777777" w:rsidR="00A474F8" w:rsidRPr="00405303" w:rsidRDefault="00A474F8" w:rsidP="00A474F8">
      <w:pPr>
        <w:jc w:val="both"/>
        <w:rPr>
          <w:color w:val="0070C0"/>
          <w:sz w:val="16"/>
          <w:szCs w:val="16"/>
        </w:rPr>
      </w:pPr>
      <w:r w:rsidRPr="00405303">
        <w:rPr>
          <w:color w:val="0070C0"/>
          <w:sz w:val="16"/>
          <w:szCs w:val="16"/>
        </w:rPr>
        <w:t>«Взводы, формированием которых я заве</w:t>
      </w:r>
      <w:r w:rsidRPr="00405303">
        <w:rPr>
          <w:color w:val="0070C0"/>
          <w:sz w:val="16"/>
          <w:szCs w:val="16"/>
        </w:rPr>
        <w:softHyphen/>
        <w:t xml:space="preserve">довал, (с 13-го по 20-й) получили </w:t>
      </w:r>
      <w:proofErr w:type="gramStart"/>
      <w:r w:rsidRPr="00405303">
        <w:rPr>
          <w:color w:val="0070C0"/>
          <w:sz w:val="16"/>
          <w:szCs w:val="16"/>
        </w:rPr>
        <w:t>броневые автомобили</w:t>
      </w:r>
      <w:proofErr w:type="gramEnd"/>
      <w:r w:rsidRPr="00405303">
        <w:rPr>
          <w:color w:val="0070C0"/>
          <w:sz w:val="16"/>
          <w:szCs w:val="16"/>
        </w:rPr>
        <w:t xml:space="preserve"> несколько улучшенные по срав</w:t>
      </w:r>
      <w:r w:rsidRPr="00405303">
        <w:rPr>
          <w:color w:val="0070C0"/>
          <w:sz w:val="16"/>
          <w:szCs w:val="16"/>
        </w:rPr>
        <w:softHyphen/>
        <w:t>нению с теми, которые имелись во взво</w:t>
      </w:r>
      <w:r w:rsidRPr="00405303">
        <w:rPr>
          <w:color w:val="0070C0"/>
          <w:sz w:val="16"/>
          <w:szCs w:val="16"/>
        </w:rPr>
        <w:softHyphen/>
        <w:t>дах первого формирования, то есть, начиная с 5-го. Улучшение это состояло:</w:t>
      </w:r>
    </w:p>
    <w:p w14:paraId="40DC8B80" w14:textId="77777777" w:rsidR="00A474F8" w:rsidRPr="00405303" w:rsidRDefault="00A474F8" w:rsidP="00A474F8">
      <w:pPr>
        <w:widowControl w:val="0"/>
        <w:tabs>
          <w:tab w:val="left" w:pos="438"/>
        </w:tabs>
        <w:jc w:val="both"/>
        <w:rPr>
          <w:color w:val="0070C0"/>
          <w:sz w:val="16"/>
          <w:szCs w:val="16"/>
        </w:rPr>
      </w:pPr>
      <w:r w:rsidRPr="00405303">
        <w:rPr>
          <w:color w:val="0070C0"/>
          <w:sz w:val="16"/>
          <w:szCs w:val="16"/>
        </w:rPr>
        <w:t>1. В постановке более толстой брони, то есть вместо бывшей ранее 4-5 мм, с коей и пошли в бой первые взвода, была установ</w:t>
      </w:r>
      <w:r w:rsidRPr="00405303">
        <w:rPr>
          <w:color w:val="0070C0"/>
          <w:sz w:val="16"/>
          <w:szCs w:val="16"/>
        </w:rPr>
        <w:softHyphen/>
        <w:t>лена броня в 6-7 мм;</w:t>
      </w:r>
    </w:p>
    <w:p w14:paraId="67E081A4" w14:textId="77777777" w:rsidR="00A474F8" w:rsidRPr="00405303" w:rsidRDefault="00A474F8" w:rsidP="00A474F8">
      <w:pPr>
        <w:widowControl w:val="0"/>
        <w:tabs>
          <w:tab w:val="left" w:pos="433"/>
        </w:tabs>
        <w:jc w:val="both"/>
        <w:rPr>
          <w:color w:val="0070C0"/>
          <w:sz w:val="16"/>
          <w:szCs w:val="16"/>
        </w:rPr>
      </w:pPr>
      <w:r w:rsidRPr="00405303">
        <w:rPr>
          <w:color w:val="0070C0"/>
          <w:sz w:val="16"/>
          <w:szCs w:val="16"/>
        </w:rPr>
        <w:t>2. Постановке особой броневой планки против латунной петли, которой скрепля</w:t>
      </w:r>
      <w:r w:rsidRPr="00405303">
        <w:rPr>
          <w:color w:val="0070C0"/>
          <w:sz w:val="16"/>
          <w:szCs w:val="16"/>
        </w:rPr>
        <w:softHyphen/>
        <w:t>ет откидную дверцу перед сиденьем шофера и офицера с броней автомобиля;</w:t>
      </w:r>
    </w:p>
    <w:p w14:paraId="2ADA701C" w14:textId="77777777" w:rsidR="00A474F8" w:rsidRPr="00405303" w:rsidRDefault="00A474F8" w:rsidP="00A474F8">
      <w:pPr>
        <w:widowControl w:val="0"/>
        <w:tabs>
          <w:tab w:val="left" w:pos="447"/>
        </w:tabs>
        <w:jc w:val="both"/>
        <w:rPr>
          <w:color w:val="0070C0"/>
          <w:sz w:val="16"/>
          <w:szCs w:val="16"/>
        </w:rPr>
      </w:pPr>
      <w:r w:rsidRPr="00405303">
        <w:rPr>
          <w:color w:val="0070C0"/>
          <w:sz w:val="16"/>
          <w:szCs w:val="16"/>
        </w:rPr>
        <w:t>3. Были сделаны броневые укрытия для ко</w:t>
      </w:r>
      <w:r w:rsidRPr="00405303">
        <w:rPr>
          <w:color w:val="0070C0"/>
          <w:sz w:val="16"/>
          <w:szCs w:val="16"/>
        </w:rPr>
        <w:softHyphen/>
        <w:t>жуха пулемета;</w:t>
      </w:r>
    </w:p>
    <w:p w14:paraId="190B9B7F" w14:textId="77777777" w:rsidR="00A474F8" w:rsidRPr="00405303" w:rsidRDefault="00A474F8" w:rsidP="00A474F8">
      <w:pPr>
        <w:widowControl w:val="0"/>
        <w:tabs>
          <w:tab w:val="left" w:pos="428"/>
        </w:tabs>
        <w:jc w:val="both"/>
        <w:rPr>
          <w:color w:val="0070C0"/>
          <w:sz w:val="16"/>
          <w:szCs w:val="16"/>
        </w:rPr>
      </w:pPr>
      <w:r w:rsidRPr="00405303">
        <w:rPr>
          <w:color w:val="0070C0"/>
          <w:sz w:val="16"/>
          <w:szCs w:val="16"/>
        </w:rPr>
        <w:t>4. Сделано броневое укрытие для задней оси автомобиля;</w:t>
      </w:r>
    </w:p>
    <w:p w14:paraId="6D5908E3" w14:textId="77777777" w:rsidR="00A474F8" w:rsidRPr="00405303" w:rsidRDefault="00A474F8" w:rsidP="00A474F8">
      <w:pPr>
        <w:widowControl w:val="0"/>
        <w:tabs>
          <w:tab w:val="left" w:pos="460"/>
        </w:tabs>
        <w:jc w:val="both"/>
        <w:rPr>
          <w:color w:val="0070C0"/>
          <w:sz w:val="16"/>
          <w:szCs w:val="16"/>
        </w:rPr>
      </w:pPr>
      <w:r w:rsidRPr="00405303">
        <w:rPr>
          <w:color w:val="0070C0"/>
          <w:sz w:val="16"/>
          <w:szCs w:val="16"/>
        </w:rPr>
        <w:t>5. Произведено усиление рессор.</w:t>
      </w:r>
    </w:p>
    <w:p w14:paraId="0BB6DDAF" w14:textId="77777777" w:rsidR="00A474F8" w:rsidRPr="00405303" w:rsidRDefault="00A474F8" w:rsidP="00A474F8">
      <w:pPr>
        <w:jc w:val="both"/>
        <w:rPr>
          <w:color w:val="0070C0"/>
          <w:sz w:val="16"/>
          <w:szCs w:val="16"/>
        </w:rPr>
      </w:pPr>
      <w:r w:rsidRPr="00405303">
        <w:rPr>
          <w:color w:val="0070C0"/>
          <w:sz w:val="16"/>
          <w:szCs w:val="16"/>
        </w:rPr>
        <w:t>Подобные улучшения, как мне кажется, были вызваны опытом работы автомобилей на фронте».</w:t>
      </w:r>
    </w:p>
    <w:p w14:paraId="016347BD" w14:textId="77777777" w:rsidR="00A474F8" w:rsidRPr="00405303" w:rsidRDefault="00A474F8" w:rsidP="00A474F8">
      <w:pPr>
        <w:jc w:val="both"/>
        <w:rPr>
          <w:color w:val="0070C0"/>
          <w:sz w:val="16"/>
          <w:szCs w:val="16"/>
        </w:rPr>
      </w:pPr>
      <w:r w:rsidRPr="00405303">
        <w:rPr>
          <w:color w:val="0070C0"/>
          <w:sz w:val="16"/>
          <w:szCs w:val="16"/>
        </w:rPr>
        <w:t>Следует сказать, что при перебронировке несколько менялась конструкция передней части бронекорпуса. Так, вместо нижнего от</w:t>
      </w:r>
      <w:r w:rsidRPr="00405303">
        <w:rPr>
          <w:color w:val="0070C0"/>
          <w:sz w:val="16"/>
          <w:szCs w:val="16"/>
        </w:rPr>
        <w:softHyphen/>
        <w:t>кидного щита перед водителем устанавливался неподвижный наклонный бронелист, а в верхнем откидном прорезались смотровые щели с бронезаслонками (25008).</w:t>
      </w:r>
    </w:p>
    <w:p w14:paraId="58C3C3DF" w14:textId="77777777" w:rsidR="00A474F8" w:rsidRPr="00405303" w:rsidRDefault="00A474F8" w:rsidP="00A474F8">
      <w:pPr>
        <w:jc w:val="both"/>
        <w:rPr>
          <w:color w:val="0070C0"/>
          <w:sz w:val="16"/>
          <w:szCs w:val="16"/>
        </w:rPr>
      </w:pPr>
    </w:p>
    <w:p w14:paraId="2D390915"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001E47B2" w14:textId="77777777" w:rsidR="004B4E35" w:rsidRPr="00405303" w:rsidRDefault="004B4E35" w:rsidP="00C15251">
      <w:pPr>
        <w:jc w:val="both"/>
        <w:rPr>
          <w:bCs/>
          <w:i/>
          <w:color w:val="002060"/>
          <w:sz w:val="16"/>
          <w:szCs w:val="16"/>
        </w:rPr>
      </w:pPr>
    </w:p>
    <w:p w14:paraId="24B11BB5" w14:textId="77777777" w:rsidR="004B4E35" w:rsidRPr="00405303" w:rsidRDefault="009E6F82" w:rsidP="00C15251">
      <w:pPr>
        <w:jc w:val="both"/>
        <w:rPr>
          <w:bCs/>
          <w:color w:val="002060"/>
          <w:sz w:val="16"/>
          <w:szCs w:val="16"/>
        </w:rPr>
      </w:pPr>
      <w:r w:rsidRPr="00405303">
        <w:rPr>
          <w:bCs/>
          <w:color w:val="002060"/>
          <w:sz w:val="16"/>
          <w:szCs w:val="16"/>
        </w:rPr>
        <w:t>10 (23) сентября 1915 года начальник Штаба Верховного главнокомандующего приказом по действующей армии создал единое Управление заведующего авиацией и воздухоплаванием, которое 3 декабря следующего года реорганизовалось в Управление полевого генерал-инспектора Военно-воздушного флота при Верховном главнокомандующем. В апреле 1917 года это управление было переформировано в Полевое управление авиации и воздухоплавания (ПУАВ) при Штабе Верховного главнокомандующего (11168).</w:t>
      </w:r>
    </w:p>
    <w:p w14:paraId="3980B065" w14:textId="77777777" w:rsidR="004B4E35" w:rsidRPr="00405303" w:rsidRDefault="004B4E35" w:rsidP="00C15251">
      <w:pPr>
        <w:jc w:val="both"/>
        <w:rPr>
          <w:bCs/>
          <w:color w:val="002060"/>
          <w:sz w:val="16"/>
          <w:szCs w:val="16"/>
        </w:rPr>
      </w:pPr>
    </w:p>
    <w:p w14:paraId="3C6B8EEC" w14:textId="77777777" w:rsidR="00063984" w:rsidRPr="00405303" w:rsidRDefault="00063984" w:rsidP="00C15251">
      <w:pPr>
        <w:jc w:val="both"/>
        <w:rPr>
          <w:bCs/>
          <w:color w:val="002060"/>
          <w:sz w:val="16"/>
          <w:szCs w:val="16"/>
        </w:rPr>
      </w:pPr>
      <w:r w:rsidRPr="00405303">
        <w:rPr>
          <w:bCs/>
          <w:color w:val="002060"/>
          <w:sz w:val="16"/>
          <w:szCs w:val="16"/>
        </w:rPr>
        <w:t>10 (23) сентября 1915 г. приказом начальника штаба ВГК № 45 должность Заве</w:t>
      </w:r>
      <w:r w:rsidRPr="00405303">
        <w:rPr>
          <w:bCs/>
          <w:color w:val="002060"/>
          <w:sz w:val="16"/>
          <w:szCs w:val="16"/>
        </w:rPr>
        <w:softHyphen/>
        <w:t>дующего организацией авиационного дела в действующей армии переи</w:t>
      </w:r>
      <w:r w:rsidRPr="00405303">
        <w:rPr>
          <w:bCs/>
          <w:color w:val="002060"/>
          <w:sz w:val="16"/>
          <w:szCs w:val="16"/>
        </w:rPr>
        <w:softHyphen/>
        <w:t>менована в заведующего авиацией и воздухоплаванием в действующей армии. При нем создавалось специальное Управление заведующего авиа</w:t>
      </w:r>
      <w:r w:rsidRPr="00405303">
        <w:rPr>
          <w:bCs/>
          <w:color w:val="002060"/>
          <w:sz w:val="16"/>
          <w:szCs w:val="16"/>
        </w:rPr>
        <w:softHyphen/>
        <w:t>цией и воздухоплаванием в действующей армии /Авиаканц/.</w:t>
      </w:r>
    </w:p>
    <w:p w14:paraId="0556B779" w14:textId="77777777" w:rsidR="00063984" w:rsidRPr="00405303" w:rsidRDefault="00063984" w:rsidP="00C15251">
      <w:pPr>
        <w:jc w:val="both"/>
        <w:rPr>
          <w:bCs/>
          <w:color w:val="002060"/>
          <w:sz w:val="16"/>
          <w:szCs w:val="16"/>
        </w:rPr>
      </w:pPr>
      <w:r w:rsidRPr="00405303">
        <w:rPr>
          <w:bCs/>
          <w:color w:val="002060"/>
          <w:sz w:val="16"/>
          <w:szCs w:val="16"/>
        </w:rPr>
        <w:t>/</w:t>
      </w:r>
      <w:proofErr w:type="gramStart"/>
      <w:r w:rsidRPr="00405303">
        <w:rPr>
          <w:bCs/>
          <w:color w:val="002060"/>
          <w:sz w:val="16"/>
          <w:szCs w:val="16"/>
        </w:rPr>
        <w:t>ЦГВИА,ф</w:t>
      </w:r>
      <w:proofErr w:type="gramEnd"/>
      <w:r w:rsidRPr="00405303">
        <w:rPr>
          <w:bCs/>
          <w:color w:val="002060"/>
          <w:sz w:val="16"/>
          <w:szCs w:val="16"/>
        </w:rPr>
        <w:t xml:space="preserve"> . 2003, оп. 1, Д. 1224/ (23320).</w:t>
      </w:r>
    </w:p>
    <w:p w14:paraId="6AC95839" w14:textId="77777777" w:rsidR="00063984" w:rsidRPr="00405303" w:rsidRDefault="00063984" w:rsidP="00C15251">
      <w:pPr>
        <w:jc w:val="both"/>
        <w:rPr>
          <w:bCs/>
          <w:color w:val="002060"/>
          <w:sz w:val="16"/>
          <w:szCs w:val="16"/>
        </w:rPr>
      </w:pPr>
    </w:p>
    <w:p w14:paraId="59A6A762" w14:textId="07DB03F6" w:rsidR="007538DE" w:rsidRPr="00405303" w:rsidRDefault="007538DE" w:rsidP="00C15251">
      <w:pPr>
        <w:jc w:val="both"/>
        <w:rPr>
          <w:bCs/>
          <w:color w:val="002060"/>
          <w:sz w:val="16"/>
          <w:szCs w:val="16"/>
        </w:rPr>
      </w:pPr>
      <w:r w:rsidRPr="00405303">
        <w:rPr>
          <w:bCs/>
          <w:color w:val="002060"/>
          <w:sz w:val="16"/>
          <w:szCs w:val="16"/>
        </w:rPr>
        <w:t>10 (23) сентября 1915 г. был сбит германский самолет, пытавшийся атаковать на Двинском направлении русский санитарный поезд (23405).</w:t>
      </w:r>
    </w:p>
    <w:p w14:paraId="69704E10" w14:textId="77777777" w:rsidR="007538DE" w:rsidRPr="00405303" w:rsidRDefault="007538DE" w:rsidP="00C15251">
      <w:pPr>
        <w:jc w:val="both"/>
        <w:rPr>
          <w:bCs/>
          <w:color w:val="002060"/>
          <w:sz w:val="16"/>
          <w:szCs w:val="16"/>
          <w:lang w:bidi="ru-RU"/>
        </w:rPr>
      </w:pPr>
    </w:p>
    <w:p w14:paraId="146FB87F" w14:textId="70B71ABA" w:rsidR="007538DE" w:rsidRPr="00405303" w:rsidRDefault="007538DE" w:rsidP="00C15251">
      <w:pPr>
        <w:jc w:val="both"/>
        <w:rPr>
          <w:bCs/>
          <w:color w:val="002060"/>
          <w:sz w:val="16"/>
          <w:szCs w:val="16"/>
        </w:rPr>
      </w:pPr>
      <w:r w:rsidRPr="00405303">
        <w:rPr>
          <w:bCs/>
          <w:color w:val="002060"/>
          <w:sz w:val="16"/>
          <w:szCs w:val="16"/>
        </w:rPr>
        <w:t>10 (23) сентября 1915 г. утром над Вильной появился немецкий аэроплан, сбросивший две бомбы в районе городского вокзала (без видимого ущерба). Зенитный огонь и поднятие в воздух нашего дежурного самолета вынудили противника удалиться. Днем воздушный налет повторился. В результате брошенной бомбы с борта «Таубе» над центром города ранение получил случайный прохожий (мальчик). Только в первой декаде сентября в сектор огня 6-й батареи попало восемь вражеских летательных аппаратов [—].</w:t>
      </w:r>
    </w:p>
    <w:p w14:paraId="1D059D35" w14:textId="77777777" w:rsidR="007538DE" w:rsidRPr="00405303" w:rsidRDefault="007538DE" w:rsidP="00C15251">
      <w:pPr>
        <w:jc w:val="both"/>
        <w:rPr>
          <w:bCs/>
          <w:color w:val="002060"/>
          <w:sz w:val="16"/>
          <w:szCs w:val="16"/>
        </w:rPr>
      </w:pPr>
      <w:r w:rsidRPr="00405303">
        <w:rPr>
          <w:bCs/>
          <w:color w:val="002060"/>
          <w:sz w:val="16"/>
          <w:szCs w:val="16"/>
        </w:rPr>
        <w:t>Несмотря на ожесточенное сопротивление, в ходе Виленской оборонительной операции (22.08—2.10.1915 г.) правое крыло 10-й русской армии было оттеснено за р. Вилия, где имелись наши основные резервы. Создавшееся положение заставило Ставку ВГК отвести войска за линию фронта и оставить 17 сентября г. Вильна (23405).</w:t>
      </w:r>
    </w:p>
    <w:p w14:paraId="7B6CAF26" w14:textId="77777777" w:rsidR="007538DE" w:rsidRPr="00405303" w:rsidRDefault="007538DE" w:rsidP="00C15251">
      <w:pPr>
        <w:jc w:val="both"/>
        <w:rPr>
          <w:bCs/>
          <w:color w:val="002060"/>
          <w:sz w:val="16"/>
          <w:szCs w:val="16"/>
        </w:rPr>
      </w:pPr>
    </w:p>
    <w:p w14:paraId="13884E27" w14:textId="2A220CDC" w:rsidR="007538DE" w:rsidRPr="00405303" w:rsidRDefault="007538DE" w:rsidP="00C15251">
      <w:pPr>
        <w:jc w:val="both"/>
        <w:rPr>
          <w:bCs/>
          <w:color w:val="002060"/>
          <w:sz w:val="16"/>
          <w:szCs w:val="16"/>
        </w:rPr>
      </w:pPr>
      <w:bookmarkStart w:id="234" w:name="bookmark256"/>
      <w:bookmarkStart w:id="235" w:name="bookmark257"/>
      <w:r w:rsidRPr="00405303">
        <w:rPr>
          <w:bCs/>
          <w:color w:val="002060"/>
          <w:sz w:val="16"/>
          <w:szCs w:val="16"/>
        </w:rPr>
        <w:t>10 (23) сентября 1915 г. рано утром над Балтийским портом пролетел цеппелин, сбросивший на его объекты несколько бомб. 23 сентября в районе Рижского залива отмечены полеты вражеских гидроаэропланов. Последних наши морские летчики отогнали в сторону моря (23405).</w:t>
      </w:r>
      <w:bookmarkEnd w:id="234"/>
      <w:bookmarkEnd w:id="235"/>
    </w:p>
    <w:p w14:paraId="6F2ADFB1" w14:textId="77777777" w:rsidR="007538DE" w:rsidRPr="00405303" w:rsidRDefault="007538DE" w:rsidP="00C15251">
      <w:pPr>
        <w:jc w:val="both"/>
        <w:rPr>
          <w:bCs/>
          <w:color w:val="002060"/>
          <w:sz w:val="16"/>
          <w:szCs w:val="16"/>
          <w:lang w:bidi="ru-RU"/>
        </w:rPr>
      </w:pPr>
    </w:p>
    <w:p w14:paraId="5AD48BF9" w14:textId="77777777" w:rsidR="007538DE" w:rsidRPr="00405303" w:rsidRDefault="007538DE" w:rsidP="00C15251">
      <w:pPr>
        <w:jc w:val="both"/>
        <w:rPr>
          <w:bCs/>
          <w:color w:val="002060"/>
          <w:sz w:val="16"/>
          <w:szCs w:val="16"/>
        </w:rPr>
      </w:pPr>
      <w:r w:rsidRPr="00405303">
        <w:rPr>
          <w:bCs/>
          <w:color w:val="002060"/>
          <w:sz w:val="16"/>
          <w:szCs w:val="16"/>
        </w:rPr>
        <w:t>10 (23) сентября 1916 г. над Рижским заливом возвращаясь с боевого задания корабль «Илья Муромец» В-16 (ИМ В-16 № 162, борт № VI) экз. № 16, стратегический разведчик, тяжелый бомбардировщик был атакован неприятельскими самолетами. Весь экипаж, включая командира С.Н. Головина был ранен, корабль получил 293 пробоины, но смог вернуться на аэродром и совершить нормальную посадку.</w:t>
      </w:r>
    </w:p>
    <w:p w14:paraId="270AC745" w14:textId="77777777" w:rsidR="007538DE" w:rsidRPr="00405303" w:rsidRDefault="007538DE" w:rsidP="00C15251">
      <w:pPr>
        <w:jc w:val="both"/>
        <w:rPr>
          <w:bCs/>
          <w:color w:val="002060"/>
          <w:sz w:val="16"/>
          <w:szCs w:val="16"/>
        </w:rPr>
      </w:pPr>
      <w:r w:rsidRPr="00405303">
        <w:rPr>
          <w:bCs/>
          <w:color w:val="002060"/>
          <w:sz w:val="16"/>
          <w:szCs w:val="16"/>
        </w:rPr>
        <w:t>В ноябре 1916 г. разбит (23563).</w:t>
      </w:r>
    </w:p>
    <w:p w14:paraId="638B668D" w14:textId="77777777" w:rsidR="007538DE" w:rsidRPr="00405303" w:rsidRDefault="007538DE" w:rsidP="00C15251">
      <w:pPr>
        <w:jc w:val="both"/>
        <w:rPr>
          <w:bCs/>
          <w:color w:val="002060"/>
          <w:sz w:val="16"/>
          <w:szCs w:val="16"/>
          <w:lang w:bidi="ru-RU"/>
        </w:rPr>
      </w:pPr>
    </w:p>
    <w:p w14:paraId="75EA09CF" w14:textId="5F030FC0" w:rsidR="007538DE" w:rsidRPr="00405303" w:rsidRDefault="007538DE" w:rsidP="00C15251">
      <w:pPr>
        <w:jc w:val="both"/>
        <w:rPr>
          <w:bCs/>
          <w:color w:val="002060"/>
          <w:sz w:val="16"/>
          <w:szCs w:val="16"/>
        </w:rPr>
      </w:pPr>
      <w:r w:rsidRPr="00405303">
        <w:rPr>
          <w:bCs/>
          <w:color w:val="002060"/>
          <w:sz w:val="16"/>
          <w:szCs w:val="16"/>
        </w:rPr>
        <w:t>10 (23) сентября 1915 г. германский аэроплан сбросил три бомбы на поезд в районе ст. Олай (вблизи г. Рига). На следующий день объектом воздушного нападения стала ст. Царский Лес (район г. Рига). 12 сентября противник продолжал активно работать по столице Лифляндской губернии. Утром над Мюль-грабеном (окрестности г. Рига) появился немецкий аэроплан типа «Таубе», сбросивший пять бомб (разорвалась лишь одна). При этом одна из бомб упала в р. Западная Двина.</w:t>
      </w:r>
    </w:p>
    <w:p w14:paraId="2E873B31" w14:textId="77777777" w:rsidR="007538DE" w:rsidRPr="00405303" w:rsidRDefault="007538DE" w:rsidP="00C15251">
      <w:pPr>
        <w:jc w:val="both"/>
        <w:rPr>
          <w:bCs/>
          <w:color w:val="002060"/>
          <w:sz w:val="16"/>
          <w:szCs w:val="16"/>
        </w:rPr>
      </w:pPr>
      <w:bookmarkStart w:id="236" w:name="bookmark266"/>
      <w:bookmarkStart w:id="237" w:name="bookmark267"/>
      <w:bookmarkStart w:id="238" w:name="bookmark268"/>
      <w:r w:rsidRPr="00405303">
        <w:rPr>
          <w:bCs/>
          <w:color w:val="002060"/>
          <w:sz w:val="16"/>
          <w:szCs w:val="16"/>
        </w:rPr>
        <w:t>Другим местом бомбардировки стало имением Катлекане. Вечером очередной неприятельский летательный аппарат пытался прорваться к городу, но, наткнувшись на плотную зенитную завесу, был вынужден повернуть назад. 15 сентября Рига вновь подверглась бомбардировке с воздуха. В этот период активизировала свою деятельность вражеская морская авиация. В середине сентября группа германских гидроаэропланов (6 аппаратов) осуществила бомбометание объектов в Рижском заливе и Усть-Двинской крепости. Ответными действиями нашей артиллерии в районе Микилевшизна был подбит неприятельский самолет, упавший в расположении русских войск[—]. 23 сентября немецкий аэроплан бросил на г. Шлок (Слока, 25 км западнее г. Рига) несколько бомб. В результате обстрела нашими войсками он получил серьезные повреждения и быстро опустился за линией фронта. Одновременно русские гидроаэропланы сорвали попытку неприятельской гидроавиации осуществить бомбардировку объектов в Рижском заливе (23405).</w:t>
      </w:r>
      <w:bookmarkEnd w:id="236"/>
      <w:bookmarkEnd w:id="237"/>
      <w:bookmarkEnd w:id="238"/>
    </w:p>
    <w:p w14:paraId="14F69D59" w14:textId="77777777" w:rsidR="007538DE" w:rsidRPr="00405303" w:rsidRDefault="007538DE" w:rsidP="00C15251">
      <w:pPr>
        <w:jc w:val="both"/>
        <w:rPr>
          <w:bCs/>
          <w:color w:val="002060"/>
          <w:sz w:val="16"/>
          <w:szCs w:val="16"/>
          <w:lang w:bidi="ru-RU"/>
        </w:rPr>
      </w:pPr>
    </w:p>
    <w:p w14:paraId="547B82EC" w14:textId="77777777" w:rsidR="00A474F8" w:rsidRPr="00405303" w:rsidRDefault="00A474F8" w:rsidP="00A474F8">
      <w:pPr>
        <w:jc w:val="both"/>
        <w:rPr>
          <w:color w:val="0070C0"/>
          <w:sz w:val="16"/>
          <w:szCs w:val="16"/>
        </w:rPr>
      </w:pPr>
      <w:r w:rsidRPr="00405303">
        <w:rPr>
          <w:rStyle w:val="aa"/>
          <w:rFonts w:ascii="Times New Roman" w:hAnsi="Times New Roman"/>
          <w:color w:val="0070C0"/>
          <w:spacing w:val="0"/>
          <w:sz w:val="16"/>
          <w:szCs w:val="16"/>
        </w:rPr>
        <w:t>10 (23) сентября 1915 г. немецкий аэроплан бросил на г. Шлок (Слока, 25 км западнее г. Рига) несколько бомб. В результате обстрела нашими войсками он получил серьезные повреждения и быстро опустился за линией фронта. Одновременно русские гидроаэропланы сорвали попытку неприятельской гидроавиации осуществить бомбардировку объектов в Рижском заливе (25135).</w:t>
      </w:r>
    </w:p>
    <w:p w14:paraId="215A8C2D" w14:textId="77777777" w:rsidR="00A474F8" w:rsidRPr="00405303" w:rsidRDefault="00A474F8" w:rsidP="00A474F8">
      <w:pPr>
        <w:jc w:val="both"/>
        <w:rPr>
          <w:color w:val="0070C0"/>
          <w:sz w:val="16"/>
          <w:szCs w:val="16"/>
        </w:rPr>
      </w:pPr>
    </w:p>
    <w:p w14:paraId="04E91614" w14:textId="253CCB8F" w:rsidR="00A474F8" w:rsidRPr="00405303" w:rsidRDefault="00A474F8" w:rsidP="00A474F8">
      <w:pPr>
        <w:jc w:val="both"/>
        <w:rPr>
          <w:bCs/>
          <w:i/>
          <w:color w:val="002060"/>
          <w:sz w:val="16"/>
          <w:szCs w:val="16"/>
        </w:rPr>
      </w:pPr>
      <w:r w:rsidRPr="00405303">
        <w:rPr>
          <w:bCs/>
          <w:i/>
          <w:color w:val="002060"/>
          <w:sz w:val="16"/>
          <w:szCs w:val="16"/>
        </w:rPr>
        <w:t>Морская авиация:</w:t>
      </w:r>
    </w:p>
    <w:p w14:paraId="7D00A43A" w14:textId="77777777" w:rsidR="00A474F8" w:rsidRPr="00405303" w:rsidRDefault="00A474F8" w:rsidP="00A474F8">
      <w:pPr>
        <w:jc w:val="both"/>
        <w:rPr>
          <w:bCs/>
          <w:i/>
          <w:color w:val="002060"/>
          <w:sz w:val="16"/>
          <w:szCs w:val="16"/>
        </w:rPr>
      </w:pPr>
    </w:p>
    <w:p w14:paraId="167D0A0F" w14:textId="77777777" w:rsidR="00A474F8" w:rsidRPr="00405303" w:rsidRDefault="00A474F8" w:rsidP="00A474F8">
      <w:pPr>
        <w:jc w:val="both"/>
        <w:rPr>
          <w:color w:val="0070C0"/>
          <w:sz w:val="16"/>
          <w:szCs w:val="16"/>
        </w:rPr>
      </w:pPr>
      <w:r w:rsidRPr="00405303">
        <w:rPr>
          <w:rStyle w:val="aa"/>
          <w:rFonts w:ascii="Times New Roman" w:hAnsi="Times New Roman"/>
          <w:color w:val="0070C0"/>
          <w:spacing w:val="0"/>
          <w:sz w:val="16"/>
          <w:szCs w:val="16"/>
        </w:rPr>
        <w:t>10 (23) сентября 1915 г. в районе Рижского залива отмечены полеты вражеских гидроаэропланов. Последних наши морские летчики отогнали в сторону моря (25135).</w:t>
      </w:r>
    </w:p>
    <w:p w14:paraId="55F79C44" w14:textId="77777777" w:rsidR="00A474F8" w:rsidRPr="00405303" w:rsidRDefault="00A474F8" w:rsidP="00A474F8">
      <w:pPr>
        <w:jc w:val="both"/>
        <w:rPr>
          <w:color w:val="0070C0"/>
          <w:sz w:val="16"/>
          <w:szCs w:val="16"/>
        </w:rPr>
      </w:pPr>
    </w:p>
    <w:p w14:paraId="18FBD90D"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Франции:</w:t>
      </w:r>
    </w:p>
    <w:p w14:paraId="10C290B5" w14:textId="77777777" w:rsidR="004B4E35" w:rsidRPr="00405303" w:rsidRDefault="004B4E35" w:rsidP="00C15251">
      <w:pPr>
        <w:jc w:val="both"/>
        <w:rPr>
          <w:bCs/>
          <w:i/>
          <w:color w:val="002060"/>
          <w:sz w:val="16"/>
          <w:szCs w:val="16"/>
        </w:rPr>
      </w:pPr>
    </w:p>
    <w:p w14:paraId="13362016" w14:textId="429EA857" w:rsidR="004B4E35" w:rsidRPr="00405303" w:rsidRDefault="009E6F82" w:rsidP="00C15251">
      <w:pPr>
        <w:jc w:val="both"/>
        <w:rPr>
          <w:bCs/>
          <w:color w:val="002060"/>
          <w:sz w:val="16"/>
          <w:szCs w:val="16"/>
        </w:rPr>
      </w:pPr>
      <w:r w:rsidRPr="00405303">
        <w:rPr>
          <w:bCs/>
          <w:color w:val="002060"/>
          <w:sz w:val="16"/>
          <w:szCs w:val="16"/>
        </w:rPr>
        <w:lastRenderedPageBreak/>
        <w:t xml:space="preserve">10 (23) сентября </w:t>
      </w:r>
      <w:r w:rsidR="00C2199C" w:rsidRPr="00405303">
        <w:rPr>
          <w:bCs/>
          <w:color w:val="002060"/>
          <w:sz w:val="16"/>
          <w:szCs w:val="16"/>
        </w:rPr>
        <w:t xml:space="preserve">1915 г. </w:t>
      </w:r>
      <w:r w:rsidRPr="00405303">
        <w:rPr>
          <w:bCs/>
          <w:color w:val="002060"/>
          <w:sz w:val="16"/>
          <w:szCs w:val="16"/>
        </w:rPr>
        <w:t xml:space="preserve">германский снаряд прошел насквозь через газовый баллон, и дирижабль </w:t>
      </w:r>
      <w:r w:rsidR="00C2199C" w:rsidRPr="00405303">
        <w:rPr>
          <w:bCs/>
          <w:color w:val="002060"/>
          <w:sz w:val="16"/>
          <w:szCs w:val="16"/>
        </w:rPr>
        <w:t xml:space="preserve">«Коммандант Куттель» </w:t>
      </w:r>
      <w:r w:rsidRPr="00405303">
        <w:rPr>
          <w:bCs/>
          <w:color w:val="002060"/>
          <w:sz w:val="16"/>
          <w:szCs w:val="16"/>
        </w:rPr>
        <w:t>упал в лес, экипаж остался жив. Командиром этого корабля был известный воздухоплаватель граф де ля Во (11324).</w:t>
      </w:r>
    </w:p>
    <w:p w14:paraId="1E79A58A" w14:textId="77777777" w:rsidR="004B4E35" w:rsidRPr="00405303" w:rsidRDefault="004B4E35" w:rsidP="00C15251">
      <w:pPr>
        <w:shd w:val="clear" w:color="auto" w:fill="FFFFFF"/>
        <w:jc w:val="both"/>
        <w:rPr>
          <w:bCs/>
          <w:color w:val="002060"/>
          <w:sz w:val="16"/>
          <w:szCs w:val="16"/>
        </w:rPr>
      </w:pPr>
    </w:p>
    <w:p w14:paraId="3BD065CA" w14:textId="6BB1C197" w:rsidR="004B4E35" w:rsidRPr="00405303" w:rsidRDefault="009E6F82" w:rsidP="00C15251">
      <w:pPr>
        <w:jc w:val="both"/>
        <w:rPr>
          <w:bCs/>
          <w:color w:val="002060"/>
          <w:sz w:val="16"/>
          <w:szCs w:val="16"/>
        </w:rPr>
      </w:pPr>
      <w:r w:rsidRPr="00405303">
        <w:rPr>
          <w:bCs/>
          <w:color w:val="002060"/>
          <w:sz w:val="16"/>
          <w:szCs w:val="16"/>
        </w:rPr>
        <w:t>10 (23) сентября французский военный летчик Гийнемер впервые отправляется на спецзадание.</w:t>
      </w:r>
    </w:p>
    <w:p w14:paraId="44DDDB3C" w14:textId="77777777" w:rsidR="004B4E35" w:rsidRPr="00405303" w:rsidRDefault="009E6F82" w:rsidP="00C15251">
      <w:pPr>
        <w:jc w:val="both"/>
        <w:rPr>
          <w:bCs/>
          <w:color w:val="002060"/>
          <w:sz w:val="16"/>
          <w:szCs w:val="16"/>
        </w:rPr>
      </w:pPr>
      <w:r w:rsidRPr="00405303">
        <w:rPr>
          <w:bCs/>
          <w:color w:val="002060"/>
          <w:sz w:val="16"/>
          <w:szCs w:val="16"/>
        </w:rPr>
        <w:t>Гийнемер: "Первое задание было довольно трудным, потому что погода была отвратительная. По дороге туда ветер был мне попутчиком, но при возвращении он задерживал меня, и я боялся, что никогда уже не доберусь до своих.</w:t>
      </w:r>
    </w:p>
    <w:p w14:paraId="0E30795F" w14:textId="77777777" w:rsidR="004B4E35" w:rsidRPr="00405303" w:rsidRDefault="009E6F82" w:rsidP="00C15251">
      <w:pPr>
        <w:jc w:val="both"/>
        <w:rPr>
          <w:bCs/>
          <w:color w:val="002060"/>
          <w:sz w:val="16"/>
          <w:szCs w:val="16"/>
        </w:rPr>
      </w:pPr>
      <w:r w:rsidRPr="00405303">
        <w:rPr>
          <w:bCs/>
          <w:color w:val="002060"/>
          <w:sz w:val="16"/>
          <w:szCs w:val="16"/>
        </w:rPr>
        <w:t>Понадобилось три часа для исполнения моей работы..."</w:t>
      </w:r>
    </w:p>
    <w:p w14:paraId="74ACEC8D" w14:textId="77777777" w:rsidR="004B4E35" w:rsidRPr="00405303" w:rsidRDefault="009E6F82" w:rsidP="00C15251">
      <w:pPr>
        <w:jc w:val="both"/>
        <w:rPr>
          <w:bCs/>
          <w:color w:val="002060"/>
          <w:sz w:val="16"/>
          <w:szCs w:val="16"/>
        </w:rPr>
      </w:pPr>
      <w:r w:rsidRPr="00405303">
        <w:rPr>
          <w:bCs/>
          <w:color w:val="002060"/>
          <w:sz w:val="16"/>
          <w:szCs w:val="16"/>
        </w:rPr>
        <w:t>Французскому командованию для успешного проведения операции в Шампани необходимы были сведения, поэтому в этот день на спецзадание отправился не один Гийнемер.</w:t>
      </w:r>
    </w:p>
    <w:p w14:paraId="28FBE286" w14:textId="77777777" w:rsidR="004B4E35" w:rsidRPr="00405303" w:rsidRDefault="009E6F82" w:rsidP="00C15251">
      <w:pPr>
        <w:jc w:val="both"/>
        <w:rPr>
          <w:bCs/>
          <w:color w:val="002060"/>
          <w:sz w:val="16"/>
          <w:szCs w:val="16"/>
        </w:rPr>
      </w:pPr>
      <w:r w:rsidRPr="00405303">
        <w:rPr>
          <w:bCs/>
          <w:color w:val="002060"/>
          <w:sz w:val="16"/>
          <w:szCs w:val="16"/>
        </w:rPr>
        <w:t>В 11 час. 30 мин. вылетели на спецзадание: лейтенант Квиллен с пассажиром капитаном Эврардом на "Ньюпо- ре", также на "Ньюпоре" капитан Буш с пассажиром капралом Гранджан, пилот Павлацци на "Моране-Солнье" с пассажиром сержантом Пьерром и пилот Пао на "Моране".</w:t>
      </w:r>
    </w:p>
    <w:p w14:paraId="622DE78C" w14:textId="77777777" w:rsidR="004B4E35" w:rsidRPr="00405303" w:rsidRDefault="009E6F82" w:rsidP="00C15251">
      <w:pPr>
        <w:jc w:val="both"/>
        <w:rPr>
          <w:bCs/>
          <w:color w:val="002060"/>
          <w:sz w:val="16"/>
          <w:szCs w:val="16"/>
        </w:rPr>
      </w:pPr>
      <w:r w:rsidRPr="00405303">
        <w:rPr>
          <w:bCs/>
          <w:color w:val="002060"/>
          <w:sz w:val="16"/>
          <w:szCs w:val="16"/>
        </w:rPr>
        <w:t>Из них только первая пара справилась с задачей благополучно. Павлацци с Пьерром погибли при высадке. Буш также погиб, а Гранджан смог скрыться и с большим риском для жизни пробрался через Антверпен в Голландию. На самолете Пао был пробит бензобак, поэтому о возвращении не могло быть и речи. Однако пилот дотянул до места высадки, дал возможность своему пассажиру скрыться и был взят в плен при уничтожении своего самолета. Пао долго скрывал на допросах истинную цель своего полета, отрицал наличие пассажира и в конце концов на следующий год смог бежать из плена. Пао был награжден орденом Почетного легиона (11999).</w:t>
      </w:r>
    </w:p>
    <w:p w14:paraId="1618E0E5" w14:textId="77777777" w:rsidR="004B4E35" w:rsidRPr="00405303" w:rsidRDefault="004B4E35" w:rsidP="00C15251">
      <w:pPr>
        <w:jc w:val="both"/>
        <w:rPr>
          <w:bCs/>
          <w:color w:val="002060"/>
          <w:sz w:val="16"/>
          <w:szCs w:val="16"/>
        </w:rPr>
      </w:pPr>
    </w:p>
    <w:p w14:paraId="53786E68"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4E3074FB" w14:textId="77777777" w:rsidR="004B4E35" w:rsidRPr="00405303" w:rsidRDefault="004B4E35" w:rsidP="00C15251">
      <w:pPr>
        <w:jc w:val="both"/>
        <w:rPr>
          <w:bCs/>
          <w:i/>
          <w:color w:val="002060"/>
          <w:sz w:val="16"/>
          <w:szCs w:val="16"/>
        </w:rPr>
      </w:pPr>
    </w:p>
    <w:p w14:paraId="34049BEC" w14:textId="3BC33648"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11 (24) сентября 1915 </w:t>
      </w:r>
      <w:r w:rsidR="00C2199C" w:rsidRPr="00405303">
        <w:rPr>
          <w:bCs/>
          <w:color w:val="002060"/>
          <w:sz w:val="16"/>
          <w:szCs w:val="16"/>
        </w:rPr>
        <w:t xml:space="preserve">Совет Министров по представлению морского министра </w:t>
      </w:r>
      <w:r w:rsidRPr="00405303">
        <w:rPr>
          <w:bCs/>
          <w:color w:val="002060"/>
          <w:sz w:val="16"/>
          <w:szCs w:val="16"/>
        </w:rPr>
        <w:t>выделил флоту чрезвычайный кредит в сумме 946 тысяч рублей на покупки авиатехники.</w:t>
      </w:r>
    </w:p>
    <w:p w14:paraId="34849D6E" w14:textId="77777777" w:rsidR="00C2199C" w:rsidRPr="00405303" w:rsidRDefault="00C2199C" w:rsidP="00C15251">
      <w:pPr>
        <w:shd w:val="clear" w:color="auto" w:fill="FFFFFF"/>
        <w:jc w:val="both"/>
        <w:rPr>
          <w:bCs/>
          <w:color w:val="002060"/>
          <w:sz w:val="16"/>
          <w:szCs w:val="16"/>
        </w:rPr>
      </w:pPr>
      <w:r w:rsidRPr="00405303">
        <w:rPr>
          <w:bCs/>
          <w:color w:val="002060"/>
          <w:sz w:val="16"/>
          <w:szCs w:val="16"/>
        </w:rPr>
        <w:t>Адмирал А. Эбергард был вынужден обратиться к великому князю Александру Михайловичу с ходатайством о срочном за</w:t>
      </w:r>
      <w:r w:rsidRPr="00405303">
        <w:rPr>
          <w:bCs/>
          <w:color w:val="002060"/>
          <w:sz w:val="16"/>
          <w:szCs w:val="16"/>
        </w:rPr>
        <w:softHyphen/>
        <w:t>казе во Франции 30 «Вуазенов» с запасными моторами, хотя ранее того просил вице-адмирала А. Русина через морского ат</w:t>
      </w:r>
      <w:r w:rsidRPr="00405303">
        <w:rPr>
          <w:bCs/>
          <w:color w:val="002060"/>
          <w:sz w:val="16"/>
          <w:szCs w:val="16"/>
        </w:rPr>
        <w:softHyphen/>
        <w:t>таше в Париже заказать 12 «Кодронов». Не дождавшись помо</w:t>
      </w:r>
      <w:r w:rsidRPr="00405303">
        <w:rPr>
          <w:bCs/>
          <w:color w:val="002060"/>
          <w:sz w:val="16"/>
          <w:szCs w:val="16"/>
        </w:rPr>
        <w:softHyphen/>
        <w:t>щи от них, командующий флотом доложил о создавшемся по</w:t>
      </w:r>
      <w:r w:rsidRPr="00405303">
        <w:rPr>
          <w:bCs/>
          <w:color w:val="002060"/>
          <w:sz w:val="16"/>
          <w:szCs w:val="16"/>
        </w:rPr>
        <w:softHyphen/>
        <w:t xml:space="preserve">ложении морскому министру. </w:t>
      </w:r>
    </w:p>
    <w:p w14:paraId="2FDE854D" w14:textId="136F6BBB" w:rsidR="004B4E35" w:rsidRPr="00405303" w:rsidRDefault="009E6F82" w:rsidP="00C15251">
      <w:pPr>
        <w:shd w:val="clear" w:color="auto" w:fill="FFFFFF"/>
        <w:jc w:val="both"/>
        <w:rPr>
          <w:bCs/>
          <w:color w:val="002060"/>
          <w:sz w:val="16"/>
          <w:szCs w:val="16"/>
        </w:rPr>
      </w:pPr>
      <w:r w:rsidRPr="00405303">
        <w:rPr>
          <w:bCs/>
          <w:color w:val="002060"/>
          <w:sz w:val="16"/>
          <w:szCs w:val="16"/>
        </w:rPr>
        <w:t>К этому времени в Севастополь были доставлены 48 боевых (30 «Кертисс-К», 6 - «Кертисс-Ф», 2 - «Моран», 10 - «М-5») и 5 учебных аппаратов. Тем не менее авиационная служба пе</w:t>
      </w:r>
      <w:r w:rsidRPr="00405303">
        <w:rPr>
          <w:bCs/>
          <w:color w:val="002060"/>
          <w:sz w:val="16"/>
          <w:szCs w:val="16"/>
        </w:rPr>
        <w:softHyphen/>
        <w:t>реживала серьезные затруднения. Так, например, для ремонта моторов требовалось до 500 обтюрирующих и 600 поршневых колец, но мастерские их давно не получали. Сообщая об этом в воздухоплавательное отделение Морского генерального шта</w:t>
      </w:r>
      <w:r w:rsidRPr="00405303">
        <w:rPr>
          <w:bCs/>
          <w:color w:val="002060"/>
          <w:sz w:val="16"/>
          <w:szCs w:val="16"/>
        </w:rPr>
        <w:softHyphen/>
        <w:t>ба, заведующий организацией авиационного дела во флоте и по совместительству начальник Северного воздушного района старший лейтенант И. Стаховский заметил, что американский пилот Джонсон отказался продолжать испытания доставлен</w:t>
      </w:r>
      <w:r w:rsidRPr="00405303">
        <w:rPr>
          <w:bCs/>
          <w:color w:val="002060"/>
          <w:sz w:val="16"/>
          <w:szCs w:val="16"/>
        </w:rPr>
        <w:softHyphen/>
        <w:t>ных аппаратов. «Необходимо в скорейшем времени выяснить вопрос с «Кертиссами», так как они лишь загромождают нас», -писал офицер и просил «поторопить» хозяев фирмы.</w:t>
      </w:r>
    </w:p>
    <w:p w14:paraId="06ACA94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Прибытие в Севастополь ее сдатчиков - инженеров Витме-ра и Уттера с семью механиками, проявившими заметные уси</w:t>
      </w:r>
      <w:r w:rsidRPr="00405303">
        <w:rPr>
          <w:bCs/>
          <w:color w:val="002060"/>
          <w:sz w:val="16"/>
          <w:szCs w:val="16"/>
        </w:rPr>
        <w:softHyphen/>
        <w:t>лия, к ожидаемому результату не привело. Ремонт летающих лодок затянулся надолго.</w:t>
      </w:r>
    </w:p>
    <w:p w14:paraId="28E6B52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 состоянию на 4 октября 1915 года авиация флота имела следующую боевую организацию: 1-й судовой отряд (на станции «Бухта Нахимова» и судне «Император Николай I») распола</w:t>
      </w:r>
      <w:r w:rsidRPr="00405303">
        <w:rPr>
          <w:bCs/>
          <w:color w:val="002060"/>
          <w:sz w:val="16"/>
          <w:szCs w:val="16"/>
        </w:rPr>
        <w:softHyphen/>
        <w:t>гал 7 «М-5»; 2-й судовой отряд (на той же станции и судне «Император Александр I») - 6 «М-5», из них один в сборке; 1-й береговой отряд (на станции «Круглая бухта) - 4 «М-5», 4 «Кертисс-К», 1 «Моран»; 2-й береговой отряд (там же) - 3 «Кертисс-К», из них один в ремонте; Одесский летучий отряд -2 «Кертисс-К». В секретном отчете начальника службы связи флота капитана 1 ранга В. Кедрина, ответственного за хозяйственное обеспечение авиации, подчеркивалось, что «</w:t>
      </w:r>
      <w:proofErr w:type="gramStart"/>
      <w:r w:rsidRPr="00405303">
        <w:rPr>
          <w:bCs/>
          <w:color w:val="002060"/>
          <w:sz w:val="16"/>
          <w:szCs w:val="16"/>
        </w:rPr>
        <w:t>по настоящему</w:t>
      </w:r>
      <w:proofErr w:type="gramEnd"/>
      <w:r w:rsidRPr="00405303">
        <w:rPr>
          <w:bCs/>
          <w:color w:val="002060"/>
          <w:sz w:val="16"/>
          <w:szCs w:val="16"/>
        </w:rPr>
        <w:t xml:space="preserve"> боевыми аэропланами можно считать 17 «М-5», но из-за дефектов моторов 3 из них не летают, у остальных моторы относительно надежны». Среди полученных «Кертиссов» пригодными к выполнению вспомогательных задач числились 9 аппаратов.</w:t>
      </w:r>
    </w:p>
    <w:p w14:paraId="35C0610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Летный персонал авиации состоял из 18 обер-офицеров, кон</w:t>
      </w:r>
      <w:r w:rsidRPr="00405303">
        <w:rPr>
          <w:bCs/>
          <w:color w:val="002060"/>
          <w:sz w:val="16"/>
          <w:szCs w:val="16"/>
        </w:rPr>
        <w:softHyphen/>
        <w:t>дуктора и 3 добровольно определившихся на службу матро</w:t>
      </w:r>
      <w:r w:rsidRPr="00405303">
        <w:rPr>
          <w:bCs/>
          <w:color w:val="002060"/>
          <w:sz w:val="16"/>
          <w:szCs w:val="16"/>
        </w:rPr>
        <w:softHyphen/>
        <w:t>сов. В авиаотрядах флота летную практику с целью сдачи эк</w:t>
      </w:r>
      <w:r w:rsidRPr="00405303">
        <w:rPr>
          <w:bCs/>
          <w:color w:val="002060"/>
          <w:sz w:val="16"/>
          <w:szCs w:val="16"/>
        </w:rPr>
        <w:softHyphen/>
        <w:t>замена на звание морского летчика проходили еще 6 офицеров, 2 кондуктора и 2 матроса. В Качинской школе Отдела воз</w:t>
      </w:r>
      <w:r w:rsidRPr="00405303">
        <w:rPr>
          <w:bCs/>
          <w:color w:val="002060"/>
          <w:sz w:val="16"/>
          <w:szCs w:val="16"/>
        </w:rPr>
        <w:softHyphen/>
        <w:t>душного флота обучались 6 морских офицеров, половина их были черноморцами (11283).</w:t>
      </w:r>
    </w:p>
    <w:p w14:paraId="30570470" w14:textId="77777777" w:rsidR="004B4E35" w:rsidRPr="00405303" w:rsidRDefault="004B4E35" w:rsidP="00C15251">
      <w:pPr>
        <w:shd w:val="clear" w:color="auto" w:fill="FFFFFF"/>
        <w:jc w:val="both"/>
        <w:rPr>
          <w:bCs/>
          <w:color w:val="002060"/>
          <w:sz w:val="16"/>
          <w:szCs w:val="16"/>
        </w:rPr>
      </w:pPr>
    </w:p>
    <w:p w14:paraId="15520DB0" w14:textId="77777777" w:rsidR="00F05CB8" w:rsidRPr="00405303" w:rsidRDefault="00F05CB8" w:rsidP="00C15251">
      <w:pPr>
        <w:jc w:val="both"/>
        <w:rPr>
          <w:bCs/>
          <w:i/>
          <w:color w:val="002060"/>
          <w:sz w:val="16"/>
          <w:szCs w:val="16"/>
        </w:rPr>
      </w:pPr>
      <w:r w:rsidRPr="00405303">
        <w:rPr>
          <w:bCs/>
          <w:i/>
          <w:color w:val="002060"/>
          <w:sz w:val="16"/>
          <w:szCs w:val="16"/>
        </w:rPr>
        <w:t>За рубежом:</w:t>
      </w:r>
    </w:p>
    <w:p w14:paraId="07E3D9FB" w14:textId="77777777" w:rsidR="00F05CB8" w:rsidRPr="00405303" w:rsidRDefault="00F05CB8" w:rsidP="00C15251">
      <w:pPr>
        <w:jc w:val="both"/>
        <w:rPr>
          <w:bCs/>
          <w:color w:val="002060"/>
          <w:sz w:val="16"/>
          <w:szCs w:val="16"/>
        </w:rPr>
      </w:pPr>
    </w:p>
    <w:p w14:paraId="4B2E18C5" w14:textId="121C7101" w:rsidR="00F05CB8" w:rsidRPr="00405303" w:rsidRDefault="00F05CB8" w:rsidP="00C15251">
      <w:pPr>
        <w:jc w:val="both"/>
        <w:rPr>
          <w:bCs/>
          <w:color w:val="002060"/>
          <w:sz w:val="16"/>
          <w:szCs w:val="16"/>
        </w:rPr>
      </w:pPr>
      <w:r w:rsidRPr="00405303">
        <w:rPr>
          <w:rStyle w:val="ucoz-forum-post"/>
          <w:rFonts w:eastAsiaTheme="majorEastAsia"/>
          <w:bCs/>
          <w:color w:val="002060"/>
          <w:sz w:val="16"/>
          <w:szCs w:val="16"/>
        </w:rPr>
        <w:t xml:space="preserve">11 (24) сентября </w:t>
      </w:r>
      <w:r w:rsidRPr="00405303">
        <w:rPr>
          <w:bCs/>
          <w:color w:val="002060"/>
          <w:sz w:val="16"/>
          <w:szCs w:val="16"/>
        </w:rPr>
        <w:t>в 1915 году Болгари</w:t>
      </w:r>
      <w:r w:rsidR="00C2199C" w:rsidRPr="00405303">
        <w:rPr>
          <w:bCs/>
          <w:color w:val="002060"/>
          <w:sz w:val="16"/>
          <w:szCs w:val="16"/>
        </w:rPr>
        <w:t>я вступила</w:t>
      </w:r>
      <w:r w:rsidRPr="00405303">
        <w:rPr>
          <w:bCs/>
          <w:color w:val="002060"/>
          <w:sz w:val="16"/>
          <w:szCs w:val="16"/>
        </w:rPr>
        <w:t xml:space="preserve"> в войну. Вмешавшись в войну на стороне Германии, Болгария примет участие в новом австро-венгерском наступлении на Сербию (14779).</w:t>
      </w:r>
    </w:p>
    <w:p w14:paraId="42792C50" w14:textId="77777777" w:rsidR="00F05CB8" w:rsidRPr="00405303" w:rsidRDefault="00F05CB8" w:rsidP="00C15251">
      <w:pPr>
        <w:jc w:val="both"/>
        <w:rPr>
          <w:bCs/>
          <w:color w:val="002060"/>
          <w:sz w:val="16"/>
          <w:szCs w:val="16"/>
        </w:rPr>
      </w:pPr>
    </w:p>
    <w:p w14:paraId="0CC9EB56"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3955FC3D" w14:textId="77777777" w:rsidR="004B4E35" w:rsidRPr="00405303" w:rsidRDefault="004B4E35" w:rsidP="00C15251">
      <w:pPr>
        <w:jc w:val="both"/>
        <w:rPr>
          <w:bCs/>
          <w:i/>
          <w:color w:val="002060"/>
          <w:sz w:val="16"/>
          <w:szCs w:val="16"/>
        </w:rPr>
      </w:pPr>
    </w:p>
    <w:p w14:paraId="32BA7A44" w14:textId="7417DE19" w:rsidR="004B4E35" w:rsidRPr="00405303" w:rsidRDefault="009E6F82" w:rsidP="00C15251">
      <w:pPr>
        <w:shd w:val="clear" w:color="auto" w:fill="FFFFFF"/>
        <w:jc w:val="both"/>
        <w:rPr>
          <w:bCs/>
          <w:i/>
          <w:color w:val="002060"/>
          <w:sz w:val="16"/>
          <w:szCs w:val="16"/>
        </w:rPr>
      </w:pPr>
      <w:r w:rsidRPr="00405303">
        <w:rPr>
          <w:bCs/>
          <w:color w:val="002060"/>
          <w:sz w:val="16"/>
          <w:szCs w:val="16"/>
        </w:rPr>
        <w:t xml:space="preserve">12 (25) сентября 1915 </w:t>
      </w:r>
      <w:r w:rsidR="00C2199C" w:rsidRPr="00405303">
        <w:rPr>
          <w:bCs/>
          <w:color w:val="002060"/>
          <w:sz w:val="16"/>
          <w:szCs w:val="16"/>
        </w:rPr>
        <w:t>ф</w:t>
      </w:r>
      <w:r w:rsidRPr="00405303">
        <w:rPr>
          <w:bCs/>
          <w:color w:val="002060"/>
          <w:sz w:val="16"/>
          <w:szCs w:val="16"/>
        </w:rPr>
        <w:t>ранцузский летчик Альфонс Пуаре, производя разведку, установил подход немецко</w:t>
      </w:r>
      <w:r w:rsidRPr="00405303">
        <w:rPr>
          <w:bCs/>
          <w:color w:val="002060"/>
          <w:sz w:val="16"/>
          <w:szCs w:val="16"/>
        </w:rPr>
        <w:softHyphen/>
        <w:t xml:space="preserve">го корпуса в район озера Нарочь и своевременно донес об этом штаб армии, где приняли меры для отражения противника ("Русский инвалид". 1915 г., 17 сентября). Альфонс Пуаре (1883-1922) в начале войны поступил на русскую службу и оставался в России до конца войны. Служил в 21 и 1-м КАО, отличился в воздушных разведках и был награжден </w:t>
      </w:r>
      <w:r w:rsidRPr="00405303">
        <w:rPr>
          <w:bCs/>
          <w:i/>
          <w:color w:val="002060"/>
          <w:sz w:val="16"/>
          <w:szCs w:val="16"/>
        </w:rPr>
        <w:t>четырьмя георгиевскими крестами и другими наградами.</w:t>
      </w:r>
    </w:p>
    <w:p w14:paraId="36F14ED5" w14:textId="77777777" w:rsidR="004B4E35" w:rsidRPr="00405303" w:rsidRDefault="004B4E35" w:rsidP="00C15251">
      <w:pPr>
        <w:shd w:val="clear" w:color="auto" w:fill="FFFFFF"/>
        <w:jc w:val="both"/>
        <w:rPr>
          <w:bCs/>
          <w:i/>
          <w:color w:val="002060"/>
          <w:sz w:val="16"/>
          <w:szCs w:val="16"/>
        </w:rPr>
      </w:pPr>
    </w:p>
    <w:p w14:paraId="0105659B" w14:textId="09DEF04F" w:rsidR="0075094F" w:rsidRPr="00405303" w:rsidRDefault="0075094F" w:rsidP="00C15251">
      <w:pPr>
        <w:jc w:val="both"/>
        <w:rPr>
          <w:bCs/>
          <w:color w:val="002060"/>
          <w:sz w:val="16"/>
          <w:szCs w:val="16"/>
        </w:rPr>
      </w:pPr>
      <w:r w:rsidRPr="00405303">
        <w:rPr>
          <w:bCs/>
          <w:color w:val="002060"/>
          <w:sz w:val="16"/>
          <w:szCs w:val="16"/>
        </w:rPr>
        <w:t xml:space="preserve">12 </w:t>
      </w:r>
      <w:r w:rsidR="00115A99" w:rsidRPr="00405303">
        <w:rPr>
          <w:bCs/>
          <w:color w:val="002060"/>
          <w:sz w:val="16"/>
          <w:szCs w:val="16"/>
        </w:rPr>
        <w:t xml:space="preserve">(25) </w:t>
      </w:r>
      <w:r w:rsidRPr="00405303">
        <w:rPr>
          <w:bCs/>
          <w:color w:val="002060"/>
          <w:sz w:val="16"/>
          <w:szCs w:val="16"/>
        </w:rPr>
        <w:t xml:space="preserve">сентября 1915 г. </w:t>
      </w:r>
      <w:proofErr w:type="gramStart"/>
      <w:r w:rsidRPr="00405303">
        <w:rPr>
          <w:bCs/>
          <w:color w:val="002060"/>
          <w:sz w:val="16"/>
          <w:szCs w:val="16"/>
        </w:rPr>
        <w:t>французский летчик Альфонс Пуаре</w:t>
      </w:r>
      <w:proofErr w:type="gramEnd"/>
      <w:r w:rsidRPr="00405303">
        <w:rPr>
          <w:bCs/>
          <w:color w:val="002060"/>
          <w:sz w:val="16"/>
          <w:szCs w:val="16"/>
        </w:rPr>
        <w:t xml:space="preserve"> производя разведку, установил подход немецкого корпуса в район оз. Нарочь и своевременно донес о том в штаб армии, где приняли меры для сражения противника. Ллетчик награжден георгиевским оружием.</w:t>
      </w:r>
    </w:p>
    <w:p w14:paraId="47179AE3" w14:textId="77777777" w:rsidR="0075094F" w:rsidRPr="00405303" w:rsidRDefault="0075094F"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Русский инвалид» за 17 сентября 1916/ (23320).</w:t>
      </w:r>
    </w:p>
    <w:p w14:paraId="6F9DDD6A" w14:textId="77777777" w:rsidR="0075094F" w:rsidRPr="00405303" w:rsidRDefault="0075094F" w:rsidP="00C15251">
      <w:pPr>
        <w:jc w:val="both"/>
        <w:rPr>
          <w:bCs/>
          <w:color w:val="002060"/>
          <w:sz w:val="16"/>
          <w:szCs w:val="16"/>
        </w:rPr>
      </w:pPr>
    </w:p>
    <w:p w14:paraId="644A72CC" w14:textId="77777777" w:rsidR="00A474F8" w:rsidRPr="00405303" w:rsidRDefault="00A474F8" w:rsidP="00A474F8">
      <w:pPr>
        <w:jc w:val="both"/>
        <w:rPr>
          <w:color w:val="0070C0"/>
          <w:sz w:val="16"/>
          <w:szCs w:val="16"/>
        </w:rPr>
      </w:pPr>
      <w:r w:rsidRPr="00405303">
        <w:rPr>
          <w:color w:val="0070C0"/>
          <w:sz w:val="16"/>
          <w:szCs w:val="16"/>
        </w:rPr>
        <w:t>12 (25) сентября 1915 г. Телеграмма-донесение начальника Первого боевого отряда Эскадры воздушных кораблей подполковника Горшкова в Ставку Верховного главнокомандующего:</w:t>
      </w:r>
    </w:p>
    <w:p w14:paraId="1722F220" w14:textId="77777777" w:rsidR="00A474F8" w:rsidRPr="00405303" w:rsidRDefault="00A474F8" w:rsidP="00A474F8">
      <w:pPr>
        <w:jc w:val="both"/>
        <w:rPr>
          <w:color w:val="0070C0"/>
          <w:sz w:val="16"/>
          <w:szCs w:val="16"/>
        </w:rPr>
      </w:pPr>
      <w:r w:rsidRPr="00405303">
        <w:rPr>
          <w:color w:val="0070C0"/>
          <w:sz w:val="16"/>
          <w:szCs w:val="16"/>
        </w:rPr>
        <w:t>«Доношу, что сегодня утром Воздушный Корабль Второй в составе штабс-капитанов Панкратьева и Никольского, артиллерийского офицера поручика Павлова, Генерального штаба капитана Ушакова, моториста Терентьева совершил трехчасовой боевой полет по маршруту Зегевольд - Линден - Вальгоф - Кричи - мыза Эккау - Митава - Зегевольд. По складу артиллерийских припасов в мысе Вальгоф, по обозам и колоннам неприятельских войск по пути следования Корабля сброшено тринадцать бомб общим весом 20 пудов. Попадания хорошие. Результат сообщен в штаб 12 Армии. Произведено фотографирование» (24965).</w:t>
      </w:r>
    </w:p>
    <w:p w14:paraId="32AF6C53" w14:textId="77777777" w:rsidR="00A474F8" w:rsidRPr="00405303" w:rsidRDefault="00A474F8" w:rsidP="00A474F8">
      <w:pPr>
        <w:jc w:val="both"/>
        <w:rPr>
          <w:color w:val="0070C0"/>
          <w:sz w:val="16"/>
          <w:szCs w:val="16"/>
        </w:rPr>
      </w:pPr>
    </w:p>
    <w:p w14:paraId="0EDB768F" w14:textId="77777777" w:rsidR="00A474F8" w:rsidRPr="00405303" w:rsidRDefault="00A474F8" w:rsidP="00A474F8">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12 (25) сентября 1915 г. в небе над Ригой появились два немецких аэроплана, сбросившие на его жилые кварталы девять бомб (не причинили большого вреда).</w:t>
      </w:r>
    </w:p>
    <w:p w14:paraId="14600D97" w14:textId="77777777" w:rsidR="00A474F8" w:rsidRPr="00405303" w:rsidRDefault="00A474F8" w:rsidP="00A474F8">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В последующие дни противник неоднократно подвергал воздушной бомбардировке ст. Вилейка, Барановичи, Кайданово и Каменец-Подольск. При этом активность действий его ВВФ заметно возросла (25135).</w:t>
      </w:r>
    </w:p>
    <w:p w14:paraId="43F611D4" w14:textId="77777777" w:rsidR="00A474F8" w:rsidRPr="00405303" w:rsidRDefault="00A474F8" w:rsidP="00A474F8">
      <w:pPr>
        <w:jc w:val="both"/>
        <w:rPr>
          <w:rStyle w:val="aa"/>
          <w:rFonts w:ascii="Times New Roman" w:hAnsi="Times New Roman"/>
          <w:color w:val="0070C0"/>
          <w:spacing w:val="0"/>
          <w:sz w:val="16"/>
          <w:szCs w:val="16"/>
        </w:rPr>
      </w:pPr>
    </w:p>
    <w:p w14:paraId="5216BFCA" w14:textId="77777777" w:rsidR="00A474F8" w:rsidRPr="00405303" w:rsidRDefault="00A474F8" w:rsidP="00A474F8">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12 (25) сентября 1915 года на основании приказа начальника Штаба ВГК за № 55 специальный авиаотряд (САО) был переведен на новый усиленный штат (30 офицеров и 18 боевых самолетов) (26166).</w:t>
      </w:r>
    </w:p>
    <w:p w14:paraId="4DC8970D" w14:textId="77777777" w:rsidR="00A474F8" w:rsidRPr="00405303" w:rsidRDefault="00A474F8" w:rsidP="00A474F8">
      <w:pPr>
        <w:jc w:val="both"/>
        <w:rPr>
          <w:rStyle w:val="aa"/>
          <w:rFonts w:ascii="Times New Roman" w:hAnsi="Times New Roman"/>
          <w:color w:val="0070C0"/>
          <w:spacing w:val="0"/>
          <w:sz w:val="16"/>
          <w:szCs w:val="16"/>
        </w:rPr>
      </w:pPr>
    </w:p>
    <w:p w14:paraId="7E8B89E0" w14:textId="1880BAB4" w:rsidR="00A73D84" w:rsidRPr="00405303" w:rsidRDefault="00A73D84" w:rsidP="00C15251">
      <w:pPr>
        <w:jc w:val="both"/>
        <w:rPr>
          <w:bCs/>
          <w:color w:val="002060"/>
          <w:sz w:val="16"/>
          <w:szCs w:val="16"/>
        </w:rPr>
      </w:pPr>
      <w:r w:rsidRPr="00405303">
        <w:rPr>
          <w:bCs/>
          <w:color w:val="002060"/>
          <w:sz w:val="16"/>
          <w:szCs w:val="16"/>
          <w:lang w:bidi="ru-RU"/>
        </w:rPr>
        <w:t>12 —14 (25-28) сентября 1915 г.</w:t>
      </w:r>
    </w:p>
    <w:p w14:paraId="4A355DC5" w14:textId="77777777" w:rsidR="00A73D84" w:rsidRPr="00405303" w:rsidRDefault="00A73D84" w:rsidP="00C15251">
      <w:pPr>
        <w:jc w:val="both"/>
        <w:rPr>
          <w:bCs/>
          <w:color w:val="002060"/>
          <w:sz w:val="16"/>
          <w:szCs w:val="16"/>
          <w:lang w:bidi="ru-RU"/>
        </w:rPr>
      </w:pPr>
      <w:r w:rsidRPr="00405303">
        <w:rPr>
          <w:bCs/>
          <w:color w:val="002060"/>
          <w:sz w:val="16"/>
          <w:szCs w:val="16"/>
          <w:lang w:bidi="ru-RU"/>
        </w:rPr>
        <w:t>13-й и 14-й месяцы. Русский фронт. 12 —14 сентября 1915 г.</w:t>
      </w:r>
    </w:p>
    <w:p w14:paraId="7C5B3118" w14:textId="77777777" w:rsidR="00A73D84" w:rsidRPr="00405303" w:rsidRDefault="00A73D84" w:rsidP="00C15251">
      <w:pPr>
        <w:jc w:val="both"/>
        <w:rPr>
          <w:bCs/>
          <w:color w:val="002060"/>
          <w:sz w:val="16"/>
          <w:szCs w:val="16"/>
        </w:rPr>
      </w:pPr>
      <w:r w:rsidRPr="00405303">
        <w:rPr>
          <w:bCs/>
          <w:color w:val="002060"/>
          <w:sz w:val="16"/>
          <w:szCs w:val="16"/>
          <w:lang w:bidi="ru-RU"/>
        </w:rPr>
        <w:t>На реке Стыри в районе местечка Рафа- ловка опустился германский аэроплан, не</w:t>
      </w:r>
      <w:r w:rsidRPr="00405303">
        <w:rPr>
          <w:bCs/>
          <w:color w:val="002060"/>
          <w:sz w:val="16"/>
          <w:szCs w:val="16"/>
          <w:lang w:bidi="ru-RU"/>
        </w:rPr>
        <w:softHyphen/>
        <w:t>сший большое количество бомб. Летчик стремился продолжить полет, причем ему удалось пустить в ход мотор, но подоспев</w:t>
      </w:r>
      <w:r w:rsidRPr="00405303">
        <w:rPr>
          <w:bCs/>
          <w:color w:val="002060"/>
          <w:sz w:val="16"/>
          <w:szCs w:val="16"/>
          <w:lang w:bidi="ru-RU"/>
        </w:rPr>
        <w:softHyphen/>
        <w:t>шими в этот момент частями нашей конни</w:t>
      </w:r>
      <w:r w:rsidRPr="00405303">
        <w:rPr>
          <w:bCs/>
          <w:color w:val="002060"/>
          <w:sz w:val="16"/>
          <w:szCs w:val="16"/>
          <w:lang w:bidi="ru-RU"/>
        </w:rPr>
        <w:softHyphen/>
        <w:t>цы аппарат был захвачен.</w:t>
      </w:r>
    </w:p>
    <w:p w14:paraId="51776073" w14:textId="77777777" w:rsidR="00A73D84" w:rsidRPr="00405303" w:rsidRDefault="00A73D84" w:rsidP="00C15251">
      <w:pPr>
        <w:jc w:val="both"/>
        <w:rPr>
          <w:bCs/>
          <w:color w:val="002060"/>
          <w:sz w:val="16"/>
          <w:szCs w:val="16"/>
        </w:rPr>
      </w:pPr>
      <w:r w:rsidRPr="00405303">
        <w:rPr>
          <w:bCs/>
          <w:color w:val="002060"/>
          <w:sz w:val="16"/>
          <w:szCs w:val="16"/>
          <w:lang w:bidi="ru-RU"/>
        </w:rPr>
        <w:t>У Двинска в эти дни был подбит и захва</w:t>
      </w:r>
      <w:r w:rsidRPr="00405303">
        <w:rPr>
          <w:bCs/>
          <w:color w:val="002060"/>
          <w:sz w:val="16"/>
          <w:szCs w:val="16"/>
          <w:lang w:bidi="ru-RU"/>
        </w:rPr>
        <w:softHyphen/>
        <w:t>чен в плен еще один неприятельский аэро</w:t>
      </w:r>
      <w:r w:rsidRPr="00405303">
        <w:rPr>
          <w:bCs/>
          <w:color w:val="002060"/>
          <w:sz w:val="16"/>
          <w:szCs w:val="16"/>
          <w:lang w:bidi="ru-RU"/>
        </w:rPr>
        <w:softHyphen/>
        <w:t>план (23374).</w:t>
      </w:r>
    </w:p>
    <w:p w14:paraId="6BBC09FF" w14:textId="77777777" w:rsidR="00A73D84" w:rsidRPr="00405303" w:rsidRDefault="00A73D84" w:rsidP="00C15251">
      <w:pPr>
        <w:jc w:val="both"/>
        <w:rPr>
          <w:bCs/>
          <w:color w:val="002060"/>
          <w:sz w:val="16"/>
          <w:szCs w:val="16"/>
          <w:lang w:bidi="ru-RU"/>
        </w:rPr>
      </w:pPr>
    </w:p>
    <w:p w14:paraId="06D3CAB9" w14:textId="77777777" w:rsidR="00C2199C" w:rsidRPr="00405303" w:rsidRDefault="00C2199C" w:rsidP="00C15251">
      <w:pPr>
        <w:jc w:val="both"/>
        <w:rPr>
          <w:bCs/>
          <w:i/>
          <w:color w:val="002060"/>
          <w:sz w:val="16"/>
          <w:szCs w:val="16"/>
        </w:rPr>
      </w:pPr>
      <w:r w:rsidRPr="00405303">
        <w:rPr>
          <w:bCs/>
          <w:i/>
          <w:color w:val="002060"/>
          <w:sz w:val="16"/>
          <w:szCs w:val="16"/>
        </w:rPr>
        <w:t>Морская авиация:</w:t>
      </w:r>
    </w:p>
    <w:p w14:paraId="0614D80D" w14:textId="77777777" w:rsidR="00C2199C" w:rsidRPr="00405303" w:rsidRDefault="00C2199C" w:rsidP="00C15251">
      <w:pPr>
        <w:jc w:val="both"/>
        <w:rPr>
          <w:bCs/>
          <w:i/>
          <w:color w:val="002060"/>
          <w:sz w:val="16"/>
          <w:szCs w:val="16"/>
        </w:rPr>
      </w:pPr>
    </w:p>
    <w:p w14:paraId="68B13114" w14:textId="77777777" w:rsidR="00C2199C" w:rsidRPr="00405303" w:rsidRDefault="00C2199C" w:rsidP="00C15251">
      <w:pPr>
        <w:jc w:val="both"/>
        <w:rPr>
          <w:bCs/>
          <w:color w:val="002060"/>
          <w:sz w:val="16"/>
          <w:szCs w:val="16"/>
        </w:rPr>
      </w:pPr>
      <w:r w:rsidRPr="00405303">
        <w:rPr>
          <w:bCs/>
          <w:color w:val="002060"/>
          <w:sz w:val="16"/>
          <w:szCs w:val="16"/>
        </w:rPr>
        <w:t>12 (25) сентября 1915 г. 4 немецких самолета произвели нападение на русский морской отряд, состоящий из 10 судов, и сброшенными бомбами принудили его прекратить огонь, открытый им по береговым укреплениям. Эта акция еще раз ясно продемонстрировала, что в данный период военных действий воздушный флот имел явные преимущества в боевых действиях против военно-морского флота (11999).</w:t>
      </w:r>
    </w:p>
    <w:p w14:paraId="70B4BB9B" w14:textId="77777777" w:rsidR="00C2199C" w:rsidRPr="00405303" w:rsidRDefault="00C2199C" w:rsidP="00C15251">
      <w:pPr>
        <w:jc w:val="both"/>
        <w:rPr>
          <w:bCs/>
          <w:color w:val="002060"/>
          <w:sz w:val="16"/>
          <w:szCs w:val="16"/>
        </w:rPr>
      </w:pPr>
    </w:p>
    <w:p w14:paraId="1DECD0E6" w14:textId="77777777" w:rsidR="00A474F8" w:rsidRPr="00405303" w:rsidRDefault="00A474F8" w:rsidP="00A474F8">
      <w:pPr>
        <w:jc w:val="both"/>
        <w:rPr>
          <w:bCs/>
          <w:color w:val="002060"/>
          <w:sz w:val="16"/>
          <w:szCs w:val="16"/>
          <w:lang w:bidi="en-US"/>
        </w:rPr>
      </w:pPr>
      <w:r w:rsidRPr="00405303">
        <w:rPr>
          <w:bCs/>
          <w:color w:val="002060"/>
          <w:sz w:val="16"/>
          <w:szCs w:val="16"/>
          <w:lang w:bidi="en-US"/>
        </w:rPr>
        <w:t>12 (25) сентября 1915 г. в Балтийском море русский линкор «Слава» был атакован двумя немецкими гидросамолетами в районе Мунзунд. В нее попали три из шестнадцати бомб, в результате которых погиб ее командир и пять членов экипажа (23525).</w:t>
      </w:r>
    </w:p>
    <w:p w14:paraId="2116CC1E" w14:textId="77777777" w:rsidR="00A474F8" w:rsidRPr="00405303" w:rsidRDefault="00A474F8" w:rsidP="00A474F8">
      <w:pPr>
        <w:jc w:val="both"/>
        <w:rPr>
          <w:bCs/>
          <w:color w:val="002060"/>
          <w:sz w:val="16"/>
          <w:szCs w:val="16"/>
        </w:rPr>
      </w:pPr>
    </w:p>
    <w:p w14:paraId="626A09D5" w14:textId="77777777" w:rsidR="00F05CB8" w:rsidRPr="00405303" w:rsidRDefault="00F05CB8" w:rsidP="00C15251">
      <w:pPr>
        <w:jc w:val="both"/>
        <w:rPr>
          <w:bCs/>
          <w:i/>
          <w:color w:val="002060"/>
          <w:sz w:val="16"/>
          <w:szCs w:val="16"/>
        </w:rPr>
      </w:pPr>
      <w:r w:rsidRPr="00405303">
        <w:rPr>
          <w:bCs/>
          <w:i/>
          <w:color w:val="002060"/>
          <w:sz w:val="16"/>
          <w:szCs w:val="16"/>
        </w:rPr>
        <w:t>За рубежом:</w:t>
      </w:r>
    </w:p>
    <w:p w14:paraId="19082306" w14:textId="77777777" w:rsidR="00F05CB8" w:rsidRPr="00405303" w:rsidRDefault="00F05CB8" w:rsidP="00C15251">
      <w:pPr>
        <w:jc w:val="both"/>
        <w:rPr>
          <w:bCs/>
          <w:color w:val="002060"/>
          <w:sz w:val="16"/>
          <w:szCs w:val="16"/>
        </w:rPr>
      </w:pPr>
    </w:p>
    <w:p w14:paraId="2FE19125" w14:textId="77777777" w:rsidR="00640576" w:rsidRPr="00405303" w:rsidRDefault="00640576" w:rsidP="00C15251">
      <w:pPr>
        <w:jc w:val="both"/>
        <w:rPr>
          <w:rFonts w:eastAsia="Times-Roman"/>
          <w:bCs/>
          <w:color w:val="002060"/>
          <w:sz w:val="16"/>
          <w:szCs w:val="16"/>
        </w:rPr>
      </w:pPr>
      <w:r w:rsidRPr="00405303">
        <w:rPr>
          <w:rFonts w:eastAsia="Times-Roman"/>
          <w:bCs/>
          <w:color w:val="002060"/>
          <w:sz w:val="16"/>
          <w:szCs w:val="16"/>
        </w:rPr>
        <w:t xml:space="preserve">12 (25) </w:t>
      </w:r>
      <w:r w:rsidRPr="00405303">
        <w:rPr>
          <w:rFonts w:eastAsia="TimesNewRoman"/>
          <w:bCs/>
          <w:color w:val="002060"/>
          <w:sz w:val="16"/>
          <w:szCs w:val="16"/>
        </w:rPr>
        <w:t xml:space="preserve">сентября </w:t>
      </w:r>
      <w:r w:rsidRPr="00405303">
        <w:rPr>
          <w:rFonts w:eastAsia="Times-Roman"/>
          <w:bCs/>
          <w:color w:val="002060"/>
          <w:sz w:val="16"/>
          <w:szCs w:val="16"/>
        </w:rPr>
        <w:t xml:space="preserve">1915 </w:t>
      </w:r>
      <w:r w:rsidRPr="00405303">
        <w:rPr>
          <w:rFonts w:eastAsia="TimesNewRoman"/>
          <w:bCs/>
          <w:color w:val="002060"/>
          <w:sz w:val="16"/>
          <w:szCs w:val="16"/>
        </w:rPr>
        <w:t>года англичане впервые применили хлор в битве при Лоосе</w:t>
      </w:r>
      <w:r w:rsidRPr="00405303">
        <w:rPr>
          <w:rFonts w:eastAsia="Times-Roman"/>
          <w:bCs/>
          <w:color w:val="002060"/>
          <w:sz w:val="16"/>
          <w:szCs w:val="16"/>
        </w:rPr>
        <w:t xml:space="preserve">, </w:t>
      </w:r>
      <w:r w:rsidRPr="00405303">
        <w:rPr>
          <w:rFonts w:eastAsia="TimesNewRoman"/>
          <w:bCs/>
          <w:color w:val="002060"/>
          <w:sz w:val="16"/>
          <w:szCs w:val="16"/>
        </w:rPr>
        <w:t>но эта попытка обернулась против самих англичан</w:t>
      </w:r>
      <w:r w:rsidRPr="00405303">
        <w:rPr>
          <w:rFonts w:eastAsia="Times-Roman"/>
          <w:bCs/>
          <w:color w:val="002060"/>
          <w:sz w:val="16"/>
          <w:szCs w:val="16"/>
        </w:rPr>
        <w:t xml:space="preserve">. </w:t>
      </w:r>
      <w:r w:rsidRPr="00405303">
        <w:rPr>
          <w:rFonts w:eastAsia="TimesNewRoman"/>
          <w:bCs/>
          <w:color w:val="002060"/>
          <w:sz w:val="16"/>
          <w:szCs w:val="16"/>
        </w:rPr>
        <w:t>Успех использования хлора зависит от благоприятного ветра</w:t>
      </w:r>
      <w:r w:rsidRPr="00405303">
        <w:rPr>
          <w:rFonts w:eastAsia="Times-Roman"/>
          <w:bCs/>
          <w:color w:val="002060"/>
          <w:sz w:val="16"/>
          <w:szCs w:val="16"/>
        </w:rPr>
        <w:t xml:space="preserve">, </w:t>
      </w:r>
      <w:r w:rsidRPr="00405303">
        <w:rPr>
          <w:rFonts w:eastAsia="TimesNewRoman"/>
          <w:bCs/>
          <w:color w:val="002060"/>
          <w:sz w:val="16"/>
          <w:szCs w:val="16"/>
        </w:rPr>
        <w:t>дующего в сторону врага</w:t>
      </w:r>
      <w:r w:rsidRPr="00405303">
        <w:rPr>
          <w:rFonts w:eastAsia="Times-Roman"/>
          <w:bCs/>
          <w:color w:val="002060"/>
          <w:sz w:val="16"/>
          <w:szCs w:val="16"/>
        </w:rPr>
        <w:t xml:space="preserve">, </w:t>
      </w:r>
      <w:r w:rsidRPr="00405303">
        <w:rPr>
          <w:rFonts w:eastAsia="TimesNewRoman"/>
          <w:bCs/>
          <w:color w:val="002060"/>
          <w:sz w:val="16"/>
          <w:szCs w:val="16"/>
        </w:rPr>
        <w:t>а в тот день ветер был переменчив (20240)</w:t>
      </w:r>
      <w:r w:rsidRPr="00405303">
        <w:rPr>
          <w:rFonts w:eastAsia="Times-Roman"/>
          <w:bCs/>
          <w:color w:val="002060"/>
          <w:sz w:val="16"/>
          <w:szCs w:val="16"/>
        </w:rPr>
        <w:t>.</w:t>
      </w:r>
    </w:p>
    <w:p w14:paraId="7B8A1739" w14:textId="77777777" w:rsidR="00640576" w:rsidRPr="00405303" w:rsidRDefault="00640576" w:rsidP="00C15251">
      <w:pPr>
        <w:jc w:val="both"/>
        <w:rPr>
          <w:rFonts w:eastAsia="Times-Roman"/>
          <w:bCs/>
          <w:color w:val="002060"/>
          <w:sz w:val="16"/>
          <w:szCs w:val="16"/>
        </w:rPr>
      </w:pPr>
    </w:p>
    <w:p w14:paraId="68344D35" w14:textId="77777777" w:rsidR="00F05CB8" w:rsidRPr="00405303" w:rsidRDefault="00F05CB8" w:rsidP="00C15251">
      <w:pPr>
        <w:jc w:val="both"/>
        <w:rPr>
          <w:bCs/>
          <w:color w:val="002060"/>
          <w:sz w:val="16"/>
          <w:szCs w:val="16"/>
        </w:rPr>
      </w:pPr>
      <w:r w:rsidRPr="00405303">
        <w:rPr>
          <w:bCs/>
          <w:color w:val="002060"/>
          <w:sz w:val="16"/>
          <w:szCs w:val="16"/>
        </w:rPr>
        <w:t>12 (25) сентября в 1915 году на Западном фронте начинается третье сражение в Артуа (до 14 октября). Французские части атакуют германские позиции в Северо-Восточной Франции и на юго-востоке Шампани. Британские войска пытаются прорвать германскую оборону под Лоосом (операция завершится 4 ноября с минимальным успехом) (14780).</w:t>
      </w:r>
    </w:p>
    <w:p w14:paraId="3982D4A7" w14:textId="77777777" w:rsidR="00F05CB8" w:rsidRPr="00405303" w:rsidRDefault="00F05CB8" w:rsidP="00C15251">
      <w:pPr>
        <w:jc w:val="both"/>
        <w:rPr>
          <w:bCs/>
          <w:color w:val="002060"/>
          <w:sz w:val="16"/>
          <w:szCs w:val="16"/>
        </w:rPr>
      </w:pPr>
    </w:p>
    <w:p w14:paraId="6B24E1CF" w14:textId="47587495" w:rsidR="00F05CB8" w:rsidRPr="00405303" w:rsidRDefault="00F05CB8" w:rsidP="00C15251">
      <w:pPr>
        <w:jc w:val="both"/>
        <w:rPr>
          <w:bCs/>
          <w:color w:val="002060"/>
          <w:sz w:val="16"/>
          <w:szCs w:val="16"/>
        </w:rPr>
      </w:pPr>
      <w:r w:rsidRPr="00405303">
        <w:rPr>
          <w:bCs/>
          <w:color w:val="002060"/>
          <w:sz w:val="16"/>
          <w:szCs w:val="16"/>
        </w:rPr>
        <w:t>12 (25) сентября в 1915 году начал</w:t>
      </w:r>
      <w:r w:rsidR="00C2199C" w:rsidRPr="00405303">
        <w:rPr>
          <w:bCs/>
          <w:color w:val="002060"/>
          <w:sz w:val="16"/>
          <w:szCs w:val="16"/>
        </w:rPr>
        <w:t>ась</w:t>
      </w:r>
      <w:r w:rsidRPr="00405303">
        <w:rPr>
          <w:bCs/>
          <w:color w:val="002060"/>
          <w:sz w:val="16"/>
          <w:szCs w:val="16"/>
        </w:rPr>
        <w:t xml:space="preserve"> битв</w:t>
      </w:r>
      <w:r w:rsidR="00C2199C" w:rsidRPr="00405303">
        <w:rPr>
          <w:bCs/>
          <w:color w:val="002060"/>
          <w:sz w:val="16"/>
          <w:szCs w:val="16"/>
        </w:rPr>
        <w:t>а</w:t>
      </w:r>
      <w:r w:rsidRPr="00405303">
        <w:rPr>
          <w:bCs/>
          <w:color w:val="002060"/>
          <w:sz w:val="16"/>
          <w:szCs w:val="16"/>
        </w:rPr>
        <w:t xml:space="preserve"> Loos в I мировой войне; она продолжится до октября (14780).</w:t>
      </w:r>
    </w:p>
    <w:p w14:paraId="00F7A58F" w14:textId="77777777" w:rsidR="00F05CB8" w:rsidRPr="00405303" w:rsidRDefault="00F05CB8" w:rsidP="00C15251">
      <w:pPr>
        <w:jc w:val="both"/>
        <w:rPr>
          <w:bCs/>
          <w:color w:val="002060"/>
          <w:sz w:val="16"/>
          <w:szCs w:val="16"/>
        </w:rPr>
      </w:pPr>
    </w:p>
    <w:p w14:paraId="37970D08" w14:textId="77777777" w:rsidR="00F05CB8" w:rsidRPr="00405303" w:rsidRDefault="00F05CB8" w:rsidP="00C15251">
      <w:pPr>
        <w:jc w:val="both"/>
        <w:rPr>
          <w:bCs/>
          <w:color w:val="002060"/>
          <w:sz w:val="16"/>
          <w:szCs w:val="16"/>
        </w:rPr>
      </w:pPr>
      <w:r w:rsidRPr="00405303">
        <w:rPr>
          <w:bCs/>
          <w:color w:val="002060"/>
          <w:sz w:val="16"/>
          <w:szCs w:val="16"/>
        </w:rPr>
        <w:t>12 (25) сентября в 1915 году США предоставляют Англии и Франции заем в 500 миллионов долларов (14780).</w:t>
      </w:r>
    </w:p>
    <w:p w14:paraId="38DBBA95" w14:textId="77777777" w:rsidR="00F05CB8" w:rsidRPr="00405303" w:rsidRDefault="00F05CB8" w:rsidP="00C15251">
      <w:pPr>
        <w:jc w:val="both"/>
        <w:rPr>
          <w:bCs/>
          <w:color w:val="002060"/>
          <w:sz w:val="16"/>
          <w:szCs w:val="16"/>
        </w:rPr>
      </w:pPr>
    </w:p>
    <w:p w14:paraId="6091C0CA" w14:textId="77777777" w:rsidR="00776E39" w:rsidRPr="00405303" w:rsidRDefault="00776E39" w:rsidP="00C15251">
      <w:pPr>
        <w:jc w:val="both"/>
        <w:rPr>
          <w:bCs/>
          <w:i/>
          <w:color w:val="002060"/>
          <w:sz w:val="16"/>
          <w:szCs w:val="16"/>
        </w:rPr>
      </w:pPr>
      <w:r w:rsidRPr="00405303">
        <w:rPr>
          <w:bCs/>
          <w:i/>
          <w:color w:val="002060"/>
          <w:sz w:val="16"/>
          <w:szCs w:val="16"/>
        </w:rPr>
        <w:t>Самолетостроение:</w:t>
      </w:r>
    </w:p>
    <w:p w14:paraId="529DFD58" w14:textId="77777777" w:rsidR="00776E39" w:rsidRPr="00405303" w:rsidRDefault="00776E39" w:rsidP="00C15251">
      <w:pPr>
        <w:jc w:val="both"/>
        <w:rPr>
          <w:bCs/>
          <w:i/>
          <w:color w:val="002060"/>
          <w:sz w:val="16"/>
          <w:szCs w:val="16"/>
        </w:rPr>
      </w:pPr>
    </w:p>
    <w:p w14:paraId="120CEB65" w14:textId="6890DCC8" w:rsidR="00776E39" w:rsidRPr="00405303" w:rsidRDefault="00776E39" w:rsidP="00C15251">
      <w:pPr>
        <w:pStyle w:val="22"/>
        <w:shd w:val="clear" w:color="auto" w:fill="auto"/>
        <w:spacing w:line="240" w:lineRule="auto"/>
        <w:ind w:firstLine="0"/>
        <w:jc w:val="both"/>
        <w:rPr>
          <w:bCs/>
          <w:color w:val="002060"/>
          <w:sz w:val="16"/>
          <w:szCs w:val="16"/>
        </w:rPr>
      </w:pPr>
      <w:r w:rsidRPr="00405303">
        <w:rPr>
          <w:bCs/>
          <w:color w:val="002060"/>
          <w:sz w:val="16"/>
          <w:szCs w:val="16"/>
        </w:rPr>
        <w:t xml:space="preserve">13 </w:t>
      </w:r>
      <w:r w:rsidR="00C2199C" w:rsidRPr="00405303">
        <w:rPr>
          <w:bCs/>
          <w:color w:val="002060"/>
          <w:sz w:val="16"/>
          <w:szCs w:val="16"/>
        </w:rPr>
        <w:t xml:space="preserve">(26) </w:t>
      </w:r>
      <w:r w:rsidRPr="00405303">
        <w:rPr>
          <w:bCs/>
          <w:color w:val="002060"/>
          <w:sz w:val="16"/>
          <w:szCs w:val="16"/>
        </w:rPr>
        <w:t>сентября 1915 г. на Гатчинском аэродроме состоялись официальные испытания винтов системы представителя</w:t>
      </w:r>
      <w:r w:rsidRPr="00405303">
        <w:rPr>
          <w:bCs/>
          <w:color w:val="002060"/>
          <w:sz w:val="16"/>
          <w:szCs w:val="16"/>
        </w:rPr>
        <w:softHyphen/>
        <w:t>ми ГВТУ. Несмотря на не совсем «счастливую» дату, конструктора ждал большой успех. Он вы</w:t>
      </w:r>
      <w:r w:rsidRPr="00405303">
        <w:rPr>
          <w:bCs/>
          <w:color w:val="002060"/>
          <w:sz w:val="16"/>
          <w:szCs w:val="16"/>
        </w:rPr>
        <w:softHyphen/>
        <w:t>ставил на испытания два винта — Г-2 и Г-3, предназначавшиеся для установ</w:t>
      </w:r>
      <w:r w:rsidRPr="00405303">
        <w:rPr>
          <w:bCs/>
          <w:color w:val="002060"/>
          <w:sz w:val="16"/>
          <w:szCs w:val="16"/>
        </w:rPr>
        <w:softHyphen/>
        <w:t>ки на самолеты «Фарман-16» и «Фарман-22» с двигателями «Гном» мощно</w:t>
      </w:r>
      <w:r w:rsidRPr="00405303">
        <w:rPr>
          <w:bCs/>
          <w:color w:val="002060"/>
          <w:sz w:val="16"/>
          <w:szCs w:val="16"/>
        </w:rPr>
        <w:softHyphen/>
        <w:t>стью 80 л. с. Они имели одинаковый диаметр — 2,5 м и отличались только шагом — 1,8 и 1,7 м соответственно. Лучшие результаты были достигнуты с винтом Г-2. Оснащенный им «Фарман» достиг скорости 95 км/ч вместо 87,5 км/ч с винтом Шовьера и скороподъемности 60 м/мин вместо 46 м/мин. Разбег с винтом Г-2 составил 91 м, а с обычным винтом Шовьера — 122 м.</w:t>
      </w:r>
    </w:p>
    <w:p w14:paraId="14AF2DAD" w14:textId="77777777" w:rsidR="00776E39" w:rsidRPr="00405303" w:rsidRDefault="00776E39" w:rsidP="00C15251">
      <w:pPr>
        <w:pStyle w:val="22"/>
        <w:shd w:val="clear" w:color="auto" w:fill="auto"/>
        <w:spacing w:line="240" w:lineRule="auto"/>
        <w:ind w:firstLine="0"/>
        <w:jc w:val="both"/>
        <w:rPr>
          <w:bCs/>
          <w:color w:val="002060"/>
          <w:sz w:val="16"/>
          <w:szCs w:val="16"/>
        </w:rPr>
      </w:pPr>
      <w:r w:rsidRPr="00405303">
        <w:rPr>
          <w:bCs/>
          <w:color w:val="002060"/>
          <w:sz w:val="16"/>
          <w:szCs w:val="16"/>
        </w:rPr>
        <w:t>После завершения испытаний Михаил Леонтьевич издал небольшой рек</w:t>
      </w:r>
      <w:r w:rsidRPr="00405303">
        <w:rPr>
          <w:bCs/>
          <w:color w:val="002060"/>
          <w:sz w:val="16"/>
          <w:szCs w:val="16"/>
        </w:rPr>
        <w:softHyphen/>
        <w:t>ламный буклет, в котором отметил следующие преимущества своего винта по сравнению с обычно применявшимся на «Фарманах» винтом Шовьера:</w:t>
      </w:r>
    </w:p>
    <w:p w14:paraId="1F78113A" w14:textId="77777777" w:rsidR="00776E39" w:rsidRPr="00405303" w:rsidRDefault="00776E39" w:rsidP="00C15251">
      <w:pPr>
        <w:pStyle w:val="41"/>
        <w:shd w:val="clear" w:color="auto" w:fill="auto"/>
        <w:spacing w:line="240" w:lineRule="auto"/>
        <w:ind w:firstLine="0"/>
        <w:jc w:val="both"/>
        <w:rPr>
          <w:bCs/>
          <w:color w:val="002060"/>
          <w:sz w:val="16"/>
          <w:szCs w:val="16"/>
        </w:rPr>
      </w:pPr>
      <w:r w:rsidRPr="00405303">
        <w:rPr>
          <w:bCs/>
          <w:color w:val="002060"/>
          <w:sz w:val="16"/>
          <w:szCs w:val="16"/>
        </w:rPr>
        <w:t>«1. Увеличение скорости горизонтального полета на 8,5 %.</w:t>
      </w:r>
    </w:p>
    <w:p w14:paraId="5C39AD91" w14:textId="77777777" w:rsidR="00776E39" w:rsidRPr="00405303" w:rsidRDefault="00776E39" w:rsidP="00C15251">
      <w:pPr>
        <w:pStyle w:val="41"/>
        <w:shd w:val="clear" w:color="auto" w:fill="auto"/>
        <w:tabs>
          <w:tab w:val="left" w:pos="473"/>
        </w:tabs>
        <w:spacing w:line="240" w:lineRule="auto"/>
        <w:ind w:firstLine="0"/>
        <w:jc w:val="both"/>
        <w:rPr>
          <w:bCs/>
          <w:color w:val="002060"/>
          <w:sz w:val="16"/>
          <w:szCs w:val="16"/>
        </w:rPr>
      </w:pPr>
      <w:r w:rsidRPr="00405303">
        <w:rPr>
          <w:bCs/>
          <w:color w:val="002060"/>
          <w:sz w:val="16"/>
          <w:szCs w:val="16"/>
        </w:rPr>
        <w:t>2. Увеличение скорости подъема в высоту на 35 %.</w:t>
      </w:r>
    </w:p>
    <w:p w14:paraId="2BC4892A" w14:textId="77777777" w:rsidR="00776E39" w:rsidRPr="00405303" w:rsidRDefault="00776E39" w:rsidP="00C15251">
      <w:pPr>
        <w:pStyle w:val="41"/>
        <w:shd w:val="clear" w:color="auto" w:fill="auto"/>
        <w:tabs>
          <w:tab w:val="left" w:pos="482"/>
        </w:tabs>
        <w:spacing w:line="240" w:lineRule="auto"/>
        <w:ind w:firstLine="0"/>
        <w:jc w:val="both"/>
        <w:rPr>
          <w:bCs/>
          <w:color w:val="002060"/>
          <w:sz w:val="16"/>
          <w:szCs w:val="16"/>
        </w:rPr>
      </w:pPr>
      <w:r w:rsidRPr="00405303">
        <w:rPr>
          <w:bCs/>
          <w:color w:val="002060"/>
          <w:sz w:val="16"/>
          <w:szCs w:val="16"/>
        </w:rPr>
        <w:t>3. Увеличение коэффициента полезного действия на 15 %.</w:t>
      </w:r>
    </w:p>
    <w:p w14:paraId="2DCEE2E8" w14:textId="77777777" w:rsidR="00776E39" w:rsidRPr="00405303" w:rsidRDefault="00776E39" w:rsidP="00C15251">
      <w:pPr>
        <w:pStyle w:val="41"/>
        <w:shd w:val="clear" w:color="auto" w:fill="auto"/>
        <w:tabs>
          <w:tab w:val="left" w:pos="482"/>
        </w:tabs>
        <w:spacing w:line="240" w:lineRule="auto"/>
        <w:ind w:firstLine="0"/>
        <w:jc w:val="both"/>
        <w:rPr>
          <w:bCs/>
          <w:color w:val="002060"/>
          <w:sz w:val="16"/>
          <w:szCs w:val="16"/>
        </w:rPr>
      </w:pPr>
      <w:r w:rsidRPr="00405303">
        <w:rPr>
          <w:bCs/>
          <w:color w:val="002060"/>
          <w:sz w:val="16"/>
          <w:szCs w:val="16"/>
        </w:rPr>
        <w:t>4. Увеличение района действия аэроплана на 13 %.</w:t>
      </w:r>
    </w:p>
    <w:p w14:paraId="74E39F2B" w14:textId="77777777" w:rsidR="00776E39" w:rsidRPr="00405303" w:rsidRDefault="00776E39" w:rsidP="00C15251">
      <w:pPr>
        <w:pStyle w:val="41"/>
        <w:shd w:val="clear" w:color="auto" w:fill="auto"/>
        <w:tabs>
          <w:tab w:val="left" w:pos="482"/>
        </w:tabs>
        <w:spacing w:line="240" w:lineRule="auto"/>
        <w:ind w:firstLine="0"/>
        <w:jc w:val="both"/>
        <w:rPr>
          <w:bCs/>
          <w:color w:val="002060"/>
          <w:sz w:val="16"/>
          <w:szCs w:val="16"/>
        </w:rPr>
      </w:pPr>
      <w:r w:rsidRPr="00405303">
        <w:rPr>
          <w:bCs/>
          <w:color w:val="002060"/>
          <w:sz w:val="16"/>
          <w:szCs w:val="16"/>
        </w:rPr>
        <w:t>5. Отсутствие остающихся деформаций винта.</w:t>
      </w:r>
    </w:p>
    <w:p w14:paraId="5B5E19FF" w14:textId="77777777" w:rsidR="00776E39" w:rsidRPr="00405303" w:rsidRDefault="00776E39" w:rsidP="00C15251">
      <w:pPr>
        <w:pStyle w:val="41"/>
        <w:shd w:val="clear" w:color="auto" w:fill="auto"/>
        <w:tabs>
          <w:tab w:val="left" w:pos="473"/>
        </w:tabs>
        <w:spacing w:line="240" w:lineRule="auto"/>
        <w:ind w:firstLine="0"/>
        <w:jc w:val="both"/>
        <w:rPr>
          <w:bCs/>
          <w:color w:val="002060"/>
          <w:sz w:val="16"/>
          <w:szCs w:val="16"/>
        </w:rPr>
      </w:pPr>
      <w:r w:rsidRPr="00405303">
        <w:rPr>
          <w:bCs/>
          <w:color w:val="002060"/>
          <w:sz w:val="16"/>
          <w:szCs w:val="16"/>
        </w:rPr>
        <w:t>6. Уменьшение расхода бензина и масла, а также изнашиваемости мотора.</w:t>
      </w:r>
    </w:p>
    <w:p w14:paraId="441842B3" w14:textId="77777777" w:rsidR="00776E39" w:rsidRPr="00405303" w:rsidRDefault="00776E39" w:rsidP="00C15251">
      <w:pPr>
        <w:pStyle w:val="41"/>
        <w:shd w:val="clear" w:color="auto" w:fill="auto"/>
        <w:tabs>
          <w:tab w:val="left" w:pos="482"/>
        </w:tabs>
        <w:spacing w:line="240" w:lineRule="auto"/>
        <w:ind w:firstLine="0"/>
        <w:jc w:val="both"/>
        <w:rPr>
          <w:bCs/>
          <w:color w:val="002060"/>
          <w:sz w:val="16"/>
          <w:szCs w:val="16"/>
        </w:rPr>
      </w:pPr>
      <w:r w:rsidRPr="00405303">
        <w:rPr>
          <w:bCs/>
          <w:color w:val="002060"/>
          <w:sz w:val="16"/>
          <w:szCs w:val="16"/>
        </w:rPr>
        <w:t>7. Увеличение устойчивости полета аэроплана.</w:t>
      </w:r>
    </w:p>
    <w:p w14:paraId="71C3988D" w14:textId="77777777" w:rsidR="00776E39" w:rsidRPr="00405303" w:rsidRDefault="00776E39" w:rsidP="00C15251">
      <w:pPr>
        <w:pStyle w:val="22"/>
        <w:shd w:val="clear" w:color="auto" w:fill="auto"/>
        <w:spacing w:line="240" w:lineRule="auto"/>
        <w:ind w:firstLine="0"/>
        <w:jc w:val="both"/>
        <w:rPr>
          <w:bCs/>
          <w:color w:val="002060"/>
          <w:sz w:val="16"/>
          <w:szCs w:val="16"/>
        </w:rPr>
      </w:pPr>
      <w:r w:rsidRPr="00405303">
        <w:rPr>
          <w:bCs/>
          <w:color w:val="002060"/>
          <w:sz w:val="16"/>
          <w:szCs w:val="16"/>
        </w:rPr>
        <w:t>Таким образом винты «Г», представляя русскую конструкцию, неоднократ</w:t>
      </w:r>
      <w:r w:rsidRPr="00405303">
        <w:rPr>
          <w:bCs/>
          <w:color w:val="002060"/>
          <w:sz w:val="16"/>
          <w:szCs w:val="16"/>
        </w:rPr>
        <w:softHyphen/>
        <w:t>но испытанную в полетах как частными, так и официальными лицами, обла</w:t>
      </w:r>
      <w:r w:rsidRPr="00405303">
        <w:rPr>
          <w:bCs/>
          <w:color w:val="002060"/>
          <w:sz w:val="16"/>
          <w:szCs w:val="16"/>
        </w:rPr>
        <w:softHyphen/>
        <w:t>дают несомненными преимуществами перед винтами Шовьера во всех отно</w:t>
      </w:r>
      <w:r w:rsidRPr="00405303">
        <w:rPr>
          <w:bCs/>
          <w:color w:val="002060"/>
          <w:sz w:val="16"/>
          <w:szCs w:val="16"/>
        </w:rPr>
        <w:softHyphen/>
        <w:t>шениях, имеющих практическое значение».</w:t>
      </w:r>
    </w:p>
    <w:p w14:paraId="77C05D05" w14:textId="77777777" w:rsidR="00776E39" w:rsidRPr="00405303" w:rsidRDefault="00776E39" w:rsidP="00C15251">
      <w:pPr>
        <w:pStyle w:val="22"/>
        <w:shd w:val="clear" w:color="auto" w:fill="auto"/>
        <w:spacing w:line="240" w:lineRule="auto"/>
        <w:ind w:firstLine="0"/>
        <w:jc w:val="both"/>
        <w:rPr>
          <w:bCs/>
          <w:color w:val="002060"/>
          <w:sz w:val="16"/>
          <w:szCs w:val="16"/>
        </w:rPr>
      </w:pPr>
      <w:r w:rsidRPr="00405303">
        <w:rPr>
          <w:bCs/>
          <w:color w:val="002060"/>
          <w:sz w:val="16"/>
          <w:szCs w:val="16"/>
        </w:rPr>
        <w:t>Все шесть воздушных винтов, переданных для испытаний в Гатчинскую авиашколу, были приобретены военным ведомством у Григорашвили налич</w:t>
      </w:r>
      <w:r w:rsidRPr="00405303">
        <w:rPr>
          <w:bCs/>
          <w:color w:val="002060"/>
          <w:sz w:val="16"/>
          <w:szCs w:val="16"/>
        </w:rPr>
        <w:softHyphen/>
        <w:t>ной покупкой (15740).</w:t>
      </w:r>
    </w:p>
    <w:p w14:paraId="29BD7623" w14:textId="77777777" w:rsidR="00776E39" w:rsidRPr="00405303" w:rsidRDefault="00776E39" w:rsidP="00C15251">
      <w:pPr>
        <w:pStyle w:val="22"/>
        <w:shd w:val="clear" w:color="auto" w:fill="auto"/>
        <w:spacing w:line="240" w:lineRule="auto"/>
        <w:ind w:firstLine="0"/>
        <w:jc w:val="both"/>
        <w:rPr>
          <w:bCs/>
          <w:color w:val="002060"/>
          <w:sz w:val="16"/>
          <w:szCs w:val="16"/>
        </w:rPr>
      </w:pPr>
    </w:p>
    <w:p w14:paraId="6469F727"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503B7639" w14:textId="77777777" w:rsidR="004B4E35" w:rsidRPr="00405303" w:rsidRDefault="004B4E35" w:rsidP="00C15251">
      <w:pPr>
        <w:shd w:val="clear" w:color="auto" w:fill="FFFFFF"/>
        <w:jc w:val="both"/>
        <w:rPr>
          <w:bCs/>
          <w:i/>
          <w:color w:val="002060"/>
          <w:sz w:val="16"/>
          <w:szCs w:val="16"/>
        </w:rPr>
      </w:pPr>
    </w:p>
    <w:p w14:paraId="1433477F" w14:textId="77777777" w:rsidR="004B4E35" w:rsidRPr="00405303" w:rsidRDefault="009E6F82" w:rsidP="00C15251">
      <w:pPr>
        <w:jc w:val="both"/>
        <w:rPr>
          <w:bCs/>
          <w:color w:val="002060"/>
          <w:sz w:val="16"/>
          <w:szCs w:val="16"/>
        </w:rPr>
      </w:pPr>
      <w:r w:rsidRPr="00405303">
        <w:rPr>
          <w:bCs/>
          <w:color w:val="002060"/>
          <w:sz w:val="16"/>
          <w:szCs w:val="16"/>
        </w:rPr>
        <w:t>13 (26) сентября - летчики 1-й русской истребительной эскадрильи Казакова рассеяли и обратили в бегство 16 германских бомбардировщиков (11999).</w:t>
      </w:r>
    </w:p>
    <w:p w14:paraId="0E4A7E00" w14:textId="433557CF" w:rsidR="004B4E35" w:rsidRPr="00405303" w:rsidRDefault="004B4E35" w:rsidP="00C15251">
      <w:pPr>
        <w:jc w:val="both"/>
        <w:rPr>
          <w:bCs/>
          <w:color w:val="002060"/>
          <w:sz w:val="16"/>
          <w:szCs w:val="16"/>
        </w:rPr>
      </w:pPr>
    </w:p>
    <w:p w14:paraId="6CAA2B42" w14:textId="77777777" w:rsidR="00D1645F" w:rsidRPr="00405303" w:rsidRDefault="00D1645F" w:rsidP="00D1645F">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13 (26) сентября 1915 г. на р. Стыри у Рафаловки (Ровенская губ.) опустился немецкий аэроплан. Экипажу удалось исправить неполадки с мотором, но подоспевший наш конный разъезд взял германских летчиков в плен.</w:t>
      </w:r>
    </w:p>
    <w:p w14:paraId="574A6222" w14:textId="77777777" w:rsidR="00D1645F" w:rsidRPr="00405303" w:rsidRDefault="00D1645F" w:rsidP="00D1645F">
      <w:pPr>
        <w:jc w:val="both"/>
        <w:rPr>
          <w:color w:val="0070C0"/>
          <w:sz w:val="16"/>
          <w:szCs w:val="16"/>
        </w:rPr>
      </w:pPr>
      <w:r w:rsidRPr="00405303">
        <w:rPr>
          <w:rStyle w:val="aa"/>
          <w:rFonts w:ascii="Times New Roman" w:hAnsi="Times New Roman"/>
          <w:color w:val="0070C0"/>
          <w:spacing w:val="0"/>
          <w:sz w:val="16"/>
          <w:szCs w:val="16"/>
        </w:rPr>
        <w:t>Через несколько дней в Митавском районе по схожему сценарию был пленен очередной экипаж немецкого самолет</w:t>
      </w:r>
      <w:hyperlink w:anchor="bookmark1333" w:tooltip="Current Document">
        <w:r w:rsidRPr="00405303">
          <w:rPr>
            <w:rStyle w:val="aa"/>
            <w:rFonts w:ascii="Times New Roman" w:hAnsi="Times New Roman"/>
            <w:color w:val="0070C0"/>
            <w:spacing w:val="0"/>
            <w:sz w:val="16"/>
            <w:szCs w:val="16"/>
          </w:rPr>
          <w:t>а (25135)</w:t>
        </w:r>
      </w:hyperlink>
      <w:r w:rsidRPr="00405303">
        <w:rPr>
          <w:rStyle w:val="aa"/>
          <w:rFonts w:ascii="Times New Roman" w:hAnsi="Times New Roman"/>
          <w:color w:val="0070C0"/>
          <w:spacing w:val="0"/>
          <w:sz w:val="16"/>
          <w:szCs w:val="16"/>
        </w:rPr>
        <w:t>.</w:t>
      </w:r>
    </w:p>
    <w:p w14:paraId="5BA3A690" w14:textId="77777777" w:rsidR="00D1645F" w:rsidRPr="00405303" w:rsidRDefault="00D1645F" w:rsidP="00D1645F">
      <w:pPr>
        <w:jc w:val="both"/>
        <w:rPr>
          <w:rStyle w:val="aa"/>
          <w:rFonts w:ascii="Times New Roman" w:hAnsi="Times New Roman"/>
          <w:color w:val="0070C0"/>
          <w:spacing w:val="0"/>
          <w:sz w:val="16"/>
          <w:szCs w:val="16"/>
        </w:rPr>
      </w:pPr>
    </w:p>
    <w:p w14:paraId="70767DA2" w14:textId="75EA269B" w:rsidR="00A71527" w:rsidRPr="00405303" w:rsidRDefault="00A71527" w:rsidP="00C15251">
      <w:pPr>
        <w:jc w:val="both"/>
        <w:rPr>
          <w:bCs/>
          <w:i/>
          <w:iCs/>
          <w:color w:val="002060"/>
          <w:sz w:val="16"/>
          <w:szCs w:val="16"/>
        </w:rPr>
      </w:pPr>
      <w:r w:rsidRPr="00405303">
        <w:rPr>
          <w:bCs/>
          <w:i/>
          <w:iCs/>
          <w:color w:val="002060"/>
          <w:sz w:val="16"/>
          <w:szCs w:val="16"/>
        </w:rPr>
        <w:t>Армия:</w:t>
      </w:r>
    </w:p>
    <w:p w14:paraId="079D9BA1" w14:textId="77777777" w:rsidR="00A71527" w:rsidRPr="00405303" w:rsidRDefault="00A71527" w:rsidP="00C15251">
      <w:pPr>
        <w:jc w:val="both"/>
        <w:rPr>
          <w:bCs/>
          <w:i/>
          <w:iCs/>
          <w:color w:val="002060"/>
          <w:sz w:val="16"/>
          <w:szCs w:val="16"/>
        </w:rPr>
      </w:pPr>
    </w:p>
    <w:p w14:paraId="3E08DF57" w14:textId="6E24BAF7" w:rsidR="00A71527" w:rsidRPr="00405303" w:rsidRDefault="00A71527" w:rsidP="00C15251">
      <w:pPr>
        <w:jc w:val="both"/>
        <w:rPr>
          <w:bCs/>
          <w:color w:val="002060"/>
          <w:sz w:val="16"/>
          <w:szCs w:val="16"/>
        </w:rPr>
      </w:pPr>
      <w:r w:rsidRPr="00405303">
        <w:rPr>
          <w:bCs/>
          <w:color w:val="002060"/>
          <w:sz w:val="16"/>
          <w:szCs w:val="16"/>
        </w:rPr>
        <w:t xml:space="preserve">С 13 по 15 (25-28) октября 1915 года линкор «Императрица Мария» прикрывал действия 2-й бригады линейных кораблей «Пантелеймон», «Иоаннн Златоуст» и «Евстафий». </w:t>
      </w:r>
    </w:p>
    <w:p w14:paraId="6E7DED53" w14:textId="77777777" w:rsidR="00A71527" w:rsidRPr="00405303" w:rsidRDefault="00A71527" w:rsidP="00C15251">
      <w:pPr>
        <w:jc w:val="both"/>
        <w:rPr>
          <w:bCs/>
          <w:color w:val="002060"/>
          <w:sz w:val="16"/>
          <w:szCs w:val="16"/>
        </w:rPr>
      </w:pPr>
      <w:r w:rsidRPr="00405303">
        <w:rPr>
          <w:bCs/>
          <w:color w:val="002060"/>
          <w:sz w:val="16"/>
          <w:szCs w:val="16"/>
        </w:rPr>
        <w:t xml:space="preserve">Со 2 по 4 (15-15) и с 6 по 8 (19-21) ноября 1915 года «Императрица Мария» содействовал 2-й бригаде во время обстрела Варны и Евсинограда. С 5 февраля по 18 апреля 1916 года участвовал в Трапезундской наступательной операции. В течение июня — октября 1916 года «Императрица Мария» совершила 24 эффективных боевых похода. В частности, 22 мая 1916 года она осуществила перехват немецкого крейсера «Бреслау». Если бы немецкий крейсер не спрятался за плотной стеной дождя </w:t>
      </w:r>
    </w:p>
    <w:p w14:paraId="700677F8" w14:textId="77777777" w:rsidR="00A71527" w:rsidRPr="00405303" w:rsidRDefault="00A71527" w:rsidP="00C15251">
      <w:pPr>
        <w:jc w:val="both"/>
        <w:rPr>
          <w:bCs/>
          <w:color w:val="002060"/>
          <w:sz w:val="16"/>
          <w:szCs w:val="16"/>
        </w:rPr>
      </w:pPr>
    </w:p>
    <w:p w14:paraId="758DC5DE" w14:textId="4E4E0EF9" w:rsidR="00115A99" w:rsidRPr="00405303" w:rsidRDefault="00115A99" w:rsidP="00C15251">
      <w:pPr>
        <w:jc w:val="both"/>
        <w:rPr>
          <w:bCs/>
          <w:color w:val="002060"/>
          <w:sz w:val="16"/>
          <w:szCs w:val="16"/>
        </w:rPr>
      </w:pPr>
      <w:r w:rsidRPr="00405303">
        <w:rPr>
          <w:bCs/>
          <w:color w:val="002060"/>
          <w:sz w:val="16"/>
          <w:szCs w:val="16"/>
          <w:lang w:bidi="en-US"/>
        </w:rPr>
        <w:t>13 (26) сентября 1915 г. растущее сопротивление русских на Северном и Северо-Западном фронтах вынудило немцев отказаться от атак. Обе стороны начинают закрепляться на новых рубежах (23525).</w:t>
      </w:r>
    </w:p>
    <w:p w14:paraId="5AECD028" w14:textId="77777777" w:rsidR="00115A99" w:rsidRPr="00405303" w:rsidRDefault="00115A99" w:rsidP="00C15251">
      <w:pPr>
        <w:jc w:val="both"/>
        <w:rPr>
          <w:bCs/>
          <w:color w:val="002060"/>
          <w:sz w:val="16"/>
          <w:szCs w:val="16"/>
          <w:lang w:bidi="en-US"/>
        </w:rPr>
      </w:pPr>
    </w:p>
    <w:p w14:paraId="5AD07594"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0A3B95B9" w14:textId="77777777" w:rsidR="004B4E35" w:rsidRPr="00405303" w:rsidRDefault="004B4E35" w:rsidP="00C15251">
      <w:pPr>
        <w:shd w:val="clear" w:color="auto" w:fill="FFFFFF"/>
        <w:jc w:val="both"/>
        <w:rPr>
          <w:bCs/>
          <w:i/>
          <w:color w:val="002060"/>
          <w:sz w:val="16"/>
          <w:szCs w:val="16"/>
        </w:rPr>
      </w:pPr>
    </w:p>
    <w:p w14:paraId="2AEB7D5A" w14:textId="17E8445D" w:rsidR="00776E39" w:rsidRPr="00405303" w:rsidRDefault="00776E39" w:rsidP="00C15251">
      <w:pPr>
        <w:jc w:val="both"/>
        <w:rPr>
          <w:bCs/>
          <w:color w:val="002060"/>
          <w:sz w:val="16"/>
          <w:szCs w:val="16"/>
        </w:rPr>
      </w:pPr>
      <w:r w:rsidRPr="00405303">
        <w:rPr>
          <w:bCs/>
          <w:color w:val="002060"/>
          <w:sz w:val="16"/>
          <w:szCs w:val="16"/>
        </w:rPr>
        <w:t xml:space="preserve">14 </w:t>
      </w:r>
      <w:r w:rsidR="00C2199C" w:rsidRPr="00405303">
        <w:rPr>
          <w:bCs/>
          <w:color w:val="002060"/>
          <w:sz w:val="16"/>
          <w:szCs w:val="16"/>
        </w:rPr>
        <w:t xml:space="preserve">(27) </w:t>
      </w:r>
      <w:r w:rsidRPr="00405303">
        <w:rPr>
          <w:bCs/>
          <w:color w:val="002060"/>
          <w:sz w:val="16"/>
          <w:szCs w:val="16"/>
        </w:rPr>
        <w:t>сентября 1915 г. Н. Е. Жуковский составил для военного ведомства отчет об испытаниях бомб, к которому прилагались протокол испытания и два чертежа.</w:t>
      </w:r>
    </w:p>
    <w:p w14:paraId="2734A071" w14:textId="77777777" w:rsidR="00776E39" w:rsidRPr="00405303" w:rsidRDefault="00776E39" w:rsidP="00C15251">
      <w:pPr>
        <w:jc w:val="both"/>
        <w:rPr>
          <w:bCs/>
          <w:color w:val="002060"/>
          <w:sz w:val="16"/>
          <w:szCs w:val="16"/>
        </w:rPr>
      </w:pPr>
      <w:r w:rsidRPr="00405303">
        <w:rPr>
          <w:bCs/>
          <w:color w:val="002060"/>
          <w:sz w:val="16"/>
          <w:szCs w:val="16"/>
        </w:rPr>
        <w:t>Эти документы свидетельствуют, что ученым удалось создать весьма эффективные зажигательные снаряды. Из нескольких систем, испытанных при лаборатории, наиболее удачными были малые авиабомбы, спроектированные Б. Н. Юрьевым и Б. С. Стечкиным. Зажигательный снаряд прапорщика Б. Н. Юрьева "Стрела" состоял из тонкостенного сосуда и специального приспособления для разбрызгивания горючего. "Стрела" сбрасывалась с крыши МВТУ и, как свидетельствует Н. Е. Жуковский, давала большой радиус зажигательного района".</w:t>
      </w:r>
    </w:p>
    <w:p w14:paraId="28FBD21D" w14:textId="77777777" w:rsidR="00776E39" w:rsidRPr="00405303" w:rsidRDefault="00776E39" w:rsidP="00C15251">
      <w:pPr>
        <w:jc w:val="both"/>
        <w:rPr>
          <w:bCs/>
          <w:color w:val="002060"/>
          <w:sz w:val="16"/>
          <w:szCs w:val="16"/>
        </w:rPr>
      </w:pPr>
      <w:r w:rsidRPr="00405303">
        <w:rPr>
          <w:bCs/>
          <w:color w:val="002060"/>
          <w:sz w:val="16"/>
          <w:szCs w:val="16"/>
        </w:rPr>
        <w:t>Однако сбрасывание стрел с незначительной высоты не давало полной картины испытаний. Н. Е. Жуковскому удалось добиться прикомандирования для проведения опытов летчика Гулевича с самолетом "Ньюпор". После того как зажигательные снаряды были сброшены с самолета, Н. Е. Жуковский пришел к выводу, "что горючая жидкость, падая на землю с большой высоты в тонкостенных сосудах, сама весьма хорошо разбрызгивается, потому специальных приспособлений для разбрызгивания, как это было в стреле Б. Н. Юрьева, нет надобности применять".</w:t>
      </w:r>
    </w:p>
    <w:p w14:paraId="5FB86BD0" w14:textId="77777777" w:rsidR="00776E39" w:rsidRPr="00405303" w:rsidRDefault="00776E39" w:rsidP="00C15251">
      <w:pPr>
        <w:jc w:val="both"/>
        <w:rPr>
          <w:bCs/>
          <w:color w:val="002060"/>
          <w:sz w:val="16"/>
          <w:szCs w:val="16"/>
        </w:rPr>
      </w:pPr>
      <w:r w:rsidRPr="00405303">
        <w:rPr>
          <w:bCs/>
          <w:color w:val="002060"/>
          <w:sz w:val="16"/>
          <w:szCs w:val="16"/>
        </w:rPr>
        <w:t>Зажигательный снаряд Б. С. Стечкина и Синягина состоял из бычьего пузыря, наполненного паклей, бензином и нефтяными остатками. Воспламенителем служили две стеклянные пробирки, вставленные одна в другую. В одной находилась серная кислота, в другой - вата, осыпанная марганцовокислым калием. При падении пробирки разбивались, и смесь воспламенялась. Как утверждал Н. Е. Жуковский, "при сбрасывании с аэроплана зажигательных бомб Б. С. Стечкина (около 20 штук) не было ни одного отказа". Снаряд студента А. А. Микулина относился к бомбам тяжелого типа. Он состоял из жестяного корпуса, наполненного паклей, нефтью и бензином. Бомба в своей верхней части была снабжена четырехлопастным стабилизатором. В нижней части находился ударный воспламенитель с предохранительной чекой и воздушным винтом, заимствованный из взрывателя, разработанного для фугасных авиабомб капитаном Орановским. При ударе снаряда о землю на жало ударника садился патрон с дымным порохом. Вспышка пороха воспламеняла содержание авиабомбы.</w:t>
      </w:r>
    </w:p>
    <w:p w14:paraId="410CFD21" w14:textId="77777777" w:rsidR="00776E39" w:rsidRPr="00405303" w:rsidRDefault="00776E39" w:rsidP="00C15251">
      <w:pPr>
        <w:jc w:val="both"/>
        <w:rPr>
          <w:bCs/>
          <w:color w:val="002060"/>
          <w:sz w:val="16"/>
          <w:szCs w:val="16"/>
        </w:rPr>
      </w:pPr>
      <w:r w:rsidRPr="00405303">
        <w:rPr>
          <w:bCs/>
          <w:color w:val="002060"/>
          <w:sz w:val="16"/>
          <w:szCs w:val="16"/>
        </w:rPr>
        <w:t xml:space="preserve">Аэродинамическая лаборатория МВТУ изготовила 15 бомб системы Стечкина и 20 бомб системы Микулина для испытания в боевых условиях в авиаотряде, находившемся в крепости </w:t>
      </w:r>
      <w:proofErr w:type="gramStart"/>
      <w:r w:rsidRPr="00405303">
        <w:rPr>
          <w:bCs/>
          <w:color w:val="002060"/>
          <w:sz w:val="16"/>
          <w:szCs w:val="16"/>
        </w:rPr>
        <w:t>Иван-город</w:t>
      </w:r>
      <w:proofErr w:type="gramEnd"/>
      <w:r w:rsidRPr="00405303">
        <w:rPr>
          <w:bCs/>
          <w:color w:val="002060"/>
          <w:sz w:val="16"/>
          <w:szCs w:val="16"/>
        </w:rPr>
        <w:t>. В испытаниях участвовал полковник Вегенер, командовавший там воздухоплавательной ротой (18738).</w:t>
      </w:r>
    </w:p>
    <w:p w14:paraId="2A57AA6A" w14:textId="77777777" w:rsidR="00776E39" w:rsidRPr="00405303" w:rsidRDefault="00776E39" w:rsidP="00C15251">
      <w:pPr>
        <w:jc w:val="both"/>
        <w:rPr>
          <w:bCs/>
          <w:color w:val="002060"/>
          <w:sz w:val="16"/>
          <w:szCs w:val="16"/>
        </w:rPr>
      </w:pPr>
    </w:p>
    <w:p w14:paraId="00316CA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14 (27) сентября 1915 Проф. Н.Е.Жуковский представил в Главное ВТУ отчет об испытании зажигательных снарядов, проведенных в июне-июле: прапорщика Б.Н.Юрьева и студентов А.А.Микулина и Б.С.Стечкина. Зажигательная стрела Юрьева и зажигательная бомба ргечкина сбрасывались с высоты 15 м и давали большое пламя на большом радиусе. Зажигательная бомба Никулина сбрасывалась с самолета. Опыты прошли удачно. Горючее в зажигательных снарядах - смесь керосина, бензина и скипидара. Внутренность снаряда заполнялась паклей и льняными очесами. Все эти снаряды применялись на фронте (ЦГВИА. ф.24, кор.219, д.9483, лл.185, 210).</w:t>
      </w:r>
    </w:p>
    <w:p w14:paraId="03228C87" w14:textId="77777777" w:rsidR="004B4E35" w:rsidRPr="00405303" w:rsidRDefault="004B4E35" w:rsidP="00C15251">
      <w:pPr>
        <w:shd w:val="clear" w:color="auto" w:fill="FFFFFF"/>
        <w:jc w:val="both"/>
        <w:rPr>
          <w:bCs/>
          <w:color w:val="002060"/>
          <w:sz w:val="16"/>
          <w:szCs w:val="16"/>
        </w:rPr>
      </w:pPr>
    </w:p>
    <w:p w14:paraId="46DB59DC" w14:textId="77F0FD40" w:rsidR="004B4E35" w:rsidRPr="00405303" w:rsidRDefault="009E6F82" w:rsidP="00C15251">
      <w:pPr>
        <w:jc w:val="both"/>
        <w:rPr>
          <w:bCs/>
          <w:color w:val="002060"/>
          <w:sz w:val="16"/>
          <w:szCs w:val="16"/>
        </w:rPr>
      </w:pPr>
      <w:r w:rsidRPr="00405303">
        <w:rPr>
          <w:bCs/>
          <w:color w:val="002060"/>
          <w:sz w:val="16"/>
          <w:szCs w:val="16"/>
        </w:rPr>
        <w:t xml:space="preserve">14 (27) сентября </w:t>
      </w:r>
      <w:r w:rsidR="0090032C" w:rsidRPr="00405303">
        <w:rPr>
          <w:bCs/>
          <w:color w:val="002060"/>
          <w:sz w:val="16"/>
          <w:szCs w:val="16"/>
        </w:rPr>
        <w:t>1915 г.</w:t>
      </w:r>
      <w:r w:rsidRPr="00405303">
        <w:rPr>
          <w:bCs/>
          <w:color w:val="002060"/>
          <w:sz w:val="16"/>
          <w:szCs w:val="16"/>
        </w:rPr>
        <w:t xml:space="preserve"> </w:t>
      </w:r>
      <w:r w:rsidR="0090032C" w:rsidRPr="00405303">
        <w:rPr>
          <w:bCs/>
          <w:color w:val="002060"/>
          <w:sz w:val="16"/>
          <w:szCs w:val="16"/>
        </w:rPr>
        <w:t>и</w:t>
      </w:r>
      <w:r w:rsidRPr="00405303">
        <w:rPr>
          <w:bCs/>
          <w:color w:val="002060"/>
          <w:sz w:val="16"/>
          <w:szCs w:val="16"/>
        </w:rPr>
        <w:t>з отчета профессора Н.Е. Жуковского Военному ведомству об испытаниях зажигательных бомб в июне-июле 1915 года:</w:t>
      </w:r>
    </w:p>
    <w:p w14:paraId="68132D6D" w14:textId="77777777" w:rsidR="004B4E35" w:rsidRPr="00405303" w:rsidRDefault="009E6F82" w:rsidP="00C15251">
      <w:pPr>
        <w:jc w:val="both"/>
        <w:rPr>
          <w:bCs/>
          <w:color w:val="002060"/>
          <w:sz w:val="16"/>
          <w:szCs w:val="16"/>
        </w:rPr>
      </w:pPr>
      <w:r w:rsidRPr="00405303">
        <w:rPr>
          <w:bCs/>
          <w:color w:val="002060"/>
          <w:sz w:val="16"/>
          <w:szCs w:val="16"/>
        </w:rPr>
        <w:t>"Испытания сначала производились при Аэродинамической лаборатории императорского технического училища, причем испытывались различные системы зажигательных снарядов, из которых оказались удовлетворительными стрела, спроектированная прапорщиком Б. Н. Юрьевым, и аппарате химическим запальником, спроектированный студентом Имп. Техн. Училищ. Б. С. Стечкиным. Эти два аппарата сбрасывались с высоты около 15 м (крыша физического института ИТУ) и давали большое пламя, причем стрела, имеющая специальное приспособление для разбрасывания горючей жидкости, давала большой радиус зажигательного района. Кроме того, были разработаны и приготовлены студентом Имп. Техн. Уч. А. А. Микулиным в лаборатории образцы больших зажигательных бомб, для сбрасывания которых необходима была большая высота...</w:t>
      </w:r>
    </w:p>
    <w:p w14:paraId="42C2AD00" w14:textId="77777777" w:rsidR="004B4E35" w:rsidRPr="00405303" w:rsidRDefault="009E6F82" w:rsidP="00C15251">
      <w:pPr>
        <w:jc w:val="both"/>
        <w:rPr>
          <w:bCs/>
          <w:color w:val="002060"/>
          <w:sz w:val="16"/>
          <w:szCs w:val="16"/>
        </w:rPr>
      </w:pPr>
      <w:r w:rsidRPr="00405303">
        <w:rPr>
          <w:bCs/>
          <w:color w:val="002060"/>
          <w:sz w:val="16"/>
          <w:szCs w:val="16"/>
        </w:rPr>
        <w:t>При опытах сбрасывания с аэроплана оказалось, что горючая жидкость, падая на землю с большой высоты в тонкостенных сосудах, сама весьма хорошо разбрызгивается, поэтому специальные приспособления для разбрызгивания, как это было в стреле Б.Н. Юрьева, нет надобности применять;</w:t>
      </w:r>
    </w:p>
    <w:p w14:paraId="4173C340" w14:textId="77777777" w:rsidR="004B4E35" w:rsidRPr="00405303" w:rsidRDefault="009E6F82" w:rsidP="00C15251">
      <w:pPr>
        <w:jc w:val="both"/>
        <w:rPr>
          <w:bCs/>
          <w:color w:val="002060"/>
          <w:sz w:val="16"/>
          <w:szCs w:val="16"/>
        </w:rPr>
      </w:pPr>
      <w:r w:rsidRPr="00405303">
        <w:rPr>
          <w:bCs/>
          <w:color w:val="002060"/>
          <w:sz w:val="16"/>
          <w:szCs w:val="16"/>
        </w:rPr>
        <w:t>вследствие этого опыты со стрелами были приостановлены, и все внимание было направлено на опыты с зажигательными снарядами системы Б. С. Стечкина и А. А. Микулина.</w:t>
      </w:r>
    </w:p>
    <w:p w14:paraId="11163775" w14:textId="77777777" w:rsidR="004B4E35" w:rsidRPr="00405303" w:rsidRDefault="009E6F82" w:rsidP="00C15251">
      <w:pPr>
        <w:jc w:val="both"/>
        <w:rPr>
          <w:bCs/>
          <w:color w:val="002060"/>
          <w:sz w:val="16"/>
          <w:szCs w:val="16"/>
        </w:rPr>
      </w:pPr>
      <w:r w:rsidRPr="00405303">
        <w:rPr>
          <w:bCs/>
          <w:color w:val="002060"/>
          <w:sz w:val="16"/>
          <w:szCs w:val="16"/>
        </w:rPr>
        <w:t>Как горючее употреблялась смесь керосина, бензина и скипидара, причем внутренность бомбы еще наполнялась паклей и льняными очесами.</w:t>
      </w:r>
    </w:p>
    <w:p w14:paraId="1C5A48BD" w14:textId="77777777" w:rsidR="004B4E35" w:rsidRPr="00405303" w:rsidRDefault="009E6F82" w:rsidP="00C15251">
      <w:pPr>
        <w:jc w:val="both"/>
        <w:rPr>
          <w:bCs/>
          <w:color w:val="002060"/>
          <w:sz w:val="16"/>
          <w:szCs w:val="16"/>
        </w:rPr>
      </w:pPr>
      <w:r w:rsidRPr="00405303">
        <w:rPr>
          <w:bCs/>
          <w:color w:val="002060"/>
          <w:sz w:val="16"/>
          <w:szCs w:val="16"/>
        </w:rPr>
        <w:t>Зажигание производилось при падении бомбы на землю. В запальнике Б.С. Стечкина его зажигание получалось при соединении серной кислоты с ватой, пропитанной порошком марганцевокислого калия, запаянная ампулка с серной кислотой завертывалась в эту самую вату и все вместе помещалось в широкую пробирку, на которую надевалось свинцовое кольцо, которое при падении разбивает обе пробирки. На аэроплане запальник является безопасным вследствие того, что кольцо не позволяет ему ни сжаться, ни сместиться... При сбрасывании с аэроплана зажигательных бомб Б. С. Стечкина (около 20 штук) не было ни одного отказа...</w:t>
      </w:r>
    </w:p>
    <w:p w14:paraId="4EA54E34" w14:textId="77777777" w:rsidR="004B4E35" w:rsidRPr="00405303" w:rsidRDefault="009E6F82" w:rsidP="00C15251">
      <w:pPr>
        <w:jc w:val="both"/>
        <w:rPr>
          <w:bCs/>
          <w:color w:val="002060"/>
          <w:sz w:val="16"/>
          <w:szCs w:val="16"/>
        </w:rPr>
      </w:pPr>
      <w:r w:rsidRPr="00405303">
        <w:rPr>
          <w:bCs/>
          <w:color w:val="002060"/>
          <w:sz w:val="16"/>
          <w:szCs w:val="16"/>
        </w:rPr>
        <w:t>При испытании зажигательных аппаратов была сделана небольшая партия из 20 бомб системы Микулина и 150 бомб системы Стечкина и послана для пробы в Ивангород к полковнику Вегенеру..." (11999).</w:t>
      </w:r>
    </w:p>
    <w:p w14:paraId="36B60F09" w14:textId="77777777" w:rsidR="004B4E35" w:rsidRPr="00405303" w:rsidRDefault="004B4E35" w:rsidP="00C15251">
      <w:pPr>
        <w:jc w:val="both"/>
        <w:rPr>
          <w:bCs/>
          <w:color w:val="002060"/>
          <w:sz w:val="16"/>
          <w:szCs w:val="16"/>
        </w:rPr>
      </w:pPr>
    </w:p>
    <w:p w14:paraId="4197B9D2" w14:textId="7B5FD1BD" w:rsidR="00D032E2" w:rsidRPr="00405303" w:rsidRDefault="00D032E2" w:rsidP="00C15251">
      <w:pPr>
        <w:jc w:val="both"/>
        <w:rPr>
          <w:bCs/>
          <w:color w:val="002060"/>
          <w:sz w:val="16"/>
          <w:szCs w:val="16"/>
        </w:rPr>
      </w:pPr>
      <w:r w:rsidRPr="00405303">
        <w:rPr>
          <w:bCs/>
          <w:color w:val="002060"/>
          <w:sz w:val="16"/>
          <w:szCs w:val="16"/>
        </w:rPr>
        <w:t>14 (27) сентября 1915 г. был составлен отчет об испытаниях зажигательных снарядов малого и большого калибра.</w:t>
      </w:r>
    </w:p>
    <w:p w14:paraId="74C094B0" w14:textId="77777777" w:rsidR="00D032E2" w:rsidRPr="00405303" w:rsidRDefault="00D032E2" w:rsidP="00C15251">
      <w:pPr>
        <w:jc w:val="both"/>
        <w:rPr>
          <w:bCs/>
          <w:color w:val="002060"/>
          <w:sz w:val="16"/>
          <w:szCs w:val="16"/>
        </w:rPr>
      </w:pPr>
      <w:r w:rsidRPr="00405303">
        <w:rPr>
          <w:bCs/>
          <w:color w:val="002060"/>
          <w:sz w:val="16"/>
          <w:szCs w:val="16"/>
        </w:rPr>
        <w:t>Заведующий авиацией и воздухоплаванием в действующей армии в июле 1915 г. обратился к профессору Жуковскому с просьбой изыскать способы изготовления зажигательных снарядов малого и большого калибра. Для оргаиизации опытов ГВТУ отпустило в его распоряжение 1500 рублей. К решению задачи Жуковский привлек своих учеников: Б. Н. Юрьева, Б. С. Стечкина, В. П. Ветчинкина и др. (11999).</w:t>
      </w:r>
    </w:p>
    <w:p w14:paraId="1B151741" w14:textId="77777777" w:rsidR="00D032E2" w:rsidRPr="00405303" w:rsidRDefault="00D032E2" w:rsidP="00C15251">
      <w:pPr>
        <w:jc w:val="both"/>
        <w:rPr>
          <w:bCs/>
          <w:color w:val="002060"/>
          <w:sz w:val="16"/>
          <w:szCs w:val="16"/>
        </w:rPr>
      </w:pPr>
    </w:p>
    <w:p w14:paraId="43789F3C" w14:textId="77777777" w:rsidR="00CC7E0A" w:rsidRPr="00405303" w:rsidRDefault="00CC7E0A" w:rsidP="00C15251">
      <w:pPr>
        <w:jc w:val="both"/>
        <w:rPr>
          <w:bCs/>
          <w:color w:val="002060"/>
          <w:sz w:val="16"/>
          <w:szCs w:val="16"/>
        </w:rPr>
      </w:pPr>
      <w:bookmarkStart w:id="239" w:name="bookmark0"/>
      <w:r w:rsidRPr="00405303">
        <w:rPr>
          <w:bCs/>
          <w:color w:val="002060"/>
          <w:sz w:val="16"/>
          <w:szCs w:val="16"/>
        </w:rPr>
        <w:t>14 (27) сентября 1915 г. проф. Н.Е.Жуковский представил в главное ВТУ отчет об испытании зажигательных снарядов, проведенных в июне-июле: прапорщика</w:t>
      </w:r>
      <w:bookmarkEnd w:id="239"/>
      <w:r w:rsidRPr="00405303">
        <w:rPr>
          <w:bCs/>
          <w:color w:val="002060"/>
          <w:sz w:val="16"/>
          <w:szCs w:val="16"/>
        </w:rPr>
        <w:t xml:space="preserve"> </w:t>
      </w:r>
      <w:bookmarkStart w:id="240" w:name="bookmark2"/>
      <w:r w:rsidRPr="00405303">
        <w:rPr>
          <w:bCs/>
          <w:color w:val="002060"/>
          <w:sz w:val="16"/>
          <w:szCs w:val="16"/>
        </w:rPr>
        <w:t>В.Н.Юрьева и студентов А.А.Никулина и Б.С.Стечкина. Зажигательная стрела Юрьева и зажигательная бомба Стечкина сбрасывались с высоты 15 м и давали большое пламя на большом радиусе. Зажигательная</w:t>
      </w:r>
      <w:bookmarkEnd w:id="240"/>
      <w:r w:rsidRPr="00405303">
        <w:rPr>
          <w:bCs/>
          <w:color w:val="002060"/>
          <w:sz w:val="16"/>
          <w:szCs w:val="16"/>
        </w:rPr>
        <w:t xml:space="preserve"> бо</w:t>
      </w:r>
      <w:bookmarkStart w:id="241" w:name="bookmark4"/>
      <w:r w:rsidRPr="00405303">
        <w:rPr>
          <w:bCs/>
          <w:color w:val="002060"/>
          <w:sz w:val="16"/>
          <w:szCs w:val="16"/>
        </w:rPr>
        <w:t xml:space="preserve">мба Никулина сбрасывалась с самолета. Опыты прошли удачно. Горючее </w:t>
      </w:r>
      <w:bookmarkStart w:id="242" w:name="bookmark6"/>
      <w:bookmarkEnd w:id="241"/>
      <w:r w:rsidRPr="00405303">
        <w:rPr>
          <w:bCs/>
          <w:color w:val="002060"/>
          <w:sz w:val="16"/>
          <w:szCs w:val="16"/>
        </w:rPr>
        <w:t>в зажигательных снарядах - смесь керосина, бензина и скипидара. Вн</w:t>
      </w:r>
      <w:bookmarkStart w:id="243" w:name="bookmark8"/>
      <w:bookmarkEnd w:id="242"/>
      <w:r w:rsidRPr="00405303">
        <w:rPr>
          <w:bCs/>
          <w:color w:val="002060"/>
          <w:sz w:val="16"/>
          <w:szCs w:val="16"/>
        </w:rPr>
        <w:t>утренность снаряда заполнялась паклей и льняными очесами. Все эти сна</w:t>
      </w:r>
      <w:bookmarkStart w:id="244" w:name="bookmark10"/>
      <w:bookmarkEnd w:id="243"/>
      <w:r w:rsidRPr="00405303">
        <w:rPr>
          <w:bCs/>
          <w:color w:val="002060"/>
          <w:sz w:val="16"/>
          <w:szCs w:val="16"/>
        </w:rPr>
        <w:t>ряды применялись и на фронте.</w:t>
      </w:r>
      <w:bookmarkEnd w:id="244"/>
    </w:p>
    <w:p w14:paraId="05819638" w14:textId="77777777" w:rsidR="00CC7E0A" w:rsidRPr="00405303" w:rsidRDefault="00CC7E0A" w:rsidP="00C15251">
      <w:pPr>
        <w:jc w:val="both"/>
        <w:rPr>
          <w:bCs/>
          <w:color w:val="002060"/>
          <w:sz w:val="16"/>
          <w:szCs w:val="16"/>
        </w:rPr>
      </w:pPr>
      <w:bookmarkStart w:id="245" w:name="bookmark12"/>
      <w:r w:rsidRPr="00405303">
        <w:rPr>
          <w:bCs/>
          <w:color w:val="002060"/>
          <w:sz w:val="16"/>
          <w:szCs w:val="16"/>
        </w:rPr>
        <w:t>/ЦГВИА, ф. 24, кор. 219, д. 9432, лл. 185, 210/</w:t>
      </w:r>
      <w:bookmarkEnd w:id="245"/>
      <w:r w:rsidRPr="00405303">
        <w:rPr>
          <w:bCs/>
          <w:color w:val="002060"/>
          <w:sz w:val="16"/>
          <w:szCs w:val="16"/>
        </w:rPr>
        <w:t xml:space="preserve"> (23320).</w:t>
      </w:r>
    </w:p>
    <w:p w14:paraId="576C9884" w14:textId="77777777" w:rsidR="00CC7E0A" w:rsidRPr="00405303" w:rsidRDefault="00CC7E0A" w:rsidP="00C15251">
      <w:pPr>
        <w:jc w:val="both"/>
        <w:rPr>
          <w:bCs/>
          <w:color w:val="002060"/>
          <w:sz w:val="16"/>
          <w:szCs w:val="16"/>
        </w:rPr>
      </w:pPr>
    </w:p>
    <w:p w14:paraId="15B7AAC5" w14:textId="15C43782" w:rsidR="00640576" w:rsidRPr="00405303" w:rsidRDefault="00640576"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421F151E" w14:textId="77777777" w:rsidR="00640576" w:rsidRPr="00405303" w:rsidRDefault="00640576" w:rsidP="00C15251">
      <w:pPr>
        <w:shd w:val="clear" w:color="auto" w:fill="FFFFFF"/>
        <w:jc w:val="both"/>
        <w:rPr>
          <w:bCs/>
          <w:i/>
          <w:color w:val="002060"/>
          <w:sz w:val="16"/>
          <w:szCs w:val="16"/>
        </w:rPr>
      </w:pPr>
    </w:p>
    <w:p w14:paraId="0866729F" w14:textId="77777777" w:rsidR="00640576" w:rsidRPr="00405303" w:rsidRDefault="00640576" w:rsidP="00C15251">
      <w:pPr>
        <w:shd w:val="clear" w:color="auto" w:fill="FFFFFF"/>
        <w:jc w:val="both"/>
        <w:rPr>
          <w:bCs/>
          <w:color w:val="002060"/>
          <w:sz w:val="16"/>
          <w:szCs w:val="16"/>
        </w:rPr>
      </w:pPr>
      <w:r w:rsidRPr="00405303">
        <w:rPr>
          <w:bCs/>
          <w:color w:val="002060"/>
          <w:sz w:val="16"/>
          <w:szCs w:val="16"/>
        </w:rPr>
        <w:t>14 (27) сентября 1915 г. в преддверии осенне-зимнего периода Особое совещание санкционировало заказ крупной партии грелок и угольков в Японии, потребовав одновременно наладить выпуск этих изделий и в России [Журнал № 5 ПКОВ. Заседание 14 сентября 1915 г. / Архив ВИМАИВиВС. Ф. 13. Оп. 87/1. Д. 69. Л. 83.]. В течение 1915–1916 гг. к производству грелок и углей были привлечены Петроградский технологический институт, Петроградские политехнические курсы М.А. Шуммера, товарищество на паях «И.Е. Кузнецов», петроградский завод «Токарь», а также целый ряд мелких предприятий, задействованных через ЦВПК и Земгор (20236).</w:t>
      </w:r>
    </w:p>
    <w:p w14:paraId="5D47E5C6" w14:textId="77777777" w:rsidR="00640576" w:rsidRPr="00405303" w:rsidRDefault="00640576" w:rsidP="00C15251">
      <w:pPr>
        <w:jc w:val="both"/>
        <w:rPr>
          <w:bCs/>
          <w:color w:val="002060"/>
          <w:sz w:val="16"/>
          <w:szCs w:val="16"/>
          <w:shd w:val="clear" w:color="auto" w:fill="FFFFFF"/>
        </w:rPr>
      </w:pPr>
    </w:p>
    <w:p w14:paraId="19F5DDD5" w14:textId="0FC00682" w:rsidR="00115A99" w:rsidRPr="00405303" w:rsidRDefault="00115A99" w:rsidP="00C15251">
      <w:pPr>
        <w:shd w:val="clear" w:color="auto" w:fill="FFFFFF"/>
        <w:jc w:val="both"/>
        <w:rPr>
          <w:bCs/>
          <w:i/>
          <w:color w:val="002060"/>
          <w:sz w:val="16"/>
          <w:szCs w:val="16"/>
        </w:rPr>
      </w:pPr>
      <w:r w:rsidRPr="00405303">
        <w:rPr>
          <w:bCs/>
          <w:i/>
          <w:color w:val="002060"/>
          <w:sz w:val="16"/>
          <w:szCs w:val="16"/>
        </w:rPr>
        <w:t>Авиация:</w:t>
      </w:r>
    </w:p>
    <w:p w14:paraId="632FEC8C" w14:textId="77777777" w:rsidR="00115A99" w:rsidRPr="00405303" w:rsidRDefault="00115A99" w:rsidP="00C15251">
      <w:pPr>
        <w:shd w:val="clear" w:color="auto" w:fill="FFFFFF"/>
        <w:jc w:val="both"/>
        <w:rPr>
          <w:bCs/>
          <w:i/>
          <w:color w:val="002060"/>
          <w:sz w:val="16"/>
          <w:szCs w:val="16"/>
        </w:rPr>
      </w:pPr>
    </w:p>
    <w:p w14:paraId="20C91F49" w14:textId="77777777" w:rsidR="00D1645F" w:rsidRPr="00405303" w:rsidRDefault="00D1645F" w:rsidP="00D1645F">
      <w:pPr>
        <w:jc w:val="both"/>
        <w:rPr>
          <w:color w:val="0070C0"/>
          <w:sz w:val="16"/>
          <w:szCs w:val="16"/>
        </w:rPr>
      </w:pPr>
      <w:r w:rsidRPr="00405303">
        <w:rPr>
          <w:color w:val="0070C0"/>
          <w:sz w:val="16"/>
          <w:szCs w:val="16"/>
        </w:rPr>
        <w:t>14 (27) сентября 1915 г. Телеграмма-донесение начальника Эскадры воздушных кораблей Генерала Шидловского в Ставку Верховного главнокомандующего:</w:t>
      </w:r>
    </w:p>
    <w:p w14:paraId="5EC1FB39" w14:textId="77777777" w:rsidR="00D1645F" w:rsidRPr="00405303" w:rsidRDefault="00D1645F" w:rsidP="00D1645F">
      <w:pPr>
        <w:jc w:val="both"/>
        <w:rPr>
          <w:color w:val="0070C0"/>
          <w:sz w:val="16"/>
          <w:szCs w:val="16"/>
        </w:rPr>
      </w:pPr>
      <w:r w:rsidRPr="00405303">
        <w:rPr>
          <w:color w:val="0070C0"/>
          <w:sz w:val="16"/>
          <w:szCs w:val="16"/>
        </w:rPr>
        <w:t>«Доношу, что сегодня Воздушные Корабли Первый и Второй совершили боевые полеты на фронте Двенадцатой армии. Произведены разведка и бомбометание по железнодорожным путям, сооружениям и складам станции Тауеркален. По складам артиллерийских припасов в Вальгофе и штабу в дер. Тауеркален.</w:t>
      </w:r>
    </w:p>
    <w:p w14:paraId="52CFB364" w14:textId="77777777" w:rsidR="00D1645F" w:rsidRPr="00405303" w:rsidRDefault="00D1645F" w:rsidP="00D1645F">
      <w:pPr>
        <w:jc w:val="both"/>
        <w:rPr>
          <w:color w:val="0070C0"/>
          <w:sz w:val="16"/>
          <w:szCs w:val="16"/>
        </w:rPr>
      </w:pPr>
      <w:r w:rsidRPr="00405303">
        <w:rPr>
          <w:color w:val="0070C0"/>
          <w:sz w:val="16"/>
          <w:szCs w:val="16"/>
        </w:rPr>
        <w:t>Всего сброшены 72 бомбы. Попадания удачны. Произведены разрушения и пожары. Результат разведки и фотографические снимки неприятельских позиций и укрепленных пунктов доставлены в штаб Армии» (24965).</w:t>
      </w:r>
    </w:p>
    <w:p w14:paraId="0521DC92" w14:textId="77777777" w:rsidR="00D1645F" w:rsidRPr="00405303" w:rsidRDefault="00D1645F" w:rsidP="00D1645F">
      <w:pPr>
        <w:jc w:val="both"/>
        <w:rPr>
          <w:color w:val="0070C0"/>
          <w:sz w:val="16"/>
          <w:szCs w:val="16"/>
        </w:rPr>
      </w:pPr>
    </w:p>
    <w:p w14:paraId="7F178D53" w14:textId="77777777" w:rsidR="00D1645F" w:rsidRPr="00405303" w:rsidRDefault="00D1645F" w:rsidP="00D1645F">
      <w:pPr>
        <w:jc w:val="both"/>
        <w:rPr>
          <w:color w:val="0070C0"/>
          <w:sz w:val="16"/>
          <w:szCs w:val="16"/>
        </w:rPr>
      </w:pPr>
      <w:r w:rsidRPr="00405303">
        <w:rPr>
          <w:color w:val="0070C0"/>
          <w:sz w:val="16"/>
          <w:szCs w:val="16"/>
        </w:rPr>
        <w:t>14 (27) сент. 1915 г., приказом нач-ка штаба верх, глав-щего, за №62 было решено при каждой роте иметь не одну, как было ранеее, а две наблюдательные станции, при чем одновременно крепостные воздухоплавательные роты, за исключением Свеаборгской, а также и две воздухоплавательные роты с управляемыми аэростатами были переформированы в полевые воздухопла</w:t>
      </w:r>
      <w:r w:rsidRPr="00405303">
        <w:rPr>
          <w:color w:val="0070C0"/>
          <w:sz w:val="16"/>
          <w:szCs w:val="16"/>
        </w:rPr>
        <w:softHyphen/>
        <w:t>вательные роты. Еще ранее этого, три роты с управляе</w:t>
      </w:r>
      <w:r w:rsidRPr="00405303">
        <w:rPr>
          <w:color w:val="0070C0"/>
          <w:sz w:val="16"/>
          <w:szCs w:val="16"/>
        </w:rPr>
        <w:softHyphen/>
        <w:t>мыми аэростатами, принадлежавшими к устаревшим уже системам, были переформированы по штатам рот с привяз</w:t>
      </w:r>
      <w:r w:rsidRPr="00405303">
        <w:rPr>
          <w:color w:val="0070C0"/>
          <w:sz w:val="16"/>
          <w:szCs w:val="16"/>
        </w:rPr>
        <w:softHyphen/>
        <w:t>ными аэростатами. Тогда же Свеаборгское крепостное воз</w:t>
      </w:r>
      <w:r w:rsidRPr="00405303">
        <w:rPr>
          <w:color w:val="0070C0"/>
          <w:sz w:val="16"/>
          <w:szCs w:val="16"/>
        </w:rPr>
        <w:softHyphen/>
        <w:t>духоплавательное отделение было переформировано в Свеаборгскую крепостную воздухоплавательную роту.</w:t>
      </w:r>
    </w:p>
    <w:p w14:paraId="4595A383" w14:textId="77777777" w:rsidR="00D1645F" w:rsidRPr="00405303" w:rsidRDefault="00D1645F" w:rsidP="00D1645F">
      <w:pPr>
        <w:jc w:val="both"/>
        <w:rPr>
          <w:color w:val="0070C0"/>
          <w:sz w:val="16"/>
          <w:szCs w:val="16"/>
        </w:rPr>
      </w:pPr>
      <w:r w:rsidRPr="00405303">
        <w:rPr>
          <w:color w:val="0070C0"/>
          <w:sz w:val="16"/>
          <w:szCs w:val="16"/>
        </w:rPr>
        <w:t>Все полевые воздухоплавательные роты были распре</w:t>
      </w:r>
      <w:r w:rsidRPr="00405303">
        <w:rPr>
          <w:color w:val="0070C0"/>
          <w:sz w:val="16"/>
          <w:szCs w:val="16"/>
        </w:rPr>
        <w:softHyphen/>
        <w:t>делены по тяжелым артиллерийским дивизионам.</w:t>
      </w:r>
    </w:p>
    <w:p w14:paraId="18AEA3E5" w14:textId="77777777" w:rsidR="00D1645F" w:rsidRPr="00405303" w:rsidRDefault="00D1645F" w:rsidP="00D1645F">
      <w:pPr>
        <w:jc w:val="both"/>
        <w:rPr>
          <w:color w:val="0070C0"/>
          <w:sz w:val="16"/>
          <w:szCs w:val="16"/>
        </w:rPr>
      </w:pPr>
      <w:r w:rsidRPr="00405303">
        <w:rPr>
          <w:color w:val="0070C0"/>
          <w:sz w:val="16"/>
          <w:szCs w:val="16"/>
        </w:rPr>
        <w:t>Для урегулирования вопроса о питании воздухоплава</w:t>
      </w:r>
      <w:r w:rsidRPr="00405303">
        <w:rPr>
          <w:color w:val="0070C0"/>
          <w:sz w:val="16"/>
          <w:szCs w:val="16"/>
        </w:rPr>
        <w:softHyphen/>
        <w:t>тельных рот имуществом и материалами, упомянутым выше приказом № 62 было предусмотрено сформирование трех тыловых воздухоплавательных парков (по одному для Се</w:t>
      </w:r>
      <w:r w:rsidRPr="00405303">
        <w:rPr>
          <w:color w:val="0070C0"/>
          <w:sz w:val="16"/>
          <w:szCs w:val="16"/>
        </w:rPr>
        <w:softHyphen/>
        <w:t>верного, Западного и Юго-Западного фронтов), на которые должны были базироваться роты. При тыловых же парках предположено было содержать и управляемые аэростаты, в виду признанной нецелесообразности иметь для этих аэростатов специальные воздухоплавательные роты (24923).</w:t>
      </w:r>
    </w:p>
    <w:p w14:paraId="7ED250B8" w14:textId="77777777" w:rsidR="00D1645F" w:rsidRPr="00405303" w:rsidRDefault="00D1645F" w:rsidP="00D1645F">
      <w:pPr>
        <w:jc w:val="both"/>
        <w:rPr>
          <w:color w:val="0070C0"/>
          <w:sz w:val="16"/>
          <w:szCs w:val="16"/>
        </w:rPr>
      </w:pPr>
    </w:p>
    <w:p w14:paraId="4092A767" w14:textId="24EF0792" w:rsidR="00115A99" w:rsidRPr="00405303" w:rsidRDefault="00115A99" w:rsidP="00C15251">
      <w:pPr>
        <w:jc w:val="both"/>
        <w:rPr>
          <w:bCs/>
          <w:color w:val="002060"/>
          <w:sz w:val="16"/>
          <w:szCs w:val="16"/>
        </w:rPr>
      </w:pPr>
      <w:r w:rsidRPr="00405303">
        <w:rPr>
          <w:bCs/>
          <w:color w:val="002060"/>
          <w:sz w:val="16"/>
          <w:szCs w:val="16"/>
          <w:lang w:bidi="en-US"/>
        </w:rPr>
        <w:t>14 (27) сентября 1915 г. Ставка издала Приказ № 62, в котором предусматривалась реорганизация воздухоплавательных рот (каждая с двумя наблюдательными пунктами): 19-я полевая воздухоплавательная рота (из Сибирской воздухоплавательной роты); 20-я полевая воздухоплавательная рота (от Ивангородской воздухоплавательной роты); 21-я полевая авиационная рота (от Владивостокской воздухоплавательной компании); 22-я полевая воздухоплавательная рота (от Гродненской воздухоплавательной роты); 23-я полевая авиационная рота (от Осоветс авиационной роты); 24-я полевая воздухоплавательная рота (от Брест-Литовской воздухоплавательной роты); 25-я полевая воздухоплавательная рота (из Ковенской воздухоплавательной роты).</w:t>
      </w:r>
    </w:p>
    <w:p w14:paraId="552CED83" w14:textId="77777777" w:rsidR="00115A99" w:rsidRPr="00405303" w:rsidRDefault="00115A99" w:rsidP="00C15251">
      <w:pPr>
        <w:jc w:val="both"/>
        <w:rPr>
          <w:bCs/>
          <w:color w:val="002060"/>
          <w:sz w:val="16"/>
          <w:szCs w:val="16"/>
        </w:rPr>
      </w:pPr>
      <w:r w:rsidRPr="00405303">
        <w:rPr>
          <w:bCs/>
          <w:color w:val="002060"/>
          <w:sz w:val="16"/>
          <w:szCs w:val="16"/>
          <w:lang w:bidi="en-US"/>
        </w:rPr>
        <w:t>Командиры полевых воздухоплавательных рот должны были подчиняться командирам дивизионов тяжелой артиллерии. 2-я авиационная рота должна была сформировать тыловую авиабазу Юго-Западного фронта, а 3-я воздухоплавательная рота — тыловую авиабазу Северного фронта.</w:t>
      </w:r>
    </w:p>
    <w:p w14:paraId="37A0A54A" w14:textId="77777777" w:rsidR="00115A99" w:rsidRPr="00405303" w:rsidRDefault="00115A99" w:rsidP="00C15251">
      <w:pPr>
        <w:jc w:val="both"/>
        <w:rPr>
          <w:bCs/>
          <w:color w:val="002060"/>
          <w:sz w:val="16"/>
          <w:szCs w:val="16"/>
        </w:rPr>
      </w:pPr>
      <w:r w:rsidRPr="00405303">
        <w:rPr>
          <w:bCs/>
          <w:color w:val="002060"/>
          <w:sz w:val="16"/>
          <w:szCs w:val="16"/>
          <w:lang w:bidi="en-US"/>
        </w:rPr>
        <w:t>Начальники тыловых складов подчинялись главным инспекторам фронта. Свеаборгская воздухоплавательная рота должна была быть организована как крепостная воздухоплавательная рота. Полевые воздухоплавательные роты должны были снабжаться из тыловых складов, а тыловые склады должны были снабжаться Центральным авиационным складом. Тыловые склады должны иметь в наличии восемь аэростатов и четыре лебедки (23525).</w:t>
      </w:r>
    </w:p>
    <w:p w14:paraId="28F1D489" w14:textId="77777777" w:rsidR="00115A99" w:rsidRPr="00405303" w:rsidRDefault="00115A99" w:rsidP="00C15251">
      <w:pPr>
        <w:jc w:val="both"/>
        <w:rPr>
          <w:bCs/>
          <w:color w:val="002060"/>
          <w:sz w:val="16"/>
          <w:szCs w:val="16"/>
          <w:lang w:bidi="en-US"/>
        </w:rPr>
      </w:pPr>
    </w:p>
    <w:p w14:paraId="016BA690" w14:textId="084BE8D5" w:rsidR="004B4E35" w:rsidRPr="00405303" w:rsidRDefault="009E6F82" w:rsidP="00C15251">
      <w:pPr>
        <w:shd w:val="clear" w:color="auto" w:fill="FFFFFF"/>
        <w:jc w:val="both"/>
        <w:rPr>
          <w:bCs/>
          <w:i/>
          <w:color w:val="002060"/>
          <w:sz w:val="16"/>
          <w:szCs w:val="16"/>
        </w:rPr>
      </w:pPr>
      <w:r w:rsidRPr="00405303">
        <w:rPr>
          <w:bCs/>
          <w:i/>
          <w:color w:val="002060"/>
          <w:sz w:val="16"/>
          <w:szCs w:val="16"/>
        </w:rPr>
        <w:t>Воздухоплавание:</w:t>
      </w:r>
    </w:p>
    <w:p w14:paraId="19E19112" w14:textId="77777777" w:rsidR="004B4E35" w:rsidRPr="00405303" w:rsidRDefault="004B4E35" w:rsidP="00C15251">
      <w:pPr>
        <w:shd w:val="clear" w:color="auto" w:fill="FFFFFF"/>
        <w:jc w:val="both"/>
        <w:rPr>
          <w:bCs/>
          <w:i/>
          <w:color w:val="002060"/>
          <w:sz w:val="16"/>
          <w:szCs w:val="16"/>
        </w:rPr>
      </w:pPr>
    </w:p>
    <w:p w14:paraId="7D872033" w14:textId="22A607CA" w:rsidR="004B4E35" w:rsidRPr="00405303" w:rsidRDefault="009E6F82" w:rsidP="00C15251">
      <w:pPr>
        <w:shd w:val="clear" w:color="auto" w:fill="FFFFFF"/>
        <w:jc w:val="both"/>
        <w:rPr>
          <w:bCs/>
          <w:color w:val="002060"/>
          <w:sz w:val="16"/>
          <w:szCs w:val="16"/>
        </w:rPr>
      </w:pPr>
      <w:r w:rsidRPr="00405303">
        <w:rPr>
          <w:bCs/>
          <w:color w:val="002060"/>
          <w:sz w:val="16"/>
          <w:szCs w:val="16"/>
        </w:rPr>
        <w:t>14 (27) сентября 1915 Приказом № 62 начальника штаба ВГК все Крепостные воздухоплавательные роты, за исключением Свеаборгской и Сибирск</w:t>
      </w:r>
      <w:r w:rsidR="00852262" w:rsidRPr="00405303">
        <w:rPr>
          <w:bCs/>
          <w:color w:val="002060"/>
          <w:sz w:val="16"/>
          <w:szCs w:val="16"/>
        </w:rPr>
        <w:t>ая</w:t>
      </w:r>
      <w:r w:rsidRPr="00405303">
        <w:rPr>
          <w:bCs/>
          <w:color w:val="002060"/>
          <w:sz w:val="16"/>
          <w:szCs w:val="16"/>
        </w:rPr>
        <w:t xml:space="preserve"> воздухоплавательн</w:t>
      </w:r>
      <w:r w:rsidR="00852262" w:rsidRPr="00405303">
        <w:rPr>
          <w:bCs/>
          <w:color w:val="002060"/>
          <w:sz w:val="16"/>
          <w:szCs w:val="16"/>
        </w:rPr>
        <w:t>ая</w:t>
      </w:r>
      <w:r w:rsidRPr="00405303">
        <w:rPr>
          <w:bCs/>
          <w:color w:val="002060"/>
          <w:sz w:val="16"/>
          <w:szCs w:val="16"/>
        </w:rPr>
        <w:t xml:space="preserve"> рот</w:t>
      </w:r>
      <w:r w:rsidR="00852262" w:rsidRPr="00405303">
        <w:rPr>
          <w:bCs/>
          <w:color w:val="002060"/>
          <w:sz w:val="16"/>
          <w:szCs w:val="16"/>
        </w:rPr>
        <w:t>а</w:t>
      </w:r>
      <w:r w:rsidRPr="00405303">
        <w:rPr>
          <w:bCs/>
          <w:color w:val="002060"/>
          <w:sz w:val="16"/>
          <w:szCs w:val="16"/>
        </w:rPr>
        <w:t xml:space="preserve"> переформируются в полевые двухстанционные воздухоплавательные роты. Эта реформа вызвана возросшей потребностью в привязных аэростатах для коррек-|ировки артиллерийской стрельбы.</w:t>
      </w:r>
    </w:p>
    <w:p w14:paraId="43EB46DD" w14:textId="77777777" w:rsidR="004B4E35" w:rsidRPr="00405303" w:rsidRDefault="004B4E35" w:rsidP="00C15251">
      <w:pPr>
        <w:shd w:val="clear" w:color="auto" w:fill="FFFFFF"/>
        <w:jc w:val="both"/>
        <w:rPr>
          <w:bCs/>
          <w:color w:val="002060"/>
          <w:sz w:val="16"/>
          <w:szCs w:val="16"/>
        </w:rPr>
      </w:pPr>
    </w:p>
    <w:p w14:paraId="11B200BF" w14:textId="77777777" w:rsidR="00852262" w:rsidRPr="00405303" w:rsidRDefault="00852262" w:rsidP="00C15251">
      <w:pPr>
        <w:jc w:val="both"/>
        <w:rPr>
          <w:bCs/>
          <w:color w:val="002060"/>
          <w:sz w:val="16"/>
          <w:szCs w:val="16"/>
        </w:rPr>
      </w:pPr>
      <w:r w:rsidRPr="00405303">
        <w:rPr>
          <w:bCs/>
          <w:color w:val="002060"/>
          <w:sz w:val="16"/>
          <w:szCs w:val="16"/>
        </w:rPr>
        <w:t>14 (27) сентября 1915 г. приказом, начальника штаба ВГК № 62 все крепостные воздухоплавательные роты, за исключением Свеаборгской и Сибирская воздухоплавательная рота переформируются в полевые двухстанцнонные воздухоплавательные роты о присвоением им нумераций 19, 20, 21, 22, 23, 24 и 25-я воздухроты. Эта реформа вызвана возросшей потребностью в воздухоплавательных средствах для корректировки артилле</w:t>
      </w:r>
      <w:r w:rsidRPr="00405303">
        <w:rPr>
          <w:bCs/>
          <w:color w:val="002060"/>
          <w:sz w:val="16"/>
          <w:szCs w:val="16"/>
        </w:rPr>
        <w:softHyphen/>
        <w:t>рийской стрельбы. Одновременно приказывалось переформировать в аналогичные полевые воздухоплавательные роты две роты с управляемыми аэростатами и начать формирование трех воздухоплавательных парков дня питания воздухоплавательных частей Сев-Западного и Юго-запад</w:t>
      </w:r>
      <w:r w:rsidRPr="00405303">
        <w:rPr>
          <w:bCs/>
          <w:color w:val="002060"/>
          <w:sz w:val="16"/>
          <w:szCs w:val="16"/>
        </w:rPr>
        <w:softHyphen/>
        <w:t>ного фронтов (23320).</w:t>
      </w:r>
    </w:p>
    <w:p w14:paraId="74D35C73" w14:textId="77777777" w:rsidR="00852262" w:rsidRPr="00405303" w:rsidRDefault="00852262" w:rsidP="00C15251">
      <w:pPr>
        <w:jc w:val="both"/>
        <w:rPr>
          <w:bCs/>
          <w:color w:val="002060"/>
          <w:sz w:val="16"/>
          <w:szCs w:val="16"/>
        </w:rPr>
      </w:pPr>
    </w:p>
    <w:p w14:paraId="340A77F5" w14:textId="77777777" w:rsidR="00900885" w:rsidRPr="00405303" w:rsidRDefault="00900885" w:rsidP="00C15251">
      <w:pPr>
        <w:jc w:val="both"/>
        <w:rPr>
          <w:bCs/>
          <w:i/>
          <w:color w:val="002060"/>
          <w:sz w:val="16"/>
          <w:szCs w:val="16"/>
        </w:rPr>
      </w:pPr>
      <w:r w:rsidRPr="00405303">
        <w:rPr>
          <w:bCs/>
          <w:i/>
          <w:color w:val="002060"/>
          <w:sz w:val="16"/>
          <w:szCs w:val="16"/>
        </w:rPr>
        <w:t>За рубежом:</w:t>
      </w:r>
    </w:p>
    <w:p w14:paraId="10A8CC85" w14:textId="77777777" w:rsidR="00900885" w:rsidRPr="00405303" w:rsidRDefault="00900885" w:rsidP="00C15251">
      <w:pPr>
        <w:jc w:val="both"/>
        <w:rPr>
          <w:bCs/>
          <w:color w:val="002060"/>
          <w:sz w:val="16"/>
          <w:szCs w:val="16"/>
        </w:rPr>
      </w:pPr>
    </w:p>
    <w:p w14:paraId="36BACDFA" w14:textId="77777777" w:rsidR="00900885" w:rsidRPr="00405303" w:rsidRDefault="00900885" w:rsidP="00C15251">
      <w:pPr>
        <w:jc w:val="both"/>
        <w:rPr>
          <w:bCs/>
          <w:color w:val="002060"/>
          <w:sz w:val="16"/>
          <w:szCs w:val="16"/>
        </w:rPr>
      </w:pPr>
      <w:r w:rsidRPr="00405303">
        <w:rPr>
          <w:bCs/>
          <w:color w:val="002060"/>
          <w:sz w:val="16"/>
          <w:szCs w:val="16"/>
        </w:rPr>
        <w:t>14 (27) сентября 1915 года «Бенедетто Брин» был разрушен внутренним взрывом в порту Бриндизи. Причиной взрыва была либо диверсия австрийцев, либо несчастный случай из-за самовозгорания бездымного пороха в пороховом погребе. При взрыве погибло больше половины команды — 421 человек. Спущенный на воду в 1901 году «Бенедетто Брин» участвовал в бою у Триполи в 1911 году, а в следующем году действовал на Адриатике (14782).</w:t>
      </w:r>
    </w:p>
    <w:p w14:paraId="377CCA7C" w14:textId="77777777" w:rsidR="00900885" w:rsidRPr="00405303" w:rsidRDefault="00900885" w:rsidP="00C15251">
      <w:pPr>
        <w:jc w:val="both"/>
        <w:rPr>
          <w:bCs/>
          <w:color w:val="002060"/>
          <w:sz w:val="16"/>
          <w:szCs w:val="16"/>
        </w:rPr>
      </w:pPr>
    </w:p>
    <w:p w14:paraId="4970C8A5"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06CE345E" w14:textId="77777777" w:rsidR="004B4E35" w:rsidRPr="00405303" w:rsidRDefault="004B4E35" w:rsidP="00C15251">
      <w:pPr>
        <w:jc w:val="both"/>
        <w:rPr>
          <w:bCs/>
          <w:i/>
          <w:color w:val="002060"/>
          <w:sz w:val="16"/>
          <w:szCs w:val="16"/>
        </w:rPr>
      </w:pPr>
    </w:p>
    <w:p w14:paraId="066C57E3" w14:textId="77777777" w:rsidR="00D032E2" w:rsidRPr="00405303" w:rsidRDefault="00D032E2" w:rsidP="00C15251">
      <w:pPr>
        <w:jc w:val="both"/>
        <w:rPr>
          <w:bCs/>
          <w:color w:val="002060"/>
          <w:sz w:val="16"/>
          <w:szCs w:val="16"/>
        </w:rPr>
      </w:pPr>
      <w:r w:rsidRPr="00405303">
        <w:rPr>
          <w:bCs/>
          <w:color w:val="002060"/>
          <w:sz w:val="16"/>
          <w:szCs w:val="16"/>
        </w:rPr>
        <w:t>15 (28) сентября и 21 – 22 ноября (4-6 декабря) 1915 г. созванные Александром Михайловичем совещания в общих чертах определили план снабжения авиационных частей. На втором из них Заведующий авиацией потребовал от нового начальника ГВТУ генерала Милеанта:</w:t>
      </w:r>
    </w:p>
    <w:p w14:paraId="0574423C" w14:textId="77777777" w:rsidR="00D032E2" w:rsidRPr="00405303" w:rsidRDefault="00D032E2" w:rsidP="00C15251">
      <w:pPr>
        <w:jc w:val="both"/>
        <w:rPr>
          <w:bCs/>
          <w:color w:val="002060"/>
          <w:sz w:val="16"/>
          <w:szCs w:val="16"/>
        </w:rPr>
      </w:pPr>
      <w:r w:rsidRPr="00405303">
        <w:rPr>
          <w:bCs/>
          <w:color w:val="002060"/>
          <w:sz w:val="16"/>
          <w:szCs w:val="16"/>
        </w:rPr>
        <w:t>1) принятия немедленных мер к подъему производительности авиазаводов,</w:t>
      </w:r>
    </w:p>
    <w:p w14:paraId="581DB610" w14:textId="77777777" w:rsidR="00D032E2" w:rsidRPr="00405303" w:rsidRDefault="00D032E2" w:rsidP="00C15251">
      <w:pPr>
        <w:jc w:val="both"/>
        <w:rPr>
          <w:bCs/>
          <w:color w:val="002060"/>
          <w:sz w:val="16"/>
          <w:szCs w:val="16"/>
        </w:rPr>
      </w:pPr>
      <w:r w:rsidRPr="00405303">
        <w:rPr>
          <w:bCs/>
          <w:color w:val="002060"/>
          <w:sz w:val="16"/>
          <w:szCs w:val="16"/>
        </w:rPr>
        <w:t>2) заказа на моторостроительных заводах максимального количества моторов,</w:t>
      </w:r>
    </w:p>
    <w:p w14:paraId="06DE5B7B" w14:textId="77777777" w:rsidR="00D032E2" w:rsidRPr="00405303" w:rsidRDefault="00D032E2" w:rsidP="00C15251">
      <w:pPr>
        <w:jc w:val="both"/>
        <w:rPr>
          <w:bCs/>
          <w:color w:val="002060"/>
          <w:sz w:val="16"/>
          <w:szCs w:val="16"/>
        </w:rPr>
      </w:pPr>
      <w:r w:rsidRPr="00405303">
        <w:rPr>
          <w:bCs/>
          <w:color w:val="002060"/>
          <w:sz w:val="16"/>
          <w:szCs w:val="16"/>
        </w:rPr>
        <w:t>3) заказа остальных потребных моторов за границей,</w:t>
      </w:r>
    </w:p>
    <w:p w14:paraId="1B684518" w14:textId="77777777" w:rsidR="00D032E2" w:rsidRPr="00405303" w:rsidRDefault="00D032E2" w:rsidP="00C15251">
      <w:pPr>
        <w:jc w:val="both"/>
        <w:rPr>
          <w:bCs/>
          <w:color w:val="002060"/>
          <w:sz w:val="16"/>
          <w:szCs w:val="16"/>
        </w:rPr>
      </w:pPr>
      <w:r w:rsidRPr="00405303">
        <w:rPr>
          <w:bCs/>
          <w:color w:val="002060"/>
          <w:sz w:val="16"/>
          <w:szCs w:val="16"/>
        </w:rPr>
        <w:t>4) принятия мер к строительству в России завода высокосортных сталей,</w:t>
      </w:r>
    </w:p>
    <w:p w14:paraId="0A2F612B" w14:textId="77777777" w:rsidR="00D032E2" w:rsidRPr="00405303" w:rsidRDefault="00D032E2" w:rsidP="00C15251">
      <w:pPr>
        <w:jc w:val="both"/>
        <w:rPr>
          <w:bCs/>
          <w:color w:val="002060"/>
          <w:sz w:val="16"/>
          <w:szCs w:val="16"/>
        </w:rPr>
      </w:pPr>
      <w:r w:rsidRPr="00405303">
        <w:rPr>
          <w:bCs/>
          <w:color w:val="002060"/>
          <w:sz w:val="16"/>
          <w:szCs w:val="16"/>
        </w:rPr>
        <w:t>5) принятия мер к организации в России производства материалов, необходимых для развития самолето- и моторостроения (19566).</w:t>
      </w:r>
    </w:p>
    <w:p w14:paraId="56AF71FB" w14:textId="6F9FC1B6" w:rsidR="00D032E2" w:rsidRPr="00405303" w:rsidRDefault="00D032E2" w:rsidP="00C15251">
      <w:pPr>
        <w:jc w:val="both"/>
        <w:rPr>
          <w:bCs/>
          <w:color w:val="002060"/>
          <w:sz w:val="16"/>
          <w:szCs w:val="16"/>
        </w:rPr>
      </w:pPr>
    </w:p>
    <w:p w14:paraId="08466FC0" w14:textId="77777777" w:rsidR="00284908" w:rsidRPr="00405303" w:rsidRDefault="00284908" w:rsidP="00C15251">
      <w:pPr>
        <w:shd w:val="clear" w:color="auto" w:fill="FFFFFF"/>
        <w:jc w:val="both"/>
        <w:rPr>
          <w:bCs/>
          <w:color w:val="002060"/>
          <w:sz w:val="16"/>
          <w:szCs w:val="16"/>
        </w:rPr>
      </w:pPr>
      <w:r w:rsidRPr="00405303">
        <w:rPr>
          <w:bCs/>
          <w:color w:val="002060"/>
          <w:sz w:val="16"/>
          <w:szCs w:val="16"/>
        </w:rPr>
        <w:t>15 (28) сентября 1915 состоялся доклад Н. Е. Жуковского в Математическом обществе «К теории бомбометания с аэропланов» (1137).</w:t>
      </w:r>
    </w:p>
    <w:p w14:paraId="5ED764E4" w14:textId="77777777" w:rsidR="00284908" w:rsidRPr="00405303" w:rsidRDefault="00284908" w:rsidP="00C15251">
      <w:pPr>
        <w:jc w:val="both"/>
        <w:rPr>
          <w:bCs/>
          <w:color w:val="002060"/>
          <w:sz w:val="16"/>
          <w:szCs w:val="16"/>
        </w:rPr>
      </w:pPr>
    </w:p>
    <w:p w14:paraId="344E1434" w14:textId="2F9DC7E2" w:rsidR="00200E4D" w:rsidRPr="00405303" w:rsidRDefault="00200E4D" w:rsidP="00C15251">
      <w:pPr>
        <w:shd w:val="clear" w:color="auto" w:fill="FFFFFF"/>
        <w:jc w:val="both"/>
        <w:rPr>
          <w:bCs/>
          <w:color w:val="002060"/>
          <w:sz w:val="16"/>
          <w:szCs w:val="16"/>
        </w:rPr>
      </w:pPr>
      <w:r w:rsidRPr="00405303">
        <w:rPr>
          <w:bCs/>
          <w:color w:val="002060"/>
          <w:sz w:val="16"/>
          <w:szCs w:val="16"/>
        </w:rPr>
        <w:t xml:space="preserve">15 (28) сентября 1915 г. Профессор Н.Е.Жуковский доложил Московскому математическому обществу разработанную им </w:t>
      </w:r>
      <w:proofErr w:type="gramStart"/>
      <w:r w:rsidRPr="00405303">
        <w:rPr>
          <w:bCs/>
          <w:color w:val="002060"/>
          <w:sz w:val="16"/>
          <w:szCs w:val="16"/>
        </w:rPr>
        <w:t>теорию.бомбометания</w:t>
      </w:r>
      <w:proofErr w:type="gramEnd"/>
      <w:r w:rsidRPr="00405303">
        <w:rPr>
          <w:bCs/>
          <w:color w:val="002060"/>
          <w:sz w:val="16"/>
          <w:szCs w:val="16"/>
        </w:rPr>
        <w:t xml:space="preserve"> аэропланов. Эта теория явилась большим вкладом в технику боевого применения самою та и послужила научной основой для раз</w:t>
      </w:r>
      <w:r w:rsidRPr="00405303">
        <w:rPr>
          <w:bCs/>
          <w:color w:val="002060"/>
          <w:sz w:val="16"/>
          <w:szCs w:val="16"/>
        </w:rPr>
        <w:softHyphen/>
        <w:t>работки прицелов воздушного бомбометания и для конструирования авиабомб. В 1916 году труд был опубликован под название "Бом</w:t>
      </w:r>
      <w:r w:rsidRPr="00405303">
        <w:rPr>
          <w:bCs/>
          <w:color w:val="002060"/>
          <w:sz w:val="16"/>
          <w:szCs w:val="16"/>
        </w:rPr>
        <w:softHyphen/>
        <w:t>бометание с аэропланов" (Н.Е.Чуковский. Собрание сочинений, том 7, 1950 г., стр.512).</w:t>
      </w:r>
    </w:p>
    <w:p w14:paraId="3269E0A3" w14:textId="77777777" w:rsidR="00200E4D" w:rsidRPr="00405303" w:rsidRDefault="00200E4D" w:rsidP="00C15251">
      <w:pPr>
        <w:shd w:val="clear" w:color="auto" w:fill="FFFFFF"/>
        <w:jc w:val="both"/>
        <w:rPr>
          <w:bCs/>
          <w:color w:val="002060"/>
          <w:sz w:val="16"/>
          <w:szCs w:val="16"/>
        </w:rPr>
      </w:pPr>
    </w:p>
    <w:p w14:paraId="690D1B83" w14:textId="77777777" w:rsidR="00115A99" w:rsidRPr="00405303" w:rsidRDefault="00115A99" w:rsidP="00C15251">
      <w:pPr>
        <w:jc w:val="both"/>
        <w:rPr>
          <w:bCs/>
          <w:color w:val="002060"/>
          <w:sz w:val="16"/>
          <w:szCs w:val="16"/>
          <w:lang w:bidi="en-US"/>
        </w:rPr>
      </w:pPr>
      <w:r w:rsidRPr="00405303">
        <w:rPr>
          <w:bCs/>
          <w:color w:val="002060"/>
          <w:sz w:val="16"/>
          <w:szCs w:val="16"/>
          <w:lang w:bidi="en-US"/>
        </w:rPr>
        <w:t>15 (28) сентября 1915 г. профессор Н.Е. Жуковский опубликовал статью «К теории бомбометания с самолетов» (23525).</w:t>
      </w:r>
    </w:p>
    <w:p w14:paraId="36E56FAB" w14:textId="77777777" w:rsidR="00115A99" w:rsidRPr="00405303" w:rsidRDefault="00115A99" w:rsidP="00C15251">
      <w:pPr>
        <w:jc w:val="both"/>
        <w:rPr>
          <w:bCs/>
          <w:color w:val="002060"/>
          <w:sz w:val="16"/>
          <w:szCs w:val="16"/>
        </w:rPr>
      </w:pPr>
    </w:p>
    <w:p w14:paraId="22DBAD93" w14:textId="30D9C4E2" w:rsidR="00200E4D" w:rsidRPr="00405303" w:rsidRDefault="00200E4D" w:rsidP="00C15251">
      <w:pPr>
        <w:jc w:val="both"/>
        <w:rPr>
          <w:bCs/>
          <w:color w:val="002060"/>
          <w:sz w:val="16"/>
          <w:szCs w:val="16"/>
        </w:rPr>
      </w:pPr>
      <w:r w:rsidRPr="00405303">
        <w:rPr>
          <w:bCs/>
          <w:color w:val="002060"/>
          <w:sz w:val="16"/>
          <w:szCs w:val="16"/>
        </w:rPr>
        <w:t>15 (28) сентября 1915 г. в сообщении Московскому математическому обществу по вопросу бомбометания с аэропланов, сделанном Н.Е. Жуковским по итогам проведенных работ, в частности, говорилось: «…При боевых действиях аэропланов с них сбрасывают бомбы и стрелы. Бомбы бывают взрывчатые или зажигательные, а стрелы производят поражение только приобретенной при падении с аэропланов скоростью наподобие ружейных пуль.</w:t>
      </w:r>
    </w:p>
    <w:p w14:paraId="609EAA81" w14:textId="77777777" w:rsidR="00200E4D" w:rsidRPr="00405303" w:rsidRDefault="00200E4D" w:rsidP="00C15251">
      <w:pPr>
        <w:jc w:val="both"/>
        <w:rPr>
          <w:bCs/>
          <w:color w:val="002060"/>
          <w:sz w:val="16"/>
          <w:szCs w:val="16"/>
        </w:rPr>
      </w:pPr>
      <w:r w:rsidRPr="00405303">
        <w:rPr>
          <w:bCs/>
          <w:color w:val="002060"/>
          <w:sz w:val="16"/>
          <w:szCs w:val="16"/>
        </w:rPr>
        <w:t>Для сбрасывания бомб употребляют особые уключины или кассеты, а также прицельные приспособления для верного попадания. Стрелы, ввиду их большого количества, бросают без особых приспособлений. Условие, требуемое для стрелы, заключается в том, чтобы, падая на землю, она имела большую скорость и подлетала к земле, располагаясь своей осью по вертикальной линии…». Здесь же рассматривались основные положения теории бомбометания с аэропланов, предложенной Н.Е. Жуковским (15472).</w:t>
      </w:r>
    </w:p>
    <w:p w14:paraId="4200095B" w14:textId="77777777" w:rsidR="00200E4D" w:rsidRPr="00405303" w:rsidRDefault="00200E4D" w:rsidP="00C15251">
      <w:pPr>
        <w:pStyle w:val="ae"/>
        <w:spacing w:before="0" w:beforeAutospacing="0" w:after="0" w:afterAutospacing="0"/>
        <w:jc w:val="both"/>
        <w:textAlignment w:val="baseline"/>
        <w:rPr>
          <w:bCs/>
          <w:color w:val="002060"/>
          <w:sz w:val="16"/>
          <w:szCs w:val="16"/>
        </w:rPr>
      </w:pPr>
    </w:p>
    <w:p w14:paraId="763DA26E"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358D4B73" w14:textId="77777777" w:rsidR="004B4E35" w:rsidRPr="00405303" w:rsidRDefault="004B4E35" w:rsidP="00C15251">
      <w:pPr>
        <w:shd w:val="clear" w:color="auto" w:fill="FFFFFF"/>
        <w:jc w:val="both"/>
        <w:rPr>
          <w:bCs/>
          <w:i/>
          <w:color w:val="002060"/>
          <w:sz w:val="16"/>
          <w:szCs w:val="16"/>
        </w:rPr>
      </w:pPr>
    </w:p>
    <w:p w14:paraId="08944D6D" w14:textId="77777777" w:rsidR="00900885" w:rsidRPr="00405303" w:rsidRDefault="00900885" w:rsidP="00C15251">
      <w:pPr>
        <w:pStyle w:val="ae"/>
        <w:spacing w:before="0" w:beforeAutospacing="0" w:after="0" w:afterAutospacing="0"/>
        <w:jc w:val="both"/>
        <w:textAlignment w:val="top"/>
        <w:rPr>
          <w:bCs/>
          <w:color w:val="002060"/>
          <w:sz w:val="16"/>
          <w:szCs w:val="16"/>
        </w:rPr>
      </w:pPr>
      <w:r w:rsidRPr="00405303">
        <w:rPr>
          <w:bCs/>
          <w:color w:val="002060"/>
          <w:sz w:val="16"/>
          <w:szCs w:val="16"/>
        </w:rPr>
        <w:lastRenderedPageBreak/>
        <w:t xml:space="preserve">На 15 (28) сентября 1915 г. комитетам было отпущено 7500 000 </w:t>
      </w:r>
      <w:proofErr w:type="gramStart"/>
      <w:r w:rsidRPr="00405303">
        <w:rPr>
          <w:bCs/>
          <w:color w:val="002060"/>
          <w:sz w:val="16"/>
          <w:szCs w:val="16"/>
        </w:rPr>
        <w:t>руб.(</w:t>
      </w:r>
      <w:proofErr w:type="gramEnd"/>
      <w:r w:rsidRPr="00405303">
        <w:rPr>
          <w:bCs/>
          <w:color w:val="002060"/>
          <w:sz w:val="16"/>
          <w:szCs w:val="16"/>
        </w:rPr>
        <w:t xml:space="preserve">из них авансом - 1554362,02 руб.), на 1(14) октября 1915 г. - 8500000 </w:t>
      </w:r>
      <w:proofErr w:type="gramStart"/>
      <w:r w:rsidRPr="00405303">
        <w:rPr>
          <w:bCs/>
          <w:color w:val="002060"/>
          <w:sz w:val="16"/>
          <w:szCs w:val="16"/>
        </w:rPr>
        <w:t>руб.(</w:t>
      </w:r>
      <w:proofErr w:type="gramEnd"/>
      <w:r w:rsidRPr="00405303">
        <w:rPr>
          <w:bCs/>
          <w:color w:val="002060"/>
          <w:sz w:val="16"/>
          <w:szCs w:val="16"/>
        </w:rPr>
        <w:t xml:space="preserve">из них авансом - уже 4647820,75 руб.), на 1(14) ноября 1915 г. - 12619457,25 </w:t>
      </w:r>
      <w:proofErr w:type="gramStart"/>
      <w:r w:rsidRPr="00405303">
        <w:rPr>
          <w:bCs/>
          <w:color w:val="002060"/>
          <w:sz w:val="16"/>
          <w:szCs w:val="16"/>
        </w:rPr>
        <w:t>руб.(</w:t>
      </w:r>
      <w:proofErr w:type="gramEnd"/>
      <w:r w:rsidRPr="00405303">
        <w:rPr>
          <w:bCs/>
          <w:color w:val="002060"/>
          <w:sz w:val="16"/>
          <w:szCs w:val="16"/>
        </w:rPr>
        <w:t>из них авансом - 9251054,96 руб.). Авансы росли резко и совершенно непропорционально успехам ВПК. В результате к началу декабря 1915 г. из выделенных ВПК 15954457,25 руб. авансом было выплачено 12932346,81 рубля, то есть свыше 81%. При этом львиная доля этих средств распределялись ЦВПК, на балансе которого на 1(14) ноября находилось 13818001,13 руб.</w:t>
      </w:r>
    </w:p>
    <w:p w14:paraId="3C6B0F7C" w14:textId="77777777" w:rsidR="00900885" w:rsidRPr="00405303" w:rsidRDefault="00900885" w:rsidP="00C15251">
      <w:pPr>
        <w:pStyle w:val="ae"/>
        <w:spacing w:before="0" w:beforeAutospacing="0" w:after="0" w:afterAutospacing="0"/>
        <w:jc w:val="both"/>
        <w:textAlignment w:val="top"/>
        <w:rPr>
          <w:bCs/>
          <w:color w:val="002060"/>
          <w:sz w:val="16"/>
          <w:szCs w:val="16"/>
        </w:rPr>
      </w:pPr>
      <w:r w:rsidRPr="00405303">
        <w:rPr>
          <w:bCs/>
          <w:color w:val="002060"/>
          <w:sz w:val="16"/>
          <w:szCs w:val="16"/>
        </w:rPr>
        <w:t>Свои организационные провалы ЦВПК компенсировал активной пропагандой, развернутой в газетах либерального лагеря, близких Гучкову и Рябушинскому(«Утро России», «Новое Время», «Биржевые Ведомости»). В конце 1915 г. они неоднократно сообщали о появлении на фронте уже в августе 1915 г. боеприпасов в ящиках с надписью «Снарядов не жалеть - Центральный Военно-Промышленный Комитет». На самом деле ЦВПК добился тогда права на сборку ящиков для казенных снарядов и использовал его таким образом. На 1 (14) декабря 1915 г. ЦВПК роздал заказы на производство 50 000 деревянных ящиков для 48-линейных шрапнелей, но ни одного тяжелого, и даже 3-дюймового снаряда так и не было заказано. В результате к осени 1915 года, по данным Главного Артиллерийского управления, от ВПК не было получено ни одного снаряда (18405).</w:t>
      </w:r>
    </w:p>
    <w:p w14:paraId="723DED6C" w14:textId="77777777" w:rsidR="00900885" w:rsidRPr="00405303" w:rsidRDefault="00900885" w:rsidP="00C15251">
      <w:pPr>
        <w:pStyle w:val="ae"/>
        <w:spacing w:before="0" w:beforeAutospacing="0" w:after="0" w:afterAutospacing="0"/>
        <w:jc w:val="both"/>
        <w:textAlignment w:val="top"/>
        <w:rPr>
          <w:bCs/>
          <w:color w:val="002060"/>
          <w:sz w:val="16"/>
          <w:szCs w:val="16"/>
        </w:rPr>
      </w:pPr>
    </w:p>
    <w:p w14:paraId="41F7CA4A" w14:textId="66AE4476" w:rsidR="004B4E35" w:rsidRPr="00405303" w:rsidRDefault="009E6F82" w:rsidP="00C15251">
      <w:pPr>
        <w:jc w:val="both"/>
        <w:rPr>
          <w:bCs/>
          <w:color w:val="002060"/>
          <w:sz w:val="16"/>
          <w:szCs w:val="16"/>
        </w:rPr>
      </w:pPr>
      <w:r w:rsidRPr="00405303">
        <w:rPr>
          <w:bCs/>
          <w:color w:val="002060"/>
          <w:sz w:val="16"/>
          <w:szCs w:val="16"/>
        </w:rPr>
        <w:t xml:space="preserve">15 (28) сентября 1915 г. </w:t>
      </w:r>
      <w:r w:rsidR="00D032E2" w:rsidRPr="00405303">
        <w:rPr>
          <w:bCs/>
          <w:color w:val="002060"/>
          <w:sz w:val="16"/>
          <w:szCs w:val="16"/>
        </w:rPr>
        <w:t xml:space="preserve">после долгих трений, имевших место в Петрограде, был, наконец, учрежден </w:t>
      </w:r>
      <w:r w:rsidRPr="00405303">
        <w:rPr>
          <w:bCs/>
          <w:color w:val="002060"/>
          <w:sz w:val="16"/>
          <w:szCs w:val="16"/>
        </w:rPr>
        <w:t xml:space="preserve">"Комитет по заготовке в Америке предметов боевого и материального снабжения армии и флота". Положение о Комитете приняло силу закона 6 ноября 1915 года. Это положение определяло круг деятельности Комитета следующими основными задачами: </w:t>
      </w:r>
    </w:p>
    <w:p w14:paraId="5A185365" w14:textId="77777777" w:rsidR="004B4E35" w:rsidRPr="00405303" w:rsidRDefault="009E6F82" w:rsidP="00C15251">
      <w:pPr>
        <w:jc w:val="both"/>
        <w:rPr>
          <w:bCs/>
          <w:color w:val="002060"/>
          <w:sz w:val="16"/>
          <w:szCs w:val="16"/>
        </w:rPr>
      </w:pPr>
      <w:r w:rsidRPr="00405303">
        <w:rPr>
          <w:bCs/>
          <w:color w:val="002060"/>
          <w:sz w:val="16"/>
          <w:szCs w:val="16"/>
        </w:rPr>
        <w:t xml:space="preserve">1. Выяснение предметов боевого и материального снабжения, которые могли бы быть приобретены или заготовлены в Америке, выяснение для них цен, сроков и условий поставки. </w:t>
      </w:r>
    </w:p>
    <w:p w14:paraId="724433B6" w14:textId="77777777" w:rsidR="004B4E35" w:rsidRPr="00405303" w:rsidRDefault="009E6F82" w:rsidP="00C15251">
      <w:pPr>
        <w:jc w:val="both"/>
        <w:rPr>
          <w:bCs/>
          <w:color w:val="002060"/>
          <w:sz w:val="16"/>
          <w:szCs w:val="16"/>
        </w:rPr>
      </w:pPr>
      <w:r w:rsidRPr="00405303">
        <w:rPr>
          <w:bCs/>
          <w:color w:val="002060"/>
          <w:sz w:val="16"/>
          <w:szCs w:val="16"/>
        </w:rPr>
        <w:t xml:space="preserve">2. Заключение сделок на поставку предметов снабжения и доставление их в Россию в тех случаях, когда сделки эти должны совершаться в Америке. Избранные для них фирмы и условия заказов должны быть одобрены в Петрограде, а также Русским правительственным комитетом в Лондоне. </w:t>
      </w:r>
    </w:p>
    <w:p w14:paraId="3D80CE25" w14:textId="77777777" w:rsidR="004B4E35" w:rsidRPr="00405303" w:rsidRDefault="009E6F82" w:rsidP="00C15251">
      <w:pPr>
        <w:jc w:val="both"/>
        <w:rPr>
          <w:bCs/>
          <w:color w:val="002060"/>
          <w:sz w:val="16"/>
          <w:szCs w:val="16"/>
        </w:rPr>
      </w:pPr>
      <w:r w:rsidRPr="00405303">
        <w:rPr>
          <w:bCs/>
          <w:color w:val="002060"/>
          <w:sz w:val="16"/>
          <w:szCs w:val="16"/>
        </w:rPr>
        <w:t xml:space="preserve">3. Надзор за всеми заготовками для нужд обороны, выполняемыми в Америке, выяснение и устранение причин задержки в работе и организация приемки заказанных предметов. </w:t>
      </w:r>
    </w:p>
    <w:p w14:paraId="11713331" w14:textId="77777777" w:rsidR="004B4E35" w:rsidRPr="00405303" w:rsidRDefault="009E6F82" w:rsidP="00C15251">
      <w:pPr>
        <w:jc w:val="both"/>
        <w:rPr>
          <w:bCs/>
          <w:color w:val="002060"/>
          <w:sz w:val="16"/>
          <w:szCs w:val="16"/>
        </w:rPr>
      </w:pPr>
      <w:r w:rsidRPr="00405303">
        <w:rPr>
          <w:bCs/>
          <w:color w:val="002060"/>
          <w:sz w:val="16"/>
          <w:szCs w:val="16"/>
        </w:rPr>
        <w:t xml:space="preserve">4. Выполнение поручений Особого совещания по обороне. </w:t>
      </w:r>
    </w:p>
    <w:p w14:paraId="3EC598CC" w14:textId="77777777" w:rsidR="004B4E35" w:rsidRPr="00405303" w:rsidRDefault="009E6F82" w:rsidP="00C15251">
      <w:pPr>
        <w:jc w:val="both"/>
        <w:rPr>
          <w:bCs/>
          <w:color w:val="002060"/>
          <w:sz w:val="16"/>
          <w:szCs w:val="16"/>
        </w:rPr>
      </w:pPr>
      <w:r w:rsidRPr="00405303">
        <w:rPr>
          <w:bCs/>
          <w:color w:val="002060"/>
          <w:sz w:val="16"/>
          <w:szCs w:val="16"/>
        </w:rPr>
        <w:t xml:space="preserve">Заготовительный комитет в Америке, имея, таким образом, весьма широкий круг деятельности, все-таки был под фактическим контролем Лондонского правительственного комитета. </w:t>
      </w:r>
    </w:p>
    <w:p w14:paraId="3D839437" w14:textId="77777777" w:rsidR="004B4E35" w:rsidRPr="00405303" w:rsidRDefault="009E6F82" w:rsidP="00C15251">
      <w:pPr>
        <w:jc w:val="both"/>
        <w:rPr>
          <w:bCs/>
          <w:color w:val="002060"/>
          <w:sz w:val="16"/>
          <w:szCs w:val="16"/>
        </w:rPr>
      </w:pPr>
      <w:r w:rsidRPr="00405303">
        <w:rPr>
          <w:bCs/>
          <w:color w:val="002060"/>
          <w:sz w:val="16"/>
          <w:szCs w:val="16"/>
        </w:rPr>
        <w:t xml:space="preserve">18 марта 1916 г. утверждено было новое Положение о Заготовительном комитете, которое в основных чертах не разнилось от первого; коренным различием было лишь введение в состав Комитета представителя британского правительства. </w:t>
      </w:r>
    </w:p>
    <w:p w14:paraId="7BD9CE1B" w14:textId="77777777" w:rsidR="004B4E35" w:rsidRPr="00405303" w:rsidRDefault="009E6F82" w:rsidP="00C15251">
      <w:pPr>
        <w:jc w:val="both"/>
        <w:rPr>
          <w:bCs/>
          <w:color w:val="002060"/>
          <w:sz w:val="16"/>
          <w:szCs w:val="16"/>
        </w:rPr>
      </w:pPr>
      <w:r w:rsidRPr="00405303">
        <w:rPr>
          <w:bCs/>
          <w:color w:val="002060"/>
          <w:sz w:val="16"/>
          <w:szCs w:val="16"/>
        </w:rPr>
        <w:t xml:space="preserve">Для выполнения отдельных задач, вмененных в обязанности Комитета, в составе его были организованы комиссии: финансовая, перевозок, организационная и наблюдения за заказами. </w:t>
      </w:r>
    </w:p>
    <w:p w14:paraId="6DC4D0A0" w14:textId="77777777" w:rsidR="004B4E35" w:rsidRPr="00405303" w:rsidRDefault="009E6F82" w:rsidP="00C15251">
      <w:pPr>
        <w:jc w:val="both"/>
        <w:rPr>
          <w:bCs/>
          <w:color w:val="002060"/>
          <w:sz w:val="16"/>
          <w:szCs w:val="16"/>
        </w:rPr>
      </w:pPr>
      <w:r w:rsidRPr="00405303">
        <w:rPr>
          <w:bCs/>
          <w:color w:val="002060"/>
          <w:sz w:val="16"/>
          <w:szCs w:val="16"/>
        </w:rPr>
        <w:t xml:space="preserve">Говоря о Заготовительном комитете, надлежит упомянуть об образовании при нем англо-русской Согласительной комиссии, которая в течение известного периода имела большое влияние на работу Комитета. История ее возникновения заключается в следующем. С самого начала размещения военных заказов в Америке неизбежно возникла конкуренция в этой области между Россией и Англией, вредно отзывавшаяся на успехе заготовок и бывшая вполне понятной причиной повышения цен. При таких условиях естественно потребовалась координация в заготовительной работе по английским и русским заказам. В равной мере требовалась согласованная работа и в области финансовой. Дело в том, что русское правительство было не в состоянии путем самостоятельных операций реализовать долларовый фонд в том масштабе, в каком это требовалось для заготовительных операций, и вынуждено было обращаться к содействию Англии. С другой стороны, Англия была готова идти в этом деле навстречу России, так как была ближайшим образом заинтересована в поддержке боевой мощи русской армии. Но, оказывая широкую материальную поддержку России и предоставляя ей денежные ресурсы, Англия, конечно, не могла не потребовать права ближайшего контроля над расходованием этих средств Русским заготовительным комитетом. </w:t>
      </w:r>
    </w:p>
    <w:p w14:paraId="32847CD7" w14:textId="77777777" w:rsidR="004B4E35" w:rsidRPr="00405303" w:rsidRDefault="009E6F82" w:rsidP="00C15251">
      <w:pPr>
        <w:jc w:val="both"/>
        <w:rPr>
          <w:bCs/>
          <w:color w:val="002060"/>
          <w:sz w:val="16"/>
          <w:szCs w:val="16"/>
        </w:rPr>
      </w:pPr>
      <w:r w:rsidRPr="00405303">
        <w:rPr>
          <w:bCs/>
          <w:color w:val="002060"/>
          <w:sz w:val="16"/>
          <w:szCs w:val="16"/>
        </w:rPr>
        <w:t xml:space="preserve">Ввиду этого в октябре 1915 г. между Англией и русским министром финансов состоялось соглашение, основы которого сводились к следующему: </w:t>
      </w:r>
    </w:p>
    <w:p w14:paraId="1FB6218B" w14:textId="77777777" w:rsidR="004B4E35" w:rsidRPr="00405303" w:rsidRDefault="009E6F82" w:rsidP="00C15251">
      <w:pPr>
        <w:jc w:val="both"/>
        <w:rPr>
          <w:bCs/>
          <w:color w:val="002060"/>
          <w:sz w:val="16"/>
          <w:szCs w:val="16"/>
        </w:rPr>
      </w:pPr>
      <w:r w:rsidRPr="00405303">
        <w:rPr>
          <w:bCs/>
          <w:color w:val="002060"/>
          <w:sz w:val="16"/>
          <w:szCs w:val="16"/>
        </w:rPr>
        <w:t xml:space="preserve">1. Все предложения относительно поставок для России, подлежащие производству в Великобритании или Америке, должны рассматриваться в Англии. </w:t>
      </w:r>
    </w:p>
    <w:p w14:paraId="29319861" w14:textId="77777777" w:rsidR="004B4E35" w:rsidRPr="00405303" w:rsidRDefault="009E6F82" w:rsidP="00C15251">
      <w:pPr>
        <w:jc w:val="both"/>
        <w:rPr>
          <w:bCs/>
          <w:color w:val="002060"/>
          <w:sz w:val="16"/>
          <w:szCs w:val="16"/>
        </w:rPr>
      </w:pPr>
      <w:r w:rsidRPr="00405303">
        <w:rPr>
          <w:bCs/>
          <w:color w:val="002060"/>
          <w:sz w:val="16"/>
          <w:szCs w:val="16"/>
        </w:rPr>
        <w:t xml:space="preserve">2. Все контракты в Англии и Америке могут быть заключены русским правительством только с ведома специальных в Лондоне представителей обеих держав и по возможность с их подписями. </w:t>
      </w:r>
    </w:p>
    <w:p w14:paraId="6EAF94A2" w14:textId="77777777" w:rsidR="004B4E35" w:rsidRPr="00405303" w:rsidRDefault="009E6F82" w:rsidP="00C15251">
      <w:pPr>
        <w:jc w:val="both"/>
        <w:rPr>
          <w:bCs/>
          <w:color w:val="002060"/>
          <w:sz w:val="16"/>
          <w:szCs w:val="16"/>
        </w:rPr>
      </w:pPr>
      <w:r w:rsidRPr="00405303">
        <w:rPr>
          <w:bCs/>
          <w:color w:val="002060"/>
          <w:sz w:val="16"/>
          <w:szCs w:val="16"/>
        </w:rPr>
        <w:t xml:space="preserve">3. Ни одна поставка для России, платежи по которой должны быть произведены из кредитов, предоставленных английским правительством, не должна делаться без ведома представителей обеих держав. </w:t>
      </w:r>
    </w:p>
    <w:p w14:paraId="60E5EB0F" w14:textId="77777777" w:rsidR="004B4E35" w:rsidRPr="00405303" w:rsidRDefault="009E6F82" w:rsidP="00C15251">
      <w:pPr>
        <w:jc w:val="both"/>
        <w:rPr>
          <w:bCs/>
          <w:color w:val="002060"/>
          <w:sz w:val="16"/>
          <w:szCs w:val="16"/>
        </w:rPr>
      </w:pPr>
      <w:r w:rsidRPr="00405303">
        <w:rPr>
          <w:bCs/>
          <w:color w:val="002060"/>
          <w:sz w:val="16"/>
          <w:szCs w:val="16"/>
        </w:rPr>
        <w:t xml:space="preserve">Однако это соглашение не давало еще полного координирования заготовительной работы Англии и русского правительства, так как некоторые русские заказы проходили помимо Русского заготовительного комитета и велись через Лондон, откуда британское правительство передавало их для исполнения Америке через банкирский дом Морган. </w:t>
      </w:r>
    </w:p>
    <w:p w14:paraId="6F7780FA" w14:textId="77777777" w:rsidR="004B4E35" w:rsidRPr="00405303" w:rsidRDefault="009E6F82" w:rsidP="00C15251">
      <w:pPr>
        <w:jc w:val="both"/>
        <w:rPr>
          <w:bCs/>
          <w:color w:val="002060"/>
          <w:sz w:val="16"/>
          <w:szCs w:val="16"/>
        </w:rPr>
      </w:pPr>
      <w:r w:rsidRPr="00405303">
        <w:rPr>
          <w:bCs/>
          <w:color w:val="002060"/>
          <w:sz w:val="16"/>
          <w:szCs w:val="16"/>
        </w:rPr>
        <w:t>При этих условиях опять-таки возникала конкуренция в заготовках, проводимых Комитетом и Морганом, так как последний действовал совершенно независимо от Комитета. Был случай, что одна из заготовительных ведомостей из Петрограда была отправлена по двум адресам — в Комитет и Лондон, и по этой ведомости была произведена двойная заготовка, одна — Комитетом, другая — Морганом.</w:t>
      </w:r>
    </w:p>
    <w:p w14:paraId="569BF18D" w14:textId="77777777" w:rsidR="004B4E35" w:rsidRPr="00405303" w:rsidRDefault="009E6F82" w:rsidP="00C15251">
      <w:pPr>
        <w:jc w:val="both"/>
        <w:rPr>
          <w:bCs/>
          <w:color w:val="002060"/>
          <w:sz w:val="16"/>
          <w:szCs w:val="16"/>
        </w:rPr>
      </w:pPr>
      <w:r w:rsidRPr="00405303">
        <w:rPr>
          <w:bCs/>
          <w:color w:val="002060"/>
          <w:sz w:val="16"/>
          <w:szCs w:val="16"/>
        </w:rPr>
        <w:t xml:space="preserve">Для окончательного согласования заготовительных действий Комитетом был выдвинут вопрос об образовании Русско-английской согласительной комиссии, куда должны были войти, с одной стороны, представители Русского заготовительного комитета, а с другой — представители британского правительства. Образование Комиссии значительно упрощало прохождение заказов, так как этой Комиссии предоставлено было право обсуждать все основные заказы и разрешать многие важные вопросы, избегая, таким образом, тормозящей дело переписки с Лондоном. Затем, этой Комиссии было предоставлено право наблюдать за заказами, проводимыми через Моргана, и согласовывать их с заказами Комитета. </w:t>
      </w:r>
    </w:p>
    <w:p w14:paraId="378E9C71" w14:textId="77777777" w:rsidR="004B4E35" w:rsidRPr="00405303" w:rsidRDefault="009E6F82" w:rsidP="00C15251">
      <w:pPr>
        <w:jc w:val="both"/>
        <w:rPr>
          <w:bCs/>
          <w:color w:val="002060"/>
          <w:sz w:val="16"/>
          <w:szCs w:val="16"/>
        </w:rPr>
      </w:pPr>
      <w:r w:rsidRPr="00405303">
        <w:rPr>
          <w:bCs/>
          <w:color w:val="002060"/>
          <w:sz w:val="16"/>
          <w:szCs w:val="16"/>
        </w:rPr>
        <w:t xml:space="preserve">Комиссия начала свою деятельность в январе 1916 г. и продолжала до середины этого года. Своей работой она оказала громадную помощь Комитету. В середине года, с отъездом состоявшего в составе Комиссии представителя британского правительства, центр тяжести разрешения всех вопросов по заготовительной деятельности вновь автоматически перенесся в Лондон. </w:t>
      </w:r>
    </w:p>
    <w:p w14:paraId="75147C4E" w14:textId="77777777" w:rsidR="004B4E35" w:rsidRPr="00405303" w:rsidRDefault="009E6F82" w:rsidP="00C15251">
      <w:pPr>
        <w:jc w:val="both"/>
        <w:rPr>
          <w:bCs/>
          <w:color w:val="002060"/>
          <w:sz w:val="16"/>
          <w:szCs w:val="16"/>
        </w:rPr>
      </w:pPr>
      <w:r w:rsidRPr="00405303">
        <w:rPr>
          <w:bCs/>
          <w:color w:val="002060"/>
          <w:sz w:val="16"/>
          <w:szCs w:val="16"/>
        </w:rPr>
        <w:t>Такова была в основных чертах организация дела русских военных заказов. В дальнейшем изложении истории отдельных крупных артиллерийских заказов попутно придется касаться организационной стороны (11329).</w:t>
      </w:r>
    </w:p>
    <w:p w14:paraId="2DF1B3B3" w14:textId="77777777" w:rsidR="004B4E35" w:rsidRPr="00405303" w:rsidRDefault="004B4E35" w:rsidP="00C15251">
      <w:pPr>
        <w:jc w:val="both"/>
        <w:rPr>
          <w:bCs/>
          <w:i/>
          <w:color w:val="002060"/>
          <w:sz w:val="16"/>
          <w:szCs w:val="16"/>
        </w:rPr>
      </w:pPr>
    </w:p>
    <w:p w14:paraId="3805B6AE" w14:textId="0D38F481" w:rsidR="00640576" w:rsidRPr="00405303" w:rsidRDefault="00640576" w:rsidP="00C15251">
      <w:pPr>
        <w:shd w:val="clear" w:color="auto" w:fill="FFFFFF"/>
        <w:jc w:val="both"/>
        <w:rPr>
          <w:bCs/>
          <w:color w:val="002060"/>
          <w:sz w:val="16"/>
          <w:szCs w:val="16"/>
        </w:rPr>
      </w:pPr>
      <w:r w:rsidRPr="00405303">
        <w:rPr>
          <w:bCs/>
          <w:color w:val="002060"/>
          <w:sz w:val="16"/>
          <w:szCs w:val="16"/>
        </w:rPr>
        <w:t xml:space="preserve">15 </w:t>
      </w:r>
      <w:r w:rsidR="00D032E2" w:rsidRPr="00405303">
        <w:rPr>
          <w:bCs/>
          <w:color w:val="002060"/>
          <w:sz w:val="16"/>
          <w:szCs w:val="16"/>
        </w:rPr>
        <w:t xml:space="preserve">(28) </w:t>
      </w:r>
      <w:r w:rsidRPr="00405303">
        <w:rPr>
          <w:bCs/>
          <w:color w:val="002060"/>
          <w:sz w:val="16"/>
          <w:szCs w:val="16"/>
        </w:rPr>
        <w:t>сентября 1915 г. автомобильный отдел Всероссийского Земского Союза (ВЗС) приступил к организации собственного завода в Москве. Помимо автомобилей предприятие, руководимое Н.Р. Бриллингом, освоило выпуск аэросаней конструкции А.С. Кузина. Сани ВЗС строились в трех-, четырех- и пятиместном (разведывательный, связной и санитарный) вариантах. На сборку одного экземпляра уходило два месяца. Было выпущено около 30 единиц, переданных в действующую армию и положительно себя зарекомендовавших. Однако столь мизерная серия не могла покрыть потребности, поэтому и в войсках активно строили аэросани по оригинальным проектам.</w:t>
      </w:r>
    </w:p>
    <w:p w14:paraId="4E3DFBFD" w14:textId="77777777" w:rsidR="00640576" w:rsidRPr="00405303" w:rsidRDefault="00640576" w:rsidP="00C15251">
      <w:pPr>
        <w:shd w:val="clear" w:color="auto" w:fill="FFFFFF"/>
        <w:jc w:val="both"/>
        <w:rPr>
          <w:bCs/>
          <w:color w:val="002060"/>
          <w:sz w:val="16"/>
          <w:szCs w:val="16"/>
        </w:rPr>
      </w:pPr>
      <w:r w:rsidRPr="00405303">
        <w:rPr>
          <w:bCs/>
          <w:color w:val="002060"/>
          <w:sz w:val="16"/>
          <w:szCs w:val="16"/>
        </w:rPr>
        <w:t>На 1917 г. план производства составлял 25 штук. Революционные события прервали выпуск аэросаней, вновь к нему вернулись лишь в 1919-м, когда инженеры Н.Р. Бриллинг и А.С. Кузин предложили свои услуги военному ведомству Советской России. На фронтах Гражданской войны Красная армия располагала весьма ограниченным числом аэросаней, в основном марки ВЗС, гораздо шире они применялись в армиях интервентов: на Дальнем Востоке у японцев, на севере – у англичан, были аэросани и в армии Колчака. Поэтому идея возобновить в Москве постройку аэросаней для военной службы была воспринята очень благожелательно (21487).</w:t>
      </w:r>
    </w:p>
    <w:p w14:paraId="3AF8FD64" w14:textId="23B48F57" w:rsidR="00640576" w:rsidRPr="00405303" w:rsidRDefault="00640576" w:rsidP="00C15251">
      <w:pPr>
        <w:shd w:val="clear" w:color="auto" w:fill="FFFFFF"/>
        <w:jc w:val="both"/>
        <w:rPr>
          <w:bCs/>
          <w:color w:val="002060"/>
          <w:sz w:val="16"/>
          <w:szCs w:val="16"/>
        </w:rPr>
      </w:pPr>
    </w:p>
    <w:p w14:paraId="5BB89E65" w14:textId="02533C08" w:rsidR="00A73D84" w:rsidRPr="00405303" w:rsidRDefault="00A73D84" w:rsidP="00C15251">
      <w:pPr>
        <w:jc w:val="both"/>
        <w:rPr>
          <w:bCs/>
          <w:i/>
          <w:color w:val="002060"/>
          <w:sz w:val="16"/>
          <w:szCs w:val="16"/>
        </w:rPr>
      </w:pPr>
      <w:r w:rsidRPr="00405303">
        <w:rPr>
          <w:bCs/>
          <w:i/>
          <w:color w:val="002060"/>
          <w:sz w:val="16"/>
          <w:szCs w:val="16"/>
        </w:rPr>
        <w:t>Авиация:</w:t>
      </w:r>
    </w:p>
    <w:p w14:paraId="4DFD50B3" w14:textId="77777777" w:rsidR="00A73D84" w:rsidRPr="00405303" w:rsidRDefault="00A73D84" w:rsidP="00C15251">
      <w:pPr>
        <w:jc w:val="both"/>
        <w:rPr>
          <w:bCs/>
          <w:i/>
          <w:color w:val="002060"/>
          <w:sz w:val="16"/>
          <w:szCs w:val="16"/>
        </w:rPr>
      </w:pPr>
    </w:p>
    <w:p w14:paraId="0A0DBCB8" w14:textId="7E979D7F" w:rsidR="00A73D84" w:rsidRPr="00405303" w:rsidRDefault="00A73D84" w:rsidP="00C15251">
      <w:pPr>
        <w:jc w:val="both"/>
        <w:rPr>
          <w:bCs/>
          <w:color w:val="002060"/>
          <w:sz w:val="16"/>
          <w:szCs w:val="16"/>
        </w:rPr>
      </w:pPr>
      <w:r w:rsidRPr="00405303">
        <w:rPr>
          <w:bCs/>
          <w:color w:val="002060"/>
          <w:sz w:val="16"/>
          <w:szCs w:val="16"/>
          <w:lang w:bidi="ru-RU"/>
        </w:rPr>
        <w:lastRenderedPageBreak/>
        <w:t>15—17 (28-30) сентября 1915 г.</w:t>
      </w:r>
    </w:p>
    <w:p w14:paraId="4C0DA294" w14:textId="77777777" w:rsidR="00A73D84" w:rsidRPr="00405303" w:rsidRDefault="00A73D84" w:rsidP="00C15251">
      <w:pPr>
        <w:jc w:val="both"/>
        <w:rPr>
          <w:bCs/>
          <w:color w:val="002060"/>
          <w:sz w:val="16"/>
          <w:szCs w:val="16"/>
          <w:lang w:bidi="ru-RU"/>
        </w:rPr>
      </w:pPr>
      <w:r w:rsidRPr="00405303">
        <w:rPr>
          <w:bCs/>
          <w:color w:val="002060"/>
          <w:sz w:val="16"/>
          <w:szCs w:val="16"/>
          <w:lang w:bidi="ru-RU"/>
        </w:rPr>
        <w:t>13-й и 14-й месяцы. Русский фронт. 15—17 сентября 1915 г.</w:t>
      </w:r>
    </w:p>
    <w:p w14:paraId="4222E966" w14:textId="77777777" w:rsidR="00A73D84" w:rsidRPr="00405303" w:rsidRDefault="00A73D84" w:rsidP="00C15251">
      <w:pPr>
        <w:jc w:val="both"/>
        <w:rPr>
          <w:bCs/>
          <w:color w:val="002060"/>
          <w:sz w:val="16"/>
          <w:szCs w:val="16"/>
        </w:rPr>
      </w:pPr>
      <w:r w:rsidRPr="00405303">
        <w:rPr>
          <w:bCs/>
          <w:color w:val="002060"/>
          <w:sz w:val="16"/>
          <w:szCs w:val="16"/>
          <w:lang w:bidi="ru-RU"/>
        </w:rPr>
        <w:t>В митавском районе наши летчики бом</w:t>
      </w:r>
      <w:r w:rsidRPr="00405303">
        <w:rPr>
          <w:bCs/>
          <w:color w:val="002060"/>
          <w:sz w:val="16"/>
          <w:szCs w:val="16"/>
          <w:lang w:bidi="ru-RU"/>
        </w:rPr>
        <w:softHyphen/>
        <w:t>бардировали мосты противника на реке Аа Курляндская и немецкие обозы вблизи Ми- тавы, причем наблюдались весьма удач</w:t>
      </w:r>
      <w:r w:rsidRPr="00405303">
        <w:rPr>
          <w:bCs/>
          <w:color w:val="002060"/>
          <w:sz w:val="16"/>
          <w:szCs w:val="16"/>
          <w:lang w:bidi="ru-RU"/>
        </w:rPr>
        <w:softHyphen/>
        <w:t>ные разрывы сброшенных бомб. В этом же районе от порчи мотора спустился немец</w:t>
      </w:r>
      <w:r w:rsidRPr="00405303">
        <w:rPr>
          <w:bCs/>
          <w:color w:val="002060"/>
          <w:sz w:val="16"/>
          <w:szCs w:val="16"/>
          <w:lang w:bidi="ru-RU"/>
        </w:rPr>
        <w:softHyphen/>
        <w:t>кий летчик, захваченный нами вместе с са</w:t>
      </w:r>
      <w:r w:rsidRPr="00405303">
        <w:rPr>
          <w:bCs/>
          <w:color w:val="002060"/>
          <w:sz w:val="16"/>
          <w:szCs w:val="16"/>
          <w:lang w:bidi="ru-RU"/>
        </w:rPr>
        <w:softHyphen/>
        <w:t>молетом» (23374).</w:t>
      </w:r>
    </w:p>
    <w:p w14:paraId="5060BB88" w14:textId="77777777" w:rsidR="00A73D84" w:rsidRPr="00405303" w:rsidRDefault="00A73D84" w:rsidP="00C15251">
      <w:pPr>
        <w:jc w:val="both"/>
        <w:rPr>
          <w:bCs/>
          <w:color w:val="002060"/>
          <w:sz w:val="16"/>
          <w:szCs w:val="16"/>
        </w:rPr>
      </w:pPr>
    </w:p>
    <w:p w14:paraId="2A072334" w14:textId="1224933C" w:rsidR="00A73D84" w:rsidRPr="00405303" w:rsidRDefault="00A73D84" w:rsidP="00C15251">
      <w:pPr>
        <w:jc w:val="both"/>
        <w:rPr>
          <w:bCs/>
          <w:color w:val="002060"/>
          <w:sz w:val="16"/>
          <w:szCs w:val="16"/>
        </w:rPr>
      </w:pPr>
      <w:r w:rsidRPr="00405303">
        <w:rPr>
          <w:bCs/>
          <w:color w:val="002060"/>
          <w:sz w:val="16"/>
          <w:szCs w:val="16"/>
        </w:rPr>
        <w:t>15 (28) сентября 1915 г. Рига вновь подверглась бомбардировке с воздуха. В этот период активизировала свою деятельность вражеская морская авиация. В середине сентября группа германских гидроаэропланов (6 аппаратов) осуществила бомбометание объектов в Рижском заливе и Усть-Двинской крепости. Ответными действиями нашей артиллерии в районе Микилевшизна был подбит неприятельский самолет, упавший в расположении русских войск[—]. 23 сентября немецкий аэроплан бросил на г. Шлок (Слока, 25 км западнее г. Рига) несколько бомб. В результате обстрела нашими войсками он получил серьезные повреждения и быстро опустился за линией фронта. Одновременно русские гидроаэропланы сорвали попытку неприятельской гидроавиации осуществить бомбардировку объектов в Рижском заливе (23405).</w:t>
      </w:r>
    </w:p>
    <w:p w14:paraId="6EDE50B6" w14:textId="77777777" w:rsidR="00A73D84" w:rsidRPr="00405303" w:rsidRDefault="00A73D84" w:rsidP="00C15251">
      <w:pPr>
        <w:jc w:val="both"/>
        <w:rPr>
          <w:bCs/>
          <w:color w:val="002060"/>
          <w:sz w:val="16"/>
          <w:szCs w:val="16"/>
          <w:lang w:bidi="ru-RU"/>
        </w:rPr>
      </w:pPr>
    </w:p>
    <w:p w14:paraId="418A64F0" w14:textId="54A1606E" w:rsidR="00D032E2" w:rsidRPr="00405303" w:rsidRDefault="00D032E2" w:rsidP="00C15251">
      <w:pPr>
        <w:jc w:val="both"/>
        <w:rPr>
          <w:bCs/>
          <w:i/>
          <w:color w:val="002060"/>
          <w:sz w:val="16"/>
          <w:szCs w:val="16"/>
        </w:rPr>
      </w:pPr>
      <w:r w:rsidRPr="00405303">
        <w:rPr>
          <w:bCs/>
          <w:i/>
          <w:color w:val="002060"/>
          <w:sz w:val="16"/>
          <w:szCs w:val="16"/>
        </w:rPr>
        <w:t>Жизнь и внутренняя политика:</w:t>
      </w:r>
    </w:p>
    <w:p w14:paraId="754F0FE5" w14:textId="77777777" w:rsidR="00D032E2" w:rsidRPr="00405303" w:rsidRDefault="00D032E2" w:rsidP="00C15251">
      <w:pPr>
        <w:jc w:val="both"/>
        <w:rPr>
          <w:bCs/>
          <w:i/>
          <w:color w:val="002060"/>
          <w:sz w:val="16"/>
          <w:szCs w:val="16"/>
        </w:rPr>
      </w:pPr>
    </w:p>
    <w:p w14:paraId="7521B3AF" w14:textId="77777777" w:rsidR="00D032E2" w:rsidRPr="00405303" w:rsidRDefault="00D032E2" w:rsidP="00C15251">
      <w:pPr>
        <w:jc w:val="both"/>
        <w:rPr>
          <w:bCs/>
          <w:color w:val="002060"/>
          <w:sz w:val="16"/>
          <w:szCs w:val="16"/>
        </w:rPr>
      </w:pPr>
      <w:r w:rsidRPr="00405303">
        <w:rPr>
          <w:bCs/>
          <w:color w:val="002060"/>
          <w:sz w:val="16"/>
          <w:szCs w:val="16"/>
        </w:rPr>
        <w:t>15 (28) сентября в 1915 году закрывается заседание Думы России без указания даты возобновления заседаний (14770).</w:t>
      </w:r>
    </w:p>
    <w:p w14:paraId="28F72534" w14:textId="77777777" w:rsidR="00D032E2" w:rsidRPr="00405303" w:rsidRDefault="00D032E2" w:rsidP="00C15251">
      <w:pPr>
        <w:jc w:val="both"/>
        <w:rPr>
          <w:bCs/>
          <w:color w:val="002060"/>
          <w:sz w:val="16"/>
          <w:szCs w:val="16"/>
        </w:rPr>
      </w:pPr>
    </w:p>
    <w:p w14:paraId="2C5B13A2" w14:textId="77777777" w:rsidR="00D032E2" w:rsidRPr="00405303" w:rsidRDefault="00D032E2" w:rsidP="00C15251">
      <w:pPr>
        <w:jc w:val="both"/>
        <w:rPr>
          <w:bCs/>
          <w:i/>
          <w:color w:val="002060"/>
          <w:sz w:val="16"/>
          <w:szCs w:val="16"/>
        </w:rPr>
      </w:pPr>
      <w:r w:rsidRPr="00405303">
        <w:rPr>
          <w:bCs/>
          <w:i/>
          <w:color w:val="002060"/>
          <w:sz w:val="16"/>
          <w:szCs w:val="16"/>
        </w:rPr>
        <w:t>За рубежом:</w:t>
      </w:r>
    </w:p>
    <w:p w14:paraId="3D0CFC3A" w14:textId="77777777" w:rsidR="00D032E2" w:rsidRPr="00405303" w:rsidRDefault="00D032E2" w:rsidP="00C15251">
      <w:pPr>
        <w:jc w:val="both"/>
        <w:rPr>
          <w:bCs/>
          <w:color w:val="002060"/>
          <w:sz w:val="16"/>
          <w:szCs w:val="16"/>
        </w:rPr>
      </w:pPr>
    </w:p>
    <w:p w14:paraId="363516C3" w14:textId="77777777" w:rsidR="00D032E2" w:rsidRPr="00405303" w:rsidRDefault="00D032E2" w:rsidP="00C15251">
      <w:pPr>
        <w:jc w:val="both"/>
        <w:rPr>
          <w:bCs/>
          <w:color w:val="002060"/>
          <w:sz w:val="16"/>
          <w:szCs w:val="16"/>
        </w:rPr>
      </w:pPr>
      <w:r w:rsidRPr="00405303">
        <w:rPr>
          <w:rStyle w:val="ucoz-forum-post"/>
          <w:rFonts w:eastAsiaTheme="majorEastAsia"/>
          <w:bCs/>
          <w:color w:val="002060"/>
          <w:sz w:val="16"/>
          <w:szCs w:val="16"/>
        </w:rPr>
        <w:t xml:space="preserve">15 (28) сентября </w:t>
      </w:r>
      <w:r w:rsidRPr="00405303">
        <w:rPr>
          <w:bCs/>
          <w:color w:val="002060"/>
          <w:sz w:val="16"/>
          <w:szCs w:val="16"/>
        </w:rPr>
        <w:t>в 1915 году британские войска, развивая наступление вдоль реки Тигр в Месопотамии, заняли город Кут-эль-Имара (14783).</w:t>
      </w:r>
    </w:p>
    <w:p w14:paraId="2DB6FA94" w14:textId="77777777" w:rsidR="00D032E2" w:rsidRPr="00405303" w:rsidRDefault="00D032E2" w:rsidP="00C15251">
      <w:pPr>
        <w:jc w:val="both"/>
        <w:rPr>
          <w:bCs/>
          <w:color w:val="002060"/>
          <w:sz w:val="16"/>
          <w:szCs w:val="16"/>
        </w:rPr>
      </w:pPr>
    </w:p>
    <w:p w14:paraId="31E9310F" w14:textId="48D852A6" w:rsidR="00D3615C" w:rsidRPr="00405303" w:rsidRDefault="00D3615C" w:rsidP="00D3615C">
      <w:pPr>
        <w:shd w:val="clear" w:color="auto" w:fill="FFFFFF"/>
        <w:jc w:val="both"/>
        <w:rPr>
          <w:bCs/>
          <w:i/>
          <w:iCs/>
          <w:color w:val="002060"/>
          <w:sz w:val="16"/>
          <w:szCs w:val="16"/>
        </w:rPr>
      </w:pPr>
      <w:r w:rsidRPr="00405303">
        <w:rPr>
          <w:bCs/>
          <w:i/>
          <w:iCs/>
          <w:color w:val="002060"/>
          <w:sz w:val="16"/>
          <w:szCs w:val="16"/>
        </w:rPr>
        <w:t>Авиация</w:t>
      </w:r>
      <w:r>
        <w:rPr>
          <w:bCs/>
          <w:i/>
          <w:iCs/>
          <w:color w:val="002060"/>
          <w:sz w:val="16"/>
          <w:szCs w:val="16"/>
        </w:rPr>
        <w:t xml:space="preserve"> и воздухоплавание Германии</w:t>
      </w:r>
      <w:r w:rsidRPr="00405303">
        <w:rPr>
          <w:bCs/>
          <w:i/>
          <w:iCs/>
          <w:color w:val="002060"/>
          <w:sz w:val="16"/>
          <w:szCs w:val="16"/>
        </w:rPr>
        <w:t>:</w:t>
      </w:r>
    </w:p>
    <w:p w14:paraId="5A0BD4D4" w14:textId="77777777" w:rsidR="00D3615C" w:rsidRPr="00405303" w:rsidRDefault="00D3615C" w:rsidP="00D3615C">
      <w:pPr>
        <w:shd w:val="clear" w:color="auto" w:fill="FFFFFF"/>
        <w:jc w:val="both"/>
        <w:rPr>
          <w:bCs/>
          <w:i/>
          <w:iCs/>
          <w:color w:val="002060"/>
          <w:sz w:val="16"/>
          <w:szCs w:val="16"/>
        </w:rPr>
      </w:pPr>
    </w:p>
    <w:p w14:paraId="218AB468" w14:textId="77777777" w:rsidR="00D3615C" w:rsidRPr="00CF03EC" w:rsidRDefault="00D3615C" w:rsidP="00D3615C">
      <w:pPr>
        <w:jc w:val="both"/>
        <w:rPr>
          <w:color w:val="0070C0"/>
          <w:sz w:val="16"/>
          <w:szCs w:val="16"/>
        </w:rPr>
      </w:pPr>
      <w:r w:rsidRPr="00CF03EC">
        <w:rPr>
          <w:color w:val="0070C0"/>
          <w:sz w:val="16"/>
          <w:szCs w:val="16"/>
        </w:rPr>
        <w:t>15 (28) сентября 1915 г. фирма Пфальц получила кредит на 25 серийных самолетов Пфальц E I. Они оказались на Западном фронте в конце октября 1915 г., но сначала не в Воздушных войсках, а в морской авиации, которая также остро нуждалась в прикрытии своих разведчиков и бомбардировщиков, в том числе и дирижаблей, и их баз. Несколько истребителей этого типа продали Австро-Венгрии – также для ее моряков (25772).</w:t>
      </w:r>
    </w:p>
    <w:p w14:paraId="6137CA2D" w14:textId="77777777" w:rsidR="00D3615C" w:rsidRPr="00CF03EC" w:rsidRDefault="00D3615C" w:rsidP="00D3615C">
      <w:pPr>
        <w:jc w:val="both"/>
        <w:rPr>
          <w:color w:val="0070C0"/>
          <w:sz w:val="16"/>
          <w:szCs w:val="16"/>
        </w:rPr>
      </w:pPr>
    </w:p>
    <w:p w14:paraId="60EBB852" w14:textId="3CFAB120" w:rsidR="00D032E2" w:rsidRPr="00405303" w:rsidRDefault="00D032E2" w:rsidP="00C15251">
      <w:pPr>
        <w:shd w:val="clear" w:color="auto" w:fill="FFFFFF"/>
        <w:jc w:val="both"/>
        <w:rPr>
          <w:bCs/>
          <w:i/>
          <w:iCs/>
          <w:color w:val="002060"/>
          <w:sz w:val="16"/>
          <w:szCs w:val="16"/>
        </w:rPr>
      </w:pPr>
      <w:r w:rsidRPr="00405303">
        <w:rPr>
          <w:bCs/>
          <w:i/>
          <w:iCs/>
          <w:color w:val="002060"/>
          <w:sz w:val="16"/>
          <w:szCs w:val="16"/>
        </w:rPr>
        <w:t>Авиация:</w:t>
      </w:r>
    </w:p>
    <w:p w14:paraId="1ACDCE56" w14:textId="77777777" w:rsidR="00D032E2" w:rsidRPr="00405303" w:rsidRDefault="00D032E2" w:rsidP="00C15251">
      <w:pPr>
        <w:shd w:val="clear" w:color="auto" w:fill="FFFFFF"/>
        <w:jc w:val="both"/>
        <w:rPr>
          <w:bCs/>
          <w:i/>
          <w:iCs/>
          <w:color w:val="002060"/>
          <w:sz w:val="16"/>
          <w:szCs w:val="16"/>
        </w:rPr>
      </w:pPr>
    </w:p>
    <w:p w14:paraId="54E722EE" w14:textId="4AD5DFCE" w:rsidR="004B4E35" w:rsidRPr="00405303" w:rsidRDefault="009E6F82" w:rsidP="00C15251">
      <w:pPr>
        <w:jc w:val="both"/>
        <w:rPr>
          <w:bCs/>
          <w:color w:val="002060"/>
          <w:sz w:val="16"/>
          <w:szCs w:val="16"/>
        </w:rPr>
      </w:pPr>
      <w:r w:rsidRPr="00405303">
        <w:rPr>
          <w:bCs/>
          <w:color w:val="002060"/>
          <w:sz w:val="16"/>
          <w:szCs w:val="16"/>
        </w:rPr>
        <w:t xml:space="preserve">В первой половине сентября 1915 немцы предприняли попытку обойти и разгромить правый фланг Западного фронта. Воздушная разведка, выполнявшаяся, в основном, силами 34-го КАО, который обслуживал штаб 10-й армии, вовремя вскрыла подготовку противника к Свенцянскому прорыву, обнаружив в районе Ковно-Янов-Вилькомир крупные скопления его войск. Высочайшими приказами отмечены подвиги многих авиаторов. Так, начальник 19-го КАО поручик Владимир Ягелло был награжден орденом Св.Георгия 4-й степени &lt;зато, что, производя воздушную разведку 21-го февраля 1915 г. района расположения противника в направлении на Рожкову-Волю, Томашев и Раву, будучи обстрелян артиллерией противника..., добыл сведения особой важности относительно движения противника к левому флангу нашей армии, которые своевременно доставил в штаб армии, что дало возможность принять меры и с успехом парализовать намерения противника&gt;. Георгиевскими кавалерами стали поручик Смольянинов из 24-го КАО, подпоручик Иван Орлов и др. Не все герои получили боевые награды: 16-го сентября во время воздушной разведки лейтенант Маркович, "исправляя во время полета пробитый пулей бензиновый бак, был убит, геройской смертью запечатлев содеянный им подвиг". Умер от ран, полученных при падении во время воздушной разведки, начальник 2-го Сибирского КАО штабскапитан И. И. Александрович... Не отставали от кадровых офицеров и летчики-добровольцы, научившиеся полетам на аэропланах в частных школах или аэроклубах еще перед войной. Вот один из примеров. &lt;12 мая во время выполнения разведки летнабом 19-го КАО подпоручиком Рудовичем в моторе аппарата произошел взрыв. До линии фронта оставалось 8 верст. Летчик-охотник ефрейтор Лауниц не растерялся и стал планировать под сильным пулеметным и артиллерийским огнем. Ему удалось вывести аппарат из расположения противника и опуститься вблизи наших боевых позиций. Он спас самолет от захвата противником и офицера от плена. Во время планирования ефрейтор Лауниц был ранен в руку с раздроблением кости, но несмотря на это посадил самолет.&gt; Приказом по войскам 5-й армии от 25.05.1915 г. Владимир Лауниц был награжден солдатским Георгиевским крестом 4-й степени. В конце 1915 г. война на восточном фронте приняла позиционный характер. Кавалерия лишилась возможности проводить разведку. Только самолеты позволяли проникнуть в глубину расположения войск противника, чтобы собрать необходимые для командования сведения. При этом задачи воздушной разведки изменились: если в условиях маневренной войны на нее прежде всего возлагалось наблюдение за крупными силами неприятеля и направлением их движения, то теперь от авиаторов главным образом требовалось тщательно изучать систему обороны противника и наблюдать за ее состоянием и развитием. Привлекалась авиация и для выполнения других задач. Летом в Польше на Северо-Западном фронте германские войска окружили пограничную крепость Новогеоргиевск. В начале августа командование русского гарнизона ввиду опасности скорой капитуляции решило воспользоваться услугами летчиков Новогеоргиевского крепостного авиаотряда. Его начальник капитан Иван Массальский организовал отлет всех исправных самолетов, предварительно уничтожив авиационное имущество, которое нельзя было вывезти. Летчики поручик Константин Вакуловский, штабс-ротмистр Ливотов, капитан Массальский и другие по приказу коменданта крепости вылетели в непогоду под сильным обстрелом противника. Прорвавшись, они вывезли штандарты, Георгиевские кресты и секретные документы. Пролетев 4- 5 часов на небольшой высоте, авиаторы благополучно опустились в расположении своих войск. За этот подвиг они были награждены орденами Св. Георгия 4-й степени и Георгиевским оружием. В 1915 г. воздушные бои оставались редкостью. В большинстве случаев экипажи отправлялись на задания, располагая только карабинами и пистолетами, но и с таким оружием некоторые летчики добивались воздушных побед. Так, 25 февраля летчик°доброволец француз Пуаре с наблюдателем поручиком Шебалиным вылетели на трофейном "Эйлере" на разведку района Лович-Неборов-Болилов. Над своими позициями между Камионом и Сулишевым они атаковали немецкий аппарат. С дистанции 40-50 м по нему было произведено 5 выстрелов из карабина. Согласно донесению летчиков 2-го армейского авиаотряда, "после третьего выстрела самолет противника пошел с поворотом книзу и опустился под Скверневицами". 15-го июля во время разведки к востоку от Золотой Липы летчики 2-го Сибирского КАО поручик Покровский и корнет Плонский заметили неприятельский аэроплан. Из оружия у них были только пистолеты 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7-й... авиароты.&gt; Оба русских героя были награждены орденами Св. Георгия 4-й степени. Кстати, &lt;Авиатик&gt;, как и большийство других самолетов того времени, был весьма слабой машиной. Об этом свидетельствует следующий факт: 27 ноября австрийские летчики Дример и Хубнер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Недостаток вооружения во многом компенсировался храбростью русских авиаторов. 18-го марта одержал свою первую победу летчик 4-го КАО поручик А. А. 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В 1915 г. на русских аэропланах появились пулеметы. Для их применения наиболее пригодным оказался биплан Вуазен, на который часто устанавливался пулемет Кольт. Такой самолет становился грозным оружием, 24-го июня летчик прапорщик Иванов и наблюдатель поручик Алексеев из 26-го КАО атаковали в районе Тарнополя австрийский Альбатрос (бортовой номер 21-01) из 1-й авиароты,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Тлусте, наблюдатель выронил карабин. В одной из следующих атак Альбатрос </w:t>
      </w:r>
      <w:r w:rsidRPr="00405303">
        <w:rPr>
          <w:bCs/>
          <w:color w:val="002060"/>
          <w:sz w:val="16"/>
          <w:szCs w:val="16"/>
        </w:rPr>
        <w:lastRenderedPageBreak/>
        <w:t>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4233E2CC" w14:textId="77777777" w:rsidR="004B4E35" w:rsidRPr="00405303" w:rsidRDefault="004B4E35" w:rsidP="00C15251">
      <w:pPr>
        <w:jc w:val="both"/>
        <w:rPr>
          <w:bCs/>
          <w:color w:val="002060"/>
          <w:sz w:val="16"/>
          <w:szCs w:val="16"/>
        </w:rPr>
      </w:pPr>
    </w:p>
    <w:p w14:paraId="368314B1" w14:textId="77777777" w:rsidR="00D032E2" w:rsidRPr="00405303" w:rsidRDefault="00D032E2" w:rsidP="00C15251">
      <w:pPr>
        <w:shd w:val="clear" w:color="auto" w:fill="FFFFFF"/>
        <w:jc w:val="both"/>
        <w:rPr>
          <w:bCs/>
          <w:i/>
          <w:color w:val="002060"/>
          <w:sz w:val="16"/>
          <w:szCs w:val="16"/>
        </w:rPr>
      </w:pPr>
      <w:r w:rsidRPr="00405303">
        <w:rPr>
          <w:bCs/>
          <w:i/>
          <w:color w:val="002060"/>
          <w:sz w:val="16"/>
          <w:szCs w:val="16"/>
        </w:rPr>
        <w:t>Армия:</w:t>
      </w:r>
    </w:p>
    <w:p w14:paraId="5DBD9BAC" w14:textId="77777777" w:rsidR="00D032E2" w:rsidRPr="00405303" w:rsidRDefault="00D032E2" w:rsidP="00C15251">
      <w:pPr>
        <w:shd w:val="clear" w:color="auto" w:fill="FFFFFF"/>
        <w:jc w:val="both"/>
        <w:rPr>
          <w:bCs/>
          <w:i/>
          <w:color w:val="002060"/>
          <w:sz w:val="16"/>
          <w:szCs w:val="16"/>
        </w:rPr>
      </w:pPr>
    </w:p>
    <w:p w14:paraId="4E09F95D" w14:textId="77777777" w:rsidR="00D032E2" w:rsidRPr="00405303" w:rsidRDefault="00D032E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первой половине сентября 1915 немцы предприняли попытку обойти и разгромить правый фланг Западного фронта. Воздушная разведка, выполнявшаяся, в основном, силами 34-го КАО, который обслуживал штаб 10-й армии, вовремя вскрыла подготовку противника к Свенцянскому прорыву, обнаружив в районе Ковно-Янов-Вилькомир крупные скопления его войск (11278).</w:t>
      </w:r>
    </w:p>
    <w:p w14:paraId="6FB0437E" w14:textId="77777777" w:rsidR="00D032E2" w:rsidRPr="00405303" w:rsidRDefault="00D032E2" w:rsidP="00C15251">
      <w:pPr>
        <w:pStyle w:val="a3"/>
        <w:jc w:val="both"/>
        <w:rPr>
          <w:bCs/>
          <w:i w:val="0"/>
          <w:color w:val="002060"/>
          <w:spacing w:val="0"/>
          <w:kern w:val="0"/>
          <w:position w:val="0"/>
          <w:sz w:val="16"/>
          <w:szCs w:val="16"/>
        </w:rPr>
      </w:pPr>
    </w:p>
    <w:p w14:paraId="1AA8A968" w14:textId="77777777" w:rsidR="00D032E2" w:rsidRPr="00405303" w:rsidRDefault="00D032E2" w:rsidP="00C15251">
      <w:pPr>
        <w:shd w:val="clear" w:color="auto" w:fill="FFFFFF"/>
        <w:jc w:val="both"/>
        <w:rPr>
          <w:bCs/>
          <w:i/>
          <w:iCs/>
          <w:color w:val="002060"/>
          <w:sz w:val="16"/>
          <w:szCs w:val="16"/>
        </w:rPr>
      </w:pPr>
      <w:r w:rsidRPr="00405303">
        <w:rPr>
          <w:bCs/>
          <w:i/>
          <w:iCs/>
          <w:color w:val="002060"/>
          <w:sz w:val="16"/>
          <w:szCs w:val="16"/>
        </w:rPr>
        <w:t>Авиация:</w:t>
      </w:r>
    </w:p>
    <w:p w14:paraId="5377C688" w14:textId="77777777" w:rsidR="00D032E2" w:rsidRPr="00405303" w:rsidRDefault="00D032E2" w:rsidP="00C15251">
      <w:pPr>
        <w:shd w:val="clear" w:color="auto" w:fill="FFFFFF"/>
        <w:jc w:val="both"/>
        <w:rPr>
          <w:bCs/>
          <w:i/>
          <w:iCs/>
          <w:color w:val="002060"/>
          <w:sz w:val="16"/>
          <w:szCs w:val="16"/>
        </w:rPr>
      </w:pPr>
    </w:p>
    <w:p w14:paraId="5B9079E2" w14:textId="02127490" w:rsidR="004B4E35" w:rsidRPr="00405303" w:rsidRDefault="009E6F82" w:rsidP="00C15251">
      <w:pPr>
        <w:jc w:val="both"/>
        <w:rPr>
          <w:bCs/>
          <w:color w:val="002060"/>
          <w:sz w:val="16"/>
          <w:szCs w:val="16"/>
        </w:rPr>
      </w:pPr>
      <w:r w:rsidRPr="00405303">
        <w:rPr>
          <w:bCs/>
          <w:color w:val="002060"/>
          <w:sz w:val="16"/>
          <w:szCs w:val="16"/>
        </w:rPr>
        <w:t>В середине сентября 1915 г. Озерский перебазировался в район Слуцка. 2 ноября после выполнения боевого задания на снижении при входе в зону своего аэродрома самолет вдруг перешел в плоский штопор и врезался в землю. Кроме второго пилота Спасова, весь экипаж погиб. Хотя работала представительная комиссия под председательством Горшкова, причин катастрофы выяснить не удалось. Спасов при ударе потерял память и даже после лечения вспомнить ничего не смог. Потерей второго корабля завершилась история первого боевого отряда (11230).</w:t>
      </w:r>
    </w:p>
    <w:p w14:paraId="50A0C1C5" w14:textId="72325F4F" w:rsidR="004B4E35" w:rsidRPr="00405303" w:rsidRDefault="004B4E35" w:rsidP="00C15251">
      <w:pPr>
        <w:jc w:val="both"/>
        <w:rPr>
          <w:bCs/>
          <w:color w:val="002060"/>
          <w:sz w:val="16"/>
          <w:szCs w:val="16"/>
        </w:rPr>
      </w:pPr>
    </w:p>
    <w:p w14:paraId="5D0211E3" w14:textId="77777777" w:rsidR="00D1645F" w:rsidRPr="00405303" w:rsidRDefault="00D1645F" w:rsidP="00D1645F">
      <w:pPr>
        <w:jc w:val="both"/>
        <w:rPr>
          <w:rStyle w:val="aa"/>
          <w:rFonts w:ascii="Times New Roman" w:hAnsi="Times New Roman"/>
          <w:color w:val="0070C0"/>
          <w:spacing w:val="0"/>
          <w:sz w:val="16"/>
          <w:szCs w:val="16"/>
        </w:rPr>
      </w:pPr>
      <w:r w:rsidRPr="00405303">
        <w:rPr>
          <w:rStyle w:val="aa"/>
          <w:rFonts w:ascii="Times New Roman" w:hAnsi="Times New Roman"/>
          <w:color w:val="0070C0"/>
          <w:spacing w:val="0"/>
          <w:sz w:val="16"/>
          <w:szCs w:val="16"/>
        </w:rPr>
        <w:t>В середине сентября 1915 г. группа германских гидроаэропланов (6 аппаратов) осуществила бомбометание объектов в Рижском заливе и Усть-Двинской крепости. Ответными действиями нашей артиллерии в районе Микилевшизна был подбит неприятельский самолет, упавший в расположении русских войск (25135).</w:t>
      </w:r>
    </w:p>
    <w:p w14:paraId="3375101A" w14:textId="77777777" w:rsidR="00D1645F" w:rsidRPr="00405303" w:rsidRDefault="00D1645F" w:rsidP="00D1645F">
      <w:pPr>
        <w:jc w:val="both"/>
        <w:rPr>
          <w:rStyle w:val="aa"/>
          <w:rFonts w:ascii="Times New Roman" w:hAnsi="Times New Roman"/>
          <w:color w:val="0070C0"/>
          <w:spacing w:val="0"/>
          <w:sz w:val="16"/>
          <w:szCs w:val="16"/>
        </w:rPr>
      </w:pPr>
    </w:p>
    <w:p w14:paraId="2CF778BB" w14:textId="77777777" w:rsidR="00D1645F" w:rsidRPr="00405303" w:rsidRDefault="00D1645F" w:rsidP="00D1645F">
      <w:pPr>
        <w:jc w:val="both"/>
        <w:rPr>
          <w:color w:val="0070C0"/>
          <w:sz w:val="16"/>
          <w:szCs w:val="16"/>
        </w:rPr>
      </w:pPr>
      <w:r w:rsidRPr="00405303">
        <w:rPr>
          <w:rStyle w:val="aa"/>
          <w:rFonts w:ascii="Times New Roman" w:hAnsi="Times New Roman"/>
          <w:color w:val="0070C0"/>
          <w:spacing w:val="0"/>
          <w:sz w:val="16"/>
          <w:szCs w:val="16"/>
        </w:rPr>
        <w:t>В середине сентября 1915 года группа германских гидропланов осуществила бомбардировку Усть-Двинской крепости. 1 октября воздушный налет повторился (25166).</w:t>
      </w:r>
    </w:p>
    <w:p w14:paraId="2CDF7C1F" w14:textId="77777777" w:rsidR="00D1645F" w:rsidRPr="00405303" w:rsidRDefault="00D1645F" w:rsidP="00D1645F">
      <w:pPr>
        <w:jc w:val="both"/>
        <w:rPr>
          <w:color w:val="0070C0"/>
          <w:sz w:val="16"/>
          <w:szCs w:val="16"/>
        </w:rPr>
      </w:pPr>
    </w:p>
    <w:p w14:paraId="01A147EF"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2351432A" w14:textId="77777777" w:rsidR="004B4E35" w:rsidRPr="00405303" w:rsidRDefault="004B4E35" w:rsidP="00C15251">
      <w:pPr>
        <w:jc w:val="both"/>
        <w:rPr>
          <w:bCs/>
          <w:i/>
          <w:color w:val="002060"/>
          <w:sz w:val="16"/>
          <w:szCs w:val="16"/>
        </w:rPr>
      </w:pPr>
    </w:p>
    <w:p w14:paraId="7F8A6398" w14:textId="77777777" w:rsidR="004B4E35" w:rsidRPr="00405303" w:rsidRDefault="009E6F82" w:rsidP="00C15251">
      <w:pPr>
        <w:jc w:val="both"/>
        <w:rPr>
          <w:bCs/>
          <w:color w:val="002060"/>
          <w:sz w:val="16"/>
          <w:szCs w:val="16"/>
        </w:rPr>
      </w:pPr>
      <w:r w:rsidRPr="00405303">
        <w:rPr>
          <w:bCs/>
          <w:color w:val="002060"/>
          <w:sz w:val="16"/>
          <w:szCs w:val="16"/>
        </w:rPr>
        <w:t>16 (29) сентября 1915 г. на заседании Комиссии по заготовке взрывчатых веществ В.Н. Ипатьев информировал собравшихся о том, что, согласно постановлению Особого совещания при военном министре образована специальная комиссия по урегулированию цен на серную кислоту. Ее задачей было "установить... цены на серную кислоту и донести о размерах предельных цен Особому совещанию" (РГВИА, ф. 507, оп. 2, д. 72, л. 60-61.). Комиссия учреждалась под председательством В.Н. Ипатьева, в нее входили 3 представителя от Комиссии по заготовке взрывчатых веществ и 3 от Центрального военно-промышленного комитета. Первое ее заседание прошло 19 сентября 1915 г. (РГВИА, ф. 507, оп. 2, д. 72, л. 60-61.). Всего состоялось 2 заседания Комиссии и на них констатировалось, что цены, назначенные ГАУ, -149- вполне удовлетворяют фабрикантов серной кислоты. Эти цены были признаны предельными и обязательными при продаже серной кислоты в частные руки (РГВИА, ф. 507, оп. 2, д. 72, л. 60-61.).</w:t>
      </w:r>
    </w:p>
    <w:p w14:paraId="7B1BB28B" w14:textId="77777777" w:rsidR="004B4E35" w:rsidRPr="00405303" w:rsidRDefault="009E6F82" w:rsidP="00C15251">
      <w:pPr>
        <w:jc w:val="both"/>
        <w:rPr>
          <w:bCs/>
          <w:color w:val="002060"/>
          <w:sz w:val="16"/>
          <w:szCs w:val="16"/>
        </w:rPr>
      </w:pPr>
      <w:r w:rsidRPr="00405303">
        <w:rPr>
          <w:bCs/>
          <w:color w:val="002060"/>
          <w:sz w:val="16"/>
          <w:szCs w:val="16"/>
        </w:rPr>
        <w:t>Комиссия по заготовке взрывчатых веществ предложила 2 способа увеличения производства серной кислоты: увеличение добычи серного колчедана и количества сернокислотных заводов в России и установку газоуловителей на медеплавильных заводах, как это широко практиковались в США и Германии. В последнем случае сырьем для производства серной кислоты являлся сернистый газ, образующийся на медеплавильных заводах при тепловой обработке медистых колчеданов, которые, как правило, содержали также и серу (11781).</w:t>
      </w:r>
    </w:p>
    <w:p w14:paraId="709D6B84" w14:textId="77777777" w:rsidR="004B4E35" w:rsidRPr="00405303" w:rsidRDefault="004B4E35" w:rsidP="00C15251">
      <w:pPr>
        <w:jc w:val="both"/>
        <w:rPr>
          <w:bCs/>
          <w:color w:val="002060"/>
          <w:sz w:val="16"/>
          <w:szCs w:val="16"/>
        </w:rPr>
      </w:pPr>
    </w:p>
    <w:p w14:paraId="62328BE1"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482D2A5A" w14:textId="77777777" w:rsidR="004B4E35" w:rsidRPr="00405303" w:rsidRDefault="004B4E35" w:rsidP="00C15251">
      <w:pPr>
        <w:jc w:val="both"/>
        <w:rPr>
          <w:bCs/>
          <w:i/>
          <w:color w:val="002060"/>
          <w:sz w:val="16"/>
          <w:szCs w:val="16"/>
        </w:rPr>
      </w:pPr>
    </w:p>
    <w:p w14:paraId="07BEA2F4" w14:textId="29CEB1C7" w:rsidR="004B4E35" w:rsidRPr="00405303" w:rsidRDefault="009E6F82" w:rsidP="00C15251">
      <w:pPr>
        <w:jc w:val="both"/>
        <w:rPr>
          <w:bCs/>
          <w:color w:val="002060"/>
          <w:sz w:val="16"/>
          <w:szCs w:val="16"/>
        </w:rPr>
      </w:pPr>
      <w:r w:rsidRPr="00405303">
        <w:rPr>
          <w:bCs/>
          <w:color w:val="002060"/>
          <w:sz w:val="16"/>
          <w:szCs w:val="16"/>
        </w:rPr>
        <w:t xml:space="preserve">16-го (29) сентября 1915 во время воздушной разведки лейтенант Маркович, "исправляя во время полета пробитый пулей бензиновый бак, был убит, геройской смертью запечатлев содеянный им подвиг". Умер от ран, полученных при падении во время воздушной разведки, начальник 2-го Сибирского КАО штабскапитан И. И. Александрович... Не отставали от кадровых офицеров и летчики-добровольцы, научившиеся полетам на аэропланах в частных школах или аэроклубах еще перед войной. Вот один из примеров. &lt;12 мая во время выполнения разведки летнабом 19-го КАО подпоручиком Рудовичем в моторе аппарата произошел взрыв. До линии фронта оставалось 8 верст. Летчик-охотник ефрейтор Лауниц не растерялся и стал планировать под сильным пулеметным и артиллерийским огнем. Ему удалось вывести аппарат из расположения противника и опуститься вблизи наших боевых позиций. Он спас самолет от захвата противником и офицера от плена. Во время планирования ефрейтор Лауниц был ранен в руку с раздроблением кости, но несмотря на это посадил самолет.&gt; Приказом по войскам 5-й армии от 25.05.1915 г. Владимир Лауниц был награжден солдатским Георгиевским крестом 4-й степени. В конце 1915 г. война на восточном фронте приняла позиционный характер. Кавалерия лишилась возможности проводить разведку. Только самолеты позволяли проникнуть в глубину расположения войск противника, чтобы собрать необходимые для командования сведения. При этом задачи воздушной разведки изменились: если в условиях маневренной войны на нее прежде всего возлагалось наблюдение за крупными силами неприятеля и направлением их движения, то теперь от авиаторов главным образом требовалось тщательно изучать систему обороны противника и наблюдать за ее состоянием и развитием. Привлекалась авиация и для выполнения других задач. Летом в Польше на Северо-Западном фронте германские войска окружили пограничную крепость Новогеоргиевск. В начале августа командование русского гарнизона ввиду опасности скорой капитуляции решило воспользоваться услугами летчиков Новогеоргиевского крепостного авиаотряда. Его начальник капитан Иван Массальский организовал отлет всех исправных самолетов, предварительно уничтожив авиационное имущество, которое нельзя было вывезти. Летчики поручик Константин Вакуловский, штабс-ротмистр Ливотов, капитан Массальский и другие по приказу коменданта крепости вылетели в непогоду под сильным обстрелом противника. Прорвавшись, они вывезли штандарты, Георгиевские кресты и секретные документы. Пролетев 4- 5 часов на небольшой высоте, авиаторы благополучно опустились в расположении своих войск. За этот подвиг они были награждены орденами Св. Георгия 4-й степени и Георгиевским оружием. В 1915 г. воздушные бои оставались редкостью. В большинстве случаев экипажи отправлялись на задания, располагая только карабинами и пистолетами, но и с таким оружием некоторые летчики добивались воздушных побед. Так, 25 февраля летчик°доброволец француз Пуаре с наблюдателем поручиком Шебалиным вылетели на трофейном "Эйлере" на разведку района Лович-Неборов-Болилов. Над своими позициями между Камионом и Сулишевым они атаковали немецкий аппарат. С дистанции 40-50 м по нему было произведено 5 выстрелов из карабина. Согласно донесению летчиков 2-го армейского авиаотряда, "после третьего выстрела самолет противника пошел с поворотом книзу и опустился под Скверневицами". 15-го июля во время разведки к востоку от Золотой Липы летчики 2-го Сибирского КАО поручик Покровский и корнет Плонский заметили неприятельский аэроплан. </w:t>
      </w:r>
      <w:r w:rsidRPr="00405303">
        <w:rPr>
          <w:bCs/>
          <w:color w:val="002060"/>
          <w:sz w:val="16"/>
          <w:szCs w:val="16"/>
        </w:rPr>
        <w:lastRenderedPageBreak/>
        <w:t>Из оружия у них были только пистолеты 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7-й... авиароты.&gt; Оба русских героя были награждены орденами Св. Георгия 4-й степени. Кстати, &lt;Авиатик&gt;, как и большийство других самолетов того времени, был весьма слабой машиной. Об этом свидетельствует следующий факт: 27 ноября австрийские летчики Дример и Хубнер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Недостаток вооружения во многом компенсировался храбростью русских авиаторов. 18-го марта одержал свою первую победу летчик 4-го КАО поручик А. А. 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В 1915 г. на русских аэропланах появились пулеметы. Для их применения наиболее пригодным оказался биплан Вуазен, на который часто устанавливался пулемет Кольт. Такой самолет становился грозным оружием, 24-го июня летчик прапорщик Иванов и наблюдатель поручик Алексеев из 26-го КАО атаковали в районе Тарнополя австрийский Альбатрос (бортовой номер 21-01) из 1-й авиароты,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Тлусте,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377E1F77" w14:textId="77777777" w:rsidR="004B4E35" w:rsidRPr="00405303" w:rsidRDefault="004B4E35" w:rsidP="00C15251">
      <w:pPr>
        <w:jc w:val="both"/>
        <w:rPr>
          <w:bCs/>
          <w:color w:val="002060"/>
          <w:sz w:val="16"/>
          <w:szCs w:val="16"/>
        </w:rPr>
      </w:pPr>
    </w:p>
    <w:p w14:paraId="7C89F43D" w14:textId="34B83B96"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16-го (29) сентября1915 во время воздушной разведки лейтенант Маркович, "исправляя во время полета пробитый пулей бензиновый бак, был убит, геройской смертью запечатлев содеянный им подвиг". Умер от ран, полученных при падении во время воздушной разведки, начальник 2-го Сибирского КАО штабскапитан И.И.Александрович... (11278).</w:t>
      </w:r>
    </w:p>
    <w:p w14:paraId="536BCA76" w14:textId="77777777" w:rsidR="004B4E35" w:rsidRPr="00405303" w:rsidRDefault="004B4E35" w:rsidP="00C15251">
      <w:pPr>
        <w:pStyle w:val="a3"/>
        <w:jc w:val="both"/>
        <w:rPr>
          <w:bCs/>
          <w:i w:val="0"/>
          <w:color w:val="002060"/>
          <w:spacing w:val="0"/>
          <w:kern w:val="0"/>
          <w:position w:val="0"/>
          <w:sz w:val="16"/>
          <w:szCs w:val="16"/>
        </w:rPr>
      </w:pPr>
    </w:p>
    <w:p w14:paraId="729F5485" w14:textId="1F892A2F" w:rsidR="00115A99" w:rsidRPr="00405303" w:rsidRDefault="00115A99" w:rsidP="00C15251">
      <w:pPr>
        <w:jc w:val="both"/>
        <w:rPr>
          <w:bCs/>
          <w:color w:val="002060"/>
          <w:sz w:val="16"/>
          <w:szCs w:val="16"/>
          <w:lang w:bidi="en-US"/>
        </w:rPr>
      </w:pPr>
      <w:r w:rsidRPr="00405303">
        <w:rPr>
          <w:bCs/>
          <w:color w:val="002060"/>
          <w:sz w:val="16"/>
          <w:szCs w:val="16"/>
          <w:lang w:bidi="en-US"/>
        </w:rPr>
        <w:t>16 (29) сентября 1915 г. русская армия эвакуировала Лиду. Экипажи сожгли ангары на аэродроме. В Минск вылетели самолеты 5-й АО, 2-й АО, 4-й Сибирской КАО, 5-й КАО и одного ИП «Муромец». 34-я КАО не смогла вылететь из Вильно из-за плохой погоды и была вынуждена сжечь свои самолеты (23525).</w:t>
      </w:r>
    </w:p>
    <w:p w14:paraId="657A72F7" w14:textId="77777777" w:rsidR="00115A99" w:rsidRPr="00405303" w:rsidRDefault="00115A99" w:rsidP="00C15251">
      <w:pPr>
        <w:jc w:val="both"/>
        <w:rPr>
          <w:bCs/>
          <w:color w:val="002060"/>
          <w:sz w:val="16"/>
          <w:szCs w:val="16"/>
        </w:rPr>
      </w:pPr>
    </w:p>
    <w:p w14:paraId="6942E5E9" w14:textId="77777777" w:rsidR="00C436BB" w:rsidRPr="00405303" w:rsidRDefault="00C436BB" w:rsidP="00C15251">
      <w:pPr>
        <w:jc w:val="both"/>
        <w:rPr>
          <w:bCs/>
          <w:i/>
          <w:color w:val="002060"/>
          <w:sz w:val="16"/>
          <w:szCs w:val="16"/>
        </w:rPr>
      </w:pPr>
      <w:r w:rsidRPr="00405303">
        <w:rPr>
          <w:bCs/>
          <w:i/>
          <w:color w:val="002060"/>
          <w:sz w:val="16"/>
          <w:szCs w:val="16"/>
        </w:rPr>
        <w:t>Жизнь и внутренняя политика:</w:t>
      </w:r>
    </w:p>
    <w:p w14:paraId="467AFBB4" w14:textId="77777777" w:rsidR="00C436BB" w:rsidRPr="00405303" w:rsidRDefault="00C436BB" w:rsidP="00C15251">
      <w:pPr>
        <w:jc w:val="both"/>
        <w:rPr>
          <w:bCs/>
          <w:i/>
          <w:color w:val="002060"/>
          <w:sz w:val="16"/>
          <w:szCs w:val="16"/>
        </w:rPr>
      </w:pPr>
    </w:p>
    <w:p w14:paraId="7716FCFB" w14:textId="068406FF" w:rsidR="00C436BB" w:rsidRPr="00405303" w:rsidRDefault="00C436BB" w:rsidP="00C15251">
      <w:pPr>
        <w:jc w:val="both"/>
        <w:rPr>
          <w:bCs/>
          <w:color w:val="002060"/>
          <w:sz w:val="16"/>
          <w:szCs w:val="16"/>
        </w:rPr>
      </w:pPr>
      <w:r w:rsidRPr="00405303">
        <w:rPr>
          <w:rStyle w:val="ucoz-forum-post"/>
          <w:rFonts w:eastAsiaTheme="majorEastAsia"/>
          <w:bCs/>
          <w:color w:val="002060"/>
          <w:sz w:val="16"/>
          <w:szCs w:val="16"/>
        </w:rPr>
        <w:t xml:space="preserve">16 </w:t>
      </w:r>
      <w:r w:rsidR="00D032E2" w:rsidRPr="00405303">
        <w:rPr>
          <w:rStyle w:val="ucoz-forum-post"/>
          <w:rFonts w:eastAsiaTheme="majorEastAsia"/>
          <w:bCs/>
          <w:color w:val="002060"/>
          <w:sz w:val="16"/>
          <w:szCs w:val="16"/>
        </w:rPr>
        <w:t xml:space="preserve">(29) </w:t>
      </w:r>
      <w:r w:rsidRPr="00405303">
        <w:rPr>
          <w:rStyle w:val="ucoz-forum-post"/>
          <w:rFonts w:eastAsiaTheme="majorEastAsia"/>
          <w:bCs/>
          <w:color w:val="002060"/>
          <w:sz w:val="16"/>
          <w:szCs w:val="16"/>
        </w:rPr>
        <w:t xml:space="preserve">сентября </w:t>
      </w:r>
      <w:r w:rsidRPr="00405303">
        <w:rPr>
          <w:bCs/>
          <w:color w:val="002060"/>
          <w:sz w:val="16"/>
          <w:szCs w:val="16"/>
        </w:rPr>
        <w:t>в 1915 году ледокольные транспортные пароходы «Таймыр» и «Вайгач», базовые корабли гидрографической экспедиции русского исследователя Арктики Бориса Андреевича Вилькицкого, впервые в истории мореплавания прошли сквозным рейдом в западном направлении по Северному морскому пути из Владивостока в Архангельск. Плавание началось 7 июля 1914 года. С 18 сентября 1914 по 9 июля 1915-го корабли находились в ледовом плену у северо-западного берега полуострова Таймыр, а затем снова взяли курс на запад. Экспедиция внесла крупный вклад в изучение физической географии Арктики (14771).</w:t>
      </w:r>
    </w:p>
    <w:p w14:paraId="47F42C28" w14:textId="77777777" w:rsidR="00C436BB" w:rsidRPr="00405303" w:rsidRDefault="00C436BB" w:rsidP="00C15251">
      <w:pPr>
        <w:jc w:val="both"/>
        <w:rPr>
          <w:bCs/>
          <w:color w:val="002060"/>
          <w:sz w:val="16"/>
          <w:szCs w:val="16"/>
        </w:rPr>
      </w:pPr>
    </w:p>
    <w:p w14:paraId="7D4EE7D9"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За рубежом:</w:t>
      </w:r>
    </w:p>
    <w:p w14:paraId="5721708F" w14:textId="77777777" w:rsidR="004B4E35" w:rsidRPr="00405303" w:rsidRDefault="004B4E35" w:rsidP="00C15251">
      <w:pPr>
        <w:pStyle w:val="a3"/>
        <w:jc w:val="both"/>
        <w:rPr>
          <w:bCs/>
          <w:color w:val="002060"/>
          <w:spacing w:val="0"/>
          <w:kern w:val="0"/>
          <w:position w:val="0"/>
          <w:sz w:val="16"/>
          <w:szCs w:val="16"/>
        </w:rPr>
      </w:pPr>
    </w:p>
    <w:p w14:paraId="38E7FA30" w14:textId="77777777" w:rsidR="00C436BB" w:rsidRPr="00405303" w:rsidRDefault="00C436BB" w:rsidP="00C15251">
      <w:pPr>
        <w:jc w:val="both"/>
        <w:rPr>
          <w:bCs/>
          <w:color w:val="002060"/>
          <w:sz w:val="16"/>
          <w:szCs w:val="16"/>
        </w:rPr>
      </w:pPr>
      <w:r w:rsidRPr="00405303">
        <w:rPr>
          <w:rStyle w:val="ucoz-forum-post"/>
          <w:rFonts w:eastAsiaTheme="majorEastAsia"/>
          <w:bCs/>
          <w:color w:val="002060"/>
          <w:sz w:val="16"/>
          <w:szCs w:val="16"/>
        </w:rPr>
        <w:t xml:space="preserve">16 (29) сентября </w:t>
      </w:r>
      <w:r w:rsidRPr="00405303">
        <w:rPr>
          <w:bCs/>
          <w:color w:val="002060"/>
          <w:sz w:val="16"/>
          <w:szCs w:val="16"/>
        </w:rPr>
        <w:t>в 1915 году англичане наголову разбили турок в битве у Кут-эль-Амары (Месопотамия) (14784).</w:t>
      </w:r>
    </w:p>
    <w:p w14:paraId="3675CDEB" w14:textId="77777777" w:rsidR="00C436BB" w:rsidRPr="00405303" w:rsidRDefault="00C436BB" w:rsidP="00C15251">
      <w:pPr>
        <w:jc w:val="both"/>
        <w:rPr>
          <w:bCs/>
          <w:color w:val="002060"/>
          <w:sz w:val="16"/>
          <w:szCs w:val="16"/>
        </w:rPr>
      </w:pPr>
    </w:p>
    <w:p w14:paraId="5A298CB2" w14:textId="04D78D18" w:rsidR="00432FFD" w:rsidRPr="00405303" w:rsidRDefault="00432FFD" w:rsidP="00432FFD">
      <w:pPr>
        <w:pStyle w:val="a3"/>
        <w:jc w:val="both"/>
        <w:rPr>
          <w:bCs/>
          <w:color w:val="002060"/>
          <w:spacing w:val="0"/>
          <w:kern w:val="0"/>
          <w:position w:val="0"/>
          <w:sz w:val="16"/>
          <w:szCs w:val="16"/>
        </w:rPr>
      </w:pPr>
      <w:r w:rsidRPr="00405303">
        <w:rPr>
          <w:bCs/>
          <w:color w:val="002060"/>
          <w:spacing w:val="0"/>
          <w:kern w:val="0"/>
          <w:position w:val="0"/>
          <w:sz w:val="16"/>
          <w:szCs w:val="16"/>
        </w:rPr>
        <w:t>Самрлетостроение:</w:t>
      </w:r>
    </w:p>
    <w:p w14:paraId="070770E5" w14:textId="77777777" w:rsidR="00432FFD" w:rsidRPr="00405303" w:rsidRDefault="00432FFD" w:rsidP="00432FFD">
      <w:pPr>
        <w:pStyle w:val="a3"/>
        <w:jc w:val="both"/>
        <w:rPr>
          <w:bCs/>
          <w:color w:val="002060"/>
          <w:spacing w:val="0"/>
          <w:kern w:val="0"/>
          <w:position w:val="0"/>
          <w:sz w:val="16"/>
          <w:szCs w:val="16"/>
        </w:rPr>
      </w:pPr>
    </w:p>
    <w:p w14:paraId="4E27DE6D" w14:textId="77777777" w:rsidR="00432FFD" w:rsidRPr="00405303" w:rsidRDefault="00432FFD" w:rsidP="00432FFD">
      <w:pPr>
        <w:jc w:val="both"/>
        <w:rPr>
          <w:color w:val="0070C0"/>
          <w:sz w:val="16"/>
          <w:szCs w:val="16"/>
        </w:rPr>
      </w:pPr>
      <w:r w:rsidRPr="00405303">
        <w:rPr>
          <w:color w:val="0070C0"/>
          <w:sz w:val="16"/>
          <w:szCs w:val="16"/>
        </w:rPr>
        <w:t>17 (30) сен</w:t>
      </w:r>
      <w:r w:rsidRPr="00405303">
        <w:rPr>
          <w:color w:val="0070C0"/>
          <w:sz w:val="16"/>
          <w:szCs w:val="16"/>
        </w:rPr>
        <w:softHyphen/>
        <w:t>тября 1915 года на совещании, состоявшемся в Петрограде, между прочим, был поднят вопрос о том, не следует ли, в виду увеличивавшейся по</w:t>
      </w:r>
      <w:r w:rsidRPr="00405303">
        <w:rPr>
          <w:color w:val="0070C0"/>
          <w:sz w:val="16"/>
          <w:szCs w:val="16"/>
        </w:rPr>
        <w:softHyphen/>
        <w:t>требности в аэропланах, принять меры к открытию новых аэропланных заводов. По обсуждении этого вопроса сове</w:t>
      </w:r>
      <w:r w:rsidRPr="00405303">
        <w:rPr>
          <w:color w:val="0070C0"/>
          <w:sz w:val="16"/>
          <w:szCs w:val="16"/>
        </w:rPr>
        <w:softHyphen/>
        <w:t>щание постановило: «Признать необходимым, в случае на</w:t>
      </w:r>
      <w:r w:rsidRPr="00405303">
        <w:rPr>
          <w:color w:val="0070C0"/>
          <w:sz w:val="16"/>
          <w:szCs w:val="16"/>
        </w:rPr>
        <w:softHyphen/>
        <w:t>добности в увеличении производительности наших заводов, принять меры к расширению уже существующих заводов п открытию новых отделений их, но отнюдь не к образова</w:t>
      </w:r>
      <w:r w:rsidRPr="00405303">
        <w:rPr>
          <w:color w:val="0070C0"/>
          <w:sz w:val="16"/>
          <w:szCs w:val="16"/>
        </w:rPr>
        <w:softHyphen/>
        <w:t>нию новых заводов, так как такая мера, при недостатке в России опытных инженеров и мастеров, поведет к тому, что существующие заводы, уже с налаженным производ</w:t>
      </w:r>
      <w:r w:rsidRPr="00405303">
        <w:rPr>
          <w:color w:val="0070C0"/>
          <w:sz w:val="16"/>
          <w:szCs w:val="16"/>
        </w:rPr>
        <w:softHyphen/>
        <w:t>ством, будут ослаблены, вследствие переманивания мастеров и инженеров с этих заводов па новые заводы, которые, при отсутствии опытности и при общем недостатке материалов па рынке в России и за границей, будут выпускать новые аппараты с замедлением и, несомненно, неудовлетворитель</w:t>
      </w:r>
      <w:r w:rsidRPr="00405303">
        <w:rPr>
          <w:color w:val="0070C0"/>
          <w:sz w:val="16"/>
          <w:szCs w:val="16"/>
        </w:rPr>
        <w:softHyphen/>
        <w:t>ных качеств» (24923).</w:t>
      </w:r>
    </w:p>
    <w:p w14:paraId="6A8CCC4B" w14:textId="77777777" w:rsidR="00432FFD" w:rsidRPr="00405303" w:rsidRDefault="00432FFD" w:rsidP="00432FFD">
      <w:pPr>
        <w:jc w:val="both"/>
        <w:rPr>
          <w:color w:val="0070C0"/>
          <w:sz w:val="16"/>
          <w:szCs w:val="16"/>
        </w:rPr>
      </w:pPr>
    </w:p>
    <w:p w14:paraId="36864B23" w14:textId="77777777" w:rsidR="00432FFD" w:rsidRPr="00405303" w:rsidRDefault="00432FFD" w:rsidP="00432FFD">
      <w:pPr>
        <w:jc w:val="both"/>
        <w:rPr>
          <w:color w:val="0070C0"/>
          <w:sz w:val="16"/>
          <w:szCs w:val="16"/>
        </w:rPr>
      </w:pPr>
      <w:r w:rsidRPr="00405303">
        <w:rPr>
          <w:color w:val="0070C0"/>
          <w:sz w:val="16"/>
          <w:szCs w:val="16"/>
        </w:rPr>
        <w:t>17 (30) сентября 1915 г. в со</w:t>
      </w:r>
      <w:r w:rsidRPr="00405303">
        <w:rPr>
          <w:color w:val="0070C0"/>
          <w:sz w:val="16"/>
          <w:szCs w:val="16"/>
        </w:rPr>
        <w:softHyphen/>
        <w:t>вещании, а затем в совещании 21 и 22 ноября (4-5 декабря) того яге года разрабатывался План снабжения авиационных частей специальным Имуществом по июль 1917 г.</w:t>
      </w:r>
    </w:p>
    <w:p w14:paraId="58FD5B26" w14:textId="77777777" w:rsidR="00432FFD" w:rsidRPr="00405303" w:rsidRDefault="00432FFD" w:rsidP="00432FFD">
      <w:pPr>
        <w:jc w:val="both"/>
        <w:rPr>
          <w:color w:val="0070C0"/>
          <w:sz w:val="16"/>
          <w:szCs w:val="16"/>
        </w:rPr>
      </w:pPr>
      <w:r w:rsidRPr="00405303">
        <w:rPr>
          <w:color w:val="0070C0"/>
          <w:sz w:val="16"/>
          <w:szCs w:val="16"/>
        </w:rPr>
        <w:t>В первом совещании подверглась обсуждению памят</w:t>
      </w:r>
      <w:r w:rsidRPr="00405303">
        <w:rPr>
          <w:color w:val="0070C0"/>
          <w:sz w:val="16"/>
          <w:szCs w:val="16"/>
        </w:rPr>
        <w:softHyphen/>
        <w:t>ная записка зав. авиацией и воздухоплаванием на театре военных действий, в которой изложены были основания для определения потребности армии в авиационных средствах. Из этой записки видно, что к 1 сентября 1915 г. в дей</w:t>
      </w:r>
      <w:r w:rsidRPr="00405303">
        <w:rPr>
          <w:color w:val="0070C0"/>
          <w:sz w:val="16"/>
          <w:szCs w:val="16"/>
        </w:rPr>
        <w:softHyphen/>
        <w:t>ствующей армии состояло 49 авиационных отрядов и что они были снабжены, главным образом, аэропланами систем Вуазена п Морана, при чем Вуазенов было 49, а Моранов 90, тогда как должно было состоять: первых 189, а вторых 117. Имелись аппараты и других систем, но их предположено было постепенно заменить Вуазенами и Моранами. К тому же времени в отрядах состояло на лицо: офицеров 197 (вуазенистов и моранистов) и 82 солдата, должно же было со</w:t>
      </w:r>
      <w:r w:rsidRPr="00405303">
        <w:rPr>
          <w:color w:val="0070C0"/>
          <w:sz w:val="16"/>
          <w:szCs w:val="16"/>
        </w:rPr>
        <w:softHyphen/>
        <w:t>стоять первых 210 и вторых 96.</w:t>
      </w:r>
    </w:p>
    <w:p w14:paraId="0A9EAE0E" w14:textId="77777777" w:rsidR="00432FFD" w:rsidRPr="00405303" w:rsidRDefault="00432FFD" w:rsidP="00432FFD">
      <w:pPr>
        <w:jc w:val="both"/>
        <w:rPr>
          <w:color w:val="0070C0"/>
          <w:sz w:val="16"/>
          <w:szCs w:val="16"/>
        </w:rPr>
      </w:pPr>
      <w:r w:rsidRPr="00405303">
        <w:rPr>
          <w:color w:val="0070C0"/>
          <w:sz w:val="16"/>
          <w:szCs w:val="16"/>
        </w:rPr>
        <w:t>Вследствие предполагавшегося увеличения количества войсковых частей, запиской проектировалось сформировать к 1 сентября 1916 г. вновь 33 авиотряда и 12 дивизонных отделений. По исчислению записки, для удовлетворения потребности существовавших к 1 сентября 1916 г. 49 отрядов и для снабжения подлежавших форми</w:t>
      </w:r>
      <w:r w:rsidRPr="00405303">
        <w:rPr>
          <w:color w:val="0070C0"/>
          <w:sz w:val="16"/>
          <w:szCs w:val="16"/>
        </w:rPr>
        <w:softHyphen/>
        <w:t>рованию 33 отрядов необходимо, чтобы с октября 1915 г. по 1 септ. 1916 г., па фронт доставлено было 1.995 аэропла</w:t>
      </w:r>
      <w:r w:rsidRPr="00405303">
        <w:rPr>
          <w:color w:val="0070C0"/>
          <w:sz w:val="16"/>
          <w:szCs w:val="16"/>
        </w:rPr>
        <w:softHyphen/>
        <w:t>нов. Сопоставив исчисления памятной записки с количе</w:t>
      </w:r>
      <w:r w:rsidRPr="00405303">
        <w:rPr>
          <w:color w:val="0070C0"/>
          <w:sz w:val="16"/>
          <w:szCs w:val="16"/>
        </w:rPr>
        <w:softHyphen/>
        <w:t>ством заказанных аэропланов и сроками ожидавшегося поступления их и, принимая во внимание, что к 1 сент. 1916 г. можно было ожидать поступления с русских заво</w:t>
      </w:r>
      <w:r w:rsidRPr="00405303">
        <w:rPr>
          <w:color w:val="0070C0"/>
          <w:sz w:val="16"/>
          <w:szCs w:val="16"/>
        </w:rPr>
        <w:softHyphen/>
        <w:t>дов и из Франции 350 аэропланов, совещание пришло к выводу, что к 1 сент. 1916 г., при наличии сделанных заказов, будет недоставать 557 аппаратов [1995 —1088 + 350] и что, таким образом, если не будут сделаны новые заказы, то потребность армии в аэропланах не будет удовлетворена. В соответствии с этим выводом совещание признало необ</w:t>
      </w:r>
      <w:r w:rsidRPr="00405303">
        <w:rPr>
          <w:color w:val="0070C0"/>
          <w:sz w:val="16"/>
          <w:szCs w:val="16"/>
        </w:rPr>
        <w:softHyphen/>
        <w:t>ходимым:</w:t>
      </w:r>
    </w:p>
    <w:p w14:paraId="0487FC1F" w14:textId="77777777" w:rsidR="00432FFD" w:rsidRPr="00405303" w:rsidRDefault="00432FFD" w:rsidP="00432FFD">
      <w:pPr>
        <w:jc w:val="both"/>
        <w:rPr>
          <w:color w:val="0070C0"/>
          <w:sz w:val="16"/>
          <w:szCs w:val="16"/>
        </w:rPr>
      </w:pPr>
      <w:r w:rsidRPr="00405303">
        <w:rPr>
          <w:color w:val="0070C0"/>
          <w:sz w:val="16"/>
          <w:szCs w:val="16"/>
        </w:rPr>
        <w:t>1) заказать в возможно непродолжительном вре</w:t>
      </w:r>
      <w:r w:rsidRPr="00405303">
        <w:rPr>
          <w:color w:val="0070C0"/>
          <w:sz w:val="16"/>
          <w:szCs w:val="16"/>
        </w:rPr>
        <w:softHyphen/>
        <w:t>мени 557 аэропланов в России и за границей, по выясне</w:t>
      </w:r>
      <w:r w:rsidRPr="00405303">
        <w:rPr>
          <w:color w:val="0070C0"/>
          <w:sz w:val="16"/>
          <w:szCs w:val="16"/>
        </w:rPr>
        <w:softHyphen/>
        <w:t>нии командируемой во Францию комиссией наиболее под</w:t>
      </w:r>
      <w:r w:rsidRPr="00405303">
        <w:rPr>
          <w:color w:val="0070C0"/>
          <w:sz w:val="16"/>
          <w:szCs w:val="16"/>
        </w:rPr>
        <w:softHyphen/>
        <w:t>ходящего для нас типа аэропланов, и</w:t>
      </w:r>
    </w:p>
    <w:p w14:paraId="6FDFEB1B" w14:textId="77777777" w:rsidR="00432FFD" w:rsidRPr="00405303" w:rsidRDefault="00432FFD" w:rsidP="00432FFD">
      <w:pPr>
        <w:jc w:val="both"/>
        <w:rPr>
          <w:color w:val="0070C0"/>
          <w:sz w:val="16"/>
          <w:szCs w:val="16"/>
        </w:rPr>
      </w:pPr>
      <w:r w:rsidRPr="00405303">
        <w:rPr>
          <w:color w:val="0070C0"/>
          <w:sz w:val="16"/>
          <w:szCs w:val="16"/>
        </w:rPr>
        <w:lastRenderedPageBreak/>
        <w:t>2) в предвидении возможности задержек в изготовлении аэропланов русскими и заграничными заводами заказать немедленно 100 аэро</w:t>
      </w:r>
      <w:r w:rsidRPr="00405303">
        <w:rPr>
          <w:color w:val="0070C0"/>
          <w:sz w:val="16"/>
          <w:szCs w:val="16"/>
        </w:rPr>
        <w:softHyphen/>
        <w:t>планов германских систем Румплер или Альбатрос.</w:t>
      </w:r>
    </w:p>
    <w:p w14:paraId="7C4B4D56" w14:textId="77777777" w:rsidR="00432FFD" w:rsidRPr="00405303" w:rsidRDefault="00432FFD" w:rsidP="00432FFD">
      <w:pPr>
        <w:jc w:val="both"/>
        <w:rPr>
          <w:color w:val="0070C0"/>
          <w:sz w:val="16"/>
          <w:szCs w:val="16"/>
        </w:rPr>
      </w:pPr>
      <w:r w:rsidRPr="00405303">
        <w:rPr>
          <w:color w:val="0070C0"/>
          <w:sz w:val="16"/>
          <w:szCs w:val="16"/>
        </w:rPr>
        <w:t>Что касается личного состава для обслуживания 82 отря</w:t>
      </w:r>
      <w:r w:rsidRPr="00405303">
        <w:rPr>
          <w:color w:val="0070C0"/>
          <w:sz w:val="16"/>
          <w:szCs w:val="16"/>
        </w:rPr>
        <w:softHyphen/>
        <w:t>дов, то, по исчислению записки, к 1 сент. 1916 г. в строю должно было состоять летчиков: офиц. 354 (246 вуазеппстов и 108 моранистов) и солдат 198 (114 вуазенистов и 84 мо</w:t>
      </w:r>
      <w:r w:rsidRPr="00405303">
        <w:rPr>
          <w:color w:val="0070C0"/>
          <w:sz w:val="16"/>
          <w:szCs w:val="16"/>
        </w:rPr>
        <w:softHyphen/>
        <w:t>ралиста). При этих исчислениях размер убыли в 4-х ме</w:t>
      </w:r>
      <w:r w:rsidRPr="00405303">
        <w:rPr>
          <w:color w:val="0070C0"/>
          <w:sz w:val="16"/>
          <w:szCs w:val="16"/>
        </w:rPr>
        <w:softHyphen/>
        <w:t>сячный срок был принят: для аппаратов в 50%, а для лич</w:t>
      </w:r>
      <w:r w:rsidRPr="00405303">
        <w:rPr>
          <w:color w:val="0070C0"/>
          <w:sz w:val="16"/>
          <w:szCs w:val="16"/>
        </w:rPr>
        <w:softHyphen/>
        <w:t>ного состава в 15%.</w:t>
      </w:r>
    </w:p>
    <w:p w14:paraId="6FE2D70C" w14:textId="77777777" w:rsidR="00432FFD" w:rsidRPr="00405303" w:rsidRDefault="00432FFD" w:rsidP="00432FFD">
      <w:pPr>
        <w:jc w:val="both"/>
        <w:rPr>
          <w:color w:val="0070C0"/>
          <w:sz w:val="16"/>
          <w:szCs w:val="16"/>
        </w:rPr>
      </w:pPr>
      <w:r w:rsidRPr="00405303">
        <w:rPr>
          <w:color w:val="0070C0"/>
          <w:sz w:val="16"/>
          <w:szCs w:val="16"/>
        </w:rPr>
        <w:t>Более точно потребность в авиацион</w:t>
      </w:r>
      <w:r w:rsidRPr="00405303">
        <w:rPr>
          <w:color w:val="0070C0"/>
          <w:sz w:val="16"/>
          <w:szCs w:val="16"/>
        </w:rPr>
        <w:softHyphen/>
        <w:t>ных средствах была установлена в совещании, состояв</w:t>
      </w:r>
      <w:r w:rsidRPr="00405303">
        <w:rPr>
          <w:color w:val="0070C0"/>
          <w:sz w:val="16"/>
          <w:szCs w:val="16"/>
        </w:rPr>
        <w:softHyphen/>
        <w:t>шемся 21 и 22 ноября 1915 г. в Смоленске</w:t>
      </w:r>
    </w:p>
    <w:p w14:paraId="6C60DC78" w14:textId="77777777" w:rsidR="00432FFD" w:rsidRPr="00405303" w:rsidRDefault="00432FFD" w:rsidP="00432FFD">
      <w:pPr>
        <w:jc w:val="both"/>
        <w:rPr>
          <w:color w:val="0070C0"/>
          <w:sz w:val="16"/>
          <w:szCs w:val="16"/>
        </w:rPr>
      </w:pPr>
      <w:r w:rsidRPr="00405303">
        <w:rPr>
          <w:color w:val="0070C0"/>
          <w:sz w:val="16"/>
          <w:szCs w:val="16"/>
        </w:rPr>
        <w:t>К тому времени выяснилось, что в зависимости от новых формирований войсковых частей необходимо к 1 июня 1916 г. иметь 77 авиаотрядов, снабженных 600 табельными аэропланами. Имея это в виду, совещание поставило па свое обсуждение: 1) вопрос об обеспечении снабжения авиаотрядов по 1 июля 1916 г., к каковому времени пред</w:t>
      </w:r>
      <w:r w:rsidRPr="00405303">
        <w:rPr>
          <w:color w:val="0070C0"/>
          <w:sz w:val="16"/>
          <w:szCs w:val="16"/>
        </w:rPr>
        <w:softHyphen/>
        <w:t>полагалось закончить формирование всех новых отрядов, и 2) вопрос о выполнении программы аэропланостроения с 1 июня 1916 г. по 1 июля 1917 г.</w:t>
      </w:r>
    </w:p>
    <w:p w14:paraId="5AF6E433" w14:textId="77777777" w:rsidR="00432FFD" w:rsidRPr="00405303" w:rsidRDefault="00432FFD" w:rsidP="00432FFD">
      <w:pPr>
        <w:jc w:val="both"/>
        <w:rPr>
          <w:color w:val="0070C0"/>
          <w:sz w:val="16"/>
          <w:szCs w:val="16"/>
        </w:rPr>
      </w:pPr>
      <w:r w:rsidRPr="00405303">
        <w:rPr>
          <w:color w:val="0070C0"/>
          <w:sz w:val="16"/>
          <w:szCs w:val="16"/>
        </w:rPr>
        <w:t>Первый вопрос разрешен был совещанием таким обра</w:t>
      </w:r>
      <w:r w:rsidRPr="00405303">
        <w:rPr>
          <w:color w:val="0070C0"/>
          <w:sz w:val="16"/>
          <w:szCs w:val="16"/>
        </w:rPr>
        <w:softHyphen/>
        <w:t>зом. Имея в виду, 1) что, по исчислению завед. авиацией и воздухоплаванием, с 1 дек. 1915 г. по 12 июня 1916 г. (к этому времени истекали контрактные сроки сделанных заказов) должно было быть доставлено на фронт 1.629 аэро</w:t>
      </w:r>
      <w:r w:rsidRPr="00405303">
        <w:rPr>
          <w:color w:val="0070C0"/>
          <w:sz w:val="16"/>
          <w:szCs w:val="16"/>
        </w:rPr>
        <w:softHyphen/>
        <w:t>планов и 2) что хотя и ожидалось к 12 июня 1916 года поступление с русских и заграничных заводов 1.480 аэро</w:t>
      </w:r>
      <w:r w:rsidRPr="00405303">
        <w:rPr>
          <w:color w:val="0070C0"/>
          <w:sz w:val="16"/>
          <w:szCs w:val="16"/>
        </w:rPr>
        <w:softHyphen/>
        <w:t>планов, но из осторожности, размер ожидаемого поступле</w:t>
      </w:r>
      <w:r w:rsidRPr="00405303">
        <w:rPr>
          <w:color w:val="0070C0"/>
          <w:sz w:val="16"/>
          <w:szCs w:val="16"/>
        </w:rPr>
        <w:softHyphen/>
        <w:t>ния следовало бы определить всего в количестве 1.000 аппа</w:t>
      </w:r>
      <w:r w:rsidRPr="00405303">
        <w:rPr>
          <w:color w:val="0070C0"/>
          <w:sz w:val="16"/>
          <w:szCs w:val="16"/>
        </w:rPr>
        <w:softHyphen/>
        <w:t>ратов, в виду возможных нарушений нормального хода ра</w:t>
      </w:r>
      <w:r w:rsidRPr="00405303">
        <w:rPr>
          <w:color w:val="0070C0"/>
          <w:sz w:val="16"/>
          <w:szCs w:val="16"/>
        </w:rPr>
        <w:softHyphen/>
        <w:t>бот на заводах, вследствие недостатка в материалах, в топ</w:t>
      </w:r>
      <w:r w:rsidRPr="00405303">
        <w:rPr>
          <w:color w:val="0070C0"/>
          <w:sz w:val="16"/>
          <w:szCs w:val="16"/>
        </w:rPr>
        <w:softHyphen/>
        <w:t>ливе и проч.,—совещание в результате пришло к заклю</w:t>
      </w:r>
      <w:r w:rsidRPr="00405303">
        <w:rPr>
          <w:color w:val="0070C0"/>
          <w:sz w:val="16"/>
          <w:szCs w:val="16"/>
        </w:rPr>
        <w:softHyphen/>
        <w:t>чению, что к 12 июня 1916 года для снабжения авиацион</w:t>
      </w:r>
      <w:r w:rsidRPr="00405303">
        <w:rPr>
          <w:color w:val="0070C0"/>
          <w:sz w:val="16"/>
          <w:szCs w:val="16"/>
        </w:rPr>
        <w:softHyphen/>
        <w:t>ных частей будет не доставать 629 аэропланов.</w:t>
      </w:r>
    </w:p>
    <w:p w14:paraId="4C9D5510" w14:textId="77777777" w:rsidR="00432FFD" w:rsidRPr="00405303" w:rsidRDefault="00432FFD" w:rsidP="00432FFD">
      <w:pPr>
        <w:jc w:val="both"/>
        <w:rPr>
          <w:color w:val="0070C0"/>
          <w:sz w:val="16"/>
          <w:szCs w:val="16"/>
        </w:rPr>
      </w:pPr>
      <w:r w:rsidRPr="00405303">
        <w:rPr>
          <w:color w:val="0070C0"/>
          <w:sz w:val="16"/>
          <w:szCs w:val="16"/>
        </w:rPr>
        <w:t>Для пополнения этого недостатка совещание признало необходимым: 1) воспользоваться подходящими предложе</w:t>
      </w:r>
      <w:r w:rsidRPr="00405303">
        <w:rPr>
          <w:color w:val="0070C0"/>
          <w:sz w:val="16"/>
          <w:szCs w:val="16"/>
        </w:rPr>
        <w:softHyphen/>
        <w:t>ниями заграничных фирм (например, Виккерса) и немед</w:t>
      </w:r>
      <w:r w:rsidRPr="00405303">
        <w:rPr>
          <w:color w:val="0070C0"/>
          <w:sz w:val="16"/>
          <w:szCs w:val="16"/>
        </w:rPr>
        <w:softHyphen/>
        <w:t>ленно произвести небходимые заказы;</w:t>
      </w:r>
    </w:p>
    <w:p w14:paraId="4AD52D2A" w14:textId="77777777" w:rsidR="00432FFD" w:rsidRPr="00405303" w:rsidRDefault="00432FFD" w:rsidP="00432FFD">
      <w:pPr>
        <w:jc w:val="both"/>
        <w:rPr>
          <w:color w:val="0070C0"/>
          <w:sz w:val="16"/>
          <w:szCs w:val="16"/>
        </w:rPr>
      </w:pPr>
      <w:bookmarkStart w:id="246" w:name="bookmark106"/>
      <w:bookmarkEnd w:id="246"/>
      <w:r w:rsidRPr="00405303">
        <w:rPr>
          <w:color w:val="0070C0"/>
          <w:sz w:val="16"/>
          <w:szCs w:val="16"/>
        </w:rPr>
        <w:t>заказать немедленно 75 аэропланов Слоан и 50 Шмидта:</w:t>
      </w:r>
    </w:p>
    <w:p w14:paraId="6F3282BD" w14:textId="77777777" w:rsidR="00432FFD" w:rsidRPr="00405303" w:rsidRDefault="00432FFD" w:rsidP="00432FFD">
      <w:pPr>
        <w:jc w:val="both"/>
        <w:rPr>
          <w:color w:val="0070C0"/>
          <w:sz w:val="16"/>
          <w:szCs w:val="16"/>
        </w:rPr>
      </w:pPr>
      <w:bookmarkStart w:id="247" w:name="bookmark107"/>
      <w:bookmarkEnd w:id="247"/>
      <w:r w:rsidRPr="00405303">
        <w:rPr>
          <w:color w:val="0070C0"/>
          <w:sz w:val="16"/>
          <w:szCs w:val="16"/>
        </w:rPr>
        <w:t>заказать русским заводам 220 аэропланов Альбатрос с усовершенствованными двигателями.</w:t>
      </w:r>
    </w:p>
    <w:p w14:paraId="7FCE8EBB" w14:textId="77777777" w:rsidR="00432FFD" w:rsidRPr="00405303" w:rsidRDefault="00432FFD" w:rsidP="00432FFD">
      <w:pPr>
        <w:jc w:val="both"/>
        <w:rPr>
          <w:color w:val="0070C0"/>
          <w:sz w:val="16"/>
          <w:szCs w:val="16"/>
        </w:rPr>
      </w:pPr>
      <w:r w:rsidRPr="00405303">
        <w:rPr>
          <w:color w:val="0070C0"/>
          <w:sz w:val="16"/>
          <w:szCs w:val="16"/>
        </w:rPr>
        <w:t>Что касается второго вопроса, обсуждавшегося сове</w:t>
      </w:r>
      <w:r w:rsidRPr="00405303">
        <w:rPr>
          <w:color w:val="0070C0"/>
          <w:sz w:val="16"/>
          <w:szCs w:val="16"/>
        </w:rPr>
        <w:softHyphen/>
        <w:t>щанием, то, имея в виду, что к 1 июня 19)6 года в отрядах должно было быть 600 табельных аэропланов и что, вслед</w:t>
      </w:r>
      <w:r w:rsidRPr="00405303">
        <w:rPr>
          <w:color w:val="0070C0"/>
          <w:sz w:val="16"/>
          <w:szCs w:val="16"/>
        </w:rPr>
        <w:softHyphen/>
        <w:t>ствие убыли, исчисляемой в 37%, ежемесячно должно выбывать из строя 222 аэроплана, совещание установило, что за время с 1 июня ГА6 года по 1 июля 1917 года на фронт необходимо доставить 2.000 аэропланов.</w:t>
      </w:r>
    </w:p>
    <w:p w14:paraId="3246A8BA" w14:textId="77777777" w:rsidR="00432FFD" w:rsidRPr="00405303" w:rsidRDefault="00432FFD" w:rsidP="00432FFD">
      <w:pPr>
        <w:jc w:val="both"/>
        <w:rPr>
          <w:color w:val="0070C0"/>
          <w:sz w:val="16"/>
          <w:szCs w:val="16"/>
        </w:rPr>
      </w:pPr>
      <w:r w:rsidRPr="00405303">
        <w:rPr>
          <w:color w:val="0070C0"/>
          <w:sz w:val="16"/>
          <w:szCs w:val="16"/>
        </w:rPr>
        <w:t>Принимая во внимание недостаточную производитель</w:t>
      </w:r>
      <w:r w:rsidRPr="00405303">
        <w:rPr>
          <w:color w:val="0070C0"/>
          <w:sz w:val="16"/>
          <w:szCs w:val="16"/>
        </w:rPr>
        <w:softHyphen/>
        <w:t>ность русских заводов, изготовлявших аэропланы и моторы, и совершенное отсутствие в России некоторых материалов, необходимых для постройки аэропланов, было признано необходимым:</w:t>
      </w:r>
    </w:p>
    <w:p w14:paraId="5BC3A6BC" w14:textId="77777777" w:rsidR="00432FFD" w:rsidRPr="00405303" w:rsidRDefault="00432FFD" w:rsidP="00432FFD">
      <w:pPr>
        <w:jc w:val="both"/>
        <w:rPr>
          <w:color w:val="0070C0"/>
          <w:sz w:val="16"/>
          <w:szCs w:val="16"/>
        </w:rPr>
      </w:pPr>
      <w:bookmarkStart w:id="248" w:name="bookmark108"/>
      <w:bookmarkEnd w:id="248"/>
      <w:r w:rsidRPr="00405303">
        <w:rPr>
          <w:color w:val="0070C0"/>
          <w:sz w:val="16"/>
          <w:szCs w:val="16"/>
        </w:rPr>
        <w:t>немедленно принять меры к развитию производи</w:t>
      </w:r>
      <w:r w:rsidRPr="00405303">
        <w:rPr>
          <w:color w:val="0070C0"/>
          <w:sz w:val="16"/>
          <w:szCs w:val="16"/>
        </w:rPr>
        <w:softHyphen/>
        <w:t>тельности заводов, изготовляющих аэропланы, путем откры</w:t>
      </w:r>
      <w:r w:rsidRPr="00405303">
        <w:rPr>
          <w:color w:val="0070C0"/>
          <w:sz w:val="16"/>
          <w:szCs w:val="16"/>
        </w:rPr>
        <w:softHyphen/>
        <w:t>тия на этих заводах параллельных отделений, разрешенного уже Особым Совещанием по об'едипепию мероприятий по обороне государства;</w:t>
      </w:r>
    </w:p>
    <w:p w14:paraId="7BE058DA" w14:textId="77777777" w:rsidR="00432FFD" w:rsidRPr="00405303" w:rsidRDefault="00432FFD" w:rsidP="00432FFD">
      <w:pPr>
        <w:jc w:val="both"/>
        <w:rPr>
          <w:color w:val="0070C0"/>
          <w:sz w:val="16"/>
          <w:szCs w:val="16"/>
        </w:rPr>
      </w:pPr>
      <w:r w:rsidRPr="00405303">
        <w:rPr>
          <w:color w:val="0070C0"/>
          <w:sz w:val="16"/>
          <w:szCs w:val="16"/>
        </w:rPr>
        <w:t>немедленно приступить к развитию производитель</w:t>
      </w:r>
      <w:r w:rsidRPr="00405303">
        <w:rPr>
          <w:color w:val="0070C0"/>
          <w:sz w:val="16"/>
          <w:szCs w:val="16"/>
        </w:rPr>
        <w:softHyphen/>
        <w:t>ности русских моторных заводов и привлечь к моторо</w:t>
      </w:r>
      <w:r w:rsidRPr="00405303">
        <w:rPr>
          <w:color w:val="0070C0"/>
          <w:sz w:val="16"/>
          <w:szCs w:val="16"/>
        </w:rPr>
        <w:softHyphen/>
        <w:t>строению новые заводы;</w:t>
      </w:r>
    </w:p>
    <w:p w14:paraId="68BDAC3D" w14:textId="77777777" w:rsidR="00432FFD" w:rsidRPr="00405303" w:rsidRDefault="00432FFD" w:rsidP="00432FFD">
      <w:pPr>
        <w:jc w:val="both"/>
        <w:rPr>
          <w:color w:val="0070C0"/>
          <w:sz w:val="16"/>
          <w:szCs w:val="16"/>
        </w:rPr>
      </w:pPr>
      <w:r w:rsidRPr="00405303">
        <w:rPr>
          <w:color w:val="0070C0"/>
          <w:sz w:val="16"/>
          <w:szCs w:val="16"/>
        </w:rPr>
        <w:t>немедленно заказать русским заводам такое коли</w:t>
      </w:r>
      <w:r w:rsidRPr="00405303">
        <w:rPr>
          <w:color w:val="0070C0"/>
          <w:sz w:val="16"/>
          <w:szCs w:val="16"/>
        </w:rPr>
        <w:softHyphen/>
        <w:t>чество моторов, которое эти заводы в состоянии выполнить к 1 июля 1917 года:</w:t>
      </w:r>
    </w:p>
    <w:p w14:paraId="4F85828A" w14:textId="77777777" w:rsidR="00432FFD" w:rsidRPr="00405303" w:rsidRDefault="00432FFD" w:rsidP="00432FFD">
      <w:pPr>
        <w:jc w:val="both"/>
        <w:rPr>
          <w:color w:val="0070C0"/>
          <w:sz w:val="16"/>
          <w:szCs w:val="16"/>
        </w:rPr>
      </w:pPr>
      <w:r w:rsidRPr="00405303">
        <w:rPr>
          <w:color w:val="0070C0"/>
          <w:sz w:val="16"/>
          <w:szCs w:val="16"/>
        </w:rPr>
        <w:t>недостающее затем на 1916 год количество моторов немедленно заказать за границей;</w:t>
      </w:r>
    </w:p>
    <w:p w14:paraId="4FEDD4EE" w14:textId="77777777" w:rsidR="00432FFD" w:rsidRPr="00405303" w:rsidRDefault="00432FFD" w:rsidP="00432FFD">
      <w:pPr>
        <w:jc w:val="both"/>
        <w:rPr>
          <w:color w:val="0070C0"/>
          <w:sz w:val="16"/>
          <w:szCs w:val="16"/>
        </w:rPr>
      </w:pPr>
      <w:r w:rsidRPr="00405303">
        <w:rPr>
          <w:color w:val="0070C0"/>
          <w:sz w:val="16"/>
          <w:szCs w:val="16"/>
        </w:rPr>
        <w:t>признать совершенно необходимым принятие неза</w:t>
      </w:r>
      <w:r w:rsidRPr="00405303">
        <w:rPr>
          <w:color w:val="0070C0"/>
          <w:sz w:val="16"/>
          <w:szCs w:val="16"/>
        </w:rPr>
        <w:softHyphen/>
        <w:t>медлительных мер к устройству в России, при воспособлении и содействии казны, особого завода для изготовления высокосортной стали для снабжения специальными мате</w:t>
      </w:r>
      <w:r w:rsidRPr="00405303">
        <w:rPr>
          <w:color w:val="0070C0"/>
          <w:sz w:val="16"/>
          <w:szCs w:val="16"/>
        </w:rPr>
        <w:softHyphen/>
        <w:t>риалами авиационных отрядов;</w:t>
      </w:r>
    </w:p>
    <w:p w14:paraId="720E7E68" w14:textId="77777777" w:rsidR="00432FFD" w:rsidRPr="00405303" w:rsidRDefault="00432FFD" w:rsidP="00432FFD">
      <w:pPr>
        <w:jc w:val="both"/>
        <w:rPr>
          <w:color w:val="0070C0"/>
          <w:sz w:val="16"/>
          <w:szCs w:val="16"/>
        </w:rPr>
      </w:pPr>
      <w:r w:rsidRPr="00405303">
        <w:rPr>
          <w:color w:val="0070C0"/>
          <w:sz w:val="16"/>
          <w:szCs w:val="16"/>
        </w:rPr>
        <w:t>признать необходимым принятие незамедлительных мер к организации в России производства специальных сортов проволоки, троссов, шариковых подшипников, болтов, стяжек, стальных труб, инструментов, измерительных при</w:t>
      </w:r>
      <w:r w:rsidRPr="00405303">
        <w:rPr>
          <w:color w:val="0070C0"/>
          <w:sz w:val="16"/>
          <w:szCs w:val="16"/>
        </w:rPr>
        <w:softHyphen/>
        <w:t>боров, магнето и проч.</w:t>
      </w:r>
    </w:p>
    <w:p w14:paraId="311454B7" w14:textId="77777777" w:rsidR="00432FFD" w:rsidRPr="00405303" w:rsidRDefault="00432FFD" w:rsidP="00432FFD">
      <w:pPr>
        <w:jc w:val="both"/>
        <w:rPr>
          <w:color w:val="0070C0"/>
          <w:sz w:val="16"/>
          <w:szCs w:val="16"/>
        </w:rPr>
      </w:pPr>
      <w:r w:rsidRPr="00405303">
        <w:rPr>
          <w:color w:val="0070C0"/>
          <w:sz w:val="16"/>
          <w:szCs w:val="16"/>
        </w:rPr>
        <w:t>В отношении типов аэропланов, подлежавших заго</w:t>
      </w:r>
      <w:r w:rsidRPr="00405303">
        <w:rPr>
          <w:color w:val="0070C0"/>
          <w:sz w:val="16"/>
          <w:szCs w:val="16"/>
        </w:rPr>
        <w:softHyphen/>
        <w:t>товке по июль 1917 г., в журнале совещания изложено было следующее: «Так как все имеющиеся ныне в нашем распоряжении типы тихоходны и слабее неприятельских, то предопределить в настоящее время в подробностях жела</w:t>
      </w:r>
      <w:r w:rsidRPr="00405303">
        <w:rPr>
          <w:color w:val="0070C0"/>
          <w:sz w:val="16"/>
          <w:szCs w:val="16"/>
        </w:rPr>
        <w:softHyphen/>
        <w:t>тельный тип аппарата не только на 1917 год, но даже и на вторую половину 1916 года представлялось бы неосто</w:t>
      </w:r>
      <w:r w:rsidRPr="00405303">
        <w:rPr>
          <w:color w:val="0070C0"/>
          <w:sz w:val="16"/>
          <w:szCs w:val="16"/>
        </w:rPr>
        <w:softHyphen/>
        <w:t>рожным. С другой стороны, для обеспечения снабжения в указанные сроки представляется совершенно неизбежным ныне же дать заводам заказы, во внимание тех трудностей, с которыми связано ныне заготовление надлежащего коли</w:t>
      </w:r>
      <w:r w:rsidRPr="00405303">
        <w:rPr>
          <w:color w:val="0070C0"/>
          <w:sz w:val="16"/>
          <w:szCs w:val="16"/>
        </w:rPr>
        <w:softHyphen/>
        <w:t>чества материалов и тех огромных сроков, которые даются заводами, изготовляющими сырье. В целях согласования столь затруднительных условий, совещание признало не</w:t>
      </w:r>
      <w:r w:rsidRPr="00405303">
        <w:rPr>
          <w:color w:val="0070C0"/>
          <w:sz w:val="16"/>
          <w:szCs w:val="16"/>
        </w:rPr>
        <w:softHyphen/>
        <w:t>обходимым дать заводам заказ на заготовку материалов для будущих аппаратов, а с другой стороны — принять меры к выработке аппарата нового типа, удовлетворяю</w:t>
      </w:r>
      <w:r w:rsidRPr="00405303">
        <w:rPr>
          <w:color w:val="0070C0"/>
          <w:sz w:val="16"/>
          <w:szCs w:val="16"/>
        </w:rPr>
        <w:softHyphen/>
        <w:t>щего всем выясненным войной требованиям. Наилучшим путем для получения такого аппарата совещание признало конкурс» (24923)</w:t>
      </w:r>
    </w:p>
    <w:p w14:paraId="7402D0E9" w14:textId="77777777" w:rsidR="00432FFD" w:rsidRPr="00405303" w:rsidRDefault="00432FFD" w:rsidP="00432FFD">
      <w:pPr>
        <w:jc w:val="both"/>
        <w:rPr>
          <w:color w:val="0070C0"/>
          <w:sz w:val="16"/>
          <w:szCs w:val="16"/>
        </w:rPr>
      </w:pPr>
    </w:p>
    <w:p w14:paraId="2B157215" w14:textId="77777777" w:rsidR="00432FFD" w:rsidRPr="00405303" w:rsidRDefault="00432FFD" w:rsidP="00432FFD">
      <w:pPr>
        <w:jc w:val="both"/>
        <w:rPr>
          <w:color w:val="0070C0"/>
          <w:sz w:val="16"/>
          <w:szCs w:val="16"/>
        </w:rPr>
      </w:pPr>
      <w:r w:rsidRPr="00405303">
        <w:rPr>
          <w:color w:val="0070C0"/>
          <w:sz w:val="16"/>
          <w:szCs w:val="16"/>
        </w:rPr>
        <w:t>17 (30) сентября 1915 года совещание в Петрограде, признало: необходимым снабдить авиационные отряды разрывными патронами для стрельбы по дирижаблям и змейковым аэро</w:t>
      </w:r>
      <w:r w:rsidRPr="00405303">
        <w:rPr>
          <w:color w:val="0070C0"/>
          <w:sz w:val="16"/>
          <w:szCs w:val="16"/>
        </w:rPr>
        <w:softHyphen/>
        <w:t>статам противника и принять самые настоятельные меры к снабжению авиационных рот пулеметами или хотя бы автоматическими ружьями; 2) находившиеся в армии пу</w:t>
      </w:r>
      <w:r w:rsidRPr="00405303">
        <w:rPr>
          <w:color w:val="0070C0"/>
          <w:sz w:val="16"/>
          <w:szCs w:val="16"/>
        </w:rPr>
        <w:softHyphen/>
        <w:t>леметы Мадсена непригодными для вооружения аэропланов, и 3) желательным спроектировать и построить легкую пушку для стрельбы картечью (24923).</w:t>
      </w:r>
    </w:p>
    <w:p w14:paraId="70C657C8" w14:textId="77777777" w:rsidR="00432FFD" w:rsidRPr="00405303" w:rsidRDefault="00432FFD" w:rsidP="00432FFD">
      <w:pPr>
        <w:jc w:val="both"/>
        <w:rPr>
          <w:color w:val="0070C0"/>
          <w:sz w:val="16"/>
          <w:szCs w:val="16"/>
        </w:rPr>
      </w:pPr>
    </w:p>
    <w:p w14:paraId="4FE469CF" w14:textId="77777777" w:rsidR="00640576" w:rsidRPr="00405303" w:rsidRDefault="00640576" w:rsidP="00C15251">
      <w:pPr>
        <w:pStyle w:val="a3"/>
        <w:jc w:val="both"/>
        <w:rPr>
          <w:bCs/>
          <w:color w:val="002060"/>
          <w:spacing w:val="0"/>
          <w:kern w:val="0"/>
          <w:position w:val="0"/>
          <w:sz w:val="16"/>
          <w:szCs w:val="16"/>
        </w:rPr>
      </w:pPr>
      <w:r w:rsidRPr="00405303">
        <w:rPr>
          <w:bCs/>
          <w:color w:val="002060"/>
          <w:spacing w:val="0"/>
          <w:kern w:val="0"/>
          <w:position w:val="0"/>
          <w:sz w:val="16"/>
          <w:szCs w:val="16"/>
        </w:rPr>
        <w:t>Другие оборонные отрасли:</w:t>
      </w:r>
    </w:p>
    <w:p w14:paraId="08BC00BF" w14:textId="77777777" w:rsidR="00640576" w:rsidRPr="00405303" w:rsidRDefault="00640576" w:rsidP="00C15251">
      <w:pPr>
        <w:pStyle w:val="a3"/>
        <w:jc w:val="both"/>
        <w:rPr>
          <w:bCs/>
          <w:color w:val="002060"/>
          <w:spacing w:val="0"/>
          <w:kern w:val="0"/>
          <w:position w:val="0"/>
          <w:sz w:val="16"/>
          <w:szCs w:val="16"/>
        </w:rPr>
      </w:pPr>
    </w:p>
    <w:p w14:paraId="63447637" w14:textId="77777777" w:rsidR="00640576" w:rsidRPr="00405303" w:rsidRDefault="00640576" w:rsidP="00C15251">
      <w:pPr>
        <w:shd w:val="clear" w:color="auto" w:fill="FFFFFF"/>
        <w:jc w:val="both"/>
        <w:rPr>
          <w:bCs/>
          <w:color w:val="002060"/>
          <w:sz w:val="16"/>
          <w:szCs w:val="16"/>
        </w:rPr>
      </w:pPr>
      <w:r w:rsidRPr="00405303">
        <w:rPr>
          <w:bCs/>
          <w:color w:val="002060"/>
          <w:sz w:val="16"/>
          <w:szCs w:val="16"/>
        </w:rPr>
        <w:t>17 (30) сентября 1915г. в Отдел Изобретений ЦВПК поступило предложение поручика Е. Лалетина: Лалетин считал полезным использовать против бронеавтомобилей «наши крепостные ружья (20,32-мм ружья Гана обр.1877г.</w:t>
      </w:r>
      <w:proofErr w:type="gramStart"/>
      <w:r w:rsidRPr="00405303">
        <w:rPr>
          <w:bCs/>
          <w:color w:val="002060"/>
          <w:sz w:val="16"/>
          <w:szCs w:val="16"/>
        </w:rPr>
        <w:t>),…</w:t>
      </w:r>
      <w:proofErr w:type="gramEnd"/>
      <w:r w:rsidRPr="00405303">
        <w:rPr>
          <w:bCs/>
          <w:color w:val="002060"/>
          <w:sz w:val="16"/>
          <w:szCs w:val="16"/>
        </w:rPr>
        <w:t xml:space="preserve"> сила их была рассчитана так, чтобы пробивать туры с землей» (имеется в виду пуля с твердым сердечником). Нетрудно увидеть здесь идею противотанкового ружья, высказанную много раньше, чем в Германии начали создавать первое в истории ПТР. Впрочем, идея витала в воздухе – на Западном фронте, например, старые крепостные винтовки использовали для «снайперской» стрельбы по укрытым щитами наблюдателям и пулеметным расчетам. Оставался один шаг, чтобы перенести этот опыт в область борьбы с танками и бронемашинами. Однако Отдел Изобретений ЦВПК вынужден был констатировать, что «старых крепостных ружей уже в цейхгаузах не имеется». Стоит упомянуть и сделанное еще в конце 1914 г. предложение офицера постоянного состава Военной Автомобильной школы штабс-капитана В.А. Мгеброва (считавшегося ведущим специалистом по бронеавтомобилям) применять против бронеавтомобилей противника 40-мм фугасную ружейную гранату его системы – едва ли не первое в истории предложение “противотанкового оружия пехоты” (20250).</w:t>
      </w:r>
    </w:p>
    <w:p w14:paraId="547813CA" w14:textId="77777777" w:rsidR="00640576" w:rsidRPr="00405303" w:rsidRDefault="00640576" w:rsidP="00C15251">
      <w:pPr>
        <w:shd w:val="clear" w:color="auto" w:fill="FFFFFF"/>
        <w:jc w:val="both"/>
        <w:rPr>
          <w:bCs/>
          <w:color w:val="002060"/>
          <w:sz w:val="16"/>
          <w:szCs w:val="16"/>
        </w:rPr>
      </w:pPr>
    </w:p>
    <w:p w14:paraId="4AB7EE28" w14:textId="77777777" w:rsidR="00D032E2" w:rsidRPr="00405303" w:rsidRDefault="00D032E2" w:rsidP="00C15251">
      <w:pPr>
        <w:pStyle w:val="a3"/>
        <w:jc w:val="both"/>
        <w:rPr>
          <w:bCs/>
          <w:color w:val="002060"/>
          <w:spacing w:val="0"/>
          <w:kern w:val="0"/>
          <w:position w:val="0"/>
          <w:sz w:val="16"/>
          <w:szCs w:val="16"/>
        </w:rPr>
      </w:pPr>
      <w:bookmarkStart w:id="249" w:name="_Hlk117778969"/>
      <w:r w:rsidRPr="00405303">
        <w:rPr>
          <w:bCs/>
          <w:color w:val="002060"/>
          <w:spacing w:val="0"/>
          <w:kern w:val="0"/>
          <w:position w:val="0"/>
          <w:sz w:val="16"/>
          <w:szCs w:val="16"/>
        </w:rPr>
        <w:t>За рубежом:</w:t>
      </w:r>
    </w:p>
    <w:p w14:paraId="0D385737" w14:textId="77777777" w:rsidR="00D032E2" w:rsidRPr="00405303" w:rsidRDefault="00D032E2" w:rsidP="00C15251">
      <w:pPr>
        <w:pStyle w:val="a3"/>
        <w:jc w:val="both"/>
        <w:rPr>
          <w:bCs/>
          <w:color w:val="002060"/>
          <w:spacing w:val="0"/>
          <w:kern w:val="0"/>
          <w:position w:val="0"/>
          <w:sz w:val="16"/>
          <w:szCs w:val="16"/>
        </w:rPr>
      </w:pPr>
    </w:p>
    <w:p w14:paraId="457694EC" w14:textId="77777777" w:rsidR="00D032E2" w:rsidRPr="00405303" w:rsidRDefault="00D032E2" w:rsidP="00C15251">
      <w:pPr>
        <w:jc w:val="both"/>
        <w:rPr>
          <w:bCs/>
          <w:color w:val="002060"/>
          <w:sz w:val="16"/>
          <w:szCs w:val="16"/>
        </w:rPr>
      </w:pPr>
      <w:r w:rsidRPr="00405303">
        <w:rPr>
          <w:bCs/>
          <w:color w:val="002060"/>
          <w:sz w:val="16"/>
          <w:szCs w:val="16"/>
        </w:rPr>
        <w:t>17 (30) сентября 1915 г., Проблема размещения вооружения была решена д'Эйнкоуртом, предложившим съемные бортовые спонсоны. В результате: низко расположенный центр тяжести; способность «чистить» траншею на оба борта при ее пересечении и держать под обстрелом сразу две линии траншей при дефилировании вдоль фронта, возможность вписать машину в железнодорожный провозной габарит.</w:t>
      </w:r>
    </w:p>
    <w:p w14:paraId="713C078F" w14:textId="77777777" w:rsidR="00D032E2" w:rsidRPr="00405303" w:rsidRDefault="00D032E2" w:rsidP="00C15251">
      <w:pPr>
        <w:jc w:val="both"/>
        <w:rPr>
          <w:bCs/>
          <w:color w:val="002060"/>
          <w:sz w:val="16"/>
          <w:szCs w:val="16"/>
        </w:rPr>
      </w:pPr>
      <w:r w:rsidRPr="00405303">
        <w:rPr>
          <w:bCs/>
          <w:color w:val="002060"/>
          <w:sz w:val="16"/>
          <w:szCs w:val="16"/>
        </w:rPr>
        <w:t>От экспериментов и опытных работ Англия переходила в область практической реализации (12111).</w:t>
      </w:r>
    </w:p>
    <w:p w14:paraId="26FAF362" w14:textId="77777777" w:rsidR="00D032E2" w:rsidRPr="00405303" w:rsidRDefault="00D032E2" w:rsidP="00C15251">
      <w:pPr>
        <w:jc w:val="both"/>
        <w:rPr>
          <w:bCs/>
          <w:color w:val="002060"/>
          <w:sz w:val="16"/>
          <w:szCs w:val="16"/>
        </w:rPr>
      </w:pPr>
    </w:p>
    <w:bookmarkEnd w:id="249"/>
    <w:p w14:paraId="530F2BB3" w14:textId="77777777" w:rsidR="00E33CBF" w:rsidRPr="00405303" w:rsidRDefault="00E33CBF" w:rsidP="00C15251">
      <w:pPr>
        <w:pStyle w:val="a3"/>
        <w:jc w:val="both"/>
        <w:rPr>
          <w:bCs/>
          <w:color w:val="002060"/>
          <w:spacing w:val="0"/>
          <w:kern w:val="0"/>
          <w:position w:val="0"/>
          <w:sz w:val="16"/>
          <w:szCs w:val="16"/>
        </w:rPr>
      </w:pPr>
      <w:r w:rsidRPr="00405303">
        <w:rPr>
          <w:bCs/>
          <w:color w:val="002060"/>
          <w:spacing w:val="0"/>
          <w:kern w:val="0"/>
          <w:position w:val="0"/>
          <w:sz w:val="16"/>
          <w:szCs w:val="16"/>
        </w:rPr>
        <w:t>Другие оборонные отрасли:</w:t>
      </w:r>
    </w:p>
    <w:p w14:paraId="080C4593" w14:textId="77777777" w:rsidR="00E33CBF" w:rsidRPr="00405303" w:rsidRDefault="00E33CBF" w:rsidP="00C15251">
      <w:pPr>
        <w:pStyle w:val="a3"/>
        <w:jc w:val="both"/>
        <w:rPr>
          <w:bCs/>
          <w:color w:val="002060"/>
          <w:spacing w:val="0"/>
          <w:kern w:val="0"/>
          <w:position w:val="0"/>
          <w:sz w:val="16"/>
          <w:szCs w:val="16"/>
        </w:rPr>
      </w:pPr>
    </w:p>
    <w:p w14:paraId="59D5E02F" w14:textId="456544F5" w:rsidR="00E33CBF" w:rsidRPr="00405303" w:rsidRDefault="00E33CBF" w:rsidP="00C15251">
      <w:pPr>
        <w:pStyle w:val="p1"/>
        <w:spacing w:before="0" w:beforeAutospacing="0" w:after="0" w:afterAutospacing="0"/>
        <w:jc w:val="both"/>
        <w:rPr>
          <w:bCs/>
          <w:color w:val="002060"/>
          <w:sz w:val="16"/>
          <w:szCs w:val="16"/>
        </w:rPr>
      </w:pPr>
      <w:r w:rsidRPr="00405303">
        <w:rPr>
          <w:bCs/>
          <w:color w:val="002060"/>
          <w:sz w:val="16"/>
          <w:szCs w:val="16"/>
        </w:rPr>
        <w:t xml:space="preserve">18 сентября </w:t>
      </w:r>
      <w:r w:rsidR="00421EEC" w:rsidRPr="00405303">
        <w:rPr>
          <w:bCs/>
          <w:color w:val="002060"/>
          <w:sz w:val="16"/>
          <w:szCs w:val="16"/>
        </w:rPr>
        <w:t xml:space="preserve">(1 октября) </w:t>
      </w:r>
      <w:r w:rsidRPr="00405303">
        <w:rPr>
          <w:bCs/>
          <w:color w:val="002060"/>
          <w:sz w:val="16"/>
          <w:szCs w:val="16"/>
        </w:rPr>
        <w:t xml:space="preserve">1915 г. на заседание городской думы был вынесен вопрос о поступившем ранее предложении ГАУ продать участок городской земли под новый сталелитейный завод. В самый момент заседания явился Павловский и сделал новое предложение: перевести в Саратов Петроградский орудийный завод; он потребовал, чтобы городская власть спешно приняла решение. Тут же дума постановила продать ведомству участок, «откуда недавно переведен “конский бег” за город». Бывший ипподром располагался рядом с вокзалом, выходя одним фасадом на главную Московскую улицу, идущую от вокзала через весь город, другим </w:t>
      </w:r>
      <w:r w:rsidRPr="00405303">
        <w:rPr>
          <w:bCs/>
          <w:color w:val="002060"/>
          <w:sz w:val="16"/>
          <w:szCs w:val="16"/>
        </w:rPr>
        <w:lastRenderedPageBreak/>
        <w:t>примыкая к линии железной дороги, что позволяло бы подавать грузы кранами прямо из вагонов в цехи; «кругом всего участка проложены водопроводные магистрали, электрические кабели и проведена канализация»; вблизи — участки, которые удобно арендовать у города под рабочий поселок.</w:t>
      </w:r>
    </w:p>
    <w:p w14:paraId="7D06455C" w14:textId="77777777" w:rsidR="00E33CBF" w:rsidRPr="00405303" w:rsidRDefault="00E33CBF" w:rsidP="00C15251">
      <w:pPr>
        <w:pStyle w:val="p1"/>
        <w:spacing w:before="0" w:beforeAutospacing="0" w:after="0" w:afterAutospacing="0"/>
        <w:jc w:val="both"/>
        <w:rPr>
          <w:bCs/>
          <w:color w:val="002060"/>
          <w:sz w:val="16"/>
          <w:szCs w:val="16"/>
        </w:rPr>
      </w:pPr>
      <w:r w:rsidRPr="00405303">
        <w:rPr>
          <w:bCs/>
          <w:color w:val="002060"/>
          <w:sz w:val="16"/>
          <w:szCs w:val="16"/>
        </w:rPr>
        <w:t>Воссоздание завода на новом месте Павловский мыслил (рапорт 18 января 1916 г.) с удвоением уже достигнутой производительности. Но в ГАУ нашли, что «программа, намеченная для будущего завода (месячная производительность), недостаточна и должна быть увеличена раза в полтора»; площадь участка, приобретаемого в Саратове (4 десятины 400 кв. саженей, «то есть в пять раз больше площади, занимаемой ПОЗ в настоящее время»), «не допускает расширения и вообще недостаточна и должна быть увеличена вдвое, то есть должна быть 46 тысяч кв. сажен» (18409).</w:t>
      </w:r>
    </w:p>
    <w:p w14:paraId="749FD5E7" w14:textId="77777777" w:rsidR="00E33CBF" w:rsidRPr="00405303" w:rsidRDefault="00E33CBF" w:rsidP="00C15251">
      <w:pPr>
        <w:pStyle w:val="p1"/>
        <w:spacing w:before="0" w:beforeAutospacing="0" w:after="0" w:afterAutospacing="0"/>
        <w:jc w:val="both"/>
        <w:rPr>
          <w:bCs/>
          <w:color w:val="002060"/>
          <w:sz w:val="16"/>
          <w:szCs w:val="16"/>
        </w:rPr>
      </w:pPr>
    </w:p>
    <w:p w14:paraId="32DDE5F2" w14:textId="550828BB" w:rsidR="00E33CBF" w:rsidRPr="00405303" w:rsidRDefault="00E33CBF" w:rsidP="00C15251">
      <w:pPr>
        <w:pStyle w:val="p1"/>
        <w:spacing w:before="0" w:beforeAutospacing="0" w:after="0" w:afterAutospacing="0"/>
        <w:jc w:val="both"/>
        <w:rPr>
          <w:bCs/>
          <w:color w:val="002060"/>
          <w:sz w:val="16"/>
          <w:szCs w:val="16"/>
        </w:rPr>
      </w:pPr>
      <w:r w:rsidRPr="00405303">
        <w:rPr>
          <w:bCs/>
          <w:color w:val="002060"/>
          <w:sz w:val="16"/>
          <w:szCs w:val="16"/>
        </w:rPr>
        <w:t xml:space="preserve">18 сентября </w:t>
      </w:r>
      <w:r w:rsidR="00421EEC" w:rsidRPr="00405303">
        <w:rPr>
          <w:bCs/>
          <w:color w:val="002060"/>
          <w:sz w:val="16"/>
          <w:szCs w:val="16"/>
        </w:rPr>
        <w:t xml:space="preserve">(1 октября) </w:t>
      </w:r>
      <w:r w:rsidRPr="00405303">
        <w:rPr>
          <w:bCs/>
          <w:color w:val="002060"/>
          <w:sz w:val="16"/>
          <w:szCs w:val="16"/>
        </w:rPr>
        <w:t>1915 г. во время пребывания начальника Петроградского орудийного завода М.Е. Павловского в Саратове на заседание городской думы был вынесен вопрос о поступившем ранее предложении ГАУ продать участок городской земли под новый сталелитейный завод. В самый момент заседания явился Павловский и сделал новое предложение: перевести в Саратов Петроградский орудийный завод; он потребовал, чтобы городская власть спешно приняла решение. Тут же дума постановила продать ведомству участок, «откуда недавно переведен “конский бег” за город». Бывший ипподром располагался рядом с вокзалом, выходя одним фасадом на главную Московскую улицу, идущую от вокзала через весь город, другим примыкая к линии железной дороги, что позволяло бы подавать грузы кранами прямо из вагонов в цехи; «кругом всего участка проложены водопроводные магистрали, электрические кабели и проведена канализация»; вблизи — участки, которые удобно арендовать у города под рабочий поселок (18366).</w:t>
      </w:r>
    </w:p>
    <w:p w14:paraId="05CB4577" w14:textId="77777777" w:rsidR="00E33CBF" w:rsidRPr="00405303" w:rsidRDefault="00E33CBF" w:rsidP="00C15251">
      <w:pPr>
        <w:pStyle w:val="p1"/>
        <w:spacing w:before="0" w:beforeAutospacing="0" w:after="0" w:afterAutospacing="0"/>
        <w:jc w:val="both"/>
        <w:rPr>
          <w:bCs/>
          <w:color w:val="002060"/>
          <w:sz w:val="16"/>
          <w:szCs w:val="16"/>
        </w:rPr>
      </w:pPr>
    </w:p>
    <w:p w14:paraId="2BA8BE13" w14:textId="7406C975" w:rsidR="00A73D84" w:rsidRPr="00405303" w:rsidRDefault="00A73D84" w:rsidP="00C15251">
      <w:pPr>
        <w:jc w:val="both"/>
        <w:rPr>
          <w:bCs/>
          <w:color w:val="002060"/>
          <w:sz w:val="16"/>
          <w:szCs w:val="16"/>
        </w:rPr>
      </w:pPr>
      <w:r w:rsidRPr="00405303">
        <w:rPr>
          <w:bCs/>
          <w:color w:val="002060"/>
          <w:sz w:val="16"/>
          <w:szCs w:val="16"/>
        </w:rPr>
        <w:t>18 сентября (1 октября) 1915 г. на заседание Саратовской городской думы был вынесен вопрос о посту</w:t>
      </w:r>
      <w:r w:rsidRPr="00405303">
        <w:rPr>
          <w:bCs/>
          <w:color w:val="002060"/>
          <w:sz w:val="16"/>
          <w:szCs w:val="16"/>
        </w:rPr>
        <w:softHyphen/>
        <w:t>пившем ранее предложении ГАУ продать участок городской земли под новый сталелитейный завод. В самый момент за</w:t>
      </w:r>
      <w:r w:rsidRPr="00405303">
        <w:rPr>
          <w:bCs/>
          <w:color w:val="002060"/>
          <w:sz w:val="16"/>
          <w:szCs w:val="16"/>
        </w:rPr>
        <w:softHyphen/>
        <w:t>седания явился Павловский и сделал новое предложение: перевести в Саратов Петроградский орудийный завод; он потребовал, чтобы городская власть спешно приняла реше</w:t>
      </w:r>
      <w:r w:rsidRPr="00405303">
        <w:rPr>
          <w:bCs/>
          <w:color w:val="002060"/>
          <w:sz w:val="16"/>
          <w:szCs w:val="16"/>
        </w:rPr>
        <w:softHyphen/>
        <w:t>ние. Тут же дума постановила продать ведомству участок, «откуда недавно переведен “конский бег” за город». Бывший ипподром располагался рядом с вокзалом, выходя одним фа</w:t>
      </w:r>
      <w:r w:rsidRPr="00405303">
        <w:rPr>
          <w:bCs/>
          <w:color w:val="002060"/>
          <w:sz w:val="16"/>
          <w:szCs w:val="16"/>
        </w:rPr>
        <w:softHyphen/>
        <w:t>садом на главную Московскую улицу, идущую от вокзала через весь город, другим примыкая к линии железной до</w:t>
      </w:r>
      <w:r w:rsidRPr="00405303">
        <w:rPr>
          <w:bCs/>
          <w:color w:val="002060"/>
          <w:sz w:val="16"/>
          <w:szCs w:val="16"/>
        </w:rPr>
        <w:softHyphen/>
        <w:t>роги, что позволяло бы подавать грузы кранами прямо из вагонов в цехи; «кругом всего участка проложены водопро</w:t>
      </w:r>
      <w:r w:rsidRPr="00405303">
        <w:rPr>
          <w:bCs/>
          <w:color w:val="002060"/>
          <w:sz w:val="16"/>
          <w:szCs w:val="16"/>
        </w:rPr>
        <w:softHyphen/>
        <w:t>водные магистрали, электрические кабели и проведена ка</w:t>
      </w:r>
      <w:r w:rsidRPr="00405303">
        <w:rPr>
          <w:bCs/>
          <w:color w:val="002060"/>
          <w:sz w:val="16"/>
          <w:szCs w:val="16"/>
        </w:rPr>
        <w:softHyphen/>
        <w:t>нализация»; вблизи — участки, которые удобно арендовать у города под рабочий поселок.</w:t>
      </w:r>
    </w:p>
    <w:p w14:paraId="0390AF4E" w14:textId="77777777" w:rsidR="00A73D84" w:rsidRPr="00405303" w:rsidRDefault="00A73D84" w:rsidP="00C15251">
      <w:pPr>
        <w:jc w:val="both"/>
        <w:rPr>
          <w:bCs/>
          <w:color w:val="002060"/>
          <w:sz w:val="16"/>
          <w:szCs w:val="16"/>
        </w:rPr>
      </w:pPr>
      <w:r w:rsidRPr="00405303">
        <w:rPr>
          <w:bCs/>
          <w:color w:val="002060"/>
          <w:sz w:val="16"/>
          <w:szCs w:val="16"/>
        </w:rPr>
        <w:t>Воссоздание завода на новом месте Павловский мыслил (рапорт 18 января 1916 г.) с удвоением уже достигнутой про</w:t>
      </w:r>
      <w:r w:rsidRPr="00405303">
        <w:rPr>
          <w:bCs/>
          <w:color w:val="002060"/>
          <w:sz w:val="16"/>
          <w:szCs w:val="16"/>
        </w:rPr>
        <w:softHyphen/>
        <w:t>изводительности. Но в ГАУ нашли, что «программа, наме</w:t>
      </w:r>
      <w:r w:rsidRPr="00405303">
        <w:rPr>
          <w:bCs/>
          <w:color w:val="002060"/>
          <w:sz w:val="16"/>
          <w:szCs w:val="16"/>
        </w:rPr>
        <w:softHyphen/>
        <w:t>ченная для будущего завода (месячная производительность), недостаточна и должна быть увеличена раза в полтора»; пло</w:t>
      </w:r>
      <w:r w:rsidRPr="00405303">
        <w:rPr>
          <w:bCs/>
          <w:color w:val="002060"/>
          <w:sz w:val="16"/>
          <w:szCs w:val="16"/>
        </w:rPr>
        <w:softHyphen/>
        <w:t>щадь участка, приобретаемого в Саратове (4 десятины 400 кв. саженей, «то есть в пять раз больше площади, занимаемой ПОЗ в настоящее время»), «не допускает расширения и во</w:t>
      </w:r>
      <w:r w:rsidRPr="00405303">
        <w:rPr>
          <w:bCs/>
          <w:color w:val="002060"/>
          <w:sz w:val="16"/>
          <w:szCs w:val="16"/>
        </w:rPr>
        <w:softHyphen/>
        <w:t xml:space="preserve">обще недостаточна и должна быть увеличена вдвое, то есть должна быть 46 тысяч кв. сажен» (РГВИА. Ф. 505. </w:t>
      </w:r>
      <w:r w:rsidRPr="00405303">
        <w:rPr>
          <w:bCs/>
          <w:color w:val="002060"/>
          <w:sz w:val="16"/>
          <w:szCs w:val="16"/>
          <w:lang w:val="en-US" w:bidi="en-US"/>
        </w:rPr>
        <w:t>On</w:t>
      </w:r>
      <w:r w:rsidRPr="00405303">
        <w:rPr>
          <w:bCs/>
          <w:color w:val="002060"/>
          <w:sz w:val="16"/>
          <w:szCs w:val="16"/>
          <w:lang w:bidi="en-US"/>
        </w:rPr>
        <w:t xml:space="preserve">. </w:t>
      </w:r>
      <w:r w:rsidRPr="00405303">
        <w:rPr>
          <w:bCs/>
          <w:color w:val="002060"/>
          <w:sz w:val="16"/>
          <w:szCs w:val="16"/>
        </w:rPr>
        <w:t>1. Д. 47. Л. 27 об.-28 об., 73 об., 48, 74 об.; Ф. 369. Оп. 3. Д. 78. Л. 359-363 об.) (23452).</w:t>
      </w:r>
    </w:p>
    <w:p w14:paraId="60A1F2FD" w14:textId="77777777" w:rsidR="00A73D84" w:rsidRPr="00405303" w:rsidRDefault="00A73D84" w:rsidP="00C15251">
      <w:pPr>
        <w:jc w:val="both"/>
        <w:rPr>
          <w:bCs/>
          <w:color w:val="002060"/>
          <w:sz w:val="16"/>
          <w:szCs w:val="16"/>
          <w:lang w:bidi="ru-RU"/>
        </w:rPr>
      </w:pPr>
    </w:p>
    <w:p w14:paraId="38B324D2" w14:textId="2C5D3979" w:rsidR="00213A0E" w:rsidRPr="00405303" w:rsidRDefault="00213A0E" w:rsidP="00C15251">
      <w:pPr>
        <w:shd w:val="clear" w:color="auto" w:fill="FFFFFF"/>
        <w:jc w:val="both"/>
        <w:rPr>
          <w:bCs/>
          <w:color w:val="002060"/>
          <w:sz w:val="16"/>
          <w:szCs w:val="16"/>
        </w:rPr>
      </w:pPr>
      <w:r w:rsidRPr="00405303">
        <w:rPr>
          <w:bCs/>
          <w:color w:val="002060"/>
          <w:sz w:val="16"/>
          <w:szCs w:val="16"/>
        </w:rPr>
        <w:t>18 сентября (</w:t>
      </w:r>
      <w:r w:rsidR="00421EEC" w:rsidRPr="00405303">
        <w:rPr>
          <w:bCs/>
          <w:color w:val="002060"/>
          <w:sz w:val="16"/>
          <w:szCs w:val="16"/>
        </w:rPr>
        <w:t>1</w:t>
      </w:r>
      <w:r w:rsidRPr="00405303">
        <w:rPr>
          <w:bCs/>
          <w:color w:val="002060"/>
          <w:sz w:val="16"/>
          <w:szCs w:val="16"/>
        </w:rPr>
        <w:t xml:space="preserve"> октября) 1915 года были одобрены меры, предложенные ГАУ в отношении химического оружия. Предусматривалось направление на Урал и в Донбасс двух комиссий для выяснения возможностей производства на местах, с наделением этих комиссий правами делать необходимые распоряжения. Общее руководство всем делом организации производства отравляющих веществ и подготовки специальных подразделений для армии возлагалось на помощника начальника Центральной научно-технической лаборатории (ЦНТЛ) Военного министерства генерал-майора И.А. Крылова, который с июня 1915 г. возглавлял комиссию по изготовлению удушающих средств при ГАУ. Ему предоставлялись из военного фонда денежные средства, и ставилась задача в кратчайшие сроки организовать производство [Журнал № 6 ПКАВ. Заседание 18 сентября 1915 г. / Архив ВИМАИВиВС. Ф. 13. Оп. 87/2. Д. 16. Л. 87.] (20236).</w:t>
      </w:r>
    </w:p>
    <w:p w14:paraId="4B984C94" w14:textId="77777777" w:rsidR="00213A0E" w:rsidRPr="00405303" w:rsidRDefault="00213A0E" w:rsidP="00C15251">
      <w:pPr>
        <w:jc w:val="both"/>
        <w:rPr>
          <w:bCs/>
          <w:color w:val="002060"/>
          <w:sz w:val="16"/>
          <w:szCs w:val="16"/>
          <w:shd w:val="clear" w:color="auto" w:fill="FFFFFF"/>
        </w:rPr>
      </w:pPr>
    </w:p>
    <w:p w14:paraId="2CBE9DC3" w14:textId="7D7DE7B2" w:rsidR="00213A0E" w:rsidRPr="00405303" w:rsidRDefault="00213A0E" w:rsidP="00C15251">
      <w:pPr>
        <w:jc w:val="both"/>
        <w:rPr>
          <w:bCs/>
          <w:color w:val="002060"/>
          <w:sz w:val="16"/>
          <w:szCs w:val="16"/>
        </w:rPr>
      </w:pPr>
      <w:r w:rsidRPr="00405303">
        <w:rPr>
          <w:bCs/>
          <w:color w:val="002060"/>
          <w:sz w:val="16"/>
          <w:szCs w:val="16"/>
        </w:rPr>
        <w:t xml:space="preserve">18 сентября </w:t>
      </w:r>
      <w:r w:rsidR="00421EEC" w:rsidRPr="00405303">
        <w:rPr>
          <w:bCs/>
          <w:color w:val="002060"/>
          <w:sz w:val="16"/>
          <w:szCs w:val="16"/>
        </w:rPr>
        <w:t xml:space="preserve">(1 октября) </w:t>
      </w:r>
      <w:r w:rsidRPr="00405303">
        <w:rPr>
          <w:bCs/>
          <w:color w:val="002060"/>
          <w:sz w:val="16"/>
          <w:szCs w:val="16"/>
        </w:rPr>
        <w:t>1915 г. Главный комитет по снабжению армии ВЗС, заслушав сообщение профессора ИМТУ Н. Р. Бриллинга о возможности постройки к зимней кампании 20 аэросаней в боевом или санитарном исполнении, вынес решение о финансировании этой программы. Конструкция была разработана инженером автомобильного завода А. С. Кузиным. К зиме в автомобильном отделе ВЗС, которым руководил профессор Н. Р. Бриллинг, при участии инженеров этого отдела А. С. Кузина и А. А. Архангельского разработали, а затем в мастерских ВЗС построили партию из 24 аэросаней.</w:t>
      </w:r>
    </w:p>
    <w:p w14:paraId="27B70D12" w14:textId="77777777" w:rsidR="00213A0E" w:rsidRPr="00405303" w:rsidRDefault="00213A0E" w:rsidP="00C15251">
      <w:pPr>
        <w:jc w:val="both"/>
        <w:rPr>
          <w:bCs/>
          <w:color w:val="002060"/>
          <w:sz w:val="16"/>
          <w:szCs w:val="16"/>
        </w:rPr>
      </w:pPr>
      <w:r w:rsidRPr="00405303">
        <w:rPr>
          <w:bCs/>
          <w:color w:val="002060"/>
          <w:sz w:val="16"/>
          <w:szCs w:val="16"/>
        </w:rPr>
        <w:t>Часть из них впервые вооружили пулеметами, остальные предназначались для перевозки раненых. Использование машин на фронте показало, что они могут с успехом обеспечивать боевые операции, осуществлять оперативную связь, подвозку боеприпасов и другие транспортные задачи. Однако, из-за позиционного характера боевых действий и климатических условий, применение аэросаней во время Первой мировой войны носило эпизодический характер. И свелось, в основном, к вспомогательным функциям (21489).</w:t>
      </w:r>
    </w:p>
    <w:p w14:paraId="347D2D1A" w14:textId="77777777" w:rsidR="00213A0E" w:rsidRPr="00405303" w:rsidRDefault="00213A0E" w:rsidP="00C15251">
      <w:pPr>
        <w:shd w:val="clear" w:color="auto" w:fill="FFFFFF"/>
        <w:jc w:val="both"/>
        <w:rPr>
          <w:bCs/>
          <w:color w:val="002060"/>
          <w:sz w:val="16"/>
          <w:szCs w:val="16"/>
        </w:rPr>
      </w:pPr>
    </w:p>
    <w:p w14:paraId="19217537" w14:textId="2523008B" w:rsidR="00297222" w:rsidRPr="00405303" w:rsidRDefault="00297222" w:rsidP="00C15251">
      <w:pPr>
        <w:jc w:val="both"/>
        <w:rPr>
          <w:bCs/>
          <w:i/>
          <w:color w:val="002060"/>
          <w:sz w:val="16"/>
          <w:szCs w:val="16"/>
        </w:rPr>
      </w:pPr>
      <w:r w:rsidRPr="00405303">
        <w:rPr>
          <w:bCs/>
          <w:i/>
          <w:color w:val="002060"/>
          <w:sz w:val="16"/>
          <w:szCs w:val="16"/>
        </w:rPr>
        <w:t>Авиация:</w:t>
      </w:r>
    </w:p>
    <w:p w14:paraId="46202FF2" w14:textId="77777777" w:rsidR="00297222" w:rsidRPr="00405303" w:rsidRDefault="00297222" w:rsidP="00C15251">
      <w:pPr>
        <w:jc w:val="both"/>
        <w:rPr>
          <w:bCs/>
          <w:i/>
          <w:color w:val="002060"/>
          <w:sz w:val="16"/>
          <w:szCs w:val="16"/>
        </w:rPr>
      </w:pPr>
    </w:p>
    <w:p w14:paraId="4AD8A857" w14:textId="77ADBFD1" w:rsidR="00297222" w:rsidRPr="00405303" w:rsidRDefault="00297222" w:rsidP="00C15251">
      <w:pPr>
        <w:jc w:val="both"/>
        <w:rPr>
          <w:bCs/>
          <w:color w:val="002060"/>
          <w:sz w:val="16"/>
          <w:szCs w:val="16"/>
        </w:rPr>
      </w:pPr>
      <w:r w:rsidRPr="00405303">
        <w:rPr>
          <w:bCs/>
          <w:color w:val="002060"/>
          <w:sz w:val="16"/>
          <w:szCs w:val="16"/>
        </w:rPr>
        <w:t xml:space="preserve">18 сентября </w:t>
      </w:r>
      <w:r w:rsidR="0075696C" w:rsidRPr="00405303">
        <w:rPr>
          <w:bCs/>
          <w:color w:val="002060"/>
          <w:sz w:val="16"/>
          <w:szCs w:val="16"/>
        </w:rPr>
        <w:t xml:space="preserve">(1 октября) </w:t>
      </w:r>
      <w:r w:rsidRPr="00405303">
        <w:rPr>
          <w:bCs/>
          <w:color w:val="002060"/>
          <w:sz w:val="16"/>
          <w:szCs w:val="16"/>
        </w:rPr>
        <w:t>1915 г. приказом начальника штаба ВГК № 65 сформированный во 2-й армии в виде опыта авиационный дивизион "для установления прочней и гибкой связи всех авиационных отрядов между собой и между учреждениями, обслуживающими их технической частью, для упрощения хозяйственной организации отрядов и облегчения их в смысле необходимого ремонта аппаратов". Приказом того же на-ка от 23 сентября № 75 «опыт применения новой организации авиацион</w:t>
      </w:r>
      <w:r w:rsidRPr="00405303">
        <w:rPr>
          <w:bCs/>
          <w:color w:val="002060"/>
          <w:sz w:val="16"/>
          <w:szCs w:val="16"/>
        </w:rPr>
        <w:softHyphen/>
        <w:t>ного дела» вводится не при 2-й армии, а при 5-й. Так.возник 1-й авиационный дивизион. Второй авиадивизион был сформирован при 7-й армии в октябре 1915 года.</w:t>
      </w:r>
    </w:p>
    <w:p w14:paraId="74BEF542" w14:textId="77777777" w:rsidR="00297222" w:rsidRPr="00405303" w:rsidRDefault="00297222" w:rsidP="00C15251">
      <w:pPr>
        <w:jc w:val="both"/>
        <w:rPr>
          <w:bCs/>
          <w:color w:val="002060"/>
          <w:sz w:val="16"/>
          <w:szCs w:val="16"/>
        </w:rPr>
      </w:pPr>
      <w:r w:rsidRPr="00405303">
        <w:rPr>
          <w:bCs/>
          <w:color w:val="002060"/>
          <w:sz w:val="16"/>
          <w:szCs w:val="16"/>
        </w:rPr>
        <w:t>/ЦГВИА, ф. 2003, оп. 1, Д. 1224, Л. 217/ (23320).</w:t>
      </w:r>
    </w:p>
    <w:p w14:paraId="5CD3D525" w14:textId="77777777" w:rsidR="00297222" w:rsidRPr="00405303" w:rsidRDefault="00297222" w:rsidP="00C15251">
      <w:pPr>
        <w:jc w:val="both"/>
        <w:rPr>
          <w:bCs/>
          <w:color w:val="002060"/>
          <w:sz w:val="16"/>
          <w:szCs w:val="16"/>
        </w:rPr>
      </w:pPr>
    </w:p>
    <w:p w14:paraId="2C90A8BC" w14:textId="21AEFD96" w:rsidR="0075696C" w:rsidRPr="00405303" w:rsidRDefault="0075696C" w:rsidP="00C15251">
      <w:pPr>
        <w:jc w:val="both"/>
        <w:rPr>
          <w:bCs/>
          <w:color w:val="002060"/>
          <w:sz w:val="16"/>
          <w:szCs w:val="16"/>
        </w:rPr>
      </w:pPr>
      <w:r w:rsidRPr="00405303">
        <w:rPr>
          <w:bCs/>
          <w:color w:val="002060"/>
          <w:sz w:val="16"/>
          <w:szCs w:val="16"/>
          <w:lang w:bidi="en-US"/>
        </w:rPr>
        <w:t xml:space="preserve">18 сентября (1 октября) 1915 г. в качестве эксперимента Верховный командующий штабом ЦИК приказал создать 5-й авиационный батальон в составе 5-й армии для улучшения взаимодействия </w:t>
      </w:r>
      <w:r w:rsidRPr="00405303">
        <w:rPr>
          <w:bCs/>
          <w:color w:val="002060"/>
          <w:sz w:val="16"/>
          <w:szCs w:val="16"/>
          <w:lang w:bidi="en-US"/>
        </w:rPr>
        <w:softHyphen/>
        <w:t>между авиационными частями и армией, а также для обеспечения и облегчения ремонта и снабжения самолетов (23525).</w:t>
      </w:r>
    </w:p>
    <w:p w14:paraId="44A60C43" w14:textId="77777777" w:rsidR="0075696C" w:rsidRPr="00405303" w:rsidRDefault="0075696C" w:rsidP="00C15251">
      <w:pPr>
        <w:jc w:val="both"/>
        <w:rPr>
          <w:bCs/>
          <w:color w:val="002060"/>
          <w:sz w:val="16"/>
          <w:szCs w:val="16"/>
          <w:lang w:bidi="en-US"/>
        </w:rPr>
      </w:pPr>
    </w:p>
    <w:p w14:paraId="1A4A4386" w14:textId="77777777" w:rsidR="00405303" w:rsidRPr="00405303" w:rsidRDefault="00405303" w:rsidP="00405303">
      <w:pPr>
        <w:jc w:val="both"/>
        <w:rPr>
          <w:color w:val="0070C0"/>
          <w:sz w:val="16"/>
          <w:szCs w:val="16"/>
        </w:rPr>
      </w:pPr>
      <w:r w:rsidRPr="00405303">
        <w:rPr>
          <w:rStyle w:val="aa"/>
          <w:rFonts w:ascii="Times New Roman" w:hAnsi="Times New Roman"/>
          <w:color w:val="0070C0"/>
          <w:spacing w:val="0"/>
          <w:sz w:val="16"/>
          <w:szCs w:val="16"/>
        </w:rPr>
        <w:t>18 сентября (1 октября) 1915 г. в течение дня немецкая авиация бомбардировала г. Минск, Рига, Каменец-Подольск, Усть-Двинск, станцию Огерь и многие другие объекты («без ущерба нашим военным интересам») (25135).</w:t>
      </w:r>
    </w:p>
    <w:p w14:paraId="2E0D1EB5" w14:textId="77777777" w:rsidR="00405303" w:rsidRPr="00405303" w:rsidRDefault="00405303" w:rsidP="00405303">
      <w:pPr>
        <w:jc w:val="both"/>
        <w:rPr>
          <w:rStyle w:val="aa"/>
          <w:rFonts w:ascii="Times New Roman" w:hAnsi="Times New Roman"/>
          <w:color w:val="0070C0"/>
          <w:spacing w:val="0"/>
          <w:sz w:val="16"/>
          <w:szCs w:val="16"/>
        </w:rPr>
      </w:pPr>
    </w:p>
    <w:p w14:paraId="6234A3D2" w14:textId="339A6BA4" w:rsidR="00E33CBF" w:rsidRPr="00405303" w:rsidRDefault="00E33CBF" w:rsidP="00C15251">
      <w:pPr>
        <w:jc w:val="both"/>
        <w:rPr>
          <w:bCs/>
          <w:i/>
          <w:color w:val="002060"/>
          <w:sz w:val="16"/>
          <w:szCs w:val="16"/>
        </w:rPr>
      </w:pPr>
      <w:r w:rsidRPr="00405303">
        <w:rPr>
          <w:bCs/>
          <w:i/>
          <w:color w:val="002060"/>
          <w:sz w:val="16"/>
          <w:szCs w:val="16"/>
        </w:rPr>
        <w:t>Армия:</w:t>
      </w:r>
    </w:p>
    <w:p w14:paraId="187D94F8" w14:textId="77777777" w:rsidR="00E33CBF" w:rsidRPr="00405303" w:rsidRDefault="00E33CBF" w:rsidP="00C15251">
      <w:pPr>
        <w:jc w:val="both"/>
        <w:rPr>
          <w:bCs/>
          <w:i/>
          <w:color w:val="002060"/>
          <w:sz w:val="16"/>
          <w:szCs w:val="16"/>
        </w:rPr>
      </w:pPr>
    </w:p>
    <w:p w14:paraId="24C8B43B" w14:textId="2B7EB4B2" w:rsidR="00E33CBF" w:rsidRPr="00405303" w:rsidRDefault="00E33CBF" w:rsidP="00C15251">
      <w:pPr>
        <w:jc w:val="both"/>
        <w:rPr>
          <w:bCs/>
          <w:color w:val="002060"/>
          <w:sz w:val="16"/>
          <w:szCs w:val="16"/>
        </w:rPr>
      </w:pPr>
      <w:r w:rsidRPr="00405303">
        <w:rPr>
          <w:rStyle w:val="ucoz-forum-post"/>
          <w:rFonts w:eastAsiaTheme="majorEastAsia"/>
          <w:bCs/>
          <w:color w:val="002060"/>
          <w:sz w:val="16"/>
          <w:szCs w:val="16"/>
        </w:rPr>
        <w:t xml:space="preserve">18 сентября </w:t>
      </w:r>
      <w:r w:rsidR="00421EEC" w:rsidRPr="00405303">
        <w:rPr>
          <w:rStyle w:val="ucoz-forum-post"/>
          <w:rFonts w:eastAsiaTheme="majorEastAsia"/>
          <w:bCs/>
          <w:color w:val="002060"/>
          <w:sz w:val="16"/>
          <w:szCs w:val="16"/>
        </w:rPr>
        <w:t xml:space="preserve">(1 октября) </w:t>
      </w:r>
      <w:r w:rsidRPr="00405303">
        <w:rPr>
          <w:bCs/>
          <w:color w:val="002060"/>
          <w:sz w:val="16"/>
          <w:szCs w:val="16"/>
        </w:rPr>
        <w:t>в 1915 году на Восточном фронте германские войска захватывают город Вильно (современный литовский Вильнюс) (14773).</w:t>
      </w:r>
    </w:p>
    <w:p w14:paraId="42B6EF82" w14:textId="77777777" w:rsidR="00E33CBF" w:rsidRPr="00405303" w:rsidRDefault="00E33CBF" w:rsidP="00C15251">
      <w:pPr>
        <w:jc w:val="both"/>
        <w:rPr>
          <w:bCs/>
          <w:color w:val="002060"/>
          <w:sz w:val="16"/>
          <w:szCs w:val="16"/>
        </w:rPr>
      </w:pPr>
    </w:p>
    <w:p w14:paraId="7F0F3147" w14:textId="77777777" w:rsidR="00E33CBF" w:rsidRPr="00405303" w:rsidRDefault="00E33CBF" w:rsidP="00C15251">
      <w:pPr>
        <w:jc w:val="both"/>
        <w:rPr>
          <w:bCs/>
          <w:i/>
          <w:color w:val="002060"/>
          <w:sz w:val="16"/>
          <w:szCs w:val="16"/>
        </w:rPr>
      </w:pPr>
      <w:r w:rsidRPr="00405303">
        <w:rPr>
          <w:bCs/>
          <w:i/>
          <w:color w:val="002060"/>
          <w:sz w:val="16"/>
          <w:szCs w:val="16"/>
        </w:rPr>
        <w:t>Жизнь и внутренняя политика:</w:t>
      </w:r>
    </w:p>
    <w:p w14:paraId="04E275F2" w14:textId="77777777" w:rsidR="00E33CBF" w:rsidRPr="00405303" w:rsidRDefault="00E33CBF" w:rsidP="00C15251">
      <w:pPr>
        <w:jc w:val="both"/>
        <w:rPr>
          <w:bCs/>
          <w:i/>
          <w:color w:val="002060"/>
          <w:sz w:val="16"/>
          <w:szCs w:val="16"/>
        </w:rPr>
      </w:pPr>
    </w:p>
    <w:p w14:paraId="7ED36FD8" w14:textId="0860DFD6" w:rsidR="00E33CBF" w:rsidRPr="00405303" w:rsidRDefault="00E33CBF" w:rsidP="00C15251">
      <w:pPr>
        <w:jc w:val="both"/>
        <w:rPr>
          <w:bCs/>
          <w:color w:val="002060"/>
          <w:sz w:val="16"/>
          <w:szCs w:val="16"/>
        </w:rPr>
      </w:pPr>
      <w:r w:rsidRPr="00405303">
        <w:rPr>
          <w:rStyle w:val="ucoz-forum-post"/>
          <w:rFonts w:eastAsiaTheme="majorEastAsia"/>
          <w:bCs/>
          <w:color w:val="002060"/>
          <w:sz w:val="16"/>
          <w:szCs w:val="16"/>
        </w:rPr>
        <w:t xml:space="preserve">18 сентября </w:t>
      </w:r>
      <w:r w:rsidR="00421EEC" w:rsidRPr="00405303">
        <w:rPr>
          <w:rStyle w:val="ucoz-forum-post"/>
          <w:rFonts w:eastAsiaTheme="majorEastAsia"/>
          <w:bCs/>
          <w:color w:val="002060"/>
          <w:sz w:val="16"/>
          <w:szCs w:val="16"/>
        </w:rPr>
        <w:t xml:space="preserve">(1 октября) </w:t>
      </w:r>
      <w:r w:rsidRPr="00405303">
        <w:rPr>
          <w:bCs/>
          <w:color w:val="002060"/>
          <w:sz w:val="16"/>
          <w:szCs w:val="16"/>
        </w:rPr>
        <w:t>в 1915 году на острове Диксон в Карском море была построена одна из первых арктических радиостанций (и в 1916 г. гидрометеорологическая станция), на базе которых в 1930-е годы были созданы первый на Северном морском пути арктический радиометеорологический центр и геофизическая обсерватория (14773).</w:t>
      </w:r>
    </w:p>
    <w:p w14:paraId="1076B4BF" w14:textId="28BF1FC0" w:rsidR="00E33CBF" w:rsidRPr="00405303" w:rsidRDefault="00E33CBF" w:rsidP="00C15251">
      <w:pPr>
        <w:jc w:val="both"/>
        <w:rPr>
          <w:bCs/>
          <w:color w:val="002060"/>
          <w:sz w:val="16"/>
          <w:szCs w:val="16"/>
        </w:rPr>
      </w:pPr>
    </w:p>
    <w:p w14:paraId="38F54632" w14:textId="77777777" w:rsidR="00421EEC" w:rsidRPr="00405303" w:rsidRDefault="00421EEC"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 и воздухоплавание Германии:</w:t>
      </w:r>
    </w:p>
    <w:p w14:paraId="3492C2C8" w14:textId="77777777" w:rsidR="00421EEC" w:rsidRPr="00405303" w:rsidRDefault="00421EEC" w:rsidP="00C15251">
      <w:pPr>
        <w:pStyle w:val="a3"/>
        <w:jc w:val="both"/>
        <w:rPr>
          <w:bCs/>
          <w:color w:val="002060"/>
          <w:spacing w:val="0"/>
          <w:kern w:val="0"/>
          <w:position w:val="0"/>
          <w:sz w:val="16"/>
          <w:szCs w:val="16"/>
        </w:rPr>
      </w:pPr>
    </w:p>
    <w:p w14:paraId="7D474B98" w14:textId="06D811A6" w:rsidR="00421EEC" w:rsidRPr="00405303" w:rsidRDefault="00421EEC" w:rsidP="00C15251">
      <w:pPr>
        <w:jc w:val="both"/>
        <w:rPr>
          <w:bCs/>
          <w:color w:val="002060"/>
          <w:sz w:val="16"/>
          <w:szCs w:val="16"/>
        </w:rPr>
      </w:pPr>
      <w:r w:rsidRPr="00405303">
        <w:rPr>
          <w:bCs/>
          <w:color w:val="002060"/>
          <w:sz w:val="16"/>
          <w:szCs w:val="16"/>
        </w:rPr>
        <w:lastRenderedPageBreak/>
        <w:t>18 сентября (1 октября) 1915 г., из воспоминаний Рихтгофена: "Дружище Цоймер раздобыл себе моноплан "Фоккер", и мне снова пришлось плыть одному в волнах житейского моря. Битва в Шампани разгоралась все сильнее. Французы стали опережать нас, и мы были вынуждены создать истребительную эскадрилью. 1 октября 1915 г. мы выехали для ее создания".</w:t>
      </w:r>
    </w:p>
    <w:p w14:paraId="332BF75D" w14:textId="77777777" w:rsidR="00421EEC" w:rsidRPr="00405303" w:rsidRDefault="00421EEC" w:rsidP="00C15251">
      <w:pPr>
        <w:jc w:val="both"/>
        <w:rPr>
          <w:bCs/>
          <w:color w:val="002060"/>
          <w:sz w:val="16"/>
          <w:szCs w:val="16"/>
        </w:rPr>
      </w:pPr>
      <w:r w:rsidRPr="00405303">
        <w:rPr>
          <w:bCs/>
          <w:color w:val="002060"/>
          <w:sz w:val="16"/>
          <w:szCs w:val="16"/>
        </w:rPr>
        <w:t>Далее Рихтгофен рассказывает о своей первой встрече с лучшим на тот момент германским военным летчиком Бельке: "Сидя в вагоне-ресторане, за соседним столиком я увидел молодого и незначительно выглядевшего лейтенантика. И не было бы смысла о нем упоминать, если бы не тот факт, что он тогда был единственным летчиком, сбившим не один, а целых четыре вражеских аэроплана. Имя его упоминалось во всех донесениях. И я имел на него большие виды именно в связи с его опытом. Мне-то в этом решительно не везло, как я ни старался.</w:t>
      </w:r>
    </w:p>
    <w:p w14:paraId="38BD690D" w14:textId="77777777" w:rsidR="00421EEC" w:rsidRPr="00405303" w:rsidRDefault="00421EEC" w:rsidP="00C15251">
      <w:pPr>
        <w:jc w:val="both"/>
        <w:rPr>
          <w:bCs/>
          <w:color w:val="002060"/>
          <w:sz w:val="16"/>
          <w:szCs w:val="16"/>
        </w:rPr>
      </w:pPr>
      <w:r w:rsidRPr="00405303">
        <w:rPr>
          <w:bCs/>
          <w:color w:val="002060"/>
          <w:sz w:val="16"/>
          <w:szCs w:val="16"/>
        </w:rPr>
        <w:t>И потому мне ужасно хотелось узнать, как лейтенант Бельке добивается своих побед.</w:t>
      </w:r>
    </w:p>
    <w:p w14:paraId="5573EF63" w14:textId="77777777" w:rsidR="00421EEC" w:rsidRPr="00405303" w:rsidRDefault="00421EEC" w:rsidP="00C15251">
      <w:pPr>
        <w:jc w:val="both"/>
        <w:rPr>
          <w:bCs/>
          <w:color w:val="002060"/>
          <w:sz w:val="16"/>
          <w:szCs w:val="16"/>
        </w:rPr>
      </w:pPr>
      <w:r w:rsidRPr="00405303">
        <w:rPr>
          <w:bCs/>
          <w:color w:val="002060"/>
          <w:sz w:val="16"/>
          <w:szCs w:val="16"/>
        </w:rPr>
        <w:t>- Скажите, как вам это удается? - наконец спросил я.</w:t>
      </w:r>
    </w:p>
    <w:p w14:paraId="5BB396BC" w14:textId="77777777" w:rsidR="00421EEC" w:rsidRPr="00405303" w:rsidRDefault="00421EEC" w:rsidP="00C15251">
      <w:pPr>
        <w:jc w:val="both"/>
        <w:rPr>
          <w:bCs/>
          <w:color w:val="002060"/>
          <w:sz w:val="16"/>
          <w:szCs w:val="16"/>
        </w:rPr>
      </w:pPr>
      <w:r w:rsidRPr="00405303">
        <w:rPr>
          <w:bCs/>
          <w:color w:val="002060"/>
          <w:sz w:val="16"/>
          <w:szCs w:val="16"/>
        </w:rPr>
        <w:t>Кажется, он очень удивился и рассмеялся, хотя спрашивал я его совершенно серьезно.</w:t>
      </w:r>
    </w:p>
    <w:p w14:paraId="13AA881C" w14:textId="77777777" w:rsidR="00421EEC" w:rsidRPr="00405303" w:rsidRDefault="00421EEC" w:rsidP="00C15251">
      <w:pPr>
        <w:jc w:val="both"/>
        <w:rPr>
          <w:bCs/>
          <w:color w:val="002060"/>
          <w:sz w:val="16"/>
          <w:szCs w:val="16"/>
        </w:rPr>
      </w:pPr>
      <w:r w:rsidRPr="00405303">
        <w:rPr>
          <w:bCs/>
          <w:color w:val="002060"/>
          <w:sz w:val="16"/>
          <w:szCs w:val="16"/>
        </w:rPr>
        <w:t>- Да это просто, - в конце концов, ответил он. - Я подлетаю совсем близко, хорошенько прицеливаюсь, и он, естественно, падает..."</w:t>
      </w:r>
    </w:p>
    <w:p w14:paraId="10345D89" w14:textId="77777777" w:rsidR="00421EEC" w:rsidRPr="00405303" w:rsidRDefault="00421EEC" w:rsidP="00C15251">
      <w:pPr>
        <w:jc w:val="both"/>
        <w:rPr>
          <w:bCs/>
          <w:color w:val="002060"/>
          <w:sz w:val="16"/>
          <w:szCs w:val="16"/>
        </w:rPr>
      </w:pPr>
      <w:r w:rsidRPr="00405303">
        <w:rPr>
          <w:bCs/>
          <w:color w:val="002060"/>
          <w:sz w:val="16"/>
          <w:szCs w:val="16"/>
        </w:rPr>
        <w:t>Заметим, что на этот момент четыре сбитых самолета противника - абсолютный рекорд на всех фронтах. На втором месте, как мы знаем, Гарро и Жильбер по три самолета, на третьем месте Брокар - два самолета. По одному самолету сбили Нестеров, Казаков, Ткачев, Гийнемер и Рихтгофен. Борьба за первенство еще только разгорается, и она вся впереди. И в ближайшее время вперед вырвется француз Гийнемер, который в этот день производит вторую успешную высадку шпиона в глубоком германском тылу.</w:t>
      </w:r>
    </w:p>
    <w:p w14:paraId="43F50F8F" w14:textId="77777777" w:rsidR="00421EEC" w:rsidRPr="00405303" w:rsidRDefault="00421EEC" w:rsidP="00C15251">
      <w:pPr>
        <w:jc w:val="both"/>
        <w:rPr>
          <w:bCs/>
          <w:color w:val="002060"/>
          <w:sz w:val="16"/>
          <w:szCs w:val="16"/>
        </w:rPr>
      </w:pPr>
      <w:r w:rsidRPr="00405303">
        <w:rPr>
          <w:bCs/>
          <w:color w:val="002060"/>
          <w:sz w:val="16"/>
          <w:szCs w:val="16"/>
        </w:rPr>
        <w:t>Гийнемер: "Второе задание было еще более жуткое, и я поклялся не исполнять больше таких полетов...</w:t>
      </w:r>
    </w:p>
    <w:p w14:paraId="2B62C308" w14:textId="77777777" w:rsidR="00421EEC" w:rsidRPr="00405303" w:rsidRDefault="00421EEC" w:rsidP="00C15251">
      <w:pPr>
        <w:jc w:val="both"/>
        <w:rPr>
          <w:bCs/>
          <w:color w:val="002060"/>
          <w:sz w:val="16"/>
          <w:szCs w:val="16"/>
        </w:rPr>
      </w:pPr>
      <w:r w:rsidRPr="00405303">
        <w:rPr>
          <w:bCs/>
          <w:color w:val="002060"/>
          <w:sz w:val="16"/>
          <w:szCs w:val="16"/>
        </w:rPr>
        <w:t xml:space="preserve">Я прибываю к назначенному месту, ставлю мотор на малый газ, чтобы не привлекать внимания немцев, и спускаюсь спиралью. Два поля подо мной: одно - великолепное, настоящее зеленое биллиардное сукно, - как будто магнитом притягивает меня; другое - полное выбоин, изрезанное бороздами... </w:t>
      </w:r>
      <w:proofErr w:type="gramStart"/>
      <w:r w:rsidRPr="00405303">
        <w:rPr>
          <w:bCs/>
          <w:color w:val="002060"/>
          <w:sz w:val="16"/>
          <w:szCs w:val="16"/>
        </w:rPr>
        <w:t>Я</w:t>
      </w:r>
      <w:proofErr w:type="gramEnd"/>
      <w:r w:rsidRPr="00405303">
        <w:rPr>
          <w:bCs/>
          <w:color w:val="002060"/>
          <w:sz w:val="16"/>
          <w:szCs w:val="16"/>
        </w:rPr>
        <w:t xml:space="preserve"> не колеблясь выбираю первое и начинаю спускаться. Продолжая планировать, я не могу удержаться от размышления: "Эта почва, зеленеющая и имеющая такой чудесный вид, точно она переоделась в свои праздничные одежды, чтобы принять меня, - не слишком ли она прекрасна для того, чтобы стать гостеприимной?"</w:t>
      </w:r>
    </w:p>
    <w:p w14:paraId="06E0DAD5" w14:textId="77777777" w:rsidR="00421EEC" w:rsidRPr="00405303" w:rsidRDefault="00421EEC" w:rsidP="00C15251">
      <w:pPr>
        <w:jc w:val="both"/>
        <w:rPr>
          <w:bCs/>
          <w:color w:val="002060"/>
          <w:sz w:val="16"/>
          <w:szCs w:val="16"/>
        </w:rPr>
      </w:pPr>
      <w:r w:rsidRPr="00405303">
        <w:rPr>
          <w:bCs/>
          <w:color w:val="002060"/>
          <w:sz w:val="16"/>
          <w:szCs w:val="16"/>
        </w:rPr>
        <w:t>Внимание! Гляжу пристально, наблюдаю и что же замечаю: проволочные заграждения, которые коварно пересекают ее. Это была ловушка для пилотов.</w:t>
      </w:r>
    </w:p>
    <w:p w14:paraId="7B37D772" w14:textId="77777777" w:rsidR="00421EEC" w:rsidRPr="00405303" w:rsidRDefault="00421EEC" w:rsidP="00C15251">
      <w:pPr>
        <w:jc w:val="both"/>
        <w:rPr>
          <w:bCs/>
          <w:color w:val="002060"/>
          <w:sz w:val="16"/>
          <w:szCs w:val="16"/>
        </w:rPr>
      </w:pPr>
      <w:r w:rsidRPr="00405303">
        <w:rPr>
          <w:bCs/>
          <w:color w:val="002060"/>
          <w:sz w:val="16"/>
          <w:szCs w:val="16"/>
        </w:rPr>
        <w:t xml:space="preserve">Какое счастье, что я оказался недоверчивым. Я быстро даю полный газ и снова поднимаюсь на высоту </w:t>
      </w:r>
      <w:proofErr w:type="gramStart"/>
      <w:r w:rsidRPr="00405303">
        <w:rPr>
          <w:bCs/>
          <w:color w:val="002060"/>
          <w:sz w:val="16"/>
          <w:szCs w:val="16"/>
        </w:rPr>
        <w:t>и...</w:t>
      </w:r>
      <w:proofErr w:type="gramEnd"/>
      <w:r w:rsidRPr="00405303">
        <w:rPr>
          <w:bCs/>
          <w:color w:val="002060"/>
          <w:sz w:val="16"/>
          <w:szCs w:val="16"/>
        </w:rPr>
        <w:t xml:space="preserve"> собираюсь спуститься на другой участок... который я только сейчас бранил...</w:t>
      </w:r>
    </w:p>
    <w:p w14:paraId="285127DA" w14:textId="77777777" w:rsidR="00421EEC" w:rsidRPr="00405303" w:rsidRDefault="00421EEC" w:rsidP="00C15251">
      <w:pPr>
        <w:jc w:val="both"/>
        <w:rPr>
          <w:bCs/>
          <w:color w:val="002060"/>
          <w:sz w:val="16"/>
          <w:szCs w:val="16"/>
        </w:rPr>
      </w:pPr>
      <w:r w:rsidRPr="00405303">
        <w:rPr>
          <w:bCs/>
          <w:color w:val="002060"/>
          <w:sz w:val="16"/>
          <w:szCs w:val="16"/>
        </w:rPr>
        <w:t>Но он оказался сносным и, несмотря на многие тревожные толчки при посадке, я имел удовольствие убедиться, что ни одна часть моего самолета не была повреждена. Спустя несколько секунд после высадки своего пассажира, я поднялся без помех и полетел к себе. Все кончилось хорошо, но меня бросало в жар. Право, специальное задание очень скверная штука!" (11999).</w:t>
      </w:r>
    </w:p>
    <w:p w14:paraId="4C729E5A" w14:textId="77777777" w:rsidR="00421EEC" w:rsidRPr="00405303" w:rsidRDefault="00421EEC" w:rsidP="00C15251">
      <w:pPr>
        <w:jc w:val="both"/>
        <w:rPr>
          <w:bCs/>
          <w:color w:val="002060"/>
          <w:sz w:val="16"/>
          <w:szCs w:val="16"/>
        </w:rPr>
      </w:pPr>
    </w:p>
    <w:p w14:paraId="4731C25F" w14:textId="49CCEA9A" w:rsidR="00307292" w:rsidRPr="00405303" w:rsidRDefault="00307292" w:rsidP="00C15251">
      <w:pPr>
        <w:jc w:val="both"/>
        <w:rPr>
          <w:bCs/>
          <w:i/>
          <w:iCs/>
          <w:color w:val="002060"/>
          <w:sz w:val="16"/>
          <w:szCs w:val="16"/>
        </w:rPr>
      </w:pPr>
      <w:r w:rsidRPr="00405303">
        <w:rPr>
          <w:bCs/>
          <w:i/>
          <w:iCs/>
          <w:color w:val="002060"/>
          <w:sz w:val="16"/>
          <w:szCs w:val="16"/>
        </w:rPr>
        <w:t>Самолетостроение:</w:t>
      </w:r>
    </w:p>
    <w:p w14:paraId="57AC1372" w14:textId="77777777" w:rsidR="00307292" w:rsidRPr="00405303" w:rsidRDefault="00307292" w:rsidP="00C15251">
      <w:pPr>
        <w:jc w:val="both"/>
        <w:rPr>
          <w:bCs/>
          <w:i/>
          <w:iCs/>
          <w:color w:val="002060"/>
          <w:sz w:val="16"/>
          <w:szCs w:val="16"/>
        </w:rPr>
      </w:pPr>
    </w:p>
    <w:p w14:paraId="5550F0FB" w14:textId="77777777" w:rsidR="00307292" w:rsidRPr="00405303" w:rsidRDefault="00307292" w:rsidP="00C15251">
      <w:pPr>
        <w:jc w:val="both"/>
        <w:rPr>
          <w:bCs/>
          <w:color w:val="002060"/>
          <w:sz w:val="16"/>
          <w:szCs w:val="16"/>
        </w:rPr>
      </w:pPr>
      <w:r w:rsidRPr="00405303">
        <w:rPr>
          <w:bCs/>
          <w:color w:val="002060"/>
          <w:sz w:val="16"/>
          <w:szCs w:val="16"/>
        </w:rPr>
        <w:t>19 сентября (2 октября) 1915 года</w:t>
      </w:r>
    </w:p>
    <w:p w14:paraId="1D39C1A0" w14:textId="77777777" w:rsidR="00307292" w:rsidRPr="00405303" w:rsidRDefault="00307292" w:rsidP="00C15251">
      <w:pPr>
        <w:jc w:val="both"/>
        <w:rPr>
          <w:bCs/>
          <w:color w:val="002060"/>
          <w:sz w:val="16"/>
          <w:szCs w:val="16"/>
        </w:rPr>
      </w:pPr>
      <w:r w:rsidRPr="00405303">
        <w:rPr>
          <w:bCs/>
          <w:color w:val="002060"/>
          <w:sz w:val="16"/>
          <w:szCs w:val="16"/>
        </w:rPr>
        <w:t>Копия.</w:t>
      </w:r>
    </w:p>
    <w:p w14:paraId="4BC5D4F1" w14:textId="77777777" w:rsidR="00307292" w:rsidRPr="00405303" w:rsidRDefault="00307292" w:rsidP="00C15251">
      <w:pPr>
        <w:jc w:val="both"/>
        <w:rPr>
          <w:bCs/>
          <w:color w:val="002060"/>
          <w:sz w:val="16"/>
          <w:szCs w:val="16"/>
        </w:rPr>
      </w:pPr>
      <w:r w:rsidRPr="00405303">
        <w:rPr>
          <w:bCs/>
          <w:color w:val="002060"/>
          <w:sz w:val="16"/>
          <w:szCs w:val="16"/>
        </w:rPr>
        <w:t>Совершенно секретно.</w:t>
      </w:r>
    </w:p>
    <w:p w14:paraId="7F86F5C4" w14:textId="77777777" w:rsidR="00307292" w:rsidRPr="00405303" w:rsidRDefault="00307292" w:rsidP="00C15251">
      <w:pPr>
        <w:jc w:val="both"/>
        <w:rPr>
          <w:bCs/>
          <w:color w:val="002060"/>
          <w:sz w:val="16"/>
          <w:szCs w:val="16"/>
        </w:rPr>
      </w:pPr>
      <w:r w:rsidRPr="00405303">
        <w:rPr>
          <w:bCs/>
          <w:color w:val="002060"/>
          <w:sz w:val="16"/>
          <w:szCs w:val="16"/>
        </w:rPr>
        <w:t>Журнал № 8</w:t>
      </w:r>
    </w:p>
    <w:p w14:paraId="778F66B2" w14:textId="77777777" w:rsidR="00307292" w:rsidRPr="00405303" w:rsidRDefault="00307292" w:rsidP="00C15251">
      <w:pPr>
        <w:jc w:val="both"/>
        <w:rPr>
          <w:bCs/>
          <w:color w:val="002060"/>
          <w:sz w:val="16"/>
          <w:szCs w:val="16"/>
        </w:rPr>
      </w:pPr>
      <w:r w:rsidRPr="00405303">
        <w:rPr>
          <w:bCs/>
          <w:color w:val="002060"/>
          <w:sz w:val="16"/>
          <w:szCs w:val="16"/>
        </w:rPr>
        <w:t>Особого Совещания для обсуждения и объединения мероприятий по обороне государства.</w:t>
      </w:r>
    </w:p>
    <w:p w14:paraId="5363BCAA" w14:textId="77777777" w:rsidR="00307292" w:rsidRPr="00405303" w:rsidRDefault="00307292" w:rsidP="00C15251">
      <w:pPr>
        <w:jc w:val="both"/>
        <w:rPr>
          <w:bCs/>
          <w:color w:val="002060"/>
          <w:sz w:val="16"/>
          <w:szCs w:val="16"/>
        </w:rPr>
      </w:pPr>
      <w:r w:rsidRPr="00405303">
        <w:rPr>
          <w:bCs/>
          <w:color w:val="002060"/>
          <w:sz w:val="16"/>
          <w:szCs w:val="16"/>
        </w:rPr>
        <w:t>Заседание 19 сентября 1915 года.</w:t>
      </w:r>
    </w:p>
    <w:p w14:paraId="3449A54B" w14:textId="77777777" w:rsidR="00307292" w:rsidRPr="00405303" w:rsidRDefault="00307292" w:rsidP="00C15251">
      <w:pPr>
        <w:jc w:val="both"/>
        <w:rPr>
          <w:bCs/>
          <w:color w:val="002060"/>
          <w:sz w:val="16"/>
          <w:szCs w:val="16"/>
        </w:rPr>
      </w:pPr>
      <w:r w:rsidRPr="00405303">
        <w:rPr>
          <w:bCs/>
          <w:color w:val="002060"/>
          <w:sz w:val="16"/>
          <w:szCs w:val="16"/>
        </w:rPr>
        <w:t>Председательствовал генерал от инфантерии...А. А. Поливанов.</w:t>
      </w:r>
    </w:p>
    <w:p w14:paraId="0856F86E" w14:textId="77777777" w:rsidR="00307292" w:rsidRPr="00405303" w:rsidRDefault="00307292" w:rsidP="00C15251">
      <w:pPr>
        <w:jc w:val="both"/>
        <w:rPr>
          <w:bCs/>
          <w:color w:val="002060"/>
          <w:sz w:val="16"/>
          <w:szCs w:val="16"/>
        </w:rPr>
      </w:pPr>
      <w:r w:rsidRPr="00405303">
        <w:rPr>
          <w:bCs/>
          <w:color w:val="002060"/>
          <w:sz w:val="16"/>
          <w:szCs w:val="16"/>
        </w:rPr>
        <w:t>Присутствовали:</w:t>
      </w:r>
    </w:p>
    <w:p w14:paraId="0B8540B2" w14:textId="77777777" w:rsidR="00307292" w:rsidRPr="00405303" w:rsidRDefault="00307292" w:rsidP="00C15251">
      <w:pPr>
        <w:jc w:val="both"/>
        <w:rPr>
          <w:bCs/>
          <w:color w:val="002060"/>
          <w:sz w:val="16"/>
          <w:szCs w:val="16"/>
        </w:rPr>
      </w:pPr>
      <w:r w:rsidRPr="00405303">
        <w:rPr>
          <w:bCs/>
          <w:color w:val="002060"/>
          <w:sz w:val="16"/>
          <w:szCs w:val="16"/>
        </w:rPr>
        <w:t>Председатель Государственного Совета</w:t>
      </w:r>
    </w:p>
    <w:p w14:paraId="120FB100" w14:textId="77777777" w:rsidR="00307292" w:rsidRPr="00405303" w:rsidRDefault="00307292" w:rsidP="00C15251">
      <w:pPr>
        <w:jc w:val="both"/>
        <w:rPr>
          <w:bCs/>
          <w:color w:val="002060"/>
          <w:sz w:val="16"/>
          <w:szCs w:val="16"/>
        </w:rPr>
      </w:pPr>
      <w:r w:rsidRPr="00405303">
        <w:rPr>
          <w:bCs/>
          <w:color w:val="002060"/>
          <w:sz w:val="16"/>
          <w:szCs w:val="16"/>
        </w:rPr>
        <w:t>Член Государственного Совета .......</w:t>
      </w:r>
    </w:p>
    <w:p w14:paraId="7F0619A6" w14:textId="77777777" w:rsidR="00307292" w:rsidRPr="00405303" w:rsidRDefault="00307292" w:rsidP="00C15251">
      <w:pPr>
        <w:jc w:val="both"/>
        <w:rPr>
          <w:bCs/>
          <w:color w:val="002060"/>
          <w:sz w:val="16"/>
          <w:szCs w:val="16"/>
        </w:rPr>
      </w:pPr>
      <w:r w:rsidRPr="00405303">
        <w:rPr>
          <w:bCs/>
          <w:color w:val="002060"/>
          <w:sz w:val="16"/>
          <w:szCs w:val="16"/>
        </w:rPr>
        <w:t>Член Государственной Думы</w:t>
      </w:r>
    </w:p>
    <w:p w14:paraId="2812EE8A" w14:textId="049FCDA4"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 »....................</w:t>
      </w:r>
    </w:p>
    <w:p w14:paraId="7955FA13" w14:textId="104ABB5F"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 »....................</w:t>
      </w:r>
    </w:p>
    <w:p w14:paraId="726791DA" w14:textId="705F3F80"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 »....................</w:t>
      </w:r>
    </w:p>
    <w:p w14:paraId="0A534837" w14:textId="4A7DA216"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w:t>
      </w:r>
    </w:p>
    <w:p w14:paraId="38062EBD" w14:textId="77777777" w:rsidR="00307292" w:rsidRPr="00405303" w:rsidRDefault="00307292" w:rsidP="00C15251">
      <w:pPr>
        <w:jc w:val="both"/>
        <w:rPr>
          <w:bCs/>
          <w:color w:val="002060"/>
          <w:sz w:val="16"/>
          <w:szCs w:val="16"/>
        </w:rPr>
      </w:pPr>
      <w:r w:rsidRPr="00405303">
        <w:rPr>
          <w:bCs/>
          <w:color w:val="002060"/>
          <w:sz w:val="16"/>
          <w:szCs w:val="16"/>
        </w:rPr>
        <w:t>От военного министерства:</w:t>
      </w:r>
    </w:p>
    <w:p w14:paraId="603BCA72" w14:textId="77777777" w:rsidR="00307292" w:rsidRPr="00405303" w:rsidRDefault="00307292" w:rsidP="00C15251">
      <w:pPr>
        <w:jc w:val="both"/>
        <w:rPr>
          <w:bCs/>
          <w:color w:val="002060"/>
          <w:sz w:val="16"/>
          <w:szCs w:val="16"/>
        </w:rPr>
      </w:pPr>
      <w:r w:rsidRPr="00405303">
        <w:rPr>
          <w:bCs/>
          <w:color w:val="002060"/>
          <w:sz w:val="16"/>
          <w:szCs w:val="16"/>
        </w:rPr>
        <w:t>Генерал от инфантерии ...</w:t>
      </w:r>
    </w:p>
    <w:p w14:paraId="70D263AF" w14:textId="77777777" w:rsidR="00307292" w:rsidRPr="00405303" w:rsidRDefault="00307292" w:rsidP="00C15251">
      <w:pPr>
        <w:jc w:val="both"/>
        <w:rPr>
          <w:bCs/>
          <w:color w:val="002060"/>
          <w:sz w:val="16"/>
          <w:szCs w:val="16"/>
        </w:rPr>
      </w:pPr>
      <w:r w:rsidRPr="00405303">
        <w:rPr>
          <w:bCs/>
          <w:color w:val="002060"/>
          <w:sz w:val="16"/>
          <w:szCs w:val="16"/>
        </w:rPr>
        <w:t>Генерал-лейтенант .......</w:t>
      </w:r>
    </w:p>
    <w:p w14:paraId="52471C78" w14:textId="77777777" w:rsidR="00307292" w:rsidRPr="00405303" w:rsidRDefault="00307292" w:rsidP="00C15251">
      <w:pPr>
        <w:jc w:val="both"/>
        <w:rPr>
          <w:bCs/>
          <w:color w:val="002060"/>
          <w:sz w:val="16"/>
          <w:szCs w:val="16"/>
        </w:rPr>
      </w:pPr>
      <w:r w:rsidRPr="00405303">
        <w:rPr>
          <w:bCs/>
          <w:color w:val="002060"/>
          <w:sz w:val="16"/>
          <w:szCs w:val="16"/>
        </w:rPr>
        <w:t>Генерал-майор</w:t>
      </w:r>
    </w:p>
    <w:p w14:paraId="0D1C1704" w14:textId="77777777" w:rsidR="00307292" w:rsidRPr="00405303" w:rsidRDefault="00307292"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А. Н. Куломзин.</w:t>
      </w:r>
    </w:p>
    <w:p w14:paraId="09ABABC1" w14:textId="77777777" w:rsidR="00307292" w:rsidRPr="00405303" w:rsidRDefault="00307292"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С. И. Тимашев.</w:t>
      </w:r>
    </w:p>
    <w:p w14:paraId="19E8C08A" w14:textId="77777777" w:rsidR="00307292" w:rsidRPr="00405303" w:rsidRDefault="00307292" w:rsidP="00C15251">
      <w:pPr>
        <w:jc w:val="both"/>
        <w:rPr>
          <w:bCs/>
          <w:color w:val="002060"/>
          <w:sz w:val="16"/>
          <w:szCs w:val="16"/>
        </w:rPr>
      </w:pPr>
      <w:r w:rsidRPr="00405303">
        <w:rPr>
          <w:bCs/>
          <w:color w:val="002060"/>
          <w:sz w:val="16"/>
          <w:szCs w:val="16"/>
        </w:rPr>
        <w:t>___В. И. Тимирязев.</w:t>
      </w:r>
    </w:p>
    <w:p w14:paraId="112F352B" w14:textId="77777777" w:rsidR="00307292" w:rsidRPr="00405303" w:rsidRDefault="00307292" w:rsidP="00C15251">
      <w:pPr>
        <w:jc w:val="both"/>
        <w:rPr>
          <w:bCs/>
          <w:color w:val="002060"/>
          <w:sz w:val="16"/>
          <w:szCs w:val="16"/>
        </w:rPr>
      </w:pPr>
      <w:r w:rsidRPr="00405303">
        <w:rPr>
          <w:bCs/>
          <w:color w:val="002060"/>
          <w:sz w:val="16"/>
          <w:szCs w:val="16"/>
        </w:rPr>
        <w:t>.. А. С. Стишинский.</w:t>
      </w:r>
    </w:p>
    <w:p w14:paraId="5B176D97" w14:textId="77777777" w:rsidR="00307292" w:rsidRPr="00405303" w:rsidRDefault="00307292" w:rsidP="00C15251">
      <w:pPr>
        <w:jc w:val="both"/>
        <w:rPr>
          <w:bCs/>
          <w:color w:val="002060"/>
          <w:sz w:val="16"/>
          <w:szCs w:val="16"/>
        </w:rPr>
      </w:pPr>
      <w:r w:rsidRPr="00405303">
        <w:rPr>
          <w:bCs/>
          <w:color w:val="002060"/>
          <w:sz w:val="16"/>
          <w:szCs w:val="16"/>
        </w:rPr>
        <w:t>...... А. Ф. Трепов.</w:t>
      </w:r>
    </w:p>
    <w:p w14:paraId="2CD411D3" w14:textId="77777777" w:rsidR="00307292" w:rsidRPr="00405303" w:rsidRDefault="00307292"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Г. А. Лашкарев.</w:t>
      </w:r>
    </w:p>
    <w:p w14:paraId="5EBC8891" w14:textId="77777777" w:rsidR="00307292" w:rsidRPr="00405303" w:rsidRDefault="00307292"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А. И. Мосолов.</w:t>
      </w:r>
    </w:p>
    <w:p w14:paraId="01D0165F" w14:textId="77777777" w:rsidR="00307292" w:rsidRPr="00405303" w:rsidRDefault="00307292" w:rsidP="00C15251">
      <w:pPr>
        <w:jc w:val="both"/>
        <w:rPr>
          <w:bCs/>
          <w:color w:val="002060"/>
          <w:sz w:val="16"/>
          <w:szCs w:val="16"/>
        </w:rPr>
      </w:pPr>
      <w:r w:rsidRPr="00405303">
        <w:rPr>
          <w:bCs/>
          <w:color w:val="002060"/>
          <w:sz w:val="16"/>
          <w:szCs w:val="16"/>
        </w:rPr>
        <w:t>......Ф.А. Иванов.</w:t>
      </w:r>
    </w:p>
    <w:p w14:paraId="26F6D902" w14:textId="77777777" w:rsidR="00307292" w:rsidRPr="00405303" w:rsidRDefault="00307292"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граф С. А. Толь.</w:t>
      </w:r>
    </w:p>
    <w:p w14:paraId="66EFF8CB" w14:textId="77777777" w:rsidR="00307292" w:rsidRPr="00405303" w:rsidRDefault="00307292" w:rsidP="00C15251">
      <w:pPr>
        <w:jc w:val="both"/>
        <w:rPr>
          <w:bCs/>
          <w:color w:val="002060"/>
          <w:sz w:val="16"/>
          <w:szCs w:val="16"/>
        </w:rPr>
      </w:pPr>
      <w:r w:rsidRPr="00405303">
        <w:rPr>
          <w:bCs/>
          <w:color w:val="002060"/>
          <w:sz w:val="16"/>
          <w:szCs w:val="16"/>
        </w:rPr>
        <w:t>... С.Ф. Ольденбург.</w:t>
      </w:r>
    </w:p>
    <w:p w14:paraId="1F287723" w14:textId="77777777" w:rsidR="00307292" w:rsidRPr="00405303" w:rsidRDefault="00307292" w:rsidP="00C15251">
      <w:pPr>
        <w:jc w:val="both"/>
        <w:rPr>
          <w:bCs/>
          <w:color w:val="002060"/>
          <w:sz w:val="16"/>
          <w:szCs w:val="16"/>
        </w:rPr>
      </w:pPr>
      <w:r w:rsidRPr="00405303">
        <w:rPr>
          <w:bCs/>
          <w:color w:val="002060"/>
          <w:sz w:val="16"/>
          <w:szCs w:val="16"/>
        </w:rPr>
        <w:t>......И. А. Шебеко.</w:t>
      </w:r>
    </w:p>
    <w:p w14:paraId="6E6F4910" w14:textId="77777777" w:rsidR="00307292" w:rsidRPr="00405303" w:rsidRDefault="00307292" w:rsidP="00C15251">
      <w:pPr>
        <w:jc w:val="both"/>
        <w:rPr>
          <w:bCs/>
          <w:color w:val="002060"/>
          <w:sz w:val="16"/>
          <w:szCs w:val="16"/>
        </w:rPr>
      </w:pPr>
      <w:r w:rsidRPr="00405303">
        <w:rPr>
          <w:bCs/>
          <w:color w:val="002060"/>
          <w:sz w:val="16"/>
          <w:szCs w:val="16"/>
        </w:rPr>
        <w:t>.. И. И. Дмитрюков.</w:t>
      </w:r>
    </w:p>
    <w:p w14:paraId="3E52D25D" w14:textId="77777777" w:rsidR="00307292" w:rsidRPr="00405303" w:rsidRDefault="00307292" w:rsidP="00C15251">
      <w:pPr>
        <w:jc w:val="both"/>
        <w:rPr>
          <w:bCs/>
          <w:color w:val="002060"/>
          <w:sz w:val="16"/>
          <w:szCs w:val="16"/>
        </w:rPr>
      </w:pPr>
      <w:r w:rsidRPr="00405303">
        <w:rPr>
          <w:bCs/>
          <w:color w:val="002060"/>
          <w:sz w:val="16"/>
          <w:szCs w:val="16"/>
        </w:rPr>
        <w:t>А. А. Добровольский.</w:t>
      </w:r>
    </w:p>
    <w:p w14:paraId="0A5D14D4" w14:textId="77777777" w:rsidR="00307292" w:rsidRPr="00405303" w:rsidRDefault="00307292" w:rsidP="00C15251">
      <w:pPr>
        <w:jc w:val="both"/>
        <w:rPr>
          <w:bCs/>
          <w:color w:val="002060"/>
          <w:sz w:val="16"/>
          <w:szCs w:val="16"/>
        </w:rPr>
      </w:pPr>
      <w:r w:rsidRPr="00405303">
        <w:rPr>
          <w:bCs/>
          <w:color w:val="002060"/>
          <w:sz w:val="16"/>
          <w:szCs w:val="16"/>
        </w:rPr>
        <w:t>......Н.Е. Марков.</w:t>
      </w:r>
    </w:p>
    <w:p w14:paraId="2FF4B0BB" w14:textId="77777777" w:rsidR="00307292" w:rsidRPr="00405303" w:rsidRDefault="00307292" w:rsidP="00C15251">
      <w:pPr>
        <w:jc w:val="both"/>
        <w:rPr>
          <w:bCs/>
          <w:color w:val="002060"/>
          <w:sz w:val="16"/>
          <w:szCs w:val="16"/>
        </w:rPr>
      </w:pPr>
      <w:r w:rsidRPr="00405303">
        <w:rPr>
          <w:bCs/>
          <w:color w:val="002060"/>
          <w:sz w:val="16"/>
          <w:szCs w:val="16"/>
        </w:rPr>
        <w:t>....... Н.В. Савич.</w:t>
      </w:r>
    </w:p>
    <w:p w14:paraId="592CB3C0" w14:textId="77777777" w:rsidR="00307292" w:rsidRPr="00405303" w:rsidRDefault="00307292"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Д.Н. Чихачев.</w:t>
      </w:r>
    </w:p>
    <w:p w14:paraId="22F8A0F9" w14:textId="77777777" w:rsidR="00307292" w:rsidRPr="00405303" w:rsidRDefault="00307292" w:rsidP="00C15251">
      <w:pPr>
        <w:jc w:val="both"/>
        <w:rPr>
          <w:bCs/>
          <w:color w:val="002060"/>
          <w:sz w:val="16"/>
          <w:szCs w:val="16"/>
        </w:rPr>
      </w:pPr>
      <w:r w:rsidRPr="00405303">
        <w:rPr>
          <w:bCs/>
          <w:color w:val="002060"/>
          <w:sz w:val="16"/>
          <w:szCs w:val="16"/>
        </w:rPr>
        <w:t>.... А. И. Шингарев.</w:t>
      </w:r>
    </w:p>
    <w:p w14:paraId="37442A3A" w14:textId="77777777" w:rsidR="00307292" w:rsidRPr="00405303" w:rsidRDefault="00307292"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В. В. Шульгин.</w:t>
      </w:r>
    </w:p>
    <w:p w14:paraId="4D14CEA2" w14:textId="77777777" w:rsidR="00307292" w:rsidRPr="00405303" w:rsidRDefault="00307292" w:rsidP="00C15251">
      <w:pPr>
        <w:jc w:val="both"/>
        <w:rPr>
          <w:bCs/>
          <w:color w:val="002060"/>
          <w:sz w:val="16"/>
          <w:szCs w:val="16"/>
        </w:rPr>
      </w:pPr>
      <w:r w:rsidRPr="00405303">
        <w:rPr>
          <w:bCs/>
          <w:color w:val="002060"/>
          <w:sz w:val="16"/>
          <w:szCs w:val="16"/>
        </w:rPr>
        <w:t>....М.С. Аджемов.</w:t>
      </w:r>
    </w:p>
    <w:p w14:paraId="3247F558" w14:textId="77777777" w:rsidR="00307292" w:rsidRPr="00405303" w:rsidRDefault="00307292" w:rsidP="00C15251">
      <w:pPr>
        <w:jc w:val="both"/>
        <w:rPr>
          <w:bCs/>
          <w:color w:val="002060"/>
          <w:sz w:val="16"/>
          <w:szCs w:val="16"/>
        </w:rPr>
      </w:pPr>
      <w:r w:rsidRPr="00405303">
        <w:rPr>
          <w:bCs/>
          <w:color w:val="002060"/>
          <w:sz w:val="16"/>
          <w:szCs w:val="16"/>
        </w:rPr>
        <w:t>.... М.А. Беляев.</w:t>
      </w:r>
    </w:p>
    <w:p w14:paraId="0D9BF84E" w14:textId="77777777" w:rsidR="00307292" w:rsidRPr="00405303" w:rsidRDefault="00307292" w:rsidP="00C15251">
      <w:pPr>
        <w:jc w:val="both"/>
        <w:rPr>
          <w:bCs/>
          <w:color w:val="002060"/>
          <w:sz w:val="16"/>
          <w:szCs w:val="16"/>
        </w:rPr>
      </w:pPr>
      <w:r w:rsidRPr="00405303">
        <w:rPr>
          <w:bCs/>
          <w:color w:val="002060"/>
          <w:sz w:val="16"/>
          <w:szCs w:val="16"/>
        </w:rPr>
        <w:t>.. А. С. Лукомский.</w:t>
      </w:r>
    </w:p>
    <w:p w14:paraId="339178D1" w14:textId="77777777" w:rsidR="00307292" w:rsidRPr="00405303" w:rsidRDefault="00307292" w:rsidP="00C15251">
      <w:pPr>
        <w:jc w:val="both"/>
        <w:rPr>
          <w:bCs/>
          <w:color w:val="002060"/>
          <w:sz w:val="16"/>
          <w:szCs w:val="16"/>
        </w:rPr>
      </w:pPr>
      <w:r w:rsidRPr="00405303">
        <w:rPr>
          <w:bCs/>
          <w:color w:val="002060"/>
          <w:sz w:val="16"/>
          <w:szCs w:val="16"/>
        </w:rPr>
        <w:t>А. А. Маниковский.</w:t>
      </w:r>
    </w:p>
    <w:p w14:paraId="6ED4B168" w14:textId="77777777" w:rsidR="00307292" w:rsidRPr="00405303" w:rsidRDefault="00307292" w:rsidP="00C15251">
      <w:pPr>
        <w:jc w:val="both"/>
        <w:rPr>
          <w:bCs/>
          <w:color w:val="002060"/>
          <w:sz w:val="16"/>
          <w:szCs w:val="16"/>
        </w:rPr>
      </w:pPr>
    </w:p>
    <w:p w14:paraId="70A6C78F" w14:textId="77777777" w:rsidR="00307292" w:rsidRPr="00405303" w:rsidRDefault="00307292" w:rsidP="00C15251">
      <w:pPr>
        <w:jc w:val="both"/>
        <w:rPr>
          <w:bCs/>
          <w:color w:val="002060"/>
          <w:sz w:val="16"/>
          <w:szCs w:val="16"/>
        </w:rPr>
      </w:pPr>
      <w:r w:rsidRPr="00405303">
        <w:rPr>
          <w:bCs/>
          <w:color w:val="002060"/>
          <w:sz w:val="16"/>
          <w:szCs w:val="16"/>
        </w:rPr>
        <w:lastRenderedPageBreak/>
        <w:t>___Н. А. Бабиков.</w:t>
      </w:r>
    </w:p>
    <w:p w14:paraId="49429EA0" w14:textId="77777777" w:rsidR="00307292" w:rsidRPr="00405303" w:rsidRDefault="00307292" w:rsidP="00C15251">
      <w:pPr>
        <w:jc w:val="both"/>
        <w:rPr>
          <w:bCs/>
          <w:color w:val="002060"/>
          <w:sz w:val="16"/>
          <w:szCs w:val="16"/>
        </w:rPr>
      </w:pPr>
    </w:p>
    <w:p w14:paraId="1BCC4CB3" w14:textId="77777777" w:rsidR="00307292" w:rsidRPr="00405303" w:rsidRDefault="00307292" w:rsidP="00C15251">
      <w:pPr>
        <w:jc w:val="both"/>
        <w:rPr>
          <w:bCs/>
          <w:color w:val="002060"/>
          <w:sz w:val="16"/>
          <w:szCs w:val="16"/>
        </w:rPr>
      </w:pPr>
      <w:r w:rsidRPr="00405303">
        <w:rPr>
          <w:bCs/>
          <w:color w:val="002060"/>
          <w:sz w:val="16"/>
          <w:szCs w:val="16"/>
        </w:rPr>
        <w:t>... А. А. Саткевич.</w:t>
      </w:r>
    </w:p>
    <w:p w14:paraId="07A72A13" w14:textId="77777777" w:rsidR="00307292" w:rsidRPr="00405303" w:rsidRDefault="00307292"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И. А. Крылов.</w:t>
      </w:r>
    </w:p>
    <w:p w14:paraId="3305D379" w14:textId="77777777" w:rsidR="00307292" w:rsidRPr="00405303" w:rsidRDefault="00307292" w:rsidP="00C15251">
      <w:pPr>
        <w:jc w:val="both"/>
        <w:rPr>
          <w:bCs/>
          <w:color w:val="002060"/>
          <w:sz w:val="16"/>
          <w:szCs w:val="16"/>
        </w:rPr>
      </w:pPr>
      <w:r w:rsidRPr="00405303">
        <w:rPr>
          <w:bCs/>
          <w:color w:val="002060"/>
          <w:sz w:val="16"/>
          <w:szCs w:val="16"/>
        </w:rPr>
        <w:t>От морского министерства:</w:t>
      </w:r>
    </w:p>
    <w:p w14:paraId="018EA81F" w14:textId="77777777" w:rsidR="00307292" w:rsidRPr="00405303" w:rsidRDefault="00307292" w:rsidP="00C15251">
      <w:pPr>
        <w:jc w:val="both"/>
        <w:rPr>
          <w:bCs/>
          <w:color w:val="002060"/>
          <w:sz w:val="16"/>
          <w:szCs w:val="16"/>
        </w:rPr>
      </w:pPr>
      <w:r w:rsidRPr="00405303">
        <w:rPr>
          <w:bCs/>
          <w:color w:val="002060"/>
          <w:sz w:val="16"/>
          <w:szCs w:val="16"/>
        </w:rPr>
        <w:t>Вице-адмирал.............</w:t>
      </w:r>
    </w:p>
    <w:p w14:paraId="58D45499" w14:textId="77777777" w:rsidR="00307292" w:rsidRPr="00405303" w:rsidRDefault="00307292" w:rsidP="00C15251">
      <w:pPr>
        <w:jc w:val="both"/>
        <w:rPr>
          <w:bCs/>
          <w:color w:val="002060"/>
          <w:sz w:val="16"/>
          <w:szCs w:val="16"/>
        </w:rPr>
      </w:pPr>
      <w:r w:rsidRPr="00405303">
        <w:rPr>
          <w:bCs/>
          <w:color w:val="002060"/>
          <w:sz w:val="16"/>
          <w:szCs w:val="16"/>
        </w:rPr>
        <w:t>Я. Я. Муравьев.</w:t>
      </w:r>
    </w:p>
    <w:p w14:paraId="64BE5948" w14:textId="77777777" w:rsidR="00307292" w:rsidRPr="00405303" w:rsidRDefault="00307292" w:rsidP="00C15251">
      <w:pPr>
        <w:jc w:val="both"/>
        <w:rPr>
          <w:bCs/>
          <w:color w:val="002060"/>
          <w:sz w:val="16"/>
          <w:szCs w:val="16"/>
        </w:rPr>
      </w:pPr>
      <w:r w:rsidRPr="00405303">
        <w:rPr>
          <w:bCs/>
          <w:color w:val="002060"/>
          <w:sz w:val="16"/>
          <w:szCs w:val="16"/>
        </w:rPr>
        <w:t>....В. К. Тирс.</w:t>
      </w:r>
    </w:p>
    <w:p w14:paraId="75741371" w14:textId="77777777" w:rsidR="00307292" w:rsidRPr="00405303" w:rsidRDefault="00307292" w:rsidP="00C15251">
      <w:pPr>
        <w:jc w:val="both"/>
        <w:rPr>
          <w:bCs/>
          <w:color w:val="002060"/>
          <w:sz w:val="16"/>
          <w:szCs w:val="16"/>
        </w:rPr>
      </w:pPr>
      <w:r w:rsidRPr="00405303">
        <w:rPr>
          <w:bCs/>
          <w:color w:val="002060"/>
          <w:sz w:val="16"/>
          <w:szCs w:val="16"/>
        </w:rPr>
        <w:t>От министерства финансов:</w:t>
      </w:r>
    </w:p>
    <w:p w14:paraId="011AD2A9" w14:textId="77777777" w:rsidR="00307292" w:rsidRPr="00405303" w:rsidRDefault="00307292" w:rsidP="00C15251">
      <w:pPr>
        <w:jc w:val="both"/>
        <w:rPr>
          <w:bCs/>
          <w:color w:val="002060"/>
          <w:sz w:val="16"/>
          <w:szCs w:val="16"/>
        </w:rPr>
      </w:pPr>
      <w:r w:rsidRPr="00405303">
        <w:rPr>
          <w:bCs/>
          <w:color w:val="002060"/>
          <w:sz w:val="16"/>
          <w:szCs w:val="16"/>
        </w:rPr>
        <w:t>Тайный советник..............................В. В. Кузьминский.</w:t>
      </w:r>
    </w:p>
    <w:p w14:paraId="7D105390" w14:textId="77777777" w:rsidR="00307292" w:rsidRPr="00405303" w:rsidRDefault="00307292" w:rsidP="00C15251">
      <w:pPr>
        <w:jc w:val="both"/>
        <w:rPr>
          <w:bCs/>
          <w:color w:val="002060"/>
          <w:sz w:val="16"/>
          <w:szCs w:val="16"/>
        </w:rPr>
      </w:pPr>
      <w:r w:rsidRPr="00405303">
        <w:rPr>
          <w:bCs/>
          <w:color w:val="002060"/>
          <w:sz w:val="16"/>
          <w:szCs w:val="16"/>
        </w:rPr>
        <w:t>От министерства путей сообщения:</w:t>
      </w:r>
    </w:p>
    <w:p w14:paraId="7662C807" w14:textId="77777777" w:rsidR="00307292" w:rsidRPr="00405303" w:rsidRDefault="00307292" w:rsidP="00C15251">
      <w:pPr>
        <w:jc w:val="both"/>
        <w:rPr>
          <w:bCs/>
          <w:color w:val="002060"/>
          <w:sz w:val="16"/>
          <w:szCs w:val="16"/>
        </w:rPr>
      </w:pPr>
      <w:r w:rsidRPr="00405303">
        <w:rPr>
          <w:bCs/>
          <w:color w:val="002060"/>
          <w:sz w:val="16"/>
          <w:szCs w:val="16"/>
        </w:rPr>
        <w:t>Тайный советник.................................Д.П. Козырев.</w:t>
      </w:r>
    </w:p>
    <w:p w14:paraId="46A09E91" w14:textId="77777777" w:rsidR="00307292" w:rsidRPr="00405303" w:rsidRDefault="00307292" w:rsidP="00C15251">
      <w:pPr>
        <w:jc w:val="both"/>
        <w:rPr>
          <w:bCs/>
          <w:color w:val="002060"/>
          <w:sz w:val="16"/>
          <w:szCs w:val="16"/>
        </w:rPr>
      </w:pPr>
      <w:r w:rsidRPr="00405303">
        <w:rPr>
          <w:bCs/>
          <w:color w:val="002060"/>
          <w:sz w:val="16"/>
          <w:szCs w:val="16"/>
        </w:rPr>
        <w:t>От министерства торговли и промышленности:</w:t>
      </w:r>
    </w:p>
    <w:p w14:paraId="1AEFFB6B" w14:textId="77777777" w:rsidR="00307292" w:rsidRPr="00405303" w:rsidRDefault="00307292" w:rsidP="00C15251">
      <w:pPr>
        <w:jc w:val="both"/>
        <w:rPr>
          <w:bCs/>
          <w:color w:val="002060"/>
          <w:sz w:val="16"/>
          <w:szCs w:val="16"/>
        </w:rPr>
      </w:pPr>
      <w:r w:rsidRPr="00405303">
        <w:rPr>
          <w:bCs/>
          <w:color w:val="002060"/>
          <w:sz w:val="16"/>
          <w:szCs w:val="16"/>
        </w:rPr>
        <w:t>Действительный статский советник................С. Я. Веселаго.</w:t>
      </w:r>
    </w:p>
    <w:p w14:paraId="038CEA14" w14:textId="77777777" w:rsidR="00307292" w:rsidRPr="00405303" w:rsidRDefault="00307292" w:rsidP="00C15251">
      <w:pPr>
        <w:jc w:val="both"/>
        <w:rPr>
          <w:bCs/>
          <w:color w:val="002060"/>
          <w:sz w:val="16"/>
          <w:szCs w:val="16"/>
        </w:rPr>
      </w:pPr>
      <w:r w:rsidRPr="00405303">
        <w:rPr>
          <w:bCs/>
          <w:color w:val="002060"/>
          <w:sz w:val="16"/>
          <w:szCs w:val="16"/>
        </w:rPr>
        <w:t>От государственного контроля:</w:t>
      </w:r>
    </w:p>
    <w:p w14:paraId="4FFCA934" w14:textId="77777777" w:rsidR="00307292" w:rsidRPr="00405303" w:rsidRDefault="00307292" w:rsidP="00C15251">
      <w:pPr>
        <w:jc w:val="both"/>
        <w:rPr>
          <w:bCs/>
          <w:color w:val="002060"/>
          <w:sz w:val="16"/>
          <w:szCs w:val="16"/>
        </w:rPr>
      </w:pPr>
      <w:r w:rsidRPr="00405303">
        <w:rPr>
          <w:bCs/>
          <w:color w:val="002060"/>
          <w:sz w:val="16"/>
          <w:szCs w:val="16"/>
        </w:rPr>
        <w:t>Тайный советник..............................М. И. Скипетров.</w:t>
      </w:r>
    </w:p>
    <w:p w14:paraId="2AF4029D" w14:textId="77777777" w:rsidR="00307292" w:rsidRPr="00405303" w:rsidRDefault="00307292" w:rsidP="00C15251">
      <w:pPr>
        <w:jc w:val="both"/>
        <w:rPr>
          <w:bCs/>
          <w:color w:val="002060"/>
          <w:sz w:val="16"/>
          <w:szCs w:val="16"/>
        </w:rPr>
      </w:pPr>
      <w:r w:rsidRPr="00405303">
        <w:rPr>
          <w:bCs/>
          <w:color w:val="002060"/>
          <w:sz w:val="16"/>
          <w:szCs w:val="16"/>
        </w:rPr>
        <w:t>От Всероссийского земского союза:</w:t>
      </w:r>
    </w:p>
    <w:p w14:paraId="6E1508E4" w14:textId="77777777" w:rsidR="00307292" w:rsidRPr="00405303" w:rsidRDefault="00307292" w:rsidP="00C15251">
      <w:pPr>
        <w:jc w:val="both"/>
        <w:rPr>
          <w:bCs/>
          <w:color w:val="002060"/>
          <w:sz w:val="16"/>
          <w:szCs w:val="16"/>
        </w:rPr>
      </w:pPr>
      <w:r w:rsidRPr="00405303">
        <w:rPr>
          <w:bCs/>
          <w:color w:val="002060"/>
          <w:sz w:val="16"/>
          <w:szCs w:val="16"/>
        </w:rPr>
        <w:t>Член Государственного Совета __барон В. В. Меллер-Закомелъский.</w:t>
      </w:r>
    </w:p>
    <w:p w14:paraId="3802F416" w14:textId="77777777" w:rsidR="00307292" w:rsidRPr="00405303" w:rsidRDefault="00307292" w:rsidP="00C15251">
      <w:pPr>
        <w:jc w:val="both"/>
        <w:rPr>
          <w:bCs/>
          <w:color w:val="002060"/>
          <w:sz w:val="16"/>
          <w:szCs w:val="16"/>
        </w:rPr>
      </w:pPr>
      <w:r w:rsidRPr="00405303">
        <w:rPr>
          <w:bCs/>
          <w:color w:val="002060"/>
          <w:sz w:val="16"/>
          <w:szCs w:val="16"/>
        </w:rPr>
        <w:t>От центрального военно-промышленного комитета:</w:t>
      </w:r>
    </w:p>
    <w:p w14:paraId="645AC123" w14:textId="7141FA7D"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Член Государственного Совета ....................А. И. Гучков.</w:t>
      </w:r>
    </w:p>
    <w:p w14:paraId="08B0510E" w14:textId="502C1B7B"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Член Государственной Думы ....................А. И. Коновалов.</w:t>
      </w:r>
    </w:p>
    <w:p w14:paraId="6F224ACB" w14:textId="3FEF762C"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Действительный статский советник.................Д. С. Зернов.</w:t>
      </w:r>
    </w:p>
    <w:p w14:paraId="119C3D3E" w14:textId="5CC4F092"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Особо приглашенные в заседание:</w:t>
      </w:r>
    </w:p>
    <w:p w14:paraId="31E631CA" w14:textId="6C97101F"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Генерал от инфантерии.....................А. 3. Мышлаевский.</w:t>
      </w:r>
    </w:p>
    <w:p w14:paraId="6710EA0C" w14:textId="448BB4C7"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Член Государственного Совета ............. Н.Ф.фонДитмар.</w:t>
      </w:r>
    </w:p>
    <w:p w14:paraId="0EEFBC22" w14:textId="1235A870"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Генерал-майор ............................ Н. И. Петровский.</w:t>
      </w:r>
    </w:p>
    <w:p w14:paraId="1E111BCD" w14:textId="1887B7D8"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Действительный статский советник...В.П. Литвинов-Фалинский.</w:t>
      </w:r>
    </w:p>
    <w:p w14:paraId="11644AD6" w14:textId="299A67C2"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Инженер путей сообщения ..................барон Г. X. Майдель.</w:t>
      </w:r>
    </w:p>
    <w:p w14:paraId="4F97B288" w14:textId="77777777" w:rsidR="00307292" w:rsidRPr="00405303" w:rsidRDefault="00307292" w:rsidP="00C15251">
      <w:pPr>
        <w:jc w:val="both"/>
        <w:rPr>
          <w:bCs/>
          <w:color w:val="002060"/>
          <w:sz w:val="16"/>
          <w:szCs w:val="16"/>
        </w:rPr>
      </w:pPr>
      <w:r w:rsidRPr="00405303">
        <w:rPr>
          <w:bCs/>
          <w:color w:val="002060"/>
          <w:sz w:val="16"/>
          <w:szCs w:val="16"/>
        </w:rPr>
        <w:t>Делопроизводители Особого Совещания:</w:t>
      </w:r>
    </w:p>
    <w:p w14:paraId="09A8ED7E" w14:textId="329EDBBD"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Надворный советник...........................А. А. Терне.</w:t>
      </w:r>
    </w:p>
    <w:p w14:paraId="30ABA555" w14:textId="7F0C05EE"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Коллежский асессор...........................Л.Н. Иванов.</w:t>
      </w:r>
    </w:p>
    <w:p w14:paraId="43F28E50" w14:textId="0F95C17E"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По открытии заседания Особое Совещание заслушало доклады подготовительной комиссии по общим вопросам: </w:t>
      </w:r>
    </w:p>
    <w:p w14:paraId="4B4A6422" w14:textId="77777777" w:rsidR="00307292" w:rsidRPr="00405303" w:rsidRDefault="00307292" w:rsidP="00C15251">
      <w:pPr>
        <w:jc w:val="both"/>
        <w:rPr>
          <w:bCs/>
          <w:color w:val="002060"/>
          <w:sz w:val="16"/>
          <w:szCs w:val="16"/>
        </w:rPr>
      </w:pPr>
      <w:r w:rsidRPr="00405303">
        <w:rPr>
          <w:bCs/>
          <w:color w:val="002060"/>
          <w:sz w:val="16"/>
          <w:szCs w:val="16"/>
        </w:rPr>
        <w:t xml:space="preserve">1) о заготовлении предметов обозного довольствия и конского снаряжения, </w:t>
      </w:r>
    </w:p>
    <w:p w14:paraId="7FF05AB8" w14:textId="77777777" w:rsidR="00307292" w:rsidRPr="00405303" w:rsidRDefault="00307292" w:rsidP="00C15251">
      <w:pPr>
        <w:jc w:val="both"/>
        <w:rPr>
          <w:bCs/>
          <w:color w:val="002060"/>
          <w:sz w:val="16"/>
          <w:szCs w:val="16"/>
        </w:rPr>
      </w:pPr>
      <w:r w:rsidRPr="00405303">
        <w:rPr>
          <w:bCs/>
          <w:color w:val="002060"/>
          <w:sz w:val="16"/>
          <w:szCs w:val="16"/>
        </w:rPr>
        <w:t xml:space="preserve">2) о порядке приемки ножниц для резки проволоки и других предметов довольствия армии, изготовляемых промышленно-общественными организациями, </w:t>
      </w:r>
    </w:p>
    <w:p w14:paraId="42D5340A" w14:textId="77777777" w:rsidR="00307292" w:rsidRPr="00405303" w:rsidRDefault="00307292" w:rsidP="00C15251">
      <w:pPr>
        <w:jc w:val="both"/>
        <w:rPr>
          <w:bCs/>
          <w:color w:val="002060"/>
          <w:sz w:val="16"/>
          <w:szCs w:val="16"/>
        </w:rPr>
      </w:pPr>
      <w:r w:rsidRPr="00405303">
        <w:rPr>
          <w:bCs/>
          <w:color w:val="002060"/>
          <w:sz w:val="16"/>
          <w:szCs w:val="16"/>
        </w:rPr>
        <w:t xml:space="preserve">3) об ассигновании министерству торговли и промышленности 8200 руб. на открытие технических курсов для подготовки кадров профессиональных рабочих и </w:t>
      </w:r>
    </w:p>
    <w:p w14:paraId="083A2C64" w14:textId="77777777" w:rsidR="00307292" w:rsidRPr="00405303" w:rsidRDefault="00307292" w:rsidP="00C15251">
      <w:pPr>
        <w:jc w:val="both"/>
        <w:rPr>
          <w:bCs/>
          <w:color w:val="002060"/>
          <w:sz w:val="16"/>
          <w:szCs w:val="16"/>
        </w:rPr>
      </w:pPr>
      <w:r w:rsidRPr="00405303">
        <w:rPr>
          <w:bCs/>
          <w:color w:val="002060"/>
          <w:sz w:val="16"/>
          <w:szCs w:val="16"/>
        </w:rPr>
        <w:t>4) о выдаче, без обеспечения, аванса в 2 885 968 руб. Всероссийским земскому и городскому союзам под заказы интендантского ведомства.</w:t>
      </w:r>
    </w:p>
    <w:p w14:paraId="3AC5BA1E" w14:textId="7093F4DC"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Особое Совещание не встретило препятствий одобрить настоящие доклады.</w:t>
      </w:r>
    </w:p>
    <w:p w14:paraId="4E81D6CE" w14:textId="7698E3C0"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Перейдя засим к обсуждению докладов подготовительной комиссии по артиллерийским делам, Особое Совещание не встретило препятствий к утверждению доклада о заказе в Америке 62 000 пуд. динамита.</w:t>
      </w:r>
    </w:p>
    <w:p w14:paraId="661A88BB" w14:textId="07BBA8B3"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По поводу доклада той же комиссии о перенесении из Петрограда на восток завода Русского общества для изготовления снарядов и военных припасов с одновременным предоставлением обществу заказа на снаряды для тяжелой артиллерии, Особое Совещание решило отнести свое окончательное суждение по этому вопросу ко времени представления главным управлением генерального штаба точных данных о существующей потребности армии в этих снарядах.</w:t>
      </w:r>
    </w:p>
    <w:p w14:paraId="22FC5D5B" w14:textId="4E4B3F2D"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Засим Особое Совещание, приняв к сведению доклад генерал-майора Крылова о современном положении дела изготовления удушающих газов, не встретило возражений к единогласному утверждению доклада упомянутой подготовительной комиссии о развитии работ по изготовлению удушающих газов, с отпуском главному артиллерийскому управлению из военного фонда для этой цели 250 000 руб.</w:t>
      </w:r>
    </w:p>
    <w:p w14:paraId="4696235B" w14:textId="64D1EA25"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По поводу разработанных наблюдательной комиссией правил о порядке ее деятельности Особое Совещание признало, не утверждая тановые впредь до накопления более продолжительного опыта деятельности названной комиссии, принять эти правила ныне же к руководству.</w:t>
      </w:r>
    </w:p>
    <w:p w14:paraId="08D735D9" w14:textId="68E8F231"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Засим Особое Совещание заслушало доклад по поводу деятельности акционерного общества артиллерийских заводов.</w:t>
      </w:r>
    </w:p>
    <w:p w14:paraId="43398CDD" w14:textId="59DB0288"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Ввиду обнаруженных недочетов в деятельности принадлежащего названному обществу Царицынского завода, выразившихся, между прочим, в значительном запоздании изготовления на указанном заводе орудий, Особое Совещание единогласно признало необходимым произвести всестороннее обследование работ на помянутом заводе путем командирования туда особой комиссии под председательством генерал-майора Федорова от морского ведомства в составе: генерал-майора Дроздова - от военного министерства, статского советника Левицкого - от государственного контроля, члена Государственной Думы Сверчкова - от Особого Совещания, а также представителей - от местного военно-промышленного комитета и техников - от центрального военно-промышленного комитета. Инструкция, определяющая порядок работ настоящей комиссии, могла бы быть установлена путем взаимного между государственным контролем, а также морским и военным ведомствами соглашения. По завершении работ настоящей комиссии ей надлежало бы представить на уважение Особого Совещания доклад о результатах произведенного всестороннего обследования.</w:t>
      </w:r>
    </w:p>
    <w:p w14:paraId="11DDDB9F" w14:textId="21E8D196"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По поводу уже бывшего на обсуждении Совещания вопроса о приобретении для Всероссийских земского и городского союзов 310 грузовых автомобилей было доложено, что из дополнительных по этому поводу сношений выяснилось, что 300 автомобилей уже в действительности приобретены названными союзами. При таких условиях вопрос сводится к возмещению произведенного на вышеуказанный предмет расхода и к дополнительному приобретению еще 10 автомобилей. По обмене мнениями Особое Совещание признало необходимым: возместить помянутым союзам произведенный ими расход по приобретению 300 автомобилей, а равно приобрести остальные 10 автомобилей.</w:t>
      </w:r>
    </w:p>
    <w:p w14:paraId="073F145E" w14:textId="2113CA04"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С своей стороны член Государственного Совета А. Ф. Трепов заявил, что он не возражает против оплаты приобретенных союзами автомобилей, но так как потребность в 310 автомобилях была определена в то время, когда союзами намечалось использование их для задач, которые ныне уже не будут на них возлагаться, а будут выполняться средствами военного ведомства, то таковые должны составлять собственность казны по военному министерству и могут быть предоставлены в пользование союзам при условии выяснения по более точному и соответствующему современным требованиям расчету потребности союзов в грузовиках.</w:t>
      </w:r>
    </w:p>
    <w:p w14:paraId="19FD1711" w14:textId="77777777" w:rsidR="00307292" w:rsidRPr="00405303" w:rsidRDefault="00307292" w:rsidP="00C15251">
      <w:pPr>
        <w:jc w:val="both"/>
        <w:rPr>
          <w:bCs/>
          <w:color w:val="002060"/>
          <w:sz w:val="16"/>
          <w:szCs w:val="16"/>
        </w:rPr>
      </w:pPr>
      <w:r w:rsidRPr="00405303">
        <w:rPr>
          <w:bCs/>
          <w:color w:val="002060"/>
          <w:sz w:val="16"/>
          <w:szCs w:val="16"/>
        </w:rPr>
        <w:t>Если при этом некоторые автомобили окажутся лишними, то необходимо будет их оставить в распоряжении военного ведомства.</w:t>
      </w:r>
    </w:p>
    <w:p w14:paraId="1D6AB481" w14:textId="38007832"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Далее помощник Военного Министра генерал-лейтенант Лукомский заявил Особому Совещанию, что арендатор вольфрамовой руды на земле Кабинета ЕГО ВЕЛИЧЕСТВА - Толмачев, не имея средств, в состоянии производить разработку руды лишь кустарным способом, который не может дать необходимых для сталелитейной промышленности результатов; имея вместе с тем в виду, что назначенное к выдаче г. Толмачеву пособие в размере до 8000 руб. ему еще не было выдано, генерал-лейтенант Лукомский полагал целесообразным секвестровать предприятие г. Толмачева с передачей его Кабинету ЕГО ВЕЛИЧЕСТВА и просить </w:t>
      </w:r>
      <w:r w:rsidR="00307292" w:rsidRPr="00405303">
        <w:rPr>
          <w:bCs/>
          <w:color w:val="002060"/>
          <w:sz w:val="16"/>
          <w:szCs w:val="16"/>
        </w:rPr>
        <w:lastRenderedPageBreak/>
        <w:t>названный Кабинет организовать ввиду имеющегося с его стороны в этом направлении предложения добычу вольфрамовой руды собственным попечением. Особое Совещание согласилось с соображениями генерал-лейтенанта Лукомского по настоящему вопросу.</w:t>
      </w:r>
    </w:p>
    <w:p w14:paraId="219B7DB9" w14:textId="4EADF116"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В дальнейшем Особое Совещание, рассмотрев проект Положения О комиссии, командируемой во Францию для заготовки авиационного и воздухоплавательного имущества, и по внесении в него ряда редакционных изменений, не встретило препятствий к его одобрению.</w:t>
      </w:r>
    </w:p>
    <w:p w14:paraId="6532F946" w14:textId="5715AD7B"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В частности, товарищ министра финансов тайный советник Кузьминский</w:t>
      </w:r>
      <w:r>
        <w:rPr>
          <w:bCs/>
          <w:color w:val="002060"/>
          <w:sz w:val="16"/>
          <w:szCs w:val="16"/>
        </w:rPr>
        <w:t xml:space="preserve"> </w:t>
      </w:r>
      <w:r w:rsidR="00307292" w:rsidRPr="00405303">
        <w:rPr>
          <w:bCs/>
          <w:color w:val="002060"/>
          <w:sz w:val="16"/>
          <w:szCs w:val="16"/>
        </w:rPr>
        <w:t>по п. 13 правил отметил, что в проектируемых правилах не устанавливается обеспечение выдаваемых авансов, против чего он, как и в прежде имевших место подобных случаях, считает необходимым возражать.</w:t>
      </w:r>
    </w:p>
    <w:p w14:paraId="6F91CED0" w14:textId="77777777" w:rsidR="00307292" w:rsidRPr="00405303" w:rsidRDefault="00307292" w:rsidP="00C15251">
      <w:pPr>
        <w:jc w:val="both"/>
        <w:rPr>
          <w:bCs/>
          <w:color w:val="002060"/>
          <w:sz w:val="16"/>
          <w:szCs w:val="16"/>
        </w:rPr>
      </w:pPr>
      <w:r w:rsidRPr="00405303">
        <w:rPr>
          <w:bCs/>
          <w:color w:val="002060"/>
          <w:sz w:val="16"/>
          <w:szCs w:val="16"/>
        </w:rPr>
        <w:t>По разъяснении затем помощником Военного Министра генералом от инфантерии Беляевым, что все заказы во Франции заключаются с ведома и при гарантии французского военного министерства, что является достаточно солидным обеспечением, и соглашаясь с указанием члена Особого Совещания Добровольского, отметившего, что, согласно рассматриваемым правилам, авансы выдаются из средств, отпускаемых военному министерству на сумму не свыше миллиона руб., тогда как общая сумма заказов достигает 20 000 000 руб., - Совещание не встретило возражений к сохранению п. 13 в предположенной редакции.</w:t>
      </w:r>
    </w:p>
    <w:p w14:paraId="47B80057" w14:textId="10F9C02E"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В связи с вопросом о заготовлении авиационного имущества во Франции, Особое Совещание выслушало доклад помощника Военного Министра генерала от инфантерии Беляева о постановке авиационного дела в действующей армии. К началу войны из полагавшихся по табелям 500 летательных аппаратов оказалось в наличности 202 аппарата; заказанные за границей же для выполнения большой программы (закон 24 июня 1914 г.) аппараты не были готовы. Для удовлетворения потребности армии на время войны было заказано в России (заводам Дуке, Лебедева и др.) 1542 аппарата и к ним 990 моторов «Гном» (завод Дюфлон и др.). В действительности до июля 1915 г. были готовы 530 аэропланов и 212 моторов. В то же время из заказанных в Англии и Франции 587 летательных аппаратов и 1780 моторов до 1 сентября сего года были изготовлены 262 аппарата и 396 моторов; благодаря этому к имевшимся до начала войны 30 корпусным, 8 крепостным и 1 армейскому полевому отрядам удалось добавить только 2 корпусных, 5 армейских, 1 для охраны Ставки, а всего 8 отрядов, и обеспечить аэропланами 2 добровольческих отряда. Таким образом, общее количество отрядов - 49.</w:t>
      </w:r>
    </w:p>
    <w:p w14:paraId="78F1F054" w14:textId="4F4C8A1C" w:rsidR="00307292" w:rsidRPr="00405303" w:rsidRDefault="00307292" w:rsidP="00C15251">
      <w:pPr>
        <w:jc w:val="both"/>
        <w:rPr>
          <w:bCs/>
          <w:color w:val="002060"/>
          <w:sz w:val="16"/>
          <w:szCs w:val="16"/>
        </w:rPr>
      </w:pPr>
      <w:r w:rsidRPr="00405303">
        <w:rPr>
          <w:bCs/>
          <w:color w:val="002060"/>
          <w:sz w:val="16"/>
          <w:szCs w:val="16"/>
        </w:rPr>
        <w:t>Ныне разработана новая организация для авиационных частей в армии, согласно коей признается необходимым иметь по одному отряду на каждый</w:t>
      </w:r>
      <w:r w:rsidR="000F5756">
        <w:rPr>
          <w:bCs/>
          <w:color w:val="002060"/>
          <w:sz w:val="16"/>
          <w:szCs w:val="16"/>
        </w:rPr>
        <w:t xml:space="preserve"> </w:t>
      </w:r>
      <w:r w:rsidRPr="00405303">
        <w:rPr>
          <w:bCs/>
          <w:color w:val="002060"/>
          <w:sz w:val="16"/>
          <w:szCs w:val="16"/>
        </w:rPr>
        <w:t>фронт, армию, корпус и сверх того 1 отряд для охраны Верховного Главнокомандующего. Всего по такому расчету потребуется 32 отряда.</w:t>
      </w:r>
    </w:p>
    <w:p w14:paraId="749DC7D7" w14:textId="77777777" w:rsidR="00307292" w:rsidRPr="00405303" w:rsidRDefault="00307292" w:rsidP="00C15251">
      <w:pPr>
        <w:jc w:val="both"/>
        <w:rPr>
          <w:bCs/>
          <w:color w:val="002060"/>
          <w:sz w:val="16"/>
          <w:szCs w:val="16"/>
        </w:rPr>
      </w:pPr>
      <w:r w:rsidRPr="00405303">
        <w:rPr>
          <w:bCs/>
          <w:color w:val="002060"/>
          <w:sz w:val="16"/>
          <w:szCs w:val="16"/>
        </w:rPr>
        <w:t>Таким образом, надлежит сформировать еще 33 отряда. Для удовлетворения потребности в аппаратах принята во внимание убыль в них - 50 % от общего числа, и срок службы - 4 месяца. Так как русские заводы могут дать лишь 1088 аппаратов, то к 1 сентября 1916 г., когда предположено завершить сформирование 33 отрядов, приходится приобрести за границей 907 аппаратов. В отношении типов принятых аппаратов надлежит заметить, что в настоящее время приняты у нас системы Моран-Сольнье и Вуазен. Для заказа потребного количества аэропланов во Франции, а также для испытания новых систем (Кудрон, Бреге) и командируется упомянутая выше комиссия. Что же касается обеспечения авиационных отрядов личным составом, то в настоящее время действующие правительственные школы авиации (Гатчинская и Севастопольская), а также частные (Всероссийского аэроклуба Московского общества воздухоплавания и школы гг. Анатра, Терещенко, Прохорова и Масленникова) выпускают 36 летчиков в месяц, что в достаточной мере обеспечит потребность в них армии, даже с зачетом убыли, определяемой в 15 %, при условии замены в авиационном отряде из 6 офицеров-летчиков двух из них нижними чинами.</w:t>
      </w:r>
    </w:p>
    <w:p w14:paraId="640870B9" w14:textId="35961D05"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С своей стороны член Государственного Совета А. И. Гучков отметил, что опыт текущей войны выяснил как недостаточную практическую подготовку офицеров-летчиков в существующих школах, так и неудовлетворительность материальной части отрядов, в особенности в отношении аэропланов русского производства. Причиной отмеченных явлений, по мнению А. И. Гучкова, является недостаточно целесообразное руководительство авиационным делом, находившимся в руках главного управления генерального штаба, которое оказалось технически не подготовленным для этой цели. Имея в виду, что главное военно-техническое управление является более компетентным в означенной области учреждением, представлялось бы желательным подчинить его ведению и комиссию, командируемую во Францию.</w:t>
      </w:r>
    </w:p>
    <w:p w14:paraId="32D95F85" w14:textId="78F0884B"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Совещание выслушало заявление члена Государственной Думы И. И. Дмитрюкова, сообщившего, что, согласно имеющимся у него сведениям, до сих пор продолжаются высылки и аресты полицейской властью рабочих без достаточного к тому основания. Имея в виду, что подобные действия администрации не представляются единичными, а, напротив, принимают, по-видимому, характер системы, и считая, что они крайне вредно отражаются на настроении рабочих масс, внося в их среду возбуждение, которое может привести к результатам, крайне опасным с точки зрения интересов успешного снабжения армии, И. И. Дмитрюков высказал пожелание, чтобы Председатель Особого Совещания довел о вышеуказанных явлениях до сведения министра внутренних дел с просьбой о преподании органам вверенного ему ведомства руководящих указаний о необходимости более планомерной и целесообразной деятельности их в рассматриваемой области.</w:t>
      </w:r>
    </w:p>
    <w:p w14:paraId="583243E3" w14:textId="0A79DE58"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Разделяя взгляд члена Государственной Думы И. И. Дмитрюкова, что беспричинные аресты и высылки рабочих действительно могут вызвать задержку в деятельности промышленных предприятий, работающих на оборону, Особое Совещание присоединилось к мнению о доведении Председателем Совещания до сведения министра внутренних дел о подобных конкретных, имевших место, случаях, с просьбой о принятии мер к расследованию этих случаев и к предупреждению повторения подобных явлений.</w:t>
      </w:r>
    </w:p>
    <w:p w14:paraId="1B633BC0" w14:textId="1D79A6DC"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Наконец, Председатель подготовительной комиссии по артиллерийским делам статс-секретарь Тимашев сообщил, что ввиду многочисленных заявлений, поступающих от промышленных предприятий, работающих на оборону, о задержках в их деятельности, вызываемых призывом рабочих на действительную военную службу, представляется необходимым обсудить этот вопрос в комиссии, образованной, согласно постановлению Особого Совещания, 16 сего сентября при главном управлении генерального штаба под председательством начальника генерального штаба, с привлечением к работам этой комиссии членов Особого Совещания.</w:t>
      </w:r>
    </w:p>
    <w:p w14:paraId="48F7F7E3" w14:textId="0B3D3CEC"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Совещание разделило взгляд о желательности немедленного открытия</w:t>
      </w:r>
      <w:r>
        <w:rPr>
          <w:bCs/>
          <w:color w:val="002060"/>
          <w:sz w:val="16"/>
          <w:szCs w:val="16"/>
        </w:rPr>
        <w:t xml:space="preserve"> </w:t>
      </w:r>
      <w:r w:rsidR="00307292" w:rsidRPr="00405303">
        <w:rPr>
          <w:bCs/>
          <w:color w:val="002060"/>
          <w:sz w:val="16"/>
          <w:szCs w:val="16"/>
        </w:rPr>
        <w:t>деятельности этой комиссии, причем генерал от инфантерии Беляев сообщил, что первое заседание этой комиссии состоится в пятницу 25 сентября.</w:t>
      </w:r>
    </w:p>
    <w:p w14:paraId="6BED8FB6" w14:textId="6A295585"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Председатель Особого Совещания, в отношении приведения в исполнение требующих того суждений Особого Совещания, решил:</w:t>
      </w:r>
    </w:p>
    <w:p w14:paraId="13AF2791" w14:textId="6ECEF9A0"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1.</w:t>
      </w:r>
      <w:r>
        <w:rPr>
          <w:bCs/>
          <w:color w:val="002060"/>
          <w:sz w:val="16"/>
          <w:szCs w:val="16"/>
        </w:rPr>
        <w:t xml:space="preserve">  </w:t>
      </w:r>
      <w:r w:rsidR="00307292" w:rsidRPr="00405303">
        <w:rPr>
          <w:bCs/>
          <w:color w:val="002060"/>
          <w:sz w:val="16"/>
          <w:szCs w:val="16"/>
        </w:rPr>
        <w:t>Довести до сведения министра внутренних дел о конкретных случаях арестов и высылки, по-видимому, лояльных рабочих, согласно сделанным о сем заявлением члена Государственной Думы И. И. Дмитрюкова, с просьбой о принятии мер к расследованию этих случаев и к предупреждению повторения подобных явлений.</w:t>
      </w:r>
    </w:p>
    <w:p w14:paraId="418D8F43" w14:textId="2FB218E2"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2.</w:t>
      </w:r>
      <w:r>
        <w:rPr>
          <w:bCs/>
          <w:color w:val="002060"/>
          <w:sz w:val="16"/>
          <w:szCs w:val="16"/>
        </w:rPr>
        <w:t xml:space="preserve">  </w:t>
      </w:r>
      <w:r w:rsidR="00307292" w:rsidRPr="00405303">
        <w:rPr>
          <w:bCs/>
          <w:color w:val="002060"/>
          <w:sz w:val="16"/>
          <w:szCs w:val="16"/>
        </w:rPr>
        <w:t>Одобрить положение о комиссии, командируемой во Францию для заготовки авиационного и воздухоплавательного имущества, с подчинением этой комиссии помощнику военного министра.</w:t>
      </w:r>
    </w:p>
    <w:p w14:paraId="6EBDCFE9" w14:textId="7AAC8ACE"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3.</w:t>
      </w:r>
      <w:r>
        <w:rPr>
          <w:bCs/>
          <w:color w:val="002060"/>
          <w:sz w:val="16"/>
          <w:szCs w:val="16"/>
        </w:rPr>
        <w:t xml:space="preserve">  </w:t>
      </w:r>
      <w:r w:rsidR="00307292" w:rsidRPr="00405303">
        <w:rPr>
          <w:bCs/>
          <w:color w:val="002060"/>
          <w:sz w:val="16"/>
          <w:szCs w:val="16"/>
        </w:rPr>
        <w:t>Командировать для всестороннего обследования Царицынского завода Русского общества артиллерийских заводов комиссию в указанном в журнале Совещания составе, с тем чтобы доклад о результатах обследования был представлен на уважение Особого Совещания.</w:t>
      </w:r>
    </w:p>
    <w:p w14:paraId="02DDFDEE" w14:textId="61DFB55F"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4.</w:t>
      </w:r>
      <w:r>
        <w:rPr>
          <w:bCs/>
          <w:color w:val="002060"/>
          <w:sz w:val="16"/>
          <w:szCs w:val="16"/>
        </w:rPr>
        <w:t xml:space="preserve">  </w:t>
      </w:r>
      <w:r w:rsidR="00307292" w:rsidRPr="00405303">
        <w:rPr>
          <w:bCs/>
          <w:color w:val="002060"/>
          <w:sz w:val="16"/>
          <w:szCs w:val="16"/>
        </w:rPr>
        <w:t>Уведомить Всероссийские земский и городской союзы о приобретении казной 310 грузовых автомобилей с предоставлением их в пользование союзам при условии выяснения по более точному и соответствующему современным требованиям расчету потребности союзов в грузовиках. Если при этом некоторые автомобили окажутся лишними, то необходимо будет их оставить в распоряжении военного ведомства.</w:t>
      </w:r>
    </w:p>
    <w:p w14:paraId="196356AD" w14:textId="07E2CD57" w:rsidR="00307292" w:rsidRPr="00405303" w:rsidRDefault="00307292" w:rsidP="00C15251">
      <w:pPr>
        <w:jc w:val="both"/>
        <w:rPr>
          <w:bCs/>
          <w:color w:val="002060"/>
          <w:sz w:val="16"/>
          <w:szCs w:val="16"/>
        </w:rPr>
      </w:pPr>
      <w:r w:rsidRPr="00405303">
        <w:rPr>
          <w:bCs/>
          <w:color w:val="002060"/>
          <w:sz w:val="16"/>
          <w:szCs w:val="16"/>
        </w:rPr>
        <w:t>5.</w:t>
      </w:r>
      <w:r w:rsidR="000F5756">
        <w:rPr>
          <w:bCs/>
          <w:color w:val="002060"/>
          <w:sz w:val="16"/>
          <w:szCs w:val="16"/>
        </w:rPr>
        <w:t xml:space="preserve">  </w:t>
      </w:r>
      <w:r w:rsidRPr="00405303">
        <w:rPr>
          <w:bCs/>
          <w:color w:val="002060"/>
          <w:sz w:val="16"/>
          <w:szCs w:val="16"/>
        </w:rPr>
        <w:t>Принять к руководству выработанные наблюдательной комиссией правила о порядке ее деятельности.</w:t>
      </w:r>
    </w:p>
    <w:p w14:paraId="1300DBB5" w14:textId="2F7F0A0C"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6.</w:t>
      </w:r>
      <w:r>
        <w:rPr>
          <w:bCs/>
          <w:color w:val="002060"/>
          <w:sz w:val="16"/>
          <w:szCs w:val="16"/>
        </w:rPr>
        <w:t xml:space="preserve">  </w:t>
      </w:r>
      <w:r w:rsidR="00307292" w:rsidRPr="00405303">
        <w:rPr>
          <w:bCs/>
          <w:color w:val="002060"/>
          <w:sz w:val="16"/>
          <w:szCs w:val="16"/>
        </w:rPr>
        <w:t xml:space="preserve">Утвердить на одобренных Особым Совещанием основаниях доклады подготовительной комиссии по общим вопросам: </w:t>
      </w:r>
    </w:p>
    <w:p w14:paraId="22F9635B" w14:textId="77777777" w:rsidR="00307292" w:rsidRPr="00405303" w:rsidRDefault="00307292" w:rsidP="00C15251">
      <w:pPr>
        <w:jc w:val="both"/>
        <w:rPr>
          <w:bCs/>
          <w:color w:val="002060"/>
          <w:sz w:val="16"/>
          <w:szCs w:val="16"/>
        </w:rPr>
      </w:pPr>
      <w:r w:rsidRPr="00405303">
        <w:rPr>
          <w:bCs/>
          <w:color w:val="002060"/>
          <w:sz w:val="16"/>
          <w:szCs w:val="16"/>
        </w:rPr>
        <w:t xml:space="preserve">а) о заготовлении предметов обозного довольствия и конского снаряжения, </w:t>
      </w:r>
    </w:p>
    <w:p w14:paraId="5465612A" w14:textId="77777777" w:rsidR="00307292" w:rsidRPr="00405303" w:rsidRDefault="00307292" w:rsidP="00C15251">
      <w:pPr>
        <w:jc w:val="both"/>
        <w:rPr>
          <w:bCs/>
          <w:color w:val="002060"/>
          <w:sz w:val="16"/>
          <w:szCs w:val="16"/>
        </w:rPr>
      </w:pPr>
      <w:r w:rsidRPr="00405303">
        <w:rPr>
          <w:bCs/>
          <w:color w:val="002060"/>
          <w:sz w:val="16"/>
          <w:szCs w:val="16"/>
        </w:rPr>
        <w:t>б) о порядке приемки ножниц для резки проволоки и других предметов довольствия армии, изготовляемых промышленно-общественными организациями,</w:t>
      </w:r>
    </w:p>
    <w:p w14:paraId="504D708F" w14:textId="77777777" w:rsidR="00307292" w:rsidRPr="00405303" w:rsidRDefault="00307292" w:rsidP="00C15251">
      <w:pPr>
        <w:jc w:val="both"/>
        <w:rPr>
          <w:bCs/>
          <w:color w:val="002060"/>
          <w:sz w:val="16"/>
          <w:szCs w:val="16"/>
        </w:rPr>
      </w:pPr>
      <w:r w:rsidRPr="00405303">
        <w:rPr>
          <w:bCs/>
          <w:color w:val="002060"/>
          <w:sz w:val="16"/>
          <w:szCs w:val="16"/>
        </w:rPr>
        <w:t xml:space="preserve">в) об ассигновании министерству торговли и промышленности 8200 руб. на открытие технических курсов для подготовки кадров профессиональных рабочих, </w:t>
      </w:r>
    </w:p>
    <w:p w14:paraId="45E3F1CB" w14:textId="77777777" w:rsidR="00307292" w:rsidRPr="00405303" w:rsidRDefault="00307292" w:rsidP="00C15251">
      <w:pPr>
        <w:jc w:val="both"/>
        <w:rPr>
          <w:bCs/>
          <w:color w:val="002060"/>
          <w:sz w:val="16"/>
          <w:szCs w:val="16"/>
        </w:rPr>
      </w:pPr>
      <w:r w:rsidRPr="00405303">
        <w:rPr>
          <w:bCs/>
          <w:color w:val="002060"/>
          <w:sz w:val="16"/>
          <w:szCs w:val="16"/>
        </w:rPr>
        <w:t>г) о выдаче без обеспечения аванса в 2 885 968 руб. Всероссийским земскому и городскому союзам под заказы интендантского ведомства.</w:t>
      </w:r>
    </w:p>
    <w:p w14:paraId="54BFDC66" w14:textId="4D88800B"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7.</w:t>
      </w:r>
      <w:r>
        <w:rPr>
          <w:bCs/>
          <w:color w:val="002060"/>
          <w:sz w:val="16"/>
          <w:szCs w:val="16"/>
        </w:rPr>
        <w:t xml:space="preserve">  </w:t>
      </w:r>
      <w:r w:rsidR="00307292" w:rsidRPr="00405303">
        <w:rPr>
          <w:bCs/>
          <w:color w:val="002060"/>
          <w:sz w:val="16"/>
          <w:szCs w:val="16"/>
        </w:rPr>
        <w:t xml:space="preserve">Утвердить на одобренных Особым Совещанием основаниях доклады подготовительной комиссии по артиллерийским делам: </w:t>
      </w:r>
    </w:p>
    <w:p w14:paraId="5F772539" w14:textId="77777777" w:rsidR="00307292" w:rsidRPr="00405303" w:rsidRDefault="00307292" w:rsidP="00C15251">
      <w:pPr>
        <w:jc w:val="both"/>
        <w:rPr>
          <w:bCs/>
          <w:color w:val="002060"/>
          <w:sz w:val="16"/>
          <w:szCs w:val="16"/>
        </w:rPr>
      </w:pPr>
      <w:r w:rsidRPr="00405303">
        <w:rPr>
          <w:bCs/>
          <w:color w:val="002060"/>
          <w:sz w:val="16"/>
          <w:szCs w:val="16"/>
        </w:rPr>
        <w:t xml:space="preserve">а) о заказе в Америке 62 000 пуд. динамита, </w:t>
      </w:r>
    </w:p>
    <w:p w14:paraId="78DBD252" w14:textId="77777777" w:rsidR="00307292" w:rsidRPr="00405303" w:rsidRDefault="00307292" w:rsidP="00C15251">
      <w:pPr>
        <w:jc w:val="both"/>
        <w:rPr>
          <w:bCs/>
          <w:color w:val="002060"/>
          <w:sz w:val="16"/>
          <w:szCs w:val="16"/>
        </w:rPr>
      </w:pPr>
      <w:r w:rsidRPr="00405303">
        <w:rPr>
          <w:bCs/>
          <w:color w:val="002060"/>
          <w:sz w:val="16"/>
          <w:szCs w:val="16"/>
        </w:rPr>
        <w:t>б) о развитии работ по изготовлению удушающих газов с ассигнованием артиллерийскому управлению аванса в 250 000 руб.</w:t>
      </w:r>
    </w:p>
    <w:p w14:paraId="24209318" w14:textId="168852BD"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8.</w:t>
      </w:r>
      <w:r>
        <w:rPr>
          <w:bCs/>
          <w:color w:val="002060"/>
          <w:sz w:val="16"/>
          <w:szCs w:val="16"/>
        </w:rPr>
        <w:t xml:space="preserve">  </w:t>
      </w:r>
      <w:r w:rsidR="00307292" w:rsidRPr="00405303">
        <w:rPr>
          <w:bCs/>
          <w:color w:val="002060"/>
          <w:sz w:val="16"/>
          <w:szCs w:val="16"/>
        </w:rPr>
        <w:t>Отпустить в распоряжение Всероссийских земского и городского союзов 3 066 784 р. на покрытие расходов по приобретению 310 грузовых автомобилей.</w:t>
      </w:r>
    </w:p>
    <w:p w14:paraId="10B7CA93" w14:textId="443A216D" w:rsidR="00307292" w:rsidRPr="00405303" w:rsidRDefault="000F5756" w:rsidP="00C15251">
      <w:pPr>
        <w:jc w:val="both"/>
        <w:rPr>
          <w:bCs/>
          <w:color w:val="002060"/>
          <w:sz w:val="16"/>
          <w:szCs w:val="16"/>
        </w:rPr>
      </w:pPr>
      <w:r>
        <w:rPr>
          <w:bCs/>
          <w:color w:val="002060"/>
          <w:sz w:val="16"/>
          <w:szCs w:val="16"/>
        </w:rPr>
        <w:lastRenderedPageBreak/>
        <w:t xml:space="preserve"> </w:t>
      </w:r>
      <w:r w:rsidR="00307292" w:rsidRPr="00405303">
        <w:rPr>
          <w:bCs/>
          <w:color w:val="002060"/>
          <w:sz w:val="16"/>
          <w:szCs w:val="16"/>
        </w:rPr>
        <w:t xml:space="preserve"> 9.</w:t>
      </w:r>
      <w:r>
        <w:rPr>
          <w:bCs/>
          <w:color w:val="002060"/>
          <w:sz w:val="16"/>
          <w:szCs w:val="16"/>
        </w:rPr>
        <w:t xml:space="preserve">  </w:t>
      </w:r>
      <w:r w:rsidR="00307292" w:rsidRPr="00405303">
        <w:rPr>
          <w:bCs/>
          <w:color w:val="002060"/>
          <w:sz w:val="16"/>
          <w:szCs w:val="16"/>
        </w:rPr>
        <w:t>Секвестровать предприятие г. Толмачева по разработке вольфрамовых руд на земле Кабинета ЕГО ВЕЛИЧЕСТВА с передачей Кабинету для разработки названных руд его собственным попечением.</w:t>
      </w:r>
    </w:p>
    <w:p w14:paraId="75E32E7C" w14:textId="65F767BE"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Подлинный журнал за надлежащими подписями со следующими оговорками:</w:t>
      </w:r>
    </w:p>
    <w:p w14:paraId="277B3705" w14:textId="2F8A00B4"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«Присоединяюсь к мнению А. И. Гучкова о необходимости подчинения командируемой во Францию комиссии для заготовки авиационного имущества главному военно-техническому управлению. Д. Чихачев».</w:t>
      </w:r>
    </w:p>
    <w:p w14:paraId="3CFA8AEA" w14:textId="12F7E11F"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«Присоединяясь к мнению А. Ф. Трепова, я признаю, что оплаченные казною 310 автомобилей хотя и должны быть предоставлены в пользование союзов, но лишь по выяснении точного числа потребных грузовиков, - остальные же должны оставаться в распоряжении военного начальства. </w:t>
      </w:r>
    </w:p>
    <w:p w14:paraId="72B01383" w14:textId="77777777" w:rsidR="00307292" w:rsidRPr="00405303" w:rsidRDefault="00307292" w:rsidP="00C15251">
      <w:pPr>
        <w:jc w:val="both"/>
        <w:rPr>
          <w:bCs/>
          <w:color w:val="002060"/>
          <w:sz w:val="16"/>
          <w:szCs w:val="16"/>
        </w:rPr>
      </w:pPr>
      <w:r w:rsidRPr="00405303">
        <w:rPr>
          <w:bCs/>
          <w:color w:val="002060"/>
          <w:sz w:val="16"/>
          <w:szCs w:val="16"/>
        </w:rPr>
        <w:t>Граф Толь».</w:t>
      </w:r>
    </w:p>
    <w:p w14:paraId="67E986FE" w14:textId="2478B464"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С подлинным верно: делопроизводитель</w:t>
      </w:r>
      <w:r>
        <w:rPr>
          <w:bCs/>
          <w:color w:val="002060"/>
          <w:sz w:val="16"/>
          <w:szCs w:val="16"/>
        </w:rPr>
        <w:t xml:space="preserve">  </w:t>
      </w:r>
      <w:r w:rsidR="00307292" w:rsidRPr="00405303">
        <w:rPr>
          <w:bCs/>
          <w:color w:val="002060"/>
          <w:sz w:val="16"/>
          <w:szCs w:val="16"/>
        </w:rPr>
        <w:t>надворный советник А. Терне.</w:t>
      </w:r>
    </w:p>
    <w:p w14:paraId="04ECA89A" w14:textId="1FF6C84E" w:rsidR="00307292" w:rsidRPr="00405303" w:rsidRDefault="000F5756" w:rsidP="00C15251">
      <w:pPr>
        <w:jc w:val="both"/>
        <w:rPr>
          <w:bCs/>
          <w:color w:val="002060"/>
          <w:sz w:val="16"/>
          <w:szCs w:val="16"/>
        </w:rPr>
      </w:pPr>
      <w:r>
        <w:rPr>
          <w:bCs/>
          <w:color w:val="002060"/>
          <w:sz w:val="16"/>
          <w:szCs w:val="16"/>
        </w:rPr>
        <w:t xml:space="preserve"> </w:t>
      </w:r>
      <w:r w:rsidR="00307292" w:rsidRPr="00405303">
        <w:rPr>
          <w:bCs/>
          <w:color w:val="002060"/>
          <w:sz w:val="16"/>
          <w:szCs w:val="16"/>
        </w:rPr>
        <w:t xml:space="preserve"> Сверял: за делопроизводителя (20656).</w:t>
      </w:r>
    </w:p>
    <w:p w14:paraId="060CC5C2" w14:textId="77777777" w:rsidR="00307292" w:rsidRPr="00405303" w:rsidRDefault="00307292" w:rsidP="00C15251">
      <w:pPr>
        <w:jc w:val="both"/>
        <w:rPr>
          <w:bCs/>
          <w:color w:val="002060"/>
          <w:sz w:val="16"/>
          <w:szCs w:val="16"/>
        </w:rPr>
      </w:pPr>
    </w:p>
    <w:p w14:paraId="3500BFDB"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Другие оборонные отрасли:</w:t>
      </w:r>
    </w:p>
    <w:p w14:paraId="78CCFE6F" w14:textId="77777777" w:rsidR="004B4E35" w:rsidRPr="00405303" w:rsidRDefault="004B4E35" w:rsidP="00C15251">
      <w:pPr>
        <w:pStyle w:val="a3"/>
        <w:jc w:val="both"/>
        <w:rPr>
          <w:bCs/>
          <w:color w:val="002060"/>
          <w:spacing w:val="0"/>
          <w:kern w:val="0"/>
          <w:position w:val="0"/>
          <w:sz w:val="16"/>
          <w:szCs w:val="16"/>
        </w:rPr>
      </w:pPr>
    </w:p>
    <w:p w14:paraId="6B49EC45" w14:textId="4A25216C" w:rsidR="004B4E35" w:rsidRPr="00405303" w:rsidRDefault="009E6F82" w:rsidP="00C15251">
      <w:pPr>
        <w:jc w:val="both"/>
        <w:rPr>
          <w:bCs/>
          <w:color w:val="002060"/>
          <w:sz w:val="16"/>
          <w:szCs w:val="16"/>
        </w:rPr>
      </w:pPr>
      <w:r w:rsidRPr="00405303">
        <w:rPr>
          <w:bCs/>
          <w:color w:val="002060"/>
          <w:sz w:val="16"/>
          <w:szCs w:val="16"/>
        </w:rPr>
        <w:t>19 сентября (</w:t>
      </w:r>
      <w:r w:rsidR="00421EEC" w:rsidRPr="00405303">
        <w:rPr>
          <w:bCs/>
          <w:color w:val="002060"/>
          <w:sz w:val="16"/>
          <w:szCs w:val="16"/>
        </w:rPr>
        <w:t>2</w:t>
      </w:r>
      <w:r w:rsidRPr="00405303">
        <w:rPr>
          <w:bCs/>
          <w:color w:val="002060"/>
          <w:sz w:val="16"/>
          <w:szCs w:val="16"/>
        </w:rPr>
        <w:t xml:space="preserve"> октября) 1915 г.</w:t>
      </w:r>
      <w:r w:rsidR="00421EEC" w:rsidRPr="00405303">
        <w:rPr>
          <w:bCs/>
          <w:color w:val="002060"/>
          <w:sz w:val="16"/>
          <w:szCs w:val="16"/>
        </w:rPr>
        <w:t xml:space="preserve"> прошло первое заседание специальной комиссии по урегулированию цен на серную кислоту (РГВИА, ф. 507, оп. 2, д. 72, л. 60-61.). Ее задачей было "установить... цены на серную кислоту и донести о размерах предельных цен Особому совещанию" (РГВИА, ф. 507, оп. 2, д. 72, л. 60-61.). Комиссия учреждалась под председательством В.Н. Ипатьева, в нее входили 3 представителя от Комиссии по заготовке взрывчатых веществ и 3 от Центрального военно-промышленного комитета</w:t>
      </w:r>
      <w:proofErr w:type="gramStart"/>
      <w:r w:rsidR="00421EEC" w:rsidRPr="00405303">
        <w:rPr>
          <w:bCs/>
          <w:color w:val="002060"/>
          <w:sz w:val="16"/>
          <w:szCs w:val="16"/>
        </w:rPr>
        <w:t xml:space="preserve">. </w:t>
      </w:r>
      <w:r w:rsidRPr="00405303">
        <w:rPr>
          <w:bCs/>
          <w:color w:val="002060"/>
          <w:sz w:val="16"/>
          <w:szCs w:val="16"/>
        </w:rPr>
        <w:t>.</w:t>
      </w:r>
      <w:proofErr w:type="gramEnd"/>
      <w:r w:rsidRPr="00405303">
        <w:rPr>
          <w:bCs/>
          <w:color w:val="002060"/>
          <w:sz w:val="16"/>
          <w:szCs w:val="16"/>
        </w:rPr>
        <w:t xml:space="preserve"> Всего состоялось 2 заседания Комиссии и на них констатировалось, что цены, назначенные ГАУ, -149- вполне удовлетворяют фабрикантов серной кислоты. Эти цены были признаны предельными и обязательными при продаже серной кислоты в частные руки (РГВИА, ф. 507, оп. 2, д. 72, л. 60-61.). Комиссия по заготовке взрывчатых веществ предложила 2 способа увеличения производства серной кислоты: увеличение добычи серного колчедана и количества сернокислотных заводов в России и установку газоуловителей на медеплавильных заводах, как это широко практиковались в США и Германии. В последнем случае сырьем для производства серной кислоты являлся сернистый газ, образующийся на медеплавильных заводах при тепловой обработке медистых колчеданов, которые, как правило, содержали также и серу (11781).</w:t>
      </w:r>
    </w:p>
    <w:p w14:paraId="0DFA0E54" w14:textId="77777777" w:rsidR="004B4E35" w:rsidRPr="00405303" w:rsidRDefault="004B4E35" w:rsidP="00C15251">
      <w:pPr>
        <w:jc w:val="both"/>
        <w:rPr>
          <w:bCs/>
          <w:color w:val="002060"/>
          <w:sz w:val="16"/>
          <w:szCs w:val="16"/>
        </w:rPr>
      </w:pPr>
    </w:p>
    <w:p w14:paraId="39B3859D" w14:textId="77777777" w:rsidR="00405303" w:rsidRPr="00405303" w:rsidRDefault="00405303" w:rsidP="00405303">
      <w:pPr>
        <w:jc w:val="both"/>
        <w:rPr>
          <w:color w:val="0070C0"/>
          <w:sz w:val="16"/>
          <w:szCs w:val="16"/>
        </w:rPr>
      </w:pPr>
      <w:r w:rsidRPr="00405303">
        <w:rPr>
          <w:color w:val="0070C0"/>
          <w:sz w:val="16"/>
          <w:szCs w:val="16"/>
        </w:rPr>
        <w:t>19 сентября (2 октября) 1915 года в журнале Военного Совета занесено: «Военный Совет, имея в виду, что положением 22 апреля 1915 года уже по</w:t>
      </w:r>
      <w:r w:rsidRPr="00405303">
        <w:rPr>
          <w:color w:val="0070C0"/>
          <w:sz w:val="16"/>
          <w:szCs w:val="16"/>
        </w:rPr>
        <w:softHyphen/>
        <w:t>требован отчет о всех заготовлениях автомобильного иму</w:t>
      </w:r>
      <w:r w:rsidRPr="00405303">
        <w:rPr>
          <w:color w:val="0070C0"/>
          <w:sz w:val="16"/>
          <w:szCs w:val="16"/>
        </w:rPr>
        <w:softHyphen/>
        <w:t>щества, не нашел возможным утверждать распоряжение нач-ка ГВТУ по заготовке 2.670 грузовых автомобилей впредь до представления общего отчета. Принимая же во внимание, что заказ грузовиков уже дан, и ГВТУ нужны сред</w:t>
      </w:r>
      <w:r w:rsidRPr="00405303">
        <w:rPr>
          <w:color w:val="0070C0"/>
          <w:sz w:val="16"/>
          <w:szCs w:val="16"/>
        </w:rPr>
        <w:softHyphen/>
        <w:t>ства для его оплаты, Военный Совет не встретил возражений к отпуску просимого кредита» (24023).</w:t>
      </w:r>
    </w:p>
    <w:p w14:paraId="3719ACA1" w14:textId="77777777" w:rsidR="00405303" w:rsidRPr="00405303" w:rsidRDefault="00405303" w:rsidP="00405303">
      <w:pPr>
        <w:jc w:val="both"/>
        <w:rPr>
          <w:color w:val="0070C0"/>
          <w:sz w:val="16"/>
          <w:szCs w:val="16"/>
        </w:rPr>
      </w:pPr>
    </w:p>
    <w:p w14:paraId="112464ED" w14:textId="77777777" w:rsidR="00421EEC" w:rsidRPr="00405303" w:rsidRDefault="00421EEC" w:rsidP="00C15251">
      <w:pPr>
        <w:jc w:val="both"/>
        <w:rPr>
          <w:bCs/>
          <w:i/>
          <w:color w:val="002060"/>
          <w:sz w:val="16"/>
          <w:szCs w:val="16"/>
        </w:rPr>
      </w:pPr>
      <w:r w:rsidRPr="00405303">
        <w:rPr>
          <w:bCs/>
          <w:i/>
          <w:color w:val="002060"/>
          <w:sz w:val="16"/>
          <w:szCs w:val="16"/>
        </w:rPr>
        <w:t>Авиация и воздухоплавание Франции:</w:t>
      </w:r>
    </w:p>
    <w:p w14:paraId="3C4089A0" w14:textId="77777777" w:rsidR="00421EEC" w:rsidRPr="00405303" w:rsidRDefault="00421EEC" w:rsidP="00C15251">
      <w:pPr>
        <w:jc w:val="both"/>
        <w:rPr>
          <w:bCs/>
          <w:i/>
          <w:color w:val="002060"/>
          <w:sz w:val="16"/>
          <w:szCs w:val="16"/>
        </w:rPr>
      </w:pPr>
    </w:p>
    <w:p w14:paraId="12EC9B71" w14:textId="2BBE4356" w:rsidR="00421EEC" w:rsidRPr="00405303" w:rsidRDefault="00421EEC" w:rsidP="00C15251">
      <w:pPr>
        <w:jc w:val="both"/>
        <w:rPr>
          <w:bCs/>
          <w:color w:val="002060"/>
          <w:sz w:val="16"/>
          <w:szCs w:val="16"/>
        </w:rPr>
      </w:pPr>
      <w:r w:rsidRPr="00405303">
        <w:rPr>
          <w:bCs/>
          <w:color w:val="002060"/>
          <w:sz w:val="16"/>
          <w:szCs w:val="16"/>
        </w:rPr>
        <w:t>19 сентября (2 октября) 1915 г. французский дирижабль «Эльзас» был сбит над территорией противника, экипаж попал в плен. В боях отличился «Эльзас», и это несмотря на то, что из-за недостаточной надежности мотора и установки несоответствующего ему воздушного винта скорость дирижабля вместо расчетных 70 км/ч составляла всего 59 км/ч. Потолок не превышал 2250 м. 7, 8, 9, 10 и 17 (20, 21, 22, 23 и 30) сентября 1915 года дирижабль активно участвовал в бомбардировочных операциях, поддерживая наступление армии в Шампани. Его боевая карьера была яркой, но недолгой (11324).</w:t>
      </w:r>
    </w:p>
    <w:p w14:paraId="1A13E923" w14:textId="77777777" w:rsidR="00421EEC" w:rsidRPr="00405303" w:rsidRDefault="00421EEC" w:rsidP="00C15251">
      <w:pPr>
        <w:jc w:val="both"/>
        <w:rPr>
          <w:bCs/>
          <w:i/>
          <w:color w:val="002060"/>
          <w:sz w:val="16"/>
          <w:szCs w:val="16"/>
        </w:rPr>
      </w:pPr>
    </w:p>
    <w:p w14:paraId="6BA45879"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1AE315E4" w14:textId="77777777" w:rsidR="004B4E35" w:rsidRPr="00405303" w:rsidRDefault="004B4E35" w:rsidP="00C15251">
      <w:pPr>
        <w:pStyle w:val="a3"/>
        <w:jc w:val="both"/>
        <w:rPr>
          <w:bCs/>
          <w:color w:val="002060"/>
          <w:spacing w:val="0"/>
          <w:kern w:val="0"/>
          <w:position w:val="0"/>
          <w:sz w:val="16"/>
          <w:szCs w:val="16"/>
        </w:rPr>
      </w:pPr>
    </w:p>
    <w:p w14:paraId="53618570" w14:textId="3DBB7F95" w:rsidR="00A73D84" w:rsidRPr="00405303" w:rsidRDefault="00A73D84" w:rsidP="00C15251">
      <w:pPr>
        <w:jc w:val="both"/>
        <w:rPr>
          <w:bCs/>
          <w:color w:val="002060"/>
          <w:sz w:val="16"/>
          <w:szCs w:val="16"/>
        </w:rPr>
      </w:pPr>
      <w:r w:rsidRPr="00405303">
        <w:rPr>
          <w:bCs/>
          <w:color w:val="002060"/>
          <w:sz w:val="16"/>
          <w:szCs w:val="16"/>
        </w:rPr>
        <w:t>20 сентя</w:t>
      </w:r>
      <w:r w:rsidRPr="00405303">
        <w:rPr>
          <w:bCs/>
          <w:color w:val="002060"/>
          <w:sz w:val="16"/>
          <w:szCs w:val="16"/>
        </w:rPr>
        <w:softHyphen/>
        <w:t>бря (3 октября) 1915 г. приказом командира Эскадры было официально объяв</w:t>
      </w:r>
      <w:r w:rsidRPr="00405303">
        <w:rPr>
          <w:bCs/>
          <w:color w:val="002060"/>
          <w:sz w:val="16"/>
          <w:szCs w:val="16"/>
        </w:rPr>
        <w:softHyphen/>
        <w:t>лено о формировании в Зегевольде боевого отряда в составе всех боеготовых воздушных кораблей. В конце 1915 г. Эскадра выделила боевой отряд под командованием штабс-капитана Панкратьева и для действия в интересах командова</w:t>
      </w:r>
      <w:r w:rsidRPr="00405303">
        <w:rPr>
          <w:bCs/>
          <w:color w:val="002060"/>
          <w:sz w:val="16"/>
          <w:szCs w:val="16"/>
        </w:rPr>
        <w:softHyphen/>
        <w:t>ния Юго-Западного фронта на Га</w:t>
      </w:r>
      <w:r w:rsidRPr="00405303">
        <w:rPr>
          <w:bCs/>
          <w:color w:val="002060"/>
          <w:sz w:val="16"/>
          <w:szCs w:val="16"/>
        </w:rPr>
        <w:softHyphen/>
        <w:t>лицийском направлении. Он полу</w:t>
      </w:r>
      <w:r w:rsidRPr="00405303">
        <w:rPr>
          <w:bCs/>
          <w:color w:val="002060"/>
          <w:sz w:val="16"/>
          <w:szCs w:val="16"/>
        </w:rPr>
        <w:softHyphen/>
        <w:t>чил название «боевой отряд № 1» и включил два самолёта - коман</w:t>
      </w:r>
      <w:r w:rsidRPr="00405303">
        <w:rPr>
          <w:bCs/>
          <w:color w:val="002060"/>
          <w:sz w:val="16"/>
          <w:szCs w:val="16"/>
        </w:rPr>
        <w:softHyphen/>
        <w:t>дирский ВК-П и «Киевский». Остав</w:t>
      </w:r>
      <w:r w:rsidRPr="00405303">
        <w:rPr>
          <w:bCs/>
          <w:color w:val="002060"/>
          <w:sz w:val="16"/>
          <w:szCs w:val="16"/>
        </w:rPr>
        <w:softHyphen/>
        <w:t>шиеся в Зегевольде воздушные ко</w:t>
      </w:r>
      <w:r w:rsidRPr="00405303">
        <w:rPr>
          <w:bCs/>
          <w:color w:val="002060"/>
          <w:sz w:val="16"/>
          <w:szCs w:val="16"/>
        </w:rPr>
        <w:softHyphen/>
        <w:t>рабли составили отряд № 2 под ко</w:t>
      </w:r>
      <w:r w:rsidRPr="00405303">
        <w:rPr>
          <w:bCs/>
          <w:color w:val="002060"/>
          <w:sz w:val="16"/>
          <w:szCs w:val="16"/>
        </w:rPr>
        <w:softHyphen/>
        <w:t>мандованием лейтенанта Лаврова (23469).</w:t>
      </w:r>
    </w:p>
    <w:p w14:paraId="5F490E80" w14:textId="77777777" w:rsidR="00A73D84" w:rsidRPr="00405303" w:rsidRDefault="00A73D84" w:rsidP="00C15251">
      <w:pPr>
        <w:jc w:val="both"/>
        <w:rPr>
          <w:bCs/>
          <w:color w:val="002060"/>
          <w:sz w:val="16"/>
          <w:szCs w:val="16"/>
          <w:lang w:bidi="ru-RU"/>
        </w:rPr>
      </w:pPr>
    </w:p>
    <w:p w14:paraId="10BE2529" w14:textId="5363766F" w:rsidR="00A73D84" w:rsidRPr="00405303" w:rsidRDefault="00A73D84" w:rsidP="00C15251">
      <w:pPr>
        <w:jc w:val="both"/>
        <w:rPr>
          <w:bCs/>
          <w:color w:val="002060"/>
          <w:sz w:val="16"/>
          <w:szCs w:val="16"/>
        </w:rPr>
      </w:pPr>
      <w:r w:rsidRPr="00405303">
        <w:rPr>
          <w:bCs/>
          <w:color w:val="002060"/>
          <w:sz w:val="16"/>
          <w:szCs w:val="16"/>
        </w:rPr>
        <w:t>20 сентября (3 октября) 1915 г. приказом командира эскадры бы</w:t>
      </w:r>
      <w:r w:rsidRPr="00405303">
        <w:rPr>
          <w:bCs/>
          <w:color w:val="002060"/>
          <w:sz w:val="16"/>
          <w:szCs w:val="16"/>
        </w:rPr>
        <w:softHyphen/>
        <w:t>ло официально объявлено о формировании второго бое</w:t>
      </w:r>
      <w:r w:rsidRPr="00405303">
        <w:rPr>
          <w:bCs/>
          <w:color w:val="002060"/>
          <w:sz w:val="16"/>
          <w:szCs w:val="16"/>
        </w:rPr>
        <w:softHyphen/>
        <w:t>вого отряда в составе семи кораблей, командирами ко</w:t>
      </w:r>
      <w:r w:rsidRPr="00405303">
        <w:rPr>
          <w:bCs/>
          <w:color w:val="002060"/>
          <w:sz w:val="16"/>
          <w:szCs w:val="16"/>
        </w:rPr>
        <w:softHyphen/>
        <w:t>торых назначались:</w:t>
      </w:r>
    </w:p>
    <w:p w14:paraId="69A45582" w14:textId="77777777" w:rsidR="00A73D84" w:rsidRPr="00405303" w:rsidRDefault="00A73D84" w:rsidP="00C15251">
      <w:pPr>
        <w:jc w:val="both"/>
        <w:rPr>
          <w:bCs/>
          <w:color w:val="002060"/>
          <w:sz w:val="16"/>
          <w:szCs w:val="16"/>
        </w:rPr>
      </w:pPr>
      <w:r w:rsidRPr="00405303">
        <w:rPr>
          <w:bCs/>
          <w:color w:val="002060"/>
          <w:sz w:val="16"/>
          <w:szCs w:val="16"/>
        </w:rPr>
        <w:t>№ 1 — лейтенант Лавров, он же командир отряда;</w:t>
      </w:r>
    </w:p>
    <w:p w14:paraId="60713E3B" w14:textId="77777777" w:rsidR="00A73D84" w:rsidRPr="00405303" w:rsidRDefault="00A73D84" w:rsidP="00C15251">
      <w:pPr>
        <w:jc w:val="both"/>
        <w:rPr>
          <w:bCs/>
          <w:color w:val="002060"/>
          <w:sz w:val="16"/>
          <w:szCs w:val="16"/>
        </w:rPr>
      </w:pPr>
      <w:r w:rsidRPr="00405303">
        <w:rPr>
          <w:bCs/>
          <w:color w:val="002060"/>
          <w:sz w:val="16"/>
          <w:szCs w:val="16"/>
        </w:rPr>
        <w:t>№ 2 — поручик Панкратьев;</w:t>
      </w:r>
    </w:p>
    <w:p w14:paraId="736D4DC0" w14:textId="77777777" w:rsidR="00A73D84" w:rsidRPr="00405303" w:rsidRDefault="00A73D84" w:rsidP="00C15251">
      <w:pPr>
        <w:jc w:val="both"/>
        <w:rPr>
          <w:bCs/>
          <w:color w:val="002060"/>
          <w:sz w:val="16"/>
          <w:szCs w:val="16"/>
        </w:rPr>
      </w:pPr>
      <w:r w:rsidRPr="00405303">
        <w:rPr>
          <w:bCs/>
          <w:color w:val="002060"/>
          <w:sz w:val="16"/>
          <w:szCs w:val="16"/>
        </w:rPr>
        <w:t>№ 4 — поручик Шаров;</w:t>
      </w:r>
    </w:p>
    <w:p w14:paraId="434CA34E" w14:textId="77777777" w:rsidR="00A73D84" w:rsidRPr="00405303" w:rsidRDefault="00A73D84" w:rsidP="00C15251">
      <w:pPr>
        <w:jc w:val="both"/>
        <w:rPr>
          <w:bCs/>
          <w:color w:val="002060"/>
          <w:sz w:val="16"/>
          <w:szCs w:val="16"/>
        </w:rPr>
      </w:pPr>
      <w:r w:rsidRPr="00405303">
        <w:rPr>
          <w:bCs/>
          <w:color w:val="002060"/>
          <w:sz w:val="16"/>
          <w:szCs w:val="16"/>
        </w:rPr>
        <w:t>№ 5 — поручик Алехнович;</w:t>
      </w:r>
    </w:p>
    <w:p w14:paraId="6E21B82E" w14:textId="77777777" w:rsidR="00A73D84" w:rsidRPr="00405303" w:rsidRDefault="00A73D84" w:rsidP="00C15251">
      <w:pPr>
        <w:jc w:val="both"/>
        <w:rPr>
          <w:bCs/>
          <w:color w:val="002060"/>
          <w:sz w:val="16"/>
          <w:szCs w:val="16"/>
        </w:rPr>
      </w:pPr>
      <w:r w:rsidRPr="00405303">
        <w:rPr>
          <w:bCs/>
          <w:color w:val="002060"/>
          <w:sz w:val="16"/>
          <w:szCs w:val="16"/>
        </w:rPr>
        <w:t>№ 6 — штабс-капитан Головин;</w:t>
      </w:r>
    </w:p>
    <w:p w14:paraId="1EA3BC8A" w14:textId="77777777" w:rsidR="00A73D84" w:rsidRPr="00405303" w:rsidRDefault="00A73D84" w:rsidP="00C15251">
      <w:pPr>
        <w:jc w:val="both"/>
        <w:rPr>
          <w:bCs/>
          <w:color w:val="002060"/>
          <w:sz w:val="16"/>
          <w:szCs w:val="16"/>
        </w:rPr>
      </w:pPr>
      <w:r w:rsidRPr="00405303">
        <w:rPr>
          <w:bCs/>
          <w:color w:val="002060"/>
          <w:sz w:val="16"/>
          <w:szCs w:val="16"/>
        </w:rPr>
        <w:t>№ 8 — сотник Лобов;</w:t>
      </w:r>
    </w:p>
    <w:p w14:paraId="0A84CF7B" w14:textId="77777777" w:rsidR="00A73D84" w:rsidRPr="00405303" w:rsidRDefault="00A73D84" w:rsidP="00C15251">
      <w:pPr>
        <w:jc w:val="both"/>
        <w:rPr>
          <w:bCs/>
          <w:color w:val="002060"/>
          <w:sz w:val="16"/>
          <w:szCs w:val="16"/>
        </w:rPr>
      </w:pPr>
      <w:r w:rsidRPr="00405303">
        <w:rPr>
          <w:bCs/>
          <w:color w:val="002060"/>
          <w:sz w:val="16"/>
          <w:szCs w:val="16"/>
        </w:rPr>
        <w:t>№ 10 — поручик Костенчик (24177).</w:t>
      </w:r>
    </w:p>
    <w:p w14:paraId="241850E4" w14:textId="77777777" w:rsidR="00A73D84" w:rsidRPr="00405303" w:rsidRDefault="00A73D84" w:rsidP="00C15251">
      <w:pPr>
        <w:jc w:val="both"/>
        <w:rPr>
          <w:bCs/>
          <w:color w:val="002060"/>
          <w:sz w:val="16"/>
          <w:szCs w:val="16"/>
          <w:lang w:bidi="ru-RU"/>
        </w:rPr>
      </w:pPr>
    </w:p>
    <w:p w14:paraId="14CB9017" w14:textId="1CF2A00F" w:rsidR="004B4E35" w:rsidRPr="00405303" w:rsidRDefault="009E6F82" w:rsidP="00C15251">
      <w:pPr>
        <w:jc w:val="both"/>
        <w:rPr>
          <w:bCs/>
          <w:color w:val="002060"/>
          <w:sz w:val="16"/>
          <w:szCs w:val="16"/>
        </w:rPr>
      </w:pPr>
      <w:r w:rsidRPr="00405303">
        <w:rPr>
          <w:bCs/>
          <w:color w:val="002060"/>
          <w:sz w:val="16"/>
          <w:szCs w:val="16"/>
        </w:rPr>
        <w:t>20 сентября (</w:t>
      </w:r>
      <w:r w:rsidR="00421EEC" w:rsidRPr="00405303">
        <w:rPr>
          <w:bCs/>
          <w:color w:val="002060"/>
          <w:sz w:val="16"/>
          <w:szCs w:val="16"/>
        </w:rPr>
        <w:t>3</w:t>
      </w:r>
      <w:r w:rsidRPr="00405303">
        <w:rPr>
          <w:bCs/>
          <w:color w:val="002060"/>
          <w:sz w:val="16"/>
          <w:szCs w:val="16"/>
        </w:rPr>
        <w:t xml:space="preserve"> октября) 1915 г. приказом командира эскадры было официально объявлено о формировании второго боевого отряда в составе семи кораблей, командирами которых назначались: </w:t>
      </w:r>
    </w:p>
    <w:p w14:paraId="6063880A" w14:textId="77777777" w:rsidR="004B4E35" w:rsidRPr="00405303" w:rsidRDefault="009E6F82" w:rsidP="00C15251">
      <w:pPr>
        <w:jc w:val="both"/>
        <w:rPr>
          <w:bCs/>
          <w:color w:val="002060"/>
          <w:sz w:val="16"/>
          <w:szCs w:val="16"/>
        </w:rPr>
      </w:pPr>
      <w:r w:rsidRPr="00405303">
        <w:rPr>
          <w:bCs/>
          <w:color w:val="002060"/>
          <w:sz w:val="16"/>
          <w:szCs w:val="16"/>
        </w:rPr>
        <w:t xml:space="preserve">№ 1 - лейтенант Лавров, он же командир отряда; </w:t>
      </w:r>
    </w:p>
    <w:p w14:paraId="6566BE9F" w14:textId="77777777" w:rsidR="004B4E35" w:rsidRPr="00405303" w:rsidRDefault="009E6F82" w:rsidP="00C15251">
      <w:pPr>
        <w:jc w:val="both"/>
        <w:rPr>
          <w:bCs/>
          <w:color w:val="002060"/>
          <w:sz w:val="16"/>
          <w:szCs w:val="16"/>
        </w:rPr>
      </w:pPr>
      <w:r w:rsidRPr="00405303">
        <w:rPr>
          <w:bCs/>
          <w:color w:val="002060"/>
          <w:sz w:val="16"/>
          <w:szCs w:val="16"/>
        </w:rPr>
        <w:t xml:space="preserve">№ 2 - поручик Панкратьев; </w:t>
      </w:r>
    </w:p>
    <w:p w14:paraId="31ABD58B" w14:textId="77777777" w:rsidR="004B4E35" w:rsidRPr="00405303" w:rsidRDefault="009E6F82" w:rsidP="00C15251">
      <w:pPr>
        <w:jc w:val="both"/>
        <w:rPr>
          <w:bCs/>
          <w:color w:val="002060"/>
          <w:sz w:val="16"/>
          <w:szCs w:val="16"/>
        </w:rPr>
      </w:pPr>
      <w:r w:rsidRPr="00405303">
        <w:rPr>
          <w:bCs/>
          <w:color w:val="002060"/>
          <w:sz w:val="16"/>
          <w:szCs w:val="16"/>
        </w:rPr>
        <w:t xml:space="preserve">№ 4 - поручик Шаров; </w:t>
      </w:r>
    </w:p>
    <w:p w14:paraId="282C1209" w14:textId="77777777" w:rsidR="004B4E35" w:rsidRPr="00405303" w:rsidRDefault="009E6F82" w:rsidP="00C15251">
      <w:pPr>
        <w:jc w:val="both"/>
        <w:rPr>
          <w:bCs/>
          <w:color w:val="002060"/>
          <w:sz w:val="16"/>
          <w:szCs w:val="16"/>
        </w:rPr>
      </w:pPr>
      <w:r w:rsidRPr="00405303">
        <w:rPr>
          <w:bCs/>
          <w:color w:val="002060"/>
          <w:sz w:val="16"/>
          <w:szCs w:val="16"/>
        </w:rPr>
        <w:t xml:space="preserve">№ 5 - поручик Алехнович; </w:t>
      </w:r>
    </w:p>
    <w:p w14:paraId="3DBCA342" w14:textId="77777777" w:rsidR="004B4E35" w:rsidRPr="00405303" w:rsidRDefault="009E6F82" w:rsidP="00C15251">
      <w:pPr>
        <w:jc w:val="both"/>
        <w:rPr>
          <w:bCs/>
          <w:color w:val="002060"/>
          <w:sz w:val="16"/>
          <w:szCs w:val="16"/>
        </w:rPr>
      </w:pPr>
      <w:r w:rsidRPr="00405303">
        <w:rPr>
          <w:bCs/>
          <w:color w:val="002060"/>
          <w:sz w:val="16"/>
          <w:szCs w:val="16"/>
        </w:rPr>
        <w:t xml:space="preserve">№ 6 - штабс-капитан Головин; </w:t>
      </w:r>
    </w:p>
    <w:p w14:paraId="08CFF977" w14:textId="77777777" w:rsidR="004B4E35" w:rsidRPr="00405303" w:rsidRDefault="009E6F82" w:rsidP="00C15251">
      <w:pPr>
        <w:jc w:val="both"/>
        <w:rPr>
          <w:bCs/>
          <w:color w:val="002060"/>
          <w:sz w:val="16"/>
          <w:szCs w:val="16"/>
        </w:rPr>
      </w:pPr>
      <w:r w:rsidRPr="00405303">
        <w:rPr>
          <w:bCs/>
          <w:color w:val="002060"/>
          <w:sz w:val="16"/>
          <w:szCs w:val="16"/>
        </w:rPr>
        <w:t xml:space="preserve">№ 8 - сотник Лобов; </w:t>
      </w:r>
    </w:p>
    <w:p w14:paraId="2DA1FF95" w14:textId="77777777" w:rsidR="004B4E35" w:rsidRPr="00405303" w:rsidRDefault="009E6F82" w:rsidP="00C15251">
      <w:pPr>
        <w:jc w:val="both"/>
        <w:rPr>
          <w:bCs/>
          <w:color w:val="002060"/>
          <w:sz w:val="16"/>
          <w:szCs w:val="16"/>
        </w:rPr>
      </w:pPr>
      <w:r w:rsidRPr="00405303">
        <w:rPr>
          <w:bCs/>
          <w:color w:val="002060"/>
          <w:sz w:val="16"/>
          <w:szCs w:val="16"/>
        </w:rPr>
        <w:t>№ 10 - поручик Костенчик (11230).</w:t>
      </w:r>
    </w:p>
    <w:p w14:paraId="3AD6B731" w14:textId="77777777" w:rsidR="004B4E35" w:rsidRPr="00405303" w:rsidRDefault="009E6F82" w:rsidP="00C15251">
      <w:pPr>
        <w:jc w:val="both"/>
        <w:rPr>
          <w:bCs/>
          <w:color w:val="002060"/>
          <w:sz w:val="16"/>
          <w:szCs w:val="16"/>
        </w:rPr>
      </w:pPr>
      <w:r w:rsidRPr="00405303">
        <w:rPr>
          <w:bCs/>
          <w:color w:val="002060"/>
          <w:sz w:val="16"/>
          <w:szCs w:val="16"/>
        </w:rPr>
        <w:t>При эскадре была образована летная школа, которая готовила экипажи "Муромцев". Вначале в ней только переучивались имеющие звание "военный летчик", но Шидловский взял на себя смелость выпускать командиров кораблей с присвоением таких званий. По этому поводу у Михаила Владимировича было много неприятностей от начальства, но генерал все-таки своего добился. Штабс-капитану Нижевскому первому в школе была присвоена квалификация "военный летчик". К тому времени он уже имел шесть боевых вылетов (11230).</w:t>
      </w:r>
    </w:p>
    <w:p w14:paraId="5A3EB841" w14:textId="77777777" w:rsidR="004B4E35" w:rsidRPr="00405303" w:rsidRDefault="004B4E35" w:rsidP="00C15251">
      <w:pPr>
        <w:jc w:val="both"/>
        <w:rPr>
          <w:bCs/>
          <w:color w:val="002060"/>
          <w:sz w:val="16"/>
          <w:szCs w:val="16"/>
        </w:rPr>
      </w:pPr>
    </w:p>
    <w:p w14:paraId="418CBB55"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4EFB7C34" w14:textId="77777777" w:rsidR="004B4E35" w:rsidRPr="00405303" w:rsidRDefault="004B4E35" w:rsidP="00C15251">
      <w:pPr>
        <w:jc w:val="both"/>
        <w:rPr>
          <w:bCs/>
          <w:i/>
          <w:color w:val="002060"/>
          <w:sz w:val="16"/>
          <w:szCs w:val="16"/>
        </w:rPr>
      </w:pPr>
    </w:p>
    <w:p w14:paraId="20D8A5F1" w14:textId="115166D0" w:rsidR="004B4E35" w:rsidRPr="00405303" w:rsidRDefault="009E6F82" w:rsidP="00C15251">
      <w:pPr>
        <w:jc w:val="both"/>
        <w:rPr>
          <w:bCs/>
          <w:color w:val="002060"/>
          <w:sz w:val="16"/>
          <w:szCs w:val="16"/>
        </w:rPr>
      </w:pPr>
      <w:r w:rsidRPr="00405303">
        <w:rPr>
          <w:bCs/>
          <w:color w:val="002060"/>
          <w:sz w:val="16"/>
          <w:szCs w:val="16"/>
        </w:rPr>
        <w:t>21 сентября (</w:t>
      </w:r>
      <w:r w:rsidR="00421EEC" w:rsidRPr="00405303">
        <w:rPr>
          <w:bCs/>
          <w:color w:val="002060"/>
          <w:sz w:val="16"/>
          <w:szCs w:val="16"/>
        </w:rPr>
        <w:t>4</w:t>
      </w:r>
      <w:r w:rsidRPr="00405303">
        <w:rPr>
          <w:bCs/>
          <w:color w:val="002060"/>
          <w:sz w:val="16"/>
          <w:szCs w:val="16"/>
        </w:rPr>
        <w:t xml:space="preserve"> октября) 1915 г. Технический комитет ГВТУ под председательством военного инженера генерал-лейтенанта Н. Л. Кирпичева рассмотрел предложенные Н. Е. Жуковским зажигательные бомбы. Комитет отметил, что снаряд, разработанный Стечкиным и Синягиным, "является опасным в обращении, так как его </w:t>
      </w:r>
      <w:r w:rsidRPr="00405303">
        <w:rPr>
          <w:bCs/>
          <w:color w:val="002060"/>
          <w:sz w:val="16"/>
          <w:szCs w:val="16"/>
        </w:rPr>
        <w:lastRenderedPageBreak/>
        <w:t xml:space="preserve">воспламенитель при попадании в него пули может загореться на аэроплане". Что касается авиабомбы Микулина, то было принято следующее решение: "зажигательный снаряд студента Микулина своему назначению удовлетворяет и может быть допущен на снабжение авиационных частей. </w:t>
      </w:r>
    </w:p>
    <w:p w14:paraId="3262DA3B" w14:textId="77777777" w:rsidR="004B4E35" w:rsidRPr="00405303" w:rsidRDefault="009E6F82" w:rsidP="00C15251">
      <w:pPr>
        <w:jc w:val="both"/>
        <w:rPr>
          <w:bCs/>
          <w:color w:val="002060"/>
          <w:sz w:val="16"/>
          <w:szCs w:val="16"/>
        </w:rPr>
      </w:pPr>
      <w:r w:rsidRPr="00405303">
        <w:rPr>
          <w:bCs/>
          <w:color w:val="002060"/>
          <w:sz w:val="16"/>
          <w:szCs w:val="16"/>
        </w:rPr>
        <w:t>Таким образом, в результате работы коллектива МВТУ под руководством Н. Е. Жуковского в короткие сроки создана зажигательная авиабомба большой мощности. Однако вопрос о зажигательные калибра не был решен, в них на фронте ощущалась нужда (11237).</w:t>
      </w:r>
    </w:p>
    <w:p w14:paraId="155ACE72" w14:textId="77777777" w:rsidR="004B4E35" w:rsidRPr="00405303" w:rsidRDefault="004B4E35" w:rsidP="00C15251">
      <w:pPr>
        <w:jc w:val="both"/>
        <w:rPr>
          <w:bCs/>
          <w:color w:val="002060"/>
          <w:sz w:val="16"/>
          <w:szCs w:val="16"/>
        </w:rPr>
      </w:pPr>
    </w:p>
    <w:p w14:paraId="57AEAA0E" w14:textId="189FE8A3" w:rsidR="00E90C57" w:rsidRPr="00405303" w:rsidRDefault="00E90C57" w:rsidP="00C15251">
      <w:pPr>
        <w:jc w:val="both"/>
        <w:rPr>
          <w:bCs/>
          <w:color w:val="002060"/>
          <w:sz w:val="16"/>
          <w:szCs w:val="16"/>
        </w:rPr>
      </w:pPr>
      <w:r w:rsidRPr="00405303">
        <w:rPr>
          <w:bCs/>
          <w:color w:val="002060"/>
          <w:sz w:val="16"/>
          <w:szCs w:val="16"/>
        </w:rPr>
        <w:t xml:space="preserve">21 </w:t>
      </w:r>
      <w:r w:rsidR="00421EEC" w:rsidRPr="00405303">
        <w:rPr>
          <w:bCs/>
          <w:color w:val="002060"/>
          <w:sz w:val="16"/>
          <w:szCs w:val="16"/>
        </w:rPr>
        <w:t xml:space="preserve">(4 октября) </w:t>
      </w:r>
      <w:r w:rsidRPr="00405303">
        <w:rPr>
          <w:bCs/>
          <w:color w:val="002060"/>
          <w:sz w:val="16"/>
          <w:szCs w:val="16"/>
        </w:rPr>
        <w:t>сентября 1915 г. Технический комитет ГВТУ под председательством военного инженера генерал-лейтенанта Н. Л. Кирпичева рассмотрел предложенные Н. Е. Жуковским зажигательные бомбы. Комитет отметил, что снаряд, разработанный Стечкиным и Синягиным, "является опасным в обращении, так как его воспламенитель при попадании в него пули может загореться на аэроплане". Что касается авиабомбы Микулина, то было принято следующее решение: "зажигательный снаряд студента Микулина своему назначению удовлетворяет и может быть</w:t>
      </w:r>
      <w:r w:rsidR="000F5756">
        <w:rPr>
          <w:bCs/>
          <w:color w:val="002060"/>
          <w:sz w:val="16"/>
          <w:szCs w:val="16"/>
        </w:rPr>
        <w:t xml:space="preserve"> </w:t>
      </w:r>
      <w:r w:rsidRPr="00405303">
        <w:rPr>
          <w:bCs/>
          <w:color w:val="002060"/>
          <w:sz w:val="16"/>
          <w:szCs w:val="16"/>
        </w:rPr>
        <w:t>допущен на снабжение авиационных частей (18738).</w:t>
      </w:r>
    </w:p>
    <w:p w14:paraId="62BEAF3B" w14:textId="77777777" w:rsidR="00E90C57" w:rsidRPr="00405303" w:rsidRDefault="00E90C57" w:rsidP="00C15251">
      <w:pPr>
        <w:jc w:val="both"/>
        <w:rPr>
          <w:bCs/>
          <w:color w:val="002060"/>
          <w:sz w:val="16"/>
          <w:szCs w:val="16"/>
        </w:rPr>
      </w:pPr>
    </w:p>
    <w:p w14:paraId="48554399" w14:textId="5B593EA2" w:rsidR="004B4E35" w:rsidRPr="00405303" w:rsidRDefault="009E6F82" w:rsidP="00C15251">
      <w:pPr>
        <w:jc w:val="both"/>
        <w:rPr>
          <w:bCs/>
          <w:color w:val="002060"/>
          <w:sz w:val="16"/>
          <w:szCs w:val="16"/>
        </w:rPr>
      </w:pPr>
      <w:r w:rsidRPr="00405303">
        <w:rPr>
          <w:bCs/>
          <w:color w:val="002060"/>
          <w:sz w:val="16"/>
          <w:szCs w:val="16"/>
        </w:rPr>
        <w:t>21 сентября (</w:t>
      </w:r>
      <w:r w:rsidR="00421EEC" w:rsidRPr="00405303">
        <w:rPr>
          <w:bCs/>
          <w:color w:val="002060"/>
          <w:sz w:val="16"/>
          <w:szCs w:val="16"/>
        </w:rPr>
        <w:t>4</w:t>
      </w:r>
      <w:r w:rsidRPr="00405303">
        <w:rPr>
          <w:bCs/>
          <w:color w:val="002060"/>
          <w:sz w:val="16"/>
          <w:szCs w:val="16"/>
        </w:rPr>
        <w:t xml:space="preserve"> октября) </w:t>
      </w:r>
      <w:r w:rsidR="00D900A4" w:rsidRPr="00405303">
        <w:rPr>
          <w:bCs/>
          <w:color w:val="002060"/>
          <w:sz w:val="16"/>
          <w:szCs w:val="16"/>
        </w:rPr>
        <w:t>1915 г.</w:t>
      </w:r>
      <w:r w:rsidRPr="00405303">
        <w:rPr>
          <w:bCs/>
          <w:color w:val="002060"/>
          <w:sz w:val="16"/>
          <w:szCs w:val="16"/>
        </w:rPr>
        <w:t xml:space="preserve"> Технический комитет ГВТУ под председательством военного инженера генерал-лейтенанта Н. Л. Кирпичева рассмотрел предложенные Жуковским зажигательные бомбы и отметил, что снаряд, разработанный Стечки- ным и Синягиным, "является опасным в обращении, так как его воспламенитель при попадании в него пули может загореться на аэроплане... зажигательный снаряд студента Микулина своему назначению удовлетворяет и может быть допущен на снабжение авиационных частей". (Зажигательный снаряд Стечкина и Синягина состоял из бычьего пузыря, наполненного паклей, бензином и нефтяными остатками.)</w:t>
      </w:r>
    </w:p>
    <w:p w14:paraId="0A0F2445" w14:textId="77777777" w:rsidR="004B4E35" w:rsidRPr="00405303" w:rsidRDefault="009E6F82" w:rsidP="00C15251">
      <w:pPr>
        <w:jc w:val="both"/>
        <w:rPr>
          <w:bCs/>
          <w:color w:val="002060"/>
          <w:sz w:val="16"/>
          <w:szCs w:val="16"/>
        </w:rPr>
      </w:pPr>
      <w:r w:rsidRPr="00405303">
        <w:rPr>
          <w:bCs/>
          <w:color w:val="002060"/>
          <w:sz w:val="16"/>
          <w:szCs w:val="16"/>
        </w:rPr>
        <w:t>Таким образом, зажигательная авиабомба большой мощности была принята на вооружение русских ВВС, однако вопрос зажигательных бомб малого калибра не был решен (11999).</w:t>
      </w:r>
    </w:p>
    <w:p w14:paraId="01EF1CD3" w14:textId="77777777" w:rsidR="004B4E35" w:rsidRPr="00405303" w:rsidRDefault="004B4E35" w:rsidP="00C15251">
      <w:pPr>
        <w:jc w:val="both"/>
        <w:rPr>
          <w:bCs/>
          <w:color w:val="002060"/>
          <w:sz w:val="16"/>
          <w:szCs w:val="16"/>
        </w:rPr>
      </w:pPr>
    </w:p>
    <w:p w14:paraId="3CC2F1A7" w14:textId="77777777" w:rsidR="00D900A4" w:rsidRPr="00405303" w:rsidRDefault="00D900A4" w:rsidP="00C15251">
      <w:pPr>
        <w:jc w:val="both"/>
        <w:rPr>
          <w:bCs/>
          <w:i/>
          <w:color w:val="002060"/>
          <w:sz w:val="16"/>
          <w:szCs w:val="16"/>
        </w:rPr>
      </w:pPr>
      <w:bookmarkStart w:id="250" w:name="_Hlk117779658"/>
      <w:r w:rsidRPr="00405303">
        <w:rPr>
          <w:bCs/>
          <w:i/>
          <w:color w:val="002060"/>
          <w:sz w:val="16"/>
          <w:szCs w:val="16"/>
        </w:rPr>
        <w:t>За рубежом:</w:t>
      </w:r>
    </w:p>
    <w:p w14:paraId="1DBD6B7D" w14:textId="77777777" w:rsidR="00D900A4" w:rsidRPr="00405303" w:rsidRDefault="00D900A4" w:rsidP="00C15251">
      <w:pPr>
        <w:jc w:val="both"/>
        <w:rPr>
          <w:bCs/>
          <w:color w:val="002060"/>
          <w:sz w:val="16"/>
          <w:szCs w:val="16"/>
        </w:rPr>
      </w:pPr>
    </w:p>
    <w:p w14:paraId="06D14965" w14:textId="77777777" w:rsidR="00D900A4" w:rsidRPr="00405303" w:rsidRDefault="00D900A4" w:rsidP="00C15251">
      <w:pPr>
        <w:jc w:val="both"/>
        <w:rPr>
          <w:bCs/>
          <w:color w:val="002060"/>
          <w:sz w:val="16"/>
          <w:szCs w:val="16"/>
        </w:rPr>
      </w:pPr>
      <w:r w:rsidRPr="00405303">
        <w:rPr>
          <w:rStyle w:val="ucoz-forum-post"/>
          <w:rFonts w:eastAsiaTheme="majorEastAsia"/>
          <w:bCs/>
          <w:color w:val="002060"/>
          <w:sz w:val="16"/>
          <w:szCs w:val="16"/>
        </w:rPr>
        <w:t xml:space="preserve">22 сентября (5 октября) </w:t>
      </w:r>
      <w:r w:rsidRPr="00405303">
        <w:rPr>
          <w:bCs/>
          <w:color w:val="002060"/>
          <w:sz w:val="16"/>
          <w:szCs w:val="16"/>
        </w:rPr>
        <w:t>в 1915 году в Англии объявляется о том, что ответственным за мобилизацию назначен лорд Дерби (продолжится до 12 декабря) (14790).</w:t>
      </w:r>
    </w:p>
    <w:p w14:paraId="25F956E6" w14:textId="77777777" w:rsidR="00D900A4" w:rsidRPr="00405303" w:rsidRDefault="00D900A4" w:rsidP="00C15251">
      <w:pPr>
        <w:jc w:val="both"/>
        <w:rPr>
          <w:bCs/>
          <w:color w:val="002060"/>
          <w:sz w:val="16"/>
          <w:szCs w:val="16"/>
        </w:rPr>
      </w:pPr>
    </w:p>
    <w:p w14:paraId="698779AA" w14:textId="77777777" w:rsidR="00D900A4" w:rsidRPr="00405303" w:rsidRDefault="00D900A4" w:rsidP="00C15251">
      <w:pPr>
        <w:jc w:val="both"/>
        <w:rPr>
          <w:bCs/>
          <w:color w:val="002060"/>
          <w:sz w:val="16"/>
          <w:szCs w:val="16"/>
        </w:rPr>
      </w:pPr>
      <w:r w:rsidRPr="00405303">
        <w:rPr>
          <w:bCs/>
          <w:color w:val="002060"/>
          <w:sz w:val="16"/>
          <w:szCs w:val="16"/>
        </w:rPr>
        <w:t>22 сентября (5 октября) в 1915 году посол Австрии покидает Нью-Йорк по требованию США (14790).</w:t>
      </w:r>
    </w:p>
    <w:p w14:paraId="0D534CDF" w14:textId="77777777" w:rsidR="00D900A4" w:rsidRPr="00405303" w:rsidRDefault="00D900A4" w:rsidP="00C15251">
      <w:pPr>
        <w:jc w:val="both"/>
        <w:rPr>
          <w:bCs/>
          <w:color w:val="002060"/>
          <w:sz w:val="16"/>
          <w:szCs w:val="16"/>
        </w:rPr>
      </w:pPr>
    </w:p>
    <w:p w14:paraId="4FB8BFE2" w14:textId="77777777" w:rsidR="00D900A4" w:rsidRPr="00405303" w:rsidRDefault="00D900A4" w:rsidP="00C15251">
      <w:pPr>
        <w:jc w:val="both"/>
        <w:rPr>
          <w:bCs/>
          <w:color w:val="002060"/>
          <w:sz w:val="16"/>
          <w:szCs w:val="16"/>
        </w:rPr>
      </w:pPr>
      <w:r w:rsidRPr="00405303">
        <w:rPr>
          <w:bCs/>
          <w:color w:val="002060"/>
          <w:sz w:val="16"/>
          <w:szCs w:val="16"/>
        </w:rPr>
        <w:t>22 сентября (5 октября) в 1915 году одна Британская и одна Французская дивизия высадились в Салониках, Греция (14790).</w:t>
      </w:r>
    </w:p>
    <w:p w14:paraId="7DA615C4" w14:textId="77777777" w:rsidR="00D900A4" w:rsidRPr="00405303" w:rsidRDefault="00D900A4" w:rsidP="00C15251">
      <w:pPr>
        <w:jc w:val="both"/>
        <w:rPr>
          <w:bCs/>
          <w:color w:val="002060"/>
          <w:sz w:val="16"/>
          <w:szCs w:val="16"/>
        </w:rPr>
      </w:pPr>
    </w:p>
    <w:p w14:paraId="679E0A25" w14:textId="77777777" w:rsidR="00D900A4" w:rsidRPr="00405303" w:rsidRDefault="00D900A4" w:rsidP="00C15251">
      <w:pPr>
        <w:jc w:val="both"/>
        <w:rPr>
          <w:bCs/>
          <w:color w:val="002060"/>
          <w:sz w:val="16"/>
          <w:szCs w:val="16"/>
        </w:rPr>
      </w:pPr>
      <w:r w:rsidRPr="00405303">
        <w:rPr>
          <w:bCs/>
          <w:color w:val="002060"/>
          <w:sz w:val="16"/>
          <w:szCs w:val="16"/>
        </w:rPr>
        <w:t>22 сентября (5 октября) в 1915 году для оказания помощи Сербии союзные войска высадились в Салониках (14790).</w:t>
      </w:r>
    </w:p>
    <w:p w14:paraId="34F816B7" w14:textId="77777777" w:rsidR="00D900A4" w:rsidRPr="00405303" w:rsidRDefault="00D900A4" w:rsidP="00C15251">
      <w:pPr>
        <w:jc w:val="both"/>
        <w:rPr>
          <w:bCs/>
          <w:color w:val="002060"/>
          <w:sz w:val="16"/>
          <w:szCs w:val="16"/>
        </w:rPr>
      </w:pPr>
    </w:p>
    <w:p w14:paraId="2C8C4C30" w14:textId="77777777" w:rsidR="00D900A4" w:rsidRPr="00405303" w:rsidRDefault="00D900A4" w:rsidP="00C15251">
      <w:pPr>
        <w:jc w:val="both"/>
        <w:rPr>
          <w:bCs/>
          <w:color w:val="002060"/>
          <w:sz w:val="16"/>
          <w:szCs w:val="16"/>
        </w:rPr>
      </w:pPr>
      <w:r w:rsidRPr="00405303">
        <w:rPr>
          <w:rStyle w:val="ucoz-forum-post"/>
          <w:rFonts w:eastAsiaTheme="majorEastAsia"/>
          <w:bCs/>
          <w:color w:val="002060"/>
          <w:sz w:val="16"/>
          <w:szCs w:val="16"/>
        </w:rPr>
        <w:t xml:space="preserve">22 сентября (5 октября) </w:t>
      </w:r>
      <w:r w:rsidRPr="00405303">
        <w:rPr>
          <w:bCs/>
          <w:color w:val="002060"/>
          <w:sz w:val="16"/>
          <w:szCs w:val="16"/>
        </w:rPr>
        <w:t>в 1915 году Болгария вступила в войну на стороне Германии, Австро-Венгрии и Турции (14790).</w:t>
      </w:r>
    </w:p>
    <w:p w14:paraId="1D53A1E2" w14:textId="77777777" w:rsidR="00D900A4" w:rsidRPr="00405303" w:rsidRDefault="00D900A4" w:rsidP="00C15251">
      <w:pPr>
        <w:jc w:val="both"/>
        <w:rPr>
          <w:bCs/>
          <w:color w:val="002060"/>
          <w:sz w:val="16"/>
          <w:szCs w:val="16"/>
        </w:rPr>
      </w:pPr>
    </w:p>
    <w:p w14:paraId="4D316F24"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7C81A386" w14:textId="77777777" w:rsidR="004B4E35" w:rsidRPr="00405303" w:rsidRDefault="004B4E35" w:rsidP="00C15251">
      <w:pPr>
        <w:jc w:val="both"/>
        <w:rPr>
          <w:bCs/>
          <w:i/>
          <w:color w:val="002060"/>
          <w:sz w:val="16"/>
          <w:szCs w:val="16"/>
        </w:rPr>
      </w:pPr>
    </w:p>
    <w:p w14:paraId="2144F8A4" w14:textId="77777777" w:rsidR="00405303" w:rsidRPr="00405303" w:rsidRDefault="00405303" w:rsidP="00405303">
      <w:pPr>
        <w:jc w:val="both"/>
        <w:rPr>
          <w:color w:val="0070C0"/>
          <w:sz w:val="16"/>
          <w:szCs w:val="16"/>
        </w:rPr>
      </w:pPr>
      <w:r w:rsidRPr="00405303">
        <w:rPr>
          <w:color w:val="0070C0"/>
          <w:sz w:val="16"/>
          <w:szCs w:val="16"/>
        </w:rPr>
        <w:t>23 сентября (6 октября) 1915 г. Телеграмма-донесение Начальника Эскадры воздушных кораблей генерала Шидловского в Ставку Верховного главнокомандующего:</w:t>
      </w:r>
    </w:p>
    <w:p w14:paraId="6E037AB3" w14:textId="77777777" w:rsidR="00405303" w:rsidRPr="00405303" w:rsidRDefault="00405303" w:rsidP="00405303">
      <w:pPr>
        <w:jc w:val="both"/>
        <w:rPr>
          <w:color w:val="0070C0"/>
          <w:sz w:val="16"/>
          <w:szCs w:val="16"/>
        </w:rPr>
      </w:pPr>
      <w:r w:rsidRPr="00405303">
        <w:rPr>
          <w:color w:val="0070C0"/>
          <w:sz w:val="16"/>
          <w:szCs w:val="16"/>
        </w:rPr>
        <w:t>«Доношу, что вчера Эскадра в составе трех Воздушных Кораблей - Второго, Пятого и Девятого под командой подполковника Горшкова согласно заданию штаба Северного фронта совершила набег на станцию Фридрихсгоф. Произвела бомбометание по железнодорожным путям, складам, сооружениям и подвижным составам станции. Всего сброшено 39 бомб весом 42 пуда. Одна бомба была весом 15 пудов. Попадания очень удачны. Произведены разрушения и пожары» (24965).</w:t>
      </w:r>
    </w:p>
    <w:p w14:paraId="16871E0A" w14:textId="77777777" w:rsidR="00405303" w:rsidRPr="00405303" w:rsidRDefault="00405303" w:rsidP="00405303">
      <w:pPr>
        <w:jc w:val="both"/>
        <w:rPr>
          <w:color w:val="0070C0"/>
          <w:sz w:val="16"/>
          <w:szCs w:val="16"/>
        </w:rPr>
      </w:pPr>
    </w:p>
    <w:p w14:paraId="146B4EA8" w14:textId="0C8E5488" w:rsidR="004B4E35" w:rsidRPr="00405303" w:rsidRDefault="009E6F82" w:rsidP="00C15251">
      <w:pPr>
        <w:jc w:val="both"/>
        <w:rPr>
          <w:bCs/>
          <w:color w:val="002060"/>
          <w:sz w:val="16"/>
          <w:szCs w:val="16"/>
        </w:rPr>
      </w:pPr>
      <w:r w:rsidRPr="00405303">
        <w:rPr>
          <w:bCs/>
          <w:color w:val="002060"/>
          <w:sz w:val="16"/>
          <w:szCs w:val="16"/>
        </w:rPr>
        <w:t>23 сентября (</w:t>
      </w:r>
      <w:r w:rsidR="00D900A4" w:rsidRPr="00405303">
        <w:rPr>
          <w:bCs/>
          <w:color w:val="002060"/>
          <w:sz w:val="16"/>
          <w:szCs w:val="16"/>
        </w:rPr>
        <w:t xml:space="preserve">6 октября) </w:t>
      </w:r>
      <w:r w:rsidRPr="00405303">
        <w:rPr>
          <w:bCs/>
          <w:color w:val="002060"/>
          <w:sz w:val="16"/>
          <w:szCs w:val="16"/>
        </w:rPr>
        <w:t>1915 г. выехал на автомобиле в Псков, где находилась недавно сформированная 7-я авиационная рота. Мне надо было навести справки относительно возможности получения запасных частей и моторов. 7-й авиационной ротой командовал бывший начальник XVIII корпусного авиационного отряда военный летчик штабс-капитан Бойно-Радзевич — мой старый знакомый по кадетскому корпусу и по Севастопольской авиационной школе. Он помог мне без особой волокиты получить все, в чем испытывал нужду мой отряд. Испробовал я в Пскове и один «Парасоль», летая над прекрасным ротным аэродромом за рекой Великой... Ткачев В.М. в своей книге "Крылья Росии. Воспоминания о прошлом русской военной авиации 1910-1917 г.г." (11701).</w:t>
      </w:r>
    </w:p>
    <w:p w14:paraId="73B549FC" w14:textId="77777777" w:rsidR="004B4E35" w:rsidRPr="00405303" w:rsidRDefault="009E6F82" w:rsidP="00C15251">
      <w:pPr>
        <w:jc w:val="both"/>
        <w:rPr>
          <w:bCs/>
          <w:color w:val="002060"/>
          <w:sz w:val="16"/>
          <w:szCs w:val="16"/>
        </w:rPr>
      </w:pPr>
      <w:r w:rsidRPr="00405303">
        <w:rPr>
          <w:bCs/>
          <w:color w:val="002060"/>
          <w:sz w:val="16"/>
          <w:szCs w:val="16"/>
        </w:rPr>
        <w:t>...В связи с изменением всего фронта русских армий откатились в глубокий тыл и авиационные роты (2-я, 3-я, 4-я, 5-я, 6-я). В целях упорядочения снабжения авиационных отрядов горючим, аэропланами и моторами, а также ремонта летного материала все эти роты были закреплены за соответствующими фронтами: за Юго-Западным — 3-я и 4-я роты, с размещением в Киеве и в Виннице (позже, в 1916 году 6-я рота перешла в Одессу и приняла на себя снабжение отрядов VI и IX авиационных дивизионов на вновь образовавшемся румынском фронте); за Западным фронтом — 2-я, 4-я, 5-я роты со стоянками в Брянске, Витебске и Смоленске, а для Северо-Западного фронта в конце 1915 года была сформирована 7-я авиационная рота в Пскове...(11701).</w:t>
      </w:r>
    </w:p>
    <w:p w14:paraId="0CE44947" w14:textId="77777777" w:rsidR="004B4E35" w:rsidRPr="00405303" w:rsidRDefault="004B4E35" w:rsidP="00C15251">
      <w:pPr>
        <w:jc w:val="both"/>
        <w:rPr>
          <w:bCs/>
          <w:color w:val="002060"/>
          <w:sz w:val="16"/>
          <w:szCs w:val="16"/>
        </w:rPr>
      </w:pPr>
    </w:p>
    <w:bookmarkEnd w:id="250"/>
    <w:p w14:paraId="2CDBDEAB" w14:textId="44BF754F" w:rsidR="004B4E35" w:rsidRPr="00405303" w:rsidRDefault="009E6F82" w:rsidP="00C15251">
      <w:pPr>
        <w:jc w:val="both"/>
        <w:rPr>
          <w:bCs/>
          <w:color w:val="002060"/>
          <w:sz w:val="16"/>
          <w:szCs w:val="16"/>
        </w:rPr>
      </w:pPr>
      <w:r w:rsidRPr="00405303">
        <w:rPr>
          <w:bCs/>
          <w:color w:val="002060"/>
          <w:sz w:val="16"/>
          <w:szCs w:val="16"/>
        </w:rPr>
        <w:t>23 сентября (</w:t>
      </w:r>
      <w:r w:rsidR="00D900A4" w:rsidRPr="00405303">
        <w:rPr>
          <w:bCs/>
          <w:color w:val="002060"/>
          <w:sz w:val="16"/>
          <w:szCs w:val="16"/>
        </w:rPr>
        <w:t>6</w:t>
      </w:r>
      <w:r w:rsidRPr="00405303">
        <w:rPr>
          <w:bCs/>
          <w:color w:val="002060"/>
          <w:sz w:val="16"/>
          <w:szCs w:val="16"/>
        </w:rPr>
        <w:t xml:space="preserve"> октября) </w:t>
      </w:r>
      <w:r w:rsidR="00D900A4" w:rsidRPr="00405303">
        <w:rPr>
          <w:bCs/>
          <w:color w:val="002060"/>
          <w:sz w:val="16"/>
          <w:szCs w:val="16"/>
        </w:rPr>
        <w:t>1915 г. н</w:t>
      </w:r>
      <w:r w:rsidRPr="00405303">
        <w:rPr>
          <w:bCs/>
          <w:color w:val="002060"/>
          <w:sz w:val="16"/>
          <w:szCs w:val="16"/>
        </w:rPr>
        <w:t>емецкий цеппелин разрушил станцию и три дома в Брест-Литовске. В городе начался пожар и распространилась паника (11999).</w:t>
      </w:r>
    </w:p>
    <w:p w14:paraId="09FA109A" w14:textId="77777777" w:rsidR="004B4E35" w:rsidRPr="00405303" w:rsidRDefault="004B4E35" w:rsidP="00C15251">
      <w:pPr>
        <w:jc w:val="both"/>
        <w:rPr>
          <w:bCs/>
          <w:color w:val="002060"/>
          <w:sz w:val="16"/>
          <w:szCs w:val="16"/>
        </w:rPr>
      </w:pPr>
    </w:p>
    <w:p w14:paraId="0208F326" w14:textId="22B14A42" w:rsidR="006C0A51" w:rsidRPr="00405303" w:rsidRDefault="006C0A51" w:rsidP="00C15251">
      <w:pPr>
        <w:jc w:val="both"/>
        <w:rPr>
          <w:bCs/>
          <w:i/>
          <w:color w:val="002060"/>
          <w:sz w:val="16"/>
          <w:szCs w:val="16"/>
        </w:rPr>
      </w:pPr>
      <w:r w:rsidRPr="00405303">
        <w:rPr>
          <w:bCs/>
          <w:i/>
          <w:color w:val="002060"/>
          <w:sz w:val="16"/>
          <w:szCs w:val="16"/>
        </w:rPr>
        <w:t>Воздухоплавание:</w:t>
      </w:r>
    </w:p>
    <w:p w14:paraId="2C64AB28" w14:textId="77777777" w:rsidR="006C0A51" w:rsidRPr="00405303" w:rsidRDefault="006C0A51" w:rsidP="00C15251">
      <w:pPr>
        <w:jc w:val="both"/>
        <w:rPr>
          <w:bCs/>
          <w:i/>
          <w:color w:val="002060"/>
          <w:sz w:val="16"/>
          <w:szCs w:val="16"/>
        </w:rPr>
      </w:pPr>
    </w:p>
    <w:p w14:paraId="784FA130" w14:textId="77777777" w:rsidR="006C0A51" w:rsidRPr="00405303" w:rsidRDefault="006C0A51" w:rsidP="00C15251">
      <w:pPr>
        <w:jc w:val="both"/>
        <w:rPr>
          <w:bCs/>
          <w:color w:val="002060"/>
          <w:sz w:val="16"/>
          <w:szCs w:val="16"/>
        </w:rPr>
      </w:pPr>
      <w:r w:rsidRPr="00405303">
        <w:rPr>
          <w:rStyle w:val="42"/>
          <w:rFonts w:ascii="Times New Roman" w:hAnsi="Times New Roman" w:cs="Times New Roman"/>
          <w:bCs/>
          <w:color w:val="002060"/>
          <w:w w:val="100"/>
          <w:sz w:val="16"/>
          <w:szCs w:val="16"/>
        </w:rPr>
        <w:t>23 сентября (6 октября) 1915 г. вице-адмирал А.И. Русин отправил запрос морскому агенту в Великобри</w:t>
      </w:r>
      <w:r w:rsidRPr="00405303">
        <w:rPr>
          <w:rStyle w:val="42"/>
          <w:rFonts w:ascii="Times New Roman" w:hAnsi="Times New Roman" w:cs="Times New Roman"/>
          <w:bCs/>
          <w:color w:val="002060"/>
          <w:w w:val="100"/>
          <w:sz w:val="16"/>
          <w:szCs w:val="16"/>
        </w:rPr>
        <w:softHyphen/>
        <w:t>тании капитану 1 ранга Н.А. Волкову: «К Дарда</w:t>
      </w:r>
      <w:r w:rsidRPr="00405303">
        <w:rPr>
          <w:rStyle w:val="42"/>
          <w:rFonts w:ascii="Times New Roman" w:hAnsi="Times New Roman" w:cs="Times New Roman"/>
          <w:bCs/>
          <w:color w:val="002060"/>
          <w:w w:val="100"/>
          <w:sz w:val="16"/>
          <w:szCs w:val="16"/>
        </w:rPr>
        <w:softHyphen/>
        <w:t>неллам союзниками посланы малые дирижабли для поисков подлодок. Спросите в Адмиралтей</w:t>
      </w:r>
      <w:r w:rsidRPr="00405303">
        <w:rPr>
          <w:rStyle w:val="42"/>
          <w:rFonts w:ascii="Times New Roman" w:hAnsi="Times New Roman" w:cs="Times New Roman"/>
          <w:bCs/>
          <w:color w:val="002060"/>
          <w:w w:val="100"/>
          <w:sz w:val="16"/>
          <w:szCs w:val="16"/>
        </w:rPr>
        <w:softHyphen/>
        <w:t>стве, оказались ли они полезными». Уже 29 сен</w:t>
      </w:r>
      <w:r w:rsidRPr="00405303">
        <w:rPr>
          <w:rStyle w:val="42"/>
          <w:rFonts w:ascii="Times New Roman" w:hAnsi="Times New Roman" w:cs="Times New Roman"/>
          <w:bCs/>
          <w:color w:val="002060"/>
          <w:w w:val="100"/>
          <w:sz w:val="16"/>
          <w:szCs w:val="16"/>
        </w:rPr>
        <w:softHyphen/>
        <w:t>тября от него получили положительный ответ: «Дирижабли оказались очень полезны. Адмирал</w:t>
      </w:r>
      <w:r w:rsidRPr="00405303">
        <w:rPr>
          <w:rStyle w:val="42"/>
          <w:rFonts w:ascii="Times New Roman" w:hAnsi="Times New Roman" w:cs="Times New Roman"/>
          <w:bCs/>
          <w:color w:val="002060"/>
          <w:w w:val="100"/>
          <w:sz w:val="16"/>
          <w:szCs w:val="16"/>
        </w:rPr>
        <w:softHyphen/>
        <w:t>тейство заказало Виккерсу увеличенные с двумя моторами и вышлет в Дарданеллы. Есть воз</w:t>
      </w:r>
      <w:r w:rsidRPr="00405303">
        <w:rPr>
          <w:rStyle w:val="42"/>
          <w:rFonts w:ascii="Times New Roman" w:hAnsi="Times New Roman" w:cs="Times New Roman"/>
          <w:bCs/>
          <w:color w:val="002060"/>
          <w:w w:val="100"/>
          <w:sz w:val="16"/>
          <w:szCs w:val="16"/>
        </w:rPr>
        <w:softHyphen/>
        <w:t>можность заказать и для нас». 15 октября из Се</w:t>
      </w:r>
      <w:r w:rsidRPr="00405303">
        <w:rPr>
          <w:rStyle w:val="42"/>
          <w:rFonts w:ascii="Times New Roman" w:hAnsi="Times New Roman" w:cs="Times New Roman"/>
          <w:bCs/>
          <w:color w:val="002060"/>
          <w:w w:val="100"/>
          <w:sz w:val="16"/>
          <w:szCs w:val="16"/>
        </w:rPr>
        <w:softHyphen/>
        <w:t>вастополя последовал запрос в МГШ: «Прошу сообщить подробные данные о дирижаблях, за</w:t>
      </w:r>
      <w:r w:rsidRPr="00405303">
        <w:rPr>
          <w:rStyle w:val="42"/>
          <w:rFonts w:ascii="Times New Roman" w:hAnsi="Times New Roman" w:cs="Times New Roman"/>
          <w:bCs/>
          <w:color w:val="002060"/>
          <w:w w:val="100"/>
          <w:sz w:val="16"/>
          <w:szCs w:val="16"/>
        </w:rPr>
        <w:softHyphen/>
        <w:t>казанных в Англии для Чёрного моря. Сведения необходимы для предварительных мероприятий, могут ли быть заказаны ангары».</w:t>
      </w:r>
    </w:p>
    <w:p w14:paraId="21E7B4A3" w14:textId="77777777" w:rsidR="006C0A51" w:rsidRPr="00405303" w:rsidRDefault="006C0A51" w:rsidP="00C15251">
      <w:pPr>
        <w:jc w:val="both"/>
        <w:rPr>
          <w:bCs/>
          <w:color w:val="002060"/>
          <w:sz w:val="16"/>
          <w:szCs w:val="16"/>
        </w:rPr>
      </w:pPr>
      <w:r w:rsidRPr="00405303">
        <w:rPr>
          <w:rStyle w:val="42"/>
          <w:rFonts w:ascii="Times New Roman" w:hAnsi="Times New Roman" w:cs="Times New Roman"/>
          <w:bCs/>
          <w:color w:val="002060"/>
          <w:w w:val="100"/>
          <w:sz w:val="16"/>
          <w:szCs w:val="16"/>
        </w:rPr>
        <w:t>В результате фирме Виккерс заказали четыре дирижабля типа «</w:t>
      </w:r>
      <w:r w:rsidRPr="00405303">
        <w:rPr>
          <w:rStyle w:val="42"/>
          <w:rFonts w:ascii="Times New Roman" w:hAnsi="Times New Roman" w:cs="Times New Roman"/>
          <w:bCs/>
          <w:color w:val="002060"/>
          <w:w w:val="100"/>
          <w:sz w:val="16"/>
          <w:szCs w:val="16"/>
          <w:lang w:val="en-US"/>
        </w:rPr>
        <w:t>Coastal</w:t>
      </w:r>
      <w:r w:rsidRPr="00405303">
        <w:rPr>
          <w:rStyle w:val="42"/>
          <w:rFonts w:ascii="Times New Roman" w:hAnsi="Times New Roman" w:cs="Times New Roman"/>
          <w:bCs/>
          <w:color w:val="002060"/>
          <w:w w:val="100"/>
          <w:sz w:val="16"/>
          <w:szCs w:val="16"/>
        </w:rPr>
        <w:t>». Они предназначались для выполнения патрулирования береговой ли</w:t>
      </w:r>
      <w:r w:rsidRPr="00405303">
        <w:rPr>
          <w:rStyle w:val="42"/>
          <w:rFonts w:ascii="Times New Roman" w:hAnsi="Times New Roman" w:cs="Times New Roman"/>
          <w:bCs/>
          <w:color w:val="002060"/>
          <w:w w:val="100"/>
          <w:sz w:val="16"/>
          <w:szCs w:val="16"/>
        </w:rPr>
        <w:softHyphen/>
        <w:t>нии и конвоирования судов. Проект разработали в июне 1915 г. на основе конструкции морского дирижабля № 3 фирмы «Астра-Торрес» (Фран</w:t>
      </w:r>
      <w:r w:rsidRPr="00405303">
        <w:rPr>
          <w:rStyle w:val="42"/>
          <w:rFonts w:ascii="Times New Roman" w:hAnsi="Times New Roman" w:cs="Times New Roman"/>
          <w:bCs/>
          <w:color w:val="002060"/>
          <w:w w:val="100"/>
          <w:sz w:val="16"/>
          <w:szCs w:val="16"/>
        </w:rPr>
        <w:softHyphen/>
        <w:t>ция) (20120).</w:t>
      </w:r>
    </w:p>
    <w:p w14:paraId="510990FA" w14:textId="77777777" w:rsidR="006C0A51" w:rsidRPr="00405303" w:rsidRDefault="006C0A51" w:rsidP="00C15251">
      <w:pPr>
        <w:jc w:val="both"/>
        <w:rPr>
          <w:bCs/>
          <w:color w:val="002060"/>
          <w:sz w:val="16"/>
          <w:szCs w:val="16"/>
        </w:rPr>
      </w:pPr>
    </w:p>
    <w:p w14:paraId="595BAC8D" w14:textId="77777777" w:rsidR="00E90C57" w:rsidRPr="00405303" w:rsidRDefault="00E90C57" w:rsidP="00C15251">
      <w:pPr>
        <w:jc w:val="both"/>
        <w:rPr>
          <w:bCs/>
          <w:i/>
          <w:color w:val="002060"/>
          <w:sz w:val="16"/>
          <w:szCs w:val="16"/>
        </w:rPr>
      </w:pPr>
      <w:r w:rsidRPr="00405303">
        <w:rPr>
          <w:bCs/>
          <w:i/>
          <w:color w:val="002060"/>
          <w:sz w:val="16"/>
          <w:szCs w:val="16"/>
        </w:rPr>
        <w:t>Армия:</w:t>
      </w:r>
    </w:p>
    <w:p w14:paraId="2CF77770" w14:textId="77777777" w:rsidR="00E90C57" w:rsidRPr="00405303" w:rsidRDefault="00E90C57" w:rsidP="00C15251">
      <w:pPr>
        <w:jc w:val="both"/>
        <w:rPr>
          <w:bCs/>
          <w:i/>
          <w:color w:val="002060"/>
          <w:sz w:val="16"/>
          <w:szCs w:val="16"/>
        </w:rPr>
      </w:pPr>
    </w:p>
    <w:p w14:paraId="2CADD1D7" w14:textId="56CAFEBF" w:rsidR="00E90C57" w:rsidRPr="00405303" w:rsidRDefault="00E90C57" w:rsidP="00C15251">
      <w:pPr>
        <w:jc w:val="both"/>
        <w:rPr>
          <w:bCs/>
          <w:color w:val="002060"/>
          <w:sz w:val="16"/>
          <w:szCs w:val="16"/>
        </w:rPr>
      </w:pPr>
      <w:r w:rsidRPr="00405303">
        <w:rPr>
          <w:rStyle w:val="ucoz-forum-post"/>
          <w:rFonts w:eastAsiaTheme="majorEastAsia"/>
          <w:bCs/>
          <w:color w:val="002060"/>
          <w:sz w:val="16"/>
          <w:szCs w:val="16"/>
        </w:rPr>
        <w:t xml:space="preserve">23 сентября </w:t>
      </w:r>
      <w:r w:rsidR="00D900A4" w:rsidRPr="00405303">
        <w:rPr>
          <w:rStyle w:val="ucoz-forum-post"/>
          <w:rFonts w:eastAsiaTheme="majorEastAsia"/>
          <w:bCs/>
          <w:color w:val="002060"/>
          <w:sz w:val="16"/>
          <w:szCs w:val="16"/>
        </w:rPr>
        <w:t xml:space="preserve">(6 октября) </w:t>
      </w:r>
      <w:r w:rsidRPr="00405303">
        <w:rPr>
          <w:bCs/>
          <w:color w:val="002060"/>
          <w:sz w:val="16"/>
          <w:szCs w:val="16"/>
        </w:rPr>
        <w:t>в 1915 году русские войска во главе с генералом А.Деникиным захватывают Луцк (14778).</w:t>
      </w:r>
    </w:p>
    <w:p w14:paraId="2357E9E4" w14:textId="77777777" w:rsidR="00E90C57" w:rsidRPr="00405303" w:rsidRDefault="00E90C57" w:rsidP="00C15251">
      <w:pPr>
        <w:jc w:val="both"/>
        <w:rPr>
          <w:bCs/>
          <w:color w:val="002060"/>
          <w:sz w:val="16"/>
          <w:szCs w:val="16"/>
        </w:rPr>
      </w:pPr>
    </w:p>
    <w:p w14:paraId="485C6D9C" w14:textId="77777777" w:rsidR="00994372" w:rsidRPr="00405303" w:rsidRDefault="00994372" w:rsidP="00C15251">
      <w:pPr>
        <w:jc w:val="both"/>
        <w:rPr>
          <w:bCs/>
          <w:i/>
          <w:color w:val="002060"/>
          <w:sz w:val="16"/>
          <w:szCs w:val="16"/>
        </w:rPr>
      </w:pPr>
      <w:r w:rsidRPr="00405303">
        <w:rPr>
          <w:bCs/>
          <w:i/>
          <w:color w:val="002060"/>
          <w:sz w:val="16"/>
          <w:szCs w:val="16"/>
        </w:rPr>
        <w:t>За рубежом:</w:t>
      </w:r>
    </w:p>
    <w:p w14:paraId="1CE5C4FA" w14:textId="77777777" w:rsidR="00994372" w:rsidRPr="00405303" w:rsidRDefault="00994372" w:rsidP="00C15251">
      <w:pPr>
        <w:jc w:val="both"/>
        <w:rPr>
          <w:bCs/>
          <w:color w:val="002060"/>
          <w:sz w:val="16"/>
          <w:szCs w:val="16"/>
        </w:rPr>
      </w:pPr>
    </w:p>
    <w:p w14:paraId="35C2735A" w14:textId="240C7C37" w:rsidR="00994372" w:rsidRPr="00405303" w:rsidRDefault="00994372" w:rsidP="00C15251">
      <w:pPr>
        <w:jc w:val="both"/>
        <w:rPr>
          <w:bCs/>
          <w:color w:val="002060"/>
          <w:sz w:val="16"/>
          <w:szCs w:val="16"/>
        </w:rPr>
      </w:pPr>
      <w:r w:rsidRPr="00405303">
        <w:rPr>
          <w:rStyle w:val="ucoz-forum-post"/>
          <w:rFonts w:eastAsiaTheme="majorEastAsia"/>
          <w:bCs/>
          <w:color w:val="002060"/>
          <w:sz w:val="16"/>
          <w:szCs w:val="16"/>
        </w:rPr>
        <w:t xml:space="preserve">23 сентября (6 октября) </w:t>
      </w:r>
      <w:r w:rsidRPr="00405303">
        <w:rPr>
          <w:bCs/>
          <w:color w:val="002060"/>
          <w:sz w:val="16"/>
          <w:szCs w:val="16"/>
        </w:rPr>
        <w:t>в 1915 году германские и австро-венгерские войска пересекли Дунай и вторглись в Сербию (14791).</w:t>
      </w:r>
    </w:p>
    <w:p w14:paraId="7FD016F0" w14:textId="77777777" w:rsidR="00994372" w:rsidRPr="00405303" w:rsidRDefault="00994372" w:rsidP="00C15251">
      <w:pPr>
        <w:jc w:val="both"/>
        <w:rPr>
          <w:bCs/>
          <w:color w:val="002060"/>
          <w:sz w:val="16"/>
          <w:szCs w:val="16"/>
        </w:rPr>
      </w:pPr>
    </w:p>
    <w:p w14:paraId="2FC277E8"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527ECC28" w14:textId="77777777" w:rsidR="004B4E35" w:rsidRPr="00405303" w:rsidRDefault="004B4E35" w:rsidP="00C15251">
      <w:pPr>
        <w:jc w:val="both"/>
        <w:rPr>
          <w:bCs/>
          <w:i/>
          <w:color w:val="002060"/>
          <w:sz w:val="16"/>
          <w:szCs w:val="16"/>
        </w:rPr>
      </w:pPr>
    </w:p>
    <w:p w14:paraId="656B024E" w14:textId="139001F7" w:rsidR="004B4E35" w:rsidRPr="00405303" w:rsidRDefault="009E6F82" w:rsidP="00C15251">
      <w:pPr>
        <w:shd w:val="clear" w:color="auto" w:fill="FFFFFF"/>
        <w:jc w:val="both"/>
        <w:rPr>
          <w:bCs/>
          <w:color w:val="002060"/>
          <w:sz w:val="16"/>
          <w:szCs w:val="16"/>
        </w:rPr>
      </w:pPr>
      <w:r w:rsidRPr="00405303">
        <w:rPr>
          <w:bCs/>
          <w:color w:val="002060"/>
          <w:sz w:val="16"/>
          <w:szCs w:val="16"/>
        </w:rPr>
        <w:t>24 сентября (</w:t>
      </w:r>
      <w:r w:rsidR="00D900A4" w:rsidRPr="00405303">
        <w:rPr>
          <w:bCs/>
          <w:color w:val="002060"/>
          <w:sz w:val="16"/>
          <w:szCs w:val="16"/>
        </w:rPr>
        <w:t>7</w:t>
      </w:r>
      <w:r w:rsidRPr="00405303">
        <w:rPr>
          <w:bCs/>
          <w:color w:val="002060"/>
          <w:sz w:val="16"/>
          <w:szCs w:val="16"/>
        </w:rPr>
        <w:t xml:space="preserve"> октября) 1915 </w:t>
      </w:r>
      <w:r w:rsidR="00D900A4" w:rsidRPr="00405303">
        <w:rPr>
          <w:bCs/>
          <w:color w:val="002060"/>
          <w:sz w:val="16"/>
          <w:szCs w:val="16"/>
        </w:rPr>
        <w:t xml:space="preserve">г. в одной из бумаг </w:t>
      </w:r>
      <w:r w:rsidRPr="00405303">
        <w:rPr>
          <w:bCs/>
          <w:color w:val="002060"/>
          <w:sz w:val="16"/>
          <w:szCs w:val="16"/>
        </w:rPr>
        <w:t>сообщали о близких — «на днях», испытаниях трехместного аппарата</w:t>
      </w:r>
      <w:r w:rsidR="00D900A4" w:rsidRPr="00405303">
        <w:rPr>
          <w:bCs/>
          <w:color w:val="002060"/>
          <w:sz w:val="16"/>
          <w:szCs w:val="16"/>
        </w:rPr>
        <w:t xml:space="preserve"> (вероятно, М-7)</w:t>
      </w:r>
      <w:r w:rsidRPr="00405303">
        <w:rPr>
          <w:bCs/>
          <w:color w:val="002060"/>
          <w:sz w:val="16"/>
          <w:szCs w:val="16"/>
        </w:rPr>
        <w:t>. Его строительство велось по инициативе руководства компании</w:t>
      </w:r>
      <w:r w:rsidR="00D900A4" w:rsidRPr="00405303">
        <w:rPr>
          <w:bCs/>
          <w:color w:val="002060"/>
          <w:sz w:val="16"/>
          <w:szCs w:val="16"/>
        </w:rPr>
        <w:t xml:space="preserve"> ПРТВ</w:t>
      </w:r>
      <w:r w:rsidRPr="00405303">
        <w:rPr>
          <w:bCs/>
          <w:color w:val="002060"/>
          <w:sz w:val="16"/>
          <w:szCs w:val="16"/>
        </w:rPr>
        <w:t>, заду</w:t>
      </w:r>
      <w:r w:rsidRPr="00405303">
        <w:rPr>
          <w:bCs/>
          <w:color w:val="002060"/>
          <w:sz w:val="16"/>
          <w:szCs w:val="16"/>
        </w:rPr>
        <w:softHyphen/>
        <w:t>мавшего сделать машину, конкурентоспособную летающим лодкам «Кертисс К», в значительных коли</w:t>
      </w:r>
      <w:r w:rsidRPr="00405303">
        <w:rPr>
          <w:bCs/>
          <w:color w:val="002060"/>
          <w:sz w:val="16"/>
          <w:szCs w:val="16"/>
        </w:rPr>
        <w:softHyphen/>
        <w:t xml:space="preserve">чествах </w:t>
      </w:r>
      <w:r w:rsidRPr="00405303">
        <w:rPr>
          <w:bCs/>
          <w:color w:val="002060"/>
          <w:sz w:val="16"/>
          <w:szCs w:val="16"/>
        </w:rPr>
        <w:lastRenderedPageBreak/>
        <w:t>заказанных Морским ведомством в США. По неизвестной причине, возможно из-за Отсутствия нужного двигателя и плохой осенней погоды, опыты так и не начали до ноября. Четвертого числа прото</w:t>
      </w:r>
      <w:r w:rsidRPr="00405303">
        <w:rPr>
          <w:bCs/>
          <w:color w:val="002060"/>
          <w:sz w:val="16"/>
          <w:szCs w:val="16"/>
        </w:rPr>
        <w:softHyphen/>
        <w:t>тип М-7 направили в Ревель, но короткий путь туда занял около двух недель. С. С. Щетинин, по-видимо</w:t>
      </w:r>
      <w:r w:rsidRPr="00405303">
        <w:rPr>
          <w:bCs/>
          <w:color w:val="002060"/>
          <w:sz w:val="16"/>
          <w:szCs w:val="16"/>
        </w:rPr>
        <w:softHyphen/>
        <w:t>му, придавал большое значение предстоящим эк</w:t>
      </w:r>
      <w:r w:rsidRPr="00405303">
        <w:rPr>
          <w:bCs/>
          <w:color w:val="002060"/>
          <w:sz w:val="16"/>
          <w:szCs w:val="16"/>
        </w:rPr>
        <w:softHyphen/>
        <w:t>спериментам и решил лично присутствовать на них. Его ожидания не оправдались: в последних числах ноября 1915 г. летающая лодка так и не смогла оторваться от воды. Специалисты компа</w:t>
      </w:r>
      <w:r w:rsidRPr="00405303">
        <w:rPr>
          <w:bCs/>
          <w:color w:val="002060"/>
          <w:sz w:val="16"/>
          <w:szCs w:val="16"/>
        </w:rPr>
        <w:softHyphen/>
        <w:t>нии все же надеялись усовершенствовать конст</w:t>
      </w:r>
      <w:r w:rsidRPr="00405303">
        <w:rPr>
          <w:bCs/>
          <w:color w:val="002060"/>
          <w:sz w:val="16"/>
          <w:szCs w:val="16"/>
        </w:rPr>
        <w:softHyphen/>
        <w:t>рукцию, а потому для продолжения испытаний к середине января 1916 г. и гидроаэроплан, и его 150-сильный мотор «Санбим»</w:t>
      </w:r>
      <w:r w:rsidRPr="00405303">
        <w:rPr>
          <w:bCs/>
          <w:color w:val="002060"/>
          <w:sz w:val="16"/>
          <w:szCs w:val="16"/>
          <w:vertAlign w:val="superscript"/>
        </w:rPr>
        <w:t>1</w:t>
      </w:r>
      <w:r w:rsidRPr="00405303">
        <w:rPr>
          <w:bCs/>
          <w:color w:val="002060"/>
          <w:sz w:val="16"/>
          <w:szCs w:val="16"/>
        </w:rPr>
        <w:t xml:space="preserve"> очутились в Бакин</w:t>
      </w:r>
      <w:r w:rsidRPr="00405303">
        <w:rPr>
          <w:bCs/>
          <w:color w:val="002060"/>
          <w:sz w:val="16"/>
          <w:szCs w:val="16"/>
        </w:rPr>
        <w:softHyphen/>
        <w:t>ском филиале Петроградской офицерской школы морских летчиков. По причине успешных проб модели М-9 аппарат М-7 забросили, и его даль</w:t>
      </w:r>
      <w:r w:rsidRPr="00405303">
        <w:rPr>
          <w:bCs/>
          <w:color w:val="002060"/>
          <w:sz w:val="16"/>
          <w:szCs w:val="16"/>
        </w:rPr>
        <w:softHyphen/>
        <w:t>нейшая судьба неизвестна (2807).</w:t>
      </w:r>
    </w:p>
    <w:p w14:paraId="55445A21" w14:textId="77777777" w:rsidR="004B4E35" w:rsidRPr="00405303" w:rsidRDefault="004B4E35" w:rsidP="00C15251">
      <w:pPr>
        <w:shd w:val="clear" w:color="auto" w:fill="FFFFFF"/>
        <w:jc w:val="both"/>
        <w:rPr>
          <w:bCs/>
          <w:color w:val="002060"/>
          <w:sz w:val="16"/>
          <w:szCs w:val="16"/>
        </w:rPr>
      </w:pPr>
    </w:p>
    <w:p w14:paraId="1128799D" w14:textId="444CF257" w:rsidR="00D900A4" w:rsidRPr="00405303" w:rsidRDefault="009E6F82" w:rsidP="00C15251">
      <w:pPr>
        <w:shd w:val="clear" w:color="auto" w:fill="FFFFFF"/>
        <w:jc w:val="both"/>
        <w:rPr>
          <w:bCs/>
          <w:color w:val="002060"/>
          <w:sz w:val="16"/>
          <w:szCs w:val="16"/>
        </w:rPr>
      </w:pPr>
      <w:r w:rsidRPr="00405303">
        <w:rPr>
          <w:bCs/>
          <w:color w:val="002060"/>
          <w:sz w:val="16"/>
          <w:szCs w:val="16"/>
        </w:rPr>
        <w:t>24 сентября (</w:t>
      </w:r>
      <w:r w:rsidR="00D900A4" w:rsidRPr="00405303">
        <w:rPr>
          <w:bCs/>
          <w:color w:val="002060"/>
          <w:sz w:val="16"/>
          <w:szCs w:val="16"/>
        </w:rPr>
        <w:t>7</w:t>
      </w:r>
      <w:r w:rsidRPr="00405303">
        <w:rPr>
          <w:bCs/>
          <w:color w:val="002060"/>
          <w:sz w:val="16"/>
          <w:szCs w:val="16"/>
        </w:rPr>
        <w:t xml:space="preserve"> октября) 1915</w:t>
      </w:r>
      <w:r w:rsidR="00D900A4" w:rsidRPr="00405303">
        <w:rPr>
          <w:bCs/>
          <w:color w:val="002060"/>
          <w:sz w:val="16"/>
          <w:szCs w:val="16"/>
        </w:rPr>
        <w:t xml:space="preserve"> г. по информации, содержавшейся в одном из докладов МГШ</w:t>
      </w:r>
      <w:r w:rsidRPr="00405303">
        <w:rPr>
          <w:bCs/>
          <w:color w:val="002060"/>
          <w:sz w:val="16"/>
          <w:szCs w:val="16"/>
        </w:rPr>
        <w:t xml:space="preserve">, аппараты </w:t>
      </w:r>
      <w:r w:rsidR="00D900A4" w:rsidRPr="00405303">
        <w:rPr>
          <w:bCs/>
          <w:color w:val="002060"/>
          <w:sz w:val="16"/>
          <w:szCs w:val="16"/>
        </w:rPr>
        <w:t xml:space="preserve">М-8 Щетинина </w:t>
      </w:r>
      <w:r w:rsidRPr="00405303">
        <w:rPr>
          <w:bCs/>
          <w:color w:val="002060"/>
          <w:sz w:val="16"/>
          <w:szCs w:val="16"/>
        </w:rPr>
        <w:t>несли бы по два 220-сильных двигателя каждый и развивали горизонтальную скорость до 95 км/ч, а вертикальную — 2000 м за 30 минут; их полезная нагрузка достигала бы 1 тыс. 700 кг, включая вес экипажа и вооружения (900 кг) и запас топлива и масла на 7 часов лета. Ни Морское ведомство, ни компания не могли получить 300-сильные моторы и вынуждено довольствовались 220-сильными, но и те предстояло ждать, в то время как изготовление самолета продолжалось. Надежды найти более мощные энергетические установки все же сохранялись. На обороте уцелевшей во флотских делах программы заседания правления Императорского аэроклуба от 25 ноября 1915г. автору удалось обнаружить очень любопытные расчеты, относящиеся, скорее всего, к проекту М-8</w:t>
      </w:r>
      <w:r w:rsidR="00D900A4" w:rsidRPr="00405303">
        <w:rPr>
          <w:bCs/>
          <w:color w:val="002060"/>
          <w:sz w:val="16"/>
          <w:szCs w:val="16"/>
        </w:rPr>
        <w:t>.</w:t>
      </w:r>
    </w:p>
    <w:p w14:paraId="3A427E21" w14:textId="76F3F790" w:rsidR="004B4E35" w:rsidRPr="00405303" w:rsidRDefault="00D900A4" w:rsidP="00C15251">
      <w:pPr>
        <w:shd w:val="clear" w:color="auto" w:fill="FFFFFF"/>
        <w:jc w:val="both"/>
        <w:rPr>
          <w:bCs/>
          <w:color w:val="002060"/>
          <w:sz w:val="16"/>
          <w:szCs w:val="16"/>
        </w:rPr>
      </w:pPr>
      <w:r w:rsidRPr="00405303">
        <w:rPr>
          <w:bCs/>
          <w:color w:val="002060"/>
          <w:sz w:val="16"/>
          <w:szCs w:val="16"/>
        </w:rPr>
        <w:t>Скорее всего, С. С. Щетинин и его специалисты смотрели на проект с большим оптимизмом и нача</w:t>
      </w:r>
      <w:r w:rsidRPr="00405303">
        <w:rPr>
          <w:bCs/>
          <w:color w:val="002060"/>
          <w:sz w:val="16"/>
          <w:szCs w:val="16"/>
        </w:rPr>
        <w:softHyphen/>
        <w:t>ли сборку прототипа М-8 на свой страх и риск. Более того, осенью 1915г. они намеревались возвести новые просторные заводские корпуса, способные вместить под своей крышей производство тяжелых гидроаэропланов</w:t>
      </w:r>
      <w:r w:rsidR="000F5756">
        <w:rPr>
          <w:bCs/>
          <w:color w:val="002060"/>
          <w:sz w:val="16"/>
          <w:szCs w:val="16"/>
        </w:rPr>
        <w:t xml:space="preserve"> </w:t>
      </w:r>
      <w:r w:rsidR="009E6F82" w:rsidRPr="00405303">
        <w:rPr>
          <w:bCs/>
          <w:color w:val="002060"/>
          <w:sz w:val="16"/>
          <w:szCs w:val="16"/>
        </w:rPr>
        <w:t>(2807).</w:t>
      </w:r>
    </w:p>
    <w:p w14:paraId="23ED7F2C" w14:textId="77777777" w:rsidR="004B4E35" w:rsidRPr="00405303" w:rsidRDefault="004B4E35" w:rsidP="00C15251">
      <w:pPr>
        <w:shd w:val="clear" w:color="auto" w:fill="FFFFFF"/>
        <w:jc w:val="both"/>
        <w:rPr>
          <w:bCs/>
          <w:color w:val="002060"/>
          <w:sz w:val="16"/>
          <w:szCs w:val="16"/>
        </w:rPr>
      </w:pPr>
    </w:p>
    <w:p w14:paraId="615299AA" w14:textId="530B0ACC" w:rsidR="008975DE" w:rsidRPr="00405303" w:rsidRDefault="008975DE" w:rsidP="00C15251">
      <w:pPr>
        <w:pStyle w:val="a3"/>
        <w:jc w:val="both"/>
        <w:rPr>
          <w:bCs/>
          <w:color w:val="002060"/>
          <w:spacing w:val="0"/>
          <w:kern w:val="0"/>
          <w:position w:val="0"/>
          <w:sz w:val="16"/>
          <w:szCs w:val="16"/>
        </w:rPr>
      </w:pPr>
      <w:r w:rsidRPr="00405303">
        <w:rPr>
          <w:bCs/>
          <w:color w:val="002060"/>
          <w:spacing w:val="0"/>
          <w:kern w:val="0"/>
          <w:position w:val="0"/>
          <w:sz w:val="16"/>
          <w:szCs w:val="16"/>
        </w:rPr>
        <w:t>Другие оборонные отрасли:</w:t>
      </w:r>
    </w:p>
    <w:p w14:paraId="38DDF855" w14:textId="77777777" w:rsidR="008975DE" w:rsidRPr="00405303" w:rsidRDefault="008975DE" w:rsidP="00C15251">
      <w:pPr>
        <w:pStyle w:val="a3"/>
        <w:jc w:val="both"/>
        <w:rPr>
          <w:bCs/>
          <w:color w:val="002060"/>
          <w:spacing w:val="0"/>
          <w:kern w:val="0"/>
          <w:position w:val="0"/>
          <w:sz w:val="16"/>
          <w:szCs w:val="16"/>
        </w:rPr>
      </w:pPr>
    </w:p>
    <w:p w14:paraId="21B76EE1" w14:textId="77777777" w:rsidR="00D900A4" w:rsidRPr="00405303" w:rsidRDefault="00D900A4"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24 сентября (7 октября) 1915 года имущество и оборудование «Фабрики велосипедов и автомобилей «Россия» А. Лейтнера и Ко» было отправлено со станции Ревель в нескольких десятках вагонов в Харьков. Примерно в то же время «Дукс» получает крупный военный заказ на производство аэропланов и гидропланов. Велосипедное производство отступает на второй план, так как почти все производственные мощности были переориентированы на авиапроизводство. Дело в том, что к этому моменту фабрика осталась единственным отечественным поставщиком авиации для фронта (11257).</w:t>
      </w:r>
    </w:p>
    <w:p w14:paraId="15257E24" w14:textId="77777777" w:rsidR="00D900A4" w:rsidRPr="00405303" w:rsidRDefault="00D900A4" w:rsidP="00C15251">
      <w:pPr>
        <w:pStyle w:val="a3"/>
        <w:jc w:val="both"/>
        <w:rPr>
          <w:bCs/>
          <w:i w:val="0"/>
          <w:color w:val="002060"/>
          <w:spacing w:val="0"/>
          <w:kern w:val="0"/>
          <w:position w:val="0"/>
          <w:sz w:val="16"/>
          <w:szCs w:val="16"/>
        </w:rPr>
      </w:pPr>
    </w:p>
    <w:p w14:paraId="07DB7D10" w14:textId="77777777" w:rsidR="008975DE" w:rsidRPr="00405303" w:rsidRDefault="008975DE" w:rsidP="00C15251">
      <w:pPr>
        <w:shd w:val="clear" w:color="auto" w:fill="FFFFFF"/>
        <w:jc w:val="both"/>
        <w:rPr>
          <w:bCs/>
          <w:color w:val="002060"/>
          <w:sz w:val="16"/>
          <w:szCs w:val="16"/>
        </w:rPr>
      </w:pPr>
      <w:r w:rsidRPr="00405303">
        <w:rPr>
          <w:bCs/>
          <w:color w:val="002060"/>
          <w:sz w:val="16"/>
          <w:szCs w:val="16"/>
        </w:rPr>
        <w:t>24 сентября (7 октября) 1915 г. на базе гвардейского саперного батальона прошли испытания различных систем ножниц для резки колючей проволоки – совместной комиссией ГВТУ и ЦВПК. Годными к применению в армии были признаны ножницы нескольких систем: Устругова, Бромлея, Кржеминского, Корсака, Ридигера и Вербочкина [Журнал № 8 подготовительной комиссии по общим вопросам (далее – ПКОВ). Заседание 24 сентября 1915 г. / Архив ВИМАИВиВС. Ф. 13. Оп. 87/1. Д. 69. Л. 113.]. 24 сентября 1915 во избежание чрезмерного разнообразия в снабжении армии Особое совещание по обороне поручило ГВТУ выбрать, исходя из результатов испытаний, три типа, которыми следовало ограничиться при выдаче заказов предприятиям. Однако одновременно ГВТУ было поручено приобрести права на все шесть типов ножниц, используя при этом, в том числе, и возможность принудительного отчуждения прав изобретателей [Журнал № 8 подготовительной комиссии по общим вопросам (далее – ПКОВ). Заседание 24 сентября 1915 г. / Архив ВИМАИВиВС. Ф. 13. Оп. 87/1. Д. 69. Л. 113.] (20236).</w:t>
      </w:r>
    </w:p>
    <w:p w14:paraId="0A598D62" w14:textId="77777777" w:rsidR="008975DE" w:rsidRPr="00405303" w:rsidRDefault="008975DE" w:rsidP="00C15251">
      <w:pPr>
        <w:jc w:val="both"/>
        <w:rPr>
          <w:bCs/>
          <w:color w:val="002060"/>
          <w:sz w:val="16"/>
          <w:szCs w:val="16"/>
          <w:shd w:val="clear" w:color="auto" w:fill="FFFFFF"/>
        </w:rPr>
      </w:pPr>
    </w:p>
    <w:p w14:paraId="28918F6B" w14:textId="77777777" w:rsidR="008975DE" w:rsidRPr="00405303" w:rsidRDefault="008975DE" w:rsidP="00C15251">
      <w:pPr>
        <w:shd w:val="clear" w:color="auto" w:fill="FFFFFF"/>
        <w:jc w:val="both"/>
        <w:rPr>
          <w:bCs/>
          <w:color w:val="002060"/>
          <w:sz w:val="16"/>
          <w:szCs w:val="16"/>
        </w:rPr>
      </w:pPr>
      <w:r w:rsidRPr="00405303">
        <w:rPr>
          <w:bCs/>
          <w:color w:val="002060"/>
          <w:sz w:val="16"/>
          <w:szCs w:val="16"/>
        </w:rPr>
        <w:t>24 сентября (7 октября) 1915 во избежание чрезмерного разнообразия в снабжении армии Особое совещание по обороне поручило ГВТУ выбрать, исходя из результатов испытаний, три типа различных систем ножниц для резки колючей проволоки, которыми следовало ограничиться при выдаче заказов предприятиям. Однако одновременно ГВТУ было поручено приобрести права на все шесть типов ножниц, используя при этом, в том числе, и возможность принудительного отчуждения прав изобретателей [Журнал № 8 подготовительной комиссии по общим вопросам (далее – ПКОВ). Заседание 24 сентября 1915 г. / Архив ВИМАИВиВС. Ф. 13. Оп. 87/1. Д. 69. Л. 113.] (20236).</w:t>
      </w:r>
    </w:p>
    <w:p w14:paraId="7337B2CA" w14:textId="77777777" w:rsidR="008975DE" w:rsidRPr="00405303" w:rsidRDefault="008975DE" w:rsidP="00C15251">
      <w:pPr>
        <w:jc w:val="both"/>
        <w:rPr>
          <w:bCs/>
          <w:color w:val="002060"/>
          <w:sz w:val="16"/>
          <w:szCs w:val="16"/>
          <w:shd w:val="clear" w:color="auto" w:fill="FFFFFF"/>
        </w:rPr>
      </w:pPr>
    </w:p>
    <w:p w14:paraId="1040B241"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1D032DE6" w14:textId="77777777" w:rsidR="004B4E35" w:rsidRPr="00405303" w:rsidRDefault="004B4E35" w:rsidP="00C15251">
      <w:pPr>
        <w:pStyle w:val="a3"/>
        <w:jc w:val="both"/>
        <w:rPr>
          <w:bCs/>
          <w:color w:val="002060"/>
          <w:spacing w:val="0"/>
          <w:kern w:val="0"/>
          <w:position w:val="0"/>
          <w:sz w:val="16"/>
          <w:szCs w:val="16"/>
        </w:rPr>
      </w:pPr>
    </w:p>
    <w:p w14:paraId="1E049292" w14:textId="75964DDF" w:rsidR="004B4E35" w:rsidRPr="00405303" w:rsidRDefault="009E6F82" w:rsidP="00C15251">
      <w:pPr>
        <w:jc w:val="both"/>
        <w:rPr>
          <w:bCs/>
          <w:color w:val="002060"/>
          <w:sz w:val="16"/>
          <w:szCs w:val="16"/>
        </w:rPr>
      </w:pPr>
      <w:r w:rsidRPr="00405303">
        <w:rPr>
          <w:bCs/>
          <w:color w:val="002060"/>
          <w:sz w:val="16"/>
          <w:szCs w:val="16"/>
        </w:rPr>
        <w:t>24 сентября (</w:t>
      </w:r>
      <w:r w:rsidR="00D900A4" w:rsidRPr="00405303">
        <w:rPr>
          <w:bCs/>
          <w:color w:val="002060"/>
          <w:sz w:val="16"/>
          <w:szCs w:val="16"/>
        </w:rPr>
        <w:t>7</w:t>
      </w:r>
      <w:r w:rsidRPr="00405303">
        <w:rPr>
          <w:bCs/>
          <w:color w:val="002060"/>
          <w:sz w:val="16"/>
          <w:szCs w:val="16"/>
        </w:rPr>
        <w:t xml:space="preserve"> октября)</w:t>
      </w:r>
      <w:r w:rsidR="00D900A4" w:rsidRPr="00405303">
        <w:rPr>
          <w:bCs/>
          <w:color w:val="002060"/>
          <w:sz w:val="16"/>
          <w:szCs w:val="16"/>
        </w:rPr>
        <w:t xml:space="preserve"> 1915 г.</w:t>
      </w:r>
      <w:r w:rsidRPr="00405303">
        <w:rPr>
          <w:bCs/>
          <w:color w:val="002060"/>
          <w:sz w:val="16"/>
          <w:szCs w:val="16"/>
        </w:rPr>
        <w:t xml:space="preserve"> "ИМ-Киевский" совершил пятичасовой полет во вражеский тыл, в окрестности города Шавли, где находился командир германского фронта со своим штабом. Русское воздушное судно появилось над Шавли неожиданно, сбросив бомбы и напугав безмятежно спящий германский штаб, который вскоре сменил свое местоположение (11999).</w:t>
      </w:r>
    </w:p>
    <w:p w14:paraId="30779F7D" w14:textId="77777777" w:rsidR="004B4E35" w:rsidRPr="00405303" w:rsidRDefault="004B4E35" w:rsidP="00C15251">
      <w:pPr>
        <w:jc w:val="both"/>
        <w:rPr>
          <w:bCs/>
          <w:color w:val="002060"/>
          <w:sz w:val="16"/>
          <w:szCs w:val="16"/>
        </w:rPr>
      </w:pPr>
    </w:p>
    <w:p w14:paraId="782E5DF1"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Военное воздухоплавание:</w:t>
      </w:r>
    </w:p>
    <w:p w14:paraId="25D6D718" w14:textId="77777777" w:rsidR="004B4E35" w:rsidRPr="00405303" w:rsidRDefault="004B4E35" w:rsidP="00C15251">
      <w:pPr>
        <w:pStyle w:val="a3"/>
        <w:jc w:val="both"/>
        <w:rPr>
          <w:bCs/>
          <w:color w:val="002060"/>
          <w:spacing w:val="0"/>
          <w:kern w:val="0"/>
          <w:position w:val="0"/>
          <w:sz w:val="16"/>
          <w:szCs w:val="16"/>
        </w:rPr>
      </w:pPr>
    </w:p>
    <w:p w14:paraId="3E0686F7" w14:textId="085F1035" w:rsidR="004B4E35" w:rsidRPr="00405303" w:rsidRDefault="009E6F82" w:rsidP="00C15251">
      <w:pPr>
        <w:jc w:val="both"/>
        <w:rPr>
          <w:bCs/>
          <w:color w:val="002060"/>
          <w:sz w:val="16"/>
          <w:szCs w:val="16"/>
        </w:rPr>
      </w:pPr>
      <w:r w:rsidRPr="00405303">
        <w:rPr>
          <w:bCs/>
          <w:color w:val="002060"/>
          <w:sz w:val="16"/>
          <w:szCs w:val="16"/>
        </w:rPr>
        <w:t xml:space="preserve">24 сентября </w:t>
      </w:r>
      <w:r w:rsidR="00D900A4" w:rsidRPr="00405303">
        <w:rPr>
          <w:bCs/>
          <w:color w:val="002060"/>
          <w:sz w:val="16"/>
          <w:szCs w:val="16"/>
        </w:rPr>
        <w:t xml:space="preserve">(7 октября) </w:t>
      </w:r>
      <w:r w:rsidRPr="00405303">
        <w:rPr>
          <w:bCs/>
          <w:color w:val="002060"/>
          <w:sz w:val="16"/>
          <w:szCs w:val="16"/>
        </w:rPr>
        <w:t xml:space="preserve">1915 года </w:t>
      </w:r>
      <w:r w:rsidR="00D900A4" w:rsidRPr="00405303">
        <w:rPr>
          <w:bCs/>
          <w:color w:val="002060"/>
          <w:sz w:val="16"/>
          <w:szCs w:val="16"/>
        </w:rPr>
        <w:t>в</w:t>
      </w:r>
      <w:r w:rsidRPr="00405303">
        <w:rPr>
          <w:bCs/>
          <w:color w:val="002060"/>
          <w:sz w:val="16"/>
          <w:szCs w:val="16"/>
        </w:rPr>
        <w:t xml:space="preserve"> этом донесении </w:t>
      </w:r>
      <w:r w:rsidR="00D900A4" w:rsidRPr="00405303">
        <w:rPr>
          <w:bCs/>
          <w:color w:val="002060"/>
          <w:sz w:val="16"/>
          <w:szCs w:val="16"/>
        </w:rPr>
        <w:t xml:space="preserve">№ 2231 командир 49-й пехотной дивизии </w:t>
      </w:r>
      <w:r w:rsidRPr="00405303">
        <w:rPr>
          <w:bCs/>
          <w:color w:val="002060"/>
          <w:sz w:val="16"/>
          <w:szCs w:val="16"/>
        </w:rPr>
        <w:t xml:space="preserve">писал: </w:t>
      </w:r>
    </w:p>
    <w:p w14:paraId="1B748401" w14:textId="77777777" w:rsidR="004B4E35" w:rsidRPr="00405303" w:rsidRDefault="009E6F82" w:rsidP="00C15251">
      <w:pPr>
        <w:jc w:val="both"/>
        <w:rPr>
          <w:bCs/>
          <w:color w:val="002060"/>
          <w:sz w:val="16"/>
          <w:szCs w:val="16"/>
        </w:rPr>
      </w:pPr>
      <w:r w:rsidRPr="00405303">
        <w:rPr>
          <w:bCs/>
          <w:color w:val="002060"/>
          <w:sz w:val="16"/>
          <w:szCs w:val="16"/>
        </w:rPr>
        <w:t xml:space="preserve">«Наблюдатель с аэростата заметил австрийскую батарею у форта Троицкое, которая обстреливала расположение дивизии, нанося поражения, но не была нами открыта. [47] </w:t>
      </w:r>
    </w:p>
    <w:p w14:paraId="5FF8DEC5" w14:textId="77777777" w:rsidR="004B4E35" w:rsidRPr="00405303" w:rsidRDefault="009E6F82" w:rsidP="00C15251">
      <w:pPr>
        <w:jc w:val="both"/>
        <w:rPr>
          <w:bCs/>
          <w:color w:val="002060"/>
          <w:sz w:val="16"/>
          <w:szCs w:val="16"/>
        </w:rPr>
      </w:pPr>
      <w:r w:rsidRPr="00405303">
        <w:rPr>
          <w:bCs/>
          <w:color w:val="002060"/>
          <w:sz w:val="16"/>
          <w:szCs w:val="16"/>
        </w:rPr>
        <w:t xml:space="preserve">По указанию наблюдателя местонахождения этой батареи наша 1-я батарея 24-го мортирного артдивизиона открыла огонь по ней; стрельбу корректировал наблюдатель 1-й станции. После 8 бомб, выпущенных батареей, австрийская батарея замолчала и не открывала огня в течение дня. Несколько раз пытались передки подать на батарею, но каждый раз, встречаемые метким огнем нашей артиллерии, стрельбу которой корректировал наблюдатель с аэростата, они возвращались обратно. Только под вечер батарея противника смогла переменить позицию, на которой опять-таки была обнаружена наблюдателем; огонь открыть нельзя было ввиду наступления темноты. </w:t>
      </w:r>
    </w:p>
    <w:p w14:paraId="6987258C" w14:textId="77777777" w:rsidR="004B4E35" w:rsidRPr="00405303" w:rsidRDefault="009E6F82" w:rsidP="00C15251">
      <w:pPr>
        <w:jc w:val="both"/>
        <w:rPr>
          <w:bCs/>
          <w:color w:val="002060"/>
          <w:sz w:val="16"/>
          <w:szCs w:val="16"/>
        </w:rPr>
      </w:pPr>
      <w:r w:rsidRPr="00405303">
        <w:rPr>
          <w:bCs/>
          <w:color w:val="002060"/>
          <w:sz w:val="16"/>
          <w:szCs w:val="16"/>
        </w:rPr>
        <w:t>Наблюдения не прекращались даже при обстреле аэростата пулеметным огнем противника с аэроплана» (11334).</w:t>
      </w:r>
    </w:p>
    <w:p w14:paraId="00B860FA" w14:textId="77777777" w:rsidR="004B4E35" w:rsidRPr="00405303" w:rsidRDefault="004B4E35" w:rsidP="00C15251">
      <w:pPr>
        <w:pStyle w:val="a3"/>
        <w:jc w:val="both"/>
        <w:rPr>
          <w:bCs/>
          <w:color w:val="002060"/>
          <w:spacing w:val="0"/>
          <w:kern w:val="0"/>
          <w:position w:val="0"/>
          <w:sz w:val="16"/>
          <w:szCs w:val="16"/>
        </w:rPr>
      </w:pPr>
    </w:p>
    <w:p w14:paraId="074A5AF0"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4A8F6DF9" w14:textId="77777777" w:rsidR="004B4E35" w:rsidRPr="00405303" w:rsidRDefault="004B4E35" w:rsidP="00C15251">
      <w:pPr>
        <w:pStyle w:val="a3"/>
        <w:jc w:val="both"/>
        <w:rPr>
          <w:bCs/>
          <w:color w:val="002060"/>
          <w:spacing w:val="0"/>
          <w:kern w:val="0"/>
          <w:position w:val="0"/>
          <w:sz w:val="16"/>
          <w:szCs w:val="16"/>
        </w:rPr>
      </w:pPr>
    </w:p>
    <w:p w14:paraId="12B138A1" w14:textId="77777777" w:rsidR="00994372" w:rsidRPr="00405303" w:rsidRDefault="00994372" w:rsidP="00C15251">
      <w:pPr>
        <w:shd w:val="clear" w:color="auto" w:fill="FFFFFF"/>
        <w:jc w:val="both"/>
        <w:rPr>
          <w:bCs/>
          <w:color w:val="002060"/>
          <w:sz w:val="16"/>
          <w:szCs w:val="16"/>
        </w:rPr>
      </w:pPr>
      <w:r w:rsidRPr="00405303">
        <w:rPr>
          <w:bCs/>
          <w:color w:val="002060"/>
          <w:sz w:val="16"/>
          <w:szCs w:val="16"/>
        </w:rPr>
        <w:t>25</w:t>
      </w:r>
      <w:r w:rsidR="009E6F82" w:rsidRPr="00405303">
        <w:rPr>
          <w:bCs/>
          <w:color w:val="002060"/>
          <w:sz w:val="16"/>
          <w:szCs w:val="16"/>
        </w:rPr>
        <w:t xml:space="preserve"> сентября (</w:t>
      </w:r>
      <w:r w:rsidRPr="00405303">
        <w:rPr>
          <w:bCs/>
          <w:color w:val="002060"/>
          <w:sz w:val="16"/>
          <w:szCs w:val="16"/>
        </w:rPr>
        <w:t>8</w:t>
      </w:r>
      <w:r w:rsidR="009E6F82" w:rsidRPr="00405303">
        <w:rPr>
          <w:bCs/>
          <w:color w:val="002060"/>
          <w:sz w:val="16"/>
          <w:szCs w:val="16"/>
        </w:rPr>
        <w:t xml:space="preserve"> октября) 1915 г. </w:t>
      </w:r>
      <w:r w:rsidRPr="00405303">
        <w:rPr>
          <w:bCs/>
          <w:color w:val="002060"/>
          <w:sz w:val="16"/>
          <w:szCs w:val="16"/>
        </w:rPr>
        <w:t>И. И. Голенищев-Кутузов</w:t>
      </w:r>
      <w:r w:rsidR="009E6F82" w:rsidRPr="00405303">
        <w:rPr>
          <w:bCs/>
          <w:color w:val="002060"/>
          <w:sz w:val="16"/>
          <w:szCs w:val="16"/>
        </w:rPr>
        <w:t xml:space="preserve"> подал очередную записку, согласно которой глиссер с водными и воздушными крыльями, движимый авиационными моторами и пропеллерами, надлежало разработать и собрать при тесном взаимодействии с Д. П. Григоровичем и ПРТВ. Таким образом, компании С. С. Щетинина выпадала честь осуществить на практике незауряд</w:t>
      </w:r>
      <w:r w:rsidR="009E6F82" w:rsidRPr="00405303">
        <w:rPr>
          <w:bCs/>
          <w:color w:val="002060"/>
          <w:sz w:val="16"/>
          <w:szCs w:val="16"/>
        </w:rPr>
        <w:softHyphen/>
        <w:t>ную идею И. И. Голенищева-Кутузова. Специалисты фирмы не отказались от задачи, тогда как 30 октября 1915 г. план постройки прототипа аэроглиссера получил одобрение Морского министра И. К. Григоровича</w:t>
      </w:r>
      <w:r w:rsidRPr="00405303">
        <w:rPr>
          <w:bCs/>
          <w:color w:val="002060"/>
          <w:sz w:val="16"/>
          <w:szCs w:val="16"/>
        </w:rPr>
        <w:t>.</w:t>
      </w:r>
    </w:p>
    <w:p w14:paraId="7B7AB98D" w14:textId="6498EC63" w:rsidR="004B4E35" w:rsidRPr="00405303" w:rsidRDefault="00994372" w:rsidP="00C15251">
      <w:pPr>
        <w:shd w:val="clear" w:color="auto" w:fill="FFFFFF"/>
        <w:jc w:val="both"/>
        <w:rPr>
          <w:bCs/>
          <w:color w:val="002060"/>
          <w:sz w:val="16"/>
          <w:szCs w:val="16"/>
        </w:rPr>
      </w:pPr>
      <w:r w:rsidRPr="00405303">
        <w:rPr>
          <w:bCs/>
          <w:color w:val="002060"/>
          <w:sz w:val="16"/>
          <w:szCs w:val="16"/>
        </w:rPr>
        <w:t>После начала боевых действий он представил начальству 3 проекта, предусматривав</w:t>
      </w:r>
      <w:r w:rsidRPr="00405303">
        <w:rPr>
          <w:bCs/>
          <w:color w:val="002060"/>
          <w:sz w:val="16"/>
          <w:szCs w:val="16"/>
        </w:rPr>
        <w:softHyphen/>
        <w:t>ших конструирование скоростных торпедных глиссеров и катеров, и даже катеров с ракетными двигате</w:t>
      </w:r>
      <w:r w:rsidRPr="00405303">
        <w:rPr>
          <w:bCs/>
          <w:color w:val="002060"/>
          <w:sz w:val="16"/>
          <w:szCs w:val="16"/>
        </w:rPr>
        <w:softHyphen/>
        <w:t>лями, но ни один из них не достиг стадии опытного строительства, отчасти из-за отсутствия моторов подходящего веса и мощности</w:t>
      </w:r>
      <w:r w:rsidR="000F5756">
        <w:rPr>
          <w:bCs/>
          <w:color w:val="002060"/>
          <w:sz w:val="16"/>
          <w:szCs w:val="16"/>
        </w:rPr>
        <w:t xml:space="preserve"> </w:t>
      </w:r>
      <w:r w:rsidR="009E6F82" w:rsidRPr="00405303">
        <w:rPr>
          <w:bCs/>
          <w:color w:val="002060"/>
          <w:sz w:val="16"/>
          <w:szCs w:val="16"/>
        </w:rPr>
        <w:t>(2807).</w:t>
      </w:r>
    </w:p>
    <w:p w14:paraId="2E2D5D18" w14:textId="77777777" w:rsidR="004B4E35" w:rsidRPr="00405303" w:rsidRDefault="004B4E35" w:rsidP="00C15251">
      <w:pPr>
        <w:shd w:val="clear" w:color="auto" w:fill="FFFFFF"/>
        <w:jc w:val="both"/>
        <w:rPr>
          <w:bCs/>
          <w:color w:val="002060"/>
          <w:sz w:val="16"/>
          <w:szCs w:val="16"/>
        </w:rPr>
      </w:pPr>
    </w:p>
    <w:p w14:paraId="1D5939C3" w14:textId="300954BA" w:rsidR="004B4E35" w:rsidRPr="00405303" w:rsidRDefault="009E6F82" w:rsidP="00C15251">
      <w:pPr>
        <w:shd w:val="clear" w:color="auto" w:fill="FFFFFF"/>
        <w:jc w:val="both"/>
        <w:rPr>
          <w:bCs/>
          <w:i/>
          <w:color w:val="002060"/>
          <w:sz w:val="16"/>
          <w:szCs w:val="16"/>
        </w:rPr>
      </w:pPr>
      <w:r w:rsidRPr="00405303">
        <w:rPr>
          <w:bCs/>
          <w:color w:val="002060"/>
          <w:sz w:val="16"/>
          <w:szCs w:val="16"/>
        </w:rPr>
        <w:t>25 сентября (</w:t>
      </w:r>
      <w:r w:rsidR="00994372" w:rsidRPr="00405303">
        <w:rPr>
          <w:bCs/>
          <w:color w:val="002060"/>
          <w:sz w:val="16"/>
          <w:szCs w:val="16"/>
        </w:rPr>
        <w:t>8</w:t>
      </w:r>
      <w:r w:rsidRPr="00405303">
        <w:rPr>
          <w:bCs/>
          <w:color w:val="002060"/>
          <w:sz w:val="16"/>
          <w:szCs w:val="16"/>
        </w:rPr>
        <w:t xml:space="preserve"> октября) 1915 </w:t>
      </w:r>
      <w:r w:rsidR="00994372" w:rsidRPr="00405303">
        <w:rPr>
          <w:bCs/>
          <w:color w:val="002060"/>
          <w:sz w:val="16"/>
          <w:szCs w:val="16"/>
        </w:rPr>
        <w:t>а</w:t>
      </w:r>
      <w:r w:rsidRPr="00405303">
        <w:rPr>
          <w:bCs/>
          <w:color w:val="002060"/>
          <w:sz w:val="16"/>
          <w:szCs w:val="16"/>
        </w:rPr>
        <w:t>кцизный чиновник Станислав Флорович Даш</w:t>
      </w:r>
      <w:r w:rsidRPr="00405303">
        <w:rPr>
          <w:bCs/>
          <w:color w:val="002060"/>
          <w:sz w:val="16"/>
          <w:szCs w:val="16"/>
        </w:rPr>
        <w:softHyphen/>
        <w:t xml:space="preserve">кевич сообщил начальнику штаба Кавказского военного округа об изобретении им приспособления, при помощи которого "каждая бомба, метаемая с аэроплана, может быть взорвана на желаемой высоте от места назначения, независимо от высоты, с которой она брошена". Это изобретение, представлявшее собой прототип дистанционного взрывателя для авиабомбы, к сожалению, не было реализовано </w:t>
      </w:r>
      <w:r w:rsidRPr="00405303">
        <w:rPr>
          <w:bCs/>
          <w:i/>
          <w:color w:val="002060"/>
          <w:sz w:val="16"/>
          <w:szCs w:val="16"/>
        </w:rPr>
        <w:t xml:space="preserve">(ЦГВИА. ф.2008, </w:t>
      </w:r>
      <w:proofErr w:type="gramStart"/>
      <w:r w:rsidRPr="00405303">
        <w:rPr>
          <w:bCs/>
          <w:i/>
          <w:color w:val="002060"/>
          <w:sz w:val="16"/>
          <w:szCs w:val="16"/>
        </w:rPr>
        <w:t>оп.З</w:t>
      </w:r>
      <w:proofErr w:type="gramEnd"/>
      <w:r w:rsidRPr="00405303">
        <w:rPr>
          <w:bCs/>
          <w:i/>
          <w:color w:val="002060"/>
          <w:sz w:val="16"/>
          <w:szCs w:val="16"/>
        </w:rPr>
        <w:t>, д.463, л.206).</w:t>
      </w:r>
    </w:p>
    <w:p w14:paraId="0309B1BB" w14:textId="77777777" w:rsidR="004B4E35" w:rsidRPr="00405303" w:rsidRDefault="004B4E35" w:rsidP="00C15251">
      <w:pPr>
        <w:shd w:val="clear" w:color="auto" w:fill="FFFFFF"/>
        <w:jc w:val="both"/>
        <w:rPr>
          <w:bCs/>
          <w:i/>
          <w:color w:val="002060"/>
          <w:sz w:val="16"/>
          <w:szCs w:val="16"/>
        </w:rPr>
      </w:pPr>
    </w:p>
    <w:p w14:paraId="360E770D" w14:textId="77777777" w:rsidR="00C1301F" w:rsidRPr="00405303" w:rsidRDefault="00C1301F" w:rsidP="00C15251">
      <w:pPr>
        <w:jc w:val="both"/>
        <w:rPr>
          <w:bCs/>
          <w:color w:val="002060"/>
          <w:sz w:val="16"/>
          <w:szCs w:val="16"/>
        </w:rPr>
      </w:pPr>
      <w:r w:rsidRPr="00405303">
        <w:rPr>
          <w:bCs/>
          <w:color w:val="002060"/>
          <w:sz w:val="16"/>
          <w:szCs w:val="16"/>
        </w:rPr>
        <w:lastRenderedPageBreak/>
        <w:t>25 сентября (8 октября) 1915 г. акцизный чиновник Станислав Флорович Дашкевич сообщил начальнику штаба Кавказского военного округа об изобре</w:t>
      </w:r>
      <w:r w:rsidRPr="00405303">
        <w:rPr>
          <w:bCs/>
          <w:color w:val="002060"/>
          <w:sz w:val="16"/>
          <w:szCs w:val="16"/>
        </w:rPr>
        <w:softHyphen/>
        <w:t>тении им приспособления, при помощи которого "каждая бомба, мета</w:t>
      </w:r>
      <w:r w:rsidRPr="00405303">
        <w:rPr>
          <w:bCs/>
          <w:color w:val="002060"/>
          <w:sz w:val="16"/>
          <w:szCs w:val="16"/>
        </w:rPr>
        <w:softHyphen/>
        <w:t>емая с аэроплана, может быть взорвана на желаемой высоте от места назначения, независимо от высоты, с которой она брошена". Это изоб</w:t>
      </w:r>
      <w:r w:rsidRPr="00405303">
        <w:rPr>
          <w:bCs/>
          <w:color w:val="002060"/>
          <w:sz w:val="16"/>
          <w:szCs w:val="16"/>
        </w:rPr>
        <w:softHyphen/>
        <w:t>ретение, представляющий собой дистанционный взрыватель для авиа</w:t>
      </w:r>
      <w:r w:rsidRPr="00405303">
        <w:rPr>
          <w:bCs/>
          <w:color w:val="002060"/>
          <w:sz w:val="16"/>
          <w:szCs w:val="16"/>
        </w:rPr>
        <w:softHyphen/>
        <w:t xml:space="preserve">бомбы, </w:t>
      </w:r>
      <w:proofErr w:type="gramStart"/>
      <w:r w:rsidRPr="00405303">
        <w:rPr>
          <w:bCs/>
          <w:color w:val="002060"/>
          <w:sz w:val="16"/>
          <w:szCs w:val="16"/>
        </w:rPr>
        <w:t>к сожалению</w:t>
      </w:r>
      <w:proofErr w:type="gramEnd"/>
      <w:r w:rsidRPr="00405303">
        <w:rPr>
          <w:bCs/>
          <w:color w:val="002060"/>
          <w:sz w:val="16"/>
          <w:szCs w:val="16"/>
        </w:rPr>
        <w:t xml:space="preserve"> не было реализовано.</w:t>
      </w:r>
    </w:p>
    <w:p w14:paraId="63F9FA5F" w14:textId="77777777" w:rsidR="00C1301F" w:rsidRPr="00405303" w:rsidRDefault="00C1301F" w:rsidP="00C15251">
      <w:pPr>
        <w:jc w:val="both"/>
        <w:rPr>
          <w:bCs/>
          <w:color w:val="002060"/>
          <w:sz w:val="16"/>
          <w:szCs w:val="16"/>
        </w:rPr>
      </w:pPr>
      <w:r w:rsidRPr="00405303">
        <w:rPr>
          <w:bCs/>
          <w:color w:val="002060"/>
          <w:sz w:val="16"/>
          <w:szCs w:val="16"/>
        </w:rPr>
        <w:t>/ЦГВИА, ф. 2008, оп. 3, д. 463, л. 20б/ (23320).</w:t>
      </w:r>
    </w:p>
    <w:p w14:paraId="080707C0" w14:textId="77777777" w:rsidR="00C1301F" w:rsidRPr="00405303" w:rsidRDefault="00C1301F" w:rsidP="00C15251">
      <w:pPr>
        <w:jc w:val="both"/>
        <w:rPr>
          <w:bCs/>
          <w:color w:val="002060"/>
          <w:sz w:val="16"/>
          <w:szCs w:val="16"/>
        </w:rPr>
      </w:pPr>
    </w:p>
    <w:p w14:paraId="25F3F5C7" w14:textId="492AE889" w:rsidR="004B4E35" w:rsidRPr="00405303" w:rsidRDefault="009E6F82" w:rsidP="00C15251">
      <w:pPr>
        <w:jc w:val="both"/>
        <w:rPr>
          <w:bCs/>
          <w:color w:val="002060"/>
          <w:sz w:val="16"/>
          <w:szCs w:val="16"/>
        </w:rPr>
      </w:pPr>
      <w:r w:rsidRPr="00405303">
        <w:rPr>
          <w:bCs/>
          <w:color w:val="002060"/>
          <w:sz w:val="16"/>
          <w:szCs w:val="16"/>
        </w:rPr>
        <w:t>25 сентября (</w:t>
      </w:r>
      <w:r w:rsidR="00994372" w:rsidRPr="00405303">
        <w:rPr>
          <w:bCs/>
          <w:color w:val="002060"/>
          <w:sz w:val="16"/>
          <w:szCs w:val="16"/>
        </w:rPr>
        <w:t>8</w:t>
      </w:r>
      <w:r w:rsidRPr="00405303">
        <w:rPr>
          <w:bCs/>
          <w:color w:val="002060"/>
          <w:sz w:val="16"/>
          <w:szCs w:val="16"/>
        </w:rPr>
        <w:t xml:space="preserve"> октября) 1915 г. изобретатель С. Ф. Дашкевич писал начальнику штаба Кавказского военного округа о том, что им изобретена "модель приспособления, при помощи которого каждая бомба, метаемая с аэроплана, может быть взорвана на желаемой высоте от места назначения независимо от высоты, с которой она брошена". К сожалению, чертежи этого приспособления обнаружить не удалось, но по некоторым данным можно предположить, что С. Ф. Дашкевич сконструировал прибор, действовавший по барометрическому принципу. Капсюль авиабомбы разбивался механизмом, срабатывавшим от анероидной коробки на заранее установленной высоте, независимо от высоты сбрасывания бомбы. Как утверждал изобретатель, предварительные испытания устройства дали удовлетворительные результаты. Проект "дистанционной аэрошрапнели" был разработан Н. Д. Анощенко (11237).</w:t>
      </w:r>
    </w:p>
    <w:p w14:paraId="1B289888" w14:textId="77777777" w:rsidR="004B4E35" w:rsidRPr="00405303" w:rsidRDefault="004B4E35" w:rsidP="00C15251">
      <w:pPr>
        <w:jc w:val="both"/>
        <w:rPr>
          <w:bCs/>
          <w:color w:val="002060"/>
          <w:sz w:val="16"/>
          <w:szCs w:val="16"/>
        </w:rPr>
      </w:pPr>
    </w:p>
    <w:p w14:paraId="7F705D96" w14:textId="77777777" w:rsidR="00F729B9" w:rsidRPr="00405303" w:rsidRDefault="00F729B9" w:rsidP="00C15251">
      <w:pPr>
        <w:jc w:val="both"/>
        <w:rPr>
          <w:bCs/>
          <w:i/>
          <w:color w:val="002060"/>
          <w:sz w:val="16"/>
          <w:szCs w:val="16"/>
        </w:rPr>
      </w:pPr>
      <w:r w:rsidRPr="00405303">
        <w:rPr>
          <w:bCs/>
          <w:i/>
          <w:color w:val="002060"/>
          <w:sz w:val="16"/>
          <w:szCs w:val="16"/>
        </w:rPr>
        <w:t>Другие оборонные отрасли:</w:t>
      </w:r>
    </w:p>
    <w:p w14:paraId="14C34EF0" w14:textId="77777777" w:rsidR="00F729B9" w:rsidRPr="00405303" w:rsidRDefault="00F729B9" w:rsidP="00C15251">
      <w:pPr>
        <w:jc w:val="both"/>
        <w:rPr>
          <w:bCs/>
          <w:i/>
          <w:color w:val="002060"/>
          <w:sz w:val="16"/>
          <w:szCs w:val="16"/>
        </w:rPr>
      </w:pPr>
    </w:p>
    <w:p w14:paraId="23B80204" w14:textId="55DA3477" w:rsidR="00F729B9" w:rsidRPr="00405303" w:rsidRDefault="00F729B9" w:rsidP="00C15251">
      <w:pPr>
        <w:pStyle w:val="p1"/>
        <w:spacing w:before="0" w:beforeAutospacing="0" w:after="0" w:afterAutospacing="0"/>
        <w:jc w:val="both"/>
        <w:rPr>
          <w:bCs/>
          <w:color w:val="002060"/>
          <w:sz w:val="16"/>
          <w:szCs w:val="16"/>
        </w:rPr>
      </w:pPr>
      <w:r w:rsidRPr="00405303">
        <w:rPr>
          <w:bCs/>
          <w:color w:val="002060"/>
          <w:sz w:val="16"/>
          <w:szCs w:val="16"/>
        </w:rPr>
        <w:t xml:space="preserve">С 25 сентября </w:t>
      </w:r>
      <w:r w:rsidR="00994372" w:rsidRPr="00405303">
        <w:rPr>
          <w:bCs/>
          <w:color w:val="002060"/>
          <w:sz w:val="16"/>
          <w:szCs w:val="16"/>
        </w:rPr>
        <w:t xml:space="preserve">(8 октября) </w:t>
      </w:r>
      <w:r w:rsidRPr="00405303">
        <w:rPr>
          <w:bCs/>
          <w:color w:val="002060"/>
          <w:sz w:val="16"/>
          <w:szCs w:val="16"/>
        </w:rPr>
        <w:t xml:space="preserve">по 13 </w:t>
      </w:r>
      <w:r w:rsidR="00994372" w:rsidRPr="00405303">
        <w:rPr>
          <w:bCs/>
          <w:color w:val="002060"/>
          <w:sz w:val="16"/>
          <w:szCs w:val="16"/>
        </w:rPr>
        <w:t xml:space="preserve">(39) </w:t>
      </w:r>
      <w:r w:rsidRPr="00405303">
        <w:rPr>
          <w:bCs/>
          <w:color w:val="002060"/>
          <w:sz w:val="16"/>
          <w:szCs w:val="16"/>
        </w:rPr>
        <w:t>ноября 1915 г. отправлено было из США в Россию 1880 «повозок Студебеккера» пятью пароходами (из них один, «Сигурд» с 13 машинами, пропал в пути) и приготовлены к отправке еще 120, а предполагалось (в ноябре 1915 г.) заказать за границей (в США, Франции, Италии) 2541 машину в счет потребности, рассчитанной по середину 1916 г. (общий размер ее — 3012 полуторатонных и 372 однотонные машины). Когда ГУГШ снова затребовало ассигнования на закупку автомобилей 1712 тысяч руб., то в основном рассчитывал на заказы у иностранных фирм. Но междуведомственное совещание отказало ввиду того, что «надеяться на возможность покупки автомобилей за границей в настоящее время совершенно не приходится». То есть если и купить, то «едва ли удастся» доставить их в Россию — «за крайней ограниченностью свободного фрахта». Поэтому ГУГШ получило, санкцию междуведомственного совещания на приобретение машин лишь в России — на 152 тысячи руб. Однако в 1917 г. выявилось отсутствие машин на русском рынке (18409).</w:t>
      </w:r>
    </w:p>
    <w:p w14:paraId="6532091A" w14:textId="77777777" w:rsidR="00F729B9" w:rsidRPr="00405303" w:rsidRDefault="00F729B9" w:rsidP="00C15251">
      <w:pPr>
        <w:pStyle w:val="p1"/>
        <w:spacing w:before="0" w:beforeAutospacing="0" w:after="0" w:afterAutospacing="0"/>
        <w:jc w:val="both"/>
        <w:rPr>
          <w:bCs/>
          <w:color w:val="002060"/>
          <w:sz w:val="16"/>
          <w:szCs w:val="16"/>
        </w:rPr>
      </w:pPr>
    </w:p>
    <w:p w14:paraId="4B940662" w14:textId="69C22440" w:rsidR="00F729B9" w:rsidRPr="00405303" w:rsidRDefault="00994372" w:rsidP="00C15251">
      <w:pPr>
        <w:pStyle w:val="p1"/>
        <w:spacing w:before="0" w:beforeAutospacing="0" w:after="0" w:afterAutospacing="0"/>
        <w:jc w:val="both"/>
        <w:rPr>
          <w:bCs/>
          <w:color w:val="002060"/>
          <w:sz w:val="16"/>
          <w:szCs w:val="16"/>
        </w:rPr>
      </w:pPr>
      <w:r w:rsidRPr="00405303">
        <w:rPr>
          <w:bCs/>
          <w:color w:val="002060"/>
          <w:sz w:val="16"/>
          <w:szCs w:val="16"/>
        </w:rPr>
        <w:t>С 25 сентября (8 октября) по 13 (</w:t>
      </w:r>
      <w:r w:rsidR="003A4025" w:rsidRPr="00405303">
        <w:rPr>
          <w:bCs/>
          <w:color w:val="002060"/>
          <w:sz w:val="16"/>
          <w:szCs w:val="16"/>
        </w:rPr>
        <w:t>2</w:t>
      </w:r>
      <w:r w:rsidRPr="00405303">
        <w:rPr>
          <w:bCs/>
          <w:color w:val="002060"/>
          <w:sz w:val="16"/>
          <w:szCs w:val="16"/>
        </w:rPr>
        <w:t xml:space="preserve">9) ноября </w:t>
      </w:r>
      <w:r w:rsidR="00F729B9" w:rsidRPr="00405303">
        <w:rPr>
          <w:bCs/>
          <w:color w:val="002060"/>
          <w:sz w:val="16"/>
          <w:szCs w:val="16"/>
        </w:rPr>
        <w:t xml:space="preserve">1915 г. отправлено было из США в Россию 1880 «повозок Студебеккера» пятью пароходами (из них один, «Сигурд» с 13 машинами, пропал в пути) и приготовлены к отправке еще 120, а предполагалось (в ноябре 1915 г.) заказать за границей (в США, Франции, Италии) 2541 машину в счет потребности, рассчитанной по середину 1916 г. (общий размер ее — 3012 полуторатонных и 372 однотонные машины).[153] Когда ГУГШ снова затребовало ассигнования на закупку автомобилей 1712 тысяч руб., то в основном рассчитывал на заказы у иностранных фирм. Но междуведомственное совещание отказало ввиду того, что «надеяться на возможность покупки автомобилей за границей в настоящее время совершенно не приходится». То есть если и купить, то «едва ли удастся» доставить их в Россию — «за крайней ограниченностью свободного фрахта». Поэтому ГУГШ получило, санкцию междуведомственного совещания на приобретение машин лишь в России — на 152 тысячи </w:t>
      </w:r>
      <w:proofErr w:type="gramStart"/>
      <w:r w:rsidR="00F729B9" w:rsidRPr="00405303">
        <w:rPr>
          <w:bCs/>
          <w:color w:val="002060"/>
          <w:sz w:val="16"/>
          <w:szCs w:val="16"/>
        </w:rPr>
        <w:t>руб.</w:t>
      </w:r>
      <w:r w:rsidR="00F729B9" w:rsidRPr="00405303">
        <w:rPr>
          <w:bCs/>
          <w:color w:val="002060"/>
          <w:sz w:val="16"/>
          <w:szCs w:val="16"/>
          <w:vertAlign w:val="superscript"/>
        </w:rPr>
        <w:t>{</w:t>
      </w:r>
      <w:proofErr w:type="gramEnd"/>
      <w:r w:rsidR="00F729B9" w:rsidRPr="00405303">
        <w:rPr>
          <w:bCs/>
          <w:color w:val="002060"/>
          <w:sz w:val="16"/>
          <w:szCs w:val="16"/>
          <w:vertAlign w:val="superscript"/>
        </w:rPr>
        <w:t>612}</w:t>
      </w:r>
      <w:r w:rsidR="00DB4D64" w:rsidRPr="00405303">
        <w:rPr>
          <w:bCs/>
          <w:color w:val="002060"/>
          <w:sz w:val="16"/>
          <w:szCs w:val="16"/>
        </w:rPr>
        <w:t xml:space="preserve"> </w:t>
      </w:r>
      <w:r w:rsidR="00F729B9" w:rsidRPr="00405303">
        <w:rPr>
          <w:bCs/>
          <w:color w:val="002060"/>
          <w:sz w:val="16"/>
          <w:szCs w:val="16"/>
        </w:rPr>
        <w:t>Однако в 1917 г. выявилось отсутствие машин на русском рынке (18366).</w:t>
      </w:r>
    </w:p>
    <w:p w14:paraId="08C5B293" w14:textId="77777777" w:rsidR="00F729B9" w:rsidRPr="00405303" w:rsidRDefault="00F729B9" w:rsidP="00C15251">
      <w:pPr>
        <w:pStyle w:val="p1"/>
        <w:spacing w:before="0" w:beforeAutospacing="0" w:after="0" w:afterAutospacing="0"/>
        <w:jc w:val="both"/>
        <w:rPr>
          <w:bCs/>
          <w:color w:val="002060"/>
          <w:sz w:val="16"/>
          <w:szCs w:val="16"/>
        </w:rPr>
      </w:pPr>
    </w:p>
    <w:p w14:paraId="73E06D13" w14:textId="6225D2CF" w:rsidR="003A4025" w:rsidRPr="00405303" w:rsidRDefault="003A4025"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С 25 сентября (8 октября) по 13 (29) ноября 1915 г. из США в Россию было отправлено 1880 «повозок Студебеккера» пятью пароходами (из них один, «Сигурд» с 13 машинами, пропал в пути) и приготов</w:t>
      </w:r>
      <w:r w:rsidRPr="00405303">
        <w:rPr>
          <w:rFonts w:ascii="Times New Roman" w:hAnsi="Times New Roman" w:cs="Times New Roman"/>
          <w:bCs/>
          <w:color w:val="002060"/>
          <w:sz w:val="16"/>
          <w:szCs w:val="16"/>
        </w:rPr>
        <w:softHyphen/>
        <w:t>лены к отправке еще 1201, а предполагалось (в ноябре 1915 г.) заказать за границей (в США, Франции, Италии) 2541 машину в счет потребности, рассчитанной по середи</w:t>
      </w:r>
      <w:r w:rsidRPr="00405303">
        <w:rPr>
          <w:rFonts w:ascii="Times New Roman" w:hAnsi="Times New Roman" w:cs="Times New Roman"/>
          <w:bCs/>
          <w:color w:val="002060"/>
          <w:sz w:val="16"/>
          <w:szCs w:val="16"/>
        </w:rPr>
        <w:softHyphen/>
        <w:t xml:space="preserve">ну 1916 г. (общий размер ее — 3012 полуторатонных и 372 однотонные машины) (РГВИА. Ф. 2000. </w:t>
      </w:r>
      <w:r w:rsidRPr="00405303">
        <w:rPr>
          <w:rFonts w:ascii="Times New Roman" w:hAnsi="Times New Roman" w:cs="Times New Roman"/>
          <w:bCs/>
          <w:color w:val="002060"/>
          <w:sz w:val="16"/>
          <w:szCs w:val="16"/>
          <w:lang w:val="en-US" w:bidi="en-US"/>
        </w:rPr>
        <w:t>On</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1. Д. 5573. Л. 23. Н.Л. Голеевский - ГАУ, 9.1.1916; Там же. Ф. 369. Оп. 16. Д. 97. Л. 259. ГВТУ — Лукомскому, 12.1.1916. ГУГШ предупреждало тогда же, что нужда фронта в полуто</w:t>
      </w:r>
      <w:r w:rsidRPr="00405303">
        <w:rPr>
          <w:rFonts w:ascii="Times New Roman" w:hAnsi="Times New Roman" w:cs="Times New Roman"/>
          <w:bCs/>
          <w:color w:val="002060"/>
          <w:sz w:val="16"/>
          <w:szCs w:val="16"/>
        </w:rPr>
        <w:softHyphen/>
        <w:t>ратонных машинах значительно возрастет в дальнейшем, так как «пред</w:t>
      </w:r>
      <w:r w:rsidRPr="00405303">
        <w:rPr>
          <w:rFonts w:ascii="Times New Roman" w:hAnsi="Times New Roman" w:cs="Times New Roman"/>
          <w:bCs/>
          <w:color w:val="002060"/>
          <w:sz w:val="16"/>
          <w:szCs w:val="16"/>
        </w:rPr>
        <w:softHyphen/>
        <w:t>положено снабдить ими все пехотные и кавалерийские полки, батареи, штабы пехотных и кавалерийских дивизий — по одной [на] каждый» (Там же. Л. 259 об.)). Когда ГУГШ снова затребовало ассигнования на закупку автомобилей 1712 тысяч руб., то в основном рассчитывал на заказы у иностранных фирм. Но междуведомственное совещание отказало ввиду того, что «надеяться на возможность покупки автомобилей за границей в настоящее время совершенно не приходится». То есть если и купить, то «едва ли удастся» доставить их в Россию — «за крайней ограниченностью свободного фрах</w:t>
      </w:r>
      <w:r w:rsidRPr="00405303">
        <w:rPr>
          <w:rFonts w:ascii="Times New Roman" w:hAnsi="Times New Roman" w:cs="Times New Roman"/>
          <w:bCs/>
          <w:color w:val="002060"/>
          <w:sz w:val="16"/>
          <w:szCs w:val="16"/>
        </w:rPr>
        <w:softHyphen/>
        <w:t>та». Поэтому ГУГШ получило, санкцию междуведомствен</w:t>
      </w:r>
      <w:r w:rsidRPr="00405303">
        <w:rPr>
          <w:rFonts w:ascii="Times New Roman" w:hAnsi="Times New Roman" w:cs="Times New Roman"/>
          <w:bCs/>
          <w:color w:val="002060"/>
          <w:sz w:val="16"/>
          <w:szCs w:val="16"/>
        </w:rPr>
        <w:softHyphen/>
        <w:t>ного совещания на приобретение машин лишь в России — на 152 тысячи руб (Там же. Ф. 369. Оп. 10. Д. 10. Л. 4 и об. Журнал Междуведомствен</w:t>
      </w:r>
      <w:r w:rsidRPr="00405303">
        <w:rPr>
          <w:rFonts w:ascii="Times New Roman" w:hAnsi="Times New Roman" w:cs="Times New Roman"/>
          <w:bCs/>
          <w:color w:val="002060"/>
          <w:sz w:val="16"/>
          <w:szCs w:val="16"/>
        </w:rPr>
        <w:softHyphen/>
        <w:t xml:space="preserve">ного совещания по поверке расходов, заседания 2.IX— </w:t>
      </w:r>
      <w:r w:rsidRPr="00405303">
        <w:rPr>
          <w:rFonts w:ascii="Times New Roman" w:hAnsi="Times New Roman" w:cs="Times New Roman"/>
          <w:bCs/>
          <w:color w:val="002060"/>
          <w:sz w:val="16"/>
          <w:szCs w:val="16"/>
          <w:lang w:bidi="en-US"/>
        </w:rPr>
        <w:t>19.</w:t>
      </w:r>
      <w:r w:rsidRPr="00405303">
        <w:rPr>
          <w:rFonts w:ascii="Times New Roman" w:hAnsi="Times New Roman" w:cs="Times New Roman"/>
          <w:bCs/>
          <w:color w:val="002060"/>
          <w:sz w:val="16"/>
          <w:szCs w:val="16"/>
          <w:lang w:val="en-US" w:bidi="en-US"/>
        </w:rPr>
        <w:t>XII</w:t>
      </w:r>
      <w:r w:rsidRPr="00405303">
        <w:rPr>
          <w:rFonts w:ascii="Times New Roman" w:hAnsi="Times New Roman" w:cs="Times New Roman"/>
          <w:bCs/>
          <w:color w:val="002060"/>
          <w:sz w:val="16"/>
          <w:szCs w:val="16"/>
          <w:lang w:bidi="en-US"/>
        </w:rPr>
        <w:t>.1916</w:t>
      </w:r>
      <w:r w:rsidRPr="00405303">
        <w:rPr>
          <w:rFonts w:ascii="Times New Roman" w:hAnsi="Times New Roman" w:cs="Times New Roman"/>
          <w:bCs/>
          <w:color w:val="002060"/>
          <w:sz w:val="16"/>
          <w:szCs w:val="16"/>
        </w:rPr>
        <w:t>). Однако в 1917 г. выявилось отсутствие машин на русском рынке (23452). Там же. Ф. 369. Оп. 10. Д. 10. Л. 4 и об. Журнал Междуведомствен</w:t>
      </w:r>
      <w:r w:rsidRPr="00405303">
        <w:rPr>
          <w:rFonts w:ascii="Times New Roman" w:hAnsi="Times New Roman" w:cs="Times New Roman"/>
          <w:bCs/>
          <w:color w:val="002060"/>
          <w:sz w:val="16"/>
          <w:szCs w:val="16"/>
        </w:rPr>
        <w:softHyphen/>
        <w:t xml:space="preserve">ного совещания по поверке расходов, заседания 2.IX— </w:t>
      </w:r>
      <w:r w:rsidRPr="00405303">
        <w:rPr>
          <w:rFonts w:ascii="Times New Roman" w:hAnsi="Times New Roman" w:cs="Times New Roman"/>
          <w:bCs/>
          <w:color w:val="002060"/>
          <w:sz w:val="16"/>
          <w:szCs w:val="16"/>
          <w:lang w:bidi="en-US"/>
        </w:rPr>
        <w:t>19.</w:t>
      </w:r>
      <w:r w:rsidRPr="00405303">
        <w:rPr>
          <w:rFonts w:ascii="Times New Roman" w:hAnsi="Times New Roman" w:cs="Times New Roman"/>
          <w:bCs/>
          <w:color w:val="002060"/>
          <w:sz w:val="16"/>
          <w:szCs w:val="16"/>
          <w:lang w:val="en-US" w:bidi="en-US"/>
        </w:rPr>
        <w:t>XII</w:t>
      </w:r>
      <w:r w:rsidRPr="00405303">
        <w:rPr>
          <w:rFonts w:ascii="Times New Roman" w:hAnsi="Times New Roman" w:cs="Times New Roman"/>
          <w:bCs/>
          <w:color w:val="002060"/>
          <w:sz w:val="16"/>
          <w:szCs w:val="16"/>
          <w:lang w:bidi="en-US"/>
        </w:rPr>
        <w:t>.1916</w:t>
      </w:r>
    </w:p>
    <w:p w14:paraId="03C5575C" w14:textId="77777777" w:rsidR="003A4025" w:rsidRPr="00405303" w:rsidRDefault="003A4025" w:rsidP="00C15251">
      <w:pPr>
        <w:jc w:val="both"/>
        <w:rPr>
          <w:bCs/>
          <w:color w:val="002060"/>
          <w:sz w:val="16"/>
          <w:szCs w:val="16"/>
          <w:lang w:bidi="ru-RU"/>
        </w:rPr>
      </w:pPr>
    </w:p>
    <w:p w14:paraId="681E4632" w14:textId="2B6055AE" w:rsidR="003A4025" w:rsidRPr="00405303" w:rsidRDefault="003A4025" w:rsidP="00C15251">
      <w:pPr>
        <w:jc w:val="both"/>
        <w:rPr>
          <w:bCs/>
          <w:i/>
          <w:color w:val="002060"/>
          <w:sz w:val="16"/>
          <w:szCs w:val="16"/>
        </w:rPr>
      </w:pPr>
      <w:r w:rsidRPr="00405303">
        <w:rPr>
          <w:bCs/>
          <w:i/>
          <w:color w:val="002060"/>
          <w:sz w:val="16"/>
          <w:szCs w:val="16"/>
        </w:rPr>
        <w:t>Авиация:</w:t>
      </w:r>
    </w:p>
    <w:p w14:paraId="4BCE30B2" w14:textId="77777777" w:rsidR="003A4025" w:rsidRPr="00405303" w:rsidRDefault="003A4025" w:rsidP="00C15251">
      <w:pPr>
        <w:jc w:val="both"/>
        <w:rPr>
          <w:bCs/>
          <w:i/>
          <w:color w:val="002060"/>
          <w:sz w:val="16"/>
          <w:szCs w:val="16"/>
        </w:rPr>
      </w:pPr>
    </w:p>
    <w:p w14:paraId="402F00B2" w14:textId="01EEBEFC" w:rsidR="003A4025" w:rsidRPr="00405303" w:rsidRDefault="003A4025" w:rsidP="00C15251">
      <w:pPr>
        <w:jc w:val="both"/>
        <w:rPr>
          <w:bCs/>
          <w:color w:val="002060"/>
          <w:sz w:val="16"/>
          <w:szCs w:val="16"/>
        </w:rPr>
      </w:pPr>
      <w:bookmarkStart w:id="251" w:name="bookmark269"/>
      <w:bookmarkStart w:id="252" w:name="bookmark270"/>
      <w:bookmarkStart w:id="253" w:name="bookmark271"/>
      <w:r w:rsidRPr="00405303">
        <w:rPr>
          <w:bCs/>
          <w:color w:val="002060"/>
          <w:sz w:val="16"/>
          <w:szCs w:val="16"/>
        </w:rPr>
        <w:t>25 сентября (8 октября) 1915 г. в небе над Ригой появились два немецких аэроплана, сбросившие на его жилые кварталы девять бомб (не причинили большого вреда). В последующие дни противник неоднократно подвергал воздушной бомбардировке ст. Вилейка, Барановичи, Кайданово и Каменец-Подольск. При этом активность действий его ВВФ заметно возросла. Только в течение дня 1 октября немецкая авиация бомбардировала г. Минск, Рига, Каменец-Подольск, Усть- Двинск, станцию Огерь и многие другие объекты («без ущерба нашим военным интересам») (23405).</w:t>
      </w:r>
      <w:bookmarkEnd w:id="251"/>
      <w:bookmarkEnd w:id="252"/>
      <w:bookmarkEnd w:id="253"/>
    </w:p>
    <w:p w14:paraId="663A72F2" w14:textId="77777777" w:rsidR="003A4025" w:rsidRPr="00405303" w:rsidRDefault="003A4025" w:rsidP="00C15251">
      <w:pPr>
        <w:jc w:val="both"/>
        <w:rPr>
          <w:bCs/>
          <w:color w:val="002060"/>
          <w:sz w:val="16"/>
          <w:szCs w:val="16"/>
          <w:lang w:bidi="ru-RU"/>
        </w:rPr>
      </w:pPr>
    </w:p>
    <w:p w14:paraId="23606422" w14:textId="6C77D25D"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43EE1EB4" w14:textId="77777777" w:rsidR="004B4E35" w:rsidRPr="00405303" w:rsidRDefault="004B4E35" w:rsidP="00C15251">
      <w:pPr>
        <w:jc w:val="both"/>
        <w:rPr>
          <w:bCs/>
          <w:i/>
          <w:color w:val="002060"/>
          <w:sz w:val="16"/>
          <w:szCs w:val="16"/>
        </w:rPr>
      </w:pPr>
    </w:p>
    <w:p w14:paraId="211CBBA1" w14:textId="240AF360" w:rsidR="004B4E35" w:rsidRPr="00405303" w:rsidRDefault="009E6F82" w:rsidP="00C15251">
      <w:pPr>
        <w:jc w:val="both"/>
        <w:rPr>
          <w:bCs/>
          <w:color w:val="002060"/>
          <w:sz w:val="16"/>
          <w:szCs w:val="16"/>
        </w:rPr>
      </w:pPr>
      <w:r w:rsidRPr="00405303">
        <w:rPr>
          <w:bCs/>
          <w:color w:val="002060"/>
          <w:sz w:val="16"/>
          <w:szCs w:val="16"/>
        </w:rPr>
        <w:t xml:space="preserve">25 сентября </w:t>
      </w:r>
      <w:r w:rsidR="00994372" w:rsidRPr="00405303">
        <w:rPr>
          <w:bCs/>
          <w:color w:val="002060"/>
          <w:sz w:val="16"/>
          <w:szCs w:val="16"/>
        </w:rPr>
        <w:t xml:space="preserve">(8 октября) 1915 г. </w:t>
      </w:r>
      <w:r w:rsidRPr="00405303">
        <w:rPr>
          <w:bCs/>
          <w:color w:val="002060"/>
          <w:sz w:val="16"/>
          <w:szCs w:val="16"/>
        </w:rPr>
        <w:t>самолёты "Орлицы" корректировали огонь линкора "Слава" и миноносцев по неприятельским позициям около Риги. "Орлица" было безрезультатно отаковано немецкими аэропланами, сбросившими на неё четыре бомбы. Шрапнельный огонь ее 75 мм орудий был недействителен, как и огонь её единственного зенитного орудия. После стрельбы выяснилось, что ударом газов от 75 мм орудий были повреждены аппараты в открытых ангарах "Орлицы", так что они не могли быть пущены в действие" (11927).</w:t>
      </w:r>
    </w:p>
    <w:p w14:paraId="6656D9F7" w14:textId="77777777" w:rsidR="004B4E35" w:rsidRPr="00405303" w:rsidRDefault="004B4E35" w:rsidP="00C15251">
      <w:pPr>
        <w:jc w:val="both"/>
        <w:rPr>
          <w:bCs/>
          <w:color w:val="002060"/>
          <w:sz w:val="16"/>
          <w:szCs w:val="16"/>
        </w:rPr>
      </w:pPr>
    </w:p>
    <w:p w14:paraId="459DF83E" w14:textId="1D09991F" w:rsidR="004B4E35" w:rsidRPr="00405303" w:rsidRDefault="009E6F82" w:rsidP="00C15251">
      <w:pPr>
        <w:jc w:val="both"/>
        <w:rPr>
          <w:bCs/>
          <w:color w:val="002060"/>
          <w:sz w:val="16"/>
          <w:szCs w:val="16"/>
        </w:rPr>
      </w:pPr>
      <w:r w:rsidRPr="00405303">
        <w:rPr>
          <w:bCs/>
          <w:color w:val="002060"/>
          <w:sz w:val="16"/>
          <w:szCs w:val="16"/>
        </w:rPr>
        <w:t xml:space="preserve">25 сентября </w:t>
      </w:r>
      <w:r w:rsidR="00994372" w:rsidRPr="00405303">
        <w:rPr>
          <w:bCs/>
          <w:color w:val="002060"/>
          <w:sz w:val="16"/>
          <w:szCs w:val="16"/>
        </w:rPr>
        <w:t xml:space="preserve">(8 октября) </w:t>
      </w:r>
      <w:r w:rsidRPr="00405303">
        <w:rPr>
          <w:bCs/>
          <w:color w:val="002060"/>
          <w:sz w:val="16"/>
          <w:szCs w:val="16"/>
        </w:rPr>
        <w:t>1915 г.</w:t>
      </w:r>
      <w:r w:rsidR="00994372" w:rsidRPr="00405303">
        <w:rPr>
          <w:bCs/>
          <w:color w:val="002060"/>
          <w:sz w:val="16"/>
          <w:szCs w:val="16"/>
        </w:rPr>
        <w:t xml:space="preserve"> было письмо начальника авиационного отдела службы связи Балтийского моря Б.П.Дудорова начальнику организационно-тактического отделения Морского генерального штаба капитану 2-го ранга Игнатьеву</w:t>
      </w:r>
      <w:r w:rsidRPr="00405303">
        <w:rPr>
          <w:bCs/>
          <w:color w:val="002060"/>
          <w:sz w:val="16"/>
          <w:szCs w:val="16"/>
        </w:rPr>
        <w:t>: "По дошедшим до меня сведениям из Франции прибыли в Архангельск на "Сарацине" 10 моторов "Моносупап", которые будут отправлены: пять в Балтийское и пять в Чёрное море. Нам приходится каждый день бороться с обнаглевшими немецкими аппаратами, между тем наличие моторов очень мало и запасных ни одного. Вследствие этого думаю, что в моторах на Балтийском море в данную минуту более острая нужда, чем на Чёрном, а потому прошу, устрой, чтобы эти 10 моторов были переданы Балтийскому морю и по возможности незамедлительно их доставить в Ревель.</w:t>
      </w:r>
    </w:p>
    <w:p w14:paraId="584930AC" w14:textId="77777777" w:rsidR="004B4E35" w:rsidRPr="00405303" w:rsidRDefault="009E6F82" w:rsidP="00C15251">
      <w:pPr>
        <w:jc w:val="both"/>
        <w:rPr>
          <w:bCs/>
          <w:color w:val="002060"/>
          <w:sz w:val="16"/>
          <w:szCs w:val="16"/>
        </w:rPr>
      </w:pPr>
      <w:r w:rsidRPr="00405303">
        <w:rPr>
          <w:bCs/>
          <w:color w:val="002060"/>
          <w:sz w:val="16"/>
          <w:szCs w:val="16"/>
        </w:rPr>
        <w:t>P.S. Случайно узнал, что ты выразился про Балтику: Дудоров говорит: только не "Щетини", а его лётчики ~ только "Щетинин". Думаю, тебе неверно осветили дело. Я признаю, что последняя лодка Щетинина лучше Ф.Б.А., но мы уже доли большой заказ на вторые раньше, чем первая была создано. Я был против второй, имевшейся в Ревеле, лодки "Щетинина". Впрочем, по существу большой разницы между Ф.Б.А. и новой лодкой "Щетинина" нет. Зарезан я не лодками, а моторами, да ещё тем, что Англия в своё время мой большой, донный до войны, заказ на моторы и аппараты "Шорта" и "Авро" не выполнила. Даст Бог, "Морисы", которые достал Щербачёв, помогут делу, хотя и поздновато.</w:t>
      </w:r>
    </w:p>
    <w:p w14:paraId="0ADD21A3" w14:textId="77777777" w:rsidR="004B4E35" w:rsidRPr="00405303" w:rsidRDefault="009E6F82" w:rsidP="00C15251">
      <w:pPr>
        <w:jc w:val="both"/>
        <w:rPr>
          <w:bCs/>
          <w:color w:val="002060"/>
          <w:sz w:val="16"/>
          <w:szCs w:val="16"/>
        </w:rPr>
      </w:pPr>
      <w:r w:rsidRPr="00405303">
        <w:rPr>
          <w:bCs/>
          <w:color w:val="002060"/>
          <w:sz w:val="16"/>
          <w:szCs w:val="16"/>
        </w:rPr>
        <w:t>Тут почти ежедневные воздушные бои и со вчерашнего дня соотношение сил почти всегда такое: на два наших пять немцев. Из восьми аппаратов, посланных 28 (августа) в Виндаву, дошло только четыре, а четыре вернулись из-за неисправностей в моторах, причём приходилось некоторых подбирать в море, рискуя подорвать миноносец. Верь, дорогой, душа болит и от злобы на немцев, у которых всё есть. Не сплю даже те редкие часы, которые не торчу на мости ко или не занят делами. Никого винить не хочу, а если, что и сорвётся, та от больной души. Твой Дудоров".</w:t>
      </w:r>
    </w:p>
    <w:p w14:paraId="606013F3" w14:textId="77777777" w:rsidR="004B4E35" w:rsidRPr="00405303" w:rsidRDefault="009E6F82" w:rsidP="00C15251">
      <w:pPr>
        <w:jc w:val="both"/>
        <w:rPr>
          <w:bCs/>
          <w:color w:val="002060"/>
          <w:sz w:val="16"/>
          <w:szCs w:val="16"/>
        </w:rPr>
      </w:pPr>
      <w:r w:rsidRPr="00405303">
        <w:rPr>
          <w:bCs/>
          <w:color w:val="002060"/>
          <w:sz w:val="16"/>
          <w:szCs w:val="16"/>
        </w:rPr>
        <w:lastRenderedPageBreak/>
        <w:t>Из письма Игнатьева Дудорову: "Дорогой мой Борис Петрович! Из моторов, прибывших на "Сарацине", на Балтийское море будет дано восемь, так как у Вас бесспорно более острая нужда, чем на Чёрном. "Морисов" достал не Щербачёв, о Тучков, так как без ходатайства Тучкова у Великого князя и Семковского ничего бы не вышло на мой взгляд... Роди Бога, не болей душой и не горюй. Всё наладится и всё утрясётся; надо только не покладая руки работать, стараясь поддерживать добрые отношения и веря в общее дело и людей" (11927).</w:t>
      </w:r>
    </w:p>
    <w:p w14:paraId="60EA31C9" w14:textId="601D1B64" w:rsidR="004B4E35" w:rsidRPr="00405303" w:rsidRDefault="004B4E35" w:rsidP="00C15251">
      <w:pPr>
        <w:jc w:val="both"/>
        <w:rPr>
          <w:bCs/>
          <w:color w:val="002060"/>
          <w:sz w:val="16"/>
          <w:szCs w:val="16"/>
        </w:rPr>
      </w:pPr>
    </w:p>
    <w:p w14:paraId="57B0A47E" w14:textId="2FE2549E" w:rsidR="008975DE" w:rsidRPr="00405303" w:rsidRDefault="008975DE" w:rsidP="00C15251">
      <w:pPr>
        <w:jc w:val="both"/>
        <w:rPr>
          <w:bCs/>
          <w:i/>
          <w:iCs/>
          <w:color w:val="002060"/>
          <w:sz w:val="16"/>
          <w:szCs w:val="16"/>
        </w:rPr>
      </w:pPr>
      <w:r w:rsidRPr="00405303">
        <w:rPr>
          <w:bCs/>
          <w:i/>
          <w:iCs/>
          <w:color w:val="002060"/>
          <w:sz w:val="16"/>
          <w:szCs w:val="16"/>
        </w:rPr>
        <w:t>Самолетостроение:</w:t>
      </w:r>
    </w:p>
    <w:p w14:paraId="4B12419F" w14:textId="77777777" w:rsidR="008975DE" w:rsidRPr="00405303" w:rsidRDefault="008975DE" w:rsidP="00C15251">
      <w:pPr>
        <w:jc w:val="both"/>
        <w:rPr>
          <w:bCs/>
          <w:i/>
          <w:iCs/>
          <w:color w:val="002060"/>
          <w:sz w:val="16"/>
          <w:szCs w:val="16"/>
        </w:rPr>
      </w:pPr>
    </w:p>
    <w:p w14:paraId="2A090102" w14:textId="77777777" w:rsidR="008975DE" w:rsidRPr="00405303" w:rsidRDefault="008975DE" w:rsidP="00C15251">
      <w:pPr>
        <w:jc w:val="both"/>
        <w:rPr>
          <w:bCs/>
          <w:color w:val="002060"/>
          <w:sz w:val="16"/>
          <w:szCs w:val="16"/>
        </w:rPr>
      </w:pPr>
      <w:r w:rsidRPr="00405303">
        <w:rPr>
          <w:bCs/>
          <w:color w:val="002060"/>
          <w:sz w:val="16"/>
          <w:szCs w:val="16"/>
        </w:rPr>
        <w:t>26 сентября (9 октября) 1915 года</w:t>
      </w:r>
    </w:p>
    <w:p w14:paraId="367873FB" w14:textId="77777777" w:rsidR="008975DE" w:rsidRPr="00405303" w:rsidRDefault="008975DE" w:rsidP="00C15251">
      <w:pPr>
        <w:jc w:val="both"/>
        <w:rPr>
          <w:bCs/>
          <w:color w:val="002060"/>
          <w:sz w:val="16"/>
          <w:szCs w:val="16"/>
        </w:rPr>
      </w:pPr>
      <w:r w:rsidRPr="00405303">
        <w:rPr>
          <w:bCs/>
          <w:color w:val="002060"/>
          <w:sz w:val="16"/>
          <w:szCs w:val="16"/>
        </w:rPr>
        <w:t>Копия.</w:t>
      </w:r>
    </w:p>
    <w:p w14:paraId="46063E3F" w14:textId="77777777" w:rsidR="008975DE" w:rsidRPr="00405303" w:rsidRDefault="008975DE" w:rsidP="00C15251">
      <w:pPr>
        <w:jc w:val="both"/>
        <w:rPr>
          <w:bCs/>
          <w:color w:val="002060"/>
          <w:sz w:val="16"/>
          <w:szCs w:val="16"/>
        </w:rPr>
      </w:pPr>
      <w:r w:rsidRPr="00405303">
        <w:rPr>
          <w:bCs/>
          <w:color w:val="002060"/>
          <w:sz w:val="16"/>
          <w:szCs w:val="16"/>
        </w:rPr>
        <w:t>Совершенно секретно.</w:t>
      </w:r>
    </w:p>
    <w:p w14:paraId="788EDD76" w14:textId="77777777" w:rsidR="008975DE" w:rsidRPr="00405303" w:rsidRDefault="008975DE" w:rsidP="00C15251">
      <w:pPr>
        <w:jc w:val="both"/>
        <w:rPr>
          <w:bCs/>
          <w:color w:val="002060"/>
          <w:sz w:val="16"/>
          <w:szCs w:val="16"/>
        </w:rPr>
      </w:pPr>
      <w:r w:rsidRPr="00405303">
        <w:rPr>
          <w:bCs/>
          <w:color w:val="002060"/>
          <w:sz w:val="16"/>
          <w:szCs w:val="16"/>
        </w:rPr>
        <w:t>Журнал № 10</w:t>
      </w:r>
    </w:p>
    <w:p w14:paraId="1BD2EB42" w14:textId="671FF9AA" w:rsidR="008975DE" w:rsidRPr="00405303" w:rsidRDefault="008975DE" w:rsidP="00C15251">
      <w:pPr>
        <w:jc w:val="both"/>
        <w:rPr>
          <w:bCs/>
          <w:color w:val="002060"/>
          <w:sz w:val="16"/>
          <w:szCs w:val="16"/>
        </w:rPr>
      </w:pPr>
      <w:r w:rsidRPr="00405303">
        <w:rPr>
          <w:bCs/>
          <w:color w:val="002060"/>
          <w:sz w:val="16"/>
          <w:szCs w:val="16"/>
        </w:rPr>
        <w:t xml:space="preserve">Особого Совещания для обсуждения и </w:t>
      </w:r>
      <w:proofErr w:type="gramStart"/>
      <w:r w:rsidRPr="00405303">
        <w:rPr>
          <w:bCs/>
          <w:color w:val="002060"/>
          <w:sz w:val="16"/>
          <w:szCs w:val="16"/>
        </w:rPr>
        <w:t>объединения</w:t>
      </w:r>
      <w:r w:rsidR="000F5756">
        <w:rPr>
          <w:bCs/>
          <w:color w:val="002060"/>
          <w:sz w:val="16"/>
          <w:szCs w:val="16"/>
        </w:rPr>
        <w:t xml:space="preserve">  </w:t>
      </w:r>
      <w:r w:rsidRPr="00405303">
        <w:rPr>
          <w:bCs/>
          <w:color w:val="002060"/>
          <w:sz w:val="16"/>
          <w:szCs w:val="16"/>
        </w:rPr>
        <w:t>мероприятий</w:t>
      </w:r>
      <w:proofErr w:type="gramEnd"/>
      <w:r w:rsidRPr="00405303">
        <w:rPr>
          <w:bCs/>
          <w:color w:val="002060"/>
          <w:sz w:val="16"/>
          <w:szCs w:val="16"/>
        </w:rPr>
        <w:t xml:space="preserve"> по обороне государства.</w:t>
      </w:r>
    </w:p>
    <w:p w14:paraId="05981254" w14:textId="77777777" w:rsidR="008975DE" w:rsidRPr="00405303" w:rsidRDefault="008975DE" w:rsidP="00C15251">
      <w:pPr>
        <w:jc w:val="both"/>
        <w:rPr>
          <w:bCs/>
          <w:color w:val="002060"/>
          <w:sz w:val="16"/>
          <w:szCs w:val="16"/>
        </w:rPr>
      </w:pPr>
      <w:r w:rsidRPr="00405303">
        <w:rPr>
          <w:bCs/>
          <w:color w:val="002060"/>
          <w:sz w:val="16"/>
          <w:szCs w:val="16"/>
        </w:rPr>
        <w:t>Заседание 26 сентября 1915 года.</w:t>
      </w:r>
    </w:p>
    <w:p w14:paraId="3603E1B4" w14:textId="40ADB927"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Председательствовал генерал от </w:t>
      </w:r>
      <w:proofErr w:type="gramStart"/>
      <w:r w:rsidR="008975DE" w:rsidRPr="00405303">
        <w:rPr>
          <w:bCs/>
          <w:color w:val="002060"/>
          <w:sz w:val="16"/>
          <w:szCs w:val="16"/>
        </w:rPr>
        <w:t>инфантерии....</w:t>
      </w:r>
      <w:proofErr w:type="gramEnd"/>
      <w:r w:rsidR="008975DE" w:rsidRPr="00405303">
        <w:rPr>
          <w:bCs/>
          <w:color w:val="002060"/>
          <w:sz w:val="16"/>
          <w:szCs w:val="16"/>
        </w:rPr>
        <w:t>.А. А. Поливанов.</w:t>
      </w:r>
    </w:p>
    <w:p w14:paraId="4DF69147" w14:textId="07E6A617"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Присутствовали:</w:t>
      </w:r>
    </w:p>
    <w:p w14:paraId="0730374C" w14:textId="1881A5F4"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ПредседательГосударственногоСовета</w:t>
      </w:r>
    </w:p>
    <w:p w14:paraId="5FC624AA" w14:textId="334FB530"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Член Государственного Совета......</w:t>
      </w:r>
    </w:p>
    <w:p w14:paraId="4F798797" w14:textId="4FC0CADE"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w:t>
      </w:r>
      <w:proofErr w:type="gramStart"/>
      <w:r w:rsidR="008975DE" w:rsidRPr="00405303">
        <w:rPr>
          <w:bCs/>
          <w:color w:val="002060"/>
          <w:sz w:val="16"/>
          <w:szCs w:val="16"/>
        </w:rPr>
        <w:t>» »</w:t>
      </w:r>
      <w:proofErr w:type="gramEnd"/>
      <w:r w:rsidR="008975DE" w:rsidRPr="00405303">
        <w:rPr>
          <w:bCs/>
          <w:color w:val="002060"/>
          <w:sz w:val="16"/>
          <w:szCs w:val="16"/>
        </w:rPr>
        <w:t xml:space="preserve"> »</w:t>
      </w:r>
      <w:proofErr w:type="gramStart"/>
      <w:r w:rsidR="008975DE" w:rsidRPr="00405303">
        <w:rPr>
          <w:bCs/>
          <w:color w:val="002060"/>
          <w:sz w:val="16"/>
          <w:szCs w:val="16"/>
        </w:rPr>
        <w:t>........................... .</w:t>
      </w:r>
      <w:proofErr w:type="gramEnd"/>
      <w:r w:rsidR="008975DE" w:rsidRPr="00405303">
        <w:rPr>
          <w:bCs/>
          <w:color w:val="002060"/>
          <w:sz w:val="16"/>
          <w:szCs w:val="16"/>
        </w:rPr>
        <w:t>г.</w:t>
      </w:r>
    </w:p>
    <w:p w14:paraId="04539309" w14:textId="17E5DAC4"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w:t>
      </w:r>
    </w:p>
    <w:p w14:paraId="153C7852" w14:textId="3ECF9E8A"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w:t>
      </w:r>
    </w:p>
    <w:p w14:paraId="4BE0902B" w14:textId="134CA560"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w:t>
      </w:r>
    </w:p>
    <w:p w14:paraId="0107AC2C" w14:textId="35224D85"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 » »............................</w:t>
      </w:r>
    </w:p>
    <w:p w14:paraId="1E64D2B4" w14:textId="169F26BB"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 » »............................</w:t>
      </w:r>
    </w:p>
    <w:p w14:paraId="1CF3F825" w14:textId="479B820D"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 » »............................</w:t>
      </w:r>
    </w:p>
    <w:p w14:paraId="56835D9F" w14:textId="736CB24F"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w:t>
      </w:r>
    </w:p>
    <w:p w14:paraId="08AB8B79" w14:textId="4F1D10AC"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Член Государственной Думы</w:t>
      </w:r>
    </w:p>
    <w:p w14:paraId="38124F90" w14:textId="3F28AA8D"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 » ».................</w:t>
      </w:r>
    </w:p>
    <w:p w14:paraId="31832067" w14:textId="67F6A7FD"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 » ».................</w:t>
      </w:r>
    </w:p>
    <w:p w14:paraId="0E7EE823" w14:textId="433E32A9"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w:t>
      </w:r>
    </w:p>
    <w:p w14:paraId="359C3C97" w14:textId="0D7D71C4"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 » ».................</w:t>
      </w:r>
    </w:p>
    <w:p w14:paraId="45CD3756" w14:textId="5744E0B5"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 » »................</w:t>
      </w:r>
    </w:p>
    <w:p w14:paraId="6CD0A6D8" w14:textId="383F2011"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w:t>
      </w:r>
    </w:p>
    <w:p w14:paraId="1B9DAD0C" w14:textId="34940509"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 » *.................</w:t>
      </w:r>
    </w:p>
    <w:p w14:paraId="0B047383" w14:textId="26CFBB6E"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w:t>
      </w:r>
    </w:p>
    <w:p w14:paraId="44D02D60" w14:textId="77777777" w:rsidR="008975DE" w:rsidRPr="00405303" w:rsidRDefault="008975DE"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А.Н. Куломзин.</w:t>
      </w:r>
    </w:p>
    <w:p w14:paraId="01698BFA" w14:textId="77777777" w:rsidR="008975DE" w:rsidRPr="00405303" w:rsidRDefault="008975DE"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С. И. Тимашев.</w:t>
      </w:r>
    </w:p>
    <w:p w14:paraId="492BAFF7" w14:textId="77777777" w:rsidR="008975DE" w:rsidRPr="00405303" w:rsidRDefault="008975DE" w:rsidP="00C15251">
      <w:pPr>
        <w:jc w:val="both"/>
        <w:rPr>
          <w:bCs/>
          <w:color w:val="002060"/>
          <w:sz w:val="16"/>
          <w:szCs w:val="16"/>
        </w:rPr>
      </w:pPr>
      <w:r w:rsidRPr="00405303">
        <w:rPr>
          <w:bCs/>
          <w:color w:val="002060"/>
          <w:sz w:val="16"/>
          <w:szCs w:val="16"/>
        </w:rPr>
        <w:t>___В. И. Тимирязев.</w:t>
      </w:r>
    </w:p>
    <w:p w14:paraId="2C0A6EC6" w14:textId="77777777" w:rsidR="008975DE" w:rsidRPr="00405303" w:rsidRDefault="008975DE" w:rsidP="00C15251">
      <w:pPr>
        <w:jc w:val="both"/>
        <w:rPr>
          <w:bCs/>
          <w:color w:val="002060"/>
          <w:sz w:val="16"/>
          <w:szCs w:val="16"/>
        </w:rPr>
      </w:pPr>
      <w:r w:rsidRPr="00405303">
        <w:rPr>
          <w:bCs/>
          <w:color w:val="002060"/>
          <w:sz w:val="16"/>
          <w:szCs w:val="16"/>
        </w:rPr>
        <w:t>.. А. С. Стишинский.</w:t>
      </w:r>
    </w:p>
    <w:p w14:paraId="27487148" w14:textId="77777777" w:rsidR="008975DE" w:rsidRPr="00405303" w:rsidRDefault="008975DE" w:rsidP="00C15251">
      <w:pPr>
        <w:jc w:val="both"/>
        <w:rPr>
          <w:bCs/>
          <w:color w:val="002060"/>
          <w:sz w:val="16"/>
          <w:szCs w:val="16"/>
        </w:rPr>
      </w:pPr>
      <w:r w:rsidRPr="00405303">
        <w:rPr>
          <w:bCs/>
          <w:color w:val="002060"/>
          <w:sz w:val="16"/>
          <w:szCs w:val="16"/>
        </w:rPr>
        <w:t>......А. Ф. Трепов.</w:t>
      </w:r>
    </w:p>
    <w:p w14:paraId="212E9859" w14:textId="77777777" w:rsidR="008975DE" w:rsidRPr="00405303" w:rsidRDefault="008975DE" w:rsidP="00C15251">
      <w:pPr>
        <w:jc w:val="both"/>
        <w:rPr>
          <w:bCs/>
          <w:color w:val="002060"/>
          <w:sz w:val="16"/>
          <w:szCs w:val="16"/>
        </w:rPr>
      </w:pPr>
      <w:r w:rsidRPr="00405303">
        <w:rPr>
          <w:bCs/>
          <w:color w:val="002060"/>
          <w:sz w:val="16"/>
          <w:szCs w:val="16"/>
        </w:rPr>
        <w:t>........В. И. Гурко.</w:t>
      </w:r>
    </w:p>
    <w:p w14:paraId="139742DC" w14:textId="77777777" w:rsidR="008975DE" w:rsidRPr="00405303" w:rsidRDefault="008975DE" w:rsidP="00C15251">
      <w:pPr>
        <w:jc w:val="both"/>
        <w:rPr>
          <w:bCs/>
          <w:color w:val="002060"/>
          <w:sz w:val="16"/>
          <w:szCs w:val="16"/>
        </w:rPr>
      </w:pPr>
      <w:r w:rsidRPr="00405303">
        <w:rPr>
          <w:bCs/>
          <w:color w:val="002060"/>
          <w:sz w:val="16"/>
          <w:szCs w:val="16"/>
        </w:rPr>
        <w:t>___ М. А. Стахович.</w:t>
      </w:r>
    </w:p>
    <w:p w14:paraId="2CECB210" w14:textId="77777777" w:rsidR="008975DE" w:rsidRPr="00405303" w:rsidRDefault="008975DE"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А. И. Мосолов.</w:t>
      </w:r>
    </w:p>
    <w:p w14:paraId="0F77D5E0" w14:textId="77777777" w:rsidR="008975DE" w:rsidRPr="00405303" w:rsidRDefault="008975DE" w:rsidP="00C15251">
      <w:pPr>
        <w:jc w:val="both"/>
        <w:rPr>
          <w:bCs/>
          <w:color w:val="002060"/>
          <w:sz w:val="16"/>
          <w:szCs w:val="16"/>
        </w:rPr>
      </w:pPr>
      <w:r w:rsidRPr="00405303">
        <w:rPr>
          <w:bCs/>
          <w:color w:val="002060"/>
          <w:sz w:val="16"/>
          <w:szCs w:val="16"/>
        </w:rPr>
        <w:t>......Ф. А. Иванов.</w:t>
      </w:r>
    </w:p>
    <w:p w14:paraId="03549F7C" w14:textId="77777777" w:rsidR="008975DE" w:rsidRPr="00405303" w:rsidRDefault="008975DE"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граф С. А. Толь.</w:t>
      </w:r>
    </w:p>
    <w:p w14:paraId="607718DC" w14:textId="77777777" w:rsidR="008975DE" w:rsidRPr="00405303" w:rsidRDefault="008975DE" w:rsidP="00C15251">
      <w:pPr>
        <w:jc w:val="both"/>
        <w:rPr>
          <w:bCs/>
          <w:color w:val="002060"/>
          <w:sz w:val="16"/>
          <w:szCs w:val="16"/>
        </w:rPr>
      </w:pPr>
      <w:r w:rsidRPr="00405303">
        <w:rPr>
          <w:bCs/>
          <w:color w:val="002060"/>
          <w:sz w:val="16"/>
          <w:szCs w:val="16"/>
        </w:rPr>
        <w:t>......И. А. Шебеко.</w:t>
      </w:r>
    </w:p>
    <w:p w14:paraId="54018E55" w14:textId="77777777" w:rsidR="008975DE" w:rsidRPr="00405303" w:rsidRDefault="008975DE" w:rsidP="00C15251">
      <w:pPr>
        <w:jc w:val="both"/>
        <w:rPr>
          <w:bCs/>
          <w:color w:val="002060"/>
          <w:sz w:val="16"/>
          <w:szCs w:val="16"/>
        </w:rPr>
      </w:pPr>
      <w:r w:rsidRPr="00405303">
        <w:rPr>
          <w:bCs/>
          <w:color w:val="002060"/>
          <w:sz w:val="16"/>
          <w:szCs w:val="16"/>
        </w:rPr>
        <w:t>.. И. И. Дмитрюков.</w:t>
      </w:r>
    </w:p>
    <w:p w14:paraId="5ABE3EA0" w14:textId="77777777" w:rsidR="008975DE" w:rsidRPr="00405303" w:rsidRDefault="008975DE" w:rsidP="00C15251">
      <w:pPr>
        <w:jc w:val="both"/>
        <w:rPr>
          <w:bCs/>
          <w:color w:val="002060"/>
          <w:sz w:val="16"/>
          <w:szCs w:val="16"/>
        </w:rPr>
      </w:pPr>
      <w:r w:rsidRPr="00405303">
        <w:rPr>
          <w:bCs/>
          <w:color w:val="002060"/>
          <w:sz w:val="16"/>
          <w:szCs w:val="16"/>
        </w:rPr>
        <w:t>А. А. Добровольский.</w:t>
      </w:r>
    </w:p>
    <w:p w14:paraId="4F75619B" w14:textId="77777777" w:rsidR="008975DE" w:rsidRPr="00405303" w:rsidRDefault="008975DE" w:rsidP="00C15251">
      <w:pPr>
        <w:jc w:val="both"/>
        <w:rPr>
          <w:bCs/>
          <w:color w:val="002060"/>
          <w:sz w:val="16"/>
          <w:szCs w:val="16"/>
        </w:rPr>
      </w:pPr>
      <w:r w:rsidRPr="00405303">
        <w:rPr>
          <w:bCs/>
          <w:color w:val="002060"/>
          <w:sz w:val="16"/>
          <w:szCs w:val="16"/>
        </w:rPr>
        <w:t>.... И.Н. Ефремов.</w:t>
      </w:r>
    </w:p>
    <w:p w14:paraId="652E5D36" w14:textId="77777777" w:rsidR="008975DE" w:rsidRPr="00405303" w:rsidRDefault="008975DE" w:rsidP="00C15251">
      <w:pPr>
        <w:jc w:val="both"/>
        <w:rPr>
          <w:bCs/>
          <w:color w:val="002060"/>
          <w:sz w:val="16"/>
          <w:szCs w:val="16"/>
        </w:rPr>
      </w:pPr>
      <w:r w:rsidRPr="00405303">
        <w:rPr>
          <w:bCs/>
          <w:color w:val="002060"/>
          <w:sz w:val="16"/>
          <w:szCs w:val="16"/>
        </w:rPr>
        <w:t>......Н.Е. Марков.</w:t>
      </w:r>
    </w:p>
    <w:p w14:paraId="3EBABBA8" w14:textId="77777777" w:rsidR="008975DE" w:rsidRPr="00405303" w:rsidRDefault="008975DE" w:rsidP="00C15251">
      <w:pPr>
        <w:jc w:val="both"/>
        <w:rPr>
          <w:bCs/>
          <w:color w:val="002060"/>
          <w:sz w:val="16"/>
          <w:szCs w:val="16"/>
        </w:rPr>
      </w:pPr>
      <w:r w:rsidRPr="00405303">
        <w:rPr>
          <w:bCs/>
          <w:color w:val="002060"/>
          <w:sz w:val="16"/>
          <w:szCs w:val="16"/>
        </w:rPr>
        <w:t>....... Н.В. Савич.</w:t>
      </w:r>
    </w:p>
    <w:p w14:paraId="1CBDEA1C" w14:textId="77777777" w:rsidR="008975DE" w:rsidRPr="00405303" w:rsidRDefault="008975DE"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Д.Н. Чихачев.</w:t>
      </w:r>
    </w:p>
    <w:p w14:paraId="3CCAF1FD" w14:textId="77777777" w:rsidR="008975DE" w:rsidRPr="00405303" w:rsidRDefault="008975DE"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В. В. Шульгин.</w:t>
      </w:r>
    </w:p>
    <w:p w14:paraId="50B24B21" w14:textId="77777777" w:rsidR="008975DE" w:rsidRPr="00405303" w:rsidRDefault="008975DE"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М. С. Аджемов.</w:t>
      </w:r>
    </w:p>
    <w:p w14:paraId="62F9111F" w14:textId="77777777" w:rsidR="008975DE" w:rsidRPr="00405303" w:rsidRDefault="008975DE" w:rsidP="00C15251">
      <w:pPr>
        <w:jc w:val="both"/>
        <w:rPr>
          <w:bCs/>
          <w:color w:val="002060"/>
          <w:sz w:val="16"/>
          <w:szCs w:val="16"/>
        </w:rPr>
      </w:pPr>
      <w:r w:rsidRPr="00405303">
        <w:rPr>
          <w:bCs/>
          <w:color w:val="002060"/>
          <w:sz w:val="16"/>
          <w:szCs w:val="16"/>
        </w:rPr>
        <w:t>.... Н.Н. Опочинин.</w:t>
      </w:r>
    </w:p>
    <w:p w14:paraId="0812ADD4" w14:textId="27BA5F41"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От военного министерства:</w:t>
      </w:r>
    </w:p>
    <w:p w14:paraId="4FA35024" w14:textId="744387B1"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Генерал от инфантерии____</w:t>
      </w:r>
    </w:p>
    <w:p w14:paraId="474662C6" w14:textId="33D34AD1"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Генерал-лейтенант .......</w:t>
      </w:r>
    </w:p>
    <w:p w14:paraId="72481CC5" w14:textId="6C5892CC"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Генерал от инфантерии____</w:t>
      </w:r>
    </w:p>
    <w:p w14:paraId="53849F69" w14:textId="517B0270"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Генерал-лейтенант .......</w:t>
      </w:r>
    </w:p>
    <w:p w14:paraId="21E46413" w14:textId="592C0EA9"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w:t>
      </w:r>
    </w:p>
    <w:p w14:paraId="51DFFA14" w14:textId="1F0DA0C8"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Генерал-майор ...........</w:t>
      </w:r>
    </w:p>
    <w:p w14:paraId="1889AE8E" w14:textId="3BF4C36F"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w:t>
      </w:r>
    </w:p>
    <w:p w14:paraId="74FA3687" w14:textId="3354EDE4"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 » »..................</w:t>
      </w:r>
    </w:p>
    <w:p w14:paraId="3E0ADB0B" w14:textId="49A238FB"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От морского министерства:</w:t>
      </w:r>
    </w:p>
    <w:p w14:paraId="41821488" w14:textId="588BCAC7"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Вице-адмирал.............</w:t>
      </w:r>
    </w:p>
    <w:p w14:paraId="365A6F96" w14:textId="77777777" w:rsidR="008975DE" w:rsidRPr="00405303" w:rsidRDefault="008975DE" w:rsidP="00C15251">
      <w:pPr>
        <w:jc w:val="both"/>
        <w:rPr>
          <w:bCs/>
          <w:color w:val="002060"/>
          <w:sz w:val="16"/>
          <w:szCs w:val="16"/>
        </w:rPr>
      </w:pPr>
      <w:r w:rsidRPr="00405303">
        <w:rPr>
          <w:bCs/>
          <w:color w:val="002060"/>
          <w:sz w:val="16"/>
          <w:szCs w:val="16"/>
        </w:rPr>
        <w:t>..... М. А. Беляев.</w:t>
      </w:r>
    </w:p>
    <w:p w14:paraId="4677A096" w14:textId="77777777" w:rsidR="008975DE" w:rsidRPr="00405303" w:rsidRDefault="008975DE" w:rsidP="00C15251">
      <w:pPr>
        <w:jc w:val="both"/>
        <w:rPr>
          <w:bCs/>
          <w:color w:val="002060"/>
          <w:sz w:val="16"/>
          <w:szCs w:val="16"/>
        </w:rPr>
      </w:pPr>
      <w:r w:rsidRPr="00405303">
        <w:rPr>
          <w:bCs/>
          <w:color w:val="002060"/>
          <w:sz w:val="16"/>
          <w:szCs w:val="16"/>
        </w:rPr>
        <w:t>... А. С. Лукомский.</w:t>
      </w:r>
    </w:p>
    <w:p w14:paraId="76588530" w14:textId="77777777" w:rsidR="008975DE" w:rsidRPr="00405303" w:rsidRDefault="008975DE" w:rsidP="00C15251">
      <w:pPr>
        <w:jc w:val="both"/>
        <w:rPr>
          <w:bCs/>
          <w:color w:val="002060"/>
          <w:sz w:val="16"/>
          <w:szCs w:val="16"/>
        </w:rPr>
      </w:pPr>
      <w:r w:rsidRPr="00405303">
        <w:rPr>
          <w:bCs/>
          <w:color w:val="002060"/>
          <w:sz w:val="16"/>
          <w:szCs w:val="16"/>
        </w:rPr>
        <w:t>А. 3. Мышлаевский.</w:t>
      </w:r>
    </w:p>
    <w:p w14:paraId="3CFA7574" w14:textId="77777777" w:rsidR="008975DE" w:rsidRPr="00405303" w:rsidRDefault="008975DE" w:rsidP="00C15251">
      <w:pPr>
        <w:jc w:val="both"/>
        <w:rPr>
          <w:bCs/>
          <w:color w:val="002060"/>
          <w:sz w:val="16"/>
          <w:szCs w:val="16"/>
        </w:rPr>
      </w:pPr>
      <w:r w:rsidRPr="00405303">
        <w:rPr>
          <w:bCs/>
          <w:color w:val="002060"/>
          <w:sz w:val="16"/>
          <w:szCs w:val="16"/>
        </w:rPr>
        <w:t>А. А. Маниковский.</w:t>
      </w:r>
    </w:p>
    <w:p w14:paraId="6F78B615" w14:textId="77777777" w:rsidR="008975DE" w:rsidRPr="00405303" w:rsidRDefault="008975DE"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Я. А. Бабиков.</w:t>
      </w:r>
    </w:p>
    <w:p w14:paraId="04EE46C2" w14:textId="77777777" w:rsidR="008975DE" w:rsidRPr="00405303" w:rsidRDefault="008975DE"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К. Н. Егорьев.</w:t>
      </w:r>
    </w:p>
    <w:p w14:paraId="441D2F28" w14:textId="77777777" w:rsidR="008975DE" w:rsidRPr="00405303" w:rsidRDefault="008975DE" w:rsidP="00C15251">
      <w:pPr>
        <w:jc w:val="both"/>
        <w:rPr>
          <w:bCs/>
          <w:color w:val="002060"/>
          <w:sz w:val="16"/>
          <w:szCs w:val="16"/>
        </w:rPr>
      </w:pPr>
      <w:r w:rsidRPr="00405303">
        <w:rPr>
          <w:bCs/>
          <w:color w:val="002060"/>
          <w:sz w:val="16"/>
          <w:szCs w:val="16"/>
        </w:rPr>
        <w:lastRenderedPageBreak/>
        <w:t>___А. А. Саткевич.</w:t>
      </w:r>
    </w:p>
    <w:p w14:paraId="2EA6F197" w14:textId="77777777" w:rsidR="008975DE" w:rsidRPr="00405303" w:rsidRDefault="008975DE" w:rsidP="00C15251">
      <w:pPr>
        <w:jc w:val="both"/>
        <w:rPr>
          <w:bCs/>
          <w:color w:val="002060"/>
          <w:sz w:val="16"/>
          <w:szCs w:val="16"/>
        </w:rPr>
      </w:pPr>
      <w:r w:rsidRPr="00405303">
        <w:rPr>
          <w:bCs/>
          <w:color w:val="002060"/>
          <w:sz w:val="16"/>
          <w:szCs w:val="16"/>
        </w:rPr>
        <w:t>. Б. М. Свидзинский.</w:t>
      </w:r>
    </w:p>
    <w:p w14:paraId="558F0273" w14:textId="0F100DA5"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 »</w:t>
      </w:r>
    </w:p>
    <w:p w14:paraId="6A5DD263" w14:textId="77777777" w:rsidR="008975DE" w:rsidRPr="00405303" w:rsidRDefault="008975DE" w:rsidP="00C15251">
      <w:pPr>
        <w:jc w:val="both"/>
        <w:rPr>
          <w:bCs/>
          <w:color w:val="002060"/>
          <w:sz w:val="16"/>
          <w:szCs w:val="16"/>
        </w:rPr>
      </w:pPr>
      <w:r w:rsidRPr="00405303">
        <w:rPr>
          <w:bCs/>
          <w:color w:val="002060"/>
          <w:sz w:val="16"/>
          <w:szCs w:val="16"/>
        </w:rPr>
        <w:t>Я. Я. Муравьев.</w:t>
      </w:r>
    </w:p>
    <w:p w14:paraId="2C5D0D49" w14:textId="77777777" w:rsidR="008975DE" w:rsidRPr="00405303" w:rsidRDefault="008975DE" w:rsidP="00C15251">
      <w:pPr>
        <w:jc w:val="both"/>
        <w:rPr>
          <w:bCs/>
          <w:color w:val="002060"/>
          <w:sz w:val="16"/>
          <w:szCs w:val="16"/>
        </w:rPr>
      </w:pPr>
      <w:r w:rsidRPr="00405303">
        <w:rPr>
          <w:bCs/>
          <w:color w:val="002060"/>
          <w:sz w:val="16"/>
          <w:szCs w:val="16"/>
        </w:rPr>
        <w:t>....В. К. Тирс.</w:t>
      </w:r>
    </w:p>
    <w:p w14:paraId="08D383E3" w14:textId="77777777" w:rsidR="008975DE" w:rsidRPr="00405303" w:rsidRDefault="008975DE" w:rsidP="00C15251">
      <w:pPr>
        <w:jc w:val="both"/>
        <w:rPr>
          <w:bCs/>
          <w:color w:val="002060"/>
          <w:sz w:val="16"/>
          <w:szCs w:val="16"/>
        </w:rPr>
      </w:pPr>
      <w:r w:rsidRPr="00405303">
        <w:rPr>
          <w:bCs/>
          <w:color w:val="002060"/>
          <w:sz w:val="16"/>
          <w:szCs w:val="16"/>
        </w:rPr>
        <w:t>От министерства финансов:</w:t>
      </w:r>
    </w:p>
    <w:p w14:paraId="35775130" w14:textId="65EE6A5A"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Тайный советник.............................В. В. Кузьминский.</w:t>
      </w:r>
    </w:p>
    <w:p w14:paraId="3D728158" w14:textId="01BE30DB"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От государственного контроля:</w:t>
      </w:r>
    </w:p>
    <w:p w14:paraId="6CD8DDD0" w14:textId="53A07160"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Тайный советник.............................М. И. Скипетров.</w:t>
      </w:r>
    </w:p>
    <w:p w14:paraId="56C27464" w14:textId="6AF03C6D"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От министерства путей сообщения:</w:t>
      </w:r>
    </w:p>
    <w:p w14:paraId="7CF7F5AB" w14:textId="62ECEECB"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Тайный советник................................ДСП. Козырев.</w:t>
      </w:r>
    </w:p>
    <w:p w14:paraId="4F989D0D" w14:textId="10129874"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От министерства торговли и промышленности:</w:t>
      </w:r>
    </w:p>
    <w:p w14:paraId="2CCDE659" w14:textId="2B77A9CA"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Действительный статский советник...............С.П. Веселаго.</w:t>
      </w:r>
    </w:p>
    <w:p w14:paraId="720AAA03" w14:textId="6E6043E8"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Статский советник...........................В. А. Рогожников.</w:t>
      </w:r>
    </w:p>
    <w:p w14:paraId="1E293273" w14:textId="46110A3F"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От центрального военно-промышленного комитета:</w:t>
      </w:r>
    </w:p>
    <w:p w14:paraId="2D8114E9" w14:textId="4E31768E"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Действительный статский советник...............А. И. Гучков.</w:t>
      </w:r>
    </w:p>
    <w:p w14:paraId="4C0BEBC9" w14:textId="78C49CA1"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Член Государственной Думы ..................А. И. Коновалов.</w:t>
      </w:r>
    </w:p>
    <w:p w14:paraId="00616041" w14:textId="5952E403"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Действительный статский советник...............Д С. Зернов.</w:t>
      </w:r>
    </w:p>
    <w:p w14:paraId="32B6561C" w14:textId="57D8C617"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Особо приглашенные в заседание:</w:t>
      </w:r>
    </w:p>
    <w:p w14:paraId="1812485E" w14:textId="1A27B0A3"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Действительный статский советник...В.П. Литвинов-Фалинский.</w:t>
      </w:r>
    </w:p>
    <w:p w14:paraId="106EF7FF" w14:textId="2485198C"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Член Государственного Совета ............. Н.Ф.фонДитмар.</w:t>
      </w:r>
    </w:p>
    <w:p w14:paraId="0C2CADCF" w14:textId="0F922FB9"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Инженер путей сообщения ..................барон Г. X. Майдель.</w:t>
      </w:r>
    </w:p>
    <w:p w14:paraId="29148C35" w14:textId="339F887C"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Делопроизводители Особого Совещания:</w:t>
      </w:r>
    </w:p>
    <w:p w14:paraId="145394F7" w14:textId="656FACF7"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Надворный советник.............................Л. Д. Тяжелое.</w:t>
      </w:r>
    </w:p>
    <w:p w14:paraId="658674AF" w14:textId="513E9F1A"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Коллежский асессор.............................Л.Н. Иванов.</w:t>
      </w:r>
    </w:p>
    <w:p w14:paraId="72375D2D" w14:textId="14906B20"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По открытии заседания Особое Совещание заслушало доклад наблюдательной комиссии по вопросу о деятельности акционерного общества Русско-Кубанской промышленной и нефтяной компании «Кубаноль», из коего выяснилось нижеследующее.</w:t>
      </w:r>
    </w:p>
    <w:p w14:paraId="50FE6E00" w14:textId="218F29CB"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Общество «Кубаноль» получило, согласно положению Военного Совета от 10 января 1915 г., заказ на 500 000 штук 3-дм. фугасных гранат, с условием поставки их в годичный срок и с обязательством поставить первую партию в 5000 гранат к 12 апреля 1915 г. Ввиду установления затем, что завод общества не имеет надлежащего оборудования для исполнения настоящего заказа и вообще не принимает почти никаких мер в сем направлении, 21 мая 1915 г. контракт с обществом ввиду безнадежности был расторгнут положением Военного Совета. Затем, ввиду ходатайства Великобританского посольства, а также благоприятного заключения центрального военно-промышленного комитета, обществу «Кубаноль» был вновь предоставлен, согласно положению Военного Совета от 23 июля 1915 г., заказ на 250 000 гранат с обязательством сдать в сентябре 1915 г. 5000 гранат, в октябре того же года 15 000, в ноябре и декабре того же года по 25 000 и далее по 30 000 гранат в месяц.</w:t>
      </w:r>
    </w:p>
    <w:p w14:paraId="4BCECA25" w14:textId="04FCAE3E"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Ныне из сообщения начальника Кубанской области выяснилось, что общество «Кубаноль» и к настоящему времени не увеличило своего оборудования до размеров, потребных для исполнения заказа и что при таких условиях заказ, принятый заводом, может быть выполнен не ранее как в продолжение шести лет.</w:t>
      </w:r>
    </w:p>
    <w:p w14:paraId="572DC69B" w14:textId="7C768E3E"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Усматривая из сего, что рассчитывать на исполнение заказа гранат обществом «Кубаноль» не представляется возможным и принимая во внимание, что, согласно уведомлению генерала Бабыча, успешная деятельность завода тормозится нецелесообразными действиями администрации завода, Особое Совещание единогласно признало необходимым принятие нижеследующих проектированных наблюдательной комиссией мер:</w:t>
      </w:r>
    </w:p>
    <w:p w14:paraId="122907FF" w14:textId="726AAB7A"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I.</w:t>
      </w:r>
      <w:r>
        <w:rPr>
          <w:bCs/>
          <w:color w:val="002060"/>
          <w:sz w:val="16"/>
          <w:szCs w:val="16"/>
        </w:rPr>
        <w:t xml:space="preserve">  </w:t>
      </w:r>
      <w:r w:rsidR="008975DE" w:rsidRPr="00405303">
        <w:rPr>
          <w:bCs/>
          <w:color w:val="002060"/>
          <w:sz w:val="16"/>
          <w:szCs w:val="16"/>
        </w:rPr>
        <w:t>Наложить, в порядке пункта 3 статьи 10 Положения об Особом Совещании по обороне государства, секвестр на завод в г. Екатеринодаре, принадлежащий акционерному обществу Русско-Кубанской промышленной и нефтяной компании «Кубаноль».</w:t>
      </w:r>
    </w:p>
    <w:p w14:paraId="4B247364" w14:textId="6F56DB68"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II.</w:t>
      </w:r>
      <w:r>
        <w:rPr>
          <w:bCs/>
          <w:color w:val="002060"/>
          <w:sz w:val="16"/>
          <w:szCs w:val="16"/>
        </w:rPr>
        <w:t xml:space="preserve"> </w:t>
      </w:r>
      <w:r w:rsidR="008975DE" w:rsidRPr="00405303">
        <w:rPr>
          <w:bCs/>
          <w:color w:val="002060"/>
          <w:sz w:val="16"/>
          <w:szCs w:val="16"/>
        </w:rPr>
        <w:t xml:space="preserve"> Сообщить прокурорскому надзору Екатеринодарского окружного суда о действиях правления общества, уклонившегося и допустившего уклонение лиц заводской администрации без уважительных на то причин от исполнения принятых заказов военного министерства, на предмет привлечения виновных к уголовной ответственности, установленной Высочайше утвержденным 13 мая сего года Положением Совета Министров (С. У. 1114.).</w:t>
      </w:r>
    </w:p>
    <w:p w14:paraId="506B8E2E" w14:textId="00C8E24E"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III.</w:t>
      </w:r>
      <w:r>
        <w:rPr>
          <w:bCs/>
          <w:color w:val="002060"/>
          <w:sz w:val="16"/>
          <w:szCs w:val="16"/>
        </w:rPr>
        <w:t xml:space="preserve"> </w:t>
      </w:r>
      <w:r w:rsidR="008975DE" w:rsidRPr="00405303">
        <w:rPr>
          <w:bCs/>
          <w:color w:val="002060"/>
          <w:sz w:val="16"/>
          <w:szCs w:val="16"/>
        </w:rPr>
        <w:t xml:space="preserve"> Сообщить министру торговли и промышленности сведения об участии в управлении заводом «Кубаноль» особой конторы, находящейся в Вене, а также австрийского акционерного общества «Galizische Karpathen Petroleum Gesellscgaft» на предмет возбуждения, в установленном для сего законом порядке, вопроса о прекращении в пределах империи деятельности акционерного общества Русско-Кубанской промышленной и нефтяной компании.</w:t>
      </w:r>
    </w:p>
    <w:p w14:paraId="493A6628" w14:textId="1B024BDD"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IV.</w:t>
      </w:r>
      <w:r>
        <w:rPr>
          <w:bCs/>
          <w:color w:val="002060"/>
          <w:sz w:val="16"/>
          <w:szCs w:val="16"/>
        </w:rPr>
        <w:t xml:space="preserve">  </w:t>
      </w:r>
      <w:r w:rsidR="008975DE" w:rsidRPr="00405303">
        <w:rPr>
          <w:bCs/>
          <w:color w:val="002060"/>
          <w:sz w:val="16"/>
          <w:szCs w:val="16"/>
        </w:rPr>
        <w:t>Сообщить о существе мероприятий, намеченных в отношении акционерного общества Русско-Кубанской промышленной и нефтяной компании министру иностранных дел на предмет доведения о сих мероприятиях до сведения Великобританского посольства.</w:t>
      </w:r>
    </w:p>
    <w:p w14:paraId="606DF880" w14:textId="1DDCB04D"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V.</w:t>
      </w:r>
      <w:r>
        <w:rPr>
          <w:bCs/>
          <w:color w:val="002060"/>
          <w:sz w:val="16"/>
          <w:szCs w:val="16"/>
        </w:rPr>
        <w:t xml:space="preserve">  </w:t>
      </w:r>
      <w:r w:rsidR="008975DE" w:rsidRPr="00405303">
        <w:rPr>
          <w:bCs/>
          <w:color w:val="002060"/>
          <w:sz w:val="16"/>
          <w:szCs w:val="16"/>
        </w:rPr>
        <w:t xml:space="preserve"> Признать настоятельно необходимым озаботиться подготовкой запаса достаточного числа лиц с техническим образованием, свободных от работ на нужды обороны в других ведомствах или вовсе не состоящих на государственной службе, для определения сих лиц по мере надобности на службу и технические работы в промышленных заведениях, занимающихся изготовлением снабжения армии, с тем чтобы в случае надобности Военный Министр испросил в установленном порядке надлежащие для осуществления этих мер полномочия.</w:t>
      </w:r>
    </w:p>
    <w:p w14:paraId="75E33CE2" w14:textId="3BFF88A6"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В связи с суждением Совещания о необходимости образования кадра специалистов для обеспечения техническим персоналом секвеструемых предприятий представитель центрального военно-промышленного комитета Д. С. Зернов возбудил вопрос о том, будет ли таковой кадр формироваться путем добровольного привлечения необходимых сил или же в этом направлении будут приниматься меры принудительного характера.</w:t>
      </w:r>
    </w:p>
    <w:p w14:paraId="29A3AA01" w14:textId="4B5BA366" w:rsidR="008975DE" w:rsidRPr="00405303" w:rsidRDefault="008975DE" w:rsidP="00C15251">
      <w:pPr>
        <w:jc w:val="both"/>
        <w:rPr>
          <w:bCs/>
          <w:color w:val="002060"/>
          <w:sz w:val="16"/>
          <w:szCs w:val="16"/>
        </w:rPr>
      </w:pPr>
      <w:r w:rsidRPr="00405303">
        <w:rPr>
          <w:bCs/>
          <w:color w:val="002060"/>
          <w:sz w:val="16"/>
          <w:szCs w:val="16"/>
        </w:rPr>
        <w:t>По этому предмету член Государственной Думы Н. Е. Марков высказал, что для образования вышеозначенного кадра должны быть приняты все меры, включая и принудительные, так как лишь при наличности такового кадра для предприятий, уклоняющихся от интенсивной работы на государственную</w:t>
      </w:r>
      <w:r w:rsidR="000F5756">
        <w:rPr>
          <w:bCs/>
          <w:color w:val="002060"/>
          <w:sz w:val="16"/>
          <w:szCs w:val="16"/>
        </w:rPr>
        <w:t xml:space="preserve"> </w:t>
      </w:r>
      <w:r w:rsidRPr="00405303">
        <w:rPr>
          <w:bCs/>
          <w:color w:val="002060"/>
          <w:sz w:val="16"/>
          <w:szCs w:val="16"/>
        </w:rPr>
        <w:t>оборону, будет иметь реальное значение угроза секвестра.</w:t>
      </w:r>
    </w:p>
    <w:p w14:paraId="06BDC49B" w14:textId="11DA0B10"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Засим член Государственного Совета Гурко, коему постановлением Особого Совещания от 23 сентября сего года было предложено окончательно редактировать проект положения о комиссиях по перенесению торгово-промышленных предприятий, сообщил о возникших у него сомнениях по некоторым статьям проекта.</w:t>
      </w:r>
    </w:p>
    <w:p w14:paraId="392C126D" w14:textId="62A3E925"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По поводу сего заявления Особое Совещание, признав необходимым внесение в проект некоторых новых мелких поправок, высказало в дополнение к указанным данным в заседании 23 сентября, </w:t>
      </w:r>
    </w:p>
    <w:p w14:paraId="6ACBA833" w14:textId="77777777" w:rsidR="008975DE" w:rsidRPr="00405303" w:rsidRDefault="008975DE" w:rsidP="00C15251">
      <w:pPr>
        <w:jc w:val="both"/>
        <w:rPr>
          <w:bCs/>
          <w:color w:val="002060"/>
          <w:sz w:val="16"/>
          <w:szCs w:val="16"/>
        </w:rPr>
      </w:pPr>
      <w:r w:rsidRPr="00405303">
        <w:rPr>
          <w:bCs/>
          <w:color w:val="002060"/>
          <w:sz w:val="16"/>
          <w:szCs w:val="16"/>
        </w:rPr>
        <w:t xml:space="preserve">1) что необходимо в проекте сохранить указание, что наложение взысканий за неисполнение распоряжений председателей эвакуационных комиссий зависит от подлежащих военных властей и </w:t>
      </w:r>
    </w:p>
    <w:p w14:paraId="2200AD1B" w14:textId="77777777" w:rsidR="008975DE" w:rsidRPr="00405303" w:rsidRDefault="008975DE" w:rsidP="00C15251">
      <w:pPr>
        <w:jc w:val="both"/>
        <w:rPr>
          <w:bCs/>
          <w:color w:val="002060"/>
          <w:sz w:val="16"/>
          <w:szCs w:val="16"/>
        </w:rPr>
      </w:pPr>
      <w:r w:rsidRPr="00405303">
        <w:rPr>
          <w:bCs/>
          <w:color w:val="002060"/>
          <w:sz w:val="16"/>
          <w:szCs w:val="16"/>
        </w:rPr>
        <w:t>2) что надлежит согласовать настоящий проект с положением 1914 г. об эвакуации государственных установлений, ибо он в целях объединения дела эвакуации должен обнимать также и эвакуацию названных установлений, равно как и сословно-общественных учреждений и имущество, имеющих государственное значение.</w:t>
      </w:r>
    </w:p>
    <w:p w14:paraId="0EFDB2F6" w14:textId="7BA0199D"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Перейдя далее к обсуждению проекта правил о пределах и порядке деятельности учрежденной при Особом Совещании эвакуационной комиссии, Особое Совещание не встретило возражений против утверждения статей 1, 3 и 4; статьи 5 и 6 Совещание признало подлежащими исключению. При обсуждении статьи 2 проекта вызвал возражение пункт б, коим на обязанность комиссии возлагается составление положения о комиссии по постепенной разгрузке Петрограда и его окрестностей и разработке плана его эвакуации. Член Государственной Думы И. И. Дмитрюков высказал по сему предмету, что пункт б является совершенно излишним, так как </w:t>
      </w:r>
      <w:r w:rsidR="008975DE" w:rsidRPr="00405303">
        <w:rPr>
          <w:bCs/>
          <w:color w:val="002060"/>
          <w:sz w:val="16"/>
          <w:szCs w:val="16"/>
        </w:rPr>
        <w:lastRenderedPageBreak/>
        <w:t>пункт а той же статьи возлагает на комиссию общую обязанность составления проектов положений о местных эвакуационных комиссиях; в компетенцию этих комиссий должны входить все вообще вопросы, касающиеся как принудительной эвакуации, так и добровольной, а потому введение особого пункта, говорящего об обязанности составления проекта эвакуационной Петроградской комиссии и внесение более детальных указаний о предметах ее деятельности отнюдь не представляется необходимым.</w:t>
      </w:r>
    </w:p>
    <w:p w14:paraId="35C74C27" w14:textId="4D0967DB"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Ввиду сего и принимая вместе с тем во внимание, что введение в подлежащее обнародованию положение указания о предполагаемой выработке плана эвакуации Петрограда произвело бы весьма тяжелое и крайне нежелательное впечатление на широкие массы, член Государственной Думы И. И. Дмитрюков высказал, что он считает пункт б подлежащим полностью исключению. К изложенному мнению присоединились члены Государственного Совета А. Ф. Трепов и А. И. Мосолов и члены Государственной Думы А. А. Добровольский, Н. Б. Марков и Н. В. Савич.</w:t>
      </w:r>
    </w:p>
    <w:p w14:paraId="39C14444" w14:textId="622A1705" w:rsidR="008975DE" w:rsidRPr="00405303" w:rsidRDefault="008975DE" w:rsidP="00C15251">
      <w:pPr>
        <w:jc w:val="both"/>
        <w:rPr>
          <w:bCs/>
          <w:color w:val="002060"/>
          <w:sz w:val="16"/>
          <w:szCs w:val="16"/>
        </w:rPr>
      </w:pPr>
      <w:r w:rsidRPr="00405303">
        <w:rPr>
          <w:bCs/>
          <w:color w:val="002060"/>
          <w:sz w:val="16"/>
          <w:szCs w:val="16"/>
        </w:rPr>
        <w:t>А.</w:t>
      </w:r>
      <w:r w:rsidR="000F5756">
        <w:rPr>
          <w:bCs/>
          <w:color w:val="002060"/>
          <w:sz w:val="16"/>
          <w:szCs w:val="16"/>
        </w:rPr>
        <w:t xml:space="preserve">  </w:t>
      </w:r>
      <w:r w:rsidRPr="00405303">
        <w:rPr>
          <w:bCs/>
          <w:color w:val="002060"/>
          <w:sz w:val="16"/>
          <w:szCs w:val="16"/>
        </w:rPr>
        <w:t>А. Добровольский присовокупил, что он возражает против пункта б не только в целях предотвращения могущей возникнуть среди населения паники, но и потому, что считает общую эвакуацию Петрограда недопустимой по соображениям, изложение которых он откладывает до того времени, когда вопрос этот будет поставлен на рассмотрение Особого Совещания по существу.</w:t>
      </w:r>
    </w:p>
    <w:p w14:paraId="4664C536" w14:textId="4482CF4E"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Большинство Совещания не разделило, однако, мнения названных 6 членов Совещания и высказалось за сохранение пункта б, с исключением лишь указания на проект эвакуации Петрограда.</w:t>
      </w:r>
    </w:p>
    <w:p w14:paraId="22EE80A9" w14:textId="6549414B"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Далее управляющий делами Особого Совещания генерал-лейтенант Бабиков доложил, в дополнение к заслушанным Особым Совещанием в заседании 23 сентября данным по делу о выдаче акционерному обществу «Саламандра» Томаса Фирт эвакуационного пособия и приобретении у него снарядного оборудования, нижеследующие дополнительные сведения.</w:t>
      </w:r>
    </w:p>
    <w:p w14:paraId="32CA9748" w14:textId="25B20881"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Согласно уведомлению министра торговли и промышленности по получении вверенным ему министерством уведомления о постановлении Особого Совещания относительно приобретения снарядного оборудования отделения завода Т. Фирта с передачей его казенному Пермскому заводу было немедленно сделано предложение правлению заводов Фирта начать по сему предмету переговоры.</w:t>
      </w:r>
    </w:p>
    <w:p w14:paraId="211A6E5D" w14:textId="3A8869A7"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Явившийся представитель завода заявил, что он соглашается продать эвакуированное оборудование снарядного отделения лишь под условием выдачи ему немедленно 750 тысяч руб. и остальных 375 тысяч руб. по сдаче первой партии оборудования. На выраженное министерством торговли и промышленности желание предварительно осмотреть оборудование представитель общества ответил решительным отказом. На таких условиях министерство торговли и промышленности не сочло возможным идти, ввиду постановления Особого Совещания, и кн. Шаховской высказал Военному Министру, что он считает необходимым реквизовать упомянутое оборудование.</w:t>
      </w:r>
    </w:p>
    <w:p w14:paraId="0E08AB06" w14:textId="19185A05"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Вследствие сего 24 сего сентября Председатель Особого Совещания постановил реквизовать снарядное оборудование с передачей Пермскому заводу, уполномочив на производство реквизиции министра торговли и промышленности.</w:t>
      </w:r>
    </w:p>
    <w:p w14:paraId="7D95B25C" w14:textId="00465D8E"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В дополнение к сему помощник Военного Министра генерал-лейтенант Лукомский доложил, что пособие заводу Томаса Фирт Председатель Особого Совещания положил выдать в настоящее время до общей суммы 500 000 руб., т. е. 420 000 руб. в дополнение к выданным уже 80 000 руб., ибо с реквизицией оборудования снарядного отделения этого завода размер подлежащей восстановлению части предприятия значительно уменьшится. При этом, если общество «Саламандра» представит документальные доказательства необходимости расходов по восстановлению,</w:t>
      </w:r>
      <w:r>
        <w:rPr>
          <w:bCs/>
          <w:color w:val="002060"/>
          <w:sz w:val="16"/>
          <w:szCs w:val="16"/>
        </w:rPr>
        <w:t xml:space="preserve"> </w:t>
      </w:r>
      <w:r w:rsidR="008975DE" w:rsidRPr="00405303">
        <w:rPr>
          <w:bCs/>
          <w:color w:val="002060"/>
          <w:sz w:val="16"/>
          <w:szCs w:val="16"/>
        </w:rPr>
        <w:t>превышающих эту сумму, то ему будет выдана дополнительная ссуда.</w:t>
      </w:r>
    </w:p>
    <w:p w14:paraId="72E86190" w14:textId="77777777" w:rsidR="008975DE" w:rsidRPr="00405303" w:rsidRDefault="008975DE" w:rsidP="00C15251">
      <w:pPr>
        <w:jc w:val="both"/>
        <w:rPr>
          <w:bCs/>
          <w:color w:val="002060"/>
          <w:sz w:val="16"/>
          <w:szCs w:val="16"/>
        </w:rPr>
      </w:pPr>
      <w:r w:rsidRPr="00405303">
        <w:rPr>
          <w:bCs/>
          <w:color w:val="002060"/>
          <w:sz w:val="16"/>
          <w:szCs w:val="16"/>
        </w:rPr>
        <w:t>Вместе с тем генерал-лейтенант Лукомский отметил, что подготовительная комиссия по общим вопросам в заключении своем, заслушанном Особым Совещанием 29 минувшего августа, признала желательным уплатить Томасу Фирт за приобретаемое у него оборудование по действительной стоимости, но не свыше 1 125 000 руб., с выдачей вперед 60 % этой суммы.</w:t>
      </w:r>
    </w:p>
    <w:p w14:paraId="57F3D21D" w14:textId="0C8C02C5"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В настоящее время необходимо решить, надлежит ли допустить предполагавшуюся подготовительной комиссией выдачу 60 % аванса.</w:t>
      </w:r>
    </w:p>
    <w:p w14:paraId="3FD085AA" w14:textId="71881295"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По поводу сего член Государственный Думы И. И. Дмитрюков высказал, что он считает неправильным фиксировать сумму, подлежащую уплате заводу «Саламандра» за реквизованное оборудование, основываясь на ссылке завода на сделку с Русским обществом изготовления снарядов и боевых припасов о приобретении означенного оборудования за 1 125 000 руб. При реквизиции надлежит платить по справедливой оценке за фактически имеющиеся налицо предметы; уплачивать же заранее установленную сумму, хотя бы и ввиду понесенных при эвакуации утрат, не представляется возможным.</w:t>
      </w:r>
    </w:p>
    <w:p w14:paraId="3DA4B083" w14:textId="39D553AA"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Некоторые другие члены Особого Совещания, высказавшиеся по настоящему вопросу, напротив, признавали соответственным, чтобы 1 125 000 руб. были уплачены обществу «Саламандра», поскольку сделка этой фирмы с Русским обществом представляется доказанной. В частности, член Государственной Думы А. А. Добровольский заявил, что по его мнению, было несправедливо предоставить фирме «Саламандра», которой обещано было содейстрие при эвакуации, доказывать стоимость реквизованного имущества в порядке оценки предметов оборудования, оказавшихся на станции назначения, а необходимо дать возможность этой фирме доказывать стоимость реквизованного имущества всякими доступными для нее средствами: на основании торгового баланса, страховых документов и т. д.</w:t>
      </w:r>
    </w:p>
    <w:p w14:paraId="72145EB0" w14:textId="7BDF347C"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Выслушав засим о заявлении члена Государственной Думы Н. Е. Маркова, что обнаружившаяся в деле выдачи заводу «Саламандра» пособия на восстановление медленность представляется недопустимой и что обстоятельства настоящего дела должны подлежать всестороннему обследованию, Особое Совещание присоединилось к пожеланию Н. Е. Маркова о передаче сего дела на рассмотрение наблюдательной комиссии.</w:t>
      </w:r>
    </w:p>
    <w:p w14:paraId="1281829F" w14:textId="7B715384"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По окончании прений по сему вопросу Председатель Особого Совещания высказал, что суждения по вопросу об уплате товариществу Томаса Фирта будут им приняты во внимание.</w:t>
      </w:r>
    </w:p>
    <w:p w14:paraId="0D7CCAD5" w14:textId="56824823"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Затем Совещание выслушало доклад главного военно-санитарного инспектора о снабжении армии медикаментами, перевязочными, хирургическими, дезинфекционными и предохранительными средствами.</w:t>
      </w:r>
    </w:p>
    <w:p w14:paraId="077E0248" w14:textId="77777777" w:rsidR="008975DE" w:rsidRPr="00405303" w:rsidRDefault="008975DE" w:rsidP="00C15251">
      <w:pPr>
        <w:jc w:val="both"/>
        <w:rPr>
          <w:bCs/>
          <w:color w:val="002060"/>
          <w:sz w:val="16"/>
          <w:szCs w:val="16"/>
        </w:rPr>
      </w:pPr>
      <w:r w:rsidRPr="00405303">
        <w:rPr>
          <w:bCs/>
          <w:color w:val="002060"/>
          <w:sz w:val="16"/>
          <w:szCs w:val="16"/>
        </w:rPr>
        <w:t>По поводу сего доклада член Государственной Думы И. И. Дмитрюков высказал, что он считает положение дела санитарного снабжения крайне неудовлетворительным. Военно-санитарное ведомство основывается не столько на действительных требованиях жизни, сколько на указаниях утвержденных каталогов. Состояние военно-лечебных заведений, по сравнению с подобными же учреждениями общественных организаций, весьма плохо, что подтверждается общим мнением всех лиц, состоявших на излечении в военных госпиталях и лазаретах. Объяснение по поводу такого положения дела И. И. Дмитрюков желал бы получить от представителя военно-санитарного ведомства.</w:t>
      </w:r>
    </w:p>
    <w:p w14:paraId="082A40C7" w14:textId="759763A8"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Член Государственного Совета М. А. Стахович возразил по этому поводу, что, не отрицая неудовлетворительного состояния санитарного снабжения армии, он не считает, однако, возможным ставить военно-санитарному ведомству упрек, что его лечебные заведения оборудованы хуже заведений общественных организаций, ибо частные и общественные организации принимают в свои заведения лишь избыток больных и раненых, в то время как военное ведомство должно обслуживать основную потребность армии в лечебных средствах; при этом лечебные заведения общественных организаций принимают лишь то количество больных, которое они могут фактически содержать, тогда как военно-лечебным заведениям приходится нередко принимать, в силу необходимости, больных и раненых в количестве, далеко превышающем меру возможности.</w:t>
      </w:r>
    </w:p>
    <w:p w14:paraId="5803C3BF" w14:textId="17DDC03D"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Член Государственной Думы Н. Е. Марков добавил к этому, что не может быть и речи об упреках военно-санитарному ведомству за худшее состояние его лечебных заведений по сравнению с частными, ибо частные организации получают от казны громадные денежные отпуски и, не будучи стесненными установленными нормами, могут оборудовать и содержать свои заведения не только с комфортом, но и с роскошью, и он не сомневается, что состояние военно-лечебных было бы не хуже, если бы отпущенные общественным организациям средства были вместо того предоставлены военному ведомству.</w:t>
      </w:r>
    </w:p>
    <w:p w14:paraId="23794BBB" w14:textId="6597A5D7"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Согласившись затем с предложением, внесенным членом Государственного Совета А. И. Гучковым, Особое Совещание постановило дальнейшие прения по существу вопроса о санитарном снабжении армии отложить до рассмотрения имеющих быть представленными Особому Совещанию конкретных докладов о заготовлениях военно-санитарного ведомства.</w:t>
      </w:r>
    </w:p>
    <w:p w14:paraId="7F5B1A80" w14:textId="00E91937"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В дальнейшем управляющий делами Особого Совещания генерал-лейтенант Бабиков доложил Особому Совещанию, что Председатель центрального военно-промышленного комитета возбудил вопрос о желательности организации вывоза из Швеции продуктов, необходимых для изготовления предметов государственной обороны. Для этого, по его мнению, признавалось бы соответственным:</w:t>
      </w:r>
    </w:p>
    <w:p w14:paraId="65148AF9" w14:textId="609E7C03" w:rsidR="008975DE" w:rsidRPr="00405303" w:rsidRDefault="000F5756" w:rsidP="00C15251">
      <w:pPr>
        <w:jc w:val="both"/>
        <w:rPr>
          <w:bCs/>
          <w:color w:val="002060"/>
          <w:sz w:val="16"/>
          <w:szCs w:val="16"/>
        </w:rPr>
      </w:pPr>
      <w:r>
        <w:rPr>
          <w:bCs/>
          <w:color w:val="002060"/>
          <w:sz w:val="16"/>
          <w:szCs w:val="16"/>
        </w:rPr>
        <w:lastRenderedPageBreak/>
        <w:t xml:space="preserve"> </w:t>
      </w:r>
      <w:r w:rsidR="008975DE" w:rsidRPr="00405303">
        <w:rPr>
          <w:bCs/>
          <w:color w:val="002060"/>
          <w:sz w:val="16"/>
          <w:szCs w:val="16"/>
        </w:rPr>
        <w:t xml:space="preserve"> 1.</w:t>
      </w:r>
      <w:r>
        <w:rPr>
          <w:bCs/>
          <w:color w:val="002060"/>
          <w:sz w:val="16"/>
          <w:szCs w:val="16"/>
        </w:rPr>
        <w:t xml:space="preserve">  </w:t>
      </w:r>
      <w:r w:rsidR="008975DE" w:rsidRPr="00405303">
        <w:rPr>
          <w:bCs/>
          <w:color w:val="002060"/>
          <w:sz w:val="16"/>
          <w:szCs w:val="16"/>
        </w:rPr>
        <w:t>Возможно безотлагательно командировать в Швецию доверенное лицо, имеющее некоторые связи в шведских торговых кругах, для всестороннего выяснения условий рынка и обследования возможности завязать отношения с одной из крупных шведских фирм.</w:t>
      </w:r>
    </w:p>
    <w:p w14:paraId="602450A4" w14:textId="3AA69B5D" w:rsidR="008975DE" w:rsidRPr="00405303" w:rsidRDefault="008975DE" w:rsidP="00C15251">
      <w:pPr>
        <w:jc w:val="both"/>
        <w:rPr>
          <w:bCs/>
          <w:color w:val="002060"/>
          <w:sz w:val="16"/>
          <w:szCs w:val="16"/>
        </w:rPr>
      </w:pPr>
      <w:r w:rsidRPr="00405303">
        <w:rPr>
          <w:bCs/>
          <w:color w:val="002060"/>
          <w:sz w:val="16"/>
          <w:szCs w:val="16"/>
        </w:rPr>
        <w:t>2.</w:t>
      </w:r>
      <w:r w:rsidR="000F5756">
        <w:rPr>
          <w:bCs/>
          <w:color w:val="002060"/>
          <w:sz w:val="16"/>
          <w:szCs w:val="16"/>
        </w:rPr>
        <w:t xml:space="preserve">  </w:t>
      </w:r>
      <w:r w:rsidRPr="00405303">
        <w:rPr>
          <w:bCs/>
          <w:color w:val="002060"/>
          <w:sz w:val="16"/>
          <w:szCs w:val="16"/>
        </w:rPr>
        <w:t>Поручить выбранной сим лицом фирме право производить от своего имени закупки или быть посредником по продаже за счет России.</w:t>
      </w:r>
    </w:p>
    <w:p w14:paraId="6C3689C7" w14:textId="1E50B528"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3.</w:t>
      </w:r>
      <w:r>
        <w:rPr>
          <w:bCs/>
          <w:color w:val="002060"/>
          <w:sz w:val="16"/>
          <w:szCs w:val="16"/>
        </w:rPr>
        <w:t xml:space="preserve">  </w:t>
      </w:r>
      <w:r w:rsidR="008975DE" w:rsidRPr="00405303">
        <w:rPr>
          <w:bCs/>
          <w:color w:val="002060"/>
          <w:sz w:val="16"/>
          <w:szCs w:val="16"/>
        </w:rPr>
        <w:t>Поместить соответствующую будущим закупкам сумму в шведских кронах в шведский банк.</w:t>
      </w:r>
    </w:p>
    <w:p w14:paraId="03508E35" w14:textId="025FEB2A"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4.</w:t>
      </w:r>
      <w:r>
        <w:rPr>
          <w:bCs/>
          <w:color w:val="002060"/>
          <w:sz w:val="16"/>
          <w:szCs w:val="16"/>
        </w:rPr>
        <w:t xml:space="preserve">  </w:t>
      </w:r>
      <w:r w:rsidR="008975DE" w:rsidRPr="00405303">
        <w:rPr>
          <w:bCs/>
          <w:color w:val="002060"/>
          <w:sz w:val="16"/>
          <w:szCs w:val="16"/>
        </w:rPr>
        <w:t>Командировать одного или нескольких агентов, снабженных достаточно широкими полномочиями, для совместной работы с избранной для закупок шведской фирмой.</w:t>
      </w:r>
    </w:p>
    <w:p w14:paraId="446C44EC" w14:textId="288F6B7B"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5.</w:t>
      </w:r>
      <w:r>
        <w:rPr>
          <w:bCs/>
          <w:color w:val="002060"/>
          <w:sz w:val="16"/>
          <w:szCs w:val="16"/>
        </w:rPr>
        <w:t xml:space="preserve">  </w:t>
      </w:r>
      <w:r w:rsidR="008975DE" w:rsidRPr="00405303">
        <w:rPr>
          <w:bCs/>
          <w:color w:val="002060"/>
          <w:sz w:val="16"/>
          <w:szCs w:val="16"/>
        </w:rPr>
        <w:t>Поручить этим же агентам организовать совместно с избранной на то фирмой дело вывоза транзитных грузов.</w:t>
      </w:r>
    </w:p>
    <w:p w14:paraId="089CD806" w14:textId="24C60B08"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При этом, ввиду близости Швеции к Петрограду и возможности непосредственного сообщения с ней, было бы излишним давать им столь неограниченные полномочия, как это имело место по отношению к членам американской делегации: вместе с сим цель их пребывания здесь должна была бы оставаться по возможности неизвестной.</w:t>
      </w:r>
    </w:p>
    <w:p w14:paraId="041810D6" w14:textId="4F13F6C8"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Приняв во внимание заключение статс-секретаря С. И. Тимашева, высказавшегося, что при настоящих условиях ввиду сильного германского влияния в Швеции производить закупки там открыто от лица Русского правительства не представляется возможным, Особое Совещание признало желательным принять меры к разысканию пользующейся большим влиянием в Швеции фирмы, которая согласилась бы производить от своего имени закупки для России, командировав для таковой цели особо уполномоченное лицо.</w:t>
      </w:r>
    </w:p>
    <w:p w14:paraId="2A4A8D21" w14:textId="357163CA"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Выслушав далее заявление члена Государственной Думы Н. В. Савича о поступившем к нему проекте способа продлить работу наших орудий, Особое Совещание постановило передать означенный проект на рассмотрение главного артиллерийского управления.</w:t>
      </w:r>
    </w:p>
    <w:p w14:paraId="0914E4FD" w14:textId="660D81B1"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Затем Особое Совещание выслушало и одобрило следующие доклады: </w:t>
      </w:r>
    </w:p>
    <w:p w14:paraId="01A161A8" w14:textId="77777777" w:rsidR="008975DE" w:rsidRPr="00405303" w:rsidRDefault="008975DE" w:rsidP="00C15251">
      <w:pPr>
        <w:jc w:val="both"/>
        <w:rPr>
          <w:bCs/>
          <w:color w:val="002060"/>
          <w:sz w:val="16"/>
          <w:szCs w:val="16"/>
        </w:rPr>
      </w:pPr>
      <w:r w:rsidRPr="00405303">
        <w:rPr>
          <w:bCs/>
          <w:color w:val="002060"/>
          <w:sz w:val="16"/>
          <w:szCs w:val="16"/>
        </w:rPr>
        <w:t>А) подготовительной комиссии по артиллерийским делам:</w:t>
      </w:r>
    </w:p>
    <w:p w14:paraId="272C0FCC" w14:textId="77777777" w:rsidR="008975DE" w:rsidRPr="00405303" w:rsidRDefault="008975DE" w:rsidP="00C15251">
      <w:pPr>
        <w:jc w:val="both"/>
        <w:rPr>
          <w:bCs/>
          <w:color w:val="002060"/>
          <w:sz w:val="16"/>
          <w:szCs w:val="16"/>
        </w:rPr>
      </w:pPr>
      <w:r w:rsidRPr="00405303">
        <w:rPr>
          <w:bCs/>
          <w:color w:val="002060"/>
          <w:sz w:val="16"/>
          <w:szCs w:val="16"/>
        </w:rPr>
        <w:t xml:space="preserve">1) о выдаче аванса Саратовскому городскому общественному управлению на поставку серной кислоты; </w:t>
      </w:r>
    </w:p>
    <w:p w14:paraId="6066CD91" w14:textId="77777777" w:rsidR="008975DE" w:rsidRPr="00405303" w:rsidRDefault="008975DE" w:rsidP="00C15251">
      <w:pPr>
        <w:jc w:val="both"/>
        <w:rPr>
          <w:bCs/>
          <w:color w:val="002060"/>
          <w:sz w:val="16"/>
          <w:szCs w:val="16"/>
        </w:rPr>
      </w:pPr>
      <w:r w:rsidRPr="00405303">
        <w:rPr>
          <w:bCs/>
          <w:color w:val="002060"/>
          <w:sz w:val="16"/>
          <w:szCs w:val="16"/>
        </w:rPr>
        <w:t>2) о предложении 3-дюймовых гранат из Италии;</w:t>
      </w:r>
    </w:p>
    <w:p w14:paraId="62E90B74" w14:textId="77777777" w:rsidR="008975DE" w:rsidRPr="00405303" w:rsidRDefault="008975DE" w:rsidP="00C15251">
      <w:pPr>
        <w:jc w:val="both"/>
        <w:rPr>
          <w:bCs/>
          <w:color w:val="002060"/>
          <w:sz w:val="16"/>
          <w:szCs w:val="16"/>
        </w:rPr>
      </w:pPr>
      <w:r w:rsidRPr="00405303">
        <w:rPr>
          <w:bCs/>
          <w:color w:val="002060"/>
          <w:sz w:val="16"/>
          <w:szCs w:val="16"/>
        </w:rPr>
        <w:t xml:space="preserve">3) об условиях заключаемого с главным управлением имения наследников П. П. Демидова князя Сан-Донато контракта на поставку 6-дюймовых бомб; </w:t>
      </w:r>
    </w:p>
    <w:p w14:paraId="21694625" w14:textId="77777777" w:rsidR="008975DE" w:rsidRPr="00405303" w:rsidRDefault="008975DE" w:rsidP="00C15251">
      <w:pPr>
        <w:jc w:val="both"/>
        <w:rPr>
          <w:bCs/>
          <w:color w:val="002060"/>
          <w:sz w:val="16"/>
          <w:szCs w:val="16"/>
        </w:rPr>
      </w:pPr>
      <w:r w:rsidRPr="00405303">
        <w:rPr>
          <w:bCs/>
          <w:color w:val="002060"/>
          <w:sz w:val="16"/>
          <w:szCs w:val="16"/>
        </w:rPr>
        <w:t>4) об отпуске центральному военно-промышленному комитету полутора миллионов рублей на расход по приобретению оборудования</w:t>
      </w:r>
    </w:p>
    <w:p w14:paraId="5EB4CD96" w14:textId="77777777" w:rsidR="008975DE" w:rsidRPr="00405303" w:rsidRDefault="008975DE" w:rsidP="00C15251">
      <w:pPr>
        <w:jc w:val="both"/>
        <w:rPr>
          <w:bCs/>
          <w:color w:val="002060"/>
          <w:sz w:val="16"/>
          <w:szCs w:val="16"/>
        </w:rPr>
      </w:pPr>
      <w:r w:rsidRPr="00405303">
        <w:rPr>
          <w:bCs/>
          <w:color w:val="002060"/>
          <w:sz w:val="16"/>
          <w:szCs w:val="16"/>
        </w:rPr>
        <w:t xml:space="preserve">и 5) о выдаче субсидий Воронежскому военно-промышленному комитету; </w:t>
      </w:r>
    </w:p>
    <w:p w14:paraId="593FCCA8" w14:textId="77777777" w:rsidR="008975DE" w:rsidRPr="00405303" w:rsidRDefault="008975DE" w:rsidP="00C15251">
      <w:pPr>
        <w:jc w:val="both"/>
        <w:rPr>
          <w:bCs/>
          <w:color w:val="002060"/>
          <w:sz w:val="16"/>
          <w:szCs w:val="16"/>
        </w:rPr>
      </w:pPr>
      <w:r w:rsidRPr="00405303">
        <w:rPr>
          <w:bCs/>
          <w:color w:val="002060"/>
          <w:sz w:val="16"/>
          <w:szCs w:val="16"/>
        </w:rPr>
        <w:t>Б) подготовительной комиссии по общим вопросам:</w:t>
      </w:r>
    </w:p>
    <w:p w14:paraId="7F9B28B6" w14:textId="77777777" w:rsidR="008975DE" w:rsidRPr="00405303" w:rsidRDefault="008975DE" w:rsidP="00C15251">
      <w:pPr>
        <w:jc w:val="both"/>
        <w:rPr>
          <w:bCs/>
          <w:color w:val="002060"/>
          <w:sz w:val="16"/>
          <w:szCs w:val="16"/>
        </w:rPr>
      </w:pPr>
      <w:r w:rsidRPr="00405303">
        <w:rPr>
          <w:bCs/>
          <w:color w:val="002060"/>
          <w:sz w:val="16"/>
          <w:szCs w:val="16"/>
        </w:rPr>
        <w:t>1) о системах ножниц для резки проволоки; 2) о заготовлении интендантским ведомством предметов обозного довольствия и конского снаряжения.</w:t>
      </w:r>
    </w:p>
    <w:p w14:paraId="7E75CC98" w14:textId="2C2BF513"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По поводу остальных докладов подготовительной комиссии по общим вопросам Особое Совещание постановило следующие решения:</w:t>
      </w:r>
    </w:p>
    <w:p w14:paraId="0836D470" w14:textId="3F6135FC"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1.</w:t>
      </w:r>
      <w:r>
        <w:rPr>
          <w:bCs/>
          <w:color w:val="002060"/>
          <w:sz w:val="16"/>
          <w:szCs w:val="16"/>
        </w:rPr>
        <w:t xml:space="preserve">  </w:t>
      </w:r>
      <w:r w:rsidR="008975DE" w:rsidRPr="00405303">
        <w:rPr>
          <w:bCs/>
          <w:color w:val="002060"/>
          <w:sz w:val="16"/>
          <w:szCs w:val="16"/>
        </w:rPr>
        <w:t>По вопросу о приобретении наличной покупкой ножниц для резки проволоки системы полковника Гулькевича у фирмы Айваз Особое Совещание признало возможным приобрести эти ножницы по цене не свыше 8 руб. за штуку.</w:t>
      </w:r>
    </w:p>
    <w:p w14:paraId="3A8091D9" w14:textId="02896842" w:rsidR="008975DE" w:rsidRPr="00405303" w:rsidRDefault="008975DE" w:rsidP="00C15251">
      <w:pPr>
        <w:jc w:val="both"/>
        <w:rPr>
          <w:bCs/>
          <w:color w:val="002060"/>
          <w:sz w:val="16"/>
          <w:szCs w:val="16"/>
        </w:rPr>
      </w:pPr>
      <w:r w:rsidRPr="00405303">
        <w:rPr>
          <w:bCs/>
          <w:color w:val="002060"/>
          <w:sz w:val="16"/>
          <w:szCs w:val="16"/>
        </w:rPr>
        <w:t>2.</w:t>
      </w:r>
      <w:r w:rsidR="000F5756">
        <w:rPr>
          <w:bCs/>
          <w:color w:val="002060"/>
          <w:sz w:val="16"/>
          <w:szCs w:val="16"/>
        </w:rPr>
        <w:t xml:space="preserve">  </w:t>
      </w:r>
      <w:r w:rsidRPr="00405303">
        <w:rPr>
          <w:bCs/>
          <w:color w:val="002060"/>
          <w:sz w:val="16"/>
          <w:szCs w:val="16"/>
        </w:rPr>
        <w:t xml:space="preserve">По докладу </w:t>
      </w:r>
      <w:proofErr w:type="gramStart"/>
      <w:r w:rsidRPr="00405303">
        <w:rPr>
          <w:bCs/>
          <w:color w:val="002060"/>
          <w:sz w:val="16"/>
          <w:szCs w:val="16"/>
        </w:rPr>
        <w:t>с выдаче</w:t>
      </w:r>
      <w:proofErr w:type="gramEnd"/>
      <w:r w:rsidRPr="00405303">
        <w:rPr>
          <w:bCs/>
          <w:color w:val="002060"/>
          <w:sz w:val="16"/>
          <w:szCs w:val="16"/>
        </w:rPr>
        <w:t xml:space="preserve"> на льготных основаниях ссуд заводу воздушных винтов «Интеграл» и акционерному обществу воздухоплавания</w:t>
      </w:r>
    </w:p>
    <w:p w14:paraId="7167FE68" w14:textId="77777777" w:rsidR="008975DE" w:rsidRPr="00405303" w:rsidRDefault="008975DE" w:rsidP="00C15251">
      <w:pPr>
        <w:jc w:val="both"/>
        <w:rPr>
          <w:bCs/>
          <w:color w:val="002060"/>
          <w:sz w:val="16"/>
          <w:szCs w:val="16"/>
        </w:rPr>
      </w:pPr>
      <w:r w:rsidRPr="00405303">
        <w:rPr>
          <w:bCs/>
          <w:color w:val="002060"/>
          <w:sz w:val="16"/>
          <w:szCs w:val="16"/>
        </w:rPr>
        <w:t xml:space="preserve">«В. А. Лебедев» Совещание постановило: </w:t>
      </w:r>
    </w:p>
    <w:p w14:paraId="3D97CE0C" w14:textId="77777777" w:rsidR="008975DE" w:rsidRPr="00405303" w:rsidRDefault="008975DE" w:rsidP="00C15251">
      <w:pPr>
        <w:jc w:val="both"/>
        <w:rPr>
          <w:bCs/>
          <w:color w:val="002060"/>
          <w:sz w:val="16"/>
          <w:szCs w:val="16"/>
        </w:rPr>
      </w:pPr>
      <w:r w:rsidRPr="00405303">
        <w:rPr>
          <w:bCs/>
          <w:color w:val="002060"/>
          <w:sz w:val="16"/>
          <w:szCs w:val="16"/>
        </w:rPr>
        <w:t xml:space="preserve">а) признать соответственным выдать заводу «Интеграл» и акционерному обществу «В. А. Лебедев» 681 937 руб. 50 коп., составляющих 75 % от суммы расходов по устройству отделений заводов, из коих 40 % в виде ссуды и 35 % в виде безвозвратного пособия; </w:t>
      </w:r>
    </w:p>
    <w:p w14:paraId="03C87C5A" w14:textId="77777777" w:rsidR="008975DE" w:rsidRPr="00405303" w:rsidRDefault="008975DE" w:rsidP="00C15251">
      <w:pPr>
        <w:jc w:val="both"/>
        <w:rPr>
          <w:bCs/>
          <w:color w:val="002060"/>
          <w:sz w:val="16"/>
          <w:szCs w:val="16"/>
        </w:rPr>
      </w:pPr>
      <w:r w:rsidRPr="00405303">
        <w:rPr>
          <w:bCs/>
          <w:color w:val="002060"/>
          <w:sz w:val="16"/>
          <w:szCs w:val="16"/>
        </w:rPr>
        <w:t>б) выдачи ссуды и пособия производить частями по мере фактического производства заводами расходов, подробную разработку порядка погашения ссуды поручить главному военно-техническому управлению.</w:t>
      </w:r>
    </w:p>
    <w:p w14:paraId="3D5741F1" w14:textId="306236BF"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3.</w:t>
      </w:r>
      <w:r>
        <w:rPr>
          <w:bCs/>
          <w:color w:val="002060"/>
          <w:sz w:val="16"/>
          <w:szCs w:val="16"/>
        </w:rPr>
        <w:t xml:space="preserve">  </w:t>
      </w:r>
      <w:r w:rsidR="008975DE" w:rsidRPr="00405303">
        <w:rPr>
          <w:bCs/>
          <w:color w:val="002060"/>
          <w:sz w:val="16"/>
          <w:szCs w:val="16"/>
        </w:rPr>
        <w:t>Доклад о выдаче аванса акционерному обществу электромеханических сооружений, бывшему товариществу «Дюфлон, Константинович и Ко», под заказы авиационных моторов Особое Совещание признало соответственным утвердить с тем, чтобы вопрос о возможности перенесения завода бывшего «Дюфлон» в Симферополь был разрешен по усмотрению Военного Министра.</w:t>
      </w:r>
    </w:p>
    <w:p w14:paraId="57898BB2" w14:textId="74415387"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4.</w:t>
      </w:r>
      <w:r>
        <w:rPr>
          <w:bCs/>
          <w:color w:val="002060"/>
          <w:sz w:val="16"/>
          <w:szCs w:val="16"/>
        </w:rPr>
        <w:t xml:space="preserve">  </w:t>
      </w:r>
      <w:r w:rsidR="008975DE" w:rsidRPr="00405303">
        <w:rPr>
          <w:bCs/>
          <w:color w:val="002060"/>
          <w:sz w:val="16"/>
          <w:szCs w:val="16"/>
        </w:rPr>
        <w:t xml:space="preserve">По докладу о недопустимости введения в договоры с поставщиками военного ведомства безгранично растущей неустойки Особое Совещание признало необходимым </w:t>
      </w:r>
      <w:proofErr w:type="gramStart"/>
      <w:r w:rsidR="008975DE" w:rsidRPr="00405303">
        <w:rPr>
          <w:bCs/>
          <w:color w:val="002060"/>
          <w:sz w:val="16"/>
          <w:szCs w:val="16"/>
        </w:rPr>
        <w:t>установить</w:t>
      </w:r>
      <w:proofErr w:type="gramEnd"/>
      <w:r w:rsidR="008975DE" w:rsidRPr="00405303">
        <w:rPr>
          <w:bCs/>
          <w:color w:val="002060"/>
          <w:sz w:val="16"/>
          <w:szCs w:val="16"/>
        </w:rPr>
        <w:t xml:space="preserve"> как общее правило, изъятия из коего могут быть допущены </w:t>
      </w:r>
      <w:proofErr w:type="gramStart"/>
      <w:r w:rsidR="008975DE" w:rsidRPr="00405303">
        <w:rPr>
          <w:bCs/>
          <w:color w:val="002060"/>
          <w:sz w:val="16"/>
          <w:szCs w:val="16"/>
        </w:rPr>
        <w:t>лишь</w:t>
      </w:r>
      <w:proofErr w:type="gramEnd"/>
      <w:r w:rsidR="008975DE" w:rsidRPr="00405303">
        <w:rPr>
          <w:bCs/>
          <w:color w:val="002060"/>
          <w:sz w:val="16"/>
          <w:szCs w:val="16"/>
        </w:rPr>
        <w:t xml:space="preserve"> но постановлению Особого Совещания, нижеследующие основания, подлежащие впредь соблюдению при заключении военным ведомством контрактов в продолжение настоящей войны:</w:t>
      </w:r>
    </w:p>
    <w:p w14:paraId="52C12100" w14:textId="7BA056C6"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w:t>
      </w:r>
      <w:proofErr w:type="gramStart"/>
      <w:r w:rsidR="008975DE" w:rsidRPr="00405303">
        <w:rPr>
          <w:bCs/>
          <w:color w:val="002060"/>
          <w:sz w:val="16"/>
          <w:szCs w:val="16"/>
        </w:rPr>
        <w:t>а)</w:t>
      </w:r>
      <w:r>
        <w:rPr>
          <w:bCs/>
          <w:color w:val="002060"/>
          <w:sz w:val="16"/>
          <w:szCs w:val="16"/>
        </w:rPr>
        <w:t xml:space="preserve">  </w:t>
      </w:r>
      <w:r w:rsidR="008975DE" w:rsidRPr="00405303">
        <w:rPr>
          <w:bCs/>
          <w:color w:val="002060"/>
          <w:sz w:val="16"/>
          <w:szCs w:val="16"/>
        </w:rPr>
        <w:t>допустить</w:t>
      </w:r>
      <w:proofErr w:type="gramEnd"/>
      <w:r w:rsidR="008975DE" w:rsidRPr="00405303">
        <w:rPr>
          <w:bCs/>
          <w:color w:val="002060"/>
          <w:sz w:val="16"/>
          <w:szCs w:val="16"/>
        </w:rPr>
        <w:t xml:space="preserve"> начисление неустойки в процентном отношении к сумме подряда меньше того размера, который требует ст. 23 кн. XVIII</w:t>
      </w:r>
    </w:p>
    <w:p w14:paraId="561BE812" w14:textId="77777777" w:rsidR="008975DE" w:rsidRPr="00405303" w:rsidRDefault="008975DE" w:rsidP="00C15251">
      <w:pPr>
        <w:jc w:val="both"/>
        <w:rPr>
          <w:bCs/>
          <w:color w:val="002060"/>
          <w:sz w:val="16"/>
          <w:szCs w:val="16"/>
        </w:rPr>
      </w:pPr>
      <w:r w:rsidRPr="00405303">
        <w:rPr>
          <w:bCs/>
          <w:color w:val="002060"/>
          <w:sz w:val="16"/>
          <w:szCs w:val="16"/>
        </w:rPr>
        <w:t>Св. В. П., а равно разрешить начисление прогрессивной неустойки, но с тем, чтобы как в том, так и в другом случае поставщик мог бы быть устранен от подряда, когда размер неустойки достигнет суммы залога, а при отсутствии его, когда неустойка превысит У3 стоимости поставки;</w:t>
      </w:r>
    </w:p>
    <w:p w14:paraId="07A2EA09" w14:textId="77777777" w:rsidR="008975DE" w:rsidRPr="00405303" w:rsidRDefault="008975DE" w:rsidP="00C15251">
      <w:pPr>
        <w:jc w:val="both"/>
        <w:rPr>
          <w:bCs/>
          <w:color w:val="002060"/>
          <w:sz w:val="16"/>
          <w:szCs w:val="16"/>
        </w:rPr>
      </w:pPr>
      <w:r w:rsidRPr="00405303">
        <w:rPr>
          <w:bCs/>
          <w:color w:val="002060"/>
          <w:sz w:val="16"/>
          <w:szCs w:val="16"/>
        </w:rPr>
        <w:t>б) кроме указанных в ст. 72 кн. XVIII Св. В. П. случаев, освобождать поставщиков от представления залога в обеспечение их исправности по заключениям подготовительной при Особом Совещании комиссии.</w:t>
      </w:r>
    </w:p>
    <w:p w14:paraId="0FF9198A" w14:textId="6A33E3D2"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Затем по докладу подготовительной комиссии по артиллерийским вопросам о покупке ружей в Южной Америке Особое Совещание признало необходимым поручить главному артиллерийскому управлению предложить по телеграфу одному из командированных в Рио-де-Жанейро артиллерийских приемщиков осмотреть вновь предлагаемые фирмой «Иван Стахеев» 500 000 ружей Маузера в Южной Америке.</w:t>
      </w:r>
    </w:p>
    <w:p w14:paraId="6255746F" w14:textId="1E5DD522"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По выслушании далее сообщения помощника Военного Министра генерал-лейтенанта Лукомского о последовавшей со стороны помощника начальника санитарной и эвакуационной части сенатора Мещанинова просьбе относительно признания заказа 17 озонных аппаратов для улучшения качества Петроградской воды подлежащими внеочередному выполнению заводом Сименс и Гальске и приняв во внимание перегруженность названного завода срочными заказами по государственной обороне, а равно имея в виду, что улучшение питьевой воды вместо озонирования может быть достигнуто и иными способами, как, например, хлорированием, - Особое Совещание не признало просьбу сенатора Мещанинова подлежащей удовлетворению; одновременно с сим Совещание нашло целесообразным сообщить Петроградскому городскому управлению о необходимости принятия городом мер к улучшению качества питьевой воды на время, пока будут готовы озонные аппараты.</w:t>
      </w:r>
    </w:p>
    <w:p w14:paraId="0360B419" w14:textId="221C3FDD"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В дальнейшем генерал-лейтенант Лукомский доложил, что правление Алапаевских заводов обратилось с заявлением о том, что для выполнения наряда, данного военным ведомством, на изготовление колючей проволоки ему необходимо иметь готовые чертежи проволочного прокатного стана. Так как чертежи эти имеются на заводах Краматорского общества и составляют привилегию германского завода Демак, согласно договору с коим чертежи подлежат исключительному пользованию Краматорского общества, то общество Алапаевских заводов возбудило ходатайство, поддержанное центральным военно-промышленным комитетом, о передаче этих чертежей названному обществу в порядке реквизиции. Особое Совещание признало по настоящему делу соответственным помянутые чертежи реквизовать с передачей их правлению Алапаевских заводов.</w:t>
      </w:r>
    </w:p>
    <w:p w14:paraId="2FE9DA88" w14:textId="6FF4DB6D"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В заключение генерал-лейтенант Лукомский, доведя до сведения Особого Совещания о том, что в подготовительную комиссию по общим вопросам внесен проект снабжения местных уполномоченных Председателя Особого Совещания денежными средствами, высказал, что представляется необходимым ныне же, не дожидаясь рассмотрения означенного проекта Особым Совещанием, выдать всем уполномоченным по 20 тысяч рублей каждому на расходы но организации и открытию действий заводских совещаний.</w:t>
      </w:r>
    </w:p>
    <w:p w14:paraId="397156C4" w14:textId="5ED3DB80"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Особое Совещание единогласно присоединилось к изложенному предложению генерал-лейтенанта Лукомского, причем представителем министерства финансов, тайным советником Кузьминским, был возбужден вопрос о том, чтобы суммы, отпускаемые в виде авансов, ссуд и пособий по военному ведомству земским и городским обществам по исполнению заказов для потребностей армии, а также отдельным лицам и предприятиям, на которых возлагается исполнение таких же заказов, зачислялись вместо единовременной и полной выдачи денег на руки учреждениям или лицам на текущие счета этих учреждений и лиц в отделениях государственного банка и местных казначействах для расходования по мере действительной надобности по чекам в соответствии с вводимыми в действие министерством финансов правилами о текущих счетах по казенным суммам.</w:t>
      </w:r>
    </w:p>
    <w:p w14:paraId="4C1A825B" w14:textId="7B17BD93" w:rsidR="008975DE" w:rsidRPr="00405303" w:rsidRDefault="000F5756" w:rsidP="00C15251">
      <w:pPr>
        <w:jc w:val="both"/>
        <w:rPr>
          <w:bCs/>
          <w:color w:val="002060"/>
          <w:sz w:val="16"/>
          <w:szCs w:val="16"/>
        </w:rPr>
      </w:pPr>
      <w:r>
        <w:rPr>
          <w:bCs/>
          <w:color w:val="002060"/>
          <w:sz w:val="16"/>
          <w:szCs w:val="16"/>
        </w:rPr>
        <w:lastRenderedPageBreak/>
        <w:t xml:space="preserve"> </w:t>
      </w:r>
      <w:r w:rsidR="008975DE" w:rsidRPr="00405303">
        <w:rPr>
          <w:bCs/>
          <w:color w:val="002060"/>
          <w:sz w:val="16"/>
          <w:szCs w:val="16"/>
        </w:rPr>
        <w:t xml:space="preserve"> Председатель Особого Совещания, в отношении приведения в исполнение требующих того суждений Особого Совещания, решил:</w:t>
      </w:r>
    </w:p>
    <w:p w14:paraId="3007BF24" w14:textId="56090A91"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1. Утвердить доклад наблюдательной комиссии о деятельности акционерного общества Русско-Кубанской промышленной и нефтяной компании «Кубаноль».</w:t>
      </w:r>
    </w:p>
    <w:p w14:paraId="343C9900" w14:textId="151C03AF" w:rsidR="008975DE" w:rsidRPr="00405303" w:rsidRDefault="008975DE" w:rsidP="00C15251">
      <w:pPr>
        <w:jc w:val="both"/>
        <w:rPr>
          <w:bCs/>
          <w:color w:val="002060"/>
          <w:sz w:val="16"/>
          <w:szCs w:val="16"/>
        </w:rPr>
      </w:pPr>
      <w:r w:rsidRPr="00405303">
        <w:rPr>
          <w:bCs/>
          <w:color w:val="002060"/>
          <w:sz w:val="16"/>
          <w:szCs w:val="16"/>
        </w:rPr>
        <w:t>2.</w:t>
      </w:r>
      <w:r w:rsidR="000F5756">
        <w:rPr>
          <w:bCs/>
          <w:color w:val="002060"/>
          <w:sz w:val="16"/>
          <w:szCs w:val="16"/>
        </w:rPr>
        <w:t xml:space="preserve">  </w:t>
      </w:r>
      <w:r w:rsidRPr="00405303">
        <w:rPr>
          <w:bCs/>
          <w:color w:val="002060"/>
          <w:sz w:val="16"/>
          <w:szCs w:val="16"/>
        </w:rPr>
        <w:t>Утвердить проект правил о пределах и порядке деятельности эвакуационной при Особом Совещания комиссии с исключением из него статей 5 и 6 и с устранением из пункта б статьи 2 части, касающейся общей эвакуации Петрограда.</w:t>
      </w:r>
    </w:p>
    <w:p w14:paraId="13C67570" w14:textId="643923A0"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3.</w:t>
      </w:r>
      <w:r>
        <w:rPr>
          <w:bCs/>
          <w:color w:val="002060"/>
          <w:sz w:val="16"/>
          <w:szCs w:val="16"/>
        </w:rPr>
        <w:t xml:space="preserve">  </w:t>
      </w:r>
      <w:r w:rsidR="008975DE" w:rsidRPr="00405303">
        <w:rPr>
          <w:bCs/>
          <w:color w:val="002060"/>
          <w:sz w:val="16"/>
          <w:szCs w:val="16"/>
        </w:rPr>
        <w:t>Принять к сведению доклад главного военно-санитарного инспектора о снабжении армии медикаментами, перевязочными, хирургическими, дезинфекционными и предохранительными средствами.</w:t>
      </w:r>
    </w:p>
    <w:p w14:paraId="3F93F466" w14:textId="182EAC30"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4.</w:t>
      </w:r>
      <w:r>
        <w:rPr>
          <w:bCs/>
          <w:color w:val="002060"/>
          <w:sz w:val="16"/>
          <w:szCs w:val="16"/>
        </w:rPr>
        <w:t xml:space="preserve">  </w:t>
      </w:r>
      <w:r w:rsidR="008975DE" w:rsidRPr="00405303">
        <w:rPr>
          <w:bCs/>
          <w:color w:val="002060"/>
          <w:sz w:val="16"/>
          <w:szCs w:val="16"/>
        </w:rPr>
        <w:t>Передать на рассмотрение главного артиллерийского управления доставленный членом Государственной Думы Н. В. Савичем проект способа</w:t>
      </w:r>
      <w:r>
        <w:rPr>
          <w:bCs/>
          <w:color w:val="002060"/>
          <w:sz w:val="16"/>
          <w:szCs w:val="16"/>
        </w:rPr>
        <w:t xml:space="preserve"> </w:t>
      </w:r>
      <w:r w:rsidR="008975DE" w:rsidRPr="00405303">
        <w:rPr>
          <w:bCs/>
          <w:color w:val="002060"/>
          <w:sz w:val="16"/>
          <w:szCs w:val="16"/>
        </w:rPr>
        <w:t>продлить работу наших орудий.</w:t>
      </w:r>
    </w:p>
    <w:p w14:paraId="2A13B510" w14:textId="6D0B6E75"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5.</w:t>
      </w:r>
      <w:r>
        <w:rPr>
          <w:bCs/>
          <w:color w:val="002060"/>
          <w:sz w:val="16"/>
          <w:szCs w:val="16"/>
        </w:rPr>
        <w:t xml:space="preserve">  </w:t>
      </w:r>
      <w:r w:rsidR="008975DE" w:rsidRPr="00405303">
        <w:rPr>
          <w:bCs/>
          <w:color w:val="002060"/>
          <w:sz w:val="16"/>
          <w:szCs w:val="16"/>
        </w:rPr>
        <w:t>Поручить главному управлению генерального штаба командировать в Швецию особо уполномоченное лицо на предмет отыскания пользующейся большим влиянием в Швеции фирмы, которая согласилась бы производить от своего имени закупки для России предметов, необходимых для обороны.</w:t>
      </w:r>
    </w:p>
    <w:p w14:paraId="5115EFA4" w14:textId="3A997787"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6.</w:t>
      </w:r>
      <w:r>
        <w:rPr>
          <w:bCs/>
          <w:color w:val="002060"/>
          <w:sz w:val="16"/>
          <w:szCs w:val="16"/>
        </w:rPr>
        <w:t xml:space="preserve">  </w:t>
      </w:r>
      <w:r w:rsidR="008975DE" w:rsidRPr="00405303">
        <w:rPr>
          <w:bCs/>
          <w:color w:val="002060"/>
          <w:sz w:val="16"/>
          <w:szCs w:val="16"/>
        </w:rPr>
        <w:t xml:space="preserve">Утвердить доклады подготовительной комиссии по артиллерийским делам: </w:t>
      </w:r>
    </w:p>
    <w:p w14:paraId="519755B2" w14:textId="77777777" w:rsidR="008975DE" w:rsidRPr="00405303" w:rsidRDefault="008975DE" w:rsidP="00C15251">
      <w:pPr>
        <w:jc w:val="both"/>
        <w:rPr>
          <w:bCs/>
          <w:color w:val="002060"/>
          <w:sz w:val="16"/>
          <w:szCs w:val="16"/>
        </w:rPr>
      </w:pPr>
      <w:r w:rsidRPr="00405303">
        <w:rPr>
          <w:bCs/>
          <w:color w:val="002060"/>
          <w:sz w:val="16"/>
          <w:szCs w:val="16"/>
        </w:rPr>
        <w:t>а) о выдаче аванса Саратовскому городскому общественному управлению на поставку серной кислоты;</w:t>
      </w:r>
    </w:p>
    <w:p w14:paraId="35BF75D1" w14:textId="77777777" w:rsidR="008975DE" w:rsidRPr="00405303" w:rsidRDefault="008975DE" w:rsidP="00C15251">
      <w:pPr>
        <w:jc w:val="both"/>
        <w:rPr>
          <w:bCs/>
          <w:color w:val="002060"/>
          <w:sz w:val="16"/>
          <w:szCs w:val="16"/>
        </w:rPr>
      </w:pPr>
      <w:r w:rsidRPr="00405303">
        <w:rPr>
          <w:bCs/>
          <w:color w:val="002060"/>
          <w:sz w:val="16"/>
          <w:szCs w:val="16"/>
        </w:rPr>
        <w:t xml:space="preserve">б) об отклонении предложения 3-дюймовых гранат из Италии; </w:t>
      </w:r>
    </w:p>
    <w:p w14:paraId="0D1798D6" w14:textId="77777777" w:rsidR="008975DE" w:rsidRPr="00405303" w:rsidRDefault="008975DE" w:rsidP="00C15251">
      <w:pPr>
        <w:jc w:val="both"/>
        <w:rPr>
          <w:bCs/>
          <w:color w:val="002060"/>
          <w:sz w:val="16"/>
          <w:szCs w:val="16"/>
        </w:rPr>
      </w:pPr>
      <w:r w:rsidRPr="00405303">
        <w:rPr>
          <w:bCs/>
          <w:color w:val="002060"/>
          <w:sz w:val="16"/>
          <w:szCs w:val="16"/>
        </w:rPr>
        <w:t xml:space="preserve">в) об условиях заключаемого с главным управлением наследников П. П. Демидова князя Сан-Донато контракта на поставку 6-дюймовых бомб; </w:t>
      </w:r>
    </w:p>
    <w:p w14:paraId="5D4F0F46" w14:textId="77777777" w:rsidR="008975DE" w:rsidRPr="00405303" w:rsidRDefault="008975DE" w:rsidP="00C15251">
      <w:pPr>
        <w:jc w:val="both"/>
        <w:rPr>
          <w:bCs/>
          <w:color w:val="002060"/>
          <w:sz w:val="16"/>
          <w:szCs w:val="16"/>
        </w:rPr>
      </w:pPr>
      <w:r w:rsidRPr="00405303">
        <w:rPr>
          <w:bCs/>
          <w:color w:val="002060"/>
          <w:sz w:val="16"/>
          <w:szCs w:val="16"/>
        </w:rPr>
        <w:t xml:space="preserve">г) об отпуске центральному военно-промышленному комитету 1 500 000 руб. на расходы по приобретению оборудования и </w:t>
      </w:r>
    </w:p>
    <w:p w14:paraId="3D09DFD9" w14:textId="77777777" w:rsidR="008975DE" w:rsidRPr="00405303" w:rsidRDefault="008975DE" w:rsidP="00C15251">
      <w:pPr>
        <w:jc w:val="both"/>
        <w:rPr>
          <w:bCs/>
          <w:color w:val="002060"/>
          <w:sz w:val="16"/>
          <w:szCs w:val="16"/>
        </w:rPr>
      </w:pPr>
      <w:r w:rsidRPr="00405303">
        <w:rPr>
          <w:bCs/>
          <w:color w:val="002060"/>
          <w:sz w:val="16"/>
          <w:szCs w:val="16"/>
        </w:rPr>
        <w:t>д) о выдаче субсидии Воронежскому военно-промышленному комитету.</w:t>
      </w:r>
    </w:p>
    <w:p w14:paraId="3EDD657E" w14:textId="03269367"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7.</w:t>
      </w:r>
      <w:r>
        <w:rPr>
          <w:bCs/>
          <w:color w:val="002060"/>
          <w:sz w:val="16"/>
          <w:szCs w:val="16"/>
        </w:rPr>
        <w:t xml:space="preserve">  </w:t>
      </w:r>
      <w:r w:rsidR="008975DE" w:rsidRPr="00405303">
        <w:rPr>
          <w:bCs/>
          <w:color w:val="002060"/>
          <w:sz w:val="16"/>
          <w:szCs w:val="16"/>
        </w:rPr>
        <w:t xml:space="preserve">Утвердить доклады подготовительной комиссии по общим вопросам: </w:t>
      </w:r>
    </w:p>
    <w:p w14:paraId="4E8B6E8F" w14:textId="77777777" w:rsidR="008975DE" w:rsidRPr="00405303" w:rsidRDefault="008975DE" w:rsidP="00C15251">
      <w:pPr>
        <w:jc w:val="both"/>
        <w:rPr>
          <w:bCs/>
          <w:color w:val="002060"/>
          <w:sz w:val="16"/>
          <w:szCs w:val="16"/>
        </w:rPr>
      </w:pPr>
      <w:r w:rsidRPr="00405303">
        <w:rPr>
          <w:bCs/>
          <w:color w:val="002060"/>
          <w:sz w:val="16"/>
          <w:szCs w:val="16"/>
        </w:rPr>
        <w:t>а) о системах ножниц для резки проволоки;</w:t>
      </w:r>
    </w:p>
    <w:p w14:paraId="561D5158" w14:textId="77777777" w:rsidR="008975DE" w:rsidRPr="00405303" w:rsidRDefault="008975DE" w:rsidP="00C15251">
      <w:pPr>
        <w:jc w:val="both"/>
        <w:rPr>
          <w:bCs/>
          <w:color w:val="002060"/>
          <w:sz w:val="16"/>
          <w:szCs w:val="16"/>
        </w:rPr>
      </w:pPr>
      <w:r w:rsidRPr="00405303">
        <w:rPr>
          <w:bCs/>
          <w:color w:val="002060"/>
          <w:sz w:val="16"/>
          <w:szCs w:val="16"/>
        </w:rPr>
        <w:t>б) о заготовлении интендантским ведомством предметов обозного довольствия и конского снаряжения.</w:t>
      </w:r>
    </w:p>
    <w:p w14:paraId="3DC67E4D" w14:textId="086380EC"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8.</w:t>
      </w:r>
      <w:r>
        <w:rPr>
          <w:bCs/>
          <w:color w:val="002060"/>
          <w:sz w:val="16"/>
          <w:szCs w:val="16"/>
        </w:rPr>
        <w:t xml:space="preserve">  </w:t>
      </w:r>
      <w:r w:rsidR="008975DE" w:rsidRPr="00405303">
        <w:rPr>
          <w:bCs/>
          <w:color w:val="002060"/>
          <w:sz w:val="16"/>
          <w:szCs w:val="16"/>
        </w:rPr>
        <w:t>Поручить главному военно-техническому управлению приобрести наличной покупкой 16 619 штук ножниц для резки проволоки системы полковника Гулькевича у фирмы «Айваз» по цене не свыше 8 руб. за штуку.</w:t>
      </w:r>
    </w:p>
    <w:p w14:paraId="02E827F1" w14:textId="2574D768"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9.</w:t>
      </w:r>
      <w:r>
        <w:rPr>
          <w:bCs/>
          <w:color w:val="002060"/>
          <w:sz w:val="16"/>
          <w:szCs w:val="16"/>
        </w:rPr>
        <w:t xml:space="preserve">  </w:t>
      </w:r>
      <w:r w:rsidR="008975DE" w:rsidRPr="00405303">
        <w:rPr>
          <w:bCs/>
          <w:color w:val="002060"/>
          <w:sz w:val="16"/>
          <w:szCs w:val="16"/>
        </w:rPr>
        <w:t>Признать соответственным выдать заводу «Интеграл» и акционерному обществу «В. А. Лебедев» 681 937 руб. 50 коп., составляющих 75 % от суммы расходов по устройству отделений заводов, из коих 40 % в виде ссуды и 35 % в виде безвозвратного пособия, с возложением подробной разработки порядка погашения ссуды на главное военно-техническое управление и с тем, чтобы ссуда и пособие выдавались по частям по мере фактического производства заводами расходов.</w:t>
      </w:r>
    </w:p>
    <w:p w14:paraId="1F510578" w14:textId="79D7E87A"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10.</w:t>
      </w:r>
      <w:r>
        <w:rPr>
          <w:bCs/>
          <w:color w:val="002060"/>
          <w:sz w:val="16"/>
          <w:szCs w:val="16"/>
        </w:rPr>
        <w:t xml:space="preserve">  </w:t>
      </w:r>
      <w:r w:rsidR="008975DE" w:rsidRPr="00405303">
        <w:rPr>
          <w:bCs/>
          <w:color w:val="002060"/>
          <w:sz w:val="16"/>
          <w:szCs w:val="16"/>
        </w:rPr>
        <w:t>Утвердить доклад подготовительной комиссии по общим вопросам о выдаче аванса акционерному обществу электромеханических сооружений бывшему товариществу Дюфлон, Константинович и К° под заказ авиационных моторов, с тем чтобы вопрос о возможности перенесения завода бывшего] Дюфлон в Симферополь был рассмотрен главным управлением генерального штаба.</w:t>
      </w:r>
    </w:p>
    <w:p w14:paraId="024B99ED" w14:textId="19E02B54" w:rsidR="008975DE" w:rsidRPr="00405303" w:rsidRDefault="008975DE" w:rsidP="00C15251">
      <w:pPr>
        <w:jc w:val="both"/>
        <w:rPr>
          <w:bCs/>
          <w:color w:val="002060"/>
          <w:sz w:val="16"/>
          <w:szCs w:val="16"/>
        </w:rPr>
      </w:pPr>
      <w:r w:rsidRPr="00405303">
        <w:rPr>
          <w:bCs/>
          <w:color w:val="002060"/>
          <w:sz w:val="16"/>
          <w:szCs w:val="16"/>
        </w:rPr>
        <w:t>11.</w:t>
      </w:r>
      <w:r w:rsidR="000F5756">
        <w:rPr>
          <w:bCs/>
          <w:color w:val="002060"/>
          <w:sz w:val="16"/>
          <w:szCs w:val="16"/>
        </w:rPr>
        <w:t xml:space="preserve">  </w:t>
      </w:r>
      <w:r w:rsidRPr="00405303">
        <w:rPr>
          <w:bCs/>
          <w:color w:val="002060"/>
          <w:sz w:val="16"/>
          <w:szCs w:val="16"/>
        </w:rPr>
        <w:t>Утвердить изложенное в журнале мнение Особого Совещания по докладу подготовительной комиссии по общим вопросам о недопустимости введения в договоры с поставщиками военного ведомства безгранично растущей неустойки.</w:t>
      </w:r>
    </w:p>
    <w:p w14:paraId="295CCE99" w14:textId="505012BD"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12.</w:t>
      </w:r>
      <w:r>
        <w:rPr>
          <w:bCs/>
          <w:color w:val="002060"/>
          <w:sz w:val="16"/>
          <w:szCs w:val="16"/>
        </w:rPr>
        <w:t xml:space="preserve">  </w:t>
      </w:r>
      <w:r w:rsidR="008975DE" w:rsidRPr="00405303">
        <w:rPr>
          <w:bCs/>
          <w:color w:val="002060"/>
          <w:sz w:val="16"/>
          <w:szCs w:val="16"/>
        </w:rPr>
        <w:t>Поручить главному артиллерийскому управлению предложить по телеграфу одному из командированных в Рио-де-Жанейро артиллерийских приемщиков осмотреть вновь предлагаемые фирмой «Иван Стахеев» 500.000 ружей Маузера в Южной Америке.</w:t>
      </w:r>
    </w:p>
    <w:p w14:paraId="686E9195" w14:textId="1B5CBAC5"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13.</w:t>
      </w:r>
      <w:r>
        <w:rPr>
          <w:bCs/>
          <w:color w:val="002060"/>
          <w:sz w:val="16"/>
          <w:szCs w:val="16"/>
        </w:rPr>
        <w:t xml:space="preserve">  </w:t>
      </w:r>
      <w:r w:rsidR="008975DE" w:rsidRPr="00405303">
        <w:rPr>
          <w:bCs/>
          <w:color w:val="002060"/>
          <w:sz w:val="16"/>
          <w:szCs w:val="16"/>
        </w:rPr>
        <w:t>Признать заказ 17 озонных аппаратов для улучшения качества Петроградской воды не подлежащим исполнению фирмой Сименс и Гальске прежде заказов по государственной обороне.</w:t>
      </w:r>
    </w:p>
    <w:p w14:paraId="74D3F557" w14:textId="79166257"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14.</w:t>
      </w:r>
      <w:r>
        <w:rPr>
          <w:bCs/>
          <w:color w:val="002060"/>
          <w:sz w:val="16"/>
          <w:szCs w:val="16"/>
        </w:rPr>
        <w:t xml:space="preserve">  </w:t>
      </w:r>
      <w:r w:rsidR="008975DE" w:rsidRPr="00405303">
        <w:rPr>
          <w:bCs/>
          <w:color w:val="002060"/>
          <w:sz w:val="16"/>
          <w:szCs w:val="16"/>
        </w:rPr>
        <w:t>Сообщить Петроградскому городскому управлению о необходимости принятия городом мер к улучшению качества питьевой воды иными, кроме озонирования, способами на время, пока будут готовы озонные аппараты.</w:t>
      </w:r>
    </w:p>
    <w:p w14:paraId="0278003F" w14:textId="65EA4A3C"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15.</w:t>
      </w:r>
      <w:r>
        <w:rPr>
          <w:bCs/>
          <w:color w:val="002060"/>
          <w:sz w:val="16"/>
          <w:szCs w:val="16"/>
        </w:rPr>
        <w:t xml:space="preserve">  </w:t>
      </w:r>
      <w:r w:rsidR="008975DE" w:rsidRPr="00405303">
        <w:rPr>
          <w:bCs/>
          <w:color w:val="002060"/>
          <w:sz w:val="16"/>
          <w:szCs w:val="16"/>
        </w:rPr>
        <w:t>Реквизовать у Краматорского общества чертежи проволочного прокатного стана с передачей их правлению Алапаевских заводов.</w:t>
      </w:r>
    </w:p>
    <w:p w14:paraId="50AE2B41" w14:textId="20AAF8AF"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16.</w:t>
      </w:r>
      <w:r>
        <w:rPr>
          <w:bCs/>
          <w:color w:val="002060"/>
          <w:sz w:val="16"/>
          <w:szCs w:val="16"/>
        </w:rPr>
        <w:t xml:space="preserve">  </w:t>
      </w:r>
      <w:r w:rsidR="008975DE" w:rsidRPr="00405303">
        <w:rPr>
          <w:bCs/>
          <w:color w:val="002060"/>
          <w:sz w:val="16"/>
          <w:szCs w:val="16"/>
        </w:rPr>
        <w:t>Отпустить в распоряжение 10 уполномоченных Председателя Особого Совещания по 20 000 руб. каждому на расходы, связанные с организацией, оборудованием, а равно деятельностью состоящих под их председательством районных заводских совещаний.</w:t>
      </w:r>
    </w:p>
    <w:p w14:paraId="44BE4990" w14:textId="417D1E66"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17.</w:t>
      </w:r>
      <w:r>
        <w:rPr>
          <w:bCs/>
          <w:color w:val="002060"/>
          <w:sz w:val="16"/>
          <w:szCs w:val="16"/>
        </w:rPr>
        <w:t xml:space="preserve">  </w:t>
      </w:r>
      <w:r w:rsidR="008975DE" w:rsidRPr="00405303">
        <w:rPr>
          <w:bCs/>
          <w:color w:val="002060"/>
          <w:sz w:val="16"/>
          <w:szCs w:val="16"/>
        </w:rPr>
        <w:t>Отпустить главному интендантскому управлению 49 526 000 руб. на изготовление предметов обозного довольствия и конского снаряжения.</w:t>
      </w:r>
    </w:p>
    <w:p w14:paraId="5318E7D6" w14:textId="43137577"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18.</w:t>
      </w:r>
      <w:r>
        <w:rPr>
          <w:bCs/>
          <w:color w:val="002060"/>
          <w:sz w:val="16"/>
          <w:szCs w:val="16"/>
        </w:rPr>
        <w:t xml:space="preserve">  </w:t>
      </w:r>
      <w:r w:rsidR="008975DE" w:rsidRPr="00405303">
        <w:rPr>
          <w:bCs/>
          <w:color w:val="002060"/>
          <w:sz w:val="16"/>
          <w:szCs w:val="16"/>
        </w:rPr>
        <w:t>Отпустить центральному военно-промышленному комитету через главное артиллерийское управление в счет 6 000 000 руб., отпущенных ранее, 1 500 000 руб. на расходы по приобретению оборудования для заводов, изготовляющих снаряды.</w:t>
      </w:r>
    </w:p>
    <w:p w14:paraId="7D82E45D" w14:textId="642D33B7"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19.</w:t>
      </w:r>
      <w:r>
        <w:rPr>
          <w:bCs/>
          <w:color w:val="002060"/>
          <w:sz w:val="16"/>
          <w:szCs w:val="16"/>
        </w:rPr>
        <w:t xml:space="preserve">  </w:t>
      </w:r>
      <w:r w:rsidR="008975DE" w:rsidRPr="00405303">
        <w:rPr>
          <w:bCs/>
          <w:color w:val="002060"/>
          <w:sz w:val="16"/>
          <w:szCs w:val="16"/>
        </w:rPr>
        <w:t xml:space="preserve">Признать, что фирме Томаса Фирт надлежит уплатить за реквизованное у нее снарядное </w:t>
      </w:r>
      <w:proofErr w:type="gramStart"/>
      <w:r w:rsidR="008975DE" w:rsidRPr="00405303">
        <w:rPr>
          <w:bCs/>
          <w:color w:val="002060"/>
          <w:sz w:val="16"/>
          <w:szCs w:val="16"/>
        </w:rPr>
        <w:t>оборудование по справедливой оценке</w:t>
      </w:r>
      <w:proofErr w:type="gramEnd"/>
      <w:r w:rsidR="008975DE" w:rsidRPr="00405303">
        <w:rPr>
          <w:bCs/>
          <w:color w:val="002060"/>
          <w:sz w:val="16"/>
          <w:szCs w:val="16"/>
        </w:rPr>
        <w:t xml:space="preserve"> тех предметов, кои окажутся фактически налицо.</w:t>
      </w:r>
    </w:p>
    <w:p w14:paraId="217FCC02" w14:textId="70AD2AAA"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20.</w:t>
      </w:r>
      <w:r>
        <w:rPr>
          <w:bCs/>
          <w:color w:val="002060"/>
          <w:sz w:val="16"/>
          <w:szCs w:val="16"/>
        </w:rPr>
        <w:t xml:space="preserve">  </w:t>
      </w:r>
      <w:r w:rsidR="008975DE" w:rsidRPr="00405303">
        <w:rPr>
          <w:bCs/>
          <w:color w:val="002060"/>
          <w:sz w:val="16"/>
          <w:szCs w:val="16"/>
        </w:rPr>
        <w:t>Принять впредь к руководству указания товарища министра финансов тайного советника Кузьминского о порядке предоставления</w:t>
      </w:r>
    </w:p>
    <w:p w14:paraId="3EC224E5" w14:textId="77777777" w:rsidR="008975DE" w:rsidRPr="00405303" w:rsidRDefault="008975DE" w:rsidP="00C15251">
      <w:pPr>
        <w:jc w:val="both"/>
        <w:rPr>
          <w:bCs/>
          <w:color w:val="002060"/>
          <w:sz w:val="16"/>
          <w:szCs w:val="16"/>
        </w:rPr>
      </w:pPr>
      <w:r w:rsidRPr="00405303">
        <w:rPr>
          <w:bCs/>
          <w:color w:val="002060"/>
          <w:sz w:val="16"/>
          <w:szCs w:val="16"/>
        </w:rPr>
        <w:t>средств в распоряжение местных органов и лиц.</w:t>
      </w:r>
    </w:p>
    <w:p w14:paraId="390E3990" w14:textId="2E11C32F"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21.</w:t>
      </w:r>
      <w:r>
        <w:rPr>
          <w:bCs/>
          <w:color w:val="002060"/>
          <w:sz w:val="16"/>
          <w:szCs w:val="16"/>
        </w:rPr>
        <w:t xml:space="preserve">  </w:t>
      </w:r>
      <w:r w:rsidR="008975DE" w:rsidRPr="00405303">
        <w:rPr>
          <w:bCs/>
          <w:color w:val="002060"/>
          <w:sz w:val="16"/>
          <w:szCs w:val="16"/>
        </w:rPr>
        <w:t>Передать дело о выдаче пособия на эвакуацию фирмы «Саламандра» и о приобретении у нее снарядного оборудования на рассмотрение наблюдательной комиссии.</w:t>
      </w:r>
    </w:p>
    <w:p w14:paraId="71C31104" w14:textId="2A367CAD"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Подлинный журнал за надлежащими подписями.</w:t>
      </w:r>
    </w:p>
    <w:p w14:paraId="6370C023" w14:textId="421BA60B"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С подлинным верно: делопроизводитель,</w:t>
      </w:r>
      <w:r>
        <w:rPr>
          <w:bCs/>
          <w:color w:val="002060"/>
          <w:sz w:val="16"/>
          <w:szCs w:val="16"/>
        </w:rPr>
        <w:t xml:space="preserve">  </w:t>
      </w:r>
      <w:r w:rsidR="008975DE" w:rsidRPr="00405303">
        <w:rPr>
          <w:bCs/>
          <w:color w:val="002060"/>
          <w:sz w:val="16"/>
          <w:szCs w:val="16"/>
        </w:rPr>
        <w:t>надворный советник Л. Тяжелое.</w:t>
      </w:r>
    </w:p>
    <w:p w14:paraId="7787D7F4" w14:textId="42C4CE72" w:rsidR="008975DE" w:rsidRPr="00405303" w:rsidRDefault="000F5756" w:rsidP="00C15251">
      <w:pPr>
        <w:jc w:val="both"/>
        <w:rPr>
          <w:bCs/>
          <w:color w:val="002060"/>
          <w:sz w:val="16"/>
          <w:szCs w:val="16"/>
        </w:rPr>
      </w:pPr>
      <w:r>
        <w:rPr>
          <w:bCs/>
          <w:color w:val="002060"/>
          <w:sz w:val="16"/>
          <w:szCs w:val="16"/>
        </w:rPr>
        <w:t xml:space="preserve"> </w:t>
      </w:r>
      <w:r w:rsidR="008975DE" w:rsidRPr="00405303">
        <w:rPr>
          <w:bCs/>
          <w:color w:val="002060"/>
          <w:sz w:val="16"/>
          <w:szCs w:val="16"/>
        </w:rPr>
        <w:t xml:space="preserve"> Сверял: за делопроизводителя (20652).</w:t>
      </w:r>
    </w:p>
    <w:p w14:paraId="3174924B" w14:textId="77777777" w:rsidR="008975DE" w:rsidRPr="00405303" w:rsidRDefault="008975DE" w:rsidP="00C15251">
      <w:pPr>
        <w:jc w:val="both"/>
        <w:rPr>
          <w:bCs/>
          <w:color w:val="002060"/>
          <w:sz w:val="16"/>
          <w:szCs w:val="16"/>
        </w:rPr>
      </w:pPr>
    </w:p>
    <w:p w14:paraId="13914EE6" w14:textId="7BB4BF4A" w:rsidR="00E42F28" w:rsidRPr="00405303" w:rsidRDefault="00E42F28" w:rsidP="00C15251">
      <w:pPr>
        <w:jc w:val="both"/>
        <w:rPr>
          <w:bCs/>
          <w:i/>
          <w:color w:val="002060"/>
          <w:sz w:val="16"/>
          <w:szCs w:val="16"/>
        </w:rPr>
      </w:pPr>
      <w:r w:rsidRPr="00405303">
        <w:rPr>
          <w:bCs/>
          <w:i/>
          <w:color w:val="002060"/>
          <w:sz w:val="16"/>
          <w:szCs w:val="16"/>
        </w:rPr>
        <w:t>Автация:</w:t>
      </w:r>
    </w:p>
    <w:p w14:paraId="5110E3A6" w14:textId="77777777" w:rsidR="00E42F28" w:rsidRPr="00405303" w:rsidRDefault="00E42F28" w:rsidP="00C15251">
      <w:pPr>
        <w:jc w:val="both"/>
        <w:rPr>
          <w:bCs/>
          <w:i/>
          <w:color w:val="002060"/>
          <w:sz w:val="16"/>
          <w:szCs w:val="16"/>
        </w:rPr>
      </w:pPr>
    </w:p>
    <w:p w14:paraId="0FFA25E8" w14:textId="77777777" w:rsidR="00E42F28" w:rsidRPr="00405303" w:rsidRDefault="00E42F28" w:rsidP="00C15251">
      <w:pPr>
        <w:jc w:val="both"/>
        <w:rPr>
          <w:bCs/>
          <w:color w:val="002060"/>
          <w:sz w:val="16"/>
          <w:szCs w:val="16"/>
        </w:rPr>
      </w:pPr>
      <w:r w:rsidRPr="00405303">
        <w:rPr>
          <w:bCs/>
          <w:color w:val="002060"/>
          <w:sz w:val="16"/>
          <w:szCs w:val="16"/>
        </w:rPr>
        <w:t>26 сентября 1915 г. на р. Стыри у Рафаловки (Ровенская губ.) опустился немецкий аэроплан. Экипажу удалось исправить неполадки с мотором, но подоспевший наш конный разъезд взял германских летчиков в плен. Через несколько дней в Митавском районе по схожему сценарию был пленен очередной экипаж немецкого самолета (23405).</w:t>
      </w:r>
    </w:p>
    <w:p w14:paraId="0A8CFD84" w14:textId="77777777" w:rsidR="00E42F28" w:rsidRPr="00405303" w:rsidRDefault="00E42F28" w:rsidP="00C15251">
      <w:pPr>
        <w:jc w:val="both"/>
        <w:rPr>
          <w:bCs/>
          <w:color w:val="002060"/>
          <w:sz w:val="16"/>
          <w:szCs w:val="16"/>
          <w:lang w:bidi="ru-RU"/>
        </w:rPr>
      </w:pPr>
    </w:p>
    <w:p w14:paraId="11CF6214" w14:textId="488C7FD5" w:rsidR="00994372" w:rsidRPr="00405303" w:rsidRDefault="00994372" w:rsidP="00C15251">
      <w:pPr>
        <w:jc w:val="both"/>
        <w:rPr>
          <w:bCs/>
          <w:i/>
          <w:color w:val="002060"/>
          <w:sz w:val="16"/>
          <w:szCs w:val="16"/>
        </w:rPr>
      </w:pPr>
      <w:r w:rsidRPr="00405303">
        <w:rPr>
          <w:bCs/>
          <w:i/>
          <w:color w:val="002060"/>
          <w:sz w:val="16"/>
          <w:szCs w:val="16"/>
        </w:rPr>
        <w:t>За рубежом:</w:t>
      </w:r>
    </w:p>
    <w:p w14:paraId="5BF25D60" w14:textId="77777777" w:rsidR="00994372" w:rsidRPr="00405303" w:rsidRDefault="00994372" w:rsidP="00C15251">
      <w:pPr>
        <w:jc w:val="both"/>
        <w:rPr>
          <w:bCs/>
          <w:color w:val="002060"/>
          <w:sz w:val="16"/>
          <w:szCs w:val="16"/>
        </w:rPr>
      </w:pPr>
    </w:p>
    <w:p w14:paraId="7BF509FB" w14:textId="77777777" w:rsidR="00994372" w:rsidRPr="00405303" w:rsidRDefault="00994372" w:rsidP="00C15251">
      <w:pPr>
        <w:jc w:val="both"/>
        <w:rPr>
          <w:bCs/>
          <w:color w:val="002060"/>
          <w:sz w:val="16"/>
          <w:szCs w:val="16"/>
        </w:rPr>
      </w:pPr>
      <w:r w:rsidRPr="00405303">
        <w:rPr>
          <w:rStyle w:val="ucoz-forum-post"/>
          <w:rFonts w:eastAsiaTheme="majorEastAsia"/>
          <w:bCs/>
          <w:color w:val="002060"/>
          <w:sz w:val="16"/>
          <w:szCs w:val="16"/>
        </w:rPr>
        <w:t xml:space="preserve">26 сентября (9 октября) </w:t>
      </w:r>
      <w:r w:rsidRPr="00405303">
        <w:rPr>
          <w:bCs/>
          <w:color w:val="002060"/>
          <w:sz w:val="16"/>
          <w:szCs w:val="16"/>
        </w:rPr>
        <w:t>в 1915 году австрийские войска вступили в Белград (14794).</w:t>
      </w:r>
    </w:p>
    <w:p w14:paraId="028CE7C9" w14:textId="77777777" w:rsidR="00994372" w:rsidRPr="00405303" w:rsidRDefault="00994372" w:rsidP="00C15251">
      <w:pPr>
        <w:jc w:val="both"/>
        <w:rPr>
          <w:rStyle w:val="ucoz-forum-post"/>
          <w:rFonts w:eastAsiaTheme="majorEastAsia"/>
          <w:bCs/>
          <w:color w:val="002060"/>
          <w:sz w:val="16"/>
          <w:szCs w:val="16"/>
        </w:rPr>
      </w:pPr>
    </w:p>
    <w:p w14:paraId="1384C410" w14:textId="77777777" w:rsidR="004B4E35" w:rsidRPr="00405303" w:rsidRDefault="009E6F82" w:rsidP="00C15251">
      <w:pPr>
        <w:jc w:val="both"/>
        <w:rPr>
          <w:bCs/>
          <w:i/>
          <w:color w:val="002060"/>
          <w:sz w:val="16"/>
          <w:szCs w:val="16"/>
        </w:rPr>
      </w:pPr>
      <w:r w:rsidRPr="00405303">
        <w:rPr>
          <w:bCs/>
          <w:i/>
          <w:color w:val="002060"/>
          <w:sz w:val="16"/>
          <w:szCs w:val="16"/>
        </w:rPr>
        <w:t>Армия:</w:t>
      </w:r>
    </w:p>
    <w:p w14:paraId="67625DB2" w14:textId="77777777" w:rsidR="004B4E35" w:rsidRPr="00405303" w:rsidRDefault="004B4E35" w:rsidP="00C15251">
      <w:pPr>
        <w:jc w:val="both"/>
        <w:rPr>
          <w:bCs/>
          <w:i/>
          <w:color w:val="002060"/>
          <w:sz w:val="16"/>
          <w:szCs w:val="16"/>
        </w:rPr>
      </w:pPr>
    </w:p>
    <w:p w14:paraId="43B1653B" w14:textId="7F313111" w:rsidR="004B4E35" w:rsidRPr="00405303" w:rsidRDefault="009E6F82" w:rsidP="00C15251">
      <w:pPr>
        <w:jc w:val="both"/>
        <w:rPr>
          <w:bCs/>
          <w:color w:val="002060"/>
          <w:sz w:val="16"/>
          <w:szCs w:val="16"/>
        </w:rPr>
      </w:pPr>
      <w:r w:rsidRPr="00405303">
        <w:rPr>
          <w:bCs/>
          <w:color w:val="002060"/>
          <w:sz w:val="16"/>
          <w:szCs w:val="16"/>
        </w:rPr>
        <w:t xml:space="preserve">27 сентября </w:t>
      </w:r>
      <w:r w:rsidR="00994372" w:rsidRPr="00405303">
        <w:rPr>
          <w:bCs/>
          <w:color w:val="002060"/>
          <w:sz w:val="16"/>
          <w:szCs w:val="16"/>
        </w:rPr>
        <w:t xml:space="preserve">(10 октября) </w:t>
      </w:r>
      <w:r w:rsidRPr="00405303">
        <w:rPr>
          <w:bCs/>
          <w:color w:val="002060"/>
          <w:sz w:val="16"/>
          <w:szCs w:val="16"/>
        </w:rPr>
        <w:t>1915 года на бомбардировку станции Тауэркальн летали уже два "Муромца" (I и II). Вскоре, начиная с 3 октября, один за другим прилетают в Зегевольд корабли "Киевский" (штабс-капитан И.С. Башко), V (штабс-капитан Г.В. Алехнович) и IX (штабс-капитан Р.Л. Нижевский) и сразу включаются в боевую работу.</w:t>
      </w:r>
    </w:p>
    <w:p w14:paraId="07857409" w14:textId="77777777" w:rsidR="004B4E35" w:rsidRPr="00405303" w:rsidRDefault="009E6F82" w:rsidP="00C15251">
      <w:pPr>
        <w:jc w:val="both"/>
        <w:rPr>
          <w:bCs/>
          <w:color w:val="002060"/>
          <w:sz w:val="16"/>
          <w:szCs w:val="16"/>
        </w:rPr>
      </w:pPr>
      <w:r w:rsidRPr="00405303">
        <w:rPr>
          <w:bCs/>
          <w:color w:val="002060"/>
          <w:sz w:val="16"/>
          <w:szCs w:val="16"/>
        </w:rPr>
        <w:t>5 октября 1915 года три "Муромца" отряда совершили налёт на станцию Фрид- рихсгоф.</w:t>
      </w:r>
    </w:p>
    <w:p w14:paraId="25C12A74" w14:textId="77777777" w:rsidR="004B4E35" w:rsidRPr="00405303" w:rsidRDefault="009E6F82" w:rsidP="00C15251">
      <w:pPr>
        <w:jc w:val="both"/>
        <w:rPr>
          <w:bCs/>
          <w:color w:val="002060"/>
          <w:sz w:val="16"/>
          <w:szCs w:val="16"/>
        </w:rPr>
      </w:pPr>
      <w:r w:rsidRPr="00405303">
        <w:rPr>
          <w:bCs/>
          <w:color w:val="002060"/>
          <w:sz w:val="16"/>
          <w:szCs w:val="16"/>
        </w:rPr>
        <w:t xml:space="preserve">Алехнович (корабль V) взял с собой 12 пудов бомб, Нижевский (корабль IX) - II пудов. Панкратьев же (корабль II) прицепил 15-пудовую бомбу и на борт прихватил ещё двухпудовку, пудовку и пару пятифунтовок. Корабли взлетели с промежутком в 15 минут и брали курс на станцию. Интервал был сделан для того, чтобы все смогли отбомбиться, не мешая друг другу. Помощник командира II корабля штабс-капитан С.Н. Никольской вспоминал о налёте: "Красота, да и только. Подходит </w:t>
      </w:r>
      <w:r w:rsidRPr="00405303">
        <w:rPr>
          <w:bCs/>
          <w:color w:val="002060"/>
          <w:sz w:val="16"/>
          <w:szCs w:val="16"/>
        </w:rPr>
        <w:lastRenderedPageBreak/>
        <w:t>первый, кружит и бросает. Покружился, отходит. Подходит второй, а третий уже ждёт, когда освободится место, чтобы побросать в свою очередь". На станцию Фридрихсгоф "Муромцы" высыпали 39 бомб обшим весом в 42 пуда (684,5 кг). Удачными попаданиями были произведены разрушения и пожары.</w:t>
      </w:r>
    </w:p>
    <w:p w14:paraId="7E866BEB" w14:textId="77777777" w:rsidR="004B4E35" w:rsidRPr="00405303" w:rsidRDefault="009E6F82" w:rsidP="00C15251">
      <w:pPr>
        <w:jc w:val="both"/>
        <w:rPr>
          <w:bCs/>
          <w:color w:val="002060"/>
          <w:sz w:val="16"/>
          <w:szCs w:val="16"/>
        </w:rPr>
      </w:pPr>
      <w:r w:rsidRPr="00405303">
        <w:rPr>
          <w:bCs/>
          <w:color w:val="002060"/>
          <w:sz w:val="16"/>
          <w:szCs w:val="16"/>
        </w:rPr>
        <w:t>На следующий день, штабс-капитан Башко отправился на разведку Митавского района на своём новом корабле "Киевский" (№ 169). При возвращении у самолета забарахлили моторы и Башко с трудом перетянул машину через линию фронта на высоте 120 метров, обстреливаемый сильным ружейным и пулемётным огнём. "Киевский" приземлился всего в 1,5 верстах от огневых позиций в нашем расположении за станцией Олай. Корабль вскоре был разобран и доставлен по земле в отряд для ремонта.</w:t>
      </w:r>
    </w:p>
    <w:p w14:paraId="05E71707" w14:textId="77777777" w:rsidR="004B4E35" w:rsidRPr="00405303" w:rsidRDefault="009E6F82" w:rsidP="00C15251">
      <w:pPr>
        <w:jc w:val="both"/>
        <w:rPr>
          <w:bCs/>
          <w:color w:val="002060"/>
          <w:sz w:val="16"/>
          <w:szCs w:val="16"/>
        </w:rPr>
      </w:pPr>
      <w:r w:rsidRPr="00405303">
        <w:rPr>
          <w:bCs/>
          <w:color w:val="002060"/>
          <w:sz w:val="16"/>
          <w:szCs w:val="16"/>
        </w:rPr>
        <w:t>"Муромцы" зегевольде ко го отряда совершили на Северном фронте до конца 1915 года 25 боевых вылетов.</w:t>
      </w:r>
    </w:p>
    <w:p w14:paraId="0D6B1660" w14:textId="77777777" w:rsidR="004B4E35" w:rsidRPr="00405303" w:rsidRDefault="009E6F82" w:rsidP="00C15251">
      <w:pPr>
        <w:jc w:val="both"/>
        <w:rPr>
          <w:bCs/>
          <w:color w:val="002060"/>
          <w:sz w:val="16"/>
          <w:szCs w:val="16"/>
        </w:rPr>
      </w:pPr>
      <w:r w:rsidRPr="00405303">
        <w:rPr>
          <w:bCs/>
          <w:color w:val="002060"/>
          <w:sz w:val="16"/>
          <w:szCs w:val="16"/>
        </w:rPr>
        <w:t>Всего же за весь 1915 год воздушные корабли Эскадры выполнили до 100 боевых полётов, сбросив на противника до 1220 пудов бомб (почти 20000 кг!) (12041).</w:t>
      </w:r>
    </w:p>
    <w:p w14:paraId="60462881" w14:textId="77777777" w:rsidR="004B4E35" w:rsidRPr="00405303" w:rsidRDefault="004B4E35" w:rsidP="00C15251">
      <w:pPr>
        <w:jc w:val="both"/>
        <w:rPr>
          <w:bCs/>
          <w:color w:val="002060"/>
          <w:sz w:val="16"/>
          <w:szCs w:val="16"/>
        </w:rPr>
      </w:pPr>
    </w:p>
    <w:p w14:paraId="67D5082E" w14:textId="29998629" w:rsidR="00E42F28" w:rsidRPr="00405303" w:rsidRDefault="00E42F28" w:rsidP="00C15251">
      <w:pPr>
        <w:jc w:val="both"/>
        <w:rPr>
          <w:bCs/>
          <w:i/>
          <w:color w:val="002060"/>
          <w:sz w:val="16"/>
          <w:szCs w:val="16"/>
        </w:rPr>
      </w:pPr>
      <w:r w:rsidRPr="00405303">
        <w:rPr>
          <w:bCs/>
          <w:i/>
          <w:color w:val="002060"/>
          <w:sz w:val="16"/>
          <w:szCs w:val="16"/>
        </w:rPr>
        <w:t>Автация:</w:t>
      </w:r>
    </w:p>
    <w:p w14:paraId="25E692CD" w14:textId="77777777" w:rsidR="00E42F28" w:rsidRPr="00405303" w:rsidRDefault="00E42F28" w:rsidP="00C15251">
      <w:pPr>
        <w:jc w:val="both"/>
        <w:rPr>
          <w:bCs/>
          <w:i/>
          <w:color w:val="002060"/>
          <w:sz w:val="16"/>
          <w:szCs w:val="16"/>
        </w:rPr>
      </w:pPr>
    </w:p>
    <w:p w14:paraId="01BC8D58" w14:textId="77777777" w:rsidR="00E42F28" w:rsidRPr="00405303" w:rsidRDefault="00E42F28" w:rsidP="00C15251">
      <w:pPr>
        <w:jc w:val="both"/>
        <w:rPr>
          <w:bCs/>
          <w:color w:val="002060"/>
          <w:sz w:val="16"/>
          <w:szCs w:val="16"/>
        </w:rPr>
      </w:pPr>
      <w:r w:rsidRPr="00405303">
        <w:rPr>
          <w:bCs/>
          <w:color w:val="002060"/>
          <w:sz w:val="16"/>
          <w:szCs w:val="16"/>
        </w:rPr>
        <w:t>27 сентября (10 октября) 1915 г. отправлен с завода РБВЗ на аэродром ЭВК Яблона «Илья Муромец» В-23 (ИМ В-23 № 169 «Корабль Киевский 2-й», борт № XIII) экз. № 21, стратегический разведчик, тяжелый бомбардировщик. Командиром корабля предположительно был назначен штабс-капитан Башко.</w:t>
      </w:r>
    </w:p>
    <w:p w14:paraId="39871028" w14:textId="77777777" w:rsidR="00E42F28" w:rsidRPr="00405303" w:rsidRDefault="00E42F28" w:rsidP="00C15251">
      <w:pPr>
        <w:jc w:val="both"/>
        <w:rPr>
          <w:bCs/>
          <w:color w:val="002060"/>
          <w:sz w:val="16"/>
          <w:szCs w:val="16"/>
        </w:rPr>
      </w:pPr>
      <w:r w:rsidRPr="00405303">
        <w:rPr>
          <w:bCs/>
          <w:color w:val="002060"/>
          <w:sz w:val="16"/>
          <w:szCs w:val="16"/>
        </w:rPr>
        <w:t>Построен с 4 двигателями водяного охлаждения «Аргус» по 140 л.с. (As II, видимо, сняты со списанного самолета).</w:t>
      </w:r>
    </w:p>
    <w:p w14:paraId="0D83A84D" w14:textId="77777777" w:rsidR="00E42F28" w:rsidRPr="00405303" w:rsidRDefault="00E42F28" w:rsidP="00C15251">
      <w:pPr>
        <w:jc w:val="both"/>
        <w:rPr>
          <w:bCs/>
          <w:color w:val="002060"/>
          <w:sz w:val="16"/>
          <w:szCs w:val="16"/>
        </w:rPr>
      </w:pPr>
      <w:r w:rsidRPr="00405303">
        <w:rPr>
          <w:bCs/>
          <w:color w:val="002060"/>
          <w:sz w:val="16"/>
          <w:szCs w:val="16"/>
        </w:rPr>
        <w:t>03.10.15 г. (16.10.15 г. по н.ст.) корабль совершил первый боевой вылет.</w:t>
      </w:r>
    </w:p>
    <w:p w14:paraId="0EDC4D52" w14:textId="77777777" w:rsidR="00E42F28" w:rsidRPr="00405303" w:rsidRDefault="00E42F28" w:rsidP="00C15251">
      <w:pPr>
        <w:jc w:val="both"/>
        <w:rPr>
          <w:bCs/>
          <w:color w:val="002060"/>
          <w:sz w:val="16"/>
          <w:szCs w:val="16"/>
        </w:rPr>
      </w:pPr>
      <w:r w:rsidRPr="00405303">
        <w:rPr>
          <w:bCs/>
          <w:color w:val="002060"/>
          <w:sz w:val="16"/>
          <w:szCs w:val="16"/>
        </w:rPr>
        <w:t>Поврежден ураганом 06.10.15 г. (19.10.15 г. по н.ст.), но отремонтирован.</w:t>
      </w:r>
    </w:p>
    <w:p w14:paraId="348EF0DF" w14:textId="77777777" w:rsidR="00E42F28" w:rsidRPr="00405303" w:rsidRDefault="00E42F28" w:rsidP="00C15251">
      <w:pPr>
        <w:jc w:val="both"/>
        <w:rPr>
          <w:bCs/>
          <w:color w:val="002060"/>
          <w:sz w:val="16"/>
          <w:szCs w:val="16"/>
        </w:rPr>
      </w:pPr>
      <w:r w:rsidRPr="00405303">
        <w:rPr>
          <w:bCs/>
          <w:color w:val="002060"/>
          <w:sz w:val="16"/>
          <w:szCs w:val="16"/>
        </w:rPr>
        <w:t>После совершения 9 боевых вылетов в начале апреля новым командиром корабля, который получил новый бортовой номер XIII, назначен штабс-капитан В.А. Соловьев.</w:t>
      </w:r>
    </w:p>
    <w:p w14:paraId="6ABB69AF" w14:textId="77777777" w:rsidR="00E42F28" w:rsidRPr="00405303" w:rsidRDefault="00E42F28" w:rsidP="00C15251">
      <w:pPr>
        <w:jc w:val="both"/>
        <w:rPr>
          <w:bCs/>
          <w:color w:val="002060"/>
          <w:sz w:val="16"/>
          <w:szCs w:val="16"/>
        </w:rPr>
      </w:pPr>
      <w:r w:rsidRPr="00405303">
        <w:rPr>
          <w:bCs/>
          <w:color w:val="002060"/>
          <w:sz w:val="16"/>
          <w:szCs w:val="16"/>
        </w:rPr>
        <w:t>Не позже мая 1916 г. корабль был передан в Южный отряд ЭВК.</w:t>
      </w:r>
    </w:p>
    <w:p w14:paraId="32D25423" w14:textId="77777777" w:rsidR="00E42F28" w:rsidRPr="00405303" w:rsidRDefault="00E42F28" w:rsidP="00C15251">
      <w:pPr>
        <w:jc w:val="both"/>
        <w:rPr>
          <w:bCs/>
          <w:color w:val="002060"/>
          <w:sz w:val="16"/>
          <w:szCs w:val="16"/>
        </w:rPr>
      </w:pPr>
      <w:r w:rsidRPr="00405303">
        <w:rPr>
          <w:bCs/>
          <w:color w:val="002060"/>
          <w:sz w:val="16"/>
          <w:szCs w:val="16"/>
        </w:rPr>
        <w:t>19.05.16 г. (01.06.16 г.) корабль был атакован австрийским двухместным самолетом, который был опознан как «Альбатрос», но умелым маневрированием и точным огнем стрелков вражеский аэроплан был сбит, за что командир корабля Соловьев был награжден орденом Св. Анны II ст. с мечами. Под его командованием экипаж сделал 15 боевых вылетов с общим налетом 50 ч.</w:t>
      </w:r>
    </w:p>
    <w:p w14:paraId="49F29C54" w14:textId="77777777" w:rsidR="00E42F28" w:rsidRPr="00405303" w:rsidRDefault="00E42F28" w:rsidP="00C15251">
      <w:pPr>
        <w:jc w:val="both"/>
        <w:rPr>
          <w:bCs/>
          <w:color w:val="002060"/>
          <w:sz w:val="16"/>
          <w:szCs w:val="16"/>
        </w:rPr>
      </w:pPr>
      <w:r w:rsidRPr="00405303">
        <w:rPr>
          <w:bCs/>
          <w:color w:val="002060"/>
          <w:sz w:val="16"/>
          <w:szCs w:val="16"/>
        </w:rPr>
        <w:t>Летом 1916 г. корабль удачно оказывал поддержку наступления 7-й Армии – в Брусиловском прорыве, совершенном в мае – сентябре этого года.</w:t>
      </w:r>
    </w:p>
    <w:p w14:paraId="7B6425A4" w14:textId="77777777" w:rsidR="00E42F28" w:rsidRPr="00405303" w:rsidRDefault="00E42F28" w:rsidP="00C15251">
      <w:pPr>
        <w:jc w:val="both"/>
        <w:rPr>
          <w:bCs/>
          <w:color w:val="002060"/>
          <w:sz w:val="16"/>
          <w:szCs w:val="16"/>
        </w:rPr>
      </w:pPr>
      <w:r w:rsidRPr="00405303">
        <w:rPr>
          <w:bCs/>
          <w:color w:val="002060"/>
          <w:sz w:val="16"/>
          <w:szCs w:val="16"/>
        </w:rPr>
        <w:t>Дальнейшие данные о боевом пути самолета, приведенные в работах М. Хайрулина противоречивы. По одним данным осенью 1916 г. корабль передан в 3-й отряд ЭВК и его командиром был назначен штабс-капитан И.С. Башко, по другим он остался в 1-м отряде под командованием Соловьева.</w:t>
      </w:r>
    </w:p>
    <w:p w14:paraId="4C0510B2" w14:textId="77777777" w:rsidR="00E42F28" w:rsidRPr="00405303" w:rsidRDefault="00E42F28" w:rsidP="00C15251">
      <w:pPr>
        <w:jc w:val="both"/>
        <w:rPr>
          <w:bCs/>
          <w:color w:val="002060"/>
          <w:sz w:val="16"/>
          <w:szCs w:val="16"/>
        </w:rPr>
      </w:pPr>
      <w:r w:rsidRPr="00405303">
        <w:rPr>
          <w:bCs/>
          <w:color w:val="002060"/>
          <w:sz w:val="16"/>
          <w:szCs w:val="16"/>
        </w:rPr>
        <w:t>11.11.16 г. (24.11.16 г. по н.ст.) корабль совершил последний боевой вылет.</w:t>
      </w:r>
    </w:p>
    <w:p w14:paraId="795E49E9" w14:textId="77777777" w:rsidR="00E42F28" w:rsidRPr="00405303" w:rsidRDefault="00E42F28" w:rsidP="00C15251">
      <w:pPr>
        <w:jc w:val="both"/>
        <w:rPr>
          <w:bCs/>
          <w:color w:val="002060"/>
          <w:sz w:val="16"/>
          <w:szCs w:val="16"/>
        </w:rPr>
      </w:pPr>
      <w:r w:rsidRPr="00405303">
        <w:rPr>
          <w:bCs/>
          <w:color w:val="002060"/>
          <w:sz w:val="16"/>
          <w:szCs w:val="16"/>
        </w:rPr>
        <w:t>Всего корабль совершил 24 боевых вылета, сбросил до 2464 кг (154 пудов) бомб и сбил 1 самолет противника.</w:t>
      </w:r>
    </w:p>
    <w:p w14:paraId="31467A43" w14:textId="77777777" w:rsidR="00E42F28" w:rsidRPr="00405303" w:rsidRDefault="00E42F28" w:rsidP="00C15251">
      <w:pPr>
        <w:jc w:val="both"/>
        <w:rPr>
          <w:bCs/>
          <w:color w:val="002060"/>
          <w:sz w:val="16"/>
          <w:szCs w:val="16"/>
        </w:rPr>
      </w:pPr>
      <w:r w:rsidRPr="00405303">
        <w:rPr>
          <w:bCs/>
          <w:color w:val="002060"/>
          <w:sz w:val="16"/>
          <w:szCs w:val="16"/>
        </w:rPr>
        <w:t>Списан в начале 1917 г.</w:t>
      </w:r>
    </w:p>
    <w:p w14:paraId="77CD37AD" w14:textId="77777777" w:rsidR="00E42F28" w:rsidRPr="00405303" w:rsidRDefault="00E42F28" w:rsidP="00C15251">
      <w:pPr>
        <w:jc w:val="both"/>
        <w:rPr>
          <w:bCs/>
          <w:color w:val="002060"/>
          <w:sz w:val="16"/>
          <w:szCs w:val="16"/>
          <w:lang w:bidi="en-US"/>
        </w:rPr>
      </w:pPr>
    </w:p>
    <w:p w14:paraId="7E8CCF93" w14:textId="72A7AEB7" w:rsidR="00F729B9" w:rsidRPr="00405303" w:rsidRDefault="00F729B9" w:rsidP="00C15251">
      <w:pPr>
        <w:jc w:val="both"/>
        <w:rPr>
          <w:bCs/>
          <w:i/>
          <w:color w:val="002060"/>
          <w:sz w:val="16"/>
          <w:szCs w:val="16"/>
        </w:rPr>
      </w:pPr>
      <w:r w:rsidRPr="00405303">
        <w:rPr>
          <w:bCs/>
          <w:i/>
          <w:color w:val="002060"/>
          <w:sz w:val="16"/>
          <w:szCs w:val="16"/>
        </w:rPr>
        <w:t>Жизнь и внутренняя политика:</w:t>
      </w:r>
    </w:p>
    <w:p w14:paraId="7B043E1F" w14:textId="77777777" w:rsidR="00F729B9" w:rsidRPr="00405303" w:rsidRDefault="00F729B9" w:rsidP="00C15251">
      <w:pPr>
        <w:jc w:val="both"/>
        <w:rPr>
          <w:bCs/>
          <w:i/>
          <w:color w:val="002060"/>
          <w:sz w:val="16"/>
          <w:szCs w:val="16"/>
        </w:rPr>
      </w:pPr>
    </w:p>
    <w:p w14:paraId="6CD0380D" w14:textId="4ED92036" w:rsidR="00F729B9" w:rsidRPr="00405303" w:rsidRDefault="00F729B9" w:rsidP="00C15251">
      <w:pPr>
        <w:jc w:val="both"/>
        <w:rPr>
          <w:bCs/>
          <w:color w:val="002060"/>
          <w:sz w:val="16"/>
          <w:szCs w:val="16"/>
        </w:rPr>
      </w:pPr>
      <w:r w:rsidRPr="00405303">
        <w:rPr>
          <w:bCs/>
          <w:color w:val="002060"/>
          <w:sz w:val="16"/>
          <w:szCs w:val="16"/>
        </w:rPr>
        <w:t xml:space="preserve">27 сентября </w:t>
      </w:r>
      <w:r w:rsidR="00994372" w:rsidRPr="00405303">
        <w:rPr>
          <w:bCs/>
          <w:color w:val="002060"/>
          <w:sz w:val="16"/>
          <w:szCs w:val="16"/>
        </w:rPr>
        <w:t xml:space="preserve">(10 октября) </w:t>
      </w:r>
      <w:r w:rsidRPr="00405303">
        <w:rPr>
          <w:bCs/>
          <w:color w:val="002060"/>
          <w:sz w:val="16"/>
          <w:szCs w:val="16"/>
        </w:rPr>
        <w:t>1915 усилия шовинистов встретили еще более твердый отпор. Отказавшись выбирать своих представителей в военно-промышленные комитеты и становиться «слепым орудием» власти, рабочие объяснили (с помощью большевиков) свое понимание «национальных интересов»: это есть «лишь прикрытие» империалистического хищничества, «приманка» для рабочих [Ольденбург 1949, т. 2: 187–188; Дякин 1967: 158 сл.]. «Проклятый вопрос» нравственного характера — отношение рабочего к труду на военном предприятии [Шишкин 1976: 54] — получал практическое преломление. «Обязанность всех соприкасающихся с рабочими, занятыми в предприятиях по обороне, — всячески выяснять им решительную недопустимость приостановки работ… при каких бы то ни было условиях… Надо ежечасно говорить об этом рабочим», — взывала к своей либеральной аудитории оппозиционная «Речь» 14 марта 1916 г. Думские заседания, посвященные вопросам военно-промышленной политики, превращались в спектакли с заранее распределенными ролями («Надо нарисовать картину… Надо развернуть картину последствий германского завоевания») и обеспеченным широчайшим освещением в прессе. К «Иванам и Петрам» «либеральные» думцы применяли пропагандистские приемы, испытанные на английских рабочих (разъяснить «значение снарядов для победы и значение работы для снарядов»: на фронте «гибнут братья… всё для получения снарядов»)54. Патриотическая агитация должна была убедить «рвань» в совпадении ее интересов с интересами военно-промышленных дельцов, бюрократии, власти в целом. Для этого, как утверждает Никонов, правительству не хватало политтехнологической ловкости: «Инструменты внутренней пропаганды были использованы властью явно недостаточно». Надо было больше рассказывать рабочим о правительственных успехах в производстве вооружения. Но ведь эти «инструменты» потому и не действовали, что приходилось пропагандировать, по выражению П.Н. Милюкова (и Бердяева), «довольно фиктивное» единство. «Циммервальд» пустил «глубокие корни» в «широкие массы», и «никакая пропаганда не могла преодолеть» его идеи [Никонов 2011: 413–414; Ольденбург 1949: 178, 183, 187, 209, 213]. Результат напряженных совокупных усилий черносотенцев и «либералов» разочаровывал. Как констатировал Милюков, у этих пропагандистов не было «общего языка» с рабочими военных предприятий [Шелохаев 1993: 32]55, расходились их понятия о нравственности и «национальных интересах». Оборончески настроенный Г.В. Плеханов тоже делал попытки внушить рабочим, что «даже к стачкам можно прибегать теперь, во время войны, только всесторонне взвесив все их возможные военно-технические… последствия». Министерство внутренних дел в 1916 г. принялось распространять цитированное воззвание Плеханова «для объединения народных масс вокруг общего дела» [Тютюкин 1997: 320]. В саратовской глубинке его воззвание, по отзыву губернатора, «хорошо подействовало», но и там «под влиянием административно высланных» часть рабочих высказывалась против войны [Земцов 1999: 203]. В военно-промышленных центрах, не полагаясь только на действенность милитаристской пропаганды, ковать единство приходилось с помощью полиции и войск, розгами и палками, тысячами отправляя бастующих рабочих с военных заводов в окопы, вместо каторги, и прикомандировывая на их место солдат, побывавших на фронте, а также внедряя в рабочую среду платную агентуру контрразведки и полиции. Ход изучения проблемы в прошлом — в сопоставлении с состоянием текущей практики — подсказывает некоторый общий вывод. На первый взгляд, те соображения, которые выдвинули в свое время Шацилло, Яхимович, Миллер, могут казаться то ли отвлеченно гуманистическими, то ли пацифистскими или анархистскими, или вообще удаленными в некое метафизическое пространство. Но по сути стремление к объективному рассмотрению такого идеологически чувствительного предмета, как военно-промышленная политика, прежде всего обязывает последовательно держаться точки зрения «отвлеченной справедливости» (Бердяев), или «противогосударственного отщепенства». Без этого условия государственнические, великодержавные, национальные и т. п. идеологические пристрастия слишком легко извратят «начала рационального и эмпирического» (Струве), отвечающие общенаучным требованиям исследования. В начале 1990-х гг. российские историки избавились от обязательных советских идеологических предписаний, и, в частности, в области истории Первой мировой войны открылась возможность отдавать предпочтение тому или иному принципиальному взгляду, высказывать возражения. Такая ценная возможность существовала у них не всегда и еще не отпала, покуда вертикаль исторической науки поглощена выработкой «общей, понятной всем программы действий», или, выражаясь более прямо, «специальной программы мероприятий». В дальнейшем же, когда исполнится обещание «представить российскому обществу более или менее единый взгляд российских интеллектуалов на эту часть российской истории», возможности будут уже иными: в освещении прошлого российской государственности и участия России в мировой войне совершается движение вспять — к утверждению вполне определенной «единой точки зрения» (18408).</w:t>
      </w:r>
    </w:p>
    <w:p w14:paraId="0B033041" w14:textId="19F01678" w:rsidR="00F729B9" w:rsidRPr="00405303" w:rsidRDefault="00F729B9" w:rsidP="00C15251">
      <w:pPr>
        <w:jc w:val="both"/>
        <w:rPr>
          <w:bCs/>
          <w:color w:val="002060"/>
          <w:sz w:val="16"/>
          <w:szCs w:val="16"/>
        </w:rPr>
      </w:pPr>
    </w:p>
    <w:p w14:paraId="2A9AB90F" w14:textId="6547BF0E" w:rsidR="00EB76F3" w:rsidRPr="00405303" w:rsidRDefault="00EB76F3" w:rsidP="00C15251">
      <w:pPr>
        <w:jc w:val="both"/>
        <w:rPr>
          <w:bCs/>
          <w:i/>
          <w:iCs/>
          <w:color w:val="002060"/>
          <w:sz w:val="16"/>
          <w:szCs w:val="16"/>
        </w:rPr>
      </w:pPr>
      <w:r w:rsidRPr="00405303">
        <w:rPr>
          <w:bCs/>
          <w:i/>
          <w:iCs/>
          <w:color w:val="002060"/>
          <w:sz w:val="16"/>
          <w:szCs w:val="16"/>
        </w:rPr>
        <w:t>Самолетостроение:</w:t>
      </w:r>
    </w:p>
    <w:p w14:paraId="617CE883" w14:textId="77777777" w:rsidR="00EB76F3" w:rsidRPr="00405303" w:rsidRDefault="00EB76F3" w:rsidP="00C15251">
      <w:pPr>
        <w:jc w:val="both"/>
        <w:rPr>
          <w:bCs/>
          <w:i/>
          <w:iCs/>
          <w:color w:val="002060"/>
          <w:sz w:val="16"/>
          <w:szCs w:val="16"/>
        </w:rPr>
      </w:pPr>
    </w:p>
    <w:p w14:paraId="248FE8F8" w14:textId="77777777" w:rsidR="00EB76F3" w:rsidRPr="00405303" w:rsidRDefault="00EB76F3" w:rsidP="00C15251">
      <w:pPr>
        <w:jc w:val="both"/>
        <w:rPr>
          <w:bCs/>
          <w:color w:val="002060"/>
          <w:sz w:val="16"/>
          <w:szCs w:val="16"/>
        </w:rPr>
      </w:pPr>
      <w:r w:rsidRPr="00405303">
        <w:rPr>
          <w:bCs/>
          <w:color w:val="002060"/>
          <w:sz w:val="16"/>
          <w:szCs w:val="16"/>
        </w:rPr>
        <w:lastRenderedPageBreak/>
        <w:t>28 сентября (11 октября) 1915 г. профессор Н.Е.Жуковский доложил Московскому матема</w:t>
      </w:r>
      <w:r w:rsidRPr="00405303">
        <w:rPr>
          <w:bCs/>
          <w:color w:val="002060"/>
          <w:sz w:val="16"/>
          <w:szCs w:val="16"/>
        </w:rPr>
        <w:softHyphen/>
        <w:t>тическому обществу разработанную им теорию бомбометания с аэропла</w:t>
      </w:r>
      <w:r w:rsidRPr="00405303">
        <w:rPr>
          <w:bCs/>
          <w:color w:val="002060"/>
          <w:sz w:val="16"/>
          <w:szCs w:val="16"/>
        </w:rPr>
        <w:softHyphen/>
        <w:t>нов. Эта теория явилась большим вкладом в технику боевого примене</w:t>
      </w:r>
      <w:r w:rsidRPr="00405303">
        <w:rPr>
          <w:bCs/>
          <w:color w:val="002060"/>
          <w:sz w:val="16"/>
          <w:szCs w:val="16"/>
        </w:rPr>
        <w:softHyphen/>
        <w:t>ния самолета и послужила научной основой для разработки прицелов воздушного бомбометания и для конструирования авиабомб. В 1916 году ТРУД был опубликован под названием «Бомбометание с аэропланов».</w:t>
      </w:r>
    </w:p>
    <w:p w14:paraId="3FE931EF" w14:textId="77777777" w:rsidR="00EB76F3" w:rsidRPr="00405303" w:rsidRDefault="00EB76F3" w:rsidP="00C15251">
      <w:pPr>
        <w:jc w:val="both"/>
        <w:rPr>
          <w:bCs/>
          <w:color w:val="002060"/>
          <w:sz w:val="16"/>
          <w:szCs w:val="16"/>
        </w:rPr>
      </w:pPr>
      <w:r w:rsidRPr="00405303">
        <w:rPr>
          <w:bCs/>
          <w:color w:val="002060"/>
          <w:sz w:val="16"/>
          <w:szCs w:val="16"/>
        </w:rPr>
        <w:t>/Н.Е.Жуковский. Собрание сочинений, том 7, 1950 г., стр. 512/ (23320).</w:t>
      </w:r>
    </w:p>
    <w:p w14:paraId="702D6E5F" w14:textId="77777777" w:rsidR="00EB76F3" w:rsidRPr="00405303" w:rsidRDefault="00EB76F3" w:rsidP="00C15251">
      <w:pPr>
        <w:jc w:val="both"/>
        <w:rPr>
          <w:bCs/>
          <w:color w:val="002060"/>
          <w:sz w:val="16"/>
          <w:szCs w:val="16"/>
        </w:rPr>
      </w:pPr>
    </w:p>
    <w:p w14:paraId="5DE68417" w14:textId="77777777" w:rsidR="00EB76F3" w:rsidRPr="00405303" w:rsidRDefault="00EB76F3" w:rsidP="00C15251">
      <w:pPr>
        <w:jc w:val="both"/>
        <w:rPr>
          <w:bCs/>
          <w:color w:val="002060"/>
          <w:sz w:val="16"/>
          <w:szCs w:val="16"/>
        </w:rPr>
      </w:pPr>
      <w:r w:rsidRPr="00405303">
        <w:rPr>
          <w:bCs/>
          <w:color w:val="002060"/>
          <w:sz w:val="16"/>
          <w:szCs w:val="16"/>
        </w:rPr>
        <w:t>28 сентября (11 октября) 1915 г. два немецких морских летчика совершили на гидро самолете вынужденную посадку в расположении наших войск севернее Митавы. На допросе летчики заявили, что они попали в полосу тумана и спустились в лесу, приняв его за море</w:t>
      </w:r>
    </w:p>
    <w:p w14:paraId="6F6648BC" w14:textId="77777777" w:rsidR="00EB76F3" w:rsidRPr="00405303" w:rsidRDefault="00EB76F3" w:rsidP="00C15251">
      <w:pPr>
        <w:jc w:val="both"/>
        <w:rPr>
          <w:bCs/>
          <w:color w:val="002060"/>
          <w:sz w:val="16"/>
          <w:szCs w:val="16"/>
        </w:rPr>
      </w:pPr>
      <w:r w:rsidRPr="00405303">
        <w:rPr>
          <w:bCs/>
          <w:color w:val="002060"/>
          <w:sz w:val="16"/>
          <w:szCs w:val="16"/>
        </w:rPr>
        <w:t>/"Биржевые ведомости” за 1 октября 1915/ (23320).</w:t>
      </w:r>
    </w:p>
    <w:p w14:paraId="42014118" w14:textId="77777777" w:rsidR="00EB76F3" w:rsidRPr="00405303" w:rsidRDefault="00EB76F3" w:rsidP="00C15251">
      <w:pPr>
        <w:jc w:val="both"/>
        <w:rPr>
          <w:bCs/>
          <w:color w:val="002060"/>
          <w:sz w:val="16"/>
          <w:szCs w:val="16"/>
        </w:rPr>
      </w:pPr>
    </w:p>
    <w:p w14:paraId="1D39B729" w14:textId="32C9B0E7" w:rsidR="00026BA8" w:rsidRPr="00405303" w:rsidRDefault="00026BA8" w:rsidP="00C15251">
      <w:pPr>
        <w:pStyle w:val="ae"/>
        <w:spacing w:before="0" w:beforeAutospacing="0" w:after="0" w:afterAutospacing="0"/>
        <w:jc w:val="both"/>
        <w:textAlignment w:val="baseline"/>
        <w:rPr>
          <w:bCs/>
          <w:i/>
          <w:iCs/>
          <w:color w:val="002060"/>
          <w:sz w:val="16"/>
          <w:szCs w:val="16"/>
        </w:rPr>
      </w:pPr>
      <w:r w:rsidRPr="00405303">
        <w:rPr>
          <w:bCs/>
          <w:i/>
          <w:iCs/>
          <w:color w:val="002060"/>
          <w:sz w:val="16"/>
          <w:szCs w:val="16"/>
        </w:rPr>
        <w:t>Армия:</w:t>
      </w:r>
    </w:p>
    <w:p w14:paraId="58B663E9" w14:textId="77777777" w:rsidR="00026BA8" w:rsidRPr="00405303" w:rsidRDefault="00026BA8" w:rsidP="00C15251">
      <w:pPr>
        <w:pStyle w:val="ae"/>
        <w:spacing w:before="0" w:beforeAutospacing="0" w:after="0" w:afterAutospacing="0"/>
        <w:jc w:val="both"/>
        <w:textAlignment w:val="baseline"/>
        <w:rPr>
          <w:bCs/>
          <w:i/>
          <w:iCs/>
          <w:color w:val="002060"/>
          <w:sz w:val="16"/>
          <w:szCs w:val="16"/>
        </w:rPr>
      </w:pPr>
    </w:p>
    <w:p w14:paraId="7E945C24" w14:textId="6D569E63" w:rsidR="00026BA8" w:rsidRPr="00405303" w:rsidRDefault="00026BA8" w:rsidP="00C15251">
      <w:pPr>
        <w:pStyle w:val="ae"/>
        <w:spacing w:before="0" w:beforeAutospacing="0" w:after="0" w:afterAutospacing="0"/>
        <w:jc w:val="both"/>
        <w:rPr>
          <w:bCs/>
          <w:color w:val="002060"/>
          <w:sz w:val="16"/>
          <w:szCs w:val="16"/>
        </w:rPr>
      </w:pPr>
      <w:r w:rsidRPr="00405303">
        <w:rPr>
          <w:bCs/>
          <w:color w:val="002060"/>
          <w:sz w:val="16"/>
          <w:szCs w:val="16"/>
        </w:rPr>
        <w:t>28 сентября (11 октября) 1915 в рамках п</w:t>
      </w:r>
      <w:r w:rsidRPr="00405303">
        <w:rPr>
          <w:rStyle w:val="af"/>
          <w:rFonts w:eastAsia="Segoe UI"/>
          <w:bCs/>
          <w:color w:val="002060"/>
          <w:sz w:val="16"/>
          <w:szCs w:val="16"/>
        </w:rPr>
        <w:t>ервого наступления на Осовец</w:t>
      </w:r>
      <w:r w:rsidRPr="00405303">
        <w:rPr>
          <w:bCs/>
          <w:color w:val="002060"/>
          <w:sz w:val="16"/>
          <w:szCs w:val="16"/>
        </w:rPr>
        <w:t xml:space="preserve"> начался обстрел Осовецкой крепости из 60 орудий калибра до 203 мм. Через два дня была предпринята попытка штурма, но он был отбит огнем русской артиллерии. На следующий день русские войска провели две фланговые контратаки и заставили немцев отступить.</w:t>
      </w:r>
      <w:r w:rsidR="00DB4D64" w:rsidRPr="00405303">
        <w:rPr>
          <w:bCs/>
          <w:color w:val="002060"/>
          <w:sz w:val="16"/>
          <w:szCs w:val="16"/>
        </w:rPr>
        <w:t xml:space="preserve"> </w:t>
      </w:r>
      <w:r w:rsidRPr="00405303">
        <w:rPr>
          <w:rStyle w:val="af"/>
          <w:rFonts w:eastAsia="Segoe UI"/>
          <w:bCs/>
          <w:color w:val="002060"/>
          <w:sz w:val="16"/>
          <w:szCs w:val="16"/>
        </w:rPr>
        <w:t>Второе наступление</w:t>
      </w:r>
      <w:r w:rsidRPr="00405303">
        <w:rPr>
          <w:bCs/>
          <w:color w:val="002060"/>
          <w:sz w:val="16"/>
          <w:szCs w:val="16"/>
        </w:rPr>
        <w:t xml:space="preserve"> началось в начале февраля 1915 г. После пятидневных тяжелых боев русские войска были вынуждены отойти с первой линии обороны. С 13 февраля немцы начали обстрел фортов крепости с применением осадных орудий калибра от 100 до 420 мм. Только по форту № 1 было выпущено свыше 100 снарядов калибра от 210 мм, из них было 60 попаданий одних 420-мм бомб. Несмотря на жестокий урон и пожары внутри крепости, русские укрепления выстояли. Германские войска перешли к позиционной войне, которая продолжалась около трех месяцев. Немцам так и не удалось окружить Осовец со всех сторон.</w:t>
      </w:r>
    </w:p>
    <w:p w14:paraId="1C9FC332" w14:textId="427C9C4D" w:rsidR="00026BA8" w:rsidRPr="00405303" w:rsidRDefault="00026BA8" w:rsidP="00C15251">
      <w:pPr>
        <w:pStyle w:val="ae"/>
        <w:spacing w:before="0" w:beforeAutospacing="0" w:after="0" w:afterAutospacing="0"/>
        <w:jc w:val="both"/>
        <w:rPr>
          <w:bCs/>
          <w:color w:val="002060"/>
          <w:sz w:val="16"/>
          <w:szCs w:val="16"/>
        </w:rPr>
      </w:pPr>
      <w:r w:rsidRPr="00405303">
        <w:rPr>
          <w:bCs/>
          <w:color w:val="002060"/>
          <w:sz w:val="16"/>
          <w:szCs w:val="16"/>
        </w:rPr>
        <w:t>Осовец являлся пограничной крепостью-заставой, расположенной в одном переходе от границы Восточной Пруссии. Он запирал Граево-Брестскую железную дорогу и преграждал, таким образом, ближайший и удобный доступ к важному в стратегическом отношении Белостокскому железнодорожному узлу. Одновременно он являлся удобным плацдармом для вторжения наших войск в Восточную Пруссию. В период 1912-1915 гг.</w:t>
      </w:r>
      <w:r w:rsidR="00DB4D64" w:rsidRPr="00405303">
        <w:rPr>
          <w:bCs/>
          <w:color w:val="002060"/>
          <w:sz w:val="16"/>
          <w:szCs w:val="16"/>
        </w:rPr>
        <w:t xml:space="preserve"> </w:t>
      </w:r>
      <w:bookmarkStart w:id="254" w:name="krepost"/>
      <w:bookmarkEnd w:id="254"/>
      <w:r w:rsidRPr="00405303">
        <w:rPr>
          <w:bCs/>
          <w:color w:val="002060"/>
          <w:sz w:val="16"/>
          <w:szCs w:val="16"/>
        </w:rPr>
        <w:t>крепость была значительно модернизирована. Многие убежища были усилены и могли выдерживать попадания 28-см, 30,5-см и, возможно, 42-см снарядов (20246).</w:t>
      </w:r>
    </w:p>
    <w:p w14:paraId="38102138" w14:textId="77777777" w:rsidR="00026BA8" w:rsidRPr="00405303" w:rsidRDefault="00026BA8" w:rsidP="00C15251">
      <w:pPr>
        <w:pStyle w:val="ae"/>
        <w:spacing w:before="0" w:beforeAutospacing="0" w:after="0" w:afterAutospacing="0"/>
        <w:jc w:val="both"/>
        <w:rPr>
          <w:bCs/>
          <w:color w:val="002060"/>
          <w:sz w:val="16"/>
          <w:szCs w:val="16"/>
        </w:rPr>
      </w:pPr>
    </w:p>
    <w:p w14:paraId="20835C31" w14:textId="4C8295CC" w:rsidR="00405303" w:rsidRPr="00405303" w:rsidRDefault="00405303" w:rsidP="00405303">
      <w:pPr>
        <w:pStyle w:val="ae"/>
        <w:spacing w:before="0" w:beforeAutospacing="0" w:after="0" w:afterAutospacing="0"/>
        <w:jc w:val="both"/>
        <w:textAlignment w:val="baseline"/>
        <w:rPr>
          <w:bCs/>
          <w:i/>
          <w:iCs/>
          <w:color w:val="002060"/>
          <w:sz w:val="16"/>
          <w:szCs w:val="16"/>
        </w:rPr>
      </w:pPr>
      <w:r w:rsidRPr="00405303">
        <w:rPr>
          <w:bCs/>
          <w:i/>
          <w:iCs/>
          <w:color w:val="002060"/>
          <w:sz w:val="16"/>
          <w:szCs w:val="16"/>
        </w:rPr>
        <w:t>Авиация:</w:t>
      </w:r>
    </w:p>
    <w:p w14:paraId="6A7483F0" w14:textId="77777777" w:rsidR="00405303" w:rsidRPr="00405303" w:rsidRDefault="00405303" w:rsidP="00405303">
      <w:pPr>
        <w:pStyle w:val="ae"/>
        <w:spacing w:before="0" w:beforeAutospacing="0" w:after="0" w:afterAutospacing="0"/>
        <w:jc w:val="both"/>
        <w:textAlignment w:val="baseline"/>
        <w:rPr>
          <w:bCs/>
          <w:i/>
          <w:iCs/>
          <w:color w:val="002060"/>
          <w:sz w:val="16"/>
          <w:szCs w:val="16"/>
        </w:rPr>
      </w:pPr>
    </w:p>
    <w:p w14:paraId="4A1A8F41" w14:textId="77777777" w:rsidR="00405303" w:rsidRPr="00405303" w:rsidRDefault="00405303" w:rsidP="00405303">
      <w:pPr>
        <w:jc w:val="both"/>
        <w:rPr>
          <w:color w:val="0070C0"/>
          <w:sz w:val="16"/>
          <w:szCs w:val="16"/>
        </w:rPr>
      </w:pPr>
      <w:r w:rsidRPr="00405303">
        <w:rPr>
          <w:rStyle w:val="aa"/>
          <w:rFonts w:ascii="Times New Roman" w:hAnsi="Times New Roman"/>
          <w:color w:val="0070C0"/>
          <w:spacing w:val="0"/>
          <w:sz w:val="16"/>
          <w:szCs w:val="16"/>
        </w:rPr>
        <w:t>28 сентября (11 октября) 1915 г. в районе г. Шлок у оз. Бабит совершил вынужденную посадку немецкий гидроаэроплан, вылетевший ранее из Либавы. Летчики успели выпустить по мотору 25 пуль из револьвера, но особого вреда новому усовершенствованному двигателю («Альбатрос-Майбах» 160 л. с.) не причинили. В тот же период наши миноносцы зенитным огнем отразили очередной налет германской морской авиации (25135).</w:t>
      </w:r>
    </w:p>
    <w:p w14:paraId="77F69CF5" w14:textId="77777777" w:rsidR="00405303" w:rsidRPr="00405303" w:rsidRDefault="00405303" w:rsidP="00405303">
      <w:pPr>
        <w:jc w:val="both"/>
        <w:rPr>
          <w:color w:val="0070C0"/>
          <w:sz w:val="16"/>
          <w:szCs w:val="16"/>
        </w:rPr>
      </w:pPr>
    </w:p>
    <w:p w14:paraId="75F1E47A" w14:textId="4699C884" w:rsidR="0075696C" w:rsidRPr="00405303" w:rsidRDefault="0075696C" w:rsidP="00C15251">
      <w:pPr>
        <w:jc w:val="both"/>
        <w:rPr>
          <w:bCs/>
          <w:color w:val="002060"/>
          <w:sz w:val="16"/>
          <w:szCs w:val="16"/>
        </w:rPr>
      </w:pPr>
      <w:r w:rsidRPr="00405303">
        <w:rPr>
          <w:bCs/>
          <w:color w:val="002060"/>
          <w:sz w:val="16"/>
          <w:szCs w:val="16"/>
          <w:lang w:bidi="en-US"/>
        </w:rPr>
        <w:t>28 сентября (11 октября) 1915 г. Ставка приказала создать 35-ю КАО для службы в составе 10-й армии на Западном фронте. Он был сформирован из воздушной части обороны Варшавы, которая первоначально была сформирована 2 февраля 1915 года (23525).</w:t>
      </w:r>
    </w:p>
    <w:p w14:paraId="5BD717F3" w14:textId="77777777" w:rsidR="0075696C" w:rsidRPr="00405303" w:rsidRDefault="0075696C" w:rsidP="00C15251">
      <w:pPr>
        <w:jc w:val="both"/>
        <w:rPr>
          <w:bCs/>
          <w:color w:val="002060"/>
          <w:sz w:val="16"/>
          <w:szCs w:val="16"/>
          <w:lang w:bidi="en-US"/>
        </w:rPr>
      </w:pPr>
    </w:p>
    <w:p w14:paraId="7EE250DC" w14:textId="3BF56D24" w:rsidR="0075696C" w:rsidRPr="00405303" w:rsidRDefault="0075696C" w:rsidP="00C15251">
      <w:pPr>
        <w:jc w:val="both"/>
        <w:rPr>
          <w:bCs/>
          <w:i/>
          <w:color w:val="002060"/>
          <w:sz w:val="16"/>
          <w:szCs w:val="16"/>
        </w:rPr>
      </w:pPr>
      <w:r w:rsidRPr="00405303">
        <w:rPr>
          <w:bCs/>
          <w:i/>
          <w:color w:val="002060"/>
          <w:sz w:val="16"/>
          <w:szCs w:val="16"/>
        </w:rPr>
        <w:t>Внешняя политика:</w:t>
      </w:r>
    </w:p>
    <w:p w14:paraId="30D736A6" w14:textId="77777777" w:rsidR="0075696C" w:rsidRPr="00405303" w:rsidRDefault="0075696C" w:rsidP="00C15251">
      <w:pPr>
        <w:jc w:val="both"/>
        <w:rPr>
          <w:bCs/>
          <w:i/>
          <w:color w:val="002060"/>
          <w:sz w:val="16"/>
          <w:szCs w:val="16"/>
        </w:rPr>
      </w:pPr>
    </w:p>
    <w:p w14:paraId="4B584A48" w14:textId="23DEE8CE" w:rsidR="0075696C" w:rsidRPr="00405303" w:rsidRDefault="0075696C" w:rsidP="00C15251">
      <w:pPr>
        <w:jc w:val="both"/>
        <w:rPr>
          <w:bCs/>
          <w:color w:val="002060"/>
          <w:sz w:val="16"/>
          <w:szCs w:val="16"/>
          <w:lang w:bidi="en-US"/>
        </w:rPr>
      </w:pPr>
      <w:r w:rsidRPr="00405303">
        <w:rPr>
          <w:bCs/>
          <w:color w:val="002060"/>
          <w:sz w:val="16"/>
          <w:szCs w:val="16"/>
          <w:lang w:bidi="en-US"/>
        </w:rPr>
        <w:t>28 сентября (11 октября) 1915 г. Болгария присоединилась к австро-германскому вторжению в Сербию. Болгария наконец объявила войну Сербии 14 числа. 15 и 16 числа Великобритания, Франция и Сербия объявили войну Болгарии. Россия и Италия последовали их примеру 19-го числа (23525).</w:t>
      </w:r>
    </w:p>
    <w:p w14:paraId="15268D0B" w14:textId="77777777" w:rsidR="0075696C" w:rsidRPr="00405303" w:rsidRDefault="0075696C" w:rsidP="00C15251">
      <w:pPr>
        <w:jc w:val="both"/>
        <w:rPr>
          <w:bCs/>
          <w:color w:val="002060"/>
          <w:sz w:val="16"/>
          <w:szCs w:val="16"/>
        </w:rPr>
      </w:pPr>
    </w:p>
    <w:p w14:paraId="02037ACC" w14:textId="4B44FE29"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5A8A976F" w14:textId="77777777" w:rsidR="004B4E35" w:rsidRPr="00405303" w:rsidRDefault="004B4E35" w:rsidP="00C15251">
      <w:pPr>
        <w:jc w:val="both"/>
        <w:rPr>
          <w:bCs/>
          <w:i/>
          <w:color w:val="002060"/>
          <w:sz w:val="16"/>
          <w:szCs w:val="16"/>
        </w:rPr>
      </w:pPr>
    </w:p>
    <w:p w14:paraId="11E0676E" w14:textId="228CC8C3" w:rsidR="004B4E35" w:rsidRPr="00405303" w:rsidRDefault="009E6F82" w:rsidP="00C15251">
      <w:pPr>
        <w:jc w:val="both"/>
        <w:rPr>
          <w:bCs/>
          <w:color w:val="002060"/>
          <w:sz w:val="16"/>
          <w:szCs w:val="16"/>
        </w:rPr>
      </w:pPr>
      <w:r w:rsidRPr="00405303">
        <w:rPr>
          <w:bCs/>
          <w:color w:val="002060"/>
          <w:sz w:val="16"/>
          <w:szCs w:val="16"/>
        </w:rPr>
        <w:t>29 сентября (1</w:t>
      </w:r>
      <w:r w:rsidR="00284908" w:rsidRPr="00405303">
        <w:rPr>
          <w:bCs/>
          <w:color w:val="002060"/>
          <w:sz w:val="16"/>
          <w:szCs w:val="16"/>
        </w:rPr>
        <w:t>2</w:t>
      </w:r>
      <w:r w:rsidRPr="00405303">
        <w:rPr>
          <w:bCs/>
          <w:color w:val="002060"/>
          <w:sz w:val="16"/>
          <w:szCs w:val="16"/>
        </w:rPr>
        <w:t xml:space="preserve"> октября) </w:t>
      </w:r>
      <w:r w:rsidR="00284908" w:rsidRPr="00405303">
        <w:rPr>
          <w:bCs/>
          <w:color w:val="002060"/>
          <w:sz w:val="16"/>
          <w:szCs w:val="16"/>
        </w:rPr>
        <w:t xml:space="preserve">1915 г. </w:t>
      </w:r>
      <w:r w:rsidRPr="00405303">
        <w:rPr>
          <w:bCs/>
          <w:color w:val="002060"/>
          <w:sz w:val="16"/>
          <w:szCs w:val="16"/>
        </w:rPr>
        <w:t>акционерное общество воздухоплавания «В.А. Лебедев и К» запросило таганрогскую городскую управу о продаже земли для постройки своего аэропланного завода. Ответ был дан довольно быстро. Приехав в Таганрог, Владимир Лебедев быстро понял, что лучшего места, чем участок — между строящимся Русско-Балтийским заводом и «Карантином» просто не найти. Во-первых, на этом заводе уже строилась электростанция и можно было, по крайней мере первое время, не строить свою, а пользоваться электроэнергией соседей. Во-вторых, по территории Русско-Балтийского завода уже прокладывали железнодорожную ветку (а она соединяла и с портом, и с железнодорожной станцией), ее можно было продлить до своего предприятия и уже на стадии строительства подвозить сюда строительные материалы, а потом и оборудование. Рядом было море, оно плескалось буквально рядом и наконец тут же были большие пустующие площади, столь нужные для развития и аэродрома и самого завода. Впервые побывав здесь, В.А. Лебедев уже и не мыслил себе другого места для будущего завода (11394).</w:t>
      </w:r>
    </w:p>
    <w:p w14:paraId="68EC92DE" w14:textId="77777777" w:rsidR="004B4E35" w:rsidRPr="00405303" w:rsidRDefault="004B4E35" w:rsidP="00C15251">
      <w:pPr>
        <w:shd w:val="clear" w:color="auto" w:fill="FFFFFF"/>
        <w:jc w:val="both"/>
        <w:rPr>
          <w:bCs/>
          <w:i/>
          <w:color w:val="002060"/>
          <w:sz w:val="16"/>
          <w:szCs w:val="16"/>
        </w:rPr>
      </w:pPr>
    </w:p>
    <w:p w14:paraId="24132E51" w14:textId="77777777" w:rsidR="00405303" w:rsidRPr="00405303" w:rsidRDefault="00405303" w:rsidP="00405303">
      <w:pPr>
        <w:pStyle w:val="ae"/>
        <w:spacing w:before="0" w:beforeAutospacing="0" w:after="0" w:afterAutospacing="0"/>
        <w:jc w:val="both"/>
        <w:textAlignment w:val="baseline"/>
        <w:rPr>
          <w:bCs/>
          <w:i/>
          <w:iCs/>
          <w:color w:val="002060"/>
          <w:sz w:val="16"/>
          <w:szCs w:val="16"/>
        </w:rPr>
      </w:pPr>
      <w:r w:rsidRPr="00405303">
        <w:rPr>
          <w:bCs/>
          <w:i/>
          <w:iCs/>
          <w:color w:val="002060"/>
          <w:sz w:val="16"/>
          <w:szCs w:val="16"/>
        </w:rPr>
        <w:t>Авиация:</w:t>
      </w:r>
    </w:p>
    <w:p w14:paraId="0EE49EAA" w14:textId="77777777" w:rsidR="00405303" w:rsidRPr="00405303" w:rsidRDefault="00405303" w:rsidP="00405303">
      <w:pPr>
        <w:pStyle w:val="ae"/>
        <w:spacing w:before="0" w:beforeAutospacing="0" w:after="0" w:afterAutospacing="0"/>
        <w:jc w:val="both"/>
        <w:textAlignment w:val="baseline"/>
        <w:rPr>
          <w:bCs/>
          <w:i/>
          <w:iCs/>
          <w:color w:val="002060"/>
          <w:sz w:val="16"/>
          <w:szCs w:val="16"/>
        </w:rPr>
      </w:pPr>
    </w:p>
    <w:p w14:paraId="5848D98A" w14:textId="77777777" w:rsidR="00405303" w:rsidRPr="00B52707" w:rsidRDefault="00405303" w:rsidP="00405303">
      <w:pPr>
        <w:jc w:val="both"/>
        <w:rPr>
          <w:color w:val="0070C0"/>
          <w:sz w:val="16"/>
          <w:szCs w:val="16"/>
        </w:rPr>
      </w:pPr>
      <w:r w:rsidRPr="00B52707">
        <w:rPr>
          <w:rStyle w:val="aa"/>
          <w:rFonts w:ascii="Times New Roman" w:hAnsi="Times New Roman"/>
          <w:color w:val="0070C0"/>
          <w:spacing w:val="0"/>
          <w:sz w:val="16"/>
          <w:szCs w:val="16"/>
        </w:rPr>
        <w:t>29 сентября (12 октября) 1915 г. немецкий самолет провел бомбометание наших передовых позиций на линии озер Демен и Дрисвяты. В ту же ночь в районе г. Двинск с борта появившегося в небе цеппелина было сброшено до 50 бомб (обошлось без человеческих жертв) (25135).</w:t>
      </w:r>
    </w:p>
    <w:p w14:paraId="7DCE79BE" w14:textId="77777777" w:rsidR="00405303" w:rsidRPr="00B52707" w:rsidRDefault="00405303" w:rsidP="00405303">
      <w:pPr>
        <w:jc w:val="both"/>
        <w:rPr>
          <w:color w:val="0070C0"/>
          <w:sz w:val="16"/>
          <w:szCs w:val="16"/>
        </w:rPr>
      </w:pPr>
    </w:p>
    <w:p w14:paraId="3F4162D9" w14:textId="0C0A8DEC" w:rsidR="00284908" w:rsidRPr="00405303" w:rsidRDefault="00B64AC7" w:rsidP="00C15251">
      <w:pPr>
        <w:jc w:val="both"/>
        <w:rPr>
          <w:bCs/>
          <w:i/>
          <w:color w:val="002060"/>
          <w:sz w:val="16"/>
          <w:szCs w:val="16"/>
        </w:rPr>
      </w:pPr>
      <w:r w:rsidRPr="00405303">
        <w:rPr>
          <w:bCs/>
          <w:i/>
          <w:color w:val="002060"/>
          <w:sz w:val="16"/>
          <w:szCs w:val="16"/>
        </w:rPr>
        <w:t>Авиация и в</w:t>
      </w:r>
      <w:r w:rsidR="00284908" w:rsidRPr="00405303">
        <w:rPr>
          <w:bCs/>
          <w:i/>
          <w:color w:val="002060"/>
          <w:sz w:val="16"/>
          <w:szCs w:val="16"/>
        </w:rPr>
        <w:t>оздухоплавание</w:t>
      </w:r>
      <w:r w:rsidRPr="00405303">
        <w:rPr>
          <w:bCs/>
          <w:i/>
          <w:color w:val="002060"/>
          <w:sz w:val="16"/>
          <w:szCs w:val="16"/>
        </w:rPr>
        <w:t xml:space="preserve"> Англии</w:t>
      </w:r>
      <w:r w:rsidR="00284908" w:rsidRPr="00405303">
        <w:rPr>
          <w:bCs/>
          <w:i/>
          <w:color w:val="002060"/>
          <w:sz w:val="16"/>
          <w:szCs w:val="16"/>
        </w:rPr>
        <w:t>:</w:t>
      </w:r>
    </w:p>
    <w:p w14:paraId="4A79EB55" w14:textId="77777777" w:rsidR="00284908" w:rsidRPr="00405303" w:rsidRDefault="00284908" w:rsidP="00C15251">
      <w:pPr>
        <w:jc w:val="both"/>
        <w:rPr>
          <w:bCs/>
          <w:i/>
          <w:color w:val="002060"/>
          <w:sz w:val="16"/>
          <w:szCs w:val="16"/>
        </w:rPr>
      </w:pPr>
    </w:p>
    <w:p w14:paraId="4246072D" w14:textId="77777777" w:rsidR="00284908" w:rsidRPr="00405303" w:rsidRDefault="00284908" w:rsidP="00C15251">
      <w:pPr>
        <w:jc w:val="both"/>
        <w:rPr>
          <w:bCs/>
          <w:color w:val="002060"/>
          <w:sz w:val="16"/>
          <w:szCs w:val="16"/>
        </w:rPr>
      </w:pPr>
      <w:r w:rsidRPr="00405303">
        <w:rPr>
          <w:rStyle w:val="42"/>
          <w:rFonts w:ascii="Times New Roman" w:hAnsi="Times New Roman" w:cs="Times New Roman"/>
          <w:bCs/>
          <w:color w:val="002060"/>
          <w:w w:val="100"/>
          <w:sz w:val="16"/>
          <w:szCs w:val="16"/>
        </w:rPr>
        <w:t>29 сен</w:t>
      </w:r>
      <w:r w:rsidRPr="00405303">
        <w:rPr>
          <w:rStyle w:val="42"/>
          <w:rFonts w:ascii="Times New Roman" w:hAnsi="Times New Roman" w:cs="Times New Roman"/>
          <w:bCs/>
          <w:color w:val="002060"/>
          <w:w w:val="100"/>
          <w:sz w:val="16"/>
          <w:szCs w:val="16"/>
        </w:rPr>
        <w:softHyphen/>
        <w:t>тября (12 октября) 1915 от него получили положительный ответ: «Дирижабли оказались очень полезны. Адмирал</w:t>
      </w:r>
      <w:r w:rsidRPr="00405303">
        <w:rPr>
          <w:rStyle w:val="42"/>
          <w:rFonts w:ascii="Times New Roman" w:hAnsi="Times New Roman" w:cs="Times New Roman"/>
          <w:bCs/>
          <w:color w:val="002060"/>
          <w:w w:val="100"/>
          <w:sz w:val="16"/>
          <w:szCs w:val="16"/>
        </w:rPr>
        <w:softHyphen/>
        <w:t>тейство заказало Виккерсу увеличенные с двумя моторами и вышлет в Дарданеллы. Есть воз</w:t>
      </w:r>
      <w:r w:rsidRPr="00405303">
        <w:rPr>
          <w:rStyle w:val="42"/>
          <w:rFonts w:ascii="Times New Roman" w:hAnsi="Times New Roman" w:cs="Times New Roman"/>
          <w:bCs/>
          <w:color w:val="002060"/>
          <w:w w:val="100"/>
          <w:sz w:val="16"/>
          <w:szCs w:val="16"/>
        </w:rPr>
        <w:softHyphen/>
        <w:t>можность заказать и для нас». 15 октября из Се</w:t>
      </w:r>
      <w:r w:rsidRPr="00405303">
        <w:rPr>
          <w:rStyle w:val="42"/>
          <w:rFonts w:ascii="Times New Roman" w:hAnsi="Times New Roman" w:cs="Times New Roman"/>
          <w:bCs/>
          <w:color w:val="002060"/>
          <w:w w:val="100"/>
          <w:sz w:val="16"/>
          <w:szCs w:val="16"/>
        </w:rPr>
        <w:softHyphen/>
        <w:t>вастополя последовал запрос в МГШ: «Прошу сообщить подробные данные о дирижаблях, за</w:t>
      </w:r>
      <w:r w:rsidRPr="00405303">
        <w:rPr>
          <w:rStyle w:val="42"/>
          <w:rFonts w:ascii="Times New Roman" w:hAnsi="Times New Roman" w:cs="Times New Roman"/>
          <w:bCs/>
          <w:color w:val="002060"/>
          <w:w w:val="100"/>
          <w:sz w:val="16"/>
          <w:szCs w:val="16"/>
        </w:rPr>
        <w:softHyphen/>
        <w:t>казанных в Англии для Чёрного моря. Сведения необходимы для предварительных мероприятий, могут ли быть заказаны ангары».</w:t>
      </w:r>
    </w:p>
    <w:p w14:paraId="138E2763" w14:textId="77777777" w:rsidR="00284908" w:rsidRPr="00405303" w:rsidRDefault="00284908" w:rsidP="00C15251">
      <w:pPr>
        <w:jc w:val="both"/>
        <w:rPr>
          <w:bCs/>
          <w:color w:val="002060"/>
          <w:sz w:val="16"/>
          <w:szCs w:val="16"/>
        </w:rPr>
      </w:pPr>
      <w:r w:rsidRPr="00405303">
        <w:rPr>
          <w:rStyle w:val="42"/>
          <w:rFonts w:ascii="Times New Roman" w:hAnsi="Times New Roman" w:cs="Times New Roman"/>
          <w:bCs/>
          <w:color w:val="002060"/>
          <w:w w:val="100"/>
          <w:sz w:val="16"/>
          <w:szCs w:val="16"/>
        </w:rPr>
        <w:t>В результате фирме Виккерс заказали четыре дирижабля типа «</w:t>
      </w:r>
      <w:r w:rsidRPr="00405303">
        <w:rPr>
          <w:rStyle w:val="42"/>
          <w:rFonts w:ascii="Times New Roman" w:hAnsi="Times New Roman" w:cs="Times New Roman"/>
          <w:bCs/>
          <w:color w:val="002060"/>
          <w:w w:val="100"/>
          <w:sz w:val="16"/>
          <w:szCs w:val="16"/>
          <w:lang w:val="en-US"/>
        </w:rPr>
        <w:t>Coastal</w:t>
      </w:r>
      <w:r w:rsidRPr="00405303">
        <w:rPr>
          <w:rStyle w:val="42"/>
          <w:rFonts w:ascii="Times New Roman" w:hAnsi="Times New Roman" w:cs="Times New Roman"/>
          <w:bCs/>
          <w:color w:val="002060"/>
          <w:w w:val="100"/>
          <w:sz w:val="16"/>
          <w:szCs w:val="16"/>
        </w:rPr>
        <w:t>». Они предназначались для выполнения патрулирования береговой ли</w:t>
      </w:r>
      <w:r w:rsidRPr="00405303">
        <w:rPr>
          <w:rStyle w:val="42"/>
          <w:rFonts w:ascii="Times New Roman" w:hAnsi="Times New Roman" w:cs="Times New Roman"/>
          <w:bCs/>
          <w:color w:val="002060"/>
          <w:w w:val="100"/>
          <w:sz w:val="16"/>
          <w:szCs w:val="16"/>
        </w:rPr>
        <w:softHyphen/>
        <w:t>нии и конвоирования судов. Проект разработали в июне 1915 г. на основе конструкции морского дирижабля № 3 фирмы «Астра-Торрес» (Фран</w:t>
      </w:r>
      <w:r w:rsidRPr="00405303">
        <w:rPr>
          <w:rStyle w:val="42"/>
          <w:rFonts w:ascii="Times New Roman" w:hAnsi="Times New Roman" w:cs="Times New Roman"/>
          <w:bCs/>
          <w:color w:val="002060"/>
          <w:w w:val="100"/>
          <w:sz w:val="16"/>
          <w:szCs w:val="16"/>
        </w:rPr>
        <w:softHyphen/>
        <w:t>ция) (20120).</w:t>
      </w:r>
    </w:p>
    <w:p w14:paraId="4F89B2DE" w14:textId="77777777" w:rsidR="00284908" w:rsidRPr="00405303" w:rsidRDefault="00284908" w:rsidP="00C15251">
      <w:pPr>
        <w:jc w:val="both"/>
        <w:rPr>
          <w:bCs/>
          <w:color w:val="002060"/>
          <w:sz w:val="16"/>
          <w:szCs w:val="16"/>
        </w:rPr>
      </w:pPr>
    </w:p>
    <w:p w14:paraId="7290EA4E" w14:textId="77777777" w:rsidR="00104198" w:rsidRPr="00405303" w:rsidRDefault="00104198" w:rsidP="00C15251">
      <w:pPr>
        <w:jc w:val="both"/>
        <w:rPr>
          <w:bCs/>
          <w:i/>
          <w:color w:val="002060"/>
          <w:sz w:val="16"/>
          <w:szCs w:val="16"/>
        </w:rPr>
      </w:pPr>
      <w:r w:rsidRPr="00405303">
        <w:rPr>
          <w:bCs/>
          <w:i/>
          <w:color w:val="002060"/>
          <w:sz w:val="16"/>
          <w:szCs w:val="16"/>
        </w:rPr>
        <w:t>За рубежом:</w:t>
      </w:r>
    </w:p>
    <w:p w14:paraId="3C79982A" w14:textId="77777777" w:rsidR="00104198" w:rsidRPr="00405303" w:rsidRDefault="00104198" w:rsidP="00C15251">
      <w:pPr>
        <w:jc w:val="both"/>
        <w:rPr>
          <w:bCs/>
          <w:color w:val="002060"/>
          <w:sz w:val="16"/>
          <w:szCs w:val="16"/>
        </w:rPr>
      </w:pPr>
    </w:p>
    <w:p w14:paraId="1FCF5768" w14:textId="3E8254A6" w:rsidR="00104198" w:rsidRPr="00405303" w:rsidRDefault="00104198" w:rsidP="00C15251">
      <w:pPr>
        <w:jc w:val="both"/>
        <w:rPr>
          <w:bCs/>
          <w:color w:val="002060"/>
          <w:sz w:val="16"/>
          <w:szCs w:val="16"/>
        </w:rPr>
      </w:pPr>
      <w:r w:rsidRPr="00405303">
        <w:rPr>
          <w:rStyle w:val="ucoz-forum-post"/>
          <w:rFonts w:eastAsiaTheme="majorEastAsia"/>
          <w:bCs/>
          <w:color w:val="002060"/>
          <w:sz w:val="16"/>
          <w:szCs w:val="16"/>
        </w:rPr>
        <w:t xml:space="preserve">29 сентября (12 октября) </w:t>
      </w:r>
      <w:r w:rsidRPr="00405303">
        <w:rPr>
          <w:bCs/>
          <w:color w:val="002060"/>
          <w:sz w:val="16"/>
          <w:szCs w:val="16"/>
        </w:rPr>
        <w:t>в 1915 году союзники заявляют о том, что окажут помощь Сербии в соответствии с Буxарестским договором от 10 августа 1913 года (14797).</w:t>
      </w:r>
    </w:p>
    <w:p w14:paraId="7058E394" w14:textId="77777777" w:rsidR="00104198" w:rsidRPr="00405303" w:rsidRDefault="00104198" w:rsidP="00C15251">
      <w:pPr>
        <w:pStyle w:val="p1"/>
        <w:spacing w:before="0" w:beforeAutospacing="0" w:after="0" w:afterAutospacing="0"/>
        <w:jc w:val="both"/>
        <w:rPr>
          <w:bCs/>
          <w:color w:val="002060"/>
          <w:sz w:val="16"/>
          <w:szCs w:val="16"/>
        </w:rPr>
      </w:pPr>
    </w:p>
    <w:p w14:paraId="1D1FAAD1" w14:textId="144B83AC" w:rsidR="00104198" w:rsidRPr="00405303" w:rsidRDefault="00104198" w:rsidP="00C15251">
      <w:pPr>
        <w:jc w:val="both"/>
        <w:rPr>
          <w:bCs/>
          <w:color w:val="002060"/>
          <w:sz w:val="16"/>
          <w:szCs w:val="16"/>
        </w:rPr>
      </w:pPr>
      <w:r w:rsidRPr="00405303">
        <w:rPr>
          <w:rStyle w:val="ucoz-forum-post"/>
          <w:rFonts w:eastAsiaTheme="majorEastAsia"/>
          <w:bCs/>
          <w:color w:val="002060"/>
          <w:sz w:val="16"/>
          <w:szCs w:val="16"/>
        </w:rPr>
        <w:t xml:space="preserve">29 сентября (12 октября) </w:t>
      </w:r>
      <w:r w:rsidRPr="00405303">
        <w:rPr>
          <w:bCs/>
          <w:color w:val="002060"/>
          <w:sz w:val="16"/>
          <w:szCs w:val="16"/>
        </w:rPr>
        <w:t>в 1915 году Греция отказывается помочь Сербии вопреки их договору 1913 года (14797).</w:t>
      </w:r>
    </w:p>
    <w:p w14:paraId="62E8C5C0" w14:textId="77777777" w:rsidR="00104198" w:rsidRPr="00405303" w:rsidRDefault="00104198" w:rsidP="00C15251">
      <w:pPr>
        <w:jc w:val="both"/>
        <w:rPr>
          <w:bCs/>
          <w:color w:val="002060"/>
          <w:sz w:val="16"/>
          <w:szCs w:val="16"/>
        </w:rPr>
      </w:pPr>
    </w:p>
    <w:p w14:paraId="16F74EF0" w14:textId="597820D4" w:rsidR="00104198" w:rsidRPr="00405303" w:rsidRDefault="00104198" w:rsidP="00C15251">
      <w:pPr>
        <w:jc w:val="both"/>
        <w:rPr>
          <w:bCs/>
          <w:color w:val="002060"/>
          <w:sz w:val="16"/>
          <w:szCs w:val="16"/>
        </w:rPr>
      </w:pPr>
      <w:r w:rsidRPr="00405303">
        <w:rPr>
          <w:rStyle w:val="ucoz-forum-post"/>
          <w:rFonts w:eastAsiaTheme="majorEastAsia"/>
          <w:bCs/>
          <w:color w:val="002060"/>
          <w:sz w:val="16"/>
          <w:szCs w:val="16"/>
        </w:rPr>
        <w:t xml:space="preserve">29 сентября (12 октября) </w:t>
      </w:r>
      <w:r w:rsidRPr="00405303">
        <w:rPr>
          <w:bCs/>
          <w:color w:val="002060"/>
          <w:sz w:val="16"/>
          <w:szCs w:val="16"/>
        </w:rPr>
        <w:t>в 1915 году компания Ford Motor производит свой миллионный автомобиль модели T (14797).</w:t>
      </w:r>
    </w:p>
    <w:p w14:paraId="289C0E27" w14:textId="77777777" w:rsidR="00104198" w:rsidRPr="00405303" w:rsidRDefault="00104198" w:rsidP="00C15251">
      <w:pPr>
        <w:jc w:val="both"/>
        <w:rPr>
          <w:bCs/>
          <w:color w:val="002060"/>
          <w:sz w:val="16"/>
          <w:szCs w:val="16"/>
        </w:rPr>
      </w:pPr>
    </w:p>
    <w:p w14:paraId="05D7B428" w14:textId="19B9123B" w:rsidR="00104198" w:rsidRPr="00405303" w:rsidRDefault="00104198" w:rsidP="00C15251">
      <w:pPr>
        <w:jc w:val="both"/>
        <w:rPr>
          <w:bCs/>
          <w:color w:val="002060"/>
          <w:sz w:val="16"/>
          <w:szCs w:val="16"/>
        </w:rPr>
      </w:pPr>
      <w:r w:rsidRPr="00405303">
        <w:rPr>
          <w:rStyle w:val="ucoz-forum-post"/>
          <w:rFonts w:eastAsiaTheme="majorEastAsia"/>
          <w:bCs/>
          <w:color w:val="002060"/>
          <w:sz w:val="16"/>
          <w:szCs w:val="16"/>
        </w:rPr>
        <w:t xml:space="preserve">29 сентября (12 октября) </w:t>
      </w:r>
      <w:r w:rsidRPr="00405303">
        <w:rPr>
          <w:bCs/>
          <w:color w:val="002060"/>
          <w:sz w:val="16"/>
          <w:szCs w:val="16"/>
        </w:rPr>
        <w:t>в 1915 году Теодор Рузвельт критикует граждан США с двойным гражданством (14797).</w:t>
      </w:r>
    </w:p>
    <w:p w14:paraId="3F2708AC" w14:textId="77777777" w:rsidR="00104198" w:rsidRPr="00405303" w:rsidRDefault="00104198" w:rsidP="00C15251">
      <w:pPr>
        <w:jc w:val="both"/>
        <w:rPr>
          <w:bCs/>
          <w:color w:val="002060"/>
          <w:sz w:val="16"/>
          <w:szCs w:val="16"/>
        </w:rPr>
      </w:pPr>
    </w:p>
    <w:p w14:paraId="5F1D8F9E" w14:textId="77777777" w:rsidR="00104198" w:rsidRPr="00405303" w:rsidRDefault="00104198" w:rsidP="00C15251">
      <w:pPr>
        <w:jc w:val="both"/>
        <w:rPr>
          <w:bCs/>
          <w:i/>
          <w:color w:val="002060"/>
          <w:sz w:val="16"/>
          <w:szCs w:val="16"/>
        </w:rPr>
      </w:pPr>
      <w:r w:rsidRPr="00405303">
        <w:rPr>
          <w:bCs/>
          <w:i/>
          <w:color w:val="002060"/>
          <w:sz w:val="16"/>
          <w:szCs w:val="16"/>
        </w:rPr>
        <w:t>Морская авиация:</w:t>
      </w:r>
    </w:p>
    <w:p w14:paraId="0C1B7F1C" w14:textId="77777777" w:rsidR="00104198" w:rsidRPr="00405303" w:rsidRDefault="00104198" w:rsidP="00C15251">
      <w:pPr>
        <w:jc w:val="both"/>
        <w:rPr>
          <w:bCs/>
          <w:i/>
          <w:color w:val="002060"/>
          <w:sz w:val="16"/>
          <w:szCs w:val="16"/>
        </w:rPr>
      </w:pPr>
    </w:p>
    <w:p w14:paraId="15E81F6E" w14:textId="77777777" w:rsidR="00104198" w:rsidRPr="00405303" w:rsidRDefault="00104198" w:rsidP="00C15251">
      <w:pPr>
        <w:jc w:val="both"/>
        <w:rPr>
          <w:bCs/>
          <w:color w:val="002060"/>
          <w:sz w:val="16"/>
          <w:szCs w:val="16"/>
        </w:rPr>
      </w:pPr>
      <w:r w:rsidRPr="00405303">
        <w:rPr>
          <w:bCs/>
          <w:color w:val="002060"/>
          <w:sz w:val="16"/>
          <w:szCs w:val="16"/>
        </w:rPr>
        <w:t xml:space="preserve">В двадцатых числах сентября 1915 г. старший лейтенант Стаховский направил начальнику штаба флота рапорт, что на флоте имеется 22 лётчика (17 лётчиков и пять учеников-лётчиков), а необходимо с учётом пополнения самолётного парка 35. Далее он перечисляет задачи, которые решала авиация союзников у Дарданелл (разведка, фотографирование, корректировка стрельбы, бомбометание). Он считает: "большинство из указанных задач могут быть решены успешно при наличии на аэроплане интеллигентного наблюдателя, то есть офицера, причём для съемки местности - главнейшей нашей задачи - предпочтительнее иметь наблюдателями сухопутных офицеров с расчётом хотя бы по три </w:t>
      </w:r>
      <w:proofErr w:type="gramStart"/>
      <w:r w:rsidRPr="00405303">
        <w:rPr>
          <w:bCs/>
          <w:color w:val="002060"/>
          <w:sz w:val="16"/>
          <w:szCs w:val="16"/>
        </w:rPr>
        <w:t>офицера</w:t>
      </w:r>
      <w:proofErr w:type="gramEnd"/>
      <w:r w:rsidRPr="00405303">
        <w:rPr>
          <w:bCs/>
          <w:color w:val="002060"/>
          <w:sz w:val="16"/>
          <w:szCs w:val="16"/>
        </w:rPr>
        <w:t xml:space="preserve"> но каждый учебный отряд. В авиации Черноморского флота имеется сухопутных офицеров-наблюдателей два, следовательно, необходимо ещё четырёх".</w:t>
      </w:r>
    </w:p>
    <w:p w14:paraId="050A72AA" w14:textId="77777777" w:rsidR="00104198" w:rsidRPr="00405303" w:rsidRDefault="00104198" w:rsidP="00C15251">
      <w:pPr>
        <w:jc w:val="both"/>
        <w:rPr>
          <w:bCs/>
          <w:color w:val="002060"/>
          <w:sz w:val="16"/>
          <w:szCs w:val="16"/>
        </w:rPr>
      </w:pPr>
      <w:r w:rsidRPr="00405303">
        <w:rPr>
          <w:bCs/>
          <w:color w:val="002060"/>
          <w:sz w:val="16"/>
          <w:szCs w:val="16"/>
        </w:rPr>
        <w:t>В отличие от балтийцев, которые преимущественно вели воздушную разведку кораблей в море и предпочитали в качестве наблюдателей иметь морских офицеров, черноморцы часто полагали более целесообразным брать в состав экипажа наблюдателей-офицеров из приданных 3-го и 32-го корпусных авиаотрядов, подготовленных в авиационном отношении, и этот опыт оценен положительно.</w:t>
      </w:r>
    </w:p>
    <w:p w14:paraId="7CDDA3F8" w14:textId="77777777" w:rsidR="00104198" w:rsidRPr="00405303" w:rsidRDefault="00104198" w:rsidP="00C15251">
      <w:pPr>
        <w:jc w:val="both"/>
        <w:rPr>
          <w:bCs/>
          <w:color w:val="002060"/>
          <w:sz w:val="16"/>
          <w:szCs w:val="16"/>
        </w:rPr>
      </w:pPr>
      <w:r w:rsidRPr="00405303">
        <w:rPr>
          <w:bCs/>
          <w:color w:val="002060"/>
          <w:sz w:val="16"/>
          <w:szCs w:val="16"/>
        </w:rPr>
        <w:t>Из доклада Стаховского: "К октябрю количество лётчиков, с учётом обучающихся, возросло до 28, количество самолётов до 22. В первом корабельном отряде (вспомогательное судно "Император Александр 1-й") числилось шесть Щетининых. Во втором отряде ("Император Николай 1-й") также шесть Щетининых. В Круглой бухте: один Щетинин (боевой); учебные "Моран" и шесть "Кертиссов". Выделено в Одессу для наблюдения за подводными лодками два "Кертисса". С лодками "К" без перемен. От лейтенанта Утгофа из Америки получены о них хорошие отзывы, однако у нас эти аппараты не работают. До сих пор не приехал из Америки инженер с новыми к ним моторами и частями. За последние месяцы лётчики тренировались на высоту, причём многими лётчиками на аппаратах Щетинина без особого труда была взята высота до 2500 м.".</w:t>
      </w:r>
    </w:p>
    <w:p w14:paraId="5DE8547B" w14:textId="77777777" w:rsidR="00104198" w:rsidRPr="00405303" w:rsidRDefault="00104198" w:rsidP="00C15251">
      <w:pPr>
        <w:jc w:val="both"/>
        <w:rPr>
          <w:bCs/>
          <w:color w:val="002060"/>
          <w:sz w:val="16"/>
          <w:szCs w:val="16"/>
        </w:rPr>
      </w:pPr>
      <w:r w:rsidRPr="00405303">
        <w:rPr>
          <w:bCs/>
          <w:color w:val="002060"/>
          <w:sz w:val="16"/>
          <w:szCs w:val="16"/>
        </w:rPr>
        <w:t>Из доклада Стаховского следует, что с 24 августа по 24 сентября выполнен ряд полётов на разведку и практическое бомбометаний пятифунтовыми бомбами с малых высот. Закончилось переучивание лётчиков на аппаратах Щетинина, после чего девять самолётов выполнили перелёт Севастополь-Евпатория и обратно (11930).</w:t>
      </w:r>
    </w:p>
    <w:p w14:paraId="34FDE866" w14:textId="77777777" w:rsidR="00104198" w:rsidRPr="00405303" w:rsidRDefault="00104198" w:rsidP="00C15251">
      <w:pPr>
        <w:jc w:val="both"/>
        <w:rPr>
          <w:bCs/>
          <w:color w:val="002060"/>
          <w:sz w:val="16"/>
          <w:szCs w:val="16"/>
        </w:rPr>
      </w:pPr>
    </w:p>
    <w:p w14:paraId="56CB396C" w14:textId="77777777" w:rsidR="00F729B9" w:rsidRPr="00405303" w:rsidRDefault="00F729B9" w:rsidP="00C15251">
      <w:pPr>
        <w:jc w:val="both"/>
        <w:rPr>
          <w:bCs/>
          <w:i/>
          <w:color w:val="002060"/>
          <w:sz w:val="16"/>
          <w:szCs w:val="16"/>
        </w:rPr>
      </w:pPr>
      <w:r w:rsidRPr="00405303">
        <w:rPr>
          <w:bCs/>
          <w:i/>
          <w:color w:val="002060"/>
          <w:sz w:val="16"/>
          <w:szCs w:val="16"/>
        </w:rPr>
        <w:t>Другие оборонные отрасли:</w:t>
      </w:r>
    </w:p>
    <w:p w14:paraId="4D66B7DB" w14:textId="77777777" w:rsidR="00F729B9" w:rsidRPr="00405303" w:rsidRDefault="00F729B9" w:rsidP="00C15251">
      <w:pPr>
        <w:jc w:val="both"/>
        <w:rPr>
          <w:bCs/>
          <w:i/>
          <w:color w:val="002060"/>
          <w:sz w:val="16"/>
          <w:szCs w:val="16"/>
        </w:rPr>
      </w:pPr>
    </w:p>
    <w:p w14:paraId="78A81B4E" w14:textId="283B160E" w:rsidR="00F729B9" w:rsidRPr="00405303" w:rsidRDefault="00F729B9" w:rsidP="00C15251">
      <w:pPr>
        <w:pStyle w:val="ae"/>
        <w:spacing w:before="0" w:beforeAutospacing="0" w:after="0" w:afterAutospacing="0"/>
        <w:jc w:val="both"/>
        <w:textAlignment w:val="baseline"/>
        <w:rPr>
          <w:bCs/>
          <w:color w:val="002060"/>
          <w:sz w:val="16"/>
          <w:szCs w:val="16"/>
        </w:rPr>
      </w:pPr>
      <w:r w:rsidRPr="00405303">
        <w:rPr>
          <w:bCs/>
          <w:color w:val="002060"/>
          <w:sz w:val="16"/>
          <w:szCs w:val="16"/>
        </w:rPr>
        <w:t>30</w:t>
      </w:r>
      <w:r w:rsidR="00DB4D64" w:rsidRPr="00405303">
        <w:rPr>
          <w:bCs/>
          <w:color w:val="002060"/>
          <w:sz w:val="16"/>
          <w:szCs w:val="16"/>
        </w:rPr>
        <w:t xml:space="preserve"> </w:t>
      </w:r>
      <w:r w:rsidRPr="00405303">
        <w:rPr>
          <w:bCs/>
          <w:color w:val="002060"/>
          <w:sz w:val="16"/>
          <w:szCs w:val="16"/>
        </w:rPr>
        <w:t xml:space="preserve">сентября </w:t>
      </w:r>
      <w:r w:rsidR="00284908" w:rsidRPr="00405303">
        <w:rPr>
          <w:bCs/>
          <w:color w:val="002060"/>
          <w:sz w:val="16"/>
          <w:szCs w:val="16"/>
        </w:rPr>
        <w:t xml:space="preserve">(13 октября) </w:t>
      </w:r>
      <w:r w:rsidRPr="00405303">
        <w:rPr>
          <w:bCs/>
          <w:color w:val="002060"/>
          <w:sz w:val="16"/>
          <w:szCs w:val="16"/>
        </w:rPr>
        <w:t xml:space="preserve">1915 </w:t>
      </w:r>
      <w:r w:rsidR="00284908" w:rsidRPr="00405303">
        <w:rPr>
          <w:bCs/>
          <w:color w:val="002060"/>
          <w:sz w:val="16"/>
          <w:szCs w:val="16"/>
        </w:rPr>
        <w:t xml:space="preserve">г. </w:t>
      </w:r>
      <w:r w:rsidRPr="00405303">
        <w:rPr>
          <w:bCs/>
          <w:color w:val="002060"/>
          <w:sz w:val="16"/>
          <w:szCs w:val="16"/>
        </w:rPr>
        <w:t>правление АО «Русский Уайтхед» обратилось к министру торговли и промышленности с просьбой оказать через подведомственный ему отдел и Англо-русский комитет в Лондоне содействие в размещении заказа на оборудование следующим зарубежным фирмам: «Creaves Klusmane Tool C°» и «United States Electrical Tool C°» в Цинциннати, «Dalton Machine C°» в Нью-Йорке, «Newton Machine Tool C°» в Филадельфии. Председателем Англо-русского комитета в Лондоне в то время был представитель упомянутого министерства, поэтому с реализацией заказов «Русского Уайтхеда» особых проблем на тот момент не возникало (18368).</w:t>
      </w:r>
    </w:p>
    <w:p w14:paraId="642C7BDD" w14:textId="44037EA0" w:rsidR="00F729B9" w:rsidRPr="00405303" w:rsidRDefault="00F729B9" w:rsidP="00C15251">
      <w:pPr>
        <w:pStyle w:val="ae"/>
        <w:spacing w:before="0" w:beforeAutospacing="0" w:after="0" w:afterAutospacing="0"/>
        <w:jc w:val="both"/>
        <w:textAlignment w:val="baseline"/>
        <w:rPr>
          <w:bCs/>
          <w:color w:val="002060"/>
          <w:sz w:val="16"/>
          <w:szCs w:val="16"/>
        </w:rPr>
      </w:pPr>
    </w:p>
    <w:p w14:paraId="551D9910" w14:textId="4F3C66FE" w:rsidR="00EB76F3" w:rsidRPr="00405303" w:rsidRDefault="00EB76F3" w:rsidP="00C15251">
      <w:pPr>
        <w:pStyle w:val="ae"/>
        <w:spacing w:before="0" w:beforeAutospacing="0" w:after="0" w:afterAutospacing="0"/>
        <w:jc w:val="both"/>
        <w:textAlignment w:val="baseline"/>
        <w:rPr>
          <w:bCs/>
          <w:i/>
          <w:iCs/>
          <w:color w:val="002060"/>
          <w:sz w:val="16"/>
          <w:szCs w:val="16"/>
        </w:rPr>
      </w:pPr>
      <w:r w:rsidRPr="00405303">
        <w:rPr>
          <w:bCs/>
          <w:i/>
          <w:iCs/>
          <w:color w:val="002060"/>
          <w:sz w:val="16"/>
          <w:szCs w:val="16"/>
        </w:rPr>
        <w:t>Авиация:</w:t>
      </w:r>
    </w:p>
    <w:p w14:paraId="0BB9D41F" w14:textId="77777777" w:rsidR="00EB76F3" w:rsidRPr="00405303" w:rsidRDefault="00EB76F3" w:rsidP="00C15251">
      <w:pPr>
        <w:pStyle w:val="ae"/>
        <w:spacing w:before="0" w:beforeAutospacing="0" w:after="0" w:afterAutospacing="0"/>
        <w:jc w:val="both"/>
        <w:textAlignment w:val="baseline"/>
        <w:rPr>
          <w:bCs/>
          <w:i/>
          <w:iCs/>
          <w:color w:val="002060"/>
          <w:sz w:val="16"/>
          <w:szCs w:val="16"/>
        </w:rPr>
      </w:pPr>
    </w:p>
    <w:p w14:paraId="1250C84D" w14:textId="77777777" w:rsidR="00EB76F3" w:rsidRPr="00405303" w:rsidRDefault="00EB76F3" w:rsidP="00C15251">
      <w:pPr>
        <w:jc w:val="both"/>
        <w:rPr>
          <w:bCs/>
          <w:color w:val="002060"/>
          <w:sz w:val="16"/>
          <w:szCs w:val="16"/>
        </w:rPr>
      </w:pPr>
      <w:r w:rsidRPr="00405303">
        <w:rPr>
          <w:bCs/>
          <w:color w:val="002060"/>
          <w:sz w:val="16"/>
          <w:szCs w:val="16"/>
        </w:rPr>
        <w:t>30 сентября (13 октября) 1915 г. военный летчик прапорщик Михаил Андреевич Малышев производпл</w:t>
      </w:r>
    </w:p>
    <w:p w14:paraId="4020DF74" w14:textId="77777777" w:rsidR="00EB76F3" w:rsidRPr="00405303" w:rsidRDefault="00EB76F3" w:rsidP="00C15251">
      <w:pPr>
        <w:jc w:val="both"/>
        <w:rPr>
          <w:bCs/>
          <w:color w:val="002060"/>
          <w:sz w:val="16"/>
          <w:szCs w:val="16"/>
        </w:rPr>
      </w:pPr>
      <w:r w:rsidRPr="00405303">
        <w:rPr>
          <w:bCs/>
          <w:color w:val="002060"/>
          <w:sz w:val="16"/>
          <w:szCs w:val="16"/>
        </w:rPr>
        <w:t xml:space="preserve"> фотографирование неприятельских позиции под непрерывным артиллерийским огнем. Выполнив задание, он по собственной инициативе полетел осматривать ближайший тыл противника, но вследствие порчи мотора вынужден был повернуть назад, линию фронта переретел на высоте 100 м под пулеметным огнем и вовремя доставил ценные сведения. Малышев награжден георгиевским оружием.</w:t>
      </w:r>
    </w:p>
    <w:p w14:paraId="482948CC" w14:textId="77777777" w:rsidR="00EB76F3" w:rsidRPr="00405303" w:rsidRDefault="00EB76F3"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Русский инвалид» за 18 июня 1917/ (23320).</w:t>
      </w:r>
    </w:p>
    <w:p w14:paraId="72DA83E9" w14:textId="77777777" w:rsidR="00EB76F3" w:rsidRPr="00405303" w:rsidRDefault="00EB76F3" w:rsidP="00C15251">
      <w:pPr>
        <w:jc w:val="both"/>
        <w:rPr>
          <w:bCs/>
          <w:color w:val="002060"/>
          <w:sz w:val="16"/>
          <w:szCs w:val="16"/>
        </w:rPr>
      </w:pPr>
    </w:p>
    <w:p w14:paraId="67A77F0E" w14:textId="77777777" w:rsidR="00405303" w:rsidRPr="00B52707" w:rsidRDefault="00405303" w:rsidP="00405303">
      <w:pPr>
        <w:jc w:val="both"/>
        <w:rPr>
          <w:color w:val="0070C0"/>
          <w:sz w:val="16"/>
          <w:szCs w:val="16"/>
        </w:rPr>
      </w:pPr>
      <w:r w:rsidRPr="00B52707">
        <w:rPr>
          <w:rStyle w:val="aa"/>
          <w:rFonts w:ascii="Times New Roman" w:hAnsi="Times New Roman"/>
          <w:color w:val="0070C0"/>
          <w:spacing w:val="0"/>
          <w:sz w:val="16"/>
          <w:szCs w:val="16"/>
        </w:rPr>
        <w:t>30 сентября (13 октября) 1915 г. рано утром неприятельский дирижабль сбросил на объекты г. Ровно 15–20 бомб (без особого вреда для местных жителей). В дальнейшем указанное воздушное судно подвергло бомбардировке с. Городец (10 бомб) и ст. Сарны (5 бомб). Ранее (утром того же дня) «над Ровной появилось несколько неприятельских аэропланов. Сделав несколько кругов, один из аэропланов начал сбрасывать бомбы. Летчик спустился ниже и, видимо, старался бросать снаряды в различные сооружения, так как они попадали в те места, где постройки были скучены. В общем, с аэроплана на станцию и в окрестности города было сброшено двадцать бомб. Все они упали на землю, не причинив никакого вреда» (25135).</w:t>
      </w:r>
    </w:p>
    <w:p w14:paraId="1FC2303A" w14:textId="77777777" w:rsidR="00405303" w:rsidRPr="00B52707" w:rsidRDefault="00405303" w:rsidP="00405303">
      <w:pPr>
        <w:jc w:val="both"/>
        <w:rPr>
          <w:color w:val="0070C0"/>
          <w:sz w:val="16"/>
          <w:szCs w:val="16"/>
        </w:rPr>
      </w:pPr>
    </w:p>
    <w:p w14:paraId="7A2763A9" w14:textId="77777777" w:rsidR="00EB76F3" w:rsidRPr="00405303" w:rsidRDefault="00EB76F3" w:rsidP="00C15251">
      <w:pPr>
        <w:jc w:val="both"/>
        <w:rPr>
          <w:bCs/>
          <w:color w:val="002060"/>
          <w:sz w:val="16"/>
          <w:szCs w:val="16"/>
        </w:rPr>
      </w:pPr>
      <w:r w:rsidRPr="00405303">
        <w:rPr>
          <w:bCs/>
          <w:color w:val="002060"/>
          <w:sz w:val="16"/>
          <w:szCs w:val="16"/>
        </w:rPr>
        <w:t xml:space="preserve">30 сентября - 1 октября (13-14 октября) 1915 года цеппелин LZ-39, переброшенный после бомбардировок Лондона в Шнейдемюль и совершивший несколько налетов на Ровно и в августе бомбивший Новогеоргиевск и Новоминск, сбросив на них по 500 кг бомб, атаковал Ковно, обрушив на него 1000 кг бомб. 7 декабря дирижабль попал под сильный шрапнельный огонь под Ковно, в результате чего был разбит один из двигателей. Пришлось совершать в районе Лыка вынужденную посадку (11324). </w:t>
      </w:r>
    </w:p>
    <w:p w14:paraId="542739AA" w14:textId="77777777" w:rsidR="00EB76F3" w:rsidRPr="00405303" w:rsidRDefault="00EB76F3" w:rsidP="00C15251">
      <w:pPr>
        <w:shd w:val="clear" w:color="auto" w:fill="FFFFFF"/>
        <w:jc w:val="both"/>
        <w:rPr>
          <w:bCs/>
          <w:color w:val="002060"/>
          <w:sz w:val="16"/>
          <w:szCs w:val="16"/>
        </w:rPr>
      </w:pPr>
    </w:p>
    <w:p w14:paraId="33B24016"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58515AF7" w14:textId="77777777" w:rsidR="004B4E35" w:rsidRPr="00405303" w:rsidRDefault="004B4E35" w:rsidP="00C15251">
      <w:pPr>
        <w:shd w:val="clear" w:color="auto" w:fill="FFFFFF"/>
        <w:jc w:val="both"/>
        <w:rPr>
          <w:bCs/>
          <w:i/>
          <w:color w:val="002060"/>
          <w:sz w:val="16"/>
          <w:szCs w:val="16"/>
        </w:rPr>
      </w:pPr>
    </w:p>
    <w:p w14:paraId="441BA0CE" w14:textId="07CA59A4" w:rsidR="004B4E35" w:rsidRPr="00405303" w:rsidRDefault="009E6F82" w:rsidP="00C15251">
      <w:pPr>
        <w:jc w:val="both"/>
        <w:rPr>
          <w:bCs/>
          <w:color w:val="002060"/>
          <w:sz w:val="16"/>
          <w:szCs w:val="16"/>
        </w:rPr>
      </w:pPr>
      <w:r w:rsidRPr="00405303">
        <w:rPr>
          <w:bCs/>
          <w:color w:val="002060"/>
          <w:sz w:val="16"/>
          <w:szCs w:val="16"/>
        </w:rPr>
        <w:t xml:space="preserve">30 сентября </w:t>
      </w:r>
      <w:r w:rsidR="00104198" w:rsidRPr="00405303">
        <w:rPr>
          <w:bCs/>
          <w:color w:val="002060"/>
          <w:sz w:val="16"/>
          <w:szCs w:val="16"/>
        </w:rPr>
        <w:t>(13 октября) 1915 г. в</w:t>
      </w:r>
      <w:r w:rsidRPr="00405303">
        <w:rPr>
          <w:bCs/>
          <w:color w:val="002060"/>
          <w:sz w:val="16"/>
          <w:szCs w:val="16"/>
        </w:rPr>
        <w:t xml:space="preserve"> соответствии с приказанием командующего флотом в 12~ю армию был направлен морской лётчик мичман В.А.Корольков для оказания помощи сухопутным лётчикам в классификации морских целей при полётах над Рижским заливом. Впоследствии начальник штаба Северного фронта генерал-майор Бонч-Бруевич письмом от 20 октября 1915 г. обратился к начальнику службы связи Балтийского моря с просьбой дать распоряжение о высылке имеющихся руководящих укозаний по службе связи, схему всех наблюдательных постов, состав их и способ передачи донесений с каждого (11927).</w:t>
      </w:r>
    </w:p>
    <w:p w14:paraId="72F4C7F7" w14:textId="77777777" w:rsidR="004B4E35" w:rsidRPr="00405303" w:rsidRDefault="004B4E35" w:rsidP="00C15251">
      <w:pPr>
        <w:jc w:val="both"/>
        <w:rPr>
          <w:bCs/>
          <w:color w:val="002060"/>
          <w:sz w:val="16"/>
          <w:szCs w:val="16"/>
        </w:rPr>
      </w:pPr>
    </w:p>
    <w:p w14:paraId="1ACF5ABD" w14:textId="77777777" w:rsidR="00405303" w:rsidRPr="00B52707" w:rsidRDefault="00405303" w:rsidP="00405303">
      <w:pPr>
        <w:jc w:val="both"/>
        <w:rPr>
          <w:color w:val="0070C0"/>
          <w:sz w:val="16"/>
          <w:szCs w:val="16"/>
        </w:rPr>
      </w:pPr>
      <w:r w:rsidRPr="00B52707">
        <w:rPr>
          <w:rStyle w:val="aa"/>
          <w:rFonts w:ascii="Times New Roman" w:hAnsi="Times New Roman"/>
          <w:color w:val="0070C0"/>
          <w:spacing w:val="0"/>
          <w:sz w:val="16"/>
          <w:szCs w:val="16"/>
        </w:rPr>
        <w:t>30 сентября (13 октября) 1915 г. два германских гидроаэроплана атаковали г. Аренсбург (Курессааре, о. Эзель), сбросив на его кварталы 20 бомб (без человеческих жертв) (25135).</w:t>
      </w:r>
    </w:p>
    <w:p w14:paraId="1FD8CB9F" w14:textId="77777777" w:rsidR="00405303" w:rsidRPr="00B52707" w:rsidRDefault="00405303" w:rsidP="00405303">
      <w:pPr>
        <w:jc w:val="both"/>
        <w:rPr>
          <w:color w:val="0070C0"/>
          <w:sz w:val="16"/>
          <w:szCs w:val="16"/>
        </w:rPr>
      </w:pPr>
    </w:p>
    <w:p w14:paraId="33A8335C" w14:textId="291E24D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56C72829" w14:textId="77777777" w:rsidR="004B4E35" w:rsidRPr="00405303" w:rsidRDefault="004B4E35" w:rsidP="00C15251">
      <w:pPr>
        <w:shd w:val="clear" w:color="auto" w:fill="FFFFFF"/>
        <w:jc w:val="both"/>
        <w:rPr>
          <w:bCs/>
          <w:i/>
          <w:color w:val="002060"/>
          <w:sz w:val="16"/>
          <w:szCs w:val="16"/>
        </w:rPr>
      </w:pPr>
    </w:p>
    <w:p w14:paraId="4A33BC60" w14:textId="77777777" w:rsidR="00104198" w:rsidRPr="00405303" w:rsidRDefault="00104198" w:rsidP="00C15251">
      <w:pPr>
        <w:jc w:val="both"/>
        <w:rPr>
          <w:bCs/>
          <w:color w:val="002060"/>
          <w:sz w:val="16"/>
          <w:szCs w:val="16"/>
        </w:rPr>
      </w:pPr>
      <w:r w:rsidRPr="00405303">
        <w:rPr>
          <w:bCs/>
          <w:color w:val="002060"/>
          <w:sz w:val="16"/>
          <w:szCs w:val="16"/>
        </w:rPr>
        <w:t>30 сентября – 1 октября (13–14 октября) (ночь) 1915 после пятинедельного перерыва немецкие дирижабли возобновляют налеты на Соединенное Королевство и пять цеппелинов ВМС Германии пытаются бомбить Лондон. L 15 бомбит центр Лондона, во время чего пилот Королевского летного корпуса Джон Слессор, летящий на BE2c, перехватывает его, став первым пилотом, который перехватил вражеский аппарат над Соединенным Королевством, хотя он не мог стрелять по L 15. Остальные четыре цеппелина сбрасывают свои бомбы по разным городам и сельской местности. Рейд - один из самых смертоносных в Первой мировой войне, в результате которого 71 человек погиб и 128 получили ранения (20338).</w:t>
      </w:r>
    </w:p>
    <w:p w14:paraId="3DCE8079" w14:textId="77777777" w:rsidR="00104198" w:rsidRPr="00405303" w:rsidRDefault="00104198" w:rsidP="00C15251">
      <w:pPr>
        <w:jc w:val="both"/>
        <w:rPr>
          <w:bCs/>
          <w:color w:val="002060"/>
          <w:sz w:val="16"/>
          <w:szCs w:val="16"/>
        </w:rPr>
      </w:pPr>
    </w:p>
    <w:p w14:paraId="315CA1A2" w14:textId="77777777" w:rsidR="004B4E35" w:rsidRPr="00405303" w:rsidRDefault="009E6F82" w:rsidP="00C15251">
      <w:pPr>
        <w:jc w:val="both"/>
        <w:rPr>
          <w:bCs/>
          <w:color w:val="002060"/>
          <w:sz w:val="16"/>
          <w:szCs w:val="16"/>
        </w:rPr>
      </w:pPr>
      <w:r w:rsidRPr="00405303">
        <w:rPr>
          <w:bCs/>
          <w:color w:val="002060"/>
          <w:sz w:val="16"/>
          <w:szCs w:val="16"/>
        </w:rPr>
        <w:t>В ночь на 30 сентября (13 октября) 1915 L-11, L-13, L-15, L-16 и L-19 совершили очень удачный рейд на Лондон, Норфолк, Саффолк, Эссекс и Кент. Промышленным центрам был нанесен значительный ущерб. Убито и ранено около 200 человек (11324).</w:t>
      </w:r>
    </w:p>
    <w:p w14:paraId="49B19D8A" w14:textId="77777777" w:rsidR="004B4E35" w:rsidRPr="00405303" w:rsidRDefault="004B4E35" w:rsidP="00C15251">
      <w:pPr>
        <w:jc w:val="both"/>
        <w:rPr>
          <w:bCs/>
          <w:i/>
          <w:color w:val="002060"/>
          <w:sz w:val="16"/>
          <w:szCs w:val="16"/>
        </w:rPr>
      </w:pPr>
    </w:p>
    <w:p w14:paraId="3DF5A13B" w14:textId="08A435DA" w:rsidR="004B4E35" w:rsidRPr="00405303" w:rsidRDefault="009E6F82" w:rsidP="00C15251">
      <w:pPr>
        <w:jc w:val="both"/>
        <w:rPr>
          <w:bCs/>
          <w:color w:val="002060"/>
          <w:sz w:val="16"/>
          <w:szCs w:val="16"/>
        </w:rPr>
      </w:pPr>
      <w:r w:rsidRPr="00405303">
        <w:rPr>
          <w:bCs/>
          <w:color w:val="002060"/>
          <w:sz w:val="16"/>
          <w:szCs w:val="16"/>
        </w:rPr>
        <w:t xml:space="preserve">30 сентября (13 октября) </w:t>
      </w:r>
      <w:r w:rsidR="00104198" w:rsidRPr="00405303">
        <w:rPr>
          <w:bCs/>
          <w:color w:val="002060"/>
          <w:sz w:val="16"/>
          <w:szCs w:val="16"/>
        </w:rPr>
        <w:t>п</w:t>
      </w:r>
      <w:r w:rsidRPr="00405303">
        <w:rPr>
          <w:bCs/>
          <w:color w:val="002060"/>
          <w:sz w:val="16"/>
          <w:szCs w:val="16"/>
        </w:rPr>
        <w:t>роизошел один из самых тяжелых налетов этого года на Британию. К Лондону прорвалось 5 цеппелинов. Было сброшено 189 бомб, погибло 71 человек (11999).</w:t>
      </w:r>
    </w:p>
    <w:p w14:paraId="13373611" w14:textId="77777777" w:rsidR="004B4E35" w:rsidRPr="00405303" w:rsidRDefault="004B4E35" w:rsidP="00C15251">
      <w:pPr>
        <w:jc w:val="both"/>
        <w:rPr>
          <w:bCs/>
          <w:color w:val="002060"/>
          <w:sz w:val="16"/>
          <w:szCs w:val="16"/>
        </w:rPr>
      </w:pPr>
    </w:p>
    <w:p w14:paraId="08616162"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1AE1A4A7" w14:textId="77777777" w:rsidR="004B4E35" w:rsidRPr="00405303" w:rsidRDefault="004B4E35" w:rsidP="00C15251">
      <w:pPr>
        <w:jc w:val="both"/>
        <w:rPr>
          <w:bCs/>
          <w:i/>
          <w:color w:val="002060"/>
          <w:sz w:val="16"/>
          <w:szCs w:val="16"/>
        </w:rPr>
      </w:pPr>
    </w:p>
    <w:p w14:paraId="5D76490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конце сентября 1915 из Одессы с завода Анат</w:t>
      </w:r>
      <w:r w:rsidRPr="00405303">
        <w:rPr>
          <w:bCs/>
          <w:color w:val="002060"/>
          <w:sz w:val="16"/>
          <w:szCs w:val="16"/>
        </w:rPr>
        <w:softHyphen/>
        <w:t>ры на завод Адаменко прислали комплект чертежей «Фармана IV», а в октябре Адаменко получил первую партию необ</w:t>
      </w:r>
      <w:r w:rsidRPr="00405303">
        <w:rPr>
          <w:bCs/>
          <w:color w:val="002060"/>
          <w:sz w:val="16"/>
          <w:szCs w:val="16"/>
        </w:rPr>
        <w:softHyphen/>
        <w:t>ходимых проволоки и тросов (11124).</w:t>
      </w:r>
    </w:p>
    <w:p w14:paraId="1DDD3BE9" w14:textId="77777777" w:rsidR="004B4E35" w:rsidRPr="00405303" w:rsidRDefault="004B4E35" w:rsidP="00C15251">
      <w:pPr>
        <w:shd w:val="clear" w:color="auto" w:fill="FFFFFF"/>
        <w:jc w:val="both"/>
        <w:rPr>
          <w:bCs/>
          <w:color w:val="002060"/>
          <w:sz w:val="16"/>
          <w:szCs w:val="16"/>
        </w:rPr>
      </w:pPr>
    </w:p>
    <w:p w14:paraId="4B50185C" w14:textId="77777777" w:rsidR="00202AB0" w:rsidRPr="00405303" w:rsidRDefault="00202AB0" w:rsidP="00C15251">
      <w:pPr>
        <w:pStyle w:val="15"/>
        <w:spacing w:before="0" w:after="0"/>
        <w:jc w:val="both"/>
        <w:rPr>
          <w:bCs/>
          <w:color w:val="002060"/>
          <w:sz w:val="16"/>
          <w:szCs w:val="16"/>
        </w:rPr>
      </w:pPr>
      <w:r w:rsidRPr="00405303">
        <w:rPr>
          <w:bCs/>
          <w:color w:val="002060"/>
          <w:sz w:val="16"/>
          <w:szCs w:val="16"/>
        </w:rPr>
        <w:t>В конце сентября 1915 из Одессы с завода Анатры на завод Адаменко прислали комплект чертежей «Фармана IV», а в октябре Адаменко получил первую партию необходимых проволоки и тросов. Наконец, 12 ноября 1915 г. был подписан контракт № 30033, предусматривавший поставку десяти самолетов «Фарман IV» по цене 4875 руб. В соответствии с принятой в России практикой, аппараты поставлялись без моторов и винтов. Обычно партии самолетов сдавали, используя 1-2 двигателя, которые по очереди устанавливали на подлежащие облету машины. Сроки выполнения заказа определялись довольно жесткие — к 6 января 1916 г. Вполне естественно, что недавно родившееся предприятие не смогло их выдержать — первые 5 самолетов представитель Центрального воздухоплавательного склада принял лишь 29 марта, а вторую партию передали Севастопольской авиашколе 24 июня 1916 г. (12252).</w:t>
      </w:r>
    </w:p>
    <w:p w14:paraId="5AC35C89" w14:textId="77777777" w:rsidR="00202AB0" w:rsidRPr="00405303" w:rsidRDefault="00202AB0" w:rsidP="00C15251">
      <w:pPr>
        <w:pStyle w:val="15"/>
        <w:spacing w:before="0" w:after="0"/>
        <w:jc w:val="both"/>
        <w:rPr>
          <w:bCs/>
          <w:color w:val="002060"/>
          <w:sz w:val="16"/>
          <w:szCs w:val="16"/>
        </w:rPr>
      </w:pPr>
    </w:p>
    <w:p w14:paraId="13C1C8D1" w14:textId="5F117AB3" w:rsidR="004B4E35" w:rsidRPr="00405303" w:rsidRDefault="0040064B"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конце сентября или даже в октябре 1915</w:t>
      </w:r>
      <w:r w:rsidRPr="00405303">
        <w:rPr>
          <w:bCs/>
          <w:color w:val="002060"/>
          <w:sz w:val="16"/>
          <w:szCs w:val="16"/>
        </w:rPr>
        <w:t xml:space="preserve"> г. аэроплан Ф.В. Эбергарда собрали</w:t>
      </w:r>
      <w:r w:rsidR="009E6F82" w:rsidRPr="00405303">
        <w:rPr>
          <w:bCs/>
          <w:color w:val="002060"/>
          <w:sz w:val="16"/>
          <w:szCs w:val="16"/>
        </w:rPr>
        <w:t>, а 4 ноября его отправили в Ревель для опытов. Спустя неделю А.Ю. Виллиш телеграфировал в МГШ о том, что и аппарат, и его мотор находились в ожидании первого полета; по другой версии, летающую лодку сна</w:t>
      </w:r>
      <w:r w:rsidR="009E6F82" w:rsidRPr="00405303">
        <w:rPr>
          <w:bCs/>
          <w:color w:val="002060"/>
          <w:sz w:val="16"/>
          <w:szCs w:val="16"/>
        </w:rPr>
        <w:softHyphen/>
        <w:t>чала доставили в Петроградскую офицерскую школу морских летчиков и только затем, в конце ноября, она поступила в Ревель вместе с некоторым другим школьным имуществом (2843).</w:t>
      </w:r>
    </w:p>
    <w:p w14:paraId="0C41B3A0" w14:textId="77777777" w:rsidR="004B4E35" w:rsidRPr="00405303" w:rsidRDefault="004B4E35" w:rsidP="00C15251">
      <w:pPr>
        <w:shd w:val="clear" w:color="auto" w:fill="FFFFFF"/>
        <w:jc w:val="both"/>
        <w:rPr>
          <w:bCs/>
          <w:color w:val="002060"/>
          <w:sz w:val="16"/>
          <w:szCs w:val="16"/>
        </w:rPr>
      </w:pPr>
    </w:p>
    <w:p w14:paraId="64933B02" w14:textId="77777777" w:rsidR="00FC364C" w:rsidRPr="00405303" w:rsidRDefault="00FC364C" w:rsidP="00C15251">
      <w:pPr>
        <w:jc w:val="both"/>
        <w:rPr>
          <w:bCs/>
          <w:color w:val="002060"/>
          <w:sz w:val="16"/>
          <w:szCs w:val="16"/>
          <w:lang w:bidi="en-US"/>
        </w:rPr>
      </w:pPr>
      <w:r w:rsidRPr="00405303">
        <w:rPr>
          <w:bCs/>
          <w:color w:val="002060"/>
          <w:sz w:val="16"/>
          <w:szCs w:val="16"/>
          <w:lang w:bidi="en-US"/>
        </w:rPr>
        <w:t xml:space="preserve">В конце сентября 1915 г. генерал Милян сменил генерала фон-дер Роопа на посту главы </w:t>
      </w:r>
      <w:r w:rsidRPr="00405303">
        <w:rPr>
          <w:bCs/>
          <w:color w:val="002060"/>
          <w:sz w:val="16"/>
          <w:szCs w:val="16"/>
          <w:lang w:val="en-US" w:bidi="en-US"/>
        </w:rPr>
        <w:t>CMTD</w:t>
      </w:r>
      <w:r w:rsidRPr="00405303">
        <w:rPr>
          <w:bCs/>
          <w:color w:val="002060"/>
          <w:sz w:val="16"/>
          <w:szCs w:val="16"/>
          <w:lang w:bidi="en-US"/>
        </w:rPr>
        <w:t>. Генерал Вернандер стал теперь главой Комиссии по приемке самолетов. Техническую комиссию ЦМТД возглавил инженер-генерал-лейтенант Кирпичев (23525).</w:t>
      </w:r>
    </w:p>
    <w:p w14:paraId="7F4BB70E" w14:textId="77777777" w:rsidR="00FC364C" w:rsidRPr="00405303" w:rsidRDefault="00FC364C" w:rsidP="00C15251">
      <w:pPr>
        <w:jc w:val="both"/>
        <w:rPr>
          <w:bCs/>
          <w:color w:val="002060"/>
          <w:sz w:val="16"/>
          <w:szCs w:val="16"/>
        </w:rPr>
      </w:pPr>
    </w:p>
    <w:p w14:paraId="4F94AF5B"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161812AC" w14:textId="77777777" w:rsidR="004B4E35" w:rsidRPr="00405303" w:rsidRDefault="004B4E35" w:rsidP="00C15251">
      <w:pPr>
        <w:shd w:val="clear" w:color="auto" w:fill="FFFFFF"/>
        <w:jc w:val="both"/>
        <w:rPr>
          <w:bCs/>
          <w:i/>
          <w:color w:val="002060"/>
          <w:sz w:val="16"/>
          <w:szCs w:val="16"/>
        </w:rPr>
      </w:pPr>
    </w:p>
    <w:p w14:paraId="34911771" w14:textId="77777777" w:rsidR="004B4E35" w:rsidRPr="00405303" w:rsidRDefault="009E6F82" w:rsidP="00C15251">
      <w:pPr>
        <w:jc w:val="both"/>
        <w:rPr>
          <w:bCs/>
          <w:color w:val="002060"/>
          <w:sz w:val="16"/>
          <w:szCs w:val="16"/>
        </w:rPr>
      </w:pPr>
      <w:r w:rsidRPr="00405303">
        <w:rPr>
          <w:bCs/>
          <w:color w:val="002060"/>
          <w:sz w:val="16"/>
          <w:szCs w:val="16"/>
        </w:rPr>
        <w:t>К концу сентября 1915 фронт нашей армии окончательно стабилизировался, и наступило затишье. Теперь я мог на несколько дней оторваться от отряда и 23 сентября (1915 г.) выехал на автомобиле в Псков, где находилась недавно сформированная 7-я авиационная рота. Мне надо было навести справки относительно возможности получения запасных частей и моторов. 7-й авиационной ротой командовал бывший начальник XVIII корпусного авиационного отряда военный летчик штабс-капитан Бойно-Радзевич — мой старый знакомый по кадетскому корпусу и по Севастопольской авиационной школе. Он помог мне без особой волокиты получить все, в чем испытывал нужду мой отряд. Испробовал я в Пскове и один «Парасоль», летая над прекрасным ротным аэродромом за рекой Великой... Ткачев В.М. в своей книге "Крылья Росии. Воспоминания о прошлом русской военной авиации 1910-1917 г.г." (11701).</w:t>
      </w:r>
    </w:p>
    <w:p w14:paraId="3D3D246A" w14:textId="77777777" w:rsidR="004B4E35" w:rsidRPr="00405303" w:rsidRDefault="009E6F82" w:rsidP="00C15251">
      <w:pPr>
        <w:jc w:val="both"/>
        <w:rPr>
          <w:bCs/>
          <w:color w:val="002060"/>
          <w:sz w:val="16"/>
          <w:szCs w:val="16"/>
        </w:rPr>
      </w:pPr>
      <w:r w:rsidRPr="00405303">
        <w:rPr>
          <w:bCs/>
          <w:color w:val="002060"/>
          <w:sz w:val="16"/>
          <w:szCs w:val="16"/>
        </w:rPr>
        <w:t>...В связи с изменением всего фронта русских армий откатились в глубокий тыл и авиационные роты (2-я, 3-я, 4-я, 5-я, 6-я). В целях упорядочения снабжения авиационных отрядов горючим, аэропланами и моторами, а также ремонта летного материала все эти роты были закреплены за соответствующими фронтами: за Юго-Западным — 3-я и 4-я роты, с размещением в Киеве и в Виннице (позже, в 1916 году 6-я рота перешла в Одессу и приняла на себя снабжение отрядов VI и IX авиационных дивизионов на вновь образовавшемся румынском фронте); за Западным фронтом — 2-я, 4-я, 5-я роты со стоянками в Брянске, Витебске и Смоленске, а для Северо-Западного фронта в конце 1915 года была сформирована 7-я авиационная рота в Пскове...(11701).</w:t>
      </w:r>
    </w:p>
    <w:p w14:paraId="6DAAD298" w14:textId="77777777" w:rsidR="004B4E35" w:rsidRPr="00405303" w:rsidRDefault="004B4E35" w:rsidP="00C15251">
      <w:pPr>
        <w:jc w:val="both"/>
        <w:rPr>
          <w:bCs/>
          <w:color w:val="002060"/>
          <w:sz w:val="16"/>
          <w:szCs w:val="16"/>
        </w:rPr>
      </w:pPr>
    </w:p>
    <w:p w14:paraId="4D5DF420"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286B4079" w14:textId="77777777" w:rsidR="004B4E35" w:rsidRPr="00405303" w:rsidRDefault="004B4E35" w:rsidP="00C15251">
      <w:pPr>
        <w:shd w:val="clear" w:color="auto" w:fill="FFFFFF"/>
        <w:jc w:val="both"/>
        <w:rPr>
          <w:bCs/>
          <w:i/>
          <w:color w:val="002060"/>
          <w:sz w:val="16"/>
          <w:szCs w:val="16"/>
        </w:rPr>
      </w:pPr>
    </w:p>
    <w:p w14:paraId="3915736E" w14:textId="3F58BCE3" w:rsidR="004B4E35" w:rsidRPr="00405303" w:rsidRDefault="0040064B"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конце сентября 1915 г. лётчик прапорщик Кованько подал рапорт начальнику 2-го корабельного отряда с просьбой о производстве его в подпоручики. Старший лейтенант Стаховский ответил категорическим отказом: "Ходатайствовать о производстве я не нашёл возможным, так как назначенный офицер по служебным и нравственным качеством не заслуживает моего ходатайства. Прапорщик Кованько был назначен в авиацию Чёрного моря 31 июля 1914 г., практический экзамен выдержал 21 моя 1915 г., теоретический не держал вовсе, вследствие чего до сих пор не имеет звания морского лётчика. Как лётчик означенный офицер весьма посредственный, ленив, неисполнителен, часто манкировал службой; за что приходилось несколько раз его арестовывать. Сверх вышеуказанного прапорщик Кованько на берегу ведёт себя отвратительно. Был заметен в нескольких скандалах. Я не нашёл возможным ходатайствовать о его производстве... и в случае повторения подобных случаев, несмотря на недостаток летчиков буду принуждён выйти с представлением об отчислении означенного офицера от авиации". Этот рапорт Стаховский направил великому князю Александру Михайловичу, хотя по большому счёту необходимости в этом не было (11930).</w:t>
      </w:r>
    </w:p>
    <w:p w14:paraId="06FA0A99" w14:textId="77777777" w:rsidR="004B4E35" w:rsidRPr="00405303" w:rsidRDefault="004B4E35" w:rsidP="00C15251">
      <w:pPr>
        <w:jc w:val="both"/>
        <w:rPr>
          <w:bCs/>
          <w:color w:val="002060"/>
          <w:sz w:val="16"/>
          <w:szCs w:val="16"/>
        </w:rPr>
      </w:pPr>
    </w:p>
    <w:p w14:paraId="41753592"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4894FF66" w14:textId="77777777" w:rsidR="004B4E35" w:rsidRPr="00405303" w:rsidRDefault="004B4E35" w:rsidP="00C15251">
      <w:pPr>
        <w:shd w:val="clear" w:color="auto" w:fill="FFFFFF"/>
        <w:jc w:val="both"/>
        <w:rPr>
          <w:bCs/>
          <w:i/>
          <w:color w:val="002060"/>
          <w:sz w:val="16"/>
          <w:szCs w:val="16"/>
        </w:rPr>
      </w:pPr>
    </w:p>
    <w:p w14:paraId="1716D256" w14:textId="77777777" w:rsidR="004B4E35" w:rsidRPr="00405303" w:rsidRDefault="009E6F82" w:rsidP="00C15251">
      <w:pPr>
        <w:jc w:val="both"/>
        <w:rPr>
          <w:bCs/>
          <w:color w:val="002060"/>
          <w:sz w:val="16"/>
          <w:szCs w:val="16"/>
        </w:rPr>
      </w:pPr>
      <w:r w:rsidRPr="00405303">
        <w:rPr>
          <w:bCs/>
          <w:color w:val="002060"/>
          <w:sz w:val="16"/>
          <w:szCs w:val="16"/>
        </w:rPr>
        <w:t>В конце сентября 1915 Рихтгофен: "Приятные дни в Остенде скоро миновали, поскольку разгорелась битва за Шампань, и мы вылетели на фронт, чтобы помочь нашим войскам своими огромными аэропланами...</w:t>
      </w:r>
    </w:p>
    <w:p w14:paraId="618FDE65" w14:textId="77777777" w:rsidR="004B4E35" w:rsidRPr="00405303" w:rsidRDefault="009E6F82" w:rsidP="00C15251">
      <w:pPr>
        <w:jc w:val="both"/>
        <w:rPr>
          <w:bCs/>
          <w:color w:val="002060"/>
          <w:sz w:val="16"/>
          <w:szCs w:val="16"/>
        </w:rPr>
      </w:pPr>
      <w:r w:rsidRPr="00405303">
        <w:rPr>
          <w:bCs/>
          <w:color w:val="002060"/>
          <w:sz w:val="16"/>
          <w:szCs w:val="16"/>
        </w:rPr>
        <w:t>Однажды я летел с Остеротом, у которого аэроплан был много меньше моего. Мили за три перед фронтом мы столкнулись с двухместным "Фарманом". Он позволил нам приблизиться, и первый раз в жизни я увидел своего воздушного противника буквально лицом к лицу. Остерот умело летел прямо бок о бок с ним, давая мне прекрасную возможность стрелять. Может быть, поначалу он нас просто не заметил и начал стрелять только тогда, когда у меня заело винтовку. Выпустив весь запас пуль (около сотни), я не поверил своим глазам, вдруг обнаружив, что мой враг круто уходит вниз, нелепыми спиралями. Я проводил его глазами и постучал по шлему Остерота, чтобы привлечь и его внимание. А враг все падал и падал и, наконец, рухнул в огромную воронку. Аэроплан воткнулся носом в землю, а хвост указывал прямо в небеса.</w:t>
      </w:r>
    </w:p>
    <w:p w14:paraId="6753A886" w14:textId="77777777" w:rsidR="004B4E35" w:rsidRPr="00405303" w:rsidRDefault="009E6F82" w:rsidP="00C15251">
      <w:pPr>
        <w:jc w:val="both"/>
        <w:rPr>
          <w:bCs/>
          <w:color w:val="002060"/>
          <w:sz w:val="16"/>
          <w:szCs w:val="16"/>
        </w:rPr>
      </w:pPr>
      <w:r w:rsidRPr="00405303">
        <w:rPr>
          <w:bCs/>
          <w:color w:val="002060"/>
          <w:sz w:val="16"/>
          <w:szCs w:val="16"/>
        </w:rPr>
        <w:t xml:space="preserve">Судя по карте, он упал в трех милях от линии фронта </w:t>
      </w:r>
      <w:proofErr w:type="gramStart"/>
      <w:r w:rsidRPr="00405303">
        <w:rPr>
          <w:bCs/>
          <w:color w:val="002060"/>
          <w:sz w:val="16"/>
          <w:szCs w:val="16"/>
        </w:rPr>
        <w:t>- значит</w:t>
      </w:r>
      <w:proofErr w:type="gramEnd"/>
      <w:r w:rsidRPr="00405303">
        <w:rPr>
          <w:bCs/>
          <w:color w:val="002060"/>
          <w:sz w:val="16"/>
          <w:szCs w:val="16"/>
        </w:rPr>
        <w:t xml:space="preserve">, мы посадили его на вражеской территории. А жаль, так бы я официально записал себе одну победу. </w:t>
      </w:r>
      <w:proofErr w:type="gramStart"/>
      <w:r w:rsidRPr="00405303">
        <w:rPr>
          <w:bCs/>
          <w:color w:val="002060"/>
          <w:sz w:val="16"/>
          <w:szCs w:val="16"/>
        </w:rPr>
        <w:t>Но как бы то ни было</w:t>
      </w:r>
      <w:proofErr w:type="gramEnd"/>
      <w:r w:rsidRPr="00405303">
        <w:rPr>
          <w:bCs/>
          <w:color w:val="002060"/>
          <w:sz w:val="16"/>
          <w:szCs w:val="16"/>
        </w:rPr>
        <w:t>, я был горд своим успехом - ведь я его все-таки подбил! И мне было все равно, поверят мне или нет".</w:t>
      </w:r>
    </w:p>
    <w:p w14:paraId="0F7502BC" w14:textId="77777777" w:rsidR="004B4E35" w:rsidRPr="00405303" w:rsidRDefault="009E6F82" w:rsidP="00C15251">
      <w:pPr>
        <w:jc w:val="both"/>
        <w:rPr>
          <w:bCs/>
          <w:color w:val="002060"/>
          <w:sz w:val="16"/>
          <w:szCs w:val="16"/>
        </w:rPr>
      </w:pPr>
      <w:r w:rsidRPr="00405303">
        <w:rPr>
          <w:bCs/>
          <w:color w:val="002060"/>
          <w:sz w:val="16"/>
          <w:szCs w:val="16"/>
        </w:rPr>
        <w:t>Победой, или, точнее, "засчитанной победой", являлась "заявленная победа", которая получила официальное подтверждение. Для подтверждения требовалось свидетельство других летчиков, наземных наблюдателей, разведки, либо "вещественное доказательство" в виде куска сбитого самолета или фотографии места падения. Во всех странах требования для подтверждения побед были в общем одинаковы, хотя встречались и некоторые отклонения от "генеральной линии" (например, совсем не доверять летчикам).</w:t>
      </w:r>
    </w:p>
    <w:p w14:paraId="16F6A8E9" w14:textId="77777777" w:rsidR="004B4E35" w:rsidRPr="00405303" w:rsidRDefault="009E6F82" w:rsidP="00C15251">
      <w:pPr>
        <w:jc w:val="both"/>
        <w:rPr>
          <w:bCs/>
          <w:color w:val="002060"/>
          <w:sz w:val="16"/>
          <w:szCs w:val="16"/>
        </w:rPr>
      </w:pPr>
      <w:r w:rsidRPr="00405303">
        <w:rPr>
          <w:bCs/>
          <w:color w:val="002060"/>
          <w:sz w:val="16"/>
          <w:szCs w:val="16"/>
        </w:rPr>
        <w:t xml:space="preserve">В Первой мировой войне самую "разветвленную" систему учета побед разработали англичане. Их летчики, в зависимости от результата боя, могли заявить о победе одной из нескольких категорий: Destroyed ("уничтожен"), в случае, если наблюдался удар самолета о землю (Crash) или он разрушался в воздухе (Broken Up); Destroyed in Flames ("уничтожен в огне"), если противник загорался; Out Of Control ("потерял управление"), т.е. "вроде бы сбит, но падения никто не видел", в эту категорию включались не только беспорядочно падающие самолеты, но и те, что отвесно пикировали на небольшой высоте; Drived Down ("ушел со снижением"); Forced То Land ("принуждён к посадке"). Если последнее случалось на своей территории, то самолет указывался как Captured ("захваченый"). В Палестине экипажи двухместных истребителей "Бристоль F2B Файтер" нередко добивали бомбами или пулеметным огнем самолет противника, совершивший вынужденную посадку. В этом случае победа значилась как </w:t>
      </w:r>
      <w:proofErr w:type="gramStart"/>
      <w:r w:rsidRPr="00405303">
        <w:rPr>
          <w:bCs/>
          <w:color w:val="002060"/>
          <w:sz w:val="16"/>
          <w:szCs w:val="16"/>
        </w:rPr>
        <w:t>Forced</w:t>
      </w:r>
      <w:proofErr w:type="gramEnd"/>
      <w:r w:rsidRPr="00405303">
        <w:rPr>
          <w:bCs/>
          <w:color w:val="002060"/>
          <w:sz w:val="16"/>
          <w:szCs w:val="16"/>
        </w:rPr>
        <w:t xml:space="preserve"> То Land &amp; Destroyed, что являлось полным аналогом термина Destroyed.</w:t>
      </w:r>
    </w:p>
    <w:p w14:paraId="0FBAB87B" w14:textId="77777777" w:rsidR="004B4E35" w:rsidRPr="00405303" w:rsidRDefault="009E6F82" w:rsidP="00C15251">
      <w:pPr>
        <w:jc w:val="both"/>
        <w:rPr>
          <w:bCs/>
          <w:color w:val="002060"/>
          <w:sz w:val="16"/>
          <w:szCs w:val="16"/>
        </w:rPr>
      </w:pPr>
      <w:r w:rsidRPr="00405303">
        <w:rPr>
          <w:bCs/>
          <w:color w:val="002060"/>
          <w:sz w:val="16"/>
          <w:szCs w:val="16"/>
        </w:rPr>
        <w:t xml:space="preserve">Официальными сокращениями для побед были (в том же порядке, что и в предыдущем абзаце): Des, </w:t>
      </w:r>
      <w:proofErr w:type="gramStart"/>
      <w:r w:rsidRPr="00405303">
        <w:rPr>
          <w:bCs/>
          <w:color w:val="002060"/>
          <w:sz w:val="16"/>
          <w:szCs w:val="16"/>
        </w:rPr>
        <w:t>Des(</w:t>
      </w:r>
      <w:proofErr w:type="gramEnd"/>
      <w:r w:rsidRPr="00405303">
        <w:rPr>
          <w:bCs/>
          <w:color w:val="002060"/>
          <w:sz w:val="16"/>
          <w:szCs w:val="16"/>
        </w:rPr>
        <w:t xml:space="preserve">Fla), ООС, DD, FTL, Capt и FTL(Des). Из них собственно победой считались Des, </w:t>
      </w:r>
      <w:proofErr w:type="gramStart"/>
      <w:r w:rsidRPr="00405303">
        <w:rPr>
          <w:bCs/>
          <w:color w:val="002060"/>
          <w:sz w:val="16"/>
          <w:szCs w:val="16"/>
        </w:rPr>
        <w:t>Des(</w:t>
      </w:r>
      <w:proofErr w:type="gramEnd"/>
      <w:r w:rsidRPr="00405303">
        <w:rPr>
          <w:bCs/>
          <w:color w:val="002060"/>
          <w:sz w:val="16"/>
          <w:szCs w:val="16"/>
        </w:rPr>
        <w:t>Fla), ООС и Capt. "Ушедшие со снижением" в качестве победы не засчитывались, а "принужденные к посадке" шли в зачет только в случае пленения или последующего уничтожения самолета наземными войсками.</w:t>
      </w:r>
    </w:p>
    <w:p w14:paraId="09440541" w14:textId="77777777" w:rsidR="004B4E35" w:rsidRPr="00405303" w:rsidRDefault="009E6F82" w:rsidP="00C15251">
      <w:pPr>
        <w:jc w:val="both"/>
        <w:rPr>
          <w:bCs/>
          <w:color w:val="002060"/>
          <w:sz w:val="16"/>
          <w:szCs w:val="16"/>
        </w:rPr>
      </w:pPr>
      <w:r w:rsidRPr="00405303">
        <w:rPr>
          <w:bCs/>
          <w:color w:val="002060"/>
          <w:sz w:val="16"/>
          <w:szCs w:val="16"/>
        </w:rPr>
        <w:lastRenderedPageBreak/>
        <w:t>Часто случалось так, что победу одерживали в группе, в таком случае записывали каждому из участников по одной победе. Но этому правилу следовали не всегда. В некоторых случаях победы записывали не всем участникам боя, а одному или нескольким летчикам, внесшим максимальный вклад. Подобная практика существовала не только в британской авиации.</w:t>
      </w:r>
    </w:p>
    <w:p w14:paraId="118A356E" w14:textId="77777777" w:rsidR="004B4E35" w:rsidRPr="00405303" w:rsidRDefault="009E6F82" w:rsidP="00C15251">
      <w:pPr>
        <w:jc w:val="both"/>
        <w:rPr>
          <w:bCs/>
          <w:color w:val="002060"/>
          <w:sz w:val="16"/>
          <w:szCs w:val="16"/>
        </w:rPr>
      </w:pPr>
      <w:r w:rsidRPr="00405303">
        <w:rPr>
          <w:bCs/>
          <w:color w:val="002060"/>
          <w:sz w:val="16"/>
          <w:szCs w:val="16"/>
        </w:rPr>
        <w:t>Победы, одержанные экипажами разведчиков и бомбардировщиков, записывались следующим образом: летчик получал все победы, а летнаб только те, что сбил сам. Но это было исключительной особенностью Королевской авиации, во всех остальных странах и летчику и стрелку засчитывали одни и те же победы.</w:t>
      </w:r>
    </w:p>
    <w:p w14:paraId="7E3073E1" w14:textId="77777777" w:rsidR="004B4E35" w:rsidRPr="00405303" w:rsidRDefault="009E6F82" w:rsidP="00C15251">
      <w:pPr>
        <w:jc w:val="both"/>
        <w:rPr>
          <w:bCs/>
          <w:color w:val="002060"/>
          <w:sz w:val="16"/>
          <w:szCs w:val="16"/>
        </w:rPr>
      </w:pPr>
      <w:r w:rsidRPr="00405303">
        <w:rPr>
          <w:bCs/>
          <w:color w:val="002060"/>
          <w:sz w:val="16"/>
          <w:szCs w:val="16"/>
        </w:rPr>
        <w:t>Во Франции использовалась более строгая система учета побед: таковыми считались самолеты, упавшие на территории победителя, либо за линией фронта, но лишь в том случае, если их падение подтверждалось "независимыми свидетелями". Принужденные к посадке засчитывались только в случае пленения (уничтожения). Самолеты, чье падение не подтверждалось, считались "правдоподобно сбитыми" и учитывались отдельно, хотя обычно о них упоминали только как о "множестве правдоподобно сбитых" в дополнение к "достоверно сбитым".</w:t>
      </w:r>
    </w:p>
    <w:p w14:paraId="23DA846A" w14:textId="77777777" w:rsidR="004B4E35" w:rsidRPr="00405303" w:rsidRDefault="009E6F82" w:rsidP="00C15251">
      <w:pPr>
        <w:jc w:val="both"/>
        <w:rPr>
          <w:bCs/>
          <w:color w:val="002060"/>
          <w:sz w:val="16"/>
          <w:szCs w:val="16"/>
        </w:rPr>
      </w:pPr>
      <w:r w:rsidRPr="00405303">
        <w:rPr>
          <w:bCs/>
          <w:color w:val="002060"/>
          <w:sz w:val="16"/>
          <w:szCs w:val="16"/>
        </w:rPr>
        <w:t>Французская система была самой распространенной на фронтах Первой мировой, безо всякого изменения ее использовали бельгийские и румынские летчики. В России, Италии и Австро-Венгрии использовались ее слегка модифицированные варианты. В этих странах победы не делили на достоверные и правдоподобные, они либо были, либо нет. Еще одним отличием было то, что австрийцы всегда засчитывали как победы "принужденные к посадке", вне зависимости от того, на чьей стороне фронта приземлилась подбитая машина.</w:t>
      </w:r>
    </w:p>
    <w:p w14:paraId="11168BC9" w14:textId="77777777" w:rsidR="004B4E35" w:rsidRPr="00405303" w:rsidRDefault="009E6F82" w:rsidP="00C15251">
      <w:pPr>
        <w:jc w:val="both"/>
        <w:rPr>
          <w:bCs/>
          <w:color w:val="002060"/>
          <w:sz w:val="16"/>
          <w:szCs w:val="16"/>
        </w:rPr>
      </w:pPr>
      <w:r w:rsidRPr="00405303">
        <w:rPr>
          <w:bCs/>
          <w:color w:val="002060"/>
          <w:sz w:val="16"/>
          <w:szCs w:val="16"/>
        </w:rPr>
        <w:t>Позже всех вступили в войну Соединенные Штаты, которые при создании своих ВВС пользовались в основном французским опытом, более того, первая американская боевая эскадрилья была переведена из состава французской армии. Поэтому и в деле подтверждения побед они следовали тем же стандартам.</w:t>
      </w:r>
    </w:p>
    <w:p w14:paraId="28FD571E" w14:textId="77777777" w:rsidR="004B4E35" w:rsidRPr="00405303" w:rsidRDefault="009E6F82" w:rsidP="00C15251">
      <w:pPr>
        <w:jc w:val="both"/>
        <w:rPr>
          <w:bCs/>
          <w:color w:val="002060"/>
          <w:sz w:val="16"/>
          <w:szCs w:val="16"/>
        </w:rPr>
      </w:pPr>
      <w:r w:rsidRPr="00405303">
        <w:rPr>
          <w:bCs/>
          <w:color w:val="002060"/>
          <w:sz w:val="16"/>
          <w:szCs w:val="16"/>
        </w:rPr>
        <w:t>В полном объеме все вышеизложенные правила действовали не с самого начала воздушной войны, а только после введения соответствующих стандартов, в некоторых странах - неписаных. В Великобритании это произошло весной 1916 г., во Франции и Германии - в конце 1915 г., а в остальных странах - летом 1916 г. До того англичане и французы засчитывали все победы, включая FTL, DD и "правдоподобные", а в Германии и России, в противоположность этому, не засчитывали самолеты, упавшие за линией фронта, даже если их падение отлично наблюдалось (11999).</w:t>
      </w:r>
    </w:p>
    <w:p w14:paraId="1A03DD1D" w14:textId="77777777" w:rsidR="004B4E35" w:rsidRPr="00405303" w:rsidRDefault="004B4E35" w:rsidP="00C15251">
      <w:pPr>
        <w:jc w:val="both"/>
        <w:rPr>
          <w:bCs/>
          <w:color w:val="002060"/>
          <w:sz w:val="16"/>
          <w:szCs w:val="16"/>
        </w:rPr>
      </w:pPr>
    </w:p>
    <w:p w14:paraId="21465264"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За рубежом:</w:t>
      </w:r>
    </w:p>
    <w:p w14:paraId="21D38A4A" w14:textId="77777777" w:rsidR="004B4E35" w:rsidRPr="00405303" w:rsidRDefault="004B4E35" w:rsidP="00C15251">
      <w:pPr>
        <w:shd w:val="clear" w:color="auto" w:fill="FFFFFF"/>
        <w:jc w:val="both"/>
        <w:rPr>
          <w:bCs/>
          <w:i/>
          <w:color w:val="002060"/>
          <w:sz w:val="16"/>
          <w:szCs w:val="16"/>
        </w:rPr>
      </w:pPr>
    </w:p>
    <w:p w14:paraId="495E1821" w14:textId="77777777" w:rsidR="004B4E35" w:rsidRPr="00405303" w:rsidRDefault="009E6F82" w:rsidP="00C15251">
      <w:pPr>
        <w:jc w:val="both"/>
        <w:rPr>
          <w:bCs/>
          <w:color w:val="002060"/>
          <w:sz w:val="16"/>
          <w:szCs w:val="16"/>
        </w:rPr>
      </w:pPr>
      <w:r w:rsidRPr="00405303">
        <w:rPr>
          <w:bCs/>
          <w:color w:val="002060"/>
          <w:sz w:val="16"/>
          <w:szCs w:val="16"/>
        </w:rPr>
        <w:t>В конце сентября 1915 г. завершили изготовление деревянного макета и продемонстрировали его в Уэмбли группе старших офицеров. Указание на изготовление опытного образца поступило 30.09.1915 г., Проблема размещения вооружения была решена д'Эйнкоуртом, предложившим съемные бортовые спонсоны. В результате: низко расположенный центр тяжести; способность «чистить» траншею на оба борта при ее пересечении и держать под обстрелом сразу две линии траншей при дефилировании вдоль фронта, возможность вписать машину в железнодорожный провозной габарит.</w:t>
      </w:r>
    </w:p>
    <w:p w14:paraId="39D07E49" w14:textId="77777777" w:rsidR="004B4E35" w:rsidRPr="00405303" w:rsidRDefault="009E6F82" w:rsidP="00C15251">
      <w:pPr>
        <w:jc w:val="both"/>
        <w:rPr>
          <w:bCs/>
          <w:color w:val="002060"/>
          <w:sz w:val="16"/>
          <w:szCs w:val="16"/>
        </w:rPr>
      </w:pPr>
      <w:r w:rsidRPr="00405303">
        <w:rPr>
          <w:bCs/>
          <w:color w:val="002060"/>
          <w:sz w:val="16"/>
          <w:szCs w:val="16"/>
        </w:rPr>
        <w:t>От экспериментов и опытных работ Англия переходила в область практической реализации (12111).</w:t>
      </w:r>
    </w:p>
    <w:p w14:paraId="0E898E44" w14:textId="77777777" w:rsidR="004B4E35" w:rsidRPr="00405303" w:rsidRDefault="004B4E35" w:rsidP="00C15251">
      <w:pPr>
        <w:jc w:val="both"/>
        <w:rPr>
          <w:bCs/>
          <w:color w:val="002060"/>
          <w:sz w:val="16"/>
          <w:szCs w:val="16"/>
        </w:rPr>
      </w:pPr>
    </w:p>
    <w:p w14:paraId="4E236EB7"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405B3C2C" w14:textId="77777777" w:rsidR="004B4E35" w:rsidRPr="00405303" w:rsidRDefault="004B4E35" w:rsidP="00C15251">
      <w:pPr>
        <w:shd w:val="clear" w:color="auto" w:fill="FFFFFF"/>
        <w:jc w:val="both"/>
        <w:rPr>
          <w:bCs/>
          <w:i/>
          <w:color w:val="002060"/>
          <w:sz w:val="16"/>
          <w:szCs w:val="16"/>
        </w:rPr>
      </w:pPr>
    </w:p>
    <w:p w14:paraId="072027B9" w14:textId="77777777" w:rsidR="004B4E35" w:rsidRPr="00405303" w:rsidRDefault="009E6F82" w:rsidP="00C15251">
      <w:pPr>
        <w:jc w:val="both"/>
        <w:rPr>
          <w:bCs/>
          <w:color w:val="002060"/>
          <w:sz w:val="16"/>
          <w:szCs w:val="16"/>
        </w:rPr>
      </w:pPr>
      <w:r w:rsidRPr="00405303">
        <w:rPr>
          <w:bCs/>
          <w:color w:val="002060"/>
          <w:sz w:val="16"/>
          <w:szCs w:val="16"/>
        </w:rPr>
        <w:t>Во второй половине сентября 11-я германская армия вместе с авиаотрядами №№ 1, 66, 69 и 57 отправилась на Сербский театр военных действий.</w:t>
      </w:r>
    </w:p>
    <w:p w14:paraId="77A09F79" w14:textId="77777777" w:rsidR="004B4E35" w:rsidRPr="00405303" w:rsidRDefault="009E6F82" w:rsidP="00C15251">
      <w:pPr>
        <w:jc w:val="both"/>
        <w:rPr>
          <w:bCs/>
          <w:color w:val="002060"/>
          <w:sz w:val="16"/>
          <w:szCs w:val="16"/>
        </w:rPr>
      </w:pPr>
      <w:r w:rsidRPr="00405303">
        <w:rPr>
          <w:bCs/>
          <w:color w:val="002060"/>
          <w:sz w:val="16"/>
          <w:szCs w:val="16"/>
        </w:rPr>
        <w:t>Что касается действий русской авиации, то среди русских летчиков-истребителей в этот период была широко распространена тактика ведения воздушного боя парами. Часто вылетали звеном, при этом третья машина служила как бы приманкой. Летая над вражеским аэродромом, она старалась привлечь на себя внимание противника. Если это удавалось, и вражеский самолет поднимался в воздух, то на него неожиданно обрушивался командир со своим ведомым. Русские летчики смело шли прямо в лобовую атаку, от которой противник обычно предпочитал уклоняться, и расстреливали самолет противника с расстояния в 10-15 метров.</w:t>
      </w:r>
    </w:p>
    <w:p w14:paraId="6812D8CB" w14:textId="77777777" w:rsidR="004B4E35" w:rsidRPr="00405303" w:rsidRDefault="009E6F82" w:rsidP="00C15251">
      <w:pPr>
        <w:jc w:val="both"/>
        <w:rPr>
          <w:bCs/>
          <w:color w:val="002060"/>
          <w:sz w:val="16"/>
          <w:szCs w:val="16"/>
        </w:rPr>
      </w:pPr>
      <w:r w:rsidRPr="00405303">
        <w:rPr>
          <w:bCs/>
          <w:color w:val="002060"/>
          <w:sz w:val="16"/>
          <w:szCs w:val="16"/>
        </w:rPr>
        <w:t>В этом месяце 1-я русская истребительная эскадрилья под командованием штабс-ротмистра Казакова устроила в районе Луцка непроницаемую завесу для аэропланов противника. В течение месяца истребительная эскадрилья Казакова провела 40 воздушных боев, сбив несколько самолетов противника и потеряв один свой (11999).</w:t>
      </w:r>
    </w:p>
    <w:p w14:paraId="3613DD0E" w14:textId="77777777" w:rsidR="004B4E35" w:rsidRPr="00405303" w:rsidRDefault="004B4E35" w:rsidP="00C15251">
      <w:pPr>
        <w:jc w:val="both"/>
        <w:rPr>
          <w:bCs/>
          <w:color w:val="002060"/>
          <w:sz w:val="16"/>
          <w:szCs w:val="16"/>
        </w:rPr>
      </w:pPr>
    </w:p>
    <w:p w14:paraId="33143ED9"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2ABBDFBA" w14:textId="77777777" w:rsidR="004B4E35" w:rsidRPr="00405303" w:rsidRDefault="004B4E35" w:rsidP="00C15251">
      <w:pPr>
        <w:shd w:val="clear" w:color="auto" w:fill="FFFFFF"/>
        <w:jc w:val="both"/>
        <w:rPr>
          <w:bCs/>
          <w:i/>
          <w:color w:val="002060"/>
          <w:sz w:val="16"/>
          <w:szCs w:val="16"/>
        </w:rPr>
      </w:pPr>
    </w:p>
    <w:p w14:paraId="0482B4B2" w14:textId="77777777" w:rsidR="004B4E35" w:rsidRPr="00405303" w:rsidRDefault="009E6F82" w:rsidP="00C15251">
      <w:pPr>
        <w:jc w:val="both"/>
        <w:rPr>
          <w:bCs/>
          <w:color w:val="002060"/>
          <w:sz w:val="16"/>
          <w:szCs w:val="16"/>
        </w:rPr>
      </w:pPr>
      <w:r w:rsidRPr="00405303">
        <w:rPr>
          <w:bCs/>
          <w:color w:val="002060"/>
          <w:sz w:val="16"/>
          <w:szCs w:val="16"/>
        </w:rPr>
        <w:t>Во второй половине сентября 1915 года, когда германское командование стало активно применять самолеты для ударов по русским кораблям, «Орлицу» перебазировали в Рижский залив. Ее самолеты вели разведку, обеспечивали противоздушную оборону кораблей на огневых позициях, корректирование артиллерийского огня, бомбардировали позиции противника. 9 октября корабельная авиагруппа вела разведку и обеспечила противовоздушную оборону при высадке десанта в районе Домеснеса (11333).</w:t>
      </w:r>
    </w:p>
    <w:p w14:paraId="255AC724" w14:textId="77777777" w:rsidR="004B4E35" w:rsidRPr="00405303" w:rsidRDefault="004B4E35" w:rsidP="00C15251">
      <w:pPr>
        <w:jc w:val="both"/>
        <w:rPr>
          <w:bCs/>
          <w:i/>
          <w:color w:val="002060"/>
          <w:sz w:val="16"/>
          <w:szCs w:val="16"/>
        </w:rPr>
      </w:pPr>
    </w:p>
    <w:p w14:paraId="26966594"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72C3ACC3" w14:textId="77777777" w:rsidR="004B4E35" w:rsidRPr="00405303" w:rsidRDefault="004B4E35" w:rsidP="00C15251">
      <w:pPr>
        <w:jc w:val="both"/>
        <w:rPr>
          <w:bCs/>
          <w:i/>
          <w:color w:val="002060"/>
          <w:sz w:val="16"/>
          <w:szCs w:val="16"/>
        </w:rPr>
      </w:pPr>
    </w:p>
    <w:p w14:paraId="1A6228C3" w14:textId="77777777" w:rsidR="0055129B" w:rsidRPr="00405303" w:rsidRDefault="0055129B" w:rsidP="0055129B">
      <w:pPr>
        <w:pStyle w:val="16"/>
        <w:shd w:val="clear" w:color="auto" w:fill="auto"/>
        <w:spacing w:before="0" w:line="240" w:lineRule="auto"/>
        <w:ind w:firstLine="0"/>
        <w:jc w:val="both"/>
        <w:rPr>
          <w:bCs/>
          <w:color w:val="002060"/>
          <w:sz w:val="16"/>
          <w:szCs w:val="16"/>
        </w:rPr>
      </w:pPr>
      <w:r w:rsidRPr="00405303">
        <w:rPr>
          <w:bCs/>
          <w:color w:val="002060"/>
          <w:sz w:val="16"/>
          <w:szCs w:val="16"/>
        </w:rPr>
        <w:t>В сентябре 1915 г. Г. А. Ботезатом по поручению руководства Воздухоплавательного отделения были разработаны на основе анализа годо</w:t>
      </w:r>
      <w:r w:rsidRPr="00405303">
        <w:rPr>
          <w:bCs/>
          <w:color w:val="002060"/>
          <w:sz w:val="16"/>
          <w:szCs w:val="16"/>
        </w:rPr>
        <w:softHyphen/>
        <w:t>вого применения боевой техники «а фронте тактико-технические требования к разрабатываемым заводами новым самолетам</w:t>
      </w:r>
      <w:r w:rsidRPr="00405303">
        <w:rPr>
          <w:bCs/>
          <w:color w:val="002060"/>
          <w:sz w:val="16"/>
          <w:szCs w:val="16"/>
          <w:vertAlign w:val="superscript"/>
        </w:rPr>
        <w:t>30</w:t>
      </w:r>
      <w:r w:rsidRPr="00405303">
        <w:rPr>
          <w:bCs/>
          <w:color w:val="002060"/>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496"/>
        <w:gridCol w:w="1330"/>
        <w:gridCol w:w="931"/>
        <w:gridCol w:w="1349"/>
        <w:gridCol w:w="1123"/>
      </w:tblGrid>
      <w:tr w:rsidR="0055129B" w:rsidRPr="00405303" w14:paraId="26179D43" w14:textId="77777777" w:rsidTr="00BD0BCB">
        <w:trPr>
          <w:trHeight w:val="230"/>
        </w:trPr>
        <w:tc>
          <w:tcPr>
            <w:tcW w:w="2496" w:type="dxa"/>
            <w:shd w:val="clear" w:color="auto" w:fill="FFFFFF"/>
          </w:tcPr>
          <w:p w14:paraId="42C26F4C" w14:textId="77777777" w:rsidR="0055129B" w:rsidRPr="00405303" w:rsidRDefault="0055129B" w:rsidP="00BD0BCB">
            <w:pPr>
              <w:jc w:val="both"/>
              <w:rPr>
                <w:bCs/>
                <w:color w:val="002060"/>
                <w:sz w:val="16"/>
                <w:szCs w:val="16"/>
              </w:rPr>
            </w:pPr>
          </w:p>
        </w:tc>
        <w:tc>
          <w:tcPr>
            <w:tcW w:w="1330" w:type="dxa"/>
            <w:shd w:val="clear" w:color="auto" w:fill="FFFFFF"/>
          </w:tcPr>
          <w:p w14:paraId="383481C3" w14:textId="77777777" w:rsidR="0055129B" w:rsidRPr="00405303" w:rsidRDefault="0055129B" w:rsidP="00BD0BCB">
            <w:pPr>
              <w:pStyle w:val="30"/>
              <w:shd w:val="clear" w:color="auto" w:fill="auto"/>
              <w:spacing w:line="240" w:lineRule="auto"/>
              <w:jc w:val="both"/>
              <w:rPr>
                <w:bCs/>
                <w:color w:val="002060"/>
                <w:sz w:val="16"/>
                <w:szCs w:val="16"/>
              </w:rPr>
            </w:pPr>
            <w:r w:rsidRPr="00405303">
              <w:rPr>
                <w:bCs/>
                <w:color w:val="002060"/>
                <w:sz w:val="16"/>
                <w:szCs w:val="16"/>
              </w:rPr>
              <w:t>Мощность</w:t>
            </w:r>
          </w:p>
        </w:tc>
        <w:tc>
          <w:tcPr>
            <w:tcW w:w="931" w:type="dxa"/>
            <w:shd w:val="clear" w:color="auto" w:fill="FFFFFF"/>
          </w:tcPr>
          <w:p w14:paraId="5162F6CC" w14:textId="77777777" w:rsidR="0055129B" w:rsidRPr="00405303" w:rsidRDefault="0055129B" w:rsidP="00BD0BCB">
            <w:pPr>
              <w:pStyle w:val="30"/>
              <w:shd w:val="clear" w:color="auto" w:fill="auto"/>
              <w:spacing w:line="240" w:lineRule="auto"/>
              <w:jc w:val="both"/>
              <w:rPr>
                <w:bCs/>
                <w:color w:val="002060"/>
                <w:sz w:val="16"/>
                <w:szCs w:val="16"/>
              </w:rPr>
            </w:pPr>
            <w:r w:rsidRPr="00405303">
              <w:rPr>
                <w:bCs/>
                <w:color w:val="002060"/>
                <w:sz w:val="16"/>
                <w:szCs w:val="16"/>
              </w:rPr>
              <w:t>Скорость,</w:t>
            </w:r>
          </w:p>
        </w:tc>
        <w:tc>
          <w:tcPr>
            <w:tcW w:w="1349" w:type="dxa"/>
            <w:shd w:val="clear" w:color="auto" w:fill="FFFFFF"/>
          </w:tcPr>
          <w:p w14:paraId="5CA2CB98" w14:textId="77777777" w:rsidR="0055129B" w:rsidRPr="00405303" w:rsidRDefault="0055129B" w:rsidP="00BD0BCB">
            <w:pPr>
              <w:pStyle w:val="30"/>
              <w:shd w:val="clear" w:color="auto" w:fill="auto"/>
              <w:spacing w:line="240" w:lineRule="auto"/>
              <w:jc w:val="both"/>
              <w:rPr>
                <w:bCs/>
                <w:color w:val="002060"/>
                <w:sz w:val="16"/>
                <w:szCs w:val="16"/>
              </w:rPr>
            </w:pPr>
            <w:r w:rsidRPr="00405303">
              <w:rPr>
                <w:bCs/>
                <w:color w:val="002060"/>
                <w:sz w:val="16"/>
                <w:szCs w:val="16"/>
              </w:rPr>
              <w:t>Дальность, км</w:t>
            </w:r>
          </w:p>
        </w:tc>
        <w:tc>
          <w:tcPr>
            <w:tcW w:w="1123" w:type="dxa"/>
            <w:shd w:val="clear" w:color="auto" w:fill="FFFFFF"/>
          </w:tcPr>
          <w:p w14:paraId="6C697E1A" w14:textId="77777777" w:rsidR="0055129B" w:rsidRPr="00405303" w:rsidRDefault="0055129B" w:rsidP="00BD0BCB">
            <w:pPr>
              <w:pStyle w:val="30"/>
              <w:shd w:val="clear" w:color="auto" w:fill="auto"/>
              <w:spacing w:line="240" w:lineRule="auto"/>
              <w:jc w:val="both"/>
              <w:rPr>
                <w:bCs/>
                <w:color w:val="002060"/>
                <w:sz w:val="16"/>
                <w:szCs w:val="16"/>
              </w:rPr>
            </w:pPr>
            <w:r w:rsidRPr="00405303">
              <w:rPr>
                <w:bCs/>
                <w:color w:val="002060"/>
                <w:sz w:val="16"/>
                <w:szCs w:val="16"/>
              </w:rPr>
              <w:t>Полезная</w:t>
            </w:r>
          </w:p>
        </w:tc>
      </w:tr>
      <w:tr w:rsidR="0055129B" w:rsidRPr="00405303" w14:paraId="1446711E" w14:textId="77777777" w:rsidTr="00BD0BCB">
        <w:trPr>
          <w:trHeight w:val="211"/>
        </w:trPr>
        <w:tc>
          <w:tcPr>
            <w:tcW w:w="2496" w:type="dxa"/>
            <w:shd w:val="clear" w:color="auto" w:fill="FFFFFF"/>
          </w:tcPr>
          <w:p w14:paraId="72F8E9E1" w14:textId="77777777" w:rsidR="0055129B" w:rsidRPr="00405303" w:rsidRDefault="0055129B" w:rsidP="00BD0BCB">
            <w:pPr>
              <w:jc w:val="both"/>
              <w:rPr>
                <w:bCs/>
                <w:color w:val="002060"/>
                <w:sz w:val="16"/>
                <w:szCs w:val="16"/>
              </w:rPr>
            </w:pPr>
          </w:p>
        </w:tc>
        <w:tc>
          <w:tcPr>
            <w:tcW w:w="1330" w:type="dxa"/>
            <w:shd w:val="clear" w:color="auto" w:fill="FFFFFF"/>
          </w:tcPr>
          <w:p w14:paraId="52315513" w14:textId="77777777" w:rsidR="0055129B" w:rsidRPr="00405303" w:rsidRDefault="0055129B" w:rsidP="00BD0BCB">
            <w:pPr>
              <w:pStyle w:val="30"/>
              <w:shd w:val="clear" w:color="auto" w:fill="auto"/>
              <w:spacing w:line="240" w:lineRule="auto"/>
              <w:jc w:val="both"/>
              <w:rPr>
                <w:bCs/>
                <w:color w:val="002060"/>
                <w:sz w:val="16"/>
                <w:szCs w:val="16"/>
              </w:rPr>
            </w:pPr>
            <w:r w:rsidRPr="00405303">
              <w:rPr>
                <w:bCs/>
                <w:color w:val="002060"/>
                <w:sz w:val="16"/>
                <w:szCs w:val="16"/>
              </w:rPr>
              <w:t>двигателя, л. с</w:t>
            </w:r>
          </w:p>
        </w:tc>
        <w:tc>
          <w:tcPr>
            <w:tcW w:w="931" w:type="dxa"/>
            <w:shd w:val="clear" w:color="auto" w:fill="FFFFFF"/>
          </w:tcPr>
          <w:p w14:paraId="499988F4" w14:textId="77777777" w:rsidR="0055129B" w:rsidRPr="00405303" w:rsidRDefault="0055129B" w:rsidP="00BD0BCB">
            <w:pPr>
              <w:pStyle w:val="30"/>
              <w:shd w:val="clear" w:color="auto" w:fill="auto"/>
              <w:spacing w:line="240" w:lineRule="auto"/>
              <w:jc w:val="both"/>
              <w:rPr>
                <w:bCs/>
                <w:color w:val="002060"/>
                <w:sz w:val="16"/>
                <w:szCs w:val="16"/>
              </w:rPr>
            </w:pPr>
            <w:r w:rsidRPr="00405303">
              <w:rPr>
                <w:bCs/>
                <w:color w:val="002060"/>
                <w:sz w:val="16"/>
                <w:szCs w:val="16"/>
              </w:rPr>
              <w:t>км/ч</w:t>
            </w:r>
          </w:p>
        </w:tc>
        <w:tc>
          <w:tcPr>
            <w:tcW w:w="1349" w:type="dxa"/>
            <w:shd w:val="clear" w:color="auto" w:fill="FFFFFF"/>
          </w:tcPr>
          <w:p w14:paraId="2227C452" w14:textId="77777777" w:rsidR="0055129B" w:rsidRPr="00405303" w:rsidRDefault="0055129B" w:rsidP="00BD0BCB">
            <w:pPr>
              <w:jc w:val="both"/>
              <w:rPr>
                <w:bCs/>
                <w:color w:val="002060"/>
                <w:sz w:val="16"/>
                <w:szCs w:val="16"/>
              </w:rPr>
            </w:pPr>
          </w:p>
        </w:tc>
        <w:tc>
          <w:tcPr>
            <w:tcW w:w="1123" w:type="dxa"/>
            <w:shd w:val="clear" w:color="auto" w:fill="FFFFFF"/>
          </w:tcPr>
          <w:p w14:paraId="6AA342CC" w14:textId="77777777" w:rsidR="0055129B" w:rsidRPr="00405303" w:rsidRDefault="0055129B" w:rsidP="00BD0BCB">
            <w:pPr>
              <w:pStyle w:val="30"/>
              <w:shd w:val="clear" w:color="auto" w:fill="auto"/>
              <w:spacing w:line="240" w:lineRule="auto"/>
              <w:jc w:val="both"/>
              <w:rPr>
                <w:bCs/>
                <w:color w:val="002060"/>
                <w:sz w:val="16"/>
                <w:szCs w:val="16"/>
              </w:rPr>
            </w:pPr>
            <w:r w:rsidRPr="00405303">
              <w:rPr>
                <w:bCs/>
                <w:color w:val="002060"/>
                <w:sz w:val="16"/>
                <w:szCs w:val="16"/>
              </w:rPr>
              <w:t>нагрузка, кг</w:t>
            </w:r>
          </w:p>
        </w:tc>
      </w:tr>
      <w:tr w:rsidR="0055129B" w:rsidRPr="00405303" w14:paraId="1E73E466" w14:textId="77777777" w:rsidTr="00BD0BCB">
        <w:trPr>
          <w:trHeight w:val="211"/>
        </w:trPr>
        <w:tc>
          <w:tcPr>
            <w:tcW w:w="2496" w:type="dxa"/>
            <w:shd w:val="clear" w:color="auto" w:fill="FFFFFF"/>
          </w:tcPr>
          <w:p w14:paraId="6D6E39AD" w14:textId="77777777" w:rsidR="0055129B" w:rsidRPr="00405303" w:rsidRDefault="0055129B" w:rsidP="00BD0BCB">
            <w:pPr>
              <w:pStyle w:val="30"/>
              <w:shd w:val="clear" w:color="auto" w:fill="auto"/>
              <w:spacing w:line="240" w:lineRule="auto"/>
              <w:jc w:val="both"/>
              <w:rPr>
                <w:bCs/>
                <w:color w:val="002060"/>
                <w:sz w:val="16"/>
                <w:szCs w:val="16"/>
              </w:rPr>
            </w:pPr>
            <w:r w:rsidRPr="00405303">
              <w:rPr>
                <w:bCs/>
                <w:color w:val="002060"/>
                <w:sz w:val="16"/>
                <w:szCs w:val="16"/>
              </w:rPr>
              <w:t>Малый разведчик, он же кор</w:t>
            </w:r>
            <w:r w:rsidRPr="00405303">
              <w:rPr>
                <w:bCs/>
                <w:color w:val="002060"/>
                <w:sz w:val="16"/>
                <w:szCs w:val="16"/>
              </w:rPr>
              <w:softHyphen/>
            </w:r>
          </w:p>
        </w:tc>
        <w:tc>
          <w:tcPr>
            <w:tcW w:w="1330" w:type="dxa"/>
            <w:shd w:val="clear" w:color="auto" w:fill="FFFFFF"/>
          </w:tcPr>
          <w:p w14:paraId="38A7A160" w14:textId="77777777" w:rsidR="0055129B" w:rsidRPr="00405303" w:rsidRDefault="0055129B" w:rsidP="00BD0BCB">
            <w:pPr>
              <w:jc w:val="both"/>
              <w:rPr>
                <w:bCs/>
                <w:color w:val="002060"/>
                <w:sz w:val="16"/>
                <w:szCs w:val="16"/>
              </w:rPr>
            </w:pPr>
          </w:p>
        </w:tc>
        <w:tc>
          <w:tcPr>
            <w:tcW w:w="931" w:type="dxa"/>
            <w:shd w:val="clear" w:color="auto" w:fill="FFFFFF"/>
          </w:tcPr>
          <w:p w14:paraId="11E6BFB6" w14:textId="77777777" w:rsidR="0055129B" w:rsidRPr="00405303" w:rsidRDefault="0055129B" w:rsidP="00BD0BCB">
            <w:pPr>
              <w:jc w:val="both"/>
              <w:rPr>
                <w:bCs/>
                <w:color w:val="002060"/>
                <w:sz w:val="16"/>
                <w:szCs w:val="16"/>
              </w:rPr>
            </w:pPr>
          </w:p>
        </w:tc>
        <w:tc>
          <w:tcPr>
            <w:tcW w:w="1349" w:type="dxa"/>
            <w:shd w:val="clear" w:color="auto" w:fill="FFFFFF"/>
          </w:tcPr>
          <w:p w14:paraId="5C5568CE" w14:textId="77777777" w:rsidR="0055129B" w:rsidRPr="00405303" w:rsidRDefault="0055129B" w:rsidP="00BD0BCB">
            <w:pPr>
              <w:jc w:val="both"/>
              <w:rPr>
                <w:bCs/>
                <w:color w:val="002060"/>
                <w:sz w:val="16"/>
                <w:szCs w:val="16"/>
              </w:rPr>
            </w:pPr>
          </w:p>
        </w:tc>
        <w:tc>
          <w:tcPr>
            <w:tcW w:w="1123" w:type="dxa"/>
            <w:shd w:val="clear" w:color="auto" w:fill="FFFFFF"/>
          </w:tcPr>
          <w:p w14:paraId="53A28FCF" w14:textId="77777777" w:rsidR="0055129B" w:rsidRPr="00405303" w:rsidRDefault="0055129B" w:rsidP="00BD0BCB">
            <w:pPr>
              <w:jc w:val="both"/>
              <w:rPr>
                <w:bCs/>
                <w:color w:val="002060"/>
                <w:sz w:val="16"/>
                <w:szCs w:val="16"/>
              </w:rPr>
            </w:pPr>
          </w:p>
        </w:tc>
      </w:tr>
      <w:tr w:rsidR="0055129B" w:rsidRPr="00405303" w14:paraId="21D89111" w14:textId="77777777" w:rsidTr="00BD0BCB">
        <w:trPr>
          <w:trHeight w:val="216"/>
        </w:trPr>
        <w:tc>
          <w:tcPr>
            <w:tcW w:w="2496" w:type="dxa"/>
            <w:shd w:val="clear" w:color="auto" w:fill="FFFFFF"/>
          </w:tcPr>
          <w:p w14:paraId="5F0DDB9E" w14:textId="77777777" w:rsidR="0055129B" w:rsidRPr="00405303" w:rsidRDefault="0055129B" w:rsidP="00BD0BCB">
            <w:pPr>
              <w:pStyle w:val="30"/>
              <w:shd w:val="clear" w:color="auto" w:fill="auto"/>
              <w:tabs>
                <w:tab w:val="left" w:leader="dot" w:pos="2416"/>
              </w:tabs>
              <w:spacing w:line="240" w:lineRule="auto"/>
              <w:jc w:val="both"/>
              <w:rPr>
                <w:bCs/>
                <w:color w:val="002060"/>
                <w:sz w:val="16"/>
                <w:szCs w:val="16"/>
              </w:rPr>
            </w:pPr>
            <w:r w:rsidRPr="00405303">
              <w:rPr>
                <w:bCs/>
                <w:color w:val="002060"/>
                <w:sz w:val="16"/>
                <w:szCs w:val="16"/>
              </w:rPr>
              <w:t xml:space="preserve">ректировщик </w:t>
            </w:r>
            <w:r w:rsidRPr="00405303">
              <w:rPr>
                <w:bCs/>
                <w:color w:val="002060"/>
                <w:sz w:val="16"/>
                <w:szCs w:val="16"/>
              </w:rPr>
              <w:tab/>
            </w:r>
          </w:p>
        </w:tc>
        <w:tc>
          <w:tcPr>
            <w:tcW w:w="1330" w:type="dxa"/>
            <w:shd w:val="clear" w:color="auto" w:fill="FFFFFF"/>
          </w:tcPr>
          <w:p w14:paraId="31AF2FF0" w14:textId="77777777" w:rsidR="0055129B" w:rsidRPr="00405303" w:rsidRDefault="0055129B" w:rsidP="00BD0BCB">
            <w:pPr>
              <w:pStyle w:val="30"/>
              <w:shd w:val="clear" w:color="auto" w:fill="auto"/>
              <w:spacing w:line="240" w:lineRule="auto"/>
              <w:jc w:val="both"/>
              <w:rPr>
                <w:bCs/>
                <w:color w:val="002060"/>
                <w:sz w:val="16"/>
                <w:szCs w:val="16"/>
              </w:rPr>
            </w:pPr>
            <w:r w:rsidRPr="00405303">
              <w:rPr>
                <w:bCs/>
                <w:color w:val="002060"/>
                <w:sz w:val="16"/>
                <w:szCs w:val="16"/>
              </w:rPr>
              <w:t>100-110</w:t>
            </w:r>
          </w:p>
        </w:tc>
        <w:tc>
          <w:tcPr>
            <w:tcW w:w="931" w:type="dxa"/>
            <w:shd w:val="clear" w:color="auto" w:fill="FFFFFF"/>
          </w:tcPr>
          <w:p w14:paraId="28CEE77A" w14:textId="77777777" w:rsidR="0055129B" w:rsidRPr="00405303" w:rsidRDefault="0055129B" w:rsidP="00BD0BCB">
            <w:pPr>
              <w:pStyle w:val="30"/>
              <w:shd w:val="clear" w:color="auto" w:fill="auto"/>
              <w:spacing w:line="240" w:lineRule="auto"/>
              <w:jc w:val="both"/>
              <w:rPr>
                <w:bCs/>
                <w:color w:val="002060"/>
                <w:sz w:val="16"/>
                <w:szCs w:val="16"/>
              </w:rPr>
            </w:pPr>
            <w:r w:rsidRPr="00405303">
              <w:rPr>
                <w:bCs/>
                <w:color w:val="002060"/>
                <w:sz w:val="16"/>
                <w:szCs w:val="16"/>
              </w:rPr>
              <w:t>135</w:t>
            </w:r>
          </w:p>
        </w:tc>
        <w:tc>
          <w:tcPr>
            <w:tcW w:w="1349" w:type="dxa"/>
            <w:shd w:val="clear" w:color="auto" w:fill="FFFFFF"/>
          </w:tcPr>
          <w:p w14:paraId="2492EC45" w14:textId="77777777" w:rsidR="0055129B" w:rsidRPr="00405303" w:rsidRDefault="0055129B" w:rsidP="00BD0BCB">
            <w:pPr>
              <w:pStyle w:val="30"/>
              <w:shd w:val="clear" w:color="auto" w:fill="auto"/>
              <w:spacing w:line="240" w:lineRule="auto"/>
              <w:jc w:val="both"/>
              <w:rPr>
                <w:bCs/>
                <w:color w:val="002060"/>
                <w:sz w:val="16"/>
                <w:szCs w:val="16"/>
              </w:rPr>
            </w:pPr>
            <w:r w:rsidRPr="00405303">
              <w:rPr>
                <w:bCs/>
                <w:color w:val="002060"/>
                <w:sz w:val="16"/>
                <w:szCs w:val="16"/>
              </w:rPr>
              <w:t>400</w:t>
            </w:r>
          </w:p>
        </w:tc>
        <w:tc>
          <w:tcPr>
            <w:tcW w:w="1123" w:type="dxa"/>
            <w:shd w:val="clear" w:color="auto" w:fill="FFFFFF"/>
          </w:tcPr>
          <w:p w14:paraId="337EC857" w14:textId="77777777" w:rsidR="0055129B" w:rsidRPr="00405303" w:rsidRDefault="0055129B" w:rsidP="00BD0BCB">
            <w:pPr>
              <w:pStyle w:val="30"/>
              <w:shd w:val="clear" w:color="auto" w:fill="auto"/>
              <w:spacing w:line="240" w:lineRule="auto"/>
              <w:jc w:val="both"/>
              <w:rPr>
                <w:bCs/>
                <w:color w:val="002060"/>
                <w:sz w:val="16"/>
                <w:szCs w:val="16"/>
              </w:rPr>
            </w:pPr>
            <w:r w:rsidRPr="00405303">
              <w:rPr>
                <w:bCs/>
                <w:color w:val="002060"/>
                <w:sz w:val="16"/>
                <w:szCs w:val="16"/>
              </w:rPr>
              <w:t>200</w:t>
            </w:r>
          </w:p>
        </w:tc>
      </w:tr>
      <w:tr w:rsidR="0055129B" w:rsidRPr="00405303" w14:paraId="449391F6" w14:textId="77777777" w:rsidTr="00BD0BCB">
        <w:trPr>
          <w:trHeight w:val="206"/>
        </w:trPr>
        <w:tc>
          <w:tcPr>
            <w:tcW w:w="2496" w:type="dxa"/>
            <w:shd w:val="clear" w:color="auto" w:fill="FFFFFF"/>
          </w:tcPr>
          <w:p w14:paraId="0C41FC64" w14:textId="77777777" w:rsidR="0055129B" w:rsidRPr="00405303" w:rsidRDefault="0055129B" w:rsidP="00BD0BCB">
            <w:pPr>
              <w:pStyle w:val="30"/>
              <w:shd w:val="clear" w:color="auto" w:fill="auto"/>
              <w:tabs>
                <w:tab w:val="left" w:leader="dot" w:pos="2411"/>
              </w:tabs>
              <w:spacing w:line="240" w:lineRule="auto"/>
              <w:jc w:val="both"/>
              <w:rPr>
                <w:bCs/>
                <w:color w:val="002060"/>
                <w:sz w:val="16"/>
                <w:szCs w:val="16"/>
              </w:rPr>
            </w:pPr>
            <w:r w:rsidRPr="00405303">
              <w:rPr>
                <w:bCs/>
                <w:color w:val="002060"/>
                <w:sz w:val="16"/>
                <w:szCs w:val="16"/>
              </w:rPr>
              <w:t xml:space="preserve">Большой разведчик </w:t>
            </w:r>
            <w:r w:rsidRPr="00405303">
              <w:rPr>
                <w:bCs/>
                <w:color w:val="002060"/>
                <w:sz w:val="16"/>
                <w:szCs w:val="16"/>
              </w:rPr>
              <w:tab/>
            </w:r>
          </w:p>
        </w:tc>
        <w:tc>
          <w:tcPr>
            <w:tcW w:w="1330" w:type="dxa"/>
            <w:shd w:val="clear" w:color="auto" w:fill="FFFFFF"/>
          </w:tcPr>
          <w:p w14:paraId="5A7C392E" w14:textId="77777777" w:rsidR="0055129B" w:rsidRPr="00405303" w:rsidRDefault="0055129B" w:rsidP="00BD0BCB">
            <w:pPr>
              <w:pStyle w:val="30"/>
              <w:shd w:val="clear" w:color="auto" w:fill="auto"/>
              <w:spacing w:line="240" w:lineRule="auto"/>
              <w:jc w:val="both"/>
              <w:rPr>
                <w:bCs/>
                <w:color w:val="002060"/>
                <w:sz w:val="16"/>
                <w:szCs w:val="16"/>
              </w:rPr>
            </w:pPr>
            <w:r w:rsidRPr="00405303">
              <w:rPr>
                <w:bCs/>
                <w:color w:val="002060"/>
                <w:sz w:val="16"/>
                <w:szCs w:val="16"/>
              </w:rPr>
              <w:t>200-220</w:t>
            </w:r>
          </w:p>
        </w:tc>
        <w:tc>
          <w:tcPr>
            <w:tcW w:w="931" w:type="dxa"/>
            <w:shd w:val="clear" w:color="auto" w:fill="FFFFFF"/>
          </w:tcPr>
          <w:p w14:paraId="6AAA8408" w14:textId="77777777" w:rsidR="0055129B" w:rsidRPr="00405303" w:rsidRDefault="0055129B" w:rsidP="00BD0BCB">
            <w:pPr>
              <w:pStyle w:val="30"/>
              <w:shd w:val="clear" w:color="auto" w:fill="auto"/>
              <w:spacing w:line="240" w:lineRule="auto"/>
              <w:jc w:val="both"/>
              <w:rPr>
                <w:bCs/>
                <w:color w:val="002060"/>
                <w:sz w:val="16"/>
                <w:szCs w:val="16"/>
              </w:rPr>
            </w:pPr>
            <w:r w:rsidRPr="00405303">
              <w:rPr>
                <w:bCs/>
                <w:color w:val="002060"/>
                <w:sz w:val="16"/>
                <w:szCs w:val="16"/>
              </w:rPr>
              <w:t>150</w:t>
            </w:r>
          </w:p>
        </w:tc>
        <w:tc>
          <w:tcPr>
            <w:tcW w:w="1349" w:type="dxa"/>
            <w:shd w:val="clear" w:color="auto" w:fill="FFFFFF"/>
          </w:tcPr>
          <w:p w14:paraId="2A981D72" w14:textId="77777777" w:rsidR="0055129B" w:rsidRPr="00405303" w:rsidRDefault="0055129B" w:rsidP="00BD0BCB">
            <w:pPr>
              <w:pStyle w:val="30"/>
              <w:shd w:val="clear" w:color="auto" w:fill="auto"/>
              <w:spacing w:line="240" w:lineRule="auto"/>
              <w:jc w:val="both"/>
              <w:rPr>
                <w:bCs/>
                <w:color w:val="002060"/>
                <w:sz w:val="16"/>
                <w:szCs w:val="16"/>
              </w:rPr>
            </w:pPr>
            <w:r w:rsidRPr="00405303">
              <w:rPr>
                <w:bCs/>
                <w:color w:val="002060"/>
                <w:sz w:val="16"/>
                <w:szCs w:val="16"/>
              </w:rPr>
              <w:t>750</w:t>
            </w:r>
          </w:p>
        </w:tc>
        <w:tc>
          <w:tcPr>
            <w:tcW w:w="1123" w:type="dxa"/>
            <w:shd w:val="clear" w:color="auto" w:fill="FFFFFF"/>
          </w:tcPr>
          <w:p w14:paraId="28AE5F87" w14:textId="77777777" w:rsidR="0055129B" w:rsidRPr="00405303" w:rsidRDefault="0055129B" w:rsidP="00BD0BCB">
            <w:pPr>
              <w:pStyle w:val="30"/>
              <w:shd w:val="clear" w:color="auto" w:fill="auto"/>
              <w:spacing w:line="240" w:lineRule="auto"/>
              <w:jc w:val="both"/>
              <w:rPr>
                <w:bCs/>
                <w:color w:val="002060"/>
                <w:sz w:val="16"/>
                <w:szCs w:val="16"/>
              </w:rPr>
            </w:pPr>
            <w:r w:rsidRPr="00405303">
              <w:rPr>
                <w:bCs/>
                <w:color w:val="002060"/>
                <w:sz w:val="16"/>
                <w:szCs w:val="16"/>
              </w:rPr>
              <w:t>300</w:t>
            </w:r>
          </w:p>
        </w:tc>
      </w:tr>
      <w:tr w:rsidR="0055129B" w:rsidRPr="00405303" w14:paraId="553FD185" w14:textId="77777777" w:rsidTr="00BD0BCB">
        <w:trPr>
          <w:trHeight w:val="206"/>
        </w:trPr>
        <w:tc>
          <w:tcPr>
            <w:tcW w:w="2496" w:type="dxa"/>
            <w:shd w:val="clear" w:color="auto" w:fill="FFFFFF"/>
          </w:tcPr>
          <w:p w14:paraId="6C5374FD" w14:textId="77777777" w:rsidR="0055129B" w:rsidRPr="00405303" w:rsidRDefault="0055129B" w:rsidP="00BD0BCB">
            <w:pPr>
              <w:pStyle w:val="30"/>
              <w:shd w:val="clear" w:color="auto" w:fill="auto"/>
              <w:tabs>
                <w:tab w:val="left" w:leader="dot" w:pos="2411"/>
              </w:tabs>
              <w:spacing w:line="240" w:lineRule="auto"/>
              <w:jc w:val="both"/>
              <w:rPr>
                <w:bCs/>
                <w:color w:val="002060"/>
                <w:sz w:val="16"/>
                <w:szCs w:val="16"/>
              </w:rPr>
            </w:pPr>
            <w:r w:rsidRPr="00405303">
              <w:rPr>
                <w:bCs/>
                <w:color w:val="002060"/>
                <w:sz w:val="16"/>
                <w:szCs w:val="16"/>
              </w:rPr>
              <w:t>Бомбометатель</w:t>
            </w:r>
            <w:r w:rsidRPr="00405303">
              <w:rPr>
                <w:bCs/>
                <w:color w:val="002060"/>
                <w:sz w:val="16"/>
                <w:szCs w:val="16"/>
              </w:rPr>
              <w:tab/>
            </w:r>
          </w:p>
        </w:tc>
        <w:tc>
          <w:tcPr>
            <w:tcW w:w="1330" w:type="dxa"/>
            <w:shd w:val="clear" w:color="auto" w:fill="FFFFFF"/>
          </w:tcPr>
          <w:p w14:paraId="58BBF9F5" w14:textId="77777777" w:rsidR="0055129B" w:rsidRPr="00405303" w:rsidRDefault="0055129B" w:rsidP="00BD0BCB">
            <w:pPr>
              <w:pStyle w:val="30"/>
              <w:shd w:val="clear" w:color="auto" w:fill="auto"/>
              <w:spacing w:line="240" w:lineRule="auto"/>
              <w:jc w:val="both"/>
              <w:rPr>
                <w:bCs/>
                <w:color w:val="002060"/>
                <w:sz w:val="16"/>
                <w:szCs w:val="16"/>
              </w:rPr>
            </w:pPr>
            <w:r w:rsidRPr="00405303">
              <w:rPr>
                <w:bCs/>
                <w:color w:val="002060"/>
                <w:sz w:val="16"/>
                <w:szCs w:val="16"/>
              </w:rPr>
              <w:t>300</w:t>
            </w:r>
          </w:p>
        </w:tc>
        <w:tc>
          <w:tcPr>
            <w:tcW w:w="931" w:type="dxa"/>
            <w:shd w:val="clear" w:color="auto" w:fill="FFFFFF"/>
          </w:tcPr>
          <w:p w14:paraId="3E710325" w14:textId="77777777" w:rsidR="0055129B" w:rsidRPr="00405303" w:rsidRDefault="0055129B" w:rsidP="00BD0BCB">
            <w:pPr>
              <w:pStyle w:val="30"/>
              <w:shd w:val="clear" w:color="auto" w:fill="auto"/>
              <w:spacing w:line="240" w:lineRule="auto"/>
              <w:jc w:val="both"/>
              <w:rPr>
                <w:bCs/>
                <w:color w:val="002060"/>
                <w:sz w:val="16"/>
                <w:szCs w:val="16"/>
              </w:rPr>
            </w:pPr>
            <w:r w:rsidRPr="00405303">
              <w:rPr>
                <w:bCs/>
                <w:color w:val="002060"/>
                <w:sz w:val="16"/>
                <w:szCs w:val="16"/>
              </w:rPr>
              <w:t>150</w:t>
            </w:r>
          </w:p>
        </w:tc>
        <w:tc>
          <w:tcPr>
            <w:tcW w:w="1349" w:type="dxa"/>
            <w:shd w:val="clear" w:color="auto" w:fill="FFFFFF"/>
          </w:tcPr>
          <w:p w14:paraId="109285CD" w14:textId="77777777" w:rsidR="0055129B" w:rsidRPr="00405303" w:rsidRDefault="0055129B" w:rsidP="00BD0BCB">
            <w:pPr>
              <w:pStyle w:val="30"/>
              <w:shd w:val="clear" w:color="auto" w:fill="auto"/>
              <w:spacing w:line="240" w:lineRule="auto"/>
              <w:jc w:val="both"/>
              <w:rPr>
                <w:bCs/>
                <w:color w:val="002060"/>
                <w:sz w:val="16"/>
                <w:szCs w:val="16"/>
              </w:rPr>
            </w:pPr>
            <w:r w:rsidRPr="00405303">
              <w:rPr>
                <w:bCs/>
                <w:color w:val="002060"/>
                <w:sz w:val="16"/>
                <w:szCs w:val="16"/>
              </w:rPr>
              <w:t>450; 1200</w:t>
            </w:r>
          </w:p>
        </w:tc>
        <w:tc>
          <w:tcPr>
            <w:tcW w:w="1123" w:type="dxa"/>
            <w:shd w:val="clear" w:color="auto" w:fill="FFFFFF"/>
          </w:tcPr>
          <w:p w14:paraId="6023B767" w14:textId="77777777" w:rsidR="0055129B" w:rsidRPr="00405303" w:rsidRDefault="0055129B" w:rsidP="00BD0BCB">
            <w:pPr>
              <w:pStyle w:val="30"/>
              <w:shd w:val="clear" w:color="auto" w:fill="auto"/>
              <w:spacing w:line="240" w:lineRule="auto"/>
              <w:jc w:val="both"/>
              <w:rPr>
                <w:bCs/>
                <w:color w:val="002060"/>
                <w:sz w:val="16"/>
                <w:szCs w:val="16"/>
              </w:rPr>
            </w:pPr>
            <w:r w:rsidRPr="00405303">
              <w:rPr>
                <w:bCs/>
                <w:color w:val="002060"/>
                <w:sz w:val="16"/>
                <w:szCs w:val="16"/>
              </w:rPr>
              <w:t>950; 500</w:t>
            </w:r>
          </w:p>
        </w:tc>
      </w:tr>
      <w:tr w:rsidR="0055129B" w:rsidRPr="00405303" w14:paraId="7625AE07" w14:textId="77777777" w:rsidTr="00BD0BCB">
        <w:trPr>
          <w:trHeight w:val="245"/>
        </w:trPr>
        <w:tc>
          <w:tcPr>
            <w:tcW w:w="2496" w:type="dxa"/>
            <w:shd w:val="clear" w:color="auto" w:fill="FFFFFF"/>
          </w:tcPr>
          <w:p w14:paraId="0C55B2C3" w14:textId="77777777" w:rsidR="0055129B" w:rsidRPr="00405303" w:rsidRDefault="0055129B" w:rsidP="00BD0BCB">
            <w:pPr>
              <w:pStyle w:val="30"/>
              <w:shd w:val="clear" w:color="auto" w:fill="auto"/>
              <w:tabs>
                <w:tab w:val="left" w:leader="dot" w:pos="2411"/>
              </w:tabs>
              <w:spacing w:line="240" w:lineRule="auto"/>
              <w:jc w:val="both"/>
              <w:rPr>
                <w:bCs/>
                <w:color w:val="002060"/>
                <w:sz w:val="16"/>
                <w:szCs w:val="16"/>
              </w:rPr>
            </w:pPr>
            <w:r w:rsidRPr="00405303">
              <w:rPr>
                <w:bCs/>
                <w:color w:val="002060"/>
                <w:sz w:val="16"/>
                <w:szCs w:val="16"/>
              </w:rPr>
              <w:t>Истребитель</w:t>
            </w:r>
            <w:r w:rsidRPr="00405303">
              <w:rPr>
                <w:bCs/>
                <w:color w:val="002060"/>
                <w:sz w:val="16"/>
                <w:szCs w:val="16"/>
              </w:rPr>
              <w:tab/>
            </w:r>
          </w:p>
        </w:tc>
        <w:tc>
          <w:tcPr>
            <w:tcW w:w="1330" w:type="dxa"/>
            <w:shd w:val="clear" w:color="auto" w:fill="FFFFFF"/>
          </w:tcPr>
          <w:p w14:paraId="4EB79557" w14:textId="77777777" w:rsidR="0055129B" w:rsidRPr="00405303" w:rsidRDefault="0055129B" w:rsidP="00BD0BCB">
            <w:pPr>
              <w:pStyle w:val="30"/>
              <w:shd w:val="clear" w:color="auto" w:fill="auto"/>
              <w:spacing w:line="240" w:lineRule="auto"/>
              <w:jc w:val="both"/>
              <w:rPr>
                <w:bCs/>
                <w:color w:val="002060"/>
                <w:sz w:val="16"/>
                <w:szCs w:val="16"/>
              </w:rPr>
            </w:pPr>
            <w:r w:rsidRPr="00405303">
              <w:rPr>
                <w:bCs/>
                <w:color w:val="002060"/>
                <w:sz w:val="16"/>
                <w:szCs w:val="16"/>
              </w:rPr>
              <w:t>300</w:t>
            </w:r>
          </w:p>
        </w:tc>
        <w:tc>
          <w:tcPr>
            <w:tcW w:w="931" w:type="dxa"/>
            <w:shd w:val="clear" w:color="auto" w:fill="FFFFFF"/>
          </w:tcPr>
          <w:p w14:paraId="73E914C7" w14:textId="77777777" w:rsidR="0055129B" w:rsidRPr="00405303" w:rsidRDefault="0055129B" w:rsidP="00BD0BCB">
            <w:pPr>
              <w:pStyle w:val="30"/>
              <w:shd w:val="clear" w:color="auto" w:fill="auto"/>
              <w:spacing w:line="240" w:lineRule="auto"/>
              <w:jc w:val="both"/>
              <w:rPr>
                <w:bCs/>
                <w:color w:val="002060"/>
                <w:sz w:val="16"/>
                <w:szCs w:val="16"/>
              </w:rPr>
            </w:pPr>
            <w:r w:rsidRPr="00405303">
              <w:rPr>
                <w:bCs/>
                <w:color w:val="002060"/>
                <w:sz w:val="16"/>
                <w:szCs w:val="16"/>
              </w:rPr>
              <w:t>180</w:t>
            </w:r>
          </w:p>
        </w:tc>
        <w:tc>
          <w:tcPr>
            <w:tcW w:w="1349" w:type="dxa"/>
            <w:shd w:val="clear" w:color="auto" w:fill="FFFFFF"/>
          </w:tcPr>
          <w:p w14:paraId="4FCEFEE4" w14:textId="77777777" w:rsidR="0055129B" w:rsidRPr="00405303" w:rsidRDefault="0055129B" w:rsidP="00BD0BCB">
            <w:pPr>
              <w:pStyle w:val="30"/>
              <w:shd w:val="clear" w:color="auto" w:fill="auto"/>
              <w:spacing w:line="240" w:lineRule="auto"/>
              <w:jc w:val="both"/>
              <w:rPr>
                <w:bCs/>
                <w:color w:val="002060"/>
                <w:sz w:val="16"/>
                <w:szCs w:val="16"/>
              </w:rPr>
            </w:pPr>
            <w:r w:rsidRPr="00405303">
              <w:rPr>
                <w:bCs/>
                <w:color w:val="002060"/>
                <w:sz w:val="16"/>
                <w:szCs w:val="16"/>
              </w:rPr>
              <w:t>540</w:t>
            </w:r>
          </w:p>
        </w:tc>
        <w:tc>
          <w:tcPr>
            <w:tcW w:w="1123" w:type="dxa"/>
            <w:shd w:val="clear" w:color="auto" w:fill="FFFFFF"/>
          </w:tcPr>
          <w:p w14:paraId="5315608C" w14:textId="77777777" w:rsidR="0055129B" w:rsidRPr="00405303" w:rsidRDefault="0055129B" w:rsidP="00BD0BCB">
            <w:pPr>
              <w:pStyle w:val="30"/>
              <w:shd w:val="clear" w:color="auto" w:fill="auto"/>
              <w:spacing w:line="240" w:lineRule="auto"/>
              <w:jc w:val="both"/>
              <w:rPr>
                <w:bCs/>
                <w:color w:val="002060"/>
                <w:sz w:val="16"/>
                <w:szCs w:val="16"/>
              </w:rPr>
            </w:pPr>
            <w:r w:rsidRPr="00405303">
              <w:rPr>
                <w:bCs/>
                <w:color w:val="002060"/>
                <w:sz w:val="16"/>
                <w:szCs w:val="16"/>
              </w:rPr>
              <w:t>500</w:t>
            </w:r>
          </w:p>
        </w:tc>
      </w:tr>
    </w:tbl>
    <w:p w14:paraId="1E923436" w14:textId="77777777" w:rsidR="0055129B" w:rsidRPr="00405303" w:rsidRDefault="0055129B" w:rsidP="0055129B">
      <w:pPr>
        <w:pStyle w:val="16"/>
        <w:shd w:val="clear" w:color="auto" w:fill="auto"/>
        <w:spacing w:before="0" w:line="240" w:lineRule="auto"/>
        <w:ind w:firstLine="0"/>
        <w:jc w:val="both"/>
        <w:rPr>
          <w:bCs/>
          <w:color w:val="002060"/>
          <w:sz w:val="16"/>
          <w:szCs w:val="16"/>
        </w:rPr>
      </w:pPr>
      <w:r w:rsidRPr="00405303">
        <w:rPr>
          <w:bCs/>
          <w:color w:val="002060"/>
          <w:sz w:val="16"/>
          <w:szCs w:val="16"/>
        </w:rPr>
        <w:t>В то время самолет-истребитель еще не устоялся как легкий маневренный тип, и Ботезат рассматривал его как тяжелый многоместный аппарат с мощ</w:t>
      </w:r>
      <w:r w:rsidRPr="00405303">
        <w:rPr>
          <w:bCs/>
          <w:color w:val="002060"/>
          <w:sz w:val="16"/>
          <w:szCs w:val="16"/>
        </w:rPr>
        <w:softHyphen/>
        <w:t>ным вооружением на борту (15740).</w:t>
      </w:r>
    </w:p>
    <w:p w14:paraId="69E9C438" w14:textId="77777777" w:rsidR="0055129B" w:rsidRPr="00405303" w:rsidRDefault="0055129B" w:rsidP="0055129B">
      <w:pPr>
        <w:pStyle w:val="16"/>
        <w:shd w:val="clear" w:color="auto" w:fill="auto"/>
        <w:spacing w:before="0" w:line="240" w:lineRule="auto"/>
        <w:ind w:firstLine="0"/>
        <w:jc w:val="both"/>
        <w:rPr>
          <w:bCs/>
          <w:color w:val="002060"/>
          <w:sz w:val="16"/>
          <w:szCs w:val="16"/>
        </w:rPr>
      </w:pPr>
    </w:p>
    <w:p w14:paraId="57C7B86A" w14:textId="77777777" w:rsidR="00244A34" w:rsidRPr="00405303" w:rsidRDefault="00244A34" w:rsidP="00C15251">
      <w:pPr>
        <w:pStyle w:val="2"/>
        <w:spacing w:before="0" w:after="0"/>
        <w:jc w:val="both"/>
        <w:rPr>
          <w:b w:val="0"/>
          <w:bCs/>
          <w:color w:val="002060"/>
          <w:sz w:val="16"/>
          <w:szCs w:val="16"/>
        </w:rPr>
      </w:pPr>
      <w:r w:rsidRPr="00405303">
        <w:rPr>
          <w:b w:val="0"/>
          <w:bCs/>
          <w:color w:val="002060"/>
          <w:sz w:val="16"/>
          <w:szCs w:val="16"/>
        </w:rPr>
        <w:t>В сентябре 1915-г. Дукс подписал новый контракт № 20345 на поставку 100 «Вуазенов» LAS по 13.500 руб. и 100 комплектов запчастей по 6.092 руб., 25 дополнительных комплектов к ним по 21.677 руб. 60 коп., 200 «Моранов-парасолей» по 9.000 руб. (без винтов и моторов), 200 комплектов запчастей по ? руб. и 26 дополнительных комплектов по 1323 руб. Общая сумма контракта превышала 4 млн. руб. Этот контракт выполнялся в течение 12 месяцев и был закрыт 7 октября 1916 г. Комиссия по приемке, куда входили, главным образом, военнослужащие Офицерской Воздухоплавательной школы, выявила ряд недостатков и упущений, общая сумма неустойки составила 165.802 руб. 17 коп. Администрация «Дукса» сразу же направила в ГВТУ ходатайство о снижении неустойки, подписанное директором правления АО «Дукс» В.В.Ротом (15464).</w:t>
      </w:r>
    </w:p>
    <w:p w14:paraId="23FA92DA" w14:textId="77777777" w:rsidR="00244A34" w:rsidRPr="00405303" w:rsidRDefault="00244A34" w:rsidP="00C15251">
      <w:pPr>
        <w:pStyle w:val="2"/>
        <w:spacing w:before="0" w:after="0"/>
        <w:jc w:val="both"/>
        <w:rPr>
          <w:b w:val="0"/>
          <w:bCs/>
          <w:color w:val="002060"/>
          <w:sz w:val="16"/>
          <w:szCs w:val="16"/>
        </w:rPr>
      </w:pPr>
    </w:p>
    <w:p w14:paraId="5B26341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сентябре 1915 г. подписали контракт с “Дукс” № 20345 на по</w:t>
      </w:r>
      <w:r w:rsidRPr="00405303">
        <w:rPr>
          <w:bCs/>
          <w:color w:val="002060"/>
          <w:sz w:val="16"/>
          <w:szCs w:val="16"/>
        </w:rPr>
        <w:softHyphen/>
        <w:t>ставку 100 «Вуазенов» 1А8 по 13.500 руб. и 100 комплек</w:t>
      </w:r>
      <w:r w:rsidRPr="00405303">
        <w:rPr>
          <w:bCs/>
          <w:color w:val="002060"/>
          <w:sz w:val="16"/>
          <w:szCs w:val="16"/>
        </w:rPr>
        <w:softHyphen/>
        <w:t>тов запчастей по 6.692 руб., 25 дополнительных комплек</w:t>
      </w:r>
      <w:r w:rsidRPr="00405303">
        <w:rPr>
          <w:bCs/>
          <w:color w:val="002060"/>
          <w:sz w:val="16"/>
          <w:szCs w:val="16"/>
        </w:rPr>
        <w:softHyphen/>
        <w:t>тов к ним по 21.677 руб. 60 коп. Общая сумма контракта (с учетом заказа на 200 «Моранов») превышала 4 млн. руб. Контракт выполняли в течение года и закрыли 7 октя</w:t>
      </w:r>
      <w:r w:rsidRPr="00405303">
        <w:rPr>
          <w:bCs/>
          <w:color w:val="002060"/>
          <w:sz w:val="16"/>
          <w:szCs w:val="16"/>
        </w:rPr>
        <w:softHyphen/>
        <w:t>бря 1916 г. При приемке выявили ряд недостатков и упу</w:t>
      </w:r>
      <w:r w:rsidRPr="00405303">
        <w:rPr>
          <w:bCs/>
          <w:color w:val="002060"/>
          <w:sz w:val="16"/>
          <w:szCs w:val="16"/>
        </w:rPr>
        <w:softHyphen/>
        <w:t xml:space="preserve">щений, общая сумма неустойки составила 165.802 руб. Основной проблемой, препятствовашей </w:t>
      </w:r>
      <w:r w:rsidRPr="00405303">
        <w:rPr>
          <w:bCs/>
          <w:color w:val="002060"/>
          <w:sz w:val="16"/>
          <w:szCs w:val="16"/>
        </w:rPr>
        <w:lastRenderedPageBreak/>
        <w:t>ритмичному вы</w:t>
      </w:r>
      <w:r w:rsidRPr="00405303">
        <w:rPr>
          <w:bCs/>
          <w:color w:val="002060"/>
          <w:sz w:val="16"/>
          <w:szCs w:val="16"/>
        </w:rPr>
        <w:softHyphen/>
        <w:t>пуску самолетов, являлся «моторный голод». Всего в Рос</w:t>
      </w:r>
      <w:r w:rsidRPr="00405303">
        <w:rPr>
          <w:bCs/>
          <w:color w:val="002060"/>
          <w:sz w:val="16"/>
          <w:szCs w:val="16"/>
        </w:rPr>
        <w:softHyphen/>
        <w:t>сии за годы войны построили, преимущественно на «Дук</w:t>
      </w:r>
      <w:r w:rsidRPr="00405303">
        <w:rPr>
          <w:bCs/>
          <w:color w:val="002060"/>
          <w:sz w:val="16"/>
          <w:szCs w:val="16"/>
        </w:rPr>
        <w:softHyphen/>
        <w:t>се», около 400 «Вуазенов» различных типов (9651).</w:t>
      </w:r>
    </w:p>
    <w:p w14:paraId="63A8F8BF" w14:textId="77777777" w:rsidR="004B4E35" w:rsidRPr="00405303" w:rsidRDefault="004B4E35" w:rsidP="00C15251">
      <w:pPr>
        <w:shd w:val="clear" w:color="auto" w:fill="FFFFFF"/>
        <w:jc w:val="both"/>
        <w:rPr>
          <w:bCs/>
          <w:color w:val="002060"/>
          <w:sz w:val="16"/>
          <w:szCs w:val="16"/>
        </w:rPr>
      </w:pPr>
    </w:p>
    <w:p w14:paraId="645B9F89" w14:textId="19CBBBE8" w:rsidR="004B4E35" w:rsidRPr="00405303" w:rsidRDefault="0040064B"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сентябре 1915 г. </w:t>
      </w:r>
      <w:r w:rsidRPr="00405303">
        <w:rPr>
          <w:bCs/>
          <w:color w:val="002060"/>
          <w:sz w:val="16"/>
          <w:szCs w:val="16"/>
        </w:rPr>
        <w:t xml:space="preserve">Воздухоплавательное отделение АО РБВЗ, переименованное в мае 1915 г. в Русско-Балтийский воздухоплавательный завод (часто его сокращенно называли «АвиаБалт» ) , приступило </w:t>
      </w:r>
      <w:r w:rsidR="009E6F82" w:rsidRPr="00405303">
        <w:rPr>
          <w:bCs/>
          <w:color w:val="002060"/>
          <w:sz w:val="16"/>
          <w:szCs w:val="16"/>
        </w:rPr>
        <w:t>к подготовке производства (по заводскому обозначению, заказа Nо. 213) . Однако не все пошло гладко. Только к концу месяца летчиками ЭВК были подготовлены замечания к первым опытным С-16, и И. И. Сикорский смог приступить к устранению отмеченных недостатков в конструкции серийных аппаратов, получивших обозначение С-16сер. Им были присвоены заводские номера с 201 по 215. Вместе с опытными С-16 Nо. 154,155 и 156 они должны были составить «контрактные» 18 машин. В конструкцию серийных самолетов И. И. Сикорский внес ряд небольших изменений по сравнению с опытными. Была изменена форма хвостового оперения. Другой стала площадь крыльев и т.д. коробка крыльев С-16сер. имела плоскости разных размеров, подобно опытному С-16 Nо. 156. С большими проблемами столкнулось производство Авиа-Балта в связи со срывом поставок полуфабрикатов и комплектующих изделий (стальных и латунных труб, листовой стали, колес, болтов и т. п,) , многие из которых доставлялись из-за границы, в основном из Швеции, В связи с этим Сикорскому и его помощникам пришлось срочно переконструировать часть деталей и даже наладить на заводе выпуск стальных труб. Из-за вносимых изменений вес серийных самолетов С-16сер. получился различным и колебался от 415,6 до 423,2 кг. Директор Авиа-Балта М. Ф. Климыссеев предпринял все меры для ускорения работ по постройке серии С-16сер., благо, осенью 1915 г. появилось временное технологическое окно в производстве воздушных кораблей «Илья Муромец</w:t>
      </w:r>
      <w:proofErr w:type="gramStart"/>
      <w:r w:rsidR="009E6F82" w:rsidRPr="00405303">
        <w:rPr>
          <w:bCs/>
          <w:color w:val="002060"/>
          <w:sz w:val="16"/>
          <w:szCs w:val="16"/>
        </w:rPr>
        <w:t>» .</w:t>
      </w:r>
      <w:proofErr w:type="gramEnd"/>
      <w:r w:rsidR="009E6F82" w:rsidRPr="00405303">
        <w:rPr>
          <w:bCs/>
          <w:color w:val="002060"/>
          <w:sz w:val="16"/>
          <w:szCs w:val="16"/>
        </w:rPr>
        <w:t xml:space="preserve"> Все свободные рабочие были переведены на сборку легких самолетов, трудились сверхурочно, в выходные и в праздничные дни. Однако повторявшиеся одна за другой забастовки свели на нет все эти усилия. К концу ноября стало очевидным, что к сроку удастся закончить от силы лишь четыре (Ко. 206- 209) из заказанных пятнадцати самолетов. Пришлось просить в ГВУ отсрочку, которая сопровождалась уплатой соответствующей неустойки. Только 4 января 1916 г. Авиа-Балт смог заявить о готовности представить к осмотру все 15 серийных самолетов С-16сер. Однако сдача их опять затянулась. Плохая погода прервала начатые 22 декабря 1915 г. прибывшим с фронта Г. И. Лавровым летно-сдаточные испытания самолетов. Во время одного из первых полетов на самолете Nо. 206 из-за сильных порывов ветра летчик не смог при посадке справиться с управлением. Самолет и двигатель были сильно повреждены и ремонтировались до марта1916 г. С отъездом Лаврова на фронт на заводе не осталось летчиков-сдатчиков. Ссылаясь на условия контракта (АО РБВЗ было обязано проводить сдаточные испытания с помощью заводских летчиков и за свой счет</w:t>
      </w:r>
      <w:proofErr w:type="gramStart"/>
      <w:r w:rsidR="009E6F82" w:rsidRPr="00405303">
        <w:rPr>
          <w:bCs/>
          <w:color w:val="002060"/>
          <w:sz w:val="16"/>
          <w:szCs w:val="16"/>
        </w:rPr>
        <w:t>) ,</w:t>
      </w:r>
      <w:proofErr w:type="gramEnd"/>
      <w:r w:rsidR="009E6F82" w:rsidRPr="00405303">
        <w:rPr>
          <w:bCs/>
          <w:color w:val="002060"/>
          <w:sz w:val="16"/>
          <w:szCs w:val="16"/>
        </w:rPr>
        <w:t xml:space="preserve"> ГВУ отказывалось предоставить своих летчиков. Несвоевременно поступали из ГВУ на завод и двигатели «Гном</w:t>
      </w:r>
      <w:proofErr w:type="gramStart"/>
      <w:r w:rsidR="009E6F82" w:rsidRPr="00405303">
        <w:rPr>
          <w:bCs/>
          <w:color w:val="002060"/>
          <w:sz w:val="16"/>
          <w:szCs w:val="16"/>
        </w:rPr>
        <w:t>» .</w:t>
      </w:r>
      <w:proofErr w:type="gramEnd"/>
      <w:r w:rsidR="009E6F82" w:rsidRPr="00405303">
        <w:rPr>
          <w:bCs/>
          <w:color w:val="002060"/>
          <w:sz w:val="16"/>
          <w:szCs w:val="16"/>
        </w:rPr>
        <w:t xml:space="preserve"> Кроме того, задержка поставок в армию С-16сер. способствовала и изменению взглядов на применение этих машин. В истории С-16 произошло важное событие -- расширилось назначение этого самолета. Если в середине 1915 г. «Сикорский маленький» , как иногда называли С-16 в войсках, предполагалось использовать в ЭВК в основном для тренировок летчиков воздушных кораблей, а также в качестве «разведчиков при намечаемых налетах Эскадры на определенные пункты» , то к концу этого года наметилось применение их в качестве истребителей на боевых базах для защиты воздушных кораблей против налетов неприятельского воздушного флота» . По новым утвержденным штатам ЭВК в ее составе предполагалось иметь теперь помимо 12 учебных аппаратов школы Эскадры еще по 14 легких самолетов (4 истребителя, 4разведчика и 6тренировочных) в составе каждого боевого отряда, число которых увеличилось с двух до трех. Подобно большинству других скаутов, С-16 превращался в классический одноместный истребитель. Он стал, таким образом, первым истребителем отечественной конструкции. Изменение назначения самолета С-16 ознаменовалось разработкой для него стационарного бортового вооружения. Одним из главных пропагандистов создания истребительной авиации в российском воздушном флоте был лейтенант Г, И. Лавров. В 1915 г. он сделал ряд предложений по созданию авиационного вооружения и формированию отрядов истребителей. Осенью этого года им был разработан и построен в мастерских ЭВК образец первого в России синхронизатора или, как тогда называли, приспособления для автоматической стрельбы через винт (11188).</w:t>
      </w:r>
    </w:p>
    <w:p w14:paraId="2A04370B" w14:textId="77777777" w:rsidR="004B4E35" w:rsidRPr="00405303" w:rsidRDefault="004B4E35" w:rsidP="00C15251">
      <w:pPr>
        <w:jc w:val="both"/>
        <w:rPr>
          <w:bCs/>
          <w:color w:val="002060"/>
          <w:sz w:val="16"/>
          <w:szCs w:val="16"/>
        </w:rPr>
      </w:pPr>
    </w:p>
    <w:p w14:paraId="3F8B1477" w14:textId="77777777" w:rsidR="005002A9" w:rsidRPr="00B52707" w:rsidRDefault="005002A9" w:rsidP="005002A9">
      <w:pPr>
        <w:jc w:val="both"/>
        <w:rPr>
          <w:color w:val="0070C0"/>
          <w:sz w:val="16"/>
          <w:szCs w:val="16"/>
        </w:rPr>
      </w:pPr>
      <w:r w:rsidRPr="00B52707">
        <w:rPr>
          <w:color w:val="0070C0"/>
          <w:sz w:val="16"/>
          <w:szCs w:val="16"/>
        </w:rPr>
        <w:t>В сентябре 1915 г. Русско-Балтийский воздухопла</w:t>
      </w:r>
      <w:r w:rsidRPr="00B52707">
        <w:rPr>
          <w:color w:val="0070C0"/>
          <w:sz w:val="16"/>
          <w:szCs w:val="16"/>
        </w:rPr>
        <w:softHyphen/>
        <w:t>вательный завод (часто его сокращенно называли «Авиа-Балт»), приступило к подготовке производства 18 С-16 (по заводскому обозначению, заказа No. 213). Однако не все попью гладко. Только к концу месяца летчиками ЭВК были подготовлены замечания к первым опытным С-16, и 14. И. Сикорский смог присту</w:t>
      </w:r>
      <w:r w:rsidRPr="00B52707">
        <w:rPr>
          <w:color w:val="0070C0"/>
          <w:sz w:val="16"/>
          <w:szCs w:val="16"/>
        </w:rPr>
        <w:softHyphen/>
        <w:t>пить к устранению отмеченных недостатков в кон</w:t>
      </w:r>
      <w:r w:rsidRPr="00B52707">
        <w:rPr>
          <w:color w:val="0070C0"/>
          <w:sz w:val="16"/>
          <w:szCs w:val="16"/>
        </w:rPr>
        <w:softHyphen/>
        <w:t>струкции серийных аппаратов, получивших обозначе</w:t>
      </w:r>
      <w:r w:rsidRPr="00B52707">
        <w:rPr>
          <w:color w:val="0070C0"/>
          <w:sz w:val="16"/>
          <w:szCs w:val="16"/>
        </w:rPr>
        <w:softHyphen/>
        <w:t>ние С-16сер. Им были присвоены заводские номера с 201 по 215. Вместе с опытными С-16 No. 154,155 и 156 они должны были составить «контрактные» 18 машин.</w:t>
      </w:r>
    </w:p>
    <w:p w14:paraId="559CF205" w14:textId="77777777" w:rsidR="005002A9" w:rsidRPr="00B52707" w:rsidRDefault="005002A9" w:rsidP="005002A9">
      <w:pPr>
        <w:jc w:val="both"/>
        <w:rPr>
          <w:color w:val="0070C0"/>
          <w:sz w:val="16"/>
          <w:szCs w:val="16"/>
        </w:rPr>
      </w:pPr>
      <w:r w:rsidRPr="00B52707">
        <w:rPr>
          <w:color w:val="0070C0"/>
          <w:sz w:val="16"/>
          <w:szCs w:val="16"/>
        </w:rPr>
        <w:t>В конструкцию серийных самолетов И. И. Сикорский внес ряд небольших изменений по сравнению с опыт</w:t>
      </w:r>
      <w:r w:rsidRPr="00B52707">
        <w:rPr>
          <w:color w:val="0070C0"/>
          <w:sz w:val="16"/>
          <w:szCs w:val="16"/>
        </w:rPr>
        <w:softHyphen/>
        <w:t>ными. Была изменена форма хвостового оперения. Другой стала площадь крыльев и т.д. Коробка крыльев С-16сер. имела плоскости разных размеров, подобно опытному С-16 No. 156.</w:t>
      </w:r>
    </w:p>
    <w:p w14:paraId="00FD8D07" w14:textId="77777777" w:rsidR="005002A9" w:rsidRPr="00B52707" w:rsidRDefault="005002A9" w:rsidP="005002A9">
      <w:pPr>
        <w:jc w:val="both"/>
        <w:rPr>
          <w:color w:val="0070C0"/>
          <w:sz w:val="16"/>
          <w:szCs w:val="16"/>
        </w:rPr>
      </w:pPr>
      <w:r w:rsidRPr="00B52707">
        <w:rPr>
          <w:color w:val="0070C0"/>
          <w:sz w:val="16"/>
          <w:szCs w:val="16"/>
        </w:rPr>
        <w:t xml:space="preserve">С большими проблемами столкнулось производство Авиа-Балта в связи со срывом поставок полуфабрикатов и комплектующих изделий (стальных и латунных труб, </w:t>
      </w:r>
      <w:r w:rsidRPr="00B52707">
        <w:rPr>
          <w:smallCaps/>
          <w:color w:val="0070C0"/>
          <w:sz w:val="16"/>
          <w:szCs w:val="16"/>
        </w:rPr>
        <w:t>листовой</w:t>
      </w:r>
      <w:r w:rsidRPr="00B52707">
        <w:rPr>
          <w:color w:val="0070C0"/>
          <w:sz w:val="16"/>
          <w:szCs w:val="16"/>
        </w:rPr>
        <w:t xml:space="preserve"> стали, колес, болтов и т.п.), многие из которых доставлялись из-за границы, в основном из Швеции. В связи с этим Сикорскому и его помощникам пришлось срочно переконструировать часть деталей и даже нала</w:t>
      </w:r>
      <w:r w:rsidRPr="00B52707">
        <w:rPr>
          <w:color w:val="0070C0"/>
          <w:sz w:val="16"/>
          <w:szCs w:val="16"/>
        </w:rPr>
        <w:softHyphen/>
        <w:t>дить на заводе выпуск стальных труб. Из-за вносимых изменений вес серийных самолетов С-16сер. получился различным и колебался от 415,6 до 423,2 кг (25049).</w:t>
      </w:r>
    </w:p>
    <w:p w14:paraId="1A17E58A" w14:textId="77777777" w:rsidR="005002A9" w:rsidRPr="00B52707" w:rsidRDefault="005002A9" w:rsidP="005002A9">
      <w:pPr>
        <w:jc w:val="both"/>
        <w:rPr>
          <w:color w:val="0070C0"/>
          <w:sz w:val="16"/>
          <w:szCs w:val="16"/>
        </w:rPr>
      </w:pPr>
    </w:p>
    <w:p w14:paraId="7EC06687" w14:textId="314C889B" w:rsidR="004B4E35" w:rsidRPr="00405303" w:rsidRDefault="0040064B"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сентябре 1915 г.</w:t>
      </w:r>
      <w:r w:rsidRPr="00405303">
        <w:rPr>
          <w:bCs/>
          <w:color w:val="002060"/>
          <w:sz w:val="16"/>
          <w:szCs w:val="16"/>
        </w:rPr>
        <w:t xml:space="preserve">, согласно постановлению </w:t>
      </w:r>
      <w:proofErr w:type="gramStart"/>
      <w:r w:rsidRPr="00405303">
        <w:rPr>
          <w:bCs/>
          <w:color w:val="002060"/>
          <w:sz w:val="16"/>
          <w:szCs w:val="16"/>
        </w:rPr>
        <w:t>исполнительной комиссии</w:t>
      </w:r>
      <w:proofErr w:type="gramEnd"/>
      <w:r w:rsidRPr="00405303">
        <w:rPr>
          <w:bCs/>
          <w:color w:val="002060"/>
          <w:sz w:val="16"/>
          <w:szCs w:val="16"/>
        </w:rPr>
        <w:t xml:space="preserve"> </w:t>
      </w:r>
      <w:r w:rsidR="009E6F82" w:rsidRPr="00405303">
        <w:rPr>
          <w:bCs/>
          <w:color w:val="002060"/>
          <w:sz w:val="16"/>
          <w:szCs w:val="16"/>
        </w:rPr>
        <w:t>был заключен контракт с заводом РБВЗ на постройку небольшой серии истребителей РБВЗ-С-16 сер. Срок исполнения за</w:t>
      </w:r>
      <w:r w:rsidR="009E6F82" w:rsidRPr="00405303">
        <w:rPr>
          <w:bCs/>
          <w:color w:val="002060"/>
          <w:sz w:val="16"/>
          <w:szCs w:val="16"/>
        </w:rPr>
        <w:softHyphen/>
        <w:t>каза по первой серии самолетов был установлен 4 декабря 1915 г. (ЦГВИА, ф. 369, д. 72, оп. 8, лл. 18—22, 25; д. 54, лл. 4, 6.).</w:t>
      </w:r>
    </w:p>
    <w:p w14:paraId="362A387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После официальной приемки самолетов специальной комиссией серийные истребители РБВЗ были направлены в «Эскадру воздуш</w:t>
      </w:r>
      <w:r w:rsidRPr="00405303">
        <w:rPr>
          <w:bCs/>
          <w:color w:val="002060"/>
          <w:sz w:val="16"/>
          <w:szCs w:val="16"/>
        </w:rPr>
        <w:softHyphen/>
        <w:t>ных кораблей». В конце января и начале февраля 1916 г. с фронта в адрес высшего авиационного командования поступают многочис</w:t>
      </w:r>
      <w:r w:rsidRPr="00405303">
        <w:rPr>
          <w:bCs/>
          <w:color w:val="002060"/>
          <w:sz w:val="16"/>
          <w:szCs w:val="16"/>
        </w:rPr>
        <w:softHyphen/>
        <w:t>ленные телеграммы с просьбой заменить устаревшие самолеты и прислать «...аппараты С-16, являющиеся ныне наиболее быстроход</w:t>
      </w:r>
      <w:r w:rsidRPr="00405303">
        <w:rPr>
          <w:bCs/>
          <w:color w:val="002060"/>
          <w:sz w:val="16"/>
          <w:szCs w:val="16"/>
        </w:rPr>
        <w:softHyphen/>
        <w:t>ными», могущие «быть серьезной угрозой для аппаратов против</w:t>
      </w:r>
      <w:r w:rsidRPr="00405303">
        <w:rPr>
          <w:bCs/>
          <w:color w:val="002060"/>
          <w:sz w:val="16"/>
          <w:szCs w:val="16"/>
        </w:rPr>
        <w:softHyphen/>
        <w:t>ника» (ЦГВИА, ф. 2003, оп. 2, д. 623, лл. 38, 41). Начинается комплектование этими истребителями первых, созданных по инициативе русских летчиков Е. Н. Крутеня и И. А. Орлова, истребительных авиационных отрядов (например, 7-то истребительного авиационного отряда).</w:t>
      </w:r>
    </w:p>
    <w:p w14:paraId="0CC4E49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это время (зима 1915/16 г.) ни во Франции, ни в Англии, ни в Германии истребительных частей еще не было. Первые истреби</w:t>
      </w:r>
      <w:r w:rsidRPr="00405303">
        <w:rPr>
          <w:bCs/>
          <w:color w:val="002060"/>
          <w:sz w:val="16"/>
          <w:szCs w:val="16"/>
        </w:rPr>
        <w:softHyphen/>
        <w:t>тельные авиационные части за рубежом были сформированы только летом 1916 г (318).</w:t>
      </w:r>
    </w:p>
    <w:p w14:paraId="7882CAB3" w14:textId="77777777" w:rsidR="004B4E35" w:rsidRPr="00405303" w:rsidRDefault="004B4E35" w:rsidP="00C15251">
      <w:pPr>
        <w:shd w:val="clear" w:color="auto" w:fill="FFFFFF"/>
        <w:jc w:val="both"/>
        <w:rPr>
          <w:bCs/>
          <w:color w:val="002060"/>
          <w:sz w:val="16"/>
          <w:szCs w:val="16"/>
        </w:rPr>
      </w:pPr>
    </w:p>
    <w:p w14:paraId="4CA71E4D" w14:textId="2E205B4B" w:rsidR="004B4E35" w:rsidRPr="00405303" w:rsidRDefault="0040064B" w:rsidP="00C15251">
      <w:pPr>
        <w:shd w:val="clear" w:color="auto" w:fill="FFFFFF"/>
        <w:jc w:val="both"/>
        <w:rPr>
          <w:bCs/>
          <w:color w:val="002060"/>
          <w:sz w:val="16"/>
          <w:szCs w:val="16"/>
        </w:rPr>
      </w:pPr>
      <w:bookmarkStart w:id="255" w:name="_Hlk117782952"/>
      <w:r w:rsidRPr="00405303">
        <w:rPr>
          <w:bCs/>
          <w:color w:val="002060"/>
          <w:sz w:val="16"/>
          <w:szCs w:val="16"/>
        </w:rPr>
        <w:t>В</w:t>
      </w:r>
      <w:r w:rsidR="009E6F82" w:rsidRPr="00405303">
        <w:rPr>
          <w:bCs/>
          <w:color w:val="002060"/>
          <w:sz w:val="16"/>
          <w:szCs w:val="16"/>
        </w:rPr>
        <w:t xml:space="preserve"> сентябре 1915 г. </w:t>
      </w:r>
      <w:r w:rsidRPr="00405303">
        <w:rPr>
          <w:bCs/>
          <w:color w:val="002060"/>
          <w:sz w:val="16"/>
          <w:szCs w:val="16"/>
        </w:rPr>
        <w:t xml:space="preserve">был собран аэроплан "Альбатрос" тип А.2 М.Л. с заводским номером 218 </w:t>
      </w:r>
      <w:r w:rsidR="009E6F82" w:rsidRPr="00405303">
        <w:rPr>
          <w:bCs/>
          <w:color w:val="002060"/>
          <w:sz w:val="16"/>
          <w:szCs w:val="16"/>
        </w:rPr>
        <w:t>и тогда же испытан подпоручиком Карпюком, военным летчиком, прикомандированным к фирме. Затем, по словам того же начальства, поплавки заменили лыжами по причине нежданной зимы, но флотская приемная комиссия так и не собралась и тогда компания решила продать аппарат Военному ведомству. В ответ специалисты МГТТТ просмотрели все сводки погоды конца 1915 г. и пришли к выводу: приведенные выше ут</w:t>
      </w:r>
      <w:r w:rsidR="009E6F82" w:rsidRPr="00405303">
        <w:rPr>
          <w:bCs/>
          <w:color w:val="002060"/>
          <w:sz w:val="16"/>
          <w:szCs w:val="16"/>
        </w:rPr>
        <w:softHyphen/>
        <w:t>верждения о преждевременных холодах, помешавших опытам на воде, не соответствовали истине, а, значит, фирма нарушила установленные сроки работы и подлежала наказанию; на нее наложили штраф, а все разбирательства по делу продолжались до весны 1917 г. (2843).</w:t>
      </w:r>
    </w:p>
    <w:bookmarkEnd w:id="255"/>
    <w:p w14:paraId="424251C1" w14:textId="77777777" w:rsidR="004B4E35" w:rsidRPr="00405303" w:rsidRDefault="004B4E35" w:rsidP="00C15251">
      <w:pPr>
        <w:shd w:val="clear" w:color="auto" w:fill="FFFFFF"/>
        <w:jc w:val="both"/>
        <w:rPr>
          <w:bCs/>
          <w:color w:val="002060"/>
          <w:sz w:val="16"/>
          <w:szCs w:val="16"/>
        </w:rPr>
      </w:pPr>
    </w:p>
    <w:p w14:paraId="05473488" w14:textId="3CA6C2E2" w:rsidR="004B4E35" w:rsidRPr="00405303" w:rsidRDefault="0040064B" w:rsidP="00C15251">
      <w:pPr>
        <w:jc w:val="both"/>
        <w:rPr>
          <w:bCs/>
          <w:color w:val="002060"/>
          <w:sz w:val="16"/>
          <w:szCs w:val="16"/>
        </w:rPr>
      </w:pPr>
      <w:r w:rsidRPr="00405303">
        <w:rPr>
          <w:bCs/>
          <w:color w:val="002060"/>
          <w:sz w:val="16"/>
          <w:szCs w:val="16"/>
        </w:rPr>
        <w:t>С</w:t>
      </w:r>
      <w:r w:rsidR="009E6F82" w:rsidRPr="00405303">
        <w:rPr>
          <w:bCs/>
          <w:color w:val="002060"/>
          <w:sz w:val="16"/>
          <w:szCs w:val="16"/>
        </w:rPr>
        <w:t xml:space="preserve"> сентября 1915 г. </w:t>
      </w:r>
      <w:r w:rsidRPr="00405303">
        <w:rPr>
          <w:bCs/>
          <w:color w:val="002060"/>
          <w:sz w:val="16"/>
          <w:szCs w:val="16"/>
        </w:rPr>
        <w:t xml:space="preserve">по май 1917 </w:t>
      </w:r>
      <w:r w:rsidR="009E6F82" w:rsidRPr="00405303">
        <w:rPr>
          <w:bCs/>
          <w:color w:val="002060"/>
          <w:sz w:val="16"/>
          <w:szCs w:val="16"/>
        </w:rPr>
        <w:t>морское ведомство приняло от ПРТВ 61 М-11, из которых 26 пере</w:t>
      </w:r>
      <w:r w:rsidR="009E6F82" w:rsidRPr="00405303">
        <w:rPr>
          <w:bCs/>
          <w:color w:val="002060"/>
          <w:sz w:val="16"/>
          <w:szCs w:val="16"/>
        </w:rPr>
        <w:softHyphen/>
        <w:t>дали на Черноморский флот и в Бакинское отделение Петроградс</w:t>
      </w:r>
      <w:r w:rsidR="009E6F82" w:rsidRPr="00405303">
        <w:rPr>
          <w:bCs/>
          <w:color w:val="002060"/>
          <w:sz w:val="16"/>
          <w:szCs w:val="16"/>
        </w:rPr>
        <w:softHyphen/>
        <w:t>кой морской авиационной школы. Следует отметить, что черноморс</w:t>
      </w:r>
      <w:r w:rsidR="009E6F82" w:rsidRPr="00405303">
        <w:rPr>
          <w:bCs/>
          <w:color w:val="002060"/>
          <w:sz w:val="16"/>
          <w:szCs w:val="16"/>
        </w:rPr>
        <w:softHyphen/>
        <w:t>кий летчик П.П. Спасский, летавший на М-11, установил на педали нож</w:t>
      </w:r>
      <w:r w:rsidR="009E6F82" w:rsidRPr="00405303">
        <w:rPr>
          <w:bCs/>
          <w:color w:val="002060"/>
          <w:sz w:val="16"/>
          <w:szCs w:val="16"/>
        </w:rPr>
        <w:softHyphen/>
        <w:t>ного управления пружины, предвос</w:t>
      </w:r>
      <w:r w:rsidR="009E6F82" w:rsidRPr="00405303">
        <w:rPr>
          <w:bCs/>
          <w:color w:val="002060"/>
          <w:sz w:val="16"/>
          <w:szCs w:val="16"/>
        </w:rPr>
        <w:softHyphen/>
        <w:t>хитив тем самым устройства, изоб</w:t>
      </w:r>
      <w:r w:rsidR="009E6F82" w:rsidRPr="00405303">
        <w:rPr>
          <w:bCs/>
          <w:color w:val="002060"/>
          <w:sz w:val="16"/>
          <w:szCs w:val="16"/>
        </w:rPr>
        <w:softHyphen/>
        <w:t>ретенные позднее и известные как демпферы. Более высокими характеристи</w:t>
      </w:r>
      <w:r w:rsidR="009E6F82" w:rsidRPr="00405303">
        <w:rPr>
          <w:bCs/>
          <w:color w:val="002060"/>
          <w:sz w:val="16"/>
          <w:szCs w:val="16"/>
        </w:rPr>
        <w:softHyphen/>
        <w:t>ками обладал самолет «Ньюпор-17» - обычный сухопутный истребитель с двигателем «Рено» мощностью 110 л.с. Максимальная скорость его полета достигала 164 км/ч, по</w:t>
      </w:r>
      <w:r w:rsidR="009E6F82" w:rsidRPr="00405303">
        <w:rPr>
          <w:bCs/>
          <w:color w:val="002060"/>
          <w:sz w:val="16"/>
          <w:szCs w:val="16"/>
        </w:rPr>
        <w:softHyphen/>
        <w:t>толок 5300 м, продолжительность полета доходила до 2 ч. Часовой расход топлива на самолёте при полёте на скорости 100 км/ч со</w:t>
      </w:r>
      <w:r w:rsidR="009E6F82" w:rsidRPr="00405303">
        <w:rPr>
          <w:bCs/>
          <w:color w:val="002060"/>
          <w:sz w:val="16"/>
          <w:szCs w:val="16"/>
        </w:rPr>
        <w:softHyphen/>
        <w:t>ставлял 12 кг. Емкость топливного бака 60 кг. Самолет вооружался одним пулеметом, закрепленным над центропланом. Скользящее крепле</w:t>
      </w:r>
      <w:r w:rsidR="009E6F82" w:rsidRPr="00405303">
        <w:rPr>
          <w:bCs/>
          <w:color w:val="002060"/>
          <w:sz w:val="16"/>
          <w:szCs w:val="16"/>
        </w:rPr>
        <w:softHyphen/>
        <w:t>ние позволяло наклонять пулемёт и вести стрельбу вверх. Как вариант, на нескольких самолетах вооруже</w:t>
      </w:r>
      <w:r w:rsidR="009E6F82" w:rsidRPr="00405303">
        <w:rPr>
          <w:bCs/>
          <w:color w:val="002060"/>
          <w:sz w:val="16"/>
          <w:szCs w:val="16"/>
        </w:rPr>
        <w:softHyphen/>
        <w:t>ние состояло из двух пулеметов. К началу 1917 г. авиация Бал</w:t>
      </w:r>
      <w:r w:rsidR="009E6F82" w:rsidRPr="00405303">
        <w:rPr>
          <w:bCs/>
          <w:color w:val="002060"/>
          <w:sz w:val="16"/>
          <w:szCs w:val="16"/>
        </w:rPr>
        <w:softHyphen/>
        <w:t>тийского флота имела десять само</w:t>
      </w:r>
      <w:r w:rsidR="009E6F82" w:rsidRPr="00405303">
        <w:rPr>
          <w:bCs/>
          <w:color w:val="002060"/>
          <w:sz w:val="16"/>
          <w:szCs w:val="16"/>
        </w:rPr>
        <w:softHyphen/>
        <w:t>летов «Ньюпор-17», Черноморско</w:t>
      </w:r>
      <w:r w:rsidR="009E6F82" w:rsidRPr="00405303">
        <w:rPr>
          <w:bCs/>
          <w:color w:val="002060"/>
          <w:sz w:val="16"/>
          <w:szCs w:val="16"/>
        </w:rPr>
        <w:softHyphen/>
        <w:t>го флота - девять (11872).</w:t>
      </w:r>
    </w:p>
    <w:p w14:paraId="17B6E999" w14:textId="77777777" w:rsidR="004B4E35" w:rsidRPr="00405303" w:rsidRDefault="004B4E35" w:rsidP="00C15251">
      <w:pPr>
        <w:jc w:val="both"/>
        <w:rPr>
          <w:bCs/>
          <w:color w:val="002060"/>
          <w:sz w:val="16"/>
          <w:szCs w:val="16"/>
        </w:rPr>
      </w:pPr>
    </w:p>
    <w:p w14:paraId="5F2C6228" w14:textId="63004130" w:rsidR="004B4E35" w:rsidRPr="00405303" w:rsidRDefault="0040064B"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сентябре </w:t>
      </w:r>
      <w:r w:rsidRPr="00405303">
        <w:rPr>
          <w:bCs/>
          <w:color w:val="002060"/>
          <w:sz w:val="16"/>
          <w:szCs w:val="16"/>
        </w:rPr>
        <w:t>1915 г. ПРТВ</w:t>
      </w:r>
      <w:r w:rsidR="009E6F82" w:rsidRPr="00405303">
        <w:rPr>
          <w:bCs/>
          <w:color w:val="002060"/>
          <w:sz w:val="16"/>
          <w:szCs w:val="16"/>
        </w:rPr>
        <w:t xml:space="preserve"> намеревалась возвести новые просторные цеха для строительства тяжелых гидроаэ</w:t>
      </w:r>
      <w:r w:rsidR="009E6F82" w:rsidRPr="00405303">
        <w:rPr>
          <w:bCs/>
          <w:color w:val="002060"/>
          <w:sz w:val="16"/>
          <w:szCs w:val="16"/>
        </w:rPr>
        <w:softHyphen/>
        <w:t>ропланов типа М-8, над созданием которого работали. План не осуществился, тогда как в марте 1916г. С. С. Щетинин предложил открыть в течение полугода филиал в Ярославле, чья деятельность способ</w:t>
      </w:r>
      <w:r w:rsidR="009E6F82" w:rsidRPr="00405303">
        <w:rPr>
          <w:bCs/>
          <w:color w:val="002060"/>
          <w:sz w:val="16"/>
          <w:szCs w:val="16"/>
        </w:rPr>
        <w:softHyphen/>
        <w:t xml:space="preserve">ствовала бы подъему месячной производительности с 20 до 60 самолетов. Благодаря новой удаче ПРТВ — летающей лодке типа М-9, проект обрел своих сторонников и во </w:t>
      </w:r>
      <w:r w:rsidR="009E6F82" w:rsidRPr="00405303">
        <w:rPr>
          <w:bCs/>
          <w:color w:val="002060"/>
          <w:sz w:val="16"/>
          <w:szCs w:val="16"/>
        </w:rPr>
        <w:lastRenderedPageBreak/>
        <w:t>флотской среде, провинциальное отде</w:t>
      </w:r>
      <w:r w:rsidR="009E6F82" w:rsidRPr="00405303">
        <w:rPr>
          <w:bCs/>
          <w:color w:val="002060"/>
          <w:sz w:val="16"/>
          <w:szCs w:val="16"/>
        </w:rPr>
        <w:softHyphen/>
        <w:t>ление фирмы представлялось им в виде гиганта с несколькими тысячами работающих. Увы, предприятие не успели ввести в строй, и единственно, чем удалось обзавестись на просторах страны, хак это неболь</w:t>
      </w:r>
      <w:r w:rsidR="009E6F82" w:rsidRPr="00405303">
        <w:rPr>
          <w:bCs/>
          <w:color w:val="002060"/>
          <w:sz w:val="16"/>
          <w:szCs w:val="16"/>
        </w:rPr>
        <w:softHyphen/>
        <w:t>шой опытной станцией, учрежденной в Севастополе в сентябре-ноябре 1916г. для улучшения работы аналогичного заведения на Крестовском острове в столице. Создание крымской площадки являлось, без сомнения, необходимым, так как долгие балтийские зимы мешали заводским и сдаточным испытаниям гидропланов.</w:t>
      </w:r>
    </w:p>
    <w:p w14:paraId="44BE6EA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 важности мероприятия свидетельствовала посланная начальником Воздухоплавательного отде</w:t>
      </w:r>
      <w:r w:rsidRPr="00405303">
        <w:rPr>
          <w:bCs/>
          <w:color w:val="002060"/>
          <w:sz w:val="16"/>
          <w:szCs w:val="16"/>
        </w:rPr>
        <w:softHyphen/>
        <w:t>ления Морского генерального штаба (МГШ) телеграмма:</w:t>
      </w:r>
    </w:p>
    <w:p w14:paraId="58A6BEA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«23-го (сентября. —</w:t>
      </w:r>
      <w:r w:rsidRPr="00405303">
        <w:rPr>
          <w:bCs/>
          <w:i/>
          <w:color w:val="002060"/>
          <w:sz w:val="16"/>
          <w:szCs w:val="16"/>
        </w:rPr>
        <w:t xml:space="preserve">А. А.) </w:t>
      </w:r>
      <w:r w:rsidRPr="00405303">
        <w:rPr>
          <w:bCs/>
          <w:color w:val="002060"/>
          <w:sz w:val="16"/>
          <w:szCs w:val="16"/>
        </w:rPr>
        <w:t>курьерским выехал Севастополь директор авиационного за</w:t>
      </w:r>
      <w:r w:rsidRPr="00405303">
        <w:rPr>
          <w:bCs/>
          <w:color w:val="002060"/>
          <w:sz w:val="16"/>
          <w:szCs w:val="16"/>
        </w:rPr>
        <w:softHyphen/>
        <w:t>вода С. С. Щетинин имея целью открыть Севастополе испытательную станцию и отделение завода. Прошу об оказании Щетинину содействия».</w:t>
      </w:r>
    </w:p>
    <w:p w14:paraId="0FECCDE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путешествии владельца ПРТВ сопровождал один из ведущих сотрудников фирмы инженер А. Н. Седельников, но, скорее всего, столь представительная делегация была ненужной, так как на Черном море визит промышленника восприняли с пониманием. Там считали, что в случае учреждения в Сева</w:t>
      </w:r>
      <w:r w:rsidRPr="00405303">
        <w:rPr>
          <w:bCs/>
          <w:color w:val="002060"/>
          <w:sz w:val="16"/>
          <w:szCs w:val="16"/>
        </w:rPr>
        <w:softHyphen/>
        <w:t>стополе опытно-сдаточного филиала увеличится поступление так необходимых флоту аппаратов и появится непосредственная связь конструкторов с авиаторами, ведущая к учету местных особеннос</w:t>
      </w:r>
      <w:r w:rsidRPr="00405303">
        <w:rPr>
          <w:bCs/>
          <w:color w:val="002060"/>
          <w:sz w:val="16"/>
          <w:szCs w:val="16"/>
        </w:rPr>
        <w:softHyphen/>
        <w:t>тей: иных, чем на Балтике, характера морской волны и условий боевой работы летающих лодок, зачастую действовавших вдали от главной базы. Совместный опыт ПРТВ и Авиации Черноморского флота обрел бы действенное применение, а потому выделение компании 1-2 ангаров в Круглой бухте выглядело разумным шагом.</w:t>
      </w:r>
    </w:p>
    <w:p w14:paraId="0AA5055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Кроме станции в Круглой бухте, С. С. Щетинин надеялся основать в Севастополе сборочный цех, для чего просил о выделении участка земли общей площадью 82 тыс. 200 кв. м. Проект обсуждался, но к концу 1917г. владения ПРТВ выглядели следующим образом: контора, завод и испытательно-сбороч</w:t>
      </w:r>
      <w:r w:rsidRPr="00405303">
        <w:rPr>
          <w:bCs/>
          <w:color w:val="002060"/>
          <w:sz w:val="16"/>
          <w:szCs w:val="16"/>
        </w:rPr>
        <w:softHyphen/>
        <w:t>ное отделение, плюс испытательная станция в Петрограде (адреса, соответственно: Большая Гребецкая улица, дом 73, телеграфный код ГАМАЮН; Корпусная улица, дом 3; Комендантский аэродром; Крес</w:t>
      </w:r>
      <w:r w:rsidRPr="00405303">
        <w:rPr>
          <w:bCs/>
          <w:color w:val="002060"/>
          <w:sz w:val="16"/>
          <w:szCs w:val="16"/>
        </w:rPr>
        <w:softHyphen/>
        <w:t>товский остров) и еще одна сдаточно-испытательная станция в Севастополе (телеграфный адрес ГИДРОМЕГА).</w:t>
      </w:r>
    </w:p>
    <w:p w14:paraId="77C9D6C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Из сказанного очевидно, что Щетинин сумел изрядно расширить свои столичные владения. Шесто</w:t>
      </w:r>
      <w:r w:rsidRPr="00405303">
        <w:rPr>
          <w:bCs/>
          <w:color w:val="002060"/>
          <w:sz w:val="16"/>
          <w:szCs w:val="16"/>
        </w:rPr>
        <w:softHyphen/>
        <w:t>го июля 1916 г. он известил МГШ о ликвидации заказов Военного ведомства, следствием чего явилась посланная в Управление военно-воздушного флота просьба Воздухоплавательного отделения о перехо</w:t>
      </w:r>
      <w:r w:rsidRPr="00405303">
        <w:rPr>
          <w:bCs/>
          <w:color w:val="002060"/>
          <w:sz w:val="16"/>
          <w:szCs w:val="16"/>
        </w:rPr>
        <w:softHyphen/>
        <w:t>де ПРТВ на выполнение контрактов исключительно Морского министерства. Десятого октября лично Морской министр И. К. Григорович ходатайствовал перед командиром Петроградской крепости о пере</w:t>
      </w:r>
      <w:r w:rsidRPr="00405303">
        <w:rPr>
          <w:bCs/>
          <w:color w:val="002060"/>
          <w:sz w:val="16"/>
          <w:szCs w:val="16"/>
        </w:rPr>
        <w:softHyphen/>
        <w:t>даче участка площадью около 4 гектаров: обоснованием служил тот факт, что на Комендантском аэро</w:t>
      </w:r>
      <w:r w:rsidRPr="00405303">
        <w:rPr>
          <w:bCs/>
          <w:color w:val="002060"/>
          <w:sz w:val="16"/>
          <w:szCs w:val="16"/>
        </w:rPr>
        <w:softHyphen/>
        <w:t>дроме на арендуемой у Императорского всероссийского аэроклуба земле компания заканчивала возве</w:t>
      </w:r>
      <w:r w:rsidRPr="00405303">
        <w:rPr>
          <w:bCs/>
          <w:color w:val="002060"/>
          <w:sz w:val="16"/>
          <w:szCs w:val="16"/>
        </w:rPr>
        <w:softHyphen/>
        <w:t>дение нового завода и нуждалась в складе.</w:t>
      </w:r>
    </w:p>
    <w:p w14:paraId="154289A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Фабрикант имел все основания думать об увеличении производственных мощностей. В 1916 г. он получил заказы на 105 аппаратов типа М-5, 165 М-9, 75 М-11, 100 М-15, 50 М-16 и 10 ГАСН, а в следующем году общее число просимых у компании гидроаэропланов грозило достигнуть 1 тыс. 800-2 тыс. единиц. Однако при тогдашних условиях такой объем работ вряд ли мог быть исполнен, и в июле 1917г. месячный выпуск ПРТВ составлял около 40 аппаратов. По всей вероятности, Морское ведом</w:t>
      </w:r>
      <w:r w:rsidRPr="00405303">
        <w:rPr>
          <w:bCs/>
          <w:color w:val="002060"/>
          <w:sz w:val="16"/>
          <w:szCs w:val="16"/>
        </w:rPr>
        <w:softHyphen/>
        <w:t>ство и производитель возлагали все надежды на ярославльский филиал, которому предстояло также строить истребители «Спад» и многоцелевые бипланы типа «Ди-Эйч-Найн» («Де Хэвиллэнд-9»). Пер</w:t>
      </w:r>
      <w:r w:rsidRPr="00405303">
        <w:rPr>
          <w:bCs/>
          <w:color w:val="002060"/>
          <w:sz w:val="16"/>
          <w:szCs w:val="16"/>
        </w:rPr>
        <w:softHyphen/>
        <w:t>вую партию в 20-30 крылатых машин ожидали, по плану, в январе 1918г., но, как уже говорилось, вся программа обернулась всего лишь «воздушным замком», исчезнувшим вместе с налетевшими порывами злого холодного ветра (2807).</w:t>
      </w:r>
    </w:p>
    <w:p w14:paraId="34A6DBCD" w14:textId="77777777" w:rsidR="004B4E35" w:rsidRPr="00405303" w:rsidRDefault="004B4E35" w:rsidP="00C15251">
      <w:pPr>
        <w:shd w:val="clear" w:color="auto" w:fill="FFFFFF"/>
        <w:jc w:val="both"/>
        <w:rPr>
          <w:bCs/>
          <w:color w:val="002060"/>
          <w:sz w:val="16"/>
          <w:szCs w:val="16"/>
        </w:rPr>
      </w:pPr>
    </w:p>
    <w:p w14:paraId="004B1A0C" w14:textId="39DD5342" w:rsidR="004B4E35" w:rsidRPr="00405303" w:rsidRDefault="0040064B"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сентябре 1915 г. </w:t>
      </w:r>
      <w:r w:rsidRPr="00405303">
        <w:rPr>
          <w:bCs/>
          <w:color w:val="002060"/>
          <w:sz w:val="16"/>
          <w:szCs w:val="16"/>
        </w:rPr>
        <w:t>в прошлом выпускник Технологического института и Артиллерийской академии, Е.Р. Эн</w:t>
      </w:r>
      <w:r w:rsidRPr="00405303">
        <w:rPr>
          <w:bCs/>
          <w:color w:val="002060"/>
          <w:sz w:val="16"/>
          <w:szCs w:val="16"/>
        </w:rPr>
        <w:softHyphen/>
        <w:t>гельс,</w:t>
      </w:r>
      <w:r w:rsidR="009E6F82" w:rsidRPr="00405303">
        <w:rPr>
          <w:bCs/>
          <w:color w:val="002060"/>
          <w:sz w:val="16"/>
          <w:szCs w:val="16"/>
        </w:rPr>
        <w:t xml:space="preserve"> </w:t>
      </w:r>
      <w:r w:rsidRPr="00405303">
        <w:rPr>
          <w:bCs/>
          <w:color w:val="002060"/>
          <w:sz w:val="16"/>
          <w:szCs w:val="16"/>
        </w:rPr>
        <w:t xml:space="preserve">не успев закончить работу в Севастопольской военной авиационной школе над своим первым аэропланом </w:t>
      </w:r>
      <w:r w:rsidR="009E6F82" w:rsidRPr="00405303">
        <w:rPr>
          <w:bCs/>
          <w:color w:val="002060"/>
          <w:sz w:val="16"/>
          <w:szCs w:val="16"/>
        </w:rPr>
        <w:t>отбыл в столицу Империи, дабы стать учеником-летчиком Петроградской школы морских пилотов. Вместе с ней он проследовал в Баку и вскоре принял обязанности заведующего хозяйственной части, вел финансовую от</w:t>
      </w:r>
      <w:r w:rsidR="009E6F82" w:rsidRPr="00405303">
        <w:rPr>
          <w:bCs/>
          <w:color w:val="002060"/>
          <w:sz w:val="16"/>
          <w:szCs w:val="16"/>
        </w:rPr>
        <w:softHyphen/>
        <w:t>четность и руководил ремонтом аппаратов. По оценке начальства Энгельс все делал бле</w:t>
      </w:r>
      <w:r w:rsidR="009E6F82" w:rsidRPr="00405303">
        <w:rPr>
          <w:bCs/>
          <w:color w:val="002060"/>
          <w:sz w:val="16"/>
          <w:szCs w:val="16"/>
        </w:rPr>
        <w:softHyphen/>
        <w:t>стяще и в конце концов был переведен из переменного в постоянный состав учебного за</w:t>
      </w:r>
      <w:r w:rsidR="009E6F82" w:rsidRPr="00405303">
        <w:rPr>
          <w:bCs/>
          <w:color w:val="002060"/>
          <w:sz w:val="16"/>
          <w:szCs w:val="16"/>
        </w:rPr>
        <w:softHyphen/>
        <w:t>ведения. Научившись и полетам на гидроаэропланах, он стал инструктором. По всей види</w:t>
      </w:r>
      <w:r w:rsidR="009E6F82" w:rsidRPr="00405303">
        <w:rPr>
          <w:bCs/>
          <w:color w:val="002060"/>
          <w:sz w:val="16"/>
          <w:szCs w:val="16"/>
        </w:rPr>
        <w:softHyphen/>
        <w:t>мости, в начале 1916 г. гвардии штабс-капитан Е.Р. Энгельс решил сконструировать лета</w:t>
      </w:r>
      <w:r w:rsidR="009E6F82" w:rsidRPr="00405303">
        <w:rPr>
          <w:bCs/>
          <w:color w:val="002060"/>
          <w:sz w:val="16"/>
          <w:szCs w:val="16"/>
        </w:rPr>
        <w:softHyphen/>
        <w:t>ющую лодку-истребитель и летом того же года, находясь вместе со школой в Петрограде, сумел реализовать свою идею благодаря помощи компании Ф. Мельцера. Представляя собой двухместный аппарат-парасоль, должный вооружаться неподвижным пулеметом, его самолет собирался "из разных обломков и остатков, имевшихся в Школе", и оснащался "изношенным мотором", установленным выше несущих плоскостей. Расположение толкающего двигателя отмечалось как одна из главных особенностей машины, которая в деловой переписке назы</w:t>
      </w:r>
      <w:r w:rsidR="009E6F82" w:rsidRPr="00405303">
        <w:rPr>
          <w:bCs/>
          <w:color w:val="002060"/>
          <w:sz w:val="16"/>
          <w:szCs w:val="16"/>
        </w:rPr>
        <w:softHyphen/>
        <w:t>валась "гидромонопланом №14". Это обозначение, не будучи заводским, указывает на то, что при строительстве истребителя был использован корпус летающей лодки М-10 завода С.С. Щетинина (см. том 1), носившей с 12 февраля 1916 г. школьный номер 14, но не применявшейся для полетов (2843).</w:t>
      </w:r>
    </w:p>
    <w:p w14:paraId="5C32F847" w14:textId="77777777" w:rsidR="004B4E35" w:rsidRPr="00405303" w:rsidRDefault="004B4E35" w:rsidP="00C15251">
      <w:pPr>
        <w:shd w:val="clear" w:color="auto" w:fill="FFFFFF"/>
        <w:jc w:val="both"/>
        <w:rPr>
          <w:bCs/>
          <w:color w:val="002060"/>
          <w:sz w:val="16"/>
          <w:szCs w:val="16"/>
        </w:rPr>
      </w:pPr>
    </w:p>
    <w:p w14:paraId="2A6BA54C" w14:textId="7B5B515F" w:rsidR="004B4E35" w:rsidRPr="00405303" w:rsidRDefault="0040064B"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сентябре 1915 г. в списках на получение зарплаты </w:t>
      </w:r>
      <w:r w:rsidRPr="00405303">
        <w:rPr>
          <w:bCs/>
          <w:color w:val="002060"/>
          <w:sz w:val="16"/>
          <w:szCs w:val="16"/>
        </w:rPr>
        <w:t xml:space="preserve">на заводе Терещенко </w:t>
      </w:r>
      <w:r w:rsidR="009E6F82" w:rsidRPr="00405303">
        <w:rPr>
          <w:bCs/>
          <w:color w:val="002060"/>
          <w:sz w:val="16"/>
          <w:szCs w:val="16"/>
        </w:rPr>
        <w:t>одних толь</w:t>
      </w:r>
      <w:r w:rsidR="009E6F82" w:rsidRPr="00405303">
        <w:rPr>
          <w:bCs/>
          <w:color w:val="002060"/>
          <w:sz w:val="16"/>
          <w:szCs w:val="16"/>
        </w:rPr>
        <w:softHyphen/>
        <w:t>ко мастеровых значилось 186 человек. По</w:t>
      </w:r>
      <w:r w:rsidR="009E6F82" w:rsidRPr="00405303">
        <w:rPr>
          <w:bCs/>
          <w:color w:val="002060"/>
          <w:sz w:val="16"/>
          <w:szCs w:val="16"/>
        </w:rPr>
        <w:softHyphen/>
        <w:t>стоянно улучшалась оснащенность завода, в частности, были приобретены штампо</w:t>
      </w:r>
      <w:r w:rsidR="009E6F82" w:rsidRPr="00405303">
        <w:rPr>
          <w:bCs/>
          <w:color w:val="002060"/>
          <w:sz w:val="16"/>
          <w:szCs w:val="16"/>
        </w:rPr>
        <w:softHyphen/>
        <w:t>вочный пресс, несколько различных стан</w:t>
      </w:r>
      <w:r w:rsidR="009E6F82" w:rsidRPr="00405303">
        <w:rPr>
          <w:bCs/>
          <w:color w:val="002060"/>
          <w:sz w:val="16"/>
          <w:szCs w:val="16"/>
        </w:rPr>
        <w:softHyphen/>
        <w:t>ков, 2 сварочных аппарата. Годовая произ</w:t>
      </w:r>
      <w:r w:rsidR="009E6F82" w:rsidRPr="00405303">
        <w:rPr>
          <w:bCs/>
          <w:color w:val="002060"/>
          <w:sz w:val="16"/>
          <w:szCs w:val="16"/>
        </w:rPr>
        <w:softHyphen/>
        <w:t>водительность оценивалась в 50 аэропла</w:t>
      </w:r>
      <w:r w:rsidR="009E6F82" w:rsidRPr="00405303">
        <w:rPr>
          <w:bCs/>
          <w:color w:val="002060"/>
          <w:sz w:val="16"/>
          <w:szCs w:val="16"/>
        </w:rPr>
        <w:softHyphen/>
        <w:t>нов. Что касается выпуска самолетов в дальнейшем, то, к сожалению, исследован</w:t>
      </w:r>
      <w:r w:rsidR="009E6F82" w:rsidRPr="00405303">
        <w:rPr>
          <w:bCs/>
          <w:color w:val="002060"/>
          <w:sz w:val="16"/>
          <w:szCs w:val="16"/>
        </w:rPr>
        <w:softHyphen/>
        <w:t>ные источники не позволяют раскрыть этот вопрос полностью. Например, известно, что Червоннский завод перешел к постройке учебных аппаратов «Фарман XVI», причем в конструкцию их вносились определенные из</w:t>
      </w:r>
      <w:r w:rsidR="009E6F82" w:rsidRPr="00405303">
        <w:rPr>
          <w:bCs/>
          <w:color w:val="002060"/>
          <w:sz w:val="16"/>
          <w:szCs w:val="16"/>
        </w:rPr>
        <w:softHyphen/>
        <w:t>менения, а это затрудняло эксплуатацию — к ним не подходили некоторые запчасти, вы</w:t>
      </w:r>
      <w:r w:rsidR="009E6F82" w:rsidRPr="00405303">
        <w:rPr>
          <w:bCs/>
          <w:color w:val="002060"/>
          <w:sz w:val="16"/>
          <w:szCs w:val="16"/>
        </w:rPr>
        <w:softHyphen/>
        <w:t>пущенные другими предприятиями (11217).</w:t>
      </w:r>
    </w:p>
    <w:p w14:paraId="7EB10CE1" w14:textId="77777777" w:rsidR="004B4E35" w:rsidRPr="00405303" w:rsidRDefault="004B4E35" w:rsidP="00C15251">
      <w:pPr>
        <w:jc w:val="both"/>
        <w:rPr>
          <w:bCs/>
          <w:color w:val="002060"/>
          <w:sz w:val="16"/>
          <w:szCs w:val="16"/>
        </w:rPr>
      </w:pPr>
    </w:p>
    <w:p w14:paraId="1CB6E589" w14:textId="6A151DCC" w:rsidR="004B4E35" w:rsidRPr="00405303" w:rsidRDefault="009E6F82" w:rsidP="00C15251">
      <w:pPr>
        <w:shd w:val="clear" w:color="auto" w:fill="FFFFFF"/>
        <w:jc w:val="both"/>
        <w:rPr>
          <w:bCs/>
          <w:color w:val="002060"/>
          <w:sz w:val="16"/>
          <w:szCs w:val="16"/>
        </w:rPr>
      </w:pPr>
      <w:r w:rsidRPr="00405303">
        <w:rPr>
          <w:bCs/>
          <w:color w:val="002060"/>
          <w:sz w:val="16"/>
          <w:szCs w:val="16"/>
        </w:rPr>
        <w:t>В сентябре 1915 г. опытный образец АМБС-1</w:t>
      </w:r>
      <w:r w:rsidR="00E62238" w:rsidRPr="00405303">
        <w:rPr>
          <w:bCs/>
          <w:color w:val="002060"/>
          <w:sz w:val="16"/>
          <w:szCs w:val="16"/>
        </w:rPr>
        <w:t>, созданный А.А. Микулиным и Б.С. Стечкиным в январе-августе 1915 г.,</w:t>
      </w:r>
      <w:r w:rsidRPr="00405303">
        <w:rPr>
          <w:bCs/>
          <w:color w:val="002060"/>
          <w:sz w:val="16"/>
          <w:szCs w:val="16"/>
        </w:rPr>
        <w:t xml:space="preserve"> начали изготавливать на заводе «Ош и Везер» в Москве. Сборку завершили в ноябре 1916 г. Месяцем позже двигатель установили на испытательном станке в сарае Императорского высшего технического училища. Мотор проработал всего три минуты — согнулись штоки поршней. До февраля 1917 г. делались попытки восстановить АМБС-1 и продолжить испытания, но все они ока</w:t>
      </w:r>
      <w:r w:rsidRPr="00405303">
        <w:rPr>
          <w:bCs/>
          <w:color w:val="002060"/>
          <w:sz w:val="16"/>
          <w:szCs w:val="16"/>
        </w:rPr>
        <w:softHyphen/>
        <w:t>зались безуспешны (11852).</w:t>
      </w:r>
    </w:p>
    <w:p w14:paraId="2F906CD9" w14:textId="77777777" w:rsidR="004B4E35" w:rsidRPr="00405303" w:rsidRDefault="004B4E35" w:rsidP="00C15251">
      <w:pPr>
        <w:shd w:val="clear" w:color="auto" w:fill="FFFFFF"/>
        <w:jc w:val="both"/>
        <w:rPr>
          <w:bCs/>
          <w:color w:val="002060"/>
          <w:sz w:val="16"/>
          <w:szCs w:val="16"/>
        </w:rPr>
      </w:pPr>
    </w:p>
    <w:p w14:paraId="6A79AD4B" w14:textId="77777777" w:rsidR="0055129B" w:rsidRPr="00405303" w:rsidRDefault="0055129B" w:rsidP="0055129B">
      <w:pPr>
        <w:jc w:val="both"/>
        <w:rPr>
          <w:bCs/>
          <w:color w:val="002060"/>
          <w:sz w:val="16"/>
          <w:szCs w:val="16"/>
        </w:rPr>
      </w:pPr>
      <w:r w:rsidRPr="00405303">
        <w:rPr>
          <w:bCs/>
          <w:color w:val="002060"/>
          <w:sz w:val="16"/>
          <w:szCs w:val="16"/>
        </w:rPr>
        <w:t>В сентябре 1915 г. Н.Е. Жуковский составил для военного ведомства отчет о проведенных испытаниях, к которому прилагались и два чертежа конструкции бомб. Эти документы свидетельствуют, что ученым ИМТУ удалось создать достаточно эффективные зажигательные снаряды, причем наиболее удачными оказались бомбы малого калибра, спроектированные Б.Н. Юрьевым и Б.С. Стечкиным.</w:t>
      </w:r>
    </w:p>
    <w:p w14:paraId="58F9F34E" w14:textId="77777777" w:rsidR="0055129B" w:rsidRPr="00405303" w:rsidRDefault="0055129B" w:rsidP="0055129B">
      <w:pPr>
        <w:jc w:val="both"/>
        <w:rPr>
          <w:bCs/>
          <w:color w:val="002060"/>
          <w:sz w:val="16"/>
          <w:szCs w:val="16"/>
        </w:rPr>
      </w:pPr>
      <w:r w:rsidRPr="00405303">
        <w:rPr>
          <w:bCs/>
          <w:color w:val="002060"/>
          <w:sz w:val="16"/>
          <w:szCs w:val="16"/>
        </w:rPr>
        <w:t>Зажигательный снаряд состоял из тонкостенного сосуда и специального приспособления для разбрызгивания горючего и, по словам Н.Е. Жуковского, «давал большой радиус зажигательного района при сбрасывании с крыши ИМТУ». После летных испытаний при сбрасывании бомб с аэроплана Н.Е. Жуковский свидетельствовал, что «горючая жидкость, падая на землю с большой высоты в тонкостенных сосудах, сама весьма хорошо разбрызгивается, поэтому специальных приспособлений для разбрызгивания нет надобности применять».</w:t>
      </w:r>
    </w:p>
    <w:p w14:paraId="07F7E81B" w14:textId="77777777" w:rsidR="0055129B" w:rsidRPr="00405303" w:rsidRDefault="0055129B" w:rsidP="0055129B">
      <w:pPr>
        <w:jc w:val="both"/>
        <w:rPr>
          <w:bCs/>
          <w:color w:val="002060"/>
          <w:sz w:val="16"/>
          <w:szCs w:val="16"/>
        </w:rPr>
      </w:pPr>
      <w:r w:rsidRPr="00405303">
        <w:rPr>
          <w:bCs/>
          <w:color w:val="002060"/>
          <w:sz w:val="16"/>
          <w:szCs w:val="16"/>
        </w:rPr>
        <w:t>Зажигательный снаряд Стечкина — Синягина состоял из бычьего пузыря, наполненного паклей, бензином и нефтяными остатками. Воспламенителем служили две стеклянные пробирки, вставленные одна в другую. В одной находилась серная кислота, в другой — вата, осыпанная марганцовокислым калием. При падении пробирки разбивались и смесь воспламенялась. Как утверждал Н.Е. Жуковский, «при сбрасывании с аэроплана зажигательных бомб Б.С. Стечкина (около 20 ед.) не было ни одного отказа».</w:t>
      </w:r>
    </w:p>
    <w:p w14:paraId="4C901572" w14:textId="77777777" w:rsidR="0055129B" w:rsidRPr="00405303" w:rsidRDefault="0055129B" w:rsidP="0055129B">
      <w:pPr>
        <w:jc w:val="both"/>
        <w:rPr>
          <w:bCs/>
          <w:color w:val="002060"/>
          <w:sz w:val="16"/>
          <w:szCs w:val="16"/>
        </w:rPr>
      </w:pPr>
      <w:r w:rsidRPr="00405303">
        <w:rPr>
          <w:bCs/>
          <w:color w:val="002060"/>
          <w:sz w:val="16"/>
          <w:szCs w:val="16"/>
        </w:rPr>
        <w:t>Снаряд студента А.А. Микулина относился к бомбам тяжелого типа. Он состоял из жестяного корпуса, наполненного паклей, нефтью и бензином.</w:t>
      </w:r>
    </w:p>
    <w:p w14:paraId="4E9394C0" w14:textId="77777777" w:rsidR="0055129B" w:rsidRPr="00405303" w:rsidRDefault="0055129B" w:rsidP="0055129B">
      <w:pPr>
        <w:jc w:val="both"/>
        <w:rPr>
          <w:bCs/>
          <w:color w:val="002060"/>
          <w:sz w:val="16"/>
          <w:szCs w:val="16"/>
        </w:rPr>
      </w:pPr>
      <w:r w:rsidRPr="00405303">
        <w:rPr>
          <w:bCs/>
          <w:color w:val="002060"/>
          <w:sz w:val="16"/>
          <w:szCs w:val="16"/>
        </w:rPr>
        <w:t>Бомба в верхней части была снабжена четырехлопастным стабилизатором. В нижней части находился ударный воспламенитель с предохранительной чекой и воздушным винтом, который разработал для фугасных авиабомб капитан В.В. Орановский. При ударе снаряда о землю на жало ударника садился патрон с дымным порохом. Вспышка пороха воспламеняла содержимое авиабомбы.</w:t>
      </w:r>
    </w:p>
    <w:p w14:paraId="0EBE5787" w14:textId="77777777" w:rsidR="0055129B" w:rsidRPr="00405303" w:rsidRDefault="0055129B" w:rsidP="0055129B">
      <w:pPr>
        <w:jc w:val="both"/>
        <w:rPr>
          <w:bCs/>
          <w:color w:val="002060"/>
          <w:sz w:val="16"/>
          <w:szCs w:val="16"/>
        </w:rPr>
      </w:pPr>
      <w:r w:rsidRPr="00405303">
        <w:rPr>
          <w:bCs/>
          <w:color w:val="002060"/>
          <w:sz w:val="16"/>
          <w:szCs w:val="16"/>
        </w:rPr>
        <w:t>Аэродинамическая лаборатория ИМТУ изготовила 15 бомб системы Стечкина и 20 бомб системы Микулина для испытания в боевых условиях в авиаотряде. На вооружение была принята более безопасная в обращении зажигательная авиабомба большой мощности, созданная в результате работы коллектива ИМТУ под руководством Н.Е. Жуковского (15472).</w:t>
      </w:r>
    </w:p>
    <w:p w14:paraId="37309E5A" w14:textId="77777777" w:rsidR="0055129B" w:rsidRPr="00405303" w:rsidRDefault="0055129B" w:rsidP="0055129B">
      <w:pPr>
        <w:jc w:val="both"/>
        <w:rPr>
          <w:bCs/>
          <w:color w:val="002060"/>
          <w:sz w:val="16"/>
          <w:szCs w:val="16"/>
        </w:rPr>
      </w:pPr>
    </w:p>
    <w:p w14:paraId="3E585C77" w14:textId="4724FF3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В сентяб</w:t>
      </w:r>
      <w:r w:rsidRPr="00405303">
        <w:rPr>
          <w:bCs/>
          <w:color w:val="002060"/>
          <w:sz w:val="16"/>
          <w:szCs w:val="16"/>
        </w:rPr>
        <w:softHyphen/>
        <w:t>ре 1915 г. Н.Е. Жуковский представил в военное ведомство протокол испы</w:t>
      </w:r>
      <w:r w:rsidRPr="00405303">
        <w:rPr>
          <w:bCs/>
          <w:color w:val="002060"/>
          <w:sz w:val="16"/>
          <w:szCs w:val="16"/>
        </w:rPr>
        <w:softHyphen/>
        <w:t>таний и два чертежа. Эти документы свидетельствуют о том, что ученым удалось создать весьма эффективные зажигательные авиабомбы. Наибо</w:t>
      </w:r>
      <w:r w:rsidRPr="00405303">
        <w:rPr>
          <w:bCs/>
          <w:color w:val="002060"/>
          <w:sz w:val="16"/>
          <w:szCs w:val="16"/>
        </w:rPr>
        <w:softHyphen/>
        <w:t>лее удачными оказались малые бомбы, спроектированные Б.Н. Юрьевым и Б.С. Стечкиным. Бомба студента А.А. Микулина относилась к бомбам тяже</w:t>
      </w:r>
      <w:r w:rsidRPr="00405303">
        <w:rPr>
          <w:bCs/>
          <w:color w:val="002060"/>
          <w:sz w:val="16"/>
          <w:szCs w:val="16"/>
        </w:rPr>
        <w:softHyphen/>
        <w:t>лого типа. Она состояла из жестяного корпуса, наполненного паклей, не</w:t>
      </w:r>
      <w:r w:rsidRPr="00405303">
        <w:rPr>
          <w:bCs/>
          <w:color w:val="002060"/>
          <w:sz w:val="16"/>
          <w:szCs w:val="16"/>
        </w:rPr>
        <w:softHyphen/>
        <w:t>фтью и бензином. Бомба была снабжена четырехлопастным стабилизато</w:t>
      </w:r>
      <w:r w:rsidRPr="00405303">
        <w:rPr>
          <w:bCs/>
          <w:color w:val="002060"/>
          <w:sz w:val="16"/>
          <w:szCs w:val="16"/>
        </w:rPr>
        <w:softHyphen/>
        <w:t>ром и в головной части ударным воспламенителем с предохранительной чекой и воздушной ветрянкой, заимствованной из взрывателя, разработан</w:t>
      </w:r>
      <w:r w:rsidRPr="00405303">
        <w:rPr>
          <w:bCs/>
          <w:color w:val="002060"/>
          <w:sz w:val="16"/>
          <w:szCs w:val="16"/>
        </w:rPr>
        <w:softHyphen/>
        <w:t>ного для фугасных авиабомб капитаном Орановским.</w:t>
      </w:r>
    </w:p>
    <w:p w14:paraId="5EE01274" w14:textId="77777777" w:rsidR="004B4E35" w:rsidRPr="00405303" w:rsidRDefault="009E6F82" w:rsidP="00C15251">
      <w:pPr>
        <w:jc w:val="both"/>
        <w:rPr>
          <w:bCs/>
          <w:color w:val="002060"/>
          <w:sz w:val="16"/>
          <w:szCs w:val="16"/>
        </w:rPr>
      </w:pPr>
      <w:r w:rsidRPr="00405303">
        <w:rPr>
          <w:bCs/>
          <w:color w:val="002060"/>
          <w:sz w:val="16"/>
          <w:szCs w:val="16"/>
        </w:rPr>
        <w:t xml:space="preserve">Технический комитет Главного военно-технического Управления под председательством </w:t>
      </w:r>
      <w:proofErr w:type="gramStart"/>
      <w:r w:rsidRPr="00405303">
        <w:rPr>
          <w:bCs/>
          <w:color w:val="002060"/>
          <w:sz w:val="16"/>
          <w:szCs w:val="16"/>
        </w:rPr>
        <w:t>генерал лейтенанта</w:t>
      </w:r>
      <w:proofErr w:type="gramEnd"/>
      <w:r w:rsidRPr="00405303">
        <w:rPr>
          <w:bCs/>
          <w:color w:val="002060"/>
          <w:sz w:val="16"/>
          <w:szCs w:val="16"/>
        </w:rPr>
        <w:t xml:space="preserve"> Н.Л. Кирпичева, рассмотрев предложенные Н.Е. Жуковским авиабомбы, отметил, что бомба, «разра</w:t>
      </w:r>
      <w:r w:rsidRPr="00405303">
        <w:rPr>
          <w:bCs/>
          <w:color w:val="002060"/>
          <w:sz w:val="16"/>
          <w:szCs w:val="16"/>
        </w:rPr>
        <w:softHyphen/>
        <w:t>ботанная Стечкиным и Сенягиным, является опасной в обращении, так как ее воспламенитель при попадании в него пули может загореться на аэро</w:t>
      </w:r>
      <w:r w:rsidRPr="00405303">
        <w:rPr>
          <w:bCs/>
          <w:color w:val="002060"/>
          <w:sz w:val="16"/>
          <w:szCs w:val="16"/>
        </w:rPr>
        <w:softHyphen/>
        <w:t>плане». По авиабомбе Микулина было принято следующее решение: «за</w:t>
      </w:r>
      <w:r w:rsidRPr="00405303">
        <w:rPr>
          <w:bCs/>
          <w:color w:val="002060"/>
          <w:sz w:val="16"/>
          <w:szCs w:val="16"/>
        </w:rPr>
        <w:softHyphen/>
        <w:t>жигательный снаряд студента Микулина своему назначению удовлетво</w:t>
      </w:r>
      <w:r w:rsidRPr="00405303">
        <w:rPr>
          <w:bCs/>
          <w:color w:val="002060"/>
          <w:sz w:val="16"/>
          <w:szCs w:val="16"/>
        </w:rPr>
        <w:softHyphen/>
        <w:t>ряет и может быть допущен на снабжение авиационных частей». Таким образом, коллективом студентов МВТУ под руководством Н.Е.Жуковского в короткий срок была создана зажигательная авиабомба большой мощ</w:t>
      </w:r>
      <w:r w:rsidRPr="00405303">
        <w:rPr>
          <w:bCs/>
          <w:color w:val="002060"/>
          <w:sz w:val="16"/>
          <w:szCs w:val="16"/>
        </w:rPr>
        <w:softHyphen/>
        <w:t>ности, которая была принята на вооружение (11425).</w:t>
      </w:r>
    </w:p>
    <w:p w14:paraId="5530C215" w14:textId="77777777" w:rsidR="004B4E35" w:rsidRPr="00405303" w:rsidRDefault="004B4E35" w:rsidP="00C15251">
      <w:pPr>
        <w:jc w:val="both"/>
        <w:rPr>
          <w:bCs/>
          <w:color w:val="002060"/>
          <w:sz w:val="16"/>
          <w:szCs w:val="16"/>
        </w:rPr>
      </w:pPr>
    </w:p>
    <w:p w14:paraId="4A928694" w14:textId="715FAE3B" w:rsidR="004B4E35" w:rsidRPr="00405303" w:rsidRDefault="009E6F82" w:rsidP="00C15251">
      <w:pPr>
        <w:shd w:val="clear" w:color="auto" w:fill="FFFFFF"/>
        <w:jc w:val="both"/>
        <w:rPr>
          <w:bCs/>
          <w:color w:val="002060"/>
          <w:sz w:val="16"/>
          <w:szCs w:val="16"/>
        </w:rPr>
      </w:pPr>
      <w:r w:rsidRPr="00405303">
        <w:rPr>
          <w:bCs/>
          <w:color w:val="002060"/>
          <w:sz w:val="16"/>
          <w:szCs w:val="16"/>
        </w:rPr>
        <w:t>В сентябре 1915 г. Н.Е. Жуковский выступил в Московском математическом обществе с докладом: «К теории бомбометания с аэроплана», в котором дал оценку имеющему</w:t>
      </w:r>
      <w:r w:rsidRPr="00405303">
        <w:rPr>
          <w:bCs/>
          <w:color w:val="002060"/>
          <w:sz w:val="16"/>
          <w:szCs w:val="16"/>
        </w:rPr>
        <w:softHyphen/>
        <w:t>ся прицельному оборудованию.</w:t>
      </w:r>
    </w:p>
    <w:p w14:paraId="7241CBA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Большой популярностью у фронтовых летчиков пользовался при</w:t>
      </w:r>
      <w:r w:rsidRPr="00405303">
        <w:rPr>
          <w:bCs/>
          <w:color w:val="002060"/>
          <w:sz w:val="16"/>
          <w:szCs w:val="16"/>
        </w:rPr>
        <w:softHyphen/>
        <w:t>цельный прибор системы штабс-капитана Толмачева. Прибор состоял из специального секундомера со шкалой высот и лампочкой и примитивно</w:t>
      </w:r>
      <w:r w:rsidRPr="00405303">
        <w:rPr>
          <w:bCs/>
          <w:color w:val="002060"/>
          <w:sz w:val="16"/>
          <w:szCs w:val="16"/>
        </w:rPr>
        <w:softHyphen/>
        <w:t>го визирного приспособления. С помощью секундомера определялся момент сбрасывания бомбы после предварительного двукратного визи</w:t>
      </w:r>
      <w:r w:rsidRPr="00405303">
        <w:rPr>
          <w:bCs/>
          <w:color w:val="002060"/>
          <w:sz w:val="16"/>
          <w:szCs w:val="16"/>
        </w:rPr>
        <w:softHyphen/>
        <w:t>рования цели.</w:t>
      </w:r>
    </w:p>
    <w:p w14:paraId="612DE6F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Аналогичным был и прибор Стечкина. Манипуляции с ним были по</w:t>
      </w:r>
      <w:r w:rsidRPr="00405303">
        <w:rPr>
          <w:bCs/>
          <w:color w:val="002060"/>
          <w:sz w:val="16"/>
          <w:szCs w:val="16"/>
        </w:rPr>
        <w:softHyphen/>
        <w:t>чти теми же, что и с прибором Толмачева. В своем докладе Н.Е. Жуковс</w:t>
      </w:r>
      <w:r w:rsidRPr="00405303">
        <w:rPr>
          <w:bCs/>
          <w:color w:val="002060"/>
          <w:sz w:val="16"/>
          <w:szCs w:val="16"/>
        </w:rPr>
        <w:softHyphen/>
        <w:t>кий дал рекомендации по вводу поправок при пользовании этими прибо</w:t>
      </w:r>
      <w:r w:rsidRPr="00405303">
        <w:rPr>
          <w:bCs/>
          <w:color w:val="002060"/>
          <w:sz w:val="16"/>
          <w:szCs w:val="16"/>
        </w:rPr>
        <w:softHyphen/>
        <w:t>рами по учету ветра и движения бомбардируемой цели.</w:t>
      </w:r>
    </w:p>
    <w:p w14:paraId="39022E6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26 марта 1915 г. Технический комитет ГВТУ признал желательным определить теоретически необходимые поправки к прицельным прибо</w:t>
      </w:r>
      <w:r w:rsidRPr="00405303">
        <w:rPr>
          <w:bCs/>
          <w:color w:val="002060"/>
          <w:sz w:val="16"/>
          <w:szCs w:val="16"/>
        </w:rPr>
        <w:softHyphen/>
        <w:t>рам Толмачева, Тираспольского и Лебеденко. Профессору Ботезату были отпущены необходимые средства и предложено руководить работами по определению этих поправок. 21 декабря 1915 г. ГА. Ботезат представил Техническому комитету результаты исследований прибора Толмачева, из которых следовало, что пренебрегать сопротивлением воздуха и влияни</w:t>
      </w:r>
      <w:r w:rsidRPr="00405303">
        <w:rPr>
          <w:bCs/>
          <w:color w:val="002060"/>
          <w:sz w:val="16"/>
          <w:szCs w:val="16"/>
        </w:rPr>
        <w:softHyphen/>
        <w:t>ем ветра без большого ущерба для точности бомбометания нельзя. Бо</w:t>
      </w:r>
      <w:r w:rsidRPr="00405303">
        <w:rPr>
          <w:bCs/>
          <w:color w:val="002060"/>
          <w:sz w:val="16"/>
          <w:szCs w:val="16"/>
        </w:rPr>
        <w:softHyphen/>
        <w:t>тезат представил сводку поправок, которые необходимо принимать во внимание при работе с этим прибором.</w:t>
      </w:r>
    </w:p>
    <w:p w14:paraId="23BBFB3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 кораблях «Илья Муромец» прицел Толмачева не устанавливался. Командование эскадры отказалось от него, так как его визир не имел ав</w:t>
      </w:r>
      <w:r w:rsidRPr="00405303">
        <w:rPr>
          <w:bCs/>
          <w:color w:val="002060"/>
          <w:sz w:val="16"/>
          <w:szCs w:val="16"/>
        </w:rPr>
        <w:softHyphen/>
        <w:t>томатически устанавливающейся вертикали. Просторная кабина самоле</w:t>
      </w:r>
      <w:r w:rsidRPr="00405303">
        <w:rPr>
          <w:bCs/>
          <w:color w:val="002060"/>
          <w:sz w:val="16"/>
          <w:szCs w:val="16"/>
        </w:rPr>
        <w:softHyphen/>
        <w:t>та «Илья Муромец» позволяла применять приборы с автоматической вер</w:t>
      </w:r>
      <w:r w:rsidRPr="00405303">
        <w:rPr>
          <w:bCs/>
          <w:color w:val="002060"/>
          <w:sz w:val="16"/>
          <w:szCs w:val="16"/>
        </w:rPr>
        <w:softHyphen/>
        <w:t>тикалью. Заслуга создания таких приборов принадлежит членам экипа</w:t>
      </w:r>
      <w:r w:rsidRPr="00405303">
        <w:rPr>
          <w:bCs/>
          <w:color w:val="002060"/>
          <w:sz w:val="16"/>
          <w:szCs w:val="16"/>
        </w:rPr>
        <w:softHyphen/>
        <w:t>жей самолетов «Илья Муромец» А.Н. Журавченко и Н.И. Иванову. В начале войны артиллерийский офицер капитан Иванов, откомандированный в эскадру воздушных кораблей, сконструировал прицел для сбрасывания авиабомб.</w:t>
      </w:r>
    </w:p>
    <w:p w14:paraId="7DA245B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Он представлял собой рамку в виде усеченной пирамиды, свободно подвешенную на карданном кольце. Основание пирамиды представляло собой курсовую черту, разделенную поперечными делениями через 5°. Вдоль курсовой черты перемещался рычажок с визирной планкой. Угол прицеливания отсчитывался автоматически с помощью маятниковой под</w:t>
      </w:r>
      <w:r w:rsidRPr="00405303">
        <w:rPr>
          <w:bCs/>
          <w:color w:val="002060"/>
          <w:sz w:val="16"/>
          <w:szCs w:val="16"/>
        </w:rPr>
        <w:softHyphen/>
        <w:t>вески прицельной рамки в карданном кольце. Визирование на цель про</w:t>
      </w:r>
      <w:r w:rsidRPr="00405303">
        <w:rPr>
          <w:bCs/>
          <w:color w:val="002060"/>
          <w:sz w:val="16"/>
          <w:szCs w:val="16"/>
        </w:rPr>
        <w:softHyphen/>
        <w:t>изводилась по двум точкам на прицеле: центру карданного кольца и пересечению визирной планки с курсовой чертой. Штурман при подлете к цели сначала визировал любой ориентир под углом 45° и 0° (база пролета равнялась высоте) и засекал время. Зная время и длину базы (по высото</w:t>
      </w:r>
      <w:r w:rsidRPr="00405303">
        <w:rPr>
          <w:bCs/>
          <w:color w:val="002060"/>
          <w:sz w:val="16"/>
          <w:szCs w:val="16"/>
        </w:rPr>
        <w:softHyphen/>
        <w:t>меру), определял путевую скорость (полет, как правило, производился в плоскости ветра). По таблицам Ботезата определял угол прицеливания и устанавливал на этот угол визирную планку прицела. Когда прицельный луч совмещался с целью, сбрасывались бомбы.</w:t>
      </w:r>
    </w:p>
    <w:p w14:paraId="5559BFF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Прицел Иванова существенно повысил эффективность боевого при</w:t>
      </w:r>
      <w:r w:rsidRPr="00405303">
        <w:rPr>
          <w:bCs/>
          <w:color w:val="002060"/>
          <w:sz w:val="16"/>
          <w:szCs w:val="16"/>
        </w:rPr>
        <w:softHyphen/>
        <w:t>менения эскадры тяжелых самолетов (11425).</w:t>
      </w:r>
    </w:p>
    <w:p w14:paraId="6F2761CA" w14:textId="77777777" w:rsidR="004B4E35" w:rsidRPr="00405303" w:rsidRDefault="004B4E35" w:rsidP="00C15251">
      <w:pPr>
        <w:shd w:val="clear" w:color="auto" w:fill="FFFFFF"/>
        <w:jc w:val="both"/>
        <w:rPr>
          <w:bCs/>
          <w:color w:val="002060"/>
          <w:sz w:val="16"/>
          <w:szCs w:val="16"/>
        </w:rPr>
      </w:pPr>
    </w:p>
    <w:p w14:paraId="29E8AFCE" w14:textId="77777777" w:rsidR="00E62238" w:rsidRPr="00405303" w:rsidRDefault="00E62238" w:rsidP="00C15251">
      <w:pPr>
        <w:jc w:val="both"/>
        <w:rPr>
          <w:bCs/>
          <w:color w:val="002060"/>
          <w:sz w:val="16"/>
          <w:szCs w:val="16"/>
        </w:rPr>
      </w:pPr>
      <w:r w:rsidRPr="00405303">
        <w:rPr>
          <w:bCs/>
          <w:color w:val="002060"/>
          <w:sz w:val="16"/>
          <w:szCs w:val="16"/>
        </w:rPr>
        <w:t>В сентябре 1915 г. Жуковский, выступая в Московском ма</w:t>
      </w:r>
      <w:r w:rsidRPr="00405303">
        <w:rPr>
          <w:bCs/>
          <w:color w:val="002060"/>
          <w:sz w:val="16"/>
          <w:szCs w:val="16"/>
        </w:rPr>
        <w:softHyphen/>
        <w:t>тематическом обществе с докладом «К теории бомбометания с аэроплана», заявил: «В настоящее время имеются прицельные приборы, не требующие предварительного определения скоро</w:t>
      </w:r>
      <w:r w:rsidRPr="00405303">
        <w:rPr>
          <w:bCs/>
          <w:color w:val="002060"/>
          <w:sz w:val="16"/>
          <w:szCs w:val="16"/>
        </w:rPr>
        <w:softHyphen/>
        <w:t>сти полета аэроплана. Все они разделяются на два типа: в одних определяется момент бросания бомбы, в других - угол визирова</w:t>
      </w:r>
      <w:r w:rsidRPr="00405303">
        <w:rPr>
          <w:bCs/>
          <w:color w:val="002060"/>
          <w:sz w:val="16"/>
          <w:szCs w:val="16"/>
        </w:rPr>
        <w:softHyphen/>
        <w:t>ния, при котором надо бросить бомбу» (23011).</w:t>
      </w:r>
    </w:p>
    <w:p w14:paraId="5EAD436F" w14:textId="77777777" w:rsidR="00E62238" w:rsidRPr="00405303" w:rsidRDefault="00E62238" w:rsidP="00C15251">
      <w:pPr>
        <w:jc w:val="both"/>
        <w:rPr>
          <w:bCs/>
          <w:color w:val="002060"/>
          <w:sz w:val="16"/>
          <w:szCs w:val="16"/>
        </w:rPr>
      </w:pPr>
    </w:p>
    <w:p w14:paraId="0608839C" w14:textId="77777777" w:rsidR="00E17754" w:rsidRPr="00B52707" w:rsidRDefault="00E17754" w:rsidP="00E17754">
      <w:pPr>
        <w:jc w:val="both"/>
        <w:rPr>
          <w:color w:val="0070C0"/>
          <w:sz w:val="16"/>
          <w:szCs w:val="16"/>
        </w:rPr>
      </w:pPr>
      <w:r w:rsidRPr="00B52707">
        <w:rPr>
          <w:color w:val="0070C0"/>
          <w:sz w:val="16"/>
          <w:szCs w:val="16"/>
        </w:rPr>
        <w:t>В сентябре 1915 г. Н. Е. Жуковский высту</w:t>
      </w:r>
      <w:r w:rsidRPr="00B52707">
        <w:rPr>
          <w:color w:val="0070C0"/>
          <w:sz w:val="16"/>
          <w:szCs w:val="16"/>
        </w:rPr>
        <w:softHyphen/>
        <w:t>пал на заседании Московского математического общества с докладом «К теории бомбометания с аэропланов».</w:t>
      </w:r>
    </w:p>
    <w:p w14:paraId="0FADB14C" w14:textId="77777777" w:rsidR="00E17754" w:rsidRPr="00B52707" w:rsidRDefault="00E17754" w:rsidP="00E17754">
      <w:pPr>
        <w:jc w:val="both"/>
        <w:rPr>
          <w:color w:val="0070C0"/>
          <w:sz w:val="16"/>
          <w:szCs w:val="16"/>
        </w:rPr>
      </w:pPr>
      <w:r w:rsidRPr="00B52707">
        <w:rPr>
          <w:color w:val="0070C0"/>
          <w:sz w:val="16"/>
          <w:szCs w:val="16"/>
        </w:rPr>
        <w:t>В 1916 г. известный математик профессор Г. А. Ботезат выпустил первые бал</w:t>
      </w:r>
      <w:r w:rsidRPr="00B52707">
        <w:rPr>
          <w:color w:val="0070C0"/>
          <w:sz w:val="16"/>
          <w:szCs w:val="16"/>
        </w:rPr>
        <w:softHyphen/>
        <w:t>листические таблицы для бомбометания с аэро</w:t>
      </w:r>
      <w:r w:rsidRPr="00B52707">
        <w:rPr>
          <w:color w:val="0070C0"/>
          <w:sz w:val="16"/>
          <w:szCs w:val="16"/>
        </w:rPr>
        <w:softHyphen/>
        <w:t>планов, которые были улучшены математиками А. А. Фридманом и А. Ф. Гавриловым (24966).</w:t>
      </w:r>
    </w:p>
    <w:p w14:paraId="157757E0" w14:textId="77777777" w:rsidR="00E17754" w:rsidRPr="00B52707" w:rsidRDefault="00E17754" w:rsidP="00E17754">
      <w:pPr>
        <w:jc w:val="both"/>
        <w:rPr>
          <w:color w:val="0070C0"/>
          <w:sz w:val="16"/>
          <w:szCs w:val="16"/>
        </w:rPr>
      </w:pPr>
    </w:p>
    <w:p w14:paraId="54DF7F83" w14:textId="77777777" w:rsidR="00432AF9" w:rsidRPr="00405303" w:rsidRDefault="00432AF9" w:rsidP="00C15251">
      <w:pPr>
        <w:jc w:val="both"/>
        <w:rPr>
          <w:bCs/>
          <w:color w:val="002060"/>
          <w:sz w:val="16"/>
          <w:szCs w:val="16"/>
        </w:rPr>
      </w:pPr>
      <w:r w:rsidRPr="00405303">
        <w:rPr>
          <w:bCs/>
          <w:color w:val="002060"/>
          <w:sz w:val="16"/>
          <w:szCs w:val="16"/>
        </w:rPr>
        <w:t>В сентябре 1915 г. Минный отдел выходит с предложением к отделу воздушного плавания ГУК об организации производства на Радиотелеграфном заводе аэропланных радиостанций, а в октябре предприятие получает наряд на изготовление опытной партии магнето для такого типа станций. В 1916 г. заводу поручили разработку автомобильной радиостанции. По плану этого года предполагалось изготовить передатчики мощностью 25 кВт и самолетные радиостанции, а также наладить производство электронных ламп (18297).</w:t>
      </w:r>
    </w:p>
    <w:p w14:paraId="1D2BAB9E" w14:textId="77777777" w:rsidR="00432AF9" w:rsidRPr="00405303" w:rsidRDefault="00432AF9" w:rsidP="00C15251">
      <w:pPr>
        <w:jc w:val="both"/>
        <w:rPr>
          <w:bCs/>
          <w:color w:val="002060"/>
          <w:sz w:val="16"/>
          <w:szCs w:val="16"/>
        </w:rPr>
      </w:pPr>
    </w:p>
    <w:p w14:paraId="2C41012C" w14:textId="77777777" w:rsidR="0095516A" w:rsidRPr="00405303" w:rsidRDefault="0095516A" w:rsidP="00C15251">
      <w:pPr>
        <w:shd w:val="clear" w:color="auto" w:fill="FFFFFF"/>
        <w:jc w:val="both"/>
        <w:rPr>
          <w:bCs/>
          <w:color w:val="002060"/>
          <w:sz w:val="16"/>
          <w:szCs w:val="16"/>
        </w:rPr>
      </w:pPr>
      <w:r w:rsidRPr="00405303">
        <w:rPr>
          <w:bCs/>
          <w:color w:val="002060"/>
          <w:sz w:val="16"/>
          <w:szCs w:val="16"/>
        </w:rPr>
        <w:t>В сентябре 1915 г. был собран аэроплан с заводским номером 218 и тогда же испытан подпоручиком Карпюком, военным летчиком, прикомандированным к фирме. Затем, по словам того же начальства, поплавки заменили лыжами по причине нежданной зимы, но флотская приемная комиссия так и не собралась и тогда компания решила продать аппарат Военному ведомству. В ответ специалисты МГТТТ просмотрели все сводки погоды конца 1915 г. и пришли к выводу: приведенные выше ут</w:t>
      </w:r>
      <w:r w:rsidRPr="00405303">
        <w:rPr>
          <w:bCs/>
          <w:color w:val="002060"/>
          <w:sz w:val="16"/>
          <w:szCs w:val="16"/>
        </w:rPr>
        <w:softHyphen/>
        <w:t>верждения о преждевременных холодах, помешавших опытам на воде, не соответствовали истине, а, значит, фирма нарушила установленные сроки работы и подлежала наказанию; на нее наложили штраф, а все разбирательства по делу продолжались до весны 1917 г. (2843).</w:t>
      </w:r>
    </w:p>
    <w:p w14:paraId="54D6C5E8" w14:textId="77777777" w:rsidR="0095516A" w:rsidRPr="00405303" w:rsidRDefault="0095516A" w:rsidP="00C15251">
      <w:pPr>
        <w:jc w:val="both"/>
        <w:rPr>
          <w:bCs/>
          <w:color w:val="002060"/>
          <w:sz w:val="16"/>
          <w:szCs w:val="16"/>
        </w:rPr>
      </w:pPr>
    </w:p>
    <w:p w14:paraId="59DFED1B" w14:textId="77777777" w:rsidR="00FC364C" w:rsidRPr="00405303" w:rsidRDefault="00FC364C" w:rsidP="00C15251">
      <w:pPr>
        <w:jc w:val="both"/>
        <w:rPr>
          <w:bCs/>
          <w:color w:val="002060"/>
          <w:sz w:val="16"/>
          <w:szCs w:val="16"/>
        </w:rPr>
      </w:pPr>
      <w:r w:rsidRPr="00405303">
        <w:rPr>
          <w:bCs/>
          <w:color w:val="002060"/>
          <w:sz w:val="16"/>
          <w:szCs w:val="16"/>
        </w:rPr>
        <w:t>В сентябре 1915 года Центральное военно-техническое управление заказало восемнадцать С-16. Поставки начались в середине января 1916 года. Всего было построено тридцать три истребителя С-16 по цене около 9500 рублей (около 5000 долларов) каждый.</w:t>
      </w:r>
    </w:p>
    <w:p w14:paraId="7E980217" w14:textId="77777777" w:rsidR="00FC364C" w:rsidRPr="00405303" w:rsidRDefault="00FC364C" w:rsidP="00C15251">
      <w:pPr>
        <w:jc w:val="both"/>
        <w:rPr>
          <w:bCs/>
          <w:color w:val="002060"/>
          <w:sz w:val="16"/>
          <w:szCs w:val="16"/>
        </w:rPr>
      </w:pPr>
      <w:r w:rsidRPr="00405303">
        <w:rPr>
          <w:bCs/>
          <w:color w:val="002060"/>
          <w:sz w:val="16"/>
          <w:szCs w:val="16"/>
        </w:rPr>
        <w:t>С октября 1912 по апрель 1914 года Р-БВЗ произвел 38 французских самолетов Farmans и Nieuport IV. В 1910-1913 годах на Р-БВЗ было построено около 100 самолетов, с 1914 по 1917 год было построено около 140 самолетов. Не все из них были приняты.</w:t>
      </w:r>
    </w:p>
    <w:p w14:paraId="28953207" w14:textId="77777777" w:rsidR="00FC364C" w:rsidRPr="00405303" w:rsidRDefault="00FC364C" w:rsidP="00C15251">
      <w:pPr>
        <w:jc w:val="both"/>
        <w:rPr>
          <w:bCs/>
          <w:color w:val="002060"/>
          <w:sz w:val="16"/>
          <w:szCs w:val="16"/>
        </w:rPr>
      </w:pPr>
      <w:r w:rsidRPr="00405303">
        <w:rPr>
          <w:bCs/>
          <w:color w:val="002060"/>
          <w:sz w:val="16"/>
          <w:szCs w:val="16"/>
        </w:rPr>
        <w:t>К началу 1917 года производство выросло до шести ИМ и 30-40 самолетов других типов в месяц. В 1914 г. насчитывалось 270 рабочих, в 1915 г. их число возросло до 400, в 1916 г. — до 478, а в марте 1917 г. — до 475. На авиамоторном заводе в Петрограде (сдача началась в ноябре 1916 г.) было 266 рабочих в 1916 г. и 430 в 1917.</w:t>
      </w:r>
    </w:p>
    <w:p w14:paraId="7EAD122D" w14:textId="77777777" w:rsidR="00FC364C" w:rsidRPr="00405303" w:rsidRDefault="00FC364C" w:rsidP="00C15251">
      <w:pPr>
        <w:jc w:val="both"/>
        <w:rPr>
          <w:bCs/>
          <w:color w:val="002060"/>
          <w:sz w:val="16"/>
          <w:szCs w:val="16"/>
        </w:rPr>
      </w:pPr>
      <w:r w:rsidRPr="00405303">
        <w:rPr>
          <w:bCs/>
          <w:color w:val="002060"/>
          <w:sz w:val="16"/>
          <w:szCs w:val="16"/>
        </w:rPr>
        <w:t>Директором авиационного завода Р-БВЗ в 1916-1918 годах был Витольд Ярковский, бывший директор завода Щетинина в 1915-1916 годах и завода Лебедева в 1913-1915 годах.</w:t>
      </w:r>
    </w:p>
    <w:p w14:paraId="509F4E2B" w14:textId="77777777" w:rsidR="00FC364C" w:rsidRPr="00405303" w:rsidRDefault="00FC364C" w:rsidP="00C15251">
      <w:pPr>
        <w:jc w:val="both"/>
        <w:rPr>
          <w:bCs/>
          <w:color w:val="002060"/>
          <w:sz w:val="16"/>
          <w:szCs w:val="16"/>
        </w:rPr>
      </w:pPr>
      <w:r w:rsidRPr="00405303">
        <w:rPr>
          <w:bCs/>
          <w:color w:val="002060"/>
          <w:sz w:val="16"/>
          <w:szCs w:val="16"/>
        </w:rPr>
        <w:t>М. В. Шидловский и его сын Михаил были застрелены красногвардейцами 14 января 1921 г. при попытке бегства через границу в Финляндию (23125).</w:t>
      </w:r>
    </w:p>
    <w:p w14:paraId="0A86B159" w14:textId="77777777" w:rsidR="00FC364C" w:rsidRPr="00405303" w:rsidRDefault="00FC364C" w:rsidP="00C15251">
      <w:pPr>
        <w:jc w:val="both"/>
        <w:rPr>
          <w:bCs/>
          <w:color w:val="002060"/>
          <w:sz w:val="16"/>
          <w:szCs w:val="16"/>
        </w:rPr>
      </w:pPr>
    </w:p>
    <w:p w14:paraId="2F639CDF"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Аэростатостроение:</w:t>
      </w:r>
    </w:p>
    <w:p w14:paraId="1B85F400" w14:textId="77777777" w:rsidR="004B4E35" w:rsidRPr="00405303" w:rsidRDefault="004B4E35" w:rsidP="00C15251">
      <w:pPr>
        <w:shd w:val="clear" w:color="auto" w:fill="FFFFFF"/>
        <w:jc w:val="both"/>
        <w:rPr>
          <w:bCs/>
          <w:i/>
          <w:color w:val="002060"/>
          <w:sz w:val="16"/>
          <w:szCs w:val="16"/>
        </w:rPr>
      </w:pPr>
    </w:p>
    <w:p w14:paraId="6102F972" w14:textId="451CF3C1" w:rsidR="004B4E35" w:rsidRPr="00405303" w:rsidRDefault="009E6F82" w:rsidP="00C15251">
      <w:pPr>
        <w:jc w:val="both"/>
        <w:rPr>
          <w:bCs/>
          <w:color w:val="002060"/>
          <w:sz w:val="16"/>
          <w:szCs w:val="16"/>
        </w:rPr>
      </w:pPr>
      <w:r w:rsidRPr="00405303">
        <w:rPr>
          <w:bCs/>
          <w:color w:val="002060"/>
          <w:sz w:val="16"/>
          <w:szCs w:val="16"/>
        </w:rPr>
        <w:t xml:space="preserve">В сентябре </w:t>
      </w:r>
      <w:r w:rsidR="008A2885" w:rsidRPr="00405303">
        <w:rPr>
          <w:bCs/>
          <w:color w:val="002060"/>
          <w:sz w:val="16"/>
          <w:szCs w:val="16"/>
        </w:rPr>
        <w:t xml:space="preserve">1915 г. </w:t>
      </w:r>
      <w:r w:rsidRPr="00405303">
        <w:rPr>
          <w:bCs/>
          <w:color w:val="002060"/>
          <w:sz w:val="16"/>
          <w:szCs w:val="16"/>
        </w:rPr>
        <w:t>отдел изобретений Центрального военно- промышленного комитета, рассмотрев предложенный К. Э. Циолковским проект, вынес следующее заключение: "Проект... является... не настолько разработанным, чтобы можно было тотчас же приступить к постройке аэростата такой системы для военных целей". Таким образом, за время войны ни один из строившихся в России и за границей управляемых аэростатов не был принят на вооружение.</w:t>
      </w:r>
    </w:p>
    <w:p w14:paraId="4A286873" w14:textId="77777777" w:rsidR="004B4E35" w:rsidRPr="00405303" w:rsidRDefault="009E6F82" w:rsidP="00C15251">
      <w:pPr>
        <w:jc w:val="both"/>
        <w:rPr>
          <w:bCs/>
          <w:color w:val="002060"/>
          <w:sz w:val="16"/>
          <w:szCs w:val="16"/>
        </w:rPr>
      </w:pPr>
      <w:r w:rsidRPr="00405303">
        <w:rPr>
          <w:bCs/>
          <w:color w:val="002060"/>
          <w:sz w:val="16"/>
          <w:szCs w:val="16"/>
        </w:rPr>
        <w:lastRenderedPageBreak/>
        <w:t>В России после лета этого года практически не осталось боеспособных дирижаблей. Новые дирижабли не строились. Купленные в Англии четыре военных дирижабля типа "Черномор" объемом 4500 м3 из-за отсутствия достаточного количества химических средств практически не использовались.</w:t>
      </w:r>
    </w:p>
    <w:p w14:paraId="0B3BDC0C" w14:textId="77777777" w:rsidR="004B4E35" w:rsidRPr="00405303" w:rsidRDefault="009E6F82" w:rsidP="00C15251">
      <w:pPr>
        <w:jc w:val="both"/>
        <w:rPr>
          <w:bCs/>
          <w:color w:val="002060"/>
          <w:sz w:val="16"/>
          <w:szCs w:val="16"/>
        </w:rPr>
      </w:pPr>
      <w:r w:rsidRPr="00405303">
        <w:rPr>
          <w:bCs/>
          <w:color w:val="002060"/>
          <w:sz w:val="16"/>
          <w:szCs w:val="16"/>
        </w:rPr>
        <w:t xml:space="preserve">В Англии, начиная с февраля этого года было построено 200 дирижаблей. Здесь проводились успешные опыты по применению дирижаблей во взаимодействии с морским флотом для борьбы с подводными лодками противника. Дирижабли конвоировали суда и несли береговую охрану. Обладая большим радиусом </w:t>
      </w:r>
      <w:proofErr w:type="gramStart"/>
      <w:r w:rsidRPr="00405303">
        <w:rPr>
          <w:bCs/>
          <w:color w:val="002060"/>
          <w:sz w:val="16"/>
          <w:szCs w:val="16"/>
        </w:rPr>
        <w:t>действия</w:t>
      </w:r>
      <w:proofErr w:type="gramEnd"/>
      <w:r w:rsidRPr="00405303">
        <w:rPr>
          <w:bCs/>
          <w:color w:val="002060"/>
          <w:sz w:val="16"/>
          <w:szCs w:val="16"/>
        </w:rPr>
        <w:t xml:space="preserve"> они оказывали флоту серьезные услуги (11999).</w:t>
      </w:r>
    </w:p>
    <w:p w14:paraId="12756ACA" w14:textId="77777777" w:rsidR="004B4E35" w:rsidRPr="00405303" w:rsidRDefault="004B4E35" w:rsidP="00C15251">
      <w:pPr>
        <w:jc w:val="both"/>
        <w:rPr>
          <w:bCs/>
          <w:color w:val="002060"/>
          <w:sz w:val="16"/>
          <w:szCs w:val="16"/>
        </w:rPr>
      </w:pPr>
    </w:p>
    <w:p w14:paraId="3DF3B46D" w14:textId="77777777" w:rsidR="00A83A36" w:rsidRPr="00405303" w:rsidRDefault="00A83A36" w:rsidP="00C15251">
      <w:pPr>
        <w:jc w:val="both"/>
        <w:rPr>
          <w:rStyle w:val="42"/>
          <w:rFonts w:ascii="Times New Roman" w:hAnsi="Times New Roman" w:cs="Times New Roman"/>
          <w:bCs/>
          <w:color w:val="002060"/>
          <w:w w:val="100"/>
          <w:sz w:val="16"/>
          <w:szCs w:val="16"/>
        </w:rPr>
      </w:pPr>
      <w:r w:rsidRPr="00405303">
        <w:rPr>
          <w:rStyle w:val="42"/>
          <w:rFonts w:ascii="Times New Roman" w:hAnsi="Times New Roman" w:cs="Times New Roman"/>
          <w:bCs/>
          <w:color w:val="002060"/>
          <w:w w:val="100"/>
          <w:sz w:val="16"/>
          <w:szCs w:val="16"/>
        </w:rPr>
        <w:t>В сентябре 1915 г. ко</w:t>
      </w:r>
      <w:r w:rsidRPr="00405303">
        <w:rPr>
          <w:rStyle w:val="42"/>
          <w:rFonts w:ascii="Times New Roman" w:hAnsi="Times New Roman" w:cs="Times New Roman"/>
          <w:bCs/>
          <w:color w:val="002060"/>
          <w:w w:val="100"/>
          <w:sz w:val="16"/>
          <w:szCs w:val="16"/>
        </w:rPr>
        <w:softHyphen/>
        <w:t>мандующий Черноморским флотом адмирал А.А. Эбергард возбудил вопрос о получении змей</w:t>
      </w:r>
      <w:r w:rsidRPr="00405303">
        <w:rPr>
          <w:rStyle w:val="42"/>
          <w:rFonts w:ascii="Times New Roman" w:hAnsi="Times New Roman" w:cs="Times New Roman"/>
          <w:bCs/>
          <w:color w:val="002060"/>
          <w:w w:val="100"/>
          <w:sz w:val="16"/>
          <w:szCs w:val="16"/>
        </w:rPr>
        <w:softHyphen/>
        <w:t>кового аэростата для противолодочной оборо</w:t>
      </w:r>
      <w:r w:rsidRPr="00405303">
        <w:rPr>
          <w:rStyle w:val="42"/>
          <w:rFonts w:ascii="Times New Roman" w:hAnsi="Times New Roman" w:cs="Times New Roman"/>
          <w:bCs/>
          <w:color w:val="002060"/>
          <w:w w:val="100"/>
          <w:sz w:val="16"/>
          <w:szCs w:val="16"/>
        </w:rPr>
        <w:softHyphen/>
        <w:t>ны Севастополя. 27 февраля 1916 г. по приказу ве</w:t>
      </w:r>
      <w:r w:rsidRPr="00405303">
        <w:rPr>
          <w:rStyle w:val="42"/>
          <w:rFonts w:ascii="Times New Roman" w:hAnsi="Times New Roman" w:cs="Times New Roman"/>
          <w:bCs/>
          <w:color w:val="002060"/>
          <w:w w:val="100"/>
          <w:sz w:val="16"/>
          <w:szCs w:val="16"/>
        </w:rPr>
        <w:softHyphen/>
        <w:t>ликого князя Александра Михайловича из киев</w:t>
      </w:r>
      <w:r w:rsidRPr="00405303">
        <w:rPr>
          <w:rStyle w:val="42"/>
          <w:rFonts w:ascii="Times New Roman" w:hAnsi="Times New Roman" w:cs="Times New Roman"/>
          <w:bCs/>
          <w:color w:val="002060"/>
          <w:w w:val="100"/>
          <w:sz w:val="16"/>
          <w:szCs w:val="16"/>
        </w:rPr>
        <w:softHyphen/>
        <w:t>ских складов отпустили два змейковых аэростата объёмом по 750-850 м3 для формирования змей</w:t>
      </w:r>
      <w:r w:rsidRPr="00405303">
        <w:rPr>
          <w:rStyle w:val="42"/>
          <w:rFonts w:ascii="Times New Roman" w:hAnsi="Times New Roman" w:cs="Times New Roman"/>
          <w:bCs/>
          <w:color w:val="002060"/>
          <w:w w:val="100"/>
          <w:sz w:val="16"/>
          <w:szCs w:val="16"/>
        </w:rPr>
        <w:softHyphen/>
        <w:t>ковой станции Черноморского флота. Согласно «Положению о воздухоплавательной наблюда</w:t>
      </w:r>
      <w:r w:rsidRPr="00405303">
        <w:rPr>
          <w:rStyle w:val="42"/>
          <w:rFonts w:ascii="Times New Roman" w:hAnsi="Times New Roman" w:cs="Times New Roman"/>
          <w:bCs/>
          <w:color w:val="002060"/>
          <w:w w:val="100"/>
          <w:sz w:val="16"/>
          <w:szCs w:val="16"/>
        </w:rPr>
        <w:softHyphen/>
        <w:t>тельной станции Черноморского флота» офи</w:t>
      </w:r>
      <w:r w:rsidRPr="00405303">
        <w:rPr>
          <w:rStyle w:val="42"/>
          <w:rFonts w:ascii="Times New Roman" w:hAnsi="Times New Roman" w:cs="Times New Roman"/>
          <w:bCs/>
          <w:color w:val="002060"/>
          <w:w w:val="100"/>
          <w:sz w:val="16"/>
          <w:szCs w:val="16"/>
        </w:rPr>
        <w:softHyphen/>
        <w:t>церы станции должны были следить за морем с суши, а также работать в море с палубы плаву</w:t>
      </w:r>
      <w:r w:rsidRPr="00405303">
        <w:rPr>
          <w:rStyle w:val="42"/>
          <w:rFonts w:ascii="Times New Roman" w:hAnsi="Times New Roman" w:cs="Times New Roman"/>
          <w:bCs/>
          <w:color w:val="002060"/>
          <w:w w:val="100"/>
          <w:sz w:val="16"/>
          <w:szCs w:val="16"/>
        </w:rPr>
        <w:softHyphen/>
        <w:t>чей базы для наблюдения за стрельбой русских судов, поиска неприятельских подводных лодок и надводных кораблей. Командиром станции на</w:t>
      </w:r>
      <w:r w:rsidRPr="00405303">
        <w:rPr>
          <w:rStyle w:val="42"/>
          <w:rFonts w:ascii="Times New Roman" w:hAnsi="Times New Roman" w:cs="Times New Roman"/>
          <w:bCs/>
          <w:color w:val="002060"/>
          <w:w w:val="100"/>
          <w:sz w:val="16"/>
          <w:szCs w:val="16"/>
        </w:rPr>
        <w:softHyphen/>
        <w:t>значили штабс-капитана Г.П. Крейтана (20120).</w:t>
      </w:r>
    </w:p>
    <w:p w14:paraId="495D916A" w14:textId="77777777" w:rsidR="00A83A36" w:rsidRPr="00405303" w:rsidRDefault="00A83A36" w:rsidP="00C15251">
      <w:pPr>
        <w:jc w:val="both"/>
        <w:rPr>
          <w:bCs/>
          <w:color w:val="002060"/>
          <w:sz w:val="16"/>
          <w:szCs w:val="16"/>
        </w:rPr>
      </w:pPr>
    </w:p>
    <w:p w14:paraId="7F94D64F" w14:textId="77777777" w:rsidR="002A4E7A" w:rsidRPr="00405303" w:rsidRDefault="002A4E7A" w:rsidP="00C15251">
      <w:pPr>
        <w:jc w:val="both"/>
        <w:rPr>
          <w:bCs/>
          <w:color w:val="002060"/>
          <w:sz w:val="16"/>
          <w:szCs w:val="16"/>
        </w:rPr>
      </w:pPr>
      <w:r w:rsidRPr="00405303">
        <w:rPr>
          <w:bCs/>
          <w:color w:val="002060"/>
          <w:sz w:val="16"/>
          <w:szCs w:val="16"/>
          <w:lang w:bidi="ru-RU"/>
        </w:rPr>
        <w:t>В сентябре 1915 г. старший механик 2-й авиароты Смоленского авиапарка Влади</w:t>
      </w:r>
      <w:r w:rsidRPr="00405303">
        <w:rPr>
          <w:bCs/>
          <w:color w:val="002060"/>
          <w:sz w:val="16"/>
          <w:szCs w:val="16"/>
          <w:lang w:bidi="ru-RU"/>
        </w:rPr>
        <w:softHyphen/>
        <w:t>мир Федорович Савельев в сотрудничест</w:t>
      </w:r>
      <w:r w:rsidRPr="00405303">
        <w:rPr>
          <w:bCs/>
          <w:color w:val="002060"/>
          <w:sz w:val="16"/>
          <w:szCs w:val="16"/>
          <w:lang w:bidi="ru-RU"/>
        </w:rPr>
        <w:softHyphen/>
        <w:t>ве с другим механиком — Владиславом Залевским — разработали проект оригиналь</w:t>
      </w:r>
      <w:r w:rsidRPr="00405303">
        <w:rPr>
          <w:bCs/>
          <w:color w:val="002060"/>
          <w:sz w:val="16"/>
          <w:szCs w:val="16"/>
          <w:lang w:bidi="ru-RU"/>
        </w:rPr>
        <w:softHyphen/>
        <w:t>ного трехмоторного четырехплана, предназначенного для военных целей. Три двигателя по 250—260 л.с. предлагалось оборудовать в фюзеляже и оснастить зуб</w:t>
      </w:r>
      <w:r w:rsidRPr="00405303">
        <w:rPr>
          <w:bCs/>
          <w:color w:val="002060"/>
          <w:sz w:val="16"/>
          <w:szCs w:val="16"/>
          <w:lang w:bidi="ru-RU"/>
        </w:rPr>
        <w:softHyphen/>
        <w:t>чатыми или ременными передачами для привода воздушных винтов. По замыслу, такое решение позволяло получить более эффективное использование силовой уста</w:t>
      </w:r>
      <w:r w:rsidRPr="00405303">
        <w:rPr>
          <w:bCs/>
          <w:color w:val="002060"/>
          <w:sz w:val="16"/>
          <w:szCs w:val="16"/>
          <w:lang w:bidi="ru-RU"/>
        </w:rPr>
        <w:softHyphen/>
        <w:t>новки. Согласно расчетам, аппарат с эки</w:t>
      </w:r>
      <w:r w:rsidRPr="00405303">
        <w:rPr>
          <w:bCs/>
          <w:color w:val="002060"/>
          <w:sz w:val="16"/>
          <w:szCs w:val="16"/>
          <w:lang w:bidi="ru-RU"/>
        </w:rPr>
        <w:softHyphen/>
        <w:t>пажем из 5-ти человек имел следующие характеристики:</w:t>
      </w:r>
    </w:p>
    <w:p w14:paraId="0BEE8B50" w14:textId="77777777" w:rsidR="002A4E7A" w:rsidRPr="00405303" w:rsidRDefault="002A4E7A" w:rsidP="00C15251">
      <w:pPr>
        <w:jc w:val="both"/>
        <w:rPr>
          <w:bCs/>
          <w:color w:val="002060"/>
          <w:sz w:val="16"/>
          <w:szCs w:val="16"/>
        </w:rPr>
      </w:pPr>
      <w:r w:rsidRPr="00405303">
        <w:rPr>
          <w:bCs/>
          <w:color w:val="002060"/>
          <w:sz w:val="16"/>
          <w:szCs w:val="16"/>
        </w:rPr>
        <w:t>Размах верхнего крыла (м)</w:t>
      </w:r>
      <w:r w:rsidRPr="00405303">
        <w:rPr>
          <w:bCs/>
          <w:color w:val="002060"/>
          <w:sz w:val="16"/>
          <w:szCs w:val="16"/>
        </w:rPr>
        <w:tab/>
        <w:t>23,50</w:t>
      </w:r>
    </w:p>
    <w:p w14:paraId="59634438" w14:textId="77777777" w:rsidR="002A4E7A" w:rsidRPr="00405303" w:rsidRDefault="002A4E7A" w:rsidP="00C15251">
      <w:pPr>
        <w:jc w:val="both"/>
        <w:rPr>
          <w:bCs/>
          <w:color w:val="002060"/>
          <w:sz w:val="16"/>
          <w:szCs w:val="16"/>
        </w:rPr>
      </w:pPr>
      <w:r w:rsidRPr="00405303">
        <w:rPr>
          <w:bCs/>
          <w:color w:val="002060"/>
          <w:sz w:val="16"/>
          <w:szCs w:val="16"/>
        </w:rPr>
        <w:t>Длина в линии полета (м)</w:t>
      </w:r>
      <w:r w:rsidRPr="00405303">
        <w:rPr>
          <w:bCs/>
          <w:color w:val="002060"/>
          <w:sz w:val="16"/>
          <w:szCs w:val="16"/>
        </w:rPr>
        <w:tab/>
        <w:t>17,0</w:t>
      </w:r>
    </w:p>
    <w:p w14:paraId="503CEF1C" w14:textId="77777777" w:rsidR="002A4E7A" w:rsidRPr="00405303" w:rsidRDefault="002A4E7A" w:rsidP="00C15251">
      <w:pPr>
        <w:jc w:val="both"/>
        <w:rPr>
          <w:bCs/>
          <w:color w:val="002060"/>
          <w:sz w:val="16"/>
          <w:szCs w:val="16"/>
        </w:rPr>
      </w:pPr>
      <w:r w:rsidRPr="00405303">
        <w:rPr>
          <w:bCs/>
          <w:color w:val="002060"/>
          <w:sz w:val="16"/>
          <w:szCs w:val="16"/>
        </w:rPr>
        <w:t>Площадь крыльев (м2)</w:t>
      </w:r>
      <w:r w:rsidRPr="00405303">
        <w:rPr>
          <w:bCs/>
          <w:color w:val="002060"/>
          <w:sz w:val="16"/>
          <w:szCs w:val="16"/>
        </w:rPr>
        <w:tab/>
        <w:t>230,0</w:t>
      </w:r>
    </w:p>
    <w:p w14:paraId="4CADEC0C" w14:textId="77777777" w:rsidR="002A4E7A" w:rsidRPr="00405303" w:rsidRDefault="002A4E7A" w:rsidP="00C15251">
      <w:pPr>
        <w:jc w:val="both"/>
        <w:rPr>
          <w:bCs/>
          <w:color w:val="002060"/>
          <w:sz w:val="16"/>
          <w:szCs w:val="16"/>
        </w:rPr>
      </w:pPr>
      <w:r w:rsidRPr="00405303">
        <w:rPr>
          <w:bCs/>
          <w:color w:val="002060"/>
          <w:sz w:val="16"/>
          <w:szCs w:val="16"/>
        </w:rPr>
        <w:t>Вес пустого (кг)</w:t>
      </w:r>
      <w:r w:rsidRPr="00405303">
        <w:rPr>
          <w:bCs/>
          <w:color w:val="002060"/>
          <w:sz w:val="16"/>
          <w:szCs w:val="16"/>
        </w:rPr>
        <w:tab/>
        <w:t>4250</w:t>
      </w:r>
    </w:p>
    <w:p w14:paraId="47457142" w14:textId="77777777" w:rsidR="002A4E7A" w:rsidRPr="00405303" w:rsidRDefault="002A4E7A" w:rsidP="00C15251">
      <w:pPr>
        <w:jc w:val="both"/>
        <w:rPr>
          <w:bCs/>
          <w:color w:val="002060"/>
          <w:sz w:val="16"/>
          <w:szCs w:val="16"/>
        </w:rPr>
      </w:pPr>
      <w:r w:rsidRPr="00405303">
        <w:rPr>
          <w:bCs/>
          <w:color w:val="002060"/>
          <w:sz w:val="16"/>
          <w:szCs w:val="16"/>
        </w:rPr>
        <w:t>Полезная нагрузка (кг)</w:t>
      </w:r>
      <w:r w:rsidRPr="00405303">
        <w:rPr>
          <w:bCs/>
          <w:color w:val="002060"/>
          <w:sz w:val="16"/>
          <w:szCs w:val="16"/>
        </w:rPr>
        <w:tab/>
        <w:t>2750</w:t>
      </w:r>
    </w:p>
    <w:p w14:paraId="4E16D634" w14:textId="77777777" w:rsidR="002A4E7A" w:rsidRPr="00405303" w:rsidRDefault="002A4E7A" w:rsidP="00C15251">
      <w:pPr>
        <w:jc w:val="both"/>
        <w:rPr>
          <w:bCs/>
          <w:color w:val="002060"/>
          <w:sz w:val="16"/>
          <w:szCs w:val="16"/>
        </w:rPr>
      </w:pPr>
      <w:r w:rsidRPr="00405303">
        <w:rPr>
          <w:bCs/>
          <w:color w:val="002060"/>
          <w:sz w:val="16"/>
          <w:szCs w:val="16"/>
        </w:rPr>
        <w:t>Скорость максимальная (км/ч)</w:t>
      </w:r>
      <w:r w:rsidRPr="00405303">
        <w:rPr>
          <w:bCs/>
          <w:color w:val="002060"/>
          <w:sz w:val="16"/>
          <w:szCs w:val="16"/>
        </w:rPr>
        <w:tab/>
        <w:t>135</w:t>
      </w:r>
    </w:p>
    <w:p w14:paraId="5D2471F0" w14:textId="77777777" w:rsidR="002A4E7A" w:rsidRPr="00405303" w:rsidRDefault="002A4E7A" w:rsidP="00C15251">
      <w:pPr>
        <w:jc w:val="both"/>
        <w:rPr>
          <w:bCs/>
          <w:color w:val="002060"/>
          <w:sz w:val="16"/>
          <w:szCs w:val="16"/>
        </w:rPr>
      </w:pPr>
      <w:r w:rsidRPr="00405303">
        <w:rPr>
          <w:bCs/>
          <w:color w:val="002060"/>
          <w:sz w:val="16"/>
          <w:szCs w:val="16"/>
        </w:rPr>
        <w:t>Продолжительность полета (час)</w:t>
      </w:r>
      <w:r w:rsidRPr="00405303">
        <w:rPr>
          <w:bCs/>
          <w:color w:val="002060"/>
          <w:sz w:val="16"/>
          <w:szCs w:val="16"/>
        </w:rPr>
        <w:tab/>
      </w:r>
      <w:r w:rsidRPr="00405303">
        <w:rPr>
          <w:bCs/>
          <w:color w:val="002060"/>
          <w:sz w:val="16"/>
          <w:szCs w:val="16"/>
        </w:rPr>
        <w:tab/>
        <w:t>5.</w:t>
      </w:r>
    </w:p>
    <w:p w14:paraId="5A33F75A" w14:textId="77777777" w:rsidR="002A4E7A" w:rsidRPr="00405303" w:rsidRDefault="002A4E7A" w:rsidP="00C15251">
      <w:pPr>
        <w:jc w:val="both"/>
        <w:rPr>
          <w:bCs/>
          <w:color w:val="002060"/>
          <w:sz w:val="16"/>
          <w:szCs w:val="16"/>
        </w:rPr>
      </w:pPr>
      <w:r w:rsidRPr="00405303">
        <w:rPr>
          <w:bCs/>
          <w:color w:val="002060"/>
          <w:sz w:val="16"/>
          <w:szCs w:val="16"/>
        </w:rPr>
        <w:t>В силу ряда обстоятельств, проект трех</w:t>
      </w:r>
      <w:r w:rsidRPr="00405303">
        <w:rPr>
          <w:bCs/>
          <w:color w:val="002060"/>
          <w:sz w:val="16"/>
          <w:szCs w:val="16"/>
        </w:rPr>
        <w:softHyphen/>
        <w:t>моторного самолета развития не получил, однако саму идею четырехплана реализо</w:t>
      </w:r>
      <w:r w:rsidRPr="00405303">
        <w:rPr>
          <w:bCs/>
          <w:color w:val="002060"/>
          <w:sz w:val="16"/>
          <w:szCs w:val="16"/>
        </w:rPr>
        <w:softHyphen/>
        <w:t>вали при изготовлении одномоторного, двухместного разведчика. Самолет не имел названия и известен как «четырех</w:t>
      </w:r>
      <w:r w:rsidRPr="00405303">
        <w:rPr>
          <w:bCs/>
          <w:color w:val="002060"/>
          <w:sz w:val="16"/>
          <w:szCs w:val="16"/>
        </w:rPr>
        <w:softHyphen/>
        <w:t>план Савельева». При его постройке ис</w:t>
      </w:r>
      <w:r w:rsidRPr="00405303">
        <w:rPr>
          <w:bCs/>
          <w:color w:val="002060"/>
          <w:sz w:val="16"/>
          <w:szCs w:val="16"/>
        </w:rPr>
        <w:softHyphen/>
        <w:t>пользовался фюзеляж и ряд других узлов от моноплана «Моран Ж», двигатель «Гном» 80 л.с. (23374).</w:t>
      </w:r>
    </w:p>
    <w:p w14:paraId="16A51881" w14:textId="77777777" w:rsidR="002A4E7A" w:rsidRPr="00405303" w:rsidRDefault="002A4E7A" w:rsidP="00C15251">
      <w:pPr>
        <w:jc w:val="both"/>
        <w:rPr>
          <w:bCs/>
          <w:color w:val="002060"/>
          <w:sz w:val="16"/>
          <w:szCs w:val="16"/>
        </w:rPr>
      </w:pPr>
    </w:p>
    <w:p w14:paraId="3D8E843A"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1F736B6E" w14:textId="77777777" w:rsidR="004B4E35" w:rsidRPr="00405303" w:rsidRDefault="004B4E35" w:rsidP="00C15251">
      <w:pPr>
        <w:shd w:val="clear" w:color="auto" w:fill="FFFFFF"/>
        <w:jc w:val="both"/>
        <w:rPr>
          <w:bCs/>
          <w:i/>
          <w:color w:val="002060"/>
          <w:sz w:val="16"/>
          <w:szCs w:val="16"/>
        </w:rPr>
      </w:pPr>
    </w:p>
    <w:p w14:paraId="77B858E7" w14:textId="77777777" w:rsidR="0055129B" w:rsidRPr="00405303" w:rsidRDefault="0055129B" w:rsidP="0055129B">
      <w:pPr>
        <w:jc w:val="both"/>
        <w:rPr>
          <w:bCs/>
          <w:color w:val="002060"/>
          <w:sz w:val="16"/>
          <w:szCs w:val="16"/>
        </w:rPr>
      </w:pPr>
      <w:r w:rsidRPr="00405303">
        <w:rPr>
          <w:bCs/>
          <w:color w:val="002060"/>
          <w:sz w:val="16"/>
          <w:szCs w:val="16"/>
        </w:rPr>
        <w:t xml:space="preserve">В сентябре 1915 г. в ИМТУ открылась инструментальная мастерская по изготовлению приспособлений и оборудования станков для производства запальных стаканов. Выпуск их начался в январе 1916 г. и был доведен к октябрю 1917 г. до 16 800 ед. в месяц при очень хорошем коэффициенте полезного действия. Выпускать 3-дюймовые гранаты стали в августе 1916 г., и к ноябрю 1917 г. их производство достигло 5 760 ед. в месяц, также при хорошем коэффициенте полезного действия. В дальнейшем инструментальная мастерская занималась изготовлением точных калибров для </w:t>
      </w:r>
      <w:r w:rsidRPr="00405303">
        <w:rPr>
          <w:bCs/>
          <w:iCs/>
          <w:color w:val="002060"/>
          <w:sz w:val="16"/>
          <w:szCs w:val="16"/>
        </w:rPr>
        <w:t>Управления уполномоченного ГАУ по заготовлению гранат по французскому образцу</w:t>
      </w:r>
      <w:r w:rsidRPr="00405303">
        <w:rPr>
          <w:bCs/>
          <w:color w:val="002060"/>
          <w:sz w:val="16"/>
          <w:szCs w:val="16"/>
        </w:rPr>
        <w:t>, являвшихся эталонами, и инструмента для многих заводов России, работавших на оборону. В мастерских трудились в основном студенты ИМТУ, но постепенно контингент рабочих менялся, и к ноябрю 1917 г. в нем уже доминировали вольнонаемные женщины (15472).</w:t>
      </w:r>
    </w:p>
    <w:p w14:paraId="7637A002" w14:textId="77777777" w:rsidR="0055129B" w:rsidRPr="00405303" w:rsidRDefault="0055129B" w:rsidP="0055129B">
      <w:pPr>
        <w:jc w:val="both"/>
        <w:rPr>
          <w:bCs/>
          <w:color w:val="002060"/>
          <w:sz w:val="16"/>
          <w:szCs w:val="16"/>
        </w:rPr>
      </w:pPr>
    </w:p>
    <w:p w14:paraId="29ED23F1" w14:textId="77777777" w:rsidR="00244A34" w:rsidRPr="00405303" w:rsidRDefault="00244A34" w:rsidP="00C15251">
      <w:pPr>
        <w:jc w:val="both"/>
        <w:rPr>
          <w:bCs/>
          <w:color w:val="002060"/>
          <w:sz w:val="16"/>
          <w:szCs w:val="16"/>
        </w:rPr>
      </w:pPr>
      <w:r w:rsidRPr="00405303">
        <w:rPr>
          <w:bCs/>
          <w:color w:val="002060"/>
          <w:sz w:val="16"/>
          <w:szCs w:val="16"/>
        </w:rPr>
        <w:t>В сентябре 1915 г. на царицынский завод была направлена специальная комиссия Военного министерства, возглавлявшаяся генералом Фёдоровым, для обследования на месте положения со строительством завода. Комиссия установила, что завод не только не оборудован, но и в значительной степени недостроен. Комиссия сделала вывод, что при самых лучших условиях не приходится ожидать окончания строительства завода раньше декабря 1916 года. Между тем ревизия финансовых дел Общества показала, что правление завода за 1915 операционный год получило чистой прибыли 10 млн. рублей. Акционерное общество царицынского завода выдавало дивиденды по акциям предприятия, фактически не изготовившего ни одного орудия.</w:t>
      </w:r>
    </w:p>
    <w:p w14:paraId="0988AB3F" w14:textId="77777777" w:rsidR="00244A34" w:rsidRPr="00405303" w:rsidRDefault="00244A34" w:rsidP="00C15251">
      <w:pPr>
        <w:jc w:val="both"/>
        <w:rPr>
          <w:bCs/>
          <w:color w:val="002060"/>
          <w:sz w:val="16"/>
          <w:szCs w:val="16"/>
        </w:rPr>
      </w:pPr>
      <w:r w:rsidRPr="00405303">
        <w:rPr>
          <w:bCs/>
          <w:color w:val="002060"/>
          <w:sz w:val="16"/>
          <w:szCs w:val="16"/>
        </w:rPr>
        <w:t>Каким же образом недостроенный завод мог приносить прибыль, да ещё такую высокую? Получив заказ от Главного артиллерийского управления на изготовление 1500 орудий, правление завода образовало группу из трёх крупных машиностроительных заводов: Петроградского металлического, Сормовского и завода Лесснера, - с которыми было заключено специальное соглашение. Сормовский завод изготовлял тела орудий, завод Лесснера - затворы, Петроградский металлический - лафеты.</w:t>
      </w:r>
    </w:p>
    <w:p w14:paraId="5B1E496E" w14:textId="4626F18A" w:rsidR="00244A34" w:rsidRPr="00405303" w:rsidRDefault="00244A34" w:rsidP="00C15251">
      <w:pPr>
        <w:jc w:val="both"/>
        <w:rPr>
          <w:bCs/>
          <w:color w:val="002060"/>
          <w:sz w:val="16"/>
          <w:szCs w:val="16"/>
        </w:rPr>
      </w:pPr>
      <w:r w:rsidRPr="00405303">
        <w:rPr>
          <w:bCs/>
          <w:color w:val="002060"/>
          <w:sz w:val="16"/>
          <w:szCs w:val="16"/>
        </w:rPr>
        <w:t>За одну только передачу заказа Главного артиллерийского управления правление царицынского завода получало с перечисленных трёх заводов по 700 руб. с каждого орудия</w:t>
      </w:r>
      <w:proofErr w:type="gramStart"/>
      <w:r w:rsidRPr="00405303">
        <w:rPr>
          <w:bCs/>
          <w:color w:val="002060"/>
          <w:sz w:val="16"/>
          <w:szCs w:val="16"/>
          <w:vertAlign w:val="superscript"/>
        </w:rPr>
        <w:t>15</w:t>
      </w:r>
      <w:r w:rsidR="00DB4D64" w:rsidRPr="00405303">
        <w:rPr>
          <w:bCs/>
          <w:color w:val="002060"/>
          <w:sz w:val="16"/>
          <w:szCs w:val="16"/>
        </w:rPr>
        <w:t xml:space="preserve"> </w:t>
      </w:r>
      <w:r w:rsidRPr="00405303">
        <w:rPr>
          <w:bCs/>
          <w:color w:val="002060"/>
          <w:sz w:val="16"/>
          <w:szCs w:val="16"/>
        </w:rPr>
        <w:t>.</w:t>
      </w:r>
      <w:proofErr w:type="gramEnd"/>
      <w:r w:rsidRPr="00405303">
        <w:rPr>
          <w:bCs/>
          <w:color w:val="002060"/>
          <w:sz w:val="16"/>
          <w:szCs w:val="16"/>
        </w:rPr>
        <w:t xml:space="preserve"> При таком положении вещей правление царицынского зарода могло не заботиться об окончании строительства, завод так и не был достроен (18381).</w:t>
      </w:r>
    </w:p>
    <w:p w14:paraId="33F3EDFC" w14:textId="77777777" w:rsidR="00244A34" w:rsidRPr="00405303" w:rsidRDefault="00244A34" w:rsidP="00C15251">
      <w:pPr>
        <w:jc w:val="both"/>
        <w:rPr>
          <w:bCs/>
          <w:color w:val="002060"/>
          <w:sz w:val="16"/>
          <w:szCs w:val="16"/>
        </w:rPr>
      </w:pPr>
    </w:p>
    <w:p w14:paraId="253DC86C" w14:textId="77777777" w:rsidR="00E17754" w:rsidRPr="00B52707" w:rsidRDefault="00E17754" w:rsidP="00E17754">
      <w:pPr>
        <w:jc w:val="both"/>
        <w:rPr>
          <w:color w:val="0070C0"/>
          <w:sz w:val="16"/>
          <w:szCs w:val="16"/>
        </w:rPr>
      </w:pPr>
      <w:r w:rsidRPr="00B52707">
        <w:rPr>
          <w:color w:val="0070C0"/>
          <w:sz w:val="16"/>
          <w:szCs w:val="16"/>
        </w:rPr>
        <w:t>В сентябре 1915 года Химический комитет начал испытания пер</w:t>
      </w:r>
      <w:r w:rsidRPr="00B52707">
        <w:rPr>
          <w:color w:val="0070C0"/>
          <w:sz w:val="16"/>
          <w:szCs w:val="16"/>
        </w:rPr>
        <w:softHyphen/>
        <w:t>вых 20 ранцевых огнеметов профессора Горбова (25021).</w:t>
      </w:r>
    </w:p>
    <w:p w14:paraId="4E3E9C8B" w14:textId="77777777" w:rsidR="00E17754" w:rsidRPr="00B52707" w:rsidRDefault="00E17754" w:rsidP="00E17754">
      <w:pPr>
        <w:jc w:val="both"/>
        <w:rPr>
          <w:color w:val="0070C0"/>
          <w:sz w:val="16"/>
          <w:szCs w:val="16"/>
        </w:rPr>
      </w:pPr>
    </w:p>
    <w:p w14:paraId="2FFD9B0A" w14:textId="129175A7" w:rsidR="00244A34" w:rsidRPr="00405303" w:rsidRDefault="00244A34" w:rsidP="00C15251">
      <w:pPr>
        <w:pStyle w:val="ae"/>
        <w:spacing w:before="0" w:beforeAutospacing="0" w:after="0" w:afterAutospacing="0"/>
        <w:jc w:val="both"/>
        <w:rPr>
          <w:bCs/>
          <w:color w:val="002060"/>
          <w:sz w:val="16"/>
          <w:szCs w:val="16"/>
        </w:rPr>
      </w:pPr>
      <w:r w:rsidRPr="00405303">
        <w:rPr>
          <w:bCs/>
          <w:color w:val="002060"/>
          <w:sz w:val="16"/>
          <w:szCs w:val="16"/>
        </w:rPr>
        <w:t>В сентябре 1915 г доклад М. Пиолунковского, заведующего авиационно-автомобильным отделом ЦВПК «О необходимости срочного принятия правительственных мер к созданию русских автомобильных заводов», был представлен в Особое совещание по обороне государства.</w:t>
      </w:r>
      <w:r w:rsidR="00DB4D64" w:rsidRPr="00405303">
        <w:rPr>
          <w:bCs/>
          <w:color w:val="002060"/>
          <w:sz w:val="16"/>
          <w:szCs w:val="16"/>
        </w:rPr>
        <w:t xml:space="preserve"> </w:t>
      </w:r>
      <w:r w:rsidRPr="00405303">
        <w:rPr>
          <w:bCs/>
          <w:color w:val="002060"/>
          <w:sz w:val="16"/>
          <w:szCs w:val="16"/>
        </w:rPr>
        <w:t>Выдвинутые в нем предложения были многократно обсуждены на заседаниях подготовительной комиссии по общим вопросам и Особого совещания по обороне. Одновременно производилась оценка поступающих от фирм предложений специалистами ГВТУ. Как указывалось в журнале Особого совещания по обороне, создание собственной автомобильной промышленности является «целесообразным, ибо, не говоря уже о финансово-экономической стороне вопроса, этим путем создается отрасль промышленности, которая после войны, без сомнения, получит весьма важное значение». Для решения этой задачи, по мнению совещания, надо было построить казенный завод, а также воспользоваться предложениями частных фирм. Итак, вопрос о развитии автомобилестроения в России сразу приобрел характер определенной программы заводского строительства. При этом надо иметь в виду, что в инициативном документе ЦВПК, поскольку он исходил из предпринимательских кругов, речь шла о сооружении только частных заводов при финансовой поддержке со стороны государства. Предложение о казенном заводе возникло в ходе обсуждения вопроса в Совещании (18369).</w:t>
      </w:r>
    </w:p>
    <w:p w14:paraId="2F3194D8" w14:textId="77777777" w:rsidR="00244A34" w:rsidRPr="00405303" w:rsidRDefault="00244A34" w:rsidP="00C15251">
      <w:pPr>
        <w:pStyle w:val="ae"/>
        <w:spacing w:before="0" w:beforeAutospacing="0" w:after="0" w:afterAutospacing="0"/>
        <w:jc w:val="both"/>
        <w:rPr>
          <w:bCs/>
          <w:color w:val="002060"/>
          <w:sz w:val="16"/>
          <w:szCs w:val="16"/>
        </w:rPr>
      </w:pPr>
    </w:p>
    <w:p w14:paraId="1C27DD84" w14:textId="77777777" w:rsidR="00244A34" w:rsidRPr="00405303" w:rsidRDefault="00244A34" w:rsidP="00C15251">
      <w:pPr>
        <w:jc w:val="both"/>
        <w:rPr>
          <w:bCs/>
          <w:color w:val="002060"/>
          <w:sz w:val="16"/>
          <w:szCs w:val="16"/>
        </w:rPr>
      </w:pPr>
      <w:r w:rsidRPr="00405303">
        <w:rPr>
          <w:bCs/>
          <w:color w:val="002060"/>
          <w:sz w:val="16"/>
          <w:szCs w:val="16"/>
        </w:rPr>
        <w:t>В сентябре 1915 правлению общества «Сименс Гальске» удалось начать строительство, а в октябре 1916 г. частично запустить новый телеграфно-телефонный завод в Нижнем Новгороде6. Тем самым было положено начало третьему центру отечественной промышленности средств связи (после Петрограда и Москвы) (18297).</w:t>
      </w:r>
    </w:p>
    <w:p w14:paraId="75284D50" w14:textId="77777777" w:rsidR="008A2885" w:rsidRPr="00405303" w:rsidRDefault="008A2885" w:rsidP="00C15251">
      <w:pPr>
        <w:pStyle w:val="a3"/>
        <w:jc w:val="both"/>
        <w:rPr>
          <w:bCs/>
          <w:i w:val="0"/>
          <w:color w:val="002060"/>
          <w:spacing w:val="0"/>
          <w:kern w:val="0"/>
          <w:position w:val="0"/>
          <w:sz w:val="16"/>
          <w:szCs w:val="16"/>
        </w:rPr>
      </w:pPr>
    </w:p>
    <w:p w14:paraId="3564F8D7" w14:textId="2ECD134C"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сентябре 1915 г. </w:t>
      </w:r>
      <w:r w:rsidR="008A2885" w:rsidRPr="00405303">
        <w:rPr>
          <w:bCs/>
          <w:i w:val="0"/>
          <w:color w:val="002060"/>
          <w:spacing w:val="0"/>
          <w:kern w:val="0"/>
          <w:position w:val="0"/>
          <w:sz w:val="16"/>
          <w:szCs w:val="16"/>
        </w:rPr>
        <w:t xml:space="preserve">организацией Ванкова было </w:t>
      </w:r>
      <w:r w:rsidRPr="00405303">
        <w:rPr>
          <w:bCs/>
          <w:i w:val="0"/>
          <w:color w:val="002060"/>
          <w:spacing w:val="0"/>
          <w:kern w:val="0"/>
          <w:position w:val="0"/>
          <w:sz w:val="16"/>
          <w:szCs w:val="16"/>
        </w:rPr>
        <w:t xml:space="preserve">сдано 3,9% общерусского производства 76-мм снарядов, в январе 1916 г. 11,6%, а в марте 28,2% (326.270 из 1.155.000). Если же сопоставить прирост производства организации Ванкова с приростом общерусского производства, то прирост организации Ванкова в сентябре 1916 г. - 28% прироста общего производства, а в марте 1917 г. - 175%. </w:t>
      </w:r>
    </w:p>
    <w:p w14:paraId="7DAB1DC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С мая 1915 г. по январь 1918 г. ген. Ванковым было заключено 442 договора с различными многочисленными предприятиями, включенными в его организацию. </w:t>
      </w:r>
    </w:p>
    <w:p w14:paraId="28A34F8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состав организации вошли как крупные заводы и предприятия: общество Коломенского завода, Густав Лист, Донецкое и Краматорское металлургические общества, общества Мальцевских заводов, Русской железнопрокатной промышленности и трубопрокатных заводов, Паровозостроительное и механическое общество, Южно-русское днепровское.общество, товарищество Кольчугина, Тверская мануфактура, Викула Морозов, Д. П. Рябушинский, Н. А. Второв, Компания Зингер, Р. Т. Эльворти, общество "Динамо" и т. д., так и мелкие заводы и мастерские, объединяемые и необъединяемые военно-промышленными комитетами; при этом в организацию входили не только металлургические и механические заводы и предприятия, но и мануфактурные, оптические, штамповальные и т. д. </w:t>
      </w:r>
    </w:p>
    <w:p w14:paraId="1C2F239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lastRenderedPageBreak/>
        <w:t xml:space="preserve">Предприятия эти были сведены в местные районы, во главе которых были поставлены заведующие; районы открывались по мере надобности в местном объединении заводов. Таких районов было открыто 7: Московский, Южный, Тамбовский, Петроградский, Одесский, Киевский, Ярославский. В одном Московском районе объединено было около 100 заводов, мастерских и комитетов; в Одесском до 70 предприятий, по большей части мелких мастерских Одесского областного военно-промышленного комитета; в Киевском 56 заводов и мелких мастерских и т. д. Кроме того, по заказам организации Ванкова работали отдельные военно-промышленные комитеты и заводы, не объединившиеся в районы. </w:t>
      </w:r>
    </w:p>
    <w:p w14:paraId="57755C7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Для организации производства заводы были подразделены на группы: одна группа - для подготовки стали, другая - для изготовления корпусов гранаты, третья - для изготовления запальных стаканов взрывателя, четвертая - для изготовления ударных (детонаторных) трубок, пятая - для снаряжения снарядов и пр. </w:t>
      </w:r>
    </w:p>
    <w:p w14:paraId="4C69A17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Во главе каждой группы имелся завод с руководителями-специалистами, на котором давались разъяснения и производились всякого рода испытания. </w:t>
      </w:r>
    </w:p>
    <w:p w14:paraId="0B652B3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Организация Ванкова принимала необходимые меры к устранению разного рода препятствий к правильному производству и развитию работ, а именно: а) урегулирование очереди и порядка исполнения срочных заказов разных ведомств - морского, интендантского, инженерного и пр.; разрозненные действия ведомств доходили до того, что одно из ведомств начало реквизицию станков в Московском районе, вследствие чего возникло даже опасение, что работа района совершенна прекратится; б) освобождение рабочих-специалистов от призыва на службу в войска и возвращение заводам мастеровых-ратников и запасных, находящихся в тыловых войсковых частях и командах; в) урегулирование снабжения заводов топливом, материалами и машинами и оказание им, содействия в деле перевозки; еще на предварительном совещании заводчиков Московского района, происходившем в феврале 1915 г., выяснилось, что в течение месяца было доставлено донецкого угля только 22% затребованного и разрешенного горнозаводским комитетом количества, что из Архангельска не доставляются давно туда прибывшие из-за границы станки и пр.; г) устранение разного рода затруднений технического характера, встречавшихся при заводском производстве. При этом организация ген. Ванкова заняла совершенно самостоятельную позицию, независимую от Арткома ГАУ в экспериментально-техническом отношении по вопросам, касающимся контроля и пригодности стали для снарядов, выяснения причин разного рода пороков материала в снарядах, исследования и установления пригодности новых материалов для снарядов (сталистый чугун) и т. п. В этой работе организации Ванкова пришли на помощь научно-технические силы Москвы, в особенности профессора, преподаватели и лаборатории Высшего московского технического училища. </w:t>
      </w:r>
    </w:p>
    <w:p w14:paraId="433727D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При заготовлении снарядов организацией Ванкова был избран как более отвечающий обстоятельствам дела, по своей гибкости и применимости к обстановке, и вместе обеспечивающий интересы казны, так называемый прежним законом "комиссионерский способ заготовления", но с некоторыми отступлениями. </w:t>
      </w:r>
    </w:p>
    <w:p w14:paraId="3600DEB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Этот способ заготовления обыкновенно применялся к предметам второстепенного для армии значения и в сравнительно небольших размерах. </w:t>
      </w:r>
    </w:p>
    <w:p w14:paraId="5A6CEA5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Заготовление гранат по французскому образцу организацией Ванкова-представляло первый и чуть ли не единственный в притом удачный опыт применения "комиссионерского способа" в отношении предметов первостепенной важности и в чрезвычайно широком размере. </w:t>
      </w:r>
    </w:p>
    <w:p w14:paraId="1F681AD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 мнению ген. Ванкова, организация порученного ему дела должна была бы </w:t>
      </w:r>
      <w:proofErr w:type="gramStart"/>
      <w:r w:rsidRPr="00405303">
        <w:rPr>
          <w:bCs/>
          <w:i w:val="0"/>
          <w:color w:val="002060"/>
          <w:spacing w:val="0"/>
          <w:kern w:val="0"/>
          <w:position w:val="0"/>
          <w:sz w:val="16"/>
          <w:szCs w:val="16"/>
        </w:rPr>
        <w:t>напоминать</w:t>
      </w:r>
      <w:proofErr w:type="gramEnd"/>
      <w:r w:rsidRPr="00405303">
        <w:rPr>
          <w:bCs/>
          <w:i w:val="0"/>
          <w:color w:val="002060"/>
          <w:spacing w:val="0"/>
          <w:kern w:val="0"/>
          <w:position w:val="0"/>
          <w:sz w:val="16"/>
          <w:szCs w:val="16"/>
        </w:rPr>
        <w:t xml:space="preserve"> как бы организацию крупного промышленного предприятия с директором-распорядителем во главе. По его мнению, канцелярская волокита могла убить дело; стоящее во главе дела лицо должно было "иметь право на месте решать бесповоротно и окончательно все возникающие экономическо-хозяйственные и технические вопросы". Лицо без таких широких полномочий не могло бы, по мнению Ванкова, добыть потребные сырые материалы и топливо без вредных задержек, какие в то время постоянно происходили даже с казенными грузами. </w:t>
      </w:r>
    </w:p>
    <w:p w14:paraId="77D9E21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Просимые ген. Ванковым права и полномочия были ему предоставлены далёко не в полном объеме (11483).</w:t>
      </w:r>
    </w:p>
    <w:p w14:paraId="7CC3C3ED" w14:textId="77777777" w:rsidR="004B4E35" w:rsidRPr="00405303" w:rsidRDefault="004B4E35" w:rsidP="00C15251">
      <w:pPr>
        <w:pStyle w:val="a3"/>
        <w:jc w:val="both"/>
        <w:rPr>
          <w:bCs/>
          <w:i w:val="0"/>
          <w:color w:val="002060"/>
          <w:spacing w:val="0"/>
          <w:kern w:val="0"/>
          <w:position w:val="0"/>
          <w:sz w:val="16"/>
          <w:szCs w:val="16"/>
        </w:rPr>
      </w:pPr>
    </w:p>
    <w:p w14:paraId="7D405C32" w14:textId="77777777" w:rsidR="004B4E35" w:rsidRPr="00405303" w:rsidRDefault="009E6F82" w:rsidP="00C15251">
      <w:pPr>
        <w:jc w:val="both"/>
        <w:rPr>
          <w:bCs/>
          <w:color w:val="002060"/>
          <w:sz w:val="16"/>
          <w:szCs w:val="16"/>
        </w:rPr>
      </w:pPr>
      <w:r w:rsidRPr="00405303">
        <w:rPr>
          <w:bCs/>
          <w:color w:val="002060"/>
          <w:sz w:val="16"/>
          <w:szCs w:val="16"/>
        </w:rPr>
        <w:t>С сентября по декабрь 1916 г. добыча серного колчедана составила 1875 тыс. пуд., а потребность – только на 2 тыс. пуд. меньше. Согласно данным В.Н. Ипатьева, в августе 1915 г. в России было 1555 тыс. пуд. серного колчедана в месяц, включая запас в 900 тыс. пуд. В сентябре того же года никакого запаса уже не было, а добыча серного колчедана составляла 855 тыс. пуд. при потребности в 964 тыс. пуд. Однако уже в октябре добыча поднялась до 1280 тыс. пуд. при потребности в 964 тыс. пуд. В дальнейшем добыча опережала потребность, но разрыв этот уменьшался. Благодаря мерам, принятым Комиссией по заготовке взрывчатых веществ, ежемесячное производство серной кислоты на существующих заводах в декабре 1915 г. составило 800 тыс. пуд., что было явно недостаточно. Однако после постройки новых сернокислотных заводов к сентябрю 1916 г. общий объем произведенной кислоты равнялся 1864,7 тыс. пуд., что было больше довоенного уровня (Ипатьев В.Н. Работа химической промышленности на оборону во время войны. Пг., 1920. Эта тема была затронута и в мемуарах В.Н. Ипатьева "Жизнь одного химика" (Нью-Йорк, 1945).). Если в феврале 1915 г. было изготовлено 6.3 тыс. пуд. взрывчатых веществ, то в январе 1917 г. – 130,8 тыс. пуд. Если в феврале 1915 г. взрывчатые вещества производились только на четырех заводах, то в январе 1917 г. этих заводов было 28{42}. Производство сырого каменноугольного бензола выросло с 15,6 тыс. пуд. в феврале 1915 г. до 61,8 тыс. пуд. в январе 1917 г. (11781).</w:t>
      </w:r>
    </w:p>
    <w:p w14:paraId="291DE92B" w14:textId="77777777" w:rsidR="004B4E35" w:rsidRPr="00405303" w:rsidRDefault="004B4E35" w:rsidP="00C15251">
      <w:pPr>
        <w:jc w:val="both"/>
        <w:rPr>
          <w:bCs/>
          <w:color w:val="002060"/>
          <w:sz w:val="16"/>
          <w:szCs w:val="16"/>
        </w:rPr>
      </w:pPr>
    </w:p>
    <w:p w14:paraId="4E5C5B05" w14:textId="6C2CA717" w:rsidR="004B4E35" w:rsidRPr="00405303" w:rsidRDefault="008A2885" w:rsidP="00C15251">
      <w:pPr>
        <w:jc w:val="both"/>
        <w:rPr>
          <w:bCs/>
          <w:color w:val="002060"/>
          <w:sz w:val="16"/>
          <w:szCs w:val="16"/>
        </w:rPr>
      </w:pPr>
      <w:r w:rsidRPr="00405303">
        <w:rPr>
          <w:bCs/>
          <w:color w:val="002060"/>
          <w:sz w:val="16"/>
          <w:szCs w:val="16"/>
        </w:rPr>
        <w:t>С</w:t>
      </w:r>
      <w:r w:rsidR="009E6F82" w:rsidRPr="00405303">
        <w:rPr>
          <w:bCs/>
          <w:color w:val="002060"/>
          <w:sz w:val="16"/>
          <w:szCs w:val="16"/>
        </w:rPr>
        <w:t xml:space="preserve"> сентября 1915 г. </w:t>
      </w:r>
      <w:r w:rsidRPr="00405303">
        <w:rPr>
          <w:bCs/>
          <w:color w:val="002060"/>
          <w:sz w:val="16"/>
          <w:szCs w:val="16"/>
        </w:rPr>
        <w:t xml:space="preserve">организацией Ванкова началось валовое изготовление 3-дм гранат </w:t>
      </w:r>
      <w:r w:rsidR="009E6F82" w:rsidRPr="00405303">
        <w:rPr>
          <w:bCs/>
          <w:color w:val="002060"/>
          <w:sz w:val="16"/>
          <w:szCs w:val="16"/>
        </w:rPr>
        <w:t xml:space="preserve">и </w:t>
      </w:r>
      <w:proofErr w:type="gramStart"/>
      <w:r w:rsidR="009E6F82" w:rsidRPr="00405303">
        <w:rPr>
          <w:bCs/>
          <w:color w:val="002060"/>
          <w:sz w:val="16"/>
          <w:szCs w:val="16"/>
        </w:rPr>
        <w:t>шло</w:t>
      </w:r>
      <w:proofErr w:type="gramEnd"/>
      <w:r w:rsidR="009E6F82" w:rsidRPr="00405303">
        <w:rPr>
          <w:bCs/>
          <w:color w:val="002060"/>
          <w:sz w:val="16"/>
          <w:szCs w:val="16"/>
        </w:rPr>
        <w:t xml:space="preserve"> постоянно увеличиваясь и достигнув максимума в декабре 1916 года. </w:t>
      </w:r>
    </w:p>
    <w:p w14:paraId="481CA2F6" w14:textId="77777777" w:rsidR="004B4E35" w:rsidRPr="00405303" w:rsidRDefault="009E6F82" w:rsidP="00C15251">
      <w:pPr>
        <w:jc w:val="both"/>
        <w:rPr>
          <w:bCs/>
          <w:color w:val="002060"/>
          <w:sz w:val="16"/>
          <w:szCs w:val="16"/>
        </w:rPr>
      </w:pPr>
      <w:r w:rsidRPr="00405303">
        <w:rPr>
          <w:bCs/>
          <w:color w:val="002060"/>
          <w:sz w:val="16"/>
          <w:szCs w:val="16"/>
        </w:rPr>
        <w:t xml:space="preserve">Рост месячного выпуска снарядов шел следующим темпом (суммарно по всем заводам,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600"/>
      </w:tblGrid>
      <w:tr w:rsidR="004B4E35" w:rsidRPr="00405303" w14:paraId="0A4FF77A" w14:textId="77777777">
        <w:tc>
          <w:tcPr>
            <w:tcW w:w="1896" w:type="dxa"/>
          </w:tcPr>
          <w:p w14:paraId="0DA49089" w14:textId="77777777" w:rsidR="004B4E35" w:rsidRPr="00405303" w:rsidRDefault="009E6F82" w:rsidP="00C15251">
            <w:pPr>
              <w:jc w:val="both"/>
              <w:rPr>
                <w:bCs/>
                <w:color w:val="002060"/>
                <w:sz w:val="16"/>
                <w:szCs w:val="16"/>
              </w:rPr>
            </w:pPr>
            <w:r w:rsidRPr="00405303">
              <w:rPr>
                <w:bCs/>
                <w:color w:val="002060"/>
                <w:sz w:val="16"/>
                <w:szCs w:val="16"/>
              </w:rPr>
              <w:t>1915 г., сентябрь</w:t>
            </w:r>
          </w:p>
        </w:tc>
        <w:tc>
          <w:tcPr>
            <w:tcW w:w="600" w:type="dxa"/>
          </w:tcPr>
          <w:p w14:paraId="7D499116" w14:textId="77777777" w:rsidR="004B4E35" w:rsidRPr="00405303" w:rsidRDefault="009E6F82" w:rsidP="00C15251">
            <w:pPr>
              <w:jc w:val="both"/>
              <w:rPr>
                <w:bCs/>
                <w:color w:val="002060"/>
                <w:sz w:val="16"/>
                <w:szCs w:val="16"/>
              </w:rPr>
            </w:pPr>
            <w:r w:rsidRPr="00405303">
              <w:rPr>
                <w:bCs/>
                <w:color w:val="002060"/>
                <w:sz w:val="16"/>
                <w:szCs w:val="16"/>
              </w:rPr>
              <w:t xml:space="preserve">66 </w:t>
            </w:r>
          </w:p>
        </w:tc>
      </w:tr>
      <w:tr w:rsidR="004B4E35" w:rsidRPr="00405303" w14:paraId="74C6F4E9" w14:textId="77777777">
        <w:tc>
          <w:tcPr>
            <w:tcW w:w="1896" w:type="dxa"/>
          </w:tcPr>
          <w:p w14:paraId="38D5A7D0" w14:textId="77777777" w:rsidR="004B4E35" w:rsidRPr="00405303" w:rsidRDefault="009E6F82" w:rsidP="00C15251">
            <w:pPr>
              <w:jc w:val="both"/>
              <w:rPr>
                <w:bCs/>
                <w:color w:val="002060"/>
                <w:sz w:val="16"/>
                <w:szCs w:val="16"/>
              </w:rPr>
            </w:pPr>
            <w:r w:rsidRPr="00405303">
              <w:rPr>
                <w:bCs/>
                <w:color w:val="002060"/>
                <w:sz w:val="16"/>
                <w:szCs w:val="16"/>
              </w:rPr>
              <w:t>октябрь</w:t>
            </w:r>
          </w:p>
        </w:tc>
        <w:tc>
          <w:tcPr>
            <w:tcW w:w="600" w:type="dxa"/>
          </w:tcPr>
          <w:p w14:paraId="77939BA5" w14:textId="77777777" w:rsidR="004B4E35" w:rsidRPr="00405303" w:rsidRDefault="009E6F82" w:rsidP="00C15251">
            <w:pPr>
              <w:jc w:val="both"/>
              <w:rPr>
                <w:bCs/>
                <w:color w:val="002060"/>
                <w:sz w:val="16"/>
                <w:szCs w:val="16"/>
              </w:rPr>
            </w:pPr>
            <w:r w:rsidRPr="00405303">
              <w:rPr>
                <w:bCs/>
                <w:color w:val="002060"/>
                <w:sz w:val="16"/>
                <w:szCs w:val="16"/>
              </w:rPr>
              <w:t xml:space="preserve">127 </w:t>
            </w:r>
          </w:p>
        </w:tc>
      </w:tr>
      <w:tr w:rsidR="004B4E35" w:rsidRPr="00405303" w14:paraId="56810456" w14:textId="77777777">
        <w:tc>
          <w:tcPr>
            <w:tcW w:w="1896" w:type="dxa"/>
          </w:tcPr>
          <w:p w14:paraId="0FAE851C"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600" w:type="dxa"/>
          </w:tcPr>
          <w:p w14:paraId="35353D64" w14:textId="77777777" w:rsidR="004B4E35" w:rsidRPr="00405303" w:rsidRDefault="009E6F82" w:rsidP="00C15251">
            <w:pPr>
              <w:jc w:val="both"/>
              <w:rPr>
                <w:bCs/>
                <w:color w:val="002060"/>
                <w:sz w:val="16"/>
                <w:szCs w:val="16"/>
              </w:rPr>
            </w:pPr>
            <w:r w:rsidRPr="00405303">
              <w:rPr>
                <w:bCs/>
                <w:color w:val="002060"/>
                <w:sz w:val="16"/>
                <w:szCs w:val="16"/>
              </w:rPr>
              <w:t xml:space="preserve">185 </w:t>
            </w:r>
          </w:p>
        </w:tc>
      </w:tr>
      <w:tr w:rsidR="004B4E35" w:rsidRPr="00405303" w14:paraId="060E6D6F" w14:textId="77777777">
        <w:tc>
          <w:tcPr>
            <w:tcW w:w="1896" w:type="dxa"/>
          </w:tcPr>
          <w:p w14:paraId="2E903D5F"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600" w:type="dxa"/>
          </w:tcPr>
          <w:p w14:paraId="6E8F2F17" w14:textId="77777777" w:rsidR="004B4E35" w:rsidRPr="00405303" w:rsidRDefault="009E6F82" w:rsidP="00C15251">
            <w:pPr>
              <w:jc w:val="both"/>
              <w:rPr>
                <w:bCs/>
                <w:color w:val="002060"/>
                <w:sz w:val="16"/>
                <w:szCs w:val="16"/>
              </w:rPr>
            </w:pPr>
            <w:r w:rsidRPr="00405303">
              <w:rPr>
                <w:bCs/>
                <w:color w:val="002060"/>
                <w:sz w:val="16"/>
                <w:szCs w:val="16"/>
              </w:rPr>
              <w:t xml:space="preserve">223 </w:t>
            </w:r>
          </w:p>
        </w:tc>
      </w:tr>
      <w:tr w:rsidR="004B4E35" w:rsidRPr="00405303" w14:paraId="5DF417FE" w14:textId="77777777">
        <w:tc>
          <w:tcPr>
            <w:tcW w:w="1896" w:type="dxa"/>
          </w:tcPr>
          <w:p w14:paraId="7288FA56" w14:textId="77777777" w:rsidR="004B4E35" w:rsidRPr="00405303" w:rsidRDefault="009E6F82" w:rsidP="00C15251">
            <w:pPr>
              <w:jc w:val="both"/>
              <w:rPr>
                <w:bCs/>
                <w:color w:val="002060"/>
                <w:sz w:val="16"/>
                <w:szCs w:val="16"/>
              </w:rPr>
            </w:pPr>
            <w:r w:rsidRPr="00405303">
              <w:rPr>
                <w:bCs/>
                <w:color w:val="002060"/>
                <w:sz w:val="16"/>
                <w:szCs w:val="16"/>
              </w:rPr>
              <w:t>1916 г., январь</w:t>
            </w:r>
          </w:p>
        </w:tc>
        <w:tc>
          <w:tcPr>
            <w:tcW w:w="600" w:type="dxa"/>
          </w:tcPr>
          <w:p w14:paraId="0BF8AC3B" w14:textId="77777777" w:rsidR="004B4E35" w:rsidRPr="00405303" w:rsidRDefault="009E6F82" w:rsidP="00C15251">
            <w:pPr>
              <w:jc w:val="both"/>
              <w:rPr>
                <w:bCs/>
                <w:color w:val="002060"/>
                <w:sz w:val="16"/>
                <w:szCs w:val="16"/>
              </w:rPr>
            </w:pPr>
            <w:r w:rsidRPr="00405303">
              <w:rPr>
                <w:bCs/>
                <w:color w:val="002060"/>
                <w:sz w:val="16"/>
                <w:szCs w:val="16"/>
              </w:rPr>
              <w:t xml:space="preserve">245 </w:t>
            </w:r>
          </w:p>
        </w:tc>
      </w:tr>
      <w:tr w:rsidR="004B4E35" w:rsidRPr="00405303" w14:paraId="5F59D474" w14:textId="77777777">
        <w:tc>
          <w:tcPr>
            <w:tcW w:w="1896" w:type="dxa"/>
          </w:tcPr>
          <w:p w14:paraId="78494CD4" w14:textId="77777777" w:rsidR="004B4E35" w:rsidRPr="00405303" w:rsidRDefault="009E6F82" w:rsidP="00C15251">
            <w:pPr>
              <w:jc w:val="both"/>
              <w:rPr>
                <w:bCs/>
                <w:color w:val="002060"/>
                <w:sz w:val="16"/>
                <w:szCs w:val="16"/>
              </w:rPr>
            </w:pPr>
            <w:r w:rsidRPr="00405303">
              <w:rPr>
                <w:bCs/>
                <w:color w:val="002060"/>
                <w:sz w:val="16"/>
                <w:szCs w:val="16"/>
              </w:rPr>
              <w:t>апрель</w:t>
            </w:r>
          </w:p>
        </w:tc>
        <w:tc>
          <w:tcPr>
            <w:tcW w:w="600" w:type="dxa"/>
          </w:tcPr>
          <w:p w14:paraId="2F154DE3" w14:textId="77777777" w:rsidR="004B4E35" w:rsidRPr="00405303" w:rsidRDefault="009E6F82" w:rsidP="00C15251">
            <w:pPr>
              <w:jc w:val="both"/>
              <w:rPr>
                <w:bCs/>
                <w:color w:val="002060"/>
                <w:sz w:val="16"/>
                <w:szCs w:val="16"/>
              </w:rPr>
            </w:pPr>
            <w:r w:rsidRPr="00405303">
              <w:rPr>
                <w:bCs/>
                <w:color w:val="002060"/>
                <w:sz w:val="16"/>
                <w:szCs w:val="16"/>
              </w:rPr>
              <w:t xml:space="preserve">422 </w:t>
            </w:r>
          </w:p>
        </w:tc>
      </w:tr>
      <w:tr w:rsidR="004B4E35" w:rsidRPr="00405303" w14:paraId="0319786C" w14:textId="77777777">
        <w:tc>
          <w:tcPr>
            <w:tcW w:w="1896" w:type="dxa"/>
          </w:tcPr>
          <w:p w14:paraId="143861ED" w14:textId="77777777" w:rsidR="004B4E35" w:rsidRPr="00405303" w:rsidRDefault="009E6F82" w:rsidP="00C15251">
            <w:pPr>
              <w:jc w:val="both"/>
              <w:rPr>
                <w:bCs/>
                <w:color w:val="002060"/>
                <w:sz w:val="16"/>
                <w:szCs w:val="16"/>
              </w:rPr>
            </w:pPr>
            <w:r w:rsidRPr="00405303">
              <w:rPr>
                <w:bCs/>
                <w:color w:val="002060"/>
                <w:sz w:val="16"/>
                <w:szCs w:val="16"/>
              </w:rPr>
              <w:t>июль</w:t>
            </w:r>
          </w:p>
        </w:tc>
        <w:tc>
          <w:tcPr>
            <w:tcW w:w="600" w:type="dxa"/>
          </w:tcPr>
          <w:p w14:paraId="52117745" w14:textId="77777777" w:rsidR="004B4E35" w:rsidRPr="00405303" w:rsidRDefault="009E6F82" w:rsidP="00C15251">
            <w:pPr>
              <w:jc w:val="both"/>
              <w:rPr>
                <w:bCs/>
                <w:color w:val="002060"/>
                <w:sz w:val="16"/>
                <w:szCs w:val="16"/>
              </w:rPr>
            </w:pPr>
            <w:r w:rsidRPr="00405303">
              <w:rPr>
                <w:bCs/>
                <w:color w:val="002060"/>
                <w:sz w:val="16"/>
                <w:szCs w:val="16"/>
              </w:rPr>
              <w:t xml:space="preserve">688 </w:t>
            </w:r>
          </w:p>
        </w:tc>
      </w:tr>
      <w:tr w:rsidR="004B4E35" w:rsidRPr="00405303" w14:paraId="38F9FFFE" w14:textId="77777777">
        <w:tc>
          <w:tcPr>
            <w:tcW w:w="1896" w:type="dxa"/>
          </w:tcPr>
          <w:p w14:paraId="032D7F5C" w14:textId="77777777" w:rsidR="004B4E35" w:rsidRPr="00405303" w:rsidRDefault="009E6F82" w:rsidP="00C15251">
            <w:pPr>
              <w:jc w:val="both"/>
              <w:rPr>
                <w:bCs/>
                <w:color w:val="002060"/>
                <w:sz w:val="16"/>
                <w:szCs w:val="16"/>
              </w:rPr>
            </w:pPr>
            <w:r w:rsidRPr="00405303">
              <w:rPr>
                <w:bCs/>
                <w:color w:val="002060"/>
                <w:sz w:val="16"/>
                <w:szCs w:val="16"/>
              </w:rPr>
              <w:t>сентябрь</w:t>
            </w:r>
          </w:p>
        </w:tc>
        <w:tc>
          <w:tcPr>
            <w:tcW w:w="600" w:type="dxa"/>
          </w:tcPr>
          <w:p w14:paraId="037BA1C7" w14:textId="77777777" w:rsidR="004B4E35" w:rsidRPr="00405303" w:rsidRDefault="009E6F82" w:rsidP="00C15251">
            <w:pPr>
              <w:jc w:val="both"/>
              <w:rPr>
                <w:bCs/>
                <w:color w:val="002060"/>
                <w:sz w:val="16"/>
                <w:szCs w:val="16"/>
              </w:rPr>
            </w:pPr>
            <w:r w:rsidRPr="00405303">
              <w:rPr>
                <w:bCs/>
                <w:color w:val="002060"/>
                <w:sz w:val="16"/>
                <w:szCs w:val="16"/>
              </w:rPr>
              <w:t xml:space="preserve">703 </w:t>
            </w:r>
          </w:p>
        </w:tc>
      </w:tr>
      <w:tr w:rsidR="004B4E35" w:rsidRPr="00405303" w14:paraId="675A92FD" w14:textId="77777777">
        <w:tc>
          <w:tcPr>
            <w:tcW w:w="1896" w:type="dxa"/>
          </w:tcPr>
          <w:p w14:paraId="69DE8807"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600" w:type="dxa"/>
          </w:tcPr>
          <w:p w14:paraId="191575F2" w14:textId="77777777" w:rsidR="004B4E35" w:rsidRPr="00405303" w:rsidRDefault="009E6F82" w:rsidP="00C15251">
            <w:pPr>
              <w:jc w:val="both"/>
              <w:rPr>
                <w:bCs/>
                <w:color w:val="002060"/>
                <w:sz w:val="16"/>
                <w:szCs w:val="16"/>
              </w:rPr>
            </w:pPr>
            <w:r w:rsidRPr="00405303">
              <w:rPr>
                <w:bCs/>
                <w:color w:val="002060"/>
                <w:sz w:val="16"/>
                <w:szCs w:val="16"/>
              </w:rPr>
              <w:t xml:space="preserve">783 </w:t>
            </w:r>
          </w:p>
        </w:tc>
      </w:tr>
      <w:tr w:rsidR="004B4E35" w:rsidRPr="00405303" w14:paraId="063EED8A" w14:textId="77777777">
        <w:tc>
          <w:tcPr>
            <w:tcW w:w="1896" w:type="dxa"/>
          </w:tcPr>
          <w:p w14:paraId="18C5D818" w14:textId="77777777" w:rsidR="004B4E35" w:rsidRPr="00405303" w:rsidRDefault="009E6F82" w:rsidP="00C15251">
            <w:pPr>
              <w:jc w:val="both"/>
              <w:rPr>
                <w:bCs/>
                <w:color w:val="002060"/>
                <w:sz w:val="16"/>
                <w:szCs w:val="16"/>
              </w:rPr>
            </w:pPr>
            <w:r w:rsidRPr="00405303">
              <w:rPr>
                <w:bCs/>
                <w:color w:val="002060"/>
                <w:sz w:val="16"/>
                <w:szCs w:val="16"/>
              </w:rPr>
              <w:t>1917 г., январь</w:t>
            </w:r>
          </w:p>
        </w:tc>
        <w:tc>
          <w:tcPr>
            <w:tcW w:w="600" w:type="dxa"/>
          </w:tcPr>
          <w:p w14:paraId="78FFBE92" w14:textId="77777777" w:rsidR="004B4E35" w:rsidRPr="00405303" w:rsidRDefault="009E6F82" w:rsidP="00C15251">
            <w:pPr>
              <w:jc w:val="both"/>
              <w:rPr>
                <w:bCs/>
                <w:color w:val="002060"/>
                <w:sz w:val="16"/>
                <w:szCs w:val="16"/>
              </w:rPr>
            </w:pPr>
            <w:r w:rsidRPr="00405303">
              <w:rPr>
                <w:bCs/>
                <w:color w:val="002060"/>
                <w:sz w:val="16"/>
                <w:szCs w:val="16"/>
              </w:rPr>
              <w:t xml:space="preserve">764 </w:t>
            </w:r>
          </w:p>
        </w:tc>
      </w:tr>
      <w:tr w:rsidR="004B4E35" w:rsidRPr="00405303" w14:paraId="1D7AEABD" w14:textId="77777777">
        <w:tc>
          <w:tcPr>
            <w:tcW w:w="1896" w:type="dxa"/>
          </w:tcPr>
          <w:p w14:paraId="372B7C68" w14:textId="77777777" w:rsidR="004B4E35" w:rsidRPr="00405303" w:rsidRDefault="009E6F82" w:rsidP="00C15251">
            <w:pPr>
              <w:jc w:val="both"/>
              <w:rPr>
                <w:bCs/>
                <w:color w:val="002060"/>
                <w:sz w:val="16"/>
                <w:szCs w:val="16"/>
              </w:rPr>
            </w:pPr>
            <w:r w:rsidRPr="00405303">
              <w:rPr>
                <w:bCs/>
                <w:color w:val="002060"/>
                <w:sz w:val="16"/>
                <w:szCs w:val="16"/>
              </w:rPr>
              <w:t>апрель</w:t>
            </w:r>
          </w:p>
        </w:tc>
        <w:tc>
          <w:tcPr>
            <w:tcW w:w="600" w:type="dxa"/>
          </w:tcPr>
          <w:p w14:paraId="1A50813E" w14:textId="77777777" w:rsidR="004B4E35" w:rsidRPr="00405303" w:rsidRDefault="009E6F82" w:rsidP="00C15251">
            <w:pPr>
              <w:jc w:val="both"/>
              <w:rPr>
                <w:bCs/>
                <w:color w:val="002060"/>
                <w:sz w:val="16"/>
                <w:szCs w:val="16"/>
              </w:rPr>
            </w:pPr>
            <w:r w:rsidRPr="00405303">
              <w:rPr>
                <w:bCs/>
                <w:color w:val="002060"/>
                <w:sz w:val="16"/>
                <w:szCs w:val="16"/>
              </w:rPr>
              <w:t xml:space="preserve">501 </w:t>
            </w:r>
          </w:p>
        </w:tc>
      </w:tr>
      <w:tr w:rsidR="004B4E35" w:rsidRPr="00405303" w14:paraId="1A454D2F" w14:textId="77777777">
        <w:tc>
          <w:tcPr>
            <w:tcW w:w="1896" w:type="dxa"/>
          </w:tcPr>
          <w:p w14:paraId="0F8C0584" w14:textId="77777777" w:rsidR="004B4E35" w:rsidRPr="00405303" w:rsidRDefault="009E6F82" w:rsidP="00C15251">
            <w:pPr>
              <w:jc w:val="both"/>
              <w:rPr>
                <w:bCs/>
                <w:color w:val="002060"/>
                <w:sz w:val="16"/>
                <w:szCs w:val="16"/>
              </w:rPr>
            </w:pPr>
            <w:r w:rsidRPr="00405303">
              <w:rPr>
                <w:bCs/>
                <w:color w:val="002060"/>
                <w:sz w:val="16"/>
                <w:szCs w:val="16"/>
              </w:rPr>
              <w:t>июль</w:t>
            </w:r>
          </w:p>
        </w:tc>
        <w:tc>
          <w:tcPr>
            <w:tcW w:w="600" w:type="dxa"/>
          </w:tcPr>
          <w:p w14:paraId="09BC5CEB" w14:textId="77777777" w:rsidR="004B4E35" w:rsidRPr="00405303" w:rsidRDefault="009E6F82" w:rsidP="00C15251">
            <w:pPr>
              <w:jc w:val="both"/>
              <w:rPr>
                <w:bCs/>
                <w:color w:val="002060"/>
                <w:sz w:val="16"/>
                <w:szCs w:val="16"/>
              </w:rPr>
            </w:pPr>
            <w:r w:rsidRPr="00405303">
              <w:rPr>
                <w:bCs/>
                <w:color w:val="002060"/>
                <w:sz w:val="16"/>
                <w:szCs w:val="16"/>
              </w:rPr>
              <w:t xml:space="preserve">449 </w:t>
            </w:r>
          </w:p>
        </w:tc>
      </w:tr>
      <w:tr w:rsidR="004B4E35" w:rsidRPr="00405303" w14:paraId="1CC80BAF" w14:textId="77777777">
        <w:tc>
          <w:tcPr>
            <w:tcW w:w="1896" w:type="dxa"/>
          </w:tcPr>
          <w:p w14:paraId="6FAEC52F"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600" w:type="dxa"/>
          </w:tcPr>
          <w:p w14:paraId="1ECF965C" w14:textId="77777777" w:rsidR="004B4E35" w:rsidRPr="00405303" w:rsidRDefault="009E6F82" w:rsidP="00C15251">
            <w:pPr>
              <w:jc w:val="both"/>
              <w:rPr>
                <w:bCs/>
                <w:color w:val="002060"/>
                <w:sz w:val="16"/>
                <w:szCs w:val="16"/>
              </w:rPr>
            </w:pPr>
            <w:r w:rsidRPr="00405303">
              <w:rPr>
                <w:bCs/>
                <w:color w:val="002060"/>
                <w:sz w:val="16"/>
                <w:szCs w:val="16"/>
              </w:rPr>
              <w:t xml:space="preserve">291 </w:t>
            </w:r>
          </w:p>
        </w:tc>
      </w:tr>
    </w:tbl>
    <w:p w14:paraId="4174FE42" w14:textId="77777777" w:rsidR="004B4E35" w:rsidRPr="00405303" w:rsidRDefault="009E6F82" w:rsidP="00C15251">
      <w:pPr>
        <w:jc w:val="both"/>
        <w:rPr>
          <w:bCs/>
          <w:color w:val="002060"/>
          <w:sz w:val="16"/>
          <w:szCs w:val="16"/>
        </w:rPr>
      </w:pPr>
      <w:r w:rsidRPr="00405303">
        <w:rPr>
          <w:bCs/>
          <w:color w:val="002060"/>
          <w:sz w:val="16"/>
          <w:szCs w:val="16"/>
        </w:rPr>
        <w:t xml:space="preserve">Всего с сентября 1915 г. по ноябрь 1917 г. выпущено 12 000 000 корпусов 3-дм гранат. С февраля 1917 г. производительность начинает падать и приходит к нулю в конце 1917 года. </w:t>
      </w:r>
    </w:p>
    <w:p w14:paraId="404B00F8" w14:textId="77777777" w:rsidR="004B4E35" w:rsidRPr="00405303" w:rsidRDefault="009E6F82" w:rsidP="00C15251">
      <w:pPr>
        <w:jc w:val="both"/>
        <w:rPr>
          <w:bCs/>
          <w:color w:val="002060"/>
          <w:sz w:val="16"/>
          <w:szCs w:val="16"/>
        </w:rPr>
      </w:pPr>
      <w:r w:rsidRPr="00405303">
        <w:rPr>
          <w:bCs/>
          <w:color w:val="002060"/>
          <w:sz w:val="16"/>
          <w:szCs w:val="16"/>
        </w:rPr>
        <w:t xml:space="preserve">Сверх 3-дм гранат французского образца, уполномоченному ГАУ в середине 1916 г. было, как указано выше, поручено Главным артиллерийским управлением изготовление стальных снарядов 155-мм, 57-мм и 48-лин. химических, в количествах, указанных выше. </w:t>
      </w:r>
    </w:p>
    <w:p w14:paraId="1870FF84" w14:textId="77777777" w:rsidR="004B4E35" w:rsidRPr="00405303" w:rsidRDefault="009E6F82" w:rsidP="00C15251">
      <w:pPr>
        <w:jc w:val="both"/>
        <w:rPr>
          <w:bCs/>
          <w:color w:val="002060"/>
          <w:sz w:val="16"/>
          <w:szCs w:val="16"/>
        </w:rPr>
      </w:pPr>
      <w:r w:rsidRPr="00405303">
        <w:rPr>
          <w:bCs/>
          <w:color w:val="002060"/>
          <w:sz w:val="16"/>
          <w:szCs w:val="16"/>
        </w:rPr>
        <w:t xml:space="preserve">Все подготовительные к исполнению заказа работы были выполнены и заказ размещен, но реализовать его не пришлось ввиду ликвидации всего снарядного дела к концу 1917 года. </w:t>
      </w:r>
    </w:p>
    <w:p w14:paraId="42072120" w14:textId="77777777" w:rsidR="004B4E35" w:rsidRPr="00405303" w:rsidRDefault="009E6F82" w:rsidP="00C15251">
      <w:pPr>
        <w:jc w:val="both"/>
        <w:rPr>
          <w:bCs/>
          <w:color w:val="002060"/>
          <w:sz w:val="16"/>
          <w:szCs w:val="16"/>
        </w:rPr>
      </w:pPr>
      <w:r w:rsidRPr="00405303">
        <w:rPr>
          <w:bCs/>
          <w:color w:val="002060"/>
          <w:sz w:val="16"/>
          <w:szCs w:val="16"/>
        </w:rPr>
        <w:t xml:space="preserve">Уполномоченному ГАУ поручено было также изготовление снарядов средних и больших калибров из сталистого чугуна. Сталистый чугун являлся нововведением в снарядном деле. В технике вообще он появился в 1880—1890-е годы во Франции, под именем "арденского чугуна". Но как материал он не был изучен и производство его не было поставлено на научных началах. Изучению сталистого чугуна было положено начало работами капитана французской службы Праша, произведшего капитальные исследования по этому вопросу. Сталистый чугун, стоящий по своему составу между чугуном и сталью, имеет значительную прочность, обусловливаемую относительной бедностью углеродом и значительным процентом связанного углерода. Одним из препятствий к употреблению сталистого чугуна в </w:t>
      </w:r>
      <w:r w:rsidRPr="00405303">
        <w:rPr>
          <w:bCs/>
          <w:color w:val="002060"/>
          <w:sz w:val="16"/>
          <w:szCs w:val="16"/>
        </w:rPr>
        <w:lastRenderedPageBreak/>
        <w:t xml:space="preserve">артиллерийском деле служила необходимость выплавки его в отражательных печах. Поэтому во Франции были изысканы и разработаны методы получения его в вагранках. Надо заметить, что эти методы в России были найдены ранее, чем во Франции, именно — 40 лет назад проф. Черновым. </w:t>
      </w:r>
    </w:p>
    <w:p w14:paraId="268EAEFB" w14:textId="77777777" w:rsidR="004B4E35" w:rsidRPr="00405303" w:rsidRDefault="009E6F82" w:rsidP="00C15251">
      <w:pPr>
        <w:jc w:val="both"/>
        <w:rPr>
          <w:bCs/>
          <w:color w:val="002060"/>
          <w:sz w:val="16"/>
          <w:szCs w:val="16"/>
        </w:rPr>
      </w:pPr>
      <w:r w:rsidRPr="00405303">
        <w:rPr>
          <w:bCs/>
          <w:color w:val="002060"/>
          <w:sz w:val="16"/>
          <w:szCs w:val="16"/>
        </w:rPr>
        <w:t xml:space="preserve">Применение сталистого чугуна во Франции во время войны 1914—1917 гг. в результате опытов Праша приняло широкие размеры и способствовало в значительной мере урегулированию снарядного кризиса. Это обстоятельство побудило поставить вопрос об изготовлении снарядов сталистого чугуна в России. После долгих обсуждений вопрос был разрешен в утвердительном смысле. После предварительных опытных работ первый заказ на 6-дм сталистые бомбы был дан в середине 1916 года. Он был размещен на 14 заводах, главным образом южных. Затем последовал заказ на 48-лин. бомбы. </w:t>
      </w:r>
    </w:p>
    <w:p w14:paraId="4ADB8B4E" w14:textId="77777777" w:rsidR="004B4E35" w:rsidRPr="00405303" w:rsidRDefault="009E6F82" w:rsidP="00C15251">
      <w:pPr>
        <w:jc w:val="both"/>
        <w:rPr>
          <w:bCs/>
          <w:color w:val="002060"/>
          <w:sz w:val="16"/>
          <w:szCs w:val="16"/>
        </w:rPr>
      </w:pPr>
      <w:r w:rsidRPr="00405303">
        <w:rPr>
          <w:bCs/>
          <w:color w:val="002060"/>
          <w:sz w:val="16"/>
          <w:szCs w:val="16"/>
        </w:rPr>
        <w:t xml:space="preserve">Организацией Ванкова были разработаны новые методы приемки сталистых снарядов, отличные от французских. </w:t>
      </w:r>
    </w:p>
    <w:p w14:paraId="637C0B0C" w14:textId="77777777" w:rsidR="004B4E35" w:rsidRPr="00405303" w:rsidRDefault="009E6F82" w:rsidP="00C15251">
      <w:pPr>
        <w:jc w:val="both"/>
        <w:rPr>
          <w:bCs/>
          <w:color w:val="002060"/>
          <w:sz w:val="16"/>
          <w:szCs w:val="16"/>
        </w:rPr>
      </w:pPr>
      <w:r w:rsidRPr="00405303">
        <w:rPr>
          <w:bCs/>
          <w:color w:val="002060"/>
          <w:sz w:val="16"/>
          <w:szCs w:val="16"/>
        </w:rPr>
        <w:t xml:space="preserve">Результаты работ по сталистым снарядам, 6-дм и 48-лин, выразились следующими цифрами (тыс. шт.):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60"/>
        <w:gridCol w:w="564"/>
        <w:gridCol w:w="938"/>
      </w:tblGrid>
      <w:tr w:rsidR="004B4E35" w:rsidRPr="00405303" w14:paraId="5A1DEFA9" w14:textId="77777777">
        <w:tc>
          <w:tcPr>
            <w:tcW w:w="2160" w:type="dxa"/>
          </w:tcPr>
          <w:p w14:paraId="28C0B1CA" w14:textId="77777777" w:rsidR="004B4E35" w:rsidRPr="00405303" w:rsidRDefault="009E6F82" w:rsidP="00C15251">
            <w:pPr>
              <w:jc w:val="both"/>
              <w:rPr>
                <w:bCs/>
                <w:color w:val="002060"/>
                <w:sz w:val="16"/>
                <w:szCs w:val="16"/>
              </w:rPr>
            </w:pPr>
            <w:r w:rsidRPr="00405303">
              <w:rPr>
                <w:bCs/>
                <w:color w:val="002060"/>
                <w:sz w:val="16"/>
                <w:szCs w:val="16"/>
              </w:rPr>
              <w:t>Рост выпуска продукции в 1917 г.</w:t>
            </w:r>
          </w:p>
        </w:tc>
        <w:tc>
          <w:tcPr>
            <w:tcW w:w="564" w:type="dxa"/>
          </w:tcPr>
          <w:p w14:paraId="0371517A" w14:textId="77777777" w:rsidR="004B4E35" w:rsidRPr="00405303" w:rsidRDefault="009E6F82" w:rsidP="00C15251">
            <w:pPr>
              <w:jc w:val="both"/>
              <w:rPr>
                <w:bCs/>
                <w:color w:val="002060"/>
                <w:sz w:val="16"/>
                <w:szCs w:val="16"/>
              </w:rPr>
            </w:pPr>
            <w:r w:rsidRPr="00405303">
              <w:rPr>
                <w:bCs/>
                <w:color w:val="002060"/>
                <w:sz w:val="16"/>
                <w:szCs w:val="16"/>
              </w:rPr>
              <w:t>Литье</w:t>
            </w:r>
          </w:p>
        </w:tc>
        <w:tc>
          <w:tcPr>
            <w:tcW w:w="938" w:type="dxa"/>
          </w:tcPr>
          <w:p w14:paraId="2D4F668D" w14:textId="77777777" w:rsidR="004B4E35" w:rsidRPr="00405303" w:rsidRDefault="009E6F82" w:rsidP="00C15251">
            <w:pPr>
              <w:jc w:val="both"/>
              <w:rPr>
                <w:bCs/>
                <w:color w:val="002060"/>
                <w:sz w:val="16"/>
                <w:szCs w:val="16"/>
              </w:rPr>
            </w:pPr>
            <w:r w:rsidRPr="00405303">
              <w:rPr>
                <w:bCs/>
                <w:color w:val="002060"/>
                <w:sz w:val="16"/>
                <w:szCs w:val="16"/>
              </w:rPr>
              <w:t>Обработка</w:t>
            </w:r>
          </w:p>
        </w:tc>
      </w:tr>
      <w:tr w:rsidR="004B4E35" w:rsidRPr="00405303" w14:paraId="2B81F2AC" w14:textId="77777777">
        <w:tc>
          <w:tcPr>
            <w:tcW w:w="2160" w:type="dxa"/>
          </w:tcPr>
          <w:p w14:paraId="49800853" w14:textId="77777777" w:rsidR="004B4E35" w:rsidRPr="00405303" w:rsidRDefault="009E6F82" w:rsidP="00C15251">
            <w:pPr>
              <w:jc w:val="both"/>
              <w:rPr>
                <w:bCs/>
                <w:color w:val="002060"/>
                <w:sz w:val="16"/>
                <w:szCs w:val="16"/>
              </w:rPr>
            </w:pPr>
            <w:r w:rsidRPr="00405303">
              <w:rPr>
                <w:bCs/>
                <w:color w:val="002060"/>
                <w:sz w:val="16"/>
                <w:szCs w:val="16"/>
              </w:rPr>
              <w:t>Январь</w:t>
            </w:r>
          </w:p>
        </w:tc>
        <w:tc>
          <w:tcPr>
            <w:tcW w:w="564" w:type="dxa"/>
          </w:tcPr>
          <w:p w14:paraId="4FCC4180" w14:textId="77777777" w:rsidR="004B4E35" w:rsidRPr="00405303" w:rsidRDefault="009E6F82" w:rsidP="00C15251">
            <w:pPr>
              <w:jc w:val="both"/>
              <w:rPr>
                <w:bCs/>
                <w:color w:val="002060"/>
                <w:sz w:val="16"/>
                <w:szCs w:val="16"/>
              </w:rPr>
            </w:pPr>
            <w:r w:rsidRPr="00405303">
              <w:rPr>
                <w:bCs/>
                <w:color w:val="002060"/>
                <w:sz w:val="16"/>
                <w:szCs w:val="16"/>
              </w:rPr>
              <w:t>236</w:t>
            </w:r>
          </w:p>
        </w:tc>
        <w:tc>
          <w:tcPr>
            <w:tcW w:w="938" w:type="dxa"/>
          </w:tcPr>
          <w:p w14:paraId="69F9B42C" w14:textId="77777777" w:rsidR="004B4E35" w:rsidRPr="00405303" w:rsidRDefault="009E6F82" w:rsidP="00C15251">
            <w:pPr>
              <w:jc w:val="both"/>
              <w:rPr>
                <w:bCs/>
                <w:color w:val="002060"/>
                <w:sz w:val="16"/>
                <w:szCs w:val="16"/>
              </w:rPr>
            </w:pPr>
            <w:r w:rsidRPr="00405303">
              <w:rPr>
                <w:bCs/>
                <w:color w:val="002060"/>
                <w:sz w:val="16"/>
                <w:szCs w:val="16"/>
              </w:rPr>
              <w:t>118</w:t>
            </w:r>
          </w:p>
        </w:tc>
      </w:tr>
      <w:tr w:rsidR="004B4E35" w:rsidRPr="00405303" w14:paraId="461FAA06" w14:textId="77777777">
        <w:tc>
          <w:tcPr>
            <w:tcW w:w="2160" w:type="dxa"/>
          </w:tcPr>
          <w:p w14:paraId="33477F89" w14:textId="77777777" w:rsidR="004B4E35" w:rsidRPr="00405303" w:rsidRDefault="009E6F82" w:rsidP="00C15251">
            <w:pPr>
              <w:jc w:val="both"/>
              <w:rPr>
                <w:bCs/>
                <w:color w:val="002060"/>
                <w:sz w:val="16"/>
                <w:szCs w:val="16"/>
              </w:rPr>
            </w:pPr>
            <w:r w:rsidRPr="00405303">
              <w:rPr>
                <w:bCs/>
                <w:color w:val="002060"/>
                <w:sz w:val="16"/>
                <w:szCs w:val="16"/>
              </w:rPr>
              <w:t>Июнь</w:t>
            </w:r>
          </w:p>
        </w:tc>
        <w:tc>
          <w:tcPr>
            <w:tcW w:w="564" w:type="dxa"/>
          </w:tcPr>
          <w:p w14:paraId="58F47672" w14:textId="77777777" w:rsidR="004B4E35" w:rsidRPr="00405303" w:rsidRDefault="009E6F82" w:rsidP="00C15251">
            <w:pPr>
              <w:jc w:val="both"/>
              <w:rPr>
                <w:bCs/>
                <w:color w:val="002060"/>
                <w:sz w:val="16"/>
                <w:szCs w:val="16"/>
              </w:rPr>
            </w:pPr>
            <w:r w:rsidRPr="00405303">
              <w:rPr>
                <w:bCs/>
                <w:color w:val="002060"/>
                <w:sz w:val="16"/>
                <w:szCs w:val="16"/>
              </w:rPr>
              <w:t>666</w:t>
            </w:r>
          </w:p>
        </w:tc>
        <w:tc>
          <w:tcPr>
            <w:tcW w:w="938" w:type="dxa"/>
          </w:tcPr>
          <w:p w14:paraId="3570DECA" w14:textId="77777777" w:rsidR="004B4E35" w:rsidRPr="00405303" w:rsidRDefault="009E6F82" w:rsidP="00C15251">
            <w:pPr>
              <w:jc w:val="both"/>
              <w:rPr>
                <w:bCs/>
                <w:color w:val="002060"/>
                <w:sz w:val="16"/>
                <w:szCs w:val="16"/>
              </w:rPr>
            </w:pPr>
            <w:r w:rsidRPr="00405303">
              <w:rPr>
                <w:bCs/>
                <w:color w:val="002060"/>
                <w:sz w:val="16"/>
                <w:szCs w:val="16"/>
              </w:rPr>
              <w:t>345</w:t>
            </w:r>
          </w:p>
        </w:tc>
      </w:tr>
      <w:tr w:rsidR="004B4E35" w:rsidRPr="00405303" w14:paraId="5E2CDE49" w14:textId="77777777">
        <w:tc>
          <w:tcPr>
            <w:tcW w:w="2160" w:type="dxa"/>
          </w:tcPr>
          <w:p w14:paraId="47CA7C53"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564" w:type="dxa"/>
          </w:tcPr>
          <w:p w14:paraId="3E105551" w14:textId="77777777" w:rsidR="004B4E35" w:rsidRPr="00405303" w:rsidRDefault="009E6F82" w:rsidP="00C15251">
            <w:pPr>
              <w:jc w:val="both"/>
              <w:rPr>
                <w:bCs/>
                <w:color w:val="002060"/>
                <w:sz w:val="16"/>
                <w:szCs w:val="16"/>
              </w:rPr>
            </w:pPr>
            <w:r w:rsidRPr="00405303">
              <w:rPr>
                <w:bCs/>
                <w:color w:val="002060"/>
                <w:sz w:val="16"/>
                <w:szCs w:val="16"/>
              </w:rPr>
              <w:t>1024</w:t>
            </w:r>
          </w:p>
        </w:tc>
        <w:tc>
          <w:tcPr>
            <w:tcW w:w="938" w:type="dxa"/>
          </w:tcPr>
          <w:p w14:paraId="13A5E41D" w14:textId="77777777" w:rsidR="004B4E35" w:rsidRPr="00405303" w:rsidRDefault="009E6F82" w:rsidP="00C15251">
            <w:pPr>
              <w:jc w:val="both"/>
              <w:rPr>
                <w:bCs/>
                <w:color w:val="002060"/>
                <w:sz w:val="16"/>
                <w:szCs w:val="16"/>
              </w:rPr>
            </w:pPr>
            <w:r w:rsidRPr="00405303">
              <w:rPr>
                <w:bCs/>
                <w:color w:val="002060"/>
                <w:sz w:val="16"/>
                <w:szCs w:val="16"/>
              </w:rPr>
              <w:t>545</w:t>
            </w:r>
          </w:p>
        </w:tc>
      </w:tr>
    </w:tbl>
    <w:p w14:paraId="7A5887BC" w14:textId="77777777" w:rsidR="004B4E35" w:rsidRPr="00405303" w:rsidRDefault="009E6F82" w:rsidP="00C15251">
      <w:pPr>
        <w:jc w:val="both"/>
        <w:rPr>
          <w:bCs/>
          <w:color w:val="002060"/>
          <w:sz w:val="16"/>
          <w:szCs w:val="16"/>
        </w:rPr>
      </w:pPr>
      <w:r w:rsidRPr="00405303">
        <w:rPr>
          <w:bCs/>
          <w:color w:val="002060"/>
          <w:sz w:val="16"/>
          <w:szCs w:val="16"/>
        </w:rPr>
        <w:t xml:space="preserve">К снарядам необходимо было готовить запальные стаканы и детонаторные трубки французского образца. Наибольшие трудности представляло изготовление трубок, производство коих являлось совершенно новым ввиду полного несходства французского образца трубок с русскими. Производство французских трубок, как и русских, является высокоточным. Число заводов, которые могли бы взяться за эту работу, оказалось сначала четыре, а затем к ним присоединились еще три, всего — семь. Из этих семи заводов сравнительно успешно и быстро справились с делом только четыре, из коих один (Русский Рено) оборудовал отдельный завод, выписав специальное оборудование из-за границы. В результате производство французских трубок не поспевало за производством снарядов и недобор трубок пришлось восполнятъ выпиской из Франции. </w:t>
      </w:r>
    </w:p>
    <w:p w14:paraId="315C22BF" w14:textId="77777777" w:rsidR="004B4E35" w:rsidRPr="00405303" w:rsidRDefault="009E6F82" w:rsidP="00C15251">
      <w:pPr>
        <w:jc w:val="both"/>
        <w:rPr>
          <w:bCs/>
          <w:color w:val="002060"/>
          <w:sz w:val="16"/>
          <w:szCs w:val="16"/>
        </w:rPr>
      </w:pPr>
      <w:r w:rsidRPr="00405303">
        <w:rPr>
          <w:bCs/>
          <w:color w:val="002060"/>
          <w:sz w:val="16"/>
          <w:szCs w:val="16"/>
        </w:rPr>
        <w:t xml:space="preserve">Применение в русской артиллерии французских трубок потребовало ряда опытов для выяснения вопросов, возникавших и в процессе производства этих трубок и при стрельбе ими. В конце концов все эти вопросы были удовлетворительно разрешены. </w:t>
      </w:r>
    </w:p>
    <w:p w14:paraId="36ADBF25" w14:textId="77777777" w:rsidR="004B4E35" w:rsidRPr="00405303" w:rsidRDefault="009E6F82" w:rsidP="00C15251">
      <w:pPr>
        <w:jc w:val="both"/>
        <w:rPr>
          <w:bCs/>
          <w:color w:val="002060"/>
          <w:sz w:val="16"/>
          <w:szCs w:val="16"/>
        </w:rPr>
      </w:pPr>
      <w:r w:rsidRPr="00405303">
        <w:rPr>
          <w:bCs/>
          <w:color w:val="002060"/>
          <w:sz w:val="16"/>
          <w:szCs w:val="16"/>
        </w:rPr>
        <w:t xml:space="preserve">Большие трудности представила установка производства запальных стаканов благодаря требовавшейся от этого изделия большой точности. Во Франции на эту работу, как и на трубки, были использованы имевшиеся в большом количестве арматурные заводы, обладавшие большим числом однотипных станков. В России таких заводов было немного, да и вообще русские заводы, не привыкшие к высокоточной работе, всеми способами уклонялись от нее, тем </w:t>
      </w:r>
      <w:proofErr w:type="gramStart"/>
      <w:r w:rsidRPr="00405303">
        <w:rPr>
          <w:bCs/>
          <w:color w:val="002060"/>
          <w:sz w:val="16"/>
          <w:szCs w:val="16"/>
        </w:rPr>
        <w:t>более</w:t>
      </w:r>
      <w:proofErr w:type="gramEnd"/>
      <w:r w:rsidRPr="00405303">
        <w:rPr>
          <w:bCs/>
          <w:color w:val="002060"/>
          <w:sz w:val="16"/>
          <w:szCs w:val="16"/>
        </w:rPr>
        <w:t xml:space="preserve"> когда вопрос шел о массовом производстве, а с научными принципами массового производства русская гражданская промышленность была до крайности мало знакома. Точные массовые производства были специальностью почти исключительно военно-промышленных заводов. Пришлось ставить производство трубок и станков (стаканов. — Ред.) самым разнообразным способом в смысле применения того или другого оборудования, а также в смысле организации производства и технических приемов работы. </w:t>
      </w:r>
    </w:p>
    <w:p w14:paraId="428ACC67" w14:textId="77777777" w:rsidR="004B4E35" w:rsidRPr="00405303" w:rsidRDefault="009E6F82" w:rsidP="00C15251">
      <w:pPr>
        <w:jc w:val="both"/>
        <w:rPr>
          <w:bCs/>
          <w:color w:val="002060"/>
          <w:sz w:val="16"/>
          <w:szCs w:val="16"/>
        </w:rPr>
      </w:pPr>
      <w:r w:rsidRPr="00405303">
        <w:rPr>
          <w:bCs/>
          <w:color w:val="002060"/>
          <w:sz w:val="16"/>
          <w:szCs w:val="16"/>
        </w:rPr>
        <w:t>Производство стаканов в конце концов наладилось и постепенно догнало производство гранат. Постепенно производительность увеличивается из месяца в месяц, как показано в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060"/>
        <w:gridCol w:w="1248"/>
        <w:gridCol w:w="1246"/>
      </w:tblGrid>
      <w:tr w:rsidR="004B4E35" w:rsidRPr="00405303" w14:paraId="23C50EC7" w14:textId="77777777">
        <w:tc>
          <w:tcPr>
            <w:tcW w:w="3060" w:type="dxa"/>
          </w:tcPr>
          <w:p w14:paraId="61D05CB7" w14:textId="77777777" w:rsidR="004B4E35" w:rsidRPr="00405303" w:rsidRDefault="009E6F82" w:rsidP="00C15251">
            <w:pPr>
              <w:jc w:val="both"/>
              <w:rPr>
                <w:bCs/>
                <w:color w:val="002060"/>
                <w:sz w:val="16"/>
                <w:szCs w:val="16"/>
              </w:rPr>
            </w:pPr>
            <w:r w:rsidRPr="00405303">
              <w:rPr>
                <w:bCs/>
                <w:color w:val="002060"/>
                <w:sz w:val="16"/>
                <w:szCs w:val="16"/>
              </w:rPr>
              <w:t>Рост выпуска продукции</w:t>
            </w:r>
          </w:p>
        </w:tc>
        <w:tc>
          <w:tcPr>
            <w:tcW w:w="1248" w:type="dxa"/>
          </w:tcPr>
          <w:p w14:paraId="1181B565" w14:textId="77777777" w:rsidR="004B4E35" w:rsidRPr="00405303" w:rsidRDefault="009E6F82" w:rsidP="00C15251">
            <w:pPr>
              <w:jc w:val="both"/>
              <w:rPr>
                <w:bCs/>
                <w:color w:val="002060"/>
                <w:sz w:val="16"/>
                <w:szCs w:val="16"/>
              </w:rPr>
            </w:pPr>
            <w:r w:rsidRPr="00405303">
              <w:rPr>
                <w:bCs/>
                <w:color w:val="002060"/>
                <w:sz w:val="16"/>
                <w:szCs w:val="16"/>
              </w:rPr>
              <w:t>Запальные стаканы 6-дм, 3-дм и У.С.</w:t>
            </w:r>
          </w:p>
        </w:tc>
        <w:tc>
          <w:tcPr>
            <w:tcW w:w="1246" w:type="dxa"/>
          </w:tcPr>
          <w:p w14:paraId="3818A029" w14:textId="77777777" w:rsidR="004B4E35" w:rsidRPr="00405303" w:rsidRDefault="009E6F82" w:rsidP="00C15251">
            <w:pPr>
              <w:jc w:val="both"/>
              <w:rPr>
                <w:bCs/>
                <w:color w:val="002060"/>
                <w:sz w:val="16"/>
                <w:szCs w:val="16"/>
              </w:rPr>
            </w:pPr>
            <w:r w:rsidRPr="00405303">
              <w:rPr>
                <w:bCs/>
                <w:color w:val="002060"/>
                <w:sz w:val="16"/>
                <w:szCs w:val="16"/>
              </w:rPr>
              <w:t>Детонаторные</w:t>
            </w:r>
          </w:p>
        </w:tc>
      </w:tr>
      <w:tr w:rsidR="004B4E35" w:rsidRPr="00405303" w14:paraId="754CD895" w14:textId="77777777">
        <w:tc>
          <w:tcPr>
            <w:tcW w:w="3060" w:type="dxa"/>
          </w:tcPr>
          <w:p w14:paraId="59D49F84" w14:textId="77777777" w:rsidR="004B4E35" w:rsidRPr="00405303" w:rsidRDefault="009E6F82" w:rsidP="00C15251">
            <w:pPr>
              <w:jc w:val="both"/>
              <w:rPr>
                <w:bCs/>
                <w:color w:val="002060"/>
                <w:sz w:val="16"/>
                <w:szCs w:val="16"/>
              </w:rPr>
            </w:pPr>
            <w:r w:rsidRPr="00405303">
              <w:rPr>
                <w:bCs/>
                <w:color w:val="002060"/>
                <w:sz w:val="16"/>
                <w:szCs w:val="16"/>
              </w:rPr>
              <w:t>1915 г., сентябрь</w:t>
            </w:r>
          </w:p>
        </w:tc>
        <w:tc>
          <w:tcPr>
            <w:tcW w:w="1248" w:type="dxa"/>
          </w:tcPr>
          <w:p w14:paraId="4CF85FC6" w14:textId="77777777" w:rsidR="004B4E35" w:rsidRPr="00405303" w:rsidRDefault="009E6F82" w:rsidP="00C15251">
            <w:pPr>
              <w:jc w:val="both"/>
              <w:rPr>
                <w:bCs/>
                <w:color w:val="002060"/>
                <w:sz w:val="16"/>
                <w:szCs w:val="16"/>
              </w:rPr>
            </w:pPr>
            <w:r w:rsidRPr="00405303">
              <w:rPr>
                <w:bCs/>
                <w:color w:val="002060"/>
                <w:sz w:val="16"/>
                <w:szCs w:val="16"/>
              </w:rPr>
              <w:t>37.000</w:t>
            </w:r>
          </w:p>
        </w:tc>
        <w:tc>
          <w:tcPr>
            <w:tcW w:w="1246" w:type="dxa"/>
          </w:tcPr>
          <w:p w14:paraId="6F7EFA15" w14:textId="77777777" w:rsidR="004B4E35" w:rsidRPr="00405303" w:rsidRDefault="009E6F82" w:rsidP="00C15251">
            <w:pPr>
              <w:jc w:val="both"/>
              <w:rPr>
                <w:bCs/>
                <w:color w:val="002060"/>
                <w:sz w:val="16"/>
                <w:szCs w:val="16"/>
              </w:rPr>
            </w:pPr>
            <w:r w:rsidRPr="00405303">
              <w:rPr>
                <w:bCs/>
                <w:color w:val="002060"/>
                <w:sz w:val="16"/>
                <w:szCs w:val="16"/>
              </w:rPr>
              <w:t>2.000</w:t>
            </w:r>
          </w:p>
        </w:tc>
      </w:tr>
      <w:tr w:rsidR="004B4E35" w:rsidRPr="00405303" w14:paraId="61E19004" w14:textId="77777777">
        <w:tc>
          <w:tcPr>
            <w:tcW w:w="3060" w:type="dxa"/>
          </w:tcPr>
          <w:p w14:paraId="201DCE22" w14:textId="77777777" w:rsidR="004B4E35" w:rsidRPr="00405303" w:rsidRDefault="009E6F82" w:rsidP="00C15251">
            <w:pPr>
              <w:jc w:val="both"/>
              <w:rPr>
                <w:bCs/>
                <w:color w:val="002060"/>
                <w:sz w:val="16"/>
                <w:szCs w:val="16"/>
              </w:rPr>
            </w:pPr>
            <w:r w:rsidRPr="00405303">
              <w:rPr>
                <w:bCs/>
                <w:color w:val="002060"/>
                <w:sz w:val="16"/>
                <w:szCs w:val="16"/>
              </w:rPr>
              <w:t>1916 г., январь</w:t>
            </w:r>
          </w:p>
        </w:tc>
        <w:tc>
          <w:tcPr>
            <w:tcW w:w="1248" w:type="dxa"/>
          </w:tcPr>
          <w:p w14:paraId="3279A786" w14:textId="77777777" w:rsidR="004B4E35" w:rsidRPr="00405303" w:rsidRDefault="009E6F82" w:rsidP="00C15251">
            <w:pPr>
              <w:jc w:val="both"/>
              <w:rPr>
                <w:bCs/>
                <w:color w:val="002060"/>
                <w:sz w:val="16"/>
                <w:szCs w:val="16"/>
              </w:rPr>
            </w:pPr>
            <w:r w:rsidRPr="00405303">
              <w:rPr>
                <w:bCs/>
                <w:color w:val="002060"/>
                <w:sz w:val="16"/>
                <w:szCs w:val="16"/>
              </w:rPr>
              <w:t>151.000</w:t>
            </w:r>
          </w:p>
        </w:tc>
        <w:tc>
          <w:tcPr>
            <w:tcW w:w="1246" w:type="dxa"/>
          </w:tcPr>
          <w:p w14:paraId="001C89DD" w14:textId="77777777" w:rsidR="004B4E35" w:rsidRPr="00405303" w:rsidRDefault="009E6F82" w:rsidP="00C15251">
            <w:pPr>
              <w:jc w:val="both"/>
              <w:rPr>
                <w:bCs/>
                <w:color w:val="002060"/>
                <w:sz w:val="16"/>
                <w:szCs w:val="16"/>
              </w:rPr>
            </w:pPr>
            <w:r w:rsidRPr="00405303">
              <w:rPr>
                <w:bCs/>
                <w:color w:val="002060"/>
                <w:sz w:val="16"/>
                <w:szCs w:val="16"/>
              </w:rPr>
              <w:t>228.900</w:t>
            </w:r>
          </w:p>
        </w:tc>
      </w:tr>
      <w:tr w:rsidR="004B4E35" w:rsidRPr="00405303" w14:paraId="2F4C8CB2" w14:textId="77777777">
        <w:tc>
          <w:tcPr>
            <w:tcW w:w="3060" w:type="dxa"/>
          </w:tcPr>
          <w:p w14:paraId="255ED428" w14:textId="77777777" w:rsidR="004B4E35" w:rsidRPr="00405303" w:rsidRDefault="009E6F82" w:rsidP="00C15251">
            <w:pPr>
              <w:jc w:val="both"/>
              <w:rPr>
                <w:bCs/>
                <w:color w:val="002060"/>
                <w:sz w:val="16"/>
                <w:szCs w:val="16"/>
              </w:rPr>
            </w:pPr>
            <w:r w:rsidRPr="00405303">
              <w:rPr>
                <w:bCs/>
                <w:color w:val="002060"/>
                <w:sz w:val="16"/>
                <w:szCs w:val="16"/>
              </w:rPr>
              <w:t>1916 г., июль</w:t>
            </w:r>
          </w:p>
        </w:tc>
        <w:tc>
          <w:tcPr>
            <w:tcW w:w="1248" w:type="dxa"/>
          </w:tcPr>
          <w:p w14:paraId="41FDB735" w14:textId="77777777" w:rsidR="004B4E35" w:rsidRPr="00405303" w:rsidRDefault="009E6F82" w:rsidP="00C15251">
            <w:pPr>
              <w:jc w:val="both"/>
              <w:rPr>
                <w:bCs/>
                <w:color w:val="002060"/>
                <w:sz w:val="16"/>
                <w:szCs w:val="16"/>
              </w:rPr>
            </w:pPr>
            <w:r w:rsidRPr="00405303">
              <w:rPr>
                <w:bCs/>
                <w:color w:val="002060"/>
                <w:sz w:val="16"/>
                <w:szCs w:val="16"/>
              </w:rPr>
              <w:t>405.000</w:t>
            </w:r>
          </w:p>
        </w:tc>
        <w:tc>
          <w:tcPr>
            <w:tcW w:w="1246" w:type="dxa"/>
          </w:tcPr>
          <w:p w14:paraId="3D6A3A54" w14:textId="77777777" w:rsidR="004B4E35" w:rsidRPr="00405303" w:rsidRDefault="009E6F82" w:rsidP="00C15251">
            <w:pPr>
              <w:jc w:val="both"/>
              <w:rPr>
                <w:bCs/>
                <w:color w:val="002060"/>
                <w:sz w:val="16"/>
                <w:szCs w:val="16"/>
              </w:rPr>
            </w:pPr>
            <w:r w:rsidRPr="00405303">
              <w:rPr>
                <w:bCs/>
                <w:color w:val="002060"/>
                <w:sz w:val="16"/>
                <w:szCs w:val="16"/>
              </w:rPr>
              <w:t>524.000</w:t>
            </w:r>
          </w:p>
        </w:tc>
      </w:tr>
      <w:tr w:rsidR="004B4E35" w:rsidRPr="00405303" w14:paraId="19D17111" w14:textId="77777777">
        <w:tc>
          <w:tcPr>
            <w:tcW w:w="3060" w:type="dxa"/>
          </w:tcPr>
          <w:p w14:paraId="26BE5CE3" w14:textId="77777777" w:rsidR="004B4E35" w:rsidRPr="00405303" w:rsidRDefault="009E6F82" w:rsidP="00C15251">
            <w:pPr>
              <w:jc w:val="both"/>
              <w:rPr>
                <w:bCs/>
                <w:color w:val="002060"/>
                <w:sz w:val="16"/>
                <w:szCs w:val="16"/>
              </w:rPr>
            </w:pPr>
            <w:r w:rsidRPr="00405303">
              <w:rPr>
                <w:bCs/>
                <w:color w:val="002060"/>
                <w:sz w:val="16"/>
                <w:szCs w:val="16"/>
              </w:rPr>
              <w:t>1917 г., январь</w:t>
            </w:r>
          </w:p>
        </w:tc>
        <w:tc>
          <w:tcPr>
            <w:tcW w:w="1248" w:type="dxa"/>
          </w:tcPr>
          <w:p w14:paraId="6FFE2A3B" w14:textId="77777777" w:rsidR="004B4E35" w:rsidRPr="00405303" w:rsidRDefault="009E6F82" w:rsidP="00C15251">
            <w:pPr>
              <w:jc w:val="both"/>
              <w:rPr>
                <w:bCs/>
                <w:color w:val="002060"/>
                <w:sz w:val="16"/>
                <w:szCs w:val="16"/>
              </w:rPr>
            </w:pPr>
            <w:r w:rsidRPr="00405303">
              <w:rPr>
                <w:bCs/>
                <w:color w:val="002060"/>
                <w:sz w:val="16"/>
                <w:szCs w:val="16"/>
              </w:rPr>
              <w:t>994.000</w:t>
            </w:r>
          </w:p>
        </w:tc>
        <w:tc>
          <w:tcPr>
            <w:tcW w:w="1246" w:type="dxa"/>
          </w:tcPr>
          <w:p w14:paraId="04A71B5D" w14:textId="77777777" w:rsidR="004B4E35" w:rsidRPr="00405303" w:rsidRDefault="009E6F82" w:rsidP="00C15251">
            <w:pPr>
              <w:jc w:val="both"/>
              <w:rPr>
                <w:bCs/>
                <w:color w:val="002060"/>
                <w:sz w:val="16"/>
                <w:szCs w:val="16"/>
              </w:rPr>
            </w:pPr>
            <w:r w:rsidRPr="00405303">
              <w:rPr>
                <w:bCs/>
                <w:color w:val="002060"/>
                <w:sz w:val="16"/>
                <w:szCs w:val="16"/>
              </w:rPr>
              <w:t>607.000</w:t>
            </w:r>
          </w:p>
        </w:tc>
      </w:tr>
      <w:tr w:rsidR="004B4E35" w:rsidRPr="00405303" w14:paraId="411E167E" w14:textId="77777777">
        <w:tc>
          <w:tcPr>
            <w:tcW w:w="3060" w:type="dxa"/>
          </w:tcPr>
          <w:p w14:paraId="12EB4815" w14:textId="77777777" w:rsidR="004B4E35" w:rsidRPr="00405303" w:rsidRDefault="009E6F82" w:rsidP="00C15251">
            <w:pPr>
              <w:jc w:val="both"/>
              <w:rPr>
                <w:bCs/>
                <w:color w:val="002060"/>
                <w:sz w:val="16"/>
                <w:szCs w:val="16"/>
              </w:rPr>
            </w:pPr>
            <w:r w:rsidRPr="00405303">
              <w:rPr>
                <w:bCs/>
                <w:color w:val="002060"/>
                <w:sz w:val="16"/>
                <w:szCs w:val="16"/>
              </w:rPr>
              <w:t>1917 г., апрель</w:t>
            </w:r>
          </w:p>
        </w:tc>
        <w:tc>
          <w:tcPr>
            <w:tcW w:w="1248" w:type="dxa"/>
          </w:tcPr>
          <w:p w14:paraId="67391C3A" w14:textId="77777777" w:rsidR="004B4E35" w:rsidRPr="00405303" w:rsidRDefault="009E6F82" w:rsidP="00C15251">
            <w:pPr>
              <w:jc w:val="both"/>
              <w:rPr>
                <w:bCs/>
                <w:color w:val="002060"/>
                <w:sz w:val="16"/>
                <w:szCs w:val="16"/>
              </w:rPr>
            </w:pPr>
            <w:r w:rsidRPr="00405303">
              <w:rPr>
                <w:bCs/>
                <w:color w:val="002060"/>
                <w:sz w:val="16"/>
                <w:szCs w:val="16"/>
              </w:rPr>
              <w:t>1.030.000</w:t>
            </w:r>
          </w:p>
        </w:tc>
        <w:tc>
          <w:tcPr>
            <w:tcW w:w="1246" w:type="dxa"/>
          </w:tcPr>
          <w:p w14:paraId="14FCCBAB" w14:textId="77777777" w:rsidR="004B4E35" w:rsidRPr="00405303" w:rsidRDefault="009E6F82" w:rsidP="00C15251">
            <w:pPr>
              <w:jc w:val="both"/>
              <w:rPr>
                <w:bCs/>
                <w:color w:val="002060"/>
                <w:sz w:val="16"/>
                <w:szCs w:val="16"/>
              </w:rPr>
            </w:pPr>
            <w:r w:rsidRPr="00405303">
              <w:rPr>
                <w:bCs/>
                <w:color w:val="002060"/>
                <w:sz w:val="16"/>
                <w:szCs w:val="16"/>
              </w:rPr>
              <w:t>270.000</w:t>
            </w:r>
          </w:p>
        </w:tc>
      </w:tr>
      <w:tr w:rsidR="004B4E35" w:rsidRPr="00405303" w14:paraId="33A8CBCC" w14:textId="77777777">
        <w:tc>
          <w:tcPr>
            <w:tcW w:w="3060" w:type="dxa"/>
          </w:tcPr>
          <w:p w14:paraId="3A51C288" w14:textId="77777777" w:rsidR="004B4E35" w:rsidRPr="00405303" w:rsidRDefault="009E6F82" w:rsidP="00C15251">
            <w:pPr>
              <w:jc w:val="both"/>
              <w:rPr>
                <w:bCs/>
                <w:color w:val="002060"/>
                <w:sz w:val="16"/>
                <w:szCs w:val="16"/>
              </w:rPr>
            </w:pPr>
            <w:r w:rsidRPr="00405303">
              <w:rPr>
                <w:bCs/>
                <w:color w:val="002060"/>
                <w:sz w:val="16"/>
                <w:szCs w:val="16"/>
              </w:rPr>
              <w:t>1917 г., июль</w:t>
            </w:r>
          </w:p>
        </w:tc>
        <w:tc>
          <w:tcPr>
            <w:tcW w:w="1248" w:type="dxa"/>
          </w:tcPr>
          <w:p w14:paraId="6DA09E51" w14:textId="77777777" w:rsidR="004B4E35" w:rsidRPr="00405303" w:rsidRDefault="009E6F82" w:rsidP="00C15251">
            <w:pPr>
              <w:jc w:val="both"/>
              <w:rPr>
                <w:bCs/>
                <w:color w:val="002060"/>
                <w:sz w:val="16"/>
                <w:szCs w:val="16"/>
              </w:rPr>
            </w:pPr>
            <w:r w:rsidRPr="00405303">
              <w:rPr>
                <w:bCs/>
                <w:color w:val="002060"/>
                <w:sz w:val="16"/>
                <w:szCs w:val="16"/>
              </w:rPr>
              <w:t>1.609.000</w:t>
            </w:r>
          </w:p>
        </w:tc>
        <w:tc>
          <w:tcPr>
            <w:tcW w:w="1246" w:type="dxa"/>
          </w:tcPr>
          <w:p w14:paraId="45E66B22" w14:textId="77777777" w:rsidR="004B4E35" w:rsidRPr="00405303" w:rsidRDefault="009E6F82" w:rsidP="00C15251">
            <w:pPr>
              <w:jc w:val="both"/>
              <w:rPr>
                <w:bCs/>
                <w:color w:val="002060"/>
                <w:sz w:val="16"/>
                <w:szCs w:val="16"/>
              </w:rPr>
            </w:pPr>
            <w:r w:rsidRPr="00405303">
              <w:rPr>
                <w:bCs/>
                <w:color w:val="002060"/>
                <w:sz w:val="16"/>
                <w:szCs w:val="16"/>
              </w:rPr>
              <w:t>406.000</w:t>
            </w:r>
          </w:p>
        </w:tc>
      </w:tr>
      <w:tr w:rsidR="004B4E35" w:rsidRPr="00405303" w14:paraId="32B81C01" w14:textId="77777777">
        <w:tc>
          <w:tcPr>
            <w:tcW w:w="3060" w:type="dxa"/>
          </w:tcPr>
          <w:p w14:paraId="6D9F1FC8" w14:textId="77777777" w:rsidR="004B4E35" w:rsidRPr="00405303" w:rsidRDefault="009E6F82" w:rsidP="00C15251">
            <w:pPr>
              <w:jc w:val="both"/>
              <w:rPr>
                <w:bCs/>
                <w:color w:val="002060"/>
                <w:sz w:val="16"/>
                <w:szCs w:val="16"/>
              </w:rPr>
            </w:pPr>
            <w:r w:rsidRPr="00405303">
              <w:rPr>
                <w:bCs/>
                <w:color w:val="002060"/>
                <w:sz w:val="16"/>
                <w:szCs w:val="16"/>
              </w:rPr>
              <w:t xml:space="preserve">1917 г., ноябрь </w:t>
            </w:r>
          </w:p>
        </w:tc>
        <w:tc>
          <w:tcPr>
            <w:tcW w:w="1248" w:type="dxa"/>
          </w:tcPr>
          <w:p w14:paraId="0C933139" w14:textId="77777777" w:rsidR="004B4E35" w:rsidRPr="00405303" w:rsidRDefault="009E6F82" w:rsidP="00C15251">
            <w:pPr>
              <w:jc w:val="both"/>
              <w:rPr>
                <w:bCs/>
                <w:color w:val="002060"/>
                <w:sz w:val="16"/>
                <w:szCs w:val="16"/>
              </w:rPr>
            </w:pPr>
            <w:r w:rsidRPr="00405303">
              <w:rPr>
                <w:bCs/>
                <w:color w:val="002060"/>
                <w:sz w:val="16"/>
                <w:szCs w:val="16"/>
              </w:rPr>
              <w:t>1.891.000</w:t>
            </w:r>
          </w:p>
        </w:tc>
        <w:tc>
          <w:tcPr>
            <w:tcW w:w="1246" w:type="dxa"/>
          </w:tcPr>
          <w:p w14:paraId="05D40B09" w14:textId="77777777" w:rsidR="004B4E35" w:rsidRPr="00405303" w:rsidRDefault="009E6F82" w:rsidP="00C15251">
            <w:pPr>
              <w:jc w:val="both"/>
              <w:rPr>
                <w:bCs/>
                <w:color w:val="002060"/>
                <w:sz w:val="16"/>
                <w:szCs w:val="16"/>
              </w:rPr>
            </w:pPr>
            <w:r w:rsidRPr="00405303">
              <w:rPr>
                <w:bCs/>
                <w:color w:val="002060"/>
                <w:sz w:val="16"/>
                <w:szCs w:val="16"/>
              </w:rPr>
              <w:t>347.000</w:t>
            </w:r>
          </w:p>
        </w:tc>
      </w:tr>
      <w:tr w:rsidR="004B4E35" w:rsidRPr="00405303" w14:paraId="73064DB4" w14:textId="77777777">
        <w:tc>
          <w:tcPr>
            <w:tcW w:w="3060" w:type="dxa"/>
          </w:tcPr>
          <w:p w14:paraId="5C1733FE" w14:textId="77777777" w:rsidR="004B4E35" w:rsidRPr="00405303" w:rsidRDefault="009E6F82" w:rsidP="00C15251">
            <w:pPr>
              <w:jc w:val="both"/>
              <w:rPr>
                <w:bCs/>
                <w:color w:val="002060"/>
                <w:sz w:val="16"/>
                <w:szCs w:val="16"/>
              </w:rPr>
            </w:pPr>
            <w:r w:rsidRPr="00405303">
              <w:rPr>
                <w:bCs/>
                <w:color w:val="002060"/>
                <w:sz w:val="16"/>
                <w:szCs w:val="16"/>
              </w:rPr>
              <w:t>Всего за время с сентября 1915 по ноябрь выпущено</w:t>
            </w:r>
          </w:p>
        </w:tc>
        <w:tc>
          <w:tcPr>
            <w:tcW w:w="1248" w:type="dxa"/>
          </w:tcPr>
          <w:p w14:paraId="01328B1E" w14:textId="77777777" w:rsidR="004B4E35" w:rsidRPr="00405303" w:rsidRDefault="009E6F82" w:rsidP="00C15251">
            <w:pPr>
              <w:jc w:val="both"/>
              <w:rPr>
                <w:bCs/>
                <w:color w:val="002060"/>
                <w:sz w:val="16"/>
                <w:szCs w:val="16"/>
              </w:rPr>
            </w:pPr>
            <w:r w:rsidRPr="00405303">
              <w:rPr>
                <w:bCs/>
                <w:color w:val="002060"/>
                <w:sz w:val="16"/>
                <w:szCs w:val="16"/>
              </w:rPr>
              <w:t>12.037.000</w:t>
            </w:r>
          </w:p>
        </w:tc>
        <w:tc>
          <w:tcPr>
            <w:tcW w:w="1246" w:type="dxa"/>
          </w:tcPr>
          <w:p w14:paraId="0B0FAA56" w14:textId="77777777" w:rsidR="004B4E35" w:rsidRPr="00405303" w:rsidRDefault="009E6F82" w:rsidP="00C15251">
            <w:pPr>
              <w:jc w:val="both"/>
              <w:rPr>
                <w:bCs/>
                <w:color w:val="002060"/>
                <w:sz w:val="16"/>
                <w:szCs w:val="16"/>
              </w:rPr>
            </w:pPr>
            <w:r w:rsidRPr="00405303">
              <w:rPr>
                <w:bCs/>
                <w:color w:val="002060"/>
                <w:sz w:val="16"/>
                <w:szCs w:val="16"/>
              </w:rPr>
              <w:t>8.102.235</w:t>
            </w:r>
          </w:p>
        </w:tc>
      </w:tr>
    </w:tbl>
    <w:p w14:paraId="53DFDB07" w14:textId="77777777" w:rsidR="004B4E35" w:rsidRPr="00405303" w:rsidRDefault="009E6F82" w:rsidP="00C15251">
      <w:pPr>
        <w:jc w:val="both"/>
        <w:rPr>
          <w:bCs/>
          <w:color w:val="002060"/>
          <w:sz w:val="16"/>
          <w:szCs w:val="16"/>
        </w:rPr>
      </w:pPr>
      <w:r w:rsidRPr="00405303">
        <w:rPr>
          <w:bCs/>
          <w:color w:val="002060"/>
          <w:sz w:val="16"/>
          <w:szCs w:val="16"/>
        </w:rPr>
        <w:t xml:space="preserve">Надо отметить, что для всех перечисленных работ было изготовлено точных поверочных инструментов (единиц):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80"/>
        <w:gridCol w:w="816"/>
      </w:tblGrid>
      <w:tr w:rsidR="004B4E35" w:rsidRPr="00405303" w14:paraId="5A84CFA2" w14:textId="77777777">
        <w:tc>
          <w:tcPr>
            <w:tcW w:w="2580" w:type="dxa"/>
          </w:tcPr>
          <w:p w14:paraId="4DE27BAD" w14:textId="77777777" w:rsidR="004B4E35" w:rsidRPr="00405303" w:rsidRDefault="009E6F82" w:rsidP="00C15251">
            <w:pPr>
              <w:jc w:val="both"/>
              <w:rPr>
                <w:bCs/>
                <w:color w:val="002060"/>
                <w:sz w:val="16"/>
                <w:szCs w:val="16"/>
              </w:rPr>
            </w:pPr>
            <w:r w:rsidRPr="00405303">
              <w:rPr>
                <w:bCs/>
                <w:color w:val="002060"/>
                <w:sz w:val="16"/>
                <w:szCs w:val="16"/>
              </w:rPr>
              <w:t>для 3-дм гранат</w:t>
            </w:r>
          </w:p>
        </w:tc>
        <w:tc>
          <w:tcPr>
            <w:tcW w:w="816" w:type="dxa"/>
          </w:tcPr>
          <w:p w14:paraId="04AF776A" w14:textId="77777777" w:rsidR="004B4E35" w:rsidRPr="00405303" w:rsidRDefault="009E6F82" w:rsidP="00C15251">
            <w:pPr>
              <w:jc w:val="both"/>
              <w:rPr>
                <w:bCs/>
                <w:color w:val="002060"/>
                <w:sz w:val="16"/>
                <w:szCs w:val="16"/>
              </w:rPr>
            </w:pPr>
            <w:r w:rsidRPr="00405303">
              <w:rPr>
                <w:bCs/>
                <w:color w:val="002060"/>
                <w:sz w:val="16"/>
                <w:szCs w:val="16"/>
              </w:rPr>
              <w:t xml:space="preserve">8083 </w:t>
            </w:r>
          </w:p>
        </w:tc>
      </w:tr>
      <w:tr w:rsidR="004B4E35" w:rsidRPr="00405303" w14:paraId="32608CE0" w14:textId="77777777">
        <w:tc>
          <w:tcPr>
            <w:tcW w:w="2580" w:type="dxa"/>
          </w:tcPr>
          <w:p w14:paraId="341E678C" w14:textId="77777777" w:rsidR="004B4E35" w:rsidRPr="00405303" w:rsidRDefault="009E6F82" w:rsidP="00C15251">
            <w:pPr>
              <w:jc w:val="both"/>
              <w:rPr>
                <w:bCs/>
                <w:color w:val="002060"/>
                <w:sz w:val="16"/>
                <w:szCs w:val="16"/>
              </w:rPr>
            </w:pPr>
            <w:r w:rsidRPr="00405303">
              <w:rPr>
                <w:bCs/>
                <w:color w:val="002060"/>
                <w:sz w:val="16"/>
                <w:szCs w:val="16"/>
              </w:rPr>
              <w:t>для 3-дм запальных стаканов</w:t>
            </w:r>
          </w:p>
        </w:tc>
        <w:tc>
          <w:tcPr>
            <w:tcW w:w="816" w:type="dxa"/>
          </w:tcPr>
          <w:p w14:paraId="0D773CB4" w14:textId="77777777" w:rsidR="004B4E35" w:rsidRPr="00405303" w:rsidRDefault="009E6F82" w:rsidP="00C15251">
            <w:pPr>
              <w:jc w:val="both"/>
              <w:rPr>
                <w:bCs/>
                <w:color w:val="002060"/>
                <w:sz w:val="16"/>
                <w:szCs w:val="16"/>
              </w:rPr>
            </w:pPr>
            <w:r w:rsidRPr="00405303">
              <w:rPr>
                <w:bCs/>
                <w:color w:val="002060"/>
                <w:sz w:val="16"/>
                <w:szCs w:val="16"/>
              </w:rPr>
              <w:t xml:space="preserve">6249 </w:t>
            </w:r>
          </w:p>
        </w:tc>
      </w:tr>
      <w:tr w:rsidR="004B4E35" w:rsidRPr="00405303" w14:paraId="280EAE14" w14:textId="77777777">
        <w:tc>
          <w:tcPr>
            <w:tcW w:w="2580" w:type="dxa"/>
          </w:tcPr>
          <w:p w14:paraId="3D092BCA" w14:textId="77777777" w:rsidR="004B4E35" w:rsidRPr="00405303" w:rsidRDefault="009E6F82" w:rsidP="00C15251">
            <w:pPr>
              <w:jc w:val="both"/>
              <w:rPr>
                <w:bCs/>
                <w:color w:val="002060"/>
                <w:sz w:val="16"/>
                <w:szCs w:val="16"/>
              </w:rPr>
            </w:pPr>
            <w:r w:rsidRPr="00405303">
              <w:rPr>
                <w:bCs/>
                <w:color w:val="002060"/>
                <w:sz w:val="16"/>
                <w:szCs w:val="16"/>
              </w:rPr>
              <w:t>детонаторных трубок и др. изделий</w:t>
            </w:r>
          </w:p>
        </w:tc>
        <w:tc>
          <w:tcPr>
            <w:tcW w:w="816" w:type="dxa"/>
          </w:tcPr>
          <w:p w14:paraId="23E1C9FD" w14:textId="77777777" w:rsidR="004B4E35" w:rsidRPr="00405303" w:rsidRDefault="009E6F82" w:rsidP="00C15251">
            <w:pPr>
              <w:jc w:val="both"/>
              <w:rPr>
                <w:bCs/>
                <w:color w:val="002060"/>
                <w:sz w:val="16"/>
                <w:szCs w:val="16"/>
              </w:rPr>
            </w:pPr>
            <w:r w:rsidRPr="00405303">
              <w:rPr>
                <w:bCs/>
                <w:color w:val="002060"/>
                <w:sz w:val="16"/>
                <w:szCs w:val="16"/>
              </w:rPr>
              <w:t xml:space="preserve">5807 </w:t>
            </w:r>
          </w:p>
        </w:tc>
      </w:tr>
    </w:tbl>
    <w:p w14:paraId="5638ED76" w14:textId="77777777" w:rsidR="004B4E35" w:rsidRPr="00405303" w:rsidRDefault="009E6F82" w:rsidP="00C15251">
      <w:pPr>
        <w:jc w:val="both"/>
        <w:rPr>
          <w:bCs/>
          <w:color w:val="002060"/>
          <w:sz w:val="16"/>
          <w:szCs w:val="16"/>
        </w:rPr>
      </w:pPr>
      <w:r w:rsidRPr="00405303">
        <w:rPr>
          <w:bCs/>
          <w:color w:val="002060"/>
          <w:sz w:val="16"/>
          <w:szCs w:val="16"/>
        </w:rPr>
        <w:t xml:space="preserve">Установка производства инструмента также представляла большие трудности и сильно тормозила дело. </w:t>
      </w:r>
    </w:p>
    <w:p w14:paraId="60FAAA8C" w14:textId="77777777" w:rsidR="004B4E35" w:rsidRPr="00405303" w:rsidRDefault="009E6F82" w:rsidP="00C15251">
      <w:pPr>
        <w:jc w:val="both"/>
        <w:rPr>
          <w:bCs/>
          <w:color w:val="002060"/>
          <w:sz w:val="16"/>
          <w:szCs w:val="16"/>
        </w:rPr>
      </w:pPr>
      <w:r w:rsidRPr="00405303">
        <w:rPr>
          <w:bCs/>
          <w:color w:val="002060"/>
          <w:sz w:val="16"/>
          <w:szCs w:val="16"/>
        </w:rPr>
        <w:t xml:space="preserve">Для снаряжения взрывчатым веществом изготовляемых организацией уполномоченного ГАУ снарядов и детонаторных трубок к ним необходимо было организовать снаряжательные заводы. </w:t>
      </w:r>
    </w:p>
    <w:p w14:paraId="0B6D9F2B" w14:textId="77777777" w:rsidR="004B4E35" w:rsidRPr="00405303" w:rsidRDefault="009E6F82" w:rsidP="00C15251">
      <w:pPr>
        <w:jc w:val="both"/>
        <w:rPr>
          <w:bCs/>
          <w:color w:val="002060"/>
          <w:sz w:val="16"/>
          <w:szCs w:val="16"/>
        </w:rPr>
      </w:pPr>
      <w:r w:rsidRPr="00405303">
        <w:rPr>
          <w:bCs/>
          <w:color w:val="002060"/>
          <w:sz w:val="16"/>
          <w:szCs w:val="16"/>
        </w:rPr>
        <w:t xml:space="preserve">Первый снаряжательный завод был устроен промышленником Н.А. Второвым в бывшей красочной фабрике Байера в Москве, где пришлось вновь выстроить и оборудовать две группы зданий, использовав также и существующие здания фабрики. Мощность завода исчислялась в 750 тыс. гранат в месяц. Постройка первой группы зданий была выполнена в 38 дней, второй — в 4 месяца. </w:t>
      </w:r>
    </w:p>
    <w:p w14:paraId="077FF417" w14:textId="77777777" w:rsidR="004B4E35" w:rsidRPr="00405303" w:rsidRDefault="009E6F82" w:rsidP="00C15251">
      <w:pPr>
        <w:jc w:val="both"/>
        <w:rPr>
          <w:bCs/>
          <w:color w:val="002060"/>
          <w:sz w:val="16"/>
          <w:szCs w:val="16"/>
        </w:rPr>
      </w:pPr>
      <w:r w:rsidRPr="00405303">
        <w:rPr>
          <w:bCs/>
          <w:color w:val="002060"/>
          <w:sz w:val="16"/>
          <w:szCs w:val="16"/>
        </w:rPr>
        <w:t xml:space="preserve">Независимо от этого тем же контрагентом была предпринята постройка второго снаряжательного завода близ станции Затишье Богородского уезда. </w:t>
      </w:r>
    </w:p>
    <w:p w14:paraId="52C3C410" w14:textId="77777777" w:rsidR="004B4E35" w:rsidRPr="00405303" w:rsidRDefault="009E6F82" w:rsidP="00C15251">
      <w:pPr>
        <w:jc w:val="both"/>
        <w:rPr>
          <w:bCs/>
          <w:color w:val="002060"/>
          <w:sz w:val="16"/>
          <w:szCs w:val="16"/>
        </w:rPr>
      </w:pPr>
      <w:r w:rsidRPr="00405303">
        <w:rPr>
          <w:bCs/>
          <w:color w:val="002060"/>
          <w:sz w:val="16"/>
          <w:szCs w:val="16"/>
        </w:rPr>
        <w:t xml:space="preserve">Работа по снаряжению снарядов в Московском заводе началась в сентябре 1915 г., когда было сдано 44 тыс. гранат. В дальнейшем производительность по снаряжению, увеличиваясь из месяца в месяц, показала значительный рост. </w:t>
      </w:r>
    </w:p>
    <w:p w14:paraId="3B456C02" w14:textId="77777777" w:rsidR="004B4E35" w:rsidRPr="00405303" w:rsidRDefault="009E6F82" w:rsidP="00C15251">
      <w:pPr>
        <w:jc w:val="both"/>
        <w:rPr>
          <w:bCs/>
          <w:color w:val="002060"/>
          <w:sz w:val="16"/>
          <w:szCs w:val="16"/>
        </w:rPr>
      </w:pPr>
      <w:r w:rsidRPr="00405303">
        <w:rPr>
          <w:bCs/>
          <w:color w:val="002060"/>
          <w:sz w:val="16"/>
          <w:szCs w:val="16"/>
        </w:rPr>
        <w:t xml:space="preserve">Производительность по снаряжению в месяц, суммарно по всем калибрам снарядов, была следующая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44"/>
        <w:gridCol w:w="684"/>
      </w:tblGrid>
      <w:tr w:rsidR="004B4E35" w:rsidRPr="00405303" w14:paraId="17200142" w14:textId="77777777">
        <w:tc>
          <w:tcPr>
            <w:tcW w:w="2244" w:type="dxa"/>
          </w:tcPr>
          <w:p w14:paraId="714D6C87" w14:textId="77777777" w:rsidR="004B4E35" w:rsidRPr="00405303" w:rsidRDefault="009E6F82" w:rsidP="00C15251">
            <w:pPr>
              <w:jc w:val="both"/>
              <w:rPr>
                <w:bCs/>
                <w:color w:val="002060"/>
                <w:sz w:val="16"/>
                <w:szCs w:val="16"/>
              </w:rPr>
            </w:pPr>
            <w:r w:rsidRPr="00405303">
              <w:rPr>
                <w:bCs/>
                <w:color w:val="002060"/>
                <w:sz w:val="16"/>
                <w:szCs w:val="16"/>
              </w:rPr>
              <w:t>1916 г., январь</w:t>
            </w:r>
          </w:p>
        </w:tc>
        <w:tc>
          <w:tcPr>
            <w:tcW w:w="684" w:type="dxa"/>
          </w:tcPr>
          <w:p w14:paraId="42497526" w14:textId="77777777" w:rsidR="004B4E35" w:rsidRPr="00405303" w:rsidRDefault="009E6F82" w:rsidP="00C15251">
            <w:pPr>
              <w:jc w:val="both"/>
              <w:rPr>
                <w:bCs/>
                <w:color w:val="002060"/>
                <w:sz w:val="16"/>
                <w:szCs w:val="16"/>
              </w:rPr>
            </w:pPr>
            <w:r w:rsidRPr="00405303">
              <w:rPr>
                <w:bCs/>
                <w:color w:val="002060"/>
                <w:sz w:val="16"/>
                <w:szCs w:val="16"/>
              </w:rPr>
              <w:t xml:space="preserve">245 </w:t>
            </w:r>
          </w:p>
        </w:tc>
      </w:tr>
      <w:tr w:rsidR="004B4E35" w:rsidRPr="00405303" w14:paraId="065DC402" w14:textId="77777777">
        <w:tc>
          <w:tcPr>
            <w:tcW w:w="2244" w:type="dxa"/>
          </w:tcPr>
          <w:p w14:paraId="41DCFB45" w14:textId="77777777" w:rsidR="004B4E35" w:rsidRPr="00405303" w:rsidRDefault="009E6F82" w:rsidP="00C15251">
            <w:pPr>
              <w:jc w:val="both"/>
              <w:rPr>
                <w:bCs/>
                <w:color w:val="002060"/>
                <w:sz w:val="16"/>
                <w:szCs w:val="16"/>
              </w:rPr>
            </w:pPr>
            <w:r w:rsidRPr="00405303">
              <w:rPr>
                <w:bCs/>
                <w:color w:val="002060"/>
                <w:sz w:val="16"/>
                <w:szCs w:val="16"/>
              </w:rPr>
              <w:t>апрель</w:t>
            </w:r>
          </w:p>
        </w:tc>
        <w:tc>
          <w:tcPr>
            <w:tcW w:w="684" w:type="dxa"/>
          </w:tcPr>
          <w:p w14:paraId="55A06C0B" w14:textId="77777777" w:rsidR="004B4E35" w:rsidRPr="00405303" w:rsidRDefault="009E6F82" w:rsidP="00C15251">
            <w:pPr>
              <w:jc w:val="both"/>
              <w:rPr>
                <w:bCs/>
                <w:color w:val="002060"/>
                <w:sz w:val="16"/>
                <w:szCs w:val="16"/>
              </w:rPr>
            </w:pPr>
            <w:r w:rsidRPr="00405303">
              <w:rPr>
                <w:bCs/>
                <w:color w:val="002060"/>
                <w:sz w:val="16"/>
                <w:szCs w:val="16"/>
              </w:rPr>
              <w:t xml:space="preserve">347 </w:t>
            </w:r>
          </w:p>
        </w:tc>
      </w:tr>
      <w:tr w:rsidR="004B4E35" w:rsidRPr="00405303" w14:paraId="71A13CE1" w14:textId="77777777">
        <w:tc>
          <w:tcPr>
            <w:tcW w:w="2244" w:type="dxa"/>
          </w:tcPr>
          <w:p w14:paraId="56352451" w14:textId="77777777" w:rsidR="004B4E35" w:rsidRPr="00405303" w:rsidRDefault="009E6F82" w:rsidP="00C15251">
            <w:pPr>
              <w:jc w:val="both"/>
              <w:rPr>
                <w:bCs/>
                <w:color w:val="002060"/>
                <w:sz w:val="16"/>
                <w:szCs w:val="16"/>
              </w:rPr>
            </w:pPr>
            <w:r w:rsidRPr="00405303">
              <w:rPr>
                <w:bCs/>
                <w:color w:val="002060"/>
                <w:sz w:val="16"/>
                <w:szCs w:val="16"/>
              </w:rPr>
              <w:t>июль</w:t>
            </w:r>
          </w:p>
        </w:tc>
        <w:tc>
          <w:tcPr>
            <w:tcW w:w="684" w:type="dxa"/>
          </w:tcPr>
          <w:p w14:paraId="4FBF1BFB" w14:textId="77777777" w:rsidR="004B4E35" w:rsidRPr="00405303" w:rsidRDefault="009E6F82" w:rsidP="00C15251">
            <w:pPr>
              <w:jc w:val="both"/>
              <w:rPr>
                <w:bCs/>
                <w:color w:val="002060"/>
                <w:sz w:val="16"/>
                <w:szCs w:val="16"/>
              </w:rPr>
            </w:pPr>
            <w:r w:rsidRPr="00405303">
              <w:rPr>
                <w:bCs/>
                <w:color w:val="002060"/>
                <w:sz w:val="16"/>
                <w:szCs w:val="16"/>
              </w:rPr>
              <w:t xml:space="preserve">668 </w:t>
            </w:r>
          </w:p>
        </w:tc>
      </w:tr>
      <w:tr w:rsidR="004B4E35" w:rsidRPr="00405303" w14:paraId="799C10FA" w14:textId="77777777">
        <w:tc>
          <w:tcPr>
            <w:tcW w:w="2244" w:type="dxa"/>
          </w:tcPr>
          <w:p w14:paraId="51A975A1" w14:textId="77777777" w:rsidR="004B4E35" w:rsidRPr="00405303" w:rsidRDefault="009E6F82" w:rsidP="00C15251">
            <w:pPr>
              <w:jc w:val="both"/>
              <w:rPr>
                <w:bCs/>
                <w:color w:val="002060"/>
                <w:sz w:val="16"/>
                <w:szCs w:val="16"/>
              </w:rPr>
            </w:pPr>
            <w:r w:rsidRPr="00405303">
              <w:rPr>
                <w:bCs/>
                <w:color w:val="002060"/>
                <w:sz w:val="16"/>
                <w:szCs w:val="16"/>
              </w:rPr>
              <w:t>октябрь</w:t>
            </w:r>
          </w:p>
        </w:tc>
        <w:tc>
          <w:tcPr>
            <w:tcW w:w="684" w:type="dxa"/>
          </w:tcPr>
          <w:p w14:paraId="6D127EEC" w14:textId="77777777" w:rsidR="004B4E35" w:rsidRPr="00405303" w:rsidRDefault="009E6F82" w:rsidP="00C15251">
            <w:pPr>
              <w:jc w:val="both"/>
              <w:rPr>
                <w:bCs/>
                <w:color w:val="002060"/>
                <w:sz w:val="16"/>
                <w:szCs w:val="16"/>
              </w:rPr>
            </w:pPr>
            <w:r w:rsidRPr="00405303">
              <w:rPr>
                <w:bCs/>
                <w:color w:val="002060"/>
                <w:sz w:val="16"/>
                <w:szCs w:val="16"/>
              </w:rPr>
              <w:t xml:space="preserve">1053 </w:t>
            </w:r>
          </w:p>
        </w:tc>
      </w:tr>
      <w:tr w:rsidR="004B4E35" w:rsidRPr="00405303" w14:paraId="2B41DFB7" w14:textId="77777777">
        <w:tc>
          <w:tcPr>
            <w:tcW w:w="2244" w:type="dxa"/>
          </w:tcPr>
          <w:p w14:paraId="734440BA"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684" w:type="dxa"/>
          </w:tcPr>
          <w:p w14:paraId="1C740DCB" w14:textId="77777777" w:rsidR="004B4E35" w:rsidRPr="00405303" w:rsidRDefault="009E6F82" w:rsidP="00C15251">
            <w:pPr>
              <w:jc w:val="both"/>
              <w:rPr>
                <w:bCs/>
                <w:color w:val="002060"/>
                <w:sz w:val="16"/>
                <w:szCs w:val="16"/>
              </w:rPr>
            </w:pPr>
            <w:r w:rsidRPr="00405303">
              <w:rPr>
                <w:bCs/>
                <w:color w:val="002060"/>
                <w:sz w:val="16"/>
                <w:szCs w:val="16"/>
              </w:rPr>
              <w:t xml:space="preserve">801 </w:t>
            </w:r>
          </w:p>
        </w:tc>
      </w:tr>
      <w:tr w:rsidR="004B4E35" w:rsidRPr="00405303" w14:paraId="4C2D50FD" w14:textId="77777777">
        <w:tc>
          <w:tcPr>
            <w:tcW w:w="2244" w:type="dxa"/>
          </w:tcPr>
          <w:p w14:paraId="19304773" w14:textId="77777777" w:rsidR="004B4E35" w:rsidRPr="00405303" w:rsidRDefault="009E6F82" w:rsidP="00C15251">
            <w:pPr>
              <w:jc w:val="both"/>
              <w:rPr>
                <w:bCs/>
                <w:color w:val="002060"/>
                <w:sz w:val="16"/>
                <w:szCs w:val="16"/>
              </w:rPr>
            </w:pPr>
            <w:r w:rsidRPr="00405303">
              <w:rPr>
                <w:bCs/>
                <w:color w:val="002060"/>
                <w:sz w:val="16"/>
                <w:szCs w:val="16"/>
              </w:rPr>
              <w:t>1917 г., январь</w:t>
            </w:r>
          </w:p>
        </w:tc>
        <w:tc>
          <w:tcPr>
            <w:tcW w:w="684" w:type="dxa"/>
          </w:tcPr>
          <w:p w14:paraId="6C31C3B1" w14:textId="77777777" w:rsidR="004B4E35" w:rsidRPr="00405303" w:rsidRDefault="009E6F82" w:rsidP="00C15251">
            <w:pPr>
              <w:jc w:val="both"/>
              <w:rPr>
                <w:bCs/>
                <w:color w:val="002060"/>
                <w:sz w:val="16"/>
                <w:szCs w:val="16"/>
              </w:rPr>
            </w:pPr>
            <w:r w:rsidRPr="00405303">
              <w:rPr>
                <w:bCs/>
                <w:color w:val="002060"/>
                <w:sz w:val="16"/>
                <w:szCs w:val="16"/>
              </w:rPr>
              <w:t xml:space="preserve">763 </w:t>
            </w:r>
          </w:p>
        </w:tc>
      </w:tr>
      <w:tr w:rsidR="004B4E35" w:rsidRPr="00405303" w14:paraId="3AA78542" w14:textId="77777777">
        <w:tc>
          <w:tcPr>
            <w:tcW w:w="2244" w:type="dxa"/>
          </w:tcPr>
          <w:p w14:paraId="0188E523" w14:textId="77777777" w:rsidR="004B4E35" w:rsidRPr="00405303" w:rsidRDefault="009E6F82" w:rsidP="00C15251">
            <w:pPr>
              <w:jc w:val="both"/>
              <w:rPr>
                <w:bCs/>
                <w:color w:val="002060"/>
                <w:sz w:val="16"/>
                <w:szCs w:val="16"/>
              </w:rPr>
            </w:pPr>
            <w:r w:rsidRPr="00405303">
              <w:rPr>
                <w:bCs/>
                <w:color w:val="002060"/>
                <w:sz w:val="16"/>
                <w:szCs w:val="16"/>
              </w:rPr>
              <w:t>апрель</w:t>
            </w:r>
          </w:p>
        </w:tc>
        <w:tc>
          <w:tcPr>
            <w:tcW w:w="684" w:type="dxa"/>
          </w:tcPr>
          <w:p w14:paraId="7BCB206A" w14:textId="77777777" w:rsidR="004B4E35" w:rsidRPr="00405303" w:rsidRDefault="009E6F82" w:rsidP="00C15251">
            <w:pPr>
              <w:jc w:val="both"/>
              <w:rPr>
                <w:bCs/>
                <w:color w:val="002060"/>
                <w:sz w:val="16"/>
                <w:szCs w:val="16"/>
              </w:rPr>
            </w:pPr>
            <w:r w:rsidRPr="00405303">
              <w:rPr>
                <w:bCs/>
                <w:color w:val="002060"/>
                <w:sz w:val="16"/>
                <w:szCs w:val="16"/>
              </w:rPr>
              <w:t xml:space="preserve">608 </w:t>
            </w:r>
          </w:p>
        </w:tc>
      </w:tr>
      <w:tr w:rsidR="004B4E35" w:rsidRPr="00405303" w14:paraId="5257BD1A" w14:textId="77777777">
        <w:tc>
          <w:tcPr>
            <w:tcW w:w="2244" w:type="dxa"/>
          </w:tcPr>
          <w:p w14:paraId="47B01901" w14:textId="77777777" w:rsidR="004B4E35" w:rsidRPr="00405303" w:rsidRDefault="009E6F82" w:rsidP="00C15251">
            <w:pPr>
              <w:jc w:val="both"/>
              <w:rPr>
                <w:bCs/>
                <w:color w:val="002060"/>
                <w:sz w:val="16"/>
                <w:szCs w:val="16"/>
              </w:rPr>
            </w:pPr>
            <w:r w:rsidRPr="00405303">
              <w:rPr>
                <w:bCs/>
                <w:color w:val="002060"/>
                <w:sz w:val="16"/>
                <w:szCs w:val="16"/>
              </w:rPr>
              <w:t>октябрь</w:t>
            </w:r>
          </w:p>
        </w:tc>
        <w:tc>
          <w:tcPr>
            <w:tcW w:w="684" w:type="dxa"/>
          </w:tcPr>
          <w:p w14:paraId="49BC2802" w14:textId="77777777" w:rsidR="004B4E35" w:rsidRPr="00405303" w:rsidRDefault="009E6F82" w:rsidP="00C15251">
            <w:pPr>
              <w:jc w:val="both"/>
              <w:rPr>
                <w:bCs/>
                <w:color w:val="002060"/>
                <w:sz w:val="16"/>
                <w:szCs w:val="16"/>
              </w:rPr>
            </w:pPr>
            <w:r w:rsidRPr="00405303">
              <w:rPr>
                <w:bCs/>
                <w:color w:val="002060"/>
                <w:sz w:val="16"/>
                <w:szCs w:val="16"/>
              </w:rPr>
              <w:t>378</w:t>
            </w:r>
          </w:p>
        </w:tc>
      </w:tr>
      <w:tr w:rsidR="004B4E35" w:rsidRPr="00405303" w14:paraId="1F9CB3C5" w14:textId="77777777">
        <w:tc>
          <w:tcPr>
            <w:tcW w:w="2244" w:type="dxa"/>
          </w:tcPr>
          <w:p w14:paraId="0AFE6943"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684" w:type="dxa"/>
          </w:tcPr>
          <w:p w14:paraId="5D18E882" w14:textId="77777777" w:rsidR="004B4E35" w:rsidRPr="00405303" w:rsidRDefault="009E6F82" w:rsidP="00C15251">
            <w:pPr>
              <w:jc w:val="both"/>
              <w:rPr>
                <w:bCs/>
                <w:color w:val="002060"/>
                <w:sz w:val="16"/>
                <w:szCs w:val="16"/>
              </w:rPr>
            </w:pPr>
            <w:r w:rsidRPr="00405303">
              <w:rPr>
                <w:bCs/>
                <w:color w:val="002060"/>
                <w:sz w:val="16"/>
                <w:szCs w:val="16"/>
              </w:rPr>
              <w:t xml:space="preserve">109 </w:t>
            </w:r>
          </w:p>
        </w:tc>
      </w:tr>
      <w:tr w:rsidR="004B4E35" w:rsidRPr="00405303" w14:paraId="7747825E" w14:textId="77777777">
        <w:tc>
          <w:tcPr>
            <w:tcW w:w="2244" w:type="dxa"/>
          </w:tcPr>
          <w:p w14:paraId="59A95FA9" w14:textId="77777777" w:rsidR="004B4E35" w:rsidRPr="00405303" w:rsidRDefault="009E6F82" w:rsidP="00C15251">
            <w:pPr>
              <w:jc w:val="both"/>
              <w:rPr>
                <w:bCs/>
                <w:color w:val="002060"/>
                <w:sz w:val="16"/>
                <w:szCs w:val="16"/>
              </w:rPr>
            </w:pPr>
            <w:r w:rsidRPr="00405303">
              <w:rPr>
                <w:bCs/>
                <w:color w:val="002060"/>
                <w:sz w:val="16"/>
                <w:szCs w:val="16"/>
              </w:rPr>
              <w:t>[Всего]</w:t>
            </w:r>
          </w:p>
        </w:tc>
        <w:tc>
          <w:tcPr>
            <w:tcW w:w="684" w:type="dxa"/>
          </w:tcPr>
          <w:p w14:paraId="51C7C117" w14:textId="77777777" w:rsidR="004B4E35" w:rsidRPr="00405303" w:rsidRDefault="009E6F82" w:rsidP="00C15251">
            <w:pPr>
              <w:jc w:val="both"/>
              <w:rPr>
                <w:bCs/>
                <w:color w:val="002060"/>
                <w:sz w:val="16"/>
                <w:szCs w:val="16"/>
              </w:rPr>
            </w:pPr>
            <w:r w:rsidRPr="00405303">
              <w:rPr>
                <w:bCs/>
                <w:color w:val="002060"/>
                <w:sz w:val="16"/>
                <w:szCs w:val="16"/>
              </w:rPr>
              <w:t xml:space="preserve">4971 </w:t>
            </w:r>
          </w:p>
        </w:tc>
      </w:tr>
    </w:tbl>
    <w:p w14:paraId="0D614963" w14:textId="77777777" w:rsidR="004B4E35" w:rsidRPr="00405303" w:rsidRDefault="009E6F82" w:rsidP="00C15251">
      <w:pPr>
        <w:jc w:val="both"/>
        <w:rPr>
          <w:bCs/>
          <w:color w:val="002060"/>
          <w:sz w:val="16"/>
          <w:szCs w:val="16"/>
        </w:rPr>
      </w:pPr>
      <w:r w:rsidRPr="00405303">
        <w:rPr>
          <w:bCs/>
          <w:color w:val="002060"/>
          <w:sz w:val="16"/>
          <w:szCs w:val="16"/>
        </w:rPr>
        <w:t xml:space="preserve">Интересно сопоставить количественно работу организации Ванкова с производством снарядов на заводах, выполнявших заказы ГАУ. Сравнение дано в нижеследующей таблице, где цифры указывают, какой процент составляет месячная продукция организации Ванкова от общерусского производства снарядов: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560"/>
        <w:gridCol w:w="936"/>
      </w:tblGrid>
      <w:tr w:rsidR="004B4E35" w:rsidRPr="00405303" w14:paraId="3BDBCE48" w14:textId="77777777">
        <w:tc>
          <w:tcPr>
            <w:tcW w:w="1560" w:type="dxa"/>
          </w:tcPr>
          <w:p w14:paraId="68490A8B" w14:textId="77777777" w:rsidR="004B4E35" w:rsidRPr="00405303" w:rsidRDefault="009E6F82" w:rsidP="00C15251">
            <w:pPr>
              <w:jc w:val="both"/>
              <w:rPr>
                <w:bCs/>
                <w:color w:val="002060"/>
                <w:sz w:val="16"/>
                <w:szCs w:val="16"/>
              </w:rPr>
            </w:pPr>
            <w:r w:rsidRPr="00405303">
              <w:rPr>
                <w:bCs/>
                <w:color w:val="002060"/>
                <w:sz w:val="16"/>
                <w:szCs w:val="16"/>
              </w:rPr>
              <w:lastRenderedPageBreak/>
              <w:t>1915 г., октябрь</w:t>
            </w:r>
          </w:p>
        </w:tc>
        <w:tc>
          <w:tcPr>
            <w:tcW w:w="936" w:type="dxa"/>
          </w:tcPr>
          <w:p w14:paraId="55265D72" w14:textId="77777777" w:rsidR="004B4E35" w:rsidRPr="00405303" w:rsidRDefault="009E6F82" w:rsidP="00C15251">
            <w:pPr>
              <w:jc w:val="both"/>
              <w:rPr>
                <w:bCs/>
                <w:color w:val="002060"/>
                <w:sz w:val="16"/>
                <w:szCs w:val="16"/>
              </w:rPr>
            </w:pPr>
            <w:r w:rsidRPr="00405303">
              <w:rPr>
                <w:bCs/>
                <w:color w:val="002060"/>
                <w:sz w:val="16"/>
                <w:szCs w:val="16"/>
              </w:rPr>
              <w:t xml:space="preserve">6,4 </w:t>
            </w:r>
          </w:p>
        </w:tc>
      </w:tr>
      <w:tr w:rsidR="004B4E35" w:rsidRPr="00405303" w14:paraId="5CA1B88E" w14:textId="77777777">
        <w:tc>
          <w:tcPr>
            <w:tcW w:w="1560" w:type="dxa"/>
          </w:tcPr>
          <w:p w14:paraId="7A858143"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936" w:type="dxa"/>
          </w:tcPr>
          <w:p w14:paraId="6EBCD0C3" w14:textId="77777777" w:rsidR="004B4E35" w:rsidRPr="00405303" w:rsidRDefault="009E6F82" w:rsidP="00C15251">
            <w:pPr>
              <w:jc w:val="both"/>
              <w:rPr>
                <w:bCs/>
                <w:color w:val="002060"/>
                <w:sz w:val="16"/>
                <w:szCs w:val="16"/>
              </w:rPr>
            </w:pPr>
            <w:r w:rsidRPr="00405303">
              <w:rPr>
                <w:bCs/>
                <w:color w:val="002060"/>
                <w:sz w:val="16"/>
                <w:szCs w:val="16"/>
              </w:rPr>
              <w:t xml:space="preserve">12,3 </w:t>
            </w:r>
          </w:p>
        </w:tc>
      </w:tr>
      <w:tr w:rsidR="004B4E35" w:rsidRPr="00405303" w14:paraId="5B293E19" w14:textId="77777777">
        <w:tc>
          <w:tcPr>
            <w:tcW w:w="1560" w:type="dxa"/>
          </w:tcPr>
          <w:p w14:paraId="43321932"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936" w:type="dxa"/>
          </w:tcPr>
          <w:p w14:paraId="73FD656F" w14:textId="77777777" w:rsidR="004B4E35" w:rsidRPr="00405303" w:rsidRDefault="009E6F82" w:rsidP="00C15251">
            <w:pPr>
              <w:jc w:val="both"/>
              <w:rPr>
                <w:bCs/>
                <w:color w:val="002060"/>
                <w:sz w:val="16"/>
                <w:szCs w:val="16"/>
              </w:rPr>
            </w:pPr>
            <w:r w:rsidRPr="00405303">
              <w:rPr>
                <w:bCs/>
                <w:color w:val="002060"/>
                <w:sz w:val="16"/>
                <w:szCs w:val="16"/>
              </w:rPr>
              <w:t xml:space="preserve">10,2 </w:t>
            </w:r>
          </w:p>
        </w:tc>
      </w:tr>
      <w:tr w:rsidR="004B4E35" w:rsidRPr="00405303" w14:paraId="52872523" w14:textId="77777777">
        <w:tc>
          <w:tcPr>
            <w:tcW w:w="1560" w:type="dxa"/>
          </w:tcPr>
          <w:p w14:paraId="584018C7" w14:textId="77777777" w:rsidR="004B4E35" w:rsidRPr="00405303" w:rsidRDefault="009E6F82" w:rsidP="00C15251">
            <w:pPr>
              <w:jc w:val="both"/>
              <w:rPr>
                <w:bCs/>
                <w:color w:val="002060"/>
                <w:sz w:val="16"/>
                <w:szCs w:val="16"/>
              </w:rPr>
            </w:pPr>
            <w:r w:rsidRPr="00405303">
              <w:rPr>
                <w:bCs/>
                <w:color w:val="002060"/>
                <w:sz w:val="16"/>
                <w:szCs w:val="16"/>
              </w:rPr>
              <w:t>1916 г., январь</w:t>
            </w:r>
          </w:p>
        </w:tc>
        <w:tc>
          <w:tcPr>
            <w:tcW w:w="936" w:type="dxa"/>
          </w:tcPr>
          <w:p w14:paraId="2E036003" w14:textId="77777777" w:rsidR="004B4E35" w:rsidRPr="00405303" w:rsidRDefault="009E6F82" w:rsidP="00C15251">
            <w:pPr>
              <w:jc w:val="both"/>
              <w:rPr>
                <w:bCs/>
                <w:color w:val="002060"/>
                <w:sz w:val="16"/>
                <w:szCs w:val="16"/>
              </w:rPr>
            </w:pPr>
            <w:r w:rsidRPr="00405303">
              <w:rPr>
                <w:bCs/>
                <w:color w:val="002060"/>
                <w:sz w:val="16"/>
                <w:szCs w:val="16"/>
              </w:rPr>
              <w:t>11,6</w:t>
            </w:r>
          </w:p>
        </w:tc>
      </w:tr>
      <w:tr w:rsidR="004B4E35" w:rsidRPr="00405303" w14:paraId="67147729" w14:textId="77777777">
        <w:tc>
          <w:tcPr>
            <w:tcW w:w="1560" w:type="dxa"/>
          </w:tcPr>
          <w:p w14:paraId="25A88596" w14:textId="77777777" w:rsidR="004B4E35" w:rsidRPr="00405303" w:rsidRDefault="009E6F82" w:rsidP="00C15251">
            <w:pPr>
              <w:jc w:val="both"/>
              <w:rPr>
                <w:bCs/>
                <w:color w:val="002060"/>
                <w:sz w:val="16"/>
                <w:szCs w:val="16"/>
              </w:rPr>
            </w:pPr>
            <w:r w:rsidRPr="00405303">
              <w:rPr>
                <w:bCs/>
                <w:color w:val="002060"/>
                <w:sz w:val="16"/>
                <w:szCs w:val="16"/>
              </w:rPr>
              <w:t>февраль</w:t>
            </w:r>
          </w:p>
        </w:tc>
        <w:tc>
          <w:tcPr>
            <w:tcW w:w="936" w:type="dxa"/>
          </w:tcPr>
          <w:p w14:paraId="4D19851D" w14:textId="77777777" w:rsidR="004B4E35" w:rsidRPr="00405303" w:rsidRDefault="009E6F82" w:rsidP="00C15251">
            <w:pPr>
              <w:jc w:val="both"/>
              <w:rPr>
                <w:bCs/>
                <w:color w:val="002060"/>
                <w:sz w:val="16"/>
                <w:szCs w:val="16"/>
              </w:rPr>
            </w:pPr>
            <w:r w:rsidRPr="00405303">
              <w:rPr>
                <w:bCs/>
                <w:color w:val="002060"/>
                <w:sz w:val="16"/>
                <w:szCs w:val="16"/>
              </w:rPr>
              <w:t xml:space="preserve">18,0 </w:t>
            </w:r>
          </w:p>
        </w:tc>
      </w:tr>
      <w:tr w:rsidR="004B4E35" w:rsidRPr="00405303" w14:paraId="0EBFBB6D" w14:textId="77777777">
        <w:tc>
          <w:tcPr>
            <w:tcW w:w="1560" w:type="dxa"/>
          </w:tcPr>
          <w:p w14:paraId="172C40A1" w14:textId="77777777" w:rsidR="004B4E35" w:rsidRPr="00405303" w:rsidRDefault="009E6F82" w:rsidP="00C15251">
            <w:pPr>
              <w:jc w:val="both"/>
              <w:rPr>
                <w:bCs/>
                <w:color w:val="002060"/>
                <w:sz w:val="16"/>
                <w:szCs w:val="16"/>
              </w:rPr>
            </w:pPr>
            <w:r w:rsidRPr="00405303">
              <w:rPr>
                <w:bCs/>
                <w:color w:val="002060"/>
                <w:sz w:val="16"/>
                <w:szCs w:val="16"/>
              </w:rPr>
              <w:t>март</w:t>
            </w:r>
          </w:p>
        </w:tc>
        <w:tc>
          <w:tcPr>
            <w:tcW w:w="936" w:type="dxa"/>
          </w:tcPr>
          <w:p w14:paraId="17B82713" w14:textId="77777777" w:rsidR="004B4E35" w:rsidRPr="00405303" w:rsidRDefault="009E6F82" w:rsidP="00C15251">
            <w:pPr>
              <w:jc w:val="both"/>
              <w:rPr>
                <w:bCs/>
                <w:color w:val="002060"/>
                <w:sz w:val="16"/>
                <w:szCs w:val="16"/>
              </w:rPr>
            </w:pPr>
            <w:r w:rsidRPr="00405303">
              <w:rPr>
                <w:bCs/>
                <w:color w:val="002060"/>
                <w:sz w:val="16"/>
                <w:szCs w:val="16"/>
              </w:rPr>
              <w:t xml:space="preserve">28,2 </w:t>
            </w:r>
          </w:p>
        </w:tc>
      </w:tr>
    </w:tbl>
    <w:p w14:paraId="6C860EED" w14:textId="77777777" w:rsidR="004B4E35" w:rsidRPr="00405303" w:rsidRDefault="009E6F82" w:rsidP="00C15251">
      <w:pPr>
        <w:jc w:val="both"/>
        <w:rPr>
          <w:bCs/>
          <w:color w:val="002060"/>
          <w:sz w:val="16"/>
          <w:szCs w:val="16"/>
        </w:rPr>
      </w:pPr>
      <w:r w:rsidRPr="00405303">
        <w:rPr>
          <w:bCs/>
          <w:color w:val="002060"/>
          <w:sz w:val="16"/>
          <w:szCs w:val="16"/>
        </w:rPr>
        <w:t xml:space="preserve">В истории "Организации уполномоченного ГАУ" есть много поучительного. Первое, на чем нужно остановить внимание в работе организации — это элемент времени, сроки. Дело начато было в феврале 1915 года. В апреле даны первые заказы. Производство корпусов началось в октябре 1915 г. (9-й месяц) — выпуск первых валовых партий. До максимума поднялось в декабре 1916 г. (20-й месяц). Снаряжение началось в январе 1916 г. (11-й месяц). </w:t>
      </w:r>
    </w:p>
    <w:p w14:paraId="6DF77B21" w14:textId="77777777" w:rsidR="004B4E35" w:rsidRPr="00405303" w:rsidRDefault="009E6F82" w:rsidP="00C15251">
      <w:pPr>
        <w:jc w:val="both"/>
        <w:rPr>
          <w:bCs/>
          <w:color w:val="002060"/>
          <w:sz w:val="16"/>
          <w:szCs w:val="16"/>
        </w:rPr>
      </w:pPr>
      <w:r w:rsidRPr="00405303">
        <w:rPr>
          <w:bCs/>
          <w:color w:val="002060"/>
          <w:sz w:val="16"/>
          <w:szCs w:val="16"/>
        </w:rPr>
        <w:t xml:space="preserve">Эти данные относятся не к одному какому-либо заводу, а к сотням их. Следовательно, сроки здесь не носят случайного характера — в них есть определенная закономерность. </w:t>
      </w:r>
    </w:p>
    <w:p w14:paraId="4A3B8385" w14:textId="77777777" w:rsidR="004B4E35" w:rsidRPr="00405303" w:rsidRDefault="009E6F82" w:rsidP="00C15251">
      <w:pPr>
        <w:jc w:val="both"/>
        <w:rPr>
          <w:bCs/>
          <w:color w:val="002060"/>
          <w:sz w:val="16"/>
          <w:szCs w:val="16"/>
        </w:rPr>
      </w:pPr>
      <w:r w:rsidRPr="00405303">
        <w:rPr>
          <w:bCs/>
          <w:color w:val="002060"/>
          <w:sz w:val="16"/>
          <w:szCs w:val="16"/>
        </w:rPr>
        <w:t xml:space="preserve">Производство 3-дм снарядов французского образца среди военных изделий относится к числу наименее сложных и точных. Степень точности и сложности работы здесь несравненно ниже, чем в винтовках, трубках и т.д. Относительное число точных обмеров весьма мало, значительное большинство их работается с большими допусками. </w:t>
      </w:r>
    </w:p>
    <w:p w14:paraId="683159C2" w14:textId="77777777" w:rsidR="004B4E35" w:rsidRPr="00405303" w:rsidRDefault="009E6F82" w:rsidP="00C15251">
      <w:pPr>
        <w:jc w:val="both"/>
        <w:rPr>
          <w:bCs/>
          <w:color w:val="002060"/>
          <w:sz w:val="16"/>
          <w:szCs w:val="16"/>
        </w:rPr>
      </w:pPr>
      <w:r w:rsidRPr="00405303">
        <w:rPr>
          <w:bCs/>
          <w:color w:val="002060"/>
          <w:sz w:val="16"/>
          <w:szCs w:val="16"/>
        </w:rPr>
        <w:t xml:space="preserve">Затем, организация уполномоченного ГАУ пользовалась обширными хозяйственными правами и все дело поставлено было на правильных коммерческих началах, с изъятием волокиты, казенщины и пр. </w:t>
      </w:r>
    </w:p>
    <w:p w14:paraId="484D5C84" w14:textId="77777777" w:rsidR="004B4E35" w:rsidRPr="00405303" w:rsidRDefault="009E6F82" w:rsidP="00C15251">
      <w:pPr>
        <w:jc w:val="both"/>
        <w:rPr>
          <w:bCs/>
          <w:color w:val="002060"/>
          <w:sz w:val="16"/>
          <w:szCs w:val="16"/>
        </w:rPr>
      </w:pPr>
      <w:r w:rsidRPr="00405303">
        <w:rPr>
          <w:bCs/>
          <w:color w:val="002060"/>
          <w:sz w:val="16"/>
          <w:szCs w:val="16"/>
        </w:rPr>
        <w:t xml:space="preserve">И тем не менее постановка массового, сравнительно несложного производства в импровизированном порядке, без предварительной подготовки потребовала 9 месяцев, а разворачивание его до максимума — 18 месяцев. </w:t>
      </w:r>
    </w:p>
    <w:p w14:paraId="5AE30327" w14:textId="77777777" w:rsidR="004B4E35" w:rsidRPr="00405303" w:rsidRDefault="009E6F82" w:rsidP="00C15251">
      <w:pPr>
        <w:jc w:val="both"/>
        <w:rPr>
          <w:bCs/>
          <w:color w:val="002060"/>
          <w:sz w:val="16"/>
          <w:szCs w:val="16"/>
        </w:rPr>
      </w:pPr>
      <w:r w:rsidRPr="00405303">
        <w:rPr>
          <w:bCs/>
          <w:color w:val="002060"/>
          <w:sz w:val="16"/>
          <w:szCs w:val="16"/>
        </w:rPr>
        <w:t xml:space="preserve">Эти цифры, относящиеся к довольно далекому прошлому, тем не менее полностью сохраняют свою практическую ценность и сейчас, в совершенно иной обстановке. Это подтверждает отчетливо опыт постановки на Златоустовском заводе массового производства снарядов нового чертежа, имевший место в 1924—1925 годах. Здесь работа в отношении сроков результировалась цифрами, совершенно сходными с теми, которые приведены выше. </w:t>
      </w:r>
    </w:p>
    <w:p w14:paraId="51FCC8C8" w14:textId="77777777" w:rsidR="004B4E35" w:rsidRPr="00405303" w:rsidRDefault="009E6F82" w:rsidP="00C15251">
      <w:pPr>
        <w:jc w:val="both"/>
        <w:rPr>
          <w:bCs/>
          <w:color w:val="002060"/>
          <w:sz w:val="16"/>
          <w:szCs w:val="16"/>
        </w:rPr>
      </w:pPr>
      <w:r w:rsidRPr="00405303">
        <w:rPr>
          <w:bCs/>
          <w:color w:val="002060"/>
          <w:sz w:val="16"/>
          <w:szCs w:val="16"/>
        </w:rPr>
        <w:t xml:space="preserve">Приведенные выше сроки, как бы они хорошо ни были обоснованы с точки зрения производственной, с точки зрения интересов военного ведомства, само собой разумеется, должны быть признаны неприемлемыми. Единственное средство сократить их — это надлежащая заблаговременная мобилизационная подготовка заводов. При наличии ее получается совершенно другой производственный эффект. </w:t>
      </w:r>
    </w:p>
    <w:p w14:paraId="69AF83C9" w14:textId="77777777" w:rsidR="004B4E35" w:rsidRPr="00405303" w:rsidRDefault="009E6F82" w:rsidP="00C15251">
      <w:pPr>
        <w:jc w:val="both"/>
        <w:rPr>
          <w:bCs/>
          <w:color w:val="002060"/>
          <w:sz w:val="16"/>
          <w:szCs w:val="16"/>
        </w:rPr>
      </w:pPr>
      <w:r w:rsidRPr="00405303">
        <w:rPr>
          <w:bCs/>
          <w:color w:val="002060"/>
          <w:sz w:val="16"/>
          <w:szCs w:val="16"/>
        </w:rPr>
        <w:t>Все указанные обстоятельства должны быть тщательно учтены военным ведомством при составлении его мобилизационных планов, с тем чтобы эти планы носили реальный характер. Это особенно важно по отношению к снарядам, так как производство их лежит в большинстве на гражданских заводах, в мирное время стоящих на консервации (так в тексте. — Ред.) (11329).</w:t>
      </w:r>
    </w:p>
    <w:p w14:paraId="0D5F9BC7" w14:textId="77777777" w:rsidR="004B4E35" w:rsidRPr="00405303" w:rsidRDefault="004B4E35" w:rsidP="00C15251">
      <w:pPr>
        <w:jc w:val="both"/>
        <w:rPr>
          <w:bCs/>
          <w:i/>
          <w:color w:val="002060"/>
          <w:sz w:val="16"/>
          <w:szCs w:val="16"/>
        </w:rPr>
      </w:pPr>
    </w:p>
    <w:p w14:paraId="2816E6CF" w14:textId="77777777" w:rsidR="00DB5288" w:rsidRPr="00405303" w:rsidRDefault="00DB5288"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сентябре 1915 г. организация Ванкова сдано 3,9% общерусского производства 76-мм снарядов, в январе 1916 г. 11,6%, а в марте 28,2% (326.270 из 1.155.000). Если же сопоставить прирост производства организации Ванкова с приростом общерусского производства, то прирост организации Ванкова в сентябре 1916 г. - 28% прироста общего производства, а в марте 1917 г. - 175%. </w:t>
      </w:r>
    </w:p>
    <w:p w14:paraId="11A15BA8" w14:textId="77777777" w:rsidR="00DB5288" w:rsidRPr="00405303" w:rsidRDefault="00DB5288"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С мая 1915 г. по январь 1918 г. ген. Ванковым было заключено 442 договора с различными многочисленными предприятиями, включенными в его организацию. </w:t>
      </w:r>
    </w:p>
    <w:p w14:paraId="7646084E" w14:textId="77777777" w:rsidR="00DB5288" w:rsidRPr="00405303" w:rsidRDefault="00DB5288"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состав организации вошли как крупные заводы и предприятия: общество Коломенского завода, Густав Лист, Донецкое и Краматорское металлургические общества, общества Мальцевских заводов, Русской железнопрокатной промышленности и трубопрокатных заводов, Паровозостроительное и механическое общество, Южно-русское днепровское.общество, товарищество Кольчугина, Тверская мануфактура, Викула Морозов, Д. П. Рябушинский, Н. А. Второв, Компания Зингер, Р. Т. Эльворти, общество "Динамо" и т. д., так и мелкие заводы и мастерские, объединяемые и необъединяемые военно-промышленными комитетами; при этом в организацию входили не только металлургические и механические заводы и предприятия, но и мануфактурные, оптические, штамповальные и т. д. </w:t>
      </w:r>
    </w:p>
    <w:p w14:paraId="77B99517" w14:textId="77777777" w:rsidR="00DB5288" w:rsidRPr="00405303" w:rsidRDefault="00DB5288"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Предприятия эти были сведены в местные районы, во главе которых были поставлены заведующие; районы открывались по мере надобности в местном объединении заводов. Таких районов было открыто 7: Московский, Южный, Тамбовский, Петроградский, Одесский, Киевский, Ярославский. В одном Московском районе объединено было около 100 заводов, мастерских и комитетов; в Одесском до 70 предприятий, по большей части мелких мастерских Одесского областного военно-промышленного комитета; в Киевском 56 заводов и мелких мастерских и т. д. Кроме того, по заказам организации Ванкова работали отдельные военно-промышленные комитеты и заводы, не объединившиеся в районы. </w:t>
      </w:r>
    </w:p>
    <w:p w14:paraId="25997DD5" w14:textId="77777777" w:rsidR="00DB5288" w:rsidRPr="00405303" w:rsidRDefault="00DB5288"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Для организации производства заводы были подразделены на группы: одна группа - для подготовки стали, другая - для изготовления корпусов гранаты, третья - для изготовления запальных стаканов взрывателя, четвертая - для изготовления ударных (детонаторных) трубок, пятая - для снаряжения снарядов и пр. </w:t>
      </w:r>
    </w:p>
    <w:p w14:paraId="0C7D0C34" w14:textId="77777777" w:rsidR="00DB5288" w:rsidRPr="00405303" w:rsidRDefault="00DB5288"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Во главе каждой группы имелся завод с руководителями-специалистами, на котором давались разъяснения и производились всякого рода испытания. </w:t>
      </w:r>
    </w:p>
    <w:p w14:paraId="3449E6BB" w14:textId="77777777" w:rsidR="00DB5288" w:rsidRPr="00405303" w:rsidRDefault="00DB5288"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Организация Ванкова принимала необходимые меры к устранению разного рода препятствий к правильному производству и развитию работ, а именно: а) урегулирование очереди и порядка исполнения срочных заказов разных ведомств - морского, интендантского, инженерного и пр.; разрозненные действия ведомств доходили до того, что одно из ведомств начало реквизицию станков в Московском районе, вследствие чего возникло даже опасение, что работа района совершенна прекратится; б) освобождение рабочих-специалистов от призыва на службу в войска и возвращение заводам мастеровых-ратников и запасных, находящихся в тыловых войсковых частях и командах; в) урегулирование снабжения заводов топливом, материалами и машинами и оказание им, содействия в деле перевозки; еще на предварительном совещании заводчиков Московского района, происходившем в феврале 1915 г., выяснилось, что в течение месяца было доставлено донецкого угля только 22% затребованного и разрешенного горнозаводским комитетом количества, что из Архангельска не доставляются давно туда прибывшие из-за границы станки и пр.; г) устранение разного рода затруднений технического характера, встречавшихся при заводском производстве. При этом организация ген. Ванкова заняла совершенно самостоятельную позицию, независимую от Арткома ГАУ в экспериментально-техническом отношении по вопросам, касающимся контроля и пригодности стали для снарядов, выяснения причин разного рода пороков материала в снарядах, исследования и установления пригодности новых материалов для снарядов (сталистый чугун) и т. п. В этой работе организации Ванкова пришли на помощь научно-технические силы Москвы, в особенности профессора, преподаватели и лаборатории Высшего московского технического училища. </w:t>
      </w:r>
    </w:p>
    <w:p w14:paraId="1225647C" w14:textId="77777777" w:rsidR="00DB5288" w:rsidRPr="00405303" w:rsidRDefault="00DB5288"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При заготовлении снарядов организацией Ванкова был избран как более отвечающий обстоятельствам дела, по своей гибкости и применимости к обстановке, и вместе обеспечивающий интересы казны, так называемый прежним законом "комиссионерский способ заготовления", но с некоторыми отступлениями. </w:t>
      </w:r>
    </w:p>
    <w:p w14:paraId="3F8CA6A3" w14:textId="77777777" w:rsidR="00DB5288" w:rsidRPr="00405303" w:rsidRDefault="00DB5288"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Этот способ заготовления обыкновенно применялся к предметам второстепенного для армии значения и в сравнительно небольших размерах. </w:t>
      </w:r>
    </w:p>
    <w:p w14:paraId="11E1A0E5" w14:textId="77777777" w:rsidR="00DB5288" w:rsidRPr="00405303" w:rsidRDefault="00DB5288"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Заготовление гранат по французскому образцу организацией Ванкова-представляло первый и чуть ли не единственный в притом удачный опыт применения "комиссионерского способа" в отношении предметов первостепенной важности и в чрезвычайно широком размере. </w:t>
      </w:r>
    </w:p>
    <w:p w14:paraId="17E63754" w14:textId="77777777" w:rsidR="00DB5288" w:rsidRPr="00405303" w:rsidRDefault="00DB5288"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 мнению ген. Ванкова, организация порученного ему дела должна была бы </w:t>
      </w:r>
      <w:proofErr w:type="gramStart"/>
      <w:r w:rsidRPr="00405303">
        <w:rPr>
          <w:bCs/>
          <w:i w:val="0"/>
          <w:color w:val="002060"/>
          <w:spacing w:val="0"/>
          <w:kern w:val="0"/>
          <w:position w:val="0"/>
          <w:sz w:val="16"/>
          <w:szCs w:val="16"/>
        </w:rPr>
        <w:t>напоминать</w:t>
      </w:r>
      <w:proofErr w:type="gramEnd"/>
      <w:r w:rsidRPr="00405303">
        <w:rPr>
          <w:bCs/>
          <w:i w:val="0"/>
          <w:color w:val="002060"/>
          <w:spacing w:val="0"/>
          <w:kern w:val="0"/>
          <w:position w:val="0"/>
          <w:sz w:val="16"/>
          <w:szCs w:val="16"/>
        </w:rPr>
        <w:t xml:space="preserve"> как бы организацию крупного промышленного предприятия с директором-распорядителем во главе. По его мнению, канцелярская волокита могла убить дело; стоящее во главе дела лицо должно было "иметь право на месте решать бесповоротно и окончательно все возникающие экономическо-хозяйственные и технические вопросы". Лицо без таких широких полномочий не могло бы, по мнению Ванкова, добыть потребные сырые материалы и топливо без вредных задержек, какие в то время постоянно происходили даже с казенными грузами. </w:t>
      </w:r>
    </w:p>
    <w:p w14:paraId="75E54596" w14:textId="77777777" w:rsidR="00DB5288" w:rsidRPr="00405303" w:rsidRDefault="00DB5288"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Просимые ген. Ванковым права и полномочия были ему предоставлены далёко не в полном объеме (11483).</w:t>
      </w:r>
    </w:p>
    <w:p w14:paraId="7BB15031" w14:textId="77777777" w:rsidR="00DB5288" w:rsidRPr="00405303" w:rsidRDefault="00DB5288" w:rsidP="00C15251">
      <w:pPr>
        <w:jc w:val="both"/>
        <w:rPr>
          <w:bCs/>
          <w:color w:val="002060"/>
          <w:sz w:val="16"/>
          <w:szCs w:val="16"/>
        </w:rPr>
      </w:pPr>
    </w:p>
    <w:p w14:paraId="21ACA596" w14:textId="5C5E6BC0" w:rsidR="004B4E35" w:rsidRPr="00405303" w:rsidRDefault="009E6F82" w:rsidP="00C15251">
      <w:pPr>
        <w:jc w:val="both"/>
        <w:rPr>
          <w:bCs/>
          <w:color w:val="002060"/>
          <w:sz w:val="16"/>
          <w:szCs w:val="16"/>
        </w:rPr>
      </w:pPr>
      <w:r w:rsidRPr="00405303">
        <w:rPr>
          <w:bCs/>
          <w:color w:val="002060"/>
          <w:sz w:val="16"/>
          <w:szCs w:val="16"/>
        </w:rPr>
        <w:t xml:space="preserve">В сентябре 1915 года исполняющий обязанности председателя хозяйственно-строительной комиссии и начальника завода полковник Скосырский приступил к формированию штата инженерно-технических работников и рабочих </w:t>
      </w:r>
      <w:r w:rsidR="008A2885" w:rsidRPr="00405303">
        <w:rPr>
          <w:bCs/>
          <w:color w:val="002060"/>
          <w:sz w:val="16"/>
          <w:szCs w:val="16"/>
        </w:rPr>
        <w:t>Тамбовского завода</w:t>
      </w:r>
      <w:r w:rsidRPr="00405303">
        <w:rPr>
          <w:bCs/>
          <w:color w:val="002060"/>
          <w:sz w:val="16"/>
          <w:szCs w:val="16"/>
        </w:rPr>
        <w:t xml:space="preserve">. Временный штат </w:t>
      </w:r>
      <w:proofErr w:type="gramStart"/>
      <w:r w:rsidRPr="00405303">
        <w:rPr>
          <w:bCs/>
          <w:color w:val="002060"/>
          <w:sz w:val="16"/>
          <w:szCs w:val="16"/>
        </w:rPr>
        <w:t>был Высочайше</w:t>
      </w:r>
      <w:proofErr w:type="gramEnd"/>
      <w:r w:rsidRPr="00405303">
        <w:rPr>
          <w:bCs/>
          <w:color w:val="002060"/>
          <w:sz w:val="16"/>
          <w:szCs w:val="16"/>
        </w:rPr>
        <w:t xml:space="preserve"> утвержден 3 ноября 1915 года.</w:t>
      </w:r>
    </w:p>
    <w:p w14:paraId="775941A8" w14:textId="77777777" w:rsidR="004B4E35" w:rsidRPr="00405303" w:rsidRDefault="009E6F82" w:rsidP="00C15251">
      <w:pPr>
        <w:jc w:val="both"/>
        <w:rPr>
          <w:bCs/>
          <w:color w:val="002060"/>
          <w:sz w:val="16"/>
          <w:szCs w:val="16"/>
        </w:rPr>
      </w:pPr>
      <w:r w:rsidRPr="00405303">
        <w:rPr>
          <w:bCs/>
          <w:color w:val="002060"/>
          <w:sz w:val="16"/>
          <w:szCs w:val="16"/>
        </w:rPr>
        <w:lastRenderedPageBreak/>
        <w:t>Для обеспечения функционирования завода создаются механический, строительный, хозяйственный, административный отделы, канцелярия, бухгалтерия, чертежная архитектора завода.</w:t>
      </w:r>
    </w:p>
    <w:p w14:paraId="3638C5E3" w14:textId="77777777" w:rsidR="004B4E35" w:rsidRPr="00405303" w:rsidRDefault="009E6F82" w:rsidP="00C15251">
      <w:pPr>
        <w:jc w:val="both"/>
        <w:rPr>
          <w:bCs/>
          <w:color w:val="002060"/>
          <w:sz w:val="16"/>
          <w:szCs w:val="16"/>
        </w:rPr>
      </w:pPr>
      <w:r w:rsidRPr="00405303">
        <w:rPr>
          <w:bCs/>
          <w:color w:val="002060"/>
          <w:sz w:val="16"/>
          <w:szCs w:val="16"/>
        </w:rPr>
        <w:t>12 ноября 1915 года первым приказом по заводу было объявле­но о начале его действия.</w:t>
      </w:r>
    </w:p>
    <w:p w14:paraId="3B0C790C" w14:textId="77777777" w:rsidR="004B4E35" w:rsidRPr="00405303" w:rsidRDefault="009E6F82" w:rsidP="00C15251">
      <w:pPr>
        <w:jc w:val="both"/>
        <w:rPr>
          <w:bCs/>
          <w:color w:val="002060"/>
          <w:sz w:val="16"/>
          <w:szCs w:val="16"/>
        </w:rPr>
      </w:pPr>
      <w:r w:rsidRPr="00405303">
        <w:rPr>
          <w:bCs/>
          <w:color w:val="002060"/>
          <w:sz w:val="16"/>
          <w:szCs w:val="16"/>
        </w:rPr>
        <w:t>В 1927 году на заводе начинаются организация новых цехов, которые стали базой для основного производства. Годы первой пятилетки характеризуются большим размахом строительства.</w:t>
      </w:r>
    </w:p>
    <w:p w14:paraId="688C8431" w14:textId="77777777" w:rsidR="004B4E35" w:rsidRPr="00405303" w:rsidRDefault="009E6F82" w:rsidP="00C15251">
      <w:pPr>
        <w:jc w:val="both"/>
        <w:rPr>
          <w:bCs/>
          <w:color w:val="002060"/>
          <w:sz w:val="16"/>
          <w:szCs w:val="16"/>
        </w:rPr>
      </w:pPr>
      <w:r w:rsidRPr="00405303">
        <w:rPr>
          <w:bCs/>
          <w:color w:val="002060"/>
          <w:sz w:val="16"/>
          <w:szCs w:val="16"/>
        </w:rPr>
        <w:t>В 1930 году введен в эксплуатацию 1-й цех, в 31-м — сернокислотный, в 32-м — третье производство.</w:t>
      </w:r>
    </w:p>
    <w:p w14:paraId="71B84CE6" w14:textId="77777777" w:rsidR="004B4E35" w:rsidRPr="00405303" w:rsidRDefault="009E6F82" w:rsidP="00C15251">
      <w:pPr>
        <w:jc w:val="both"/>
        <w:rPr>
          <w:bCs/>
          <w:color w:val="002060"/>
          <w:sz w:val="16"/>
          <w:szCs w:val="16"/>
        </w:rPr>
      </w:pPr>
      <w:r w:rsidRPr="00405303">
        <w:rPr>
          <w:bCs/>
          <w:color w:val="002060"/>
          <w:sz w:val="16"/>
          <w:szCs w:val="16"/>
        </w:rPr>
        <w:t>Строятся вспомогательные службы — железнодорожные пути, склады, электростанция. Южная часть завода приступает к производству основной продукции на базе смонтированных в 1915—1916 годах фаз. А первый выпуск порохов по полному цик­лу осуществлен в феврале 1932 года.</w:t>
      </w:r>
    </w:p>
    <w:p w14:paraId="466B127C" w14:textId="77777777" w:rsidR="004B4E35" w:rsidRPr="00405303" w:rsidRDefault="009E6F82" w:rsidP="00C15251">
      <w:pPr>
        <w:jc w:val="both"/>
        <w:rPr>
          <w:bCs/>
          <w:color w:val="002060"/>
          <w:sz w:val="16"/>
          <w:szCs w:val="16"/>
        </w:rPr>
      </w:pPr>
      <w:r w:rsidRPr="00405303">
        <w:rPr>
          <w:bCs/>
          <w:color w:val="002060"/>
          <w:sz w:val="16"/>
          <w:szCs w:val="16"/>
        </w:rPr>
        <w:t>В апреле 1933 года начато производство целлулоида —триплексного, технического, галантерейного.</w:t>
      </w:r>
    </w:p>
    <w:p w14:paraId="14B0ED80" w14:textId="77777777" w:rsidR="004B4E35" w:rsidRPr="00405303" w:rsidRDefault="009E6F82" w:rsidP="00C15251">
      <w:pPr>
        <w:jc w:val="both"/>
        <w:rPr>
          <w:bCs/>
          <w:color w:val="002060"/>
          <w:sz w:val="16"/>
          <w:szCs w:val="16"/>
        </w:rPr>
      </w:pPr>
      <w:r w:rsidRPr="00405303">
        <w:rPr>
          <w:bCs/>
          <w:color w:val="002060"/>
          <w:sz w:val="16"/>
          <w:szCs w:val="16"/>
        </w:rPr>
        <w:t>Рост объемов производства с 1931 по 1935 год составил более 160%. Темпы развернувшегося строительства и реконструкции завода потребовали от коллектива большой творческой работы, появилась необходимость в квалифицированных кадрах. Эту задачу тоже пришлось решать заводу. Идет подготовка специалистов в ФЗУ. В 1931 году все учебные заведения завода объединены в учебный комбинат, который в 1933 году реорганизуется в отдел подготовки кадров. Его окончили В. Карлинский, Н. Лободанов, В. Пошухонина, И. Дьячков.</w:t>
      </w:r>
    </w:p>
    <w:p w14:paraId="629401CB" w14:textId="77777777" w:rsidR="004B4E35" w:rsidRPr="00405303" w:rsidRDefault="009E6F82" w:rsidP="00C15251">
      <w:pPr>
        <w:jc w:val="both"/>
        <w:rPr>
          <w:bCs/>
          <w:color w:val="002060"/>
          <w:sz w:val="16"/>
          <w:szCs w:val="16"/>
        </w:rPr>
      </w:pPr>
      <w:r w:rsidRPr="00405303">
        <w:rPr>
          <w:bCs/>
          <w:color w:val="002060"/>
          <w:sz w:val="16"/>
          <w:szCs w:val="16"/>
        </w:rPr>
        <w:t>С 1927 по 1935 год начальниками завода были М. Моисеев, Ш. Зайденберг, П. Козловский.</w:t>
      </w:r>
    </w:p>
    <w:p w14:paraId="6315AEB9" w14:textId="77777777" w:rsidR="004B4E35" w:rsidRPr="00405303" w:rsidRDefault="009E6F82" w:rsidP="00C15251">
      <w:pPr>
        <w:jc w:val="both"/>
        <w:rPr>
          <w:bCs/>
          <w:color w:val="002060"/>
          <w:sz w:val="16"/>
          <w:szCs w:val="16"/>
        </w:rPr>
      </w:pPr>
      <w:r w:rsidRPr="00405303">
        <w:rPr>
          <w:bCs/>
          <w:color w:val="002060"/>
          <w:sz w:val="16"/>
          <w:szCs w:val="16"/>
        </w:rPr>
        <w:t>Приход в Германии к власти фашистов, непрерывно нарастающая угроза войны требовали быстрого развития оборонных отраслей. Основной задачей для коллектива завода в то время было, не снижая объемов текущего производства, создать условия устойчивой и экономичной работы в мобилизационный период, повысить производительность труда. Поэтому вплоть до начала Великой Отечественной войны шла реконструкция отдельных цехов, интенсификация процессов.</w:t>
      </w:r>
    </w:p>
    <w:p w14:paraId="51DCD136" w14:textId="77777777" w:rsidR="004B4E35" w:rsidRPr="00405303" w:rsidRDefault="009E6F82" w:rsidP="00C15251">
      <w:pPr>
        <w:jc w:val="both"/>
        <w:rPr>
          <w:bCs/>
          <w:color w:val="002060"/>
          <w:sz w:val="16"/>
          <w:szCs w:val="16"/>
        </w:rPr>
      </w:pPr>
      <w:r w:rsidRPr="00405303">
        <w:rPr>
          <w:bCs/>
          <w:color w:val="002060"/>
          <w:sz w:val="16"/>
          <w:szCs w:val="16"/>
        </w:rPr>
        <w:t>Увеличиваются выпуск и освоение новых видов боеприпасов, производство которых к началу войны завод удвоил. В результате мероприятий по реконструкции длительность технологических циклов сократилась в 4 раза. Благодаря внедрению рекуперационной техники снизились расходы на производство.</w:t>
      </w:r>
    </w:p>
    <w:p w14:paraId="1F52F4F0" w14:textId="77777777" w:rsidR="004B4E35" w:rsidRPr="00405303" w:rsidRDefault="009E6F82" w:rsidP="00C15251">
      <w:pPr>
        <w:jc w:val="both"/>
        <w:rPr>
          <w:bCs/>
          <w:color w:val="002060"/>
          <w:sz w:val="16"/>
          <w:szCs w:val="16"/>
        </w:rPr>
      </w:pPr>
      <w:r w:rsidRPr="00405303">
        <w:rPr>
          <w:bCs/>
          <w:color w:val="002060"/>
          <w:sz w:val="16"/>
          <w:szCs w:val="16"/>
        </w:rPr>
        <w:t>В 1936 году начато производство изделий из целлулоида.</w:t>
      </w:r>
    </w:p>
    <w:p w14:paraId="4C8B5961" w14:textId="77777777" w:rsidR="004B4E35" w:rsidRPr="00405303" w:rsidRDefault="009E6F82" w:rsidP="00C15251">
      <w:pPr>
        <w:jc w:val="both"/>
        <w:rPr>
          <w:bCs/>
          <w:color w:val="002060"/>
          <w:sz w:val="16"/>
          <w:szCs w:val="16"/>
        </w:rPr>
      </w:pPr>
      <w:r w:rsidRPr="00405303">
        <w:rPr>
          <w:bCs/>
          <w:color w:val="002060"/>
          <w:sz w:val="16"/>
          <w:szCs w:val="16"/>
        </w:rPr>
        <w:t>Численность промышленно-производственного персонала доведена до 8000 человек. Выработка на одного рабочего возросла вдвое. Пример в работе показывают Яковцев, Подледников, Гурова. Они довели выполнение норм выработки до 700 процентов.</w:t>
      </w:r>
    </w:p>
    <w:p w14:paraId="18F0AEF0" w14:textId="77777777" w:rsidR="004B4E35" w:rsidRPr="00405303" w:rsidRDefault="009E6F82" w:rsidP="00C15251">
      <w:pPr>
        <w:jc w:val="both"/>
        <w:rPr>
          <w:bCs/>
          <w:color w:val="002060"/>
          <w:sz w:val="16"/>
          <w:szCs w:val="16"/>
        </w:rPr>
      </w:pPr>
      <w:r w:rsidRPr="00405303">
        <w:rPr>
          <w:bCs/>
          <w:color w:val="002060"/>
          <w:sz w:val="16"/>
          <w:szCs w:val="16"/>
        </w:rPr>
        <w:t xml:space="preserve">Больших успехов добивается коллектив завода. Задание правительства выполнено по всем показателям. </w:t>
      </w:r>
    </w:p>
    <w:p w14:paraId="6473F8B7" w14:textId="77777777" w:rsidR="004B4E35" w:rsidRPr="00405303" w:rsidRDefault="009E6F82" w:rsidP="00C15251">
      <w:pPr>
        <w:jc w:val="both"/>
        <w:rPr>
          <w:bCs/>
          <w:color w:val="002060"/>
          <w:sz w:val="16"/>
          <w:szCs w:val="16"/>
        </w:rPr>
      </w:pPr>
      <w:r w:rsidRPr="00405303">
        <w:rPr>
          <w:bCs/>
          <w:color w:val="002060"/>
          <w:sz w:val="16"/>
          <w:szCs w:val="16"/>
        </w:rPr>
        <w:t xml:space="preserve">Указом Президиума Верховного Совета СССР награждены: </w:t>
      </w:r>
    </w:p>
    <w:p w14:paraId="501961EA" w14:textId="77777777" w:rsidR="004B4E35" w:rsidRPr="00405303" w:rsidRDefault="009E6F82" w:rsidP="00C15251">
      <w:pPr>
        <w:jc w:val="both"/>
        <w:rPr>
          <w:bCs/>
          <w:color w:val="002060"/>
          <w:sz w:val="16"/>
          <w:szCs w:val="16"/>
        </w:rPr>
      </w:pPr>
      <w:r w:rsidRPr="00405303">
        <w:rPr>
          <w:bCs/>
          <w:color w:val="002060"/>
          <w:sz w:val="16"/>
          <w:szCs w:val="16"/>
        </w:rPr>
        <w:t xml:space="preserve">орденом Ленина — Фекла Сергеевна Сергеева, </w:t>
      </w:r>
    </w:p>
    <w:p w14:paraId="78CE3B40" w14:textId="77777777" w:rsidR="004B4E35" w:rsidRPr="00405303" w:rsidRDefault="009E6F82" w:rsidP="00C15251">
      <w:pPr>
        <w:jc w:val="both"/>
        <w:rPr>
          <w:bCs/>
          <w:color w:val="002060"/>
          <w:sz w:val="16"/>
          <w:szCs w:val="16"/>
        </w:rPr>
      </w:pPr>
      <w:r w:rsidRPr="00405303">
        <w:rPr>
          <w:bCs/>
          <w:color w:val="002060"/>
          <w:sz w:val="16"/>
          <w:szCs w:val="16"/>
        </w:rPr>
        <w:t xml:space="preserve">орденами Трудового Красно­го Знамени — А. Абакумов, Г. Балашов, </w:t>
      </w:r>
    </w:p>
    <w:p w14:paraId="1AC40003" w14:textId="77777777" w:rsidR="004B4E35" w:rsidRPr="00405303" w:rsidRDefault="009E6F82" w:rsidP="00C15251">
      <w:pPr>
        <w:jc w:val="both"/>
        <w:rPr>
          <w:bCs/>
          <w:color w:val="002060"/>
          <w:sz w:val="16"/>
          <w:szCs w:val="16"/>
        </w:rPr>
      </w:pPr>
      <w:r w:rsidRPr="00405303">
        <w:rPr>
          <w:bCs/>
          <w:color w:val="002060"/>
          <w:sz w:val="16"/>
          <w:szCs w:val="16"/>
        </w:rPr>
        <w:t xml:space="preserve">орденом Красной Звезды — Е. Лукьянов. </w:t>
      </w:r>
    </w:p>
    <w:p w14:paraId="6C412D02" w14:textId="77777777" w:rsidR="004B4E35" w:rsidRPr="00405303" w:rsidRDefault="009E6F82" w:rsidP="00C15251">
      <w:pPr>
        <w:jc w:val="both"/>
        <w:rPr>
          <w:bCs/>
          <w:color w:val="002060"/>
          <w:sz w:val="16"/>
          <w:szCs w:val="16"/>
        </w:rPr>
      </w:pPr>
      <w:r w:rsidRPr="00405303">
        <w:rPr>
          <w:bCs/>
          <w:color w:val="002060"/>
          <w:sz w:val="16"/>
          <w:szCs w:val="16"/>
        </w:rPr>
        <w:t>Многие заводчане награждены медалями.</w:t>
      </w:r>
    </w:p>
    <w:p w14:paraId="1B688F3A" w14:textId="77777777" w:rsidR="004B4E35" w:rsidRPr="00405303" w:rsidRDefault="009E6F82" w:rsidP="00C15251">
      <w:pPr>
        <w:jc w:val="both"/>
        <w:rPr>
          <w:bCs/>
          <w:color w:val="002060"/>
          <w:sz w:val="16"/>
          <w:szCs w:val="16"/>
        </w:rPr>
      </w:pPr>
      <w:r w:rsidRPr="00405303">
        <w:rPr>
          <w:bCs/>
          <w:color w:val="002060"/>
          <w:sz w:val="16"/>
          <w:szCs w:val="16"/>
        </w:rPr>
        <w:t>Всерьез начинается подготовка собственных кадров. Перед самой войной 20 июня 1941 года на базе завода открывается техникум. Открыто ремесленное училище.</w:t>
      </w:r>
    </w:p>
    <w:p w14:paraId="154B7452" w14:textId="77777777" w:rsidR="004B4E35" w:rsidRPr="00405303" w:rsidRDefault="009E6F82" w:rsidP="00C15251">
      <w:pPr>
        <w:jc w:val="both"/>
        <w:rPr>
          <w:bCs/>
          <w:color w:val="002060"/>
          <w:sz w:val="16"/>
          <w:szCs w:val="16"/>
        </w:rPr>
      </w:pPr>
      <w:r w:rsidRPr="00405303">
        <w:rPr>
          <w:bCs/>
          <w:color w:val="002060"/>
          <w:sz w:val="16"/>
          <w:szCs w:val="16"/>
        </w:rPr>
        <w:t>Улучшились экономические показатели работы завода. Перестает расти себестоимость продукции, с 1936 по 1940 год получена прибыль более 5 миллионов рублей.</w:t>
      </w:r>
    </w:p>
    <w:p w14:paraId="0ABA35E0" w14:textId="77777777" w:rsidR="004B4E35" w:rsidRPr="00405303" w:rsidRDefault="009E6F82" w:rsidP="00C15251">
      <w:pPr>
        <w:jc w:val="both"/>
        <w:rPr>
          <w:bCs/>
          <w:color w:val="002060"/>
          <w:sz w:val="16"/>
          <w:szCs w:val="16"/>
        </w:rPr>
      </w:pPr>
      <w:r w:rsidRPr="00405303">
        <w:rPr>
          <w:bCs/>
          <w:color w:val="002060"/>
          <w:sz w:val="16"/>
          <w:szCs w:val="16"/>
        </w:rPr>
        <w:t>К концу тридцатых годов площадь жилья поселка, который 16 апреля 1940 года становится городом Котовском, увеличивается в 10 раз. Население — более 16 тысяч человек.</w:t>
      </w:r>
    </w:p>
    <w:p w14:paraId="24B17BD0" w14:textId="77777777" w:rsidR="004B4E35" w:rsidRPr="00405303" w:rsidRDefault="009E6F82" w:rsidP="00C15251">
      <w:pPr>
        <w:jc w:val="both"/>
        <w:rPr>
          <w:bCs/>
          <w:color w:val="002060"/>
          <w:sz w:val="16"/>
          <w:szCs w:val="16"/>
        </w:rPr>
      </w:pPr>
      <w:r w:rsidRPr="00405303">
        <w:rPr>
          <w:bCs/>
          <w:color w:val="002060"/>
          <w:sz w:val="16"/>
          <w:szCs w:val="16"/>
        </w:rPr>
        <w:t>Начальники завода в то время — Н. Семенов и М. Дынкин (11831).</w:t>
      </w:r>
    </w:p>
    <w:p w14:paraId="47E79F32" w14:textId="77777777" w:rsidR="004B4E35" w:rsidRPr="00405303" w:rsidRDefault="004B4E35" w:rsidP="00C15251">
      <w:pPr>
        <w:pStyle w:val="a3"/>
        <w:jc w:val="both"/>
        <w:rPr>
          <w:bCs/>
          <w:i w:val="0"/>
          <w:color w:val="002060"/>
          <w:spacing w:val="0"/>
          <w:kern w:val="0"/>
          <w:position w:val="0"/>
          <w:sz w:val="16"/>
          <w:szCs w:val="16"/>
        </w:rPr>
      </w:pPr>
    </w:p>
    <w:p w14:paraId="22A5F25D" w14:textId="571C9429" w:rsidR="004B4E35" w:rsidRPr="00405303" w:rsidRDefault="008A2885"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w:t>
      </w:r>
      <w:r w:rsidR="009E6F82" w:rsidRPr="00405303">
        <w:rPr>
          <w:bCs/>
          <w:i w:val="0"/>
          <w:color w:val="002060"/>
          <w:spacing w:val="0"/>
          <w:kern w:val="0"/>
          <w:position w:val="0"/>
          <w:sz w:val="16"/>
          <w:szCs w:val="16"/>
        </w:rPr>
        <w:t xml:space="preserve"> сентябре 1915 г. </w:t>
      </w:r>
      <w:r w:rsidRPr="00405303">
        <w:rPr>
          <w:bCs/>
          <w:i w:val="0"/>
          <w:color w:val="002060"/>
          <w:spacing w:val="0"/>
          <w:kern w:val="0"/>
          <w:position w:val="0"/>
          <w:sz w:val="16"/>
          <w:szCs w:val="16"/>
        </w:rPr>
        <w:t xml:space="preserve">общее же количество созданных областных и местных ВПК по подсчетам М.Ф.Юрия составило </w:t>
      </w:r>
      <w:r w:rsidR="009E6F82" w:rsidRPr="00405303">
        <w:rPr>
          <w:bCs/>
          <w:i w:val="0"/>
          <w:color w:val="002060"/>
          <w:spacing w:val="0"/>
          <w:kern w:val="0"/>
          <w:position w:val="0"/>
          <w:sz w:val="16"/>
          <w:szCs w:val="16"/>
        </w:rPr>
        <w:t>— 140, к февралю 1916 г. — 200, а в середине 1917 г. — 242: 36 областных и 206 местных.</w:t>
      </w:r>
    </w:p>
    <w:p w14:paraId="534FA5D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Практическая задача и деятельность ВПК заключались в мобилизации промышленности на нужды обороны, но у ВПК собственных предприятий не было, а также не было капиталов для реконструкции предприятий. Поэтому фактически вся деятельность ВПК сводилась к простому распределению заказов среди предприятий. Распределяя заказы, тот или иной отдел Комитета командировал на завод своих агентов для выяснения пригодности предприятия к исполнению поставки, заинтересованности в кредите, в получении материалов и для обследования общего положения предприятия.</w:t>
      </w:r>
    </w:p>
    <w:p w14:paraId="3199EA9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Заказы были весьма важным рычагом, при помощи которого военно-промышленные комитеты могли влиять на промышленное производство посредством ограничения или льготами в выдаче недостающего сырья (металла, хлопка, шелка и т.п.), ходатайствами Центрального комитета об отсрочках мобилизованным рабочим заинтересованного предприятия, оказанием различных выгод в финансировании.</w:t>
      </w:r>
    </w:p>
    <w:p w14:paraId="78C9999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Имея в своем составе ряд деловых комиссий, ЦВПК участвовал через своих представителей в правительственных учреждениях и регулирующих органах, куда вносил немало инициативы, критики, добивался от государственных органов удовлетворения частно-хозяйственных интересов промышленности. Но основные правительственные заказы военно-промышленные комитеты получали из рук Особого совещания по обороне и его местных органов — заводских совещаний, попытки же «предоставления ему … непосредственного надзора за исполнением всех заказов для нужд обороны» по решению Особого совещания по обороне от 2 декабря 1915 г. были отклонены. Так же как не удалась Военно-промышленным комитетам попытка превратиться в главный хозяйственный штаб страны, который распределял бы среди предприятий металл, топливо, рабочую силу, финансировал бы заводы, работавшие на оборону, устанавливал бы цены на промышленные изделия (11270).</w:t>
      </w:r>
    </w:p>
    <w:p w14:paraId="6917186A" w14:textId="77777777" w:rsidR="004B4E35" w:rsidRPr="00405303" w:rsidRDefault="004B4E35" w:rsidP="00C15251">
      <w:pPr>
        <w:pStyle w:val="a3"/>
        <w:jc w:val="both"/>
        <w:rPr>
          <w:bCs/>
          <w:i w:val="0"/>
          <w:color w:val="002060"/>
          <w:spacing w:val="0"/>
          <w:kern w:val="0"/>
          <w:position w:val="0"/>
          <w:sz w:val="16"/>
          <w:szCs w:val="16"/>
        </w:rPr>
      </w:pPr>
    </w:p>
    <w:p w14:paraId="3CBDF446" w14:textId="3ADD103D" w:rsidR="004B4E35" w:rsidRPr="00405303" w:rsidRDefault="008A2885"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сентябре 1915 г.</w:t>
      </w:r>
      <w:r w:rsidRPr="00405303">
        <w:rPr>
          <w:bCs/>
          <w:color w:val="002060"/>
          <w:sz w:val="16"/>
          <w:szCs w:val="16"/>
        </w:rPr>
        <w:t xml:space="preserve"> начались работы по снаряжению трехдюймовых гранат на заводе Второва в Москве</w:t>
      </w:r>
      <w:r w:rsidR="00077A70" w:rsidRPr="00405303">
        <w:rPr>
          <w:bCs/>
          <w:color w:val="002060"/>
          <w:sz w:val="16"/>
          <w:szCs w:val="16"/>
        </w:rPr>
        <w:t>, оборудованном на бывшей фабрике красителей Байера.</w:t>
      </w:r>
    </w:p>
    <w:p w14:paraId="5E50EAC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Затем по договору с ГАУ Н. А. Второе начал строительство в Богородском уезде Московской губернии второго снаряжательного завода.</w:t>
      </w:r>
    </w:p>
    <w:p w14:paraId="614BF43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1.8. Сведения о производстве корпусов снарядов (тыс. шт.) на Путиловском заводе в период 1914—1917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66"/>
        <w:gridCol w:w="979"/>
        <w:gridCol w:w="1085"/>
        <w:gridCol w:w="960"/>
        <w:gridCol w:w="1037"/>
      </w:tblGrid>
      <w:tr w:rsidR="004B4E35" w:rsidRPr="00405303" w14:paraId="1107A85B" w14:textId="77777777">
        <w:trPr>
          <w:trHeight w:val="374"/>
        </w:trPr>
        <w:tc>
          <w:tcPr>
            <w:tcW w:w="2266" w:type="dxa"/>
          </w:tcPr>
          <w:p w14:paraId="39E3C71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Корпуса снарядов 1914</w:t>
            </w:r>
          </w:p>
          <w:p w14:paraId="725A1F56" w14:textId="77777777" w:rsidR="004B4E35" w:rsidRPr="00405303" w:rsidRDefault="004B4E35" w:rsidP="00C15251">
            <w:pPr>
              <w:shd w:val="clear" w:color="auto" w:fill="FFFFFF"/>
              <w:jc w:val="both"/>
              <w:rPr>
                <w:bCs/>
                <w:color w:val="002060"/>
                <w:sz w:val="16"/>
                <w:szCs w:val="16"/>
              </w:rPr>
            </w:pPr>
          </w:p>
        </w:tc>
        <w:tc>
          <w:tcPr>
            <w:tcW w:w="979" w:type="dxa"/>
          </w:tcPr>
          <w:p w14:paraId="06711FD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1915</w:t>
            </w:r>
          </w:p>
          <w:p w14:paraId="3CDFC08B" w14:textId="77777777" w:rsidR="004B4E35" w:rsidRPr="00405303" w:rsidRDefault="004B4E35" w:rsidP="00C15251">
            <w:pPr>
              <w:shd w:val="clear" w:color="auto" w:fill="FFFFFF"/>
              <w:jc w:val="both"/>
              <w:rPr>
                <w:bCs/>
                <w:color w:val="002060"/>
                <w:sz w:val="16"/>
                <w:szCs w:val="16"/>
              </w:rPr>
            </w:pPr>
          </w:p>
        </w:tc>
        <w:tc>
          <w:tcPr>
            <w:tcW w:w="1085" w:type="dxa"/>
          </w:tcPr>
          <w:p w14:paraId="6EEA5FD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1916</w:t>
            </w:r>
          </w:p>
          <w:p w14:paraId="306CE3E0" w14:textId="77777777" w:rsidR="004B4E35" w:rsidRPr="00405303" w:rsidRDefault="004B4E35" w:rsidP="00C15251">
            <w:pPr>
              <w:shd w:val="clear" w:color="auto" w:fill="FFFFFF"/>
              <w:jc w:val="both"/>
              <w:rPr>
                <w:bCs/>
                <w:color w:val="002060"/>
                <w:sz w:val="16"/>
                <w:szCs w:val="16"/>
              </w:rPr>
            </w:pPr>
          </w:p>
        </w:tc>
        <w:tc>
          <w:tcPr>
            <w:tcW w:w="960" w:type="dxa"/>
          </w:tcPr>
          <w:p w14:paraId="5C6ED79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1917</w:t>
            </w:r>
          </w:p>
          <w:p w14:paraId="2350FC05" w14:textId="77777777" w:rsidR="004B4E35" w:rsidRPr="00405303" w:rsidRDefault="004B4E35" w:rsidP="00C15251">
            <w:pPr>
              <w:shd w:val="clear" w:color="auto" w:fill="FFFFFF"/>
              <w:jc w:val="both"/>
              <w:rPr>
                <w:bCs/>
                <w:color w:val="002060"/>
                <w:sz w:val="16"/>
                <w:szCs w:val="16"/>
              </w:rPr>
            </w:pPr>
          </w:p>
        </w:tc>
        <w:tc>
          <w:tcPr>
            <w:tcW w:w="1037" w:type="dxa"/>
          </w:tcPr>
          <w:p w14:paraId="74E1089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Всего</w:t>
            </w:r>
          </w:p>
          <w:p w14:paraId="781321E1" w14:textId="77777777" w:rsidR="004B4E35" w:rsidRPr="00405303" w:rsidRDefault="004B4E35" w:rsidP="00C15251">
            <w:pPr>
              <w:shd w:val="clear" w:color="auto" w:fill="FFFFFF"/>
              <w:jc w:val="both"/>
              <w:rPr>
                <w:bCs/>
                <w:color w:val="002060"/>
                <w:sz w:val="16"/>
                <w:szCs w:val="16"/>
              </w:rPr>
            </w:pPr>
          </w:p>
        </w:tc>
      </w:tr>
      <w:tr w:rsidR="004B4E35" w:rsidRPr="00405303" w14:paraId="7F7B4147" w14:textId="77777777">
        <w:trPr>
          <w:trHeight w:val="307"/>
        </w:trPr>
        <w:tc>
          <w:tcPr>
            <w:tcW w:w="2266" w:type="dxa"/>
          </w:tcPr>
          <w:p w14:paraId="6DD2690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76-мм шрапнелей 75,0</w:t>
            </w:r>
          </w:p>
          <w:p w14:paraId="3C13ED56" w14:textId="77777777" w:rsidR="004B4E35" w:rsidRPr="00405303" w:rsidRDefault="004B4E35" w:rsidP="00C15251">
            <w:pPr>
              <w:shd w:val="clear" w:color="auto" w:fill="FFFFFF"/>
              <w:jc w:val="both"/>
              <w:rPr>
                <w:bCs/>
                <w:color w:val="002060"/>
                <w:sz w:val="16"/>
                <w:szCs w:val="16"/>
              </w:rPr>
            </w:pPr>
          </w:p>
        </w:tc>
        <w:tc>
          <w:tcPr>
            <w:tcW w:w="979" w:type="dxa"/>
          </w:tcPr>
          <w:p w14:paraId="6384D44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2659,0</w:t>
            </w:r>
          </w:p>
          <w:p w14:paraId="79D0B867" w14:textId="77777777" w:rsidR="004B4E35" w:rsidRPr="00405303" w:rsidRDefault="004B4E35" w:rsidP="00C15251">
            <w:pPr>
              <w:shd w:val="clear" w:color="auto" w:fill="FFFFFF"/>
              <w:jc w:val="both"/>
              <w:rPr>
                <w:bCs/>
                <w:color w:val="002060"/>
                <w:sz w:val="16"/>
                <w:szCs w:val="16"/>
              </w:rPr>
            </w:pPr>
          </w:p>
        </w:tc>
        <w:tc>
          <w:tcPr>
            <w:tcW w:w="1085" w:type="dxa"/>
          </w:tcPr>
          <w:p w14:paraId="573F36F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3124,5</w:t>
            </w:r>
          </w:p>
          <w:p w14:paraId="2F2D4D38" w14:textId="77777777" w:rsidR="004B4E35" w:rsidRPr="00405303" w:rsidRDefault="004B4E35" w:rsidP="00C15251">
            <w:pPr>
              <w:shd w:val="clear" w:color="auto" w:fill="FFFFFF"/>
              <w:jc w:val="both"/>
              <w:rPr>
                <w:bCs/>
                <w:color w:val="002060"/>
                <w:sz w:val="16"/>
                <w:szCs w:val="16"/>
              </w:rPr>
            </w:pPr>
          </w:p>
        </w:tc>
        <w:tc>
          <w:tcPr>
            <w:tcW w:w="960" w:type="dxa"/>
          </w:tcPr>
          <w:p w14:paraId="77F837D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2580,4</w:t>
            </w:r>
          </w:p>
          <w:p w14:paraId="0883B696" w14:textId="77777777" w:rsidR="004B4E35" w:rsidRPr="00405303" w:rsidRDefault="004B4E35" w:rsidP="00C15251">
            <w:pPr>
              <w:shd w:val="clear" w:color="auto" w:fill="FFFFFF"/>
              <w:jc w:val="both"/>
              <w:rPr>
                <w:bCs/>
                <w:color w:val="002060"/>
                <w:sz w:val="16"/>
                <w:szCs w:val="16"/>
              </w:rPr>
            </w:pPr>
          </w:p>
        </w:tc>
        <w:tc>
          <w:tcPr>
            <w:tcW w:w="1037" w:type="dxa"/>
          </w:tcPr>
          <w:p w14:paraId="40004CD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8438,9</w:t>
            </w:r>
          </w:p>
          <w:p w14:paraId="6691B936" w14:textId="77777777" w:rsidR="004B4E35" w:rsidRPr="00405303" w:rsidRDefault="004B4E35" w:rsidP="00C15251">
            <w:pPr>
              <w:shd w:val="clear" w:color="auto" w:fill="FFFFFF"/>
              <w:jc w:val="both"/>
              <w:rPr>
                <w:bCs/>
                <w:color w:val="002060"/>
                <w:sz w:val="16"/>
                <w:szCs w:val="16"/>
              </w:rPr>
            </w:pPr>
          </w:p>
        </w:tc>
      </w:tr>
      <w:tr w:rsidR="004B4E35" w:rsidRPr="00405303" w14:paraId="16EDF8D9" w14:textId="77777777">
        <w:trPr>
          <w:trHeight w:val="154"/>
        </w:trPr>
        <w:tc>
          <w:tcPr>
            <w:tcW w:w="2266" w:type="dxa"/>
          </w:tcPr>
          <w:p w14:paraId="368439E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76-мм </w:t>
            </w:r>
            <w:proofErr w:type="gramStart"/>
            <w:r w:rsidRPr="00405303">
              <w:rPr>
                <w:bCs/>
                <w:color w:val="002060"/>
                <w:sz w:val="16"/>
                <w:szCs w:val="16"/>
              </w:rPr>
              <w:t>гранат .</w:t>
            </w:r>
            <w:proofErr w:type="gramEnd"/>
            <w:r w:rsidRPr="00405303">
              <w:rPr>
                <w:bCs/>
                <w:color w:val="002060"/>
                <w:sz w:val="16"/>
                <w:szCs w:val="16"/>
              </w:rPr>
              <w:t xml:space="preserve"> —</w:t>
            </w:r>
          </w:p>
          <w:p w14:paraId="09AD3499" w14:textId="77777777" w:rsidR="004B4E35" w:rsidRPr="00405303" w:rsidRDefault="004B4E35" w:rsidP="00C15251">
            <w:pPr>
              <w:shd w:val="clear" w:color="auto" w:fill="FFFFFF"/>
              <w:jc w:val="both"/>
              <w:rPr>
                <w:bCs/>
                <w:color w:val="002060"/>
                <w:sz w:val="16"/>
                <w:szCs w:val="16"/>
              </w:rPr>
            </w:pPr>
          </w:p>
        </w:tc>
        <w:tc>
          <w:tcPr>
            <w:tcW w:w="979" w:type="dxa"/>
          </w:tcPr>
          <w:p w14:paraId="54C78C7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218,6</w:t>
            </w:r>
          </w:p>
          <w:p w14:paraId="0664F552" w14:textId="77777777" w:rsidR="004B4E35" w:rsidRPr="00405303" w:rsidRDefault="004B4E35" w:rsidP="00C15251">
            <w:pPr>
              <w:shd w:val="clear" w:color="auto" w:fill="FFFFFF"/>
              <w:jc w:val="both"/>
              <w:rPr>
                <w:bCs/>
                <w:color w:val="002060"/>
                <w:sz w:val="16"/>
                <w:szCs w:val="16"/>
              </w:rPr>
            </w:pPr>
          </w:p>
        </w:tc>
        <w:tc>
          <w:tcPr>
            <w:tcW w:w="1085" w:type="dxa"/>
          </w:tcPr>
          <w:p w14:paraId="6A240BD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1996,4</w:t>
            </w:r>
          </w:p>
          <w:p w14:paraId="03E690F9" w14:textId="77777777" w:rsidR="004B4E35" w:rsidRPr="00405303" w:rsidRDefault="004B4E35" w:rsidP="00C15251">
            <w:pPr>
              <w:shd w:val="clear" w:color="auto" w:fill="FFFFFF"/>
              <w:jc w:val="both"/>
              <w:rPr>
                <w:bCs/>
                <w:color w:val="002060"/>
                <w:sz w:val="16"/>
                <w:szCs w:val="16"/>
              </w:rPr>
            </w:pPr>
          </w:p>
        </w:tc>
        <w:tc>
          <w:tcPr>
            <w:tcW w:w="960" w:type="dxa"/>
          </w:tcPr>
          <w:p w14:paraId="3F54427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798,5</w:t>
            </w:r>
          </w:p>
          <w:p w14:paraId="1E8707A2" w14:textId="77777777" w:rsidR="004B4E35" w:rsidRPr="00405303" w:rsidRDefault="004B4E35" w:rsidP="00C15251">
            <w:pPr>
              <w:shd w:val="clear" w:color="auto" w:fill="FFFFFF"/>
              <w:jc w:val="both"/>
              <w:rPr>
                <w:bCs/>
                <w:color w:val="002060"/>
                <w:sz w:val="16"/>
                <w:szCs w:val="16"/>
              </w:rPr>
            </w:pPr>
          </w:p>
        </w:tc>
        <w:tc>
          <w:tcPr>
            <w:tcW w:w="1037" w:type="dxa"/>
          </w:tcPr>
          <w:p w14:paraId="3D3C860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3013,5</w:t>
            </w:r>
          </w:p>
          <w:p w14:paraId="55ED9806" w14:textId="77777777" w:rsidR="004B4E35" w:rsidRPr="00405303" w:rsidRDefault="004B4E35" w:rsidP="00C15251">
            <w:pPr>
              <w:shd w:val="clear" w:color="auto" w:fill="FFFFFF"/>
              <w:jc w:val="both"/>
              <w:rPr>
                <w:bCs/>
                <w:color w:val="002060"/>
                <w:sz w:val="16"/>
                <w:szCs w:val="16"/>
              </w:rPr>
            </w:pPr>
          </w:p>
        </w:tc>
      </w:tr>
      <w:tr w:rsidR="004B4E35" w:rsidRPr="00405303" w14:paraId="7EF079DE" w14:textId="77777777">
        <w:trPr>
          <w:trHeight w:val="173"/>
        </w:trPr>
        <w:tc>
          <w:tcPr>
            <w:tcW w:w="2266" w:type="dxa"/>
          </w:tcPr>
          <w:p w14:paraId="4270481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107-мм шрапнелей —</w:t>
            </w:r>
          </w:p>
          <w:p w14:paraId="68898698" w14:textId="77777777" w:rsidR="004B4E35" w:rsidRPr="00405303" w:rsidRDefault="004B4E35" w:rsidP="00C15251">
            <w:pPr>
              <w:shd w:val="clear" w:color="auto" w:fill="FFFFFF"/>
              <w:jc w:val="both"/>
              <w:rPr>
                <w:bCs/>
                <w:color w:val="002060"/>
                <w:sz w:val="16"/>
                <w:szCs w:val="16"/>
              </w:rPr>
            </w:pPr>
          </w:p>
        </w:tc>
        <w:tc>
          <w:tcPr>
            <w:tcW w:w="979" w:type="dxa"/>
          </w:tcPr>
          <w:p w14:paraId="7EFD6DE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49,43</w:t>
            </w:r>
          </w:p>
          <w:p w14:paraId="5B6F0ED6" w14:textId="77777777" w:rsidR="004B4E35" w:rsidRPr="00405303" w:rsidRDefault="004B4E35" w:rsidP="00C15251">
            <w:pPr>
              <w:shd w:val="clear" w:color="auto" w:fill="FFFFFF"/>
              <w:jc w:val="both"/>
              <w:rPr>
                <w:bCs/>
                <w:color w:val="002060"/>
                <w:sz w:val="16"/>
                <w:szCs w:val="16"/>
              </w:rPr>
            </w:pPr>
          </w:p>
        </w:tc>
        <w:tc>
          <w:tcPr>
            <w:tcW w:w="1085" w:type="dxa"/>
          </w:tcPr>
          <w:p w14:paraId="4E991DC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107,48</w:t>
            </w:r>
          </w:p>
          <w:p w14:paraId="6317522C" w14:textId="77777777" w:rsidR="004B4E35" w:rsidRPr="00405303" w:rsidRDefault="004B4E35" w:rsidP="00C15251">
            <w:pPr>
              <w:shd w:val="clear" w:color="auto" w:fill="FFFFFF"/>
              <w:jc w:val="both"/>
              <w:rPr>
                <w:bCs/>
                <w:color w:val="002060"/>
                <w:sz w:val="16"/>
                <w:szCs w:val="16"/>
              </w:rPr>
            </w:pPr>
          </w:p>
        </w:tc>
        <w:tc>
          <w:tcPr>
            <w:tcW w:w="960" w:type="dxa"/>
          </w:tcPr>
          <w:p w14:paraId="10B852C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62,41</w:t>
            </w:r>
          </w:p>
          <w:p w14:paraId="0A4B77C1" w14:textId="77777777" w:rsidR="004B4E35" w:rsidRPr="00405303" w:rsidRDefault="004B4E35" w:rsidP="00C15251">
            <w:pPr>
              <w:shd w:val="clear" w:color="auto" w:fill="FFFFFF"/>
              <w:jc w:val="both"/>
              <w:rPr>
                <w:bCs/>
                <w:color w:val="002060"/>
                <w:sz w:val="16"/>
                <w:szCs w:val="16"/>
              </w:rPr>
            </w:pPr>
          </w:p>
        </w:tc>
        <w:tc>
          <w:tcPr>
            <w:tcW w:w="1037" w:type="dxa"/>
          </w:tcPr>
          <w:p w14:paraId="0C3DDF1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218,32</w:t>
            </w:r>
          </w:p>
          <w:p w14:paraId="3CA41CC5" w14:textId="77777777" w:rsidR="004B4E35" w:rsidRPr="00405303" w:rsidRDefault="004B4E35" w:rsidP="00C15251">
            <w:pPr>
              <w:shd w:val="clear" w:color="auto" w:fill="FFFFFF"/>
              <w:jc w:val="both"/>
              <w:rPr>
                <w:bCs/>
                <w:color w:val="002060"/>
                <w:sz w:val="16"/>
                <w:szCs w:val="16"/>
              </w:rPr>
            </w:pPr>
          </w:p>
        </w:tc>
      </w:tr>
      <w:tr w:rsidR="004B4E35" w:rsidRPr="00405303" w14:paraId="6ACB39B2" w14:textId="77777777">
        <w:trPr>
          <w:trHeight w:val="163"/>
        </w:trPr>
        <w:tc>
          <w:tcPr>
            <w:tcW w:w="2266" w:type="dxa"/>
          </w:tcPr>
          <w:p w14:paraId="6A8044B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107-мм бомб —</w:t>
            </w:r>
          </w:p>
          <w:p w14:paraId="55D8FF1D" w14:textId="77777777" w:rsidR="004B4E35" w:rsidRPr="00405303" w:rsidRDefault="004B4E35" w:rsidP="00C15251">
            <w:pPr>
              <w:shd w:val="clear" w:color="auto" w:fill="FFFFFF"/>
              <w:jc w:val="both"/>
              <w:rPr>
                <w:bCs/>
                <w:color w:val="002060"/>
                <w:sz w:val="16"/>
                <w:szCs w:val="16"/>
              </w:rPr>
            </w:pPr>
          </w:p>
        </w:tc>
        <w:tc>
          <w:tcPr>
            <w:tcW w:w="979" w:type="dxa"/>
          </w:tcPr>
          <w:p w14:paraId="00BFE53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63,25</w:t>
            </w:r>
          </w:p>
          <w:p w14:paraId="5CC81A42" w14:textId="77777777" w:rsidR="004B4E35" w:rsidRPr="00405303" w:rsidRDefault="004B4E35" w:rsidP="00C15251">
            <w:pPr>
              <w:shd w:val="clear" w:color="auto" w:fill="FFFFFF"/>
              <w:jc w:val="both"/>
              <w:rPr>
                <w:bCs/>
                <w:color w:val="002060"/>
                <w:sz w:val="16"/>
                <w:szCs w:val="16"/>
              </w:rPr>
            </w:pPr>
          </w:p>
        </w:tc>
        <w:tc>
          <w:tcPr>
            <w:tcW w:w="1085" w:type="dxa"/>
          </w:tcPr>
          <w:p w14:paraId="03A43C2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148,1</w:t>
            </w:r>
          </w:p>
          <w:p w14:paraId="4EA58CB9" w14:textId="77777777" w:rsidR="004B4E35" w:rsidRPr="00405303" w:rsidRDefault="004B4E35" w:rsidP="00C15251">
            <w:pPr>
              <w:shd w:val="clear" w:color="auto" w:fill="FFFFFF"/>
              <w:jc w:val="both"/>
              <w:rPr>
                <w:bCs/>
                <w:color w:val="002060"/>
                <w:sz w:val="16"/>
                <w:szCs w:val="16"/>
              </w:rPr>
            </w:pPr>
          </w:p>
        </w:tc>
        <w:tc>
          <w:tcPr>
            <w:tcW w:w="960" w:type="dxa"/>
          </w:tcPr>
          <w:p w14:paraId="4014712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301,38</w:t>
            </w:r>
          </w:p>
          <w:p w14:paraId="6B456D68" w14:textId="77777777" w:rsidR="004B4E35" w:rsidRPr="00405303" w:rsidRDefault="004B4E35" w:rsidP="00C15251">
            <w:pPr>
              <w:shd w:val="clear" w:color="auto" w:fill="FFFFFF"/>
              <w:jc w:val="both"/>
              <w:rPr>
                <w:bCs/>
                <w:color w:val="002060"/>
                <w:sz w:val="16"/>
                <w:szCs w:val="16"/>
              </w:rPr>
            </w:pPr>
          </w:p>
        </w:tc>
        <w:tc>
          <w:tcPr>
            <w:tcW w:w="1037" w:type="dxa"/>
          </w:tcPr>
          <w:p w14:paraId="61832E3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512,73</w:t>
            </w:r>
          </w:p>
          <w:p w14:paraId="00918C97" w14:textId="77777777" w:rsidR="004B4E35" w:rsidRPr="00405303" w:rsidRDefault="004B4E35" w:rsidP="00C15251">
            <w:pPr>
              <w:shd w:val="clear" w:color="auto" w:fill="FFFFFF"/>
              <w:jc w:val="both"/>
              <w:rPr>
                <w:bCs/>
                <w:color w:val="002060"/>
                <w:sz w:val="16"/>
                <w:szCs w:val="16"/>
              </w:rPr>
            </w:pPr>
          </w:p>
        </w:tc>
      </w:tr>
      <w:tr w:rsidR="004B4E35" w:rsidRPr="00405303" w14:paraId="57C890FB" w14:textId="77777777">
        <w:trPr>
          <w:trHeight w:val="192"/>
        </w:trPr>
        <w:tc>
          <w:tcPr>
            <w:tcW w:w="2266" w:type="dxa"/>
          </w:tcPr>
          <w:p w14:paraId="11714E6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122-мм шрапнелей —</w:t>
            </w:r>
          </w:p>
          <w:p w14:paraId="42D9008F" w14:textId="77777777" w:rsidR="004B4E35" w:rsidRPr="00405303" w:rsidRDefault="004B4E35" w:rsidP="00C15251">
            <w:pPr>
              <w:shd w:val="clear" w:color="auto" w:fill="FFFFFF"/>
              <w:jc w:val="both"/>
              <w:rPr>
                <w:bCs/>
                <w:color w:val="002060"/>
                <w:sz w:val="16"/>
                <w:szCs w:val="16"/>
              </w:rPr>
            </w:pPr>
          </w:p>
        </w:tc>
        <w:tc>
          <w:tcPr>
            <w:tcW w:w="979" w:type="dxa"/>
          </w:tcPr>
          <w:p w14:paraId="19F74A9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16,5</w:t>
            </w:r>
          </w:p>
          <w:p w14:paraId="3EF43D45" w14:textId="77777777" w:rsidR="004B4E35" w:rsidRPr="00405303" w:rsidRDefault="004B4E35" w:rsidP="00C15251">
            <w:pPr>
              <w:shd w:val="clear" w:color="auto" w:fill="FFFFFF"/>
              <w:jc w:val="both"/>
              <w:rPr>
                <w:bCs/>
                <w:color w:val="002060"/>
                <w:sz w:val="16"/>
                <w:szCs w:val="16"/>
              </w:rPr>
            </w:pPr>
          </w:p>
        </w:tc>
        <w:tc>
          <w:tcPr>
            <w:tcW w:w="1085" w:type="dxa"/>
          </w:tcPr>
          <w:p w14:paraId="3ADF5A6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4,7</w:t>
            </w:r>
          </w:p>
          <w:p w14:paraId="259D0A0D" w14:textId="77777777" w:rsidR="004B4E35" w:rsidRPr="00405303" w:rsidRDefault="004B4E35" w:rsidP="00C15251">
            <w:pPr>
              <w:shd w:val="clear" w:color="auto" w:fill="FFFFFF"/>
              <w:jc w:val="both"/>
              <w:rPr>
                <w:bCs/>
                <w:color w:val="002060"/>
                <w:sz w:val="16"/>
                <w:szCs w:val="16"/>
              </w:rPr>
            </w:pPr>
          </w:p>
        </w:tc>
        <w:tc>
          <w:tcPr>
            <w:tcW w:w="960" w:type="dxa"/>
          </w:tcPr>
          <w:p w14:paraId="1497514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0C156E8E" w14:textId="77777777" w:rsidR="004B4E35" w:rsidRPr="00405303" w:rsidRDefault="004B4E35" w:rsidP="00C15251">
            <w:pPr>
              <w:shd w:val="clear" w:color="auto" w:fill="FFFFFF"/>
              <w:jc w:val="both"/>
              <w:rPr>
                <w:bCs/>
                <w:color w:val="002060"/>
                <w:sz w:val="16"/>
                <w:szCs w:val="16"/>
              </w:rPr>
            </w:pPr>
          </w:p>
        </w:tc>
        <w:tc>
          <w:tcPr>
            <w:tcW w:w="1037" w:type="dxa"/>
          </w:tcPr>
          <w:p w14:paraId="2D3EF0B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21,2</w:t>
            </w:r>
          </w:p>
          <w:p w14:paraId="62A46521" w14:textId="77777777" w:rsidR="004B4E35" w:rsidRPr="00405303" w:rsidRDefault="004B4E35" w:rsidP="00C15251">
            <w:pPr>
              <w:shd w:val="clear" w:color="auto" w:fill="FFFFFF"/>
              <w:jc w:val="both"/>
              <w:rPr>
                <w:bCs/>
                <w:color w:val="002060"/>
                <w:sz w:val="16"/>
                <w:szCs w:val="16"/>
              </w:rPr>
            </w:pPr>
          </w:p>
        </w:tc>
      </w:tr>
      <w:tr w:rsidR="004B4E35" w:rsidRPr="00405303" w14:paraId="2749906B" w14:textId="77777777">
        <w:trPr>
          <w:trHeight w:val="154"/>
        </w:trPr>
        <w:tc>
          <w:tcPr>
            <w:tcW w:w="2266" w:type="dxa"/>
          </w:tcPr>
          <w:p w14:paraId="446EDFE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122-мм бомб —</w:t>
            </w:r>
          </w:p>
          <w:p w14:paraId="6C9057EA" w14:textId="77777777" w:rsidR="004B4E35" w:rsidRPr="00405303" w:rsidRDefault="004B4E35" w:rsidP="00C15251">
            <w:pPr>
              <w:shd w:val="clear" w:color="auto" w:fill="FFFFFF"/>
              <w:jc w:val="both"/>
              <w:rPr>
                <w:bCs/>
                <w:color w:val="002060"/>
                <w:sz w:val="16"/>
                <w:szCs w:val="16"/>
              </w:rPr>
            </w:pPr>
          </w:p>
        </w:tc>
        <w:tc>
          <w:tcPr>
            <w:tcW w:w="979" w:type="dxa"/>
          </w:tcPr>
          <w:p w14:paraId="7889924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1,07</w:t>
            </w:r>
          </w:p>
          <w:p w14:paraId="50BDD21C" w14:textId="77777777" w:rsidR="004B4E35" w:rsidRPr="00405303" w:rsidRDefault="004B4E35" w:rsidP="00C15251">
            <w:pPr>
              <w:shd w:val="clear" w:color="auto" w:fill="FFFFFF"/>
              <w:jc w:val="both"/>
              <w:rPr>
                <w:bCs/>
                <w:color w:val="002060"/>
                <w:sz w:val="16"/>
                <w:szCs w:val="16"/>
              </w:rPr>
            </w:pPr>
          </w:p>
        </w:tc>
        <w:tc>
          <w:tcPr>
            <w:tcW w:w="1085" w:type="dxa"/>
          </w:tcPr>
          <w:p w14:paraId="1D32630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274,38</w:t>
            </w:r>
          </w:p>
          <w:p w14:paraId="310EAC43" w14:textId="77777777" w:rsidR="004B4E35" w:rsidRPr="00405303" w:rsidRDefault="004B4E35" w:rsidP="00C15251">
            <w:pPr>
              <w:shd w:val="clear" w:color="auto" w:fill="FFFFFF"/>
              <w:jc w:val="both"/>
              <w:rPr>
                <w:bCs/>
                <w:color w:val="002060"/>
                <w:sz w:val="16"/>
                <w:szCs w:val="16"/>
              </w:rPr>
            </w:pPr>
          </w:p>
        </w:tc>
        <w:tc>
          <w:tcPr>
            <w:tcW w:w="960" w:type="dxa"/>
          </w:tcPr>
          <w:p w14:paraId="1AF3453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324,77</w:t>
            </w:r>
          </w:p>
          <w:p w14:paraId="01B2C4F2" w14:textId="77777777" w:rsidR="004B4E35" w:rsidRPr="00405303" w:rsidRDefault="004B4E35" w:rsidP="00C15251">
            <w:pPr>
              <w:shd w:val="clear" w:color="auto" w:fill="FFFFFF"/>
              <w:jc w:val="both"/>
              <w:rPr>
                <w:bCs/>
                <w:color w:val="002060"/>
                <w:sz w:val="16"/>
                <w:szCs w:val="16"/>
              </w:rPr>
            </w:pPr>
          </w:p>
        </w:tc>
        <w:tc>
          <w:tcPr>
            <w:tcW w:w="1037" w:type="dxa"/>
          </w:tcPr>
          <w:p w14:paraId="423A1E5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600,22</w:t>
            </w:r>
          </w:p>
          <w:p w14:paraId="4AAB4381" w14:textId="77777777" w:rsidR="004B4E35" w:rsidRPr="00405303" w:rsidRDefault="004B4E35" w:rsidP="00C15251">
            <w:pPr>
              <w:shd w:val="clear" w:color="auto" w:fill="FFFFFF"/>
              <w:jc w:val="both"/>
              <w:rPr>
                <w:bCs/>
                <w:color w:val="002060"/>
                <w:sz w:val="16"/>
                <w:szCs w:val="16"/>
              </w:rPr>
            </w:pPr>
          </w:p>
        </w:tc>
      </w:tr>
      <w:tr w:rsidR="004B4E35" w:rsidRPr="00405303" w14:paraId="61047162" w14:textId="77777777">
        <w:trPr>
          <w:trHeight w:val="173"/>
        </w:trPr>
        <w:tc>
          <w:tcPr>
            <w:tcW w:w="2266" w:type="dxa"/>
          </w:tcPr>
          <w:p w14:paraId="4C36299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152-мм бомб —</w:t>
            </w:r>
          </w:p>
          <w:p w14:paraId="54E59191" w14:textId="77777777" w:rsidR="004B4E35" w:rsidRPr="00405303" w:rsidRDefault="004B4E35" w:rsidP="00C15251">
            <w:pPr>
              <w:shd w:val="clear" w:color="auto" w:fill="FFFFFF"/>
              <w:jc w:val="both"/>
              <w:rPr>
                <w:bCs/>
                <w:color w:val="002060"/>
                <w:sz w:val="16"/>
                <w:szCs w:val="16"/>
              </w:rPr>
            </w:pPr>
          </w:p>
        </w:tc>
        <w:tc>
          <w:tcPr>
            <w:tcW w:w="979" w:type="dxa"/>
          </w:tcPr>
          <w:p w14:paraId="060E451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6,13</w:t>
            </w:r>
          </w:p>
          <w:p w14:paraId="6C7E306A" w14:textId="77777777" w:rsidR="004B4E35" w:rsidRPr="00405303" w:rsidRDefault="004B4E35" w:rsidP="00C15251">
            <w:pPr>
              <w:shd w:val="clear" w:color="auto" w:fill="FFFFFF"/>
              <w:jc w:val="both"/>
              <w:rPr>
                <w:bCs/>
                <w:color w:val="002060"/>
                <w:sz w:val="16"/>
                <w:szCs w:val="16"/>
              </w:rPr>
            </w:pPr>
          </w:p>
        </w:tc>
        <w:tc>
          <w:tcPr>
            <w:tcW w:w="1085" w:type="dxa"/>
          </w:tcPr>
          <w:p w14:paraId="40144C4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369,69</w:t>
            </w:r>
          </w:p>
          <w:p w14:paraId="65BEACFC" w14:textId="77777777" w:rsidR="004B4E35" w:rsidRPr="00405303" w:rsidRDefault="004B4E35" w:rsidP="00C15251">
            <w:pPr>
              <w:shd w:val="clear" w:color="auto" w:fill="FFFFFF"/>
              <w:jc w:val="both"/>
              <w:rPr>
                <w:bCs/>
                <w:color w:val="002060"/>
                <w:sz w:val="16"/>
                <w:szCs w:val="16"/>
              </w:rPr>
            </w:pPr>
          </w:p>
        </w:tc>
        <w:tc>
          <w:tcPr>
            <w:tcW w:w="960" w:type="dxa"/>
          </w:tcPr>
          <w:p w14:paraId="5EFF290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619,6</w:t>
            </w:r>
          </w:p>
          <w:p w14:paraId="7DD6819B" w14:textId="77777777" w:rsidR="004B4E35" w:rsidRPr="00405303" w:rsidRDefault="004B4E35" w:rsidP="00C15251">
            <w:pPr>
              <w:shd w:val="clear" w:color="auto" w:fill="FFFFFF"/>
              <w:jc w:val="both"/>
              <w:rPr>
                <w:bCs/>
                <w:color w:val="002060"/>
                <w:sz w:val="16"/>
                <w:szCs w:val="16"/>
              </w:rPr>
            </w:pPr>
          </w:p>
        </w:tc>
        <w:tc>
          <w:tcPr>
            <w:tcW w:w="1037" w:type="dxa"/>
          </w:tcPr>
          <w:p w14:paraId="293705C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995,5</w:t>
            </w:r>
          </w:p>
          <w:p w14:paraId="3EE48D10" w14:textId="77777777" w:rsidR="004B4E35" w:rsidRPr="00405303" w:rsidRDefault="004B4E35" w:rsidP="00C15251">
            <w:pPr>
              <w:shd w:val="clear" w:color="auto" w:fill="FFFFFF"/>
              <w:jc w:val="both"/>
              <w:rPr>
                <w:bCs/>
                <w:color w:val="002060"/>
                <w:sz w:val="16"/>
                <w:szCs w:val="16"/>
              </w:rPr>
            </w:pPr>
          </w:p>
        </w:tc>
      </w:tr>
      <w:tr w:rsidR="004B4E35" w:rsidRPr="00405303" w14:paraId="5B215F79" w14:textId="77777777">
        <w:trPr>
          <w:trHeight w:val="173"/>
        </w:trPr>
        <w:tc>
          <w:tcPr>
            <w:tcW w:w="2266" w:type="dxa"/>
          </w:tcPr>
          <w:p w14:paraId="027E9CE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280-мм бомб —</w:t>
            </w:r>
          </w:p>
          <w:p w14:paraId="4E55739A" w14:textId="77777777" w:rsidR="004B4E35" w:rsidRPr="00405303" w:rsidRDefault="004B4E35" w:rsidP="00C15251">
            <w:pPr>
              <w:shd w:val="clear" w:color="auto" w:fill="FFFFFF"/>
              <w:jc w:val="both"/>
              <w:rPr>
                <w:bCs/>
                <w:color w:val="002060"/>
                <w:sz w:val="16"/>
                <w:szCs w:val="16"/>
              </w:rPr>
            </w:pPr>
          </w:p>
        </w:tc>
        <w:tc>
          <w:tcPr>
            <w:tcW w:w="979" w:type="dxa"/>
          </w:tcPr>
          <w:p w14:paraId="3F40AB3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0,818</w:t>
            </w:r>
          </w:p>
          <w:p w14:paraId="2EF47C40" w14:textId="77777777" w:rsidR="004B4E35" w:rsidRPr="00405303" w:rsidRDefault="004B4E35" w:rsidP="00C15251">
            <w:pPr>
              <w:shd w:val="clear" w:color="auto" w:fill="FFFFFF"/>
              <w:jc w:val="both"/>
              <w:rPr>
                <w:bCs/>
                <w:color w:val="002060"/>
                <w:sz w:val="16"/>
                <w:szCs w:val="16"/>
              </w:rPr>
            </w:pPr>
          </w:p>
        </w:tc>
        <w:tc>
          <w:tcPr>
            <w:tcW w:w="1085" w:type="dxa"/>
          </w:tcPr>
          <w:p w14:paraId="744F69F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2,252</w:t>
            </w:r>
          </w:p>
          <w:p w14:paraId="25A1AE02" w14:textId="77777777" w:rsidR="004B4E35" w:rsidRPr="00405303" w:rsidRDefault="004B4E35" w:rsidP="00C15251">
            <w:pPr>
              <w:shd w:val="clear" w:color="auto" w:fill="FFFFFF"/>
              <w:jc w:val="both"/>
              <w:rPr>
                <w:bCs/>
                <w:color w:val="002060"/>
                <w:sz w:val="16"/>
                <w:szCs w:val="16"/>
              </w:rPr>
            </w:pPr>
          </w:p>
        </w:tc>
        <w:tc>
          <w:tcPr>
            <w:tcW w:w="960" w:type="dxa"/>
          </w:tcPr>
          <w:p w14:paraId="469D44E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3.074</w:t>
            </w:r>
          </w:p>
          <w:p w14:paraId="1A68A138" w14:textId="77777777" w:rsidR="004B4E35" w:rsidRPr="00405303" w:rsidRDefault="004B4E35" w:rsidP="00C15251">
            <w:pPr>
              <w:shd w:val="clear" w:color="auto" w:fill="FFFFFF"/>
              <w:jc w:val="both"/>
              <w:rPr>
                <w:bCs/>
                <w:color w:val="002060"/>
                <w:sz w:val="16"/>
                <w:szCs w:val="16"/>
              </w:rPr>
            </w:pPr>
          </w:p>
        </w:tc>
        <w:tc>
          <w:tcPr>
            <w:tcW w:w="1037" w:type="dxa"/>
          </w:tcPr>
          <w:p w14:paraId="3AFD924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6,144</w:t>
            </w:r>
          </w:p>
          <w:p w14:paraId="2CE1525C" w14:textId="77777777" w:rsidR="004B4E35" w:rsidRPr="00405303" w:rsidRDefault="004B4E35" w:rsidP="00C15251">
            <w:pPr>
              <w:shd w:val="clear" w:color="auto" w:fill="FFFFFF"/>
              <w:jc w:val="both"/>
              <w:rPr>
                <w:bCs/>
                <w:color w:val="002060"/>
                <w:sz w:val="16"/>
                <w:szCs w:val="16"/>
              </w:rPr>
            </w:pPr>
          </w:p>
        </w:tc>
      </w:tr>
      <w:tr w:rsidR="004B4E35" w:rsidRPr="00405303" w14:paraId="7AECF4A7" w14:textId="77777777">
        <w:trPr>
          <w:trHeight w:val="365"/>
        </w:trPr>
        <w:tc>
          <w:tcPr>
            <w:tcW w:w="2266" w:type="dxa"/>
          </w:tcPr>
          <w:p w14:paraId="2A588CC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305-мм бомб —</w:t>
            </w:r>
          </w:p>
          <w:p w14:paraId="221EB199" w14:textId="77777777" w:rsidR="004B4E35" w:rsidRPr="00405303" w:rsidRDefault="004B4E35" w:rsidP="00C15251">
            <w:pPr>
              <w:shd w:val="clear" w:color="auto" w:fill="FFFFFF"/>
              <w:jc w:val="both"/>
              <w:rPr>
                <w:bCs/>
                <w:color w:val="002060"/>
                <w:sz w:val="16"/>
                <w:szCs w:val="16"/>
              </w:rPr>
            </w:pPr>
          </w:p>
        </w:tc>
        <w:tc>
          <w:tcPr>
            <w:tcW w:w="979" w:type="dxa"/>
          </w:tcPr>
          <w:p w14:paraId="0E90109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47D9AB80" w14:textId="77777777" w:rsidR="004B4E35" w:rsidRPr="00405303" w:rsidRDefault="004B4E35" w:rsidP="00C15251">
            <w:pPr>
              <w:shd w:val="clear" w:color="auto" w:fill="FFFFFF"/>
              <w:jc w:val="both"/>
              <w:rPr>
                <w:bCs/>
                <w:color w:val="002060"/>
                <w:sz w:val="16"/>
                <w:szCs w:val="16"/>
              </w:rPr>
            </w:pPr>
          </w:p>
        </w:tc>
        <w:tc>
          <w:tcPr>
            <w:tcW w:w="1085" w:type="dxa"/>
          </w:tcPr>
          <w:p w14:paraId="0495394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0,506</w:t>
            </w:r>
          </w:p>
          <w:p w14:paraId="6BC2075E" w14:textId="77777777" w:rsidR="004B4E35" w:rsidRPr="00405303" w:rsidRDefault="004B4E35" w:rsidP="00C15251">
            <w:pPr>
              <w:shd w:val="clear" w:color="auto" w:fill="FFFFFF"/>
              <w:jc w:val="both"/>
              <w:rPr>
                <w:bCs/>
                <w:color w:val="002060"/>
                <w:sz w:val="16"/>
                <w:szCs w:val="16"/>
              </w:rPr>
            </w:pPr>
          </w:p>
        </w:tc>
        <w:tc>
          <w:tcPr>
            <w:tcW w:w="960" w:type="dxa"/>
          </w:tcPr>
          <w:p w14:paraId="0DA1870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0,298</w:t>
            </w:r>
          </w:p>
          <w:p w14:paraId="08C6D8C4" w14:textId="77777777" w:rsidR="004B4E35" w:rsidRPr="00405303" w:rsidRDefault="004B4E35" w:rsidP="00C15251">
            <w:pPr>
              <w:shd w:val="clear" w:color="auto" w:fill="FFFFFF"/>
              <w:jc w:val="both"/>
              <w:rPr>
                <w:bCs/>
                <w:color w:val="002060"/>
                <w:sz w:val="16"/>
                <w:szCs w:val="16"/>
              </w:rPr>
            </w:pPr>
          </w:p>
        </w:tc>
        <w:tc>
          <w:tcPr>
            <w:tcW w:w="1037" w:type="dxa"/>
          </w:tcPr>
          <w:p w14:paraId="4F767EE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0,804</w:t>
            </w:r>
          </w:p>
          <w:p w14:paraId="0FEFBB31" w14:textId="77777777" w:rsidR="004B4E35" w:rsidRPr="00405303" w:rsidRDefault="004B4E35" w:rsidP="00C15251">
            <w:pPr>
              <w:shd w:val="clear" w:color="auto" w:fill="FFFFFF"/>
              <w:jc w:val="both"/>
              <w:rPr>
                <w:bCs/>
                <w:color w:val="002060"/>
                <w:sz w:val="16"/>
                <w:szCs w:val="16"/>
              </w:rPr>
            </w:pPr>
          </w:p>
        </w:tc>
      </w:tr>
    </w:tbl>
    <w:p w14:paraId="6F72B12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Всего на Московском снаряжательном заводе с января 1916 г. по декабрь 1917 г. было изготовлено 4971 тыс. снарядов разных калиб</w:t>
      </w:r>
      <w:r w:rsidRPr="00405303">
        <w:rPr>
          <w:bCs/>
          <w:color w:val="002060"/>
          <w:sz w:val="16"/>
          <w:szCs w:val="16"/>
        </w:rPr>
        <w:softHyphen/>
        <w:t>ров.</w:t>
      </w:r>
    </w:p>
    <w:p w14:paraId="1E0373E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мая 1915 г. по январь 1918 г. генерал С. Н. Банков заключил 442 договора с различными предприятиями, включенными в его ор</w:t>
      </w:r>
      <w:r w:rsidRPr="00405303">
        <w:rPr>
          <w:bCs/>
          <w:color w:val="002060"/>
          <w:sz w:val="16"/>
          <w:szCs w:val="16"/>
        </w:rPr>
        <w:softHyphen/>
        <w:t>ганизацию. До конца 1917г. организация С. Н. Ванкова поставила в армию более 14 млн корпусов снарядов, в том числе 13 млн 683 тыс. 76-мм гранат — почти половину всех 76-мм гранат, изготовленных в России за годы войны. Организация С. Н. Ванкова изготовила также около полумиллиона корпусов 152-мм бомб. На фронт было отправ</w:t>
      </w:r>
      <w:r w:rsidRPr="00405303">
        <w:rPr>
          <w:bCs/>
          <w:color w:val="002060"/>
          <w:sz w:val="16"/>
          <w:szCs w:val="16"/>
        </w:rPr>
        <w:softHyphen/>
        <w:t>лено 8399236 шт. окончательно снаряженных 76-мм гранат и 225911 шт. 152-мм бомб (табл. 1.9) [5, с. 197].</w:t>
      </w:r>
    </w:p>
    <w:p w14:paraId="0581F7B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 Производство снарядов организацией уполномоченного ГАУ С. Н. Ванкова с сентября 1915 г. по декабрь 1917 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014"/>
        <w:gridCol w:w="1277"/>
        <w:gridCol w:w="998"/>
        <w:gridCol w:w="1114"/>
      </w:tblGrid>
      <w:tr w:rsidR="004B4E35" w:rsidRPr="00405303" w14:paraId="7BF0D64A" w14:textId="77777777">
        <w:trPr>
          <w:trHeight w:val="355"/>
        </w:trPr>
        <w:tc>
          <w:tcPr>
            <w:tcW w:w="3014" w:type="dxa"/>
          </w:tcPr>
          <w:p w14:paraId="660964B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Название изделий</w:t>
            </w:r>
          </w:p>
          <w:p w14:paraId="116AECD9" w14:textId="77777777" w:rsidR="004B4E35" w:rsidRPr="00405303" w:rsidRDefault="004B4E35" w:rsidP="00C15251">
            <w:pPr>
              <w:shd w:val="clear" w:color="auto" w:fill="FFFFFF"/>
              <w:jc w:val="both"/>
              <w:rPr>
                <w:bCs/>
                <w:color w:val="002060"/>
                <w:sz w:val="16"/>
                <w:szCs w:val="16"/>
              </w:rPr>
            </w:pPr>
          </w:p>
        </w:tc>
        <w:tc>
          <w:tcPr>
            <w:tcW w:w="1277" w:type="dxa"/>
          </w:tcPr>
          <w:p w14:paraId="4E0D052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Всего принято</w:t>
            </w:r>
          </w:p>
          <w:p w14:paraId="648C0F45" w14:textId="77777777" w:rsidR="004B4E35" w:rsidRPr="00405303" w:rsidRDefault="004B4E35" w:rsidP="00C15251">
            <w:pPr>
              <w:shd w:val="clear" w:color="auto" w:fill="FFFFFF"/>
              <w:jc w:val="both"/>
              <w:rPr>
                <w:bCs/>
                <w:color w:val="002060"/>
                <w:sz w:val="16"/>
                <w:szCs w:val="16"/>
              </w:rPr>
            </w:pPr>
          </w:p>
        </w:tc>
        <w:tc>
          <w:tcPr>
            <w:tcW w:w="2112" w:type="dxa"/>
            <w:gridSpan w:val="2"/>
          </w:tcPr>
          <w:p w14:paraId="6C32C34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Из этого числа</w:t>
            </w:r>
          </w:p>
          <w:p w14:paraId="727B36C3" w14:textId="77777777" w:rsidR="004B4E35" w:rsidRPr="00405303" w:rsidRDefault="004B4E35" w:rsidP="00C15251">
            <w:pPr>
              <w:shd w:val="clear" w:color="auto" w:fill="FFFFFF"/>
              <w:jc w:val="both"/>
              <w:rPr>
                <w:bCs/>
                <w:color w:val="002060"/>
                <w:sz w:val="16"/>
                <w:szCs w:val="16"/>
              </w:rPr>
            </w:pPr>
          </w:p>
        </w:tc>
      </w:tr>
      <w:tr w:rsidR="004B4E35" w:rsidRPr="00405303" w14:paraId="2E992A41" w14:textId="77777777">
        <w:trPr>
          <w:trHeight w:val="269"/>
        </w:trPr>
        <w:tc>
          <w:tcPr>
            <w:tcW w:w="3014" w:type="dxa"/>
          </w:tcPr>
          <w:p w14:paraId="6159D409" w14:textId="77777777" w:rsidR="004B4E35" w:rsidRPr="00405303" w:rsidRDefault="004B4E35" w:rsidP="00C15251">
            <w:pPr>
              <w:shd w:val="clear" w:color="auto" w:fill="FFFFFF"/>
              <w:jc w:val="both"/>
              <w:rPr>
                <w:bCs/>
                <w:color w:val="002060"/>
                <w:sz w:val="16"/>
                <w:szCs w:val="16"/>
              </w:rPr>
            </w:pPr>
          </w:p>
          <w:p w14:paraId="4E28408D" w14:textId="77777777" w:rsidR="004B4E35" w:rsidRPr="00405303" w:rsidRDefault="004B4E35" w:rsidP="00C15251">
            <w:pPr>
              <w:shd w:val="clear" w:color="auto" w:fill="FFFFFF"/>
              <w:jc w:val="both"/>
              <w:rPr>
                <w:bCs/>
                <w:color w:val="002060"/>
                <w:sz w:val="16"/>
                <w:szCs w:val="16"/>
              </w:rPr>
            </w:pPr>
          </w:p>
        </w:tc>
        <w:tc>
          <w:tcPr>
            <w:tcW w:w="1277" w:type="dxa"/>
          </w:tcPr>
          <w:p w14:paraId="79412E8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заводов до 1 января 1918 г.</w:t>
            </w:r>
          </w:p>
          <w:p w14:paraId="54A39C15" w14:textId="77777777" w:rsidR="004B4E35" w:rsidRPr="00405303" w:rsidRDefault="004B4E35" w:rsidP="00C15251">
            <w:pPr>
              <w:shd w:val="clear" w:color="auto" w:fill="FFFFFF"/>
              <w:jc w:val="both"/>
              <w:rPr>
                <w:bCs/>
                <w:color w:val="002060"/>
                <w:sz w:val="16"/>
                <w:szCs w:val="16"/>
              </w:rPr>
            </w:pPr>
          </w:p>
        </w:tc>
        <w:tc>
          <w:tcPr>
            <w:tcW w:w="998" w:type="dxa"/>
          </w:tcPr>
          <w:p w14:paraId="23A7A8C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сдано окон-</w:t>
            </w:r>
          </w:p>
          <w:p w14:paraId="720270EB" w14:textId="77777777" w:rsidR="004B4E35" w:rsidRPr="00405303" w:rsidRDefault="004B4E35" w:rsidP="00C15251">
            <w:pPr>
              <w:shd w:val="clear" w:color="auto" w:fill="FFFFFF"/>
              <w:jc w:val="both"/>
              <w:rPr>
                <w:bCs/>
                <w:color w:val="002060"/>
                <w:sz w:val="16"/>
                <w:szCs w:val="16"/>
              </w:rPr>
            </w:pPr>
          </w:p>
        </w:tc>
        <w:tc>
          <w:tcPr>
            <w:tcW w:w="1114" w:type="dxa"/>
          </w:tcPr>
          <w:p w14:paraId="62B2E20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выдано для</w:t>
            </w:r>
          </w:p>
          <w:p w14:paraId="03960DB9" w14:textId="77777777" w:rsidR="004B4E35" w:rsidRPr="00405303" w:rsidRDefault="004B4E35" w:rsidP="00C15251">
            <w:pPr>
              <w:shd w:val="clear" w:color="auto" w:fill="FFFFFF"/>
              <w:jc w:val="both"/>
              <w:rPr>
                <w:bCs/>
                <w:color w:val="002060"/>
                <w:sz w:val="16"/>
                <w:szCs w:val="16"/>
              </w:rPr>
            </w:pPr>
          </w:p>
        </w:tc>
      </w:tr>
      <w:tr w:rsidR="004B4E35" w:rsidRPr="00405303" w14:paraId="416A7321" w14:textId="77777777">
        <w:trPr>
          <w:trHeight w:val="154"/>
        </w:trPr>
        <w:tc>
          <w:tcPr>
            <w:tcW w:w="3014" w:type="dxa"/>
          </w:tcPr>
          <w:p w14:paraId="44F6D45B" w14:textId="77777777" w:rsidR="004B4E35" w:rsidRPr="00405303" w:rsidRDefault="004B4E35" w:rsidP="00C15251">
            <w:pPr>
              <w:shd w:val="clear" w:color="auto" w:fill="FFFFFF"/>
              <w:jc w:val="both"/>
              <w:rPr>
                <w:bCs/>
                <w:color w:val="002060"/>
                <w:sz w:val="16"/>
                <w:szCs w:val="16"/>
              </w:rPr>
            </w:pPr>
          </w:p>
          <w:p w14:paraId="4C3D919B" w14:textId="77777777" w:rsidR="004B4E35" w:rsidRPr="00405303" w:rsidRDefault="004B4E35" w:rsidP="00C15251">
            <w:pPr>
              <w:shd w:val="clear" w:color="auto" w:fill="FFFFFF"/>
              <w:jc w:val="both"/>
              <w:rPr>
                <w:bCs/>
                <w:color w:val="002060"/>
                <w:sz w:val="16"/>
                <w:szCs w:val="16"/>
              </w:rPr>
            </w:pPr>
          </w:p>
        </w:tc>
        <w:tc>
          <w:tcPr>
            <w:tcW w:w="1277" w:type="dxa"/>
          </w:tcPr>
          <w:p w14:paraId="7107CC62" w14:textId="77777777" w:rsidR="004B4E35" w:rsidRPr="00405303" w:rsidRDefault="004B4E35" w:rsidP="00C15251">
            <w:pPr>
              <w:shd w:val="clear" w:color="auto" w:fill="FFFFFF"/>
              <w:jc w:val="both"/>
              <w:rPr>
                <w:bCs/>
                <w:color w:val="002060"/>
                <w:sz w:val="16"/>
                <w:szCs w:val="16"/>
              </w:rPr>
            </w:pPr>
          </w:p>
          <w:p w14:paraId="5338CD14" w14:textId="77777777" w:rsidR="004B4E35" w:rsidRPr="00405303" w:rsidRDefault="004B4E35" w:rsidP="00C15251">
            <w:pPr>
              <w:shd w:val="clear" w:color="auto" w:fill="FFFFFF"/>
              <w:jc w:val="both"/>
              <w:rPr>
                <w:bCs/>
                <w:color w:val="002060"/>
                <w:sz w:val="16"/>
                <w:szCs w:val="16"/>
              </w:rPr>
            </w:pPr>
          </w:p>
        </w:tc>
        <w:tc>
          <w:tcPr>
            <w:tcW w:w="998" w:type="dxa"/>
          </w:tcPr>
          <w:p w14:paraId="45204D4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чательно</w:t>
            </w:r>
          </w:p>
          <w:p w14:paraId="0342AFC3" w14:textId="77777777" w:rsidR="004B4E35" w:rsidRPr="00405303" w:rsidRDefault="004B4E35" w:rsidP="00C15251">
            <w:pPr>
              <w:shd w:val="clear" w:color="auto" w:fill="FFFFFF"/>
              <w:jc w:val="both"/>
              <w:rPr>
                <w:bCs/>
                <w:color w:val="002060"/>
                <w:sz w:val="16"/>
                <w:szCs w:val="16"/>
              </w:rPr>
            </w:pPr>
          </w:p>
        </w:tc>
        <w:tc>
          <w:tcPr>
            <w:tcW w:w="1114" w:type="dxa"/>
          </w:tcPr>
          <w:p w14:paraId="305D7A1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снаряжения</w:t>
            </w:r>
          </w:p>
          <w:p w14:paraId="0D20E128" w14:textId="77777777" w:rsidR="004B4E35" w:rsidRPr="00405303" w:rsidRDefault="004B4E35" w:rsidP="00C15251">
            <w:pPr>
              <w:shd w:val="clear" w:color="auto" w:fill="FFFFFF"/>
              <w:jc w:val="both"/>
              <w:rPr>
                <w:bCs/>
                <w:color w:val="002060"/>
                <w:sz w:val="16"/>
                <w:szCs w:val="16"/>
              </w:rPr>
            </w:pPr>
          </w:p>
        </w:tc>
      </w:tr>
      <w:tr w:rsidR="004B4E35" w:rsidRPr="00405303" w14:paraId="7DCEA6CD" w14:textId="77777777">
        <w:trPr>
          <w:trHeight w:val="202"/>
        </w:trPr>
        <w:tc>
          <w:tcPr>
            <w:tcW w:w="3014" w:type="dxa"/>
          </w:tcPr>
          <w:p w14:paraId="2BCF8A49" w14:textId="77777777" w:rsidR="004B4E35" w:rsidRPr="00405303" w:rsidRDefault="004B4E35" w:rsidP="00C15251">
            <w:pPr>
              <w:shd w:val="clear" w:color="auto" w:fill="FFFFFF"/>
              <w:jc w:val="both"/>
              <w:rPr>
                <w:bCs/>
                <w:color w:val="002060"/>
                <w:sz w:val="16"/>
                <w:szCs w:val="16"/>
              </w:rPr>
            </w:pPr>
          </w:p>
          <w:p w14:paraId="53F8EF6E" w14:textId="77777777" w:rsidR="004B4E35" w:rsidRPr="00405303" w:rsidRDefault="004B4E35" w:rsidP="00C15251">
            <w:pPr>
              <w:shd w:val="clear" w:color="auto" w:fill="FFFFFF"/>
              <w:jc w:val="both"/>
              <w:rPr>
                <w:bCs/>
                <w:color w:val="002060"/>
                <w:sz w:val="16"/>
                <w:szCs w:val="16"/>
              </w:rPr>
            </w:pPr>
          </w:p>
        </w:tc>
        <w:tc>
          <w:tcPr>
            <w:tcW w:w="1277" w:type="dxa"/>
          </w:tcPr>
          <w:p w14:paraId="100631CB" w14:textId="77777777" w:rsidR="004B4E35" w:rsidRPr="00405303" w:rsidRDefault="004B4E35" w:rsidP="00C15251">
            <w:pPr>
              <w:shd w:val="clear" w:color="auto" w:fill="FFFFFF"/>
              <w:jc w:val="both"/>
              <w:rPr>
                <w:bCs/>
                <w:color w:val="002060"/>
                <w:sz w:val="16"/>
                <w:szCs w:val="16"/>
              </w:rPr>
            </w:pPr>
          </w:p>
          <w:p w14:paraId="58B102A0" w14:textId="77777777" w:rsidR="004B4E35" w:rsidRPr="00405303" w:rsidRDefault="004B4E35" w:rsidP="00C15251">
            <w:pPr>
              <w:shd w:val="clear" w:color="auto" w:fill="FFFFFF"/>
              <w:jc w:val="both"/>
              <w:rPr>
                <w:bCs/>
                <w:color w:val="002060"/>
                <w:sz w:val="16"/>
                <w:szCs w:val="16"/>
              </w:rPr>
            </w:pPr>
          </w:p>
        </w:tc>
        <w:tc>
          <w:tcPr>
            <w:tcW w:w="998" w:type="dxa"/>
          </w:tcPr>
          <w:p w14:paraId="19BE91B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снаряжен-</w:t>
            </w:r>
          </w:p>
          <w:p w14:paraId="3EE8C7F0" w14:textId="77777777" w:rsidR="004B4E35" w:rsidRPr="00405303" w:rsidRDefault="004B4E35" w:rsidP="00C15251">
            <w:pPr>
              <w:shd w:val="clear" w:color="auto" w:fill="FFFFFF"/>
              <w:jc w:val="both"/>
              <w:rPr>
                <w:bCs/>
                <w:color w:val="002060"/>
                <w:sz w:val="16"/>
                <w:szCs w:val="16"/>
              </w:rPr>
            </w:pPr>
          </w:p>
        </w:tc>
        <w:tc>
          <w:tcPr>
            <w:tcW w:w="1114" w:type="dxa"/>
          </w:tcPr>
          <w:p w14:paraId="034B0D5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ОВ</w:t>
            </w:r>
          </w:p>
          <w:p w14:paraId="714BA38F" w14:textId="77777777" w:rsidR="004B4E35" w:rsidRPr="00405303" w:rsidRDefault="004B4E35" w:rsidP="00C15251">
            <w:pPr>
              <w:shd w:val="clear" w:color="auto" w:fill="FFFFFF"/>
              <w:jc w:val="both"/>
              <w:rPr>
                <w:bCs/>
                <w:color w:val="002060"/>
                <w:sz w:val="16"/>
                <w:szCs w:val="16"/>
              </w:rPr>
            </w:pPr>
          </w:p>
        </w:tc>
      </w:tr>
      <w:tr w:rsidR="004B4E35" w:rsidRPr="00405303" w14:paraId="0570B431" w14:textId="77777777">
        <w:trPr>
          <w:trHeight w:val="240"/>
        </w:trPr>
        <w:tc>
          <w:tcPr>
            <w:tcW w:w="3014" w:type="dxa"/>
          </w:tcPr>
          <w:p w14:paraId="7BE1EEFF" w14:textId="77777777" w:rsidR="004B4E35" w:rsidRPr="00405303" w:rsidRDefault="004B4E35" w:rsidP="00C15251">
            <w:pPr>
              <w:shd w:val="clear" w:color="auto" w:fill="FFFFFF"/>
              <w:jc w:val="both"/>
              <w:rPr>
                <w:bCs/>
                <w:color w:val="002060"/>
                <w:sz w:val="16"/>
                <w:szCs w:val="16"/>
              </w:rPr>
            </w:pPr>
          </w:p>
          <w:p w14:paraId="259A9577" w14:textId="77777777" w:rsidR="004B4E35" w:rsidRPr="00405303" w:rsidRDefault="004B4E35" w:rsidP="00C15251">
            <w:pPr>
              <w:shd w:val="clear" w:color="auto" w:fill="FFFFFF"/>
              <w:jc w:val="both"/>
              <w:rPr>
                <w:bCs/>
                <w:color w:val="002060"/>
                <w:sz w:val="16"/>
                <w:szCs w:val="16"/>
              </w:rPr>
            </w:pPr>
          </w:p>
        </w:tc>
        <w:tc>
          <w:tcPr>
            <w:tcW w:w="1277" w:type="dxa"/>
          </w:tcPr>
          <w:p w14:paraId="3664AE34" w14:textId="77777777" w:rsidR="004B4E35" w:rsidRPr="00405303" w:rsidRDefault="004B4E35" w:rsidP="00C15251">
            <w:pPr>
              <w:shd w:val="clear" w:color="auto" w:fill="FFFFFF"/>
              <w:jc w:val="both"/>
              <w:rPr>
                <w:bCs/>
                <w:color w:val="002060"/>
                <w:sz w:val="16"/>
                <w:szCs w:val="16"/>
              </w:rPr>
            </w:pPr>
          </w:p>
          <w:p w14:paraId="4F7BCEAA" w14:textId="77777777" w:rsidR="004B4E35" w:rsidRPr="00405303" w:rsidRDefault="004B4E35" w:rsidP="00C15251">
            <w:pPr>
              <w:shd w:val="clear" w:color="auto" w:fill="FFFFFF"/>
              <w:jc w:val="both"/>
              <w:rPr>
                <w:bCs/>
                <w:color w:val="002060"/>
                <w:sz w:val="16"/>
                <w:szCs w:val="16"/>
              </w:rPr>
            </w:pPr>
          </w:p>
        </w:tc>
        <w:tc>
          <w:tcPr>
            <w:tcW w:w="998" w:type="dxa"/>
          </w:tcPr>
          <w:p w14:paraId="5BB43E6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ных</w:t>
            </w:r>
          </w:p>
          <w:p w14:paraId="2CCBC04E" w14:textId="77777777" w:rsidR="004B4E35" w:rsidRPr="00405303" w:rsidRDefault="004B4E35" w:rsidP="00C15251">
            <w:pPr>
              <w:shd w:val="clear" w:color="auto" w:fill="FFFFFF"/>
              <w:jc w:val="both"/>
              <w:rPr>
                <w:bCs/>
                <w:color w:val="002060"/>
                <w:sz w:val="16"/>
                <w:szCs w:val="16"/>
              </w:rPr>
            </w:pPr>
          </w:p>
        </w:tc>
        <w:tc>
          <w:tcPr>
            <w:tcW w:w="1114" w:type="dxa"/>
          </w:tcPr>
          <w:p w14:paraId="1F9D289C" w14:textId="77777777" w:rsidR="004B4E35" w:rsidRPr="00405303" w:rsidRDefault="004B4E35" w:rsidP="00C15251">
            <w:pPr>
              <w:shd w:val="clear" w:color="auto" w:fill="FFFFFF"/>
              <w:jc w:val="both"/>
              <w:rPr>
                <w:bCs/>
                <w:color w:val="002060"/>
                <w:sz w:val="16"/>
                <w:szCs w:val="16"/>
              </w:rPr>
            </w:pPr>
          </w:p>
          <w:p w14:paraId="6B2BABF5" w14:textId="77777777" w:rsidR="004B4E35" w:rsidRPr="00405303" w:rsidRDefault="004B4E35" w:rsidP="00C15251">
            <w:pPr>
              <w:shd w:val="clear" w:color="auto" w:fill="FFFFFF"/>
              <w:jc w:val="both"/>
              <w:rPr>
                <w:bCs/>
                <w:color w:val="002060"/>
                <w:sz w:val="16"/>
                <w:szCs w:val="16"/>
              </w:rPr>
            </w:pPr>
          </w:p>
        </w:tc>
      </w:tr>
      <w:tr w:rsidR="004B4E35" w:rsidRPr="00405303" w14:paraId="7EFDAA83" w14:textId="77777777">
        <w:trPr>
          <w:trHeight w:val="259"/>
        </w:trPr>
        <w:tc>
          <w:tcPr>
            <w:tcW w:w="3014" w:type="dxa"/>
          </w:tcPr>
          <w:p w14:paraId="4FBD7BB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Корпуса 76-мм гранат</w:t>
            </w:r>
          </w:p>
          <w:p w14:paraId="333FF2FF" w14:textId="77777777" w:rsidR="004B4E35" w:rsidRPr="00405303" w:rsidRDefault="004B4E35" w:rsidP="00C15251">
            <w:pPr>
              <w:shd w:val="clear" w:color="auto" w:fill="FFFFFF"/>
              <w:jc w:val="both"/>
              <w:rPr>
                <w:bCs/>
                <w:color w:val="002060"/>
                <w:sz w:val="16"/>
                <w:szCs w:val="16"/>
              </w:rPr>
            </w:pPr>
          </w:p>
        </w:tc>
        <w:tc>
          <w:tcPr>
            <w:tcW w:w="1277" w:type="dxa"/>
          </w:tcPr>
          <w:p w14:paraId="375A007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13 683,334</w:t>
            </w:r>
          </w:p>
          <w:p w14:paraId="12D0E1A6" w14:textId="77777777" w:rsidR="004B4E35" w:rsidRPr="00405303" w:rsidRDefault="004B4E35" w:rsidP="00C15251">
            <w:pPr>
              <w:shd w:val="clear" w:color="auto" w:fill="FFFFFF"/>
              <w:jc w:val="both"/>
              <w:rPr>
                <w:bCs/>
                <w:color w:val="002060"/>
                <w:sz w:val="16"/>
                <w:szCs w:val="16"/>
              </w:rPr>
            </w:pPr>
          </w:p>
        </w:tc>
        <w:tc>
          <w:tcPr>
            <w:tcW w:w="998" w:type="dxa"/>
          </w:tcPr>
          <w:p w14:paraId="726D5FE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8 399,236</w:t>
            </w:r>
          </w:p>
          <w:p w14:paraId="69058034" w14:textId="77777777" w:rsidR="004B4E35" w:rsidRPr="00405303" w:rsidRDefault="004B4E35" w:rsidP="00C15251">
            <w:pPr>
              <w:shd w:val="clear" w:color="auto" w:fill="FFFFFF"/>
              <w:jc w:val="both"/>
              <w:rPr>
                <w:bCs/>
                <w:color w:val="002060"/>
                <w:sz w:val="16"/>
                <w:szCs w:val="16"/>
              </w:rPr>
            </w:pPr>
          </w:p>
        </w:tc>
        <w:tc>
          <w:tcPr>
            <w:tcW w:w="1114" w:type="dxa"/>
          </w:tcPr>
          <w:p w14:paraId="13142FD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2291,969</w:t>
            </w:r>
          </w:p>
          <w:p w14:paraId="087B5878" w14:textId="77777777" w:rsidR="004B4E35" w:rsidRPr="00405303" w:rsidRDefault="004B4E35" w:rsidP="00C15251">
            <w:pPr>
              <w:shd w:val="clear" w:color="auto" w:fill="FFFFFF"/>
              <w:jc w:val="both"/>
              <w:rPr>
                <w:bCs/>
                <w:color w:val="002060"/>
                <w:sz w:val="16"/>
                <w:szCs w:val="16"/>
              </w:rPr>
            </w:pPr>
          </w:p>
        </w:tc>
      </w:tr>
      <w:tr w:rsidR="004B4E35" w:rsidRPr="00405303" w14:paraId="39F61627" w14:textId="77777777">
        <w:trPr>
          <w:trHeight w:val="163"/>
        </w:trPr>
        <w:tc>
          <w:tcPr>
            <w:tcW w:w="3014" w:type="dxa"/>
          </w:tcPr>
          <w:p w14:paraId="6483694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Корпуса 122-мм бомб</w:t>
            </w:r>
          </w:p>
          <w:p w14:paraId="206A0AFB" w14:textId="77777777" w:rsidR="004B4E35" w:rsidRPr="00405303" w:rsidRDefault="004B4E35" w:rsidP="00C15251">
            <w:pPr>
              <w:shd w:val="clear" w:color="auto" w:fill="FFFFFF"/>
              <w:jc w:val="both"/>
              <w:rPr>
                <w:bCs/>
                <w:color w:val="002060"/>
                <w:sz w:val="16"/>
                <w:szCs w:val="16"/>
              </w:rPr>
            </w:pPr>
          </w:p>
        </w:tc>
        <w:tc>
          <w:tcPr>
            <w:tcW w:w="1277" w:type="dxa"/>
          </w:tcPr>
          <w:p w14:paraId="1F33F84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104,956</w:t>
            </w:r>
          </w:p>
          <w:p w14:paraId="27C8A55E" w14:textId="77777777" w:rsidR="004B4E35" w:rsidRPr="00405303" w:rsidRDefault="004B4E35" w:rsidP="00C15251">
            <w:pPr>
              <w:shd w:val="clear" w:color="auto" w:fill="FFFFFF"/>
              <w:jc w:val="both"/>
              <w:rPr>
                <w:bCs/>
                <w:color w:val="002060"/>
                <w:sz w:val="16"/>
                <w:szCs w:val="16"/>
              </w:rPr>
            </w:pPr>
          </w:p>
        </w:tc>
        <w:tc>
          <w:tcPr>
            <w:tcW w:w="998" w:type="dxa"/>
          </w:tcPr>
          <w:p w14:paraId="577CDE5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6C6B801B" w14:textId="77777777" w:rsidR="004B4E35" w:rsidRPr="00405303" w:rsidRDefault="004B4E35" w:rsidP="00C15251">
            <w:pPr>
              <w:shd w:val="clear" w:color="auto" w:fill="FFFFFF"/>
              <w:jc w:val="both"/>
              <w:rPr>
                <w:bCs/>
                <w:color w:val="002060"/>
                <w:sz w:val="16"/>
                <w:szCs w:val="16"/>
              </w:rPr>
            </w:pPr>
          </w:p>
        </w:tc>
        <w:tc>
          <w:tcPr>
            <w:tcW w:w="1114" w:type="dxa"/>
          </w:tcPr>
          <w:p w14:paraId="731E825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747B5197" w14:textId="77777777" w:rsidR="004B4E35" w:rsidRPr="00405303" w:rsidRDefault="004B4E35" w:rsidP="00C15251">
            <w:pPr>
              <w:shd w:val="clear" w:color="auto" w:fill="FFFFFF"/>
              <w:jc w:val="both"/>
              <w:rPr>
                <w:bCs/>
                <w:color w:val="002060"/>
                <w:sz w:val="16"/>
                <w:szCs w:val="16"/>
              </w:rPr>
            </w:pPr>
          </w:p>
        </w:tc>
      </w:tr>
      <w:tr w:rsidR="004B4E35" w:rsidRPr="00405303" w14:paraId="4CE49358" w14:textId="77777777">
        <w:trPr>
          <w:trHeight w:val="182"/>
        </w:trPr>
        <w:tc>
          <w:tcPr>
            <w:tcW w:w="3014" w:type="dxa"/>
          </w:tcPr>
          <w:p w14:paraId="30BC993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Корпуса 152-мм бомб</w:t>
            </w:r>
          </w:p>
          <w:p w14:paraId="4E4F35B7" w14:textId="77777777" w:rsidR="004B4E35" w:rsidRPr="00405303" w:rsidRDefault="004B4E35" w:rsidP="00C15251">
            <w:pPr>
              <w:shd w:val="clear" w:color="auto" w:fill="FFFFFF"/>
              <w:jc w:val="both"/>
              <w:rPr>
                <w:bCs/>
                <w:color w:val="002060"/>
                <w:sz w:val="16"/>
                <w:szCs w:val="16"/>
              </w:rPr>
            </w:pPr>
          </w:p>
        </w:tc>
        <w:tc>
          <w:tcPr>
            <w:tcW w:w="1277" w:type="dxa"/>
          </w:tcPr>
          <w:p w14:paraId="4FCC79A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488,487</w:t>
            </w:r>
          </w:p>
          <w:p w14:paraId="7264FDFF" w14:textId="77777777" w:rsidR="004B4E35" w:rsidRPr="00405303" w:rsidRDefault="004B4E35" w:rsidP="00C15251">
            <w:pPr>
              <w:shd w:val="clear" w:color="auto" w:fill="FFFFFF"/>
              <w:jc w:val="both"/>
              <w:rPr>
                <w:bCs/>
                <w:color w:val="002060"/>
                <w:sz w:val="16"/>
                <w:szCs w:val="16"/>
              </w:rPr>
            </w:pPr>
          </w:p>
        </w:tc>
        <w:tc>
          <w:tcPr>
            <w:tcW w:w="998" w:type="dxa"/>
          </w:tcPr>
          <w:p w14:paraId="27710E2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225,911</w:t>
            </w:r>
          </w:p>
          <w:p w14:paraId="3738EB60" w14:textId="77777777" w:rsidR="004B4E35" w:rsidRPr="00405303" w:rsidRDefault="004B4E35" w:rsidP="00C15251">
            <w:pPr>
              <w:shd w:val="clear" w:color="auto" w:fill="FFFFFF"/>
              <w:jc w:val="both"/>
              <w:rPr>
                <w:bCs/>
                <w:color w:val="002060"/>
                <w:sz w:val="16"/>
                <w:szCs w:val="16"/>
              </w:rPr>
            </w:pPr>
          </w:p>
        </w:tc>
        <w:tc>
          <w:tcPr>
            <w:tcW w:w="1114" w:type="dxa"/>
          </w:tcPr>
          <w:p w14:paraId="1DAA895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134,692</w:t>
            </w:r>
          </w:p>
          <w:p w14:paraId="32644CD7" w14:textId="77777777" w:rsidR="004B4E35" w:rsidRPr="00405303" w:rsidRDefault="004B4E35" w:rsidP="00C15251">
            <w:pPr>
              <w:shd w:val="clear" w:color="auto" w:fill="FFFFFF"/>
              <w:jc w:val="both"/>
              <w:rPr>
                <w:bCs/>
                <w:color w:val="002060"/>
                <w:sz w:val="16"/>
                <w:szCs w:val="16"/>
              </w:rPr>
            </w:pPr>
          </w:p>
        </w:tc>
      </w:tr>
      <w:tr w:rsidR="004B4E35" w:rsidRPr="00405303" w14:paraId="0E51E788" w14:textId="77777777">
        <w:trPr>
          <w:trHeight w:val="173"/>
        </w:trPr>
        <w:tc>
          <w:tcPr>
            <w:tcW w:w="3014" w:type="dxa"/>
          </w:tcPr>
          <w:p w14:paraId="77F57C7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Запальные стаканы 76-мм</w:t>
            </w:r>
          </w:p>
          <w:p w14:paraId="1FB5F2B3" w14:textId="77777777" w:rsidR="004B4E35" w:rsidRPr="00405303" w:rsidRDefault="004B4E35" w:rsidP="00C15251">
            <w:pPr>
              <w:shd w:val="clear" w:color="auto" w:fill="FFFFFF"/>
              <w:jc w:val="both"/>
              <w:rPr>
                <w:bCs/>
                <w:color w:val="002060"/>
                <w:sz w:val="16"/>
                <w:szCs w:val="16"/>
              </w:rPr>
            </w:pPr>
          </w:p>
        </w:tc>
        <w:tc>
          <w:tcPr>
            <w:tcW w:w="1277" w:type="dxa"/>
          </w:tcPr>
          <w:p w14:paraId="222C797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12 250,863</w:t>
            </w:r>
          </w:p>
          <w:p w14:paraId="1F3DC705" w14:textId="77777777" w:rsidR="004B4E35" w:rsidRPr="00405303" w:rsidRDefault="004B4E35" w:rsidP="00C15251">
            <w:pPr>
              <w:shd w:val="clear" w:color="auto" w:fill="FFFFFF"/>
              <w:jc w:val="both"/>
              <w:rPr>
                <w:bCs/>
                <w:color w:val="002060"/>
                <w:sz w:val="16"/>
                <w:szCs w:val="16"/>
              </w:rPr>
            </w:pPr>
          </w:p>
        </w:tc>
        <w:tc>
          <w:tcPr>
            <w:tcW w:w="998" w:type="dxa"/>
          </w:tcPr>
          <w:p w14:paraId="2008C20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0B08CE75" w14:textId="77777777" w:rsidR="004B4E35" w:rsidRPr="00405303" w:rsidRDefault="004B4E35" w:rsidP="00C15251">
            <w:pPr>
              <w:shd w:val="clear" w:color="auto" w:fill="FFFFFF"/>
              <w:jc w:val="both"/>
              <w:rPr>
                <w:bCs/>
                <w:color w:val="002060"/>
                <w:sz w:val="16"/>
                <w:szCs w:val="16"/>
              </w:rPr>
            </w:pPr>
          </w:p>
        </w:tc>
        <w:tc>
          <w:tcPr>
            <w:tcW w:w="1114" w:type="dxa"/>
          </w:tcPr>
          <w:p w14:paraId="6BE5034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4BBC3534" w14:textId="77777777" w:rsidR="004B4E35" w:rsidRPr="00405303" w:rsidRDefault="004B4E35" w:rsidP="00C15251">
            <w:pPr>
              <w:shd w:val="clear" w:color="auto" w:fill="FFFFFF"/>
              <w:jc w:val="both"/>
              <w:rPr>
                <w:bCs/>
                <w:color w:val="002060"/>
                <w:sz w:val="16"/>
                <w:szCs w:val="16"/>
              </w:rPr>
            </w:pPr>
          </w:p>
        </w:tc>
      </w:tr>
      <w:tr w:rsidR="004B4E35" w:rsidRPr="00405303" w14:paraId="5A1BA59B" w14:textId="77777777">
        <w:trPr>
          <w:trHeight w:val="154"/>
        </w:trPr>
        <w:tc>
          <w:tcPr>
            <w:tcW w:w="3014" w:type="dxa"/>
          </w:tcPr>
          <w:p w14:paraId="772C058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Запальные стаканы 152-мм</w:t>
            </w:r>
          </w:p>
          <w:p w14:paraId="6EDBE912" w14:textId="77777777" w:rsidR="004B4E35" w:rsidRPr="00405303" w:rsidRDefault="004B4E35" w:rsidP="00C15251">
            <w:pPr>
              <w:shd w:val="clear" w:color="auto" w:fill="FFFFFF"/>
              <w:jc w:val="both"/>
              <w:rPr>
                <w:bCs/>
                <w:color w:val="002060"/>
                <w:sz w:val="16"/>
                <w:szCs w:val="16"/>
              </w:rPr>
            </w:pPr>
          </w:p>
        </w:tc>
        <w:tc>
          <w:tcPr>
            <w:tcW w:w="1277" w:type="dxa"/>
          </w:tcPr>
          <w:p w14:paraId="0589553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730,294</w:t>
            </w:r>
          </w:p>
          <w:p w14:paraId="00962A2C" w14:textId="77777777" w:rsidR="004B4E35" w:rsidRPr="00405303" w:rsidRDefault="004B4E35" w:rsidP="00C15251">
            <w:pPr>
              <w:shd w:val="clear" w:color="auto" w:fill="FFFFFF"/>
              <w:jc w:val="both"/>
              <w:rPr>
                <w:bCs/>
                <w:color w:val="002060"/>
                <w:sz w:val="16"/>
                <w:szCs w:val="16"/>
              </w:rPr>
            </w:pPr>
          </w:p>
        </w:tc>
        <w:tc>
          <w:tcPr>
            <w:tcW w:w="998" w:type="dxa"/>
          </w:tcPr>
          <w:p w14:paraId="1BDC86A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7626254E" w14:textId="77777777" w:rsidR="004B4E35" w:rsidRPr="00405303" w:rsidRDefault="004B4E35" w:rsidP="00C15251">
            <w:pPr>
              <w:shd w:val="clear" w:color="auto" w:fill="FFFFFF"/>
              <w:jc w:val="both"/>
              <w:rPr>
                <w:bCs/>
                <w:color w:val="002060"/>
                <w:sz w:val="16"/>
                <w:szCs w:val="16"/>
              </w:rPr>
            </w:pPr>
          </w:p>
        </w:tc>
        <w:tc>
          <w:tcPr>
            <w:tcW w:w="1114" w:type="dxa"/>
          </w:tcPr>
          <w:p w14:paraId="307223F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25DAE8A4" w14:textId="77777777" w:rsidR="004B4E35" w:rsidRPr="00405303" w:rsidRDefault="004B4E35" w:rsidP="00C15251">
            <w:pPr>
              <w:shd w:val="clear" w:color="auto" w:fill="FFFFFF"/>
              <w:jc w:val="both"/>
              <w:rPr>
                <w:bCs/>
                <w:color w:val="002060"/>
                <w:sz w:val="16"/>
                <w:szCs w:val="16"/>
              </w:rPr>
            </w:pPr>
          </w:p>
        </w:tc>
      </w:tr>
      <w:tr w:rsidR="004B4E35" w:rsidRPr="00405303" w14:paraId="383669EC" w14:textId="77777777">
        <w:trPr>
          <w:trHeight w:val="173"/>
        </w:trPr>
        <w:tc>
          <w:tcPr>
            <w:tcW w:w="3014" w:type="dxa"/>
          </w:tcPr>
          <w:p w14:paraId="71AD16D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Запальные стаканы к ОВ</w:t>
            </w:r>
          </w:p>
          <w:p w14:paraId="1851B5F5" w14:textId="77777777" w:rsidR="004B4E35" w:rsidRPr="00405303" w:rsidRDefault="004B4E35" w:rsidP="00C15251">
            <w:pPr>
              <w:shd w:val="clear" w:color="auto" w:fill="FFFFFF"/>
              <w:jc w:val="both"/>
              <w:rPr>
                <w:bCs/>
                <w:color w:val="002060"/>
                <w:sz w:val="16"/>
                <w:szCs w:val="16"/>
              </w:rPr>
            </w:pPr>
          </w:p>
        </w:tc>
        <w:tc>
          <w:tcPr>
            <w:tcW w:w="1277" w:type="dxa"/>
          </w:tcPr>
          <w:p w14:paraId="11BE440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646,572</w:t>
            </w:r>
          </w:p>
          <w:p w14:paraId="4B45B4F0" w14:textId="77777777" w:rsidR="004B4E35" w:rsidRPr="00405303" w:rsidRDefault="004B4E35" w:rsidP="00C15251">
            <w:pPr>
              <w:shd w:val="clear" w:color="auto" w:fill="FFFFFF"/>
              <w:jc w:val="both"/>
              <w:rPr>
                <w:bCs/>
                <w:color w:val="002060"/>
                <w:sz w:val="16"/>
                <w:szCs w:val="16"/>
              </w:rPr>
            </w:pPr>
          </w:p>
        </w:tc>
        <w:tc>
          <w:tcPr>
            <w:tcW w:w="998" w:type="dxa"/>
          </w:tcPr>
          <w:p w14:paraId="4C3B2B9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1503EF83" w14:textId="77777777" w:rsidR="004B4E35" w:rsidRPr="00405303" w:rsidRDefault="004B4E35" w:rsidP="00C15251">
            <w:pPr>
              <w:shd w:val="clear" w:color="auto" w:fill="FFFFFF"/>
              <w:jc w:val="both"/>
              <w:rPr>
                <w:bCs/>
                <w:color w:val="002060"/>
                <w:sz w:val="16"/>
                <w:szCs w:val="16"/>
              </w:rPr>
            </w:pPr>
          </w:p>
        </w:tc>
        <w:tc>
          <w:tcPr>
            <w:tcW w:w="1114" w:type="dxa"/>
          </w:tcPr>
          <w:p w14:paraId="53083C2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7DF8432F" w14:textId="77777777" w:rsidR="004B4E35" w:rsidRPr="00405303" w:rsidRDefault="004B4E35" w:rsidP="00C15251">
            <w:pPr>
              <w:shd w:val="clear" w:color="auto" w:fill="FFFFFF"/>
              <w:jc w:val="both"/>
              <w:rPr>
                <w:bCs/>
                <w:color w:val="002060"/>
                <w:sz w:val="16"/>
                <w:szCs w:val="16"/>
              </w:rPr>
            </w:pPr>
          </w:p>
        </w:tc>
      </w:tr>
      <w:tr w:rsidR="004B4E35" w:rsidRPr="00405303" w14:paraId="17858660" w14:textId="77777777">
        <w:trPr>
          <w:trHeight w:val="173"/>
        </w:trPr>
        <w:tc>
          <w:tcPr>
            <w:tcW w:w="3014" w:type="dxa"/>
          </w:tcPr>
          <w:p w14:paraId="1A8A425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Детонаторные трубки снаряженные</w:t>
            </w:r>
          </w:p>
          <w:p w14:paraId="45203257" w14:textId="77777777" w:rsidR="004B4E35" w:rsidRPr="00405303" w:rsidRDefault="004B4E35" w:rsidP="00C15251">
            <w:pPr>
              <w:shd w:val="clear" w:color="auto" w:fill="FFFFFF"/>
              <w:jc w:val="both"/>
              <w:rPr>
                <w:bCs/>
                <w:color w:val="002060"/>
                <w:sz w:val="16"/>
                <w:szCs w:val="16"/>
              </w:rPr>
            </w:pPr>
          </w:p>
        </w:tc>
        <w:tc>
          <w:tcPr>
            <w:tcW w:w="1277" w:type="dxa"/>
          </w:tcPr>
          <w:p w14:paraId="7F37FD8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3 521,260</w:t>
            </w:r>
          </w:p>
          <w:p w14:paraId="22073B81" w14:textId="77777777" w:rsidR="004B4E35" w:rsidRPr="00405303" w:rsidRDefault="004B4E35" w:rsidP="00C15251">
            <w:pPr>
              <w:shd w:val="clear" w:color="auto" w:fill="FFFFFF"/>
              <w:jc w:val="both"/>
              <w:rPr>
                <w:bCs/>
                <w:color w:val="002060"/>
                <w:sz w:val="16"/>
                <w:szCs w:val="16"/>
              </w:rPr>
            </w:pPr>
          </w:p>
        </w:tc>
        <w:tc>
          <w:tcPr>
            <w:tcW w:w="998" w:type="dxa"/>
          </w:tcPr>
          <w:p w14:paraId="0A8294B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4E8FE395" w14:textId="77777777" w:rsidR="004B4E35" w:rsidRPr="00405303" w:rsidRDefault="004B4E35" w:rsidP="00C15251">
            <w:pPr>
              <w:shd w:val="clear" w:color="auto" w:fill="FFFFFF"/>
              <w:jc w:val="both"/>
              <w:rPr>
                <w:bCs/>
                <w:color w:val="002060"/>
                <w:sz w:val="16"/>
                <w:szCs w:val="16"/>
              </w:rPr>
            </w:pPr>
          </w:p>
        </w:tc>
        <w:tc>
          <w:tcPr>
            <w:tcW w:w="1114" w:type="dxa"/>
          </w:tcPr>
          <w:p w14:paraId="011AA05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758557C8" w14:textId="77777777" w:rsidR="004B4E35" w:rsidRPr="00405303" w:rsidRDefault="004B4E35" w:rsidP="00C15251">
            <w:pPr>
              <w:shd w:val="clear" w:color="auto" w:fill="FFFFFF"/>
              <w:jc w:val="both"/>
              <w:rPr>
                <w:bCs/>
                <w:color w:val="002060"/>
                <w:sz w:val="16"/>
                <w:szCs w:val="16"/>
              </w:rPr>
            </w:pPr>
          </w:p>
        </w:tc>
      </w:tr>
      <w:tr w:rsidR="004B4E35" w:rsidRPr="00405303" w14:paraId="3C089BCB" w14:textId="77777777">
        <w:trPr>
          <w:trHeight w:val="365"/>
        </w:trPr>
        <w:tc>
          <w:tcPr>
            <w:tcW w:w="3014" w:type="dxa"/>
          </w:tcPr>
          <w:p w14:paraId="7880D37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Детонаторные трубки неснаряженные</w:t>
            </w:r>
          </w:p>
          <w:p w14:paraId="013E283F" w14:textId="77777777" w:rsidR="004B4E35" w:rsidRPr="00405303" w:rsidRDefault="004B4E35" w:rsidP="00C15251">
            <w:pPr>
              <w:shd w:val="clear" w:color="auto" w:fill="FFFFFF"/>
              <w:jc w:val="both"/>
              <w:rPr>
                <w:bCs/>
                <w:color w:val="002060"/>
                <w:sz w:val="16"/>
                <w:szCs w:val="16"/>
              </w:rPr>
            </w:pPr>
          </w:p>
        </w:tc>
        <w:tc>
          <w:tcPr>
            <w:tcW w:w="1277" w:type="dxa"/>
          </w:tcPr>
          <w:p w14:paraId="489AB77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4 906,975</w:t>
            </w:r>
          </w:p>
          <w:p w14:paraId="727CAA51" w14:textId="77777777" w:rsidR="004B4E35" w:rsidRPr="00405303" w:rsidRDefault="004B4E35" w:rsidP="00C15251">
            <w:pPr>
              <w:shd w:val="clear" w:color="auto" w:fill="FFFFFF"/>
              <w:jc w:val="both"/>
              <w:rPr>
                <w:bCs/>
                <w:color w:val="002060"/>
                <w:sz w:val="16"/>
                <w:szCs w:val="16"/>
              </w:rPr>
            </w:pPr>
          </w:p>
        </w:tc>
        <w:tc>
          <w:tcPr>
            <w:tcW w:w="998" w:type="dxa"/>
          </w:tcPr>
          <w:p w14:paraId="339ECE2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6E586BC9" w14:textId="77777777" w:rsidR="004B4E35" w:rsidRPr="00405303" w:rsidRDefault="004B4E35" w:rsidP="00C15251">
            <w:pPr>
              <w:shd w:val="clear" w:color="auto" w:fill="FFFFFF"/>
              <w:jc w:val="both"/>
              <w:rPr>
                <w:bCs/>
                <w:color w:val="002060"/>
                <w:sz w:val="16"/>
                <w:szCs w:val="16"/>
              </w:rPr>
            </w:pPr>
          </w:p>
        </w:tc>
        <w:tc>
          <w:tcPr>
            <w:tcW w:w="1114" w:type="dxa"/>
          </w:tcPr>
          <w:p w14:paraId="512BFD3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w:t>
            </w:r>
          </w:p>
          <w:p w14:paraId="1F9F4436" w14:textId="77777777" w:rsidR="004B4E35" w:rsidRPr="00405303" w:rsidRDefault="004B4E35" w:rsidP="00C15251">
            <w:pPr>
              <w:shd w:val="clear" w:color="auto" w:fill="FFFFFF"/>
              <w:jc w:val="both"/>
              <w:rPr>
                <w:bCs/>
                <w:color w:val="002060"/>
                <w:sz w:val="16"/>
                <w:szCs w:val="16"/>
              </w:rPr>
            </w:pPr>
          </w:p>
        </w:tc>
      </w:tr>
    </w:tbl>
    <w:p w14:paraId="314D7BD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Важной заслугой организации С. Н. Ванкова явилось создание производства корпусов 152-мм и 122-мм снарядов из сталистого чугуна [4, с. 310; 9]. Организация разработала и внедрила на 14 заво</w:t>
      </w:r>
      <w:r w:rsidRPr="00405303">
        <w:rPr>
          <w:bCs/>
          <w:color w:val="002060"/>
          <w:sz w:val="16"/>
          <w:szCs w:val="16"/>
        </w:rPr>
        <w:softHyphen/>
        <w:t>дах, главным образом южных, новые методы приемки снарядов из сталистого чугуна, отличные от французских.</w:t>
      </w:r>
    </w:p>
    <w:p w14:paraId="04957AD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Главным в работе организации С. Н. Ванкова, впоследствии вид</w:t>
      </w:r>
      <w:r w:rsidRPr="00405303">
        <w:rPr>
          <w:bCs/>
          <w:color w:val="002060"/>
          <w:sz w:val="16"/>
          <w:szCs w:val="16"/>
        </w:rPr>
        <w:softHyphen/>
        <w:t>ного ученого, профессора, начальника Отдела металлов ВСНХ РСФСР, было то, что при всех сложностях военного времени удалось без всякой предварительной подготовки в короткие сроки организо</w:t>
      </w:r>
      <w:r w:rsidRPr="00405303">
        <w:rPr>
          <w:bCs/>
          <w:color w:val="002060"/>
          <w:sz w:val="16"/>
          <w:szCs w:val="16"/>
        </w:rPr>
        <w:softHyphen/>
        <w:t>вать согласованную и целенаправленную работу многих сотен пред</w:t>
      </w:r>
      <w:r w:rsidRPr="00405303">
        <w:rPr>
          <w:bCs/>
          <w:color w:val="002060"/>
          <w:sz w:val="16"/>
          <w:szCs w:val="16"/>
        </w:rPr>
        <w:softHyphen/>
        <w:t>приятий. Дело было начато в феврале 1915 г. В апреле организации С. Н. Ванкова были даны первые заказы. Производство корпусов на</w:t>
      </w:r>
      <w:r w:rsidRPr="00405303">
        <w:rPr>
          <w:bCs/>
          <w:color w:val="002060"/>
          <w:sz w:val="16"/>
          <w:szCs w:val="16"/>
        </w:rPr>
        <w:softHyphen/>
        <w:t>чали через 9 месяцев — в октябре 1915г. Снаряжение началось в ян-</w:t>
      </w:r>
    </w:p>
    <w:p w14:paraId="759674B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1.10. Итоги работы русских заводов по изготовлению снарядов во время первой мировой войны [5, с. 198|</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98"/>
        <w:gridCol w:w="720"/>
        <w:gridCol w:w="960"/>
        <w:gridCol w:w="1066"/>
        <w:gridCol w:w="1018"/>
        <w:gridCol w:w="1142"/>
      </w:tblGrid>
      <w:tr w:rsidR="004B4E35" w:rsidRPr="00405303" w14:paraId="0E2750FF" w14:textId="77777777">
        <w:trPr>
          <w:trHeight w:val="355"/>
        </w:trPr>
        <w:tc>
          <w:tcPr>
            <w:tcW w:w="1498" w:type="dxa"/>
          </w:tcPr>
          <w:p w14:paraId="2808EF9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Название снарядов</w:t>
            </w:r>
          </w:p>
          <w:p w14:paraId="79DD5789" w14:textId="77777777" w:rsidR="004B4E35" w:rsidRPr="00405303" w:rsidRDefault="004B4E35" w:rsidP="00C15251">
            <w:pPr>
              <w:shd w:val="clear" w:color="auto" w:fill="FFFFFF"/>
              <w:jc w:val="both"/>
              <w:rPr>
                <w:bCs/>
                <w:color w:val="002060"/>
                <w:sz w:val="16"/>
                <w:szCs w:val="16"/>
              </w:rPr>
            </w:pPr>
          </w:p>
        </w:tc>
        <w:tc>
          <w:tcPr>
            <w:tcW w:w="720" w:type="dxa"/>
          </w:tcPr>
          <w:p w14:paraId="3B742C7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1914</w:t>
            </w:r>
          </w:p>
          <w:p w14:paraId="72DB8BDA" w14:textId="77777777" w:rsidR="004B4E35" w:rsidRPr="00405303" w:rsidRDefault="004B4E35" w:rsidP="00C15251">
            <w:pPr>
              <w:shd w:val="clear" w:color="auto" w:fill="FFFFFF"/>
              <w:jc w:val="both"/>
              <w:rPr>
                <w:bCs/>
                <w:color w:val="002060"/>
                <w:sz w:val="16"/>
                <w:szCs w:val="16"/>
              </w:rPr>
            </w:pPr>
          </w:p>
        </w:tc>
        <w:tc>
          <w:tcPr>
            <w:tcW w:w="960" w:type="dxa"/>
          </w:tcPr>
          <w:p w14:paraId="6B911F3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1915</w:t>
            </w:r>
          </w:p>
          <w:p w14:paraId="39681026" w14:textId="77777777" w:rsidR="004B4E35" w:rsidRPr="00405303" w:rsidRDefault="004B4E35" w:rsidP="00C15251">
            <w:pPr>
              <w:shd w:val="clear" w:color="auto" w:fill="FFFFFF"/>
              <w:jc w:val="both"/>
              <w:rPr>
                <w:bCs/>
                <w:color w:val="002060"/>
                <w:sz w:val="16"/>
                <w:szCs w:val="16"/>
              </w:rPr>
            </w:pPr>
          </w:p>
        </w:tc>
        <w:tc>
          <w:tcPr>
            <w:tcW w:w="1066" w:type="dxa"/>
          </w:tcPr>
          <w:p w14:paraId="6840431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1916</w:t>
            </w:r>
          </w:p>
          <w:p w14:paraId="0459C509" w14:textId="77777777" w:rsidR="004B4E35" w:rsidRPr="00405303" w:rsidRDefault="004B4E35" w:rsidP="00C15251">
            <w:pPr>
              <w:shd w:val="clear" w:color="auto" w:fill="FFFFFF"/>
              <w:jc w:val="both"/>
              <w:rPr>
                <w:bCs/>
                <w:color w:val="002060"/>
                <w:sz w:val="16"/>
                <w:szCs w:val="16"/>
              </w:rPr>
            </w:pPr>
          </w:p>
        </w:tc>
        <w:tc>
          <w:tcPr>
            <w:tcW w:w="1018" w:type="dxa"/>
          </w:tcPr>
          <w:p w14:paraId="02E8A64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1917</w:t>
            </w:r>
          </w:p>
          <w:p w14:paraId="32402B51" w14:textId="77777777" w:rsidR="004B4E35" w:rsidRPr="00405303" w:rsidRDefault="004B4E35" w:rsidP="00C15251">
            <w:pPr>
              <w:shd w:val="clear" w:color="auto" w:fill="FFFFFF"/>
              <w:jc w:val="both"/>
              <w:rPr>
                <w:bCs/>
                <w:color w:val="002060"/>
                <w:sz w:val="16"/>
                <w:szCs w:val="16"/>
              </w:rPr>
            </w:pPr>
          </w:p>
        </w:tc>
        <w:tc>
          <w:tcPr>
            <w:tcW w:w="1142" w:type="dxa"/>
          </w:tcPr>
          <w:p w14:paraId="62CA926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Всего</w:t>
            </w:r>
          </w:p>
          <w:p w14:paraId="105E5674" w14:textId="77777777" w:rsidR="004B4E35" w:rsidRPr="00405303" w:rsidRDefault="004B4E35" w:rsidP="00C15251">
            <w:pPr>
              <w:shd w:val="clear" w:color="auto" w:fill="FFFFFF"/>
              <w:jc w:val="both"/>
              <w:rPr>
                <w:bCs/>
                <w:color w:val="002060"/>
                <w:sz w:val="16"/>
                <w:szCs w:val="16"/>
              </w:rPr>
            </w:pPr>
          </w:p>
        </w:tc>
      </w:tr>
      <w:tr w:rsidR="004B4E35" w:rsidRPr="00405303" w14:paraId="19F21A09" w14:textId="77777777">
        <w:trPr>
          <w:trHeight w:val="605"/>
        </w:trPr>
        <w:tc>
          <w:tcPr>
            <w:tcW w:w="1498" w:type="dxa"/>
          </w:tcPr>
          <w:p w14:paraId="155B0A9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76-мм шрапнели 76-мм </w:t>
            </w:r>
            <w:proofErr w:type="gramStart"/>
            <w:r w:rsidRPr="00405303">
              <w:rPr>
                <w:bCs/>
                <w:color w:val="002060"/>
                <w:sz w:val="16"/>
                <w:szCs w:val="16"/>
              </w:rPr>
              <w:t>гранаты</w:t>
            </w:r>
            <w:proofErr w:type="gramEnd"/>
            <w:r w:rsidRPr="00405303">
              <w:rPr>
                <w:bCs/>
                <w:color w:val="002060"/>
                <w:sz w:val="16"/>
                <w:szCs w:val="16"/>
              </w:rPr>
              <w:t xml:space="preserve"> Всего 76-мм</w:t>
            </w:r>
          </w:p>
          <w:p w14:paraId="60B25FC1" w14:textId="77777777" w:rsidR="004B4E35" w:rsidRPr="00405303" w:rsidRDefault="004B4E35" w:rsidP="00C15251">
            <w:pPr>
              <w:shd w:val="clear" w:color="auto" w:fill="FFFFFF"/>
              <w:jc w:val="both"/>
              <w:rPr>
                <w:bCs/>
                <w:color w:val="002060"/>
                <w:sz w:val="16"/>
                <w:szCs w:val="16"/>
              </w:rPr>
            </w:pPr>
          </w:p>
        </w:tc>
        <w:tc>
          <w:tcPr>
            <w:tcW w:w="720" w:type="dxa"/>
          </w:tcPr>
          <w:p w14:paraId="3610569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78 800 78800</w:t>
            </w:r>
          </w:p>
          <w:p w14:paraId="2BD6B2C7" w14:textId="77777777" w:rsidR="004B4E35" w:rsidRPr="00405303" w:rsidRDefault="004B4E35" w:rsidP="00C15251">
            <w:pPr>
              <w:shd w:val="clear" w:color="auto" w:fill="FFFFFF"/>
              <w:jc w:val="both"/>
              <w:rPr>
                <w:bCs/>
                <w:color w:val="002060"/>
                <w:sz w:val="16"/>
                <w:szCs w:val="16"/>
              </w:rPr>
            </w:pPr>
          </w:p>
        </w:tc>
        <w:tc>
          <w:tcPr>
            <w:tcW w:w="960" w:type="dxa"/>
          </w:tcPr>
          <w:p w14:paraId="6695408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6 807 300 2018500 8 825 800</w:t>
            </w:r>
          </w:p>
          <w:p w14:paraId="06DA4D46" w14:textId="77777777" w:rsidR="004B4E35" w:rsidRPr="00405303" w:rsidRDefault="004B4E35" w:rsidP="00C15251">
            <w:pPr>
              <w:shd w:val="clear" w:color="auto" w:fill="FFFFFF"/>
              <w:jc w:val="both"/>
              <w:rPr>
                <w:bCs/>
                <w:color w:val="002060"/>
                <w:sz w:val="16"/>
                <w:szCs w:val="16"/>
              </w:rPr>
            </w:pPr>
          </w:p>
        </w:tc>
        <w:tc>
          <w:tcPr>
            <w:tcW w:w="1066" w:type="dxa"/>
          </w:tcPr>
          <w:p w14:paraId="7FD3270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1 1 377 200 15521 800 26 899 000</w:t>
            </w:r>
          </w:p>
          <w:p w14:paraId="628E3FDE" w14:textId="77777777" w:rsidR="004B4E35" w:rsidRPr="00405303" w:rsidRDefault="004B4E35" w:rsidP="00C15251">
            <w:pPr>
              <w:shd w:val="clear" w:color="auto" w:fill="FFFFFF"/>
              <w:jc w:val="both"/>
              <w:rPr>
                <w:bCs/>
                <w:color w:val="002060"/>
                <w:sz w:val="16"/>
                <w:szCs w:val="16"/>
              </w:rPr>
            </w:pPr>
          </w:p>
        </w:tc>
        <w:tc>
          <w:tcPr>
            <w:tcW w:w="1018" w:type="dxa"/>
          </w:tcPr>
          <w:p w14:paraId="0635043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7 217 500 10 504 300 17 721 800</w:t>
            </w:r>
          </w:p>
          <w:p w14:paraId="3AEE656D" w14:textId="77777777" w:rsidR="004B4E35" w:rsidRPr="00405303" w:rsidRDefault="004B4E35" w:rsidP="00C15251">
            <w:pPr>
              <w:shd w:val="clear" w:color="auto" w:fill="FFFFFF"/>
              <w:jc w:val="both"/>
              <w:rPr>
                <w:bCs/>
                <w:color w:val="002060"/>
                <w:sz w:val="16"/>
                <w:szCs w:val="16"/>
              </w:rPr>
            </w:pPr>
          </w:p>
        </w:tc>
        <w:tc>
          <w:tcPr>
            <w:tcW w:w="1142" w:type="dxa"/>
          </w:tcPr>
          <w:p w14:paraId="66B5E51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25 480 800 28 044 600 53 525 400</w:t>
            </w:r>
          </w:p>
          <w:p w14:paraId="6B223257" w14:textId="77777777" w:rsidR="004B4E35" w:rsidRPr="00405303" w:rsidRDefault="004B4E35" w:rsidP="00C15251">
            <w:pPr>
              <w:shd w:val="clear" w:color="auto" w:fill="FFFFFF"/>
              <w:jc w:val="both"/>
              <w:rPr>
                <w:bCs/>
                <w:color w:val="002060"/>
                <w:sz w:val="16"/>
                <w:szCs w:val="16"/>
              </w:rPr>
            </w:pPr>
          </w:p>
        </w:tc>
      </w:tr>
      <w:tr w:rsidR="004B4E35" w:rsidRPr="00405303" w14:paraId="1C2B6E05" w14:textId="77777777">
        <w:trPr>
          <w:trHeight w:val="355"/>
        </w:trPr>
        <w:tc>
          <w:tcPr>
            <w:tcW w:w="1498" w:type="dxa"/>
          </w:tcPr>
          <w:p w14:paraId="77DD8A6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снарядов 122-мм гранаты и</w:t>
            </w:r>
          </w:p>
          <w:p w14:paraId="0914A2E3" w14:textId="77777777" w:rsidR="004B4E35" w:rsidRPr="00405303" w:rsidRDefault="004B4E35" w:rsidP="00C15251">
            <w:pPr>
              <w:shd w:val="clear" w:color="auto" w:fill="FFFFFF"/>
              <w:jc w:val="both"/>
              <w:rPr>
                <w:bCs/>
                <w:color w:val="002060"/>
                <w:sz w:val="16"/>
                <w:szCs w:val="16"/>
              </w:rPr>
            </w:pPr>
          </w:p>
        </w:tc>
        <w:tc>
          <w:tcPr>
            <w:tcW w:w="720" w:type="dxa"/>
          </w:tcPr>
          <w:p w14:paraId="77B99AE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24000</w:t>
            </w:r>
          </w:p>
          <w:p w14:paraId="26798CB5" w14:textId="77777777" w:rsidR="004B4E35" w:rsidRPr="00405303" w:rsidRDefault="004B4E35" w:rsidP="00C15251">
            <w:pPr>
              <w:shd w:val="clear" w:color="auto" w:fill="FFFFFF"/>
              <w:jc w:val="both"/>
              <w:rPr>
                <w:bCs/>
                <w:color w:val="002060"/>
                <w:sz w:val="16"/>
                <w:szCs w:val="16"/>
              </w:rPr>
            </w:pPr>
          </w:p>
        </w:tc>
        <w:tc>
          <w:tcPr>
            <w:tcW w:w="960" w:type="dxa"/>
          </w:tcPr>
          <w:p w14:paraId="2017B32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358 938</w:t>
            </w:r>
          </w:p>
          <w:p w14:paraId="483FB561" w14:textId="77777777" w:rsidR="004B4E35" w:rsidRPr="00405303" w:rsidRDefault="004B4E35" w:rsidP="00C15251">
            <w:pPr>
              <w:shd w:val="clear" w:color="auto" w:fill="FFFFFF"/>
              <w:jc w:val="both"/>
              <w:rPr>
                <w:bCs/>
                <w:color w:val="002060"/>
                <w:sz w:val="16"/>
                <w:szCs w:val="16"/>
              </w:rPr>
            </w:pPr>
          </w:p>
        </w:tc>
        <w:tc>
          <w:tcPr>
            <w:tcW w:w="1066" w:type="dxa"/>
          </w:tcPr>
          <w:p w14:paraId="4F1E338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2212512</w:t>
            </w:r>
          </w:p>
          <w:p w14:paraId="54AB0A4C" w14:textId="77777777" w:rsidR="004B4E35" w:rsidRPr="00405303" w:rsidRDefault="004B4E35" w:rsidP="00C15251">
            <w:pPr>
              <w:shd w:val="clear" w:color="auto" w:fill="FFFFFF"/>
              <w:jc w:val="both"/>
              <w:rPr>
                <w:bCs/>
                <w:color w:val="002060"/>
                <w:sz w:val="16"/>
                <w:szCs w:val="16"/>
              </w:rPr>
            </w:pPr>
          </w:p>
        </w:tc>
        <w:tc>
          <w:tcPr>
            <w:tcW w:w="1018" w:type="dxa"/>
          </w:tcPr>
          <w:p w14:paraId="40B6DA0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3 238 404</w:t>
            </w:r>
          </w:p>
          <w:p w14:paraId="41D819C3" w14:textId="77777777" w:rsidR="004B4E35" w:rsidRPr="00405303" w:rsidRDefault="004B4E35" w:rsidP="00C15251">
            <w:pPr>
              <w:shd w:val="clear" w:color="auto" w:fill="FFFFFF"/>
              <w:jc w:val="both"/>
              <w:rPr>
                <w:bCs/>
                <w:color w:val="002060"/>
                <w:sz w:val="16"/>
                <w:szCs w:val="16"/>
              </w:rPr>
            </w:pPr>
          </w:p>
        </w:tc>
        <w:tc>
          <w:tcPr>
            <w:tcW w:w="1142" w:type="dxa"/>
          </w:tcPr>
          <w:p w14:paraId="1A611D0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5 833 854</w:t>
            </w:r>
          </w:p>
          <w:p w14:paraId="1AA3E240" w14:textId="77777777" w:rsidR="004B4E35" w:rsidRPr="00405303" w:rsidRDefault="004B4E35" w:rsidP="00C15251">
            <w:pPr>
              <w:shd w:val="clear" w:color="auto" w:fill="FFFFFF"/>
              <w:jc w:val="both"/>
              <w:rPr>
                <w:bCs/>
                <w:color w:val="002060"/>
                <w:sz w:val="16"/>
                <w:szCs w:val="16"/>
              </w:rPr>
            </w:pPr>
          </w:p>
        </w:tc>
      </w:tr>
      <w:tr w:rsidR="004B4E35" w:rsidRPr="00405303" w14:paraId="32509AE3" w14:textId="77777777">
        <w:trPr>
          <w:trHeight w:val="346"/>
        </w:trPr>
        <w:tc>
          <w:tcPr>
            <w:tcW w:w="1498" w:type="dxa"/>
          </w:tcPr>
          <w:p w14:paraId="4928753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шрапнели 107-мм гранаты и</w:t>
            </w:r>
          </w:p>
          <w:p w14:paraId="30253F5B" w14:textId="77777777" w:rsidR="004B4E35" w:rsidRPr="00405303" w:rsidRDefault="004B4E35" w:rsidP="00C15251">
            <w:pPr>
              <w:shd w:val="clear" w:color="auto" w:fill="FFFFFF"/>
              <w:jc w:val="both"/>
              <w:rPr>
                <w:bCs/>
                <w:color w:val="002060"/>
                <w:sz w:val="16"/>
                <w:szCs w:val="16"/>
              </w:rPr>
            </w:pPr>
          </w:p>
        </w:tc>
        <w:tc>
          <w:tcPr>
            <w:tcW w:w="720" w:type="dxa"/>
          </w:tcPr>
          <w:p w14:paraId="1FFC5C6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_</w:t>
            </w:r>
          </w:p>
          <w:p w14:paraId="2F70B24E" w14:textId="77777777" w:rsidR="004B4E35" w:rsidRPr="00405303" w:rsidRDefault="004B4E35" w:rsidP="00C15251">
            <w:pPr>
              <w:shd w:val="clear" w:color="auto" w:fill="FFFFFF"/>
              <w:jc w:val="both"/>
              <w:rPr>
                <w:bCs/>
                <w:color w:val="002060"/>
                <w:sz w:val="16"/>
                <w:szCs w:val="16"/>
              </w:rPr>
            </w:pPr>
          </w:p>
        </w:tc>
        <w:tc>
          <w:tcPr>
            <w:tcW w:w="960" w:type="dxa"/>
          </w:tcPr>
          <w:p w14:paraId="1175359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243 589</w:t>
            </w:r>
          </w:p>
          <w:p w14:paraId="58961190" w14:textId="77777777" w:rsidR="004B4E35" w:rsidRPr="00405303" w:rsidRDefault="004B4E35" w:rsidP="00C15251">
            <w:pPr>
              <w:shd w:val="clear" w:color="auto" w:fill="FFFFFF"/>
              <w:jc w:val="both"/>
              <w:rPr>
                <w:bCs/>
                <w:color w:val="002060"/>
                <w:sz w:val="16"/>
                <w:szCs w:val="16"/>
              </w:rPr>
            </w:pPr>
          </w:p>
        </w:tc>
        <w:tc>
          <w:tcPr>
            <w:tcW w:w="1066" w:type="dxa"/>
          </w:tcPr>
          <w:p w14:paraId="102C992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720812</w:t>
            </w:r>
          </w:p>
          <w:p w14:paraId="19FB5C56" w14:textId="77777777" w:rsidR="004B4E35" w:rsidRPr="00405303" w:rsidRDefault="004B4E35" w:rsidP="00C15251">
            <w:pPr>
              <w:shd w:val="clear" w:color="auto" w:fill="FFFFFF"/>
              <w:jc w:val="both"/>
              <w:rPr>
                <w:bCs/>
                <w:color w:val="002060"/>
                <w:sz w:val="16"/>
                <w:szCs w:val="16"/>
              </w:rPr>
            </w:pPr>
          </w:p>
        </w:tc>
        <w:tc>
          <w:tcPr>
            <w:tcW w:w="1018" w:type="dxa"/>
          </w:tcPr>
          <w:p w14:paraId="5B11FE7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759 487</w:t>
            </w:r>
          </w:p>
          <w:p w14:paraId="5C5B45E3" w14:textId="77777777" w:rsidR="004B4E35" w:rsidRPr="00405303" w:rsidRDefault="004B4E35" w:rsidP="00C15251">
            <w:pPr>
              <w:shd w:val="clear" w:color="auto" w:fill="FFFFFF"/>
              <w:jc w:val="both"/>
              <w:rPr>
                <w:bCs/>
                <w:color w:val="002060"/>
                <w:sz w:val="16"/>
                <w:szCs w:val="16"/>
              </w:rPr>
            </w:pPr>
          </w:p>
        </w:tc>
        <w:tc>
          <w:tcPr>
            <w:tcW w:w="1142" w:type="dxa"/>
          </w:tcPr>
          <w:p w14:paraId="3494F39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1 723 888</w:t>
            </w:r>
          </w:p>
          <w:p w14:paraId="51512DA3" w14:textId="77777777" w:rsidR="004B4E35" w:rsidRPr="00405303" w:rsidRDefault="004B4E35" w:rsidP="00C15251">
            <w:pPr>
              <w:shd w:val="clear" w:color="auto" w:fill="FFFFFF"/>
              <w:jc w:val="both"/>
              <w:rPr>
                <w:bCs/>
                <w:color w:val="002060"/>
                <w:sz w:val="16"/>
                <w:szCs w:val="16"/>
              </w:rPr>
            </w:pPr>
          </w:p>
        </w:tc>
      </w:tr>
      <w:tr w:rsidR="004B4E35" w:rsidRPr="00405303" w14:paraId="3F3CC5A2" w14:textId="77777777">
        <w:trPr>
          <w:trHeight w:val="1190"/>
        </w:trPr>
        <w:tc>
          <w:tcPr>
            <w:tcW w:w="1498" w:type="dxa"/>
          </w:tcPr>
          <w:p w14:paraId="5952B3A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шрапнели 152-мм гранаты 203-мм фанаты 254-мм гранаты 280-мм гранаты 305-мм гранаты</w:t>
            </w:r>
          </w:p>
          <w:p w14:paraId="54C40369" w14:textId="77777777" w:rsidR="004B4E35" w:rsidRPr="00405303" w:rsidRDefault="004B4E35" w:rsidP="00C15251">
            <w:pPr>
              <w:shd w:val="clear" w:color="auto" w:fill="FFFFFF"/>
              <w:jc w:val="both"/>
              <w:rPr>
                <w:bCs/>
                <w:color w:val="002060"/>
                <w:sz w:val="16"/>
                <w:szCs w:val="16"/>
              </w:rPr>
            </w:pPr>
          </w:p>
        </w:tc>
        <w:tc>
          <w:tcPr>
            <w:tcW w:w="720" w:type="dxa"/>
          </w:tcPr>
          <w:p w14:paraId="7EC3ADE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2100</w:t>
            </w:r>
          </w:p>
          <w:p w14:paraId="33F28FAB" w14:textId="77777777" w:rsidR="004B4E35" w:rsidRPr="00405303" w:rsidRDefault="004B4E35" w:rsidP="00C15251">
            <w:pPr>
              <w:shd w:val="clear" w:color="auto" w:fill="FFFFFF"/>
              <w:jc w:val="both"/>
              <w:rPr>
                <w:bCs/>
                <w:color w:val="002060"/>
                <w:sz w:val="16"/>
                <w:szCs w:val="16"/>
              </w:rPr>
            </w:pPr>
          </w:p>
        </w:tc>
        <w:tc>
          <w:tcPr>
            <w:tcW w:w="960" w:type="dxa"/>
          </w:tcPr>
          <w:p w14:paraId="7B7E619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131 724</w:t>
            </w:r>
          </w:p>
          <w:p w14:paraId="3A71FEB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0 237 1 600</w:t>
            </w:r>
          </w:p>
          <w:p w14:paraId="4244D8CB" w14:textId="77777777" w:rsidR="004B4E35" w:rsidRPr="00405303" w:rsidRDefault="004B4E35" w:rsidP="00C15251">
            <w:pPr>
              <w:shd w:val="clear" w:color="auto" w:fill="FFFFFF"/>
              <w:jc w:val="both"/>
              <w:rPr>
                <w:bCs/>
                <w:color w:val="002060"/>
                <w:sz w:val="16"/>
                <w:szCs w:val="16"/>
              </w:rPr>
            </w:pPr>
          </w:p>
        </w:tc>
        <w:tc>
          <w:tcPr>
            <w:tcW w:w="1066" w:type="dxa"/>
          </w:tcPr>
          <w:p w14:paraId="663DAD5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1 130433</w:t>
            </w:r>
          </w:p>
          <w:p w14:paraId="672F313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8590 3 331</w:t>
            </w:r>
          </w:p>
          <w:p w14:paraId="18806360" w14:textId="77777777" w:rsidR="004B4E35" w:rsidRPr="00405303" w:rsidRDefault="004B4E35" w:rsidP="00C15251">
            <w:pPr>
              <w:shd w:val="clear" w:color="auto" w:fill="FFFFFF"/>
              <w:jc w:val="both"/>
              <w:rPr>
                <w:bCs/>
                <w:color w:val="002060"/>
                <w:sz w:val="16"/>
                <w:szCs w:val="16"/>
              </w:rPr>
            </w:pPr>
          </w:p>
        </w:tc>
        <w:tc>
          <w:tcPr>
            <w:tcW w:w="1018" w:type="dxa"/>
          </w:tcPr>
          <w:p w14:paraId="1071238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2676 164 3535 270 6520</w:t>
            </w:r>
          </w:p>
          <w:p w14:paraId="5F6CE11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7372</w:t>
            </w:r>
          </w:p>
          <w:p w14:paraId="6F03EA2C" w14:textId="77777777" w:rsidR="004B4E35" w:rsidRPr="00405303" w:rsidRDefault="004B4E35" w:rsidP="00C15251">
            <w:pPr>
              <w:shd w:val="clear" w:color="auto" w:fill="FFFFFF"/>
              <w:jc w:val="both"/>
              <w:rPr>
                <w:bCs/>
                <w:color w:val="002060"/>
                <w:sz w:val="16"/>
                <w:szCs w:val="16"/>
              </w:rPr>
            </w:pPr>
          </w:p>
        </w:tc>
        <w:tc>
          <w:tcPr>
            <w:tcW w:w="1142" w:type="dxa"/>
          </w:tcPr>
          <w:p w14:paraId="043B8A6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3 938 321 3535 270 23447 12 303</w:t>
            </w:r>
          </w:p>
          <w:p w14:paraId="7B387065" w14:textId="77777777" w:rsidR="004B4E35" w:rsidRPr="00405303" w:rsidRDefault="004B4E35" w:rsidP="00C15251">
            <w:pPr>
              <w:shd w:val="clear" w:color="auto" w:fill="FFFFFF"/>
              <w:jc w:val="both"/>
              <w:rPr>
                <w:bCs/>
                <w:color w:val="002060"/>
                <w:sz w:val="16"/>
                <w:szCs w:val="16"/>
              </w:rPr>
            </w:pPr>
          </w:p>
        </w:tc>
      </w:tr>
      <w:tr w:rsidR="004B4E35" w:rsidRPr="00405303" w14:paraId="715F7C71" w14:textId="77777777">
        <w:trPr>
          <w:trHeight w:val="442"/>
        </w:trPr>
        <w:tc>
          <w:tcPr>
            <w:tcW w:w="1498" w:type="dxa"/>
          </w:tcPr>
          <w:p w14:paraId="1976A3E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Всего</w:t>
            </w:r>
          </w:p>
          <w:p w14:paraId="777ABCC4" w14:textId="77777777" w:rsidR="004B4E35" w:rsidRPr="00405303" w:rsidRDefault="004B4E35" w:rsidP="00C15251">
            <w:pPr>
              <w:shd w:val="clear" w:color="auto" w:fill="FFFFFF"/>
              <w:jc w:val="both"/>
              <w:rPr>
                <w:bCs/>
                <w:color w:val="002060"/>
                <w:sz w:val="16"/>
                <w:szCs w:val="16"/>
              </w:rPr>
            </w:pPr>
          </w:p>
        </w:tc>
        <w:tc>
          <w:tcPr>
            <w:tcW w:w="720" w:type="dxa"/>
          </w:tcPr>
          <w:p w14:paraId="3AA8A1F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104 900</w:t>
            </w:r>
          </w:p>
          <w:p w14:paraId="725A56D2" w14:textId="77777777" w:rsidR="004B4E35" w:rsidRPr="00405303" w:rsidRDefault="004B4E35" w:rsidP="00C15251">
            <w:pPr>
              <w:shd w:val="clear" w:color="auto" w:fill="FFFFFF"/>
              <w:jc w:val="both"/>
              <w:rPr>
                <w:bCs/>
                <w:color w:val="002060"/>
                <w:sz w:val="16"/>
                <w:szCs w:val="16"/>
              </w:rPr>
            </w:pPr>
          </w:p>
        </w:tc>
        <w:tc>
          <w:tcPr>
            <w:tcW w:w="960" w:type="dxa"/>
          </w:tcPr>
          <w:p w14:paraId="0EC1AB2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9 567 888</w:t>
            </w:r>
          </w:p>
          <w:p w14:paraId="36D0C4F9" w14:textId="77777777" w:rsidR="004B4E35" w:rsidRPr="00405303" w:rsidRDefault="004B4E35" w:rsidP="00C15251">
            <w:pPr>
              <w:shd w:val="clear" w:color="auto" w:fill="FFFFFF"/>
              <w:jc w:val="both"/>
              <w:rPr>
                <w:bCs/>
                <w:color w:val="002060"/>
                <w:sz w:val="16"/>
                <w:szCs w:val="16"/>
              </w:rPr>
            </w:pPr>
          </w:p>
        </w:tc>
        <w:tc>
          <w:tcPr>
            <w:tcW w:w="1066" w:type="dxa"/>
          </w:tcPr>
          <w:p w14:paraId="0221665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30 974 678</w:t>
            </w:r>
          </w:p>
          <w:p w14:paraId="565EED71" w14:textId="77777777" w:rsidR="004B4E35" w:rsidRPr="00405303" w:rsidRDefault="004B4E35" w:rsidP="00C15251">
            <w:pPr>
              <w:shd w:val="clear" w:color="auto" w:fill="FFFFFF"/>
              <w:jc w:val="both"/>
              <w:rPr>
                <w:bCs/>
                <w:color w:val="002060"/>
                <w:sz w:val="16"/>
                <w:szCs w:val="16"/>
              </w:rPr>
            </w:pPr>
          </w:p>
        </w:tc>
        <w:tc>
          <w:tcPr>
            <w:tcW w:w="1018" w:type="dxa"/>
          </w:tcPr>
          <w:p w14:paraId="12C7F4D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24 413 552</w:t>
            </w:r>
          </w:p>
          <w:p w14:paraId="1C090FC9" w14:textId="77777777" w:rsidR="004B4E35" w:rsidRPr="00405303" w:rsidRDefault="004B4E35" w:rsidP="00C15251">
            <w:pPr>
              <w:shd w:val="clear" w:color="auto" w:fill="FFFFFF"/>
              <w:jc w:val="both"/>
              <w:rPr>
                <w:bCs/>
                <w:color w:val="002060"/>
                <w:sz w:val="16"/>
                <w:szCs w:val="16"/>
              </w:rPr>
            </w:pPr>
          </w:p>
        </w:tc>
        <w:tc>
          <w:tcPr>
            <w:tcW w:w="1142" w:type="dxa"/>
          </w:tcPr>
          <w:p w14:paraId="22AF5B8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65061 018</w:t>
            </w:r>
          </w:p>
          <w:p w14:paraId="3C5704CA" w14:textId="77777777" w:rsidR="004B4E35" w:rsidRPr="00405303" w:rsidRDefault="004B4E35" w:rsidP="00C15251">
            <w:pPr>
              <w:shd w:val="clear" w:color="auto" w:fill="FFFFFF"/>
              <w:jc w:val="both"/>
              <w:rPr>
                <w:bCs/>
                <w:color w:val="002060"/>
                <w:sz w:val="16"/>
                <w:szCs w:val="16"/>
              </w:rPr>
            </w:pPr>
          </w:p>
        </w:tc>
      </w:tr>
    </w:tbl>
    <w:p w14:paraId="7735EAB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варе 1916 г., т. е. через 11 месяцев. Максимальной интенсивности производство достигло в декабре 1916 г.</w:t>
      </w:r>
    </w:p>
    <w:p w14:paraId="6A797B0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Организация генерала С. Н. Ванкова сыграла огромную роль в снабжении русской армии боеприпасами в первую мировую войну [5, с. 130, 198].</w:t>
      </w:r>
    </w:p>
    <w:p w14:paraId="517125E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Всего казенные и частные заводы изготовили для нужд армии 65061018 снарядов, из них 76-мм — 53 525 400 (табл. 1.10) [5, с. 198] (5484).</w:t>
      </w:r>
    </w:p>
    <w:p w14:paraId="7CC762B5" w14:textId="77777777" w:rsidR="004B4E35" w:rsidRPr="00405303" w:rsidRDefault="004B4E35" w:rsidP="00C15251">
      <w:pPr>
        <w:jc w:val="both"/>
        <w:rPr>
          <w:bCs/>
          <w:i/>
          <w:color w:val="002060"/>
          <w:sz w:val="16"/>
          <w:szCs w:val="16"/>
        </w:rPr>
      </w:pPr>
    </w:p>
    <w:p w14:paraId="5788BC82" w14:textId="772E5937" w:rsidR="004B4E35" w:rsidRPr="00405303" w:rsidRDefault="00077A70"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сентябре 1915 г. </w:t>
      </w:r>
      <w:r w:rsidRPr="00405303">
        <w:rPr>
          <w:bCs/>
          <w:color w:val="002060"/>
          <w:sz w:val="16"/>
          <w:szCs w:val="16"/>
        </w:rPr>
        <w:t xml:space="preserve">активно обсуждаемая в Центральном военно-промышленном комитете (ЦВПК) проблема автопроизводства вылилась в Доклад М. Пиолунковского, заведующего авиационно-автомобильным отделом ЦВПК «О необходимости срочного принятия правительственных мер к созданию русских автомобильных заводов», представленный в Особое совещание по обороне государства </w:t>
      </w:r>
      <w:r w:rsidR="009E6F82" w:rsidRPr="00405303">
        <w:rPr>
          <w:bCs/>
          <w:color w:val="002060"/>
          <w:sz w:val="16"/>
          <w:szCs w:val="16"/>
        </w:rPr>
        <w:t xml:space="preserve">[Архив ВИМАИВС и ВС. Ф. 13. Оп. 87/1. Д. 83. 35-39об.] Выдвинутые в нем предложения были многократно обсуждены на заседаниях подготовительной комиссии по общим вопросам и Особого совещания по обороне. Одновременно производилась оценка поступающих от фирм предложений специалистами ГВТУ. Как указывалось в журнале Особого совещания по обороне, создание собственной автомобильной промышленности является «целесообразным, ибо, не говоря уже о финансово-экономической стороне вопроса [К этому времени расходы на заказы автомобилей за границей составили 300 млн. руб. См.: РГВИА. Ф. 369. Оп. 16. Д. 135. Л. 51об.], этим путем создается отрасль промышленности, которая после войны, без сомнения, получит весьма важное значение». Для решения этой задачи, по мнению совещания, надо было построить казенный завод, а также воспользоваться предложениями частных фирм [РГВИА. Ф. 369. Оп. 1. Д. 54. Л. 53.]. Итак, вопрос о развитии автомобилестроения в России сразу приобрел характер определенной программы заводского строительства. При этом надо иметь в виду, что в инициативном документе ЦВПК, поскольку он исходил из предпринимательских кругов, речь шла о сооружении только частных заводов при финансовой поддержке со стороны государства. Предложение о казенном заводе возникло в ходе обсуждения вопроса в Совещании. </w:t>
      </w:r>
    </w:p>
    <w:p w14:paraId="33B4BDD7" w14:textId="77777777" w:rsidR="004B4E35" w:rsidRPr="00405303" w:rsidRDefault="009E6F82" w:rsidP="00C15251">
      <w:pPr>
        <w:jc w:val="both"/>
        <w:rPr>
          <w:bCs/>
          <w:color w:val="002060"/>
          <w:sz w:val="16"/>
          <w:szCs w:val="16"/>
        </w:rPr>
      </w:pPr>
      <w:r w:rsidRPr="00405303">
        <w:rPr>
          <w:bCs/>
          <w:color w:val="002060"/>
          <w:sz w:val="16"/>
          <w:szCs w:val="16"/>
        </w:rPr>
        <w:t xml:space="preserve">Рассмотрение на отдельных заседаниях подготовительной комиссии основных договорных условий постройки заводов осуществлялось в направлении решения главной задачи – освобождения российской промышленности от иностранной зависимости в сфере автомобилестроения. Именно поэтому членов комиссии не смущало, что большая часть поставок автомобилей будет производиться после войны, что первоначальные предложения фирм содержали цены на автомобили выше иностранных. Руководствуясь основной идеей независимости, комиссия высказывалась за предоставление заказов только отечественным заводам. Первыми претендентами были названы акционерное общество воздухоплавания «В.А. Лебедев», Русско-Балтийский вагонный завод, акционерное общество сельскохозяйственного машиностроения «Аксай», московское акционерное общество экипажно-автомобильной фабрики «П.Ильина», торговый дом «Кузнецов, Рябушинские и К?», «Автомобильный московский завод». Вырабатывая основные положения контрактов и добиваясь наиболее благоприятных условий </w:t>
      </w:r>
      <w:proofErr w:type="gramStart"/>
      <w:r w:rsidRPr="00405303">
        <w:rPr>
          <w:bCs/>
          <w:color w:val="002060"/>
          <w:sz w:val="16"/>
          <w:szCs w:val="16"/>
        </w:rPr>
        <w:t>для предпринимателе</w:t>
      </w:r>
      <w:proofErr w:type="gramEnd"/>
      <w:r w:rsidRPr="00405303">
        <w:rPr>
          <w:bCs/>
          <w:color w:val="002060"/>
          <w:sz w:val="16"/>
          <w:szCs w:val="16"/>
        </w:rPr>
        <w:t xml:space="preserve"> [Это касалось цен на автомобили, размеров и сроков получения авансов и ссуд, обязательства правительства принять от заводов все заказанное количество автомобилей, независимо от сроков окончания войны и пр.], представители отечественных промышленных и финансовых кругов сделали все возможное для задержки решения вопроса о казенном заводе. </w:t>
      </w:r>
    </w:p>
    <w:p w14:paraId="37E3A930" w14:textId="77777777" w:rsidR="004B4E35" w:rsidRPr="00405303" w:rsidRDefault="009E6F82" w:rsidP="00C15251">
      <w:pPr>
        <w:jc w:val="both"/>
        <w:rPr>
          <w:bCs/>
          <w:color w:val="002060"/>
          <w:sz w:val="16"/>
          <w:szCs w:val="16"/>
        </w:rPr>
      </w:pPr>
      <w:r w:rsidRPr="00405303">
        <w:rPr>
          <w:bCs/>
          <w:color w:val="002060"/>
          <w:sz w:val="16"/>
          <w:szCs w:val="16"/>
        </w:rPr>
        <w:t>Процедура выбора фирм и составления контрактов заняла очень много времени. Окончательное решение на основании резолюции Председателя Особого совещания по обороне государства от 9 декабря 1915г. о строительстве автомобильных заводов было вынесено Советом министров только в феврале 1916 г. 26 февраля ГВТУ по поручению Особого совещания заключило контракты с акционерными обществами Русско-Балтийского вагонного завода, «Аксай», «Русский Рено», «В.А.Лебедев» и товариществом на паях московского автомобильного завода «АМО» [Цена и условия договора не устроили о-во «П. Ильин» и вместо него было принято предложение фирмы «Русский Рено». 31 марта 1916 г. был утвержден Устав акционерного о-ва механических передвижений и производств «В.А. Лебедев». Торговый дом Кузнецова и Рябушинских был преобразован в Т-во на паях «АМО» в начале 1916 г.]. В договорах специально оговаривалось, что для выполнения принятого на себя заказа поставщик должен построить завод, оборудовать его и пустить в ход не позднее 7 октября 1916 г. [РГВИА. Ф. 815. Оп. 1. Д. 24. Л. 3. Завер. копия договора ГВТУ с «АМО».] В контракте указывалось, что запасные части к автомашинам, большая часть оборудования должны производиться и приобретаться в России. В то же время допускалась закупка за границей частей и материалов на сумму не свыше 30 % контрактной стоимости, что представляется весьма значительной суммой. Эти статьи создавали определенный барьер, не допускающий превращения предприятий в обычные сборочные мастерские. В соответствии с договорами заводам предоставлялись авансы в размере 32,5 % контрактной стоимости и ссуда в 10 % от заказа с начислением 5 % годовых сроком на 15 лет с погашением равными частями, начиная с конца шестого года. Для осуществления заграничных закупок, допускаемых контрактом, заводам выдавалась соответствующая валюта [Ссуда не выдавалась только «Русскому Рено» как предприятию, в котором участвовал иностранный капитал.]. Программа автомобильного строительства финансировалась в счет кредита, предоставленного военному министру в размере 140,1 млн. руб. на основе Особого журнала Совета министров от 29 января 1916 г. Вся контрактная стоимость поставки составляла 133,5 тыс. руб., а сумма авансов, ссуд и выданной валюты превышала 94 тыс. руб., что свидетельствует о том, что большая часть расходов при сооружении частных автомобильных заводов легла на плечи государства [РГИА. Ф. 1525. Оп. 1. Д. 354. Л. 105.].</w:t>
      </w:r>
    </w:p>
    <w:p w14:paraId="33DE663D" w14:textId="77777777" w:rsidR="004B4E35" w:rsidRPr="00405303" w:rsidRDefault="009E6F82" w:rsidP="00C15251">
      <w:pPr>
        <w:jc w:val="both"/>
        <w:rPr>
          <w:bCs/>
          <w:color w:val="002060"/>
          <w:sz w:val="16"/>
          <w:szCs w:val="16"/>
        </w:rPr>
      </w:pPr>
      <w:r w:rsidRPr="00405303">
        <w:rPr>
          <w:bCs/>
          <w:color w:val="002060"/>
          <w:sz w:val="16"/>
          <w:szCs w:val="16"/>
        </w:rPr>
        <w:t>Отпуская такие большие средства на сооружение частных автомобильных предприятий, военное ведомство приняло ряд мер, направленных к созданию государственного контроля и осуществлению определенного государственного руководства строительством автомобильных предприятий. В приказе по ГВТУ от 24 марта 1916 г. указывалось, что для наблюдения за сооружением и оборудованием автомобильных заводов, а также расходованием авансов и ссуд, временно создается делопроизводство по частным автомобильным заводам во главе с военным инженером, генерал-майором Г.Г. Кривошеиным. На каждое отдельное предприятие назначались представители ГВТУ с правами членов правлений, которые регулярно в своих рапортах сообщали о ходе строительства [РГВИА. Ф. 802. Оп. 1. Д. 111. Л. 34.].</w:t>
      </w:r>
    </w:p>
    <w:p w14:paraId="7604F6CB" w14:textId="77777777" w:rsidR="004B4E35" w:rsidRPr="00405303" w:rsidRDefault="009E6F82" w:rsidP="00C15251">
      <w:pPr>
        <w:jc w:val="both"/>
        <w:rPr>
          <w:bCs/>
          <w:color w:val="002060"/>
          <w:sz w:val="16"/>
          <w:szCs w:val="16"/>
        </w:rPr>
      </w:pPr>
      <w:r w:rsidRPr="00405303">
        <w:rPr>
          <w:bCs/>
          <w:color w:val="002060"/>
          <w:sz w:val="16"/>
          <w:szCs w:val="16"/>
        </w:rPr>
        <w:t>Решение Особого совещания по обороне о строительстве автомобильных заводов и заключении контрактов было встречено с большим удовлетворением промышленными кругами. Газета «Известия ЦВПК» писала: «Центральный военно-промышленный комитет, выдвинув этот вопрос и поставив его на реальную почву практического разрешения, проявил разумную инициативу масштаба государственного значения, а военное ведомство правильно учло эту инициативу и приняло на себя, в сотрудничестве с представителями мобилизованной промышленности, разрешение вопроса о насаждении отечественной автомобильной промышленности, и вот теперь вопрос решен». Не менее восторженный отзыв был помещен на страницах журнала «Автомобиль»: «Итак, русской промышленности открыт путь к ее развитию. Правительство пошло навстречу потребности страны в этом новом средстве сообщения и не побоялось больших материальных затрат, чтобы поставить дело на прочное основание» [Известия ЦВПК. № 68 от 8 марта 1916 г. Автомобиль, № 5. 1916. С. 6440.].</w:t>
      </w:r>
    </w:p>
    <w:p w14:paraId="377CB246" w14:textId="77777777" w:rsidR="004B4E35" w:rsidRPr="00405303" w:rsidRDefault="009E6F82" w:rsidP="00C15251">
      <w:pPr>
        <w:jc w:val="both"/>
        <w:rPr>
          <w:bCs/>
          <w:color w:val="002060"/>
          <w:sz w:val="16"/>
          <w:szCs w:val="16"/>
        </w:rPr>
      </w:pPr>
      <w:r w:rsidRPr="00405303">
        <w:rPr>
          <w:bCs/>
          <w:color w:val="002060"/>
          <w:sz w:val="16"/>
          <w:szCs w:val="16"/>
        </w:rPr>
        <w:t>Реализация решения о сооружении казенного автомобильного завода, принципиально одобренного Особым совещанием по обороне еще 21 октября 1915 г., затянулась. Только на заседании Совещания 23 января 1916 г. вопрос о казенном заводе перешел в практическую плоскость. В резолюции, утвержденной военным министром на следующий день, указывалось: «Предоставить ГВТУ заключить договор с Британским инженерным обществом Сибири о постройке автомобильного завода с передачей в казну.” [РГВИА. Ф. 369. Оп. 1. Д. 173. Л. 31-33; Там же. Д. 54. Л. 191. Британское инженерное общество Сибири (сокращенно – «Бекос») объединяло 60 британских акционерных обществ. Учреждено в 1913 г. по инициативе английского министерства торговли и промышленности. Директор правления - А. Маршалл. Представитель в России - П. Стефанкевич.] Договор ГВТУ с обществом «Бекос» был подписан 2 мая 1916 г. Контракт предусматривал сооружение завода с полным оборудованием и изготовлением на нем в течение 3 лет эксплуатации 3 тыс. автомобилей и ремонт в течение того же срока до тысячи автомашин. По решению Совета министров военному ведомству был открыт кредит в размере 55010 тыс. руб. Эта сумма включала не только контрактную стоимость поставки автомобилей, но также оплату постройки, оборудования завода и рабочего поселка при нем [Там же. Ф. 815. Оп. 1. Д. 17. Заверенная копия договора. Там же. Ф. 369. Оп. 2. Д. 54. Л. 480.]. Обществу «Бекос» выдавался аванс в размере 250 тыс. руб. Особо в договоре были оговорены условия заграничных закупок деталей и материалов: в последний год эксплуатации завода их разрешалось приобрести только на 7,2 % от стоимости поставки. Как и в случае с частными автомобильными заводами, для осуществления финансового и технического контроля за строительством в структуре ГВТУ было создано делопроизводство казенного завода военных самоходов во главе с военным инженером, полковником Бобровским.</w:t>
      </w:r>
    </w:p>
    <w:p w14:paraId="45CFE9E4" w14:textId="77777777" w:rsidR="004B4E35" w:rsidRPr="00405303" w:rsidRDefault="009E6F82" w:rsidP="00C15251">
      <w:pPr>
        <w:jc w:val="both"/>
        <w:rPr>
          <w:bCs/>
          <w:color w:val="002060"/>
          <w:sz w:val="16"/>
          <w:szCs w:val="16"/>
        </w:rPr>
      </w:pPr>
      <w:r w:rsidRPr="00405303">
        <w:rPr>
          <w:bCs/>
          <w:color w:val="002060"/>
          <w:sz w:val="16"/>
          <w:szCs w:val="16"/>
        </w:rPr>
        <w:t xml:space="preserve">Итак, вопрос о развитии отечественной автомобильной промышленности был разрешен в виде принятия определенной программы строительства </w:t>
      </w:r>
      <w:proofErr w:type="gramStart"/>
      <w:r w:rsidRPr="00405303">
        <w:rPr>
          <w:bCs/>
          <w:color w:val="002060"/>
          <w:sz w:val="16"/>
          <w:szCs w:val="16"/>
        </w:rPr>
        <w:t>пяти частных</w:t>
      </w:r>
      <w:proofErr w:type="gramEnd"/>
      <w:r w:rsidRPr="00405303">
        <w:rPr>
          <w:bCs/>
          <w:color w:val="002060"/>
          <w:sz w:val="16"/>
          <w:szCs w:val="16"/>
        </w:rPr>
        <w:t xml:space="preserve"> и одного казенного заводов. Хотя предприятия сооружались в разных местах, но нельзя не отметить явное предпочтение городов Центрально-промышленного региона и особенно Москвы. Во второй столице было намечено строительство сразу трех заводов: в районе Симонова монастыря в Тюфелевой роще – «АМО», на Филях - РБВЗ и около Мытищ, в Подлипках – казенный завод. В Ярославле строился завод о-ва «В.А. Лебедев» и в Рыбинске – «Русский Рено». И только предприятие общества «Аксай» сооружалось на юге страны в Ростове - на- Дону [Информация о сооружении автомобильных предприятий в наиболее обобщенном виде содержится в документах: Сведения об успехе строительных работ на казенном заводе (РГВИА. Ф. 814. Оп. 1. Д. 51. Л. 1,7); Сведения о постройке пяти частных автомобильных </w:t>
      </w:r>
      <w:r w:rsidRPr="00405303">
        <w:rPr>
          <w:bCs/>
          <w:color w:val="002060"/>
          <w:sz w:val="16"/>
          <w:szCs w:val="16"/>
        </w:rPr>
        <w:lastRenderedPageBreak/>
        <w:t>заводов на октябрь 1916 г. (Архив ВИМАИВС и ВС. Ф. 13. Оп. 87/1. Д. 54. Л. 88-90об.); Сведения о состоянии работ на частных автомобильных заводах на июнь 1917 г. (РГВИА. Ф. 815. Оп. 1. Д. 23. Л. 112); Справка Г.Г. Кривошеина о положении 5 частных автомобильных заводов в ГВТУ от 8 января 1918 г. (РГВИА. Ф. 815. Оп. 1. Д. 23. Л. 489-490); Опись принятых в октябре 1918 г. заводских зданий казенного завода военных самоходов (РГВИА. Ф. 814. Оп. 1. Д. 86. Л. 61- 61об.)] (11863).</w:t>
      </w:r>
    </w:p>
    <w:p w14:paraId="544CAE16" w14:textId="77777777" w:rsidR="004B4E35" w:rsidRPr="00405303" w:rsidRDefault="004B4E35" w:rsidP="00C15251">
      <w:pPr>
        <w:jc w:val="both"/>
        <w:rPr>
          <w:bCs/>
          <w:color w:val="002060"/>
          <w:sz w:val="16"/>
          <w:szCs w:val="16"/>
        </w:rPr>
      </w:pPr>
    </w:p>
    <w:p w14:paraId="39EB4156" w14:textId="77777777" w:rsidR="00077A70" w:rsidRPr="00405303" w:rsidRDefault="00077A70" w:rsidP="00C15251">
      <w:pPr>
        <w:pStyle w:val="ae"/>
        <w:shd w:val="clear" w:color="auto" w:fill="FFFFFF"/>
        <w:spacing w:before="0" w:beforeAutospacing="0" w:after="0" w:afterAutospacing="0"/>
        <w:jc w:val="both"/>
        <w:rPr>
          <w:bCs/>
          <w:color w:val="002060"/>
          <w:sz w:val="16"/>
          <w:szCs w:val="16"/>
        </w:rPr>
      </w:pPr>
      <w:r w:rsidRPr="00405303">
        <w:rPr>
          <w:bCs/>
          <w:color w:val="002060"/>
          <w:sz w:val="16"/>
          <w:szCs w:val="16"/>
        </w:rPr>
        <w:t>В сентябре 1915 г.</w:t>
      </w:r>
      <w:bookmarkStart w:id="256" w:name="_ednref70"/>
      <w:r w:rsidRPr="00405303">
        <w:rPr>
          <w:bCs/>
          <w:color w:val="002060"/>
          <w:sz w:val="16"/>
          <w:szCs w:val="16"/>
        </w:rPr>
        <w:t xml:space="preserve"> в Особое совещание по обороне государства был представлен доклад М. Пиолунковского, заведующего авиационно-автомобильным отделом ЦВПК «О необходимости срочного принятия правительственных мер к созданию русских автомобильных заводов» (</w:t>
      </w:r>
      <w:r w:rsidRPr="00405303">
        <w:rPr>
          <w:bCs/>
          <w:color w:val="002060"/>
          <w:sz w:val="16"/>
          <w:szCs w:val="16"/>
          <w:shd w:val="clear" w:color="auto" w:fill="FFFFFF"/>
        </w:rPr>
        <w:t>Архив ВИМАИВС и ВС. Ф. 13. Оп. 87/1. Д. 83. 35-39об.</w:t>
      </w:r>
      <w:r w:rsidRPr="00405303">
        <w:rPr>
          <w:bCs/>
          <w:color w:val="002060"/>
          <w:sz w:val="16"/>
          <w:szCs w:val="16"/>
        </w:rPr>
        <w:t>).</w:t>
      </w:r>
      <w:bookmarkEnd w:id="256"/>
    </w:p>
    <w:p w14:paraId="113664E0" w14:textId="534546AE" w:rsidR="00077A70" w:rsidRPr="00405303" w:rsidRDefault="00077A70" w:rsidP="00C15251">
      <w:pPr>
        <w:pStyle w:val="ae"/>
        <w:shd w:val="clear" w:color="auto" w:fill="FFFFFF"/>
        <w:spacing w:before="0" w:beforeAutospacing="0" w:after="0" w:afterAutospacing="0"/>
        <w:jc w:val="both"/>
        <w:rPr>
          <w:bCs/>
          <w:color w:val="002060"/>
          <w:sz w:val="16"/>
          <w:szCs w:val="16"/>
        </w:rPr>
      </w:pPr>
      <w:r w:rsidRPr="00405303">
        <w:rPr>
          <w:bCs/>
          <w:color w:val="002060"/>
          <w:sz w:val="16"/>
          <w:szCs w:val="16"/>
        </w:rPr>
        <w:t>Этот вопрос активно обсуждалась в</w:t>
      </w:r>
      <w:r w:rsidR="000F5756">
        <w:rPr>
          <w:bCs/>
          <w:color w:val="002060"/>
          <w:sz w:val="16"/>
          <w:szCs w:val="16"/>
        </w:rPr>
        <w:t xml:space="preserve"> </w:t>
      </w:r>
      <w:r w:rsidRPr="00405303">
        <w:rPr>
          <w:bCs/>
          <w:color w:val="002060"/>
          <w:sz w:val="16"/>
          <w:szCs w:val="16"/>
        </w:rPr>
        <w:t>Центральном военно-промышленном комитете (ЦВПК) и доклад стал итогом этих обсуждений.</w:t>
      </w:r>
    </w:p>
    <w:p w14:paraId="6EC896AD" w14:textId="7DD4E604" w:rsidR="00077A70" w:rsidRPr="00405303" w:rsidRDefault="00077A70" w:rsidP="00C15251">
      <w:pPr>
        <w:pStyle w:val="ae"/>
        <w:shd w:val="clear" w:color="auto" w:fill="FFFFFF"/>
        <w:spacing w:before="0" w:beforeAutospacing="0" w:after="0" w:afterAutospacing="0"/>
        <w:jc w:val="both"/>
        <w:rPr>
          <w:bCs/>
          <w:color w:val="002060"/>
          <w:sz w:val="16"/>
          <w:szCs w:val="16"/>
        </w:rPr>
      </w:pPr>
      <w:r w:rsidRPr="00405303">
        <w:rPr>
          <w:bCs/>
          <w:color w:val="002060"/>
          <w:sz w:val="16"/>
          <w:szCs w:val="16"/>
        </w:rPr>
        <w:t>Выдвинутые в нем предложения были многократно обсуждены на заседаниях подготовительной комиссии по общим вопросам и Особого совещания по обороне. Одновременно производилась оценка поступающих от фирм предложений специалистами ГВТУ. Как указывалось в журнале Особого совещания по обороне, создание собственной автомобильной промышленности является «целесообразным, ибо, не говоря уже о финансово-экономической стороне вопроса</w:t>
      </w:r>
      <w:bookmarkStart w:id="257" w:name="_ednref71"/>
      <w:r w:rsidRPr="00405303">
        <w:rPr>
          <w:bCs/>
          <w:color w:val="002060"/>
          <w:sz w:val="16"/>
          <w:szCs w:val="16"/>
        </w:rPr>
        <w:t xml:space="preserve"> (</w:t>
      </w:r>
      <w:r w:rsidRPr="00405303">
        <w:rPr>
          <w:bCs/>
          <w:color w:val="002060"/>
          <w:sz w:val="16"/>
          <w:szCs w:val="16"/>
          <w:shd w:val="clear" w:color="auto" w:fill="FFFFFF"/>
        </w:rPr>
        <w:t>К этому времени расходы на заказы автомобилей</w:t>
      </w:r>
      <w:r w:rsidR="000F5756">
        <w:rPr>
          <w:bCs/>
          <w:color w:val="002060"/>
          <w:sz w:val="16"/>
          <w:szCs w:val="16"/>
          <w:shd w:val="clear" w:color="auto" w:fill="FFFFFF"/>
        </w:rPr>
        <w:t xml:space="preserve"> </w:t>
      </w:r>
      <w:r w:rsidRPr="00405303">
        <w:rPr>
          <w:bCs/>
          <w:color w:val="002060"/>
          <w:sz w:val="16"/>
          <w:szCs w:val="16"/>
          <w:shd w:val="clear" w:color="auto" w:fill="FFFFFF"/>
        </w:rPr>
        <w:t>за границей составили 300 млн. руб. См.: РГВИА. Ф. 369. Оп. 16. Д. 135. Л. 51об.</w:t>
      </w:r>
      <w:r w:rsidRPr="00405303">
        <w:rPr>
          <w:bCs/>
          <w:color w:val="002060"/>
          <w:sz w:val="16"/>
          <w:szCs w:val="16"/>
        </w:rPr>
        <w:t>)</w:t>
      </w:r>
      <w:bookmarkEnd w:id="257"/>
      <w:r w:rsidRPr="00405303">
        <w:rPr>
          <w:bCs/>
          <w:color w:val="002060"/>
          <w:sz w:val="16"/>
          <w:szCs w:val="16"/>
        </w:rPr>
        <w:t>, этим путем создается отрасль промышленности, которая после войны, без сомнения, получит весьма важное значение». Для решения этой задачи, по мнению совещания, надо было построить казенный завод, а также воспользоваться предложениями частных фирм</w:t>
      </w:r>
      <w:bookmarkStart w:id="258" w:name="_ednref72"/>
      <w:r w:rsidRPr="00405303">
        <w:rPr>
          <w:bCs/>
          <w:color w:val="002060"/>
          <w:sz w:val="16"/>
          <w:szCs w:val="16"/>
        </w:rPr>
        <w:t xml:space="preserve"> (</w:t>
      </w:r>
      <w:r w:rsidRPr="00405303">
        <w:rPr>
          <w:bCs/>
          <w:color w:val="002060"/>
          <w:sz w:val="16"/>
          <w:szCs w:val="16"/>
          <w:shd w:val="clear" w:color="auto" w:fill="FFFFFF"/>
        </w:rPr>
        <w:t>РГВИА. Ф. 369. Оп. 1. Д. 54. Л. 53.</w:t>
      </w:r>
      <w:r w:rsidRPr="00405303">
        <w:rPr>
          <w:bCs/>
          <w:color w:val="002060"/>
          <w:sz w:val="16"/>
          <w:szCs w:val="16"/>
        </w:rPr>
        <w:t>)</w:t>
      </w:r>
      <w:bookmarkEnd w:id="258"/>
      <w:r w:rsidRPr="00405303">
        <w:rPr>
          <w:bCs/>
          <w:color w:val="002060"/>
          <w:sz w:val="16"/>
          <w:szCs w:val="16"/>
        </w:rPr>
        <w:t>. Итак, вопрос о развитии автомобилестроения в России сразу приобрел характер определенной программы заводского строительства. При этом надо иметь в виду, что в инициативном документе ЦВПК, поскольку он исходил из предпринимательских кругов, речь шла о сооружении только частных заводов при финансовой поддержке со стороны государства. Предложение о казенном заводе возникло в ходе обсуждения вопроса в Совещании.</w:t>
      </w:r>
    </w:p>
    <w:p w14:paraId="2049589F" w14:textId="77777777" w:rsidR="00077A70" w:rsidRPr="00405303" w:rsidRDefault="00077A70" w:rsidP="00C15251">
      <w:pPr>
        <w:pStyle w:val="ae"/>
        <w:shd w:val="clear" w:color="auto" w:fill="FFFFFF"/>
        <w:spacing w:before="0" w:beforeAutospacing="0" w:after="0" w:afterAutospacing="0"/>
        <w:jc w:val="both"/>
        <w:rPr>
          <w:bCs/>
          <w:color w:val="002060"/>
          <w:sz w:val="16"/>
          <w:szCs w:val="16"/>
        </w:rPr>
      </w:pPr>
      <w:r w:rsidRPr="00405303">
        <w:rPr>
          <w:bCs/>
          <w:color w:val="002060"/>
          <w:sz w:val="16"/>
          <w:szCs w:val="16"/>
        </w:rPr>
        <w:t>Рассмотрение на отдельных заседаниях подготовительной комиссии основных договорных условий постройки заводов осуществлялось в направлении решения главной задачи – освобождения российской промышленности от иностранной зависимости в сфере автомобилестроения. Именно поэтому членов комиссии не смущало, что большая часть поставок автомобилей будет производиться после войны, что первоначальные предложения фирм содержали цены на автомобили выше иностранных. Руководствуясь основной идеей независимости, комиссия высказывалась за предоставление заказов только отечественным заводам. Первыми претендентами были названы акционерное общество воздухоплавания «В.А. Лебедев», Русско-Балтийский вагонный завод, акционерное общество сельскохозяйственного машиностроения «Аксай», московское акционерное общество экипажно-автомобильной фабрики «П.Ильина», торговый дом «Кузнецов, Рябушинские и К</w:t>
      </w:r>
      <w:r w:rsidRPr="00405303">
        <w:rPr>
          <w:bCs/>
          <w:color w:val="002060"/>
          <w:sz w:val="16"/>
          <w:szCs w:val="16"/>
          <w:vertAlign w:val="superscript"/>
        </w:rPr>
        <w:t>˚»</w:t>
      </w:r>
      <w:r w:rsidRPr="00405303">
        <w:rPr>
          <w:bCs/>
          <w:color w:val="002060"/>
          <w:sz w:val="16"/>
          <w:szCs w:val="16"/>
        </w:rPr>
        <w:t xml:space="preserve">, «Автомобильный московский завод». Вырабатывая основные положения контрактов и добиваясь наиболее благоприятных условий </w:t>
      </w:r>
      <w:proofErr w:type="gramStart"/>
      <w:r w:rsidRPr="00405303">
        <w:rPr>
          <w:bCs/>
          <w:color w:val="002060"/>
          <w:sz w:val="16"/>
          <w:szCs w:val="16"/>
        </w:rPr>
        <w:t>для предпринимателе</w:t>
      </w:r>
      <w:bookmarkStart w:id="259" w:name="_ednref73"/>
      <w:proofErr w:type="gramEnd"/>
      <w:r w:rsidRPr="00405303">
        <w:rPr>
          <w:bCs/>
          <w:color w:val="002060"/>
          <w:sz w:val="16"/>
          <w:szCs w:val="16"/>
        </w:rPr>
        <w:t xml:space="preserve"> (</w:t>
      </w:r>
      <w:r w:rsidRPr="00405303">
        <w:rPr>
          <w:bCs/>
          <w:color w:val="002060"/>
          <w:sz w:val="16"/>
          <w:szCs w:val="16"/>
          <w:shd w:val="clear" w:color="auto" w:fill="FFFFFF"/>
        </w:rPr>
        <w:t>то касалось цен на автомобили, размеров и сроков получения авансов и ссуд, обязательства правительства принять от заводов все заказанное количество автомобилей, независимо от сроков окончания войны и пр.</w:t>
      </w:r>
      <w:r w:rsidRPr="00405303">
        <w:rPr>
          <w:bCs/>
          <w:color w:val="002060"/>
          <w:sz w:val="16"/>
          <w:szCs w:val="16"/>
        </w:rPr>
        <w:t>)</w:t>
      </w:r>
      <w:bookmarkEnd w:id="259"/>
      <w:r w:rsidRPr="00405303">
        <w:rPr>
          <w:bCs/>
          <w:color w:val="002060"/>
          <w:sz w:val="16"/>
          <w:szCs w:val="16"/>
        </w:rPr>
        <w:t>, представители отечественных промышленных и финансовых кругов сделали все возможное для задержки решения вопроса о казенном заводе (21552).</w:t>
      </w:r>
    </w:p>
    <w:p w14:paraId="38D98349" w14:textId="77777777" w:rsidR="00077A70" w:rsidRPr="00405303" w:rsidRDefault="00077A70" w:rsidP="00C15251">
      <w:pPr>
        <w:pStyle w:val="ae"/>
        <w:spacing w:before="0" w:beforeAutospacing="0" w:after="0" w:afterAutospacing="0"/>
        <w:jc w:val="both"/>
        <w:rPr>
          <w:bCs/>
          <w:color w:val="002060"/>
          <w:sz w:val="16"/>
          <w:szCs w:val="16"/>
        </w:rPr>
      </w:pPr>
    </w:p>
    <w:p w14:paraId="1CBF6F2A" w14:textId="67647189" w:rsidR="004B4E35" w:rsidRPr="00405303" w:rsidRDefault="00077A70"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сентябре 1915 года Особое совещание по снаряжению армии поручило Лебедеву построить автозавод в Ярославле. Он в короткий срок основал «Акционерное общество механических передвижений и производств В.А. Лебедева». На содержание и оборудование завода предполагалось израсходовать 14 миллионов рублей, из них акционерного капитала 3 миллиона, остальное - государственные ссуды и авансы (11197). Главное военно-техническое управление, заключая договор, устанавливало не только объем выпуска и сроки поставки, но и оговаривало тип автомобиля. Лебедеву предстояло выпускать в год 750 малых штабных автомобилей и 750 санитарных на базе 1,5-тонных грузовиков. Базовым был выбран английский автомобиль Crossley 20/25. В Англию направилась группа инженеров для закупки оборудования и изучения технологии автомобильного производства. В конструкцию базового автомобиля на «Ярославском автомобильном заводе Акционерного общества воздухоплавания В.А. Лебедева» внесли изменения. Легковой автомобиль назвали по аналогии с аэропланами «Лебедь-А». Строить завод начали в январе 1916 года на западной окраине Ярославля и пустили, несмотря на недоделки, 7 (20) октября. В 1917 году выпустили более 200 кабин и кузовов для 1,5-тонных санитарных грузовиков. Но выпуск комплектных автомобилей налажен не был: построенные на 90% производственные помещения укомплектовали оборудованием лишь на 47% из-за задержки Англией поставок и кредитов... А тут подступили «великие потрясения». Завод встал. 16 января 1918 года Особое совещание по обороне объявило о его временной конфискации (11197).</w:t>
      </w:r>
    </w:p>
    <w:p w14:paraId="77186AAE" w14:textId="77777777" w:rsidR="004B4E35" w:rsidRPr="00405303" w:rsidRDefault="004B4E35" w:rsidP="00C15251">
      <w:pPr>
        <w:jc w:val="both"/>
        <w:rPr>
          <w:bCs/>
          <w:color w:val="002060"/>
          <w:sz w:val="16"/>
          <w:szCs w:val="16"/>
        </w:rPr>
      </w:pPr>
    </w:p>
    <w:p w14:paraId="7C3DAC05" w14:textId="152083AA" w:rsidR="00A83A36" w:rsidRPr="00405303" w:rsidRDefault="00A83A36" w:rsidP="00C15251">
      <w:pPr>
        <w:pStyle w:val="ae"/>
        <w:spacing w:before="0" w:beforeAutospacing="0" w:after="0" w:afterAutospacing="0"/>
        <w:jc w:val="both"/>
        <w:rPr>
          <w:bCs/>
          <w:color w:val="002060"/>
          <w:sz w:val="16"/>
          <w:szCs w:val="16"/>
        </w:rPr>
      </w:pPr>
      <w:r w:rsidRPr="00405303">
        <w:rPr>
          <w:bCs/>
          <w:color w:val="002060"/>
          <w:sz w:val="16"/>
          <w:szCs w:val="16"/>
        </w:rPr>
        <w:t>В сентябре 1915 в Горном институте (Санкт-Петербург) был окончательно сконструирован новый образец противогаза, и уже 28 сентября стало известно, что предполагается крупный заказ таких противогазов для армии. Тогда же стало известно и о новом образце противогаза, уже имевшем измененную по сравнению с первым образцом поглотительную массу. Помимо натронной извести в ее состав входил уголь, предложенный как сорбент для ОВ профессором Н. Д. Зелинским еще в июне 1915 г. (о чем речь будет ниже). Однако так как изобретатели противогаза Горного института использовали чужую идею, то они не знали одной тонкости — Зелинский предлагал не просто уголь, а</w:t>
      </w:r>
      <w:r w:rsidR="00DB4D64" w:rsidRPr="00405303">
        <w:rPr>
          <w:bCs/>
          <w:color w:val="002060"/>
          <w:sz w:val="16"/>
          <w:szCs w:val="16"/>
        </w:rPr>
        <w:t xml:space="preserve"> </w:t>
      </w:r>
      <w:hyperlink r:id="rId61" w:history="1">
        <w:r w:rsidRPr="00405303">
          <w:rPr>
            <w:rStyle w:val="ad"/>
            <w:bCs/>
            <w:color w:val="002060"/>
            <w:sz w:val="16"/>
            <w:szCs w:val="16"/>
          </w:rPr>
          <w:t>активированный уголь</w:t>
        </w:r>
      </w:hyperlink>
      <w:r w:rsidRPr="00405303">
        <w:rPr>
          <w:bCs/>
          <w:color w:val="002060"/>
          <w:sz w:val="16"/>
          <w:szCs w:val="16"/>
        </w:rPr>
        <w:t>; способа активации которого они, естественно, тоже не знали. Вплоть до весны 1916 г. изобретатели Горного института добавляли к натронной извести обычный печной уголь.</w:t>
      </w:r>
    </w:p>
    <w:p w14:paraId="64FD296F" w14:textId="77777777" w:rsidR="00A83A36" w:rsidRPr="00405303" w:rsidRDefault="00A83A36" w:rsidP="00C15251">
      <w:pPr>
        <w:pStyle w:val="ae"/>
        <w:spacing w:before="0" w:beforeAutospacing="0" w:after="0" w:afterAutospacing="0"/>
        <w:jc w:val="both"/>
        <w:rPr>
          <w:bCs/>
          <w:color w:val="002060"/>
          <w:sz w:val="16"/>
          <w:szCs w:val="16"/>
        </w:rPr>
      </w:pPr>
      <w:r w:rsidRPr="00405303">
        <w:rPr>
          <w:bCs/>
          <w:color w:val="002060"/>
          <w:sz w:val="16"/>
          <w:szCs w:val="16"/>
        </w:rPr>
        <w:t>В первоначальном образце противогаза Горного института (коробка содержала только натронную известь) клапанная система распределения не была достаточно совершенной. Вследствие этого выдыхаемый воздух частично проходил через поглотительную массу, причем наступала реакция присоединения воды и углекислоты к извести. Эта реакция помимо значительного теплового эффекта сопровождается вспучиванием извести и увеличением ее объема. В результате уже через короткий промежуток времени поглотительная масса «спекалась». Вскрытые после короткого пользования коробки противогаза обнаруживали вместо гранулированного поглотителя буквально камень. Добавка к натронной извести древесного угля мало улучшила положение дела. Те же самые явления спекания обусловливали чрезвычайно высокое сопротивление дыханию в противогазе, измеряемое несколькими десятками миллиметров водяного столба.</w:t>
      </w:r>
    </w:p>
    <w:p w14:paraId="5F2B7DA2" w14:textId="77777777" w:rsidR="00A83A36" w:rsidRPr="00405303" w:rsidRDefault="00A83A36" w:rsidP="00C15251">
      <w:pPr>
        <w:pStyle w:val="ae"/>
        <w:spacing w:before="0" w:beforeAutospacing="0" w:after="0" w:afterAutospacing="0"/>
        <w:jc w:val="both"/>
        <w:rPr>
          <w:bCs/>
          <w:color w:val="002060"/>
          <w:sz w:val="16"/>
          <w:szCs w:val="16"/>
        </w:rPr>
      </w:pPr>
      <w:r w:rsidRPr="00405303">
        <w:rPr>
          <w:bCs/>
          <w:color w:val="002060"/>
          <w:sz w:val="16"/>
          <w:szCs w:val="16"/>
        </w:rPr>
        <w:t>Хотя результаты испытаний, проведенных московскими организациями, указывали на полную непригодность противогаза Горного института и на необходимость коренных изменений его конструкции, дальнейшая его судьба повернулась странным образом. После мелких переделок он был принят и заказан сразу в количестве 3,5 млн. экземпляров. Настойчивые «изобретатели» из Горного института имели поддержку принца А. П. Ольденбургского (20246).</w:t>
      </w:r>
    </w:p>
    <w:p w14:paraId="227FA8CA" w14:textId="77777777" w:rsidR="00A83A36" w:rsidRPr="00405303" w:rsidRDefault="00A83A36" w:rsidP="00C15251">
      <w:pPr>
        <w:pStyle w:val="ae"/>
        <w:spacing w:before="0" w:beforeAutospacing="0" w:after="0" w:afterAutospacing="0"/>
        <w:jc w:val="both"/>
        <w:rPr>
          <w:bCs/>
          <w:color w:val="002060"/>
          <w:sz w:val="16"/>
          <w:szCs w:val="16"/>
        </w:rPr>
      </w:pPr>
    </w:p>
    <w:p w14:paraId="167B074E" w14:textId="77777777" w:rsidR="00A83A36" w:rsidRPr="00405303" w:rsidRDefault="00A83A36" w:rsidP="00C15251">
      <w:pPr>
        <w:pStyle w:val="ae"/>
        <w:spacing w:before="0" w:beforeAutospacing="0" w:after="0" w:afterAutospacing="0"/>
        <w:jc w:val="both"/>
        <w:rPr>
          <w:bCs/>
          <w:color w:val="002060"/>
          <w:sz w:val="16"/>
          <w:szCs w:val="16"/>
        </w:rPr>
      </w:pPr>
      <w:r w:rsidRPr="00405303">
        <w:rPr>
          <w:bCs/>
          <w:color w:val="002060"/>
          <w:sz w:val="16"/>
          <w:szCs w:val="16"/>
        </w:rPr>
        <w:t>В сентябре 1915 г. прошли испытания первые 20 огнеметов профессора Горбова. В 1916 г. расширилось производство огнеметов. В марте 1916 г. Главное Военно-Техническое управление заказало изготовить 1500 огнеметов системы Горбова. С передачей весной 1916 г. огнеметного дела в ведение Химического Комитета ГАУ (Главное Артиллерийское Управление), 2 (15) июня 1916 г. был дан заказ на изготовление 6000 огнеметов системы Александрова, затем уменьшенный до 1000. Одновременно был дан заказ на изготовление 6000 огнеметов системы Товарницкого. Оба заказа были даны Киевским заводам.</w:t>
      </w:r>
    </w:p>
    <w:p w14:paraId="08D3FE7A" w14:textId="77777777" w:rsidR="00A83A36" w:rsidRPr="00405303" w:rsidRDefault="00A83A36" w:rsidP="00C15251">
      <w:pPr>
        <w:pStyle w:val="ae"/>
        <w:spacing w:before="0" w:beforeAutospacing="0" w:after="0" w:afterAutospacing="0"/>
        <w:jc w:val="both"/>
        <w:rPr>
          <w:bCs/>
          <w:color w:val="002060"/>
          <w:sz w:val="16"/>
          <w:szCs w:val="16"/>
        </w:rPr>
      </w:pPr>
      <w:r w:rsidRPr="00405303">
        <w:rPr>
          <w:bCs/>
          <w:color w:val="002060"/>
          <w:sz w:val="16"/>
          <w:szCs w:val="16"/>
        </w:rPr>
        <w:t>Кроме того, было заказано Киевскому проволочно-гвоздильному заводу 200 больших огнеметов системы Товарницкого и в Англии — 56 тяжелых огнеметов системы Винсента и 50 огнеметов системы Ливенса (20246).</w:t>
      </w:r>
    </w:p>
    <w:p w14:paraId="47D63835" w14:textId="77777777" w:rsidR="00A83A36" w:rsidRPr="00405303" w:rsidRDefault="00A83A36" w:rsidP="00C15251">
      <w:pPr>
        <w:pStyle w:val="ae"/>
        <w:spacing w:before="0" w:beforeAutospacing="0" w:after="0" w:afterAutospacing="0"/>
        <w:jc w:val="both"/>
        <w:rPr>
          <w:bCs/>
          <w:color w:val="002060"/>
          <w:sz w:val="16"/>
          <w:szCs w:val="16"/>
        </w:rPr>
      </w:pPr>
    </w:p>
    <w:p w14:paraId="51814505" w14:textId="77777777" w:rsidR="00FC364C" w:rsidRPr="00405303" w:rsidRDefault="00FC364C" w:rsidP="00C15251">
      <w:pPr>
        <w:jc w:val="both"/>
        <w:rPr>
          <w:bCs/>
          <w:color w:val="002060"/>
          <w:sz w:val="16"/>
          <w:szCs w:val="16"/>
        </w:rPr>
      </w:pPr>
      <w:r w:rsidRPr="00405303">
        <w:rPr>
          <w:bCs/>
          <w:color w:val="002060"/>
          <w:sz w:val="16"/>
          <w:szCs w:val="16"/>
        </w:rPr>
        <w:t>В сентябре 1915 г. Потребность фронта в 3-дм полевых орудиях ГАУ исчисляло в 500 шт. в месяц. Согласно графику, в сентябре от заводов «подлежало постав</w:t>
      </w:r>
      <w:r w:rsidRPr="00405303">
        <w:rPr>
          <w:bCs/>
          <w:color w:val="002060"/>
          <w:sz w:val="16"/>
          <w:szCs w:val="16"/>
        </w:rPr>
        <w:softHyphen/>
        <w:t>ке» 409 орудий, а фактически поступило 206 (108 — с Путиловского, 84 — с Петроградского орудийного, 14 — с Пермского) (РГВИА. Ф. 369. Оп. 3. Д. 263. Л. 61 об.-62).</w:t>
      </w:r>
    </w:p>
    <w:p w14:paraId="6741B1FF" w14:textId="77777777" w:rsidR="00FC364C" w:rsidRPr="00405303" w:rsidRDefault="00FC364C"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 xml:space="preserve">Французский </w:t>
      </w:r>
      <w:proofErr w:type="gramStart"/>
      <w:r w:rsidRPr="00405303">
        <w:rPr>
          <w:rFonts w:ascii="Times New Roman" w:hAnsi="Times New Roman" w:cs="Times New Roman"/>
          <w:bCs/>
          <w:color w:val="002060"/>
          <w:sz w:val="16"/>
          <w:szCs w:val="16"/>
        </w:rPr>
        <w:t>артиллерист,,</w:t>
      </w:r>
      <w:proofErr w:type="gramEnd"/>
      <w:r w:rsidRPr="00405303">
        <w:rPr>
          <w:rFonts w:ascii="Times New Roman" w:hAnsi="Times New Roman" w:cs="Times New Roman"/>
          <w:bCs/>
          <w:color w:val="002060"/>
          <w:sz w:val="16"/>
          <w:szCs w:val="16"/>
        </w:rPr>
        <w:t xml:space="preserve"> наблюдавший в 1916—1917 гг. стрельбу русских батарей, отмечал быстрый износ легких орудий: если французские пушки выдерживали 12—15 тысяч выстрелов, то русские — 3 тысячи; гаубицы изнашивались еще быстрее. Он пришел к заключению, что дело в качестве металла, использованного при изготовлении 3-дм пушек в России (правда, отметив, что и во Франции за время войны качество металла несколько понизилось)1. По мнению Гур</w:t>
      </w:r>
      <w:r w:rsidRPr="00405303">
        <w:rPr>
          <w:rFonts w:ascii="Times New Roman" w:hAnsi="Times New Roman" w:cs="Times New Roman"/>
          <w:bCs/>
          <w:color w:val="002060"/>
          <w:sz w:val="16"/>
          <w:szCs w:val="16"/>
        </w:rPr>
        <w:softHyphen/>
        <w:t>ко, первоначальная катастрофическая нехватка снарядов, по сути, спасла артиллерию от столь же катастрофического из</w:t>
      </w:r>
      <w:r w:rsidRPr="00405303">
        <w:rPr>
          <w:rFonts w:ascii="Times New Roman" w:hAnsi="Times New Roman" w:cs="Times New Roman"/>
          <w:bCs/>
          <w:color w:val="002060"/>
          <w:sz w:val="16"/>
          <w:szCs w:val="16"/>
        </w:rPr>
        <w:softHyphen/>
        <w:t>носа легких орудий (</w:t>
      </w:r>
      <w:r w:rsidRPr="00405303">
        <w:rPr>
          <w:rFonts w:ascii="Times New Roman" w:hAnsi="Times New Roman" w:cs="Times New Roman"/>
          <w:bCs/>
          <w:color w:val="002060"/>
          <w:sz w:val="16"/>
          <w:szCs w:val="16"/>
          <w:lang w:val="en-US" w:bidi="en-US"/>
        </w:rPr>
        <w:t>Pascal</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 xml:space="preserve">Р. </w:t>
      </w:r>
      <w:r w:rsidRPr="00405303">
        <w:rPr>
          <w:rFonts w:ascii="Times New Roman" w:hAnsi="Times New Roman" w:cs="Times New Roman"/>
          <w:bCs/>
          <w:color w:val="002060"/>
          <w:sz w:val="16"/>
          <w:szCs w:val="16"/>
          <w:lang w:val="en-US" w:bidi="en-US"/>
        </w:rPr>
        <w:t>Mon</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journal</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de</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Russie</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Lausanne</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bidi="en-US"/>
        </w:rPr>
        <w:lastRenderedPageBreak/>
        <w:t xml:space="preserve">1975. </w:t>
      </w:r>
      <w:r w:rsidRPr="00405303">
        <w:rPr>
          <w:rFonts w:ascii="Times New Roman" w:hAnsi="Times New Roman" w:cs="Times New Roman"/>
          <w:bCs/>
          <w:color w:val="002060"/>
          <w:sz w:val="16"/>
          <w:szCs w:val="16"/>
          <w:lang w:val="en-US" w:bidi="en-US"/>
        </w:rPr>
        <w:t>P</w:t>
      </w:r>
      <w:r w:rsidRPr="00405303">
        <w:rPr>
          <w:rFonts w:ascii="Times New Roman" w:hAnsi="Times New Roman" w:cs="Times New Roman"/>
          <w:bCs/>
          <w:color w:val="002060"/>
          <w:sz w:val="16"/>
          <w:szCs w:val="16"/>
          <w:lang w:bidi="en-US"/>
        </w:rPr>
        <w:t xml:space="preserve">. 157—158. </w:t>
      </w:r>
      <w:r w:rsidRPr="00405303">
        <w:rPr>
          <w:rFonts w:ascii="Times New Roman" w:hAnsi="Times New Roman" w:cs="Times New Roman"/>
          <w:bCs/>
          <w:color w:val="002060"/>
          <w:sz w:val="16"/>
          <w:szCs w:val="16"/>
        </w:rPr>
        <w:t xml:space="preserve">См. также: Смысловский Е. Артиллерийское снабжение. С. 64. Маниковский указывал и на влияние большего давления газов в стволе и начальной скорости снаряда у русской пушки; </w:t>
      </w:r>
      <w:r w:rsidRPr="00405303">
        <w:rPr>
          <w:rFonts w:ascii="Times New Roman" w:hAnsi="Times New Roman" w:cs="Times New Roman"/>
          <w:bCs/>
          <w:color w:val="002060"/>
          <w:sz w:val="16"/>
          <w:szCs w:val="16"/>
          <w:lang w:val="en-US" w:bidi="en-US"/>
        </w:rPr>
        <w:t>Gourko</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 xml:space="preserve">В. </w:t>
      </w:r>
      <w:r w:rsidRPr="00405303">
        <w:rPr>
          <w:rFonts w:ascii="Times New Roman" w:hAnsi="Times New Roman" w:cs="Times New Roman"/>
          <w:bCs/>
          <w:color w:val="002060"/>
          <w:sz w:val="16"/>
          <w:szCs w:val="16"/>
          <w:lang w:val="en-US" w:bidi="en-US"/>
        </w:rPr>
        <w:t>Op</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cit</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Р. 104—106) (23452).</w:t>
      </w:r>
    </w:p>
    <w:p w14:paraId="5E567407" w14:textId="77777777" w:rsidR="00FC364C" w:rsidRPr="00405303" w:rsidRDefault="00FC364C" w:rsidP="00C15251">
      <w:pPr>
        <w:jc w:val="both"/>
        <w:rPr>
          <w:bCs/>
          <w:color w:val="002060"/>
          <w:sz w:val="16"/>
          <w:szCs w:val="16"/>
        </w:rPr>
      </w:pPr>
    </w:p>
    <w:p w14:paraId="7EC19FE6"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65204326" w14:textId="77777777" w:rsidR="004B4E35" w:rsidRPr="00405303" w:rsidRDefault="004B4E35" w:rsidP="00C15251">
      <w:pPr>
        <w:jc w:val="both"/>
        <w:rPr>
          <w:bCs/>
          <w:i/>
          <w:color w:val="002060"/>
          <w:sz w:val="16"/>
          <w:szCs w:val="16"/>
        </w:rPr>
      </w:pPr>
    </w:p>
    <w:p w14:paraId="21BCE7BE" w14:textId="77777777" w:rsidR="00AD6D4F" w:rsidRPr="00405303" w:rsidRDefault="00AD6D4F" w:rsidP="00C15251">
      <w:pPr>
        <w:jc w:val="both"/>
        <w:rPr>
          <w:bCs/>
          <w:color w:val="002060"/>
          <w:sz w:val="16"/>
          <w:szCs w:val="16"/>
        </w:rPr>
      </w:pPr>
      <w:r w:rsidRPr="00405303">
        <w:rPr>
          <w:bCs/>
          <w:color w:val="002060"/>
          <w:sz w:val="16"/>
          <w:szCs w:val="16"/>
        </w:rPr>
        <w:t>В сентябре 1915 г. Верховный Главнокомандующий одобрил проект Великого князя, который решил объединить авиаотряды в авиационные дивизионы армейского подчинения, и он стал новым планом, по которому стала развиваться авиация. Великий князь сознавал, что главное препятствие на пути к «новой организации авиационных частей» – нехватка самолетов. Поэтому одновременно с «Проектом новой организации…» в начале сентября 1915 г. был разработан «План новых формирований и снабжения авиационных частей», согласно которому к 1 сентября 1916 г. должны были быть сформированы 33 авиаотряда (3 – для штабов фронтов, 6 армейских и 24 корпусных). Число летчиков на фронте к этому сроку планировалось довести до 552 человек. Рассчитывали также на поступление в войска от промышленности и по импорту 1995 самолетов (19566).</w:t>
      </w:r>
    </w:p>
    <w:p w14:paraId="67131CD1" w14:textId="77777777" w:rsidR="00AD6D4F" w:rsidRPr="00405303" w:rsidRDefault="00AD6D4F" w:rsidP="00C15251">
      <w:pPr>
        <w:jc w:val="both"/>
        <w:rPr>
          <w:bCs/>
          <w:color w:val="002060"/>
          <w:sz w:val="16"/>
          <w:szCs w:val="16"/>
        </w:rPr>
      </w:pPr>
    </w:p>
    <w:p w14:paraId="634571FD" w14:textId="77777777" w:rsidR="00AD6D4F" w:rsidRPr="00405303" w:rsidRDefault="00AD6D4F" w:rsidP="00C15251">
      <w:pPr>
        <w:pStyle w:val="p1"/>
        <w:spacing w:before="0" w:beforeAutospacing="0" w:after="0" w:afterAutospacing="0"/>
        <w:jc w:val="both"/>
        <w:rPr>
          <w:bCs/>
          <w:color w:val="002060"/>
          <w:sz w:val="16"/>
          <w:szCs w:val="16"/>
        </w:rPr>
      </w:pPr>
      <w:r w:rsidRPr="00405303">
        <w:rPr>
          <w:bCs/>
          <w:color w:val="002060"/>
          <w:sz w:val="16"/>
          <w:szCs w:val="16"/>
        </w:rPr>
        <w:t>В сентябре 1915 г. потребность фронта в 3-дм полевых орудиях ГАУ исчисляло в 500 шт. в месяц. Согласно графику, в сентябре от заводов «подлежало поставке» 409 орудий, а фактически поступило 206 (108 — с Путиловского, 84 — с Петроградского орудийного, 14 — с Пермского). Французский артиллерист, наблюдавший в 1916–1917 гг. стрельбу русских батарей, отмечал быстрый износ легких орудий: если французские пушки выдерживали 12–15 тысяч выстрелов, то русские — 3 тысячи; гаубицы изнашивались еще быстрее. Он пришел к заключению, что дело в качестве металла, использованного при изготовлении 3-дм пушек в России (правда, отметив, что и во Франции за время войны качество металла несколько понизилось). По мнению Гурко, первоначальная катастрофическая нехватка снарядов, по сути, спасла артиллерию от столь же катастрофического износа легких орудий (18409).</w:t>
      </w:r>
    </w:p>
    <w:p w14:paraId="7A32DE9C" w14:textId="77777777" w:rsidR="00AD6D4F" w:rsidRPr="00405303" w:rsidRDefault="00AD6D4F" w:rsidP="00C15251">
      <w:pPr>
        <w:pStyle w:val="p1"/>
        <w:spacing w:before="0" w:beforeAutospacing="0" w:after="0" w:afterAutospacing="0"/>
        <w:jc w:val="both"/>
        <w:rPr>
          <w:bCs/>
          <w:color w:val="002060"/>
          <w:sz w:val="16"/>
          <w:szCs w:val="16"/>
        </w:rPr>
      </w:pPr>
    </w:p>
    <w:p w14:paraId="0C92EF80" w14:textId="77777777" w:rsidR="004B4E35" w:rsidRPr="00405303" w:rsidRDefault="009E6F82" w:rsidP="00C15251">
      <w:pPr>
        <w:jc w:val="both"/>
        <w:rPr>
          <w:bCs/>
          <w:color w:val="002060"/>
          <w:sz w:val="16"/>
          <w:szCs w:val="16"/>
        </w:rPr>
      </w:pPr>
      <w:r w:rsidRPr="00405303">
        <w:rPr>
          <w:bCs/>
          <w:color w:val="002060"/>
          <w:sz w:val="16"/>
          <w:szCs w:val="16"/>
        </w:rPr>
        <w:t>В сентябре 1915 г. Государь император Николай II, вступив в права Верховного главнокомандующего, переводит свою Ставку из Барановичей в г. Могилев. Одновременно усиливается воздушная оборона новой Главной квартиры русского армии за счет подразделений, дислоцирующихся в Царском Селе: Отдельной артиллерийской батареи для обороны Императорской резиденции от воздухоплавательных аппаратов (развернутой по штату артиллерийского дивизиона) и Специального авиационного отряда. Позднее к ним добавилась автомобильная батарея для стрельбы по воздушному флоту (командир - подполковник Л.В. Хростицкий) (11163).</w:t>
      </w:r>
    </w:p>
    <w:p w14:paraId="7BFAB978" w14:textId="77777777" w:rsidR="004B4E35" w:rsidRPr="00405303" w:rsidRDefault="004B4E35" w:rsidP="00C15251">
      <w:pPr>
        <w:jc w:val="both"/>
        <w:rPr>
          <w:bCs/>
          <w:color w:val="002060"/>
          <w:sz w:val="16"/>
          <w:szCs w:val="16"/>
        </w:rPr>
      </w:pPr>
    </w:p>
    <w:p w14:paraId="065008C2" w14:textId="588E3DFC" w:rsidR="004B4E35" w:rsidRPr="00405303" w:rsidRDefault="009E6F82" w:rsidP="00C15251">
      <w:pPr>
        <w:jc w:val="both"/>
        <w:rPr>
          <w:bCs/>
          <w:color w:val="002060"/>
          <w:sz w:val="16"/>
          <w:szCs w:val="16"/>
        </w:rPr>
      </w:pPr>
      <w:r w:rsidRPr="00405303">
        <w:rPr>
          <w:bCs/>
          <w:color w:val="002060"/>
          <w:sz w:val="16"/>
          <w:szCs w:val="16"/>
        </w:rPr>
        <w:t xml:space="preserve">В сентябре </w:t>
      </w:r>
      <w:r w:rsidR="00333023" w:rsidRPr="00405303">
        <w:rPr>
          <w:bCs/>
          <w:color w:val="002060"/>
          <w:sz w:val="16"/>
          <w:szCs w:val="16"/>
        </w:rPr>
        <w:t xml:space="preserve">1915 г. </w:t>
      </w:r>
      <w:r w:rsidRPr="00405303">
        <w:rPr>
          <w:bCs/>
          <w:color w:val="002060"/>
          <w:sz w:val="16"/>
          <w:szCs w:val="16"/>
        </w:rPr>
        <w:t>из Пскова был выделен боевой отряд на Северный фронт в распоряжение 12-й армии. Корабли (1-й лейтенант Лаврова, П-й штабс-капитана Панкратьева, V-й поручика Алехновича, IX-й штабс-капитана Нижевского и "Киевский" штабс-капитана Башко) перелетели на аэродром у станции Зегевольд под Ригой. Панкратьев получил новый корабль типа В №167 с моторами РБ3.6 (аналог "Аргуса"), который по своим характеристикам был прекрасной машиной наряду с "Киевским". "Муромцы" этого отряда совершили до конца 1915 г. на Северном фронте 25 боевых вылетов.</w:t>
      </w:r>
    </w:p>
    <w:p w14:paraId="476CA064" w14:textId="77777777" w:rsidR="004B4E35" w:rsidRPr="00405303" w:rsidRDefault="009E6F82" w:rsidP="00C15251">
      <w:pPr>
        <w:jc w:val="both"/>
        <w:rPr>
          <w:bCs/>
          <w:color w:val="002060"/>
          <w:sz w:val="16"/>
          <w:szCs w:val="16"/>
        </w:rPr>
      </w:pPr>
      <w:r w:rsidRPr="00405303">
        <w:rPr>
          <w:bCs/>
          <w:color w:val="002060"/>
          <w:sz w:val="16"/>
          <w:szCs w:val="16"/>
        </w:rPr>
        <w:t>За весь 1915 год воздушные корабли выполнили около 100 боевых полетов, сбросив на противника до 1220 пудов бомб (12038).</w:t>
      </w:r>
    </w:p>
    <w:p w14:paraId="2D51F2B9" w14:textId="77777777" w:rsidR="004B4E35" w:rsidRPr="00405303" w:rsidRDefault="004B4E35" w:rsidP="00C15251">
      <w:pPr>
        <w:jc w:val="both"/>
        <w:rPr>
          <w:bCs/>
          <w:color w:val="002060"/>
          <w:sz w:val="16"/>
          <w:szCs w:val="16"/>
        </w:rPr>
      </w:pPr>
    </w:p>
    <w:p w14:paraId="12D3391E" w14:textId="079A75A0" w:rsidR="004B4E35" w:rsidRPr="00405303" w:rsidRDefault="00333023"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сентябре 1915 года из Эскадры был выделен боевой отряд на Северный фронт в распоряжение штаба 12-й армии. Первым на аэродром у станции Зегевольд (под Ригой) прилетел Панкратьев, а через несколько дней Алехнович и Лавров. Штабс-капитаны Башкой Нижевский смогли прибыть в начале октября.</w:t>
      </w:r>
    </w:p>
    <w:p w14:paraId="4C42E1D4" w14:textId="77777777" w:rsidR="004B4E35" w:rsidRPr="00405303" w:rsidRDefault="009E6F82" w:rsidP="00C15251">
      <w:pPr>
        <w:jc w:val="both"/>
        <w:rPr>
          <w:bCs/>
          <w:color w:val="002060"/>
          <w:sz w:val="16"/>
          <w:szCs w:val="16"/>
        </w:rPr>
      </w:pPr>
      <w:r w:rsidRPr="00405303">
        <w:rPr>
          <w:bCs/>
          <w:color w:val="002060"/>
          <w:sz w:val="16"/>
          <w:szCs w:val="16"/>
        </w:rPr>
        <w:t>Боевая работа отряда в Зегевольде началась с полёта штабс-капитана Панкратьева на II корабле (№ 167). Захватив с собой пять бомб, корабль слетал "посмотреть" на Мита- ву. Встреченный и обстрелянный на обратном пути "Альбатрос" не проявил враждебности. Второй вылет "Илья Муромец И" тоже совершил в одиночестве. Захватив на борт семь двухпудовых и шесть пудовых бомб, аппарат направился громить артиллерийские склады у мызы Вальгоф. Из-за плохой видимости последние, на их счастье, не были обнаружены и уцелели (12041).</w:t>
      </w:r>
    </w:p>
    <w:p w14:paraId="3CDE691E" w14:textId="77777777" w:rsidR="004B4E35" w:rsidRPr="00405303" w:rsidRDefault="004B4E35" w:rsidP="00C15251">
      <w:pPr>
        <w:jc w:val="both"/>
        <w:rPr>
          <w:bCs/>
          <w:color w:val="002060"/>
          <w:sz w:val="16"/>
          <w:szCs w:val="16"/>
        </w:rPr>
      </w:pPr>
    </w:p>
    <w:p w14:paraId="3B737B57" w14:textId="152B240C" w:rsidR="004B4E35" w:rsidRPr="00405303" w:rsidRDefault="00333023" w:rsidP="00C15251">
      <w:pPr>
        <w:jc w:val="both"/>
        <w:rPr>
          <w:bCs/>
          <w:color w:val="002060"/>
          <w:sz w:val="16"/>
          <w:szCs w:val="16"/>
        </w:rPr>
      </w:pPr>
      <w:r w:rsidRPr="00405303">
        <w:rPr>
          <w:bCs/>
          <w:color w:val="002060"/>
          <w:sz w:val="16"/>
          <w:szCs w:val="16"/>
        </w:rPr>
        <w:t>С</w:t>
      </w:r>
      <w:r w:rsidR="009E6F82" w:rsidRPr="00405303">
        <w:rPr>
          <w:bCs/>
          <w:color w:val="002060"/>
          <w:sz w:val="16"/>
          <w:szCs w:val="16"/>
        </w:rPr>
        <w:t xml:space="preserve"> марта по сентябрь 1915 года</w:t>
      </w:r>
      <w:r w:rsidRPr="00405303">
        <w:rPr>
          <w:bCs/>
          <w:color w:val="002060"/>
          <w:sz w:val="16"/>
          <w:szCs w:val="16"/>
        </w:rPr>
        <w:t xml:space="preserve"> было следующее распределение воздушных кораблей, полученных ЭВК: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4B4E35" w:rsidRPr="00405303" w14:paraId="51DC96C2" w14:textId="77777777">
        <w:tc>
          <w:tcPr>
            <w:tcW w:w="1601" w:type="dxa"/>
          </w:tcPr>
          <w:p w14:paraId="584F9178" w14:textId="77777777" w:rsidR="004B4E35" w:rsidRPr="00405303" w:rsidRDefault="009E6F82" w:rsidP="00C15251">
            <w:pPr>
              <w:jc w:val="both"/>
              <w:rPr>
                <w:bCs/>
                <w:color w:val="002060"/>
                <w:sz w:val="16"/>
                <w:szCs w:val="16"/>
              </w:rPr>
            </w:pPr>
            <w:r w:rsidRPr="00405303">
              <w:rPr>
                <w:bCs/>
                <w:color w:val="002060"/>
                <w:sz w:val="16"/>
                <w:szCs w:val="16"/>
              </w:rPr>
              <w:t>Заводской номер</w:t>
            </w:r>
          </w:p>
        </w:tc>
        <w:tc>
          <w:tcPr>
            <w:tcW w:w="1601" w:type="dxa"/>
          </w:tcPr>
          <w:p w14:paraId="7F8C92C3" w14:textId="77777777" w:rsidR="004B4E35" w:rsidRPr="00405303" w:rsidRDefault="009E6F82" w:rsidP="00C15251">
            <w:pPr>
              <w:jc w:val="both"/>
              <w:rPr>
                <w:bCs/>
                <w:color w:val="002060"/>
                <w:sz w:val="16"/>
                <w:szCs w:val="16"/>
              </w:rPr>
            </w:pPr>
            <w:r w:rsidRPr="00405303">
              <w:rPr>
                <w:bCs/>
                <w:color w:val="002060"/>
                <w:sz w:val="16"/>
                <w:szCs w:val="16"/>
              </w:rPr>
              <w:t>Моторы, мощность</w:t>
            </w:r>
          </w:p>
        </w:tc>
        <w:tc>
          <w:tcPr>
            <w:tcW w:w="1601" w:type="dxa"/>
          </w:tcPr>
          <w:p w14:paraId="4EE751CD" w14:textId="77777777" w:rsidR="004B4E35" w:rsidRPr="00405303" w:rsidRDefault="009E6F82" w:rsidP="00C15251">
            <w:pPr>
              <w:jc w:val="both"/>
              <w:rPr>
                <w:bCs/>
                <w:color w:val="002060"/>
                <w:sz w:val="16"/>
                <w:szCs w:val="16"/>
              </w:rPr>
            </w:pPr>
            <w:r w:rsidRPr="00405303">
              <w:rPr>
                <w:bCs/>
                <w:color w:val="002060"/>
                <w:sz w:val="16"/>
                <w:szCs w:val="16"/>
              </w:rPr>
              <w:t>Корабль</w:t>
            </w:r>
          </w:p>
        </w:tc>
        <w:tc>
          <w:tcPr>
            <w:tcW w:w="1601" w:type="dxa"/>
          </w:tcPr>
          <w:p w14:paraId="1B3A1531" w14:textId="77777777" w:rsidR="004B4E35" w:rsidRPr="00405303" w:rsidRDefault="009E6F82" w:rsidP="00C15251">
            <w:pPr>
              <w:jc w:val="both"/>
              <w:rPr>
                <w:bCs/>
                <w:color w:val="002060"/>
                <w:sz w:val="16"/>
                <w:szCs w:val="16"/>
              </w:rPr>
            </w:pPr>
            <w:r w:rsidRPr="00405303">
              <w:rPr>
                <w:bCs/>
                <w:color w:val="002060"/>
                <w:sz w:val="16"/>
                <w:szCs w:val="16"/>
              </w:rPr>
              <w:t>Командир корабля</w:t>
            </w:r>
          </w:p>
        </w:tc>
        <w:tc>
          <w:tcPr>
            <w:tcW w:w="1601" w:type="dxa"/>
          </w:tcPr>
          <w:p w14:paraId="1E4BCBF9" w14:textId="77777777" w:rsidR="004B4E35" w:rsidRPr="00405303" w:rsidRDefault="009E6F82" w:rsidP="00C15251">
            <w:pPr>
              <w:jc w:val="both"/>
              <w:rPr>
                <w:bCs/>
                <w:color w:val="002060"/>
                <w:sz w:val="16"/>
                <w:szCs w:val="16"/>
              </w:rPr>
            </w:pPr>
            <w:r w:rsidRPr="00405303">
              <w:rPr>
                <w:bCs/>
                <w:color w:val="002060"/>
                <w:sz w:val="16"/>
                <w:szCs w:val="16"/>
              </w:rPr>
              <w:t>Срок командования кораблём</w:t>
            </w:r>
          </w:p>
        </w:tc>
        <w:tc>
          <w:tcPr>
            <w:tcW w:w="1601" w:type="dxa"/>
          </w:tcPr>
          <w:p w14:paraId="5CDCDAC2" w14:textId="77777777" w:rsidR="004B4E35" w:rsidRPr="00405303" w:rsidRDefault="004B4E35" w:rsidP="00C15251">
            <w:pPr>
              <w:jc w:val="both"/>
              <w:rPr>
                <w:bCs/>
                <w:color w:val="002060"/>
                <w:sz w:val="16"/>
                <w:szCs w:val="16"/>
              </w:rPr>
            </w:pPr>
          </w:p>
        </w:tc>
        <w:tc>
          <w:tcPr>
            <w:tcW w:w="1601" w:type="dxa"/>
          </w:tcPr>
          <w:p w14:paraId="1FC1335F" w14:textId="77777777" w:rsidR="004B4E35" w:rsidRPr="00405303" w:rsidRDefault="004B4E35" w:rsidP="00C15251">
            <w:pPr>
              <w:jc w:val="both"/>
              <w:rPr>
                <w:bCs/>
                <w:color w:val="002060"/>
                <w:sz w:val="16"/>
                <w:szCs w:val="16"/>
              </w:rPr>
            </w:pPr>
          </w:p>
        </w:tc>
      </w:tr>
      <w:tr w:rsidR="004B4E35" w:rsidRPr="00405303" w14:paraId="48E8ABD1" w14:textId="77777777">
        <w:tc>
          <w:tcPr>
            <w:tcW w:w="1601" w:type="dxa"/>
          </w:tcPr>
          <w:p w14:paraId="169062C0" w14:textId="77777777" w:rsidR="004B4E35" w:rsidRPr="00405303" w:rsidRDefault="009E6F82" w:rsidP="00C15251">
            <w:pPr>
              <w:jc w:val="both"/>
              <w:rPr>
                <w:bCs/>
                <w:color w:val="002060"/>
                <w:sz w:val="16"/>
                <w:szCs w:val="16"/>
              </w:rPr>
            </w:pPr>
            <w:r w:rsidRPr="00405303">
              <w:rPr>
                <w:bCs/>
                <w:color w:val="002060"/>
                <w:sz w:val="16"/>
                <w:szCs w:val="16"/>
              </w:rPr>
              <w:t>157</w:t>
            </w:r>
          </w:p>
        </w:tc>
        <w:tc>
          <w:tcPr>
            <w:tcW w:w="1601" w:type="dxa"/>
          </w:tcPr>
          <w:p w14:paraId="3C292429" w14:textId="77777777" w:rsidR="004B4E35" w:rsidRPr="00405303" w:rsidRDefault="009E6F82" w:rsidP="00C15251">
            <w:pPr>
              <w:jc w:val="both"/>
              <w:rPr>
                <w:bCs/>
                <w:color w:val="002060"/>
                <w:sz w:val="16"/>
                <w:szCs w:val="16"/>
              </w:rPr>
            </w:pPr>
            <w:r w:rsidRPr="00405303">
              <w:rPr>
                <w:bCs/>
                <w:color w:val="002060"/>
                <w:sz w:val="16"/>
                <w:szCs w:val="16"/>
              </w:rPr>
              <w:t>2 х"</w:t>
            </w:r>
          </w:p>
        </w:tc>
        <w:tc>
          <w:tcPr>
            <w:tcW w:w="1601" w:type="dxa"/>
          </w:tcPr>
          <w:p w14:paraId="115D0C85" w14:textId="77777777" w:rsidR="004B4E35" w:rsidRPr="00405303" w:rsidRDefault="009E6F82" w:rsidP="00C15251">
            <w:pPr>
              <w:jc w:val="both"/>
              <w:rPr>
                <w:bCs/>
                <w:color w:val="002060"/>
                <w:sz w:val="16"/>
                <w:szCs w:val="16"/>
              </w:rPr>
            </w:pPr>
            <w:r w:rsidRPr="00405303">
              <w:rPr>
                <w:bCs/>
                <w:color w:val="002060"/>
                <w:sz w:val="16"/>
                <w:szCs w:val="16"/>
              </w:rPr>
              <w:t>Сальмсон</w:t>
            </w:r>
          </w:p>
        </w:tc>
        <w:tc>
          <w:tcPr>
            <w:tcW w:w="1601" w:type="dxa"/>
          </w:tcPr>
          <w:p w14:paraId="39B5F2B4" w14:textId="77777777" w:rsidR="004B4E35" w:rsidRPr="00405303" w:rsidRDefault="009E6F82" w:rsidP="00C15251">
            <w:pPr>
              <w:jc w:val="both"/>
              <w:rPr>
                <w:bCs/>
                <w:color w:val="002060"/>
                <w:sz w:val="16"/>
                <w:szCs w:val="16"/>
              </w:rPr>
            </w:pPr>
            <w:r w:rsidRPr="00405303">
              <w:rPr>
                <w:bCs/>
                <w:color w:val="002060"/>
                <w:sz w:val="16"/>
                <w:szCs w:val="16"/>
              </w:rPr>
              <w:t>" 200 л.с.</w:t>
            </w:r>
          </w:p>
        </w:tc>
        <w:tc>
          <w:tcPr>
            <w:tcW w:w="1601" w:type="dxa"/>
          </w:tcPr>
          <w:p w14:paraId="142CB990" w14:textId="77777777" w:rsidR="004B4E35" w:rsidRPr="00405303" w:rsidRDefault="009E6F82" w:rsidP="00C15251">
            <w:pPr>
              <w:jc w:val="both"/>
              <w:rPr>
                <w:bCs/>
                <w:color w:val="002060"/>
                <w:sz w:val="16"/>
                <w:szCs w:val="16"/>
              </w:rPr>
            </w:pPr>
            <w:r w:rsidRPr="00405303">
              <w:rPr>
                <w:bCs/>
                <w:color w:val="002060"/>
                <w:sz w:val="16"/>
                <w:szCs w:val="16"/>
              </w:rPr>
              <w:t>IV</w:t>
            </w:r>
          </w:p>
        </w:tc>
        <w:tc>
          <w:tcPr>
            <w:tcW w:w="1601" w:type="dxa"/>
          </w:tcPr>
          <w:p w14:paraId="12D77872" w14:textId="77777777" w:rsidR="004B4E35" w:rsidRPr="00405303" w:rsidRDefault="009E6F82" w:rsidP="00C15251">
            <w:pPr>
              <w:jc w:val="both"/>
              <w:rPr>
                <w:bCs/>
                <w:color w:val="002060"/>
                <w:sz w:val="16"/>
                <w:szCs w:val="16"/>
              </w:rPr>
            </w:pPr>
            <w:r w:rsidRPr="00405303">
              <w:rPr>
                <w:bCs/>
                <w:color w:val="002060"/>
                <w:sz w:val="16"/>
                <w:szCs w:val="16"/>
              </w:rPr>
              <w:t>Поручик Я.Н. Шаров</w:t>
            </w:r>
          </w:p>
        </w:tc>
        <w:tc>
          <w:tcPr>
            <w:tcW w:w="1601" w:type="dxa"/>
          </w:tcPr>
          <w:p w14:paraId="6F346A8E" w14:textId="77777777" w:rsidR="004B4E35" w:rsidRPr="00405303" w:rsidRDefault="009E6F82" w:rsidP="00C15251">
            <w:pPr>
              <w:jc w:val="both"/>
              <w:rPr>
                <w:bCs/>
                <w:color w:val="002060"/>
                <w:sz w:val="16"/>
                <w:szCs w:val="16"/>
              </w:rPr>
            </w:pPr>
            <w:r w:rsidRPr="00405303">
              <w:rPr>
                <w:bCs/>
                <w:color w:val="002060"/>
                <w:sz w:val="16"/>
                <w:szCs w:val="16"/>
              </w:rPr>
              <w:t>6-30 июня 1915 года</w:t>
            </w:r>
          </w:p>
        </w:tc>
      </w:tr>
      <w:tr w:rsidR="004B4E35" w:rsidRPr="00405303" w14:paraId="09D6BA42" w14:textId="77777777">
        <w:tc>
          <w:tcPr>
            <w:tcW w:w="1601" w:type="dxa"/>
          </w:tcPr>
          <w:p w14:paraId="21144FDD" w14:textId="77777777" w:rsidR="004B4E35" w:rsidRPr="00405303" w:rsidRDefault="004B4E35" w:rsidP="00C15251">
            <w:pPr>
              <w:jc w:val="both"/>
              <w:rPr>
                <w:bCs/>
                <w:color w:val="002060"/>
                <w:sz w:val="16"/>
                <w:szCs w:val="16"/>
              </w:rPr>
            </w:pPr>
          </w:p>
        </w:tc>
        <w:tc>
          <w:tcPr>
            <w:tcW w:w="1601" w:type="dxa"/>
          </w:tcPr>
          <w:p w14:paraId="23488A15" w14:textId="77777777" w:rsidR="004B4E35" w:rsidRPr="00405303" w:rsidRDefault="004B4E35" w:rsidP="00C15251">
            <w:pPr>
              <w:jc w:val="both"/>
              <w:rPr>
                <w:bCs/>
                <w:color w:val="002060"/>
                <w:sz w:val="16"/>
                <w:szCs w:val="16"/>
              </w:rPr>
            </w:pPr>
          </w:p>
        </w:tc>
        <w:tc>
          <w:tcPr>
            <w:tcW w:w="1601" w:type="dxa"/>
          </w:tcPr>
          <w:p w14:paraId="30E61555" w14:textId="77777777" w:rsidR="004B4E35" w:rsidRPr="00405303" w:rsidRDefault="004B4E35" w:rsidP="00C15251">
            <w:pPr>
              <w:jc w:val="both"/>
              <w:rPr>
                <w:bCs/>
                <w:color w:val="002060"/>
                <w:sz w:val="16"/>
                <w:szCs w:val="16"/>
              </w:rPr>
            </w:pPr>
          </w:p>
        </w:tc>
        <w:tc>
          <w:tcPr>
            <w:tcW w:w="1601" w:type="dxa"/>
          </w:tcPr>
          <w:p w14:paraId="05CD1F38" w14:textId="77777777" w:rsidR="004B4E35" w:rsidRPr="00405303" w:rsidRDefault="004B4E35" w:rsidP="00C15251">
            <w:pPr>
              <w:jc w:val="both"/>
              <w:rPr>
                <w:bCs/>
                <w:color w:val="002060"/>
                <w:sz w:val="16"/>
                <w:szCs w:val="16"/>
              </w:rPr>
            </w:pPr>
          </w:p>
        </w:tc>
        <w:tc>
          <w:tcPr>
            <w:tcW w:w="1601" w:type="dxa"/>
          </w:tcPr>
          <w:p w14:paraId="293369CF" w14:textId="77777777" w:rsidR="004B4E35" w:rsidRPr="00405303" w:rsidRDefault="009E6F82" w:rsidP="00C15251">
            <w:pPr>
              <w:jc w:val="both"/>
              <w:rPr>
                <w:bCs/>
                <w:color w:val="002060"/>
                <w:sz w:val="16"/>
                <w:szCs w:val="16"/>
              </w:rPr>
            </w:pPr>
            <w:r w:rsidRPr="00405303">
              <w:rPr>
                <w:bCs/>
                <w:color w:val="002060"/>
                <w:sz w:val="16"/>
                <w:szCs w:val="16"/>
              </w:rPr>
              <w:t>VI</w:t>
            </w:r>
          </w:p>
        </w:tc>
        <w:tc>
          <w:tcPr>
            <w:tcW w:w="1601" w:type="dxa"/>
          </w:tcPr>
          <w:p w14:paraId="346EE219" w14:textId="77777777" w:rsidR="004B4E35" w:rsidRPr="00405303" w:rsidRDefault="009E6F82" w:rsidP="00C15251">
            <w:pPr>
              <w:jc w:val="both"/>
              <w:rPr>
                <w:bCs/>
                <w:color w:val="002060"/>
                <w:sz w:val="16"/>
                <w:szCs w:val="16"/>
              </w:rPr>
            </w:pPr>
            <w:r w:rsidRPr="00405303">
              <w:rPr>
                <w:bCs/>
                <w:color w:val="002060"/>
                <w:sz w:val="16"/>
                <w:szCs w:val="16"/>
              </w:rPr>
              <w:t>Поручик В.В. Лукинский</w:t>
            </w:r>
          </w:p>
        </w:tc>
        <w:tc>
          <w:tcPr>
            <w:tcW w:w="1601" w:type="dxa"/>
          </w:tcPr>
          <w:p w14:paraId="1CE49FE4" w14:textId="77777777" w:rsidR="004B4E35" w:rsidRPr="00405303" w:rsidRDefault="009E6F82" w:rsidP="00C15251">
            <w:pPr>
              <w:jc w:val="both"/>
              <w:rPr>
                <w:bCs/>
                <w:color w:val="002060"/>
                <w:sz w:val="16"/>
                <w:szCs w:val="16"/>
              </w:rPr>
            </w:pPr>
            <w:r w:rsidRPr="00405303">
              <w:rPr>
                <w:bCs/>
                <w:color w:val="002060"/>
                <w:sz w:val="16"/>
                <w:szCs w:val="16"/>
              </w:rPr>
              <w:t>С 30 июня по 29 июля 1915 года</w:t>
            </w:r>
          </w:p>
        </w:tc>
      </w:tr>
      <w:tr w:rsidR="004B4E35" w:rsidRPr="00405303" w14:paraId="6D14F127" w14:textId="77777777">
        <w:tc>
          <w:tcPr>
            <w:tcW w:w="1601" w:type="dxa"/>
          </w:tcPr>
          <w:p w14:paraId="0DB433F2" w14:textId="77777777" w:rsidR="004B4E35" w:rsidRPr="00405303" w:rsidRDefault="004B4E35" w:rsidP="00C15251">
            <w:pPr>
              <w:jc w:val="both"/>
              <w:rPr>
                <w:bCs/>
                <w:color w:val="002060"/>
                <w:sz w:val="16"/>
                <w:szCs w:val="16"/>
              </w:rPr>
            </w:pPr>
          </w:p>
        </w:tc>
        <w:tc>
          <w:tcPr>
            <w:tcW w:w="1601" w:type="dxa"/>
          </w:tcPr>
          <w:p w14:paraId="553986B5" w14:textId="77777777" w:rsidR="004B4E35" w:rsidRPr="00405303" w:rsidRDefault="004B4E35" w:rsidP="00C15251">
            <w:pPr>
              <w:jc w:val="both"/>
              <w:rPr>
                <w:bCs/>
                <w:color w:val="002060"/>
                <w:sz w:val="16"/>
                <w:szCs w:val="16"/>
              </w:rPr>
            </w:pPr>
          </w:p>
        </w:tc>
        <w:tc>
          <w:tcPr>
            <w:tcW w:w="1601" w:type="dxa"/>
          </w:tcPr>
          <w:p w14:paraId="1AF1A5A6" w14:textId="77777777" w:rsidR="004B4E35" w:rsidRPr="00405303" w:rsidRDefault="004B4E35" w:rsidP="00C15251">
            <w:pPr>
              <w:jc w:val="both"/>
              <w:rPr>
                <w:bCs/>
                <w:color w:val="002060"/>
                <w:sz w:val="16"/>
                <w:szCs w:val="16"/>
              </w:rPr>
            </w:pPr>
          </w:p>
        </w:tc>
        <w:tc>
          <w:tcPr>
            <w:tcW w:w="1601" w:type="dxa"/>
          </w:tcPr>
          <w:p w14:paraId="436C8741" w14:textId="77777777" w:rsidR="004B4E35" w:rsidRPr="00405303" w:rsidRDefault="004B4E35" w:rsidP="00C15251">
            <w:pPr>
              <w:jc w:val="both"/>
              <w:rPr>
                <w:bCs/>
                <w:color w:val="002060"/>
                <w:sz w:val="16"/>
                <w:szCs w:val="16"/>
              </w:rPr>
            </w:pPr>
          </w:p>
        </w:tc>
        <w:tc>
          <w:tcPr>
            <w:tcW w:w="1601" w:type="dxa"/>
          </w:tcPr>
          <w:p w14:paraId="358D9A10" w14:textId="77777777" w:rsidR="004B4E35" w:rsidRPr="00405303" w:rsidRDefault="009E6F82" w:rsidP="00C15251">
            <w:pPr>
              <w:jc w:val="both"/>
              <w:rPr>
                <w:bCs/>
                <w:color w:val="002060"/>
                <w:sz w:val="16"/>
                <w:szCs w:val="16"/>
              </w:rPr>
            </w:pPr>
            <w:r w:rsidRPr="00405303">
              <w:rPr>
                <w:bCs/>
                <w:color w:val="002060"/>
                <w:sz w:val="16"/>
                <w:szCs w:val="16"/>
              </w:rPr>
              <w:t>учебный</w:t>
            </w:r>
          </w:p>
        </w:tc>
        <w:tc>
          <w:tcPr>
            <w:tcW w:w="1601" w:type="dxa"/>
          </w:tcPr>
          <w:p w14:paraId="145C1C4D" w14:textId="77777777" w:rsidR="004B4E35" w:rsidRPr="00405303" w:rsidRDefault="009E6F82" w:rsidP="00C15251">
            <w:pPr>
              <w:jc w:val="both"/>
              <w:rPr>
                <w:bCs/>
                <w:color w:val="002060"/>
                <w:sz w:val="16"/>
                <w:szCs w:val="16"/>
              </w:rPr>
            </w:pPr>
            <w:r w:rsidRPr="00405303">
              <w:rPr>
                <w:bCs/>
                <w:color w:val="002060"/>
                <w:sz w:val="16"/>
                <w:szCs w:val="16"/>
              </w:rPr>
              <w:t>-</w:t>
            </w:r>
          </w:p>
        </w:tc>
        <w:tc>
          <w:tcPr>
            <w:tcW w:w="1601" w:type="dxa"/>
          </w:tcPr>
          <w:p w14:paraId="2CB66A33" w14:textId="77777777" w:rsidR="004B4E35" w:rsidRPr="00405303" w:rsidRDefault="009E6F82" w:rsidP="00C15251">
            <w:pPr>
              <w:jc w:val="both"/>
              <w:rPr>
                <w:bCs/>
                <w:color w:val="002060"/>
                <w:sz w:val="16"/>
                <w:szCs w:val="16"/>
              </w:rPr>
            </w:pPr>
            <w:r w:rsidRPr="00405303">
              <w:rPr>
                <w:bCs/>
                <w:color w:val="002060"/>
                <w:sz w:val="16"/>
                <w:szCs w:val="16"/>
              </w:rPr>
              <w:t>С 30 июля 1915 года</w:t>
            </w:r>
          </w:p>
        </w:tc>
      </w:tr>
      <w:tr w:rsidR="004B4E35" w:rsidRPr="00405303" w14:paraId="6FF426F0" w14:textId="77777777">
        <w:tc>
          <w:tcPr>
            <w:tcW w:w="1601" w:type="dxa"/>
          </w:tcPr>
          <w:p w14:paraId="57746213" w14:textId="77777777" w:rsidR="004B4E35" w:rsidRPr="00405303" w:rsidRDefault="009E6F82" w:rsidP="00C15251">
            <w:pPr>
              <w:jc w:val="both"/>
              <w:rPr>
                <w:bCs/>
                <w:color w:val="002060"/>
                <w:sz w:val="16"/>
                <w:szCs w:val="16"/>
              </w:rPr>
            </w:pPr>
            <w:r w:rsidRPr="00405303">
              <w:rPr>
                <w:bCs/>
                <w:color w:val="002060"/>
                <w:sz w:val="16"/>
                <w:szCs w:val="16"/>
              </w:rPr>
              <w:t>158</w:t>
            </w:r>
          </w:p>
        </w:tc>
        <w:tc>
          <w:tcPr>
            <w:tcW w:w="1601" w:type="dxa"/>
          </w:tcPr>
          <w:p w14:paraId="26E344F3" w14:textId="77777777" w:rsidR="004B4E35" w:rsidRPr="00405303" w:rsidRDefault="009E6F82" w:rsidP="00C15251">
            <w:pPr>
              <w:jc w:val="both"/>
              <w:rPr>
                <w:bCs/>
                <w:color w:val="002060"/>
                <w:sz w:val="16"/>
                <w:szCs w:val="16"/>
              </w:rPr>
            </w:pPr>
            <w:r w:rsidRPr="00405303">
              <w:rPr>
                <w:bCs/>
                <w:color w:val="002060"/>
                <w:sz w:val="16"/>
                <w:szCs w:val="16"/>
              </w:rPr>
              <w:t>4 х</w:t>
            </w:r>
          </w:p>
        </w:tc>
        <w:tc>
          <w:tcPr>
            <w:tcW w:w="1601" w:type="dxa"/>
          </w:tcPr>
          <w:p w14:paraId="77D8F424" w14:textId="77777777" w:rsidR="004B4E35" w:rsidRPr="00405303" w:rsidRDefault="009E6F82" w:rsidP="00C15251">
            <w:pPr>
              <w:jc w:val="both"/>
              <w:rPr>
                <w:bCs/>
                <w:color w:val="002060"/>
                <w:sz w:val="16"/>
                <w:szCs w:val="16"/>
              </w:rPr>
            </w:pPr>
            <w:r w:rsidRPr="00405303">
              <w:rPr>
                <w:bCs/>
                <w:color w:val="002060"/>
                <w:sz w:val="16"/>
                <w:szCs w:val="16"/>
              </w:rPr>
              <w:t>"Санбим"</w:t>
            </w:r>
          </w:p>
        </w:tc>
        <w:tc>
          <w:tcPr>
            <w:tcW w:w="1601" w:type="dxa"/>
          </w:tcPr>
          <w:p w14:paraId="591B0F6C" w14:textId="77777777" w:rsidR="004B4E35" w:rsidRPr="00405303" w:rsidRDefault="009E6F82" w:rsidP="00C15251">
            <w:pPr>
              <w:jc w:val="both"/>
              <w:rPr>
                <w:bCs/>
                <w:color w:val="002060"/>
                <w:sz w:val="16"/>
                <w:szCs w:val="16"/>
              </w:rPr>
            </w:pPr>
            <w:r w:rsidRPr="00405303">
              <w:rPr>
                <w:bCs/>
                <w:color w:val="002060"/>
                <w:sz w:val="16"/>
                <w:szCs w:val="16"/>
              </w:rPr>
              <w:t>150 л.с.</w:t>
            </w:r>
          </w:p>
        </w:tc>
        <w:tc>
          <w:tcPr>
            <w:tcW w:w="1601" w:type="dxa"/>
          </w:tcPr>
          <w:p w14:paraId="7E2B964B" w14:textId="77777777" w:rsidR="004B4E35" w:rsidRPr="00405303" w:rsidRDefault="009E6F82" w:rsidP="00C15251">
            <w:pPr>
              <w:jc w:val="both"/>
              <w:rPr>
                <w:bCs/>
                <w:color w:val="002060"/>
                <w:sz w:val="16"/>
                <w:szCs w:val="16"/>
              </w:rPr>
            </w:pPr>
            <w:r w:rsidRPr="00405303">
              <w:rPr>
                <w:bCs/>
                <w:color w:val="002060"/>
                <w:sz w:val="16"/>
                <w:szCs w:val="16"/>
              </w:rPr>
              <w:t>V</w:t>
            </w:r>
          </w:p>
        </w:tc>
        <w:tc>
          <w:tcPr>
            <w:tcW w:w="1601" w:type="dxa"/>
          </w:tcPr>
          <w:p w14:paraId="6931C94F" w14:textId="77777777" w:rsidR="004B4E35" w:rsidRPr="00405303" w:rsidRDefault="009E6F82" w:rsidP="00C15251">
            <w:pPr>
              <w:jc w:val="both"/>
              <w:rPr>
                <w:bCs/>
                <w:color w:val="002060"/>
                <w:sz w:val="16"/>
                <w:szCs w:val="16"/>
              </w:rPr>
            </w:pPr>
            <w:r w:rsidRPr="00405303">
              <w:rPr>
                <w:bCs/>
                <w:color w:val="002060"/>
                <w:sz w:val="16"/>
                <w:szCs w:val="16"/>
              </w:rPr>
              <w:t>Штабс-капитан Г.В. Алехнович</w:t>
            </w:r>
          </w:p>
        </w:tc>
        <w:tc>
          <w:tcPr>
            <w:tcW w:w="1601" w:type="dxa"/>
          </w:tcPr>
          <w:p w14:paraId="3604C486" w14:textId="77777777" w:rsidR="004B4E35" w:rsidRPr="00405303" w:rsidRDefault="009E6F82" w:rsidP="00C15251">
            <w:pPr>
              <w:jc w:val="both"/>
              <w:rPr>
                <w:bCs/>
                <w:color w:val="002060"/>
                <w:sz w:val="16"/>
                <w:szCs w:val="16"/>
              </w:rPr>
            </w:pPr>
            <w:r w:rsidRPr="00405303">
              <w:rPr>
                <w:bCs/>
                <w:color w:val="002060"/>
                <w:sz w:val="16"/>
                <w:szCs w:val="16"/>
              </w:rPr>
              <w:t>С 7 мая 1915 года</w:t>
            </w:r>
          </w:p>
        </w:tc>
      </w:tr>
      <w:tr w:rsidR="004B4E35" w:rsidRPr="00405303" w14:paraId="076F684D" w14:textId="77777777">
        <w:tc>
          <w:tcPr>
            <w:tcW w:w="1601" w:type="dxa"/>
          </w:tcPr>
          <w:p w14:paraId="0486B25D" w14:textId="77777777" w:rsidR="004B4E35" w:rsidRPr="00405303" w:rsidRDefault="009E6F82" w:rsidP="00C15251">
            <w:pPr>
              <w:jc w:val="both"/>
              <w:rPr>
                <w:bCs/>
                <w:color w:val="002060"/>
                <w:sz w:val="16"/>
                <w:szCs w:val="16"/>
              </w:rPr>
            </w:pPr>
            <w:r w:rsidRPr="00405303">
              <w:rPr>
                <w:bCs/>
                <w:color w:val="002060"/>
                <w:sz w:val="16"/>
                <w:szCs w:val="16"/>
              </w:rPr>
              <w:t>159</w:t>
            </w:r>
          </w:p>
        </w:tc>
        <w:tc>
          <w:tcPr>
            <w:tcW w:w="1601" w:type="dxa"/>
          </w:tcPr>
          <w:p w14:paraId="3E753FED" w14:textId="77777777" w:rsidR="004B4E35" w:rsidRPr="00405303" w:rsidRDefault="004B4E35" w:rsidP="00C15251">
            <w:pPr>
              <w:jc w:val="both"/>
              <w:rPr>
                <w:bCs/>
                <w:color w:val="002060"/>
                <w:sz w:val="16"/>
                <w:szCs w:val="16"/>
              </w:rPr>
            </w:pPr>
          </w:p>
        </w:tc>
        <w:tc>
          <w:tcPr>
            <w:tcW w:w="1601" w:type="dxa"/>
          </w:tcPr>
          <w:p w14:paraId="33222C08" w14:textId="77777777" w:rsidR="004B4E35" w:rsidRPr="00405303" w:rsidRDefault="009E6F82" w:rsidP="00C15251">
            <w:pPr>
              <w:jc w:val="both"/>
              <w:rPr>
                <w:bCs/>
                <w:color w:val="002060"/>
                <w:sz w:val="16"/>
                <w:szCs w:val="16"/>
              </w:rPr>
            </w:pPr>
            <w:r w:rsidRPr="00405303">
              <w:rPr>
                <w:bCs/>
                <w:color w:val="002060"/>
                <w:sz w:val="16"/>
                <w:szCs w:val="16"/>
              </w:rPr>
              <w:t>-</w:t>
            </w:r>
          </w:p>
        </w:tc>
        <w:tc>
          <w:tcPr>
            <w:tcW w:w="1601" w:type="dxa"/>
          </w:tcPr>
          <w:p w14:paraId="41000CF1" w14:textId="77777777" w:rsidR="004B4E35" w:rsidRPr="00405303" w:rsidRDefault="004B4E35" w:rsidP="00C15251">
            <w:pPr>
              <w:jc w:val="both"/>
              <w:rPr>
                <w:bCs/>
                <w:color w:val="002060"/>
                <w:sz w:val="16"/>
                <w:szCs w:val="16"/>
              </w:rPr>
            </w:pPr>
          </w:p>
        </w:tc>
        <w:tc>
          <w:tcPr>
            <w:tcW w:w="1601" w:type="dxa"/>
          </w:tcPr>
          <w:p w14:paraId="39FD51D1" w14:textId="77777777" w:rsidR="004B4E35" w:rsidRPr="00405303" w:rsidRDefault="009E6F82" w:rsidP="00C15251">
            <w:pPr>
              <w:jc w:val="both"/>
              <w:rPr>
                <w:bCs/>
                <w:color w:val="002060"/>
                <w:sz w:val="16"/>
                <w:szCs w:val="16"/>
              </w:rPr>
            </w:pPr>
            <w:r w:rsidRPr="00405303">
              <w:rPr>
                <w:bCs/>
                <w:color w:val="002060"/>
                <w:sz w:val="16"/>
                <w:szCs w:val="16"/>
              </w:rPr>
              <w:t>X</w:t>
            </w:r>
          </w:p>
        </w:tc>
        <w:tc>
          <w:tcPr>
            <w:tcW w:w="1601" w:type="dxa"/>
          </w:tcPr>
          <w:p w14:paraId="463897B7" w14:textId="77777777" w:rsidR="004B4E35" w:rsidRPr="00405303" w:rsidRDefault="009E6F82" w:rsidP="00C15251">
            <w:pPr>
              <w:jc w:val="both"/>
              <w:rPr>
                <w:bCs/>
                <w:color w:val="002060"/>
                <w:sz w:val="16"/>
                <w:szCs w:val="16"/>
              </w:rPr>
            </w:pPr>
            <w:r w:rsidRPr="00405303">
              <w:rPr>
                <w:bCs/>
                <w:color w:val="002060"/>
                <w:sz w:val="16"/>
                <w:szCs w:val="16"/>
              </w:rPr>
              <w:t>Штабс-капитан А.П. Чечулин</w:t>
            </w:r>
          </w:p>
        </w:tc>
        <w:tc>
          <w:tcPr>
            <w:tcW w:w="1601" w:type="dxa"/>
          </w:tcPr>
          <w:p w14:paraId="04212AB1" w14:textId="77777777" w:rsidR="004B4E35" w:rsidRPr="00405303" w:rsidRDefault="009E6F82" w:rsidP="00C15251">
            <w:pPr>
              <w:jc w:val="both"/>
              <w:rPr>
                <w:bCs/>
                <w:color w:val="002060"/>
                <w:sz w:val="16"/>
                <w:szCs w:val="16"/>
              </w:rPr>
            </w:pPr>
            <w:r w:rsidRPr="00405303">
              <w:rPr>
                <w:bCs/>
                <w:color w:val="002060"/>
                <w:sz w:val="16"/>
                <w:szCs w:val="16"/>
              </w:rPr>
              <w:t>29 июля 1915 года</w:t>
            </w:r>
          </w:p>
        </w:tc>
      </w:tr>
      <w:tr w:rsidR="004B4E35" w:rsidRPr="00405303" w14:paraId="0E6D2125" w14:textId="77777777">
        <w:tc>
          <w:tcPr>
            <w:tcW w:w="1601" w:type="dxa"/>
          </w:tcPr>
          <w:p w14:paraId="5800F497" w14:textId="77777777" w:rsidR="004B4E35" w:rsidRPr="00405303" w:rsidRDefault="009E6F82" w:rsidP="00C15251">
            <w:pPr>
              <w:jc w:val="both"/>
              <w:rPr>
                <w:bCs/>
                <w:color w:val="002060"/>
                <w:sz w:val="16"/>
                <w:szCs w:val="16"/>
              </w:rPr>
            </w:pPr>
            <w:r w:rsidRPr="00405303">
              <w:rPr>
                <w:bCs/>
                <w:color w:val="002060"/>
                <w:sz w:val="16"/>
                <w:szCs w:val="16"/>
              </w:rPr>
              <w:t>160</w:t>
            </w:r>
          </w:p>
        </w:tc>
        <w:tc>
          <w:tcPr>
            <w:tcW w:w="1601" w:type="dxa"/>
          </w:tcPr>
          <w:p w14:paraId="37B41B8C" w14:textId="77777777" w:rsidR="004B4E35" w:rsidRPr="00405303" w:rsidRDefault="009E6F82" w:rsidP="00C15251">
            <w:pPr>
              <w:jc w:val="both"/>
              <w:rPr>
                <w:bCs/>
                <w:color w:val="002060"/>
                <w:sz w:val="16"/>
                <w:szCs w:val="16"/>
              </w:rPr>
            </w:pPr>
            <w:r w:rsidRPr="00405303">
              <w:rPr>
                <w:bCs/>
                <w:color w:val="002060"/>
                <w:sz w:val="16"/>
                <w:szCs w:val="16"/>
              </w:rPr>
              <w:t>4 х</w:t>
            </w:r>
          </w:p>
        </w:tc>
        <w:tc>
          <w:tcPr>
            <w:tcW w:w="1601" w:type="dxa"/>
          </w:tcPr>
          <w:p w14:paraId="1391A9C5" w14:textId="77777777" w:rsidR="004B4E35" w:rsidRPr="00405303" w:rsidRDefault="009E6F82" w:rsidP="00C15251">
            <w:pPr>
              <w:jc w:val="both"/>
              <w:rPr>
                <w:bCs/>
                <w:color w:val="002060"/>
                <w:sz w:val="16"/>
                <w:szCs w:val="16"/>
              </w:rPr>
            </w:pPr>
            <w:r w:rsidRPr="00405303">
              <w:rPr>
                <w:bCs/>
                <w:color w:val="002060"/>
                <w:sz w:val="16"/>
                <w:szCs w:val="16"/>
              </w:rPr>
              <w:t>"Санбим"</w:t>
            </w:r>
          </w:p>
        </w:tc>
        <w:tc>
          <w:tcPr>
            <w:tcW w:w="1601" w:type="dxa"/>
          </w:tcPr>
          <w:p w14:paraId="562AB139" w14:textId="77777777" w:rsidR="004B4E35" w:rsidRPr="00405303" w:rsidRDefault="009E6F82" w:rsidP="00C15251">
            <w:pPr>
              <w:jc w:val="both"/>
              <w:rPr>
                <w:bCs/>
                <w:color w:val="002060"/>
                <w:sz w:val="16"/>
                <w:szCs w:val="16"/>
              </w:rPr>
            </w:pPr>
            <w:r w:rsidRPr="00405303">
              <w:rPr>
                <w:bCs/>
                <w:color w:val="002060"/>
                <w:sz w:val="16"/>
                <w:szCs w:val="16"/>
              </w:rPr>
              <w:t>150 л.с.</w:t>
            </w:r>
          </w:p>
        </w:tc>
        <w:tc>
          <w:tcPr>
            <w:tcW w:w="1601" w:type="dxa"/>
          </w:tcPr>
          <w:p w14:paraId="3EDDBC90" w14:textId="77777777" w:rsidR="004B4E35" w:rsidRPr="00405303" w:rsidRDefault="009E6F82" w:rsidP="00C15251">
            <w:pPr>
              <w:jc w:val="both"/>
              <w:rPr>
                <w:bCs/>
                <w:color w:val="002060"/>
                <w:sz w:val="16"/>
                <w:szCs w:val="16"/>
              </w:rPr>
            </w:pPr>
            <w:r w:rsidRPr="00405303">
              <w:rPr>
                <w:bCs/>
                <w:color w:val="002060"/>
                <w:sz w:val="16"/>
                <w:szCs w:val="16"/>
              </w:rPr>
              <w:t>II</w:t>
            </w:r>
          </w:p>
        </w:tc>
        <w:tc>
          <w:tcPr>
            <w:tcW w:w="1601" w:type="dxa"/>
          </w:tcPr>
          <w:p w14:paraId="5B97A685" w14:textId="77777777" w:rsidR="004B4E35" w:rsidRPr="00405303" w:rsidRDefault="009E6F82" w:rsidP="00C15251">
            <w:pPr>
              <w:jc w:val="both"/>
              <w:rPr>
                <w:bCs/>
                <w:color w:val="002060"/>
                <w:sz w:val="16"/>
                <w:szCs w:val="16"/>
              </w:rPr>
            </w:pPr>
            <w:r w:rsidRPr="00405303">
              <w:rPr>
                <w:bCs/>
                <w:color w:val="002060"/>
                <w:sz w:val="16"/>
                <w:szCs w:val="16"/>
              </w:rPr>
              <w:t>Штабс-капитан А.В. Панкратьев</w:t>
            </w:r>
          </w:p>
        </w:tc>
        <w:tc>
          <w:tcPr>
            <w:tcW w:w="1601" w:type="dxa"/>
          </w:tcPr>
          <w:p w14:paraId="63DC1DB9" w14:textId="77777777" w:rsidR="004B4E35" w:rsidRPr="00405303" w:rsidRDefault="009E6F82" w:rsidP="00C15251">
            <w:pPr>
              <w:jc w:val="both"/>
              <w:rPr>
                <w:bCs/>
                <w:color w:val="002060"/>
                <w:sz w:val="16"/>
                <w:szCs w:val="16"/>
              </w:rPr>
            </w:pPr>
            <w:r w:rsidRPr="00405303">
              <w:rPr>
                <w:bCs/>
                <w:color w:val="002060"/>
                <w:sz w:val="16"/>
                <w:szCs w:val="16"/>
              </w:rPr>
              <w:t>С 7 мая по 29 июля 1915 года</w:t>
            </w:r>
          </w:p>
        </w:tc>
      </w:tr>
      <w:tr w:rsidR="004B4E35" w:rsidRPr="00405303" w14:paraId="3D2C9239" w14:textId="77777777">
        <w:tc>
          <w:tcPr>
            <w:tcW w:w="1601" w:type="dxa"/>
          </w:tcPr>
          <w:p w14:paraId="0B9D413E" w14:textId="77777777" w:rsidR="004B4E35" w:rsidRPr="00405303" w:rsidRDefault="004B4E35" w:rsidP="00C15251">
            <w:pPr>
              <w:jc w:val="both"/>
              <w:rPr>
                <w:bCs/>
                <w:color w:val="002060"/>
                <w:sz w:val="16"/>
                <w:szCs w:val="16"/>
              </w:rPr>
            </w:pPr>
          </w:p>
        </w:tc>
        <w:tc>
          <w:tcPr>
            <w:tcW w:w="1601" w:type="dxa"/>
          </w:tcPr>
          <w:p w14:paraId="2ADC8EDD" w14:textId="77777777" w:rsidR="004B4E35" w:rsidRPr="00405303" w:rsidRDefault="004B4E35" w:rsidP="00C15251">
            <w:pPr>
              <w:jc w:val="both"/>
              <w:rPr>
                <w:bCs/>
                <w:color w:val="002060"/>
                <w:sz w:val="16"/>
                <w:szCs w:val="16"/>
              </w:rPr>
            </w:pPr>
          </w:p>
        </w:tc>
        <w:tc>
          <w:tcPr>
            <w:tcW w:w="1601" w:type="dxa"/>
          </w:tcPr>
          <w:p w14:paraId="6A61759F" w14:textId="77777777" w:rsidR="004B4E35" w:rsidRPr="00405303" w:rsidRDefault="004B4E35" w:rsidP="00C15251">
            <w:pPr>
              <w:jc w:val="both"/>
              <w:rPr>
                <w:bCs/>
                <w:color w:val="002060"/>
                <w:sz w:val="16"/>
                <w:szCs w:val="16"/>
              </w:rPr>
            </w:pPr>
          </w:p>
        </w:tc>
        <w:tc>
          <w:tcPr>
            <w:tcW w:w="1601" w:type="dxa"/>
          </w:tcPr>
          <w:p w14:paraId="37EA3D96" w14:textId="77777777" w:rsidR="004B4E35" w:rsidRPr="00405303" w:rsidRDefault="004B4E35" w:rsidP="00C15251">
            <w:pPr>
              <w:jc w:val="both"/>
              <w:rPr>
                <w:bCs/>
                <w:color w:val="002060"/>
                <w:sz w:val="16"/>
                <w:szCs w:val="16"/>
              </w:rPr>
            </w:pPr>
          </w:p>
        </w:tc>
        <w:tc>
          <w:tcPr>
            <w:tcW w:w="1601" w:type="dxa"/>
          </w:tcPr>
          <w:p w14:paraId="304981C1" w14:textId="77777777" w:rsidR="004B4E35" w:rsidRPr="00405303" w:rsidRDefault="009E6F82" w:rsidP="00C15251">
            <w:pPr>
              <w:jc w:val="both"/>
              <w:rPr>
                <w:bCs/>
                <w:color w:val="002060"/>
                <w:sz w:val="16"/>
                <w:szCs w:val="16"/>
              </w:rPr>
            </w:pPr>
            <w:r w:rsidRPr="00405303">
              <w:rPr>
                <w:bCs/>
                <w:color w:val="002060"/>
                <w:sz w:val="16"/>
                <w:szCs w:val="16"/>
              </w:rPr>
              <w:t>VIII</w:t>
            </w:r>
          </w:p>
        </w:tc>
        <w:tc>
          <w:tcPr>
            <w:tcW w:w="1601" w:type="dxa"/>
          </w:tcPr>
          <w:p w14:paraId="0F038FED" w14:textId="77777777" w:rsidR="004B4E35" w:rsidRPr="00405303" w:rsidRDefault="009E6F82" w:rsidP="00C15251">
            <w:pPr>
              <w:jc w:val="both"/>
              <w:rPr>
                <w:bCs/>
                <w:color w:val="002060"/>
                <w:sz w:val="16"/>
                <w:szCs w:val="16"/>
              </w:rPr>
            </w:pPr>
            <w:r w:rsidRPr="00405303">
              <w:rPr>
                <w:bCs/>
                <w:color w:val="002060"/>
                <w:sz w:val="16"/>
                <w:szCs w:val="16"/>
              </w:rPr>
              <w:t>Поручик М.В. Смирнов</w:t>
            </w:r>
          </w:p>
        </w:tc>
        <w:tc>
          <w:tcPr>
            <w:tcW w:w="1601" w:type="dxa"/>
          </w:tcPr>
          <w:p w14:paraId="16B51D2A" w14:textId="77777777" w:rsidR="004B4E35" w:rsidRPr="00405303" w:rsidRDefault="009E6F82" w:rsidP="00C15251">
            <w:pPr>
              <w:jc w:val="both"/>
              <w:rPr>
                <w:bCs/>
                <w:color w:val="002060"/>
                <w:sz w:val="16"/>
                <w:szCs w:val="16"/>
              </w:rPr>
            </w:pPr>
            <w:r w:rsidRPr="00405303">
              <w:rPr>
                <w:bCs/>
                <w:color w:val="002060"/>
                <w:sz w:val="16"/>
                <w:szCs w:val="16"/>
              </w:rPr>
              <w:t>С 29 июля 1915 года</w:t>
            </w:r>
          </w:p>
        </w:tc>
      </w:tr>
      <w:tr w:rsidR="004B4E35" w:rsidRPr="00405303" w14:paraId="0FC387A2" w14:textId="77777777">
        <w:tc>
          <w:tcPr>
            <w:tcW w:w="1601" w:type="dxa"/>
          </w:tcPr>
          <w:p w14:paraId="71F276DC" w14:textId="77777777" w:rsidR="004B4E35" w:rsidRPr="00405303" w:rsidRDefault="009E6F82" w:rsidP="00C15251">
            <w:pPr>
              <w:jc w:val="both"/>
              <w:rPr>
                <w:bCs/>
                <w:color w:val="002060"/>
                <w:sz w:val="16"/>
                <w:szCs w:val="16"/>
              </w:rPr>
            </w:pPr>
            <w:r w:rsidRPr="00405303">
              <w:rPr>
                <w:bCs/>
                <w:color w:val="002060"/>
                <w:sz w:val="16"/>
                <w:szCs w:val="16"/>
              </w:rPr>
              <w:t>161</w:t>
            </w:r>
          </w:p>
        </w:tc>
        <w:tc>
          <w:tcPr>
            <w:tcW w:w="1601" w:type="dxa"/>
          </w:tcPr>
          <w:p w14:paraId="7DC6D42C" w14:textId="77777777" w:rsidR="004B4E35" w:rsidRPr="00405303" w:rsidRDefault="009E6F82" w:rsidP="00C15251">
            <w:pPr>
              <w:jc w:val="both"/>
              <w:rPr>
                <w:bCs/>
                <w:color w:val="002060"/>
                <w:sz w:val="16"/>
                <w:szCs w:val="16"/>
              </w:rPr>
            </w:pPr>
            <w:r w:rsidRPr="00405303">
              <w:rPr>
                <w:bCs/>
                <w:color w:val="002060"/>
                <w:sz w:val="16"/>
                <w:szCs w:val="16"/>
              </w:rPr>
              <w:t>2 х</w:t>
            </w:r>
          </w:p>
        </w:tc>
        <w:tc>
          <w:tcPr>
            <w:tcW w:w="1601" w:type="dxa"/>
          </w:tcPr>
          <w:p w14:paraId="4FC69EBC" w14:textId="77777777" w:rsidR="004B4E35" w:rsidRPr="00405303" w:rsidRDefault="009E6F82" w:rsidP="00C15251">
            <w:pPr>
              <w:jc w:val="both"/>
              <w:rPr>
                <w:bCs/>
                <w:color w:val="002060"/>
                <w:sz w:val="16"/>
                <w:szCs w:val="16"/>
              </w:rPr>
            </w:pPr>
            <w:r w:rsidRPr="00405303">
              <w:rPr>
                <w:bCs/>
                <w:color w:val="002060"/>
                <w:sz w:val="16"/>
                <w:szCs w:val="16"/>
              </w:rPr>
              <w:t>"Санбим"</w:t>
            </w:r>
          </w:p>
        </w:tc>
        <w:tc>
          <w:tcPr>
            <w:tcW w:w="1601" w:type="dxa"/>
          </w:tcPr>
          <w:p w14:paraId="11C46ACA" w14:textId="77777777" w:rsidR="004B4E35" w:rsidRPr="00405303" w:rsidRDefault="009E6F82" w:rsidP="00C15251">
            <w:pPr>
              <w:jc w:val="both"/>
              <w:rPr>
                <w:bCs/>
                <w:color w:val="002060"/>
                <w:sz w:val="16"/>
                <w:szCs w:val="16"/>
              </w:rPr>
            </w:pPr>
            <w:r w:rsidRPr="00405303">
              <w:rPr>
                <w:bCs/>
                <w:color w:val="002060"/>
                <w:sz w:val="16"/>
                <w:szCs w:val="16"/>
              </w:rPr>
              <w:t>225 л.с.</w:t>
            </w:r>
          </w:p>
        </w:tc>
        <w:tc>
          <w:tcPr>
            <w:tcW w:w="1601" w:type="dxa"/>
          </w:tcPr>
          <w:p w14:paraId="37418EB7" w14:textId="77777777" w:rsidR="004B4E35" w:rsidRPr="00405303" w:rsidRDefault="009E6F82" w:rsidP="00C15251">
            <w:pPr>
              <w:jc w:val="both"/>
              <w:rPr>
                <w:bCs/>
                <w:color w:val="002060"/>
                <w:sz w:val="16"/>
                <w:szCs w:val="16"/>
              </w:rPr>
            </w:pPr>
            <w:r w:rsidRPr="00405303">
              <w:rPr>
                <w:bCs/>
                <w:color w:val="002060"/>
                <w:sz w:val="16"/>
                <w:szCs w:val="16"/>
              </w:rPr>
              <w:t>V</w:t>
            </w:r>
          </w:p>
        </w:tc>
        <w:tc>
          <w:tcPr>
            <w:tcW w:w="1601" w:type="dxa"/>
          </w:tcPr>
          <w:p w14:paraId="690CD952" w14:textId="77777777" w:rsidR="004B4E35" w:rsidRPr="00405303" w:rsidRDefault="009E6F82" w:rsidP="00C15251">
            <w:pPr>
              <w:jc w:val="both"/>
              <w:rPr>
                <w:bCs/>
                <w:color w:val="002060"/>
                <w:sz w:val="16"/>
                <w:szCs w:val="16"/>
              </w:rPr>
            </w:pPr>
            <w:r w:rsidRPr="00405303">
              <w:rPr>
                <w:bCs/>
                <w:color w:val="002060"/>
                <w:sz w:val="16"/>
                <w:szCs w:val="16"/>
              </w:rPr>
              <w:t>Штабс-капитан Г.В. Алехнович</w:t>
            </w:r>
          </w:p>
        </w:tc>
        <w:tc>
          <w:tcPr>
            <w:tcW w:w="1601" w:type="dxa"/>
          </w:tcPr>
          <w:p w14:paraId="2CFA0CA3" w14:textId="77777777" w:rsidR="004B4E35" w:rsidRPr="00405303" w:rsidRDefault="009E6F82" w:rsidP="00C15251">
            <w:pPr>
              <w:jc w:val="both"/>
              <w:rPr>
                <w:bCs/>
                <w:color w:val="002060"/>
                <w:sz w:val="16"/>
                <w:szCs w:val="16"/>
              </w:rPr>
            </w:pPr>
            <w:r w:rsidRPr="00405303">
              <w:rPr>
                <w:bCs/>
                <w:color w:val="002060"/>
                <w:sz w:val="16"/>
                <w:szCs w:val="16"/>
              </w:rPr>
              <w:t>Учебный</w:t>
            </w:r>
          </w:p>
        </w:tc>
      </w:tr>
      <w:tr w:rsidR="004B4E35" w:rsidRPr="00405303" w14:paraId="76B5A1B9" w14:textId="77777777">
        <w:tc>
          <w:tcPr>
            <w:tcW w:w="1601" w:type="dxa"/>
          </w:tcPr>
          <w:p w14:paraId="5B371117" w14:textId="77777777" w:rsidR="004B4E35" w:rsidRPr="00405303" w:rsidRDefault="004B4E35" w:rsidP="00C15251">
            <w:pPr>
              <w:jc w:val="both"/>
              <w:rPr>
                <w:bCs/>
                <w:color w:val="002060"/>
                <w:sz w:val="16"/>
                <w:szCs w:val="16"/>
              </w:rPr>
            </w:pPr>
          </w:p>
        </w:tc>
        <w:tc>
          <w:tcPr>
            <w:tcW w:w="1601" w:type="dxa"/>
          </w:tcPr>
          <w:p w14:paraId="6A9784E2" w14:textId="77777777" w:rsidR="004B4E35" w:rsidRPr="00405303" w:rsidRDefault="004B4E35" w:rsidP="00C15251">
            <w:pPr>
              <w:jc w:val="both"/>
              <w:rPr>
                <w:bCs/>
                <w:color w:val="002060"/>
                <w:sz w:val="16"/>
                <w:szCs w:val="16"/>
              </w:rPr>
            </w:pPr>
          </w:p>
        </w:tc>
        <w:tc>
          <w:tcPr>
            <w:tcW w:w="1601" w:type="dxa"/>
          </w:tcPr>
          <w:p w14:paraId="51D1B0A9" w14:textId="77777777" w:rsidR="004B4E35" w:rsidRPr="00405303" w:rsidRDefault="004B4E35" w:rsidP="00C15251">
            <w:pPr>
              <w:jc w:val="both"/>
              <w:rPr>
                <w:bCs/>
                <w:color w:val="002060"/>
                <w:sz w:val="16"/>
                <w:szCs w:val="16"/>
              </w:rPr>
            </w:pPr>
          </w:p>
        </w:tc>
        <w:tc>
          <w:tcPr>
            <w:tcW w:w="1601" w:type="dxa"/>
          </w:tcPr>
          <w:p w14:paraId="74732612" w14:textId="77777777" w:rsidR="004B4E35" w:rsidRPr="00405303" w:rsidRDefault="004B4E35" w:rsidP="00C15251">
            <w:pPr>
              <w:jc w:val="both"/>
              <w:rPr>
                <w:bCs/>
                <w:color w:val="002060"/>
                <w:sz w:val="16"/>
                <w:szCs w:val="16"/>
              </w:rPr>
            </w:pPr>
          </w:p>
        </w:tc>
        <w:tc>
          <w:tcPr>
            <w:tcW w:w="1601" w:type="dxa"/>
          </w:tcPr>
          <w:p w14:paraId="00888936" w14:textId="77777777" w:rsidR="004B4E35" w:rsidRPr="00405303" w:rsidRDefault="009E6F82" w:rsidP="00C15251">
            <w:pPr>
              <w:jc w:val="both"/>
              <w:rPr>
                <w:bCs/>
                <w:color w:val="002060"/>
                <w:sz w:val="16"/>
                <w:szCs w:val="16"/>
              </w:rPr>
            </w:pPr>
            <w:r w:rsidRPr="00405303">
              <w:rPr>
                <w:bCs/>
                <w:color w:val="002060"/>
                <w:sz w:val="16"/>
                <w:szCs w:val="16"/>
              </w:rPr>
              <w:t>IX</w:t>
            </w:r>
          </w:p>
        </w:tc>
        <w:tc>
          <w:tcPr>
            <w:tcW w:w="1601" w:type="dxa"/>
          </w:tcPr>
          <w:p w14:paraId="11049C16" w14:textId="77777777" w:rsidR="004B4E35" w:rsidRPr="00405303" w:rsidRDefault="009E6F82" w:rsidP="00C15251">
            <w:pPr>
              <w:jc w:val="both"/>
              <w:rPr>
                <w:bCs/>
                <w:color w:val="002060"/>
                <w:sz w:val="16"/>
                <w:szCs w:val="16"/>
              </w:rPr>
            </w:pPr>
            <w:r w:rsidRPr="00405303">
              <w:rPr>
                <w:bCs/>
                <w:color w:val="002060"/>
                <w:sz w:val="16"/>
                <w:szCs w:val="16"/>
              </w:rPr>
              <w:t>Штабс-капитан Р.Л. Нижевский</w:t>
            </w:r>
          </w:p>
        </w:tc>
        <w:tc>
          <w:tcPr>
            <w:tcW w:w="1601" w:type="dxa"/>
          </w:tcPr>
          <w:p w14:paraId="78E4A5B2" w14:textId="77777777" w:rsidR="004B4E35" w:rsidRPr="00405303" w:rsidRDefault="009E6F82" w:rsidP="00C15251">
            <w:pPr>
              <w:jc w:val="both"/>
              <w:rPr>
                <w:bCs/>
                <w:color w:val="002060"/>
                <w:sz w:val="16"/>
                <w:szCs w:val="16"/>
              </w:rPr>
            </w:pPr>
            <w:r w:rsidRPr="00405303">
              <w:rPr>
                <w:bCs/>
                <w:color w:val="002060"/>
                <w:sz w:val="16"/>
                <w:szCs w:val="16"/>
              </w:rPr>
              <w:t>С 29 июля по 12 сентября 1915 года</w:t>
            </w:r>
          </w:p>
        </w:tc>
      </w:tr>
      <w:tr w:rsidR="004B4E35" w:rsidRPr="00405303" w14:paraId="2A03BB1E" w14:textId="77777777">
        <w:tc>
          <w:tcPr>
            <w:tcW w:w="1601" w:type="dxa"/>
          </w:tcPr>
          <w:p w14:paraId="310A28C6" w14:textId="77777777" w:rsidR="004B4E35" w:rsidRPr="00405303" w:rsidRDefault="009E6F82" w:rsidP="00C15251">
            <w:pPr>
              <w:jc w:val="both"/>
              <w:rPr>
                <w:bCs/>
                <w:color w:val="002060"/>
                <w:sz w:val="16"/>
                <w:szCs w:val="16"/>
              </w:rPr>
            </w:pPr>
            <w:r w:rsidRPr="00405303">
              <w:rPr>
                <w:bCs/>
                <w:color w:val="002060"/>
                <w:sz w:val="16"/>
                <w:szCs w:val="16"/>
              </w:rPr>
              <w:t>162</w:t>
            </w:r>
          </w:p>
        </w:tc>
        <w:tc>
          <w:tcPr>
            <w:tcW w:w="1601" w:type="dxa"/>
          </w:tcPr>
          <w:p w14:paraId="6DCB036D" w14:textId="77777777" w:rsidR="004B4E35" w:rsidRPr="00405303" w:rsidRDefault="009E6F82" w:rsidP="00C15251">
            <w:pPr>
              <w:jc w:val="both"/>
              <w:rPr>
                <w:bCs/>
                <w:color w:val="002060"/>
                <w:sz w:val="16"/>
                <w:szCs w:val="16"/>
              </w:rPr>
            </w:pPr>
            <w:r w:rsidRPr="00405303">
              <w:rPr>
                <w:bCs/>
                <w:color w:val="002060"/>
                <w:sz w:val="16"/>
                <w:szCs w:val="16"/>
              </w:rPr>
              <w:t>4 х</w:t>
            </w:r>
          </w:p>
        </w:tc>
        <w:tc>
          <w:tcPr>
            <w:tcW w:w="1601" w:type="dxa"/>
          </w:tcPr>
          <w:p w14:paraId="204F6216" w14:textId="77777777" w:rsidR="004B4E35" w:rsidRPr="00405303" w:rsidRDefault="009E6F82" w:rsidP="00C15251">
            <w:pPr>
              <w:jc w:val="both"/>
              <w:rPr>
                <w:bCs/>
                <w:color w:val="002060"/>
                <w:sz w:val="16"/>
                <w:szCs w:val="16"/>
              </w:rPr>
            </w:pPr>
            <w:r w:rsidRPr="00405303">
              <w:rPr>
                <w:bCs/>
                <w:color w:val="002060"/>
                <w:sz w:val="16"/>
                <w:szCs w:val="16"/>
              </w:rPr>
              <w:t>"Санбим"</w:t>
            </w:r>
          </w:p>
        </w:tc>
        <w:tc>
          <w:tcPr>
            <w:tcW w:w="1601" w:type="dxa"/>
          </w:tcPr>
          <w:p w14:paraId="2072B8A4" w14:textId="77777777" w:rsidR="004B4E35" w:rsidRPr="00405303" w:rsidRDefault="009E6F82" w:rsidP="00C15251">
            <w:pPr>
              <w:jc w:val="both"/>
              <w:rPr>
                <w:bCs/>
                <w:color w:val="002060"/>
                <w:sz w:val="16"/>
                <w:szCs w:val="16"/>
              </w:rPr>
            </w:pPr>
            <w:r w:rsidRPr="00405303">
              <w:rPr>
                <w:bCs/>
                <w:color w:val="002060"/>
                <w:sz w:val="16"/>
                <w:szCs w:val="16"/>
              </w:rPr>
              <w:t>150 л.с.</w:t>
            </w:r>
          </w:p>
        </w:tc>
        <w:tc>
          <w:tcPr>
            <w:tcW w:w="1601" w:type="dxa"/>
          </w:tcPr>
          <w:p w14:paraId="6C222C77" w14:textId="77777777" w:rsidR="004B4E35" w:rsidRPr="00405303" w:rsidRDefault="009E6F82" w:rsidP="00C15251">
            <w:pPr>
              <w:jc w:val="both"/>
              <w:rPr>
                <w:bCs/>
                <w:color w:val="002060"/>
                <w:sz w:val="16"/>
                <w:szCs w:val="16"/>
              </w:rPr>
            </w:pPr>
            <w:r w:rsidRPr="00405303">
              <w:rPr>
                <w:bCs/>
                <w:color w:val="002060"/>
                <w:sz w:val="16"/>
                <w:szCs w:val="16"/>
              </w:rPr>
              <w:t>I</w:t>
            </w:r>
          </w:p>
        </w:tc>
        <w:tc>
          <w:tcPr>
            <w:tcW w:w="1601" w:type="dxa"/>
          </w:tcPr>
          <w:p w14:paraId="7610B69B" w14:textId="77777777" w:rsidR="004B4E35" w:rsidRPr="00405303" w:rsidRDefault="009E6F82" w:rsidP="00C15251">
            <w:pPr>
              <w:jc w:val="both"/>
              <w:rPr>
                <w:bCs/>
                <w:color w:val="002060"/>
                <w:sz w:val="16"/>
                <w:szCs w:val="16"/>
              </w:rPr>
            </w:pPr>
            <w:r w:rsidRPr="00405303">
              <w:rPr>
                <w:bCs/>
                <w:color w:val="002060"/>
                <w:sz w:val="16"/>
                <w:szCs w:val="16"/>
              </w:rPr>
              <w:t>Лейтенант Г.И. Лавров</w:t>
            </w:r>
          </w:p>
        </w:tc>
        <w:tc>
          <w:tcPr>
            <w:tcW w:w="1601" w:type="dxa"/>
          </w:tcPr>
          <w:p w14:paraId="7A3A4F5E" w14:textId="77777777" w:rsidR="004B4E35" w:rsidRPr="00405303" w:rsidRDefault="009E6F82" w:rsidP="00C15251">
            <w:pPr>
              <w:jc w:val="both"/>
              <w:rPr>
                <w:bCs/>
                <w:color w:val="002060"/>
                <w:sz w:val="16"/>
                <w:szCs w:val="16"/>
              </w:rPr>
            </w:pPr>
            <w:r w:rsidRPr="00405303">
              <w:rPr>
                <w:bCs/>
                <w:color w:val="002060"/>
                <w:sz w:val="16"/>
                <w:szCs w:val="16"/>
              </w:rPr>
              <w:t>С 19 по 30 июня 1915 года</w:t>
            </w:r>
          </w:p>
        </w:tc>
      </w:tr>
      <w:tr w:rsidR="004B4E35" w:rsidRPr="00405303" w14:paraId="28B7755D" w14:textId="77777777">
        <w:tc>
          <w:tcPr>
            <w:tcW w:w="1601" w:type="dxa"/>
          </w:tcPr>
          <w:p w14:paraId="6C2E2C03" w14:textId="77777777" w:rsidR="004B4E35" w:rsidRPr="00405303" w:rsidRDefault="004B4E35" w:rsidP="00C15251">
            <w:pPr>
              <w:jc w:val="both"/>
              <w:rPr>
                <w:bCs/>
                <w:color w:val="002060"/>
                <w:sz w:val="16"/>
                <w:szCs w:val="16"/>
              </w:rPr>
            </w:pPr>
          </w:p>
        </w:tc>
        <w:tc>
          <w:tcPr>
            <w:tcW w:w="1601" w:type="dxa"/>
          </w:tcPr>
          <w:p w14:paraId="425B5F2F" w14:textId="77777777" w:rsidR="004B4E35" w:rsidRPr="00405303" w:rsidRDefault="004B4E35" w:rsidP="00C15251">
            <w:pPr>
              <w:jc w:val="both"/>
              <w:rPr>
                <w:bCs/>
                <w:color w:val="002060"/>
                <w:sz w:val="16"/>
                <w:szCs w:val="16"/>
              </w:rPr>
            </w:pPr>
          </w:p>
        </w:tc>
        <w:tc>
          <w:tcPr>
            <w:tcW w:w="1601" w:type="dxa"/>
          </w:tcPr>
          <w:p w14:paraId="465F5DB9" w14:textId="77777777" w:rsidR="004B4E35" w:rsidRPr="00405303" w:rsidRDefault="004B4E35" w:rsidP="00C15251">
            <w:pPr>
              <w:jc w:val="both"/>
              <w:rPr>
                <w:bCs/>
                <w:color w:val="002060"/>
                <w:sz w:val="16"/>
                <w:szCs w:val="16"/>
              </w:rPr>
            </w:pPr>
          </w:p>
        </w:tc>
        <w:tc>
          <w:tcPr>
            <w:tcW w:w="1601" w:type="dxa"/>
          </w:tcPr>
          <w:p w14:paraId="539B5F44" w14:textId="77777777" w:rsidR="004B4E35" w:rsidRPr="00405303" w:rsidRDefault="004B4E35" w:rsidP="00C15251">
            <w:pPr>
              <w:jc w:val="both"/>
              <w:rPr>
                <w:bCs/>
                <w:color w:val="002060"/>
                <w:sz w:val="16"/>
                <w:szCs w:val="16"/>
              </w:rPr>
            </w:pPr>
          </w:p>
        </w:tc>
        <w:tc>
          <w:tcPr>
            <w:tcW w:w="1601" w:type="dxa"/>
          </w:tcPr>
          <w:p w14:paraId="0AA2A479" w14:textId="77777777" w:rsidR="004B4E35" w:rsidRPr="00405303" w:rsidRDefault="009E6F82" w:rsidP="00C15251">
            <w:pPr>
              <w:jc w:val="both"/>
              <w:rPr>
                <w:bCs/>
                <w:color w:val="002060"/>
                <w:sz w:val="16"/>
                <w:szCs w:val="16"/>
              </w:rPr>
            </w:pPr>
            <w:r w:rsidRPr="00405303">
              <w:rPr>
                <w:bCs/>
                <w:color w:val="002060"/>
                <w:sz w:val="16"/>
                <w:szCs w:val="16"/>
              </w:rPr>
              <w:t>VI</w:t>
            </w:r>
          </w:p>
        </w:tc>
        <w:tc>
          <w:tcPr>
            <w:tcW w:w="1601" w:type="dxa"/>
          </w:tcPr>
          <w:p w14:paraId="1C8C7799" w14:textId="77777777" w:rsidR="004B4E35" w:rsidRPr="00405303" w:rsidRDefault="009E6F82" w:rsidP="00C15251">
            <w:pPr>
              <w:jc w:val="both"/>
              <w:rPr>
                <w:bCs/>
                <w:color w:val="002060"/>
                <w:sz w:val="16"/>
                <w:szCs w:val="16"/>
              </w:rPr>
            </w:pPr>
            <w:r w:rsidRPr="00405303">
              <w:rPr>
                <w:bCs/>
                <w:color w:val="002060"/>
                <w:sz w:val="16"/>
                <w:szCs w:val="16"/>
              </w:rPr>
              <w:t>Поручик С.И. Головин</w:t>
            </w:r>
          </w:p>
        </w:tc>
        <w:tc>
          <w:tcPr>
            <w:tcW w:w="1601" w:type="dxa"/>
          </w:tcPr>
          <w:p w14:paraId="53D4E08D" w14:textId="77777777" w:rsidR="004B4E35" w:rsidRPr="00405303" w:rsidRDefault="009E6F82" w:rsidP="00C15251">
            <w:pPr>
              <w:jc w:val="both"/>
              <w:rPr>
                <w:bCs/>
                <w:color w:val="002060"/>
                <w:sz w:val="16"/>
                <w:szCs w:val="16"/>
              </w:rPr>
            </w:pPr>
            <w:r w:rsidRPr="00405303">
              <w:rPr>
                <w:bCs/>
                <w:color w:val="002060"/>
                <w:sz w:val="16"/>
                <w:szCs w:val="16"/>
              </w:rPr>
              <w:t>С 29 июля 1915 года</w:t>
            </w:r>
          </w:p>
        </w:tc>
      </w:tr>
      <w:tr w:rsidR="004B4E35" w:rsidRPr="00405303" w14:paraId="3E1F9C9A" w14:textId="77777777">
        <w:tc>
          <w:tcPr>
            <w:tcW w:w="1601" w:type="dxa"/>
          </w:tcPr>
          <w:p w14:paraId="211E3918" w14:textId="77777777" w:rsidR="004B4E35" w:rsidRPr="00405303" w:rsidRDefault="009E6F82" w:rsidP="00C15251">
            <w:pPr>
              <w:jc w:val="both"/>
              <w:rPr>
                <w:bCs/>
                <w:color w:val="002060"/>
                <w:sz w:val="16"/>
                <w:szCs w:val="16"/>
              </w:rPr>
            </w:pPr>
            <w:r w:rsidRPr="00405303">
              <w:rPr>
                <w:bCs/>
                <w:color w:val="002060"/>
                <w:sz w:val="16"/>
                <w:szCs w:val="16"/>
              </w:rPr>
              <w:t>163</w:t>
            </w:r>
          </w:p>
        </w:tc>
        <w:tc>
          <w:tcPr>
            <w:tcW w:w="1601" w:type="dxa"/>
          </w:tcPr>
          <w:p w14:paraId="1F810C10" w14:textId="77777777" w:rsidR="004B4E35" w:rsidRPr="00405303" w:rsidRDefault="009E6F82" w:rsidP="00C15251">
            <w:pPr>
              <w:jc w:val="both"/>
              <w:rPr>
                <w:bCs/>
                <w:color w:val="002060"/>
                <w:sz w:val="16"/>
                <w:szCs w:val="16"/>
              </w:rPr>
            </w:pPr>
            <w:r w:rsidRPr="00405303">
              <w:rPr>
                <w:bCs/>
                <w:color w:val="002060"/>
                <w:sz w:val="16"/>
                <w:szCs w:val="16"/>
              </w:rPr>
              <w:t>4 х</w:t>
            </w:r>
          </w:p>
        </w:tc>
        <w:tc>
          <w:tcPr>
            <w:tcW w:w="1601" w:type="dxa"/>
          </w:tcPr>
          <w:p w14:paraId="34B87A16" w14:textId="77777777" w:rsidR="004B4E35" w:rsidRPr="00405303" w:rsidRDefault="009E6F82" w:rsidP="00C15251">
            <w:pPr>
              <w:jc w:val="both"/>
              <w:rPr>
                <w:bCs/>
                <w:color w:val="002060"/>
                <w:sz w:val="16"/>
                <w:szCs w:val="16"/>
              </w:rPr>
            </w:pPr>
            <w:r w:rsidRPr="00405303">
              <w:rPr>
                <w:bCs/>
                <w:color w:val="002060"/>
                <w:sz w:val="16"/>
                <w:szCs w:val="16"/>
              </w:rPr>
              <w:t>"Санбим"</w:t>
            </w:r>
          </w:p>
        </w:tc>
        <w:tc>
          <w:tcPr>
            <w:tcW w:w="1601" w:type="dxa"/>
          </w:tcPr>
          <w:p w14:paraId="24306148" w14:textId="77777777" w:rsidR="004B4E35" w:rsidRPr="00405303" w:rsidRDefault="009E6F82" w:rsidP="00C15251">
            <w:pPr>
              <w:jc w:val="both"/>
              <w:rPr>
                <w:bCs/>
                <w:color w:val="002060"/>
                <w:sz w:val="16"/>
                <w:szCs w:val="16"/>
              </w:rPr>
            </w:pPr>
            <w:r w:rsidRPr="00405303">
              <w:rPr>
                <w:bCs/>
                <w:color w:val="002060"/>
                <w:sz w:val="16"/>
                <w:szCs w:val="16"/>
              </w:rPr>
              <w:t>150 л.с.</w:t>
            </w:r>
          </w:p>
        </w:tc>
        <w:tc>
          <w:tcPr>
            <w:tcW w:w="1601" w:type="dxa"/>
          </w:tcPr>
          <w:p w14:paraId="6F10BEFA" w14:textId="77777777" w:rsidR="004B4E35" w:rsidRPr="00405303" w:rsidRDefault="009E6F82" w:rsidP="00C15251">
            <w:pPr>
              <w:jc w:val="both"/>
              <w:rPr>
                <w:bCs/>
                <w:color w:val="002060"/>
                <w:sz w:val="16"/>
                <w:szCs w:val="16"/>
              </w:rPr>
            </w:pPr>
            <w:r w:rsidRPr="00405303">
              <w:rPr>
                <w:bCs/>
                <w:color w:val="002060"/>
                <w:sz w:val="16"/>
                <w:szCs w:val="16"/>
              </w:rPr>
              <w:t>IV</w:t>
            </w:r>
          </w:p>
        </w:tc>
        <w:tc>
          <w:tcPr>
            <w:tcW w:w="1601" w:type="dxa"/>
          </w:tcPr>
          <w:p w14:paraId="707B6305" w14:textId="77777777" w:rsidR="004B4E35" w:rsidRPr="00405303" w:rsidRDefault="009E6F82" w:rsidP="00C15251">
            <w:pPr>
              <w:jc w:val="both"/>
              <w:rPr>
                <w:bCs/>
                <w:color w:val="002060"/>
                <w:sz w:val="16"/>
                <w:szCs w:val="16"/>
              </w:rPr>
            </w:pPr>
            <w:r w:rsidRPr="00405303">
              <w:rPr>
                <w:bCs/>
                <w:color w:val="002060"/>
                <w:sz w:val="16"/>
                <w:szCs w:val="16"/>
              </w:rPr>
              <w:t>Поручик Я.Н. Шаров</w:t>
            </w:r>
          </w:p>
        </w:tc>
        <w:tc>
          <w:tcPr>
            <w:tcW w:w="1601" w:type="dxa"/>
          </w:tcPr>
          <w:p w14:paraId="4892ADBA" w14:textId="77777777" w:rsidR="004B4E35" w:rsidRPr="00405303" w:rsidRDefault="009E6F82" w:rsidP="00C15251">
            <w:pPr>
              <w:jc w:val="both"/>
              <w:rPr>
                <w:bCs/>
                <w:color w:val="002060"/>
                <w:sz w:val="16"/>
                <w:szCs w:val="16"/>
              </w:rPr>
            </w:pPr>
            <w:r w:rsidRPr="00405303">
              <w:rPr>
                <w:bCs/>
                <w:color w:val="002060"/>
                <w:sz w:val="16"/>
                <w:szCs w:val="16"/>
              </w:rPr>
              <w:t>С 29 июля 1915 года</w:t>
            </w:r>
          </w:p>
        </w:tc>
      </w:tr>
      <w:tr w:rsidR="004B4E35" w:rsidRPr="00405303" w14:paraId="0ED658C0" w14:textId="77777777">
        <w:tc>
          <w:tcPr>
            <w:tcW w:w="1601" w:type="dxa"/>
          </w:tcPr>
          <w:p w14:paraId="5DC7863A" w14:textId="77777777" w:rsidR="004B4E35" w:rsidRPr="00405303" w:rsidRDefault="004B4E35" w:rsidP="00C15251">
            <w:pPr>
              <w:jc w:val="both"/>
              <w:rPr>
                <w:bCs/>
                <w:color w:val="002060"/>
                <w:sz w:val="16"/>
                <w:szCs w:val="16"/>
              </w:rPr>
            </w:pPr>
          </w:p>
        </w:tc>
        <w:tc>
          <w:tcPr>
            <w:tcW w:w="1601" w:type="dxa"/>
          </w:tcPr>
          <w:p w14:paraId="4A754772" w14:textId="77777777" w:rsidR="004B4E35" w:rsidRPr="00405303" w:rsidRDefault="009E6F82" w:rsidP="00C15251">
            <w:pPr>
              <w:jc w:val="both"/>
              <w:rPr>
                <w:bCs/>
                <w:color w:val="002060"/>
                <w:sz w:val="16"/>
                <w:szCs w:val="16"/>
              </w:rPr>
            </w:pPr>
            <w:r w:rsidRPr="00405303">
              <w:rPr>
                <w:bCs/>
                <w:color w:val="002060"/>
                <w:sz w:val="16"/>
                <w:szCs w:val="16"/>
              </w:rPr>
              <w:t>4 х</w:t>
            </w:r>
          </w:p>
        </w:tc>
        <w:tc>
          <w:tcPr>
            <w:tcW w:w="1601" w:type="dxa"/>
          </w:tcPr>
          <w:p w14:paraId="1042BB3B" w14:textId="77777777" w:rsidR="004B4E35" w:rsidRPr="00405303" w:rsidRDefault="009E6F82" w:rsidP="00C15251">
            <w:pPr>
              <w:jc w:val="both"/>
              <w:rPr>
                <w:bCs/>
                <w:color w:val="002060"/>
                <w:sz w:val="16"/>
                <w:szCs w:val="16"/>
              </w:rPr>
            </w:pPr>
            <w:r w:rsidRPr="00405303">
              <w:rPr>
                <w:bCs/>
                <w:color w:val="002060"/>
                <w:sz w:val="16"/>
                <w:szCs w:val="16"/>
              </w:rPr>
              <w:t>"Санбим"</w:t>
            </w:r>
          </w:p>
        </w:tc>
        <w:tc>
          <w:tcPr>
            <w:tcW w:w="1601" w:type="dxa"/>
          </w:tcPr>
          <w:p w14:paraId="6B157F9A" w14:textId="77777777" w:rsidR="004B4E35" w:rsidRPr="00405303" w:rsidRDefault="009E6F82" w:rsidP="00C15251">
            <w:pPr>
              <w:jc w:val="both"/>
              <w:rPr>
                <w:bCs/>
                <w:color w:val="002060"/>
                <w:sz w:val="16"/>
                <w:szCs w:val="16"/>
              </w:rPr>
            </w:pPr>
            <w:r w:rsidRPr="00405303">
              <w:rPr>
                <w:bCs/>
                <w:color w:val="002060"/>
                <w:sz w:val="16"/>
                <w:szCs w:val="16"/>
              </w:rPr>
              <w:t>150 л.с.</w:t>
            </w:r>
          </w:p>
        </w:tc>
        <w:tc>
          <w:tcPr>
            <w:tcW w:w="1601" w:type="dxa"/>
          </w:tcPr>
          <w:p w14:paraId="32CD277D" w14:textId="77777777" w:rsidR="004B4E35" w:rsidRPr="00405303" w:rsidRDefault="009E6F82" w:rsidP="00C15251">
            <w:pPr>
              <w:jc w:val="both"/>
              <w:rPr>
                <w:bCs/>
                <w:color w:val="002060"/>
                <w:sz w:val="16"/>
                <w:szCs w:val="16"/>
              </w:rPr>
            </w:pPr>
            <w:r w:rsidRPr="00405303">
              <w:rPr>
                <w:bCs/>
                <w:color w:val="002060"/>
                <w:sz w:val="16"/>
                <w:szCs w:val="16"/>
              </w:rPr>
              <w:t>IV</w:t>
            </w:r>
          </w:p>
        </w:tc>
        <w:tc>
          <w:tcPr>
            <w:tcW w:w="1601" w:type="dxa"/>
          </w:tcPr>
          <w:p w14:paraId="0370B9A9" w14:textId="77777777" w:rsidR="004B4E35" w:rsidRPr="00405303" w:rsidRDefault="009E6F82" w:rsidP="00C15251">
            <w:pPr>
              <w:jc w:val="both"/>
              <w:rPr>
                <w:bCs/>
                <w:color w:val="002060"/>
                <w:sz w:val="16"/>
                <w:szCs w:val="16"/>
              </w:rPr>
            </w:pPr>
            <w:r w:rsidRPr="00405303">
              <w:rPr>
                <w:bCs/>
                <w:color w:val="002060"/>
                <w:sz w:val="16"/>
                <w:szCs w:val="16"/>
              </w:rPr>
              <w:t>Поручик Я.Н. Шаров</w:t>
            </w:r>
          </w:p>
        </w:tc>
        <w:tc>
          <w:tcPr>
            <w:tcW w:w="1601" w:type="dxa"/>
          </w:tcPr>
          <w:p w14:paraId="168F344E" w14:textId="77777777" w:rsidR="004B4E35" w:rsidRPr="00405303" w:rsidRDefault="009E6F82" w:rsidP="00C15251">
            <w:pPr>
              <w:jc w:val="both"/>
              <w:rPr>
                <w:bCs/>
                <w:color w:val="002060"/>
                <w:sz w:val="16"/>
                <w:szCs w:val="16"/>
              </w:rPr>
            </w:pPr>
            <w:r w:rsidRPr="00405303">
              <w:rPr>
                <w:bCs/>
                <w:color w:val="002060"/>
                <w:sz w:val="16"/>
                <w:szCs w:val="16"/>
              </w:rPr>
              <w:t>С 30 июня по 28 июля 1915 года</w:t>
            </w:r>
          </w:p>
        </w:tc>
      </w:tr>
      <w:tr w:rsidR="004B4E35" w:rsidRPr="00405303" w14:paraId="38B85AEF" w14:textId="77777777">
        <w:tc>
          <w:tcPr>
            <w:tcW w:w="1601" w:type="dxa"/>
          </w:tcPr>
          <w:p w14:paraId="50176B02" w14:textId="77777777" w:rsidR="004B4E35" w:rsidRPr="00405303" w:rsidRDefault="009E6F82" w:rsidP="00C15251">
            <w:pPr>
              <w:jc w:val="both"/>
              <w:rPr>
                <w:bCs/>
                <w:color w:val="002060"/>
                <w:sz w:val="16"/>
                <w:szCs w:val="16"/>
              </w:rPr>
            </w:pPr>
            <w:r w:rsidRPr="00405303">
              <w:rPr>
                <w:bCs/>
                <w:color w:val="002060"/>
                <w:sz w:val="16"/>
                <w:szCs w:val="16"/>
              </w:rPr>
              <w:t>164</w:t>
            </w:r>
          </w:p>
        </w:tc>
        <w:tc>
          <w:tcPr>
            <w:tcW w:w="1601" w:type="dxa"/>
          </w:tcPr>
          <w:p w14:paraId="2D70FA7A" w14:textId="77777777" w:rsidR="004B4E35" w:rsidRPr="00405303" w:rsidRDefault="004B4E35" w:rsidP="00C15251">
            <w:pPr>
              <w:jc w:val="both"/>
              <w:rPr>
                <w:bCs/>
                <w:color w:val="002060"/>
                <w:sz w:val="16"/>
                <w:szCs w:val="16"/>
              </w:rPr>
            </w:pPr>
          </w:p>
        </w:tc>
        <w:tc>
          <w:tcPr>
            <w:tcW w:w="1601" w:type="dxa"/>
          </w:tcPr>
          <w:p w14:paraId="6245F07C" w14:textId="77777777" w:rsidR="004B4E35" w:rsidRPr="00405303" w:rsidRDefault="004B4E35" w:rsidP="00C15251">
            <w:pPr>
              <w:jc w:val="both"/>
              <w:rPr>
                <w:bCs/>
                <w:color w:val="002060"/>
                <w:sz w:val="16"/>
                <w:szCs w:val="16"/>
              </w:rPr>
            </w:pPr>
          </w:p>
        </w:tc>
        <w:tc>
          <w:tcPr>
            <w:tcW w:w="1601" w:type="dxa"/>
          </w:tcPr>
          <w:p w14:paraId="3027C0E8" w14:textId="77777777" w:rsidR="004B4E35" w:rsidRPr="00405303" w:rsidRDefault="004B4E35" w:rsidP="00C15251">
            <w:pPr>
              <w:jc w:val="both"/>
              <w:rPr>
                <w:bCs/>
                <w:color w:val="002060"/>
                <w:sz w:val="16"/>
                <w:szCs w:val="16"/>
              </w:rPr>
            </w:pPr>
          </w:p>
        </w:tc>
        <w:tc>
          <w:tcPr>
            <w:tcW w:w="1601" w:type="dxa"/>
          </w:tcPr>
          <w:p w14:paraId="0020416D" w14:textId="77777777" w:rsidR="004B4E35" w:rsidRPr="00405303" w:rsidRDefault="009E6F82" w:rsidP="00C15251">
            <w:pPr>
              <w:jc w:val="both"/>
              <w:rPr>
                <w:bCs/>
                <w:color w:val="002060"/>
                <w:sz w:val="16"/>
                <w:szCs w:val="16"/>
              </w:rPr>
            </w:pPr>
            <w:r w:rsidRPr="00405303">
              <w:rPr>
                <w:bCs/>
                <w:color w:val="002060"/>
                <w:sz w:val="16"/>
                <w:szCs w:val="16"/>
              </w:rPr>
              <w:t>"Киевский"</w:t>
            </w:r>
          </w:p>
        </w:tc>
        <w:tc>
          <w:tcPr>
            <w:tcW w:w="1601" w:type="dxa"/>
          </w:tcPr>
          <w:p w14:paraId="707AAE76" w14:textId="77777777" w:rsidR="004B4E35" w:rsidRPr="00405303" w:rsidRDefault="009E6F82" w:rsidP="00C15251">
            <w:pPr>
              <w:jc w:val="both"/>
              <w:rPr>
                <w:bCs/>
                <w:color w:val="002060"/>
                <w:sz w:val="16"/>
                <w:szCs w:val="16"/>
              </w:rPr>
            </w:pPr>
            <w:r w:rsidRPr="00405303">
              <w:rPr>
                <w:bCs/>
                <w:color w:val="002060"/>
                <w:sz w:val="16"/>
                <w:szCs w:val="16"/>
              </w:rPr>
              <w:t>Штабс-капитан И.С. Башко</w:t>
            </w:r>
          </w:p>
        </w:tc>
        <w:tc>
          <w:tcPr>
            <w:tcW w:w="1601" w:type="dxa"/>
          </w:tcPr>
          <w:p w14:paraId="2D83EA18" w14:textId="77777777" w:rsidR="004B4E35" w:rsidRPr="00405303" w:rsidRDefault="009E6F82" w:rsidP="00C15251">
            <w:pPr>
              <w:jc w:val="both"/>
              <w:rPr>
                <w:bCs/>
                <w:color w:val="002060"/>
                <w:sz w:val="16"/>
                <w:szCs w:val="16"/>
              </w:rPr>
            </w:pPr>
            <w:r w:rsidRPr="00405303">
              <w:rPr>
                <w:bCs/>
                <w:color w:val="002060"/>
                <w:sz w:val="16"/>
                <w:szCs w:val="16"/>
              </w:rPr>
              <w:t>С 29 июля по 12 сентября 1915 года</w:t>
            </w:r>
          </w:p>
        </w:tc>
      </w:tr>
      <w:tr w:rsidR="004B4E35" w:rsidRPr="00405303" w14:paraId="14426A3E" w14:textId="77777777">
        <w:tc>
          <w:tcPr>
            <w:tcW w:w="1601" w:type="dxa"/>
          </w:tcPr>
          <w:p w14:paraId="13854FDB" w14:textId="77777777" w:rsidR="004B4E35" w:rsidRPr="00405303" w:rsidRDefault="004B4E35" w:rsidP="00C15251">
            <w:pPr>
              <w:jc w:val="both"/>
              <w:rPr>
                <w:bCs/>
                <w:color w:val="002060"/>
                <w:sz w:val="16"/>
                <w:szCs w:val="16"/>
              </w:rPr>
            </w:pPr>
          </w:p>
        </w:tc>
        <w:tc>
          <w:tcPr>
            <w:tcW w:w="1601" w:type="dxa"/>
          </w:tcPr>
          <w:p w14:paraId="7C552D8B" w14:textId="77777777" w:rsidR="004B4E35" w:rsidRPr="00405303" w:rsidRDefault="004B4E35" w:rsidP="00C15251">
            <w:pPr>
              <w:jc w:val="both"/>
              <w:rPr>
                <w:bCs/>
                <w:color w:val="002060"/>
                <w:sz w:val="16"/>
                <w:szCs w:val="16"/>
              </w:rPr>
            </w:pPr>
          </w:p>
        </w:tc>
        <w:tc>
          <w:tcPr>
            <w:tcW w:w="1601" w:type="dxa"/>
          </w:tcPr>
          <w:p w14:paraId="6AC1150B" w14:textId="77777777" w:rsidR="004B4E35" w:rsidRPr="00405303" w:rsidRDefault="004B4E35" w:rsidP="00C15251">
            <w:pPr>
              <w:jc w:val="both"/>
              <w:rPr>
                <w:bCs/>
                <w:color w:val="002060"/>
                <w:sz w:val="16"/>
                <w:szCs w:val="16"/>
              </w:rPr>
            </w:pPr>
          </w:p>
        </w:tc>
        <w:tc>
          <w:tcPr>
            <w:tcW w:w="1601" w:type="dxa"/>
          </w:tcPr>
          <w:p w14:paraId="0C514867" w14:textId="77777777" w:rsidR="004B4E35" w:rsidRPr="00405303" w:rsidRDefault="004B4E35" w:rsidP="00C15251">
            <w:pPr>
              <w:jc w:val="both"/>
              <w:rPr>
                <w:bCs/>
                <w:color w:val="002060"/>
                <w:sz w:val="16"/>
                <w:szCs w:val="16"/>
              </w:rPr>
            </w:pPr>
          </w:p>
        </w:tc>
        <w:tc>
          <w:tcPr>
            <w:tcW w:w="1601" w:type="dxa"/>
          </w:tcPr>
          <w:p w14:paraId="25533F22" w14:textId="77777777" w:rsidR="004B4E35" w:rsidRPr="00405303" w:rsidRDefault="009E6F82" w:rsidP="00C15251">
            <w:pPr>
              <w:jc w:val="both"/>
              <w:rPr>
                <w:bCs/>
                <w:color w:val="002060"/>
                <w:sz w:val="16"/>
                <w:szCs w:val="16"/>
              </w:rPr>
            </w:pPr>
            <w:r w:rsidRPr="00405303">
              <w:rPr>
                <w:bCs/>
                <w:color w:val="002060"/>
                <w:sz w:val="16"/>
                <w:szCs w:val="16"/>
              </w:rPr>
              <w:t>IX</w:t>
            </w:r>
          </w:p>
        </w:tc>
        <w:tc>
          <w:tcPr>
            <w:tcW w:w="1601" w:type="dxa"/>
          </w:tcPr>
          <w:p w14:paraId="05A9B92C" w14:textId="77777777" w:rsidR="004B4E35" w:rsidRPr="00405303" w:rsidRDefault="009E6F82" w:rsidP="00C15251">
            <w:pPr>
              <w:jc w:val="both"/>
              <w:rPr>
                <w:bCs/>
                <w:color w:val="002060"/>
                <w:sz w:val="16"/>
                <w:szCs w:val="16"/>
              </w:rPr>
            </w:pPr>
            <w:r w:rsidRPr="00405303">
              <w:rPr>
                <w:bCs/>
                <w:color w:val="002060"/>
                <w:sz w:val="16"/>
                <w:szCs w:val="16"/>
              </w:rPr>
              <w:t>Штабс-капитан Р.Л. Нижевский</w:t>
            </w:r>
          </w:p>
        </w:tc>
        <w:tc>
          <w:tcPr>
            <w:tcW w:w="1601" w:type="dxa"/>
          </w:tcPr>
          <w:p w14:paraId="5B317AD7" w14:textId="77777777" w:rsidR="004B4E35" w:rsidRPr="00405303" w:rsidRDefault="009E6F82" w:rsidP="00C15251">
            <w:pPr>
              <w:jc w:val="both"/>
              <w:rPr>
                <w:bCs/>
                <w:color w:val="002060"/>
                <w:sz w:val="16"/>
                <w:szCs w:val="16"/>
              </w:rPr>
            </w:pPr>
            <w:r w:rsidRPr="00405303">
              <w:rPr>
                <w:bCs/>
                <w:color w:val="002060"/>
                <w:sz w:val="16"/>
                <w:szCs w:val="16"/>
              </w:rPr>
              <w:t>С 13 сентября 1915 года</w:t>
            </w:r>
          </w:p>
        </w:tc>
      </w:tr>
      <w:tr w:rsidR="004B4E35" w:rsidRPr="00405303" w14:paraId="3BBD4DA4" w14:textId="77777777">
        <w:tc>
          <w:tcPr>
            <w:tcW w:w="1601" w:type="dxa"/>
          </w:tcPr>
          <w:p w14:paraId="52F281B9" w14:textId="77777777" w:rsidR="004B4E35" w:rsidRPr="00405303" w:rsidRDefault="009E6F82" w:rsidP="00C15251">
            <w:pPr>
              <w:jc w:val="both"/>
              <w:rPr>
                <w:bCs/>
                <w:color w:val="002060"/>
                <w:sz w:val="16"/>
                <w:szCs w:val="16"/>
              </w:rPr>
            </w:pPr>
            <w:r w:rsidRPr="00405303">
              <w:rPr>
                <w:bCs/>
                <w:color w:val="002060"/>
                <w:sz w:val="16"/>
                <w:szCs w:val="16"/>
              </w:rPr>
              <w:t>165</w:t>
            </w:r>
          </w:p>
        </w:tc>
        <w:tc>
          <w:tcPr>
            <w:tcW w:w="1601" w:type="dxa"/>
          </w:tcPr>
          <w:p w14:paraId="3C676EB3" w14:textId="77777777" w:rsidR="004B4E35" w:rsidRPr="00405303" w:rsidRDefault="009E6F82" w:rsidP="00C15251">
            <w:pPr>
              <w:jc w:val="both"/>
              <w:rPr>
                <w:bCs/>
                <w:color w:val="002060"/>
                <w:sz w:val="16"/>
                <w:szCs w:val="16"/>
              </w:rPr>
            </w:pPr>
            <w:r w:rsidRPr="00405303">
              <w:rPr>
                <w:bCs/>
                <w:color w:val="002060"/>
                <w:sz w:val="16"/>
                <w:szCs w:val="16"/>
              </w:rPr>
              <w:t>4 х</w:t>
            </w:r>
          </w:p>
        </w:tc>
        <w:tc>
          <w:tcPr>
            <w:tcW w:w="1601" w:type="dxa"/>
          </w:tcPr>
          <w:p w14:paraId="670E905B" w14:textId="77777777" w:rsidR="004B4E35" w:rsidRPr="00405303" w:rsidRDefault="009E6F82" w:rsidP="00C15251">
            <w:pPr>
              <w:jc w:val="both"/>
              <w:rPr>
                <w:bCs/>
                <w:color w:val="002060"/>
                <w:sz w:val="16"/>
                <w:szCs w:val="16"/>
              </w:rPr>
            </w:pPr>
            <w:r w:rsidRPr="00405303">
              <w:rPr>
                <w:bCs/>
                <w:color w:val="002060"/>
                <w:sz w:val="16"/>
                <w:szCs w:val="16"/>
              </w:rPr>
              <w:t>"Санбим"</w:t>
            </w:r>
          </w:p>
        </w:tc>
        <w:tc>
          <w:tcPr>
            <w:tcW w:w="1601" w:type="dxa"/>
          </w:tcPr>
          <w:p w14:paraId="34C4F044" w14:textId="77777777" w:rsidR="004B4E35" w:rsidRPr="00405303" w:rsidRDefault="009E6F82" w:rsidP="00C15251">
            <w:pPr>
              <w:jc w:val="both"/>
              <w:rPr>
                <w:bCs/>
                <w:color w:val="002060"/>
                <w:sz w:val="16"/>
                <w:szCs w:val="16"/>
              </w:rPr>
            </w:pPr>
            <w:r w:rsidRPr="00405303">
              <w:rPr>
                <w:bCs/>
                <w:color w:val="002060"/>
                <w:sz w:val="16"/>
                <w:szCs w:val="16"/>
              </w:rPr>
              <w:t xml:space="preserve">150 </w:t>
            </w:r>
            <w:proofErr w:type="gramStart"/>
            <w:r w:rsidRPr="00405303">
              <w:rPr>
                <w:bCs/>
                <w:color w:val="002060"/>
                <w:sz w:val="16"/>
                <w:szCs w:val="16"/>
              </w:rPr>
              <w:t>л.с</w:t>
            </w:r>
            <w:proofErr w:type="gramEnd"/>
          </w:p>
        </w:tc>
        <w:tc>
          <w:tcPr>
            <w:tcW w:w="1601" w:type="dxa"/>
          </w:tcPr>
          <w:p w14:paraId="02422830" w14:textId="77777777" w:rsidR="004B4E35" w:rsidRPr="00405303" w:rsidRDefault="009E6F82" w:rsidP="00C15251">
            <w:pPr>
              <w:jc w:val="both"/>
              <w:rPr>
                <w:bCs/>
                <w:color w:val="002060"/>
                <w:sz w:val="16"/>
                <w:szCs w:val="16"/>
              </w:rPr>
            </w:pPr>
            <w:r w:rsidRPr="00405303">
              <w:rPr>
                <w:bCs/>
                <w:color w:val="002060"/>
                <w:sz w:val="16"/>
                <w:szCs w:val="16"/>
              </w:rPr>
              <w:t>I</w:t>
            </w:r>
          </w:p>
        </w:tc>
        <w:tc>
          <w:tcPr>
            <w:tcW w:w="1601" w:type="dxa"/>
          </w:tcPr>
          <w:p w14:paraId="3F0C77DA" w14:textId="77777777" w:rsidR="004B4E35" w:rsidRPr="00405303" w:rsidRDefault="009E6F82" w:rsidP="00C15251">
            <w:pPr>
              <w:jc w:val="both"/>
              <w:rPr>
                <w:bCs/>
                <w:color w:val="002060"/>
                <w:sz w:val="16"/>
                <w:szCs w:val="16"/>
              </w:rPr>
            </w:pPr>
            <w:r w:rsidRPr="00405303">
              <w:rPr>
                <w:bCs/>
                <w:color w:val="002060"/>
                <w:sz w:val="16"/>
                <w:szCs w:val="16"/>
              </w:rPr>
              <w:t>Лейтенант Г.И. Лавров</w:t>
            </w:r>
          </w:p>
        </w:tc>
        <w:tc>
          <w:tcPr>
            <w:tcW w:w="1601" w:type="dxa"/>
          </w:tcPr>
          <w:p w14:paraId="5C5ECBCD" w14:textId="77777777" w:rsidR="004B4E35" w:rsidRPr="00405303" w:rsidRDefault="009E6F82" w:rsidP="00C15251">
            <w:pPr>
              <w:jc w:val="both"/>
              <w:rPr>
                <w:bCs/>
                <w:color w:val="002060"/>
                <w:sz w:val="16"/>
                <w:szCs w:val="16"/>
              </w:rPr>
            </w:pPr>
            <w:r w:rsidRPr="00405303">
              <w:rPr>
                <w:bCs/>
                <w:color w:val="002060"/>
                <w:sz w:val="16"/>
                <w:szCs w:val="16"/>
              </w:rPr>
              <w:t>С 30 июня 1915 года</w:t>
            </w:r>
          </w:p>
        </w:tc>
      </w:tr>
      <w:tr w:rsidR="004B4E35" w:rsidRPr="00405303" w14:paraId="07BE6BA6" w14:textId="77777777">
        <w:tc>
          <w:tcPr>
            <w:tcW w:w="1601" w:type="dxa"/>
          </w:tcPr>
          <w:p w14:paraId="68586212" w14:textId="77777777" w:rsidR="004B4E35" w:rsidRPr="00405303" w:rsidRDefault="009E6F82" w:rsidP="00C15251">
            <w:pPr>
              <w:jc w:val="both"/>
              <w:rPr>
                <w:bCs/>
                <w:color w:val="002060"/>
                <w:sz w:val="16"/>
                <w:szCs w:val="16"/>
              </w:rPr>
            </w:pPr>
            <w:r w:rsidRPr="00405303">
              <w:rPr>
                <w:bCs/>
                <w:color w:val="002060"/>
                <w:sz w:val="16"/>
                <w:szCs w:val="16"/>
              </w:rPr>
              <w:t>167</w:t>
            </w:r>
          </w:p>
        </w:tc>
        <w:tc>
          <w:tcPr>
            <w:tcW w:w="1601" w:type="dxa"/>
          </w:tcPr>
          <w:p w14:paraId="21B7300C" w14:textId="77777777" w:rsidR="004B4E35" w:rsidRPr="00405303" w:rsidRDefault="009E6F82" w:rsidP="00C15251">
            <w:pPr>
              <w:jc w:val="both"/>
              <w:rPr>
                <w:bCs/>
                <w:color w:val="002060"/>
                <w:sz w:val="16"/>
                <w:szCs w:val="16"/>
              </w:rPr>
            </w:pPr>
            <w:r w:rsidRPr="00405303">
              <w:rPr>
                <w:bCs/>
                <w:color w:val="002060"/>
                <w:sz w:val="16"/>
                <w:szCs w:val="16"/>
              </w:rPr>
              <w:t>4</w:t>
            </w:r>
          </w:p>
        </w:tc>
        <w:tc>
          <w:tcPr>
            <w:tcW w:w="1601" w:type="dxa"/>
          </w:tcPr>
          <w:p w14:paraId="0BBAF83B" w14:textId="77777777" w:rsidR="004B4E35" w:rsidRPr="00405303" w:rsidRDefault="009E6F82" w:rsidP="00C15251">
            <w:pPr>
              <w:jc w:val="both"/>
              <w:rPr>
                <w:bCs/>
                <w:color w:val="002060"/>
                <w:sz w:val="16"/>
                <w:szCs w:val="16"/>
              </w:rPr>
            </w:pPr>
            <w:r w:rsidRPr="00405303">
              <w:rPr>
                <w:bCs/>
                <w:color w:val="002060"/>
                <w:sz w:val="16"/>
                <w:szCs w:val="16"/>
              </w:rPr>
              <w:t>х РБ3.6 150 л.с.</w:t>
            </w:r>
          </w:p>
        </w:tc>
        <w:tc>
          <w:tcPr>
            <w:tcW w:w="1601" w:type="dxa"/>
          </w:tcPr>
          <w:p w14:paraId="1ED1A7EF" w14:textId="77777777" w:rsidR="004B4E35" w:rsidRPr="00405303" w:rsidRDefault="009E6F82" w:rsidP="00C15251">
            <w:pPr>
              <w:jc w:val="both"/>
              <w:rPr>
                <w:bCs/>
                <w:color w:val="002060"/>
                <w:sz w:val="16"/>
                <w:szCs w:val="16"/>
              </w:rPr>
            </w:pPr>
            <w:r w:rsidRPr="00405303">
              <w:rPr>
                <w:bCs/>
                <w:color w:val="002060"/>
                <w:sz w:val="16"/>
                <w:szCs w:val="16"/>
              </w:rPr>
              <w:t>II</w:t>
            </w:r>
          </w:p>
        </w:tc>
        <w:tc>
          <w:tcPr>
            <w:tcW w:w="1601" w:type="dxa"/>
          </w:tcPr>
          <w:p w14:paraId="6C242DA6" w14:textId="77777777" w:rsidR="004B4E35" w:rsidRPr="00405303" w:rsidRDefault="009E6F82" w:rsidP="00C15251">
            <w:pPr>
              <w:jc w:val="both"/>
              <w:rPr>
                <w:bCs/>
                <w:color w:val="002060"/>
                <w:sz w:val="16"/>
                <w:szCs w:val="16"/>
              </w:rPr>
            </w:pPr>
            <w:r w:rsidRPr="00405303">
              <w:rPr>
                <w:bCs/>
                <w:color w:val="002060"/>
                <w:sz w:val="16"/>
                <w:szCs w:val="16"/>
              </w:rPr>
              <w:t>Штабс-капитан А.В. Панкратьев</w:t>
            </w:r>
          </w:p>
        </w:tc>
        <w:tc>
          <w:tcPr>
            <w:tcW w:w="1601" w:type="dxa"/>
          </w:tcPr>
          <w:p w14:paraId="42F8317D" w14:textId="77777777" w:rsidR="004B4E35" w:rsidRPr="00405303" w:rsidRDefault="009E6F82" w:rsidP="00C15251">
            <w:pPr>
              <w:jc w:val="both"/>
              <w:rPr>
                <w:bCs/>
                <w:color w:val="002060"/>
                <w:sz w:val="16"/>
                <w:szCs w:val="16"/>
              </w:rPr>
            </w:pPr>
            <w:r w:rsidRPr="00405303">
              <w:rPr>
                <w:bCs/>
                <w:color w:val="002060"/>
                <w:sz w:val="16"/>
                <w:szCs w:val="16"/>
              </w:rPr>
              <w:t>С 29 июля 1915 года</w:t>
            </w:r>
          </w:p>
        </w:tc>
        <w:tc>
          <w:tcPr>
            <w:tcW w:w="1601" w:type="dxa"/>
          </w:tcPr>
          <w:p w14:paraId="468F6FBC" w14:textId="77777777" w:rsidR="004B4E35" w:rsidRPr="00405303" w:rsidRDefault="004B4E35" w:rsidP="00C15251">
            <w:pPr>
              <w:jc w:val="both"/>
              <w:rPr>
                <w:bCs/>
                <w:color w:val="002060"/>
                <w:sz w:val="16"/>
                <w:szCs w:val="16"/>
              </w:rPr>
            </w:pPr>
          </w:p>
        </w:tc>
      </w:tr>
      <w:tr w:rsidR="004B4E35" w:rsidRPr="00405303" w14:paraId="18A21DCC" w14:textId="77777777">
        <w:tc>
          <w:tcPr>
            <w:tcW w:w="1601" w:type="dxa"/>
          </w:tcPr>
          <w:p w14:paraId="2F346572" w14:textId="77777777" w:rsidR="004B4E35" w:rsidRPr="00405303" w:rsidRDefault="009E6F82" w:rsidP="00C15251">
            <w:pPr>
              <w:jc w:val="both"/>
              <w:rPr>
                <w:bCs/>
                <w:color w:val="002060"/>
                <w:sz w:val="16"/>
                <w:szCs w:val="16"/>
              </w:rPr>
            </w:pPr>
            <w:r w:rsidRPr="00405303">
              <w:rPr>
                <w:bCs/>
                <w:color w:val="002060"/>
                <w:sz w:val="16"/>
                <w:szCs w:val="16"/>
              </w:rPr>
              <w:t>169</w:t>
            </w:r>
          </w:p>
        </w:tc>
        <w:tc>
          <w:tcPr>
            <w:tcW w:w="1601" w:type="dxa"/>
          </w:tcPr>
          <w:p w14:paraId="08248B5A" w14:textId="77777777" w:rsidR="004B4E35" w:rsidRPr="00405303" w:rsidRDefault="009E6F82" w:rsidP="00C15251">
            <w:pPr>
              <w:jc w:val="both"/>
              <w:rPr>
                <w:bCs/>
                <w:color w:val="002060"/>
                <w:sz w:val="16"/>
                <w:szCs w:val="16"/>
              </w:rPr>
            </w:pPr>
            <w:proofErr w:type="gramStart"/>
            <w:r w:rsidRPr="00405303">
              <w:rPr>
                <w:bCs/>
                <w:color w:val="002060"/>
                <w:sz w:val="16"/>
                <w:szCs w:val="16"/>
              </w:rPr>
              <w:t>2 &gt;</w:t>
            </w:r>
            <w:proofErr w:type="gramEnd"/>
          </w:p>
        </w:tc>
        <w:tc>
          <w:tcPr>
            <w:tcW w:w="1601" w:type="dxa"/>
          </w:tcPr>
          <w:p w14:paraId="7D02B35D" w14:textId="77777777" w:rsidR="004B4E35" w:rsidRPr="00405303" w:rsidRDefault="009E6F82" w:rsidP="00C15251">
            <w:pPr>
              <w:jc w:val="both"/>
              <w:rPr>
                <w:bCs/>
                <w:color w:val="002060"/>
                <w:sz w:val="16"/>
                <w:szCs w:val="16"/>
              </w:rPr>
            </w:pPr>
            <w:r w:rsidRPr="00405303">
              <w:rPr>
                <w:bCs/>
                <w:color w:val="002060"/>
                <w:sz w:val="16"/>
                <w:szCs w:val="16"/>
              </w:rPr>
              <w:t>: "Аргус" 140 л.с.</w:t>
            </w:r>
          </w:p>
        </w:tc>
        <w:tc>
          <w:tcPr>
            <w:tcW w:w="1601" w:type="dxa"/>
          </w:tcPr>
          <w:p w14:paraId="6BA7F569" w14:textId="77777777" w:rsidR="004B4E35" w:rsidRPr="00405303" w:rsidRDefault="009E6F82" w:rsidP="00C15251">
            <w:pPr>
              <w:jc w:val="both"/>
              <w:rPr>
                <w:bCs/>
                <w:color w:val="002060"/>
                <w:sz w:val="16"/>
                <w:szCs w:val="16"/>
              </w:rPr>
            </w:pPr>
            <w:r w:rsidRPr="00405303">
              <w:rPr>
                <w:bCs/>
                <w:color w:val="002060"/>
                <w:sz w:val="16"/>
                <w:szCs w:val="16"/>
              </w:rPr>
              <w:t>"Киевский"</w:t>
            </w:r>
          </w:p>
        </w:tc>
        <w:tc>
          <w:tcPr>
            <w:tcW w:w="1601" w:type="dxa"/>
          </w:tcPr>
          <w:p w14:paraId="257EBC73" w14:textId="77777777" w:rsidR="004B4E35" w:rsidRPr="00405303" w:rsidRDefault="009E6F82" w:rsidP="00C15251">
            <w:pPr>
              <w:jc w:val="both"/>
              <w:rPr>
                <w:bCs/>
                <w:color w:val="002060"/>
                <w:sz w:val="16"/>
                <w:szCs w:val="16"/>
              </w:rPr>
            </w:pPr>
            <w:r w:rsidRPr="00405303">
              <w:rPr>
                <w:bCs/>
                <w:color w:val="002060"/>
                <w:sz w:val="16"/>
                <w:szCs w:val="16"/>
              </w:rPr>
              <w:t>Штабс-капитан И.С. Башко</w:t>
            </w:r>
          </w:p>
        </w:tc>
        <w:tc>
          <w:tcPr>
            <w:tcW w:w="1601" w:type="dxa"/>
          </w:tcPr>
          <w:p w14:paraId="0A1052A2" w14:textId="77777777" w:rsidR="004B4E35" w:rsidRPr="00405303" w:rsidRDefault="009E6F82" w:rsidP="00C15251">
            <w:pPr>
              <w:jc w:val="both"/>
              <w:rPr>
                <w:bCs/>
                <w:color w:val="002060"/>
                <w:sz w:val="16"/>
                <w:szCs w:val="16"/>
              </w:rPr>
            </w:pPr>
            <w:r w:rsidRPr="00405303">
              <w:rPr>
                <w:bCs/>
                <w:color w:val="002060"/>
                <w:sz w:val="16"/>
                <w:szCs w:val="16"/>
              </w:rPr>
              <w:t>С 13 сентября 1915 года</w:t>
            </w:r>
          </w:p>
        </w:tc>
        <w:tc>
          <w:tcPr>
            <w:tcW w:w="1601" w:type="dxa"/>
          </w:tcPr>
          <w:p w14:paraId="2F3ED5F0" w14:textId="77777777" w:rsidR="004B4E35" w:rsidRPr="00405303" w:rsidRDefault="004B4E35" w:rsidP="00C15251">
            <w:pPr>
              <w:jc w:val="both"/>
              <w:rPr>
                <w:bCs/>
                <w:color w:val="002060"/>
                <w:sz w:val="16"/>
                <w:szCs w:val="16"/>
              </w:rPr>
            </w:pPr>
          </w:p>
        </w:tc>
      </w:tr>
    </w:tbl>
    <w:p w14:paraId="1E5DEB2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(12041).</w:t>
      </w:r>
    </w:p>
    <w:p w14:paraId="141250E5" w14:textId="77777777" w:rsidR="004B4E35" w:rsidRPr="00405303" w:rsidRDefault="004B4E35" w:rsidP="00C15251">
      <w:pPr>
        <w:shd w:val="clear" w:color="auto" w:fill="FFFFFF"/>
        <w:jc w:val="both"/>
        <w:rPr>
          <w:bCs/>
          <w:color w:val="002060"/>
          <w:sz w:val="16"/>
          <w:szCs w:val="16"/>
        </w:rPr>
      </w:pPr>
    </w:p>
    <w:p w14:paraId="1DB616F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В сентябре 1915 в Одессе при авиационном заводе Анатра открылась Частная школа авиации, вскоре переименовенная в "Школу авиации военного времени, учрежденную А.А.Анатра". В школе начало обучениие 62 человека, в основном солдаты. Руководителем школы наз-аачен летчик и конструктор самолетов Василий Николаевич Хиони (ЦГВИА. ф.2003, </w:t>
      </w:r>
      <w:proofErr w:type="gramStart"/>
      <w:r w:rsidRPr="00405303">
        <w:rPr>
          <w:bCs/>
          <w:color w:val="002060"/>
          <w:sz w:val="16"/>
          <w:szCs w:val="16"/>
        </w:rPr>
        <w:t>оп.З</w:t>
      </w:r>
      <w:proofErr w:type="gramEnd"/>
      <w:r w:rsidRPr="00405303">
        <w:rPr>
          <w:bCs/>
          <w:color w:val="002060"/>
          <w:sz w:val="16"/>
          <w:szCs w:val="16"/>
        </w:rPr>
        <w:t>, д.633).</w:t>
      </w:r>
    </w:p>
    <w:p w14:paraId="6D9CD1C8" w14:textId="77777777" w:rsidR="004B4E35" w:rsidRPr="00405303" w:rsidRDefault="004B4E35" w:rsidP="00C15251">
      <w:pPr>
        <w:shd w:val="clear" w:color="auto" w:fill="FFFFFF"/>
        <w:jc w:val="both"/>
        <w:rPr>
          <w:bCs/>
          <w:color w:val="002060"/>
          <w:sz w:val="16"/>
          <w:szCs w:val="16"/>
        </w:rPr>
      </w:pPr>
    </w:p>
    <w:p w14:paraId="49BE8396" w14:textId="77777777" w:rsidR="003B4459" w:rsidRPr="00405303" w:rsidRDefault="003B4459" w:rsidP="00C15251">
      <w:pPr>
        <w:jc w:val="both"/>
        <w:rPr>
          <w:bCs/>
          <w:color w:val="002060"/>
          <w:sz w:val="16"/>
          <w:szCs w:val="16"/>
        </w:rPr>
      </w:pPr>
      <w:r w:rsidRPr="00405303">
        <w:rPr>
          <w:bCs/>
          <w:color w:val="002060"/>
          <w:sz w:val="16"/>
          <w:szCs w:val="16"/>
        </w:rPr>
        <w:t>В сентябре 1915 г. в Одессе при авиационном заводе Анатра открылась частная школа авиации, вскоре переименованная в "Школу авиации военного времени, учрежденную А.А,Анатра". В школе начало обучение 62 человек, в основном "нижние чины". Руководителем школы назначен летчик и конструктор самолетов Василий Николаевич Хиони.</w:t>
      </w:r>
    </w:p>
    <w:p w14:paraId="2CCAF72C" w14:textId="77777777" w:rsidR="003B4459" w:rsidRPr="00405303" w:rsidRDefault="003B4459" w:rsidP="00C15251">
      <w:pPr>
        <w:jc w:val="both"/>
        <w:rPr>
          <w:bCs/>
          <w:color w:val="002060"/>
          <w:sz w:val="16"/>
          <w:szCs w:val="16"/>
        </w:rPr>
      </w:pPr>
      <w:r w:rsidRPr="00405303">
        <w:rPr>
          <w:bCs/>
          <w:color w:val="002060"/>
          <w:sz w:val="16"/>
          <w:szCs w:val="16"/>
        </w:rPr>
        <w:t>/ЦГВИА, ф. 2003, оп. 3, д. 633/ (23320).</w:t>
      </w:r>
    </w:p>
    <w:p w14:paraId="0179191F" w14:textId="77777777" w:rsidR="003B4459" w:rsidRPr="00405303" w:rsidRDefault="003B4459" w:rsidP="00C15251">
      <w:pPr>
        <w:jc w:val="both"/>
        <w:rPr>
          <w:bCs/>
          <w:color w:val="002060"/>
          <w:sz w:val="16"/>
          <w:szCs w:val="16"/>
        </w:rPr>
      </w:pPr>
    </w:p>
    <w:p w14:paraId="51B6C56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сентябре 1915г. Теоретические курсы авиации были переданы в Военное управление военно-воздушного флота и были основаны на тех же принципах, что и Курсы при Петроградском политехническом институ</w:t>
      </w:r>
      <w:r w:rsidRPr="00405303">
        <w:rPr>
          <w:bCs/>
          <w:color w:val="002060"/>
          <w:sz w:val="16"/>
          <w:szCs w:val="16"/>
        </w:rPr>
        <w:softHyphen/>
        <w:t>те. Теоретический курс был рассчитан на четыре месяца, после чего слу</w:t>
      </w:r>
      <w:r w:rsidRPr="00405303">
        <w:rPr>
          <w:bCs/>
          <w:color w:val="002060"/>
          <w:sz w:val="16"/>
          <w:szCs w:val="16"/>
        </w:rPr>
        <w:softHyphen/>
        <w:t>шатели направлялись в военные авиационные школы - Московскую, Гат</w:t>
      </w:r>
      <w:r w:rsidRPr="00405303">
        <w:rPr>
          <w:bCs/>
          <w:color w:val="002060"/>
          <w:sz w:val="16"/>
          <w:szCs w:val="16"/>
        </w:rPr>
        <w:softHyphen/>
        <w:t>чинскую, Качинскую.</w:t>
      </w:r>
    </w:p>
    <w:p w14:paraId="6BC041B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Специальные предметы на Курсах вели Н.Е. Жуковский, члены Воз</w:t>
      </w:r>
      <w:r w:rsidRPr="00405303">
        <w:rPr>
          <w:bCs/>
          <w:color w:val="002060"/>
          <w:sz w:val="16"/>
          <w:szCs w:val="16"/>
        </w:rPr>
        <w:softHyphen/>
        <w:t>духоплавательного кружка В.П. Ветчинкин, Н.И. Иванов, А.С. Кузин, В.В. Москвитинов, П.П. Соколов; занятиями в лабораториях руководили Б.С. Стечкин, А.А. Микулин, Г.М. Мусинянц, К.А. Ушаков.</w:t>
      </w:r>
    </w:p>
    <w:p w14:paraId="49A6950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Приведенные материалы показывают, что Петербургская и Москов</w:t>
      </w:r>
      <w:r w:rsidRPr="00405303">
        <w:rPr>
          <w:bCs/>
          <w:color w:val="002060"/>
          <w:sz w:val="16"/>
          <w:szCs w:val="16"/>
        </w:rPr>
        <w:softHyphen/>
        <w:t>ская аэродинамические школы развивались параллельно и между ними была определенная связь. Безусловно, до 1917 г. Петербургская школа была ведущей.</w:t>
      </w:r>
    </w:p>
    <w:p w14:paraId="16B0DFC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Основным отличием научно-экспериментальной деятельности Пе</w:t>
      </w:r>
      <w:r w:rsidRPr="00405303">
        <w:rPr>
          <w:bCs/>
          <w:color w:val="002060"/>
          <w:sz w:val="16"/>
          <w:szCs w:val="16"/>
        </w:rPr>
        <w:softHyphen/>
        <w:t>тербургской и Московской научных школ в области авиации было то, что Московская школа, руководимая Н. Е. Жуковским, занималась разработ</w:t>
      </w:r>
      <w:r w:rsidRPr="00405303">
        <w:rPr>
          <w:bCs/>
          <w:color w:val="002060"/>
          <w:sz w:val="16"/>
          <w:szCs w:val="16"/>
        </w:rPr>
        <w:softHyphen/>
        <w:t>кой фундаментальных теорий, в то время как усилия Петербургской шко</w:t>
      </w:r>
      <w:r w:rsidRPr="00405303">
        <w:rPr>
          <w:bCs/>
          <w:color w:val="002060"/>
          <w:sz w:val="16"/>
          <w:szCs w:val="16"/>
        </w:rPr>
        <w:softHyphen/>
        <w:t>лы были направлены на решение конкретных задач, поставленных прак</w:t>
      </w:r>
      <w:r w:rsidRPr="00405303">
        <w:rPr>
          <w:bCs/>
          <w:color w:val="002060"/>
          <w:sz w:val="16"/>
          <w:szCs w:val="16"/>
        </w:rPr>
        <w:softHyphen/>
        <w:t>тикой, жизнью, иными словами, носили прикладной характер, впрочем, совершенно не отвергая и серьезные фундаментальные исследования. Московские ученые пополняли систему знаний - науку, петербургские уче</w:t>
      </w:r>
      <w:r w:rsidRPr="00405303">
        <w:rPr>
          <w:bCs/>
          <w:color w:val="002060"/>
          <w:sz w:val="16"/>
          <w:szCs w:val="16"/>
        </w:rPr>
        <w:softHyphen/>
        <w:t>ные и инженеры пополняли науку результатами практической деятель</w:t>
      </w:r>
      <w:r w:rsidRPr="00405303">
        <w:rPr>
          <w:bCs/>
          <w:color w:val="002060"/>
          <w:sz w:val="16"/>
          <w:szCs w:val="16"/>
        </w:rPr>
        <w:softHyphen/>
        <w:t>ности. Вопрос: что важнее - не имеет права на существование. Одно без другого теряет смысл.</w:t>
      </w:r>
    </w:p>
    <w:p w14:paraId="1A8596C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Наша страна после окончания первой мировой войны имела мощ</w:t>
      </w:r>
      <w:r w:rsidRPr="00405303">
        <w:rPr>
          <w:bCs/>
          <w:color w:val="002060"/>
          <w:sz w:val="16"/>
          <w:szCs w:val="16"/>
        </w:rPr>
        <w:softHyphen/>
        <w:t>ную, самую крупную в мире научно-экспериментальную авиационную базу - надежную опору для послевоенного развития отечественного Воздуш</w:t>
      </w:r>
      <w:r w:rsidRPr="00405303">
        <w:rPr>
          <w:bCs/>
          <w:color w:val="002060"/>
          <w:sz w:val="16"/>
          <w:szCs w:val="16"/>
        </w:rPr>
        <w:softHyphen/>
        <w:t>ного Флота. Высшие учебные заведения с прекрасно организованным уровнем преподавания готовили новое поколение ученых-аналитиков и экспериментаторов. Недаром, один из представителей Франции, посе</w:t>
      </w:r>
      <w:r w:rsidRPr="00405303">
        <w:rPr>
          <w:bCs/>
          <w:color w:val="002060"/>
          <w:sz w:val="16"/>
          <w:szCs w:val="16"/>
        </w:rPr>
        <w:softHyphen/>
        <w:t>тивший Россию в 1917 г., назвал ее: «Страной лабораторий».</w:t>
      </w:r>
    </w:p>
    <w:p w14:paraId="11F6470F" w14:textId="77777777" w:rsidR="004B4E35" w:rsidRPr="00405303" w:rsidRDefault="009E6F82" w:rsidP="00C15251">
      <w:pPr>
        <w:jc w:val="both"/>
        <w:rPr>
          <w:bCs/>
          <w:color w:val="002060"/>
          <w:sz w:val="16"/>
          <w:szCs w:val="16"/>
        </w:rPr>
      </w:pPr>
      <w:r w:rsidRPr="00405303">
        <w:rPr>
          <w:bCs/>
          <w:color w:val="002060"/>
          <w:sz w:val="16"/>
          <w:szCs w:val="16"/>
        </w:rPr>
        <w:t>Революция и гражданская война разрушили все планы, уничтожили и разбросали по свету великих подвижников русской науки. Это затормо</w:t>
      </w:r>
      <w:r w:rsidRPr="00405303">
        <w:rPr>
          <w:bCs/>
          <w:color w:val="002060"/>
          <w:sz w:val="16"/>
          <w:szCs w:val="16"/>
        </w:rPr>
        <w:softHyphen/>
        <w:t>зило развитие авиационной науки в России почти на 10 лет (11425).</w:t>
      </w:r>
    </w:p>
    <w:p w14:paraId="3010BA1B" w14:textId="77777777" w:rsidR="004B4E35" w:rsidRPr="00405303" w:rsidRDefault="004B4E35" w:rsidP="00C15251">
      <w:pPr>
        <w:jc w:val="both"/>
        <w:rPr>
          <w:bCs/>
          <w:color w:val="002060"/>
          <w:sz w:val="16"/>
          <w:szCs w:val="16"/>
        </w:rPr>
      </w:pPr>
    </w:p>
    <w:p w14:paraId="5AC95CF1" w14:textId="77777777" w:rsidR="00FC364C" w:rsidRPr="00405303" w:rsidRDefault="00FC364C" w:rsidP="00C15251">
      <w:pPr>
        <w:jc w:val="both"/>
        <w:rPr>
          <w:bCs/>
          <w:color w:val="002060"/>
          <w:sz w:val="16"/>
          <w:szCs w:val="16"/>
          <w:lang w:bidi="en-US"/>
        </w:rPr>
      </w:pPr>
      <w:r w:rsidRPr="00405303">
        <w:rPr>
          <w:bCs/>
          <w:color w:val="002060"/>
          <w:sz w:val="16"/>
          <w:szCs w:val="16"/>
          <w:lang w:bidi="en-US"/>
        </w:rPr>
        <w:t>В сентябре 1915 г. в Зегеволде на Рижском фронте был сформирован 2-й боевой отряд ЭВК. В его состав входили ИМ-</w:t>
      </w:r>
      <w:r w:rsidRPr="00405303">
        <w:rPr>
          <w:bCs/>
          <w:color w:val="002060"/>
          <w:sz w:val="16"/>
          <w:szCs w:val="16"/>
          <w:lang w:val="en-US" w:bidi="en-US"/>
        </w:rPr>
        <w:t>V</w:t>
      </w:r>
      <w:r w:rsidRPr="00405303">
        <w:rPr>
          <w:bCs/>
          <w:color w:val="002060"/>
          <w:sz w:val="16"/>
          <w:szCs w:val="16"/>
          <w:lang w:bidi="en-US"/>
        </w:rPr>
        <w:t xml:space="preserve"> (2-й), ИМ-</w:t>
      </w:r>
      <w:r w:rsidRPr="00405303">
        <w:rPr>
          <w:bCs/>
          <w:color w:val="002060"/>
          <w:sz w:val="16"/>
          <w:szCs w:val="16"/>
          <w:lang w:val="en-US" w:bidi="en-US"/>
        </w:rPr>
        <w:t>XIII</w:t>
      </w:r>
      <w:r w:rsidRPr="00405303">
        <w:rPr>
          <w:bCs/>
          <w:color w:val="002060"/>
          <w:sz w:val="16"/>
          <w:szCs w:val="16"/>
          <w:lang w:bidi="en-US"/>
        </w:rPr>
        <w:t xml:space="preserve"> (3-й Киевский), ИМ-</w:t>
      </w:r>
      <w:r w:rsidRPr="00405303">
        <w:rPr>
          <w:bCs/>
          <w:color w:val="002060"/>
          <w:sz w:val="16"/>
          <w:szCs w:val="16"/>
          <w:lang w:val="en-US" w:bidi="en-US"/>
        </w:rPr>
        <w:t>VI</w:t>
      </w:r>
      <w:r w:rsidRPr="00405303">
        <w:rPr>
          <w:bCs/>
          <w:color w:val="002060"/>
          <w:sz w:val="16"/>
          <w:szCs w:val="16"/>
          <w:lang w:bidi="en-US"/>
        </w:rPr>
        <w:t xml:space="preserve"> (2-й) (бывший ИМ-</w:t>
      </w:r>
      <w:r w:rsidRPr="00405303">
        <w:rPr>
          <w:bCs/>
          <w:color w:val="002060"/>
          <w:sz w:val="16"/>
          <w:szCs w:val="16"/>
          <w:lang w:val="en-US" w:bidi="en-US"/>
        </w:rPr>
        <w:t>I</w:t>
      </w:r>
      <w:r w:rsidRPr="00405303">
        <w:rPr>
          <w:bCs/>
          <w:color w:val="002060"/>
          <w:sz w:val="16"/>
          <w:szCs w:val="16"/>
          <w:lang w:bidi="en-US"/>
        </w:rPr>
        <w:t>), ИМ-</w:t>
      </w:r>
      <w:r w:rsidRPr="00405303">
        <w:rPr>
          <w:bCs/>
          <w:color w:val="002060"/>
          <w:sz w:val="16"/>
          <w:szCs w:val="16"/>
          <w:lang w:val="en-US" w:bidi="en-US"/>
        </w:rPr>
        <w:t>IX</w:t>
      </w:r>
      <w:r w:rsidRPr="00405303">
        <w:rPr>
          <w:bCs/>
          <w:color w:val="002060"/>
          <w:sz w:val="16"/>
          <w:szCs w:val="16"/>
          <w:lang w:bidi="en-US"/>
        </w:rPr>
        <w:t xml:space="preserve"> и ИМ-ИЛ (23525).</w:t>
      </w:r>
    </w:p>
    <w:p w14:paraId="79FF7C43" w14:textId="77777777" w:rsidR="00FC364C" w:rsidRPr="00405303" w:rsidRDefault="00FC364C" w:rsidP="00C15251">
      <w:pPr>
        <w:jc w:val="both"/>
        <w:rPr>
          <w:bCs/>
          <w:color w:val="002060"/>
          <w:sz w:val="16"/>
          <w:szCs w:val="16"/>
        </w:rPr>
      </w:pPr>
    </w:p>
    <w:p w14:paraId="3B8E8AEF" w14:textId="77777777" w:rsidR="008E4C6B" w:rsidRPr="00405303" w:rsidRDefault="008E4C6B" w:rsidP="00C15251">
      <w:pPr>
        <w:jc w:val="both"/>
        <w:rPr>
          <w:bCs/>
          <w:color w:val="002060"/>
          <w:sz w:val="16"/>
          <w:szCs w:val="16"/>
        </w:rPr>
      </w:pPr>
      <w:r w:rsidRPr="00405303">
        <w:rPr>
          <w:bCs/>
          <w:color w:val="002060"/>
          <w:sz w:val="16"/>
          <w:szCs w:val="16"/>
        </w:rPr>
        <w:t>В сентябре 1915 г. в результате меткой стрельбы нашей артиллерии был подбит неприятельский самолет, упавший вскоре возле н/п Микилевшизка (Северный фронт); такая же участь постигла другой немецкий летательный аппарат, подбитый и захваченный в качестве трофея в районе г. Двинск (23405).</w:t>
      </w:r>
    </w:p>
    <w:p w14:paraId="6674CF23" w14:textId="77777777" w:rsidR="008E4C6B" w:rsidRPr="00405303" w:rsidRDefault="008E4C6B" w:rsidP="00C15251">
      <w:pPr>
        <w:jc w:val="both"/>
        <w:rPr>
          <w:bCs/>
          <w:color w:val="002060"/>
          <w:sz w:val="16"/>
          <w:szCs w:val="16"/>
        </w:rPr>
      </w:pPr>
    </w:p>
    <w:p w14:paraId="04A1C2B2" w14:textId="77777777" w:rsidR="00E17754" w:rsidRPr="00B52707" w:rsidRDefault="00E17754" w:rsidP="00E17754">
      <w:pPr>
        <w:jc w:val="both"/>
        <w:rPr>
          <w:color w:val="0070C0"/>
          <w:sz w:val="16"/>
          <w:szCs w:val="16"/>
        </w:rPr>
      </w:pPr>
      <w:r w:rsidRPr="00B52707">
        <w:rPr>
          <w:rStyle w:val="aa"/>
          <w:rFonts w:ascii="Times New Roman" w:hAnsi="Times New Roman"/>
          <w:color w:val="0070C0"/>
          <w:spacing w:val="0"/>
          <w:sz w:val="16"/>
          <w:szCs w:val="16"/>
        </w:rPr>
        <w:t>В сентябре 1915 г. специальный авиационный от</w:t>
      </w:r>
      <w:r w:rsidRPr="00B52707">
        <w:rPr>
          <w:rStyle w:val="aa"/>
          <w:rFonts w:ascii="Times New Roman" w:hAnsi="Times New Roman"/>
          <w:color w:val="0070C0"/>
          <w:spacing w:val="0"/>
          <w:sz w:val="16"/>
          <w:szCs w:val="16"/>
        </w:rPr>
        <w:softHyphen/>
        <w:t>ряд по ПВО Петербурга получил новый штат, предусматривалось иметь 30 офицеров: 18 летчиков и 12 пулеметчиков на пра</w:t>
      </w:r>
      <w:r w:rsidRPr="00B52707">
        <w:rPr>
          <w:rStyle w:val="aa"/>
          <w:rFonts w:ascii="Times New Roman" w:hAnsi="Times New Roman"/>
          <w:color w:val="0070C0"/>
          <w:spacing w:val="0"/>
          <w:sz w:val="16"/>
          <w:szCs w:val="16"/>
        </w:rPr>
        <w:softHyphen/>
        <w:t>вах офицеров-наблюдателей. По штату и табелю отряд имел 18 действующих аэропланов типа «Ньюпор» 11 и «Ньюпор» 21 и состоял из 2 отделений (по 9 аэропла</w:t>
      </w:r>
      <w:r w:rsidRPr="00B52707">
        <w:rPr>
          <w:rStyle w:val="aa"/>
          <w:rFonts w:ascii="Times New Roman" w:hAnsi="Times New Roman"/>
          <w:color w:val="0070C0"/>
          <w:spacing w:val="0"/>
          <w:sz w:val="16"/>
          <w:szCs w:val="16"/>
        </w:rPr>
        <w:softHyphen/>
        <w:t>нов в каждом) (25629).</w:t>
      </w:r>
    </w:p>
    <w:p w14:paraId="4CB6D472" w14:textId="77777777" w:rsidR="00E17754" w:rsidRPr="00B52707" w:rsidRDefault="00E17754" w:rsidP="00E17754">
      <w:pPr>
        <w:jc w:val="both"/>
        <w:rPr>
          <w:color w:val="0070C0"/>
          <w:sz w:val="16"/>
          <w:szCs w:val="16"/>
        </w:rPr>
      </w:pPr>
    </w:p>
    <w:p w14:paraId="47F32AE8" w14:textId="77777777" w:rsidR="00FC364C" w:rsidRPr="00405303" w:rsidRDefault="00FC364C" w:rsidP="00C15251">
      <w:pPr>
        <w:jc w:val="both"/>
        <w:rPr>
          <w:bCs/>
          <w:color w:val="002060"/>
          <w:sz w:val="16"/>
          <w:szCs w:val="16"/>
        </w:rPr>
      </w:pPr>
      <w:r w:rsidRPr="00405303">
        <w:rPr>
          <w:bCs/>
          <w:color w:val="002060"/>
          <w:sz w:val="16"/>
          <w:szCs w:val="16"/>
          <w:lang w:bidi="en-US"/>
        </w:rPr>
        <w:t xml:space="preserve">В сентябре 1915 года британский ежемесячный журнал « </w:t>
      </w:r>
      <w:r w:rsidRPr="00405303">
        <w:rPr>
          <w:bCs/>
          <w:i/>
          <w:iCs/>
          <w:color w:val="002060"/>
          <w:sz w:val="16"/>
          <w:szCs w:val="16"/>
          <w:lang w:bidi="en-US"/>
        </w:rPr>
        <w:t xml:space="preserve">Флайинг </w:t>
      </w:r>
      <w:r w:rsidRPr="00405303">
        <w:rPr>
          <w:bCs/>
          <w:color w:val="002060"/>
          <w:sz w:val="16"/>
          <w:szCs w:val="16"/>
          <w:lang w:bidi="en-US"/>
        </w:rPr>
        <w:t>» опубликовал статью репортера Генри Вудхауза «Поражения русских из-за нехватки самолетов». преимущество для ведения разведки, управления артиллерийским огнем, взаимодействия в работе с пехотой и кавалерией и защиты русских позиций от любопытных глаз опытных немецких разведчиков, которые беспрекословно не только наносили на карту, но и получали подробные фотографические планы русских позиций и распределение сил» (23525).</w:t>
      </w:r>
    </w:p>
    <w:p w14:paraId="56C1D242" w14:textId="77777777" w:rsidR="00FC364C" w:rsidRPr="00405303" w:rsidRDefault="00FC364C" w:rsidP="00C15251">
      <w:pPr>
        <w:jc w:val="both"/>
        <w:rPr>
          <w:bCs/>
          <w:color w:val="002060"/>
          <w:sz w:val="16"/>
          <w:szCs w:val="16"/>
          <w:lang w:bidi="en-US"/>
        </w:rPr>
      </w:pPr>
    </w:p>
    <w:p w14:paraId="347ED05E"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000C8131" w14:textId="77777777" w:rsidR="004B4E35" w:rsidRPr="00405303" w:rsidRDefault="004B4E35" w:rsidP="00C15251">
      <w:pPr>
        <w:jc w:val="both"/>
        <w:rPr>
          <w:bCs/>
          <w:i/>
          <w:color w:val="002060"/>
          <w:sz w:val="16"/>
          <w:szCs w:val="16"/>
        </w:rPr>
      </w:pPr>
    </w:p>
    <w:p w14:paraId="2EF7DDF0" w14:textId="39CAD66F" w:rsidR="004B4E35" w:rsidRPr="00405303" w:rsidRDefault="009E6F82" w:rsidP="00C15251">
      <w:pPr>
        <w:jc w:val="both"/>
        <w:rPr>
          <w:bCs/>
          <w:color w:val="002060"/>
          <w:sz w:val="16"/>
          <w:szCs w:val="16"/>
        </w:rPr>
      </w:pPr>
      <w:r w:rsidRPr="00405303">
        <w:rPr>
          <w:bCs/>
          <w:color w:val="002060"/>
          <w:sz w:val="16"/>
          <w:szCs w:val="16"/>
        </w:rPr>
        <w:t xml:space="preserve">В сентябре </w:t>
      </w:r>
      <w:r w:rsidR="00333023" w:rsidRPr="00405303">
        <w:rPr>
          <w:bCs/>
          <w:color w:val="002060"/>
          <w:sz w:val="16"/>
          <w:szCs w:val="16"/>
        </w:rPr>
        <w:t xml:space="preserve">1915 г. </w:t>
      </w:r>
      <w:r w:rsidRPr="00405303">
        <w:rPr>
          <w:bCs/>
          <w:color w:val="002060"/>
          <w:sz w:val="16"/>
          <w:szCs w:val="16"/>
        </w:rPr>
        <w:t>морская авиация Черноморского флота насчитывала всего шесть боевых машин. По-ложение резко изменилось в октябре, когда после набега немецких крейсеров "Гебен"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760A10BC" w14:textId="77777777" w:rsidR="004B4E35" w:rsidRPr="00405303" w:rsidRDefault="009E6F82" w:rsidP="00C15251">
      <w:pPr>
        <w:jc w:val="both"/>
        <w:rPr>
          <w:bCs/>
          <w:color w:val="002060"/>
          <w:sz w:val="16"/>
          <w:szCs w:val="16"/>
        </w:rPr>
      </w:pPr>
      <w:r w:rsidRPr="00405303">
        <w:rPr>
          <w:bCs/>
          <w:color w:val="002060"/>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7B30E03F" w14:textId="77777777" w:rsidR="004B4E35" w:rsidRPr="00405303" w:rsidRDefault="009E6F82" w:rsidP="00C15251">
      <w:pPr>
        <w:jc w:val="both"/>
        <w:rPr>
          <w:bCs/>
          <w:color w:val="002060"/>
          <w:sz w:val="16"/>
          <w:szCs w:val="16"/>
        </w:rPr>
      </w:pPr>
      <w:r w:rsidRPr="00405303">
        <w:rPr>
          <w:bCs/>
          <w:color w:val="002060"/>
          <w:sz w:val="16"/>
          <w:szCs w:val="16"/>
        </w:rPr>
        <w:t xml:space="preserve">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"Кер- тисс" (СигН$$)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w:t>
      </w:r>
      <w:proofErr w:type="gramStart"/>
      <w:r w:rsidRPr="00405303">
        <w:rPr>
          <w:bCs/>
          <w:color w:val="002060"/>
          <w:sz w:val="16"/>
          <w:szCs w:val="16"/>
        </w:rPr>
        <w:t>ис-пользовании</w:t>
      </w:r>
      <w:proofErr w:type="gramEnd"/>
      <w:r w:rsidRPr="00405303">
        <w:rPr>
          <w:bCs/>
          <w:color w:val="002060"/>
          <w:sz w:val="16"/>
          <w:szCs w:val="16"/>
        </w:rPr>
        <w:t xml:space="preserve"> летающих лодок Щетинина-Григоровича, позволило вполне уверенно продолжать строительство следующих гидросамолетов (12083).</w:t>
      </w:r>
    </w:p>
    <w:p w14:paraId="1D17DD14" w14:textId="77777777" w:rsidR="004B4E35" w:rsidRPr="00405303" w:rsidRDefault="004B4E35" w:rsidP="00C15251">
      <w:pPr>
        <w:jc w:val="both"/>
        <w:rPr>
          <w:bCs/>
          <w:color w:val="002060"/>
          <w:sz w:val="16"/>
          <w:szCs w:val="16"/>
        </w:rPr>
      </w:pPr>
    </w:p>
    <w:p w14:paraId="0171BF6E" w14:textId="670EE4E1" w:rsidR="004B4E35" w:rsidRPr="00405303" w:rsidRDefault="009E6F82" w:rsidP="00C15251">
      <w:pPr>
        <w:jc w:val="both"/>
        <w:rPr>
          <w:bCs/>
          <w:color w:val="002060"/>
          <w:sz w:val="16"/>
          <w:szCs w:val="16"/>
        </w:rPr>
      </w:pPr>
      <w:r w:rsidRPr="00405303">
        <w:rPr>
          <w:bCs/>
          <w:color w:val="002060"/>
          <w:sz w:val="16"/>
          <w:szCs w:val="16"/>
        </w:rPr>
        <w:t xml:space="preserve">В сентябре </w:t>
      </w:r>
      <w:r w:rsidR="00333023" w:rsidRPr="00405303">
        <w:rPr>
          <w:bCs/>
          <w:color w:val="002060"/>
          <w:sz w:val="16"/>
          <w:szCs w:val="16"/>
        </w:rPr>
        <w:t xml:space="preserve">1915 г. </w:t>
      </w:r>
      <w:r w:rsidRPr="00405303">
        <w:rPr>
          <w:bCs/>
          <w:color w:val="002060"/>
          <w:sz w:val="16"/>
          <w:szCs w:val="16"/>
        </w:rPr>
        <w:t>отмечались практически ежедневные воздушные бои, в которых соотношение сил (увы!) составляло обычно два к пяти в пользу немецких авиаторов.</w:t>
      </w:r>
    </w:p>
    <w:p w14:paraId="03C98E2B"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На Черном море, ввиду превосходства русского флота, обстановка для авиации была более спокойной. При этом "Кертиссы", составлявшие ядро самолетного парка, обладали гораздо худшими летными характеристиками, чем даже ранние М-4 Григоровича. Поэтому прибытие 16 мая 1915 г. в Севастополь М-5 первого образца воспринималось как вполне положительное явление. Кроме того, по сравнению с французской лодкой ФБА, М-5 оказалась прочнее и гораздо лучше выдерживала посадку на крутую черноморскую волну. Все указанные обстоятельства привели к тому, что очень скоро </w:t>
      </w:r>
      <w:proofErr w:type="gramStart"/>
      <w:r w:rsidRPr="00405303">
        <w:rPr>
          <w:bCs/>
          <w:color w:val="002060"/>
          <w:sz w:val="16"/>
          <w:szCs w:val="16"/>
        </w:rPr>
        <w:t>последо-вал</w:t>
      </w:r>
      <w:proofErr w:type="gramEnd"/>
      <w:r w:rsidRPr="00405303">
        <w:rPr>
          <w:bCs/>
          <w:color w:val="002060"/>
          <w:sz w:val="16"/>
          <w:szCs w:val="16"/>
        </w:rPr>
        <w:t xml:space="preserve"> заказ на 12 таких лодок для авиации Черноморского флота.</w:t>
      </w:r>
    </w:p>
    <w:p w14:paraId="665FCBBB" w14:textId="77777777" w:rsidR="004B4E35" w:rsidRPr="00405303" w:rsidRDefault="009E6F82" w:rsidP="00C15251">
      <w:pPr>
        <w:jc w:val="both"/>
        <w:rPr>
          <w:bCs/>
          <w:color w:val="002060"/>
          <w:sz w:val="16"/>
          <w:szCs w:val="16"/>
        </w:rPr>
      </w:pPr>
      <w:r w:rsidRPr="00405303">
        <w:rPr>
          <w:bCs/>
          <w:color w:val="002060"/>
          <w:sz w:val="16"/>
          <w:szCs w:val="16"/>
        </w:rPr>
        <w:t>Серийное производство М-5 началось в июне 1915 г. и до конца года на заводе Щетинина их построили 37 штук. Затем их выпуск продолжался с различной интенсивностью на протяжении нескольких лет. Последние три экземпляра, предназначенные для учебных целей, сдали заказчику в 1921 году. До этого момента общее количество построенных М-5 составило порядка 200 экземпляров, большинство из них изготовили на заводах Щетинина, Мельцера, Григоровича в Петрограде, некоторое количество на заводе Анатра в Одессе, а после революции - на петроградском заводе №3.</w:t>
      </w:r>
    </w:p>
    <w:p w14:paraId="0417AE8B" w14:textId="77777777" w:rsidR="004B4E35" w:rsidRPr="00405303" w:rsidRDefault="009E6F82" w:rsidP="00C15251">
      <w:pPr>
        <w:jc w:val="both"/>
        <w:rPr>
          <w:bCs/>
          <w:color w:val="002060"/>
          <w:sz w:val="16"/>
          <w:szCs w:val="16"/>
        </w:rPr>
      </w:pPr>
      <w:r w:rsidRPr="00405303">
        <w:rPr>
          <w:bCs/>
          <w:color w:val="002060"/>
          <w:sz w:val="16"/>
          <w:szCs w:val="16"/>
        </w:rPr>
        <w:t xml:space="preserve">Наиболее активно М-5 использовались в авиации Черноморского флота, получившей в свое пользование за весь период более 70 таких гидропланов. 10 октября 1915 г. начальник авиации Черноморского флота старший лейтенант Ста- ховский писал в Морской генеральный штаб: "...Боевыми аппаратами можно считать лишь Щетинины типа М-5, коих имеется 17, но за недо-статком моторов из них могут действовать лишь 14". Дополним эти сведения: в ноябре 1916 г. на Черном море их числилось 45 экземпляров, в конце 1 917 г. - 24 экземпляра. </w:t>
      </w:r>
    </w:p>
    <w:p w14:paraId="1B8FCA6A" w14:textId="77777777" w:rsidR="004B4E35" w:rsidRPr="00405303" w:rsidRDefault="009E6F82" w:rsidP="00C15251">
      <w:pPr>
        <w:jc w:val="both"/>
        <w:rPr>
          <w:bCs/>
          <w:color w:val="002060"/>
          <w:sz w:val="16"/>
          <w:szCs w:val="16"/>
        </w:rPr>
      </w:pPr>
      <w:r w:rsidRPr="00405303">
        <w:rPr>
          <w:bCs/>
          <w:color w:val="002060"/>
          <w:sz w:val="16"/>
          <w:szCs w:val="16"/>
        </w:rPr>
        <w:t>Вооружение боевых М-5 состояло из одного пулемета "Максим", "Виккерс" или "Льюис", установленных на треноге перед правым членом экипажа, нескольких 8-ми или 50-ти фунтовых бомб. С ноября 1915 г. на отдельных экземплярах ус-танавливали радиотелеграфные станции разных типов с дальностью связи свыше 40 км и фотоаппараты "Потте".</w:t>
      </w:r>
    </w:p>
    <w:p w14:paraId="7654F5A8" w14:textId="77777777" w:rsidR="004B4E35" w:rsidRPr="00405303" w:rsidRDefault="009E6F82" w:rsidP="00C15251">
      <w:pPr>
        <w:jc w:val="both"/>
        <w:rPr>
          <w:bCs/>
          <w:color w:val="002060"/>
          <w:sz w:val="16"/>
          <w:szCs w:val="16"/>
        </w:rPr>
      </w:pPr>
      <w:r w:rsidRPr="00405303">
        <w:rPr>
          <w:bCs/>
          <w:color w:val="002060"/>
          <w:sz w:val="16"/>
          <w:szCs w:val="16"/>
        </w:rPr>
        <w:t>Черноморские М-5 базировались в Севастополе (1-й и 2-й отряды Воздушной дивизии), Одессе и Батуме (Кавказский фронт). Кроме этого, часть аппаратов была приписана к 1, 2, 3-му корабельным авиаотрядам на гидрокрейсерах "Император Александр I", "Император Николай I", "Алмаз". В отдельных случаях самолеты транспортировали на крейсере "Память Меркурия". Самолеты корабельной авиации участвовали в рейдах к берегам Турции и Болгарии.</w:t>
      </w:r>
    </w:p>
    <w:p w14:paraId="3461343B" w14:textId="77777777" w:rsidR="004B4E35" w:rsidRPr="00405303" w:rsidRDefault="009E6F82" w:rsidP="00C15251">
      <w:pPr>
        <w:jc w:val="both"/>
        <w:rPr>
          <w:bCs/>
          <w:color w:val="002060"/>
          <w:sz w:val="16"/>
          <w:szCs w:val="16"/>
        </w:rPr>
      </w:pPr>
      <w:r w:rsidRPr="00405303">
        <w:rPr>
          <w:bCs/>
          <w:color w:val="002060"/>
          <w:sz w:val="16"/>
          <w:szCs w:val="16"/>
        </w:rPr>
        <w:t>Большую огласку получила атака турецкого порта Зонгулдак в январе 1916 г. Целью этой набеговой операции значилось нарушение турецких перевозок угля из Зон- гулдакского угольного района в Константинополь. Уголь доставляли морем по причине отсутствия полноценного железнодорожного сообщения. Эффективность русских боевых кораблей в противодей-ствии турецким перевозкам угля оценивалась высоко, однако в начале 1916 г. последовало решение нанести удар по Зонгулдаку с использованием авиации.</w:t>
      </w:r>
    </w:p>
    <w:p w14:paraId="101D7B33" w14:textId="77777777" w:rsidR="004B4E35" w:rsidRPr="00405303" w:rsidRDefault="009E6F82" w:rsidP="00C15251">
      <w:pPr>
        <w:jc w:val="both"/>
        <w:rPr>
          <w:bCs/>
          <w:color w:val="002060"/>
          <w:sz w:val="16"/>
          <w:szCs w:val="16"/>
        </w:rPr>
      </w:pPr>
      <w:r w:rsidRPr="00405303">
        <w:rPr>
          <w:bCs/>
          <w:color w:val="002060"/>
          <w:sz w:val="16"/>
          <w:szCs w:val="16"/>
        </w:rPr>
        <w:t>В составе эскадры, вышедшей из Севастополя 24 января 1916 г. находились авиатранспорты "Император Александр I" и "Император Николай I", которые имели на борту 1 4 летающих лодок "Кертисс" и М-5. Авиационной группе ставилась задача атаковать турецкие объекты, недоступные корабельной артиллерии. Каждый гидроплан был вооружен двумя двухпудовыми и несколькими десятифунтовыми бомбами. Примерно в 15 милях к северу от Зонгулдака авиатранспорты спустили самолеты на воду, после чего вся группа стартовала в воздух. До цели долетели 1 1 машин, остальные по причине неисправностей вернулись назад. Бомбардировка порта велась в условиях плотной облачности и активного обстрела с земли. Тем не менее, ударом с воздуха удалось уничтожить турецкий пароход "Ирмингард" (1гт1пНагс1), несколько мелких судов и разрушить портовые объекты.</w:t>
      </w:r>
    </w:p>
    <w:p w14:paraId="560C1D1B" w14:textId="77777777" w:rsidR="004B4E35" w:rsidRPr="00405303" w:rsidRDefault="009E6F82" w:rsidP="00C15251">
      <w:pPr>
        <w:jc w:val="both"/>
        <w:rPr>
          <w:bCs/>
          <w:color w:val="002060"/>
          <w:sz w:val="16"/>
          <w:szCs w:val="16"/>
        </w:rPr>
      </w:pPr>
      <w:r w:rsidRPr="00405303">
        <w:rPr>
          <w:bCs/>
          <w:color w:val="002060"/>
          <w:sz w:val="16"/>
          <w:szCs w:val="16"/>
        </w:rPr>
        <w:t>В 1916-17 гг. летающие лодки М-5 продолжали активно использоваться в интересах Черноморского флота и своим присутствием существенно повлияли на достижение успеха во многих боевых операциях. В начале 1918 г. практически все черноморские М-5 оказались в зоне белого движения и австрийской оккупации. В летном состоянии оставались лишь единичные экземпляры, которые просуществовали до 1919-20 гг.</w:t>
      </w:r>
    </w:p>
    <w:p w14:paraId="29C57CE3" w14:textId="77777777" w:rsidR="004B4E35" w:rsidRPr="00405303" w:rsidRDefault="009E6F82" w:rsidP="00C15251">
      <w:pPr>
        <w:jc w:val="both"/>
        <w:rPr>
          <w:bCs/>
          <w:color w:val="002060"/>
          <w:sz w:val="16"/>
          <w:szCs w:val="16"/>
        </w:rPr>
      </w:pPr>
      <w:r w:rsidRPr="00405303">
        <w:rPr>
          <w:bCs/>
          <w:color w:val="002060"/>
          <w:sz w:val="16"/>
          <w:szCs w:val="16"/>
        </w:rPr>
        <w:t>На Балтике "пятаки" дебютировали как учебные машины при открытии в Петрограде 28 июля 1915 г. офицерской школы морской авиации. Поначалу в ней имелись 4 лодки М-5 и две французские ФБА. Одновременно с функционирующей школой в Петрограде решили открыть ее отделение в Баку - к обучению летчиков на Каспийском море приступили 22 ноября 1915 г.</w:t>
      </w:r>
    </w:p>
    <w:p w14:paraId="1854CF68" w14:textId="77777777" w:rsidR="004B4E35" w:rsidRPr="00405303" w:rsidRDefault="009E6F82" w:rsidP="00C15251">
      <w:pPr>
        <w:jc w:val="both"/>
        <w:rPr>
          <w:bCs/>
          <w:color w:val="002060"/>
          <w:sz w:val="16"/>
          <w:szCs w:val="16"/>
        </w:rPr>
      </w:pPr>
      <w:r w:rsidRPr="00405303">
        <w:rPr>
          <w:bCs/>
          <w:color w:val="002060"/>
          <w:sz w:val="16"/>
          <w:szCs w:val="16"/>
        </w:rPr>
        <w:t>Бакинский филиал с начала 1917 г. стал самостоятельной летной школой с прекрасно оборудованными мастерскими, ангарами и спусками на воду. В лучшие времена здесь эксплуатировалось до 20 учебных гидросамолетов М-5. Часть из них в середине 1918 г. принимала участие в отражении турецкого наступления в Закавказье, действуя в интересах оставшихся подразделений русской армии. Между тем, активное использование вело к неуклонному снижению количества пригодных к полетам машин, поэтому в 1919 г. здесь оставалось лишь два экземпляра М-5. В последующих бурных событиях гражданской войны Бакинская школа и ее имущество перестали существовать.</w:t>
      </w:r>
    </w:p>
    <w:p w14:paraId="08A59271" w14:textId="77777777" w:rsidR="004B4E35" w:rsidRPr="00405303" w:rsidRDefault="009E6F82" w:rsidP="00C15251">
      <w:pPr>
        <w:jc w:val="both"/>
        <w:rPr>
          <w:bCs/>
          <w:color w:val="002060"/>
          <w:sz w:val="16"/>
          <w:szCs w:val="16"/>
        </w:rPr>
      </w:pPr>
      <w:r w:rsidRPr="00405303">
        <w:rPr>
          <w:bCs/>
          <w:color w:val="002060"/>
          <w:sz w:val="16"/>
          <w:szCs w:val="16"/>
        </w:rPr>
        <w:t>Точное количество учебных аппаратов, используемых петроградской школой неизвестно, скорее всего, в течение двух лет здесь их применялось до двух десятков экземпляров. В апреле 1918 г., в связи с угрозой немецкого вторжения, школу эвакуировали в Нижний Новгород - на Волгу отправились 5 учебных М-5. Такое же количество учебных "пятаков" насчитывалось в морской школе летчиков им. Троцкого, открытой 11 ноября 1918 г. на Гу- туевском острове в Петрограде. В период с мая по октябрь 1919 г. летающие лодки этой школы принимали участие в боевых действиях против армии генерала Юденича, наступавшей на Петроград. В декабре 1919 г. оба упомянутые учебные заведения объединили в Военно-морскую школу авиации и перевели в Самару на Волге. Объединенная школа базировалась на барже "Евпраксия", которая была оборудована ангаром и спуском для гидросамолетов. В период 1920- 1921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середины 1920-х годов. Известно, что в декабре 1925 г. в составе советской авиации числилось 22 таких учебных летающих лодки (очевидно совместно с М-20, отличавшейся в основном двигателем).</w:t>
      </w:r>
    </w:p>
    <w:p w14:paraId="52EF9B5E" w14:textId="77777777" w:rsidR="004B4E35" w:rsidRPr="00405303" w:rsidRDefault="009E6F82" w:rsidP="00C15251">
      <w:pPr>
        <w:jc w:val="both"/>
        <w:rPr>
          <w:bCs/>
          <w:color w:val="002060"/>
          <w:sz w:val="16"/>
          <w:szCs w:val="16"/>
        </w:rPr>
      </w:pPr>
      <w:r w:rsidRPr="00405303">
        <w:rPr>
          <w:bCs/>
          <w:color w:val="002060"/>
          <w:sz w:val="16"/>
          <w:szCs w:val="16"/>
        </w:rPr>
        <w:t>Помимо эксплуатации в России, по крайней мере, одна лодка М-5 после 1917 г. использовалась в Финляндии. Еще один экземпляр в ходе войны достался Турции, где сохранился до наших дней в авиационном музее Стамбула - Науа Мизеа (12083).</w:t>
      </w:r>
    </w:p>
    <w:p w14:paraId="4D284654" w14:textId="77777777" w:rsidR="004B4E35" w:rsidRPr="00405303" w:rsidRDefault="004B4E35" w:rsidP="00C15251">
      <w:pPr>
        <w:jc w:val="both"/>
        <w:rPr>
          <w:bCs/>
          <w:color w:val="002060"/>
          <w:sz w:val="16"/>
          <w:szCs w:val="16"/>
        </w:rPr>
      </w:pPr>
    </w:p>
    <w:p w14:paraId="19D02489" w14:textId="77777777" w:rsidR="00FC364C" w:rsidRPr="00405303" w:rsidRDefault="00FC364C" w:rsidP="00C15251">
      <w:pPr>
        <w:jc w:val="both"/>
        <w:rPr>
          <w:bCs/>
          <w:color w:val="002060"/>
          <w:sz w:val="16"/>
          <w:szCs w:val="16"/>
        </w:rPr>
      </w:pPr>
      <w:r w:rsidRPr="00405303">
        <w:rPr>
          <w:bCs/>
          <w:color w:val="002060"/>
          <w:sz w:val="16"/>
          <w:szCs w:val="16"/>
          <w:lang w:bidi="en-US"/>
        </w:rPr>
        <w:t>В сентябре 1915 года военно-морской министр получил доклад от командующего Балтийским флотом, в котором говорилось, что он против любого отделения авиации от Службы связи и связи, предполагая, что более тесное сотрудничество между службой и авиационным отделом морского генерального штаба может устранить текущие проблемы со снабжением (23525).</w:t>
      </w:r>
    </w:p>
    <w:p w14:paraId="61165C6E" w14:textId="77777777" w:rsidR="00FC364C" w:rsidRPr="00405303" w:rsidRDefault="00FC364C" w:rsidP="00C15251">
      <w:pPr>
        <w:jc w:val="both"/>
        <w:rPr>
          <w:bCs/>
          <w:color w:val="002060"/>
          <w:sz w:val="16"/>
          <w:szCs w:val="16"/>
          <w:lang w:bidi="en-US"/>
        </w:rPr>
      </w:pPr>
    </w:p>
    <w:p w14:paraId="1D1EF4E9" w14:textId="77777777" w:rsidR="00756960" w:rsidRPr="00405303" w:rsidRDefault="00756960" w:rsidP="00C15251">
      <w:pPr>
        <w:jc w:val="both"/>
        <w:rPr>
          <w:bCs/>
          <w:i/>
          <w:color w:val="002060"/>
          <w:sz w:val="16"/>
          <w:szCs w:val="16"/>
        </w:rPr>
      </w:pPr>
      <w:r w:rsidRPr="00405303">
        <w:rPr>
          <w:bCs/>
          <w:i/>
          <w:color w:val="002060"/>
          <w:sz w:val="16"/>
          <w:szCs w:val="16"/>
        </w:rPr>
        <w:t>Воздухоплавание:</w:t>
      </w:r>
    </w:p>
    <w:p w14:paraId="47A653CE" w14:textId="77777777" w:rsidR="00756960" w:rsidRPr="00405303" w:rsidRDefault="00756960" w:rsidP="00C15251">
      <w:pPr>
        <w:jc w:val="both"/>
        <w:rPr>
          <w:bCs/>
          <w:i/>
          <w:color w:val="002060"/>
          <w:sz w:val="16"/>
          <w:szCs w:val="16"/>
        </w:rPr>
      </w:pPr>
    </w:p>
    <w:p w14:paraId="41EE94CD" w14:textId="668CD5CC" w:rsidR="00756960" w:rsidRPr="00405303" w:rsidRDefault="00756960" w:rsidP="00C15251">
      <w:pPr>
        <w:jc w:val="both"/>
        <w:rPr>
          <w:bCs/>
          <w:color w:val="002060"/>
          <w:sz w:val="16"/>
          <w:szCs w:val="16"/>
        </w:rPr>
      </w:pPr>
      <w:r w:rsidRPr="00405303">
        <w:rPr>
          <w:bCs/>
          <w:color w:val="002060"/>
          <w:sz w:val="16"/>
          <w:szCs w:val="16"/>
        </w:rPr>
        <w:t xml:space="preserve">В сентябре </w:t>
      </w:r>
      <w:r w:rsidR="00333023" w:rsidRPr="00405303">
        <w:rPr>
          <w:bCs/>
          <w:color w:val="002060"/>
          <w:sz w:val="16"/>
          <w:szCs w:val="16"/>
        </w:rPr>
        <w:t xml:space="preserve">1915 г. Юзеф Древницкий летал </w:t>
      </w:r>
      <w:r w:rsidRPr="00405303">
        <w:rPr>
          <w:bCs/>
          <w:color w:val="002060"/>
          <w:sz w:val="16"/>
          <w:szCs w:val="16"/>
        </w:rPr>
        <w:t>в Вятке, а затем, в заверше</w:t>
      </w:r>
      <w:r w:rsidRPr="00405303">
        <w:rPr>
          <w:bCs/>
          <w:color w:val="002060"/>
          <w:sz w:val="16"/>
          <w:szCs w:val="16"/>
        </w:rPr>
        <w:softHyphen/>
        <w:t>ние своей поездки, посетил Пермь. Осенняя непогода заставила его возвратиться в Москву. После 1915 года он уже не летал, многолетняя воздухоплавательная деятельность бесстрашного аэронавта-ларашю- тиста закончилась.</w:t>
      </w:r>
    </w:p>
    <w:p w14:paraId="78CF5A34" w14:textId="77777777" w:rsidR="00756960" w:rsidRPr="00405303" w:rsidRDefault="00756960" w:rsidP="00C15251">
      <w:pPr>
        <w:jc w:val="both"/>
        <w:rPr>
          <w:bCs/>
          <w:color w:val="002060"/>
          <w:sz w:val="16"/>
          <w:szCs w:val="16"/>
        </w:rPr>
      </w:pPr>
      <w:r w:rsidRPr="00405303">
        <w:rPr>
          <w:bCs/>
          <w:color w:val="002060"/>
          <w:sz w:val="16"/>
          <w:szCs w:val="16"/>
        </w:rPr>
        <w:t>Сколько же совершил он за свою жизнь полетов и прыжков? Точно ответить на этот вопрос невозмож</w:t>
      </w:r>
      <w:r w:rsidRPr="00405303">
        <w:rPr>
          <w:bCs/>
          <w:color w:val="002060"/>
          <w:sz w:val="16"/>
          <w:szCs w:val="16"/>
        </w:rPr>
        <w:softHyphen/>
        <w:t>но. Приезжая в тот или иной го</w:t>
      </w:r>
      <w:r w:rsidRPr="00405303">
        <w:rPr>
          <w:bCs/>
          <w:color w:val="002060"/>
          <w:sz w:val="16"/>
          <w:szCs w:val="16"/>
        </w:rPr>
        <w:softHyphen/>
        <w:t>род, Юзеф Маврикиевич иногда сам объявлял о количестве совер</w:t>
      </w:r>
      <w:r w:rsidRPr="00405303">
        <w:rPr>
          <w:bCs/>
          <w:color w:val="002060"/>
          <w:sz w:val="16"/>
          <w:szCs w:val="16"/>
        </w:rPr>
        <w:softHyphen/>
        <w:t>шенных им ранее подъемов в воз</w:t>
      </w:r>
      <w:r w:rsidRPr="00405303">
        <w:rPr>
          <w:bCs/>
          <w:color w:val="002060"/>
          <w:sz w:val="16"/>
          <w:szCs w:val="16"/>
        </w:rPr>
        <w:softHyphen/>
        <w:t>дух. К августу 1895 года, по сооб</w:t>
      </w:r>
      <w:r w:rsidRPr="00405303">
        <w:rPr>
          <w:bCs/>
          <w:color w:val="002060"/>
          <w:sz w:val="16"/>
          <w:szCs w:val="16"/>
        </w:rPr>
        <w:softHyphen/>
        <w:t>щению нижегородской газеты, у него насчитывалось двести пятьде</w:t>
      </w:r>
      <w:r w:rsidRPr="00405303">
        <w:rPr>
          <w:bCs/>
          <w:color w:val="002060"/>
          <w:sz w:val="16"/>
          <w:szCs w:val="16"/>
        </w:rPr>
        <w:softHyphen/>
        <w:t>сят полетов. К концу лета 1897 года — триста. Рубеж в четыреста поле</w:t>
      </w:r>
      <w:r w:rsidRPr="00405303">
        <w:rPr>
          <w:bCs/>
          <w:color w:val="002060"/>
          <w:sz w:val="16"/>
          <w:szCs w:val="16"/>
        </w:rPr>
        <w:softHyphen/>
        <w:t>тов он преодолел в 1909 году. А в июне 1912 года в Виннице выпол</w:t>
      </w:r>
      <w:r w:rsidRPr="00405303">
        <w:rPr>
          <w:bCs/>
          <w:color w:val="002060"/>
          <w:sz w:val="16"/>
          <w:szCs w:val="16"/>
        </w:rPr>
        <w:softHyphen/>
        <w:t>нил свой пятьсот пятый полет. Пос</w:t>
      </w:r>
      <w:r w:rsidRPr="00405303">
        <w:rPr>
          <w:bCs/>
          <w:color w:val="002060"/>
          <w:sz w:val="16"/>
          <w:szCs w:val="16"/>
        </w:rPr>
        <w:softHyphen/>
        <w:t>ле этого, как удалось подсчитать, он совершил еще не менее сорока пяти полетов. Автору этих строк удалось собрать достоверные све</w:t>
      </w:r>
      <w:r w:rsidRPr="00405303">
        <w:rPr>
          <w:bCs/>
          <w:color w:val="002060"/>
          <w:sz w:val="16"/>
          <w:szCs w:val="16"/>
        </w:rPr>
        <w:softHyphen/>
        <w:t>дения о сто семидесяти четырех воздушных путешествиях Юзефа Древницкого. Из них сто пятьдесят три окончились прыжками с пара</w:t>
      </w:r>
      <w:r w:rsidRPr="00405303">
        <w:rPr>
          <w:bCs/>
          <w:color w:val="002060"/>
          <w:sz w:val="16"/>
          <w:szCs w:val="16"/>
        </w:rPr>
        <w:softHyphen/>
        <w:t>шютом.</w:t>
      </w:r>
    </w:p>
    <w:p w14:paraId="45C48602" w14:textId="77777777" w:rsidR="00756960" w:rsidRPr="00405303" w:rsidRDefault="00756960" w:rsidP="00C15251">
      <w:pPr>
        <w:jc w:val="both"/>
        <w:rPr>
          <w:bCs/>
          <w:color w:val="002060"/>
          <w:sz w:val="16"/>
          <w:szCs w:val="16"/>
        </w:rPr>
      </w:pPr>
      <w:r w:rsidRPr="00405303">
        <w:rPr>
          <w:bCs/>
          <w:color w:val="002060"/>
          <w:sz w:val="16"/>
          <w:szCs w:val="16"/>
        </w:rPr>
        <w:t>Прыжков было несколько мень</w:t>
      </w:r>
      <w:r w:rsidRPr="00405303">
        <w:rPr>
          <w:bCs/>
          <w:color w:val="002060"/>
          <w:sz w:val="16"/>
          <w:szCs w:val="16"/>
        </w:rPr>
        <w:softHyphen/>
        <w:t>ше, чем полетов, так как, по раз</w:t>
      </w:r>
      <w:r w:rsidRPr="00405303">
        <w:rPr>
          <w:bCs/>
          <w:color w:val="002060"/>
          <w:sz w:val="16"/>
          <w:szCs w:val="16"/>
        </w:rPr>
        <w:softHyphen/>
        <w:t>ным причинам, аэронавту подчас приходилось опускаться вместе с монгольфьером. По числу прыжков с парашютом, совершенных в те далекие годы, с Юзефом Древниц- ким никто не мог сравниться не только в России, но, вероятно, и за границей. По количеству же лет, отданных этому опасному делу, ему уж точно не было равных нигде.</w:t>
      </w:r>
    </w:p>
    <w:p w14:paraId="1F55E427" w14:textId="77777777" w:rsidR="00756960" w:rsidRPr="00405303" w:rsidRDefault="00756960" w:rsidP="00C15251">
      <w:pPr>
        <w:jc w:val="both"/>
        <w:rPr>
          <w:bCs/>
          <w:color w:val="002060"/>
          <w:sz w:val="16"/>
          <w:szCs w:val="16"/>
        </w:rPr>
      </w:pPr>
      <w:r w:rsidRPr="00405303">
        <w:rPr>
          <w:bCs/>
          <w:color w:val="002060"/>
          <w:sz w:val="16"/>
          <w:szCs w:val="16"/>
        </w:rPr>
        <w:t>С 1910 года первые русские авиаторы, подобно братьям Древницким, начали совершать турне по России и демонстрировать полеты на аэропланах, казавшиеся тогда удивительными. Случалось, что вы</w:t>
      </w:r>
      <w:r w:rsidRPr="00405303">
        <w:rPr>
          <w:bCs/>
          <w:color w:val="002060"/>
          <w:sz w:val="16"/>
          <w:szCs w:val="16"/>
        </w:rPr>
        <w:softHyphen/>
        <w:t>ступления Юзефа Древницкого про</w:t>
      </w:r>
      <w:r w:rsidRPr="00405303">
        <w:rPr>
          <w:bCs/>
          <w:color w:val="002060"/>
          <w:sz w:val="16"/>
          <w:szCs w:val="16"/>
        </w:rPr>
        <w:softHyphen/>
        <w:t>ходили одновременно с авиацион</w:t>
      </w:r>
      <w:r w:rsidRPr="00405303">
        <w:rPr>
          <w:bCs/>
          <w:color w:val="002060"/>
          <w:sz w:val="16"/>
          <w:szCs w:val="16"/>
        </w:rPr>
        <w:softHyphen/>
        <w:t>ными. Например, в Киеве он летал одновременно с авиатором Кузмин- ским, в Петербурге — с Уточкиным.</w:t>
      </w:r>
    </w:p>
    <w:p w14:paraId="3D1E7573" w14:textId="77777777" w:rsidR="00756960" w:rsidRPr="00405303" w:rsidRDefault="00756960" w:rsidP="00C15251">
      <w:pPr>
        <w:jc w:val="both"/>
        <w:rPr>
          <w:bCs/>
          <w:color w:val="002060"/>
          <w:sz w:val="16"/>
          <w:szCs w:val="16"/>
        </w:rPr>
      </w:pPr>
      <w:r w:rsidRPr="00405303">
        <w:rPr>
          <w:bCs/>
          <w:color w:val="002060"/>
          <w:sz w:val="16"/>
          <w:szCs w:val="16"/>
        </w:rPr>
        <w:lastRenderedPageBreak/>
        <w:t>Юзеф Маврикиевич понимал, что проигрывает авиаторам. В об</w:t>
      </w:r>
      <w:r w:rsidRPr="00405303">
        <w:rPr>
          <w:bCs/>
          <w:color w:val="002060"/>
          <w:sz w:val="16"/>
          <w:szCs w:val="16"/>
        </w:rPr>
        <w:softHyphen/>
        <w:t>щественном мнении они олицетво</w:t>
      </w:r>
      <w:r w:rsidRPr="00405303">
        <w:rPr>
          <w:bCs/>
          <w:color w:val="002060"/>
          <w:sz w:val="16"/>
          <w:szCs w:val="16"/>
        </w:rPr>
        <w:softHyphen/>
        <w:t>ряли собой победу человека над воздухом, свидетельствовали о на</w:t>
      </w:r>
      <w:r w:rsidRPr="00405303">
        <w:rPr>
          <w:bCs/>
          <w:color w:val="002060"/>
          <w:sz w:val="16"/>
          <w:szCs w:val="16"/>
        </w:rPr>
        <w:softHyphen/>
        <w:t>чале новой эры. Его же подъемы на</w:t>
      </w:r>
    </w:p>
    <w:p w14:paraId="548C88FA" w14:textId="77777777" w:rsidR="00756960" w:rsidRPr="00405303" w:rsidRDefault="00756960" w:rsidP="00C15251">
      <w:pPr>
        <w:jc w:val="both"/>
        <w:rPr>
          <w:bCs/>
          <w:color w:val="002060"/>
          <w:sz w:val="16"/>
          <w:szCs w:val="16"/>
        </w:rPr>
      </w:pPr>
      <w:r w:rsidRPr="00405303">
        <w:rPr>
          <w:bCs/>
          <w:color w:val="002060"/>
          <w:sz w:val="16"/>
          <w:szCs w:val="16"/>
        </w:rPr>
        <w:t>закопченном монгольфьере выг</w:t>
      </w:r>
      <w:r w:rsidRPr="00405303">
        <w:rPr>
          <w:bCs/>
          <w:color w:val="002060"/>
          <w:sz w:val="16"/>
          <w:szCs w:val="16"/>
        </w:rPr>
        <w:softHyphen/>
        <w:t>лядели совсем иначе. По этому поводу пятигорская газета «Кав</w:t>
      </w:r>
      <w:r w:rsidRPr="00405303">
        <w:rPr>
          <w:bCs/>
          <w:color w:val="002060"/>
          <w:sz w:val="16"/>
          <w:szCs w:val="16"/>
        </w:rPr>
        <w:softHyphen/>
        <w:t>казский край» в июне 1911 года писала: «Тому, кто видел полеты на "Форманах", "Блерио* и дру</w:t>
      </w:r>
      <w:r w:rsidRPr="00405303">
        <w:rPr>
          <w:bCs/>
          <w:color w:val="002060"/>
          <w:sz w:val="16"/>
          <w:szCs w:val="16"/>
        </w:rPr>
        <w:softHyphen/>
        <w:t>гих аппаратах, подъем на воздуш</w:t>
      </w:r>
      <w:r w:rsidRPr="00405303">
        <w:rPr>
          <w:bCs/>
          <w:color w:val="002060"/>
          <w:sz w:val="16"/>
          <w:szCs w:val="16"/>
        </w:rPr>
        <w:softHyphen/>
        <w:t>ном шаре кажется уже анахро</w:t>
      </w:r>
      <w:r w:rsidRPr="00405303">
        <w:rPr>
          <w:bCs/>
          <w:color w:val="002060"/>
          <w:sz w:val="16"/>
          <w:szCs w:val="16"/>
        </w:rPr>
        <w:softHyphen/>
        <w:t>низмом».</w:t>
      </w:r>
    </w:p>
    <w:p w14:paraId="2E6FD49C" w14:textId="77777777" w:rsidR="00756960" w:rsidRPr="00405303" w:rsidRDefault="00756960" w:rsidP="00C15251">
      <w:pPr>
        <w:jc w:val="both"/>
        <w:rPr>
          <w:bCs/>
          <w:color w:val="002060"/>
          <w:sz w:val="16"/>
          <w:szCs w:val="16"/>
        </w:rPr>
      </w:pPr>
      <w:r w:rsidRPr="00405303">
        <w:rPr>
          <w:bCs/>
          <w:color w:val="002060"/>
          <w:sz w:val="16"/>
          <w:szCs w:val="16"/>
        </w:rPr>
        <w:t>Древницкий и сам с интере</w:t>
      </w:r>
      <w:r w:rsidRPr="00405303">
        <w:rPr>
          <w:bCs/>
          <w:color w:val="002060"/>
          <w:sz w:val="16"/>
          <w:szCs w:val="16"/>
        </w:rPr>
        <w:softHyphen/>
        <w:t>сом относился к авиации, был знаком со многими русскими лет</w:t>
      </w:r>
      <w:r w:rsidRPr="00405303">
        <w:rPr>
          <w:bCs/>
          <w:color w:val="002060"/>
          <w:sz w:val="16"/>
          <w:szCs w:val="16"/>
        </w:rPr>
        <w:softHyphen/>
        <w:t>чиками. Некоторые его газетные публикации касались авиации, ее истории. Нередко перед полетом он рассказывал зрителям о воз</w:t>
      </w:r>
      <w:r w:rsidRPr="00405303">
        <w:rPr>
          <w:bCs/>
          <w:color w:val="002060"/>
          <w:sz w:val="16"/>
          <w:szCs w:val="16"/>
        </w:rPr>
        <w:softHyphen/>
        <w:t>духоплавании, и разговор неиз</w:t>
      </w:r>
      <w:r w:rsidRPr="00405303">
        <w:rPr>
          <w:bCs/>
          <w:color w:val="002060"/>
          <w:sz w:val="16"/>
          <w:szCs w:val="16"/>
        </w:rPr>
        <w:softHyphen/>
        <w:t>менно заканчивался сообщени</w:t>
      </w:r>
      <w:r w:rsidRPr="00405303">
        <w:rPr>
          <w:bCs/>
          <w:color w:val="002060"/>
          <w:sz w:val="16"/>
          <w:szCs w:val="16"/>
        </w:rPr>
        <w:softHyphen/>
        <w:t>ями о достижениях авиации. Как уже ранее говорилось, Юзеф Маврикиевич мечтал стать авиа</w:t>
      </w:r>
      <w:r w:rsidRPr="00405303">
        <w:rPr>
          <w:bCs/>
          <w:color w:val="002060"/>
          <w:sz w:val="16"/>
          <w:szCs w:val="16"/>
        </w:rPr>
        <w:softHyphen/>
        <w:t>тором, хотел научиться летать на аэропланах и получить «бреве» — диплом летчика.</w:t>
      </w:r>
    </w:p>
    <w:p w14:paraId="133C2CD5" w14:textId="77777777" w:rsidR="00756960" w:rsidRPr="00405303" w:rsidRDefault="00756960" w:rsidP="00C15251">
      <w:pPr>
        <w:jc w:val="both"/>
        <w:rPr>
          <w:bCs/>
          <w:color w:val="002060"/>
          <w:sz w:val="16"/>
          <w:szCs w:val="16"/>
        </w:rPr>
      </w:pPr>
      <w:r w:rsidRPr="00405303">
        <w:rPr>
          <w:bCs/>
          <w:color w:val="002060"/>
          <w:sz w:val="16"/>
          <w:szCs w:val="16"/>
        </w:rPr>
        <w:t>Но мечте этой осуществиться было не суждено. Здоровье Юзе</w:t>
      </w:r>
      <w:r w:rsidRPr="00405303">
        <w:rPr>
          <w:bCs/>
          <w:color w:val="002060"/>
          <w:sz w:val="16"/>
          <w:szCs w:val="16"/>
        </w:rPr>
        <w:softHyphen/>
        <w:t>фа Маврикиевича ухудшалось с каждым годом. Сказались не толь</w:t>
      </w:r>
      <w:r w:rsidRPr="00405303">
        <w:rPr>
          <w:bCs/>
          <w:color w:val="002060"/>
          <w:sz w:val="16"/>
          <w:szCs w:val="16"/>
        </w:rPr>
        <w:softHyphen/>
        <w:t>ко многочисленные аварии, но и колоссальная нервная нагрузка, которую он испытывал в течение многих-многих лет. В 1917 году Юзефа Маврикиевича положили в Сухаревскую больницу, в психиат</w:t>
      </w:r>
      <w:r w:rsidRPr="00405303">
        <w:rPr>
          <w:bCs/>
          <w:color w:val="002060"/>
          <w:sz w:val="16"/>
          <w:szCs w:val="16"/>
        </w:rPr>
        <w:softHyphen/>
        <w:t>рическое отделение</w:t>
      </w:r>
      <w:proofErr w:type="gramStart"/>
      <w:r w:rsidRPr="00405303">
        <w:rPr>
          <w:bCs/>
          <w:color w:val="002060"/>
          <w:sz w:val="16"/>
          <w:szCs w:val="16"/>
        </w:rPr>
        <w:t>, Там</w:t>
      </w:r>
      <w:proofErr w:type="gramEnd"/>
      <w:r w:rsidRPr="00405303">
        <w:rPr>
          <w:bCs/>
          <w:color w:val="002060"/>
          <w:sz w:val="16"/>
          <w:szCs w:val="16"/>
        </w:rPr>
        <w:t xml:space="preserve"> он и умер то ли в июле, то ли в сентябре. Похоронили Юзефа Древницкого на Ваганьковском кладбище. Со временем могила была забыта и потеряна.</w:t>
      </w:r>
    </w:p>
    <w:p w14:paraId="069097C9" w14:textId="77777777" w:rsidR="00756960" w:rsidRPr="00405303" w:rsidRDefault="00756960" w:rsidP="00C15251">
      <w:pPr>
        <w:jc w:val="both"/>
        <w:rPr>
          <w:bCs/>
          <w:color w:val="002060"/>
          <w:sz w:val="16"/>
          <w:szCs w:val="16"/>
        </w:rPr>
      </w:pPr>
      <w:r w:rsidRPr="00405303">
        <w:rPr>
          <w:bCs/>
          <w:color w:val="002060"/>
          <w:sz w:val="16"/>
          <w:szCs w:val="16"/>
        </w:rPr>
        <w:t>Одним из тех, кто знал Юзефа Древницкого, встречался с ним, был пионер русской авиации Борис Илиодорович Россинский. Вспоми</w:t>
      </w:r>
      <w:r w:rsidRPr="00405303">
        <w:rPr>
          <w:bCs/>
          <w:color w:val="002060"/>
          <w:sz w:val="16"/>
          <w:szCs w:val="16"/>
        </w:rPr>
        <w:softHyphen/>
        <w:t>ная смелые полеты Древницкого, он писал автору этой статьи: «На меня его эксперименты производили не</w:t>
      </w:r>
      <w:r w:rsidRPr="00405303">
        <w:rPr>
          <w:bCs/>
          <w:color w:val="002060"/>
          <w:sz w:val="16"/>
          <w:szCs w:val="16"/>
        </w:rPr>
        <w:softHyphen/>
        <w:t>изгладимое впечатление. Я бы ска</w:t>
      </w:r>
      <w:r w:rsidRPr="00405303">
        <w:rPr>
          <w:bCs/>
          <w:color w:val="002060"/>
          <w:sz w:val="16"/>
          <w:szCs w:val="16"/>
        </w:rPr>
        <w:softHyphen/>
        <w:t>зал, что это была своего рода "под</w:t>
      </w:r>
      <w:r w:rsidRPr="00405303">
        <w:rPr>
          <w:bCs/>
          <w:color w:val="002060"/>
          <w:sz w:val="16"/>
          <w:szCs w:val="16"/>
        </w:rPr>
        <w:softHyphen/>
        <w:t>кормка" развивающегося во мне стремления быть летающим чело</w:t>
      </w:r>
      <w:r w:rsidRPr="00405303">
        <w:rPr>
          <w:bCs/>
          <w:color w:val="002060"/>
          <w:sz w:val="16"/>
          <w:szCs w:val="16"/>
        </w:rPr>
        <w:softHyphen/>
        <w:t>веком. Ю.М. Древницкий был тогда очень популярным деятелем возду</w:t>
      </w:r>
      <w:r w:rsidRPr="00405303">
        <w:rPr>
          <w:bCs/>
          <w:color w:val="002060"/>
          <w:sz w:val="16"/>
          <w:szCs w:val="16"/>
        </w:rPr>
        <w:softHyphen/>
        <w:t>хоплавания, и его гастроли по го</w:t>
      </w:r>
      <w:r w:rsidRPr="00405303">
        <w:rPr>
          <w:bCs/>
          <w:color w:val="002060"/>
          <w:sz w:val="16"/>
          <w:szCs w:val="16"/>
        </w:rPr>
        <w:softHyphen/>
        <w:t>родам России, конечно, разжигали страсти молодого поколения, напо</w:t>
      </w:r>
      <w:r w:rsidRPr="00405303">
        <w:rPr>
          <w:bCs/>
          <w:color w:val="002060"/>
          <w:sz w:val="16"/>
          <w:szCs w:val="16"/>
        </w:rPr>
        <w:softHyphen/>
        <w:t>добие меня. Когда в 1910 году я начал летать на "Блерио" на Хо- дынском поле в Москве, то встре</w:t>
      </w:r>
      <w:r w:rsidRPr="00405303">
        <w:rPr>
          <w:bCs/>
          <w:color w:val="002060"/>
          <w:sz w:val="16"/>
          <w:szCs w:val="16"/>
        </w:rPr>
        <w:softHyphen/>
        <w:t>чался с Древницким уже как авиа</w:t>
      </w:r>
      <w:r w:rsidRPr="00405303">
        <w:rPr>
          <w:bCs/>
          <w:color w:val="002060"/>
          <w:sz w:val="16"/>
          <w:szCs w:val="16"/>
        </w:rPr>
        <w:softHyphen/>
        <w:t>тор, и он говорил, что необходимо применять парашют для спасения летчиков. Он горел на своем лю</w:t>
      </w:r>
      <w:r w:rsidRPr="00405303">
        <w:rPr>
          <w:bCs/>
          <w:color w:val="002060"/>
          <w:sz w:val="16"/>
          <w:szCs w:val="16"/>
        </w:rPr>
        <w:softHyphen/>
        <w:t>бимом деле и, несмотря на получа</w:t>
      </w:r>
      <w:r w:rsidRPr="00405303">
        <w:rPr>
          <w:bCs/>
          <w:color w:val="002060"/>
          <w:sz w:val="16"/>
          <w:szCs w:val="16"/>
        </w:rPr>
        <w:softHyphen/>
        <w:t>емые увечья, не бросал его, как и мы, энтузиасты того времени» (12270).</w:t>
      </w:r>
    </w:p>
    <w:p w14:paraId="741BBA88" w14:textId="77777777" w:rsidR="00756960" w:rsidRPr="00405303" w:rsidRDefault="00756960" w:rsidP="00C15251">
      <w:pPr>
        <w:jc w:val="both"/>
        <w:rPr>
          <w:bCs/>
          <w:color w:val="002060"/>
          <w:sz w:val="16"/>
          <w:szCs w:val="16"/>
        </w:rPr>
      </w:pPr>
    </w:p>
    <w:p w14:paraId="1517A1D3" w14:textId="31BC0858" w:rsidR="00E17754" w:rsidRPr="00405303" w:rsidRDefault="00E17754" w:rsidP="00E17754">
      <w:pPr>
        <w:jc w:val="both"/>
        <w:rPr>
          <w:bCs/>
          <w:i/>
          <w:color w:val="002060"/>
          <w:sz w:val="16"/>
          <w:szCs w:val="16"/>
        </w:rPr>
      </w:pPr>
      <w:r>
        <w:rPr>
          <w:bCs/>
          <w:i/>
          <w:color w:val="002060"/>
          <w:sz w:val="16"/>
          <w:szCs w:val="16"/>
        </w:rPr>
        <w:t>Армия</w:t>
      </w:r>
      <w:r w:rsidRPr="00405303">
        <w:rPr>
          <w:bCs/>
          <w:i/>
          <w:color w:val="002060"/>
          <w:sz w:val="16"/>
          <w:szCs w:val="16"/>
        </w:rPr>
        <w:t>:</w:t>
      </w:r>
    </w:p>
    <w:p w14:paraId="46A7E289" w14:textId="77777777" w:rsidR="00E17754" w:rsidRPr="00405303" w:rsidRDefault="00E17754" w:rsidP="00E17754">
      <w:pPr>
        <w:jc w:val="both"/>
        <w:rPr>
          <w:bCs/>
          <w:i/>
          <w:color w:val="002060"/>
          <w:sz w:val="16"/>
          <w:szCs w:val="16"/>
        </w:rPr>
      </w:pPr>
    </w:p>
    <w:p w14:paraId="329595D2" w14:textId="77777777" w:rsidR="00E17754" w:rsidRPr="00B52707" w:rsidRDefault="00E17754" w:rsidP="00E17754">
      <w:pPr>
        <w:jc w:val="both"/>
        <w:rPr>
          <w:color w:val="0070C0"/>
          <w:sz w:val="16"/>
          <w:szCs w:val="16"/>
        </w:rPr>
      </w:pPr>
      <w:r w:rsidRPr="00B52707">
        <w:rPr>
          <w:color w:val="0070C0"/>
          <w:sz w:val="16"/>
          <w:szCs w:val="16"/>
        </w:rPr>
        <w:t>С сентября 1915 года подводные лодки противника начали активные действия. В прибрежных районах Крыма с 5 по 16 сентября UB-8 уничтожила четыре небольших парусника, 11 сентября обстреляла торпедную пристрелочную станцию Черноморского флота у мыса Киик-Атлама, а недалеко от Одессы 15 сентября UB-7 потопила торпедой транспорт «Патагония». Несмотря на все попытки противодействия, предпринятые флотом, нападения на военные и гражданские суда продолжались и в дальнейшем (25376).</w:t>
      </w:r>
    </w:p>
    <w:p w14:paraId="2FA1560F" w14:textId="77777777" w:rsidR="00E17754" w:rsidRPr="00B52707" w:rsidRDefault="00E17754" w:rsidP="00E17754">
      <w:pPr>
        <w:jc w:val="both"/>
        <w:rPr>
          <w:color w:val="0070C0"/>
          <w:sz w:val="16"/>
          <w:szCs w:val="16"/>
        </w:rPr>
      </w:pPr>
    </w:p>
    <w:p w14:paraId="66CFDC4E" w14:textId="77777777" w:rsidR="004B4E35" w:rsidRPr="00405303" w:rsidRDefault="009E6F82" w:rsidP="00C15251">
      <w:pPr>
        <w:jc w:val="both"/>
        <w:rPr>
          <w:bCs/>
          <w:i/>
          <w:color w:val="002060"/>
          <w:sz w:val="16"/>
          <w:szCs w:val="16"/>
        </w:rPr>
      </w:pPr>
      <w:r w:rsidRPr="00405303">
        <w:rPr>
          <w:bCs/>
          <w:i/>
          <w:color w:val="002060"/>
          <w:sz w:val="16"/>
          <w:szCs w:val="16"/>
        </w:rPr>
        <w:t>Жизнь и внутреняя политика:</w:t>
      </w:r>
    </w:p>
    <w:p w14:paraId="4F438190" w14:textId="77777777" w:rsidR="004B4E35" w:rsidRPr="00405303" w:rsidRDefault="004B4E35" w:rsidP="00C15251">
      <w:pPr>
        <w:jc w:val="both"/>
        <w:rPr>
          <w:bCs/>
          <w:i/>
          <w:color w:val="002060"/>
          <w:sz w:val="16"/>
          <w:szCs w:val="16"/>
        </w:rPr>
      </w:pPr>
    </w:p>
    <w:p w14:paraId="6BCE5A5C" w14:textId="4A0D825A" w:rsidR="004B4E35" w:rsidRPr="00405303" w:rsidRDefault="00333023"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w:t>
      </w:r>
      <w:r w:rsidR="009E6F82" w:rsidRPr="00405303">
        <w:rPr>
          <w:bCs/>
          <w:i w:val="0"/>
          <w:color w:val="002060"/>
          <w:spacing w:val="0"/>
          <w:kern w:val="0"/>
          <w:position w:val="0"/>
          <w:sz w:val="16"/>
          <w:szCs w:val="16"/>
        </w:rPr>
        <w:t xml:space="preserve"> сентябре 1915 г. недогруз угля в Донецком бассейне составил 30 % общего назначения, в октябре — 33 %, в ноябре — 40 %, причем 90 % в сентябре и 95 % в октябре; это объяснялось неподачей вагонов. Вследствие неподвоза железными дорогами топлива, руды для доменной плавки в 1915 г. (октябрь) остановилось 23 доменные печи, что составило более 1/3 наличных доменных печей. К 1917 г. разруха на железных дорогах приняла катастрофический характер: перевозки неуклонно сокращались, недогруз угля и дров усиливался, ремонт состава и пути ухудшался, залежи грузов на станциях и в пути достигали огромных размеров (11270).</w:t>
      </w:r>
    </w:p>
    <w:p w14:paraId="666D6E96" w14:textId="77777777" w:rsidR="004B4E35" w:rsidRPr="00405303" w:rsidRDefault="004B4E35" w:rsidP="00C15251">
      <w:pPr>
        <w:pStyle w:val="a3"/>
        <w:jc w:val="both"/>
        <w:rPr>
          <w:bCs/>
          <w:i w:val="0"/>
          <w:color w:val="002060"/>
          <w:spacing w:val="0"/>
          <w:kern w:val="0"/>
          <w:position w:val="0"/>
          <w:sz w:val="16"/>
          <w:szCs w:val="16"/>
        </w:rPr>
      </w:pPr>
    </w:p>
    <w:p w14:paraId="0F385161"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Внешняя политика:</w:t>
      </w:r>
    </w:p>
    <w:p w14:paraId="7E96A464" w14:textId="77777777" w:rsidR="004B4E35" w:rsidRPr="00405303" w:rsidRDefault="004B4E35" w:rsidP="00C15251">
      <w:pPr>
        <w:shd w:val="clear" w:color="auto" w:fill="FFFFFF"/>
        <w:jc w:val="both"/>
        <w:rPr>
          <w:bCs/>
          <w:i/>
          <w:color w:val="002060"/>
          <w:sz w:val="16"/>
          <w:szCs w:val="16"/>
        </w:rPr>
      </w:pPr>
    </w:p>
    <w:p w14:paraId="742D8C55"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В сентябре 1915 г. открытые ранее английским казначейством кредиты были полностью исчерпаны, и на состоявшемся в Лондоне новом совещании было подписано (30 сентября 1915 г.) новое финансовое соглашение на следующих основах:</w:t>
      </w:r>
    </w:p>
    <w:p w14:paraId="126D8A66"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1. На срок в один год (до 1 октября 1916 г.) английское правительство открывает России кредит в 25 млн ф. ст. ежемесячно, реализуемый учетом облигаций русского казначейства. Этот кредит предназначается для закупок военных материалов в Великобритании и других странах, за исключением Франции. Все заказы на военные материалы и их оплата предварительно утверждаются английским правительством. Русское правительство обязалось поставлять золото по просьбе английского правительства с тем, чтобы последнее могло производить платежи в Соединенных Штатах на сумму до 40 млн ф, ст.</w:t>
      </w:r>
      <w:hyperlink r:id="rId62" w:anchor="_ftn3" w:history="1">
        <w:r w:rsidRPr="00405303">
          <w:rPr>
            <w:rStyle w:val="ad"/>
            <w:rFonts w:eastAsiaTheme="majorEastAsia"/>
            <w:bCs/>
            <w:color w:val="002060"/>
            <w:sz w:val="16"/>
            <w:szCs w:val="16"/>
          </w:rPr>
          <w:t>[3]</w:t>
        </w:r>
      </w:hyperlink>
      <w:r w:rsidRPr="00405303">
        <w:rPr>
          <w:bCs/>
          <w:color w:val="002060"/>
          <w:sz w:val="16"/>
          <w:szCs w:val="16"/>
        </w:rPr>
        <w:t xml:space="preserve"> при условии, что английское казначейство выдаст за это золото казначейские векселя, оплачиваемые в золоте по истечении 3—5 лет. С целью удовлетворения нужд российской торговли английским банком был открыт специальный кредит для облегчения учета векселей, полученных русскими банками и индоссированных Государственным банком России (сумма названного кредита позднее зафиксирована в 7.5 млн ф. ст.).</w:t>
      </w:r>
    </w:p>
    <w:p w14:paraId="0F6325BA"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Ранее выпущенные обязательства русского казначейства должны были переучиваться по ставке на 1% выше официальной учетной ставки английского банка.</w:t>
      </w:r>
      <w:hyperlink r:id="rId63" w:anchor="_ftn4" w:history="1">
        <w:r w:rsidRPr="00405303">
          <w:rPr>
            <w:rStyle w:val="ad"/>
            <w:rFonts w:eastAsiaTheme="majorEastAsia"/>
            <w:bCs/>
            <w:color w:val="002060"/>
            <w:sz w:val="16"/>
            <w:szCs w:val="16"/>
          </w:rPr>
          <w:t>[4]</w:t>
        </w:r>
      </w:hyperlink>
    </w:p>
    <w:p w14:paraId="69AB0CA9"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В течение нескольких месяцев, последовавших за заключением вышеупомянутого соглашения, английское правительство, принимая во внимание трудности, возникшие в связи с необходимостью информировать казначейство о каждой выплате из английских кредитов, дало согласие о переводе на счет русского правительства в его полное распоряжение ежемесячно суммы в 2 млн из ежемесячного кредита в 25 млнф. ст. Названная сумма затрачивается на покупку сырья, продовольствия и товаров коммерческого значения, личные и благотворительные платежи и т. д., за исключением всех тех контрактов для закупки металлов, заводского оборудования, лекарств и каучука, которые могут быть централизованы в Лондоне.</w:t>
      </w:r>
    </w:p>
    <w:p w14:paraId="6211A328"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В июле 1916 г. представители союзных правительств созвали в Лондоне другую конференцию, результаты которой были соответственным образом отражены в подписанном 27 октября 1916 г. финансовом соглашении, содержащем следующие условия:</w:t>
      </w:r>
    </w:p>
    <w:p w14:paraId="59AD27B9"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1. Ежемесячные кредиты в 25 млн ф. ст. были предоставлены на новый срок в 6 месяцев (с октября 1916 г. по март 1917 г.) на тех же условиях, что и предыдущие, за исключением того, что обязательства русского казначейства должны были учитываться по официальной учетной ставке английского банка, если названная ставка превышала 5%.</w:t>
      </w:r>
    </w:p>
    <w:p w14:paraId="62D9B727" w14:textId="799D63E9"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В счет названных кредитов должны были быть даны новые заказы</w:t>
      </w:r>
      <w:hyperlink r:id="rId64" w:anchor="_ftn5" w:history="1">
        <w:r w:rsidRPr="00405303">
          <w:rPr>
            <w:rStyle w:val="ad"/>
            <w:rFonts w:eastAsiaTheme="majorEastAsia"/>
            <w:bCs/>
            <w:color w:val="002060"/>
            <w:sz w:val="16"/>
            <w:szCs w:val="16"/>
          </w:rPr>
          <w:t>[5]</w:t>
        </w:r>
      </w:hyperlink>
      <w:r w:rsidRPr="00405303">
        <w:rPr>
          <w:bCs/>
          <w:color w:val="002060"/>
          <w:sz w:val="16"/>
          <w:szCs w:val="16"/>
        </w:rPr>
        <w:t xml:space="preserve"> русского правительства в Великобритании и других странах</w:t>
      </w:r>
      <w:hyperlink r:id="rId65" w:anchor="_ftn6" w:history="1">
        <w:r w:rsidRPr="00405303">
          <w:rPr>
            <w:rStyle w:val="ad"/>
            <w:rFonts w:eastAsiaTheme="majorEastAsia"/>
            <w:bCs/>
            <w:color w:val="002060"/>
            <w:sz w:val="16"/>
            <w:szCs w:val="16"/>
          </w:rPr>
          <w:t>[6]</w:t>
        </w:r>
      </w:hyperlink>
      <w:r w:rsidR="00DB4D64" w:rsidRPr="00405303">
        <w:rPr>
          <w:bCs/>
          <w:color w:val="002060"/>
          <w:sz w:val="16"/>
          <w:szCs w:val="16"/>
        </w:rPr>
        <w:t xml:space="preserve"> </w:t>
      </w:r>
      <w:r w:rsidRPr="00405303">
        <w:rPr>
          <w:bCs/>
          <w:color w:val="002060"/>
          <w:sz w:val="16"/>
          <w:szCs w:val="16"/>
        </w:rPr>
        <w:t>(за исключением Франции), и выплаты по займу. Из той же ежемесячной суммы в 4 млн ф. ст. в свободное распоряжение русского правительства давалось 2.5 млн ф. ст. на приобретение сырья, продовольствия и товаров, за исключением централизованных закупок металлов, заводского оборудования, лекарств и каучука для покрытия личных, также благотворительных платежей и т. д., и 1.5 млн ф. ст. для поддержания курса рубля под контролем Министерства финансов. Все обязательства, учтенные согласно этому и предшествующим соглашениям, должны были быть возобновлены по истечении одного года после заключения мира, и английское правительство обещало облегчить выпуск консолидационного займа для их окончательного погашения.</w:t>
      </w:r>
    </w:p>
    <w:p w14:paraId="55542FEE" w14:textId="22B36253"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Со своей стороны русское правительство обязалось отправить 20 млн ф. ст. золотом</w:t>
      </w:r>
      <w:hyperlink r:id="rId66" w:anchor="_ftn7" w:history="1">
        <w:r w:rsidRPr="00405303">
          <w:rPr>
            <w:rStyle w:val="ad"/>
            <w:rFonts w:eastAsiaTheme="majorEastAsia"/>
            <w:bCs/>
            <w:color w:val="002060"/>
            <w:sz w:val="16"/>
            <w:szCs w:val="16"/>
          </w:rPr>
          <w:t>[7]</w:t>
        </w:r>
      </w:hyperlink>
      <w:r w:rsidR="00DB4D64" w:rsidRPr="00405303">
        <w:rPr>
          <w:bCs/>
          <w:color w:val="002060"/>
          <w:sz w:val="16"/>
          <w:szCs w:val="16"/>
        </w:rPr>
        <w:t xml:space="preserve"> </w:t>
      </w:r>
      <w:r w:rsidRPr="00405303">
        <w:rPr>
          <w:bCs/>
          <w:color w:val="002060"/>
          <w:sz w:val="16"/>
          <w:szCs w:val="16"/>
        </w:rPr>
        <w:t>в случае, если английский золотой запас английского банка и текущего денежного счета падет ниже 85 млн ф. ст.</w:t>
      </w:r>
    </w:p>
    <w:p w14:paraId="19BF925B"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Ввиду истечения срока вышеназванного соглашения в январе 1917 г. в Петрограде состоялась новая конференция, и финансовые нужды российского правительства были отражены в подписанном 7/20 февраля 1917 г. меморандуме, который английские делегаты по своему возвращению в Англию представили своему правительству. Его основное содержание состоит в следующем:</w:t>
      </w:r>
    </w:p>
    <w:p w14:paraId="655E7F2E"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1. Товарные поставки военных материалов должны оплачиваться простыми взносами обязательств российского казначейства (следуя прецеденту, установленному для тяжелой артиллерии).</w:t>
      </w:r>
    </w:p>
    <w:p w14:paraId="7541E48B"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2. Новые закупки и заказы на военные материалы в Европе и Америке, ограниченные программой, рассмотренной подкомиссией по вопросам снабжения этой конференции, должны быть оплачены за счет английских кредитов.</w:t>
      </w:r>
    </w:p>
    <w:p w14:paraId="7BE9AAB8"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3. Должно быть выработано положение о платежах по русскому внешнему долгу в 1917 г. и об учете и переучете обязательств русского казначейства в течение этого же периода.</w:t>
      </w:r>
    </w:p>
    <w:p w14:paraId="4E47495B"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lastRenderedPageBreak/>
        <w:t>4. Свободный кредит для гражданских нужд должен быть увеличен с 2.5 млн ф. ст. до 5.5 млн ф. ст. ежемесячно.</w:t>
      </w:r>
    </w:p>
    <w:p w14:paraId="1FD61349"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5. Кредит для поддержания курса рубля за границей должен быть увеличен с 1.5 млн ф. ст. ежемесячно до 12 млн ф. ст. (на три месяца, начиная с 1 апреля 1917 г.).</w:t>
      </w:r>
    </w:p>
    <w:p w14:paraId="72AE8838"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6. Должна быть предоставлена сумма в 4 млн ф. ст. для закупки серебра на нужды русских экспедиционных сил в Персии.</w:t>
      </w:r>
    </w:p>
    <w:p w14:paraId="2CACCF18"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7. Была принята во внимание возможность совместного займа Великобритании, Франции и Японии.</w:t>
      </w:r>
    </w:p>
    <w:p w14:paraId="7C91A435"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Последующие политические события послужили причиной того, что окончательное и официальное соглашение в соответствии с названными выше пожеланиями не было подписано, и с 1 апреля 1917 г. предоставление ежемесячных кредитов прекратилось.</w:t>
      </w:r>
    </w:p>
    <w:p w14:paraId="7A5572F2"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В апреле этого года английское правительство определило оставшуюся сумму кредитов, не ассигнованных на частные заказы, в 10—15 млн ф. ст. Эта сумма осталась неиспользованной благодаря тому, что английское правительство не всегда санкционировало наши запланированные заказы в той мере, в какой мы этого требовали. В счет этой суммы и сумм, оставшихся от еще неоплаченных заказов, английское правительство открыло нам дополнительные кредиты для платежей по ранее размещенным заказам и авансировало в течение апреля, мая и июня 1917 г. ежемесячную сумму в 4 млн ф. ст. в наше полное распоряжение («сотріе сіеих»).</w:t>
      </w:r>
    </w:p>
    <w:p w14:paraId="3B27AB1F"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В этих условиях и благодаря размещенным в Англии с апреля нескольким новым небольшим заказам вся наша наличность английской валюты к началу июля была исчерпана.</w:t>
      </w:r>
    </w:p>
    <w:p w14:paraId="7BDC8BD1"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 xml:space="preserve">С другой стороны, в то же самое время возникли значительные трудности в отношении оплаты по заказам в Америке, принимая во внимание, что со времени объявления Америкой войны Германии и открытия названной страной кредитов союзным державам английское правительство настояло на передаче федеральному правительству платежей по размещенным в Соединенных Штатах русским заказам, которые производились ранее из английских кредитов. В числе прочих английское казначейство прекратило оплачивать русские заказы, практически размещенные через Д. П. Моргана </w:t>
      </w:r>
      <w:proofErr w:type="gramStart"/>
      <w:r w:rsidRPr="00405303">
        <w:rPr>
          <w:bCs/>
          <w:color w:val="002060"/>
          <w:sz w:val="16"/>
          <w:szCs w:val="16"/>
        </w:rPr>
        <w:t>и Ко</w:t>
      </w:r>
      <w:proofErr w:type="gramEnd"/>
      <w:r w:rsidRPr="00405303">
        <w:rPr>
          <w:bCs/>
          <w:color w:val="002060"/>
          <w:sz w:val="16"/>
          <w:szCs w:val="16"/>
        </w:rPr>
        <w:t>, контракты по которым не были, однако, подписаны ввиду значительной потери времени из-за установленных английским правительством формальностей при размещении русских заказов.</w:t>
      </w:r>
    </w:p>
    <w:p w14:paraId="56ECBCAC"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Совсем недавно английское казначейство категорически отказалось производить для нас какие-либо платежи в Америке, ссылаясь на отсутствие в его распоряжении американской валюты.</w:t>
      </w:r>
    </w:p>
    <w:p w14:paraId="530EF41D"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Прекращение наших платежей в Америке сделало наше положение весьма затруднительным, так как американское правительство предоставило нам всего 100 млн дол. для платежей по заказам, которые будут размещены через названное правительство. Вывоз золота в Америку не мог быть осуществлен, принимая во внимание, что мы уже предоставили в распоряжение английского правительства на 60 млн ф. ст. золота для облегчения производства британским казначейством платежей в иностранной валюте за наш счет.</w:t>
      </w:r>
    </w:p>
    <w:p w14:paraId="7FB7F05F"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При таких обстоятельствах мы считаем себя обязанными повторить английскому правительств}» нашу самую настоятельную просьбу о предоставлении 25 млн ф. ст. на июль до того, как будет подписано новое соглашение на условиях, выработанных на состоявшейся в январе конференции, и предоставлены новые кредиты.</w:t>
      </w:r>
    </w:p>
    <w:p w14:paraId="4E8D65AC"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 xml:space="preserve">Открытие подобного кредита не было бы тяжелым бременем для английского казначейства, принимая во внимание, что после отнесения оплаты наших американских заказов на американские кредиты — о чем принципиальная договоренность уже достигнута, а окончательно урегулировано это будет только после возвращения в США американской делегации, которая это </w:t>
      </w:r>
      <w:proofErr w:type="gramStart"/>
      <w:r w:rsidRPr="00405303">
        <w:rPr>
          <w:bCs/>
          <w:color w:val="002060"/>
          <w:sz w:val="16"/>
          <w:szCs w:val="16"/>
        </w:rPr>
        <w:t>рекомендовала,—</w:t>
      </w:r>
      <w:proofErr w:type="gramEnd"/>
      <w:r w:rsidRPr="00405303">
        <w:rPr>
          <w:bCs/>
          <w:color w:val="002060"/>
          <w:sz w:val="16"/>
          <w:szCs w:val="16"/>
        </w:rPr>
        <w:t xml:space="preserve"> английское казначейство сэкономит около 40 млн. ф. ст.</w:t>
      </w:r>
    </w:p>
    <w:p w14:paraId="21824663"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В требуемую сумму в 25 млн. ф. ст. включены 4 млн. ф. ст., которые должны быть предоставлены в наше полное распоряжение, из коих 3 млн. ф. ст. за июль 1917 г. уже предоставлены.</w:t>
      </w:r>
    </w:p>
    <w:p w14:paraId="1DD301B5"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Что касается расходования упомянутого кредита в 25 млн. ф. ст., мы считаем нужным указать, что было бы необходимо в какой-то степени увеличить кредит, открытый английским казначейством для оплаты заказов в Скандинавии. В течение последних нескольких месяцев мы не полностью расходовали 275 тыс. ф. ст., предоставляемых ежемесячно в наше распоряжение для платежей в этих странах, так как сумма свободных кредитов в нашем распоряжении была настолько незначительной, что мы были вынуждены использовать их для других целей и начать закупку крон, платя за них американской валютой, которая была в нашем свободном распоряжении, а в настоящее время исчерпана.</w:t>
      </w:r>
    </w:p>
    <w:p w14:paraId="42F54A01"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В дальнейшем для нас было бы абсолютно необходимым получить за счет английских кредитов сумму для платежей в Японии, так как для наиболее важных платежей в названной стране требуется примерно 20 млн иен, а возможности для размещения займа в Японии в ближайшем будущем не существует.</w:t>
      </w:r>
    </w:p>
    <w:p w14:paraId="5724EC9E"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Что касается наших общих потребностей в английской валюте, то было бы необходимо отметить следующее.</w:t>
      </w:r>
    </w:p>
    <w:p w14:paraId="3E964496"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По сравнению с представленной конференции в январе информацией положение несколько изменилось. Ввиду возросших трудностей с тоннажем мы уменьшили наши заказы в Англии по сравнению с ранее предполагавшимися, и ввиду получения новых американских кредитов часть их была перенесена на американский рынок.</w:t>
      </w:r>
    </w:p>
    <w:p w14:paraId="25D20A82"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Поэтому мы проектируем очень мало новых заказов и просим главным образом суммы для оплаты заказов, необеспеченных английскими кредитами.</w:t>
      </w:r>
    </w:p>
    <w:p w14:paraId="05E9D2CE"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 xml:space="preserve">Что касается кредита для поддержания курса рубля на Лондонской бирже, который был ранее установлен в 4 млн. ф. ст. ежемесячно, то необходимо учесть, что он может быть уменьшен в </w:t>
      </w:r>
      <w:proofErr w:type="gramStart"/>
      <w:r w:rsidRPr="00405303">
        <w:rPr>
          <w:bCs/>
          <w:color w:val="002060"/>
          <w:sz w:val="16"/>
          <w:szCs w:val="16"/>
        </w:rPr>
        <w:t>с.чучае</w:t>
      </w:r>
      <w:proofErr w:type="gramEnd"/>
      <w:r w:rsidRPr="00405303">
        <w:rPr>
          <w:bCs/>
          <w:color w:val="002060"/>
          <w:sz w:val="16"/>
          <w:szCs w:val="16"/>
        </w:rPr>
        <w:t xml:space="preserve"> предоставления подобного кредита Америкой.</w:t>
      </w:r>
    </w:p>
    <w:p w14:paraId="7648D770"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Рекомендованные последней конференцией в Петрограде меры по поддержания курса рубля уже предприняты — дано предписание ограничить выпуск рублей н иностранные рынки и импорт товаров из-за границы.</w:t>
      </w:r>
    </w:p>
    <w:p w14:paraId="637DE324" w14:textId="77777777" w:rsidR="004F1A2E" w:rsidRPr="00405303" w:rsidRDefault="004F1A2E" w:rsidP="00C15251">
      <w:pPr>
        <w:pStyle w:val="rtejustify"/>
        <w:spacing w:before="0" w:beforeAutospacing="0" w:after="0" w:afterAutospacing="0"/>
        <w:jc w:val="both"/>
        <w:rPr>
          <w:bCs/>
          <w:color w:val="002060"/>
          <w:sz w:val="16"/>
          <w:szCs w:val="16"/>
        </w:rPr>
      </w:pPr>
      <w:r w:rsidRPr="00405303">
        <w:rPr>
          <w:bCs/>
          <w:color w:val="002060"/>
          <w:sz w:val="16"/>
          <w:szCs w:val="16"/>
        </w:rPr>
        <w:t>Программа наших потребностей в английских кредитах и производимых в соответствии с ней платежей прилагается.</w:t>
      </w:r>
      <w:hyperlink r:id="rId67" w:anchor="_ftn8" w:history="1">
        <w:r w:rsidRPr="00405303">
          <w:rPr>
            <w:rStyle w:val="ad"/>
            <w:rFonts w:eastAsiaTheme="majorEastAsia"/>
            <w:bCs/>
            <w:color w:val="002060"/>
            <w:sz w:val="16"/>
            <w:szCs w:val="16"/>
          </w:rPr>
          <w:t>[8]</w:t>
        </w:r>
      </w:hyperlink>
    </w:p>
    <w:p w14:paraId="6F7FB4DE" w14:textId="77777777" w:rsidR="004F1A2E" w:rsidRPr="00405303" w:rsidRDefault="004F1A2E" w:rsidP="00C15251">
      <w:pPr>
        <w:pStyle w:val="rtejustify"/>
        <w:spacing w:before="0" w:beforeAutospacing="0" w:after="0" w:afterAutospacing="0"/>
        <w:jc w:val="both"/>
        <w:rPr>
          <w:bCs/>
          <w:color w:val="002060"/>
          <w:sz w:val="16"/>
          <w:szCs w:val="16"/>
        </w:rPr>
      </w:pPr>
      <w:hyperlink r:id="rId68" w:anchor="_ftnref1" w:history="1">
        <w:r w:rsidRPr="00405303">
          <w:rPr>
            <w:rStyle w:val="ad"/>
            <w:rFonts w:eastAsiaTheme="majorEastAsia"/>
            <w:bCs/>
            <w:color w:val="002060"/>
            <w:sz w:val="16"/>
            <w:szCs w:val="16"/>
          </w:rPr>
          <w:t>[1]</w:t>
        </w:r>
      </w:hyperlink>
      <w:r w:rsidRPr="00405303">
        <w:rPr>
          <w:bCs/>
          <w:color w:val="002060"/>
          <w:sz w:val="16"/>
          <w:szCs w:val="16"/>
        </w:rPr>
        <w:t xml:space="preserve"> Датируется по док. № 660 "</w:t>
      </w:r>
      <w:hyperlink r:id="rId69" w:history="1">
        <w:r w:rsidRPr="00405303">
          <w:rPr>
            <w:rStyle w:val="ad"/>
            <w:rFonts w:eastAsiaTheme="majorEastAsia"/>
            <w:bCs/>
            <w:color w:val="002060"/>
            <w:sz w:val="16"/>
            <w:szCs w:val="16"/>
          </w:rPr>
          <w:t>Памятная записка английского посольства Министерству иностранных дел с изложением ответа английских министров иностранных дел и финансов на записку Временного правительства от 22 июня 1917 г.</w:t>
        </w:r>
      </w:hyperlink>
      <w:r w:rsidRPr="00405303">
        <w:rPr>
          <w:bCs/>
          <w:color w:val="002060"/>
          <w:sz w:val="16"/>
          <w:szCs w:val="16"/>
        </w:rPr>
        <w:t xml:space="preserve">" и 663 </w:t>
      </w:r>
      <w:hyperlink r:id="rId70" w:history="1">
        <w:r w:rsidRPr="00405303">
          <w:rPr>
            <w:rStyle w:val="ad"/>
            <w:rFonts w:eastAsiaTheme="majorEastAsia"/>
            <w:bCs/>
            <w:color w:val="002060"/>
            <w:sz w:val="16"/>
            <w:szCs w:val="16"/>
          </w:rPr>
          <w:t>"Записка товарища министра иностранных дел А. М. Петряева английскому послу в Петрограде Д. Бьюкенену с изложением ответа на памятную записку от 7 июля 1917 г."</w:t>
        </w:r>
      </w:hyperlink>
    </w:p>
    <w:p w14:paraId="114A8BDB" w14:textId="77777777" w:rsidR="004F1A2E" w:rsidRPr="00405303" w:rsidRDefault="004F1A2E" w:rsidP="00C15251">
      <w:pPr>
        <w:pStyle w:val="rtejustify"/>
        <w:spacing w:before="0" w:beforeAutospacing="0" w:after="0" w:afterAutospacing="0"/>
        <w:jc w:val="both"/>
        <w:rPr>
          <w:bCs/>
          <w:color w:val="002060"/>
          <w:sz w:val="16"/>
          <w:szCs w:val="16"/>
        </w:rPr>
      </w:pPr>
      <w:hyperlink r:id="rId71" w:anchor="_ftnref2" w:history="1">
        <w:r w:rsidRPr="00405303">
          <w:rPr>
            <w:rStyle w:val="ad"/>
            <w:rFonts w:eastAsiaTheme="majorEastAsia"/>
            <w:bCs/>
            <w:color w:val="002060"/>
            <w:sz w:val="16"/>
            <w:szCs w:val="16"/>
          </w:rPr>
          <w:t>[2]</w:t>
        </w:r>
      </w:hyperlink>
      <w:r w:rsidRPr="00405303">
        <w:rPr>
          <w:bCs/>
          <w:color w:val="002060"/>
          <w:sz w:val="16"/>
          <w:szCs w:val="16"/>
        </w:rPr>
        <w:t xml:space="preserve"> Последующая сумма в 10 млн. ф. ст. была получена в феврале 1915 г. путем выпуска обязательств казначейства через английский банк, и в мае 1915 г. названный банк учел еще на 10 млн. ф. ст. облигаций российского казначейства, предназначенных для выкупа русских облигаций, принадлежащих английскому банку и представляющих довоенную задолженность русских фирм английским кредиторам. (Прим. док.).</w:t>
      </w:r>
    </w:p>
    <w:p w14:paraId="73E416EA" w14:textId="77777777" w:rsidR="004F1A2E" w:rsidRPr="00405303" w:rsidRDefault="004F1A2E" w:rsidP="00C15251">
      <w:pPr>
        <w:pStyle w:val="rtejustify"/>
        <w:spacing w:before="0" w:beforeAutospacing="0" w:after="0" w:afterAutospacing="0"/>
        <w:jc w:val="both"/>
        <w:rPr>
          <w:bCs/>
          <w:color w:val="002060"/>
          <w:sz w:val="16"/>
          <w:szCs w:val="16"/>
        </w:rPr>
      </w:pPr>
      <w:hyperlink r:id="rId72" w:anchor="_ftnref3" w:history="1">
        <w:r w:rsidRPr="00405303">
          <w:rPr>
            <w:rStyle w:val="ad"/>
            <w:rFonts w:eastAsiaTheme="majorEastAsia"/>
            <w:bCs/>
            <w:color w:val="002060"/>
            <w:sz w:val="16"/>
            <w:szCs w:val="16"/>
          </w:rPr>
          <w:t>[3]</w:t>
        </w:r>
      </w:hyperlink>
      <w:r w:rsidRPr="00405303">
        <w:rPr>
          <w:bCs/>
          <w:color w:val="002060"/>
          <w:sz w:val="16"/>
          <w:szCs w:val="16"/>
        </w:rPr>
        <w:t xml:space="preserve"> 10 млн ф. ст. переправлены в декабре 1915, 10 млн ф. ст. — в июне 1916 </w:t>
      </w:r>
      <w:proofErr w:type="gramStart"/>
      <w:r w:rsidRPr="00405303">
        <w:rPr>
          <w:bCs/>
          <w:color w:val="002060"/>
          <w:sz w:val="16"/>
          <w:szCs w:val="16"/>
        </w:rPr>
        <w:t>г..</w:t>
      </w:r>
      <w:proofErr w:type="gramEnd"/>
      <w:r w:rsidRPr="00405303">
        <w:rPr>
          <w:bCs/>
          <w:color w:val="002060"/>
          <w:sz w:val="16"/>
          <w:szCs w:val="16"/>
        </w:rPr>
        <w:t xml:space="preserve"> 20 млн ф. ст. — в ноябре 1916 г. (Прим. док.).</w:t>
      </w:r>
    </w:p>
    <w:p w14:paraId="104FFE5B" w14:textId="77777777" w:rsidR="004F1A2E" w:rsidRPr="00405303" w:rsidRDefault="004F1A2E" w:rsidP="00C15251">
      <w:pPr>
        <w:pStyle w:val="rtejustify"/>
        <w:spacing w:before="0" w:beforeAutospacing="0" w:after="0" w:afterAutospacing="0"/>
        <w:jc w:val="both"/>
        <w:rPr>
          <w:bCs/>
          <w:color w:val="002060"/>
          <w:sz w:val="16"/>
          <w:szCs w:val="16"/>
        </w:rPr>
      </w:pPr>
      <w:hyperlink r:id="rId73" w:anchor="_ftnref4" w:history="1">
        <w:r w:rsidRPr="00405303">
          <w:rPr>
            <w:rStyle w:val="ad"/>
            <w:rFonts w:eastAsiaTheme="majorEastAsia"/>
            <w:bCs/>
            <w:color w:val="002060"/>
            <w:sz w:val="16"/>
            <w:szCs w:val="16"/>
          </w:rPr>
          <w:t>[4]</w:t>
        </w:r>
      </w:hyperlink>
      <w:r w:rsidRPr="00405303">
        <w:rPr>
          <w:bCs/>
          <w:color w:val="002060"/>
          <w:sz w:val="16"/>
          <w:szCs w:val="16"/>
        </w:rPr>
        <w:t xml:space="preserve"> В соглашении далее содержалась специальная договоренность об облегчении выпуска банковских билетов русского Государственного банка, в соответствии с которой английское казначейство открывало специальный беспроцентный счет в 200 млн. ф. ст., который должен быть закрыт через год после заключения мира. (Прим. док.).</w:t>
      </w:r>
    </w:p>
    <w:p w14:paraId="67DD9989" w14:textId="77777777" w:rsidR="004F1A2E" w:rsidRPr="00405303" w:rsidRDefault="004F1A2E" w:rsidP="00C15251">
      <w:pPr>
        <w:pStyle w:val="rtejustify"/>
        <w:spacing w:before="0" w:beforeAutospacing="0" w:after="0" w:afterAutospacing="0"/>
        <w:jc w:val="both"/>
        <w:rPr>
          <w:bCs/>
          <w:color w:val="002060"/>
          <w:sz w:val="16"/>
          <w:szCs w:val="16"/>
        </w:rPr>
      </w:pPr>
      <w:hyperlink r:id="rId74" w:anchor="_ftnref5" w:history="1">
        <w:r w:rsidRPr="00405303">
          <w:rPr>
            <w:rStyle w:val="ad"/>
            <w:rFonts w:eastAsiaTheme="majorEastAsia"/>
            <w:bCs/>
            <w:color w:val="002060"/>
            <w:sz w:val="16"/>
            <w:szCs w:val="16"/>
          </w:rPr>
          <w:t>[5]</w:t>
        </w:r>
      </w:hyperlink>
      <w:r w:rsidRPr="00405303">
        <w:rPr>
          <w:bCs/>
          <w:color w:val="002060"/>
          <w:sz w:val="16"/>
          <w:szCs w:val="16"/>
        </w:rPr>
        <w:t xml:space="preserve"> За исключением платы за тяжелую артиллерию и снаряды, поставляемые английским Военным министерством, которые должны быть оплачиваемы из депозита обязательств российского казначейства на сумму до 30 млн. ф. ст. (Прим. док.).</w:t>
      </w:r>
    </w:p>
    <w:p w14:paraId="3B580A9D" w14:textId="77777777" w:rsidR="004F1A2E" w:rsidRPr="00405303" w:rsidRDefault="004F1A2E" w:rsidP="00C15251">
      <w:pPr>
        <w:pStyle w:val="rtejustify"/>
        <w:spacing w:before="0" w:beforeAutospacing="0" w:after="0" w:afterAutospacing="0"/>
        <w:jc w:val="both"/>
        <w:rPr>
          <w:bCs/>
          <w:color w:val="002060"/>
          <w:sz w:val="16"/>
          <w:szCs w:val="16"/>
        </w:rPr>
      </w:pPr>
      <w:hyperlink r:id="rId75" w:anchor="_ftnref6" w:history="1">
        <w:r w:rsidRPr="00405303">
          <w:rPr>
            <w:rStyle w:val="ad"/>
            <w:rFonts w:eastAsiaTheme="majorEastAsia"/>
            <w:bCs/>
            <w:color w:val="002060"/>
            <w:sz w:val="16"/>
            <w:szCs w:val="16"/>
          </w:rPr>
          <w:t>[6]</w:t>
        </w:r>
      </w:hyperlink>
      <w:r w:rsidRPr="00405303">
        <w:rPr>
          <w:bCs/>
          <w:color w:val="002060"/>
          <w:sz w:val="16"/>
          <w:szCs w:val="16"/>
        </w:rPr>
        <w:t xml:space="preserve"> Ежемесячно 275 тыс. за заказы в Скандинавии. (Прим. док.).</w:t>
      </w:r>
    </w:p>
    <w:p w14:paraId="3B9C0DD0" w14:textId="77777777" w:rsidR="004F1A2E" w:rsidRPr="00405303" w:rsidRDefault="004F1A2E" w:rsidP="00C15251">
      <w:pPr>
        <w:pStyle w:val="rtejustify"/>
        <w:spacing w:before="0" w:beforeAutospacing="0" w:after="0" w:afterAutospacing="0"/>
        <w:jc w:val="both"/>
        <w:rPr>
          <w:bCs/>
          <w:color w:val="002060"/>
          <w:sz w:val="16"/>
          <w:szCs w:val="16"/>
        </w:rPr>
      </w:pPr>
      <w:hyperlink r:id="rId76" w:anchor="_ftnref7" w:history="1">
        <w:r w:rsidRPr="00405303">
          <w:rPr>
            <w:rStyle w:val="ad"/>
            <w:rFonts w:eastAsiaTheme="majorEastAsia"/>
            <w:bCs/>
            <w:color w:val="002060"/>
            <w:sz w:val="16"/>
            <w:szCs w:val="16"/>
          </w:rPr>
          <w:t>[7]</w:t>
        </w:r>
      </w:hyperlink>
      <w:r w:rsidRPr="00405303">
        <w:rPr>
          <w:bCs/>
          <w:color w:val="002060"/>
          <w:sz w:val="16"/>
          <w:szCs w:val="16"/>
        </w:rPr>
        <w:t xml:space="preserve"> Отправлено в феврале 1917 г. Соответственно общее количество золота, присланное Россией по требованию Великобритании с начала войны, достигает 68 млн ф. ст. (Прим. док.).</w:t>
      </w:r>
    </w:p>
    <w:p w14:paraId="6CCACA2A" w14:textId="77777777" w:rsidR="004F1A2E" w:rsidRPr="00405303" w:rsidRDefault="004F1A2E" w:rsidP="00C15251">
      <w:pPr>
        <w:shd w:val="clear" w:color="auto" w:fill="FFFFFF"/>
        <w:jc w:val="both"/>
        <w:rPr>
          <w:bCs/>
          <w:color w:val="002060"/>
          <w:sz w:val="16"/>
          <w:szCs w:val="16"/>
        </w:rPr>
      </w:pPr>
      <w:hyperlink r:id="rId77" w:anchor="_ftnref8" w:history="1">
        <w:r w:rsidRPr="00405303">
          <w:rPr>
            <w:rStyle w:val="ad"/>
            <w:bCs/>
            <w:color w:val="002060"/>
            <w:sz w:val="16"/>
            <w:szCs w:val="16"/>
          </w:rPr>
          <w:t>[8]</w:t>
        </w:r>
      </w:hyperlink>
      <w:r w:rsidRPr="00405303">
        <w:rPr>
          <w:bCs/>
          <w:color w:val="002060"/>
          <w:sz w:val="16"/>
          <w:szCs w:val="16"/>
        </w:rPr>
        <w:t xml:space="preserve"> В деле не имеется (15181).</w:t>
      </w:r>
    </w:p>
    <w:p w14:paraId="3ABA92C9" w14:textId="77777777" w:rsidR="004F1A2E" w:rsidRPr="00405303" w:rsidRDefault="004F1A2E" w:rsidP="00C15251">
      <w:pPr>
        <w:shd w:val="clear" w:color="auto" w:fill="FFFFFF"/>
        <w:jc w:val="both"/>
        <w:rPr>
          <w:bCs/>
          <w:color w:val="002060"/>
          <w:sz w:val="16"/>
          <w:szCs w:val="16"/>
        </w:rPr>
      </w:pPr>
    </w:p>
    <w:p w14:paraId="229E07A8" w14:textId="484D9B72" w:rsidR="004B4E35" w:rsidRPr="00405303" w:rsidRDefault="00333023" w:rsidP="00C15251">
      <w:pPr>
        <w:jc w:val="both"/>
        <w:rPr>
          <w:bCs/>
          <w:color w:val="002060"/>
          <w:sz w:val="16"/>
          <w:szCs w:val="16"/>
        </w:rPr>
      </w:pPr>
      <w:r w:rsidRPr="00405303">
        <w:rPr>
          <w:bCs/>
          <w:color w:val="002060"/>
          <w:sz w:val="16"/>
          <w:szCs w:val="16"/>
        </w:rPr>
        <w:t xml:space="preserve">Ведомость </w:t>
      </w:r>
      <w:r w:rsidR="009E6F82" w:rsidRPr="00405303">
        <w:rPr>
          <w:bCs/>
          <w:color w:val="002060"/>
          <w:sz w:val="16"/>
          <w:szCs w:val="16"/>
        </w:rPr>
        <w:t>сентября 1915 г. содержала перечень на заказ за границей 3971 станка, пресса, паровых машин, механизмов для частных заводов, производивших военно-техническое имущество [Там же. Д. 87. Л. 15об.-18, 108об.-116.]. Особенно большие заказы на изготовление станков и оборудования делались в США. Напомним, что по обстоятельствам военного времени ввоз всего заказанного оборудования в Россию осуществлялся только через Архангельский и Владивостокский порты, что приводило к потерям грузов в пути, а главное к огромным трудностям их доставки внутри страны. Материалы обследований отдельных заводов и целых экономических районов содержат многочисленные примеры непоступления заказанного оборудования. Ситуация стала меняться только со второй половины 1916 г. (см. таблицу 1) [Промышленность и торговля. 1917. № 16-17. С. 310.].</w:t>
      </w:r>
    </w:p>
    <w:p w14:paraId="23987B52" w14:textId="77777777" w:rsidR="004B4E35" w:rsidRPr="00405303" w:rsidRDefault="009E6F82" w:rsidP="00C15251">
      <w:pPr>
        <w:jc w:val="both"/>
        <w:rPr>
          <w:bCs/>
          <w:color w:val="002060"/>
          <w:sz w:val="16"/>
          <w:szCs w:val="16"/>
        </w:rPr>
      </w:pPr>
      <w:r w:rsidRPr="00405303">
        <w:rPr>
          <w:bCs/>
          <w:color w:val="002060"/>
          <w:sz w:val="16"/>
          <w:szCs w:val="16"/>
        </w:rPr>
        <w:t xml:space="preserve">Таблица 1. Привоз машин и оборудования в Россию в 1914 - 1916 гг. </w:t>
      </w:r>
      <w:proofErr w:type="gramStart"/>
      <w:r w:rsidRPr="00405303">
        <w:rPr>
          <w:bCs/>
          <w:color w:val="002060"/>
          <w:sz w:val="16"/>
          <w:szCs w:val="16"/>
        </w:rPr>
        <w:t>( в</w:t>
      </w:r>
      <w:proofErr w:type="gramEnd"/>
      <w:r w:rsidRPr="00405303">
        <w:rPr>
          <w:bCs/>
          <w:color w:val="002060"/>
          <w:sz w:val="16"/>
          <w:szCs w:val="16"/>
        </w:rPr>
        <w:t xml:space="preserve"> млн. руб.)</w:t>
      </w:r>
    </w:p>
    <w:tbl>
      <w:tblPr>
        <w:tblW w:w="0" w:type="auto"/>
        <w:tblInd w:w="9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90" w:type="dxa"/>
          <w:right w:w="90" w:type="dxa"/>
        </w:tblCellMar>
        <w:tblLook w:val="0000" w:firstRow="0" w:lastRow="0" w:firstColumn="0" w:lastColumn="0" w:noHBand="0" w:noVBand="0"/>
      </w:tblPr>
      <w:tblGrid>
        <w:gridCol w:w="6184"/>
        <w:gridCol w:w="1058"/>
        <w:gridCol w:w="1058"/>
        <w:gridCol w:w="1058"/>
      </w:tblGrid>
      <w:tr w:rsidR="004B4E35" w:rsidRPr="00405303" w14:paraId="0112F97D" w14:textId="77777777">
        <w:tc>
          <w:tcPr>
            <w:tcW w:w="6184" w:type="dxa"/>
          </w:tcPr>
          <w:p w14:paraId="2BBFB09D" w14:textId="77777777" w:rsidR="004B4E35" w:rsidRPr="00405303" w:rsidRDefault="009E6F82" w:rsidP="00C15251">
            <w:pPr>
              <w:jc w:val="both"/>
              <w:rPr>
                <w:bCs/>
                <w:color w:val="002060"/>
                <w:sz w:val="16"/>
                <w:szCs w:val="16"/>
              </w:rPr>
            </w:pPr>
            <w:r w:rsidRPr="00405303">
              <w:rPr>
                <w:bCs/>
                <w:color w:val="002060"/>
                <w:sz w:val="16"/>
                <w:szCs w:val="16"/>
              </w:rPr>
              <w:lastRenderedPageBreak/>
              <w:t>Привоз по европейской границе</w:t>
            </w:r>
          </w:p>
        </w:tc>
        <w:tc>
          <w:tcPr>
            <w:tcW w:w="1058" w:type="dxa"/>
          </w:tcPr>
          <w:p w14:paraId="73E736DF" w14:textId="77777777" w:rsidR="004B4E35" w:rsidRPr="00405303" w:rsidRDefault="009E6F82" w:rsidP="00C15251">
            <w:pPr>
              <w:jc w:val="both"/>
              <w:rPr>
                <w:bCs/>
                <w:color w:val="002060"/>
                <w:sz w:val="16"/>
                <w:szCs w:val="16"/>
              </w:rPr>
            </w:pPr>
            <w:r w:rsidRPr="00405303">
              <w:rPr>
                <w:bCs/>
                <w:color w:val="002060"/>
                <w:sz w:val="16"/>
                <w:szCs w:val="16"/>
              </w:rPr>
              <w:t>1914 г.</w:t>
            </w:r>
          </w:p>
        </w:tc>
        <w:tc>
          <w:tcPr>
            <w:tcW w:w="1058" w:type="dxa"/>
          </w:tcPr>
          <w:p w14:paraId="0830FFED" w14:textId="77777777" w:rsidR="004B4E35" w:rsidRPr="00405303" w:rsidRDefault="009E6F82" w:rsidP="00C15251">
            <w:pPr>
              <w:jc w:val="both"/>
              <w:rPr>
                <w:bCs/>
                <w:color w:val="002060"/>
                <w:sz w:val="16"/>
                <w:szCs w:val="16"/>
              </w:rPr>
            </w:pPr>
            <w:r w:rsidRPr="00405303">
              <w:rPr>
                <w:bCs/>
                <w:color w:val="002060"/>
                <w:sz w:val="16"/>
                <w:szCs w:val="16"/>
              </w:rPr>
              <w:t>1915 г.</w:t>
            </w:r>
          </w:p>
        </w:tc>
        <w:tc>
          <w:tcPr>
            <w:tcW w:w="1058" w:type="dxa"/>
          </w:tcPr>
          <w:p w14:paraId="5AD6E4C3" w14:textId="77777777" w:rsidR="004B4E35" w:rsidRPr="00405303" w:rsidRDefault="009E6F82" w:rsidP="00C15251">
            <w:pPr>
              <w:jc w:val="both"/>
              <w:rPr>
                <w:bCs/>
                <w:color w:val="002060"/>
                <w:sz w:val="16"/>
                <w:szCs w:val="16"/>
              </w:rPr>
            </w:pPr>
            <w:r w:rsidRPr="00405303">
              <w:rPr>
                <w:bCs/>
                <w:color w:val="002060"/>
                <w:sz w:val="16"/>
                <w:szCs w:val="16"/>
              </w:rPr>
              <w:t>1916 г.</w:t>
            </w:r>
          </w:p>
        </w:tc>
      </w:tr>
      <w:tr w:rsidR="004B4E35" w:rsidRPr="00405303" w14:paraId="4F329A99" w14:textId="77777777">
        <w:tc>
          <w:tcPr>
            <w:tcW w:w="6184" w:type="dxa"/>
          </w:tcPr>
          <w:p w14:paraId="4FF9F26C" w14:textId="77777777" w:rsidR="004B4E35" w:rsidRPr="00405303" w:rsidRDefault="009E6F82" w:rsidP="00C15251">
            <w:pPr>
              <w:jc w:val="both"/>
              <w:rPr>
                <w:bCs/>
                <w:color w:val="002060"/>
                <w:sz w:val="16"/>
                <w:szCs w:val="16"/>
              </w:rPr>
            </w:pPr>
            <w:r w:rsidRPr="00405303">
              <w:rPr>
                <w:bCs/>
                <w:color w:val="002060"/>
                <w:sz w:val="16"/>
                <w:szCs w:val="16"/>
              </w:rPr>
              <w:t>Всего машин,</w:t>
            </w:r>
          </w:p>
          <w:p w14:paraId="42D5F40C" w14:textId="77777777" w:rsidR="004B4E35" w:rsidRPr="00405303" w:rsidRDefault="009E6F82" w:rsidP="00C15251">
            <w:pPr>
              <w:jc w:val="both"/>
              <w:rPr>
                <w:bCs/>
                <w:color w:val="002060"/>
                <w:sz w:val="16"/>
                <w:szCs w:val="16"/>
              </w:rPr>
            </w:pPr>
            <w:r w:rsidRPr="00405303">
              <w:rPr>
                <w:bCs/>
                <w:color w:val="002060"/>
                <w:sz w:val="16"/>
                <w:szCs w:val="16"/>
              </w:rPr>
              <w:t>в т. ч. станков</w:t>
            </w:r>
          </w:p>
        </w:tc>
        <w:tc>
          <w:tcPr>
            <w:tcW w:w="1058" w:type="dxa"/>
          </w:tcPr>
          <w:p w14:paraId="25005B5C" w14:textId="77777777" w:rsidR="004B4E35" w:rsidRPr="00405303" w:rsidRDefault="009E6F82" w:rsidP="00C15251">
            <w:pPr>
              <w:jc w:val="both"/>
              <w:rPr>
                <w:bCs/>
                <w:color w:val="002060"/>
                <w:sz w:val="16"/>
                <w:szCs w:val="16"/>
              </w:rPr>
            </w:pPr>
            <w:r w:rsidRPr="00405303">
              <w:rPr>
                <w:bCs/>
                <w:color w:val="002060"/>
                <w:sz w:val="16"/>
                <w:szCs w:val="16"/>
              </w:rPr>
              <w:t>120,2</w:t>
            </w:r>
          </w:p>
          <w:p w14:paraId="19BD9A96" w14:textId="77777777" w:rsidR="004B4E35" w:rsidRPr="00405303" w:rsidRDefault="009E6F82" w:rsidP="00C15251">
            <w:pPr>
              <w:jc w:val="both"/>
              <w:rPr>
                <w:bCs/>
                <w:color w:val="002060"/>
                <w:sz w:val="16"/>
                <w:szCs w:val="16"/>
              </w:rPr>
            </w:pPr>
            <w:r w:rsidRPr="00405303">
              <w:rPr>
                <w:bCs/>
                <w:color w:val="002060"/>
                <w:sz w:val="16"/>
                <w:szCs w:val="16"/>
              </w:rPr>
              <w:t>11,7</w:t>
            </w:r>
          </w:p>
        </w:tc>
        <w:tc>
          <w:tcPr>
            <w:tcW w:w="1058" w:type="dxa"/>
          </w:tcPr>
          <w:p w14:paraId="19E02EE2" w14:textId="77777777" w:rsidR="004B4E35" w:rsidRPr="00405303" w:rsidRDefault="009E6F82" w:rsidP="00C15251">
            <w:pPr>
              <w:jc w:val="both"/>
              <w:rPr>
                <w:bCs/>
                <w:color w:val="002060"/>
                <w:sz w:val="16"/>
                <w:szCs w:val="16"/>
              </w:rPr>
            </w:pPr>
            <w:r w:rsidRPr="00405303">
              <w:rPr>
                <w:bCs/>
                <w:color w:val="002060"/>
                <w:sz w:val="16"/>
                <w:szCs w:val="16"/>
              </w:rPr>
              <w:t>45,4</w:t>
            </w:r>
          </w:p>
          <w:p w14:paraId="48734508" w14:textId="77777777" w:rsidR="004B4E35" w:rsidRPr="00405303" w:rsidRDefault="009E6F82" w:rsidP="00C15251">
            <w:pPr>
              <w:jc w:val="both"/>
              <w:rPr>
                <w:bCs/>
                <w:color w:val="002060"/>
                <w:sz w:val="16"/>
                <w:szCs w:val="16"/>
              </w:rPr>
            </w:pPr>
            <w:r w:rsidRPr="00405303">
              <w:rPr>
                <w:bCs/>
                <w:color w:val="002060"/>
                <w:sz w:val="16"/>
                <w:szCs w:val="16"/>
              </w:rPr>
              <w:t>15,1</w:t>
            </w:r>
          </w:p>
        </w:tc>
        <w:tc>
          <w:tcPr>
            <w:tcW w:w="1058" w:type="dxa"/>
          </w:tcPr>
          <w:p w14:paraId="092C0ED7" w14:textId="77777777" w:rsidR="004B4E35" w:rsidRPr="00405303" w:rsidRDefault="009E6F82" w:rsidP="00C15251">
            <w:pPr>
              <w:jc w:val="both"/>
              <w:rPr>
                <w:bCs/>
                <w:color w:val="002060"/>
                <w:sz w:val="16"/>
                <w:szCs w:val="16"/>
              </w:rPr>
            </w:pPr>
            <w:r w:rsidRPr="00405303">
              <w:rPr>
                <w:bCs/>
                <w:color w:val="002060"/>
                <w:sz w:val="16"/>
                <w:szCs w:val="16"/>
              </w:rPr>
              <w:t>124,2</w:t>
            </w:r>
          </w:p>
          <w:p w14:paraId="7A41F3CB" w14:textId="77777777" w:rsidR="004B4E35" w:rsidRPr="00405303" w:rsidRDefault="009E6F82" w:rsidP="00C15251">
            <w:pPr>
              <w:jc w:val="both"/>
              <w:rPr>
                <w:bCs/>
                <w:color w:val="002060"/>
                <w:sz w:val="16"/>
                <w:szCs w:val="16"/>
              </w:rPr>
            </w:pPr>
            <w:r w:rsidRPr="00405303">
              <w:rPr>
                <w:bCs/>
                <w:color w:val="002060"/>
                <w:sz w:val="16"/>
                <w:szCs w:val="16"/>
              </w:rPr>
              <w:t>46,1</w:t>
            </w:r>
          </w:p>
        </w:tc>
      </w:tr>
      <w:tr w:rsidR="004B4E35" w:rsidRPr="00405303" w14:paraId="624ED21D" w14:textId="77777777">
        <w:tc>
          <w:tcPr>
            <w:tcW w:w="6184" w:type="dxa"/>
          </w:tcPr>
          <w:p w14:paraId="6361B021" w14:textId="77777777" w:rsidR="004B4E35" w:rsidRPr="00405303" w:rsidRDefault="009E6F82" w:rsidP="00C15251">
            <w:pPr>
              <w:jc w:val="both"/>
              <w:rPr>
                <w:bCs/>
                <w:color w:val="002060"/>
                <w:sz w:val="16"/>
                <w:szCs w:val="16"/>
              </w:rPr>
            </w:pPr>
            <w:r w:rsidRPr="00405303">
              <w:rPr>
                <w:bCs/>
                <w:color w:val="002060"/>
                <w:sz w:val="16"/>
                <w:szCs w:val="16"/>
              </w:rPr>
              <w:t>Привоз машин, без с/хоз. через Владивосток</w:t>
            </w:r>
          </w:p>
        </w:tc>
        <w:tc>
          <w:tcPr>
            <w:tcW w:w="1058" w:type="dxa"/>
          </w:tcPr>
          <w:p w14:paraId="35AEC5F2" w14:textId="77777777" w:rsidR="004B4E35" w:rsidRPr="00405303" w:rsidRDefault="009E6F82" w:rsidP="00C15251">
            <w:pPr>
              <w:jc w:val="both"/>
              <w:rPr>
                <w:bCs/>
                <w:color w:val="002060"/>
                <w:sz w:val="16"/>
                <w:szCs w:val="16"/>
              </w:rPr>
            </w:pPr>
            <w:r w:rsidRPr="00405303">
              <w:rPr>
                <w:bCs/>
                <w:color w:val="002060"/>
                <w:sz w:val="16"/>
                <w:szCs w:val="16"/>
              </w:rPr>
              <w:t>-</w:t>
            </w:r>
          </w:p>
        </w:tc>
        <w:tc>
          <w:tcPr>
            <w:tcW w:w="1058" w:type="dxa"/>
          </w:tcPr>
          <w:p w14:paraId="0CEC943B" w14:textId="77777777" w:rsidR="004B4E35" w:rsidRPr="00405303" w:rsidRDefault="009E6F82" w:rsidP="00C15251">
            <w:pPr>
              <w:jc w:val="both"/>
              <w:rPr>
                <w:bCs/>
                <w:color w:val="002060"/>
                <w:sz w:val="16"/>
                <w:szCs w:val="16"/>
              </w:rPr>
            </w:pPr>
            <w:r w:rsidRPr="00405303">
              <w:rPr>
                <w:bCs/>
                <w:color w:val="002060"/>
                <w:sz w:val="16"/>
                <w:szCs w:val="16"/>
              </w:rPr>
              <w:t>7,5</w:t>
            </w:r>
          </w:p>
        </w:tc>
        <w:tc>
          <w:tcPr>
            <w:tcW w:w="1058" w:type="dxa"/>
          </w:tcPr>
          <w:p w14:paraId="6AFF6190" w14:textId="77777777" w:rsidR="004B4E35" w:rsidRPr="00405303" w:rsidRDefault="009E6F82" w:rsidP="00C15251">
            <w:pPr>
              <w:jc w:val="both"/>
              <w:rPr>
                <w:bCs/>
                <w:color w:val="002060"/>
                <w:sz w:val="16"/>
                <w:szCs w:val="16"/>
              </w:rPr>
            </w:pPr>
            <w:r w:rsidRPr="00405303">
              <w:rPr>
                <w:bCs/>
                <w:color w:val="002060"/>
                <w:sz w:val="16"/>
                <w:szCs w:val="16"/>
              </w:rPr>
              <w:t>57,8</w:t>
            </w:r>
          </w:p>
        </w:tc>
      </w:tr>
    </w:tbl>
    <w:p w14:paraId="04DF85A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lang w:val="en-US"/>
        </w:rPr>
        <w:t>(11863</w:t>
      </w:r>
      <w:r w:rsidRPr="00405303">
        <w:rPr>
          <w:bCs/>
          <w:color w:val="002060"/>
          <w:sz w:val="16"/>
          <w:szCs w:val="16"/>
        </w:rPr>
        <w:t>)</w:t>
      </w:r>
    </w:p>
    <w:p w14:paraId="0E17B084" w14:textId="77777777" w:rsidR="004B4E35" w:rsidRPr="00405303" w:rsidRDefault="004B4E35" w:rsidP="00C15251">
      <w:pPr>
        <w:shd w:val="clear" w:color="auto" w:fill="FFFFFF"/>
        <w:jc w:val="both"/>
        <w:rPr>
          <w:bCs/>
          <w:color w:val="002060"/>
          <w:sz w:val="16"/>
          <w:szCs w:val="16"/>
        </w:rPr>
      </w:pPr>
    </w:p>
    <w:p w14:paraId="3DDB5EB1"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Франции:</w:t>
      </w:r>
    </w:p>
    <w:p w14:paraId="23CC829F" w14:textId="77777777" w:rsidR="004B4E35" w:rsidRPr="00405303" w:rsidRDefault="004B4E35" w:rsidP="00C15251">
      <w:pPr>
        <w:shd w:val="clear" w:color="auto" w:fill="FFFFFF"/>
        <w:jc w:val="both"/>
        <w:rPr>
          <w:bCs/>
          <w:i/>
          <w:color w:val="002060"/>
          <w:sz w:val="16"/>
          <w:szCs w:val="16"/>
        </w:rPr>
      </w:pPr>
    </w:p>
    <w:p w14:paraId="77BBCAD3" w14:textId="6B83ABB5" w:rsidR="004B4E35" w:rsidRPr="00405303" w:rsidRDefault="00333023" w:rsidP="00C15251">
      <w:pPr>
        <w:jc w:val="both"/>
        <w:rPr>
          <w:bCs/>
          <w:color w:val="002060"/>
          <w:sz w:val="16"/>
          <w:szCs w:val="16"/>
        </w:rPr>
      </w:pPr>
      <w:r w:rsidRPr="00405303">
        <w:rPr>
          <w:bCs/>
          <w:color w:val="002060"/>
          <w:sz w:val="16"/>
          <w:szCs w:val="16"/>
        </w:rPr>
        <w:t xml:space="preserve">В </w:t>
      </w:r>
      <w:r w:rsidR="009E6F82" w:rsidRPr="00405303">
        <w:rPr>
          <w:bCs/>
          <w:color w:val="002060"/>
          <w:sz w:val="16"/>
          <w:szCs w:val="16"/>
        </w:rPr>
        <w:t>сентябре 1915 года</w:t>
      </w:r>
      <w:r w:rsidRPr="00405303">
        <w:rPr>
          <w:bCs/>
          <w:color w:val="002060"/>
          <w:sz w:val="16"/>
          <w:szCs w:val="16"/>
        </w:rPr>
        <w:t xml:space="preserve"> поднялся в воздух третий </w:t>
      </w:r>
      <w:r w:rsidR="00B20A34" w:rsidRPr="00405303">
        <w:rPr>
          <w:bCs/>
          <w:color w:val="002060"/>
          <w:sz w:val="16"/>
          <w:szCs w:val="16"/>
        </w:rPr>
        <w:t xml:space="preserve">французский </w:t>
      </w:r>
      <w:r w:rsidRPr="00405303">
        <w:rPr>
          <w:bCs/>
          <w:color w:val="002060"/>
          <w:sz w:val="16"/>
          <w:szCs w:val="16"/>
        </w:rPr>
        <w:t>дирижабль</w:t>
      </w:r>
      <w:r w:rsidR="00B20A34" w:rsidRPr="00405303">
        <w:rPr>
          <w:bCs/>
          <w:color w:val="002060"/>
          <w:sz w:val="16"/>
          <w:szCs w:val="16"/>
        </w:rPr>
        <w:t xml:space="preserve"> – машины фирмы «Клеман-Байяр» — «Генерал Менье»</w:t>
      </w:r>
      <w:r w:rsidR="009E6F82" w:rsidRPr="00405303">
        <w:rPr>
          <w:bCs/>
          <w:color w:val="002060"/>
          <w:sz w:val="16"/>
          <w:szCs w:val="16"/>
        </w:rPr>
        <w:t>. Оказалось, что все усилия по разработке и строительству воздушных кораблей были затрачены впустую. Дирижабли этого типа оказались слишком медлительны и имели недостаточный потолок, поэтому не приходилось рассчитывать на их успешное проникновение через линию фронта (11324).</w:t>
      </w:r>
    </w:p>
    <w:p w14:paraId="7A610246" w14:textId="77777777" w:rsidR="004B4E35" w:rsidRPr="00405303" w:rsidRDefault="004B4E35" w:rsidP="00C15251">
      <w:pPr>
        <w:jc w:val="both"/>
        <w:rPr>
          <w:bCs/>
          <w:i/>
          <w:color w:val="002060"/>
          <w:sz w:val="16"/>
          <w:szCs w:val="16"/>
        </w:rPr>
      </w:pPr>
    </w:p>
    <w:p w14:paraId="76A140EC" w14:textId="77777777" w:rsidR="004B4E35" w:rsidRPr="00405303" w:rsidRDefault="009E6F82" w:rsidP="00C15251">
      <w:pPr>
        <w:jc w:val="both"/>
        <w:rPr>
          <w:bCs/>
          <w:color w:val="002060"/>
          <w:sz w:val="16"/>
          <w:szCs w:val="16"/>
        </w:rPr>
      </w:pPr>
      <w:r w:rsidRPr="00405303">
        <w:rPr>
          <w:bCs/>
          <w:color w:val="002060"/>
          <w:sz w:val="16"/>
          <w:szCs w:val="16"/>
        </w:rPr>
        <w:t xml:space="preserve">В сентябре 1915 года прошли летные испытания «Флерю II» Армейского воздухоплавательного арсенала в Шале-Медон, позднее переименованного в «Лоррен», а в апреле 1916 года — «Флерю III», названного «Тунис». Оба дирижабля имели объем 10 500 куб. м. Окончание испытаний пришлось на то время, когда армия в результате серьезных потерь дирижаблей утратила всякий интерес к управляемому воздухоплаванию. В итоге «Лоррен» использовался в учебных целях, а «Тунис» был передан военно-морскому флоту. Одновременно по заказу флота в Шале-Медон построили новый дирижабль Т-1. Это был небольшой корабль объемом всего 5600 куб. м, правда, оснащение его двумя моторами «Сальмсон» мощностью по 160 л. с. позволило добиться скорости 80 км/ч. К сожалению, во время приемо-сдаточных испытаний произошла катастрофа и дирижабль сгорел. </w:t>
      </w:r>
    </w:p>
    <w:p w14:paraId="23448390" w14:textId="77777777" w:rsidR="004B4E35" w:rsidRPr="00405303" w:rsidRDefault="009E6F82" w:rsidP="00C15251">
      <w:pPr>
        <w:jc w:val="both"/>
        <w:rPr>
          <w:bCs/>
          <w:color w:val="002060"/>
          <w:sz w:val="16"/>
          <w:szCs w:val="16"/>
        </w:rPr>
      </w:pPr>
      <w:r w:rsidRPr="00405303">
        <w:rPr>
          <w:bCs/>
          <w:color w:val="002060"/>
          <w:sz w:val="16"/>
          <w:szCs w:val="16"/>
        </w:rPr>
        <w:t>Армейские дирижабли совершали боевые вылеты все реже и реже. С совершенствованием противовоздушной обороны противника опасность потери воздушных кораблей многократно возросла, поэтому французское командование приняло решение о ликвидации армейских дирижабельных воздухоплавательных частей. С другой стороны, флот, который к тому времени стал энергично развивать у себя управляемое воздухоплавание, обратился к армии с просьбой передать дирижабли ему (11324).</w:t>
      </w:r>
    </w:p>
    <w:p w14:paraId="1677FF76" w14:textId="77777777" w:rsidR="004B4E35" w:rsidRPr="00405303" w:rsidRDefault="004B4E35" w:rsidP="00C15251">
      <w:pPr>
        <w:jc w:val="both"/>
        <w:rPr>
          <w:bCs/>
          <w:color w:val="002060"/>
          <w:sz w:val="16"/>
          <w:szCs w:val="16"/>
        </w:rPr>
      </w:pPr>
    </w:p>
    <w:p w14:paraId="149004AC"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 и воздухоплавание Германии:</w:t>
      </w:r>
    </w:p>
    <w:p w14:paraId="740FF3CD" w14:textId="77777777" w:rsidR="004B4E35" w:rsidRPr="00405303" w:rsidRDefault="004B4E35" w:rsidP="00C15251">
      <w:pPr>
        <w:pStyle w:val="a3"/>
        <w:jc w:val="both"/>
        <w:rPr>
          <w:bCs/>
          <w:color w:val="002060"/>
          <w:spacing w:val="0"/>
          <w:kern w:val="0"/>
          <w:position w:val="0"/>
          <w:sz w:val="16"/>
          <w:szCs w:val="16"/>
        </w:rPr>
      </w:pPr>
    </w:p>
    <w:p w14:paraId="2308FDF4" w14:textId="77777777" w:rsidR="004B4E35" w:rsidRPr="00405303" w:rsidRDefault="009E6F82" w:rsidP="00C15251">
      <w:pPr>
        <w:jc w:val="both"/>
        <w:rPr>
          <w:bCs/>
          <w:color w:val="002060"/>
          <w:sz w:val="16"/>
          <w:szCs w:val="16"/>
        </w:rPr>
      </w:pPr>
      <w:r w:rsidRPr="00405303">
        <w:rPr>
          <w:bCs/>
          <w:color w:val="002060"/>
          <w:sz w:val="16"/>
          <w:szCs w:val="16"/>
        </w:rPr>
        <w:t>В сентябре 1915 Германия поставила на фронт свои первые двухмоторные самолеты "Гота G-1", которые оказались неудачными и не пошли в серийное производство (11999).</w:t>
      </w:r>
    </w:p>
    <w:p w14:paraId="2B03447F" w14:textId="77777777" w:rsidR="004B4E35" w:rsidRPr="00405303" w:rsidRDefault="004B4E35" w:rsidP="00C15251">
      <w:pPr>
        <w:jc w:val="both"/>
        <w:rPr>
          <w:bCs/>
          <w:color w:val="002060"/>
          <w:sz w:val="16"/>
          <w:szCs w:val="16"/>
        </w:rPr>
      </w:pPr>
    </w:p>
    <w:p w14:paraId="37678139" w14:textId="77777777" w:rsidR="004B4E35" w:rsidRPr="00405303" w:rsidRDefault="009E6F82" w:rsidP="00C15251">
      <w:pPr>
        <w:jc w:val="both"/>
        <w:rPr>
          <w:bCs/>
          <w:color w:val="002060"/>
          <w:sz w:val="16"/>
          <w:szCs w:val="16"/>
        </w:rPr>
      </w:pPr>
      <w:r w:rsidRPr="00405303">
        <w:rPr>
          <w:bCs/>
          <w:color w:val="002060"/>
          <w:sz w:val="16"/>
          <w:szCs w:val="16"/>
        </w:rPr>
        <w:t>В сентябре 1915 L-11, L-13, L-14, L-15 и L-16 осуществили еще один весьма успешный налет на Лондон, причем все цеппелины достигли цели и невредимыми вернулись домой, несмотря на активное противодействие зенитных средств и авиации (11324).</w:t>
      </w:r>
    </w:p>
    <w:p w14:paraId="18D52D51" w14:textId="77777777" w:rsidR="004B4E35" w:rsidRPr="00405303" w:rsidRDefault="004B4E35" w:rsidP="00C15251">
      <w:pPr>
        <w:pStyle w:val="a3"/>
        <w:jc w:val="both"/>
        <w:rPr>
          <w:bCs/>
          <w:color w:val="002060"/>
          <w:spacing w:val="0"/>
          <w:kern w:val="0"/>
          <w:position w:val="0"/>
          <w:sz w:val="16"/>
          <w:szCs w:val="16"/>
        </w:rPr>
      </w:pPr>
    </w:p>
    <w:p w14:paraId="689DED9C" w14:textId="77777777" w:rsidR="00C8777C" w:rsidRPr="00405303" w:rsidRDefault="00C8777C" w:rsidP="00C15251">
      <w:pPr>
        <w:jc w:val="both"/>
        <w:rPr>
          <w:bCs/>
          <w:color w:val="002060"/>
          <w:sz w:val="16"/>
          <w:szCs w:val="16"/>
        </w:rPr>
      </w:pPr>
      <w:r w:rsidRPr="00405303">
        <w:rPr>
          <w:bCs/>
          <w:color w:val="002060"/>
          <w:sz w:val="16"/>
          <w:szCs w:val="16"/>
        </w:rPr>
        <w:t>В сентябре 1915, опасаясь крупномасштабных ответных налетов со стороны Великобритании за налеты немецких дирижаблей на Лондон и возмущаясь известностью ВМФ Германии и достижениях морских дирижаблей в бомбардировке города, начальник Генерального штаба Германии генерал Эрих фон Фалькенхайн делает заявление, в котором указывает, что дирижабли немецкой армии ограничивается в бомбардировке Лондона доками и портовых соружениями и им запрещается атаковать центральный город Лондон (20338).</w:t>
      </w:r>
    </w:p>
    <w:p w14:paraId="0DB15B4F" w14:textId="77777777" w:rsidR="00C8777C" w:rsidRPr="00405303" w:rsidRDefault="00C8777C" w:rsidP="00C15251">
      <w:pPr>
        <w:jc w:val="both"/>
        <w:rPr>
          <w:bCs/>
          <w:color w:val="002060"/>
          <w:sz w:val="16"/>
          <w:szCs w:val="16"/>
        </w:rPr>
      </w:pPr>
    </w:p>
    <w:p w14:paraId="45384C73"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Англии:</w:t>
      </w:r>
    </w:p>
    <w:p w14:paraId="1BD9B152" w14:textId="77777777" w:rsidR="004B4E35" w:rsidRPr="00405303" w:rsidRDefault="004B4E35" w:rsidP="00C15251">
      <w:pPr>
        <w:jc w:val="both"/>
        <w:rPr>
          <w:bCs/>
          <w:i/>
          <w:color w:val="002060"/>
          <w:sz w:val="16"/>
          <w:szCs w:val="16"/>
        </w:rPr>
      </w:pPr>
    </w:p>
    <w:p w14:paraId="09744C97" w14:textId="429770F3" w:rsidR="004B4E35" w:rsidRPr="00405303" w:rsidRDefault="00B20A34"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сентябре 1915 года</w:t>
      </w:r>
      <w:r w:rsidRPr="00405303">
        <w:rPr>
          <w:bCs/>
          <w:color w:val="002060"/>
          <w:sz w:val="16"/>
          <w:szCs w:val="16"/>
        </w:rPr>
        <w:t xml:space="preserve"> на ирландском побережье в Ларне, против Льюс Бэй, был построен переносной эллинг; на острове Англси организована база</w:t>
      </w:r>
      <w:r w:rsidR="009E6F82" w:rsidRPr="00405303">
        <w:rPr>
          <w:bCs/>
          <w:color w:val="002060"/>
          <w:sz w:val="16"/>
          <w:szCs w:val="16"/>
        </w:rPr>
        <w:t>, и с этого момента дирижабли стали нести службу. К концу года их стало четыре (11324).</w:t>
      </w:r>
    </w:p>
    <w:p w14:paraId="4DAB005E" w14:textId="77777777" w:rsidR="004B4E35" w:rsidRPr="00405303" w:rsidRDefault="004B4E35" w:rsidP="00C15251">
      <w:pPr>
        <w:jc w:val="both"/>
        <w:rPr>
          <w:bCs/>
          <w:i/>
          <w:color w:val="002060"/>
          <w:sz w:val="16"/>
          <w:szCs w:val="16"/>
        </w:rPr>
      </w:pPr>
    </w:p>
    <w:p w14:paraId="38BEF151" w14:textId="3893BCF1" w:rsidR="00A83A36" w:rsidRPr="00405303" w:rsidRDefault="00A83A36" w:rsidP="00C15251">
      <w:pPr>
        <w:jc w:val="both"/>
        <w:rPr>
          <w:bCs/>
          <w:color w:val="002060"/>
          <w:sz w:val="16"/>
          <w:szCs w:val="16"/>
        </w:rPr>
      </w:pPr>
      <w:r w:rsidRPr="00405303">
        <w:rPr>
          <w:bCs/>
          <w:color w:val="002060"/>
          <w:sz w:val="16"/>
          <w:szCs w:val="16"/>
        </w:rPr>
        <w:t xml:space="preserve">В сентябре 1915 г. по заказу Британского Адмиралтейства был построен и совершил первый полет </w:t>
      </w:r>
      <w:r w:rsidR="00B20A34" w:rsidRPr="00405303">
        <w:rPr>
          <w:bCs/>
          <w:color w:val="002060"/>
          <w:sz w:val="16"/>
          <w:szCs w:val="16"/>
        </w:rPr>
        <w:t>г</w:t>
      </w:r>
      <w:r w:rsidRPr="00405303">
        <w:rPr>
          <w:bCs/>
          <w:color w:val="002060"/>
          <w:sz w:val="16"/>
          <w:szCs w:val="16"/>
        </w:rPr>
        <w:t>оловной самолет Сопвич Беби. Выпуск самолета на фирме «Сопвич» был завершен в июле 1916 г. Всего было построено 100 самолетов (23137).</w:t>
      </w:r>
    </w:p>
    <w:p w14:paraId="103C8818" w14:textId="77777777" w:rsidR="00A83A36" w:rsidRPr="00405303" w:rsidRDefault="00A83A36" w:rsidP="00C15251">
      <w:pPr>
        <w:jc w:val="both"/>
        <w:rPr>
          <w:bCs/>
          <w:color w:val="002060"/>
          <w:sz w:val="16"/>
          <w:szCs w:val="16"/>
        </w:rPr>
      </w:pPr>
    </w:p>
    <w:p w14:paraId="7D3DC81F" w14:textId="25244E98" w:rsidR="00A83A36" w:rsidRPr="00405303" w:rsidRDefault="00A83A36" w:rsidP="00C15251">
      <w:pPr>
        <w:jc w:val="both"/>
        <w:rPr>
          <w:bCs/>
          <w:color w:val="002060"/>
          <w:sz w:val="16"/>
          <w:szCs w:val="16"/>
        </w:rPr>
      </w:pPr>
      <w:r w:rsidRPr="00405303">
        <w:rPr>
          <w:bCs/>
          <w:color w:val="002060"/>
          <w:sz w:val="16"/>
          <w:szCs w:val="16"/>
        </w:rPr>
        <w:t>В сентябре 1915 г. был облетан серийный гидро</w:t>
      </w:r>
      <w:r w:rsidR="00B20A34" w:rsidRPr="00405303">
        <w:rPr>
          <w:bCs/>
          <w:color w:val="002060"/>
          <w:sz w:val="16"/>
          <w:szCs w:val="16"/>
        </w:rPr>
        <w:t>самолет</w:t>
      </w:r>
      <w:r w:rsidRPr="00405303">
        <w:rPr>
          <w:bCs/>
          <w:color w:val="002060"/>
          <w:sz w:val="16"/>
          <w:szCs w:val="16"/>
        </w:rPr>
        <w:t xml:space="preserve"> «Шнейдера» и к следующему июлю завод «Сопвич» в Кингстоне сдал всю заказанную сотню самолетов, названных «Бэби». Еще 186 машин сделала для Британского адмиралтейства купившая у Сопвича лицензию и чертежи фирма «Блэкберн», 50 — «Фейри» и 130 — «Парнелл».</w:t>
      </w:r>
    </w:p>
    <w:p w14:paraId="4633516F" w14:textId="77777777" w:rsidR="00A83A36" w:rsidRPr="00405303" w:rsidRDefault="00A83A36" w:rsidP="00C15251">
      <w:pPr>
        <w:jc w:val="both"/>
        <w:rPr>
          <w:bCs/>
          <w:color w:val="002060"/>
          <w:sz w:val="16"/>
          <w:szCs w:val="16"/>
        </w:rPr>
      </w:pPr>
      <w:r w:rsidRPr="00405303">
        <w:rPr>
          <w:bCs/>
          <w:color w:val="002060"/>
          <w:sz w:val="16"/>
          <w:szCs w:val="16"/>
        </w:rPr>
        <w:t>Сопвич взял свой поплавковый гидроплан «Шнейдер», чья слава победителя 2-й гонки с таким же названием 1914 г. еще не успела остыть, поставил новый 110-сильный мотор Клерже 9А, увеличенные поплавки и вооружение, чуть подновил остальное и запустил самолет в постройку. Поначалу рассматривалось много вариантов установки пулеметов, в том числе с синхронизатором, но был выбран простейший — над крылом плюс бомбы. Хотя самолет считался новым типом, а не модификацией серийного «Шнейдера», отличия сочли незначительными, и Британское адмиралтейство согласилось выдать заказ без испытаний опытного образца.</w:t>
      </w:r>
    </w:p>
    <w:p w14:paraId="39C7F90C" w14:textId="77777777" w:rsidR="00A83A36" w:rsidRPr="00405303" w:rsidRDefault="00A83A36" w:rsidP="00C15251">
      <w:pPr>
        <w:jc w:val="both"/>
        <w:rPr>
          <w:bCs/>
          <w:color w:val="002060"/>
          <w:sz w:val="16"/>
          <w:szCs w:val="16"/>
        </w:rPr>
      </w:pPr>
      <w:r w:rsidRPr="00405303">
        <w:rPr>
          <w:bCs/>
          <w:color w:val="002060"/>
          <w:sz w:val="16"/>
          <w:szCs w:val="16"/>
        </w:rPr>
        <w:t>В ходе серии вносилось множество изменений в конструкцию гидроистребителя Сопвич «Бэби», прежде всего по силовой установке, но наибольший интерес вызывают зависающие элероны — патент Ричарда Фейри, приятеля Сопвича по яхт-клубу. Он поставил их на ремонтировавшийся на его заводе «Бэби» № 8134.</w:t>
      </w:r>
    </w:p>
    <w:p w14:paraId="47AA2683" w14:textId="77777777" w:rsidR="00A83A36" w:rsidRPr="00405303" w:rsidRDefault="00A83A36" w:rsidP="00C15251">
      <w:pPr>
        <w:jc w:val="both"/>
        <w:rPr>
          <w:bCs/>
          <w:color w:val="002060"/>
          <w:sz w:val="16"/>
          <w:szCs w:val="16"/>
        </w:rPr>
      </w:pPr>
      <w:r w:rsidRPr="00405303">
        <w:rPr>
          <w:bCs/>
          <w:color w:val="002060"/>
          <w:sz w:val="16"/>
          <w:szCs w:val="16"/>
        </w:rPr>
        <w:t>Англия построила 466 истребителей Сопвич «Бэби», которые могли бы переломить ситуацию по крайней мере над Ла-Маншем и западной частью Северного моря, но этого не сделали. Причина была, конечно, и в невысоких летных данных машины, по сути, еще предвоенной разработки, но главное заключалось в выбранной пассивной тактике ее применения (22832).</w:t>
      </w:r>
    </w:p>
    <w:p w14:paraId="659451AB" w14:textId="77777777" w:rsidR="00A83A36" w:rsidRPr="00405303" w:rsidRDefault="00A83A36" w:rsidP="00C15251">
      <w:pPr>
        <w:jc w:val="both"/>
        <w:rPr>
          <w:bCs/>
          <w:color w:val="002060"/>
          <w:sz w:val="16"/>
          <w:szCs w:val="16"/>
        </w:rPr>
      </w:pPr>
    </w:p>
    <w:p w14:paraId="3439E2E0" w14:textId="77777777" w:rsidR="004F1A2E" w:rsidRPr="00405303" w:rsidRDefault="004F1A2E" w:rsidP="00C15251">
      <w:pPr>
        <w:jc w:val="both"/>
        <w:rPr>
          <w:bCs/>
          <w:i/>
          <w:color w:val="002060"/>
          <w:sz w:val="16"/>
          <w:szCs w:val="16"/>
        </w:rPr>
      </w:pPr>
      <w:r w:rsidRPr="00405303">
        <w:rPr>
          <w:bCs/>
          <w:i/>
          <w:color w:val="002060"/>
          <w:sz w:val="16"/>
          <w:szCs w:val="16"/>
        </w:rPr>
        <w:t>За рубежом:</w:t>
      </w:r>
    </w:p>
    <w:p w14:paraId="2BC18537" w14:textId="77777777" w:rsidR="004F1A2E" w:rsidRPr="00405303" w:rsidRDefault="004F1A2E" w:rsidP="00C15251">
      <w:pPr>
        <w:jc w:val="both"/>
        <w:rPr>
          <w:bCs/>
          <w:color w:val="002060"/>
          <w:sz w:val="16"/>
          <w:szCs w:val="16"/>
        </w:rPr>
      </w:pPr>
    </w:p>
    <w:p w14:paraId="3A2060A7" w14:textId="7D0EDF9C" w:rsidR="004F1A2E" w:rsidRPr="00405303" w:rsidRDefault="004F1A2E" w:rsidP="00C15251">
      <w:pPr>
        <w:pStyle w:val="ae"/>
        <w:spacing w:before="0" w:beforeAutospacing="0" w:after="0" w:afterAutospacing="0"/>
        <w:jc w:val="both"/>
        <w:rPr>
          <w:bCs/>
          <w:color w:val="002060"/>
          <w:sz w:val="16"/>
          <w:szCs w:val="16"/>
        </w:rPr>
      </w:pPr>
      <w:r w:rsidRPr="00405303">
        <w:rPr>
          <w:bCs/>
          <w:color w:val="002060"/>
          <w:sz w:val="16"/>
          <w:szCs w:val="16"/>
        </w:rPr>
        <w:t>В сентябре 1915 года появился первый опытный образец</w:t>
      </w:r>
      <w:r w:rsidR="00B20A34" w:rsidRPr="00405303">
        <w:rPr>
          <w:bCs/>
          <w:color w:val="002060"/>
          <w:sz w:val="16"/>
          <w:szCs w:val="16"/>
        </w:rPr>
        <w:t xml:space="preserve"> танка</w:t>
      </w:r>
      <w:r w:rsidRPr="00405303">
        <w:rPr>
          <w:bCs/>
          <w:color w:val="002060"/>
          <w:sz w:val="16"/>
          <w:szCs w:val="16"/>
        </w:rPr>
        <w:t>. Его соорудили на машиностроительном предприятии Уильяма Фостера в Линкольншире. «Маленький Вилли»</w:t>
      </w:r>
      <w:r w:rsidR="00DB4D64" w:rsidRPr="00405303">
        <w:rPr>
          <w:bCs/>
          <w:color w:val="002060"/>
          <w:sz w:val="16"/>
          <w:szCs w:val="16"/>
        </w:rPr>
        <w:t xml:space="preserve"> </w:t>
      </w:r>
      <w:r w:rsidRPr="00405303">
        <w:rPr>
          <w:bCs/>
          <w:color w:val="002060"/>
          <w:sz w:val="16"/>
          <w:szCs w:val="16"/>
        </w:rPr>
        <w:t>— гибрид силового блока тяжелого трактора «фостер-даймлер» и шасси американского трактора «холт». Он развивал скорость 3 км/ч передним ходом и 1 км/ч задним, управлялся двумя водителями, был вооружен 7,7-миллиметровым пулеметом «виккерс» и имел в бортах специальные люки для стрельбы из личного оружия. Мог преодолевать ров шириной до полутора метров за счет колесного «хвоста». Весил при этом 18 тонн. Но зато был первым в мировой истории танком.</w:t>
      </w:r>
    </w:p>
    <w:p w14:paraId="0728C010" w14:textId="77777777" w:rsidR="004F1A2E" w:rsidRPr="00405303" w:rsidRDefault="004F1A2E" w:rsidP="00C15251">
      <w:pPr>
        <w:pStyle w:val="ae"/>
        <w:spacing w:before="0" w:beforeAutospacing="0" w:after="0" w:afterAutospacing="0"/>
        <w:jc w:val="both"/>
        <w:rPr>
          <w:bCs/>
          <w:color w:val="002060"/>
          <w:sz w:val="16"/>
          <w:szCs w:val="16"/>
        </w:rPr>
      </w:pPr>
      <w:r w:rsidRPr="00405303">
        <w:rPr>
          <w:bCs/>
          <w:color w:val="002060"/>
          <w:sz w:val="16"/>
          <w:szCs w:val="16"/>
        </w:rPr>
        <w:t>Тем не менее английское командование он не устраивал. Военные требовали, чтобы бронированная боевая машина могла двигаться по склону крутизной до 27 градусов, преодолевать ров шириной не менее двух с половиной метров и стену высотой не менее полутора метров (18519).</w:t>
      </w:r>
    </w:p>
    <w:p w14:paraId="415CCDAD" w14:textId="77777777" w:rsidR="004F1A2E" w:rsidRPr="00405303" w:rsidRDefault="004F1A2E" w:rsidP="00C15251">
      <w:pPr>
        <w:pStyle w:val="ae"/>
        <w:spacing w:before="0" w:beforeAutospacing="0" w:after="0" w:afterAutospacing="0"/>
        <w:jc w:val="both"/>
        <w:rPr>
          <w:bCs/>
          <w:color w:val="002060"/>
          <w:sz w:val="16"/>
          <w:szCs w:val="16"/>
        </w:rPr>
      </w:pPr>
    </w:p>
    <w:p w14:paraId="779B7CFC" w14:textId="77777777" w:rsidR="00DA51EA" w:rsidRPr="00405303" w:rsidRDefault="00DA51EA" w:rsidP="00C15251">
      <w:pPr>
        <w:jc w:val="both"/>
        <w:rPr>
          <w:bCs/>
          <w:color w:val="002060"/>
          <w:sz w:val="16"/>
          <w:szCs w:val="16"/>
        </w:rPr>
      </w:pPr>
      <w:r w:rsidRPr="00405303">
        <w:rPr>
          <w:bCs/>
          <w:color w:val="002060"/>
          <w:sz w:val="16"/>
          <w:szCs w:val="16"/>
        </w:rPr>
        <w:t xml:space="preserve">В сентябре 1915 г. прошли испытания «сухопутного корабля» на базе американского трактора «Булок», получившей наименование «№ 1 Линкольн», заказанной в июле фирме «Уильям Фостер энд Компани Лимитед» из Линкольна, занимавшуюся гусеничными </w:t>
      </w:r>
      <w:proofErr w:type="gramStart"/>
      <w:r w:rsidRPr="00405303">
        <w:rPr>
          <w:bCs/>
          <w:color w:val="002060"/>
          <w:sz w:val="16"/>
          <w:szCs w:val="16"/>
        </w:rPr>
        <w:t>тракторамию</w:t>
      </w:r>
      <w:proofErr w:type="gramEnd"/>
      <w:r w:rsidRPr="00405303">
        <w:rPr>
          <w:bCs/>
          <w:color w:val="002060"/>
          <w:sz w:val="16"/>
          <w:szCs w:val="16"/>
        </w:rPr>
        <w:t xml:space="preserve"> Однако их результат нельзя было назвать удачным. Оказалось, что ходовая часть трактора слаба для таких нагрузок, к тому же при переходе через траншеи нижняя ветвь гусеницы провисала, и она спадала. К концу ноября подготовили к испытаниям новый вариант машины, получившей прозвище «Маленький Вилли» (в честь одного из конструкторов — У. Вилсона). Ходовая </w:t>
      </w:r>
      <w:r w:rsidRPr="00405303">
        <w:rPr>
          <w:bCs/>
          <w:color w:val="002060"/>
          <w:sz w:val="16"/>
          <w:szCs w:val="16"/>
        </w:rPr>
        <w:lastRenderedPageBreak/>
        <w:t>часть получила гусеницу с жесткой подвеской. Корпус из листов котельной стали (не броневой) собрали на каркасе из уголков. В лобовой части было сделано крепление для 7,7-мм пулемета «Виккерс», а в бортах — лючки для стрельбы из личного оружия. В крыше было предусмотрено отверстие для установки башни. Карбюраторный двигатель мощностью 105 л. с. обеспечивал 18-тонной машине скорость хода не более 3,2 км/ч. Благодаря наличию колесного хвоста «Маленький Вилли» преодолевал ров шириной до 1,5 м («№ 1 Линкольн» только 1,2 м).</w:t>
      </w:r>
    </w:p>
    <w:p w14:paraId="2316CC74" w14:textId="77777777" w:rsidR="00DA51EA" w:rsidRPr="00405303" w:rsidRDefault="00DA51EA" w:rsidP="00C15251">
      <w:pPr>
        <w:jc w:val="both"/>
        <w:rPr>
          <w:bCs/>
          <w:color w:val="002060"/>
          <w:sz w:val="16"/>
          <w:szCs w:val="16"/>
        </w:rPr>
      </w:pPr>
      <w:r w:rsidRPr="00405303">
        <w:rPr>
          <w:bCs/>
          <w:color w:val="002060"/>
          <w:sz w:val="16"/>
          <w:szCs w:val="16"/>
        </w:rPr>
        <w:t>Командование британских войск во Франции настойчиво требовало, чтобы машина была способна переползти ров шириной 2,4 м и преодолеть стенку высотой 1,4 м! Чтобы удовлетворить данное требование, конструкторам пришлось полностью перепроектировать машину. Они решили максимально увеличить высоту зацепа гусеницы и нарастить ее длину, что давало возможность машине выбираться из широких окопов и преодолевать вертикальные препятствия. Верхнюю ветвь гусеницы пустили поверх корпуса, а направляющее колесо максимально вынесли вперед. В результате корпус машины получил ромбовидную форму. Из-за его большой высоты и соответственно высоко расположенного центра тяжести от поворотной башни на крыше пришлось отказаться. Вооружение спустили вниз, разместив «по-морскому» — в спонсонах (боковых выступах) на бортах (22787).</w:t>
      </w:r>
    </w:p>
    <w:p w14:paraId="3CAE5030" w14:textId="77777777" w:rsidR="00DA51EA" w:rsidRPr="00405303" w:rsidRDefault="00DA51EA" w:rsidP="00C15251">
      <w:pPr>
        <w:jc w:val="both"/>
        <w:rPr>
          <w:bCs/>
          <w:color w:val="002060"/>
          <w:sz w:val="16"/>
          <w:szCs w:val="16"/>
        </w:rPr>
      </w:pPr>
    </w:p>
    <w:p w14:paraId="1D62AF6F" w14:textId="77777777" w:rsidR="0073033D" w:rsidRPr="00CF03EC" w:rsidRDefault="0073033D" w:rsidP="0073033D">
      <w:pPr>
        <w:jc w:val="both"/>
        <w:rPr>
          <w:sz w:val="16"/>
          <w:szCs w:val="16"/>
        </w:rPr>
      </w:pPr>
      <w:r w:rsidRPr="00CF03EC">
        <w:rPr>
          <w:rStyle w:val="aa"/>
          <w:rFonts w:ascii="Times New Roman" w:hAnsi="Times New Roman"/>
          <w:spacing w:val="0"/>
          <w:sz w:val="16"/>
          <w:szCs w:val="16"/>
        </w:rPr>
        <w:t>В сентябре 1915 года кайзеровский флот заказал первые 12 дистанционно управ</w:t>
      </w:r>
      <w:r w:rsidRPr="00CF03EC">
        <w:rPr>
          <w:rStyle w:val="aa"/>
          <w:rFonts w:ascii="Times New Roman" w:hAnsi="Times New Roman"/>
          <w:spacing w:val="0"/>
          <w:sz w:val="16"/>
          <w:szCs w:val="16"/>
        </w:rPr>
        <w:softHyphen/>
        <w:t xml:space="preserve">ляемых катеров </w:t>
      </w:r>
      <w:r w:rsidRPr="00CF03EC">
        <w:rPr>
          <w:rStyle w:val="aa"/>
          <w:rFonts w:ascii="Times New Roman" w:hAnsi="Times New Roman"/>
          <w:spacing w:val="0"/>
          <w:sz w:val="16"/>
          <w:szCs w:val="16"/>
          <w:lang w:val="en-US"/>
        </w:rPr>
        <w:t>FL</w:t>
      </w:r>
      <w:r w:rsidRPr="00CF03EC">
        <w:rPr>
          <w:rStyle w:val="aa"/>
          <w:rFonts w:ascii="Times New Roman" w:hAnsi="Times New Roman"/>
          <w:spacing w:val="0"/>
          <w:sz w:val="16"/>
          <w:szCs w:val="16"/>
        </w:rPr>
        <w:t xml:space="preserve"> (</w:t>
      </w:r>
      <w:r w:rsidRPr="00CF03EC">
        <w:rPr>
          <w:rStyle w:val="aa"/>
          <w:rFonts w:ascii="Times New Roman" w:hAnsi="Times New Roman"/>
          <w:spacing w:val="0"/>
          <w:sz w:val="16"/>
          <w:szCs w:val="16"/>
          <w:lang w:val="en-US"/>
        </w:rPr>
        <w:t>Femlenkboot</w:t>
      </w:r>
      <w:r w:rsidRPr="00CF03EC">
        <w:rPr>
          <w:rStyle w:val="aa"/>
          <w:rFonts w:ascii="Times New Roman" w:hAnsi="Times New Roman"/>
          <w:spacing w:val="0"/>
          <w:sz w:val="16"/>
          <w:szCs w:val="16"/>
        </w:rPr>
        <w:t xml:space="preserve"> - лодка с дистанционным управлением). Эти единицы водоизмещением 6 т несли 230 кг взрывчатки и развивали скорость до 28-30 узлов. Управление осуществлялось с бе</w:t>
      </w:r>
      <w:r w:rsidRPr="00CF03EC">
        <w:rPr>
          <w:rStyle w:val="aa"/>
          <w:rFonts w:ascii="Times New Roman" w:hAnsi="Times New Roman"/>
          <w:spacing w:val="0"/>
          <w:sz w:val="16"/>
          <w:szCs w:val="16"/>
        </w:rPr>
        <w:softHyphen/>
        <w:t>рега через кабель длиной 20 км. Подрыв взрывчатки обеспечивался контактным взрывателем, сигналом по кабелю или при обрыве этого кабеля. Позже появи</w:t>
      </w:r>
      <w:r w:rsidRPr="00CF03EC">
        <w:rPr>
          <w:rStyle w:val="aa"/>
          <w:rFonts w:ascii="Times New Roman" w:hAnsi="Times New Roman"/>
          <w:spacing w:val="0"/>
          <w:sz w:val="16"/>
          <w:szCs w:val="16"/>
        </w:rPr>
        <w:softHyphen/>
        <w:t>лись системы, позволявшие осуществлять телеуправление сигналами, передавае</w:t>
      </w:r>
      <w:r w:rsidRPr="00CF03EC">
        <w:rPr>
          <w:rStyle w:val="aa"/>
          <w:rFonts w:ascii="Times New Roman" w:hAnsi="Times New Roman"/>
          <w:spacing w:val="0"/>
          <w:sz w:val="16"/>
          <w:szCs w:val="16"/>
        </w:rPr>
        <w:softHyphen/>
        <w:t>мыми по радиоканалу (25781).</w:t>
      </w:r>
    </w:p>
    <w:p w14:paraId="6DF1044C" w14:textId="77777777" w:rsidR="0073033D" w:rsidRPr="00CF03EC" w:rsidRDefault="0073033D" w:rsidP="0073033D">
      <w:pPr>
        <w:jc w:val="both"/>
        <w:rPr>
          <w:rStyle w:val="aa"/>
          <w:rFonts w:ascii="Times New Roman" w:hAnsi="Times New Roman"/>
          <w:spacing w:val="0"/>
          <w:sz w:val="16"/>
          <w:szCs w:val="16"/>
        </w:rPr>
      </w:pPr>
    </w:p>
    <w:p w14:paraId="204B319A"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7FBAACEB" w14:textId="77777777" w:rsidR="004B4E35" w:rsidRPr="00405303" w:rsidRDefault="004B4E35" w:rsidP="00C15251">
      <w:pPr>
        <w:pStyle w:val="a3"/>
        <w:jc w:val="both"/>
        <w:rPr>
          <w:bCs/>
          <w:color w:val="002060"/>
          <w:spacing w:val="0"/>
          <w:kern w:val="0"/>
          <w:position w:val="0"/>
          <w:sz w:val="16"/>
          <w:szCs w:val="16"/>
        </w:rPr>
      </w:pPr>
    </w:p>
    <w:p w14:paraId="4298726C" w14:textId="1078E00A" w:rsidR="004B4E35" w:rsidRPr="00405303" w:rsidRDefault="00B20A34"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сентябре - декабре 1915 г. в подготовительной комиссии по общим вопросам Особого совещания было обсуждено более десятка дел, связанных с выдачей заказов, ссуд, авансов, пособий авиационным заводам [РГВИА. Ф. 369. Оп. 8. Д. 73. Л. 3-6об. Перечень по воздухоплавательно-авиационным вопросам, обсуждавшимся в Подготовительной комиссии по общим вопросам.]. И число рассматриваемых дел, и объемы, выдаваемых заказов, в 1916 г. значительно возросли.</w:t>
      </w:r>
    </w:p>
    <w:p w14:paraId="6D6A7398" w14:textId="77777777" w:rsidR="004B4E35" w:rsidRPr="00405303" w:rsidRDefault="009E6F82" w:rsidP="00C15251">
      <w:pPr>
        <w:jc w:val="both"/>
        <w:rPr>
          <w:bCs/>
          <w:color w:val="002060"/>
          <w:sz w:val="16"/>
          <w:szCs w:val="16"/>
        </w:rPr>
      </w:pPr>
      <w:r w:rsidRPr="00405303">
        <w:rPr>
          <w:bCs/>
          <w:color w:val="002060"/>
          <w:sz w:val="16"/>
          <w:szCs w:val="16"/>
        </w:rPr>
        <w:t>Уже с конца 1915 г. решения Особого совещания по обороне о выдаче заказов на авиационное имущество подразумевали, а часто прямо указывали на необходимость постройки нового завода или расширения старого. Недаром в отчете УВВФ за 1916 г. указывалось: «Принимавшиеся в 1916 г. меры к обеспечению авиации и воздухоплавания аэропланами, моторами и материалами шли, главным образом, по пути насаждения соответствующей отечественной промышленности, дабы в возможно большей степени освободиться от необходимости прибегать к услугам заграничной промышленности» [РГВИА. Ф. 493. Оп. 4. Д. 337. Л. 4.].</w:t>
      </w:r>
    </w:p>
    <w:p w14:paraId="27E190AC" w14:textId="77777777" w:rsidR="004B4E35" w:rsidRPr="00405303" w:rsidRDefault="009E6F82" w:rsidP="00C15251">
      <w:pPr>
        <w:jc w:val="both"/>
        <w:rPr>
          <w:bCs/>
          <w:color w:val="002060"/>
          <w:sz w:val="16"/>
          <w:szCs w:val="16"/>
        </w:rPr>
      </w:pPr>
      <w:r w:rsidRPr="00405303">
        <w:rPr>
          <w:bCs/>
          <w:color w:val="002060"/>
          <w:sz w:val="16"/>
          <w:szCs w:val="16"/>
        </w:rPr>
        <w:t>Особую роль в расширении и налаживании работы отечественных авиационных предприятий сыграла созданная в июле 1916 г. подготовительная комиссия по авиационным вопросам Особого совещания по обороне, возглавлявшаяся И.В. Гурко. Комиссия занялась, прежде всего, выработкой программы отечественного авиастроения, включая развитие самолето- и моторостроительных заводов. До этого развитие авиационной промышленности шло в значительной мере стихийно, и организующим элементом были только программы снабжения армии авиаимуществом, которые определяли сумму заказов русским авиационным заводам. Программа развития авиационного дела в России обсуждалась на нескольких заседаниях подготовительной комиссии по авиационным вопросам в течение сентября - октября 1916 г. [РГВИА. Ф. 369. Оп. 8. Д. 74. Л. 1-17 об. Журнал авиационной комиссии от 8 и 19 сентября, 6, 12, 13, 19 и 24 октября 1916 г.]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мер, которые предлагались авиационной комиссией, были: создать возможности предприятиям использовать все имеющееся оборудование; увеличить оборудование действующих заводов; соорудить новые предприятия [Там же. Л. 8об.]. Решение первой задачи было сопряжено с 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аэроплановый и моторный заводы. Кроме того, в программе обращалось внимание на улучшение подготовки летных кадров и создание научного авиационного центра (так называемый Главный аэродром) [Там же. Л. 11об., 12-13.]. На заседании Особого совещания по обороне от 29 октября 1916 г. эта программа в целом была одобрена [Журналы Особого совещания по обороне государства. 1916 год. М., 1977. Вып. IV. С. 631-639.].</w:t>
      </w:r>
    </w:p>
    <w:p w14:paraId="1377D31B" w14:textId="77777777" w:rsidR="004B4E35" w:rsidRPr="00405303" w:rsidRDefault="009E6F82" w:rsidP="00C15251">
      <w:pPr>
        <w:jc w:val="both"/>
        <w:rPr>
          <w:bCs/>
          <w:color w:val="002060"/>
          <w:sz w:val="16"/>
          <w:szCs w:val="16"/>
        </w:rPr>
      </w:pPr>
      <w:r w:rsidRPr="00405303">
        <w:rPr>
          <w:bCs/>
          <w:color w:val="002060"/>
          <w:sz w:val="16"/>
          <w:szCs w:val="16"/>
        </w:rPr>
        <w:t>Выдача казенных заказов и специальные меры поддержки отечественной промышленности, безусловно, стимулировали развитие производства и заводское строительство в области авиации. Если перед войной было всего 11 авиационных заводов и мастерских, то на начало 1917 г. в России насчитывалось 14 самолетостроительных предприятий, на которых было занято около 12 тыс. рабочих; производство авиационных двигателей было налажено на 7 заводах, насчитывающих около 3,5 тыс. рабочих. Таким образом, всего на 21 русском авиационном предприятии трудилось 15,5 тыс. рабочих [В число заводов не входят недостроенные предприятия. Количество заводов и численность рабочих установлены на основе подсчетов данных заводских совещаний и сведений УВВФ. РГВИА. Ф. 369. Оп. 1. Д. 471, 568; Там же. Оп. 8. Д. 43, 51; Там же. Оп. 21. Д. 145; Там же. Ф. 493. Оп. 9. Д. 493.]. Суммарная средняя производительность аэроплановых заводов в месяц в конце 1916 г. составляла 200 аппаратов (довоенная - 40), а моторных - около 100 двигателей (против 10-15 до войны) [РГВИА. Ф. 369. Оп. 8. Д. 74. Л. 18-18об.]. Попытаемся раскрыть эти обобщенные данные на материалах отдельных предприятий и истории их развития в 1915 - 1917 гг.</w:t>
      </w:r>
    </w:p>
    <w:p w14:paraId="76EA6442" w14:textId="77777777" w:rsidR="004B4E35" w:rsidRPr="00405303" w:rsidRDefault="009E6F82" w:rsidP="00C15251">
      <w:pPr>
        <w:jc w:val="both"/>
        <w:rPr>
          <w:bCs/>
          <w:color w:val="002060"/>
          <w:sz w:val="16"/>
          <w:szCs w:val="16"/>
        </w:rPr>
      </w:pPr>
      <w:r w:rsidRPr="00405303">
        <w:rPr>
          <w:bCs/>
          <w:color w:val="002060"/>
          <w:sz w:val="16"/>
          <w:szCs w:val="16"/>
        </w:rPr>
        <w:t xml:space="preserve">В годы войны значительно расширились, используя прямую финансовую поддержку казны, предприятия акционерного общества воздухоплавания «В. А. Лебедев», учрежденного в 1913 г. одним из первых авиаторов России. Обществу первоначально принадлежало два завода в Петербурге - самолетостроительный и завод по производству воздушных винтов «Интеграл».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 [Там же. Ф. 493. Оп. 9. Д. 56. Л. 200.] В 1916 г. на самолетостроительном заводе имелись деревообделочный, механический, слесарный, сварочный, сборочный, малярный, сушильный цеха, столярная мастерская. В них трудилось около 1500 рабочих.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иностранных марок (Вуазен, Моран-Солье, Депердюссен) с применением двигателя «Сальмсон». Производительность завода к середине 1917 г. достигла 40-50 аппаратов в месяц (против 10 до войны) [Там же. Ф. 369. Оп. 8. Д. 74. Л. 18.], однако и при этом общество имело задолженность по выполнению контрактов. </w:t>
      </w:r>
    </w:p>
    <w:p w14:paraId="191533B0" w14:textId="77777777" w:rsidR="004B4E35" w:rsidRPr="00405303" w:rsidRDefault="009E6F82" w:rsidP="00C15251">
      <w:pPr>
        <w:jc w:val="both"/>
        <w:rPr>
          <w:bCs/>
          <w:color w:val="002060"/>
          <w:sz w:val="16"/>
          <w:szCs w:val="16"/>
        </w:rPr>
      </w:pPr>
      <w:r w:rsidRPr="00405303">
        <w:rPr>
          <w:bCs/>
          <w:color w:val="002060"/>
          <w:sz w:val="16"/>
          <w:szCs w:val="16"/>
        </w:rPr>
        <w:t>Еще в 1915 г. встал вопрос о более существенном расширении предприятия, но имеющаяся территория в Петрограде этого не позволяла. Осенью того же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[Там же. Ф. 493. Оп. 9. Д. 56.].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м2. Экономический кризис 1917 г. не позволил полностью закончить строительство и особенно оборудование новых филиалов. Наиболее законченный из них, Таганрогский стал впоследствии основой крупнейшего авиационного завода им. Димитрова.</w:t>
      </w:r>
    </w:p>
    <w:p w14:paraId="5D6C9637" w14:textId="77777777" w:rsidR="004B4E35" w:rsidRPr="00405303" w:rsidRDefault="009E6F82" w:rsidP="00C15251">
      <w:pPr>
        <w:jc w:val="both"/>
        <w:rPr>
          <w:bCs/>
          <w:color w:val="002060"/>
          <w:sz w:val="16"/>
          <w:szCs w:val="16"/>
        </w:rPr>
      </w:pPr>
      <w:r w:rsidRPr="00405303">
        <w:rPr>
          <w:bCs/>
          <w:color w:val="002060"/>
          <w:sz w:val="16"/>
          <w:szCs w:val="16"/>
        </w:rPr>
        <w:lastRenderedPageBreak/>
        <w:t>К числу первых самолетостроительных предприятий в России относился завод акционерного общества «Дукс», учрежденного в 1900 г. по инициативе Ю.А. Меллера. 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w:t>
      </w:r>
    </w:p>
    <w:p w14:paraId="29CBAD6C" w14:textId="77777777" w:rsidR="004B4E35" w:rsidRPr="00405303" w:rsidRDefault="009E6F82" w:rsidP="00C15251">
      <w:pPr>
        <w:jc w:val="both"/>
        <w:rPr>
          <w:bCs/>
          <w:color w:val="002060"/>
          <w:sz w:val="16"/>
          <w:szCs w:val="16"/>
        </w:rPr>
      </w:pPr>
      <w:r w:rsidRPr="00405303">
        <w:rPr>
          <w:bCs/>
          <w:color w:val="002060"/>
          <w:sz w:val="16"/>
          <w:szCs w:val="16"/>
        </w:rPr>
        <w:t>Контракты, заключенные заводом в 1916 г., потребовали его дальнейшего расширения. К концу года на предприятии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w:t>
      </w:r>
    </w:p>
    <w:p w14:paraId="05C8E23A" w14:textId="77777777" w:rsidR="004B4E35" w:rsidRPr="00405303" w:rsidRDefault="009E6F82" w:rsidP="00C15251">
      <w:pPr>
        <w:jc w:val="both"/>
        <w:rPr>
          <w:bCs/>
          <w:color w:val="002060"/>
          <w:sz w:val="16"/>
          <w:szCs w:val="16"/>
        </w:rPr>
      </w:pPr>
      <w:r w:rsidRPr="00405303">
        <w:rPr>
          <w:bCs/>
          <w:color w:val="002060"/>
          <w:sz w:val="16"/>
          <w:szCs w:val="16"/>
        </w:rPr>
        <w:t>К расширению производства, в том числе и через новое строительство, стремились и другие российские самолетостроительные заводы. Известный своими достижениями в области гидроавиации Петроградский завод Товарищества С.С. Щетинина на основании решения Особого совещания по обороне (ноябрь 1915 г.)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предприятие в 1917 г. получило заказ военного ведомства на поставку 180 «Спадов», его выполнение не началось, так как не прибыло оборудование, заказанное в США [Там же. Ф. 493. Оп. 4. Д. 51. Л. 3; Там же. Оп. 9. Д. 41. Л. 14об., 16об.].</w:t>
      </w:r>
    </w:p>
    <w:p w14:paraId="069B8452" w14:textId="77777777" w:rsidR="004B4E35" w:rsidRPr="00405303" w:rsidRDefault="009E6F82" w:rsidP="00C15251">
      <w:pPr>
        <w:jc w:val="both"/>
        <w:rPr>
          <w:bCs/>
          <w:color w:val="002060"/>
          <w:sz w:val="16"/>
          <w:szCs w:val="16"/>
        </w:rPr>
      </w:pPr>
      <w:r w:rsidRPr="00405303">
        <w:rPr>
          <w:bCs/>
          <w:color w:val="002060"/>
          <w:sz w:val="16"/>
          <w:szCs w:val="16"/>
        </w:rPr>
        <w:t>Ведущим в группе южно-российских предприятий был авиационный завод банкира А.А. Анатра в Одессе. В годы войны на заводе были сделаны новые постройки, установлено дополнительно 200 станков. Одесский завод целиком работал на фронт. Расширение предприятия происходило в соответствии с казенными заказами и при материальной поддержке со стороны военного ведомства. С целью получения более значительных новых заказов А.А. Анатра осуществил постройку нового завода в Симферополе с аэропланным и моторным отделениями. Сооружение предприятия началось в феврале 1916 г. В выстроенных механическом, деревообделочном и сборочном цехах было установлено 150 станков.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[Там же. Ф. 493. Оп. 9. Л. 89; Там же. Д. 56. Л. 200.].</w:t>
      </w:r>
    </w:p>
    <w:p w14:paraId="172FE893" w14:textId="77777777" w:rsidR="004B4E35" w:rsidRPr="00405303" w:rsidRDefault="009E6F82" w:rsidP="00C15251">
      <w:pPr>
        <w:jc w:val="both"/>
        <w:rPr>
          <w:bCs/>
          <w:color w:val="002060"/>
          <w:sz w:val="16"/>
          <w:szCs w:val="16"/>
        </w:rPr>
      </w:pPr>
      <w:r w:rsidRPr="00405303">
        <w:rPr>
          <w:bCs/>
          <w:color w:val="002060"/>
          <w:sz w:val="16"/>
          <w:szCs w:val="16"/>
        </w:rPr>
        <w:t>Благодаря регулярному получению правительственных заказов на изготовление учебных аппаратов, сопровождавшихся, как правило, выдачей 30- процентного аванса, в заводское предприятие превратилась авиационная мастерская В.В. Слюсаренко. В 1916 г. было учреждено акционерное общество Петроградского аэропланостроительного завода В.В. Слюсаренко, численность занятых рабочих на котором составляла около 300 человек. Была построена новая механическая мастерская, но оборудование предприятия оставалось незначительным [Там же. Оп. 4. Д. 84. Л. 1-8; Там же. Оп. 9. Д. 56. Л. 200.].</w:t>
      </w:r>
    </w:p>
    <w:p w14:paraId="23FA1E61" w14:textId="77777777" w:rsidR="004B4E35" w:rsidRPr="00405303" w:rsidRDefault="009E6F82" w:rsidP="00C15251">
      <w:pPr>
        <w:jc w:val="both"/>
        <w:rPr>
          <w:bCs/>
          <w:color w:val="002060"/>
          <w:sz w:val="16"/>
          <w:szCs w:val="16"/>
        </w:rPr>
      </w:pPr>
      <w:r w:rsidRPr="00405303">
        <w:rPr>
          <w:bCs/>
          <w:color w:val="002060"/>
          <w:sz w:val="16"/>
          <w:szCs w:val="16"/>
        </w:rPr>
        <w:t>В годы войны открылся ряд новых самолетостроительных предприятий, получавших заказы на изготовление аппаратов: московские мастерские летчика-спортсмена, проектировщика, итальянца Ф. Моска, А.А. Пороховщикова, торгового дома Безобразова, технической конторы «И.И. Стеглау», товарищества Липецких аэропланостроительных мастерских [РГВИА. Ф. 493. Оп. 9. Д. 56. Л. 200; Там же. Ф. 369. Оп. 8. Д. 74. Л. 18; Там же. Ф. 493. Оп. 4. Д. 384; Там же. Д. 56. Л. 200; Там же. Ф. 369. Оп. 8. Д. 74. Л. 18.] (11863).</w:t>
      </w:r>
    </w:p>
    <w:p w14:paraId="4D6C33F2" w14:textId="77777777" w:rsidR="004B4E35" w:rsidRPr="00405303" w:rsidRDefault="004B4E35" w:rsidP="00C15251">
      <w:pPr>
        <w:jc w:val="both"/>
        <w:rPr>
          <w:bCs/>
          <w:color w:val="002060"/>
          <w:sz w:val="16"/>
          <w:szCs w:val="16"/>
        </w:rPr>
      </w:pPr>
    </w:p>
    <w:p w14:paraId="26E26D43" w14:textId="77777777" w:rsidR="003C0649" w:rsidRPr="00B52707" w:rsidRDefault="003C0649" w:rsidP="003C0649">
      <w:pPr>
        <w:jc w:val="both"/>
        <w:rPr>
          <w:color w:val="0070C0"/>
          <w:sz w:val="16"/>
          <w:szCs w:val="16"/>
        </w:rPr>
      </w:pPr>
      <w:r w:rsidRPr="00B52707">
        <w:rPr>
          <w:color w:val="0070C0"/>
          <w:sz w:val="16"/>
          <w:szCs w:val="16"/>
        </w:rPr>
        <w:t>С сентября 1915 по октябрь 1917 г. только в Особом совещании по обороне государства вопросы авиастроения рассматривались 65 раз, а осенью 1916 г. в его составе была создана подготовительная комиссия по авиационным вопросам. Выступая на одном из заседаний Особого совещания по обороне, М.В. Родзянко указал, что «несмотря на то, что война продолжается уже третий год, развитие русской авиации продолжается по-прежнему слабо..., и неблагоприятное соотношение наших авиационных сил с неприятельскими не подвергалось сколько-нибудь изменению в нашу пользу»45. К началу 1916 г. в русской авиации насчитывалось 360 машин, а в немецкой – 1 600 (Дузь П.Д. История воздухоплавания и авиации в России (июль 1914 г. – октябрь 1917 г.). М., 1989. С. 9) (25601).</w:t>
      </w:r>
    </w:p>
    <w:p w14:paraId="57865FA8" w14:textId="77777777" w:rsidR="003C0649" w:rsidRPr="00B52707" w:rsidRDefault="003C0649" w:rsidP="003C0649">
      <w:pPr>
        <w:jc w:val="both"/>
        <w:rPr>
          <w:color w:val="0070C0"/>
          <w:sz w:val="16"/>
          <w:szCs w:val="16"/>
        </w:rPr>
      </w:pPr>
    </w:p>
    <w:p w14:paraId="4B11BA68" w14:textId="77777777" w:rsidR="004F1A2E" w:rsidRPr="00405303" w:rsidRDefault="004F1A2E" w:rsidP="00C15251">
      <w:pPr>
        <w:jc w:val="both"/>
        <w:rPr>
          <w:bCs/>
          <w:i/>
          <w:color w:val="002060"/>
          <w:sz w:val="16"/>
          <w:szCs w:val="16"/>
        </w:rPr>
      </w:pPr>
      <w:r w:rsidRPr="00405303">
        <w:rPr>
          <w:bCs/>
          <w:i/>
          <w:color w:val="002060"/>
          <w:sz w:val="16"/>
          <w:szCs w:val="16"/>
        </w:rPr>
        <w:t>Самолетостроение:</w:t>
      </w:r>
    </w:p>
    <w:p w14:paraId="02290C6A" w14:textId="77777777" w:rsidR="004F1A2E" w:rsidRPr="00405303" w:rsidRDefault="004F1A2E" w:rsidP="00C15251">
      <w:pPr>
        <w:jc w:val="both"/>
        <w:rPr>
          <w:bCs/>
          <w:i/>
          <w:color w:val="002060"/>
          <w:sz w:val="16"/>
          <w:szCs w:val="16"/>
        </w:rPr>
      </w:pPr>
    </w:p>
    <w:p w14:paraId="7BCDEFCF" w14:textId="77777777" w:rsidR="004F1A2E" w:rsidRPr="00405303" w:rsidRDefault="004F1A2E" w:rsidP="00C15251">
      <w:pPr>
        <w:jc w:val="both"/>
        <w:rPr>
          <w:bCs/>
          <w:color w:val="002060"/>
          <w:sz w:val="16"/>
          <w:szCs w:val="16"/>
        </w:rPr>
      </w:pPr>
      <w:r w:rsidRPr="00405303">
        <w:rPr>
          <w:bCs/>
          <w:color w:val="002060"/>
          <w:sz w:val="16"/>
          <w:szCs w:val="16"/>
        </w:rPr>
        <w:t>Осенью 1915 г. сборка «Муромцев» опять остановилась. Из заказа на 32 самолета, намеченного к выполнению на этот год, удалось поставить в эскадру только четыре машины (№ 162, 164, 167 и 169). Корабль № 170 был разбит при сдаче на Корпусном аэродроме. Главной причиной невысоких характеристик большинства построенных в 1915 г. «Муромцев» явилось низкое качество поставленных на них английских двигателей «Санбим». И вообще производство воздушных гигантов тормозилось «моторным голодом». «Авиа-Балт» был связан по рукам и ногам поставками двигателей из-за границы. Во время войны это было непростым делом. На «Муромцах» различных серий и модификаций стояло пятнадцать типов двигателей, что весьма осложняло эксплуатацию самолетов (15127).</w:t>
      </w:r>
    </w:p>
    <w:p w14:paraId="2675C5F9" w14:textId="77777777" w:rsidR="004F1A2E" w:rsidRPr="00405303" w:rsidRDefault="004F1A2E" w:rsidP="00C15251">
      <w:pPr>
        <w:jc w:val="both"/>
        <w:rPr>
          <w:bCs/>
          <w:color w:val="002060"/>
          <w:sz w:val="16"/>
          <w:szCs w:val="16"/>
        </w:rPr>
      </w:pPr>
    </w:p>
    <w:p w14:paraId="0F38AFE9" w14:textId="77777777" w:rsidR="004F1A2E" w:rsidRPr="00405303" w:rsidRDefault="004F1A2E" w:rsidP="00C15251">
      <w:pPr>
        <w:pStyle w:val="22"/>
        <w:shd w:val="clear" w:color="auto" w:fill="auto"/>
        <w:spacing w:line="240" w:lineRule="auto"/>
        <w:ind w:firstLine="0"/>
        <w:jc w:val="both"/>
        <w:rPr>
          <w:bCs/>
          <w:color w:val="002060"/>
          <w:sz w:val="16"/>
          <w:szCs w:val="16"/>
        </w:rPr>
      </w:pPr>
      <w:r w:rsidRPr="00405303">
        <w:rPr>
          <w:bCs/>
          <w:color w:val="002060"/>
          <w:sz w:val="16"/>
          <w:szCs w:val="16"/>
        </w:rPr>
        <w:t>Осенью 1915 г. помимо серийных винтов Михаил Леонтьевич Григорашвили построил на заводе Мельцера еще ряд опытных, в том числе Г-6 для «Фармана-22 бис» с двигателем «Гном-Моносупап» мощностью 100 л. е., винты для «Моранов» и летающих лодок Григоровича (15740).</w:t>
      </w:r>
    </w:p>
    <w:p w14:paraId="0CC137F1" w14:textId="77777777" w:rsidR="004F1A2E" w:rsidRPr="00405303" w:rsidRDefault="004F1A2E" w:rsidP="00C15251">
      <w:pPr>
        <w:pStyle w:val="22"/>
        <w:shd w:val="clear" w:color="auto" w:fill="auto"/>
        <w:spacing w:line="240" w:lineRule="auto"/>
        <w:ind w:firstLine="0"/>
        <w:jc w:val="both"/>
        <w:rPr>
          <w:bCs/>
          <w:color w:val="002060"/>
          <w:sz w:val="16"/>
          <w:szCs w:val="16"/>
        </w:rPr>
      </w:pPr>
    </w:p>
    <w:p w14:paraId="6B8BD82A" w14:textId="77777777" w:rsidR="004F1A2E" w:rsidRPr="00405303" w:rsidRDefault="004F1A2E" w:rsidP="00C15251">
      <w:pPr>
        <w:jc w:val="both"/>
        <w:rPr>
          <w:bCs/>
          <w:color w:val="002060"/>
          <w:sz w:val="16"/>
          <w:szCs w:val="16"/>
        </w:rPr>
      </w:pPr>
      <w:r w:rsidRPr="00405303">
        <w:rPr>
          <w:bCs/>
          <w:color w:val="002060"/>
          <w:sz w:val="16"/>
          <w:szCs w:val="16"/>
        </w:rPr>
        <w:t xml:space="preserve">Осенью 1915 г. появились более тяжёлые, чем «Илья Муромец» самолёты. Почти все они были немецкими: </w:t>
      </w:r>
      <w:r w:rsidRPr="00405303">
        <w:rPr>
          <w:bCs/>
          <w:color w:val="002060"/>
          <w:sz w:val="16"/>
          <w:szCs w:val="16"/>
          <w:lang w:val="en-US"/>
        </w:rPr>
        <w:t>VGO</w:t>
      </w:r>
      <w:r w:rsidRPr="00405303">
        <w:rPr>
          <w:bCs/>
          <w:color w:val="002060"/>
          <w:sz w:val="16"/>
          <w:szCs w:val="16"/>
        </w:rPr>
        <w:t>.</w:t>
      </w:r>
      <w:r w:rsidRPr="00405303">
        <w:rPr>
          <w:bCs/>
          <w:color w:val="002060"/>
          <w:sz w:val="16"/>
          <w:szCs w:val="16"/>
          <w:lang w:val="en-US"/>
        </w:rPr>
        <w:t>I</w:t>
      </w:r>
      <w:r w:rsidRPr="00405303">
        <w:rPr>
          <w:bCs/>
          <w:color w:val="002060"/>
          <w:sz w:val="16"/>
          <w:szCs w:val="16"/>
        </w:rPr>
        <w:t xml:space="preserve">, </w:t>
      </w:r>
      <w:r w:rsidRPr="00405303">
        <w:rPr>
          <w:bCs/>
          <w:color w:val="002060"/>
          <w:sz w:val="16"/>
          <w:szCs w:val="16"/>
          <w:lang w:val="en-US"/>
        </w:rPr>
        <w:t>SiemensR</w:t>
      </w:r>
      <w:r w:rsidRPr="00405303">
        <w:rPr>
          <w:bCs/>
          <w:color w:val="002060"/>
          <w:sz w:val="16"/>
          <w:szCs w:val="16"/>
        </w:rPr>
        <w:t>.</w:t>
      </w:r>
      <w:r w:rsidRPr="00405303">
        <w:rPr>
          <w:bCs/>
          <w:color w:val="002060"/>
          <w:sz w:val="16"/>
          <w:szCs w:val="16"/>
          <w:lang w:val="en-US"/>
        </w:rPr>
        <w:t>II</w:t>
      </w:r>
      <w:r w:rsidRPr="00405303">
        <w:rPr>
          <w:bCs/>
          <w:color w:val="002060"/>
          <w:sz w:val="16"/>
          <w:szCs w:val="16"/>
        </w:rPr>
        <w:t xml:space="preserve"> и летающая лодка Клода Дорнье </w:t>
      </w:r>
      <w:r w:rsidRPr="00405303">
        <w:rPr>
          <w:bCs/>
          <w:color w:val="002060"/>
          <w:sz w:val="16"/>
          <w:szCs w:val="16"/>
          <w:lang w:val="en-US"/>
        </w:rPr>
        <w:t>Zeppelin</w:t>
      </w:r>
      <w:r w:rsidRPr="00405303">
        <w:rPr>
          <w:bCs/>
          <w:color w:val="002060"/>
          <w:sz w:val="16"/>
          <w:szCs w:val="16"/>
        </w:rPr>
        <w:t>-</w:t>
      </w:r>
      <w:r w:rsidRPr="00405303">
        <w:rPr>
          <w:bCs/>
          <w:color w:val="002060"/>
          <w:sz w:val="16"/>
          <w:szCs w:val="16"/>
          <w:lang w:val="en-US"/>
        </w:rPr>
        <w:t>LindauRs</w:t>
      </w:r>
      <w:r w:rsidRPr="00405303">
        <w:rPr>
          <w:bCs/>
          <w:color w:val="002060"/>
          <w:sz w:val="16"/>
          <w:szCs w:val="16"/>
        </w:rPr>
        <w:t>.</w:t>
      </w:r>
      <w:r w:rsidRPr="00405303">
        <w:rPr>
          <w:bCs/>
          <w:color w:val="002060"/>
          <w:sz w:val="16"/>
          <w:szCs w:val="16"/>
          <w:lang w:val="en-US"/>
        </w:rPr>
        <w:t>l</w:t>
      </w:r>
      <w:r w:rsidRPr="00405303">
        <w:rPr>
          <w:bCs/>
          <w:color w:val="002060"/>
          <w:sz w:val="16"/>
          <w:szCs w:val="16"/>
        </w:rPr>
        <w:t>, исключение составил только опытный триплан Вуазен. Успеху немецких само</w:t>
      </w:r>
      <w:r w:rsidRPr="00405303">
        <w:rPr>
          <w:bCs/>
          <w:color w:val="002060"/>
          <w:sz w:val="16"/>
          <w:szCs w:val="16"/>
        </w:rPr>
        <w:softHyphen/>
        <w:t xml:space="preserve">лётостроителей сильно способствовало наличие мощных моторов </w:t>
      </w:r>
      <w:r w:rsidRPr="00405303">
        <w:rPr>
          <w:bCs/>
          <w:color w:val="002060"/>
          <w:sz w:val="16"/>
          <w:szCs w:val="16"/>
          <w:lang w:val="en-US"/>
        </w:rPr>
        <w:t>Maybach</w:t>
      </w:r>
      <w:r w:rsidRPr="00405303">
        <w:rPr>
          <w:bCs/>
          <w:color w:val="002060"/>
          <w:sz w:val="16"/>
          <w:szCs w:val="16"/>
        </w:rPr>
        <w:t xml:space="preserve"> IV. Эти мото</w:t>
      </w:r>
      <w:r w:rsidRPr="00405303">
        <w:rPr>
          <w:bCs/>
          <w:color w:val="002060"/>
          <w:sz w:val="16"/>
          <w:szCs w:val="16"/>
        </w:rPr>
        <w:softHyphen/>
        <w:t>ры широко применялись на дирижаблях Цеппелина, и их «детские болезни» уже были устранены.</w:t>
      </w:r>
    </w:p>
    <w:p w14:paraId="6EF0A543" w14:textId="77777777" w:rsidR="004F1A2E" w:rsidRPr="00405303" w:rsidRDefault="004F1A2E" w:rsidP="00C15251">
      <w:pPr>
        <w:jc w:val="both"/>
        <w:rPr>
          <w:bCs/>
          <w:color w:val="002060"/>
          <w:sz w:val="16"/>
          <w:szCs w:val="16"/>
        </w:rPr>
      </w:pPr>
      <w:r w:rsidRPr="00405303">
        <w:rPr>
          <w:bCs/>
          <w:color w:val="002060"/>
          <w:sz w:val="16"/>
          <w:szCs w:val="16"/>
        </w:rPr>
        <w:t>Не менее важной проблемой сталоь недостаточно эффективное боевое применение тяжёлых бомбардировщиков. Частота полётов в Эскадре военных кораблей была крайне низкой: за всю войну несколько десятков самолётов совершили только 400 боевых выле</w:t>
      </w:r>
      <w:r w:rsidRPr="00405303">
        <w:rPr>
          <w:bCs/>
          <w:color w:val="002060"/>
          <w:sz w:val="16"/>
          <w:szCs w:val="16"/>
        </w:rPr>
        <w:softHyphen/>
        <w:t>тов.</w:t>
      </w:r>
    </w:p>
    <w:p w14:paraId="2100EBA9" w14:textId="77777777" w:rsidR="004F1A2E" w:rsidRPr="00405303" w:rsidRDefault="004F1A2E" w:rsidP="00C15251">
      <w:pPr>
        <w:jc w:val="both"/>
        <w:rPr>
          <w:bCs/>
          <w:color w:val="002060"/>
          <w:sz w:val="16"/>
          <w:szCs w:val="16"/>
        </w:rPr>
      </w:pPr>
      <w:r w:rsidRPr="00405303">
        <w:rPr>
          <w:bCs/>
          <w:color w:val="002060"/>
          <w:sz w:val="16"/>
          <w:szCs w:val="16"/>
        </w:rPr>
        <w:t>Если учесть, что на каждом бомбардировщике стояло по 4 двигателя, и что именно нехватка моторов ограничивала самолётостроение России, то получается, что те же двигатели, установленные на одномоторных самолётах, скорее всего, принесли бы боль</w:t>
      </w:r>
      <w:r w:rsidRPr="00405303">
        <w:rPr>
          <w:bCs/>
          <w:color w:val="002060"/>
          <w:sz w:val="16"/>
          <w:szCs w:val="16"/>
        </w:rPr>
        <w:softHyphen/>
        <w:t>ше пользы.</w:t>
      </w:r>
    </w:p>
    <w:p w14:paraId="3B5D70A9" w14:textId="77777777" w:rsidR="004F1A2E" w:rsidRPr="00405303" w:rsidRDefault="004F1A2E" w:rsidP="00C15251">
      <w:pPr>
        <w:jc w:val="both"/>
        <w:rPr>
          <w:bCs/>
          <w:color w:val="002060"/>
          <w:sz w:val="16"/>
          <w:szCs w:val="16"/>
        </w:rPr>
      </w:pPr>
      <w:r w:rsidRPr="00405303">
        <w:rPr>
          <w:bCs/>
          <w:color w:val="002060"/>
          <w:sz w:val="16"/>
          <w:szCs w:val="16"/>
        </w:rPr>
        <w:t xml:space="preserve">Подобные проблемы испытывали и немцы со своими 4-6 моторными </w:t>
      </w:r>
      <w:r w:rsidRPr="00405303">
        <w:rPr>
          <w:bCs/>
          <w:color w:val="002060"/>
          <w:sz w:val="16"/>
          <w:szCs w:val="16"/>
          <w:lang w:val="en-US"/>
        </w:rPr>
        <w:t>Riesenflugzeug</w:t>
      </w:r>
      <w:r w:rsidRPr="00405303">
        <w:rPr>
          <w:bCs/>
          <w:color w:val="002060"/>
          <w:sz w:val="16"/>
          <w:szCs w:val="16"/>
        </w:rPr>
        <w:t xml:space="preserve"> - «гигантскими самолётами» Сименса и Цеппелина. Пара боевых вылетов в месяц счита</w:t>
      </w:r>
      <w:r w:rsidRPr="00405303">
        <w:rPr>
          <w:bCs/>
          <w:color w:val="002060"/>
          <w:sz w:val="16"/>
          <w:szCs w:val="16"/>
        </w:rPr>
        <w:softHyphen/>
        <w:t>лась большим достижением. Вероятно, время многомоторных самолётов ещё не наступи</w:t>
      </w:r>
      <w:r w:rsidRPr="00405303">
        <w:rPr>
          <w:bCs/>
          <w:color w:val="002060"/>
          <w:sz w:val="16"/>
          <w:szCs w:val="16"/>
        </w:rPr>
        <w:softHyphen/>
        <w:t>ло, эта техника была слишком сложной для эффективной эксплуатации на фронте (15832).</w:t>
      </w:r>
    </w:p>
    <w:p w14:paraId="0AB7DB10" w14:textId="77777777" w:rsidR="004F1A2E" w:rsidRPr="00405303" w:rsidRDefault="004F1A2E" w:rsidP="00C15251">
      <w:pPr>
        <w:jc w:val="both"/>
        <w:rPr>
          <w:bCs/>
          <w:color w:val="002060"/>
          <w:sz w:val="16"/>
          <w:szCs w:val="16"/>
        </w:rPr>
      </w:pPr>
    </w:p>
    <w:p w14:paraId="13054379" w14:textId="77777777" w:rsidR="003C0649" w:rsidRPr="00B52707" w:rsidRDefault="003C0649" w:rsidP="003C0649">
      <w:pPr>
        <w:jc w:val="both"/>
        <w:rPr>
          <w:color w:val="0070C0"/>
          <w:sz w:val="16"/>
          <w:szCs w:val="16"/>
        </w:rPr>
      </w:pPr>
      <w:r w:rsidRPr="00B52707">
        <w:rPr>
          <w:color w:val="0070C0"/>
          <w:sz w:val="16"/>
          <w:szCs w:val="16"/>
        </w:rPr>
        <w:lastRenderedPageBreak/>
        <w:t>Осенью 1915 г. появилось временное технологическое окно в производстве воздушных кораб</w:t>
      </w:r>
      <w:r w:rsidRPr="00B52707">
        <w:rPr>
          <w:color w:val="0070C0"/>
          <w:sz w:val="16"/>
          <w:szCs w:val="16"/>
        </w:rPr>
        <w:softHyphen/>
        <w:t>лей «Илья Муромец». Директор Авиа-Балта М.Ф. Климиксеев предпринял все меры для ускорения работ по постройке серии С-16сер. Все свободные рабочие были переведены на сборку легких самолетов, трудились сверхурочно, в выходные и в праздничные дни. Однако повторявшиеся одна за другой забастовки свели на нет все эти усилия (25049).</w:t>
      </w:r>
    </w:p>
    <w:p w14:paraId="4BFA32F3" w14:textId="77777777" w:rsidR="003C0649" w:rsidRPr="00B52707" w:rsidRDefault="003C0649" w:rsidP="003C0649">
      <w:pPr>
        <w:jc w:val="both"/>
        <w:rPr>
          <w:color w:val="0070C0"/>
          <w:sz w:val="16"/>
          <w:szCs w:val="16"/>
        </w:rPr>
      </w:pPr>
    </w:p>
    <w:p w14:paraId="588184BE" w14:textId="77777777" w:rsidR="003C0649" w:rsidRPr="00B52707" w:rsidRDefault="003C0649" w:rsidP="003C0649">
      <w:pPr>
        <w:jc w:val="both"/>
        <w:rPr>
          <w:color w:val="0070C0"/>
          <w:sz w:val="16"/>
          <w:szCs w:val="16"/>
        </w:rPr>
      </w:pPr>
      <w:r w:rsidRPr="00B52707">
        <w:rPr>
          <w:color w:val="0070C0"/>
          <w:sz w:val="16"/>
          <w:szCs w:val="16"/>
        </w:rPr>
        <w:t>Осенью 1915 г. М.В. Шидловский согласился предоставить один из имеющихся в его распоряжении самолетов С-16 для переделки в морской истребитель. Морское ведомство выделило Авиа-Балту для этого двигатель «Рон-80» и пулемет «Виккерс». На заводе были приготовлены для истребителя поплавки по типу испытанных ранее на гидросамолете Сикорского С-5а. Переделкой С-16 (No. 155) в гидросамолет должен был руководить приехавший осенью 1915 г. с фронта в Петроград Г.И. Лавров. Он надеялся испытать свой синхронизатор, в первую очередь на морском истребителе (25049).</w:t>
      </w:r>
    </w:p>
    <w:p w14:paraId="7BCE5F83" w14:textId="77777777" w:rsidR="003C0649" w:rsidRPr="00B52707" w:rsidRDefault="003C0649" w:rsidP="003C0649">
      <w:pPr>
        <w:jc w:val="both"/>
        <w:rPr>
          <w:color w:val="0070C0"/>
          <w:sz w:val="16"/>
          <w:szCs w:val="16"/>
        </w:rPr>
      </w:pPr>
    </w:p>
    <w:p w14:paraId="37331369" w14:textId="77777777" w:rsidR="003C0649" w:rsidRPr="00B52707" w:rsidRDefault="003C0649" w:rsidP="003C0649">
      <w:pPr>
        <w:jc w:val="both"/>
        <w:rPr>
          <w:color w:val="0070C0"/>
          <w:sz w:val="16"/>
          <w:szCs w:val="16"/>
        </w:rPr>
      </w:pPr>
      <w:r w:rsidRPr="00B52707">
        <w:rPr>
          <w:color w:val="0070C0"/>
          <w:sz w:val="16"/>
          <w:szCs w:val="16"/>
        </w:rPr>
        <w:t>Осенью 1915 года ГВТУ для строившихся самолетов «Илья Муромец» закупило в Англии 40 двигателей этой марки. Но тогда они еще находились в стадии освоения и, как это часто бывало и до того, Россия получила от «верных» соратников по оружию крайне недоброкачественную продукцию.</w:t>
      </w:r>
    </w:p>
    <w:p w14:paraId="3D7C6F7F" w14:textId="77777777" w:rsidR="003C0649" w:rsidRPr="00B52707" w:rsidRDefault="003C0649" w:rsidP="003C0649">
      <w:pPr>
        <w:jc w:val="both"/>
        <w:rPr>
          <w:color w:val="0070C0"/>
          <w:sz w:val="16"/>
          <w:szCs w:val="16"/>
        </w:rPr>
      </w:pPr>
      <w:r w:rsidRPr="00B52707">
        <w:rPr>
          <w:color w:val="0070C0"/>
          <w:sz w:val="16"/>
          <w:szCs w:val="16"/>
        </w:rPr>
        <w:t>В поступивших из Англии двигателях имелись даже такие дефекты, как трещины в цилиндрах и перекос шатунов. Как утверждал член Государственной думы А. Ф. Половцев в записке, предназначенной авиационной комиссии Особого совещания по обороне государства, закупка таких моторов в Англии «явилась крупной ошибкой, затормозившей развитие эскадры «Муромцев». Более недоброкачественной работы, неудачного типа и неверности действия нельзя, кажется, дать на конкурс».</w:t>
      </w:r>
    </w:p>
    <w:p w14:paraId="69CE387F" w14:textId="77777777" w:rsidR="003C0649" w:rsidRPr="00B52707" w:rsidRDefault="003C0649" w:rsidP="003C0649">
      <w:pPr>
        <w:jc w:val="both"/>
        <w:rPr>
          <w:color w:val="0070C0"/>
          <w:sz w:val="16"/>
          <w:szCs w:val="16"/>
        </w:rPr>
      </w:pPr>
      <w:r w:rsidRPr="00B52707">
        <w:rPr>
          <w:color w:val="0070C0"/>
          <w:sz w:val="16"/>
          <w:szCs w:val="16"/>
        </w:rPr>
        <w:t>После 6-8 ч работы эти двигатели имели вид «сильно потрепанных» машин, валы быстро изнашивались или даже ломались. Смазка переставала функционировать, число оборотов значительно снижалось. Один экземпляр двигателя отличался от другого в своих высотных характеристиках. Крайне затруднялся запуск в условиях низких температур. Из-за несовершенства зажигания двигатели в полете часто отказывали</w:t>
      </w:r>
      <w:bookmarkStart w:id="260" w:name="chernomor-03-a"/>
      <w:bookmarkEnd w:id="260"/>
      <w:r w:rsidRPr="00B52707">
        <w:rPr>
          <w:color w:val="0070C0"/>
          <w:sz w:val="16"/>
          <w:szCs w:val="16"/>
        </w:rPr>
        <w:t>.</w:t>
      </w:r>
    </w:p>
    <w:p w14:paraId="275A466A" w14:textId="77777777" w:rsidR="003C0649" w:rsidRPr="00B52707" w:rsidRDefault="003C0649" w:rsidP="003C0649">
      <w:pPr>
        <w:jc w:val="both"/>
        <w:rPr>
          <w:color w:val="0070C0"/>
          <w:sz w:val="16"/>
          <w:szCs w:val="16"/>
        </w:rPr>
      </w:pPr>
      <w:r w:rsidRPr="00B52707">
        <w:rPr>
          <w:color w:val="0070C0"/>
          <w:sz w:val="16"/>
          <w:szCs w:val="16"/>
        </w:rPr>
        <w:t>Но по причине «моторного голода» в авиации воздухоплавателям выбирать не приходилось, и они были вынуждены довольствоваться теми моторами, которые имелись в наличии (25376).</w:t>
      </w:r>
    </w:p>
    <w:p w14:paraId="4D4C2806" w14:textId="77777777" w:rsidR="003C0649" w:rsidRPr="00B52707" w:rsidRDefault="003C0649" w:rsidP="003C0649">
      <w:pPr>
        <w:jc w:val="both"/>
        <w:rPr>
          <w:color w:val="0070C0"/>
          <w:sz w:val="16"/>
          <w:szCs w:val="16"/>
        </w:rPr>
      </w:pPr>
    </w:p>
    <w:p w14:paraId="4A5BBC38" w14:textId="77777777" w:rsidR="004F1A2E" w:rsidRPr="00405303" w:rsidRDefault="004F1A2E" w:rsidP="00C15251">
      <w:pPr>
        <w:pStyle w:val="22"/>
        <w:shd w:val="clear" w:color="auto" w:fill="auto"/>
        <w:spacing w:line="240" w:lineRule="auto"/>
        <w:ind w:firstLine="0"/>
        <w:jc w:val="both"/>
        <w:rPr>
          <w:bCs/>
          <w:color w:val="002060"/>
          <w:sz w:val="16"/>
          <w:szCs w:val="16"/>
        </w:rPr>
      </w:pPr>
      <w:r w:rsidRPr="00405303">
        <w:rPr>
          <w:bCs/>
          <w:color w:val="002060"/>
          <w:sz w:val="16"/>
          <w:szCs w:val="16"/>
        </w:rPr>
        <w:t>Осенью 1915 г. на фабрике Мельцер кроме винтов собственной конструкции М. Л. Григорашвили построил и несколько воздушных винтов по чертежам присланным для опыта из ГВТУ и других фирм, в частности два больших винт: для гиганта «Илья Муромец». Дело в том, что с расширением боевого приме нения авиации возросла потребность фронта не только в самолетах, но и в воздушных винтах. В. А. Лебедев открыл новый цех воздушных винтов при своем самолетостроительном заводе на Комендантском аэродроме в Петре граде и обещал наладить их производство на пензенском филиале. Однако прс изводственных возможностей заводов Лебедева было недостаточно для удовлетворения потребностей фронта. ГВТУ разослало в июле 1915 г. запрос: о предполагаемых ценах и на другие фирмы, изъявлявшие желание участвс вать в производстве воздушных винтов для русской авиации и доказавшие свою способность постройкой опытных образцов. Наиболее солидными по</w:t>
      </w:r>
      <w:r w:rsidRPr="00405303">
        <w:rPr>
          <w:bCs/>
          <w:color w:val="002060"/>
          <w:sz w:val="16"/>
          <w:szCs w:val="16"/>
        </w:rPr>
        <w:softHyphen/>
        <w:t>казались предложения фирм «Мельцер», «Засс», «Тарасов» и Московского аэротехнического завода. Решением исполнительного комитета Военного ми</w:t>
      </w:r>
      <w:r w:rsidRPr="00405303">
        <w:rPr>
          <w:bCs/>
          <w:color w:val="002060"/>
          <w:sz w:val="16"/>
          <w:szCs w:val="16"/>
        </w:rPr>
        <w:softHyphen/>
        <w:t>нистерства им были распределены заказы на 1916 г. (15740).</w:t>
      </w:r>
    </w:p>
    <w:p w14:paraId="3C508E28" w14:textId="77777777" w:rsidR="004F1A2E" w:rsidRPr="00405303" w:rsidRDefault="004F1A2E" w:rsidP="00C15251">
      <w:pPr>
        <w:pStyle w:val="22"/>
        <w:shd w:val="clear" w:color="auto" w:fill="auto"/>
        <w:spacing w:line="240" w:lineRule="auto"/>
        <w:ind w:firstLine="0"/>
        <w:jc w:val="both"/>
        <w:rPr>
          <w:bCs/>
          <w:color w:val="002060"/>
          <w:sz w:val="16"/>
          <w:szCs w:val="16"/>
        </w:rPr>
      </w:pPr>
    </w:p>
    <w:p w14:paraId="796A57E3" w14:textId="77777777" w:rsidR="004F1A2E" w:rsidRPr="00405303" w:rsidRDefault="004F1A2E" w:rsidP="00C15251">
      <w:pPr>
        <w:pStyle w:val="2"/>
        <w:spacing w:before="0" w:after="0"/>
        <w:jc w:val="both"/>
        <w:rPr>
          <w:b w:val="0"/>
          <w:bCs/>
          <w:color w:val="002060"/>
          <w:sz w:val="16"/>
          <w:szCs w:val="16"/>
        </w:rPr>
      </w:pPr>
      <w:r w:rsidRPr="00405303">
        <w:rPr>
          <w:b w:val="0"/>
          <w:bCs/>
          <w:color w:val="002060"/>
          <w:sz w:val="16"/>
          <w:szCs w:val="16"/>
        </w:rPr>
        <w:t xml:space="preserve">Осенью 1915 г. москвич купеческого сословия И.А.Энла предложил весьма смелый проект «геликоптера-бомбометателя». </w:t>
      </w:r>
      <w:proofErr w:type="gramStart"/>
      <w:r w:rsidRPr="00405303">
        <w:rPr>
          <w:b w:val="0"/>
          <w:bCs/>
          <w:color w:val="002060"/>
          <w:sz w:val="16"/>
          <w:szCs w:val="16"/>
        </w:rPr>
        <w:t>По сути</w:t>
      </w:r>
      <w:proofErr w:type="gramEnd"/>
      <w:r w:rsidRPr="00405303">
        <w:rPr>
          <w:b w:val="0"/>
          <w:bCs/>
          <w:color w:val="002060"/>
          <w:sz w:val="16"/>
          <w:szCs w:val="16"/>
        </w:rPr>
        <w:t xml:space="preserve"> речь шла о вертолете с несколькими винтами (не менее трех, из них два соосные), вращаемыми одним 100-сильным мотором. В описании содержалась и неудачная попытка аэродинамического расчета, фактически речь шла об отборе мощности на тот или другой винт (15464).</w:t>
      </w:r>
    </w:p>
    <w:p w14:paraId="4A20010F" w14:textId="3EB9A691" w:rsidR="00B20A34" w:rsidRPr="00405303" w:rsidRDefault="00B20A34" w:rsidP="00C15251">
      <w:pPr>
        <w:pStyle w:val="ae"/>
        <w:shd w:val="clear" w:color="auto" w:fill="FFFFFF"/>
        <w:spacing w:before="0" w:beforeAutospacing="0" w:after="0" w:afterAutospacing="0"/>
        <w:jc w:val="both"/>
        <w:rPr>
          <w:bCs/>
          <w:color w:val="002060"/>
          <w:sz w:val="16"/>
          <w:szCs w:val="16"/>
        </w:rPr>
      </w:pPr>
      <w:r w:rsidRPr="00405303">
        <w:rPr>
          <w:bCs/>
          <w:color w:val="002060"/>
          <w:sz w:val="16"/>
          <w:szCs w:val="16"/>
        </w:rPr>
        <w:t>Осенью 1915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w:t>
      </w:r>
      <w:r w:rsidRPr="00405303">
        <w:rPr>
          <w:bCs/>
          <w:color w:val="002060"/>
          <w:sz w:val="16"/>
          <w:szCs w:val="16"/>
          <w:shd w:val="clear" w:color="auto" w:fill="FFFFFF"/>
        </w:rPr>
        <w:t>РГВИА. Ф. 369. Оп. 9. Д. 56</w:t>
      </w:r>
      <w:r w:rsidRPr="00405303">
        <w:rPr>
          <w:bCs/>
          <w:color w:val="002060"/>
          <w:sz w:val="16"/>
          <w:szCs w:val="16"/>
        </w:rPr>
        <w:t>).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w:t>
      </w:r>
      <w:r w:rsidRPr="00405303">
        <w:rPr>
          <w:bCs/>
          <w:color w:val="002060"/>
          <w:sz w:val="16"/>
          <w:szCs w:val="16"/>
          <w:vertAlign w:val="superscript"/>
        </w:rPr>
        <w:t>2</w:t>
      </w:r>
      <w:r w:rsidRPr="00405303">
        <w:rPr>
          <w:bCs/>
          <w:color w:val="002060"/>
          <w:sz w:val="16"/>
          <w:szCs w:val="16"/>
        </w:rPr>
        <w:t>. Экономический кризис 1917 г. не позволил полностью закончить строительство и особенно оборудование новых филиалов.</w:t>
      </w:r>
      <w:r w:rsidR="000F5756">
        <w:rPr>
          <w:bCs/>
          <w:color w:val="002060"/>
          <w:sz w:val="16"/>
          <w:szCs w:val="16"/>
        </w:rPr>
        <w:t xml:space="preserve"> </w:t>
      </w:r>
      <w:r w:rsidRPr="00405303">
        <w:rPr>
          <w:bCs/>
          <w:color w:val="002060"/>
          <w:sz w:val="16"/>
          <w:szCs w:val="16"/>
        </w:rPr>
        <w:t>Наиболее законченный из них, Таганрогский стал впоследствии основой крупнейшего авиационного завода им. Димитрова (21552).</w:t>
      </w:r>
    </w:p>
    <w:p w14:paraId="48D56BB9" w14:textId="77777777" w:rsidR="00B20A34" w:rsidRPr="00405303" w:rsidRDefault="00B20A34" w:rsidP="00C15251">
      <w:pPr>
        <w:jc w:val="both"/>
        <w:rPr>
          <w:bCs/>
          <w:color w:val="002060"/>
          <w:sz w:val="16"/>
          <w:szCs w:val="16"/>
        </w:rPr>
      </w:pPr>
    </w:p>
    <w:p w14:paraId="287C32A4" w14:textId="77777777" w:rsidR="009E2354" w:rsidRPr="00B52707" w:rsidRDefault="009E2354" w:rsidP="009E2354">
      <w:pPr>
        <w:jc w:val="both"/>
        <w:rPr>
          <w:color w:val="0070C0"/>
          <w:sz w:val="16"/>
          <w:szCs w:val="16"/>
        </w:rPr>
      </w:pPr>
      <w:r w:rsidRPr="00B52707">
        <w:rPr>
          <w:color w:val="0070C0"/>
          <w:sz w:val="16"/>
          <w:szCs w:val="16"/>
        </w:rPr>
        <w:t>Осенью 1915 г. на петербургском авиазаводе Лебедева изготовили пулеметную установку весом 10 фунтов (4,1 кг) под американский пулемет «Кольт». Лебедев вскоре доложил начальству, что установка готова, но испытать ее не могут - нет патронов. Наконец, получив патроны, 11 октября провели испытания. Удавались только короткие очереди по 5-6 выстрелов, далее происходили задержки, так как из-затяжести патронной ленты тормозилась подача. Для ленты изготовили съемный медный барабан обтекаемой формы на 100-120 патронов весом 2-3 фунта. Пустая патронная лента собиралась в приемном ящике с правой стороны.</w:t>
      </w:r>
    </w:p>
    <w:p w14:paraId="3FAF9804" w14:textId="77777777" w:rsidR="009E2354" w:rsidRPr="00B52707" w:rsidRDefault="009E2354" w:rsidP="009E2354">
      <w:pPr>
        <w:jc w:val="both"/>
        <w:rPr>
          <w:color w:val="0070C0"/>
          <w:sz w:val="16"/>
          <w:szCs w:val="16"/>
        </w:rPr>
      </w:pPr>
      <w:r w:rsidRPr="00B52707">
        <w:rPr>
          <w:color w:val="0070C0"/>
          <w:sz w:val="16"/>
          <w:szCs w:val="16"/>
        </w:rPr>
        <w:t>Первоначально установка пулемета обеспечивала зону обстрела по вертикали вниз на 30°, вверх на 45°, а по горизонтали — влево на 30 и вправо на 15°. Военных приемщиков это не устраивало, и установка была выдвинута вперед, что дало сферу обстрела в 45° во все стороны. В ноябре пулеметная установка пошла в серийное производство и первые «Вуазены» с пулеметами стали поступать на фронт (25147).</w:t>
      </w:r>
    </w:p>
    <w:p w14:paraId="4E67B482" w14:textId="77777777" w:rsidR="009E2354" w:rsidRPr="00B52707" w:rsidRDefault="009E2354" w:rsidP="009E2354">
      <w:pPr>
        <w:jc w:val="both"/>
        <w:rPr>
          <w:color w:val="0070C0"/>
          <w:sz w:val="16"/>
          <w:szCs w:val="16"/>
        </w:rPr>
      </w:pPr>
    </w:p>
    <w:p w14:paraId="748420DC" w14:textId="77777777" w:rsidR="009E2354" w:rsidRPr="00B52707" w:rsidRDefault="009E2354" w:rsidP="009E2354">
      <w:pPr>
        <w:jc w:val="both"/>
        <w:rPr>
          <w:color w:val="0070C0"/>
          <w:sz w:val="16"/>
          <w:szCs w:val="16"/>
        </w:rPr>
      </w:pPr>
      <w:r w:rsidRPr="00B52707">
        <w:rPr>
          <w:color w:val="0070C0"/>
          <w:sz w:val="16"/>
          <w:szCs w:val="16"/>
        </w:rPr>
        <w:t>Осенью 1915 года лейтенант Г.И. Лавров был разработан и построен в мастерских ЭВК образец первого в России синхронизатора или, как тогда называли, приспособления для автоматической стрель</w:t>
      </w:r>
      <w:r w:rsidRPr="00B52707">
        <w:rPr>
          <w:color w:val="0070C0"/>
          <w:sz w:val="16"/>
          <w:szCs w:val="16"/>
        </w:rPr>
        <w:softHyphen/>
        <w:t>бы через винт. На синхронизатор АО РБВЗ получило от Министерства торговли и промышленности 1 декабря 1915 г. Охранное свидетельство.</w:t>
      </w:r>
    </w:p>
    <w:p w14:paraId="0BED8CE3" w14:textId="77777777" w:rsidR="009E2354" w:rsidRPr="00B52707" w:rsidRDefault="009E2354" w:rsidP="009E2354">
      <w:pPr>
        <w:jc w:val="both"/>
        <w:rPr>
          <w:color w:val="0070C0"/>
          <w:sz w:val="16"/>
          <w:szCs w:val="16"/>
        </w:rPr>
      </w:pPr>
      <w:r w:rsidRPr="00B52707">
        <w:rPr>
          <w:color w:val="0070C0"/>
          <w:sz w:val="16"/>
          <w:szCs w:val="16"/>
        </w:rPr>
        <w:t>Очень простой по конструкции синхронизатор Лав</w:t>
      </w:r>
      <w:r w:rsidRPr="00B52707">
        <w:rPr>
          <w:color w:val="0070C0"/>
          <w:sz w:val="16"/>
          <w:szCs w:val="16"/>
        </w:rPr>
        <w:softHyphen/>
        <w:t>рова показал при наземных испытаниях достаточную работоспособность и был доставлен в декабре 1915 г. на Авиа-Балт. Он предназначался для установки на переде</w:t>
      </w:r>
      <w:r w:rsidRPr="00B52707">
        <w:rPr>
          <w:color w:val="0070C0"/>
          <w:sz w:val="16"/>
          <w:szCs w:val="16"/>
        </w:rPr>
        <w:softHyphen/>
        <w:t>лываемый для морского ведомства С-16 ГВТУ, ознакомившись с синхронизатором, тот</w:t>
      </w:r>
      <w:r w:rsidRPr="00B52707">
        <w:rPr>
          <w:color w:val="0070C0"/>
          <w:sz w:val="16"/>
          <w:szCs w:val="16"/>
        </w:rPr>
        <w:softHyphen/>
        <w:t>час заключило с АО РБВЗ контракт на оснащение строящихся С-16 синхронизаторами Лаврова (25049).</w:t>
      </w:r>
    </w:p>
    <w:p w14:paraId="3342A8C6" w14:textId="77777777" w:rsidR="009E2354" w:rsidRPr="00B52707" w:rsidRDefault="009E2354" w:rsidP="009E2354">
      <w:pPr>
        <w:jc w:val="both"/>
        <w:rPr>
          <w:color w:val="0070C0"/>
          <w:sz w:val="16"/>
          <w:szCs w:val="16"/>
        </w:rPr>
      </w:pPr>
    </w:p>
    <w:p w14:paraId="1F517246" w14:textId="77777777" w:rsidR="009E2354" w:rsidRPr="00B52707" w:rsidRDefault="009E2354" w:rsidP="009E2354">
      <w:pPr>
        <w:jc w:val="both"/>
        <w:rPr>
          <w:color w:val="0070C0"/>
          <w:sz w:val="16"/>
          <w:szCs w:val="16"/>
        </w:rPr>
      </w:pPr>
      <w:r w:rsidRPr="00B52707">
        <w:rPr>
          <w:color w:val="0070C0"/>
          <w:sz w:val="16"/>
          <w:szCs w:val="16"/>
        </w:rPr>
        <w:t>Осенью 1915 г. произведен опыт бомбометания 410-килограммовой бомбы с ИМ (24965).</w:t>
      </w:r>
    </w:p>
    <w:p w14:paraId="12999FB4" w14:textId="77777777" w:rsidR="009E2354" w:rsidRPr="00B52707" w:rsidRDefault="009E2354" w:rsidP="009E2354">
      <w:pPr>
        <w:jc w:val="both"/>
        <w:rPr>
          <w:color w:val="0070C0"/>
          <w:sz w:val="16"/>
          <w:szCs w:val="16"/>
        </w:rPr>
      </w:pPr>
    </w:p>
    <w:p w14:paraId="32FB49C5" w14:textId="77777777" w:rsidR="00DA51EA" w:rsidRPr="00405303" w:rsidRDefault="00DA51EA" w:rsidP="00C15251">
      <w:pPr>
        <w:jc w:val="both"/>
        <w:rPr>
          <w:bCs/>
          <w:color w:val="002060"/>
          <w:sz w:val="16"/>
          <w:szCs w:val="16"/>
        </w:rPr>
      </w:pPr>
      <w:r w:rsidRPr="00405303">
        <w:rPr>
          <w:bCs/>
          <w:color w:val="002060"/>
          <w:sz w:val="16"/>
          <w:szCs w:val="16"/>
        </w:rPr>
        <w:t>Осенью 1915 года самолет «Илья Муромец» совершал экспериментальные полеты с 410-кг бомбой на внешней подвеске. Была также разработана 656-кг бомба, но на практике она не применялась (23011).</w:t>
      </w:r>
    </w:p>
    <w:p w14:paraId="6D49E29B" w14:textId="77777777" w:rsidR="00DA51EA" w:rsidRPr="00405303" w:rsidRDefault="00DA51EA" w:rsidP="00C15251">
      <w:pPr>
        <w:jc w:val="both"/>
        <w:rPr>
          <w:bCs/>
          <w:color w:val="002060"/>
          <w:sz w:val="16"/>
          <w:szCs w:val="16"/>
        </w:rPr>
      </w:pPr>
    </w:p>
    <w:p w14:paraId="05A62C83" w14:textId="77777777" w:rsidR="00DA51EA" w:rsidRPr="00405303" w:rsidRDefault="00DA51EA" w:rsidP="00C15251">
      <w:pPr>
        <w:pStyle w:val="ae"/>
        <w:shd w:val="clear" w:color="auto" w:fill="FFFFFF"/>
        <w:spacing w:before="0" w:beforeAutospacing="0" w:after="0" w:afterAutospacing="0"/>
        <w:jc w:val="both"/>
        <w:rPr>
          <w:bCs/>
          <w:color w:val="002060"/>
          <w:sz w:val="16"/>
          <w:szCs w:val="16"/>
        </w:rPr>
      </w:pPr>
      <w:r w:rsidRPr="00405303">
        <w:rPr>
          <w:bCs/>
          <w:color w:val="002060"/>
          <w:sz w:val="16"/>
          <w:szCs w:val="16"/>
        </w:rPr>
        <w:t>Осенью 1915 года произведён опыт бомбометания с ИМ крупнейшей в мире на тот момент 410-килограммовой бомбы (19957).</w:t>
      </w:r>
    </w:p>
    <w:p w14:paraId="53064287" w14:textId="77777777" w:rsidR="00DA51EA" w:rsidRPr="00405303" w:rsidRDefault="00DA51EA" w:rsidP="00C15251">
      <w:pPr>
        <w:pStyle w:val="ae"/>
        <w:shd w:val="clear" w:color="auto" w:fill="FFFFFF"/>
        <w:spacing w:before="0" w:beforeAutospacing="0" w:after="0" w:afterAutospacing="0"/>
        <w:jc w:val="both"/>
        <w:rPr>
          <w:bCs/>
          <w:color w:val="002060"/>
          <w:sz w:val="16"/>
          <w:szCs w:val="16"/>
        </w:rPr>
      </w:pPr>
    </w:p>
    <w:p w14:paraId="323323F0" w14:textId="77777777" w:rsidR="00DA51EA" w:rsidRPr="00405303" w:rsidRDefault="00DA51EA" w:rsidP="00C15251">
      <w:pPr>
        <w:pStyle w:val="af3"/>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Осенью 1915 сборку «Муромцев» приходилось останавливать (19963). Из заказа на 32 самолета, намеченного к выполнению на 1915 год, удалось поставить в эскадру только четыре машины (№ 162, 164, 167 и 169). Корабль № 170 был разбит при сдаче на Корпусном аэродроме (19963).</w:t>
      </w:r>
    </w:p>
    <w:p w14:paraId="6EF6816E" w14:textId="77777777" w:rsidR="00DA51EA" w:rsidRPr="00405303" w:rsidRDefault="00DA51EA" w:rsidP="00C15251">
      <w:pPr>
        <w:jc w:val="both"/>
        <w:rPr>
          <w:bCs/>
          <w:color w:val="002060"/>
          <w:sz w:val="16"/>
          <w:szCs w:val="16"/>
          <w:shd w:val="clear" w:color="auto" w:fill="FFFFFF"/>
        </w:rPr>
      </w:pPr>
    </w:p>
    <w:p w14:paraId="5BAF1F1A" w14:textId="77777777" w:rsidR="008E1C9A" w:rsidRPr="00405303" w:rsidRDefault="008E1C9A" w:rsidP="00C15251">
      <w:pPr>
        <w:jc w:val="both"/>
        <w:rPr>
          <w:bCs/>
          <w:color w:val="002060"/>
          <w:sz w:val="16"/>
          <w:szCs w:val="16"/>
        </w:rPr>
      </w:pPr>
      <w:r w:rsidRPr="00405303">
        <w:rPr>
          <w:bCs/>
          <w:color w:val="002060"/>
          <w:sz w:val="16"/>
          <w:szCs w:val="16"/>
        </w:rPr>
        <w:t>Осенью 1915 г. сборка "Муромцев" опять остановилась. Из заказа на 32 самолета, намеченного к выполнению на этот год, удалось поставить в эскадру только четыре машины (№ 162, 164, 167 и 169). Корабль № 170 был разбит при сдаче на Корпусном аэродроме (11230).</w:t>
      </w:r>
    </w:p>
    <w:p w14:paraId="68491038" w14:textId="77777777" w:rsidR="008E1C9A" w:rsidRPr="00405303" w:rsidRDefault="008E1C9A" w:rsidP="00C15251">
      <w:pPr>
        <w:jc w:val="both"/>
        <w:rPr>
          <w:bCs/>
          <w:color w:val="002060"/>
          <w:sz w:val="16"/>
          <w:szCs w:val="16"/>
        </w:rPr>
      </w:pPr>
    </w:p>
    <w:p w14:paraId="56002423" w14:textId="6B5E0E23" w:rsidR="008E1C9A" w:rsidRPr="00405303" w:rsidRDefault="008E1C9A" w:rsidP="00C15251">
      <w:pPr>
        <w:jc w:val="both"/>
        <w:rPr>
          <w:bCs/>
          <w:color w:val="002060"/>
          <w:sz w:val="16"/>
          <w:szCs w:val="16"/>
        </w:rPr>
      </w:pPr>
      <w:r w:rsidRPr="00405303">
        <w:rPr>
          <w:bCs/>
          <w:color w:val="002060"/>
          <w:sz w:val="16"/>
          <w:szCs w:val="16"/>
        </w:rPr>
        <w:t>Осенью 1915 г. Рижский завод, который начал наращивать выпуск двигателей, однако в связи с эвакуацией РБВЗ-6 было временно прекращено. Трудности с организацией производства собственных двигателей вынудили правление РБВЗ искать подходящие моторы за границей. В Москве было налажено по лицензии производство звездообразных двигателей воздушного охлаждения "Сальмсон", однако первый опыт их эксплуатации на "Муромцах" уже был, и от них отказались. Моторы отличались капризностью и большим лобовым сопротивлением. Ставить же капоты-обтекатели Сикорский не хотел, опасаясь перегрева двигателей и сложности доступа к ним в полете (11230).</w:t>
      </w:r>
    </w:p>
    <w:p w14:paraId="5E772CDA" w14:textId="77777777" w:rsidR="008E1C9A" w:rsidRPr="00405303" w:rsidRDefault="008E1C9A" w:rsidP="00C15251">
      <w:pPr>
        <w:jc w:val="both"/>
        <w:rPr>
          <w:bCs/>
          <w:color w:val="002060"/>
          <w:sz w:val="16"/>
          <w:szCs w:val="16"/>
        </w:rPr>
      </w:pPr>
    </w:p>
    <w:p w14:paraId="2CCDA23E" w14:textId="77777777" w:rsidR="00B20A34" w:rsidRPr="00405303" w:rsidRDefault="00B20A34"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Осенью 1915 г. расширению производства самолетов помешала эвакуация РБВЗ из Риги К этому времени удалось выпустить только первую партию авиадвигателей РБЗ-6 для "Муромцев". Завод эвакуировался в Тверь, Москву и Петроград. </w:t>
      </w:r>
      <w:proofErr w:type="gramStart"/>
      <w:r w:rsidRPr="00405303">
        <w:rPr>
          <w:bCs/>
          <w:i w:val="0"/>
          <w:color w:val="002060"/>
          <w:spacing w:val="0"/>
          <w:kern w:val="0"/>
          <w:position w:val="0"/>
          <w:sz w:val="16"/>
          <w:szCs w:val="16"/>
        </w:rPr>
        <w:t>По существу</w:t>
      </w:r>
      <w:proofErr w:type="gramEnd"/>
      <w:r w:rsidRPr="00405303">
        <w:rPr>
          <w:bCs/>
          <w:i w:val="0"/>
          <w:color w:val="002060"/>
          <w:spacing w:val="0"/>
          <w:kern w:val="0"/>
          <w:position w:val="0"/>
          <w:sz w:val="16"/>
          <w:szCs w:val="16"/>
        </w:rPr>
        <w:t xml:space="preserve"> возникли три отдельных предприятия. Постройку "Муромцев" продолжало петроградское отделение в кооперации с другими филиалами завода. В конце 1916 г. в авиационном отделении завода работало около двух тысяч рабочих и служащих. Мощности этого предприятия позволяли ежемесячно выпускать шесть многомоторных и 30-40 малых самолетов, однако производство "Муромцев" тормозилось из-за отсутствия достаточного количества двигателей, небьющихся стекол, специальных сортов стали. Попытка администрации завода приобрести в США необходимые станки для обработки деталей авиадвигателей окончилась неудачей. Правительство не согласилось предоставить валюту для оплаты заказа. Обвиняя завод в "бесхозяйственности", военное ведомство со своей стороны не оказало ему серьезной поддержки (11276).</w:t>
      </w:r>
    </w:p>
    <w:p w14:paraId="67D5F525" w14:textId="77777777" w:rsidR="00B20A34" w:rsidRPr="00405303" w:rsidRDefault="00B20A34" w:rsidP="00C15251">
      <w:pPr>
        <w:pStyle w:val="a3"/>
        <w:jc w:val="both"/>
        <w:rPr>
          <w:bCs/>
          <w:i w:val="0"/>
          <w:color w:val="002060"/>
          <w:spacing w:val="0"/>
          <w:kern w:val="0"/>
          <w:position w:val="0"/>
          <w:sz w:val="16"/>
          <w:szCs w:val="16"/>
        </w:rPr>
      </w:pPr>
    </w:p>
    <w:p w14:paraId="19ED7990" w14:textId="4439E567" w:rsidR="00B20A34" w:rsidRPr="00405303" w:rsidRDefault="008E1C9A" w:rsidP="00C15251">
      <w:pPr>
        <w:jc w:val="both"/>
        <w:rPr>
          <w:bCs/>
          <w:color w:val="002060"/>
          <w:sz w:val="16"/>
          <w:szCs w:val="16"/>
        </w:rPr>
      </w:pPr>
      <w:r w:rsidRPr="00405303">
        <w:rPr>
          <w:bCs/>
          <w:color w:val="002060"/>
          <w:sz w:val="16"/>
          <w:szCs w:val="16"/>
        </w:rPr>
        <w:t>О</w:t>
      </w:r>
      <w:r w:rsidR="00B20A34" w:rsidRPr="00405303">
        <w:rPr>
          <w:bCs/>
          <w:color w:val="002060"/>
          <w:sz w:val="16"/>
          <w:szCs w:val="16"/>
        </w:rPr>
        <w:t xml:space="preserve">сенью 1915 года </w:t>
      </w:r>
      <w:r w:rsidRPr="00405303">
        <w:rPr>
          <w:bCs/>
          <w:color w:val="002060"/>
          <w:sz w:val="16"/>
          <w:szCs w:val="16"/>
        </w:rPr>
        <w:t xml:space="preserve">эвакуация рижского завода РБВЗ </w:t>
      </w:r>
      <w:r w:rsidR="00B20A34" w:rsidRPr="00405303">
        <w:rPr>
          <w:bCs/>
          <w:color w:val="002060"/>
          <w:sz w:val="16"/>
          <w:szCs w:val="16"/>
        </w:rPr>
        <w:t xml:space="preserve">не позволила расширить выпуск </w:t>
      </w:r>
      <w:r w:rsidRPr="00405303">
        <w:rPr>
          <w:bCs/>
          <w:color w:val="002060"/>
          <w:sz w:val="16"/>
          <w:szCs w:val="16"/>
        </w:rPr>
        <w:t xml:space="preserve">шестицилиндровых рядных двигателей РБВЗ.6 (РБ3.6) в 150 л.с., разработанного под руководством инженера В.В. Киреева. </w:t>
      </w:r>
      <w:r w:rsidR="00B20A34" w:rsidRPr="00405303">
        <w:rPr>
          <w:bCs/>
          <w:color w:val="002060"/>
          <w:sz w:val="16"/>
          <w:szCs w:val="16"/>
        </w:rPr>
        <w:t>В Москве к этому времени наладили лицензионный выпуск "Сальмсонов" М9 в 150 л.с., но не слишком удачный опыт их эксплуатации на "Муромцах" из-за большого лобового сопротивления, привёл к отказу от их использования.</w:t>
      </w:r>
    </w:p>
    <w:p w14:paraId="465D469B" w14:textId="77777777" w:rsidR="00B20A34" w:rsidRPr="00405303" w:rsidRDefault="00B20A34" w:rsidP="00C15251">
      <w:pPr>
        <w:jc w:val="both"/>
        <w:rPr>
          <w:bCs/>
          <w:color w:val="002060"/>
          <w:sz w:val="16"/>
          <w:szCs w:val="16"/>
        </w:rPr>
      </w:pPr>
      <w:r w:rsidRPr="00405303">
        <w:rPr>
          <w:bCs/>
          <w:color w:val="002060"/>
          <w:sz w:val="16"/>
          <w:szCs w:val="16"/>
        </w:rPr>
        <w:t>Пока суть да дело, было решено закупить в Великобритании восьмицилиндровые V-образные двигатели водяного охлаждения "Санбим" в 150 л.с. На практике закупленные двигатели развивали не более 130 л.с., что заметно снижало боевые качества "Муромцев". В эксплуатации "Санбимы" оказались капризными и ненадёжными. Впервые установленные на них лобовые радиаторы заметно повышали сопротивление. Рекламации шли из Эскадры широким потоком, двигатели в массовом порядке отправлялись обратно на переборку и доработку. Но выбирать было не из чего...</w:t>
      </w:r>
    </w:p>
    <w:p w14:paraId="036A721E" w14:textId="77777777" w:rsidR="00B20A34" w:rsidRPr="00405303" w:rsidRDefault="00B20A34" w:rsidP="00C15251">
      <w:pPr>
        <w:jc w:val="both"/>
        <w:rPr>
          <w:bCs/>
          <w:color w:val="002060"/>
          <w:sz w:val="16"/>
          <w:szCs w:val="16"/>
        </w:rPr>
      </w:pPr>
      <w:r w:rsidRPr="00405303">
        <w:rPr>
          <w:bCs/>
          <w:color w:val="002060"/>
          <w:sz w:val="16"/>
          <w:szCs w:val="16"/>
        </w:rPr>
        <w:t>Шидловский и Сикорский решили пойти на изменение конструкции для улучшения лётных характеристик своих воздушных гигантов. Улучшения было решено добиваться двумя путями. Первый путь заключался в совершенствовании винтомоторной установки, второй - в совершенствовании самого самолёта.</w:t>
      </w:r>
    </w:p>
    <w:p w14:paraId="25A89927" w14:textId="77777777" w:rsidR="00B20A34" w:rsidRPr="00405303" w:rsidRDefault="00B20A34" w:rsidP="00C15251">
      <w:pPr>
        <w:jc w:val="both"/>
        <w:rPr>
          <w:bCs/>
          <w:color w:val="002060"/>
          <w:sz w:val="16"/>
          <w:szCs w:val="16"/>
        </w:rPr>
      </w:pPr>
      <w:r w:rsidRPr="00405303">
        <w:rPr>
          <w:bCs/>
          <w:color w:val="002060"/>
          <w:sz w:val="16"/>
          <w:szCs w:val="16"/>
        </w:rPr>
        <w:t>В первом направлении Сикорский решил уменьшить сопротивление двигательной установки и повысить КПД винтов. Во втором - увеличить площадь крыла и поддержать удельную нагрузку на крыло на прежнем уровне (12041).</w:t>
      </w:r>
    </w:p>
    <w:p w14:paraId="5008461B" w14:textId="77777777" w:rsidR="00B20A34" w:rsidRPr="00405303" w:rsidRDefault="00B20A34" w:rsidP="00C15251">
      <w:pPr>
        <w:jc w:val="both"/>
        <w:rPr>
          <w:bCs/>
          <w:color w:val="002060"/>
          <w:sz w:val="16"/>
          <w:szCs w:val="16"/>
        </w:rPr>
      </w:pPr>
    </w:p>
    <w:p w14:paraId="46CB837E" w14:textId="44706BA1" w:rsidR="00B20A34" w:rsidRPr="00405303" w:rsidRDefault="008E1C9A" w:rsidP="00C15251">
      <w:pPr>
        <w:jc w:val="both"/>
        <w:rPr>
          <w:bCs/>
          <w:color w:val="002060"/>
          <w:sz w:val="16"/>
          <w:szCs w:val="16"/>
        </w:rPr>
      </w:pPr>
      <w:r w:rsidRPr="00405303">
        <w:rPr>
          <w:bCs/>
          <w:color w:val="002060"/>
          <w:sz w:val="16"/>
          <w:szCs w:val="16"/>
        </w:rPr>
        <w:t>О</w:t>
      </w:r>
      <w:r w:rsidR="00B20A34" w:rsidRPr="00405303">
        <w:rPr>
          <w:bCs/>
          <w:color w:val="002060"/>
          <w:sz w:val="16"/>
          <w:szCs w:val="16"/>
        </w:rPr>
        <w:t xml:space="preserve">сенью 1915 г. </w:t>
      </w:r>
      <w:r w:rsidRPr="00405303">
        <w:rPr>
          <w:bCs/>
          <w:color w:val="002060"/>
          <w:sz w:val="16"/>
          <w:szCs w:val="16"/>
        </w:rPr>
        <w:t xml:space="preserve">производство смолетов и моторов на РБВЗ из-за вынужденной эвакуации Р-БВЗ из Риги в Петроград, Москву и Тверь, не остановилось. </w:t>
      </w:r>
      <w:r w:rsidR="00B20A34" w:rsidRPr="00405303">
        <w:rPr>
          <w:bCs/>
          <w:color w:val="002060"/>
          <w:sz w:val="16"/>
          <w:szCs w:val="16"/>
        </w:rPr>
        <w:t>По некоторым оценкам в начале 1917 г. завод мог выпускать до 6 многомоторных и 30-40 легких самолетов в месяц, но на деле про</w:t>
      </w:r>
      <w:r w:rsidR="00B20A34" w:rsidRPr="00405303">
        <w:rPr>
          <w:bCs/>
          <w:color w:val="002060"/>
          <w:sz w:val="16"/>
          <w:szCs w:val="16"/>
        </w:rPr>
        <w:softHyphen/>
        <w:t>мышленные возможности предприятия использовались не более, чем на 40%. Причиной тому, в частности, были непрекращавшиеся в высших военных сферах дискуссии о роли и месте тяжелых разведчиков-бомбардировщиков, интриги в деловых кругах и общая нехватка нужных авиадвигателей. Для устранения последней предпринималась попытка наладить изготовление собственных моторов, но она принесла лишь ограниченные результаты. В таком состоянии ком</w:t>
      </w:r>
      <w:r w:rsidR="00B20A34" w:rsidRPr="00405303">
        <w:rPr>
          <w:bCs/>
          <w:color w:val="002060"/>
          <w:sz w:val="16"/>
          <w:szCs w:val="16"/>
        </w:rPr>
        <w:softHyphen/>
        <w:t>пания встретила большевистский переворот и национализацию; при советской власти завод слал базой для возрождения авиационного производства в Петрограде, а затем Ленинграде, в то время как предприятия Щетинина, Лебедева, Мсльцсра и Григоровича оказались разорены и частично или полностью уничтожены. Преемником Р-БВЗ и ПРТВ явился ГАЗ №3 "Красный летчик", переименованный потом в Завод №23. Его деятельность началась с возобновления строительства летающих лодок типов М-5 и М-9, за которыми последовали новые модели; и 1941 г. работа была прервана эвакуацией в Омск (2843).</w:t>
      </w:r>
    </w:p>
    <w:p w14:paraId="0880571D" w14:textId="77777777" w:rsidR="00B20A34" w:rsidRPr="00405303" w:rsidRDefault="00B20A34" w:rsidP="00C15251">
      <w:pPr>
        <w:jc w:val="both"/>
        <w:rPr>
          <w:bCs/>
          <w:color w:val="002060"/>
          <w:sz w:val="16"/>
          <w:szCs w:val="16"/>
        </w:rPr>
      </w:pPr>
    </w:p>
    <w:p w14:paraId="3E9A9AF3" w14:textId="77777777" w:rsidR="00B20A34" w:rsidRPr="00405303" w:rsidRDefault="00B20A34" w:rsidP="00C15251">
      <w:pPr>
        <w:jc w:val="both"/>
        <w:rPr>
          <w:bCs/>
          <w:color w:val="002060"/>
          <w:sz w:val="16"/>
          <w:szCs w:val="16"/>
        </w:rPr>
      </w:pPr>
      <w:r w:rsidRPr="00405303">
        <w:rPr>
          <w:bCs/>
          <w:color w:val="002060"/>
          <w:sz w:val="16"/>
          <w:szCs w:val="16"/>
        </w:rPr>
        <w:t>Осенью 1915 г. появилось временное технологическое окно в производстве воздушных кораблей «Илья Муромец». Директор Авиа-Балта М. Ф. Климыссеев предпринял все меры для ускорения работ по построже серии С-16сер.Все свободные рабочие были переведены на сборку легких самолетов, трудились сверхурочно, в выходные и в праздничные дни. Однако повторявшиеся одна за другой забастовки свели на нет все эти усилия. К концу ноября стало очевидным, что к сроку удастся закончить от силы лишь четыре (Ко. 206- 209) из заказанных пятнадцати самолетов. Пришлось просить в ГВУ отсрочку, которая сопровождалась уплатой соответствующей неустойки. Только 4 января 1916 г. Авиа-Балт смог заявить о готовности представить к осмотру все 15 серийных самолетов С-16сер. Однако сдача их опять затянулась. Плохая погода прервала начатые 22 декабря 1915 г. прибывшим с фронта Г. И. Лавровым летно-сдаточные испытания самолетов. Во время одного из первых полетов на самолете Nо. 206 из-за сильных порывов ветра летчик не смог при посадке справиться с управлением. Самолет и двигатель были сильно повреждены и ремонтировались до марта1916 г. С отъездом Лаврова на фронт на заводе не осталось летчиков-сдатчиков. Ссылаясь на условия контракта (АО РБВЗ было обязано проводить сдаточные испытания с помощью заводских летчиков и за свой счет</w:t>
      </w:r>
      <w:proofErr w:type="gramStart"/>
      <w:r w:rsidRPr="00405303">
        <w:rPr>
          <w:bCs/>
          <w:color w:val="002060"/>
          <w:sz w:val="16"/>
          <w:szCs w:val="16"/>
        </w:rPr>
        <w:t>) ,</w:t>
      </w:r>
      <w:proofErr w:type="gramEnd"/>
      <w:r w:rsidRPr="00405303">
        <w:rPr>
          <w:bCs/>
          <w:color w:val="002060"/>
          <w:sz w:val="16"/>
          <w:szCs w:val="16"/>
        </w:rPr>
        <w:t xml:space="preserve"> ГВУ отказывалось предоставить своих летчиков. Несвоевременно поступали из ГВУ на завод и двигатели «Гном</w:t>
      </w:r>
      <w:proofErr w:type="gramStart"/>
      <w:r w:rsidRPr="00405303">
        <w:rPr>
          <w:bCs/>
          <w:color w:val="002060"/>
          <w:sz w:val="16"/>
          <w:szCs w:val="16"/>
        </w:rPr>
        <w:t>» .</w:t>
      </w:r>
      <w:proofErr w:type="gramEnd"/>
      <w:r w:rsidRPr="00405303">
        <w:rPr>
          <w:bCs/>
          <w:color w:val="002060"/>
          <w:sz w:val="16"/>
          <w:szCs w:val="16"/>
        </w:rPr>
        <w:t xml:space="preserve"> Кроме того, задержка поставок в армию С-16сер. способствовала и изменению взглядов на применение этих машин. В истории С-16 произошло важное событие -- расширилось назначение этого самолета. Если в середине 1915 г. «Сикорский маленький» , как иногда называли С-16 в войсках, предполагалось использовать в ЭВК в основном для тренировок летчиков воздушных кораблей, а также в качестве «разведчиков при намечаемых налетах Эскадры на определенные пункты» , то к концу этого года наметилось применение их в качестве истребителей на боевых базах для защиты воздушных кораблей против налетов неприятельского воздушного флота» . По новым утвержденным штатам ЭВК в ее составе предполагалось иметь теперь помимо 12 учебных аппаратов школы Эскадры еще по 14 легких самолетов (4 истребителя, 4разведчика и 6тренировочных) в составе каждого боевого отряда, число которых увеличилось с двух до трех. Подобно большинству других скаутов, С-16 превращался в классический одноместный истребитель. Он стал, таким образом, первым истребителем отечественной конструкции. Изменение назначения самолета С-16 ознаменовалось разработкой для него стационарного бортового вооружения. Одним из главных пропагандистов создания истребительной авиации в российском воздушном флоте был лейтенант Г, И. Лавров. В 1915 г. он сделал ряд предложений по созданию авиационного вооружения и формированию отрядов истребителей. Осенью этого года им был разработан и построен в мастерских ЭВК образец первого в России синхронизатора или, как тогда называли, приспособления для автоматической стрельбы через винт (11188).</w:t>
      </w:r>
    </w:p>
    <w:p w14:paraId="4C372495" w14:textId="77777777" w:rsidR="00B20A34" w:rsidRPr="00405303" w:rsidRDefault="00B20A34" w:rsidP="00C15251">
      <w:pPr>
        <w:jc w:val="both"/>
        <w:rPr>
          <w:bCs/>
          <w:color w:val="002060"/>
          <w:sz w:val="16"/>
          <w:szCs w:val="16"/>
        </w:rPr>
      </w:pPr>
    </w:p>
    <w:p w14:paraId="23EB92B8" w14:textId="240F20C2" w:rsidR="00B20A34" w:rsidRPr="00405303" w:rsidRDefault="008E1C9A" w:rsidP="00C15251">
      <w:pPr>
        <w:jc w:val="both"/>
        <w:rPr>
          <w:bCs/>
          <w:color w:val="002060"/>
          <w:sz w:val="16"/>
          <w:szCs w:val="16"/>
        </w:rPr>
      </w:pPr>
      <w:r w:rsidRPr="00405303">
        <w:rPr>
          <w:bCs/>
          <w:color w:val="002060"/>
          <w:sz w:val="16"/>
          <w:szCs w:val="16"/>
        </w:rPr>
        <w:t>О</w:t>
      </w:r>
      <w:r w:rsidR="00B20A34" w:rsidRPr="00405303">
        <w:rPr>
          <w:bCs/>
          <w:color w:val="002060"/>
          <w:sz w:val="16"/>
          <w:szCs w:val="16"/>
        </w:rPr>
        <w:t>сенью 1915 г. на "Муромце" с первыми отечественными авиационными двигателями РБВЗ-6 впервые в мире была поднята 25-пудовая учебная бомба 410 кг. Ни один самолет в мире не мог этого сделать (11230).</w:t>
      </w:r>
    </w:p>
    <w:p w14:paraId="1F6858B7" w14:textId="77777777" w:rsidR="00B20A34" w:rsidRPr="00405303" w:rsidRDefault="00B20A34" w:rsidP="00C15251">
      <w:pPr>
        <w:jc w:val="both"/>
        <w:rPr>
          <w:bCs/>
          <w:color w:val="002060"/>
          <w:sz w:val="16"/>
          <w:szCs w:val="16"/>
        </w:rPr>
      </w:pPr>
    </w:p>
    <w:p w14:paraId="01201CFB" w14:textId="77777777" w:rsidR="00B20A34" w:rsidRPr="00405303" w:rsidRDefault="00B20A34" w:rsidP="00C15251">
      <w:pPr>
        <w:jc w:val="both"/>
        <w:rPr>
          <w:bCs/>
          <w:color w:val="002060"/>
          <w:sz w:val="16"/>
          <w:szCs w:val="16"/>
        </w:rPr>
      </w:pPr>
      <w:r w:rsidRPr="00405303">
        <w:rPr>
          <w:bCs/>
          <w:color w:val="002060"/>
          <w:sz w:val="16"/>
          <w:szCs w:val="16"/>
        </w:rPr>
        <w:t>С осени 1915 г. интерес командования «легкой» авиации был сосредоточен на разрабатывающихся на Авиа-Балте малых самолетах. Вначале большое внимание привлекал двухмоторный истребитель С-18, но его доводка затянулась, и с января 1916 г. все надежды были связаны с вооруженным С-16. Его рекламе во многом способствовали восторженные отзывы летчиков ЭВК. Разумеется, среди них одним из самых активных пропагандистов «Сикорского-маленького» был Г. И. Лавров. Его друзья, летчики «легкой» авиации, такие как Е. Т. Крутень, К. К. Вакуловский и М. Г. Лерхе, заваливали свое начальство просьбами прислать им истребитель С-16 (11188).</w:t>
      </w:r>
    </w:p>
    <w:p w14:paraId="48047B03" w14:textId="77777777" w:rsidR="00B20A34" w:rsidRPr="00405303" w:rsidRDefault="00B20A34" w:rsidP="00C15251">
      <w:pPr>
        <w:jc w:val="both"/>
        <w:rPr>
          <w:bCs/>
          <w:color w:val="002060"/>
          <w:sz w:val="16"/>
          <w:szCs w:val="16"/>
        </w:rPr>
      </w:pPr>
    </w:p>
    <w:p w14:paraId="3A742DA8" w14:textId="77777777" w:rsidR="009E2354" w:rsidRPr="00B52707" w:rsidRDefault="009E2354" w:rsidP="009E2354">
      <w:pPr>
        <w:jc w:val="both"/>
        <w:rPr>
          <w:color w:val="0070C0"/>
          <w:sz w:val="16"/>
          <w:szCs w:val="16"/>
        </w:rPr>
      </w:pPr>
      <w:r w:rsidRPr="00B52707">
        <w:rPr>
          <w:color w:val="0070C0"/>
          <w:sz w:val="16"/>
          <w:szCs w:val="16"/>
        </w:rPr>
        <w:t>До осени 1915 года заграничные заготовки механи</w:t>
      </w:r>
      <w:r w:rsidRPr="00B52707">
        <w:rPr>
          <w:color w:val="0070C0"/>
          <w:sz w:val="16"/>
          <w:szCs w:val="16"/>
        </w:rPr>
        <w:softHyphen/>
        <w:t>ческих двигателей производились только вследствие требо</w:t>
      </w:r>
      <w:r w:rsidRPr="00B52707">
        <w:rPr>
          <w:color w:val="0070C0"/>
          <w:sz w:val="16"/>
          <w:szCs w:val="16"/>
        </w:rPr>
        <w:softHyphen/>
        <w:t>ваний с фронта. Никаких запасов этих двигателей не было, и потребность армии в период времени между требованием и его выполнением оставалась неудовлетворенною.</w:t>
      </w:r>
    </w:p>
    <w:p w14:paraId="16086292" w14:textId="77777777" w:rsidR="009E2354" w:rsidRPr="00B52707" w:rsidRDefault="009E2354" w:rsidP="009E2354">
      <w:pPr>
        <w:jc w:val="both"/>
        <w:rPr>
          <w:color w:val="0070C0"/>
          <w:sz w:val="16"/>
          <w:szCs w:val="16"/>
        </w:rPr>
      </w:pPr>
      <w:r w:rsidRPr="00B52707">
        <w:rPr>
          <w:color w:val="0070C0"/>
          <w:sz w:val="16"/>
          <w:szCs w:val="16"/>
        </w:rPr>
        <w:t>В виду этого, представилось необходимым принять меры к образованию некоторого запаса, из которого можно было бы без замедления удовлетворять потребности фронта. Вопрос об этом был возбужден генералом Милеаитом, который в конце сентября 1915 года был назначен вместо г. Роппа началь</w:t>
      </w:r>
      <w:r w:rsidRPr="00B52707">
        <w:rPr>
          <w:color w:val="0070C0"/>
          <w:sz w:val="16"/>
          <w:szCs w:val="16"/>
        </w:rPr>
        <w:softHyphen/>
        <w:t xml:space="preserve">ником ГВТУ. Он внес в </w:t>
      </w:r>
      <w:r w:rsidRPr="00B52707">
        <w:rPr>
          <w:color w:val="0070C0"/>
          <w:sz w:val="16"/>
          <w:szCs w:val="16"/>
        </w:rPr>
        <w:lastRenderedPageBreak/>
        <w:t>особое совещание для обсуждения и об'единения мероприятий по обороне государства пред</w:t>
      </w:r>
      <w:r w:rsidRPr="00B52707">
        <w:rPr>
          <w:color w:val="0070C0"/>
          <w:sz w:val="16"/>
          <w:szCs w:val="16"/>
        </w:rPr>
        <w:softHyphen/>
        <w:t>ставление от 8 ноября 1915 года за № 6584/4-57 о заготовке автомобильного имущества в потребность снабжения армий на срок до июня 1916 года.</w:t>
      </w:r>
    </w:p>
    <w:p w14:paraId="5ABA3B07" w14:textId="77777777" w:rsidR="009E2354" w:rsidRPr="00B52707" w:rsidRDefault="009E2354" w:rsidP="009E2354">
      <w:pPr>
        <w:jc w:val="both"/>
        <w:rPr>
          <w:color w:val="0070C0"/>
          <w:sz w:val="16"/>
          <w:szCs w:val="16"/>
        </w:rPr>
      </w:pPr>
      <w:r w:rsidRPr="00B52707">
        <w:rPr>
          <w:color w:val="0070C0"/>
          <w:sz w:val="16"/>
          <w:szCs w:val="16"/>
        </w:rPr>
        <w:t>Упомянув о недостаточности снабжения армии само- движущимися повозками до войны, г. Милеант в своем представлении об'яснил эту недостаточность тем, что хотя военное министерство, сознававшее громадное значение в военном деле механической автомобильной тяги, и намечало еще до войны в широких размерах применение самодвижущихся повозок в армии, однако, мероприятия в этой новой области снабжения армии отлагались и ставились в зависимость от финансовых средств государства, которые были недостаточны для удовлетворения разнообразных пот</w:t>
      </w:r>
      <w:r w:rsidRPr="00B52707">
        <w:rPr>
          <w:color w:val="0070C0"/>
          <w:sz w:val="16"/>
          <w:szCs w:val="16"/>
        </w:rPr>
        <w:softHyphen/>
        <w:t>ребностей по государственной обороне.</w:t>
      </w:r>
    </w:p>
    <w:p w14:paraId="35775A07" w14:textId="77777777" w:rsidR="009E2354" w:rsidRPr="00B52707" w:rsidRDefault="009E2354" w:rsidP="009E2354">
      <w:pPr>
        <w:jc w:val="both"/>
        <w:rPr>
          <w:color w:val="0070C0"/>
          <w:sz w:val="16"/>
          <w:szCs w:val="16"/>
        </w:rPr>
      </w:pPr>
      <w:r w:rsidRPr="00B52707">
        <w:rPr>
          <w:color w:val="0070C0"/>
          <w:sz w:val="16"/>
          <w:szCs w:val="16"/>
        </w:rPr>
        <w:t>Потребность армии в самодвяжущихся повозках, как видно из представления г. Милеанта, с начала войны до 1 мая 1915 года, определилась в таких цифрах: 9.748 авто</w:t>
      </w:r>
      <w:r w:rsidRPr="00B52707">
        <w:rPr>
          <w:color w:val="0070C0"/>
          <w:sz w:val="16"/>
          <w:szCs w:val="16"/>
        </w:rPr>
        <w:softHyphen/>
        <w:t>мобилей, 272 повозки, 6.152 мотоциктета и 7.200 самокатов; отправлено же было на фронт по 1 января 1916 года всего 7.035 автомобилей.</w:t>
      </w:r>
    </w:p>
    <w:p w14:paraId="3EC59A41" w14:textId="77777777" w:rsidR="009E2354" w:rsidRPr="00B52707" w:rsidRDefault="009E2354" w:rsidP="009E2354">
      <w:pPr>
        <w:jc w:val="both"/>
        <w:rPr>
          <w:color w:val="0070C0"/>
          <w:sz w:val="16"/>
          <w:szCs w:val="16"/>
        </w:rPr>
      </w:pPr>
      <w:r w:rsidRPr="00B52707">
        <w:rPr>
          <w:color w:val="0070C0"/>
          <w:sz w:val="16"/>
          <w:szCs w:val="16"/>
        </w:rPr>
        <w:t>Относительно определения размеров дальнейшей пот</w:t>
      </w:r>
      <w:r w:rsidRPr="00B52707">
        <w:rPr>
          <w:color w:val="0070C0"/>
          <w:sz w:val="16"/>
          <w:szCs w:val="16"/>
        </w:rPr>
        <w:softHyphen/>
        <w:t>ребности в самодвижущихся повозках ГВТУ в своем пред</w:t>
      </w:r>
      <w:r w:rsidRPr="00B52707">
        <w:rPr>
          <w:color w:val="0070C0"/>
          <w:sz w:val="16"/>
          <w:szCs w:val="16"/>
        </w:rPr>
        <w:softHyphen/>
        <w:t>ставлении привело следующие соображения: «Опыт минув</w:t>
      </w:r>
      <w:r w:rsidRPr="00B52707">
        <w:rPr>
          <w:color w:val="0070C0"/>
          <w:sz w:val="16"/>
          <w:szCs w:val="16"/>
        </w:rPr>
        <w:softHyphen/>
        <w:t>шего периода войны указал, что постепенное развитие воен</w:t>
      </w:r>
      <w:r w:rsidRPr="00B52707">
        <w:rPr>
          <w:color w:val="0070C0"/>
          <w:sz w:val="16"/>
          <w:szCs w:val="16"/>
        </w:rPr>
        <w:softHyphen/>
        <w:t>ных действий влечет за собой необходимость новых формиро</w:t>
      </w:r>
      <w:r w:rsidRPr="00B52707">
        <w:rPr>
          <w:color w:val="0070C0"/>
          <w:sz w:val="16"/>
          <w:szCs w:val="16"/>
        </w:rPr>
        <w:softHyphen/>
        <w:t>ваний в таких размерах, учесть которые заранее представ</w:t>
      </w:r>
      <w:r w:rsidRPr="00B52707">
        <w:rPr>
          <w:color w:val="0070C0"/>
          <w:sz w:val="16"/>
          <w:szCs w:val="16"/>
        </w:rPr>
        <w:softHyphen/>
        <w:t>ляется крайне затруднительным. Несомненно, однако, что потребность в механических средства^ связи при современ</w:t>
      </w:r>
      <w:r w:rsidRPr="00B52707">
        <w:rPr>
          <w:color w:val="0070C0"/>
          <w:sz w:val="16"/>
          <w:szCs w:val="16"/>
        </w:rPr>
        <w:softHyphen/>
        <w:t>ных условиях ведения войны будет постепенно возрастать. В то же цремя интенсивная служба автомобилей на фрон</w:t>
      </w:r>
      <w:r w:rsidRPr="00B52707">
        <w:rPr>
          <w:color w:val="0070C0"/>
          <w:sz w:val="16"/>
          <w:szCs w:val="16"/>
        </w:rPr>
        <w:softHyphen/>
        <w:t>тах должна, конечно, отразиться значительной убылью ма</w:t>
      </w:r>
      <w:r w:rsidRPr="00B52707">
        <w:rPr>
          <w:color w:val="0070C0"/>
          <w:sz w:val="16"/>
          <w:szCs w:val="16"/>
        </w:rPr>
        <w:softHyphen/>
        <w:t>шин или выводом их из строя па более или менее про</w:t>
      </w:r>
      <w:r w:rsidRPr="00B52707">
        <w:rPr>
          <w:color w:val="0070C0"/>
          <w:sz w:val="16"/>
          <w:szCs w:val="16"/>
        </w:rPr>
        <w:softHyphen/>
        <w:t>должительное время. Эти соображения обязывали озабо</w:t>
      </w:r>
      <w:r w:rsidRPr="00B52707">
        <w:rPr>
          <w:color w:val="0070C0"/>
          <w:sz w:val="16"/>
          <w:szCs w:val="16"/>
        </w:rPr>
        <w:softHyphen/>
        <w:t>титься образованием запаса, в годичную потребность такой емкости, которая обеспечивала бы возможность своевременного удовлетворения самых широких требований фронта».</w:t>
      </w:r>
    </w:p>
    <w:p w14:paraId="3DBB960A" w14:textId="77777777" w:rsidR="009E2354" w:rsidRPr="00B52707" w:rsidRDefault="009E2354" w:rsidP="009E2354">
      <w:pPr>
        <w:jc w:val="both"/>
        <w:rPr>
          <w:color w:val="0070C0"/>
          <w:sz w:val="16"/>
          <w:szCs w:val="16"/>
        </w:rPr>
      </w:pPr>
      <w:r w:rsidRPr="00B52707">
        <w:rPr>
          <w:color w:val="0070C0"/>
          <w:sz w:val="16"/>
          <w:szCs w:val="16"/>
        </w:rPr>
        <w:t>Как видно из рассматриваемого представления, эта потребность, согласно указаниям ГУГШ, определилась в сле</w:t>
      </w:r>
      <w:r w:rsidRPr="00B52707">
        <w:rPr>
          <w:color w:val="0070C0"/>
          <w:sz w:val="16"/>
          <w:szCs w:val="16"/>
        </w:rPr>
        <w:softHyphen/>
        <w:t>дующих цифрах:</w:t>
      </w:r>
    </w:p>
    <w:p w14:paraId="6077E316" w14:textId="77777777" w:rsidR="009E2354" w:rsidRPr="00B52707" w:rsidRDefault="009E2354" w:rsidP="009E2354">
      <w:pPr>
        <w:jc w:val="both"/>
        <w:rPr>
          <w:color w:val="0070C0"/>
          <w:sz w:val="16"/>
          <w:szCs w:val="16"/>
        </w:rPr>
      </w:pPr>
      <w:r w:rsidRPr="00B52707">
        <w:rPr>
          <w:color w:val="0070C0"/>
          <w:sz w:val="16"/>
          <w:szCs w:val="16"/>
        </w:rPr>
        <w:t>Автомобилей</w:t>
      </w:r>
      <w:r w:rsidRPr="00B52707">
        <w:rPr>
          <w:color w:val="0070C0"/>
          <w:sz w:val="16"/>
          <w:szCs w:val="16"/>
        </w:rPr>
        <w:tab/>
        <w:t xml:space="preserve"> 14578</w:t>
      </w:r>
    </w:p>
    <w:p w14:paraId="724F9A95" w14:textId="77777777" w:rsidR="009E2354" w:rsidRPr="00B52707" w:rsidRDefault="009E2354" w:rsidP="009E2354">
      <w:pPr>
        <w:jc w:val="both"/>
        <w:rPr>
          <w:color w:val="0070C0"/>
          <w:sz w:val="16"/>
          <w:szCs w:val="16"/>
        </w:rPr>
      </w:pPr>
      <w:r w:rsidRPr="00B52707">
        <w:rPr>
          <w:color w:val="0070C0"/>
          <w:sz w:val="16"/>
          <w:szCs w:val="16"/>
        </w:rPr>
        <w:t>Прицепных повозок</w:t>
      </w:r>
      <w:r w:rsidRPr="00B52707">
        <w:rPr>
          <w:color w:val="0070C0"/>
          <w:sz w:val="16"/>
          <w:szCs w:val="16"/>
        </w:rPr>
        <w:tab/>
        <w:t xml:space="preserve"> 196</w:t>
      </w:r>
    </w:p>
    <w:p w14:paraId="72EA2CEE" w14:textId="77777777" w:rsidR="009E2354" w:rsidRPr="00B52707" w:rsidRDefault="009E2354" w:rsidP="009E2354">
      <w:pPr>
        <w:jc w:val="both"/>
        <w:rPr>
          <w:color w:val="0070C0"/>
          <w:sz w:val="16"/>
          <w:szCs w:val="16"/>
        </w:rPr>
      </w:pPr>
      <w:r w:rsidRPr="00B52707">
        <w:rPr>
          <w:color w:val="0070C0"/>
          <w:sz w:val="16"/>
          <w:szCs w:val="16"/>
        </w:rPr>
        <w:t>Мотоциклетов</w:t>
      </w:r>
      <w:r w:rsidRPr="00B52707">
        <w:rPr>
          <w:color w:val="0070C0"/>
          <w:sz w:val="16"/>
          <w:szCs w:val="16"/>
        </w:rPr>
        <w:tab/>
        <w:t xml:space="preserve"> 10.303</w:t>
      </w:r>
    </w:p>
    <w:p w14:paraId="1CCA8865" w14:textId="77777777" w:rsidR="009E2354" w:rsidRPr="00B52707" w:rsidRDefault="009E2354" w:rsidP="009E2354">
      <w:pPr>
        <w:jc w:val="both"/>
        <w:rPr>
          <w:color w:val="0070C0"/>
          <w:sz w:val="16"/>
          <w:szCs w:val="16"/>
        </w:rPr>
      </w:pPr>
      <w:r w:rsidRPr="00B52707">
        <w:rPr>
          <w:color w:val="0070C0"/>
          <w:sz w:val="16"/>
          <w:szCs w:val="16"/>
        </w:rPr>
        <w:t>Самокатов</w:t>
      </w:r>
      <w:r w:rsidRPr="00B52707">
        <w:rPr>
          <w:color w:val="0070C0"/>
          <w:sz w:val="16"/>
          <w:szCs w:val="16"/>
        </w:rPr>
        <w:tab/>
        <w:t xml:space="preserve"> 16.705</w:t>
      </w:r>
    </w:p>
    <w:p w14:paraId="20DF4DC1" w14:textId="77777777" w:rsidR="009E2354" w:rsidRPr="00B52707" w:rsidRDefault="009E2354" w:rsidP="009E2354">
      <w:pPr>
        <w:jc w:val="both"/>
        <w:rPr>
          <w:color w:val="0070C0"/>
          <w:sz w:val="16"/>
          <w:szCs w:val="16"/>
        </w:rPr>
      </w:pPr>
      <w:r w:rsidRPr="00B52707">
        <w:rPr>
          <w:color w:val="0070C0"/>
          <w:sz w:val="16"/>
          <w:szCs w:val="16"/>
        </w:rPr>
        <w:t>Таким образом, для обеспечения армии с начала войны до 1 июня 1916 г. представилось необходимым заказать:</w:t>
      </w:r>
    </w:p>
    <w:p w14:paraId="31B6AE65" w14:textId="77777777" w:rsidR="009E2354" w:rsidRPr="00B52707" w:rsidRDefault="009E2354" w:rsidP="009E2354">
      <w:pPr>
        <w:jc w:val="both"/>
        <w:rPr>
          <w:color w:val="0070C0"/>
          <w:sz w:val="16"/>
          <w:szCs w:val="16"/>
        </w:rPr>
      </w:pPr>
      <w:r w:rsidRPr="00B52707">
        <w:rPr>
          <w:color w:val="0070C0"/>
          <w:sz w:val="16"/>
          <w:szCs w:val="16"/>
        </w:rPr>
        <w:t>Автомобилей</w:t>
      </w:r>
      <w:r w:rsidRPr="00B52707">
        <w:rPr>
          <w:color w:val="0070C0"/>
          <w:sz w:val="16"/>
          <w:szCs w:val="16"/>
        </w:rPr>
        <w:tab/>
        <w:t xml:space="preserve"> 24.526</w:t>
      </w:r>
      <w:r w:rsidRPr="00B52707">
        <w:rPr>
          <w:color w:val="0070C0"/>
          <w:sz w:val="16"/>
          <w:szCs w:val="16"/>
        </w:rPr>
        <w:tab/>
        <w:t>(9.748 + 14.778)</w:t>
      </w:r>
    </w:p>
    <w:p w14:paraId="484D24E5" w14:textId="77777777" w:rsidR="009E2354" w:rsidRPr="00B52707" w:rsidRDefault="009E2354" w:rsidP="009E2354">
      <w:pPr>
        <w:jc w:val="both"/>
        <w:rPr>
          <w:color w:val="0070C0"/>
          <w:sz w:val="16"/>
          <w:szCs w:val="16"/>
        </w:rPr>
      </w:pPr>
      <w:r w:rsidRPr="00B52707">
        <w:rPr>
          <w:color w:val="0070C0"/>
          <w:sz w:val="16"/>
          <w:szCs w:val="16"/>
        </w:rPr>
        <w:t>Прицепных повозок</w:t>
      </w:r>
      <w:r w:rsidRPr="00B52707">
        <w:rPr>
          <w:color w:val="0070C0"/>
          <w:sz w:val="16"/>
          <w:szCs w:val="16"/>
        </w:rPr>
        <w:tab/>
        <w:t xml:space="preserve"> 468</w:t>
      </w:r>
      <w:r w:rsidRPr="00B52707">
        <w:rPr>
          <w:color w:val="0070C0"/>
          <w:sz w:val="16"/>
          <w:szCs w:val="16"/>
        </w:rPr>
        <w:tab/>
        <w:t>(272 -р 196)</w:t>
      </w:r>
    </w:p>
    <w:p w14:paraId="528D349D" w14:textId="3F255437" w:rsidR="009E2354" w:rsidRPr="00B52707" w:rsidRDefault="009E2354" w:rsidP="009E2354">
      <w:pPr>
        <w:jc w:val="both"/>
        <w:rPr>
          <w:color w:val="0070C0"/>
          <w:sz w:val="16"/>
          <w:szCs w:val="16"/>
        </w:rPr>
      </w:pPr>
      <w:r w:rsidRPr="00B52707">
        <w:rPr>
          <w:color w:val="0070C0"/>
          <w:sz w:val="16"/>
          <w:szCs w:val="16"/>
        </w:rPr>
        <w:t>Мотоциклетов</w:t>
      </w:r>
      <w:r w:rsidRPr="00B52707">
        <w:rPr>
          <w:color w:val="0070C0"/>
          <w:sz w:val="16"/>
          <w:szCs w:val="16"/>
        </w:rPr>
        <w:tab/>
      </w:r>
      <w:r w:rsidR="000F5756">
        <w:rPr>
          <w:color w:val="0070C0"/>
          <w:sz w:val="16"/>
          <w:szCs w:val="16"/>
        </w:rPr>
        <w:t xml:space="preserve"> </w:t>
      </w:r>
      <w:r w:rsidRPr="00B52707">
        <w:rPr>
          <w:color w:val="0070C0"/>
          <w:sz w:val="16"/>
          <w:szCs w:val="16"/>
        </w:rPr>
        <w:t>16.455</w:t>
      </w:r>
      <w:r w:rsidRPr="00B52707">
        <w:rPr>
          <w:color w:val="0070C0"/>
          <w:sz w:val="16"/>
          <w:szCs w:val="16"/>
        </w:rPr>
        <w:tab/>
        <w:t>(6.152 -р 10.303)</w:t>
      </w:r>
    </w:p>
    <w:p w14:paraId="0E28598F" w14:textId="77777777" w:rsidR="009E2354" w:rsidRPr="00B52707" w:rsidRDefault="009E2354" w:rsidP="009E2354">
      <w:pPr>
        <w:jc w:val="both"/>
        <w:rPr>
          <w:color w:val="0070C0"/>
          <w:sz w:val="16"/>
          <w:szCs w:val="16"/>
        </w:rPr>
      </w:pPr>
      <w:r w:rsidRPr="00B52707">
        <w:rPr>
          <w:color w:val="0070C0"/>
          <w:sz w:val="16"/>
          <w:szCs w:val="16"/>
        </w:rPr>
        <w:t>Самокатов</w:t>
      </w:r>
      <w:r w:rsidRPr="00B52707">
        <w:rPr>
          <w:color w:val="0070C0"/>
          <w:sz w:val="16"/>
          <w:szCs w:val="16"/>
        </w:rPr>
        <w:tab/>
        <w:t xml:space="preserve"> 23.905</w:t>
      </w:r>
      <w:r w:rsidRPr="00B52707">
        <w:rPr>
          <w:color w:val="0070C0"/>
          <w:sz w:val="16"/>
          <w:szCs w:val="16"/>
        </w:rPr>
        <w:tab/>
        <w:t>(7.200 *Р 16.705)</w:t>
      </w:r>
    </w:p>
    <w:p w14:paraId="3D00735A" w14:textId="77777777" w:rsidR="009E2354" w:rsidRPr="00B52707" w:rsidRDefault="009E2354" w:rsidP="009E2354">
      <w:pPr>
        <w:jc w:val="both"/>
        <w:rPr>
          <w:color w:val="0070C0"/>
          <w:sz w:val="16"/>
          <w:szCs w:val="16"/>
        </w:rPr>
      </w:pPr>
      <w:r w:rsidRPr="00B52707">
        <w:rPr>
          <w:color w:val="0070C0"/>
          <w:sz w:val="16"/>
          <w:szCs w:val="16"/>
        </w:rPr>
        <w:t>В счет этой потребности до ноября 1915 г. было заказано:</w:t>
      </w:r>
    </w:p>
    <w:p w14:paraId="55562A92" w14:textId="77777777" w:rsidR="009E2354" w:rsidRPr="00B52707" w:rsidRDefault="009E2354" w:rsidP="009E2354">
      <w:pPr>
        <w:jc w:val="both"/>
        <w:rPr>
          <w:color w:val="0070C0"/>
          <w:sz w:val="16"/>
          <w:szCs w:val="16"/>
        </w:rPr>
      </w:pPr>
      <w:r w:rsidRPr="00B52707">
        <w:rPr>
          <w:color w:val="0070C0"/>
          <w:sz w:val="16"/>
          <w:szCs w:val="16"/>
        </w:rPr>
        <w:t>Автомобилей</w:t>
      </w:r>
      <w:r w:rsidRPr="00B52707">
        <w:rPr>
          <w:color w:val="0070C0"/>
          <w:sz w:val="16"/>
          <w:szCs w:val="16"/>
        </w:rPr>
        <w:tab/>
        <w:t xml:space="preserve"> 13.272</w:t>
      </w:r>
    </w:p>
    <w:p w14:paraId="65AC0BF0" w14:textId="62EE94D2" w:rsidR="009E2354" w:rsidRPr="00B52707" w:rsidRDefault="009E2354" w:rsidP="009E2354">
      <w:pPr>
        <w:jc w:val="both"/>
        <w:rPr>
          <w:color w:val="0070C0"/>
          <w:sz w:val="16"/>
          <w:szCs w:val="16"/>
        </w:rPr>
      </w:pPr>
      <w:r w:rsidRPr="00B52707">
        <w:rPr>
          <w:color w:val="0070C0"/>
          <w:sz w:val="16"/>
          <w:szCs w:val="16"/>
        </w:rPr>
        <w:t>Повозок</w:t>
      </w:r>
      <w:r w:rsidRPr="00B52707">
        <w:rPr>
          <w:color w:val="0070C0"/>
          <w:sz w:val="16"/>
          <w:szCs w:val="16"/>
        </w:rPr>
        <w:tab/>
      </w:r>
      <w:r w:rsidR="000F5756">
        <w:rPr>
          <w:color w:val="0070C0"/>
          <w:sz w:val="16"/>
          <w:szCs w:val="16"/>
        </w:rPr>
        <w:t xml:space="preserve"> </w:t>
      </w:r>
      <w:r w:rsidRPr="00B52707">
        <w:rPr>
          <w:color w:val="0070C0"/>
          <w:sz w:val="16"/>
          <w:szCs w:val="16"/>
        </w:rPr>
        <w:t>147</w:t>
      </w:r>
    </w:p>
    <w:p w14:paraId="1452DB6B" w14:textId="77777777" w:rsidR="009E2354" w:rsidRPr="00B52707" w:rsidRDefault="009E2354" w:rsidP="009E2354">
      <w:pPr>
        <w:jc w:val="both"/>
        <w:rPr>
          <w:color w:val="0070C0"/>
          <w:sz w:val="16"/>
          <w:szCs w:val="16"/>
        </w:rPr>
      </w:pPr>
      <w:r w:rsidRPr="00B52707">
        <w:rPr>
          <w:color w:val="0070C0"/>
          <w:sz w:val="16"/>
          <w:szCs w:val="16"/>
        </w:rPr>
        <w:t>Мотоциклетов</w:t>
      </w:r>
      <w:r w:rsidRPr="00B52707">
        <w:rPr>
          <w:color w:val="0070C0"/>
          <w:sz w:val="16"/>
          <w:szCs w:val="16"/>
        </w:rPr>
        <w:tab/>
        <w:t xml:space="preserve"> 6.418</w:t>
      </w:r>
    </w:p>
    <w:p w14:paraId="49B85A8F" w14:textId="77777777" w:rsidR="009E2354" w:rsidRPr="00B52707" w:rsidRDefault="009E2354" w:rsidP="009E2354">
      <w:pPr>
        <w:jc w:val="both"/>
        <w:rPr>
          <w:color w:val="0070C0"/>
          <w:sz w:val="16"/>
          <w:szCs w:val="16"/>
        </w:rPr>
      </w:pPr>
      <w:r w:rsidRPr="00B52707">
        <w:rPr>
          <w:color w:val="0070C0"/>
          <w:sz w:val="16"/>
          <w:szCs w:val="16"/>
        </w:rPr>
        <w:t>Самокатов</w:t>
      </w:r>
      <w:r w:rsidRPr="00B52707">
        <w:rPr>
          <w:color w:val="0070C0"/>
          <w:sz w:val="16"/>
          <w:szCs w:val="16"/>
        </w:rPr>
        <w:tab/>
        <w:t xml:space="preserve"> 15.823</w:t>
      </w:r>
    </w:p>
    <w:p w14:paraId="4076ECC0" w14:textId="77777777" w:rsidR="009E2354" w:rsidRPr="00B52707" w:rsidRDefault="009E2354" w:rsidP="009E2354">
      <w:pPr>
        <w:jc w:val="both"/>
        <w:rPr>
          <w:color w:val="0070C0"/>
          <w:sz w:val="16"/>
          <w:szCs w:val="16"/>
        </w:rPr>
      </w:pPr>
      <w:r w:rsidRPr="00B52707">
        <w:rPr>
          <w:color w:val="0070C0"/>
          <w:sz w:val="16"/>
          <w:szCs w:val="16"/>
        </w:rPr>
        <w:t>Следовательно, с ноября 1915 г. предстояло заготовить:</w:t>
      </w:r>
    </w:p>
    <w:p w14:paraId="2D65628F" w14:textId="77777777" w:rsidR="009E2354" w:rsidRPr="00B52707" w:rsidRDefault="009E2354" w:rsidP="009E2354">
      <w:pPr>
        <w:jc w:val="both"/>
        <w:rPr>
          <w:color w:val="0070C0"/>
          <w:sz w:val="16"/>
          <w:szCs w:val="16"/>
        </w:rPr>
      </w:pPr>
      <w:r w:rsidRPr="00B52707">
        <w:rPr>
          <w:color w:val="0070C0"/>
          <w:sz w:val="16"/>
          <w:szCs w:val="16"/>
        </w:rPr>
        <w:t>Автомобилей</w:t>
      </w:r>
      <w:r w:rsidRPr="00B52707">
        <w:rPr>
          <w:color w:val="0070C0"/>
          <w:sz w:val="16"/>
          <w:szCs w:val="16"/>
        </w:rPr>
        <w:tab/>
        <w:t xml:space="preserve"> 11.254</w:t>
      </w:r>
      <w:r w:rsidRPr="00B52707">
        <w:rPr>
          <w:color w:val="0070C0"/>
          <w:sz w:val="16"/>
          <w:szCs w:val="16"/>
        </w:rPr>
        <w:tab/>
        <w:t>(24.526 — 13.272)</w:t>
      </w:r>
    </w:p>
    <w:p w14:paraId="2582D580" w14:textId="77777777" w:rsidR="009E2354" w:rsidRPr="00B52707" w:rsidRDefault="009E2354" w:rsidP="009E2354">
      <w:pPr>
        <w:jc w:val="both"/>
        <w:rPr>
          <w:color w:val="0070C0"/>
          <w:sz w:val="16"/>
          <w:szCs w:val="16"/>
        </w:rPr>
      </w:pPr>
      <w:r w:rsidRPr="00B52707">
        <w:rPr>
          <w:color w:val="0070C0"/>
          <w:sz w:val="16"/>
          <w:szCs w:val="16"/>
        </w:rPr>
        <w:t>Повозок</w:t>
      </w:r>
      <w:r w:rsidRPr="00B52707">
        <w:rPr>
          <w:color w:val="0070C0"/>
          <w:sz w:val="16"/>
          <w:szCs w:val="16"/>
        </w:rPr>
        <w:tab/>
        <w:t xml:space="preserve"> 321</w:t>
      </w:r>
      <w:r w:rsidRPr="00B52707">
        <w:rPr>
          <w:color w:val="0070C0"/>
          <w:sz w:val="16"/>
          <w:szCs w:val="16"/>
        </w:rPr>
        <w:tab/>
        <w:t>(468 —147)</w:t>
      </w:r>
    </w:p>
    <w:p w14:paraId="27456944" w14:textId="77777777" w:rsidR="009E2354" w:rsidRPr="00B52707" w:rsidRDefault="009E2354" w:rsidP="009E2354">
      <w:pPr>
        <w:jc w:val="both"/>
        <w:rPr>
          <w:color w:val="0070C0"/>
          <w:sz w:val="16"/>
          <w:szCs w:val="16"/>
        </w:rPr>
      </w:pPr>
      <w:r w:rsidRPr="00B52707">
        <w:rPr>
          <w:color w:val="0070C0"/>
          <w:sz w:val="16"/>
          <w:szCs w:val="16"/>
        </w:rPr>
        <w:t>Мотоциклетов</w:t>
      </w:r>
      <w:r w:rsidRPr="00B52707">
        <w:rPr>
          <w:color w:val="0070C0"/>
          <w:sz w:val="16"/>
          <w:szCs w:val="16"/>
        </w:rPr>
        <w:tab/>
        <w:t xml:space="preserve"> 10.037.</w:t>
      </w:r>
      <w:r w:rsidRPr="00B52707">
        <w:rPr>
          <w:color w:val="0070C0"/>
          <w:sz w:val="16"/>
          <w:szCs w:val="16"/>
        </w:rPr>
        <w:tab/>
        <w:t>(16.455 — 6.418)</w:t>
      </w:r>
    </w:p>
    <w:p w14:paraId="2CE42068" w14:textId="77777777" w:rsidR="009E2354" w:rsidRPr="00B52707" w:rsidRDefault="009E2354" w:rsidP="009E2354">
      <w:pPr>
        <w:jc w:val="both"/>
        <w:rPr>
          <w:color w:val="0070C0"/>
          <w:sz w:val="16"/>
          <w:szCs w:val="16"/>
        </w:rPr>
      </w:pPr>
      <w:proofErr w:type="gramStart"/>
      <w:r w:rsidRPr="00B52707">
        <w:rPr>
          <w:color w:val="0070C0"/>
          <w:sz w:val="16"/>
          <w:szCs w:val="16"/>
        </w:rPr>
        <w:t>Самокатов .</w:t>
      </w:r>
      <w:proofErr w:type="gramEnd"/>
      <w:r w:rsidRPr="00B52707">
        <w:rPr>
          <w:color w:val="0070C0"/>
          <w:sz w:val="16"/>
          <w:szCs w:val="16"/>
        </w:rPr>
        <w:t>'</w:t>
      </w:r>
      <w:r w:rsidRPr="00B52707">
        <w:rPr>
          <w:color w:val="0070C0"/>
          <w:sz w:val="16"/>
          <w:szCs w:val="16"/>
        </w:rPr>
        <w:tab/>
        <w:t xml:space="preserve"> 8.082</w:t>
      </w:r>
      <w:r w:rsidRPr="00B52707">
        <w:rPr>
          <w:color w:val="0070C0"/>
          <w:sz w:val="16"/>
          <w:szCs w:val="16"/>
        </w:rPr>
        <w:tab/>
        <w:t>(23.905 — 15.823)</w:t>
      </w:r>
    </w:p>
    <w:p w14:paraId="46BC134B" w14:textId="77777777" w:rsidR="009E2354" w:rsidRPr="00B52707" w:rsidRDefault="009E2354" w:rsidP="009E2354">
      <w:pPr>
        <w:jc w:val="both"/>
        <w:rPr>
          <w:color w:val="0070C0"/>
          <w:sz w:val="16"/>
          <w:szCs w:val="16"/>
        </w:rPr>
      </w:pPr>
      <w:r w:rsidRPr="00B52707">
        <w:rPr>
          <w:color w:val="0070C0"/>
          <w:sz w:val="16"/>
          <w:szCs w:val="16"/>
        </w:rPr>
        <w:t>Стоимость этого имущества определялась приблизительно суммой в 163.742.700 руб. Если приложить к этой сумме 128.522.500 руб., израсходованных по ранее сделан</w:t>
      </w:r>
      <w:r w:rsidRPr="00B52707">
        <w:rPr>
          <w:color w:val="0070C0"/>
          <w:sz w:val="16"/>
          <w:szCs w:val="16"/>
        </w:rPr>
        <w:softHyphen/>
        <w:t>ным заготовкам, то оказывается, что расход для удовлетво</w:t>
      </w:r>
      <w:r w:rsidRPr="00B52707">
        <w:rPr>
          <w:color w:val="0070C0"/>
          <w:sz w:val="16"/>
          <w:szCs w:val="16"/>
        </w:rPr>
        <w:softHyphen/>
        <w:t>рения потребности армии в самодвижущихся повозках с на</w:t>
      </w:r>
      <w:r w:rsidRPr="00B52707">
        <w:rPr>
          <w:color w:val="0070C0"/>
          <w:sz w:val="16"/>
          <w:szCs w:val="16"/>
        </w:rPr>
        <w:softHyphen/>
        <w:t>чала войны до июня 1916 года определялся приблизительно суммою в 300.000.000 руб.</w:t>
      </w:r>
    </w:p>
    <w:p w14:paraId="383CF219" w14:textId="77777777" w:rsidR="009E2354" w:rsidRPr="00B52707" w:rsidRDefault="009E2354" w:rsidP="009E2354">
      <w:pPr>
        <w:jc w:val="both"/>
        <w:rPr>
          <w:color w:val="0070C0"/>
          <w:sz w:val="16"/>
          <w:szCs w:val="16"/>
        </w:rPr>
      </w:pPr>
      <w:r w:rsidRPr="00B52707">
        <w:rPr>
          <w:color w:val="0070C0"/>
          <w:sz w:val="16"/>
          <w:szCs w:val="16"/>
        </w:rPr>
        <w:t>Указанное количество самодвижущихся повозок, подле</w:t>
      </w:r>
      <w:r w:rsidRPr="00B52707">
        <w:rPr>
          <w:color w:val="0070C0"/>
          <w:sz w:val="16"/>
          <w:szCs w:val="16"/>
        </w:rPr>
        <w:softHyphen/>
        <w:t>жавшее заготовке на срок до 1 июня 1916 года, по мнению ГВТУ, не могло, однако, считаться исчерпывающим всю потребность армии за означенный период времени, в виду частых изменений характера и размера потребности армии, в связи с изменением условий борьбы па фронтах, а равно с изменением задач снабжения, указываемых верховным командованием (24023).</w:t>
      </w:r>
    </w:p>
    <w:p w14:paraId="1520785C" w14:textId="77777777" w:rsidR="009E2354" w:rsidRPr="00B52707" w:rsidRDefault="009E2354" w:rsidP="009E2354">
      <w:pPr>
        <w:jc w:val="both"/>
        <w:rPr>
          <w:color w:val="0070C0"/>
          <w:sz w:val="16"/>
          <w:szCs w:val="16"/>
        </w:rPr>
      </w:pPr>
    </w:p>
    <w:p w14:paraId="372821CF" w14:textId="77777777" w:rsidR="008E1C9A" w:rsidRPr="00405303" w:rsidRDefault="008E1C9A" w:rsidP="00C15251">
      <w:pPr>
        <w:jc w:val="both"/>
        <w:rPr>
          <w:bCs/>
          <w:color w:val="002060"/>
          <w:sz w:val="16"/>
          <w:szCs w:val="16"/>
        </w:rPr>
      </w:pPr>
      <w:r w:rsidRPr="00405303">
        <w:rPr>
          <w:bCs/>
          <w:color w:val="002060"/>
          <w:sz w:val="16"/>
          <w:szCs w:val="16"/>
        </w:rPr>
        <w:t>Осенью 1915 г. аппарат С-16 с заводским номером 155 устано</w:t>
      </w:r>
      <w:r w:rsidRPr="00405303">
        <w:rPr>
          <w:bCs/>
          <w:color w:val="002060"/>
          <w:sz w:val="16"/>
          <w:szCs w:val="16"/>
        </w:rPr>
        <w:softHyphen/>
        <w:t>вили на водное шасси такого же типа, как у модернизированного С-5а. При этом можно предположить, что всю затею инициировали сам изобретатель и его друзья, т.к. у коман</w:t>
      </w:r>
      <w:r w:rsidRPr="00405303">
        <w:rPr>
          <w:bCs/>
          <w:color w:val="002060"/>
          <w:sz w:val="16"/>
          <w:szCs w:val="16"/>
        </w:rPr>
        <w:softHyphen/>
        <w:t>дования морской авиации не имелось к этому времени никаких оснований питать излишний оптимизм по отношению к Р-БВЗ и его продукции. В.Б. Шавров утверждал, что в 1916 г. гидровариант С-16 был все же испытан, но не показал достойных результатов. Однако не</w:t>
      </w:r>
      <w:r w:rsidRPr="00405303">
        <w:rPr>
          <w:bCs/>
          <w:color w:val="002060"/>
          <w:sz w:val="16"/>
          <w:szCs w:val="16"/>
        </w:rPr>
        <w:softHyphen/>
        <w:t>ясно, был ли это тот же самолет с номером 155, назначенный ранее к подобным опытам, о которых ни единого слова в морских архивах не обнаружено (2843).</w:t>
      </w:r>
    </w:p>
    <w:p w14:paraId="19A5D8BE" w14:textId="77777777" w:rsidR="008E1C9A" w:rsidRPr="00405303" w:rsidRDefault="008E1C9A" w:rsidP="00C15251">
      <w:pPr>
        <w:jc w:val="both"/>
        <w:rPr>
          <w:bCs/>
          <w:color w:val="002060"/>
          <w:sz w:val="16"/>
          <w:szCs w:val="16"/>
        </w:rPr>
      </w:pPr>
    </w:p>
    <w:p w14:paraId="6EEFF3E9" w14:textId="3027A9E1" w:rsidR="00B20A34" w:rsidRPr="00405303" w:rsidRDefault="008E1C9A" w:rsidP="00C15251">
      <w:pPr>
        <w:shd w:val="clear" w:color="auto" w:fill="FFFFFF"/>
        <w:jc w:val="both"/>
        <w:rPr>
          <w:bCs/>
          <w:color w:val="002060"/>
          <w:sz w:val="16"/>
          <w:szCs w:val="16"/>
        </w:rPr>
      </w:pPr>
      <w:r w:rsidRPr="00405303">
        <w:rPr>
          <w:bCs/>
          <w:color w:val="002060"/>
          <w:sz w:val="16"/>
          <w:szCs w:val="16"/>
        </w:rPr>
        <w:t>О</w:t>
      </w:r>
      <w:r w:rsidR="00B20A34" w:rsidRPr="00405303">
        <w:rPr>
          <w:bCs/>
          <w:color w:val="002060"/>
          <w:sz w:val="16"/>
          <w:szCs w:val="16"/>
        </w:rPr>
        <w:t>сенью 1915</w:t>
      </w:r>
      <w:r w:rsidRPr="00405303">
        <w:rPr>
          <w:bCs/>
          <w:color w:val="002060"/>
          <w:sz w:val="16"/>
          <w:szCs w:val="16"/>
        </w:rPr>
        <w:t xml:space="preserve"> </w:t>
      </w:r>
      <w:r w:rsidR="00B20A34" w:rsidRPr="00405303">
        <w:rPr>
          <w:bCs/>
          <w:color w:val="002060"/>
          <w:sz w:val="16"/>
          <w:szCs w:val="16"/>
        </w:rPr>
        <w:t xml:space="preserve">г. </w:t>
      </w:r>
      <w:r w:rsidRPr="00405303">
        <w:rPr>
          <w:bCs/>
          <w:color w:val="002060"/>
          <w:sz w:val="16"/>
          <w:szCs w:val="16"/>
        </w:rPr>
        <w:t>С. С. Щетинин и его специалисты смотрели на проект с большим оптимизмом и нача</w:t>
      </w:r>
      <w:r w:rsidRPr="00405303">
        <w:rPr>
          <w:bCs/>
          <w:color w:val="002060"/>
          <w:sz w:val="16"/>
          <w:szCs w:val="16"/>
        </w:rPr>
        <w:softHyphen/>
        <w:t>ли сборку прототипа М-8 на свой страх и риск. О</w:t>
      </w:r>
      <w:r w:rsidR="00B20A34" w:rsidRPr="00405303">
        <w:rPr>
          <w:bCs/>
          <w:color w:val="002060"/>
          <w:sz w:val="16"/>
          <w:szCs w:val="16"/>
        </w:rPr>
        <w:t>ни намеревались возвести новые просторные заводские корпуса, способные вместить под своей крышей производство тяжелых гидроаэропланов. По информации, содержавшейся в одном из докладов МГШ от 24 сентября, аппараты несли бы по два 220-сильных двигателя каждый и развивали горизонтальную скорость до 95 км/ч, а вертикальную — 2000 м за 30 минут; их полезная нагрузка достигала бы 1 тыс. 700 кг, включая вес экипажа и вооружения (900 кг) и запас топлива и масла на 7 часов лета. Ни Морское ведомство, ни компания не могли получить 300-сильные моторы и вынуждено довольствовались 220-сильными, но и те предстояло ждать, в то время как изготовление самолета продолжалось. Надежды найти более мощные энергетические установки все же сохранялись. На обороте уцелевшей во флотских делах программы заседания правления Императорского аэроклуба от 25 ноября 1915г. автору удалось обнаружить очень любопытные расчеты, относящиеся, скорее всего, к проекту М-8; они представлены ниже (2807).</w:t>
      </w:r>
    </w:p>
    <w:p w14:paraId="066D2470" w14:textId="77777777" w:rsidR="00B20A34" w:rsidRPr="00405303" w:rsidRDefault="00B20A34" w:rsidP="00C15251">
      <w:pPr>
        <w:shd w:val="clear" w:color="auto" w:fill="FFFFFF"/>
        <w:jc w:val="both"/>
        <w:rPr>
          <w:bCs/>
          <w:color w:val="002060"/>
          <w:sz w:val="16"/>
          <w:szCs w:val="16"/>
        </w:rPr>
      </w:pPr>
    </w:p>
    <w:p w14:paraId="241B9AA8" w14:textId="77777777" w:rsidR="00B20A34" w:rsidRPr="00405303" w:rsidRDefault="00B20A34" w:rsidP="00C15251">
      <w:pPr>
        <w:jc w:val="both"/>
        <w:rPr>
          <w:bCs/>
          <w:color w:val="002060"/>
          <w:sz w:val="16"/>
          <w:szCs w:val="16"/>
        </w:rPr>
      </w:pPr>
      <w:r w:rsidRPr="00405303">
        <w:rPr>
          <w:bCs/>
          <w:color w:val="002060"/>
          <w:sz w:val="16"/>
          <w:szCs w:val="16"/>
        </w:rPr>
        <w:t>Осенью 1915 г. Лебедеву удалось получить заказ на три поплавковых гидросамолета ЛМ-2. Согласно А.О.Александрову, эта "модель представляла собой одномоторный двухместный аппарат, вероятно большого сходства с каким-либо германским типом". Заказ был выполнен с опозданием почти на целый год осенью 1916 г. Морское ведомство отказалось от этих самолетов, передав их в армейские авиашколы: один (зав. № 281) попал в Гатчинскую школу, а два других (зав. №№ 279 и 280) - в Севастопольскую. Там они эксплуатировались на колесном и лыжном шасси (11183).</w:t>
      </w:r>
    </w:p>
    <w:p w14:paraId="5208DAD3" w14:textId="77777777" w:rsidR="00B20A34" w:rsidRPr="00405303" w:rsidRDefault="00B20A34" w:rsidP="00C15251">
      <w:pPr>
        <w:shd w:val="clear" w:color="auto" w:fill="FFFFFF"/>
        <w:jc w:val="both"/>
        <w:rPr>
          <w:bCs/>
          <w:color w:val="002060"/>
          <w:sz w:val="16"/>
          <w:szCs w:val="16"/>
        </w:rPr>
      </w:pPr>
    </w:p>
    <w:p w14:paraId="64CDF712" w14:textId="49232C3C" w:rsidR="00B20A34" w:rsidRPr="00405303" w:rsidRDefault="00B20A34" w:rsidP="00C15251">
      <w:pPr>
        <w:jc w:val="both"/>
        <w:rPr>
          <w:bCs/>
          <w:color w:val="002060"/>
          <w:sz w:val="16"/>
          <w:szCs w:val="16"/>
        </w:rPr>
      </w:pPr>
      <w:r w:rsidRPr="00405303">
        <w:rPr>
          <w:bCs/>
          <w:color w:val="002060"/>
          <w:sz w:val="16"/>
          <w:szCs w:val="16"/>
        </w:rPr>
        <w:t xml:space="preserve">Осенью </w:t>
      </w:r>
      <w:r w:rsidR="008E1C9A" w:rsidRPr="00405303">
        <w:rPr>
          <w:bCs/>
          <w:color w:val="002060"/>
          <w:sz w:val="16"/>
          <w:szCs w:val="16"/>
        </w:rPr>
        <w:t>1915</w:t>
      </w:r>
      <w:r w:rsidRPr="00405303">
        <w:rPr>
          <w:bCs/>
          <w:color w:val="002060"/>
          <w:sz w:val="16"/>
          <w:szCs w:val="16"/>
        </w:rPr>
        <w:t xml:space="preserve">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[Там же. Ф. 493. Оп. 9. Д. 56.].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м2. Экономический кризис 1917 г. не позволил полностью закончить строительство и особенно оборудование новых филиалов. Наиболее законченный из них, Таганрогский стал впоследствии основой крупнейшего авиационного завода им. Димитрова.</w:t>
      </w:r>
    </w:p>
    <w:p w14:paraId="4C8C5FA8" w14:textId="77777777" w:rsidR="00B20A34" w:rsidRPr="00405303" w:rsidRDefault="00B20A34" w:rsidP="00C15251">
      <w:pPr>
        <w:jc w:val="both"/>
        <w:rPr>
          <w:bCs/>
          <w:color w:val="002060"/>
          <w:sz w:val="16"/>
          <w:szCs w:val="16"/>
        </w:rPr>
      </w:pPr>
      <w:r w:rsidRPr="00405303">
        <w:rPr>
          <w:bCs/>
          <w:color w:val="002060"/>
          <w:sz w:val="16"/>
          <w:szCs w:val="16"/>
        </w:rPr>
        <w:lastRenderedPageBreak/>
        <w:t>К числу первых самолетостроительных предприятий в России относился завод акционерного общества «Дукс», учрежденного в 1900 г. по инициативе Ю.А. Меллера. 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w:t>
      </w:r>
    </w:p>
    <w:p w14:paraId="403E7C02" w14:textId="77777777" w:rsidR="00B20A34" w:rsidRPr="00405303" w:rsidRDefault="00B20A34" w:rsidP="00C15251">
      <w:pPr>
        <w:jc w:val="both"/>
        <w:rPr>
          <w:bCs/>
          <w:color w:val="002060"/>
          <w:sz w:val="16"/>
          <w:szCs w:val="16"/>
        </w:rPr>
      </w:pPr>
      <w:r w:rsidRPr="00405303">
        <w:rPr>
          <w:bCs/>
          <w:color w:val="002060"/>
          <w:sz w:val="16"/>
          <w:szCs w:val="16"/>
        </w:rPr>
        <w:t>Контракты, заключенные заводом в 1916 г., потребовали его дальнейшего расширения. К концу года на предприятии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w:t>
      </w:r>
    </w:p>
    <w:p w14:paraId="3828399C" w14:textId="77777777" w:rsidR="00B20A34" w:rsidRPr="00405303" w:rsidRDefault="00B20A34" w:rsidP="00C15251">
      <w:pPr>
        <w:jc w:val="both"/>
        <w:rPr>
          <w:bCs/>
          <w:color w:val="002060"/>
          <w:sz w:val="16"/>
          <w:szCs w:val="16"/>
        </w:rPr>
      </w:pPr>
      <w:r w:rsidRPr="00405303">
        <w:rPr>
          <w:bCs/>
          <w:color w:val="002060"/>
          <w:sz w:val="16"/>
          <w:szCs w:val="16"/>
        </w:rPr>
        <w:t>К расширению производства, в том числе и через новое строительство, стремились и другие российские самолетостроительные заводы. Известный своими достижениями в области гидроавиации Петроградский завод Товарищества С.С. Щетинина на основании решения Особого совещания по обороне (ноябрь 1915 г.)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предприятие в 1917 г. получило заказ военного ведомства на поставку 180 «Спадов», его выполнение не началось, так как не прибыло оборудование, заказанное в США [Там же. Ф. 493. Оп. 4. Д. 51. Л. 3; Там же. Оп. 9. Д. 41. Л. 14об., 16об.].</w:t>
      </w:r>
    </w:p>
    <w:p w14:paraId="7A36EA30" w14:textId="77777777" w:rsidR="00B20A34" w:rsidRPr="00405303" w:rsidRDefault="00B20A34" w:rsidP="00C15251">
      <w:pPr>
        <w:jc w:val="both"/>
        <w:rPr>
          <w:bCs/>
          <w:color w:val="002060"/>
          <w:sz w:val="16"/>
          <w:szCs w:val="16"/>
        </w:rPr>
      </w:pPr>
      <w:r w:rsidRPr="00405303">
        <w:rPr>
          <w:bCs/>
          <w:color w:val="002060"/>
          <w:sz w:val="16"/>
          <w:szCs w:val="16"/>
        </w:rPr>
        <w:t>Ведущим в группе южно-российских предприятий был авиационный завод банкира А.А. Анатра в Одессе. В годы войны на заводе были сделаны новые постройки, установлено дополнительно 200 станков. Одесский завод целиком работал на фронт. Расширение предприятия происходило в соответствии с казенными заказами и при материальной поддержке со стороны военного ведомства. С целью получения более значительных новых заказов А.А. Анатра осуществил постройку нового завода в Симферополе с аэропланным и моторным отделениями. Сооружение предприятия началось в феврале 1916 г. В выстроенных механическом, деревообделочном и сборочном цехах было установлено 150 станков.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[Там же. Ф. 493. Оп. 9. Л. 89; Там же. Д. 56. Л. 200.].</w:t>
      </w:r>
    </w:p>
    <w:p w14:paraId="27C32F72" w14:textId="77777777" w:rsidR="00B20A34" w:rsidRPr="00405303" w:rsidRDefault="00B20A34" w:rsidP="00C15251">
      <w:pPr>
        <w:jc w:val="both"/>
        <w:rPr>
          <w:bCs/>
          <w:color w:val="002060"/>
          <w:sz w:val="16"/>
          <w:szCs w:val="16"/>
        </w:rPr>
      </w:pPr>
      <w:r w:rsidRPr="00405303">
        <w:rPr>
          <w:bCs/>
          <w:color w:val="002060"/>
          <w:sz w:val="16"/>
          <w:szCs w:val="16"/>
        </w:rPr>
        <w:t>Благодаря регулярному получению правительственных заказов на изготовление учебных аппаратов, сопровождавшихся, как правило, выдачей 30- процентного аванса, в заводское предприятие превратилась авиационная мастерская В.В. Слюсаренко. В 1916 г. было учреждено акционерное общество Петроградского аэропланостроительного завода В.В. Слюсаренко, численность занятых рабочих на котором составляла около 300 человек. Была построена новая механическая мастерская, но оборудование предприятия оставалось незначительным [Там же. Оп. 4. Д. 84. Л. 1-8; Там же. Оп. 9. Д. 56. Л. 200.].</w:t>
      </w:r>
    </w:p>
    <w:p w14:paraId="05FFF392" w14:textId="77777777" w:rsidR="00B20A34" w:rsidRPr="00405303" w:rsidRDefault="00B20A34" w:rsidP="00C15251">
      <w:pPr>
        <w:jc w:val="both"/>
        <w:rPr>
          <w:bCs/>
          <w:color w:val="002060"/>
          <w:sz w:val="16"/>
          <w:szCs w:val="16"/>
        </w:rPr>
      </w:pPr>
      <w:r w:rsidRPr="00405303">
        <w:rPr>
          <w:bCs/>
          <w:color w:val="002060"/>
          <w:sz w:val="16"/>
          <w:szCs w:val="16"/>
        </w:rPr>
        <w:t>В годы войны открылся ряд новых самолетостроительных предприятий, получавших заказы на изготовление аппаратов: московские мастерские летчика-спортсмена, проектировщика, итальянца Ф. Моска, А.А. Пороховщикова, торгового дома Безобразова, технической конторы «И.И. Стеглау», товарищества Липецких аэропланостроительных мастерских [РГВИА. Ф. 493. Оп. 9. Д. 56. Л. 200; Там же. Ф. 369. Оп. 8. Д. 74. Л. 18; Там же. Ф. 493. Оп. 4. Д. 384; Там же. Д. 56. Л. 200; Там же. Ф. 369. Оп. 8. Д. 74. Л. 18.] (11863).</w:t>
      </w:r>
    </w:p>
    <w:p w14:paraId="472FE2A2" w14:textId="77777777" w:rsidR="00B20A34" w:rsidRPr="00405303" w:rsidRDefault="00B20A34" w:rsidP="00C15251">
      <w:pPr>
        <w:jc w:val="both"/>
        <w:rPr>
          <w:bCs/>
          <w:color w:val="002060"/>
          <w:sz w:val="16"/>
          <w:szCs w:val="16"/>
        </w:rPr>
      </w:pPr>
    </w:p>
    <w:p w14:paraId="1B3AE84A" w14:textId="202E8AD0" w:rsidR="00B20A34" w:rsidRPr="00405303" w:rsidRDefault="005657D9" w:rsidP="00C15251">
      <w:pPr>
        <w:jc w:val="both"/>
        <w:rPr>
          <w:bCs/>
          <w:color w:val="002060"/>
          <w:sz w:val="16"/>
          <w:szCs w:val="16"/>
        </w:rPr>
      </w:pPr>
      <w:r w:rsidRPr="00405303">
        <w:rPr>
          <w:bCs/>
          <w:color w:val="002060"/>
          <w:sz w:val="16"/>
          <w:szCs w:val="16"/>
        </w:rPr>
        <w:t>О</w:t>
      </w:r>
      <w:r w:rsidR="00B20A34" w:rsidRPr="00405303">
        <w:rPr>
          <w:bCs/>
          <w:color w:val="002060"/>
          <w:sz w:val="16"/>
          <w:szCs w:val="16"/>
        </w:rPr>
        <w:t xml:space="preserve">сенью </w:t>
      </w:r>
      <w:r w:rsidRPr="00405303">
        <w:rPr>
          <w:bCs/>
          <w:color w:val="002060"/>
          <w:sz w:val="16"/>
          <w:szCs w:val="16"/>
        </w:rPr>
        <w:t xml:space="preserve">1915 </w:t>
      </w:r>
      <w:r w:rsidR="00B20A34" w:rsidRPr="00405303">
        <w:rPr>
          <w:bCs/>
          <w:color w:val="002060"/>
          <w:sz w:val="16"/>
          <w:szCs w:val="16"/>
        </w:rPr>
        <w:t xml:space="preserve">года </w:t>
      </w:r>
      <w:r w:rsidRPr="00405303">
        <w:rPr>
          <w:bCs/>
          <w:color w:val="002060"/>
          <w:sz w:val="16"/>
          <w:szCs w:val="16"/>
        </w:rPr>
        <w:t>Лебедев</w:t>
      </w:r>
      <w:r w:rsidR="00B20A34" w:rsidRPr="00405303">
        <w:rPr>
          <w:bCs/>
          <w:color w:val="002060"/>
          <w:sz w:val="16"/>
          <w:szCs w:val="16"/>
        </w:rPr>
        <w:t xml:space="preserve"> выбивает заказ в Морском Генеральном Штабе на переделку партии французских сухопутных самолетов типа «Морис-Фарман» на морские. Заказ был успешно выполнен, все самолеты были поставлены в срок.</w:t>
      </w:r>
    </w:p>
    <w:p w14:paraId="3DEE3114" w14:textId="77777777" w:rsidR="00B20A34" w:rsidRPr="00405303" w:rsidRDefault="00B20A34" w:rsidP="00C15251">
      <w:pPr>
        <w:jc w:val="both"/>
        <w:rPr>
          <w:bCs/>
          <w:color w:val="002060"/>
          <w:sz w:val="16"/>
          <w:szCs w:val="16"/>
        </w:rPr>
      </w:pPr>
      <w:r w:rsidRPr="00405303">
        <w:rPr>
          <w:bCs/>
          <w:color w:val="002060"/>
          <w:sz w:val="16"/>
          <w:szCs w:val="16"/>
        </w:rPr>
        <w:t xml:space="preserve">Окрыленный первыми успехами Владимир Лебедев набирает все новые и новые заказы на строительство самолетов.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цехами и столярной мастерской. Число </w:t>
      </w:r>
      <w:proofErr w:type="gramStart"/>
      <w:r w:rsidRPr="00405303">
        <w:rPr>
          <w:bCs/>
          <w:color w:val="002060"/>
          <w:sz w:val="16"/>
          <w:szCs w:val="16"/>
        </w:rPr>
        <w:t>рабо-тающих</w:t>
      </w:r>
      <w:proofErr w:type="gramEnd"/>
      <w:r w:rsidRPr="00405303">
        <w:rPr>
          <w:bCs/>
          <w:color w:val="002060"/>
          <w:sz w:val="16"/>
          <w:szCs w:val="16"/>
        </w:rPr>
        <w:t xml:space="preserve"> перевалило за тысячу и продолжало расти. Но ограниченность территории затрудняли дальнейшее расширение завода. Некоторые российские авиапромышленники создают свои </w:t>
      </w:r>
      <w:proofErr w:type="gramStart"/>
      <w:r w:rsidRPr="00405303">
        <w:rPr>
          <w:bCs/>
          <w:color w:val="002060"/>
          <w:sz w:val="16"/>
          <w:szCs w:val="16"/>
        </w:rPr>
        <w:t>фи-лиалы</w:t>
      </w:r>
      <w:proofErr w:type="gramEnd"/>
      <w:r w:rsidRPr="00405303">
        <w:rPr>
          <w:bCs/>
          <w:color w:val="002060"/>
          <w:sz w:val="16"/>
          <w:szCs w:val="16"/>
        </w:rPr>
        <w:t xml:space="preserve"> в других городах. А. Анатра строит отделение завода в Симферополе, С. Щетинин в </w:t>
      </w:r>
      <w:proofErr w:type="gramStart"/>
      <w:r w:rsidRPr="00405303">
        <w:rPr>
          <w:bCs/>
          <w:color w:val="002060"/>
          <w:sz w:val="16"/>
          <w:szCs w:val="16"/>
        </w:rPr>
        <w:t>Яро-славле</w:t>
      </w:r>
      <w:proofErr w:type="gramEnd"/>
      <w:r w:rsidRPr="00405303">
        <w:rPr>
          <w:bCs/>
          <w:color w:val="002060"/>
          <w:sz w:val="16"/>
          <w:szCs w:val="16"/>
        </w:rPr>
        <w:t xml:space="preserve">. </w:t>
      </w:r>
      <w:proofErr w:type="gramStart"/>
      <w:r w:rsidRPr="00405303">
        <w:rPr>
          <w:bCs/>
          <w:color w:val="002060"/>
          <w:sz w:val="16"/>
          <w:szCs w:val="16"/>
        </w:rPr>
        <w:t>В. Лебедев</w:t>
      </w:r>
      <w:proofErr w:type="gramEnd"/>
      <w:r w:rsidRPr="00405303">
        <w:rPr>
          <w:bCs/>
          <w:color w:val="002060"/>
          <w:sz w:val="16"/>
          <w:szCs w:val="16"/>
        </w:rPr>
        <w:t xml:space="preserve">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w:t>
      </w:r>
    </w:p>
    <w:p w14:paraId="75DDB011" w14:textId="77777777" w:rsidR="00B20A34" w:rsidRPr="00405303" w:rsidRDefault="00B20A34" w:rsidP="00C15251">
      <w:pPr>
        <w:jc w:val="both"/>
        <w:rPr>
          <w:bCs/>
          <w:color w:val="002060"/>
          <w:sz w:val="16"/>
          <w:szCs w:val="16"/>
        </w:rPr>
      </w:pPr>
      <w:r w:rsidRPr="00405303">
        <w:rPr>
          <w:bCs/>
          <w:color w:val="002060"/>
          <w:sz w:val="16"/>
          <w:szCs w:val="16"/>
        </w:rPr>
        <w:t xml:space="preserve">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w:t>
      </w:r>
      <w:proofErr w:type="gramStart"/>
      <w:r w:rsidRPr="00405303">
        <w:rPr>
          <w:bCs/>
          <w:color w:val="002060"/>
          <w:sz w:val="16"/>
          <w:szCs w:val="16"/>
        </w:rPr>
        <w:t>за-вершена</w:t>
      </w:r>
      <w:proofErr w:type="gramEnd"/>
      <w:r w:rsidRPr="00405303">
        <w:rPr>
          <w:bCs/>
          <w:color w:val="002060"/>
          <w:sz w:val="16"/>
          <w:szCs w:val="16"/>
        </w:rPr>
        <w:t>,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w:t>
      </w:r>
    </w:p>
    <w:p w14:paraId="54B87A47" w14:textId="77777777" w:rsidR="00B20A34" w:rsidRPr="00405303" w:rsidRDefault="00B20A34" w:rsidP="00C15251">
      <w:pPr>
        <w:jc w:val="both"/>
        <w:rPr>
          <w:bCs/>
          <w:color w:val="002060"/>
          <w:sz w:val="16"/>
          <w:szCs w:val="16"/>
        </w:rPr>
      </w:pPr>
      <w:r w:rsidRPr="00405303">
        <w:rPr>
          <w:bCs/>
          <w:color w:val="002060"/>
          <w:sz w:val="16"/>
          <w:szCs w:val="16"/>
        </w:rPr>
        <w:t xml:space="preserve">Однако здесь Лебедева ожидают трудности; недостаток рабочей силы, отсутствие топлива, серьезные транспортные проблемы и, </w:t>
      </w:r>
      <w:proofErr w:type="gramStart"/>
      <w:r w:rsidRPr="00405303">
        <w:rPr>
          <w:bCs/>
          <w:color w:val="002060"/>
          <w:sz w:val="16"/>
          <w:szCs w:val="16"/>
        </w:rPr>
        <w:t>на- конец</w:t>
      </w:r>
      <w:proofErr w:type="gramEnd"/>
      <w:r w:rsidRPr="00405303">
        <w:rPr>
          <w:bCs/>
          <w:color w:val="002060"/>
          <w:sz w:val="16"/>
          <w:szCs w:val="16"/>
        </w:rPr>
        <w:t>, сложные климатические условия. И его взор устремляется на юг. Он уже давно присматривается к Таганрогу</w:t>
      </w:r>
      <w:proofErr w:type="gramStart"/>
      <w:r w:rsidRPr="00405303">
        <w:rPr>
          <w:bCs/>
          <w:color w:val="002060"/>
          <w:sz w:val="16"/>
          <w:szCs w:val="16"/>
        </w:rPr>
        <w:t>...(</w:t>
      </w:r>
      <w:proofErr w:type="gramEnd"/>
      <w:r w:rsidRPr="00405303">
        <w:rPr>
          <w:bCs/>
          <w:color w:val="002060"/>
          <w:sz w:val="16"/>
          <w:szCs w:val="16"/>
        </w:rPr>
        <w:t>11642).</w:t>
      </w:r>
    </w:p>
    <w:p w14:paraId="4437EA9B" w14:textId="77777777" w:rsidR="00B20A34" w:rsidRPr="00405303" w:rsidRDefault="00B20A34" w:rsidP="00C15251">
      <w:pPr>
        <w:shd w:val="clear" w:color="auto" w:fill="FFFFFF"/>
        <w:jc w:val="both"/>
        <w:rPr>
          <w:bCs/>
          <w:color w:val="002060"/>
          <w:sz w:val="16"/>
          <w:szCs w:val="16"/>
        </w:rPr>
      </w:pPr>
    </w:p>
    <w:p w14:paraId="30301CF8" w14:textId="77777777" w:rsidR="00B20A34" w:rsidRPr="00405303" w:rsidRDefault="00B20A34" w:rsidP="00C15251">
      <w:pPr>
        <w:shd w:val="clear" w:color="auto" w:fill="FFFFFF"/>
        <w:jc w:val="both"/>
        <w:rPr>
          <w:bCs/>
          <w:color w:val="002060"/>
          <w:sz w:val="16"/>
          <w:szCs w:val="16"/>
        </w:rPr>
      </w:pPr>
      <w:r w:rsidRPr="00405303">
        <w:rPr>
          <w:bCs/>
          <w:color w:val="002060"/>
          <w:sz w:val="16"/>
          <w:szCs w:val="16"/>
        </w:rPr>
        <w:t>Осенью 1915 года старший лейтенант флота Ды</w:t>
      </w:r>
      <w:r w:rsidRPr="00405303">
        <w:rPr>
          <w:bCs/>
          <w:color w:val="002060"/>
          <w:sz w:val="16"/>
          <w:szCs w:val="16"/>
        </w:rPr>
        <w:softHyphen/>
        <w:t>бовский был отозван с фронта и командирован в Рус</w:t>
      </w:r>
      <w:r w:rsidRPr="00405303">
        <w:rPr>
          <w:bCs/>
          <w:color w:val="002060"/>
          <w:sz w:val="16"/>
          <w:szCs w:val="16"/>
        </w:rPr>
        <w:softHyphen/>
        <w:t>ский закупочный комитет в Лондоне в качестве при</w:t>
      </w:r>
      <w:r w:rsidRPr="00405303">
        <w:rPr>
          <w:bCs/>
          <w:color w:val="002060"/>
          <w:sz w:val="16"/>
          <w:szCs w:val="16"/>
        </w:rPr>
        <w:softHyphen/>
        <w:t>емщика авиационного имущества. Здесь проект своего синхронизатора, отвергнутый в свое время россий</w:t>
      </w:r>
      <w:r w:rsidRPr="00405303">
        <w:rPr>
          <w:bCs/>
          <w:color w:val="002060"/>
          <w:sz w:val="16"/>
          <w:szCs w:val="16"/>
        </w:rPr>
        <w:softHyphen/>
        <w:t>ским военным министерством, Дыбовский предло</w:t>
      </w:r>
      <w:r w:rsidRPr="00405303">
        <w:rPr>
          <w:bCs/>
          <w:color w:val="002060"/>
          <w:sz w:val="16"/>
          <w:szCs w:val="16"/>
        </w:rPr>
        <w:softHyphen/>
        <w:t>жил в британское адмиралтейство. Воздухоплаватель</w:t>
      </w:r>
      <w:r w:rsidRPr="00405303">
        <w:rPr>
          <w:bCs/>
          <w:color w:val="002060"/>
          <w:sz w:val="16"/>
          <w:szCs w:val="16"/>
        </w:rPr>
        <w:softHyphen/>
        <w:t>ный департамент Англии поручил инженеру Ф.В.Скарффу разработать этот механизм. Летом 1916 года синхронизатор Скарффа-Дыбовского уже уста</w:t>
      </w:r>
      <w:r w:rsidRPr="00405303">
        <w:rPr>
          <w:bCs/>
          <w:color w:val="002060"/>
          <w:sz w:val="16"/>
          <w:szCs w:val="16"/>
        </w:rPr>
        <w:softHyphen/>
        <w:t>навливался на истребителях «Сопвич». В туманном Альбионе Виктор Владимирович же</w:t>
      </w:r>
      <w:r w:rsidRPr="00405303">
        <w:rPr>
          <w:bCs/>
          <w:color w:val="002060"/>
          <w:sz w:val="16"/>
          <w:szCs w:val="16"/>
        </w:rPr>
        <w:softHyphen/>
        <w:t>нился на англичанке и на родину в связи с револю</w:t>
      </w:r>
      <w:r w:rsidRPr="00405303">
        <w:rPr>
          <w:bCs/>
          <w:color w:val="002060"/>
          <w:sz w:val="16"/>
          <w:szCs w:val="16"/>
        </w:rPr>
        <w:softHyphen/>
        <w:t>ционными событиями не вернулся (553).</w:t>
      </w:r>
    </w:p>
    <w:p w14:paraId="40D415B5" w14:textId="77777777" w:rsidR="00B20A34" w:rsidRPr="00405303" w:rsidRDefault="00B20A34" w:rsidP="00C15251">
      <w:pPr>
        <w:shd w:val="clear" w:color="auto" w:fill="FFFFFF"/>
        <w:jc w:val="both"/>
        <w:rPr>
          <w:bCs/>
          <w:color w:val="002060"/>
          <w:sz w:val="16"/>
          <w:szCs w:val="16"/>
        </w:rPr>
      </w:pPr>
    </w:p>
    <w:p w14:paraId="2351A2C3" w14:textId="4E185D31" w:rsidR="00B20A34" w:rsidRPr="00405303" w:rsidRDefault="005657D9" w:rsidP="00C15251">
      <w:pPr>
        <w:shd w:val="clear" w:color="auto" w:fill="FFFFFF"/>
        <w:jc w:val="both"/>
        <w:rPr>
          <w:bCs/>
          <w:color w:val="002060"/>
          <w:sz w:val="16"/>
          <w:szCs w:val="16"/>
        </w:rPr>
      </w:pPr>
      <w:r w:rsidRPr="00405303">
        <w:rPr>
          <w:bCs/>
          <w:color w:val="002060"/>
          <w:sz w:val="16"/>
          <w:szCs w:val="16"/>
        </w:rPr>
        <w:t>О</w:t>
      </w:r>
      <w:r w:rsidR="00B20A34" w:rsidRPr="00405303">
        <w:rPr>
          <w:bCs/>
          <w:color w:val="002060"/>
          <w:sz w:val="16"/>
          <w:szCs w:val="16"/>
        </w:rPr>
        <w:t>сенью 1915 г., в связи с при</w:t>
      </w:r>
      <w:r w:rsidR="00B20A34" w:rsidRPr="00405303">
        <w:rPr>
          <w:bCs/>
          <w:color w:val="002060"/>
          <w:sz w:val="16"/>
          <w:szCs w:val="16"/>
        </w:rPr>
        <w:softHyphen/>
        <w:t xml:space="preserve">ближением линии фронта, завод </w:t>
      </w:r>
      <w:r w:rsidRPr="00405303">
        <w:rPr>
          <w:bCs/>
          <w:color w:val="002060"/>
          <w:sz w:val="16"/>
          <w:szCs w:val="16"/>
        </w:rPr>
        <w:t>в Червоном, где продолжали вести проект</w:t>
      </w:r>
      <w:r w:rsidRPr="00405303">
        <w:rPr>
          <w:bCs/>
          <w:color w:val="002060"/>
          <w:sz w:val="16"/>
          <w:szCs w:val="16"/>
        </w:rPr>
        <w:softHyphen/>
        <w:t>ные работы и благодаря усилиям Григорье</w:t>
      </w:r>
      <w:r w:rsidRPr="00405303">
        <w:rPr>
          <w:bCs/>
          <w:color w:val="002060"/>
          <w:sz w:val="16"/>
          <w:szCs w:val="16"/>
        </w:rPr>
        <w:softHyphen/>
        <w:t>ва, был сконструирован биплан «Терещен</w:t>
      </w:r>
      <w:r w:rsidRPr="00405303">
        <w:rPr>
          <w:bCs/>
          <w:color w:val="002060"/>
          <w:sz w:val="16"/>
          <w:szCs w:val="16"/>
        </w:rPr>
        <w:softHyphen/>
        <w:t>ко № 7» с расположенными рядом в одной кабине двумя сиденьями, оснащенный мотором «Гном Моносупап» мощностью 100 л.с.,</w:t>
      </w:r>
      <w:r w:rsidR="000F5756">
        <w:rPr>
          <w:bCs/>
          <w:color w:val="002060"/>
          <w:sz w:val="16"/>
          <w:szCs w:val="16"/>
        </w:rPr>
        <w:t xml:space="preserve"> </w:t>
      </w:r>
      <w:r w:rsidR="00B20A34" w:rsidRPr="00405303">
        <w:rPr>
          <w:bCs/>
          <w:color w:val="002060"/>
          <w:sz w:val="16"/>
          <w:szCs w:val="16"/>
        </w:rPr>
        <w:t>пришлось эвакуировать.</w:t>
      </w:r>
    </w:p>
    <w:p w14:paraId="0DDDDCCC" w14:textId="77777777" w:rsidR="00B20A34" w:rsidRPr="00405303" w:rsidRDefault="00B20A34" w:rsidP="00C15251">
      <w:pPr>
        <w:shd w:val="clear" w:color="auto" w:fill="FFFFFF"/>
        <w:jc w:val="both"/>
        <w:rPr>
          <w:bCs/>
          <w:color w:val="002060"/>
          <w:sz w:val="16"/>
          <w:szCs w:val="16"/>
        </w:rPr>
      </w:pPr>
      <w:r w:rsidRPr="00405303">
        <w:rPr>
          <w:bCs/>
          <w:color w:val="002060"/>
          <w:sz w:val="16"/>
          <w:szCs w:val="16"/>
        </w:rPr>
        <w:t>Терещенко в это время выехал во Фран</w:t>
      </w:r>
      <w:r w:rsidRPr="00405303">
        <w:rPr>
          <w:bCs/>
          <w:color w:val="002060"/>
          <w:sz w:val="16"/>
          <w:szCs w:val="16"/>
        </w:rPr>
        <w:softHyphen/>
        <w:t xml:space="preserve">цию в составе комиссии </w:t>
      </w:r>
      <w:r w:rsidRPr="00405303">
        <w:rPr>
          <w:bCs/>
          <w:i/>
          <w:color w:val="002060"/>
          <w:sz w:val="16"/>
          <w:szCs w:val="16"/>
        </w:rPr>
        <w:t>«по заготовке авиационного и автомобильного имущест</w:t>
      </w:r>
      <w:r w:rsidRPr="00405303">
        <w:rPr>
          <w:bCs/>
          <w:i/>
          <w:color w:val="002060"/>
          <w:sz w:val="16"/>
          <w:szCs w:val="16"/>
        </w:rPr>
        <w:softHyphen/>
        <w:t xml:space="preserve">ва». </w:t>
      </w:r>
      <w:r w:rsidRPr="00405303">
        <w:rPr>
          <w:bCs/>
          <w:color w:val="002060"/>
          <w:sz w:val="16"/>
          <w:szCs w:val="16"/>
        </w:rPr>
        <w:t>Пишоф перебрался в Одессу на завод Анатры. Иордан пошел на военную службу и был назначен начальником авиационной базы 8-й армии. Поэтому основные заботы, связанные с эвакуацией, легли на плечи Вашкевича и других служащих главной кон</w:t>
      </w:r>
      <w:r w:rsidRPr="00405303">
        <w:rPr>
          <w:bCs/>
          <w:color w:val="002060"/>
          <w:sz w:val="16"/>
          <w:szCs w:val="16"/>
        </w:rPr>
        <w:softHyphen/>
        <w:t>торы Терещенко. Была предпринята попыт</w:t>
      </w:r>
      <w:r w:rsidRPr="00405303">
        <w:rPr>
          <w:bCs/>
          <w:color w:val="002060"/>
          <w:sz w:val="16"/>
          <w:szCs w:val="16"/>
        </w:rPr>
        <w:softHyphen/>
        <w:t>ка перебазировать завод в Киев и при этом значительно расширить его, т.к. военные уведомили, что на дальнейшие заказы мож</w:t>
      </w:r>
      <w:r w:rsidRPr="00405303">
        <w:rPr>
          <w:bCs/>
          <w:color w:val="002060"/>
          <w:sz w:val="16"/>
          <w:szCs w:val="16"/>
        </w:rPr>
        <w:softHyphen/>
        <w:t>но рассчитывать, лишь обеспечив выпуск около 150 самолетов в год. Разработали предварительный план, предусматривав</w:t>
      </w:r>
      <w:r w:rsidRPr="00405303">
        <w:rPr>
          <w:bCs/>
          <w:color w:val="002060"/>
          <w:sz w:val="16"/>
          <w:szCs w:val="16"/>
        </w:rPr>
        <w:softHyphen/>
        <w:t>ший приобретение земельного участка пло</w:t>
      </w:r>
      <w:r w:rsidRPr="00405303">
        <w:rPr>
          <w:bCs/>
          <w:color w:val="002060"/>
          <w:sz w:val="16"/>
          <w:szCs w:val="16"/>
        </w:rPr>
        <w:softHyphen/>
        <w:t>щадью не менее 1500 кв. саженей, построй</w:t>
      </w:r>
      <w:r w:rsidRPr="00405303">
        <w:rPr>
          <w:bCs/>
          <w:color w:val="002060"/>
          <w:sz w:val="16"/>
          <w:szCs w:val="16"/>
        </w:rPr>
        <w:softHyphen/>
        <w:t>ку новых производственных зданий и увели</w:t>
      </w:r>
      <w:r w:rsidRPr="00405303">
        <w:rPr>
          <w:bCs/>
          <w:color w:val="002060"/>
          <w:sz w:val="16"/>
          <w:szCs w:val="16"/>
        </w:rPr>
        <w:softHyphen/>
        <w:t xml:space="preserve">чение персонала до </w:t>
      </w:r>
      <w:r w:rsidRPr="00405303">
        <w:rPr>
          <w:bCs/>
          <w:color w:val="002060"/>
          <w:sz w:val="16"/>
          <w:szCs w:val="16"/>
        </w:rPr>
        <w:lastRenderedPageBreak/>
        <w:t>368 человек. Сумма расходов на организационный период оп</w:t>
      </w:r>
      <w:r w:rsidRPr="00405303">
        <w:rPr>
          <w:bCs/>
          <w:color w:val="002060"/>
          <w:sz w:val="16"/>
          <w:szCs w:val="16"/>
        </w:rPr>
        <w:softHyphen/>
        <w:t>ределили в 23100 руб. Но по неясным при</w:t>
      </w:r>
      <w:r w:rsidRPr="00405303">
        <w:rPr>
          <w:bCs/>
          <w:color w:val="002060"/>
          <w:sz w:val="16"/>
          <w:szCs w:val="16"/>
        </w:rPr>
        <w:softHyphen/>
        <w:t>чинам этот план не реализовали. Зато в Ки</w:t>
      </w:r>
      <w:r w:rsidRPr="00405303">
        <w:rPr>
          <w:bCs/>
          <w:color w:val="002060"/>
          <w:sz w:val="16"/>
          <w:szCs w:val="16"/>
        </w:rPr>
        <w:softHyphen/>
        <w:t>еве, в мастерских КПИ, удалось достроить аэроплан «Терещенко № 7» (11217).</w:t>
      </w:r>
    </w:p>
    <w:p w14:paraId="136C3C4E" w14:textId="77777777" w:rsidR="00B20A34" w:rsidRPr="00405303" w:rsidRDefault="00B20A34" w:rsidP="00C15251">
      <w:pPr>
        <w:shd w:val="clear" w:color="auto" w:fill="FFFFFF"/>
        <w:jc w:val="both"/>
        <w:rPr>
          <w:bCs/>
          <w:color w:val="002060"/>
          <w:sz w:val="16"/>
          <w:szCs w:val="16"/>
        </w:rPr>
      </w:pPr>
    </w:p>
    <w:p w14:paraId="3A5226AC" w14:textId="16FF50A6" w:rsidR="00B20A34" w:rsidRPr="00405303" w:rsidRDefault="00B20A34" w:rsidP="00C15251">
      <w:pPr>
        <w:shd w:val="clear" w:color="auto" w:fill="FFFFFF"/>
        <w:jc w:val="both"/>
        <w:rPr>
          <w:bCs/>
          <w:color w:val="002060"/>
          <w:sz w:val="16"/>
          <w:szCs w:val="16"/>
        </w:rPr>
      </w:pPr>
      <w:r w:rsidRPr="00405303">
        <w:rPr>
          <w:bCs/>
          <w:color w:val="002060"/>
          <w:sz w:val="16"/>
          <w:szCs w:val="16"/>
        </w:rPr>
        <w:t xml:space="preserve">Осенью 1915 г. </w:t>
      </w:r>
      <w:r w:rsidR="005657D9" w:rsidRPr="00405303">
        <w:rPr>
          <w:bCs/>
          <w:color w:val="002060"/>
          <w:sz w:val="16"/>
          <w:szCs w:val="16"/>
        </w:rPr>
        <w:t>поезд-мастерская, которая была сформирована с использованием части обо</w:t>
      </w:r>
      <w:r w:rsidR="005657D9" w:rsidRPr="00405303">
        <w:rPr>
          <w:bCs/>
          <w:color w:val="002060"/>
          <w:sz w:val="16"/>
          <w:szCs w:val="16"/>
        </w:rPr>
        <w:softHyphen/>
        <w:t>рудования предприятия и полностью за счет Терещенко, из средств которого даже выплачивалось денежное содержание ру</w:t>
      </w:r>
      <w:r w:rsidR="005657D9" w:rsidRPr="00405303">
        <w:rPr>
          <w:bCs/>
          <w:color w:val="002060"/>
          <w:sz w:val="16"/>
          <w:szCs w:val="16"/>
        </w:rPr>
        <w:softHyphen/>
        <w:t>ководящему составу,</w:t>
      </w:r>
      <w:r w:rsidRPr="00405303">
        <w:rPr>
          <w:bCs/>
          <w:color w:val="002060"/>
          <w:sz w:val="16"/>
          <w:szCs w:val="16"/>
        </w:rPr>
        <w:t xml:space="preserve"> прибыла в Москву. Для ее развертывания были необходимы помещения, которые подыскали далеко не сразу, и работу начали прямо под открытым небом, невзирая на холод, дождь, а потом и снег. Личный состав освоил ремонт самолетов и моторов самых разных типов, возвратив в строй в течение года 250 аэропланов и 70 двигателей. Эту работу высоко оценил начальник Управле</w:t>
      </w:r>
      <w:r w:rsidRPr="00405303">
        <w:rPr>
          <w:bCs/>
          <w:color w:val="002060"/>
          <w:sz w:val="16"/>
          <w:szCs w:val="16"/>
        </w:rPr>
        <w:softHyphen/>
        <w:t>ния военного воздушного флота (УВВФ) ге</w:t>
      </w:r>
      <w:r w:rsidRPr="00405303">
        <w:rPr>
          <w:bCs/>
          <w:color w:val="002060"/>
          <w:sz w:val="16"/>
          <w:szCs w:val="16"/>
        </w:rPr>
        <w:softHyphen/>
        <w:t xml:space="preserve">нерал-майор Пневский, выразивший </w:t>
      </w:r>
      <w:r w:rsidRPr="00405303">
        <w:rPr>
          <w:bCs/>
          <w:i/>
          <w:color w:val="002060"/>
          <w:sz w:val="16"/>
          <w:szCs w:val="16"/>
        </w:rPr>
        <w:t>«иск</w:t>
      </w:r>
      <w:r w:rsidRPr="00405303">
        <w:rPr>
          <w:bCs/>
          <w:i/>
          <w:color w:val="002060"/>
          <w:sz w:val="16"/>
          <w:szCs w:val="16"/>
        </w:rPr>
        <w:softHyphen/>
        <w:t xml:space="preserve">лючительную благодарность» </w:t>
      </w:r>
      <w:r w:rsidRPr="00405303">
        <w:rPr>
          <w:bCs/>
          <w:color w:val="002060"/>
          <w:sz w:val="16"/>
          <w:szCs w:val="16"/>
        </w:rPr>
        <w:t>руководяще</w:t>
      </w:r>
      <w:r w:rsidRPr="00405303">
        <w:rPr>
          <w:bCs/>
          <w:color w:val="002060"/>
          <w:sz w:val="16"/>
          <w:szCs w:val="16"/>
        </w:rPr>
        <w:softHyphen/>
        <w:t xml:space="preserve">му звену поезда, а также объявивший свое спасибо </w:t>
      </w:r>
      <w:r w:rsidRPr="00405303">
        <w:rPr>
          <w:bCs/>
          <w:i/>
          <w:color w:val="002060"/>
          <w:sz w:val="16"/>
          <w:szCs w:val="16"/>
        </w:rPr>
        <w:t xml:space="preserve">«молодцам рабочим и нижним чинам». </w:t>
      </w:r>
      <w:r w:rsidRPr="00405303">
        <w:rPr>
          <w:bCs/>
          <w:color w:val="002060"/>
          <w:sz w:val="16"/>
          <w:szCs w:val="16"/>
        </w:rPr>
        <w:t xml:space="preserve">Как следует из приказа по УВВФ № 152 от 19 декабря 1916 г., </w:t>
      </w:r>
      <w:r w:rsidRPr="00405303">
        <w:rPr>
          <w:bCs/>
          <w:i/>
          <w:color w:val="002060"/>
          <w:sz w:val="16"/>
          <w:szCs w:val="16"/>
        </w:rPr>
        <w:t>«Согласно ука</w:t>
      </w:r>
      <w:r w:rsidRPr="00405303">
        <w:rPr>
          <w:bCs/>
          <w:i/>
          <w:color w:val="002060"/>
          <w:sz w:val="16"/>
          <w:szCs w:val="16"/>
        </w:rPr>
        <w:softHyphen/>
        <w:t>зания Августейшего Полевого Генерал-Ин</w:t>
      </w:r>
      <w:r w:rsidRPr="00405303">
        <w:rPr>
          <w:bCs/>
          <w:i/>
          <w:color w:val="002060"/>
          <w:sz w:val="16"/>
          <w:szCs w:val="16"/>
        </w:rPr>
        <w:softHyphen/>
        <w:t>спектора Военного Воздушного Флота по</w:t>
      </w:r>
      <w:r w:rsidRPr="00405303">
        <w:rPr>
          <w:bCs/>
          <w:i/>
          <w:color w:val="002060"/>
          <w:sz w:val="16"/>
          <w:szCs w:val="16"/>
        </w:rPr>
        <w:softHyphen/>
        <w:t>езд мастерская Его Императорского Высо</w:t>
      </w:r>
      <w:r w:rsidRPr="00405303">
        <w:rPr>
          <w:bCs/>
          <w:i/>
          <w:color w:val="002060"/>
          <w:sz w:val="16"/>
          <w:szCs w:val="16"/>
        </w:rPr>
        <w:softHyphen/>
        <w:t>чества Великого Князя Александра Михай</w:t>
      </w:r>
      <w:r w:rsidRPr="00405303">
        <w:rPr>
          <w:bCs/>
          <w:i/>
          <w:color w:val="002060"/>
          <w:sz w:val="16"/>
          <w:szCs w:val="16"/>
        </w:rPr>
        <w:softHyphen/>
        <w:t>ловича Червоннского авиационного завода Федора Федоровича Терещенко отправля</w:t>
      </w:r>
      <w:r w:rsidRPr="00405303">
        <w:rPr>
          <w:bCs/>
          <w:i/>
          <w:color w:val="002060"/>
          <w:sz w:val="16"/>
          <w:szCs w:val="16"/>
        </w:rPr>
        <w:softHyphen/>
        <w:t xml:space="preserve">ется в состав действующей армии». </w:t>
      </w:r>
      <w:r w:rsidRPr="00405303">
        <w:rPr>
          <w:bCs/>
          <w:color w:val="002060"/>
          <w:sz w:val="16"/>
          <w:szCs w:val="16"/>
        </w:rPr>
        <w:t>Через 3 недели Терещенко лично возглавил поезд. Действия передвижной мастерской во фронтовых условиях тоже оказались успеш</w:t>
      </w:r>
      <w:r w:rsidRPr="00405303">
        <w:rPr>
          <w:bCs/>
          <w:color w:val="002060"/>
          <w:sz w:val="16"/>
          <w:szCs w:val="16"/>
        </w:rPr>
        <w:softHyphen/>
        <w:t>ными. За руководство ею и другие заслуги в годы войны Федор Федорович был награж</w:t>
      </w:r>
      <w:r w:rsidRPr="00405303">
        <w:rPr>
          <w:bCs/>
          <w:color w:val="002060"/>
          <w:sz w:val="16"/>
          <w:szCs w:val="16"/>
        </w:rPr>
        <w:softHyphen/>
        <w:t>ден орденами Св. Владимира 4-й степени и Св. Анны 2-й степени (11217).</w:t>
      </w:r>
    </w:p>
    <w:p w14:paraId="7CA26002" w14:textId="77777777" w:rsidR="00B20A34" w:rsidRPr="00405303" w:rsidRDefault="00B20A34" w:rsidP="00C15251">
      <w:pPr>
        <w:shd w:val="clear" w:color="auto" w:fill="FFFFFF"/>
        <w:jc w:val="both"/>
        <w:rPr>
          <w:bCs/>
          <w:color w:val="002060"/>
          <w:sz w:val="16"/>
          <w:szCs w:val="16"/>
        </w:rPr>
      </w:pPr>
    </w:p>
    <w:p w14:paraId="7C4A3086" w14:textId="77777777" w:rsidR="00B20A34" w:rsidRPr="00405303" w:rsidRDefault="00B20A34" w:rsidP="00C15251">
      <w:pPr>
        <w:shd w:val="clear" w:color="auto" w:fill="FFFFFF"/>
        <w:jc w:val="both"/>
        <w:rPr>
          <w:bCs/>
          <w:color w:val="002060"/>
          <w:sz w:val="16"/>
          <w:szCs w:val="16"/>
        </w:rPr>
      </w:pPr>
      <w:r w:rsidRPr="00405303">
        <w:rPr>
          <w:bCs/>
          <w:color w:val="002060"/>
          <w:sz w:val="16"/>
          <w:szCs w:val="16"/>
        </w:rPr>
        <w:t>Осенью 1915 года были основаны Авиационные мастерские при КПИ, которые освоили серийный выпуск воздушных винтов для самолетов действующей ар</w:t>
      </w:r>
      <w:r w:rsidRPr="00405303">
        <w:rPr>
          <w:bCs/>
          <w:color w:val="002060"/>
          <w:sz w:val="16"/>
          <w:szCs w:val="16"/>
        </w:rPr>
        <w:softHyphen/>
        <w:t>мии. Кроме того, в мастерских КПИ в 1916 году до</w:t>
      </w:r>
      <w:r w:rsidRPr="00405303">
        <w:rPr>
          <w:bCs/>
          <w:color w:val="002060"/>
          <w:sz w:val="16"/>
          <w:szCs w:val="16"/>
        </w:rPr>
        <w:softHyphen/>
        <w:t>страивался после эвакуации Червоннского завода самолет В.П.Григорьева, строились несколько дру</w:t>
      </w:r>
      <w:r w:rsidRPr="00405303">
        <w:rPr>
          <w:bCs/>
          <w:color w:val="002060"/>
          <w:sz w:val="16"/>
          <w:szCs w:val="16"/>
        </w:rPr>
        <w:softHyphen/>
        <w:t>гих аэропланов, в том числе истребитель братьев Касяненко «Касяненко-5» и четыре самолета типа «Альбатрос» с двигателем «Мерседес» в 100 л.с. (553).</w:t>
      </w:r>
    </w:p>
    <w:p w14:paraId="45347200" w14:textId="5BC5B59D" w:rsidR="00B20A34" w:rsidRPr="00405303" w:rsidRDefault="00B20A34" w:rsidP="00C15251">
      <w:pPr>
        <w:shd w:val="clear" w:color="auto" w:fill="FFFFFF"/>
        <w:jc w:val="both"/>
        <w:rPr>
          <w:bCs/>
          <w:color w:val="002060"/>
          <w:sz w:val="16"/>
          <w:szCs w:val="16"/>
        </w:rPr>
      </w:pPr>
    </w:p>
    <w:p w14:paraId="6E6296FA" w14:textId="77777777" w:rsidR="005657D9" w:rsidRPr="00405303" w:rsidRDefault="005657D9" w:rsidP="00C15251">
      <w:pPr>
        <w:jc w:val="both"/>
        <w:rPr>
          <w:bCs/>
          <w:color w:val="002060"/>
          <w:sz w:val="16"/>
          <w:szCs w:val="16"/>
        </w:rPr>
      </w:pPr>
      <w:r w:rsidRPr="00405303">
        <w:rPr>
          <w:bCs/>
          <w:color w:val="002060"/>
          <w:sz w:val="16"/>
          <w:szCs w:val="16"/>
        </w:rPr>
        <w:t>К осени 1915 года специальную мину Уайтхеда, испытания опытного образца которой были начаты в октябре 1914 года, удалось довести до валового производства</w:t>
      </w:r>
    </w:p>
    <w:p w14:paraId="5746F3D3" w14:textId="77777777" w:rsidR="005657D9" w:rsidRPr="00405303" w:rsidRDefault="005657D9" w:rsidP="00C15251">
      <w:pPr>
        <w:jc w:val="both"/>
        <w:rPr>
          <w:bCs/>
          <w:color w:val="002060"/>
          <w:sz w:val="16"/>
          <w:szCs w:val="16"/>
        </w:rPr>
      </w:pPr>
      <w:r w:rsidRPr="00405303">
        <w:rPr>
          <w:bCs/>
          <w:color w:val="002060"/>
          <w:sz w:val="16"/>
          <w:szCs w:val="16"/>
        </w:rPr>
        <w:t>, после чего торпеда получила наименование 45-15. Паралельно к маю 1914 специалисты завода Лесснера доработали для приминения с аэропланов 18 торпед типа "Л". Следующая партия из 24 торпед была доработана к декабрю 1914 года (12284).</w:t>
      </w:r>
    </w:p>
    <w:p w14:paraId="5804BAFF" w14:textId="77777777" w:rsidR="005657D9" w:rsidRPr="00405303" w:rsidRDefault="005657D9" w:rsidP="00C15251">
      <w:pPr>
        <w:jc w:val="both"/>
        <w:rPr>
          <w:bCs/>
          <w:color w:val="002060"/>
          <w:sz w:val="16"/>
          <w:szCs w:val="16"/>
        </w:rPr>
      </w:pPr>
    </w:p>
    <w:p w14:paraId="33AC8C10" w14:textId="77777777" w:rsidR="006F3BF5" w:rsidRPr="00405303" w:rsidRDefault="006F3BF5" w:rsidP="00C15251">
      <w:pPr>
        <w:jc w:val="both"/>
        <w:rPr>
          <w:bCs/>
          <w:color w:val="002060"/>
          <w:sz w:val="16"/>
          <w:szCs w:val="16"/>
        </w:rPr>
      </w:pPr>
      <w:r w:rsidRPr="00405303">
        <w:rPr>
          <w:bCs/>
          <w:color w:val="002060"/>
          <w:sz w:val="16"/>
          <w:szCs w:val="16"/>
        </w:rPr>
        <w:t xml:space="preserve">Осенью 1915 г. германское наступление на Сербию прервало нашу кратчайшую связь с Францией, и отправленные нам аппараты и моторы оказались отрезанными в Салониках. Пришлось их переслать в Архангельск, куда по причине раннего замерзания они не дошли и остались зимовать в Александровске (на Мурмане). </w:t>
      </w:r>
    </w:p>
    <w:p w14:paraId="7D8608D7" w14:textId="77777777" w:rsidR="006F3BF5" w:rsidRPr="00405303" w:rsidRDefault="006F3BF5" w:rsidP="00C15251">
      <w:pPr>
        <w:jc w:val="both"/>
        <w:rPr>
          <w:bCs/>
          <w:color w:val="002060"/>
          <w:sz w:val="16"/>
          <w:szCs w:val="16"/>
        </w:rPr>
      </w:pPr>
      <w:r w:rsidRPr="00405303">
        <w:rPr>
          <w:bCs/>
          <w:color w:val="002060"/>
          <w:sz w:val="16"/>
          <w:szCs w:val="16"/>
        </w:rPr>
        <w:t xml:space="preserve">Вследствие этого к весне 1916 г. наша авиация вновь оказалась в критическом положении. Выписанные нами французские самолеты лежали частью на Мурмане, частью во Франции; аппараты, выстроенные в России, за неимением к ним моторов загромождали склады и заводы. Когда же в июне месяце 1916 г. прибыли наконец в отряды французские аппараты, то они оказались совершенно устарелыми, и мы оказались не в состоянии бороться в воздухе с неприятелем на равных шансах. Большинство воздушных боев между немецкими «фоккерами» и нашими аппаратами оканчивается не в нашу пользу, и длинный список доблестно погибших наших летчиков растет ежедневно. </w:t>
      </w:r>
    </w:p>
    <w:p w14:paraId="1A0E27CE" w14:textId="77777777" w:rsidR="006F3BF5" w:rsidRPr="00405303" w:rsidRDefault="006F3BF5" w:rsidP="00C15251">
      <w:pPr>
        <w:jc w:val="both"/>
        <w:rPr>
          <w:bCs/>
          <w:color w:val="002060"/>
          <w:sz w:val="16"/>
          <w:szCs w:val="16"/>
        </w:rPr>
      </w:pPr>
      <w:r w:rsidRPr="00405303">
        <w:rPr>
          <w:bCs/>
          <w:color w:val="002060"/>
          <w:sz w:val="16"/>
          <w:szCs w:val="16"/>
        </w:rPr>
        <w:t xml:space="preserve">К 1 сентября 1916 г. наши воздушные силы достигли следующего состава: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6336"/>
        <w:gridCol w:w="768"/>
      </w:tblGrid>
      <w:tr w:rsidR="006F3BF5" w:rsidRPr="00405303" w14:paraId="6EE4534F" w14:textId="77777777" w:rsidTr="00D34AC1">
        <w:tc>
          <w:tcPr>
            <w:tcW w:w="6336" w:type="dxa"/>
          </w:tcPr>
          <w:p w14:paraId="2C19BB84" w14:textId="77777777" w:rsidR="006F3BF5" w:rsidRPr="00405303" w:rsidRDefault="006F3BF5" w:rsidP="00C15251">
            <w:pPr>
              <w:jc w:val="both"/>
              <w:rPr>
                <w:bCs/>
                <w:color w:val="002060"/>
                <w:sz w:val="16"/>
                <w:szCs w:val="16"/>
              </w:rPr>
            </w:pPr>
            <w:r w:rsidRPr="00405303">
              <w:rPr>
                <w:bCs/>
                <w:color w:val="002060"/>
                <w:sz w:val="16"/>
                <w:szCs w:val="16"/>
              </w:rPr>
              <w:t xml:space="preserve">Авиационных отрядов (эскадрилий) </w:t>
            </w:r>
          </w:p>
        </w:tc>
        <w:tc>
          <w:tcPr>
            <w:tcW w:w="768" w:type="dxa"/>
          </w:tcPr>
          <w:p w14:paraId="723B7AD6" w14:textId="77777777" w:rsidR="006F3BF5" w:rsidRPr="00405303" w:rsidRDefault="006F3BF5" w:rsidP="00C15251">
            <w:pPr>
              <w:jc w:val="both"/>
              <w:rPr>
                <w:bCs/>
                <w:color w:val="002060"/>
                <w:sz w:val="16"/>
                <w:szCs w:val="16"/>
              </w:rPr>
            </w:pPr>
            <w:r w:rsidRPr="00405303">
              <w:rPr>
                <w:bCs/>
                <w:color w:val="002060"/>
                <w:sz w:val="16"/>
                <w:szCs w:val="16"/>
              </w:rPr>
              <w:t xml:space="preserve">75 </w:t>
            </w:r>
          </w:p>
        </w:tc>
      </w:tr>
      <w:tr w:rsidR="006F3BF5" w:rsidRPr="00405303" w14:paraId="3949FC13" w14:textId="77777777" w:rsidTr="00D34AC1">
        <w:tc>
          <w:tcPr>
            <w:tcW w:w="6336" w:type="dxa"/>
          </w:tcPr>
          <w:p w14:paraId="485CE95F" w14:textId="77777777" w:rsidR="006F3BF5" w:rsidRPr="00405303" w:rsidRDefault="006F3BF5" w:rsidP="00C15251">
            <w:pPr>
              <w:jc w:val="both"/>
              <w:rPr>
                <w:bCs/>
                <w:color w:val="002060"/>
                <w:sz w:val="16"/>
                <w:szCs w:val="16"/>
              </w:rPr>
            </w:pPr>
            <w:r w:rsidRPr="00405303">
              <w:rPr>
                <w:bCs/>
                <w:color w:val="002060"/>
                <w:sz w:val="16"/>
                <w:szCs w:val="16"/>
              </w:rPr>
              <w:t xml:space="preserve">Воздухоплавательных рот </w:t>
            </w:r>
          </w:p>
        </w:tc>
        <w:tc>
          <w:tcPr>
            <w:tcW w:w="768" w:type="dxa"/>
          </w:tcPr>
          <w:p w14:paraId="2F71BC1A" w14:textId="77777777" w:rsidR="006F3BF5" w:rsidRPr="00405303" w:rsidRDefault="006F3BF5" w:rsidP="00C15251">
            <w:pPr>
              <w:jc w:val="both"/>
              <w:rPr>
                <w:bCs/>
                <w:color w:val="002060"/>
                <w:sz w:val="16"/>
                <w:szCs w:val="16"/>
              </w:rPr>
            </w:pPr>
            <w:r w:rsidRPr="00405303">
              <w:rPr>
                <w:bCs/>
                <w:color w:val="002060"/>
                <w:sz w:val="16"/>
                <w:szCs w:val="16"/>
              </w:rPr>
              <w:t xml:space="preserve">36 </w:t>
            </w:r>
          </w:p>
        </w:tc>
      </w:tr>
      <w:tr w:rsidR="006F3BF5" w:rsidRPr="00405303" w14:paraId="6917E2DD" w14:textId="77777777" w:rsidTr="00D34AC1">
        <w:tc>
          <w:tcPr>
            <w:tcW w:w="6336" w:type="dxa"/>
          </w:tcPr>
          <w:p w14:paraId="66583B71" w14:textId="77777777" w:rsidR="006F3BF5" w:rsidRPr="00405303" w:rsidRDefault="006F3BF5" w:rsidP="00C15251">
            <w:pPr>
              <w:jc w:val="both"/>
              <w:rPr>
                <w:bCs/>
                <w:color w:val="002060"/>
                <w:sz w:val="16"/>
                <w:szCs w:val="16"/>
              </w:rPr>
            </w:pPr>
            <w:r w:rsidRPr="00405303">
              <w:rPr>
                <w:bCs/>
                <w:color w:val="002060"/>
                <w:sz w:val="16"/>
                <w:szCs w:val="16"/>
              </w:rPr>
              <w:t xml:space="preserve">Самолетов </w:t>
            </w:r>
          </w:p>
        </w:tc>
        <w:tc>
          <w:tcPr>
            <w:tcW w:w="768" w:type="dxa"/>
          </w:tcPr>
          <w:p w14:paraId="61ED5662" w14:textId="77777777" w:rsidR="006F3BF5" w:rsidRPr="00405303" w:rsidRDefault="006F3BF5" w:rsidP="00C15251">
            <w:pPr>
              <w:jc w:val="both"/>
              <w:rPr>
                <w:bCs/>
                <w:color w:val="002060"/>
                <w:sz w:val="16"/>
                <w:szCs w:val="16"/>
              </w:rPr>
            </w:pPr>
            <w:r w:rsidRPr="00405303">
              <w:rPr>
                <w:bCs/>
                <w:color w:val="002060"/>
                <w:sz w:val="16"/>
                <w:szCs w:val="16"/>
              </w:rPr>
              <w:t xml:space="preserve">716 </w:t>
            </w:r>
          </w:p>
        </w:tc>
      </w:tr>
      <w:tr w:rsidR="006F3BF5" w:rsidRPr="00405303" w14:paraId="5CB21305" w14:textId="77777777" w:rsidTr="00D34AC1">
        <w:tc>
          <w:tcPr>
            <w:tcW w:w="6336" w:type="dxa"/>
          </w:tcPr>
          <w:p w14:paraId="54671C63" w14:textId="77777777" w:rsidR="006F3BF5" w:rsidRPr="00405303" w:rsidRDefault="006F3BF5" w:rsidP="00C15251">
            <w:pPr>
              <w:jc w:val="both"/>
              <w:rPr>
                <w:bCs/>
                <w:color w:val="002060"/>
                <w:sz w:val="16"/>
                <w:szCs w:val="16"/>
              </w:rPr>
            </w:pPr>
            <w:r w:rsidRPr="00405303">
              <w:rPr>
                <w:bCs/>
                <w:color w:val="002060"/>
                <w:sz w:val="16"/>
                <w:szCs w:val="16"/>
              </w:rPr>
              <w:t xml:space="preserve">Летчиков </w:t>
            </w:r>
          </w:p>
        </w:tc>
        <w:tc>
          <w:tcPr>
            <w:tcW w:w="768" w:type="dxa"/>
          </w:tcPr>
          <w:p w14:paraId="12B8F595" w14:textId="77777777" w:rsidR="006F3BF5" w:rsidRPr="00405303" w:rsidRDefault="006F3BF5" w:rsidP="00C15251">
            <w:pPr>
              <w:jc w:val="both"/>
              <w:rPr>
                <w:bCs/>
                <w:color w:val="002060"/>
                <w:sz w:val="16"/>
                <w:szCs w:val="16"/>
              </w:rPr>
            </w:pPr>
            <w:r w:rsidRPr="00405303">
              <w:rPr>
                <w:bCs/>
                <w:color w:val="002060"/>
                <w:sz w:val="16"/>
                <w:szCs w:val="16"/>
              </w:rPr>
              <w:t xml:space="preserve">502 </w:t>
            </w:r>
          </w:p>
        </w:tc>
      </w:tr>
      <w:tr w:rsidR="006F3BF5" w:rsidRPr="00405303" w14:paraId="62910ACF" w14:textId="77777777" w:rsidTr="00D34AC1">
        <w:tc>
          <w:tcPr>
            <w:tcW w:w="6336" w:type="dxa"/>
          </w:tcPr>
          <w:p w14:paraId="36908201" w14:textId="77777777" w:rsidR="006F3BF5" w:rsidRPr="00405303" w:rsidRDefault="006F3BF5" w:rsidP="00C15251">
            <w:pPr>
              <w:jc w:val="both"/>
              <w:rPr>
                <w:bCs/>
                <w:color w:val="002060"/>
                <w:sz w:val="16"/>
                <w:szCs w:val="16"/>
              </w:rPr>
            </w:pPr>
            <w:r w:rsidRPr="00405303">
              <w:rPr>
                <w:bCs/>
                <w:color w:val="002060"/>
                <w:sz w:val="16"/>
                <w:szCs w:val="16"/>
              </w:rPr>
              <w:t xml:space="preserve">Наблюдателей </w:t>
            </w:r>
          </w:p>
        </w:tc>
        <w:tc>
          <w:tcPr>
            <w:tcW w:w="768" w:type="dxa"/>
          </w:tcPr>
          <w:p w14:paraId="60D83C60" w14:textId="77777777" w:rsidR="006F3BF5" w:rsidRPr="00405303" w:rsidRDefault="006F3BF5" w:rsidP="00C15251">
            <w:pPr>
              <w:jc w:val="both"/>
              <w:rPr>
                <w:bCs/>
                <w:color w:val="002060"/>
                <w:sz w:val="16"/>
                <w:szCs w:val="16"/>
              </w:rPr>
            </w:pPr>
            <w:r w:rsidRPr="00405303">
              <w:rPr>
                <w:bCs/>
                <w:color w:val="002060"/>
                <w:sz w:val="16"/>
                <w:szCs w:val="16"/>
              </w:rPr>
              <w:t xml:space="preserve">357 </w:t>
            </w:r>
          </w:p>
        </w:tc>
      </w:tr>
    </w:tbl>
    <w:p w14:paraId="7158A287" w14:textId="77777777" w:rsidR="006F3BF5" w:rsidRPr="00405303" w:rsidRDefault="006F3BF5" w:rsidP="00C15251">
      <w:pPr>
        <w:jc w:val="both"/>
        <w:rPr>
          <w:bCs/>
          <w:color w:val="002060"/>
          <w:sz w:val="16"/>
          <w:szCs w:val="16"/>
        </w:rPr>
      </w:pPr>
      <w:r w:rsidRPr="00405303">
        <w:rPr>
          <w:bCs/>
          <w:color w:val="002060"/>
          <w:sz w:val="16"/>
          <w:szCs w:val="16"/>
        </w:rPr>
        <w:t xml:space="preserve">Если мы сравним вышенапечатанные цифры с соответствующими данными, приведенными для начала войны, то нельзя не констатировать роста наших воздушных сил. Но такое примитивное сравнение говорит слишком мало. Дело в том, что за тот же период времени возросла и самая численность Русской армии. К 1 сентября 1916 г. число пехотных дивизий в Действующей армии по сравнению с началом войны удвоилось. Таким образом, при сравнении сил наших воздушных войск начала войны и конца 1916 г. нужно принять во внимание, что во втором случае эти войска должны были обслуживать в два раза более численную армию. Подойдя к интересующему нас сравнению с такой точки зрения, мы должны прийти к заключению, что в конце 1916 г. Русская армия оказалась оборудованной авиацией лишь очень немногим лучше, нежели в начале войны. Но если принять во внимание то, что за 2,5 года войны германская армия, так </w:t>
      </w:r>
      <w:proofErr w:type="gramStart"/>
      <w:r w:rsidRPr="00405303">
        <w:rPr>
          <w:bCs/>
          <w:color w:val="002060"/>
          <w:sz w:val="16"/>
          <w:szCs w:val="16"/>
        </w:rPr>
        <w:t>же</w:t>
      </w:r>
      <w:proofErr w:type="gramEnd"/>
      <w:r w:rsidRPr="00405303">
        <w:rPr>
          <w:bCs/>
          <w:color w:val="002060"/>
          <w:sz w:val="16"/>
          <w:szCs w:val="16"/>
        </w:rPr>
        <w:t xml:space="preserve"> как и французская и британская, сделала громадные шаги по пути развития своих воздушных сил, то окажется, что к концу 1916 г. Русская армия стала еще беззащитнее в воздухе, чем была в 1914 году. В печатаемой ниже таблице приведены данные о произведенных нашей авиацией полетах с начала войны до 1 сентября 1916 г. </w:t>
      </w:r>
    </w:p>
    <w:p w14:paraId="7060147E" w14:textId="77777777" w:rsidR="006F3BF5" w:rsidRPr="00405303" w:rsidRDefault="006F3BF5" w:rsidP="00C15251">
      <w:pPr>
        <w:jc w:val="both"/>
        <w:rPr>
          <w:bCs/>
          <w:color w:val="002060"/>
          <w:sz w:val="16"/>
          <w:szCs w:val="16"/>
        </w:rPr>
      </w:pPr>
      <w:r w:rsidRPr="00405303">
        <w:rPr>
          <w:bCs/>
          <w:color w:val="002060"/>
          <w:sz w:val="16"/>
          <w:szCs w:val="16"/>
        </w:rPr>
        <w:t xml:space="preserve">Число полетов, произведенных русской авиацией с начала войны по 1(14) сентября 1916 г.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893"/>
        <w:gridCol w:w="728"/>
        <w:gridCol w:w="728"/>
        <w:gridCol w:w="728"/>
        <w:gridCol w:w="1031"/>
        <w:gridCol w:w="1031"/>
        <w:gridCol w:w="1031"/>
        <w:gridCol w:w="1062"/>
        <w:gridCol w:w="1062"/>
        <w:gridCol w:w="1062"/>
      </w:tblGrid>
      <w:tr w:rsidR="006F3BF5" w:rsidRPr="00405303" w14:paraId="5CE20590" w14:textId="77777777" w:rsidTr="00D34AC1">
        <w:tc>
          <w:tcPr>
            <w:tcW w:w="893" w:type="dxa"/>
          </w:tcPr>
          <w:p w14:paraId="30FF24EE" w14:textId="77777777" w:rsidR="006F3BF5" w:rsidRPr="00405303" w:rsidRDefault="006F3BF5" w:rsidP="00C15251">
            <w:pPr>
              <w:jc w:val="both"/>
              <w:rPr>
                <w:bCs/>
                <w:color w:val="002060"/>
                <w:sz w:val="16"/>
                <w:szCs w:val="16"/>
              </w:rPr>
            </w:pPr>
            <w:r w:rsidRPr="00405303">
              <w:rPr>
                <w:bCs/>
                <w:color w:val="002060"/>
                <w:sz w:val="16"/>
                <w:szCs w:val="16"/>
              </w:rPr>
              <w:t xml:space="preserve">Месяцы </w:t>
            </w:r>
          </w:p>
        </w:tc>
        <w:tc>
          <w:tcPr>
            <w:tcW w:w="8463" w:type="dxa"/>
            <w:gridSpan w:val="9"/>
          </w:tcPr>
          <w:p w14:paraId="47387B61" w14:textId="77777777" w:rsidR="006F3BF5" w:rsidRPr="00405303" w:rsidRDefault="006F3BF5" w:rsidP="00C15251">
            <w:pPr>
              <w:jc w:val="both"/>
              <w:rPr>
                <w:bCs/>
                <w:color w:val="002060"/>
                <w:sz w:val="16"/>
                <w:szCs w:val="16"/>
              </w:rPr>
            </w:pPr>
            <w:r w:rsidRPr="00405303">
              <w:rPr>
                <w:bCs/>
                <w:color w:val="002060"/>
                <w:sz w:val="16"/>
                <w:szCs w:val="16"/>
              </w:rPr>
              <w:t xml:space="preserve">Годы </w:t>
            </w:r>
          </w:p>
        </w:tc>
      </w:tr>
      <w:tr w:rsidR="006F3BF5" w:rsidRPr="00405303" w14:paraId="02CFBC26" w14:textId="77777777" w:rsidTr="00D34AC1">
        <w:tc>
          <w:tcPr>
            <w:tcW w:w="893" w:type="dxa"/>
          </w:tcPr>
          <w:p w14:paraId="65FC5088" w14:textId="77777777" w:rsidR="006F3BF5" w:rsidRPr="00405303" w:rsidRDefault="006F3BF5" w:rsidP="00C15251">
            <w:pPr>
              <w:jc w:val="both"/>
              <w:rPr>
                <w:bCs/>
                <w:color w:val="002060"/>
                <w:sz w:val="16"/>
                <w:szCs w:val="16"/>
              </w:rPr>
            </w:pPr>
          </w:p>
        </w:tc>
        <w:tc>
          <w:tcPr>
            <w:tcW w:w="2184" w:type="dxa"/>
            <w:gridSpan w:val="3"/>
          </w:tcPr>
          <w:p w14:paraId="1BAA6ED7" w14:textId="77777777" w:rsidR="006F3BF5" w:rsidRPr="00405303" w:rsidRDefault="006F3BF5" w:rsidP="00C15251">
            <w:pPr>
              <w:jc w:val="both"/>
              <w:rPr>
                <w:bCs/>
                <w:color w:val="002060"/>
                <w:sz w:val="16"/>
                <w:szCs w:val="16"/>
              </w:rPr>
            </w:pPr>
            <w:r w:rsidRPr="00405303">
              <w:rPr>
                <w:bCs/>
                <w:color w:val="002060"/>
                <w:sz w:val="16"/>
                <w:szCs w:val="16"/>
              </w:rPr>
              <w:t xml:space="preserve">Летало летчиков </w:t>
            </w:r>
          </w:p>
        </w:tc>
        <w:tc>
          <w:tcPr>
            <w:tcW w:w="3093" w:type="dxa"/>
            <w:gridSpan w:val="3"/>
          </w:tcPr>
          <w:p w14:paraId="746AE420" w14:textId="77777777" w:rsidR="006F3BF5" w:rsidRPr="00405303" w:rsidRDefault="006F3BF5" w:rsidP="00C15251">
            <w:pPr>
              <w:jc w:val="both"/>
              <w:rPr>
                <w:bCs/>
                <w:color w:val="002060"/>
                <w:sz w:val="16"/>
                <w:szCs w:val="16"/>
              </w:rPr>
            </w:pPr>
            <w:r w:rsidRPr="00405303">
              <w:rPr>
                <w:bCs/>
                <w:color w:val="002060"/>
                <w:sz w:val="16"/>
                <w:szCs w:val="16"/>
              </w:rPr>
              <w:t xml:space="preserve">Совершено всеми летчиками полетов </w:t>
            </w:r>
          </w:p>
        </w:tc>
        <w:tc>
          <w:tcPr>
            <w:tcW w:w="3186" w:type="dxa"/>
            <w:gridSpan w:val="3"/>
          </w:tcPr>
          <w:p w14:paraId="43BE9E67" w14:textId="77777777" w:rsidR="006F3BF5" w:rsidRPr="00405303" w:rsidRDefault="006F3BF5" w:rsidP="00C15251">
            <w:pPr>
              <w:jc w:val="both"/>
              <w:rPr>
                <w:bCs/>
                <w:color w:val="002060"/>
                <w:sz w:val="16"/>
                <w:szCs w:val="16"/>
              </w:rPr>
            </w:pPr>
            <w:r w:rsidRPr="00405303">
              <w:rPr>
                <w:bCs/>
                <w:color w:val="002060"/>
                <w:sz w:val="16"/>
                <w:szCs w:val="16"/>
              </w:rPr>
              <w:t xml:space="preserve">Общей продолжительностью (в часах) </w:t>
            </w:r>
          </w:p>
        </w:tc>
      </w:tr>
      <w:tr w:rsidR="006F3BF5" w:rsidRPr="00405303" w14:paraId="2977ABBF" w14:textId="77777777" w:rsidTr="00D34AC1">
        <w:tc>
          <w:tcPr>
            <w:tcW w:w="893" w:type="dxa"/>
          </w:tcPr>
          <w:p w14:paraId="7671B267" w14:textId="77777777" w:rsidR="006F3BF5" w:rsidRPr="00405303" w:rsidRDefault="006F3BF5" w:rsidP="00C15251">
            <w:pPr>
              <w:jc w:val="both"/>
              <w:rPr>
                <w:bCs/>
                <w:color w:val="002060"/>
                <w:sz w:val="16"/>
                <w:szCs w:val="16"/>
              </w:rPr>
            </w:pPr>
          </w:p>
        </w:tc>
        <w:tc>
          <w:tcPr>
            <w:tcW w:w="728" w:type="dxa"/>
          </w:tcPr>
          <w:p w14:paraId="02D606E5" w14:textId="77777777" w:rsidR="006F3BF5" w:rsidRPr="00405303" w:rsidRDefault="006F3BF5" w:rsidP="00C15251">
            <w:pPr>
              <w:jc w:val="both"/>
              <w:rPr>
                <w:bCs/>
                <w:color w:val="002060"/>
                <w:sz w:val="16"/>
                <w:szCs w:val="16"/>
              </w:rPr>
            </w:pPr>
            <w:r w:rsidRPr="00405303">
              <w:rPr>
                <w:bCs/>
                <w:color w:val="002060"/>
                <w:sz w:val="16"/>
                <w:szCs w:val="16"/>
              </w:rPr>
              <w:t xml:space="preserve">1914 г. </w:t>
            </w:r>
          </w:p>
        </w:tc>
        <w:tc>
          <w:tcPr>
            <w:tcW w:w="728" w:type="dxa"/>
          </w:tcPr>
          <w:p w14:paraId="67D331C4" w14:textId="77777777" w:rsidR="006F3BF5" w:rsidRPr="00405303" w:rsidRDefault="006F3BF5" w:rsidP="00C15251">
            <w:pPr>
              <w:jc w:val="both"/>
              <w:rPr>
                <w:bCs/>
                <w:color w:val="002060"/>
                <w:sz w:val="16"/>
                <w:szCs w:val="16"/>
              </w:rPr>
            </w:pPr>
            <w:r w:rsidRPr="00405303">
              <w:rPr>
                <w:bCs/>
                <w:color w:val="002060"/>
                <w:sz w:val="16"/>
                <w:szCs w:val="16"/>
              </w:rPr>
              <w:t xml:space="preserve">1915 г. </w:t>
            </w:r>
          </w:p>
        </w:tc>
        <w:tc>
          <w:tcPr>
            <w:tcW w:w="728" w:type="dxa"/>
          </w:tcPr>
          <w:p w14:paraId="2C291D59" w14:textId="77777777" w:rsidR="006F3BF5" w:rsidRPr="00405303" w:rsidRDefault="006F3BF5" w:rsidP="00C15251">
            <w:pPr>
              <w:jc w:val="both"/>
              <w:rPr>
                <w:bCs/>
                <w:color w:val="002060"/>
                <w:sz w:val="16"/>
                <w:szCs w:val="16"/>
              </w:rPr>
            </w:pPr>
            <w:r w:rsidRPr="00405303">
              <w:rPr>
                <w:bCs/>
                <w:color w:val="002060"/>
                <w:sz w:val="16"/>
                <w:szCs w:val="16"/>
              </w:rPr>
              <w:t xml:space="preserve">1916 г. </w:t>
            </w:r>
          </w:p>
        </w:tc>
        <w:tc>
          <w:tcPr>
            <w:tcW w:w="1031" w:type="dxa"/>
          </w:tcPr>
          <w:p w14:paraId="4057B473" w14:textId="77777777" w:rsidR="006F3BF5" w:rsidRPr="00405303" w:rsidRDefault="006F3BF5" w:rsidP="00C15251">
            <w:pPr>
              <w:jc w:val="both"/>
              <w:rPr>
                <w:bCs/>
                <w:color w:val="002060"/>
                <w:sz w:val="16"/>
                <w:szCs w:val="16"/>
              </w:rPr>
            </w:pPr>
            <w:r w:rsidRPr="00405303">
              <w:rPr>
                <w:bCs/>
                <w:color w:val="002060"/>
                <w:sz w:val="16"/>
                <w:szCs w:val="16"/>
              </w:rPr>
              <w:t xml:space="preserve">1914 г. </w:t>
            </w:r>
          </w:p>
        </w:tc>
        <w:tc>
          <w:tcPr>
            <w:tcW w:w="1031" w:type="dxa"/>
          </w:tcPr>
          <w:p w14:paraId="7FB286CD" w14:textId="77777777" w:rsidR="006F3BF5" w:rsidRPr="00405303" w:rsidRDefault="006F3BF5" w:rsidP="00C15251">
            <w:pPr>
              <w:jc w:val="both"/>
              <w:rPr>
                <w:bCs/>
                <w:color w:val="002060"/>
                <w:sz w:val="16"/>
                <w:szCs w:val="16"/>
              </w:rPr>
            </w:pPr>
            <w:r w:rsidRPr="00405303">
              <w:rPr>
                <w:bCs/>
                <w:color w:val="002060"/>
                <w:sz w:val="16"/>
                <w:szCs w:val="16"/>
              </w:rPr>
              <w:t xml:space="preserve">1915 г. </w:t>
            </w:r>
          </w:p>
        </w:tc>
        <w:tc>
          <w:tcPr>
            <w:tcW w:w="1031" w:type="dxa"/>
          </w:tcPr>
          <w:p w14:paraId="7EEA5D4E" w14:textId="77777777" w:rsidR="006F3BF5" w:rsidRPr="00405303" w:rsidRDefault="006F3BF5" w:rsidP="00C15251">
            <w:pPr>
              <w:jc w:val="both"/>
              <w:rPr>
                <w:bCs/>
                <w:color w:val="002060"/>
                <w:sz w:val="16"/>
                <w:szCs w:val="16"/>
              </w:rPr>
            </w:pPr>
            <w:r w:rsidRPr="00405303">
              <w:rPr>
                <w:bCs/>
                <w:color w:val="002060"/>
                <w:sz w:val="16"/>
                <w:szCs w:val="16"/>
              </w:rPr>
              <w:t xml:space="preserve">1916 г. </w:t>
            </w:r>
          </w:p>
        </w:tc>
        <w:tc>
          <w:tcPr>
            <w:tcW w:w="1062" w:type="dxa"/>
          </w:tcPr>
          <w:p w14:paraId="000A7CD7" w14:textId="77777777" w:rsidR="006F3BF5" w:rsidRPr="00405303" w:rsidRDefault="006F3BF5" w:rsidP="00C15251">
            <w:pPr>
              <w:jc w:val="both"/>
              <w:rPr>
                <w:bCs/>
                <w:color w:val="002060"/>
                <w:sz w:val="16"/>
                <w:szCs w:val="16"/>
              </w:rPr>
            </w:pPr>
            <w:r w:rsidRPr="00405303">
              <w:rPr>
                <w:bCs/>
                <w:color w:val="002060"/>
                <w:sz w:val="16"/>
                <w:szCs w:val="16"/>
              </w:rPr>
              <w:t xml:space="preserve">1914 г. </w:t>
            </w:r>
          </w:p>
        </w:tc>
        <w:tc>
          <w:tcPr>
            <w:tcW w:w="1062" w:type="dxa"/>
          </w:tcPr>
          <w:p w14:paraId="2D63EF31" w14:textId="77777777" w:rsidR="006F3BF5" w:rsidRPr="00405303" w:rsidRDefault="006F3BF5" w:rsidP="00C15251">
            <w:pPr>
              <w:jc w:val="both"/>
              <w:rPr>
                <w:bCs/>
                <w:color w:val="002060"/>
                <w:sz w:val="16"/>
                <w:szCs w:val="16"/>
              </w:rPr>
            </w:pPr>
            <w:r w:rsidRPr="00405303">
              <w:rPr>
                <w:bCs/>
                <w:color w:val="002060"/>
                <w:sz w:val="16"/>
                <w:szCs w:val="16"/>
              </w:rPr>
              <w:t xml:space="preserve">1915 г. </w:t>
            </w:r>
          </w:p>
        </w:tc>
        <w:tc>
          <w:tcPr>
            <w:tcW w:w="1062" w:type="dxa"/>
          </w:tcPr>
          <w:p w14:paraId="6DDBEF49" w14:textId="77777777" w:rsidR="006F3BF5" w:rsidRPr="00405303" w:rsidRDefault="006F3BF5" w:rsidP="00C15251">
            <w:pPr>
              <w:jc w:val="both"/>
              <w:rPr>
                <w:bCs/>
                <w:color w:val="002060"/>
                <w:sz w:val="16"/>
                <w:szCs w:val="16"/>
              </w:rPr>
            </w:pPr>
            <w:r w:rsidRPr="00405303">
              <w:rPr>
                <w:bCs/>
                <w:color w:val="002060"/>
                <w:sz w:val="16"/>
                <w:szCs w:val="16"/>
              </w:rPr>
              <w:t xml:space="preserve">1916 г. </w:t>
            </w:r>
          </w:p>
        </w:tc>
      </w:tr>
      <w:tr w:rsidR="006F3BF5" w:rsidRPr="00405303" w14:paraId="35976D55" w14:textId="77777777" w:rsidTr="00D34AC1">
        <w:tc>
          <w:tcPr>
            <w:tcW w:w="893" w:type="dxa"/>
          </w:tcPr>
          <w:p w14:paraId="6F048B56" w14:textId="77777777" w:rsidR="006F3BF5" w:rsidRPr="00405303" w:rsidRDefault="006F3BF5" w:rsidP="00C15251">
            <w:pPr>
              <w:jc w:val="both"/>
              <w:rPr>
                <w:bCs/>
                <w:color w:val="002060"/>
                <w:sz w:val="16"/>
                <w:szCs w:val="16"/>
              </w:rPr>
            </w:pPr>
            <w:r w:rsidRPr="00405303">
              <w:rPr>
                <w:bCs/>
                <w:color w:val="002060"/>
                <w:sz w:val="16"/>
                <w:szCs w:val="16"/>
              </w:rPr>
              <w:t xml:space="preserve">Январь </w:t>
            </w:r>
          </w:p>
        </w:tc>
        <w:tc>
          <w:tcPr>
            <w:tcW w:w="728" w:type="dxa"/>
          </w:tcPr>
          <w:p w14:paraId="1C6250FD"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728" w:type="dxa"/>
          </w:tcPr>
          <w:p w14:paraId="02C9BF5F" w14:textId="77777777" w:rsidR="006F3BF5" w:rsidRPr="00405303" w:rsidRDefault="006F3BF5" w:rsidP="00C15251">
            <w:pPr>
              <w:jc w:val="both"/>
              <w:rPr>
                <w:bCs/>
                <w:color w:val="002060"/>
                <w:sz w:val="16"/>
                <w:szCs w:val="16"/>
              </w:rPr>
            </w:pPr>
            <w:r w:rsidRPr="00405303">
              <w:rPr>
                <w:bCs/>
                <w:color w:val="002060"/>
                <w:sz w:val="16"/>
                <w:szCs w:val="16"/>
              </w:rPr>
              <w:t xml:space="preserve">148 </w:t>
            </w:r>
          </w:p>
        </w:tc>
        <w:tc>
          <w:tcPr>
            <w:tcW w:w="728" w:type="dxa"/>
          </w:tcPr>
          <w:p w14:paraId="10BF619A" w14:textId="77777777" w:rsidR="006F3BF5" w:rsidRPr="00405303" w:rsidRDefault="006F3BF5" w:rsidP="00C15251">
            <w:pPr>
              <w:jc w:val="both"/>
              <w:rPr>
                <w:bCs/>
                <w:color w:val="002060"/>
                <w:sz w:val="16"/>
                <w:szCs w:val="16"/>
              </w:rPr>
            </w:pPr>
            <w:r w:rsidRPr="00405303">
              <w:rPr>
                <w:bCs/>
                <w:color w:val="002060"/>
                <w:sz w:val="16"/>
                <w:szCs w:val="16"/>
              </w:rPr>
              <w:t xml:space="preserve">196 </w:t>
            </w:r>
          </w:p>
        </w:tc>
        <w:tc>
          <w:tcPr>
            <w:tcW w:w="1031" w:type="dxa"/>
          </w:tcPr>
          <w:p w14:paraId="19100C5E"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1031" w:type="dxa"/>
          </w:tcPr>
          <w:p w14:paraId="17B73E34" w14:textId="77777777" w:rsidR="006F3BF5" w:rsidRPr="00405303" w:rsidRDefault="006F3BF5" w:rsidP="00C15251">
            <w:pPr>
              <w:jc w:val="both"/>
              <w:rPr>
                <w:bCs/>
                <w:color w:val="002060"/>
                <w:sz w:val="16"/>
                <w:szCs w:val="16"/>
              </w:rPr>
            </w:pPr>
            <w:r w:rsidRPr="00405303">
              <w:rPr>
                <w:bCs/>
                <w:color w:val="002060"/>
                <w:sz w:val="16"/>
                <w:szCs w:val="16"/>
              </w:rPr>
              <w:t xml:space="preserve">725 </w:t>
            </w:r>
          </w:p>
        </w:tc>
        <w:tc>
          <w:tcPr>
            <w:tcW w:w="1031" w:type="dxa"/>
          </w:tcPr>
          <w:p w14:paraId="6BDA1260" w14:textId="77777777" w:rsidR="006F3BF5" w:rsidRPr="00405303" w:rsidRDefault="006F3BF5" w:rsidP="00C15251">
            <w:pPr>
              <w:jc w:val="both"/>
              <w:rPr>
                <w:bCs/>
                <w:color w:val="002060"/>
                <w:sz w:val="16"/>
                <w:szCs w:val="16"/>
              </w:rPr>
            </w:pPr>
            <w:r w:rsidRPr="00405303">
              <w:rPr>
                <w:bCs/>
                <w:color w:val="002060"/>
                <w:sz w:val="16"/>
                <w:szCs w:val="16"/>
              </w:rPr>
              <w:t xml:space="preserve">944 </w:t>
            </w:r>
          </w:p>
        </w:tc>
        <w:tc>
          <w:tcPr>
            <w:tcW w:w="1062" w:type="dxa"/>
          </w:tcPr>
          <w:p w14:paraId="27FFE3A3"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1062" w:type="dxa"/>
          </w:tcPr>
          <w:p w14:paraId="1ECCBA4F" w14:textId="77777777" w:rsidR="006F3BF5" w:rsidRPr="00405303" w:rsidRDefault="006F3BF5" w:rsidP="00C15251">
            <w:pPr>
              <w:jc w:val="both"/>
              <w:rPr>
                <w:bCs/>
                <w:color w:val="002060"/>
                <w:sz w:val="16"/>
                <w:szCs w:val="16"/>
              </w:rPr>
            </w:pPr>
            <w:r w:rsidRPr="00405303">
              <w:rPr>
                <w:bCs/>
                <w:color w:val="002060"/>
                <w:sz w:val="16"/>
                <w:szCs w:val="16"/>
              </w:rPr>
              <w:t xml:space="preserve">674 </w:t>
            </w:r>
          </w:p>
        </w:tc>
        <w:tc>
          <w:tcPr>
            <w:tcW w:w="1062" w:type="dxa"/>
          </w:tcPr>
          <w:p w14:paraId="2F14373A" w14:textId="77777777" w:rsidR="006F3BF5" w:rsidRPr="00405303" w:rsidRDefault="006F3BF5" w:rsidP="00C15251">
            <w:pPr>
              <w:jc w:val="both"/>
              <w:rPr>
                <w:bCs/>
                <w:color w:val="002060"/>
                <w:sz w:val="16"/>
                <w:szCs w:val="16"/>
              </w:rPr>
            </w:pPr>
            <w:r w:rsidRPr="00405303">
              <w:rPr>
                <w:bCs/>
                <w:color w:val="002060"/>
                <w:sz w:val="16"/>
                <w:szCs w:val="16"/>
              </w:rPr>
              <w:t xml:space="preserve">1331 </w:t>
            </w:r>
          </w:p>
        </w:tc>
      </w:tr>
      <w:tr w:rsidR="006F3BF5" w:rsidRPr="00405303" w14:paraId="7B12B909" w14:textId="77777777" w:rsidTr="00D34AC1">
        <w:tc>
          <w:tcPr>
            <w:tcW w:w="893" w:type="dxa"/>
          </w:tcPr>
          <w:p w14:paraId="0D4A37BD" w14:textId="77777777" w:rsidR="006F3BF5" w:rsidRPr="00405303" w:rsidRDefault="006F3BF5" w:rsidP="00C15251">
            <w:pPr>
              <w:jc w:val="both"/>
              <w:rPr>
                <w:bCs/>
                <w:color w:val="002060"/>
                <w:sz w:val="16"/>
                <w:szCs w:val="16"/>
              </w:rPr>
            </w:pPr>
            <w:r w:rsidRPr="00405303">
              <w:rPr>
                <w:bCs/>
                <w:color w:val="002060"/>
                <w:sz w:val="16"/>
                <w:szCs w:val="16"/>
              </w:rPr>
              <w:t xml:space="preserve">Февраль </w:t>
            </w:r>
          </w:p>
        </w:tc>
        <w:tc>
          <w:tcPr>
            <w:tcW w:w="728" w:type="dxa"/>
          </w:tcPr>
          <w:p w14:paraId="734909AD"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728" w:type="dxa"/>
          </w:tcPr>
          <w:p w14:paraId="54051EA5" w14:textId="77777777" w:rsidR="006F3BF5" w:rsidRPr="00405303" w:rsidRDefault="006F3BF5" w:rsidP="00C15251">
            <w:pPr>
              <w:jc w:val="both"/>
              <w:rPr>
                <w:bCs/>
                <w:color w:val="002060"/>
                <w:sz w:val="16"/>
                <w:szCs w:val="16"/>
              </w:rPr>
            </w:pPr>
            <w:r w:rsidRPr="00405303">
              <w:rPr>
                <w:bCs/>
                <w:color w:val="002060"/>
                <w:sz w:val="16"/>
                <w:szCs w:val="16"/>
              </w:rPr>
              <w:t xml:space="preserve">169 </w:t>
            </w:r>
          </w:p>
        </w:tc>
        <w:tc>
          <w:tcPr>
            <w:tcW w:w="728" w:type="dxa"/>
          </w:tcPr>
          <w:p w14:paraId="63756FE3" w14:textId="77777777" w:rsidR="006F3BF5" w:rsidRPr="00405303" w:rsidRDefault="006F3BF5" w:rsidP="00C15251">
            <w:pPr>
              <w:jc w:val="both"/>
              <w:rPr>
                <w:bCs/>
                <w:color w:val="002060"/>
                <w:sz w:val="16"/>
                <w:szCs w:val="16"/>
              </w:rPr>
            </w:pPr>
            <w:r w:rsidRPr="00405303">
              <w:rPr>
                <w:bCs/>
                <w:color w:val="002060"/>
                <w:sz w:val="16"/>
                <w:szCs w:val="16"/>
              </w:rPr>
              <w:t xml:space="preserve">165 </w:t>
            </w:r>
          </w:p>
        </w:tc>
        <w:tc>
          <w:tcPr>
            <w:tcW w:w="1031" w:type="dxa"/>
          </w:tcPr>
          <w:p w14:paraId="2B525067"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1031" w:type="dxa"/>
          </w:tcPr>
          <w:p w14:paraId="0FE33957" w14:textId="77777777" w:rsidR="006F3BF5" w:rsidRPr="00405303" w:rsidRDefault="006F3BF5" w:rsidP="00C15251">
            <w:pPr>
              <w:jc w:val="both"/>
              <w:rPr>
                <w:bCs/>
                <w:color w:val="002060"/>
                <w:sz w:val="16"/>
                <w:szCs w:val="16"/>
              </w:rPr>
            </w:pPr>
            <w:r w:rsidRPr="00405303">
              <w:rPr>
                <w:bCs/>
                <w:color w:val="002060"/>
                <w:sz w:val="16"/>
                <w:szCs w:val="16"/>
              </w:rPr>
              <w:t xml:space="preserve">967 </w:t>
            </w:r>
          </w:p>
        </w:tc>
        <w:tc>
          <w:tcPr>
            <w:tcW w:w="1031" w:type="dxa"/>
          </w:tcPr>
          <w:p w14:paraId="1B1B81BE" w14:textId="77777777" w:rsidR="006F3BF5" w:rsidRPr="00405303" w:rsidRDefault="006F3BF5" w:rsidP="00C15251">
            <w:pPr>
              <w:jc w:val="both"/>
              <w:rPr>
                <w:bCs/>
                <w:color w:val="002060"/>
                <w:sz w:val="16"/>
                <w:szCs w:val="16"/>
              </w:rPr>
            </w:pPr>
            <w:r w:rsidRPr="00405303">
              <w:rPr>
                <w:bCs/>
                <w:color w:val="002060"/>
                <w:sz w:val="16"/>
                <w:szCs w:val="16"/>
              </w:rPr>
              <w:t xml:space="preserve">728 </w:t>
            </w:r>
          </w:p>
        </w:tc>
        <w:tc>
          <w:tcPr>
            <w:tcW w:w="1062" w:type="dxa"/>
          </w:tcPr>
          <w:p w14:paraId="094D2646"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1062" w:type="dxa"/>
          </w:tcPr>
          <w:p w14:paraId="6FC21382" w14:textId="77777777" w:rsidR="006F3BF5" w:rsidRPr="00405303" w:rsidRDefault="006F3BF5" w:rsidP="00C15251">
            <w:pPr>
              <w:jc w:val="both"/>
              <w:rPr>
                <w:bCs/>
                <w:color w:val="002060"/>
                <w:sz w:val="16"/>
                <w:szCs w:val="16"/>
              </w:rPr>
            </w:pPr>
            <w:r w:rsidRPr="00405303">
              <w:rPr>
                <w:bCs/>
                <w:color w:val="002060"/>
                <w:sz w:val="16"/>
                <w:szCs w:val="16"/>
              </w:rPr>
              <w:t xml:space="preserve">965 </w:t>
            </w:r>
          </w:p>
        </w:tc>
        <w:tc>
          <w:tcPr>
            <w:tcW w:w="1062" w:type="dxa"/>
          </w:tcPr>
          <w:p w14:paraId="03735864" w14:textId="77777777" w:rsidR="006F3BF5" w:rsidRPr="00405303" w:rsidRDefault="006F3BF5" w:rsidP="00C15251">
            <w:pPr>
              <w:jc w:val="both"/>
              <w:rPr>
                <w:bCs/>
                <w:color w:val="002060"/>
                <w:sz w:val="16"/>
                <w:szCs w:val="16"/>
              </w:rPr>
            </w:pPr>
            <w:r w:rsidRPr="00405303">
              <w:rPr>
                <w:bCs/>
                <w:color w:val="002060"/>
                <w:sz w:val="16"/>
                <w:szCs w:val="16"/>
              </w:rPr>
              <w:t xml:space="preserve">882 </w:t>
            </w:r>
          </w:p>
        </w:tc>
      </w:tr>
      <w:tr w:rsidR="006F3BF5" w:rsidRPr="00405303" w14:paraId="31710D2C" w14:textId="77777777" w:rsidTr="00D34AC1">
        <w:tc>
          <w:tcPr>
            <w:tcW w:w="893" w:type="dxa"/>
          </w:tcPr>
          <w:p w14:paraId="18517DC4" w14:textId="77777777" w:rsidR="006F3BF5" w:rsidRPr="00405303" w:rsidRDefault="006F3BF5" w:rsidP="00C15251">
            <w:pPr>
              <w:jc w:val="both"/>
              <w:rPr>
                <w:bCs/>
                <w:color w:val="002060"/>
                <w:sz w:val="16"/>
                <w:szCs w:val="16"/>
              </w:rPr>
            </w:pPr>
            <w:r w:rsidRPr="00405303">
              <w:rPr>
                <w:bCs/>
                <w:color w:val="002060"/>
                <w:sz w:val="16"/>
                <w:szCs w:val="16"/>
              </w:rPr>
              <w:t xml:space="preserve">Март </w:t>
            </w:r>
          </w:p>
        </w:tc>
        <w:tc>
          <w:tcPr>
            <w:tcW w:w="728" w:type="dxa"/>
          </w:tcPr>
          <w:p w14:paraId="09528679"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728" w:type="dxa"/>
          </w:tcPr>
          <w:p w14:paraId="3DFD8143" w14:textId="77777777" w:rsidR="006F3BF5" w:rsidRPr="00405303" w:rsidRDefault="006F3BF5" w:rsidP="00C15251">
            <w:pPr>
              <w:jc w:val="both"/>
              <w:rPr>
                <w:bCs/>
                <w:color w:val="002060"/>
                <w:sz w:val="16"/>
                <w:szCs w:val="16"/>
              </w:rPr>
            </w:pPr>
            <w:r w:rsidRPr="00405303">
              <w:rPr>
                <w:bCs/>
                <w:color w:val="002060"/>
                <w:sz w:val="16"/>
                <w:szCs w:val="16"/>
              </w:rPr>
              <w:t xml:space="preserve">180 </w:t>
            </w:r>
          </w:p>
        </w:tc>
        <w:tc>
          <w:tcPr>
            <w:tcW w:w="728" w:type="dxa"/>
          </w:tcPr>
          <w:p w14:paraId="4154AEBF" w14:textId="77777777" w:rsidR="006F3BF5" w:rsidRPr="00405303" w:rsidRDefault="006F3BF5" w:rsidP="00C15251">
            <w:pPr>
              <w:jc w:val="both"/>
              <w:rPr>
                <w:bCs/>
                <w:color w:val="002060"/>
                <w:sz w:val="16"/>
                <w:szCs w:val="16"/>
              </w:rPr>
            </w:pPr>
            <w:r w:rsidRPr="00405303">
              <w:rPr>
                <w:bCs/>
                <w:color w:val="002060"/>
                <w:sz w:val="16"/>
                <w:szCs w:val="16"/>
              </w:rPr>
              <w:t xml:space="preserve">201 </w:t>
            </w:r>
          </w:p>
        </w:tc>
        <w:tc>
          <w:tcPr>
            <w:tcW w:w="1031" w:type="dxa"/>
          </w:tcPr>
          <w:p w14:paraId="68C0B332"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1031" w:type="dxa"/>
          </w:tcPr>
          <w:p w14:paraId="43A76EE3" w14:textId="77777777" w:rsidR="006F3BF5" w:rsidRPr="00405303" w:rsidRDefault="006F3BF5" w:rsidP="00C15251">
            <w:pPr>
              <w:jc w:val="both"/>
              <w:rPr>
                <w:bCs/>
                <w:color w:val="002060"/>
                <w:sz w:val="16"/>
                <w:szCs w:val="16"/>
              </w:rPr>
            </w:pPr>
            <w:r w:rsidRPr="00405303">
              <w:rPr>
                <w:bCs/>
                <w:color w:val="002060"/>
                <w:sz w:val="16"/>
                <w:szCs w:val="16"/>
              </w:rPr>
              <w:t xml:space="preserve">1021 </w:t>
            </w:r>
          </w:p>
        </w:tc>
        <w:tc>
          <w:tcPr>
            <w:tcW w:w="1031" w:type="dxa"/>
          </w:tcPr>
          <w:p w14:paraId="0955DF9F" w14:textId="77777777" w:rsidR="006F3BF5" w:rsidRPr="00405303" w:rsidRDefault="006F3BF5" w:rsidP="00C15251">
            <w:pPr>
              <w:jc w:val="both"/>
              <w:rPr>
                <w:bCs/>
                <w:color w:val="002060"/>
                <w:sz w:val="16"/>
                <w:szCs w:val="16"/>
              </w:rPr>
            </w:pPr>
            <w:r w:rsidRPr="00405303">
              <w:rPr>
                <w:bCs/>
                <w:color w:val="002060"/>
                <w:sz w:val="16"/>
                <w:szCs w:val="16"/>
              </w:rPr>
              <w:t xml:space="preserve">1230 </w:t>
            </w:r>
          </w:p>
        </w:tc>
        <w:tc>
          <w:tcPr>
            <w:tcW w:w="1062" w:type="dxa"/>
          </w:tcPr>
          <w:p w14:paraId="3E70927B"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1062" w:type="dxa"/>
          </w:tcPr>
          <w:p w14:paraId="7FB0499A" w14:textId="77777777" w:rsidR="006F3BF5" w:rsidRPr="00405303" w:rsidRDefault="006F3BF5" w:rsidP="00C15251">
            <w:pPr>
              <w:jc w:val="both"/>
              <w:rPr>
                <w:bCs/>
                <w:color w:val="002060"/>
                <w:sz w:val="16"/>
                <w:szCs w:val="16"/>
              </w:rPr>
            </w:pPr>
            <w:r w:rsidRPr="00405303">
              <w:rPr>
                <w:bCs/>
                <w:color w:val="002060"/>
                <w:sz w:val="16"/>
                <w:szCs w:val="16"/>
              </w:rPr>
              <w:t xml:space="preserve">1123 </w:t>
            </w:r>
          </w:p>
        </w:tc>
        <w:tc>
          <w:tcPr>
            <w:tcW w:w="1062" w:type="dxa"/>
          </w:tcPr>
          <w:p w14:paraId="29049FBE" w14:textId="77777777" w:rsidR="006F3BF5" w:rsidRPr="00405303" w:rsidRDefault="006F3BF5" w:rsidP="00C15251">
            <w:pPr>
              <w:jc w:val="both"/>
              <w:rPr>
                <w:bCs/>
                <w:color w:val="002060"/>
                <w:sz w:val="16"/>
                <w:szCs w:val="16"/>
              </w:rPr>
            </w:pPr>
            <w:r w:rsidRPr="00405303">
              <w:rPr>
                <w:bCs/>
                <w:color w:val="002060"/>
                <w:sz w:val="16"/>
                <w:szCs w:val="16"/>
              </w:rPr>
              <w:t xml:space="preserve">1816 </w:t>
            </w:r>
          </w:p>
        </w:tc>
      </w:tr>
      <w:tr w:rsidR="006F3BF5" w:rsidRPr="00405303" w14:paraId="2558BA7E" w14:textId="77777777" w:rsidTr="00D34AC1">
        <w:tc>
          <w:tcPr>
            <w:tcW w:w="893" w:type="dxa"/>
          </w:tcPr>
          <w:p w14:paraId="59131FF5" w14:textId="77777777" w:rsidR="006F3BF5" w:rsidRPr="00405303" w:rsidRDefault="006F3BF5" w:rsidP="00C15251">
            <w:pPr>
              <w:jc w:val="both"/>
              <w:rPr>
                <w:bCs/>
                <w:color w:val="002060"/>
                <w:sz w:val="16"/>
                <w:szCs w:val="16"/>
              </w:rPr>
            </w:pPr>
            <w:r w:rsidRPr="00405303">
              <w:rPr>
                <w:bCs/>
                <w:color w:val="002060"/>
                <w:sz w:val="16"/>
                <w:szCs w:val="16"/>
              </w:rPr>
              <w:t xml:space="preserve">Апрель </w:t>
            </w:r>
          </w:p>
        </w:tc>
        <w:tc>
          <w:tcPr>
            <w:tcW w:w="728" w:type="dxa"/>
          </w:tcPr>
          <w:p w14:paraId="4DBDE513"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728" w:type="dxa"/>
          </w:tcPr>
          <w:p w14:paraId="0909F966" w14:textId="77777777" w:rsidR="006F3BF5" w:rsidRPr="00405303" w:rsidRDefault="006F3BF5" w:rsidP="00C15251">
            <w:pPr>
              <w:jc w:val="both"/>
              <w:rPr>
                <w:bCs/>
                <w:color w:val="002060"/>
                <w:sz w:val="16"/>
                <w:szCs w:val="16"/>
              </w:rPr>
            </w:pPr>
            <w:r w:rsidRPr="00405303">
              <w:rPr>
                <w:bCs/>
                <w:color w:val="002060"/>
                <w:sz w:val="16"/>
                <w:szCs w:val="16"/>
              </w:rPr>
              <w:t xml:space="preserve">183 </w:t>
            </w:r>
          </w:p>
        </w:tc>
        <w:tc>
          <w:tcPr>
            <w:tcW w:w="728" w:type="dxa"/>
          </w:tcPr>
          <w:p w14:paraId="5EB17C52" w14:textId="77777777" w:rsidR="006F3BF5" w:rsidRPr="00405303" w:rsidRDefault="006F3BF5" w:rsidP="00C15251">
            <w:pPr>
              <w:jc w:val="both"/>
              <w:rPr>
                <w:bCs/>
                <w:color w:val="002060"/>
                <w:sz w:val="16"/>
                <w:szCs w:val="16"/>
              </w:rPr>
            </w:pPr>
            <w:r w:rsidRPr="00405303">
              <w:rPr>
                <w:bCs/>
                <w:color w:val="002060"/>
                <w:sz w:val="16"/>
                <w:szCs w:val="16"/>
              </w:rPr>
              <w:t xml:space="preserve">231 </w:t>
            </w:r>
          </w:p>
        </w:tc>
        <w:tc>
          <w:tcPr>
            <w:tcW w:w="1031" w:type="dxa"/>
          </w:tcPr>
          <w:p w14:paraId="59FB2D74"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1031" w:type="dxa"/>
          </w:tcPr>
          <w:p w14:paraId="140BA8EA" w14:textId="77777777" w:rsidR="006F3BF5" w:rsidRPr="00405303" w:rsidRDefault="006F3BF5" w:rsidP="00C15251">
            <w:pPr>
              <w:jc w:val="both"/>
              <w:rPr>
                <w:bCs/>
                <w:color w:val="002060"/>
                <w:sz w:val="16"/>
                <w:szCs w:val="16"/>
              </w:rPr>
            </w:pPr>
            <w:r w:rsidRPr="00405303">
              <w:rPr>
                <w:bCs/>
                <w:color w:val="002060"/>
                <w:sz w:val="16"/>
                <w:szCs w:val="16"/>
              </w:rPr>
              <w:t xml:space="preserve">1526 </w:t>
            </w:r>
          </w:p>
        </w:tc>
        <w:tc>
          <w:tcPr>
            <w:tcW w:w="1031" w:type="dxa"/>
          </w:tcPr>
          <w:p w14:paraId="1E5BD075" w14:textId="77777777" w:rsidR="006F3BF5" w:rsidRPr="00405303" w:rsidRDefault="006F3BF5" w:rsidP="00C15251">
            <w:pPr>
              <w:jc w:val="both"/>
              <w:rPr>
                <w:bCs/>
                <w:color w:val="002060"/>
                <w:sz w:val="16"/>
                <w:szCs w:val="16"/>
              </w:rPr>
            </w:pPr>
            <w:r w:rsidRPr="00405303">
              <w:rPr>
                <w:bCs/>
                <w:color w:val="002060"/>
                <w:sz w:val="16"/>
                <w:szCs w:val="16"/>
              </w:rPr>
              <w:t xml:space="preserve">1454 </w:t>
            </w:r>
          </w:p>
        </w:tc>
        <w:tc>
          <w:tcPr>
            <w:tcW w:w="1062" w:type="dxa"/>
          </w:tcPr>
          <w:p w14:paraId="4358DBDD"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1062" w:type="dxa"/>
          </w:tcPr>
          <w:p w14:paraId="42F79270" w14:textId="77777777" w:rsidR="006F3BF5" w:rsidRPr="00405303" w:rsidRDefault="006F3BF5" w:rsidP="00C15251">
            <w:pPr>
              <w:jc w:val="both"/>
              <w:rPr>
                <w:bCs/>
                <w:color w:val="002060"/>
                <w:sz w:val="16"/>
                <w:szCs w:val="16"/>
              </w:rPr>
            </w:pPr>
            <w:r w:rsidRPr="00405303">
              <w:rPr>
                <w:bCs/>
                <w:color w:val="002060"/>
                <w:sz w:val="16"/>
                <w:szCs w:val="16"/>
              </w:rPr>
              <w:t xml:space="preserve">1912 </w:t>
            </w:r>
          </w:p>
        </w:tc>
        <w:tc>
          <w:tcPr>
            <w:tcW w:w="1062" w:type="dxa"/>
          </w:tcPr>
          <w:p w14:paraId="2EB9B4C5" w14:textId="77777777" w:rsidR="006F3BF5" w:rsidRPr="00405303" w:rsidRDefault="006F3BF5" w:rsidP="00C15251">
            <w:pPr>
              <w:jc w:val="both"/>
              <w:rPr>
                <w:bCs/>
                <w:color w:val="002060"/>
                <w:sz w:val="16"/>
                <w:szCs w:val="16"/>
              </w:rPr>
            </w:pPr>
            <w:r w:rsidRPr="00405303">
              <w:rPr>
                <w:bCs/>
                <w:color w:val="002060"/>
                <w:sz w:val="16"/>
                <w:szCs w:val="16"/>
              </w:rPr>
              <w:t xml:space="preserve">2059 </w:t>
            </w:r>
          </w:p>
        </w:tc>
      </w:tr>
      <w:tr w:rsidR="006F3BF5" w:rsidRPr="00405303" w14:paraId="12EABCA1" w14:textId="77777777" w:rsidTr="00D34AC1">
        <w:tc>
          <w:tcPr>
            <w:tcW w:w="893" w:type="dxa"/>
          </w:tcPr>
          <w:p w14:paraId="57F72DD7" w14:textId="77777777" w:rsidR="006F3BF5" w:rsidRPr="00405303" w:rsidRDefault="006F3BF5" w:rsidP="00C15251">
            <w:pPr>
              <w:jc w:val="both"/>
              <w:rPr>
                <w:bCs/>
                <w:color w:val="002060"/>
                <w:sz w:val="16"/>
                <w:szCs w:val="16"/>
              </w:rPr>
            </w:pPr>
            <w:r w:rsidRPr="00405303">
              <w:rPr>
                <w:bCs/>
                <w:color w:val="002060"/>
                <w:sz w:val="16"/>
                <w:szCs w:val="16"/>
              </w:rPr>
              <w:t xml:space="preserve">Май </w:t>
            </w:r>
          </w:p>
        </w:tc>
        <w:tc>
          <w:tcPr>
            <w:tcW w:w="728" w:type="dxa"/>
          </w:tcPr>
          <w:p w14:paraId="40A6888B"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728" w:type="dxa"/>
          </w:tcPr>
          <w:p w14:paraId="4FD10480" w14:textId="77777777" w:rsidR="006F3BF5" w:rsidRPr="00405303" w:rsidRDefault="006F3BF5" w:rsidP="00C15251">
            <w:pPr>
              <w:jc w:val="both"/>
              <w:rPr>
                <w:bCs/>
                <w:color w:val="002060"/>
                <w:sz w:val="16"/>
                <w:szCs w:val="16"/>
              </w:rPr>
            </w:pPr>
            <w:r w:rsidRPr="00405303">
              <w:rPr>
                <w:bCs/>
                <w:color w:val="002060"/>
                <w:sz w:val="16"/>
                <w:szCs w:val="16"/>
              </w:rPr>
              <w:t xml:space="preserve">193 </w:t>
            </w:r>
          </w:p>
        </w:tc>
        <w:tc>
          <w:tcPr>
            <w:tcW w:w="728" w:type="dxa"/>
          </w:tcPr>
          <w:p w14:paraId="20A691B2" w14:textId="77777777" w:rsidR="006F3BF5" w:rsidRPr="00405303" w:rsidRDefault="006F3BF5" w:rsidP="00C15251">
            <w:pPr>
              <w:jc w:val="both"/>
              <w:rPr>
                <w:bCs/>
                <w:color w:val="002060"/>
                <w:sz w:val="16"/>
                <w:szCs w:val="16"/>
              </w:rPr>
            </w:pPr>
            <w:r w:rsidRPr="00405303">
              <w:rPr>
                <w:bCs/>
                <w:color w:val="002060"/>
                <w:sz w:val="16"/>
                <w:szCs w:val="16"/>
              </w:rPr>
              <w:t xml:space="preserve">256 </w:t>
            </w:r>
          </w:p>
        </w:tc>
        <w:tc>
          <w:tcPr>
            <w:tcW w:w="1031" w:type="dxa"/>
          </w:tcPr>
          <w:p w14:paraId="3130226C"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1031" w:type="dxa"/>
          </w:tcPr>
          <w:p w14:paraId="1EA54B06" w14:textId="77777777" w:rsidR="006F3BF5" w:rsidRPr="00405303" w:rsidRDefault="006F3BF5" w:rsidP="00C15251">
            <w:pPr>
              <w:jc w:val="both"/>
              <w:rPr>
                <w:bCs/>
                <w:color w:val="002060"/>
                <w:sz w:val="16"/>
                <w:szCs w:val="16"/>
              </w:rPr>
            </w:pPr>
            <w:r w:rsidRPr="00405303">
              <w:rPr>
                <w:bCs/>
                <w:color w:val="002060"/>
                <w:sz w:val="16"/>
                <w:szCs w:val="16"/>
              </w:rPr>
              <w:t xml:space="preserve">1713 </w:t>
            </w:r>
          </w:p>
        </w:tc>
        <w:tc>
          <w:tcPr>
            <w:tcW w:w="1031" w:type="dxa"/>
          </w:tcPr>
          <w:p w14:paraId="463BEB16" w14:textId="77777777" w:rsidR="006F3BF5" w:rsidRPr="00405303" w:rsidRDefault="006F3BF5" w:rsidP="00C15251">
            <w:pPr>
              <w:jc w:val="both"/>
              <w:rPr>
                <w:bCs/>
                <w:color w:val="002060"/>
                <w:sz w:val="16"/>
                <w:szCs w:val="16"/>
              </w:rPr>
            </w:pPr>
            <w:r w:rsidRPr="00405303">
              <w:rPr>
                <w:bCs/>
                <w:color w:val="002060"/>
                <w:sz w:val="16"/>
                <w:szCs w:val="16"/>
              </w:rPr>
              <w:t xml:space="preserve">2234 </w:t>
            </w:r>
          </w:p>
        </w:tc>
        <w:tc>
          <w:tcPr>
            <w:tcW w:w="1062" w:type="dxa"/>
          </w:tcPr>
          <w:p w14:paraId="03B696E5"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1062" w:type="dxa"/>
          </w:tcPr>
          <w:p w14:paraId="0EC771E3" w14:textId="77777777" w:rsidR="006F3BF5" w:rsidRPr="00405303" w:rsidRDefault="006F3BF5" w:rsidP="00C15251">
            <w:pPr>
              <w:jc w:val="both"/>
              <w:rPr>
                <w:bCs/>
                <w:color w:val="002060"/>
                <w:sz w:val="16"/>
                <w:szCs w:val="16"/>
              </w:rPr>
            </w:pPr>
            <w:r w:rsidRPr="00405303">
              <w:rPr>
                <w:bCs/>
                <w:color w:val="002060"/>
                <w:sz w:val="16"/>
                <w:szCs w:val="16"/>
              </w:rPr>
              <w:t xml:space="preserve">1954 </w:t>
            </w:r>
          </w:p>
        </w:tc>
        <w:tc>
          <w:tcPr>
            <w:tcW w:w="1062" w:type="dxa"/>
          </w:tcPr>
          <w:p w14:paraId="1468C8C4" w14:textId="77777777" w:rsidR="006F3BF5" w:rsidRPr="00405303" w:rsidRDefault="006F3BF5" w:rsidP="00C15251">
            <w:pPr>
              <w:jc w:val="both"/>
              <w:rPr>
                <w:bCs/>
                <w:color w:val="002060"/>
                <w:sz w:val="16"/>
                <w:szCs w:val="16"/>
              </w:rPr>
            </w:pPr>
            <w:r w:rsidRPr="00405303">
              <w:rPr>
                <w:bCs/>
                <w:color w:val="002060"/>
                <w:sz w:val="16"/>
                <w:szCs w:val="16"/>
              </w:rPr>
              <w:t xml:space="preserve">3101 </w:t>
            </w:r>
          </w:p>
        </w:tc>
      </w:tr>
      <w:tr w:rsidR="006F3BF5" w:rsidRPr="00405303" w14:paraId="06295AE8" w14:textId="77777777" w:rsidTr="00D34AC1">
        <w:tc>
          <w:tcPr>
            <w:tcW w:w="893" w:type="dxa"/>
          </w:tcPr>
          <w:p w14:paraId="52533385" w14:textId="77777777" w:rsidR="006F3BF5" w:rsidRPr="00405303" w:rsidRDefault="006F3BF5" w:rsidP="00C15251">
            <w:pPr>
              <w:jc w:val="both"/>
              <w:rPr>
                <w:bCs/>
                <w:color w:val="002060"/>
                <w:sz w:val="16"/>
                <w:szCs w:val="16"/>
              </w:rPr>
            </w:pPr>
            <w:r w:rsidRPr="00405303">
              <w:rPr>
                <w:bCs/>
                <w:color w:val="002060"/>
                <w:sz w:val="16"/>
                <w:szCs w:val="16"/>
              </w:rPr>
              <w:t xml:space="preserve">Июнь </w:t>
            </w:r>
          </w:p>
        </w:tc>
        <w:tc>
          <w:tcPr>
            <w:tcW w:w="728" w:type="dxa"/>
          </w:tcPr>
          <w:p w14:paraId="5CEC56A6"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728" w:type="dxa"/>
          </w:tcPr>
          <w:p w14:paraId="71C4F645" w14:textId="77777777" w:rsidR="006F3BF5" w:rsidRPr="00405303" w:rsidRDefault="006F3BF5" w:rsidP="00C15251">
            <w:pPr>
              <w:jc w:val="both"/>
              <w:rPr>
                <w:bCs/>
                <w:color w:val="002060"/>
                <w:sz w:val="16"/>
                <w:szCs w:val="16"/>
              </w:rPr>
            </w:pPr>
            <w:r w:rsidRPr="00405303">
              <w:rPr>
                <w:bCs/>
                <w:color w:val="002060"/>
                <w:sz w:val="16"/>
                <w:szCs w:val="16"/>
              </w:rPr>
              <w:t xml:space="preserve">191 </w:t>
            </w:r>
          </w:p>
        </w:tc>
        <w:tc>
          <w:tcPr>
            <w:tcW w:w="728" w:type="dxa"/>
          </w:tcPr>
          <w:p w14:paraId="2C289859" w14:textId="77777777" w:rsidR="006F3BF5" w:rsidRPr="00405303" w:rsidRDefault="006F3BF5" w:rsidP="00C15251">
            <w:pPr>
              <w:jc w:val="both"/>
              <w:rPr>
                <w:bCs/>
                <w:color w:val="002060"/>
                <w:sz w:val="16"/>
                <w:szCs w:val="16"/>
              </w:rPr>
            </w:pPr>
            <w:r w:rsidRPr="00405303">
              <w:rPr>
                <w:bCs/>
                <w:color w:val="002060"/>
                <w:sz w:val="16"/>
                <w:szCs w:val="16"/>
              </w:rPr>
              <w:t xml:space="preserve">265 </w:t>
            </w:r>
          </w:p>
        </w:tc>
        <w:tc>
          <w:tcPr>
            <w:tcW w:w="1031" w:type="dxa"/>
          </w:tcPr>
          <w:p w14:paraId="2C695BBC"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1031" w:type="dxa"/>
          </w:tcPr>
          <w:p w14:paraId="60F1071F" w14:textId="77777777" w:rsidR="006F3BF5" w:rsidRPr="00405303" w:rsidRDefault="006F3BF5" w:rsidP="00C15251">
            <w:pPr>
              <w:jc w:val="both"/>
              <w:rPr>
                <w:bCs/>
                <w:color w:val="002060"/>
                <w:sz w:val="16"/>
                <w:szCs w:val="16"/>
              </w:rPr>
            </w:pPr>
            <w:r w:rsidRPr="00405303">
              <w:rPr>
                <w:bCs/>
                <w:color w:val="002060"/>
                <w:sz w:val="16"/>
                <w:szCs w:val="16"/>
              </w:rPr>
              <w:t xml:space="preserve">1603 </w:t>
            </w:r>
          </w:p>
        </w:tc>
        <w:tc>
          <w:tcPr>
            <w:tcW w:w="1031" w:type="dxa"/>
          </w:tcPr>
          <w:p w14:paraId="19AB2993" w14:textId="77777777" w:rsidR="006F3BF5" w:rsidRPr="00405303" w:rsidRDefault="006F3BF5" w:rsidP="00C15251">
            <w:pPr>
              <w:jc w:val="both"/>
              <w:rPr>
                <w:bCs/>
                <w:color w:val="002060"/>
                <w:sz w:val="16"/>
                <w:szCs w:val="16"/>
              </w:rPr>
            </w:pPr>
            <w:r w:rsidRPr="00405303">
              <w:rPr>
                <w:bCs/>
                <w:color w:val="002060"/>
                <w:sz w:val="16"/>
                <w:szCs w:val="16"/>
              </w:rPr>
              <w:t xml:space="preserve">1441 </w:t>
            </w:r>
          </w:p>
        </w:tc>
        <w:tc>
          <w:tcPr>
            <w:tcW w:w="1062" w:type="dxa"/>
          </w:tcPr>
          <w:p w14:paraId="5666A2CD"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1062" w:type="dxa"/>
          </w:tcPr>
          <w:p w14:paraId="3A80675E" w14:textId="77777777" w:rsidR="006F3BF5" w:rsidRPr="00405303" w:rsidRDefault="006F3BF5" w:rsidP="00C15251">
            <w:pPr>
              <w:jc w:val="both"/>
              <w:rPr>
                <w:bCs/>
                <w:color w:val="002060"/>
                <w:sz w:val="16"/>
                <w:szCs w:val="16"/>
              </w:rPr>
            </w:pPr>
            <w:r w:rsidRPr="00405303">
              <w:rPr>
                <w:bCs/>
                <w:color w:val="002060"/>
                <w:sz w:val="16"/>
                <w:szCs w:val="16"/>
              </w:rPr>
              <w:t xml:space="preserve">1728 </w:t>
            </w:r>
          </w:p>
        </w:tc>
        <w:tc>
          <w:tcPr>
            <w:tcW w:w="1062" w:type="dxa"/>
          </w:tcPr>
          <w:p w14:paraId="6B0A5344" w14:textId="77777777" w:rsidR="006F3BF5" w:rsidRPr="00405303" w:rsidRDefault="006F3BF5" w:rsidP="00C15251">
            <w:pPr>
              <w:jc w:val="both"/>
              <w:rPr>
                <w:bCs/>
                <w:color w:val="002060"/>
                <w:sz w:val="16"/>
                <w:szCs w:val="16"/>
              </w:rPr>
            </w:pPr>
            <w:r w:rsidRPr="00405303">
              <w:rPr>
                <w:bCs/>
                <w:color w:val="002060"/>
                <w:sz w:val="16"/>
                <w:szCs w:val="16"/>
              </w:rPr>
              <w:t xml:space="preserve">2592 </w:t>
            </w:r>
          </w:p>
        </w:tc>
      </w:tr>
      <w:tr w:rsidR="006F3BF5" w:rsidRPr="00405303" w14:paraId="3AEAEA46" w14:textId="77777777" w:rsidTr="00D34AC1">
        <w:tc>
          <w:tcPr>
            <w:tcW w:w="893" w:type="dxa"/>
          </w:tcPr>
          <w:p w14:paraId="7B912BDA" w14:textId="77777777" w:rsidR="006F3BF5" w:rsidRPr="00405303" w:rsidRDefault="006F3BF5" w:rsidP="00C15251">
            <w:pPr>
              <w:jc w:val="both"/>
              <w:rPr>
                <w:bCs/>
                <w:color w:val="002060"/>
                <w:sz w:val="16"/>
                <w:szCs w:val="16"/>
              </w:rPr>
            </w:pPr>
            <w:r w:rsidRPr="00405303">
              <w:rPr>
                <w:bCs/>
                <w:color w:val="002060"/>
                <w:sz w:val="16"/>
                <w:szCs w:val="16"/>
              </w:rPr>
              <w:t xml:space="preserve">Июль </w:t>
            </w:r>
          </w:p>
        </w:tc>
        <w:tc>
          <w:tcPr>
            <w:tcW w:w="728" w:type="dxa"/>
          </w:tcPr>
          <w:p w14:paraId="0B4C4588" w14:textId="77777777" w:rsidR="006F3BF5" w:rsidRPr="00405303" w:rsidRDefault="006F3BF5" w:rsidP="00C15251">
            <w:pPr>
              <w:jc w:val="both"/>
              <w:rPr>
                <w:bCs/>
                <w:color w:val="002060"/>
                <w:sz w:val="16"/>
                <w:szCs w:val="16"/>
              </w:rPr>
            </w:pPr>
            <w:r w:rsidRPr="00405303">
              <w:rPr>
                <w:bCs/>
                <w:color w:val="002060"/>
                <w:sz w:val="16"/>
                <w:szCs w:val="16"/>
              </w:rPr>
              <w:t xml:space="preserve">129 </w:t>
            </w:r>
          </w:p>
        </w:tc>
        <w:tc>
          <w:tcPr>
            <w:tcW w:w="728" w:type="dxa"/>
          </w:tcPr>
          <w:p w14:paraId="08142549" w14:textId="77777777" w:rsidR="006F3BF5" w:rsidRPr="00405303" w:rsidRDefault="006F3BF5" w:rsidP="00C15251">
            <w:pPr>
              <w:jc w:val="both"/>
              <w:rPr>
                <w:bCs/>
                <w:color w:val="002060"/>
                <w:sz w:val="16"/>
                <w:szCs w:val="16"/>
              </w:rPr>
            </w:pPr>
            <w:r w:rsidRPr="00405303">
              <w:rPr>
                <w:bCs/>
                <w:color w:val="002060"/>
                <w:sz w:val="16"/>
                <w:szCs w:val="16"/>
              </w:rPr>
              <w:t xml:space="preserve">202 </w:t>
            </w:r>
          </w:p>
        </w:tc>
        <w:tc>
          <w:tcPr>
            <w:tcW w:w="728" w:type="dxa"/>
          </w:tcPr>
          <w:p w14:paraId="07E721D0" w14:textId="77777777" w:rsidR="006F3BF5" w:rsidRPr="00405303" w:rsidRDefault="006F3BF5" w:rsidP="00C15251">
            <w:pPr>
              <w:jc w:val="both"/>
              <w:rPr>
                <w:bCs/>
                <w:color w:val="002060"/>
                <w:sz w:val="16"/>
                <w:szCs w:val="16"/>
              </w:rPr>
            </w:pPr>
            <w:r w:rsidRPr="00405303">
              <w:rPr>
                <w:bCs/>
                <w:color w:val="002060"/>
                <w:sz w:val="16"/>
                <w:szCs w:val="16"/>
              </w:rPr>
              <w:t xml:space="preserve">299 </w:t>
            </w:r>
          </w:p>
        </w:tc>
        <w:tc>
          <w:tcPr>
            <w:tcW w:w="1031" w:type="dxa"/>
          </w:tcPr>
          <w:p w14:paraId="4908D632" w14:textId="77777777" w:rsidR="006F3BF5" w:rsidRPr="00405303" w:rsidRDefault="006F3BF5" w:rsidP="00C15251">
            <w:pPr>
              <w:jc w:val="both"/>
              <w:rPr>
                <w:bCs/>
                <w:color w:val="002060"/>
                <w:sz w:val="16"/>
                <w:szCs w:val="16"/>
              </w:rPr>
            </w:pPr>
            <w:r w:rsidRPr="00405303">
              <w:rPr>
                <w:bCs/>
                <w:color w:val="002060"/>
                <w:sz w:val="16"/>
                <w:szCs w:val="16"/>
              </w:rPr>
              <w:t xml:space="preserve">1162 </w:t>
            </w:r>
          </w:p>
        </w:tc>
        <w:tc>
          <w:tcPr>
            <w:tcW w:w="1031" w:type="dxa"/>
          </w:tcPr>
          <w:p w14:paraId="730E0764" w14:textId="77777777" w:rsidR="006F3BF5" w:rsidRPr="00405303" w:rsidRDefault="006F3BF5" w:rsidP="00C15251">
            <w:pPr>
              <w:jc w:val="both"/>
              <w:rPr>
                <w:bCs/>
                <w:color w:val="002060"/>
                <w:sz w:val="16"/>
                <w:szCs w:val="16"/>
              </w:rPr>
            </w:pPr>
            <w:r w:rsidRPr="00405303">
              <w:rPr>
                <w:bCs/>
                <w:color w:val="002060"/>
                <w:sz w:val="16"/>
                <w:szCs w:val="16"/>
              </w:rPr>
              <w:t xml:space="preserve">1841 </w:t>
            </w:r>
          </w:p>
        </w:tc>
        <w:tc>
          <w:tcPr>
            <w:tcW w:w="1031" w:type="dxa"/>
          </w:tcPr>
          <w:p w14:paraId="7C3E6F40" w14:textId="77777777" w:rsidR="006F3BF5" w:rsidRPr="00405303" w:rsidRDefault="006F3BF5" w:rsidP="00C15251">
            <w:pPr>
              <w:jc w:val="both"/>
              <w:rPr>
                <w:bCs/>
                <w:color w:val="002060"/>
                <w:sz w:val="16"/>
                <w:szCs w:val="16"/>
              </w:rPr>
            </w:pPr>
            <w:r w:rsidRPr="00405303">
              <w:rPr>
                <w:bCs/>
                <w:color w:val="002060"/>
                <w:sz w:val="16"/>
                <w:szCs w:val="16"/>
              </w:rPr>
              <w:t xml:space="preserve">1347 </w:t>
            </w:r>
          </w:p>
        </w:tc>
        <w:tc>
          <w:tcPr>
            <w:tcW w:w="1062" w:type="dxa"/>
          </w:tcPr>
          <w:p w14:paraId="023EE80F" w14:textId="77777777" w:rsidR="006F3BF5" w:rsidRPr="00405303" w:rsidRDefault="006F3BF5" w:rsidP="00C15251">
            <w:pPr>
              <w:jc w:val="both"/>
              <w:rPr>
                <w:bCs/>
                <w:color w:val="002060"/>
                <w:sz w:val="16"/>
                <w:szCs w:val="16"/>
              </w:rPr>
            </w:pPr>
            <w:r w:rsidRPr="00405303">
              <w:rPr>
                <w:bCs/>
                <w:color w:val="002060"/>
                <w:sz w:val="16"/>
                <w:szCs w:val="16"/>
              </w:rPr>
              <w:t xml:space="preserve">1151 </w:t>
            </w:r>
          </w:p>
        </w:tc>
        <w:tc>
          <w:tcPr>
            <w:tcW w:w="1062" w:type="dxa"/>
          </w:tcPr>
          <w:p w14:paraId="42593A07" w14:textId="77777777" w:rsidR="006F3BF5" w:rsidRPr="00405303" w:rsidRDefault="006F3BF5" w:rsidP="00C15251">
            <w:pPr>
              <w:jc w:val="both"/>
              <w:rPr>
                <w:bCs/>
                <w:color w:val="002060"/>
                <w:sz w:val="16"/>
                <w:szCs w:val="16"/>
              </w:rPr>
            </w:pPr>
            <w:r w:rsidRPr="00405303">
              <w:rPr>
                <w:bCs/>
                <w:color w:val="002060"/>
                <w:sz w:val="16"/>
                <w:szCs w:val="16"/>
              </w:rPr>
              <w:t xml:space="preserve">2150 </w:t>
            </w:r>
          </w:p>
        </w:tc>
        <w:tc>
          <w:tcPr>
            <w:tcW w:w="1062" w:type="dxa"/>
          </w:tcPr>
          <w:p w14:paraId="7413E952" w14:textId="77777777" w:rsidR="006F3BF5" w:rsidRPr="00405303" w:rsidRDefault="006F3BF5" w:rsidP="00C15251">
            <w:pPr>
              <w:jc w:val="both"/>
              <w:rPr>
                <w:bCs/>
                <w:color w:val="002060"/>
                <w:sz w:val="16"/>
                <w:szCs w:val="16"/>
              </w:rPr>
            </w:pPr>
            <w:r w:rsidRPr="00405303">
              <w:rPr>
                <w:bCs/>
                <w:color w:val="002060"/>
                <w:sz w:val="16"/>
                <w:szCs w:val="16"/>
              </w:rPr>
              <w:t xml:space="preserve">2440 </w:t>
            </w:r>
          </w:p>
        </w:tc>
      </w:tr>
      <w:tr w:rsidR="006F3BF5" w:rsidRPr="00405303" w14:paraId="4A519513" w14:textId="77777777" w:rsidTr="00D34AC1">
        <w:tc>
          <w:tcPr>
            <w:tcW w:w="893" w:type="dxa"/>
          </w:tcPr>
          <w:p w14:paraId="612A4017" w14:textId="77777777" w:rsidR="006F3BF5" w:rsidRPr="00405303" w:rsidRDefault="006F3BF5" w:rsidP="00C15251">
            <w:pPr>
              <w:jc w:val="both"/>
              <w:rPr>
                <w:bCs/>
                <w:color w:val="002060"/>
                <w:sz w:val="16"/>
                <w:szCs w:val="16"/>
              </w:rPr>
            </w:pPr>
            <w:r w:rsidRPr="00405303">
              <w:rPr>
                <w:bCs/>
                <w:color w:val="002060"/>
                <w:sz w:val="16"/>
                <w:szCs w:val="16"/>
              </w:rPr>
              <w:t xml:space="preserve">Август </w:t>
            </w:r>
          </w:p>
        </w:tc>
        <w:tc>
          <w:tcPr>
            <w:tcW w:w="728" w:type="dxa"/>
          </w:tcPr>
          <w:p w14:paraId="2CE9A931"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728" w:type="dxa"/>
          </w:tcPr>
          <w:p w14:paraId="1B0C99CA" w14:textId="77777777" w:rsidR="006F3BF5" w:rsidRPr="00405303" w:rsidRDefault="006F3BF5" w:rsidP="00C15251">
            <w:pPr>
              <w:jc w:val="both"/>
              <w:rPr>
                <w:bCs/>
                <w:color w:val="002060"/>
                <w:sz w:val="16"/>
                <w:szCs w:val="16"/>
              </w:rPr>
            </w:pPr>
            <w:r w:rsidRPr="00405303">
              <w:rPr>
                <w:bCs/>
                <w:color w:val="002060"/>
                <w:sz w:val="16"/>
                <w:szCs w:val="16"/>
              </w:rPr>
              <w:t xml:space="preserve">192 </w:t>
            </w:r>
          </w:p>
        </w:tc>
        <w:tc>
          <w:tcPr>
            <w:tcW w:w="728" w:type="dxa"/>
          </w:tcPr>
          <w:p w14:paraId="4D749DD1" w14:textId="77777777" w:rsidR="006F3BF5" w:rsidRPr="00405303" w:rsidRDefault="006F3BF5" w:rsidP="00C15251">
            <w:pPr>
              <w:jc w:val="both"/>
              <w:rPr>
                <w:bCs/>
                <w:color w:val="002060"/>
                <w:sz w:val="16"/>
                <w:szCs w:val="16"/>
              </w:rPr>
            </w:pPr>
            <w:r w:rsidRPr="00405303">
              <w:rPr>
                <w:bCs/>
                <w:color w:val="002060"/>
                <w:sz w:val="16"/>
                <w:szCs w:val="16"/>
              </w:rPr>
              <w:t xml:space="preserve">369 </w:t>
            </w:r>
          </w:p>
        </w:tc>
        <w:tc>
          <w:tcPr>
            <w:tcW w:w="1031" w:type="dxa"/>
          </w:tcPr>
          <w:p w14:paraId="0DD7470D"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1031" w:type="dxa"/>
          </w:tcPr>
          <w:p w14:paraId="16CD7553" w14:textId="77777777" w:rsidR="006F3BF5" w:rsidRPr="00405303" w:rsidRDefault="006F3BF5" w:rsidP="00C15251">
            <w:pPr>
              <w:jc w:val="both"/>
              <w:rPr>
                <w:bCs/>
                <w:color w:val="002060"/>
                <w:sz w:val="16"/>
                <w:szCs w:val="16"/>
              </w:rPr>
            </w:pPr>
            <w:r w:rsidRPr="00405303">
              <w:rPr>
                <w:bCs/>
                <w:color w:val="002060"/>
                <w:sz w:val="16"/>
                <w:szCs w:val="16"/>
              </w:rPr>
              <w:t xml:space="preserve">1597 </w:t>
            </w:r>
          </w:p>
        </w:tc>
        <w:tc>
          <w:tcPr>
            <w:tcW w:w="1031" w:type="dxa"/>
          </w:tcPr>
          <w:p w14:paraId="631A9C16" w14:textId="77777777" w:rsidR="006F3BF5" w:rsidRPr="00405303" w:rsidRDefault="006F3BF5" w:rsidP="00C15251">
            <w:pPr>
              <w:jc w:val="both"/>
              <w:rPr>
                <w:bCs/>
                <w:color w:val="002060"/>
                <w:sz w:val="16"/>
                <w:szCs w:val="16"/>
              </w:rPr>
            </w:pPr>
            <w:r w:rsidRPr="00405303">
              <w:rPr>
                <w:bCs/>
                <w:color w:val="002060"/>
                <w:sz w:val="16"/>
                <w:szCs w:val="16"/>
              </w:rPr>
              <w:t xml:space="preserve">2116 </w:t>
            </w:r>
          </w:p>
        </w:tc>
        <w:tc>
          <w:tcPr>
            <w:tcW w:w="1062" w:type="dxa"/>
          </w:tcPr>
          <w:p w14:paraId="0EE2D4E8"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1062" w:type="dxa"/>
          </w:tcPr>
          <w:p w14:paraId="2F0E84C0" w14:textId="77777777" w:rsidR="006F3BF5" w:rsidRPr="00405303" w:rsidRDefault="006F3BF5" w:rsidP="00C15251">
            <w:pPr>
              <w:jc w:val="both"/>
              <w:rPr>
                <w:bCs/>
                <w:color w:val="002060"/>
                <w:sz w:val="16"/>
                <w:szCs w:val="16"/>
              </w:rPr>
            </w:pPr>
            <w:r w:rsidRPr="00405303">
              <w:rPr>
                <w:bCs/>
                <w:color w:val="002060"/>
                <w:sz w:val="16"/>
                <w:szCs w:val="16"/>
              </w:rPr>
              <w:t xml:space="preserve">1672 </w:t>
            </w:r>
          </w:p>
        </w:tc>
        <w:tc>
          <w:tcPr>
            <w:tcW w:w="1062" w:type="dxa"/>
          </w:tcPr>
          <w:p w14:paraId="5B0783A1" w14:textId="77777777" w:rsidR="006F3BF5" w:rsidRPr="00405303" w:rsidRDefault="006F3BF5" w:rsidP="00C15251">
            <w:pPr>
              <w:jc w:val="both"/>
              <w:rPr>
                <w:bCs/>
                <w:color w:val="002060"/>
                <w:sz w:val="16"/>
                <w:szCs w:val="16"/>
              </w:rPr>
            </w:pPr>
            <w:r w:rsidRPr="00405303">
              <w:rPr>
                <w:bCs/>
                <w:color w:val="002060"/>
                <w:sz w:val="16"/>
                <w:szCs w:val="16"/>
              </w:rPr>
              <w:t xml:space="preserve">3444 </w:t>
            </w:r>
          </w:p>
        </w:tc>
      </w:tr>
      <w:tr w:rsidR="006F3BF5" w:rsidRPr="00405303" w14:paraId="59A7325A" w14:textId="77777777" w:rsidTr="00D34AC1">
        <w:tc>
          <w:tcPr>
            <w:tcW w:w="893" w:type="dxa"/>
          </w:tcPr>
          <w:p w14:paraId="36D0CEB9" w14:textId="77777777" w:rsidR="006F3BF5" w:rsidRPr="00405303" w:rsidRDefault="006F3BF5" w:rsidP="00C15251">
            <w:pPr>
              <w:jc w:val="both"/>
              <w:rPr>
                <w:bCs/>
                <w:color w:val="002060"/>
                <w:sz w:val="16"/>
                <w:szCs w:val="16"/>
              </w:rPr>
            </w:pPr>
            <w:r w:rsidRPr="00405303">
              <w:rPr>
                <w:bCs/>
                <w:color w:val="002060"/>
                <w:sz w:val="16"/>
                <w:szCs w:val="16"/>
              </w:rPr>
              <w:t xml:space="preserve">Сентябрь </w:t>
            </w:r>
          </w:p>
        </w:tc>
        <w:tc>
          <w:tcPr>
            <w:tcW w:w="728" w:type="dxa"/>
          </w:tcPr>
          <w:p w14:paraId="03975A5D" w14:textId="77777777" w:rsidR="006F3BF5" w:rsidRPr="00405303" w:rsidRDefault="006F3BF5" w:rsidP="00C15251">
            <w:pPr>
              <w:jc w:val="both"/>
              <w:rPr>
                <w:bCs/>
                <w:color w:val="002060"/>
                <w:sz w:val="16"/>
                <w:szCs w:val="16"/>
              </w:rPr>
            </w:pPr>
            <w:r w:rsidRPr="00405303">
              <w:rPr>
                <w:bCs/>
                <w:color w:val="002060"/>
                <w:sz w:val="16"/>
                <w:szCs w:val="16"/>
              </w:rPr>
              <w:t xml:space="preserve">90 </w:t>
            </w:r>
          </w:p>
        </w:tc>
        <w:tc>
          <w:tcPr>
            <w:tcW w:w="728" w:type="dxa"/>
          </w:tcPr>
          <w:p w14:paraId="60725C61" w14:textId="77777777" w:rsidR="006F3BF5" w:rsidRPr="00405303" w:rsidRDefault="006F3BF5" w:rsidP="00C15251">
            <w:pPr>
              <w:jc w:val="both"/>
              <w:rPr>
                <w:bCs/>
                <w:color w:val="002060"/>
                <w:sz w:val="16"/>
                <w:szCs w:val="16"/>
              </w:rPr>
            </w:pPr>
            <w:r w:rsidRPr="00405303">
              <w:rPr>
                <w:bCs/>
                <w:color w:val="002060"/>
                <w:sz w:val="16"/>
                <w:szCs w:val="16"/>
              </w:rPr>
              <w:t xml:space="preserve">189 </w:t>
            </w:r>
          </w:p>
        </w:tc>
        <w:tc>
          <w:tcPr>
            <w:tcW w:w="728" w:type="dxa"/>
          </w:tcPr>
          <w:p w14:paraId="1E4ED0BA"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1031" w:type="dxa"/>
          </w:tcPr>
          <w:p w14:paraId="50AA4117" w14:textId="77777777" w:rsidR="006F3BF5" w:rsidRPr="00405303" w:rsidRDefault="006F3BF5" w:rsidP="00C15251">
            <w:pPr>
              <w:jc w:val="both"/>
              <w:rPr>
                <w:bCs/>
                <w:color w:val="002060"/>
                <w:sz w:val="16"/>
                <w:szCs w:val="16"/>
              </w:rPr>
            </w:pPr>
            <w:r w:rsidRPr="00405303">
              <w:rPr>
                <w:bCs/>
                <w:color w:val="002060"/>
                <w:sz w:val="16"/>
                <w:szCs w:val="16"/>
              </w:rPr>
              <w:t xml:space="preserve">369 </w:t>
            </w:r>
          </w:p>
        </w:tc>
        <w:tc>
          <w:tcPr>
            <w:tcW w:w="1031" w:type="dxa"/>
          </w:tcPr>
          <w:p w14:paraId="2E90012C" w14:textId="77777777" w:rsidR="006F3BF5" w:rsidRPr="00405303" w:rsidRDefault="006F3BF5" w:rsidP="00C15251">
            <w:pPr>
              <w:jc w:val="both"/>
              <w:rPr>
                <w:bCs/>
                <w:color w:val="002060"/>
                <w:sz w:val="16"/>
                <w:szCs w:val="16"/>
              </w:rPr>
            </w:pPr>
            <w:r w:rsidRPr="00405303">
              <w:rPr>
                <w:bCs/>
                <w:color w:val="002060"/>
                <w:sz w:val="16"/>
                <w:szCs w:val="16"/>
              </w:rPr>
              <w:t xml:space="preserve">1231 </w:t>
            </w:r>
          </w:p>
        </w:tc>
        <w:tc>
          <w:tcPr>
            <w:tcW w:w="1031" w:type="dxa"/>
          </w:tcPr>
          <w:p w14:paraId="6589CB73"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1062" w:type="dxa"/>
          </w:tcPr>
          <w:p w14:paraId="724EEC24" w14:textId="77777777" w:rsidR="006F3BF5" w:rsidRPr="00405303" w:rsidRDefault="006F3BF5" w:rsidP="00C15251">
            <w:pPr>
              <w:jc w:val="both"/>
              <w:rPr>
                <w:bCs/>
                <w:color w:val="002060"/>
                <w:sz w:val="16"/>
                <w:szCs w:val="16"/>
              </w:rPr>
            </w:pPr>
            <w:r w:rsidRPr="00405303">
              <w:rPr>
                <w:bCs/>
                <w:color w:val="002060"/>
                <w:sz w:val="16"/>
                <w:szCs w:val="16"/>
              </w:rPr>
              <w:t xml:space="preserve">409 </w:t>
            </w:r>
          </w:p>
        </w:tc>
        <w:tc>
          <w:tcPr>
            <w:tcW w:w="1062" w:type="dxa"/>
          </w:tcPr>
          <w:p w14:paraId="58C61A76" w14:textId="77777777" w:rsidR="006F3BF5" w:rsidRPr="00405303" w:rsidRDefault="006F3BF5" w:rsidP="00C15251">
            <w:pPr>
              <w:jc w:val="both"/>
              <w:rPr>
                <w:bCs/>
                <w:color w:val="002060"/>
                <w:sz w:val="16"/>
                <w:szCs w:val="16"/>
              </w:rPr>
            </w:pPr>
            <w:r w:rsidRPr="00405303">
              <w:rPr>
                <w:bCs/>
                <w:color w:val="002060"/>
                <w:sz w:val="16"/>
                <w:szCs w:val="16"/>
              </w:rPr>
              <w:t xml:space="preserve">1762 </w:t>
            </w:r>
          </w:p>
        </w:tc>
        <w:tc>
          <w:tcPr>
            <w:tcW w:w="1062" w:type="dxa"/>
          </w:tcPr>
          <w:p w14:paraId="42F20499"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r>
      <w:tr w:rsidR="006F3BF5" w:rsidRPr="00405303" w14:paraId="78996DFC" w14:textId="77777777" w:rsidTr="00D34AC1">
        <w:tc>
          <w:tcPr>
            <w:tcW w:w="893" w:type="dxa"/>
          </w:tcPr>
          <w:p w14:paraId="7E439F8D" w14:textId="77777777" w:rsidR="006F3BF5" w:rsidRPr="00405303" w:rsidRDefault="006F3BF5" w:rsidP="00C15251">
            <w:pPr>
              <w:jc w:val="both"/>
              <w:rPr>
                <w:bCs/>
                <w:color w:val="002060"/>
                <w:sz w:val="16"/>
                <w:szCs w:val="16"/>
              </w:rPr>
            </w:pPr>
            <w:r w:rsidRPr="00405303">
              <w:rPr>
                <w:bCs/>
                <w:color w:val="002060"/>
                <w:sz w:val="16"/>
                <w:szCs w:val="16"/>
              </w:rPr>
              <w:t xml:space="preserve">Октябрь </w:t>
            </w:r>
          </w:p>
        </w:tc>
        <w:tc>
          <w:tcPr>
            <w:tcW w:w="728" w:type="dxa"/>
          </w:tcPr>
          <w:p w14:paraId="034CE3E8" w14:textId="77777777" w:rsidR="006F3BF5" w:rsidRPr="00405303" w:rsidRDefault="006F3BF5" w:rsidP="00C15251">
            <w:pPr>
              <w:jc w:val="both"/>
              <w:rPr>
                <w:bCs/>
                <w:color w:val="002060"/>
                <w:sz w:val="16"/>
                <w:szCs w:val="16"/>
              </w:rPr>
            </w:pPr>
            <w:r w:rsidRPr="00405303">
              <w:rPr>
                <w:bCs/>
                <w:color w:val="002060"/>
                <w:sz w:val="16"/>
                <w:szCs w:val="16"/>
              </w:rPr>
              <w:t xml:space="preserve">96 </w:t>
            </w:r>
          </w:p>
        </w:tc>
        <w:tc>
          <w:tcPr>
            <w:tcW w:w="728" w:type="dxa"/>
          </w:tcPr>
          <w:p w14:paraId="37CFDC2D" w14:textId="77777777" w:rsidR="006F3BF5" w:rsidRPr="00405303" w:rsidRDefault="006F3BF5" w:rsidP="00C15251">
            <w:pPr>
              <w:jc w:val="both"/>
              <w:rPr>
                <w:bCs/>
                <w:color w:val="002060"/>
                <w:sz w:val="16"/>
                <w:szCs w:val="16"/>
              </w:rPr>
            </w:pPr>
            <w:r w:rsidRPr="00405303">
              <w:rPr>
                <w:bCs/>
                <w:color w:val="002060"/>
                <w:sz w:val="16"/>
                <w:szCs w:val="16"/>
              </w:rPr>
              <w:t xml:space="preserve">181 </w:t>
            </w:r>
          </w:p>
        </w:tc>
        <w:tc>
          <w:tcPr>
            <w:tcW w:w="728" w:type="dxa"/>
          </w:tcPr>
          <w:p w14:paraId="3C3E7A39"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1031" w:type="dxa"/>
          </w:tcPr>
          <w:p w14:paraId="43E3BF50" w14:textId="77777777" w:rsidR="006F3BF5" w:rsidRPr="00405303" w:rsidRDefault="006F3BF5" w:rsidP="00C15251">
            <w:pPr>
              <w:jc w:val="both"/>
              <w:rPr>
                <w:bCs/>
                <w:color w:val="002060"/>
                <w:sz w:val="16"/>
                <w:szCs w:val="16"/>
              </w:rPr>
            </w:pPr>
            <w:r w:rsidRPr="00405303">
              <w:rPr>
                <w:bCs/>
                <w:color w:val="002060"/>
                <w:sz w:val="16"/>
                <w:szCs w:val="16"/>
              </w:rPr>
              <w:t xml:space="preserve">506 </w:t>
            </w:r>
          </w:p>
        </w:tc>
        <w:tc>
          <w:tcPr>
            <w:tcW w:w="1031" w:type="dxa"/>
          </w:tcPr>
          <w:p w14:paraId="132F3B67" w14:textId="77777777" w:rsidR="006F3BF5" w:rsidRPr="00405303" w:rsidRDefault="006F3BF5" w:rsidP="00C15251">
            <w:pPr>
              <w:jc w:val="both"/>
              <w:rPr>
                <w:bCs/>
                <w:color w:val="002060"/>
                <w:sz w:val="16"/>
                <w:szCs w:val="16"/>
              </w:rPr>
            </w:pPr>
            <w:r w:rsidRPr="00405303">
              <w:rPr>
                <w:bCs/>
                <w:color w:val="002060"/>
                <w:sz w:val="16"/>
                <w:szCs w:val="16"/>
              </w:rPr>
              <w:t xml:space="preserve">1040 </w:t>
            </w:r>
          </w:p>
        </w:tc>
        <w:tc>
          <w:tcPr>
            <w:tcW w:w="1031" w:type="dxa"/>
          </w:tcPr>
          <w:p w14:paraId="1606A202"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1062" w:type="dxa"/>
          </w:tcPr>
          <w:p w14:paraId="1781D410" w14:textId="77777777" w:rsidR="006F3BF5" w:rsidRPr="00405303" w:rsidRDefault="006F3BF5" w:rsidP="00C15251">
            <w:pPr>
              <w:jc w:val="both"/>
              <w:rPr>
                <w:bCs/>
                <w:color w:val="002060"/>
                <w:sz w:val="16"/>
                <w:szCs w:val="16"/>
              </w:rPr>
            </w:pPr>
            <w:r w:rsidRPr="00405303">
              <w:rPr>
                <w:bCs/>
                <w:color w:val="002060"/>
                <w:sz w:val="16"/>
                <w:szCs w:val="16"/>
              </w:rPr>
              <w:t xml:space="preserve">521 </w:t>
            </w:r>
          </w:p>
        </w:tc>
        <w:tc>
          <w:tcPr>
            <w:tcW w:w="1062" w:type="dxa"/>
          </w:tcPr>
          <w:p w14:paraId="6AB1192A" w14:textId="77777777" w:rsidR="006F3BF5" w:rsidRPr="00405303" w:rsidRDefault="006F3BF5" w:rsidP="00C15251">
            <w:pPr>
              <w:jc w:val="both"/>
              <w:rPr>
                <w:bCs/>
                <w:color w:val="002060"/>
                <w:sz w:val="16"/>
                <w:szCs w:val="16"/>
              </w:rPr>
            </w:pPr>
            <w:r w:rsidRPr="00405303">
              <w:rPr>
                <w:bCs/>
                <w:color w:val="002060"/>
                <w:sz w:val="16"/>
                <w:szCs w:val="16"/>
              </w:rPr>
              <w:t xml:space="preserve">1377 </w:t>
            </w:r>
          </w:p>
        </w:tc>
        <w:tc>
          <w:tcPr>
            <w:tcW w:w="1062" w:type="dxa"/>
          </w:tcPr>
          <w:p w14:paraId="271F58AB"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r>
      <w:tr w:rsidR="006F3BF5" w:rsidRPr="00405303" w14:paraId="6506E490" w14:textId="77777777" w:rsidTr="00D34AC1">
        <w:tc>
          <w:tcPr>
            <w:tcW w:w="893" w:type="dxa"/>
          </w:tcPr>
          <w:p w14:paraId="311D62E5" w14:textId="77777777" w:rsidR="006F3BF5" w:rsidRPr="00405303" w:rsidRDefault="006F3BF5" w:rsidP="00C15251">
            <w:pPr>
              <w:jc w:val="both"/>
              <w:rPr>
                <w:bCs/>
                <w:color w:val="002060"/>
                <w:sz w:val="16"/>
                <w:szCs w:val="16"/>
              </w:rPr>
            </w:pPr>
            <w:r w:rsidRPr="00405303">
              <w:rPr>
                <w:bCs/>
                <w:color w:val="002060"/>
                <w:sz w:val="16"/>
                <w:szCs w:val="16"/>
              </w:rPr>
              <w:t xml:space="preserve">Ноябрь </w:t>
            </w:r>
          </w:p>
        </w:tc>
        <w:tc>
          <w:tcPr>
            <w:tcW w:w="728" w:type="dxa"/>
          </w:tcPr>
          <w:p w14:paraId="4F67B8E4" w14:textId="77777777" w:rsidR="006F3BF5" w:rsidRPr="00405303" w:rsidRDefault="006F3BF5" w:rsidP="00C15251">
            <w:pPr>
              <w:jc w:val="both"/>
              <w:rPr>
                <w:bCs/>
                <w:color w:val="002060"/>
                <w:sz w:val="16"/>
                <w:szCs w:val="16"/>
              </w:rPr>
            </w:pPr>
            <w:r w:rsidRPr="00405303">
              <w:rPr>
                <w:bCs/>
                <w:color w:val="002060"/>
                <w:sz w:val="16"/>
                <w:szCs w:val="16"/>
              </w:rPr>
              <w:t xml:space="preserve">117 </w:t>
            </w:r>
          </w:p>
        </w:tc>
        <w:tc>
          <w:tcPr>
            <w:tcW w:w="728" w:type="dxa"/>
          </w:tcPr>
          <w:p w14:paraId="592CEA87" w14:textId="77777777" w:rsidR="006F3BF5" w:rsidRPr="00405303" w:rsidRDefault="006F3BF5" w:rsidP="00C15251">
            <w:pPr>
              <w:jc w:val="both"/>
              <w:rPr>
                <w:bCs/>
                <w:color w:val="002060"/>
                <w:sz w:val="16"/>
                <w:szCs w:val="16"/>
              </w:rPr>
            </w:pPr>
            <w:r w:rsidRPr="00405303">
              <w:rPr>
                <w:bCs/>
                <w:color w:val="002060"/>
                <w:sz w:val="16"/>
                <w:szCs w:val="16"/>
              </w:rPr>
              <w:t xml:space="preserve">176 </w:t>
            </w:r>
          </w:p>
        </w:tc>
        <w:tc>
          <w:tcPr>
            <w:tcW w:w="728" w:type="dxa"/>
          </w:tcPr>
          <w:p w14:paraId="2B2E25DF"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1031" w:type="dxa"/>
          </w:tcPr>
          <w:p w14:paraId="246F93E9" w14:textId="77777777" w:rsidR="006F3BF5" w:rsidRPr="00405303" w:rsidRDefault="006F3BF5" w:rsidP="00C15251">
            <w:pPr>
              <w:jc w:val="both"/>
              <w:rPr>
                <w:bCs/>
                <w:color w:val="002060"/>
                <w:sz w:val="16"/>
                <w:szCs w:val="16"/>
              </w:rPr>
            </w:pPr>
            <w:r w:rsidRPr="00405303">
              <w:rPr>
                <w:bCs/>
                <w:color w:val="002060"/>
                <w:sz w:val="16"/>
                <w:szCs w:val="16"/>
              </w:rPr>
              <w:t xml:space="preserve">720 </w:t>
            </w:r>
          </w:p>
        </w:tc>
        <w:tc>
          <w:tcPr>
            <w:tcW w:w="1031" w:type="dxa"/>
          </w:tcPr>
          <w:p w14:paraId="678A1873" w14:textId="77777777" w:rsidR="006F3BF5" w:rsidRPr="00405303" w:rsidRDefault="006F3BF5" w:rsidP="00C15251">
            <w:pPr>
              <w:jc w:val="both"/>
              <w:rPr>
                <w:bCs/>
                <w:color w:val="002060"/>
                <w:sz w:val="16"/>
                <w:szCs w:val="16"/>
              </w:rPr>
            </w:pPr>
            <w:r w:rsidRPr="00405303">
              <w:rPr>
                <w:bCs/>
                <w:color w:val="002060"/>
                <w:sz w:val="16"/>
                <w:szCs w:val="16"/>
              </w:rPr>
              <w:t xml:space="preserve">842 </w:t>
            </w:r>
          </w:p>
        </w:tc>
        <w:tc>
          <w:tcPr>
            <w:tcW w:w="1031" w:type="dxa"/>
          </w:tcPr>
          <w:p w14:paraId="37D8E691"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1062" w:type="dxa"/>
          </w:tcPr>
          <w:p w14:paraId="17122D02" w14:textId="77777777" w:rsidR="006F3BF5" w:rsidRPr="00405303" w:rsidRDefault="006F3BF5" w:rsidP="00C15251">
            <w:pPr>
              <w:jc w:val="both"/>
              <w:rPr>
                <w:bCs/>
                <w:color w:val="002060"/>
                <w:sz w:val="16"/>
                <w:szCs w:val="16"/>
              </w:rPr>
            </w:pPr>
            <w:r w:rsidRPr="00405303">
              <w:rPr>
                <w:bCs/>
                <w:color w:val="002060"/>
                <w:sz w:val="16"/>
                <w:szCs w:val="16"/>
              </w:rPr>
              <w:t xml:space="preserve">695 </w:t>
            </w:r>
          </w:p>
        </w:tc>
        <w:tc>
          <w:tcPr>
            <w:tcW w:w="1062" w:type="dxa"/>
          </w:tcPr>
          <w:p w14:paraId="2F556185" w14:textId="77777777" w:rsidR="006F3BF5" w:rsidRPr="00405303" w:rsidRDefault="006F3BF5" w:rsidP="00C15251">
            <w:pPr>
              <w:jc w:val="both"/>
              <w:rPr>
                <w:bCs/>
                <w:color w:val="002060"/>
                <w:sz w:val="16"/>
                <w:szCs w:val="16"/>
              </w:rPr>
            </w:pPr>
            <w:r w:rsidRPr="00405303">
              <w:rPr>
                <w:bCs/>
                <w:color w:val="002060"/>
                <w:sz w:val="16"/>
                <w:szCs w:val="16"/>
              </w:rPr>
              <w:t xml:space="preserve">975 </w:t>
            </w:r>
          </w:p>
        </w:tc>
        <w:tc>
          <w:tcPr>
            <w:tcW w:w="1062" w:type="dxa"/>
          </w:tcPr>
          <w:p w14:paraId="798B0334"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r>
      <w:tr w:rsidR="006F3BF5" w:rsidRPr="00405303" w14:paraId="6B626428" w14:textId="77777777" w:rsidTr="00D34AC1">
        <w:tc>
          <w:tcPr>
            <w:tcW w:w="893" w:type="dxa"/>
          </w:tcPr>
          <w:p w14:paraId="547B601F" w14:textId="77777777" w:rsidR="006F3BF5" w:rsidRPr="00405303" w:rsidRDefault="006F3BF5" w:rsidP="00C15251">
            <w:pPr>
              <w:jc w:val="both"/>
              <w:rPr>
                <w:bCs/>
                <w:color w:val="002060"/>
                <w:sz w:val="16"/>
                <w:szCs w:val="16"/>
              </w:rPr>
            </w:pPr>
            <w:r w:rsidRPr="00405303">
              <w:rPr>
                <w:bCs/>
                <w:color w:val="002060"/>
                <w:sz w:val="16"/>
                <w:szCs w:val="16"/>
              </w:rPr>
              <w:t xml:space="preserve">Декабрь </w:t>
            </w:r>
          </w:p>
        </w:tc>
        <w:tc>
          <w:tcPr>
            <w:tcW w:w="728" w:type="dxa"/>
          </w:tcPr>
          <w:p w14:paraId="1C23701D" w14:textId="77777777" w:rsidR="006F3BF5" w:rsidRPr="00405303" w:rsidRDefault="006F3BF5" w:rsidP="00C15251">
            <w:pPr>
              <w:jc w:val="both"/>
              <w:rPr>
                <w:bCs/>
                <w:color w:val="002060"/>
                <w:sz w:val="16"/>
                <w:szCs w:val="16"/>
              </w:rPr>
            </w:pPr>
            <w:r w:rsidRPr="00405303">
              <w:rPr>
                <w:bCs/>
                <w:color w:val="002060"/>
                <w:sz w:val="16"/>
                <w:szCs w:val="16"/>
              </w:rPr>
              <w:t xml:space="preserve">117 </w:t>
            </w:r>
          </w:p>
        </w:tc>
        <w:tc>
          <w:tcPr>
            <w:tcW w:w="728" w:type="dxa"/>
          </w:tcPr>
          <w:p w14:paraId="1690BCC3" w14:textId="77777777" w:rsidR="006F3BF5" w:rsidRPr="00405303" w:rsidRDefault="006F3BF5" w:rsidP="00C15251">
            <w:pPr>
              <w:jc w:val="both"/>
              <w:rPr>
                <w:bCs/>
                <w:color w:val="002060"/>
                <w:sz w:val="16"/>
                <w:szCs w:val="16"/>
              </w:rPr>
            </w:pPr>
            <w:r w:rsidRPr="00405303">
              <w:rPr>
                <w:bCs/>
                <w:color w:val="002060"/>
                <w:sz w:val="16"/>
                <w:szCs w:val="16"/>
              </w:rPr>
              <w:t xml:space="preserve">169 </w:t>
            </w:r>
          </w:p>
        </w:tc>
        <w:tc>
          <w:tcPr>
            <w:tcW w:w="728" w:type="dxa"/>
          </w:tcPr>
          <w:p w14:paraId="49A64F78"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1031" w:type="dxa"/>
          </w:tcPr>
          <w:p w14:paraId="0C438524" w14:textId="77777777" w:rsidR="006F3BF5" w:rsidRPr="00405303" w:rsidRDefault="006F3BF5" w:rsidP="00C15251">
            <w:pPr>
              <w:jc w:val="both"/>
              <w:rPr>
                <w:bCs/>
                <w:color w:val="002060"/>
                <w:sz w:val="16"/>
                <w:szCs w:val="16"/>
              </w:rPr>
            </w:pPr>
            <w:r w:rsidRPr="00405303">
              <w:rPr>
                <w:bCs/>
                <w:color w:val="002060"/>
                <w:sz w:val="16"/>
                <w:szCs w:val="16"/>
              </w:rPr>
              <w:t xml:space="preserve">472 </w:t>
            </w:r>
          </w:p>
        </w:tc>
        <w:tc>
          <w:tcPr>
            <w:tcW w:w="1031" w:type="dxa"/>
          </w:tcPr>
          <w:p w14:paraId="155761B0" w14:textId="77777777" w:rsidR="006F3BF5" w:rsidRPr="00405303" w:rsidRDefault="006F3BF5" w:rsidP="00C15251">
            <w:pPr>
              <w:jc w:val="both"/>
              <w:rPr>
                <w:bCs/>
                <w:color w:val="002060"/>
                <w:sz w:val="16"/>
                <w:szCs w:val="16"/>
              </w:rPr>
            </w:pPr>
            <w:r w:rsidRPr="00405303">
              <w:rPr>
                <w:bCs/>
                <w:color w:val="002060"/>
                <w:sz w:val="16"/>
                <w:szCs w:val="16"/>
              </w:rPr>
              <w:t xml:space="preserve">732 </w:t>
            </w:r>
          </w:p>
        </w:tc>
        <w:tc>
          <w:tcPr>
            <w:tcW w:w="1031" w:type="dxa"/>
          </w:tcPr>
          <w:p w14:paraId="544B6BD6"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c>
          <w:tcPr>
            <w:tcW w:w="1062" w:type="dxa"/>
          </w:tcPr>
          <w:p w14:paraId="6C74D4D8" w14:textId="77777777" w:rsidR="006F3BF5" w:rsidRPr="00405303" w:rsidRDefault="006F3BF5" w:rsidP="00C15251">
            <w:pPr>
              <w:jc w:val="both"/>
              <w:rPr>
                <w:bCs/>
                <w:color w:val="002060"/>
                <w:sz w:val="16"/>
                <w:szCs w:val="16"/>
              </w:rPr>
            </w:pPr>
            <w:r w:rsidRPr="00405303">
              <w:rPr>
                <w:bCs/>
                <w:color w:val="002060"/>
                <w:sz w:val="16"/>
                <w:szCs w:val="16"/>
              </w:rPr>
              <w:t xml:space="preserve">412 </w:t>
            </w:r>
          </w:p>
        </w:tc>
        <w:tc>
          <w:tcPr>
            <w:tcW w:w="1062" w:type="dxa"/>
          </w:tcPr>
          <w:p w14:paraId="59165615" w14:textId="77777777" w:rsidR="006F3BF5" w:rsidRPr="00405303" w:rsidRDefault="006F3BF5" w:rsidP="00C15251">
            <w:pPr>
              <w:jc w:val="both"/>
              <w:rPr>
                <w:bCs/>
                <w:color w:val="002060"/>
                <w:sz w:val="16"/>
                <w:szCs w:val="16"/>
              </w:rPr>
            </w:pPr>
            <w:r w:rsidRPr="00405303">
              <w:rPr>
                <w:bCs/>
                <w:color w:val="002060"/>
                <w:sz w:val="16"/>
                <w:szCs w:val="16"/>
              </w:rPr>
              <w:t xml:space="preserve">873 </w:t>
            </w:r>
          </w:p>
        </w:tc>
        <w:tc>
          <w:tcPr>
            <w:tcW w:w="1062" w:type="dxa"/>
          </w:tcPr>
          <w:p w14:paraId="48F147F5" w14:textId="77777777" w:rsidR="006F3BF5" w:rsidRPr="00405303" w:rsidRDefault="006F3BF5" w:rsidP="00C15251">
            <w:pPr>
              <w:jc w:val="both"/>
              <w:rPr>
                <w:bCs/>
                <w:color w:val="002060"/>
                <w:sz w:val="16"/>
                <w:szCs w:val="16"/>
              </w:rPr>
            </w:pPr>
            <w:r w:rsidRPr="00405303">
              <w:rPr>
                <w:bCs/>
                <w:color w:val="002060"/>
                <w:sz w:val="16"/>
                <w:szCs w:val="16"/>
              </w:rPr>
              <w:t xml:space="preserve">— </w:t>
            </w:r>
          </w:p>
        </w:tc>
      </w:tr>
      <w:tr w:rsidR="006F3BF5" w:rsidRPr="00405303" w14:paraId="7FE37042" w14:textId="77777777" w:rsidTr="00D34AC1">
        <w:tc>
          <w:tcPr>
            <w:tcW w:w="893" w:type="dxa"/>
          </w:tcPr>
          <w:p w14:paraId="38A950C9" w14:textId="77777777" w:rsidR="006F3BF5" w:rsidRPr="00405303" w:rsidRDefault="006F3BF5" w:rsidP="00C15251">
            <w:pPr>
              <w:jc w:val="both"/>
              <w:rPr>
                <w:bCs/>
                <w:color w:val="002060"/>
                <w:sz w:val="16"/>
                <w:szCs w:val="16"/>
              </w:rPr>
            </w:pPr>
            <w:r w:rsidRPr="00405303">
              <w:rPr>
                <w:bCs/>
                <w:color w:val="002060"/>
                <w:sz w:val="16"/>
                <w:szCs w:val="16"/>
              </w:rPr>
              <w:t xml:space="preserve">ИТОГО </w:t>
            </w:r>
          </w:p>
        </w:tc>
        <w:tc>
          <w:tcPr>
            <w:tcW w:w="728" w:type="dxa"/>
          </w:tcPr>
          <w:p w14:paraId="528D0B68" w14:textId="77777777" w:rsidR="006F3BF5" w:rsidRPr="00405303" w:rsidRDefault="006F3BF5" w:rsidP="00C15251">
            <w:pPr>
              <w:jc w:val="both"/>
              <w:rPr>
                <w:bCs/>
                <w:color w:val="002060"/>
                <w:sz w:val="16"/>
                <w:szCs w:val="16"/>
              </w:rPr>
            </w:pPr>
            <w:r w:rsidRPr="00405303">
              <w:rPr>
                <w:bCs/>
                <w:color w:val="002060"/>
                <w:sz w:val="16"/>
                <w:szCs w:val="16"/>
              </w:rPr>
              <w:t xml:space="preserve">549 </w:t>
            </w:r>
          </w:p>
        </w:tc>
        <w:tc>
          <w:tcPr>
            <w:tcW w:w="728" w:type="dxa"/>
          </w:tcPr>
          <w:p w14:paraId="07FB6D33" w14:textId="77777777" w:rsidR="006F3BF5" w:rsidRPr="00405303" w:rsidRDefault="006F3BF5" w:rsidP="00C15251">
            <w:pPr>
              <w:jc w:val="both"/>
              <w:rPr>
                <w:bCs/>
                <w:color w:val="002060"/>
                <w:sz w:val="16"/>
                <w:szCs w:val="16"/>
              </w:rPr>
            </w:pPr>
            <w:r w:rsidRPr="00405303">
              <w:rPr>
                <w:bCs/>
                <w:color w:val="002060"/>
                <w:sz w:val="16"/>
                <w:szCs w:val="16"/>
              </w:rPr>
              <w:t xml:space="preserve">2173 </w:t>
            </w:r>
          </w:p>
        </w:tc>
        <w:tc>
          <w:tcPr>
            <w:tcW w:w="728" w:type="dxa"/>
          </w:tcPr>
          <w:p w14:paraId="5398FDE4" w14:textId="77777777" w:rsidR="006F3BF5" w:rsidRPr="00405303" w:rsidRDefault="006F3BF5" w:rsidP="00C15251">
            <w:pPr>
              <w:jc w:val="both"/>
              <w:rPr>
                <w:bCs/>
                <w:color w:val="002060"/>
                <w:sz w:val="16"/>
                <w:szCs w:val="16"/>
              </w:rPr>
            </w:pPr>
            <w:r w:rsidRPr="00405303">
              <w:rPr>
                <w:bCs/>
                <w:color w:val="002060"/>
                <w:sz w:val="16"/>
                <w:szCs w:val="16"/>
              </w:rPr>
              <w:t xml:space="preserve">1982 </w:t>
            </w:r>
          </w:p>
        </w:tc>
        <w:tc>
          <w:tcPr>
            <w:tcW w:w="1031" w:type="dxa"/>
          </w:tcPr>
          <w:p w14:paraId="2F50EECB" w14:textId="77777777" w:rsidR="006F3BF5" w:rsidRPr="00405303" w:rsidRDefault="006F3BF5" w:rsidP="00C15251">
            <w:pPr>
              <w:jc w:val="both"/>
              <w:rPr>
                <w:bCs/>
                <w:color w:val="002060"/>
                <w:sz w:val="16"/>
                <w:szCs w:val="16"/>
              </w:rPr>
            </w:pPr>
            <w:r w:rsidRPr="00405303">
              <w:rPr>
                <w:bCs/>
                <w:color w:val="002060"/>
                <w:sz w:val="16"/>
                <w:szCs w:val="16"/>
              </w:rPr>
              <w:t xml:space="preserve">3229 </w:t>
            </w:r>
          </w:p>
        </w:tc>
        <w:tc>
          <w:tcPr>
            <w:tcW w:w="1031" w:type="dxa"/>
          </w:tcPr>
          <w:p w14:paraId="4EE5A8DA" w14:textId="77777777" w:rsidR="006F3BF5" w:rsidRPr="00405303" w:rsidRDefault="006F3BF5" w:rsidP="00C15251">
            <w:pPr>
              <w:jc w:val="both"/>
              <w:rPr>
                <w:bCs/>
                <w:color w:val="002060"/>
                <w:sz w:val="16"/>
                <w:szCs w:val="16"/>
              </w:rPr>
            </w:pPr>
            <w:r w:rsidRPr="00405303">
              <w:rPr>
                <w:bCs/>
                <w:color w:val="002060"/>
                <w:sz w:val="16"/>
                <w:szCs w:val="16"/>
              </w:rPr>
              <w:t xml:space="preserve">14838 </w:t>
            </w:r>
          </w:p>
        </w:tc>
        <w:tc>
          <w:tcPr>
            <w:tcW w:w="1031" w:type="dxa"/>
          </w:tcPr>
          <w:p w14:paraId="5B8B9B7E" w14:textId="77777777" w:rsidR="006F3BF5" w:rsidRPr="00405303" w:rsidRDefault="006F3BF5" w:rsidP="00C15251">
            <w:pPr>
              <w:jc w:val="both"/>
              <w:rPr>
                <w:bCs/>
                <w:color w:val="002060"/>
                <w:sz w:val="16"/>
                <w:szCs w:val="16"/>
              </w:rPr>
            </w:pPr>
            <w:r w:rsidRPr="00405303">
              <w:rPr>
                <w:bCs/>
                <w:color w:val="002060"/>
                <w:sz w:val="16"/>
                <w:szCs w:val="16"/>
              </w:rPr>
              <w:t xml:space="preserve">11 521 </w:t>
            </w:r>
          </w:p>
        </w:tc>
        <w:tc>
          <w:tcPr>
            <w:tcW w:w="1062" w:type="dxa"/>
          </w:tcPr>
          <w:p w14:paraId="15D92AFC" w14:textId="77777777" w:rsidR="006F3BF5" w:rsidRPr="00405303" w:rsidRDefault="006F3BF5" w:rsidP="00C15251">
            <w:pPr>
              <w:jc w:val="both"/>
              <w:rPr>
                <w:bCs/>
                <w:color w:val="002060"/>
                <w:sz w:val="16"/>
                <w:szCs w:val="16"/>
              </w:rPr>
            </w:pPr>
            <w:r w:rsidRPr="00405303">
              <w:rPr>
                <w:bCs/>
                <w:color w:val="002060"/>
                <w:sz w:val="16"/>
                <w:szCs w:val="16"/>
              </w:rPr>
              <w:t xml:space="preserve">3458 </w:t>
            </w:r>
          </w:p>
        </w:tc>
        <w:tc>
          <w:tcPr>
            <w:tcW w:w="1062" w:type="dxa"/>
          </w:tcPr>
          <w:p w14:paraId="4752C2D7" w14:textId="77777777" w:rsidR="006F3BF5" w:rsidRPr="00405303" w:rsidRDefault="006F3BF5" w:rsidP="00C15251">
            <w:pPr>
              <w:jc w:val="both"/>
              <w:rPr>
                <w:bCs/>
                <w:color w:val="002060"/>
                <w:sz w:val="16"/>
                <w:szCs w:val="16"/>
              </w:rPr>
            </w:pPr>
            <w:r w:rsidRPr="00405303">
              <w:rPr>
                <w:bCs/>
                <w:color w:val="002060"/>
                <w:sz w:val="16"/>
                <w:szCs w:val="16"/>
              </w:rPr>
              <w:t xml:space="preserve">17 165 </w:t>
            </w:r>
          </w:p>
        </w:tc>
        <w:tc>
          <w:tcPr>
            <w:tcW w:w="1062" w:type="dxa"/>
          </w:tcPr>
          <w:p w14:paraId="4D097BE9" w14:textId="77777777" w:rsidR="006F3BF5" w:rsidRPr="00405303" w:rsidRDefault="006F3BF5" w:rsidP="00C15251">
            <w:pPr>
              <w:jc w:val="both"/>
              <w:rPr>
                <w:bCs/>
                <w:color w:val="002060"/>
                <w:sz w:val="16"/>
                <w:szCs w:val="16"/>
              </w:rPr>
            </w:pPr>
            <w:r w:rsidRPr="00405303">
              <w:rPr>
                <w:bCs/>
                <w:color w:val="002060"/>
                <w:sz w:val="16"/>
                <w:szCs w:val="16"/>
              </w:rPr>
              <w:t xml:space="preserve">20 315 </w:t>
            </w:r>
          </w:p>
        </w:tc>
      </w:tr>
      <w:tr w:rsidR="006F3BF5" w:rsidRPr="00405303" w14:paraId="2024021B" w14:textId="77777777" w:rsidTr="00D34AC1">
        <w:tc>
          <w:tcPr>
            <w:tcW w:w="893" w:type="dxa"/>
          </w:tcPr>
          <w:p w14:paraId="53569347" w14:textId="77777777" w:rsidR="006F3BF5" w:rsidRPr="00405303" w:rsidRDefault="006F3BF5" w:rsidP="00C15251">
            <w:pPr>
              <w:jc w:val="both"/>
              <w:rPr>
                <w:bCs/>
                <w:color w:val="002060"/>
                <w:sz w:val="16"/>
                <w:szCs w:val="16"/>
              </w:rPr>
            </w:pPr>
            <w:r w:rsidRPr="00405303">
              <w:rPr>
                <w:bCs/>
                <w:color w:val="002060"/>
                <w:sz w:val="16"/>
                <w:szCs w:val="16"/>
              </w:rPr>
              <w:t xml:space="preserve">ВСЕГО </w:t>
            </w:r>
          </w:p>
        </w:tc>
        <w:tc>
          <w:tcPr>
            <w:tcW w:w="2184" w:type="dxa"/>
            <w:gridSpan w:val="3"/>
          </w:tcPr>
          <w:p w14:paraId="3B5CFC03" w14:textId="77777777" w:rsidR="006F3BF5" w:rsidRPr="00405303" w:rsidRDefault="006F3BF5" w:rsidP="00C15251">
            <w:pPr>
              <w:jc w:val="both"/>
              <w:rPr>
                <w:bCs/>
                <w:color w:val="002060"/>
                <w:sz w:val="16"/>
                <w:szCs w:val="16"/>
              </w:rPr>
            </w:pPr>
            <w:r w:rsidRPr="00405303">
              <w:rPr>
                <w:bCs/>
                <w:color w:val="002060"/>
                <w:sz w:val="16"/>
                <w:szCs w:val="16"/>
              </w:rPr>
              <w:t xml:space="preserve">4704 </w:t>
            </w:r>
          </w:p>
        </w:tc>
        <w:tc>
          <w:tcPr>
            <w:tcW w:w="3093" w:type="dxa"/>
            <w:gridSpan w:val="3"/>
          </w:tcPr>
          <w:p w14:paraId="793CC42C" w14:textId="77777777" w:rsidR="006F3BF5" w:rsidRPr="00405303" w:rsidRDefault="006F3BF5" w:rsidP="00C15251">
            <w:pPr>
              <w:jc w:val="both"/>
              <w:rPr>
                <w:bCs/>
                <w:color w:val="002060"/>
                <w:sz w:val="16"/>
                <w:szCs w:val="16"/>
              </w:rPr>
            </w:pPr>
            <w:r w:rsidRPr="00405303">
              <w:rPr>
                <w:bCs/>
                <w:color w:val="002060"/>
                <w:sz w:val="16"/>
                <w:szCs w:val="16"/>
              </w:rPr>
              <w:t xml:space="preserve">29588 </w:t>
            </w:r>
          </w:p>
        </w:tc>
        <w:tc>
          <w:tcPr>
            <w:tcW w:w="3186" w:type="dxa"/>
            <w:gridSpan w:val="3"/>
          </w:tcPr>
          <w:p w14:paraId="2B3EB7F5" w14:textId="77777777" w:rsidR="006F3BF5" w:rsidRPr="00405303" w:rsidRDefault="006F3BF5" w:rsidP="00C15251">
            <w:pPr>
              <w:jc w:val="both"/>
              <w:rPr>
                <w:bCs/>
                <w:color w:val="002060"/>
                <w:sz w:val="16"/>
                <w:szCs w:val="16"/>
              </w:rPr>
            </w:pPr>
            <w:r w:rsidRPr="00405303">
              <w:rPr>
                <w:bCs/>
                <w:color w:val="002060"/>
                <w:sz w:val="16"/>
                <w:szCs w:val="16"/>
              </w:rPr>
              <w:t xml:space="preserve">40938 </w:t>
            </w:r>
          </w:p>
        </w:tc>
      </w:tr>
    </w:tbl>
    <w:p w14:paraId="20717FF5" w14:textId="77777777" w:rsidR="006F3BF5" w:rsidRPr="00405303" w:rsidRDefault="006F3BF5" w:rsidP="00C15251">
      <w:pPr>
        <w:jc w:val="both"/>
        <w:rPr>
          <w:bCs/>
          <w:color w:val="002060"/>
          <w:sz w:val="16"/>
          <w:szCs w:val="16"/>
        </w:rPr>
      </w:pPr>
      <w:r w:rsidRPr="00405303">
        <w:rPr>
          <w:bCs/>
          <w:color w:val="002060"/>
          <w:sz w:val="16"/>
          <w:szCs w:val="16"/>
        </w:rPr>
        <w:t xml:space="preserve">Приводимые в этой таблице цифры ярко показывают, насколько незначительной по своим размерам была работа авиации в Русской армии. Возьмем для примера месяц самой интенсивной работы. Это — август 1916 г., в течение которого совершено было 2116 полетов с общей продолжительностью 3444 часа. Это дает в среднем на один день августа 68 полетов с общей продолжительностью в 111 часов. Но в это время Русская Действующая армия состояла из 14 армий (№№ 1–12, Особая и Кавказская) с общим составом более 200 пехотных и 50 кавалерийских дивизий. Протяжение боевой линии, не принимая в расчет Кавказского фронта, превосходит 1000 километров. И для обслуживания таких колоссальных сухопутных сил авиация может производить в день лишь 68 полетов с общей продолжительностью в 111 часов. Чрезвычайная слабость наших воздушных сил отчетливо сознавалась во всех инстанциях русского командования. «Брусилов, Каледин, Сахаров, — записывает в июне месяце в своих воспоминаниях председатель Государственной думы М. В. Родзянко, — просили обратить самое серьезное внимание на авиацию. В то время </w:t>
      </w:r>
      <w:r w:rsidRPr="00405303">
        <w:rPr>
          <w:bCs/>
          <w:color w:val="002060"/>
          <w:sz w:val="16"/>
          <w:szCs w:val="16"/>
        </w:rPr>
        <w:lastRenderedPageBreak/>
        <w:t>как немцы летают над нами, как птицы, и забрасывают нас бомбами, мы бессильны с ними бороться...» Отлично сознавала это наша Ставка и потому внесла на Междусоюзническую конференцию, собравшуюся в январе 1917 г., просьбу о присылке Русской армии в ближайшие после 1 января 1917 г. восемнадцать месяцев 5200 самолетов (11292).</w:t>
      </w:r>
    </w:p>
    <w:p w14:paraId="3D468BAF" w14:textId="77777777" w:rsidR="006F3BF5" w:rsidRPr="00405303" w:rsidRDefault="006F3BF5" w:rsidP="00C15251">
      <w:pPr>
        <w:jc w:val="both"/>
        <w:rPr>
          <w:bCs/>
          <w:color w:val="002060"/>
          <w:sz w:val="16"/>
          <w:szCs w:val="16"/>
        </w:rPr>
      </w:pPr>
    </w:p>
    <w:p w14:paraId="2FE5CBE5" w14:textId="77777777" w:rsidR="00481739" w:rsidRPr="00405303" w:rsidRDefault="00481739" w:rsidP="00C15251">
      <w:pPr>
        <w:jc w:val="both"/>
        <w:rPr>
          <w:bCs/>
          <w:color w:val="002060"/>
          <w:sz w:val="16"/>
          <w:szCs w:val="16"/>
        </w:rPr>
      </w:pPr>
      <w:r w:rsidRPr="00405303">
        <w:rPr>
          <w:bCs/>
          <w:color w:val="002060"/>
          <w:sz w:val="16"/>
          <w:szCs w:val="16"/>
        </w:rPr>
        <w:t>Осенью 1915 года Червонный авиационный завод был переведен в Москву и продан фирме «Дукс». Терещенко первым создал передвижную железнодорожную мастерскую для обслуживания и ремонта самолетов на Юго-Западном фронте в сентябре 1914 года. Где-то в 1916 или 1917 году он уехал из России во Францию.</w:t>
      </w:r>
    </w:p>
    <w:p w14:paraId="1DCBCFF5" w14:textId="77777777" w:rsidR="00481739" w:rsidRPr="00405303" w:rsidRDefault="00481739" w:rsidP="00C15251">
      <w:pPr>
        <w:jc w:val="both"/>
        <w:rPr>
          <w:bCs/>
          <w:color w:val="002060"/>
          <w:sz w:val="16"/>
          <w:szCs w:val="16"/>
        </w:rPr>
      </w:pPr>
      <w:r w:rsidRPr="00405303">
        <w:rPr>
          <w:bCs/>
          <w:color w:val="002060"/>
          <w:sz w:val="16"/>
          <w:szCs w:val="16"/>
        </w:rPr>
        <w:t>Ниже приведены частичные сведения о его проектах: Терещенко No.Ibis 1910 г.; № 2 1910 г. (вероятно, по проекту Григоровича); №3 в 1910-1911 гг.; Т-4 1911-1912 гг. инженера С.С. Земблинского, разбившийся весной 1912 г. вместе с Г.В. Янковским при испытательном полете; Т-5 и Т-5бис были построены в 1913-1914 годах по проекту Пишофа; Т-6 начался в 1914 году; а Т-7 Терещенко и Григорьева был закончен в августе 1916 года (23525).</w:t>
      </w:r>
    </w:p>
    <w:p w14:paraId="2EF5B396" w14:textId="77777777" w:rsidR="00481739" w:rsidRPr="00405303" w:rsidRDefault="00481739" w:rsidP="00C15251">
      <w:pPr>
        <w:jc w:val="both"/>
        <w:rPr>
          <w:bCs/>
          <w:color w:val="002060"/>
          <w:sz w:val="16"/>
          <w:szCs w:val="16"/>
        </w:rPr>
      </w:pPr>
    </w:p>
    <w:p w14:paraId="4AD5228C" w14:textId="0B9A2A51" w:rsidR="005657D9" w:rsidRPr="00405303" w:rsidRDefault="005657D9" w:rsidP="00C15251">
      <w:pPr>
        <w:shd w:val="clear" w:color="auto" w:fill="FFFFFF"/>
        <w:jc w:val="both"/>
        <w:rPr>
          <w:bCs/>
          <w:i/>
          <w:iCs/>
          <w:color w:val="002060"/>
          <w:sz w:val="16"/>
          <w:szCs w:val="16"/>
        </w:rPr>
      </w:pPr>
      <w:r w:rsidRPr="00405303">
        <w:rPr>
          <w:bCs/>
          <w:i/>
          <w:iCs/>
          <w:color w:val="002060"/>
          <w:sz w:val="16"/>
          <w:szCs w:val="16"/>
        </w:rPr>
        <w:t>Другие оборонные отрасли:</w:t>
      </w:r>
    </w:p>
    <w:p w14:paraId="77C83EC3" w14:textId="77777777" w:rsidR="005657D9" w:rsidRPr="00405303" w:rsidRDefault="005657D9" w:rsidP="00C15251">
      <w:pPr>
        <w:shd w:val="clear" w:color="auto" w:fill="FFFFFF"/>
        <w:jc w:val="both"/>
        <w:rPr>
          <w:bCs/>
          <w:i/>
          <w:iCs/>
          <w:color w:val="002060"/>
          <w:sz w:val="16"/>
          <w:szCs w:val="16"/>
        </w:rPr>
      </w:pPr>
    </w:p>
    <w:p w14:paraId="17D1BA9A" w14:textId="20D8B4EF" w:rsidR="00B20A34" w:rsidRPr="00405303" w:rsidRDefault="005657D9" w:rsidP="00C15251">
      <w:pPr>
        <w:jc w:val="both"/>
        <w:rPr>
          <w:bCs/>
          <w:color w:val="002060"/>
          <w:sz w:val="16"/>
          <w:szCs w:val="16"/>
        </w:rPr>
      </w:pPr>
      <w:r w:rsidRPr="00405303">
        <w:rPr>
          <w:bCs/>
          <w:color w:val="002060"/>
          <w:sz w:val="16"/>
          <w:szCs w:val="16"/>
        </w:rPr>
        <w:t>С</w:t>
      </w:r>
      <w:r w:rsidR="00B20A34" w:rsidRPr="00405303">
        <w:rPr>
          <w:bCs/>
          <w:color w:val="002060"/>
          <w:sz w:val="16"/>
          <w:szCs w:val="16"/>
        </w:rPr>
        <w:t xml:space="preserve"> осени 1915 г. </w:t>
      </w:r>
      <w:r w:rsidRPr="00405303">
        <w:rPr>
          <w:bCs/>
          <w:color w:val="002060"/>
          <w:sz w:val="16"/>
          <w:szCs w:val="16"/>
        </w:rPr>
        <w:t xml:space="preserve">на двух заводах Донецкого бассейна было быстро организовано </w:t>
      </w:r>
      <w:r w:rsidR="009A558B" w:rsidRPr="00405303">
        <w:rPr>
          <w:bCs/>
          <w:color w:val="002060"/>
          <w:sz w:val="16"/>
          <w:szCs w:val="16"/>
        </w:rPr>
        <w:t xml:space="preserve">производства сжиженного хлора (для выпуска из баллонов) </w:t>
      </w:r>
      <w:r w:rsidRPr="00405303">
        <w:rPr>
          <w:bCs/>
          <w:color w:val="002060"/>
          <w:sz w:val="16"/>
          <w:szCs w:val="16"/>
        </w:rPr>
        <w:t xml:space="preserve">и </w:t>
      </w:r>
      <w:r w:rsidR="00B20A34" w:rsidRPr="00405303">
        <w:rPr>
          <w:bCs/>
          <w:color w:val="002060"/>
          <w:sz w:val="16"/>
          <w:szCs w:val="16"/>
        </w:rPr>
        <w:t xml:space="preserve">к осени 1916 г. достигло 500-600 пудов в сутки, что вполне покрывало потребность фронта. </w:t>
      </w:r>
    </w:p>
    <w:p w14:paraId="63F07465" w14:textId="77777777" w:rsidR="00B20A34" w:rsidRPr="00405303" w:rsidRDefault="00B20A34" w:rsidP="00C15251">
      <w:pPr>
        <w:jc w:val="both"/>
        <w:rPr>
          <w:bCs/>
          <w:color w:val="002060"/>
          <w:sz w:val="16"/>
          <w:szCs w:val="16"/>
        </w:rPr>
      </w:pPr>
      <w:r w:rsidRPr="00405303">
        <w:rPr>
          <w:bCs/>
          <w:color w:val="002060"/>
          <w:sz w:val="16"/>
          <w:szCs w:val="16"/>
        </w:rPr>
        <w:t xml:space="preserve">Второе вещество, необходимое для баллоновой газовой борьбы, фосген, в России ранее вовсе не вырабатывалось. </w:t>
      </w:r>
    </w:p>
    <w:p w14:paraId="1AAE275A" w14:textId="77777777" w:rsidR="00B20A34" w:rsidRPr="00405303" w:rsidRDefault="00B20A34" w:rsidP="00C15251">
      <w:pPr>
        <w:jc w:val="both"/>
        <w:rPr>
          <w:bCs/>
          <w:color w:val="002060"/>
          <w:sz w:val="16"/>
          <w:szCs w:val="16"/>
        </w:rPr>
      </w:pPr>
      <w:r w:rsidRPr="00405303">
        <w:rPr>
          <w:bCs/>
          <w:color w:val="002060"/>
          <w:sz w:val="16"/>
          <w:szCs w:val="16"/>
        </w:rPr>
        <w:t xml:space="preserve">На это производство оборудовалось пять заводов, из коих один казенный. Из пяти только два своевременно справились с делом. С января по октябрь 1916 г. производство фосгена достигло 600 пудов в месяц. Установка его представляла большие технические трудности. </w:t>
      </w:r>
    </w:p>
    <w:p w14:paraId="26286750" w14:textId="77777777" w:rsidR="00B20A34" w:rsidRPr="00405303" w:rsidRDefault="00B20A34" w:rsidP="00C15251">
      <w:pPr>
        <w:jc w:val="both"/>
        <w:rPr>
          <w:bCs/>
          <w:color w:val="002060"/>
          <w:sz w:val="16"/>
          <w:szCs w:val="16"/>
        </w:rPr>
      </w:pPr>
      <w:r w:rsidRPr="00405303">
        <w:rPr>
          <w:bCs/>
          <w:color w:val="002060"/>
          <w:sz w:val="16"/>
          <w:szCs w:val="16"/>
        </w:rPr>
        <w:t xml:space="preserve">Что касается других удушающих веществ, то Химический комитет поставил следующие производства: </w:t>
      </w:r>
    </w:p>
    <w:p w14:paraId="771023B4" w14:textId="77777777" w:rsidR="00B20A34" w:rsidRPr="00405303" w:rsidRDefault="00B20A34" w:rsidP="00C15251">
      <w:pPr>
        <w:jc w:val="both"/>
        <w:rPr>
          <w:bCs/>
          <w:color w:val="002060"/>
          <w:sz w:val="16"/>
          <w:szCs w:val="16"/>
        </w:rPr>
      </w:pPr>
      <w:r w:rsidRPr="00405303">
        <w:rPr>
          <w:bCs/>
          <w:color w:val="002060"/>
          <w:sz w:val="16"/>
          <w:szCs w:val="16"/>
        </w:rPr>
        <w:t xml:space="preserve">Хлорпикрин — производство было поставлено на семи заводах. Из них один казенный (Глобинский). По 1 октября 1916 г. изготовлено 21 000 пудов. </w:t>
      </w:r>
    </w:p>
    <w:p w14:paraId="4136A0B5" w14:textId="77777777" w:rsidR="00B20A34" w:rsidRPr="00405303" w:rsidRDefault="00B20A34" w:rsidP="00C15251">
      <w:pPr>
        <w:jc w:val="both"/>
        <w:rPr>
          <w:bCs/>
          <w:color w:val="002060"/>
          <w:sz w:val="16"/>
          <w:szCs w:val="16"/>
        </w:rPr>
      </w:pPr>
      <w:r w:rsidRPr="00405303">
        <w:rPr>
          <w:bCs/>
          <w:color w:val="002060"/>
          <w:sz w:val="16"/>
          <w:szCs w:val="16"/>
        </w:rPr>
        <w:t xml:space="preserve">Хлористый сульфурин и хлористый ангидрид — на одном заводе, до 1 октября 1916 г. выработано: первого 14 000 пудов, а второго 18 000 пудов. </w:t>
      </w:r>
    </w:p>
    <w:p w14:paraId="67C02461" w14:textId="77777777" w:rsidR="00B20A34" w:rsidRPr="00405303" w:rsidRDefault="00B20A34" w:rsidP="00C15251">
      <w:pPr>
        <w:jc w:val="both"/>
        <w:rPr>
          <w:bCs/>
          <w:color w:val="002060"/>
          <w:sz w:val="16"/>
          <w:szCs w:val="16"/>
        </w:rPr>
      </w:pPr>
      <w:r w:rsidRPr="00405303">
        <w:rPr>
          <w:bCs/>
          <w:color w:val="002060"/>
          <w:sz w:val="16"/>
          <w:szCs w:val="16"/>
        </w:rPr>
        <w:t xml:space="preserve">Хлорное олово — на одном заводе, до 1 октября 1916 г. выработано 14 000 пудов. </w:t>
      </w:r>
    </w:p>
    <w:p w14:paraId="51409B44" w14:textId="77777777" w:rsidR="00B20A34" w:rsidRPr="00405303" w:rsidRDefault="00B20A34" w:rsidP="00C15251">
      <w:pPr>
        <w:jc w:val="both"/>
        <w:rPr>
          <w:bCs/>
          <w:color w:val="002060"/>
          <w:sz w:val="16"/>
          <w:szCs w:val="16"/>
        </w:rPr>
      </w:pPr>
      <w:r w:rsidRPr="00405303">
        <w:rPr>
          <w:bCs/>
          <w:color w:val="002060"/>
          <w:sz w:val="16"/>
          <w:szCs w:val="16"/>
        </w:rPr>
        <w:t xml:space="preserve">Цианистый калий — на одном заводе, за 1916 г. выработано 100 пудов. </w:t>
      </w:r>
    </w:p>
    <w:p w14:paraId="36916D79" w14:textId="77777777" w:rsidR="00B20A34" w:rsidRPr="00405303" w:rsidRDefault="00B20A34" w:rsidP="00C15251">
      <w:pPr>
        <w:jc w:val="both"/>
        <w:rPr>
          <w:bCs/>
          <w:color w:val="002060"/>
          <w:sz w:val="16"/>
          <w:szCs w:val="16"/>
        </w:rPr>
      </w:pPr>
      <w:r w:rsidRPr="00405303">
        <w:rPr>
          <w:bCs/>
          <w:color w:val="002060"/>
          <w:sz w:val="16"/>
          <w:szCs w:val="16"/>
        </w:rPr>
        <w:t xml:space="preserve">Хлороформ — на одном заводе, до 1 октября 1916 г. — 300 пудов. </w:t>
      </w:r>
    </w:p>
    <w:p w14:paraId="042198C5" w14:textId="77777777" w:rsidR="00B20A34" w:rsidRPr="00405303" w:rsidRDefault="00B20A34" w:rsidP="00C15251">
      <w:pPr>
        <w:jc w:val="both"/>
        <w:rPr>
          <w:bCs/>
          <w:color w:val="002060"/>
          <w:sz w:val="16"/>
          <w:szCs w:val="16"/>
        </w:rPr>
      </w:pPr>
      <w:r w:rsidRPr="00405303">
        <w:rPr>
          <w:bCs/>
          <w:color w:val="002060"/>
          <w:sz w:val="16"/>
          <w:szCs w:val="16"/>
        </w:rPr>
        <w:t xml:space="preserve">Хлористый мышьяк — на одном заводе, до 1 октября 1916 г. — 2000 пудов. </w:t>
      </w:r>
    </w:p>
    <w:p w14:paraId="17EE80EE" w14:textId="77777777" w:rsidR="00B20A34" w:rsidRPr="00405303" w:rsidRDefault="00B20A34" w:rsidP="00C15251">
      <w:pPr>
        <w:jc w:val="both"/>
        <w:rPr>
          <w:bCs/>
          <w:color w:val="002060"/>
          <w:sz w:val="16"/>
          <w:szCs w:val="16"/>
        </w:rPr>
      </w:pPr>
      <w:r w:rsidRPr="00405303">
        <w:rPr>
          <w:bCs/>
          <w:color w:val="002060"/>
          <w:sz w:val="16"/>
          <w:szCs w:val="16"/>
        </w:rPr>
        <w:t xml:space="preserve">Для производства бромбензола было установлено, впервые в России, производство брома. </w:t>
      </w:r>
    </w:p>
    <w:p w14:paraId="33D4E940" w14:textId="77777777" w:rsidR="00B20A34" w:rsidRPr="00405303" w:rsidRDefault="00B20A34" w:rsidP="00C15251">
      <w:pPr>
        <w:jc w:val="both"/>
        <w:rPr>
          <w:bCs/>
          <w:color w:val="002060"/>
          <w:sz w:val="16"/>
          <w:szCs w:val="16"/>
        </w:rPr>
      </w:pPr>
      <w:r w:rsidRPr="00405303">
        <w:rPr>
          <w:bCs/>
          <w:color w:val="002060"/>
          <w:sz w:val="16"/>
          <w:szCs w:val="16"/>
        </w:rPr>
        <w:t xml:space="preserve">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 </w:t>
      </w:r>
    </w:p>
    <w:p w14:paraId="0A051E56" w14:textId="77777777" w:rsidR="00B20A34" w:rsidRPr="00405303" w:rsidRDefault="00B20A34" w:rsidP="00C15251">
      <w:pPr>
        <w:jc w:val="both"/>
        <w:rPr>
          <w:bCs/>
          <w:color w:val="002060"/>
          <w:sz w:val="16"/>
          <w:szCs w:val="16"/>
        </w:rPr>
      </w:pPr>
      <w:r w:rsidRPr="00405303">
        <w:rPr>
          <w:bCs/>
          <w:color w:val="002060"/>
          <w:sz w:val="16"/>
          <w:szCs w:val="16"/>
        </w:rPr>
        <w:t xml:space="preserve">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 </w:t>
      </w:r>
    </w:p>
    <w:p w14:paraId="016973CE" w14:textId="77777777" w:rsidR="00B20A34" w:rsidRPr="00405303" w:rsidRDefault="00B20A34" w:rsidP="00C15251">
      <w:pPr>
        <w:jc w:val="both"/>
        <w:rPr>
          <w:bCs/>
          <w:color w:val="002060"/>
          <w:sz w:val="16"/>
          <w:szCs w:val="16"/>
        </w:rPr>
      </w:pPr>
      <w:r w:rsidRPr="00405303">
        <w:rPr>
          <w:bCs/>
          <w:color w:val="002060"/>
          <w:sz w:val="16"/>
          <w:szCs w:val="16"/>
        </w:rPr>
        <w:t xml:space="preserve">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 </w:t>
      </w:r>
    </w:p>
    <w:p w14:paraId="458C5FE8" w14:textId="77777777" w:rsidR="00B20A34" w:rsidRPr="00405303" w:rsidRDefault="00B20A34" w:rsidP="00C15251">
      <w:pPr>
        <w:jc w:val="both"/>
        <w:rPr>
          <w:bCs/>
          <w:color w:val="002060"/>
          <w:sz w:val="16"/>
          <w:szCs w:val="16"/>
        </w:rPr>
      </w:pPr>
      <w:r w:rsidRPr="00405303">
        <w:rPr>
          <w:bCs/>
          <w:color w:val="002060"/>
          <w:sz w:val="16"/>
          <w:szCs w:val="16"/>
        </w:rPr>
        <w:t xml:space="preserve">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 </w:t>
      </w:r>
    </w:p>
    <w:p w14:paraId="3548185B" w14:textId="77777777" w:rsidR="00B20A34" w:rsidRPr="00405303" w:rsidRDefault="00B20A34" w:rsidP="00C15251">
      <w:pPr>
        <w:jc w:val="both"/>
        <w:rPr>
          <w:bCs/>
          <w:color w:val="002060"/>
          <w:sz w:val="16"/>
          <w:szCs w:val="16"/>
        </w:rPr>
      </w:pPr>
      <w:r w:rsidRPr="00405303">
        <w:rPr>
          <w:bCs/>
          <w:color w:val="002060"/>
          <w:sz w:val="16"/>
          <w:szCs w:val="16"/>
        </w:rPr>
        <w:t xml:space="preserve">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 </w:t>
      </w:r>
    </w:p>
    <w:p w14:paraId="29DB2E88" w14:textId="77777777" w:rsidR="00B20A34" w:rsidRPr="00405303" w:rsidRDefault="00B20A34" w:rsidP="00C15251">
      <w:pPr>
        <w:jc w:val="both"/>
        <w:rPr>
          <w:bCs/>
          <w:color w:val="002060"/>
          <w:sz w:val="16"/>
          <w:szCs w:val="16"/>
        </w:rPr>
      </w:pPr>
      <w:r w:rsidRPr="00405303">
        <w:rPr>
          <w:bCs/>
          <w:color w:val="002060"/>
          <w:sz w:val="16"/>
          <w:szCs w:val="16"/>
        </w:rPr>
        <w:t xml:space="preserve">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w:t>
      </w:r>
    </w:p>
    <w:p w14:paraId="5894D838" w14:textId="77777777" w:rsidR="00B20A34" w:rsidRPr="00405303" w:rsidRDefault="00B20A34" w:rsidP="00C15251">
      <w:pPr>
        <w:jc w:val="both"/>
        <w:rPr>
          <w:bCs/>
          <w:color w:val="002060"/>
          <w:sz w:val="16"/>
          <w:szCs w:val="16"/>
        </w:rPr>
      </w:pPr>
      <w:r w:rsidRPr="00405303">
        <w:rPr>
          <w:bCs/>
          <w:color w:val="002060"/>
          <w:sz w:val="16"/>
          <w:szCs w:val="16"/>
        </w:rPr>
        <w:t>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6137BAC0" w14:textId="77777777" w:rsidR="00B20A34" w:rsidRPr="00405303" w:rsidRDefault="00B20A34" w:rsidP="00C15251">
      <w:pPr>
        <w:jc w:val="both"/>
        <w:rPr>
          <w:bCs/>
          <w:color w:val="002060"/>
          <w:sz w:val="16"/>
          <w:szCs w:val="16"/>
        </w:rPr>
      </w:pPr>
      <w:r w:rsidRPr="00405303">
        <w:rPr>
          <w:bCs/>
          <w:color w:val="002060"/>
          <w:sz w:val="16"/>
          <w:szCs w:val="16"/>
        </w:rPr>
        <w:t xml:space="preserve">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320452DC" w14:textId="77777777" w:rsidR="00B20A34" w:rsidRPr="00405303" w:rsidRDefault="00B20A34" w:rsidP="00C15251">
      <w:pPr>
        <w:jc w:val="both"/>
        <w:rPr>
          <w:bCs/>
          <w:color w:val="002060"/>
          <w:sz w:val="16"/>
          <w:szCs w:val="16"/>
        </w:rPr>
      </w:pPr>
      <w:r w:rsidRPr="00405303">
        <w:rPr>
          <w:bCs/>
          <w:color w:val="002060"/>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6AEB861B" w14:textId="77777777" w:rsidR="00B20A34" w:rsidRPr="00405303" w:rsidRDefault="00B20A34" w:rsidP="00C15251">
      <w:pPr>
        <w:jc w:val="both"/>
        <w:rPr>
          <w:bCs/>
          <w:color w:val="002060"/>
          <w:sz w:val="16"/>
          <w:szCs w:val="16"/>
        </w:rPr>
      </w:pPr>
      <w:r w:rsidRPr="00405303">
        <w:rPr>
          <w:bCs/>
          <w:color w:val="002060"/>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68849EE2" w14:textId="77777777" w:rsidR="00B20A34" w:rsidRPr="00405303" w:rsidRDefault="00B20A34" w:rsidP="00C15251">
      <w:pPr>
        <w:jc w:val="both"/>
        <w:rPr>
          <w:bCs/>
          <w:color w:val="002060"/>
          <w:sz w:val="16"/>
          <w:szCs w:val="16"/>
        </w:rPr>
      </w:pPr>
      <w:r w:rsidRPr="00405303">
        <w:rPr>
          <w:bCs/>
          <w:color w:val="002060"/>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42D045A7" w14:textId="77777777" w:rsidR="00B20A34" w:rsidRPr="00405303" w:rsidRDefault="00B20A34" w:rsidP="00C15251">
      <w:pPr>
        <w:jc w:val="both"/>
        <w:rPr>
          <w:bCs/>
          <w:i/>
          <w:color w:val="002060"/>
          <w:sz w:val="16"/>
          <w:szCs w:val="16"/>
        </w:rPr>
      </w:pPr>
    </w:p>
    <w:p w14:paraId="3C96A92C" w14:textId="77777777" w:rsidR="00480A8D" w:rsidRPr="00405303" w:rsidRDefault="00480A8D" w:rsidP="00C15251">
      <w:pPr>
        <w:shd w:val="clear" w:color="auto" w:fill="FFFFFF"/>
        <w:jc w:val="both"/>
        <w:rPr>
          <w:bCs/>
          <w:color w:val="002060"/>
          <w:sz w:val="16"/>
          <w:szCs w:val="16"/>
        </w:rPr>
      </w:pPr>
      <w:r w:rsidRPr="00405303">
        <w:rPr>
          <w:bCs/>
          <w:color w:val="002060"/>
          <w:sz w:val="16"/>
          <w:szCs w:val="16"/>
        </w:rPr>
        <w:t>С осени 1915 г. до осени 1916 г. выпуск жидкого хлора достиг 500—600 пудов в сутки.</w:t>
      </w:r>
    </w:p>
    <w:p w14:paraId="7AE4CC1B" w14:textId="77777777" w:rsidR="00480A8D" w:rsidRPr="00405303" w:rsidRDefault="00480A8D" w:rsidP="00C15251">
      <w:pPr>
        <w:shd w:val="clear" w:color="auto" w:fill="FFFFFF"/>
        <w:jc w:val="both"/>
        <w:rPr>
          <w:bCs/>
          <w:color w:val="002060"/>
          <w:sz w:val="16"/>
          <w:szCs w:val="16"/>
        </w:rPr>
      </w:pPr>
      <w:r w:rsidRPr="00405303">
        <w:rPr>
          <w:bCs/>
          <w:color w:val="002060"/>
          <w:sz w:val="16"/>
          <w:szCs w:val="16"/>
        </w:rPr>
        <w:t>Для производства фосгена оборудовали 5 заводов. С января по октябрь 1916 г. выпуск фосгена достиг 600 пудов в месяц.</w:t>
      </w:r>
    </w:p>
    <w:p w14:paraId="367720D2" w14:textId="77777777" w:rsidR="00480A8D" w:rsidRPr="00405303" w:rsidRDefault="00480A8D" w:rsidP="00C15251">
      <w:pPr>
        <w:shd w:val="clear" w:color="auto" w:fill="FFFFFF"/>
        <w:jc w:val="both"/>
        <w:rPr>
          <w:bCs/>
          <w:color w:val="002060"/>
          <w:sz w:val="16"/>
          <w:szCs w:val="16"/>
        </w:rPr>
      </w:pPr>
      <w:r w:rsidRPr="00405303">
        <w:rPr>
          <w:bCs/>
          <w:color w:val="002060"/>
          <w:sz w:val="16"/>
          <w:szCs w:val="16"/>
        </w:rPr>
        <w:t>Хлорпикрин изготовляли на 7 заводах (в том числе на одном ка</w:t>
      </w:r>
      <w:r w:rsidRPr="00405303">
        <w:rPr>
          <w:bCs/>
          <w:color w:val="002060"/>
          <w:sz w:val="16"/>
          <w:szCs w:val="16"/>
        </w:rPr>
        <w:softHyphen/>
        <w:t>зенном).</w:t>
      </w:r>
    </w:p>
    <w:p w14:paraId="1332D941" w14:textId="77777777" w:rsidR="00480A8D" w:rsidRPr="00405303" w:rsidRDefault="00480A8D" w:rsidP="00C15251">
      <w:pPr>
        <w:shd w:val="clear" w:color="auto" w:fill="FFFFFF"/>
        <w:jc w:val="both"/>
        <w:rPr>
          <w:bCs/>
          <w:color w:val="002060"/>
          <w:sz w:val="16"/>
          <w:szCs w:val="16"/>
        </w:rPr>
      </w:pPr>
      <w:r w:rsidRPr="00405303">
        <w:rPr>
          <w:bCs/>
          <w:color w:val="002060"/>
          <w:sz w:val="16"/>
          <w:szCs w:val="16"/>
        </w:rPr>
        <w:lastRenderedPageBreak/>
        <w:t>Следует отметить также большую работу, проведенную Химиче</w:t>
      </w:r>
      <w:r w:rsidRPr="00405303">
        <w:rPr>
          <w:bCs/>
          <w:color w:val="002060"/>
          <w:sz w:val="16"/>
          <w:szCs w:val="16"/>
        </w:rPr>
        <w:softHyphen/>
        <w:t>ским комитетом, по организации массового производства противо</w:t>
      </w:r>
      <w:r w:rsidRPr="00405303">
        <w:rPr>
          <w:bCs/>
          <w:color w:val="002060"/>
          <w:sz w:val="16"/>
          <w:szCs w:val="16"/>
        </w:rPr>
        <w:softHyphen/>
        <w:t>газов Зелинского-Кумманта и других средств противохимической защиты.</w:t>
      </w:r>
    </w:p>
    <w:p w14:paraId="20C55899" w14:textId="77777777" w:rsidR="00480A8D" w:rsidRPr="00405303" w:rsidRDefault="00480A8D" w:rsidP="00C15251">
      <w:pPr>
        <w:shd w:val="clear" w:color="auto" w:fill="FFFFFF"/>
        <w:jc w:val="both"/>
        <w:rPr>
          <w:bCs/>
          <w:color w:val="002060"/>
          <w:sz w:val="16"/>
          <w:szCs w:val="16"/>
        </w:rPr>
      </w:pPr>
      <w:r w:rsidRPr="00405303">
        <w:rPr>
          <w:bCs/>
          <w:color w:val="002060"/>
          <w:sz w:val="16"/>
          <w:szCs w:val="16"/>
        </w:rPr>
        <w:t>Химический комитет организовал также такие новые для России химические производства, как выработка желтого фосфора для за</w:t>
      </w:r>
      <w:r w:rsidRPr="00405303">
        <w:rPr>
          <w:bCs/>
          <w:color w:val="002060"/>
          <w:sz w:val="16"/>
          <w:szCs w:val="16"/>
        </w:rPr>
        <w:softHyphen/>
        <w:t>жигательных боеприпасов, солей бария для пиротехнических сиг</w:t>
      </w:r>
      <w:r w:rsidRPr="00405303">
        <w:rPr>
          <w:bCs/>
          <w:color w:val="002060"/>
          <w:sz w:val="16"/>
          <w:szCs w:val="16"/>
        </w:rPr>
        <w:softHyphen/>
        <w:t>нальных патронов, хлороформа и др.</w:t>
      </w:r>
    </w:p>
    <w:p w14:paraId="4DE4B215" w14:textId="77777777" w:rsidR="00480A8D" w:rsidRPr="00405303" w:rsidRDefault="00480A8D" w:rsidP="00C15251">
      <w:pPr>
        <w:shd w:val="clear" w:color="auto" w:fill="FFFFFF"/>
        <w:jc w:val="both"/>
        <w:rPr>
          <w:bCs/>
          <w:color w:val="002060"/>
          <w:sz w:val="16"/>
          <w:szCs w:val="16"/>
        </w:rPr>
      </w:pPr>
      <w:r w:rsidRPr="00405303">
        <w:rPr>
          <w:bCs/>
          <w:color w:val="002060"/>
          <w:sz w:val="16"/>
          <w:szCs w:val="16"/>
        </w:rPr>
        <w:t>В ходе войны было значительно расширено производство поро</w:t>
      </w:r>
      <w:r w:rsidRPr="00405303">
        <w:rPr>
          <w:bCs/>
          <w:color w:val="002060"/>
          <w:sz w:val="16"/>
          <w:szCs w:val="16"/>
        </w:rPr>
        <w:softHyphen/>
        <w:t>ха на 5 заводах, заново были построены 34 завода по изготовлению серной и азотной кислот, 100 бензольных заводов и заводов по про</w:t>
      </w:r>
      <w:r w:rsidRPr="00405303">
        <w:rPr>
          <w:bCs/>
          <w:color w:val="002060"/>
          <w:sz w:val="16"/>
          <w:szCs w:val="16"/>
        </w:rPr>
        <w:softHyphen/>
        <w:t>изводству толуола, тротила и других взрывчатых веществ, 40 заво</w:t>
      </w:r>
      <w:r w:rsidRPr="00405303">
        <w:rPr>
          <w:bCs/>
          <w:color w:val="002060"/>
          <w:sz w:val="16"/>
          <w:szCs w:val="16"/>
        </w:rPr>
        <w:softHyphen/>
        <w:t>дов, занимавшихся изготовлением удушающих средств. Всего в Рос</w:t>
      </w:r>
      <w:r w:rsidRPr="00405303">
        <w:rPr>
          <w:bCs/>
          <w:color w:val="002060"/>
          <w:sz w:val="16"/>
          <w:szCs w:val="16"/>
        </w:rPr>
        <w:softHyphen/>
        <w:t>сии в 1914 г. действовали 7 химических заводов, в 1915 г. — 39, в 1916 г. — 163 и в 1917 г. — 175 химических предприятий разных типов, снабжавших армию. Это были крупные предприятия, на кото</w:t>
      </w:r>
      <w:r w:rsidRPr="00405303">
        <w:rPr>
          <w:bCs/>
          <w:color w:val="002060"/>
          <w:sz w:val="16"/>
          <w:szCs w:val="16"/>
        </w:rPr>
        <w:softHyphen/>
        <w:t>рых работали тысячи рабочих [6, с. 111; 7, с. 131].</w:t>
      </w:r>
    </w:p>
    <w:p w14:paraId="5990BAED" w14:textId="77777777" w:rsidR="00480A8D" w:rsidRPr="00405303" w:rsidRDefault="00480A8D" w:rsidP="00C15251">
      <w:pPr>
        <w:shd w:val="clear" w:color="auto" w:fill="FFFFFF"/>
        <w:jc w:val="both"/>
        <w:rPr>
          <w:bCs/>
          <w:color w:val="002060"/>
          <w:sz w:val="16"/>
          <w:szCs w:val="16"/>
        </w:rPr>
      </w:pPr>
      <w:r w:rsidRPr="00405303">
        <w:rPr>
          <w:bCs/>
          <w:color w:val="002060"/>
          <w:sz w:val="16"/>
          <w:szCs w:val="16"/>
        </w:rPr>
        <w:t>В. Н. Ипатьев в своей книге о работе химической промышленно</w:t>
      </w:r>
      <w:r w:rsidRPr="00405303">
        <w:rPr>
          <w:bCs/>
          <w:color w:val="002060"/>
          <w:sz w:val="16"/>
          <w:szCs w:val="16"/>
        </w:rPr>
        <w:softHyphen/>
        <w:t>сти России на оборону писал: «Можно без преувеличения сказать, что потребность нашей армии и флота породила у нас мощную от</w:t>
      </w:r>
      <w:r w:rsidRPr="00405303">
        <w:rPr>
          <w:bCs/>
          <w:color w:val="002060"/>
          <w:sz w:val="16"/>
          <w:szCs w:val="16"/>
        </w:rPr>
        <w:softHyphen/>
        <w:t>расль промышленности — химическую, совершенно не зависимую от заграничного сырья» [19].</w:t>
      </w:r>
    </w:p>
    <w:p w14:paraId="205FF423" w14:textId="77777777" w:rsidR="00480A8D" w:rsidRPr="00405303" w:rsidRDefault="00480A8D" w:rsidP="00C15251">
      <w:pPr>
        <w:shd w:val="clear" w:color="auto" w:fill="FFFFFF"/>
        <w:jc w:val="both"/>
        <w:rPr>
          <w:bCs/>
          <w:color w:val="002060"/>
          <w:sz w:val="16"/>
          <w:szCs w:val="16"/>
        </w:rPr>
      </w:pPr>
      <w:r w:rsidRPr="00405303">
        <w:rPr>
          <w:bCs/>
          <w:color w:val="002060"/>
          <w:sz w:val="16"/>
          <w:szCs w:val="16"/>
        </w:rPr>
        <w:t>А начальник Главного артиллерийского управления в годы войны генерал А. А. Маниковский, докладывая в октябре 1916 г. о необхо</w:t>
      </w:r>
      <w:r w:rsidRPr="00405303">
        <w:rPr>
          <w:bCs/>
          <w:color w:val="002060"/>
          <w:sz w:val="16"/>
          <w:szCs w:val="16"/>
        </w:rPr>
        <w:softHyphen/>
        <w:t>димости развития военной промышленности, писал: «Всем известно, в каком жалком положении пребывала у нас химическая промыш</w:t>
      </w:r>
      <w:r w:rsidRPr="00405303">
        <w:rPr>
          <w:bCs/>
          <w:color w:val="002060"/>
          <w:sz w:val="16"/>
          <w:szCs w:val="16"/>
        </w:rPr>
        <w:softHyphen/>
        <w:t>ленность, совершенно подавленная своей германской конкурент</w:t>
      </w:r>
      <w:r w:rsidRPr="00405303">
        <w:rPr>
          <w:bCs/>
          <w:color w:val="002060"/>
          <w:sz w:val="16"/>
          <w:szCs w:val="16"/>
        </w:rPr>
        <w:softHyphen/>
        <w:t>кой • • • Однако благодаря исключительной энергии и знанию дела ге</w:t>
      </w:r>
      <w:r w:rsidRPr="00405303">
        <w:rPr>
          <w:bCs/>
          <w:color w:val="002060"/>
          <w:sz w:val="16"/>
          <w:szCs w:val="16"/>
        </w:rPr>
        <w:softHyphen/>
        <w:t>нерал-лейтенанта Ипатьева она, наконец, развилась до такой степе</w:t>
      </w:r>
      <w:r w:rsidRPr="00405303">
        <w:rPr>
          <w:bCs/>
          <w:color w:val="002060"/>
          <w:sz w:val="16"/>
          <w:szCs w:val="16"/>
        </w:rPr>
        <w:softHyphen/>
        <w:t>ни, что в настоящее время мы можем смело смотреть в будущее» [5, с. 221; 6, с. 131] (5484).</w:t>
      </w:r>
    </w:p>
    <w:p w14:paraId="1C25949F" w14:textId="77777777" w:rsidR="00480A8D" w:rsidRPr="00405303" w:rsidRDefault="00480A8D" w:rsidP="00C15251">
      <w:pPr>
        <w:shd w:val="clear" w:color="auto" w:fill="FFFFFF"/>
        <w:jc w:val="both"/>
        <w:rPr>
          <w:bCs/>
          <w:color w:val="002060"/>
          <w:sz w:val="16"/>
          <w:szCs w:val="16"/>
        </w:rPr>
      </w:pPr>
    </w:p>
    <w:p w14:paraId="4AED3626" w14:textId="410EEB66" w:rsidR="00B20A34" w:rsidRPr="00405303" w:rsidRDefault="00480A8D" w:rsidP="00C15251">
      <w:pPr>
        <w:shd w:val="clear" w:color="auto" w:fill="FFFFFF"/>
        <w:jc w:val="both"/>
        <w:rPr>
          <w:bCs/>
          <w:color w:val="002060"/>
          <w:sz w:val="16"/>
          <w:szCs w:val="16"/>
        </w:rPr>
      </w:pPr>
      <w:r w:rsidRPr="00405303">
        <w:rPr>
          <w:bCs/>
          <w:color w:val="002060"/>
          <w:sz w:val="16"/>
          <w:szCs w:val="16"/>
        </w:rPr>
        <w:t>О</w:t>
      </w:r>
      <w:r w:rsidR="00B20A34" w:rsidRPr="00405303">
        <w:rPr>
          <w:bCs/>
          <w:color w:val="002060"/>
          <w:sz w:val="16"/>
          <w:szCs w:val="16"/>
        </w:rPr>
        <w:t>сенью 1915 г. русская армия, почти лишенная артиллерийских выст</w:t>
      </w:r>
      <w:r w:rsidR="00B20A34" w:rsidRPr="00405303">
        <w:rPr>
          <w:bCs/>
          <w:color w:val="002060"/>
          <w:sz w:val="16"/>
          <w:szCs w:val="16"/>
        </w:rPr>
        <w:softHyphen/>
        <w:t>релов, оставила Польшу и отступила на рубеж Западной Двины, понеся миллионные потери в живой силе. Правительство вынуждено было прибегнуть к заграничным заказам на трубки и взрыватели, а также и на готовые выстрелы к 76-мм пушкам во Франции, Англии и Японии. Всего было заказано 56 млн выстрелов, из которых до кон</w:t>
      </w:r>
      <w:r w:rsidR="00B20A34" w:rsidRPr="00405303">
        <w:rPr>
          <w:bCs/>
          <w:color w:val="002060"/>
          <w:sz w:val="16"/>
          <w:szCs w:val="16"/>
        </w:rPr>
        <w:softHyphen/>
        <w:t>ца войны поступило только около 20 % [39, с. 205] (5484).</w:t>
      </w:r>
    </w:p>
    <w:p w14:paraId="094324C7" w14:textId="77777777" w:rsidR="00B20A34" w:rsidRPr="00405303" w:rsidRDefault="00B20A34" w:rsidP="00C15251">
      <w:pPr>
        <w:shd w:val="clear" w:color="auto" w:fill="FFFFFF"/>
        <w:jc w:val="both"/>
        <w:rPr>
          <w:bCs/>
          <w:color w:val="002060"/>
          <w:sz w:val="16"/>
          <w:szCs w:val="16"/>
        </w:rPr>
      </w:pPr>
    </w:p>
    <w:p w14:paraId="06340280" w14:textId="35A76841" w:rsidR="00B20A34" w:rsidRPr="00405303" w:rsidRDefault="00480A8D" w:rsidP="00C15251">
      <w:pPr>
        <w:jc w:val="both"/>
        <w:rPr>
          <w:bCs/>
          <w:color w:val="002060"/>
          <w:sz w:val="16"/>
          <w:szCs w:val="16"/>
        </w:rPr>
      </w:pPr>
      <w:r w:rsidRPr="00405303">
        <w:rPr>
          <w:bCs/>
          <w:color w:val="002060"/>
          <w:sz w:val="16"/>
          <w:szCs w:val="16"/>
        </w:rPr>
        <w:t>О</w:t>
      </w:r>
      <w:r w:rsidR="00B20A34" w:rsidRPr="00405303">
        <w:rPr>
          <w:bCs/>
          <w:color w:val="002060"/>
          <w:sz w:val="16"/>
          <w:szCs w:val="16"/>
        </w:rPr>
        <w:t xml:space="preserve">сенью 1915 г. </w:t>
      </w:r>
      <w:r w:rsidRPr="00405303">
        <w:rPr>
          <w:bCs/>
          <w:color w:val="002060"/>
          <w:sz w:val="16"/>
          <w:szCs w:val="16"/>
        </w:rPr>
        <w:t xml:space="preserve">производство серной кислоты </w:t>
      </w:r>
      <w:r w:rsidR="00B20A34" w:rsidRPr="00405303">
        <w:rPr>
          <w:bCs/>
          <w:color w:val="002060"/>
          <w:sz w:val="16"/>
          <w:szCs w:val="16"/>
        </w:rPr>
        <w:t>упало до 700 тыс. пуд. против 1,25 млн. пудов в довоенный период. Для исправления положения приступили к постройке 20 новых сернокислотных заводов. Всего к маю 1917 г. в России было сооружено 32 предприятия этого профиля, что дало увеличение выработки серной кислоты до 1864,7 тыс. пуд. в месяц [Ипатьев В. Указ. соч. С. 19, 18, 21.]. Производство азотной кислоты в годы войны резко снизилось в связи с трудностями в доставке чилийской селитры. Химическим комитетом был разработан новый способ получения азотной кислоты из аммиака и на его основе был сооружен опытный завод в Макеевке.</w:t>
      </w:r>
    </w:p>
    <w:p w14:paraId="145091B7" w14:textId="2701F6A5" w:rsidR="00B20A34" w:rsidRPr="00405303" w:rsidRDefault="00B20A34" w:rsidP="00C15251">
      <w:pPr>
        <w:jc w:val="both"/>
        <w:rPr>
          <w:bCs/>
          <w:color w:val="002060"/>
          <w:sz w:val="16"/>
          <w:szCs w:val="16"/>
        </w:rPr>
      </w:pPr>
      <w:r w:rsidRPr="00405303">
        <w:rPr>
          <w:bCs/>
          <w:color w:val="002060"/>
          <w:sz w:val="16"/>
          <w:szCs w:val="16"/>
        </w:rPr>
        <w:t>Благодаря развитию указанных производств химической промышленности было развернуто и строительство специальных заводов взрывчатых веществ. Всего, по данным В.Н. Ипатьева, к концу войны было построено 25 мастерских и заводов по производству взрывчатых веществ. Наряду с частными заводами, которые численно преобладали в этой группе, строилось два казенных: в Нижнем Новгороде и в Грозном (не был достроен). Все это позволило значительно увеличить производство взрывчатых веществ, которое за 11 месяцев 1915 г. составляло 503,0 тыс. пудов, за весь 1916 г. - 1668,7 тыс. пудов, а за 6 месяцев 1917 г. - 1243, 4 тыс. пудов [РГВИА. Ф. 369. Оп. 16. Д. 89. Л. 16об.-17, 33об.-34.]</w:t>
      </w:r>
      <w:r w:rsidR="00480A8D" w:rsidRPr="00405303">
        <w:rPr>
          <w:bCs/>
          <w:color w:val="002060"/>
          <w:sz w:val="16"/>
          <w:szCs w:val="16"/>
        </w:rPr>
        <w:t xml:space="preserve"> (11863)</w:t>
      </w:r>
      <w:r w:rsidRPr="00405303">
        <w:rPr>
          <w:bCs/>
          <w:color w:val="002060"/>
          <w:sz w:val="16"/>
          <w:szCs w:val="16"/>
        </w:rPr>
        <w:t>.</w:t>
      </w:r>
    </w:p>
    <w:p w14:paraId="25DFF8F4" w14:textId="77777777" w:rsidR="00480A8D" w:rsidRPr="00405303" w:rsidRDefault="00480A8D" w:rsidP="00C15251">
      <w:pPr>
        <w:jc w:val="both"/>
        <w:rPr>
          <w:bCs/>
          <w:color w:val="002060"/>
          <w:sz w:val="16"/>
          <w:szCs w:val="16"/>
        </w:rPr>
      </w:pPr>
    </w:p>
    <w:p w14:paraId="71F2C935" w14:textId="1516D70D" w:rsidR="00B20A34" w:rsidRPr="00405303" w:rsidRDefault="00B20A34" w:rsidP="00C15251">
      <w:pPr>
        <w:jc w:val="both"/>
        <w:rPr>
          <w:bCs/>
          <w:color w:val="002060"/>
          <w:sz w:val="16"/>
          <w:szCs w:val="16"/>
        </w:rPr>
      </w:pPr>
      <w:r w:rsidRPr="00405303">
        <w:rPr>
          <w:bCs/>
          <w:color w:val="002060"/>
          <w:sz w:val="16"/>
          <w:szCs w:val="16"/>
        </w:rPr>
        <w:t xml:space="preserve">Осенью 1915 г. подготовительная комиссия по артиллерийским вопросам Особого совещания по обороне отмечала, что постройка </w:t>
      </w:r>
      <w:r w:rsidR="00480A8D" w:rsidRPr="00405303">
        <w:rPr>
          <w:bCs/>
          <w:color w:val="002060"/>
          <w:sz w:val="16"/>
          <w:szCs w:val="16"/>
        </w:rPr>
        <w:t>двух пороховых заводов - частного (акционерное общество механических, гильзовых и трубочных заводов П.В. Барановского), сооружавшегося в Коврове Владимирской губернии и 4-ого казенного (Тамбовского)</w:t>
      </w:r>
      <w:r w:rsidRPr="00405303">
        <w:rPr>
          <w:bCs/>
          <w:color w:val="002060"/>
          <w:sz w:val="16"/>
          <w:szCs w:val="16"/>
        </w:rPr>
        <w:t xml:space="preserve"> находится в крайне неудовлетворительном положении [РГВИА. Ф. 369. Оп. 3. Д. 6. Л. 7.]. Несколько улучшилось дело к весне 1916 г. с постройкой завода общества Барановского, который уже с июня должен был начать производство пороха путем переработки заграничного пироксилина, а с августа осуществлять производство на собственном сырье. Весной постройки пироксилинового отдела были уже большей частью закончены и, по мере доставки механизмов и аппаратов, оборудовались. Производство пороха из готового пироксилина на казенном Тамбовском заводе должно было начаться в мае 1916 г. Однако срок отодвигался до июля в связи с опозданием в доставке оборудования, как заграничного, так и с русских заводов. Полное окончание строительства и пуск завода был перенесен на 1918 г. [РГВИА. Ф. 369. Оп. 16. Д. 135. Л. 43-43об., 45.] Такая ситуация со строительством пороховых заводов приводила к тому, что около 62 % потребности русской армии в порохе удовлетворялись за счет экспорта[22].</w:t>
      </w:r>
    </w:p>
    <w:p w14:paraId="0A1DEB25" w14:textId="77777777" w:rsidR="00B20A34" w:rsidRPr="00405303" w:rsidRDefault="00B20A34" w:rsidP="00C15251">
      <w:pPr>
        <w:jc w:val="both"/>
        <w:rPr>
          <w:bCs/>
          <w:color w:val="002060"/>
          <w:sz w:val="16"/>
          <w:szCs w:val="16"/>
        </w:rPr>
      </w:pPr>
      <w:r w:rsidRPr="00405303">
        <w:rPr>
          <w:bCs/>
          <w:color w:val="002060"/>
          <w:sz w:val="16"/>
          <w:szCs w:val="16"/>
        </w:rPr>
        <w:t>Итак, в целом заводское строительство в отдельных производствах химической промышленности, особенно связанное с производством взрывчатых веществ и кислот, осуществлялось в значительных размерах и было достаточно успешным (11863).</w:t>
      </w:r>
    </w:p>
    <w:p w14:paraId="38D2ABB4" w14:textId="77777777" w:rsidR="00B20A34" w:rsidRPr="00405303" w:rsidRDefault="00B20A34" w:rsidP="00C15251">
      <w:pPr>
        <w:jc w:val="both"/>
        <w:rPr>
          <w:bCs/>
          <w:color w:val="002060"/>
          <w:sz w:val="16"/>
          <w:szCs w:val="16"/>
        </w:rPr>
      </w:pPr>
    </w:p>
    <w:p w14:paraId="227EF1A2" w14:textId="66BE4A57" w:rsidR="00B20A34" w:rsidRPr="00405303" w:rsidRDefault="00480A8D" w:rsidP="00C15251">
      <w:pPr>
        <w:jc w:val="both"/>
        <w:rPr>
          <w:bCs/>
          <w:color w:val="002060"/>
          <w:sz w:val="16"/>
          <w:szCs w:val="16"/>
        </w:rPr>
      </w:pPr>
      <w:r w:rsidRPr="00405303">
        <w:rPr>
          <w:bCs/>
          <w:color w:val="002060"/>
          <w:sz w:val="16"/>
          <w:szCs w:val="16"/>
        </w:rPr>
        <w:t>О</w:t>
      </w:r>
      <w:r w:rsidR="00B20A34" w:rsidRPr="00405303">
        <w:rPr>
          <w:bCs/>
          <w:color w:val="002060"/>
          <w:sz w:val="16"/>
          <w:szCs w:val="16"/>
        </w:rPr>
        <w:t xml:space="preserve">сенью </w:t>
      </w:r>
      <w:r w:rsidRPr="00405303">
        <w:rPr>
          <w:bCs/>
          <w:color w:val="002060"/>
          <w:sz w:val="16"/>
          <w:szCs w:val="16"/>
        </w:rPr>
        <w:t xml:space="preserve">1915 </w:t>
      </w:r>
      <w:r w:rsidR="00B20A34" w:rsidRPr="00405303">
        <w:rPr>
          <w:bCs/>
          <w:color w:val="002060"/>
          <w:sz w:val="16"/>
          <w:szCs w:val="16"/>
        </w:rPr>
        <w:t xml:space="preserve">года </w:t>
      </w:r>
      <w:r w:rsidRPr="00405303">
        <w:rPr>
          <w:bCs/>
          <w:color w:val="002060"/>
          <w:sz w:val="16"/>
          <w:szCs w:val="16"/>
        </w:rPr>
        <w:t xml:space="preserve">фирме Вестингауз </w:t>
      </w:r>
      <w:r w:rsidR="00B20A34" w:rsidRPr="00405303">
        <w:rPr>
          <w:bCs/>
          <w:color w:val="002060"/>
          <w:sz w:val="16"/>
          <w:szCs w:val="16"/>
        </w:rPr>
        <w:t xml:space="preserve">был передан весь набор лекал в натуре. </w:t>
      </w:r>
    </w:p>
    <w:p w14:paraId="7B0888E6" w14:textId="77777777" w:rsidR="00B20A34" w:rsidRPr="00405303" w:rsidRDefault="00B20A34" w:rsidP="00C15251">
      <w:pPr>
        <w:jc w:val="both"/>
        <w:rPr>
          <w:bCs/>
          <w:color w:val="002060"/>
          <w:sz w:val="16"/>
          <w:szCs w:val="16"/>
        </w:rPr>
      </w:pPr>
      <w:r w:rsidRPr="00405303">
        <w:rPr>
          <w:bCs/>
          <w:color w:val="002060"/>
          <w:sz w:val="16"/>
          <w:szCs w:val="16"/>
        </w:rPr>
        <w:t xml:space="preserve">Тотчас по подписании контракта с Вестингаузом вышло недоразумение относительно определения момента, с коего должны течь сроки сдачи винтовок. Причиной была неясная формулировка этого вопроса в тексте контракта, который составлялся фирмой Морган по поручению из Лондона, без участия Русского заготовительного комитета. Пришлось уступить настояниям Вестингауза, и, таким образом, все намеченные частные сроки сдачи винтовок и окончание поставки сразу оттянулись на 4 месяца. </w:t>
      </w:r>
    </w:p>
    <w:p w14:paraId="1178D07A" w14:textId="77777777" w:rsidR="00B20A34" w:rsidRPr="00405303" w:rsidRDefault="00B20A34" w:rsidP="00C15251">
      <w:pPr>
        <w:jc w:val="both"/>
        <w:rPr>
          <w:bCs/>
          <w:color w:val="002060"/>
          <w:sz w:val="16"/>
          <w:szCs w:val="16"/>
        </w:rPr>
      </w:pPr>
      <w:r w:rsidRPr="00405303">
        <w:rPr>
          <w:bCs/>
          <w:color w:val="002060"/>
          <w:sz w:val="16"/>
          <w:szCs w:val="16"/>
        </w:rPr>
        <w:t xml:space="preserve">Надо отметить, что в присланных Вестингаузу из России лекалах оказалось расхождение с чертежами. Затем, в самых чертежах оказались некоторые неточности и неувязки. Наконец, сами лекала были не новые и в них был известный износ. Ко всему надо еще прибавить, что при обмере точных размеров американскими мерительными машинами получалась постоянная разница на 0,0006 дм по сравнению с русскими обмерами. </w:t>
      </w:r>
    </w:p>
    <w:p w14:paraId="62E2819B" w14:textId="77777777" w:rsidR="00B20A34" w:rsidRPr="00405303" w:rsidRDefault="00B20A34" w:rsidP="00C15251">
      <w:pPr>
        <w:jc w:val="both"/>
        <w:rPr>
          <w:bCs/>
          <w:color w:val="002060"/>
          <w:sz w:val="16"/>
          <w:szCs w:val="16"/>
        </w:rPr>
      </w:pPr>
      <w:r w:rsidRPr="00405303">
        <w:rPr>
          <w:bCs/>
          <w:color w:val="002060"/>
          <w:sz w:val="16"/>
          <w:szCs w:val="16"/>
        </w:rPr>
        <w:t xml:space="preserve">Что касается присланных образцовых винтовок, то и в них не все было благополучно: тоже оказалось расхождение некоторых размеров самих винтовок с лекалами и чертежами. Кроме того, сами винтовки имели некоторые дефекты. </w:t>
      </w:r>
    </w:p>
    <w:p w14:paraId="2692F45F" w14:textId="77777777" w:rsidR="00B20A34" w:rsidRPr="00405303" w:rsidRDefault="00B20A34" w:rsidP="00C15251">
      <w:pPr>
        <w:jc w:val="both"/>
        <w:rPr>
          <w:bCs/>
          <w:color w:val="002060"/>
          <w:sz w:val="16"/>
          <w:szCs w:val="16"/>
        </w:rPr>
      </w:pPr>
      <w:r w:rsidRPr="00405303">
        <w:rPr>
          <w:bCs/>
          <w:color w:val="002060"/>
          <w:sz w:val="16"/>
          <w:szCs w:val="16"/>
        </w:rPr>
        <w:t xml:space="preserve">Все эти весьма досадные обстоятельства, лежавшие целиком на вине заказчика, конечно, были наилучшим образом учтены Вестингаузом и в дальнейшем служили ему отличной базой для оттяжки сроков поставки, претензий к заказчику об убытках и всякого рода препирательств с инспекцией приемок. По существу же дела, указанные погрешности в образцах и чертежах, конечно, не могли иметь заметного влияния на ход работы Вестингауза, и он не обратил бы на них внимания, если бы был в состоянии технически и организационно сразу хорошо справиться с делом. </w:t>
      </w:r>
    </w:p>
    <w:p w14:paraId="6EB5AAEA" w14:textId="77777777" w:rsidR="00B20A34" w:rsidRPr="00405303" w:rsidRDefault="00B20A34" w:rsidP="00C15251">
      <w:pPr>
        <w:jc w:val="both"/>
        <w:rPr>
          <w:bCs/>
          <w:color w:val="002060"/>
          <w:sz w:val="16"/>
          <w:szCs w:val="16"/>
        </w:rPr>
      </w:pPr>
      <w:r w:rsidRPr="00405303">
        <w:rPr>
          <w:bCs/>
          <w:color w:val="002060"/>
          <w:sz w:val="16"/>
          <w:szCs w:val="16"/>
        </w:rPr>
        <w:t xml:space="preserve">Более серьезной помехой делу надо считать отсутствие в русской инспекции достаточного числа опытных приемщиков и браковщиков, которые должны были бы в самом начале дела консультировать и инструктировать заводы контрагентов. Но такой помощи заводы, к сожалению, не получили. </w:t>
      </w:r>
    </w:p>
    <w:p w14:paraId="4A6ABB02" w14:textId="77777777" w:rsidR="00B20A34" w:rsidRPr="00405303" w:rsidRDefault="00B20A34" w:rsidP="00C15251">
      <w:pPr>
        <w:jc w:val="both"/>
        <w:rPr>
          <w:bCs/>
          <w:color w:val="002060"/>
          <w:sz w:val="16"/>
          <w:szCs w:val="16"/>
        </w:rPr>
      </w:pPr>
      <w:r w:rsidRPr="00405303">
        <w:rPr>
          <w:bCs/>
          <w:color w:val="002060"/>
          <w:sz w:val="16"/>
          <w:szCs w:val="16"/>
        </w:rPr>
        <w:t xml:space="preserve">Первое и весьма крупное затруднение в работе Вестингауза вышло с точными лекалами, необходимыми для массовой фабрикации винтовок. Компания Вестингауза должна была, по контракту, в кратчайший срок предоставить в распоряжение русской приемки образцовые серии лекал. Как указано, первый контракт был заключен в мае 1915 года. Между тем даже в январе 1916 г. эти лекала еще не были Вестингаузом заказаны. Он ссылался на отсутствие на американском рынке подходящей стали (это в Америке-то!), затем — на отсутствие лекальщиков и, наконец, на указанные выше неточности в русских образцах лекал. После долгих настояний Вестингауз пообещал эти лекала представить в апреле 1916 г., но и этот срок не был выдержан, и лишь в мае, то есть через год после заключения контракта, было доставлено весьма ограниченное количество лекал, причем неполными комплектами. </w:t>
      </w:r>
    </w:p>
    <w:p w14:paraId="7B951A0F" w14:textId="77777777" w:rsidR="00B20A34" w:rsidRPr="00405303" w:rsidRDefault="00B20A34" w:rsidP="00C15251">
      <w:pPr>
        <w:jc w:val="both"/>
        <w:rPr>
          <w:bCs/>
          <w:color w:val="002060"/>
          <w:sz w:val="16"/>
          <w:szCs w:val="16"/>
        </w:rPr>
      </w:pPr>
      <w:r w:rsidRPr="00405303">
        <w:rPr>
          <w:bCs/>
          <w:color w:val="002060"/>
          <w:sz w:val="16"/>
          <w:szCs w:val="16"/>
        </w:rPr>
        <w:t xml:space="preserve">Нужно сказать, что вопрос с лекалами так до конца заказа и не получил надлежащего разрешения. Уже 16 ноября 1916 г. председатель Заготовительного комитета доносил в Артиллерийское управление: "Завод Вестингауза до сих пор не установил у себя надлежащим образом производство винтовок и предъявляет к приемке такие винтовки, которые не удовлетворяют нашим техническим условиям, и главным образом — взаимозаменяемости частей, причем выход винтовок далеко не соответствует контрактным условиям. Происходит это вследствие того, что завод, не заботившийся до настоящего времени о приобретении лекал в надлежащем количестве, на основании спорного пункта контракта упорно отрицает право нашей инспекции проверять лекалами отдельные части винтовок до сборки их и утверждает, что для поверки должны представляться винтовки в собранном виде". </w:t>
      </w:r>
    </w:p>
    <w:p w14:paraId="2215A597" w14:textId="77777777" w:rsidR="00B20A34" w:rsidRPr="00405303" w:rsidRDefault="00B20A34" w:rsidP="00C15251">
      <w:pPr>
        <w:jc w:val="both"/>
        <w:rPr>
          <w:bCs/>
          <w:color w:val="002060"/>
          <w:sz w:val="16"/>
          <w:szCs w:val="16"/>
        </w:rPr>
      </w:pPr>
      <w:r w:rsidRPr="00405303">
        <w:rPr>
          <w:bCs/>
          <w:color w:val="002060"/>
          <w:sz w:val="16"/>
          <w:szCs w:val="16"/>
        </w:rPr>
        <w:t xml:space="preserve">Далее, еще через год, в августе 1917 г., старший приемщик доносит в Петроград, что к этому времени его настойчивые требования об установке полной лекальной поверки винтовок все-таки не выполнены и производится поверка лишь главных частей винтовки. </w:t>
      </w:r>
    </w:p>
    <w:p w14:paraId="337E5A50" w14:textId="77777777" w:rsidR="00B20A34" w:rsidRPr="00405303" w:rsidRDefault="00B20A34" w:rsidP="00C15251">
      <w:pPr>
        <w:jc w:val="both"/>
        <w:rPr>
          <w:bCs/>
          <w:color w:val="002060"/>
          <w:sz w:val="16"/>
          <w:szCs w:val="16"/>
        </w:rPr>
      </w:pPr>
      <w:r w:rsidRPr="00405303">
        <w:rPr>
          <w:bCs/>
          <w:color w:val="002060"/>
          <w:sz w:val="16"/>
          <w:szCs w:val="16"/>
        </w:rPr>
        <w:lastRenderedPageBreak/>
        <w:t xml:space="preserve">Вестингауз до конца не мог понять, что полная лекальность изготовления деталей винтовки является основой массового точного производства, благодаря этому не проявлял особых забот об обеспечении заводов лекалами, и это было одной из главных причин того, что заводы не могли, как будет видно ниже, правильно поставить массовое производство и быстро развернуть его. </w:t>
      </w:r>
    </w:p>
    <w:p w14:paraId="115B7B58" w14:textId="77777777" w:rsidR="00B20A34" w:rsidRPr="00405303" w:rsidRDefault="00B20A34" w:rsidP="00C15251">
      <w:pPr>
        <w:jc w:val="both"/>
        <w:rPr>
          <w:bCs/>
          <w:color w:val="002060"/>
          <w:sz w:val="16"/>
          <w:szCs w:val="16"/>
        </w:rPr>
      </w:pPr>
      <w:r w:rsidRPr="00405303">
        <w:rPr>
          <w:bCs/>
          <w:color w:val="002060"/>
          <w:sz w:val="16"/>
          <w:szCs w:val="16"/>
        </w:rPr>
        <w:t xml:space="preserve">Что касается производства винтовок, то оно налаживалось весьма медленно как в техническом отношении, так и в организационном. Выпуск винтовок шел с большим опозданием против сроков, предусмотренных контрактом. Вся работа протекала на фоне непрерывных пререканий администрации завода с русской инспекцией. </w:t>
      </w:r>
    </w:p>
    <w:p w14:paraId="7D978EFF" w14:textId="77777777" w:rsidR="00B20A34" w:rsidRPr="00405303" w:rsidRDefault="00B20A34" w:rsidP="00C15251">
      <w:pPr>
        <w:jc w:val="both"/>
        <w:rPr>
          <w:bCs/>
          <w:color w:val="002060"/>
          <w:sz w:val="16"/>
          <w:szCs w:val="16"/>
        </w:rPr>
      </w:pPr>
      <w:r w:rsidRPr="00405303">
        <w:rPr>
          <w:bCs/>
          <w:color w:val="002060"/>
          <w:sz w:val="16"/>
          <w:szCs w:val="16"/>
        </w:rPr>
        <w:t xml:space="preserve">В июне 1916 г. Вестингауз обратился к Моргану с категорическим требованием изменить контрактные сроки. Затем уведомил, что он предъявляет иск к заказчику о возмещении убытков, понесенных фирмой. Отсрочка мотивировалась забастовкой, имевшей место на заводе. Что касается убытков, то главной причиной их, по заявлению фирмы, являются действия русской инспекции, которая задерживала разрешение различного рода технических вопросов, в особенности в отношении чертежей лекал, затем давала фирме разноречивые указания и распоряжения и, наконец, благодаря незнанию английского языка осложняла деловые сношения с фирмой. </w:t>
      </w:r>
    </w:p>
    <w:p w14:paraId="3A55B709" w14:textId="77777777" w:rsidR="00B20A34" w:rsidRPr="00405303" w:rsidRDefault="00B20A34" w:rsidP="00C15251">
      <w:pPr>
        <w:jc w:val="both"/>
        <w:rPr>
          <w:bCs/>
          <w:color w:val="002060"/>
          <w:sz w:val="16"/>
          <w:szCs w:val="16"/>
        </w:rPr>
      </w:pPr>
      <w:r w:rsidRPr="00405303">
        <w:rPr>
          <w:bCs/>
          <w:color w:val="002060"/>
          <w:sz w:val="16"/>
          <w:szCs w:val="16"/>
        </w:rPr>
        <w:t xml:space="preserve">В отношении несогласованности действий русской инспекции фирма была права. Инспекция не имела твердых директив от Заготовительного комитета, так как в самом Комитете существовали два резко противоположных взгляда на дело выполнения заказа. Большинство представителей Комитета придерживалось письменного указания начальника ГАУ — стремиться в возможно краткий срок получить возможно большее количество винтовок, поступаясь их качеством и ограничиваясь главным образом требованием их боеспособности. Другая же, меньшая часть Комитета, во главе с председателем инженером Залюбовским, настаивала на том, что необходимо настойчиво требовать от фирмы полной кондиционности изготовляемых ружей. При таких условиях была неизбежная двойственность директив Заготовительного комитета и путаница в действиях приемщиков, что остро ощущалось заводами и приносило вред делу. </w:t>
      </w:r>
    </w:p>
    <w:p w14:paraId="055BAB6A" w14:textId="77777777" w:rsidR="00B20A34" w:rsidRPr="00405303" w:rsidRDefault="00B20A34" w:rsidP="00C15251">
      <w:pPr>
        <w:jc w:val="both"/>
        <w:rPr>
          <w:bCs/>
          <w:color w:val="002060"/>
          <w:sz w:val="16"/>
          <w:szCs w:val="16"/>
        </w:rPr>
      </w:pPr>
      <w:r w:rsidRPr="00405303">
        <w:rPr>
          <w:bCs/>
          <w:color w:val="002060"/>
          <w:sz w:val="16"/>
          <w:szCs w:val="16"/>
        </w:rPr>
        <w:t xml:space="preserve">Что касается фирмы, то она, само собой разумеется, присоединялась к взгляду большинства и резко протестовала против всяких на нее нажимов. В письме от 13 сентября 1916 г. директор фирмы указывает, что приложенная к контракту инструкция о приеме винтовок "составлена применительно к условиям производства и приемки на русских казенных заводах и совершенно неприемлема в условиях частнозаводской практики". </w:t>
      </w:r>
    </w:p>
    <w:p w14:paraId="28CBBE80" w14:textId="77777777" w:rsidR="00B20A34" w:rsidRPr="00405303" w:rsidRDefault="00B20A34" w:rsidP="00C15251">
      <w:pPr>
        <w:jc w:val="both"/>
        <w:rPr>
          <w:bCs/>
          <w:color w:val="002060"/>
          <w:sz w:val="16"/>
          <w:szCs w:val="16"/>
        </w:rPr>
      </w:pPr>
      <w:r w:rsidRPr="00405303">
        <w:rPr>
          <w:bCs/>
          <w:color w:val="002060"/>
          <w:sz w:val="16"/>
          <w:szCs w:val="16"/>
        </w:rPr>
        <w:t xml:space="preserve">Осуществление всяких жестких мер по отношению к фирме было крайне трудно, так как в этот момент хозяином положения являлась, конечно, фирма, а не Заготовительный комитет. В Америке хорошо было известно об острой потребности в ружьях, которую испытывала к этому времени Россия. И когда фирме предъявляли жесткие требования ввести то или иное мероприятие, направленное к улучшению качества ружей, фирма неизменно давала один и тот же ответ, смысл которого был следующий: "Ружья нужны вам, а не нам, и если вы не захотите принять те ружья, которые изготовляются в настоящий момент, то лучших вам придется ждать по крайней мере полгода". </w:t>
      </w:r>
    </w:p>
    <w:p w14:paraId="2B5808CC" w14:textId="77777777" w:rsidR="00B20A34" w:rsidRPr="00405303" w:rsidRDefault="00B20A34" w:rsidP="00C15251">
      <w:pPr>
        <w:jc w:val="both"/>
        <w:rPr>
          <w:bCs/>
          <w:color w:val="002060"/>
          <w:sz w:val="16"/>
          <w:szCs w:val="16"/>
        </w:rPr>
      </w:pPr>
      <w:r w:rsidRPr="00405303">
        <w:rPr>
          <w:bCs/>
          <w:color w:val="002060"/>
          <w:sz w:val="16"/>
          <w:szCs w:val="16"/>
        </w:rPr>
        <w:t xml:space="preserve">В октябре 1916 г. директор фирмы Вестингауз вновь обратился к Заготовительному комитету с заявлением, что при создавшейся обстановке он не может нести ответственность за выполнение контракта в срок и что фирме грозит банкротство. Поэтому фирма требует: 1) внести изменения в условия приемки, 2) выдать дополнительные авансы, 3) продлить сроки поставки. </w:t>
      </w:r>
    </w:p>
    <w:p w14:paraId="6B563AD8" w14:textId="77777777" w:rsidR="00B20A34" w:rsidRPr="00405303" w:rsidRDefault="00B20A34" w:rsidP="00C15251">
      <w:pPr>
        <w:jc w:val="both"/>
        <w:rPr>
          <w:bCs/>
          <w:color w:val="002060"/>
          <w:sz w:val="16"/>
          <w:szCs w:val="16"/>
        </w:rPr>
      </w:pPr>
      <w:r w:rsidRPr="00405303">
        <w:rPr>
          <w:bCs/>
          <w:color w:val="002060"/>
          <w:sz w:val="16"/>
          <w:szCs w:val="16"/>
        </w:rPr>
        <w:t xml:space="preserve">Требования эти были удовлетворены, за исключением аванса, вопрос о котором был отложен. Частные сроки были значительно сдвинуты, и конечный срок поставки с 1 апреля 1917 г. переносился на 1 января 1918 г., то есть на 9 месяцев. Если прибавить четыре месяца оттяжки, имевшей место вначале из-за неясности в редакции контракта, то опоздание составляло уже 13 месяцев. </w:t>
      </w:r>
    </w:p>
    <w:p w14:paraId="661C6E45" w14:textId="77777777" w:rsidR="00B20A34" w:rsidRPr="00405303" w:rsidRDefault="00B20A34" w:rsidP="00C15251">
      <w:pPr>
        <w:jc w:val="both"/>
        <w:rPr>
          <w:bCs/>
          <w:color w:val="002060"/>
          <w:sz w:val="16"/>
          <w:szCs w:val="16"/>
        </w:rPr>
      </w:pPr>
      <w:r w:rsidRPr="00405303">
        <w:rPr>
          <w:bCs/>
          <w:color w:val="002060"/>
          <w:sz w:val="16"/>
          <w:szCs w:val="16"/>
        </w:rPr>
        <w:t xml:space="preserve">В разгар этих переговоров председатель Заготовительного комитета доносил в Петроград: "За два месяца со времени первого осмотра заводов Вестингауза почти никакого прогресса в производстве я не заметил. По-прежнему ощущается острый недостаток в лекалах, при наличии чего правильно установить производство технически невозможно; по-прежнему наиболее влиятельные чины заводоуправления проявляют явное нежелание подчиниться требованиям наших технических условий; по-прежнему в процессе производства не видно ясно продуманного плана — практически обоснованной схемы работ. Очевидно, администрация не отдает себе отчета, что именно нужно для правильной организации дела. Между тем дело остается на прежнем низком уровне, а подаваемые винтовки, хотя и принимаются нашими приемщиками, но лишь ввиду крайней надобности для нашей армии. В общем же винтовки эти по своему качеству не могут быть признаны удовлетворительными". </w:t>
      </w:r>
    </w:p>
    <w:p w14:paraId="6BBF4C5E" w14:textId="77777777" w:rsidR="00B20A34" w:rsidRPr="00405303" w:rsidRDefault="00B20A34" w:rsidP="00C15251">
      <w:pPr>
        <w:jc w:val="both"/>
        <w:rPr>
          <w:bCs/>
          <w:color w:val="002060"/>
          <w:sz w:val="16"/>
          <w:szCs w:val="16"/>
        </w:rPr>
      </w:pPr>
      <w:r w:rsidRPr="00405303">
        <w:rPr>
          <w:bCs/>
          <w:color w:val="002060"/>
          <w:sz w:val="16"/>
          <w:szCs w:val="16"/>
        </w:rPr>
        <w:t xml:space="preserve">Далее в письме председатель заявляет, что он поднял вопрос об устранении директора компании. Затем, говоря о русской инспекции, отмечает, что при всей добросовестности в работе, она не может оказать большой помощи в сложном деле постановки нового производства, так как в инспекции почти нет инженеров — специалистов оружейного дела, и просит прислать опытных инженеров-оружейников. </w:t>
      </w:r>
    </w:p>
    <w:p w14:paraId="24E1A34B" w14:textId="77777777" w:rsidR="00B20A34" w:rsidRPr="00405303" w:rsidRDefault="00B20A34" w:rsidP="00C15251">
      <w:pPr>
        <w:jc w:val="both"/>
        <w:rPr>
          <w:bCs/>
          <w:color w:val="002060"/>
          <w:sz w:val="16"/>
          <w:szCs w:val="16"/>
        </w:rPr>
      </w:pPr>
      <w:r w:rsidRPr="00405303">
        <w:rPr>
          <w:bCs/>
          <w:color w:val="002060"/>
          <w:sz w:val="16"/>
          <w:szCs w:val="16"/>
        </w:rPr>
        <w:t xml:space="preserve">После длинных переговоров между Петроградом и Лондоном Вестингаузу в авансе было отказано. В ответ на это фирма сделала краткое заявление, что она отказывается от дальнейшего выполнения заказа. Таким образом создался конфликт, для разрешения которого британское правительство командировало специальное лицо с тем, чтобы достигнуть соглашения сторон, на основе которого можно было бы довести ружейный заказ до благополучного конца. После двухмесячной работы, в середине марта 1917 г., переговоры с Вестингаузом временно приостановились ввиду решений, принятых на происходившей в то время союзной конференции в Петрограде, — ограничить американский ружейный заказ. Через месяц из Лондона было получено извещение, что ружейный заказ сокращаться не будет. </w:t>
      </w:r>
    </w:p>
    <w:p w14:paraId="7F423282" w14:textId="77777777" w:rsidR="00B20A34" w:rsidRPr="00405303" w:rsidRDefault="00B20A34" w:rsidP="00C15251">
      <w:pPr>
        <w:jc w:val="both"/>
        <w:rPr>
          <w:bCs/>
          <w:color w:val="002060"/>
          <w:sz w:val="16"/>
          <w:szCs w:val="16"/>
        </w:rPr>
      </w:pPr>
      <w:r w:rsidRPr="00405303">
        <w:rPr>
          <w:bCs/>
          <w:color w:val="002060"/>
          <w:sz w:val="16"/>
          <w:szCs w:val="16"/>
        </w:rPr>
        <w:t xml:space="preserve">После длительных переговоров, которые все затягивались благодаря разногласию Заготовительного комитета с представителем Великобритании, а также разногласию в самом Комитете, наконец, состоялось соглашение с Вестингаузом. Оно вылилось в форму нового контракта, который заменил существовавший первоначальный. </w:t>
      </w:r>
    </w:p>
    <w:p w14:paraId="2998A342" w14:textId="77777777" w:rsidR="00B20A34" w:rsidRPr="00405303" w:rsidRDefault="00B20A34" w:rsidP="00C15251">
      <w:pPr>
        <w:jc w:val="both"/>
        <w:rPr>
          <w:bCs/>
          <w:color w:val="002060"/>
          <w:sz w:val="16"/>
          <w:szCs w:val="16"/>
        </w:rPr>
      </w:pPr>
      <w:r w:rsidRPr="00405303">
        <w:rPr>
          <w:bCs/>
          <w:color w:val="002060"/>
          <w:sz w:val="16"/>
          <w:szCs w:val="16"/>
        </w:rPr>
        <w:t>Основы нового контракта, заключенного 1 мая 1917 г., были следующие:</w:t>
      </w:r>
    </w:p>
    <w:p w14:paraId="5FBBE288" w14:textId="77777777" w:rsidR="00B20A34" w:rsidRPr="00405303" w:rsidRDefault="00B20A34" w:rsidP="00C15251">
      <w:pPr>
        <w:jc w:val="both"/>
        <w:rPr>
          <w:bCs/>
          <w:color w:val="002060"/>
          <w:sz w:val="16"/>
          <w:szCs w:val="16"/>
        </w:rPr>
      </w:pPr>
      <w:r w:rsidRPr="00405303">
        <w:rPr>
          <w:bCs/>
          <w:color w:val="002060"/>
          <w:sz w:val="16"/>
          <w:szCs w:val="16"/>
        </w:rPr>
        <w:t xml:space="preserve">1) убытки Вестингауза ограничиваются 5 млн долларов; </w:t>
      </w:r>
    </w:p>
    <w:p w14:paraId="45EE6727" w14:textId="77777777" w:rsidR="00B20A34" w:rsidRPr="00405303" w:rsidRDefault="00B20A34" w:rsidP="00C15251">
      <w:pPr>
        <w:jc w:val="both"/>
        <w:rPr>
          <w:bCs/>
          <w:color w:val="002060"/>
          <w:sz w:val="16"/>
          <w:szCs w:val="16"/>
        </w:rPr>
      </w:pPr>
      <w:r w:rsidRPr="00405303">
        <w:rPr>
          <w:bCs/>
          <w:color w:val="002060"/>
          <w:sz w:val="16"/>
          <w:szCs w:val="16"/>
        </w:rPr>
        <w:t xml:space="preserve">2) количество законтрактованного заказа — 1 800 000 винтовок — уменьшается до 1 000 000, которые должны быть сданы к 1 января 1918 г.; </w:t>
      </w:r>
    </w:p>
    <w:p w14:paraId="65F824A6" w14:textId="77777777" w:rsidR="00B20A34" w:rsidRPr="00405303" w:rsidRDefault="00B20A34" w:rsidP="00C15251">
      <w:pPr>
        <w:jc w:val="both"/>
        <w:rPr>
          <w:bCs/>
          <w:color w:val="002060"/>
          <w:sz w:val="16"/>
          <w:szCs w:val="16"/>
        </w:rPr>
      </w:pPr>
      <w:r w:rsidRPr="00405303">
        <w:rPr>
          <w:bCs/>
          <w:color w:val="002060"/>
          <w:sz w:val="16"/>
          <w:szCs w:val="16"/>
        </w:rPr>
        <w:t xml:space="preserve">3) цена винтовки устанавливается в 32 доллара 75 центов; </w:t>
      </w:r>
    </w:p>
    <w:p w14:paraId="7BA2DA34" w14:textId="77777777" w:rsidR="00B20A34" w:rsidRPr="00405303" w:rsidRDefault="00B20A34" w:rsidP="00C15251">
      <w:pPr>
        <w:jc w:val="both"/>
        <w:rPr>
          <w:bCs/>
          <w:color w:val="002060"/>
          <w:sz w:val="16"/>
          <w:szCs w:val="16"/>
        </w:rPr>
      </w:pPr>
      <w:r w:rsidRPr="00405303">
        <w:rPr>
          <w:bCs/>
          <w:color w:val="002060"/>
          <w:sz w:val="16"/>
          <w:szCs w:val="16"/>
        </w:rPr>
        <w:t xml:space="preserve">4) предусматриваются опционы 400 тыс., 200 тыс. и 200 тыс. </w:t>
      </w:r>
    </w:p>
    <w:p w14:paraId="3199FE4B" w14:textId="77777777" w:rsidR="00B20A34" w:rsidRPr="00405303" w:rsidRDefault="00B20A34" w:rsidP="00C15251">
      <w:pPr>
        <w:jc w:val="both"/>
        <w:rPr>
          <w:bCs/>
          <w:color w:val="002060"/>
          <w:sz w:val="16"/>
          <w:szCs w:val="16"/>
        </w:rPr>
      </w:pPr>
      <w:r w:rsidRPr="00405303">
        <w:rPr>
          <w:bCs/>
          <w:color w:val="002060"/>
          <w:sz w:val="16"/>
          <w:szCs w:val="16"/>
        </w:rPr>
        <w:t xml:space="preserve">Ко времени подписания дополнительного контракта производство ружей на заводах Вестингауза развилось следующим образом (тыс. шт.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16"/>
        <w:gridCol w:w="792"/>
      </w:tblGrid>
      <w:tr w:rsidR="00B20A34" w:rsidRPr="00405303" w14:paraId="79BD5A5A" w14:textId="77777777" w:rsidTr="00D34AC1">
        <w:tc>
          <w:tcPr>
            <w:tcW w:w="2016" w:type="dxa"/>
          </w:tcPr>
          <w:p w14:paraId="7BBD5165" w14:textId="77777777" w:rsidR="00B20A34" w:rsidRPr="00405303" w:rsidRDefault="00B20A34" w:rsidP="00C15251">
            <w:pPr>
              <w:jc w:val="both"/>
              <w:rPr>
                <w:bCs/>
                <w:color w:val="002060"/>
                <w:sz w:val="16"/>
                <w:szCs w:val="16"/>
              </w:rPr>
            </w:pPr>
            <w:r w:rsidRPr="00405303">
              <w:rPr>
                <w:bCs/>
                <w:color w:val="002060"/>
                <w:sz w:val="16"/>
                <w:szCs w:val="16"/>
              </w:rPr>
              <w:t>с января 1917 г.</w:t>
            </w:r>
          </w:p>
        </w:tc>
        <w:tc>
          <w:tcPr>
            <w:tcW w:w="792" w:type="dxa"/>
          </w:tcPr>
          <w:p w14:paraId="28E87AD7" w14:textId="77777777" w:rsidR="00B20A34" w:rsidRPr="00405303" w:rsidRDefault="00B20A34" w:rsidP="00C15251">
            <w:pPr>
              <w:jc w:val="both"/>
              <w:rPr>
                <w:bCs/>
                <w:color w:val="002060"/>
                <w:sz w:val="16"/>
                <w:szCs w:val="16"/>
              </w:rPr>
            </w:pPr>
            <w:r w:rsidRPr="00405303">
              <w:rPr>
                <w:bCs/>
                <w:color w:val="002060"/>
                <w:sz w:val="16"/>
                <w:szCs w:val="16"/>
              </w:rPr>
              <w:t xml:space="preserve">по 40 </w:t>
            </w:r>
          </w:p>
        </w:tc>
      </w:tr>
      <w:tr w:rsidR="00B20A34" w:rsidRPr="00405303" w14:paraId="3F48E530" w14:textId="77777777" w:rsidTr="00D34AC1">
        <w:tc>
          <w:tcPr>
            <w:tcW w:w="2016" w:type="dxa"/>
          </w:tcPr>
          <w:p w14:paraId="70401D23" w14:textId="77777777" w:rsidR="00B20A34" w:rsidRPr="00405303" w:rsidRDefault="00B20A34" w:rsidP="00C15251">
            <w:pPr>
              <w:jc w:val="both"/>
              <w:rPr>
                <w:bCs/>
                <w:color w:val="002060"/>
                <w:sz w:val="16"/>
                <w:szCs w:val="16"/>
              </w:rPr>
            </w:pPr>
            <w:r w:rsidRPr="00405303">
              <w:rPr>
                <w:bCs/>
                <w:color w:val="002060"/>
                <w:sz w:val="16"/>
                <w:szCs w:val="16"/>
              </w:rPr>
              <w:t>с мая 1917 г.</w:t>
            </w:r>
          </w:p>
        </w:tc>
        <w:tc>
          <w:tcPr>
            <w:tcW w:w="792" w:type="dxa"/>
          </w:tcPr>
          <w:p w14:paraId="66AABE06" w14:textId="77777777" w:rsidR="00B20A34" w:rsidRPr="00405303" w:rsidRDefault="00B20A34" w:rsidP="00C15251">
            <w:pPr>
              <w:jc w:val="both"/>
              <w:rPr>
                <w:bCs/>
                <w:color w:val="002060"/>
                <w:sz w:val="16"/>
                <w:szCs w:val="16"/>
              </w:rPr>
            </w:pPr>
            <w:r w:rsidRPr="00405303">
              <w:rPr>
                <w:bCs/>
                <w:color w:val="002060"/>
                <w:sz w:val="16"/>
                <w:szCs w:val="16"/>
              </w:rPr>
              <w:t xml:space="preserve">75 </w:t>
            </w:r>
          </w:p>
        </w:tc>
      </w:tr>
      <w:tr w:rsidR="00B20A34" w:rsidRPr="00405303" w14:paraId="3B6E560D" w14:textId="77777777" w:rsidTr="00D34AC1">
        <w:tc>
          <w:tcPr>
            <w:tcW w:w="2016" w:type="dxa"/>
          </w:tcPr>
          <w:p w14:paraId="6A8D49B0" w14:textId="77777777" w:rsidR="00B20A34" w:rsidRPr="00405303" w:rsidRDefault="00B20A34" w:rsidP="00C15251">
            <w:pPr>
              <w:jc w:val="both"/>
              <w:rPr>
                <w:bCs/>
                <w:color w:val="002060"/>
                <w:sz w:val="16"/>
                <w:szCs w:val="16"/>
              </w:rPr>
            </w:pPr>
            <w:r w:rsidRPr="00405303">
              <w:rPr>
                <w:bCs/>
                <w:color w:val="002060"/>
                <w:sz w:val="16"/>
                <w:szCs w:val="16"/>
              </w:rPr>
              <w:t>с июля 1917 г.</w:t>
            </w:r>
          </w:p>
        </w:tc>
        <w:tc>
          <w:tcPr>
            <w:tcW w:w="792" w:type="dxa"/>
          </w:tcPr>
          <w:p w14:paraId="4950CA51" w14:textId="77777777" w:rsidR="00B20A34" w:rsidRPr="00405303" w:rsidRDefault="00B20A34" w:rsidP="00C15251">
            <w:pPr>
              <w:jc w:val="both"/>
              <w:rPr>
                <w:bCs/>
                <w:color w:val="002060"/>
                <w:sz w:val="16"/>
                <w:szCs w:val="16"/>
              </w:rPr>
            </w:pPr>
            <w:r w:rsidRPr="00405303">
              <w:rPr>
                <w:bCs/>
                <w:color w:val="002060"/>
                <w:sz w:val="16"/>
                <w:szCs w:val="16"/>
              </w:rPr>
              <w:t xml:space="preserve">100 </w:t>
            </w:r>
          </w:p>
        </w:tc>
      </w:tr>
      <w:tr w:rsidR="00B20A34" w:rsidRPr="00405303" w14:paraId="5923AEFD" w14:textId="77777777" w:rsidTr="00D34AC1">
        <w:tc>
          <w:tcPr>
            <w:tcW w:w="2016" w:type="dxa"/>
          </w:tcPr>
          <w:p w14:paraId="12E7F549" w14:textId="77777777" w:rsidR="00B20A34" w:rsidRPr="00405303" w:rsidRDefault="00B20A34" w:rsidP="00C15251">
            <w:pPr>
              <w:jc w:val="both"/>
              <w:rPr>
                <w:bCs/>
                <w:color w:val="002060"/>
                <w:sz w:val="16"/>
                <w:szCs w:val="16"/>
              </w:rPr>
            </w:pPr>
            <w:r w:rsidRPr="00405303">
              <w:rPr>
                <w:bCs/>
                <w:color w:val="002060"/>
                <w:sz w:val="16"/>
                <w:szCs w:val="16"/>
              </w:rPr>
              <w:t>с октября 1917 г.</w:t>
            </w:r>
          </w:p>
        </w:tc>
        <w:tc>
          <w:tcPr>
            <w:tcW w:w="792" w:type="dxa"/>
          </w:tcPr>
          <w:p w14:paraId="67B9ACB6" w14:textId="77777777" w:rsidR="00B20A34" w:rsidRPr="00405303" w:rsidRDefault="00B20A34" w:rsidP="00C15251">
            <w:pPr>
              <w:jc w:val="both"/>
              <w:rPr>
                <w:bCs/>
                <w:color w:val="002060"/>
                <w:sz w:val="16"/>
                <w:szCs w:val="16"/>
              </w:rPr>
            </w:pPr>
            <w:r w:rsidRPr="00405303">
              <w:rPr>
                <w:bCs/>
                <w:color w:val="002060"/>
                <w:sz w:val="16"/>
                <w:szCs w:val="16"/>
              </w:rPr>
              <w:t xml:space="preserve">120. </w:t>
            </w:r>
          </w:p>
        </w:tc>
      </w:tr>
    </w:tbl>
    <w:p w14:paraId="48FCF6D4" w14:textId="77777777" w:rsidR="00B20A34" w:rsidRPr="00405303" w:rsidRDefault="00B20A34" w:rsidP="00C15251">
      <w:pPr>
        <w:jc w:val="both"/>
        <w:rPr>
          <w:bCs/>
          <w:color w:val="002060"/>
          <w:sz w:val="16"/>
          <w:szCs w:val="16"/>
        </w:rPr>
      </w:pPr>
      <w:r w:rsidRPr="00405303">
        <w:rPr>
          <w:bCs/>
          <w:color w:val="002060"/>
          <w:sz w:val="16"/>
          <w:szCs w:val="16"/>
        </w:rPr>
        <w:t xml:space="preserve">Параллельно постепенно улучшалось и качество ружей. </w:t>
      </w:r>
    </w:p>
    <w:p w14:paraId="2B95F178" w14:textId="77777777" w:rsidR="00B20A34" w:rsidRPr="00405303" w:rsidRDefault="00B20A34" w:rsidP="00C15251">
      <w:pPr>
        <w:jc w:val="both"/>
        <w:rPr>
          <w:bCs/>
          <w:color w:val="002060"/>
          <w:sz w:val="16"/>
          <w:szCs w:val="16"/>
        </w:rPr>
      </w:pPr>
      <w:r w:rsidRPr="00405303">
        <w:rPr>
          <w:bCs/>
          <w:color w:val="002060"/>
          <w:sz w:val="16"/>
          <w:szCs w:val="16"/>
        </w:rPr>
        <w:t xml:space="preserve">19 декабря 1917 г. в связи с общей ликвидацией деятельности Заготовительного комитета Вестингауз был осведомлен о канцеляции заказа как по основному контракту, так и опционов, которые предполагалось использовать. Вследствие этого приступлено было к ликвидации контракта. </w:t>
      </w:r>
    </w:p>
    <w:p w14:paraId="325D42E4" w14:textId="77777777" w:rsidR="00B20A34" w:rsidRPr="00405303" w:rsidRDefault="00B20A34" w:rsidP="00C15251">
      <w:pPr>
        <w:jc w:val="both"/>
        <w:rPr>
          <w:bCs/>
          <w:color w:val="002060"/>
          <w:sz w:val="16"/>
          <w:szCs w:val="16"/>
        </w:rPr>
      </w:pPr>
      <w:r w:rsidRPr="00405303">
        <w:rPr>
          <w:bCs/>
          <w:color w:val="002060"/>
          <w:sz w:val="16"/>
          <w:szCs w:val="16"/>
        </w:rPr>
        <w:t xml:space="preserve">Американское правительство выразило желание приобрести у Вестингауза 200 тыс. трехлинейных винтовок, которые он должен продолжать готовить после окончания русского заказа, с тем что оборудование завода не пойдет в ликвидацию и будет подготовлено к помещению заказа американского правительства на 15 тыс. пулеметных браунингов. </w:t>
      </w:r>
    </w:p>
    <w:p w14:paraId="3EDBE471" w14:textId="77777777" w:rsidR="00B20A34" w:rsidRPr="00405303" w:rsidRDefault="00B20A34" w:rsidP="00C15251">
      <w:pPr>
        <w:jc w:val="both"/>
        <w:rPr>
          <w:bCs/>
          <w:color w:val="002060"/>
          <w:sz w:val="16"/>
          <w:szCs w:val="16"/>
        </w:rPr>
      </w:pPr>
      <w:r w:rsidRPr="00405303">
        <w:rPr>
          <w:bCs/>
          <w:color w:val="002060"/>
          <w:sz w:val="16"/>
          <w:szCs w:val="16"/>
        </w:rPr>
        <w:t xml:space="preserve">В итоге всех указанных выше перипетий по 1 января 1918 г. было принято 1 073 560 ружей. Из этого количества в Россию было отправлено 769 520 ружей, а остальные 304 040 русских ружей были отправлены по распоряжению британского правительства в Англию. Всего за весь заказ было уплачено 40 907 873 доллара. </w:t>
      </w:r>
    </w:p>
    <w:p w14:paraId="14D7A50F" w14:textId="77777777" w:rsidR="00B20A34" w:rsidRPr="00405303" w:rsidRDefault="00B20A34" w:rsidP="00C15251">
      <w:pPr>
        <w:jc w:val="both"/>
        <w:rPr>
          <w:bCs/>
          <w:color w:val="002060"/>
          <w:sz w:val="16"/>
          <w:szCs w:val="16"/>
        </w:rPr>
      </w:pPr>
      <w:r w:rsidRPr="00405303">
        <w:rPr>
          <w:bCs/>
          <w:color w:val="002060"/>
          <w:sz w:val="16"/>
          <w:szCs w:val="16"/>
        </w:rPr>
        <w:t xml:space="preserve">В итоге всех этих длинных и сложных перипетий первоначальный заказ на винтовки был выполнен Вестингаузом на 60% и срок исполнения этой части заказа был оттянут на 20 месяцев против контрактного. </w:t>
      </w:r>
    </w:p>
    <w:p w14:paraId="2FE3FA68" w14:textId="77777777" w:rsidR="00B20A34" w:rsidRPr="00405303" w:rsidRDefault="00B20A34" w:rsidP="00C15251">
      <w:pPr>
        <w:pStyle w:val="2"/>
        <w:spacing w:before="0" w:after="0"/>
        <w:jc w:val="both"/>
        <w:rPr>
          <w:b w:val="0"/>
          <w:bCs/>
          <w:color w:val="002060"/>
          <w:sz w:val="16"/>
          <w:szCs w:val="16"/>
        </w:rPr>
      </w:pPr>
      <w:r w:rsidRPr="00405303">
        <w:rPr>
          <w:rStyle w:val="12"/>
          <w:b w:val="0"/>
          <w:bCs/>
          <w:i w:val="0"/>
          <w:color w:val="002060"/>
          <w:sz w:val="16"/>
          <w:szCs w:val="16"/>
        </w:rPr>
        <w:t>Заказы на винтовки компании Ремингтон</w:t>
      </w:r>
    </w:p>
    <w:p w14:paraId="580A25F8" w14:textId="77777777" w:rsidR="00B20A34" w:rsidRPr="00405303" w:rsidRDefault="00B20A34" w:rsidP="00C15251">
      <w:pPr>
        <w:jc w:val="both"/>
        <w:rPr>
          <w:bCs/>
          <w:color w:val="002060"/>
          <w:sz w:val="16"/>
          <w:szCs w:val="16"/>
        </w:rPr>
      </w:pPr>
      <w:r w:rsidRPr="00405303">
        <w:rPr>
          <w:bCs/>
          <w:color w:val="002060"/>
          <w:sz w:val="16"/>
          <w:szCs w:val="16"/>
        </w:rPr>
        <w:t>Компании Ремингтон были даны следующие заказы на трехлинейные винтовки для России (тыс. шт.):</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848"/>
        <w:gridCol w:w="1476"/>
      </w:tblGrid>
      <w:tr w:rsidR="00B20A34" w:rsidRPr="00405303" w14:paraId="5AB220E2" w14:textId="77777777" w:rsidTr="00D34AC1">
        <w:tc>
          <w:tcPr>
            <w:tcW w:w="4848" w:type="dxa"/>
          </w:tcPr>
          <w:p w14:paraId="185F9228" w14:textId="77777777" w:rsidR="00B20A34" w:rsidRPr="00405303" w:rsidRDefault="00B20A34" w:rsidP="00C15251">
            <w:pPr>
              <w:jc w:val="both"/>
              <w:rPr>
                <w:bCs/>
                <w:color w:val="002060"/>
                <w:sz w:val="16"/>
                <w:szCs w:val="16"/>
              </w:rPr>
            </w:pPr>
            <w:r w:rsidRPr="00405303">
              <w:rPr>
                <w:bCs/>
                <w:color w:val="002060"/>
                <w:sz w:val="16"/>
                <w:szCs w:val="16"/>
              </w:rPr>
              <w:t>По контракту с русским правительством 26 января 1915 г.</w:t>
            </w:r>
          </w:p>
        </w:tc>
        <w:tc>
          <w:tcPr>
            <w:tcW w:w="1476" w:type="dxa"/>
          </w:tcPr>
          <w:p w14:paraId="2576D410" w14:textId="77777777" w:rsidR="00B20A34" w:rsidRPr="00405303" w:rsidRDefault="00B20A34" w:rsidP="00C15251">
            <w:pPr>
              <w:jc w:val="both"/>
              <w:rPr>
                <w:bCs/>
                <w:color w:val="002060"/>
                <w:sz w:val="16"/>
                <w:szCs w:val="16"/>
              </w:rPr>
            </w:pPr>
            <w:r w:rsidRPr="00405303">
              <w:rPr>
                <w:bCs/>
                <w:color w:val="002060"/>
                <w:sz w:val="16"/>
                <w:szCs w:val="16"/>
              </w:rPr>
              <w:t xml:space="preserve">на 1000 </w:t>
            </w:r>
          </w:p>
        </w:tc>
      </w:tr>
      <w:tr w:rsidR="00B20A34" w:rsidRPr="00405303" w14:paraId="7CD6A7DA" w14:textId="77777777" w:rsidTr="00D34AC1">
        <w:tc>
          <w:tcPr>
            <w:tcW w:w="4848" w:type="dxa"/>
          </w:tcPr>
          <w:p w14:paraId="7EA46B58" w14:textId="77777777" w:rsidR="00B20A34" w:rsidRPr="00405303" w:rsidRDefault="00B20A34" w:rsidP="00C15251">
            <w:pPr>
              <w:jc w:val="both"/>
              <w:rPr>
                <w:bCs/>
                <w:color w:val="002060"/>
                <w:sz w:val="16"/>
                <w:szCs w:val="16"/>
              </w:rPr>
            </w:pPr>
            <w:r w:rsidRPr="00405303">
              <w:rPr>
                <w:bCs/>
                <w:color w:val="002060"/>
                <w:sz w:val="16"/>
                <w:szCs w:val="16"/>
              </w:rPr>
              <w:lastRenderedPageBreak/>
              <w:t>То же 16 июля 1915 г.</w:t>
            </w:r>
          </w:p>
        </w:tc>
        <w:tc>
          <w:tcPr>
            <w:tcW w:w="1476" w:type="dxa"/>
          </w:tcPr>
          <w:p w14:paraId="04B708BB" w14:textId="77777777" w:rsidR="00B20A34" w:rsidRPr="00405303" w:rsidRDefault="00B20A34" w:rsidP="00C15251">
            <w:pPr>
              <w:jc w:val="both"/>
              <w:rPr>
                <w:bCs/>
                <w:color w:val="002060"/>
                <w:sz w:val="16"/>
                <w:szCs w:val="16"/>
              </w:rPr>
            </w:pPr>
            <w:r w:rsidRPr="00405303">
              <w:rPr>
                <w:bCs/>
                <w:color w:val="002060"/>
                <w:sz w:val="16"/>
                <w:szCs w:val="16"/>
              </w:rPr>
              <w:t xml:space="preserve">на 200 </w:t>
            </w:r>
          </w:p>
        </w:tc>
      </w:tr>
      <w:tr w:rsidR="00B20A34" w:rsidRPr="00405303" w14:paraId="05A65C18" w14:textId="77777777" w:rsidTr="00D34AC1">
        <w:tc>
          <w:tcPr>
            <w:tcW w:w="4848" w:type="dxa"/>
          </w:tcPr>
          <w:p w14:paraId="51F23FB2" w14:textId="77777777" w:rsidR="00B20A34" w:rsidRPr="00405303" w:rsidRDefault="00B20A34" w:rsidP="00C15251">
            <w:pPr>
              <w:jc w:val="both"/>
              <w:rPr>
                <w:bCs/>
                <w:color w:val="002060"/>
                <w:sz w:val="16"/>
                <w:szCs w:val="16"/>
              </w:rPr>
            </w:pPr>
            <w:r w:rsidRPr="00405303">
              <w:rPr>
                <w:bCs/>
                <w:color w:val="002060"/>
                <w:sz w:val="16"/>
                <w:szCs w:val="16"/>
              </w:rPr>
              <w:t>По контракту с британским правительством 9 сентября 1915 г.</w:t>
            </w:r>
          </w:p>
        </w:tc>
        <w:tc>
          <w:tcPr>
            <w:tcW w:w="1476" w:type="dxa"/>
          </w:tcPr>
          <w:p w14:paraId="55825FE9" w14:textId="77777777" w:rsidR="00B20A34" w:rsidRPr="00405303" w:rsidRDefault="00B20A34" w:rsidP="00C15251">
            <w:pPr>
              <w:jc w:val="both"/>
              <w:rPr>
                <w:bCs/>
                <w:color w:val="002060"/>
                <w:sz w:val="16"/>
                <w:szCs w:val="16"/>
              </w:rPr>
            </w:pPr>
            <w:r w:rsidRPr="00405303">
              <w:rPr>
                <w:bCs/>
                <w:color w:val="002060"/>
                <w:sz w:val="16"/>
                <w:szCs w:val="16"/>
              </w:rPr>
              <w:t xml:space="preserve">на 300 </w:t>
            </w:r>
          </w:p>
        </w:tc>
      </w:tr>
      <w:tr w:rsidR="00B20A34" w:rsidRPr="00405303" w14:paraId="2073A8C9" w14:textId="77777777" w:rsidTr="00D34AC1">
        <w:tc>
          <w:tcPr>
            <w:tcW w:w="4848" w:type="dxa"/>
          </w:tcPr>
          <w:p w14:paraId="5A27AE27" w14:textId="77777777" w:rsidR="00B20A34" w:rsidRPr="00405303" w:rsidRDefault="00B20A34" w:rsidP="00C15251">
            <w:pPr>
              <w:jc w:val="both"/>
              <w:rPr>
                <w:bCs/>
                <w:color w:val="002060"/>
                <w:sz w:val="16"/>
                <w:szCs w:val="16"/>
              </w:rPr>
            </w:pPr>
            <w:r w:rsidRPr="00405303">
              <w:rPr>
                <w:bCs/>
                <w:color w:val="002060"/>
                <w:sz w:val="16"/>
                <w:szCs w:val="16"/>
              </w:rPr>
              <w:t>Итого</w:t>
            </w:r>
          </w:p>
        </w:tc>
        <w:tc>
          <w:tcPr>
            <w:tcW w:w="1476" w:type="dxa"/>
          </w:tcPr>
          <w:p w14:paraId="3F50F92A" w14:textId="77777777" w:rsidR="00B20A34" w:rsidRPr="00405303" w:rsidRDefault="00B20A34" w:rsidP="00C15251">
            <w:pPr>
              <w:jc w:val="both"/>
              <w:rPr>
                <w:bCs/>
                <w:color w:val="002060"/>
                <w:sz w:val="16"/>
                <w:szCs w:val="16"/>
              </w:rPr>
            </w:pPr>
            <w:r w:rsidRPr="00405303">
              <w:rPr>
                <w:bCs/>
                <w:color w:val="002060"/>
                <w:sz w:val="16"/>
                <w:szCs w:val="16"/>
              </w:rPr>
              <w:t xml:space="preserve">1 500 000 штук. </w:t>
            </w:r>
          </w:p>
        </w:tc>
      </w:tr>
    </w:tbl>
    <w:p w14:paraId="101EE969" w14:textId="77777777" w:rsidR="00B20A34" w:rsidRPr="00405303" w:rsidRDefault="00B20A34" w:rsidP="00C15251">
      <w:pPr>
        <w:jc w:val="both"/>
        <w:rPr>
          <w:bCs/>
          <w:color w:val="002060"/>
          <w:sz w:val="16"/>
          <w:szCs w:val="16"/>
        </w:rPr>
      </w:pPr>
      <w:r w:rsidRPr="00405303">
        <w:rPr>
          <w:bCs/>
          <w:color w:val="002060"/>
          <w:sz w:val="16"/>
          <w:szCs w:val="16"/>
        </w:rPr>
        <w:t xml:space="preserve">Кроме того, заказано 300 000 черновых ружейных стволов по цене 4,75 доллара за штуку. Начальный срок поставки винтовок — ноябрь 1915 г. и конечный — март 1917 года. Цена — 30 долларов за винтовку франко-завод. </w:t>
      </w:r>
    </w:p>
    <w:p w14:paraId="0CED1213" w14:textId="77777777" w:rsidR="00B20A34" w:rsidRPr="00405303" w:rsidRDefault="00B20A34" w:rsidP="00C15251">
      <w:pPr>
        <w:jc w:val="both"/>
        <w:rPr>
          <w:bCs/>
          <w:color w:val="002060"/>
          <w:sz w:val="16"/>
          <w:szCs w:val="16"/>
        </w:rPr>
      </w:pPr>
      <w:r w:rsidRPr="00405303">
        <w:rPr>
          <w:bCs/>
          <w:color w:val="002060"/>
          <w:sz w:val="16"/>
          <w:szCs w:val="16"/>
        </w:rPr>
        <w:t xml:space="preserve">В противоположность Вестингаузу, разбросавшему выполнение заказа по нескольким десяткам заводов, Ремингтон сосредоточил выполнение заказа в одном месте. Для этого в Бриджпорте был выстроен и богато оборудован завод громадных размеров. Мощность его рассчитана была на 6000 винтовок в сутки, максимальная же сдача по плану выполнения контракта предусмотрена в 4500 штук. </w:t>
      </w:r>
    </w:p>
    <w:p w14:paraId="7DDB2DD4" w14:textId="77777777" w:rsidR="00B20A34" w:rsidRPr="00405303" w:rsidRDefault="00B20A34" w:rsidP="00C15251">
      <w:pPr>
        <w:jc w:val="both"/>
        <w:rPr>
          <w:bCs/>
          <w:color w:val="002060"/>
          <w:sz w:val="16"/>
          <w:szCs w:val="16"/>
        </w:rPr>
      </w:pPr>
      <w:r w:rsidRPr="00405303">
        <w:rPr>
          <w:bCs/>
          <w:color w:val="002060"/>
          <w:sz w:val="16"/>
          <w:szCs w:val="16"/>
        </w:rPr>
        <w:t xml:space="preserve">Постройка завода началась в марте 1915 г. и закончилась в сентябре того же года. </w:t>
      </w:r>
    </w:p>
    <w:p w14:paraId="5C7A106E" w14:textId="77777777" w:rsidR="00B20A34" w:rsidRPr="00405303" w:rsidRDefault="00B20A34" w:rsidP="00C15251">
      <w:pPr>
        <w:jc w:val="both"/>
        <w:rPr>
          <w:bCs/>
          <w:color w:val="002060"/>
          <w:sz w:val="16"/>
          <w:szCs w:val="16"/>
        </w:rPr>
      </w:pPr>
      <w:r w:rsidRPr="00405303">
        <w:rPr>
          <w:bCs/>
          <w:color w:val="002060"/>
          <w:sz w:val="16"/>
          <w:szCs w:val="16"/>
        </w:rPr>
        <w:t xml:space="preserve">Предварительные данные, необходимые для постановки производства были сообщены заводу заблаговременно еще в 1914 году. Русские приемщики вместе с представителями завода начали разрабатывать необходимые чертежи и корректировать в них некоторые ошибки, наличие коих было указано в главе о Вестингаузе. Эта работа продолжалась по май 1915 года. В марте 1915 г. в распоряжении завода было несколько десятков винтовок, образцовые лекала и чертежи тех и других. Винтовки были не образцовые, так как изготовлялись в военное время по облегченным кондициям. Лекала — новые и вполне исправные. </w:t>
      </w:r>
    </w:p>
    <w:p w14:paraId="51D533E3" w14:textId="77777777" w:rsidR="00B20A34" w:rsidRPr="00405303" w:rsidRDefault="00B20A34" w:rsidP="00C15251">
      <w:pPr>
        <w:jc w:val="both"/>
        <w:rPr>
          <w:bCs/>
          <w:color w:val="002060"/>
          <w:sz w:val="16"/>
          <w:szCs w:val="16"/>
        </w:rPr>
      </w:pPr>
      <w:r w:rsidRPr="00405303">
        <w:rPr>
          <w:bCs/>
          <w:color w:val="002060"/>
          <w:sz w:val="16"/>
          <w:szCs w:val="16"/>
        </w:rPr>
        <w:t xml:space="preserve">В конце 1915 г. прибыли на завод назначенные туда от Заготовительного комитета приемщики. Весьма быстро между администрацией завода и ними возник серьезный конфликт, в результате коего приемщику отказали в допуске в завод. Для ликвидации конфликта на завод прибыла большая комиссия. Один из приемщиков был отозван в Россию, и инцидент был исчерпан. </w:t>
      </w:r>
    </w:p>
    <w:p w14:paraId="7B3462D4" w14:textId="77777777" w:rsidR="00B20A34" w:rsidRPr="00405303" w:rsidRDefault="00B20A34" w:rsidP="00C15251">
      <w:pPr>
        <w:jc w:val="both"/>
        <w:rPr>
          <w:bCs/>
          <w:color w:val="002060"/>
          <w:sz w:val="16"/>
          <w:szCs w:val="16"/>
        </w:rPr>
      </w:pPr>
      <w:r w:rsidRPr="00405303">
        <w:rPr>
          <w:bCs/>
          <w:color w:val="002060"/>
          <w:sz w:val="16"/>
          <w:szCs w:val="16"/>
        </w:rPr>
        <w:t xml:space="preserve">Сдача винтовок началась с большим запозданием, лишь в апреле 1916 года. Дело шло плохо и в отношении выпуска, и в отношении качеств изделия. Ввиду этого по настоянию русской инспекции директор завода был смещен. Новый директор, весьма опытный человек, предпринял коренную техническую перепланировку производства. Это вызвало резкий упадок достигнутого уже выпуска винтовок. Сдача, дошедшая в августе 1916 г. до 2000 шт. в сутки, снизилась </w:t>
      </w:r>
      <w:proofErr w:type="gramStart"/>
      <w:r w:rsidRPr="00405303">
        <w:rPr>
          <w:bCs/>
          <w:color w:val="002060"/>
          <w:sz w:val="16"/>
          <w:szCs w:val="16"/>
        </w:rPr>
        <w:t>больше</w:t>
      </w:r>
      <w:proofErr w:type="gramEnd"/>
      <w:r w:rsidRPr="00405303">
        <w:rPr>
          <w:bCs/>
          <w:color w:val="002060"/>
          <w:sz w:val="16"/>
          <w:szCs w:val="16"/>
        </w:rPr>
        <w:t xml:space="preserve"> чем вдвое. Но зато методы производства были значительно улучшены проведением правильно-лекального изготовления всех деталей. Это создавало прочную базу для быстрого и широкого разворачивания производства и улучшало качества изделия. Потребовалась перепланировка помещения цехов. </w:t>
      </w:r>
    </w:p>
    <w:p w14:paraId="23C05747" w14:textId="77777777" w:rsidR="00B20A34" w:rsidRPr="00405303" w:rsidRDefault="00B20A34" w:rsidP="00C15251">
      <w:pPr>
        <w:jc w:val="both"/>
        <w:rPr>
          <w:bCs/>
          <w:color w:val="002060"/>
          <w:sz w:val="16"/>
          <w:szCs w:val="16"/>
        </w:rPr>
      </w:pPr>
      <w:r w:rsidRPr="00405303">
        <w:rPr>
          <w:bCs/>
          <w:color w:val="002060"/>
          <w:sz w:val="16"/>
          <w:szCs w:val="16"/>
        </w:rPr>
        <w:t xml:space="preserve">По прошествии полутора лет со дня заключения контракта фактическое состояние производства по сравнению с контрактным планом представлялось в следующем виде: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984"/>
        <w:gridCol w:w="984"/>
        <w:gridCol w:w="984"/>
        <w:gridCol w:w="1128"/>
      </w:tblGrid>
      <w:tr w:rsidR="00B20A34" w:rsidRPr="00405303" w14:paraId="3E64B682" w14:textId="77777777" w:rsidTr="00D34AC1">
        <w:tc>
          <w:tcPr>
            <w:tcW w:w="1248" w:type="dxa"/>
          </w:tcPr>
          <w:p w14:paraId="24E106CD" w14:textId="77777777" w:rsidR="00B20A34" w:rsidRPr="00405303" w:rsidRDefault="00B20A34" w:rsidP="00C15251">
            <w:pPr>
              <w:jc w:val="both"/>
              <w:rPr>
                <w:bCs/>
                <w:color w:val="002060"/>
                <w:sz w:val="16"/>
                <w:szCs w:val="16"/>
              </w:rPr>
            </w:pPr>
            <w:r w:rsidRPr="00405303">
              <w:rPr>
                <w:bCs/>
                <w:color w:val="002060"/>
                <w:sz w:val="16"/>
                <w:szCs w:val="16"/>
              </w:rPr>
              <w:t xml:space="preserve">Сдача </w:t>
            </w:r>
          </w:p>
        </w:tc>
        <w:tc>
          <w:tcPr>
            <w:tcW w:w="1968" w:type="dxa"/>
            <w:gridSpan w:val="2"/>
          </w:tcPr>
          <w:p w14:paraId="67CEAF4D" w14:textId="77777777" w:rsidR="00B20A34" w:rsidRPr="00405303" w:rsidRDefault="00B20A34" w:rsidP="00C15251">
            <w:pPr>
              <w:jc w:val="both"/>
              <w:rPr>
                <w:bCs/>
                <w:color w:val="002060"/>
                <w:sz w:val="16"/>
                <w:szCs w:val="16"/>
              </w:rPr>
            </w:pPr>
            <w:r w:rsidRPr="00405303">
              <w:rPr>
                <w:bCs/>
                <w:color w:val="002060"/>
                <w:sz w:val="16"/>
                <w:szCs w:val="16"/>
              </w:rPr>
              <w:t>Надлежало по плану</w:t>
            </w:r>
          </w:p>
        </w:tc>
        <w:tc>
          <w:tcPr>
            <w:tcW w:w="2112" w:type="dxa"/>
            <w:gridSpan w:val="2"/>
          </w:tcPr>
          <w:p w14:paraId="7F280C16" w14:textId="77777777" w:rsidR="00B20A34" w:rsidRPr="00405303" w:rsidRDefault="00B20A34" w:rsidP="00C15251">
            <w:pPr>
              <w:jc w:val="both"/>
              <w:rPr>
                <w:bCs/>
                <w:color w:val="002060"/>
                <w:sz w:val="16"/>
                <w:szCs w:val="16"/>
              </w:rPr>
            </w:pPr>
            <w:r w:rsidRPr="00405303">
              <w:rPr>
                <w:bCs/>
                <w:color w:val="002060"/>
                <w:sz w:val="16"/>
                <w:szCs w:val="16"/>
              </w:rPr>
              <w:t>Фактическая</w:t>
            </w:r>
          </w:p>
        </w:tc>
      </w:tr>
      <w:tr w:rsidR="00B20A34" w:rsidRPr="00405303" w14:paraId="2B91F872" w14:textId="77777777" w:rsidTr="00D34AC1">
        <w:tc>
          <w:tcPr>
            <w:tcW w:w="1248" w:type="dxa"/>
          </w:tcPr>
          <w:p w14:paraId="38BA5F49" w14:textId="77777777" w:rsidR="00B20A34" w:rsidRPr="00405303" w:rsidRDefault="00B20A34" w:rsidP="00C15251">
            <w:pPr>
              <w:jc w:val="both"/>
              <w:rPr>
                <w:bCs/>
                <w:color w:val="002060"/>
                <w:sz w:val="16"/>
                <w:szCs w:val="16"/>
              </w:rPr>
            </w:pPr>
            <w:r w:rsidRPr="00405303">
              <w:rPr>
                <w:bCs/>
                <w:color w:val="002060"/>
                <w:sz w:val="16"/>
                <w:szCs w:val="16"/>
              </w:rPr>
              <w:t>винтовок</w:t>
            </w:r>
          </w:p>
        </w:tc>
        <w:tc>
          <w:tcPr>
            <w:tcW w:w="984" w:type="dxa"/>
          </w:tcPr>
          <w:p w14:paraId="60E646FD" w14:textId="77777777" w:rsidR="00B20A34" w:rsidRPr="00405303" w:rsidRDefault="00B20A34" w:rsidP="00C15251">
            <w:pPr>
              <w:jc w:val="both"/>
              <w:rPr>
                <w:bCs/>
                <w:color w:val="002060"/>
                <w:sz w:val="16"/>
                <w:szCs w:val="16"/>
              </w:rPr>
            </w:pPr>
            <w:r w:rsidRPr="00405303">
              <w:rPr>
                <w:bCs/>
                <w:color w:val="002060"/>
                <w:sz w:val="16"/>
                <w:szCs w:val="16"/>
              </w:rPr>
              <w:t>В сутки</w:t>
            </w:r>
          </w:p>
        </w:tc>
        <w:tc>
          <w:tcPr>
            <w:tcW w:w="984" w:type="dxa"/>
          </w:tcPr>
          <w:p w14:paraId="7D3E3F15" w14:textId="77777777" w:rsidR="00B20A34" w:rsidRPr="00405303" w:rsidRDefault="00B20A34" w:rsidP="00C15251">
            <w:pPr>
              <w:jc w:val="both"/>
              <w:rPr>
                <w:bCs/>
                <w:color w:val="002060"/>
                <w:sz w:val="16"/>
                <w:szCs w:val="16"/>
              </w:rPr>
            </w:pPr>
            <w:r w:rsidRPr="00405303">
              <w:rPr>
                <w:bCs/>
                <w:color w:val="002060"/>
                <w:sz w:val="16"/>
                <w:szCs w:val="16"/>
              </w:rPr>
              <w:t>От начала работ</w:t>
            </w:r>
          </w:p>
        </w:tc>
        <w:tc>
          <w:tcPr>
            <w:tcW w:w="984" w:type="dxa"/>
          </w:tcPr>
          <w:p w14:paraId="58070D67" w14:textId="77777777" w:rsidR="00B20A34" w:rsidRPr="00405303" w:rsidRDefault="00B20A34" w:rsidP="00C15251">
            <w:pPr>
              <w:jc w:val="both"/>
              <w:rPr>
                <w:bCs/>
                <w:color w:val="002060"/>
                <w:sz w:val="16"/>
                <w:szCs w:val="16"/>
              </w:rPr>
            </w:pPr>
            <w:r w:rsidRPr="00405303">
              <w:rPr>
                <w:bCs/>
                <w:color w:val="002060"/>
                <w:sz w:val="16"/>
                <w:szCs w:val="16"/>
              </w:rPr>
              <w:t>В сутки</w:t>
            </w:r>
          </w:p>
        </w:tc>
        <w:tc>
          <w:tcPr>
            <w:tcW w:w="1128" w:type="dxa"/>
          </w:tcPr>
          <w:p w14:paraId="2199FD2A" w14:textId="77777777" w:rsidR="00B20A34" w:rsidRPr="00405303" w:rsidRDefault="00B20A34" w:rsidP="00C15251">
            <w:pPr>
              <w:jc w:val="both"/>
              <w:rPr>
                <w:bCs/>
                <w:color w:val="002060"/>
                <w:sz w:val="16"/>
                <w:szCs w:val="16"/>
              </w:rPr>
            </w:pPr>
            <w:r w:rsidRPr="00405303">
              <w:rPr>
                <w:bCs/>
                <w:color w:val="002060"/>
                <w:sz w:val="16"/>
                <w:szCs w:val="16"/>
              </w:rPr>
              <w:t>От начала работ</w:t>
            </w:r>
          </w:p>
        </w:tc>
      </w:tr>
      <w:tr w:rsidR="00B20A34" w:rsidRPr="00405303" w14:paraId="651ACC0C" w14:textId="77777777" w:rsidTr="00D34AC1">
        <w:tc>
          <w:tcPr>
            <w:tcW w:w="1248" w:type="dxa"/>
          </w:tcPr>
          <w:p w14:paraId="19F4EC22" w14:textId="77777777" w:rsidR="00B20A34" w:rsidRPr="00405303" w:rsidRDefault="00B20A34" w:rsidP="00C15251">
            <w:pPr>
              <w:jc w:val="both"/>
              <w:rPr>
                <w:bCs/>
                <w:color w:val="002060"/>
                <w:sz w:val="16"/>
                <w:szCs w:val="16"/>
              </w:rPr>
            </w:pPr>
            <w:r w:rsidRPr="00405303">
              <w:rPr>
                <w:bCs/>
                <w:color w:val="002060"/>
                <w:sz w:val="16"/>
                <w:szCs w:val="16"/>
              </w:rPr>
              <w:t>Декабрь 1916 г.</w:t>
            </w:r>
          </w:p>
        </w:tc>
        <w:tc>
          <w:tcPr>
            <w:tcW w:w="984" w:type="dxa"/>
          </w:tcPr>
          <w:p w14:paraId="64138919" w14:textId="77777777" w:rsidR="00B20A34" w:rsidRPr="00405303" w:rsidRDefault="00B20A34" w:rsidP="00C15251">
            <w:pPr>
              <w:jc w:val="both"/>
              <w:rPr>
                <w:bCs/>
                <w:color w:val="002060"/>
                <w:sz w:val="16"/>
                <w:szCs w:val="16"/>
              </w:rPr>
            </w:pPr>
            <w:r w:rsidRPr="00405303">
              <w:rPr>
                <w:bCs/>
                <w:color w:val="002060"/>
                <w:sz w:val="16"/>
                <w:szCs w:val="16"/>
              </w:rPr>
              <w:t>1.000</w:t>
            </w:r>
          </w:p>
        </w:tc>
        <w:tc>
          <w:tcPr>
            <w:tcW w:w="984" w:type="dxa"/>
          </w:tcPr>
          <w:p w14:paraId="5C7F7F7D" w14:textId="77777777" w:rsidR="00B20A34" w:rsidRPr="00405303" w:rsidRDefault="00B20A34" w:rsidP="00C15251">
            <w:pPr>
              <w:jc w:val="both"/>
              <w:rPr>
                <w:bCs/>
                <w:color w:val="002060"/>
                <w:sz w:val="16"/>
                <w:szCs w:val="16"/>
              </w:rPr>
            </w:pPr>
            <w:r w:rsidRPr="00405303">
              <w:rPr>
                <w:bCs/>
                <w:color w:val="002060"/>
                <w:sz w:val="16"/>
                <w:szCs w:val="16"/>
              </w:rPr>
              <w:t>1.000.000</w:t>
            </w:r>
          </w:p>
        </w:tc>
        <w:tc>
          <w:tcPr>
            <w:tcW w:w="984" w:type="dxa"/>
          </w:tcPr>
          <w:p w14:paraId="224ABE78" w14:textId="77777777" w:rsidR="00B20A34" w:rsidRPr="00405303" w:rsidRDefault="00B20A34" w:rsidP="00C15251">
            <w:pPr>
              <w:jc w:val="both"/>
              <w:rPr>
                <w:bCs/>
                <w:color w:val="002060"/>
                <w:sz w:val="16"/>
                <w:szCs w:val="16"/>
              </w:rPr>
            </w:pPr>
            <w:r w:rsidRPr="00405303">
              <w:rPr>
                <w:bCs/>
                <w:color w:val="002060"/>
                <w:sz w:val="16"/>
                <w:szCs w:val="16"/>
              </w:rPr>
              <w:t>500</w:t>
            </w:r>
          </w:p>
        </w:tc>
        <w:tc>
          <w:tcPr>
            <w:tcW w:w="1128" w:type="dxa"/>
          </w:tcPr>
          <w:p w14:paraId="2879D631" w14:textId="77777777" w:rsidR="00B20A34" w:rsidRPr="00405303" w:rsidRDefault="00B20A34" w:rsidP="00C15251">
            <w:pPr>
              <w:jc w:val="both"/>
              <w:rPr>
                <w:bCs/>
                <w:color w:val="002060"/>
                <w:sz w:val="16"/>
                <w:szCs w:val="16"/>
              </w:rPr>
            </w:pPr>
            <w:r w:rsidRPr="00405303">
              <w:rPr>
                <w:bCs/>
                <w:color w:val="002060"/>
                <w:sz w:val="16"/>
                <w:szCs w:val="16"/>
              </w:rPr>
              <w:t>70.000</w:t>
            </w:r>
          </w:p>
        </w:tc>
      </w:tr>
      <w:tr w:rsidR="00B20A34" w:rsidRPr="00405303" w14:paraId="2D266FA8" w14:textId="77777777" w:rsidTr="00D34AC1">
        <w:tc>
          <w:tcPr>
            <w:tcW w:w="1248" w:type="dxa"/>
          </w:tcPr>
          <w:p w14:paraId="5012D5AE" w14:textId="77777777" w:rsidR="00B20A34" w:rsidRPr="00405303" w:rsidRDefault="00B20A34" w:rsidP="00C15251">
            <w:pPr>
              <w:jc w:val="both"/>
              <w:rPr>
                <w:bCs/>
                <w:color w:val="002060"/>
                <w:sz w:val="16"/>
                <w:szCs w:val="16"/>
              </w:rPr>
            </w:pPr>
            <w:r w:rsidRPr="00405303">
              <w:rPr>
                <w:bCs/>
                <w:color w:val="002060"/>
                <w:sz w:val="16"/>
                <w:szCs w:val="16"/>
              </w:rPr>
              <w:t>Март 1917 г.</w:t>
            </w:r>
          </w:p>
        </w:tc>
        <w:tc>
          <w:tcPr>
            <w:tcW w:w="984" w:type="dxa"/>
          </w:tcPr>
          <w:p w14:paraId="7D9C4E92" w14:textId="77777777" w:rsidR="00B20A34" w:rsidRPr="00405303" w:rsidRDefault="00B20A34" w:rsidP="00C15251">
            <w:pPr>
              <w:jc w:val="both"/>
              <w:rPr>
                <w:bCs/>
                <w:color w:val="002060"/>
                <w:sz w:val="16"/>
                <w:szCs w:val="16"/>
              </w:rPr>
            </w:pPr>
            <w:r w:rsidRPr="00405303">
              <w:rPr>
                <w:bCs/>
                <w:color w:val="002060"/>
                <w:sz w:val="16"/>
                <w:szCs w:val="16"/>
              </w:rPr>
              <w:t>4.000</w:t>
            </w:r>
          </w:p>
        </w:tc>
        <w:tc>
          <w:tcPr>
            <w:tcW w:w="984" w:type="dxa"/>
          </w:tcPr>
          <w:p w14:paraId="707F397D" w14:textId="77777777" w:rsidR="00B20A34" w:rsidRPr="00405303" w:rsidRDefault="00B20A34" w:rsidP="00C15251">
            <w:pPr>
              <w:jc w:val="both"/>
              <w:rPr>
                <w:bCs/>
                <w:color w:val="002060"/>
                <w:sz w:val="16"/>
                <w:szCs w:val="16"/>
              </w:rPr>
            </w:pPr>
            <w:r w:rsidRPr="00405303">
              <w:rPr>
                <w:bCs/>
                <w:color w:val="002060"/>
                <w:sz w:val="16"/>
                <w:szCs w:val="16"/>
              </w:rPr>
              <w:t>1.250.000</w:t>
            </w:r>
          </w:p>
        </w:tc>
        <w:tc>
          <w:tcPr>
            <w:tcW w:w="984" w:type="dxa"/>
          </w:tcPr>
          <w:p w14:paraId="5BCD5364" w14:textId="77777777" w:rsidR="00B20A34" w:rsidRPr="00405303" w:rsidRDefault="00B20A34" w:rsidP="00C15251">
            <w:pPr>
              <w:jc w:val="both"/>
              <w:rPr>
                <w:bCs/>
                <w:color w:val="002060"/>
                <w:sz w:val="16"/>
                <w:szCs w:val="16"/>
              </w:rPr>
            </w:pPr>
            <w:r w:rsidRPr="00405303">
              <w:rPr>
                <w:bCs/>
                <w:color w:val="002060"/>
                <w:sz w:val="16"/>
                <w:szCs w:val="16"/>
              </w:rPr>
              <w:t>1.200</w:t>
            </w:r>
          </w:p>
        </w:tc>
        <w:tc>
          <w:tcPr>
            <w:tcW w:w="1128" w:type="dxa"/>
          </w:tcPr>
          <w:p w14:paraId="6F04FB37" w14:textId="77777777" w:rsidR="00B20A34" w:rsidRPr="00405303" w:rsidRDefault="00B20A34" w:rsidP="00C15251">
            <w:pPr>
              <w:jc w:val="both"/>
              <w:rPr>
                <w:bCs/>
                <w:color w:val="002060"/>
                <w:sz w:val="16"/>
                <w:szCs w:val="16"/>
              </w:rPr>
            </w:pPr>
            <w:r w:rsidRPr="00405303">
              <w:rPr>
                <w:bCs/>
                <w:color w:val="002060"/>
                <w:sz w:val="16"/>
                <w:szCs w:val="16"/>
              </w:rPr>
              <w:t>120.000</w:t>
            </w:r>
          </w:p>
        </w:tc>
      </w:tr>
      <w:tr w:rsidR="00B20A34" w:rsidRPr="00405303" w14:paraId="5861A702" w14:textId="77777777" w:rsidTr="00D34AC1">
        <w:tc>
          <w:tcPr>
            <w:tcW w:w="1248" w:type="dxa"/>
          </w:tcPr>
          <w:p w14:paraId="3696517B" w14:textId="77777777" w:rsidR="00B20A34" w:rsidRPr="00405303" w:rsidRDefault="00B20A34" w:rsidP="00C15251">
            <w:pPr>
              <w:jc w:val="both"/>
              <w:rPr>
                <w:bCs/>
                <w:color w:val="002060"/>
                <w:sz w:val="16"/>
                <w:szCs w:val="16"/>
              </w:rPr>
            </w:pPr>
            <w:r w:rsidRPr="00405303">
              <w:rPr>
                <w:bCs/>
                <w:color w:val="002060"/>
                <w:sz w:val="16"/>
                <w:szCs w:val="16"/>
              </w:rPr>
              <w:t>Май 1917 г.</w:t>
            </w:r>
          </w:p>
        </w:tc>
        <w:tc>
          <w:tcPr>
            <w:tcW w:w="984" w:type="dxa"/>
          </w:tcPr>
          <w:p w14:paraId="3FC0A02B" w14:textId="77777777" w:rsidR="00B20A34" w:rsidRPr="00405303" w:rsidRDefault="00B20A34" w:rsidP="00C15251">
            <w:pPr>
              <w:jc w:val="both"/>
              <w:rPr>
                <w:bCs/>
                <w:color w:val="002060"/>
                <w:sz w:val="16"/>
                <w:szCs w:val="16"/>
              </w:rPr>
            </w:pPr>
            <w:r w:rsidRPr="00405303">
              <w:rPr>
                <w:bCs/>
                <w:color w:val="002060"/>
                <w:sz w:val="16"/>
                <w:szCs w:val="16"/>
              </w:rPr>
              <w:t>4.000</w:t>
            </w:r>
          </w:p>
        </w:tc>
        <w:tc>
          <w:tcPr>
            <w:tcW w:w="984" w:type="dxa"/>
          </w:tcPr>
          <w:p w14:paraId="5BCD6C35" w14:textId="77777777" w:rsidR="00B20A34" w:rsidRPr="00405303" w:rsidRDefault="00B20A34" w:rsidP="00C15251">
            <w:pPr>
              <w:jc w:val="both"/>
              <w:rPr>
                <w:bCs/>
                <w:color w:val="002060"/>
                <w:sz w:val="16"/>
                <w:szCs w:val="16"/>
              </w:rPr>
            </w:pPr>
            <w:r w:rsidRPr="00405303">
              <w:rPr>
                <w:bCs/>
                <w:color w:val="002060"/>
                <w:sz w:val="16"/>
                <w:szCs w:val="16"/>
              </w:rPr>
              <w:t>1.450.000</w:t>
            </w:r>
          </w:p>
        </w:tc>
        <w:tc>
          <w:tcPr>
            <w:tcW w:w="984" w:type="dxa"/>
          </w:tcPr>
          <w:p w14:paraId="72BD1E3E" w14:textId="77777777" w:rsidR="00B20A34" w:rsidRPr="00405303" w:rsidRDefault="00B20A34" w:rsidP="00C15251">
            <w:pPr>
              <w:jc w:val="both"/>
              <w:rPr>
                <w:bCs/>
                <w:color w:val="002060"/>
                <w:sz w:val="16"/>
                <w:szCs w:val="16"/>
              </w:rPr>
            </w:pPr>
            <w:r w:rsidRPr="00405303">
              <w:rPr>
                <w:bCs/>
                <w:color w:val="002060"/>
                <w:sz w:val="16"/>
                <w:szCs w:val="16"/>
              </w:rPr>
              <w:t>1.800</w:t>
            </w:r>
          </w:p>
        </w:tc>
        <w:tc>
          <w:tcPr>
            <w:tcW w:w="1128" w:type="dxa"/>
          </w:tcPr>
          <w:p w14:paraId="5C3E2D6D" w14:textId="77777777" w:rsidR="00B20A34" w:rsidRPr="00405303" w:rsidRDefault="00B20A34" w:rsidP="00C15251">
            <w:pPr>
              <w:jc w:val="both"/>
              <w:rPr>
                <w:bCs/>
                <w:color w:val="002060"/>
                <w:sz w:val="16"/>
                <w:szCs w:val="16"/>
              </w:rPr>
            </w:pPr>
            <w:r w:rsidRPr="00405303">
              <w:rPr>
                <w:bCs/>
                <w:color w:val="002060"/>
                <w:sz w:val="16"/>
                <w:szCs w:val="16"/>
              </w:rPr>
              <w:t>200.000</w:t>
            </w:r>
          </w:p>
        </w:tc>
      </w:tr>
    </w:tbl>
    <w:p w14:paraId="3550CD98" w14:textId="77777777" w:rsidR="00B20A34" w:rsidRPr="00405303" w:rsidRDefault="00B20A34" w:rsidP="00C15251">
      <w:pPr>
        <w:jc w:val="both"/>
        <w:rPr>
          <w:bCs/>
          <w:color w:val="002060"/>
          <w:sz w:val="16"/>
          <w:szCs w:val="16"/>
        </w:rPr>
      </w:pPr>
      <w:r w:rsidRPr="00405303">
        <w:rPr>
          <w:bCs/>
          <w:color w:val="002060"/>
          <w:sz w:val="16"/>
          <w:szCs w:val="16"/>
        </w:rPr>
        <w:t xml:space="preserve">Таким образом, сдача катастрофически отставала от плана. Это обстоятельство, естественно, создавало для компании крайне тяжелое финансовое положение, угрожавшее крахом, так как поступлений платежей не было, а расходы шли своим порядком. </w:t>
      </w:r>
    </w:p>
    <w:p w14:paraId="77EC2033" w14:textId="77777777" w:rsidR="00B20A34" w:rsidRPr="00405303" w:rsidRDefault="00B20A34" w:rsidP="00C15251">
      <w:pPr>
        <w:jc w:val="both"/>
        <w:rPr>
          <w:bCs/>
          <w:color w:val="002060"/>
          <w:sz w:val="16"/>
          <w:szCs w:val="16"/>
        </w:rPr>
      </w:pPr>
      <w:r w:rsidRPr="00405303">
        <w:rPr>
          <w:bCs/>
          <w:color w:val="002060"/>
          <w:sz w:val="16"/>
          <w:szCs w:val="16"/>
        </w:rPr>
        <w:t xml:space="preserve">В декабре 1916 г. Заготовительным комитетом был канцелирован заказ на 300 000 винтовок. </w:t>
      </w:r>
    </w:p>
    <w:p w14:paraId="389C3884" w14:textId="77777777" w:rsidR="00B20A34" w:rsidRPr="00405303" w:rsidRDefault="00B20A34" w:rsidP="00C15251">
      <w:pPr>
        <w:jc w:val="both"/>
        <w:rPr>
          <w:bCs/>
          <w:color w:val="002060"/>
          <w:sz w:val="16"/>
          <w:szCs w:val="16"/>
        </w:rPr>
      </w:pPr>
      <w:r w:rsidRPr="00405303">
        <w:rPr>
          <w:bCs/>
          <w:color w:val="002060"/>
          <w:sz w:val="16"/>
          <w:szCs w:val="16"/>
        </w:rPr>
        <w:t xml:space="preserve">В связи со всем этим Ремингтон возбудил вопрос о пересмотре контрактов, угрожая в противном случае остановить производство. Создавался, таким образом, конфликт, подобный тому, какой имел место с Вестингаузом. </w:t>
      </w:r>
    </w:p>
    <w:p w14:paraId="5C3100AF" w14:textId="77777777" w:rsidR="00B20A34" w:rsidRPr="00405303" w:rsidRDefault="00B20A34" w:rsidP="00C15251">
      <w:pPr>
        <w:jc w:val="both"/>
        <w:rPr>
          <w:bCs/>
          <w:color w:val="002060"/>
          <w:sz w:val="16"/>
          <w:szCs w:val="16"/>
        </w:rPr>
      </w:pPr>
      <w:r w:rsidRPr="00405303">
        <w:rPr>
          <w:bCs/>
          <w:color w:val="002060"/>
          <w:sz w:val="16"/>
          <w:szCs w:val="16"/>
        </w:rPr>
        <w:t xml:space="preserve">Председатель Заготовительного комитета по этому поводу доносит в Петроград: "Завод Ремингтон, вероятно, опираясь на Вестингауза, получающего всякие льготы, начал опять подавать брак и тоже начинает протестовать против наших правильных требований". </w:t>
      </w:r>
    </w:p>
    <w:p w14:paraId="5EF42685" w14:textId="77777777" w:rsidR="00B20A34" w:rsidRPr="00405303" w:rsidRDefault="00B20A34" w:rsidP="00C15251">
      <w:pPr>
        <w:jc w:val="both"/>
        <w:rPr>
          <w:bCs/>
          <w:color w:val="002060"/>
          <w:sz w:val="16"/>
          <w:szCs w:val="16"/>
        </w:rPr>
      </w:pPr>
      <w:r w:rsidRPr="00405303">
        <w:rPr>
          <w:bCs/>
          <w:color w:val="002060"/>
          <w:sz w:val="16"/>
          <w:szCs w:val="16"/>
        </w:rPr>
        <w:t xml:space="preserve">Очевиден был сговор банков, которые требуют — или брать такие ружья, какие нам дают, или же, в противном случае, грозят закрыть завод, предпочитая не нести дальнейших убытков. Такое давление банков понятно, поскольку некоторые из директоров компании были в то же время директорами банков. </w:t>
      </w:r>
    </w:p>
    <w:p w14:paraId="57769A33" w14:textId="77777777" w:rsidR="00B20A34" w:rsidRPr="00405303" w:rsidRDefault="00B20A34" w:rsidP="00C15251">
      <w:pPr>
        <w:jc w:val="both"/>
        <w:rPr>
          <w:bCs/>
          <w:color w:val="002060"/>
          <w:sz w:val="16"/>
          <w:szCs w:val="16"/>
        </w:rPr>
      </w:pPr>
      <w:r w:rsidRPr="00405303">
        <w:rPr>
          <w:bCs/>
          <w:color w:val="002060"/>
          <w:sz w:val="16"/>
          <w:szCs w:val="16"/>
        </w:rPr>
        <w:t xml:space="preserve">В периоде переговоров об изменении условий контракта Ремингтон возбудил вопрос о передаче его завода в полное техническое управление русским инженерам-оружейникам. Одновременно такой же вопрос поставил и Вестингауз. </w:t>
      </w:r>
    </w:p>
    <w:p w14:paraId="7C068737" w14:textId="77777777" w:rsidR="00B20A34" w:rsidRPr="00405303" w:rsidRDefault="00B20A34" w:rsidP="00C15251">
      <w:pPr>
        <w:jc w:val="both"/>
        <w:rPr>
          <w:bCs/>
          <w:color w:val="002060"/>
          <w:sz w:val="16"/>
          <w:szCs w:val="16"/>
        </w:rPr>
      </w:pPr>
      <w:r w:rsidRPr="00405303">
        <w:rPr>
          <w:bCs/>
          <w:color w:val="002060"/>
          <w:sz w:val="16"/>
          <w:szCs w:val="16"/>
        </w:rPr>
        <w:t xml:space="preserve">В середине марта 1916 г. переговоры были задержаны почти на месяц союзной конференцией в Петрограде, после чего опять возобновились и шли успешно. </w:t>
      </w:r>
    </w:p>
    <w:p w14:paraId="217E5061" w14:textId="77777777" w:rsidR="00B20A34" w:rsidRPr="00405303" w:rsidRDefault="00B20A34" w:rsidP="00C15251">
      <w:pPr>
        <w:jc w:val="both"/>
        <w:rPr>
          <w:bCs/>
          <w:color w:val="002060"/>
          <w:sz w:val="16"/>
          <w:szCs w:val="16"/>
        </w:rPr>
      </w:pPr>
      <w:r w:rsidRPr="00405303">
        <w:rPr>
          <w:bCs/>
          <w:color w:val="002060"/>
          <w:sz w:val="16"/>
          <w:szCs w:val="16"/>
        </w:rPr>
        <w:t xml:space="preserve">После долгих переговоров и сношений с Лондоном и Петроградом был, наконец, 10 сентября 1917 г. подписан новый договор с фирмой Ремингтон, заменяющий предшествующие контракты. Основные положения нового договора сводились к следующему. </w:t>
      </w:r>
    </w:p>
    <w:p w14:paraId="05DE5569" w14:textId="77777777" w:rsidR="00B20A34" w:rsidRPr="00405303" w:rsidRDefault="00B20A34" w:rsidP="00C15251">
      <w:pPr>
        <w:jc w:val="both"/>
        <w:rPr>
          <w:bCs/>
          <w:color w:val="002060"/>
          <w:sz w:val="16"/>
          <w:szCs w:val="16"/>
        </w:rPr>
      </w:pPr>
      <w:r w:rsidRPr="00405303">
        <w:rPr>
          <w:bCs/>
          <w:color w:val="002060"/>
          <w:sz w:val="16"/>
          <w:szCs w:val="16"/>
        </w:rPr>
        <w:t xml:space="preserve">1) Заказ 1 500 000 ружей сокращается до 1 млн. </w:t>
      </w:r>
    </w:p>
    <w:p w14:paraId="3D7F4B27" w14:textId="77777777" w:rsidR="00B20A34" w:rsidRPr="00405303" w:rsidRDefault="00B20A34" w:rsidP="00C15251">
      <w:pPr>
        <w:jc w:val="both"/>
        <w:rPr>
          <w:bCs/>
          <w:color w:val="002060"/>
          <w:sz w:val="16"/>
          <w:szCs w:val="16"/>
        </w:rPr>
      </w:pPr>
      <w:r w:rsidRPr="00405303">
        <w:rPr>
          <w:bCs/>
          <w:color w:val="002060"/>
          <w:sz w:val="16"/>
          <w:szCs w:val="16"/>
        </w:rPr>
        <w:t xml:space="preserve">2) Организуется общество Новый Ремингтон, в котором половина акций принадлежит старому Ремингтону, другая — русскому правительству. </w:t>
      </w:r>
    </w:p>
    <w:p w14:paraId="5772DEE0" w14:textId="77777777" w:rsidR="00B20A34" w:rsidRPr="00405303" w:rsidRDefault="00B20A34" w:rsidP="00C15251">
      <w:pPr>
        <w:jc w:val="both"/>
        <w:rPr>
          <w:bCs/>
          <w:color w:val="002060"/>
          <w:sz w:val="16"/>
          <w:szCs w:val="16"/>
        </w:rPr>
      </w:pPr>
      <w:r w:rsidRPr="00405303">
        <w:rPr>
          <w:bCs/>
          <w:color w:val="002060"/>
          <w:sz w:val="16"/>
          <w:szCs w:val="16"/>
        </w:rPr>
        <w:t xml:space="preserve">3) Русское правительство вносит за акции 6 млн долларов, которые составляют половину капитала, затраченного фирмой в дело с начала работы по день нового контракта. </w:t>
      </w:r>
    </w:p>
    <w:p w14:paraId="6CDD0AB1" w14:textId="77777777" w:rsidR="00B20A34" w:rsidRPr="00405303" w:rsidRDefault="00B20A34" w:rsidP="00C15251">
      <w:pPr>
        <w:jc w:val="both"/>
        <w:rPr>
          <w:bCs/>
          <w:color w:val="002060"/>
          <w:sz w:val="16"/>
          <w:szCs w:val="16"/>
        </w:rPr>
      </w:pPr>
      <w:r w:rsidRPr="00405303">
        <w:rPr>
          <w:bCs/>
          <w:color w:val="002060"/>
          <w:sz w:val="16"/>
          <w:szCs w:val="16"/>
        </w:rPr>
        <w:t xml:space="preserve">4) Старый Ремингтон уступает Новому 0,68 доли участия в недвижимом имуществе, заводе и инвентаре, что отвечает потребности ружейного контракта. Часть имущества по особой описи вполне отчуждается Новому Ремингтону. </w:t>
      </w:r>
    </w:p>
    <w:p w14:paraId="76F027E7" w14:textId="77777777" w:rsidR="00B20A34" w:rsidRPr="00405303" w:rsidRDefault="00B20A34" w:rsidP="00C15251">
      <w:pPr>
        <w:jc w:val="both"/>
        <w:rPr>
          <w:bCs/>
          <w:color w:val="002060"/>
          <w:sz w:val="16"/>
          <w:szCs w:val="16"/>
        </w:rPr>
      </w:pPr>
      <w:r w:rsidRPr="00405303">
        <w:rPr>
          <w:bCs/>
          <w:color w:val="002060"/>
          <w:sz w:val="16"/>
          <w:szCs w:val="16"/>
        </w:rPr>
        <w:t xml:space="preserve">5) Новый Ремингтон управляется директоратом из шести директоров — три от Ремингтона и три от Русского заготовительного комитета. </w:t>
      </w:r>
    </w:p>
    <w:p w14:paraId="7637AFA4" w14:textId="77777777" w:rsidR="00B20A34" w:rsidRPr="00405303" w:rsidRDefault="00B20A34" w:rsidP="00C15251">
      <w:pPr>
        <w:jc w:val="both"/>
        <w:rPr>
          <w:bCs/>
          <w:color w:val="002060"/>
          <w:sz w:val="16"/>
          <w:szCs w:val="16"/>
        </w:rPr>
      </w:pPr>
      <w:r w:rsidRPr="00405303">
        <w:rPr>
          <w:bCs/>
          <w:color w:val="002060"/>
          <w:sz w:val="16"/>
          <w:szCs w:val="16"/>
        </w:rPr>
        <w:t>6) Цена винтовки 30 долларов.</w:t>
      </w:r>
    </w:p>
    <w:p w14:paraId="515A27FB" w14:textId="77777777" w:rsidR="00B20A34" w:rsidRPr="00405303" w:rsidRDefault="00B20A34" w:rsidP="00C15251">
      <w:pPr>
        <w:jc w:val="both"/>
        <w:rPr>
          <w:bCs/>
          <w:color w:val="002060"/>
          <w:sz w:val="16"/>
          <w:szCs w:val="16"/>
        </w:rPr>
      </w:pPr>
      <w:r w:rsidRPr="00405303">
        <w:rPr>
          <w:bCs/>
          <w:color w:val="002060"/>
          <w:sz w:val="16"/>
          <w:szCs w:val="16"/>
        </w:rPr>
        <w:t xml:space="preserve">7) По окончании договора Россия приобретает от Нового Ремингтона машины, инструмент и пр. оборудование для оружейного дела. </w:t>
      </w:r>
    </w:p>
    <w:p w14:paraId="0ABC9656" w14:textId="77777777" w:rsidR="00B20A34" w:rsidRPr="00405303" w:rsidRDefault="00B20A34" w:rsidP="00C15251">
      <w:pPr>
        <w:jc w:val="both"/>
        <w:rPr>
          <w:bCs/>
          <w:color w:val="002060"/>
          <w:sz w:val="16"/>
          <w:szCs w:val="16"/>
        </w:rPr>
      </w:pPr>
      <w:r w:rsidRPr="00405303">
        <w:rPr>
          <w:bCs/>
          <w:color w:val="002060"/>
          <w:sz w:val="16"/>
          <w:szCs w:val="16"/>
        </w:rPr>
        <w:t xml:space="preserve">Указанное соглашение было принято Заготовительным комитетом под давлением обстоятельств, так как иного выхода не было: ружья были до зарезу нужны, а крах фирмы во всех отношениях для России был неприемлем. </w:t>
      </w:r>
    </w:p>
    <w:p w14:paraId="7FE02606" w14:textId="77777777" w:rsidR="00B20A34" w:rsidRPr="00405303" w:rsidRDefault="00B20A34" w:rsidP="00C15251">
      <w:pPr>
        <w:jc w:val="both"/>
        <w:rPr>
          <w:bCs/>
          <w:color w:val="002060"/>
          <w:sz w:val="16"/>
          <w:szCs w:val="16"/>
        </w:rPr>
      </w:pPr>
      <w:r w:rsidRPr="00405303">
        <w:rPr>
          <w:bCs/>
          <w:color w:val="002060"/>
          <w:sz w:val="16"/>
          <w:szCs w:val="16"/>
        </w:rPr>
        <w:t xml:space="preserve">Таким образом, с подписанием нового контракта производство стало быстро прогрессировать, в то время как в период переговоров и неопределенности оно значительно упало. С мая по сентябрь 1917 г. завод выпускал примерно по 30 000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80"/>
        <w:gridCol w:w="816"/>
      </w:tblGrid>
      <w:tr w:rsidR="00B20A34" w:rsidRPr="00405303" w14:paraId="1344A1E8" w14:textId="77777777" w:rsidTr="00D34AC1">
        <w:tc>
          <w:tcPr>
            <w:tcW w:w="1680" w:type="dxa"/>
          </w:tcPr>
          <w:p w14:paraId="551FAAA4" w14:textId="77777777" w:rsidR="00B20A34" w:rsidRPr="00405303" w:rsidRDefault="00B20A34" w:rsidP="00C15251">
            <w:pPr>
              <w:jc w:val="both"/>
              <w:rPr>
                <w:bCs/>
                <w:color w:val="002060"/>
                <w:sz w:val="16"/>
                <w:szCs w:val="16"/>
              </w:rPr>
            </w:pPr>
            <w:r w:rsidRPr="00405303">
              <w:rPr>
                <w:bCs/>
                <w:color w:val="002060"/>
                <w:sz w:val="16"/>
                <w:szCs w:val="16"/>
              </w:rPr>
              <w:t>в сентябре 1917 г.</w:t>
            </w:r>
          </w:p>
        </w:tc>
        <w:tc>
          <w:tcPr>
            <w:tcW w:w="816" w:type="dxa"/>
          </w:tcPr>
          <w:p w14:paraId="3AE23629" w14:textId="77777777" w:rsidR="00B20A34" w:rsidRPr="00405303" w:rsidRDefault="00B20A34" w:rsidP="00C15251">
            <w:pPr>
              <w:jc w:val="both"/>
              <w:rPr>
                <w:bCs/>
                <w:color w:val="002060"/>
                <w:sz w:val="16"/>
                <w:szCs w:val="16"/>
              </w:rPr>
            </w:pPr>
            <w:r w:rsidRPr="00405303">
              <w:rPr>
                <w:bCs/>
                <w:color w:val="002060"/>
                <w:sz w:val="16"/>
                <w:szCs w:val="16"/>
              </w:rPr>
              <w:t xml:space="preserve">52 000 </w:t>
            </w:r>
          </w:p>
        </w:tc>
      </w:tr>
      <w:tr w:rsidR="00B20A34" w:rsidRPr="00405303" w14:paraId="337CC944" w14:textId="77777777" w:rsidTr="00D34AC1">
        <w:tc>
          <w:tcPr>
            <w:tcW w:w="1680" w:type="dxa"/>
          </w:tcPr>
          <w:p w14:paraId="4B04010B" w14:textId="77777777" w:rsidR="00B20A34" w:rsidRPr="00405303" w:rsidRDefault="00B20A34" w:rsidP="00C15251">
            <w:pPr>
              <w:jc w:val="both"/>
              <w:rPr>
                <w:bCs/>
                <w:color w:val="002060"/>
                <w:sz w:val="16"/>
                <w:szCs w:val="16"/>
              </w:rPr>
            </w:pPr>
            <w:r w:rsidRPr="00405303">
              <w:rPr>
                <w:bCs/>
                <w:color w:val="002060"/>
                <w:sz w:val="16"/>
                <w:szCs w:val="16"/>
              </w:rPr>
              <w:t>в октябре</w:t>
            </w:r>
          </w:p>
        </w:tc>
        <w:tc>
          <w:tcPr>
            <w:tcW w:w="816" w:type="dxa"/>
          </w:tcPr>
          <w:p w14:paraId="73A8F2F0" w14:textId="77777777" w:rsidR="00B20A34" w:rsidRPr="00405303" w:rsidRDefault="00B20A34" w:rsidP="00C15251">
            <w:pPr>
              <w:jc w:val="both"/>
              <w:rPr>
                <w:bCs/>
                <w:color w:val="002060"/>
                <w:sz w:val="16"/>
                <w:szCs w:val="16"/>
              </w:rPr>
            </w:pPr>
            <w:r w:rsidRPr="00405303">
              <w:rPr>
                <w:bCs/>
                <w:color w:val="002060"/>
                <w:sz w:val="16"/>
                <w:szCs w:val="16"/>
              </w:rPr>
              <w:t xml:space="preserve">70 000 </w:t>
            </w:r>
          </w:p>
        </w:tc>
      </w:tr>
      <w:tr w:rsidR="00B20A34" w:rsidRPr="00405303" w14:paraId="25694B28" w14:textId="77777777" w:rsidTr="00D34AC1">
        <w:tc>
          <w:tcPr>
            <w:tcW w:w="1680" w:type="dxa"/>
          </w:tcPr>
          <w:p w14:paraId="5541F4B8" w14:textId="77777777" w:rsidR="00B20A34" w:rsidRPr="00405303" w:rsidRDefault="00B20A34" w:rsidP="00C15251">
            <w:pPr>
              <w:jc w:val="both"/>
              <w:rPr>
                <w:bCs/>
                <w:color w:val="002060"/>
                <w:sz w:val="16"/>
                <w:szCs w:val="16"/>
              </w:rPr>
            </w:pPr>
            <w:r w:rsidRPr="00405303">
              <w:rPr>
                <w:bCs/>
                <w:color w:val="002060"/>
                <w:sz w:val="16"/>
                <w:szCs w:val="16"/>
              </w:rPr>
              <w:t>в ноябре</w:t>
            </w:r>
          </w:p>
        </w:tc>
        <w:tc>
          <w:tcPr>
            <w:tcW w:w="816" w:type="dxa"/>
          </w:tcPr>
          <w:p w14:paraId="5E560777" w14:textId="77777777" w:rsidR="00B20A34" w:rsidRPr="00405303" w:rsidRDefault="00B20A34" w:rsidP="00C15251">
            <w:pPr>
              <w:jc w:val="both"/>
              <w:rPr>
                <w:bCs/>
                <w:color w:val="002060"/>
                <w:sz w:val="16"/>
                <w:szCs w:val="16"/>
              </w:rPr>
            </w:pPr>
            <w:r w:rsidRPr="00405303">
              <w:rPr>
                <w:bCs/>
                <w:color w:val="002060"/>
                <w:sz w:val="16"/>
                <w:szCs w:val="16"/>
              </w:rPr>
              <w:t xml:space="preserve">108 000 </w:t>
            </w:r>
          </w:p>
        </w:tc>
      </w:tr>
      <w:tr w:rsidR="00B20A34" w:rsidRPr="00405303" w14:paraId="6B66DC2E" w14:textId="77777777" w:rsidTr="00D34AC1">
        <w:tc>
          <w:tcPr>
            <w:tcW w:w="1680" w:type="dxa"/>
          </w:tcPr>
          <w:p w14:paraId="5374F8B9" w14:textId="77777777" w:rsidR="00B20A34" w:rsidRPr="00405303" w:rsidRDefault="00B20A34" w:rsidP="00C15251">
            <w:pPr>
              <w:jc w:val="both"/>
              <w:rPr>
                <w:bCs/>
                <w:color w:val="002060"/>
                <w:sz w:val="16"/>
                <w:szCs w:val="16"/>
              </w:rPr>
            </w:pPr>
            <w:r w:rsidRPr="00405303">
              <w:rPr>
                <w:bCs/>
                <w:color w:val="002060"/>
                <w:sz w:val="16"/>
                <w:szCs w:val="16"/>
              </w:rPr>
              <w:t>в декабре</w:t>
            </w:r>
          </w:p>
        </w:tc>
        <w:tc>
          <w:tcPr>
            <w:tcW w:w="816" w:type="dxa"/>
          </w:tcPr>
          <w:p w14:paraId="4976BE14" w14:textId="77777777" w:rsidR="00B20A34" w:rsidRPr="00405303" w:rsidRDefault="00B20A34" w:rsidP="00C15251">
            <w:pPr>
              <w:jc w:val="both"/>
              <w:rPr>
                <w:bCs/>
                <w:color w:val="002060"/>
                <w:sz w:val="16"/>
                <w:szCs w:val="16"/>
              </w:rPr>
            </w:pPr>
            <w:r w:rsidRPr="00405303">
              <w:rPr>
                <w:bCs/>
                <w:color w:val="002060"/>
                <w:sz w:val="16"/>
                <w:szCs w:val="16"/>
              </w:rPr>
              <w:t xml:space="preserve">107 000 </w:t>
            </w:r>
          </w:p>
        </w:tc>
      </w:tr>
    </w:tbl>
    <w:p w14:paraId="6419C586" w14:textId="77777777" w:rsidR="00B20A34" w:rsidRPr="00405303" w:rsidRDefault="00B20A34" w:rsidP="00C15251">
      <w:pPr>
        <w:jc w:val="both"/>
        <w:rPr>
          <w:bCs/>
          <w:color w:val="002060"/>
          <w:sz w:val="16"/>
          <w:szCs w:val="16"/>
        </w:rPr>
      </w:pPr>
      <w:r w:rsidRPr="00405303">
        <w:rPr>
          <w:bCs/>
          <w:color w:val="002060"/>
          <w:sz w:val="16"/>
          <w:szCs w:val="16"/>
        </w:rPr>
        <w:t xml:space="preserve">В конце 1917 г. в связи с прекращением войны Россией началась общая ликвидация работ Заготовительного комитета. Ввиду этого с Ремингтоном было выработано в январе 1918 г. особое соглашение о ликвидации контрактов. </w:t>
      </w:r>
    </w:p>
    <w:p w14:paraId="4BBB8669" w14:textId="77777777" w:rsidR="00B20A34" w:rsidRPr="00405303" w:rsidRDefault="00B20A34" w:rsidP="00C15251">
      <w:pPr>
        <w:jc w:val="both"/>
        <w:rPr>
          <w:bCs/>
          <w:color w:val="002060"/>
          <w:sz w:val="16"/>
          <w:szCs w:val="16"/>
        </w:rPr>
      </w:pPr>
      <w:r w:rsidRPr="00405303">
        <w:rPr>
          <w:bCs/>
          <w:color w:val="002060"/>
          <w:sz w:val="16"/>
          <w:szCs w:val="16"/>
        </w:rPr>
        <w:t xml:space="preserve">Нет надобности входить в детали этого соглашения, оно чрезвычайно сложно, что и понятно при той исключительной сложности взаимоотношения сторон, которое создавалась при учреждении общества Новый Ремингтон. В общем счете всего сдано Ремингтоном 840 307 винтовок. К сожалению, не имеется данных, коими можно было бы установить, сколько же этих ружей попало в Россию и сколько Россия уплатила фирме за все время, чтобы подсчитать, во что обошлось ружье. </w:t>
      </w:r>
    </w:p>
    <w:p w14:paraId="74205716" w14:textId="77777777" w:rsidR="00B20A34" w:rsidRPr="00405303" w:rsidRDefault="00B20A34" w:rsidP="00C15251">
      <w:pPr>
        <w:jc w:val="both"/>
        <w:rPr>
          <w:bCs/>
          <w:color w:val="002060"/>
          <w:sz w:val="16"/>
          <w:szCs w:val="16"/>
        </w:rPr>
      </w:pPr>
      <w:r w:rsidRPr="00405303">
        <w:rPr>
          <w:bCs/>
          <w:color w:val="002060"/>
          <w:sz w:val="16"/>
          <w:szCs w:val="16"/>
        </w:rPr>
        <w:t>В итоге заказ был выполнен Ремингтоном только в 55% его первоначального контрактного объема, причем часть эта исполнена с запозданием на 20 месяцев против контрактного срока для всего заказа (11329).</w:t>
      </w:r>
    </w:p>
    <w:p w14:paraId="17B9EB3E" w14:textId="77777777" w:rsidR="00B20A34" w:rsidRPr="00405303" w:rsidRDefault="00B20A34" w:rsidP="00C15251">
      <w:pPr>
        <w:pStyle w:val="a3"/>
        <w:jc w:val="both"/>
        <w:rPr>
          <w:bCs/>
          <w:color w:val="002060"/>
          <w:spacing w:val="0"/>
          <w:kern w:val="0"/>
          <w:position w:val="0"/>
          <w:sz w:val="16"/>
          <w:szCs w:val="16"/>
        </w:rPr>
      </w:pPr>
    </w:p>
    <w:p w14:paraId="1003246C" w14:textId="4B6D2F49" w:rsidR="00B20A34" w:rsidRPr="00405303" w:rsidRDefault="00B20A34" w:rsidP="00C15251">
      <w:pPr>
        <w:shd w:val="clear" w:color="auto" w:fill="FFFFFF"/>
        <w:jc w:val="both"/>
        <w:rPr>
          <w:bCs/>
          <w:color w:val="002060"/>
          <w:sz w:val="16"/>
          <w:szCs w:val="16"/>
        </w:rPr>
      </w:pPr>
      <w:r w:rsidRPr="00405303">
        <w:rPr>
          <w:bCs/>
          <w:color w:val="002060"/>
          <w:sz w:val="16"/>
          <w:szCs w:val="16"/>
        </w:rPr>
        <w:lastRenderedPageBreak/>
        <w:t xml:space="preserve">Осенью 1915 г. </w:t>
      </w:r>
      <w:r w:rsidR="00480A8D" w:rsidRPr="00405303">
        <w:rPr>
          <w:bCs/>
          <w:color w:val="002060"/>
          <w:sz w:val="16"/>
          <w:szCs w:val="16"/>
        </w:rPr>
        <w:t>та</w:t>
      </w:r>
      <w:r w:rsidR="00480A8D" w:rsidRPr="00405303">
        <w:rPr>
          <w:bCs/>
          <w:color w:val="002060"/>
          <w:sz w:val="16"/>
          <w:szCs w:val="16"/>
        </w:rPr>
        <w:softHyphen/>
        <w:t>лантливым инженером-химиком И. И. Андреевым (1880—1919)</w:t>
      </w:r>
      <w:r w:rsidRPr="00405303">
        <w:rPr>
          <w:bCs/>
          <w:color w:val="002060"/>
          <w:sz w:val="16"/>
          <w:szCs w:val="16"/>
        </w:rPr>
        <w:t xml:space="preserve"> </w:t>
      </w:r>
      <w:r w:rsidR="00480A8D" w:rsidRPr="00405303">
        <w:rPr>
          <w:bCs/>
          <w:color w:val="002060"/>
          <w:sz w:val="16"/>
          <w:szCs w:val="16"/>
        </w:rPr>
        <w:t>в химиче</w:t>
      </w:r>
      <w:r w:rsidR="00480A8D" w:rsidRPr="00405303">
        <w:rPr>
          <w:bCs/>
          <w:color w:val="002060"/>
          <w:sz w:val="16"/>
          <w:szCs w:val="16"/>
        </w:rPr>
        <w:softHyphen/>
        <w:t xml:space="preserve">ской лаборатории Петроградского технологического института </w:t>
      </w:r>
      <w:r w:rsidRPr="00405303">
        <w:rPr>
          <w:bCs/>
          <w:color w:val="002060"/>
          <w:sz w:val="16"/>
          <w:szCs w:val="16"/>
        </w:rPr>
        <w:t>была создана лабораторная установка</w:t>
      </w:r>
      <w:r w:rsidR="00480A8D" w:rsidRPr="00405303">
        <w:rPr>
          <w:bCs/>
          <w:color w:val="002060"/>
          <w:sz w:val="16"/>
          <w:szCs w:val="16"/>
        </w:rPr>
        <w:t xml:space="preserve"> для получения азотной кислоты из аммиака, который во все боль</w:t>
      </w:r>
      <w:r w:rsidR="00480A8D" w:rsidRPr="00405303">
        <w:rPr>
          <w:bCs/>
          <w:color w:val="002060"/>
          <w:sz w:val="16"/>
          <w:szCs w:val="16"/>
        </w:rPr>
        <w:softHyphen/>
        <w:t>ших количествах стали получать попутно с бензолом при коксовании углей</w:t>
      </w:r>
      <w:r w:rsidRPr="00405303">
        <w:rPr>
          <w:bCs/>
          <w:color w:val="002060"/>
          <w:sz w:val="16"/>
          <w:szCs w:val="16"/>
        </w:rPr>
        <w:t>, на кото</w:t>
      </w:r>
      <w:r w:rsidRPr="00405303">
        <w:rPr>
          <w:bCs/>
          <w:color w:val="002060"/>
          <w:sz w:val="16"/>
          <w:szCs w:val="16"/>
        </w:rPr>
        <w:softHyphen/>
        <w:t>рой были получены необходимые исходные данные для проектирова</w:t>
      </w:r>
      <w:r w:rsidRPr="00405303">
        <w:rPr>
          <w:bCs/>
          <w:color w:val="002060"/>
          <w:sz w:val="16"/>
          <w:szCs w:val="16"/>
        </w:rPr>
        <w:softHyphen/>
        <w:t>ния и строительства опытного завода.</w:t>
      </w:r>
    </w:p>
    <w:p w14:paraId="6398EAB8" w14:textId="77777777" w:rsidR="00B20A34" w:rsidRPr="00405303" w:rsidRDefault="00B20A34" w:rsidP="00C15251">
      <w:pPr>
        <w:shd w:val="clear" w:color="auto" w:fill="FFFFFF"/>
        <w:jc w:val="both"/>
        <w:rPr>
          <w:bCs/>
          <w:color w:val="002060"/>
          <w:sz w:val="16"/>
          <w:szCs w:val="16"/>
        </w:rPr>
      </w:pPr>
      <w:r w:rsidRPr="00405303">
        <w:rPr>
          <w:bCs/>
          <w:color w:val="002060"/>
          <w:sz w:val="16"/>
          <w:szCs w:val="16"/>
        </w:rPr>
        <w:t>В 1915 г. по проекту И. И. Андреева на бензольном заводе в Ма</w:t>
      </w:r>
      <w:r w:rsidRPr="00405303">
        <w:rPr>
          <w:bCs/>
          <w:color w:val="002060"/>
          <w:sz w:val="16"/>
          <w:szCs w:val="16"/>
        </w:rPr>
        <w:softHyphen/>
        <w:t>кеевке оборудовали опытный завод. Производственные показатели опытной установки были настолько высокими, что Главное артилле</w:t>
      </w:r>
      <w:r w:rsidRPr="00405303">
        <w:rPr>
          <w:bCs/>
          <w:color w:val="002060"/>
          <w:sz w:val="16"/>
          <w:szCs w:val="16"/>
        </w:rPr>
        <w:softHyphen/>
        <w:t>рийское управление приняло по докладу В. Н. Ипатьева решение о строительстве в Юзовке крупного казенного завода на 600 тыс. пудов азотной кислоты в год. Проект завода был разработан И. И. Андрее</w:t>
      </w:r>
      <w:r w:rsidRPr="00405303">
        <w:rPr>
          <w:bCs/>
          <w:color w:val="002060"/>
          <w:sz w:val="16"/>
          <w:szCs w:val="16"/>
        </w:rPr>
        <w:softHyphen/>
        <w:t>вым и инженером-технологом Н. М. Кулепетовым, который и руко</w:t>
      </w:r>
      <w:r w:rsidRPr="00405303">
        <w:rPr>
          <w:bCs/>
          <w:color w:val="002060"/>
          <w:sz w:val="16"/>
          <w:szCs w:val="16"/>
        </w:rPr>
        <w:softHyphen/>
        <w:t>водил постройкой завода. В феврале 1917 г. завод был пущен [20, с. 37; 28, с. 119]. 58</w:t>
      </w:r>
    </w:p>
    <w:p w14:paraId="7C718A7A" w14:textId="77777777" w:rsidR="00B20A34" w:rsidRPr="00405303" w:rsidRDefault="00B20A34" w:rsidP="00C15251">
      <w:pPr>
        <w:shd w:val="clear" w:color="auto" w:fill="FFFFFF"/>
        <w:jc w:val="both"/>
        <w:rPr>
          <w:bCs/>
          <w:color w:val="002060"/>
          <w:sz w:val="16"/>
          <w:szCs w:val="16"/>
        </w:rPr>
      </w:pPr>
      <w:r w:rsidRPr="00405303">
        <w:rPr>
          <w:bCs/>
          <w:color w:val="002060"/>
          <w:sz w:val="16"/>
          <w:szCs w:val="16"/>
        </w:rPr>
        <w:t>Если до войны азотную кислоту в России изготовляли на 35 заво</w:t>
      </w:r>
      <w:r w:rsidRPr="00405303">
        <w:rPr>
          <w:bCs/>
          <w:color w:val="002060"/>
          <w:sz w:val="16"/>
          <w:szCs w:val="16"/>
        </w:rPr>
        <w:softHyphen/>
        <w:t>дах, то в 1916 г. их было уже 44.</w:t>
      </w:r>
    </w:p>
    <w:p w14:paraId="2ADA7145" w14:textId="77777777" w:rsidR="00B20A34" w:rsidRPr="00405303" w:rsidRDefault="00B20A34" w:rsidP="00C15251">
      <w:pPr>
        <w:shd w:val="clear" w:color="auto" w:fill="FFFFFF"/>
        <w:jc w:val="both"/>
        <w:rPr>
          <w:bCs/>
          <w:color w:val="002060"/>
          <w:sz w:val="16"/>
          <w:szCs w:val="16"/>
        </w:rPr>
      </w:pPr>
      <w:r w:rsidRPr="00405303">
        <w:rPr>
          <w:bCs/>
          <w:color w:val="002060"/>
          <w:sz w:val="16"/>
          <w:szCs w:val="16"/>
        </w:rPr>
        <w:t>Без заводов взрывчатых веществ и порохов перед войной в 1912 г. в России было выработано азотной кислоты 652,7 тыс. пудов, а в</w:t>
      </w:r>
    </w:p>
    <w:p w14:paraId="19381CCA" w14:textId="77777777" w:rsidR="00B20A34" w:rsidRPr="00405303" w:rsidRDefault="00B20A34" w:rsidP="00C15251">
      <w:pPr>
        <w:shd w:val="clear" w:color="auto" w:fill="FFFFFF"/>
        <w:jc w:val="both"/>
        <w:rPr>
          <w:bCs/>
          <w:color w:val="002060"/>
          <w:sz w:val="16"/>
          <w:szCs w:val="16"/>
        </w:rPr>
      </w:pPr>
      <w:r w:rsidRPr="00405303">
        <w:rPr>
          <w:bCs/>
          <w:color w:val="002060"/>
          <w:sz w:val="16"/>
          <w:szCs w:val="16"/>
        </w:rPr>
        <w:t>1916 г. — около 4 880 тыс. пудов [28, с. 118] (5484).</w:t>
      </w:r>
    </w:p>
    <w:p w14:paraId="18B5381E" w14:textId="77777777" w:rsidR="00B20A34" w:rsidRPr="00405303" w:rsidRDefault="00B20A34" w:rsidP="00C15251">
      <w:pPr>
        <w:shd w:val="clear" w:color="auto" w:fill="FFFFFF"/>
        <w:jc w:val="both"/>
        <w:rPr>
          <w:bCs/>
          <w:color w:val="002060"/>
          <w:sz w:val="16"/>
          <w:szCs w:val="16"/>
        </w:rPr>
      </w:pPr>
    </w:p>
    <w:p w14:paraId="7B369C5B" w14:textId="06994FEC" w:rsidR="00B20A34" w:rsidRPr="00405303" w:rsidRDefault="00480A8D"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О</w:t>
      </w:r>
      <w:r w:rsidR="00B20A34" w:rsidRPr="00405303">
        <w:rPr>
          <w:bCs/>
          <w:i w:val="0"/>
          <w:color w:val="002060"/>
          <w:spacing w:val="0"/>
          <w:kern w:val="0"/>
          <w:position w:val="0"/>
          <w:sz w:val="16"/>
          <w:szCs w:val="16"/>
        </w:rPr>
        <w:t>сенью 1915 г</w:t>
      </w:r>
      <w:r w:rsidRPr="00405303">
        <w:rPr>
          <w:bCs/>
          <w:i w:val="0"/>
          <w:color w:val="002060"/>
          <w:spacing w:val="0"/>
          <w:kern w:val="0"/>
          <w:position w:val="0"/>
          <w:sz w:val="16"/>
          <w:szCs w:val="16"/>
        </w:rPr>
        <w:t>.</w:t>
      </w:r>
      <w:r w:rsidR="00B20A34" w:rsidRPr="00405303">
        <w:rPr>
          <w:bCs/>
          <w:i w:val="0"/>
          <w:color w:val="002060"/>
          <w:spacing w:val="0"/>
          <w:kern w:val="0"/>
          <w:position w:val="0"/>
          <w:sz w:val="16"/>
          <w:szCs w:val="16"/>
        </w:rPr>
        <w:t xml:space="preserve"> </w:t>
      </w:r>
      <w:r w:rsidRPr="00405303">
        <w:rPr>
          <w:bCs/>
          <w:i w:val="0"/>
          <w:color w:val="002060"/>
          <w:spacing w:val="0"/>
          <w:kern w:val="0"/>
          <w:position w:val="0"/>
          <w:sz w:val="16"/>
          <w:szCs w:val="16"/>
        </w:rPr>
        <w:t xml:space="preserve">Материалы комиссии генерал-майора ГАУ В.Т. Федорова, обследовавшей предприятия "Группы Царицынского завода" </w:t>
      </w:r>
      <w:r w:rsidR="00B20A34" w:rsidRPr="00405303">
        <w:rPr>
          <w:bCs/>
          <w:i w:val="0"/>
          <w:color w:val="002060"/>
          <w:spacing w:val="0"/>
          <w:kern w:val="0"/>
          <w:position w:val="0"/>
          <w:sz w:val="16"/>
          <w:szCs w:val="16"/>
        </w:rPr>
        <w:t xml:space="preserve">показывают, что в целом заводы группы имели только 50% необходимого оборудования для исполнения заказа военного ведомства. С марта 1916 года по октябрь 1917 г, заводами было сдано 1442 орудия (фактически ствола) с затворами и 835 лафетов (вместо 2500 полностью готовых комплектов). Единственным предприятием, которое выполнило свою часть заказа, как и подтверждали прогнозы, был завод Лесснера. </w:t>
      </w:r>
    </w:p>
    <w:p w14:paraId="79193781" w14:textId="77777777" w:rsidR="00B20A34" w:rsidRPr="00405303" w:rsidRDefault="00B20A34"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Результаты работы группы полностью соответствовали общим тенденциям работы русской промышленности в период первой мировой войны, достигшей в 1916 г, пика своей производительности. Но с марта-апреля 1917 г, как и в случае с другими российскими предприятиями, у участников "Группы Царицынского завода" наметилась устойчивая тенденция падения уровня производства пушек, пока с мая не последовал настоящий обвал. </w:t>
      </w:r>
    </w:p>
    <w:p w14:paraId="57735828" w14:textId="77777777" w:rsidR="00B20A34" w:rsidRPr="00405303" w:rsidRDefault="00B20A34"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Важным этапом в деятельности "группы Виккерс " и Русского акционерного общества артиллерийских заводов стала организация поставок вооружений фирмы &lt;Виккерс&gt; в Россию во время первой мировой войны. Кроме заказов Морского министерства, фирме &lt;Виккерс&gt; в период войны последовали и крупные заказы Военного министерства. При этом Общество получало оговоренное с &lt;Виккерс&gt; вознаграждение.</w:t>
      </w:r>
    </w:p>
    <w:p w14:paraId="7F09DFF4" w14:textId="77777777" w:rsidR="00B20A34" w:rsidRPr="00405303" w:rsidRDefault="00B20A34"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Общее число, заказанных британской фирме орудий - от 40-миллиметровых до самого крупного 16-дюймового, было невелико и составило 237 штук. Кроме этого, заводам Виккерса через РАОАЗ и "группу &lt;Виккерс&gt; было заказано 172 тыс. патронов для зенитных орудий. </w:t>
      </w:r>
    </w:p>
    <w:p w14:paraId="38E18349" w14:textId="77777777" w:rsidR="00B20A34" w:rsidRPr="00405303" w:rsidRDefault="00B20A34" w:rsidP="00C15251">
      <w:pPr>
        <w:pStyle w:val="a3"/>
        <w:jc w:val="both"/>
        <w:rPr>
          <w:bCs/>
          <w:i w:val="0"/>
          <w:color w:val="002060"/>
          <w:spacing w:val="0"/>
          <w:kern w:val="0"/>
          <w:position w:val="0"/>
          <w:sz w:val="16"/>
          <w:szCs w:val="16"/>
        </w:rPr>
      </w:pPr>
    </w:p>
    <w:p w14:paraId="3E7653DF" w14:textId="77777777" w:rsidR="00B20A34" w:rsidRPr="00405303" w:rsidRDefault="00B20A34" w:rsidP="00C15251">
      <w:pPr>
        <w:shd w:val="clear" w:color="auto" w:fill="FFFFFF"/>
        <w:jc w:val="both"/>
        <w:rPr>
          <w:bCs/>
          <w:color w:val="002060"/>
          <w:sz w:val="16"/>
          <w:szCs w:val="16"/>
        </w:rPr>
      </w:pPr>
      <w:r w:rsidRPr="00405303">
        <w:rPr>
          <w:bCs/>
          <w:color w:val="002060"/>
          <w:sz w:val="16"/>
          <w:szCs w:val="16"/>
        </w:rPr>
        <w:t>Осенью 1915 г. под руководством начальника Офицерской стрелко</w:t>
      </w:r>
      <w:r w:rsidRPr="00405303">
        <w:rPr>
          <w:bCs/>
          <w:color w:val="002060"/>
          <w:sz w:val="16"/>
          <w:szCs w:val="16"/>
        </w:rPr>
        <w:softHyphen/>
        <w:t>вой школы генерал-майора Н. М. Филатова разрабатывается проект легкой штурмовой бронемашины с короткостволь</w:t>
      </w:r>
      <w:r w:rsidRPr="00405303">
        <w:rPr>
          <w:bCs/>
          <w:color w:val="002060"/>
          <w:sz w:val="16"/>
          <w:szCs w:val="16"/>
        </w:rPr>
        <w:softHyphen/>
        <w:t>ной трехдюймовой пушкой на трехколесном шасси.</w:t>
      </w:r>
    </w:p>
    <w:p w14:paraId="5C7C6F5F" w14:textId="77777777" w:rsidR="00B20A34" w:rsidRPr="00405303" w:rsidRDefault="00B20A34" w:rsidP="00C15251">
      <w:pPr>
        <w:shd w:val="clear" w:color="auto" w:fill="FFFFFF"/>
        <w:jc w:val="both"/>
        <w:rPr>
          <w:bCs/>
          <w:color w:val="002060"/>
          <w:sz w:val="16"/>
          <w:szCs w:val="16"/>
        </w:rPr>
      </w:pPr>
      <w:r w:rsidRPr="00405303">
        <w:rPr>
          <w:bCs/>
          <w:color w:val="002060"/>
          <w:sz w:val="16"/>
          <w:szCs w:val="16"/>
        </w:rPr>
        <w:t>Генерал-майор Н.М. Филатов считал, что благодаря не</w:t>
      </w:r>
      <w:r w:rsidRPr="00405303">
        <w:rPr>
          <w:bCs/>
          <w:color w:val="002060"/>
          <w:sz w:val="16"/>
          <w:szCs w:val="16"/>
        </w:rPr>
        <w:softHyphen/>
        <w:t>большому весу эти трехколесные броневики смогут передви</w:t>
      </w:r>
      <w:r w:rsidRPr="00405303">
        <w:rPr>
          <w:bCs/>
          <w:color w:val="002060"/>
          <w:sz w:val="16"/>
          <w:szCs w:val="16"/>
        </w:rPr>
        <w:softHyphen/>
        <w:t>гаться вне дорог по лугу, пашне, песку, объезжать воронки и препятствия, а небольшие размеры затруднят противнику их обстрел. Кроме того, меньшая стоимость трехколесок, по сравнению с другими типами бронеавтомобилей, позволила бы быстро наладить их массовое производство.</w:t>
      </w:r>
    </w:p>
    <w:p w14:paraId="2CC975CA" w14:textId="77777777" w:rsidR="00B20A34" w:rsidRPr="00405303" w:rsidRDefault="00B20A34" w:rsidP="00C15251">
      <w:pPr>
        <w:shd w:val="clear" w:color="auto" w:fill="FFFFFF"/>
        <w:jc w:val="both"/>
        <w:rPr>
          <w:bCs/>
          <w:color w:val="002060"/>
          <w:sz w:val="16"/>
          <w:szCs w:val="16"/>
        </w:rPr>
      </w:pPr>
      <w:r w:rsidRPr="00405303">
        <w:rPr>
          <w:bCs/>
          <w:color w:val="002060"/>
          <w:sz w:val="16"/>
          <w:szCs w:val="16"/>
        </w:rPr>
        <w:t>Для изготовления шасси использовались задний мост, карданный вал, колеса и другие части разбитых и испорчен</w:t>
      </w:r>
      <w:r w:rsidRPr="00405303">
        <w:rPr>
          <w:bCs/>
          <w:color w:val="002060"/>
          <w:sz w:val="16"/>
          <w:szCs w:val="16"/>
        </w:rPr>
        <w:softHyphen/>
        <w:t>ных легковых автомобилей, не подлежащих ремонту. Пово</w:t>
      </w:r>
      <w:r w:rsidRPr="00405303">
        <w:rPr>
          <w:bCs/>
          <w:color w:val="002060"/>
          <w:sz w:val="16"/>
          <w:szCs w:val="16"/>
        </w:rPr>
        <w:softHyphen/>
        <w:t>рот осуществлялся с помощью переднего колеса на специ</w:t>
      </w:r>
      <w:r w:rsidRPr="00405303">
        <w:rPr>
          <w:bCs/>
          <w:color w:val="002060"/>
          <w:sz w:val="16"/>
          <w:szCs w:val="16"/>
        </w:rPr>
        <w:softHyphen/>
        <w:t>альной вилке по типу мотоциклетной, управляемого метал</w:t>
      </w:r>
      <w:r w:rsidRPr="00405303">
        <w:rPr>
          <w:bCs/>
          <w:color w:val="002060"/>
          <w:sz w:val="16"/>
          <w:szCs w:val="16"/>
        </w:rPr>
        <w:softHyphen/>
        <w:t>лическими тягами от штурвала водителя. В качестве силовой установки применялись малогабаритные бензиновые двига</w:t>
      </w:r>
      <w:r w:rsidRPr="00405303">
        <w:rPr>
          <w:bCs/>
          <w:color w:val="002060"/>
          <w:sz w:val="16"/>
          <w:szCs w:val="16"/>
        </w:rPr>
        <w:softHyphen/>
        <w:t>тели мощностью 16 - 25 л.с. Для вооружения была подана 76,2-мм горная пушка обр. 1909 г., баллистика которой совпадала с баллистикой противоштурмовой пушки обр. 1910 г. Она размещалась в задней части машины, а боеприпасы - в стеллажах вдоль бортов. Экипаж состоял из трех человек. Для устойчивости при стрельбе машина имела под днищем опус</w:t>
      </w:r>
      <w:r w:rsidRPr="00405303">
        <w:rPr>
          <w:bCs/>
          <w:color w:val="002060"/>
          <w:sz w:val="16"/>
          <w:szCs w:val="16"/>
        </w:rPr>
        <w:softHyphen/>
        <w:t>кающийся сошник. Из-за малых размеров «трехколески» не оборудовались постом управления заднего хода.</w:t>
      </w:r>
    </w:p>
    <w:p w14:paraId="47B89DE6" w14:textId="77777777" w:rsidR="00B20A34" w:rsidRPr="00405303" w:rsidRDefault="00B20A34" w:rsidP="00C15251">
      <w:pPr>
        <w:shd w:val="clear" w:color="auto" w:fill="FFFFFF"/>
        <w:jc w:val="both"/>
        <w:rPr>
          <w:bCs/>
          <w:color w:val="002060"/>
          <w:sz w:val="16"/>
          <w:szCs w:val="16"/>
        </w:rPr>
      </w:pPr>
      <w:r w:rsidRPr="00405303">
        <w:rPr>
          <w:bCs/>
          <w:color w:val="002060"/>
          <w:sz w:val="16"/>
          <w:szCs w:val="16"/>
        </w:rPr>
        <w:t>В декабре 1915 г. в г. Ораниенбауме в мастерских Офи</w:t>
      </w:r>
      <w:r w:rsidRPr="00405303">
        <w:rPr>
          <w:bCs/>
          <w:color w:val="002060"/>
          <w:sz w:val="16"/>
          <w:szCs w:val="16"/>
        </w:rPr>
        <w:softHyphen/>
        <w:t>церской стрелковой школы началась постройка такой ма</w:t>
      </w:r>
      <w:r w:rsidRPr="00405303">
        <w:rPr>
          <w:bCs/>
          <w:color w:val="002060"/>
          <w:sz w:val="16"/>
          <w:szCs w:val="16"/>
        </w:rPr>
        <w:softHyphen/>
        <w:t>шины. В начале 1916 г. ввиду неподачи артиллерийских орудий («короткие» 76,2-мм пушки были в дефиците), здесь началось также изготовление бронированных «трех</w:t>
      </w:r>
      <w:r w:rsidRPr="00405303">
        <w:rPr>
          <w:bCs/>
          <w:color w:val="002060"/>
          <w:sz w:val="16"/>
          <w:szCs w:val="16"/>
        </w:rPr>
        <w:softHyphen/>
        <w:t>колесок», вооруженных двумя станковыми пулеметами (11417).</w:t>
      </w:r>
    </w:p>
    <w:p w14:paraId="108E6064" w14:textId="77777777" w:rsidR="00B20A34" w:rsidRPr="00405303" w:rsidRDefault="00B20A34" w:rsidP="00C15251">
      <w:pPr>
        <w:shd w:val="clear" w:color="auto" w:fill="FFFFFF"/>
        <w:jc w:val="both"/>
        <w:rPr>
          <w:bCs/>
          <w:color w:val="002060"/>
          <w:sz w:val="16"/>
          <w:szCs w:val="16"/>
        </w:rPr>
      </w:pPr>
    </w:p>
    <w:p w14:paraId="2E8C8952" w14:textId="77777777" w:rsidR="004F1A2E" w:rsidRPr="00405303" w:rsidRDefault="004F1A2E" w:rsidP="00C15251">
      <w:pPr>
        <w:pStyle w:val="p1"/>
        <w:spacing w:before="0" w:beforeAutospacing="0" w:after="0" w:afterAutospacing="0"/>
        <w:jc w:val="both"/>
        <w:rPr>
          <w:bCs/>
          <w:color w:val="002060"/>
          <w:sz w:val="16"/>
          <w:szCs w:val="16"/>
        </w:rPr>
      </w:pPr>
      <w:r w:rsidRPr="00405303">
        <w:rPr>
          <w:bCs/>
          <w:color w:val="002060"/>
          <w:sz w:val="16"/>
          <w:szCs w:val="16"/>
        </w:rPr>
        <w:t>Осенью 1915 г. решение о создании нового орудийного завода еще не приняло окончательного вида. Не было единого мнения даже относительно его связи с проектируемым сталелитейным заводом ГАУ. Павловский выступал за их раздельное существование (18409).</w:t>
      </w:r>
    </w:p>
    <w:p w14:paraId="607CD020" w14:textId="77777777" w:rsidR="004F1A2E" w:rsidRPr="00405303" w:rsidRDefault="004F1A2E" w:rsidP="00C15251">
      <w:pPr>
        <w:pStyle w:val="p1"/>
        <w:spacing w:before="0" w:beforeAutospacing="0" w:after="0" w:afterAutospacing="0"/>
        <w:jc w:val="both"/>
        <w:rPr>
          <w:bCs/>
          <w:color w:val="002060"/>
          <w:sz w:val="16"/>
          <w:szCs w:val="16"/>
        </w:rPr>
      </w:pPr>
    </w:p>
    <w:p w14:paraId="2F494473" w14:textId="77777777" w:rsidR="004F1A2E" w:rsidRPr="00405303" w:rsidRDefault="004F1A2E" w:rsidP="00C15251">
      <w:pPr>
        <w:pStyle w:val="ae"/>
        <w:spacing w:before="0" w:beforeAutospacing="0" w:after="0" w:afterAutospacing="0"/>
        <w:jc w:val="both"/>
        <w:rPr>
          <w:bCs/>
          <w:color w:val="002060"/>
          <w:sz w:val="16"/>
          <w:szCs w:val="16"/>
        </w:rPr>
      </w:pPr>
      <w:r w:rsidRPr="00405303">
        <w:rPr>
          <w:bCs/>
          <w:color w:val="002060"/>
          <w:sz w:val="16"/>
          <w:szCs w:val="16"/>
        </w:rPr>
        <w:t>Осенью 1915 г.</w:t>
      </w:r>
      <w:bookmarkStart w:id="261" w:name="72r"/>
      <w:bookmarkEnd w:id="261"/>
      <w:r w:rsidRPr="00405303">
        <w:rPr>
          <w:bCs/>
          <w:color w:val="002060"/>
          <w:sz w:val="16"/>
          <w:szCs w:val="16"/>
        </w:rPr>
        <w:t xml:space="preserve"> из материалов ГАУ, представленных председателю Верховной следственной комиссии, видно, что артиллерийские заводы внутри страны имели заказов на 11 886 орудий разных систем, из них на 1 сентября 1915 г. было поставлено 1916 орудий. По отдельным заводам данные таковы:</w:t>
      </w:r>
    </w:p>
    <w:tbl>
      <w:tblPr>
        <w:tblW w:w="0" w:type="auto"/>
        <w:jc w:val="center"/>
        <w:tblCellSpacing w:w="15" w:type="dxa"/>
        <w:tblCellMar>
          <w:left w:w="0" w:type="dxa"/>
          <w:right w:w="0" w:type="dxa"/>
        </w:tblCellMar>
        <w:tblLook w:val="04A0" w:firstRow="1" w:lastRow="0" w:firstColumn="1" w:lastColumn="0" w:noHBand="0" w:noVBand="1"/>
      </w:tblPr>
      <w:tblGrid>
        <w:gridCol w:w="2303"/>
        <w:gridCol w:w="630"/>
        <w:gridCol w:w="827"/>
      </w:tblGrid>
      <w:tr w:rsidR="004F1A2E" w:rsidRPr="00405303" w14:paraId="60941C70" w14:textId="77777777" w:rsidTr="00CC77F9">
        <w:trPr>
          <w:tblCellSpacing w:w="15" w:type="dxa"/>
          <w:jc w:val="center"/>
        </w:trPr>
        <w:tc>
          <w:tcPr>
            <w:tcW w:w="0" w:type="auto"/>
            <w:gridSpan w:val="3"/>
            <w:noWrap/>
            <w:vAlign w:val="center"/>
            <w:hideMark/>
          </w:tcPr>
          <w:p w14:paraId="28D3CE0A" w14:textId="77777777" w:rsidR="004F1A2E" w:rsidRPr="00405303" w:rsidRDefault="00000000" w:rsidP="00C15251">
            <w:pPr>
              <w:jc w:val="both"/>
              <w:rPr>
                <w:bCs/>
                <w:color w:val="002060"/>
                <w:sz w:val="16"/>
                <w:szCs w:val="16"/>
              </w:rPr>
            </w:pPr>
            <w:r>
              <w:rPr>
                <w:bCs/>
                <w:color w:val="002060"/>
                <w:sz w:val="16"/>
                <w:szCs w:val="16"/>
              </w:rPr>
              <w:pict w14:anchorId="53D09A9E">
                <v:rect id="_x0000_i1026" style="width:0;height:1.5pt" o:hralign="center" o:hrstd="t" o:hr="t" fillcolor="#d4d4d4" stroked="f"/>
              </w:pict>
            </w:r>
          </w:p>
        </w:tc>
      </w:tr>
      <w:tr w:rsidR="004F1A2E" w:rsidRPr="00405303" w14:paraId="08730FE9" w14:textId="77777777" w:rsidTr="00CC77F9">
        <w:trPr>
          <w:tblCellSpacing w:w="15" w:type="dxa"/>
          <w:jc w:val="center"/>
        </w:trPr>
        <w:tc>
          <w:tcPr>
            <w:tcW w:w="0" w:type="auto"/>
            <w:vMerge w:val="restart"/>
            <w:noWrap/>
            <w:vAlign w:val="center"/>
            <w:hideMark/>
          </w:tcPr>
          <w:p w14:paraId="2D13E77B" w14:textId="29013DE9" w:rsidR="004F1A2E" w:rsidRPr="00405303" w:rsidRDefault="00DB4D64" w:rsidP="00C15251">
            <w:pPr>
              <w:jc w:val="both"/>
              <w:rPr>
                <w:bCs/>
                <w:color w:val="002060"/>
                <w:sz w:val="16"/>
                <w:szCs w:val="16"/>
              </w:rPr>
            </w:pPr>
            <w:r w:rsidRPr="00405303">
              <w:rPr>
                <w:bCs/>
                <w:color w:val="002060"/>
                <w:sz w:val="16"/>
                <w:szCs w:val="16"/>
              </w:rPr>
              <w:t xml:space="preserve"> </w:t>
            </w:r>
          </w:p>
        </w:tc>
        <w:tc>
          <w:tcPr>
            <w:tcW w:w="0" w:type="auto"/>
            <w:noWrap/>
            <w:vAlign w:val="center"/>
            <w:hideMark/>
          </w:tcPr>
          <w:p w14:paraId="6FA417A6" w14:textId="77777777" w:rsidR="004F1A2E" w:rsidRPr="00405303" w:rsidRDefault="004F1A2E" w:rsidP="00C15251">
            <w:pPr>
              <w:jc w:val="both"/>
              <w:rPr>
                <w:bCs/>
                <w:color w:val="002060"/>
                <w:sz w:val="16"/>
                <w:szCs w:val="16"/>
              </w:rPr>
            </w:pPr>
            <w:r w:rsidRPr="00405303">
              <w:rPr>
                <w:bCs/>
                <w:color w:val="002060"/>
                <w:sz w:val="16"/>
                <w:szCs w:val="16"/>
              </w:rPr>
              <w:t>Заказано</w:t>
            </w:r>
          </w:p>
        </w:tc>
        <w:tc>
          <w:tcPr>
            <w:tcW w:w="0" w:type="auto"/>
            <w:noWrap/>
            <w:vAlign w:val="center"/>
            <w:hideMark/>
          </w:tcPr>
          <w:p w14:paraId="052C1D77" w14:textId="77777777" w:rsidR="004F1A2E" w:rsidRPr="00405303" w:rsidRDefault="004F1A2E" w:rsidP="00C15251">
            <w:pPr>
              <w:jc w:val="both"/>
              <w:rPr>
                <w:bCs/>
                <w:color w:val="002060"/>
                <w:sz w:val="16"/>
                <w:szCs w:val="16"/>
              </w:rPr>
            </w:pPr>
            <w:r w:rsidRPr="00405303">
              <w:rPr>
                <w:bCs/>
                <w:color w:val="002060"/>
                <w:sz w:val="16"/>
                <w:szCs w:val="16"/>
              </w:rPr>
              <w:t>Выполнено</w:t>
            </w:r>
          </w:p>
        </w:tc>
      </w:tr>
      <w:tr w:rsidR="004F1A2E" w:rsidRPr="00405303" w14:paraId="2B497745" w14:textId="77777777" w:rsidTr="00CC77F9">
        <w:trPr>
          <w:tblCellSpacing w:w="15" w:type="dxa"/>
          <w:jc w:val="center"/>
        </w:trPr>
        <w:tc>
          <w:tcPr>
            <w:tcW w:w="0" w:type="auto"/>
            <w:vMerge/>
            <w:vAlign w:val="center"/>
            <w:hideMark/>
          </w:tcPr>
          <w:p w14:paraId="41362188" w14:textId="77777777" w:rsidR="004F1A2E" w:rsidRPr="00405303" w:rsidRDefault="004F1A2E" w:rsidP="00C15251">
            <w:pPr>
              <w:jc w:val="both"/>
              <w:rPr>
                <w:bCs/>
                <w:color w:val="002060"/>
                <w:sz w:val="16"/>
                <w:szCs w:val="16"/>
              </w:rPr>
            </w:pPr>
          </w:p>
        </w:tc>
        <w:tc>
          <w:tcPr>
            <w:tcW w:w="0" w:type="auto"/>
            <w:gridSpan w:val="2"/>
            <w:noWrap/>
            <w:vAlign w:val="center"/>
            <w:hideMark/>
          </w:tcPr>
          <w:p w14:paraId="54B1279C" w14:textId="77777777" w:rsidR="004F1A2E" w:rsidRPr="00405303" w:rsidRDefault="004F1A2E" w:rsidP="00C15251">
            <w:pPr>
              <w:jc w:val="both"/>
              <w:rPr>
                <w:bCs/>
                <w:color w:val="002060"/>
                <w:sz w:val="16"/>
                <w:szCs w:val="16"/>
              </w:rPr>
            </w:pPr>
            <w:r w:rsidRPr="00405303">
              <w:rPr>
                <w:bCs/>
                <w:color w:val="002060"/>
                <w:sz w:val="16"/>
                <w:szCs w:val="16"/>
              </w:rPr>
              <w:t>орудий</w:t>
            </w:r>
          </w:p>
        </w:tc>
      </w:tr>
      <w:tr w:rsidR="004F1A2E" w:rsidRPr="00405303" w14:paraId="5BDF4619" w14:textId="77777777" w:rsidTr="00CC77F9">
        <w:trPr>
          <w:tblCellSpacing w:w="15" w:type="dxa"/>
          <w:jc w:val="center"/>
        </w:trPr>
        <w:tc>
          <w:tcPr>
            <w:tcW w:w="0" w:type="auto"/>
            <w:noWrap/>
            <w:vAlign w:val="center"/>
            <w:hideMark/>
          </w:tcPr>
          <w:p w14:paraId="3C71659D" w14:textId="77777777" w:rsidR="004F1A2E" w:rsidRPr="00405303" w:rsidRDefault="004F1A2E" w:rsidP="00C15251">
            <w:pPr>
              <w:jc w:val="both"/>
              <w:rPr>
                <w:bCs/>
                <w:color w:val="002060"/>
                <w:sz w:val="16"/>
                <w:szCs w:val="16"/>
              </w:rPr>
            </w:pPr>
            <w:r w:rsidRPr="00405303">
              <w:rPr>
                <w:bCs/>
                <w:color w:val="002060"/>
                <w:sz w:val="16"/>
                <w:szCs w:val="16"/>
              </w:rPr>
              <w:t>Обуховский завод</w:t>
            </w:r>
          </w:p>
        </w:tc>
        <w:tc>
          <w:tcPr>
            <w:tcW w:w="0" w:type="auto"/>
            <w:noWrap/>
            <w:vAlign w:val="center"/>
            <w:hideMark/>
          </w:tcPr>
          <w:p w14:paraId="6553FFD1" w14:textId="77777777" w:rsidR="004F1A2E" w:rsidRPr="00405303" w:rsidRDefault="004F1A2E" w:rsidP="00C15251">
            <w:pPr>
              <w:jc w:val="both"/>
              <w:rPr>
                <w:bCs/>
                <w:color w:val="002060"/>
                <w:sz w:val="16"/>
                <w:szCs w:val="16"/>
              </w:rPr>
            </w:pPr>
            <w:r w:rsidRPr="00405303">
              <w:rPr>
                <w:bCs/>
                <w:color w:val="002060"/>
                <w:sz w:val="16"/>
                <w:szCs w:val="16"/>
              </w:rPr>
              <w:t>948</w:t>
            </w:r>
          </w:p>
        </w:tc>
        <w:tc>
          <w:tcPr>
            <w:tcW w:w="0" w:type="auto"/>
            <w:noWrap/>
            <w:vAlign w:val="center"/>
            <w:hideMark/>
          </w:tcPr>
          <w:p w14:paraId="6289CF36" w14:textId="77777777" w:rsidR="004F1A2E" w:rsidRPr="00405303" w:rsidRDefault="004F1A2E" w:rsidP="00C15251">
            <w:pPr>
              <w:jc w:val="both"/>
              <w:rPr>
                <w:bCs/>
                <w:color w:val="002060"/>
                <w:sz w:val="16"/>
                <w:szCs w:val="16"/>
              </w:rPr>
            </w:pPr>
            <w:r w:rsidRPr="00405303">
              <w:rPr>
                <w:bCs/>
                <w:color w:val="002060"/>
                <w:sz w:val="16"/>
                <w:szCs w:val="16"/>
              </w:rPr>
              <w:t>321</w:t>
            </w:r>
          </w:p>
        </w:tc>
      </w:tr>
      <w:tr w:rsidR="004F1A2E" w:rsidRPr="00405303" w14:paraId="4A65E1E5" w14:textId="77777777" w:rsidTr="00CC77F9">
        <w:trPr>
          <w:tblCellSpacing w:w="15" w:type="dxa"/>
          <w:jc w:val="center"/>
        </w:trPr>
        <w:tc>
          <w:tcPr>
            <w:tcW w:w="0" w:type="auto"/>
            <w:noWrap/>
            <w:vAlign w:val="center"/>
            <w:hideMark/>
          </w:tcPr>
          <w:p w14:paraId="1F91141C" w14:textId="6B54612B" w:rsidR="004F1A2E" w:rsidRPr="00405303" w:rsidRDefault="004F1A2E" w:rsidP="00C15251">
            <w:pPr>
              <w:jc w:val="both"/>
              <w:rPr>
                <w:bCs/>
                <w:color w:val="002060"/>
                <w:sz w:val="16"/>
                <w:szCs w:val="16"/>
              </w:rPr>
            </w:pPr>
            <w:proofErr w:type="gramStart"/>
            <w:r w:rsidRPr="00405303">
              <w:rPr>
                <w:bCs/>
                <w:color w:val="002060"/>
                <w:sz w:val="16"/>
                <w:szCs w:val="16"/>
              </w:rPr>
              <w:t>Пермский</w:t>
            </w:r>
            <w:r w:rsidR="000F5756">
              <w:rPr>
                <w:bCs/>
                <w:color w:val="002060"/>
                <w:sz w:val="16"/>
                <w:szCs w:val="16"/>
              </w:rPr>
              <w:t xml:space="preserve">  </w:t>
            </w:r>
            <w:r w:rsidRPr="00405303">
              <w:rPr>
                <w:bCs/>
                <w:color w:val="002060"/>
                <w:sz w:val="16"/>
                <w:szCs w:val="16"/>
              </w:rPr>
              <w:t>»</w:t>
            </w:r>
            <w:proofErr w:type="gramEnd"/>
          </w:p>
        </w:tc>
        <w:tc>
          <w:tcPr>
            <w:tcW w:w="0" w:type="auto"/>
            <w:noWrap/>
            <w:vAlign w:val="center"/>
            <w:hideMark/>
          </w:tcPr>
          <w:p w14:paraId="1BBD46A6" w14:textId="77777777" w:rsidR="004F1A2E" w:rsidRPr="00405303" w:rsidRDefault="004F1A2E" w:rsidP="00C15251">
            <w:pPr>
              <w:jc w:val="both"/>
              <w:rPr>
                <w:bCs/>
                <w:color w:val="002060"/>
                <w:sz w:val="16"/>
                <w:szCs w:val="16"/>
              </w:rPr>
            </w:pPr>
            <w:r w:rsidRPr="00405303">
              <w:rPr>
                <w:bCs/>
                <w:color w:val="002060"/>
                <w:sz w:val="16"/>
                <w:szCs w:val="16"/>
              </w:rPr>
              <w:t>2960</w:t>
            </w:r>
          </w:p>
        </w:tc>
        <w:tc>
          <w:tcPr>
            <w:tcW w:w="0" w:type="auto"/>
            <w:noWrap/>
            <w:vAlign w:val="center"/>
            <w:hideMark/>
          </w:tcPr>
          <w:p w14:paraId="474C04ED" w14:textId="77777777" w:rsidR="004F1A2E" w:rsidRPr="00405303" w:rsidRDefault="004F1A2E" w:rsidP="00C15251">
            <w:pPr>
              <w:jc w:val="both"/>
              <w:rPr>
                <w:bCs/>
                <w:color w:val="002060"/>
                <w:sz w:val="16"/>
                <w:szCs w:val="16"/>
              </w:rPr>
            </w:pPr>
            <w:r w:rsidRPr="00405303">
              <w:rPr>
                <w:bCs/>
                <w:color w:val="002060"/>
                <w:sz w:val="16"/>
                <w:szCs w:val="16"/>
              </w:rPr>
              <w:t>528</w:t>
            </w:r>
          </w:p>
        </w:tc>
      </w:tr>
      <w:tr w:rsidR="004F1A2E" w:rsidRPr="00405303" w14:paraId="0EBF754F" w14:textId="77777777" w:rsidTr="00CC77F9">
        <w:trPr>
          <w:tblCellSpacing w:w="15" w:type="dxa"/>
          <w:jc w:val="center"/>
        </w:trPr>
        <w:tc>
          <w:tcPr>
            <w:tcW w:w="0" w:type="auto"/>
            <w:noWrap/>
            <w:vAlign w:val="center"/>
            <w:hideMark/>
          </w:tcPr>
          <w:p w14:paraId="4197FA50" w14:textId="156D62C0" w:rsidR="004F1A2E" w:rsidRPr="00405303" w:rsidRDefault="004F1A2E" w:rsidP="00C15251">
            <w:pPr>
              <w:jc w:val="both"/>
              <w:rPr>
                <w:bCs/>
                <w:color w:val="002060"/>
                <w:sz w:val="16"/>
                <w:szCs w:val="16"/>
              </w:rPr>
            </w:pPr>
            <w:proofErr w:type="gramStart"/>
            <w:r w:rsidRPr="00405303">
              <w:rPr>
                <w:bCs/>
                <w:color w:val="002060"/>
                <w:sz w:val="16"/>
                <w:szCs w:val="16"/>
              </w:rPr>
              <w:t>Путиловский</w:t>
            </w:r>
            <w:r w:rsidR="000F5756">
              <w:rPr>
                <w:bCs/>
                <w:color w:val="002060"/>
                <w:sz w:val="16"/>
                <w:szCs w:val="16"/>
              </w:rPr>
              <w:t xml:space="preserve">  </w:t>
            </w:r>
            <w:r w:rsidRPr="00405303">
              <w:rPr>
                <w:bCs/>
                <w:color w:val="002060"/>
                <w:sz w:val="16"/>
                <w:szCs w:val="16"/>
              </w:rPr>
              <w:t>»</w:t>
            </w:r>
            <w:proofErr w:type="gramEnd"/>
          </w:p>
        </w:tc>
        <w:tc>
          <w:tcPr>
            <w:tcW w:w="0" w:type="auto"/>
            <w:noWrap/>
            <w:vAlign w:val="center"/>
            <w:hideMark/>
          </w:tcPr>
          <w:p w14:paraId="7E6AAD05" w14:textId="77777777" w:rsidR="004F1A2E" w:rsidRPr="00405303" w:rsidRDefault="004F1A2E" w:rsidP="00C15251">
            <w:pPr>
              <w:jc w:val="both"/>
              <w:rPr>
                <w:bCs/>
                <w:color w:val="002060"/>
                <w:sz w:val="16"/>
                <w:szCs w:val="16"/>
              </w:rPr>
            </w:pPr>
            <w:r w:rsidRPr="00405303">
              <w:rPr>
                <w:bCs/>
                <w:color w:val="002060"/>
                <w:sz w:val="16"/>
                <w:szCs w:val="16"/>
              </w:rPr>
              <w:t>4506</w:t>
            </w:r>
          </w:p>
        </w:tc>
        <w:tc>
          <w:tcPr>
            <w:tcW w:w="0" w:type="auto"/>
            <w:noWrap/>
            <w:vAlign w:val="center"/>
            <w:hideMark/>
          </w:tcPr>
          <w:p w14:paraId="5D7C907A" w14:textId="77777777" w:rsidR="004F1A2E" w:rsidRPr="00405303" w:rsidRDefault="004F1A2E" w:rsidP="00C15251">
            <w:pPr>
              <w:jc w:val="both"/>
              <w:rPr>
                <w:bCs/>
                <w:color w:val="002060"/>
                <w:sz w:val="16"/>
                <w:szCs w:val="16"/>
              </w:rPr>
            </w:pPr>
            <w:r w:rsidRPr="00405303">
              <w:rPr>
                <w:bCs/>
                <w:color w:val="002060"/>
                <w:sz w:val="16"/>
                <w:szCs w:val="16"/>
              </w:rPr>
              <w:t>838</w:t>
            </w:r>
          </w:p>
        </w:tc>
      </w:tr>
      <w:tr w:rsidR="004F1A2E" w:rsidRPr="00405303" w14:paraId="799256AA" w14:textId="77777777" w:rsidTr="00CC77F9">
        <w:trPr>
          <w:tblCellSpacing w:w="15" w:type="dxa"/>
          <w:jc w:val="center"/>
        </w:trPr>
        <w:tc>
          <w:tcPr>
            <w:tcW w:w="0" w:type="auto"/>
            <w:noWrap/>
            <w:vAlign w:val="center"/>
            <w:hideMark/>
          </w:tcPr>
          <w:p w14:paraId="62041B22" w14:textId="77777777" w:rsidR="004F1A2E" w:rsidRPr="00405303" w:rsidRDefault="004F1A2E" w:rsidP="00C15251">
            <w:pPr>
              <w:jc w:val="both"/>
              <w:rPr>
                <w:bCs/>
                <w:color w:val="002060"/>
                <w:sz w:val="16"/>
                <w:szCs w:val="16"/>
              </w:rPr>
            </w:pPr>
            <w:r w:rsidRPr="00405303">
              <w:rPr>
                <w:bCs/>
                <w:color w:val="002060"/>
                <w:sz w:val="16"/>
                <w:szCs w:val="16"/>
              </w:rPr>
              <w:t>Петроградский орудийный завод</w:t>
            </w:r>
          </w:p>
        </w:tc>
        <w:tc>
          <w:tcPr>
            <w:tcW w:w="0" w:type="auto"/>
            <w:noWrap/>
            <w:vAlign w:val="center"/>
            <w:hideMark/>
          </w:tcPr>
          <w:p w14:paraId="5291D379" w14:textId="77777777" w:rsidR="004F1A2E" w:rsidRPr="00405303" w:rsidRDefault="004F1A2E" w:rsidP="00C15251">
            <w:pPr>
              <w:jc w:val="both"/>
              <w:rPr>
                <w:bCs/>
                <w:color w:val="002060"/>
                <w:sz w:val="16"/>
                <w:szCs w:val="16"/>
              </w:rPr>
            </w:pPr>
            <w:r w:rsidRPr="00405303">
              <w:rPr>
                <w:bCs/>
                <w:color w:val="002060"/>
                <w:sz w:val="16"/>
                <w:szCs w:val="16"/>
              </w:rPr>
              <w:t>972</w:t>
            </w:r>
          </w:p>
        </w:tc>
        <w:tc>
          <w:tcPr>
            <w:tcW w:w="0" w:type="auto"/>
            <w:noWrap/>
            <w:vAlign w:val="center"/>
            <w:hideMark/>
          </w:tcPr>
          <w:p w14:paraId="3F6AA6EB" w14:textId="77777777" w:rsidR="004F1A2E" w:rsidRPr="00405303" w:rsidRDefault="004F1A2E" w:rsidP="00C15251">
            <w:pPr>
              <w:jc w:val="both"/>
              <w:rPr>
                <w:bCs/>
                <w:color w:val="002060"/>
                <w:sz w:val="16"/>
                <w:szCs w:val="16"/>
              </w:rPr>
            </w:pPr>
            <w:r w:rsidRPr="00405303">
              <w:rPr>
                <w:bCs/>
                <w:color w:val="002060"/>
                <w:sz w:val="16"/>
                <w:szCs w:val="16"/>
              </w:rPr>
              <w:t>229</w:t>
            </w:r>
          </w:p>
        </w:tc>
      </w:tr>
      <w:tr w:rsidR="004F1A2E" w:rsidRPr="00405303" w14:paraId="6345BB96" w14:textId="77777777" w:rsidTr="00CC77F9">
        <w:trPr>
          <w:tblCellSpacing w:w="15" w:type="dxa"/>
          <w:jc w:val="center"/>
        </w:trPr>
        <w:tc>
          <w:tcPr>
            <w:tcW w:w="0" w:type="auto"/>
            <w:noWrap/>
            <w:vAlign w:val="center"/>
            <w:hideMark/>
          </w:tcPr>
          <w:p w14:paraId="7E13BB07" w14:textId="013C5E56" w:rsidR="004F1A2E" w:rsidRPr="00405303" w:rsidRDefault="004F1A2E" w:rsidP="00C15251">
            <w:pPr>
              <w:jc w:val="both"/>
              <w:rPr>
                <w:bCs/>
                <w:color w:val="002060"/>
                <w:sz w:val="16"/>
                <w:szCs w:val="16"/>
              </w:rPr>
            </w:pPr>
            <w:r w:rsidRPr="00405303">
              <w:rPr>
                <w:bCs/>
                <w:color w:val="002060"/>
                <w:sz w:val="16"/>
                <w:szCs w:val="16"/>
              </w:rPr>
              <w:t>Царицынский</w:t>
            </w:r>
            <w:r w:rsidR="000F5756">
              <w:rPr>
                <w:bCs/>
                <w:color w:val="002060"/>
                <w:sz w:val="16"/>
                <w:szCs w:val="16"/>
              </w:rPr>
              <w:t xml:space="preserve">  </w:t>
            </w:r>
            <w:proofErr w:type="gramStart"/>
            <w:r w:rsidR="000F5756">
              <w:rPr>
                <w:bCs/>
                <w:color w:val="002060"/>
                <w:sz w:val="16"/>
                <w:szCs w:val="16"/>
              </w:rPr>
              <w:t xml:space="preserve">  </w:t>
            </w:r>
            <w:r w:rsidRPr="00405303">
              <w:rPr>
                <w:bCs/>
                <w:color w:val="002060"/>
                <w:sz w:val="16"/>
                <w:szCs w:val="16"/>
              </w:rPr>
              <w:t>»</w:t>
            </w:r>
            <w:proofErr w:type="gramEnd"/>
            <w:r w:rsidR="000F5756">
              <w:rPr>
                <w:bCs/>
                <w:color w:val="002060"/>
                <w:sz w:val="16"/>
                <w:szCs w:val="16"/>
              </w:rPr>
              <w:t xml:space="preserve">    </w:t>
            </w:r>
            <w:proofErr w:type="gramStart"/>
            <w:r w:rsidR="000F5756">
              <w:rPr>
                <w:bCs/>
                <w:color w:val="002060"/>
                <w:sz w:val="16"/>
                <w:szCs w:val="16"/>
              </w:rPr>
              <w:t xml:space="preserve">  </w:t>
            </w:r>
            <w:r w:rsidRPr="00405303">
              <w:rPr>
                <w:bCs/>
                <w:color w:val="002060"/>
                <w:sz w:val="16"/>
                <w:szCs w:val="16"/>
              </w:rPr>
              <w:t>»</w:t>
            </w:r>
            <w:proofErr w:type="gramEnd"/>
          </w:p>
        </w:tc>
        <w:tc>
          <w:tcPr>
            <w:tcW w:w="0" w:type="auto"/>
            <w:noWrap/>
            <w:vAlign w:val="center"/>
            <w:hideMark/>
          </w:tcPr>
          <w:p w14:paraId="55FB04BC" w14:textId="77777777" w:rsidR="004F1A2E" w:rsidRPr="00405303" w:rsidRDefault="004F1A2E" w:rsidP="00C15251">
            <w:pPr>
              <w:jc w:val="both"/>
              <w:rPr>
                <w:bCs/>
                <w:color w:val="002060"/>
                <w:sz w:val="16"/>
                <w:szCs w:val="16"/>
              </w:rPr>
            </w:pPr>
            <w:r w:rsidRPr="00405303">
              <w:rPr>
                <w:bCs/>
                <w:color w:val="002060"/>
                <w:sz w:val="16"/>
                <w:szCs w:val="16"/>
              </w:rPr>
              <w:t>2500</w:t>
            </w:r>
          </w:p>
        </w:tc>
        <w:tc>
          <w:tcPr>
            <w:tcW w:w="0" w:type="auto"/>
            <w:noWrap/>
            <w:vAlign w:val="center"/>
            <w:hideMark/>
          </w:tcPr>
          <w:p w14:paraId="19F1909E" w14:textId="77777777" w:rsidR="004F1A2E" w:rsidRPr="00405303" w:rsidRDefault="004F1A2E" w:rsidP="00C15251">
            <w:pPr>
              <w:jc w:val="both"/>
              <w:rPr>
                <w:bCs/>
                <w:color w:val="002060"/>
                <w:sz w:val="16"/>
                <w:szCs w:val="16"/>
              </w:rPr>
            </w:pPr>
            <w:r w:rsidRPr="00405303">
              <w:rPr>
                <w:bCs/>
                <w:color w:val="002060"/>
                <w:sz w:val="16"/>
                <w:szCs w:val="16"/>
              </w:rPr>
              <w:t>—</w:t>
            </w:r>
          </w:p>
        </w:tc>
      </w:tr>
      <w:tr w:rsidR="004F1A2E" w:rsidRPr="00405303" w14:paraId="2B96F31D" w14:textId="77777777" w:rsidTr="00CC77F9">
        <w:trPr>
          <w:tblCellSpacing w:w="15" w:type="dxa"/>
          <w:jc w:val="center"/>
        </w:trPr>
        <w:tc>
          <w:tcPr>
            <w:tcW w:w="0" w:type="auto"/>
            <w:gridSpan w:val="3"/>
            <w:noWrap/>
            <w:vAlign w:val="center"/>
            <w:hideMark/>
          </w:tcPr>
          <w:p w14:paraId="053A608F" w14:textId="77777777" w:rsidR="004F1A2E" w:rsidRPr="00405303" w:rsidRDefault="00000000" w:rsidP="00C15251">
            <w:pPr>
              <w:jc w:val="both"/>
              <w:rPr>
                <w:bCs/>
                <w:color w:val="002060"/>
                <w:sz w:val="16"/>
                <w:szCs w:val="16"/>
              </w:rPr>
            </w:pPr>
            <w:r>
              <w:rPr>
                <w:bCs/>
                <w:color w:val="002060"/>
                <w:sz w:val="16"/>
                <w:szCs w:val="16"/>
              </w:rPr>
              <w:pict w14:anchorId="04C87CC3">
                <v:rect id="_x0000_i1027" style="width:0;height:1.5pt" o:hralign="center" o:hrstd="t" o:hr="t" fillcolor="#d4d4d4" stroked="f"/>
              </w:pict>
            </w:r>
          </w:p>
        </w:tc>
      </w:tr>
    </w:tbl>
    <w:p w14:paraId="58F97CF8" w14:textId="77777777" w:rsidR="004F1A2E" w:rsidRPr="00405303" w:rsidRDefault="004F1A2E" w:rsidP="00C15251">
      <w:pPr>
        <w:pStyle w:val="ae"/>
        <w:spacing w:before="0" w:beforeAutospacing="0" w:after="0" w:afterAutospacing="0"/>
        <w:jc w:val="both"/>
        <w:rPr>
          <w:bCs/>
          <w:color w:val="002060"/>
          <w:sz w:val="16"/>
          <w:szCs w:val="16"/>
        </w:rPr>
      </w:pPr>
      <w:r w:rsidRPr="00405303">
        <w:rPr>
          <w:bCs/>
          <w:color w:val="002060"/>
          <w:sz w:val="16"/>
          <w:szCs w:val="16"/>
        </w:rPr>
        <w:t>Заграничные заказы фирмам «Виккерс и К°» (Англия), «Шнейдер и К°» (Франция) и «Мак Клен» (Америка) — 277 орудий, из них 200 орудий в Америке легкие, а остальные тяжелые.</w:t>
      </w:r>
    </w:p>
    <w:p w14:paraId="763C2356" w14:textId="77777777" w:rsidR="004F1A2E" w:rsidRPr="00405303" w:rsidRDefault="004F1A2E" w:rsidP="00C15251">
      <w:pPr>
        <w:pStyle w:val="ae"/>
        <w:spacing w:before="0" w:beforeAutospacing="0" w:after="0" w:afterAutospacing="0"/>
        <w:jc w:val="both"/>
        <w:rPr>
          <w:bCs/>
          <w:color w:val="002060"/>
          <w:sz w:val="16"/>
          <w:szCs w:val="16"/>
        </w:rPr>
      </w:pPr>
      <w:r w:rsidRPr="00405303">
        <w:rPr>
          <w:bCs/>
          <w:color w:val="002060"/>
          <w:sz w:val="16"/>
          <w:szCs w:val="16"/>
        </w:rPr>
        <w:t xml:space="preserve">Если же исключить все довоенные заказы как из числа заказанных орудий, так и </w:t>
      </w:r>
      <w:proofErr w:type="gramStart"/>
      <w:r w:rsidRPr="00405303">
        <w:rPr>
          <w:bCs/>
          <w:color w:val="002060"/>
          <w:sz w:val="16"/>
          <w:szCs w:val="16"/>
        </w:rPr>
        <w:t>поставок</w:t>
      </w:r>
      <w:proofErr w:type="gramEnd"/>
      <w:r w:rsidRPr="00405303">
        <w:rPr>
          <w:bCs/>
          <w:color w:val="002060"/>
          <w:sz w:val="16"/>
          <w:szCs w:val="16"/>
        </w:rPr>
        <w:t xml:space="preserve"> но ним и взять лишь заказы военного времени, то получим, что за первый год войны было заказано заводам внутри страны 8647 орудий, из них поставлено 88, или 1%. По отдельным предприятиям данные таковы:</w:t>
      </w:r>
    </w:p>
    <w:tbl>
      <w:tblPr>
        <w:tblW w:w="0" w:type="auto"/>
        <w:jc w:val="center"/>
        <w:tblCellSpacing w:w="15" w:type="dxa"/>
        <w:tblCellMar>
          <w:left w:w="0" w:type="dxa"/>
          <w:right w:w="0" w:type="dxa"/>
        </w:tblCellMar>
        <w:tblLook w:val="04A0" w:firstRow="1" w:lastRow="0" w:firstColumn="1" w:lastColumn="0" w:noHBand="0" w:noVBand="1"/>
      </w:tblPr>
      <w:tblGrid>
        <w:gridCol w:w="2303"/>
        <w:gridCol w:w="630"/>
        <w:gridCol w:w="827"/>
      </w:tblGrid>
      <w:tr w:rsidR="004F1A2E" w:rsidRPr="00405303" w14:paraId="224EA449" w14:textId="77777777" w:rsidTr="00CC77F9">
        <w:trPr>
          <w:tblCellSpacing w:w="15" w:type="dxa"/>
          <w:jc w:val="center"/>
        </w:trPr>
        <w:tc>
          <w:tcPr>
            <w:tcW w:w="0" w:type="auto"/>
            <w:gridSpan w:val="3"/>
            <w:noWrap/>
            <w:vAlign w:val="center"/>
            <w:hideMark/>
          </w:tcPr>
          <w:p w14:paraId="7C2493FF" w14:textId="77777777" w:rsidR="004F1A2E" w:rsidRPr="00405303" w:rsidRDefault="00000000" w:rsidP="00C15251">
            <w:pPr>
              <w:jc w:val="both"/>
              <w:rPr>
                <w:bCs/>
                <w:color w:val="002060"/>
                <w:sz w:val="16"/>
                <w:szCs w:val="16"/>
              </w:rPr>
            </w:pPr>
            <w:r>
              <w:rPr>
                <w:bCs/>
                <w:color w:val="002060"/>
                <w:sz w:val="16"/>
                <w:szCs w:val="16"/>
              </w:rPr>
              <w:pict w14:anchorId="1A6704C2">
                <v:rect id="_x0000_i1028" style="width:0;height:1.5pt" o:hralign="center" o:hrstd="t" o:hr="t" fillcolor="#d4d4d4" stroked="f"/>
              </w:pict>
            </w:r>
          </w:p>
        </w:tc>
      </w:tr>
      <w:tr w:rsidR="004F1A2E" w:rsidRPr="00405303" w14:paraId="4FB95629" w14:textId="77777777" w:rsidTr="00CC77F9">
        <w:trPr>
          <w:tblCellSpacing w:w="15" w:type="dxa"/>
          <w:jc w:val="center"/>
        </w:trPr>
        <w:tc>
          <w:tcPr>
            <w:tcW w:w="0" w:type="auto"/>
            <w:vMerge w:val="restart"/>
            <w:noWrap/>
            <w:vAlign w:val="center"/>
            <w:hideMark/>
          </w:tcPr>
          <w:p w14:paraId="3E0147BB" w14:textId="113D7514" w:rsidR="004F1A2E" w:rsidRPr="00405303" w:rsidRDefault="00DB4D64" w:rsidP="00C15251">
            <w:pPr>
              <w:jc w:val="both"/>
              <w:rPr>
                <w:bCs/>
                <w:color w:val="002060"/>
                <w:sz w:val="16"/>
                <w:szCs w:val="16"/>
              </w:rPr>
            </w:pPr>
            <w:r w:rsidRPr="00405303">
              <w:rPr>
                <w:bCs/>
                <w:color w:val="002060"/>
                <w:sz w:val="16"/>
                <w:szCs w:val="16"/>
              </w:rPr>
              <w:t xml:space="preserve"> </w:t>
            </w:r>
          </w:p>
        </w:tc>
        <w:tc>
          <w:tcPr>
            <w:tcW w:w="0" w:type="auto"/>
            <w:noWrap/>
            <w:vAlign w:val="center"/>
            <w:hideMark/>
          </w:tcPr>
          <w:p w14:paraId="5229A826" w14:textId="77777777" w:rsidR="004F1A2E" w:rsidRPr="00405303" w:rsidRDefault="004F1A2E" w:rsidP="00C15251">
            <w:pPr>
              <w:jc w:val="both"/>
              <w:rPr>
                <w:bCs/>
                <w:color w:val="002060"/>
                <w:sz w:val="16"/>
                <w:szCs w:val="16"/>
              </w:rPr>
            </w:pPr>
            <w:r w:rsidRPr="00405303">
              <w:rPr>
                <w:bCs/>
                <w:color w:val="002060"/>
                <w:sz w:val="16"/>
                <w:szCs w:val="16"/>
              </w:rPr>
              <w:t>Заказано</w:t>
            </w:r>
          </w:p>
        </w:tc>
        <w:tc>
          <w:tcPr>
            <w:tcW w:w="0" w:type="auto"/>
            <w:noWrap/>
            <w:vAlign w:val="center"/>
            <w:hideMark/>
          </w:tcPr>
          <w:p w14:paraId="2324A421" w14:textId="77777777" w:rsidR="004F1A2E" w:rsidRPr="00405303" w:rsidRDefault="004F1A2E" w:rsidP="00C15251">
            <w:pPr>
              <w:jc w:val="both"/>
              <w:rPr>
                <w:bCs/>
                <w:color w:val="002060"/>
                <w:sz w:val="16"/>
                <w:szCs w:val="16"/>
              </w:rPr>
            </w:pPr>
            <w:r w:rsidRPr="00405303">
              <w:rPr>
                <w:bCs/>
                <w:color w:val="002060"/>
                <w:sz w:val="16"/>
                <w:szCs w:val="16"/>
              </w:rPr>
              <w:t>Выполнено</w:t>
            </w:r>
          </w:p>
        </w:tc>
      </w:tr>
      <w:tr w:rsidR="004F1A2E" w:rsidRPr="00405303" w14:paraId="79F15095" w14:textId="77777777" w:rsidTr="00CC77F9">
        <w:trPr>
          <w:tblCellSpacing w:w="15" w:type="dxa"/>
          <w:jc w:val="center"/>
        </w:trPr>
        <w:tc>
          <w:tcPr>
            <w:tcW w:w="0" w:type="auto"/>
            <w:vMerge/>
            <w:vAlign w:val="center"/>
            <w:hideMark/>
          </w:tcPr>
          <w:p w14:paraId="142B4A60" w14:textId="77777777" w:rsidR="004F1A2E" w:rsidRPr="00405303" w:rsidRDefault="004F1A2E" w:rsidP="00C15251">
            <w:pPr>
              <w:jc w:val="both"/>
              <w:rPr>
                <w:bCs/>
                <w:color w:val="002060"/>
                <w:sz w:val="16"/>
                <w:szCs w:val="16"/>
              </w:rPr>
            </w:pPr>
          </w:p>
        </w:tc>
        <w:tc>
          <w:tcPr>
            <w:tcW w:w="0" w:type="auto"/>
            <w:gridSpan w:val="2"/>
            <w:noWrap/>
            <w:vAlign w:val="center"/>
            <w:hideMark/>
          </w:tcPr>
          <w:p w14:paraId="5BD0F26E" w14:textId="77777777" w:rsidR="004F1A2E" w:rsidRPr="00405303" w:rsidRDefault="004F1A2E" w:rsidP="00C15251">
            <w:pPr>
              <w:jc w:val="both"/>
              <w:rPr>
                <w:bCs/>
                <w:color w:val="002060"/>
                <w:sz w:val="16"/>
                <w:szCs w:val="16"/>
              </w:rPr>
            </w:pPr>
            <w:r w:rsidRPr="00405303">
              <w:rPr>
                <w:bCs/>
                <w:color w:val="002060"/>
                <w:sz w:val="16"/>
                <w:szCs w:val="16"/>
              </w:rPr>
              <w:t>орудий</w:t>
            </w:r>
          </w:p>
        </w:tc>
      </w:tr>
      <w:tr w:rsidR="004F1A2E" w:rsidRPr="00405303" w14:paraId="005E2680" w14:textId="77777777" w:rsidTr="00CC77F9">
        <w:trPr>
          <w:tblCellSpacing w:w="15" w:type="dxa"/>
          <w:jc w:val="center"/>
        </w:trPr>
        <w:tc>
          <w:tcPr>
            <w:tcW w:w="0" w:type="auto"/>
            <w:noWrap/>
            <w:vAlign w:val="center"/>
            <w:hideMark/>
          </w:tcPr>
          <w:p w14:paraId="39AD502D" w14:textId="77777777" w:rsidR="004F1A2E" w:rsidRPr="00405303" w:rsidRDefault="004F1A2E" w:rsidP="00C15251">
            <w:pPr>
              <w:jc w:val="both"/>
              <w:rPr>
                <w:bCs/>
                <w:color w:val="002060"/>
                <w:sz w:val="16"/>
                <w:szCs w:val="16"/>
              </w:rPr>
            </w:pPr>
            <w:r w:rsidRPr="00405303">
              <w:rPr>
                <w:bCs/>
                <w:color w:val="002060"/>
                <w:sz w:val="16"/>
                <w:szCs w:val="16"/>
              </w:rPr>
              <w:t>Обуховский завод</w:t>
            </w:r>
          </w:p>
        </w:tc>
        <w:tc>
          <w:tcPr>
            <w:tcW w:w="0" w:type="auto"/>
            <w:noWrap/>
            <w:vAlign w:val="center"/>
            <w:hideMark/>
          </w:tcPr>
          <w:p w14:paraId="48E9A57D" w14:textId="77777777" w:rsidR="004F1A2E" w:rsidRPr="00405303" w:rsidRDefault="004F1A2E" w:rsidP="00C15251">
            <w:pPr>
              <w:jc w:val="both"/>
              <w:rPr>
                <w:bCs/>
                <w:color w:val="002060"/>
                <w:sz w:val="16"/>
                <w:szCs w:val="16"/>
              </w:rPr>
            </w:pPr>
            <w:r w:rsidRPr="00405303">
              <w:rPr>
                <w:bCs/>
                <w:color w:val="002060"/>
                <w:sz w:val="16"/>
                <w:szCs w:val="16"/>
              </w:rPr>
              <w:t>858</w:t>
            </w:r>
          </w:p>
        </w:tc>
        <w:tc>
          <w:tcPr>
            <w:tcW w:w="0" w:type="auto"/>
            <w:noWrap/>
            <w:vAlign w:val="center"/>
            <w:hideMark/>
          </w:tcPr>
          <w:p w14:paraId="467E8FC4" w14:textId="77777777" w:rsidR="004F1A2E" w:rsidRPr="00405303" w:rsidRDefault="004F1A2E" w:rsidP="00C15251">
            <w:pPr>
              <w:jc w:val="both"/>
              <w:rPr>
                <w:bCs/>
                <w:color w:val="002060"/>
                <w:sz w:val="16"/>
                <w:szCs w:val="16"/>
              </w:rPr>
            </w:pPr>
            <w:r w:rsidRPr="00405303">
              <w:rPr>
                <w:bCs/>
                <w:color w:val="002060"/>
                <w:sz w:val="16"/>
                <w:szCs w:val="16"/>
              </w:rPr>
              <w:t>—</w:t>
            </w:r>
          </w:p>
        </w:tc>
      </w:tr>
      <w:tr w:rsidR="004F1A2E" w:rsidRPr="00405303" w14:paraId="7778568A" w14:textId="77777777" w:rsidTr="00CC77F9">
        <w:trPr>
          <w:tblCellSpacing w:w="15" w:type="dxa"/>
          <w:jc w:val="center"/>
        </w:trPr>
        <w:tc>
          <w:tcPr>
            <w:tcW w:w="0" w:type="auto"/>
            <w:noWrap/>
            <w:vAlign w:val="center"/>
            <w:hideMark/>
          </w:tcPr>
          <w:p w14:paraId="36F7BD3D" w14:textId="661AF473" w:rsidR="004F1A2E" w:rsidRPr="00405303" w:rsidRDefault="004F1A2E" w:rsidP="00C15251">
            <w:pPr>
              <w:jc w:val="both"/>
              <w:rPr>
                <w:bCs/>
                <w:color w:val="002060"/>
                <w:sz w:val="16"/>
                <w:szCs w:val="16"/>
              </w:rPr>
            </w:pPr>
            <w:proofErr w:type="gramStart"/>
            <w:r w:rsidRPr="00405303">
              <w:rPr>
                <w:bCs/>
                <w:color w:val="002060"/>
                <w:sz w:val="16"/>
                <w:szCs w:val="16"/>
              </w:rPr>
              <w:t>Пермский</w:t>
            </w:r>
            <w:r w:rsidR="000F5756">
              <w:rPr>
                <w:bCs/>
                <w:color w:val="002060"/>
                <w:sz w:val="16"/>
                <w:szCs w:val="16"/>
              </w:rPr>
              <w:t xml:space="preserve">  </w:t>
            </w:r>
            <w:r w:rsidRPr="00405303">
              <w:rPr>
                <w:bCs/>
                <w:color w:val="002060"/>
                <w:sz w:val="16"/>
                <w:szCs w:val="16"/>
              </w:rPr>
              <w:t>»</w:t>
            </w:r>
            <w:proofErr w:type="gramEnd"/>
          </w:p>
        </w:tc>
        <w:tc>
          <w:tcPr>
            <w:tcW w:w="0" w:type="auto"/>
            <w:noWrap/>
            <w:vAlign w:val="center"/>
            <w:hideMark/>
          </w:tcPr>
          <w:p w14:paraId="5923A49A" w14:textId="77777777" w:rsidR="004F1A2E" w:rsidRPr="00405303" w:rsidRDefault="004F1A2E" w:rsidP="00C15251">
            <w:pPr>
              <w:jc w:val="both"/>
              <w:rPr>
                <w:bCs/>
                <w:color w:val="002060"/>
                <w:sz w:val="16"/>
                <w:szCs w:val="16"/>
              </w:rPr>
            </w:pPr>
            <w:r w:rsidRPr="00405303">
              <w:rPr>
                <w:bCs/>
                <w:color w:val="002060"/>
                <w:sz w:val="16"/>
                <w:szCs w:val="16"/>
              </w:rPr>
              <w:t>2150</w:t>
            </w:r>
          </w:p>
        </w:tc>
        <w:tc>
          <w:tcPr>
            <w:tcW w:w="0" w:type="auto"/>
            <w:noWrap/>
            <w:vAlign w:val="center"/>
            <w:hideMark/>
          </w:tcPr>
          <w:p w14:paraId="476E8F32" w14:textId="77777777" w:rsidR="004F1A2E" w:rsidRPr="00405303" w:rsidRDefault="004F1A2E" w:rsidP="00C15251">
            <w:pPr>
              <w:jc w:val="both"/>
              <w:rPr>
                <w:bCs/>
                <w:color w:val="002060"/>
                <w:sz w:val="16"/>
                <w:szCs w:val="16"/>
              </w:rPr>
            </w:pPr>
            <w:r w:rsidRPr="00405303">
              <w:rPr>
                <w:bCs/>
                <w:color w:val="002060"/>
                <w:sz w:val="16"/>
                <w:szCs w:val="16"/>
              </w:rPr>
              <w:t>—</w:t>
            </w:r>
          </w:p>
        </w:tc>
      </w:tr>
      <w:tr w:rsidR="004F1A2E" w:rsidRPr="00405303" w14:paraId="05188058" w14:textId="77777777" w:rsidTr="00CC77F9">
        <w:trPr>
          <w:tblCellSpacing w:w="15" w:type="dxa"/>
          <w:jc w:val="center"/>
        </w:trPr>
        <w:tc>
          <w:tcPr>
            <w:tcW w:w="0" w:type="auto"/>
            <w:noWrap/>
            <w:vAlign w:val="center"/>
            <w:hideMark/>
          </w:tcPr>
          <w:p w14:paraId="5E9CE31E" w14:textId="30B520D5" w:rsidR="004F1A2E" w:rsidRPr="00405303" w:rsidRDefault="004F1A2E" w:rsidP="00C15251">
            <w:pPr>
              <w:jc w:val="both"/>
              <w:rPr>
                <w:bCs/>
                <w:color w:val="002060"/>
                <w:sz w:val="16"/>
                <w:szCs w:val="16"/>
              </w:rPr>
            </w:pPr>
            <w:proofErr w:type="gramStart"/>
            <w:r w:rsidRPr="00405303">
              <w:rPr>
                <w:bCs/>
                <w:color w:val="002060"/>
                <w:sz w:val="16"/>
                <w:szCs w:val="16"/>
              </w:rPr>
              <w:t>Путиловский</w:t>
            </w:r>
            <w:r w:rsidR="000F5756">
              <w:rPr>
                <w:bCs/>
                <w:color w:val="002060"/>
                <w:sz w:val="16"/>
                <w:szCs w:val="16"/>
              </w:rPr>
              <w:t xml:space="preserve">  </w:t>
            </w:r>
            <w:r w:rsidRPr="00405303">
              <w:rPr>
                <w:bCs/>
                <w:color w:val="002060"/>
                <w:sz w:val="16"/>
                <w:szCs w:val="16"/>
              </w:rPr>
              <w:t>»</w:t>
            </w:r>
            <w:proofErr w:type="gramEnd"/>
          </w:p>
        </w:tc>
        <w:tc>
          <w:tcPr>
            <w:tcW w:w="0" w:type="auto"/>
            <w:noWrap/>
            <w:vAlign w:val="center"/>
            <w:hideMark/>
          </w:tcPr>
          <w:p w14:paraId="43C1E0D2" w14:textId="77777777" w:rsidR="004F1A2E" w:rsidRPr="00405303" w:rsidRDefault="004F1A2E" w:rsidP="00C15251">
            <w:pPr>
              <w:jc w:val="both"/>
              <w:rPr>
                <w:bCs/>
                <w:color w:val="002060"/>
                <w:sz w:val="16"/>
                <w:szCs w:val="16"/>
              </w:rPr>
            </w:pPr>
            <w:r w:rsidRPr="00405303">
              <w:rPr>
                <w:bCs/>
                <w:color w:val="002060"/>
                <w:sz w:val="16"/>
                <w:szCs w:val="16"/>
              </w:rPr>
              <w:t>2884</w:t>
            </w:r>
          </w:p>
        </w:tc>
        <w:tc>
          <w:tcPr>
            <w:tcW w:w="0" w:type="auto"/>
            <w:noWrap/>
            <w:vAlign w:val="center"/>
            <w:hideMark/>
          </w:tcPr>
          <w:p w14:paraId="7FDAB9D8" w14:textId="77777777" w:rsidR="004F1A2E" w:rsidRPr="00405303" w:rsidRDefault="004F1A2E" w:rsidP="00C15251">
            <w:pPr>
              <w:jc w:val="both"/>
              <w:rPr>
                <w:bCs/>
                <w:color w:val="002060"/>
                <w:sz w:val="16"/>
                <w:szCs w:val="16"/>
              </w:rPr>
            </w:pPr>
            <w:r w:rsidRPr="00405303">
              <w:rPr>
                <w:bCs/>
                <w:color w:val="002060"/>
                <w:sz w:val="16"/>
                <w:szCs w:val="16"/>
              </w:rPr>
              <w:t>4</w:t>
            </w:r>
          </w:p>
        </w:tc>
      </w:tr>
      <w:tr w:rsidR="004F1A2E" w:rsidRPr="00405303" w14:paraId="6D82551E" w14:textId="77777777" w:rsidTr="00CC77F9">
        <w:trPr>
          <w:tblCellSpacing w:w="15" w:type="dxa"/>
          <w:jc w:val="center"/>
        </w:trPr>
        <w:tc>
          <w:tcPr>
            <w:tcW w:w="0" w:type="auto"/>
            <w:noWrap/>
            <w:vAlign w:val="center"/>
            <w:hideMark/>
          </w:tcPr>
          <w:p w14:paraId="1800609A" w14:textId="77777777" w:rsidR="004F1A2E" w:rsidRPr="00405303" w:rsidRDefault="004F1A2E" w:rsidP="00C15251">
            <w:pPr>
              <w:jc w:val="both"/>
              <w:rPr>
                <w:bCs/>
                <w:color w:val="002060"/>
                <w:sz w:val="16"/>
                <w:szCs w:val="16"/>
              </w:rPr>
            </w:pPr>
            <w:r w:rsidRPr="00405303">
              <w:rPr>
                <w:bCs/>
                <w:color w:val="002060"/>
                <w:sz w:val="16"/>
                <w:szCs w:val="16"/>
              </w:rPr>
              <w:t>Петроградский орудийный завод</w:t>
            </w:r>
          </w:p>
        </w:tc>
        <w:tc>
          <w:tcPr>
            <w:tcW w:w="0" w:type="auto"/>
            <w:noWrap/>
            <w:vAlign w:val="center"/>
            <w:hideMark/>
          </w:tcPr>
          <w:p w14:paraId="6186A300" w14:textId="77777777" w:rsidR="004F1A2E" w:rsidRPr="00405303" w:rsidRDefault="004F1A2E" w:rsidP="00C15251">
            <w:pPr>
              <w:jc w:val="both"/>
              <w:rPr>
                <w:bCs/>
                <w:color w:val="002060"/>
                <w:sz w:val="16"/>
                <w:szCs w:val="16"/>
              </w:rPr>
            </w:pPr>
            <w:r w:rsidRPr="00405303">
              <w:rPr>
                <w:bCs/>
                <w:color w:val="002060"/>
                <w:sz w:val="16"/>
                <w:szCs w:val="16"/>
              </w:rPr>
              <w:t>255</w:t>
            </w:r>
          </w:p>
        </w:tc>
        <w:tc>
          <w:tcPr>
            <w:tcW w:w="0" w:type="auto"/>
            <w:noWrap/>
            <w:vAlign w:val="center"/>
            <w:hideMark/>
          </w:tcPr>
          <w:p w14:paraId="0528138A" w14:textId="77777777" w:rsidR="004F1A2E" w:rsidRPr="00405303" w:rsidRDefault="004F1A2E" w:rsidP="00C15251">
            <w:pPr>
              <w:jc w:val="both"/>
              <w:rPr>
                <w:bCs/>
                <w:color w:val="002060"/>
                <w:sz w:val="16"/>
                <w:szCs w:val="16"/>
              </w:rPr>
            </w:pPr>
            <w:r w:rsidRPr="00405303">
              <w:rPr>
                <w:bCs/>
                <w:color w:val="002060"/>
                <w:sz w:val="16"/>
                <w:szCs w:val="16"/>
              </w:rPr>
              <w:t>84</w:t>
            </w:r>
          </w:p>
        </w:tc>
      </w:tr>
      <w:tr w:rsidR="004F1A2E" w:rsidRPr="00405303" w14:paraId="359B4292" w14:textId="77777777" w:rsidTr="00CC77F9">
        <w:trPr>
          <w:tblCellSpacing w:w="15" w:type="dxa"/>
          <w:jc w:val="center"/>
        </w:trPr>
        <w:tc>
          <w:tcPr>
            <w:tcW w:w="0" w:type="auto"/>
            <w:noWrap/>
            <w:vAlign w:val="center"/>
            <w:hideMark/>
          </w:tcPr>
          <w:p w14:paraId="3C0864BF" w14:textId="261D6070" w:rsidR="004F1A2E" w:rsidRPr="00405303" w:rsidRDefault="004F1A2E" w:rsidP="00C15251">
            <w:pPr>
              <w:jc w:val="both"/>
              <w:rPr>
                <w:bCs/>
                <w:color w:val="002060"/>
                <w:sz w:val="16"/>
                <w:szCs w:val="16"/>
              </w:rPr>
            </w:pPr>
            <w:r w:rsidRPr="00405303">
              <w:rPr>
                <w:bCs/>
                <w:color w:val="002060"/>
                <w:sz w:val="16"/>
                <w:szCs w:val="16"/>
              </w:rPr>
              <w:t>Царицынский</w:t>
            </w:r>
            <w:r w:rsidR="000F5756">
              <w:rPr>
                <w:bCs/>
                <w:color w:val="002060"/>
                <w:sz w:val="16"/>
                <w:szCs w:val="16"/>
              </w:rPr>
              <w:t xml:space="preserve">  </w:t>
            </w:r>
            <w:proofErr w:type="gramStart"/>
            <w:r w:rsidR="000F5756">
              <w:rPr>
                <w:bCs/>
                <w:color w:val="002060"/>
                <w:sz w:val="16"/>
                <w:szCs w:val="16"/>
              </w:rPr>
              <w:t xml:space="preserve">  </w:t>
            </w:r>
            <w:r w:rsidRPr="00405303">
              <w:rPr>
                <w:bCs/>
                <w:color w:val="002060"/>
                <w:sz w:val="16"/>
                <w:szCs w:val="16"/>
              </w:rPr>
              <w:t>»</w:t>
            </w:r>
            <w:proofErr w:type="gramEnd"/>
            <w:r w:rsidR="000F5756">
              <w:rPr>
                <w:bCs/>
                <w:color w:val="002060"/>
                <w:sz w:val="16"/>
                <w:szCs w:val="16"/>
              </w:rPr>
              <w:t xml:space="preserve">    </w:t>
            </w:r>
            <w:proofErr w:type="gramStart"/>
            <w:r w:rsidR="000F5756">
              <w:rPr>
                <w:bCs/>
                <w:color w:val="002060"/>
                <w:sz w:val="16"/>
                <w:szCs w:val="16"/>
              </w:rPr>
              <w:t xml:space="preserve">  </w:t>
            </w:r>
            <w:r w:rsidRPr="00405303">
              <w:rPr>
                <w:bCs/>
                <w:color w:val="002060"/>
                <w:sz w:val="16"/>
                <w:szCs w:val="16"/>
              </w:rPr>
              <w:t>»</w:t>
            </w:r>
            <w:proofErr w:type="gramEnd"/>
          </w:p>
        </w:tc>
        <w:tc>
          <w:tcPr>
            <w:tcW w:w="0" w:type="auto"/>
            <w:noWrap/>
            <w:vAlign w:val="center"/>
            <w:hideMark/>
          </w:tcPr>
          <w:p w14:paraId="290DCF2D" w14:textId="77777777" w:rsidR="004F1A2E" w:rsidRPr="00405303" w:rsidRDefault="004F1A2E" w:rsidP="00C15251">
            <w:pPr>
              <w:jc w:val="both"/>
              <w:rPr>
                <w:bCs/>
                <w:color w:val="002060"/>
                <w:sz w:val="16"/>
                <w:szCs w:val="16"/>
              </w:rPr>
            </w:pPr>
            <w:r w:rsidRPr="00405303">
              <w:rPr>
                <w:bCs/>
                <w:color w:val="002060"/>
                <w:sz w:val="16"/>
                <w:szCs w:val="16"/>
              </w:rPr>
              <w:t>2500</w:t>
            </w:r>
          </w:p>
        </w:tc>
        <w:tc>
          <w:tcPr>
            <w:tcW w:w="0" w:type="auto"/>
            <w:noWrap/>
            <w:vAlign w:val="center"/>
            <w:hideMark/>
          </w:tcPr>
          <w:p w14:paraId="11D1B862" w14:textId="77777777" w:rsidR="004F1A2E" w:rsidRPr="00405303" w:rsidRDefault="004F1A2E" w:rsidP="00C15251">
            <w:pPr>
              <w:jc w:val="both"/>
              <w:rPr>
                <w:bCs/>
                <w:color w:val="002060"/>
                <w:sz w:val="16"/>
                <w:szCs w:val="16"/>
              </w:rPr>
            </w:pPr>
            <w:r w:rsidRPr="00405303">
              <w:rPr>
                <w:bCs/>
                <w:color w:val="002060"/>
                <w:sz w:val="16"/>
                <w:szCs w:val="16"/>
              </w:rPr>
              <w:t>—</w:t>
            </w:r>
          </w:p>
        </w:tc>
      </w:tr>
      <w:tr w:rsidR="004F1A2E" w:rsidRPr="00405303" w14:paraId="12C110A5" w14:textId="77777777" w:rsidTr="00CC77F9">
        <w:trPr>
          <w:tblCellSpacing w:w="15" w:type="dxa"/>
          <w:jc w:val="center"/>
        </w:trPr>
        <w:tc>
          <w:tcPr>
            <w:tcW w:w="0" w:type="auto"/>
            <w:gridSpan w:val="3"/>
            <w:noWrap/>
            <w:vAlign w:val="center"/>
            <w:hideMark/>
          </w:tcPr>
          <w:p w14:paraId="2055B302" w14:textId="77777777" w:rsidR="004F1A2E" w:rsidRPr="00405303" w:rsidRDefault="00000000" w:rsidP="00C15251">
            <w:pPr>
              <w:jc w:val="both"/>
              <w:rPr>
                <w:bCs/>
                <w:color w:val="002060"/>
                <w:sz w:val="16"/>
                <w:szCs w:val="16"/>
              </w:rPr>
            </w:pPr>
            <w:r>
              <w:rPr>
                <w:bCs/>
                <w:color w:val="002060"/>
                <w:sz w:val="16"/>
                <w:szCs w:val="16"/>
              </w:rPr>
              <w:pict w14:anchorId="7D2E37A0">
                <v:rect id="_x0000_i1029" style="width:0;height:1.5pt" o:hralign="center" o:hrstd="t" o:hr="t" fillcolor="#d4d4d4" stroked="f"/>
              </w:pict>
            </w:r>
          </w:p>
        </w:tc>
      </w:tr>
    </w:tbl>
    <w:p w14:paraId="13A85745" w14:textId="77777777" w:rsidR="004F1A2E" w:rsidRPr="00405303" w:rsidRDefault="004F1A2E" w:rsidP="00C15251">
      <w:pPr>
        <w:pStyle w:val="ae"/>
        <w:spacing w:before="0" w:beforeAutospacing="0" w:after="0" w:afterAutospacing="0"/>
        <w:jc w:val="both"/>
        <w:rPr>
          <w:bCs/>
          <w:color w:val="002060"/>
          <w:sz w:val="16"/>
          <w:szCs w:val="16"/>
        </w:rPr>
      </w:pPr>
      <w:r w:rsidRPr="00405303">
        <w:rPr>
          <w:bCs/>
          <w:color w:val="002060"/>
          <w:sz w:val="16"/>
          <w:szCs w:val="16"/>
        </w:rPr>
        <w:lastRenderedPageBreak/>
        <w:t>Эти данные показывают огромную загрузку пушечных предприятий уже в первый год войны новыми заказами, а также очень незначительный выпуск продукции по этим заказам.</w:t>
      </w:r>
    </w:p>
    <w:p w14:paraId="3C28B6ED" w14:textId="77777777" w:rsidR="004F1A2E" w:rsidRPr="00405303" w:rsidRDefault="004F1A2E" w:rsidP="00C15251">
      <w:pPr>
        <w:pStyle w:val="ae"/>
        <w:spacing w:before="0" w:beforeAutospacing="0" w:after="0" w:afterAutospacing="0"/>
        <w:jc w:val="both"/>
        <w:rPr>
          <w:bCs/>
          <w:color w:val="002060"/>
          <w:sz w:val="16"/>
          <w:szCs w:val="16"/>
        </w:rPr>
      </w:pPr>
      <w:r w:rsidRPr="00405303">
        <w:rPr>
          <w:bCs/>
          <w:color w:val="002060"/>
          <w:sz w:val="16"/>
          <w:szCs w:val="16"/>
        </w:rPr>
        <w:t>Оптимистические расчеты Кузьмина-Караваева на выпуск почти 1900 новых орудий видимо провалились. Правда, по ведомости ГАУ значится 1916 поставленных орудий, но среди них имеются и орудия, сделанные еще до войны. Видимо, артиллерийские заводы, получая заказы не только на легкую, но и на тяжелую полевую артиллерию, в первый год войны медленно перестраивались и потому дали незначительную продукцию (18524).</w:t>
      </w:r>
    </w:p>
    <w:p w14:paraId="00FE792B" w14:textId="77777777" w:rsidR="004F1A2E" w:rsidRPr="00405303" w:rsidRDefault="004F1A2E" w:rsidP="00C15251">
      <w:pPr>
        <w:pStyle w:val="ae"/>
        <w:spacing w:before="0" w:beforeAutospacing="0" w:after="0" w:afterAutospacing="0"/>
        <w:jc w:val="both"/>
        <w:rPr>
          <w:bCs/>
          <w:color w:val="002060"/>
          <w:sz w:val="16"/>
          <w:szCs w:val="16"/>
        </w:rPr>
      </w:pPr>
    </w:p>
    <w:p w14:paraId="3D7B1CA5" w14:textId="2AA54E64" w:rsidR="004F1A2E" w:rsidRPr="00405303" w:rsidRDefault="004F1A2E" w:rsidP="00C15251">
      <w:pPr>
        <w:pStyle w:val="ae"/>
        <w:spacing w:before="0" w:beforeAutospacing="0" w:after="0" w:afterAutospacing="0"/>
        <w:jc w:val="both"/>
        <w:rPr>
          <w:bCs/>
          <w:color w:val="002060"/>
          <w:sz w:val="16"/>
          <w:szCs w:val="16"/>
        </w:rPr>
      </w:pPr>
      <w:r w:rsidRPr="00405303">
        <w:rPr>
          <w:bCs/>
          <w:color w:val="002060"/>
          <w:sz w:val="16"/>
          <w:szCs w:val="16"/>
        </w:rPr>
        <w:t>Осенью 1915 г. подготовительная комиссия по артиллерийским вопросам</w:t>
      </w:r>
      <w:r w:rsidR="000F5756">
        <w:rPr>
          <w:bCs/>
          <w:color w:val="002060"/>
          <w:sz w:val="16"/>
          <w:szCs w:val="16"/>
        </w:rPr>
        <w:t xml:space="preserve"> </w:t>
      </w:r>
      <w:r w:rsidRPr="00405303">
        <w:rPr>
          <w:bCs/>
          <w:color w:val="002060"/>
          <w:sz w:val="16"/>
          <w:szCs w:val="16"/>
        </w:rPr>
        <w:t>Особого совещания по обороне отмечала, что постройка двух пороховых заводов - частного (акционерное общество механических, гильзовых и трубочных заводов П.В. Барановского), сооружавшегося в</w:t>
      </w:r>
      <w:r w:rsidR="000F5756">
        <w:rPr>
          <w:bCs/>
          <w:color w:val="002060"/>
          <w:sz w:val="16"/>
          <w:szCs w:val="16"/>
        </w:rPr>
        <w:t xml:space="preserve"> </w:t>
      </w:r>
      <w:r w:rsidRPr="00405303">
        <w:rPr>
          <w:bCs/>
          <w:color w:val="002060"/>
          <w:sz w:val="16"/>
          <w:szCs w:val="16"/>
        </w:rPr>
        <w:t>Коврове Владимирской губернии и 4-ого казенного (Тамбовского) находится в крайне неудовлетворительном положении. Несколько улучшилось дело к весне 1916 г. с постройкой завода общества</w:t>
      </w:r>
      <w:r w:rsidR="000F5756">
        <w:rPr>
          <w:bCs/>
          <w:color w:val="002060"/>
          <w:sz w:val="16"/>
          <w:szCs w:val="16"/>
        </w:rPr>
        <w:t xml:space="preserve"> </w:t>
      </w:r>
      <w:r w:rsidRPr="00405303">
        <w:rPr>
          <w:bCs/>
          <w:color w:val="002060"/>
          <w:sz w:val="16"/>
          <w:szCs w:val="16"/>
        </w:rPr>
        <w:t>Барановского, который уже с июня должен был начать производство пороха путем переработки заграничного пироксилина, а с августа осуществлять производство на собственном сырье. Весной постройки пироксилинового отдела были уже большей частью закончены и, по мере доставки механизмов и аппаратов, оборудовались. Производство пороха из готового пироксилина на казенном Тамбовском заводе должно было начаться в мае 1916 г. Однако срок отодвигался до июля в связи с опозданием в доставке оборудования, как заграничного, так и с русских заводов. Полное окончание строительства и пуск завода был перенесен на 1918 г.</w:t>
      </w:r>
      <w:r w:rsidR="00DB4D64" w:rsidRPr="00405303">
        <w:rPr>
          <w:bCs/>
          <w:color w:val="002060"/>
          <w:sz w:val="16"/>
          <w:szCs w:val="16"/>
        </w:rPr>
        <w:t xml:space="preserve"> </w:t>
      </w:r>
      <w:r w:rsidRPr="00405303">
        <w:rPr>
          <w:bCs/>
          <w:color w:val="002060"/>
          <w:sz w:val="16"/>
          <w:szCs w:val="16"/>
        </w:rPr>
        <w:t>Такая ситуация со строительством пороховых заводов приводила к тому, что около 62 % потребности русской армии в порохе удовлетворялись за счет экспорта (18369).</w:t>
      </w:r>
    </w:p>
    <w:p w14:paraId="3706BE5C" w14:textId="77777777" w:rsidR="004F1A2E" w:rsidRPr="00405303" w:rsidRDefault="004F1A2E" w:rsidP="00C15251">
      <w:pPr>
        <w:pStyle w:val="ae"/>
        <w:spacing w:before="0" w:beforeAutospacing="0" w:after="0" w:afterAutospacing="0"/>
        <w:jc w:val="both"/>
        <w:rPr>
          <w:bCs/>
          <w:color w:val="002060"/>
          <w:sz w:val="16"/>
          <w:szCs w:val="16"/>
        </w:rPr>
      </w:pPr>
    </w:p>
    <w:p w14:paraId="18C19B41" w14:textId="77777777" w:rsidR="004F1A2E" w:rsidRPr="00405303" w:rsidRDefault="004F1A2E" w:rsidP="00C15251">
      <w:pPr>
        <w:pStyle w:val="p1"/>
        <w:spacing w:before="0" w:beforeAutospacing="0" w:after="0" w:afterAutospacing="0"/>
        <w:jc w:val="both"/>
        <w:rPr>
          <w:bCs/>
          <w:color w:val="002060"/>
          <w:sz w:val="16"/>
          <w:szCs w:val="16"/>
        </w:rPr>
      </w:pPr>
      <w:r w:rsidRPr="00405303">
        <w:rPr>
          <w:bCs/>
          <w:color w:val="002060"/>
          <w:sz w:val="16"/>
          <w:szCs w:val="16"/>
        </w:rPr>
        <w:t>Осенью 1915 г. решение о создании нового орудийного завода в Саратове еще не приняло окончательного вида. Не было единого мнения даже относительно его связи с проектируемым сталелитейным заводом ГАУ.</w:t>
      </w:r>
    </w:p>
    <w:p w14:paraId="566DB932" w14:textId="77777777" w:rsidR="004F1A2E" w:rsidRPr="00405303" w:rsidRDefault="004F1A2E" w:rsidP="00C15251">
      <w:pPr>
        <w:pStyle w:val="p1"/>
        <w:spacing w:before="0" w:beforeAutospacing="0" w:after="0" w:afterAutospacing="0"/>
        <w:jc w:val="both"/>
        <w:rPr>
          <w:bCs/>
          <w:color w:val="002060"/>
          <w:sz w:val="16"/>
          <w:szCs w:val="16"/>
        </w:rPr>
      </w:pPr>
      <w:r w:rsidRPr="00405303">
        <w:rPr>
          <w:bCs/>
          <w:color w:val="002060"/>
          <w:sz w:val="16"/>
          <w:szCs w:val="16"/>
        </w:rPr>
        <w:t>Павловский выступал за их раздельное существование. В январе — феврале 1916 г., когда решалась судьба Царицынского и Путиловского заводов, запутавшихся в своих обязательствах по военным заказам, рассматривалась — как один из способов разрубить узел — возможность выкупа этих заводов в казну с передачей в ведение ГАУ. Павловский составил «Записку о целесообразности постройки в Саратове орудийного завода с чисто механическим оборудованием, без сталелитейного производства». По его мнению, не обязательно было строить для ГАУ предприятие в Саратове: Петроградский орудийный завод можно было бы — после войны — присоединить к одному из существующих: «Пермскому, Обуховскому и даже к Путиловскому или Царицынскому, если они поступят в казну». Но такое присоединение ПОЗ «погубило бы его выработанные рядом лет ценные качества и традиции». Благодаря этим традициям завод «свободно установил производство скорострельных орудий нескольких калибров с прицельными приспособлениями, которыми снабжал Обуховский и Пермский заводы», а также «производство очень тонких по точности и тщательности отделки приборов — угломеров, изготовляет телефонное имущество… очень сложные управляемые прожектора».</w:t>
      </w:r>
    </w:p>
    <w:p w14:paraId="4A668FED" w14:textId="77777777" w:rsidR="004F1A2E" w:rsidRPr="00405303" w:rsidRDefault="004F1A2E" w:rsidP="00C15251">
      <w:pPr>
        <w:pStyle w:val="p1"/>
        <w:spacing w:before="0" w:beforeAutospacing="0" w:after="0" w:afterAutospacing="0"/>
        <w:jc w:val="both"/>
        <w:rPr>
          <w:bCs/>
          <w:color w:val="002060"/>
          <w:sz w:val="16"/>
          <w:szCs w:val="16"/>
        </w:rPr>
      </w:pPr>
      <w:r w:rsidRPr="00405303">
        <w:rPr>
          <w:bCs/>
          <w:color w:val="002060"/>
          <w:sz w:val="16"/>
          <w:szCs w:val="16"/>
        </w:rPr>
        <w:t>Доводом служил также «недостаток в первоклассных мастерах», свойственный и Царицыну, и Перми, и даже Сормову: «Сормовский огромный завод в центре заводского населения… в последние два года установивший даже орудийное дело», все же не взялся за изготовление более точных частей орудий — затворов и прицелов — и уступил эту часть работы петроградским заводам. Механическая отделка скорострельных пушек «много зависит от искусства мастеровых… такие мастеровые стремятся в столицы и большие города». Не хватало первоклассных токарей, инструментальщиков, лекальщиков и других специалистов.</w:t>
      </w:r>
    </w:p>
    <w:p w14:paraId="5BAC4BFD" w14:textId="77777777" w:rsidR="004F1A2E" w:rsidRPr="00405303" w:rsidRDefault="004F1A2E" w:rsidP="00C15251">
      <w:pPr>
        <w:pStyle w:val="p1"/>
        <w:spacing w:before="0" w:beforeAutospacing="0" w:after="0" w:afterAutospacing="0"/>
        <w:jc w:val="both"/>
        <w:rPr>
          <w:bCs/>
          <w:color w:val="002060"/>
          <w:sz w:val="16"/>
          <w:szCs w:val="16"/>
        </w:rPr>
      </w:pPr>
      <w:r w:rsidRPr="00405303">
        <w:rPr>
          <w:bCs/>
          <w:color w:val="002060"/>
          <w:sz w:val="16"/>
          <w:szCs w:val="16"/>
        </w:rPr>
        <w:t>В качестве довода против объединения он привел примеры из опыта Франции: в 1898 г. (командировка Павловского во Францию) «там казенные заводы не имели в своем составе металлургических цехов, получая стальные болванки и поковки из заводов, расположенных в районах, изобилующих рудой, углем; даже огромный завод в Крезо имеет в Гавре большой орудийный завод чисто механический». Был и собственный отрицательный пример: сталелитейное производство на Пермском заводе поставлено высоко, писал Павловский, а вот механическая отделка пушек там, как и в Сормове, из-за нехватки специалистов имеет «недостатки, хотя, может быть, и несущественные».</w:t>
      </w:r>
    </w:p>
    <w:p w14:paraId="7BEC2164" w14:textId="77777777" w:rsidR="004F1A2E" w:rsidRPr="00405303" w:rsidRDefault="004F1A2E" w:rsidP="00C15251">
      <w:pPr>
        <w:pStyle w:val="p1"/>
        <w:spacing w:before="0" w:beforeAutospacing="0" w:after="0" w:afterAutospacing="0"/>
        <w:jc w:val="both"/>
        <w:rPr>
          <w:bCs/>
          <w:color w:val="002060"/>
          <w:sz w:val="16"/>
          <w:szCs w:val="16"/>
        </w:rPr>
      </w:pPr>
      <w:r w:rsidRPr="00405303">
        <w:rPr>
          <w:bCs/>
          <w:color w:val="002060"/>
          <w:sz w:val="16"/>
          <w:szCs w:val="16"/>
        </w:rPr>
        <w:t xml:space="preserve">Противопоставляя этой неправильной, на его взгляд, организации производства — выгодное (с точки зрения наличия первоклассных специалистов-рабочих) положение петроградских заводов, Павловский высказывался за создание в Саратове специального завода: «Правильное решение поставленного вопроса — строить в Саратове орудийный завод… с чисто механическим </w:t>
      </w:r>
      <w:proofErr w:type="gramStart"/>
      <w:r w:rsidRPr="00405303">
        <w:rPr>
          <w:bCs/>
          <w:color w:val="002060"/>
          <w:sz w:val="16"/>
          <w:szCs w:val="16"/>
        </w:rPr>
        <w:t>оборудованием»</w:t>
      </w:r>
      <w:r w:rsidRPr="00405303">
        <w:rPr>
          <w:bCs/>
          <w:color w:val="002060"/>
          <w:sz w:val="16"/>
          <w:szCs w:val="16"/>
          <w:vertAlign w:val="superscript"/>
        </w:rPr>
        <w:t>{384}</w:t>
      </w:r>
      <w:r w:rsidRPr="00405303">
        <w:rPr>
          <w:bCs/>
          <w:color w:val="002060"/>
          <w:sz w:val="16"/>
          <w:szCs w:val="16"/>
        </w:rPr>
        <w:t>(</w:t>
      </w:r>
      <w:proofErr w:type="gramEnd"/>
      <w:r w:rsidRPr="00405303">
        <w:rPr>
          <w:bCs/>
          <w:color w:val="002060"/>
          <w:sz w:val="16"/>
          <w:szCs w:val="16"/>
        </w:rPr>
        <w:t>18366).</w:t>
      </w:r>
    </w:p>
    <w:p w14:paraId="2CC9FC87" w14:textId="77777777" w:rsidR="004F1A2E" w:rsidRPr="00405303" w:rsidRDefault="004F1A2E" w:rsidP="00C15251">
      <w:pPr>
        <w:pStyle w:val="p1"/>
        <w:spacing w:before="0" w:beforeAutospacing="0" w:after="0" w:afterAutospacing="0"/>
        <w:jc w:val="both"/>
        <w:rPr>
          <w:bCs/>
          <w:color w:val="002060"/>
          <w:sz w:val="16"/>
          <w:szCs w:val="16"/>
        </w:rPr>
      </w:pPr>
    </w:p>
    <w:p w14:paraId="5BE9A2FB" w14:textId="4E20819F" w:rsidR="004F1A2E" w:rsidRPr="00405303" w:rsidRDefault="004F1A2E" w:rsidP="00C15251">
      <w:pPr>
        <w:pStyle w:val="ae"/>
        <w:spacing w:before="0" w:beforeAutospacing="0" w:after="0" w:afterAutospacing="0"/>
        <w:jc w:val="both"/>
        <w:rPr>
          <w:bCs/>
          <w:color w:val="002060"/>
          <w:sz w:val="16"/>
          <w:szCs w:val="16"/>
        </w:rPr>
      </w:pPr>
      <w:r w:rsidRPr="00405303">
        <w:rPr>
          <w:bCs/>
          <w:color w:val="002060"/>
          <w:sz w:val="16"/>
          <w:szCs w:val="16"/>
        </w:rPr>
        <w:t>Осенью 1915 г. производство серной кислоты в связи с сокращением ввоза колчедана и оккупацией Польши и прибалтийских губерний, упало до 700 тыс. пуд. против 1,25 млн. пудов в довоенный период. Для исправления положения</w:t>
      </w:r>
      <w:r w:rsidR="000F5756">
        <w:rPr>
          <w:bCs/>
          <w:color w:val="002060"/>
          <w:sz w:val="16"/>
          <w:szCs w:val="16"/>
        </w:rPr>
        <w:t xml:space="preserve"> </w:t>
      </w:r>
      <w:r w:rsidRPr="00405303">
        <w:rPr>
          <w:bCs/>
          <w:color w:val="002060"/>
          <w:sz w:val="16"/>
          <w:szCs w:val="16"/>
        </w:rPr>
        <w:t>приступили к постройке 20 новых сернокислотных заводов. Всего к маю 1917 г. в России было сооружено 32 предприятия этого профиля, что дало увеличение выработки серной кислоты до 1864,7 тыс. пуд. в месяц. Производство азотной кислоты в годы войны резко снизилось в связи с трудностями в доставке чилийской селитры. Химическим комитетом был разработан новый способ получения азотной кислоты из аммиака и на его основе был сооружен опытный завод в Макеевке (18369).</w:t>
      </w:r>
    </w:p>
    <w:p w14:paraId="2D1E4C27" w14:textId="77777777" w:rsidR="004F1A2E" w:rsidRPr="00405303" w:rsidRDefault="004F1A2E" w:rsidP="00C15251">
      <w:pPr>
        <w:pStyle w:val="ae"/>
        <w:spacing w:before="0" w:beforeAutospacing="0" w:after="0" w:afterAutospacing="0"/>
        <w:jc w:val="both"/>
        <w:rPr>
          <w:bCs/>
          <w:color w:val="002060"/>
          <w:sz w:val="16"/>
          <w:szCs w:val="16"/>
        </w:rPr>
      </w:pPr>
    </w:p>
    <w:p w14:paraId="7E5C4D41" w14:textId="77777777" w:rsidR="004F1A2E" w:rsidRPr="00405303" w:rsidRDefault="004F1A2E" w:rsidP="00C15251">
      <w:pPr>
        <w:jc w:val="both"/>
        <w:rPr>
          <w:bCs/>
          <w:color w:val="002060"/>
          <w:sz w:val="16"/>
          <w:szCs w:val="16"/>
        </w:rPr>
      </w:pPr>
      <w:r w:rsidRPr="00405303">
        <w:rPr>
          <w:bCs/>
          <w:color w:val="002060"/>
          <w:sz w:val="16"/>
          <w:szCs w:val="16"/>
        </w:rPr>
        <w:t>Осенью 1915 г., когда увеличился объём работы предприятий, выполнявших военные заказы, в стране разразился острый топливный кризис. В особенно тяжёлом положении очутился отдалённый от Донбасса Петроградский район. Запасы угля, накопленные здесь в предвоенное время, исчерпались, и даже два таких крупнейших предприятия столицы, как Путиловский и Обуховский заводы, из-за отсутствия угля работали с перебоями.</w:t>
      </w:r>
    </w:p>
    <w:p w14:paraId="360CB5B1" w14:textId="77777777" w:rsidR="004F1A2E" w:rsidRPr="00405303" w:rsidRDefault="004F1A2E" w:rsidP="00C15251">
      <w:pPr>
        <w:jc w:val="both"/>
        <w:rPr>
          <w:bCs/>
          <w:color w:val="002060"/>
          <w:sz w:val="16"/>
          <w:szCs w:val="16"/>
        </w:rPr>
      </w:pPr>
      <w:r w:rsidRPr="00405303">
        <w:rPr>
          <w:bCs/>
          <w:color w:val="002060"/>
          <w:sz w:val="16"/>
          <w:szCs w:val="16"/>
        </w:rPr>
        <w:t>Не ставя перед собой задачу повысить добычу местного топлива и увеличить производительность каменноугольных бассейнов Урала и Восточной Сибири, царское правительство, чтобы смягчить топливный кризис, осенью 1915 г. пошло на самые крайние меры: было резко сокращено пассажирское движение, к наиболее важным промышленным пунктам было установлено движение маршрутных поездов, груженных углем, были изданы специальные правила очерёдности перевозки грузов и т. п. Но все эти мероприятия только на время смягчили топливный кризис; к концу 1916 г. он разразился с новой силой. В октябре 1916 г. железные дороги сумели вывезти из Донбасса только 60% занаряженного угля (18381).</w:t>
      </w:r>
    </w:p>
    <w:p w14:paraId="20A3238A" w14:textId="77777777" w:rsidR="004F1A2E" w:rsidRPr="00405303" w:rsidRDefault="004F1A2E" w:rsidP="00C15251">
      <w:pPr>
        <w:jc w:val="both"/>
        <w:rPr>
          <w:bCs/>
          <w:color w:val="002060"/>
          <w:sz w:val="16"/>
          <w:szCs w:val="16"/>
        </w:rPr>
      </w:pPr>
    </w:p>
    <w:p w14:paraId="557707C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Осенью 1915 г. в особом совещании по обороне возник вопрос об эвакуации за Волгу существовавшего завода взрывчатых веществ, находящегося возле Петрограда. С этой целью решено было выстроить еще один завод взрывчатых веществ для перенесения в него оборудования из существовавшего завода. В 1916 г. был разработан подробный проект этого нового завода для изготовления тротила, тетрила и капсюлей и для снаряжения снарядов, взрывателей и капсюлей. Постройка завода должна была начаться с весны 1917 г. </w:t>
      </w:r>
    </w:p>
    <w:p w14:paraId="5272C4E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2. При организации операции извлечения толуола из бензинов грозненских и майкопских нефтяных месторождений встретились затруднения в том, что нефтепромышленники, совершенно не обладая знакомством с нитрационными процессами, опасались брать на себя поставку нитротолуола. Поэтому комиссией по заготовке взрывчатых веществ при ГАУ, по соглашению с нефтепромышленниками, решено было устроить на нефтеперегонных заводах две нитрационные мастерские для извлечения толуола из нефтяных дестиллятов и установить при этих же мастерских производство азотной кислоты, необходимой для нитрации (11483).</w:t>
      </w:r>
    </w:p>
    <w:p w14:paraId="17F87057" w14:textId="77777777" w:rsidR="004B4E35" w:rsidRPr="00405303" w:rsidRDefault="004B4E35" w:rsidP="00C15251">
      <w:pPr>
        <w:pStyle w:val="a3"/>
        <w:jc w:val="both"/>
        <w:rPr>
          <w:bCs/>
          <w:i w:val="0"/>
          <w:color w:val="002060"/>
          <w:spacing w:val="0"/>
          <w:kern w:val="0"/>
          <w:position w:val="0"/>
          <w:sz w:val="16"/>
          <w:szCs w:val="16"/>
        </w:rPr>
      </w:pPr>
    </w:p>
    <w:p w14:paraId="43FFF342" w14:textId="66210753" w:rsidR="004B4E35" w:rsidRPr="00405303" w:rsidRDefault="00B20A34" w:rsidP="00C15251">
      <w:pPr>
        <w:jc w:val="both"/>
        <w:rPr>
          <w:bCs/>
          <w:color w:val="002060"/>
          <w:sz w:val="16"/>
          <w:szCs w:val="16"/>
        </w:rPr>
      </w:pPr>
      <w:r w:rsidRPr="00405303">
        <w:rPr>
          <w:bCs/>
          <w:color w:val="002060"/>
          <w:sz w:val="16"/>
          <w:szCs w:val="16"/>
        </w:rPr>
        <w:t>Н</w:t>
      </w:r>
      <w:r w:rsidR="009E6F82" w:rsidRPr="00405303">
        <w:rPr>
          <w:bCs/>
          <w:color w:val="002060"/>
          <w:sz w:val="16"/>
          <w:szCs w:val="16"/>
        </w:rPr>
        <w:t xml:space="preserve">ачиная с осени 1915 г. наступает улучшение </w:t>
      </w:r>
      <w:r w:rsidRPr="00405303">
        <w:rPr>
          <w:bCs/>
          <w:color w:val="002060"/>
          <w:sz w:val="16"/>
          <w:szCs w:val="16"/>
        </w:rPr>
        <w:t xml:space="preserve">боевого снабжения </w:t>
      </w:r>
      <w:r w:rsidR="009E6F82" w:rsidRPr="00405303">
        <w:rPr>
          <w:bCs/>
          <w:color w:val="002060"/>
          <w:sz w:val="16"/>
          <w:szCs w:val="16"/>
        </w:rPr>
        <w:t xml:space="preserve">и к 1916 г. Русская армия не только выходит из агонии, но даже в состоянии одержать большую победу в Галиции. </w:t>
      </w:r>
    </w:p>
    <w:p w14:paraId="4D23F1DC" w14:textId="77777777" w:rsidR="004B4E35" w:rsidRPr="00405303" w:rsidRDefault="009E6F82" w:rsidP="00C15251">
      <w:pPr>
        <w:jc w:val="both"/>
        <w:rPr>
          <w:bCs/>
          <w:color w:val="002060"/>
          <w:sz w:val="16"/>
          <w:szCs w:val="16"/>
        </w:rPr>
      </w:pPr>
      <w:r w:rsidRPr="00405303">
        <w:rPr>
          <w:bCs/>
          <w:color w:val="002060"/>
          <w:sz w:val="16"/>
          <w:szCs w:val="16"/>
        </w:rPr>
        <w:t xml:space="preserve">Особое совещание по обороне расширило возможность для общественных сил страны принять активное участие в деле снабжения армии. Уже это одно имело громадное значение, ибо самая мобилизация промышленности началась у нас по общественному почину. </w:t>
      </w:r>
    </w:p>
    <w:p w14:paraId="77025850" w14:textId="77777777" w:rsidR="004B4E35" w:rsidRPr="00405303" w:rsidRDefault="009E6F82" w:rsidP="00C15251">
      <w:pPr>
        <w:jc w:val="both"/>
        <w:rPr>
          <w:bCs/>
          <w:color w:val="002060"/>
          <w:sz w:val="16"/>
          <w:szCs w:val="16"/>
        </w:rPr>
      </w:pPr>
      <w:r w:rsidRPr="00405303">
        <w:rPr>
          <w:bCs/>
          <w:color w:val="002060"/>
          <w:sz w:val="16"/>
          <w:szCs w:val="16"/>
        </w:rPr>
        <w:t xml:space="preserve">Мобилизация промышленности </w:t>
      </w:r>
    </w:p>
    <w:p w14:paraId="3002FBA3" w14:textId="77777777" w:rsidR="004B4E35" w:rsidRPr="00405303" w:rsidRDefault="009E6F82" w:rsidP="00C15251">
      <w:pPr>
        <w:jc w:val="both"/>
        <w:rPr>
          <w:bCs/>
          <w:color w:val="002060"/>
          <w:sz w:val="16"/>
          <w:szCs w:val="16"/>
        </w:rPr>
      </w:pPr>
      <w:r w:rsidRPr="00405303">
        <w:rPr>
          <w:bCs/>
          <w:color w:val="002060"/>
          <w:sz w:val="16"/>
          <w:szCs w:val="16"/>
        </w:rPr>
        <w:t xml:space="preserve">Мобилизация промышленности как общественное движение зародилась на состоявшемся 8–11 июня 1915 г. в Петрограде IX очередном съезде представителей промышленности и торговли. На этом съезде была вынесена по обсуждении доклада «Промышленность и война» и после смелого выступления П. П. Рябушинского резолюция, в которой русская промышленность призывалась к объединению и дружной работе для обслуживания всех нужд войны. </w:t>
      </w:r>
    </w:p>
    <w:p w14:paraId="7D7C5861"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Для этой цели Съезд нашел необходимым поручить всем торгово-промышленным организациям образовать районные комитеты, объединяющие местную промышленность и торговлю и имеющие задачей приспособить предприятия к изготовлению всего необходимого для армии и флота, а также согласовать для сего общую деятельность фабрик и заводов. Согласование же между собою работ отдельных районов и этих же работ с деятельностью правительственных учреждений Съезд постановил возложить на учреждаемый им в Петрограде Центральный военно-промышленный комитет, в состав которого должны были войти представители научно-технических сил, представители от отдельных торгово-промышленных организаций, от управления железных дорог и пароходств и от Всероссийских союзов земств и городов. </w:t>
      </w:r>
    </w:p>
    <w:p w14:paraId="26577BF9" w14:textId="77777777" w:rsidR="004B4E35" w:rsidRPr="00405303" w:rsidRDefault="009E6F82" w:rsidP="00C15251">
      <w:pPr>
        <w:jc w:val="both"/>
        <w:rPr>
          <w:bCs/>
          <w:color w:val="002060"/>
          <w:sz w:val="16"/>
          <w:szCs w:val="16"/>
        </w:rPr>
      </w:pPr>
      <w:r w:rsidRPr="00405303">
        <w:rPr>
          <w:bCs/>
          <w:color w:val="002060"/>
          <w:sz w:val="16"/>
          <w:szCs w:val="16"/>
        </w:rPr>
        <w:t xml:space="preserve">Сформировавшийся таким образом Центральный военно-промышленный комитет приступил прежде всего к выяснению перечня предметов, в которых нуждаются армия и флот, чтобы вслед затем определить программу планомерного использования производительных сил страны для изготовления этих предметов. Так как, однако, единого плана в деле снабжения не было, то на практике Комитету пришлось вырабатывать свою программу частями, по мере заказов от Военного ведомства. В течение первых же двух месяцев были образованы местные военно-промышленные комитеты в 73 городах. </w:t>
      </w:r>
    </w:p>
    <w:p w14:paraId="053BC751" w14:textId="77777777" w:rsidR="004B4E35" w:rsidRPr="00405303" w:rsidRDefault="009E6F82" w:rsidP="00C15251">
      <w:pPr>
        <w:jc w:val="both"/>
        <w:rPr>
          <w:bCs/>
          <w:color w:val="002060"/>
          <w:sz w:val="16"/>
          <w:szCs w:val="16"/>
        </w:rPr>
      </w:pPr>
      <w:r w:rsidRPr="00405303">
        <w:rPr>
          <w:bCs/>
          <w:color w:val="002060"/>
          <w:sz w:val="16"/>
          <w:szCs w:val="16"/>
        </w:rPr>
        <w:t>Главная нужда, которую Комитет испытывал на пути к развитию своей деятельности, — это был недостаток станков, ибо как для расширения производства на старых заводах, так и для устройства новых заводов станки были необходимы, а между тем станки привозились из-за границы.</w:t>
      </w:r>
    </w:p>
    <w:p w14:paraId="615A2951" w14:textId="77777777" w:rsidR="004B4E35" w:rsidRPr="00405303" w:rsidRDefault="009E6F82" w:rsidP="00C15251">
      <w:pPr>
        <w:jc w:val="both"/>
        <w:rPr>
          <w:bCs/>
          <w:color w:val="002060"/>
          <w:sz w:val="16"/>
          <w:szCs w:val="16"/>
        </w:rPr>
      </w:pPr>
      <w:r w:rsidRPr="00405303">
        <w:rPr>
          <w:bCs/>
          <w:color w:val="002060"/>
          <w:sz w:val="16"/>
          <w:szCs w:val="16"/>
        </w:rPr>
        <w:t xml:space="preserve">Одновременно с мобилизацией крупной промышленности Военно-промышленным комитетом началась и мобилизация средней и мелкой промышленности. В этой области усилия Военно-промышленного комитета встретились с работами Всероссийских союзов земств и городов. </w:t>
      </w:r>
    </w:p>
    <w:p w14:paraId="5AEFFFC9"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«Привлечение общественных сил к снабжению армии и учреждение Особого совещания, — записывает в конце июля в своих воспоминаниях председатель Государственной думы М. В. Родзянко, — было с удовлетворением встречено в стране; на фронте облегченно вздохнули, и горечь последних неудач была смягчена надеждой на более светлое будущее. Возможность работать для армии, активно участвовать в подготовке ее успехов помогла переживать плохие известия с фронта, где мы продолжали отступать».</w:t>
      </w:r>
    </w:p>
    <w:p w14:paraId="4434A96C" w14:textId="77777777" w:rsidR="004B4E35" w:rsidRPr="00405303" w:rsidRDefault="009E6F82" w:rsidP="00C15251">
      <w:pPr>
        <w:jc w:val="both"/>
        <w:rPr>
          <w:bCs/>
          <w:color w:val="002060"/>
          <w:sz w:val="16"/>
          <w:szCs w:val="16"/>
        </w:rPr>
      </w:pPr>
      <w:r w:rsidRPr="00405303">
        <w:rPr>
          <w:bCs/>
          <w:color w:val="002060"/>
          <w:sz w:val="16"/>
          <w:szCs w:val="16"/>
        </w:rPr>
        <w:t xml:space="preserve">Образование Военно-промышленного комитета не встретило особого сочувствия со стороны правительства, хотя уход Сухомлинова и очистил несколько атмосферу недоброжелательства к «вмешательству общественности вдела военные», несмотря на то что новый военный министр относился весьма сочувственно к возникновению Военно-промышленного комитета и к председателю последнего А. И. Гучкову. Помощник управляющего делами Совета министров А. Н. Яхонтов издал свои подробные записи заседаний Совета министров. Вот что записано у этого автора про начало заседания Совета министров 4/17 августа, на котором рассматривался проект «Положения о Военно-промышленном комитете» и на которое был приглашен председатель Центрального военно-промышленного комитета А. И. Гучков. </w:t>
      </w:r>
    </w:p>
    <w:p w14:paraId="33546130"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«Впервые со времен графа Витте в официальной части заседания присутствовало лицо «свободной профессии», с правительственной службой не связанное. Это был Александр Иванович Гучков, приглашенный на заседание по настоянию генерала Поливанова для участия в рассмотрении проекта положения о Военно-промышленном комитете. Все чувствовали себя как-то неловко, натянуто. У Гучкова был такой вид, будто он попал в стан разбойников и находится под давлением угрозы злых козней. Вернее, он напоминал застенчивого человека, явившегося в незнакомое общество с предрешенным намерением рассердиться при первом поводе и тем проявить свою самостоятельность. На делаемые по статьям проекта замечания Гучков отвечал с не вызываемой существом возражений резкостью и требовал либо одобрения положения о Комитете полностью, либо отказа в санкции этого учреждения, подчеркивая, что положение это выработано представителями общественных организаций, желающих бескорыстно послужить делу снабжения армии. В конце концов обсуждение было скомкано, и все как бы спешили отделаться от не особенно приятного свидания».</w:t>
      </w:r>
    </w:p>
    <w:p w14:paraId="472136D1" w14:textId="77777777" w:rsidR="004B4E35" w:rsidRPr="00405303" w:rsidRDefault="009E6F82" w:rsidP="00C15251">
      <w:pPr>
        <w:jc w:val="both"/>
        <w:rPr>
          <w:bCs/>
          <w:color w:val="002060"/>
          <w:sz w:val="16"/>
          <w:szCs w:val="16"/>
        </w:rPr>
      </w:pPr>
      <w:r w:rsidRPr="00405303">
        <w:rPr>
          <w:bCs/>
          <w:color w:val="002060"/>
          <w:sz w:val="16"/>
          <w:szCs w:val="16"/>
        </w:rPr>
        <w:t xml:space="preserve">«По выходе, однако, А. И. Гучкова из комнаты заседания, — замечает другой свидетель, а именно генерал Поливанов, — И. Л. Горемыкин проворчал неодобрительно и о многочисленности состава Центрального комитета, и о-том, что там проектировано ввести 10 представителей от рабочих, и о том, что он много шумит, а сделает ли что-нибудь — это мы увидим». </w:t>
      </w:r>
    </w:p>
    <w:p w14:paraId="6040DB99" w14:textId="77777777" w:rsidR="004B4E35" w:rsidRPr="00405303" w:rsidRDefault="009E6F82" w:rsidP="00C15251">
      <w:pPr>
        <w:jc w:val="both"/>
        <w:rPr>
          <w:bCs/>
          <w:color w:val="002060"/>
          <w:sz w:val="16"/>
          <w:szCs w:val="16"/>
        </w:rPr>
      </w:pPr>
      <w:r w:rsidRPr="00405303">
        <w:rPr>
          <w:bCs/>
          <w:color w:val="002060"/>
          <w:sz w:val="16"/>
          <w:szCs w:val="16"/>
        </w:rPr>
        <w:t xml:space="preserve">Даже строгие критики нашей «общественности» все-таки вынуждены признать большую заслугу перед Родиной Военно-промышленного комитета. «Создавшийся Военно-промышленный комитет, — пишет генерал Лукомский, — имевший свои отделы во всех промышленных центрах России, давал основание считать, что с его помощью будет достигнуто полное напряжение отечественной промышленности, а армия и страна получат от внутреннего рынка все, что только Россия в состоянии дать. Действительно, надо отдать в этом отношении справедливость Военно-промышленному комитету, который, постепенно расширяя все более и более свою деятельность, объединяя фабрично-заводские предприятия и кустарные артели, а также создавая новые предприятия, принес в деле снабжения армии колоссальную помощь Военному ведомству. Можно, конечно, критиковать деятельность Военно-промышленного комитета в том отношении, что на организацию собственного аппарата он тратил очень значительные суммы; что хотя он и не поощрял, но, во всяком случае, очень слабо боролся с громадными аппетитами многих промышленников, стремившихся нажиться на казенных поставках. Обвинений в этом отношении против Военно-промышленного комитета было много, но считаю, что при существовавшей обстановке и при отсутствии правильной организации центрального органа снабжения приходил ось часто переплачивать, лишь бы скорее дать необходимое армии. Надо также иметь в виду, что Военно-промышленный комитет являлся не единственным заказчиком на внутреннем рынке. Кроме него, заказывали Городской и Земский союзы, и крупные заказы продолжали даваться главными довольствующими управлениями, а следовательно, Военно-промышленному комитету приходилось иметь дело уже с определившимися расценками на различные предметы снабжения». </w:t>
      </w:r>
    </w:p>
    <w:p w14:paraId="33355719" w14:textId="77777777" w:rsidR="004B4E35" w:rsidRPr="00405303" w:rsidRDefault="009E6F82" w:rsidP="00C15251">
      <w:pPr>
        <w:jc w:val="both"/>
        <w:rPr>
          <w:bCs/>
          <w:color w:val="002060"/>
          <w:sz w:val="16"/>
          <w:szCs w:val="16"/>
        </w:rPr>
      </w:pPr>
      <w:r w:rsidRPr="00405303">
        <w:rPr>
          <w:bCs/>
          <w:color w:val="002060"/>
          <w:sz w:val="16"/>
          <w:szCs w:val="16"/>
        </w:rPr>
        <w:t xml:space="preserve">Упрек, который делает генерал Лукомский Военно-промышленному комитету в том, что он слабо боролся с аппетитами многих промышленников, чрезвычайно серьезен, но причины этого зла лежали глубже недр Военно-промышленного комитета. </w:t>
      </w:r>
    </w:p>
    <w:p w14:paraId="205B1DBF" w14:textId="77777777" w:rsidR="004B4E35" w:rsidRPr="00405303" w:rsidRDefault="009E6F82" w:rsidP="00C15251">
      <w:pPr>
        <w:jc w:val="both"/>
        <w:rPr>
          <w:bCs/>
          <w:color w:val="002060"/>
          <w:sz w:val="16"/>
          <w:szCs w:val="16"/>
        </w:rPr>
      </w:pPr>
      <w:r w:rsidRPr="00405303">
        <w:rPr>
          <w:bCs/>
          <w:color w:val="002060"/>
          <w:sz w:val="16"/>
          <w:szCs w:val="16"/>
        </w:rPr>
        <w:t xml:space="preserve">Осуществить надлежащую организацию тыла можно было только при условии издания Закона о всеобщей промышленной военной повинности, составленного на основании тех же принципов, что и «Закон о всеобщей воинской повинности». Государство, считающее себя вправе требовать от своих граждан жертвы кровью и жизнью, конечно, имеет еще большее право требовать от своих граждан, оставшихся в тылу, жертв личным трудом и имуществом. Вопрос этот для всех государств был новый. Он требовал большой научной и социальной зрелости. Он был под силу только сильному правительству. Наша же Верховная власть хотя и боролась все время за осуществление самодержавия, но, восстановив против себя общественные круги и не сумев удержать расположение к себе народных масс, по существу дела, являлась слабой. Мы видели выше, как Совет министров трижды отклонил законопроект о милитаризации заводов, работающих на оборону. Несомненно, что он боялся рабочих. Так же точно он не смел по-настоящему бороться со злоупотреблениями промышленников. </w:t>
      </w:r>
    </w:p>
    <w:p w14:paraId="6290DCAF" w14:textId="77777777" w:rsidR="004B4E35" w:rsidRPr="00405303" w:rsidRDefault="009E6F82" w:rsidP="00C15251">
      <w:pPr>
        <w:jc w:val="both"/>
        <w:rPr>
          <w:bCs/>
          <w:color w:val="002060"/>
          <w:sz w:val="16"/>
          <w:szCs w:val="16"/>
        </w:rPr>
      </w:pPr>
      <w:r w:rsidRPr="00405303">
        <w:rPr>
          <w:bCs/>
          <w:color w:val="002060"/>
          <w:sz w:val="16"/>
          <w:szCs w:val="16"/>
        </w:rPr>
        <w:t xml:space="preserve">Бессилие правительства </w:t>
      </w:r>
    </w:p>
    <w:p w14:paraId="6A6F1D88" w14:textId="77777777" w:rsidR="004B4E35" w:rsidRPr="00405303" w:rsidRDefault="009E6F82" w:rsidP="00C15251">
      <w:pPr>
        <w:jc w:val="both"/>
        <w:rPr>
          <w:bCs/>
          <w:color w:val="002060"/>
          <w:sz w:val="16"/>
          <w:szCs w:val="16"/>
        </w:rPr>
      </w:pPr>
      <w:r w:rsidRPr="00405303">
        <w:rPr>
          <w:bCs/>
          <w:color w:val="002060"/>
          <w:sz w:val="16"/>
          <w:szCs w:val="16"/>
        </w:rPr>
        <w:t xml:space="preserve">В цитированных выше записях помощника управляющего делами Совета министров А. Н. Яхонтова, посвященных секретным заседаниям Совета министров в августе и сентябре 1915 г., ярко вырисовывается бессилие Совета министров в большинстве вопросов управления страной. Мы не будем здесь останавливаться на подробном рассмотрении причин этого бессилия. Их много, и многие из них обусловливаются событиями войны. Об этом мы будем говорить в III части нашего труда. Здесь же мы укажем на главную, которая резко сформулирована самими министрами в последних заседаниях. «Правительство не может висеть в безвоздушном пространстве и опираться на одну полицию», — говорит в заседании 8 сентября министр иностранных дел С. Д. Сазонов. </w:t>
      </w:r>
    </w:p>
    <w:p w14:paraId="43CCE331" w14:textId="77777777" w:rsidR="004B4E35" w:rsidRPr="00405303" w:rsidRDefault="009E6F82" w:rsidP="00C15251">
      <w:pPr>
        <w:jc w:val="both"/>
        <w:rPr>
          <w:bCs/>
          <w:color w:val="002060"/>
          <w:sz w:val="16"/>
          <w:szCs w:val="16"/>
        </w:rPr>
      </w:pPr>
      <w:r w:rsidRPr="00405303">
        <w:rPr>
          <w:bCs/>
          <w:color w:val="002060"/>
          <w:sz w:val="16"/>
          <w:szCs w:val="16"/>
        </w:rPr>
        <w:t xml:space="preserve">На заседании через два дня другой видный министр, а именно министр земледелия А. В. Кривошеин, развивает ту же мысль: «Что мы ни говори, что мы ни обещай, как ни заигрывай с прогрессивным блоком и общественностью — нам все равно не поверят. Ведь требования Государственной думы и всей страны сводятся к вопросу не программы, а людей, которым вверяется власть. Поэтому мне думается, что центр наших суждений должен бы заключаться в постановке принципиального вопроса об отношении Его Императорского Величества к правительству настоящего состава и к требованиям страны об исполнительной власти, облеченной общественным доверием. Пускай Монарх решит, как ему угодно направить дальнейшую внутреннюю политику, по пути ли игнорирования таких пожеланий или же по пути примирения, избрав во втором случае пользующееся общественными симпатиями лицо и возложив на него образование правительства. Без разрешения этого кардинального вопроса мы все равно с места не сдвинемся. Лично я высказываюсь за второй путь действий — избрание Государем Императором лица и поручение ему составить кабинет, отвечающий чаяниям страны». </w:t>
      </w:r>
    </w:p>
    <w:p w14:paraId="2634A126" w14:textId="77777777" w:rsidR="004B4E35" w:rsidRPr="00405303" w:rsidRDefault="009E6F82" w:rsidP="00C15251">
      <w:pPr>
        <w:jc w:val="both"/>
        <w:rPr>
          <w:bCs/>
          <w:color w:val="002060"/>
          <w:sz w:val="16"/>
          <w:szCs w:val="16"/>
        </w:rPr>
      </w:pPr>
      <w:r w:rsidRPr="00405303">
        <w:rPr>
          <w:bCs/>
          <w:color w:val="002060"/>
          <w:sz w:val="16"/>
          <w:szCs w:val="16"/>
        </w:rPr>
        <w:t xml:space="preserve">С этим заявлением А. В. Кривошеина соглашаются большинство министров. </w:t>
      </w:r>
    </w:p>
    <w:p w14:paraId="4C16FA2F"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Государь избрал первый путь, и главный исполнительный орган, Совет министров, стал еще бессильнее. Социальный процесс изоляции правительства пошел еще быстрее. Авторитет его окончательно пал. При таких условиях правительство оказывается не только бессильным произвести какие-либо коренные органические реформы в структуре работы тыла, оно даже неспособно объединить в стройную организацию те крайние усилия, которые проявляет теперь вся страна, чтобы спасти свою армию от катастрофы. </w:t>
      </w:r>
    </w:p>
    <w:p w14:paraId="2888AC93" w14:textId="77777777" w:rsidR="004B4E35" w:rsidRPr="00405303" w:rsidRDefault="009E6F82" w:rsidP="00C15251">
      <w:pPr>
        <w:jc w:val="both"/>
        <w:rPr>
          <w:bCs/>
          <w:color w:val="002060"/>
          <w:sz w:val="16"/>
          <w:szCs w:val="16"/>
        </w:rPr>
      </w:pPr>
      <w:r w:rsidRPr="00405303">
        <w:rPr>
          <w:bCs/>
          <w:color w:val="002060"/>
          <w:sz w:val="16"/>
          <w:szCs w:val="16"/>
        </w:rPr>
        <w:t xml:space="preserve">Эта неспособность правительства увеличивается еще тем, что самый подбор министров чрезвычайно неудачен. Последнее не случайно, а является лишь одним из звеньев того социального процесса, который происходит. Выбор Верховной власти до крайности ограничен. Все лучшие элементы должны быть заподозрены в оппозиции к власти. И вот на замену уволенного 15/28 марта генерала Поливанова назначается военным министром генерал Шуваев. Председатель Государственной думы М. В. Родзянко так характеризует генерала Шуваева: «...Честный, хороший человек, но недостаточно подготовлен для такого поста в военное время; его председательствование в Особом совещании делало заседания путаными и утомительными». </w:t>
      </w:r>
    </w:p>
    <w:p w14:paraId="1E515287" w14:textId="77777777" w:rsidR="004B4E35" w:rsidRPr="00405303" w:rsidRDefault="009E6F82" w:rsidP="00C15251">
      <w:pPr>
        <w:jc w:val="both"/>
        <w:rPr>
          <w:bCs/>
          <w:color w:val="002060"/>
          <w:sz w:val="16"/>
          <w:szCs w:val="16"/>
        </w:rPr>
      </w:pPr>
      <w:r w:rsidRPr="00405303">
        <w:rPr>
          <w:bCs/>
          <w:color w:val="002060"/>
          <w:sz w:val="16"/>
          <w:szCs w:val="16"/>
        </w:rPr>
        <w:t>Гораздо строже отзывается о нем французский министр снабжения г-н Тома, присланный французским правительством для ознакомления с нуждами русского военного снабжения. На просьбу председателя Государственной думы откровенно указать наши больные места в организации снабжения французский министр ответил: «Россия должна быть чрезвычайно богата и очень уверена в своих силах, чтобы позволять себе роскошь иметь правительство, подобное вашему, где премьер-министр является бедствием, а военный министр — катастрофой».</w:t>
      </w:r>
    </w:p>
    <w:p w14:paraId="30D7D7B1" w14:textId="77777777" w:rsidR="004B4E35" w:rsidRPr="00405303" w:rsidRDefault="009E6F82" w:rsidP="00C15251">
      <w:pPr>
        <w:jc w:val="both"/>
        <w:rPr>
          <w:bCs/>
          <w:color w:val="002060"/>
          <w:sz w:val="16"/>
          <w:szCs w:val="16"/>
        </w:rPr>
      </w:pPr>
      <w:r w:rsidRPr="00405303">
        <w:rPr>
          <w:bCs/>
          <w:color w:val="002060"/>
          <w:sz w:val="16"/>
          <w:szCs w:val="16"/>
        </w:rPr>
        <w:t xml:space="preserve">Отзыв г-на Тома, быть может, слишком жесток. Но несомненно, что генерал Шуваев выше уровня обыкновенного строевого генерала или рядового интенданта подняться не мог. Выбор генерала Шуваева на должность военного министра обусловливался тем, что Верховная власть рассчитывала, что он будет бороться со все более и более усиливающейся ролью общественных сил в деле снабжения армии. «После ухода Поливанова, — пишет М. В. Родзянко, — Великий князь Сергей Михайлович повел агитацию против Особого совещания и убеждал Государя вовсе упразднить его. С Шуваевым на заседаниях происходили постоянные столкновения, и казалось, будто он нарочно вызывал резкости, чтобы иметь причины для ликвидации Совещания». </w:t>
      </w:r>
    </w:p>
    <w:p w14:paraId="637A6230" w14:textId="77777777" w:rsidR="004B4E35" w:rsidRPr="00405303" w:rsidRDefault="009E6F82" w:rsidP="00C15251">
      <w:pPr>
        <w:jc w:val="both"/>
        <w:rPr>
          <w:bCs/>
          <w:color w:val="002060"/>
          <w:sz w:val="16"/>
          <w:szCs w:val="16"/>
        </w:rPr>
      </w:pPr>
      <w:r w:rsidRPr="00405303">
        <w:rPr>
          <w:bCs/>
          <w:color w:val="002060"/>
          <w:sz w:val="16"/>
          <w:szCs w:val="16"/>
        </w:rPr>
        <w:t xml:space="preserve">Но генерал Шуваев не оправдал связанных с его назначением политических расчетов. </w:t>
      </w:r>
    </w:p>
    <w:p w14:paraId="6915B0D0" w14:textId="77777777"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«В заседании 5 ноября случилось событие, которое оставило сильное впечатление не только в Думе, но и в стране. Во время заседания в зале заседаний появились военный министр Шуваев и морской — Григорович. Они обратились к председателю, сообщив о желании сделать заявление. Когда Марков 2-й окончил свою речь, на трибуну поднялся Шуваев и, сильно волнуясь, сказал, что он как старый солдат верит в доблесть Русской армии, что армия снабжена всем необходимым благодаря единодушной поддержке народа и народного представительства. Он привел цифры увеличения поступления боевых припасов в армию со времени учреждения Особого совещания по обороне. Закончил он просьбой и впредь поддерживать его доверием».</w:t>
      </w:r>
    </w:p>
    <w:p w14:paraId="002D128E" w14:textId="77777777" w:rsidR="004B4E35" w:rsidRPr="00405303" w:rsidRDefault="009E6F82" w:rsidP="00C15251">
      <w:pPr>
        <w:jc w:val="both"/>
        <w:rPr>
          <w:bCs/>
          <w:color w:val="002060"/>
          <w:sz w:val="16"/>
          <w:szCs w:val="16"/>
        </w:rPr>
      </w:pPr>
      <w:r w:rsidRPr="00405303">
        <w:rPr>
          <w:bCs/>
          <w:color w:val="002060"/>
          <w:sz w:val="16"/>
          <w:szCs w:val="16"/>
        </w:rPr>
        <w:t xml:space="preserve">Вскоре после этого выступления, а именно в начале января 1917 года, генерал Шуваев был заменен на посту военного министра генералом Беляевым. Назначение последнего состоялось по выбору императрицы Александры Феодоровны как человека, вполне верного принятому курсу самодержавной политики. Генерал Беляев представлял собой тип «военного чиновника». Все свое трудолюбие и большую работоспособность он направлял по «бумажному» руслу. В армии он был очень непопулярен, ибо за ним установилась репутация человека, мертвящего всякое живое дело. За ним даже прочно установилась кличка «Мертвая голова». </w:t>
      </w:r>
    </w:p>
    <w:p w14:paraId="5C2D6FC8" w14:textId="77777777" w:rsidR="004B4E35" w:rsidRPr="00405303" w:rsidRDefault="009E6F82" w:rsidP="00C15251">
      <w:pPr>
        <w:jc w:val="both"/>
        <w:rPr>
          <w:bCs/>
          <w:color w:val="002060"/>
          <w:sz w:val="16"/>
          <w:szCs w:val="16"/>
        </w:rPr>
      </w:pPr>
      <w:r w:rsidRPr="00405303">
        <w:rPr>
          <w:bCs/>
          <w:color w:val="002060"/>
          <w:sz w:val="16"/>
          <w:szCs w:val="16"/>
        </w:rPr>
        <w:t xml:space="preserve">Отрицательного влияния на дело снабжения назначение Беляева не могло оказать, так как в начале марта вспыхнула революция. </w:t>
      </w:r>
    </w:p>
    <w:p w14:paraId="56262D37" w14:textId="77777777" w:rsidR="004B4E35" w:rsidRPr="00405303" w:rsidRDefault="009E6F82" w:rsidP="00C15251">
      <w:pPr>
        <w:jc w:val="both"/>
        <w:rPr>
          <w:bCs/>
          <w:color w:val="002060"/>
          <w:sz w:val="16"/>
          <w:szCs w:val="16"/>
        </w:rPr>
      </w:pPr>
      <w:r w:rsidRPr="00405303">
        <w:rPr>
          <w:bCs/>
          <w:color w:val="002060"/>
          <w:sz w:val="16"/>
          <w:szCs w:val="16"/>
        </w:rPr>
        <w:t xml:space="preserve">Революция </w:t>
      </w:r>
    </w:p>
    <w:p w14:paraId="11A16BE1" w14:textId="77777777" w:rsidR="004B4E35" w:rsidRPr="00405303" w:rsidRDefault="009E6F82" w:rsidP="00C15251">
      <w:pPr>
        <w:jc w:val="both"/>
        <w:rPr>
          <w:bCs/>
          <w:color w:val="002060"/>
          <w:sz w:val="16"/>
          <w:szCs w:val="16"/>
        </w:rPr>
      </w:pPr>
      <w:r w:rsidRPr="00405303">
        <w:rPr>
          <w:bCs/>
          <w:color w:val="002060"/>
          <w:sz w:val="16"/>
          <w:szCs w:val="16"/>
        </w:rPr>
        <w:t xml:space="preserve">В разбушевавшейся революционной стихии сразу же начала падать на заводах и промышленных предприятиях трудовая дисциплина. Технический и административный персонал, который не был изгнан рабочими, не имел возможности руководить делом. Он был терроризован рабочими. В результате — крайняя небрежность в работе и все увеличивающееся падение производительности. Московская металлообрабатывающая промышленность уже в апреле пала на 32%, производительность петроградских фабрик и заводов — на 20–40%, добыча угля и общая производительность Донецкого бассейна к 1 июля — на 30% и т.д. Расстроилась также добыча нефти на бакинских и грозненских промыслах. </w:t>
      </w:r>
    </w:p>
    <w:p w14:paraId="78B4427E" w14:textId="77777777" w:rsidR="004B4E35" w:rsidRPr="00405303" w:rsidRDefault="004B4E35" w:rsidP="00C15251">
      <w:pPr>
        <w:jc w:val="both"/>
        <w:rPr>
          <w:bCs/>
          <w:color w:val="002060"/>
          <w:sz w:val="16"/>
          <w:szCs w:val="16"/>
        </w:rPr>
      </w:pPr>
    </w:p>
    <w:p w14:paraId="7CDDA103" w14:textId="77777777" w:rsidR="00481739" w:rsidRPr="00405303" w:rsidRDefault="00481739" w:rsidP="00C15251">
      <w:pPr>
        <w:jc w:val="both"/>
        <w:rPr>
          <w:bCs/>
          <w:color w:val="002060"/>
          <w:sz w:val="16"/>
          <w:szCs w:val="16"/>
        </w:rPr>
      </w:pPr>
      <w:r w:rsidRPr="00405303">
        <w:rPr>
          <w:bCs/>
          <w:color w:val="002060"/>
          <w:sz w:val="16"/>
          <w:szCs w:val="16"/>
        </w:rPr>
        <w:t>Осенью 1915 г. решение о создании нового орудийного завода еще не приняло окончательного вида. Не было еди</w:t>
      </w:r>
      <w:r w:rsidRPr="00405303">
        <w:rPr>
          <w:bCs/>
          <w:color w:val="002060"/>
          <w:sz w:val="16"/>
          <w:szCs w:val="16"/>
        </w:rPr>
        <w:softHyphen/>
        <w:t>ного мнения даже относительно его связи с проектируемым сталелитейным заводом ГАУ. Павловский выступал за их раздельное существование (23452).</w:t>
      </w:r>
    </w:p>
    <w:p w14:paraId="5D76F9BB" w14:textId="77777777" w:rsidR="00481739" w:rsidRPr="00405303" w:rsidRDefault="00481739" w:rsidP="00C15251">
      <w:pPr>
        <w:jc w:val="both"/>
        <w:rPr>
          <w:bCs/>
          <w:color w:val="002060"/>
          <w:sz w:val="16"/>
          <w:szCs w:val="16"/>
        </w:rPr>
      </w:pPr>
    </w:p>
    <w:p w14:paraId="38576EB3" w14:textId="77777777" w:rsidR="00481739" w:rsidRPr="00405303" w:rsidRDefault="00481739" w:rsidP="00C15251">
      <w:pPr>
        <w:jc w:val="both"/>
        <w:rPr>
          <w:bCs/>
          <w:color w:val="002060"/>
          <w:sz w:val="16"/>
          <w:szCs w:val="16"/>
        </w:rPr>
      </w:pPr>
      <w:r w:rsidRPr="00405303">
        <w:rPr>
          <w:bCs/>
          <w:color w:val="002060"/>
          <w:sz w:val="16"/>
          <w:szCs w:val="16"/>
        </w:rPr>
        <w:t>Осенью 1915 г. расчет показал, что общая годовая потребность России в порохе достигла 2632 ты</w:t>
      </w:r>
      <w:r w:rsidRPr="00405303">
        <w:rPr>
          <w:bCs/>
          <w:color w:val="002060"/>
          <w:sz w:val="16"/>
          <w:szCs w:val="16"/>
        </w:rPr>
        <w:softHyphen/>
        <w:t>сяч пудов; при наибольшем ожидаемом успехе внутренне</w:t>
      </w:r>
      <w:r w:rsidRPr="00405303">
        <w:rPr>
          <w:bCs/>
          <w:color w:val="002060"/>
          <w:sz w:val="16"/>
          <w:szCs w:val="16"/>
        </w:rPr>
        <w:softHyphen/>
        <w:t>го производства представлялось неизбежным заказать за границей около 1572 тысяч пудов (ВПР. С. 760; Залюбовский А.П. Указ. соч. С. 103, 105). Помимо американских поставок пороха, положение спасали Италия и Франция: «При содействии Жоффра я получил в свое распоряжение лучшие пороховые заводы в Севре», — писал Игнатьев (Игнатьев А.А. Указ. соч. С. 409, 435).</w:t>
      </w:r>
    </w:p>
    <w:p w14:paraId="0D3E94DC" w14:textId="77777777" w:rsidR="00481739" w:rsidRPr="00405303" w:rsidRDefault="00481739"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По сообщению Маниковского в «Боевом снабжении», противоречащему источникам, предпринимательские орга</w:t>
      </w:r>
      <w:r w:rsidRPr="00405303">
        <w:rPr>
          <w:rFonts w:ascii="Times New Roman" w:hAnsi="Times New Roman" w:cs="Times New Roman"/>
          <w:bCs/>
          <w:color w:val="002060"/>
          <w:sz w:val="16"/>
          <w:szCs w:val="16"/>
        </w:rPr>
        <w:softHyphen/>
        <w:t>низации, «нажав все пружины», оказали «особое противо</w:t>
      </w:r>
      <w:r w:rsidRPr="00405303">
        <w:rPr>
          <w:rFonts w:ascii="Times New Roman" w:hAnsi="Times New Roman" w:cs="Times New Roman"/>
          <w:bCs/>
          <w:color w:val="002060"/>
          <w:sz w:val="16"/>
          <w:szCs w:val="16"/>
        </w:rPr>
        <w:softHyphen/>
        <w:t>действие» постройке в Симбирске нового патронного заво</w:t>
      </w:r>
      <w:r w:rsidRPr="00405303">
        <w:rPr>
          <w:rFonts w:ascii="Times New Roman" w:hAnsi="Times New Roman" w:cs="Times New Roman"/>
          <w:bCs/>
          <w:color w:val="002060"/>
          <w:sz w:val="16"/>
          <w:szCs w:val="16"/>
        </w:rPr>
        <w:softHyphen/>
        <w:t>да и смогли задержать решение этого вопроса с января по март 1916 г. А.А. Королев также утверждал, что «предложе</w:t>
      </w:r>
      <w:r w:rsidRPr="00405303">
        <w:rPr>
          <w:rFonts w:ascii="Times New Roman" w:hAnsi="Times New Roman" w:cs="Times New Roman"/>
          <w:bCs/>
          <w:color w:val="002060"/>
          <w:sz w:val="16"/>
          <w:szCs w:val="16"/>
        </w:rPr>
        <w:softHyphen/>
        <w:t>ние ГАУ от 22 декабря 1915 г. о строительстве третьего ка</w:t>
      </w:r>
      <w:r w:rsidRPr="00405303">
        <w:rPr>
          <w:rFonts w:ascii="Times New Roman" w:hAnsi="Times New Roman" w:cs="Times New Roman"/>
          <w:bCs/>
          <w:color w:val="002060"/>
          <w:sz w:val="16"/>
          <w:szCs w:val="16"/>
        </w:rPr>
        <w:softHyphen/>
        <w:t>зенного [патронного] завода... не получило поддержки в Военном совете»1. Но в программном докладе и в «Боевом снабжении» Маниковского указано, что Военный совет дал «разрешение постройки», причем трижды: 14 января, 17 и 19 марта 1916 г. А.Л. Сидоров, пользовавшийся сообщени</w:t>
      </w:r>
      <w:r w:rsidRPr="00405303">
        <w:rPr>
          <w:rFonts w:ascii="Times New Roman" w:hAnsi="Times New Roman" w:cs="Times New Roman"/>
          <w:bCs/>
          <w:color w:val="002060"/>
          <w:sz w:val="16"/>
          <w:szCs w:val="16"/>
        </w:rPr>
        <w:softHyphen/>
        <w:t>ем Маниковского о «могущественном влиянии» монополи</w:t>
      </w:r>
      <w:r w:rsidRPr="00405303">
        <w:rPr>
          <w:rFonts w:ascii="Times New Roman" w:hAnsi="Times New Roman" w:cs="Times New Roman"/>
          <w:bCs/>
          <w:color w:val="002060"/>
          <w:sz w:val="16"/>
          <w:szCs w:val="16"/>
        </w:rPr>
        <w:softHyphen/>
        <w:t>стов как достоверным, ввел, однако, в оборот источники, из которых следует, что еще в ноябре 1915 г. царское пра</w:t>
      </w:r>
      <w:r w:rsidRPr="00405303">
        <w:rPr>
          <w:rFonts w:ascii="Times New Roman" w:hAnsi="Times New Roman" w:cs="Times New Roman"/>
          <w:bCs/>
          <w:color w:val="002060"/>
          <w:sz w:val="16"/>
          <w:szCs w:val="16"/>
        </w:rPr>
        <w:softHyphen/>
        <w:t>вительство добилось согласия союзников поставить обору</w:t>
      </w:r>
      <w:r w:rsidRPr="00405303">
        <w:rPr>
          <w:rFonts w:ascii="Times New Roman" w:hAnsi="Times New Roman" w:cs="Times New Roman"/>
          <w:bCs/>
          <w:color w:val="002060"/>
          <w:sz w:val="16"/>
          <w:szCs w:val="16"/>
        </w:rPr>
        <w:softHyphen/>
        <w:t>дование для нового патронного завода. Речь шла о постав</w:t>
      </w:r>
      <w:r w:rsidRPr="00405303">
        <w:rPr>
          <w:rFonts w:ascii="Times New Roman" w:hAnsi="Times New Roman" w:cs="Times New Roman"/>
          <w:bCs/>
          <w:color w:val="002060"/>
          <w:sz w:val="16"/>
          <w:szCs w:val="16"/>
        </w:rPr>
        <w:softHyphen/>
        <w:t>ке полного комплекта, рассчитанного на выпуск 10—15 млн патронов в неделю (40—60 в месяц; 480—720 в год) (Маниковский А.А. Указ. соч. Ч. 1. С. 116—117; Королев А.А. Государ</w:t>
      </w:r>
      <w:r w:rsidRPr="00405303">
        <w:rPr>
          <w:rFonts w:ascii="Times New Roman" w:hAnsi="Times New Roman" w:cs="Times New Roman"/>
          <w:bCs/>
          <w:color w:val="002060"/>
          <w:sz w:val="16"/>
          <w:szCs w:val="16"/>
        </w:rPr>
        <w:softHyphen/>
        <w:t>ственно-монополистический капитализм в частной патронной промыш</w:t>
      </w:r>
      <w:r w:rsidRPr="00405303">
        <w:rPr>
          <w:rFonts w:ascii="Times New Roman" w:hAnsi="Times New Roman" w:cs="Times New Roman"/>
          <w:bCs/>
          <w:color w:val="002060"/>
          <w:sz w:val="16"/>
          <w:szCs w:val="16"/>
        </w:rPr>
        <w:softHyphen/>
        <w:t>ленности России в годы Первой мировой войны // Ученые записки Кафедры истории КПСС Тульского гос. пед. института. Тула, 1970. Вып. 2. С. 111-112; Доклад начальника Главного артиллерийского управления 20 ок</w:t>
      </w:r>
      <w:r w:rsidRPr="00405303">
        <w:rPr>
          <w:rFonts w:ascii="Times New Roman" w:hAnsi="Times New Roman" w:cs="Times New Roman"/>
          <w:bCs/>
          <w:color w:val="002060"/>
          <w:sz w:val="16"/>
          <w:szCs w:val="16"/>
        </w:rPr>
        <w:softHyphen/>
        <w:t xml:space="preserve">тября 1916 г. № 165392 военному министру через генерала Фролова. С программой заводского строительства. [Пг., 1916.] С. 46 (экземпляр этого документа имеется в ГПИБ: 1/8675); Маниковский А.А. Указ. соч. Ч. 1. С. 115—116; Сидоров А.Л. Экономическое положение России. С. 142, 304, 306, 435—436; Исторические записки. </w:t>
      </w:r>
      <w:r w:rsidRPr="00BC4B89">
        <w:rPr>
          <w:rFonts w:ascii="Times New Roman" w:hAnsi="Times New Roman" w:cs="Times New Roman"/>
          <w:bCs/>
          <w:color w:val="002060"/>
          <w:sz w:val="16"/>
          <w:szCs w:val="16"/>
        </w:rPr>
        <w:t xml:space="preserve">1945. </w:t>
      </w:r>
      <w:r w:rsidRPr="00405303">
        <w:rPr>
          <w:rFonts w:ascii="Times New Roman" w:hAnsi="Times New Roman" w:cs="Times New Roman"/>
          <w:bCs/>
          <w:color w:val="002060"/>
          <w:sz w:val="16"/>
          <w:szCs w:val="16"/>
        </w:rPr>
        <w:t>Т</w:t>
      </w:r>
      <w:r w:rsidRPr="00BC4B89">
        <w:rPr>
          <w:rFonts w:ascii="Times New Roman" w:hAnsi="Times New Roman" w:cs="Times New Roman"/>
          <w:bCs/>
          <w:color w:val="002060"/>
          <w:sz w:val="16"/>
          <w:szCs w:val="16"/>
        </w:rPr>
        <w:t xml:space="preserve">. 15. </w:t>
      </w:r>
      <w:r w:rsidRPr="00405303">
        <w:rPr>
          <w:rFonts w:ascii="Times New Roman" w:hAnsi="Times New Roman" w:cs="Times New Roman"/>
          <w:bCs/>
          <w:color w:val="002060"/>
          <w:sz w:val="16"/>
          <w:szCs w:val="16"/>
        </w:rPr>
        <w:t>С</w:t>
      </w:r>
      <w:r w:rsidRPr="00BC4B89">
        <w:rPr>
          <w:rFonts w:ascii="Times New Roman" w:hAnsi="Times New Roman" w:cs="Times New Roman"/>
          <w:bCs/>
          <w:color w:val="002060"/>
          <w:sz w:val="16"/>
          <w:szCs w:val="16"/>
        </w:rPr>
        <w:t xml:space="preserve">. 160— 161; 1955. </w:t>
      </w:r>
      <w:r w:rsidRPr="00405303">
        <w:rPr>
          <w:rFonts w:ascii="Times New Roman" w:hAnsi="Times New Roman" w:cs="Times New Roman"/>
          <w:bCs/>
          <w:color w:val="002060"/>
          <w:sz w:val="16"/>
          <w:szCs w:val="16"/>
        </w:rPr>
        <w:t>Т</w:t>
      </w:r>
      <w:r w:rsidRPr="00BC4B89">
        <w:rPr>
          <w:rFonts w:ascii="Times New Roman" w:hAnsi="Times New Roman" w:cs="Times New Roman"/>
          <w:bCs/>
          <w:color w:val="002060"/>
          <w:sz w:val="16"/>
          <w:szCs w:val="16"/>
        </w:rPr>
        <w:t xml:space="preserve">. 54. </w:t>
      </w:r>
      <w:r w:rsidRPr="00405303">
        <w:rPr>
          <w:rFonts w:ascii="Times New Roman" w:hAnsi="Times New Roman" w:cs="Times New Roman"/>
          <w:bCs/>
          <w:color w:val="002060"/>
          <w:sz w:val="16"/>
          <w:szCs w:val="16"/>
        </w:rPr>
        <w:t>С</w:t>
      </w:r>
      <w:r w:rsidRPr="00BC4B89">
        <w:rPr>
          <w:rFonts w:ascii="Times New Roman" w:hAnsi="Times New Roman" w:cs="Times New Roman"/>
          <w:bCs/>
          <w:color w:val="002060"/>
          <w:sz w:val="16"/>
          <w:szCs w:val="16"/>
        </w:rPr>
        <w:t xml:space="preserve">. 165; </w:t>
      </w:r>
      <w:r w:rsidRPr="00405303">
        <w:rPr>
          <w:rFonts w:ascii="Times New Roman" w:hAnsi="Times New Roman" w:cs="Times New Roman"/>
          <w:bCs/>
          <w:color w:val="002060"/>
          <w:sz w:val="16"/>
          <w:szCs w:val="16"/>
        </w:rPr>
        <w:t>Исторический</w:t>
      </w:r>
      <w:r w:rsidRPr="00BC4B89">
        <w:rPr>
          <w:rFonts w:ascii="Times New Roman" w:hAnsi="Times New Roman" w:cs="Times New Roman"/>
          <w:bCs/>
          <w:color w:val="002060"/>
          <w:sz w:val="16"/>
          <w:szCs w:val="16"/>
        </w:rPr>
        <w:t xml:space="preserve"> </w:t>
      </w:r>
      <w:r w:rsidRPr="00405303">
        <w:rPr>
          <w:rFonts w:ascii="Times New Roman" w:hAnsi="Times New Roman" w:cs="Times New Roman"/>
          <w:bCs/>
          <w:color w:val="002060"/>
          <w:sz w:val="16"/>
          <w:szCs w:val="16"/>
        </w:rPr>
        <w:t>архив</w:t>
      </w:r>
      <w:r w:rsidRPr="00BC4B89">
        <w:rPr>
          <w:rFonts w:ascii="Times New Roman" w:hAnsi="Times New Roman" w:cs="Times New Roman"/>
          <w:bCs/>
          <w:color w:val="002060"/>
          <w:sz w:val="16"/>
          <w:szCs w:val="16"/>
        </w:rPr>
        <w:t xml:space="preserve">. 1949. </w:t>
      </w:r>
      <w:r w:rsidRPr="00405303">
        <w:rPr>
          <w:rFonts w:ascii="Times New Roman" w:hAnsi="Times New Roman" w:cs="Times New Roman"/>
          <w:bCs/>
          <w:color w:val="002060"/>
          <w:sz w:val="16"/>
          <w:szCs w:val="16"/>
        </w:rPr>
        <w:t>Т</w:t>
      </w:r>
      <w:r w:rsidRPr="00BC4B89">
        <w:rPr>
          <w:rFonts w:ascii="Times New Roman" w:hAnsi="Times New Roman" w:cs="Times New Roman"/>
          <w:bCs/>
          <w:color w:val="002060"/>
          <w:sz w:val="16"/>
          <w:szCs w:val="16"/>
        </w:rPr>
        <w:t xml:space="preserve">. 4; </w:t>
      </w:r>
      <w:r w:rsidRPr="00405303">
        <w:rPr>
          <w:rFonts w:ascii="Times New Roman" w:hAnsi="Times New Roman" w:cs="Times New Roman"/>
          <w:bCs/>
          <w:color w:val="002060"/>
          <w:sz w:val="16"/>
          <w:szCs w:val="16"/>
          <w:lang w:val="en-US" w:bidi="en-US"/>
        </w:rPr>
        <w:t>Neilson</w:t>
      </w:r>
      <w:r w:rsidRPr="00BC4B89">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К</w:t>
      </w:r>
      <w:r w:rsidRPr="00BC4B89">
        <w:rPr>
          <w:rFonts w:ascii="Times New Roman" w:hAnsi="Times New Roman" w:cs="Times New Roman"/>
          <w:bCs/>
          <w:color w:val="002060"/>
          <w:sz w:val="16"/>
          <w:szCs w:val="16"/>
        </w:rPr>
        <w:t xml:space="preserve">. </w:t>
      </w:r>
      <w:r w:rsidRPr="00405303">
        <w:rPr>
          <w:rFonts w:ascii="Times New Roman" w:hAnsi="Times New Roman" w:cs="Times New Roman"/>
          <w:bCs/>
          <w:color w:val="002060"/>
          <w:sz w:val="16"/>
          <w:szCs w:val="16"/>
          <w:lang w:val="en-US" w:bidi="en-US"/>
        </w:rPr>
        <w:t>Strategy</w:t>
      </w:r>
      <w:r w:rsidRPr="00BC4B89">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and</w:t>
      </w:r>
      <w:r w:rsidRPr="00BC4B89">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Supply</w:t>
      </w:r>
      <w:r w:rsidRPr="00BC4B89">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Р. 132). Ле</w:t>
      </w:r>
      <w:r w:rsidRPr="00405303">
        <w:rPr>
          <w:rFonts w:ascii="Times New Roman" w:hAnsi="Times New Roman" w:cs="Times New Roman"/>
          <w:bCs/>
          <w:color w:val="002060"/>
          <w:sz w:val="16"/>
          <w:szCs w:val="16"/>
        </w:rPr>
        <w:softHyphen/>
        <w:t>том-осенью 1916 г. станками для Симбирского патронно</w:t>
      </w:r>
      <w:r w:rsidRPr="00405303">
        <w:rPr>
          <w:rFonts w:ascii="Times New Roman" w:hAnsi="Times New Roman" w:cs="Times New Roman"/>
          <w:bCs/>
          <w:color w:val="002060"/>
          <w:sz w:val="16"/>
          <w:szCs w:val="16"/>
        </w:rPr>
        <w:softHyphen/>
        <w:t xml:space="preserve">го завода нагружались пароходы, отправлявшиеся из США (РГВИА. Ф. 2000. </w:t>
      </w:r>
      <w:r w:rsidRPr="00405303">
        <w:rPr>
          <w:rFonts w:ascii="Times New Roman" w:hAnsi="Times New Roman" w:cs="Times New Roman"/>
          <w:bCs/>
          <w:color w:val="002060"/>
          <w:sz w:val="16"/>
          <w:szCs w:val="16"/>
          <w:lang w:val="en-US" w:bidi="en-US"/>
        </w:rPr>
        <w:t>On</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1. Д. 5572-5574) (23452).</w:t>
      </w:r>
    </w:p>
    <w:p w14:paraId="34E16881" w14:textId="77777777" w:rsidR="00481739" w:rsidRPr="00405303" w:rsidRDefault="00481739" w:rsidP="00C15251">
      <w:pPr>
        <w:jc w:val="both"/>
        <w:rPr>
          <w:bCs/>
          <w:color w:val="002060"/>
          <w:sz w:val="16"/>
          <w:szCs w:val="16"/>
        </w:rPr>
      </w:pPr>
    </w:p>
    <w:p w14:paraId="5E5F6151" w14:textId="77777777" w:rsidR="00481739" w:rsidRPr="00405303" w:rsidRDefault="00481739"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Осенью 1915 — в начале 1916 г. недостаток вин</w:t>
      </w:r>
      <w:r w:rsidRPr="00405303">
        <w:rPr>
          <w:rFonts w:ascii="Times New Roman" w:hAnsi="Times New Roman" w:cs="Times New Roman"/>
          <w:bCs/>
          <w:color w:val="002060"/>
          <w:sz w:val="16"/>
          <w:szCs w:val="16"/>
        </w:rPr>
        <w:softHyphen/>
        <w:t>товок все еще «ощущался в действующей армии весьма остро» (Беляев). Тогда поступило от союзников 1150 тысяч винтовок разных типов (Ветерли, Гра, Гра-Кропачек, Лабеф и еще 200 тысяч японских). Тем не менее при обсуждении плана наступательных действий, состоявшемся на совеща</w:t>
      </w:r>
      <w:r w:rsidRPr="00405303">
        <w:rPr>
          <w:rFonts w:ascii="Times New Roman" w:hAnsi="Times New Roman" w:cs="Times New Roman"/>
          <w:bCs/>
          <w:color w:val="002060"/>
          <w:sz w:val="16"/>
          <w:szCs w:val="16"/>
        </w:rPr>
        <w:softHyphen/>
        <w:t>нии в Ставке под председательством Николая II 17 февра</w:t>
      </w:r>
      <w:r w:rsidRPr="00405303">
        <w:rPr>
          <w:rFonts w:ascii="Times New Roman" w:hAnsi="Times New Roman" w:cs="Times New Roman"/>
          <w:bCs/>
          <w:color w:val="002060"/>
          <w:sz w:val="16"/>
          <w:szCs w:val="16"/>
        </w:rPr>
        <w:softHyphen/>
        <w:t>ля 1916 г., несмотря на грозные слова командующего За</w:t>
      </w:r>
      <w:r w:rsidRPr="00405303">
        <w:rPr>
          <w:rFonts w:ascii="Times New Roman" w:hAnsi="Times New Roman" w:cs="Times New Roman"/>
          <w:bCs/>
          <w:color w:val="002060"/>
          <w:sz w:val="16"/>
          <w:szCs w:val="16"/>
        </w:rPr>
        <w:softHyphen/>
        <w:t>падным фронтом о «громовом ударе» «могучим молотом», все же Северный фронт, которому, казалось бы, отводилась в этом наступлении главная роль, жаловался, что не в со</w:t>
      </w:r>
      <w:r w:rsidRPr="00405303">
        <w:rPr>
          <w:rFonts w:ascii="Times New Roman" w:hAnsi="Times New Roman" w:cs="Times New Roman"/>
          <w:bCs/>
          <w:color w:val="002060"/>
          <w:sz w:val="16"/>
          <w:szCs w:val="16"/>
        </w:rPr>
        <w:softHyphen/>
        <w:t>стоянии обеспечить укомплектование своих войск. «Люди есть, но нет достаточного вооружения, — доложил П.А. Пле</w:t>
      </w:r>
      <w:r w:rsidRPr="00405303">
        <w:rPr>
          <w:rFonts w:ascii="Times New Roman" w:hAnsi="Times New Roman" w:cs="Times New Roman"/>
          <w:bCs/>
          <w:color w:val="002060"/>
          <w:sz w:val="16"/>
          <w:szCs w:val="16"/>
        </w:rPr>
        <w:softHyphen/>
        <w:t>ве. — Предполагалось, что 12-я армия получит винтовки японские, а 5-я покроет недостачу ружей за счет 12-й. Все это, по нашим расчетам, можно было исполнить в полови</w:t>
      </w:r>
      <w:r w:rsidRPr="00405303">
        <w:rPr>
          <w:rFonts w:ascii="Times New Roman" w:hAnsi="Times New Roman" w:cs="Times New Roman"/>
          <w:bCs/>
          <w:color w:val="002060"/>
          <w:sz w:val="16"/>
          <w:szCs w:val="16"/>
        </w:rPr>
        <w:softHyphen/>
        <w:t>не февраля, но получение японских винтовок замедлилось». Между тем Ставка возлагала надежды именно на живую силу. «Раз не имеем такой могучей артиллерии, как наши союзники, то придется брать количеством пехоты», — ска</w:t>
      </w:r>
      <w:r w:rsidRPr="00405303">
        <w:rPr>
          <w:rFonts w:ascii="Times New Roman" w:hAnsi="Times New Roman" w:cs="Times New Roman"/>
          <w:bCs/>
          <w:color w:val="002060"/>
          <w:sz w:val="16"/>
          <w:szCs w:val="16"/>
        </w:rPr>
        <w:softHyphen/>
        <w:t xml:space="preserve">зал начальник штаба Верховного главнокомандующего М.В. Алексеев (РГВИА. Ф. 2003. Оп. 2. Д. 1016. Л. 103. Приложение к протоколу заседания </w:t>
      </w:r>
      <w:proofErr w:type="gramStart"/>
      <w:r w:rsidRPr="00405303">
        <w:rPr>
          <w:rFonts w:ascii="Times New Roman" w:hAnsi="Times New Roman" w:cs="Times New Roman"/>
          <w:bCs/>
          <w:color w:val="002060"/>
          <w:sz w:val="16"/>
          <w:szCs w:val="16"/>
        </w:rPr>
        <w:t>7 .XII</w:t>
      </w:r>
      <w:proofErr w:type="gramEnd"/>
      <w:r w:rsidRPr="00405303">
        <w:rPr>
          <w:rFonts w:ascii="Times New Roman" w:hAnsi="Times New Roman" w:cs="Times New Roman"/>
          <w:bCs/>
          <w:color w:val="002060"/>
          <w:sz w:val="16"/>
          <w:szCs w:val="16"/>
        </w:rPr>
        <w:t xml:space="preserve">, датированное 14.1.1916. Там же. Л. 187 об., 180 об., 180. Протокол совещания). </w:t>
      </w:r>
    </w:p>
    <w:p w14:paraId="0C255A1D" w14:textId="77777777" w:rsidR="00481739" w:rsidRPr="00405303" w:rsidRDefault="00481739"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Ссылаясь на изменившийся характер военных действий (стабилизация фронта после отступления), бывший началь</w:t>
      </w:r>
      <w:r w:rsidRPr="00405303">
        <w:rPr>
          <w:rFonts w:ascii="Times New Roman" w:hAnsi="Times New Roman" w:cs="Times New Roman"/>
          <w:bCs/>
          <w:color w:val="002060"/>
          <w:sz w:val="16"/>
          <w:szCs w:val="16"/>
        </w:rPr>
        <w:softHyphen/>
        <w:t>ник ГУГШ Беляев утверждал, что это якобы «сразу корен</w:t>
      </w:r>
      <w:r w:rsidRPr="00405303">
        <w:rPr>
          <w:rFonts w:ascii="Times New Roman" w:hAnsi="Times New Roman" w:cs="Times New Roman"/>
          <w:bCs/>
          <w:color w:val="002060"/>
          <w:sz w:val="16"/>
          <w:szCs w:val="16"/>
        </w:rPr>
        <w:softHyphen/>
        <w:t xml:space="preserve">ным образом изменило положение вопроса» о ружьях, он «утратил совершенно свою остроту» (ГАРФ. Ф. 1467. </w:t>
      </w:r>
      <w:r w:rsidRPr="00405303">
        <w:rPr>
          <w:rFonts w:ascii="Times New Roman" w:hAnsi="Times New Roman" w:cs="Times New Roman"/>
          <w:bCs/>
          <w:color w:val="002060"/>
          <w:sz w:val="16"/>
          <w:szCs w:val="16"/>
          <w:lang w:val="en-US" w:bidi="en-US"/>
        </w:rPr>
        <w:t>On</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 xml:space="preserve">1. Д. 480. Л. 281 об.—282. Протокол допроса Беляева, </w:t>
      </w:r>
      <w:proofErr w:type="gramStart"/>
      <w:r w:rsidRPr="00405303">
        <w:rPr>
          <w:rFonts w:ascii="Times New Roman" w:hAnsi="Times New Roman" w:cs="Times New Roman"/>
          <w:bCs/>
          <w:color w:val="002060"/>
          <w:sz w:val="16"/>
          <w:szCs w:val="16"/>
          <w:lang w:bidi="en-US"/>
        </w:rPr>
        <w:t>7.</w:t>
      </w:r>
      <w:r w:rsidRPr="00405303">
        <w:rPr>
          <w:rFonts w:ascii="Times New Roman" w:hAnsi="Times New Roman" w:cs="Times New Roman"/>
          <w:bCs/>
          <w:color w:val="002060"/>
          <w:sz w:val="16"/>
          <w:szCs w:val="16"/>
          <w:lang w:val="en-US" w:bidi="en-US"/>
        </w:rPr>
        <w:t>VIL</w:t>
      </w:r>
      <w:proofErr w:type="gramEnd"/>
      <w:r w:rsidRPr="00405303">
        <w:rPr>
          <w:rFonts w:ascii="Times New Roman" w:hAnsi="Times New Roman" w:cs="Times New Roman"/>
          <w:bCs/>
          <w:color w:val="002060"/>
          <w:sz w:val="16"/>
          <w:szCs w:val="16"/>
          <w:lang w:bidi="en-US"/>
        </w:rPr>
        <w:t>1917</w:t>
      </w:r>
      <w:r w:rsidRPr="00405303">
        <w:rPr>
          <w:rFonts w:ascii="Times New Roman" w:hAnsi="Times New Roman" w:cs="Times New Roman"/>
          <w:bCs/>
          <w:color w:val="002060"/>
          <w:sz w:val="16"/>
          <w:szCs w:val="16"/>
        </w:rPr>
        <w:t>). По его словам, поло</w:t>
      </w:r>
      <w:r w:rsidRPr="00405303">
        <w:rPr>
          <w:rFonts w:ascii="Times New Roman" w:hAnsi="Times New Roman" w:cs="Times New Roman"/>
          <w:bCs/>
          <w:color w:val="002060"/>
          <w:sz w:val="16"/>
          <w:szCs w:val="16"/>
        </w:rPr>
        <w:softHyphen/>
        <w:t xml:space="preserve">жение еще улучшилось в 1916 г. вследствие ряда факторов, включая рост производства в России, прекращение утраты ружей бегущими частями на поле боя, использование австрийских трофейных винтовок, взятых на Юго-Западном фронте, наконец, «столь долго ожидавшееся поступление </w:t>
      </w:r>
      <w:r w:rsidRPr="00405303">
        <w:rPr>
          <w:rFonts w:ascii="Times New Roman" w:hAnsi="Times New Roman" w:cs="Times New Roman"/>
          <w:bCs/>
          <w:color w:val="002060"/>
          <w:sz w:val="16"/>
          <w:szCs w:val="16"/>
        </w:rPr>
        <w:lastRenderedPageBreak/>
        <w:t>в Россию винтовок с завода «Ремингтон», первоначально в количестве 25 тысяч в месяц». В результате образовались в действующей армии «уже весьма хорошие запасы», а в за</w:t>
      </w:r>
      <w:r w:rsidRPr="00405303">
        <w:rPr>
          <w:rFonts w:ascii="Times New Roman" w:hAnsi="Times New Roman" w:cs="Times New Roman"/>
          <w:bCs/>
          <w:color w:val="002060"/>
          <w:sz w:val="16"/>
          <w:szCs w:val="16"/>
        </w:rPr>
        <w:softHyphen/>
        <w:t>пасных батальонах удалось «значительно понизить неком</w:t>
      </w:r>
      <w:r w:rsidRPr="00405303">
        <w:rPr>
          <w:rFonts w:ascii="Times New Roman" w:hAnsi="Times New Roman" w:cs="Times New Roman"/>
          <w:bCs/>
          <w:color w:val="002060"/>
          <w:sz w:val="16"/>
          <w:szCs w:val="16"/>
        </w:rPr>
        <w:softHyphen/>
        <w:t>плект» (23370).</w:t>
      </w:r>
    </w:p>
    <w:p w14:paraId="0FFEBD6A" w14:textId="77777777" w:rsidR="00481739" w:rsidRPr="00405303" w:rsidRDefault="00481739" w:rsidP="00C15251">
      <w:pPr>
        <w:jc w:val="both"/>
        <w:rPr>
          <w:bCs/>
          <w:color w:val="002060"/>
          <w:sz w:val="16"/>
          <w:szCs w:val="16"/>
        </w:rPr>
      </w:pPr>
    </w:p>
    <w:p w14:paraId="677812D9" w14:textId="77777777" w:rsidR="00A0078B" w:rsidRPr="00B52707" w:rsidRDefault="00A0078B" w:rsidP="00A0078B">
      <w:pPr>
        <w:jc w:val="both"/>
        <w:rPr>
          <w:color w:val="0070C0"/>
          <w:sz w:val="16"/>
          <w:szCs w:val="16"/>
        </w:rPr>
      </w:pPr>
      <w:r w:rsidRPr="00B52707">
        <w:rPr>
          <w:color w:val="0070C0"/>
          <w:sz w:val="16"/>
          <w:szCs w:val="16"/>
        </w:rPr>
        <w:t>Осенью 1915 года, после года работы на фронте, первая санитарная колонна ИРАО колонна вернулась в Петроград - ее автомобили настолько износились, что не подлежали дальнейшей эксплуатации. ИРАО начало поиск новых машин для за</w:t>
      </w:r>
      <w:r w:rsidRPr="00B52707">
        <w:rPr>
          <w:color w:val="0070C0"/>
          <w:sz w:val="16"/>
          <w:szCs w:val="16"/>
        </w:rPr>
        <w:softHyphen/>
        <w:t>мены изношенных. Узнав об этом, Нико</w:t>
      </w:r>
      <w:r w:rsidRPr="00B52707">
        <w:rPr>
          <w:color w:val="0070C0"/>
          <w:sz w:val="16"/>
          <w:szCs w:val="16"/>
        </w:rPr>
        <w:softHyphen/>
        <w:t>лай II, «осведомившись о таком положении дел в санитарных колоннах ИРАО и при</w:t>
      </w:r>
      <w:r w:rsidRPr="00B52707">
        <w:rPr>
          <w:color w:val="0070C0"/>
          <w:sz w:val="16"/>
          <w:szCs w:val="16"/>
        </w:rPr>
        <w:softHyphen/>
        <w:t>знавая их выдающееся значение в деле по</w:t>
      </w:r>
      <w:r w:rsidRPr="00B52707">
        <w:rPr>
          <w:color w:val="0070C0"/>
          <w:sz w:val="16"/>
          <w:szCs w:val="16"/>
        </w:rPr>
        <w:softHyphen/>
        <w:t>мощи раненым воинам, соизволил повелеть выдать новые машины в санитарную колон</w:t>
      </w:r>
      <w:r w:rsidRPr="00B52707">
        <w:rPr>
          <w:color w:val="0070C0"/>
          <w:sz w:val="16"/>
          <w:szCs w:val="16"/>
        </w:rPr>
        <w:softHyphen/>
        <w:t>ну имени Наследника Цесаревича». Воен</w:t>
      </w:r>
      <w:r w:rsidRPr="00B52707">
        <w:rPr>
          <w:color w:val="0070C0"/>
          <w:sz w:val="16"/>
          <w:szCs w:val="16"/>
        </w:rPr>
        <w:softHyphen/>
        <w:t>ный министр получил соответствующее рас</w:t>
      </w:r>
      <w:r w:rsidRPr="00B52707">
        <w:rPr>
          <w:color w:val="0070C0"/>
          <w:sz w:val="16"/>
          <w:szCs w:val="16"/>
        </w:rPr>
        <w:softHyphen/>
        <w:t>поряжение, и в марте 1916 года ИРАО по</w:t>
      </w:r>
      <w:r w:rsidRPr="00B52707">
        <w:rPr>
          <w:color w:val="0070C0"/>
          <w:sz w:val="16"/>
          <w:szCs w:val="16"/>
        </w:rPr>
        <w:softHyphen/>
        <w:t>лучило семь новых легковых автомобилей для передачи их в санитарную колонну име</w:t>
      </w:r>
      <w:r w:rsidRPr="00B52707">
        <w:rPr>
          <w:color w:val="0070C0"/>
          <w:sz w:val="16"/>
          <w:szCs w:val="16"/>
        </w:rPr>
        <w:softHyphen/>
        <w:t>ни Наследника Цесаревича. Из этих семи ма</w:t>
      </w:r>
      <w:r w:rsidRPr="00B52707">
        <w:rPr>
          <w:color w:val="0070C0"/>
          <w:sz w:val="16"/>
          <w:szCs w:val="16"/>
        </w:rPr>
        <w:softHyphen/>
        <w:t>шин пять оснастили «приборами Кегресса», сделав их полугусеничными. Четыре из них были марки «Рено», а вот один - «Остин», причем, судя по длинному капоту с 6-ци</w:t>
      </w:r>
      <w:r w:rsidRPr="00B52707">
        <w:rPr>
          <w:color w:val="0070C0"/>
          <w:sz w:val="16"/>
          <w:szCs w:val="16"/>
        </w:rPr>
        <w:softHyphen/>
        <w:t>линдровым двигателем. Долгое время фото</w:t>
      </w:r>
      <w:r w:rsidRPr="00B52707">
        <w:rPr>
          <w:color w:val="0070C0"/>
          <w:sz w:val="16"/>
          <w:szCs w:val="16"/>
        </w:rPr>
        <w:softHyphen/>
        <w:t>графия этого «Остина», довольно известная, кочуя от публикации к публикации, подпи</w:t>
      </w:r>
      <w:r w:rsidRPr="00B52707">
        <w:rPr>
          <w:color w:val="0070C0"/>
          <w:sz w:val="16"/>
          <w:szCs w:val="16"/>
        </w:rPr>
        <w:softHyphen/>
        <w:t>сывалась как автомобиль «Руссо-Балт» с дви</w:t>
      </w:r>
      <w:r w:rsidRPr="00B52707">
        <w:rPr>
          <w:color w:val="0070C0"/>
          <w:sz w:val="16"/>
          <w:szCs w:val="16"/>
        </w:rPr>
        <w:softHyphen/>
        <w:t>жителем Кегресса. Лишь недавно исследова</w:t>
      </w:r>
      <w:r w:rsidRPr="00B52707">
        <w:rPr>
          <w:color w:val="0070C0"/>
          <w:sz w:val="16"/>
          <w:szCs w:val="16"/>
        </w:rPr>
        <w:softHyphen/>
        <w:t>тели Станислав Кирилец и Владислав Мало</w:t>
      </w:r>
      <w:r w:rsidRPr="00B52707">
        <w:rPr>
          <w:color w:val="0070C0"/>
          <w:sz w:val="16"/>
          <w:szCs w:val="16"/>
        </w:rPr>
        <w:softHyphen/>
        <w:t>феев в своей статье убедительно доказали, что изображенный на фотографии автомо</w:t>
      </w:r>
      <w:r w:rsidRPr="00B52707">
        <w:rPr>
          <w:color w:val="0070C0"/>
          <w:sz w:val="16"/>
          <w:szCs w:val="16"/>
        </w:rPr>
        <w:softHyphen/>
        <w:t>биль - не «Руссо-Балт», а именно «Остин» (25008)</w:t>
      </w:r>
    </w:p>
    <w:p w14:paraId="0477F078" w14:textId="77777777" w:rsidR="00A0078B" w:rsidRPr="00B52707" w:rsidRDefault="00A0078B" w:rsidP="00A0078B">
      <w:pPr>
        <w:jc w:val="both"/>
        <w:rPr>
          <w:color w:val="0070C0"/>
          <w:sz w:val="16"/>
          <w:szCs w:val="16"/>
        </w:rPr>
      </w:pPr>
    </w:p>
    <w:p w14:paraId="25A392CF" w14:textId="12D4E6F0" w:rsidR="009D2AA0" w:rsidRPr="00405303" w:rsidRDefault="009D2AA0" w:rsidP="009D2AA0">
      <w:pPr>
        <w:shd w:val="clear" w:color="auto" w:fill="FFFFFF"/>
        <w:jc w:val="both"/>
        <w:rPr>
          <w:bCs/>
          <w:i/>
          <w:color w:val="002060"/>
          <w:sz w:val="16"/>
          <w:szCs w:val="16"/>
        </w:rPr>
      </w:pPr>
      <w:r w:rsidRPr="00405303">
        <w:rPr>
          <w:bCs/>
          <w:i/>
          <w:color w:val="002060"/>
          <w:sz w:val="16"/>
          <w:szCs w:val="16"/>
        </w:rPr>
        <w:t>А</w:t>
      </w:r>
      <w:r>
        <w:rPr>
          <w:bCs/>
          <w:i/>
          <w:color w:val="002060"/>
          <w:sz w:val="16"/>
          <w:szCs w:val="16"/>
        </w:rPr>
        <w:t>рмия</w:t>
      </w:r>
      <w:r w:rsidRPr="00405303">
        <w:rPr>
          <w:bCs/>
          <w:i/>
          <w:color w:val="002060"/>
          <w:sz w:val="16"/>
          <w:szCs w:val="16"/>
        </w:rPr>
        <w:t>:</w:t>
      </w:r>
    </w:p>
    <w:p w14:paraId="0F43E050" w14:textId="77777777" w:rsidR="009D2AA0" w:rsidRPr="00405303" w:rsidRDefault="009D2AA0" w:rsidP="009D2AA0">
      <w:pPr>
        <w:shd w:val="clear" w:color="auto" w:fill="FFFFFF"/>
        <w:jc w:val="both"/>
        <w:rPr>
          <w:bCs/>
          <w:i/>
          <w:color w:val="002060"/>
          <w:sz w:val="16"/>
          <w:szCs w:val="16"/>
        </w:rPr>
      </w:pPr>
    </w:p>
    <w:p w14:paraId="309C249E" w14:textId="77777777" w:rsidR="009D2AA0" w:rsidRPr="00B52707" w:rsidRDefault="009D2AA0" w:rsidP="009D2AA0">
      <w:pPr>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Осенью 1915 г. в соответствии с решением Ставки ВГК основные силы действующей русской армии были выведены из центральных районов царства Польского и западной части Прибалтики. Их отход на новые позиции повлек за собой организационные изменения, в том числе и в системе управления войсками.</w:t>
      </w:r>
    </w:p>
    <w:p w14:paraId="7135965D" w14:textId="77777777" w:rsidR="009D2AA0" w:rsidRPr="00B52707" w:rsidRDefault="009D2AA0" w:rsidP="009D2AA0">
      <w:pPr>
        <w:jc w:val="both"/>
        <w:rPr>
          <w:color w:val="0070C0"/>
          <w:sz w:val="16"/>
          <w:szCs w:val="16"/>
        </w:rPr>
      </w:pPr>
      <w:r w:rsidRPr="00B52707">
        <w:rPr>
          <w:rStyle w:val="aa"/>
          <w:rFonts w:ascii="Times New Roman" w:hAnsi="Times New Roman"/>
          <w:color w:val="0070C0"/>
          <w:spacing w:val="0"/>
          <w:sz w:val="16"/>
          <w:szCs w:val="16"/>
        </w:rPr>
        <w:t>Оставление противнику ряда крепостей и укрепленных районов повлекло за собой перевод значительной части прифронтовых подразделений ВВФ в глубокий тыл. Например, Ковенская крепостная воздухоплавательная рота была перебазирована в г. Ревель, в распоряжение коменданта морской крепости императора Петра Великого.</w:t>
      </w:r>
      <w:hyperlink w:anchor="bookmark1319" w:tooltip="Current Document">
        <w:r w:rsidRPr="00B52707">
          <w:rPr>
            <w:rStyle w:val="aa"/>
            <w:rFonts w:ascii="Times New Roman" w:hAnsi="Times New Roman"/>
            <w:color w:val="0070C0"/>
            <w:spacing w:val="0"/>
            <w:sz w:val="16"/>
            <w:szCs w:val="16"/>
            <w:u w:val="single"/>
            <w:vertAlign w:val="superscript"/>
          </w:rPr>
          <w:t>[</w:t>
        </w:r>
      </w:hyperlink>
      <w:r w:rsidRPr="00B52707">
        <w:rPr>
          <w:rStyle w:val="aa"/>
          <w:rFonts w:ascii="Times New Roman" w:hAnsi="Times New Roman"/>
          <w:color w:val="0070C0"/>
          <w:spacing w:val="0"/>
          <w:sz w:val="16"/>
          <w:szCs w:val="16"/>
        </w:rPr>
        <w:t xml:space="preserve"> Туда же была переведена часть крепостной артиллерии г. Осовец и Брест-Литовск, а также большое количество трофейных германский и австрийских орудий (25135).</w:t>
      </w:r>
    </w:p>
    <w:p w14:paraId="2FD66D3D" w14:textId="77777777" w:rsidR="009D2AA0" w:rsidRPr="00B52707" w:rsidRDefault="009D2AA0" w:rsidP="009D2AA0">
      <w:pPr>
        <w:jc w:val="both"/>
        <w:rPr>
          <w:color w:val="0070C0"/>
          <w:sz w:val="16"/>
          <w:szCs w:val="16"/>
        </w:rPr>
      </w:pPr>
    </w:p>
    <w:p w14:paraId="502995F3" w14:textId="77777777" w:rsidR="009D2AA0" w:rsidRPr="00B52707" w:rsidRDefault="009D2AA0" w:rsidP="009D2AA0">
      <w:pPr>
        <w:jc w:val="both"/>
        <w:rPr>
          <w:color w:val="0070C0"/>
          <w:sz w:val="16"/>
          <w:szCs w:val="16"/>
        </w:rPr>
      </w:pPr>
      <w:r w:rsidRPr="00B52707">
        <w:rPr>
          <w:rStyle w:val="aa"/>
          <w:rFonts w:ascii="Times New Roman" w:hAnsi="Times New Roman"/>
          <w:color w:val="0070C0"/>
          <w:spacing w:val="0"/>
          <w:sz w:val="16"/>
          <w:szCs w:val="16"/>
        </w:rPr>
        <w:t>Осенью 1915 г. линия фронта пролегала по белорусскому Полесью от оз. Нарочь до Припяти. Свенцянское направление обороняла 2-я армия, Сморгонское – 4-я, Кревское – 10-я и Барановичское – 3-я армии.</w:t>
      </w:r>
    </w:p>
    <w:p w14:paraId="666A6E7B" w14:textId="77777777" w:rsidR="009D2AA0" w:rsidRPr="00B52707" w:rsidRDefault="009D2AA0" w:rsidP="009D2AA0">
      <w:pPr>
        <w:jc w:val="both"/>
        <w:rPr>
          <w:color w:val="0070C0"/>
          <w:sz w:val="16"/>
          <w:szCs w:val="16"/>
        </w:rPr>
      </w:pPr>
      <w:r w:rsidRPr="00B52707">
        <w:rPr>
          <w:rStyle w:val="aa"/>
          <w:rFonts w:ascii="Times New Roman" w:hAnsi="Times New Roman"/>
          <w:color w:val="0070C0"/>
          <w:spacing w:val="0"/>
          <w:sz w:val="16"/>
          <w:szCs w:val="16"/>
        </w:rPr>
        <w:t>Северный фронт (СФ) прикрывал подступы к Петрограду. В его состав первоначально входили 12, 5, 6 и 1-я армии, командованию фронта подчинялись Балтийский флот и гарнизоны морских крепостей Балтийского моря.</w:t>
      </w:r>
    </w:p>
    <w:p w14:paraId="1C1D5168" w14:textId="77777777" w:rsidR="009D2AA0" w:rsidRPr="00B52707" w:rsidRDefault="009D2AA0" w:rsidP="009D2AA0">
      <w:pPr>
        <w:jc w:val="both"/>
        <w:rPr>
          <w:color w:val="0070C0"/>
          <w:sz w:val="16"/>
          <w:szCs w:val="16"/>
        </w:rPr>
      </w:pPr>
      <w:r w:rsidRPr="00B52707">
        <w:rPr>
          <w:rStyle w:val="aa"/>
          <w:rFonts w:ascii="Times New Roman" w:hAnsi="Times New Roman"/>
          <w:color w:val="0070C0"/>
          <w:spacing w:val="0"/>
          <w:sz w:val="16"/>
          <w:szCs w:val="16"/>
        </w:rPr>
        <w:t>Стабилизация русско-германского фронта привела к активизации разведывательной деятельности противника, стремившегося собрать как можно больше полезной информации о расположении русских войск для подготовки плана будущей кампании 1916 г. Немецкие самолеты почти ежедневно совершали облет наших позиций, иногда глубоко проникая в тыл русских частей. Зачастую такие полеты заканчивались для противника довольно плачевно. Попадая под зенитный огонь, вражеские самолеты пополняли боевой счет подразделений русской воздушной обороны. Вот некоторые скупые строчки боевых донесений того времени: в сентябре в результате меткой стрельбы нашей артиллерии был подбит неприятельский самолет, упавший вскоре возле н/п Микилевшизка (Северный фронт); такая же участь постигла другой немецкий летательный аппарат, подбитый и захваченный в качестве трофея в районе г. Двинск (25135);</w:t>
      </w:r>
    </w:p>
    <w:p w14:paraId="2BC8CBC3" w14:textId="77777777" w:rsidR="009D2AA0" w:rsidRPr="00B52707" w:rsidRDefault="009D2AA0" w:rsidP="009D2AA0">
      <w:pPr>
        <w:jc w:val="both"/>
        <w:rPr>
          <w:color w:val="0070C0"/>
          <w:sz w:val="16"/>
          <w:szCs w:val="16"/>
        </w:rPr>
      </w:pPr>
    </w:p>
    <w:p w14:paraId="502809EB"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2B115E27" w14:textId="77777777" w:rsidR="004B4E35" w:rsidRPr="00405303" w:rsidRDefault="004B4E35" w:rsidP="00C15251">
      <w:pPr>
        <w:shd w:val="clear" w:color="auto" w:fill="FFFFFF"/>
        <w:jc w:val="both"/>
        <w:rPr>
          <w:bCs/>
          <w:i/>
          <w:color w:val="002060"/>
          <w:sz w:val="16"/>
          <w:szCs w:val="16"/>
        </w:rPr>
      </w:pPr>
    </w:p>
    <w:p w14:paraId="5455D994" w14:textId="77777777" w:rsidR="006F5768" w:rsidRPr="00405303" w:rsidRDefault="006F5768" w:rsidP="00C15251">
      <w:pPr>
        <w:jc w:val="both"/>
        <w:rPr>
          <w:bCs/>
          <w:color w:val="002060"/>
          <w:sz w:val="16"/>
          <w:szCs w:val="16"/>
        </w:rPr>
      </w:pPr>
      <w:r w:rsidRPr="00405303">
        <w:rPr>
          <w:bCs/>
          <w:color w:val="002060"/>
          <w:sz w:val="16"/>
          <w:szCs w:val="16"/>
        </w:rPr>
        <w:t>Осенью 1915 г. организационная структура авиации действующей армии приобрела относительную устойчивость, так как авиационные части перестали без необходимости подчинять то одной, то другой инстанции. В августе 1915 г. Великий князь решил объединить авиаотряды в авиационные дивизионы армейского подчинения. Для исключения крупных просчетов Ставка приняла решение ввести авиадивизионы пока только в 5 и 7-й армиях (приказ НШ ВГК от 18 сентября 1915 г. № 6526). Выполнение этого проекта должно было направить усилия летчиков на качественное выполнение расширяющегося круга задач, возлагаемых на авиаотряд. Последний все в большей степени приобретал признаки многоцелевой авиачасти, а это неизбежно должно было предъявить к летчикам и наблюдателям повышенные и разнообразные требования. С другой стороны, появление в армейском звене авиадивизиона создавало предпосылки для сосредоточения усилий авиаотрядов на важнейших направлениях и объектах действий, то есть – для массирования сил авиации (19566).</w:t>
      </w:r>
    </w:p>
    <w:p w14:paraId="7C88F3AE" w14:textId="77777777" w:rsidR="006F5768" w:rsidRPr="00405303" w:rsidRDefault="006F5768" w:rsidP="00C15251">
      <w:pPr>
        <w:jc w:val="both"/>
        <w:rPr>
          <w:bCs/>
          <w:color w:val="002060"/>
          <w:sz w:val="16"/>
          <w:szCs w:val="16"/>
        </w:rPr>
      </w:pPr>
    </w:p>
    <w:p w14:paraId="2CF9502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Осенью 1915 г. в России в виде опыта при 5-й и 7-й армиях «для установления прочной и гибкой связи всех авиационных от</w:t>
      </w:r>
      <w:r w:rsidRPr="00405303">
        <w:rPr>
          <w:bCs/>
          <w:color w:val="002060"/>
          <w:sz w:val="16"/>
          <w:szCs w:val="16"/>
        </w:rPr>
        <w:softHyphen/>
        <w:t>рядов между собою и между учреждениями, обслуживающими их техническую часть, для упрощения хозяйственной организации от</w:t>
      </w:r>
      <w:r w:rsidRPr="00405303">
        <w:rPr>
          <w:bCs/>
          <w:color w:val="002060"/>
          <w:sz w:val="16"/>
          <w:szCs w:val="16"/>
        </w:rPr>
        <w:softHyphen/>
        <w:t>рядов и облегчения их в смысле необходимого ремонта аппара</w:t>
      </w:r>
      <w:r w:rsidRPr="00405303">
        <w:rPr>
          <w:bCs/>
          <w:color w:val="002060"/>
          <w:sz w:val="16"/>
          <w:szCs w:val="16"/>
        </w:rPr>
        <w:softHyphen/>
        <w:t>тов» (ЦГВИА, ф. 2008, оп. 1, д. 314, л. 11) были созданы первые авиационные дивизионы.</w:t>
      </w:r>
    </w:p>
    <w:p w14:paraId="7384980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Начальники авиационных отрядов каждой армии во всех от</w:t>
      </w:r>
      <w:r w:rsidRPr="00405303">
        <w:rPr>
          <w:bCs/>
          <w:color w:val="002060"/>
          <w:sz w:val="16"/>
          <w:szCs w:val="16"/>
        </w:rPr>
        <w:softHyphen/>
        <w:t>ношениях подчинялись командиру авиационного дивизиона. По</w:t>
      </w:r>
      <w:r w:rsidRPr="00405303">
        <w:rPr>
          <w:bCs/>
          <w:color w:val="002060"/>
          <w:sz w:val="16"/>
          <w:szCs w:val="16"/>
        </w:rPr>
        <w:softHyphen/>
        <w:t>следний в свою очередь подчинялся непосредственно генерал-квартирмейстеру штаба армии. Генерал-квартирмейстер ставил командиру авиационного дивизиона общие задачи, указывая, ка</w:t>
      </w:r>
      <w:r w:rsidRPr="00405303">
        <w:rPr>
          <w:bCs/>
          <w:color w:val="002060"/>
          <w:sz w:val="16"/>
          <w:szCs w:val="16"/>
        </w:rPr>
        <w:softHyphen/>
        <w:t>кие районы и объекты необходимо разведать, что нужно сфото</w:t>
      </w:r>
      <w:r w:rsidRPr="00405303">
        <w:rPr>
          <w:bCs/>
          <w:color w:val="002060"/>
          <w:sz w:val="16"/>
          <w:szCs w:val="16"/>
        </w:rPr>
        <w:softHyphen/>
        <w:t>графировать, по каким целям необходимо нанести бомбардировочные удары и т. п. Командир дивизиона распределял получен</w:t>
      </w:r>
      <w:r w:rsidRPr="00405303">
        <w:rPr>
          <w:bCs/>
          <w:color w:val="002060"/>
          <w:sz w:val="16"/>
          <w:szCs w:val="16"/>
        </w:rPr>
        <w:softHyphen/>
        <w:t>ные задачи между отрядами, учитывая наличие и "состояние их материальной части и личного состава. Благодаря такой органи</w:t>
      </w:r>
      <w:r w:rsidRPr="00405303">
        <w:rPr>
          <w:bCs/>
          <w:color w:val="002060"/>
          <w:sz w:val="16"/>
          <w:szCs w:val="16"/>
        </w:rPr>
        <w:softHyphen/>
        <w:t>зации управления все авиационные средства армии использова</w:t>
      </w:r>
      <w:r w:rsidRPr="00405303">
        <w:rPr>
          <w:bCs/>
          <w:color w:val="002060"/>
          <w:sz w:val="16"/>
          <w:szCs w:val="16"/>
        </w:rPr>
        <w:softHyphen/>
        <w:t>лись более целесообразно.</w:t>
      </w:r>
    </w:p>
    <w:p w14:paraId="40C9E0D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Кроме того, командование авиационных дивизионов взяло на себя значительную часть обязанностей по материально-техниче</w:t>
      </w:r>
      <w:r w:rsidRPr="00405303">
        <w:rPr>
          <w:bCs/>
          <w:color w:val="002060"/>
          <w:sz w:val="16"/>
          <w:szCs w:val="16"/>
        </w:rPr>
        <w:softHyphen/>
        <w:t>скому обеспечению, благодаря чему авиационные отряды полу</w:t>
      </w:r>
      <w:r w:rsidRPr="00405303">
        <w:rPr>
          <w:bCs/>
          <w:color w:val="002060"/>
          <w:sz w:val="16"/>
          <w:szCs w:val="16"/>
        </w:rPr>
        <w:softHyphen/>
        <w:t>чили возможность сосредоточить все внимание на вопросах ве</w:t>
      </w:r>
      <w:r w:rsidRPr="00405303">
        <w:rPr>
          <w:bCs/>
          <w:color w:val="002060"/>
          <w:sz w:val="16"/>
          <w:szCs w:val="16"/>
        </w:rPr>
        <w:softHyphen/>
        <w:t>дения боевых действий (278).</w:t>
      </w:r>
    </w:p>
    <w:p w14:paraId="1BC2B7D3" w14:textId="77777777" w:rsidR="004B4E35" w:rsidRPr="00405303" w:rsidRDefault="004B4E35" w:rsidP="00C15251">
      <w:pPr>
        <w:shd w:val="clear" w:color="auto" w:fill="FFFFFF"/>
        <w:jc w:val="both"/>
        <w:rPr>
          <w:bCs/>
          <w:color w:val="002060"/>
          <w:sz w:val="16"/>
          <w:szCs w:val="16"/>
        </w:rPr>
      </w:pPr>
    </w:p>
    <w:p w14:paraId="5212DC7B" w14:textId="77777777" w:rsidR="00481739" w:rsidRPr="00405303" w:rsidRDefault="00481739" w:rsidP="00C15251">
      <w:pPr>
        <w:jc w:val="both"/>
        <w:rPr>
          <w:bCs/>
          <w:color w:val="002060"/>
          <w:sz w:val="16"/>
          <w:szCs w:val="16"/>
        </w:rPr>
      </w:pPr>
      <w:bookmarkStart w:id="262" w:name="bookmark221"/>
      <w:r w:rsidRPr="00405303">
        <w:rPr>
          <w:bCs/>
          <w:color w:val="002060"/>
          <w:sz w:val="16"/>
          <w:szCs w:val="16"/>
        </w:rPr>
        <w:t xml:space="preserve">Осенью 1915 г. в интервью газете Pester Loyd австрийский майор Морат с горечью признавал: «Было бы смешно говорить с неуважением о русских летчиках. Русские летчики опаснее враги, чем французы. Русские летчики хладнокровны. В атаках русских, быть может, отсутствует планомерность, так </w:t>
      </w:r>
      <w:proofErr w:type="gramStart"/>
      <w:r w:rsidRPr="00405303">
        <w:rPr>
          <w:bCs/>
          <w:color w:val="002060"/>
          <w:sz w:val="16"/>
          <w:szCs w:val="16"/>
        </w:rPr>
        <w:t>же</w:t>
      </w:r>
      <w:proofErr w:type="gramEnd"/>
      <w:r w:rsidRPr="00405303">
        <w:rPr>
          <w:bCs/>
          <w:color w:val="002060"/>
          <w:sz w:val="16"/>
          <w:szCs w:val="16"/>
        </w:rPr>
        <w:t xml:space="preserve"> как и у французов, но в воздухе русские летчики непоколебимее и могут переносить большие потери без всякой паники. Русский летчик есть и остается страшным противником» (23405).</w:t>
      </w:r>
      <w:bookmarkEnd w:id="262"/>
    </w:p>
    <w:p w14:paraId="38A12C48" w14:textId="77777777" w:rsidR="00481739" w:rsidRPr="00405303" w:rsidRDefault="00481739" w:rsidP="00C15251">
      <w:pPr>
        <w:jc w:val="both"/>
        <w:rPr>
          <w:bCs/>
          <w:color w:val="002060"/>
          <w:sz w:val="16"/>
          <w:szCs w:val="16"/>
        </w:rPr>
      </w:pPr>
    </w:p>
    <w:p w14:paraId="1A2C9894" w14:textId="77777777" w:rsidR="00481739" w:rsidRPr="00405303" w:rsidRDefault="00481739" w:rsidP="00C15251">
      <w:pPr>
        <w:jc w:val="both"/>
        <w:rPr>
          <w:bCs/>
          <w:color w:val="002060"/>
          <w:sz w:val="16"/>
          <w:szCs w:val="16"/>
        </w:rPr>
      </w:pPr>
      <w:r w:rsidRPr="00405303">
        <w:rPr>
          <w:bCs/>
          <w:color w:val="002060"/>
          <w:sz w:val="16"/>
          <w:szCs w:val="16"/>
        </w:rPr>
        <w:t>Осенью 1915 г. в соответствии с решением Ставки ВГК основные силы действующей русской армии были выведены из центральных районов царства Польского и западной части Прибалтики. Их отход на новые позиции повлек за собой организационные изменения, в том числе и в системе управления войсками.</w:t>
      </w:r>
    </w:p>
    <w:p w14:paraId="3BE6381D" w14:textId="77777777" w:rsidR="00481739" w:rsidRPr="00405303" w:rsidRDefault="00481739" w:rsidP="00C15251">
      <w:pPr>
        <w:jc w:val="both"/>
        <w:rPr>
          <w:bCs/>
          <w:color w:val="002060"/>
          <w:sz w:val="16"/>
          <w:szCs w:val="16"/>
        </w:rPr>
      </w:pPr>
      <w:bookmarkStart w:id="263" w:name="bookmark258"/>
      <w:r w:rsidRPr="00405303">
        <w:rPr>
          <w:bCs/>
          <w:color w:val="002060"/>
          <w:sz w:val="16"/>
          <w:szCs w:val="16"/>
        </w:rPr>
        <w:t>Оставление противнику ряда крепостей и укрепленных районов повлекло за собой перевод значительной части прифронтовых подразделений ВВФ в глубокий тыл. Например, Ковенская крепостная воздухоплавательная рота была перебазирована в г. Ревель, в распоряжение коменданта морской крепости императора Петра Великого. Туда же была переведена часть крепостной артиллерии г. Осовец и Брест-Литовск, а также большое количество трофейных германский и австрийских орудий.</w:t>
      </w:r>
      <w:bookmarkEnd w:id="263"/>
    </w:p>
    <w:p w14:paraId="0A037BEB" w14:textId="77777777" w:rsidR="00481739" w:rsidRPr="00405303" w:rsidRDefault="00481739" w:rsidP="00C15251">
      <w:pPr>
        <w:jc w:val="both"/>
        <w:rPr>
          <w:bCs/>
          <w:color w:val="002060"/>
          <w:sz w:val="16"/>
          <w:szCs w:val="16"/>
        </w:rPr>
      </w:pPr>
      <w:r w:rsidRPr="00405303">
        <w:rPr>
          <w:bCs/>
          <w:color w:val="002060"/>
          <w:sz w:val="16"/>
          <w:szCs w:val="16"/>
        </w:rPr>
        <w:t>Вследствие разделения 18 августа 1915 г. Северо-Западного фронта были образованы новые стратегически-оперативные объединения: Северный и Западный фронты. Это позволило сконцентрировать на западном стратегическом направлении 2, 3, 4 и 10-ю русские армии, с перемещением туда позднее 1-й и 5-й армий. Осенью линия фронта пролегала по белорусскому Полесью от оз. Нарочь до Припяти. Свенцянское направление обороняла 2-я армия, Сморгонское - 4-я, Кревское - 10-я и Барановичское - 3-я армии.</w:t>
      </w:r>
    </w:p>
    <w:p w14:paraId="42B58F82" w14:textId="77777777" w:rsidR="00481739" w:rsidRPr="00405303" w:rsidRDefault="00481739" w:rsidP="00C15251">
      <w:pPr>
        <w:jc w:val="both"/>
        <w:rPr>
          <w:bCs/>
          <w:color w:val="002060"/>
          <w:sz w:val="16"/>
          <w:szCs w:val="16"/>
        </w:rPr>
      </w:pPr>
      <w:r w:rsidRPr="00405303">
        <w:rPr>
          <w:bCs/>
          <w:color w:val="002060"/>
          <w:sz w:val="16"/>
          <w:szCs w:val="16"/>
        </w:rPr>
        <w:t>Северный фронт (СФ) прикрывал подступы к Петрограду. В его состав первоначально входили 12, 5, 6 и 1-я армии, командованию фронта подчинялись Балтийский флот и гарнизоны морских крепостей Балтийского моря.</w:t>
      </w:r>
    </w:p>
    <w:p w14:paraId="4A4F3D5A" w14:textId="77777777" w:rsidR="00481739" w:rsidRPr="00405303" w:rsidRDefault="00481739" w:rsidP="00C15251">
      <w:pPr>
        <w:jc w:val="both"/>
        <w:rPr>
          <w:bCs/>
          <w:color w:val="002060"/>
          <w:sz w:val="16"/>
          <w:szCs w:val="16"/>
        </w:rPr>
      </w:pPr>
      <w:r w:rsidRPr="00405303">
        <w:rPr>
          <w:bCs/>
          <w:color w:val="002060"/>
          <w:sz w:val="16"/>
          <w:szCs w:val="16"/>
        </w:rPr>
        <w:lastRenderedPageBreak/>
        <w:t>Стабилизация русско-германского фронта привела к активизации разведывательной деятельности противника, стремившегося собрать как можно больше полезной информации о расположении русских войск для подготовки плана будущей кампании 1916 г. Немецкие самолеты почти ежедневно совершали облет наших позиций, иногда глубоко проникая в тыл русских частей. Зачастую такие полеты заканчивались для противника довольно плачевно. Попадая под зенитный огонь, вражеские самолеты пополняли боевой счет подразделений русской воздушной обороны (23405).</w:t>
      </w:r>
    </w:p>
    <w:p w14:paraId="5CF17857" w14:textId="77777777" w:rsidR="00481739" w:rsidRPr="00405303" w:rsidRDefault="00481739" w:rsidP="00C15251">
      <w:pPr>
        <w:jc w:val="both"/>
        <w:rPr>
          <w:bCs/>
          <w:color w:val="002060"/>
          <w:sz w:val="16"/>
          <w:szCs w:val="16"/>
        </w:rPr>
      </w:pPr>
    </w:p>
    <w:p w14:paraId="36A288DC" w14:textId="77777777" w:rsidR="00481739" w:rsidRPr="00405303" w:rsidRDefault="00481739" w:rsidP="00C15251">
      <w:pPr>
        <w:jc w:val="both"/>
        <w:rPr>
          <w:bCs/>
          <w:color w:val="002060"/>
          <w:sz w:val="16"/>
          <w:szCs w:val="16"/>
        </w:rPr>
      </w:pPr>
      <w:r w:rsidRPr="00405303">
        <w:rPr>
          <w:bCs/>
          <w:color w:val="002060"/>
          <w:sz w:val="16"/>
          <w:szCs w:val="16"/>
        </w:rPr>
        <w:t xml:space="preserve">Осенью 1915 г. </w:t>
      </w:r>
      <w:bookmarkStart w:id="264" w:name="bookmark261"/>
      <w:r w:rsidRPr="00405303">
        <w:rPr>
          <w:bCs/>
          <w:color w:val="002060"/>
          <w:sz w:val="16"/>
          <w:szCs w:val="16"/>
        </w:rPr>
        <w:t>была отмечена бомбардировка SL-7 г. Двинск. Являясь важным военно-административным центром на северном крыле русско- германского фронта, этот город неоднократно подвергался ударам воздушных сил противника. Наиболее частным гостем в его небе был цеппелин LZ-86. Так, в ходе своего налета 16 ноября он сбросил с высоты 2,6 км на город 3,5 тонны бомб. Месяцем ранее объектом нападения стала Рига. На ее жилые кварталы немецкие аэронавты сбросили несколько бомб без особого ущерба для жителей города.</w:t>
      </w:r>
      <w:bookmarkEnd w:id="264"/>
    </w:p>
    <w:p w14:paraId="14691EF1" w14:textId="77777777" w:rsidR="00481739" w:rsidRPr="00405303" w:rsidRDefault="00481739" w:rsidP="00C15251">
      <w:pPr>
        <w:jc w:val="both"/>
        <w:rPr>
          <w:bCs/>
          <w:color w:val="002060"/>
          <w:sz w:val="16"/>
          <w:szCs w:val="16"/>
        </w:rPr>
      </w:pPr>
      <w:bookmarkStart w:id="265" w:name="bookmark262"/>
      <w:r w:rsidRPr="00405303">
        <w:rPr>
          <w:bCs/>
          <w:color w:val="002060"/>
          <w:sz w:val="16"/>
          <w:szCs w:val="16"/>
        </w:rPr>
        <w:t>Ночью следующих суток воздушной бомбардировке подверглась ст. Ново-Вилейск (район г. Вильна). На железнодорожные сооружения было сброшено около 40 бомб, имелись человеческие жертвы. Немного ранее появление цеппелина было зафиксировано над Вильной. Плотный зенитный огонь заставил неприятельский экипаж изменить курс полета военного дирижабля (23405).</w:t>
      </w:r>
      <w:bookmarkEnd w:id="265"/>
    </w:p>
    <w:p w14:paraId="1FD4ADD0" w14:textId="77777777" w:rsidR="00481739" w:rsidRPr="00405303" w:rsidRDefault="00481739" w:rsidP="00C15251">
      <w:pPr>
        <w:jc w:val="both"/>
        <w:rPr>
          <w:bCs/>
          <w:color w:val="002060"/>
          <w:sz w:val="16"/>
          <w:szCs w:val="16"/>
        </w:rPr>
      </w:pPr>
    </w:p>
    <w:p w14:paraId="21E7F156" w14:textId="77777777" w:rsidR="00A0078B" w:rsidRPr="00B52707" w:rsidRDefault="00A0078B" w:rsidP="00A0078B">
      <w:pPr>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 xml:space="preserve">Осенью 1915 г. была отмечена бомбардировка </w:t>
      </w:r>
      <w:r w:rsidRPr="00B52707">
        <w:rPr>
          <w:rStyle w:val="aa"/>
          <w:rFonts w:ascii="Times New Roman" w:hAnsi="Times New Roman"/>
          <w:color w:val="0070C0"/>
          <w:spacing w:val="0"/>
          <w:sz w:val="16"/>
          <w:szCs w:val="16"/>
          <w:lang w:val="en-US"/>
        </w:rPr>
        <w:t>SL</w:t>
      </w:r>
      <w:r w:rsidRPr="00B52707">
        <w:rPr>
          <w:rStyle w:val="aa"/>
          <w:rFonts w:ascii="Times New Roman" w:hAnsi="Times New Roman"/>
          <w:color w:val="0070C0"/>
          <w:spacing w:val="0"/>
          <w:sz w:val="16"/>
          <w:szCs w:val="16"/>
        </w:rPr>
        <w:t xml:space="preserve">-7 г. Двинск. Являясь важным военно-административным центром на северном крыле русско- германского фронта, этот город неоднократно подвергался ударам воздушных сил противника. Наиболее частным гостем в его небе был цеппелин </w:t>
      </w:r>
      <w:r w:rsidRPr="00B52707">
        <w:rPr>
          <w:rStyle w:val="aa"/>
          <w:rFonts w:ascii="Times New Roman" w:hAnsi="Times New Roman"/>
          <w:color w:val="0070C0"/>
          <w:spacing w:val="0"/>
          <w:sz w:val="16"/>
          <w:szCs w:val="16"/>
          <w:lang w:val="en-US"/>
        </w:rPr>
        <w:t>LZ</w:t>
      </w:r>
      <w:r w:rsidRPr="00B52707">
        <w:rPr>
          <w:rStyle w:val="aa"/>
          <w:rFonts w:ascii="Times New Roman" w:hAnsi="Times New Roman"/>
          <w:color w:val="0070C0"/>
          <w:spacing w:val="0"/>
          <w:sz w:val="16"/>
          <w:szCs w:val="16"/>
        </w:rPr>
        <w:t>-86 (25135).</w:t>
      </w:r>
    </w:p>
    <w:p w14:paraId="5A22297C" w14:textId="77777777" w:rsidR="00A0078B" w:rsidRPr="00B52707" w:rsidRDefault="00A0078B" w:rsidP="00A0078B">
      <w:pPr>
        <w:jc w:val="both"/>
        <w:rPr>
          <w:color w:val="0070C0"/>
          <w:sz w:val="16"/>
          <w:szCs w:val="16"/>
        </w:rPr>
      </w:pPr>
    </w:p>
    <w:p w14:paraId="6B9E718E" w14:textId="77777777" w:rsidR="00A0078B" w:rsidRPr="00B52707" w:rsidRDefault="00A0078B" w:rsidP="00A0078B">
      <w:pPr>
        <w:jc w:val="both"/>
        <w:rPr>
          <w:color w:val="0070C0"/>
          <w:sz w:val="16"/>
          <w:szCs w:val="16"/>
        </w:rPr>
      </w:pPr>
      <w:r w:rsidRPr="00B52707">
        <w:rPr>
          <w:rStyle w:val="aa"/>
          <w:rFonts w:ascii="Times New Roman" w:hAnsi="Times New Roman"/>
          <w:color w:val="0070C0"/>
          <w:spacing w:val="0"/>
          <w:sz w:val="16"/>
          <w:szCs w:val="16"/>
        </w:rPr>
        <w:t>Осенью 1915 года в структуре воздушной обороны Императорской резиденции в Царском Селе произошли существенные изменения, связанные с возложением императором Николаем II на себя обязанностей Верховного главнокомандующего и последующим убытием в Ставку ВГК, расквартированной к тому времени в г. Могилев. Для организации ее воздушной обороны из Царского Села была откомандирована часть САО и зенитных подразделений</w:t>
      </w:r>
      <w:r w:rsidRPr="00B52707">
        <w:rPr>
          <w:rStyle w:val="aa"/>
          <w:rFonts w:ascii="Times New Roman" w:hAnsi="Times New Roman"/>
          <w:color w:val="0070C0"/>
          <w:spacing w:val="0"/>
          <w:sz w:val="16"/>
          <w:szCs w:val="16"/>
          <w:vertAlign w:val="superscript"/>
        </w:rPr>
        <w:t>56</w:t>
      </w:r>
      <w:r w:rsidRPr="00B52707">
        <w:rPr>
          <w:rStyle w:val="aa"/>
          <w:rFonts w:ascii="Times New Roman" w:hAnsi="Times New Roman"/>
          <w:color w:val="0070C0"/>
          <w:spacing w:val="0"/>
          <w:sz w:val="16"/>
          <w:szCs w:val="16"/>
        </w:rPr>
        <w:t>. Императорская резиденция в Царском Селе по-прежнему оставалась объектом особой государственной важности (25166).</w:t>
      </w:r>
    </w:p>
    <w:p w14:paraId="387749ED" w14:textId="77777777" w:rsidR="00A0078B" w:rsidRPr="00B52707" w:rsidRDefault="00A0078B" w:rsidP="00A0078B">
      <w:pPr>
        <w:jc w:val="both"/>
        <w:rPr>
          <w:color w:val="0070C0"/>
          <w:sz w:val="16"/>
          <w:szCs w:val="16"/>
        </w:rPr>
      </w:pPr>
    </w:p>
    <w:p w14:paraId="2F78A908"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42F96CE0" w14:textId="77777777" w:rsidR="004B4E35" w:rsidRPr="00405303" w:rsidRDefault="004B4E35" w:rsidP="00C15251">
      <w:pPr>
        <w:shd w:val="clear" w:color="auto" w:fill="FFFFFF"/>
        <w:jc w:val="both"/>
        <w:rPr>
          <w:bCs/>
          <w:i/>
          <w:color w:val="002060"/>
          <w:sz w:val="16"/>
          <w:szCs w:val="16"/>
        </w:rPr>
      </w:pPr>
    </w:p>
    <w:p w14:paraId="75D2A67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Поступивший в оперативное подчинение Северному фронту Балтийский флот готовился к активным оборонительным дей</w:t>
      </w:r>
      <w:r w:rsidRPr="00405303">
        <w:rPr>
          <w:bCs/>
          <w:color w:val="002060"/>
          <w:sz w:val="16"/>
          <w:szCs w:val="16"/>
        </w:rPr>
        <w:softHyphen/>
        <w:t>ствиям. И хотя командование принимало меры по усилению морской авиации, она была малочисленной. Осенью 1915 года Килькондский отряд имел 6 летающих лодок и 3 поплавковых гидроплана; Орлицынский - 4 летающие лодки; Бригитовс-кий - 4 летающие лодки и 2 колесных аэроплана; Свеаборгс-кий - почти столько же. Из 52 наличных и заказанных аппа</w:t>
      </w:r>
      <w:r w:rsidRPr="00405303">
        <w:rPr>
          <w:bCs/>
          <w:color w:val="002060"/>
          <w:sz w:val="16"/>
          <w:szCs w:val="16"/>
        </w:rPr>
        <w:softHyphen/>
        <w:t>ратов 29 были летающими лодками «ФБА», 12 - «Кертисс-К», привезенными в Ревель в июне без технической документа</w:t>
      </w:r>
      <w:r w:rsidRPr="00405303">
        <w:rPr>
          <w:bCs/>
          <w:color w:val="002060"/>
          <w:sz w:val="16"/>
          <w:szCs w:val="16"/>
        </w:rPr>
        <w:softHyphen/>
        <w:t>ции. В авиационном парке флота 11 аппаратов числились в сборке, 12 - в текущем и 6 - в капитальном ремонтах.</w:t>
      </w:r>
    </w:p>
    <w:p w14:paraId="2D48FBF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первом отряде пилотами служили лейтенанты Лишин, Нагурский и Литвинов, мичманы Корольков и Берг, охотник флота матрос Евламышев; во втором - лейтенант Краевский, мичманы Туржанский и Штакельберг, охотник флота матрос Матвеев. Всего же числилось 17 морских летчиков, из них 14 обер-офицеров, кондуктор и два матроса. С ними наблюдате</w:t>
      </w:r>
      <w:r w:rsidRPr="00405303">
        <w:rPr>
          <w:bCs/>
          <w:color w:val="002060"/>
          <w:sz w:val="16"/>
          <w:szCs w:val="16"/>
        </w:rPr>
        <w:softHyphen/>
        <w:t>лями летали, как правило, мотористы (11283).</w:t>
      </w:r>
    </w:p>
    <w:p w14:paraId="63F64F26" w14:textId="77777777" w:rsidR="004B4E35" w:rsidRPr="00405303" w:rsidRDefault="004B4E35" w:rsidP="00C15251">
      <w:pPr>
        <w:shd w:val="clear" w:color="auto" w:fill="FFFFFF"/>
        <w:jc w:val="both"/>
        <w:rPr>
          <w:bCs/>
          <w:color w:val="002060"/>
          <w:sz w:val="16"/>
          <w:szCs w:val="16"/>
        </w:rPr>
      </w:pPr>
    </w:p>
    <w:p w14:paraId="06C652F1" w14:textId="77777777" w:rsidR="00F51407" w:rsidRPr="00405303" w:rsidRDefault="00F51407" w:rsidP="00C15251">
      <w:pPr>
        <w:pStyle w:val="a3"/>
        <w:jc w:val="both"/>
        <w:rPr>
          <w:bCs/>
          <w:color w:val="002060"/>
          <w:spacing w:val="0"/>
          <w:kern w:val="0"/>
          <w:position w:val="0"/>
          <w:sz w:val="16"/>
          <w:szCs w:val="16"/>
        </w:rPr>
      </w:pPr>
      <w:r w:rsidRPr="00405303">
        <w:rPr>
          <w:bCs/>
          <w:color w:val="002060"/>
          <w:spacing w:val="0"/>
          <w:kern w:val="0"/>
          <w:position w:val="0"/>
          <w:sz w:val="16"/>
          <w:szCs w:val="16"/>
        </w:rPr>
        <w:t>Армия:</w:t>
      </w:r>
    </w:p>
    <w:p w14:paraId="01688D78" w14:textId="77777777" w:rsidR="00F51407" w:rsidRPr="00405303" w:rsidRDefault="00F51407" w:rsidP="00C15251">
      <w:pPr>
        <w:pStyle w:val="a3"/>
        <w:jc w:val="both"/>
        <w:rPr>
          <w:bCs/>
          <w:color w:val="002060"/>
          <w:spacing w:val="0"/>
          <w:kern w:val="0"/>
          <w:position w:val="0"/>
          <w:sz w:val="16"/>
          <w:szCs w:val="16"/>
        </w:rPr>
      </w:pPr>
    </w:p>
    <w:p w14:paraId="2307E4A0" w14:textId="77777777" w:rsidR="00F51407" w:rsidRPr="00405303" w:rsidRDefault="00F51407" w:rsidP="00C15251">
      <w:pPr>
        <w:jc w:val="both"/>
        <w:rPr>
          <w:bCs/>
          <w:color w:val="002060"/>
          <w:sz w:val="16"/>
          <w:szCs w:val="16"/>
        </w:rPr>
      </w:pPr>
      <w:r w:rsidRPr="00405303">
        <w:rPr>
          <w:bCs/>
          <w:color w:val="002060"/>
          <w:sz w:val="16"/>
          <w:szCs w:val="16"/>
        </w:rPr>
        <w:t>До осени 1915 г. в манёвренный период Первой мировой вой</w:t>
      </w:r>
      <w:r w:rsidRPr="00405303">
        <w:rPr>
          <w:bCs/>
          <w:color w:val="002060"/>
          <w:sz w:val="16"/>
          <w:szCs w:val="16"/>
        </w:rPr>
        <w:softHyphen/>
        <w:t>ны, продолжавшийся на Восточно-европейском, или русском театре военных действий, полевые воздухоплавательные части при</w:t>
      </w:r>
      <w:r w:rsidRPr="00405303">
        <w:rPr>
          <w:bCs/>
          <w:color w:val="002060"/>
          <w:sz w:val="16"/>
          <w:szCs w:val="16"/>
        </w:rPr>
        <w:softHyphen/>
        <w:t>менялись относительно мало. Вместе с тем этот период дал яркий пример использования аэроста</w:t>
      </w:r>
      <w:r w:rsidRPr="00405303">
        <w:rPr>
          <w:bCs/>
          <w:color w:val="002060"/>
          <w:sz w:val="16"/>
          <w:szCs w:val="16"/>
        </w:rPr>
        <w:softHyphen/>
        <w:t>тов при обороне крепостей Ивангород и Осовец (20120).</w:t>
      </w:r>
    </w:p>
    <w:p w14:paraId="00DA922A" w14:textId="77777777" w:rsidR="00F51407" w:rsidRPr="00405303" w:rsidRDefault="00F51407" w:rsidP="00C15251">
      <w:pPr>
        <w:jc w:val="both"/>
        <w:rPr>
          <w:bCs/>
          <w:color w:val="002060"/>
          <w:sz w:val="16"/>
          <w:szCs w:val="16"/>
        </w:rPr>
      </w:pPr>
    </w:p>
    <w:p w14:paraId="6E9089EE" w14:textId="77777777" w:rsidR="009B75AD" w:rsidRPr="00405303" w:rsidRDefault="009B75AD" w:rsidP="00C15251">
      <w:pPr>
        <w:jc w:val="both"/>
        <w:rPr>
          <w:bCs/>
          <w:color w:val="002060"/>
          <w:sz w:val="16"/>
          <w:szCs w:val="16"/>
        </w:rPr>
      </w:pPr>
      <w:r w:rsidRPr="00405303">
        <w:rPr>
          <w:bCs/>
          <w:color w:val="002060"/>
          <w:sz w:val="16"/>
          <w:szCs w:val="16"/>
        </w:rPr>
        <w:t>Осенью 1915 г. недостатоу боеприпасов приел русскую армию (лишенную артиллерийских выстрелов) к крупному отступлению (оставлена Польша) и миллионным потерям в живой силе. Вновь пришлось прибегнуть к заграничным закупкам. О масштабах закупок можно судить из сравнения: за все годы войны отечественная промышленность изготовила 54 млн 76-миллиметровых выстрелов и около 12 млн выстрелов средних калибров. Зарубежный заказ в 1915 г. составлял 56 млн выстрелов, но получить удалось 11 млн выстрелов. К заграничным поставкам пришлось прибегнуть и для обеспечения выстрелов дистанционными трубками, капсюльными втулками, взрывателями. По данным В.И. Рдутловского, из-за границы за время войны было поставлено к общему потреблению всего лишь 14% дистанционных трубок и 23% взрывателей (15989).</w:t>
      </w:r>
    </w:p>
    <w:p w14:paraId="3A086B05" w14:textId="77777777" w:rsidR="009B75AD" w:rsidRPr="00405303" w:rsidRDefault="009B75AD" w:rsidP="00C15251">
      <w:pPr>
        <w:jc w:val="both"/>
        <w:rPr>
          <w:bCs/>
          <w:color w:val="002060"/>
          <w:sz w:val="16"/>
          <w:szCs w:val="16"/>
        </w:rPr>
      </w:pPr>
    </w:p>
    <w:p w14:paraId="6FFE6685" w14:textId="77777777" w:rsidR="009B75AD" w:rsidRPr="00405303" w:rsidRDefault="009B75AD" w:rsidP="00C15251">
      <w:pPr>
        <w:jc w:val="both"/>
        <w:rPr>
          <w:bCs/>
          <w:color w:val="002060"/>
          <w:sz w:val="16"/>
          <w:szCs w:val="16"/>
        </w:rPr>
      </w:pPr>
      <w:r w:rsidRPr="00405303">
        <w:rPr>
          <w:bCs/>
          <w:color w:val="002060"/>
          <w:sz w:val="16"/>
          <w:szCs w:val="16"/>
        </w:rPr>
        <w:t>Осенью 1915 г. на Восточном фронте война повсеместно приняла позиционный характер. Полеты стали систематическими, появилась возможность планировать деятельность авиаотрядов на долгосрочный период. Мастерские-поезда простаивали из-за уменьшения маневра отрядов, и поэтому Заведующий авиацией в октябре 1915 г. направил ПАРМ-п Ф.Ф. Терещенко с ЮЗФ в Москву для сборки самолетов, поступающих из-за границы (19566).</w:t>
      </w:r>
    </w:p>
    <w:p w14:paraId="0DAFF601" w14:textId="77777777" w:rsidR="009B75AD" w:rsidRPr="00405303" w:rsidRDefault="009B75AD" w:rsidP="00C15251">
      <w:pPr>
        <w:jc w:val="both"/>
        <w:rPr>
          <w:bCs/>
          <w:color w:val="002060"/>
          <w:sz w:val="16"/>
          <w:szCs w:val="16"/>
        </w:rPr>
      </w:pPr>
    </w:p>
    <w:p w14:paraId="5694D08E" w14:textId="77777777" w:rsidR="004B4E35" w:rsidRPr="00405303" w:rsidRDefault="009E6F82" w:rsidP="00C15251">
      <w:pPr>
        <w:jc w:val="both"/>
        <w:rPr>
          <w:bCs/>
          <w:i/>
          <w:color w:val="002060"/>
          <w:sz w:val="16"/>
          <w:szCs w:val="16"/>
        </w:rPr>
      </w:pPr>
      <w:r w:rsidRPr="00405303">
        <w:rPr>
          <w:bCs/>
          <w:i/>
          <w:color w:val="002060"/>
          <w:sz w:val="16"/>
          <w:szCs w:val="16"/>
        </w:rPr>
        <w:t>Жизнь и внутреняя политика:</w:t>
      </w:r>
    </w:p>
    <w:p w14:paraId="2611C92E" w14:textId="77777777" w:rsidR="004B4E35" w:rsidRPr="00405303" w:rsidRDefault="004B4E35" w:rsidP="00C15251">
      <w:pPr>
        <w:jc w:val="both"/>
        <w:rPr>
          <w:bCs/>
          <w:i/>
          <w:color w:val="002060"/>
          <w:sz w:val="16"/>
          <w:szCs w:val="16"/>
        </w:rPr>
      </w:pPr>
    </w:p>
    <w:p w14:paraId="135FAB47" w14:textId="5DB8705B" w:rsidR="004B4E35" w:rsidRPr="00405303" w:rsidRDefault="004F5FA5" w:rsidP="00C15251">
      <w:pPr>
        <w:jc w:val="both"/>
        <w:rPr>
          <w:bCs/>
          <w:color w:val="002060"/>
          <w:sz w:val="16"/>
          <w:szCs w:val="16"/>
        </w:rPr>
      </w:pPr>
      <w:r w:rsidRPr="00405303">
        <w:rPr>
          <w:bCs/>
          <w:color w:val="002060"/>
          <w:sz w:val="16"/>
          <w:szCs w:val="16"/>
        </w:rPr>
        <w:t>О</w:t>
      </w:r>
      <w:r w:rsidR="009E6F82" w:rsidRPr="00405303">
        <w:rPr>
          <w:bCs/>
          <w:color w:val="002060"/>
          <w:sz w:val="16"/>
          <w:szCs w:val="16"/>
        </w:rPr>
        <w:t xml:space="preserve">сенью 1915 года </w:t>
      </w:r>
      <w:r w:rsidRPr="00405303">
        <w:rPr>
          <w:bCs/>
          <w:color w:val="002060"/>
          <w:sz w:val="16"/>
          <w:szCs w:val="16"/>
        </w:rPr>
        <w:t>трудящимиеся промышленных центров</w:t>
      </w:r>
      <w:r w:rsidR="009E6F82" w:rsidRPr="00405303">
        <w:rPr>
          <w:bCs/>
          <w:color w:val="002060"/>
          <w:sz w:val="16"/>
          <w:szCs w:val="16"/>
        </w:rPr>
        <w:t xml:space="preserve"> сидели на голодном пайке. Даже армия получала только половину необходимой ей продовольственной нормы. Кроме того, рост цен серьезно обесценивал доходы государства.</w:t>
      </w:r>
    </w:p>
    <w:p w14:paraId="583A73CC" w14:textId="77777777" w:rsidR="004B4E35" w:rsidRPr="00405303" w:rsidRDefault="009E6F82" w:rsidP="00C15251">
      <w:pPr>
        <w:jc w:val="both"/>
        <w:rPr>
          <w:bCs/>
          <w:color w:val="002060"/>
          <w:sz w:val="16"/>
          <w:szCs w:val="16"/>
        </w:rPr>
      </w:pPr>
      <w:r w:rsidRPr="00405303">
        <w:rPr>
          <w:bCs/>
          <w:color w:val="002060"/>
          <w:sz w:val="16"/>
          <w:szCs w:val="16"/>
        </w:rPr>
        <w:t>Действуя в интересах бюджета, поддержания боевого духа армии и социально-политического равновесия в городах, правительство вынуждено было пойти на жесткое регулирование и регламентацию сельскохозяйственного рынка (11177).</w:t>
      </w:r>
    </w:p>
    <w:p w14:paraId="55792B01" w14:textId="77777777" w:rsidR="004B4E35" w:rsidRPr="00405303" w:rsidRDefault="004B4E35" w:rsidP="00C15251">
      <w:pPr>
        <w:jc w:val="both"/>
        <w:rPr>
          <w:bCs/>
          <w:color w:val="002060"/>
          <w:sz w:val="16"/>
          <w:szCs w:val="16"/>
        </w:rPr>
      </w:pPr>
    </w:p>
    <w:p w14:paraId="2473B3A9"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05C01C43" w14:textId="77777777" w:rsidR="004B4E35" w:rsidRPr="00405303" w:rsidRDefault="004B4E35" w:rsidP="00C15251">
      <w:pPr>
        <w:jc w:val="both"/>
        <w:rPr>
          <w:bCs/>
          <w:i/>
          <w:color w:val="002060"/>
          <w:sz w:val="16"/>
          <w:szCs w:val="16"/>
        </w:rPr>
      </w:pPr>
    </w:p>
    <w:p w14:paraId="3608DCDB" w14:textId="77777777" w:rsidR="004B4E35" w:rsidRPr="00405303" w:rsidRDefault="009E6F82" w:rsidP="00C15251">
      <w:pPr>
        <w:jc w:val="both"/>
        <w:rPr>
          <w:bCs/>
          <w:color w:val="002060"/>
          <w:sz w:val="16"/>
          <w:szCs w:val="16"/>
        </w:rPr>
      </w:pPr>
      <w:r w:rsidRPr="00405303">
        <w:rPr>
          <w:bCs/>
          <w:color w:val="002060"/>
          <w:sz w:val="16"/>
          <w:szCs w:val="16"/>
        </w:rPr>
        <w:t>Осенью 1915 года в Шампани проявились преимущества авиаразведки. Тщательная подготовка французов к грандиозному наступлению — устройство длинных ходов сообщения, сильно разветвленных траншей для резервов, постановка батарей, размещение складов — была за несколько недель обнаружена по аэрофотоснимкам, которые позволяли следить за ее постепенным развитием. Можно было с уверенностью сказать, где и когда начнется атака, что имело громадное значение для высшего командования. Такие результаты были достигнуты благодаря применению длиннофокусных камер и вертикальной их установке, а также улучшению обработки и использования аэрофотоснимков. Последние стали теперь исследоваться методично и целеустремленно. Взаимный обмен полученными данными между армиями и авиацией позволил открыть много нового. Сравнение новых снимков со старыми, с картами позиций и показаниями пленных желать лучшего взаимодействие таких наблюдателей с летчиками-наблюдателями из соседних воздухоплавательных отрядов; на фронте недоставало начальства, согласующего их действия (11282).</w:t>
      </w:r>
    </w:p>
    <w:p w14:paraId="0D0D7EF9" w14:textId="77777777" w:rsidR="004B4E35" w:rsidRPr="00405303" w:rsidRDefault="004B4E35" w:rsidP="00C15251">
      <w:pPr>
        <w:jc w:val="both"/>
        <w:rPr>
          <w:bCs/>
          <w:color w:val="002060"/>
          <w:sz w:val="16"/>
          <w:szCs w:val="16"/>
        </w:rPr>
      </w:pPr>
    </w:p>
    <w:p w14:paraId="269641A8" w14:textId="77777777" w:rsidR="0073033D" w:rsidRPr="00CF03EC" w:rsidRDefault="0073033D" w:rsidP="0073033D">
      <w:pPr>
        <w:jc w:val="both"/>
        <w:rPr>
          <w:color w:val="0070C0"/>
          <w:sz w:val="16"/>
          <w:szCs w:val="16"/>
        </w:rPr>
      </w:pPr>
      <w:r w:rsidRPr="00CF03EC">
        <w:rPr>
          <w:color w:val="0070C0"/>
          <w:sz w:val="16"/>
          <w:szCs w:val="16"/>
        </w:rPr>
        <w:t xml:space="preserve">Осенью 1915 г. сдали головной истребитель Пфальц E </w:t>
      </w:r>
      <w:proofErr w:type="gramStart"/>
      <w:r w:rsidRPr="00CF03EC">
        <w:rPr>
          <w:color w:val="0070C0"/>
          <w:sz w:val="16"/>
          <w:szCs w:val="16"/>
        </w:rPr>
        <w:t>II</w:t>
      </w:r>
      <w:proofErr w:type="gramEnd"/>
      <w:r w:rsidRPr="00CF03EC">
        <w:rPr>
          <w:color w:val="0070C0"/>
          <w:sz w:val="16"/>
          <w:szCs w:val="16"/>
        </w:rPr>
        <w:t xml:space="preserve"> и он сразу пошел серию, но не для флотской, а для сухопутной авиации и прибавка дальности в ущерб маневренности оказалась ей не очень нужна.</w:t>
      </w:r>
    </w:p>
    <w:p w14:paraId="6D61A478" w14:textId="77777777" w:rsidR="0073033D" w:rsidRPr="00CF03EC" w:rsidRDefault="0073033D" w:rsidP="0073033D">
      <w:pPr>
        <w:jc w:val="both"/>
        <w:rPr>
          <w:color w:val="0070C0"/>
          <w:sz w:val="16"/>
          <w:szCs w:val="16"/>
        </w:rPr>
      </w:pPr>
      <w:r w:rsidRPr="00CF03EC">
        <w:rPr>
          <w:color w:val="0070C0"/>
          <w:sz w:val="16"/>
          <w:szCs w:val="16"/>
        </w:rPr>
        <w:t xml:space="preserve">Планер полностью переделали. Поскольку предыдущая модель шла в основном для морской авиации, увеличили запас топлива. Хотя взлетный вес вырос, за счет установки стосильного Оберурселя U I нагрузка на мощность уменьшилась на 7%, но другие удельные показатели упали. Скорость самолета чуть улучшилась, со 145 </w:t>
      </w:r>
      <w:r w:rsidRPr="00CF03EC">
        <w:rPr>
          <w:color w:val="0070C0"/>
          <w:sz w:val="16"/>
          <w:szCs w:val="16"/>
        </w:rPr>
        <w:lastRenderedPageBreak/>
        <w:t>до 150 км/ч, дальность нарастили существенно, со 180 до 220 км, продолжительность полета – с одного часа до двух, но за счет снижения крейсерской скорости, да и маневренность, скороподъемность и потолок «просели».</w:t>
      </w:r>
    </w:p>
    <w:p w14:paraId="55EF72A6" w14:textId="77777777" w:rsidR="0073033D" w:rsidRPr="00CF03EC" w:rsidRDefault="0073033D" w:rsidP="0073033D">
      <w:pPr>
        <w:jc w:val="both"/>
        <w:rPr>
          <w:color w:val="0070C0"/>
          <w:sz w:val="16"/>
          <w:szCs w:val="16"/>
        </w:rPr>
      </w:pPr>
      <w:r w:rsidRPr="00CF03EC">
        <w:rPr>
          <w:color w:val="0070C0"/>
          <w:sz w:val="16"/>
          <w:szCs w:val="16"/>
        </w:rPr>
        <w:t>Зато самолет стал приятнее в управлении. Произведенный в количестве 80 экземпляров, он применялся в Воздушных войсках Германии до середины 1917 г. На флот попали всего две машины этого типа, да и то только когда на сухопутном фронте появились новые самолеты, а эти уже порядком поизносились. Один Пфальц E IIпередали 17 июля 1916 г. собственным Кригсмарине, а другой 1 марта 1917 г. – австрийцам для защиты военно-морской базы Пола на северо-восточном побережье Адриатики, где и сухопутный фронт проходил не далеко. Из дальних театров войны, на которых отметились самолеты Пфальц E II, можно отметить Палестину, где немцы поддерживали турок против англичан, которые тоже имели там авиацию.</w:t>
      </w:r>
    </w:p>
    <w:p w14:paraId="5E0E293D" w14:textId="77777777" w:rsidR="0073033D" w:rsidRPr="00CF03EC" w:rsidRDefault="0073033D" w:rsidP="0073033D">
      <w:pPr>
        <w:jc w:val="both"/>
        <w:rPr>
          <w:color w:val="0070C0"/>
          <w:sz w:val="16"/>
          <w:szCs w:val="16"/>
        </w:rPr>
      </w:pPr>
    </w:p>
    <w:p w14:paraId="7838340C" w14:textId="77777777" w:rsidR="004F5FA5" w:rsidRPr="00405303" w:rsidRDefault="004F5FA5" w:rsidP="00C15251">
      <w:pPr>
        <w:jc w:val="both"/>
        <w:rPr>
          <w:bCs/>
          <w:color w:val="002060"/>
          <w:sz w:val="16"/>
          <w:szCs w:val="16"/>
        </w:rPr>
      </w:pPr>
      <w:r w:rsidRPr="00405303">
        <w:rPr>
          <w:bCs/>
          <w:color w:val="002060"/>
          <w:sz w:val="16"/>
          <w:szCs w:val="16"/>
        </w:rPr>
        <w:t>Осенью 1915 г. LZ-88 бомбардировал гидростанцию в Руно (11324).</w:t>
      </w:r>
    </w:p>
    <w:p w14:paraId="1F31A8D9" w14:textId="77777777" w:rsidR="004F5FA5" w:rsidRPr="00405303" w:rsidRDefault="004F5FA5" w:rsidP="00C15251">
      <w:pPr>
        <w:jc w:val="both"/>
        <w:rPr>
          <w:bCs/>
          <w:i/>
          <w:color w:val="002060"/>
          <w:sz w:val="16"/>
          <w:szCs w:val="16"/>
        </w:rPr>
      </w:pPr>
    </w:p>
    <w:p w14:paraId="59CCDFE3" w14:textId="77777777" w:rsidR="004B4E35" w:rsidRPr="00405303" w:rsidRDefault="009E6F82" w:rsidP="00C15251">
      <w:pPr>
        <w:jc w:val="both"/>
        <w:rPr>
          <w:bCs/>
          <w:color w:val="002060"/>
          <w:sz w:val="16"/>
          <w:szCs w:val="16"/>
        </w:rPr>
      </w:pPr>
      <w:r w:rsidRPr="00405303">
        <w:rPr>
          <w:bCs/>
          <w:color w:val="002060"/>
          <w:sz w:val="16"/>
          <w:szCs w:val="16"/>
        </w:rPr>
        <w:t>Осенью 1915 года во Франкфурте-на-Майне была сформирована одна зенитная батарея, развернутая вскоре в зенитный дивизион. Он находился в подчинении остававшегося в тылу инспектора зенитной артиллерии. В начале войны были единичные случаи применения пулеметов для обстрела самолетов с земли, но такие обстрелы успеха не имели, так как не было ни соответствующих прицельных приспособлений, ни соответствующей подготовки; кроме того, летчики противника стремились летать на большой высоте, где были недосягаемы для пулеметных пуль (11282).</w:t>
      </w:r>
    </w:p>
    <w:p w14:paraId="23B5E19B" w14:textId="77777777" w:rsidR="004B4E35" w:rsidRPr="00405303" w:rsidRDefault="004B4E35" w:rsidP="00C15251">
      <w:pPr>
        <w:jc w:val="both"/>
        <w:rPr>
          <w:bCs/>
          <w:color w:val="002060"/>
          <w:sz w:val="16"/>
          <w:szCs w:val="16"/>
        </w:rPr>
      </w:pPr>
    </w:p>
    <w:p w14:paraId="139CBE7E" w14:textId="47624ADB" w:rsidR="004B4E35" w:rsidRPr="00405303" w:rsidRDefault="004F5FA5" w:rsidP="00C15251">
      <w:pPr>
        <w:jc w:val="both"/>
        <w:rPr>
          <w:bCs/>
          <w:color w:val="002060"/>
          <w:sz w:val="16"/>
          <w:szCs w:val="16"/>
        </w:rPr>
      </w:pPr>
      <w:r w:rsidRPr="00405303">
        <w:rPr>
          <w:bCs/>
          <w:color w:val="002060"/>
          <w:sz w:val="16"/>
          <w:szCs w:val="16"/>
        </w:rPr>
        <w:t>О</w:t>
      </w:r>
      <w:r w:rsidR="009E6F82" w:rsidRPr="00405303">
        <w:rPr>
          <w:bCs/>
          <w:color w:val="002060"/>
          <w:sz w:val="16"/>
          <w:szCs w:val="16"/>
        </w:rPr>
        <w:t xml:space="preserve">сенью 1915 года </w:t>
      </w:r>
      <w:r w:rsidRPr="00405303">
        <w:rPr>
          <w:bCs/>
          <w:color w:val="002060"/>
          <w:sz w:val="16"/>
          <w:szCs w:val="16"/>
        </w:rPr>
        <w:t xml:space="preserve">Сербский поход </w:t>
      </w:r>
      <w:r w:rsidR="009E6F82" w:rsidRPr="00405303">
        <w:rPr>
          <w:bCs/>
          <w:color w:val="002060"/>
          <w:sz w:val="16"/>
          <w:szCs w:val="16"/>
        </w:rPr>
        <w:t>создал для Германии новый театр военных действий. Ведение тактической и стратегической разведки почти целиком легло на плечи шести германских авиаотрядови двух германских воздухоплавательных отрядов, действовавших совместно с четырьмя австрийскими ротами. Их донесения о направлении отхода сербской армии послужили и здесь основой распоряжений командования, следование которым столь быстро увенчалось успехом. Противодействия в воздухе со стороны противника не было, равным образом не было неприятельской артиллерии, обстреливавшей наши привязные аэростаты. Зато чрезвычайно велики были трудности при переносе аэродромов и при организации снабжения вследствие невообразимо плохих дорог.</w:t>
      </w:r>
    </w:p>
    <w:p w14:paraId="7F44B0AD" w14:textId="77777777" w:rsidR="004B4E35" w:rsidRPr="00405303" w:rsidRDefault="009E6F82" w:rsidP="00C15251">
      <w:pPr>
        <w:jc w:val="both"/>
        <w:rPr>
          <w:bCs/>
          <w:color w:val="002060"/>
          <w:sz w:val="16"/>
          <w:szCs w:val="16"/>
        </w:rPr>
      </w:pPr>
      <w:r w:rsidRPr="00405303">
        <w:rPr>
          <w:bCs/>
          <w:color w:val="002060"/>
          <w:sz w:val="16"/>
          <w:szCs w:val="16"/>
        </w:rPr>
        <w:t>Пользуясь отличными условиями видимости, наблюдатели, используя привязные аэростаты, оказали огромные услуги при переправе через Дунай, однако позже воздухоплаватели могли лишь с трудом угнаться за пехотой.</w:t>
      </w:r>
    </w:p>
    <w:p w14:paraId="093AD2F0" w14:textId="77777777" w:rsidR="004B4E35" w:rsidRPr="00405303" w:rsidRDefault="009E6F82" w:rsidP="00C15251">
      <w:pPr>
        <w:jc w:val="both"/>
        <w:rPr>
          <w:bCs/>
          <w:color w:val="002060"/>
          <w:sz w:val="16"/>
          <w:szCs w:val="16"/>
        </w:rPr>
      </w:pPr>
      <w:r w:rsidRPr="00405303">
        <w:rPr>
          <w:bCs/>
          <w:color w:val="002060"/>
          <w:sz w:val="16"/>
          <w:szCs w:val="16"/>
        </w:rPr>
        <w:t>Обстановка, сложившаяся на Балканах с переходом к позиционной войне, была не столь благоприятной, как на русском фронте. В обширной котловине вокруг Салоников расположились многочисленные аэродромы тех французских и английских авиачастей, с которыми четырем-шести германским авиаотрядам приходилось вести тяжелые, неравные бои. Если и здесь удалось до известной степени подавить деятельность неприятельской авиации, то это, прежде всего, заслуга лейтенанта Эшвеге и созданной им истребительной эскадрильи.</w:t>
      </w:r>
    </w:p>
    <w:p w14:paraId="30BAFEDB" w14:textId="77777777" w:rsidR="004B4E35" w:rsidRPr="00405303" w:rsidRDefault="009E6F82" w:rsidP="00C15251">
      <w:pPr>
        <w:jc w:val="both"/>
        <w:rPr>
          <w:bCs/>
          <w:color w:val="002060"/>
          <w:sz w:val="16"/>
          <w:szCs w:val="16"/>
        </w:rPr>
      </w:pPr>
      <w:r w:rsidRPr="00405303">
        <w:rPr>
          <w:bCs/>
          <w:color w:val="002060"/>
          <w:sz w:val="16"/>
          <w:szCs w:val="16"/>
        </w:rPr>
        <w:t>Временная переброска 1-й боевой эскадры в долину Вардара в начале 1917 года все же не могла уравновесить силы. Напротив, чрезвычайно успешные налеты этой эскадры на Салоники, на неприятельские аэродромы, склады снарядов и лагери повлекли за собою дальнейшее усиление неприятельской зенитной артиллерии и истребительной авиации, а также вызвали налеты неприятельских летчиков на наши аэродромы.</w:t>
      </w:r>
    </w:p>
    <w:p w14:paraId="10CFDDD8" w14:textId="77777777" w:rsidR="004B4E35" w:rsidRPr="00405303" w:rsidRDefault="009E6F82" w:rsidP="00C15251">
      <w:pPr>
        <w:jc w:val="both"/>
        <w:rPr>
          <w:bCs/>
          <w:color w:val="002060"/>
          <w:sz w:val="16"/>
          <w:szCs w:val="16"/>
        </w:rPr>
      </w:pPr>
      <w:r w:rsidRPr="00405303">
        <w:rPr>
          <w:bCs/>
          <w:color w:val="002060"/>
          <w:sz w:val="16"/>
          <w:szCs w:val="16"/>
        </w:rPr>
        <w:t>Условия работы наших летчиков на юго-востоке были незавидными: сильные порывистые ветры и большие колебания температуры требовали от летчиков большого искусства и сильного напряжения; помещений для расквартирования почти не было, на лишенной лесов местности нельзя было найти материала для построек. Крутые обрывы скал осложняли наблюдателям обнаружение неприятельских позиций, связь отрядов с войсками и между собой затрудняласьплохими дорожными условиями.</w:t>
      </w:r>
    </w:p>
    <w:p w14:paraId="117E697C" w14:textId="77777777" w:rsidR="004B4E35" w:rsidRPr="00405303" w:rsidRDefault="009E6F82" w:rsidP="00C15251">
      <w:pPr>
        <w:jc w:val="both"/>
        <w:rPr>
          <w:bCs/>
          <w:color w:val="002060"/>
          <w:sz w:val="16"/>
          <w:szCs w:val="16"/>
        </w:rPr>
      </w:pPr>
      <w:r w:rsidRPr="00405303">
        <w:rPr>
          <w:bCs/>
          <w:color w:val="002060"/>
          <w:sz w:val="16"/>
          <w:szCs w:val="16"/>
        </w:rPr>
        <w:t>При этом обстановка была неизменно напряженной и требовала неутомимой деятельности.</w:t>
      </w:r>
    </w:p>
    <w:p w14:paraId="39A16E7F" w14:textId="77777777" w:rsidR="004B4E35" w:rsidRPr="00405303" w:rsidRDefault="009E6F82" w:rsidP="00C15251">
      <w:pPr>
        <w:jc w:val="both"/>
        <w:rPr>
          <w:bCs/>
          <w:color w:val="002060"/>
          <w:sz w:val="16"/>
          <w:szCs w:val="16"/>
        </w:rPr>
      </w:pPr>
      <w:r w:rsidRPr="00405303">
        <w:rPr>
          <w:bCs/>
          <w:color w:val="002060"/>
          <w:sz w:val="16"/>
          <w:szCs w:val="16"/>
        </w:rPr>
        <w:t>Увеличить число отрядов не представлялось возможным. Оснащение отрядов новыми самолетами производилось далеко не в первую очередь. Авиации на Балканах пришлось познакомиться со всеми отрицательными сторонами второстепенного театра военных действий; тем не менее воздушная разведка на Балканах безотказно действовала до последних дней войны.</w:t>
      </w:r>
    </w:p>
    <w:p w14:paraId="0118DDAD" w14:textId="77777777" w:rsidR="004B4E35" w:rsidRPr="00405303" w:rsidRDefault="009E6F82" w:rsidP="00C15251">
      <w:pPr>
        <w:jc w:val="both"/>
        <w:rPr>
          <w:bCs/>
          <w:color w:val="002060"/>
          <w:sz w:val="16"/>
          <w:szCs w:val="16"/>
        </w:rPr>
      </w:pPr>
      <w:r w:rsidRPr="00405303">
        <w:rPr>
          <w:bCs/>
          <w:color w:val="002060"/>
          <w:sz w:val="16"/>
          <w:szCs w:val="16"/>
        </w:rPr>
        <w:t>От Болгарии нельзя было ждать поддержки. Болгарская военная авиация еще только зарождалась, германский центр по подготовке летчиков, находившийся в Софии, не мог полностью развернуть свою деятельность, наталкиваясь на ряд затруднений, связанных с внутренней обстановкой в Болгарии. Болгария просила самолеты у Германии; ее просьбы не всегда удовлетворялись в достаточной мере; причиной и здесь был громадный расход имущества на западном фронте.</w:t>
      </w:r>
    </w:p>
    <w:p w14:paraId="31FCD9AA" w14:textId="77777777" w:rsidR="004B4E35" w:rsidRPr="00405303" w:rsidRDefault="009E6F82" w:rsidP="00C15251">
      <w:pPr>
        <w:jc w:val="both"/>
        <w:rPr>
          <w:bCs/>
          <w:color w:val="002060"/>
          <w:sz w:val="16"/>
          <w:szCs w:val="16"/>
        </w:rPr>
      </w:pPr>
      <w:r w:rsidRPr="00405303">
        <w:rPr>
          <w:bCs/>
          <w:color w:val="002060"/>
          <w:sz w:val="16"/>
          <w:szCs w:val="16"/>
        </w:rPr>
        <w:t>В конце концов два болгарских авиаотряда приступили к работе на фронте. Их летный состав был проникнут наилучшими стремлениями, но недостаток самолетов и недочеты военной подготовки не могли не сказаться на их деятельности.</w:t>
      </w:r>
    </w:p>
    <w:p w14:paraId="4C3721DB" w14:textId="77777777" w:rsidR="004B4E35" w:rsidRPr="00405303" w:rsidRDefault="009E6F82" w:rsidP="00C15251">
      <w:pPr>
        <w:jc w:val="both"/>
        <w:rPr>
          <w:bCs/>
          <w:color w:val="002060"/>
          <w:sz w:val="16"/>
          <w:szCs w:val="16"/>
        </w:rPr>
      </w:pPr>
      <w:r w:rsidRPr="00405303">
        <w:rPr>
          <w:bCs/>
          <w:color w:val="002060"/>
          <w:sz w:val="16"/>
          <w:szCs w:val="16"/>
        </w:rPr>
        <w:t>Воздухоплавательные части поначалу оказывали войскам чрезвычайно ценные услуги. Но в течение лета разрушительное действие лучей южного солнца на материал оболочек аэростатов стало проявляться в такой степени, что воздухоплаватели не успевали заменять те аэростаты, которые выбывали из строя, новыми; пришлось воздухоплавательные отряды отвести в тыл (11282).</w:t>
      </w:r>
    </w:p>
    <w:p w14:paraId="7A1A9E64" w14:textId="77777777" w:rsidR="004B4E35" w:rsidRPr="00405303" w:rsidRDefault="004B4E35" w:rsidP="00C15251">
      <w:pPr>
        <w:jc w:val="both"/>
        <w:rPr>
          <w:bCs/>
          <w:color w:val="002060"/>
          <w:sz w:val="16"/>
          <w:szCs w:val="16"/>
        </w:rPr>
      </w:pPr>
    </w:p>
    <w:p w14:paraId="6A3B63F4" w14:textId="1DD84119" w:rsidR="004B4E35" w:rsidRPr="00405303" w:rsidRDefault="004F5FA5" w:rsidP="00C15251">
      <w:pPr>
        <w:jc w:val="both"/>
        <w:rPr>
          <w:bCs/>
          <w:color w:val="002060"/>
          <w:sz w:val="16"/>
          <w:szCs w:val="16"/>
        </w:rPr>
      </w:pPr>
      <w:r w:rsidRPr="00405303">
        <w:rPr>
          <w:bCs/>
          <w:color w:val="002060"/>
          <w:sz w:val="16"/>
          <w:szCs w:val="16"/>
        </w:rPr>
        <w:t>О</w:t>
      </w:r>
      <w:r w:rsidR="009E6F82" w:rsidRPr="00405303">
        <w:rPr>
          <w:bCs/>
          <w:color w:val="002060"/>
          <w:sz w:val="16"/>
          <w:szCs w:val="16"/>
        </w:rPr>
        <w:t xml:space="preserve">сенью 1915 </w:t>
      </w:r>
      <w:r w:rsidRPr="00405303">
        <w:rPr>
          <w:bCs/>
          <w:color w:val="002060"/>
          <w:sz w:val="16"/>
          <w:szCs w:val="16"/>
        </w:rPr>
        <w:t xml:space="preserve">после постройки эллинга под Варшавой оттуда </w:t>
      </w:r>
      <w:r w:rsidR="009E6F82" w:rsidRPr="00405303">
        <w:rPr>
          <w:bCs/>
          <w:color w:val="002060"/>
          <w:sz w:val="16"/>
          <w:szCs w:val="16"/>
        </w:rPr>
        <w:t>был произведен ряд налетов дирижаблей на южную часть русского фронта в районе Ровно; дирижаблям, размещенным по старым эллингам, в качестве целей были назначены Двинск, Рига, узловые станции Минск, Вилейка и Лида (11282).</w:t>
      </w:r>
    </w:p>
    <w:p w14:paraId="03766AC6" w14:textId="77777777" w:rsidR="004B4E35" w:rsidRPr="00405303" w:rsidRDefault="004B4E35" w:rsidP="00C15251">
      <w:pPr>
        <w:jc w:val="both"/>
        <w:rPr>
          <w:bCs/>
          <w:color w:val="002060"/>
          <w:sz w:val="16"/>
          <w:szCs w:val="16"/>
        </w:rPr>
      </w:pPr>
    </w:p>
    <w:p w14:paraId="70EAED51" w14:textId="0C462571" w:rsidR="004B4E35" w:rsidRPr="00405303" w:rsidRDefault="009E6F82" w:rsidP="00C15251">
      <w:pPr>
        <w:pStyle w:val="Blockquote"/>
        <w:spacing w:before="0" w:after="0"/>
        <w:ind w:left="0" w:right="0"/>
        <w:jc w:val="both"/>
        <w:rPr>
          <w:bCs/>
          <w:color w:val="002060"/>
          <w:sz w:val="16"/>
          <w:szCs w:val="16"/>
        </w:rPr>
      </w:pPr>
      <w:r w:rsidRPr="00405303">
        <w:rPr>
          <w:bCs/>
          <w:color w:val="002060"/>
          <w:sz w:val="16"/>
          <w:szCs w:val="16"/>
        </w:rPr>
        <w:t>С осени 1915 по весну 1916 года в строй вступили 5 дирижаблей: с SL-6 no SL-10. Их объем увеличился до 38 780 куб. м. Начиная с SL-8 и далее, использовались моторы «Майбах» HSL мощностью по 240 л. с. Установка более мощных моторов позволила поднять максимальную скорость до 94 км/ч, а грузоподъемность достигла 18 350 кг. Появившийся летом 1916 года SL-11 стал продолжением дирижаблей серии SL-10, но с объемом, увеличившимся до 38 780 куб. м и грузоподъемностью 18 350 кг. Дирижабли «Шютте-Ланц» обладали хорошими летными характеристиками, но по сравнению с цеппелинами аналогичного объема имели меньшую грузоподъемность. Поэтому на флоте их использовали чаще для разведки и патрулирования, чем для выполнения бомбардировочных задач. Только построенный в конце 1917 года первый корабль SL-20 объемом 56 000 куб. м, мало чем уступавший цеппелинам, прибыл на Балтийское море, где еще успел принять участие в боевой работе. В Северном море ему уже не пришлось повоевать, так как в январе 1918 года он был уничтожен во время большого взрыва в Альгорне. Однотипный корабль SL-22 не соответствовал военным требованиям, и поэтому в боевых действиях участия не принимал (11234).</w:t>
      </w:r>
    </w:p>
    <w:p w14:paraId="7F9F2FE3" w14:textId="77777777" w:rsidR="004B4E35" w:rsidRPr="00405303" w:rsidRDefault="004B4E35" w:rsidP="00C15251">
      <w:pPr>
        <w:pStyle w:val="Blockquote"/>
        <w:spacing w:before="0" w:after="0"/>
        <w:ind w:left="0" w:right="0"/>
        <w:jc w:val="both"/>
        <w:rPr>
          <w:bCs/>
          <w:color w:val="002060"/>
          <w:sz w:val="16"/>
          <w:szCs w:val="16"/>
        </w:rPr>
      </w:pPr>
    </w:p>
    <w:p w14:paraId="5999ACF0" w14:textId="77777777" w:rsidR="00DA51EA" w:rsidRPr="00405303" w:rsidRDefault="00DA51EA" w:rsidP="00C15251">
      <w:pPr>
        <w:jc w:val="both"/>
        <w:rPr>
          <w:bCs/>
          <w:color w:val="002060"/>
          <w:sz w:val="16"/>
          <w:szCs w:val="16"/>
        </w:rPr>
      </w:pPr>
      <w:bookmarkStart w:id="266" w:name="_Hlk83382469"/>
      <w:r w:rsidRPr="00405303">
        <w:rPr>
          <w:bCs/>
          <w:color w:val="002060"/>
          <w:sz w:val="16"/>
          <w:szCs w:val="16"/>
        </w:rPr>
        <w:t xml:space="preserve">Осенью 1915 г. сдали Головной Пфальц E </w:t>
      </w:r>
      <w:proofErr w:type="gramStart"/>
      <w:r w:rsidRPr="00405303">
        <w:rPr>
          <w:bCs/>
          <w:color w:val="002060"/>
          <w:sz w:val="16"/>
          <w:szCs w:val="16"/>
        </w:rPr>
        <w:t>II</w:t>
      </w:r>
      <w:proofErr w:type="gramEnd"/>
      <w:r w:rsidRPr="00405303">
        <w:rPr>
          <w:bCs/>
          <w:color w:val="002060"/>
          <w:sz w:val="16"/>
          <w:szCs w:val="16"/>
        </w:rPr>
        <w:t xml:space="preserve"> и он сразу пошел серию, но не для флотской, а для сухопутной авиации, и прибавка дальности в ущерб маневренности оказалась ей не очень нужна. Зато самолет стал приятнее в управлении. Произведенный в количестве 80 экземпляров, он применялся в воздушных войсках Германии до середины 1917 г. На флот попали всего две машины этого типа, да и то лишь когда на сухопутном фронте появились новые самолеты, а эти уже были порядком изношены — один Пфальц E II передали 17 июля 1916 г. собственным ВМС, а другой 1 марта 1917 г. отдали австрийцам для защиты военно-морской базы Пола (22750).</w:t>
      </w:r>
    </w:p>
    <w:p w14:paraId="778C58F0" w14:textId="77777777" w:rsidR="00DA51EA" w:rsidRPr="00405303" w:rsidRDefault="00DA51EA" w:rsidP="00C15251">
      <w:pPr>
        <w:jc w:val="both"/>
        <w:rPr>
          <w:bCs/>
          <w:color w:val="002060"/>
          <w:sz w:val="16"/>
          <w:szCs w:val="16"/>
        </w:rPr>
      </w:pPr>
    </w:p>
    <w:bookmarkEnd w:id="266"/>
    <w:p w14:paraId="5E3CE2A7" w14:textId="77777777" w:rsidR="00DA51EA" w:rsidRPr="00405303" w:rsidRDefault="00DA51EA" w:rsidP="00C15251">
      <w:pPr>
        <w:jc w:val="both"/>
        <w:rPr>
          <w:bCs/>
          <w:color w:val="002060"/>
          <w:sz w:val="16"/>
          <w:szCs w:val="16"/>
        </w:rPr>
      </w:pPr>
      <w:r w:rsidRPr="00405303">
        <w:rPr>
          <w:bCs/>
          <w:color w:val="002060"/>
          <w:sz w:val="16"/>
          <w:szCs w:val="16"/>
        </w:rPr>
        <w:t>Осенью 1915 г. на заводе «Фоккер» в Герризе был построен Первый М.16Е (М.16 с заменой стосильного ротативного «Оберурселя» рядным Мерседесом D III в 160 л. с. при сохранении компоновки М.17 с креплением обоих крыльев непосредственно к фюзеляжу), но фирма «Даймлер», для которой моторы марки «Мерседес» были всего лишь одним из многих наименований своих изделий, причем пока далеко не самым востребованным, не имея твердого заказа на модель D III, своевременно поставить его не смогла, что вызвало задержку испытаний. Боясь опоздать, установили имевшийся Мерседес D I в 100 л. с. и в декабре самолет облетали. Его данные не заинтересовали Инспекцию воздушных войск Германии (IdFlieg), решившую, что самолет слишком велик и тяжел даже для 160 сил, Австрия им тоже не заинтересовалась. Но Фоккер и Крейцер считали, что такая позиция определена лишь недоверием к новому мотору, и она изменится, когда пойдет его устойчивый выпуск (22768).</w:t>
      </w:r>
    </w:p>
    <w:p w14:paraId="60CFF70F" w14:textId="77777777" w:rsidR="00DA51EA" w:rsidRPr="00405303" w:rsidRDefault="00DA51EA" w:rsidP="00C15251">
      <w:pPr>
        <w:jc w:val="both"/>
        <w:rPr>
          <w:bCs/>
          <w:color w:val="002060"/>
          <w:sz w:val="16"/>
          <w:szCs w:val="16"/>
        </w:rPr>
      </w:pPr>
    </w:p>
    <w:p w14:paraId="18FD1439" w14:textId="77777777" w:rsidR="004252BD" w:rsidRPr="00405303" w:rsidRDefault="004252BD" w:rsidP="00C15251">
      <w:pPr>
        <w:jc w:val="both"/>
        <w:rPr>
          <w:bCs/>
          <w:i/>
          <w:color w:val="002060"/>
          <w:sz w:val="16"/>
          <w:szCs w:val="16"/>
        </w:rPr>
      </w:pPr>
      <w:r w:rsidRPr="00405303">
        <w:rPr>
          <w:bCs/>
          <w:i/>
          <w:color w:val="002060"/>
          <w:sz w:val="16"/>
          <w:szCs w:val="16"/>
        </w:rPr>
        <w:lastRenderedPageBreak/>
        <w:t>Авиация и воздухоплавание Франции:</w:t>
      </w:r>
    </w:p>
    <w:p w14:paraId="3FFD92D1" w14:textId="77777777" w:rsidR="004252BD" w:rsidRPr="00405303" w:rsidRDefault="004252BD" w:rsidP="00C15251">
      <w:pPr>
        <w:jc w:val="both"/>
        <w:rPr>
          <w:bCs/>
          <w:i/>
          <w:color w:val="002060"/>
          <w:sz w:val="16"/>
          <w:szCs w:val="16"/>
        </w:rPr>
      </w:pPr>
    </w:p>
    <w:p w14:paraId="7DF63A08" w14:textId="77777777" w:rsidR="004252BD" w:rsidRPr="00405303" w:rsidRDefault="004252BD" w:rsidP="00C15251">
      <w:pPr>
        <w:pStyle w:val="ae"/>
        <w:shd w:val="clear" w:color="auto" w:fill="FFFFFF"/>
        <w:spacing w:before="0" w:beforeAutospacing="0" w:after="0" w:afterAutospacing="0"/>
        <w:jc w:val="both"/>
        <w:textAlignment w:val="baseline"/>
        <w:rPr>
          <w:bCs/>
          <w:color w:val="002060"/>
          <w:sz w:val="16"/>
          <w:szCs w:val="16"/>
        </w:rPr>
      </w:pPr>
      <w:r w:rsidRPr="00405303">
        <w:rPr>
          <w:bCs/>
          <w:color w:val="002060"/>
          <w:sz w:val="16"/>
          <w:szCs w:val="16"/>
        </w:rPr>
        <w:t>К осени 1915 года во Франции организуются ещё несколько летных училищ. Выделяются специализированные школы: истребителей готовят в По, в Аворде — бомбардировщиков, в Шатору — пилотов в наблюдательную и разведывательную авиацию, в Казу создают стрелковую школу для истребителей, летчиков-наблюдателей и зенитчиков. В 1917 году количество школ и учебных центров ещё увеличивается в связи со вступлением в войну США (19791).</w:t>
      </w:r>
    </w:p>
    <w:p w14:paraId="6A1D4A80" w14:textId="77777777" w:rsidR="004252BD" w:rsidRPr="00405303" w:rsidRDefault="004252BD" w:rsidP="00C15251">
      <w:pPr>
        <w:pStyle w:val="ae"/>
        <w:shd w:val="clear" w:color="auto" w:fill="FFFFFF"/>
        <w:spacing w:before="0" w:beforeAutospacing="0" w:after="0" w:afterAutospacing="0"/>
        <w:jc w:val="both"/>
        <w:textAlignment w:val="baseline"/>
        <w:rPr>
          <w:bCs/>
          <w:color w:val="002060"/>
          <w:sz w:val="16"/>
          <w:szCs w:val="16"/>
        </w:rPr>
      </w:pPr>
    </w:p>
    <w:p w14:paraId="00C00B9D" w14:textId="77777777" w:rsidR="009B75AD" w:rsidRPr="00405303" w:rsidRDefault="009B75AD" w:rsidP="00C15251">
      <w:pPr>
        <w:jc w:val="both"/>
        <w:rPr>
          <w:bCs/>
          <w:i/>
          <w:color w:val="002060"/>
          <w:sz w:val="16"/>
          <w:szCs w:val="16"/>
        </w:rPr>
      </w:pPr>
      <w:r w:rsidRPr="00405303">
        <w:rPr>
          <w:bCs/>
          <w:i/>
          <w:color w:val="002060"/>
          <w:sz w:val="16"/>
          <w:szCs w:val="16"/>
        </w:rPr>
        <w:t>Самолетостроение:</w:t>
      </w:r>
    </w:p>
    <w:p w14:paraId="628A23DB" w14:textId="77777777" w:rsidR="009B75AD" w:rsidRPr="00405303" w:rsidRDefault="009B75AD" w:rsidP="00C15251">
      <w:pPr>
        <w:jc w:val="both"/>
        <w:rPr>
          <w:bCs/>
          <w:i/>
          <w:color w:val="002060"/>
          <w:sz w:val="16"/>
          <w:szCs w:val="16"/>
        </w:rPr>
      </w:pPr>
    </w:p>
    <w:p w14:paraId="688E6DA3" w14:textId="77777777" w:rsidR="009B75AD" w:rsidRPr="00405303" w:rsidRDefault="009B75AD" w:rsidP="00C15251">
      <w:pPr>
        <w:pStyle w:val="p1"/>
        <w:spacing w:before="0" w:beforeAutospacing="0" w:after="0" w:afterAutospacing="0"/>
        <w:jc w:val="both"/>
        <w:rPr>
          <w:bCs/>
          <w:color w:val="002060"/>
          <w:sz w:val="16"/>
          <w:szCs w:val="16"/>
        </w:rPr>
      </w:pPr>
      <w:r w:rsidRPr="00405303">
        <w:rPr>
          <w:bCs/>
          <w:color w:val="002060"/>
          <w:sz w:val="16"/>
          <w:szCs w:val="16"/>
        </w:rPr>
        <w:t>К октябрю 1915 на «Русский Рено», подписавший в августе контракт с ГАК, привезли из Франции первые партии станков; «к этому времени были уже на месте прибывшие мастера», командированные, как и директор, из Франции. «Вся работа по организации производства была предоставлена мастерам», обращавшимся во Францию «при всех затруднениях»; каждый мастер «старался восстановить вокруг себя обстановку, хорошо ему известную по прежней его работе во Франции» (19409).</w:t>
      </w:r>
    </w:p>
    <w:p w14:paraId="3B10ECCB" w14:textId="77777777" w:rsidR="009B75AD" w:rsidRPr="00405303" w:rsidRDefault="009B75AD" w:rsidP="00C15251">
      <w:pPr>
        <w:jc w:val="both"/>
        <w:rPr>
          <w:bCs/>
          <w:i/>
          <w:color w:val="002060"/>
          <w:sz w:val="16"/>
          <w:szCs w:val="16"/>
        </w:rPr>
      </w:pPr>
    </w:p>
    <w:p w14:paraId="0F7CC5AF" w14:textId="481CDF3E" w:rsidR="00616842" w:rsidRPr="00405303" w:rsidRDefault="00616842" w:rsidP="00C15251">
      <w:pPr>
        <w:pStyle w:val="ae"/>
        <w:shd w:val="clear" w:color="auto" w:fill="FFFFFF"/>
        <w:spacing w:before="0" w:beforeAutospacing="0" w:after="0" w:afterAutospacing="0"/>
        <w:jc w:val="both"/>
        <w:rPr>
          <w:bCs/>
          <w:color w:val="002060"/>
          <w:sz w:val="16"/>
          <w:szCs w:val="16"/>
        </w:rPr>
      </w:pPr>
      <w:r w:rsidRPr="00405303">
        <w:rPr>
          <w:bCs/>
          <w:color w:val="002060"/>
          <w:sz w:val="16"/>
          <w:szCs w:val="16"/>
        </w:rPr>
        <w:t>К октябрю 1915 г. ГВТУ из общей суммы расходов в 200 тыс. руб. на расширение производства завода Гном приобрело для предприятия станков и инструментов почти на 143 тыс. руб. (Ф. 493. Оп. 4. Д. 17. Л. 17,8).</w:t>
      </w:r>
      <w:r w:rsidR="00DB4D64" w:rsidRPr="00405303">
        <w:rPr>
          <w:bCs/>
          <w:color w:val="002060"/>
          <w:sz w:val="16"/>
          <w:szCs w:val="16"/>
        </w:rPr>
        <w:t xml:space="preserve"> </w:t>
      </w:r>
      <w:r w:rsidRPr="00405303">
        <w:rPr>
          <w:bCs/>
          <w:color w:val="002060"/>
          <w:sz w:val="16"/>
          <w:szCs w:val="16"/>
        </w:rPr>
        <w:t>Итогом финансовой помощи заводу и содействия в организации работ стало увеличение производительности завода «Гном» до 30 моторов в месяц, освоение более совершенных типов моторов («Рон», «Моносупан»), рост численности рабочих на предприятии до 300 человек (РГВИА. Ф. 369. Оп. 8. Д. 74. Л. 18об.; Там же. Д. 77. Л. 9-10) (21552).</w:t>
      </w:r>
    </w:p>
    <w:p w14:paraId="40B8955A" w14:textId="77777777" w:rsidR="00616842" w:rsidRPr="00405303" w:rsidRDefault="00616842" w:rsidP="00C15251">
      <w:pPr>
        <w:jc w:val="both"/>
        <w:rPr>
          <w:bCs/>
          <w:color w:val="002060"/>
          <w:sz w:val="16"/>
          <w:szCs w:val="16"/>
        </w:rPr>
      </w:pPr>
    </w:p>
    <w:p w14:paraId="5D29AD31" w14:textId="77777777" w:rsidR="00CD7855" w:rsidRPr="00405303" w:rsidRDefault="00CD7855" w:rsidP="00C15251">
      <w:pPr>
        <w:jc w:val="both"/>
        <w:rPr>
          <w:bCs/>
          <w:color w:val="002060"/>
          <w:sz w:val="16"/>
          <w:szCs w:val="16"/>
        </w:rPr>
      </w:pPr>
      <w:r w:rsidRPr="00405303">
        <w:rPr>
          <w:bCs/>
          <w:color w:val="002060"/>
          <w:sz w:val="16"/>
          <w:szCs w:val="16"/>
        </w:rPr>
        <w:t>К октябрю 1915 г. ГВТУ из общей суммы расходов в 200 тыс. руб. на расширение производства приобрело для предприятия станков и инструментов почти на 143 тыс. руб. [Там же. Ф. 493. Оп. 4. Д. 17. Л. 17,8.] Итогом финансовой помощи заводу и содействия в организации работ стало увеличение производительности завода «Гном» до 30 моторов в месяц, освоение более совершенных типов моторов («Рон», «Моносупан»), рост численности рабочих на предприятии до 300 человек [Там же. Ф. 369. Оп. 8. Д. 74. Л. 18об.; Там же. Д. 77. Л. 9-10.].</w:t>
      </w:r>
    </w:p>
    <w:p w14:paraId="22E60DA4" w14:textId="77777777" w:rsidR="00CD7855" w:rsidRPr="00405303" w:rsidRDefault="00CD7855" w:rsidP="00C15251">
      <w:pPr>
        <w:jc w:val="both"/>
        <w:rPr>
          <w:bCs/>
          <w:color w:val="002060"/>
          <w:sz w:val="16"/>
          <w:szCs w:val="16"/>
        </w:rPr>
      </w:pPr>
      <w:r w:rsidRPr="00405303">
        <w:rPr>
          <w:bCs/>
          <w:color w:val="002060"/>
          <w:sz w:val="16"/>
          <w:szCs w:val="16"/>
        </w:rPr>
        <w:t>Развил производство на новом месте эвакуированный в Москву из Риги завод «Мотор». Завод был дооборудован 110 станками, закупленными правлением товарищества в Америке, а частью -полученными от военного ведомства из реквизированного оборудования других предприятий. Численность рабочих на заводе в конце 1916 г. составляла свыше 300 человек. Производительность предприятия поднялась с 2 моторов (довоенный уровень) до 15 в месяц [Там же. Ф. 493. Оп. 9. Д. 56. Л. 200; Там же. Ф. 369. Оп. 8. Д. 74. Л. 18об.].</w:t>
      </w:r>
    </w:p>
    <w:p w14:paraId="6EA60213" w14:textId="77777777" w:rsidR="00CD7855" w:rsidRPr="00405303" w:rsidRDefault="00CD7855" w:rsidP="00C15251">
      <w:pPr>
        <w:jc w:val="both"/>
        <w:rPr>
          <w:bCs/>
          <w:color w:val="002060"/>
          <w:sz w:val="16"/>
          <w:szCs w:val="16"/>
        </w:rPr>
      </w:pPr>
      <w:r w:rsidRPr="00405303">
        <w:rPr>
          <w:bCs/>
          <w:color w:val="002060"/>
          <w:sz w:val="16"/>
          <w:szCs w:val="16"/>
        </w:rPr>
        <w:t>По соглашению с военным ведомством в Москве был построен моторный завод французским обществом авиационных двигателей «Сальмсон», пущенный в ход в июле 1915 г. Число рабочих на нем в 1917 г. достигало 500 человек, производительность составляла 50 моторов в месяц [Там же. Оп. 9. Д. 56. Л. 200; Там же. Ф. 369. Оп. 8. Д. 74. Л. 18об.].</w:t>
      </w:r>
    </w:p>
    <w:p w14:paraId="71AA8743" w14:textId="77777777" w:rsidR="00CD7855" w:rsidRPr="00405303" w:rsidRDefault="00CD7855" w:rsidP="00C15251">
      <w:pPr>
        <w:jc w:val="both"/>
        <w:rPr>
          <w:bCs/>
          <w:color w:val="002060"/>
          <w:sz w:val="16"/>
          <w:szCs w:val="16"/>
        </w:rPr>
      </w:pPr>
      <w:r w:rsidRPr="00405303">
        <w:rPr>
          <w:bCs/>
          <w:color w:val="002060"/>
          <w:sz w:val="16"/>
          <w:szCs w:val="16"/>
        </w:rPr>
        <w:t>Потенциал трех авиамоторных предприятий продолжал использоваться и после Октябрьской революции. В 1927 г. на базе завода «Гном» (с 1918 г. «Госавиазавод» № 2, с 1922 г. «Икар») все три предприятия были объединены в завод № 24 им. М.В. Фрунзе, который в годы Великой Отечественной войны положил начало Куйбышевскому заводу и одному из крупнейших отечественных авиационных предприятий Московскому авиамоторному № 45 (впоследствии - завод «Салют», теперь - ММПП «Салют»).</w:t>
      </w:r>
    </w:p>
    <w:p w14:paraId="361418FD" w14:textId="77777777" w:rsidR="00CD7855" w:rsidRPr="00405303" w:rsidRDefault="00CD7855" w:rsidP="00C15251">
      <w:pPr>
        <w:jc w:val="both"/>
        <w:rPr>
          <w:bCs/>
          <w:color w:val="002060"/>
          <w:sz w:val="16"/>
          <w:szCs w:val="16"/>
        </w:rPr>
      </w:pPr>
      <w:r w:rsidRPr="00405303">
        <w:rPr>
          <w:bCs/>
          <w:color w:val="002060"/>
          <w:sz w:val="16"/>
          <w:szCs w:val="16"/>
        </w:rPr>
        <w:t>Серьезные сложности с развитием производства испытывал Русско-Балтийский вагонный завод (РБВЗ), эвакуированный из Риги. Самолетостроение поддерживалось в Петроградском отделении предприятия, осуществлявшем выпуск истребителей И.И. Сикорского и тяжелых самолетов «Илья Муромец», «Русский витязь», заказы на которые от военного ведомства поступали весьма нерегулярно и ограниченно [Там же. Ф. 369. Оп. 8. Д. 75. Л. 16-20; Там же. Оп. 2. Д. 6. Л. 247об., 249.].</w:t>
      </w:r>
    </w:p>
    <w:p w14:paraId="3C0F814B" w14:textId="77777777" w:rsidR="00CD7855" w:rsidRPr="00405303" w:rsidRDefault="00CD7855" w:rsidP="00C15251">
      <w:pPr>
        <w:jc w:val="both"/>
        <w:rPr>
          <w:bCs/>
          <w:color w:val="002060"/>
          <w:sz w:val="16"/>
          <w:szCs w:val="16"/>
        </w:rPr>
      </w:pPr>
      <w:r w:rsidRPr="00405303">
        <w:rPr>
          <w:bCs/>
          <w:color w:val="002060"/>
          <w:sz w:val="16"/>
          <w:szCs w:val="16"/>
        </w:rPr>
        <w:t>В 1916 г. РБВЗ подписал контракт с УВВФ на поставку 300 авиамоторов собственной конструкции (РБВ-36). По этому договору общество обязалось построить новый моторный завод в Москве. Сооружение предприятия осуществлялось на той же территории в Филях, где располагалась стройка автомобильного завода РБВЗ. Строительство щедро финансировалось военным ведомством, заинтересованном в моторах данного типа. Правлению был выдан аванс в размере 1907,1 тыс. руб., безвозвратное пособие в 100 тыс. руб., беспроцентная ссуда в 600 тыс. руб. и 6 % -ная ссуда на 10 лет без малого в 590 тыс. руб. [Там же. Ф. 493. Оп. 4. Д. 343. Л. 6 -7.] Моторный завод РБВЗ, как и автомобильный, не был достроен, но заложенные мощности в дальнейшем были успешно реализованы. В 1920-е гг. предприятие было предоставлено на концессионных началах фирме «Юнкерс». Впоследствии это известный завод им. Хруничева.</w:t>
      </w:r>
    </w:p>
    <w:p w14:paraId="39DFFCDA" w14:textId="77777777" w:rsidR="00CD7855" w:rsidRPr="00405303" w:rsidRDefault="00CD7855" w:rsidP="00C15251">
      <w:pPr>
        <w:jc w:val="both"/>
        <w:rPr>
          <w:bCs/>
          <w:color w:val="002060"/>
          <w:sz w:val="16"/>
          <w:szCs w:val="16"/>
        </w:rPr>
      </w:pPr>
      <w:r w:rsidRPr="00405303">
        <w:rPr>
          <w:bCs/>
          <w:color w:val="002060"/>
          <w:sz w:val="16"/>
          <w:szCs w:val="16"/>
        </w:rPr>
        <w:t>Акционерное общество электромеханических сооружений (ЭМС), возникшее на базе товарищества «Дюфлон и Константинович», построило в годы войны авиационное отделение в г. Александрове Екатеринославской губернии. Завод, финансируемый военным ведомством, закупил за границей необходимое оборудование и осенью 1916 г. начал производство моторов типа «Мерседес» из русских материалов [Там же. Д. 105. Л. 201-207; Там же. Ф. 369. Оп. 8. Д. 77. Л. 11.].</w:t>
      </w:r>
    </w:p>
    <w:p w14:paraId="60F41288" w14:textId="77777777" w:rsidR="00CD7855" w:rsidRPr="00405303" w:rsidRDefault="00CD7855" w:rsidP="00C15251">
      <w:pPr>
        <w:jc w:val="both"/>
        <w:rPr>
          <w:bCs/>
          <w:color w:val="002060"/>
          <w:sz w:val="16"/>
          <w:szCs w:val="16"/>
        </w:rPr>
      </w:pPr>
      <w:r w:rsidRPr="00405303">
        <w:rPr>
          <w:bCs/>
          <w:color w:val="002060"/>
          <w:sz w:val="16"/>
          <w:szCs w:val="16"/>
        </w:rPr>
        <w:t>В октябре 1914 г. был утвержден Устав акционерного общества «Русский Рено», учредителями которого выступили член Государственной думы Л.В. Половцев и французский подданный Поль Сико. Целью общества были производство и продажа автомобилей, автомобильных и авиационных двигателей, эксплуатация автомобилей и прочее. В 1914 - 1916 гг. обществом был построен и первоклассно оборудован в Петрограде завод, осуществлявший сборку, испытание авиадвигателей «Рено» и изготовление запасных частей к ним. На заводе действовало и автомобильное отделение. Всего на предприятии размещалось 770 станков. К началу 1917 г. в цехах завода трудилось около 2 тыс. рабочих. Несмотря на эти обстоятельства, производительность предприятия была невелика - всего 10 моторов в месяц [РГВИА. Ф. 493. Оп. 9. Д. 56. Л. 200; РГАЭ. Ф. 4086 (Главное управление металлической промышленности ВСНХ СССР). Оп. 10. Д. 3. Л. 131.].</w:t>
      </w:r>
    </w:p>
    <w:p w14:paraId="0E77D55C" w14:textId="77777777" w:rsidR="00CD7855" w:rsidRPr="00405303" w:rsidRDefault="00CD7855" w:rsidP="00C15251">
      <w:pPr>
        <w:jc w:val="both"/>
        <w:rPr>
          <w:bCs/>
          <w:color w:val="002060"/>
          <w:sz w:val="16"/>
          <w:szCs w:val="16"/>
        </w:rPr>
      </w:pPr>
      <w:r w:rsidRPr="00405303">
        <w:rPr>
          <w:bCs/>
          <w:color w:val="002060"/>
          <w:sz w:val="16"/>
          <w:szCs w:val="16"/>
        </w:rPr>
        <w:t>В ноябре 1915 г. обществом «Русский Рено» был заключен контракт с ГВТУ на поставку 150 моторов типа «Рено», по которому предусматривалось сооружение еще одного моторного завода. Завод начал строиться в Рыбинске, где это же общество строило автомобильный завод. Военное ведомство оказало широкую материальную помощь обществу в деле постройки авиамоторного завода. Правлению «Русский Рено» был выдан аванс в 1620 тыс. руб. Кроме того, для покупки необходимого оборудования за границей обществу была предоставлена соответствующая валюта [РГИА. Ф. 1525. Оп. 1. Д. 420. Л. 11-12, 8об. 10.]. Хотя значительная часть зданий нового завода была построена, но завершить оборудование его не удалось по причине задержек в поступлении станков и механизмов из-за границы (11863).</w:t>
      </w:r>
    </w:p>
    <w:p w14:paraId="2640D7C1" w14:textId="77777777" w:rsidR="00CD7855" w:rsidRPr="00405303" w:rsidRDefault="00CD7855" w:rsidP="00C15251">
      <w:pPr>
        <w:jc w:val="both"/>
        <w:rPr>
          <w:bCs/>
          <w:color w:val="002060"/>
          <w:sz w:val="16"/>
          <w:szCs w:val="16"/>
        </w:rPr>
      </w:pPr>
    </w:p>
    <w:p w14:paraId="7658DA66" w14:textId="53FB2945" w:rsidR="00481739" w:rsidRPr="00405303" w:rsidRDefault="00481739" w:rsidP="00C15251">
      <w:pPr>
        <w:jc w:val="both"/>
        <w:rPr>
          <w:bCs/>
          <w:i/>
          <w:color w:val="002060"/>
          <w:sz w:val="16"/>
          <w:szCs w:val="16"/>
        </w:rPr>
      </w:pPr>
      <w:r w:rsidRPr="00405303">
        <w:rPr>
          <w:bCs/>
          <w:i/>
          <w:color w:val="002060"/>
          <w:sz w:val="16"/>
          <w:szCs w:val="16"/>
        </w:rPr>
        <w:t>Другие оборонные отрасли:</w:t>
      </w:r>
    </w:p>
    <w:p w14:paraId="4E78CC4C" w14:textId="77777777" w:rsidR="00481739" w:rsidRPr="00405303" w:rsidRDefault="00481739" w:rsidP="00C15251">
      <w:pPr>
        <w:jc w:val="both"/>
        <w:rPr>
          <w:bCs/>
          <w:i/>
          <w:color w:val="002060"/>
          <w:sz w:val="16"/>
          <w:szCs w:val="16"/>
        </w:rPr>
      </w:pPr>
    </w:p>
    <w:p w14:paraId="0B425B07" w14:textId="77777777" w:rsidR="00481739" w:rsidRPr="00405303" w:rsidRDefault="00481739" w:rsidP="00C15251">
      <w:pPr>
        <w:jc w:val="both"/>
        <w:rPr>
          <w:bCs/>
          <w:color w:val="002060"/>
          <w:sz w:val="16"/>
          <w:szCs w:val="16"/>
        </w:rPr>
      </w:pPr>
      <w:r w:rsidRPr="00405303">
        <w:rPr>
          <w:bCs/>
          <w:color w:val="002060"/>
          <w:sz w:val="16"/>
          <w:szCs w:val="16"/>
        </w:rPr>
        <w:t>К октябрю 1915 г. на «Русский Рено» в Петрограде привезли из Франции первые партии станков для изготовления трубок а соответсьвии с контрактом с ГАУ, подписанным Рено в августе 1915 г; «к этому времени были уже на ме</w:t>
      </w:r>
      <w:r w:rsidRPr="00405303">
        <w:rPr>
          <w:bCs/>
          <w:color w:val="002060"/>
          <w:sz w:val="16"/>
          <w:szCs w:val="16"/>
        </w:rPr>
        <w:softHyphen/>
        <w:t>сте прибывшие мастера», командированные, как и дирек</w:t>
      </w:r>
      <w:r w:rsidRPr="00405303">
        <w:rPr>
          <w:bCs/>
          <w:color w:val="002060"/>
          <w:sz w:val="16"/>
          <w:szCs w:val="16"/>
        </w:rPr>
        <w:softHyphen/>
        <w:t>тор, из Франции. «Вся работа по организации производства была предоставлена мастерам», обращавшимся во Францию «при всех затруднениях»; каждый мастер «старался восста</w:t>
      </w:r>
      <w:r w:rsidRPr="00405303">
        <w:rPr>
          <w:bCs/>
          <w:color w:val="002060"/>
          <w:sz w:val="16"/>
          <w:szCs w:val="16"/>
        </w:rPr>
        <w:softHyphen/>
        <w:t>новить вокруг себя обстановку, хорошо ему известную по прежней его работе во Франции» (23452).</w:t>
      </w:r>
    </w:p>
    <w:p w14:paraId="0BAABFBD" w14:textId="77777777" w:rsidR="00481739" w:rsidRPr="00405303" w:rsidRDefault="00481739" w:rsidP="00C15251">
      <w:pPr>
        <w:jc w:val="both"/>
        <w:rPr>
          <w:bCs/>
          <w:color w:val="002060"/>
          <w:sz w:val="16"/>
          <w:szCs w:val="16"/>
        </w:rPr>
      </w:pPr>
    </w:p>
    <w:p w14:paraId="7EEFD1BE" w14:textId="617301A3" w:rsidR="00A0078B" w:rsidRPr="00405303" w:rsidRDefault="00A0078B" w:rsidP="00A0078B">
      <w:pPr>
        <w:jc w:val="both"/>
        <w:rPr>
          <w:bCs/>
          <w:i/>
          <w:color w:val="002060"/>
          <w:sz w:val="16"/>
          <w:szCs w:val="16"/>
        </w:rPr>
      </w:pPr>
      <w:r w:rsidRPr="00405303">
        <w:rPr>
          <w:bCs/>
          <w:i/>
          <w:color w:val="002060"/>
          <w:sz w:val="16"/>
          <w:szCs w:val="16"/>
        </w:rPr>
        <w:t>А</w:t>
      </w:r>
      <w:r>
        <w:rPr>
          <w:bCs/>
          <w:i/>
          <w:color w:val="002060"/>
          <w:sz w:val="16"/>
          <w:szCs w:val="16"/>
        </w:rPr>
        <w:t>рмия</w:t>
      </w:r>
      <w:r w:rsidRPr="00405303">
        <w:rPr>
          <w:bCs/>
          <w:i/>
          <w:color w:val="002060"/>
          <w:sz w:val="16"/>
          <w:szCs w:val="16"/>
        </w:rPr>
        <w:t>:</w:t>
      </w:r>
    </w:p>
    <w:p w14:paraId="514E7091" w14:textId="77777777" w:rsidR="00A0078B" w:rsidRPr="00405303" w:rsidRDefault="00A0078B" w:rsidP="00A0078B">
      <w:pPr>
        <w:jc w:val="both"/>
        <w:rPr>
          <w:bCs/>
          <w:i/>
          <w:color w:val="002060"/>
          <w:sz w:val="16"/>
          <w:szCs w:val="16"/>
        </w:rPr>
      </w:pPr>
    </w:p>
    <w:p w14:paraId="03D6107D" w14:textId="77777777" w:rsidR="00A0078B" w:rsidRPr="00B52707" w:rsidRDefault="00A0078B" w:rsidP="00A0078B">
      <w:pPr>
        <w:jc w:val="both"/>
        <w:rPr>
          <w:color w:val="0070C0"/>
          <w:sz w:val="16"/>
          <w:szCs w:val="16"/>
        </w:rPr>
      </w:pPr>
      <w:r w:rsidRPr="00B52707">
        <w:rPr>
          <w:rStyle w:val="aa"/>
          <w:rFonts w:ascii="Times New Roman" w:hAnsi="Times New Roman"/>
          <w:color w:val="0070C0"/>
          <w:spacing w:val="0"/>
          <w:sz w:val="16"/>
          <w:szCs w:val="16"/>
        </w:rPr>
        <w:t>До октября 1915 года на востоке противник провел две крупные наступательные операции (Горлицкую и Свенцянскую), вынудив русские войска оставить Галицию – на юго-западе, и часть Прибалтики с г. Вильна – на северо-западе. Опасаясь окружения своих крупных сил в центральных областях Польши, Ставка ВГК приняла решение на стратегическое отступление русских войск из создавшегося «польского мешка» на заранее выбранные позиции.</w:t>
      </w:r>
    </w:p>
    <w:p w14:paraId="4643360B" w14:textId="77777777" w:rsidR="00A0078B" w:rsidRPr="00B52707" w:rsidRDefault="00A0078B" w:rsidP="00A0078B">
      <w:pPr>
        <w:jc w:val="both"/>
        <w:rPr>
          <w:color w:val="0070C0"/>
          <w:sz w:val="16"/>
          <w:szCs w:val="16"/>
        </w:rPr>
      </w:pPr>
      <w:r w:rsidRPr="00B52707">
        <w:rPr>
          <w:rStyle w:val="aa"/>
          <w:rFonts w:ascii="Times New Roman" w:hAnsi="Times New Roman"/>
          <w:color w:val="0070C0"/>
          <w:spacing w:val="0"/>
          <w:sz w:val="16"/>
          <w:szCs w:val="16"/>
        </w:rPr>
        <w:t xml:space="preserve">Отступая, наши части оказывали врагу упорное сопротивление, в том числе и в воздушной сфере. В своих налетах на крепости и укрепленные районы в полосе русского СЗФ противник задействовал значительное количество своих воздушных сил. В течение двух недель ежедневным бомбардировкам с воздуха подвергались </w:t>
      </w:r>
      <w:r w:rsidRPr="00B52707">
        <w:rPr>
          <w:rStyle w:val="aa"/>
          <w:rFonts w:ascii="Times New Roman" w:hAnsi="Times New Roman"/>
          <w:color w:val="0070C0"/>
          <w:spacing w:val="0"/>
          <w:sz w:val="16"/>
          <w:szCs w:val="16"/>
        </w:rPr>
        <w:lastRenderedPageBreak/>
        <w:t>объекты и фортификационные сооружения крепости Брест-Литовск. Утром 15 августа четыре германских самолета сбросили на город 10 бомб. Вечером того же дня над Брест-Литовском «снова реял неприятельский аэроплан, но бомб не сбрасывал»</w:t>
      </w:r>
      <w:hyperlink w:anchor="bookmark1306" w:tooltip="Current Document">
        <w:r w:rsidRPr="00B52707">
          <w:rPr>
            <w:rStyle w:val="aa"/>
            <w:rFonts w:ascii="Times New Roman" w:hAnsi="Times New Roman"/>
            <w:color w:val="0070C0"/>
            <w:spacing w:val="0"/>
            <w:sz w:val="16"/>
            <w:szCs w:val="16"/>
            <w:u w:val="single"/>
            <w:vertAlign w:val="superscript"/>
          </w:rPr>
          <w:t>[236]</w:t>
        </w:r>
      </w:hyperlink>
      <w:r w:rsidRPr="00B52707">
        <w:rPr>
          <w:rStyle w:val="aa"/>
          <w:rFonts w:ascii="Times New Roman" w:hAnsi="Times New Roman"/>
          <w:color w:val="0070C0"/>
          <w:spacing w:val="0"/>
          <w:sz w:val="16"/>
          <w:szCs w:val="16"/>
        </w:rPr>
        <w:t xml:space="preserve">. 23 августа свой налет на город совершил цеппелин </w:t>
      </w:r>
      <w:r w:rsidRPr="00B52707">
        <w:rPr>
          <w:rStyle w:val="aa"/>
          <w:rFonts w:ascii="Times New Roman" w:hAnsi="Times New Roman"/>
          <w:color w:val="0070C0"/>
          <w:spacing w:val="0"/>
          <w:sz w:val="16"/>
          <w:szCs w:val="16"/>
          <w:lang w:val="en-US"/>
        </w:rPr>
        <w:t>LZ</w:t>
      </w:r>
      <w:r w:rsidRPr="00B52707">
        <w:rPr>
          <w:rStyle w:val="aa"/>
          <w:rFonts w:ascii="Times New Roman" w:hAnsi="Times New Roman"/>
          <w:color w:val="0070C0"/>
          <w:spacing w:val="0"/>
          <w:sz w:val="16"/>
          <w:szCs w:val="16"/>
        </w:rPr>
        <w:t>-79</w:t>
      </w:r>
      <w:hyperlink w:anchor="bookmark1307" w:tooltip="Current Document">
        <w:r w:rsidRPr="00B52707">
          <w:rPr>
            <w:rStyle w:val="aa"/>
            <w:rFonts w:ascii="Times New Roman" w:hAnsi="Times New Roman"/>
            <w:color w:val="0070C0"/>
            <w:spacing w:val="0"/>
            <w:sz w:val="16"/>
            <w:szCs w:val="16"/>
            <w:u w:val="single"/>
            <w:vertAlign w:val="superscript"/>
          </w:rPr>
          <w:t>[237]</w:t>
        </w:r>
      </w:hyperlink>
      <w:r w:rsidRPr="00B52707">
        <w:rPr>
          <w:rStyle w:val="aa"/>
          <w:rFonts w:ascii="Times New Roman" w:hAnsi="Times New Roman"/>
          <w:color w:val="0070C0"/>
          <w:spacing w:val="0"/>
          <w:sz w:val="16"/>
          <w:szCs w:val="16"/>
        </w:rPr>
        <w:t>, разрушив при бомбометании железнодорожную станцию и три жилых дом</w:t>
      </w:r>
      <w:hyperlink w:anchor="bookmark1308" w:tooltip="Current Document">
        <w:proofErr w:type="gramStart"/>
        <w:r w:rsidRPr="00B52707">
          <w:rPr>
            <w:rStyle w:val="aa"/>
            <w:rFonts w:ascii="Times New Roman" w:hAnsi="Times New Roman"/>
            <w:color w:val="0070C0"/>
            <w:spacing w:val="0"/>
            <w:sz w:val="16"/>
            <w:szCs w:val="16"/>
          </w:rPr>
          <w:t>а</w:t>
        </w:r>
        <w:r w:rsidRPr="00B52707">
          <w:rPr>
            <w:rStyle w:val="aa"/>
            <w:rFonts w:ascii="Times New Roman" w:hAnsi="Times New Roman"/>
            <w:color w:val="0070C0"/>
            <w:spacing w:val="0"/>
            <w:sz w:val="16"/>
            <w:szCs w:val="16"/>
            <w:u w:val="single"/>
            <w:vertAlign w:val="superscript"/>
          </w:rPr>
          <w:t>[</w:t>
        </w:r>
        <w:proofErr w:type="gramEnd"/>
        <w:r w:rsidRPr="00B52707">
          <w:rPr>
            <w:rStyle w:val="aa"/>
            <w:rFonts w:ascii="Times New Roman" w:hAnsi="Times New Roman"/>
            <w:color w:val="0070C0"/>
            <w:spacing w:val="0"/>
            <w:sz w:val="16"/>
            <w:szCs w:val="16"/>
            <w:u w:val="single"/>
            <w:vertAlign w:val="superscript"/>
          </w:rPr>
          <w:t>238]</w:t>
        </w:r>
      </w:hyperlink>
      <w:r w:rsidRPr="00B52707">
        <w:rPr>
          <w:rStyle w:val="aa"/>
          <w:rFonts w:ascii="Times New Roman" w:hAnsi="Times New Roman"/>
          <w:color w:val="0070C0"/>
          <w:spacing w:val="0"/>
          <w:sz w:val="16"/>
          <w:szCs w:val="16"/>
        </w:rPr>
        <w:t>. Сохранились воспоминания об этом налете одного из членов экипажа дирижабля: «В этот момент ярко освещенные ж.-д. сооружения Брест- Литовска были под нами, в городе горели скудные огни. У русских была полная тишина. „Вниз – легкую бомбу!“ Блеск ее взрыва ярко</w:t>
      </w:r>
    </w:p>
    <w:p w14:paraId="1B7D2B66" w14:textId="77777777" w:rsidR="00A0078B" w:rsidRPr="00B52707" w:rsidRDefault="00A0078B" w:rsidP="00A0078B">
      <w:pPr>
        <w:jc w:val="both"/>
        <w:rPr>
          <w:color w:val="0070C0"/>
          <w:sz w:val="16"/>
          <w:szCs w:val="16"/>
        </w:rPr>
      </w:pPr>
      <w:r w:rsidRPr="00B52707">
        <w:rPr>
          <w:rStyle w:val="aa"/>
          <w:rFonts w:ascii="Times New Roman" w:hAnsi="Times New Roman"/>
          <w:color w:val="0070C0"/>
          <w:spacing w:val="0"/>
          <w:sz w:val="16"/>
          <w:szCs w:val="16"/>
        </w:rPr>
        <w:t>выделился на фоне местного освещения, удар пришелся верно. Затем одна за другой были сброшены 12 бомб по 100 кг каждая. Глухое сотрясение корабля свидетельствовало о том, что они взорвались. Огни на земле потухли, и заработали прожекторы; русские искали нас: ими был открыт огонь, слабый и недействительный».</w:t>
      </w:r>
    </w:p>
    <w:p w14:paraId="2BF6B502" w14:textId="77777777" w:rsidR="00A0078B" w:rsidRPr="00B52707" w:rsidRDefault="00A0078B" w:rsidP="00A0078B">
      <w:pPr>
        <w:jc w:val="both"/>
        <w:rPr>
          <w:color w:val="0070C0"/>
          <w:sz w:val="16"/>
          <w:szCs w:val="16"/>
        </w:rPr>
      </w:pPr>
      <w:r w:rsidRPr="00B52707">
        <w:rPr>
          <w:rStyle w:val="aa"/>
          <w:rFonts w:ascii="Times New Roman" w:hAnsi="Times New Roman"/>
          <w:color w:val="0070C0"/>
          <w:spacing w:val="0"/>
          <w:sz w:val="16"/>
          <w:szCs w:val="16"/>
        </w:rPr>
        <w:t>Действиям ВВФ Германии активно мешали летчики Брест- Литовского КАО, а также крепостная артиллерия, открывавшая шквальный зенитный огонь при каждом появлении над крепостью противника. В одном из разведывательных полетов над Брест- Литовском нашим пулеметным огнем был сбит немецкий аэроплан «Альбатрос» (64 АО), пилотируемый германским летчиком графом Хольком. В качестве наблюдателя с ним летел будущий летчик-ас, легенда Первой мировой войны барон М. фон Рихтхофен. Лишь посадка на территории, занятой германскими войсками, спасла обоих авиаторов от неминуемого плена. Сам Рихтхофен признал тот факт, что «нет ничего хуже, как совершить вынужденную посадку на чужой территории, особенно в России. Русские ненавидели летчиков, и если они их ловили, то убивали»</w:t>
      </w:r>
      <w:hyperlink w:anchor="bookmark1310" w:tooltip="Current Document">
        <w:r w:rsidRPr="00B52707">
          <w:rPr>
            <w:rStyle w:val="aa"/>
            <w:rFonts w:ascii="Times New Roman" w:hAnsi="Times New Roman"/>
            <w:color w:val="0070C0"/>
            <w:spacing w:val="0"/>
            <w:sz w:val="16"/>
            <w:szCs w:val="16"/>
            <w:u w:val="single"/>
            <w:vertAlign w:val="superscript"/>
          </w:rPr>
          <w:t>[240]</w:t>
        </w:r>
      </w:hyperlink>
      <w:r w:rsidRPr="00B52707">
        <w:rPr>
          <w:rStyle w:val="aa"/>
          <w:rFonts w:ascii="Times New Roman" w:hAnsi="Times New Roman"/>
          <w:color w:val="0070C0"/>
          <w:spacing w:val="0"/>
          <w:sz w:val="16"/>
          <w:szCs w:val="16"/>
        </w:rPr>
        <w:t>. Похоже, провидение хранило жизнь немецкого аса. Ему будет суждено погибнуть через три года в небе Франции.</w:t>
      </w:r>
    </w:p>
    <w:p w14:paraId="328AD61C" w14:textId="77777777" w:rsidR="00A0078B" w:rsidRPr="00B52707" w:rsidRDefault="00A0078B" w:rsidP="00A0078B">
      <w:pPr>
        <w:jc w:val="both"/>
        <w:rPr>
          <w:color w:val="0070C0"/>
          <w:sz w:val="16"/>
          <w:szCs w:val="16"/>
        </w:rPr>
      </w:pPr>
      <w:bookmarkStart w:id="267" w:name="bookmark249"/>
      <w:bookmarkStart w:id="268" w:name="bookmark250"/>
      <w:r w:rsidRPr="00B52707">
        <w:rPr>
          <w:rStyle w:val="aa"/>
          <w:rFonts w:ascii="Times New Roman" w:hAnsi="Times New Roman"/>
          <w:color w:val="0070C0"/>
          <w:spacing w:val="0"/>
          <w:sz w:val="16"/>
          <w:szCs w:val="16"/>
        </w:rPr>
        <w:t>Меньше повезло коллегам Рихтхофена – экипажу германского самолета, бомбившего позиции наших войск в районе Брест-Литовска. В результате обстрела он был сбит, оба летчика при падении разбились. Такая же участь постигла другой немецкий аэроплан, пытавшийся 10 сентября атаковать на Двинском направлении русский санитарный поезд (25135).</w:t>
      </w:r>
      <w:bookmarkEnd w:id="267"/>
      <w:bookmarkEnd w:id="268"/>
    </w:p>
    <w:p w14:paraId="1344B57C" w14:textId="77777777" w:rsidR="00A0078B" w:rsidRPr="00B52707" w:rsidRDefault="00A0078B" w:rsidP="00A0078B">
      <w:pPr>
        <w:jc w:val="both"/>
        <w:rPr>
          <w:color w:val="0070C0"/>
          <w:sz w:val="16"/>
          <w:szCs w:val="16"/>
        </w:rPr>
      </w:pPr>
    </w:p>
    <w:p w14:paraId="1358F4C7" w14:textId="49BF6454"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56B31F47" w14:textId="77777777" w:rsidR="004B4E35" w:rsidRPr="00405303" w:rsidRDefault="004B4E35" w:rsidP="00C15251">
      <w:pPr>
        <w:jc w:val="both"/>
        <w:rPr>
          <w:bCs/>
          <w:i/>
          <w:color w:val="002060"/>
          <w:sz w:val="16"/>
          <w:szCs w:val="16"/>
        </w:rPr>
      </w:pPr>
    </w:p>
    <w:p w14:paraId="30C3CE58" w14:textId="51B5F8C2" w:rsidR="004B4E35" w:rsidRPr="00405303" w:rsidRDefault="004F5FA5" w:rsidP="00C15251">
      <w:pPr>
        <w:jc w:val="both"/>
        <w:rPr>
          <w:bCs/>
          <w:color w:val="002060"/>
          <w:sz w:val="16"/>
          <w:szCs w:val="16"/>
        </w:rPr>
      </w:pPr>
      <w:r w:rsidRPr="00405303">
        <w:rPr>
          <w:bCs/>
          <w:color w:val="002060"/>
          <w:sz w:val="16"/>
          <w:szCs w:val="16"/>
        </w:rPr>
        <w:t>К</w:t>
      </w:r>
      <w:r w:rsidR="009E6F82" w:rsidRPr="00405303">
        <w:rPr>
          <w:bCs/>
          <w:color w:val="002060"/>
          <w:sz w:val="16"/>
          <w:szCs w:val="16"/>
        </w:rPr>
        <w:t xml:space="preserve"> октябрю 1915 </w:t>
      </w:r>
      <w:r w:rsidRPr="00405303">
        <w:rPr>
          <w:bCs/>
          <w:color w:val="002060"/>
          <w:sz w:val="16"/>
          <w:szCs w:val="16"/>
        </w:rPr>
        <w:t xml:space="preserve">завершилось переоснащение вооружением разведывательных самолетов </w:t>
      </w:r>
      <w:r w:rsidR="009E6F82" w:rsidRPr="00405303">
        <w:rPr>
          <w:bCs/>
          <w:color w:val="002060"/>
          <w:sz w:val="16"/>
          <w:szCs w:val="16"/>
        </w:rPr>
        <w:t xml:space="preserve">устранило превосходство противника в воздухе. Завеса, прикрывшая неприятельские подготовительные меры, оказалась сорванной. Намерение Антанты предпринять в мае 1915 года наступление у Арраса было раскрыто нашими воздухоплаванием и авиацией по усиленной постройке батарейных позиций и дорог, а также по интенсивному железнодорожномудвижению. Чтобы непрерывно осведомлять командование о происходящем, при 6-й армии были сосредоточены самолеты </w:t>
      </w:r>
      <w:r w:rsidR="009E6F82" w:rsidRPr="00405303">
        <w:rPr>
          <w:rFonts w:eastAsia="Times-Roman"/>
          <w:bCs/>
          <w:color w:val="002060"/>
          <w:sz w:val="16"/>
          <w:szCs w:val="16"/>
        </w:rPr>
        <w:t>ｫ</w:t>
      </w:r>
      <w:r w:rsidR="009E6F82" w:rsidRPr="00405303">
        <w:rPr>
          <w:bCs/>
          <w:color w:val="002060"/>
          <w:sz w:val="16"/>
          <w:szCs w:val="16"/>
        </w:rPr>
        <w:t>„</w:t>
      </w:r>
      <w:r w:rsidR="009E6F82" w:rsidRPr="00405303">
        <w:rPr>
          <w:rFonts w:eastAsia="Times-Roman"/>
          <w:bCs/>
          <w:color w:val="002060"/>
          <w:sz w:val="16"/>
          <w:szCs w:val="16"/>
        </w:rPr>
        <w:t>ｻ</w:t>
      </w:r>
      <w:r w:rsidR="009E6F82" w:rsidRPr="00405303">
        <w:rPr>
          <w:bCs/>
          <w:color w:val="002060"/>
          <w:sz w:val="16"/>
          <w:szCs w:val="16"/>
        </w:rPr>
        <w:t xml:space="preserve"> из соседних армий. Им удалось прорвать воздушную оборону противника. Неприятельские бомбардировочные эскадры, производившие вопреки международному праву налеты на Южную Германию, также почувствовали усиление германских воздушных сил, понеся чувствительные потери (11282).</w:t>
      </w:r>
    </w:p>
    <w:p w14:paraId="62CFE0DB" w14:textId="77777777" w:rsidR="004B4E35" w:rsidRPr="00405303" w:rsidRDefault="004B4E35" w:rsidP="00C15251">
      <w:pPr>
        <w:jc w:val="both"/>
        <w:rPr>
          <w:bCs/>
          <w:color w:val="002060"/>
          <w:sz w:val="16"/>
          <w:szCs w:val="16"/>
        </w:rPr>
      </w:pPr>
    </w:p>
    <w:p w14:paraId="5BF2180F"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7191E3DE" w14:textId="77777777" w:rsidR="004B4E35" w:rsidRPr="00405303" w:rsidRDefault="004B4E35" w:rsidP="00C15251">
      <w:pPr>
        <w:jc w:val="both"/>
        <w:rPr>
          <w:bCs/>
          <w:i/>
          <w:color w:val="002060"/>
          <w:sz w:val="16"/>
          <w:szCs w:val="16"/>
        </w:rPr>
      </w:pPr>
    </w:p>
    <w:p w14:paraId="17609482" w14:textId="4602BF6E" w:rsidR="004B4E35" w:rsidRPr="00405303" w:rsidRDefault="004F5FA5"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Д</w:t>
      </w:r>
      <w:r w:rsidR="009E6F82" w:rsidRPr="00405303">
        <w:rPr>
          <w:bCs/>
          <w:i w:val="0"/>
          <w:color w:val="002060"/>
          <w:spacing w:val="0"/>
          <w:kern w:val="0"/>
          <w:position w:val="0"/>
          <w:sz w:val="16"/>
          <w:szCs w:val="16"/>
        </w:rPr>
        <w:t xml:space="preserve">о 1 </w:t>
      </w:r>
      <w:r w:rsidRPr="00405303">
        <w:rPr>
          <w:bCs/>
          <w:i w:val="0"/>
          <w:color w:val="002060"/>
          <w:spacing w:val="0"/>
          <w:kern w:val="0"/>
          <w:position w:val="0"/>
          <w:sz w:val="16"/>
          <w:szCs w:val="16"/>
        </w:rPr>
        <w:t xml:space="preserve">(14) </w:t>
      </w:r>
      <w:r w:rsidR="009E6F82" w:rsidRPr="00405303">
        <w:rPr>
          <w:bCs/>
          <w:i w:val="0"/>
          <w:color w:val="002060"/>
          <w:spacing w:val="0"/>
          <w:kern w:val="0"/>
          <w:position w:val="0"/>
          <w:sz w:val="16"/>
          <w:szCs w:val="16"/>
        </w:rPr>
        <w:t>октября 1915 г.</w:t>
      </w:r>
      <w:r w:rsidRPr="00405303">
        <w:rPr>
          <w:bCs/>
          <w:i w:val="0"/>
          <w:color w:val="002060"/>
          <w:spacing w:val="0"/>
          <w:kern w:val="0"/>
          <w:position w:val="0"/>
          <w:sz w:val="16"/>
          <w:szCs w:val="16"/>
        </w:rPr>
        <w:t xml:space="preserve"> начальник ГАУ предполагал дать всем рабочим, занятым выполнением заказов военного ведомства, отсрочку</w:t>
      </w:r>
      <w:r w:rsidR="009E6F82" w:rsidRPr="00405303">
        <w:rPr>
          <w:bCs/>
          <w:i w:val="0"/>
          <w:color w:val="002060"/>
          <w:spacing w:val="0"/>
          <w:kern w:val="0"/>
          <w:position w:val="0"/>
          <w:sz w:val="16"/>
          <w:szCs w:val="16"/>
        </w:rPr>
        <w:t xml:space="preserve">, на что последовало согласие военного министра. В дальнейшем таких отсрочек уже больше не давалось. </w:t>
      </w:r>
    </w:p>
    <w:p w14:paraId="6F2DECB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Что касается усиления администрации заводов, то по мере надобности удавалось, хотя и очень </w:t>
      </w:r>
      <w:proofErr w:type="gramStart"/>
      <w:r w:rsidRPr="00405303">
        <w:rPr>
          <w:bCs/>
          <w:i w:val="0"/>
          <w:color w:val="002060"/>
          <w:spacing w:val="0"/>
          <w:kern w:val="0"/>
          <w:position w:val="0"/>
          <w:sz w:val="16"/>
          <w:szCs w:val="16"/>
        </w:rPr>
        <w:t>не легко</w:t>
      </w:r>
      <w:proofErr w:type="gramEnd"/>
      <w:r w:rsidRPr="00405303">
        <w:rPr>
          <w:bCs/>
          <w:i w:val="0"/>
          <w:color w:val="002060"/>
          <w:spacing w:val="0"/>
          <w:kern w:val="0"/>
          <w:position w:val="0"/>
          <w:sz w:val="16"/>
          <w:szCs w:val="16"/>
        </w:rPr>
        <w:t xml:space="preserve">, вызывать из строевых частей войск через ГУГШ прапорщиков из лиц, получивших высшее техническое образование, и прикомандировывать их к различным заводам. </w:t>
      </w:r>
    </w:p>
    <w:p w14:paraId="4FDEBF6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3. Но кроме рабочих-специалистов, т. е. квалифицированных, заводам в горячее военное время нехватало даже простых рабочих, особенно в некоторые периоды, например летом, когда из-за отлива рабочих на полевые работы приходилось умышленно сокращать производство. </w:t>
      </w:r>
    </w:p>
    <w:p w14:paraId="2F61E91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Вскоре после начала войны ГАУ внесло в Совет министров проект приведения казенных заводов на особое положение, считая их как бы мобилизованными. Проект этот рассматривал работу на заводах, изготовляющих предметы государственной обороны, как особую форму отбывания воинской повинности, предусматривал прикрепление рабочих к их заводам (во избежание крайне вредного факта сманивания рабочих другими заводами и оставления ими работ по политическим причинам и для полевых работ) и устанавливал повышенную наказуемость за правонарушения промышленной жизни как в отношении рабочих, так и заводской администрации. </w:t>
      </w:r>
    </w:p>
    <w:p w14:paraId="5A3848A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Совет министров признал этот проект несвоевременным. </w:t>
      </w:r>
    </w:p>
    <w:p w14:paraId="3C4765E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Между тем были неоднократные случаи внезапного ухода рабочих с казенных заводов. </w:t>
      </w:r>
    </w:p>
    <w:p w14:paraId="1A1D8D8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22 февраля (7 марта) 1915 г. Совет министров, как видно из письма председателя Совета министров к военному министру от 19 февраля (4 марта), "считаясь с вполне лойяльным и в общем спокойным настроением фабрично-заводского населения и опасаясь дать повод к нежелательным толкам и волнениям", окончательно отклонил это предложение.</w:t>
      </w:r>
    </w:p>
    <w:p w14:paraId="7ACB9E3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Попрежнему оставались такие факты, как, например, уход сразу 3.000 человек (в летнее время) с одного из оружейных заводов, единственного в России, изготовляющего ствольные и коробочные болванки (для всех оружейных заводов), 1.000 человек - с Сормовского завода, 700 человек - с завода Посселя и т. д. </w:t>
      </w:r>
    </w:p>
    <w:p w14:paraId="70811E2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4. Мобилизационная готовность заводов не была охранена и в техническом отношении. В то время, как в течение целого десятилетия перед войной морили заводы мизерными нарядами, как бы умышленно ограничивая их возможность к дальнейшему усовершенствованию и вытравляя из них все навыки их трудной специальности, - в это же время из-за неразумно понимаемой экономии загромождали эти заводы производствами, для которых следовало иметь самостоятельные заводы: станки механические (особый отдел); пулеметы, станки для них; револьверы, шрапнели, пружины накатника для полевых орудий, взрыватели, патронные обоймы, вьючные приспособления, пики для кавале-рии и т. п. Все эти предметы с началом войны оказались также в самом срочном спросе и притом в максимальном количестве, поэтому выбросить их прямо с заводов оказалось невозможным, ибо для производства их нигде не было заготовлено самостоятельных мастерских, и их пришлось оставить на оружейных заводах в явный ущерб прямому делу. </w:t>
      </w:r>
    </w:p>
    <w:p w14:paraId="246DF84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Вот неизбежное и логическое последствие той мудрой "экономической" политики, по которой, например, оружейные заводы получали, чтобы не даром шли деньги на их содержание, всякие наряды, кроме тех, для которых они специально назначены... Здесь интересно отметить факт, что начальство и технический персонал заводов не только не противились такому "изнасилованию" их, а напротив, сами шли навстречу этому - лишь бы завод хотя таким способом получил какую-нибудь работу. </w:t>
      </w:r>
    </w:p>
    <w:p w14:paraId="29D9EA3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Сокращая в мирное время производство казенных военных заводов, царское правительство своевременно не обеспечило заводы ни соответствующим оборудованием, ни даже запасами необходимых материалов и топлива на случай войны и закрытия границ (11483).</w:t>
      </w:r>
    </w:p>
    <w:p w14:paraId="27FA616C" w14:textId="77777777" w:rsidR="004B4E35" w:rsidRPr="00405303" w:rsidRDefault="004B4E35" w:rsidP="00C15251">
      <w:pPr>
        <w:pStyle w:val="a3"/>
        <w:jc w:val="both"/>
        <w:rPr>
          <w:bCs/>
          <w:i w:val="0"/>
          <w:color w:val="002060"/>
          <w:spacing w:val="0"/>
          <w:kern w:val="0"/>
          <w:position w:val="0"/>
          <w:sz w:val="16"/>
          <w:szCs w:val="16"/>
        </w:rPr>
      </w:pPr>
    </w:p>
    <w:p w14:paraId="63501993" w14:textId="0DB93933" w:rsidR="008A6822" w:rsidRPr="00405303" w:rsidRDefault="008A6822" w:rsidP="008A6822">
      <w:pPr>
        <w:jc w:val="both"/>
        <w:rPr>
          <w:bCs/>
          <w:i/>
          <w:color w:val="002060"/>
          <w:sz w:val="16"/>
          <w:szCs w:val="16"/>
        </w:rPr>
      </w:pPr>
      <w:r>
        <w:rPr>
          <w:bCs/>
          <w:i/>
          <w:color w:val="002060"/>
          <w:sz w:val="16"/>
          <w:szCs w:val="16"/>
        </w:rPr>
        <w:t>А</w:t>
      </w:r>
      <w:r w:rsidRPr="00405303">
        <w:rPr>
          <w:bCs/>
          <w:i/>
          <w:color w:val="002060"/>
          <w:sz w:val="16"/>
          <w:szCs w:val="16"/>
        </w:rPr>
        <w:t>виация:</w:t>
      </w:r>
    </w:p>
    <w:p w14:paraId="12F213D7" w14:textId="77777777" w:rsidR="008A6822" w:rsidRPr="00405303" w:rsidRDefault="008A6822" w:rsidP="008A6822">
      <w:pPr>
        <w:jc w:val="both"/>
        <w:rPr>
          <w:bCs/>
          <w:i/>
          <w:color w:val="002060"/>
          <w:sz w:val="16"/>
          <w:szCs w:val="16"/>
        </w:rPr>
      </w:pPr>
    </w:p>
    <w:p w14:paraId="114A9424" w14:textId="77777777" w:rsidR="008A6822" w:rsidRPr="00B52707" w:rsidRDefault="008A6822" w:rsidP="008A6822">
      <w:pPr>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1 и 2 (14 и 15) октября 1915 г. воздушные налеты на железнодорожную станцию Ремерсгоф (севернее Фридрихштадта) повторились (25135).</w:t>
      </w:r>
    </w:p>
    <w:p w14:paraId="7521E864" w14:textId="77777777" w:rsidR="008A6822" w:rsidRPr="00B52707" w:rsidRDefault="008A6822" w:rsidP="008A6822">
      <w:pPr>
        <w:jc w:val="both"/>
        <w:rPr>
          <w:rStyle w:val="aa"/>
          <w:rFonts w:ascii="Times New Roman" w:hAnsi="Times New Roman"/>
          <w:color w:val="0070C0"/>
          <w:spacing w:val="0"/>
          <w:sz w:val="16"/>
          <w:szCs w:val="16"/>
        </w:rPr>
      </w:pPr>
    </w:p>
    <w:p w14:paraId="4B783D3B"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5ED1E7D5" w14:textId="77777777" w:rsidR="004B4E35" w:rsidRPr="00405303" w:rsidRDefault="004B4E35" w:rsidP="00C15251">
      <w:pPr>
        <w:jc w:val="both"/>
        <w:rPr>
          <w:bCs/>
          <w:i/>
          <w:color w:val="002060"/>
          <w:sz w:val="16"/>
          <w:szCs w:val="16"/>
        </w:rPr>
      </w:pPr>
    </w:p>
    <w:p w14:paraId="35B7C9B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Вступившая на стороне Центральных держав в так называ</w:t>
      </w:r>
      <w:r w:rsidRPr="00405303">
        <w:rPr>
          <w:bCs/>
          <w:color w:val="002060"/>
          <w:sz w:val="16"/>
          <w:szCs w:val="16"/>
        </w:rPr>
        <w:softHyphen/>
        <w:t>емый Четверной союз Болгария в ночь на 1 (14) октября 1915 года напала на Сербию, быстро разбила ее армию и оккупиро</w:t>
      </w:r>
      <w:r w:rsidRPr="00405303">
        <w:rPr>
          <w:bCs/>
          <w:color w:val="002060"/>
          <w:sz w:val="16"/>
          <w:szCs w:val="16"/>
        </w:rPr>
        <w:softHyphen/>
        <w:t>вала территорию. Это позволило Германии установить желез</w:t>
      </w:r>
      <w:r w:rsidRPr="00405303">
        <w:rPr>
          <w:bCs/>
          <w:color w:val="002060"/>
          <w:sz w:val="16"/>
          <w:szCs w:val="16"/>
        </w:rPr>
        <w:softHyphen/>
        <w:t>нодорожное сообщение с Турцией, остро нуждавшейся в воен</w:t>
      </w:r>
      <w:r w:rsidRPr="00405303">
        <w:rPr>
          <w:bCs/>
          <w:color w:val="002060"/>
          <w:sz w:val="16"/>
          <w:szCs w:val="16"/>
        </w:rPr>
        <w:softHyphen/>
        <w:t>ной помощи. Из Средиземного моря в Черное вошли первые германские подводные лодки, ставшие базироваться вблизи Варны (в Евксинограде), что создало определенную угрозу рус</w:t>
      </w:r>
      <w:r w:rsidRPr="00405303">
        <w:rPr>
          <w:bCs/>
          <w:color w:val="002060"/>
          <w:sz w:val="16"/>
          <w:szCs w:val="16"/>
        </w:rPr>
        <w:softHyphen/>
        <w:t>ским кораблям и судам. Однако пополнение Черноморского флата двумя новейши</w:t>
      </w:r>
      <w:r w:rsidRPr="00405303">
        <w:rPr>
          <w:bCs/>
          <w:color w:val="002060"/>
          <w:sz w:val="16"/>
          <w:szCs w:val="16"/>
        </w:rPr>
        <w:softHyphen/>
        <w:t>ми линейными кораблями, пятью эскадренными миноносца</w:t>
      </w:r>
      <w:r w:rsidRPr="00405303">
        <w:rPr>
          <w:bCs/>
          <w:color w:val="002060"/>
          <w:sz w:val="16"/>
          <w:szCs w:val="16"/>
        </w:rPr>
        <w:softHyphen/>
        <w:t>ми и семью подводными лодками позволяло командованию начать решительную борьбу за установление своего господ</w:t>
      </w:r>
      <w:r w:rsidRPr="00405303">
        <w:rPr>
          <w:bCs/>
          <w:color w:val="002060"/>
          <w:sz w:val="16"/>
          <w:szCs w:val="16"/>
        </w:rPr>
        <w:softHyphen/>
        <w:t xml:space="preserve">ства на Черноморском театре военных действий. За декаду </w:t>
      </w:r>
      <w:r w:rsidRPr="00405303">
        <w:rPr>
          <w:bCs/>
          <w:color w:val="002060"/>
          <w:sz w:val="16"/>
          <w:szCs w:val="16"/>
        </w:rPr>
        <w:lastRenderedPageBreak/>
        <w:t>до проведения Варненской набеговой операции флаг-капитан по оперативной части штаба флота капитан 1 ранга К. Кетлинский передал заведующему организацией К. Плансон, - то придется прекратить воздушную разведку из-за неисправности аппаратов». Через несколько дней, уз</w:t>
      </w:r>
      <w:r w:rsidRPr="00405303">
        <w:rPr>
          <w:bCs/>
          <w:color w:val="002060"/>
          <w:sz w:val="16"/>
          <w:szCs w:val="16"/>
        </w:rPr>
        <w:softHyphen/>
        <w:t>нав о доставке в Архангельск партии таких лодок, он повто</w:t>
      </w:r>
      <w:r w:rsidRPr="00405303">
        <w:rPr>
          <w:bCs/>
          <w:color w:val="002060"/>
          <w:sz w:val="16"/>
          <w:szCs w:val="16"/>
        </w:rPr>
        <w:softHyphen/>
        <w:t xml:space="preserve">рил </w:t>
      </w:r>
      <w:proofErr w:type="gramStart"/>
      <w:r w:rsidRPr="00405303">
        <w:rPr>
          <w:bCs/>
          <w:color w:val="002060"/>
          <w:sz w:val="16"/>
          <w:szCs w:val="16"/>
        </w:rPr>
        <w:t>свою просьбу</w:t>
      </w:r>
      <w:proofErr w:type="gramEnd"/>
      <w:r w:rsidRPr="00405303">
        <w:rPr>
          <w:bCs/>
          <w:color w:val="002060"/>
          <w:sz w:val="16"/>
          <w:szCs w:val="16"/>
        </w:rPr>
        <w:t xml:space="preserve"> и они были привезены в Севастополь. К крайнему огорчению механиков и летчиков, большую часть американских гидроаэропланов ввести в строй не удалось. Более того, привезенные два месяца спустя 12 новых летаю</w:t>
      </w:r>
      <w:r w:rsidRPr="00405303">
        <w:rPr>
          <w:bCs/>
          <w:color w:val="002060"/>
          <w:sz w:val="16"/>
          <w:szCs w:val="16"/>
        </w:rPr>
        <w:softHyphen/>
        <w:t>щих лодок «М-5» не имели моторов, обещанных авиазаводу субподрядчиком (11283).</w:t>
      </w:r>
    </w:p>
    <w:p w14:paraId="66C17A0B" w14:textId="77777777" w:rsidR="004B4E35" w:rsidRPr="00405303" w:rsidRDefault="004B4E35" w:rsidP="00C15251">
      <w:pPr>
        <w:shd w:val="clear" w:color="auto" w:fill="FFFFFF"/>
        <w:jc w:val="both"/>
        <w:rPr>
          <w:bCs/>
          <w:color w:val="002060"/>
          <w:sz w:val="16"/>
          <w:szCs w:val="16"/>
        </w:rPr>
      </w:pPr>
    </w:p>
    <w:p w14:paraId="2773E3AB" w14:textId="77777777" w:rsidR="00213165" w:rsidRPr="00405303" w:rsidRDefault="00213165" w:rsidP="00C15251">
      <w:pPr>
        <w:jc w:val="both"/>
        <w:rPr>
          <w:bCs/>
          <w:i/>
          <w:color w:val="002060"/>
          <w:sz w:val="16"/>
          <w:szCs w:val="16"/>
        </w:rPr>
      </w:pPr>
      <w:r w:rsidRPr="00405303">
        <w:rPr>
          <w:bCs/>
          <w:i/>
          <w:color w:val="002060"/>
          <w:sz w:val="16"/>
          <w:szCs w:val="16"/>
        </w:rPr>
        <w:t>Армия:</w:t>
      </w:r>
    </w:p>
    <w:p w14:paraId="23F1F1A3" w14:textId="77777777" w:rsidR="00213165" w:rsidRPr="00405303" w:rsidRDefault="00213165" w:rsidP="00C15251">
      <w:pPr>
        <w:jc w:val="both"/>
        <w:rPr>
          <w:bCs/>
          <w:i/>
          <w:color w:val="002060"/>
          <w:sz w:val="16"/>
          <w:szCs w:val="16"/>
        </w:rPr>
      </w:pPr>
    </w:p>
    <w:p w14:paraId="13CFBDE1" w14:textId="77777777" w:rsidR="00213165" w:rsidRPr="00405303" w:rsidRDefault="00213165" w:rsidP="00C15251">
      <w:pPr>
        <w:jc w:val="both"/>
        <w:rPr>
          <w:bCs/>
          <w:color w:val="002060"/>
          <w:sz w:val="16"/>
          <w:szCs w:val="16"/>
        </w:rPr>
      </w:pPr>
      <w:r w:rsidRPr="00405303">
        <w:rPr>
          <w:bCs/>
          <w:color w:val="002060"/>
          <w:sz w:val="16"/>
          <w:szCs w:val="16"/>
        </w:rPr>
        <w:t>С 1 октября 1915 г. по 1 марта 1917 г. было построено около 320 километров новых шоссе, почти 3800 км грунтовых дорог магистрального значения с деревянными и каменными покрытиями; отремонтировано около 75000 км различных дорог, в основном грунтовых. МПС самостоятельно проводило закупки техники для дорожного строительства. К1 марта 1917 г. было заготовлено 418 катков (из них 276 паровых и моторных), 213 моторных камнедробилок и передвижных двигателей, 63 кирковщика, свыше 450 автомобилей (изних 251 грузовик) и 16 тракторов. Основным типом моторных катков в МПС являлись машины «Остин» производства американской компании «Остин-Вестерн» весом в 8,10 и 12 т. В 1916 г. закупили 146 таких катков.</w:t>
      </w:r>
    </w:p>
    <w:p w14:paraId="23B4150A" w14:textId="77777777" w:rsidR="00213165" w:rsidRPr="00405303" w:rsidRDefault="00213165" w:rsidP="00C15251">
      <w:pPr>
        <w:jc w:val="both"/>
        <w:rPr>
          <w:bCs/>
          <w:color w:val="002060"/>
          <w:sz w:val="16"/>
          <w:szCs w:val="16"/>
        </w:rPr>
      </w:pPr>
      <w:r w:rsidRPr="00405303">
        <w:rPr>
          <w:bCs/>
          <w:color w:val="002060"/>
          <w:sz w:val="16"/>
          <w:szCs w:val="16"/>
        </w:rPr>
        <w:t>В это же время на военно-дорожных работах было занято более 100000 рабочих и свыше 18000 конных подвод. Подавляющее большинство работ выполнялось по-прежнему вручную (12137).</w:t>
      </w:r>
    </w:p>
    <w:p w14:paraId="4E97F23B" w14:textId="77777777" w:rsidR="00213165" w:rsidRPr="00405303" w:rsidRDefault="00213165" w:rsidP="00C15251">
      <w:pPr>
        <w:pStyle w:val="8"/>
        <w:shd w:val="clear" w:color="auto" w:fill="auto"/>
        <w:spacing w:after="0" w:line="240" w:lineRule="auto"/>
        <w:ind w:firstLine="0"/>
        <w:jc w:val="both"/>
        <w:rPr>
          <w:rFonts w:ascii="Times New Roman" w:hAnsi="Times New Roman"/>
          <w:bCs/>
          <w:color w:val="002060"/>
          <w:sz w:val="16"/>
          <w:szCs w:val="16"/>
        </w:rPr>
      </w:pPr>
    </w:p>
    <w:p w14:paraId="25D8E03C" w14:textId="59EB9C3B" w:rsidR="00E77927" w:rsidRPr="00405303" w:rsidRDefault="00E77927" w:rsidP="00C15251">
      <w:pPr>
        <w:jc w:val="both"/>
        <w:rPr>
          <w:bCs/>
          <w:i/>
          <w:color w:val="002060"/>
          <w:sz w:val="16"/>
          <w:szCs w:val="16"/>
        </w:rPr>
      </w:pPr>
      <w:r w:rsidRPr="00405303">
        <w:rPr>
          <w:bCs/>
          <w:i/>
          <w:color w:val="002060"/>
          <w:sz w:val="16"/>
          <w:szCs w:val="16"/>
        </w:rPr>
        <w:t>Внешняя политика:</w:t>
      </w:r>
    </w:p>
    <w:p w14:paraId="0C1F201D" w14:textId="77777777" w:rsidR="00E77927" w:rsidRPr="00405303" w:rsidRDefault="00E77927" w:rsidP="00C15251">
      <w:pPr>
        <w:jc w:val="both"/>
        <w:rPr>
          <w:bCs/>
          <w:i/>
          <w:color w:val="002060"/>
          <w:sz w:val="16"/>
          <w:szCs w:val="16"/>
        </w:rPr>
      </w:pPr>
    </w:p>
    <w:p w14:paraId="607EC357" w14:textId="77777777" w:rsidR="00E77927" w:rsidRPr="00405303" w:rsidRDefault="00E77927" w:rsidP="00C15251">
      <w:pPr>
        <w:jc w:val="both"/>
        <w:rPr>
          <w:bCs/>
          <w:color w:val="002060"/>
          <w:sz w:val="16"/>
          <w:szCs w:val="16"/>
        </w:rPr>
      </w:pPr>
      <w:r w:rsidRPr="00405303">
        <w:rPr>
          <w:bCs/>
          <w:color w:val="002060"/>
          <w:sz w:val="16"/>
          <w:szCs w:val="16"/>
        </w:rPr>
        <w:t>1 (14) октября 1915 Болгария вступает в Первую мировую войну на стороне Центральных держав (20338).</w:t>
      </w:r>
    </w:p>
    <w:p w14:paraId="7A18CC6D" w14:textId="77777777" w:rsidR="00E77927" w:rsidRPr="00405303" w:rsidRDefault="00E77927" w:rsidP="00C15251">
      <w:pPr>
        <w:jc w:val="both"/>
        <w:rPr>
          <w:bCs/>
          <w:color w:val="002060"/>
          <w:sz w:val="16"/>
          <w:szCs w:val="16"/>
        </w:rPr>
      </w:pPr>
    </w:p>
    <w:p w14:paraId="363493DB" w14:textId="77777777" w:rsidR="00D92A40" w:rsidRPr="00405303" w:rsidRDefault="00D92A40" w:rsidP="00C15251">
      <w:pPr>
        <w:jc w:val="both"/>
        <w:rPr>
          <w:bCs/>
          <w:i/>
          <w:color w:val="002060"/>
          <w:sz w:val="16"/>
          <w:szCs w:val="16"/>
        </w:rPr>
      </w:pPr>
      <w:r w:rsidRPr="00405303">
        <w:rPr>
          <w:bCs/>
          <w:i/>
          <w:color w:val="002060"/>
          <w:sz w:val="16"/>
          <w:szCs w:val="16"/>
        </w:rPr>
        <w:t>Армия:</w:t>
      </w:r>
    </w:p>
    <w:p w14:paraId="1A190AE8" w14:textId="77777777" w:rsidR="00D92A40" w:rsidRPr="00405303" w:rsidRDefault="00D92A40" w:rsidP="00C15251">
      <w:pPr>
        <w:jc w:val="both"/>
        <w:rPr>
          <w:bCs/>
          <w:i/>
          <w:color w:val="002060"/>
          <w:sz w:val="16"/>
          <w:szCs w:val="16"/>
        </w:rPr>
      </w:pPr>
    </w:p>
    <w:p w14:paraId="4DC431A9" w14:textId="7B97F04B" w:rsidR="00D92A40" w:rsidRPr="00405303" w:rsidRDefault="00D92A40" w:rsidP="00C15251">
      <w:pPr>
        <w:jc w:val="both"/>
        <w:rPr>
          <w:bCs/>
          <w:color w:val="002060"/>
          <w:sz w:val="16"/>
          <w:szCs w:val="16"/>
        </w:rPr>
      </w:pPr>
      <w:r w:rsidRPr="00405303">
        <w:rPr>
          <w:rStyle w:val="ucoz-forum-post"/>
          <w:rFonts w:eastAsiaTheme="majorEastAsia"/>
          <w:bCs/>
          <w:color w:val="002060"/>
          <w:sz w:val="16"/>
          <w:szCs w:val="16"/>
        </w:rPr>
        <w:t xml:space="preserve">2 </w:t>
      </w:r>
      <w:r w:rsidR="001113A6" w:rsidRPr="00405303">
        <w:rPr>
          <w:rStyle w:val="ucoz-forum-post"/>
          <w:rFonts w:eastAsiaTheme="majorEastAsia"/>
          <w:bCs/>
          <w:color w:val="002060"/>
          <w:sz w:val="16"/>
          <w:szCs w:val="16"/>
        </w:rPr>
        <w:t xml:space="preserve">(15) </w:t>
      </w:r>
      <w:r w:rsidRPr="00405303">
        <w:rPr>
          <w:rStyle w:val="ucoz-forum-post"/>
          <w:rFonts w:eastAsiaTheme="majorEastAsia"/>
          <w:bCs/>
          <w:color w:val="002060"/>
          <w:sz w:val="16"/>
          <w:szCs w:val="16"/>
        </w:rPr>
        <w:t xml:space="preserve">октября </w:t>
      </w:r>
      <w:r w:rsidRPr="00405303">
        <w:rPr>
          <w:bCs/>
          <w:color w:val="002060"/>
          <w:sz w:val="16"/>
          <w:szCs w:val="16"/>
        </w:rPr>
        <w:t>в 1915 году в результате Свенцянского прорыва кавалерийской группы 10-й германской армии (фон Эйхгорн), русская 10-я армия (Радкевич) оставила Вильно (14787).</w:t>
      </w:r>
    </w:p>
    <w:p w14:paraId="7AB1EFE4" w14:textId="3D1329EE" w:rsidR="00D92A40" w:rsidRPr="00405303" w:rsidRDefault="00D92A40" w:rsidP="00C15251">
      <w:pPr>
        <w:jc w:val="both"/>
        <w:rPr>
          <w:bCs/>
          <w:color w:val="002060"/>
          <w:sz w:val="16"/>
          <w:szCs w:val="16"/>
        </w:rPr>
      </w:pPr>
    </w:p>
    <w:p w14:paraId="233C64CE" w14:textId="0AFE9AC2" w:rsidR="00E77927" w:rsidRPr="00405303" w:rsidRDefault="00E77927" w:rsidP="00C15251">
      <w:pPr>
        <w:jc w:val="both"/>
        <w:rPr>
          <w:bCs/>
          <w:i/>
          <w:iCs/>
          <w:color w:val="002060"/>
          <w:sz w:val="16"/>
          <w:szCs w:val="16"/>
        </w:rPr>
      </w:pPr>
      <w:r w:rsidRPr="00405303">
        <w:rPr>
          <w:bCs/>
          <w:i/>
          <w:iCs/>
          <w:color w:val="002060"/>
          <w:sz w:val="16"/>
          <w:szCs w:val="16"/>
        </w:rPr>
        <w:t>Авиация и воздухоплавание за рубежом:</w:t>
      </w:r>
    </w:p>
    <w:p w14:paraId="52F341E4" w14:textId="77777777" w:rsidR="00E77927" w:rsidRPr="00405303" w:rsidRDefault="00E77927" w:rsidP="00C15251">
      <w:pPr>
        <w:jc w:val="both"/>
        <w:rPr>
          <w:bCs/>
          <w:i/>
          <w:iCs/>
          <w:color w:val="002060"/>
          <w:sz w:val="16"/>
          <w:szCs w:val="16"/>
        </w:rPr>
      </w:pPr>
    </w:p>
    <w:p w14:paraId="4F5B1508" w14:textId="77777777" w:rsidR="00E77927" w:rsidRPr="00405303" w:rsidRDefault="00E77927" w:rsidP="00C15251">
      <w:pPr>
        <w:jc w:val="both"/>
        <w:rPr>
          <w:bCs/>
          <w:color w:val="002060"/>
          <w:sz w:val="16"/>
          <w:szCs w:val="16"/>
        </w:rPr>
      </w:pPr>
      <w:r w:rsidRPr="00405303">
        <w:rPr>
          <w:bCs/>
          <w:color w:val="002060"/>
          <w:sz w:val="16"/>
          <w:szCs w:val="16"/>
        </w:rPr>
        <w:t>2 (15) октября 1915 Орвилл Райт продает компанию Райта, которую он основал в 1909 году вместе со своим покойным братом Уилбуром Райтом, группе инвесторов из Нью-Йорка (20338).</w:t>
      </w:r>
    </w:p>
    <w:p w14:paraId="7442ADD1" w14:textId="77777777" w:rsidR="00E77927" w:rsidRPr="00405303" w:rsidRDefault="00E77927" w:rsidP="00C15251">
      <w:pPr>
        <w:jc w:val="both"/>
        <w:rPr>
          <w:bCs/>
          <w:color w:val="002060"/>
          <w:sz w:val="16"/>
          <w:szCs w:val="16"/>
        </w:rPr>
      </w:pPr>
    </w:p>
    <w:p w14:paraId="174CF352" w14:textId="77777777" w:rsidR="00D92A40" w:rsidRPr="00405303" w:rsidRDefault="00D92A40" w:rsidP="00C15251">
      <w:pPr>
        <w:jc w:val="both"/>
        <w:rPr>
          <w:bCs/>
          <w:i/>
          <w:color w:val="002060"/>
          <w:sz w:val="16"/>
          <w:szCs w:val="16"/>
        </w:rPr>
      </w:pPr>
      <w:r w:rsidRPr="00405303">
        <w:rPr>
          <w:bCs/>
          <w:i/>
          <w:color w:val="002060"/>
          <w:sz w:val="16"/>
          <w:szCs w:val="16"/>
        </w:rPr>
        <w:t>За рубежом:</w:t>
      </w:r>
    </w:p>
    <w:p w14:paraId="7E1F3D11" w14:textId="77777777" w:rsidR="00D92A40" w:rsidRPr="00405303" w:rsidRDefault="00D92A40" w:rsidP="00C15251">
      <w:pPr>
        <w:jc w:val="both"/>
        <w:rPr>
          <w:bCs/>
          <w:color w:val="002060"/>
          <w:sz w:val="16"/>
          <w:szCs w:val="16"/>
        </w:rPr>
      </w:pPr>
    </w:p>
    <w:p w14:paraId="0F76C2CB" w14:textId="77777777" w:rsidR="00D92A40" w:rsidRPr="00405303" w:rsidRDefault="00D92A40" w:rsidP="00C15251">
      <w:pPr>
        <w:jc w:val="both"/>
        <w:rPr>
          <w:bCs/>
          <w:color w:val="002060"/>
          <w:sz w:val="16"/>
          <w:szCs w:val="16"/>
        </w:rPr>
      </w:pPr>
      <w:r w:rsidRPr="00405303">
        <w:rPr>
          <w:rStyle w:val="ucoz-forum-post"/>
          <w:rFonts w:eastAsiaTheme="majorEastAsia"/>
          <w:bCs/>
          <w:color w:val="002060"/>
          <w:sz w:val="16"/>
          <w:szCs w:val="16"/>
        </w:rPr>
        <w:t xml:space="preserve">2 (15) октября </w:t>
      </w:r>
      <w:r w:rsidRPr="00405303">
        <w:rPr>
          <w:bCs/>
          <w:color w:val="002060"/>
          <w:sz w:val="16"/>
          <w:szCs w:val="16"/>
        </w:rPr>
        <w:t>в 1915 году Великобритания объявляет войну Болгарии (14800).</w:t>
      </w:r>
    </w:p>
    <w:p w14:paraId="5A1BA4E9" w14:textId="77777777" w:rsidR="00D92A40" w:rsidRPr="00405303" w:rsidRDefault="00D92A40" w:rsidP="00C15251">
      <w:pPr>
        <w:jc w:val="both"/>
        <w:rPr>
          <w:bCs/>
          <w:color w:val="002060"/>
          <w:sz w:val="16"/>
          <w:szCs w:val="16"/>
        </w:rPr>
      </w:pPr>
    </w:p>
    <w:p w14:paraId="71925D34"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170E7693" w14:textId="77777777" w:rsidR="004B4E35" w:rsidRPr="00405303" w:rsidRDefault="004B4E35" w:rsidP="00C15251">
      <w:pPr>
        <w:jc w:val="both"/>
        <w:rPr>
          <w:bCs/>
          <w:i/>
          <w:color w:val="002060"/>
          <w:sz w:val="16"/>
          <w:szCs w:val="16"/>
        </w:rPr>
      </w:pPr>
    </w:p>
    <w:p w14:paraId="20E7A16C" w14:textId="013C3A69" w:rsidR="004B4E35" w:rsidRPr="00405303" w:rsidRDefault="009E6F82" w:rsidP="00C15251">
      <w:pPr>
        <w:shd w:val="clear" w:color="auto" w:fill="FFFFFF"/>
        <w:jc w:val="both"/>
        <w:rPr>
          <w:bCs/>
          <w:i/>
          <w:color w:val="002060"/>
          <w:sz w:val="16"/>
          <w:szCs w:val="16"/>
        </w:rPr>
      </w:pPr>
      <w:r w:rsidRPr="00405303">
        <w:rPr>
          <w:bCs/>
          <w:color w:val="002060"/>
          <w:sz w:val="16"/>
          <w:szCs w:val="16"/>
        </w:rPr>
        <w:t xml:space="preserve">3 </w:t>
      </w:r>
      <w:r w:rsidR="001113A6" w:rsidRPr="00405303">
        <w:rPr>
          <w:bCs/>
          <w:color w:val="002060"/>
          <w:sz w:val="16"/>
          <w:szCs w:val="16"/>
        </w:rPr>
        <w:t xml:space="preserve">(16) </w:t>
      </w:r>
      <w:r w:rsidRPr="00405303">
        <w:rPr>
          <w:bCs/>
          <w:color w:val="002060"/>
          <w:sz w:val="16"/>
          <w:szCs w:val="16"/>
        </w:rPr>
        <w:t xml:space="preserve">октября 1915 г. «Дукс» направил </w:t>
      </w:r>
      <w:r w:rsidRPr="00405303">
        <w:rPr>
          <w:bCs/>
          <w:i/>
          <w:color w:val="002060"/>
          <w:sz w:val="16"/>
          <w:szCs w:val="16"/>
        </w:rPr>
        <w:t xml:space="preserve">в </w:t>
      </w:r>
      <w:r w:rsidRPr="00405303">
        <w:rPr>
          <w:bCs/>
          <w:color w:val="002060"/>
          <w:sz w:val="16"/>
          <w:szCs w:val="16"/>
        </w:rPr>
        <w:t>главную контору Терещенко письмо, в котором предлагал выплатить за все это добро, включая 15 ап</w:t>
      </w:r>
      <w:r w:rsidRPr="00405303">
        <w:rPr>
          <w:bCs/>
          <w:color w:val="002060"/>
          <w:sz w:val="16"/>
          <w:szCs w:val="16"/>
        </w:rPr>
        <w:softHyphen/>
        <w:t>паратов «Фарман XVI» (очевидно, в различ</w:t>
      </w:r>
      <w:r w:rsidRPr="00405303">
        <w:rPr>
          <w:bCs/>
          <w:color w:val="002060"/>
          <w:sz w:val="16"/>
          <w:szCs w:val="16"/>
        </w:rPr>
        <w:softHyphen/>
        <w:t>ной степени готовности), 111000 руб. Одна</w:t>
      </w:r>
      <w:r w:rsidRPr="00405303">
        <w:rPr>
          <w:bCs/>
          <w:color w:val="002060"/>
          <w:sz w:val="16"/>
          <w:szCs w:val="16"/>
        </w:rPr>
        <w:softHyphen/>
        <w:t>ко Терещенко решил распорядиться само</w:t>
      </w:r>
      <w:r w:rsidRPr="00405303">
        <w:rPr>
          <w:bCs/>
          <w:color w:val="002060"/>
          <w:sz w:val="16"/>
          <w:szCs w:val="16"/>
        </w:rPr>
        <w:softHyphen/>
        <w:t xml:space="preserve">летами сам. В декабре 1915 г., находясь в Париже, он выдал доверенность на ведение всех дел по продаже военному ведомству этих аэропланов своему представителю А.И. Гуляницкому. И тому удалось провести такую сделку. Причем ряд должностных лиц, рассчитывавших на получение мзды, оказался обделенным. Свидетельство тому находим в письме Григорьева к Вашкевичу, написанному в Москве 28 сентября 1916 г. </w:t>
      </w:r>
      <w:r w:rsidRPr="00405303">
        <w:rPr>
          <w:bCs/>
          <w:i/>
          <w:color w:val="002060"/>
          <w:sz w:val="16"/>
          <w:szCs w:val="16"/>
        </w:rPr>
        <w:t>«По сему видно, что здешняя публика весь</w:t>
      </w:r>
      <w:r w:rsidRPr="00405303">
        <w:rPr>
          <w:bCs/>
          <w:i/>
          <w:color w:val="002060"/>
          <w:sz w:val="16"/>
          <w:szCs w:val="16"/>
        </w:rPr>
        <w:softHyphen/>
        <w:t>ма восстановлена против имени Терещенко и всего, что от него исходит, видимо, за то, что труды и возможное их содействие по делу сдачи 15 «Фарманов» прошли для них без ожидаемых результатов» (11217).</w:t>
      </w:r>
    </w:p>
    <w:p w14:paraId="712872AA" w14:textId="77777777" w:rsidR="004B4E35" w:rsidRPr="00405303" w:rsidRDefault="004B4E35" w:rsidP="00C15251">
      <w:pPr>
        <w:shd w:val="clear" w:color="auto" w:fill="FFFFFF"/>
        <w:jc w:val="both"/>
        <w:rPr>
          <w:bCs/>
          <w:color w:val="002060"/>
          <w:sz w:val="16"/>
          <w:szCs w:val="16"/>
        </w:rPr>
      </w:pPr>
    </w:p>
    <w:p w14:paraId="3C4F1E9E" w14:textId="7B103D82" w:rsidR="00B236D5" w:rsidRPr="00405303" w:rsidRDefault="00B236D5" w:rsidP="00C15251">
      <w:pPr>
        <w:pStyle w:val="15"/>
        <w:spacing w:before="0" w:after="0"/>
        <w:jc w:val="both"/>
        <w:rPr>
          <w:bCs/>
          <w:color w:val="002060"/>
          <w:sz w:val="16"/>
          <w:szCs w:val="16"/>
        </w:rPr>
      </w:pPr>
      <w:r w:rsidRPr="00405303">
        <w:rPr>
          <w:bCs/>
          <w:color w:val="002060"/>
          <w:sz w:val="16"/>
          <w:szCs w:val="16"/>
        </w:rPr>
        <w:t xml:space="preserve">3 </w:t>
      </w:r>
      <w:r w:rsidR="001113A6" w:rsidRPr="00405303">
        <w:rPr>
          <w:bCs/>
          <w:color w:val="002060"/>
          <w:sz w:val="16"/>
          <w:szCs w:val="16"/>
        </w:rPr>
        <w:t xml:space="preserve">(16) </w:t>
      </w:r>
      <w:r w:rsidRPr="00405303">
        <w:rPr>
          <w:bCs/>
          <w:color w:val="002060"/>
          <w:sz w:val="16"/>
          <w:szCs w:val="16"/>
        </w:rPr>
        <w:t xml:space="preserve">октября 1915 г. «Дукс» направил в главную контору Терещенко письмо, в котором предлагал выплатить за все это добро, включая 15 аппаратов «Фарман XVI» (очевидно, в различной степени готовности), 111000 руб. </w:t>
      </w:r>
      <w:r w:rsidR="001113A6" w:rsidRPr="00405303">
        <w:rPr>
          <w:bCs/>
          <w:color w:val="002060"/>
          <w:sz w:val="16"/>
          <w:szCs w:val="16"/>
        </w:rPr>
        <w:t xml:space="preserve">Практически все имущество завода Терещенко вывезли в Москву и разместили на Ходынском поле. Начались переговоры о его продаже с акционерным обществом «Дукс». </w:t>
      </w:r>
      <w:r w:rsidRPr="00405303">
        <w:rPr>
          <w:bCs/>
          <w:color w:val="002060"/>
          <w:sz w:val="16"/>
          <w:szCs w:val="16"/>
        </w:rPr>
        <w:t>Однако Терещенко решил распорядиться самолетами сам. В декабре 1915 г., находясь в Париже, он выдал доверенность на ведение всех дел по продаже военному ведомству этих аэропланов своему представителю А.И. Гуляницкому. И тому удалось провести такую сделку. Причем ряд должностных лиц, рассчитывавших на получение мзды, оказался обделенным. Свидетельство тому находим в письме Григорьева к Вашкевичу, написанному в Москве 28 сентября 1916 г. «По всему видно, что здешняя публика весьма восстановлена против имени Терещенко и всего, что от него исходит, видимо, за то, что труды и возможное их содействие по делу сдачи 15 «Фарманов» прошли для них без ожидаемых результатов».</w:t>
      </w:r>
    </w:p>
    <w:p w14:paraId="42567734" w14:textId="77777777" w:rsidR="00B236D5" w:rsidRPr="00405303" w:rsidRDefault="00B236D5" w:rsidP="00C15251">
      <w:pPr>
        <w:pStyle w:val="15"/>
        <w:spacing w:before="0" w:after="0"/>
        <w:jc w:val="both"/>
        <w:rPr>
          <w:bCs/>
          <w:color w:val="002060"/>
          <w:sz w:val="16"/>
          <w:szCs w:val="16"/>
        </w:rPr>
      </w:pPr>
      <w:r w:rsidRPr="00405303">
        <w:rPr>
          <w:bCs/>
          <w:color w:val="002060"/>
          <w:sz w:val="16"/>
          <w:szCs w:val="16"/>
        </w:rPr>
        <w:t xml:space="preserve">В это время основные хлопоты Григорьева в Москве были связаны с предстоящими испытаниями аэроплана «Терещенко № 7». В том же письме он пишет, что это дело </w:t>
      </w:r>
      <w:r w:rsidRPr="00405303">
        <w:rPr>
          <w:rStyle w:val="12"/>
          <w:rFonts w:eastAsiaTheme="majorEastAsia"/>
          <w:bCs/>
          <w:i w:val="0"/>
          <w:color w:val="002060"/>
          <w:sz w:val="16"/>
          <w:szCs w:val="16"/>
        </w:rPr>
        <w:t>«будет стоить больших денег, и не потому, что аппарат негодный хотим сделать годным..., а потому, что нужно победить нашу русскую... инертность ко всему новому, возникшую уже, вероятно, у некоторых недоброжелателей на почве возможной конкуренции...»</w:t>
      </w:r>
      <w:r w:rsidRPr="00405303">
        <w:rPr>
          <w:bCs/>
          <w:color w:val="002060"/>
          <w:sz w:val="16"/>
          <w:szCs w:val="16"/>
        </w:rPr>
        <w:t xml:space="preserve"> Надо сказать, что военные к этому самолету относились благосклонно, и в 1917 г. он успешно прошел испытания. Однако запустить его в серийное производство на каком-либо заводе не удалось. </w:t>
      </w:r>
    </w:p>
    <w:p w14:paraId="0A27DDA3" w14:textId="77777777" w:rsidR="00B236D5" w:rsidRPr="00405303" w:rsidRDefault="00B236D5" w:rsidP="00C15251">
      <w:pPr>
        <w:pStyle w:val="15"/>
        <w:spacing w:before="0" w:after="0"/>
        <w:jc w:val="both"/>
        <w:rPr>
          <w:bCs/>
          <w:color w:val="002060"/>
          <w:sz w:val="16"/>
          <w:szCs w:val="16"/>
        </w:rPr>
      </w:pPr>
      <w:r w:rsidRPr="00405303">
        <w:rPr>
          <w:bCs/>
          <w:color w:val="002060"/>
          <w:sz w:val="16"/>
          <w:szCs w:val="16"/>
        </w:rPr>
        <w:t xml:space="preserve">Еще одним наследием Червоннского завода стал поезд-мастерская. Он был сформирован с использованием части оборудования предприятия и полностью за счет Терещенко, из средств которого даже выплачивалось денежное содержание руководящему составу. Например, за 1916 г. начальник поезда коллежский асессор С.Т.Самсонов получил 3600 руб., а заведующий мастерской подпоручик А.С.Ларионов — 3000 руб. Осенью 1915 г. мастерская прибыла в Москву. Для ее развертывания были необходимы помещения, которые подыскали далеко не сразу, и работу начали прямо под открытым небом, невзирая на холод, дождь, а потом и снег. Личный состав освоил ремонт самолетов и моторов самых разных типов, возвратив в строй в течение года 250 аэропланов и 70 двигателей. Эту работу высоко оценил начальник Управления военного воздушного флота (УВВФ) генерал-майор Пневский, выразивший «исключительную благодарность» руководящему звену поезда, а также объявивший свое спасибо «молодцам рабочим и нижним чинам». Как следует из приказа по УВВФ № 152 от 19 декабря 1916г., </w:t>
      </w:r>
      <w:r w:rsidRPr="00405303">
        <w:rPr>
          <w:rStyle w:val="12"/>
          <w:rFonts w:eastAsiaTheme="majorEastAsia"/>
          <w:bCs/>
          <w:i w:val="0"/>
          <w:color w:val="002060"/>
          <w:sz w:val="16"/>
          <w:szCs w:val="16"/>
        </w:rPr>
        <w:t>«Согласно указания Августейшего Полевого Генерал-инспектора Военного Воздушного Флота, поезд мастерская Его Императорского Величества Великого Князя Александра Михайловича Червоннского авиационного завода Федора Федоровича Терещенко oтправляется в состав действующей армии»</w:t>
      </w:r>
      <w:r w:rsidRPr="00405303">
        <w:rPr>
          <w:bCs/>
          <w:color w:val="002060"/>
          <w:sz w:val="16"/>
          <w:szCs w:val="16"/>
        </w:rPr>
        <w:t>. Через 2 недели Терещенко лично возглавил поезд. Действия передвижной мастерской во фронтовых условиях тоже оказались успешными. За руководство ею и другие заслуги в годы войны Федор Федорович был награжден орденами Св. Владимира 4-й степени и Св. Анны 2-й степени.</w:t>
      </w:r>
    </w:p>
    <w:p w14:paraId="366E5E3A" w14:textId="77777777" w:rsidR="00B236D5" w:rsidRPr="00405303" w:rsidRDefault="00B236D5" w:rsidP="00C15251">
      <w:pPr>
        <w:pStyle w:val="15"/>
        <w:spacing w:before="0" w:after="0"/>
        <w:jc w:val="both"/>
        <w:rPr>
          <w:bCs/>
          <w:color w:val="002060"/>
          <w:sz w:val="16"/>
          <w:szCs w:val="16"/>
        </w:rPr>
      </w:pPr>
      <w:r w:rsidRPr="00405303">
        <w:rPr>
          <w:bCs/>
          <w:color w:val="002060"/>
          <w:sz w:val="16"/>
          <w:szCs w:val="16"/>
        </w:rPr>
        <w:t>ам Червоннский завод все-таки был продан «Дуксу». В конце 1915 г. — начале 1916 г. этой фирме передали различное оборудование, включая 15 станков, авиационные материалы, готовые изделия и т.п. на сумму 86039 руб. Остатки имущества ликвидированного предприятия П.Т.Замлилый еще длительное время распродавал в розницу. В частности, 22 мая 1916 г. он предложил приобрести моторы «Мерседес» в 50 л.с. и «Австро-Даймлер» в 40 л.с, а также различные запчасти к двигателям «Гном». Обращение осталось без ответа. Последнее упоминание о предприятии Tepeщенко датировано 18 января 1917 г., когда приобрело «наличной покупкой» (то есть без заключения контракта) из остатков имущества Червоннского завода один комплект запчастей к «Фарману XVI».</w:t>
      </w:r>
    </w:p>
    <w:p w14:paraId="4321B0C2" w14:textId="77777777" w:rsidR="00B236D5" w:rsidRPr="00405303" w:rsidRDefault="00B236D5" w:rsidP="00C15251">
      <w:pPr>
        <w:pStyle w:val="15"/>
        <w:spacing w:before="0" w:after="0"/>
        <w:jc w:val="both"/>
        <w:rPr>
          <w:bCs/>
          <w:color w:val="002060"/>
          <w:sz w:val="16"/>
          <w:szCs w:val="16"/>
        </w:rPr>
      </w:pPr>
      <w:r w:rsidRPr="00405303">
        <w:rPr>
          <w:bCs/>
          <w:color w:val="002060"/>
          <w:sz w:val="16"/>
          <w:szCs w:val="16"/>
        </w:rPr>
        <w:lastRenderedPageBreak/>
        <w:t>После прихода в Украину советской власти имение Червонное было национализировано. О восстановлении там авиационного завода никто не помышлял, хотя все производственные помещения сохранялись довольно долго и были разобраны после Второй мировой войны. О судьбе самого Терещенко долгие годы на родине ничего не знали даже исследователи, занимавшиеся историей этой семьи. Лишь несколько лет назад, благодаря ycилиям киевского историка В.В.Ковалинского стало известно, что Федор Федорович эмигрировал во Францию и жил в Париже до своей кончины 30 января 1950 г. (12252)</w:t>
      </w:r>
    </w:p>
    <w:p w14:paraId="7E86EC92" w14:textId="77777777" w:rsidR="00B236D5" w:rsidRPr="00405303" w:rsidRDefault="00B236D5" w:rsidP="00C15251">
      <w:pPr>
        <w:jc w:val="both"/>
        <w:rPr>
          <w:bCs/>
          <w:i/>
          <w:color w:val="002060"/>
          <w:sz w:val="16"/>
          <w:szCs w:val="16"/>
        </w:rPr>
      </w:pPr>
    </w:p>
    <w:p w14:paraId="192EA509"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2D7E17D2" w14:textId="77777777" w:rsidR="004B4E35" w:rsidRPr="00405303" w:rsidRDefault="004B4E35" w:rsidP="00C15251">
      <w:pPr>
        <w:shd w:val="clear" w:color="auto" w:fill="FFFFFF"/>
        <w:jc w:val="both"/>
        <w:rPr>
          <w:bCs/>
          <w:i/>
          <w:color w:val="002060"/>
          <w:sz w:val="16"/>
          <w:szCs w:val="16"/>
        </w:rPr>
      </w:pPr>
    </w:p>
    <w:p w14:paraId="5964AD0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 (16) октября 1915 летчик И.С.Башко на самолете "Илья Муромец Киевский" совершил самый продолжительный за все время войны боевой полет, продолжавшийся 5 часов. Полет был по маршруту Зегевольд-Янишки-Шавли-Зегевольд с целью разведки и бомбометания. Рлубина разведки достигала 110 верст, было сброшено на против-ша 27 бомб (ЦГВИА. ф.2003, оп.З, д.623, л.31).</w:t>
      </w:r>
    </w:p>
    <w:p w14:paraId="064FBCCB" w14:textId="77777777" w:rsidR="004B4E35" w:rsidRPr="00405303" w:rsidRDefault="004B4E35" w:rsidP="00C15251">
      <w:pPr>
        <w:shd w:val="clear" w:color="auto" w:fill="FFFFFF"/>
        <w:jc w:val="both"/>
        <w:rPr>
          <w:bCs/>
          <w:color w:val="002060"/>
          <w:sz w:val="16"/>
          <w:szCs w:val="16"/>
        </w:rPr>
      </w:pPr>
    </w:p>
    <w:p w14:paraId="262B43AC" w14:textId="77777777" w:rsidR="00226FDD" w:rsidRPr="00405303" w:rsidRDefault="00226FDD" w:rsidP="00C15251">
      <w:pPr>
        <w:jc w:val="both"/>
        <w:rPr>
          <w:bCs/>
          <w:color w:val="002060"/>
          <w:sz w:val="16"/>
          <w:szCs w:val="16"/>
        </w:rPr>
      </w:pPr>
      <w:r w:rsidRPr="00405303">
        <w:rPr>
          <w:bCs/>
          <w:color w:val="002060"/>
          <w:sz w:val="16"/>
          <w:szCs w:val="16"/>
        </w:rPr>
        <w:t>3 (16) октября 1915 г. летчик И.С.Башко на самолете "Илья Муромец Киевский совершил самый продолжительный за все время войны боевой полет, продолжавшийся 5 часов. Полет был по маршруту Зегевольд-Митава-Янишки-Шавли-Зегеволад с целью разведки и бомбометания. Глубина разведки достигала 110 верст, было сброшено на противника 27 бомб.</w:t>
      </w:r>
    </w:p>
    <w:p w14:paraId="64CFF560" w14:textId="77777777" w:rsidR="00226FDD" w:rsidRPr="00405303" w:rsidRDefault="00226FDD" w:rsidP="00C15251">
      <w:pPr>
        <w:jc w:val="both"/>
        <w:rPr>
          <w:bCs/>
          <w:color w:val="002060"/>
          <w:sz w:val="16"/>
          <w:szCs w:val="16"/>
        </w:rPr>
      </w:pPr>
      <w:r w:rsidRPr="00405303">
        <w:rPr>
          <w:bCs/>
          <w:color w:val="002060"/>
          <w:sz w:val="16"/>
          <w:szCs w:val="16"/>
        </w:rPr>
        <w:t>/ЦГВИА, ф. 2003, оп. 3, д. 623, л. 31/ (23320).</w:t>
      </w:r>
    </w:p>
    <w:p w14:paraId="797C42E2" w14:textId="77777777" w:rsidR="00226FDD" w:rsidRPr="00405303" w:rsidRDefault="00226FDD" w:rsidP="00C15251">
      <w:pPr>
        <w:jc w:val="both"/>
        <w:rPr>
          <w:bCs/>
          <w:color w:val="002060"/>
          <w:sz w:val="16"/>
          <w:szCs w:val="16"/>
        </w:rPr>
      </w:pPr>
    </w:p>
    <w:p w14:paraId="3C0A6EE5" w14:textId="19054030" w:rsidR="004B4E35" w:rsidRPr="00405303" w:rsidRDefault="001113A6" w:rsidP="00C15251">
      <w:pPr>
        <w:jc w:val="both"/>
        <w:rPr>
          <w:bCs/>
          <w:color w:val="002060"/>
          <w:sz w:val="16"/>
          <w:szCs w:val="16"/>
        </w:rPr>
      </w:pPr>
      <w:r w:rsidRPr="00405303">
        <w:rPr>
          <w:bCs/>
          <w:color w:val="002060"/>
          <w:sz w:val="16"/>
          <w:szCs w:val="16"/>
        </w:rPr>
        <w:t>Н</w:t>
      </w:r>
      <w:r w:rsidR="009E6F82" w:rsidRPr="00405303">
        <w:rPr>
          <w:bCs/>
          <w:color w:val="002060"/>
          <w:sz w:val="16"/>
          <w:szCs w:val="16"/>
        </w:rPr>
        <w:t xml:space="preserve">ачиная с 3 </w:t>
      </w:r>
      <w:r w:rsidRPr="00405303">
        <w:rPr>
          <w:bCs/>
          <w:color w:val="002060"/>
          <w:sz w:val="16"/>
          <w:szCs w:val="16"/>
        </w:rPr>
        <w:t xml:space="preserve">(16) </w:t>
      </w:r>
      <w:r w:rsidR="009E6F82" w:rsidRPr="00405303">
        <w:rPr>
          <w:bCs/>
          <w:color w:val="002060"/>
          <w:sz w:val="16"/>
          <w:szCs w:val="16"/>
        </w:rPr>
        <w:t>октября</w:t>
      </w:r>
      <w:r w:rsidRPr="00405303">
        <w:rPr>
          <w:bCs/>
          <w:color w:val="002060"/>
          <w:sz w:val="16"/>
          <w:szCs w:val="16"/>
        </w:rPr>
        <w:t xml:space="preserve"> 1915 г</w:t>
      </w:r>
      <w:r w:rsidR="009E6F82" w:rsidRPr="00405303">
        <w:rPr>
          <w:bCs/>
          <w:color w:val="002060"/>
          <w:sz w:val="16"/>
          <w:szCs w:val="16"/>
        </w:rPr>
        <w:t xml:space="preserve"> один за другим прилетают в Зегевольд корабли "Киевский" (штабс-капитан И.С. Башко), V (штабс-капитан Г.В. Алехнович) и IX (штабс-капитан Р.Л. Нижевский) и сразу включаются в боевую работу.</w:t>
      </w:r>
    </w:p>
    <w:p w14:paraId="774D150A" w14:textId="77777777" w:rsidR="004B4E35" w:rsidRPr="00405303" w:rsidRDefault="009E6F82" w:rsidP="00C15251">
      <w:pPr>
        <w:jc w:val="both"/>
        <w:rPr>
          <w:bCs/>
          <w:color w:val="002060"/>
          <w:sz w:val="16"/>
          <w:szCs w:val="16"/>
        </w:rPr>
      </w:pPr>
      <w:r w:rsidRPr="00405303">
        <w:rPr>
          <w:bCs/>
          <w:color w:val="002060"/>
          <w:sz w:val="16"/>
          <w:szCs w:val="16"/>
        </w:rPr>
        <w:t>5 октября 1915 года три "Муромца" отряда совершили налёт на станцию Фрид- рихсгоф.</w:t>
      </w:r>
    </w:p>
    <w:p w14:paraId="632D1645" w14:textId="77777777" w:rsidR="004B4E35" w:rsidRPr="00405303" w:rsidRDefault="009E6F82" w:rsidP="00C15251">
      <w:pPr>
        <w:jc w:val="both"/>
        <w:rPr>
          <w:bCs/>
          <w:color w:val="002060"/>
          <w:sz w:val="16"/>
          <w:szCs w:val="16"/>
        </w:rPr>
      </w:pPr>
      <w:r w:rsidRPr="00405303">
        <w:rPr>
          <w:bCs/>
          <w:color w:val="002060"/>
          <w:sz w:val="16"/>
          <w:szCs w:val="16"/>
        </w:rPr>
        <w:t>Алехнович (корабль V) взял с собой 12 пудов бомб, Нижевский (корабль IX) - II пудов. Панкратьев же (корабль II) прицепил 15-пудовую бомбу и на борт прихватил ещё двухпудовку, пудовку и пару пятифунтовок. Корабли взлетели с промежутком в 15 минут и брали курс на станцию. Интервал был сделан для того, чтобы все смогли отбомбиться, не мешая друг другу. Помощник командира II корабля штабс-капитан С.Н. Никольской вспоминал о налёте: "Красота, да и только. Подходит первый, кружит и бросает. Покружился, отходит. Подходит второй, а третий уже ждёт, когда освободится место, чтобы побросать в свою очередь". На станцию Фридрихсгоф "Муромцы" высыпали 39 бомб обшим весом в 42 пуда (684,5 кг). Удачными попаданиями были произведены разрушения и пожары.</w:t>
      </w:r>
    </w:p>
    <w:p w14:paraId="53BC35CC" w14:textId="77777777" w:rsidR="004B4E35" w:rsidRPr="00405303" w:rsidRDefault="009E6F82" w:rsidP="00C15251">
      <w:pPr>
        <w:jc w:val="both"/>
        <w:rPr>
          <w:bCs/>
          <w:color w:val="002060"/>
          <w:sz w:val="16"/>
          <w:szCs w:val="16"/>
        </w:rPr>
      </w:pPr>
      <w:r w:rsidRPr="00405303">
        <w:rPr>
          <w:bCs/>
          <w:color w:val="002060"/>
          <w:sz w:val="16"/>
          <w:szCs w:val="16"/>
        </w:rPr>
        <w:t>На следующий день, штабс-капитан Башко отправился на разведку Митавского района на своём новом корабле "Киевский" (№ 169). При возвращении у самолета забарахлили моторы и Башко с трудом перетянул машину через линию фронта на высоте 120 метров, обстреливаемый сильным ружейным и пулемётным огнём. "Киевский" приземлился всего в 1,5 верстах от огневых позиций в нашем расположении за станцией Олай. Корабль вскоре был разобран и доставлен по земле в отряд для ремонта.</w:t>
      </w:r>
    </w:p>
    <w:p w14:paraId="7668C00D" w14:textId="77777777" w:rsidR="004B4E35" w:rsidRPr="00405303" w:rsidRDefault="009E6F82" w:rsidP="00C15251">
      <w:pPr>
        <w:jc w:val="both"/>
        <w:rPr>
          <w:bCs/>
          <w:color w:val="002060"/>
          <w:sz w:val="16"/>
          <w:szCs w:val="16"/>
        </w:rPr>
      </w:pPr>
      <w:r w:rsidRPr="00405303">
        <w:rPr>
          <w:bCs/>
          <w:color w:val="002060"/>
          <w:sz w:val="16"/>
          <w:szCs w:val="16"/>
        </w:rPr>
        <w:t>"Муромцы" зегевольде ко го отряда совершили на Северном фронте до конца 1915 года 25 боевых вылетов.</w:t>
      </w:r>
    </w:p>
    <w:p w14:paraId="2B9CB6F9" w14:textId="77777777" w:rsidR="004B4E35" w:rsidRPr="00405303" w:rsidRDefault="009E6F82" w:rsidP="00C15251">
      <w:pPr>
        <w:jc w:val="both"/>
        <w:rPr>
          <w:bCs/>
          <w:color w:val="002060"/>
          <w:sz w:val="16"/>
          <w:szCs w:val="16"/>
        </w:rPr>
      </w:pPr>
      <w:r w:rsidRPr="00405303">
        <w:rPr>
          <w:bCs/>
          <w:color w:val="002060"/>
          <w:sz w:val="16"/>
          <w:szCs w:val="16"/>
        </w:rPr>
        <w:t>Всего же за весь 1915 год воздушные корабли Эскадры выполнили до 100 боевых полётов, сбросив на противника до 1220 пудов бомб (почти 20000 кг!) (12041).</w:t>
      </w:r>
    </w:p>
    <w:p w14:paraId="362438DD" w14:textId="77777777" w:rsidR="004B4E35" w:rsidRPr="00405303" w:rsidRDefault="004B4E35" w:rsidP="00C15251">
      <w:pPr>
        <w:jc w:val="both"/>
        <w:rPr>
          <w:bCs/>
          <w:color w:val="002060"/>
          <w:sz w:val="16"/>
          <w:szCs w:val="16"/>
        </w:rPr>
      </w:pPr>
    </w:p>
    <w:p w14:paraId="26A637ED"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51BC3711" w14:textId="77777777" w:rsidR="004B4E35" w:rsidRPr="00405303" w:rsidRDefault="004B4E35" w:rsidP="00C15251">
      <w:pPr>
        <w:shd w:val="clear" w:color="auto" w:fill="FFFFFF"/>
        <w:jc w:val="both"/>
        <w:rPr>
          <w:bCs/>
          <w:i/>
          <w:color w:val="002060"/>
          <w:sz w:val="16"/>
          <w:szCs w:val="16"/>
        </w:rPr>
      </w:pPr>
    </w:p>
    <w:p w14:paraId="3C997B51" w14:textId="04B1E412"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4 (17) октября 1915 </w:t>
      </w:r>
      <w:r w:rsidR="001113A6" w:rsidRPr="00405303">
        <w:rPr>
          <w:bCs/>
          <w:color w:val="002060"/>
          <w:sz w:val="16"/>
          <w:szCs w:val="16"/>
        </w:rPr>
        <w:t xml:space="preserve">г. </w:t>
      </w:r>
      <w:r w:rsidRPr="00405303">
        <w:rPr>
          <w:bCs/>
          <w:color w:val="002060"/>
          <w:sz w:val="16"/>
          <w:szCs w:val="16"/>
        </w:rPr>
        <w:t>летчики 10-й армии вскрыли подготовку немцев к прорыву фронта в районе Свенцян. В частности, летчик 34 КАО Степан Андреевич Ноэдровский с наблюдателем Леонковым во время .разведки района Ковно-Янов-Вилькомир обнаружил передвижение немецких войск в сторону Свенцян и предупредил об этом ко</w:t>
      </w:r>
      <w:r w:rsidRPr="00405303">
        <w:rPr>
          <w:bCs/>
          <w:color w:val="002060"/>
          <w:sz w:val="16"/>
          <w:szCs w:val="16"/>
        </w:rPr>
        <w:softHyphen/>
        <w:t>мандование, которое, однако, поставило под сомнение донесение летчиков и не приняло своевременно должных мер к предотвращению прорыва (Н.Яцук. Тактика воздушного флота. 1924).</w:t>
      </w:r>
    </w:p>
    <w:p w14:paraId="671C9ABB" w14:textId="77777777" w:rsidR="004B4E35" w:rsidRPr="00405303" w:rsidRDefault="004B4E35" w:rsidP="00C15251">
      <w:pPr>
        <w:shd w:val="clear" w:color="auto" w:fill="FFFFFF"/>
        <w:jc w:val="both"/>
        <w:rPr>
          <w:bCs/>
          <w:color w:val="002060"/>
          <w:sz w:val="16"/>
          <w:szCs w:val="16"/>
        </w:rPr>
      </w:pPr>
    </w:p>
    <w:p w14:paraId="5A589513" w14:textId="77777777" w:rsidR="00226FDD" w:rsidRPr="00405303" w:rsidRDefault="00226FDD" w:rsidP="00C15251">
      <w:pPr>
        <w:jc w:val="both"/>
        <w:rPr>
          <w:bCs/>
          <w:color w:val="002060"/>
          <w:sz w:val="16"/>
          <w:szCs w:val="16"/>
        </w:rPr>
      </w:pPr>
      <w:r w:rsidRPr="00405303">
        <w:rPr>
          <w:bCs/>
          <w:color w:val="002060"/>
          <w:sz w:val="16"/>
          <w:szCs w:val="16"/>
        </w:rPr>
        <w:t>4 (17) октября 1915 г. летчики 10-й армии вскрыли подготовку немцев к про</w:t>
      </w:r>
      <w:r w:rsidRPr="00405303">
        <w:rPr>
          <w:bCs/>
          <w:color w:val="002060"/>
          <w:sz w:val="16"/>
          <w:szCs w:val="16"/>
        </w:rPr>
        <w:softHyphen/>
        <w:t>рыву фронта в районе Свенцян. В частности, летчик 34 КАО Степан Андреевич Ноздровский с наблюдателем Леонковым во время развед</w:t>
      </w:r>
      <w:r w:rsidRPr="00405303">
        <w:rPr>
          <w:bCs/>
          <w:color w:val="002060"/>
          <w:sz w:val="16"/>
          <w:szCs w:val="16"/>
        </w:rPr>
        <w:softHyphen/>
        <w:t>ки района Ковно-Янов-Вилькомир обнаружил передвижение немецких войск в сторону Свенцян и предупредил о том командование. Однако, командование армии и фронта поставило под сомнение донесения лет</w:t>
      </w:r>
      <w:r w:rsidRPr="00405303">
        <w:rPr>
          <w:bCs/>
          <w:color w:val="002060"/>
          <w:sz w:val="16"/>
          <w:szCs w:val="16"/>
        </w:rPr>
        <w:softHyphen/>
        <w:t>чиков и не приняло своевременно должных мер к предотвращению про</w:t>
      </w:r>
      <w:r w:rsidRPr="00405303">
        <w:rPr>
          <w:bCs/>
          <w:color w:val="002060"/>
          <w:sz w:val="16"/>
          <w:szCs w:val="16"/>
        </w:rPr>
        <w:softHyphen/>
        <w:t>рыва.</w:t>
      </w:r>
    </w:p>
    <w:p w14:paraId="135BD76A" w14:textId="77777777" w:rsidR="00226FDD" w:rsidRPr="00405303" w:rsidRDefault="00226FDD" w:rsidP="00C15251">
      <w:pPr>
        <w:jc w:val="both"/>
        <w:rPr>
          <w:bCs/>
          <w:color w:val="002060"/>
          <w:sz w:val="16"/>
          <w:szCs w:val="16"/>
        </w:rPr>
      </w:pPr>
      <w:r w:rsidRPr="00405303">
        <w:rPr>
          <w:bCs/>
          <w:color w:val="002060"/>
          <w:sz w:val="16"/>
          <w:szCs w:val="16"/>
        </w:rPr>
        <w:t>/Н.Яцук. Тактика воздушного флота,1924/ (23320).</w:t>
      </w:r>
    </w:p>
    <w:p w14:paraId="4563CB5C" w14:textId="77777777" w:rsidR="00226FDD" w:rsidRPr="00405303" w:rsidRDefault="00226FDD" w:rsidP="00C15251">
      <w:pPr>
        <w:jc w:val="both"/>
        <w:rPr>
          <w:bCs/>
          <w:color w:val="002060"/>
          <w:sz w:val="16"/>
          <w:szCs w:val="16"/>
        </w:rPr>
      </w:pPr>
    </w:p>
    <w:p w14:paraId="4F68DCA3"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04E537DA" w14:textId="77777777" w:rsidR="004B4E35" w:rsidRPr="00405303" w:rsidRDefault="004B4E35" w:rsidP="00C15251">
      <w:pPr>
        <w:shd w:val="clear" w:color="auto" w:fill="FFFFFF"/>
        <w:jc w:val="both"/>
        <w:rPr>
          <w:bCs/>
          <w:i/>
          <w:color w:val="002060"/>
          <w:sz w:val="16"/>
          <w:szCs w:val="16"/>
        </w:rPr>
      </w:pPr>
    </w:p>
    <w:p w14:paraId="37F376BE" w14:textId="378749FA" w:rsidR="004B4E35" w:rsidRPr="00405303" w:rsidRDefault="009E6F82" w:rsidP="00C15251">
      <w:pPr>
        <w:shd w:val="clear" w:color="auto" w:fill="FFFFFF"/>
        <w:jc w:val="both"/>
        <w:rPr>
          <w:bCs/>
          <w:color w:val="002060"/>
          <w:sz w:val="16"/>
          <w:szCs w:val="16"/>
        </w:rPr>
      </w:pPr>
      <w:r w:rsidRPr="00405303">
        <w:rPr>
          <w:bCs/>
          <w:color w:val="002060"/>
          <w:sz w:val="16"/>
          <w:szCs w:val="16"/>
        </w:rPr>
        <w:t>По состоянию на 4 (17) октября 1915 года авиация флота имела следующую боевую организацию: 1-й судовой отряд (на станции «Бухта Нахимова» и судне «Император Николай I») распола</w:t>
      </w:r>
      <w:r w:rsidRPr="00405303">
        <w:rPr>
          <w:bCs/>
          <w:color w:val="002060"/>
          <w:sz w:val="16"/>
          <w:szCs w:val="16"/>
        </w:rPr>
        <w:softHyphen/>
        <w:t>гал 7 «М-5»; 2-й судовой отряд (на той же станции и судне «Император Александр I») - 6 «М-5», из них один в сборке; 1-й береговой отряд (на станции «Круглая бухта) - 4 «М-5», 4 «Кертисс-К», 1 «Моран»; 2-й береговой отряд (там же) - 3 «Кертисс-К», из них один в ремонте; Одесский летучий отряд -2 «Кертисс-К». В секретном отчете начальника службы связи флота капитана 1 ранга В. Кедрина, ответственного за хозяйственное обеспечение авиации, подчеркивалось, что «</w:t>
      </w:r>
      <w:proofErr w:type="gramStart"/>
      <w:r w:rsidRPr="00405303">
        <w:rPr>
          <w:bCs/>
          <w:color w:val="002060"/>
          <w:sz w:val="16"/>
          <w:szCs w:val="16"/>
        </w:rPr>
        <w:t>по настоящему</w:t>
      </w:r>
      <w:proofErr w:type="gramEnd"/>
      <w:r w:rsidRPr="00405303">
        <w:rPr>
          <w:bCs/>
          <w:color w:val="002060"/>
          <w:sz w:val="16"/>
          <w:szCs w:val="16"/>
        </w:rPr>
        <w:t xml:space="preserve"> боевыми аэропланами можно считать 17 «М-5», но из-за дефектов моторов 3 из них не летают, у остальных моторы относительно надежны». Среди полученных «Кертиссов» пригодными к выполнению вспомогательных задач числились 9 аппаратов.</w:t>
      </w:r>
    </w:p>
    <w:p w14:paraId="121F3AF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Летный персонал авиации состоял из 18 обер-офицеров, кон</w:t>
      </w:r>
      <w:r w:rsidRPr="00405303">
        <w:rPr>
          <w:bCs/>
          <w:color w:val="002060"/>
          <w:sz w:val="16"/>
          <w:szCs w:val="16"/>
        </w:rPr>
        <w:softHyphen/>
        <w:t>дуктора и 3 добровольно определившихся на службу матро</w:t>
      </w:r>
      <w:r w:rsidRPr="00405303">
        <w:rPr>
          <w:bCs/>
          <w:color w:val="002060"/>
          <w:sz w:val="16"/>
          <w:szCs w:val="16"/>
        </w:rPr>
        <w:softHyphen/>
        <w:t>сов. В авиаотрядах флота летную практику с целью сдачи эк</w:t>
      </w:r>
      <w:r w:rsidRPr="00405303">
        <w:rPr>
          <w:bCs/>
          <w:color w:val="002060"/>
          <w:sz w:val="16"/>
          <w:szCs w:val="16"/>
        </w:rPr>
        <w:softHyphen/>
        <w:t>замена на звание морского летчика проходили еще 6 офицеров, 2 кондуктора и 2 матроса. В Качинской школе Отдела воз</w:t>
      </w:r>
      <w:r w:rsidRPr="00405303">
        <w:rPr>
          <w:bCs/>
          <w:color w:val="002060"/>
          <w:sz w:val="16"/>
          <w:szCs w:val="16"/>
        </w:rPr>
        <w:softHyphen/>
        <w:t>душного флота обучались 6 морских офицеров, половина их были черноморцами (11283).</w:t>
      </w:r>
    </w:p>
    <w:p w14:paraId="53266E7F" w14:textId="77777777" w:rsidR="004B4E35" w:rsidRPr="00405303" w:rsidRDefault="004B4E35" w:rsidP="00C15251">
      <w:pPr>
        <w:shd w:val="clear" w:color="auto" w:fill="FFFFFF"/>
        <w:jc w:val="both"/>
        <w:rPr>
          <w:bCs/>
          <w:color w:val="002060"/>
          <w:sz w:val="16"/>
          <w:szCs w:val="16"/>
        </w:rPr>
      </w:pPr>
    </w:p>
    <w:p w14:paraId="0469EAA3"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6E5B234A" w14:textId="77777777" w:rsidR="004B4E35" w:rsidRPr="00405303" w:rsidRDefault="004B4E35" w:rsidP="00C15251">
      <w:pPr>
        <w:shd w:val="clear" w:color="auto" w:fill="FFFFFF"/>
        <w:jc w:val="both"/>
        <w:rPr>
          <w:bCs/>
          <w:i/>
          <w:color w:val="002060"/>
          <w:sz w:val="16"/>
          <w:szCs w:val="16"/>
        </w:rPr>
      </w:pPr>
    </w:p>
    <w:p w14:paraId="3965B0F0" w14:textId="04657990"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5 (18) октября 1915 </w:t>
      </w:r>
      <w:r w:rsidR="001113A6" w:rsidRPr="00405303">
        <w:rPr>
          <w:bCs/>
          <w:color w:val="002060"/>
          <w:sz w:val="16"/>
          <w:szCs w:val="16"/>
        </w:rPr>
        <w:t xml:space="preserve">г. </w:t>
      </w:r>
      <w:r w:rsidRPr="00405303">
        <w:rPr>
          <w:bCs/>
          <w:color w:val="002060"/>
          <w:sz w:val="16"/>
          <w:szCs w:val="16"/>
        </w:rPr>
        <w:t xml:space="preserve">особое совещание по обороне государства утвер-дало положение о Комиссии по заготовке авиационного и воздухе- </w:t>
      </w:r>
      <w:r w:rsidRPr="00405303">
        <w:rPr>
          <w:bCs/>
          <w:color w:val="002060"/>
          <w:sz w:val="16"/>
          <w:szCs w:val="16"/>
          <w:vertAlign w:val="subscript"/>
        </w:rPr>
        <w:t>(</w:t>
      </w:r>
      <w:r w:rsidRPr="00405303">
        <w:rPr>
          <w:bCs/>
          <w:color w:val="002060"/>
          <w:sz w:val="16"/>
          <w:szCs w:val="16"/>
          <w:vertAlign w:val="superscript"/>
        </w:rPr>
        <w:t xml:space="preserve">; </w:t>
      </w:r>
      <w:r w:rsidRPr="00405303">
        <w:rPr>
          <w:bCs/>
          <w:color w:val="002060"/>
          <w:sz w:val="16"/>
          <w:szCs w:val="16"/>
        </w:rPr>
        <w:t>[плавательного имущества заграницей. На Комиссию возлагалось:</w:t>
      </w:r>
    </w:p>
    <w:p w14:paraId="0D41C620" w14:textId="4C0D0F06" w:rsidR="004B4E35" w:rsidRPr="00405303" w:rsidRDefault="009E6F82" w:rsidP="00C15251">
      <w:pPr>
        <w:shd w:val="clear" w:color="auto" w:fill="FFFFFF"/>
        <w:jc w:val="both"/>
        <w:rPr>
          <w:bCs/>
          <w:color w:val="002060"/>
          <w:sz w:val="16"/>
          <w:szCs w:val="16"/>
        </w:rPr>
      </w:pPr>
      <w:r w:rsidRPr="00405303">
        <w:rPr>
          <w:bCs/>
          <w:color w:val="002060"/>
          <w:sz w:val="16"/>
          <w:szCs w:val="16"/>
        </w:rPr>
        <w:t>2) изучение состояния авиационного и воздухоплавательного дела в Союзных государствах как на фронте, так и в тылу; 2) постоянное наблюдение за совершенствованием летательных аппаратов и (выходом новых систем в целях своевременного использования вно</w:t>
      </w:r>
      <w:r w:rsidRPr="00405303">
        <w:rPr>
          <w:bCs/>
          <w:color w:val="002060"/>
          <w:sz w:val="16"/>
          <w:szCs w:val="16"/>
        </w:rPr>
        <w:softHyphen/>
        <w:t>симых развитием техники улучшений при снабжении русских армий и флота; 3)постоянное осведомление УВВФ и генштаба по всем этим зопрбсам; 4) изготовление заграницей предметов материального снаб</w:t>
      </w:r>
      <w:r w:rsidR="00450280" w:rsidRPr="00405303">
        <w:rPr>
          <w:bCs/>
          <w:color w:val="002060"/>
          <w:sz w:val="16"/>
          <w:szCs w:val="16"/>
        </w:rPr>
        <w:t>жения</w:t>
      </w:r>
      <w:r w:rsidRPr="00405303">
        <w:rPr>
          <w:bCs/>
          <w:color w:val="002060"/>
          <w:sz w:val="16"/>
          <w:szCs w:val="16"/>
        </w:rPr>
        <w:t>, необходимых для русской авиации и воздухоплавания (ЦГВИА. ф. 493, оп.З, д.155, лл.10-14).</w:t>
      </w:r>
    </w:p>
    <w:p w14:paraId="2F5A726C" w14:textId="77777777" w:rsidR="004B4E35" w:rsidRPr="00405303" w:rsidRDefault="004B4E35" w:rsidP="00C15251">
      <w:pPr>
        <w:shd w:val="clear" w:color="auto" w:fill="FFFFFF"/>
        <w:jc w:val="both"/>
        <w:rPr>
          <w:bCs/>
          <w:color w:val="002060"/>
          <w:sz w:val="16"/>
          <w:szCs w:val="16"/>
        </w:rPr>
      </w:pPr>
    </w:p>
    <w:p w14:paraId="2F3A49FF" w14:textId="77777777" w:rsidR="00450280" w:rsidRPr="00405303" w:rsidRDefault="00450280" w:rsidP="00C15251">
      <w:pPr>
        <w:jc w:val="both"/>
        <w:rPr>
          <w:bCs/>
          <w:color w:val="002060"/>
          <w:sz w:val="16"/>
          <w:szCs w:val="16"/>
        </w:rPr>
      </w:pPr>
      <w:r w:rsidRPr="00405303">
        <w:rPr>
          <w:bCs/>
          <w:color w:val="002060"/>
          <w:sz w:val="16"/>
          <w:szCs w:val="16"/>
        </w:rPr>
        <w:t>5 (18) октября 1915 г. Особое совещание по обороне государства утвердило положение о Комиссии по заготовке авиационного и воздухоплавате</w:t>
      </w:r>
      <w:r w:rsidRPr="00405303">
        <w:rPr>
          <w:bCs/>
          <w:color w:val="002060"/>
          <w:sz w:val="16"/>
          <w:szCs w:val="16"/>
        </w:rPr>
        <w:softHyphen/>
        <w:t>льного имущества за границей. На Комиссию возлагалось: 1/ изучение ; состояния авиационного и воздухоплавательного дела в союзных го</w:t>
      </w:r>
      <w:r w:rsidRPr="00405303">
        <w:rPr>
          <w:bCs/>
          <w:color w:val="002060"/>
          <w:sz w:val="16"/>
          <w:szCs w:val="16"/>
        </w:rPr>
        <w:softHyphen/>
        <w:t>сударствах как на фронте, так и в тылу; 2/ постоянное наблюдение за совершенствованием летательных аппаратов и выходом новых систем в целях своевременного использования вносимых развитием техники улучшений при снабжении русских армий и флота; 3/ посто</w:t>
      </w:r>
      <w:r w:rsidRPr="00405303">
        <w:rPr>
          <w:bCs/>
          <w:color w:val="002060"/>
          <w:sz w:val="16"/>
          <w:szCs w:val="16"/>
        </w:rPr>
        <w:softHyphen/>
        <w:t>янное осведомление УВВ и Генштаба по всем этим во про сам; 4/ из</w:t>
      </w:r>
      <w:r w:rsidRPr="00405303">
        <w:rPr>
          <w:bCs/>
          <w:color w:val="002060"/>
          <w:sz w:val="16"/>
          <w:szCs w:val="16"/>
        </w:rPr>
        <w:softHyphen/>
        <w:t>готовление за границей всех предметов материального снабжения, потребных для русской авиации и воздухоплавания.</w:t>
      </w:r>
    </w:p>
    <w:p w14:paraId="6A358165" w14:textId="77777777" w:rsidR="00450280" w:rsidRPr="00405303" w:rsidRDefault="00450280" w:rsidP="00C15251">
      <w:pPr>
        <w:jc w:val="both"/>
        <w:rPr>
          <w:bCs/>
          <w:color w:val="002060"/>
          <w:sz w:val="16"/>
          <w:szCs w:val="16"/>
        </w:rPr>
      </w:pPr>
      <w:r w:rsidRPr="00405303">
        <w:rPr>
          <w:bCs/>
          <w:color w:val="002060"/>
          <w:sz w:val="16"/>
          <w:szCs w:val="16"/>
        </w:rPr>
        <w:t>/ЦГВИА, ф. 493, оп. 3, д. 155, лл.10-14/ (23320).</w:t>
      </w:r>
    </w:p>
    <w:p w14:paraId="21B1DDA7" w14:textId="77777777" w:rsidR="00450280" w:rsidRPr="00405303" w:rsidRDefault="00450280" w:rsidP="00C15251">
      <w:pPr>
        <w:jc w:val="both"/>
        <w:rPr>
          <w:bCs/>
          <w:color w:val="002060"/>
          <w:sz w:val="16"/>
          <w:szCs w:val="16"/>
        </w:rPr>
      </w:pPr>
    </w:p>
    <w:p w14:paraId="74638E57" w14:textId="77777777" w:rsidR="00450280" w:rsidRPr="00405303" w:rsidRDefault="00450280" w:rsidP="00C15251">
      <w:pPr>
        <w:jc w:val="both"/>
        <w:rPr>
          <w:bCs/>
          <w:color w:val="002060"/>
          <w:sz w:val="16"/>
          <w:szCs w:val="16"/>
        </w:rPr>
      </w:pPr>
      <w:r w:rsidRPr="00405303">
        <w:rPr>
          <w:bCs/>
          <w:color w:val="002060"/>
          <w:sz w:val="16"/>
          <w:szCs w:val="16"/>
        </w:rPr>
        <w:fldChar w:fldCharType="begin"/>
      </w:r>
      <w:r w:rsidRPr="00405303">
        <w:rPr>
          <w:bCs/>
          <w:color w:val="002060"/>
          <w:sz w:val="16"/>
          <w:szCs w:val="16"/>
        </w:rPr>
        <w:instrText xml:space="preserve"> TOC \o "1-5" \h \z </w:instrText>
      </w:r>
      <w:r w:rsidRPr="00405303">
        <w:rPr>
          <w:bCs/>
          <w:color w:val="002060"/>
          <w:sz w:val="16"/>
          <w:szCs w:val="16"/>
        </w:rPr>
        <w:fldChar w:fldCharType="separate"/>
      </w:r>
      <w:r w:rsidRPr="00405303">
        <w:rPr>
          <w:bCs/>
          <w:color w:val="002060"/>
          <w:sz w:val="16"/>
          <w:szCs w:val="16"/>
        </w:rPr>
        <w:t xml:space="preserve">5 (18) октября 1915 г. генерал Бонч-Бруевич в своей просьбе о снабжении авиаотрядов пулеметами писал: «немецкие летчики на Альбатросах вооруженных </w:t>
      </w:r>
      <w:r w:rsidRPr="00405303">
        <w:rPr>
          <w:bCs/>
          <w:color w:val="002060"/>
          <w:sz w:val="16"/>
          <w:szCs w:val="16"/>
        </w:rPr>
        <w:fldChar w:fldCharType="end"/>
      </w:r>
      <w:r w:rsidRPr="00405303">
        <w:rPr>
          <w:bCs/>
          <w:color w:val="002060"/>
          <w:sz w:val="16"/>
          <w:szCs w:val="16"/>
        </w:rPr>
        <w:t>пулеметами с разрывными пулями, устраивают засаду вдоль линии фронта и не дают нашим летчикам проходить через фронт». /ЦГВИА, ф. 2003, оп 2, д. 615, Л. 173/ (23320).</w:t>
      </w:r>
    </w:p>
    <w:p w14:paraId="2A589818" w14:textId="77777777" w:rsidR="00450280" w:rsidRPr="00405303" w:rsidRDefault="00450280" w:rsidP="00C15251">
      <w:pPr>
        <w:jc w:val="both"/>
        <w:rPr>
          <w:bCs/>
          <w:color w:val="002060"/>
          <w:sz w:val="16"/>
          <w:szCs w:val="16"/>
        </w:rPr>
      </w:pPr>
    </w:p>
    <w:p w14:paraId="3BE466F0"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444DC686" w14:textId="77777777" w:rsidR="004B4E35" w:rsidRPr="00405303" w:rsidRDefault="004B4E35" w:rsidP="00C15251">
      <w:pPr>
        <w:shd w:val="clear" w:color="auto" w:fill="FFFFFF"/>
        <w:jc w:val="both"/>
        <w:rPr>
          <w:bCs/>
          <w:i/>
          <w:color w:val="002060"/>
          <w:sz w:val="16"/>
          <w:szCs w:val="16"/>
        </w:rPr>
      </w:pPr>
    </w:p>
    <w:p w14:paraId="76C5EB80" w14:textId="0093EFFE" w:rsidR="004B4E35" w:rsidRPr="00405303" w:rsidRDefault="009E6F82" w:rsidP="00C15251">
      <w:pPr>
        <w:jc w:val="both"/>
        <w:rPr>
          <w:bCs/>
          <w:color w:val="002060"/>
          <w:sz w:val="16"/>
          <w:szCs w:val="16"/>
        </w:rPr>
      </w:pPr>
      <w:r w:rsidRPr="00405303">
        <w:rPr>
          <w:bCs/>
          <w:color w:val="002060"/>
          <w:sz w:val="16"/>
          <w:szCs w:val="16"/>
        </w:rPr>
        <w:t xml:space="preserve">5 (18) октября </w:t>
      </w:r>
      <w:r w:rsidR="001113A6" w:rsidRPr="00405303">
        <w:rPr>
          <w:bCs/>
          <w:color w:val="002060"/>
          <w:sz w:val="16"/>
          <w:szCs w:val="16"/>
        </w:rPr>
        <w:t>1915 г.</w:t>
      </w:r>
      <w:r w:rsidRPr="00405303">
        <w:rPr>
          <w:bCs/>
          <w:color w:val="002060"/>
          <w:sz w:val="16"/>
          <w:szCs w:val="16"/>
        </w:rPr>
        <w:t xml:space="preserve"> </w:t>
      </w:r>
      <w:r w:rsidR="001113A6" w:rsidRPr="00405303">
        <w:rPr>
          <w:bCs/>
          <w:color w:val="002060"/>
          <w:sz w:val="16"/>
          <w:szCs w:val="16"/>
        </w:rPr>
        <w:t>т</w:t>
      </w:r>
      <w:r w:rsidRPr="00405303">
        <w:rPr>
          <w:bCs/>
          <w:color w:val="002060"/>
          <w:sz w:val="16"/>
          <w:szCs w:val="16"/>
        </w:rPr>
        <w:t>ри "Муромца", "ИМ-2", "ИМ-5" и "ИМ-9" бомбили железнодорожную станцию Фридрихштадта, сбросив на противника 48 16-ти кг бомб. Во время этого рейда "ИМ-9" под командованием капитана Р. Л.</w:t>
      </w:r>
    </w:p>
    <w:p w14:paraId="21E89220" w14:textId="77777777" w:rsidR="004B4E35" w:rsidRPr="00405303" w:rsidRDefault="009E6F82" w:rsidP="00C15251">
      <w:pPr>
        <w:jc w:val="both"/>
        <w:rPr>
          <w:bCs/>
          <w:color w:val="002060"/>
          <w:sz w:val="16"/>
          <w:szCs w:val="16"/>
        </w:rPr>
      </w:pPr>
      <w:r w:rsidRPr="00405303">
        <w:rPr>
          <w:bCs/>
          <w:color w:val="002060"/>
          <w:sz w:val="16"/>
          <w:szCs w:val="16"/>
        </w:rPr>
        <w:t>Нижевского, сбросил бомбу весом 245 кг, которая одна полностью уничтожила два соседних здания.</w:t>
      </w:r>
    </w:p>
    <w:p w14:paraId="723A9C94" w14:textId="77777777" w:rsidR="004B4E35" w:rsidRPr="00405303" w:rsidRDefault="009E6F82" w:rsidP="00C15251">
      <w:pPr>
        <w:jc w:val="both"/>
        <w:rPr>
          <w:bCs/>
          <w:color w:val="002060"/>
          <w:sz w:val="16"/>
          <w:szCs w:val="16"/>
        </w:rPr>
      </w:pPr>
      <w:r w:rsidRPr="00405303">
        <w:rPr>
          <w:bCs/>
          <w:color w:val="002060"/>
          <w:sz w:val="16"/>
          <w:szCs w:val="16"/>
        </w:rPr>
        <w:t>Великий князь Александр Михайлович телеграфировал в штаб Верховного главнокомандования: "Наместник Кавказа просит срочно назначить в авиационные отряды опытных наблюдателей. Прошу с вашего фронта одного и сообщить мне фамилию. Ввиду тяжелых условий полетов в горах должен быть легкого веса" (11999).</w:t>
      </w:r>
    </w:p>
    <w:p w14:paraId="4D95DA7E" w14:textId="77777777" w:rsidR="004B4E35" w:rsidRPr="00405303" w:rsidRDefault="004B4E35" w:rsidP="00C15251">
      <w:pPr>
        <w:jc w:val="both"/>
        <w:rPr>
          <w:bCs/>
          <w:color w:val="002060"/>
          <w:sz w:val="16"/>
          <w:szCs w:val="16"/>
        </w:rPr>
      </w:pPr>
    </w:p>
    <w:p w14:paraId="5E636D91" w14:textId="045CD5AE" w:rsidR="004B4E35" w:rsidRPr="00405303" w:rsidRDefault="009E6F82" w:rsidP="00C15251">
      <w:pPr>
        <w:jc w:val="both"/>
        <w:rPr>
          <w:bCs/>
          <w:color w:val="002060"/>
          <w:sz w:val="16"/>
          <w:szCs w:val="16"/>
        </w:rPr>
      </w:pPr>
      <w:r w:rsidRPr="00405303">
        <w:rPr>
          <w:bCs/>
          <w:color w:val="002060"/>
          <w:sz w:val="16"/>
          <w:szCs w:val="16"/>
        </w:rPr>
        <w:t xml:space="preserve">5 </w:t>
      </w:r>
      <w:r w:rsidR="001113A6" w:rsidRPr="00405303">
        <w:rPr>
          <w:bCs/>
          <w:color w:val="002060"/>
          <w:sz w:val="16"/>
          <w:szCs w:val="16"/>
        </w:rPr>
        <w:t xml:space="preserve">(18) </w:t>
      </w:r>
      <w:r w:rsidRPr="00405303">
        <w:rPr>
          <w:bCs/>
          <w:color w:val="002060"/>
          <w:sz w:val="16"/>
          <w:szCs w:val="16"/>
        </w:rPr>
        <w:t>октября 1915 года три "Муромца" отряда совершили налёт на станцию Фрид- рихсгоф.</w:t>
      </w:r>
    </w:p>
    <w:p w14:paraId="276F42A5" w14:textId="77777777" w:rsidR="004B4E35" w:rsidRPr="00405303" w:rsidRDefault="009E6F82" w:rsidP="00C15251">
      <w:pPr>
        <w:jc w:val="both"/>
        <w:rPr>
          <w:bCs/>
          <w:color w:val="002060"/>
          <w:sz w:val="16"/>
          <w:szCs w:val="16"/>
        </w:rPr>
      </w:pPr>
      <w:r w:rsidRPr="00405303">
        <w:rPr>
          <w:bCs/>
          <w:color w:val="002060"/>
          <w:sz w:val="16"/>
          <w:szCs w:val="16"/>
        </w:rPr>
        <w:t>Алехнович (корабль V) взял с собой 12 пудов бомб, Нижевский (корабль IX) - II пудов. Панкратьев же (корабль II) прицепил 15-пудовую бомбу и на борт прихватил ещё двухпудовку, пудовку и пару пятифунтовок. Корабли взлетели с промежутком в 15 минут и брали курс на станцию. Интервал был сделан для того, чтобы все смогли отбомбиться, не мешая друг другу. Помощник командира II корабля штабс-капитан С.Н. Никольской вспоминал о налёте: "Красота, да и только. Подходит первый, кружит и бросает. Покружился, отходит. Подходит второй, а третий уже ждёт, когда освободится место, чтобы побросать в свою очередь". На станцию Фридрихсгоф "Муромцы" высыпали 39 бомб обшим весом в 42 пуда (684,5 кг). Удачными попаданиями были произведены разрушения и пожары.</w:t>
      </w:r>
    </w:p>
    <w:p w14:paraId="725C8E27" w14:textId="77777777" w:rsidR="004B4E35" w:rsidRPr="00405303" w:rsidRDefault="009E6F82" w:rsidP="00C15251">
      <w:pPr>
        <w:jc w:val="both"/>
        <w:rPr>
          <w:bCs/>
          <w:color w:val="002060"/>
          <w:sz w:val="16"/>
          <w:szCs w:val="16"/>
        </w:rPr>
      </w:pPr>
      <w:r w:rsidRPr="00405303">
        <w:rPr>
          <w:bCs/>
          <w:color w:val="002060"/>
          <w:sz w:val="16"/>
          <w:szCs w:val="16"/>
        </w:rPr>
        <w:t>На следующий день, штабс-капитан Башко отправился на разведку Митавского района на своём новом корабле "Киевский" (№ 169). При возвращении у самолета забарахлили моторы и Башко с трудом перетянул машину через линию фронта на высоте 120 метров, обстреливаемый сильным ружейным и пулемётным огнём. "Киевский" приземлился всего в 1,5 верстах от огневых позиций в нашем расположении за станцией Олай. Корабль вскоре был разобран и доставлен по земле в отряд для ремонта.</w:t>
      </w:r>
    </w:p>
    <w:p w14:paraId="63C662AE" w14:textId="77777777" w:rsidR="004B4E35" w:rsidRPr="00405303" w:rsidRDefault="009E6F82" w:rsidP="00C15251">
      <w:pPr>
        <w:jc w:val="both"/>
        <w:rPr>
          <w:bCs/>
          <w:color w:val="002060"/>
          <w:sz w:val="16"/>
          <w:szCs w:val="16"/>
        </w:rPr>
      </w:pPr>
      <w:r w:rsidRPr="00405303">
        <w:rPr>
          <w:bCs/>
          <w:color w:val="002060"/>
          <w:sz w:val="16"/>
          <w:szCs w:val="16"/>
        </w:rPr>
        <w:t>"Муромцы" зегевольде ко го отряда совершили на Северном фронте до конца 1915 года 25 боевых вылетов.</w:t>
      </w:r>
    </w:p>
    <w:p w14:paraId="4CC4986F" w14:textId="77777777" w:rsidR="004B4E35" w:rsidRPr="00405303" w:rsidRDefault="009E6F82" w:rsidP="00C15251">
      <w:pPr>
        <w:jc w:val="both"/>
        <w:rPr>
          <w:bCs/>
          <w:color w:val="002060"/>
          <w:sz w:val="16"/>
          <w:szCs w:val="16"/>
        </w:rPr>
      </w:pPr>
      <w:r w:rsidRPr="00405303">
        <w:rPr>
          <w:bCs/>
          <w:color w:val="002060"/>
          <w:sz w:val="16"/>
          <w:szCs w:val="16"/>
        </w:rPr>
        <w:t>Всего же за весь 1915 год воздушные корабли Эскадры выполнили до 100 боевых полётов, сбросив на противника до 1220 пудов бомб (почти 20000 кг!) (12041).</w:t>
      </w:r>
    </w:p>
    <w:p w14:paraId="2D18B164" w14:textId="77777777" w:rsidR="004B4E35" w:rsidRPr="00405303" w:rsidRDefault="004B4E35" w:rsidP="00C15251">
      <w:pPr>
        <w:jc w:val="both"/>
        <w:rPr>
          <w:bCs/>
          <w:color w:val="002060"/>
          <w:sz w:val="16"/>
          <w:szCs w:val="16"/>
        </w:rPr>
      </w:pPr>
    </w:p>
    <w:p w14:paraId="7E0C9F5C" w14:textId="77777777" w:rsidR="001627A1" w:rsidRPr="00B52707" w:rsidRDefault="001627A1" w:rsidP="001627A1">
      <w:pPr>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5 (18) октября 1915 г. над Ригой было отмечено появление немецкой авиации, выполнившей бомбометание по административным и военным объектам города (без особого ущерба).</w:t>
      </w:r>
    </w:p>
    <w:p w14:paraId="454A89B4" w14:textId="77777777" w:rsidR="001627A1" w:rsidRPr="00B52707" w:rsidRDefault="001627A1" w:rsidP="001627A1">
      <w:pPr>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В тот же день противник потерял очередной свой летательный аппарат. В районе н/п Олай в результате зенитного обстрела один из снарядов попал в двигатель германского аэроплана, что привело к взрыву последнего. Экипаж (офицер-наблюдатель, унтер-офицер-летчик) и собака погибли. Этот трагический эпизод войны нашел отражение на обложке русского журнала «Огонек» (№ 43).</w:t>
      </w:r>
    </w:p>
    <w:p w14:paraId="57918CD7" w14:textId="77777777" w:rsidR="001627A1" w:rsidRPr="00B52707" w:rsidRDefault="001627A1" w:rsidP="001627A1">
      <w:pPr>
        <w:jc w:val="both"/>
        <w:rPr>
          <w:rStyle w:val="aa"/>
          <w:rFonts w:ascii="Times New Roman" w:hAnsi="Times New Roman"/>
          <w:color w:val="0070C0"/>
          <w:spacing w:val="0"/>
          <w:sz w:val="16"/>
          <w:szCs w:val="16"/>
        </w:rPr>
      </w:pPr>
    </w:p>
    <w:p w14:paraId="7EE93AF3" w14:textId="16F314B9" w:rsidR="00E77927" w:rsidRPr="00405303" w:rsidRDefault="00E77927" w:rsidP="00C15251">
      <w:pPr>
        <w:shd w:val="clear" w:color="auto" w:fill="FFFFFF"/>
        <w:jc w:val="both"/>
        <w:rPr>
          <w:bCs/>
          <w:i/>
          <w:color w:val="002060"/>
          <w:sz w:val="16"/>
          <w:szCs w:val="16"/>
        </w:rPr>
      </w:pPr>
      <w:r w:rsidRPr="00405303">
        <w:rPr>
          <w:bCs/>
          <w:i/>
          <w:color w:val="002060"/>
          <w:sz w:val="16"/>
          <w:szCs w:val="16"/>
        </w:rPr>
        <w:t>Авиация и воздухоплавание за рубежом:</w:t>
      </w:r>
    </w:p>
    <w:p w14:paraId="54878120" w14:textId="77777777" w:rsidR="00E77927" w:rsidRPr="00405303" w:rsidRDefault="00E77927" w:rsidP="00C15251">
      <w:pPr>
        <w:shd w:val="clear" w:color="auto" w:fill="FFFFFF"/>
        <w:jc w:val="both"/>
        <w:rPr>
          <w:bCs/>
          <w:i/>
          <w:color w:val="002060"/>
          <w:sz w:val="16"/>
          <w:szCs w:val="16"/>
        </w:rPr>
      </w:pPr>
    </w:p>
    <w:p w14:paraId="3E3AC830" w14:textId="77777777" w:rsidR="00E77927" w:rsidRPr="00405303" w:rsidRDefault="00E77927" w:rsidP="00C15251">
      <w:pPr>
        <w:jc w:val="both"/>
        <w:rPr>
          <w:bCs/>
          <w:color w:val="002060"/>
          <w:sz w:val="16"/>
          <w:szCs w:val="16"/>
        </w:rPr>
      </w:pPr>
      <w:r w:rsidRPr="00405303">
        <w:rPr>
          <w:bCs/>
          <w:color w:val="002060"/>
          <w:sz w:val="16"/>
          <w:szCs w:val="16"/>
        </w:rPr>
        <w:t>5 (18) октября 1915 начало третьей битвы при Изонцо. Он продлится до 3 ноября, и во время боя итальянская авиация внесет свой первый вклад в наземную войну Италии (20338).</w:t>
      </w:r>
    </w:p>
    <w:p w14:paraId="701E9E4B" w14:textId="77777777" w:rsidR="00E77927" w:rsidRPr="00405303" w:rsidRDefault="00E77927" w:rsidP="00C15251">
      <w:pPr>
        <w:jc w:val="both"/>
        <w:rPr>
          <w:bCs/>
          <w:color w:val="002060"/>
          <w:sz w:val="16"/>
          <w:szCs w:val="16"/>
        </w:rPr>
      </w:pPr>
    </w:p>
    <w:p w14:paraId="275A25B7" w14:textId="77777777" w:rsidR="002409C9" w:rsidRPr="00405303" w:rsidRDefault="002409C9"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4865B5E5" w14:textId="77777777" w:rsidR="002409C9" w:rsidRPr="00405303" w:rsidRDefault="002409C9" w:rsidP="00C15251">
      <w:pPr>
        <w:shd w:val="clear" w:color="auto" w:fill="FFFFFF"/>
        <w:jc w:val="both"/>
        <w:rPr>
          <w:bCs/>
          <w:i/>
          <w:color w:val="002060"/>
          <w:sz w:val="16"/>
          <w:szCs w:val="16"/>
        </w:rPr>
      </w:pPr>
    </w:p>
    <w:p w14:paraId="00FFF8EC" w14:textId="77777777" w:rsidR="002409C9" w:rsidRPr="00405303" w:rsidRDefault="002409C9" w:rsidP="00C15251">
      <w:pPr>
        <w:jc w:val="both"/>
        <w:rPr>
          <w:bCs/>
          <w:color w:val="002060"/>
          <w:sz w:val="16"/>
          <w:szCs w:val="16"/>
        </w:rPr>
      </w:pPr>
      <w:r w:rsidRPr="00405303">
        <w:rPr>
          <w:bCs/>
          <w:color w:val="002060"/>
          <w:sz w:val="16"/>
          <w:szCs w:val="16"/>
        </w:rPr>
        <w:t>6 (19) октября 1915 года был заключен договор товарищества на вере "Об учреждении Торгового дома "Васильев и К°" для приобретения и эксплуатации нового изобретения "Карболит" и ему подобных продуктов". 26 октября 1916 года Московским губернским правлением было выдано Свидетельство в том, что Торговому дому "Васильев и К°" разрешается "содержание завода для диэлектрического материала под названием "Карболит". Завод располагался в двухэтажном здании, имел механическую мастерскую и химическое отделение. Работало на нем 100 человек.</w:t>
      </w:r>
    </w:p>
    <w:p w14:paraId="76FD2A55" w14:textId="77777777" w:rsidR="002409C9" w:rsidRPr="00405303" w:rsidRDefault="002409C9" w:rsidP="00C15251">
      <w:pPr>
        <w:jc w:val="both"/>
        <w:rPr>
          <w:bCs/>
          <w:color w:val="002060"/>
          <w:sz w:val="16"/>
          <w:szCs w:val="16"/>
        </w:rPr>
      </w:pPr>
    </w:p>
    <w:p w14:paraId="694DEC59"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6D71063E" w14:textId="77777777" w:rsidR="004B4E35" w:rsidRPr="00405303" w:rsidRDefault="004B4E35" w:rsidP="00C15251">
      <w:pPr>
        <w:shd w:val="clear" w:color="auto" w:fill="FFFFFF"/>
        <w:jc w:val="both"/>
        <w:rPr>
          <w:bCs/>
          <w:i/>
          <w:color w:val="002060"/>
          <w:sz w:val="16"/>
          <w:szCs w:val="16"/>
        </w:rPr>
      </w:pPr>
    </w:p>
    <w:p w14:paraId="240978A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 (19</w:t>
      </w:r>
      <w:proofErr w:type="gramStart"/>
      <w:r w:rsidRPr="00405303">
        <w:rPr>
          <w:bCs/>
          <w:color w:val="002060"/>
          <w:sz w:val="16"/>
          <w:szCs w:val="16"/>
        </w:rPr>
        <w:t>) .октября</w:t>
      </w:r>
      <w:proofErr w:type="gramEnd"/>
      <w:r w:rsidRPr="00405303">
        <w:rPr>
          <w:bCs/>
          <w:color w:val="002060"/>
          <w:sz w:val="16"/>
          <w:szCs w:val="16"/>
        </w:rPr>
        <w:t xml:space="preserve"> 1915 над городом Бауска, в 50 км от линии фронта, на воздушном корабле "Илья Муромец Киевский" остановились все «етыре мотора, из-за замерзания отстоявшейся в бензопроводах воды, не замеченной своевременно. Командир корабля И.С.Башко раз</w:t>
      </w:r>
      <w:r w:rsidRPr="00405303">
        <w:rPr>
          <w:bCs/>
          <w:color w:val="002060"/>
          <w:sz w:val="16"/>
          <w:szCs w:val="16"/>
        </w:rPr>
        <w:softHyphen/>
        <w:t xml:space="preserve">вернулся и стал планировать в сторону русских </w:t>
      </w:r>
      <w:proofErr w:type="gramStart"/>
      <w:r w:rsidRPr="00405303">
        <w:rPr>
          <w:bCs/>
          <w:color w:val="002060"/>
          <w:sz w:val="16"/>
          <w:szCs w:val="16"/>
        </w:rPr>
        <w:t>позиций.Его</w:t>
      </w:r>
      <w:proofErr w:type="gramEnd"/>
      <w:r w:rsidRPr="00405303">
        <w:rPr>
          <w:bCs/>
          <w:color w:val="002060"/>
          <w:sz w:val="16"/>
          <w:szCs w:val="16"/>
        </w:rPr>
        <w:t xml:space="preserve"> по-иощник штабс-ротмистр А.В.Соредницкий и артиллерийский офицер А.А.Наумов стали руками отогревать трубки. С большим трудом </w:t>
      </w:r>
      <w:r w:rsidRPr="00405303">
        <w:rPr>
          <w:bCs/>
          <w:i/>
          <w:color w:val="002060"/>
          <w:sz w:val="16"/>
          <w:szCs w:val="16"/>
        </w:rPr>
        <w:t>удалось запустить два мотора, но и они работали с перебоями. Н</w:t>
      </w:r>
      <w:r w:rsidRPr="00405303">
        <w:rPr>
          <w:bCs/>
          <w:color w:val="002060"/>
          <w:sz w:val="16"/>
          <w:szCs w:val="16"/>
        </w:rPr>
        <w:t xml:space="preserve">а этих двух моторах Башко перелетел на высоте 100 м неприятель-зкие позиции под ожесточенным пулеметным и ружейным огнем и {благополучно приземлился на своей территории. Так благодаря хладнокровию командира корабля и дружной работе всего экипажа воздушный корабль </w:t>
      </w:r>
      <w:proofErr w:type="gramStart"/>
      <w:r w:rsidRPr="00405303">
        <w:rPr>
          <w:bCs/>
          <w:color w:val="002060"/>
          <w:sz w:val="16"/>
          <w:szCs w:val="16"/>
        </w:rPr>
        <w:t>был спасен</w:t>
      </w:r>
      <w:proofErr w:type="gramEnd"/>
      <w:r w:rsidRPr="00405303">
        <w:rPr>
          <w:bCs/>
          <w:color w:val="002060"/>
          <w:sz w:val="16"/>
          <w:szCs w:val="16"/>
        </w:rPr>
        <w:t xml:space="preserve"> и никто из экипажа не пострадал. (К.Н.Финне. Русские воздушные богатыри И.И.Сикорского, 1930 </w:t>
      </w:r>
      <w:proofErr w:type="gramStart"/>
      <w:r w:rsidRPr="00405303">
        <w:rPr>
          <w:bCs/>
          <w:color w:val="002060"/>
          <w:sz w:val="16"/>
          <w:szCs w:val="16"/>
        </w:rPr>
        <w:t>г.,стр.</w:t>
      </w:r>
      <w:proofErr w:type="gramEnd"/>
      <w:r w:rsidRPr="00405303">
        <w:rPr>
          <w:bCs/>
          <w:color w:val="002060"/>
          <w:sz w:val="16"/>
          <w:szCs w:val="16"/>
        </w:rPr>
        <w:t>94).</w:t>
      </w:r>
    </w:p>
    <w:p w14:paraId="1A666986" w14:textId="77777777" w:rsidR="004B4E35" w:rsidRPr="00405303" w:rsidRDefault="004B4E35" w:rsidP="00C15251">
      <w:pPr>
        <w:shd w:val="clear" w:color="auto" w:fill="FFFFFF"/>
        <w:jc w:val="both"/>
        <w:rPr>
          <w:bCs/>
          <w:color w:val="002060"/>
          <w:sz w:val="16"/>
          <w:szCs w:val="16"/>
        </w:rPr>
      </w:pPr>
    </w:p>
    <w:p w14:paraId="65EAFEC3" w14:textId="388E58E6" w:rsidR="004B4E35" w:rsidRPr="00405303" w:rsidRDefault="009E6F82" w:rsidP="00C15251">
      <w:pPr>
        <w:jc w:val="both"/>
        <w:rPr>
          <w:bCs/>
          <w:color w:val="002060"/>
          <w:sz w:val="16"/>
          <w:szCs w:val="16"/>
        </w:rPr>
      </w:pPr>
      <w:r w:rsidRPr="00405303">
        <w:rPr>
          <w:bCs/>
          <w:color w:val="002060"/>
          <w:sz w:val="16"/>
          <w:szCs w:val="16"/>
        </w:rPr>
        <w:t xml:space="preserve">6 (19) октября </w:t>
      </w:r>
      <w:r w:rsidR="001113A6" w:rsidRPr="00405303">
        <w:rPr>
          <w:bCs/>
          <w:color w:val="002060"/>
          <w:sz w:val="16"/>
          <w:szCs w:val="16"/>
        </w:rPr>
        <w:t>1915 г.</w:t>
      </w:r>
      <w:r w:rsidRPr="00405303">
        <w:rPr>
          <w:bCs/>
          <w:color w:val="002060"/>
          <w:sz w:val="16"/>
          <w:szCs w:val="16"/>
        </w:rPr>
        <w:t xml:space="preserve"> </w:t>
      </w:r>
      <w:r w:rsidR="001113A6" w:rsidRPr="00405303">
        <w:rPr>
          <w:bCs/>
          <w:color w:val="002060"/>
          <w:sz w:val="16"/>
          <w:szCs w:val="16"/>
        </w:rPr>
        <w:t>н</w:t>
      </w:r>
      <w:r w:rsidRPr="00405303">
        <w:rPr>
          <w:bCs/>
          <w:color w:val="002060"/>
          <w:sz w:val="16"/>
          <w:szCs w:val="16"/>
        </w:rPr>
        <w:t>ад городом Баусский, в 50 км от линии фронта, все четыре двигателя "ИМ-Киевского" остановились; замерзла вода, попавшая в бензопроводы. Штабс-капитан Башко, пилотировавший "ИМ-Киевский", повернул назад и начал планирование в сторону русских траншей. Два члена экипажа, артиллерийский офицер штабс-капитан Наумов и унтер-офицер А. В. Середницкий, заместитель командира, попытались отогреть замерзшие бензопроводы.</w:t>
      </w:r>
    </w:p>
    <w:p w14:paraId="033C6AD1" w14:textId="77777777" w:rsidR="004B4E35" w:rsidRPr="00405303" w:rsidRDefault="009E6F82" w:rsidP="00C15251">
      <w:pPr>
        <w:jc w:val="both"/>
        <w:rPr>
          <w:bCs/>
          <w:color w:val="002060"/>
          <w:sz w:val="16"/>
          <w:szCs w:val="16"/>
        </w:rPr>
      </w:pPr>
      <w:r w:rsidRPr="00405303">
        <w:rPr>
          <w:bCs/>
          <w:color w:val="002060"/>
          <w:sz w:val="16"/>
          <w:szCs w:val="16"/>
        </w:rPr>
        <w:t>Экипажу с большими трудностями удалось запустить два двигателя, но они работали неустойчиво. Чтобы облегчить самолет, экипаж сбросил не только бомбы, но также пулеметы и боеприпасы к ним. "ИМ-Киевский" с двумя работающими двигателями пролетел над вражескими траншеями на высоте всего 100 м. Немцы заметили неуклюже летящий русский аэроплан и открыли огонь из винтовок и пулеметов. В "ИМ-Киевский" попало более 60 пуль, но большинство из них пробили хвост самолета, что позволило экипажу избежать ранений. Перелетев через линию фронта "ИМ-Киевский" благополучно приземлился на русской территории у города Олаи.</w:t>
      </w:r>
    </w:p>
    <w:p w14:paraId="3FDA7D96" w14:textId="77777777" w:rsidR="004B4E35" w:rsidRPr="00405303" w:rsidRDefault="009E6F82" w:rsidP="00C15251">
      <w:pPr>
        <w:jc w:val="both"/>
        <w:rPr>
          <w:bCs/>
          <w:color w:val="002060"/>
          <w:sz w:val="16"/>
          <w:szCs w:val="16"/>
        </w:rPr>
      </w:pPr>
      <w:r w:rsidRPr="00405303">
        <w:rPr>
          <w:bCs/>
          <w:color w:val="002060"/>
          <w:sz w:val="16"/>
          <w:szCs w:val="16"/>
        </w:rPr>
        <w:t>Когда "ИМ-Киевский" приземлился, русские солдаты (сибирские стрелки) бросились к самолету, думая, что это германские шпионы. Несмотря на то, что кто-то из экипажа обнял от радости одного из солдат, те упрямо продолжали считать летчиков германскими шпионами и угрожали застрелить их на месте.</w:t>
      </w:r>
    </w:p>
    <w:p w14:paraId="3C10BD09" w14:textId="77777777" w:rsidR="004B4E35" w:rsidRPr="00405303" w:rsidRDefault="009E6F82" w:rsidP="00C15251">
      <w:pPr>
        <w:jc w:val="both"/>
        <w:rPr>
          <w:bCs/>
          <w:color w:val="002060"/>
          <w:sz w:val="16"/>
          <w:szCs w:val="16"/>
        </w:rPr>
      </w:pPr>
      <w:r w:rsidRPr="00405303">
        <w:rPr>
          <w:bCs/>
          <w:color w:val="002060"/>
          <w:sz w:val="16"/>
          <w:szCs w:val="16"/>
        </w:rPr>
        <w:t>Этот случай свидетельствует о широко распространенной уже к этому моменту практике заброски шпионов в глубокий тыл посредством авиации не только со стороны французов (11999).</w:t>
      </w:r>
    </w:p>
    <w:p w14:paraId="6930CF12" w14:textId="77777777" w:rsidR="004B4E35" w:rsidRPr="00405303" w:rsidRDefault="004B4E35" w:rsidP="00C15251">
      <w:pPr>
        <w:jc w:val="both"/>
        <w:rPr>
          <w:bCs/>
          <w:color w:val="002060"/>
          <w:sz w:val="16"/>
          <w:szCs w:val="16"/>
        </w:rPr>
      </w:pPr>
    </w:p>
    <w:p w14:paraId="4581ADFC" w14:textId="77777777" w:rsidR="00F4350B" w:rsidRPr="00405303" w:rsidRDefault="00F4350B" w:rsidP="00C15251">
      <w:pPr>
        <w:jc w:val="both"/>
        <w:rPr>
          <w:bCs/>
          <w:color w:val="002060"/>
          <w:sz w:val="16"/>
          <w:szCs w:val="16"/>
        </w:rPr>
      </w:pPr>
      <w:r w:rsidRPr="00405303">
        <w:rPr>
          <w:bCs/>
          <w:color w:val="002060"/>
          <w:sz w:val="16"/>
          <w:szCs w:val="16"/>
        </w:rPr>
        <w:t xml:space="preserve">6 (19) октября 1915 г. над Бауска, в 50 км </w:t>
      </w:r>
      <w:proofErr w:type="gramStart"/>
      <w:r w:rsidRPr="00405303">
        <w:rPr>
          <w:bCs/>
          <w:color w:val="002060"/>
          <w:sz w:val="16"/>
          <w:szCs w:val="16"/>
        </w:rPr>
        <w:t>от линия</w:t>
      </w:r>
      <w:proofErr w:type="gramEnd"/>
      <w:r w:rsidRPr="00405303">
        <w:rPr>
          <w:bCs/>
          <w:color w:val="002060"/>
          <w:sz w:val="16"/>
          <w:szCs w:val="16"/>
        </w:rPr>
        <w:t xml:space="preserve"> фронта на воздушном трабле “Илья Муромец Киевский” остановились все четыре мотора вследствие- замерзания отстоявшейся в бензопроводах воды, не замеченной своевременно. Командир корабля И. С. Башко развернулся и стал планировать в сторону русских позиций. Его помощник шт.-ротмистр А.В.Середницкий и артиллерийский офицер А.А.Наумов стали руками отогревать трубки. С большим трудом удалось запустить два мотора, но и они работали с перебоями. На двух моторах Башко перелетел на высоте 100 м неприятельские позиции под ожесточенным пуле</w:t>
      </w:r>
      <w:r w:rsidRPr="00405303">
        <w:rPr>
          <w:bCs/>
          <w:color w:val="002060"/>
          <w:sz w:val="16"/>
          <w:szCs w:val="16"/>
        </w:rPr>
        <w:softHyphen/>
        <w:t xml:space="preserve">метным и ружейным огнем и </w:t>
      </w:r>
      <w:r w:rsidRPr="00405303">
        <w:rPr>
          <w:bCs/>
          <w:color w:val="002060"/>
          <w:sz w:val="16"/>
          <w:szCs w:val="16"/>
        </w:rPr>
        <w:lastRenderedPageBreak/>
        <w:t>благополучно приземлился на своей тер</w:t>
      </w:r>
      <w:r w:rsidRPr="00405303">
        <w:rPr>
          <w:bCs/>
          <w:color w:val="002060"/>
          <w:sz w:val="16"/>
          <w:szCs w:val="16"/>
        </w:rPr>
        <w:softHyphen/>
        <w:t xml:space="preserve">ритории. Так, благодаря хладнокровию командира корабля и дружной работе всего экипажа, воздушный корабль </w:t>
      </w:r>
      <w:proofErr w:type="gramStart"/>
      <w:r w:rsidRPr="00405303">
        <w:rPr>
          <w:bCs/>
          <w:color w:val="002060"/>
          <w:sz w:val="16"/>
          <w:szCs w:val="16"/>
        </w:rPr>
        <w:t>был спасен</w:t>
      </w:r>
      <w:proofErr w:type="gramEnd"/>
      <w:r w:rsidRPr="00405303">
        <w:rPr>
          <w:bCs/>
          <w:color w:val="002060"/>
          <w:sz w:val="16"/>
          <w:szCs w:val="16"/>
        </w:rPr>
        <w:t xml:space="preserve"> и никто из экипажа не пострадал.</w:t>
      </w:r>
    </w:p>
    <w:p w14:paraId="1AFC739E" w14:textId="77777777" w:rsidR="00F4350B" w:rsidRPr="00405303" w:rsidRDefault="00F4350B" w:rsidP="00C15251">
      <w:pPr>
        <w:jc w:val="both"/>
        <w:rPr>
          <w:bCs/>
          <w:color w:val="002060"/>
          <w:sz w:val="16"/>
          <w:szCs w:val="16"/>
        </w:rPr>
      </w:pPr>
      <w:r w:rsidRPr="00405303">
        <w:rPr>
          <w:bCs/>
          <w:color w:val="002060"/>
          <w:sz w:val="16"/>
          <w:szCs w:val="16"/>
        </w:rPr>
        <w:t>/</w:t>
      </w:r>
      <w:proofErr w:type="gramStart"/>
      <w:r w:rsidRPr="00405303">
        <w:rPr>
          <w:bCs/>
          <w:color w:val="002060"/>
          <w:sz w:val="16"/>
          <w:szCs w:val="16"/>
        </w:rPr>
        <w:t>Л.Н.Финне.русские</w:t>
      </w:r>
      <w:proofErr w:type="gramEnd"/>
      <w:r w:rsidRPr="00405303">
        <w:rPr>
          <w:bCs/>
          <w:color w:val="002060"/>
          <w:sz w:val="16"/>
          <w:szCs w:val="16"/>
        </w:rPr>
        <w:t xml:space="preserve"> воздушные богатыри И.И.Сикорского, 1930, стр. 94/ (23320).</w:t>
      </w:r>
    </w:p>
    <w:p w14:paraId="61EC2A6C" w14:textId="77777777" w:rsidR="00F4350B" w:rsidRPr="00405303" w:rsidRDefault="00F4350B" w:rsidP="00C15251">
      <w:pPr>
        <w:jc w:val="both"/>
        <w:rPr>
          <w:bCs/>
          <w:color w:val="002060"/>
          <w:sz w:val="16"/>
          <w:szCs w:val="16"/>
        </w:rPr>
      </w:pPr>
    </w:p>
    <w:p w14:paraId="663778C6" w14:textId="77777777" w:rsidR="00450280" w:rsidRPr="00405303" w:rsidRDefault="00450280" w:rsidP="00C15251">
      <w:pPr>
        <w:jc w:val="both"/>
        <w:rPr>
          <w:bCs/>
          <w:color w:val="002060"/>
          <w:sz w:val="16"/>
          <w:szCs w:val="16"/>
        </w:rPr>
      </w:pPr>
      <w:r w:rsidRPr="00405303">
        <w:rPr>
          <w:bCs/>
          <w:color w:val="002060"/>
          <w:sz w:val="16"/>
          <w:szCs w:val="16"/>
        </w:rPr>
        <w:t>6 (19) октября 1915 г. приказом. начальника штаба ВГК № 117 Карский крепостной авиаотряд переименован в 1-й Кавказский авиационный отряд.</w:t>
      </w:r>
    </w:p>
    <w:p w14:paraId="79212110" w14:textId="77777777" w:rsidR="00450280" w:rsidRPr="00405303" w:rsidRDefault="00450280" w:rsidP="00C15251">
      <w:pPr>
        <w:jc w:val="both"/>
        <w:rPr>
          <w:bCs/>
          <w:color w:val="002060"/>
          <w:sz w:val="16"/>
          <w:szCs w:val="16"/>
        </w:rPr>
      </w:pPr>
      <w:r w:rsidRPr="00405303">
        <w:rPr>
          <w:bCs/>
          <w:color w:val="002060"/>
          <w:sz w:val="16"/>
          <w:szCs w:val="16"/>
        </w:rPr>
        <w:t>/ЦГВИА, ф. 2003, оп. 1, д. 1224/ (23320).</w:t>
      </w:r>
    </w:p>
    <w:p w14:paraId="06FE5A8D" w14:textId="77777777" w:rsidR="00450280" w:rsidRPr="00405303" w:rsidRDefault="00450280" w:rsidP="00C15251">
      <w:pPr>
        <w:jc w:val="both"/>
        <w:rPr>
          <w:bCs/>
          <w:color w:val="002060"/>
          <w:sz w:val="16"/>
          <w:szCs w:val="16"/>
        </w:rPr>
      </w:pPr>
    </w:p>
    <w:p w14:paraId="627A7D57" w14:textId="5449F388" w:rsidR="0075696C" w:rsidRPr="00405303" w:rsidRDefault="0075696C" w:rsidP="00C15251">
      <w:pPr>
        <w:jc w:val="both"/>
        <w:rPr>
          <w:bCs/>
          <w:color w:val="002060"/>
          <w:sz w:val="16"/>
          <w:szCs w:val="16"/>
        </w:rPr>
      </w:pPr>
      <w:r w:rsidRPr="00405303">
        <w:rPr>
          <w:bCs/>
          <w:color w:val="002060"/>
          <w:sz w:val="16"/>
          <w:szCs w:val="16"/>
          <w:lang w:bidi="en-US"/>
        </w:rPr>
        <w:t>6 (19) октября 1915 г. 5-я КАО начала движение поездом из Сеславино (штаб 1-й армии) в Николаев на побережье Черного моря. Он должен был быть придан штабу 5-го Кавказского корпуса, который готовился к морскому десанту в болгарском порту Бургас. Операцию отменили. Затем 5-й КАО присоединился к вновь сформированному 7-му авиационному батальону. 20 октября Приказом Верховного начальника штаба ЦИК № 117 Карсская крепость АО была переименована в 1-ю Кавказскую КАО (23525).</w:t>
      </w:r>
    </w:p>
    <w:p w14:paraId="10275776" w14:textId="77777777" w:rsidR="0075696C" w:rsidRPr="00405303" w:rsidRDefault="0075696C" w:rsidP="00C15251">
      <w:pPr>
        <w:jc w:val="both"/>
        <w:rPr>
          <w:bCs/>
          <w:color w:val="002060"/>
          <w:sz w:val="16"/>
          <w:szCs w:val="16"/>
        </w:rPr>
      </w:pPr>
    </w:p>
    <w:p w14:paraId="13F4F1D8" w14:textId="77777777" w:rsidR="001627A1" w:rsidRPr="00B52707" w:rsidRDefault="001627A1" w:rsidP="001627A1">
      <w:pPr>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6 (19) октября 1915 г. в районе ст. Столбцы огнем нашей артиллерии был подбит немецкий самолет, опустившийся в расположении русских войск. Оба неприятельских летчика взяты в плен (25135).</w:t>
      </w:r>
    </w:p>
    <w:p w14:paraId="36EEB68C" w14:textId="77777777" w:rsidR="001627A1" w:rsidRPr="00B52707" w:rsidRDefault="001627A1" w:rsidP="001627A1">
      <w:pPr>
        <w:jc w:val="both"/>
        <w:rPr>
          <w:rStyle w:val="aa"/>
          <w:rFonts w:ascii="Times New Roman" w:hAnsi="Times New Roman"/>
          <w:color w:val="0070C0"/>
          <w:spacing w:val="0"/>
          <w:sz w:val="16"/>
          <w:szCs w:val="16"/>
        </w:rPr>
      </w:pPr>
    </w:p>
    <w:p w14:paraId="1084C65A" w14:textId="77777777" w:rsidR="00D92A40" w:rsidRPr="00405303" w:rsidRDefault="00D92A40" w:rsidP="00C15251">
      <w:pPr>
        <w:jc w:val="both"/>
        <w:rPr>
          <w:bCs/>
          <w:i/>
          <w:color w:val="002060"/>
          <w:sz w:val="16"/>
          <w:szCs w:val="16"/>
        </w:rPr>
      </w:pPr>
      <w:r w:rsidRPr="00405303">
        <w:rPr>
          <w:bCs/>
          <w:i/>
          <w:color w:val="002060"/>
          <w:sz w:val="16"/>
          <w:szCs w:val="16"/>
        </w:rPr>
        <w:t>За рубежом:</w:t>
      </w:r>
    </w:p>
    <w:p w14:paraId="50BA11E2" w14:textId="77777777" w:rsidR="00D92A40" w:rsidRPr="00405303" w:rsidRDefault="00D92A40" w:rsidP="00C15251">
      <w:pPr>
        <w:jc w:val="both"/>
        <w:rPr>
          <w:bCs/>
          <w:color w:val="002060"/>
          <w:sz w:val="16"/>
          <w:szCs w:val="16"/>
        </w:rPr>
      </w:pPr>
    </w:p>
    <w:p w14:paraId="0D4CE4DE" w14:textId="77777777" w:rsidR="00D92A40" w:rsidRPr="00405303" w:rsidRDefault="00D92A40" w:rsidP="00C15251">
      <w:pPr>
        <w:jc w:val="both"/>
        <w:rPr>
          <w:bCs/>
          <w:color w:val="002060"/>
          <w:sz w:val="16"/>
          <w:szCs w:val="16"/>
        </w:rPr>
      </w:pPr>
      <w:r w:rsidRPr="00405303">
        <w:rPr>
          <w:rStyle w:val="ucoz-forum-post"/>
          <w:rFonts w:eastAsiaTheme="majorEastAsia"/>
          <w:bCs/>
          <w:color w:val="002060"/>
          <w:sz w:val="16"/>
          <w:szCs w:val="16"/>
        </w:rPr>
        <w:t xml:space="preserve">6 (19) октября </w:t>
      </w:r>
      <w:r w:rsidRPr="00405303">
        <w:rPr>
          <w:bCs/>
          <w:color w:val="002060"/>
          <w:sz w:val="16"/>
          <w:szCs w:val="16"/>
        </w:rPr>
        <w:t>в 1915 году Япония подписывает Лондонский договор, заверив остальных участников, что не будет вести сепаратных мирных переговоров с противной стороной (14804).</w:t>
      </w:r>
    </w:p>
    <w:p w14:paraId="59F4E35A" w14:textId="77777777" w:rsidR="00D92A40" w:rsidRPr="00405303" w:rsidRDefault="00D92A40" w:rsidP="00C15251">
      <w:pPr>
        <w:jc w:val="both"/>
        <w:rPr>
          <w:bCs/>
          <w:color w:val="002060"/>
          <w:sz w:val="16"/>
          <w:szCs w:val="16"/>
        </w:rPr>
      </w:pPr>
    </w:p>
    <w:p w14:paraId="22C2D135"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Армия:</w:t>
      </w:r>
    </w:p>
    <w:p w14:paraId="26E0AC1B" w14:textId="77777777" w:rsidR="004B4E35" w:rsidRPr="00405303" w:rsidRDefault="004B4E35" w:rsidP="00C15251">
      <w:pPr>
        <w:shd w:val="clear" w:color="auto" w:fill="FFFFFF"/>
        <w:jc w:val="both"/>
        <w:rPr>
          <w:bCs/>
          <w:i/>
          <w:color w:val="002060"/>
          <w:sz w:val="16"/>
          <w:szCs w:val="16"/>
        </w:rPr>
      </w:pPr>
    </w:p>
    <w:p w14:paraId="747973A0" w14:textId="3A9BB7CF" w:rsidR="004B4E35" w:rsidRPr="00405303" w:rsidRDefault="001113A6"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начале октября</w:t>
      </w:r>
      <w:r w:rsidRPr="00405303">
        <w:rPr>
          <w:bCs/>
          <w:color w:val="002060"/>
          <w:sz w:val="16"/>
          <w:szCs w:val="16"/>
        </w:rPr>
        <w:t xml:space="preserve"> 1915 г</w:t>
      </w:r>
      <w:r w:rsidR="009E6F82" w:rsidRPr="00405303">
        <w:rPr>
          <w:bCs/>
          <w:color w:val="002060"/>
          <w:sz w:val="16"/>
          <w:szCs w:val="16"/>
        </w:rPr>
        <w:t>.</w:t>
      </w:r>
      <w:r w:rsidRPr="00405303">
        <w:rPr>
          <w:bCs/>
          <w:color w:val="002060"/>
          <w:sz w:val="16"/>
          <w:szCs w:val="16"/>
        </w:rPr>
        <w:t xml:space="preserve"> смогли прибыть штабс-капитаны Башкой и Нижевский. Только в сентябре 1915 года из Эскадры был выделен боевой отряд на Северный фронт в распоряжение штаба 12-й армии. Первым на аэродром у станции Зегевольд (под Ригой) прилетел Панкратьев, а через несколько дней Алехнович и Лавров</w:t>
      </w:r>
    </w:p>
    <w:p w14:paraId="7255A740" w14:textId="77777777" w:rsidR="004B4E35" w:rsidRPr="00405303" w:rsidRDefault="009E6F82" w:rsidP="00C15251">
      <w:pPr>
        <w:jc w:val="both"/>
        <w:rPr>
          <w:bCs/>
          <w:color w:val="002060"/>
          <w:sz w:val="16"/>
          <w:szCs w:val="16"/>
        </w:rPr>
      </w:pPr>
      <w:r w:rsidRPr="00405303">
        <w:rPr>
          <w:bCs/>
          <w:color w:val="002060"/>
          <w:sz w:val="16"/>
          <w:szCs w:val="16"/>
        </w:rPr>
        <w:t>Боевая работа отряда в Зегевольде началась с полёта штабс-капитана Панкратьева на II корабле (№ 167). Захватив с собой пять бомб, корабль слетал "посмотреть" на Митаву. Встреченный и обстрелянный на обратном пути "Альбатрос" не проявил враждебности. Второй вылет "Илья Муромец И" тоже совершил в одиночестве. Захватив на борт семь двухпудовых и шесть пудовых бомб, аппарат направился громить артиллерийские склады у мызы Вальгоф. Из-за плохой видимости последние, на их счастье, не были обнаружены и уцелели (12041).</w:t>
      </w:r>
    </w:p>
    <w:p w14:paraId="5AFE3244" w14:textId="77777777" w:rsidR="004B4E35" w:rsidRPr="00405303" w:rsidRDefault="004B4E35" w:rsidP="00C15251">
      <w:pPr>
        <w:jc w:val="both"/>
        <w:rPr>
          <w:bCs/>
          <w:color w:val="002060"/>
          <w:sz w:val="16"/>
          <w:szCs w:val="16"/>
        </w:rPr>
      </w:pPr>
    </w:p>
    <w:p w14:paraId="64DB49D2"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4BABE570" w14:textId="77777777" w:rsidR="004B4E35" w:rsidRPr="00405303" w:rsidRDefault="004B4E35" w:rsidP="00C15251">
      <w:pPr>
        <w:shd w:val="clear" w:color="auto" w:fill="FFFFFF"/>
        <w:jc w:val="both"/>
        <w:rPr>
          <w:bCs/>
          <w:i/>
          <w:color w:val="002060"/>
          <w:sz w:val="16"/>
          <w:szCs w:val="16"/>
        </w:rPr>
      </w:pPr>
    </w:p>
    <w:p w14:paraId="1C8DE5F6" w14:textId="77777777" w:rsidR="004B4E35" w:rsidRPr="00405303" w:rsidRDefault="009E6F82" w:rsidP="00C15251">
      <w:pPr>
        <w:jc w:val="both"/>
        <w:rPr>
          <w:bCs/>
          <w:color w:val="002060"/>
          <w:sz w:val="16"/>
          <w:szCs w:val="16"/>
        </w:rPr>
      </w:pPr>
      <w:r w:rsidRPr="00405303">
        <w:rPr>
          <w:bCs/>
          <w:color w:val="002060"/>
          <w:sz w:val="16"/>
          <w:szCs w:val="16"/>
        </w:rPr>
        <w:t>В конце сентября и в начале октября 1914 года первые воздушные налеты противника были произведены на эллинги в Дюссельдорфе и на газовые заводы в Кельне. Они так же мало повлияли на изменение принятого способа противовоздушной обороны, как и налеты в середине ноября на верфи Цеппелина в Фридрихсгафене. Причина заключалась в том, что не существовало единого центра управления средствами противовоздушной обороны, который мог бы собирать и систематизировать весь соответствующий материал. К тому же считалось, что далеко выдвинутая вперед линия западного фронта оградит тыл от воздушных нападений. Перемена взглядов на защиту от нападений с воздуха произошла лишь после налета на Фрейбург в декабре 1914 года, повлекшего за собой большое количество человеческих жертв. После этого всеми заинтересованными лицами, а в первую очередь руководителями военной промышленности, был поднят вопрос о противовоздушной обороне: предъявлено требование своевременного предупреждения о налетах вражеской авиации, что удовлетворяло потребности армии и населения (11282).</w:t>
      </w:r>
    </w:p>
    <w:p w14:paraId="0ABBD3E7" w14:textId="77777777" w:rsidR="004B4E35" w:rsidRPr="00405303" w:rsidRDefault="004B4E35" w:rsidP="00C15251">
      <w:pPr>
        <w:jc w:val="both"/>
        <w:rPr>
          <w:bCs/>
          <w:color w:val="002060"/>
          <w:sz w:val="16"/>
          <w:szCs w:val="16"/>
        </w:rPr>
      </w:pPr>
    </w:p>
    <w:p w14:paraId="62BD0DF9"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09CDE71F" w14:textId="77777777" w:rsidR="004B4E35" w:rsidRPr="00405303" w:rsidRDefault="004B4E35" w:rsidP="00C15251">
      <w:pPr>
        <w:shd w:val="clear" w:color="auto" w:fill="FFFFFF"/>
        <w:jc w:val="both"/>
        <w:rPr>
          <w:bCs/>
          <w:i/>
          <w:color w:val="002060"/>
          <w:sz w:val="16"/>
          <w:szCs w:val="16"/>
        </w:rPr>
      </w:pPr>
    </w:p>
    <w:p w14:paraId="3B2845B0" w14:textId="7E740CC9" w:rsidR="00234C51" w:rsidRPr="00405303" w:rsidRDefault="00234C51" w:rsidP="00C15251">
      <w:pPr>
        <w:pStyle w:val="a5"/>
        <w:rPr>
          <w:bCs/>
          <w:color w:val="002060"/>
          <w:sz w:val="16"/>
          <w:szCs w:val="16"/>
          <w:lang w:val="ru-RU"/>
        </w:rPr>
      </w:pPr>
      <w:r w:rsidRPr="00405303">
        <w:rPr>
          <w:bCs/>
          <w:color w:val="002060"/>
          <w:sz w:val="16"/>
          <w:szCs w:val="16"/>
          <w:lang w:val="ru-RU"/>
        </w:rPr>
        <w:t xml:space="preserve">7 </w:t>
      </w:r>
      <w:r w:rsidR="001113A6" w:rsidRPr="00405303">
        <w:rPr>
          <w:bCs/>
          <w:color w:val="002060"/>
          <w:sz w:val="16"/>
          <w:szCs w:val="16"/>
          <w:lang w:val="ru-RU"/>
        </w:rPr>
        <w:t xml:space="preserve">(20) </w:t>
      </w:r>
      <w:r w:rsidRPr="00405303">
        <w:rPr>
          <w:bCs/>
          <w:color w:val="002060"/>
          <w:sz w:val="16"/>
          <w:szCs w:val="16"/>
          <w:lang w:val="ru-RU"/>
        </w:rPr>
        <w:t>ок</w:t>
      </w:r>
      <w:r w:rsidRPr="00405303">
        <w:rPr>
          <w:bCs/>
          <w:color w:val="002060"/>
          <w:sz w:val="16"/>
          <w:szCs w:val="16"/>
          <w:lang w:val="ru-RU"/>
        </w:rPr>
        <w:softHyphen/>
        <w:t xml:space="preserve">тября 1915 г. </w:t>
      </w:r>
      <w:r w:rsidR="001113A6" w:rsidRPr="00405303">
        <w:rPr>
          <w:bCs/>
          <w:color w:val="002060"/>
          <w:sz w:val="16"/>
          <w:szCs w:val="16"/>
          <w:lang w:val="ru-RU"/>
        </w:rPr>
        <w:t>одоб</w:t>
      </w:r>
      <w:r w:rsidR="001113A6" w:rsidRPr="00405303">
        <w:rPr>
          <w:bCs/>
          <w:color w:val="002060"/>
          <w:sz w:val="16"/>
          <w:szCs w:val="16"/>
          <w:lang w:val="ru-RU"/>
        </w:rPr>
        <w:softHyphen/>
        <w:t>ренную Морским генеральным шта</w:t>
      </w:r>
      <w:r w:rsidR="001113A6" w:rsidRPr="00405303">
        <w:rPr>
          <w:bCs/>
          <w:color w:val="002060"/>
          <w:sz w:val="16"/>
          <w:szCs w:val="16"/>
          <w:lang w:val="ru-RU"/>
        </w:rPr>
        <w:softHyphen/>
        <w:t>бом программу курса на прапор</w:t>
      </w:r>
      <w:r w:rsidR="001113A6" w:rsidRPr="00405303">
        <w:rPr>
          <w:bCs/>
          <w:color w:val="002060"/>
          <w:sz w:val="16"/>
          <w:szCs w:val="16"/>
          <w:lang w:val="ru-RU"/>
        </w:rPr>
        <w:softHyphen/>
        <w:t xml:space="preserve">щика по авиационной части </w:t>
      </w:r>
      <w:r w:rsidRPr="00405303">
        <w:rPr>
          <w:bCs/>
          <w:color w:val="002060"/>
          <w:sz w:val="16"/>
          <w:szCs w:val="16"/>
          <w:lang w:val="ru-RU"/>
        </w:rPr>
        <w:t>направили на флоты для руководства</w:t>
      </w:r>
      <w:r w:rsidR="001113A6" w:rsidRPr="00405303">
        <w:rPr>
          <w:bCs/>
          <w:color w:val="002060"/>
          <w:sz w:val="16"/>
          <w:szCs w:val="16"/>
          <w:lang w:val="ru-RU"/>
        </w:rPr>
        <w:t>. В марте 1914 г. черноморцы обратились в Морской генераль</w:t>
      </w:r>
      <w:r w:rsidR="001113A6" w:rsidRPr="00405303">
        <w:rPr>
          <w:bCs/>
          <w:color w:val="002060"/>
          <w:sz w:val="16"/>
          <w:szCs w:val="16"/>
          <w:lang w:val="ru-RU"/>
        </w:rPr>
        <w:softHyphen/>
        <w:t>ный штаб, предложив готовить мор</w:t>
      </w:r>
      <w:r w:rsidR="001113A6" w:rsidRPr="00405303">
        <w:rPr>
          <w:bCs/>
          <w:color w:val="002060"/>
          <w:sz w:val="16"/>
          <w:szCs w:val="16"/>
          <w:lang w:val="ru-RU"/>
        </w:rPr>
        <w:softHyphen/>
        <w:t>ских летчиков из кондукторов фло</w:t>
      </w:r>
      <w:r w:rsidR="001113A6" w:rsidRPr="00405303">
        <w:rPr>
          <w:bCs/>
          <w:color w:val="002060"/>
          <w:sz w:val="16"/>
          <w:szCs w:val="16"/>
          <w:lang w:val="ru-RU"/>
        </w:rPr>
        <w:softHyphen/>
        <w:t>та. В том же году на флоте ввели воинское звание прапорщик по авиационной части. Оно присваи</w:t>
      </w:r>
      <w:r w:rsidR="001113A6" w:rsidRPr="00405303">
        <w:rPr>
          <w:bCs/>
          <w:color w:val="002060"/>
          <w:sz w:val="16"/>
          <w:szCs w:val="16"/>
          <w:lang w:val="ru-RU"/>
        </w:rPr>
        <w:softHyphen/>
        <w:t>валось лицам со средним образо</w:t>
      </w:r>
      <w:r w:rsidR="001113A6" w:rsidRPr="00405303">
        <w:rPr>
          <w:bCs/>
          <w:color w:val="002060"/>
          <w:sz w:val="16"/>
          <w:szCs w:val="16"/>
          <w:lang w:val="ru-RU"/>
        </w:rPr>
        <w:softHyphen/>
        <w:t>ванием, сдавшим теоретический экзамен по программе подготовки на звание военного летчика.</w:t>
      </w:r>
      <w:r w:rsidR="000F5756">
        <w:rPr>
          <w:bCs/>
          <w:color w:val="002060"/>
          <w:sz w:val="16"/>
          <w:szCs w:val="16"/>
          <w:lang w:val="ru-RU"/>
        </w:rPr>
        <w:t xml:space="preserve"> </w:t>
      </w:r>
      <w:r w:rsidRPr="00405303">
        <w:rPr>
          <w:bCs/>
          <w:color w:val="002060"/>
          <w:sz w:val="16"/>
          <w:szCs w:val="16"/>
          <w:lang w:val="ru-RU"/>
        </w:rPr>
        <w:t>(11924).</w:t>
      </w:r>
    </w:p>
    <w:p w14:paraId="130637F9" w14:textId="336A302E" w:rsidR="00234C51" w:rsidRPr="00405303" w:rsidRDefault="00234C51" w:rsidP="00C15251">
      <w:pPr>
        <w:pStyle w:val="a5"/>
        <w:rPr>
          <w:bCs/>
          <w:color w:val="002060"/>
          <w:sz w:val="16"/>
          <w:szCs w:val="16"/>
          <w:lang w:val="ru-RU"/>
        </w:rPr>
      </w:pPr>
    </w:p>
    <w:p w14:paraId="3A62E2B8" w14:textId="5786C543" w:rsidR="00561E17" w:rsidRPr="00405303" w:rsidRDefault="00561E17" w:rsidP="00561E17">
      <w:pPr>
        <w:jc w:val="both"/>
        <w:rPr>
          <w:bCs/>
          <w:i/>
          <w:color w:val="002060"/>
          <w:sz w:val="16"/>
          <w:szCs w:val="16"/>
        </w:rPr>
      </w:pPr>
      <w:r>
        <w:rPr>
          <w:bCs/>
          <w:i/>
          <w:color w:val="002060"/>
          <w:sz w:val="16"/>
          <w:szCs w:val="16"/>
        </w:rPr>
        <w:t>Другие оборонные отрасли</w:t>
      </w:r>
      <w:r w:rsidRPr="00405303">
        <w:rPr>
          <w:bCs/>
          <w:i/>
          <w:color w:val="002060"/>
          <w:sz w:val="16"/>
          <w:szCs w:val="16"/>
        </w:rPr>
        <w:t>:</w:t>
      </w:r>
    </w:p>
    <w:p w14:paraId="7EA0712D" w14:textId="77777777" w:rsidR="00561E17" w:rsidRPr="00405303" w:rsidRDefault="00561E17" w:rsidP="00561E17">
      <w:pPr>
        <w:jc w:val="both"/>
        <w:rPr>
          <w:bCs/>
          <w:i/>
          <w:color w:val="002060"/>
          <w:sz w:val="16"/>
          <w:szCs w:val="16"/>
        </w:rPr>
      </w:pPr>
    </w:p>
    <w:p w14:paraId="4F31750E" w14:textId="77777777" w:rsidR="00561E17" w:rsidRPr="00B52707" w:rsidRDefault="00561E17" w:rsidP="00561E17">
      <w:pPr>
        <w:jc w:val="both"/>
        <w:rPr>
          <w:rStyle w:val="aa"/>
          <w:rFonts w:ascii="Times New Roman" w:hAnsi="Times New Roman"/>
          <w:color w:val="0070C0"/>
          <w:spacing w:val="0"/>
          <w:sz w:val="16"/>
          <w:szCs w:val="16"/>
        </w:rPr>
      </w:pPr>
      <w:r w:rsidRPr="00B52707">
        <w:rPr>
          <w:rFonts w:eastAsia="Trebuchet MS"/>
          <w:color w:val="0070C0"/>
          <w:sz w:val="16"/>
          <w:szCs w:val="16"/>
          <w:shd w:val="clear" w:color="auto" w:fill="FFFFFF"/>
        </w:rPr>
        <w:t>В начале октября 1915 года бронемашины Братолюбова отправили в Петроград. В Запасной броневой роте прошли испытания, которые показали, что как бронированные дрезины машины показали себя отлично, а вот с использованием их как шоссейных броневиков были не так впечатляюще. Следующей идеей для спасения потраченных ресурсов была идея генерал-майора Филатова сформировать из пушечных «Руссо-Балтов» Братолюбова-Некрасова специальное подразделение, в которое входили бы все броневики на шасси Руссо-Балт и модели С и модели Д. «Гениальная идея» Филатова была в том, что бы броневики модели Д, поставить на обычные платформы, которые будут перевозится железной дорогой за моделью С, как за локомотивом. 24 января это подразделение стало Броневым автомобильным железнодорожным взводом. К шести броневикам были приставлены броневик Братолюбова на шасси Рено, и два автомобиля с частичным бронированием. По штату Броневой автомобильный железнодорожный взвод включал в себя: Офицеров — 4, младший механик — 1, нижних чинов строевых — 92, нестроевых — 5. Многочисленные переделки и длительное формирование подразделения привели к тому, что взвод в обрезанном составе из трех броневиков типа С и одного Рено был отправлен летом 1917 года в Румынию, где применялся в боях лета 1917 года в составе 2-й Заамурской железнодорожной бригады, в августе был переброшены на Румынский фронт в район города Аджуд, после чего информации об этих бронемашинах теряется. В состав 2-й Заамурской железнодорожной бригады входил так же один из лучших бронепоездов Первой мировой войны Хунгуз-2 (25491).</w:t>
      </w:r>
    </w:p>
    <w:p w14:paraId="37647739" w14:textId="77777777" w:rsidR="00561E17" w:rsidRPr="00B52707" w:rsidRDefault="00561E17" w:rsidP="00561E17">
      <w:pPr>
        <w:jc w:val="both"/>
        <w:rPr>
          <w:rStyle w:val="aa"/>
          <w:rFonts w:ascii="Times New Roman" w:hAnsi="Times New Roman"/>
          <w:color w:val="0070C0"/>
          <w:spacing w:val="0"/>
          <w:sz w:val="16"/>
          <w:szCs w:val="16"/>
        </w:rPr>
      </w:pPr>
    </w:p>
    <w:p w14:paraId="4267D9DE" w14:textId="77777777" w:rsidR="007148D6" w:rsidRPr="00405303" w:rsidRDefault="007148D6" w:rsidP="007148D6">
      <w:pPr>
        <w:jc w:val="both"/>
        <w:rPr>
          <w:bCs/>
          <w:i/>
          <w:color w:val="002060"/>
          <w:sz w:val="16"/>
          <w:szCs w:val="16"/>
        </w:rPr>
      </w:pPr>
      <w:r w:rsidRPr="00405303">
        <w:rPr>
          <w:bCs/>
          <w:i/>
          <w:color w:val="002060"/>
          <w:sz w:val="16"/>
          <w:szCs w:val="16"/>
        </w:rPr>
        <w:t>Армия:</w:t>
      </w:r>
    </w:p>
    <w:p w14:paraId="251DF211" w14:textId="77777777" w:rsidR="007148D6" w:rsidRPr="00405303" w:rsidRDefault="007148D6" w:rsidP="007148D6">
      <w:pPr>
        <w:jc w:val="both"/>
        <w:rPr>
          <w:bCs/>
          <w:i/>
          <w:color w:val="002060"/>
          <w:sz w:val="16"/>
          <w:szCs w:val="16"/>
        </w:rPr>
      </w:pPr>
    </w:p>
    <w:p w14:paraId="08DC368B" w14:textId="77777777" w:rsidR="007148D6" w:rsidRPr="00405303" w:rsidRDefault="007148D6" w:rsidP="007148D6">
      <w:pPr>
        <w:jc w:val="both"/>
        <w:rPr>
          <w:bCs/>
          <w:color w:val="002060"/>
          <w:sz w:val="16"/>
          <w:szCs w:val="16"/>
        </w:rPr>
      </w:pPr>
      <w:r w:rsidRPr="00405303">
        <w:rPr>
          <w:bCs/>
          <w:color w:val="002060"/>
          <w:sz w:val="16"/>
          <w:szCs w:val="16"/>
        </w:rPr>
        <w:t>С начала октября 1915 г. с окончанием Виленской оборонительной операции (22.08—2.10.1915 г.) правое крыло 10-й русской армии было оттеснено за р. Вилия, где имелись наши основные резервы. Создавшееся положение заставило Ставку ВГК отвести войска за линию фронта и оставить 17 сентября г. Вильна. В то же время успешные действия командования 5-й русской армии на Двинском направлении практически разрушили немецкие планы и остановили продвижение противника на всем участке фронта. Одновременно с окончанием Виленской операции закончился маневренный период войны на русско-германском фронте. В начале октября 1915 г. он в целом стабилизировался, что означало переход к позиционному характеру борьбы (23405).</w:t>
      </w:r>
    </w:p>
    <w:p w14:paraId="0325271A" w14:textId="77777777" w:rsidR="007148D6" w:rsidRPr="00405303" w:rsidRDefault="007148D6" w:rsidP="007148D6">
      <w:pPr>
        <w:jc w:val="both"/>
        <w:rPr>
          <w:bCs/>
          <w:color w:val="002060"/>
          <w:sz w:val="16"/>
          <w:szCs w:val="16"/>
        </w:rPr>
      </w:pPr>
    </w:p>
    <w:p w14:paraId="1ADA8A40" w14:textId="77777777" w:rsidR="007148D6" w:rsidRPr="00B52707" w:rsidRDefault="007148D6" w:rsidP="007148D6">
      <w:pPr>
        <w:jc w:val="both"/>
        <w:rPr>
          <w:color w:val="0070C0"/>
          <w:sz w:val="16"/>
          <w:szCs w:val="16"/>
        </w:rPr>
      </w:pPr>
      <w:bookmarkStart w:id="269" w:name="bookmark276"/>
      <w:bookmarkStart w:id="270" w:name="bookmark277"/>
      <w:r w:rsidRPr="00B52707">
        <w:rPr>
          <w:rStyle w:val="aa"/>
          <w:rFonts w:ascii="Times New Roman" w:hAnsi="Times New Roman"/>
          <w:color w:val="0070C0"/>
          <w:spacing w:val="0"/>
          <w:sz w:val="16"/>
          <w:szCs w:val="16"/>
        </w:rPr>
        <w:t>В начале октября 1915 г. фронт в целом стабилизировался, что означало переход к позиционному характеру борьбы. С окончанием Виленской операции закончился маневренный период войны на русско-германском фронте (25135).</w:t>
      </w:r>
    </w:p>
    <w:p w14:paraId="4CF673EB" w14:textId="77777777" w:rsidR="007148D6" w:rsidRPr="00B52707" w:rsidRDefault="007148D6" w:rsidP="007148D6">
      <w:pPr>
        <w:jc w:val="both"/>
        <w:rPr>
          <w:color w:val="0070C0"/>
          <w:sz w:val="16"/>
          <w:szCs w:val="16"/>
        </w:rPr>
      </w:pPr>
    </w:p>
    <w:p w14:paraId="4359B130" w14:textId="77777777" w:rsidR="007148D6" w:rsidRPr="00405303" w:rsidRDefault="007148D6" w:rsidP="007148D6">
      <w:pPr>
        <w:jc w:val="both"/>
        <w:rPr>
          <w:bCs/>
          <w:i/>
          <w:color w:val="002060"/>
          <w:sz w:val="16"/>
          <w:szCs w:val="16"/>
        </w:rPr>
      </w:pPr>
      <w:r w:rsidRPr="00405303">
        <w:rPr>
          <w:bCs/>
          <w:i/>
          <w:color w:val="002060"/>
          <w:sz w:val="16"/>
          <w:szCs w:val="16"/>
        </w:rPr>
        <w:lastRenderedPageBreak/>
        <w:t>Авиация:</w:t>
      </w:r>
    </w:p>
    <w:p w14:paraId="62EF66BD" w14:textId="77777777" w:rsidR="007148D6" w:rsidRPr="00405303" w:rsidRDefault="007148D6" w:rsidP="007148D6">
      <w:pPr>
        <w:jc w:val="both"/>
        <w:rPr>
          <w:bCs/>
          <w:i/>
          <w:color w:val="002060"/>
          <w:sz w:val="16"/>
          <w:szCs w:val="16"/>
        </w:rPr>
      </w:pPr>
    </w:p>
    <w:p w14:paraId="15454B83" w14:textId="77777777" w:rsidR="007148D6" w:rsidRPr="00405303" w:rsidRDefault="007148D6" w:rsidP="007148D6">
      <w:pPr>
        <w:jc w:val="both"/>
        <w:rPr>
          <w:bCs/>
          <w:color w:val="002060"/>
          <w:sz w:val="16"/>
          <w:szCs w:val="16"/>
        </w:rPr>
      </w:pPr>
      <w:r w:rsidRPr="00405303">
        <w:rPr>
          <w:bCs/>
          <w:color w:val="002060"/>
          <w:sz w:val="16"/>
          <w:szCs w:val="16"/>
        </w:rPr>
        <w:t>В начале октября 1915 г. противник вновь повторил свою попытку, сбросив несколько бомб на кварталы города Шлок. Проведенный же налет на прифронтовой н/п Олай (Олайне, 20 км юго-западнее г. Рига) стоил немецкой стороне сбитого самолета и гибели его экипажа.</w:t>
      </w:r>
      <w:bookmarkEnd w:id="269"/>
      <w:bookmarkEnd w:id="270"/>
    </w:p>
    <w:p w14:paraId="1E6E94D1" w14:textId="77777777" w:rsidR="007148D6" w:rsidRPr="00405303" w:rsidRDefault="007148D6" w:rsidP="007148D6">
      <w:pPr>
        <w:jc w:val="both"/>
        <w:rPr>
          <w:bCs/>
          <w:color w:val="002060"/>
          <w:sz w:val="16"/>
          <w:szCs w:val="16"/>
        </w:rPr>
      </w:pPr>
      <w:bookmarkStart w:id="271" w:name="bookmark278"/>
      <w:bookmarkStart w:id="272" w:name="bookmark279"/>
      <w:bookmarkStart w:id="273" w:name="bookmark280"/>
      <w:bookmarkStart w:id="274" w:name="bookmark281"/>
      <w:r w:rsidRPr="00405303">
        <w:rPr>
          <w:bCs/>
          <w:color w:val="002060"/>
          <w:sz w:val="16"/>
          <w:szCs w:val="16"/>
        </w:rPr>
        <w:t>Противник также недосчитался еще двух своих летательных аппаратов: один (германский аэроплан), попавший в зону зенитного огня нашей артиллерии юго-западнее Двинска и упавший на территории своих войск, другой (австрийский аппарат типа «Таубе») - в районе г. Каменец-Подольск. Летчик погиб, самолет захвачен в качестве военного трофея с незначительными повреждениями (23405).</w:t>
      </w:r>
    </w:p>
    <w:p w14:paraId="134FE08F" w14:textId="77777777" w:rsidR="007148D6" w:rsidRPr="00405303" w:rsidRDefault="007148D6" w:rsidP="007148D6">
      <w:pPr>
        <w:jc w:val="both"/>
        <w:rPr>
          <w:bCs/>
          <w:color w:val="002060"/>
          <w:sz w:val="16"/>
          <w:szCs w:val="16"/>
        </w:rPr>
      </w:pPr>
    </w:p>
    <w:bookmarkEnd w:id="271"/>
    <w:bookmarkEnd w:id="272"/>
    <w:bookmarkEnd w:id="273"/>
    <w:bookmarkEnd w:id="274"/>
    <w:p w14:paraId="7D9869B7" w14:textId="77777777" w:rsidR="007148D6" w:rsidRPr="00B52707" w:rsidRDefault="007148D6" w:rsidP="007148D6">
      <w:pPr>
        <w:jc w:val="both"/>
        <w:rPr>
          <w:color w:val="0070C0"/>
          <w:sz w:val="16"/>
          <w:szCs w:val="16"/>
        </w:rPr>
      </w:pPr>
      <w:r w:rsidRPr="00B52707">
        <w:rPr>
          <w:rStyle w:val="aa"/>
          <w:rFonts w:ascii="Times New Roman" w:hAnsi="Times New Roman"/>
          <w:color w:val="0070C0"/>
          <w:spacing w:val="0"/>
          <w:sz w:val="16"/>
          <w:szCs w:val="16"/>
        </w:rPr>
        <w:t xml:space="preserve">В начале октября 1915 г. </w:t>
      </w:r>
      <w:proofErr w:type="gramStart"/>
      <w:r w:rsidRPr="00B52707">
        <w:rPr>
          <w:rStyle w:val="aa"/>
          <w:rFonts w:ascii="Times New Roman" w:hAnsi="Times New Roman"/>
          <w:color w:val="0070C0"/>
          <w:spacing w:val="0"/>
          <w:sz w:val="16"/>
          <w:szCs w:val="16"/>
        </w:rPr>
        <w:t>противник</w:t>
      </w:r>
      <w:proofErr w:type="gramEnd"/>
      <w:r w:rsidRPr="00B52707">
        <w:rPr>
          <w:rStyle w:val="aa"/>
          <w:rFonts w:ascii="Times New Roman" w:hAnsi="Times New Roman"/>
          <w:color w:val="0070C0"/>
          <w:spacing w:val="0"/>
          <w:sz w:val="16"/>
          <w:szCs w:val="16"/>
        </w:rPr>
        <w:t xml:space="preserve"> сбросив несколько бомб на кварталы город</w:t>
      </w:r>
      <w:hyperlink w:anchor="bookmark1336" w:tooltip="Current Document">
        <w:r w:rsidRPr="00B52707">
          <w:rPr>
            <w:rStyle w:val="aa"/>
            <w:rFonts w:ascii="Times New Roman" w:hAnsi="Times New Roman"/>
            <w:color w:val="0070C0"/>
            <w:spacing w:val="0"/>
            <w:sz w:val="16"/>
            <w:szCs w:val="16"/>
          </w:rPr>
          <w:t>а г. Шло</w:t>
        </w:r>
      </w:hyperlink>
      <w:r w:rsidRPr="00B52707">
        <w:rPr>
          <w:color w:val="0070C0"/>
          <w:sz w:val="16"/>
          <w:szCs w:val="16"/>
        </w:rPr>
        <w:t>ка</w:t>
      </w:r>
      <w:r w:rsidRPr="00B52707">
        <w:rPr>
          <w:rStyle w:val="aa"/>
          <w:rFonts w:ascii="Times New Roman" w:hAnsi="Times New Roman"/>
          <w:color w:val="0070C0"/>
          <w:spacing w:val="0"/>
          <w:sz w:val="16"/>
          <w:szCs w:val="16"/>
        </w:rPr>
        <w:t>. Проведенный же налет на прифронтовой н/п Олай (Олайне, 20 км юго-западнее г. Рига) стоил немецкой стороне сбитого самолета и гибели его экипажа (25135)</w:t>
      </w:r>
      <w:r w:rsidRPr="00B52707">
        <w:rPr>
          <w:color w:val="0070C0"/>
          <w:sz w:val="16"/>
          <w:szCs w:val="16"/>
        </w:rPr>
        <w:t xml:space="preserve"> </w:t>
      </w:r>
    </w:p>
    <w:p w14:paraId="5B1C7A74" w14:textId="77777777" w:rsidR="007148D6" w:rsidRPr="00B52707" w:rsidRDefault="007148D6" w:rsidP="007148D6">
      <w:pPr>
        <w:jc w:val="both"/>
        <w:rPr>
          <w:color w:val="0070C0"/>
          <w:sz w:val="16"/>
          <w:szCs w:val="16"/>
        </w:rPr>
      </w:pPr>
    </w:p>
    <w:p w14:paraId="0BC71C1F" w14:textId="50084EC9" w:rsidR="00375A71" w:rsidRPr="00405303" w:rsidRDefault="00375A71" w:rsidP="00C15251">
      <w:pPr>
        <w:pStyle w:val="a5"/>
        <w:rPr>
          <w:bCs/>
          <w:i/>
          <w:iCs/>
          <w:color w:val="002060"/>
          <w:sz w:val="16"/>
          <w:szCs w:val="16"/>
          <w:lang w:val="ru-RU"/>
        </w:rPr>
      </w:pPr>
      <w:r w:rsidRPr="00405303">
        <w:rPr>
          <w:bCs/>
          <w:i/>
          <w:iCs/>
          <w:color w:val="002060"/>
          <w:sz w:val="16"/>
          <w:szCs w:val="16"/>
          <w:lang w:val="ru-RU"/>
        </w:rPr>
        <w:t>Авиация:</w:t>
      </w:r>
    </w:p>
    <w:p w14:paraId="271F717B" w14:textId="77777777" w:rsidR="00375A71" w:rsidRPr="00405303" w:rsidRDefault="00375A71" w:rsidP="00C15251">
      <w:pPr>
        <w:pStyle w:val="a5"/>
        <w:rPr>
          <w:bCs/>
          <w:i/>
          <w:iCs/>
          <w:color w:val="002060"/>
          <w:sz w:val="16"/>
          <w:szCs w:val="16"/>
          <w:lang w:val="ru-RU"/>
        </w:rPr>
      </w:pPr>
    </w:p>
    <w:p w14:paraId="16B1B739" w14:textId="77777777" w:rsidR="00375A71" w:rsidRPr="00405303" w:rsidRDefault="00375A71" w:rsidP="00C15251">
      <w:pPr>
        <w:jc w:val="both"/>
        <w:rPr>
          <w:bCs/>
          <w:color w:val="002060"/>
          <w:sz w:val="16"/>
          <w:szCs w:val="16"/>
          <w:shd w:val="clear" w:color="auto" w:fill="FFFFFF"/>
        </w:rPr>
      </w:pPr>
      <w:r w:rsidRPr="00405303">
        <w:rPr>
          <w:bCs/>
          <w:color w:val="002060"/>
          <w:sz w:val="16"/>
          <w:szCs w:val="16"/>
          <w:shd w:val="clear" w:color="auto" w:fill="FFFFFF"/>
        </w:rPr>
        <w:t>8 (21) октября 1915 года Военный совет ввёл в действие штат и табель имущества команды авиационно-воздухоплавательной приёмной радиотелеграфной станции и решил сформировать 34 таких команды за номерами 1—34 для придания их авиационным и воздухоплавательным отрядам (РГВИА. Ф. 2203. Оп. 1. Д. 1234. Л. 222.).</w:t>
      </w:r>
    </w:p>
    <w:p w14:paraId="3ACECED6" w14:textId="0014D29A" w:rsidR="00375A71" w:rsidRPr="00405303" w:rsidRDefault="00375A71" w:rsidP="00C15251">
      <w:pPr>
        <w:jc w:val="both"/>
        <w:rPr>
          <w:bCs/>
          <w:color w:val="002060"/>
          <w:sz w:val="16"/>
          <w:szCs w:val="16"/>
        </w:rPr>
      </w:pPr>
      <w:r w:rsidRPr="00405303">
        <w:rPr>
          <w:bCs/>
          <w:color w:val="002060"/>
          <w:sz w:val="16"/>
          <w:szCs w:val="16"/>
          <w:shd w:val="clear" w:color="auto" w:fill="FFFFFF"/>
        </w:rPr>
        <w:t>Согласно этому штату, команда авиационно-воздухоплавательной приёмной радиотелеграфной станции состояла из 13 нижних чинов. Один из них в чине старшего унтер-офицера по специальности телеграфист (слухач) был старшим надсмотрщиком на станции. Кроме него, в команду входили 3</w:t>
      </w:r>
      <w:r w:rsidR="00DB4D64" w:rsidRPr="00405303">
        <w:rPr>
          <w:bCs/>
          <w:color w:val="002060"/>
          <w:sz w:val="16"/>
          <w:szCs w:val="16"/>
          <w:shd w:val="clear" w:color="auto" w:fill="FFFFFF"/>
        </w:rPr>
        <w:t xml:space="preserve"> </w:t>
      </w:r>
      <w:r w:rsidRPr="00405303">
        <w:rPr>
          <w:bCs/>
          <w:color w:val="002060"/>
          <w:sz w:val="16"/>
          <w:szCs w:val="16"/>
          <w:shd w:val="clear" w:color="auto" w:fill="FFFFFF"/>
        </w:rPr>
        <w:t>телеграфиста (слухача), 2 электротехника и 7 обозных солдат. Для перевозки радиоимущества команде выдавались 3 парные двуколки: 1 аппаратная — для радиостанции, 1 зарядная — для двигателя и генератора и 1 — для запасного инструмента (Штат команды авиационно-воздухоплавательной приёмной радиотелеграфной станции, высочайше утверждённый 17</w:t>
      </w:r>
      <w:r w:rsidR="00DB4D64" w:rsidRPr="00405303">
        <w:rPr>
          <w:bCs/>
          <w:color w:val="002060"/>
          <w:sz w:val="16"/>
          <w:szCs w:val="16"/>
          <w:shd w:val="clear" w:color="auto" w:fill="FFFFFF"/>
        </w:rPr>
        <w:t xml:space="preserve"> </w:t>
      </w:r>
      <w:r w:rsidRPr="00405303">
        <w:rPr>
          <w:bCs/>
          <w:color w:val="002060"/>
          <w:sz w:val="16"/>
          <w:szCs w:val="16"/>
          <w:shd w:val="clear" w:color="auto" w:fill="FFFFFF"/>
        </w:rPr>
        <w:t>октября 1915</w:t>
      </w:r>
      <w:r w:rsidR="00DB4D64" w:rsidRPr="00405303">
        <w:rPr>
          <w:bCs/>
          <w:color w:val="002060"/>
          <w:sz w:val="16"/>
          <w:szCs w:val="16"/>
          <w:shd w:val="clear" w:color="auto" w:fill="FFFFFF"/>
        </w:rPr>
        <w:t xml:space="preserve"> </w:t>
      </w:r>
      <w:r w:rsidRPr="00405303">
        <w:rPr>
          <w:bCs/>
          <w:color w:val="002060"/>
          <w:sz w:val="16"/>
          <w:szCs w:val="16"/>
          <w:shd w:val="clear" w:color="auto" w:fill="FFFFFF"/>
        </w:rPr>
        <w:t>г. // Сборник временных штатов управлений, учреждений, заведений и частей войск… Ч. 1. С. 505, 506.). (19952).</w:t>
      </w:r>
    </w:p>
    <w:p w14:paraId="2AE1CC5F" w14:textId="77777777" w:rsidR="00375A71" w:rsidRPr="00405303" w:rsidRDefault="00375A71" w:rsidP="00C15251">
      <w:pPr>
        <w:jc w:val="both"/>
        <w:rPr>
          <w:bCs/>
          <w:color w:val="002060"/>
          <w:sz w:val="16"/>
          <w:szCs w:val="16"/>
        </w:rPr>
      </w:pPr>
    </w:p>
    <w:p w14:paraId="43C39E22" w14:textId="77777777" w:rsidR="00B36387" w:rsidRPr="00405303" w:rsidRDefault="00B36387" w:rsidP="00C15251">
      <w:pPr>
        <w:jc w:val="both"/>
        <w:rPr>
          <w:bCs/>
          <w:color w:val="002060"/>
          <w:sz w:val="16"/>
          <w:szCs w:val="16"/>
        </w:rPr>
      </w:pPr>
      <w:r w:rsidRPr="00405303">
        <w:rPr>
          <w:bCs/>
          <w:color w:val="002060"/>
          <w:sz w:val="16"/>
          <w:szCs w:val="16"/>
        </w:rPr>
        <w:t>8 (21) октября 1915 г. Военный совет постановил сформировать первые 34 команды приемных авиационно-воздухоплавательный радиостанций, при</w:t>
      </w:r>
      <w:r w:rsidRPr="00405303">
        <w:rPr>
          <w:bCs/>
          <w:color w:val="002060"/>
          <w:sz w:val="16"/>
          <w:szCs w:val="16"/>
        </w:rPr>
        <w:softHyphen/>
        <w:t>своив им порядковые номера с 1-й по 34-й.</w:t>
      </w:r>
    </w:p>
    <w:p w14:paraId="42964562" w14:textId="77777777" w:rsidR="00B36387" w:rsidRPr="00405303" w:rsidRDefault="00B36387" w:rsidP="00C15251">
      <w:pPr>
        <w:jc w:val="both"/>
        <w:rPr>
          <w:bCs/>
          <w:color w:val="002060"/>
          <w:sz w:val="16"/>
          <w:szCs w:val="16"/>
        </w:rPr>
      </w:pPr>
      <w:r w:rsidRPr="00405303">
        <w:rPr>
          <w:bCs/>
          <w:color w:val="002060"/>
          <w:sz w:val="16"/>
          <w:szCs w:val="16"/>
        </w:rPr>
        <w:t>/ЦГВИА, ф. 2003, оп. 1, д. 1224, л. 222/ (23320).</w:t>
      </w:r>
    </w:p>
    <w:p w14:paraId="19F0A1F0" w14:textId="77777777" w:rsidR="00B36387" w:rsidRPr="00405303" w:rsidRDefault="00B36387" w:rsidP="00C15251">
      <w:pPr>
        <w:jc w:val="both"/>
        <w:rPr>
          <w:bCs/>
          <w:color w:val="002060"/>
          <w:sz w:val="16"/>
          <w:szCs w:val="16"/>
        </w:rPr>
      </w:pPr>
    </w:p>
    <w:p w14:paraId="19A873E8" w14:textId="58A37A8E" w:rsidR="0075696C" w:rsidRPr="00405303" w:rsidRDefault="0075696C" w:rsidP="00C15251">
      <w:pPr>
        <w:jc w:val="both"/>
        <w:rPr>
          <w:bCs/>
          <w:color w:val="002060"/>
          <w:sz w:val="16"/>
          <w:szCs w:val="16"/>
          <w:lang w:bidi="en-US"/>
        </w:rPr>
      </w:pPr>
      <w:r w:rsidRPr="00405303">
        <w:rPr>
          <w:bCs/>
          <w:color w:val="002060"/>
          <w:sz w:val="16"/>
          <w:szCs w:val="16"/>
          <w:lang w:bidi="en-US"/>
        </w:rPr>
        <w:t xml:space="preserve">8 (21) октября 1915 г. Ильиг получил заказ на 21 из 25 </w:t>
      </w:r>
      <w:r w:rsidRPr="00405303">
        <w:rPr>
          <w:bCs/>
          <w:color w:val="002060"/>
          <w:sz w:val="16"/>
          <w:szCs w:val="16"/>
          <w:lang w:val="en-US" w:bidi="en-US"/>
        </w:rPr>
        <w:t>Sunbeam</w:t>
      </w:r>
      <w:r w:rsidRPr="00405303">
        <w:rPr>
          <w:bCs/>
          <w:color w:val="002060"/>
          <w:sz w:val="16"/>
          <w:szCs w:val="16"/>
          <w:lang w:bidi="en-US"/>
        </w:rPr>
        <w:t xml:space="preserve"> 150 л.с. (23525).</w:t>
      </w:r>
    </w:p>
    <w:p w14:paraId="6E734CB1" w14:textId="77777777" w:rsidR="0075696C" w:rsidRPr="00405303" w:rsidRDefault="0075696C" w:rsidP="00C15251">
      <w:pPr>
        <w:jc w:val="both"/>
        <w:rPr>
          <w:bCs/>
          <w:color w:val="002060"/>
          <w:sz w:val="16"/>
          <w:szCs w:val="16"/>
          <w:lang w:bidi="en-US"/>
        </w:rPr>
      </w:pPr>
    </w:p>
    <w:p w14:paraId="5DFBCE5C" w14:textId="77777777" w:rsidR="007148D6" w:rsidRPr="00B52707" w:rsidRDefault="007148D6" w:rsidP="007148D6">
      <w:pPr>
        <w:jc w:val="both"/>
        <w:rPr>
          <w:color w:val="0070C0"/>
          <w:sz w:val="16"/>
          <w:szCs w:val="16"/>
        </w:rPr>
      </w:pPr>
      <w:r w:rsidRPr="00B52707">
        <w:rPr>
          <w:color w:val="0070C0"/>
          <w:sz w:val="16"/>
          <w:szCs w:val="16"/>
        </w:rPr>
        <w:t>8 (21) октября 1915 г. генерал-лейтенант М.Д.Бонч-Бруевич писал «Последние дни немецкие летчики на «Альбатросах», вооруженных специальными пулеметами, устраивают авиационную завесу по линии фронта и не дают нашим лётчикам проходить через фронт для разведки, атакуя наши аппараты. В 5-й Армии было четыре случая повреждения наших аппаратов в бою. Главнокомандующий приказал просить содействия по снабжению авиационных отрядов пулемётами для аэропланов» (25147).</w:t>
      </w:r>
    </w:p>
    <w:p w14:paraId="20287B10" w14:textId="77777777" w:rsidR="007148D6" w:rsidRPr="00B52707" w:rsidRDefault="007148D6" w:rsidP="007148D6">
      <w:pPr>
        <w:jc w:val="both"/>
        <w:rPr>
          <w:color w:val="0070C0"/>
          <w:sz w:val="16"/>
          <w:szCs w:val="16"/>
        </w:rPr>
      </w:pPr>
    </w:p>
    <w:p w14:paraId="4C05CDE8" w14:textId="77777777" w:rsidR="007148D6" w:rsidRPr="00B52707" w:rsidRDefault="007148D6" w:rsidP="007148D6">
      <w:pPr>
        <w:jc w:val="both"/>
        <w:rPr>
          <w:color w:val="0070C0"/>
          <w:sz w:val="16"/>
          <w:szCs w:val="16"/>
        </w:rPr>
      </w:pPr>
      <w:r w:rsidRPr="00B52707">
        <w:rPr>
          <w:rStyle w:val="aa"/>
          <w:rFonts w:ascii="Times New Roman" w:hAnsi="Times New Roman"/>
          <w:color w:val="0070C0"/>
          <w:spacing w:val="0"/>
          <w:sz w:val="16"/>
          <w:szCs w:val="16"/>
        </w:rPr>
        <w:t>8 (21) октября 1915 г. вблизи ст. Барановичи два наших аэроплана атаковали вражеский «Альбатрос» и вынудили его «стремительно спуститься» (25135).</w:t>
      </w:r>
    </w:p>
    <w:p w14:paraId="15B926DC" w14:textId="77777777" w:rsidR="007148D6" w:rsidRPr="00B52707" w:rsidRDefault="007148D6" w:rsidP="007148D6">
      <w:pPr>
        <w:jc w:val="both"/>
        <w:rPr>
          <w:color w:val="0070C0"/>
          <w:sz w:val="16"/>
          <w:szCs w:val="16"/>
        </w:rPr>
      </w:pPr>
    </w:p>
    <w:p w14:paraId="709E066C" w14:textId="40ACFD4A" w:rsidR="00645069" w:rsidRPr="00405303" w:rsidRDefault="00645069" w:rsidP="00C15251">
      <w:pPr>
        <w:jc w:val="both"/>
        <w:rPr>
          <w:bCs/>
          <w:i/>
          <w:color w:val="002060"/>
          <w:sz w:val="16"/>
          <w:szCs w:val="16"/>
        </w:rPr>
      </w:pPr>
      <w:r w:rsidRPr="00405303">
        <w:rPr>
          <w:bCs/>
          <w:i/>
          <w:color w:val="002060"/>
          <w:sz w:val="16"/>
          <w:szCs w:val="16"/>
        </w:rPr>
        <w:t>За рубежом:</w:t>
      </w:r>
    </w:p>
    <w:p w14:paraId="79695B8F" w14:textId="77777777" w:rsidR="00645069" w:rsidRPr="00405303" w:rsidRDefault="00645069" w:rsidP="00C15251">
      <w:pPr>
        <w:jc w:val="both"/>
        <w:rPr>
          <w:bCs/>
          <w:color w:val="002060"/>
          <w:sz w:val="16"/>
          <w:szCs w:val="16"/>
        </w:rPr>
      </w:pPr>
    </w:p>
    <w:p w14:paraId="59EA86BE" w14:textId="75BA3B06" w:rsidR="00645069" w:rsidRPr="00405303" w:rsidRDefault="00645069" w:rsidP="00C15251">
      <w:pPr>
        <w:jc w:val="both"/>
        <w:rPr>
          <w:bCs/>
          <w:color w:val="002060"/>
          <w:sz w:val="16"/>
          <w:szCs w:val="16"/>
        </w:rPr>
      </w:pPr>
      <w:r w:rsidRPr="00405303">
        <w:rPr>
          <w:rStyle w:val="ucoz-forum-post"/>
          <w:rFonts w:eastAsiaTheme="majorEastAsia"/>
          <w:bCs/>
          <w:color w:val="002060"/>
          <w:sz w:val="16"/>
          <w:szCs w:val="16"/>
        </w:rPr>
        <w:t xml:space="preserve">8 (21) октября </w:t>
      </w:r>
      <w:r w:rsidRPr="00405303">
        <w:rPr>
          <w:bCs/>
          <w:color w:val="002060"/>
          <w:sz w:val="16"/>
          <w:szCs w:val="16"/>
        </w:rPr>
        <w:t xml:space="preserve">в 1915 году первое трансатлантическое радиотелефонное сообщение из Arlington, штат Виргиния, США, </w:t>
      </w:r>
      <w:r w:rsidR="001113A6" w:rsidRPr="00405303">
        <w:rPr>
          <w:bCs/>
          <w:color w:val="002060"/>
          <w:sz w:val="16"/>
          <w:szCs w:val="16"/>
        </w:rPr>
        <w:t xml:space="preserve">передано </w:t>
      </w:r>
      <w:r w:rsidRPr="00405303">
        <w:rPr>
          <w:bCs/>
          <w:color w:val="002060"/>
          <w:sz w:val="16"/>
          <w:szCs w:val="16"/>
        </w:rPr>
        <w:t>в Париж (14806).</w:t>
      </w:r>
    </w:p>
    <w:p w14:paraId="1540025D" w14:textId="77777777" w:rsidR="00645069" w:rsidRPr="00405303" w:rsidRDefault="00645069" w:rsidP="00C15251">
      <w:pPr>
        <w:jc w:val="both"/>
        <w:rPr>
          <w:bCs/>
          <w:color w:val="002060"/>
          <w:sz w:val="16"/>
          <w:szCs w:val="16"/>
        </w:rPr>
      </w:pPr>
    </w:p>
    <w:p w14:paraId="53A76D5F" w14:textId="0F2D51A6" w:rsidR="00645069" w:rsidRPr="00405303" w:rsidRDefault="00645069" w:rsidP="00C15251">
      <w:pPr>
        <w:jc w:val="both"/>
        <w:rPr>
          <w:bCs/>
          <w:color w:val="002060"/>
          <w:sz w:val="16"/>
          <w:szCs w:val="16"/>
        </w:rPr>
      </w:pPr>
      <w:r w:rsidRPr="00405303">
        <w:rPr>
          <w:rStyle w:val="ucoz-forum-post"/>
          <w:rFonts w:eastAsiaTheme="majorEastAsia"/>
          <w:bCs/>
          <w:color w:val="002060"/>
          <w:sz w:val="16"/>
          <w:szCs w:val="16"/>
        </w:rPr>
        <w:t xml:space="preserve">8 (21) октября </w:t>
      </w:r>
      <w:r w:rsidRPr="00405303">
        <w:rPr>
          <w:bCs/>
          <w:color w:val="002060"/>
          <w:sz w:val="16"/>
          <w:szCs w:val="16"/>
        </w:rPr>
        <w:t xml:space="preserve">в 1915 году </w:t>
      </w:r>
      <w:r w:rsidR="001113A6" w:rsidRPr="00405303">
        <w:rPr>
          <w:bCs/>
          <w:color w:val="002060"/>
          <w:sz w:val="16"/>
          <w:szCs w:val="16"/>
        </w:rPr>
        <w:t xml:space="preserve">началось </w:t>
      </w:r>
      <w:r w:rsidRPr="00405303">
        <w:rPr>
          <w:bCs/>
          <w:color w:val="002060"/>
          <w:sz w:val="16"/>
          <w:szCs w:val="16"/>
        </w:rPr>
        <w:t>третье сражение на Ионцо (по 4 ноября). Итальянские войска продвинулись вперед совсем немного (14806).</w:t>
      </w:r>
    </w:p>
    <w:p w14:paraId="591BA935" w14:textId="77777777" w:rsidR="00645069" w:rsidRPr="00405303" w:rsidRDefault="00645069" w:rsidP="00C15251">
      <w:pPr>
        <w:jc w:val="both"/>
        <w:rPr>
          <w:bCs/>
          <w:color w:val="002060"/>
          <w:sz w:val="16"/>
          <w:szCs w:val="16"/>
        </w:rPr>
      </w:pPr>
    </w:p>
    <w:p w14:paraId="15372BFA"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009EC182" w14:textId="77777777" w:rsidR="004B4E35" w:rsidRPr="00405303" w:rsidRDefault="004B4E35" w:rsidP="00C15251">
      <w:pPr>
        <w:shd w:val="clear" w:color="auto" w:fill="FFFFFF"/>
        <w:jc w:val="both"/>
        <w:rPr>
          <w:bCs/>
          <w:i/>
          <w:color w:val="002060"/>
          <w:sz w:val="16"/>
          <w:szCs w:val="16"/>
        </w:rPr>
      </w:pPr>
    </w:p>
    <w:p w14:paraId="657247BB" w14:textId="7A5261BA" w:rsidR="004B4E35" w:rsidRPr="00405303" w:rsidRDefault="009E6F82" w:rsidP="00C15251">
      <w:pPr>
        <w:jc w:val="both"/>
        <w:rPr>
          <w:bCs/>
          <w:color w:val="002060"/>
          <w:sz w:val="16"/>
          <w:szCs w:val="16"/>
        </w:rPr>
      </w:pPr>
      <w:bookmarkStart w:id="275" w:name="_Hlk117793660"/>
      <w:r w:rsidRPr="00405303">
        <w:rPr>
          <w:bCs/>
          <w:color w:val="002060"/>
          <w:sz w:val="16"/>
          <w:szCs w:val="16"/>
        </w:rPr>
        <w:t xml:space="preserve">9 </w:t>
      </w:r>
      <w:r w:rsidR="001113A6" w:rsidRPr="00405303">
        <w:rPr>
          <w:bCs/>
          <w:color w:val="002060"/>
          <w:sz w:val="16"/>
          <w:szCs w:val="16"/>
        </w:rPr>
        <w:t xml:space="preserve">(22) </w:t>
      </w:r>
      <w:r w:rsidRPr="00405303">
        <w:rPr>
          <w:bCs/>
          <w:color w:val="002060"/>
          <w:sz w:val="16"/>
          <w:szCs w:val="16"/>
        </w:rPr>
        <w:t xml:space="preserve">октября </w:t>
      </w:r>
      <w:r w:rsidR="001113A6" w:rsidRPr="00405303">
        <w:rPr>
          <w:bCs/>
          <w:color w:val="002060"/>
          <w:sz w:val="16"/>
          <w:szCs w:val="16"/>
        </w:rPr>
        <w:t xml:space="preserve">1915 г. </w:t>
      </w:r>
      <w:r w:rsidRPr="00405303">
        <w:rPr>
          <w:bCs/>
          <w:color w:val="002060"/>
          <w:sz w:val="16"/>
          <w:szCs w:val="16"/>
        </w:rPr>
        <w:t>корабельная авиагруппа вела разведку и обеспечила противовоздушную оборону при высадке десанта в районе Домеснеса (11333).</w:t>
      </w:r>
    </w:p>
    <w:p w14:paraId="6C36B0EA" w14:textId="77777777" w:rsidR="004B4E35" w:rsidRPr="00405303" w:rsidRDefault="004B4E35" w:rsidP="00C15251">
      <w:pPr>
        <w:jc w:val="both"/>
        <w:rPr>
          <w:bCs/>
          <w:i/>
          <w:color w:val="002060"/>
          <w:sz w:val="16"/>
          <w:szCs w:val="16"/>
        </w:rPr>
      </w:pPr>
    </w:p>
    <w:bookmarkEnd w:id="275"/>
    <w:p w14:paraId="092E0077"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44D487A8" w14:textId="77777777" w:rsidR="004B4E35" w:rsidRPr="00405303" w:rsidRDefault="004B4E35" w:rsidP="00C15251">
      <w:pPr>
        <w:jc w:val="both"/>
        <w:rPr>
          <w:bCs/>
          <w:i/>
          <w:color w:val="002060"/>
          <w:sz w:val="16"/>
          <w:szCs w:val="16"/>
        </w:rPr>
      </w:pPr>
    </w:p>
    <w:p w14:paraId="28651B3D" w14:textId="77777777" w:rsidR="004B4E35" w:rsidRPr="00405303" w:rsidRDefault="009E6F82" w:rsidP="00C15251">
      <w:pPr>
        <w:jc w:val="both"/>
        <w:rPr>
          <w:rStyle w:val="11"/>
          <w:b w:val="0"/>
          <w:bCs/>
          <w:color w:val="002060"/>
          <w:sz w:val="16"/>
          <w:szCs w:val="16"/>
        </w:rPr>
      </w:pPr>
      <w:r w:rsidRPr="00405303">
        <w:rPr>
          <w:rStyle w:val="11"/>
          <w:b w:val="0"/>
          <w:bCs/>
          <w:color w:val="002060"/>
          <w:sz w:val="16"/>
          <w:szCs w:val="16"/>
        </w:rPr>
        <w:t>10 (23) октября 1915 в манеже Адмиралтейства Сергей Алексеевич демонстрировал комиссии Морского ведомства действующую модель “Системы управления движением механизмов на расстоянии”. Во второй редакции БСЭ (1956 г., статья «Ульянин») об этом написано, но дата названа – 1914 г. Заместитель Морского министра вице-адмирал П.П.Муравьев, присутствовавший на испытаниях катера, управлявшегося по радио в 1916 г., сказал: ” ... катер без единого человека прошел из Кронштадта в Петергоф”. Это было первое в России испытание опытного образца системы телеуправления движущимся объектом (11221).</w:t>
      </w:r>
    </w:p>
    <w:p w14:paraId="49D2B984" w14:textId="77777777" w:rsidR="004B4E35" w:rsidRPr="00405303" w:rsidRDefault="009E6F82" w:rsidP="00C15251">
      <w:pPr>
        <w:jc w:val="both"/>
        <w:rPr>
          <w:rStyle w:val="11"/>
          <w:b w:val="0"/>
          <w:bCs/>
          <w:color w:val="002060"/>
          <w:sz w:val="16"/>
          <w:szCs w:val="16"/>
        </w:rPr>
      </w:pPr>
      <w:r w:rsidRPr="00405303">
        <w:rPr>
          <w:rStyle w:val="11"/>
          <w:b w:val="0"/>
          <w:bCs/>
          <w:color w:val="002060"/>
          <w:sz w:val="16"/>
          <w:szCs w:val="16"/>
        </w:rPr>
        <w:t>В 1904 г. Сергей Алексеевич решил, что можно управлять летательными аппаратами, морскими кораблями и наземными экипажами на расстоянии, и начал заниматься этим вопросом. В 1910 г. он получил привилегию на это изобретение. Прибор записывал путь объекта, на котором был установлен, или мог направлять объект по желаемому, изменяемому при движении или по заранее намеченному пути. Для второго варианта изобретения предусматривалась возможность подачи команд управления движением с помощью радиотелеграфа. При третьем варианте запись команд осуществлялась на ленте типа телеграфной. Действие прибора было основано на применении управляющего органа, стремившегося сохранить определенное положение в пространстве, и приспособленного для освобождения нужного механизма. Для автоматического направления объекта по заданному пути требовалось записывать команды в один или другой узел. Для этого на ленте накалывались два ряда отверстий. При движении ленты замыкали контакты одного из двух узлов. Это вызывало поворот руля управляемого объекта в соответствующую сторону. Отверстия на ленте накалывались с учетом масштаба движения ленты и угла, которому соответствовал поворот от одного замыкания цепи, чтобы поворот объекта происходил в нужную сторону и на нужный угол. Контакты прибору можно было давать и при помощи беспроволочного телеграфа. Предусматривалось использование гироскопа вместо магнитной стрелки. В 1915 г. он получил привилегию на изобретение, названное“ Гироскопом”. Гироскопический прибор Ульянина принудительно и автоматически возвращался в первоначальное положение в случае отклонения его от такового. Для осуществления такого маневра разработчик создал конструкцию, не требующую дополнительных измерительных (наблюдающих углы поворота) устройств, как это делается в современных гироскопических системах. Ульянин стал пионером практического применения гироскопа в начале ХХ века. В 1916 г. он получил патент Англии на электрическое реле очень высокой чувствительности – третье изобретение, защищавшее разработку – характеризовавшееся тем, что колебания его арматуры, создаваемые серией импульсов управляющего контура, преобразовывались во вращательное движение. Предусматривался тормоз, обеспечивающий возможность замыкания управляемого контура только нужной частоты тока. Использовался принцип отставания или торможения маховика. Это изобретение было применено в устройстве защиты прибора от помех. Надежность системы значительно повысилась (11221).</w:t>
      </w:r>
    </w:p>
    <w:p w14:paraId="3423EC4C" w14:textId="77777777" w:rsidR="004B4E35" w:rsidRPr="00405303" w:rsidRDefault="004B4E35" w:rsidP="00C15251">
      <w:pPr>
        <w:jc w:val="both"/>
        <w:rPr>
          <w:rStyle w:val="11"/>
          <w:b w:val="0"/>
          <w:bCs/>
          <w:color w:val="002060"/>
          <w:sz w:val="16"/>
          <w:szCs w:val="16"/>
        </w:rPr>
      </w:pPr>
    </w:p>
    <w:p w14:paraId="340AC1F7" w14:textId="6916152E" w:rsidR="004B4E35" w:rsidRPr="00405303" w:rsidRDefault="009E6F82" w:rsidP="00C15251">
      <w:pPr>
        <w:jc w:val="both"/>
        <w:rPr>
          <w:bCs/>
          <w:color w:val="002060"/>
          <w:sz w:val="16"/>
          <w:szCs w:val="16"/>
        </w:rPr>
      </w:pPr>
      <w:r w:rsidRPr="00405303">
        <w:rPr>
          <w:bCs/>
          <w:color w:val="002060"/>
          <w:sz w:val="16"/>
          <w:szCs w:val="16"/>
        </w:rPr>
        <w:t xml:space="preserve">10 </w:t>
      </w:r>
      <w:r w:rsidR="00351CDC" w:rsidRPr="00405303">
        <w:rPr>
          <w:bCs/>
          <w:color w:val="002060"/>
          <w:sz w:val="16"/>
          <w:szCs w:val="16"/>
        </w:rPr>
        <w:t xml:space="preserve">(23) </w:t>
      </w:r>
      <w:r w:rsidRPr="00405303">
        <w:rPr>
          <w:bCs/>
          <w:color w:val="002060"/>
          <w:sz w:val="16"/>
          <w:szCs w:val="16"/>
        </w:rPr>
        <w:t xml:space="preserve">октября 1915 г. начальник авиации Черноморского флота старший лейтенант Стаховский писал в Морской генеральный штаб: "...Боевыми аппаратами можно считать лишь Щетинины типа М-5, коих имеется 17, но за недо-статком моторов из них могут действовать лишь 14". Дополним эти сведения: в ноябре 1916 г. на Черном море их числилось 45 экземпляров, в конце 1 917 г. - 24 экземпляра. </w:t>
      </w:r>
    </w:p>
    <w:p w14:paraId="1BBFDEB3" w14:textId="77777777" w:rsidR="004B4E35" w:rsidRPr="00405303" w:rsidRDefault="009E6F82" w:rsidP="00C15251">
      <w:pPr>
        <w:jc w:val="both"/>
        <w:rPr>
          <w:bCs/>
          <w:color w:val="002060"/>
          <w:sz w:val="16"/>
          <w:szCs w:val="16"/>
        </w:rPr>
      </w:pPr>
      <w:r w:rsidRPr="00405303">
        <w:rPr>
          <w:bCs/>
          <w:color w:val="002060"/>
          <w:sz w:val="16"/>
          <w:szCs w:val="16"/>
        </w:rPr>
        <w:lastRenderedPageBreak/>
        <w:t>Вооружение боевых М-5 состояло из одного пулемета "Максим", "Виккерс" или "Льюис", установленных на треноге перед правым членом экипажа, нескольких 8-ми или 50-ти фунтовых бомб. С ноября 1915 г. на отдельных экземплярах ус-танавливали радиотелеграфные станции разных типов с дальностью связи свыше 40 км и фотоаппараты "Потте".</w:t>
      </w:r>
    </w:p>
    <w:p w14:paraId="2ACF34D2" w14:textId="77777777" w:rsidR="004B4E35" w:rsidRPr="00405303" w:rsidRDefault="009E6F82" w:rsidP="00C15251">
      <w:pPr>
        <w:jc w:val="both"/>
        <w:rPr>
          <w:bCs/>
          <w:color w:val="002060"/>
          <w:sz w:val="16"/>
          <w:szCs w:val="16"/>
        </w:rPr>
      </w:pPr>
      <w:r w:rsidRPr="00405303">
        <w:rPr>
          <w:bCs/>
          <w:color w:val="002060"/>
          <w:sz w:val="16"/>
          <w:szCs w:val="16"/>
        </w:rPr>
        <w:t>Черноморские М-5 базировались в Севастополе (1-й и 2-й отряды Воздушной дивизии), Одессе и Батуме (Кавказский фронт). Кроме этого, часть аппаратов была приписана к 1, 2, 3-му корабельным авиаотрядам на гидрокрейсерах "Император Александр I", "Император Николай I", "Алмаз". В отдельных случаях самолеты транспортировали на крейсере "Память Меркурия". Самолеты корабельной авиации участвовали в рейдах к берегам Турции и Болгарии.</w:t>
      </w:r>
    </w:p>
    <w:p w14:paraId="6A2A342D" w14:textId="77777777" w:rsidR="004B4E35" w:rsidRPr="00405303" w:rsidRDefault="009E6F82" w:rsidP="00C15251">
      <w:pPr>
        <w:jc w:val="both"/>
        <w:rPr>
          <w:bCs/>
          <w:color w:val="002060"/>
          <w:sz w:val="16"/>
          <w:szCs w:val="16"/>
        </w:rPr>
      </w:pPr>
      <w:r w:rsidRPr="00405303">
        <w:rPr>
          <w:bCs/>
          <w:color w:val="002060"/>
          <w:sz w:val="16"/>
          <w:szCs w:val="16"/>
        </w:rPr>
        <w:t>Большую огласку получила атака турецкого порта Зонгулдак в январе 1916 г. Целью этой набеговой операции значилось нарушение турецких перевозок угля из Зон- гулдакского угольного района в Константинополь. Уголь доставляли морем по причине отсутствия полноценного железнодорожного сообщения. Эффективность русских боевых кораблей в противодей-ствии турецким перевозкам угля оценивалась высоко, однако в начале 1916 г. последовало решение нанести удар по Зонгулдаку с использованием авиации.</w:t>
      </w:r>
    </w:p>
    <w:p w14:paraId="7020A505" w14:textId="77777777" w:rsidR="004B4E35" w:rsidRPr="00405303" w:rsidRDefault="009E6F82" w:rsidP="00C15251">
      <w:pPr>
        <w:jc w:val="both"/>
        <w:rPr>
          <w:bCs/>
          <w:color w:val="002060"/>
          <w:sz w:val="16"/>
          <w:szCs w:val="16"/>
        </w:rPr>
      </w:pPr>
      <w:r w:rsidRPr="00405303">
        <w:rPr>
          <w:bCs/>
          <w:color w:val="002060"/>
          <w:sz w:val="16"/>
          <w:szCs w:val="16"/>
        </w:rPr>
        <w:t>В составе эскадры, вышедшей из Севастополя 24 января 1916 г. находились авиатранспорты "Император Александр I" и "Император Николай I", которые имели на борту 1 4 летающих лодок "Кертисс" и М-5. Авиационной группе ставилась задача атаковать турецкие объекты, недоступные корабельной артиллерии. Каждый гидроплан был вооружен двумя двухпудовыми и несколькими десятифунтовыми бомбами. Примерно в 15 милях к северу от Зонгулдака авиатранспорты спустили самолеты на воду, после чего вся группа стартовала в воздух. До цели долетели 1 1 машин, остальные по причине неисправностей вернулись назад. Бомбардировка порта велась в условиях плотной облачности и активного обстрела с земли. Тем не менее, ударом с воздуха удалось уничтожить турецкий пароход "Ирмингард" (1гт1пНагс1), несколько мелких судов и разрушить портовые объекты.</w:t>
      </w:r>
    </w:p>
    <w:p w14:paraId="2F67A8A1" w14:textId="77777777" w:rsidR="004B4E35" w:rsidRPr="00405303" w:rsidRDefault="009E6F82" w:rsidP="00C15251">
      <w:pPr>
        <w:jc w:val="both"/>
        <w:rPr>
          <w:bCs/>
          <w:color w:val="002060"/>
          <w:sz w:val="16"/>
          <w:szCs w:val="16"/>
        </w:rPr>
      </w:pPr>
      <w:r w:rsidRPr="00405303">
        <w:rPr>
          <w:bCs/>
          <w:color w:val="002060"/>
          <w:sz w:val="16"/>
          <w:szCs w:val="16"/>
        </w:rPr>
        <w:t>В 1916-17 гг. летающие лодки М-5 продолжали активно использоваться в интересах Черноморского флота и своим присутствием существенно повлияли на достижение успеха во многих боевых операциях. В начале 1918 г. практически все черноморские М-5 оказались в зоне белого движения и австрийской оккупации. В летном состоянии оставались лишь единичные экземпляры, которые просуществовали до 1919-20 гг.</w:t>
      </w:r>
    </w:p>
    <w:p w14:paraId="36BCED0C" w14:textId="77777777" w:rsidR="004B4E35" w:rsidRPr="00405303" w:rsidRDefault="009E6F82" w:rsidP="00C15251">
      <w:pPr>
        <w:jc w:val="both"/>
        <w:rPr>
          <w:bCs/>
          <w:color w:val="002060"/>
          <w:sz w:val="16"/>
          <w:szCs w:val="16"/>
        </w:rPr>
      </w:pPr>
      <w:r w:rsidRPr="00405303">
        <w:rPr>
          <w:bCs/>
          <w:color w:val="002060"/>
          <w:sz w:val="16"/>
          <w:szCs w:val="16"/>
        </w:rPr>
        <w:t>На Балтике "пятаки" дебютировали как учебные машины при открытии в Петрограде 28 июля 1915 г. офицерской школы морской авиации. Поначалу в ней имелись 4 лодки М-5 и две французские ФБА. Одновременно с функционирующей школой в Петрограде решили открыть ее отделение в Баку - к обучению летчиков на Каспийском море приступили 22 ноября 1915 г.</w:t>
      </w:r>
    </w:p>
    <w:p w14:paraId="08DEC6EB" w14:textId="77777777" w:rsidR="004B4E35" w:rsidRPr="00405303" w:rsidRDefault="009E6F82" w:rsidP="00C15251">
      <w:pPr>
        <w:jc w:val="both"/>
        <w:rPr>
          <w:bCs/>
          <w:color w:val="002060"/>
          <w:sz w:val="16"/>
          <w:szCs w:val="16"/>
        </w:rPr>
      </w:pPr>
      <w:r w:rsidRPr="00405303">
        <w:rPr>
          <w:bCs/>
          <w:color w:val="002060"/>
          <w:sz w:val="16"/>
          <w:szCs w:val="16"/>
        </w:rPr>
        <w:t>Бакинский филиал с начала 1917 г. стал самостоятельной летной школой с прекрасно оборудованными мастерскими, ангарами и спусками на воду. В лучшие времена здесь эксплуатировалось до 20 учебных гидросамолетов М-5. Часть из них в середине 1918 г. принимала участие в отражении турецкого наступления в Закавказье, действуя в интересах оставшихся подразделений русской армии. Между тем, активное использование вело к неуклонному снижению количества пригодных к полетам машин, поэтому в 1919 г. здесь оставалось лишь два экземпляра М-5. В последующих бурных событиях гражданской войны Бакинская школа и ее имущество перестали существовать.</w:t>
      </w:r>
    </w:p>
    <w:p w14:paraId="6581EBE0" w14:textId="77777777" w:rsidR="004B4E35" w:rsidRPr="00405303" w:rsidRDefault="009E6F82" w:rsidP="00C15251">
      <w:pPr>
        <w:jc w:val="both"/>
        <w:rPr>
          <w:bCs/>
          <w:color w:val="002060"/>
          <w:sz w:val="16"/>
          <w:szCs w:val="16"/>
        </w:rPr>
      </w:pPr>
      <w:r w:rsidRPr="00405303">
        <w:rPr>
          <w:bCs/>
          <w:color w:val="002060"/>
          <w:sz w:val="16"/>
          <w:szCs w:val="16"/>
        </w:rPr>
        <w:t>Точное количество учебных аппаратов, используемых петроградской школой неизвестно, скорее всего, в течение двух лет здесь их применялось до двух десятков экземпляров. В апреле 1918 г., в связи с угрозой немецкого вторжения, школу эвакуировали в Нижний Новгород - на Волгу отправились 5 учебных М-5. Такое же количество учебных "пятаков" насчитывалось в морской школе летчиков им. Троцкого, открытой 11 ноября 1918 г. на Гу- туевском острове в Петрограде. В период с мая по октябрь 1919 г. летающие лодки этой школы принимали участие в боевых действиях против армии генерала Юденича, наступавшей на Петроград. В декабре 1919 г. оба упомянутые учебные заведения объединили в Военно-морскую школу авиации и перевели в Самару на Волге. Объединенная школа базировалась на барже "Евпраксия", которая была оборудована ангаром и спуском для гидросамолетов. В период 1920- 1921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середины 1920-х годов. Известно, что в декабре 1925 г. в составе советской авиации числилось 22 таких учебных летающих лодки (очевидно совместно с М-20, отличавшейся в основном двигателем).</w:t>
      </w:r>
    </w:p>
    <w:p w14:paraId="4442EDA8" w14:textId="77777777" w:rsidR="004B4E35" w:rsidRPr="00405303" w:rsidRDefault="009E6F82" w:rsidP="00C15251">
      <w:pPr>
        <w:jc w:val="both"/>
        <w:rPr>
          <w:bCs/>
          <w:color w:val="002060"/>
          <w:sz w:val="16"/>
          <w:szCs w:val="16"/>
        </w:rPr>
      </w:pPr>
      <w:r w:rsidRPr="00405303">
        <w:rPr>
          <w:bCs/>
          <w:color w:val="002060"/>
          <w:sz w:val="16"/>
          <w:szCs w:val="16"/>
        </w:rPr>
        <w:t>Помимо эксплуатации в России, по крайней мере, одна лодка М-5 после 1917 г. использовалась в Финляндии. Еще один экземпляр в ходе войны достался Турции, где сохранился до наших дней в авиационном музее Стамбула - Науа Мизеа (12083).</w:t>
      </w:r>
    </w:p>
    <w:p w14:paraId="56A4147B" w14:textId="77777777" w:rsidR="004B4E35" w:rsidRPr="00405303" w:rsidRDefault="004B4E35" w:rsidP="00C15251">
      <w:pPr>
        <w:jc w:val="both"/>
        <w:rPr>
          <w:bCs/>
          <w:color w:val="002060"/>
          <w:sz w:val="16"/>
          <w:szCs w:val="16"/>
        </w:rPr>
      </w:pPr>
    </w:p>
    <w:p w14:paraId="6FB29357" w14:textId="7EE3D8B4"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10 </w:t>
      </w:r>
      <w:r w:rsidR="00351CDC" w:rsidRPr="00405303">
        <w:rPr>
          <w:bCs/>
          <w:color w:val="002060"/>
          <w:sz w:val="16"/>
          <w:szCs w:val="16"/>
        </w:rPr>
        <w:t xml:space="preserve">(23) </w:t>
      </w:r>
      <w:r w:rsidRPr="00405303">
        <w:rPr>
          <w:bCs/>
          <w:color w:val="002060"/>
          <w:sz w:val="16"/>
          <w:szCs w:val="16"/>
        </w:rPr>
        <w:t xml:space="preserve">октября 1915 г. </w:t>
      </w:r>
      <w:r w:rsidR="00351CDC" w:rsidRPr="00405303">
        <w:rPr>
          <w:bCs/>
          <w:color w:val="002060"/>
          <w:sz w:val="16"/>
          <w:szCs w:val="16"/>
        </w:rPr>
        <w:t xml:space="preserve">находившийся в командировке в Буффало лейтенант В.В. Утгоф в своём письме </w:t>
      </w:r>
      <w:r w:rsidRPr="00405303">
        <w:rPr>
          <w:bCs/>
          <w:color w:val="002060"/>
          <w:sz w:val="16"/>
          <w:szCs w:val="16"/>
        </w:rPr>
        <w:t>старшему лейтенанту Тучкову да</w:t>
      </w:r>
      <w:r w:rsidRPr="00405303">
        <w:rPr>
          <w:bCs/>
          <w:color w:val="002060"/>
          <w:sz w:val="16"/>
          <w:szCs w:val="16"/>
        </w:rPr>
        <w:softHyphen/>
        <w:t>вал высокую оценку Джанису: «...Настоящее письмо вручит тебе Джон и с, который едет в Севасто</w:t>
      </w:r>
      <w:r w:rsidRPr="00405303">
        <w:rPr>
          <w:bCs/>
          <w:color w:val="002060"/>
          <w:sz w:val="16"/>
          <w:szCs w:val="16"/>
        </w:rPr>
        <w:softHyphen/>
        <w:t>поль в качестве пилота. На этот раз Кертисс посылает действительно одного из лучших своих пилотов. М.Джанис не только пилот, но и конструктор: он принимал участие в конструировании аэроплана типа «Канада» с двумя 160-сильными моторами, заказанного англичана</w:t>
      </w:r>
      <w:r w:rsidRPr="00405303">
        <w:rPr>
          <w:bCs/>
          <w:color w:val="002060"/>
          <w:sz w:val="16"/>
          <w:szCs w:val="16"/>
        </w:rPr>
        <w:softHyphen/>
        <w:t>ми, и лично летал на нём. Так что он может рассказать тебе о каче</w:t>
      </w:r>
      <w:r w:rsidRPr="00405303">
        <w:rPr>
          <w:bCs/>
          <w:color w:val="002060"/>
          <w:sz w:val="16"/>
          <w:szCs w:val="16"/>
        </w:rPr>
        <w:softHyphen/>
        <w:t>ствах этой машины... Джаниса я рекомендую тебе, как человека, очень симпатично относящегося ко мне, и поэтому прошу, если тебя это не затруднит, облегчить ему проезд в Севастополь, так как по-русски он, конечно, ни бе, ни ме. Думаю, что Кертисс посылает его не только как пилота, но и как раз</w:t>
      </w:r>
      <w:r w:rsidRPr="00405303">
        <w:rPr>
          <w:bCs/>
          <w:color w:val="002060"/>
          <w:sz w:val="16"/>
          <w:szCs w:val="16"/>
        </w:rPr>
        <w:softHyphen/>
        <w:t>ведчика по части основания заво</w:t>
      </w:r>
      <w:r w:rsidRPr="00405303">
        <w:rPr>
          <w:bCs/>
          <w:color w:val="002060"/>
          <w:sz w:val="16"/>
          <w:szCs w:val="16"/>
        </w:rPr>
        <w:softHyphen/>
        <w:t>да в России. Только не спугни его сообщением, что ты знаешь что-нибудь об этом. Шельмы адски осторожны и держат всё в тайне. Однако имей в виду, что если этот Джанис убедится в выгоде основа</w:t>
      </w:r>
      <w:r w:rsidRPr="00405303">
        <w:rPr>
          <w:bCs/>
          <w:color w:val="002060"/>
          <w:sz w:val="16"/>
          <w:szCs w:val="16"/>
        </w:rPr>
        <w:softHyphen/>
        <w:t>ния завода в России, это сильно повлияет на Кертисса. Посоветуй князю Мурузи расспросить Джани</w:t>
      </w:r>
      <w:r w:rsidRPr="00405303">
        <w:rPr>
          <w:bCs/>
          <w:color w:val="002060"/>
          <w:sz w:val="16"/>
          <w:szCs w:val="16"/>
        </w:rPr>
        <w:softHyphen/>
        <w:t>са насчёт сухопутных машин Кер</w:t>
      </w:r>
      <w:r w:rsidRPr="00405303">
        <w:rPr>
          <w:bCs/>
          <w:color w:val="002060"/>
          <w:sz w:val="16"/>
          <w:szCs w:val="16"/>
        </w:rPr>
        <w:softHyphen/>
        <w:t>тисса. Как конструктор он парень, по-видимому, самолюбивый и в ком</w:t>
      </w:r>
      <w:r w:rsidRPr="00405303">
        <w:rPr>
          <w:bCs/>
          <w:color w:val="002060"/>
          <w:sz w:val="16"/>
          <w:szCs w:val="16"/>
        </w:rPr>
        <w:softHyphen/>
        <w:t>пании Кертисса служит недавно, так что будет рассказывать о чу</w:t>
      </w:r>
      <w:r w:rsidRPr="00405303">
        <w:rPr>
          <w:bCs/>
          <w:color w:val="002060"/>
          <w:sz w:val="16"/>
          <w:szCs w:val="16"/>
        </w:rPr>
        <w:softHyphen/>
        <w:t>жих машинах не очень восторжен</w:t>
      </w:r>
      <w:r w:rsidRPr="00405303">
        <w:rPr>
          <w:bCs/>
          <w:color w:val="002060"/>
          <w:sz w:val="16"/>
          <w:szCs w:val="16"/>
        </w:rPr>
        <w:softHyphen/>
        <w:t>но, а потому искренне». В другом письме Тучкову лейте</w:t>
      </w:r>
      <w:r w:rsidRPr="00405303">
        <w:rPr>
          <w:bCs/>
          <w:color w:val="002060"/>
          <w:sz w:val="16"/>
          <w:szCs w:val="16"/>
        </w:rPr>
        <w:softHyphen/>
        <w:t>нант Утгоф, даёт характеристику состоянию авиационного дела в Америке: «...В общем, в настоящий момент в Америке фактически име</w:t>
      </w:r>
      <w:r w:rsidRPr="00405303">
        <w:rPr>
          <w:bCs/>
          <w:color w:val="002060"/>
          <w:sz w:val="16"/>
          <w:szCs w:val="16"/>
        </w:rPr>
        <w:softHyphen/>
        <w:t>ется только один хорошо оборудо</w:t>
      </w:r>
      <w:r w:rsidRPr="00405303">
        <w:rPr>
          <w:bCs/>
          <w:color w:val="002060"/>
          <w:sz w:val="16"/>
          <w:szCs w:val="16"/>
        </w:rPr>
        <w:softHyphen/>
        <w:t>ванный авиационный завод - это завод Кертисса. Остальные же на</w:t>
      </w:r>
      <w:r w:rsidRPr="00405303">
        <w:rPr>
          <w:bCs/>
          <w:color w:val="002060"/>
          <w:sz w:val="16"/>
          <w:szCs w:val="16"/>
        </w:rPr>
        <w:softHyphen/>
        <w:t>ходятся в различных периодах раз</w:t>
      </w:r>
      <w:r w:rsidRPr="00405303">
        <w:rPr>
          <w:bCs/>
          <w:color w:val="002060"/>
          <w:sz w:val="16"/>
          <w:szCs w:val="16"/>
        </w:rPr>
        <w:softHyphen/>
        <w:t>вития. Как-то странно, что и среди авиационных моторов мотор Кер</w:t>
      </w:r>
      <w:r w:rsidRPr="00405303">
        <w:rPr>
          <w:bCs/>
          <w:color w:val="002060"/>
          <w:sz w:val="16"/>
          <w:szCs w:val="16"/>
        </w:rPr>
        <w:softHyphen/>
        <w:t>тисса считается здесь самым бла</w:t>
      </w:r>
      <w:r w:rsidRPr="00405303">
        <w:rPr>
          <w:bCs/>
          <w:color w:val="002060"/>
          <w:sz w:val="16"/>
          <w:szCs w:val="16"/>
        </w:rPr>
        <w:softHyphen/>
        <w:t>гонадёжным. Все конструкторы рав</w:t>
      </w:r>
      <w:r w:rsidRPr="00405303">
        <w:rPr>
          <w:bCs/>
          <w:color w:val="002060"/>
          <w:sz w:val="16"/>
          <w:szCs w:val="16"/>
        </w:rPr>
        <w:softHyphen/>
        <w:t>няются по Кертиссу и почти каждый мало-мальски приличный аэроплан есть разновидность типа Кертисса». В связи с этим как-то не совсем по</w:t>
      </w:r>
      <w:r w:rsidRPr="00405303">
        <w:rPr>
          <w:bCs/>
          <w:color w:val="002060"/>
          <w:sz w:val="16"/>
          <w:szCs w:val="16"/>
        </w:rPr>
        <w:softHyphen/>
        <w:t>нятно, почему в России оказалось так много претензий к самолёту и двигателю фирмы «Кертисс» (11759).</w:t>
      </w:r>
    </w:p>
    <w:p w14:paraId="30CB5696" w14:textId="3F09DEA3" w:rsidR="004B4E35" w:rsidRPr="00405303" w:rsidRDefault="004B4E35" w:rsidP="00C15251">
      <w:pPr>
        <w:shd w:val="clear" w:color="auto" w:fill="FFFFFF"/>
        <w:jc w:val="both"/>
        <w:rPr>
          <w:bCs/>
          <w:color w:val="002060"/>
          <w:sz w:val="16"/>
          <w:szCs w:val="16"/>
        </w:rPr>
      </w:pPr>
    </w:p>
    <w:p w14:paraId="1E45B7B7" w14:textId="3F523A2A" w:rsidR="0075696C" w:rsidRPr="00405303" w:rsidRDefault="0075696C" w:rsidP="00C15251">
      <w:pPr>
        <w:jc w:val="both"/>
        <w:rPr>
          <w:bCs/>
          <w:i/>
          <w:color w:val="002060"/>
          <w:sz w:val="16"/>
          <w:szCs w:val="16"/>
        </w:rPr>
      </w:pPr>
      <w:r w:rsidRPr="00405303">
        <w:rPr>
          <w:bCs/>
          <w:i/>
          <w:color w:val="002060"/>
          <w:sz w:val="16"/>
          <w:szCs w:val="16"/>
        </w:rPr>
        <w:t>Авиация:</w:t>
      </w:r>
    </w:p>
    <w:p w14:paraId="73A5AA50" w14:textId="77777777" w:rsidR="0075696C" w:rsidRPr="00405303" w:rsidRDefault="0075696C" w:rsidP="00C15251">
      <w:pPr>
        <w:jc w:val="both"/>
        <w:rPr>
          <w:bCs/>
          <w:i/>
          <w:color w:val="002060"/>
          <w:sz w:val="16"/>
          <w:szCs w:val="16"/>
        </w:rPr>
      </w:pPr>
    </w:p>
    <w:p w14:paraId="3583C02A" w14:textId="1E999462" w:rsidR="0075696C" w:rsidRPr="00405303" w:rsidRDefault="0075696C" w:rsidP="00C15251">
      <w:pPr>
        <w:jc w:val="both"/>
        <w:rPr>
          <w:bCs/>
          <w:color w:val="002060"/>
          <w:sz w:val="16"/>
          <w:szCs w:val="16"/>
        </w:rPr>
      </w:pPr>
      <w:r w:rsidRPr="00405303">
        <w:rPr>
          <w:bCs/>
          <w:color w:val="002060"/>
          <w:sz w:val="16"/>
          <w:szCs w:val="16"/>
          <w:lang w:bidi="en-US"/>
        </w:rPr>
        <w:t>С 10 (23) октября 1915 канцелярия Великокняжеской коллегии Воздушного Флота стала официально именоваться Канцелярией - Полевым Генеральным Инспектором Военно-Воздушного Флота (АВИАКАНЦ). Его штаб находился в Киеве. Ему подчинялся инспектор Воздушного флота на фронте в Ставке (23525).</w:t>
      </w:r>
    </w:p>
    <w:p w14:paraId="5186C3D3" w14:textId="77777777" w:rsidR="0075696C" w:rsidRPr="00405303" w:rsidRDefault="0075696C" w:rsidP="00C15251">
      <w:pPr>
        <w:shd w:val="clear" w:color="auto" w:fill="FFFFFF"/>
        <w:jc w:val="both"/>
        <w:rPr>
          <w:bCs/>
          <w:i/>
          <w:iCs/>
          <w:color w:val="002060"/>
          <w:sz w:val="16"/>
          <w:szCs w:val="16"/>
        </w:rPr>
      </w:pPr>
    </w:p>
    <w:p w14:paraId="07EC12A3" w14:textId="77777777" w:rsidR="004D55F9" w:rsidRPr="00405303" w:rsidRDefault="004D55F9" w:rsidP="00C15251">
      <w:pPr>
        <w:jc w:val="both"/>
        <w:rPr>
          <w:bCs/>
          <w:color w:val="002060"/>
          <w:sz w:val="16"/>
          <w:szCs w:val="16"/>
        </w:rPr>
      </w:pPr>
      <w:bookmarkStart w:id="276" w:name="bookmark274"/>
      <w:bookmarkStart w:id="277" w:name="bookmark275"/>
      <w:r w:rsidRPr="00405303">
        <w:rPr>
          <w:bCs/>
          <w:color w:val="002060"/>
          <w:sz w:val="16"/>
          <w:szCs w:val="16"/>
        </w:rPr>
        <w:t>В первой декаде октября 1915 г. увеличившаяся авиационная группировка австро-германских войск на русско-германском фронте, получившая оставленные воздушные базы и аэродромную сеть на захваченную часть территории Польши и Прибалтики, заметно расширило зону досягаемости неприятельской авиации, и воздушным налетам подверглись г. Двинск, Минск, железнодорожные станции Ремерогоф (севернее Фридрихштадта (Яунелгава)) и Ниугаль (севернее Двинска) и др. Ранее русская артиллерия сорвала попытку немецкой авиации провести воздушную разведку и бомбардировку объектов в районе г. Шлок (23405).</w:t>
      </w:r>
      <w:bookmarkEnd w:id="276"/>
      <w:bookmarkEnd w:id="277"/>
    </w:p>
    <w:p w14:paraId="0693BC87" w14:textId="77777777" w:rsidR="004D55F9" w:rsidRPr="00405303" w:rsidRDefault="004D55F9" w:rsidP="00C15251">
      <w:pPr>
        <w:jc w:val="both"/>
        <w:rPr>
          <w:bCs/>
          <w:color w:val="002060"/>
          <w:sz w:val="16"/>
          <w:szCs w:val="16"/>
        </w:rPr>
      </w:pPr>
    </w:p>
    <w:p w14:paraId="4A1597E1" w14:textId="77777777" w:rsidR="008C3A04" w:rsidRPr="00405303" w:rsidRDefault="008C3A04" w:rsidP="008C3A04">
      <w:pPr>
        <w:jc w:val="both"/>
        <w:rPr>
          <w:bCs/>
          <w:i/>
          <w:color w:val="002060"/>
          <w:sz w:val="16"/>
          <w:szCs w:val="16"/>
        </w:rPr>
      </w:pPr>
      <w:r w:rsidRPr="00405303">
        <w:rPr>
          <w:bCs/>
          <w:i/>
          <w:color w:val="002060"/>
          <w:sz w:val="16"/>
          <w:szCs w:val="16"/>
        </w:rPr>
        <w:t>Авиация:</w:t>
      </w:r>
    </w:p>
    <w:p w14:paraId="39707F16" w14:textId="77777777" w:rsidR="008C3A04" w:rsidRPr="00405303" w:rsidRDefault="008C3A04" w:rsidP="008C3A04">
      <w:pPr>
        <w:jc w:val="both"/>
        <w:rPr>
          <w:bCs/>
          <w:i/>
          <w:color w:val="002060"/>
          <w:sz w:val="16"/>
          <w:szCs w:val="16"/>
        </w:rPr>
      </w:pPr>
    </w:p>
    <w:p w14:paraId="114F9A03" w14:textId="77777777" w:rsidR="008C3A04" w:rsidRPr="00B52707" w:rsidRDefault="008C3A04" w:rsidP="008C3A04">
      <w:pPr>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В ночь на 10 (23) октября 1915 г. в небе г. Рига появился цеппелин (по другим данным – два воздушных корабля) и сбросил (-ли) на городские кварталы несколько десятков бомб (без ущерба для военных объектов). Очевидцы этого воздушного налета так его в дальнейшем описывали: «В 12 час. 45 мин. ночи вдруг раздался оглушительный взрыв, который положительно потряс весь город. В первый момент казалось, что это разорвался неприятельский „чемодан“, – так велика была сила взрыва. Вскоре послышались разрывы шрапнелей и трескотня пулеметов. Все поняли, что наши батареи и пулеметы открыли огонь по воздушному хищнику. В течение нескольких минут царила зловещая тишина. Потом вдруг опять все задрожало кругом. Взрыв следовал за взрывом, так что трудно было даже определить, где именно разрывались бомбы – близко или далеко.</w:t>
      </w:r>
    </w:p>
    <w:p w14:paraId="35D42F45" w14:textId="77777777" w:rsidR="008C3A04" w:rsidRPr="00B52707" w:rsidRDefault="008C3A04" w:rsidP="008C3A04">
      <w:pPr>
        <w:jc w:val="both"/>
        <w:rPr>
          <w:color w:val="0070C0"/>
          <w:sz w:val="16"/>
          <w:szCs w:val="16"/>
        </w:rPr>
      </w:pPr>
      <w:r w:rsidRPr="00B52707">
        <w:rPr>
          <w:rStyle w:val="aa"/>
          <w:rFonts w:ascii="Times New Roman" w:hAnsi="Times New Roman"/>
          <w:color w:val="0070C0"/>
          <w:spacing w:val="0"/>
          <w:sz w:val="16"/>
          <w:szCs w:val="16"/>
        </w:rPr>
        <w:lastRenderedPageBreak/>
        <w:t>Вскоре выяснилось, что на Ригу совершили набег два германских цеппелина. Сколько было сброшено бомб, определить трудно: одни насчитали 36 взрывов, другие – 50, третьи – и того больше. Около часа ночи взрывы прекратились, – очевидно, цеппелины исчезли, – но лучи прожекторов долго еще бродили по небу, разыскивая воздушных хищников».</w:t>
      </w:r>
    </w:p>
    <w:p w14:paraId="28263D2A" w14:textId="77777777" w:rsidR="008C3A04" w:rsidRPr="00B52707" w:rsidRDefault="008C3A04" w:rsidP="008C3A04">
      <w:pPr>
        <w:jc w:val="both"/>
        <w:rPr>
          <w:color w:val="0070C0"/>
          <w:sz w:val="16"/>
          <w:szCs w:val="16"/>
        </w:rPr>
      </w:pPr>
      <w:r w:rsidRPr="00B52707">
        <w:rPr>
          <w:rStyle w:val="aa"/>
          <w:rFonts w:ascii="Times New Roman" w:hAnsi="Times New Roman"/>
          <w:color w:val="0070C0"/>
          <w:spacing w:val="0"/>
          <w:sz w:val="16"/>
          <w:szCs w:val="16"/>
        </w:rPr>
        <w:t>Вечером того же дня город подвергся очередной воздушной бомбардировке (с борта немецкого самолета сброшено 4 бомбы). По сообщению газеты «Раннее утро»: «Одна из бомб попала во двор одного завода, другая – в сад»</w:t>
      </w:r>
      <w:r w:rsidRPr="00B52707">
        <w:rPr>
          <w:color w:val="0070C0"/>
          <w:sz w:val="16"/>
          <w:szCs w:val="16"/>
        </w:rPr>
        <w:t xml:space="preserve"> </w:t>
      </w:r>
      <w:r w:rsidRPr="00B52707">
        <w:rPr>
          <w:rStyle w:val="aa"/>
          <w:rFonts w:ascii="Times New Roman" w:hAnsi="Times New Roman"/>
          <w:color w:val="0070C0"/>
          <w:spacing w:val="0"/>
          <w:sz w:val="16"/>
          <w:szCs w:val="16"/>
        </w:rPr>
        <w:t>(25135).</w:t>
      </w:r>
    </w:p>
    <w:p w14:paraId="5E053897" w14:textId="77777777" w:rsidR="008C3A04" w:rsidRPr="00B52707" w:rsidRDefault="008C3A04" w:rsidP="008C3A04">
      <w:pPr>
        <w:jc w:val="both"/>
        <w:rPr>
          <w:rStyle w:val="aa"/>
          <w:rFonts w:ascii="Times New Roman" w:hAnsi="Times New Roman"/>
          <w:color w:val="0070C0"/>
          <w:spacing w:val="0"/>
          <w:sz w:val="16"/>
          <w:szCs w:val="16"/>
        </w:rPr>
      </w:pPr>
    </w:p>
    <w:p w14:paraId="5FED0368" w14:textId="24DF5BC0" w:rsidR="004D55F9" w:rsidRPr="00405303" w:rsidRDefault="004D55F9" w:rsidP="00C15251">
      <w:pPr>
        <w:shd w:val="clear" w:color="auto" w:fill="FFFFFF"/>
        <w:jc w:val="both"/>
        <w:rPr>
          <w:bCs/>
          <w:i/>
          <w:iCs/>
          <w:color w:val="002060"/>
          <w:sz w:val="16"/>
          <w:szCs w:val="16"/>
        </w:rPr>
      </w:pPr>
      <w:r w:rsidRPr="00405303">
        <w:rPr>
          <w:bCs/>
          <w:i/>
          <w:iCs/>
          <w:color w:val="002060"/>
          <w:sz w:val="16"/>
          <w:szCs w:val="16"/>
        </w:rPr>
        <w:t>Морская авиация:</w:t>
      </w:r>
    </w:p>
    <w:p w14:paraId="39800E0F" w14:textId="77777777" w:rsidR="004D55F9" w:rsidRPr="00405303" w:rsidRDefault="004D55F9" w:rsidP="00C15251">
      <w:pPr>
        <w:shd w:val="clear" w:color="auto" w:fill="FFFFFF"/>
        <w:jc w:val="both"/>
        <w:rPr>
          <w:bCs/>
          <w:i/>
          <w:iCs/>
          <w:color w:val="002060"/>
          <w:sz w:val="16"/>
          <w:szCs w:val="16"/>
        </w:rPr>
      </w:pPr>
    </w:p>
    <w:p w14:paraId="00A82D1F" w14:textId="79BF0A26" w:rsidR="004D55F9" w:rsidRPr="00405303" w:rsidRDefault="004D55F9" w:rsidP="00C15251">
      <w:pPr>
        <w:jc w:val="both"/>
        <w:rPr>
          <w:bCs/>
          <w:color w:val="002060"/>
          <w:sz w:val="16"/>
          <w:szCs w:val="16"/>
          <w:lang w:bidi="ru-RU"/>
        </w:rPr>
      </w:pPr>
      <w:r w:rsidRPr="00405303">
        <w:rPr>
          <w:bCs/>
          <w:color w:val="002060"/>
          <w:sz w:val="16"/>
          <w:szCs w:val="16"/>
          <w:lang w:bidi="ru-RU"/>
        </w:rPr>
        <w:t>10 (23) октября 1915 г. начальник авиации Черноморского флота старший лейтенант Стаховский пи</w:t>
      </w:r>
      <w:r w:rsidRPr="00405303">
        <w:rPr>
          <w:bCs/>
          <w:color w:val="002060"/>
          <w:sz w:val="16"/>
          <w:szCs w:val="16"/>
          <w:lang w:bidi="ru-RU"/>
        </w:rPr>
        <w:softHyphen/>
        <w:t>сал в Морской генеральный штаб: «...Бое</w:t>
      </w:r>
      <w:r w:rsidRPr="00405303">
        <w:rPr>
          <w:bCs/>
          <w:color w:val="002060"/>
          <w:sz w:val="16"/>
          <w:szCs w:val="16"/>
          <w:lang w:bidi="ru-RU"/>
        </w:rPr>
        <w:softHyphen/>
        <w:t>выми аппаратами можно считать лишь Ще</w:t>
      </w:r>
      <w:r w:rsidRPr="00405303">
        <w:rPr>
          <w:bCs/>
          <w:color w:val="002060"/>
          <w:sz w:val="16"/>
          <w:szCs w:val="16"/>
          <w:lang w:bidi="ru-RU"/>
        </w:rPr>
        <w:softHyphen/>
        <w:t>тинины типа М 5, коих имеется 17, но за недостатком моторов из них могут дейст</w:t>
      </w:r>
      <w:r w:rsidRPr="00405303">
        <w:rPr>
          <w:bCs/>
          <w:color w:val="002060"/>
          <w:sz w:val="16"/>
          <w:szCs w:val="16"/>
          <w:lang w:bidi="ru-RU"/>
        </w:rPr>
        <w:softHyphen/>
        <w:t xml:space="preserve">вовать лишь 14» (23374). </w:t>
      </w:r>
    </w:p>
    <w:p w14:paraId="4ED79F4E" w14:textId="77777777" w:rsidR="004D55F9" w:rsidRPr="00405303" w:rsidRDefault="004D55F9" w:rsidP="00C15251">
      <w:pPr>
        <w:jc w:val="both"/>
        <w:rPr>
          <w:bCs/>
          <w:color w:val="002060"/>
          <w:sz w:val="16"/>
          <w:szCs w:val="16"/>
        </w:rPr>
      </w:pPr>
    </w:p>
    <w:p w14:paraId="18CDE5B5" w14:textId="77777777" w:rsidR="008C3A04" w:rsidRPr="00B52707" w:rsidRDefault="008C3A04" w:rsidP="008C3A04">
      <w:pPr>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В первой декаде октября 1915 г. воздушным налетам подверглись г. Двинск, Минск, железнодорожные станции Ремерогоф (севернее Фридрихштадта (Яунелгава)) и Ниугаль (севернее Двинска) и др. Ранее русская артиллерия сорвала попытку немецкой авиации провести воздушную разведку и бомбардировку объектов в районе г. Шло</w:t>
      </w:r>
      <w:hyperlink w:anchor="bookmark1335" w:tooltip="Current Document">
        <w:r w:rsidRPr="00B52707">
          <w:rPr>
            <w:rStyle w:val="aa"/>
            <w:rFonts w:ascii="Times New Roman" w:hAnsi="Times New Roman"/>
            <w:color w:val="0070C0"/>
            <w:spacing w:val="0"/>
            <w:sz w:val="16"/>
            <w:szCs w:val="16"/>
          </w:rPr>
          <w:t>к</w:t>
        </w:r>
      </w:hyperlink>
      <w:r w:rsidRPr="00B52707">
        <w:rPr>
          <w:rStyle w:val="aa"/>
          <w:rFonts w:ascii="Times New Roman" w:hAnsi="Times New Roman"/>
          <w:color w:val="0070C0"/>
          <w:spacing w:val="0"/>
          <w:sz w:val="16"/>
          <w:szCs w:val="16"/>
        </w:rPr>
        <w:t>.</w:t>
      </w:r>
    </w:p>
    <w:p w14:paraId="2DF203DB" w14:textId="77777777" w:rsidR="008C3A04" w:rsidRPr="00B52707" w:rsidRDefault="008C3A04" w:rsidP="008C3A04">
      <w:pPr>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Перевод их воздушных баз и аэродромной сети на захваченную часть территории Польши и Прибалтики заметно расширило зону досягаемости неприятельской авиации. Она периодически бомбила важные административные пункты и транспортные узлы (25135).</w:t>
      </w:r>
    </w:p>
    <w:p w14:paraId="388ABDC1" w14:textId="77777777" w:rsidR="008C3A04" w:rsidRPr="00B52707" w:rsidRDefault="008C3A04" w:rsidP="008C3A04">
      <w:pPr>
        <w:jc w:val="both"/>
        <w:rPr>
          <w:color w:val="0070C0"/>
          <w:sz w:val="16"/>
          <w:szCs w:val="16"/>
        </w:rPr>
      </w:pPr>
    </w:p>
    <w:p w14:paraId="09B6DB59" w14:textId="13FB7DF7" w:rsidR="005B700A" w:rsidRPr="00405303" w:rsidRDefault="005B700A" w:rsidP="005B700A">
      <w:pPr>
        <w:shd w:val="clear" w:color="auto" w:fill="FFFFFF"/>
        <w:jc w:val="both"/>
        <w:rPr>
          <w:bCs/>
          <w:i/>
          <w:iCs/>
          <w:color w:val="002060"/>
          <w:sz w:val="16"/>
          <w:szCs w:val="16"/>
        </w:rPr>
      </w:pPr>
      <w:r>
        <w:rPr>
          <w:bCs/>
          <w:i/>
          <w:iCs/>
          <w:color w:val="002060"/>
          <w:sz w:val="16"/>
          <w:szCs w:val="16"/>
        </w:rPr>
        <w:t>Самрлетостроение</w:t>
      </w:r>
      <w:r w:rsidRPr="00405303">
        <w:rPr>
          <w:bCs/>
          <w:i/>
          <w:iCs/>
          <w:color w:val="002060"/>
          <w:sz w:val="16"/>
          <w:szCs w:val="16"/>
        </w:rPr>
        <w:t>:</w:t>
      </w:r>
    </w:p>
    <w:p w14:paraId="4709ADCA" w14:textId="77777777" w:rsidR="005B700A" w:rsidRPr="00405303" w:rsidRDefault="005B700A" w:rsidP="005B700A">
      <w:pPr>
        <w:shd w:val="clear" w:color="auto" w:fill="FFFFFF"/>
        <w:jc w:val="both"/>
        <w:rPr>
          <w:bCs/>
          <w:i/>
          <w:iCs/>
          <w:color w:val="002060"/>
          <w:sz w:val="16"/>
          <w:szCs w:val="16"/>
        </w:rPr>
      </w:pPr>
    </w:p>
    <w:p w14:paraId="40E5B598" w14:textId="77777777" w:rsidR="005B700A" w:rsidRPr="00B52707" w:rsidRDefault="005B700A" w:rsidP="005B700A">
      <w:pPr>
        <w:jc w:val="both"/>
        <w:rPr>
          <w:color w:val="0070C0"/>
          <w:sz w:val="16"/>
          <w:szCs w:val="16"/>
        </w:rPr>
      </w:pPr>
      <w:r w:rsidRPr="00B52707">
        <w:rPr>
          <w:color w:val="0070C0"/>
          <w:sz w:val="16"/>
          <w:szCs w:val="16"/>
        </w:rPr>
        <w:t>11 (24) октября 1915 г. ГВТУ заключило с АО РБВЗ контракт No. 24130 на 18 самолетов С-16 под двигатели «Рон» или «Гном» мощностью в 80 или 100 л.с., а также 18 основных и 3 дополнительных комплекта запасных частей. В комплект запасных час</w:t>
      </w:r>
      <w:r w:rsidRPr="00B52707">
        <w:rPr>
          <w:color w:val="0070C0"/>
          <w:sz w:val="16"/>
          <w:szCs w:val="16"/>
        </w:rPr>
        <w:softHyphen/>
        <w:t>тей входили, по сути дела, все основные детали самолета. ГВТУ обязалось выплатить по 9500 рублей за каждый самолет и по 4500 и 7300 рублей за каждый комплект запчастей соответственно. Двигатели и винты к аппара</w:t>
      </w:r>
      <w:r w:rsidRPr="00B52707">
        <w:rPr>
          <w:color w:val="0070C0"/>
          <w:sz w:val="16"/>
          <w:szCs w:val="16"/>
        </w:rPr>
        <w:softHyphen/>
        <w:t>там также должно было поставить ГВТУ. Сроки постав</w:t>
      </w:r>
      <w:r w:rsidRPr="00B52707">
        <w:rPr>
          <w:color w:val="0070C0"/>
          <w:sz w:val="16"/>
          <w:szCs w:val="16"/>
        </w:rPr>
        <w:softHyphen/>
        <w:t>ки были оговорены следующие: к 4.10.1915 - 3 самолета, к 4.11.1915-4 самолета и 7 комплектов и к 4.12.1915 - И самолетов и 14 комплектов. Условия сдачи самолетов были жесткие. Все расходы по сдаче, упаковке и возможному ремонту после поломок долж</w:t>
      </w:r>
      <w:r w:rsidRPr="00B52707">
        <w:rPr>
          <w:color w:val="0070C0"/>
          <w:sz w:val="16"/>
          <w:szCs w:val="16"/>
        </w:rPr>
        <w:softHyphen/>
        <w:t>но было нести АО РБВЗ. Обществу предоставлялся задаток в 25% стоимости контракта для налаживания производства. Еще 25% должно было быть выделено на получение заводом необходимых материалов (25049).</w:t>
      </w:r>
    </w:p>
    <w:p w14:paraId="47745B64" w14:textId="77777777" w:rsidR="005B700A" w:rsidRPr="00B52707" w:rsidRDefault="005B700A" w:rsidP="005B700A">
      <w:pPr>
        <w:jc w:val="both"/>
        <w:rPr>
          <w:color w:val="0070C0"/>
          <w:sz w:val="16"/>
          <w:szCs w:val="16"/>
        </w:rPr>
      </w:pPr>
      <w:r w:rsidRPr="00B52707">
        <w:rPr>
          <w:color w:val="0070C0"/>
          <w:sz w:val="16"/>
          <w:szCs w:val="16"/>
        </w:rPr>
        <w:t>20 октября (2 ноября) 1915 г. на снижении и заходе на посадку ВК-III отдельного отряда пол управлением поручика Озерского сорвался в штопор и врезался в землю. Это была первая катастрофа в истории «муромцев». Вероятной причиной этого летного происшествия могло стать самовольное снятие Озерским двух боковых рулей направления (24965).</w:t>
      </w:r>
    </w:p>
    <w:p w14:paraId="55E2D6A1" w14:textId="77777777" w:rsidR="005B700A" w:rsidRPr="00B52707" w:rsidRDefault="005B700A" w:rsidP="005B700A">
      <w:pPr>
        <w:jc w:val="both"/>
        <w:rPr>
          <w:color w:val="0070C0"/>
          <w:sz w:val="16"/>
          <w:szCs w:val="16"/>
        </w:rPr>
      </w:pPr>
    </w:p>
    <w:p w14:paraId="7A50CD61" w14:textId="77777777" w:rsidR="005B700A" w:rsidRPr="00B52707" w:rsidRDefault="005B700A" w:rsidP="005B700A">
      <w:pPr>
        <w:jc w:val="both"/>
        <w:rPr>
          <w:color w:val="0070C0"/>
          <w:sz w:val="16"/>
          <w:szCs w:val="16"/>
        </w:rPr>
      </w:pPr>
      <w:r w:rsidRPr="00B52707">
        <w:rPr>
          <w:color w:val="0070C0"/>
          <w:sz w:val="16"/>
          <w:szCs w:val="16"/>
        </w:rPr>
        <w:t>11 (24) октября 1915 г. провели испытания пулеметной установки весом 10 фунтов (4,1 кг) под американский пулемет «Кольт» на Вуазене, разработанной и изготовленной на петербургском авиазаводе Лебедева. Удавались только короткие очереди по 5-6 выстрелов, далее происходили задержки, так как из-за тяжести патронной ленты тормозилась подача. Для ленты изготовили съемный медный барабан обтекаемой формы на 100-120 патронов весом 2-3 фунта. Пустая патронная лента собиралась в приемном ящике с правой стороны.</w:t>
      </w:r>
    </w:p>
    <w:p w14:paraId="08E3FBDA" w14:textId="77777777" w:rsidR="005B700A" w:rsidRPr="00B52707" w:rsidRDefault="005B700A" w:rsidP="005B700A">
      <w:pPr>
        <w:jc w:val="both"/>
        <w:rPr>
          <w:color w:val="0070C0"/>
          <w:sz w:val="16"/>
          <w:szCs w:val="16"/>
        </w:rPr>
      </w:pPr>
      <w:r w:rsidRPr="00B52707">
        <w:rPr>
          <w:color w:val="0070C0"/>
          <w:sz w:val="16"/>
          <w:szCs w:val="16"/>
        </w:rPr>
        <w:t>Первоначально установка пулемета обеспечивала зону обстрела по вертикали вниз на 30°, вверх на 45°, а по горизонтали — влево на 30 и вправо на 15°. Военных приемщиков это не устраивало, и установка была выдвинута вперед, что дало сферу обстрела в 45° во все стороны. В ноябре пулеметная установка пошла в серийное производство и первые «Вуазены» с пулеметами стали поступать на фронт (25147).</w:t>
      </w:r>
    </w:p>
    <w:p w14:paraId="2D41862E" w14:textId="77777777" w:rsidR="005B700A" w:rsidRPr="00B52707" w:rsidRDefault="005B700A" w:rsidP="005B700A">
      <w:pPr>
        <w:jc w:val="both"/>
        <w:rPr>
          <w:color w:val="0070C0"/>
          <w:sz w:val="16"/>
          <w:szCs w:val="16"/>
        </w:rPr>
      </w:pPr>
    </w:p>
    <w:p w14:paraId="78AEF571" w14:textId="22A89C47" w:rsidR="00375A71" w:rsidRPr="00405303" w:rsidRDefault="00375A71" w:rsidP="00C15251">
      <w:pPr>
        <w:shd w:val="clear" w:color="auto" w:fill="FFFFFF"/>
        <w:jc w:val="both"/>
        <w:rPr>
          <w:bCs/>
          <w:i/>
          <w:iCs/>
          <w:color w:val="002060"/>
          <w:sz w:val="16"/>
          <w:szCs w:val="16"/>
        </w:rPr>
      </w:pPr>
      <w:r w:rsidRPr="00405303">
        <w:rPr>
          <w:bCs/>
          <w:i/>
          <w:iCs/>
          <w:color w:val="002060"/>
          <w:sz w:val="16"/>
          <w:szCs w:val="16"/>
        </w:rPr>
        <w:t>Другие оборонные отрасли:</w:t>
      </w:r>
    </w:p>
    <w:p w14:paraId="1E7056C6" w14:textId="77777777" w:rsidR="00375A71" w:rsidRPr="00405303" w:rsidRDefault="00375A71" w:rsidP="00C15251">
      <w:pPr>
        <w:shd w:val="clear" w:color="auto" w:fill="FFFFFF"/>
        <w:jc w:val="both"/>
        <w:rPr>
          <w:bCs/>
          <w:i/>
          <w:iCs/>
          <w:color w:val="002060"/>
          <w:sz w:val="16"/>
          <w:szCs w:val="16"/>
        </w:rPr>
      </w:pPr>
    </w:p>
    <w:p w14:paraId="78A87516" w14:textId="77777777" w:rsidR="00375A71" w:rsidRPr="00405303" w:rsidRDefault="00375A71" w:rsidP="00C15251">
      <w:pPr>
        <w:shd w:val="clear" w:color="auto" w:fill="FFFFFF"/>
        <w:jc w:val="both"/>
        <w:rPr>
          <w:bCs/>
          <w:color w:val="002060"/>
          <w:sz w:val="16"/>
          <w:szCs w:val="16"/>
        </w:rPr>
      </w:pPr>
      <w:r w:rsidRPr="00405303">
        <w:rPr>
          <w:bCs/>
          <w:color w:val="002060"/>
          <w:sz w:val="16"/>
          <w:szCs w:val="16"/>
        </w:rPr>
        <w:t>11 (24) октября 1915 на стрельбище для войск гвардии был обстрелян другой образец «железной брони» Пороховщикова, состоящий уже из трех листов железа толщиной 4, 2 и 4 мм с прокладками между ними. С 50 м из трехлинейной винтовки было выпущено три остроконечные пули. Все три пробили два железных листа, в третьем зафиксированы «значительные вдавливания без трещин». 15 октября эти результаты вместе с заявлением Пороховщикова были рассмотрены Техническим Комитетом ГВТУ в Журнале № 995. Управляющий делами Комитета генерал-майор Свидзинский указал, что броня Пороховщикова при толщине 10 мм (без прокладок) не превосходит применяемую на бронеавтомобилях 5- мм броню, но «представляет больший объем» и вес. «Железная броня» была признана неприемлемой, прошение Пороховщикова о заказе ему бронировки автомобилей отклонено. В виде опыта предложено было испытать такую же броню, но с прокладками из войлока. 10 декабря такой образец был обстрелян, причем оказалось, что замена экзотической морской травы обычным войлоком ничуть не ухудшила качеств изобретения Пороховщикова (20250).</w:t>
      </w:r>
    </w:p>
    <w:p w14:paraId="58F7A2C6" w14:textId="77777777" w:rsidR="0075696C" w:rsidRPr="00405303" w:rsidRDefault="0075696C" w:rsidP="00C15251">
      <w:pPr>
        <w:jc w:val="both"/>
        <w:rPr>
          <w:bCs/>
          <w:color w:val="002060"/>
          <w:sz w:val="16"/>
          <w:szCs w:val="16"/>
          <w:lang w:bidi="en-US"/>
        </w:rPr>
      </w:pPr>
    </w:p>
    <w:p w14:paraId="61B2FC68" w14:textId="6B1353EB" w:rsidR="004D55F9" w:rsidRPr="00405303" w:rsidRDefault="004D55F9" w:rsidP="00C15251">
      <w:pPr>
        <w:jc w:val="both"/>
        <w:rPr>
          <w:bCs/>
          <w:i/>
          <w:color w:val="002060"/>
          <w:sz w:val="16"/>
          <w:szCs w:val="16"/>
        </w:rPr>
      </w:pPr>
      <w:r w:rsidRPr="00405303">
        <w:rPr>
          <w:bCs/>
          <w:i/>
          <w:color w:val="002060"/>
          <w:sz w:val="16"/>
          <w:szCs w:val="16"/>
        </w:rPr>
        <w:t>Морская авиация:</w:t>
      </w:r>
    </w:p>
    <w:p w14:paraId="0A8114B2" w14:textId="77777777" w:rsidR="004D55F9" w:rsidRPr="00405303" w:rsidRDefault="004D55F9" w:rsidP="00C15251">
      <w:pPr>
        <w:jc w:val="both"/>
        <w:rPr>
          <w:bCs/>
          <w:i/>
          <w:color w:val="002060"/>
          <w:sz w:val="16"/>
          <w:szCs w:val="16"/>
        </w:rPr>
      </w:pPr>
    </w:p>
    <w:p w14:paraId="1503ABEF" w14:textId="77777777" w:rsidR="004D55F9" w:rsidRPr="00405303" w:rsidRDefault="004D55F9" w:rsidP="00C15251">
      <w:pPr>
        <w:jc w:val="both"/>
        <w:rPr>
          <w:bCs/>
          <w:color w:val="002060"/>
          <w:sz w:val="16"/>
          <w:szCs w:val="16"/>
        </w:rPr>
      </w:pPr>
      <w:r w:rsidRPr="00405303">
        <w:rPr>
          <w:bCs/>
          <w:color w:val="002060"/>
          <w:sz w:val="16"/>
          <w:szCs w:val="16"/>
        </w:rPr>
        <w:t>11 октября 1915 г. в районе г. Шлок у оз. Бабит совершил вынужденную посадку немецкий гидроаэроплан, вылетевший ранее из Либавы. Летчики успели выпустить по мотору 25 пуль из револьвера, но особого вреда новому усовершенствованному двигателю («Альбатрос-Майбах» 160 л. с.) не причинили. В тот же период наши миноносцы зенитным огнем отразили очередной налет германской морской авиации (23405).</w:t>
      </w:r>
    </w:p>
    <w:p w14:paraId="48E7BD4D" w14:textId="77777777" w:rsidR="004D55F9" w:rsidRPr="00405303" w:rsidRDefault="004D55F9" w:rsidP="00C15251">
      <w:pPr>
        <w:jc w:val="both"/>
        <w:rPr>
          <w:bCs/>
          <w:color w:val="002060"/>
          <w:sz w:val="16"/>
          <w:szCs w:val="16"/>
        </w:rPr>
      </w:pPr>
    </w:p>
    <w:p w14:paraId="03C57437" w14:textId="2A89FB79" w:rsidR="00645069" w:rsidRPr="00405303" w:rsidRDefault="00645069" w:rsidP="00C15251">
      <w:pPr>
        <w:jc w:val="both"/>
        <w:rPr>
          <w:bCs/>
          <w:i/>
          <w:color w:val="002060"/>
          <w:sz w:val="16"/>
          <w:szCs w:val="16"/>
        </w:rPr>
      </w:pPr>
      <w:r w:rsidRPr="00405303">
        <w:rPr>
          <w:bCs/>
          <w:i/>
          <w:color w:val="002060"/>
          <w:sz w:val="16"/>
          <w:szCs w:val="16"/>
        </w:rPr>
        <w:t>Самолетостроение:</w:t>
      </w:r>
    </w:p>
    <w:p w14:paraId="49080C8A" w14:textId="77777777" w:rsidR="00645069" w:rsidRPr="00405303" w:rsidRDefault="00645069" w:rsidP="00C15251">
      <w:pPr>
        <w:jc w:val="both"/>
        <w:rPr>
          <w:bCs/>
          <w:i/>
          <w:color w:val="002060"/>
          <w:sz w:val="16"/>
          <w:szCs w:val="16"/>
        </w:rPr>
      </w:pPr>
    </w:p>
    <w:p w14:paraId="54D5EA91" w14:textId="5FE40E68" w:rsidR="00645069" w:rsidRPr="00405303" w:rsidRDefault="00645069" w:rsidP="00C15251">
      <w:pPr>
        <w:pStyle w:val="p1"/>
        <w:spacing w:before="0" w:beforeAutospacing="0" w:after="0" w:afterAutospacing="0"/>
        <w:jc w:val="both"/>
        <w:rPr>
          <w:bCs/>
          <w:color w:val="002060"/>
          <w:sz w:val="16"/>
          <w:szCs w:val="16"/>
        </w:rPr>
      </w:pPr>
      <w:r w:rsidRPr="00405303">
        <w:rPr>
          <w:bCs/>
          <w:color w:val="002060"/>
          <w:sz w:val="16"/>
          <w:szCs w:val="16"/>
        </w:rPr>
        <w:t xml:space="preserve">12 </w:t>
      </w:r>
      <w:r w:rsidR="00351CDC" w:rsidRPr="00405303">
        <w:rPr>
          <w:bCs/>
          <w:color w:val="002060"/>
          <w:sz w:val="16"/>
          <w:szCs w:val="16"/>
        </w:rPr>
        <w:t xml:space="preserve">(25) </w:t>
      </w:r>
      <w:r w:rsidRPr="00405303">
        <w:rPr>
          <w:bCs/>
          <w:color w:val="002060"/>
          <w:sz w:val="16"/>
          <w:szCs w:val="16"/>
        </w:rPr>
        <w:t>октября 1915 г. ГВТУ был утвержден контракт «Русскому Рено», согласно которому ГВТУ оказало «содействие заводу по получению готовых частей из Франции для сборки в России части заказанных моторов». В феврале 1917 г. Общество заявляло, что «обязуется изготовить моторы и запасные части на его русских заводах и из материалов русского происхождения» — с многозначительной оговоркой: «исключая тех, которые не представляется возможным найти на русском рынке». Со своей стороны, Управление аттестовало «Русский Рено» как «один из немногих русских моторных заводов, который, обладая достаточным оборудованием, техническими силами и преемственностью производства от такового же во Франции, в состоянии выполнить заказ в обусловленный срок на такое количество моторов и оказать действительное содействие в снабжении аэропланов моторами русского изделия» (18366).</w:t>
      </w:r>
    </w:p>
    <w:p w14:paraId="2D948DC0" w14:textId="77777777" w:rsidR="00645069" w:rsidRPr="00405303" w:rsidRDefault="00645069" w:rsidP="00C15251">
      <w:pPr>
        <w:jc w:val="both"/>
        <w:rPr>
          <w:rStyle w:val="ucoz-forum-post"/>
          <w:rFonts w:eastAsiaTheme="majorEastAsia"/>
          <w:bCs/>
          <w:color w:val="002060"/>
          <w:sz w:val="16"/>
          <w:szCs w:val="16"/>
        </w:rPr>
      </w:pPr>
    </w:p>
    <w:p w14:paraId="370EC6C2" w14:textId="031EB57D" w:rsidR="00645069" w:rsidRPr="00405303" w:rsidRDefault="00645069" w:rsidP="00C15251">
      <w:pPr>
        <w:pStyle w:val="p1"/>
        <w:spacing w:before="0" w:beforeAutospacing="0" w:after="0" w:afterAutospacing="0"/>
        <w:jc w:val="both"/>
        <w:rPr>
          <w:bCs/>
          <w:color w:val="002060"/>
          <w:sz w:val="16"/>
          <w:szCs w:val="16"/>
        </w:rPr>
      </w:pPr>
      <w:r w:rsidRPr="00405303">
        <w:rPr>
          <w:bCs/>
          <w:color w:val="002060"/>
          <w:sz w:val="16"/>
          <w:szCs w:val="16"/>
        </w:rPr>
        <w:t xml:space="preserve">12 </w:t>
      </w:r>
      <w:r w:rsidR="00351CDC" w:rsidRPr="00405303">
        <w:rPr>
          <w:bCs/>
          <w:color w:val="002060"/>
          <w:sz w:val="16"/>
          <w:szCs w:val="16"/>
        </w:rPr>
        <w:t xml:space="preserve">(25) </w:t>
      </w:r>
      <w:r w:rsidRPr="00405303">
        <w:rPr>
          <w:bCs/>
          <w:color w:val="002060"/>
          <w:sz w:val="16"/>
          <w:szCs w:val="16"/>
        </w:rPr>
        <w:t>октября 1915 г. ГВТУ был утвержден контракт «Русскому Рено» на моторы утвержденного типа, согласно кторому ГВПУ обязалось оказывать «содействие заводу по получению готовых частей из Франции для сборки в России части заказанных моторов» (18409).</w:t>
      </w:r>
    </w:p>
    <w:p w14:paraId="4CEBC94E" w14:textId="77777777" w:rsidR="00645069" w:rsidRPr="00405303" w:rsidRDefault="00645069" w:rsidP="00C15251">
      <w:pPr>
        <w:pStyle w:val="22"/>
        <w:shd w:val="clear" w:color="auto" w:fill="auto"/>
        <w:spacing w:line="240" w:lineRule="auto"/>
        <w:ind w:firstLine="0"/>
        <w:jc w:val="both"/>
        <w:rPr>
          <w:bCs/>
          <w:color w:val="002060"/>
          <w:sz w:val="16"/>
          <w:szCs w:val="16"/>
        </w:rPr>
      </w:pPr>
    </w:p>
    <w:p w14:paraId="39258AA2" w14:textId="79A8DD8E" w:rsidR="004D55F9" w:rsidRPr="00405303" w:rsidRDefault="004D55F9" w:rsidP="00C15251">
      <w:pPr>
        <w:jc w:val="both"/>
        <w:rPr>
          <w:bCs/>
          <w:color w:val="002060"/>
          <w:sz w:val="16"/>
          <w:szCs w:val="16"/>
        </w:rPr>
      </w:pPr>
      <w:r w:rsidRPr="00405303">
        <w:rPr>
          <w:bCs/>
          <w:color w:val="002060"/>
          <w:sz w:val="16"/>
          <w:szCs w:val="16"/>
        </w:rPr>
        <w:t>12 (25) октября 1915 г. был заказ на авиамоторы «Русскому Рено». ГВТУ оказало «содей</w:t>
      </w:r>
      <w:r w:rsidRPr="00405303">
        <w:rPr>
          <w:bCs/>
          <w:color w:val="002060"/>
          <w:sz w:val="16"/>
          <w:szCs w:val="16"/>
        </w:rPr>
        <w:softHyphen/>
        <w:t>ствие заводу по получению готовых частей из Франции для сборки в России части заказанных моторов» (23452).</w:t>
      </w:r>
    </w:p>
    <w:p w14:paraId="704435A7" w14:textId="77777777" w:rsidR="004D55F9" w:rsidRPr="00405303" w:rsidRDefault="004D55F9" w:rsidP="00C15251">
      <w:pPr>
        <w:jc w:val="both"/>
        <w:rPr>
          <w:bCs/>
          <w:color w:val="002060"/>
          <w:sz w:val="16"/>
          <w:szCs w:val="16"/>
        </w:rPr>
      </w:pPr>
    </w:p>
    <w:p w14:paraId="0C96A475" w14:textId="77777777" w:rsidR="004B4E35" w:rsidRPr="00405303" w:rsidRDefault="009E6F82" w:rsidP="00C15251">
      <w:pPr>
        <w:jc w:val="both"/>
        <w:rPr>
          <w:rStyle w:val="11"/>
          <w:b w:val="0"/>
          <w:bCs/>
          <w:i/>
          <w:color w:val="002060"/>
          <w:sz w:val="16"/>
          <w:szCs w:val="16"/>
        </w:rPr>
      </w:pPr>
      <w:r w:rsidRPr="00405303">
        <w:rPr>
          <w:rStyle w:val="11"/>
          <w:b w:val="0"/>
          <w:bCs/>
          <w:i/>
          <w:color w:val="002060"/>
          <w:sz w:val="16"/>
          <w:szCs w:val="16"/>
        </w:rPr>
        <w:t>Армия:</w:t>
      </w:r>
    </w:p>
    <w:p w14:paraId="0A2FDE4B" w14:textId="77777777" w:rsidR="004B4E35" w:rsidRPr="00405303" w:rsidRDefault="004B4E35" w:rsidP="00C15251">
      <w:pPr>
        <w:jc w:val="both"/>
        <w:rPr>
          <w:rStyle w:val="11"/>
          <w:b w:val="0"/>
          <w:bCs/>
          <w:i/>
          <w:color w:val="002060"/>
          <w:sz w:val="16"/>
          <w:szCs w:val="16"/>
        </w:rPr>
      </w:pPr>
    </w:p>
    <w:p w14:paraId="60DDF644" w14:textId="258ACA06" w:rsidR="00351CDC" w:rsidRPr="00405303" w:rsidRDefault="00351CDC" w:rsidP="00C15251">
      <w:pPr>
        <w:jc w:val="both"/>
        <w:rPr>
          <w:bCs/>
          <w:color w:val="002060"/>
          <w:sz w:val="16"/>
          <w:szCs w:val="16"/>
        </w:rPr>
      </w:pPr>
      <w:r w:rsidRPr="00405303">
        <w:rPr>
          <w:bCs/>
          <w:color w:val="002060"/>
          <w:sz w:val="16"/>
          <w:szCs w:val="16"/>
        </w:rPr>
        <w:t xml:space="preserve">12 (25) октября 1915 г. </w:t>
      </w:r>
    </w:p>
    <w:p w14:paraId="696FA927" w14:textId="522497BC" w:rsidR="004B4E35" w:rsidRPr="00405303" w:rsidRDefault="009E6F82" w:rsidP="00C15251">
      <w:pPr>
        <w:jc w:val="both"/>
        <w:rPr>
          <w:bCs/>
          <w:color w:val="002060"/>
          <w:sz w:val="16"/>
          <w:szCs w:val="16"/>
        </w:rPr>
      </w:pPr>
      <w:r w:rsidRPr="00405303">
        <w:rPr>
          <w:bCs/>
          <w:color w:val="002060"/>
          <w:sz w:val="16"/>
          <w:szCs w:val="16"/>
        </w:rPr>
        <w:t xml:space="preserve">Приложение. Выдержка из доклада британского военного агента в Петрограде подполковника А. Нокса </w:t>
      </w:r>
    </w:p>
    <w:p w14:paraId="7BB92910" w14:textId="77777777" w:rsidR="004B4E35" w:rsidRPr="00405303" w:rsidRDefault="009E6F82" w:rsidP="00C15251">
      <w:pPr>
        <w:jc w:val="both"/>
        <w:rPr>
          <w:bCs/>
          <w:color w:val="002060"/>
          <w:sz w:val="16"/>
          <w:szCs w:val="16"/>
        </w:rPr>
      </w:pPr>
      <w:r w:rsidRPr="00405303">
        <w:rPr>
          <w:bCs/>
          <w:color w:val="002060"/>
          <w:sz w:val="16"/>
          <w:szCs w:val="16"/>
        </w:rPr>
        <w:t xml:space="preserve">«Распределение и сила Русской армии в октябре 1915 года </w:t>
      </w:r>
    </w:p>
    <w:p w14:paraId="09693A3C" w14:textId="77777777" w:rsidR="004B4E35" w:rsidRPr="00405303" w:rsidRDefault="009E6F82" w:rsidP="00C15251">
      <w:pPr>
        <w:jc w:val="both"/>
        <w:rPr>
          <w:bCs/>
          <w:color w:val="002060"/>
          <w:sz w:val="16"/>
          <w:szCs w:val="16"/>
        </w:rPr>
      </w:pPr>
      <w:r w:rsidRPr="00405303">
        <w:rPr>
          <w:bCs/>
          <w:color w:val="002060"/>
          <w:sz w:val="16"/>
          <w:szCs w:val="16"/>
        </w:rPr>
        <w:t xml:space="preserve">12 октября 1915 г. </w:t>
      </w:r>
    </w:p>
    <w:p w14:paraId="24EBC72C" w14:textId="77777777" w:rsidR="004B4E35" w:rsidRPr="00405303" w:rsidRDefault="009E6F82" w:rsidP="00C15251">
      <w:pPr>
        <w:jc w:val="both"/>
        <w:rPr>
          <w:bCs/>
          <w:color w:val="002060"/>
          <w:sz w:val="16"/>
          <w:szCs w:val="16"/>
        </w:rPr>
      </w:pPr>
      <w:r w:rsidRPr="00405303">
        <w:rPr>
          <w:bCs/>
          <w:color w:val="002060"/>
          <w:sz w:val="16"/>
          <w:szCs w:val="16"/>
        </w:rPr>
        <w:t>Силы Русской армии велики только на бумаге. К несчастью, ее действительная сила составляет лишь одну треть штатной.</w:t>
      </w:r>
    </w:p>
    <w:p w14:paraId="04449F61" w14:textId="77777777" w:rsidR="004B4E35" w:rsidRPr="00405303" w:rsidRDefault="009E6F82" w:rsidP="00C15251">
      <w:pPr>
        <w:jc w:val="both"/>
        <w:rPr>
          <w:bCs/>
          <w:color w:val="002060"/>
          <w:sz w:val="16"/>
          <w:szCs w:val="16"/>
        </w:rPr>
      </w:pPr>
      <w:r w:rsidRPr="00405303">
        <w:rPr>
          <w:bCs/>
          <w:color w:val="002060"/>
          <w:sz w:val="16"/>
          <w:szCs w:val="16"/>
        </w:rPr>
        <w:t xml:space="preserve">После долгих колебаний генерал-квартирмейстер Западного фронта показал мне ведомость действительного состояния армий Западного Фронта к 28 сентября. Я выписал из этой ведомости данные для каждой из армий. Здесь же привожу лишь итоги для всего фронта. Все эти данные должны считаться весьма секретными.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1222"/>
        <w:gridCol w:w="1520"/>
        <w:gridCol w:w="1222"/>
        <w:gridCol w:w="2116"/>
        <w:gridCol w:w="1340"/>
        <w:gridCol w:w="744"/>
        <w:gridCol w:w="1191"/>
      </w:tblGrid>
      <w:tr w:rsidR="00946658" w:rsidRPr="00405303" w14:paraId="3AB8EC26" w14:textId="77777777" w:rsidTr="00946658">
        <w:tc>
          <w:tcPr>
            <w:tcW w:w="1222" w:type="dxa"/>
          </w:tcPr>
          <w:p w14:paraId="57A30F26" w14:textId="77777777" w:rsidR="004B4E35" w:rsidRPr="00405303" w:rsidRDefault="004B4E35" w:rsidP="00C15251">
            <w:pPr>
              <w:jc w:val="both"/>
              <w:rPr>
                <w:bCs/>
                <w:color w:val="002060"/>
                <w:sz w:val="16"/>
                <w:szCs w:val="16"/>
              </w:rPr>
            </w:pPr>
          </w:p>
        </w:tc>
        <w:tc>
          <w:tcPr>
            <w:tcW w:w="1520" w:type="dxa"/>
          </w:tcPr>
          <w:p w14:paraId="25890683" w14:textId="77777777" w:rsidR="004B4E35" w:rsidRPr="00405303" w:rsidRDefault="009E6F82" w:rsidP="00C15251">
            <w:pPr>
              <w:jc w:val="both"/>
              <w:rPr>
                <w:bCs/>
                <w:color w:val="002060"/>
                <w:sz w:val="16"/>
                <w:szCs w:val="16"/>
              </w:rPr>
            </w:pPr>
            <w:r w:rsidRPr="00405303">
              <w:rPr>
                <w:bCs/>
                <w:color w:val="002060"/>
                <w:sz w:val="16"/>
                <w:szCs w:val="16"/>
              </w:rPr>
              <w:t xml:space="preserve">Дивизии </w:t>
            </w:r>
          </w:p>
        </w:tc>
        <w:tc>
          <w:tcPr>
            <w:tcW w:w="1222" w:type="dxa"/>
          </w:tcPr>
          <w:p w14:paraId="14CBA409" w14:textId="77777777" w:rsidR="004B4E35" w:rsidRPr="00405303" w:rsidRDefault="009E6F82" w:rsidP="00C15251">
            <w:pPr>
              <w:jc w:val="both"/>
              <w:rPr>
                <w:bCs/>
                <w:color w:val="002060"/>
                <w:sz w:val="16"/>
                <w:szCs w:val="16"/>
              </w:rPr>
            </w:pPr>
            <w:r w:rsidRPr="00405303">
              <w:rPr>
                <w:bCs/>
                <w:color w:val="002060"/>
                <w:sz w:val="16"/>
                <w:szCs w:val="16"/>
              </w:rPr>
              <w:t xml:space="preserve">Офицеры </w:t>
            </w:r>
          </w:p>
        </w:tc>
        <w:tc>
          <w:tcPr>
            <w:tcW w:w="2116" w:type="dxa"/>
          </w:tcPr>
          <w:p w14:paraId="6360BBF1" w14:textId="77777777" w:rsidR="004B4E35" w:rsidRPr="00405303" w:rsidRDefault="009E6F82" w:rsidP="00C15251">
            <w:pPr>
              <w:jc w:val="both"/>
              <w:rPr>
                <w:bCs/>
                <w:color w:val="002060"/>
                <w:sz w:val="16"/>
                <w:szCs w:val="16"/>
              </w:rPr>
            </w:pPr>
            <w:r w:rsidRPr="00405303">
              <w:rPr>
                <w:bCs/>
                <w:color w:val="002060"/>
                <w:sz w:val="16"/>
                <w:szCs w:val="16"/>
              </w:rPr>
              <w:t xml:space="preserve">Шашки и штыки </w:t>
            </w:r>
          </w:p>
        </w:tc>
        <w:tc>
          <w:tcPr>
            <w:tcW w:w="3275" w:type="dxa"/>
            <w:gridSpan w:val="3"/>
          </w:tcPr>
          <w:p w14:paraId="1117021E" w14:textId="77777777" w:rsidR="004B4E35" w:rsidRPr="00405303" w:rsidRDefault="009E6F82" w:rsidP="00C15251">
            <w:pPr>
              <w:jc w:val="both"/>
              <w:rPr>
                <w:bCs/>
                <w:color w:val="002060"/>
                <w:sz w:val="16"/>
                <w:szCs w:val="16"/>
              </w:rPr>
            </w:pPr>
            <w:r w:rsidRPr="00405303">
              <w:rPr>
                <w:bCs/>
                <w:color w:val="002060"/>
                <w:sz w:val="16"/>
                <w:szCs w:val="16"/>
              </w:rPr>
              <w:t xml:space="preserve">Орудия </w:t>
            </w:r>
          </w:p>
        </w:tc>
      </w:tr>
      <w:tr w:rsidR="004B4E35" w:rsidRPr="00405303" w14:paraId="6811BB67" w14:textId="77777777">
        <w:tc>
          <w:tcPr>
            <w:tcW w:w="1222" w:type="dxa"/>
          </w:tcPr>
          <w:p w14:paraId="634850EF" w14:textId="77777777" w:rsidR="004B4E35" w:rsidRPr="00405303" w:rsidRDefault="004B4E35" w:rsidP="00C15251">
            <w:pPr>
              <w:jc w:val="both"/>
              <w:rPr>
                <w:bCs/>
                <w:color w:val="002060"/>
                <w:sz w:val="16"/>
                <w:szCs w:val="16"/>
              </w:rPr>
            </w:pPr>
          </w:p>
        </w:tc>
        <w:tc>
          <w:tcPr>
            <w:tcW w:w="1520" w:type="dxa"/>
          </w:tcPr>
          <w:p w14:paraId="6855C693" w14:textId="77777777" w:rsidR="004B4E35" w:rsidRPr="00405303" w:rsidRDefault="004B4E35" w:rsidP="00C15251">
            <w:pPr>
              <w:jc w:val="both"/>
              <w:rPr>
                <w:bCs/>
                <w:color w:val="002060"/>
                <w:sz w:val="16"/>
                <w:szCs w:val="16"/>
              </w:rPr>
            </w:pPr>
          </w:p>
        </w:tc>
        <w:tc>
          <w:tcPr>
            <w:tcW w:w="1222" w:type="dxa"/>
          </w:tcPr>
          <w:p w14:paraId="3DAFE8DE" w14:textId="77777777" w:rsidR="004B4E35" w:rsidRPr="00405303" w:rsidRDefault="004B4E35" w:rsidP="00C15251">
            <w:pPr>
              <w:jc w:val="both"/>
              <w:rPr>
                <w:bCs/>
                <w:color w:val="002060"/>
                <w:sz w:val="16"/>
                <w:szCs w:val="16"/>
              </w:rPr>
            </w:pPr>
          </w:p>
        </w:tc>
        <w:tc>
          <w:tcPr>
            <w:tcW w:w="2116" w:type="dxa"/>
          </w:tcPr>
          <w:p w14:paraId="208562F8" w14:textId="77777777" w:rsidR="004B4E35" w:rsidRPr="00405303" w:rsidRDefault="004B4E35" w:rsidP="00C15251">
            <w:pPr>
              <w:jc w:val="both"/>
              <w:rPr>
                <w:bCs/>
                <w:color w:val="002060"/>
                <w:sz w:val="16"/>
                <w:szCs w:val="16"/>
              </w:rPr>
            </w:pPr>
          </w:p>
        </w:tc>
        <w:tc>
          <w:tcPr>
            <w:tcW w:w="1340" w:type="dxa"/>
          </w:tcPr>
          <w:p w14:paraId="38328129" w14:textId="77777777" w:rsidR="004B4E35" w:rsidRPr="00405303" w:rsidRDefault="009E6F82" w:rsidP="00C15251">
            <w:pPr>
              <w:jc w:val="both"/>
              <w:rPr>
                <w:bCs/>
                <w:color w:val="002060"/>
                <w:sz w:val="16"/>
                <w:szCs w:val="16"/>
              </w:rPr>
            </w:pPr>
            <w:r w:rsidRPr="00405303">
              <w:rPr>
                <w:bCs/>
                <w:color w:val="002060"/>
                <w:sz w:val="16"/>
                <w:szCs w:val="16"/>
              </w:rPr>
              <w:t xml:space="preserve">Пулеметы </w:t>
            </w:r>
          </w:p>
        </w:tc>
        <w:tc>
          <w:tcPr>
            <w:tcW w:w="744" w:type="dxa"/>
          </w:tcPr>
          <w:p w14:paraId="0491DD29" w14:textId="77777777" w:rsidR="004B4E35" w:rsidRPr="00405303" w:rsidRDefault="009E6F82" w:rsidP="00C15251">
            <w:pPr>
              <w:jc w:val="both"/>
              <w:rPr>
                <w:bCs/>
                <w:color w:val="002060"/>
                <w:sz w:val="16"/>
                <w:szCs w:val="16"/>
              </w:rPr>
            </w:pPr>
            <w:r w:rsidRPr="00405303">
              <w:rPr>
                <w:bCs/>
                <w:color w:val="002060"/>
                <w:sz w:val="16"/>
                <w:szCs w:val="16"/>
              </w:rPr>
              <w:t xml:space="preserve">3'' </w:t>
            </w:r>
          </w:p>
        </w:tc>
        <w:tc>
          <w:tcPr>
            <w:tcW w:w="1191" w:type="dxa"/>
          </w:tcPr>
          <w:p w14:paraId="6ADE2A82" w14:textId="77777777" w:rsidR="004B4E35" w:rsidRPr="00405303" w:rsidRDefault="009E6F82" w:rsidP="00C15251">
            <w:pPr>
              <w:jc w:val="both"/>
              <w:rPr>
                <w:bCs/>
                <w:color w:val="002060"/>
                <w:sz w:val="16"/>
                <w:szCs w:val="16"/>
              </w:rPr>
            </w:pPr>
            <w:r w:rsidRPr="00405303">
              <w:rPr>
                <w:bCs/>
                <w:color w:val="002060"/>
                <w:sz w:val="16"/>
                <w:szCs w:val="16"/>
              </w:rPr>
              <w:t xml:space="preserve">Тяжелые </w:t>
            </w:r>
          </w:p>
        </w:tc>
      </w:tr>
      <w:tr w:rsidR="004B4E35" w:rsidRPr="00405303" w14:paraId="7B1A516E" w14:textId="77777777">
        <w:tc>
          <w:tcPr>
            <w:tcW w:w="1222" w:type="dxa"/>
          </w:tcPr>
          <w:p w14:paraId="0B4F5A21" w14:textId="77777777" w:rsidR="004B4E35" w:rsidRPr="00405303" w:rsidRDefault="009E6F82" w:rsidP="00C15251">
            <w:pPr>
              <w:jc w:val="both"/>
              <w:rPr>
                <w:bCs/>
                <w:color w:val="002060"/>
                <w:sz w:val="16"/>
                <w:szCs w:val="16"/>
              </w:rPr>
            </w:pPr>
            <w:r w:rsidRPr="00405303">
              <w:rPr>
                <w:bCs/>
                <w:color w:val="002060"/>
                <w:sz w:val="16"/>
                <w:szCs w:val="16"/>
              </w:rPr>
              <w:t xml:space="preserve">Штаты </w:t>
            </w:r>
          </w:p>
        </w:tc>
        <w:tc>
          <w:tcPr>
            <w:tcW w:w="1520" w:type="dxa"/>
          </w:tcPr>
          <w:p w14:paraId="7E415331" w14:textId="77777777" w:rsidR="004B4E35" w:rsidRPr="00405303" w:rsidRDefault="009E6F82" w:rsidP="00C15251">
            <w:pPr>
              <w:jc w:val="both"/>
              <w:rPr>
                <w:bCs/>
                <w:color w:val="002060"/>
                <w:sz w:val="16"/>
                <w:szCs w:val="16"/>
              </w:rPr>
            </w:pPr>
            <w:r w:rsidRPr="00405303">
              <w:rPr>
                <w:bCs/>
                <w:color w:val="002060"/>
                <w:sz w:val="16"/>
                <w:szCs w:val="16"/>
              </w:rPr>
              <w:t xml:space="preserve">71 пех. </w:t>
            </w:r>
          </w:p>
        </w:tc>
        <w:tc>
          <w:tcPr>
            <w:tcW w:w="1222" w:type="dxa"/>
          </w:tcPr>
          <w:p w14:paraId="2B216947" w14:textId="77777777" w:rsidR="004B4E35" w:rsidRPr="00405303" w:rsidRDefault="009E6F82" w:rsidP="00C15251">
            <w:pPr>
              <w:jc w:val="both"/>
              <w:rPr>
                <w:bCs/>
                <w:color w:val="002060"/>
                <w:sz w:val="16"/>
                <w:szCs w:val="16"/>
              </w:rPr>
            </w:pPr>
            <w:r w:rsidRPr="00405303">
              <w:rPr>
                <w:bCs/>
                <w:color w:val="002060"/>
                <w:sz w:val="16"/>
                <w:szCs w:val="16"/>
              </w:rPr>
              <w:t xml:space="preserve">27600 </w:t>
            </w:r>
          </w:p>
        </w:tc>
        <w:tc>
          <w:tcPr>
            <w:tcW w:w="2116" w:type="dxa"/>
          </w:tcPr>
          <w:p w14:paraId="3BD0809D" w14:textId="77777777" w:rsidR="004B4E35" w:rsidRPr="00405303" w:rsidRDefault="009E6F82" w:rsidP="00C15251">
            <w:pPr>
              <w:jc w:val="both"/>
              <w:rPr>
                <w:bCs/>
                <w:color w:val="002060"/>
                <w:sz w:val="16"/>
                <w:szCs w:val="16"/>
              </w:rPr>
            </w:pPr>
            <w:r w:rsidRPr="00405303">
              <w:rPr>
                <w:bCs/>
                <w:color w:val="002060"/>
                <w:sz w:val="16"/>
                <w:szCs w:val="16"/>
              </w:rPr>
              <w:t xml:space="preserve">1 006 780 </w:t>
            </w:r>
          </w:p>
        </w:tc>
        <w:tc>
          <w:tcPr>
            <w:tcW w:w="1340" w:type="dxa"/>
          </w:tcPr>
          <w:p w14:paraId="48E2ED3D" w14:textId="77777777" w:rsidR="004B4E35" w:rsidRPr="00405303" w:rsidRDefault="009E6F82" w:rsidP="00C15251">
            <w:pPr>
              <w:jc w:val="both"/>
              <w:rPr>
                <w:bCs/>
                <w:color w:val="002060"/>
                <w:sz w:val="16"/>
                <w:szCs w:val="16"/>
              </w:rPr>
            </w:pPr>
            <w:r w:rsidRPr="00405303">
              <w:rPr>
                <w:bCs/>
                <w:color w:val="002060"/>
                <w:sz w:val="16"/>
                <w:szCs w:val="16"/>
              </w:rPr>
              <w:t xml:space="preserve">2272 </w:t>
            </w:r>
          </w:p>
        </w:tc>
        <w:tc>
          <w:tcPr>
            <w:tcW w:w="744" w:type="dxa"/>
          </w:tcPr>
          <w:p w14:paraId="44B40DB5" w14:textId="77777777" w:rsidR="004B4E35" w:rsidRPr="00405303" w:rsidRDefault="009E6F82" w:rsidP="00C15251">
            <w:pPr>
              <w:jc w:val="both"/>
              <w:rPr>
                <w:bCs/>
                <w:color w:val="002060"/>
                <w:sz w:val="16"/>
                <w:szCs w:val="16"/>
              </w:rPr>
            </w:pPr>
            <w:r w:rsidRPr="00405303">
              <w:rPr>
                <w:bCs/>
                <w:color w:val="002060"/>
                <w:sz w:val="16"/>
                <w:szCs w:val="16"/>
              </w:rPr>
              <w:t xml:space="preserve">2556 </w:t>
            </w:r>
          </w:p>
        </w:tc>
        <w:tc>
          <w:tcPr>
            <w:tcW w:w="1191" w:type="dxa"/>
          </w:tcPr>
          <w:p w14:paraId="4A7EBCB5"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r>
      <w:tr w:rsidR="004B4E35" w:rsidRPr="00405303" w14:paraId="27769D14" w14:textId="77777777">
        <w:tc>
          <w:tcPr>
            <w:tcW w:w="1222" w:type="dxa"/>
          </w:tcPr>
          <w:p w14:paraId="3BB2D575" w14:textId="77777777" w:rsidR="004B4E35" w:rsidRPr="00405303" w:rsidRDefault="004B4E35" w:rsidP="00C15251">
            <w:pPr>
              <w:jc w:val="both"/>
              <w:rPr>
                <w:bCs/>
                <w:color w:val="002060"/>
                <w:sz w:val="16"/>
                <w:szCs w:val="16"/>
              </w:rPr>
            </w:pPr>
          </w:p>
        </w:tc>
        <w:tc>
          <w:tcPr>
            <w:tcW w:w="1520" w:type="dxa"/>
          </w:tcPr>
          <w:p w14:paraId="56B3C3F1" w14:textId="77777777" w:rsidR="004B4E35" w:rsidRPr="00405303" w:rsidRDefault="009E6F82" w:rsidP="00C15251">
            <w:pPr>
              <w:jc w:val="both"/>
              <w:rPr>
                <w:bCs/>
                <w:color w:val="002060"/>
                <w:sz w:val="16"/>
                <w:szCs w:val="16"/>
              </w:rPr>
            </w:pPr>
            <w:r w:rsidRPr="00405303">
              <w:rPr>
                <w:bCs/>
                <w:color w:val="002060"/>
                <w:sz w:val="16"/>
                <w:szCs w:val="16"/>
              </w:rPr>
              <w:t xml:space="preserve">15,5 кав. </w:t>
            </w:r>
          </w:p>
        </w:tc>
        <w:tc>
          <w:tcPr>
            <w:tcW w:w="1222" w:type="dxa"/>
          </w:tcPr>
          <w:p w14:paraId="4970D79B" w14:textId="77777777" w:rsidR="004B4E35" w:rsidRPr="00405303" w:rsidRDefault="009E6F82" w:rsidP="00C15251">
            <w:pPr>
              <w:jc w:val="both"/>
              <w:rPr>
                <w:bCs/>
                <w:color w:val="002060"/>
                <w:sz w:val="16"/>
                <w:szCs w:val="16"/>
              </w:rPr>
            </w:pPr>
            <w:r w:rsidRPr="00405303">
              <w:rPr>
                <w:bCs/>
                <w:color w:val="002060"/>
                <w:sz w:val="16"/>
                <w:szCs w:val="16"/>
              </w:rPr>
              <w:t xml:space="preserve">2464 </w:t>
            </w:r>
          </w:p>
        </w:tc>
        <w:tc>
          <w:tcPr>
            <w:tcW w:w="2116" w:type="dxa"/>
          </w:tcPr>
          <w:p w14:paraId="090C3419" w14:textId="77777777" w:rsidR="004B4E35" w:rsidRPr="00405303" w:rsidRDefault="009E6F82" w:rsidP="00C15251">
            <w:pPr>
              <w:jc w:val="both"/>
              <w:rPr>
                <w:bCs/>
                <w:color w:val="002060"/>
                <w:sz w:val="16"/>
                <w:szCs w:val="16"/>
              </w:rPr>
            </w:pPr>
            <w:r w:rsidRPr="00405303">
              <w:rPr>
                <w:bCs/>
                <w:color w:val="002060"/>
                <w:sz w:val="16"/>
                <w:szCs w:val="16"/>
              </w:rPr>
              <w:t xml:space="preserve">53723 </w:t>
            </w:r>
          </w:p>
        </w:tc>
        <w:tc>
          <w:tcPr>
            <w:tcW w:w="1340" w:type="dxa"/>
          </w:tcPr>
          <w:p w14:paraId="34374DF1" w14:textId="77777777" w:rsidR="004B4E35" w:rsidRPr="00405303" w:rsidRDefault="009E6F82" w:rsidP="00C15251">
            <w:pPr>
              <w:jc w:val="both"/>
              <w:rPr>
                <w:bCs/>
                <w:color w:val="002060"/>
                <w:sz w:val="16"/>
                <w:szCs w:val="16"/>
              </w:rPr>
            </w:pPr>
            <w:r w:rsidRPr="00405303">
              <w:rPr>
                <w:bCs/>
                <w:color w:val="002060"/>
                <w:sz w:val="16"/>
                <w:szCs w:val="16"/>
              </w:rPr>
              <w:t xml:space="preserve">124 </w:t>
            </w:r>
          </w:p>
        </w:tc>
        <w:tc>
          <w:tcPr>
            <w:tcW w:w="744" w:type="dxa"/>
          </w:tcPr>
          <w:p w14:paraId="48B5EC7E" w14:textId="77777777" w:rsidR="004B4E35" w:rsidRPr="00405303" w:rsidRDefault="009E6F82" w:rsidP="00C15251">
            <w:pPr>
              <w:jc w:val="both"/>
              <w:rPr>
                <w:bCs/>
                <w:color w:val="002060"/>
                <w:sz w:val="16"/>
                <w:szCs w:val="16"/>
              </w:rPr>
            </w:pPr>
            <w:r w:rsidRPr="00405303">
              <w:rPr>
                <w:bCs/>
                <w:color w:val="002060"/>
                <w:sz w:val="16"/>
                <w:szCs w:val="16"/>
              </w:rPr>
              <w:t xml:space="preserve">186 </w:t>
            </w:r>
          </w:p>
        </w:tc>
        <w:tc>
          <w:tcPr>
            <w:tcW w:w="1191" w:type="dxa"/>
          </w:tcPr>
          <w:p w14:paraId="063E84BB"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r>
      <w:tr w:rsidR="004B4E35" w:rsidRPr="00405303" w14:paraId="30A84A25" w14:textId="77777777">
        <w:tc>
          <w:tcPr>
            <w:tcW w:w="1222" w:type="dxa"/>
          </w:tcPr>
          <w:p w14:paraId="0C74C303" w14:textId="77777777" w:rsidR="004B4E35" w:rsidRPr="00405303" w:rsidRDefault="009E6F82" w:rsidP="00C15251">
            <w:pPr>
              <w:jc w:val="both"/>
              <w:rPr>
                <w:bCs/>
                <w:color w:val="002060"/>
                <w:sz w:val="16"/>
                <w:szCs w:val="16"/>
              </w:rPr>
            </w:pPr>
            <w:r w:rsidRPr="00405303">
              <w:rPr>
                <w:bCs/>
                <w:color w:val="002060"/>
                <w:sz w:val="16"/>
                <w:szCs w:val="16"/>
              </w:rPr>
              <w:t xml:space="preserve">Наличие </w:t>
            </w:r>
          </w:p>
        </w:tc>
        <w:tc>
          <w:tcPr>
            <w:tcW w:w="1520" w:type="dxa"/>
          </w:tcPr>
          <w:p w14:paraId="766A0D26" w14:textId="77777777" w:rsidR="004B4E35" w:rsidRPr="00405303" w:rsidRDefault="004B4E35" w:rsidP="00C15251">
            <w:pPr>
              <w:jc w:val="both"/>
              <w:rPr>
                <w:bCs/>
                <w:color w:val="002060"/>
                <w:sz w:val="16"/>
                <w:szCs w:val="16"/>
              </w:rPr>
            </w:pPr>
          </w:p>
        </w:tc>
        <w:tc>
          <w:tcPr>
            <w:tcW w:w="1222" w:type="dxa"/>
          </w:tcPr>
          <w:p w14:paraId="5D875A72" w14:textId="77777777" w:rsidR="004B4E35" w:rsidRPr="00405303" w:rsidRDefault="009E6F82" w:rsidP="00C15251">
            <w:pPr>
              <w:jc w:val="both"/>
              <w:rPr>
                <w:bCs/>
                <w:color w:val="002060"/>
                <w:sz w:val="16"/>
                <w:szCs w:val="16"/>
              </w:rPr>
            </w:pPr>
            <w:r w:rsidRPr="00405303">
              <w:rPr>
                <w:bCs/>
                <w:color w:val="002060"/>
                <w:sz w:val="16"/>
                <w:szCs w:val="16"/>
              </w:rPr>
              <w:t xml:space="preserve">9408 </w:t>
            </w:r>
          </w:p>
        </w:tc>
        <w:tc>
          <w:tcPr>
            <w:tcW w:w="2116" w:type="dxa"/>
          </w:tcPr>
          <w:p w14:paraId="2CA5BA21" w14:textId="77777777" w:rsidR="004B4E35" w:rsidRPr="00405303" w:rsidRDefault="009E6F82" w:rsidP="00C15251">
            <w:pPr>
              <w:jc w:val="both"/>
              <w:rPr>
                <w:bCs/>
                <w:color w:val="002060"/>
                <w:sz w:val="16"/>
                <w:szCs w:val="16"/>
              </w:rPr>
            </w:pPr>
            <w:r w:rsidRPr="00405303">
              <w:rPr>
                <w:bCs/>
                <w:color w:val="002060"/>
                <w:sz w:val="16"/>
                <w:szCs w:val="16"/>
              </w:rPr>
              <w:t xml:space="preserve">346 729 </w:t>
            </w:r>
          </w:p>
        </w:tc>
        <w:tc>
          <w:tcPr>
            <w:tcW w:w="1340" w:type="dxa"/>
          </w:tcPr>
          <w:p w14:paraId="6CE26159" w14:textId="77777777" w:rsidR="004B4E35" w:rsidRPr="00405303" w:rsidRDefault="009E6F82" w:rsidP="00C15251">
            <w:pPr>
              <w:jc w:val="both"/>
              <w:rPr>
                <w:bCs/>
                <w:color w:val="002060"/>
                <w:sz w:val="16"/>
                <w:szCs w:val="16"/>
              </w:rPr>
            </w:pPr>
            <w:r w:rsidRPr="00405303">
              <w:rPr>
                <w:bCs/>
                <w:color w:val="002060"/>
                <w:sz w:val="16"/>
                <w:szCs w:val="16"/>
              </w:rPr>
              <w:t xml:space="preserve">1486 </w:t>
            </w:r>
          </w:p>
        </w:tc>
        <w:tc>
          <w:tcPr>
            <w:tcW w:w="744" w:type="dxa"/>
          </w:tcPr>
          <w:p w14:paraId="43BD799C" w14:textId="77777777" w:rsidR="004B4E35" w:rsidRPr="00405303" w:rsidRDefault="009E6F82" w:rsidP="00C15251">
            <w:pPr>
              <w:jc w:val="both"/>
              <w:rPr>
                <w:bCs/>
                <w:color w:val="002060"/>
                <w:sz w:val="16"/>
                <w:szCs w:val="16"/>
              </w:rPr>
            </w:pPr>
            <w:r w:rsidRPr="00405303">
              <w:rPr>
                <w:bCs/>
                <w:color w:val="002060"/>
                <w:sz w:val="16"/>
                <w:szCs w:val="16"/>
              </w:rPr>
              <w:t xml:space="preserve">2369 </w:t>
            </w:r>
          </w:p>
        </w:tc>
        <w:tc>
          <w:tcPr>
            <w:tcW w:w="1191" w:type="dxa"/>
          </w:tcPr>
          <w:p w14:paraId="56EF2D43" w14:textId="77777777" w:rsidR="004B4E35" w:rsidRPr="00405303" w:rsidRDefault="009E6F82" w:rsidP="00C15251">
            <w:pPr>
              <w:jc w:val="both"/>
              <w:rPr>
                <w:bCs/>
                <w:color w:val="002060"/>
                <w:sz w:val="16"/>
                <w:szCs w:val="16"/>
              </w:rPr>
            </w:pPr>
            <w:r w:rsidRPr="00405303">
              <w:rPr>
                <w:bCs/>
                <w:color w:val="002060"/>
                <w:sz w:val="16"/>
                <w:szCs w:val="16"/>
              </w:rPr>
              <w:t xml:space="preserve">414 </w:t>
            </w:r>
          </w:p>
        </w:tc>
      </w:tr>
      <w:tr w:rsidR="004B4E35" w:rsidRPr="00405303" w14:paraId="493D5961" w14:textId="77777777">
        <w:tc>
          <w:tcPr>
            <w:tcW w:w="1222" w:type="dxa"/>
          </w:tcPr>
          <w:p w14:paraId="43312902" w14:textId="77777777" w:rsidR="004B4E35" w:rsidRPr="00405303" w:rsidRDefault="004B4E35" w:rsidP="00C15251">
            <w:pPr>
              <w:jc w:val="both"/>
              <w:rPr>
                <w:bCs/>
                <w:color w:val="002060"/>
                <w:sz w:val="16"/>
                <w:szCs w:val="16"/>
              </w:rPr>
            </w:pPr>
          </w:p>
        </w:tc>
        <w:tc>
          <w:tcPr>
            <w:tcW w:w="1520" w:type="dxa"/>
          </w:tcPr>
          <w:p w14:paraId="4FFF1B13" w14:textId="77777777" w:rsidR="004B4E35" w:rsidRPr="00405303" w:rsidRDefault="004B4E35" w:rsidP="00C15251">
            <w:pPr>
              <w:jc w:val="both"/>
              <w:rPr>
                <w:bCs/>
                <w:color w:val="002060"/>
                <w:sz w:val="16"/>
                <w:szCs w:val="16"/>
              </w:rPr>
            </w:pPr>
          </w:p>
        </w:tc>
        <w:tc>
          <w:tcPr>
            <w:tcW w:w="1222" w:type="dxa"/>
          </w:tcPr>
          <w:p w14:paraId="08BE9095" w14:textId="77777777" w:rsidR="004B4E35" w:rsidRPr="00405303" w:rsidRDefault="004B4E35" w:rsidP="00C15251">
            <w:pPr>
              <w:jc w:val="both"/>
              <w:rPr>
                <w:bCs/>
                <w:color w:val="002060"/>
                <w:sz w:val="16"/>
                <w:szCs w:val="16"/>
              </w:rPr>
            </w:pPr>
          </w:p>
        </w:tc>
        <w:tc>
          <w:tcPr>
            <w:tcW w:w="2116" w:type="dxa"/>
          </w:tcPr>
          <w:p w14:paraId="11BD4E18" w14:textId="77777777" w:rsidR="004B4E35" w:rsidRPr="00405303" w:rsidRDefault="009E6F82" w:rsidP="00C15251">
            <w:pPr>
              <w:jc w:val="both"/>
              <w:rPr>
                <w:bCs/>
                <w:color w:val="002060"/>
                <w:sz w:val="16"/>
                <w:szCs w:val="16"/>
              </w:rPr>
            </w:pPr>
            <w:r w:rsidRPr="00405303">
              <w:rPr>
                <w:bCs/>
                <w:color w:val="002060"/>
                <w:sz w:val="16"/>
                <w:szCs w:val="16"/>
              </w:rPr>
              <w:t xml:space="preserve">35050 </w:t>
            </w:r>
          </w:p>
        </w:tc>
        <w:tc>
          <w:tcPr>
            <w:tcW w:w="1340" w:type="dxa"/>
          </w:tcPr>
          <w:p w14:paraId="26699768" w14:textId="77777777" w:rsidR="004B4E35" w:rsidRPr="00405303" w:rsidRDefault="004B4E35" w:rsidP="00C15251">
            <w:pPr>
              <w:jc w:val="both"/>
              <w:rPr>
                <w:bCs/>
                <w:color w:val="002060"/>
                <w:sz w:val="16"/>
                <w:szCs w:val="16"/>
              </w:rPr>
            </w:pPr>
          </w:p>
        </w:tc>
        <w:tc>
          <w:tcPr>
            <w:tcW w:w="744" w:type="dxa"/>
          </w:tcPr>
          <w:p w14:paraId="3BE23C76" w14:textId="77777777" w:rsidR="004B4E35" w:rsidRPr="00405303" w:rsidRDefault="004B4E35" w:rsidP="00C15251">
            <w:pPr>
              <w:jc w:val="both"/>
              <w:rPr>
                <w:bCs/>
                <w:color w:val="002060"/>
                <w:sz w:val="16"/>
                <w:szCs w:val="16"/>
              </w:rPr>
            </w:pPr>
          </w:p>
        </w:tc>
        <w:tc>
          <w:tcPr>
            <w:tcW w:w="1191" w:type="dxa"/>
          </w:tcPr>
          <w:p w14:paraId="71363FE0" w14:textId="77777777" w:rsidR="004B4E35" w:rsidRPr="00405303" w:rsidRDefault="004B4E35" w:rsidP="00C15251">
            <w:pPr>
              <w:jc w:val="both"/>
              <w:rPr>
                <w:bCs/>
                <w:color w:val="002060"/>
                <w:sz w:val="16"/>
                <w:szCs w:val="16"/>
              </w:rPr>
            </w:pPr>
          </w:p>
        </w:tc>
      </w:tr>
    </w:tbl>
    <w:p w14:paraId="519AB262" w14:textId="77777777" w:rsidR="004B4E35" w:rsidRPr="00405303" w:rsidRDefault="009E6F82" w:rsidP="00C15251">
      <w:pPr>
        <w:jc w:val="both"/>
        <w:rPr>
          <w:bCs/>
          <w:color w:val="002060"/>
          <w:sz w:val="16"/>
          <w:szCs w:val="16"/>
        </w:rPr>
      </w:pPr>
      <w:r w:rsidRPr="00405303">
        <w:rPr>
          <w:bCs/>
          <w:color w:val="002060"/>
          <w:sz w:val="16"/>
          <w:szCs w:val="16"/>
        </w:rPr>
        <w:t xml:space="preserve">Предполагая, что в 15,5 кавал. дивизиях имелось всего 1608 офицеров, 86 пулеметов и 169 полевых пушек, мы приходим к следующим итогам для пехотных дивизий Западного фронта: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1390"/>
        <w:gridCol w:w="1390"/>
        <w:gridCol w:w="1390"/>
        <w:gridCol w:w="1390"/>
        <w:gridCol w:w="1562"/>
        <w:gridCol w:w="859"/>
        <w:gridCol w:w="1375"/>
      </w:tblGrid>
      <w:tr w:rsidR="00946658" w:rsidRPr="00405303" w14:paraId="2E1166A7" w14:textId="77777777" w:rsidTr="00946658">
        <w:tc>
          <w:tcPr>
            <w:tcW w:w="1390" w:type="dxa"/>
          </w:tcPr>
          <w:p w14:paraId="36BA32C4" w14:textId="77777777" w:rsidR="004B4E35" w:rsidRPr="00405303" w:rsidRDefault="009E6F82" w:rsidP="00C15251">
            <w:pPr>
              <w:jc w:val="both"/>
              <w:rPr>
                <w:bCs/>
                <w:color w:val="002060"/>
                <w:sz w:val="16"/>
                <w:szCs w:val="16"/>
              </w:rPr>
            </w:pPr>
            <w:r w:rsidRPr="00405303">
              <w:rPr>
                <w:bCs/>
                <w:color w:val="002060"/>
                <w:sz w:val="16"/>
                <w:szCs w:val="16"/>
              </w:rPr>
              <w:t xml:space="preserve">Корпуса </w:t>
            </w:r>
          </w:p>
        </w:tc>
        <w:tc>
          <w:tcPr>
            <w:tcW w:w="1390" w:type="dxa"/>
          </w:tcPr>
          <w:p w14:paraId="203A68E4" w14:textId="77777777" w:rsidR="004B4E35" w:rsidRPr="00405303" w:rsidRDefault="009E6F82" w:rsidP="00C15251">
            <w:pPr>
              <w:jc w:val="both"/>
              <w:rPr>
                <w:bCs/>
                <w:color w:val="002060"/>
                <w:sz w:val="16"/>
                <w:szCs w:val="16"/>
              </w:rPr>
            </w:pPr>
            <w:r w:rsidRPr="00405303">
              <w:rPr>
                <w:bCs/>
                <w:color w:val="002060"/>
                <w:sz w:val="16"/>
                <w:szCs w:val="16"/>
              </w:rPr>
              <w:t xml:space="preserve">Дивизии </w:t>
            </w:r>
          </w:p>
        </w:tc>
        <w:tc>
          <w:tcPr>
            <w:tcW w:w="1390" w:type="dxa"/>
          </w:tcPr>
          <w:p w14:paraId="7BD6A494" w14:textId="77777777" w:rsidR="004B4E35" w:rsidRPr="00405303" w:rsidRDefault="009E6F82" w:rsidP="00C15251">
            <w:pPr>
              <w:jc w:val="both"/>
              <w:rPr>
                <w:bCs/>
                <w:color w:val="002060"/>
                <w:sz w:val="16"/>
                <w:szCs w:val="16"/>
              </w:rPr>
            </w:pPr>
            <w:r w:rsidRPr="00405303">
              <w:rPr>
                <w:bCs/>
                <w:color w:val="002060"/>
                <w:sz w:val="16"/>
                <w:szCs w:val="16"/>
              </w:rPr>
              <w:t xml:space="preserve">Офицеры </w:t>
            </w:r>
          </w:p>
        </w:tc>
        <w:tc>
          <w:tcPr>
            <w:tcW w:w="1390" w:type="dxa"/>
          </w:tcPr>
          <w:p w14:paraId="7474B2FB" w14:textId="77777777" w:rsidR="004B4E35" w:rsidRPr="00405303" w:rsidRDefault="009E6F82" w:rsidP="00C15251">
            <w:pPr>
              <w:jc w:val="both"/>
              <w:rPr>
                <w:bCs/>
                <w:color w:val="002060"/>
                <w:sz w:val="16"/>
                <w:szCs w:val="16"/>
              </w:rPr>
            </w:pPr>
            <w:r w:rsidRPr="00405303">
              <w:rPr>
                <w:bCs/>
                <w:color w:val="002060"/>
                <w:sz w:val="16"/>
                <w:szCs w:val="16"/>
              </w:rPr>
              <w:t xml:space="preserve">Штыки </w:t>
            </w:r>
          </w:p>
        </w:tc>
        <w:tc>
          <w:tcPr>
            <w:tcW w:w="1562" w:type="dxa"/>
          </w:tcPr>
          <w:p w14:paraId="3C0332B5" w14:textId="77777777" w:rsidR="004B4E35" w:rsidRPr="00405303" w:rsidRDefault="009E6F82" w:rsidP="00C15251">
            <w:pPr>
              <w:jc w:val="both"/>
              <w:rPr>
                <w:bCs/>
                <w:color w:val="002060"/>
                <w:sz w:val="16"/>
                <w:szCs w:val="16"/>
              </w:rPr>
            </w:pPr>
            <w:r w:rsidRPr="00405303">
              <w:rPr>
                <w:bCs/>
                <w:color w:val="002060"/>
                <w:sz w:val="16"/>
                <w:szCs w:val="16"/>
              </w:rPr>
              <w:t xml:space="preserve">Пулеметы </w:t>
            </w:r>
          </w:p>
        </w:tc>
        <w:tc>
          <w:tcPr>
            <w:tcW w:w="2234" w:type="dxa"/>
            <w:gridSpan w:val="2"/>
          </w:tcPr>
          <w:p w14:paraId="61BD1667" w14:textId="77777777" w:rsidR="004B4E35" w:rsidRPr="00405303" w:rsidRDefault="009E6F82" w:rsidP="00C15251">
            <w:pPr>
              <w:jc w:val="both"/>
              <w:rPr>
                <w:bCs/>
                <w:color w:val="002060"/>
                <w:sz w:val="16"/>
                <w:szCs w:val="16"/>
              </w:rPr>
            </w:pPr>
            <w:r w:rsidRPr="00405303">
              <w:rPr>
                <w:bCs/>
                <w:color w:val="002060"/>
                <w:sz w:val="16"/>
                <w:szCs w:val="16"/>
              </w:rPr>
              <w:t xml:space="preserve">Орудия </w:t>
            </w:r>
          </w:p>
        </w:tc>
      </w:tr>
      <w:tr w:rsidR="004B4E35" w:rsidRPr="00405303" w14:paraId="259F02A1" w14:textId="77777777">
        <w:tc>
          <w:tcPr>
            <w:tcW w:w="1390" w:type="dxa"/>
          </w:tcPr>
          <w:p w14:paraId="6C9BEA75" w14:textId="77777777" w:rsidR="004B4E35" w:rsidRPr="00405303" w:rsidRDefault="004B4E35" w:rsidP="00C15251">
            <w:pPr>
              <w:jc w:val="both"/>
              <w:rPr>
                <w:bCs/>
                <w:color w:val="002060"/>
                <w:sz w:val="16"/>
                <w:szCs w:val="16"/>
              </w:rPr>
            </w:pPr>
          </w:p>
        </w:tc>
        <w:tc>
          <w:tcPr>
            <w:tcW w:w="1390" w:type="dxa"/>
          </w:tcPr>
          <w:p w14:paraId="347E89E2" w14:textId="77777777" w:rsidR="004B4E35" w:rsidRPr="00405303" w:rsidRDefault="004B4E35" w:rsidP="00C15251">
            <w:pPr>
              <w:jc w:val="both"/>
              <w:rPr>
                <w:bCs/>
                <w:color w:val="002060"/>
                <w:sz w:val="16"/>
                <w:szCs w:val="16"/>
              </w:rPr>
            </w:pPr>
          </w:p>
        </w:tc>
        <w:tc>
          <w:tcPr>
            <w:tcW w:w="1390" w:type="dxa"/>
          </w:tcPr>
          <w:p w14:paraId="757C74D8" w14:textId="77777777" w:rsidR="004B4E35" w:rsidRPr="00405303" w:rsidRDefault="004B4E35" w:rsidP="00C15251">
            <w:pPr>
              <w:jc w:val="both"/>
              <w:rPr>
                <w:bCs/>
                <w:color w:val="002060"/>
                <w:sz w:val="16"/>
                <w:szCs w:val="16"/>
              </w:rPr>
            </w:pPr>
          </w:p>
        </w:tc>
        <w:tc>
          <w:tcPr>
            <w:tcW w:w="1390" w:type="dxa"/>
          </w:tcPr>
          <w:p w14:paraId="429B8931" w14:textId="77777777" w:rsidR="004B4E35" w:rsidRPr="00405303" w:rsidRDefault="004B4E35" w:rsidP="00C15251">
            <w:pPr>
              <w:jc w:val="both"/>
              <w:rPr>
                <w:bCs/>
                <w:color w:val="002060"/>
                <w:sz w:val="16"/>
                <w:szCs w:val="16"/>
              </w:rPr>
            </w:pPr>
          </w:p>
        </w:tc>
        <w:tc>
          <w:tcPr>
            <w:tcW w:w="1562" w:type="dxa"/>
          </w:tcPr>
          <w:p w14:paraId="63EAE70E" w14:textId="77777777" w:rsidR="004B4E35" w:rsidRPr="00405303" w:rsidRDefault="004B4E35" w:rsidP="00C15251">
            <w:pPr>
              <w:jc w:val="both"/>
              <w:rPr>
                <w:bCs/>
                <w:color w:val="002060"/>
                <w:sz w:val="16"/>
                <w:szCs w:val="16"/>
              </w:rPr>
            </w:pPr>
          </w:p>
        </w:tc>
        <w:tc>
          <w:tcPr>
            <w:tcW w:w="859" w:type="dxa"/>
          </w:tcPr>
          <w:p w14:paraId="45AEDE26" w14:textId="77777777" w:rsidR="004B4E35" w:rsidRPr="00405303" w:rsidRDefault="009E6F82" w:rsidP="00C15251">
            <w:pPr>
              <w:jc w:val="both"/>
              <w:rPr>
                <w:bCs/>
                <w:color w:val="002060"/>
                <w:sz w:val="16"/>
                <w:szCs w:val="16"/>
              </w:rPr>
            </w:pPr>
            <w:r w:rsidRPr="00405303">
              <w:rPr>
                <w:bCs/>
                <w:color w:val="002060"/>
                <w:sz w:val="16"/>
                <w:szCs w:val="16"/>
              </w:rPr>
              <w:t xml:space="preserve">3'' </w:t>
            </w:r>
          </w:p>
        </w:tc>
        <w:tc>
          <w:tcPr>
            <w:tcW w:w="1375" w:type="dxa"/>
          </w:tcPr>
          <w:p w14:paraId="608D3E61" w14:textId="77777777" w:rsidR="004B4E35" w:rsidRPr="00405303" w:rsidRDefault="009E6F82" w:rsidP="00C15251">
            <w:pPr>
              <w:jc w:val="both"/>
              <w:rPr>
                <w:bCs/>
                <w:color w:val="002060"/>
                <w:sz w:val="16"/>
                <w:szCs w:val="16"/>
              </w:rPr>
            </w:pPr>
            <w:r w:rsidRPr="00405303">
              <w:rPr>
                <w:bCs/>
                <w:color w:val="002060"/>
                <w:sz w:val="16"/>
                <w:szCs w:val="16"/>
              </w:rPr>
              <w:t xml:space="preserve">Тяжелые </w:t>
            </w:r>
          </w:p>
        </w:tc>
      </w:tr>
      <w:tr w:rsidR="004B4E35" w:rsidRPr="00405303" w14:paraId="13565324" w14:textId="77777777">
        <w:tc>
          <w:tcPr>
            <w:tcW w:w="1390" w:type="dxa"/>
          </w:tcPr>
          <w:p w14:paraId="6034A9D6" w14:textId="77777777" w:rsidR="004B4E35" w:rsidRPr="00405303" w:rsidRDefault="009E6F82" w:rsidP="00C15251">
            <w:pPr>
              <w:jc w:val="both"/>
              <w:rPr>
                <w:bCs/>
                <w:color w:val="002060"/>
                <w:sz w:val="16"/>
                <w:szCs w:val="16"/>
              </w:rPr>
            </w:pPr>
            <w:r w:rsidRPr="00405303">
              <w:rPr>
                <w:bCs/>
                <w:color w:val="002060"/>
                <w:sz w:val="16"/>
                <w:szCs w:val="16"/>
              </w:rPr>
              <w:t xml:space="preserve">31 </w:t>
            </w:r>
          </w:p>
        </w:tc>
        <w:tc>
          <w:tcPr>
            <w:tcW w:w="1390" w:type="dxa"/>
          </w:tcPr>
          <w:p w14:paraId="5F645E4B" w14:textId="77777777" w:rsidR="004B4E35" w:rsidRPr="00405303" w:rsidRDefault="009E6F82" w:rsidP="00C15251">
            <w:pPr>
              <w:jc w:val="both"/>
              <w:rPr>
                <w:bCs/>
                <w:color w:val="002060"/>
                <w:sz w:val="16"/>
                <w:szCs w:val="16"/>
              </w:rPr>
            </w:pPr>
            <w:r w:rsidRPr="00405303">
              <w:rPr>
                <w:bCs/>
                <w:color w:val="002060"/>
                <w:sz w:val="16"/>
                <w:szCs w:val="16"/>
              </w:rPr>
              <w:t xml:space="preserve">71 </w:t>
            </w:r>
          </w:p>
        </w:tc>
        <w:tc>
          <w:tcPr>
            <w:tcW w:w="1390" w:type="dxa"/>
          </w:tcPr>
          <w:p w14:paraId="28823E23" w14:textId="77777777" w:rsidR="004B4E35" w:rsidRPr="00405303" w:rsidRDefault="009E6F82" w:rsidP="00C15251">
            <w:pPr>
              <w:jc w:val="both"/>
              <w:rPr>
                <w:bCs/>
                <w:color w:val="002060"/>
                <w:sz w:val="16"/>
                <w:szCs w:val="16"/>
              </w:rPr>
            </w:pPr>
            <w:r w:rsidRPr="00405303">
              <w:rPr>
                <w:bCs/>
                <w:color w:val="002060"/>
                <w:sz w:val="16"/>
                <w:szCs w:val="16"/>
              </w:rPr>
              <w:t xml:space="preserve">7800 </w:t>
            </w:r>
          </w:p>
        </w:tc>
        <w:tc>
          <w:tcPr>
            <w:tcW w:w="1390" w:type="dxa"/>
          </w:tcPr>
          <w:p w14:paraId="279684DB" w14:textId="77777777" w:rsidR="004B4E35" w:rsidRPr="00405303" w:rsidRDefault="009E6F82" w:rsidP="00C15251">
            <w:pPr>
              <w:jc w:val="both"/>
              <w:rPr>
                <w:bCs/>
                <w:color w:val="002060"/>
                <w:sz w:val="16"/>
                <w:szCs w:val="16"/>
              </w:rPr>
            </w:pPr>
            <w:r w:rsidRPr="00405303">
              <w:rPr>
                <w:bCs/>
                <w:color w:val="002060"/>
                <w:sz w:val="16"/>
                <w:szCs w:val="16"/>
              </w:rPr>
              <w:t xml:space="preserve">346 729 </w:t>
            </w:r>
          </w:p>
        </w:tc>
        <w:tc>
          <w:tcPr>
            <w:tcW w:w="1562" w:type="dxa"/>
          </w:tcPr>
          <w:p w14:paraId="54738B9E" w14:textId="77777777" w:rsidR="004B4E35" w:rsidRPr="00405303" w:rsidRDefault="009E6F82" w:rsidP="00C15251">
            <w:pPr>
              <w:jc w:val="both"/>
              <w:rPr>
                <w:bCs/>
                <w:color w:val="002060"/>
                <w:sz w:val="16"/>
                <w:szCs w:val="16"/>
              </w:rPr>
            </w:pPr>
            <w:r w:rsidRPr="00405303">
              <w:rPr>
                <w:bCs/>
                <w:color w:val="002060"/>
                <w:sz w:val="16"/>
                <w:szCs w:val="16"/>
              </w:rPr>
              <w:t xml:space="preserve">1400 </w:t>
            </w:r>
          </w:p>
        </w:tc>
        <w:tc>
          <w:tcPr>
            <w:tcW w:w="859" w:type="dxa"/>
          </w:tcPr>
          <w:p w14:paraId="6FBFFFDE" w14:textId="77777777" w:rsidR="004B4E35" w:rsidRPr="00405303" w:rsidRDefault="009E6F82" w:rsidP="00C15251">
            <w:pPr>
              <w:jc w:val="both"/>
              <w:rPr>
                <w:bCs/>
                <w:color w:val="002060"/>
                <w:sz w:val="16"/>
                <w:szCs w:val="16"/>
              </w:rPr>
            </w:pPr>
            <w:r w:rsidRPr="00405303">
              <w:rPr>
                <w:bCs/>
                <w:color w:val="002060"/>
                <w:sz w:val="16"/>
                <w:szCs w:val="16"/>
              </w:rPr>
              <w:t xml:space="preserve">2200 </w:t>
            </w:r>
          </w:p>
        </w:tc>
        <w:tc>
          <w:tcPr>
            <w:tcW w:w="1375" w:type="dxa"/>
          </w:tcPr>
          <w:p w14:paraId="33C7CED3" w14:textId="77777777" w:rsidR="004B4E35" w:rsidRPr="00405303" w:rsidRDefault="009E6F82" w:rsidP="00C15251">
            <w:pPr>
              <w:jc w:val="both"/>
              <w:rPr>
                <w:bCs/>
                <w:color w:val="002060"/>
                <w:sz w:val="16"/>
                <w:szCs w:val="16"/>
              </w:rPr>
            </w:pPr>
            <w:r w:rsidRPr="00405303">
              <w:rPr>
                <w:bCs/>
                <w:color w:val="002060"/>
                <w:sz w:val="16"/>
                <w:szCs w:val="16"/>
              </w:rPr>
              <w:t xml:space="preserve">414 </w:t>
            </w:r>
          </w:p>
        </w:tc>
      </w:tr>
    </w:tbl>
    <w:p w14:paraId="71C0416D" w14:textId="77777777" w:rsidR="004B4E35" w:rsidRPr="00405303" w:rsidRDefault="009E6F82" w:rsidP="00C15251">
      <w:pPr>
        <w:jc w:val="both"/>
        <w:rPr>
          <w:bCs/>
          <w:color w:val="002060"/>
          <w:sz w:val="16"/>
          <w:szCs w:val="16"/>
        </w:rPr>
      </w:pPr>
      <w:r w:rsidRPr="00405303">
        <w:rPr>
          <w:bCs/>
          <w:color w:val="002060"/>
          <w:sz w:val="16"/>
          <w:szCs w:val="16"/>
        </w:rPr>
        <w:t xml:space="preserve">По сравнению со штатным составом пехотная дивизия в среднем имеет сейчас налицо: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2688"/>
        <w:gridCol w:w="1536"/>
        <w:gridCol w:w="1152"/>
        <w:gridCol w:w="1728"/>
        <w:gridCol w:w="1920"/>
      </w:tblGrid>
      <w:tr w:rsidR="004B4E35" w:rsidRPr="00405303" w14:paraId="36F6889F" w14:textId="77777777">
        <w:tc>
          <w:tcPr>
            <w:tcW w:w="2688" w:type="dxa"/>
          </w:tcPr>
          <w:p w14:paraId="779AD906" w14:textId="77777777" w:rsidR="004B4E35" w:rsidRPr="00405303" w:rsidRDefault="004B4E35" w:rsidP="00C15251">
            <w:pPr>
              <w:jc w:val="both"/>
              <w:rPr>
                <w:bCs/>
                <w:color w:val="002060"/>
                <w:sz w:val="16"/>
                <w:szCs w:val="16"/>
              </w:rPr>
            </w:pPr>
          </w:p>
        </w:tc>
        <w:tc>
          <w:tcPr>
            <w:tcW w:w="1536" w:type="dxa"/>
          </w:tcPr>
          <w:p w14:paraId="0A84A0B6" w14:textId="77777777" w:rsidR="004B4E35" w:rsidRPr="00405303" w:rsidRDefault="009E6F82" w:rsidP="00C15251">
            <w:pPr>
              <w:jc w:val="both"/>
              <w:rPr>
                <w:bCs/>
                <w:color w:val="002060"/>
                <w:sz w:val="16"/>
                <w:szCs w:val="16"/>
              </w:rPr>
            </w:pPr>
            <w:r w:rsidRPr="00405303">
              <w:rPr>
                <w:bCs/>
                <w:color w:val="002060"/>
                <w:sz w:val="16"/>
                <w:szCs w:val="16"/>
              </w:rPr>
              <w:t xml:space="preserve">Офицеры </w:t>
            </w:r>
          </w:p>
        </w:tc>
        <w:tc>
          <w:tcPr>
            <w:tcW w:w="1152" w:type="dxa"/>
          </w:tcPr>
          <w:p w14:paraId="1D161E64" w14:textId="77777777" w:rsidR="004B4E35" w:rsidRPr="00405303" w:rsidRDefault="009E6F82" w:rsidP="00C15251">
            <w:pPr>
              <w:jc w:val="both"/>
              <w:rPr>
                <w:bCs/>
                <w:color w:val="002060"/>
                <w:sz w:val="16"/>
                <w:szCs w:val="16"/>
              </w:rPr>
            </w:pPr>
            <w:r w:rsidRPr="00405303">
              <w:rPr>
                <w:bCs/>
                <w:color w:val="002060"/>
                <w:sz w:val="16"/>
                <w:szCs w:val="16"/>
              </w:rPr>
              <w:t xml:space="preserve">Штыки </w:t>
            </w:r>
          </w:p>
        </w:tc>
        <w:tc>
          <w:tcPr>
            <w:tcW w:w="1728" w:type="dxa"/>
          </w:tcPr>
          <w:p w14:paraId="7498A59C" w14:textId="77777777" w:rsidR="004B4E35" w:rsidRPr="00405303" w:rsidRDefault="009E6F82" w:rsidP="00C15251">
            <w:pPr>
              <w:jc w:val="both"/>
              <w:rPr>
                <w:bCs/>
                <w:color w:val="002060"/>
                <w:sz w:val="16"/>
                <w:szCs w:val="16"/>
              </w:rPr>
            </w:pPr>
            <w:r w:rsidRPr="00405303">
              <w:rPr>
                <w:bCs/>
                <w:color w:val="002060"/>
                <w:sz w:val="16"/>
                <w:szCs w:val="16"/>
              </w:rPr>
              <w:t xml:space="preserve">Пулеметы </w:t>
            </w:r>
          </w:p>
        </w:tc>
        <w:tc>
          <w:tcPr>
            <w:tcW w:w="1920" w:type="dxa"/>
          </w:tcPr>
          <w:p w14:paraId="1F165639" w14:textId="77777777" w:rsidR="004B4E35" w:rsidRPr="00405303" w:rsidRDefault="009E6F82" w:rsidP="00C15251">
            <w:pPr>
              <w:jc w:val="both"/>
              <w:rPr>
                <w:bCs/>
                <w:color w:val="002060"/>
                <w:sz w:val="16"/>
                <w:szCs w:val="16"/>
              </w:rPr>
            </w:pPr>
            <w:r w:rsidRPr="00405303">
              <w:rPr>
                <w:bCs/>
                <w:color w:val="002060"/>
                <w:sz w:val="16"/>
                <w:szCs w:val="16"/>
              </w:rPr>
              <w:t xml:space="preserve">3'' оруд. </w:t>
            </w:r>
          </w:p>
        </w:tc>
      </w:tr>
      <w:tr w:rsidR="004B4E35" w:rsidRPr="00405303" w14:paraId="16AAF27A" w14:textId="77777777">
        <w:tc>
          <w:tcPr>
            <w:tcW w:w="2688" w:type="dxa"/>
          </w:tcPr>
          <w:p w14:paraId="2AE41348" w14:textId="77777777" w:rsidR="004B4E35" w:rsidRPr="00405303" w:rsidRDefault="009E6F82" w:rsidP="00C15251">
            <w:pPr>
              <w:jc w:val="both"/>
              <w:rPr>
                <w:bCs/>
                <w:color w:val="002060"/>
                <w:sz w:val="16"/>
                <w:szCs w:val="16"/>
              </w:rPr>
            </w:pPr>
            <w:r w:rsidRPr="00405303">
              <w:rPr>
                <w:bCs/>
                <w:color w:val="002060"/>
                <w:sz w:val="16"/>
                <w:szCs w:val="16"/>
              </w:rPr>
              <w:t xml:space="preserve">Штаты </w:t>
            </w:r>
          </w:p>
        </w:tc>
        <w:tc>
          <w:tcPr>
            <w:tcW w:w="1536" w:type="dxa"/>
          </w:tcPr>
          <w:p w14:paraId="0AC46AA1" w14:textId="77777777" w:rsidR="004B4E35" w:rsidRPr="00405303" w:rsidRDefault="009E6F82" w:rsidP="00C15251">
            <w:pPr>
              <w:jc w:val="both"/>
              <w:rPr>
                <w:bCs/>
                <w:color w:val="002060"/>
                <w:sz w:val="16"/>
                <w:szCs w:val="16"/>
              </w:rPr>
            </w:pPr>
            <w:r w:rsidRPr="00405303">
              <w:rPr>
                <w:bCs/>
                <w:color w:val="002060"/>
                <w:sz w:val="16"/>
                <w:szCs w:val="16"/>
              </w:rPr>
              <w:t xml:space="preserve">390 </w:t>
            </w:r>
          </w:p>
        </w:tc>
        <w:tc>
          <w:tcPr>
            <w:tcW w:w="1152" w:type="dxa"/>
          </w:tcPr>
          <w:p w14:paraId="2C3B622E" w14:textId="77777777" w:rsidR="004B4E35" w:rsidRPr="00405303" w:rsidRDefault="009E6F82" w:rsidP="00C15251">
            <w:pPr>
              <w:jc w:val="both"/>
              <w:rPr>
                <w:bCs/>
                <w:color w:val="002060"/>
                <w:sz w:val="16"/>
                <w:szCs w:val="16"/>
              </w:rPr>
            </w:pPr>
            <w:r w:rsidRPr="00405303">
              <w:rPr>
                <w:bCs/>
                <w:color w:val="002060"/>
                <w:sz w:val="16"/>
                <w:szCs w:val="16"/>
              </w:rPr>
              <w:t xml:space="preserve">14180 </w:t>
            </w:r>
          </w:p>
        </w:tc>
        <w:tc>
          <w:tcPr>
            <w:tcW w:w="1728" w:type="dxa"/>
          </w:tcPr>
          <w:p w14:paraId="7D324152" w14:textId="77777777" w:rsidR="004B4E35" w:rsidRPr="00405303" w:rsidRDefault="009E6F82" w:rsidP="00C15251">
            <w:pPr>
              <w:jc w:val="both"/>
              <w:rPr>
                <w:bCs/>
                <w:color w:val="002060"/>
                <w:sz w:val="16"/>
                <w:szCs w:val="16"/>
              </w:rPr>
            </w:pPr>
            <w:r w:rsidRPr="00405303">
              <w:rPr>
                <w:bCs/>
                <w:color w:val="002060"/>
                <w:sz w:val="16"/>
                <w:szCs w:val="16"/>
              </w:rPr>
              <w:t xml:space="preserve">32 </w:t>
            </w:r>
          </w:p>
        </w:tc>
        <w:tc>
          <w:tcPr>
            <w:tcW w:w="1920" w:type="dxa"/>
          </w:tcPr>
          <w:p w14:paraId="0C00D2FD" w14:textId="77777777" w:rsidR="004B4E35" w:rsidRPr="00405303" w:rsidRDefault="009E6F82" w:rsidP="00C15251">
            <w:pPr>
              <w:jc w:val="both"/>
              <w:rPr>
                <w:bCs/>
                <w:color w:val="002060"/>
                <w:sz w:val="16"/>
                <w:szCs w:val="16"/>
              </w:rPr>
            </w:pPr>
            <w:r w:rsidRPr="00405303">
              <w:rPr>
                <w:bCs/>
                <w:color w:val="002060"/>
                <w:sz w:val="16"/>
                <w:szCs w:val="16"/>
              </w:rPr>
              <w:t xml:space="preserve">36 </w:t>
            </w:r>
          </w:p>
        </w:tc>
      </w:tr>
      <w:tr w:rsidR="004B4E35" w:rsidRPr="00405303" w14:paraId="00F227C7" w14:textId="77777777">
        <w:tc>
          <w:tcPr>
            <w:tcW w:w="2688" w:type="dxa"/>
          </w:tcPr>
          <w:p w14:paraId="3724FF7F" w14:textId="77777777" w:rsidR="004B4E35" w:rsidRPr="00405303" w:rsidRDefault="009E6F82" w:rsidP="00C15251">
            <w:pPr>
              <w:jc w:val="both"/>
              <w:rPr>
                <w:bCs/>
                <w:color w:val="002060"/>
                <w:sz w:val="16"/>
                <w:szCs w:val="16"/>
              </w:rPr>
            </w:pPr>
            <w:r w:rsidRPr="00405303">
              <w:rPr>
                <w:bCs/>
                <w:color w:val="002060"/>
                <w:sz w:val="16"/>
                <w:szCs w:val="16"/>
              </w:rPr>
              <w:t xml:space="preserve">Налицо сейчас </w:t>
            </w:r>
          </w:p>
        </w:tc>
        <w:tc>
          <w:tcPr>
            <w:tcW w:w="1536" w:type="dxa"/>
          </w:tcPr>
          <w:p w14:paraId="216A886D" w14:textId="77777777" w:rsidR="004B4E35" w:rsidRPr="00405303" w:rsidRDefault="009E6F82" w:rsidP="00C15251">
            <w:pPr>
              <w:jc w:val="both"/>
              <w:rPr>
                <w:bCs/>
                <w:color w:val="002060"/>
                <w:sz w:val="16"/>
                <w:szCs w:val="16"/>
              </w:rPr>
            </w:pPr>
            <w:r w:rsidRPr="00405303">
              <w:rPr>
                <w:bCs/>
                <w:color w:val="002060"/>
                <w:sz w:val="16"/>
                <w:szCs w:val="16"/>
              </w:rPr>
              <w:t xml:space="preserve">110 </w:t>
            </w:r>
          </w:p>
        </w:tc>
        <w:tc>
          <w:tcPr>
            <w:tcW w:w="1152" w:type="dxa"/>
          </w:tcPr>
          <w:p w14:paraId="0F00768C" w14:textId="77777777" w:rsidR="004B4E35" w:rsidRPr="00405303" w:rsidRDefault="009E6F82" w:rsidP="00C15251">
            <w:pPr>
              <w:jc w:val="both"/>
              <w:rPr>
                <w:bCs/>
                <w:color w:val="002060"/>
                <w:sz w:val="16"/>
                <w:szCs w:val="16"/>
              </w:rPr>
            </w:pPr>
            <w:r w:rsidRPr="00405303">
              <w:rPr>
                <w:bCs/>
                <w:color w:val="002060"/>
                <w:sz w:val="16"/>
                <w:szCs w:val="16"/>
              </w:rPr>
              <w:t xml:space="preserve">4883 </w:t>
            </w:r>
          </w:p>
        </w:tc>
        <w:tc>
          <w:tcPr>
            <w:tcW w:w="1728" w:type="dxa"/>
          </w:tcPr>
          <w:p w14:paraId="1FD08E23" w14:textId="77777777" w:rsidR="004B4E35" w:rsidRPr="00405303" w:rsidRDefault="009E6F82" w:rsidP="00C15251">
            <w:pPr>
              <w:jc w:val="both"/>
              <w:rPr>
                <w:bCs/>
                <w:color w:val="002060"/>
                <w:sz w:val="16"/>
                <w:szCs w:val="16"/>
              </w:rPr>
            </w:pPr>
            <w:r w:rsidRPr="00405303">
              <w:rPr>
                <w:bCs/>
                <w:color w:val="002060"/>
                <w:sz w:val="16"/>
                <w:szCs w:val="16"/>
              </w:rPr>
              <w:t xml:space="preserve">20 </w:t>
            </w:r>
          </w:p>
        </w:tc>
        <w:tc>
          <w:tcPr>
            <w:tcW w:w="1920" w:type="dxa"/>
          </w:tcPr>
          <w:p w14:paraId="1EE98DD0" w14:textId="77777777" w:rsidR="004B4E35" w:rsidRPr="00405303" w:rsidRDefault="009E6F82" w:rsidP="00C15251">
            <w:pPr>
              <w:jc w:val="both"/>
              <w:rPr>
                <w:bCs/>
                <w:color w:val="002060"/>
                <w:sz w:val="16"/>
                <w:szCs w:val="16"/>
              </w:rPr>
            </w:pPr>
            <w:r w:rsidRPr="00405303">
              <w:rPr>
                <w:bCs/>
                <w:color w:val="002060"/>
                <w:sz w:val="16"/>
                <w:szCs w:val="16"/>
              </w:rPr>
              <w:t xml:space="preserve">31 </w:t>
            </w:r>
          </w:p>
        </w:tc>
      </w:tr>
    </w:tbl>
    <w:p w14:paraId="64ECAE25" w14:textId="77777777" w:rsidR="004B4E35" w:rsidRPr="00405303" w:rsidRDefault="009E6F82" w:rsidP="00C15251">
      <w:pPr>
        <w:jc w:val="both"/>
        <w:rPr>
          <w:bCs/>
          <w:color w:val="002060"/>
          <w:sz w:val="16"/>
          <w:szCs w:val="16"/>
        </w:rPr>
      </w:pPr>
      <w:r w:rsidRPr="00405303">
        <w:rPr>
          <w:bCs/>
          <w:color w:val="002060"/>
          <w:sz w:val="16"/>
          <w:szCs w:val="16"/>
        </w:rPr>
        <w:t xml:space="preserve">Указанный только что средний наличный состав пехотной дивизии верен и для всех 122 пехотных дивизий, дерущихся на Северном, Западном и Юго-Западном фронтах. </w:t>
      </w:r>
    </w:p>
    <w:p w14:paraId="66E1ABC4" w14:textId="77777777" w:rsidR="004B4E35" w:rsidRPr="00405303" w:rsidRDefault="009E6F82" w:rsidP="00C15251">
      <w:pPr>
        <w:jc w:val="both"/>
        <w:rPr>
          <w:bCs/>
          <w:color w:val="002060"/>
          <w:sz w:val="16"/>
          <w:szCs w:val="16"/>
        </w:rPr>
      </w:pPr>
      <w:r w:rsidRPr="00405303">
        <w:rPr>
          <w:bCs/>
          <w:color w:val="002060"/>
          <w:sz w:val="16"/>
          <w:szCs w:val="16"/>
        </w:rPr>
        <w:t xml:space="preserve">Исходя из этого предположения, мы приходим к следующим, общим для всех 122 пехотных дивизий итогам: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2880"/>
        <w:gridCol w:w="2112"/>
      </w:tblGrid>
      <w:tr w:rsidR="004B4E35" w:rsidRPr="00405303" w14:paraId="33E7BA0A" w14:textId="77777777">
        <w:tc>
          <w:tcPr>
            <w:tcW w:w="2880" w:type="dxa"/>
          </w:tcPr>
          <w:p w14:paraId="7A8759D6" w14:textId="77777777" w:rsidR="004B4E35" w:rsidRPr="00405303" w:rsidRDefault="009E6F82" w:rsidP="00C15251">
            <w:pPr>
              <w:jc w:val="both"/>
              <w:rPr>
                <w:bCs/>
                <w:color w:val="002060"/>
                <w:sz w:val="16"/>
                <w:szCs w:val="16"/>
              </w:rPr>
            </w:pPr>
            <w:r w:rsidRPr="00405303">
              <w:rPr>
                <w:bCs/>
                <w:color w:val="002060"/>
                <w:sz w:val="16"/>
                <w:szCs w:val="16"/>
              </w:rPr>
              <w:t xml:space="preserve">Штыков </w:t>
            </w:r>
          </w:p>
        </w:tc>
        <w:tc>
          <w:tcPr>
            <w:tcW w:w="2112" w:type="dxa"/>
          </w:tcPr>
          <w:p w14:paraId="358E6C91" w14:textId="77777777" w:rsidR="004B4E35" w:rsidRPr="00405303" w:rsidRDefault="009E6F82" w:rsidP="00C15251">
            <w:pPr>
              <w:jc w:val="both"/>
              <w:rPr>
                <w:bCs/>
                <w:color w:val="002060"/>
                <w:sz w:val="16"/>
                <w:szCs w:val="16"/>
              </w:rPr>
            </w:pPr>
            <w:r w:rsidRPr="00405303">
              <w:rPr>
                <w:bCs/>
                <w:color w:val="002060"/>
                <w:sz w:val="16"/>
                <w:szCs w:val="16"/>
              </w:rPr>
              <w:t xml:space="preserve">595726 </w:t>
            </w:r>
          </w:p>
        </w:tc>
      </w:tr>
      <w:tr w:rsidR="004B4E35" w:rsidRPr="00405303" w14:paraId="23F9715A" w14:textId="77777777">
        <w:tc>
          <w:tcPr>
            <w:tcW w:w="2880" w:type="dxa"/>
          </w:tcPr>
          <w:p w14:paraId="5BD8D06C" w14:textId="77777777" w:rsidR="004B4E35" w:rsidRPr="00405303" w:rsidRDefault="009E6F82" w:rsidP="00C15251">
            <w:pPr>
              <w:jc w:val="both"/>
              <w:rPr>
                <w:bCs/>
                <w:color w:val="002060"/>
                <w:sz w:val="16"/>
                <w:szCs w:val="16"/>
              </w:rPr>
            </w:pPr>
            <w:r w:rsidRPr="00405303">
              <w:rPr>
                <w:bCs/>
                <w:color w:val="002060"/>
                <w:sz w:val="16"/>
                <w:szCs w:val="16"/>
              </w:rPr>
              <w:t xml:space="preserve">Пулеметов </w:t>
            </w:r>
          </w:p>
        </w:tc>
        <w:tc>
          <w:tcPr>
            <w:tcW w:w="2112" w:type="dxa"/>
          </w:tcPr>
          <w:p w14:paraId="27C0A151" w14:textId="77777777" w:rsidR="004B4E35" w:rsidRPr="00405303" w:rsidRDefault="009E6F82" w:rsidP="00C15251">
            <w:pPr>
              <w:jc w:val="both"/>
              <w:rPr>
                <w:bCs/>
                <w:color w:val="002060"/>
                <w:sz w:val="16"/>
                <w:szCs w:val="16"/>
              </w:rPr>
            </w:pPr>
            <w:r w:rsidRPr="00405303">
              <w:rPr>
                <w:bCs/>
                <w:color w:val="002060"/>
                <w:sz w:val="16"/>
                <w:szCs w:val="16"/>
              </w:rPr>
              <w:t xml:space="preserve">2440 </w:t>
            </w:r>
          </w:p>
        </w:tc>
      </w:tr>
      <w:tr w:rsidR="004B4E35" w:rsidRPr="00405303" w14:paraId="5F2476CC" w14:textId="77777777">
        <w:tc>
          <w:tcPr>
            <w:tcW w:w="2880" w:type="dxa"/>
          </w:tcPr>
          <w:p w14:paraId="337E43C4" w14:textId="77777777" w:rsidR="004B4E35" w:rsidRPr="00405303" w:rsidRDefault="009E6F82" w:rsidP="00C15251">
            <w:pPr>
              <w:jc w:val="both"/>
              <w:rPr>
                <w:bCs/>
                <w:color w:val="002060"/>
                <w:sz w:val="16"/>
                <w:szCs w:val="16"/>
              </w:rPr>
            </w:pPr>
            <w:r w:rsidRPr="00405303">
              <w:rPr>
                <w:bCs/>
                <w:color w:val="002060"/>
                <w:sz w:val="16"/>
                <w:szCs w:val="16"/>
              </w:rPr>
              <w:t xml:space="preserve">3-дюйм. орудий </w:t>
            </w:r>
          </w:p>
        </w:tc>
        <w:tc>
          <w:tcPr>
            <w:tcW w:w="2112" w:type="dxa"/>
          </w:tcPr>
          <w:p w14:paraId="0DFA8747" w14:textId="77777777" w:rsidR="004B4E35" w:rsidRPr="00405303" w:rsidRDefault="009E6F82" w:rsidP="00C15251">
            <w:pPr>
              <w:jc w:val="both"/>
              <w:rPr>
                <w:bCs/>
                <w:color w:val="002060"/>
                <w:sz w:val="16"/>
                <w:szCs w:val="16"/>
              </w:rPr>
            </w:pPr>
            <w:r w:rsidRPr="00405303">
              <w:rPr>
                <w:bCs/>
                <w:color w:val="002060"/>
                <w:sz w:val="16"/>
                <w:szCs w:val="16"/>
              </w:rPr>
              <w:t>3782</w:t>
            </w:r>
          </w:p>
        </w:tc>
      </w:tr>
    </w:tbl>
    <w:p w14:paraId="14EE5F4E" w14:textId="77777777" w:rsidR="004B4E35" w:rsidRPr="00405303" w:rsidRDefault="009E6F82" w:rsidP="00C15251">
      <w:pPr>
        <w:jc w:val="both"/>
        <w:rPr>
          <w:bCs/>
          <w:color w:val="002060"/>
          <w:sz w:val="16"/>
          <w:szCs w:val="16"/>
        </w:rPr>
      </w:pPr>
      <w:r w:rsidRPr="00405303">
        <w:rPr>
          <w:bCs/>
          <w:color w:val="002060"/>
          <w:sz w:val="16"/>
          <w:szCs w:val="16"/>
        </w:rPr>
        <w:t xml:space="preserve">Вся боевая сила русской кавалерии к настоящему моменту может оцениваться следующими цифрами: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2880"/>
        <w:gridCol w:w="1152"/>
      </w:tblGrid>
      <w:tr w:rsidR="004B4E35" w:rsidRPr="00405303" w14:paraId="6BD8CF22" w14:textId="77777777">
        <w:tc>
          <w:tcPr>
            <w:tcW w:w="2880" w:type="dxa"/>
          </w:tcPr>
          <w:p w14:paraId="17CAFC18" w14:textId="77777777" w:rsidR="004B4E35" w:rsidRPr="00405303" w:rsidRDefault="009E6F82" w:rsidP="00C15251">
            <w:pPr>
              <w:jc w:val="both"/>
              <w:rPr>
                <w:bCs/>
                <w:color w:val="002060"/>
                <w:sz w:val="16"/>
                <w:szCs w:val="16"/>
              </w:rPr>
            </w:pPr>
            <w:r w:rsidRPr="00405303">
              <w:rPr>
                <w:bCs/>
                <w:color w:val="002060"/>
                <w:sz w:val="16"/>
                <w:szCs w:val="16"/>
              </w:rPr>
              <w:t xml:space="preserve">Винтовок </w:t>
            </w:r>
          </w:p>
        </w:tc>
        <w:tc>
          <w:tcPr>
            <w:tcW w:w="1152" w:type="dxa"/>
          </w:tcPr>
          <w:p w14:paraId="6135E681" w14:textId="77777777" w:rsidR="004B4E35" w:rsidRPr="00405303" w:rsidRDefault="009E6F82" w:rsidP="00C15251">
            <w:pPr>
              <w:jc w:val="both"/>
              <w:rPr>
                <w:bCs/>
                <w:color w:val="002060"/>
                <w:sz w:val="16"/>
                <w:szCs w:val="16"/>
              </w:rPr>
            </w:pPr>
            <w:r w:rsidRPr="00405303">
              <w:rPr>
                <w:bCs/>
                <w:color w:val="002060"/>
                <w:sz w:val="16"/>
                <w:szCs w:val="16"/>
              </w:rPr>
              <w:t xml:space="preserve">55000 </w:t>
            </w:r>
          </w:p>
        </w:tc>
      </w:tr>
      <w:tr w:rsidR="004B4E35" w:rsidRPr="00405303" w14:paraId="68869D12" w14:textId="77777777">
        <w:tc>
          <w:tcPr>
            <w:tcW w:w="2880" w:type="dxa"/>
          </w:tcPr>
          <w:p w14:paraId="778F373F" w14:textId="77777777" w:rsidR="004B4E35" w:rsidRPr="00405303" w:rsidRDefault="009E6F82" w:rsidP="00C15251">
            <w:pPr>
              <w:jc w:val="both"/>
              <w:rPr>
                <w:bCs/>
                <w:color w:val="002060"/>
                <w:sz w:val="16"/>
                <w:szCs w:val="16"/>
              </w:rPr>
            </w:pPr>
            <w:r w:rsidRPr="00405303">
              <w:rPr>
                <w:bCs/>
                <w:color w:val="002060"/>
                <w:sz w:val="16"/>
                <w:szCs w:val="16"/>
              </w:rPr>
              <w:t xml:space="preserve">Пулеметов </w:t>
            </w:r>
          </w:p>
        </w:tc>
        <w:tc>
          <w:tcPr>
            <w:tcW w:w="1152" w:type="dxa"/>
          </w:tcPr>
          <w:p w14:paraId="4C475B4E" w14:textId="77777777" w:rsidR="004B4E35" w:rsidRPr="00405303" w:rsidRDefault="009E6F82" w:rsidP="00C15251">
            <w:pPr>
              <w:jc w:val="both"/>
              <w:rPr>
                <w:bCs/>
                <w:color w:val="002060"/>
                <w:sz w:val="16"/>
                <w:szCs w:val="16"/>
              </w:rPr>
            </w:pPr>
            <w:r w:rsidRPr="00405303">
              <w:rPr>
                <w:bCs/>
                <w:color w:val="002060"/>
                <w:sz w:val="16"/>
                <w:szCs w:val="16"/>
              </w:rPr>
              <w:t xml:space="preserve">150 </w:t>
            </w:r>
          </w:p>
        </w:tc>
      </w:tr>
      <w:tr w:rsidR="004B4E35" w:rsidRPr="00405303" w14:paraId="1010AC07" w14:textId="77777777">
        <w:tc>
          <w:tcPr>
            <w:tcW w:w="2880" w:type="dxa"/>
          </w:tcPr>
          <w:p w14:paraId="0F449E4C" w14:textId="77777777" w:rsidR="004B4E35" w:rsidRPr="00405303" w:rsidRDefault="009E6F82" w:rsidP="00C15251">
            <w:pPr>
              <w:jc w:val="both"/>
              <w:rPr>
                <w:bCs/>
                <w:color w:val="002060"/>
                <w:sz w:val="16"/>
                <w:szCs w:val="16"/>
              </w:rPr>
            </w:pPr>
            <w:r w:rsidRPr="00405303">
              <w:rPr>
                <w:bCs/>
                <w:color w:val="002060"/>
                <w:sz w:val="16"/>
                <w:szCs w:val="16"/>
              </w:rPr>
              <w:t xml:space="preserve">3-дюйм. орудий </w:t>
            </w:r>
          </w:p>
        </w:tc>
        <w:tc>
          <w:tcPr>
            <w:tcW w:w="1152" w:type="dxa"/>
          </w:tcPr>
          <w:p w14:paraId="56798C85" w14:textId="77777777" w:rsidR="004B4E35" w:rsidRPr="00405303" w:rsidRDefault="009E6F82" w:rsidP="00C15251">
            <w:pPr>
              <w:jc w:val="both"/>
              <w:rPr>
                <w:bCs/>
                <w:color w:val="002060"/>
                <w:sz w:val="16"/>
                <w:szCs w:val="16"/>
              </w:rPr>
            </w:pPr>
            <w:r w:rsidRPr="00405303">
              <w:rPr>
                <w:bCs/>
                <w:color w:val="002060"/>
                <w:sz w:val="16"/>
                <w:szCs w:val="16"/>
              </w:rPr>
              <w:t xml:space="preserve">275 </w:t>
            </w:r>
          </w:p>
        </w:tc>
      </w:tr>
    </w:tbl>
    <w:p w14:paraId="6AA4369F" w14:textId="77777777" w:rsidR="004B4E35" w:rsidRPr="00405303" w:rsidRDefault="009E6F82" w:rsidP="00C15251">
      <w:pPr>
        <w:jc w:val="both"/>
        <w:rPr>
          <w:bCs/>
          <w:color w:val="002060"/>
          <w:sz w:val="16"/>
          <w:szCs w:val="16"/>
        </w:rPr>
      </w:pPr>
      <w:r w:rsidRPr="00405303">
        <w:rPr>
          <w:bCs/>
          <w:color w:val="002060"/>
          <w:sz w:val="16"/>
          <w:szCs w:val="16"/>
        </w:rPr>
        <w:t xml:space="preserve">Отсюда следует, что истинная общая боевая сила всех действующих против Германии и Австро-Венгрии русских армий измеряется следующими цифрами: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2880"/>
        <w:gridCol w:w="1344"/>
      </w:tblGrid>
      <w:tr w:rsidR="004B4E35" w:rsidRPr="00405303" w14:paraId="00EEC11A" w14:textId="77777777">
        <w:tc>
          <w:tcPr>
            <w:tcW w:w="2880" w:type="dxa"/>
          </w:tcPr>
          <w:p w14:paraId="38D066CD" w14:textId="77777777" w:rsidR="004B4E35" w:rsidRPr="00405303" w:rsidRDefault="009E6F82" w:rsidP="00C15251">
            <w:pPr>
              <w:jc w:val="both"/>
              <w:rPr>
                <w:bCs/>
                <w:color w:val="002060"/>
                <w:sz w:val="16"/>
                <w:szCs w:val="16"/>
              </w:rPr>
            </w:pPr>
            <w:r w:rsidRPr="00405303">
              <w:rPr>
                <w:bCs/>
                <w:color w:val="002060"/>
                <w:sz w:val="16"/>
                <w:szCs w:val="16"/>
              </w:rPr>
              <w:t xml:space="preserve">Винтовок </w:t>
            </w:r>
          </w:p>
        </w:tc>
        <w:tc>
          <w:tcPr>
            <w:tcW w:w="1344" w:type="dxa"/>
          </w:tcPr>
          <w:p w14:paraId="2E0495AC" w14:textId="77777777" w:rsidR="004B4E35" w:rsidRPr="00405303" w:rsidRDefault="009E6F82" w:rsidP="00C15251">
            <w:pPr>
              <w:jc w:val="both"/>
              <w:rPr>
                <w:bCs/>
                <w:color w:val="002060"/>
                <w:sz w:val="16"/>
                <w:szCs w:val="16"/>
              </w:rPr>
            </w:pPr>
            <w:r w:rsidRPr="00405303">
              <w:rPr>
                <w:bCs/>
                <w:color w:val="002060"/>
                <w:sz w:val="16"/>
                <w:szCs w:val="16"/>
              </w:rPr>
              <w:t xml:space="preserve">650000 </w:t>
            </w:r>
          </w:p>
        </w:tc>
      </w:tr>
      <w:tr w:rsidR="004B4E35" w:rsidRPr="00405303" w14:paraId="1363F514" w14:textId="77777777">
        <w:tc>
          <w:tcPr>
            <w:tcW w:w="2880" w:type="dxa"/>
          </w:tcPr>
          <w:p w14:paraId="6272BF36" w14:textId="77777777" w:rsidR="004B4E35" w:rsidRPr="00405303" w:rsidRDefault="009E6F82" w:rsidP="00C15251">
            <w:pPr>
              <w:jc w:val="both"/>
              <w:rPr>
                <w:bCs/>
                <w:color w:val="002060"/>
                <w:sz w:val="16"/>
                <w:szCs w:val="16"/>
              </w:rPr>
            </w:pPr>
            <w:r w:rsidRPr="00405303">
              <w:rPr>
                <w:bCs/>
                <w:color w:val="002060"/>
                <w:sz w:val="16"/>
                <w:szCs w:val="16"/>
              </w:rPr>
              <w:t xml:space="preserve">Пулеметов </w:t>
            </w:r>
          </w:p>
        </w:tc>
        <w:tc>
          <w:tcPr>
            <w:tcW w:w="1344" w:type="dxa"/>
          </w:tcPr>
          <w:p w14:paraId="671E605E" w14:textId="77777777" w:rsidR="004B4E35" w:rsidRPr="00405303" w:rsidRDefault="009E6F82" w:rsidP="00C15251">
            <w:pPr>
              <w:jc w:val="both"/>
              <w:rPr>
                <w:bCs/>
                <w:color w:val="002060"/>
                <w:sz w:val="16"/>
                <w:szCs w:val="16"/>
              </w:rPr>
            </w:pPr>
            <w:r w:rsidRPr="00405303">
              <w:rPr>
                <w:bCs/>
                <w:color w:val="002060"/>
                <w:sz w:val="16"/>
                <w:szCs w:val="16"/>
              </w:rPr>
              <w:t xml:space="preserve">2590 </w:t>
            </w:r>
          </w:p>
        </w:tc>
      </w:tr>
      <w:tr w:rsidR="004B4E35" w:rsidRPr="00405303" w14:paraId="5BB407E9" w14:textId="77777777">
        <w:tc>
          <w:tcPr>
            <w:tcW w:w="2880" w:type="dxa"/>
          </w:tcPr>
          <w:p w14:paraId="7CBDCE90" w14:textId="77777777" w:rsidR="004B4E35" w:rsidRPr="00405303" w:rsidRDefault="009E6F82" w:rsidP="00C15251">
            <w:pPr>
              <w:jc w:val="both"/>
              <w:rPr>
                <w:bCs/>
                <w:color w:val="002060"/>
                <w:sz w:val="16"/>
                <w:szCs w:val="16"/>
              </w:rPr>
            </w:pPr>
            <w:r w:rsidRPr="00405303">
              <w:rPr>
                <w:bCs/>
                <w:color w:val="002060"/>
                <w:sz w:val="16"/>
                <w:szCs w:val="16"/>
              </w:rPr>
              <w:t xml:space="preserve">3-дюйм. орудий </w:t>
            </w:r>
          </w:p>
        </w:tc>
        <w:tc>
          <w:tcPr>
            <w:tcW w:w="1344" w:type="dxa"/>
          </w:tcPr>
          <w:p w14:paraId="18AA6366" w14:textId="77777777" w:rsidR="004B4E35" w:rsidRPr="00405303" w:rsidRDefault="009E6F82" w:rsidP="00C15251">
            <w:pPr>
              <w:jc w:val="both"/>
              <w:rPr>
                <w:bCs/>
                <w:color w:val="002060"/>
                <w:sz w:val="16"/>
                <w:szCs w:val="16"/>
              </w:rPr>
            </w:pPr>
            <w:r w:rsidRPr="00405303">
              <w:rPr>
                <w:bCs/>
                <w:color w:val="002060"/>
                <w:sz w:val="16"/>
                <w:szCs w:val="16"/>
              </w:rPr>
              <w:t xml:space="preserve">4057 </w:t>
            </w:r>
          </w:p>
        </w:tc>
      </w:tr>
    </w:tbl>
    <w:p w14:paraId="24A056E7" w14:textId="77777777" w:rsidR="004B4E35" w:rsidRPr="00405303" w:rsidRDefault="009E6F82" w:rsidP="00C15251">
      <w:pPr>
        <w:jc w:val="both"/>
        <w:rPr>
          <w:bCs/>
          <w:color w:val="002060"/>
          <w:sz w:val="16"/>
          <w:szCs w:val="16"/>
        </w:rPr>
      </w:pPr>
      <w:r w:rsidRPr="00405303">
        <w:rPr>
          <w:bCs/>
          <w:color w:val="002060"/>
          <w:sz w:val="16"/>
          <w:szCs w:val="16"/>
        </w:rPr>
        <w:t xml:space="preserve">Сто десять офицеров на дивизию в 16 батальонов и шесть батарей, конечно, слишком мало. Число офицеров будет увеличено производством в офицеры молодых людей, прошедших ускоренную подготовку; несомненно, что эта подготовка может быть только весьма относительной, но материал эти молодые люди представляют отличный. </w:t>
      </w:r>
    </w:p>
    <w:p w14:paraId="3632ACEB" w14:textId="77777777" w:rsidR="004B4E35" w:rsidRPr="00405303" w:rsidRDefault="009E6F82" w:rsidP="00C15251">
      <w:pPr>
        <w:jc w:val="both"/>
        <w:rPr>
          <w:bCs/>
          <w:color w:val="002060"/>
          <w:sz w:val="16"/>
          <w:szCs w:val="16"/>
        </w:rPr>
      </w:pPr>
      <w:r w:rsidRPr="00405303">
        <w:rPr>
          <w:bCs/>
          <w:color w:val="002060"/>
          <w:sz w:val="16"/>
          <w:szCs w:val="16"/>
        </w:rPr>
        <w:t xml:space="preserve">Шестьсот пятьдесят тысяч ружей — вот все, что имеет сейчас Россия для защиты своей границы от Ревеля до Черновиц, протяжением в 1000 миль. Весь вопрос в недостатке ружей. Из 122 пехотных дивизий те, которые имеют номера свыше сотого, вооружены японскими винтовками. Солдаты называют их японскими дивизиями. Некоторые из частей вооружены винтовками, захваченными у австро-венгров. Таким образом, общее количество русских трехлинейных винтовок, находящихся сейчас на вооружении в Русской армии, не превосходит 600 000. Ополченские дружины вооружены старыми ружьями системы Бердана. </w:t>
      </w:r>
    </w:p>
    <w:p w14:paraId="51207468" w14:textId="77777777" w:rsidR="004B4E35" w:rsidRPr="00405303" w:rsidRDefault="009E6F82" w:rsidP="00C15251">
      <w:pPr>
        <w:jc w:val="both"/>
        <w:rPr>
          <w:bCs/>
          <w:color w:val="002060"/>
          <w:sz w:val="16"/>
          <w:szCs w:val="16"/>
        </w:rPr>
      </w:pPr>
      <w:r w:rsidRPr="00405303">
        <w:rPr>
          <w:bCs/>
          <w:color w:val="002060"/>
          <w:sz w:val="16"/>
          <w:szCs w:val="16"/>
        </w:rPr>
        <w:t>Подполковник А. Нокс» (11292).</w:t>
      </w:r>
    </w:p>
    <w:p w14:paraId="651EAD18" w14:textId="71070D5A" w:rsidR="004B4E35" w:rsidRPr="00405303" w:rsidRDefault="004B4E35" w:rsidP="00C15251">
      <w:pPr>
        <w:jc w:val="both"/>
        <w:rPr>
          <w:bCs/>
          <w:color w:val="002060"/>
          <w:sz w:val="16"/>
          <w:szCs w:val="16"/>
        </w:rPr>
      </w:pPr>
    </w:p>
    <w:p w14:paraId="4368E7EB" w14:textId="234524BA" w:rsidR="004D55F9" w:rsidRPr="00405303" w:rsidRDefault="004D55F9" w:rsidP="00C15251">
      <w:pPr>
        <w:jc w:val="both"/>
        <w:rPr>
          <w:bCs/>
          <w:i/>
          <w:iCs/>
          <w:color w:val="002060"/>
          <w:sz w:val="16"/>
          <w:szCs w:val="16"/>
        </w:rPr>
      </w:pPr>
      <w:r w:rsidRPr="00405303">
        <w:rPr>
          <w:bCs/>
          <w:i/>
          <w:iCs/>
          <w:color w:val="002060"/>
          <w:sz w:val="16"/>
          <w:szCs w:val="16"/>
        </w:rPr>
        <w:t>Авиация:</w:t>
      </w:r>
    </w:p>
    <w:p w14:paraId="5461732A" w14:textId="77777777" w:rsidR="004D55F9" w:rsidRPr="00405303" w:rsidRDefault="004D55F9" w:rsidP="00C15251">
      <w:pPr>
        <w:jc w:val="both"/>
        <w:rPr>
          <w:bCs/>
          <w:i/>
          <w:iCs/>
          <w:color w:val="002060"/>
          <w:sz w:val="16"/>
          <w:szCs w:val="16"/>
        </w:rPr>
      </w:pPr>
    </w:p>
    <w:p w14:paraId="398BE488" w14:textId="08707B85" w:rsidR="004D55F9" w:rsidRPr="00405303" w:rsidRDefault="004D55F9" w:rsidP="00C15251">
      <w:pPr>
        <w:jc w:val="both"/>
        <w:rPr>
          <w:bCs/>
          <w:color w:val="002060"/>
          <w:sz w:val="16"/>
          <w:szCs w:val="16"/>
        </w:rPr>
      </w:pPr>
      <w:r w:rsidRPr="00405303">
        <w:rPr>
          <w:bCs/>
          <w:color w:val="002060"/>
          <w:sz w:val="16"/>
          <w:szCs w:val="16"/>
        </w:rPr>
        <w:t>12 (25) октября 1915 г. немецкий самолет провел бомбометание наших передовых позиций на линии озер Демен и Дрисвяты. В ту же ночь в районе г. Двинск с борта появившегося в небе цеппелина было сброшено до 50 бомб (обошлось без человеческих жертв) (23405).</w:t>
      </w:r>
    </w:p>
    <w:p w14:paraId="46CAF9D1" w14:textId="77777777" w:rsidR="004D55F9" w:rsidRPr="00405303" w:rsidRDefault="004D55F9" w:rsidP="00C15251">
      <w:pPr>
        <w:jc w:val="both"/>
        <w:rPr>
          <w:bCs/>
          <w:color w:val="002060"/>
          <w:sz w:val="16"/>
          <w:szCs w:val="16"/>
          <w:lang w:bidi="ru-RU"/>
        </w:rPr>
      </w:pPr>
    </w:p>
    <w:p w14:paraId="11D927AF" w14:textId="2A95EAE7" w:rsidR="00D66BCE" w:rsidRPr="00405303" w:rsidRDefault="00D66BCE" w:rsidP="00C15251">
      <w:pPr>
        <w:jc w:val="both"/>
        <w:rPr>
          <w:bCs/>
          <w:i/>
          <w:iCs/>
          <w:color w:val="002060"/>
          <w:sz w:val="16"/>
          <w:szCs w:val="16"/>
        </w:rPr>
      </w:pPr>
      <w:r w:rsidRPr="00405303">
        <w:rPr>
          <w:bCs/>
          <w:i/>
          <w:iCs/>
          <w:color w:val="002060"/>
          <w:sz w:val="16"/>
          <w:szCs w:val="16"/>
        </w:rPr>
        <w:t>Авиация и воздухоплавание за рубежом:</w:t>
      </w:r>
    </w:p>
    <w:p w14:paraId="30D8F7CC" w14:textId="77777777" w:rsidR="00D66BCE" w:rsidRPr="00405303" w:rsidRDefault="00D66BCE" w:rsidP="00C15251">
      <w:pPr>
        <w:jc w:val="both"/>
        <w:rPr>
          <w:bCs/>
          <w:i/>
          <w:iCs/>
          <w:color w:val="002060"/>
          <w:sz w:val="16"/>
          <w:szCs w:val="16"/>
        </w:rPr>
      </w:pPr>
    </w:p>
    <w:p w14:paraId="0EA71724" w14:textId="1EE0F29F" w:rsidR="00D66BCE" w:rsidRPr="00405303" w:rsidRDefault="00D66BCE" w:rsidP="00C15251">
      <w:pPr>
        <w:jc w:val="both"/>
        <w:rPr>
          <w:bCs/>
          <w:color w:val="002060"/>
          <w:sz w:val="16"/>
          <w:szCs w:val="16"/>
          <w:lang w:bidi="en-US"/>
        </w:rPr>
      </w:pPr>
      <w:r w:rsidRPr="00405303">
        <w:rPr>
          <w:bCs/>
          <w:color w:val="002060"/>
          <w:sz w:val="16"/>
          <w:szCs w:val="16"/>
          <w:lang w:bidi="en-US"/>
        </w:rPr>
        <w:t xml:space="preserve">12 (25) октября 1915 г. румыны сформировали истребительную эскадрилью из шести «Ньюпор Кси» в Брэиле во главе сфранцузским лейтенантом Рене Шамбе. В октябре французы сформировали «Салоникское бегство» на македонском фронте. 19 ноября пилоты </w:t>
      </w:r>
      <w:r w:rsidRPr="00405303">
        <w:rPr>
          <w:bCs/>
          <w:color w:val="002060"/>
          <w:sz w:val="16"/>
          <w:szCs w:val="16"/>
          <w:lang w:val="en-US" w:bidi="en-US"/>
        </w:rPr>
        <w:t>Salonika</w:t>
      </w:r>
      <w:r w:rsidRPr="00405303">
        <w:rPr>
          <w:bCs/>
          <w:color w:val="002060"/>
          <w:sz w:val="16"/>
          <w:szCs w:val="16"/>
          <w:lang w:bidi="en-US"/>
        </w:rPr>
        <w:t xml:space="preserve"> </w:t>
      </w:r>
      <w:r w:rsidRPr="00405303">
        <w:rPr>
          <w:bCs/>
          <w:color w:val="002060"/>
          <w:sz w:val="16"/>
          <w:szCs w:val="16"/>
          <w:lang w:val="en-US" w:bidi="en-US"/>
        </w:rPr>
        <w:t>Flight</w:t>
      </w:r>
      <w:r w:rsidRPr="00405303">
        <w:rPr>
          <w:bCs/>
          <w:color w:val="002060"/>
          <w:sz w:val="16"/>
          <w:szCs w:val="16"/>
          <w:lang w:bidi="en-US"/>
        </w:rPr>
        <w:t xml:space="preserve"> доставили семь самолетов </w:t>
      </w:r>
      <w:r w:rsidRPr="00405303">
        <w:rPr>
          <w:bCs/>
          <w:color w:val="002060"/>
          <w:sz w:val="16"/>
          <w:szCs w:val="16"/>
          <w:lang w:val="en-US" w:bidi="en-US"/>
        </w:rPr>
        <w:t>Nieuport</w:t>
      </w:r>
      <w:r w:rsidRPr="00405303">
        <w:rPr>
          <w:bCs/>
          <w:color w:val="002060"/>
          <w:sz w:val="16"/>
          <w:szCs w:val="16"/>
          <w:lang w:bidi="en-US"/>
        </w:rPr>
        <w:t xml:space="preserve"> </w:t>
      </w:r>
      <w:r w:rsidRPr="00405303">
        <w:rPr>
          <w:bCs/>
          <w:color w:val="002060"/>
          <w:sz w:val="16"/>
          <w:szCs w:val="16"/>
          <w:lang w:val="en-US" w:bidi="en-US"/>
        </w:rPr>
        <w:t>Xis</w:t>
      </w:r>
      <w:r w:rsidRPr="00405303">
        <w:rPr>
          <w:bCs/>
          <w:color w:val="002060"/>
          <w:sz w:val="16"/>
          <w:szCs w:val="16"/>
          <w:lang w:bidi="en-US"/>
        </w:rPr>
        <w:t xml:space="preserve">, пять </w:t>
      </w:r>
      <w:r w:rsidRPr="00405303">
        <w:rPr>
          <w:bCs/>
          <w:color w:val="002060"/>
          <w:sz w:val="16"/>
          <w:szCs w:val="16"/>
          <w:lang w:val="en-US" w:bidi="en-US"/>
        </w:rPr>
        <w:t>Maurice</w:t>
      </w:r>
      <w:r w:rsidRPr="00405303">
        <w:rPr>
          <w:bCs/>
          <w:color w:val="002060"/>
          <w:sz w:val="16"/>
          <w:szCs w:val="16"/>
          <w:lang w:bidi="en-US"/>
        </w:rPr>
        <w:t xml:space="preserve"> </w:t>
      </w:r>
      <w:r w:rsidRPr="00405303">
        <w:rPr>
          <w:bCs/>
          <w:color w:val="002060"/>
          <w:sz w:val="16"/>
          <w:szCs w:val="16"/>
          <w:lang w:val="en-US" w:bidi="en-US"/>
        </w:rPr>
        <w:t>Farman</w:t>
      </w:r>
      <w:r w:rsidRPr="00405303">
        <w:rPr>
          <w:bCs/>
          <w:color w:val="002060"/>
          <w:sz w:val="16"/>
          <w:szCs w:val="16"/>
          <w:lang w:bidi="en-US"/>
        </w:rPr>
        <w:t xml:space="preserve"> и десять </w:t>
      </w:r>
      <w:r w:rsidRPr="00405303">
        <w:rPr>
          <w:bCs/>
          <w:color w:val="002060"/>
          <w:sz w:val="16"/>
          <w:szCs w:val="16"/>
          <w:lang w:val="en-US" w:bidi="en-US"/>
        </w:rPr>
        <w:t>Caudron</w:t>
      </w:r>
      <w:r w:rsidRPr="00405303">
        <w:rPr>
          <w:bCs/>
          <w:color w:val="002060"/>
          <w:sz w:val="16"/>
          <w:szCs w:val="16"/>
          <w:lang w:bidi="en-US"/>
        </w:rPr>
        <w:t xml:space="preserve"> </w:t>
      </w:r>
      <w:r w:rsidRPr="00405303">
        <w:rPr>
          <w:bCs/>
          <w:color w:val="002060"/>
          <w:sz w:val="16"/>
          <w:szCs w:val="16"/>
          <w:lang w:val="en-US" w:bidi="en-US"/>
        </w:rPr>
        <w:t>G</w:t>
      </w:r>
      <w:r w:rsidRPr="00405303">
        <w:rPr>
          <w:bCs/>
          <w:color w:val="002060"/>
          <w:sz w:val="16"/>
          <w:szCs w:val="16"/>
          <w:lang w:bidi="en-US"/>
        </w:rPr>
        <w:t>-4 из Салоник в Бухарест (23525).</w:t>
      </w:r>
    </w:p>
    <w:p w14:paraId="3B2F853D" w14:textId="77777777" w:rsidR="00D66BCE" w:rsidRPr="00405303" w:rsidRDefault="00D66BCE" w:rsidP="00C15251">
      <w:pPr>
        <w:jc w:val="both"/>
        <w:rPr>
          <w:bCs/>
          <w:color w:val="002060"/>
          <w:sz w:val="16"/>
          <w:szCs w:val="16"/>
        </w:rPr>
      </w:pPr>
    </w:p>
    <w:p w14:paraId="10ADC5D0" w14:textId="52D42D41" w:rsidR="00E403EF" w:rsidRPr="00405303" w:rsidRDefault="00E403EF" w:rsidP="00C15251">
      <w:pPr>
        <w:jc w:val="both"/>
        <w:rPr>
          <w:bCs/>
          <w:i/>
          <w:iCs/>
          <w:color w:val="002060"/>
          <w:sz w:val="16"/>
          <w:szCs w:val="16"/>
        </w:rPr>
      </w:pPr>
      <w:r w:rsidRPr="00405303">
        <w:rPr>
          <w:bCs/>
          <w:i/>
          <w:iCs/>
          <w:color w:val="002060"/>
          <w:sz w:val="16"/>
          <w:szCs w:val="16"/>
        </w:rPr>
        <w:t>Самолетостроение:</w:t>
      </w:r>
    </w:p>
    <w:p w14:paraId="6CFFB390" w14:textId="77777777" w:rsidR="00E403EF" w:rsidRPr="00405303" w:rsidRDefault="00E403EF" w:rsidP="00C15251">
      <w:pPr>
        <w:jc w:val="both"/>
        <w:rPr>
          <w:bCs/>
          <w:i/>
          <w:iCs/>
          <w:color w:val="002060"/>
          <w:sz w:val="16"/>
          <w:szCs w:val="16"/>
        </w:rPr>
      </w:pPr>
    </w:p>
    <w:p w14:paraId="4A63C846" w14:textId="4BF6B892" w:rsidR="00E403EF" w:rsidRPr="00405303" w:rsidRDefault="00E403EF" w:rsidP="00C15251">
      <w:pPr>
        <w:jc w:val="both"/>
        <w:rPr>
          <w:bCs/>
          <w:color w:val="002060"/>
          <w:sz w:val="16"/>
          <w:szCs w:val="16"/>
        </w:rPr>
      </w:pPr>
      <w:r w:rsidRPr="00405303">
        <w:rPr>
          <w:bCs/>
          <w:color w:val="002060"/>
          <w:sz w:val="16"/>
          <w:szCs w:val="16"/>
        </w:rPr>
        <w:t>13 (26) октября 1915 г. экспертная комиссия (Жуковский и Ветчинкин) учла просьбу «дать разрешение на производство опытов в одной из лабораторий» (к этому моменту Эйда лечился в госпитале после ранения на фронте)</w:t>
      </w:r>
      <w:r w:rsidR="00FF3491" w:rsidRPr="00405303">
        <w:rPr>
          <w:bCs/>
          <w:color w:val="002060"/>
          <w:sz w:val="16"/>
          <w:szCs w:val="16"/>
        </w:rPr>
        <w:t>, указала, что «хотя проект геликоптера представлен изобретателем в неразработанном виде и неконструктивной форме, но при его описании изобретатель показал достаточное знание теории винтов и главная его тема — устройство двойного (соосного — А.Д.) винта по образцу винта Форланини — заслуживает внимания. Выполнение всего проекта изобретателя лежит в далеком будущем, когда возникнут новые формы летательных машин, разумеется они могут появиться так же после большой экспериментальной работы...»</w:t>
      </w:r>
      <w:r w:rsidR="000F5756">
        <w:rPr>
          <w:bCs/>
          <w:color w:val="002060"/>
          <w:sz w:val="16"/>
          <w:szCs w:val="16"/>
        </w:rPr>
        <w:t xml:space="preserve"> </w:t>
      </w:r>
      <w:r w:rsidRPr="00405303">
        <w:rPr>
          <w:bCs/>
          <w:color w:val="002060"/>
          <w:sz w:val="16"/>
          <w:szCs w:val="16"/>
        </w:rPr>
        <w:t>и постановила «произвести исследование двойного винта» и допустила Эйду «до этого исследования в аэродинамическую лабораторию ИМУ (МГУ), при чем для приспособления большого университетского прибора (аэродинамической трубы) к испытанию двойного винта [решила] оказать содействие выдачей суммы до 300 руб.», полагая, что винты сделает изобретатель на свои средства. Результаты опытов не найдены, но думаю, что фирма «Камов» вполне может считать датой своего основания 13 октября 1915 г. (15464).</w:t>
      </w:r>
    </w:p>
    <w:p w14:paraId="580571FE" w14:textId="77777777" w:rsidR="00E403EF" w:rsidRPr="00405303" w:rsidRDefault="00E403EF" w:rsidP="00C15251">
      <w:pPr>
        <w:jc w:val="both"/>
        <w:rPr>
          <w:bCs/>
          <w:color w:val="002060"/>
          <w:sz w:val="16"/>
          <w:szCs w:val="16"/>
        </w:rPr>
      </w:pPr>
    </w:p>
    <w:p w14:paraId="271AAA5C" w14:textId="12A0A7CE" w:rsidR="004D55F9" w:rsidRPr="00405303" w:rsidRDefault="004D55F9" w:rsidP="00C15251">
      <w:pPr>
        <w:jc w:val="both"/>
        <w:rPr>
          <w:bCs/>
          <w:color w:val="002060"/>
          <w:sz w:val="16"/>
          <w:szCs w:val="16"/>
        </w:rPr>
      </w:pPr>
      <w:r w:rsidRPr="00405303">
        <w:rPr>
          <w:bCs/>
          <w:color w:val="002060"/>
          <w:sz w:val="16"/>
          <w:szCs w:val="16"/>
        </w:rPr>
        <w:t xml:space="preserve">13 (26) октября 1915 г. ЭВК посетила французская военная миссия. Она включала французских генералов Де Лагуша и Д’Амаде. Они детально обследовали </w:t>
      </w:r>
      <w:proofErr w:type="gramStart"/>
      <w:r w:rsidRPr="00405303">
        <w:rPr>
          <w:bCs/>
          <w:color w:val="002060"/>
          <w:sz w:val="16"/>
          <w:szCs w:val="16"/>
        </w:rPr>
        <w:t>Илью Муромца</w:t>
      </w:r>
      <w:proofErr w:type="gramEnd"/>
      <w:r w:rsidRPr="00405303">
        <w:rPr>
          <w:bCs/>
          <w:color w:val="002060"/>
          <w:sz w:val="16"/>
          <w:szCs w:val="16"/>
        </w:rPr>
        <w:t xml:space="preserve"> и один французский офицер совершил на нем полет. Этот французский пилот несколько раз повторил, что кабина Ильи Муромца была, по его словам, «удивительно комфортна» (23470).</w:t>
      </w:r>
    </w:p>
    <w:p w14:paraId="45065F7E" w14:textId="77777777" w:rsidR="004D55F9" w:rsidRPr="00405303" w:rsidRDefault="004D55F9" w:rsidP="00C15251">
      <w:pPr>
        <w:jc w:val="both"/>
        <w:rPr>
          <w:bCs/>
          <w:color w:val="002060"/>
          <w:sz w:val="16"/>
          <w:szCs w:val="16"/>
        </w:rPr>
      </w:pPr>
    </w:p>
    <w:p w14:paraId="50F3776F" w14:textId="1E277E4F" w:rsidR="00DD1370" w:rsidRPr="00405303" w:rsidRDefault="00DD1370" w:rsidP="00DD1370">
      <w:pPr>
        <w:jc w:val="both"/>
        <w:rPr>
          <w:bCs/>
          <w:i/>
          <w:iCs/>
          <w:color w:val="002060"/>
          <w:sz w:val="16"/>
          <w:szCs w:val="16"/>
        </w:rPr>
      </w:pPr>
      <w:r>
        <w:rPr>
          <w:bCs/>
          <w:i/>
          <w:iCs/>
          <w:color w:val="002060"/>
          <w:sz w:val="16"/>
          <w:szCs w:val="16"/>
        </w:rPr>
        <w:t>Другие оборонные отрасли</w:t>
      </w:r>
      <w:r w:rsidRPr="00405303">
        <w:rPr>
          <w:bCs/>
          <w:i/>
          <w:iCs/>
          <w:color w:val="002060"/>
          <w:sz w:val="16"/>
          <w:szCs w:val="16"/>
        </w:rPr>
        <w:t>:</w:t>
      </w:r>
    </w:p>
    <w:p w14:paraId="2739C2B4" w14:textId="77777777" w:rsidR="00DD1370" w:rsidRPr="00405303" w:rsidRDefault="00DD1370" w:rsidP="00DD1370">
      <w:pPr>
        <w:jc w:val="both"/>
        <w:rPr>
          <w:bCs/>
          <w:i/>
          <w:iCs/>
          <w:color w:val="002060"/>
          <w:sz w:val="16"/>
          <w:szCs w:val="16"/>
        </w:rPr>
      </w:pPr>
    </w:p>
    <w:p w14:paraId="323973F8" w14:textId="77777777" w:rsidR="00DD1370" w:rsidRPr="00B52707" w:rsidRDefault="00DD1370" w:rsidP="00DD1370">
      <w:pPr>
        <w:jc w:val="both"/>
        <w:rPr>
          <w:color w:val="0070C0"/>
          <w:sz w:val="16"/>
          <w:szCs w:val="16"/>
        </w:rPr>
      </w:pPr>
      <w:r w:rsidRPr="00B52707">
        <w:rPr>
          <w:color w:val="0070C0"/>
          <w:sz w:val="16"/>
          <w:szCs w:val="16"/>
        </w:rPr>
        <w:t>13 (26) октября 1915 г. помощник военного министра генерал-майор А.С. Лукомский в письме начальникам довольствующих управлений передал указание военного министра, чтобы при заказах о поставках переговоры велись «непосредственно с производителями», а не через посредников (25601).</w:t>
      </w:r>
    </w:p>
    <w:p w14:paraId="6122C66F" w14:textId="77777777" w:rsidR="00DD1370" w:rsidRPr="00B52707" w:rsidRDefault="00DD1370" w:rsidP="00DD1370">
      <w:pPr>
        <w:jc w:val="both"/>
        <w:rPr>
          <w:color w:val="0070C0"/>
          <w:sz w:val="16"/>
          <w:szCs w:val="16"/>
        </w:rPr>
      </w:pPr>
    </w:p>
    <w:p w14:paraId="64E36076" w14:textId="77777777" w:rsidR="004B4E35" w:rsidRPr="00405303" w:rsidRDefault="009E6F82" w:rsidP="00C15251">
      <w:pPr>
        <w:jc w:val="both"/>
        <w:rPr>
          <w:bCs/>
          <w:i/>
          <w:color w:val="002060"/>
          <w:sz w:val="16"/>
          <w:szCs w:val="16"/>
        </w:rPr>
      </w:pPr>
      <w:r w:rsidRPr="00405303">
        <w:rPr>
          <w:bCs/>
          <w:i/>
          <w:color w:val="002060"/>
          <w:sz w:val="16"/>
          <w:szCs w:val="16"/>
        </w:rPr>
        <w:t>Армия:</w:t>
      </w:r>
    </w:p>
    <w:p w14:paraId="01F87A8B" w14:textId="77777777" w:rsidR="004B4E35" w:rsidRPr="00405303" w:rsidRDefault="004B4E35" w:rsidP="00C15251">
      <w:pPr>
        <w:jc w:val="both"/>
        <w:rPr>
          <w:bCs/>
          <w:i/>
          <w:color w:val="002060"/>
          <w:sz w:val="16"/>
          <w:szCs w:val="16"/>
        </w:rPr>
      </w:pPr>
    </w:p>
    <w:p w14:paraId="2FBCB887" w14:textId="4EC78A70" w:rsidR="004B4E35" w:rsidRPr="00405303" w:rsidRDefault="009E6F82" w:rsidP="00C15251">
      <w:pPr>
        <w:jc w:val="both"/>
        <w:rPr>
          <w:bCs/>
          <w:color w:val="002060"/>
          <w:sz w:val="16"/>
          <w:szCs w:val="16"/>
        </w:rPr>
      </w:pPr>
      <w:r w:rsidRPr="00405303">
        <w:rPr>
          <w:bCs/>
          <w:color w:val="002060"/>
          <w:sz w:val="16"/>
          <w:szCs w:val="16"/>
        </w:rPr>
        <w:t xml:space="preserve">С 13 </w:t>
      </w:r>
      <w:r w:rsidR="00351CDC" w:rsidRPr="00405303">
        <w:rPr>
          <w:bCs/>
          <w:color w:val="002060"/>
          <w:sz w:val="16"/>
          <w:szCs w:val="16"/>
        </w:rPr>
        <w:t xml:space="preserve">(26) </w:t>
      </w:r>
      <w:r w:rsidRPr="00405303">
        <w:rPr>
          <w:bCs/>
          <w:color w:val="002060"/>
          <w:sz w:val="16"/>
          <w:szCs w:val="16"/>
        </w:rPr>
        <w:t xml:space="preserve">по 15 </w:t>
      </w:r>
      <w:r w:rsidR="00351CDC" w:rsidRPr="00405303">
        <w:rPr>
          <w:bCs/>
          <w:color w:val="002060"/>
          <w:sz w:val="16"/>
          <w:szCs w:val="16"/>
        </w:rPr>
        <w:t xml:space="preserve">(28) </w:t>
      </w:r>
      <w:r w:rsidRPr="00405303">
        <w:rPr>
          <w:bCs/>
          <w:color w:val="002060"/>
          <w:sz w:val="16"/>
          <w:szCs w:val="16"/>
        </w:rPr>
        <w:t xml:space="preserve">октября 1915 года линкор </w:t>
      </w:r>
      <w:r w:rsidR="00351CDC" w:rsidRPr="00405303">
        <w:rPr>
          <w:bCs/>
          <w:color w:val="002060"/>
          <w:sz w:val="16"/>
          <w:szCs w:val="16"/>
        </w:rPr>
        <w:t xml:space="preserve">«Императрица Мария» </w:t>
      </w:r>
      <w:r w:rsidRPr="00405303">
        <w:rPr>
          <w:bCs/>
          <w:color w:val="002060"/>
          <w:sz w:val="16"/>
          <w:szCs w:val="16"/>
        </w:rPr>
        <w:t>прикрывал действия 2-й бригады линейных кораблей «Пантелеймон», «Иоаннн Златоуст» и «Евстафий». Со 2 по 4 и с 6 по 8 ноября 1915 года содействовал 2-й бригаде во время обстрела Варны и Евсинограда. С 5 февраля по 18 апреля 1916 года участвовал в Трапезундской наступательной операции. В течение июня — октября 1916 года «Императрица Мария» совершила 24 эффективных боевых похода. В частности, 22 мая 1916 года она осуществила перехват немецкого крейсера «Бреслау». Если бы немецкий крейсер не спрятался за плотной стеной дождя в проливе Босфор, то 305-мм снаряды русского линкора наверняка «почесали» бы его броневую спину (11646).</w:t>
      </w:r>
    </w:p>
    <w:p w14:paraId="75FFEB15" w14:textId="17E25014" w:rsidR="004B4E35" w:rsidRPr="00405303" w:rsidRDefault="004B4E35" w:rsidP="00C15251">
      <w:pPr>
        <w:pStyle w:val="a3"/>
        <w:jc w:val="both"/>
        <w:rPr>
          <w:bCs/>
          <w:i w:val="0"/>
          <w:color w:val="002060"/>
          <w:spacing w:val="0"/>
          <w:kern w:val="0"/>
          <w:position w:val="0"/>
          <w:sz w:val="16"/>
          <w:szCs w:val="16"/>
        </w:rPr>
      </w:pPr>
    </w:p>
    <w:p w14:paraId="44E784AB" w14:textId="464D3559" w:rsidR="004D55F9" w:rsidRPr="00405303" w:rsidRDefault="004D55F9" w:rsidP="00C15251">
      <w:pPr>
        <w:pStyle w:val="a3"/>
        <w:jc w:val="both"/>
        <w:rPr>
          <w:bCs/>
          <w:iCs/>
          <w:color w:val="002060"/>
          <w:spacing w:val="0"/>
          <w:kern w:val="0"/>
          <w:position w:val="0"/>
          <w:sz w:val="16"/>
          <w:szCs w:val="16"/>
        </w:rPr>
      </w:pPr>
      <w:r w:rsidRPr="00405303">
        <w:rPr>
          <w:bCs/>
          <w:iCs/>
          <w:color w:val="002060"/>
          <w:spacing w:val="0"/>
          <w:kern w:val="0"/>
          <w:position w:val="0"/>
          <w:sz w:val="16"/>
          <w:szCs w:val="16"/>
        </w:rPr>
        <w:t>Автация:</w:t>
      </w:r>
    </w:p>
    <w:p w14:paraId="2ECF99E3" w14:textId="77777777" w:rsidR="004D55F9" w:rsidRPr="00405303" w:rsidRDefault="004D55F9" w:rsidP="00C15251">
      <w:pPr>
        <w:pStyle w:val="a3"/>
        <w:jc w:val="both"/>
        <w:rPr>
          <w:bCs/>
          <w:iCs/>
          <w:color w:val="002060"/>
          <w:spacing w:val="0"/>
          <w:kern w:val="0"/>
          <w:position w:val="0"/>
          <w:sz w:val="16"/>
          <w:szCs w:val="16"/>
        </w:rPr>
      </w:pPr>
    </w:p>
    <w:p w14:paraId="1BFF76E3" w14:textId="3E332409" w:rsidR="004D55F9" w:rsidRPr="00405303" w:rsidRDefault="004D55F9" w:rsidP="00C15251">
      <w:pPr>
        <w:jc w:val="both"/>
        <w:rPr>
          <w:bCs/>
          <w:color w:val="002060"/>
          <w:sz w:val="16"/>
          <w:szCs w:val="16"/>
        </w:rPr>
      </w:pPr>
      <w:r w:rsidRPr="00405303">
        <w:rPr>
          <w:bCs/>
          <w:color w:val="002060"/>
          <w:sz w:val="16"/>
          <w:szCs w:val="16"/>
        </w:rPr>
        <w:t xml:space="preserve">13 </w:t>
      </w:r>
      <w:r w:rsidR="00603FAF" w:rsidRPr="00405303">
        <w:rPr>
          <w:bCs/>
          <w:color w:val="002060"/>
          <w:sz w:val="16"/>
          <w:szCs w:val="16"/>
        </w:rPr>
        <w:t xml:space="preserve">(26) </w:t>
      </w:r>
      <w:r w:rsidRPr="00405303">
        <w:rPr>
          <w:bCs/>
          <w:color w:val="002060"/>
          <w:sz w:val="16"/>
          <w:szCs w:val="16"/>
        </w:rPr>
        <w:t>октября 1915 г. рано утром неприятельский дирижабль сбросил на объекты г. Ровно 15-20 бомб (без особого вреда для местных жителей). В дальнейшем указанное воздушное судно подвергло бомбардировке с. Городец (10 бомб) и ст. Сарны (5 бомб). Ранее (утром того же дня) «над Ровной появилось несколько неприятельских аэропланов. Сделав несколько кругов, один из аэропланов начал сбрасывать бомбы. Летчик спустился ниже и, видимо, старался бросать снаряды в различные сооружения, так как они попадали в те места, где постройки были скучены. В общем, с аэроплана на станцию и в окрестности города было сброшено двадцать бомб. Все они упали на землю, не причинив никакого вреда» (23405).</w:t>
      </w:r>
    </w:p>
    <w:p w14:paraId="3280B14A" w14:textId="77777777" w:rsidR="004D55F9" w:rsidRPr="00405303" w:rsidRDefault="004D55F9" w:rsidP="00C15251">
      <w:pPr>
        <w:jc w:val="both"/>
        <w:rPr>
          <w:bCs/>
          <w:color w:val="002060"/>
          <w:sz w:val="16"/>
          <w:szCs w:val="16"/>
        </w:rPr>
      </w:pPr>
    </w:p>
    <w:p w14:paraId="15D47F0B" w14:textId="77777777" w:rsidR="005002A9" w:rsidRPr="00405303" w:rsidRDefault="005002A9" w:rsidP="005002A9">
      <w:pPr>
        <w:shd w:val="clear" w:color="auto" w:fill="FFFFFF"/>
        <w:jc w:val="both"/>
        <w:rPr>
          <w:bCs/>
          <w:i/>
          <w:color w:val="002060"/>
          <w:sz w:val="16"/>
          <w:szCs w:val="16"/>
        </w:rPr>
      </w:pPr>
      <w:r w:rsidRPr="00405303">
        <w:rPr>
          <w:bCs/>
          <w:i/>
          <w:color w:val="002060"/>
          <w:sz w:val="16"/>
          <w:szCs w:val="16"/>
        </w:rPr>
        <w:t>Внешняя политика:</w:t>
      </w:r>
    </w:p>
    <w:p w14:paraId="141A992C" w14:textId="77777777" w:rsidR="005002A9" w:rsidRPr="00405303" w:rsidRDefault="005002A9" w:rsidP="005002A9">
      <w:pPr>
        <w:shd w:val="clear" w:color="auto" w:fill="FFFFFF"/>
        <w:jc w:val="both"/>
        <w:rPr>
          <w:bCs/>
          <w:i/>
          <w:color w:val="002060"/>
          <w:sz w:val="16"/>
          <w:szCs w:val="16"/>
        </w:rPr>
      </w:pPr>
    </w:p>
    <w:p w14:paraId="5B72EE19" w14:textId="77777777" w:rsidR="005002A9" w:rsidRPr="00405303" w:rsidRDefault="005002A9" w:rsidP="005002A9">
      <w:pPr>
        <w:jc w:val="both"/>
        <w:rPr>
          <w:bCs/>
          <w:color w:val="002060"/>
          <w:sz w:val="16"/>
          <w:szCs w:val="16"/>
          <w:lang w:bidi="en-US"/>
        </w:rPr>
      </w:pPr>
      <w:r w:rsidRPr="00405303">
        <w:rPr>
          <w:bCs/>
          <w:color w:val="002060"/>
          <w:sz w:val="16"/>
          <w:szCs w:val="16"/>
          <w:lang w:bidi="en-US"/>
        </w:rPr>
        <w:t xml:space="preserve">13 октября 1915 г. на севере России в Архангельске высадился </w:t>
      </w:r>
      <w:r w:rsidRPr="00405303">
        <w:rPr>
          <w:bCs/>
          <w:color w:val="002060"/>
          <w:sz w:val="16"/>
          <w:szCs w:val="16"/>
          <w:lang w:val="en-US" w:bidi="en-US"/>
        </w:rPr>
        <w:t>Corps</w:t>
      </w:r>
      <w:r w:rsidRPr="00405303">
        <w:rPr>
          <w:bCs/>
          <w:color w:val="002060"/>
          <w:sz w:val="16"/>
          <w:szCs w:val="16"/>
          <w:lang w:bidi="en-US"/>
        </w:rPr>
        <w:t xml:space="preserve"> </w:t>
      </w:r>
      <w:r w:rsidRPr="00405303">
        <w:rPr>
          <w:bCs/>
          <w:color w:val="002060"/>
          <w:sz w:val="16"/>
          <w:szCs w:val="16"/>
          <w:lang w:val="en-US" w:bidi="en-US"/>
        </w:rPr>
        <w:t>des</w:t>
      </w:r>
      <w:r w:rsidRPr="00405303">
        <w:rPr>
          <w:bCs/>
          <w:color w:val="002060"/>
          <w:sz w:val="16"/>
          <w:szCs w:val="16"/>
          <w:lang w:bidi="en-US"/>
        </w:rPr>
        <w:t xml:space="preserve"> </w:t>
      </w:r>
      <w:r w:rsidRPr="00405303">
        <w:rPr>
          <w:bCs/>
          <w:color w:val="002060"/>
          <w:sz w:val="16"/>
          <w:szCs w:val="16"/>
          <w:lang w:val="en-US" w:bidi="en-US"/>
        </w:rPr>
        <w:t>Autos</w:t>
      </w:r>
      <w:r w:rsidRPr="00405303">
        <w:rPr>
          <w:bCs/>
          <w:color w:val="002060"/>
          <w:sz w:val="16"/>
          <w:szCs w:val="16"/>
          <w:lang w:bidi="en-US"/>
        </w:rPr>
        <w:t>-</w:t>
      </w:r>
      <w:r w:rsidRPr="00405303">
        <w:rPr>
          <w:bCs/>
          <w:color w:val="002060"/>
          <w:sz w:val="16"/>
          <w:szCs w:val="16"/>
          <w:lang w:val="en-US" w:bidi="en-US"/>
        </w:rPr>
        <w:t>Canons</w:t>
      </w:r>
      <w:r w:rsidRPr="00405303">
        <w:rPr>
          <w:bCs/>
          <w:color w:val="002060"/>
          <w:sz w:val="16"/>
          <w:szCs w:val="16"/>
          <w:lang w:bidi="en-US"/>
        </w:rPr>
        <w:t>-</w:t>
      </w:r>
      <w:r w:rsidRPr="00405303">
        <w:rPr>
          <w:bCs/>
          <w:color w:val="002060"/>
          <w:sz w:val="16"/>
          <w:szCs w:val="16"/>
          <w:lang w:val="en-US" w:bidi="en-US"/>
        </w:rPr>
        <w:t>Mitrailleuses</w:t>
      </w:r>
      <w:r w:rsidRPr="00405303">
        <w:rPr>
          <w:bCs/>
          <w:color w:val="002060"/>
          <w:sz w:val="16"/>
          <w:szCs w:val="16"/>
          <w:lang w:bidi="en-US"/>
        </w:rPr>
        <w:t xml:space="preserve"> (бельгийская бронеавтомобильная дивизия) под командованием майора Коллона в составе двенадцати офицеров, 359 человек и 275 специалистов. броневики, а также персонал штаба и склада. Они переехали в Петергоф, под Петроградом, и пробыли там до 28 декабря, когда уехали в Зборов на Юго-Западном фронте. Летом 1916 года они с большим отличием сражались вместе с русской 9-й армией. Летом 1918 года они вернулись в Бельгию через Владивосток (23525).</w:t>
      </w:r>
    </w:p>
    <w:p w14:paraId="63250900" w14:textId="77777777" w:rsidR="005002A9" w:rsidRPr="00405303" w:rsidRDefault="005002A9" w:rsidP="005002A9">
      <w:pPr>
        <w:jc w:val="both"/>
        <w:rPr>
          <w:bCs/>
          <w:color w:val="002060"/>
          <w:sz w:val="16"/>
          <w:szCs w:val="16"/>
        </w:rPr>
      </w:pPr>
    </w:p>
    <w:p w14:paraId="6026C776" w14:textId="00D963A0" w:rsidR="00085C2C" w:rsidRPr="00405303" w:rsidRDefault="00085C2C" w:rsidP="00C15251">
      <w:pPr>
        <w:pStyle w:val="a3"/>
        <w:jc w:val="both"/>
        <w:rPr>
          <w:bCs/>
          <w:iCs/>
          <w:color w:val="002060"/>
          <w:spacing w:val="0"/>
          <w:kern w:val="0"/>
          <w:position w:val="0"/>
          <w:sz w:val="16"/>
          <w:szCs w:val="16"/>
        </w:rPr>
      </w:pPr>
      <w:r w:rsidRPr="00405303">
        <w:rPr>
          <w:bCs/>
          <w:iCs/>
          <w:color w:val="002060"/>
          <w:spacing w:val="0"/>
          <w:kern w:val="0"/>
          <w:position w:val="0"/>
          <w:sz w:val="16"/>
          <w:szCs w:val="16"/>
        </w:rPr>
        <w:t>Авиация и воздухоплавание Германии:</w:t>
      </w:r>
    </w:p>
    <w:p w14:paraId="171FC92B" w14:textId="77777777" w:rsidR="00085C2C" w:rsidRPr="00405303" w:rsidRDefault="00085C2C" w:rsidP="00C15251">
      <w:pPr>
        <w:pStyle w:val="a3"/>
        <w:jc w:val="both"/>
        <w:rPr>
          <w:bCs/>
          <w:iCs/>
          <w:color w:val="002060"/>
          <w:spacing w:val="0"/>
          <w:kern w:val="0"/>
          <w:position w:val="0"/>
          <w:sz w:val="16"/>
          <w:szCs w:val="16"/>
        </w:rPr>
      </w:pPr>
    </w:p>
    <w:p w14:paraId="2568BDCB" w14:textId="67DFC283" w:rsidR="00085C2C" w:rsidRPr="00405303" w:rsidRDefault="00085C2C" w:rsidP="00C15251">
      <w:pPr>
        <w:jc w:val="both"/>
        <w:rPr>
          <w:bCs/>
          <w:color w:val="002060"/>
          <w:sz w:val="16"/>
          <w:szCs w:val="16"/>
        </w:rPr>
      </w:pPr>
      <w:r w:rsidRPr="00405303">
        <w:rPr>
          <w:bCs/>
          <w:color w:val="002060"/>
          <w:sz w:val="16"/>
          <w:szCs w:val="16"/>
        </w:rPr>
        <w:t xml:space="preserve">13 (26) октября 1915 </w:t>
      </w:r>
      <w:r w:rsidR="00351CDC" w:rsidRPr="00405303">
        <w:rPr>
          <w:bCs/>
          <w:color w:val="002060"/>
          <w:sz w:val="16"/>
          <w:szCs w:val="16"/>
        </w:rPr>
        <w:t xml:space="preserve">состоялся </w:t>
      </w:r>
      <w:r w:rsidRPr="00405303">
        <w:rPr>
          <w:bCs/>
          <w:color w:val="002060"/>
          <w:sz w:val="16"/>
          <w:szCs w:val="16"/>
        </w:rPr>
        <w:t xml:space="preserve">первый полет </w:t>
      </w:r>
      <w:r w:rsidRPr="00405303">
        <w:rPr>
          <w:bCs/>
          <w:color w:val="002060"/>
          <w:sz w:val="16"/>
          <w:szCs w:val="16"/>
          <w:lang w:val="en-US"/>
        </w:rPr>
        <w:t>Siemens</w:t>
      </w:r>
      <w:r w:rsidRPr="00405303">
        <w:rPr>
          <w:bCs/>
          <w:color w:val="002060"/>
          <w:sz w:val="16"/>
          <w:szCs w:val="16"/>
        </w:rPr>
        <w:t>-</w:t>
      </w:r>
      <w:r w:rsidRPr="00405303">
        <w:rPr>
          <w:bCs/>
          <w:color w:val="002060"/>
          <w:sz w:val="16"/>
          <w:szCs w:val="16"/>
          <w:lang w:val="en-US"/>
        </w:rPr>
        <w:t>Schuckert</w:t>
      </w:r>
      <w:r w:rsidRPr="00405303">
        <w:rPr>
          <w:bCs/>
          <w:color w:val="002060"/>
          <w:sz w:val="16"/>
          <w:szCs w:val="16"/>
        </w:rPr>
        <w:t xml:space="preserve"> </w:t>
      </w:r>
      <w:r w:rsidRPr="00405303">
        <w:rPr>
          <w:bCs/>
          <w:color w:val="002060"/>
          <w:sz w:val="16"/>
          <w:szCs w:val="16"/>
          <w:lang w:val="en-US"/>
        </w:rPr>
        <w:t>R</w:t>
      </w:r>
      <w:r w:rsidRPr="00405303">
        <w:rPr>
          <w:bCs/>
          <w:color w:val="002060"/>
          <w:sz w:val="16"/>
          <w:szCs w:val="16"/>
        </w:rPr>
        <w:t>.</w:t>
      </w:r>
      <w:r w:rsidRPr="00405303">
        <w:rPr>
          <w:bCs/>
          <w:color w:val="002060"/>
          <w:sz w:val="16"/>
          <w:szCs w:val="16"/>
          <w:lang w:val="en-US"/>
        </w:rPr>
        <w:t>II</w:t>
      </w:r>
      <w:r w:rsidRPr="00405303">
        <w:rPr>
          <w:bCs/>
          <w:color w:val="002060"/>
          <w:sz w:val="16"/>
          <w:szCs w:val="16"/>
        </w:rPr>
        <w:t xml:space="preserve"> (20338).</w:t>
      </w:r>
    </w:p>
    <w:p w14:paraId="3E45D3FC" w14:textId="77777777" w:rsidR="00085C2C" w:rsidRPr="00405303" w:rsidRDefault="00085C2C" w:rsidP="00C15251">
      <w:pPr>
        <w:jc w:val="both"/>
        <w:rPr>
          <w:bCs/>
          <w:color w:val="002060"/>
          <w:sz w:val="16"/>
          <w:szCs w:val="16"/>
        </w:rPr>
      </w:pPr>
    </w:p>
    <w:p w14:paraId="75EA6EE0" w14:textId="77777777" w:rsidR="00645069" w:rsidRPr="00405303" w:rsidRDefault="00645069" w:rsidP="00C15251">
      <w:pPr>
        <w:jc w:val="both"/>
        <w:rPr>
          <w:bCs/>
          <w:i/>
          <w:color w:val="002060"/>
          <w:sz w:val="16"/>
          <w:szCs w:val="16"/>
        </w:rPr>
      </w:pPr>
      <w:r w:rsidRPr="00405303">
        <w:rPr>
          <w:bCs/>
          <w:i/>
          <w:color w:val="002060"/>
          <w:sz w:val="16"/>
          <w:szCs w:val="16"/>
        </w:rPr>
        <w:t>Самолетостроение:</w:t>
      </w:r>
    </w:p>
    <w:p w14:paraId="3DAC7718" w14:textId="77777777" w:rsidR="00645069" w:rsidRPr="00405303" w:rsidRDefault="00645069" w:rsidP="00C15251">
      <w:pPr>
        <w:jc w:val="both"/>
        <w:rPr>
          <w:bCs/>
          <w:i/>
          <w:color w:val="002060"/>
          <w:sz w:val="16"/>
          <w:szCs w:val="16"/>
        </w:rPr>
      </w:pPr>
    </w:p>
    <w:p w14:paraId="1C61A6F7" w14:textId="65195534" w:rsidR="00645069" w:rsidRPr="00405303" w:rsidRDefault="00645069" w:rsidP="00C15251">
      <w:pPr>
        <w:pStyle w:val="22"/>
        <w:shd w:val="clear" w:color="auto" w:fill="auto"/>
        <w:spacing w:line="240" w:lineRule="auto"/>
        <w:ind w:firstLine="0"/>
        <w:jc w:val="both"/>
        <w:rPr>
          <w:bCs/>
          <w:color w:val="002060"/>
          <w:sz w:val="16"/>
          <w:szCs w:val="16"/>
        </w:rPr>
      </w:pPr>
      <w:r w:rsidRPr="00405303">
        <w:rPr>
          <w:bCs/>
          <w:color w:val="002060"/>
          <w:sz w:val="16"/>
          <w:szCs w:val="16"/>
        </w:rPr>
        <w:t xml:space="preserve">14 </w:t>
      </w:r>
      <w:r w:rsidR="00351CDC" w:rsidRPr="00405303">
        <w:rPr>
          <w:bCs/>
          <w:color w:val="002060"/>
          <w:sz w:val="16"/>
          <w:szCs w:val="16"/>
        </w:rPr>
        <w:t xml:space="preserve">(27) </w:t>
      </w:r>
      <w:r w:rsidRPr="00405303">
        <w:rPr>
          <w:bCs/>
          <w:color w:val="002060"/>
          <w:sz w:val="16"/>
          <w:szCs w:val="16"/>
        </w:rPr>
        <w:t>октября 1915 г. с Григорашвили был заключен контракт на изготовле</w:t>
      </w:r>
      <w:r w:rsidRPr="00405303">
        <w:rPr>
          <w:bCs/>
          <w:color w:val="002060"/>
          <w:sz w:val="16"/>
          <w:szCs w:val="16"/>
        </w:rPr>
        <w:softHyphen/>
        <w:t>ние десяти воздушных винтов Г-2 по цене 175 руб. за винт. В контракте ого</w:t>
      </w:r>
      <w:r w:rsidRPr="00405303">
        <w:rPr>
          <w:bCs/>
          <w:color w:val="002060"/>
          <w:sz w:val="16"/>
          <w:szCs w:val="16"/>
        </w:rPr>
        <w:softHyphen/>
        <w:t>варивалось, что винты должны быть выполнены «не менее как из трех досок красного или орехового дерева, троекратно лакированы, затем оклеяны по</w:t>
      </w:r>
      <w:r w:rsidRPr="00405303">
        <w:rPr>
          <w:bCs/>
          <w:color w:val="002060"/>
          <w:sz w:val="16"/>
          <w:szCs w:val="16"/>
        </w:rPr>
        <w:softHyphen/>
        <w:t>лотном, грунтованы, окрашены масляной краской, после чего опять лакиро</w:t>
      </w:r>
      <w:r w:rsidRPr="00405303">
        <w:rPr>
          <w:bCs/>
          <w:color w:val="002060"/>
          <w:sz w:val="16"/>
          <w:szCs w:val="16"/>
        </w:rPr>
        <w:softHyphen/>
        <w:t>ваны». Производственные мощности завода Мельцера позволили Григора</w:t>
      </w:r>
      <w:r w:rsidRPr="00405303">
        <w:rPr>
          <w:bCs/>
          <w:color w:val="002060"/>
          <w:sz w:val="16"/>
          <w:szCs w:val="16"/>
        </w:rPr>
        <w:softHyphen/>
        <w:t>швили выполнить заказ за тридцать один день вместо оговоренных контрак</w:t>
      </w:r>
      <w:r w:rsidRPr="00405303">
        <w:rPr>
          <w:bCs/>
          <w:color w:val="002060"/>
          <w:sz w:val="16"/>
          <w:szCs w:val="16"/>
        </w:rPr>
        <w:softHyphen/>
        <w:t>том сорока (15740).</w:t>
      </w:r>
    </w:p>
    <w:p w14:paraId="694F2400" w14:textId="77777777" w:rsidR="00645069" w:rsidRPr="00405303" w:rsidRDefault="00645069" w:rsidP="00C15251">
      <w:pPr>
        <w:jc w:val="both"/>
        <w:rPr>
          <w:bCs/>
          <w:color w:val="002060"/>
          <w:sz w:val="16"/>
          <w:szCs w:val="16"/>
        </w:rPr>
      </w:pPr>
    </w:p>
    <w:p w14:paraId="1C24FEC6" w14:textId="77777777" w:rsidR="004B4E35" w:rsidRPr="00405303" w:rsidRDefault="009E6F82" w:rsidP="00C15251">
      <w:pPr>
        <w:jc w:val="both"/>
        <w:rPr>
          <w:rStyle w:val="11"/>
          <w:b w:val="0"/>
          <w:bCs/>
          <w:i/>
          <w:color w:val="002060"/>
          <w:sz w:val="16"/>
          <w:szCs w:val="16"/>
        </w:rPr>
      </w:pPr>
      <w:r w:rsidRPr="00405303">
        <w:rPr>
          <w:rStyle w:val="11"/>
          <w:b w:val="0"/>
          <w:bCs/>
          <w:i/>
          <w:color w:val="002060"/>
          <w:sz w:val="16"/>
          <w:szCs w:val="16"/>
        </w:rPr>
        <w:t>Авиация:</w:t>
      </w:r>
    </w:p>
    <w:p w14:paraId="524EC58D" w14:textId="77777777" w:rsidR="004B4E35" w:rsidRPr="00405303" w:rsidRDefault="004B4E35" w:rsidP="00C15251">
      <w:pPr>
        <w:jc w:val="both"/>
        <w:rPr>
          <w:rStyle w:val="11"/>
          <w:b w:val="0"/>
          <w:bCs/>
          <w:i/>
          <w:color w:val="002060"/>
          <w:sz w:val="16"/>
          <w:szCs w:val="16"/>
        </w:rPr>
      </w:pPr>
    </w:p>
    <w:p w14:paraId="32FD80F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14 (27) октября 1915 Заведующий авиацией и воздухоплаванием ДА предложил по примеру французской авиации применять групповые валеты, для чего поручил начальнику Севастопольской авиашколы организовать обучение летчиков групповым полетам, выработать фактические правила совместно с французскими инструкторами школы и летчиками, уже бывшими на фронте. Групповые налеты реко</w:t>
      </w:r>
      <w:r w:rsidRPr="00405303">
        <w:rPr>
          <w:bCs/>
          <w:color w:val="002060"/>
          <w:sz w:val="16"/>
          <w:szCs w:val="16"/>
        </w:rPr>
        <w:softHyphen/>
        <w:t>мендовалось совершать на коммуникации и тыловые объекты зротивника (ЦГВИА, ф.2008, д. 49).</w:t>
      </w:r>
    </w:p>
    <w:p w14:paraId="4249A6A0" w14:textId="77777777" w:rsidR="004B4E35" w:rsidRPr="00405303" w:rsidRDefault="004B4E35" w:rsidP="00C15251">
      <w:pPr>
        <w:shd w:val="clear" w:color="auto" w:fill="FFFFFF"/>
        <w:jc w:val="both"/>
        <w:rPr>
          <w:bCs/>
          <w:color w:val="002060"/>
          <w:sz w:val="16"/>
          <w:szCs w:val="16"/>
        </w:rPr>
      </w:pPr>
    </w:p>
    <w:p w14:paraId="71797864" w14:textId="77777777" w:rsidR="00B36387" w:rsidRPr="00405303" w:rsidRDefault="00B36387" w:rsidP="00C15251">
      <w:pPr>
        <w:jc w:val="both"/>
        <w:rPr>
          <w:bCs/>
          <w:color w:val="002060"/>
          <w:sz w:val="16"/>
          <w:szCs w:val="16"/>
        </w:rPr>
      </w:pPr>
      <w:r w:rsidRPr="00405303">
        <w:rPr>
          <w:bCs/>
          <w:color w:val="002060"/>
          <w:sz w:val="16"/>
          <w:szCs w:val="16"/>
        </w:rPr>
        <w:t>14 (27) октября 1915 г. заведующий авиацией и воздухоплаванием ДА предложил по примеру французской авиации применять групповые налеты, для чего поручил начальнику Севастопольской авиашколы организо</w:t>
      </w:r>
      <w:r w:rsidRPr="00405303">
        <w:rPr>
          <w:bCs/>
          <w:color w:val="002060"/>
          <w:sz w:val="16"/>
          <w:szCs w:val="16"/>
        </w:rPr>
        <w:softHyphen/>
        <w:t>вать обучение летчиков групповым полетам, выработать тактические правила совместно с французскими инструкторами школы и летчиками уже бывшими на фронте. Групповые налеты рекомендовалось совершать на коммуникации и тыловые объекты противника.</w:t>
      </w:r>
    </w:p>
    <w:p w14:paraId="5C0C78A8" w14:textId="77777777" w:rsidR="00B36387" w:rsidRPr="00405303" w:rsidRDefault="00B36387" w:rsidP="00C15251">
      <w:pPr>
        <w:jc w:val="both"/>
        <w:rPr>
          <w:bCs/>
          <w:color w:val="002060"/>
          <w:sz w:val="16"/>
          <w:szCs w:val="16"/>
        </w:rPr>
      </w:pPr>
      <w:r w:rsidRPr="00405303">
        <w:rPr>
          <w:bCs/>
          <w:color w:val="002060"/>
          <w:sz w:val="16"/>
          <w:szCs w:val="16"/>
        </w:rPr>
        <w:t>/ЦГВИА, ф. 2008, д. 49/ (23320).</w:t>
      </w:r>
    </w:p>
    <w:p w14:paraId="657DA743" w14:textId="77777777" w:rsidR="00B36387" w:rsidRPr="00405303" w:rsidRDefault="00B36387" w:rsidP="00C15251">
      <w:pPr>
        <w:jc w:val="both"/>
        <w:rPr>
          <w:bCs/>
          <w:color w:val="002060"/>
          <w:sz w:val="16"/>
          <w:szCs w:val="16"/>
        </w:rPr>
      </w:pPr>
    </w:p>
    <w:p w14:paraId="1E8A1D9F" w14:textId="77777777" w:rsidR="004B4E35" w:rsidRPr="00405303" w:rsidRDefault="009E6F82" w:rsidP="00C15251">
      <w:pPr>
        <w:jc w:val="both"/>
        <w:rPr>
          <w:bCs/>
          <w:color w:val="002060"/>
          <w:sz w:val="16"/>
          <w:szCs w:val="16"/>
        </w:rPr>
      </w:pPr>
      <w:r w:rsidRPr="00405303">
        <w:rPr>
          <w:bCs/>
          <w:color w:val="002060"/>
          <w:sz w:val="16"/>
          <w:szCs w:val="16"/>
        </w:rPr>
        <w:t>14 (27) октября - Начальник 30-го корпусного авиаотряда Замитан в ответ на телефонограмму авиадарма телеграфировал: "специальных прицелов для сбрасывания бомб в отряде не имеется, имеется лишь приспособление для точного определения местонахождения аэроплана по отношению к цели, лучшее приспособление выработано поручиком Шатским, опыты проводились лишь последнее время".</w:t>
      </w:r>
    </w:p>
    <w:p w14:paraId="339F19E7" w14:textId="77777777" w:rsidR="004B4E35" w:rsidRPr="00405303" w:rsidRDefault="009E6F82" w:rsidP="00C15251">
      <w:pPr>
        <w:jc w:val="both"/>
        <w:rPr>
          <w:bCs/>
          <w:color w:val="002060"/>
          <w:sz w:val="16"/>
          <w:szCs w:val="16"/>
        </w:rPr>
      </w:pPr>
      <w:r w:rsidRPr="00405303">
        <w:rPr>
          <w:bCs/>
          <w:color w:val="002060"/>
          <w:sz w:val="16"/>
          <w:szCs w:val="16"/>
        </w:rPr>
        <w:t>Тем не менее к этому моменту во многих авиаотрядах уже вовсю применялись различные приборы для прицельного бомбометания. Наибольшей популярностью у фронтовых летчиков пользовался прицельный прибор системы штабс- капитана Толмачева. Прибор состоял из специального секундомера со шкалой высот и лампочкой, укрепленного на браслете, который летчик одевал на левую руку, и визирного приспособления примитивного типа в виде четырех шпилек, вбитых в гондолу. Секундомер предназначался для указания момента сбрасывания бомбы после предварительного двукратного визирования на цель. По отзыву комиссии военного ведомства, осматривавшей прицел, секундомерное устройство было "очень компактно, удобно в обращении, хорошо выполнено". Комиссия признала принцип действия прицела теоретически правильным, конструкцию - остроумной, а манипуляции - простыми. Несмотря на то, что Россия располагала в основном устаревшими на данный момент типами самолетов и технически проигрывала по всем параметрам германским машинам, русские авиаторы героически выжимали из своих машин все возможное (11999).</w:t>
      </w:r>
    </w:p>
    <w:p w14:paraId="79B19525" w14:textId="77777777" w:rsidR="004B4E35" w:rsidRPr="00405303" w:rsidRDefault="004B4E35" w:rsidP="00C15251">
      <w:pPr>
        <w:jc w:val="both"/>
        <w:rPr>
          <w:bCs/>
          <w:color w:val="002060"/>
          <w:sz w:val="16"/>
          <w:szCs w:val="16"/>
        </w:rPr>
      </w:pPr>
    </w:p>
    <w:p w14:paraId="355B46E2" w14:textId="77777777" w:rsidR="00EF208C" w:rsidRPr="00405303" w:rsidRDefault="00EF208C" w:rsidP="00C15251">
      <w:pPr>
        <w:jc w:val="both"/>
        <w:rPr>
          <w:bCs/>
          <w:color w:val="002060"/>
          <w:sz w:val="16"/>
          <w:szCs w:val="16"/>
        </w:rPr>
      </w:pPr>
      <w:r w:rsidRPr="00405303">
        <w:rPr>
          <w:bCs/>
          <w:color w:val="002060"/>
          <w:sz w:val="16"/>
          <w:szCs w:val="16"/>
        </w:rPr>
        <w:t>14 (27) октября 1915 г. Командир 13 КАО на вопрос Заведующего авиацией и воздухоплаванием ДА “сообщите какими прицелами пользуетесь для сбрасывания бомб” ответил: "В армии прицелы на аэропланах до сих пор не ценили, почему о сравнительных качествах высказаться не могу, но крайняя нужда в них чувствуется. От двух пленных германских летчи</w:t>
      </w:r>
      <w:r w:rsidRPr="00405303">
        <w:rPr>
          <w:bCs/>
          <w:color w:val="002060"/>
          <w:sz w:val="16"/>
          <w:szCs w:val="16"/>
        </w:rPr>
        <w:softHyphen/>
        <w:t>ков удалось узнать подробности о новых усовершенствованных прицелах, значительно увеличивающих точность бомбометания".</w:t>
      </w:r>
    </w:p>
    <w:p w14:paraId="09BB11B7" w14:textId="77777777" w:rsidR="00EF208C" w:rsidRPr="00405303" w:rsidRDefault="00EF208C" w:rsidP="00C15251">
      <w:pPr>
        <w:jc w:val="both"/>
        <w:rPr>
          <w:bCs/>
          <w:color w:val="002060"/>
          <w:sz w:val="16"/>
          <w:szCs w:val="16"/>
        </w:rPr>
      </w:pPr>
      <w:r w:rsidRPr="00405303">
        <w:rPr>
          <w:bCs/>
          <w:color w:val="002060"/>
          <w:sz w:val="16"/>
          <w:szCs w:val="16"/>
        </w:rPr>
        <w:lastRenderedPageBreak/>
        <w:t>/ЦГВИА, ф. 2008, д. 158, л. 13/ (23320).</w:t>
      </w:r>
    </w:p>
    <w:p w14:paraId="68A34323" w14:textId="77777777" w:rsidR="00EF208C" w:rsidRPr="00405303" w:rsidRDefault="00EF208C" w:rsidP="00C15251">
      <w:pPr>
        <w:jc w:val="both"/>
        <w:rPr>
          <w:bCs/>
          <w:color w:val="002060"/>
          <w:sz w:val="16"/>
          <w:szCs w:val="16"/>
        </w:rPr>
      </w:pPr>
    </w:p>
    <w:p w14:paraId="7D610E27" w14:textId="42B3CEED" w:rsidR="00F51AC3" w:rsidRPr="00405303" w:rsidRDefault="00F51AC3" w:rsidP="00C15251">
      <w:pPr>
        <w:jc w:val="both"/>
        <w:rPr>
          <w:bCs/>
          <w:color w:val="002060"/>
          <w:sz w:val="16"/>
          <w:szCs w:val="16"/>
        </w:rPr>
      </w:pPr>
      <w:bookmarkStart w:id="278" w:name="bookmark287"/>
      <w:bookmarkStart w:id="279" w:name="bookmark288"/>
      <w:bookmarkStart w:id="280" w:name="bookmark289"/>
      <w:r w:rsidRPr="00405303">
        <w:rPr>
          <w:bCs/>
          <w:color w:val="002060"/>
          <w:sz w:val="16"/>
          <w:szCs w:val="16"/>
        </w:rPr>
        <w:t>14 и 15 (27 и 28) октября 1915 г. были воздушные налеты железнодорожную станция Ремерсгоф (севернее Фридрихштадта). Днем ранее два германских гидроаэроплана атаковали г. Аренсбург (Курессааре, о. Эзель), сбросив на его кварталы 20 бомб (без человеческих жертв) (23405).</w:t>
      </w:r>
      <w:bookmarkEnd w:id="278"/>
      <w:bookmarkEnd w:id="279"/>
      <w:bookmarkEnd w:id="280"/>
    </w:p>
    <w:p w14:paraId="0F68D6B2" w14:textId="77777777" w:rsidR="00F51AC3" w:rsidRPr="00405303" w:rsidRDefault="00F51AC3" w:rsidP="00C15251">
      <w:pPr>
        <w:jc w:val="both"/>
        <w:rPr>
          <w:bCs/>
          <w:color w:val="002060"/>
          <w:sz w:val="16"/>
          <w:szCs w:val="16"/>
        </w:rPr>
      </w:pPr>
    </w:p>
    <w:p w14:paraId="2659BAB6" w14:textId="77777777" w:rsidR="00442A91" w:rsidRPr="00405303" w:rsidRDefault="00442A91" w:rsidP="00C15251">
      <w:pPr>
        <w:shd w:val="clear" w:color="auto" w:fill="FFFFFF"/>
        <w:jc w:val="both"/>
        <w:rPr>
          <w:bCs/>
          <w:i/>
          <w:color w:val="002060"/>
          <w:sz w:val="16"/>
          <w:szCs w:val="16"/>
        </w:rPr>
      </w:pPr>
      <w:r w:rsidRPr="00405303">
        <w:rPr>
          <w:bCs/>
          <w:i/>
          <w:color w:val="002060"/>
          <w:sz w:val="16"/>
          <w:szCs w:val="16"/>
        </w:rPr>
        <w:t>Морская авиация:</w:t>
      </w:r>
    </w:p>
    <w:p w14:paraId="5B5C9FAC" w14:textId="77777777" w:rsidR="00442A91" w:rsidRPr="00405303" w:rsidRDefault="00442A91" w:rsidP="00C15251">
      <w:pPr>
        <w:shd w:val="clear" w:color="auto" w:fill="FFFFFF"/>
        <w:jc w:val="both"/>
        <w:rPr>
          <w:bCs/>
          <w:i/>
          <w:color w:val="002060"/>
          <w:sz w:val="16"/>
          <w:szCs w:val="16"/>
        </w:rPr>
      </w:pPr>
    </w:p>
    <w:p w14:paraId="0B66753C" w14:textId="0371F8D6" w:rsidR="00442A91" w:rsidRPr="00405303" w:rsidRDefault="00442A91" w:rsidP="00C15251">
      <w:pPr>
        <w:shd w:val="clear" w:color="auto" w:fill="FFFFFF"/>
        <w:jc w:val="both"/>
        <w:rPr>
          <w:bCs/>
          <w:iCs/>
          <w:color w:val="002060"/>
          <w:sz w:val="16"/>
          <w:szCs w:val="16"/>
        </w:rPr>
      </w:pPr>
      <w:r w:rsidRPr="00405303">
        <w:rPr>
          <w:bCs/>
          <w:iCs/>
          <w:color w:val="002060"/>
          <w:sz w:val="16"/>
          <w:szCs w:val="16"/>
        </w:rPr>
        <w:t>14 (27) октября 1915 г.</w:t>
      </w:r>
    </w:p>
    <w:p w14:paraId="74AC39EA" w14:textId="77777777" w:rsidR="00442A91" w:rsidRPr="00405303" w:rsidRDefault="00442A91" w:rsidP="00C15251">
      <w:pPr>
        <w:shd w:val="clear" w:color="auto" w:fill="FFFFFF"/>
        <w:jc w:val="both"/>
        <w:rPr>
          <w:bCs/>
          <w:color w:val="002060"/>
          <w:sz w:val="16"/>
          <w:szCs w:val="16"/>
        </w:rPr>
      </w:pPr>
      <w:r w:rsidRPr="00405303">
        <w:rPr>
          <w:bCs/>
          <w:color w:val="002060"/>
          <w:sz w:val="16"/>
          <w:szCs w:val="16"/>
        </w:rPr>
        <w:t>За декаду до проведения Варненской набеговой операции флаг-капитан по оперативной части штаба флота капитан 1 ранга К. Кетлинский передал заведующему организацией авиационного дела и начальнику морского воздушного района старшим лейтенантам И. Стаховскому и В. Утгофу секретное распоряжение готовить судовые отряды к боевым действиям. Из недостроенной еще авиастанции «Бухта Нахимова» их пере</w:t>
      </w:r>
      <w:r w:rsidRPr="00405303">
        <w:rPr>
          <w:bCs/>
          <w:color w:val="002060"/>
          <w:sz w:val="16"/>
          <w:szCs w:val="16"/>
        </w:rPr>
        <w:softHyphen/>
        <w:t>вели на принятую в эксплуатацию станцию «Круглая бухта».</w:t>
      </w:r>
    </w:p>
    <w:p w14:paraId="0E36ABEA" w14:textId="77777777" w:rsidR="00442A91" w:rsidRPr="00405303" w:rsidRDefault="00442A91" w:rsidP="00C15251">
      <w:pPr>
        <w:shd w:val="clear" w:color="auto" w:fill="FFFFFF"/>
        <w:jc w:val="both"/>
        <w:rPr>
          <w:bCs/>
          <w:color w:val="002060"/>
          <w:sz w:val="16"/>
          <w:szCs w:val="16"/>
        </w:rPr>
      </w:pPr>
      <w:r w:rsidRPr="00405303">
        <w:rPr>
          <w:bCs/>
          <w:color w:val="002060"/>
          <w:sz w:val="16"/>
          <w:szCs w:val="16"/>
        </w:rPr>
        <w:t>Продолжавшие освоение новых аппаратов «М-5» летные эки</w:t>
      </w:r>
      <w:r w:rsidRPr="00405303">
        <w:rPr>
          <w:bCs/>
          <w:color w:val="002060"/>
          <w:sz w:val="16"/>
          <w:szCs w:val="16"/>
        </w:rPr>
        <w:softHyphen/>
        <w:t>пажи приступили к выполнению групповых полетов по раз</w:t>
      </w:r>
      <w:r w:rsidRPr="00405303">
        <w:rPr>
          <w:bCs/>
          <w:color w:val="002060"/>
          <w:sz w:val="16"/>
          <w:szCs w:val="16"/>
        </w:rPr>
        <w:softHyphen/>
        <w:t>ным направлениям. Они вели поиск надводных кораблей и подводных лодок, заранее посланных в море, а также разведку береговых объектов. Проводились тренировки по сбросам на учебный полигон макетов авиабомб и даже стрельбы по воз</w:t>
      </w:r>
      <w:r w:rsidRPr="00405303">
        <w:rPr>
          <w:bCs/>
          <w:color w:val="002060"/>
          <w:sz w:val="16"/>
          <w:szCs w:val="16"/>
        </w:rPr>
        <w:softHyphen/>
        <w:t>душным шарам из карабинов. Утром 24 октября на авиасуд</w:t>
      </w:r>
      <w:r w:rsidRPr="00405303">
        <w:rPr>
          <w:bCs/>
          <w:color w:val="002060"/>
          <w:sz w:val="16"/>
          <w:szCs w:val="16"/>
        </w:rPr>
        <w:softHyphen/>
        <w:t>но «Император Николай I» погрузили семь летающих лодок и приняли личный состав отряда.</w:t>
      </w:r>
    </w:p>
    <w:p w14:paraId="626DE4AE" w14:textId="77777777" w:rsidR="00442A91" w:rsidRPr="00405303" w:rsidRDefault="00442A91" w:rsidP="00C15251">
      <w:pPr>
        <w:shd w:val="clear" w:color="auto" w:fill="FFFFFF"/>
        <w:jc w:val="both"/>
        <w:rPr>
          <w:bCs/>
          <w:color w:val="002060"/>
          <w:sz w:val="16"/>
          <w:szCs w:val="16"/>
        </w:rPr>
      </w:pPr>
      <w:r w:rsidRPr="00405303">
        <w:rPr>
          <w:bCs/>
          <w:color w:val="002060"/>
          <w:sz w:val="16"/>
          <w:szCs w:val="16"/>
        </w:rPr>
        <w:t>Участники операции были ознакомлены с боевыми задача</w:t>
      </w:r>
      <w:r w:rsidRPr="00405303">
        <w:rPr>
          <w:bCs/>
          <w:color w:val="002060"/>
          <w:sz w:val="16"/>
          <w:szCs w:val="16"/>
        </w:rPr>
        <w:softHyphen/>
        <w:t>ми и последовательностью действий. Во-первых, с расстояния 20 миль до Варненского залива следовало начать воздушную разведку по выяснению наличия в Варне и Евксинограде гер</w:t>
      </w:r>
      <w:r w:rsidRPr="00405303">
        <w:rPr>
          <w:bCs/>
          <w:color w:val="002060"/>
          <w:sz w:val="16"/>
          <w:szCs w:val="16"/>
        </w:rPr>
        <w:softHyphen/>
        <w:t>манских крейсеров и субмарин. Во-вторых, требовалось обес</w:t>
      </w:r>
      <w:r w:rsidRPr="00405303">
        <w:rPr>
          <w:bCs/>
          <w:color w:val="002060"/>
          <w:sz w:val="16"/>
          <w:szCs w:val="16"/>
        </w:rPr>
        <w:softHyphen/>
        <w:t>печить надежное охранение своих линкоров от возможных подводных атак. В-третьих, предстояло умело применить из</w:t>
      </w:r>
      <w:r w:rsidRPr="00405303">
        <w:rPr>
          <w:bCs/>
          <w:color w:val="002060"/>
          <w:sz w:val="16"/>
          <w:szCs w:val="16"/>
        </w:rPr>
        <w:softHyphen/>
        <w:t>готовленные мастерскими Севастопольского порта авиабом</w:t>
      </w:r>
      <w:r w:rsidRPr="00405303">
        <w:rPr>
          <w:bCs/>
          <w:color w:val="002060"/>
          <w:sz w:val="16"/>
          <w:szCs w:val="16"/>
        </w:rPr>
        <w:softHyphen/>
        <w:t>бы по военным объектам противника.</w:t>
      </w:r>
    </w:p>
    <w:p w14:paraId="2CEADBA7" w14:textId="77777777" w:rsidR="00442A91" w:rsidRPr="00405303" w:rsidRDefault="00442A91" w:rsidP="00C15251">
      <w:pPr>
        <w:shd w:val="clear" w:color="auto" w:fill="FFFFFF"/>
        <w:jc w:val="both"/>
        <w:rPr>
          <w:bCs/>
          <w:color w:val="002060"/>
          <w:sz w:val="16"/>
          <w:szCs w:val="16"/>
        </w:rPr>
      </w:pPr>
      <w:r w:rsidRPr="00405303">
        <w:rPr>
          <w:bCs/>
          <w:color w:val="002060"/>
          <w:sz w:val="16"/>
          <w:szCs w:val="16"/>
        </w:rPr>
        <w:t>Выделенная для артиллерийского обстрела противника удар</w:t>
      </w:r>
      <w:r w:rsidRPr="00405303">
        <w:rPr>
          <w:bCs/>
          <w:color w:val="002060"/>
          <w:sz w:val="16"/>
          <w:szCs w:val="16"/>
        </w:rPr>
        <w:softHyphen/>
        <w:t>ная группа состояла из линкоров «Евстафий», «Иоанн Злато</w:t>
      </w:r>
      <w:r w:rsidRPr="00405303">
        <w:rPr>
          <w:bCs/>
          <w:color w:val="002060"/>
          <w:sz w:val="16"/>
          <w:szCs w:val="16"/>
        </w:rPr>
        <w:softHyphen/>
        <w:t>уст», «Пантелеймон» (имевших 20 крупнокалиберных орудий), крейсера «Память «Меркурия», 6 эсминцев и 4 минзагов, снаб</w:t>
      </w:r>
      <w:r w:rsidRPr="00405303">
        <w:rPr>
          <w:bCs/>
          <w:color w:val="002060"/>
          <w:sz w:val="16"/>
          <w:szCs w:val="16"/>
        </w:rPr>
        <w:softHyphen/>
        <w:t>женных контактными тралами. Оперативное прикрытие их обеспечивал новый линкор «Императрица Мария» (под фла</w:t>
      </w:r>
      <w:r w:rsidRPr="00405303">
        <w:rPr>
          <w:bCs/>
          <w:color w:val="002060"/>
          <w:sz w:val="16"/>
          <w:szCs w:val="16"/>
        </w:rPr>
        <w:softHyphen/>
        <w:t>гом адмирала А. Эбергарда), сопровождаемый крейсером «Ка-гул» и 4 эсминцами.</w:t>
      </w:r>
    </w:p>
    <w:p w14:paraId="48F9537C" w14:textId="77777777" w:rsidR="00442A91" w:rsidRPr="00405303" w:rsidRDefault="00442A91" w:rsidP="00C15251">
      <w:pPr>
        <w:shd w:val="clear" w:color="auto" w:fill="FFFFFF"/>
        <w:jc w:val="both"/>
        <w:rPr>
          <w:bCs/>
          <w:color w:val="002060"/>
          <w:sz w:val="16"/>
          <w:szCs w:val="16"/>
        </w:rPr>
      </w:pPr>
      <w:r w:rsidRPr="00405303">
        <w:rPr>
          <w:bCs/>
          <w:color w:val="002060"/>
          <w:sz w:val="16"/>
          <w:szCs w:val="16"/>
        </w:rPr>
        <w:t>На основе данных агентурной разведки, ударная группа 22 апреля уже произвела обстрел указанных военных объектов методом ведения огня «по площадям», не давшим существен</w:t>
      </w:r>
      <w:r w:rsidRPr="00405303">
        <w:rPr>
          <w:bCs/>
          <w:color w:val="002060"/>
          <w:sz w:val="16"/>
          <w:szCs w:val="16"/>
        </w:rPr>
        <w:softHyphen/>
        <w:t>ных результатов. Командующий флотом решил повторить об</w:t>
      </w:r>
      <w:r w:rsidRPr="00405303">
        <w:rPr>
          <w:bCs/>
          <w:color w:val="002060"/>
          <w:sz w:val="16"/>
          <w:szCs w:val="16"/>
        </w:rPr>
        <w:softHyphen/>
        <w:t>стрел, предварив его воздушной разведкой с бомбардировкой и последующей оценкой достигнутого. Для этого из Севастополя вышел дополнительный отряд, состоявший из авианесущего судна, вспомогательного крейсера и полудивизиона миноносцев. Из донесения начальника судового авиаотряда Георгиевского кавалера лейтенанта Е. Коведяева видно, что 27 октября 1915 года летчики действовали следующим образом. В 05.47 с «Императрицы Марии» на «Император Николай I» посту</w:t>
      </w:r>
      <w:r w:rsidRPr="00405303">
        <w:rPr>
          <w:bCs/>
          <w:color w:val="002060"/>
          <w:sz w:val="16"/>
          <w:szCs w:val="16"/>
        </w:rPr>
        <w:softHyphen/>
        <w:t>пил короткий радиоприказ, переданный заведующим авиаци</w:t>
      </w:r>
      <w:r w:rsidRPr="00405303">
        <w:rPr>
          <w:bCs/>
          <w:color w:val="002060"/>
          <w:sz w:val="16"/>
          <w:szCs w:val="16"/>
        </w:rPr>
        <w:softHyphen/>
        <w:t>ей флота: «Спустить гидро!». На его выполнение ушло мень</w:t>
      </w:r>
      <w:r w:rsidRPr="00405303">
        <w:rPr>
          <w:bCs/>
          <w:color w:val="002060"/>
          <w:sz w:val="16"/>
          <w:szCs w:val="16"/>
        </w:rPr>
        <w:softHyphen/>
        <w:t>ше получаса. Затем последовал приказ: «Начать действия!».</w:t>
      </w:r>
    </w:p>
    <w:p w14:paraId="20049045" w14:textId="77777777" w:rsidR="00442A91" w:rsidRPr="00405303" w:rsidRDefault="00442A91" w:rsidP="00C15251">
      <w:pPr>
        <w:shd w:val="clear" w:color="auto" w:fill="FFFFFF"/>
        <w:jc w:val="both"/>
        <w:rPr>
          <w:bCs/>
          <w:color w:val="002060"/>
          <w:sz w:val="16"/>
          <w:szCs w:val="16"/>
        </w:rPr>
      </w:pPr>
      <w:r w:rsidRPr="00405303">
        <w:rPr>
          <w:bCs/>
          <w:color w:val="002060"/>
          <w:sz w:val="16"/>
          <w:szCs w:val="16"/>
        </w:rPr>
        <w:t>Первым на разведку Варны в 06.15 вылетел аппарат № 32 лейтенанта Марченко и унтер-офицера Захарченко. По возвра</w:t>
      </w:r>
      <w:r w:rsidRPr="00405303">
        <w:rPr>
          <w:bCs/>
          <w:color w:val="002060"/>
          <w:sz w:val="16"/>
          <w:szCs w:val="16"/>
        </w:rPr>
        <w:softHyphen/>
        <w:t>щении через 55 минут командир экипажа доложил, что в порту у мола стоят крейсер «Надежда» и пара миноносцев, а дальше -в канале и озере - четыре парохода. Уклоняясь от обстрелов с земли, летчики сбросили на большой пакгауз две 50- и две 8-фунтовые бомбы, затем сделали фотоснимок порта.</w:t>
      </w:r>
    </w:p>
    <w:p w14:paraId="6A1F60D5" w14:textId="77777777" w:rsidR="00442A91" w:rsidRPr="00405303" w:rsidRDefault="00442A91" w:rsidP="00C15251">
      <w:pPr>
        <w:shd w:val="clear" w:color="auto" w:fill="FFFFFF"/>
        <w:jc w:val="both"/>
        <w:rPr>
          <w:bCs/>
          <w:color w:val="002060"/>
          <w:sz w:val="16"/>
          <w:szCs w:val="16"/>
        </w:rPr>
      </w:pPr>
      <w:r w:rsidRPr="00405303">
        <w:rPr>
          <w:bCs/>
          <w:color w:val="002060"/>
          <w:sz w:val="16"/>
          <w:szCs w:val="16"/>
        </w:rPr>
        <w:t>В 06.16 стартовала «М-5» летчика Ламанова и моториста Демченко. На высотах 700 и 1400 метров они покружили над идущими в строю фронта линкорами, не заметив ничего подо</w:t>
      </w:r>
      <w:r w:rsidRPr="00405303">
        <w:rPr>
          <w:bCs/>
          <w:color w:val="002060"/>
          <w:sz w:val="16"/>
          <w:szCs w:val="16"/>
        </w:rPr>
        <w:softHyphen/>
        <w:t>зрительного. Затем направились к Варне, где дважды атако</w:t>
      </w:r>
      <w:r w:rsidRPr="00405303">
        <w:rPr>
          <w:bCs/>
          <w:color w:val="002060"/>
          <w:sz w:val="16"/>
          <w:szCs w:val="16"/>
        </w:rPr>
        <w:softHyphen/>
        <w:t>вали болгарский крейсер, но 8-фунтовые бомбы попадали в мол. Еще семь бомб сбросили на разные цели, включая дви</w:t>
      </w:r>
      <w:r w:rsidRPr="00405303">
        <w:rPr>
          <w:bCs/>
          <w:color w:val="002060"/>
          <w:sz w:val="16"/>
          <w:szCs w:val="16"/>
        </w:rPr>
        <w:softHyphen/>
        <w:t>гавшийся к вагонам паровоз, остановленный взрывом рельсо</w:t>
      </w:r>
      <w:r w:rsidRPr="00405303">
        <w:rPr>
          <w:bCs/>
          <w:color w:val="002060"/>
          <w:sz w:val="16"/>
          <w:szCs w:val="16"/>
        </w:rPr>
        <w:softHyphen/>
        <w:t>вого пути. Последнюю бомбу они оставили на случай обнару</w:t>
      </w:r>
      <w:r w:rsidRPr="00405303">
        <w:rPr>
          <w:bCs/>
          <w:color w:val="002060"/>
          <w:sz w:val="16"/>
          <w:szCs w:val="16"/>
        </w:rPr>
        <w:softHyphen/>
        <w:t>жения субмарины, но этого не произошло.</w:t>
      </w:r>
    </w:p>
    <w:p w14:paraId="50D2CD4E" w14:textId="77777777" w:rsidR="00442A91" w:rsidRPr="00405303" w:rsidRDefault="00442A91" w:rsidP="00C15251">
      <w:pPr>
        <w:shd w:val="clear" w:color="auto" w:fill="FFFFFF"/>
        <w:jc w:val="both"/>
        <w:rPr>
          <w:bCs/>
          <w:color w:val="002060"/>
          <w:sz w:val="16"/>
          <w:szCs w:val="16"/>
        </w:rPr>
      </w:pPr>
      <w:r w:rsidRPr="00405303">
        <w:rPr>
          <w:bCs/>
          <w:color w:val="002060"/>
          <w:sz w:val="16"/>
          <w:szCs w:val="16"/>
        </w:rPr>
        <w:t>Свыше часа с четвертью в воздухе находился экипаж лейте</w:t>
      </w:r>
      <w:r w:rsidRPr="00405303">
        <w:rPr>
          <w:bCs/>
          <w:color w:val="002060"/>
          <w:sz w:val="16"/>
          <w:szCs w:val="16"/>
        </w:rPr>
        <w:softHyphen/>
        <w:t>нанта Качинского и унтер-офицера Яковенко. Летчики удач</w:t>
      </w:r>
      <w:r w:rsidRPr="00405303">
        <w:rPr>
          <w:bCs/>
          <w:color w:val="002060"/>
          <w:sz w:val="16"/>
          <w:szCs w:val="16"/>
        </w:rPr>
        <w:softHyphen/>
        <w:t>но применили бомбовое оружие - взорвали каменный пакгауз, затем сфотографировали обнаруженную западней Галаты по</w:t>
      </w:r>
      <w:r w:rsidRPr="00405303">
        <w:rPr>
          <w:bCs/>
          <w:color w:val="002060"/>
          <w:sz w:val="16"/>
          <w:szCs w:val="16"/>
        </w:rPr>
        <w:softHyphen/>
        <w:t>левую батарею. Снизившись возле «Евстафия», они условны</w:t>
      </w:r>
      <w:r w:rsidRPr="00405303">
        <w:rPr>
          <w:bCs/>
          <w:color w:val="002060"/>
          <w:sz w:val="16"/>
          <w:szCs w:val="16"/>
        </w:rPr>
        <w:softHyphen/>
        <w:t>ми сигналами, поданными цветными дымками, сообщили на</w:t>
      </w:r>
      <w:r w:rsidRPr="00405303">
        <w:rPr>
          <w:bCs/>
          <w:color w:val="002060"/>
          <w:sz w:val="16"/>
          <w:szCs w:val="16"/>
        </w:rPr>
        <w:softHyphen/>
        <w:t>чальнику дивизии вице-адмиралу П. Новицкому о стоящих в порту судах.</w:t>
      </w:r>
    </w:p>
    <w:p w14:paraId="421B01D4" w14:textId="77777777" w:rsidR="00442A91" w:rsidRPr="00405303" w:rsidRDefault="00442A91" w:rsidP="00C15251">
      <w:pPr>
        <w:shd w:val="clear" w:color="auto" w:fill="FFFFFF"/>
        <w:jc w:val="both"/>
        <w:rPr>
          <w:bCs/>
          <w:color w:val="002060"/>
          <w:sz w:val="16"/>
          <w:szCs w:val="16"/>
        </w:rPr>
      </w:pPr>
      <w:r w:rsidRPr="00405303">
        <w:rPr>
          <w:bCs/>
          <w:color w:val="002060"/>
          <w:sz w:val="16"/>
          <w:szCs w:val="16"/>
        </w:rPr>
        <w:t>После выполнения задачи противолодочного охранения ко</w:t>
      </w:r>
      <w:r w:rsidRPr="00405303">
        <w:rPr>
          <w:bCs/>
          <w:color w:val="002060"/>
          <w:sz w:val="16"/>
          <w:szCs w:val="16"/>
        </w:rPr>
        <w:softHyphen/>
        <w:t>раблей ударной группы лейтенанту Коведяеву и унтер-офице</w:t>
      </w:r>
      <w:r w:rsidRPr="00405303">
        <w:rPr>
          <w:bCs/>
          <w:color w:val="002060"/>
          <w:sz w:val="16"/>
          <w:szCs w:val="16"/>
        </w:rPr>
        <w:softHyphen/>
        <w:t>ру Волынскому не повезло. На 44-й минуте полета, уже над Варной, у аппарата «забарахлил» мотор. Пришлось возвратиться к авиасудну и заняться устранением неисправности. В 08.45 начальник отряда со старшим мотористом Артюховым снова поднялся в воздух. Оценивая результаты стрельбы линкоров, они видели накрытие тремя залпами Галатской батареи и за</w:t>
      </w:r>
      <w:r w:rsidRPr="00405303">
        <w:rPr>
          <w:bCs/>
          <w:color w:val="002060"/>
          <w:sz w:val="16"/>
          <w:szCs w:val="16"/>
        </w:rPr>
        <w:softHyphen/>
        <w:t>секли местонахождение неизвестной батареи, стрелявшей по кораблям. Сброшенные летчиками 50-фунтовые бомбы угоди</w:t>
      </w:r>
      <w:r w:rsidRPr="00405303">
        <w:rPr>
          <w:bCs/>
          <w:color w:val="002060"/>
          <w:sz w:val="16"/>
          <w:szCs w:val="16"/>
        </w:rPr>
        <w:softHyphen/>
        <w:t>ли в приземистое строение, где произошел внутренний взрыв.</w:t>
      </w:r>
    </w:p>
    <w:p w14:paraId="2121E959" w14:textId="77777777" w:rsidR="00442A91" w:rsidRPr="00405303" w:rsidRDefault="00442A91" w:rsidP="00C15251">
      <w:pPr>
        <w:shd w:val="clear" w:color="auto" w:fill="FFFFFF"/>
        <w:jc w:val="both"/>
        <w:rPr>
          <w:bCs/>
          <w:color w:val="002060"/>
          <w:sz w:val="16"/>
          <w:szCs w:val="16"/>
        </w:rPr>
      </w:pPr>
      <w:r w:rsidRPr="00405303">
        <w:rPr>
          <w:bCs/>
          <w:color w:val="002060"/>
          <w:sz w:val="16"/>
          <w:szCs w:val="16"/>
        </w:rPr>
        <w:t>В период с 08.12 до 09.25 на 2000-метровой высоте летал экипаж лейтенанта Юнкера и унтер-офицера Аристова, при</w:t>
      </w:r>
      <w:r w:rsidRPr="00405303">
        <w:rPr>
          <w:bCs/>
          <w:color w:val="002060"/>
          <w:sz w:val="16"/>
          <w:szCs w:val="16"/>
        </w:rPr>
        <w:softHyphen/>
        <w:t>нявших шестипудовый запас бензина. Около получаса они ох</w:t>
      </w:r>
      <w:r w:rsidRPr="00405303">
        <w:rPr>
          <w:bCs/>
          <w:color w:val="002060"/>
          <w:sz w:val="16"/>
          <w:szCs w:val="16"/>
        </w:rPr>
        <w:softHyphen/>
        <w:t>раняли линкоры, после чего оценивали результаты стрельбы по фортам. Затем летчики сбросили две бомбы на артбата-рею, установленную на пологом холме за губернаторским двор</w:t>
      </w:r>
      <w:r w:rsidRPr="00405303">
        <w:rPr>
          <w:bCs/>
          <w:color w:val="002060"/>
          <w:sz w:val="16"/>
          <w:szCs w:val="16"/>
        </w:rPr>
        <w:softHyphen/>
        <w:t>цом. От близких разрывов шрапнельных снарядов аппарат «бросало» в разные стороны, мотор стал работать с перебоями, но позволил до авиасудна «дотянуть».</w:t>
      </w:r>
    </w:p>
    <w:p w14:paraId="2D01D22D" w14:textId="77777777" w:rsidR="00442A91" w:rsidRPr="00405303" w:rsidRDefault="00442A91" w:rsidP="00C15251">
      <w:pPr>
        <w:shd w:val="clear" w:color="auto" w:fill="FFFFFF"/>
        <w:jc w:val="both"/>
        <w:rPr>
          <w:bCs/>
          <w:color w:val="002060"/>
          <w:sz w:val="16"/>
          <w:szCs w:val="16"/>
        </w:rPr>
      </w:pPr>
      <w:r w:rsidRPr="00405303">
        <w:rPr>
          <w:bCs/>
          <w:color w:val="002060"/>
          <w:sz w:val="16"/>
          <w:szCs w:val="16"/>
        </w:rPr>
        <w:t>Последним к нему возвратился аппарат № 38, которым уп</w:t>
      </w:r>
      <w:r w:rsidRPr="00405303">
        <w:rPr>
          <w:bCs/>
          <w:color w:val="002060"/>
          <w:sz w:val="16"/>
          <w:szCs w:val="16"/>
        </w:rPr>
        <w:softHyphen/>
        <w:t>равлял матрос Сосновский, а наблюдателем-бомбардиром был заведующий техникой авиации флота лейтенант Михайлов, опытный летчик, конструктор бомб. Их полет продолжался свыше двух часов. Сперва они барражировали над кораблями, после наблюдали за стрельбой по фортам. Крупное укрепле</w:t>
      </w:r>
      <w:r w:rsidRPr="00405303">
        <w:rPr>
          <w:bCs/>
          <w:color w:val="002060"/>
          <w:sz w:val="16"/>
          <w:szCs w:val="16"/>
        </w:rPr>
        <w:softHyphen/>
        <w:t>ние и железнодорожный разъезд возле него имели хорошо ви</w:t>
      </w:r>
      <w:r w:rsidRPr="00405303">
        <w:rPr>
          <w:bCs/>
          <w:color w:val="002060"/>
          <w:sz w:val="16"/>
          <w:szCs w:val="16"/>
        </w:rPr>
        <w:softHyphen/>
        <w:t>димые повреждения. Сделав фотоснимок, летчики сбросили бомбы на каменное здание у ближнего форта.</w:t>
      </w:r>
    </w:p>
    <w:p w14:paraId="39E8CFD4" w14:textId="77777777" w:rsidR="00442A91" w:rsidRPr="00405303" w:rsidRDefault="00442A91" w:rsidP="00C15251">
      <w:pPr>
        <w:shd w:val="clear" w:color="auto" w:fill="FFFFFF"/>
        <w:jc w:val="both"/>
        <w:rPr>
          <w:bCs/>
          <w:color w:val="002060"/>
          <w:sz w:val="16"/>
          <w:szCs w:val="16"/>
        </w:rPr>
      </w:pPr>
      <w:r w:rsidRPr="00405303">
        <w:rPr>
          <w:bCs/>
          <w:color w:val="002060"/>
          <w:sz w:val="16"/>
          <w:szCs w:val="16"/>
        </w:rPr>
        <w:t>В 10.00 поступил радио-приказ о прекращении разведыва</w:t>
      </w:r>
      <w:r w:rsidRPr="00405303">
        <w:rPr>
          <w:bCs/>
          <w:color w:val="002060"/>
          <w:sz w:val="16"/>
          <w:szCs w:val="16"/>
        </w:rPr>
        <w:softHyphen/>
        <w:t>тельно-боевых действий летчиками авианесущего судна. Они успешно выполнили две из трех поставленных задач. Концевой в строю линкор «Пантелеймон» атаковала субмарина «1ТВ-7», но ее торпеда прошла мимо цели. Командиру «ПВ-8» приме</w:t>
      </w:r>
      <w:r w:rsidRPr="00405303">
        <w:rPr>
          <w:bCs/>
          <w:color w:val="002060"/>
          <w:sz w:val="16"/>
          <w:szCs w:val="16"/>
        </w:rPr>
        <w:softHyphen/>
        <w:t>нить оружие не удалось. Осматривая морскую поверхность в бинокли, воздушные наблюдатели имели мало шансов обнару</w:t>
      </w:r>
      <w:r w:rsidRPr="00405303">
        <w:rPr>
          <w:bCs/>
          <w:color w:val="002060"/>
          <w:sz w:val="16"/>
          <w:szCs w:val="16"/>
        </w:rPr>
        <w:softHyphen/>
        <w:t>жить перископы субмарин.</w:t>
      </w:r>
    </w:p>
    <w:p w14:paraId="3379DCCC" w14:textId="77777777" w:rsidR="00442A91" w:rsidRPr="00405303" w:rsidRDefault="00442A91" w:rsidP="00C15251">
      <w:pPr>
        <w:shd w:val="clear" w:color="auto" w:fill="FFFFFF"/>
        <w:jc w:val="both"/>
        <w:rPr>
          <w:bCs/>
          <w:color w:val="002060"/>
          <w:sz w:val="16"/>
          <w:szCs w:val="16"/>
        </w:rPr>
      </w:pPr>
      <w:r w:rsidRPr="00405303">
        <w:rPr>
          <w:bCs/>
          <w:color w:val="002060"/>
          <w:sz w:val="16"/>
          <w:szCs w:val="16"/>
        </w:rPr>
        <w:t>В налетах на Варну участвовали шесть летающих лодок «М-5», у седьмой при разбеге для взлета «заглох» мотор, быст</w:t>
      </w:r>
      <w:r w:rsidRPr="00405303">
        <w:rPr>
          <w:bCs/>
          <w:color w:val="002060"/>
          <w:sz w:val="16"/>
          <w:szCs w:val="16"/>
        </w:rPr>
        <w:softHyphen/>
        <w:t>ро починить его мотористы не смогли. Под пушечным и пуле</w:t>
      </w:r>
      <w:r w:rsidRPr="00405303">
        <w:rPr>
          <w:bCs/>
          <w:color w:val="002060"/>
          <w:sz w:val="16"/>
          <w:szCs w:val="16"/>
        </w:rPr>
        <w:softHyphen/>
        <w:t>метным обстрелом аппаратов с земли, летчики сбросили на военные объекты десять 50-фунтовых бронебойных и один</w:t>
      </w:r>
      <w:r w:rsidRPr="00405303">
        <w:rPr>
          <w:bCs/>
          <w:color w:val="002060"/>
          <w:sz w:val="16"/>
          <w:szCs w:val="16"/>
        </w:rPr>
        <w:softHyphen/>
        <w:t>надцать 8-фунтовых фугасных бомб, причинивших неприяте</w:t>
      </w:r>
      <w:r w:rsidRPr="00405303">
        <w:rPr>
          <w:bCs/>
          <w:color w:val="002060"/>
          <w:sz w:val="16"/>
          <w:szCs w:val="16"/>
        </w:rPr>
        <w:softHyphen/>
        <w:t>лю довольно ощутимый ущерб и урон.</w:t>
      </w:r>
    </w:p>
    <w:p w14:paraId="65183D59" w14:textId="77777777" w:rsidR="00442A91" w:rsidRPr="00405303" w:rsidRDefault="00442A91" w:rsidP="00C15251">
      <w:pPr>
        <w:shd w:val="clear" w:color="auto" w:fill="FFFFFF"/>
        <w:jc w:val="both"/>
        <w:rPr>
          <w:bCs/>
          <w:color w:val="002060"/>
          <w:sz w:val="16"/>
          <w:szCs w:val="16"/>
        </w:rPr>
      </w:pPr>
      <w:r w:rsidRPr="00405303">
        <w:rPr>
          <w:bCs/>
          <w:color w:val="002060"/>
          <w:sz w:val="16"/>
          <w:szCs w:val="16"/>
        </w:rPr>
        <w:t>Несомненно, одним из уроков этой операции стало убеди</w:t>
      </w:r>
      <w:r w:rsidRPr="00405303">
        <w:rPr>
          <w:bCs/>
          <w:color w:val="002060"/>
          <w:sz w:val="16"/>
          <w:szCs w:val="16"/>
        </w:rPr>
        <w:softHyphen/>
        <w:t>тельное подтверждение срочной необходимости вооружения авиации действующих флотов более совершенными летающи</w:t>
      </w:r>
      <w:r w:rsidRPr="00405303">
        <w:rPr>
          <w:bCs/>
          <w:color w:val="002060"/>
          <w:sz w:val="16"/>
          <w:szCs w:val="16"/>
        </w:rPr>
        <w:softHyphen/>
        <w:t>ми лодками, оснащенными новыми боевыми и техническими средствами для эффективного выполнения наступательных и оборонительных задач, в частности, ведения воздушных боев (11283).</w:t>
      </w:r>
    </w:p>
    <w:p w14:paraId="6DF664DB" w14:textId="77777777" w:rsidR="00442A91" w:rsidRPr="00405303" w:rsidRDefault="00442A91" w:rsidP="00C15251">
      <w:pPr>
        <w:shd w:val="clear" w:color="auto" w:fill="FFFFFF"/>
        <w:jc w:val="both"/>
        <w:rPr>
          <w:bCs/>
          <w:color w:val="002060"/>
          <w:sz w:val="16"/>
          <w:szCs w:val="16"/>
        </w:rPr>
      </w:pPr>
    </w:p>
    <w:p w14:paraId="377D6091" w14:textId="77777777" w:rsidR="00EF208C" w:rsidRPr="00405303" w:rsidRDefault="00EF208C" w:rsidP="00C15251">
      <w:pPr>
        <w:jc w:val="both"/>
        <w:rPr>
          <w:bCs/>
          <w:color w:val="002060"/>
          <w:sz w:val="16"/>
          <w:szCs w:val="16"/>
        </w:rPr>
      </w:pPr>
      <w:r w:rsidRPr="00405303">
        <w:rPr>
          <w:bCs/>
          <w:color w:val="002060"/>
          <w:sz w:val="16"/>
          <w:szCs w:val="16"/>
        </w:rPr>
        <w:t>14 (27) октября 1915 г. летчики Черноморского флота ст. лейтенант Всеволод Михайлович Марченко и унтер-офицер Александр Степанович Демченко вылетели с авианосца на гидросамолете М-5 на разведку и бомбарди</w:t>
      </w:r>
      <w:r w:rsidRPr="00405303">
        <w:rPr>
          <w:bCs/>
          <w:color w:val="002060"/>
          <w:sz w:val="16"/>
          <w:szCs w:val="16"/>
        </w:rPr>
        <w:softHyphen/>
        <w:t>ровку болгарского порта Варны, обнаружили там расположение непри</w:t>
      </w:r>
      <w:r w:rsidRPr="00405303">
        <w:rPr>
          <w:bCs/>
          <w:color w:val="002060"/>
          <w:sz w:val="16"/>
          <w:szCs w:val="16"/>
        </w:rPr>
        <w:softHyphen/>
        <w:t>ятельских судов и береговых батарей и сфотографировали их.</w:t>
      </w:r>
    </w:p>
    <w:p w14:paraId="5FEE708B" w14:textId="77777777" w:rsidR="00EF208C" w:rsidRPr="00405303" w:rsidRDefault="00EF208C" w:rsidP="00C15251">
      <w:pPr>
        <w:jc w:val="both"/>
        <w:rPr>
          <w:bCs/>
          <w:color w:val="002060"/>
          <w:sz w:val="16"/>
          <w:szCs w:val="16"/>
        </w:rPr>
      </w:pPr>
      <w:r w:rsidRPr="00405303">
        <w:rPr>
          <w:bCs/>
          <w:color w:val="002060"/>
          <w:sz w:val="16"/>
          <w:szCs w:val="16"/>
        </w:rPr>
        <w:t>/ЦГВИА, ф. 843, д. 14117, л. 343/ (23320).</w:t>
      </w:r>
    </w:p>
    <w:p w14:paraId="5960647A" w14:textId="77777777" w:rsidR="00EF208C" w:rsidRPr="00405303" w:rsidRDefault="00EF208C" w:rsidP="00C15251">
      <w:pPr>
        <w:jc w:val="both"/>
        <w:rPr>
          <w:bCs/>
          <w:color w:val="002060"/>
          <w:sz w:val="16"/>
          <w:szCs w:val="16"/>
        </w:rPr>
      </w:pPr>
    </w:p>
    <w:p w14:paraId="2CB3B1AA"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Армия:</w:t>
      </w:r>
    </w:p>
    <w:p w14:paraId="04B39F1A" w14:textId="77777777" w:rsidR="004B4E35" w:rsidRPr="00405303" w:rsidRDefault="004B4E35" w:rsidP="00C15251">
      <w:pPr>
        <w:shd w:val="clear" w:color="auto" w:fill="FFFFFF"/>
        <w:jc w:val="both"/>
        <w:rPr>
          <w:bCs/>
          <w:i/>
          <w:color w:val="002060"/>
          <w:sz w:val="16"/>
          <w:szCs w:val="16"/>
        </w:rPr>
      </w:pPr>
    </w:p>
    <w:p w14:paraId="79EB61D6" w14:textId="5450BC2B" w:rsidR="004B4E35" w:rsidRPr="00405303" w:rsidRDefault="009E6F82" w:rsidP="00C15251">
      <w:pPr>
        <w:jc w:val="both"/>
        <w:rPr>
          <w:bCs/>
          <w:color w:val="002060"/>
          <w:sz w:val="16"/>
          <w:szCs w:val="16"/>
        </w:rPr>
      </w:pPr>
      <w:r w:rsidRPr="00405303">
        <w:rPr>
          <w:bCs/>
          <w:color w:val="002060"/>
          <w:sz w:val="16"/>
          <w:szCs w:val="16"/>
        </w:rPr>
        <w:t xml:space="preserve">14 </w:t>
      </w:r>
      <w:r w:rsidR="00351CDC" w:rsidRPr="00405303">
        <w:rPr>
          <w:bCs/>
          <w:color w:val="002060"/>
          <w:sz w:val="16"/>
          <w:szCs w:val="16"/>
        </w:rPr>
        <w:t xml:space="preserve">(27) </w:t>
      </w:r>
      <w:r w:rsidRPr="00405303">
        <w:rPr>
          <w:bCs/>
          <w:color w:val="002060"/>
          <w:sz w:val="16"/>
          <w:szCs w:val="16"/>
        </w:rPr>
        <w:t>октября 1915 г Болгария напала на Сербию, разгромила её армию, Германия получила прямое железнодорожное сообщении с Турцией. В Черное море вошли германские подводные лодки, с базой вблизи Варны (в Евксинограде).</w:t>
      </w:r>
    </w:p>
    <w:p w14:paraId="56155430" w14:textId="77777777" w:rsidR="004B4E35" w:rsidRPr="00405303" w:rsidRDefault="009E6F82" w:rsidP="00C15251">
      <w:pPr>
        <w:jc w:val="both"/>
        <w:rPr>
          <w:bCs/>
          <w:color w:val="002060"/>
          <w:sz w:val="16"/>
          <w:szCs w:val="16"/>
        </w:rPr>
      </w:pPr>
      <w:r w:rsidRPr="00405303">
        <w:rPr>
          <w:bCs/>
          <w:color w:val="002060"/>
          <w:sz w:val="16"/>
          <w:szCs w:val="16"/>
        </w:rPr>
        <w:lastRenderedPageBreak/>
        <w:t>Черноморский флот пополнился двумя линейными кораблями, пятью эскадренными миноносцами и семью подводными лодками, позволившими командованию более решительно бороться за господства на Черном море. Старший лейтенант И.И. Стаховский получил указание готовить отряды к походу. Из недостроенной авиастанции "Бухта Нахимова" судовые отряды перевели в "Круглую бухту" (11930).</w:t>
      </w:r>
    </w:p>
    <w:p w14:paraId="0B4BA29D" w14:textId="77777777" w:rsidR="004B4E35" w:rsidRPr="00405303" w:rsidRDefault="004B4E35" w:rsidP="00C15251">
      <w:pPr>
        <w:jc w:val="both"/>
        <w:rPr>
          <w:bCs/>
          <w:color w:val="002060"/>
          <w:sz w:val="16"/>
          <w:szCs w:val="16"/>
        </w:rPr>
      </w:pPr>
    </w:p>
    <w:p w14:paraId="1FE63F94" w14:textId="77777777" w:rsidR="004B4E35" w:rsidRPr="00405303" w:rsidRDefault="009E6F82" w:rsidP="00C15251">
      <w:pPr>
        <w:jc w:val="both"/>
        <w:rPr>
          <w:rStyle w:val="11"/>
          <w:b w:val="0"/>
          <w:bCs/>
          <w:i/>
          <w:color w:val="002060"/>
          <w:sz w:val="16"/>
          <w:szCs w:val="16"/>
        </w:rPr>
      </w:pPr>
      <w:r w:rsidRPr="00405303">
        <w:rPr>
          <w:rStyle w:val="11"/>
          <w:b w:val="0"/>
          <w:bCs/>
          <w:i/>
          <w:color w:val="002060"/>
          <w:sz w:val="16"/>
          <w:szCs w:val="16"/>
        </w:rPr>
        <w:t>Самолетостроение:</w:t>
      </w:r>
    </w:p>
    <w:p w14:paraId="5F21D76C" w14:textId="77777777" w:rsidR="004B4E35" w:rsidRPr="00405303" w:rsidRDefault="004B4E35" w:rsidP="00C15251">
      <w:pPr>
        <w:jc w:val="both"/>
        <w:rPr>
          <w:rStyle w:val="11"/>
          <w:b w:val="0"/>
          <w:bCs/>
          <w:i/>
          <w:color w:val="002060"/>
          <w:sz w:val="16"/>
          <w:szCs w:val="16"/>
        </w:rPr>
      </w:pPr>
    </w:p>
    <w:p w14:paraId="30522F17" w14:textId="25C08B9F" w:rsidR="00645069" w:rsidRPr="00405303" w:rsidRDefault="00645069" w:rsidP="00C15251">
      <w:pPr>
        <w:jc w:val="both"/>
        <w:rPr>
          <w:bCs/>
          <w:color w:val="002060"/>
          <w:sz w:val="16"/>
          <w:szCs w:val="16"/>
        </w:rPr>
      </w:pPr>
      <w:r w:rsidRPr="00405303">
        <w:rPr>
          <w:bCs/>
          <w:color w:val="002060"/>
          <w:sz w:val="16"/>
          <w:szCs w:val="16"/>
        </w:rPr>
        <w:t xml:space="preserve">15 </w:t>
      </w:r>
      <w:r w:rsidR="00351CDC" w:rsidRPr="00405303">
        <w:rPr>
          <w:bCs/>
          <w:color w:val="002060"/>
          <w:sz w:val="16"/>
          <w:szCs w:val="16"/>
        </w:rPr>
        <w:t xml:space="preserve">(28) </w:t>
      </w:r>
      <w:r w:rsidRPr="00405303">
        <w:rPr>
          <w:bCs/>
          <w:color w:val="002060"/>
          <w:sz w:val="16"/>
          <w:szCs w:val="16"/>
        </w:rPr>
        <w:t xml:space="preserve">октября 1915 г. по указанию Великого князя Начальник ГВТУ провел решение о создании Авиационной приемной комиссии, которая должна была наблюдать за производством авиатехники, производить ее испытания и приемку. Согласно «Положению о приемной комиссии» подбор для нее личного состава осуществлял сам Заведующий авиацией. В комиссию вошли 11 офицеров, два чиновника и все офицеры, прикомандированные к заводам. Приемная комиссия была введена в действие приказом Военного министра от 7 ноября 1915 г. № 598 </w:t>
      </w:r>
      <w:proofErr w:type="gramStart"/>
      <w:r w:rsidRPr="00405303">
        <w:rPr>
          <w:bCs/>
          <w:color w:val="002060"/>
          <w:sz w:val="16"/>
          <w:szCs w:val="16"/>
        </w:rPr>
        <w:t>2 .</w:t>
      </w:r>
      <w:proofErr w:type="gramEnd"/>
      <w:r w:rsidRPr="00405303">
        <w:rPr>
          <w:bCs/>
          <w:color w:val="002060"/>
          <w:sz w:val="16"/>
          <w:szCs w:val="16"/>
        </w:rPr>
        <w:t xml:space="preserve"> Таким образом, управление авиационным тылом все более совершенствовалось (19566).</w:t>
      </w:r>
    </w:p>
    <w:p w14:paraId="5BE54B90" w14:textId="77777777" w:rsidR="00645069" w:rsidRPr="00405303" w:rsidRDefault="00645069" w:rsidP="00C15251">
      <w:pPr>
        <w:jc w:val="both"/>
        <w:rPr>
          <w:bCs/>
          <w:color w:val="002060"/>
          <w:sz w:val="16"/>
          <w:szCs w:val="16"/>
        </w:rPr>
      </w:pPr>
    </w:p>
    <w:p w14:paraId="0690B4B9" w14:textId="5BF55D29" w:rsidR="00645069" w:rsidRPr="00405303" w:rsidRDefault="00645069" w:rsidP="00C15251">
      <w:pPr>
        <w:jc w:val="both"/>
        <w:rPr>
          <w:bCs/>
          <w:color w:val="002060"/>
          <w:sz w:val="16"/>
          <w:szCs w:val="16"/>
        </w:rPr>
      </w:pPr>
      <w:r w:rsidRPr="00405303">
        <w:rPr>
          <w:rStyle w:val="ucoz-forum-post"/>
          <w:rFonts w:eastAsiaTheme="majorEastAsia"/>
          <w:bCs/>
          <w:color w:val="002060"/>
          <w:sz w:val="16"/>
          <w:szCs w:val="16"/>
        </w:rPr>
        <w:t xml:space="preserve">15 </w:t>
      </w:r>
      <w:r w:rsidR="00351CDC" w:rsidRPr="00405303">
        <w:rPr>
          <w:rStyle w:val="ucoz-forum-post"/>
          <w:rFonts w:eastAsiaTheme="majorEastAsia"/>
          <w:bCs/>
          <w:color w:val="002060"/>
          <w:sz w:val="16"/>
          <w:szCs w:val="16"/>
        </w:rPr>
        <w:t xml:space="preserve">(28) </w:t>
      </w:r>
      <w:r w:rsidRPr="00405303">
        <w:rPr>
          <w:rStyle w:val="ucoz-forum-post"/>
          <w:rFonts w:eastAsiaTheme="majorEastAsia"/>
          <w:bCs/>
          <w:color w:val="002060"/>
          <w:sz w:val="16"/>
          <w:szCs w:val="16"/>
        </w:rPr>
        <w:t xml:space="preserve">октября </w:t>
      </w:r>
      <w:r w:rsidRPr="00405303">
        <w:rPr>
          <w:bCs/>
          <w:color w:val="002060"/>
          <w:sz w:val="16"/>
          <w:szCs w:val="16"/>
        </w:rPr>
        <w:t>в 1915 году был основан Московский машиностроительный завод "Рассвет" (ныне ОАО) — ведущее предприятие гидроагрегатостроения авиационной промышленности России. С начала ХХ века до конца 1930-х годов занимались изготовлением деревянных винтов и лыж для шасси самолетов первых поколений. В период ВОВ - массовое производство металлических винтов изменяемого шага для истребителей ОКБ Яковлева, Лавочкина, Микояна. В 1950-1980-е годы изготавливал бустера и рулевые приводы для самолетов «МиГ-17», «МиГ-19», «Ту-95», «3М», «М4», «Ту-22», «Ту-128», вертолетов «Ми-6», «Ми-6А», втулки несущего винта для вертолетов «Ми-1», «Ми-4», гидроусилителя для самолетов «Ту-114», «Ту-126», агрегаты управления для «МиГ-21», «МиГ-25», системы изменения стреловидности крыла для «МиГ-23», «МиГ-27». Основные виды деятельностиОАО "Московского машиностроительного завода "Рассвет": Гидравлические и электрогидравлические приводы поступательного и вращательного действия, планетарные гидромоторы, электрогидравлические усилители и клапаны, системы дистанционного управления полетом и механизацией крыла самолетов «Ту-154М», «Ту-204», «Ил-76», «Ил-86», «Ил-96», «Ан-124», «Ту-22М», «Ан-70», «Бе-200», «М-101Т Гжель», «Як-42», «Ту-95МС», «Ту-142», «Ту-160», автономные рулевые системы. Ремонт перечисленных изделий. Гарантийное и послегарантийное обслуживание, производство запасных частей. Среди продукции – система перемещения закрылков СПЗ1А («Ту-154»), рулевой привод РП60-1 («Ту-154»), рулевой привод РП60-3 («Ил-76»), система перемещения закрылков СПЗ4 («Ил-86»), агрегат отключения АО2 («Ту-204») и др. Ножные автомобильные насосы, антиблокировочные системы, различные виды управляющих гидравлических устройств для строительно-дорожных машин и металлургического производства, газораспределительное оборудование. Заказчики: АО Авиастар-СП, Воронежское АСО, КАПО имени С.П.Горбунова, Авиакор-АЗ (14800).</w:t>
      </w:r>
    </w:p>
    <w:p w14:paraId="7871D5C6" w14:textId="77777777" w:rsidR="00645069" w:rsidRPr="00405303" w:rsidRDefault="00645069" w:rsidP="00C15251">
      <w:pPr>
        <w:jc w:val="both"/>
        <w:rPr>
          <w:bCs/>
          <w:color w:val="002060"/>
          <w:sz w:val="16"/>
          <w:szCs w:val="16"/>
        </w:rPr>
      </w:pPr>
    </w:p>
    <w:p w14:paraId="34DC1F71" w14:textId="07BD3F03" w:rsidR="004B4E35" w:rsidRPr="00405303" w:rsidRDefault="009E6F82" w:rsidP="00C15251">
      <w:pPr>
        <w:jc w:val="both"/>
        <w:rPr>
          <w:bCs/>
          <w:color w:val="002060"/>
          <w:sz w:val="16"/>
          <w:szCs w:val="16"/>
        </w:rPr>
      </w:pPr>
      <w:r w:rsidRPr="00405303">
        <w:rPr>
          <w:bCs/>
          <w:color w:val="002060"/>
          <w:sz w:val="16"/>
          <w:szCs w:val="16"/>
        </w:rPr>
        <w:t>15</w:t>
      </w:r>
      <w:r w:rsidR="00351CDC" w:rsidRPr="00405303">
        <w:rPr>
          <w:bCs/>
          <w:color w:val="002060"/>
          <w:sz w:val="16"/>
          <w:szCs w:val="16"/>
        </w:rPr>
        <w:t xml:space="preserve"> (28) октября </w:t>
      </w:r>
      <w:r w:rsidRPr="00405303">
        <w:rPr>
          <w:bCs/>
          <w:color w:val="002060"/>
          <w:sz w:val="16"/>
          <w:szCs w:val="16"/>
        </w:rPr>
        <w:t xml:space="preserve">1915 г. считается датой основания </w:t>
      </w:r>
      <w:r w:rsidR="00351CDC" w:rsidRPr="00405303">
        <w:rPr>
          <w:bCs/>
          <w:color w:val="002060"/>
          <w:sz w:val="16"/>
          <w:szCs w:val="16"/>
        </w:rPr>
        <w:t xml:space="preserve">Московского Аэротехнического </w:t>
      </w:r>
      <w:r w:rsidRPr="00405303">
        <w:rPr>
          <w:bCs/>
          <w:color w:val="002060"/>
          <w:sz w:val="16"/>
          <w:szCs w:val="16"/>
        </w:rPr>
        <w:t>завода</w:t>
      </w:r>
      <w:r w:rsidR="00351CDC" w:rsidRPr="00405303">
        <w:rPr>
          <w:bCs/>
          <w:color w:val="002060"/>
          <w:sz w:val="16"/>
          <w:szCs w:val="16"/>
        </w:rPr>
        <w:t>. (Завод № 28 им. Орджоникидзе BCHX, НКТП, НКОП, НКАП, МАП, МСиДМ, Мебельная фабрика Хорькова и Адамчика, Аэротехнический завод «Адамчик, Кузнецов и Лобанов» ВСНХ, Московский Аэротехнический завод ВСНХ, Завод № 8 «Пропеллер» ВСНХ, Государственный авиационный завод № 8 (ГАЗ-8) «Пропеллер» ВСНХ, ОАО «Пневмостроймашина» / г. Москва ул. Долгоруковская, 27 (1920 г.); М. Грузинская, Столярный пер., 5, 7, 10 «ГАЗ восьмой» (1927 г.);</w:t>
      </w:r>
      <w:r w:rsidR="000F5756">
        <w:rPr>
          <w:bCs/>
          <w:color w:val="002060"/>
          <w:sz w:val="16"/>
          <w:szCs w:val="16"/>
        </w:rPr>
        <w:t xml:space="preserve"> </w:t>
      </w:r>
      <w:r w:rsidR="00351CDC" w:rsidRPr="00405303">
        <w:rPr>
          <w:bCs/>
          <w:color w:val="002060"/>
          <w:sz w:val="16"/>
          <w:szCs w:val="16"/>
        </w:rPr>
        <w:t>г. Москва, 22 п/я 2263 (1928 г.);</w:t>
      </w:r>
      <w:r w:rsidR="000F5756">
        <w:rPr>
          <w:bCs/>
          <w:color w:val="002060"/>
          <w:sz w:val="16"/>
          <w:szCs w:val="16"/>
        </w:rPr>
        <w:t xml:space="preserve"> </w:t>
      </w:r>
      <w:r w:rsidR="00351CDC" w:rsidRPr="00405303">
        <w:rPr>
          <w:bCs/>
          <w:color w:val="002060"/>
          <w:sz w:val="16"/>
          <w:szCs w:val="16"/>
        </w:rPr>
        <w:t>г. Свердловск/ /620100</w:t>
      </w:r>
      <w:r w:rsidR="000F5756">
        <w:rPr>
          <w:bCs/>
          <w:color w:val="002060"/>
          <w:sz w:val="16"/>
          <w:szCs w:val="16"/>
        </w:rPr>
        <w:t xml:space="preserve"> </w:t>
      </w:r>
      <w:r w:rsidR="00351CDC" w:rsidRPr="00405303">
        <w:rPr>
          <w:bCs/>
          <w:color w:val="002060"/>
          <w:sz w:val="16"/>
          <w:szCs w:val="16"/>
        </w:rPr>
        <w:t>г. Екатеринбург Сибирский тракт, 1-й км, 8 тел. (343) 264-66-00/</w:t>
      </w:r>
      <w:r w:rsidRPr="00405303">
        <w:rPr>
          <w:bCs/>
          <w:color w:val="002060"/>
          <w:sz w:val="16"/>
          <w:szCs w:val="16"/>
        </w:rPr>
        <w:t>)</w:t>
      </w:r>
    </w:p>
    <w:p w14:paraId="7BAF110E" w14:textId="77777777" w:rsidR="004B4E35" w:rsidRPr="00405303" w:rsidRDefault="009E6F82" w:rsidP="00C15251">
      <w:pPr>
        <w:jc w:val="both"/>
        <w:rPr>
          <w:bCs/>
          <w:color w:val="002060"/>
          <w:sz w:val="16"/>
          <w:szCs w:val="16"/>
        </w:rPr>
      </w:pPr>
      <w:r w:rsidRPr="00405303">
        <w:rPr>
          <w:bCs/>
          <w:color w:val="002060"/>
          <w:sz w:val="16"/>
          <w:szCs w:val="16"/>
        </w:rPr>
        <w:t>В 09.1919 г. Аэротехнический завод «Адамчик, Кузнецов и Лобанов» был национализирован и передан в ведение Главкоавиа ВСНХ, в 12.1919 г. назывался Аэротехнический завод. В 1924 г. ГАЗ-8 «Пропеллер»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8 «Пропеллер» переименован в ГАЗ-8 «Пропеллер». В соответствии с пост. СНК от 27.04.1926 г. по приказам ВСНХ/НКВМЮГПУ № 73сс от 9.07.1927 г. и Авиатреста № 114сс от 4.08.1927 г. ГАЗ-8 «Пропеллер» с 1.10.1927 г. переименован в завод № 28. Приказом Авиатреста № 131 от 27.09.1927 г. действие приказа № 114сс было приостановлено до особого распоряжения.</w:t>
      </w:r>
      <w:r w:rsidRPr="00405303">
        <w:rPr>
          <w:bCs/>
          <w:color w:val="002060"/>
          <w:sz w:val="16"/>
          <w:szCs w:val="16"/>
          <w:vertAlign w:val="superscript"/>
        </w:rPr>
        <w:t>133</w:t>
      </w:r>
      <w:r w:rsidRPr="00405303">
        <w:rPr>
          <w:bCs/>
          <w:color w:val="002060"/>
          <w:sz w:val="16"/>
          <w:szCs w:val="16"/>
        </w:rPr>
        <w:t xml:space="preserve"> С 1930 г. - в ведении ВАО ВСНХ, с 1932 г. - в самолетном тресте ГУАП НКТП. В 02.1937 г. - в ведении 1ГУ НКОП, по пр. № ЗЗсс от 1/3.02.1938 г. передан в ведение созданного ГУ авиационного моторостроения, в 12.1938 г. - в ведении 18ГУ.</w:t>
      </w:r>
    </w:p>
    <w:p w14:paraId="062E5295" w14:textId="77777777" w:rsidR="004B4E35" w:rsidRPr="00405303" w:rsidRDefault="009E6F82" w:rsidP="00C15251">
      <w:pPr>
        <w:jc w:val="both"/>
        <w:rPr>
          <w:bCs/>
          <w:color w:val="002060"/>
          <w:sz w:val="16"/>
          <w:szCs w:val="16"/>
        </w:rPr>
      </w:pPr>
      <w:r w:rsidRPr="00405303">
        <w:rPr>
          <w:bCs/>
          <w:color w:val="002060"/>
          <w:sz w:val="16"/>
          <w:szCs w:val="16"/>
        </w:rPr>
        <w:t>В конце 1919 г. завод сгорел. В 1923 г. завод переведен в здание бывшей мебельной фабрики английской фирмы «Мюр и Мерилиз», построенном в 1902 г. в Столярном пер. (в то время там располагался деревообделочный заводик). Завод занимал 3-й, 4-й и 5-й этажи здания; в 1925-27 г. на 1-м и 2-м этажах размещалась типография № 3 Мосполиграфа. Постановлениями СТО от 10.05.1927 г., 22.07.1927 г. и 4.11.1927 г. принималось решение полностью передать здания заводу № 28, но в 1927 г. это не было выполнено. В состав завода была включена территория завода им. Калинина как цех покрытий.</w:t>
      </w:r>
    </w:p>
    <w:p w14:paraId="3A22C16C" w14:textId="77777777" w:rsidR="004B4E35" w:rsidRPr="00405303" w:rsidRDefault="009E6F82" w:rsidP="00C15251">
      <w:pPr>
        <w:jc w:val="both"/>
        <w:rPr>
          <w:bCs/>
          <w:color w:val="002060"/>
          <w:sz w:val="16"/>
          <w:szCs w:val="16"/>
        </w:rPr>
      </w:pPr>
      <w:r w:rsidRPr="00405303">
        <w:rPr>
          <w:bCs/>
          <w:color w:val="002060"/>
          <w:sz w:val="16"/>
          <w:szCs w:val="16"/>
        </w:rPr>
        <w:t>Производственная программа на 1923-24 г.: в/винты - 2166 шт. (сдано 1866), лыжи - 1133 комплектов (420).</w:t>
      </w:r>
    </w:p>
    <w:p w14:paraId="626314EA" w14:textId="77777777" w:rsidR="004B4E35" w:rsidRPr="00405303" w:rsidRDefault="009E6F82" w:rsidP="00C15251">
      <w:pPr>
        <w:jc w:val="both"/>
        <w:rPr>
          <w:bCs/>
          <w:color w:val="002060"/>
          <w:sz w:val="16"/>
          <w:szCs w:val="16"/>
        </w:rPr>
      </w:pPr>
      <w:r w:rsidRPr="00405303">
        <w:rPr>
          <w:bCs/>
          <w:color w:val="002060"/>
          <w:sz w:val="16"/>
          <w:szCs w:val="16"/>
        </w:rPr>
        <w:t>По пр. Авиатреста № 68 от 15.09.1925 г. заводу передано управление ликвидированным ГАЗ-11.</w:t>
      </w:r>
    </w:p>
    <w:p w14:paraId="0E263631" w14:textId="77777777" w:rsidR="004B4E35" w:rsidRPr="00405303" w:rsidRDefault="009E6F82" w:rsidP="00C15251">
      <w:pPr>
        <w:jc w:val="both"/>
        <w:rPr>
          <w:bCs/>
          <w:color w:val="002060"/>
          <w:sz w:val="16"/>
          <w:szCs w:val="16"/>
        </w:rPr>
      </w:pPr>
      <w:r w:rsidRPr="00405303">
        <w:rPr>
          <w:bCs/>
          <w:color w:val="002060"/>
          <w:sz w:val="16"/>
          <w:szCs w:val="16"/>
        </w:rPr>
        <w:t>С 1928 г. на заводе - производственная база ОКБ Ришара (группы «Р»).</w:t>
      </w:r>
    </w:p>
    <w:p w14:paraId="6AF9BFD4" w14:textId="77777777" w:rsidR="004B4E35" w:rsidRPr="00405303" w:rsidRDefault="009E6F82" w:rsidP="00C15251">
      <w:pPr>
        <w:jc w:val="both"/>
        <w:rPr>
          <w:bCs/>
          <w:color w:val="002060"/>
          <w:sz w:val="16"/>
          <w:szCs w:val="16"/>
        </w:rPr>
      </w:pPr>
      <w:r w:rsidRPr="00405303">
        <w:rPr>
          <w:bCs/>
          <w:color w:val="002060"/>
          <w:sz w:val="16"/>
          <w:szCs w:val="16"/>
        </w:rPr>
        <w:t>В 1931 г. из состава завода выделен дереворазделочный цех как самостоятельный завод № 41.</w:t>
      </w:r>
    </w:p>
    <w:p w14:paraId="0A41138B" w14:textId="77777777" w:rsidR="004B4E35" w:rsidRPr="00405303" w:rsidRDefault="009E6F82" w:rsidP="00C15251">
      <w:pPr>
        <w:jc w:val="both"/>
        <w:rPr>
          <w:bCs/>
          <w:color w:val="002060"/>
          <w:sz w:val="16"/>
          <w:szCs w:val="16"/>
        </w:rPr>
      </w:pPr>
      <w:r w:rsidRPr="00405303">
        <w:rPr>
          <w:bCs/>
          <w:color w:val="002060"/>
          <w:sz w:val="16"/>
          <w:szCs w:val="16"/>
        </w:rPr>
        <w:t>В 1927 г. стал ведущим заводом по производству самолетных деревянных винтов и лыж. В 1933 г. завод планировалось перепрофилировать из подсобных в самолетостроительные, но это не было выполнено. С 1933 г. начато производство металлических винтов ВИШ-24, ВИШ-61 и др. С 1936 г. проводилась реконструкция завода.</w:t>
      </w:r>
    </w:p>
    <w:p w14:paraId="7D9761C8" w14:textId="77777777" w:rsidR="004B4E35" w:rsidRPr="00405303" w:rsidRDefault="009E6F82" w:rsidP="00C15251">
      <w:pPr>
        <w:jc w:val="both"/>
        <w:rPr>
          <w:bCs/>
          <w:color w:val="002060"/>
          <w:sz w:val="16"/>
          <w:szCs w:val="16"/>
        </w:rPr>
      </w:pPr>
      <w:r w:rsidRPr="00405303">
        <w:rPr>
          <w:bCs/>
          <w:color w:val="002060"/>
          <w:sz w:val="16"/>
          <w:szCs w:val="16"/>
        </w:rPr>
        <w:t>Пост. СТО от 15.01.1937 г. и пр. № 0026 от 4.02.1937 г. заводу поручено организовать производство ВИШ-2 (типа Гамильтон) и изготовить в 1937 г. 2000 в/винтов ВИЩ-2 (к 15.04.1937 г. изготовлено 270 винтов) и 4750 винтов ВИШ-3, -4, -5, -6 (первоначальная производственная программа предусматривала выпуск 1600 ВИШ-2, -3, -4). Приказом № 0032 от 8.02.1937 г. заводу предписано к 1.01.1938 г. закончить расширение корпусов лопастей и втулок в/винтов. Приказом № 0084 от 15.04.1937 г. установлена программа на 1937 г. - 2500 ВИШ-2 и ВИШ-3. Приказом № 00116 от 28.05.1937 г. заводу поручено к 1.11.1937 г. освоить производство 3-лопастных в/винтов переменного шага для самолета Вулти. Приказом № 59сс от 16.02.1938 г. установлена программа по выпуску в/винтов на 1938 г.: ВИШ-2 - 2800 шт., ВИШ-2П - 100 шт., ВИШ-4 - 130 шт., для М-25 - 2200 шт., для Р-Зет - 300 шт., для М-22 - 200 шт., для М-103 - 900 шт., для М-100 (фланцевых) - 300 шт., для МБР-2 - 600 шт., для ДБ- 3 - 800 шт.; этим же приказом предписано построить в 1938 г.: корпус термического цеха, корпус втулок 2-й очереди, кузнечный цех, подстанцию. Приказом № 381сс от 29.09.1938 г. в производственную программу завода на 1938 г. включен выпуск винтов ВИШ-22, -24, -27, -31, -2, -5.</w:t>
      </w:r>
    </w:p>
    <w:p w14:paraId="338F2EE4" w14:textId="77777777" w:rsidR="004B4E35" w:rsidRPr="00405303" w:rsidRDefault="009E6F82" w:rsidP="00C15251">
      <w:pPr>
        <w:jc w:val="both"/>
        <w:rPr>
          <w:bCs/>
          <w:color w:val="002060"/>
          <w:sz w:val="16"/>
          <w:szCs w:val="16"/>
        </w:rPr>
      </w:pPr>
      <w:r w:rsidRPr="00405303">
        <w:rPr>
          <w:bCs/>
          <w:color w:val="002060"/>
          <w:sz w:val="16"/>
          <w:szCs w:val="16"/>
        </w:rPr>
        <w:t>До 1938 г. начальником конструкторской бригады на заводе работал К.И. Жданов, ставший затем гл. конструктором ОКБ-150.</w:t>
      </w:r>
    </w:p>
    <w:p w14:paraId="1706B6C6" w14:textId="77777777" w:rsidR="004B4E35" w:rsidRPr="00405303" w:rsidRDefault="009E6F82" w:rsidP="00C15251">
      <w:pPr>
        <w:jc w:val="both"/>
        <w:rPr>
          <w:bCs/>
          <w:color w:val="002060"/>
          <w:sz w:val="16"/>
          <w:szCs w:val="16"/>
        </w:rPr>
      </w:pPr>
      <w:r w:rsidRPr="00405303">
        <w:rPr>
          <w:bCs/>
          <w:color w:val="002060"/>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779E8A84" w14:textId="309DDAB8" w:rsidR="004B4E35" w:rsidRPr="00405303" w:rsidRDefault="009E6F82" w:rsidP="00C15251">
      <w:pPr>
        <w:jc w:val="both"/>
        <w:rPr>
          <w:bCs/>
          <w:color w:val="002060"/>
          <w:sz w:val="16"/>
          <w:szCs w:val="16"/>
        </w:rPr>
      </w:pPr>
      <w:r w:rsidRPr="00405303">
        <w:rPr>
          <w:bCs/>
          <w:color w:val="002060"/>
          <w:sz w:val="16"/>
          <w:szCs w:val="16"/>
        </w:rPr>
        <w:t>По приказу № ЗЗОсс от 6.07.1940 г. и № 565с от 18.10.1940 г. на базе филиала завода № 28 (бывший манеж военного ведомства) в</w:t>
      </w:r>
      <w:r w:rsidR="000F5756">
        <w:rPr>
          <w:bCs/>
          <w:color w:val="002060"/>
          <w:sz w:val="16"/>
          <w:szCs w:val="16"/>
        </w:rPr>
        <w:t xml:space="preserve"> </w:t>
      </w:r>
      <w:r w:rsidRPr="00405303">
        <w:rPr>
          <w:bCs/>
          <w:color w:val="002060"/>
          <w:sz w:val="16"/>
          <w:szCs w:val="16"/>
        </w:rPr>
        <w:t>г. Ленинграде образован завод № 133 НКАП по производству авиационных свечей.</w:t>
      </w:r>
    </w:p>
    <w:p w14:paraId="1834D9D3" w14:textId="146D054E" w:rsidR="004B4E35" w:rsidRPr="00405303" w:rsidRDefault="009E6F82" w:rsidP="00C15251">
      <w:pPr>
        <w:jc w:val="both"/>
        <w:rPr>
          <w:bCs/>
          <w:color w:val="002060"/>
          <w:sz w:val="16"/>
          <w:szCs w:val="16"/>
        </w:rPr>
      </w:pPr>
      <w:r w:rsidRPr="00405303">
        <w:rPr>
          <w:bCs/>
          <w:color w:val="002060"/>
          <w:sz w:val="16"/>
          <w:szCs w:val="16"/>
        </w:rPr>
        <w:t>Для развития работ по авиавинтам при заводе № 28 по приказу НКАП № 306с от 8.04.1941 г. образованы на базе соответствующих конструкторских отделов три ОКБ и опытный цех: ОКБ-1 гл. конструктора</w:t>
      </w:r>
      <w:r w:rsidR="000F5756">
        <w:rPr>
          <w:bCs/>
          <w:color w:val="002060"/>
          <w:sz w:val="16"/>
          <w:szCs w:val="16"/>
        </w:rPr>
        <w:t xml:space="preserve"> </w:t>
      </w:r>
      <w:r w:rsidRPr="00405303">
        <w:rPr>
          <w:bCs/>
          <w:color w:val="002060"/>
          <w:sz w:val="16"/>
          <w:szCs w:val="16"/>
        </w:rPr>
        <w:t xml:space="preserve">Г.И. Кузмина; ОКБ-2 гл. конструкторов </w:t>
      </w:r>
      <w:r w:rsidRPr="00405303">
        <w:rPr>
          <w:bCs/>
          <w:color w:val="002060"/>
          <w:sz w:val="16"/>
          <w:szCs w:val="16"/>
          <w:lang w:val="en-US"/>
        </w:rPr>
        <w:t>C</w:t>
      </w:r>
      <w:r w:rsidRPr="00405303">
        <w:rPr>
          <w:bCs/>
          <w:color w:val="002060"/>
          <w:sz w:val="16"/>
          <w:szCs w:val="16"/>
        </w:rPr>
        <w:t>.</w:t>
      </w:r>
      <w:r w:rsidRPr="00405303">
        <w:rPr>
          <w:bCs/>
          <w:color w:val="002060"/>
          <w:sz w:val="16"/>
          <w:szCs w:val="16"/>
          <w:lang w:val="en-US"/>
        </w:rPr>
        <w:t>LLI</w:t>
      </w:r>
      <w:r w:rsidRPr="00405303">
        <w:rPr>
          <w:bCs/>
          <w:color w:val="002060"/>
          <w:sz w:val="16"/>
          <w:szCs w:val="16"/>
        </w:rPr>
        <w:t>. Бас-Дубова и</w:t>
      </w:r>
      <w:r w:rsidR="000F5756">
        <w:rPr>
          <w:bCs/>
          <w:color w:val="002060"/>
          <w:sz w:val="16"/>
          <w:szCs w:val="16"/>
        </w:rPr>
        <w:t xml:space="preserve"> </w:t>
      </w:r>
      <w:r w:rsidRPr="00405303">
        <w:rPr>
          <w:bCs/>
          <w:color w:val="002060"/>
          <w:sz w:val="16"/>
          <w:szCs w:val="16"/>
        </w:rPr>
        <w:t>Г.М. Заславского; ОКБ-3 гл. конструктора Н. Г. Никифорова.</w:t>
      </w:r>
    </w:p>
    <w:p w14:paraId="3E952E79" w14:textId="77777777" w:rsidR="004B4E35" w:rsidRPr="00405303" w:rsidRDefault="009E6F82" w:rsidP="00C15251">
      <w:pPr>
        <w:jc w:val="both"/>
        <w:rPr>
          <w:bCs/>
          <w:color w:val="002060"/>
          <w:sz w:val="16"/>
          <w:szCs w:val="16"/>
        </w:rPr>
      </w:pPr>
      <w:r w:rsidRPr="00405303">
        <w:rPr>
          <w:bCs/>
          <w:color w:val="002060"/>
          <w:sz w:val="16"/>
          <w:szCs w:val="16"/>
        </w:rPr>
        <w:t>В 04.1941 г. при заводе образовано Серийное КБ выделением из состава Серийного Конструкторского Отдела. Начальник- Туманов.</w:t>
      </w:r>
    </w:p>
    <w:p w14:paraId="7C24A1FC" w14:textId="64FA4F17" w:rsidR="004B4E35" w:rsidRPr="00405303" w:rsidRDefault="009E6F82" w:rsidP="00C15251">
      <w:pPr>
        <w:jc w:val="both"/>
        <w:rPr>
          <w:bCs/>
          <w:color w:val="002060"/>
          <w:sz w:val="16"/>
          <w:szCs w:val="16"/>
        </w:rPr>
      </w:pPr>
      <w:r w:rsidRPr="00405303">
        <w:rPr>
          <w:bCs/>
          <w:color w:val="002060"/>
          <w:sz w:val="16"/>
          <w:szCs w:val="16"/>
        </w:rPr>
        <w:t>В конце 1941 г. завод № 28 3(</w:t>
      </w:r>
      <w:proofErr w:type="gramStart"/>
      <w:r w:rsidRPr="00405303">
        <w:rPr>
          <w:bCs/>
          <w:color w:val="002060"/>
          <w:sz w:val="16"/>
          <w:szCs w:val="16"/>
        </w:rPr>
        <w:t>6)ГУ</w:t>
      </w:r>
      <w:proofErr w:type="gramEnd"/>
      <w:r w:rsidRPr="00405303">
        <w:rPr>
          <w:bCs/>
          <w:color w:val="002060"/>
          <w:sz w:val="16"/>
          <w:szCs w:val="16"/>
        </w:rPr>
        <w:t xml:space="preserve"> НКАП эвакуировался в</w:t>
      </w:r>
      <w:r w:rsidR="000F5756">
        <w:rPr>
          <w:bCs/>
          <w:color w:val="002060"/>
          <w:sz w:val="16"/>
          <w:szCs w:val="16"/>
        </w:rPr>
        <w:t xml:space="preserve"> </w:t>
      </w:r>
      <w:r w:rsidRPr="00405303">
        <w:rPr>
          <w:bCs/>
          <w:color w:val="002060"/>
          <w:sz w:val="16"/>
          <w:szCs w:val="16"/>
        </w:rPr>
        <w:t>г. Свердловск на площадку планерного завода № 493 НКАП 11ГУ (сначала, в соответствии с приказом № 729сс от 22.07.1941 г. планировалось эвакуировать завод в</w:t>
      </w:r>
      <w:r w:rsidR="000F5756">
        <w:rPr>
          <w:bCs/>
          <w:color w:val="002060"/>
          <w:sz w:val="16"/>
          <w:szCs w:val="16"/>
        </w:rPr>
        <w:t xml:space="preserve"> </w:t>
      </w:r>
      <w:r w:rsidRPr="00405303">
        <w:rPr>
          <w:bCs/>
          <w:color w:val="002060"/>
          <w:sz w:val="16"/>
          <w:szCs w:val="16"/>
        </w:rPr>
        <w:t>г. Павлово Горьковской обл.). Завод № 493 в 1941 г. был объединен с заводами № 457 и № 388 НКАП с образованием нового завода № 464 НКАП. Завод № 28 продолжал действовать самостоятельно. По приказу № 218с от 19.03.1942 г. завод передан в ИГУ НКАП (и после войны).</w:t>
      </w:r>
    </w:p>
    <w:p w14:paraId="24672C12" w14:textId="77777777" w:rsidR="004B4E35" w:rsidRPr="00405303" w:rsidRDefault="009E6F82" w:rsidP="00C15251">
      <w:pPr>
        <w:jc w:val="both"/>
        <w:rPr>
          <w:bCs/>
          <w:color w:val="002060"/>
          <w:sz w:val="16"/>
          <w:szCs w:val="16"/>
        </w:rPr>
      </w:pPr>
      <w:r w:rsidRPr="00405303">
        <w:rPr>
          <w:bCs/>
          <w:color w:val="002060"/>
          <w:sz w:val="16"/>
          <w:szCs w:val="16"/>
        </w:rPr>
        <w:t>В годы войны продолжено производство авиационных винтов ВИШ-61.</w:t>
      </w:r>
    </w:p>
    <w:p w14:paraId="25127B31" w14:textId="77777777" w:rsidR="004B4E35" w:rsidRPr="00405303" w:rsidRDefault="009E6F82" w:rsidP="00C15251">
      <w:pPr>
        <w:jc w:val="both"/>
        <w:rPr>
          <w:bCs/>
          <w:color w:val="002060"/>
          <w:sz w:val="16"/>
          <w:szCs w:val="16"/>
        </w:rPr>
      </w:pPr>
      <w:r w:rsidRPr="00405303">
        <w:rPr>
          <w:bCs/>
          <w:color w:val="002060"/>
          <w:sz w:val="16"/>
          <w:szCs w:val="16"/>
        </w:rPr>
        <w:t>На площадке эвакуированного завода в Москве с 10.1941 г. образованы Ремонтные мастерские при Ремотделе НКАП. В соответствии с пост. ГКО № 1052 от 23.12.1941 г. на этой площадке образован новый винтовой завод № 27 НКАП.</w:t>
      </w:r>
    </w:p>
    <w:p w14:paraId="510CD9AC" w14:textId="77777777" w:rsidR="004B4E35" w:rsidRPr="00405303" w:rsidRDefault="009E6F82" w:rsidP="00C15251">
      <w:pPr>
        <w:jc w:val="both"/>
        <w:rPr>
          <w:bCs/>
          <w:color w:val="002060"/>
          <w:sz w:val="16"/>
          <w:szCs w:val="16"/>
        </w:rPr>
      </w:pPr>
      <w:r w:rsidRPr="00405303">
        <w:rPr>
          <w:bCs/>
          <w:color w:val="002060"/>
          <w:sz w:val="16"/>
          <w:szCs w:val="16"/>
        </w:rPr>
        <w:lastRenderedPageBreak/>
        <w:t>По приказу № 383с от 18.06.1946 г. и № 389с/16с от 20.06.1946 г. завод № 28 МАП передан в систему МСиДМ. Производственная программа винтов АВ5-167 передана на завод № 27 МАП, винтов В-3 для Ту-4 - на завод № 467 МАП. Далее переименован в завод «Пневмостроймашина».</w:t>
      </w:r>
    </w:p>
    <w:p w14:paraId="75077146" w14:textId="77777777" w:rsidR="004B4E35" w:rsidRPr="00405303" w:rsidRDefault="009E6F82" w:rsidP="00C15251">
      <w:pPr>
        <w:jc w:val="both"/>
        <w:rPr>
          <w:bCs/>
          <w:color w:val="002060"/>
          <w:sz w:val="16"/>
          <w:szCs w:val="16"/>
        </w:rPr>
      </w:pPr>
      <w:r w:rsidRPr="00405303">
        <w:rPr>
          <w:bCs/>
          <w:color w:val="002060"/>
          <w:sz w:val="16"/>
          <w:szCs w:val="16"/>
        </w:rPr>
        <w:t>С 1946 г. освоено производство пневматических машин, с 1955 г.- гидромашин (насосов НПА-64). Затем начато производство заправщиков и технологического оборудования для РКТ. С 1970 г. освоено производство гидравлики по лицензии фирмы "</w:t>
      </w:r>
      <w:r w:rsidRPr="00405303">
        <w:rPr>
          <w:bCs/>
          <w:color w:val="002060"/>
          <w:sz w:val="16"/>
          <w:szCs w:val="16"/>
          <w:lang w:val="en-US"/>
        </w:rPr>
        <w:t>BoschRexroth</w:t>
      </w:r>
      <w:r w:rsidRPr="00405303">
        <w:rPr>
          <w:bCs/>
          <w:color w:val="002060"/>
          <w:sz w:val="16"/>
          <w:szCs w:val="16"/>
        </w:rPr>
        <w:t>". До 1986 г. завод выпускал гидроагрегаты для авиации и РКТ.</w:t>
      </w:r>
    </w:p>
    <w:p w14:paraId="399189CF" w14:textId="77777777" w:rsidR="004B4E35" w:rsidRPr="00405303" w:rsidRDefault="009E6F82" w:rsidP="00C15251">
      <w:pPr>
        <w:jc w:val="both"/>
        <w:rPr>
          <w:bCs/>
          <w:color w:val="002060"/>
          <w:sz w:val="16"/>
          <w:szCs w:val="16"/>
        </w:rPr>
      </w:pPr>
      <w:r w:rsidRPr="00405303">
        <w:rPr>
          <w:bCs/>
          <w:color w:val="002060"/>
          <w:sz w:val="16"/>
          <w:szCs w:val="16"/>
        </w:rPr>
        <w:t>В 2000 г. ОАО «Пневмостроймашина» вошло в состав Уральской финансово-промышленной группы «Финпромко». В 2007 г. туда входил также Косулинский абразивный завод.</w:t>
      </w:r>
    </w:p>
    <w:p w14:paraId="1F609BF3" w14:textId="77777777" w:rsidR="004B4E35" w:rsidRPr="00405303" w:rsidRDefault="009E6F82" w:rsidP="00C15251">
      <w:pPr>
        <w:jc w:val="both"/>
        <w:rPr>
          <w:bCs/>
          <w:color w:val="002060"/>
          <w:sz w:val="16"/>
          <w:szCs w:val="16"/>
        </w:rPr>
      </w:pPr>
      <w:r w:rsidRPr="00405303">
        <w:rPr>
          <w:bCs/>
          <w:color w:val="002060"/>
          <w:sz w:val="16"/>
          <w:szCs w:val="16"/>
        </w:rPr>
        <w:t>Производство (2007 г.): гидравлическое оборудование (гидронасосы, гидромоторы, насосные станции, клапаны, дроссели, пневмогидроаккумуляторы) для строительной и дорожной техники, судостроения; пневмоинструмент.</w:t>
      </w:r>
    </w:p>
    <w:p w14:paraId="584B7345" w14:textId="77777777" w:rsidR="004B4E35" w:rsidRPr="00405303" w:rsidRDefault="009E6F82" w:rsidP="00C15251">
      <w:pPr>
        <w:jc w:val="both"/>
        <w:rPr>
          <w:bCs/>
          <w:color w:val="002060"/>
          <w:sz w:val="16"/>
          <w:szCs w:val="16"/>
        </w:rPr>
      </w:pPr>
      <w:r w:rsidRPr="00405303">
        <w:rPr>
          <w:bCs/>
          <w:color w:val="002060"/>
          <w:sz w:val="16"/>
          <w:szCs w:val="16"/>
        </w:rPr>
        <w:t>Количество оборудования (1925 г.)- 48 ед., (1926 г.)- 40 ед.</w:t>
      </w:r>
    </w:p>
    <w:p w14:paraId="61920E88" w14:textId="77777777" w:rsidR="004B4E35" w:rsidRPr="00405303" w:rsidRDefault="009E6F82" w:rsidP="00C15251">
      <w:pPr>
        <w:jc w:val="both"/>
        <w:rPr>
          <w:bCs/>
          <w:color w:val="002060"/>
          <w:sz w:val="16"/>
          <w:szCs w:val="16"/>
        </w:rPr>
      </w:pPr>
      <w:r w:rsidRPr="00405303">
        <w:rPr>
          <w:bCs/>
          <w:color w:val="002060"/>
          <w:sz w:val="16"/>
          <w:szCs w:val="16"/>
        </w:rPr>
        <w:t>Площадь: территории (1925 г.)- 16 тыс. м</w:t>
      </w:r>
      <w:r w:rsidRPr="00405303">
        <w:rPr>
          <w:bCs/>
          <w:color w:val="002060"/>
          <w:sz w:val="16"/>
          <w:szCs w:val="16"/>
          <w:vertAlign w:val="superscript"/>
        </w:rPr>
        <w:t>2</w:t>
      </w:r>
      <w:r w:rsidRPr="00405303">
        <w:rPr>
          <w:bCs/>
          <w:color w:val="002060"/>
          <w:sz w:val="16"/>
          <w:szCs w:val="16"/>
        </w:rPr>
        <w:t>; производственная (1925 г.)- 3,85 тыс. м</w:t>
      </w:r>
      <w:r w:rsidRPr="00405303">
        <w:rPr>
          <w:bCs/>
          <w:color w:val="002060"/>
          <w:sz w:val="16"/>
          <w:szCs w:val="16"/>
          <w:vertAlign w:val="superscript"/>
        </w:rPr>
        <w:t>2</w:t>
      </w:r>
      <w:r w:rsidRPr="00405303">
        <w:rPr>
          <w:bCs/>
          <w:color w:val="002060"/>
          <w:sz w:val="16"/>
          <w:szCs w:val="16"/>
        </w:rPr>
        <w:t>; вспомогательная (1925 г.)- 3,75 тыс. м</w:t>
      </w:r>
      <w:r w:rsidRPr="00405303">
        <w:rPr>
          <w:bCs/>
          <w:color w:val="002060"/>
          <w:sz w:val="16"/>
          <w:szCs w:val="16"/>
          <w:vertAlign w:val="superscript"/>
        </w:rPr>
        <w:t>2</w:t>
      </w:r>
      <w:r w:rsidRPr="00405303">
        <w:rPr>
          <w:bCs/>
          <w:color w:val="002060"/>
          <w:sz w:val="16"/>
          <w:szCs w:val="16"/>
        </w:rPr>
        <w:t>.</w:t>
      </w:r>
    </w:p>
    <w:p w14:paraId="3B4469E6" w14:textId="77777777" w:rsidR="004B4E35" w:rsidRPr="00405303" w:rsidRDefault="009E6F82" w:rsidP="00C15251">
      <w:pPr>
        <w:jc w:val="both"/>
        <w:rPr>
          <w:bCs/>
          <w:color w:val="002060"/>
          <w:sz w:val="16"/>
          <w:szCs w:val="16"/>
        </w:rPr>
      </w:pPr>
      <w:r w:rsidRPr="00405303">
        <w:rPr>
          <w:bCs/>
          <w:color w:val="002060"/>
          <w:sz w:val="16"/>
          <w:szCs w:val="16"/>
        </w:rPr>
        <w:t>Численность персонала (12.1926 г.)- 238 чел., (2007 г.)- 2000 чел.</w:t>
      </w:r>
    </w:p>
    <w:p w14:paraId="4A9F6503" w14:textId="77777777" w:rsidR="004B4E35" w:rsidRPr="00405303" w:rsidRDefault="009E6F82" w:rsidP="00C15251">
      <w:pPr>
        <w:jc w:val="both"/>
        <w:rPr>
          <w:bCs/>
          <w:color w:val="002060"/>
          <w:sz w:val="16"/>
          <w:szCs w:val="16"/>
        </w:rPr>
      </w:pPr>
      <w:r w:rsidRPr="00405303">
        <w:rPr>
          <w:bCs/>
          <w:color w:val="002060"/>
          <w:sz w:val="16"/>
          <w:szCs w:val="16"/>
        </w:rPr>
        <w:t>Директор (-03.1927-07.1928 г.-)- Ф. Мурашев; и.о. (08.1928 г.)- В.И. Малынич; (1930 г.)- Васильев, (-02- 2.04.1937 г.)- Ф.И. Мельников, (2.04.1937-02.1940 г.)- П.С. Поленов, (02.1940 г.-)- Н.П. Савельев, (-08.1942- 09.1943 г.-)- Еремеев, (-07.1945-03.1946 г.-)- А. Г. Плоскинный. Гендиректор (2007 г.)- А.И. Павлов.</w:t>
      </w:r>
    </w:p>
    <w:p w14:paraId="5FF2F05D" w14:textId="77777777" w:rsidR="004B4E35" w:rsidRPr="00405303" w:rsidRDefault="009E6F82" w:rsidP="00C15251">
      <w:pPr>
        <w:jc w:val="both"/>
        <w:rPr>
          <w:bCs/>
          <w:color w:val="002060"/>
          <w:sz w:val="16"/>
          <w:szCs w:val="16"/>
        </w:rPr>
      </w:pPr>
      <w:r w:rsidRPr="00405303">
        <w:rPr>
          <w:bCs/>
          <w:color w:val="002060"/>
          <w:sz w:val="16"/>
          <w:szCs w:val="16"/>
        </w:rPr>
        <w:t>1-й зам. гендиректора (2007 г.)- Д.В. Якшин. Зам. директора (06.1937 г.)- Н.С. Алешин. Помощник директора: по техчасти (-07.1927-06.1928 г.-)- В.И. Малынич; по найму и увольнению (-19.11.1937 г.)- И.М. Гайлис, (19.11.1937 г.-)-Ф.В.Левин.</w:t>
      </w:r>
    </w:p>
    <w:p w14:paraId="05FC1C8B" w14:textId="77777777" w:rsidR="004B4E35" w:rsidRPr="00405303" w:rsidRDefault="009E6F82" w:rsidP="00C15251">
      <w:pPr>
        <w:jc w:val="both"/>
        <w:rPr>
          <w:bCs/>
          <w:color w:val="002060"/>
          <w:sz w:val="16"/>
          <w:szCs w:val="16"/>
        </w:rPr>
      </w:pPr>
      <w:r w:rsidRPr="00405303">
        <w:rPr>
          <w:bCs/>
          <w:color w:val="002060"/>
          <w:sz w:val="16"/>
          <w:szCs w:val="16"/>
        </w:rPr>
        <w:t>Директор: по маркетингу и работе с потребителями (2007 г.)- А.А. Хачатуров; по международной торговле (2007 г.)- И. Сатыбалов.</w:t>
      </w:r>
    </w:p>
    <w:p w14:paraId="33DFC488" w14:textId="77777777" w:rsidR="004B4E35" w:rsidRPr="00405303" w:rsidRDefault="009E6F82" w:rsidP="00C15251">
      <w:pPr>
        <w:jc w:val="both"/>
        <w:rPr>
          <w:bCs/>
          <w:color w:val="002060"/>
          <w:sz w:val="16"/>
          <w:szCs w:val="16"/>
        </w:rPr>
      </w:pPr>
      <w:r w:rsidRPr="00405303">
        <w:rPr>
          <w:bCs/>
          <w:color w:val="002060"/>
          <w:sz w:val="16"/>
          <w:szCs w:val="16"/>
        </w:rPr>
        <w:t>Гл. инженер (06.1937 г.)- Н.С. Алешин, (7.09.1938 г.-)- Н.П, Савельев, (1941 г.)- Давыдов.</w:t>
      </w:r>
    </w:p>
    <w:p w14:paraId="2A836C8D" w14:textId="77777777" w:rsidR="004B4E35" w:rsidRPr="00405303" w:rsidRDefault="009E6F82" w:rsidP="00C15251">
      <w:pPr>
        <w:jc w:val="both"/>
        <w:rPr>
          <w:bCs/>
          <w:color w:val="002060"/>
          <w:sz w:val="16"/>
          <w:szCs w:val="16"/>
        </w:rPr>
      </w:pPr>
      <w:r w:rsidRPr="00405303">
        <w:rPr>
          <w:bCs/>
          <w:color w:val="002060"/>
          <w:sz w:val="16"/>
          <w:szCs w:val="16"/>
        </w:rPr>
        <w:t>Гл. конструктор (-04-06.1938 г.-)- Кузьмин, (10.1945-03.1946 г.-)- Н.Н. Петров.</w:t>
      </w:r>
    </w:p>
    <w:p w14:paraId="0EE81A38" w14:textId="77777777" w:rsidR="004B4E35" w:rsidRPr="00405303" w:rsidRDefault="009E6F82" w:rsidP="00C15251">
      <w:pPr>
        <w:jc w:val="both"/>
        <w:rPr>
          <w:bCs/>
          <w:color w:val="002060"/>
          <w:sz w:val="16"/>
          <w:szCs w:val="16"/>
        </w:rPr>
      </w:pPr>
      <w:r w:rsidRPr="00405303">
        <w:rPr>
          <w:bCs/>
          <w:color w:val="002060"/>
          <w:sz w:val="16"/>
          <w:szCs w:val="16"/>
        </w:rPr>
        <w:t>Заведующий канцелярией (-1928-ЗО г.-)- Нагибин.</w:t>
      </w:r>
    </w:p>
    <w:p w14:paraId="79428446" w14:textId="77777777" w:rsidR="004B4E35" w:rsidRPr="00405303" w:rsidRDefault="009E6F82" w:rsidP="00C15251">
      <w:pPr>
        <w:jc w:val="both"/>
        <w:rPr>
          <w:bCs/>
          <w:color w:val="002060"/>
          <w:sz w:val="16"/>
          <w:szCs w:val="16"/>
        </w:rPr>
      </w:pPr>
      <w:r w:rsidRPr="00405303">
        <w:rPr>
          <w:bCs/>
          <w:color w:val="002060"/>
          <w:sz w:val="16"/>
          <w:szCs w:val="16"/>
        </w:rPr>
        <w:t>Производство: воздушные винты: ВИШ-24 (1933-), -61 (1933-41-), ВИШ-2 (1937-), -3 (1937); аксиально- поршневой гидронасос НПА-64 (1955-); гидронасосы и гидромоторы серии 303, 310, 313, 403, 410, 416 (2007); гайковерты ИП-3115, -3128, пневмоударник ПП-115, молоток рубильный ИП-4126, лом ИП-4608, трамбовка ИП- 4503 (2007) (11982).</w:t>
      </w:r>
    </w:p>
    <w:p w14:paraId="07D95889" w14:textId="77777777" w:rsidR="004B4E35" w:rsidRPr="00405303" w:rsidRDefault="004B4E35" w:rsidP="00C15251">
      <w:pPr>
        <w:jc w:val="both"/>
        <w:rPr>
          <w:bCs/>
          <w:color w:val="002060"/>
          <w:sz w:val="16"/>
          <w:szCs w:val="16"/>
        </w:rPr>
      </w:pPr>
    </w:p>
    <w:p w14:paraId="382630D9" w14:textId="77777777" w:rsidR="004B4E35" w:rsidRPr="00405303" w:rsidRDefault="009E6F82" w:rsidP="00C15251">
      <w:pPr>
        <w:jc w:val="both"/>
        <w:rPr>
          <w:rStyle w:val="11"/>
          <w:b w:val="0"/>
          <w:bCs/>
          <w:i/>
          <w:color w:val="002060"/>
          <w:sz w:val="16"/>
          <w:szCs w:val="16"/>
        </w:rPr>
      </w:pPr>
      <w:r w:rsidRPr="00405303">
        <w:rPr>
          <w:rStyle w:val="11"/>
          <w:b w:val="0"/>
          <w:bCs/>
          <w:i/>
          <w:color w:val="002060"/>
          <w:sz w:val="16"/>
          <w:szCs w:val="16"/>
        </w:rPr>
        <w:t>Аэростатостроение:</w:t>
      </w:r>
    </w:p>
    <w:p w14:paraId="2C2CCDB3" w14:textId="77777777" w:rsidR="004B4E35" w:rsidRPr="00405303" w:rsidRDefault="004B4E35" w:rsidP="00C15251">
      <w:pPr>
        <w:jc w:val="both"/>
        <w:rPr>
          <w:rStyle w:val="11"/>
          <w:b w:val="0"/>
          <w:bCs/>
          <w:i/>
          <w:color w:val="002060"/>
          <w:sz w:val="16"/>
          <w:szCs w:val="16"/>
        </w:rPr>
      </w:pPr>
    </w:p>
    <w:p w14:paraId="4DDC0FD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 (28) октября 1915 г., когда морской министр согласился с выделением средств на приобретение четырех малых дирижаблей на заводе Виккерса в Англии. Уже через две недели начальник авиации Черноморского флота получил указание от флаг-капитана по оперативной части, со ссылкой на приказ командующего, о командировании в Англию лейтенанта Качинского, мичмана Сахарова, четырех механиков и рулевого. Одновременно начались подготовительные работы для приема дирижаблей и оформлялись соответствующие обращения в военное ведомство о выделении двух ангаров, газового комплекса и т.п. Остановились на том, что их следует разместить вблизи гидро</w:t>
      </w:r>
      <w:r w:rsidRPr="00405303">
        <w:rPr>
          <w:bCs/>
          <w:color w:val="002060"/>
          <w:sz w:val="16"/>
          <w:szCs w:val="16"/>
        </w:rPr>
        <w:softHyphen/>
        <w:t>авиационной станции Круглая бухта (Омега) (1085).</w:t>
      </w:r>
    </w:p>
    <w:p w14:paraId="0E586D58" w14:textId="77777777" w:rsidR="004B4E35" w:rsidRPr="00405303" w:rsidRDefault="004B4E35" w:rsidP="00C15251">
      <w:pPr>
        <w:shd w:val="clear" w:color="auto" w:fill="FFFFFF"/>
        <w:jc w:val="both"/>
        <w:rPr>
          <w:bCs/>
          <w:color w:val="002060"/>
          <w:sz w:val="16"/>
          <w:szCs w:val="16"/>
        </w:rPr>
      </w:pPr>
    </w:p>
    <w:p w14:paraId="71679252" w14:textId="75559ACF"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15 </w:t>
      </w:r>
      <w:r w:rsidR="00503924" w:rsidRPr="00405303">
        <w:rPr>
          <w:bCs/>
          <w:color w:val="002060"/>
          <w:sz w:val="16"/>
          <w:szCs w:val="16"/>
        </w:rPr>
        <w:t xml:space="preserve">(28) </w:t>
      </w:r>
      <w:r w:rsidRPr="00405303">
        <w:rPr>
          <w:bCs/>
          <w:color w:val="002060"/>
          <w:sz w:val="16"/>
          <w:szCs w:val="16"/>
        </w:rPr>
        <w:t>октября 1915 г. морской ми</w:t>
      </w:r>
      <w:r w:rsidRPr="00405303">
        <w:rPr>
          <w:bCs/>
          <w:color w:val="002060"/>
          <w:sz w:val="16"/>
          <w:szCs w:val="16"/>
        </w:rPr>
        <w:softHyphen/>
        <w:t>нистр согласился выделить средства на приобретение четырех малых дирижаблей на заводе Виккерса в Англии. Через две недели началь</w:t>
      </w:r>
      <w:r w:rsidRPr="00405303">
        <w:rPr>
          <w:bCs/>
          <w:color w:val="002060"/>
          <w:sz w:val="16"/>
          <w:szCs w:val="16"/>
        </w:rPr>
        <w:softHyphen/>
        <w:t>ник авиации Черноморского фло</w:t>
      </w:r>
      <w:r w:rsidRPr="00405303">
        <w:rPr>
          <w:bCs/>
          <w:color w:val="002060"/>
          <w:sz w:val="16"/>
          <w:szCs w:val="16"/>
        </w:rPr>
        <w:softHyphen/>
        <w:t>та получил указание от флаг-капи</w:t>
      </w:r>
      <w:r w:rsidRPr="00405303">
        <w:rPr>
          <w:bCs/>
          <w:color w:val="002060"/>
          <w:sz w:val="16"/>
          <w:szCs w:val="16"/>
        </w:rPr>
        <w:softHyphen/>
        <w:t>тана по оперативной части, со ссылкой на приказ командующего, о командировании в Англию лейте</w:t>
      </w:r>
      <w:r w:rsidRPr="00405303">
        <w:rPr>
          <w:bCs/>
          <w:color w:val="002060"/>
          <w:sz w:val="16"/>
          <w:szCs w:val="16"/>
        </w:rPr>
        <w:softHyphen/>
        <w:t>нанта Качинского, мичмана Саха</w:t>
      </w:r>
      <w:r w:rsidRPr="00405303">
        <w:rPr>
          <w:bCs/>
          <w:color w:val="002060"/>
          <w:sz w:val="16"/>
          <w:szCs w:val="16"/>
        </w:rPr>
        <w:softHyphen/>
        <w:t>рова, четырех механиков и рулево</w:t>
      </w:r>
      <w:r w:rsidRPr="00405303">
        <w:rPr>
          <w:bCs/>
          <w:color w:val="002060"/>
          <w:sz w:val="16"/>
          <w:szCs w:val="16"/>
        </w:rPr>
        <w:softHyphen/>
        <w:t>го. Одновременно начались подго</w:t>
      </w:r>
      <w:r w:rsidRPr="00405303">
        <w:rPr>
          <w:bCs/>
          <w:color w:val="002060"/>
          <w:sz w:val="16"/>
          <w:szCs w:val="16"/>
        </w:rPr>
        <w:softHyphen/>
        <w:t>товительные работы для приема дирижаблей и оформлялись соот</w:t>
      </w:r>
      <w:r w:rsidRPr="00405303">
        <w:rPr>
          <w:bCs/>
          <w:color w:val="002060"/>
          <w:sz w:val="16"/>
          <w:szCs w:val="16"/>
        </w:rPr>
        <w:softHyphen/>
        <w:t>ветствующие обращения в военное ведомство о выделении двух анга</w:t>
      </w:r>
      <w:r w:rsidRPr="00405303">
        <w:rPr>
          <w:bCs/>
          <w:color w:val="002060"/>
          <w:sz w:val="16"/>
          <w:szCs w:val="16"/>
        </w:rPr>
        <w:softHyphen/>
        <w:t>ров, газового комплекса и т.п. Ос</w:t>
      </w:r>
      <w:r w:rsidRPr="00405303">
        <w:rPr>
          <w:bCs/>
          <w:color w:val="002060"/>
          <w:sz w:val="16"/>
          <w:szCs w:val="16"/>
        </w:rPr>
        <w:softHyphen/>
        <w:t>тановились на том, что их следует разместить вблизи гидроавиацион</w:t>
      </w:r>
      <w:r w:rsidRPr="00405303">
        <w:rPr>
          <w:bCs/>
          <w:color w:val="002060"/>
          <w:sz w:val="16"/>
          <w:szCs w:val="16"/>
        </w:rPr>
        <w:softHyphen/>
        <w:t>ной станции бухта Круглая (Омега) в Крыму. В конце ноября 1915 г. работы по подготовке к приему дирижаблей шли полным ходом, а для ока</w:t>
      </w:r>
      <w:r w:rsidRPr="00405303">
        <w:rPr>
          <w:bCs/>
          <w:color w:val="002060"/>
          <w:sz w:val="16"/>
          <w:szCs w:val="16"/>
        </w:rPr>
        <w:softHyphen/>
        <w:t>зания помощи в организации мор</w:t>
      </w:r>
      <w:r w:rsidRPr="00405303">
        <w:rPr>
          <w:bCs/>
          <w:color w:val="002060"/>
          <w:sz w:val="16"/>
          <w:szCs w:val="16"/>
        </w:rPr>
        <w:softHyphen/>
        <w:t>ского воздухоплавания командиро</w:t>
      </w:r>
      <w:r w:rsidRPr="00405303">
        <w:rPr>
          <w:bCs/>
          <w:color w:val="002060"/>
          <w:sz w:val="16"/>
          <w:szCs w:val="16"/>
        </w:rPr>
        <w:softHyphen/>
        <w:t>вали поручика Липпинга (по отзыву начальника авиации Черноморско</w:t>
      </w:r>
      <w:r w:rsidRPr="00405303">
        <w:rPr>
          <w:bCs/>
          <w:color w:val="002060"/>
          <w:sz w:val="16"/>
          <w:szCs w:val="16"/>
        </w:rPr>
        <w:softHyphen/>
        <w:t>го флота старшего лейтенанта И.И.Стаховского, «офицера весьма способного, командовавшего дири</w:t>
      </w:r>
      <w:r w:rsidRPr="00405303">
        <w:rPr>
          <w:bCs/>
          <w:color w:val="002060"/>
          <w:sz w:val="16"/>
          <w:szCs w:val="16"/>
        </w:rPr>
        <w:softHyphen/>
        <w:t>жаблями и в совершенстве знако</w:t>
      </w:r>
      <w:r w:rsidRPr="00405303">
        <w:rPr>
          <w:bCs/>
          <w:color w:val="002060"/>
          <w:sz w:val="16"/>
          <w:szCs w:val="16"/>
        </w:rPr>
        <w:softHyphen/>
        <w:t>мого со всем оборудованием та</w:t>
      </w:r>
      <w:r w:rsidRPr="00405303">
        <w:rPr>
          <w:bCs/>
          <w:color w:val="002060"/>
          <w:sz w:val="16"/>
          <w:szCs w:val="16"/>
        </w:rPr>
        <w:softHyphen/>
        <w:t>ковых»). Многое было сделано, но, по-видимому, далеко не все, так как после прибытия закупленных в Анг</w:t>
      </w:r>
      <w:r w:rsidRPr="00405303">
        <w:rPr>
          <w:bCs/>
          <w:color w:val="002060"/>
          <w:sz w:val="16"/>
          <w:szCs w:val="16"/>
        </w:rPr>
        <w:softHyphen/>
        <w:t>лии дирижаблей, возникли непред</w:t>
      </w:r>
      <w:r w:rsidRPr="00405303">
        <w:rPr>
          <w:bCs/>
          <w:color w:val="002060"/>
          <w:sz w:val="16"/>
          <w:szCs w:val="16"/>
        </w:rPr>
        <w:softHyphen/>
        <w:t>виденные затруднения: не оказа</w:t>
      </w:r>
      <w:r w:rsidRPr="00405303">
        <w:rPr>
          <w:bCs/>
          <w:color w:val="002060"/>
          <w:sz w:val="16"/>
          <w:szCs w:val="16"/>
        </w:rPr>
        <w:softHyphen/>
        <w:t>лось монтажных устройств, инструк</w:t>
      </w:r>
      <w:r w:rsidRPr="00405303">
        <w:rPr>
          <w:bCs/>
          <w:color w:val="002060"/>
          <w:sz w:val="16"/>
          <w:szCs w:val="16"/>
        </w:rPr>
        <w:softHyphen/>
        <w:t>ций по сборке, эллинги поступили с запозданием и т. д. Всем четырём поступившим ди</w:t>
      </w:r>
      <w:r w:rsidRPr="00405303">
        <w:rPr>
          <w:bCs/>
          <w:color w:val="002060"/>
          <w:sz w:val="16"/>
          <w:szCs w:val="16"/>
        </w:rPr>
        <w:softHyphen/>
        <w:t>рижаблям присвоили название «Черномор», Судьба их оказалась различной, но в то же время в чём-то, схожей.</w:t>
      </w:r>
    </w:p>
    <w:p w14:paraId="2D654D5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«Черномор-1», совершил один полет продолжительностью всего 20 минут, причем отмечалась неустой</w:t>
      </w:r>
      <w:r w:rsidRPr="00405303">
        <w:rPr>
          <w:bCs/>
          <w:color w:val="002060"/>
          <w:sz w:val="16"/>
          <w:szCs w:val="16"/>
        </w:rPr>
        <w:softHyphen/>
        <w:t>чивая работа двигателей «Санбим», а затем один из двух двигателей отказал. Вдобавок ко всему, обо</w:t>
      </w:r>
      <w:r w:rsidRPr="00405303">
        <w:rPr>
          <w:bCs/>
          <w:color w:val="002060"/>
          <w:sz w:val="16"/>
          <w:szCs w:val="16"/>
        </w:rPr>
        <w:softHyphen/>
        <w:t>лочка дирижабля из-за ухудшения погоды начала охлаждаться, он стал снижаться, приводнился на удале</w:t>
      </w:r>
      <w:r w:rsidRPr="00405303">
        <w:rPr>
          <w:bCs/>
          <w:color w:val="002060"/>
          <w:sz w:val="16"/>
          <w:szCs w:val="16"/>
        </w:rPr>
        <w:softHyphen/>
        <w:t>нии 5 км от м. Херсонес, и был от</w:t>
      </w:r>
      <w:r w:rsidRPr="00405303">
        <w:rPr>
          <w:bCs/>
          <w:color w:val="002060"/>
          <w:sz w:val="16"/>
          <w:szCs w:val="16"/>
        </w:rPr>
        <w:softHyphen/>
        <w:t>буксирован к берегу.</w:t>
      </w:r>
    </w:p>
    <w:p w14:paraId="2254349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«Черномор-2» также преследо</w:t>
      </w:r>
      <w:r w:rsidRPr="00405303">
        <w:rPr>
          <w:bCs/>
          <w:color w:val="002060"/>
          <w:sz w:val="16"/>
          <w:szCs w:val="16"/>
        </w:rPr>
        <w:softHyphen/>
        <w:t>вали неудачи. В одном из полетов отказал двигатель, и пришлось про</w:t>
      </w:r>
      <w:r w:rsidRPr="00405303">
        <w:rPr>
          <w:bCs/>
          <w:color w:val="002060"/>
          <w:sz w:val="16"/>
          <w:szCs w:val="16"/>
        </w:rPr>
        <w:softHyphen/>
        <w:t>изводить посадку на аэродроме Кача. При заходе на посадку оста</w:t>
      </w:r>
      <w:r w:rsidRPr="00405303">
        <w:rPr>
          <w:bCs/>
          <w:color w:val="002060"/>
          <w:sz w:val="16"/>
          <w:szCs w:val="16"/>
        </w:rPr>
        <w:softHyphen/>
        <w:t>новился и второй двигатель. Впос</w:t>
      </w:r>
      <w:r w:rsidRPr="00405303">
        <w:rPr>
          <w:bCs/>
          <w:color w:val="002060"/>
          <w:sz w:val="16"/>
          <w:szCs w:val="16"/>
        </w:rPr>
        <w:softHyphen/>
        <w:t>ледствии дирижабль разобрали.</w:t>
      </w:r>
    </w:p>
    <w:p w14:paraId="1372F4C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«Черномор-3», вообще не сде</w:t>
      </w:r>
      <w:r w:rsidRPr="00405303">
        <w:rPr>
          <w:bCs/>
          <w:color w:val="002060"/>
          <w:sz w:val="16"/>
          <w:szCs w:val="16"/>
        </w:rPr>
        <w:softHyphen/>
        <w:t>лал ни одного полета, так как 24 марта 1917 г. порывом ветра бре</w:t>
      </w:r>
      <w:r w:rsidRPr="00405303">
        <w:rPr>
          <w:bCs/>
          <w:color w:val="002060"/>
          <w:sz w:val="16"/>
          <w:szCs w:val="16"/>
        </w:rPr>
        <w:softHyphen/>
        <w:t>зент, который прикрывал вход в эллинг, сорвало, дирижабль стало трепать. От него отцепили гондо</w:t>
      </w:r>
      <w:r w:rsidRPr="00405303">
        <w:rPr>
          <w:bCs/>
          <w:color w:val="002060"/>
          <w:sz w:val="16"/>
          <w:szCs w:val="16"/>
        </w:rPr>
        <w:softHyphen/>
        <w:t>лу, но это только усугубило поло</w:t>
      </w:r>
      <w:r w:rsidRPr="00405303">
        <w:rPr>
          <w:bCs/>
          <w:color w:val="002060"/>
          <w:sz w:val="16"/>
          <w:szCs w:val="16"/>
        </w:rPr>
        <w:softHyphen/>
        <w:t>жение - оболочка с газом прижа</w:t>
      </w:r>
      <w:r w:rsidRPr="00405303">
        <w:rPr>
          <w:bCs/>
          <w:color w:val="002060"/>
          <w:sz w:val="16"/>
          <w:szCs w:val="16"/>
        </w:rPr>
        <w:softHyphen/>
        <w:t>лась к потолку. Вследствие трения произошел взрыв. Дирижабль, эл</w:t>
      </w:r>
      <w:r w:rsidRPr="00405303">
        <w:rPr>
          <w:bCs/>
          <w:color w:val="002060"/>
          <w:sz w:val="16"/>
          <w:szCs w:val="16"/>
        </w:rPr>
        <w:softHyphen/>
        <w:t>линг и другое оборудование сго</w:t>
      </w:r>
      <w:r w:rsidRPr="00405303">
        <w:rPr>
          <w:bCs/>
          <w:color w:val="002060"/>
          <w:sz w:val="16"/>
          <w:szCs w:val="16"/>
        </w:rPr>
        <w:softHyphen/>
        <w:t>рели. Назначенная комиссия при</w:t>
      </w:r>
      <w:r w:rsidRPr="00405303">
        <w:rPr>
          <w:bCs/>
          <w:color w:val="002060"/>
          <w:sz w:val="16"/>
          <w:szCs w:val="16"/>
        </w:rPr>
        <w:softHyphen/>
        <w:t>чин аварии не установила.</w:t>
      </w:r>
    </w:p>
    <w:p w14:paraId="3C25414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«Черномор-4», по-видимому, во избежание неприятностей, сдали в порт. На этом эпопея русского фло</w:t>
      </w:r>
      <w:r w:rsidRPr="00405303">
        <w:rPr>
          <w:bCs/>
          <w:color w:val="002060"/>
          <w:sz w:val="16"/>
          <w:szCs w:val="16"/>
        </w:rPr>
        <w:softHyphen/>
        <w:t>та, связанная с использованием дирижаблей, завершилась.</w:t>
      </w:r>
    </w:p>
    <w:p w14:paraId="7C46D3A0" w14:textId="77777777" w:rsidR="004B4E35" w:rsidRPr="00405303" w:rsidRDefault="009E6F82" w:rsidP="00C15251">
      <w:pPr>
        <w:jc w:val="both"/>
        <w:rPr>
          <w:bCs/>
          <w:color w:val="002060"/>
          <w:sz w:val="16"/>
          <w:szCs w:val="16"/>
        </w:rPr>
      </w:pPr>
      <w:r w:rsidRPr="00405303">
        <w:rPr>
          <w:bCs/>
          <w:color w:val="002060"/>
          <w:sz w:val="16"/>
          <w:szCs w:val="16"/>
        </w:rPr>
        <w:t>К 1915 г. на Черном море и Балтике уже имелись самолеты и гидросамолеты, которые даже вели боевые действия. Интерес к возду</w:t>
      </w:r>
      <w:r w:rsidRPr="00405303">
        <w:rPr>
          <w:bCs/>
          <w:color w:val="002060"/>
          <w:sz w:val="16"/>
          <w:szCs w:val="16"/>
        </w:rPr>
        <w:softHyphen/>
        <w:t>хоплаванию, как и следовало ожи</w:t>
      </w:r>
      <w:r w:rsidRPr="00405303">
        <w:rPr>
          <w:bCs/>
          <w:color w:val="002060"/>
          <w:sz w:val="16"/>
          <w:szCs w:val="16"/>
        </w:rPr>
        <w:softHyphen/>
        <w:t>дать, существенно снизился. Начи</w:t>
      </w:r>
      <w:r w:rsidRPr="00405303">
        <w:rPr>
          <w:bCs/>
          <w:color w:val="002060"/>
          <w:sz w:val="16"/>
          <w:szCs w:val="16"/>
        </w:rPr>
        <w:softHyphen/>
        <w:t>ная с 1913 года стали различать воздухоплавание и авиацию (11854).</w:t>
      </w:r>
    </w:p>
    <w:p w14:paraId="4431AB38" w14:textId="77777777" w:rsidR="004B4E35" w:rsidRPr="00405303" w:rsidRDefault="004B4E35" w:rsidP="00C15251">
      <w:pPr>
        <w:jc w:val="both"/>
        <w:rPr>
          <w:bCs/>
          <w:color w:val="002060"/>
          <w:sz w:val="16"/>
          <w:szCs w:val="16"/>
        </w:rPr>
      </w:pPr>
    </w:p>
    <w:p w14:paraId="22733838" w14:textId="77777777" w:rsidR="00B8011E" w:rsidRPr="00405303" w:rsidRDefault="00B8011E" w:rsidP="00C15251">
      <w:pPr>
        <w:jc w:val="both"/>
        <w:rPr>
          <w:bCs/>
          <w:color w:val="002060"/>
          <w:sz w:val="16"/>
          <w:szCs w:val="16"/>
        </w:rPr>
      </w:pPr>
      <w:r w:rsidRPr="00405303">
        <w:rPr>
          <w:rStyle w:val="42"/>
          <w:rFonts w:ascii="Times New Roman" w:hAnsi="Times New Roman" w:cs="Times New Roman"/>
          <w:bCs/>
          <w:color w:val="002060"/>
          <w:w w:val="100"/>
          <w:sz w:val="16"/>
          <w:szCs w:val="16"/>
        </w:rPr>
        <w:t>15 (28) октября 1915 из Се</w:t>
      </w:r>
      <w:r w:rsidRPr="00405303">
        <w:rPr>
          <w:rStyle w:val="42"/>
          <w:rFonts w:ascii="Times New Roman" w:hAnsi="Times New Roman" w:cs="Times New Roman"/>
          <w:bCs/>
          <w:color w:val="002060"/>
          <w:w w:val="100"/>
          <w:sz w:val="16"/>
          <w:szCs w:val="16"/>
        </w:rPr>
        <w:softHyphen/>
        <w:t>вастополя последовал запрос в МГШ: «Прошу сообщить подробные данные о дирижаблях, за</w:t>
      </w:r>
      <w:r w:rsidRPr="00405303">
        <w:rPr>
          <w:rStyle w:val="42"/>
          <w:rFonts w:ascii="Times New Roman" w:hAnsi="Times New Roman" w:cs="Times New Roman"/>
          <w:bCs/>
          <w:color w:val="002060"/>
          <w:w w:val="100"/>
          <w:sz w:val="16"/>
          <w:szCs w:val="16"/>
        </w:rPr>
        <w:softHyphen/>
        <w:t>казанных в Англии для Чёрного моря. Сведения необходимы для предварительных мероприятий, могут ли быть заказаны ангары».</w:t>
      </w:r>
    </w:p>
    <w:p w14:paraId="39407A4F" w14:textId="77777777" w:rsidR="00B8011E" w:rsidRPr="00405303" w:rsidRDefault="00B8011E" w:rsidP="00C15251">
      <w:pPr>
        <w:jc w:val="both"/>
        <w:rPr>
          <w:bCs/>
          <w:color w:val="002060"/>
          <w:sz w:val="16"/>
          <w:szCs w:val="16"/>
        </w:rPr>
      </w:pPr>
      <w:r w:rsidRPr="00405303">
        <w:rPr>
          <w:rStyle w:val="42"/>
          <w:rFonts w:ascii="Times New Roman" w:hAnsi="Times New Roman" w:cs="Times New Roman"/>
          <w:bCs/>
          <w:color w:val="002060"/>
          <w:w w:val="100"/>
          <w:sz w:val="16"/>
          <w:szCs w:val="16"/>
        </w:rPr>
        <w:t>В результате фирме Виккерс заказали четыре дирижабля типа «</w:t>
      </w:r>
      <w:r w:rsidRPr="00405303">
        <w:rPr>
          <w:rStyle w:val="42"/>
          <w:rFonts w:ascii="Times New Roman" w:hAnsi="Times New Roman" w:cs="Times New Roman"/>
          <w:bCs/>
          <w:color w:val="002060"/>
          <w:w w:val="100"/>
          <w:sz w:val="16"/>
          <w:szCs w:val="16"/>
          <w:lang w:val="en-US"/>
        </w:rPr>
        <w:t>Coastal</w:t>
      </w:r>
      <w:r w:rsidRPr="00405303">
        <w:rPr>
          <w:rStyle w:val="42"/>
          <w:rFonts w:ascii="Times New Roman" w:hAnsi="Times New Roman" w:cs="Times New Roman"/>
          <w:bCs/>
          <w:color w:val="002060"/>
          <w:w w:val="100"/>
          <w:sz w:val="16"/>
          <w:szCs w:val="16"/>
        </w:rPr>
        <w:t>». Они предназначались для выполнения патрулирования береговой ли</w:t>
      </w:r>
      <w:r w:rsidRPr="00405303">
        <w:rPr>
          <w:rStyle w:val="42"/>
          <w:rFonts w:ascii="Times New Roman" w:hAnsi="Times New Roman" w:cs="Times New Roman"/>
          <w:bCs/>
          <w:color w:val="002060"/>
          <w:w w:val="100"/>
          <w:sz w:val="16"/>
          <w:szCs w:val="16"/>
        </w:rPr>
        <w:softHyphen/>
        <w:t>нии и конвоирования судов. Проект разработали в июне 1915 г. на основе конструкции морского дирижабля № 3 фирмы «Астра-Торрес» (Фран</w:t>
      </w:r>
      <w:r w:rsidRPr="00405303">
        <w:rPr>
          <w:rStyle w:val="42"/>
          <w:rFonts w:ascii="Times New Roman" w:hAnsi="Times New Roman" w:cs="Times New Roman"/>
          <w:bCs/>
          <w:color w:val="002060"/>
          <w:w w:val="100"/>
          <w:sz w:val="16"/>
          <w:szCs w:val="16"/>
        </w:rPr>
        <w:softHyphen/>
        <w:t>ция) (20120).</w:t>
      </w:r>
    </w:p>
    <w:p w14:paraId="79A10ADA" w14:textId="77777777" w:rsidR="00B8011E" w:rsidRPr="00405303" w:rsidRDefault="00B8011E" w:rsidP="00C15251">
      <w:pPr>
        <w:jc w:val="both"/>
        <w:rPr>
          <w:bCs/>
          <w:color w:val="002060"/>
          <w:sz w:val="16"/>
          <w:szCs w:val="16"/>
        </w:rPr>
      </w:pPr>
    </w:p>
    <w:p w14:paraId="40825431"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62E4B543" w14:textId="77777777" w:rsidR="004B4E35" w:rsidRPr="00405303" w:rsidRDefault="004B4E35" w:rsidP="00C15251">
      <w:pPr>
        <w:shd w:val="clear" w:color="auto" w:fill="FFFFFF"/>
        <w:jc w:val="both"/>
        <w:rPr>
          <w:bCs/>
          <w:i/>
          <w:color w:val="002060"/>
          <w:sz w:val="16"/>
          <w:szCs w:val="16"/>
        </w:rPr>
      </w:pPr>
    </w:p>
    <w:p w14:paraId="7B0AC6E5" w14:textId="5C5F02FF" w:rsidR="004B4E35" w:rsidRPr="00405303" w:rsidRDefault="009E6F82" w:rsidP="00C15251">
      <w:pPr>
        <w:jc w:val="both"/>
        <w:rPr>
          <w:bCs/>
          <w:color w:val="002060"/>
          <w:sz w:val="16"/>
          <w:szCs w:val="16"/>
        </w:rPr>
      </w:pPr>
      <w:r w:rsidRPr="00405303">
        <w:rPr>
          <w:bCs/>
          <w:color w:val="002060"/>
          <w:sz w:val="16"/>
          <w:szCs w:val="16"/>
        </w:rPr>
        <w:t xml:space="preserve">15 (28) октября 1915 г. </w:t>
      </w:r>
      <w:r w:rsidR="00503924" w:rsidRPr="00405303">
        <w:rPr>
          <w:bCs/>
          <w:color w:val="002060"/>
          <w:sz w:val="16"/>
          <w:szCs w:val="16"/>
        </w:rPr>
        <w:t xml:space="preserve">Исполнительная комиссия при военном министре на заседании </w:t>
      </w:r>
      <w:r w:rsidRPr="00405303">
        <w:rPr>
          <w:bCs/>
          <w:color w:val="002060"/>
          <w:sz w:val="16"/>
          <w:szCs w:val="16"/>
        </w:rPr>
        <w:t>утвердила представление ГАУ об организации одного центрального и шести районных бюро для наблюдения и контроля за производством и распределением серной кислоты. Работа таких бюро способствовала также увеличению производства кислот до максимально возможного уровня, так как "благодаря техническому надзору удалось значительно улучшить технику производства на частных заводах". Важно было также и то, что удалось обеспечить на 2 года вперед снабжение всех казенных и частных заводов серной кислотой по сравнительно низким ценам, так как контракты на ее поставку были заключены в то время, когда цены на нее еще не были такими высокими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Пг., 1921.) (11781).</w:t>
      </w:r>
    </w:p>
    <w:p w14:paraId="677D2D2F" w14:textId="77777777" w:rsidR="004B4E35" w:rsidRPr="00405303" w:rsidRDefault="004B4E35" w:rsidP="00C15251">
      <w:pPr>
        <w:jc w:val="both"/>
        <w:rPr>
          <w:bCs/>
          <w:color w:val="002060"/>
          <w:sz w:val="16"/>
          <w:szCs w:val="16"/>
        </w:rPr>
      </w:pPr>
    </w:p>
    <w:p w14:paraId="023FFCB6" w14:textId="77777777" w:rsidR="00B8011E" w:rsidRPr="00405303" w:rsidRDefault="00B8011E" w:rsidP="00C15251">
      <w:pPr>
        <w:shd w:val="clear" w:color="auto" w:fill="FFFFFF"/>
        <w:jc w:val="both"/>
        <w:rPr>
          <w:bCs/>
          <w:color w:val="002060"/>
          <w:sz w:val="16"/>
          <w:szCs w:val="16"/>
        </w:rPr>
      </w:pPr>
      <w:r w:rsidRPr="00405303">
        <w:rPr>
          <w:bCs/>
          <w:color w:val="002060"/>
          <w:sz w:val="16"/>
          <w:szCs w:val="16"/>
        </w:rPr>
        <w:t xml:space="preserve">15 (28) октября 1915 результаты испытаний брони 11 октября вместе с заявлением Пороховщикова были рассмотрены Техническим Комитетом ГВТУ в Журнале № 995. Управляющий делами Комитета генерал-майор Свидзинский указал, что броня Пороховщикова при толщине 10 мм (без прокладок) не превосходит применяемую на бронеавтомобилях 5- мм броню, но «представляет больший объем» и вес. «Железная броня» была признана неприемлемой, прошение Пороховщикова о заказе ему </w:t>
      </w:r>
      <w:r w:rsidRPr="00405303">
        <w:rPr>
          <w:bCs/>
          <w:color w:val="002060"/>
          <w:sz w:val="16"/>
          <w:szCs w:val="16"/>
        </w:rPr>
        <w:lastRenderedPageBreak/>
        <w:t>бронировки автомобилей отклонено. В виде опыта предложено было испытать такую же броню, но с прокладками из войлока. 10 декабря такой образец был обстрелян, причем оказалось, что замена экзотической морской травы обычным войлоком ничуть не ухудшила качеств изобретения Пороховщикова (20250).</w:t>
      </w:r>
    </w:p>
    <w:p w14:paraId="6BCE9540" w14:textId="77777777" w:rsidR="00B8011E" w:rsidRPr="00405303" w:rsidRDefault="00B8011E" w:rsidP="00C15251">
      <w:pPr>
        <w:shd w:val="clear" w:color="auto" w:fill="FFFFFF"/>
        <w:jc w:val="both"/>
        <w:rPr>
          <w:bCs/>
          <w:color w:val="002060"/>
          <w:sz w:val="16"/>
          <w:szCs w:val="16"/>
        </w:rPr>
      </w:pPr>
    </w:p>
    <w:p w14:paraId="483B56CA" w14:textId="6781F9DA" w:rsidR="004B4E35" w:rsidRPr="00405303" w:rsidRDefault="009E6F82" w:rsidP="00C15251">
      <w:pPr>
        <w:shd w:val="clear" w:color="auto" w:fill="FFFFFF"/>
        <w:jc w:val="both"/>
        <w:rPr>
          <w:bCs/>
          <w:i/>
          <w:color w:val="002060"/>
          <w:sz w:val="16"/>
          <w:szCs w:val="16"/>
        </w:rPr>
      </w:pPr>
      <w:r w:rsidRPr="00405303">
        <w:rPr>
          <w:bCs/>
          <w:i/>
          <w:color w:val="002060"/>
          <w:sz w:val="16"/>
          <w:szCs w:val="16"/>
        </w:rPr>
        <w:t>А</w:t>
      </w:r>
      <w:r w:rsidR="00D66BCE" w:rsidRPr="00405303">
        <w:rPr>
          <w:bCs/>
          <w:i/>
          <w:color w:val="002060"/>
          <w:sz w:val="16"/>
          <w:szCs w:val="16"/>
        </w:rPr>
        <w:t>виация</w:t>
      </w:r>
      <w:r w:rsidRPr="00405303">
        <w:rPr>
          <w:bCs/>
          <w:i/>
          <w:color w:val="002060"/>
          <w:sz w:val="16"/>
          <w:szCs w:val="16"/>
        </w:rPr>
        <w:t>:</w:t>
      </w:r>
    </w:p>
    <w:p w14:paraId="277D60BF" w14:textId="77777777" w:rsidR="004B4E35" w:rsidRPr="00405303" w:rsidRDefault="004B4E35" w:rsidP="00C15251">
      <w:pPr>
        <w:shd w:val="clear" w:color="auto" w:fill="FFFFFF"/>
        <w:jc w:val="both"/>
        <w:rPr>
          <w:bCs/>
          <w:i/>
          <w:color w:val="002060"/>
          <w:sz w:val="16"/>
          <w:szCs w:val="16"/>
        </w:rPr>
      </w:pPr>
    </w:p>
    <w:p w14:paraId="0FF53F4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 (28) октября 1915 авиация Кавказской армии произвела массированвый налет на Эрзерумский укрепленный район и уничтожила'турец-.ше казармы и склады - продовольственный и военного снаряжения. (Газетные сообщения за 16 октября 1915 г.).</w:t>
      </w:r>
    </w:p>
    <w:p w14:paraId="4E8A447D" w14:textId="77777777" w:rsidR="004B4E35" w:rsidRPr="00405303" w:rsidRDefault="004B4E35" w:rsidP="00C15251">
      <w:pPr>
        <w:shd w:val="clear" w:color="auto" w:fill="FFFFFF"/>
        <w:jc w:val="both"/>
        <w:rPr>
          <w:bCs/>
          <w:color w:val="002060"/>
          <w:sz w:val="16"/>
          <w:szCs w:val="16"/>
        </w:rPr>
      </w:pPr>
    </w:p>
    <w:p w14:paraId="10571C18" w14:textId="77777777" w:rsidR="0015033A" w:rsidRPr="00405303" w:rsidRDefault="0015033A" w:rsidP="00C15251">
      <w:pPr>
        <w:jc w:val="both"/>
        <w:rPr>
          <w:bCs/>
          <w:color w:val="002060"/>
          <w:sz w:val="16"/>
          <w:szCs w:val="16"/>
        </w:rPr>
      </w:pPr>
      <w:r w:rsidRPr="00405303">
        <w:rPr>
          <w:bCs/>
          <w:color w:val="002060"/>
          <w:sz w:val="16"/>
          <w:szCs w:val="16"/>
        </w:rPr>
        <w:t>15 (28) октября 1915 г. авиация Кавказской армии произвела массированный налет на Эрзерумский укрепленный район и уничтожила турецкие казармы и оклады - продовольственный и военного снаряжения.</w:t>
      </w:r>
    </w:p>
    <w:p w14:paraId="78DD73B2" w14:textId="77777777" w:rsidR="0015033A" w:rsidRPr="00405303" w:rsidRDefault="0015033A" w:rsidP="00C15251">
      <w:pPr>
        <w:jc w:val="both"/>
        <w:rPr>
          <w:bCs/>
          <w:color w:val="002060"/>
          <w:sz w:val="16"/>
          <w:szCs w:val="16"/>
        </w:rPr>
      </w:pPr>
      <w:r w:rsidRPr="00405303">
        <w:rPr>
          <w:bCs/>
          <w:color w:val="002060"/>
          <w:sz w:val="16"/>
          <w:szCs w:val="16"/>
        </w:rPr>
        <w:t>/Газетные сообщения за 16 октября 1915/ (23320).</w:t>
      </w:r>
    </w:p>
    <w:p w14:paraId="425B81B6" w14:textId="77777777" w:rsidR="00D66BCE" w:rsidRPr="00405303" w:rsidRDefault="00D66BCE" w:rsidP="00C15251">
      <w:pPr>
        <w:jc w:val="both"/>
        <w:rPr>
          <w:bCs/>
          <w:color w:val="002060"/>
          <w:sz w:val="16"/>
          <w:szCs w:val="16"/>
          <w:lang w:bidi="en-US"/>
        </w:rPr>
      </w:pPr>
    </w:p>
    <w:p w14:paraId="48CBBB97" w14:textId="005B1C5B" w:rsidR="00D66BCE" w:rsidRPr="00405303" w:rsidRDefault="00D66BCE" w:rsidP="00C15251">
      <w:pPr>
        <w:jc w:val="both"/>
        <w:rPr>
          <w:bCs/>
          <w:color w:val="002060"/>
          <w:sz w:val="16"/>
          <w:szCs w:val="16"/>
          <w:lang w:bidi="en-US"/>
        </w:rPr>
      </w:pPr>
      <w:r w:rsidRPr="00405303">
        <w:rPr>
          <w:bCs/>
          <w:color w:val="002060"/>
          <w:sz w:val="16"/>
          <w:szCs w:val="16"/>
          <w:lang w:bidi="en-US"/>
        </w:rPr>
        <w:t>15 (28) октября 1915 г. приказом командующего штабом ВГК № 149 в составе 7-й армии, формирующейся в настоящее время в Одессе, должен был быть создан 7-й авиационный батальон во главе с капитаном А. А. Ильиным. В его состав должны были войти 3-й КАО, 32-й КАО и 35-й КАО, к которым вскоре присоединился 5-й КАО. В ноябре 7-я армия была выдвинута на фронт реки Стрыпа (23525).</w:t>
      </w:r>
    </w:p>
    <w:p w14:paraId="4AE87442" w14:textId="77777777" w:rsidR="00D66BCE" w:rsidRPr="00405303" w:rsidRDefault="00D66BCE" w:rsidP="00C15251">
      <w:pPr>
        <w:jc w:val="both"/>
        <w:rPr>
          <w:bCs/>
          <w:color w:val="002060"/>
          <w:sz w:val="16"/>
          <w:szCs w:val="16"/>
        </w:rPr>
      </w:pPr>
    </w:p>
    <w:p w14:paraId="45C3E8FB" w14:textId="557A4711" w:rsidR="00F51AC3" w:rsidRPr="00405303" w:rsidRDefault="00F51AC3" w:rsidP="00C15251">
      <w:pPr>
        <w:jc w:val="both"/>
        <w:rPr>
          <w:bCs/>
          <w:i/>
          <w:color w:val="002060"/>
          <w:sz w:val="16"/>
          <w:szCs w:val="16"/>
        </w:rPr>
      </w:pPr>
      <w:r w:rsidRPr="00405303">
        <w:rPr>
          <w:bCs/>
          <w:i/>
          <w:color w:val="002060"/>
          <w:sz w:val="16"/>
          <w:szCs w:val="16"/>
        </w:rPr>
        <w:t>Армия:</w:t>
      </w:r>
    </w:p>
    <w:p w14:paraId="7D0BE4FE" w14:textId="77777777" w:rsidR="00F51AC3" w:rsidRPr="00405303" w:rsidRDefault="00F51AC3" w:rsidP="00C15251">
      <w:pPr>
        <w:jc w:val="both"/>
        <w:rPr>
          <w:bCs/>
          <w:i/>
          <w:color w:val="002060"/>
          <w:sz w:val="16"/>
          <w:szCs w:val="16"/>
        </w:rPr>
      </w:pPr>
    </w:p>
    <w:p w14:paraId="16F6A3F4" w14:textId="77777777" w:rsidR="00F51AC3" w:rsidRPr="00405303" w:rsidRDefault="00F51AC3" w:rsidP="00C15251">
      <w:pPr>
        <w:jc w:val="both"/>
        <w:rPr>
          <w:bCs/>
          <w:color w:val="002060"/>
          <w:sz w:val="16"/>
          <w:szCs w:val="16"/>
        </w:rPr>
      </w:pPr>
      <w:bookmarkStart w:id="281" w:name="bookmark283"/>
      <w:bookmarkStart w:id="282" w:name="bookmark284"/>
      <w:r w:rsidRPr="00405303">
        <w:rPr>
          <w:bCs/>
          <w:color w:val="002060"/>
          <w:sz w:val="16"/>
          <w:szCs w:val="16"/>
          <w:lang w:bidi="en-US"/>
        </w:rPr>
        <w:t>К середине октября 1915 г. русский фронт сократился с 1700 км до 1000 км, и более миллиона обездоленных беженцев двинулись на восток, в глубь России</w:t>
      </w:r>
      <w:r w:rsidRPr="00405303">
        <w:rPr>
          <w:bCs/>
          <w:color w:val="002060"/>
          <w:sz w:val="16"/>
          <w:szCs w:val="16"/>
          <w:shd w:val="clear" w:color="auto" w:fill="FFFFFF"/>
        </w:rPr>
        <w:t xml:space="preserve"> 6 октября 1915 г. ИМ-Киевский совершил пятичасовой полет во вражеский тыл, в окрестности города Шавли, где находился командир немецкого фронта со своим штабом. ИМ-Киевский совершил перелет из Петрограда в Псков 10 октября и 13-го вылетел из Пскова в Зегевольд. Русское воздушное судно появилось над Шавли неожиданно, сбросив бомбы и напугав безмятежно спящий германский штаб, который вскоре сменил свое местоположение (23470).</w:t>
      </w:r>
    </w:p>
    <w:bookmarkEnd w:id="281"/>
    <w:bookmarkEnd w:id="282"/>
    <w:p w14:paraId="3E9F3B6F" w14:textId="77777777" w:rsidR="00F51AC3" w:rsidRPr="00405303" w:rsidRDefault="00F51AC3" w:rsidP="00C15251">
      <w:pPr>
        <w:jc w:val="both"/>
        <w:rPr>
          <w:bCs/>
          <w:color w:val="002060"/>
          <w:sz w:val="16"/>
          <w:szCs w:val="16"/>
        </w:rPr>
      </w:pPr>
    </w:p>
    <w:p w14:paraId="21C19923" w14:textId="3E9A827F" w:rsidR="00F51AC3" w:rsidRPr="00405303" w:rsidRDefault="00F51AC3" w:rsidP="00C15251">
      <w:pPr>
        <w:jc w:val="both"/>
        <w:rPr>
          <w:bCs/>
          <w:i/>
          <w:color w:val="002060"/>
          <w:sz w:val="16"/>
          <w:szCs w:val="16"/>
        </w:rPr>
      </w:pPr>
      <w:r w:rsidRPr="00405303">
        <w:rPr>
          <w:bCs/>
          <w:i/>
          <w:color w:val="002060"/>
          <w:sz w:val="16"/>
          <w:szCs w:val="16"/>
        </w:rPr>
        <w:t>Авиация:</w:t>
      </w:r>
    </w:p>
    <w:p w14:paraId="0F5E89A5" w14:textId="77777777" w:rsidR="00F51AC3" w:rsidRPr="00405303" w:rsidRDefault="00F51AC3" w:rsidP="00C15251">
      <w:pPr>
        <w:jc w:val="both"/>
        <w:rPr>
          <w:bCs/>
          <w:i/>
          <w:color w:val="002060"/>
          <w:sz w:val="16"/>
          <w:szCs w:val="16"/>
        </w:rPr>
      </w:pPr>
    </w:p>
    <w:p w14:paraId="6AAD5E03" w14:textId="77777777" w:rsidR="00F51AC3" w:rsidRPr="00405303" w:rsidRDefault="00F51AC3" w:rsidP="00C15251">
      <w:pPr>
        <w:jc w:val="both"/>
        <w:rPr>
          <w:bCs/>
          <w:color w:val="002060"/>
          <w:sz w:val="16"/>
          <w:szCs w:val="16"/>
        </w:rPr>
      </w:pPr>
      <w:r w:rsidRPr="00405303">
        <w:rPr>
          <w:bCs/>
          <w:color w:val="002060"/>
          <w:sz w:val="16"/>
          <w:szCs w:val="16"/>
        </w:rPr>
        <w:t>В середине октября 1915 г. противник подверг воздушной бомбардировке ряд объектов русских войск. 12 октября немецкий самолет провел бомбометание наших передовых позиций на линии озер Демен и Дрисвяты. В ту же ночь в районе г. Двинск с борта появившегося в небе цеппелина было сброшено до 50 бомб (обошлось без человеческих жертв) (23405).</w:t>
      </w:r>
    </w:p>
    <w:p w14:paraId="4F91CF6D" w14:textId="77777777" w:rsidR="00F51AC3" w:rsidRPr="00405303" w:rsidRDefault="00F51AC3" w:rsidP="00C15251">
      <w:pPr>
        <w:jc w:val="both"/>
        <w:rPr>
          <w:bCs/>
          <w:i/>
          <w:color w:val="002060"/>
          <w:sz w:val="16"/>
          <w:szCs w:val="16"/>
        </w:rPr>
      </w:pPr>
    </w:p>
    <w:p w14:paraId="29724F3F" w14:textId="17FC92A0" w:rsidR="00B30458" w:rsidRPr="00405303" w:rsidRDefault="00B30458" w:rsidP="00C15251">
      <w:pPr>
        <w:jc w:val="both"/>
        <w:rPr>
          <w:bCs/>
          <w:i/>
          <w:color w:val="002060"/>
          <w:sz w:val="16"/>
          <w:szCs w:val="16"/>
        </w:rPr>
      </w:pPr>
      <w:r w:rsidRPr="00405303">
        <w:rPr>
          <w:bCs/>
          <w:i/>
          <w:color w:val="002060"/>
          <w:sz w:val="16"/>
          <w:szCs w:val="16"/>
        </w:rPr>
        <w:t>Другие оборонные отрасли:</w:t>
      </w:r>
    </w:p>
    <w:p w14:paraId="2156E394" w14:textId="77777777" w:rsidR="00B30458" w:rsidRPr="00405303" w:rsidRDefault="00B30458" w:rsidP="00C15251">
      <w:pPr>
        <w:jc w:val="both"/>
        <w:rPr>
          <w:bCs/>
          <w:i/>
          <w:color w:val="002060"/>
          <w:sz w:val="16"/>
          <w:szCs w:val="16"/>
        </w:rPr>
      </w:pPr>
    </w:p>
    <w:p w14:paraId="1D656761" w14:textId="32E96B85" w:rsidR="00B30458" w:rsidRPr="00405303" w:rsidRDefault="00B30458" w:rsidP="00C15251">
      <w:pPr>
        <w:jc w:val="both"/>
        <w:rPr>
          <w:bCs/>
          <w:color w:val="002060"/>
          <w:sz w:val="16"/>
          <w:szCs w:val="16"/>
        </w:rPr>
      </w:pPr>
      <w:r w:rsidRPr="00405303">
        <w:rPr>
          <w:bCs/>
          <w:color w:val="002060"/>
          <w:sz w:val="16"/>
          <w:szCs w:val="16"/>
        </w:rPr>
        <w:t xml:space="preserve">16 </w:t>
      </w:r>
      <w:r w:rsidR="00503924" w:rsidRPr="00405303">
        <w:rPr>
          <w:bCs/>
          <w:color w:val="002060"/>
          <w:sz w:val="16"/>
          <w:szCs w:val="16"/>
        </w:rPr>
        <w:t xml:space="preserve">(29) </w:t>
      </w:r>
      <w:r w:rsidRPr="00405303">
        <w:rPr>
          <w:bCs/>
          <w:color w:val="002060"/>
          <w:sz w:val="16"/>
          <w:szCs w:val="16"/>
        </w:rPr>
        <w:t xml:space="preserve">октября 1915 г. башенная батарея </w:t>
      </w:r>
      <w:proofErr w:type="gramStart"/>
      <w:r w:rsidRPr="00405303">
        <w:rPr>
          <w:bCs/>
          <w:color w:val="002060"/>
          <w:sz w:val="16"/>
          <w:szCs w:val="16"/>
        </w:rPr>
        <w:t>форта Ино</w:t>
      </w:r>
      <w:proofErr w:type="gramEnd"/>
      <w:r w:rsidRPr="00405303">
        <w:rPr>
          <w:bCs/>
          <w:color w:val="002060"/>
          <w:sz w:val="16"/>
          <w:szCs w:val="16"/>
        </w:rPr>
        <w:t xml:space="preserve"> вошла в штат под № 12. По окончательному проекту (в 1912 г. для «Ино») на каждом форту устанавливалось по 8 орудий</w:t>
      </w:r>
      <w:r w:rsidR="00DB4D64" w:rsidRPr="00405303">
        <w:rPr>
          <w:bCs/>
          <w:color w:val="002060"/>
          <w:sz w:val="16"/>
          <w:szCs w:val="16"/>
        </w:rPr>
        <w:t xml:space="preserve"> </w:t>
      </w:r>
      <w:r w:rsidRPr="00405303">
        <w:rPr>
          <w:bCs/>
          <w:color w:val="002060"/>
          <w:sz w:val="16"/>
          <w:szCs w:val="16"/>
        </w:rPr>
        <w:t xml:space="preserve">12/52-дм. </w:t>
      </w:r>
      <w:proofErr w:type="gramStart"/>
      <w:r w:rsidRPr="00405303">
        <w:rPr>
          <w:bCs/>
          <w:color w:val="002060"/>
          <w:sz w:val="16"/>
          <w:szCs w:val="16"/>
        </w:rPr>
        <w:t>На форту</w:t>
      </w:r>
      <w:proofErr w:type="gramEnd"/>
      <w:r w:rsidRPr="00405303">
        <w:rPr>
          <w:bCs/>
          <w:color w:val="002060"/>
          <w:sz w:val="16"/>
          <w:szCs w:val="16"/>
        </w:rPr>
        <w:t xml:space="preserve"> «Ино» должны быть установлены две двухорудийных башни МБ-2-12 и четыре открытых установки (журавли). Такое решение ГАУ было</w:t>
      </w:r>
      <w:r w:rsidR="00DB4D64" w:rsidRPr="00405303">
        <w:rPr>
          <w:bCs/>
          <w:color w:val="002060"/>
          <w:sz w:val="16"/>
          <w:szCs w:val="16"/>
        </w:rPr>
        <w:t xml:space="preserve"> </w:t>
      </w:r>
      <w:r w:rsidRPr="00405303">
        <w:rPr>
          <w:bCs/>
          <w:color w:val="002060"/>
          <w:sz w:val="16"/>
          <w:szCs w:val="16"/>
        </w:rPr>
        <w:t>принято из тех соображений, что в случае выхода из</w:t>
      </w:r>
      <w:r w:rsidR="00DB4D64" w:rsidRPr="00405303">
        <w:rPr>
          <w:bCs/>
          <w:color w:val="002060"/>
          <w:sz w:val="16"/>
          <w:szCs w:val="16"/>
        </w:rPr>
        <w:t xml:space="preserve"> </w:t>
      </w:r>
      <w:r w:rsidRPr="00405303">
        <w:rPr>
          <w:bCs/>
          <w:color w:val="002060"/>
          <w:sz w:val="16"/>
          <w:szCs w:val="16"/>
        </w:rPr>
        <w:t>строя по техническим причинам или в результате</w:t>
      </w:r>
      <w:r w:rsidR="00DB4D64" w:rsidRPr="00405303">
        <w:rPr>
          <w:bCs/>
          <w:color w:val="002060"/>
          <w:sz w:val="16"/>
          <w:szCs w:val="16"/>
        </w:rPr>
        <w:t xml:space="preserve"> </w:t>
      </w:r>
      <w:r w:rsidRPr="00405303">
        <w:rPr>
          <w:bCs/>
          <w:color w:val="002060"/>
          <w:sz w:val="16"/>
          <w:szCs w:val="16"/>
        </w:rPr>
        <w:t xml:space="preserve">огневого воздействия противника одной башни, </w:t>
      </w:r>
      <w:proofErr w:type="gramStart"/>
      <w:r w:rsidRPr="00405303">
        <w:rPr>
          <w:bCs/>
          <w:color w:val="002060"/>
          <w:sz w:val="16"/>
          <w:szCs w:val="16"/>
        </w:rPr>
        <w:t>на</w:t>
      </w:r>
      <w:r w:rsidR="00DB4D64" w:rsidRPr="00405303">
        <w:rPr>
          <w:bCs/>
          <w:color w:val="002060"/>
          <w:sz w:val="16"/>
          <w:szCs w:val="16"/>
        </w:rPr>
        <w:t xml:space="preserve"> </w:t>
      </w:r>
      <w:r w:rsidRPr="00405303">
        <w:rPr>
          <w:bCs/>
          <w:color w:val="002060"/>
          <w:sz w:val="16"/>
          <w:szCs w:val="16"/>
        </w:rPr>
        <w:t>форту</w:t>
      </w:r>
      <w:proofErr w:type="gramEnd"/>
      <w:r w:rsidRPr="00405303">
        <w:rPr>
          <w:bCs/>
          <w:color w:val="002060"/>
          <w:sz w:val="16"/>
          <w:szCs w:val="16"/>
        </w:rPr>
        <w:t xml:space="preserve"> оставалась бы ещё одна башня и четыре открытых установки. Башенная установка имела один</w:t>
      </w:r>
      <w:r w:rsidR="00DB4D64" w:rsidRPr="00405303">
        <w:rPr>
          <w:bCs/>
          <w:color w:val="002060"/>
          <w:sz w:val="16"/>
          <w:szCs w:val="16"/>
        </w:rPr>
        <w:t xml:space="preserve"> </w:t>
      </w:r>
      <w:r w:rsidRPr="00405303">
        <w:rPr>
          <w:bCs/>
          <w:color w:val="002060"/>
          <w:sz w:val="16"/>
          <w:szCs w:val="16"/>
        </w:rPr>
        <w:t>существенный недостаток, в случае попадания снаряда противника в стык брони башни с бетонной</w:t>
      </w:r>
      <w:r w:rsidR="00DB4D64" w:rsidRPr="00405303">
        <w:rPr>
          <w:bCs/>
          <w:color w:val="002060"/>
          <w:sz w:val="16"/>
          <w:szCs w:val="16"/>
        </w:rPr>
        <w:t xml:space="preserve"> </w:t>
      </w:r>
      <w:r w:rsidRPr="00405303">
        <w:rPr>
          <w:bCs/>
          <w:color w:val="002060"/>
          <w:sz w:val="16"/>
          <w:szCs w:val="16"/>
        </w:rPr>
        <w:t>поверхностью батарей, башню могло заклинить, и</w:t>
      </w:r>
      <w:r w:rsidR="00DB4D64" w:rsidRPr="00405303">
        <w:rPr>
          <w:bCs/>
          <w:color w:val="002060"/>
          <w:sz w:val="16"/>
          <w:szCs w:val="16"/>
        </w:rPr>
        <w:t xml:space="preserve"> </w:t>
      </w:r>
      <w:r w:rsidRPr="00405303">
        <w:rPr>
          <w:bCs/>
          <w:color w:val="002060"/>
          <w:sz w:val="16"/>
          <w:szCs w:val="16"/>
        </w:rPr>
        <w:t>при абсолютно исправных орудиях и механизмах</w:t>
      </w:r>
      <w:r w:rsidR="00DB4D64" w:rsidRPr="00405303">
        <w:rPr>
          <w:bCs/>
          <w:color w:val="002060"/>
          <w:sz w:val="16"/>
          <w:szCs w:val="16"/>
        </w:rPr>
        <w:t xml:space="preserve"> </w:t>
      </w:r>
      <w:r w:rsidRPr="00405303">
        <w:rPr>
          <w:bCs/>
          <w:color w:val="002060"/>
          <w:sz w:val="16"/>
          <w:szCs w:val="16"/>
        </w:rPr>
        <w:t>башни, батарея теряла 2 орудия. На Обуховском заводе спроектировали и изготовили тела орудий. Лафеты и башни проектировал и изготавливал Металлический завод. Только по заказу ГАУ ОСЗ изготовил к 1917 г. 35 тел орудий. Орудие</w:t>
      </w:r>
      <w:r w:rsidR="00DB4D64" w:rsidRPr="00405303">
        <w:rPr>
          <w:bCs/>
          <w:color w:val="002060"/>
          <w:sz w:val="16"/>
          <w:szCs w:val="16"/>
        </w:rPr>
        <w:t xml:space="preserve"> </w:t>
      </w:r>
      <w:r w:rsidRPr="00405303">
        <w:rPr>
          <w:bCs/>
          <w:color w:val="002060"/>
          <w:sz w:val="16"/>
          <w:szCs w:val="16"/>
        </w:rPr>
        <w:t>оказалось настолько удачным, что прослужило без</w:t>
      </w:r>
      <w:r w:rsidR="00DB4D64" w:rsidRPr="00405303">
        <w:rPr>
          <w:bCs/>
          <w:color w:val="002060"/>
          <w:sz w:val="16"/>
          <w:szCs w:val="16"/>
        </w:rPr>
        <w:t xml:space="preserve"> </w:t>
      </w:r>
      <w:r w:rsidRPr="00405303">
        <w:rPr>
          <w:bCs/>
          <w:color w:val="002060"/>
          <w:sz w:val="16"/>
          <w:szCs w:val="16"/>
        </w:rPr>
        <w:t>малого 100 лет. Для открытых установок Р. А. Дурляхер спроектировал береговой лафет. Этот лафет и</w:t>
      </w:r>
      <w:r w:rsidR="00DB4D64" w:rsidRPr="00405303">
        <w:rPr>
          <w:bCs/>
          <w:color w:val="002060"/>
          <w:sz w:val="16"/>
          <w:szCs w:val="16"/>
        </w:rPr>
        <w:t xml:space="preserve"> </w:t>
      </w:r>
      <w:r w:rsidRPr="00405303">
        <w:rPr>
          <w:bCs/>
          <w:color w:val="002060"/>
          <w:sz w:val="16"/>
          <w:szCs w:val="16"/>
        </w:rPr>
        <w:t>дал в просторечье название установке — «журавль». В январе 1915 г. форт «Ино» был введён в штат боевых оборонительных сооружений крепости «Кронштадт» с присвоением наименования «Николаевский». На конец 1916 г. на вооружении форта были восемь 12-дм пушек, восемь 10-дм пушек, восемь 6-дм пушек и восемь 11 - дм мортир. На этих батареях предусматривались казематы для орудийной прислуги и для боезапаса, электростанции, вентиляционное оборудование и паровое</w:t>
      </w:r>
      <w:r w:rsidR="00DB4D64" w:rsidRPr="00405303">
        <w:rPr>
          <w:bCs/>
          <w:color w:val="002060"/>
          <w:sz w:val="16"/>
          <w:szCs w:val="16"/>
        </w:rPr>
        <w:t xml:space="preserve"> </w:t>
      </w:r>
      <w:r w:rsidRPr="00405303">
        <w:rPr>
          <w:bCs/>
          <w:color w:val="002060"/>
          <w:sz w:val="16"/>
          <w:szCs w:val="16"/>
        </w:rPr>
        <w:t>отопление (15132).</w:t>
      </w:r>
    </w:p>
    <w:p w14:paraId="563BBA12" w14:textId="77777777" w:rsidR="00B30458" w:rsidRPr="00405303" w:rsidRDefault="00B30458" w:rsidP="00C15251">
      <w:pPr>
        <w:jc w:val="both"/>
        <w:rPr>
          <w:bCs/>
          <w:color w:val="002060"/>
          <w:sz w:val="16"/>
          <w:szCs w:val="16"/>
        </w:rPr>
      </w:pPr>
    </w:p>
    <w:p w14:paraId="11BB0517" w14:textId="4B51D4B7" w:rsidR="004D55F9" w:rsidRPr="00405303" w:rsidRDefault="004D55F9" w:rsidP="00C15251">
      <w:pPr>
        <w:shd w:val="clear" w:color="auto" w:fill="FFFFFF"/>
        <w:jc w:val="both"/>
        <w:rPr>
          <w:bCs/>
          <w:i/>
          <w:color w:val="002060"/>
          <w:sz w:val="16"/>
          <w:szCs w:val="16"/>
        </w:rPr>
      </w:pPr>
      <w:r w:rsidRPr="00405303">
        <w:rPr>
          <w:bCs/>
          <w:i/>
          <w:color w:val="002060"/>
          <w:sz w:val="16"/>
          <w:szCs w:val="16"/>
        </w:rPr>
        <w:t>Аэростатостроение:</w:t>
      </w:r>
    </w:p>
    <w:p w14:paraId="1229775C" w14:textId="77777777" w:rsidR="004D55F9" w:rsidRPr="00405303" w:rsidRDefault="004D55F9" w:rsidP="00C15251">
      <w:pPr>
        <w:shd w:val="clear" w:color="auto" w:fill="FFFFFF"/>
        <w:jc w:val="both"/>
        <w:rPr>
          <w:bCs/>
          <w:i/>
          <w:color w:val="002060"/>
          <w:sz w:val="16"/>
          <w:szCs w:val="16"/>
        </w:rPr>
      </w:pPr>
    </w:p>
    <w:p w14:paraId="1D5A533D" w14:textId="01724087" w:rsidR="004D55F9" w:rsidRPr="00405303" w:rsidRDefault="004D55F9" w:rsidP="00C15251">
      <w:pPr>
        <w:jc w:val="both"/>
        <w:rPr>
          <w:bCs/>
          <w:color w:val="002060"/>
          <w:sz w:val="16"/>
          <w:szCs w:val="16"/>
        </w:rPr>
      </w:pPr>
      <w:r w:rsidRPr="00405303">
        <w:rPr>
          <w:bCs/>
          <w:color w:val="002060"/>
          <w:sz w:val="16"/>
          <w:szCs w:val="16"/>
          <w:lang w:bidi="en-US"/>
        </w:rPr>
        <w:t xml:space="preserve">16 (29) октября 1915 г. Морское министерство России одобрило предложение о закупке четырех британских дирижаблей берегового базирования класса С для службы на Черноморском флоте. Это были нежесткие дирижабли водоизмещением 4000 т </w:t>
      </w:r>
      <w:r w:rsidRPr="00405303">
        <w:rPr>
          <w:bCs/>
          <w:color w:val="002060"/>
          <w:sz w:val="16"/>
          <w:szCs w:val="16"/>
          <w:vertAlign w:val="superscript"/>
          <w:lang w:bidi="en-US"/>
        </w:rPr>
        <w:t xml:space="preserve">3 </w:t>
      </w:r>
      <w:r w:rsidRPr="00405303">
        <w:rPr>
          <w:bCs/>
          <w:color w:val="002060"/>
          <w:sz w:val="16"/>
          <w:szCs w:val="16"/>
          <w:lang w:bidi="en-US"/>
        </w:rPr>
        <w:t>с двумя двигателями по 150 л.с. каждый. Из четырех, полученных в 1916 г., два были собраны в Севастополе и выполняли полеты (23525).</w:t>
      </w:r>
    </w:p>
    <w:p w14:paraId="2D380E13" w14:textId="77777777" w:rsidR="004D55F9" w:rsidRPr="00405303" w:rsidRDefault="004D55F9" w:rsidP="00C15251">
      <w:pPr>
        <w:jc w:val="both"/>
        <w:rPr>
          <w:bCs/>
          <w:color w:val="002060"/>
          <w:sz w:val="16"/>
          <w:szCs w:val="16"/>
          <w:lang w:bidi="en-US"/>
        </w:rPr>
      </w:pPr>
    </w:p>
    <w:p w14:paraId="42ECAF02" w14:textId="77777777" w:rsidR="00D979C5" w:rsidRPr="00405303" w:rsidRDefault="00D979C5" w:rsidP="00D979C5">
      <w:pPr>
        <w:shd w:val="clear" w:color="auto" w:fill="FFFFFF"/>
        <w:jc w:val="both"/>
        <w:rPr>
          <w:bCs/>
          <w:i/>
          <w:color w:val="002060"/>
          <w:sz w:val="16"/>
          <w:szCs w:val="16"/>
        </w:rPr>
      </w:pPr>
      <w:r w:rsidRPr="00405303">
        <w:rPr>
          <w:bCs/>
          <w:i/>
          <w:color w:val="002060"/>
          <w:sz w:val="16"/>
          <w:szCs w:val="16"/>
        </w:rPr>
        <w:t>Авиация:</w:t>
      </w:r>
    </w:p>
    <w:p w14:paraId="0D02C3E9" w14:textId="77777777" w:rsidR="00D979C5" w:rsidRPr="00405303" w:rsidRDefault="00D979C5" w:rsidP="00D979C5">
      <w:pPr>
        <w:shd w:val="clear" w:color="auto" w:fill="FFFFFF"/>
        <w:jc w:val="both"/>
        <w:rPr>
          <w:bCs/>
          <w:i/>
          <w:color w:val="002060"/>
          <w:sz w:val="16"/>
          <w:szCs w:val="16"/>
        </w:rPr>
      </w:pPr>
    </w:p>
    <w:p w14:paraId="66A883A3" w14:textId="77777777" w:rsidR="00D979C5" w:rsidRPr="00B52707" w:rsidRDefault="00D979C5" w:rsidP="00D979C5">
      <w:pPr>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16 (29) октября 1915 г. немецкая авиация бомбардировала позиции наших войск в районе Шлока (25135).</w:t>
      </w:r>
    </w:p>
    <w:p w14:paraId="69CEE133" w14:textId="77777777" w:rsidR="00D979C5" w:rsidRPr="00B52707" w:rsidRDefault="00D979C5" w:rsidP="00D979C5">
      <w:pPr>
        <w:jc w:val="both"/>
        <w:rPr>
          <w:rStyle w:val="aa"/>
          <w:rFonts w:ascii="Times New Roman" w:hAnsi="Times New Roman"/>
          <w:color w:val="0070C0"/>
          <w:spacing w:val="0"/>
          <w:sz w:val="16"/>
          <w:szCs w:val="16"/>
        </w:rPr>
      </w:pPr>
    </w:p>
    <w:p w14:paraId="40A24B54" w14:textId="77777777" w:rsidR="00D979C5" w:rsidRPr="00B52707" w:rsidRDefault="00D979C5" w:rsidP="00D979C5">
      <w:pPr>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16 (29) октября 1915 г. в районе Городище (к югу от Барановичей) огнем нашей артиллерии был подбит германский самолет, упавший в расположении русских войск. Летчик и наблюдатель попали в плен (25135).</w:t>
      </w:r>
    </w:p>
    <w:p w14:paraId="2D309B46" w14:textId="77777777" w:rsidR="00D979C5" w:rsidRPr="00B52707" w:rsidRDefault="00D979C5" w:rsidP="00D979C5">
      <w:pPr>
        <w:jc w:val="both"/>
        <w:rPr>
          <w:rStyle w:val="aa"/>
          <w:rFonts w:ascii="Times New Roman" w:hAnsi="Times New Roman"/>
          <w:color w:val="0070C0"/>
          <w:spacing w:val="0"/>
          <w:sz w:val="16"/>
          <w:szCs w:val="16"/>
        </w:rPr>
      </w:pPr>
    </w:p>
    <w:p w14:paraId="42F494A1" w14:textId="77777777" w:rsidR="00D979C5" w:rsidRPr="00405303" w:rsidRDefault="00D979C5" w:rsidP="00D979C5">
      <w:pPr>
        <w:shd w:val="clear" w:color="auto" w:fill="FFFFFF"/>
        <w:jc w:val="both"/>
        <w:rPr>
          <w:bCs/>
          <w:i/>
          <w:color w:val="002060"/>
          <w:sz w:val="16"/>
          <w:szCs w:val="16"/>
        </w:rPr>
      </w:pPr>
      <w:r w:rsidRPr="00405303">
        <w:rPr>
          <w:bCs/>
          <w:i/>
          <w:color w:val="002060"/>
          <w:sz w:val="16"/>
          <w:szCs w:val="16"/>
        </w:rPr>
        <w:t>Авиация:</w:t>
      </w:r>
    </w:p>
    <w:p w14:paraId="3BF6AE71" w14:textId="77777777" w:rsidR="00D979C5" w:rsidRPr="00405303" w:rsidRDefault="00D979C5" w:rsidP="00D979C5">
      <w:pPr>
        <w:shd w:val="clear" w:color="auto" w:fill="FFFFFF"/>
        <w:jc w:val="both"/>
        <w:rPr>
          <w:bCs/>
          <w:i/>
          <w:color w:val="002060"/>
          <w:sz w:val="16"/>
          <w:szCs w:val="16"/>
        </w:rPr>
      </w:pPr>
    </w:p>
    <w:p w14:paraId="3611C692" w14:textId="77777777" w:rsidR="00D979C5" w:rsidRPr="00B52707" w:rsidRDefault="00D979C5" w:rsidP="00D979C5">
      <w:pPr>
        <w:jc w:val="both"/>
        <w:rPr>
          <w:rStyle w:val="aa"/>
          <w:rFonts w:ascii="Times New Roman" w:hAnsi="Times New Roman"/>
          <w:color w:val="0070C0"/>
          <w:spacing w:val="0"/>
          <w:sz w:val="16"/>
          <w:szCs w:val="16"/>
        </w:rPr>
      </w:pPr>
      <w:r w:rsidRPr="00B52707">
        <w:rPr>
          <w:color w:val="0070C0"/>
          <w:sz w:val="16"/>
          <w:szCs w:val="16"/>
        </w:rPr>
        <w:t xml:space="preserve">17 (30) октября 1915 г. </w:t>
      </w:r>
      <w:r w:rsidRPr="00B52707">
        <w:rPr>
          <w:rStyle w:val="aa"/>
          <w:rFonts w:ascii="Times New Roman" w:hAnsi="Times New Roman"/>
          <w:color w:val="0070C0"/>
          <w:spacing w:val="0"/>
          <w:sz w:val="16"/>
          <w:szCs w:val="16"/>
        </w:rPr>
        <w:t>противник вновь совершил на г. Рига воздушный налет. Взрывами бомб была убита пожилая женщина, ранено несколько детей (25135).</w:t>
      </w:r>
    </w:p>
    <w:p w14:paraId="62FB8CDA" w14:textId="77777777" w:rsidR="00D979C5" w:rsidRPr="00B52707" w:rsidRDefault="00D979C5" w:rsidP="00D979C5">
      <w:pPr>
        <w:jc w:val="both"/>
        <w:rPr>
          <w:rStyle w:val="aa"/>
          <w:rFonts w:ascii="Times New Roman" w:hAnsi="Times New Roman"/>
          <w:color w:val="0070C0"/>
          <w:spacing w:val="0"/>
          <w:sz w:val="16"/>
          <w:szCs w:val="16"/>
        </w:rPr>
      </w:pPr>
    </w:p>
    <w:p w14:paraId="675781C7" w14:textId="77777777" w:rsidR="00D979C5" w:rsidRPr="00B52707" w:rsidRDefault="00D979C5" w:rsidP="00D979C5">
      <w:pPr>
        <w:widowControl w:val="0"/>
        <w:tabs>
          <w:tab w:val="left" w:pos="730"/>
        </w:tabs>
        <w:jc w:val="both"/>
        <w:rPr>
          <w:color w:val="0070C0"/>
          <w:sz w:val="16"/>
          <w:szCs w:val="16"/>
        </w:rPr>
      </w:pPr>
      <w:r w:rsidRPr="00B52707">
        <w:rPr>
          <w:rStyle w:val="aa"/>
          <w:rFonts w:ascii="Times New Roman" w:hAnsi="Times New Roman"/>
          <w:color w:val="0070C0"/>
          <w:spacing w:val="0"/>
          <w:sz w:val="16"/>
          <w:szCs w:val="16"/>
        </w:rPr>
        <w:t>17 (30) октября 1915 г. к югу от г. Барановичи вблизи н/п Городище (Западный фронт) метким огнем полевой артиллерии подбит вражеский аэроплан, упавший на позиции русских войск. Экипаж (летчик и летчик- наблюдатель) были взяты в плен (25135).</w:t>
      </w:r>
    </w:p>
    <w:p w14:paraId="231A8F6E" w14:textId="77777777" w:rsidR="00D979C5" w:rsidRPr="00B52707" w:rsidRDefault="00D979C5" w:rsidP="00D979C5">
      <w:pPr>
        <w:jc w:val="both"/>
        <w:rPr>
          <w:rStyle w:val="aa"/>
          <w:rFonts w:ascii="Times New Roman" w:hAnsi="Times New Roman"/>
          <w:color w:val="0070C0"/>
          <w:spacing w:val="0"/>
          <w:sz w:val="16"/>
          <w:szCs w:val="16"/>
        </w:rPr>
      </w:pPr>
    </w:p>
    <w:p w14:paraId="4C5E2978" w14:textId="4EBF0B83" w:rsidR="00645069" w:rsidRPr="00405303" w:rsidRDefault="00645069" w:rsidP="00C15251">
      <w:pPr>
        <w:shd w:val="clear" w:color="auto" w:fill="FFFFFF"/>
        <w:jc w:val="both"/>
        <w:rPr>
          <w:bCs/>
          <w:i/>
          <w:color w:val="002060"/>
          <w:sz w:val="16"/>
          <w:szCs w:val="16"/>
        </w:rPr>
      </w:pPr>
      <w:r w:rsidRPr="00405303">
        <w:rPr>
          <w:bCs/>
          <w:i/>
          <w:color w:val="002060"/>
          <w:sz w:val="16"/>
          <w:szCs w:val="16"/>
        </w:rPr>
        <w:t>Авиация:</w:t>
      </w:r>
    </w:p>
    <w:p w14:paraId="5369ADC5" w14:textId="77777777" w:rsidR="00645069" w:rsidRPr="00405303" w:rsidRDefault="00645069" w:rsidP="00C15251">
      <w:pPr>
        <w:shd w:val="clear" w:color="auto" w:fill="FFFFFF"/>
        <w:jc w:val="both"/>
        <w:rPr>
          <w:bCs/>
          <w:i/>
          <w:color w:val="002060"/>
          <w:sz w:val="16"/>
          <w:szCs w:val="16"/>
        </w:rPr>
      </w:pPr>
    </w:p>
    <w:p w14:paraId="183C3BDB" w14:textId="6414008F" w:rsidR="00645069" w:rsidRPr="00405303" w:rsidRDefault="00645069" w:rsidP="00C15251">
      <w:pPr>
        <w:jc w:val="both"/>
        <w:rPr>
          <w:bCs/>
          <w:color w:val="002060"/>
          <w:sz w:val="16"/>
          <w:szCs w:val="16"/>
        </w:rPr>
      </w:pPr>
      <w:r w:rsidRPr="00405303">
        <w:rPr>
          <w:rStyle w:val="ucoz-forum-post"/>
          <w:rFonts w:eastAsiaTheme="majorEastAsia"/>
          <w:bCs/>
          <w:color w:val="002060"/>
          <w:sz w:val="16"/>
          <w:szCs w:val="16"/>
        </w:rPr>
        <w:t xml:space="preserve">18 </w:t>
      </w:r>
      <w:r w:rsidR="00503924" w:rsidRPr="00405303">
        <w:rPr>
          <w:rStyle w:val="ucoz-forum-post"/>
          <w:rFonts w:eastAsiaTheme="majorEastAsia"/>
          <w:bCs/>
          <w:color w:val="002060"/>
          <w:sz w:val="16"/>
          <w:szCs w:val="16"/>
        </w:rPr>
        <w:t xml:space="preserve">(31) </w:t>
      </w:r>
      <w:r w:rsidRPr="00405303">
        <w:rPr>
          <w:rStyle w:val="ucoz-forum-post"/>
          <w:rFonts w:eastAsiaTheme="majorEastAsia"/>
          <w:bCs/>
          <w:color w:val="002060"/>
          <w:sz w:val="16"/>
          <w:szCs w:val="16"/>
        </w:rPr>
        <w:t xml:space="preserve">октября </w:t>
      </w:r>
      <w:r w:rsidRPr="00405303">
        <w:rPr>
          <w:bCs/>
          <w:color w:val="002060"/>
          <w:sz w:val="16"/>
          <w:szCs w:val="16"/>
        </w:rPr>
        <w:t>в 1915 году отряд из 3-х самолётов "Илья Муромец" произвёл налёт на город Фридрихштадт в Восточной Пруссии. Сброшено 48 1-пудовых и 1 15-пудовая бомба (14803).</w:t>
      </w:r>
    </w:p>
    <w:p w14:paraId="59D0F981" w14:textId="77777777" w:rsidR="00645069" w:rsidRPr="00405303" w:rsidRDefault="00645069" w:rsidP="00C15251">
      <w:pPr>
        <w:jc w:val="both"/>
        <w:rPr>
          <w:bCs/>
          <w:color w:val="002060"/>
          <w:sz w:val="16"/>
          <w:szCs w:val="16"/>
        </w:rPr>
      </w:pPr>
    </w:p>
    <w:p w14:paraId="5503C767" w14:textId="3DA2EF50" w:rsidR="00F51AC3" w:rsidRPr="00405303" w:rsidRDefault="00F51AC3" w:rsidP="00C15251">
      <w:pPr>
        <w:jc w:val="both"/>
        <w:rPr>
          <w:bCs/>
          <w:color w:val="002060"/>
          <w:sz w:val="16"/>
          <w:szCs w:val="16"/>
        </w:rPr>
      </w:pPr>
      <w:r w:rsidRPr="00405303">
        <w:rPr>
          <w:bCs/>
          <w:color w:val="002060"/>
          <w:sz w:val="16"/>
          <w:szCs w:val="16"/>
        </w:rPr>
        <w:t xml:space="preserve">18 (31) октября 1915 г. три Муромца, ИМ-2, ИМ-5 и ИМ-9 бомбили железнодорожную станцию Фридрихштадта, сбросив на противника сорок восемь 16-кг бомб. Во время этого рейда ИМ-9 под командованием капитана Р. Л. Нижевского, сбросил одну бомбу весом 245 кг, которая одна полностью уничтожила два соседних здания. Нижевский прибыл в эскадру незадолго до начала этой миссии. До прихода в ЭВК Нижевский служил в штабе Воздухоплавательной школы и командовал </w:t>
      </w:r>
      <w:r w:rsidRPr="00405303">
        <w:rPr>
          <w:bCs/>
          <w:color w:val="002060"/>
          <w:sz w:val="16"/>
          <w:szCs w:val="16"/>
        </w:rPr>
        <w:lastRenderedPageBreak/>
        <w:t>дирижаблем. Вскоре он стал одним из лучших пилотов эскадры. Он также служил инструктором эскадры и был также председателем технической комиссии, которая рассматривала пригодность дирижаблей и небольших самолетов для военной службы.</w:t>
      </w:r>
    </w:p>
    <w:p w14:paraId="0D059097" w14:textId="77777777" w:rsidR="00F51AC3" w:rsidRPr="00405303" w:rsidRDefault="00F51AC3" w:rsidP="00C15251">
      <w:pPr>
        <w:jc w:val="both"/>
        <w:rPr>
          <w:bCs/>
          <w:color w:val="002060"/>
          <w:sz w:val="16"/>
          <w:szCs w:val="16"/>
        </w:rPr>
      </w:pPr>
      <w:r w:rsidRPr="00405303">
        <w:rPr>
          <w:bCs/>
          <w:color w:val="002060"/>
          <w:sz w:val="16"/>
          <w:szCs w:val="16"/>
        </w:rPr>
        <w:t>Нижевский одним из первых продемонстрировал, что Илья Муромец, как и легкий самолет, способен совершать посадку с выключенными двигателями. Капитан Нижевский совершил ночную посадку в полнолуние, на покрытый снегом аэродром, что считалось очень опасным, или даже невозможным делом (23470).</w:t>
      </w:r>
    </w:p>
    <w:p w14:paraId="29889FFD" w14:textId="77777777" w:rsidR="00F51AC3" w:rsidRPr="00405303" w:rsidRDefault="00F51AC3" w:rsidP="00C15251">
      <w:pPr>
        <w:jc w:val="both"/>
        <w:rPr>
          <w:bCs/>
          <w:color w:val="002060"/>
          <w:sz w:val="16"/>
          <w:szCs w:val="16"/>
          <w:lang w:bidi="ru-RU"/>
        </w:rPr>
      </w:pPr>
    </w:p>
    <w:p w14:paraId="796E6A0C" w14:textId="7B32E990" w:rsidR="00F51AC3" w:rsidRPr="00405303" w:rsidRDefault="00F51AC3" w:rsidP="00C15251">
      <w:pPr>
        <w:jc w:val="both"/>
        <w:rPr>
          <w:bCs/>
          <w:color w:val="002060"/>
          <w:sz w:val="16"/>
          <w:szCs w:val="16"/>
        </w:rPr>
      </w:pPr>
      <w:bookmarkStart w:id="283" w:name="bookmark290"/>
      <w:bookmarkStart w:id="284" w:name="bookmark291"/>
      <w:bookmarkStart w:id="285" w:name="bookmark292"/>
      <w:r w:rsidRPr="00405303">
        <w:rPr>
          <w:bCs/>
          <w:color w:val="002060"/>
          <w:sz w:val="16"/>
          <w:szCs w:val="16"/>
        </w:rPr>
        <w:t>18 (31) октября 1915 г. над Ригой было отмечено появление немецкой авиации, выполнившей бомбометание по административным и военным объектам города (без особого ущерба). В тот же день противник потерял очередной свой летательный аппарат. В районе н/п Олай в результате зенитного обстрела один из снарядов попал в двигатель германского аэроплана, что привело к взрыву последнего. Экипаж (офицер-наблюдатель, унтер-офицер-летчик) и собака погибли. Этот трагический эпизод войны нашел отражение на обложке русского журнала «Огонек» (№ 43). На следующий день в районе ст. Столбцы огнем нашей артиллерии был подбит немецкий самолет, опустившийся в расположении русских войск. Оба неприятельских летчика взяты в плен. Значительное давление ощущали немецкие пилоты и в воздухе. 21 октября вблизи ст. Барановичи два наших аэроплана атаковали вражеский «Альбатрос» и вынудили его «стремительно спуститься» (23405).</w:t>
      </w:r>
      <w:bookmarkEnd w:id="283"/>
      <w:bookmarkEnd w:id="284"/>
      <w:bookmarkEnd w:id="285"/>
    </w:p>
    <w:p w14:paraId="1BE756F5" w14:textId="77777777" w:rsidR="00F51AC3" w:rsidRPr="00405303" w:rsidRDefault="00F51AC3" w:rsidP="00C15251">
      <w:pPr>
        <w:jc w:val="both"/>
        <w:rPr>
          <w:bCs/>
          <w:color w:val="002060"/>
          <w:sz w:val="16"/>
          <w:szCs w:val="16"/>
          <w:lang w:bidi="ru-RU"/>
        </w:rPr>
      </w:pPr>
    </w:p>
    <w:p w14:paraId="584E3233" w14:textId="77777777" w:rsidR="00D979C5" w:rsidRPr="00B52707" w:rsidRDefault="00D979C5" w:rsidP="00D979C5">
      <w:pPr>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18 (31) октября 1915 г. воздушный налет на Ригу повторился (без какого-либо вреда).</w:t>
      </w:r>
    </w:p>
    <w:p w14:paraId="4AE8BBEC" w14:textId="77777777" w:rsidR="00D979C5" w:rsidRPr="00B52707" w:rsidRDefault="00D979C5" w:rsidP="00D979C5">
      <w:pPr>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В тот же день в Рижском заливе миноносец Балтийского флота захватил подбитый германский гидроаэроплан (экипаж при падении погиб, по другим данным – взят в плен).</w:t>
      </w:r>
    </w:p>
    <w:p w14:paraId="5D7E2E11" w14:textId="77777777" w:rsidR="00D979C5" w:rsidRPr="00B52707" w:rsidRDefault="00D979C5" w:rsidP="00D979C5">
      <w:pPr>
        <w:jc w:val="both"/>
        <w:rPr>
          <w:rStyle w:val="aa"/>
          <w:rFonts w:ascii="Times New Roman" w:hAnsi="Times New Roman"/>
          <w:color w:val="0070C0"/>
          <w:spacing w:val="0"/>
          <w:sz w:val="16"/>
          <w:szCs w:val="16"/>
        </w:rPr>
      </w:pPr>
    </w:p>
    <w:p w14:paraId="4100A580" w14:textId="77777777" w:rsidR="00645069" w:rsidRPr="00405303" w:rsidRDefault="00645069" w:rsidP="00C15251">
      <w:pPr>
        <w:jc w:val="both"/>
        <w:rPr>
          <w:bCs/>
          <w:i/>
          <w:color w:val="002060"/>
          <w:sz w:val="16"/>
          <w:szCs w:val="16"/>
        </w:rPr>
      </w:pPr>
      <w:r w:rsidRPr="00405303">
        <w:rPr>
          <w:bCs/>
          <w:i/>
          <w:color w:val="002060"/>
          <w:sz w:val="16"/>
          <w:szCs w:val="16"/>
        </w:rPr>
        <w:t>За рубежом:</w:t>
      </w:r>
    </w:p>
    <w:p w14:paraId="50D9FEF5" w14:textId="77777777" w:rsidR="00645069" w:rsidRPr="00405303" w:rsidRDefault="00645069" w:rsidP="00C15251">
      <w:pPr>
        <w:jc w:val="both"/>
        <w:rPr>
          <w:bCs/>
          <w:color w:val="002060"/>
          <w:sz w:val="16"/>
          <w:szCs w:val="16"/>
        </w:rPr>
      </w:pPr>
    </w:p>
    <w:p w14:paraId="5616E694" w14:textId="77777777" w:rsidR="00645069" w:rsidRPr="00405303" w:rsidRDefault="00645069" w:rsidP="00C15251">
      <w:pPr>
        <w:jc w:val="both"/>
        <w:rPr>
          <w:bCs/>
          <w:color w:val="002060"/>
          <w:sz w:val="16"/>
          <w:szCs w:val="16"/>
        </w:rPr>
      </w:pPr>
      <w:r w:rsidRPr="00405303">
        <w:rPr>
          <w:rStyle w:val="ucoz-forum-post"/>
          <w:rFonts w:eastAsiaTheme="majorEastAsia"/>
          <w:bCs/>
          <w:color w:val="002060"/>
          <w:sz w:val="16"/>
          <w:szCs w:val="16"/>
        </w:rPr>
        <w:t xml:space="preserve">18 (31) октября </w:t>
      </w:r>
      <w:r w:rsidRPr="00405303">
        <w:rPr>
          <w:bCs/>
          <w:color w:val="002060"/>
          <w:sz w:val="16"/>
          <w:szCs w:val="16"/>
        </w:rPr>
        <w:t>в 1915 году английские солдаты на Западном фронте впервые использовали для защиты от осколков стальные каски (14816).</w:t>
      </w:r>
    </w:p>
    <w:p w14:paraId="479892FB" w14:textId="77777777" w:rsidR="00645069" w:rsidRPr="00405303" w:rsidRDefault="00645069" w:rsidP="00C15251">
      <w:pPr>
        <w:jc w:val="both"/>
        <w:rPr>
          <w:bCs/>
          <w:color w:val="002060"/>
          <w:sz w:val="16"/>
          <w:szCs w:val="16"/>
        </w:rPr>
      </w:pPr>
    </w:p>
    <w:p w14:paraId="7D33C2A8" w14:textId="77777777" w:rsidR="00594325" w:rsidRPr="00405303" w:rsidRDefault="00594325" w:rsidP="00C15251">
      <w:pPr>
        <w:pStyle w:val="ae"/>
        <w:spacing w:before="0" w:beforeAutospacing="0" w:after="0" w:afterAutospacing="0"/>
        <w:jc w:val="both"/>
        <w:rPr>
          <w:bCs/>
          <w:color w:val="002060"/>
          <w:sz w:val="16"/>
          <w:szCs w:val="16"/>
        </w:rPr>
      </w:pPr>
      <w:r w:rsidRPr="00405303">
        <w:rPr>
          <w:bCs/>
          <w:color w:val="002060"/>
          <w:sz w:val="16"/>
          <w:szCs w:val="16"/>
        </w:rPr>
        <w:t xml:space="preserve">18 (31) октября 1915 г., после завершения сражений на Марне, когда войска противников начали двигаться на север примерно </w:t>
      </w:r>
      <w:proofErr w:type="gramStart"/>
      <w:r w:rsidRPr="00405303">
        <w:rPr>
          <w:bCs/>
          <w:color w:val="002060"/>
          <w:sz w:val="16"/>
          <w:szCs w:val="16"/>
        </w:rPr>
        <w:t>с одинаковой скоростью</w:t>
      </w:r>
      <w:proofErr w:type="gramEnd"/>
      <w:r w:rsidRPr="00405303">
        <w:rPr>
          <w:rStyle w:val="af"/>
          <w:rFonts w:eastAsia="Microsoft Sans Serif"/>
          <w:bCs/>
          <w:color w:val="002060"/>
          <w:sz w:val="16"/>
          <w:szCs w:val="16"/>
        </w:rPr>
        <w:t xml:space="preserve"> началась Первая битва под Ипром</w:t>
      </w:r>
      <w:r w:rsidRPr="00405303">
        <w:rPr>
          <w:bCs/>
          <w:color w:val="002060"/>
          <w:sz w:val="16"/>
          <w:szCs w:val="16"/>
        </w:rPr>
        <w:t>. В западной исторической литературе данную фазу войны часто называют «Бегом к морю». Хотя немцы использовали тактику «живых волн», тогда им отбить город у 1-го британского экспедиционного корпуса не удалось. После яростных, но безуспешных немецких атак 11 ноября фронт под Ипром стабилизировался. Первая битва под Ипром (как и битва у реки Эн) продемонстрировала, что малочисленные, но хорошо окопавшиеся войска, эффективно используя артиллерию и пулеметы, способны устоять под натиском значительно превосходящих сил противника. Правда, теперь поле битвы осталось за союзниками.</w:t>
      </w:r>
    </w:p>
    <w:p w14:paraId="45BF9207" w14:textId="77777777" w:rsidR="00594325" w:rsidRPr="00405303" w:rsidRDefault="00594325" w:rsidP="00C15251">
      <w:pPr>
        <w:pStyle w:val="ae"/>
        <w:spacing w:before="0" w:beforeAutospacing="0" w:after="0" w:afterAutospacing="0"/>
        <w:jc w:val="both"/>
        <w:rPr>
          <w:bCs/>
          <w:color w:val="002060"/>
          <w:sz w:val="16"/>
          <w:szCs w:val="16"/>
        </w:rPr>
      </w:pPr>
      <w:r w:rsidRPr="00405303">
        <w:rPr>
          <w:bCs/>
          <w:color w:val="002060"/>
          <w:sz w:val="16"/>
          <w:szCs w:val="16"/>
        </w:rPr>
        <w:t>немцы начали артподготовку, длившуюся два дня и практически уничтожившую до фундаментов город Ипр. Битва закончилась провалом немецкой атаки 24 мая. Итог сражения был более чем скромный. Немцам удалось немного «стесать» вклинение, но достигнуть серьезной победы они не смогли. После войны многие французские и английские командиры утверждали, что, если бы немцы сумели использовать до конца свой успех на Ипре, вызванный применением хлора, они прорвали бы фронт и открыли бы себе путь к Ламаншу, что могло бы быстро привести к окончанию войны. Но этот шанс, единственный за всю войну, был упущен. Пятинедельная битва дорого обошлась обеим сторонам. Немцы потеряли в боях около 40 тыс. человек, а союзники — около 69 тыс. (20246)</w:t>
      </w:r>
    </w:p>
    <w:p w14:paraId="6151FF11" w14:textId="77777777" w:rsidR="00594325" w:rsidRPr="00405303" w:rsidRDefault="00594325" w:rsidP="00C15251">
      <w:pPr>
        <w:pStyle w:val="ae"/>
        <w:spacing w:before="0" w:beforeAutospacing="0" w:after="0" w:afterAutospacing="0"/>
        <w:jc w:val="both"/>
        <w:rPr>
          <w:bCs/>
          <w:color w:val="002060"/>
          <w:sz w:val="16"/>
          <w:szCs w:val="16"/>
        </w:rPr>
      </w:pPr>
    </w:p>
    <w:p w14:paraId="37F1F743" w14:textId="28EA642A" w:rsidR="00F51AC3" w:rsidRPr="00405303" w:rsidRDefault="00F51AC3" w:rsidP="00C15251">
      <w:pPr>
        <w:shd w:val="clear" w:color="auto" w:fill="FFFFFF"/>
        <w:jc w:val="both"/>
        <w:rPr>
          <w:bCs/>
          <w:i/>
          <w:color w:val="002060"/>
          <w:sz w:val="16"/>
          <w:szCs w:val="16"/>
        </w:rPr>
      </w:pPr>
      <w:r w:rsidRPr="00405303">
        <w:rPr>
          <w:bCs/>
          <w:i/>
          <w:color w:val="002060"/>
          <w:sz w:val="16"/>
          <w:szCs w:val="16"/>
        </w:rPr>
        <w:t>Авиация:</w:t>
      </w:r>
    </w:p>
    <w:p w14:paraId="2F989025" w14:textId="77777777" w:rsidR="00F51AC3" w:rsidRPr="00405303" w:rsidRDefault="00F51AC3" w:rsidP="00C15251">
      <w:pPr>
        <w:shd w:val="clear" w:color="auto" w:fill="FFFFFF"/>
        <w:jc w:val="both"/>
        <w:rPr>
          <w:bCs/>
          <w:i/>
          <w:color w:val="002060"/>
          <w:sz w:val="16"/>
          <w:szCs w:val="16"/>
        </w:rPr>
      </w:pPr>
    </w:p>
    <w:p w14:paraId="0ADEB13D" w14:textId="19B8F67A" w:rsidR="00F51AC3" w:rsidRPr="00405303" w:rsidRDefault="00F51AC3" w:rsidP="00C15251">
      <w:pPr>
        <w:jc w:val="both"/>
        <w:rPr>
          <w:bCs/>
          <w:color w:val="002060"/>
          <w:sz w:val="16"/>
          <w:szCs w:val="16"/>
        </w:rPr>
      </w:pPr>
      <w:r w:rsidRPr="00405303">
        <w:rPr>
          <w:bCs/>
          <w:color w:val="002060"/>
          <w:sz w:val="16"/>
          <w:szCs w:val="16"/>
        </w:rPr>
        <w:t>19 октября (1 ноября) 1915 г. над городом Баусский, в 50 км от линии фронта, все четыре двигателя ИМ-Киевского остановились. Замерзла вода, попавшая в топливопроводы. Штабс-капитан Башко, который пилотировал ИМ-Киевский повернул назад и начал планирование в сторону русских траншей. Два члена экипажа, артиллерийский офицер штабс-капитан Наумов и унтер-офицер А. В. Середницкий, заместитель командира, попытались отогреть замерзшие топливопроводы.</w:t>
      </w:r>
    </w:p>
    <w:p w14:paraId="1C4223D0" w14:textId="77777777" w:rsidR="00F51AC3" w:rsidRPr="00405303" w:rsidRDefault="00F51AC3" w:rsidP="00C15251">
      <w:pPr>
        <w:jc w:val="both"/>
        <w:rPr>
          <w:bCs/>
          <w:color w:val="002060"/>
          <w:sz w:val="16"/>
          <w:szCs w:val="16"/>
        </w:rPr>
      </w:pPr>
      <w:r w:rsidRPr="00405303">
        <w:rPr>
          <w:bCs/>
          <w:color w:val="002060"/>
          <w:sz w:val="16"/>
          <w:szCs w:val="16"/>
        </w:rPr>
        <w:t>Экипажу с большими трудностями удалось запустить два двигателя, но они работали неустойчиво. Для того, чтобы облегчить самолет, экипаж сбросил не только бомбы, но также пулеметы и боеприпасы к ним. ИМ-Киевский с двумя работающими двигателями пролетел над вражескими траншеями на высоте всего 100 метров. Немцы заметили неуклюже летящий русский аэроплан и открыли огонь из винтовок и пулеметов. В ИМ-Киевский попало более 60 пуль, но большинство из них пробили хвост самолета, что позволило экипажу избежать ранений. Перелетев через линию фронта ИМ-Киевский благополучно приземлился на русской территории у города Олаи.</w:t>
      </w:r>
    </w:p>
    <w:p w14:paraId="3064B44F" w14:textId="77777777" w:rsidR="00F51AC3" w:rsidRPr="00405303" w:rsidRDefault="00F51AC3" w:rsidP="00C15251">
      <w:pPr>
        <w:jc w:val="both"/>
        <w:rPr>
          <w:bCs/>
          <w:color w:val="002060"/>
          <w:sz w:val="16"/>
          <w:szCs w:val="16"/>
        </w:rPr>
      </w:pPr>
      <w:r w:rsidRPr="00405303">
        <w:rPr>
          <w:bCs/>
          <w:color w:val="002060"/>
          <w:sz w:val="16"/>
          <w:szCs w:val="16"/>
        </w:rPr>
        <w:t>Это был критический момент для экипажа. Благодаря присутствию духа у командира и команды, все в конце концов завершилось благополучно. Когда ИМ-Киевский приземлился, русские солдаты (сибирские стрелки) бросились к самолету, думаю, что Башко и его экипаж были немцами. Несмотря на то, что кто-то из экипажа обнял от радости одного из солдат, те упрямо продолжали считать летчиков немецкими шпионами и угрожали застрелить их на месте (23470).</w:t>
      </w:r>
    </w:p>
    <w:p w14:paraId="22661B0F" w14:textId="77777777" w:rsidR="00F51AC3" w:rsidRPr="00405303" w:rsidRDefault="00F51AC3" w:rsidP="00C15251">
      <w:pPr>
        <w:jc w:val="both"/>
        <w:rPr>
          <w:bCs/>
          <w:color w:val="002060"/>
          <w:sz w:val="16"/>
          <w:szCs w:val="16"/>
          <w:lang w:bidi="ru-RU"/>
        </w:rPr>
      </w:pPr>
    </w:p>
    <w:p w14:paraId="5BBD59BC" w14:textId="58A791FE" w:rsidR="00732C6C" w:rsidRPr="00405303" w:rsidRDefault="00732C6C" w:rsidP="00C15251">
      <w:pPr>
        <w:shd w:val="clear" w:color="auto" w:fill="FFFFFF"/>
        <w:jc w:val="both"/>
        <w:rPr>
          <w:bCs/>
          <w:i/>
          <w:color w:val="002060"/>
          <w:sz w:val="16"/>
          <w:szCs w:val="16"/>
        </w:rPr>
      </w:pPr>
      <w:r w:rsidRPr="00405303">
        <w:rPr>
          <w:bCs/>
          <w:i/>
          <w:color w:val="002060"/>
          <w:sz w:val="16"/>
          <w:szCs w:val="16"/>
        </w:rPr>
        <w:t>Авиация и воздухоплавание Англии:</w:t>
      </w:r>
    </w:p>
    <w:p w14:paraId="0A285778" w14:textId="77777777" w:rsidR="00732C6C" w:rsidRPr="00405303" w:rsidRDefault="00732C6C" w:rsidP="00C15251">
      <w:pPr>
        <w:shd w:val="clear" w:color="auto" w:fill="FFFFFF"/>
        <w:jc w:val="both"/>
        <w:rPr>
          <w:bCs/>
          <w:i/>
          <w:color w:val="002060"/>
          <w:sz w:val="16"/>
          <w:szCs w:val="16"/>
        </w:rPr>
      </w:pPr>
    </w:p>
    <w:p w14:paraId="48B045B9" w14:textId="60DD39FD" w:rsidR="00732C6C" w:rsidRPr="00405303" w:rsidRDefault="00732C6C" w:rsidP="00C15251">
      <w:pPr>
        <w:jc w:val="both"/>
        <w:rPr>
          <w:bCs/>
          <w:color w:val="002060"/>
          <w:sz w:val="16"/>
          <w:szCs w:val="16"/>
        </w:rPr>
      </w:pPr>
      <w:r w:rsidRPr="00405303">
        <w:rPr>
          <w:bCs/>
          <w:color w:val="002060"/>
          <w:sz w:val="16"/>
          <w:szCs w:val="16"/>
        </w:rPr>
        <w:t>19 октября (1 ноября) 1915 г. Королевская военно-морская авиационная служба принимает тот же знак, что и в Королевском летном корпусе, и прекращает использование Union Jack на бортах фюзеляжа (20338).</w:t>
      </w:r>
    </w:p>
    <w:p w14:paraId="2D6FADB7" w14:textId="77777777" w:rsidR="00732C6C" w:rsidRPr="00405303" w:rsidRDefault="00732C6C" w:rsidP="00C15251">
      <w:pPr>
        <w:jc w:val="both"/>
        <w:rPr>
          <w:bCs/>
          <w:color w:val="002060"/>
          <w:sz w:val="16"/>
          <w:szCs w:val="16"/>
        </w:rPr>
      </w:pPr>
    </w:p>
    <w:p w14:paraId="434B9182"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Морская авиация:</w:t>
      </w:r>
    </w:p>
    <w:p w14:paraId="4519F866" w14:textId="77777777" w:rsidR="004B4E35" w:rsidRPr="00405303" w:rsidRDefault="004B4E35" w:rsidP="00C15251">
      <w:pPr>
        <w:pStyle w:val="a3"/>
        <w:jc w:val="both"/>
        <w:rPr>
          <w:bCs/>
          <w:color w:val="002060"/>
          <w:spacing w:val="0"/>
          <w:kern w:val="0"/>
          <w:position w:val="0"/>
          <w:sz w:val="16"/>
          <w:szCs w:val="16"/>
        </w:rPr>
      </w:pPr>
    </w:p>
    <w:p w14:paraId="105B4889" w14:textId="139D152A" w:rsidR="004B4E35" w:rsidRPr="00405303" w:rsidRDefault="009E6F82" w:rsidP="00C15251">
      <w:pPr>
        <w:jc w:val="both"/>
        <w:rPr>
          <w:bCs/>
          <w:color w:val="002060"/>
          <w:sz w:val="16"/>
          <w:szCs w:val="16"/>
        </w:rPr>
      </w:pPr>
      <w:bookmarkStart w:id="286" w:name="_Hlk117794991"/>
      <w:r w:rsidRPr="00405303">
        <w:rPr>
          <w:bCs/>
          <w:color w:val="002060"/>
          <w:sz w:val="16"/>
          <w:szCs w:val="16"/>
        </w:rPr>
        <w:t xml:space="preserve">20 октября </w:t>
      </w:r>
      <w:r w:rsidR="00732C6C" w:rsidRPr="00405303">
        <w:rPr>
          <w:bCs/>
          <w:color w:val="002060"/>
          <w:sz w:val="16"/>
          <w:szCs w:val="16"/>
        </w:rPr>
        <w:t xml:space="preserve">(2ноября) </w:t>
      </w:r>
      <w:r w:rsidRPr="00405303">
        <w:rPr>
          <w:bCs/>
          <w:color w:val="002060"/>
          <w:sz w:val="16"/>
          <w:szCs w:val="16"/>
        </w:rPr>
        <w:t>1915 г.</w:t>
      </w:r>
      <w:r w:rsidR="00732C6C" w:rsidRPr="00405303">
        <w:rPr>
          <w:bCs/>
          <w:color w:val="002060"/>
          <w:sz w:val="16"/>
          <w:szCs w:val="16"/>
        </w:rPr>
        <w:t xml:space="preserve"> начальник штаба Северного фронта генерал-майор Бонч-Бруевич письмом</w:t>
      </w:r>
      <w:r w:rsidRPr="00405303">
        <w:rPr>
          <w:bCs/>
          <w:color w:val="002060"/>
          <w:sz w:val="16"/>
          <w:szCs w:val="16"/>
        </w:rPr>
        <w:t xml:space="preserve"> обратился к начальнику службы связи Балтийского моря с просьбой дать распоряжение о высылке имеющихся руководящих указаний по службе связи, схему всех наблюдательных постов, состав их и способ передачи донесений с каждого (11927).</w:t>
      </w:r>
    </w:p>
    <w:p w14:paraId="18FA5D54" w14:textId="77777777" w:rsidR="004B4E35" w:rsidRPr="00405303" w:rsidRDefault="004B4E35" w:rsidP="00C15251">
      <w:pPr>
        <w:jc w:val="both"/>
        <w:rPr>
          <w:bCs/>
          <w:color w:val="002060"/>
          <w:sz w:val="16"/>
          <w:szCs w:val="16"/>
        </w:rPr>
      </w:pPr>
    </w:p>
    <w:bookmarkEnd w:id="286"/>
    <w:p w14:paraId="1068EFC1" w14:textId="7C0FE14B" w:rsidR="003E77A4" w:rsidRPr="00405303" w:rsidRDefault="003E77A4"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5647D345" w14:textId="77777777" w:rsidR="003E77A4" w:rsidRPr="00405303" w:rsidRDefault="003E77A4" w:rsidP="00C15251">
      <w:pPr>
        <w:pStyle w:val="a3"/>
        <w:jc w:val="both"/>
        <w:rPr>
          <w:bCs/>
          <w:color w:val="002060"/>
          <w:spacing w:val="0"/>
          <w:kern w:val="0"/>
          <w:position w:val="0"/>
          <w:sz w:val="16"/>
          <w:szCs w:val="16"/>
        </w:rPr>
      </w:pPr>
    </w:p>
    <w:p w14:paraId="2586EFE7" w14:textId="449708AA" w:rsidR="00DA32B9" w:rsidRPr="00405303" w:rsidRDefault="00DA32B9" w:rsidP="00C15251">
      <w:pPr>
        <w:shd w:val="clear" w:color="auto" w:fill="FFFFFF"/>
        <w:jc w:val="both"/>
        <w:rPr>
          <w:bCs/>
          <w:color w:val="002060"/>
          <w:sz w:val="16"/>
          <w:szCs w:val="16"/>
        </w:rPr>
      </w:pPr>
      <w:r w:rsidRPr="00405303">
        <w:rPr>
          <w:bCs/>
          <w:color w:val="002060"/>
          <w:sz w:val="16"/>
          <w:szCs w:val="16"/>
        </w:rPr>
        <w:t>21 октября (3 ноября) 1915 г. командир Петрог</w:t>
      </w:r>
      <w:r w:rsidRPr="00405303">
        <w:rPr>
          <w:bCs/>
          <w:color w:val="002060"/>
          <w:sz w:val="16"/>
          <w:szCs w:val="16"/>
        </w:rPr>
        <w:softHyphen/>
        <w:t>радского порта дал фирме контракт на 3 аэроплана ЛМ-2, которые должны были быть готовы к испытаниям и опробованы в течение 30 дней, к 20 ноября. За неделю до срока, т.е. 13, В.А. Лебедев уведомил МГШ о том, что из-за ранней зимы и замерзания город</w:t>
      </w:r>
      <w:r w:rsidRPr="00405303">
        <w:rPr>
          <w:bCs/>
          <w:color w:val="002060"/>
          <w:sz w:val="16"/>
          <w:szCs w:val="16"/>
        </w:rPr>
        <w:softHyphen/>
        <w:t>ской акватории не представляется возможным провести сдаточные опыты на воде. Он жаловался на задержку, вызванную опозданием с поставкой нужных моторов, и предла</w:t>
      </w:r>
      <w:r w:rsidRPr="00405303">
        <w:rPr>
          <w:bCs/>
          <w:color w:val="002060"/>
          <w:sz w:val="16"/>
          <w:szCs w:val="16"/>
        </w:rPr>
        <w:softHyphen/>
        <w:t>гал отправить аппараты и двигатели в Севастополь, где дело и подошло бы к логическо</w:t>
      </w:r>
      <w:r w:rsidRPr="00405303">
        <w:rPr>
          <w:bCs/>
          <w:color w:val="002060"/>
          <w:sz w:val="16"/>
          <w:szCs w:val="16"/>
        </w:rPr>
        <w:softHyphen/>
        <w:t>му завершению (2843).</w:t>
      </w:r>
    </w:p>
    <w:p w14:paraId="44AE4A9B" w14:textId="77777777" w:rsidR="00DA32B9" w:rsidRPr="00405303" w:rsidRDefault="00DA32B9" w:rsidP="00C15251">
      <w:pPr>
        <w:shd w:val="clear" w:color="auto" w:fill="FFFFFF"/>
        <w:jc w:val="both"/>
        <w:rPr>
          <w:bCs/>
          <w:color w:val="002060"/>
          <w:sz w:val="16"/>
          <w:szCs w:val="16"/>
        </w:rPr>
      </w:pPr>
    </w:p>
    <w:p w14:paraId="6D710668" w14:textId="43A80DC8" w:rsidR="00DA32B9" w:rsidRPr="00405303" w:rsidRDefault="00732C6C" w:rsidP="00C15251">
      <w:pPr>
        <w:shd w:val="clear" w:color="auto" w:fill="FFFFFF"/>
        <w:jc w:val="both"/>
        <w:rPr>
          <w:bCs/>
          <w:color w:val="002060"/>
          <w:sz w:val="16"/>
          <w:szCs w:val="16"/>
        </w:rPr>
      </w:pPr>
      <w:r w:rsidRPr="00405303">
        <w:rPr>
          <w:bCs/>
          <w:color w:val="002060"/>
          <w:sz w:val="16"/>
          <w:szCs w:val="16"/>
        </w:rPr>
        <w:t>21 октября (3 ноября) 1915 г. командир Петрог</w:t>
      </w:r>
      <w:r w:rsidRPr="00405303">
        <w:rPr>
          <w:bCs/>
          <w:color w:val="002060"/>
          <w:sz w:val="16"/>
          <w:szCs w:val="16"/>
        </w:rPr>
        <w:softHyphen/>
        <w:t xml:space="preserve">радского порта дал фирме контракт на 3 аэроплана ЛМ-2, которые должны были быть готовы к испытаниям и опробованы в течение 30 дней, к 20 ноября. </w:t>
      </w:r>
      <w:r w:rsidR="00DA32B9" w:rsidRPr="00405303">
        <w:rPr>
          <w:bCs/>
          <w:color w:val="002060"/>
          <w:sz w:val="16"/>
          <w:szCs w:val="16"/>
        </w:rPr>
        <w:t>Все затянулось на целый год, т.к. Морское ведомство отказалось от этих самолетов, ре</w:t>
      </w:r>
      <w:r w:rsidR="00DA32B9" w:rsidRPr="00405303">
        <w:rPr>
          <w:bCs/>
          <w:color w:val="002060"/>
          <w:sz w:val="16"/>
          <w:szCs w:val="16"/>
        </w:rPr>
        <w:softHyphen/>
        <w:t>шив передать их в другие руки. 31 октября 1916 г. аэроплан ЛМ-2 с заводским номером 281 приняли в Гатчинской военной авиашколе, тогда как две другие машины с заводскими номерами 279 и 280 попали в Качинскую военную авиационную школу, будучи зачислен</w:t>
      </w:r>
      <w:r w:rsidR="00DA32B9" w:rsidRPr="00405303">
        <w:rPr>
          <w:bCs/>
          <w:color w:val="002060"/>
          <w:sz w:val="16"/>
          <w:szCs w:val="16"/>
        </w:rPr>
        <w:softHyphen/>
        <w:t>ными в списки ее имущества 9 декабря того же года. Скорее всего, все они использовались на колесном и лыжном шасси. Примечательно, что контракт официально не был растор</w:t>
      </w:r>
      <w:r w:rsidR="00DA32B9" w:rsidRPr="00405303">
        <w:rPr>
          <w:bCs/>
          <w:color w:val="002060"/>
          <w:sz w:val="16"/>
          <w:szCs w:val="16"/>
        </w:rPr>
        <w:softHyphen/>
        <w:t>гнут и флот просто "одолжил" самолеты армии, точно так, как морская авиация получа</w:t>
      </w:r>
      <w:r w:rsidR="00DA32B9" w:rsidRPr="00405303">
        <w:rPr>
          <w:bCs/>
          <w:color w:val="002060"/>
          <w:sz w:val="16"/>
          <w:szCs w:val="16"/>
        </w:rPr>
        <w:softHyphen/>
        <w:t>ла некоторые машины от сухопутной.</w:t>
      </w:r>
    </w:p>
    <w:p w14:paraId="240FA56A" w14:textId="77777777" w:rsidR="00DA32B9" w:rsidRPr="00405303" w:rsidRDefault="00DA32B9" w:rsidP="00C15251">
      <w:pPr>
        <w:shd w:val="clear" w:color="auto" w:fill="FFFFFF"/>
        <w:jc w:val="both"/>
        <w:rPr>
          <w:bCs/>
          <w:color w:val="002060"/>
          <w:sz w:val="16"/>
          <w:szCs w:val="16"/>
        </w:rPr>
      </w:pPr>
      <w:r w:rsidRPr="00405303">
        <w:rPr>
          <w:bCs/>
          <w:color w:val="002060"/>
          <w:sz w:val="16"/>
          <w:szCs w:val="16"/>
        </w:rPr>
        <w:t>К сожалению, никаких технических подробностей о конструкции ЛМ-2 обнаружить не удалось, как нет их и в опубликованных источниках. Можно говорить лишь о том, что модель представляла собой одномоторный двухместный аппарат, вероятно большого сходства с каким-либо германским типом.</w:t>
      </w:r>
    </w:p>
    <w:p w14:paraId="0749A110" w14:textId="77777777" w:rsidR="00DA32B9" w:rsidRPr="00405303" w:rsidRDefault="00DA32B9" w:rsidP="00C15251">
      <w:pPr>
        <w:shd w:val="clear" w:color="auto" w:fill="FFFFFF"/>
        <w:jc w:val="both"/>
        <w:rPr>
          <w:bCs/>
          <w:color w:val="002060"/>
          <w:sz w:val="16"/>
          <w:szCs w:val="16"/>
        </w:rPr>
      </w:pPr>
      <w:r w:rsidRPr="00405303">
        <w:rPr>
          <w:bCs/>
          <w:color w:val="002060"/>
          <w:sz w:val="16"/>
          <w:szCs w:val="16"/>
        </w:rPr>
        <w:lastRenderedPageBreak/>
        <w:t>Сведения о контракте на гидроаэропланы ЛМ-2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DA32B9" w:rsidRPr="00405303" w14:paraId="7982C515" w14:textId="77777777" w:rsidTr="00920A70">
        <w:tc>
          <w:tcPr>
            <w:tcW w:w="4788" w:type="dxa"/>
            <w:shd w:val="clear" w:color="auto" w:fill="FFFFFF"/>
          </w:tcPr>
          <w:p w14:paraId="2EB49637" w14:textId="77777777" w:rsidR="00DA32B9" w:rsidRPr="00405303" w:rsidRDefault="00DA32B9" w:rsidP="00C15251">
            <w:pPr>
              <w:jc w:val="both"/>
              <w:rPr>
                <w:bCs/>
                <w:color w:val="002060"/>
                <w:sz w:val="16"/>
                <w:szCs w:val="16"/>
              </w:rPr>
            </w:pPr>
            <w:r w:rsidRPr="00405303">
              <w:rPr>
                <w:bCs/>
                <w:color w:val="002060"/>
                <w:sz w:val="16"/>
                <w:szCs w:val="16"/>
              </w:rPr>
              <w:t>Дата контракта</w:t>
            </w:r>
          </w:p>
        </w:tc>
        <w:tc>
          <w:tcPr>
            <w:tcW w:w="4788" w:type="dxa"/>
            <w:shd w:val="clear" w:color="auto" w:fill="FFFFFF"/>
          </w:tcPr>
          <w:p w14:paraId="60F386AF" w14:textId="77777777" w:rsidR="00DA32B9" w:rsidRPr="00405303" w:rsidRDefault="00DA32B9" w:rsidP="00C15251">
            <w:pPr>
              <w:jc w:val="both"/>
              <w:rPr>
                <w:bCs/>
                <w:color w:val="002060"/>
                <w:sz w:val="16"/>
                <w:szCs w:val="16"/>
              </w:rPr>
            </w:pPr>
            <w:r w:rsidRPr="00405303">
              <w:rPr>
                <w:bCs/>
                <w:color w:val="002060"/>
                <w:sz w:val="16"/>
                <w:szCs w:val="16"/>
              </w:rPr>
              <w:t>Октябрь 21 (3 ноября) 1915</w:t>
            </w:r>
          </w:p>
        </w:tc>
      </w:tr>
      <w:tr w:rsidR="00DA32B9" w:rsidRPr="00405303" w14:paraId="60D20C7A" w14:textId="77777777" w:rsidTr="00920A70">
        <w:tc>
          <w:tcPr>
            <w:tcW w:w="4788" w:type="dxa"/>
            <w:shd w:val="clear" w:color="auto" w:fill="FFFFFF"/>
          </w:tcPr>
          <w:p w14:paraId="28CFAAD8" w14:textId="77777777" w:rsidR="00DA32B9" w:rsidRPr="00405303" w:rsidRDefault="00DA32B9" w:rsidP="00C15251">
            <w:pPr>
              <w:jc w:val="both"/>
              <w:rPr>
                <w:bCs/>
                <w:color w:val="002060"/>
                <w:sz w:val="16"/>
                <w:szCs w:val="16"/>
              </w:rPr>
            </w:pPr>
            <w:r w:rsidRPr="00405303">
              <w:rPr>
                <w:bCs/>
                <w:color w:val="002060"/>
                <w:sz w:val="16"/>
                <w:szCs w:val="16"/>
              </w:rPr>
              <w:t>Число заказанных аэропланов</w:t>
            </w:r>
          </w:p>
        </w:tc>
        <w:tc>
          <w:tcPr>
            <w:tcW w:w="4788" w:type="dxa"/>
            <w:shd w:val="clear" w:color="auto" w:fill="FFFFFF"/>
          </w:tcPr>
          <w:p w14:paraId="41D9EFD1" w14:textId="77777777" w:rsidR="00DA32B9" w:rsidRPr="00405303" w:rsidRDefault="00DA32B9" w:rsidP="00C15251">
            <w:pPr>
              <w:jc w:val="both"/>
              <w:rPr>
                <w:bCs/>
                <w:color w:val="002060"/>
                <w:sz w:val="16"/>
                <w:szCs w:val="16"/>
              </w:rPr>
            </w:pPr>
            <w:r w:rsidRPr="00405303">
              <w:rPr>
                <w:bCs/>
                <w:color w:val="002060"/>
                <w:sz w:val="16"/>
                <w:szCs w:val="16"/>
              </w:rPr>
              <w:t>3</w:t>
            </w:r>
          </w:p>
        </w:tc>
      </w:tr>
      <w:tr w:rsidR="00DA32B9" w:rsidRPr="00405303" w14:paraId="5069AA89" w14:textId="77777777" w:rsidTr="00920A70">
        <w:tc>
          <w:tcPr>
            <w:tcW w:w="4788" w:type="dxa"/>
            <w:shd w:val="clear" w:color="auto" w:fill="FFFFFF"/>
          </w:tcPr>
          <w:p w14:paraId="75357F35" w14:textId="77777777" w:rsidR="00DA32B9" w:rsidRPr="00405303" w:rsidRDefault="00DA32B9" w:rsidP="00C15251">
            <w:pPr>
              <w:jc w:val="both"/>
              <w:rPr>
                <w:bCs/>
                <w:color w:val="002060"/>
                <w:sz w:val="16"/>
                <w:szCs w:val="16"/>
              </w:rPr>
            </w:pPr>
            <w:r w:rsidRPr="00405303">
              <w:rPr>
                <w:bCs/>
                <w:color w:val="002060"/>
                <w:sz w:val="16"/>
                <w:szCs w:val="16"/>
              </w:rPr>
              <w:t>Заводские номера сданных аэропланов</w:t>
            </w:r>
          </w:p>
        </w:tc>
        <w:tc>
          <w:tcPr>
            <w:tcW w:w="4788" w:type="dxa"/>
            <w:shd w:val="clear" w:color="auto" w:fill="FFFFFF"/>
          </w:tcPr>
          <w:p w14:paraId="205DFAC2" w14:textId="77777777" w:rsidR="00DA32B9" w:rsidRPr="00405303" w:rsidRDefault="00DA32B9" w:rsidP="00C15251">
            <w:pPr>
              <w:jc w:val="both"/>
              <w:rPr>
                <w:bCs/>
                <w:color w:val="002060"/>
                <w:sz w:val="16"/>
                <w:szCs w:val="16"/>
              </w:rPr>
            </w:pPr>
            <w:r w:rsidRPr="00405303">
              <w:rPr>
                <w:bCs/>
                <w:color w:val="002060"/>
                <w:sz w:val="16"/>
                <w:szCs w:val="16"/>
              </w:rPr>
              <w:t>279, 280, 281</w:t>
            </w:r>
          </w:p>
        </w:tc>
      </w:tr>
      <w:tr w:rsidR="00DA32B9" w:rsidRPr="00405303" w14:paraId="46FD85A7" w14:textId="77777777" w:rsidTr="00920A70">
        <w:tc>
          <w:tcPr>
            <w:tcW w:w="4788" w:type="dxa"/>
            <w:shd w:val="clear" w:color="auto" w:fill="FFFFFF"/>
          </w:tcPr>
          <w:p w14:paraId="00C01D3E" w14:textId="77777777" w:rsidR="00DA32B9" w:rsidRPr="00405303" w:rsidRDefault="00DA32B9" w:rsidP="00C15251">
            <w:pPr>
              <w:jc w:val="both"/>
              <w:rPr>
                <w:bCs/>
                <w:color w:val="002060"/>
                <w:sz w:val="16"/>
                <w:szCs w:val="16"/>
              </w:rPr>
            </w:pPr>
            <w:r w:rsidRPr="00405303">
              <w:rPr>
                <w:bCs/>
                <w:color w:val="002060"/>
                <w:sz w:val="16"/>
                <w:szCs w:val="16"/>
              </w:rPr>
              <w:t>Условия</w:t>
            </w:r>
          </w:p>
        </w:tc>
        <w:tc>
          <w:tcPr>
            <w:tcW w:w="4788" w:type="dxa"/>
            <w:shd w:val="clear" w:color="auto" w:fill="FFFFFF"/>
          </w:tcPr>
          <w:p w14:paraId="652E9456" w14:textId="77777777" w:rsidR="00DA32B9" w:rsidRPr="00405303" w:rsidRDefault="00DA32B9" w:rsidP="00C15251">
            <w:pPr>
              <w:jc w:val="both"/>
              <w:rPr>
                <w:bCs/>
                <w:color w:val="002060"/>
                <w:sz w:val="16"/>
                <w:szCs w:val="16"/>
              </w:rPr>
            </w:pPr>
            <w:r w:rsidRPr="00405303">
              <w:rPr>
                <w:bCs/>
                <w:color w:val="002060"/>
                <w:sz w:val="16"/>
                <w:szCs w:val="16"/>
              </w:rPr>
              <w:t>9.500 руб. за аппарат без мотора, срок исполнения — 20 ноября 1915 г. (выполнен примерно через год)</w:t>
            </w:r>
          </w:p>
        </w:tc>
      </w:tr>
      <w:tr w:rsidR="00DA32B9" w:rsidRPr="00405303" w14:paraId="578C8EA6" w14:textId="77777777" w:rsidTr="00920A70">
        <w:tc>
          <w:tcPr>
            <w:tcW w:w="4788" w:type="dxa"/>
            <w:shd w:val="clear" w:color="auto" w:fill="FFFFFF"/>
          </w:tcPr>
          <w:p w14:paraId="06FD37E1" w14:textId="77777777" w:rsidR="00DA32B9" w:rsidRPr="00405303" w:rsidRDefault="00DA32B9" w:rsidP="00C15251">
            <w:pPr>
              <w:jc w:val="both"/>
              <w:rPr>
                <w:bCs/>
                <w:color w:val="002060"/>
                <w:sz w:val="16"/>
                <w:szCs w:val="16"/>
              </w:rPr>
            </w:pPr>
          </w:p>
        </w:tc>
        <w:tc>
          <w:tcPr>
            <w:tcW w:w="4788" w:type="dxa"/>
            <w:shd w:val="clear" w:color="auto" w:fill="FFFFFF"/>
          </w:tcPr>
          <w:p w14:paraId="3B556EE8" w14:textId="77777777" w:rsidR="00DA32B9" w:rsidRPr="00405303" w:rsidRDefault="00DA32B9" w:rsidP="00C15251">
            <w:pPr>
              <w:jc w:val="both"/>
              <w:rPr>
                <w:bCs/>
                <w:color w:val="002060"/>
                <w:sz w:val="16"/>
                <w:szCs w:val="16"/>
              </w:rPr>
            </w:pPr>
            <w:r w:rsidRPr="00405303">
              <w:rPr>
                <w:bCs/>
                <w:color w:val="002060"/>
                <w:sz w:val="16"/>
                <w:szCs w:val="16"/>
              </w:rPr>
              <w:t>Примечания: контракт не расторгнут, но все аппараты переданы армейским авиационным школам (2843).</w:t>
            </w:r>
          </w:p>
        </w:tc>
      </w:tr>
    </w:tbl>
    <w:p w14:paraId="46496460" w14:textId="77777777" w:rsidR="00DA32B9" w:rsidRPr="00405303" w:rsidRDefault="00DA32B9" w:rsidP="00C15251">
      <w:pPr>
        <w:shd w:val="clear" w:color="auto" w:fill="FFFFFF"/>
        <w:jc w:val="both"/>
        <w:rPr>
          <w:bCs/>
          <w:color w:val="002060"/>
          <w:sz w:val="16"/>
          <w:szCs w:val="16"/>
        </w:rPr>
      </w:pPr>
    </w:p>
    <w:p w14:paraId="0842E506" w14:textId="77777777" w:rsidR="003E77A4" w:rsidRPr="00405303" w:rsidRDefault="003E77A4" w:rsidP="00C15251">
      <w:pPr>
        <w:jc w:val="both"/>
        <w:rPr>
          <w:bCs/>
          <w:color w:val="002060"/>
          <w:sz w:val="16"/>
          <w:szCs w:val="16"/>
        </w:rPr>
      </w:pPr>
      <w:r w:rsidRPr="00405303">
        <w:rPr>
          <w:bCs/>
          <w:color w:val="002060"/>
          <w:sz w:val="16"/>
          <w:szCs w:val="16"/>
        </w:rPr>
        <w:t>21 октября (3 ноября) 1915 года</w:t>
      </w:r>
    </w:p>
    <w:p w14:paraId="0958C484" w14:textId="77777777" w:rsidR="003E77A4" w:rsidRPr="00405303" w:rsidRDefault="003E77A4" w:rsidP="00C15251">
      <w:pPr>
        <w:jc w:val="both"/>
        <w:rPr>
          <w:bCs/>
          <w:color w:val="002060"/>
          <w:sz w:val="16"/>
          <w:szCs w:val="16"/>
        </w:rPr>
      </w:pPr>
      <w:r w:rsidRPr="00405303">
        <w:rPr>
          <w:bCs/>
          <w:color w:val="002060"/>
          <w:sz w:val="16"/>
          <w:szCs w:val="16"/>
        </w:rPr>
        <w:t>Копия.</w:t>
      </w:r>
    </w:p>
    <w:p w14:paraId="2D77AB4F" w14:textId="77777777" w:rsidR="003E77A4" w:rsidRPr="00405303" w:rsidRDefault="003E77A4" w:rsidP="00C15251">
      <w:pPr>
        <w:jc w:val="both"/>
        <w:rPr>
          <w:bCs/>
          <w:color w:val="002060"/>
          <w:sz w:val="16"/>
          <w:szCs w:val="16"/>
        </w:rPr>
      </w:pPr>
      <w:r w:rsidRPr="00405303">
        <w:rPr>
          <w:bCs/>
          <w:color w:val="002060"/>
          <w:sz w:val="16"/>
          <w:szCs w:val="16"/>
        </w:rPr>
        <w:t>Совершенно секретно.</w:t>
      </w:r>
    </w:p>
    <w:p w14:paraId="62F3C7BE" w14:textId="77777777" w:rsidR="003E77A4" w:rsidRPr="00405303" w:rsidRDefault="003E77A4" w:rsidP="00C15251">
      <w:pPr>
        <w:jc w:val="both"/>
        <w:rPr>
          <w:bCs/>
          <w:color w:val="002060"/>
          <w:sz w:val="16"/>
          <w:szCs w:val="16"/>
        </w:rPr>
      </w:pPr>
      <w:r w:rsidRPr="00405303">
        <w:rPr>
          <w:bCs/>
          <w:color w:val="002060"/>
          <w:sz w:val="16"/>
          <w:szCs w:val="16"/>
        </w:rPr>
        <w:t>ЖУРНАЛ № 17</w:t>
      </w:r>
    </w:p>
    <w:p w14:paraId="3D42C041" w14:textId="77777777" w:rsidR="003E77A4" w:rsidRPr="00405303" w:rsidRDefault="003E77A4" w:rsidP="00C15251">
      <w:pPr>
        <w:jc w:val="both"/>
        <w:rPr>
          <w:bCs/>
          <w:color w:val="002060"/>
          <w:sz w:val="16"/>
          <w:szCs w:val="16"/>
        </w:rPr>
      </w:pPr>
      <w:r w:rsidRPr="00405303">
        <w:rPr>
          <w:bCs/>
          <w:color w:val="002060"/>
          <w:sz w:val="16"/>
          <w:szCs w:val="16"/>
        </w:rPr>
        <w:t>Особого Совещания для обсуждения и объединения мероприятий по обороне государства.</w:t>
      </w:r>
    </w:p>
    <w:p w14:paraId="44D65D99" w14:textId="77777777" w:rsidR="003E77A4" w:rsidRPr="00405303" w:rsidRDefault="003E77A4" w:rsidP="00C15251">
      <w:pPr>
        <w:jc w:val="both"/>
        <w:rPr>
          <w:bCs/>
          <w:color w:val="002060"/>
          <w:sz w:val="16"/>
          <w:szCs w:val="16"/>
        </w:rPr>
      </w:pPr>
      <w:r w:rsidRPr="00405303">
        <w:rPr>
          <w:bCs/>
          <w:color w:val="002060"/>
          <w:sz w:val="16"/>
          <w:szCs w:val="16"/>
        </w:rPr>
        <w:t>Заседание 21 октября 1915 года.</w:t>
      </w:r>
    </w:p>
    <w:p w14:paraId="6ED18435" w14:textId="77777777" w:rsidR="003E77A4" w:rsidRPr="00405303" w:rsidRDefault="003E77A4" w:rsidP="00C15251">
      <w:pPr>
        <w:jc w:val="both"/>
        <w:rPr>
          <w:bCs/>
          <w:color w:val="002060"/>
          <w:sz w:val="16"/>
          <w:szCs w:val="16"/>
        </w:rPr>
      </w:pPr>
      <w:r w:rsidRPr="00405303">
        <w:rPr>
          <w:bCs/>
          <w:color w:val="002060"/>
          <w:sz w:val="16"/>
          <w:szCs w:val="16"/>
        </w:rPr>
        <w:t xml:space="preserve">Председательствовал генерал от </w:t>
      </w:r>
      <w:proofErr w:type="gramStart"/>
      <w:r w:rsidRPr="00405303">
        <w:rPr>
          <w:bCs/>
          <w:color w:val="002060"/>
          <w:sz w:val="16"/>
          <w:szCs w:val="16"/>
        </w:rPr>
        <w:t>инфантерии....</w:t>
      </w:r>
      <w:proofErr w:type="gramEnd"/>
      <w:r w:rsidRPr="00405303">
        <w:rPr>
          <w:bCs/>
          <w:color w:val="002060"/>
          <w:sz w:val="16"/>
          <w:szCs w:val="16"/>
        </w:rPr>
        <w:t>.А. А. Поливанов.</w:t>
      </w:r>
    </w:p>
    <w:p w14:paraId="76C9C5FC" w14:textId="77777777" w:rsidR="003E77A4" w:rsidRPr="00405303" w:rsidRDefault="003E77A4" w:rsidP="00C15251">
      <w:pPr>
        <w:jc w:val="both"/>
        <w:rPr>
          <w:bCs/>
          <w:color w:val="002060"/>
          <w:sz w:val="16"/>
          <w:szCs w:val="16"/>
        </w:rPr>
      </w:pPr>
      <w:r w:rsidRPr="00405303">
        <w:rPr>
          <w:bCs/>
          <w:color w:val="002060"/>
          <w:sz w:val="16"/>
          <w:szCs w:val="16"/>
        </w:rPr>
        <w:t>Присутствовали:</w:t>
      </w:r>
    </w:p>
    <w:p w14:paraId="35BD4192" w14:textId="77777777" w:rsidR="003E77A4" w:rsidRPr="00405303" w:rsidRDefault="003E77A4" w:rsidP="00C15251">
      <w:pPr>
        <w:jc w:val="both"/>
        <w:rPr>
          <w:bCs/>
          <w:color w:val="002060"/>
          <w:sz w:val="16"/>
          <w:szCs w:val="16"/>
        </w:rPr>
      </w:pPr>
      <w:r w:rsidRPr="00405303">
        <w:rPr>
          <w:bCs/>
          <w:color w:val="002060"/>
          <w:sz w:val="16"/>
          <w:szCs w:val="16"/>
        </w:rPr>
        <w:t>Член Государственного Совета ...................С. И. Тимашев.</w:t>
      </w:r>
    </w:p>
    <w:p w14:paraId="38893C9B" w14:textId="7652B99A" w:rsidR="003E77A4" w:rsidRPr="00405303" w:rsidRDefault="000F5756" w:rsidP="00C15251">
      <w:pPr>
        <w:jc w:val="both"/>
        <w:rPr>
          <w:bCs/>
          <w:color w:val="002060"/>
          <w:sz w:val="16"/>
          <w:szCs w:val="16"/>
        </w:rPr>
      </w:pPr>
      <w:r>
        <w:rPr>
          <w:bCs/>
          <w:color w:val="002060"/>
          <w:sz w:val="16"/>
          <w:szCs w:val="16"/>
        </w:rPr>
        <w:t xml:space="preserve">  </w:t>
      </w:r>
      <w:r w:rsidR="003E77A4" w:rsidRPr="00405303">
        <w:rPr>
          <w:bCs/>
          <w:color w:val="002060"/>
          <w:sz w:val="16"/>
          <w:szCs w:val="16"/>
        </w:rPr>
        <w:t xml:space="preserve"> </w:t>
      </w:r>
      <w:proofErr w:type="gramStart"/>
      <w:r w:rsidR="003E77A4" w:rsidRPr="00405303">
        <w:rPr>
          <w:bCs/>
          <w:color w:val="002060"/>
          <w:sz w:val="16"/>
          <w:szCs w:val="16"/>
        </w:rPr>
        <w:t>» »</w:t>
      </w:r>
      <w:proofErr w:type="gramEnd"/>
      <w:r w:rsidR="003E77A4" w:rsidRPr="00405303">
        <w:rPr>
          <w:bCs/>
          <w:color w:val="002060"/>
          <w:sz w:val="16"/>
          <w:szCs w:val="16"/>
        </w:rPr>
        <w:t xml:space="preserve"> »........................................В. И. Тимирязев.</w:t>
      </w:r>
    </w:p>
    <w:p w14:paraId="03E6D37D" w14:textId="161FFF25" w:rsidR="003E77A4" w:rsidRPr="00405303" w:rsidRDefault="000F5756" w:rsidP="00C15251">
      <w:pPr>
        <w:jc w:val="both"/>
        <w:rPr>
          <w:bCs/>
          <w:color w:val="002060"/>
          <w:sz w:val="16"/>
          <w:szCs w:val="16"/>
        </w:rPr>
      </w:pPr>
      <w:r>
        <w:rPr>
          <w:bCs/>
          <w:color w:val="002060"/>
          <w:sz w:val="16"/>
          <w:szCs w:val="16"/>
        </w:rPr>
        <w:t xml:space="preserve">  </w:t>
      </w:r>
      <w:r w:rsidR="003E77A4" w:rsidRPr="00405303">
        <w:rPr>
          <w:bCs/>
          <w:color w:val="002060"/>
          <w:sz w:val="16"/>
          <w:szCs w:val="16"/>
        </w:rPr>
        <w:t xml:space="preserve"> </w:t>
      </w:r>
      <w:proofErr w:type="gramStart"/>
      <w:r w:rsidR="003E77A4" w:rsidRPr="00405303">
        <w:rPr>
          <w:bCs/>
          <w:color w:val="002060"/>
          <w:sz w:val="16"/>
          <w:szCs w:val="16"/>
        </w:rPr>
        <w:t>» »</w:t>
      </w:r>
      <w:proofErr w:type="gramEnd"/>
      <w:r w:rsidR="003E77A4" w:rsidRPr="00405303">
        <w:rPr>
          <w:bCs/>
          <w:color w:val="002060"/>
          <w:sz w:val="16"/>
          <w:szCs w:val="16"/>
        </w:rPr>
        <w:t xml:space="preserve"> ».......................................А. С. Стишинский.</w:t>
      </w:r>
    </w:p>
    <w:p w14:paraId="494C1955" w14:textId="306A6B5E" w:rsidR="003E77A4" w:rsidRPr="00405303" w:rsidRDefault="000F5756" w:rsidP="00C15251">
      <w:pPr>
        <w:jc w:val="both"/>
        <w:rPr>
          <w:bCs/>
          <w:color w:val="002060"/>
          <w:sz w:val="16"/>
          <w:szCs w:val="16"/>
        </w:rPr>
      </w:pPr>
      <w:r>
        <w:rPr>
          <w:bCs/>
          <w:color w:val="002060"/>
          <w:sz w:val="16"/>
          <w:szCs w:val="16"/>
        </w:rPr>
        <w:t xml:space="preserve">  </w:t>
      </w:r>
      <w:r w:rsidR="003E77A4" w:rsidRPr="00405303">
        <w:rPr>
          <w:bCs/>
          <w:color w:val="002060"/>
          <w:sz w:val="16"/>
          <w:szCs w:val="16"/>
        </w:rPr>
        <w:t xml:space="preserve"> » » »</w:t>
      </w:r>
    </w:p>
    <w:p w14:paraId="0774B131" w14:textId="0D7A4C59" w:rsidR="003E77A4" w:rsidRPr="00405303" w:rsidRDefault="000F5756" w:rsidP="00C15251">
      <w:pPr>
        <w:jc w:val="both"/>
        <w:rPr>
          <w:bCs/>
          <w:color w:val="002060"/>
          <w:sz w:val="16"/>
          <w:szCs w:val="16"/>
        </w:rPr>
      </w:pPr>
      <w:r>
        <w:rPr>
          <w:bCs/>
          <w:color w:val="002060"/>
          <w:sz w:val="16"/>
          <w:szCs w:val="16"/>
        </w:rPr>
        <w:t xml:space="preserve">   </w:t>
      </w:r>
      <w:r w:rsidR="003E77A4" w:rsidRPr="00405303">
        <w:rPr>
          <w:bCs/>
          <w:color w:val="002060"/>
          <w:sz w:val="16"/>
          <w:szCs w:val="16"/>
        </w:rPr>
        <w:t>» » »</w:t>
      </w:r>
    </w:p>
    <w:p w14:paraId="22BE5A14" w14:textId="70D50B71" w:rsidR="003E77A4" w:rsidRPr="00405303" w:rsidRDefault="000F5756" w:rsidP="00C15251">
      <w:pPr>
        <w:jc w:val="both"/>
        <w:rPr>
          <w:bCs/>
          <w:color w:val="002060"/>
          <w:sz w:val="16"/>
          <w:szCs w:val="16"/>
        </w:rPr>
      </w:pPr>
      <w:r>
        <w:rPr>
          <w:bCs/>
          <w:color w:val="002060"/>
          <w:sz w:val="16"/>
          <w:szCs w:val="16"/>
        </w:rPr>
        <w:t xml:space="preserve">  </w:t>
      </w:r>
      <w:r w:rsidR="003E77A4" w:rsidRPr="00405303">
        <w:rPr>
          <w:bCs/>
          <w:color w:val="002060"/>
          <w:sz w:val="16"/>
          <w:szCs w:val="16"/>
        </w:rPr>
        <w:t xml:space="preserve"> » » »............................</w:t>
      </w:r>
    </w:p>
    <w:p w14:paraId="7B926A5C" w14:textId="36ABF5FA" w:rsidR="003E77A4" w:rsidRPr="00405303" w:rsidRDefault="000F5756" w:rsidP="00C15251">
      <w:pPr>
        <w:jc w:val="both"/>
        <w:rPr>
          <w:bCs/>
          <w:color w:val="002060"/>
          <w:sz w:val="16"/>
          <w:szCs w:val="16"/>
        </w:rPr>
      </w:pPr>
      <w:r>
        <w:rPr>
          <w:bCs/>
          <w:color w:val="002060"/>
          <w:sz w:val="16"/>
          <w:szCs w:val="16"/>
        </w:rPr>
        <w:t xml:space="preserve">  </w:t>
      </w:r>
      <w:r w:rsidR="003E77A4" w:rsidRPr="00405303">
        <w:rPr>
          <w:bCs/>
          <w:color w:val="002060"/>
          <w:sz w:val="16"/>
          <w:szCs w:val="16"/>
        </w:rPr>
        <w:t xml:space="preserve"> » » »............................</w:t>
      </w:r>
    </w:p>
    <w:p w14:paraId="3B0734FF" w14:textId="2173754E" w:rsidR="003E77A4" w:rsidRPr="00405303" w:rsidRDefault="000F5756" w:rsidP="00C15251">
      <w:pPr>
        <w:jc w:val="both"/>
        <w:rPr>
          <w:bCs/>
          <w:color w:val="002060"/>
          <w:sz w:val="16"/>
          <w:szCs w:val="16"/>
        </w:rPr>
      </w:pPr>
      <w:r>
        <w:rPr>
          <w:bCs/>
          <w:color w:val="002060"/>
          <w:sz w:val="16"/>
          <w:szCs w:val="16"/>
        </w:rPr>
        <w:t xml:space="preserve">  </w:t>
      </w:r>
      <w:r w:rsidR="003E77A4" w:rsidRPr="00405303">
        <w:rPr>
          <w:bCs/>
          <w:color w:val="002060"/>
          <w:sz w:val="16"/>
          <w:szCs w:val="16"/>
        </w:rPr>
        <w:t xml:space="preserve"> » » »............................</w:t>
      </w:r>
    </w:p>
    <w:p w14:paraId="1E88F1EE" w14:textId="77777777" w:rsidR="003E77A4" w:rsidRPr="00405303" w:rsidRDefault="003E77A4" w:rsidP="00C15251">
      <w:pPr>
        <w:jc w:val="both"/>
        <w:rPr>
          <w:bCs/>
          <w:color w:val="002060"/>
          <w:sz w:val="16"/>
          <w:szCs w:val="16"/>
        </w:rPr>
      </w:pPr>
      <w:r w:rsidRPr="00405303">
        <w:rPr>
          <w:bCs/>
          <w:color w:val="002060"/>
          <w:sz w:val="16"/>
          <w:szCs w:val="16"/>
        </w:rPr>
        <w:t xml:space="preserve">Председатель Государственной </w:t>
      </w:r>
      <w:proofErr w:type="gramStart"/>
      <w:r w:rsidRPr="00405303">
        <w:rPr>
          <w:bCs/>
          <w:color w:val="002060"/>
          <w:sz w:val="16"/>
          <w:szCs w:val="16"/>
        </w:rPr>
        <w:t>Думы....</w:t>
      </w:r>
      <w:proofErr w:type="gramEnd"/>
      <w:r w:rsidRPr="00405303">
        <w:rPr>
          <w:bCs/>
          <w:color w:val="002060"/>
          <w:sz w:val="16"/>
          <w:szCs w:val="16"/>
        </w:rPr>
        <w:t>М.В. Родзянко.</w:t>
      </w:r>
    </w:p>
    <w:p w14:paraId="06B60265" w14:textId="77777777" w:rsidR="003E77A4" w:rsidRPr="00405303" w:rsidRDefault="003E77A4" w:rsidP="00C15251">
      <w:pPr>
        <w:jc w:val="both"/>
        <w:rPr>
          <w:bCs/>
          <w:color w:val="002060"/>
          <w:sz w:val="16"/>
          <w:szCs w:val="16"/>
        </w:rPr>
      </w:pPr>
      <w:r w:rsidRPr="00405303">
        <w:rPr>
          <w:bCs/>
          <w:color w:val="002060"/>
          <w:sz w:val="16"/>
          <w:szCs w:val="16"/>
        </w:rPr>
        <w:t>Член Государственной Думы.........</w:t>
      </w:r>
    </w:p>
    <w:p w14:paraId="0F868262" w14:textId="37990990" w:rsidR="003E77A4" w:rsidRPr="00405303" w:rsidRDefault="000F5756" w:rsidP="00C15251">
      <w:pPr>
        <w:jc w:val="both"/>
        <w:rPr>
          <w:bCs/>
          <w:color w:val="002060"/>
          <w:sz w:val="16"/>
          <w:szCs w:val="16"/>
        </w:rPr>
      </w:pPr>
      <w:r>
        <w:rPr>
          <w:bCs/>
          <w:color w:val="002060"/>
          <w:sz w:val="16"/>
          <w:szCs w:val="16"/>
        </w:rPr>
        <w:t xml:space="preserve">  </w:t>
      </w:r>
      <w:r w:rsidR="003E77A4" w:rsidRPr="00405303">
        <w:rPr>
          <w:bCs/>
          <w:color w:val="002060"/>
          <w:sz w:val="16"/>
          <w:szCs w:val="16"/>
        </w:rPr>
        <w:t xml:space="preserve"> »»»..............................</w:t>
      </w:r>
    </w:p>
    <w:p w14:paraId="3644AB17" w14:textId="1DAF163E" w:rsidR="003E77A4" w:rsidRPr="00405303" w:rsidRDefault="000F5756" w:rsidP="00C15251">
      <w:pPr>
        <w:jc w:val="both"/>
        <w:rPr>
          <w:bCs/>
          <w:color w:val="002060"/>
          <w:sz w:val="16"/>
          <w:szCs w:val="16"/>
        </w:rPr>
      </w:pPr>
      <w:r>
        <w:rPr>
          <w:bCs/>
          <w:color w:val="002060"/>
          <w:sz w:val="16"/>
          <w:szCs w:val="16"/>
        </w:rPr>
        <w:t xml:space="preserve">  </w:t>
      </w:r>
      <w:r w:rsidR="003E77A4" w:rsidRPr="00405303">
        <w:rPr>
          <w:bCs/>
          <w:color w:val="002060"/>
          <w:sz w:val="16"/>
          <w:szCs w:val="16"/>
        </w:rPr>
        <w:t xml:space="preserve"> » » »............................</w:t>
      </w:r>
    </w:p>
    <w:p w14:paraId="036461C2" w14:textId="0BE77B0D" w:rsidR="003E77A4" w:rsidRPr="00405303" w:rsidRDefault="000F5756" w:rsidP="00C15251">
      <w:pPr>
        <w:jc w:val="both"/>
        <w:rPr>
          <w:bCs/>
          <w:color w:val="002060"/>
          <w:sz w:val="16"/>
          <w:szCs w:val="16"/>
        </w:rPr>
      </w:pPr>
      <w:r>
        <w:rPr>
          <w:bCs/>
          <w:color w:val="002060"/>
          <w:sz w:val="16"/>
          <w:szCs w:val="16"/>
        </w:rPr>
        <w:t xml:space="preserve">  </w:t>
      </w:r>
      <w:r w:rsidR="003E77A4" w:rsidRPr="00405303">
        <w:rPr>
          <w:bCs/>
          <w:color w:val="002060"/>
          <w:sz w:val="16"/>
          <w:szCs w:val="16"/>
        </w:rPr>
        <w:t xml:space="preserve"> » » »............................</w:t>
      </w:r>
    </w:p>
    <w:p w14:paraId="3D06FF22" w14:textId="63D75519" w:rsidR="003E77A4" w:rsidRPr="00405303" w:rsidRDefault="000F5756" w:rsidP="00C15251">
      <w:pPr>
        <w:jc w:val="both"/>
        <w:rPr>
          <w:bCs/>
          <w:color w:val="002060"/>
          <w:sz w:val="16"/>
          <w:szCs w:val="16"/>
        </w:rPr>
      </w:pPr>
      <w:r>
        <w:rPr>
          <w:bCs/>
          <w:color w:val="002060"/>
          <w:sz w:val="16"/>
          <w:szCs w:val="16"/>
        </w:rPr>
        <w:t xml:space="preserve">  </w:t>
      </w:r>
      <w:r w:rsidR="003E77A4" w:rsidRPr="00405303">
        <w:rPr>
          <w:bCs/>
          <w:color w:val="002060"/>
          <w:sz w:val="16"/>
          <w:szCs w:val="16"/>
        </w:rPr>
        <w:t xml:space="preserve"> » » »............................</w:t>
      </w:r>
    </w:p>
    <w:p w14:paraId="507682E8" w14:textId="0EDBC42C" w:rsidR="003E77A4" w:rsidRPr="00405303" w:rsidRDefault="000F5756" w:rsidP="00C15251">
      <w:pPr>
        <w:jc w:val="both"/>
        <w:rPr>
          <w:bCs/>
          <w:color w:val="002060"/>
          <w:sz w:val="16"/>
          <w:szCs w:val="16"/>
        </w:rPr>
      </w:pPr>
      <w:r>
        <w:rPr>
          <w:bCs/>
          <w:color w:val="002060"/>
          <w:sz w:val="16"/>
          <w:szCs w:val="16"/>
        </w:rPr>
        <w:t xml:space="preserve">   </w:t>
      </w:r>
      <w:r w:rsidR="003E77A4" w:rsidRPr="00405303">
        <w:rPr>
          <w:bCs/>
          <w:color w:val="002060"/>
          <w:sz w:val="16"/>
          <w:szCs w:val="16"/>
        </w:rPr>
        <w:t>» » »</w:t>
      </w:r>
    </w:p>
    <w:p w14:paraId="6D88EA07" w14:textId="7B53E5D9" w:rsidR="003E77A4" w:rsidRPr="00405303" w:rsidRDefault="000F5756" w:rsidP="00C15251">
      <w:pPr>
        <w:jc w:val="both"/>
        <w:rPr>
          <w:bCs/>
          <w:color w:val="002060"/>
          <w:sz w:val="16"/>
          <w:szCs w:val="16"/>
        </w:rPr>
      </w:pPr>
      <w:r>
        <w:rPr>
          <w:bCs/>
          <w:color w:val="002060"/>
          <w:sz w:val="16"/>
          <w:szCs w:val="16"/>
        </w:rPr>
        <w:t xml:space="preserve">   </w:t>
      </w:r>
      <w:r w:rsidR="003E77A4" w:rsidRPr="00405303">
        <w:rPr>
          <w:bCs/>
          <w:color w:val="002060"/>
          <w:sz w:val="16"/>
          <w:szCs w:val="16"/>
        </w:rPr>
        <w:t>» » »</w:t>
      </w:r>
    </w:p>
    <w:p w14:paraId="3886F007" w14:textId="77777777" w:rsidR="003E77A4" w:rsidRPr="00405303" w:rsidRDefault="003E77A4" w:rsidP="00C15251">
      <w:pPr>
        <w:jc w:val="both"/>
        <w:rPr>
          <w:bCs/>
          <w:color w:val="002060"/>
          <w:sz w:val="16"/>
          <w:szCs w:val="16"/>
        </w:rPr>
      </w:pPr>
      <w:r w:rsidRPr="00405303">
        <w:rPr>
          <w:bCs/>
          <w:color w:val="002060"/>
          <w:sz w:val="16"/>
          <w:szCs w:val="16"/>
        </w:rPr>
        <w:t>От военного министерства:</w:t>
      </w:r>
    </w:p>
    <w:p w14:paraId="2BB2FC29" w14:textId="77777777" w:rsidR="003E77A4" w:rsidRPr="00405303" w:rsidRDefault="003E77A4" w:rsidP="00C15251">
      <w:pPr>
        <w:jc w:val="both"/>
        <w:rPr>
          <w:bCs/>
          <w:color w:val="002060"/>
          <w:sz w:val="16"/>
          <w:szCs w:val="16"/>
        </w:rPr>
      </w:pPr>
      <w:r w:rsidRPr="00405303">
        <w:rPr>
          <w:bCs/>
          <w:color w:val="002060"/>
          <w:sz w:val="16"/>
          <w:szCs w:val="16"/>
        </w:rPr>
        <w:t>Генерал от инфантерии ...</w:t>
      </w:r>
    </w:p>
    <w:p w14:paraId="0C806C8A" w14:textId="77777777" w:rsidR="003E77A4" w:rsidRPr="00405303" w:rsidRDefault="003E77A4" w:rsidP="00C15251">
      <w:pPr>
        <w:jc w:val="both"/>
        <w:rPr>
          <w:bCs/>
          <w:color w:val="002060"/>
          <w:sz w:val="16"/>
          <w:szCs w:val="16"/>
        </w:rPr>
      </w:pPr>
      <w:r w:rsidRPr="00405303">
        <w:rPr>
          <w:bCs/>
          <w:color w:val="002060"/>
          <w:sz w:val="16"/>
          <w:szCs w:val="16"/>
        </w:rPr>
        <w:t>Генерал-лейтенант ......</w:t>
      </w:r>
    </w:p>
    <w:p w14:paraId="35D0B417" w14:textId="20742BA4" w:rsidR="003E77A4" w:rsidRPr="00405303" w:rsidRDefault="000F5756" w:rsidP="00C15251">
      <w:pPr>
        <w:jc w:val="both"/>
        <w:rPr>
          <w:bCs/>
          <w:color w:val="002060"/>
          <w:sz w:val="16"/>
          <w:szCs w:val="16"/>
        </w:rPr>
      </w:pPr>
      <w:r>
        <w:rPr>
          <w:bCs/>
          <w:color w:val="002060"/>
          <w:sz w:val="16"/>
          <w:szCs w:val="16"/>
        </w:rPr>
        <w:t xml:space="preserve">  </w:t>
      </w:r>
      <w:r w:rsidR="003E77A4" w:rsidRPr="00405303">
        <w:rPr>
          <w:bCs/>
          <w:color w:val="002060"/>
          <w:sz w:val="16"/>
          <w:szCs w:val="16"/>
        </w:rPr>
        <w:t>» » »..................</w:t>
      </w:r>
    </w:p>
    <w:p w14:paraId="2299948C" w14:textId="77777777" w:rsidR="003E77A4" w:rsidRPr="00405303" w:rsidRDefault="003E77A4" w:rsidP="00C15251">
      <w:pPr>
        <w:jc w:val="both"/>
        <w:rPr>
          <w:bCs/>
          <w:color w:val="002060"/>
          <w:sz w:val="16"/>
          <w:szCs w:val="16"/>
        </w:rPr>
      </w:pPr>
      <w:r w:rsidRPr="00405303">
        <w:rPr>
          <w:bCs/>
          <w:color w:val="002060"/>
          <w:sz w:val="16"/>
          <w:szCs w:val="16"/>
        </w:rPr>
        <w:t>Генерал-майор</w:t>
      </w:r>
      <w:proofErr w:type="gramStart"/>
      <w:r w:rsidRPr="00405303">
        <w:rPr>
          <w:bCs/>
          <w:color w:val="002060"/>
          <w:sz w:val="16"/>
          <w:szCs w:val="16"/>
        </w:rPr>
        <w:t xml:space="preserve"> ..</w:t>
      </w:r>
      <w:proofErr w:type="gramEnd"/>
    </w:p>
    <w:p w14:paraId="78E48F8E" w14:textId="77777777" w:rsidR="003E77A4" w:rsidRPr="00405303" w:rsidRDefault="003E77A4" w:rsidP="00C15251">
      <w:pPr>
        <w:jc w:val="both"/>
        <w:rPr>
          <w:bCs/>
          <w:color w:val="002060"/>
          <w:sz w:val="16"/>
          <w:szCs w:val="16"/>
        </w:rPr>
      </w:pPr>
      <w:r w:rsidRPr="00405303">
        <w:rPr>
          <w:bCs/>
          <w:color w:val="002060"/>
          <w:sz w:val="16"/>
          <w:szCs w:val="16"/>
        </w:rPr>
        <w:t>Тайный советник</w:t>
      </w:r>
    </w:p>
    <w:p w14:paraId="73642C79" w14:textId="77777777" w:rsidR="003E77A4" w:rsidRPr="00405303" w:rsidRDefault="003E77A4" w:rsidP="00C15251">
      <w:pPr>
        <w:jc w:val="both"/>
        <w:rPr>
          <w:bCs/>
          <w:color w:val="002060"/>
          <w:sz w:val="16"/>
          <w:szCs w:val="16"/>
        </w:rPr>
      </w:pPr>
      <w:r w:rsidRPr="00405303">
        <w:rPr>
          <w:bCs/>
          <w:color w:val="002060"/>
          <w:sz w:val="16"/>
          <w:szCs w:val="16"/>
        </w:rPr>
        <w:t>......А. Ф. Трепов.</w:t>
      </w:r>
    </w:p>
    <w:p w14:paraId="650B21C1" w14:textId="77777777" w:rsidR="003E77A4" w:rsidRPr="00405303" w:rsidRDefault="003E77A4" w:rsidP="00C15251">
      <w:pPr>
        <w:jc w:val="both"/>
        <w:rPr>
          <w:bCs/>
          <w:color w:val="002060"/>
          <w:sz w:val="16"/>
          <w:szCs w:val="16"/>
        </w:rPr>
      </w:pPr>
      <w:r w:rsidRPr="00405303">
        <w:rPr>
          <w:bCs/>
          <w:color w:val="002060"/>
          <w:sz w:val="16"/>
          <w:szCs w:val="16"/>
        </w:rPr>
        <w:t>........В. И. Гурко.</w:t>
      </w:r>
    </w:p>
    <w:p w14:paraId="771AD66E" w14:textId="77777777" w:rsidR="003E77A4" w:rsidRPr="00405303" w:rsidRDefault="003E77A4" w:rsidP="00C15251">
      <w:pPr>
        <w:jc w:val="both"/>
        <w:rPr>
          <w:bCs/>
          <w:color w:val="002060"/>
          <w:sz w:val="16"/>
          <w:szCs w:val="16"/>
        </w:rPr>
      </w:pPr>
      <w:r w:rsidRPr="00405303">
        <w:rPr>
          <w:bCs/>
          <w:color w:val="002060"/>
          <w:sz w:val="16"/>
          <w:szCs w:val="16"/>
        </w:rPr>
        <w:t>.... М.А. Стахович.</w:t>
      </w:r>
    </w:p>
    <w:p w14:paraId="5BA13AB0" w14:textId="77777777" w:rsidR="003E77A4" w:rsidRPr="00405303" w:rsidRDefault="003E77A4"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А. И. Мосолов.</w:t>
      </w:r>
    </w:p>
    <w:p w14:paraId="53554E2C" w14:textId="77777777" w:rsidR="003E77A4" w:rsidRPr="00405303" w:rsidRDefault="003E77A4" w:rsidP="00C15251">
      <w:pPr>
        <w:jc w:val="both"/>
        <w:rPr>
          <w:bCs/>
          <w:color w:val="002060"/>
          <w:sz w:val="16"/>
          <w:szCs w:val="16"/>
        </w:rPr>
      </w:pPr>
      <w:r w:rsidRPr="00405303">
        <w:rPr>
          <w:bCs/>
          <w:color w:val="002060"/>
          <w:sz w:val="16"/>
          <w:szCs w:val="16"/>
        </w:rPr>
        <w:t>......Ф.А. Иванов.</w:t>
      </w:r>
    </w:p>
    <w:p w14:paraId="0AA4DED4" w14:textId="77777777" w:rsidR="003E77A4" w:rsidRPr="00405303" w:rsidRDefault="003E77A4"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граф С. А. Толь.</w:t>
      </w:r>
    </w:p>
    <w:p w14:paraId="7205339E" w14:textId="77777777" w:rsidR="003E77A4" w:rsidRPr="00405303" w:rsidRDefault="003E77A4" w:rsidP="00C15251">
      <w:pPr>
        <w:jc w:val="both"/>
        <w:rPr>
          <w:bCs/>
          <w:color w:val="002060"/>
          <w:sz w:val="16"/>
          <w:szCs w:val="16"/>
        </w:rPr>
      </w:pPr>
      <w:r w:rsidRPr="00405303">
        <w:rPr>
          <w:bCs/>
          <w:color w:val="002060"/>
          <w:sz w:val="16"/>
          <w:szCs w:val="16"/>
        </w:rPr>
        <w:t>......И. А. Шебеко.</w:t>
      </w:r>
    </w:p>
    <w:p w14:paraId="4C9A34FA" w14:textId="77777777" w:rsidR="003E77A4" w:rsidRPr="00405303" w:rsidRDefault="003E77A4" w:rsidP="00C15251">
      <w:pPr>
        <w:jc w:val="both"/>
        <w:rPr>
          <w:bCs/>
          <w:color w:val="002060"/>
          <w:sz w:val="16"/>
          <w:szCs w:val="16"/>
        </w:rPr>
      </w:pPr>
      <w:r w:rsidRPr="00405303">
        <w:rPr>
          <w:bCs/>
          <w:color w:val="002060"/>
          <w:sz w:val="16"/>
          <w:szCs w:val="16"/>
        </w:rPr>
        <w:t>... С. Ф. Ольденбург.</w:t>
      </w:r>
    </w:p>
    <w:p w14:paraId="52EF28F8" w14:textId="77777777" w:rsidR="003E77A4" w:rsidRPr="00405303" w:rsidRDefault="003E77A4" w:rsidP="00C15251">
      <w:pPr>
        <w:jc w:val="both"/>
        <w:rPr>
          <w:bCs/>
          <w:color w:val="002060"/>
          <w:sz w:val="16"/>
          <w:szCs w:val="16"/>
        </w:rPr>
      </w:pPr>
      <w:r w:rsidRPr="00405303">
        <w:rPr>
          <w:bCs/>
          <w:color w:val="002060"/>
          <w:sz w:val="16"/>
          <w:szCs w:val="16"/>
        </w:rPr>
        <w:t>.. И. И. Дмитрюков.</w:t>
      </w:r>
    </w:p>
    <w:p w14:paraId="3C039D3E" w14:textId="77777777" w:rsidR="003E77A4" w:rsidRPr="00405303" w:rsidRDefault="003E77A4" w:rsidP="00C15251">
      <w:pPr>
        <w:jc w:val="both"/>
        <w:rPr>
          <w:bCs/>
          <w:color w:val="002060"/>
          <w:sz w:val="16"/>
          <w:szCs w:val="16"/>
        </w:rPr>
      </w:pPr>
      <w:r w:rsidRPr="00405303">
        <w:rPr>
          <w:bCs/>
          <w:color w:val="002060"/>
          <w:sz w:val="16"/>
          <w:szCs w:val="16"/>
        </w:rPr>
        <w:t>А. А. Добровольский.</w:t>
      </w:r>
    </w:p>
    <w:p w14:paraId="71B4239E" w14:textId="77777777" w:rsidR="003E77A4" w:rsidRPr="00405303" w:rsidRDefault="003E77A4" w:rsidP="00C15251">
      <w:pPr>
        <w:jc w:val="both"/>
        <w:rPr>
          <w:bCs/>
          <w:color w:val="002060"/>
          <w:sz w:val="16"/>
          <w:szCs w:val="16"/>
        </w:rPr>
      </w:pPr>
      <w:r w:rsidRPr="00405303">
        <w:rPr>
          <w:bCs/>
          <w:color w:val="002060"/>
          <w:sz w:val="16"/>
          <w:szCs w:val="16"/>
        </w:rPr>
        <w:t>......Н.Е. Марков.</w:t>
      </w:r>
    </w:p>
    <w:p w14:paraId="26C76B45" w14:textId="77777777" w:rsidR="003E77A4" w:rsidRPr="00405303" w:rsidRDefault="003E77A4" w:rsidP="00C15251">
      <w:pPr>
        <w:jc w:val="both"/>
        <w:rPr>
          <w:bCs/>
          <w:color w:val="002060"/>
          <w:sz w:val="16"/>
          <w:szCs w:val="16"/>
        </w:rPr>
      </w:pPr>
      <w:r w:rsidRPr="00405303">
        <w:rPr>
          <w:bCs/>
          <w:color w:val="002060"/>
          <w:sz w:val="16"/>
          <w:szCs w:val="16"/>
        </w:rPr>
        <w:t>........ Н. В. Савич.</w:t>
      </w:r>
    </w:p>
    <w:p w14:paraId="4B6B0E1B" w14:textId="77777777" w:rsidR="003E77A4" w:rsidRPr="00405303" w:rsidRDefault="003E77A4" w:rsidP="00C15251">
      <w:pPr>
        <w:jc w:val="both"/>
        <w:rPr>
          <w:bCs/>
          <w:color w:val="002060"/>
          <w:sz w:val="16"/>
          <w:szCs w:val="16"/>
        </w:rPr>
      </w:pPr>
      <w:r w:rsidRPr="00405303">
        <w:rPr>
          <w:bCs/>
          <w:color w:val="002060"/>
          <w:sz w:val="16"/>
          <w:szCs w:val="16"/>
        </w:rPr>
        <w:t>.... Д.Н. Сверчков.</w:t>
      </w:r>
    </w:p>
    <w:p w14:paraId="65090C0E" w14:textId="77777777" w:rsidR="003E77A4" w:rsidRPr="00405303" w:rsidRDefault="003E77A4"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Д.Н. Чихачев.</w:t>
      </w:r>
    </w:p>
    <w:p w14:paraId="272064A8" w14:textId="77777777" w:rsidR="003E77A4" w:rsidRPr="00405303" w:rsidRDefault="003E77A4" w:rsidP="00C15251">
      <w:pPr>
        <w:jc w:val="both"/>
        <w:rPr>
          <w:bCs/>
          <w:color w:val="002060"/>
          <w:sz w:val="16"/>
          <w:szCs w:val="16"/>
        </w:rPr>
      </w:pPr>
      <w:r w:rsidRPr="00405303">
        <w:rPr>
          <w:bCs/>
          <w:color w:val="002060"/>
          <w:sz w:val="16"/>
          <w:szCs w:val="16"/>
        </w:rPr>
        <w:t>___ А. И. Шингарев.</w:t>
      </w:r>
    </w:p>
    <w:p w14:paraId="20C24644" w14:textId="77777777" w:rsidR="003E77A4" w:rsidRPr="00405303" w:rsidRDefault="003E77A4"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В. В. Шульгин.</w:t>
      </w:r>
    </w:p>
    <w:p w14:paraId="580E723F" w14:textId="77777777" w:rsidR="003E77A4" w:rsidRPr="00405303" w:rsidRDefault="003E77A4" w:rsidP="00C15251">
      <w:pPr>
        <w:jc w:val="both"/>
        <w:rPr>
          <w:bCs/>
          <w:color w:val="002060"/>
          <w:sz w:val="16"/>
          <w:szCs w:val="16"/>
        </w:rPr>
      </w:pPr>
      <w:r w:rsidRPr="00405303">
        <w:rPr>
          <w:bCs/>
          <w:color w:val="002060"/>
          <w:sz w:val="16"/>
          <w:szCs w:val="16"/>
        </w:rPr>
        <w:t>....М.С. Аджемов.</w:t>
      </w:r>
    </w:p>
    <w:p w14:paraId="3D41C908" w14:textId="77777777" w:rsidR="003E77A4" w:rsidRPr="00405303" w:rsidRDefault="003E77A4" w:rsidP="00C15251">
      <w:pPr>
        <w:jc w:val="both"/>
        <w:rPr>
          <w:bCs/>
          <w:color w:val="002060"/>
          <w:sz w:val="16"/>
          <w:szCs w:val="16"/>
        </w:rPr>
      </w:pPr>
      <w:r w:rsidRPr="00405303">
        <w:rPr>
          <w:bCs/>
          <w:color w:val="002060"/>
          <w:sz w:val="16"/>
          <w:szCs w:val="16"/>
        </w:rPr>
        <w:t>... П.Н. Крупенский.</w:t>
      </w:r>
    </w:p>
    <w:p w14:paraId="1FCA1232" w14:textId="77777777" w:rsidR="003E77A4" w:rsidRPr="00405303" w:rsidRDefault="003E77A4" w:rsidP="00C15251">
      <w:pPr>
        <w:jc w:val="both"/>
        <w:rPr>
          <w:bCs/>
          <w:color w:val="002060"/>
          <w:sz w:val="16"/>
          <w:szCs w:val="16"/>
        </w:rPr>
      </w:pPr>
      <w:r w:rsidRPr="00405303">
        <w:rPr>
          <w:bCs/>
          <w:color w:val="002060"/>
          <w:sz w:val="16"/>
          <w:szCs w:val="16"/>
        </w:rPr>
        <w:t>... Н.Н. Опочинин.</w:t>
      </w:r>
    </w:p>
    <w:p w14:paraId="2628DD49" w14:textId="77777777" w:rsidR="003E77A4" w:rsidRPr="00405303" w:rsidRDefault="003E77A4" w:rsidP="00C15251">
      <w:pPr>
        <w:jc w:val="both"/>
        <w:rPr>
          <w:bCs/>
          <w:color w:val="002060"/>
          <w:sz w:val="16"/>
          <w:szCs w:val="16"/>
        </w:rPr>
      </w:pPr>
      <w:r w:rsidRPr="00405303">
        <w:rPr>
          <w:bCs/>
          <w:color w:val="002060"/>
          <w:sz w:val="16"/>
          <w:szCs w:val="16"/>
        </w:rPr>
        <w:t>......... М.А. Беляев.</w:t>
      </w:r>
    </w:p>
    <w:p w14:paraId="08BDFA30" w14:textId="77777777" w:rsidR="003E77A4" w:rsidRPr="00405303" w:rsidRDefault="003E77A4" w:rsidP="00C15251">
      <w:pPr>
        <w:jc w:val="both"/>
        <w:rPr>
          <w:bCs/>
          <w:color w:val="002060"/>
          <w:sz w:val="16"/>
          <w:szCs w:val="16"/>
        </w:rPr>
      </w:pPr>
      <w:r w:rsidRPr="00405303">
        <w:rPr>
          <w:bCs/>
          <w:color w:val="002060"/>
          <w:sz w:val="16"/>
          <w:szCs w:val="16"/>
        </w:rPr>
        <w:t>......А. С. Лукомский.</w:t>
      </w:r>
    </w:p>
    <w:p w14:paraId="7B33AD8B" w14:textId="77777777" w:rsidR="003E77A4" w:rsidRPr="00405303" w:rsidRDefault="003E77A4" w:rsidP="00C15251">
      <w:pPr>
        <w:jc w:val="both"/>
        <w:rPr>
          <w:bCs/>
          <w:color w:val="002060"/>
          <w:sz w:val="16"/>
          <w:szCs w:val="16"/>
        </w:rPr>
      </w:pPr>
      <w:r w:rsidRPr="00405303">
        <w:rPr>
          <w:bCs/>
          <w:color w:val="002060"/>
          <w:sz w:val="16"/>
          <w:szCs w:val="16"/>
        </w:rPr>
        <w:t>........Г.Г.Милеант.</w:t>
      </w:r>
    </w:p>
    <w:p w14:paraId="0895B0D9" w14:textId="77777777" w:rsidR="003E77A4" w:rsidRPr="00405303" w:rsidRDefault="003E77A4" w:rsidP="00C15251">
      <w:pPr>
        <w:jc w:val="both"/>
        <w:rPr>
          <w:bCs/>
          <w:color w:val="002060"/>
          <w:sz w:val="16"/>
          <w:szCs w:val="16"/>
        </w:rPr>
      </w:pPr>
      <w:r w:rsidRPr="00405303">
        <w:rPr>
          <w:bCs/>
          <w:color w:val="002060"/>
          <w:sz w:val="16"/>
          <w:szCs w:val="16"/>
        </w:rPr>
        <w:t>.... А. А. Маниковский.</w:t>
      </w:r>
    </w:p>
    <w:p w14:paraId="71AE3857" w14:textId="77777777" w:rsidR="003E77A4" w:rsidRPr="00405303" w:rsidRDefault="003E77A4" w:rsidP="00C15251">
      <w:pPr>
        <w:jc w:val="both"/>
        <w:rPr>
          <w:bCs/>
          <w:color w:val="002060"/>
          <w:sz w:val="16"/>
          <w:szCs w:val="16"/>
        </w:rPr>
      </w:pPr>
      <w:r w:rsidRPr="00405303">
        <w:rPr>
          <w:bCs/>
          <w:color w:val="002060"/>
          <w:sz w:val="16"/>
          <w:szCs w:val="16"/>
        </w:rPr>
        <w:t>........ Н.А. Бабиков.</w:t>
      </w:r>
    </w:p>
    <w:p w14:paraId="43B454B2" w14:textId="77777777" w:rsidR="003E77A4" w:rsidRPr="00405303" w:rsidRDefault="003E77A4" w:rsidP="00C15251">
      <w:pPr>
        <w:jc w:val="both"/>
        <w:rPr>
          <w:bCs/>
          <w:color w:val="002060"/>
          <w:sz w:val="16"/>
          <w:szCs w:val="16"/>
        </w:rPr>
      </w:pPr>
      <w:r w:rsidRPr="00405303">
        <w:rPr>
          <w:bCs/>
          <w:color w:val="002060"/>
          <w:sz w:val="16"/>
          <w:szCs w:val="16"/>
        </w:rPr>
        <w:t>.......А. А. Якимович.</w:t>
      </w:r>
    </w:p>
    <w:p w14:paraId="78220A80" w14:textId="77777777" w:rsidR="003E77A4" w:rsidRPr="00405303" w:rsidRDefault="003E77A4" w:rsidP="00C15251">
      <w:pPr>
        <w:jc w:val="both"/>
        <w:rPr>
          <w:bCs/>
          <w:color w:val="002060"/>
          <w:sz w:val="16"/>
          <w:szCs w:val="16"/>
        </w:rPr>
      </w:pPr>
      <w:r w:rsidRPr="00405303">
        <w:rPr>
          <w:bCs/>
          <w:color w:val="002060"/>
          <w:sz w:val="16"/>
          <w:szCs w:val="16"/>
        </w:rPr>
        <w:t>.......А. А. Саткевич.</w:t>
      </w:r>
    </w:p>
    <w:p w14:paraId="4CF9C889" w14:textId="77777777" w:rsidR="003E77A4" w:rsidRPr="00405303" w:rsidRDefault="003E77A4" w:rsidP="00C15251">
      <w:pPr>
        <w:jc w:val="both"/>
        <w:rPr>
          <w:bCs/>
          <w:color w:val="002060"/>
          <w:sz w:val="16"/>
          <w:szCs w:val="16"/>
        </w:rPr>
      </w:pPr>
      <w:r w:rsidRPr="00405303">
        <w:rPr>
          <w:bCs/>
          <w:color w:val="002060"/>
          <w:sz w:val="16"/>
          <w:szCs w:val="16"/>
        </w:rPr>
        <w:t>......А. А. Михельсон.</w:t>
      </w:r>
    </w:p>
    <w:p w14:paraId="258F0950" w14:textId="77777777" w:rsidR="003E77A4" w:rsidRPr="00405303" w:rsidRDefault="003E77A4" w:rsidP="00C15251">
      <w:pPr>
        <w:jc w:val="both"/>
        <w:rPr>
          <w:bCs/>
          <w:color w:val="002060"/>
          <w:sz w:val="16"/>
          <w:szCs w:val="16"/>
        </w:rPr>
      </w:pPr>
      <w:r w:rsidRPr="00405303">
        <w:rPr>
          <w:bCs/>
          <w:color w:val="002060"/>
          <w:sz w:val="16"/>
          <w:szCs w:val="16"/>
        </w:rPr>
        <w:t>П. И. Кравз-Тарнавский.</w:t>
      </w:r>
    </w:p>
    <w:p w14:paraId="7B64F7DC" w14:textId="77777777" w:rsidR="003E77A4" w:rsidRPr="00405303" w:rsidRDefault="003E77A4" w:rsidP="00C15251">
      <w:pPr>
        <w:jc w:val="both"/>
        <w:rPr>
          <w:bCs/>
          <w:color w:val="002060"/>
          <w:sz w:val="16"/>
          <w:szCs w:val="16"/>
        </w:rPr>
      </w:pPr>
      <w:r w:rsidRPr="00405303">
        <w:rPr>
          <w:bCs/>
          <w:color w:val="002060"/>
          <w:sz w:val="16"/>
          <w:szCs w:val="16"/>
        </w:rPr>
        <w:t>От морского министерства:</w:t>
      </w:r>
    </w:p>
    <w:p w14:paraId="6B859CCB" w14:textId="77777777" w:rsidR="003E77A4" w:rsidRPr="00405303" w:rsidRDefault="003E77A4" w:rsidP="00C15251">
      <w:pPr>
        <w:jc w:val="both"/>
        <w:rPr>
          <w:bCs/>
          <w:color w:val="002060"/>
          <w:sz w:val="16"/>
          <w:szCs w:val="16"/>
        </w:rPr>
      </w:pPr>
      <w:r w:rsidRPr="00405303">
        <w:rPr>
          <w:bCs/>
          <w:color w:val="002060"/>
          <w:sz w:val="16"/>
          <w:szCs w:val="16"/>
        </w:rPr>
        <w:t>Вице-адмирал.....................................П.П. Муравьев.</w:t>
      </w:r>
    </w:p>
    <w:p w14:paraId="7FDD0AE8" w14:textId="54EA4F51" w:rsidR="003E77A4" w:rsidRPr="00405303" w:rsidRDefault="000F5756" w:rsidP="00C15251">
      <w:pPr>
        <w:jc w:val="both"/>
        <w:rPr>
          <w:bCs/>
          <w:color w:val="002060"/>
          <w:sz w:val="16"/>
          <w:szCs w:val="16"/>
        </w:rPr>
      </w:pPr>
      <w:r>
        <w:rPr>
          <w:bCs/>
          <w:color w:val="002060"/>
          <w:sz w:val="16"/>
          <w:szCs w:val="16"/>
        </w:rPr>
        <w:t xml:space="preserve"> </w:t>
      </w:r>
      <w:proofErr w:type="gramStart"/>
      <w:r w:rsidR="003E77A4" w:rsidRPr="00405303">
        <w:rPr>
          <w:bCs/>
          <w:color w:val="002060"/>
          <w:sz w:val="16"/>
          <w:szCs w:val="16"/>
        </w:rPr>
        <w:t>» »</w:t>
      </w:r>
      <w:proofErr w:type="gramEnd"/>
      <w:r w:rsidR="003E77A4" w:rsidRPr="00405303">
        <w:rPr>
          <w:bCs/>
          <w:color w:val="002060"/>
          <w:sz w:val="16"/>
          <w:szCs w:val="16"/>
        </w:rPr>
        <w:t xml:space="preserve"> »..............................................В. К. Гирс.</w:t>
      </w:r>
    </w:p>
    <w:p w14:paraId="5DF86D86" w14:textId="77777777" w:rsidR="003E77A4" w:rsidRPr="00405303" w:rsidRDefault="003E77A4" w:rsidP="00C15251">
      <w:pPr>
        <w:jc w:val="both"/>
        <w:rPr>
          <w:bCs/>
          <w:color w:val="002060"/>
          <w:sz w:val="16"/>
          <w:szCs w:val="16"/>
        </w:rPr>
      </w:pPr>
      <w:r w:rsidRPr="00405303">
        <w:rPr>
          <w:bCs/>
          <w:color w:val="002060"/>
          <w:sz w:val="16"/>
          <w:szCs w:val="16"/>
        </w:rPr>
        <w:lastRenderedPageBreak/>
        <w:t>От министерства финансов:</w:t>
      </w:r>
    </w:p>
    <w:p w14:paraId="1E8EA8A4" w14:textId="77777777" w:rsidR="003E77A4" w:rsidRPr="00405303" w:rsidRDefault="003E77A4" w:rsidP="00C15251">
      <w:pPr>
        <w:jc w:val="both"/>
        <w:rPr>
          <w:bCs/>
          <w:color w:val="002060"/>
          <w:sz w:val="16"/>
          <w:szCs w:val="16"/>
        </w:rPr>
      </w:pPr>
      <w:r w:rsidRPr="00405303">
        <w:rPr>
          <w:bCs/>
          <w:color w:val="002060"/>
          <w:sz w:val="16"/>
          <w:szCs w:val="16"/>
        </w:rPr>
        <w:t>Действительный статский советник................П.Н. Кутлер.</w:t>
      </w:r>
    </w:p>
    <w:p w14:paraId="61E851D3" w14:textId="77777777" w:rsidR="003E77A4" w:rsidRPr="00405303" w:rsidRDefault="003E77A4" w:rsidP="00C15251">
      <w:pPr>
        <w:jc w:val="both"/>
        <w:rPr>
          <w:bCs/>
          <w:color w:val="002060"/>
          <w:sz w:val="16"/>
          <w:szCs w:val="16"/>
        </w:rPr>
      </w:pPr>
      <w:r w:rsidRPr="00405303">
        <w:rPr>
          <w:bCs/>
          <w:color w:val="002060"/>
          <w:sz w:val="16"/>
          <w:szCs w:val="16"/>
        </w:rPr>
        <w:t>От министерства торговли и промышленности:</w:t>
      </w:r>
    </w:p>
    <w:p w14:paraId="2897F8F9" w14:textId="77777777" w:rsidR="003E77A4" w:rsidRPr="00405303" w:rsidRDefault="003E77A4" w:rsidP="00C15251">
      <w:pPr>
        <w:jc w:val="both"/>
        <w:rPr>
          <w:bCs/>
          <w:color w:val="002060"/>
          <w:sz w:val="16"/>
          <w:szCs w:val="16"/>
        </w:rPr>
      </w:pPr>
      <w:r w:rsidRPr="00405303">
        <w:rPr>
          <w:bCs/>
          <w:color w:val="002060"/>
          <w:sz w:val="16"/>
          <w:szCs w:val="16"/>
        </w:rPr>
        <w:t>Действительный статский советник................С.П. Веселого.</w:t>
      </w:r>
    </w:p>
    <w:p w14:paraId="693742D2" w14:textId="77777777" w:rsidR="003E77A4" w:rsidRPr="00405303" w:rsidRDefault="003E77A4" w:rsidP="00C15251">
      <w:pPr>
        <w:jc w:val="both"/>
        <w:rPr>
          <w:bCs/>
          <w:color w:val="002060"/>
          <w:sz w:val="16"/>
          <w:szCs w:val="16"/>
        </w:rPr>
      </w:pPr>
      <w:r w:rsidRPr="00405303">
        <w:rPr>
          <w:bCs/>
          <w:color w:val="002060"/>
          <w:sz w:val="16"/>
          <w:szCs w:val="16"/>
        </w:rPr>
        <w:t>От государственного контроля:</w:t>
      </w:r>
    </w:p>
    <w:p w14:paraId="080B4E61" w14:textId="77777777" w:rsidR="003E77A4" w:rsidRPr="00405303" w:rsidRDefault="003E77A4" w:rsidP="00C15251">
      <w:pPr>
        <w:jc w:val="both"/>
        <w:rPr>
          <w:bCs/>
          <w:color w:val="002060"/>
          <w:sz w:val="16"/>
          <w:szCs w:val="16"/>
        </w:rPr>
      </w:pPr>
      <w:r w:rsidRPr="00405303">
        <w:rPr>
          <w:bCs/>
          <w:color w:val="002060"/>
          <w:sz w:val="16"/>
          <w:szCs w:val="16"/>
        </w:rPr>
        <w:t>Тайный советник..............................М. И. Скипетров.</w:t>
      </w:r>
    </w:p>
    <w:p w14:paraId="34CA9BC8" w14:textId="77777777" w:rsidR="003E77A4" w:rsidRPr="00405303" w:rsidRDefault="003E77A4" w:rsidP="00C15251">
      <w:pPr>
        <w:jc w:val="both"/>
        <w:rPr>
          <w:bCs/>
          <w:color w:val="002060"/>
          <w:sz w:val="16"/>
          <w:szCs w:val="16"/>
        </w:rPr>
      </w:pPr>
      <w:r w:rsidRPr="00405303">
        <w:rPr>
          <w:bCs/>
          <w:color w:val="002060"/>
          <w:sz w:val="16"/>
          <w:szCs w:val="16"/>
        </w:rPr>
        <w:t>От всероссийского земского союза:</w:t>
      </w:r>
    </w:p>
    <w:p w14:paraId="5BC71881" w14:textId="77777777" w:rsidR="003E77A4" w:rsidRPr="00405303" w:rsidRDefault="003E77A4" w:rsidP="00C15251">
      <w:pPr>
        <w:jc w:val="both"/>
        <w:rPr>
          <w:bCs/>
          <w:color w:val="002060"/>
          <w:sz w:val="16"/>
          <w:szCs w:val="16"/>
        </w:rPr>
      </w:pPr>
      <w:r w:rsidRPr="00405303">
        <w:rPr>
          <w:bCs/>
          <w:color w:val="002060"/>
          <w:sz w:val="16"/>
          <w:szCs w:val="16"/>
        </w:rPr>
        <w:t>Член Государственного Совета ... барон В. В. Меллер-Закомельский.</w:t>
      </w:r>
    </w:p>
    <w:p w14:paraId="0003E655" w14:textId="77777777" w:rsidR="003E77A4" w:rsidRPr="00405303" w:rsidRDefault="003E77A4" w:rsidP="00C15251">
      <w:pPr>
        <w:jc w:val="both"/>
        <w:rPr>
          <w:bCs/>
          <w:color w:val="002060"/>
          <w:sz w:val="16"/>
          <w:szCs w:val="16"/>
        </w:rPr>
      </w:pPr>
      <w:r w:rsidRPr="00405303">
        <w:rPr>
          <w:bCs/>
          <w:color w:val="002060"/>
          <w:sz w:val="16"/>
          <w:szCs w:val="16"/>
        </w:rPr>
        <w:t>От всероссийского городского союза:</w:t>
      </w:r>
    </w:p>
    <w:p w14:paraId="30A7F9B6" w14:textId="42DB88AD" w:rsidR="003E77A4" w:rsidRPr="00405303" w:rsidRDefault="000F5756" w:rsidP="00C15251">
      <w:pPr>
        <w:jc w:val="both"/>
        <w:rPr>
          <w:bCs/>
          <w:color w:val="002060"/>
          <w:sz w:val="16"/>
          <w:szCs w:val="16"/>
        </w:rPr>
      </w:pPr>
      <w:r>
        <w:rPr>
          <w:bCs/>
          <w:color w:val="002060"/>
          <w:sz w:val="16"/>
          <w:szCs w:val="16"/>
        </w:rPr>
        <w:t xml:space="preserve"> </w:t>
      </w:r>
      <w:r w:rsidR="003E77A4" w:rsidRPr="00405303">
        <w:rPr>
          <w:bCs/>
          <w:color w:val="002060"/>
          <w:sz w:val="16"/>
          <w:szCs w:val="16"/>
        </w:rPr>
        <w:t xml:space="preserve"> Член Государственной Думы ...................... Н.В. Некрасов.</w:t>
      </w:r>
    </w:p>
    <w:p w14:paraId="372382C0" w14:textId="77777777" w:rsidR="003E77A4" w:rsidRPr="00405303" w:rsidRDefault="003E77A4" w:rsidP="00C15251">
      <w:pPr>
        <w:jc w:val="both"/>
        <w:rPr>
          <w:bCs/>
          <w:color w:val="002060"/>
          <w:sz w:val="16"/>
          <w:szCs w:val="16"/>
        </w:rPr>
      </w:pPr>
      <w:r w:rsidRPr="00405303">
        <w:rPr>
          <w:bCs/>
          <w:color w:val="002060"/>
          <w:sz w:val="16"/>
          <w:szCs w:val="16"/>
        </w:rPr>
        <w:t>От центрального военно-промышленного комитета:</w:t>
      </w:r>
    </w:p>
    <w:p w14:paraId="685BD9ED" w14:textId="43024C23" w:rsidR="003E77A4" w:rsidRPr="00405303" w:rsidRDefault="000F5756" w:rsidP="00C15251">
      <w:pPr>
        <w:jc w:val="both"/>
        <w:rPr>
          <w:bCs/>
          <w:color w:val="002060"/>
          <w:sz w:val="16"/>
          <w:szCs w:val="16"/>
        </w:rPr>
      </w:pPr>
      <w:r>
        <w:rPr>
          <w:bCs/>
          <w:color w:val="002060"/>
          <w:sz w:val="16"/>
          <w:szCs w:val="16"/>
        </w:rPr>
        <w:t xml:space="preserve"> </w:t>
      </w:r>
      <w:r w:rsidR="003E77A4" w:rsidRPr="00405303">
        <w:rPr>
          <w:bCs/>
          <w:color w:val="002060"/>
          <w:sz w:val="16"/>
          <w:szCs w:val="16"/>
        </w:rPr>
        <w:t xml:space="preserve"> Член Государственного Совета ....................А. И. Гучков.</w:t>
      </w:r>
    </w:p>
    <w:p w14:paraId="26C436E9" w14:textId="21BE8DD0" w:rsidR="003E77A4" w:rsidRPr="00405303" w:rsidRDefault="000F5756" w:rsidP="00C15251">
      <w:pPr>
        <w:jc w:val="both"/>
        <w:rPr>
          <w:bCs/>
          <w:color w:val="002060"/>
          <w:sz w:val="16"/>
          <w:szCs w:val="16"/>
        </w:rPr>
      </w:pPr>
      <w:r>
        <w:rPr>
          <w:bCs/>
          <w:color w:val="002060"/>
          <w:sz w:val="16"/>
          <w:szCs w:val="16"/>
        </w:rPr>
        <w:t xml:space="preserve"> </w:t>
      </w:r>
      <w:r w:rsidR="003E77A4" w:rsidRPr="00405303">
        <w:rPr>
          <w:bCs/>
          <w:color w:val="002060"/>
          <w:sz w:val="16"/>
          <w:szCs w:val="16"/>
        </w:rPr>
        <w:t xml:space="preserve"> Действительный статский советник.................Д. С. Зернов.</w:t>
      </w:r>
    </w:p>
    <w:p w14:paraId="507B4C01" w14:textId="610C986B" w:rsidR="003E77A4" w:rsidRPr="00405303" w:rsidRDefault="000F5756" w:rsidP="00C15251">
      <w:pPr>
        <w:jc w:val="both"/>
        <w:rPr>
          <w:bCs/>
          <w:color w:val="002060"/>
          <w:sz w:val="16"/>
          <w:szCs w:val="16"/>
        </w:rPr>
      </w:pPr>
      <w:r>
        <w:rPr>
          <w:bCs/>
          <w:color w:val="002060"/>
          <w:sz w:val="16"/>
          <w:szCs w:val="16"/>
        </w:rPr>
        <w:t xml:space="preserve"> </w:t>
      </w:r>
      <w:r w:rsidR="003E77A4" w:rsidRPr="00405303">
        <w:rPr>
          <w:bCs/>
          <w:color w:val="002060"/>
          <w:sz w:val="16"/>
          <w:szCs w:val="16"/>
        </w:rPr>
        <w:t xml:space="preserve"> Особо приглашенные в заседание:</w:t>
      </w:r>
    </w:p>
    <w:p w14:paraId="251FA785" w14:textId="2780F071" w:rsidR="003E77A4" w:rsidRPr="00405303" w:rsidRDefault="000F5756" w:rsidP="00C15251">
      <w:pPr>
        <w:jc w:val="both"/>
        <w:rPr>
          <w:bCs/>
          <w:color w:val="002060"/>
          <w:sz w:val="16"/>
          <w:szCs w:val="16"/>
        </w:rPr>
      </w:pPr>
      <w:r>
        <w:rPr>
          <w:bCs/>
          <w:color w:val="002060"/>
          <w:sz w:val="16"/>
          <w:szCs w:val="16"/>
        </w:rPr>
        <w:t xml:space="preserve"> </w:t>
      </w:r>
      <w:r w:rsidR="003E77A4" w:rsidRPr="00405303">
        <w:rPr>
          <w:bCs/>
          <w:color w:val="002060"/>
          <w:sz w:val="16"/>
          <w:szCs w:val="16"/>
        </w:rPr>
        <w:t xml:space="preserve"> Генерал от инфантерии.....................А.З. Мышлаевский.</w:t>
      </w:r>
    </w:p>
    <w:p w14:paraId="4A6A5509" w14:textId="25BB58E6" w:rsidR="003E77A4" w:rsidRPr="00405303" w:rsidRDefault="000F5756" w:rsidP="00C15251">
      <w:pPr>
        <w:jc w:val="both"/>
        <w:rPr>
          <w:bCs/>
          <w:color w:val="002060"/>
          <w:sz w:val="16"/>
          <w:szCs w:val="16"/>
        </w:rPr>
      </w:pPr>
      <w:r>
        <w:rPr>
          <w:bCs/>
          <w:color w:val="002060"/>
          <w:sz w:val="16"/>
          <w:szCs w:val="16"/>
        </w:rPr>
        <w:t xml:space="preserve"> </w:t>
      </w:r>
      <w:r w:rsidR="003E77A4" w:rsidRPr="00405303">
        <w:rPr>
          <w:bCs/>
          <w:color w:val="002060"/>
          <w:sz w:val="16"/>
          <w:szCs w:val="16"/>
        </w:rPr>
        <w:t xml:space="preserve"> Генерал-майор ..................................К. Н. Егорьев.</w:t>
      </w:r>
    </w:p>
    <w:p w14:paraId="6C4D0B31" w14:textId="7770ED43" w:rsidR="003E77A4" w:rsidRPr="00405303" w:rsidRDefault="000F5756" w:rsidP="00C15251">
      <w:pPr>
        <w:jc w:val="both"/>
        <w:rPr>
          <w:bCs/>
          <w:color w:val="002060"/>
          <w:sz w:val="16"/>
          <w:szCs w:val="16"/>
        </w:rPr>
      </w:pPr>
      <w:r>
        <w:rPr>
          <w:bCs/>
          <w:color w:val="002060"/>
          <w:sz w:val="16"/>
          <w:szCs w:val="16"/>
        </w:rPr>
        <w:t xml:space="preserve">  </w:t>
      </w:r>
      <w:r w:rsidR="003E77A4" w:rsidRPr="00405303">
        <w:rPr>
          <w:bCs/>
          <w:color w:val="002060"/>
          <w:sz w:val="16"/>
          <w:szCs w:val="16"/>
        </w:rPr>
        <w:t>» » ».................................... Н. И. Петровский.</w:t>
      </w:r>
    </w:p>
    <w:p w14:paraId="62B3373B" w14:textId="54E1FCCC" w:rsidR="003E77A4" w:rsidRPr="00405303" w:rsidRDefault="000F5756" w:rsidP="00C15251">
      <w:pPr>
        <w:jc w:val="both"/>
        <w:rPr>
          <w:bCs/>
          <w:color w:val="002060"/>
          <w:sz w:val="16"/>
          <w:szCs w:val="16"/>
        </w:rPr>
      </w:pPr>
      <w:r>
        <w:rPr>
          <w:bCs/>
          <w:color w:val="002060"/>
          <w:sz w:val="16"/>
          <w:szCs w:val="16"/>
        </w:rPr>
        <w:t xml:space="preserve"> </w:t>
      </w:r>
      <w:r w:rsidR="003E77A4" w:rsidRPr="00405303">
        <w:rPr>
          <w:bCs/>
          <w:color w:val="002060"/>
          <w:sz w:val="16"/>
          <w:szCs w:val="16"/>
        </w:rPr>
        <w:t xml:space="preserve"> Действительный статский советник...В. П. Литвинов-Фалинский.</w:t>
      </w:r>
    </w:p>
    <w:p w14:paraId="105AC9F3" w14:textId="6E847DBA" w:rsidR="003E77A4" w:rsidRPr="00405303" w:rsidRDefault="000F5756" w:rsidP="00C15251">
      <w:pPr>
        <w:jc w:val="both"/>
        <w:rPr>
          <w:bCs/>
          <w:color w:val="002060"/>
          <w:sz w:val="16"/>
          <w:szCs w:val="16"/>
        </w:rPr>
      </w:pPr>
      <w:r>
        <w:rPr>
          <w:bCs/>
          <w:color w:val="002060"/>
          <w:sz w:val="16"/>
          <w:szCs w:val="16"/>
        </w:rPr>
        <w:t xml:space="preserve"> </w:t>
      </w:r>
      <w:r w:rsidR="003E77A4" w:rsidRPr="00405303">
        <w:rPr>
          <w:bCs/>
          <w:color w:val="002060"/>
          <w:sz w:val="16"/>
          <w:szCs w:val="16"/>
        </w:rPr>
        <w:t xml:space="preserve"> Коллежский советник..........................В. В. Жуковский.</w:t>
      </w:r>
    </w:p>
    <w:p w14:paraId="060217E4" w14:textId="63ABE2D4" w:rsidR="003E77A4" w:rsidRPr="00405303" w:rsidRDefault="000F5756" w:rsidP="00C15251">
      <w:pPr>
        <w:jc w:val="both"/>
        <w:rPr>
          <w:bCs/>
          <w:color w:val="002060"/>
          <w:sz w:val="16"/>
          <w:szCs w:val="16"/>
        </w:rPr>
      </w:pPr>
      <w:r>
        <w:rPr>
          <w:bCs/>
          <w:color w:val="002060"/>
          <w:sz w:val="16"/>
          <w:szCs w:val="16"/>
        </w:rPr>
        <w:t xml:space="preserve"> </w:t>
      </w:r>
      <w:r w:rsidR="003E77A4" w:rsidRPr="00405303">
        <w:rPr>
          <w:bCs/>
          <w:color w:val="002060"/>
          <w:sz w:val="16"/>
          <w:szCs w:val="16"/>
        </w:rPr>
        <w:t xml:space="preserve"> Инженер путей сообщения ..................барон Г. X. Майдель.</w:t>
      </w:r>
    </w:p>
    <w:p w14:paraId="195B4A8A" w14:textId="644B85B0" w:rsidR="003E77A4" w:rsidRPr="00405303" w:rsidRDefault="000F5756" w:rsidP="00C15251">
      <w:pPr>
        <w:jc w:val="both"/>
        <w:rPr>
          <w:bCs/>
          <w:color w:val="002060"/>
          <w:sz w:val="16"/>
          <w:szCs w:val="16"/>
        </w:rPr>
      </w:pPr>
      <w:r>
        <w:rPr>
          <w:bCs/>
          <w:color w:val="002060"/>
          <w:sz w:val="16"/>
          <w:szCs w:val="16"/>
        </w:rPr>
        <w:t xml:space="preserve"> </w:t>
      </w:r>
      <w:r w:rsidR="003E77A4" w:rsidRPr="00405303">
        <w:rPr>
          <w:bCs/>
          <w:color w:val="002060"/>
          <w:sz w:val="16"/>
          <w:szCs w:val="16"/>
        </w:rPr>
        <w:t xml:space="preserve"> Делопроизводители Особого Совещания:</w:t>
      </w:r>
    </w:p>
    <w:p w14:paraId="5E475943" w14:textId="0953A3D4" w:rsidR="003E77A4" w:rsidRPr="00405303" w:rsidRDefault="000F5756" w:rsidP="00C15251">
      <w:pPr>
        <w:jc w:val="both"/>
        <w:rPr>
          <w:bCs/>
          <w:color w:val="002060"/>
          <w:sz w:val="16"/>
          <w:szCs w:val="16"/>
        </w:rPr>
      </w:pPr>
      <w:r>
        <w:rPr>
          <w:bCs/>
          <w:color w:val="002060"/>
          <w:sz w:val="16"/>
          <w:szCs w:val="16"/>
        </w:rPr>
        <w:t xml:space="preserve"> </w:t>
      </w:r>
      <w:r w:rsidR="003E77A4" w:rsidRPr="00405303">
        <w:rPr>
          <w:bCs/>
          <w:color w:val="002060"/>
          <w:sz w:val="16"/>
          <w:szCs w:val="16"/>
        </w:rPr>
        <w:t xml:space="preserve"> Надворный советник...........................Л. Д. Тяжелое.</w:t>
      </w:r>
    </w:p>
    <w:p w14:paraId="723843F7" w14:textId="0541928A" w:rsidR="003E77A4" w:rsidRPr="00405303" w:rsidRDefault="000F5756" w:rsidP="00C15251">
      <w:pPr>
        <w:jc w:val="both"/>
        <w:rPr>
          <w:bCs/>
          <w:color w:val="002060"/>
          <w:sz w:val="16"/>
          <w:szCs w:val="16"/>
        </w:rPr>
      </w:pPr>
      <w:r>
        <w:rPr>
          <w:bCs/>
          <w:color w:val="002060"/>
          <w:sz w:val="16"/>
          <w:szCs w:val="16"/>
        </w:rPr>
        <w:t xml:space="preserve">  </w:t>
      </w:r>
      <w:proofErr w:type="gramStart"/>
      <w:r w:rsidR="003E77A4" w:rsidRPr="00405303">
        <w:rPr>
          <w:bCs/>
          <w:color w:val="002060"/>
          <w:sz w:val="16"/>
          <w:szCs w:val="16"/>
        </w:rPr>
        <w:t>» »</w:t>
      </w:r>
      <w:proofErr w:type="gramEnd"/>
      <w:r w:rsidR="003E77A4" w:rsidRPr="00405303">
        <w:rPr>
          <w:bCs/>
          <w:color w:val="002060"/>
          <w:sz w:val="16"/>
          <w:szCs w:val="16"/>
        </w:rPr>
        <w:t xml:space="preserve"> »</w:t>
      </w:r>
      <w:proofErr w:type="gramStart"/>
      <w:r w:rsidR="003E77A4" w:rsidRPr="00405303">
        <w:rPr>
          <w:bCs/>
          <w:color w:val="002060"/>
          <w:sz w:val="16"/>
          <w:szCs w:val="16"/>
        </w:rPr>
        <w:t>.......................................Н.В.де</w:t>
      </w:r>
      <w:proofErr w:type="gramEnd"/>
      <w:r w:rsidR="003E77A4" w:rsidRPr="00405303">
        <w:rPr>
          <w:bCs/>
          <w:color w:val="002060"/>
          <w:sz w:val="16"/>
          <w:szCs w:val="16"/>
        </w:rPr>
        <w:t xml:space="preserve"> Бособр.</w:t>
      </w:r>
    </w:p>
    <w:p w14:paraId="739458C2" w14:textId="77777777" w:rsidR="003E77A4" w:rsidRPr="00405303" w:rsidRDefault="003E77A4" w:rsidP="00C15251">
      <w:pPr>
        <w:jc w:val="both"/>
        <w:rPr>
          <w:bCs/>
          <w:color w:val="002060"/>
          <w:sz w:val="16"/>
          <w:szCs w:val="16"/>
        </w:rPr>
      </w:pPr>
      <w:r w:rsidRPr="00405303">
        <w:rPr>
          <w:bCs/>
          <w:color w:val="002060"/>
          <w:sz w:val="16"/>
          <w:szCs w:val="16"/>
        </w:rPr>
        <w:t>По открытии заседания Особое Совещание заслушало и одобрило доклады подготовительной комиссии по артиллерийским вопросам:а) о мероприятиях по усилению производства серной кислоты, б) об отклонении предложения общества Путиловских заводов на постройку нового орудийного завода, в) о предложениях Л. А. Михельсона на поставку 3-дм. гранат со взрывателями и г) об отмене постановления Особого Совещания о необходимости принудительного договора между владелицей Эльборусских рудников и правлением завода «Алагир».</w:t>
      </w:r>
    </w:p>
    <w:p w14:paraId="1D1DF866" w14:textId="77777777" w:rsidR="003E77A4" w:rsidRPr="00405303" w:rsidRDefault="003E77A4" w:rsidP="00C15251">
      <w:pPr>
        <w:jc w:val="both"/>
        <w:rPr>
          <w:bCs/>
          <w:color w:val="002060"/>
          <w:sz w:val="16"/>
          <w:szCs w:val="16"/>
        </w:rPr>
      </w:pPr>
      <w:r w:rsidRPr="00405303">
        <w:rPr>
          <w:bCs/>
          <w:color w:val="002060"/>
          <w:sz w:val="16"/>
          <w:szCs w:val="16"/>
        </w:rPr>
        <w:t>Равным образом, Особое Совещание не встретило препятствий к одобрению докладов подготовительной комиссии по общим вопросам:</w:t>
      </w:r>
    </w:p>
    <w:p w14:paraId="21CF2684" w14:textId="77777777" w:rsidR="003E77A4" w:rsidRPr="00405303" w:rsidRDefault="003E77A4" w:rsidP="00C15251">
      <w:pPr>
        <w:jc w:val="both"/>
        <w:rPr>
          <w:bCs/>
          <w:color w:val="002060"/>
          <w:sz w:val="16"/>
          <w:szCs w:val="16"/>
        </w:rPr>
      </w:pPr>
      <w:r w:rsidRPr="00405303">
        <w:rPr>
          <w:bCs/>
          <w:color w:val="002060"/>
          <w:sz w:val="16"/>
          <w:szCs w:val="16"/>
        </w:rPr>
        <w:t>а) об ассигновании 36 тысяч рублей на организацию регулярной работы комитета военно-технической помощи и б) об ассигновании центральному военно-промышленному комитету средств на покупку за границей металлов для удовлетворения потребностей частных заводов. При этом Особое Совещание, соглашаясь с указанием члена Государственной Думы А. И. Шингарева, высказало пожелание, чтобы в состав комитета по снабжению частных заводов металлами были введены представители от Всероссийских земского и городского союзов по два от каждого, а равно, чтобы по одному представителю от означенных союзов было введено в состав контрольной комиссии упомянутого комитета.</w:t>
      </w:r>
    </w:p>
    <w:p w14:paraId="2305580B" w14:textId="625D4C6D" w:rsidR="003E77A4" w:rsidRPr="00405303" w:rsidRDefault="003E77A4" w:rsidP="00C15251">
      <w:pPr>
        <w:jc w:val="both"/>
        <w:rPr>
          <w:bCs/>
          <w:color w:val="002060"/>
          <w:sz w:val="16"/>
          <w:szCs w:val="16"/>
        </w:rPr>
      </w:pPr>
      <w:r w:rsidRPr="00405303">
        <w:rPr>
          <w:bCs/>
          <w:color w:val="002060"/>
          <w:sz w:val="16"/>
          <w:szCs w:val="16"/>
        </w:rPr>
        <w:t>Рассмотрев затем доклад подготовительной комиссии по общим вопросам</w:t>
      </w:r>
      <w:r w:rsidR="000F5756">
        <w:rPr>
          <w:bCs/>
          <w:color w:val="002060"/>
          <w:sz w:val="16"/>
          <w:szCs w:val="16"/>
        </w:rPr>
        <w:t xml:space="preserve"> </w:t>
      </w:r>
      <w:r w:rsidRPr="00405303">
        <w:rPr>
          <w:bCs/>
          <w:color w:val="002060"/>
          <w:sz w:val="16"/>
          <w:szCs w:val="16"/>
        </w:rPr>
        <w:t>об устройстве в центральной части России отделения завода фирмы «Сименс и Гальске» для изготовления телефонных и телеграфных аппаратов и о правительственном субсидировании этого начинания, Особое Совещание выслушало заключение помощника Военного Министра, генерала от инфантерии М. А. Беляева, указавшего на чисто германский характер фирмы «Сименс и Гальске» и отметившего, что относительно другого изготовляющего телефоны завода «Эриксон», также имеющего германский характер, есть прямые указания из армии, что он ставил очень искусно испорченные телефоны.</w:t>
      </w:r>
    </w:p>
    <w:p w14:paraId="1F0F596B" w14:textId="77777777" w:rsidR="003E77A4" w:rsidRPr="00405303" w:rsidRDefault="003E77A4" w:rsidP="00C15251">
      <w:pPr>
        <w:jc w:val="both"/>
        <w:rPr>
          <w:bCs/>
          <w:color w:val="002060"/>
          <w:sz w:val="16"/>
          <w:szCs w:val="16"/>
        </w:rPr>
      </w:pPr>
      <w:r w:rsidRPr="00405303">
        <w:rPr>
          <w:bCs/>
          <w:color w:val="002060"/>
          <w:sz w:val="16"/>
          <w:szCs w:val="16"/>
        </w:rPr>
        <w:t>Основываясь на сем и имея в виду, что проектируемая мера дает возможность процветания в России заведомо германской фирме, генерал от инфантерии М. А. Беляев высказался за отклонение доклада с тем, чтобы проектированные в нем условия были предложены какой-либо русской фирме.</w:t>
      </w:r>
    </w:p>
    <w:p w14:paraId="2AE612EC" w14:textId="77777777" w:rsidR="003E77A4" w:rsidRPr="00405303" w:rsidRDefault="003E77A4" w:rsidP="00C15251">
      <w:pPr>
        <w:jc w:val="both"/>
        <w:rPr>
          <w:bCs/>
          <w:color w:val="002060"/>
          <w:sz w:val="16"/>
          <w:szCs w:val="16"/>
        </w:rPr>
      </w:pPr>
      <w:r w:rsidRPr="00405303">
        <w:rPr>
          <w:bCs/>
          <w:color w:val="002060"/>
          <w:sz w:val="16"/>
          <w:szCs w:val="16"/>
        </w:rPr>
        <w:t xml:space="preserve">Соглашаясь с изложенным мнением, член Государственной Думы A. И. Шингарев отметил, что фирма «Сименс и Гальске» показала себя неаккуратным поставщиком, что на заводе этой фирмы имел место весьма подозрительный пожар и что, наконец, вообще желательно избавиться от германской гегемонии в области электротехнической промышленности. </w:t>
      </w:r>
    </w:p>
    <w:p w14:paraId="5770B249" w14:textId="77777777" w:rsidR="003E77A4" w:rsidRPr="00405303" w:rsidRDefault="003E77A4" w:rsidP="00C15251">
      <w:pPr>
        <w:jc w:val="both"/>
        <w:rPr>
          <w:bCs/>
          <w:color w:val="002060"/>
          <w:sz w:val="16"/>
          <w:szCs w:val="16"/>
        </w:rPr>
      </w:pPr>
      <w:r w:rsidRPr="00405303">
        <w:rPr>
          <w:bCs/>
          <w:color w:val="002060"/>
          <w:sz w:val="16"/>
          <w:szCs w:val="16"/>
        </w:rPr>
        <w:t>По мнению А. И. Шингарева, желательно обойтись без услуг фирмы «Сименс и Гальске», но во всяком случае необходимо точно выяснить размер потребности в телефонах, а равно возможные способы ее удовлетворения.</w:t>
      </w:r>
    </w:p>
    <w:p w14:paraId="19749076" w14:textId="77777777" w:rsidR="003E77A4" w:rsidRPr="00405303" w:rsidRDefault="003E77A4" w:rsidP="00C15251">
      <w:pPr>
        <w:jc w:val="both"/>
        <w:rPr>
          <w:bCs/>
          <w:color w:val="002060"/>
          <w:sz w:val="16"/>
          <w:szCs w:val="16"/>
        </w:rPr>
      </w:pPr>
      <w:r w:rsidRPr="00405303">
        <w:rPr>
          <w:bCs/>
          <w:color w:val="002060"/>
          <w:sz w:val="16"/>
          <w:szCs w:val="16"/>
        </w:rPr>
        <w:t>Член Государственной Думы Н. Е. Марков к изложенному добавил, что он считает безусловно недопустимым содействие к укреплению в центральной России чисто германского предприятия и что единственным правильным разрешением настоящего вопроса является немедленный секвестр предприятия фирмы «Сименс и Гальске» с передачей его со всем оборудованием и персоналом в русские руки, казенные или частные.</w:t>
      </w:r>
    </w:p>
    <w:p w14:paraId="27D6AE99" w14:textId="77777777" w:rsidR="003E77A4" w:rsidRPr="00405303" w:rsidRDefault="003E77A4" w:rsidP="00C15251">
      <w:pPr>
        <w:jc w:val="both"/>
        <w:rPr>
          <w:bCs/>
          <w:color w:val="002060"/>
          <w:sz w:val="16"/>
          <w:szCs w:val="16"/>
        </w:rPr>
      </w:pPr>
      <w:r w:rsidRPr="00405303">
        <w:rPr>
          <w:bCs/>
          <w:color w:val="002060"/>
          <w:sz w:val="16"/>
          <w:szCs w:val="16"/>
        </w:rPr>
        <w:t>Члены Государственного Совета А. С. Стишинский, граф С. А. Толь и А. И. Мосолов высказали, что исходя из соображений, изложенных М. А. Беляевым, А. И. Шингаревым и Н. Е. Марковым, они считают безусловно необходимым не ограничиваться секвестром предприятия «Сименс и Гальске», но произвести безотлагательно реквизицию предприятия, после чего перенести его в центральный район России для эксплуатации исключительно русскими силами.</w:t>
      </w:r>
    </w:p>
    <w:p w14:paraId="71F4F21B" w14:textId="77777777" w:rsidR="003E77A4" w:rsidRPr="00405303" w:rsidRDefault="003E77A4" w:rsidP="00C15251">
      <w:pPr>
        <w:jc w:val="both"/>
        <w:rPr>
          <w:bCs/>
          <w:color w:val="002060"/>
          <w:sz w:val="16"/>
          <w:szCs w:val="16"/>
        </w:rPr>
      </w:pPr>
      <w:r w:rsidRPr="00405303">
        <w:rPr>
          <w:bCs/>
          <w:color w:val="002060"/>
          <w:sz w:val="16"/>
          <w:szCs w:val="16"/>
        </w:rPr>
        <w:t>Приняв во внимание вышеприведенные суждения и имея в виду, что вопрос о снабжении армии телефонами имеет в настоящее время чрезвычайно важное значение вследствие недостатка телефонов в армии, использованности заграничного рынка и слабого развития электротехнической промышленности в России, Особое Совещание признало соответственным поручить подготовительной комиссии по общим вопросам подробно разработать при участии главного военно-технического управления вопрос о размере потребности армии в телефонах и о способах удовлетворения таковой потребности, а равно о мерах, кои надлежало бы принять в отношении фирмы «Сименс и Гальске».</w:t>
      </w:r>
    </w:p>
    <w:p w14:paraId="5CF8DD6F" w14:textId="77777777" w:rsidR="003E77A4" w:rsidRPr="00405303" w:rsidRDefault="003E77A4" w:rsidP="00C15251">
      <w:pPr>
        <w:jc w:val="both"/>
        <w:rPr>
          <w:bCs/>
          <w:color w:val="002060"/>
          <w:sz w:val="16"/>
          <w:szCs w:val="16"/>
        </w:rPr>
      </w:pPr>
      <w:r w:rsidRPr="00405303">
        <w:rPr>
          <w:bCs/>
          <w:color w:val="002060"/>
          <w:sz w:val="16"/>
          <w:szCs w:val="16"/>
        </w:rPr>
        <w:t>В связи с изложенным вопросом член Государственного Совета B. И. Гурко и действительный статский советник В. II Литвинов-Фалинский высказали, что представляется необходимым выяснить общий вопрос о мерах побуждения Петроградских фирм, работающих на оборону, к добровольному перенесению предприятий из Петрограда в центральный район, причем указали, что одной из таковых мер явилось бы предоставление фирмам заказов под условием выполнения их вне Петрограда.</w:t>
      </w:r>
    </w:p>
    <w:p w14:paraId="5253CD41" w14:textId="77777777" w:rsidR="003E77A4" w:rsidRPr="00405303" w:rsidRDefault="003E77A4" w:rsidP="00C15251">
      <w:pPr>
        <w:jc w:val="both"/>
        <w:rPr>
          <w:bCs/>
          <w:color w:val="002060"/>
          <w:sz w:val="16"/>
          <w:szCs w:val="16"/>
        </w:rPr>
      </w:pPr>
      <w:r w:rsidRPr="00405303">
        <w:rPr>
          <w:bCs/>
          <w:color w:val="002060"/>
          <w:sz w:val="16"/>
          <w:szCs w:val="16"/>
        </w:rPr>
        <w:t>Член Государственной Думы И. И. Дмитрюков по поводу отмеченного генералом от инфантерии Беляевым подозрительного характера деятельности фирмы Эриксон указал с своей стороны, что завод Эриксона является гнездом забастовок, причем некоторые действия заводоуправления позволяют предполагать провокационные побуждения; эти данные в связи с сообщенным генералом от инфантерии Беляевым случаем порчи поставленных в армию телефонов приводят к необходимости обратить на фирму Эриксон серьезное внимание.</w:t>
      </w:r>
    </w:p>
    <w:p w14:paraId="73F61FF6" w14:textId="77777777" w:rsidR="003E77A4" w:rsidRPr="00405303" w:rsidRDefault="003E77A4" w:rsidP="00C15251">
      <w:pPr>
        <w:jc w:val="both"/>
        <w:rPr>
          <w:bCs/>
          <w:color w:val="002060"/>
          <w:sz w:val="16"/>
          <w:szCs w:val="16"/>
        </w:rPr>
      </w:pPr>
      <w:r w:rsidRPr="00405303">
        <w:rPr>
          <w:bCs/>
          <w:color w:val="002060"/>
          <w:sz w:val="16"/>
          <w:szCs w:val="16"/>
        </w:rPr>
        <w:t xml:space="preserve">Затем Особое Совещание заслушало и одобрило доклад подготовительной комиссии по общим вопросам о заготовлении главным военно-санитарным управлением предметов санитарно-медицинского имущества. В частности, Особое Совещание разделило мнение подготовительной комиссии о необходимости образования при Особом Совещании особой комиссии для пересмотра норм санитарного и медицинского снабжения армии в нижеследующем составе: по одному члену от Государственного Совета и Государственной Думы, из состава Особого Совещания, от центрального военно-промышленного комитета и от Всероссийских земского и городского союзов. Вместе с тем Особое Совещание признало целесообразным включить в означенную комиссию представителя от Красного Креста и от управления Верховного Начальника санитарной и эвакуационной части, если означенные управления изъявят на это согласие. Признавая, наконец, особенно важным </w:t>
      </w:r>
      <w:r w:rsidRPr="00405303">
        <w:rPr>
          <w:bCs/>
          <w:color w:val="002060"/>
          <w:sz w:val="16"/>
          <w:szCs w:val="16"/>
        </w:rPr>
        <w:lastRenderedPageBreak/>
        <w:t xml:space="preserve">установление в деле санитарно-медицинского снабжения армии тесной связи между фронтом и тылом, Особое Совещание указало на необходимость привлечения к работам этой комиссии компетентных чинов военно-санитарного </w:t>
      </w:r>
    </w:p>
    <w:p w14:paraId="4435090B" w14:textId="77777777" w:rsidR="003E77A4" w:rsidRPr="00405303" w:rsidRDefault="003E77A4" w:rsidP="00C15251">
      <w:pPr>
        <w:jc w:val="both"/>
        <w:rPr>
          <w:bCs/>
          <w:color w:val="002060"/>
          <w:sz w:val="16"/>
          <w:szCs w:val="16"/>
        </w:rPr>
      </w:pPr>
      <w:r w:rsidRPr="00405303">
        <w:rPr>
          <w:bCs/>
          <w:color w:val="002060"/>
          <w:sz w:val="16"/>
          <w:szCs w:val="16"/>
        </w:rPr>
        <w:t>ведомства из действующей армии.</w:t>
      </w:r>
    </w:p>
    <w:p w14:paraId="41A8BB65" w14:textId="77777777" w:rsidR="003E77A4" w:rsidRPr="00405303" w:rsidRDefault="003E77A4" w:rsidP="00C15251">
      <w:pPr>
        <w:jc w:val="both"/>
        <w:rPr>
          <w:bCs/>
          <w:color w:val="002060"/>
          <w:sz w:val="16"/>
          <w:szCs w:val="16"/>
        </w:rPr>
      </w:pPr>
      <w:r w:rsidRPr="00405303">
        <w:rPr>
          <w:bCs/>
          <w:color w:val="002060"/>
          <w:sz w:val="16"/>
          <w:szCs w:val="16"/>
        </w:rPr>
        <w:t>Заслушав в дальнейшем доклад подготовительной комиссии по общим вопросам об устройстве в России автомобильного завода и о предложениях этого рода, поступивших от разных фирм, Особое Совещание приняло во внимание следующие соображения.</w:t>
      </w:r>
    </w:p>
    <w:p w14:paraId="0129E7B7" w14:textId="77777777" w:rsidR="003E77A4" w:rsidRPr="00405303" w:rsidRDefault="003E77A4" w:rsidP="00C15251">
      <w:pPr>
        <w:jc w:val="both"/>
        <w:rPr>
          <w:bCs/>
          <w:color w:val="002060"/>
          <w:sz w:val="16"/>
          <w:szCs w:val="16"/>
        </w:rPr>
      </w:pPr>
      <w:r w:rsidRPr="00405303">
        <w:rPr>
          <w:bCs/>
          <w:color w:val="002060"/>
          <w:sz w:val="16"/>
          <w:szCs w:val="16"/>
        </w:rPr>
        <w:t>Развитие автомобильной промышленности в России является, с точки зрения интересов государственной обороны, одной из насущнейших задач настоящего момента. Опыт истекшего периода войны показал, что потребность в автомобилях в современных условиях войны является весьма большой, что уже послужило причиной производства заказов за границей автомобилей на сумму около 100 миллионов рублей. Однако размер подлежащей еще удовлетворению потребности представляется и ныне весьма большим, а потому военное ведомство поставлено перед альтернативой продолжать приобретение автомобилей за границей или же организовать производство их в России. Представляется несомненным, что последний способ разрешения задачи является более целесообразным, ибо, не говоря уже о финансово-экономической стороне вопроса, этим путем создастся отрасль промышленности, которая после войны без сомнения получит весьма важное значение. Переходя к вопросу о конкретном выполнении этой задачи, наиболее целесообразным является постройка казенного завода, который кроме изготовления автомобилей, главным образом грузового типа, изготовлял бы также моторы для авиации автомобильного типа (внутреннего сгорания). Но вместе с тем безусловно необходимо воспользоваться и предложениями частных фирм, которые согласны построить автомобильные заводы, при условии предоставления им военным ведомством заказов на автомобили. Предложения таковых фирм Особое Совещание признало приемлемыми на изложенных в докладе подготовительной комиссии основаниях.</w:t>
      </w:r>
    </w:p>
    <w:p w14:paraId="3FAAF8AD" w14:textId="77777777" w:rsidR="003E77A4" w:rsidRPr="00405303" w:rsidRDefault="003E77A4" w:rsidP="00C15251">
      <w:pPr>
        <w:jc w:val="both"/>
        <w:rPr>
          <w:bCs/>
          <w:color w:val="002060"/>
          <w:sz w:val="16"/>
          <w:szCs w:val="16"/>
        </w:rPr>
      </w:pPr>
      <w:r w:rsidRPr="00405303">
        <w:rPr>
          <w:bCs/>
          <w:color w:val="002060"/>
          <w:sz w:val="16"/>
          <w:szCs w:val="16"/>
        </w:rPr>
        <w:t>Высказавшись на основании изложенных мотивов за утверждение доклада, Особое Совещание, соглашаясь с указанием члена Государственного Совета Тимирязева, отметило, что для развития отечественной автомобильной промышленности необходимо соответственное изменение нашей таможенной политики в смысле повышения ставок ввозных пошлин на автомобили; если же осуществление таковой меры, ввиду международных отношений, не представится возможным, то надлежит прибегнуть к поощрению автомобильной промышленности путем установления премии, по аналогии с подобной мерой, уже произведенной в отношении сельскохозяйственных орудий и давшей благоприятные результаты.</w:t>
      </w:r>
    </w:p>
    <w:p w14:paraId="1D12CA3C" w14:textId="77777777" w:rsidR="003E77A4" w:rsidRPr="00405303" w:rsidRDefault="003E77A4" w:rsidP="00C15251">
      <w:pPr>
        <w:jc w:val="both"/>
        <w:rPr>
          <w:bCs/>
          <w:color w:val="002060"/>
          <w:sz w:val="16"/>
          <w:szCs w:val="16"/>
        </w:rPr>
      </w:pPr>
      <w:r w:rsidRPr="00405303">
        <w:rPr>
          <w:bCs/>
          <w:color w:val="002060"/>
          <w:sz w:val="16"/>
          <w:szCs w:val="16"/>
        </w:rPr>
        <w:t>Выслушав затем внеочередное заявление председателя Государственной Думы М. В. Родзянко об имевших место в последнем заседании Российского общества Красного Креста суждениях относительно необходимости заготовления весьма большого количества кипятильников для армии, Особое Совещание, приняв во внимание заключение генерал-лейтенанта Бабикова о необходимости выработки наиболее простого и единообразного типа кипятильников, признало соответственным поручить безотлагательную разработку вопроса о снабжении армии кипятильниками главному интендантскому управлению.</w:t>
      </w:r>
    </w:p>
    <w:p w14:paraId="74E52660" w14:textId="77777777" w:rsidR="003E77A4" w:rsidRPr="00405303" w:rsidRDefault="003E77A4" w:rsidP="00C15251">
      <w:pPr>
        <w:jc w:val="both"/>
        <w:rPr>
          <w:bCs/>
          <w:color w:val="002060"/>
          <w:sz w:val="16"/>
          <w:szCs w:val="16"/>
        </w:rPr>
      </w:pPr>
      <w:r w:rsidRPr="00405303">
        <w:rPr>
          <w:bCs/>
          <w:color w:val="002060"/>
          <w:sz w:val="16"/>
          <w:szCs w:val="16"/>
        </w:rPr>
        <w:t>В заключение, выслушав доклад члена Государственного Совета А. Ф. Трепова о реквизиции двух кабелей и троса для передачи их обществу для сооружения Ораниенбаумской электрической железной дороги в целях ускорения проведения трамвая к Путиловскому заводу, Особое Совещание не встретило препятствий к одобрению сего доклада.</w:t>
      </w:r>
    </w:p>
    <w:p w14:paraId="15FE3520" w14:textId="77777777" w:rsidR="003E77A4" w:rsidRPr="00405303" w:rsidRDefault="003E77A4" w:rsidP="00C15251">
      <w:pPr>
        <w:jc w:val="both"/>
        <w:rPr>
          <w:bCs/>
          <w:color w:val="002060"/>
          <w:sz w:val="16"/>
          <w:szCs w:val="16"/>
        </w:rPr>
      </w:pPr>
      <w:r w:rsidRPr="00405303">
        <w:rPr>
          <w:bCs/>
          <w:color w:val="002060"/>
          <w:sz w:val="16"/>
          <w:szCs w:val="16"/>
        </w:rPr>
        <w:t>Председатель Особого Совещания в отношении приведения в исполнение требующих того суждений Особого Совещания решил:</w:t>
      </w:r>
    </w:p>
    <w:p w14:paraId="5448D707" w14:textId="1F441D5B" w:rsidR="003E77A4" w:rsidRPr="00405303" w:rsidRDefault="003E77A4" w:rsidP="00C15251">
      <w:pPr>
        <w:jc w:val="both"/>
        <w:rPr>
          <w:bCs/>
          <w:color w:val="002060"/>
          <w:sz w:val="16"/>
          <w:szCs w:val="16"/>
        </w:rPr>
      </w:pPr>
      <w:r w:rsidRPr="00405303">
        <w:rPr>
          <w:bCs/>
          <w:color w:val="002060"/>
          <w:sz w:val="16"/>
          <w:szCs w:val="16"/>
        </w:rPr>
        <w:t>1.</w:t>
      </w:r>
      <w:r w:rsidR="000F5756">
        <w:rPr>
          <w:bCs/>
          <w:color w:val="002060"/>
          <w:sz w:val="16"/>
          <w:szCs w:val="16"/>
        </w:rPr>
        <w:t xml:space="preserve"> </w:t>
      </w:r>
      <w:r w:rsidRPr="00405303">
        <w:rPr>
          <w:bCs/>
          <w:color w:val="002060"/>
          <w:sz w:val="16"/>
          <w:szCs w:val="16"/>
        </w:rPr>
        <w:t xml:space="preserve"> Утвердить доклады подготовительной комиссии по общим вопросам: </w:t>
      </w:r>
    </w:p>
    <w:p w14:paraId="096E0F8C" w14:textId="77777777" w:rsidR="003E77A4" w:rsidRPr="00405303" w:rsidRDefault="003E77A4" w:rsidP="00C15251">
      <w:pPr>
        <w:jc w:val="both"/>
        <w:rPr>
          <w:bCs/>
          <w:color w:val="002060"/>
          <w:sz w:val="16"/>
          <w:szCs w:val="16"/>
        </w:rPr>
      </w:pPr>
      <w:r w:rsidRPr="00405303">
        <w:rPr>
          <w:bCs/>
          <w:color w:val="002060"/>
          <w:sz w:val="16"/>
          <w:szCs w:val="16"/>
        </w:rPr>
        <w:t>а) о заготовлении главным военно-санитарным управлением предметов санитарно-медицинского имущества, б) об ассигновании центральному военно-промышленному комитету средств на покупку за границей металлов для удовлетворения потребности частных заводов, работающих на оборону, и в) об ассигновании средств на организацию регулярных работ комитета военно-технической помощи.</w:t>
      </w:r>
    </w:p>
    <w:p w14:paraId="5E5725D4" w14:textId="328CD048" w:rsidR="003E77A4" w:rsidRPr="00405303" w:rsidRDefault="003E77A4" w:rsidP="00C15251">
      <w:pPr>
        <w:jc w:val="both"/>
        <w:rPr>
          <w:bCs/>
          <w:color w:val="002060"/>
          <w:sz w:val="16"/>
          <w:szCs w:val="16"/>
        </w:rPr>
      </w:pPr>
      <w:r w:rsidRPr="00405303">
        <w:rPr>
          <w:bCs/>
          <w:color w:val="002060"/>
          <w:sz w:val="16"/>
          <w:szCs w:val="16"/>
        </w:rPr>
        <w:t>2.</w:t>
      </w:r>
      <w:r w:rsidR="000F5756">
        <w:rPr>
          <w:bCs/>
          <w:color w:val="002060"/>
          <w:sz w:val="16"/>
          <w:szCs w:val="16"/>
        </w:rPr>
        <w:t xml:space="preserve">  </w:t>
      </w:r>
      <w:r w:rsidRPr="00405303">
        <w:rPr>
          <w:bCs/>
          <w:color w:val="002060"/>
          <w:sz w:val="16"/>
          <w:szCs w:val="16"/>
        </w:rPr>
        <w:t>Утвердить доклады подготовительной комиссии по артиллерийским вопросам:</w:t>
      </w:r>
    </w:p>
    <w:p w14:paraId="50532A27" w14:textId="77777777" w:rsidR="003E77A4" w:rsidRPr="00405303" w:rsidRDefault="003E77A4" w:rsidP="00C15251">
      <w:pPr>
        <w:jc w:val="both"/>
        <w:rPr>
          <w:bCs/>
          <w:color w:val="002060"/>
          <w:sz w:val="16"/>
          <w:szCs w:val="16"/>
        </w:rPr>
      </w:pPr>
      <w:r w:rsidRPr="00405303">
        <w:rPr>
          <w:bCs/>
          <w:color w:val="002060"/>
          <w:sz w:val="16"/>
          <w:szCs w:val="16"/>
        </w:rPr>
        <w:t>а) о мероприятиях по усилению производства серной кислоты, б) об отклонении предложения о-ва Путиловских заводов на постройку нового орудийного завода, в) о предложениях Л. А. Михельсона на поставку 3-дм. гранат и взрывателей и г) об отмене постановления Особого Совещания о необходимости принудительного договора между владелицей Эльборусских рудников и правлением завода «Алагир».</w:t>
      </w:r>
    </w:p>
    <w:p w14:paraId="218508D7" w14:textId="5323C6F4" w:rsidR="003E77A4" w:rsidRPr="00405303" w:rsidRDefault="003E77A4" w:rsidP="00C15251">
      <w:pPr>
        <w:jc w:val="both"/>
        <w:rPr>
          <w:bCs/>
          <w:color w:val="002060"/>
          <w:sz w:val="16"/>
          <w:szCs w:val="16"/>
        </w:rPr>
      </w:pPr>
      <w:r w:rsidRPr="00405303">
        <w:rPr>
          <w:bCs/>
          <w:color w:val="002060"/>
          <w:sz w:val="16"/>
          <w:szCs w:val="16"/>
        </w:rPr>
        <w:t>3.</w:t>
      </w:r>
      <w:r w:rsidR="000F5756">
        <w:rPr>
          <w:bCs/>
          <w:color w:val="002060"/>
          <w:sz w:val="16"/>
          <w:szCs w:val="16"/>
        </w:rPr>
        <w:t xml:space="preserve">  </w:t>
      </w:r>
      <w:r w:rsidRPr="00405303">
        <w:rPr>
          <w:bCs/>
          <w:color w:val="002060"/>
          <w:sz w:val="16"/>
          <w:szCs w:val="16"/>
        </w:rPr>
        <w:t>Учредить при Особом Совещании особую комиссию в составе, указанном в журнале, для пересмотра всего вопроса о нормах довольствия армии предметами санитарного и медицинского снабжения.</w:t>
      </w:r>
    </w:p>
    <w:p w14:paraId="07B0DE73" w14:textId="5276BB10" w:rsidR="003E77A4" w:rsidRPr="00405303" w:rsidRDefault="003E77A4" w:rsidP="00C15251">
      <w:pPr>
        <w:jc w:val="both"/>
        <w:rPr>
          <w:bCs/>
          <w:color w:val="002060"/>
          <w:sz w:val="16"/>
          <w:szCs w:val="16"/>
        </w:rPr>
      </w:pPr>
      <w:r w:rsidRPr="00405303">
        <w:rPr>
          <w:bCs/>
          <w:color w:val="002060"/>
          <w:sz w:val="16"/>
          <w:szCs w:val="16"/>
        </w:rPr>
        <w:t>4.</w:t>
      </w:r>
      <w:r w:rsidR="000F5756">
        <w:rPr>
          <w:bCs/>
          <w:color w:val="002060"/>
          <w:sz w:val="16"/>
          <w:szCs w:val="16"/>
        </w:rPr>
        <w:t xml:space="preserve">  </w:t>
      </w:r>
      <w:r w:rsidRPr="00405303">
        <w:rPr>
          <w:bCs/>
          <w:color w:val="002060"/>
          <w:sz w:val="16"/>
          <w:szCs w:val="16"/>
        </w:rPr>
        <w:t>Утвердить на изложенных в журнале основаниях доклад подготовительной комиссии по общим вопросам об устройстве в России казенного автомобильного завода и о предложениях этого рода, поступивших от разных фирм.</w:t>
      </w:r>
    </w:p>
    <w:p w14:paraId="27529A0D" w14:textId="38D1379C" w:rsidR="003E77A4" w:rsidRPr="00405303" w:rsidRDefault="003E77A4" w:rsidP="00C15251">
      <w:pPr>
        <w:jc w:val="both"/>
        <w:rPr>
          <w:bCs/>
          <w:color w:val="002060"/>
          <w:sz w:val="16"/>
          <w:szCs w:val="16"/>
        </w:rPr>
      </w:pPr>
      <w:r w:rsidRPr="00405303">
        <w:rPr>
          <w:bCs/>
          <w:color w:val="002060"/>
          <w:sz w:val="16"/>
          <w:szCs w:val="16"/>
        </w:rPr>
        <w:t>5.</w:t>
      </w:r>
      <w:r w:rsidR="000F5756">
        <w:rPr>
          <w:bCs/>
          <w:color w:val="002060"/>
          <w:sz w:val="16"/>
          <w:szCs w:val="16"/>
        </w:rPr>
        <w:t xml:space="preserve">  </w:t>
      </w:r>
      <w:r w:rsidRPr="00405303">
        <w:rPr>
          <w:bCs/>
          <w:color w:val="002060"/>
          <w:sz w:val="16"/>
          <w:szCs w:val="16"/>
        </w:rPr>
        <w:t>Ввести в состав комитета для снабжения заводов заграничными металлами представителей от Всероссийских земского и городского союзов, по два от каждого, а равно ввести в контрольную комиссию названного комитета по одному члену от каждого из вышеупомянутых союзов.</w:t>
      </w:r>
    </w:p>
    <w:p w14:paraId="26ECA803" w14:textId="7453A74E" w:rsidR="003E77A4" w:rsidRPr="00405303" w:rsidRDefault="003E77A4" w:rsidP="00C15251">
      <w:pPr>
        <w:jc w:val="both"/>
        <w:rPr>
          <w:bCs/>
          <w:color w:val="002060"/>
          <w:sz w:val="16"/>
          <w:szCs w:val="16"/>
        </w:rPr>
      </w:pPr>
      <w:r w:rsidRPr="00405303">
        <w:rPr>
          <w:bCs/>
          <w:color w:val="002060"/>
          <w:sz w:val="16"/>
          <w:szCs w:val="16"/>
        </w:rPr>
        <w:t>6.</w:t>
      </w:r>
      <w:r w:rsidR="000F5756">
        <w:rPr>
          <w:bCs/>
          <w:color w:val="002060"/>
          <w:sz w:val="16"/>
          <w:szCs w:val="16"/>
        </w:rPr>
        <w:t xml:space="preserve">  </w:t>
      </w:r>
      <w:r w:rsidRPr="00405303">
        <w:rPr>
          <w:bCs/>
          <w:color w:val="002060"/>
          <w:sz w:val="16"/>
          <w:szCs w:val="16"/>
        </w:rPr>
        <w:t xml:space="preserve">Признать подлежащим безотлагательному разрешению вопрос о снабжении в должной мере всей армии кипятильниками, предложив главному интендантскому управлению выработать надлежащие по изложенному </w:t>
      </w:r>
    </w:p>
    <w:p w14:paraId="5FF632E9" w14:textId="77777777" w:rsidR="003E77A4" w:rsidRPr="00405303" w:rsidRDefault="003E77A4" w:rsidP="00C15251">
      <w:pPr>
        <w:jc w:val="both"/>
        <w:rPr>
          <w:bCs/>
          <w:color w:val="002060"/>
          <w:sz w:val="16"/>
          <w:szCs w:val="16"/>
        </w:rPr>
      </w:pPr>
      <w:r w:rsidRPr="00405303">
        <w:rPr>
          <w:bCs/>
          <w:color w:val="002060"/>
          <w:sz w:val="16"/>
          <w:szCs w:val="16"/>
        </w:rPr>
        <w:t>вопросу меры.</w:t>
      </w:r>
    </w:p>
    <w:p w14:paraId="030BFADA" w14:textId="2966F461" w:rsidR="003E77A4" w:rsidRPr="00405303" w:rsidRDefault="003E77A4" w:rsidP="00C15251">
      <w:pPr>
        <w:jc w:val="both"/>
        <w:rPr>
          <w:bCs/>
          <w:color w:val="002060"/>
          <w:sz w:val="16"/>
          <w:szCs w:val="16"/>
        </w:rPr>
      </w:pPr>
      <w:r w:rsidRPr="00405303">
        <w:rPr>
          <w:bCs/>
          <w:color w:val="002060"/>
          <w:sz w:val="16"/>
          <w:szCs w:val="16"/>
        </w:rPr>
        <w:t>7.</w:t>
      </w:r>
      <w:r w:rsidR="000F5756">
        <w:rPr>
          <w:bCs/>
          <w:color w:val="002060"/>
          <w:sz w:val="16"/>
          <w:szCs w:val="16"/>
        </w:rPr>
        <w:t xml:space="preserve">  </w:t>
      </w:r>
      <w:r w:rsidRPr="00405303">
        <w:rPr>
          <w:bCs/>
          <w:color w:val="002060"/>
          <w:sz w:val="16"/>
          <w:szCs w:val="16"/>
        </w:rPr>
        <w:t>Отклонить доклад подготовительной комиссии по общим вопросам об устройстве в центральной России отделения завода акционерного общества «Сименс и Гальске» для изготовления телефонных аппаратов, предложив подготовительной комиссии безотлагательно разработать при содействии главного военно-технического управления, в соответствии с изложенными в журнале суждениями Особого Совещания, вопросы: а) о размере потребности в телефонном имуществе и о мерах к скорейшему снабжению армии таковым имуществом и б) о мерах, кои надлежит принять в отношении фирмы «Сименс и Гальске».</w:t>
      </w:r>
    </w:p>
    <w:p w14:paraId="7DA32760" w14:textId="410C62D3" w:rsidR="003E77A4" w:rsidRPr="00405303" w:rsidRDefault="003E77A4" w:rsidP="00C15251">
      <w:pPr>
        <w:jc w:val="both"/>
        <w:rPr>
          <w:bCs/>
          <w:color w:val="002060"/>
          <w:sz w:val="16"/>
          <w:szCs w:val="16"/>
        </w:rPr>
      </w:pPr>
      <w:r w:rsidRPr="00405303">
        <w:rPr>
          <w:bCs/>
          <w:color w:val="002060"/>
          <w:sz w:val="16"/>
          <w:szCs w:val="16"/>
        </w:rPr>
        <w:t>8.</w:t>
      </w:r>
      <w:r w:rsidR="000F5756">
        <w:rPr>
          <w:bCs/>
          <w:color w:val="002060"/>
          <w:sz w:val="16"/>
          <w:szCs w:val="16"/>
        </w:rPr>
        <w:t xml:space="preserve">  </w:t>
      </w:r>
      <w:r w:rsidRPr="00405303">
        <w:rPr>
          <w:bCs/>
          <w:color w:val="002060"/>
          <w:sz w:val="16"/>
          <w:szCs w:val="16"/>
        </w:rPr>
        <w:t>Утвердить доклад наблюдательной комиссии о реквизиции кабелей и троса для передачи их в распоряжение Ораниенбаумского общества по постройке электрической железной дороги, поручив производство реквизиции главному военно-техническому управлению.</w:t>
      </w:r>
    </w:p>
    <w:p w14:paraId="772A9831" w14:textId="5B6A8331" w:rsidR="003E77A4" w:rsidRPr="00405303" w:rsidRDefault="003E77A4" w:rsidP="00C15251">
      <w:pPr>
        <w:jc w:val="both"/>
        <w:rPr>
          <w:bCs/>
          <w:color w:val="002060"/>
          <w:sz w:val="16"/>
          <w:szCs w:val="16"/>
        </w:rPr>
      </w:pPr>
      <w:r w:rsidRPr="00405303">
        <w:rPr>
          <w:bCs/>
          <w:color w:val="002060"/>
          <w:sz w:val="16"/>
          <w:szCs w:val="16"/>
        </w:rPr>
        <w:t>9.</w:t>
      </w:r>
      <w:r w:rsidR="000F5756">
        <w:rPr>
          <w:bCs/>
          <w:color w:val="002060"/>
          <w:sz w:val="16"/>
          <w:szCs w:val="16"/>
        </w:rPr>
        <w:t xml:space="preserve">  </w:t>
      </w:r>
      <w:r w:rsidRPr="00405303">
        <w:rPr>
          <w:bCs/>
          <w:color w:val="002060"/>
          <w:sz w:val="16"/>
          <w:szCs w:val="16"/>
        </w:rPr>
        <w:t>Открыть, через главное артиллерийское управление, центральному военно-промышленному комитету, для надобностей состоящего при нем комитета по снабжению заводов металлами, кредит из военного фонда в общей сумме 30 миллионов рублей, с отпуском из этого кредита необходимых сумм согласно изложенным в докладе подготовительной комиссии по общим вопросам основаниям.</w:t>
      </w:r>
    </w:p>
    <w:p w14:paraId="381D8C8F" w14:textId="1EC65D97" w:rsidR="003E77A4" w:rsidRPr="00405303" w:rsidRDefault="003E77A4" w:rsidP="00C15251">
      <w:pPr>
        <w:jc w:val="both"/>
        <w:rPr>
          <w:bCs/>
          <w:color w:val="002060"/>
          <w:sz w:val="16"/>
          <w:szCs w:val="16"/>
        </w:rPr>
      </w:pPr>
      <w:r w:rsidRPr="00405303">
        <w:rPr>
          <w:bCs/>
          <w:color w:val="002060"/>
          <w:sz w:val="16"/>
          <w:szCs w:val="16"/>
        </w:rPr>
        <w:t>10.</w:t>
      </w:r>
      <w:r w:rsidR="000F5756">
        <w:rPr>
          <w:bCs/>
          <w:color w:val="002060"/>
          <w:sz w:val="16"/>
          <w:szCs w:val="16"/>
        </w:rPr>
        <w:t xml:space="preserve">  </w:t>
      </w:r>
      <w:r w:rsidRPr="00405303">
        <w:rPr>
          <w:bCs/>
          <w:color w:val="002060"/>
          <w:sz w:val="16"/>
          <w:szCs w:val="16"/>
        </w:rPr>
        <w:t>Отпустить, через главное артиллерийское управление, из военного фонда, на изложенных в докладе подготовительной комиссии по общим вопросам основаниях, 36 тысяч рублей комитету научно-технической помощи.</w:t>
      </w:r>
    </w:p>
    <w:p w14:paraId="60A60E0F" w14:textId="77777777" w:rsidR="003E77A4" w:rsidRPr="00405303" w:rsidRDefault="003E77A4" w:rsidP="00C15251">
      <w:pPr>
        <w:jc w:val="both"/>
        <w:rPr>
          <w:bCs/>
          <w:color w:val="002060"/>
          <w:sz w:val="16"/>
          <w:szCs w:val="16"/>
        </w:rPr>
      </w:pPr>
      <w:r w:rsidRPr="00405303">
        <w:rPr>
          <w:bCs/>
          <w:color w:val="002060"/>
          <w:sz w:val="16"/>
          <w:szCs w:val="16"/>
        </w:rPr>
        <w:t>Подлинный журнал за надлежащими подписями.</w:t>
      </w:r>
    </w:p>
    <w:p w14:paraId="5D76338F" w14:textId="77777777" w:rsidR="003E77A4" w:rsidRPr="00405303" w:rsidRDefault="003E77A4" w:rsidP="00C15251">
      <w:pPr>
        <w:jc w:val="both"/>
        <w:rPr>
          <w:bCs/>
          <w:color w:val="002060"/>
          <w:sz w:val="16"/>
          <w:szCs w:val="16"/>
        </w:rPr>
      </w:pPr>
      <w:r w:rsidRPr="00405303">
        <w:rPr>
          <w:bCs/>
          <w:color w:val="002060"/>
          <w:sz w:val="16"/>
          <w:szCs w:val="16"/>
        </w:rPr>
        <w:t>С подлинным верно:</w:t>
      </w:r>
    </w:p>
    <w:p w14:paraId="1AA4D430" w14:textId="77777777" w:rsidR="003E77A4" w:rsidRPr="00405303" w:rsidRDefault="003E77A4" w:rsidP="00C15251">
      <w:pPr>
        <w:jc w:val="both"/>
        <w:rPr>
          <w:bCs/>
          <w:color w:val="002060"/>
          <w:sz w:val="16"/>
          <w:szCs w:val="16"/>
        </w:rPr>
      </w:pPr>
      <w:r w:rsidRPr="00405303">
        <w:rPr>
          <w:bCs/>
          <w:color w:val="002060"/>
          <w:sz w:val="16"/>
          <w:szCs w:val="16"/>
        </w:rPr>
        <w:t>и. об. делопроизводителя Л. Тяжелое.</w:t>
      </w:r>
    </w:p>
    <w:p w14:paraId="406CE3BE" w14:textId="77777777" w:rsidR="003E77A4" w:rsidRPr="00405303" w:rsidRDefault="003E77A4" w:rsidP="00C15251">
      <w:pPr>
        <w:jc w:val="both"/>
        <w:rPr>
          <w:bCs/>
          <w:color w:val="002060"/>
          <w:sz w:val="16"/>
          <w:szCs w:val="16"/>
        </w:rPr>
      </w:pPr>
      <w:r w:rsidRPr="00405303">
        <w:rPr>
          <w:bCs/>
          <w:color w:val="002060"/>
          <w:sz w:val="16"/>
          <w:szCs w:val="16"/>
        </w:rPr>
        <w:t>Сверял: за делопроизводителя (20988).</w:t>
      </w:r>
    </w:p>
    <w:p w14:paraId="2C69D39B" w14:textId="77777777" w:rsidR="003E77A4" w:rsidRPr="00405303" w:rsidRDefault="003E77A4" w:rsidP="00C15251">
      <w:pPr>
        <w:jc w:val="both"/>
        <w:rPr>
          <w:bCs/>
          <w:color w:val="002060"/>
          <w:sz w:val="16"/>
          <w:szCs w:val="16"/>
        </w:rPr>
      </w:pPr>
    </w:p>
    <w:p w14:paraId="57DB23C6" w14:textId="24C28A7E"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Другие оборонные отрасли:</w:t>
      </w:r>
    </w:p>
    <w:p w14:paraId="0CF84EFB" w14:textId="77777777" w:rsidR="004B4E35" w:rsidRPr="00405303" w:rsidRDefault="004B4E35" w:rsidP="00C15251">
      <w:pPr>
        <w:pStyle w:val="a3"/>
        <w:jc w:val="both"/>
        <w:rPr>
          <w:bCs/>
          <w:color w:val="002060"/>
          <w:spacing w:val="0"/>
          <w:kern w:val="0"/>
          <w:position w:val="0"/>
          <w:sz w:val="16"/>
          <w:szCs w:val="16"/>
        </w:rPr>
      </w:pPr>
    </w:p>
    <w:p w14:paraId="2BB2F599" w14:textId="36C900CA" w:rsidR="004B4E35" w:rsidRPr="00405303" w:rsidRDefault="009E6F82" w:rsidP="00C15251">
      <w:pPr>
        <w:jc w:val="both"/>
        <w:rPr>
          <w:bCs/>
          <w:color w:val="002060"/>
          <w:sz w:val="16"/>
          <w:szCs w:val="16"/>
        </w:rPr>
      </w:pPr>
      <w:r w:rsidRPr="00405303">
        <w:rPr>
          <w:bCs/>
          <w:color w:val="002060"/>
          <w:sz w:val="16"/>
          <w:szCs w:val="16"/>
        </w:rPr>
        <w:t xml:space="preserve">21 октября </w:t>
      </w:r>
      <w:r w:rsidR="00732C6C" w:rsidRPr="00405303">
        <w:rPr>
          <w:bCs/>
          <w:color w:val="002060"/>
          <w:sz w:val="16"/>
          <w:szCs w:val="16"/>
        </w:rPr>
        <w:t xml:space="preserve">(3 ноября) </w:t>
      </w:r>
      <w:r w:rsidRPr="00405303">
        <w:rPr>
          <w:bCs/>
          <w:color w:val="002060"/>
          <w:sz w:val="16"/>
          <w:szCs w:val="16"/>
        </w:rPr>
        <w:t>1915 г.</w:t>
      </w:r>
      <w:r w:rsidR="00732C6C" w:rsidRPr="00405303">
        <w:rPr>
          <w:bCs/>
          <w:color w:val="002060"/>
          <w:sz w:val="16"/>
          <w:szCs w:val="16"/>
        </w:rPr>
        <w:t xml:space="preserve"> Особым совещанием по обороне</w:t>
      </w:r>
      <w:r w:rsidRPr="00405303">
        <w:rPr>
          <w:bCs/>
          <w:color w:val="002060"/>
          <w:sz w:val="16"/>
          <w:szCs w:val="16"/>
        </w:rPr>
        <w:t xml:space="preserve"> </w:t>
      </w:r>
      <w:r w:rsidR="00732C6C" w:rsidRPr="00405303">
        <w:rPr>
          <w:bCs/>
          <w:color w:val="002060"/>
          <w:sz w:val="16"/>
          <w:szCs w:val="16"/>
        </w:rPr>
        <w:t>было приципиально одобрено сооружении казенного автомобильного завода, но реализация данного решения</w:t>
      </w:r>
      <w:r w:rsidR="000F5756">
        <w:rPr>
          <w:bCs/>
          <w:color w:val="002060"/>
          <w:sz w:val="16"/>
          <w:szCs w:val="16"/>
        </w:rPr>
        <w:t xml:space="preserve"> </w:t>
      </w:r>
      <w:r w:rsidRPr="00405303">
        <w:rPr>
          <w:bCs/>
          <w:color w:val="002060"/>
          <w:sz w:val="16"/>
          <w:szCs w:val="16"/>
        </w:rPr>
        <w:t xml:space="preserve">затянулась. Только на заседании Совещания 23 января 1916 г. вопрос о казенном заводе перешел в практическую плоскость. В резолюции, утвержденной военным министром на следующий день, указывалось: «Предоставить ГВТУ заключить договор с Британским инженерным обществом Сибири о постройке автомобильного завода с передачей в казну.” [РГВИА. Ф. 369. Оп. 1. Д. 173. Л. 31-33; Там же. Д. 54. Л. 191. Британское инженерное общество Сибири (сокращенно – «Бекос») объединяло 60 британских акционерных обществ. Учреждено в 1913 г. по инициативе английского министерства торговли и промышленности. Директор правления - А. Маршалл. Представитель в России - П. Стефанкевич.] Договор ГВТУ с обществом «Бекос» был подписан 2 мая 1916 г. Контракт предусматривал сооружение завода с полным оборудованием и изготовлением на нем в течение 3 лет эксплуатации 3 тыс. автомобилей и ремонт в течение того же срока до тысячи автомашин. По решению Совета министров военному ведомству был открыт кредит в размере 55010 тыс. руб. Эта сумма включала не только контрактную стоимость </w:t>
      </w:r>
      <w:r w:rsidRPr="00405303">
        <w:rPr>
          <w:bCs/>
          <w:color w:val="002060"/>
          <w:sz w:val="16"/>
          <w:szCs w:val="16"/>
        </w:rPr>
        <w:lastRenderedPageBreak/>
        <w:t>поставки автомобилей, но также оплату постройки, оборудования завода и рабочего поселка при нем [Там же. Ф. 815. Оп. 1. Д. 17. Заверенная копия договора. Там же. Ф. 369. Оп. 2. Д. 54. Л. 480.]. Обществу «Бекос» выдавался аванс в размере 250 тыс. руб. Особо в договоре были оговорены условия заграничных закупок деталей и материалов: в последний год эксплуатации завода их разрешалось приобрести только на 7,2 % от стоимости поставки. Как и в случае с частными автомобильными заводами, для осуществления финансового и технического контроля за строительством в структуре ГВТУ было создано делопроизводство казенного завода военных самоходов во главе с военным инженером, полковником Бобровским.</w:t>
      </w:r>
    </w:p>
    <w:p w14:paraId="0B84BF22" w14:textId="77777777" w:rsidR="004B4E35" w:rsidRPr="00405303" w:rsidRDefault="009E6F82" w:rsidP="00C15251">
      <w:pPr>
        <w:jc w:val="both"/>
        <w:rPr>
          <w:bCs/>
          <w:color w:val="002060"/>
          <w:sz w:val="16"/>
          <w:szCs w:val="16"/>
        </w:rPr>
      </w:pPr>
      <w:r w:rsidRPr="00405303">
        <w:rPr>
          <w:bCs/>
          <w:color w:val="002060"/>
          <w:sz w:val="16"/>
          <w:szCs w:val="16"/>
        </w:rPr>
        <w:t xml:space="preserve">Итак, вопрос о развитии отечественной автомобильной промышленности был разрешен в виде принятия определенной программы строительства </w:t>
      </w:r>
      <w:proofErr w:type="gramStart"/>
      <w:r w:rsidRPr="00405303">
        <w:rPr>
          <w:bCs/>
          <w:color w:val="002060"/>
          <w:sz w:val="16"/>
          <w:szCs w:val="16"/>
        </w:rPr>
        <w:t>пяти частных</w:t>
      </w:r>
      <w:proofErr w:type="gramEnd"/>
      <w:r w:rsidRPr="00405303">
        <w:rPr>
          <w:bCs/>
          <w:color w:val="002060"/>
          <w:sz w:val="16"/>
          <w:szCs w:val="16"/>
        </w:rPr>
        <w:t xml:space="preserve"> и одного казенного заводов. Хотя предприятия сооружались в разных местах, но нельзя не отметить явное предпочтение городов Центрально-промышленного региона и особенно Москвы. Во второй столице было намечено строительство сразу трех заводов: в районе Симонова монастыря в Тюфелевой роще – «АМО», на Филях - РБВЗ и около Мытищ, в Подлипках – казенный завод. В Ярославле строился завод о-ва «В.А. Лебедев» и в Рыбинске – «Русский Рено». И только предприятие общества «Аксай» сооружалось на юге страны в Ростове - на- Дону [Информация о сооружении автомобильных предприятий в наиболее обобщенном виде содержится в документах: Сведения об успехе строительных работ на казенном заводе (РГВИА. Ф. 814. Оп. 1. Д. 51. Л. 1,7); Сведения о постройке пяти частных автомобильных заводов на октябрь 1916 г. (Архив ВИМАИВС и ВС. Ф. 13. Оп. 87/1. Д. 54. Л. 88-90об.); Сведения о состоянии работ на частных автомобильных заводах на июнь 1917 г. (РГВИА. Ф. 815. Оп. 1. Д. 23. Л. 112); Справка Г.Г. Кривошеина о положении 5 частных автомобильных заводов в ГВТУ от 8 января 1918 г. (РГВИА. Ф. 815. Оп. 1. Д. 23. Л. 489-490); Опись принятых в октябре 1918 г. заводских зданий казенного завода военных самоходов (РГВИА. Ф. 814. Оп. 1. Д. 86. Л. 61- 61об.)] (11863).</w:t>
      </w:r>
    </w:p>
    <w:p w14:paraId="7EA538F0" w14:textId="77777777" w:rsidR="004B4E35" w:rsidRPr="00405303" w:rsidRDefault="004B4E35" w:rsidP="00C15251">
      <w:pPr>
        <w:jc w:val="both"/>
        <w:rPr>
          <w:bCs/>
          <w:color w:val="002060"/>
          <w:sz w:val="16"/>
          <w:szCs w:val="16"/>
        </w:rPr>
      </w:pPr>
    </w:p>
    <w:p w14:paraId="23865B3B" w14:textId="31FB0D26" w:rsidR="00B30458" w:rsidRPr="00405303" w:rsidRDefault="00B30458" w:rsidP="00C15251">
      <w:pPr>
        <w:pStyle w:val="ae"/>
        <w:spacing w:before="0" w:beforeAutospacing="0" w:after="0" w:afterAutospacing="0"/>
        <w:jc w:val="both"/>
        <w:rPr>
          <w:bCs/>
          <w:color w:val="002060"/>
          <w:sz w:val="16"/>
          <w:szCs w:val="16"/>
        </w:rPr>
      </w:pPr>
      <w:r w:rsidRPr="00405303">
        <w:rPr>
          <w:bCs/>
          <w:color w:val="002060"/>
          <w:sz w:val="16"/>
          <w:szCs w:val="16"/>
        </w:rPr>
        <w:t xml:space="preserve">21 октября </w:t>
      </w:r>
      <w:r w:rsidR="00732C6C" w:rsidRPr="00405303">
        <w:rPr>
          <w:bCs/>
          <w:color w:val="002060"/>
          <w:sz w:val="16"/>
          <w:szCs w:val="16"/>
        </w:rPr>
        <w:t xml:space="preserve">(3 ноября) </w:t>
      </w:r>
      <w:r w:rsidRPr="00405303">
        <w:rPr>
          <w:bCs/>
          <w:color w:val="002060"/>
          <w:sz w:val="16"/>
          <w:szCs w:val="16"/>
        </w:rPr>
        <w:t>1915 г. особым совещанием по обороне было принято решение о сооружении казенного автомобильного завода.</w:t>
      </w:r>
    </w:p>
    <w:p w14:paraId="7466ACA3" w14:textId="77777777" w:rsidR="00B30458" w:rsidRPr="00405303" w:rsidRDefault="00B30458" w:rsidP="00C15251">
      <w:pPr>
        <w:pStyle w:val="ae"/>
        <w:spacing w:before="0" w:beforeAutospacing="0" w:after="0" w:afterAutospacing="0"/>
        <w:jc w:val="both"/>
        <w:rPr>
          <w:bCs/>
          <w:color w:val="002060"/>
          <w:sz w:val="16"/>
          <w:szCs w:val="16"/>
        </w:rPr>
      </w:pPr>
      <w:r w:rsidRPr="00405303">
        <w:rPr>
          <w:bCs/>
          <w:color w:val="002060"/>
          <w:sz w:val="16"/>
          <w:szCs w:val="16"/>
        </w:rPr>
        <w:t>Решение Особого совещания по обороне о строительстве автомобильных заводов и заключении контрактов было встречено с большим удовлетворением промышленными кругами. Газета «Известия ЦВПК» писала: «Центральный военно-промышленный комитет, выдвинув этот вопрос и поставив его на реальную почву практического разрешения, проявил разумную инициативу масштаба государственного значения, а военное ведомство правильно учло эту инициативу и приняло на себя, в сотрудничестве с представителями мобилизованной промышленности, разрешение вопроса о насаждении отечественной автомобильной промышленности, и вот теперь вопрос решен». Не менее восторженный отзыв был помещен на страницах журнала «Автомобиль»: «Итак, русской промышленности открыт путь к ее развитию. Правительство пошло навстречу потребности страны в этом новом средстве сообщения и не побоялось больших материальных затрат, чтобы поставить дело на прочное основание» (18369).</w:t>
      </w:r>
    </w:p>
    <w:p w14:paraId="21F9F0FD" w14:textId="77777777" w:rsidR="00B30458" w:rsidRPr="00405303" w:rsidRDefault="00B30458" w:rsidP="00C15251">
      <w:pPr>
        <w:pStyle w:val="ae"/>
        <w:spacing w:before="0" w:beforeAutospacing="0" w:after="0" w:afterAutospacing="0"/>
        <w:jc w:val="both"/>
        <w:rPr>
          <w:bCs/>
          <w:color w:val="002060"/>
          <w:sz w:val="16"/>
          <w:szCs w:val="16"/>
        </w:rPr>
      </w:pPr>
    </w:p>
    <w:p w14:paraId="55F99889" w14:textId="77777777" w:rsidR="00DA32B9" w:rsidRPr="00405303" w:rsidRDefault="00DA32B9" w:rsidP="00C15251">
      <w:pPr>
        <w:shd w:val="clear" w:color="auto" w:fill="FFFFFF"/>
        <w:jc w:val="both"/>
        <w:rPr>
          <w:bCs/>
          <w:color w:val="002060"/>
          <w:sz w:val="16"/>
          <w:szCs w:val="16"/>
        </w:rPr>
      </w:pPr>
      <w:r w:rsidRPr="00405303">
        <w:rPr>
          <w:bCs/>
          <w:color w:val="002060"/>
          <w:sz w:val="16"/>
          <w:szCs w:val="16"/>
        </w:rPr>
        <w:t>21 октября (3 ноября) 1915 г. на одном из заседаний Особого совещания по обороне председатель Госдумы М.В. Родзянко заявил о необходимости срочного обеспечения действующей армии кипятильниками. Главному интендантскому управлению была поставлена задача принять соответствующие меры [Журнал № 17 Особого совещания… Заседание 21 октября 1915 г. / ЖОСО. 1915 год. С. 364.]. Впрочем, вскоре, не ожидая решения вопроса в этом ведомстве, 4 ноября 1915 Особое совещание постановило ввести «в обиход армии, в качестве предмета нормального снабжения, кипятильников типа, принятого в Красном Кресте» [Журнал № 21 Особого совещания… Заседание 4 ноября 1915 г. / ЖОСО. 1915 год. М., 1975. С. 392.].</w:t>
      </w:r>
    </w:p>
    <w:p w14:paraId="635DB149" w14:textId="77777777" w:rsidR="00DA32B9" w:rsidRPr="00405303" w:rsidRDefault="00DA32B9" w:rsidP="00C15251">
      <w:pPr>
        <w:jc w:val="both"/>
        <w:rPr>
          <w:bCs/>
          <w:color w:val="002060"/>
          <w:sz w:val="16"/>
          <w:szCs w:val="16"/>
          <w:shd w:val="clear" w:color="auto" w:fill="FFFFFF"/>
        </w:rPr>
      </w:pPr>
    </w:p>
    <w:p w14:paraId="1C671E7B" w14:textId="77777777" w:rsidR="00DA32B9" w:rsidRPr="00405303" w:rsidRDefault="00DA32B9" w:rsidP="00C15251">
      <w:pPr>
        <w:jc w:val="both"/>
        <w:rPr>
          <w:bCs/>
          <w:color w:val="002060"/>
          <w:sz w:val="16"/>
          <w:szCs w:val="16"/>
        </w:rPr>
      </w:pPr>
      <w:r w:rsidRPr="00405303">
        <w:rPr>
          <w:bCs/>
          <w:color w:val="002060"/>
          <w:sz w:val="16"/>
          <w:szCs w:val="16"/>
          <w:shd w:val="clear" w:color="auto" w:fill="FFFFFF"/>
        </w:rPr>
        <w:t>21 октября (3 ноября) 1915 г. в справке, специально подготовленной Управляющим делами Технического Комитета ГВТУ, машина Пороховщикова упоминается всюду как «самоход», «усовершенствованный автомобиль», «самодвижуицийся экипаж». В случае хотя бы гипотетического бронирования машины появился бы термин «бронированный автомобиль», тем более что сам Пороховщиков имел привычку сразу расписывать все перспективы своих изобретений (20250).</w:t>
      </w:r>
    </w:p>
    <w:p w14:paraId="3B0909CF" w14:textId="77777777" w:rsidR="00DA32B9" w:rsidRPr="00405303" w:rsidRDefault="00DA32B9" w:rsidP="00C15251">
      <w:pPr>
        <w:jc w:val="both"/>
        <w:rPr>
          <w:bCs/>
          <w:color w:val="002060"/>
          <w:sz w:val="16"/>
          <w:szCs w:val="16"/>
        </w:rPr>
      </w:pPr>
    </w:p>
    <w:p w14:paraId="64CA1BB8" w14:textId="577ADEAE" w:rsidR="00DA32B9" w:rsidRPr="00405303" w:rsidRDefault="00DA32B9" w:rsidP="00C15251">
      <w:pPr>
        <w:pStyle w:val="ae"/>
        <w:shd w:val="clear" w:color="auto" w:fill="FFFFFF"/>
        <w:spacing w:before="0" w:beforeAutospacing="0" w:after="0" w:afterAutospacing="0"/>
        <w:jc w:val="both"/>
        <w:rPr>
          <w:bCs/>
          <w:color w:val="002060"/>
          <w:sz w:val="16"/>
          <w:szCs w:val="16"/>
        </w:rPr>
      </w:pPr>
      <w:r w:rsidRPr="00405303">
        <w:rPr>
          <w:bCs/>
          <w:color w:val="002060"/>
          <w:sz w:val="16"/>
          <w:szCs w:val="16"/>
        </w:rPr>
        <w:t xml:space="preserve">21 октября </w:t>
      </w:r>
      <w:r w:rsidR="00732C6C" w:rsidRPr="00405303">
        <w:rPr>
          <w:bCs/>
          <w:color w:val="002060"/>
          <w:sz w:val="16"/>
          <w:szCs w:val="16"/>
        </w:rPr>
        <w:t xml:space="preserve">(3 ноября) </w:t>
      </w:r>
      <w:r w:rsidRPr="00405303">
        <w:rPr>
          <w:bCs/>
          <w:color w:val="002060"/>
          <w:sz w:val="16"/>
          <w:szCs w:val="16"/>
        </w:rPr>
        <w:t>1915 г. Особым совещанием по обороне было принципиально одобрено сооружении казенного автомобильного завода, но его реализация затянулась. Только на заседании Совещания 23 января 1916 г. вопрос о казенном заводе перешел в практическую плоскость. В резолюции, утвержденной военным министром на следующий день, указывалось: «Предоставить ГВТУ заключить договор с Британским инженерным обществом Сибири о постройке автомобильного завода с передачей в казну (</w:t>
      </w:r>
      <w:r w:rsidRPr="00405303">
        <w:rPr>
          <w:bCs/>
          <w:color w:val="002060"/>
          <w:sz w:val="16"/>
          <w:szCs w:val="16"/>
          <w:shd w:val="clear" w:color="auto" w:fill="FFFFFF"/>
        </w:rPr>
        <w:t>РГВИА. Ф. 369. Оп. 1. Д. 173. Л. 31-33; Там же. Д. 54. Л. 191. Британское инженерное общество Сибири (сокращенно – «Бекос») объединяло 60 британских акционерных обществ. Учреждено в 1913 г. по инициативе английского министерства торговли и промышленности. Директор правления</w:t>
      </w:r>
      <w:r w:rsidR="00DB4D64" w:rsidRPr="00405303">
        <w:rPr>
          <w:bCs/>
          <w:color w:val="002060"/>
          <w:sz w:val="16"/>
          <w:szCs w:val="16"/>
          <w:shd w:val="clear" w:color="auto" w:fill="FFFFFF"/>
        </w:rPr>
        <w:t xml:space="preserve"> </w:t>
      </w:r>
      <w:r w:rsidRPr="00405303">
        <w:rPr>
          <w:bCs/>
          <w:i/>
          <w:iCs/>
          <w:color w:val="002060"/>
          <w:sz w:val="16"/>
          <w:szCs w:val="16"/>
          <w:shd w:val="clear" w:color="auto" w:fill="FFFFFF"/>
        </w:rPr>
        <w:t>- А. Маршалл</w:t>
      </w:r>
      <w:r w:rsidRPr="00405303">
        <w:rPr>
          <w:bCs/>
          <w:color w:val="002060"/>
          <w:sz w:val="16"/>
          <w:szCs w:val="16"/>
          <w:shd w:val="clear" w:color="auto" w:fill="FFFFFF"/>
        </w:rPr>
        <w:t>. Представитель в России -</w:t>
      </w:r>
      <w:r w:rsidR="00DB4D64" w:rsidRPr="00405303">
        <w:rPr>
          <w:bCs/>
          <w:color w:val="002060"/>
          <w:sz w:val="16"/>
          <w:szCs w:val="16"/>
          <w:shd w:val="clear" w:color="auto" w:fill="FFFFFF"/>
        </w:rPr>
        <w:t xml:space="preserve"> </w:t>
      </w:r>
      <w:r w:rsidRPr="00405303">
        <w:rPr>
          <w:bCs/>
          <w:i/>
          <w:iCs/>
          <w:color w:val="002060"/>
          <w:sz w:val="16"/>
          <w:szCs w:val="16"/>
          <w:shd w:val="clear" w:color="auto" w:fill="FFFFFF"/>
        </w:rPr>
        <w:t>П. Стефанкевич.</w:t>
      </w:r>
      <w:r w:rsidRPr="00405303">
        <w:rPr>
          <w:bCs/>
          <w:color w:val="002060"/>
          <w:sz w:val="16"/>
          <w:szCs w:val="16"/>
        </w:rPr>
        <w:t>).</w:t>
      </w:r>
      <w:r w:rsidR="00DB4D64" w:rsidRPr="00405303">
        <w:rPr>
          <w:bCs/>
          <w:color w:val="002060"/>
          <w:sz w:val="16"/>
          <w:szCs w:val="16"/>
        </w:rPr>
        <w:t xml:space="preserve"> </w:t>
      </w:r>
      <w:r w:rsidRPr="00405303">
        <w:rPr>
          <w:bCs/>
          <w:color w:val="002060"/>
          <w:sz w:val="16"/>
          <w:szCs w:val="16"/>
        </w:rPr>
        <w:t>Договор ГВТУ с обществом «Бекос» был подписан 2 мая 1916 г. Контракт предусматривал сооружение завода с полным оборудованием и изготовлением на нем в течение 3 лет эксплуатации 3 тыс. автомобилей и ремонт в течение того же срока до тысячи автомашин. По решению Совета министров военному ведомству был открыт кредит в размере 55010 тыс. руб. Эта сумма включала не только контрактную стоимость поставки автомобилей, но также оплату постройки, оборудования завода и рабочего поселка при нем</w:t>
      </w:r>
      <w:bookmarkStart w:id="287" w:name="_ednref81"/>
      <w:r w:rsidRPr="00405303">
        <w:rPr>
          <w:bCs/>
          <w:color w:val="002060"/>
          <w:sz w:val="16"/>
          <w:szCs w:val="16"/>
        </w:rPr>
        <w:t xml:space="preserve"> </w:t>
      </w:r>
      <w:r w:rsidRPr="00405303">
        <w:rPr>
          <w:bCs/>
          <w:color w:val="002060"/>
          <w:sz w:val="16"/>
          <w:szCs w:val="16"/>
          <w:shd w:val="clear" w:color="auto" w:fill="FFFFFF"/>
        </w:rPr>
        <w:t>РГВИА. Ф. 815. Оп. 1. Д. 17. Заверенная копия договора. Там же. Ф. 369. Оп. 2. Д. 54. Л. 480.</w:t>
      </w:r>
      <w:r w:rsidRPr="00405303">
        <w:rPr>
          <w:bCs/>
          <w:color w:val="002060"/>
          <w:sz w:val="16"/>
          <w:szCs w:val="16"/>
        </w:rPr>
        <w:t xml:space="preserve"> ()</w:t>
      </w:r>
      <w:hyperlink r:id="rId78" w:anchor="_edn81" w:history="1">
        <w:r w:rsidRPr="00405303">
          <w:rPr>
            <w:rStyle w:val="ad"/>
            <w:rFonts w:eastAsiaTheme="majorEastAsia"/>
            <w:bCs/>
            <w:color w:val="002060"/>
            <w:sz w:val="16"/>
            <w:szCs w:val="16"/>
          </w:rPr>
          <w:t>[81]</w:t>
        </w:r>
      </w:hyperlink>
      <w:bookmarkEnd w:id="287"/>
      <w:r w:rsidRPr="00405303">
        <w:rPr>
          <w:bCs/>
          <w:color w:val="002060"/>
          <w:sz w:val="16"/>
          <w:szCs w:val="16"/>
        </w:rPr>
        <w:t>. Обществу «Бекос» выдавался аванс в размере 250 тыс. руб. Особо в договоре были оговорены условия заграничных закупок деталей и материалов: в последний год эксплуатации завода их разрешалось приобрести только на 7,2 % от стоимости поставки. Как и в случае с частными автомобильными заводами, для осуществления финансового и технического контроля за строительством в структуре ГВТУ было создано делопроизводство казенного завода военных самоходов во главе с военным инженером, полковником Бобровским (21552).</w:t>
      </w:r>
    </w:p>
    <w:p w14:paraId="389653A9" w14:textId="77777777" w:rsidR="00DA32B9" w:rsidRPr="00405303" w:rsidRDefault="00DA32B9" w:rsidP="00C15251">
      <w:pPr>
        <w:jc w:val="both"/>
        <w:rPr>
          <w:bCs/>
          <w:color w:val="002060"/>
          <w:sz w:val="16"/>
          <w:szCs w:val="16"/>
        </w:rPr>
      </w:pPr>
    </w:p>
    <w:p w14:paraId="5005BC2E" w14:textId="0368E295" w:rsidR="00F51AC3" w:rsidRPr="00405303" w:rsidRDefault="00F51AC3"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32C0610D" w14:textId="77777777" w:rsidR="00F51AC3" w:rsidRPr="00405303" w:rsidRDefault="00F51AC3" w:rsidP="00C15251">
      <w:pPr>
        <w:pStyle w:val="a3"/>
        <w:jc w:val="both"/>
        <w:rPr>
          <w:bCs/>
          <w:color w:val="002060"/>
          <w:spacing w:val="0"/>
          <w:kern w:val="0"/>
          <w:position w:val="0"/>
          <w:sz w:val="16"/>
          <w:szCs w:val="16"/>
        </w:rPr>
      </w:pPr>
    </w:p>
    <w:p w14:paraId="19580CDC" w14:textId="4F7823C7" w:rsidR="00F51AC3" w:rsidRPr="00405303" w:rsidRDefault="00F51AC3" w:rsidP="00C15251">
      <w:pPr>
        <w:jc w:val="both"/>
        <w:rPr>
          <w:bCs/>
          <w:color w:val="002060"/>
          <w:sz w:val="16"/>
          <w:szCs w:val="16"/>
        </w:rPr>
      </w:pPr>
      <w:r w:rsidRPr="00405303">
        <w:rPr>
          <w:bCs/>
          <w:color w:val="002060"/>
          <w:sz w:val="16"/>
          <w:szCs w:val="16"/>
        </w:rPr>
        <w:t>21 октября (3 ноября) 1915 г. вблизи ст. Барановичи два наших аэроплана атаковали вражеский «Альбатрос» и вынудили его «стремительно спуститься» (23405).</w:t>
      </w:r>
    </w:p>
    <w:p w14:paraId="61F2254B" w14:textId="77777777" w:rsidR="00F51AC3" w:rsidRPr="00405303" w:rsidRDefault="00F51AC3" w:rsidP="00C15251">
      <w:pPr>
        <w:jc w:val="both"/>
        <w:rPr>
          <w:bCs/>
          <w:color w:val="002060"/>
          <w:sz w:val="16"/>
          <w:szCs w:val="16"/>
          <w:lang w:bidi="ru-RU"/>
        </w:rPr>
      </w:pPr>
    </w:p>
    <w:p w14:paraId="186DC7A3" w14:textId="77777777" w:rsidR="00D979C5" w:rsidRPr="00B52707" w:rsidRDefault="00D979C5" w:rsidP="00D979C5">
      <w:pPr>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21 октября (3 ноября) 1915 г. германский самолет сбросил над ст. Клеван (севере-западнее г. Ровно) две бомбы.</w:t>
      </w:r>
    </w:p>
    <w:p w14:paraId="469082EB" w14:textId="77777777" w:rsidR="00D979C5" w:rsidRPr="00B52707" w:rsidRDefault="00D979C5" w:rsidP="00D979C5">
      <w:pPr>
        <w:jc w:val="both"/>
        <w:rPr>
          <w:color w:val="0070C0"/>
          <w:sz w:val="16"/>
          <w:szCs w:val="16"/>
        </w:rPr>
      </w:pPr>
      <w:r w:rsidRPr="00B52707">
        <w:rPr>
          <w:rStyle w:val="aa"/>
          <w:rFonts w:ascii="Times New Roman" w:hAnsi="Times New Roman"/>
          <w:color w:val="0070C0"/>
          <w:spacing w:val="0"/>
          <w:sz w:val="16"/>
          <w:szCs w:val="16"/>
        </w:rPr>
        <w:t>Позднее над Шлоком был отмечен полет неприятельского дирижабля с явно разведывательными целями. В одном из своих полетов в ближнем тылу русских войск в Двинском районе экипаж цеппелина ошибочно подверг бомбардировке германские окопы, «причинив потери и вызвав панику» (25135).</w:t>
      </w:r>
    </w:p>
    <w:p w14:paraId="30FB4EE2" w14:textId="77777777" w:rsidR="00D979C5" w:rsidRPr="00B52707" w:rsidRDefault="00D979C5" w:rsidP="00D979C5">
      <w:pPr>
        <w:jc w:val="both"/>
        <w:rPr>
          <w:color w:val="0070C0"/>
          <w:sz w:val="16"/>
          <w:szCs w:val="16"/>
        </w:rPr>
      </w:pPr>
    </w:p>
    <w:p w14:paraId="0C9ED27C" w14:textId="07110383"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 и воздухоплавание Англии:</w:t>
      </w:r>
    </w:p>
    <w:p w14:paraId="43FD97D8" w14:textId="77777777" w:rsidR="004B4E35" w:rsidRPr="00405303" w:rsidRDefault="004B4E35" w:rsidP="00C15251">
      <w:pPr>
        <w:pStyle w:val="a3"/>
        <w:jc w:val="both"/>
        <w:rPr>
          <w:bCs/>
          <w:color w:val="002060"/>
          <w:spacing w:val="0"/>
          <w:kern w:val="0"/>
          <w:position w:val="0"/>
          <w:sz w:val="16"/>
          <w:szCs w:val="16"/>
        </w:rPr>
      </w:pPr>
    </w:p>
    <w:p w14:paraId="72B7072B" w14:textId="132835CE"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21 октября (3 ноября) 1915 года</w:t>
      </w:r>
      <w:r w:rsidR="00732C6C" w:rsidRPr="00405303">
        <w:rPr>
          <w:bCs/>
          <w:i w:val="0"/>
          <w:color w:val="002060"/>
          <w:spacing w:val="0"/>
          <w:kern w:val="0"/>
          <w:position w:val="0"/>
          <w:sz w:val="16"/>
          <w:szCs w:val="16"/>
        </w:rPr>
        <w:t xml:space="preserve"> состоялся первый удачный взлет с палубы</w:t>
      </w:r>
      <w:r w:rsidRPr="00405303">
        <w:rPr>
          <w:bCs/>
          <w:i w:val="0"/>
          <w:color w:val="002060"/>
          <w:spacing w:val="0"/>
          <w:kern w:val="0"/>
          <w:position w:val="0"/>
          <w:sz w:val="16"/>
          <w:szCs w:val="16"/>
        </w:rPr>
        <w:t xml:space="preserve">. Лейтенант Фаулер поднялся в воздух на самолете Бристоль "Скаут". При встречном ветре и полном ходе корабля разбег самолета составлял всего 14 м! Позднее для пуска самолетов с палубы стали применяться паровые катапульты. Самолеты также взлетали с низких понтонов, буксируемых за скоростными кораблями. Большую проблему представляла посадка на палубу. Пробег самолетов был заметно больше разбега, тормозов на колесах самолетов тогда еще не было. Требовалась установка на палубу специальных задерживающих самолет устройств. Первую удачную посадку на палубу корабля "Фьюриес" совершил лейтенант Э.Х.-Даннинг 2 августа 1917 года. "Фьюриес" стал первым настоящим авианосцем. Посадка осуществлялась необычным образом. Авианосец разворачивался под ветер и развивал полный ход. Самолет догонял авианосец, выравнивал с ним скорость и зависал над палубой. После этого палубная бригада буквально стаскивала самолет с неба на палубу. Третья попытка посадки закончилась трагически. Палубная бригада не успела схватить самолет, а пилот уже заглушил двигатель. Внезапный порыв ветра сдул самолет </w:t>
      </w:r>
      <w:proofErr w:type="gramStart"/>
      <w:r w:rsidRPr="00405303">
        <w:rPr>
          <w:bCs/>
          <w:i w:val="0"/>
          <w:color w:val="002060"/>
          <w:spacing w:val="0"/>
          <w:kern w:val="0"/>
          <w:position w:val="0"/>
          <w:sz w:val="16"/>
          <w:szCs w:val="16"/>
        </w:rPr>
        <w:t>за борт</w:t>
      </w:r>
      <w:proofErr w:type="gramEnd"/>
      <w:r w:rsidRPr="00405303">
        <w:rPr>
          <w:bCs/>
          <w:i w:val="0"/>
          <w:color w:val="002060"/>
          <w:spacing w:val="0"/>
          <w:kern w:val="0"/>
          <w:position w:val="0"/>
          <w:sz w:val="16"/>
          <w:szCs w:val="16"/>
        </w:rPr>
        <w:t xml:space="preserve"> и машина утонула вместе с пилотом. Но вскоре удалось разработать подходящее оборудование (крюк и тросы аэрофинишера). Палубные самолеты получили складывающиеся крылья и фюзеляжи (11262).</w:t>
      </w:r>
    </w:p>
    <w:p w14:paraId="729AE452" w14:textId="77777777" w:rsidR="004B4E35" w:rsidRPr="00405303" w:rsidRDefault="004B4E35" w:rsidP="00C15251">
      <w:pPr>
        <w:pStyle w:val="a3"/>
        <w:jc w:val="both"/>
        <w:rPr>
          <w:bCs/>
          <w:i w:val="0"/>
          <w:color w:val="002060"/>
          <w:spacing w:val="0"/>
          <w:kern w:val="0"/>
          <w:position w:val="0"/>
          <w:sz w:val="16"/>
          <w:szCs w:val="16"/>
        </w:rPr>
      </w:pPr>
    </w:p>
    <w:p w14:paraId="4C52E547" w14:textId="77777777" w:rsidR="00DA32B9" w:rsidRPr="00405303" w:rsidRDefault="00DA32B9" w:rsidP="00C15251">
      <w:pPr>
        <w:jc w:val="both"/>
        <w:rPr>
          <w:bCs/>
          <w:color w:val="002060"/>
          <w:sz w:val="16"/>
          <w:szCs w:val="16"/>
        </w:rPr>
      </w:pPr>
      <w:r w:rsidRPr="00405303">
        <w:rPr>
          <w:bCs/>
          <w:color w:val="002060"/>
          <w:sz w:val="16"/>
          <w:szCs w:val="16"/>
        </w:rPr>
        <w:t>21 октября (3 ноября) 1915 лейтенант Королевской военно-морской авиации Фаулер впервые взлетает с корабля HMS Vindex на Bristol Scout (29338).</w:t>
      </w:r>
    </w:p>
    <w:p w14:paraId="2332A4AB" w14:textId="77777777" w:rsidR="00DA32B9" w:rsidRPr="00405303" w:rsidRDefault="00DA32B9" w:rsidP="00C15251">
      <w:pPr>
        <w:jc w:val="both"/>
        <w:rPr>
          <w:bCs/>
          <w:color w:val="002060"/>
          <w:sz w:val="16"/>
          <w:szCs w:val="16"/>
        </w:rPr>
      </w:pPr>
    </w:p>
    <w:p w14:paraId="68E3FFB9" w14:textId="5A0CE8CD" w:rsidR="00DA32B9" w:rsidRPr="00405303" w:rsidRDefault="00DA32B9" w:rsidP="00C15251">
      <w:pPr>
        <w:jc w:val="both"/>
        <w:rPr>
          <w:bCs/>
          <w:color w:val="002060"/>
          <w:sz w:val="16"/>
          <w:szCs w:val="16"/>
        </w:rPr>
      </w:pPr>
      <w:r w:rsidRPr="00405303">
        <w:rPr>
          <w:bCs/>
          <w:color w:val="002060"/>
          <w:sz w:val="16"/>
          <w:szCs w:val="16"/>
        </w:rPr>
        <w:t xml:space="preserve">21 октября (3 ноября) 1915 года </w:t>
      </w:r>
      <w:r w:rsidR="00732C6C" w:rsidRPr="00405303">
        <w:rPr>
          <w:bCs/>
          <w:color w:val="002060"/>
          <w:sz w:val="16"/>
          <w:szCs w:val="16"/>
        </w:rPr>
        <w:t xml:space="preserve">состоялся </w:t>
      </w:r>
      <w:r w:rsidRPr="00405303">
        <w:rPr>
          <w:bCs/>
          <w:color w:val="002060"/>
          <w:sz w:val="16"/>
          <w:szCs w:val="16"/>
        </w:rPr>
        <w:t>первый успешный взлёт самолёта с колёсным шасси с палубы авианосца в открытом море. /Великобритания/</w:t>
      </w:r>
    </w:p>
    <w:p w14:paraId="0DD6409D" w14:textId="57597A2A" w:rsidR="00DA32B9" w:rsidRPr="00405303" w:rsidRDefault="00DA32B9" w:rsidP="00C15251">
      <w:pPr>
        <w:jc w:val="both"/>
        <w:rPr>
          <w:bCs/>
          <w:color w:val="002060"/>
          <w:sz w:val="16"/>
          <w:szCs w:val="16"/>
        </w:rPr>
      </w:pPr>
      <w:r w:rsidRPr="00405303">
        <w:rPr>
          <w:bCs/>
          <w:color w:val="002060"/>
          <w:sz w:val="16"/>
          <w:szCs w:val="16"/>
        </w:rPr>
        <w:lastRenderedPageBreak/>
        <w:t>Ещё в 1910 году в США</w:t>
      </w:r>
      <w:r w:rsidR="00DB4D64" w:rsidRPr="00405303">
        <w:rPr>
          <w:bCs/>
          <w:color w:val="002060"/>
          <w:sz w:val="16"/>
          <w:szCs w:val="16"/>
        </w:rPr>
        <w:t xml:space="preserve"> </w:t>
      </w:r>
      <w:r w:rsidRPr="00405303">
        <w:rPr>
          <w:bCs/>
          <w:color w:val="002060"/>
          <w:sz w:val="16"/>
          <w:szCs w:val="16"/>
        </w:rPr>
        <w:t>Юджин Эли</w:t>
      </w:r>
      <w:r w:rsidR="00DB4D64" w:rsidRPr="00405303">
        <w:rPr>
          <w:bCs/>
          <w:color w:val="002060"/>
          <w:sz w:val="16"/>
          <w:szCs w:val="16"/>
        </w:rPr>
        <w:t xml:space="preserve"> </w:t>
      </w:r>
      <w:r w:rsidRPr="00405303">
        <w:rPr>
          <w:bCs/>
          <w:color w:val="002060"/>
          <w:sz w:val="16"/>
          <w:szCs w:val="16"/>
        </w:rPr>
        <w:t>(Eugene Ely) на колёсном</w:t>
      </w:r>
      <w:r w:rsidR="00DB4D64" w:rsidRPr="00405303">
        <w:rPr>
          <w:bCs/>
          <w:color w:val="002060"/>
          <w:sz w:val="16"/>
          <w:szCs w:val="16"/>
        </w:rPr>
        <w:t xml:space="preserve"> </w:t>
      </w:r>
      <w:r w:rsidRPr="00405303">
        <w:rPr>
          <w:bCs/>
          <w:color w:val="002060"/>
          <w:sz w:val="16"/>
          <w:szCs w:val="16"/>
        </w:rPr>
        <w:t>Curtiss Pusher</w:t>
      </w:r>
      <w:r w:rsidR="00DB4D64" w:rsidRPr="00405303">
        <w:rPr>
          <w:bCs/>
          <w:color w:val="002060"/>
          <w:sz w:val="16"/>
          <w:szCs w:val="16"/>
        </w:rPr>
        <w:t xml:space="preserve"> </w:t>
      </w:r>
      <w:r w:rsidRPr="00405303">
        <w:rPr>
          <w:bCs/>
          <w:color w:val="002060"/>
          <w:sz w:val="16"/>
          <w:szCs w:val="16"/>
        </w:rPr>
        <w:t>взлетел с платформы, установленной на крейсере</w:t>
      </w:r>
      <w:r w:rsidR="00DB4D64" w:rsidRPr="00405303">
        <w:rPr>
          <w:bCs/>
          <w:color w:val="002060"/>
          <w:sz w:val="16"/>
          <w:szCs w:val="16"/>
        </w:rPr>
        <w:t xml:space="preserve"> </w:t>
      </w:r>
      <w:r w:rsidRPr="00405303">
        <w:rPr>
          <w:bCs/>
          <w:color w:val="002060"/>
          <w:sz w:val="16"/>
          <w:szCs w:val="16"/>
        </w:rPr>
        <w:t>USS Birmingham, стоявшем на якоре в гавани. А вот</w:t>
      </w:r>
      <w:r w:rsidR="00DB4D64" w:rsidRPr="00405303">
        <w:rPr>
          <w:bCs/>
          <w:color w:val="002060"/>
          <w:sz w:val="16"/>
          <w:szCs w:val="16"/>
        </w:rPr>
        <w:t xml:space="preserve"> </w:t>
      </w:r>
      <w:r w:rsidRPr="00405303">
        <w:rPr>
          <w:bCs/>
          <w:color w:val="002060"/>
          <w:sz w:val="16"/>
          <w:szCs w:val="16"/>
        </w:rPr>
        <w:t>успешного взлёта с палубы специализированного авианосца в открытом море</w:t>
      </w:r>
      <w:r w:rsidR="00DB4D64" w:rsidRPr="00405303">
        <w:rPr>
          <w:bCs/>
          <w:color w:val="002060"/>
          <w:sz w:val="16"/>
          <w:szCs w:val="16"/>
        </w:rPr>
        <w:t xml:space="preserve"> </w:t>
      </w:r>
      <w:r w:rsidRPr="00405303">
        <w:rPr>
          <w:bCs/>
          <w:color w:val="002060"/>
          <w:sz w:val="16"/>
          <w:szCs w:val="16"/>
        </w:rPr>
        <w:t>пришлось ждать 5 лет.</w:t>
      </w:r>
    </w:p>
    <w:p w14:paraId="6F7989CB" w14:textId="0D5E4EA5" w:rsidR="00DA32B9" w:rsidRPr="00405303" w:rsidRDefault="00DA32B9" w:rsidP="00C15251">
      <w:pPr>
        <w:jc w:val="both"/>
        <w:rPr>
          <w:bCs/>
          <w:color w:val="002060"/>
          <w:sz w:val="16"/>
          <w:szCs w:val="16"/>
        </w:rPr>
      </w:pPr>
      <w:r w:rsidRPr="00405303">
        <w:rPr>
          <w:bCs/>
          <w:color w:val="002060"/>
          <w:sz w:val="16"/>
          <w:szCs w:val="16"/>
        </w:rPr>
        <w:t>Осенью 1915 года Королевский ВМФ Великобритании реквизировал пароход</w:t>
      </w:r>
      <w:r w:rsidR="00DB4D64" w:rsidRPr="00405303">
        <w:rPr>
          <w:bCs/>
          <w:color w:val="002060"/>
          <w:sz w:val="16"/>
          <w:szCs w:val="16"/>
        </w:rPr>
        <w:t xml:space="preserve"> </w:t>
      </w:r>
      <w:r w:rsidRPr="00405303">
        <w:rPr>
          <w:bCs/>
          <w:color w:val="002060"/>
          <w:sz w:val="16"/>
          <w:szCs w:val="16"/>
        </w:rPr>
        <w:t>SS Viking</w:t>
      </w:r>
      <w:r w:rsidR="00DB4D64" w:rsidRPr="00405303">
        <w:rPr>
          <w:bCs/>
          <w:color w:val="002060"/>
          <w:sz w:val="16"/>
          <w:szCs w:val="16"/>
        </w:rPr>
        <w:t xml:space="preserve"> </w:t>
      </w:r>
      <w:r w:rsidRPr="00405303">
        <w:rPr>
          <w:bCs/>
          <w:color w:val="002060"/>
          <w:sz w:val="16"/>
          <w:szCs w:val="16"/>
        </w:rPr>
        <w:t>и переделал его в авианосец, оборудовав</w:t>
      </w:r>
      <w:r w:rsidR="00DB4D64" w:rsidRPr="00405303">
        <w:rPr>
          <w:bCs/>
          <w:color w:val="002060"/>
          <w:sz w:val="16"/>
          <w:szCs w:val="16"/>
        </w:rPr>
        <w:t xml:space="preserve"> </w:t>
      </w:r>
      <w:r w:rsidRPr="00405303">
        <w:rPr>
          <w:bCs/>
          <w:color w:val="002060"/>
          <w:sz w:val="16"/>
          <w:szCs w:val="16"/>
        </w:rPr>
        <w:t>взлётной палубой длиной 19,5 м. Кораблю дали название</w:t>
      </w:r>
      <w:r w:rsidR="00DB4D64" w:rsidRPr="00405303">
        <w:rPr>
          <w:bCs/>
          <w:color w:val="002060"/>
          <w:sz w:val="16"/>
          <w:szCs w:val="16"/>
        </w:rPr>
        <w:t xml:space="preserve"> </w:t>
      </w:r>
      <w:r w:rsidRPr="00405303">
        <w:rPr>
          <w:bCs/>
          <w:color w:val="002060"/>
          <w:sz w:val="16"/>
          <w:szCs w:val="16"/>
        </w:rPr>
        <w:t>HMS Vindex. На борту базировались истребители Bristol Scout, Sopwith Pup, Sopwith 1½ Strutter и др.</w:t>
      </w:r>
    </w:p>
    <w:p w14:paraId="24A82AE2" w14:textId="233A8D53" w:rsidR="00DA32B9" w:rsidRPr="00405303" w:rsidRDefault="00DA32B9" w:rsidP="00C15251">
      <w:pPr>
        <w:jc w:val="both"/>
        <w:rPr>
          <w:bCs/>
          <w:color w:val="002060"/>
          <w:sz w:val="16"/>
          <w:szCs w:val="16"/>
        </w:rPr>
      </w:pPr>
      <w:r w:rsidRPr="00405303">
        <w:rPr>
          <w:bCs/>
          <w:color w:val="002060"/>
          <w:sz w:val="16"/>
          <w:szCs w:val="16"/>
        </w:rPr>
        <w:t>Именно на</w:t>
      </w:r>
      <w:r w:rsidR="00DB4D64" w:rsidRPr="00405303">
        <w:rPr>
          <w:bCs/>
          <w:color w:val="002060"/>
          <w:sz w:val="16"/>
          <w:szCs w:val="16"/>
        </w:rPr>
        <w:t xml:space="preserve"> </w:t>
      </w:r>
      <w:r w:rsidRPr="00405303">
        <w:rPr>
          <w:bCs/>
          <w:color w:val="002060"/>
          <w:sz w:val="16"/>
          <w:szCs w:val="16"/>
        </w:rPr>
        <w:t>Bristol Scout</w:t>
      </w:r>
      <w:r w:rsidR="00DB4D64" w:rsidRPr="00405303">
        <w:rPr>
          <w:bCs/>
          <w:color w:val="002060"/>
          <w:sz w:val="16"/>
          <w:szCs w:val="16"/>
        </w:rPr>
        <w:t xml:space="preserve"> </w:t>
      </w:r>
      <w:r w:rsidRPr="00405303">
        <w:rPr>
          <w:bCs/>
          <w:color w:val="002060"/>
          <w:sz w:val="16"/>
          <w:szCs w:val="16"/>
        </w:rPr>
        <w:t>лётчик авиационной службы ВМФ лейтенант</w:t>
      </w:r>
      <w:r w:rsidR="00DB4D64" w:rsidRPr="00405303">
        <w:rPr>
          <w:bCs/>
          <w:color w:val="002060"/>
          <w:sz w:val="16"/>
          <w:szCs w:val="16"/>
        </w:rPr>
        <w:t xml:space="preserve"> </w:t>
      </w:r>
      <w:r w:rsidRPr="00405303">
        <w:rPr>
          <w:bCs/>
          <w:color w:val="002060"/>
          <w:sz w:val="16"/>
          <w:szCs w:val="16"/>
        </w:rPr>
        <w:t>Гарольд Таулер</w:t>
      </w:r>
      <w:r w:rsidR="00DB4D64" w:rsidRPr="00405303">
        <w:rPr>
          <w:bCs/>
          <w:color w:val="002060"/>
          <w:sz w:val="16"/>
          <w:szCs w:val="16"/>
        </w:rPr>
        <w:t xml:space="preserve"> </w:t>
      </w:r>
      <w:r w:rsidRPr="00405303">
        <w:rPr>
          <w:bCs/>
          <w:color w:val="002060"/>
          <w:sz w:val="16"/>
          <w:szCs w:val="16"/>
        </w:rPr>
        <w:t>(Harold Towler) взлетел с палубы Vindex 3 октября. Корабль в это время двигался со скоростью</w:t>
      </w:r>
      <w:r w:rsidR="00DB4D64" w:rsidRPr="00405303">
        <w:rPr>
          <w:bCs/>
          <w:color w:val="002060"/>
          <w:sz w:val="16"/>
          <w:szCs w:val="16"/>
        </w:rPr>
        <w:t xml:space="preserve"> </w:t>
      </w:r>
      <w:r w:rsidRPr="00405303">
        <w:rPr>
          <w:bCs/>
          <w:color w:val="002060"/>
          <w:sz w:val="16"/>
          <w:szCs w:val="16"/>
        </w:rPr>
        <w:t>12</w:t>
      </w:r>
      <w:r w:rsidR="00DB4D64" w:rsidRPr="00405303">
        <w:rPr>
          <w:bCs/>
          <w:color w:val="002060"/>
          <w:sz w:val="16"/>
          <w:szCs w:val="16"/>
        </w:rPr>
        <w:t xml:space="preserve"> </w:t>
      </w:r>
      <w:r w:rsidRPr="00405303">
        <w:rPr>
          <w:bCs/>
          <w:color w:val="002060"/>
          <w:sz w:val="16"/>
          <w:szCs w:val="16"/>
        </w:rPr>
        <w:t>узлов (22 км/ч). Благодаря удержанию самолёта на подставках до выхода двигателя на полную мощность для взлёта Таулеру понадобилось всего</w:t>
      </w:r>
      <w:r w:rsidR="00DB4D64" w:rsidRPr="00405303">
        <w:rPr>
          <w:bCs/>
          <w:color w:val="002060"/>
          <w:sz w:val="16"/>
          <w:szCs w:val="16"/>
        </w:rPr>
        <w:t xml:space="preserve"> </w:t>
      </w:r>
      <w:r w:rsidRPr="00405303">
        <w:rPr>
          <w:bCs/>
          <w:color w:val="002060"/>
          <w:sz w:val="16"/>
          <w:szCs w:val="16"/>
        </w:rPr>
        <w:t>14</w:t>
      </w:r>
      <w:r w:rsidR="00DB4D64" w:rsidRPr="00405303">
        <w:rPr>
          <w:bCs/>
          <w:color w:val="002060"/>
          <w:sz w:val="16"/>
          <w:szCs w:val="16"/>
        </w:rPr>
        <w:t xml:space="preserve"> </w:t>
      </w:r>
      <w:r w:rsidRPr="00405303">
        <w:rPr>
          <w:bCs/>
          <w:color w:val="002060"/>
          <w:sz w:val="16"/>
          <w:szCs w:val="16"/>
        </w:rPr>
        <w:t>м разбега (22300).</w:t>
      </w:r>
    </w:p>
    <w:p w14:paraId="6281D693" w14:textId="77777777" w:rsidR="00DA32B9" w:rsidRPr="00405303" w:rsidRDefault="00DA32B9" w:rsidP="00C15251">
      <w:pPr>
        <w:jc w:val="both"/>
        <w:rPr>
          <w:bCs/>
          <w:color w:val="002060"/>
          <w:sz w:val="16"/>
          <w:szCs w:val="16"/>
        </w:rPr>
      </w:pPr>
    </w:p>
    <w:p w14:paraId="0DC19740" w14:textId="5CF00745" w:rsidR="00477787" w:rsidRPr="00405303" w:rsidRDefault="00477787" w:rsidP="00C15251">
      <w:pPr>
        <w:shd w:val="clear" w:color="auto" w:fill="FFFFFF"/>
        <w:jc w:val="both"/>
        <w:rPr>
          <w:bCs/>
          <w:i/>
          <w:color w:val="002060"/>
          <w:sz w:val="16"/>
          <w:szCs w:val="16"/>
        </w:rPr>
      </w:pPr>
      <w:r w:rsidRPr="00405303">
        <w:rPr>
          <w:bCs/>
          <w:i/>
          <w:color w:val="002060"/>
          <w:sz w:val="16"/>
          <w:szCs w:val="16"/>
        </w:rPr>
        <w:t>Авиация:</w:t>
      </w:r>
    </w:p>
    <w:p w14:paraId="24F45405" w14:textId="77777777" w:rsidR="00477787" w:rsidRPr="00405303" w:rsidRDefault="00477787" w:rsidP="00C15251">
      <w:pPr>
        <w:shd w:val="clear" w:color="auto" w:fill="FFFFFF"/>
        <w:jc w:val="both"/>
        <w:rPr>
          <w:bCs/>
          <w:i/>
          <w:color w:val="002060"/>
          <w:sz w:val="16"/>
          <w:szCs w:val="16"/>
        </w:rPr>
      </w:pPr>
    </w:p>
    <w:p w14:paraId="22305CE7" w14:textId="3E972CB6" w:rsidR="00477787" w:rsidRPr="00405303" w:rsidRDefault="00477787" w:rsidP="00C15251">
      <w:pPr>
        <w:jc w:val="both"/>
        <w:rPr>
          <w:bCs/>
          <w:color w:val="002060"/>
          <w:sz w:val="16"/>
          <w:szCs w:val="16"/>
        </w:rPr>
      </w:pPr>
      <w:r w:rsidRPr="00405303">
        <w:rPr>
          <w:bCs/>
          <w:color w:val="002060"/>
          <w:sz w:val="16"/>
          <w:szCs w:val="16"/>
          <w:lang w:bidi="en-US"/>
        </w:rPr>
        <w:t>22 октября (4 ноября) 191115 г. генерал А. В. Каульбарс был уволен с должности начальника авиации Северо-Западного фронта, но остался членом Военного совета (23525).</w:t>
      </w:r>
    </w:p>
    <w:p w14:paraId="3468C14A" w14:textId="77777777" w:rsidR="00477787" w:rsidRPr="00405303" w:rsidRDefault="00477787" w:rsidP="00C15251">
      <w:pPr>
        <w:jc w:val="both"/>
        <w:rPr>
          <w:bCs/>
          <w:color w:val="002060"/>
          <w:sz w:val="16"/>
          <w:szCs w:val="16"/>
          <w:lang w:bidi="en-US"/>
        </w:rPr>
      </w:pPr>
    </w:p>
    <w:p w14:paraId="788109D6" w14:textId="77777777" w:rsidR="00D979C5" w:rsidRPr="00B52707" w:rsidRDefault="00D979C5" w:rsidP="00D979C5">
      <w:pPr>
        <w:jc w:val="both"/>
        <w:rPr>
          <w:color w:val="0070C0"/>
          <w:sz w:val="16"/>
          <w:szCs w:val="16"/>
        </w:rPr>
      </w:pPr>
      <w:r w:rsidRPr="00B52707">
        <w:rPr>
          <w:rStyle w:val="aa"/>
          <w:rFonts w:ascii="Times New Roman" w:hAnsi="Times New Roman"/>
          <w:color w:val="0070C0"/>
          <w:spacing w:val="0"/>
          <w:sz w:val="16"/>
          <w:szCs w:val="16"/>
        </w:rPr>
        <w:t>22 октября (4 ноября) 1915 г. приказом начальника Моонзундской позиции № 195 для стрельбы по воздушным целям из ружей и пулеметов предписывалось использовать 7,62-мм патрон с бронебойной пулей, конструкции гвардии штабс-капитана В.В. Кутового с принятием его на вооружение (официально принят на вооружение русской армии лишь в 1916 г.).</w:t>
      </w:r>
    </w:p>
    <w:p w14:paraId="09635380" w14:textId="77777777" w:rsidR="00D979C5" w:rsidRPr="00B52707" w:rsidRDefault="00D979C5" w:rsidP="00D979C5">
      <w:pPr>
        <w:jc w:val="both"/>
        <w:rPr>
          <w:color w:val="0070C0"/>
          <w:sz w:val="16"/>
          <w:szCs w:val="16"/>
        </w:rPr>
      </w:pPr>
      <w:r w:rsidRPr="00B52707">
        <w:rPr>
          <w:rStyle w:val="aa"/>
          <w:rFonts w:ascii="Times New Roman" w:hAnsi="Times New Roman"/>
          <w:color w:val="0070C0"/>
          <w:spacing w:val="0"/>
          <w:sz w:val="16"/>
          <w:szCs w:val="16"/>
        </w:rPr>
        <w:t>В случае появления над объектами Мооизундского архипелага неприятельский ЛА запрещалось вести одиночную ружейную стрельбу. При этом обращалось внимание на то обстоятельство, что «Стрельба из винтовок по аэропланам в большинстве случаев бесполезно ведет лишь к непроизводительно расходу патронов». Виновные лица, не выполнявшие это гребование, подлежали строгому дисциплинарному наказанию (25166).</w:t>
      </w:r>
    </w:p>
    <w:p w14:paraId="4287199C" w14:textId="77777777" w:rsidR="00D979C5" w:rsidRPr="00B52707" w:rsidRDefault="00D979C5" w:rsidP="00D979C5">
      <w:pPr>
        <w:jc w:val="both"/>
        <w:rPr>
          <w:color w:val="0070C0"/>
          <w:sz w:val="16"/>
          <w:szCs w:val="16"/>
        </w:rPr>
      </w:pPr>
    </w:p>
    <w:p w14:paraId="6B0F0607" w14:textId="56D42DF7" w:rsidR="00330E30" w:rsidRPr="00405303" w:rsidRDefault="00330E30"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3A6722D8" w14:textId="77777777" w:rsidR="00330E30" w:rsidRPr="00405303" w:rsidRDefault="00330E30" w:rsidP="00C15251">
      <w:pPr>
        <w:shd w:val="clear" w:color="auto" w:fill="FFFFFF"/>
        <w:jc w:val="both"/>
        <w:rPr>
          <w:bCs/>
          <w:i/>
          <w:color w:val="002060"/>
          <w:sz w:val="16"/>
          <w:szCs w:val="16"/>
        </w:rPr>
      </w:pPr>
    </w:p>
    <w:p w14:paraId="6E502D15" w14:textId="77777777" w:rsidR="00330E30" w:rsidRPr="00405303" w:rsidRDefault="00330E30" w:rsidP="00C15251">
      <w:pPr>
        <w:jc w:val="both"/>
        <w:rPr>
          <w:bCs/>
          <w:color w:val="002060"/>
          <w:sz w:val="16"/>
          <w:szCs w:val="16"/>
          <w:shd w:val="clear" w:color="auto" w:fill="FFFFFF"/>
        </w:rPr>
      </w:pPr>
      <w:r w:rsidRPr="00405303">
        <w:rPr>
          <w:bCs/>
          <w:color w:val="002060"/>
          <w:sz w:val="16"/>
          <w:szCs w:val="16"/>
        </w:rPr>
        <w:t>23 октября (5 ноября) 1915 г. Особое совещание по обороне в лице подготовительной комиссии по артиллерийским вопросам обсуждало вопрос о возможности унификации применявшихся в артиллерийских снарядах взрывателей. К этому времени в русской армии применялись следующие типы этих устройств: для 76-мм и 107-мм гранат – 3 Г.Т. и 13 Г.М., для 122-мм – 4 Г.Т. и 14 Г.Т., для 152-мм – 6 Г.Т. и 15 Г.Т. Артиллерийский комитет ГАУ пришел к выводу о выработке универсального образца на базе взрывателя 4 Г.Т. Опытная партия таких модернизированных изделий была заказана Петроградскому трубочному заводу. Для планомерного перехода на новый тип взрывателя Сестрорецкому оружейному заводу и заводу АО «П.В. Барановского» было предписано переходить на производство взрывателей 4 Г.Т. и 14 Г.Т., которые с использованием дополнительной втулки планировалось использовать в снарядах калибра 152 мм [Журнал № 16 подготовительной комиссии по артиллерийским вопросам (далее – ПКАВ). Заседание 23 октября 1915 г. / Архив Военно-исторического музея артиллерии, инженерных войск и войск связи (далее – ВИМАИВиВС). Ф. 13. Оп. 87/1. Д. 70. Л. 67.].</w:t>
      </w:r>
    </w:p>
    <w:p w14:paraId="14DE7E3C" w14:textId="77777777" w:rsidR="00330E30" w:rsidRPr="00405303" w:rsidRDefault="00330E30" w:rsidP="00C15251">
      <w:pPr>
        <w:jc w:val="both"/>
        <w:rPr>
          <w:bCs/>
          <w:color w:val="002060"/>
          <w:sz w:val="16"/>
          <w:szCs w:val="16"/>
          <w:shd w:val="clear" w:color="auto" w:fill="FFFFFF"/>
        </w:rPr>
      </w:pPr>
    </w:p>
    <w:p w14:paraId="49AA5ABA" w14:textId="09E05362" w:rsidR="00BA7B05" w:rsidRPr="00405303" w:rsidRDefault="00BA7B05"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23 октября (5</w:t>
      </w:r>
      <w:r w:rsidR="00477787" w:rsidRPr="00405303">
        <w:rPr>
          <w:rFonts w:ascii="Times New Roman" w:hAnsi="Times New Roman" w:cs="Times New Roman"/>
          <w:bCs/>
          <w:color w:val="002060"/>
          <w:sz w:val="16"/>
          <w:szCs w:val="16"/>
        </w:rPr>
        <w:t xml:space="preserve"> но</w:t>
      </w:r>
      <w:r w:rsidRPr="00405303">
        <w:rPr>
          <w:rFonts w:ascii="Times New Roman" w:hAnsi="Times New Roman" w:cs="Times New Roman"/>
          <w:bCs/>
          <w:color w:val="002060"/>
          <w:sz w:val="16"/>
          <w:szCs w:val="16"/>
        </w:rPr>
        <w:t>ября) 1915 г. Петроградское охранное отделение доложило его правительству, что «основная идея тактики» умеренных кадетов — «систематическое дискредитирование деятельности правительственных органов постоянным противупоставлением образцовых действий общественных уч</w:t>
      </w:r>
      <w:r w:rsidRPr="00405303">
        <w:rPr>
          <w:rFonts w:ascii="Times New Roman" w:hAnsi="Times New Roman" w:cs="Times New Roman"/>
          <w:bCs/>
          <w:color w:val="002060"/>
          <w:sz w:val="16"/>
          <w:szCs w:val="16"/>
        </w:rPr>
        <w:softHyphen/>
        <w:t>реждений» и что кадеты испуганы слухами «о намерении правительства в самом близком будущем ограничить сферу деятельности и компетенцию» этих учреждений. В тот же день «Новое время» поместило «письмо в редакцию» Маниковского, опровергавшего заслуги «общественных орга</w:t>
      </w:r>
      <w:r w:rsidRPr="00405303">
        <w:rPr>
          <w:rFonts w:ascii="Times New Roman" w:hAnsi="Times New Roman" w:cs="Times New Roman"/>
          <w:bCs/>
          <w:color w:val="002060"/>
          <w:sz w:val="16"/>
          <w:szCs w:val="16"/>
        </w:rPr>
        <w:softHyphen/>
        <w:t>низаций» (зря себя нахваливают, еще не дали ни одного снаряда!). Оно было максимально использовано в дальней</w:t>
      </w:r>
      <w:r w:rsidRPr="00405303">
        <w:rPr>
          <w:rFonts w:ascii="Times New Roman" w:hAnsi="Times New Roman" w:cs="Times New Roman"/>
          <w:bCs/>
          <w:color w:val="002060"/>
          <w:sz w:val="16"/>
          <w:szCs w:val="16"/>
        </w:rPr>
        <w:softHyphen/>
        <w:t>шей пропаганде «органами рептильной печати» как неос</w:t>
      </w:r>
      <w:r w:rsidRPr="00405303">
        <w:rPr>
          <w:rFonts w:ascii="Times New Roman" w:hAnsi="Times New Roman" w:cs="Times New Roman"/>
          <w:bCs/>
          <w:color w:val="002060"/>
          <w:sz w:val="16"/>
          <w:szCs w:val="16"/>
        </w:rPr>
        <w:softHyphen/>
        <w:t>поримый аргумент, исходящий от самого компетентного и объективного лица, «заслуженного боевого генерала», соз</w:t>
      </w:r>
      <w:r w:rsidRPr="00405303">
        <w:rPr>
          <w:rFonts w:ascii="Times New Roman" w:hAnsi="Times New Roman" w:cs="Times New Roman"/>
          <w:bCs/>
          <w:color w:val="002060"/>
          <w:sz w:val="16"/>
          <w:szCs w:val="16"/>
        </w:rPr>
        <w:softHyphen/>
        <w:t>давало идеальный «предлог для открытия похода против военно-промышленных комитетов» (Буржуазия накануне Февральской революции. М.; Л., 1927. С. 66, 68; К нападкам на военно-промышленные комитеты // Торгово-про</w:t>
      </w:r>
      <w:r w:rsidRPr="00405303">
        <w:rPr>
          <w:rFonts w:ascii="Times New Roman" w:hAnsi="Times New Roman" w:cs="Times New Roman"/>
          <w:bCs/>
          <w:color w:val="002060"/>
          <w:sz w:val="16"/>
          <w:szCs w:val="16"/>
        </w:rPr>
        <w:softHyphen/>
        <w:t>мышленный вестник. 1915. № 10—11. С. 150. Здесь Маниковского не назвали по имени и представили как начальника Двинского военного округа) (23452).</w:t>
      </w:r>
    </w:p>
    <w:p w14:paraId="27675CA6" w14:textId="77777777" w:rsidR="00BA7B05" w:rsidRPr="00405303" w:rsidRDefault="00BA7B05" w:rsidP="00C15251">
      <w:pPr>
        <w:jc w:val="both"/>
        <w:rPr>
          <w:bCs/>
          <w:color w:val="002060"/>
          <w:sz w:val="16"/>
          <w:szCs w:val="16"/>
          <w:lang w:bidi="ru-RU"/>
        </w:rPr>
      </w:pPr>
    </w:p>
    <w:p w14:paraId="64653FE8"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1B519AE6" w14:textId="77777777" w:rsidR="004B4E35" w:rsidRPr="00405303" w:rsidRDefault="004B4E35" w:rsidP="00C15251">
      <w:pPr>
        <w:shd w:val="clear" w:color="auto" w:fill="FFFFFF"/>
        <w:jc w:val="both"/>
        <w:rPr>
          <w:bCs/>
          <w:i/>
          <w:color w:val="002060"/>
          <w:sz w:val="16"/>
          <w:szCs w:val="16"/>
        </w:rPr>
      </w:pPr>
    </w:p>
    <w:p w14:paraId="24B02773" w14:textId="7FEB4058" w:rsidR="004B4E35" w:rsidRPr="00405303" w:rsidRDefault="009E6F82" w:rsidP="00C15251">
      <w:pPr>
        <w:jc w:val="both"/>
        <w:rPr>
          <w:bCs/>
          <w:color w:val="002060"/>
          <w:sz w:val="16"/>
          <w:szCs w:val="16"/>
        </w:rPr>
      </w:pPr>
      <w:r w:rsidRPr="00405303">
        <w:rPr>
          <w:bCs/>
          <w:color w:val="002060"/>
          <w:sz w:val="16"/>
          <w:szCs w:val="16"/>
        </w:rPr>
        <w:t xml:space="preserve">23 октября (5 ноября) </w:t>
      </w:r>
      <w:r w:rsidR="00732C6C" w:rsidRPr="00405303">
        <w:rPr>
          <w:bCs/>
          <w:color w:val="002060"/>
          <w:sz w:val="16"/>
          <w:szCs w:val="16"/>
        </w:rPr>
        <w:t>1915 г. п</w:t>
      </w:r>
      <w:r w:rsidRPr="00405303">
        <w:rPr>
          <w:bCs/>
          <w:color w:val="002060"/>
          <w:sz w:val="16"/>
          <w:szCs w:val="16"/>
        </w:rPr>
        <w:t>о неизвестным причинам "ИМ-3" разбился южнее Барановичей неподалеку от Прилук. По мнению капитана Горшкова, который участвовал в работе комитета по расследованию воздушной катастрофы, ее причиной могло быть решение штабс-капитана Озерецкого, командира "ИМ-3", удалить вторую пару рычагов управления с целью увеличить скорость полета, которая обычно составляла 120-130 км/час. Эта переделка на самом деле уменьшила стабильность большого самолета.</w:t>
      </w:r>
    </w:p>
    <w:p w14:paraId="14E61B9B" w14:textId="77777777" w:rsidR="004B4E35" w:rsidRPr="00405303" w:rsidRDefault="009E6F82" w:rsidP="00C15251">
      <w:pPr>
        <w:jc w:val="both"/>
        <w:rPr>
          <w:bCs/>
          <w:color w:val="002060"/>
          <w:sz w:val="16"/>
          <w:szCs w:val="16"/>
        </w:rPr>
      </w:pPr>
      <w:r w:rsidRPr="00405303">
        <w:rPr>
          <w:bCs/>
          <w:color w:val="002060"/>
          <w:sz w:val="16"/>
          <w:szCs w:val="16"/>
        </w:rPr>
        <w:t>"ИМ-3" был заправлен топливом на пять часов и имел бомбовой груз 425 кг. На борту, кроме командира, находился экипаж из трех человек: заместитель командира, лейтенант М.П. Спасов; полковник Звягинцев, член Государственной Думы; и механик, унтер-офицер Фогт.</w:t>
      </w:r>
    </w:p>
    <w:p w14:paraId="5ABDBEF5" w14:textId="77777777" w:rsidR="004B4E35" w:rsidRPr="00405303" w:rsidRDefault="009E6F82" w:rsidP="00C15251">
      <w:pPr>
        <w:jc w:val="both"/>
        <w:rPr>
          <w:bCs/>
          <w:color w:val="002060"/>
          <w:sz w:val="16"/>
          <w:szCs w:val="16"/>
        </w:rPr>
      </w:pPr>
      <w:r w:rsidRPr="00405303">
        <w:rPr>
          <w:bCs/>
          <w:color w:val="002060"/>
          <w:sz w:val="16"/>
          <w:szCs w:val="16"/>
        </w:rPr>
        <w:t>В ходе бомбежки Барановичей, "ИМ-3" попал под сильный вражеский огонь, но сбросил восемь бомб на Баранови- чи, поразив железнодорожную станцию. По всей видимости, в этот момент рядом с воздушным судном разорвался немецкий зенитный снаряд, повредив тяги элеронов. Озерецкий увидел ущерб, нанесенный левому элерону и повернул назад.</w:t>
      </w:r>
    </w:p>
    <w:p w14:paraId="3C5398F1" w14:textId="77777777" w:rsidR="004B4E35" w:rsidRPr="00405303" w:rsidRDefault="009E6F82" w:rsidP="00C15251">
      <w:pPr>
        <w:jc w:val="both"/>
        <w:rPr>
          <w:bCs/>
          <w:color w:val="002060"/>
          <w:sz w:val="16"/>
          <w:szCs w:val="16"/>
        </w:rPr>
      </w:pPr>
      <w:r w:rsidRPr="00405303">
        <w:rPr>
          <w:bCs/>
          <w:color w:val="002060"/>
          <w:sz w:val="16"/>
          <w:szCs w:val="16"/>
        </w:rPr>
        <w:t>Опустившись на высоту 2800 м, "ИМ-3" внезапно накренился влево и вниз. Озерецкий не смог удержать судно под контролем. "ИМ-3" резко спикировал и ударился о землю. Погиб весь экипаж, кроме лейтенанта Спасова, который уцелел чудом, хотя и получил много ранений и переломов.</w:t>
      </w:r>
    </w:p>
    <w:p w14:paraId="6E1F2A84" w14:textId="77777777" w:rsidR="004B4E35" w:rsidRPr="00405303" w:rsidRDefault="009E6F82" w:rsidP="00C15251">
      <w:pPr>
        <w:jc w:val="both"/>
        <w:rPr>
          <w:bCs/>
          <w:color w:val="002060"/>
          <w:sz w:val="16"/>
          <w:szCs w:val="16"/>
        </w:rPr>
      </w:pPr>
      <w:r w:rsidRPr="00405303">
        <w:rPr>
          <w:bCs/>
          <w:color w:val="002060"/>
          <w:sz w:val="16"/>
          <w:szCs w:val="16"/>
        </w:rPr>
        <w:t>Также следует упомянуть тот факт, что бомбы, все еще находившиеся на борту, хотя и были повреждены в момент удара, не разорвались. Русские бомбы, согласно наблюдениям, были высокого качества, и оснащались спусковым механизмом, который никогда не отказывал (11999).</w:t>
      </w:r>
    </w:p>
    <w:p w14:paraId="3CAF0968" w14:textId="77777777" w:rsidR="004B4E35" w:rsidRPr="00405303" w:rsidRDefault="004B4E35" w:rsidP="00C15251">
      <w:pPr>
        <w:jc w:val="both"/>
        <w:rPr>
          <w:bCs/>
          <w:color w:val="002060"/>
          <w:sz w:val="16"/>
          <w:szCs w:val="16"/>
        </w:rPr>
      </w:pPr>
    </w:p>
    <w:p w14:paraId="0E746071" w14:textId="40C744AA" w:rsidR="00BA7B05" w:rsidRPr="00405303" w:rsidRDefault="00BA7B05" w:rsidP="00C15251">
      <w:pPr>
        <w:jc w:val="both"/>
        <w:rPr>
          <w:bCs/>
          <w:color w:val="002060"/>
          <w:sz w:val="16"/>
          <w:szCs w:val="16"/>
        </w:rPr>
      </w:pPr>
      <w:r w:rsidRPr="00405303">
        <w:rPr>
          <w:bCs/>
          <w:color w:val="002060"/>
          <w:sz w:val="16"/>
          <w:szCs w:val="16"/>
        </w:rPr>
        <w:t>В ночь на 23 октября (5 ноября) 1915 г. в небе г. Рига появился цеппелин (по другим данным - два воздушных корабля) и сбросил (-ли) на городские кварталы несколько десятков бомб (без ущерба для военных объектов). Очевидцы этого воздушного налета так его в дальнейшем описывали: «В 12 час. 45 мин. ночи вдруг раздался оглушительный взрыв, который положительно потряс весь город. В первый момент казалось, что это разорвался неприятельский „чемодан“, - так велика была сила взрыва. Вскоре послышались разрывы шрапнелей и трескотня пулеметов. Все поняли, что наши батареи и пулеметы открыли огонь по воздушному хищнику. В течение нескольких минут царила зловещая тишина. Потом вдруг опять все задрожало кругом. Взрыв следовал за взрывом, так что трудно было даже определить, где именно разрывались бомбы - близко или далеко.</w:t>
      </w:r>
    </w:p>
    <w:p w14:paraId="21A486BA" w14:textId="77777777" w:rsidR="00BA7B05" w:rsidRPr="00405303" w:rsidRDefault="00BA7B05" w:rsidP="00C15251">
      <w:pPr>
        <w:jc w:val="both"/>
        <w:rPr>
          <w:bCs/>
          <w:color w:val="002060"/>
          <w:sz w:val="16"/>
          <w:szCs w:val="16"/>
        </w:rPr>
      </w:pPr>
      <w:bookmarkStart w:id="288" w:name="bookmark295"/>
      <w:r w:rsidRPr="00405303">
        <w:rPr>
          <w:bCs/>
          <w:color w:val="002060"/>
          <w:sz w:val="16"/>
          <w:szCs w:val="16"/>
        </w:rPr>
        <w:t>Вскоре выяснилось, что на Ригу совершили набег два германских цеппелина. Сколько было сброшено бомб, определить трудно: одни насчитали 36 взрывов, другие - 50, третьи - и того больше. Около часа ночи взрывы прекратились, - очевидно, цеппелины исчезли, - но лучи прожекторов долго еще бродили по небу, разыскивая воздушных хищников».</w:t>
      </w:r>
    </w:p>
    <w:p w14:paraId="3FD13F79" w14:textId="77777777" w:rsidR="00BA7B05" w:rsidRPr="00405303" w:rsidRDefault="00BA7B05" w:rsidP="00C15251">
      <w:pPr>
        <w:jc w:val="both"/>
        <w:rPr>
          <w:bCs/>
          <w:color w:val="002060"/>
          <w:sz w:val="16"/>
          <w:szCs w:val="16"/>
        </w:rPr>
      </w:pPr>
      <w:bookmarkStart w:id="289" w:name="bookmark296"/>
      <w:bookmarkStart w:id="290" w:name="bookmark297"/>
      <w:r w:rsidRPr="00405303">
        <w:rPr>
          <w:bCs/>
          <w:color w:val="002060"/>
          <w:sz w:val="16"/>
          <w:szCs w:val="16"/>
        </w:rPr>
        <w:t>Вечером того же дня город подвергся очередной воздушной бомбардировке (с борта немецкого самолета сброшено 4 бомбы)</w:t>
      </w:r>
      <w:hyperlink w:anchor="bookmark1353" w:tooltip="Current Document">
        <w:r w:rsidRPr="00405303">
          <w:rPr>
            <w:rStyle w:val="ad"/>
            <w:bCs/>
            <w:color w:val="002060"/>
            <w:sz w:val="16"/>
            <w:szCs w:val="16"/>
          </w:rPr>
          <w:t>[—]</w:t>
        </w:r>
      </w:hyperlink>
      <w:r w:rsidRPr="00405303">
        <w:rPr>
          <w:bCs/>
          <w:color w:val="002060"/>
          <w:sz w:val="16"/>
          <w:szCs w:val="16"/>
        </w:rPr>
        <w:t>. По сообщению газеты «Раннее утро»: «Одна из бомб попала во двор одного завода, другая - в сад»</w:t>
      </w:r>
      <w:bookmarkEnd w:id="289"/>
      <w:bookmarkEnd w:id="290"/>
      <w:r w:rsidRPr="00405303">
        <w:rPr>
          <w:bCs/>
          <w:color w:val="002060"/>
          <w:sz w:val="16"/>
          <w:szCs w:val="16"/>
        </w:rPr>
        <w:t xml:space="preserve"> (23405).</w:t>
      </w:r>
      <w:bookmarkEnd w:id="288"/>
    </w:p>
    <w:p w14:paraId="597CDDBF" w14:textId="77777777" w:rsidR="00BA7B05" w:rsidRPr="00405303" w:rsidRDefault="00BA7B05" w:rsidP="00C15251">
      <w:pPr>
        <w:jc w:val="both"/>
        <w:rPr>
          <w:bCs/>
          <w:color w:val="002060"/>
          <w:sz w:val="16"/>
          <w:szCs w:val="16"/>
          <w:lang w:bidi="ru-RU"/>
        </w:rPr>
      </w:pPr>
    </w:p>
    <w:p w14:paraId="2208B393" w14:textId="77777777" w:rsidR="00B30458" w:rsidRPr="00405303" w:rsidRDefault="00B30458" w:rsidP="00C15251">
      <w:pPr>
        <w:jc w:val="both"/>
        <w:rPr>
          <w:bCs/>
          <w:i/>
          <w:color w:val="002060"/>
          <w:sz w:val="16"/>
          <w:szCs w:val="16"/>
        </w:rPr>
      </w:pPr>
      <w:r w:rsidRPr="00405303">
        <w:rPr>
          <w:bCs/>
          <w:i/>
          <w:color w:val="002060"/>
          <w:sz w:val="16"/>
          <w:szCs w:val="16"/>
        </w:rPr>
        <w:t>Жизнь и внутренняя политика:</w:t>
      </w:r>
    </w:p>
    <w:p w14:paraId="42DDCB3F" w14:textId="77777777" w:rsidR="00B30458" w:rsidRPr="00405303" w:rsidRDefault="00B30458" w:rsidP="00C15251">
      <w:pPr>
        <w:jc w:val="both"/>
        <w:rPr>
          <w:bCs/>
          <w:i/>
          <w:color w:val="002060"/>
          <w:sz w:val="16"/>
          <w:szCs w:val="16"/>
        </w:rPr>
      </w:pPr>
    </w:p>
    <w:p w14:paraId="51CAF63E" w14:textId="0BD7B937" w:rsidR="00B30458" w:rsidRPr="00405303" w:rsidRDefault="00B30458" w:rsidP="00C15251">
      <w:pPr>
        <w:pStyle w:val="p1"/>
        <w:spacing w:before="0" w:beforeAutospacing="0" w:after="0" w:afterAutospacing="0"/>
        <w:jc w:val="both"/>
        <w:rPr>
          <w:bCs/>
          <w:color w:val="002060"/>
          <w:sz w:val="16"/>
          <w:szCs w:val="16"/>
        </w:rPr>
      </w:pPr>
      <w:r w:rsidRPr="00405303">
        <w:rPr>
          <w:bCs/>
          <w:color w:val="002060"/>
          <w:sz w:val="16"/>
          <w:szCs w:val="16"/>
        </w:rPr>
        <w:lastRenderedPageBreak/>
        <w:t xml:space="preserve">23 октября </w:t>
      </w:r>
      <w:r w:rsidR="00732C6C" w:rsidRPr="00405303">
        <w:rPr>
          <w:bCs/>
          <w:color w:val="002060"/>
          <w:sz w:val="16"/>
          <w:szCs w:val="16"/>
        </w:rPr>
        <w:t xml:space="preserve">(5 ноября) </w:t>
      </w:r>
      <w:r w:rsidRPr="00405303">
        <w:rPr>
          <w:bCs/>
          <w:color w:val="002060"/>
          <w:sz w:val="16"/>
          <w:szCs w:val="16"/>
        </w:rPr>
        <w:t>1915 г. Петроградское охранное отделение сделало из агентурных донесений вывод и доложило правительству, что «основная идея тактики» умеренных кадетов — «систематическое дискредитирование деятельности правительственных органов постоянным противупоставлением образцовых действий общественных учреждений» и что кадеты испуганы слухами «о намерении правительства в самом близком будущем ограничить сферу деятельности и компетенцию» этих учреждений. В тот же день «Новое время» поместило «письмо в редакцию» Маниковского, опровергавшего заслуги «общественных организаций» (зря себя нахваливают, еще не дали ни одного снаряда!). Оно было максимально использовано в дальнейшей пропаганде «органами рептильной печати» как неоспоримый аргумент, исходящий от самого компетентного и объективного лица, «заслуженного боевого генерала», создавало идеальный «предлог для открытия похода против военно-промышленных комитетов» (18409).</w:t>
      </w:r>
    </w:p>
    <w:p w14:paraId="725597DD" w14:textId="77777777" w:rsidR="00B30458" w:rsidRPr="00405303" w:rsidRDefault="00B30458" w:rsidP="00C15251">
      <w:pPr>
        <w:pStyle w:val="p1"/>
        <w:spacing w:before="0" w:beforeAutospacing="0" w:after="0" w:afterAutospacing="0"/>
        <w:jc w:val="both"/>
        <w:rPr>
          <w:bCs/>
          <w:color w:val="002060"/>
          <w:sz w:val="16"/>
          <w:szCs w:val="16"/>
        </w:rPr>
      </w:pPr>
    </w:p>
    <w:p w14:paraId="58AFF657" w14:textId="77777777" w:rsidR="00B30458" w:rsidRPr="00405303" w:rsidRDefault="00B30458" w:rsidP="00C15251">
      <w:pPr>
        <w:jc w:val="both"/>
        <w:rPr>
          <w:bCs/>
          <w:i/>
          <w:color w:val="002060"/>
          <w:sz w:val="16"/>
          <w:szCs w:val="16"/>
        </w:rPr>
      </w:pPr>
      <w:r w:rsidRPr="00405303">
        <w:rPr>
          <w:bCs/>
          <w:i/>
          <w:color w:val="002060"/>
          <w:sz w:val="16"/>
          <w:szCs w:val="16"/>
        </w:rPr>
        <w:t>Авиация и воздухоплавание за рубежом:</w:t>
      </w:r>
    </w:p>
    <w:p w14:paraId="718A4796" w14:textId="77777777" w:rsidR="00B30458" w:rsidRPr="00405303" w:rsidRDefault="00B30458" w:rsidP="00C15251">
      <w:pPr>
        <w:jc w:val="both"/>
        <w:rPr>
          <w:bCs/>
          <w:i/>
          <w:color w:val="002060"/>
          <w:sz w:val="16"/>
          <w:szCs w:val="16"/>
        </w:rPr>
      </w:pPr>
    </w:p>
    <w:p w14:paraId="60E9397B" w14:textId="77777777" w:rsidR="00B30458" w:rsidRPr="00405303" w:rsidRDefault="00B30458" w:rsidP="00C15251">
      <w:pPr>
        <w:jc w:val="both"/>
        <w:rPr>
          <w:bCs/>
          <w:color w:val="002060"/>
          <w:sz w:val="16"/>
          <w:szCs w:val="16"/>
        </w:rPr>
      </w:pPr>
      <w:r w:rsidRPr="00405303">
        <w:rPr>
          <w:bCs/>
          <w:color w:val="002060"/>
          <w:sz w:val="16"/>
          <w:szCs w:val="16"/>
        </w:rPr>
        <w:t>23 октября (5 ноября) в 1915 году первый запуск самолета при помощи корабельной катапульты. Летающую лодку «Curtiss» «АВ-2» катапультировали с кормы американского линкора "Северная Каролина», стоящего на якоре в заливе Пенсакола (штат Флорида). На следующий день «АВ – 2», пилотируемая лейтенантом-коммандером Генри Мастином, была запущена с борта «Северной Каролины» во время движения корабля (14821).</w:t>
      </w:r>
    </w:p>
    <w:p w14:paraId="6E4F046A" w14:textId="77777777" w:rsidR="00B30458" w:rsidRPr="00405303" w:rsidRDefault="00B30458" w:rsidP="00C15251">
      <w:pPr>
        <w:jc w:val="both"/>
        <w:rPr>
          <w:bCs/>
          <w:color w:val="002060"/>
          <w:sz w:val="16"/>
          <w:szCs w:val="16"/>
        </w:rPr>
      </w:pPr>
    </w:p>
    <w:p w14:paraId="68694374" w14:textId="77777777" w:rsidR="00B30458" w:rsidRPr="00405303" w:rsidRDefault="00B30458" w:rsidP="00C15251">
      <w:pPr>
        <w:jc w:val="both"/>
        <w:rPr>
          <w:bCs/>
          <w:i/>
          <w:color w:val="002060"/>
          <w:sz w:val="16"/>
          <w:szCs w:val="16"/>
        </w:rPr>
      </w:pPr>
      <w:r w:rsidRPr="00405303">
        <w:rPr>
          <w:bCs/>
          <w:i/>
          <w:color w:val="002060"/>
          <w:sz w:val="16"/>
          <w:szCs w:val="16"/>
        </w:rPr>
        <w:t>За рубежом:</w:t>
      </w:r>
    </w:p>
    <w:p w14:paraId="294D972D" w14:textId="77777777" w:rsidR="00B30458" w:rsidRPr="00405303" w:rsidRDefault="00B30458" w:rsidP="00C15251">
      <w:pPr>
        <w:jc w:val="both"/>
        <w:rPr>
          <w:bCs/>
          <w:color w:val="002060"/>
          <w:sz w:val="16"/>
          <w:szCs w:val="16"/>
        </w:rPr>
      </w:pPr>
    </w:p>
    <w:p w14:paraId="20AD719E" w14:textId="77777777" w:rsidR="00B30458" w:rsidRPr="00405303" w:rsidRDefault="00B30458" w:rsidP="00C15251">
      <w:pPr>
        <w:jc w:val="both"/>
        <w:rPr>
          <w:bCs/>
          <w:color w:val="002060"/>
          <w:sz w:val="16"/>
          <w:szCs w:val="16"/>
        </w:rPr>
      </w:pPr>
      <w:r w:rsidRPr="00405303">
        <w:rPr>
          <w:bCs/>
          <w:color w:val="002060"/>
          <w:sz w:val="16"/>
          <w:szCs w:val="16"/>
        </w:rPr>
        <w:t xml:space="preserve">23 октября (5 ноября) в 1915 году китайские принцы голосуют за установление в Китае монархии с </w:t>
      </w:r>
      <w:proofErr w:type="gramStart"/>
      <w:r w:rsidRPr="00405303">
        <w:rPr>
          <w:bCs/>
          <w:color w:val="002060"/>
          <w:sz w:val="16"/>
          <w:szCs w:val="16"/>
        </w:rPr>
        <w:t>Юанем</w:t>
      </w:r>
      <w:proofErr w:type="gramEnd"/>
      <w:r w:rsidRPr="00405303">
        <w:rPr>
          <w:bCs/>
          <w:color w:val="002060"/>
          <w:sz w:val="16"/>
          <w:szCs w:val="16"/>
        </w:rPr>
        <w:t xml:space="preserve"> Шикаем на императорском троне (14821).</w:t>
      </w:r>
    </w:p>
    <w:p w14:paraId="38EC6CD3" w14:textId="77777777" w:rsidR="00B30458" w:rsidRPr="00405303" w:rsidRDefault="00B30458" w:rsidP="00C15251">
      <w:pPr>
        <w:jc w:val="both"/>
        <w:rPr>
          <w:bCs/>
          <w:color w:val="002060"/>
          <w:sz w:val="16"/>
          <w:szCs w:val="16"/>
        </w:rPr>
      </w:pPr>
    </w:p>
    <w:p w14:paraId="6117BDDB"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66DB6747" w14:textId="77777777" w:rsidR="004B4E35" w:rsidRPr="00405303" w:rsidRDefault="004B4E35" w:rsidP="00C15251">
      <w:pPr>
        <w:shd w:val="clear" w:color="auto" w:fill="FFFFFF"/>
        <w:jc w:val="both"/>
        <w:rPr>
          <w:bCs/>
          <w:i/>
          <w:color w:val="002060"/>
          <w:sz w:val="16"/>
          <w:szCs w:val="16"/>
        </w:rPr>
      </w:pPr>
    </w:p>
    <w:p w14:paraId="0A15FE24" w14:textId="6DE9172B" w:rsidR="004B4E35" w:rsidRPr="00405303" w:rsidRDefault="009E6F82" w:rsidP="00C15251">
      <w:pPr>
        <w:shd w:val="clear" w:color="auto" w:fill="FFFFFF"/>
        <w:jc w:val="both"/>
        <w:rPr>
          <w:bCs/>
          <w:color w:val="002060"/>
          <w:sz w:val="16"/>
          <w:szCs w:val="16"/>
        </w:rPr>
      </w:pPr>
      <w:r w:rsidRPr="00405303">
        <w:rPr>
          <w:bCs/>
          <w:color w:val="002060"/>
          <w:sz w:val="16"/>
          <w:szCs w:val="16"/>
        </w:rPr>
        <w:t>24 октября (6 ноября) 1915 г. комиссия Петроградского порта приняла в казну первый из заказанных аэропланов, а именно "Альбатрос" тип А.2 М.Л.217. С мотором "Санбим" 150 л.с. и пилотом компании А. Налетовым за штурвалом он достиг высоты 500 м за 11,5 минут, при нагрузке в 360 кг (летчик, пассажир, топливо, масло и дополнитель</w:t>
      </w:r>
      <w:r w:rsidRPr="00405303">
        <w:rPr>
          <w:bCs/>
          <w:color w:val="002060"/>
          <w:sz w:val="16"/>
          <w:szCs w:val="16"/>
        </w:rPr>
        <w:softHyphen/>
        <w:t>ный вес). Через год и 4 дня, 28 октября 1916 г. второй самолет серии, "Альбатрос" тип А.2 М.Л.218, осмотрели на земле — как устаревший и из-за ранних холодов. Он все же был зачислен в списки аппаратов морской авиации, отличаясь от своего предшественника лишь малым — боковыми 18-секционными радиаторами типа "Хазет" германской конст</w:t>
      </w:r>
      <w:r w:rsidRPr="00405303">
        <w:rPr>
          <w:bCs/>
          <w:color w:val="002060"/>
          <w:sz w:val="16"/>
          <w:szCs w:val="16"/>
        </w:rPr>
        <w:softHyphen/>
        <w:t>рукции, которые производились компанией Лебедева и широко применялись на ее маши</w:t>
      </w:r>
      <w:r w:rsidRPr="00405303">
        <w:rPr>
          <w:bCs/>
          <w:color w:val="002060"/>
          <w:sz w:val="16"/>
          <w:szCs w:val="16"/>
        </w:rPr>
        <w:softHyphen/>
        <w:t>нах. Морское ведомство было вынуждено уплатить 630 руб. сверх установленной суммы за это непрошенное усовершенствование, в то время как основной спор разгорелся по дру</w:t>
      </w:r>
      <w:r w:rsidRPr="00405303">
        <w:rPr>
          <w:bCs/>
          <w:color w:val="002060"/>
          <w:sz w:val="16"/>
          <w:szCs w:val="16"/>
        </w:rPr>
        <w:softHyphen/>
        <w:t>гому поводу. Руководство завода утверждало, что аэроплан с заводским номером 218 был собран в сентябре 1915 г. и тогда же испытан подпоручиком Карпюком, военным летчиком, прикомандированным к фирме. Затем, по словам того же начальства, поплавки заменили лыжами по причине нежданной зимы, но флотская приемная комиссия так и не собралась и тогда компания решила продать аппарат Военному ведомству. В ответ специалисты МГТТТ просмотрели все сводки погоды конца 1915 г. и пришли к выводу: приведенные выше ут</w:t>
      </w:r>
      <w:r w:rsidRPr="00405303">
        <w:rPr>
          <w:bCs/>
          <w:color w:val="002060"/>
          <w:sz w:val="16"/>
          <w:szCs w:val="16"/>
        </w:rPr>
        <w:softHyphen/>
        <w:t>верждения о преждевременных холодах, помешавших опытам на воде, не соответствовали истине, а, значит, фирма нарушила установленные сроки работы и подлежала наказанию; на нее наложили штраф, а все разбирательства по делу продолжались до весны 1917 г. (2843).</w:t>
      </w:r>
    </w:p>
    <w:p w14:paraId="08C35B69" w14:textId="77777777" w:rsidR="004B4E35" w:rsidRPr="00405303" w:rsidRDefault="004B4E35" w:rsidP="00C15251">
      <w:pPr>
        <w:shd w:val="clear" w:color="auto" w:fill="FFFFFF"/>
        <w:jc w:val="both"/>
        <w:rPr>
          <w:bCs/>
          <w:color w:val="002060"/>
          <w:sz w:val="16"/>
          <w:szCs w:val="16"/>
        </w:rPr>
      </w:pPr>
    </w:p>
    <w:p w14:paraId="499684B0" w14:textId="110D9BCB" w:rsidR="004B4E35" w:rsidRPr="00405303" w:rsidRDefault="009E6F82" w:rsidP="00C15251">
      <w:pPr>
        <w:jc w:val="both"/>
        <w:rPr>
          <w:bCs/>
          <w:color w:val="002060"/>
          <w:sz w:val="16"/>
          <w:szCs w:val="16"/>
        </w:rPr>
      </w:pPr>
      <w:r w:rsidRPr="00405303">
        <w:rPr>
          <w:bCs/>
          <w:color w:val="002060"/>
          <w:sz w:val="16"/>
          <w:szCs w:val="16"/>
        </w:rPr>
        <w:t xml:space="preserve">24 октября (6 ноября) 1915 г. </w:t>
      </w:r>
      <w:r w:rsidR="00732C6C" w:rsidRPr="00405303">
        <w:rPr>
          <w:bCs/>
          <w:color w:val="002060"/>
          <w:sz w:val="16"/>
          <w:szCs w:val="16"/>
        </w:rPr>
        <w:t xml:space="preserve">после того, как Исполнительная комиссия Особого совещания по обороне Государства одобрила условия, </w:t>
      </w:r>
      <w:r w:rsidRPr="00405303">
        <w:rPr>
          <w:bCs/>
          <w:color w:val="002060"/>
          <w:sz w:val="16"/>
          <w:szCs w:val="16"/>
        </w:rPr>
        <w:t>ГВУ заключило с АО РБВЗ контракт Nо. 24130 на 18 самолетов С-16 под двигатели «Рон» или «Гном» мощностью в 80 или 100 л. с., а также 18 основных и 3 дополнительных комплекта запасных частей. В комплект запасных частей входили, по сути дела, все основные детали самолета, ГВУ обязалось выплатить по 9500 рублей за каждый самолет и по 4500 и 7300 рублей за каждый комплект запчастей соответственно. Двигатели и винты к аппаратам также должно было поставить ГВУ. Сроки поставки были оговорены следующие: к 4,10.1915 -- 3 самолета, к 4.11.1915 - 4 самолета и 7 комплектов и к 4.12.1915 -- 11 самолетов и 14 комплектов. условия сдачи самолетов были жесткие. Все расходы по сдаче, упаковке и возможному ремонту после поломок долларно было нести АО РБВЗ. Обществу предоставлялся задаток в 25% стоимости контракта для налаживания производства. Еще 25% должно было быть выделено на получение заводом необходимых материалов. Воздухоплавательное отделение АО РБВЗ, переименованное в мае 1915 г. в Русско-Балтийский воздухоплавательный завод (часто его сокращенно называли «АвиаБалт» ) , приступило в сентябре 1915 г. к подготовке производства (по заводскому обозначению, заказа Nо. 213) . Однако не все пошло гладко. Только к концу месяца летчиками ЭВК были подготовлены замечания к первым опытным С-16, и И. И. Сикорский смог приступить к устранению отмеченных недостатков в конструкции серийных аппаратов, получивших обозначение С-16сер. Им были присвоены заводские номера с 201 по 215. Вместе с опытными С-16 Nо. 154,155 и 156 они должны были составить «контрактные» 18 машин. В конструкцию серийных самолетов И. И. Сикорский внес ряд небольших изменений по сравнению с опытными. Была изменена форма хвостового оперения. Другой стала площадь крыльев и т.д. коробка крыльев С-16сер. имела плоскости разных размеров, подобно опытному С-16 Nо. 156. С большими проблемами столкнулось производство Авиа-Балта в связи со срывом поставок полуфабрикатов и комплектующих изделий (стальных и латунных труб, листовой стали, колес, болтов и т. п,) , многие из которых доставлялись из-за границы, в основном из Швеции, В связи с этим Сикорскому и его помощникам пришлось срочно переконструировать часть деталей и даже наладить на заводе выпуск стальных труб. Из-за вносимых изменений вес серийных самолетов С-16сер. получился различным и колебался от 415,6 до 423,2 кг. Директор Авиа-Балта М. Ф. Климыссеев предпринял все меры для ускорения работ по построже серии С-16сер., благо, осенью 1915 г. появилось временное технологическое окно в производстве воздушных кораблей «Илья Муромец</w:t>
      </w:r>
      <w:proofErr w:type="gramStart"/>
      <w:r w:rsidRPr="00405303">
        <w:rPr>
          <w:bCs/>
          <w:color w:val="002060"/>
          <w:sz w:val="16"/>
          <w:szCs w:val="16"/>
        </w:rPr>
        <w:t>» .</w:t>
      </w:r>
      <w:proofErr w:type="gramEnd"/>
      <w:r w:rsidRPr="00405303">
        <w:rPr>
          <w:bCs/>
          <w:color w:val="002060"/>
          <w:sz w:val="16"/>
          <w:szCs w:val="16"/>
        </w:rPr>
        <w:t xml:space="preserve"> Все свободные рабочие были переведены на сборку легких самолетов, трудились сверхурочно, в выходные и в праздничные дни. Однако повторявшиеся одна за другой забастовки свели на нет все эти усилия. К концу ноября стало очевидным, что к сроку удастся закончить от силы лишь четыре (Ко. 206- 209) из заказанных пятнадцати самолетов. Пришлось просить в ГВУ отсрочку, которая сопровождалась уплатой соответствующей неустойки. Только 4 января 1916 г. Авиа-Балт смог заявить о готовности представить к осмотру все 15 серийных самолетов С-16сер. Однако сдача их опять затянулась. Плохая погода прервала начатые 22 декабря 1915 г. прибывшим с фронта Г. И. Лавровым летно-сдаточные испытания самолетов. Во время одного из первых полетов на самолете Nо. 206 из-за сильных порывов ветра летчик не смог при посадке справиться с управлением. Самолет и двигатель были сильно повреждены и ремонтировались до марта1916 г. С отъездом Лаврова на фронт на заводе не осталось летчиков-сдатчиков. Ссылаясь на условия контракта (АО РБВЗ было обязано проводить сдаточные испытания с помощью заводских летчиков и за свой счет</w:t>
      </w:r>
      <w:proofErr w:type="gramStart"/>
      <w:r w:rsidRPr="00405303">
        <w:rPr>
          <w:bCs/>
          <w:color w:val="002060"/>
          <w:sz w:val="16"/>
          <w:szCs w:val="16"/>
        </w:rPr>
        <w:t>) ,</w:t>
      </w:r>
      <w:proofErr w:type="gramEnd"/>
      <w:r w:rsidRPr="00405303">
        <w:rPr>
          <w:bCs/>
          <w:color w:val="002060"/>
          <w:sz w:val="16"/>
          <w:szCs w:val="16"/>
        </w:rPr>
        <w:t xml:space="preserve"> ГВУ отказывалось предоставить своих летчиков. Несвоевременно поступали из ГВУ на завод и двигатели «Гном</w:t>
      </w:r>
      <w:proofErr w:type="gramStart"/>
      <w:r w:rsidRPr="00405303">
        <w:rPr>
          <w:bCs/>
          <w:color w:val="002060"/>
          <w:sz w:val="16"/>
          <w:szCs w:val="16"/>
        </w:rPr>
        <w:t>» .</w:t>
      </w:r>
      <w:proofErr w:type="gramEnd"/>
      <w:r w:rsidRPr="00405303">
        <w:rPr>
          <w:bCs/>
          <w:color w:val="002060"/>
          <w:sz w:val="16"/>
          <w:szCs w:val="16"/>
        </w:rPr>
        <w:t xml:space="preserve"> Кроме того, задержка поставок в армию С-16сер. способствовала и изменению взглядов на применение этих машин. В истории С-16 произошло важное событие -- расширилось назначение этого самолета. Если в середине 1915 г. «Сикорский маленький» , как иногда называли С-16 в войсках, предполагалось использовать в ЭВК в основном для тренировок летчиков воздушных кораблей, а также в качестве «разведчиков при намечаемых налетах Эскадры на определенные пункты» , то к концу этого года наметилось применение их в качестве истребителей на боевых базах для защиты воздушных кораблей против налетов неприятельского воздушного флота» . По новым утвержденным штатам ЭВК в ее составе предполагалось иметь теперь помимо 12 учебных аппаратов школы Эскадры еще по 14 легких самолетов (4 истребителя, 4разведчика и 6тренировочных) в составе каждого боевого отряда, число которых увеличилось с двух до трех. Подобно большинству других скаутов, С-16 превращался в классический одноместный истребитель. Он стал, таким образом, первым истребителем отечественной конструкции. Изменение назначения самолета С-16 ознаменовалось разработкой для него стационарного бортового вооружения. Одним из главных пропагандистов создания истребительной авиации в российском воздушном флоте был лейтенант Г, И. Лавров. В 1915 г. он сделал ряд предложений по созданию авиационного вооружения и формированию отрядов истребителей. Осенью этого года им был разработан и построен в мастерских ЭВК образец первого в России синхронизатора или, как тогда называли, приспособления для автоматической стрельбы через винт (11188).</w:t>
      </w:r>
    </w:p>
    <w:p w14:paraId="2E6D40F6" w14:textId="77777777" w:rsidR="004B4E35" w:rsidRPr="00405303" w:rsidRDefault="004B4E35" w:rsidP="00C15251">
      <w:pPr>
        <w:jc w:val="both"/>
        <w:rPr>
          <w:bCs/>
          <w:color w:val="002060"/>
          <w:sz w:val="16"/>
          <w:szCs w:val="16"/>
        </w:rPr>
      </w:pPr>
    </w:p>
    <w:p w14:paraId="4183BA1E" w14:textId="7E326403" w:rsidR="00477787" w:rsidRPr="00405303" w:rsidRDefault="00477787" w:rsidP="00C15251">
      <w:pPr>
        <w:jc w:val="both"/>
        <w:rPr>
          <w:bCs/>
          <w:i/>
          <w:color w:val="002060"/>
          <w:sz w:val="16"/>
          <w:szCs w:val="16"/>
        </w:rPr>
      </w:pPr>
      <w:r w:rsidRPr="00405303">
        <w:rPr>
          <w:bCs/>
          <w:i/>
          <w:color w:val="002060"/>
          <w:sz w:val="16"/>
          <w:szCs w:val="16"/>
        </w:rPr>
        <w:t>Самолетоостроение:</w:t>
      </w:r>
    </w:p>
    <w:p w14:paraId="7B141D04" w14:textId="77777777" w:rsidR="00477787" w:rsidRPr="00405303" w:rsidRDefault="00477787" w:rsidP="00C15251">
      <w:pPr>
        <w:jc w:val="both"/>
        <w:rPr>
          <w:bCs/>
          <w:i/>
          <w:color w:val="002060"/>
          <w:sz w:val="16"/>
          <w:szCs w:val="16"/>
        </w:rPr>
      </w:pPr>
    </w:p>
    <w:p w14:paraId="4DAA2C8C" w14:textId="117FC907" w:rsidR="00477787" w:rsidRPr="00405303" w:rsidRDefault="00477787" w:rsidP="00C15251">
      <w:pPr>
        <w:jc w:val="both"/>
        <w:rPr>
          <w:bCs/>
          <w:color w:val="002060"/>
          <w:sz w:val="16"/>
          <w:szCs w:val="16"/>
        </w:rPr>
      </w:pPr>
      <w:r w:rsidRPr="00405303">
        <w:rPr>
          <w:bCs/>
          <w:color w:val="002060"/>
          <w:sz w:val="16"/>
          <w:szCs w:val="16"/>
          <w:lang w:bidi="en-US"/>
        </w:rPr>
        <w:lastRenderedPageBreak/>
        <w:t xml:space="preserve">24 октября (6 ноября) 1915 года </w:t>
      </w:r>
      <w:r w:rsidRPr="00405303">
        <w:rPr>
          <w:bCs/>
          <w:color w:val="002060"/>
          <w:sz w:val="16"/>
          <w:szCs w:val="16"/>
          <w:lang w:val="en-US" w:bidi="en-US"/>
        </w:rPr>
        <w:t>CMTD</w:t>
      </w:r>
      <w:r w:rsidRPr="00405303">
        <w:rPr>
          <w:bCs/>
          <w:color w:val="002060"/>
          <w:sz w:val="16"/>
          <w:szCs w:val="16"/>
          <w:lang w:bidi="en-US"/>
        </w:rPr>
        <w:t xml:space="preserve"> разместила заказ у </w:t>
      </w:r>
      <w:r w:rsidRPr="00405303">
        <w:rPr>
          <w:bCs/>
          <w:color w:val="002060"/>
          <w:sz w:val="16"/>
          <w:szCs w:val="16"/>
          <w:lang w:val="en-US" w:bidi="en-US"/>
        </w:rPr>
        <w:t>R</w:t>
      </w:r>
      <w:r w:rsidRPr="00405303">
        <w:rPr>
          <w:bCs/>
          <w:color w:val="002060"/>
          <w:sz w:val="16"/>
          <w:szCs w:val="16"/>
          <w:lang w:bidi="en-US"/>
        </w:rPr>
        <w:t>-</w:t>
      </w:r>
      <w:r w:rsidRPr="00405303">
        <w:rPr>
          <w:bCs/>
          <w:color w:val="002060"/>
          <w:sz w:val="16"/>
          <w:szCs w:val="16"/>
          <w:lang w:val="en-US" w:bidi="en-US"/>
        </w:rPr>
        <w:t>BVZ</w:t>
      </w:r>
      <w:r w:rsidRPr="00405303">
        <w:rPr>
          <w:bCs/>
          <w:color w:val="002060"/>
          <w:sz w:val="16"/>
          <w:szCs w:val="16"/>
          <w:lang w:bidi="en-US"/>
        </w:rPr>
        <w:t xml:space="preserve"> </w:t>
      </w:r>
      <w:r w:rsidRPr="00405303">
        <w:rPr>
          <w:bCs/>
          <w:color w:val="002060"/>
          <w:sz w:val="16"/>
          <w:szCs w:val="16"/>
          <w:lang w:val="en-US" w:bidi="en-US"/>
        </w:rPr>
        <w:t>Avia</w:t>
      </w:r>
      <w:r w:rsidRPr="00405303">
        <w:rPr>
          <w:bCs/>
          <w:color w:val="002060"/>
          <w:sz w:val="16"/>
          <w:szCs w:val="16"/>
          <w:lang w:bidi="en-US"/>
        </w:rPr>
        <w:t>-</w:t>
      </w:r>
      <w:r w:rsidRPr="00405303">
        <w:rPr>
          <w:bCs/>
          <w:color w:val="002060"/>
          <w:sz w:val="16"/>
          <w:szCs w:val="16"/>
          <w:lang w:val="en-US" w:bidi="en-US"/>
        </w:rPr>
        <w:t>Bait</w:t>
      </w:r>
      <w:r w:rsidRPr="00405303">
        <w:rPr>
          <w:bCs/>
          <w:color w:val="002060"/>
          <w:sz w:val="16"/>
          <w:szCs w:val="16"/>
          <w:lang w:bidi="en-US"/>
        </w:rPr>
        <w:t xml:space="preserve"> </w:t>
      </w:r>
      <w:r w:rsidRPr="00405303">
        <w:rPr>
          <w:bCs/>
          <w:color w:val="002060"/>
          <w:sz w:val="16"/>
          <w:szCs w:val="16"/>
          <w:lang w:val="en-US" w:bidi="en-US"/>
        </w:rPr>
        <w:t>Division</w:t>
      </w:r>
      <w:r w:rsidRPr="00405303">
        <w:rPr>
          <w:bCs/>
          <w:color w:val="002060"/>
          <w:sz w:val="16"/>
          <w:szCs w:val="16"/>
          <w:lang w:bidi="en-US"/>
        </w:rPr>
        <w:t xml:space="preserve"> на восемнадцать </w:t>
      </w:r>
      <w:r w:rsidRPr="00405303">
        <w:rPr>
          <w:bCs/>
          <w:color w:val="002060"/>
          <w:sz w:val="16"/>
          <w:szCs w:val="16"/>
          <w:lang w:val="en-US" w:bidi="en-US"/>
        </w:rPr>
        <w:t>Sikorsky</w:t>
      </w:r>
      <w:r w:rsidRPr="00405303">
        <w:rPr>
          <w:bCs/>
          <w:color w:val="002060"/>
          <w:sz w:val="16"/>
          <w:szCs w:val="16"/>
          <w:lang w:bidi="en-US"/>
        </w:rPr>
        <w:t xml:space="preserve"> </w:t>
      </w:r>
      <w:r w:rsidRPr="00405303">
        <w:rPr>
          <w:bCs/>
          <w:color w:val="002060"/>
          <w:sz w:val="16"/>
          <w:szCs w:val="16"/>
          <w:lang w:val="en-US" w:bidi="en-US"/>
        </w:rPr>
        <w:t>S</w:t>
      </w:r>
      <w:r w:rsidRPr="00405303">
        <w:rPr>
          <w:bCs/>
          <w:color w:val="002060"/>
          <w:sz w:val="16"/>
          <w:szCs w:val="16"/>
          <w:lang w:bidi="en-US"/>
        </w:rPr>
        <w:t>-16 (23525).</w:t>
      </w:r>
    </w:p>
    <w:p w14:paraId="147BC7B6" w14:textId="77777777" w:rsidR="00477787" w:rsidRPr="00405303" w:rsidRDefault="00477787" w:rsidP="00C15251">
      <w:pPr>
        <w:jc w:val="both"/>
        <w:rPr>
          <w:bCs/>
          <w:color w:val="002060"/>
          <w:sz w:val="16"/>
          <w:szCs w:val="16"/>
          <w:lang w:bidi="en-US"/>
        </w:rPr>
      </w:pPr>
    </w:p>
    <w:p w14:paraId="3061DBDC" w14:textId="7587F021"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353C4D21" w14:textId="77777777" w:rsidR="004B4E35" w:rsidRPr="00405303" w:rsidRDefault="004B4E35" w:rsidP="00C15251">
      <w:pPr>
        <w:jc w:val="both"/>
        <w:rPr>
          <w:bCs/>
          <w:i/>
          <w:color w:val="002060"/>
          <w:sz w:val="16"/>
          <w:szCs w:val="16"/>
        </w:rPr>
      </w:pPr>
    </w:p>
    <w:p w14:paraId="5A191DA0" w14:textId="63ABE91D"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24 октября (6 ноября) 1915 </w:t>
      </w:r>
      <w:r w:rsidR="00442A91" w:rsidRPr="00405303">
        <w:rPr>
          <w:bCs/>
          <w:color w:val="002060"/>
          <w:sz w:val="16"/>
          <w:szCs w:val="16"/>
        </w:rPr>
        <w:t xml:space="preserve">г. утром </w:t>
      </w:r>
      <w:r w:rsidRPr="00405303">
        <w:rPr>
          <w:bCs/>
          <w:color w:val="002060"/>
          <w:sz w:val="16"/>
          <w:szCs w:val="16"/>
        </w:rPr>
        <w:t>на авиасуд</w:t>
      </w:r>
      <w:r w:rsidRPr="00405303">
        <w:rPr>
          <w:bCs/>
          <w:color w:val="002060"/>
          <w:sz w:val="16"/>
          <w:szCs w:val="16"/>
        </w:rPr>
        <w:softHyphen/>
        <w:t>но «Император Николай I» погрузили семь летающих лодок и приняли личный состав отряда.</w:t>
      </w:r>
    </w:p>
    <w:p w14:paraId="1092624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Участники операции были ознакомлены с боевыми задача</w:t>
      </w:r>
      <w:r w:rsidRPr="00405303">
        <w:rPr>
          <w:bCs/>
          <w:color w:val="002060"/>
          <w:sz w:val="16"/>
          <w:szCs w:val="16"/>
        </w:rPr>
        <w:softHyphen/>
        <w:t>ми и последовательностью действий. Во-первых, с расстояния 20 миль до Варненского залива следовало начать воздушную разведку по выяснению наличия в Варне и Евксинограде гер</w:t>
      </w:r>
      <w:r w:rsidRPr="00405303">
        <w:rPr>
          <w:bCs/>
          <w:color w:val="002060"/>
          <w:sz w:val="16"/>
          <w:szCs w:val="16"/>
        </w:rPr>
        <w:softHyphen/>
        <w:t>манских крейсеров и субмарин. Во-вторых, требовалось обес</w:t>
      </w:r>
      <w:r w:rsidRPr="00405303">
        <w:rPr>
          <w:bCs/>
          <w:color w:val="002060"/>
          <w:sz w:val="16"/>
          <w:szCs w:val="16"/>
        </w:rPr>
        <w:softHyphen/>
        <w:t>печить надежное охранение своих линкоров от возможных подводных атак. В-третьих, предстояло умело применить из</w:t>
      </w:r>
      <w:r w:rsidRPr="00405303">
        <w:rPr>
          <w:bCs/>
          <w:color w:val="002060"/>
          <w:sz w:val="16"/>
          <w:szCs w:val="16"/>
        </w:rPr>
        <w:softHyphen/>
        <w:t>готовленные мастерскими Севастопольского порта авиабом</w:t>
      </w:r>
      <w:r w:rsidRPr="00405303">
        <w:rPr>
          <w:bCs/>
          <w:color w:val="002060"/>
          <w:sz w:val="16"/>
          <w:szCs w:val="16"/>
        </w:rPr>
        <w:softHyphen/>
        <w:t>бы по военным объектам противника.</w:t>
      </w:r>
    </w:p>
    <w:p w14:paraId="5AD1583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Выделенная для артиллерийского обстрела противника удар</w:t>
      </w:r>
      <w:r w:rsidRPr="00405303">
        <w:rPr>
          <w:bCs/>
          <w:color w:val="002060"/>
          <w:sz w:val="16"/>
          <w:szCs w:val="16"/>
        </w:rPr>
        <w:softHyphen/>
        <w:t>ная группа состояла из линкоров «Евстафий», «Иоанн Злато</w:t>
      </w:r>
      <w:r w:rsidRPr="00405303">
        <w:rPr>
          <w:bCs/>
          <w:color w:val="002060"/>
          <w:sz w:val="16"/>
          <w:szCs w:val="16"/>
        </w:rPr>
        <w:softHyphen/>
        <w:t>уст», «Пантелеймон» (имевших 20 крупнокалиберных орудий), крейсера «Память «Меркурия», 6 эсминцев и 4 минзагов, снаб</w:t>
      </w:r>
      <w:r w:rsidRPr="00405303">
        <w:rPr>
          <w:bCs/>
          <w:color w:val="002060"/>
          <w:sz w:val="16"/>
          <w:szCs w:val="16"/>
        </w:rPr>
        <w:softHyphen/>
        <w:t>женных контактными тралами. Оперативное прикрытие их обеспечивал новый линкор «Императрица Мария» (под фла</w:t>
      </w:r>
      <w:r w:rsidRPr="00405303">
        <w:rPr>
          <w:bCs/>
          <w:color w:val="002060"/>
          <w:sz w:val="16"/>
          <w:szCs w:val="16"/>
        </w:rPr>
        <w:softHyphen/>
        <w:t>гом адмирала А. Эбергарда), сопровождаемый крейсером «Ка-гул» и 4 эсминцами.</w:t>
      </w:r>
    </w:p>
    <w:p w14:paraId="2C32440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 основе данных агентурной разведки, ударная группа 22 апреля уже произвела обстрел указанных военных объектов методом ведения огня «по площадям», не давшим существен</w:t>
      </w:r>
      <w:r w:rsidRPr="00405303">
        <w:rPr>
          <w:bCs/>
          <w:color w:val="002060"/>
          <w:sz w:val="16"/>
          <w:szCs w:val="16"/>
        </w:rPr>
        <w:softHyphen/>
        <w:t>ных результатов. Командующий флотом решил повторить об</w:t>
      </w:r>
      <w:r w:rsidRPr="00405303">
        <w:rPr>
          <w:bCs/>
          <w:color w:val="002060"/>
          <w:sz w:val="16"/>
          <w:szCs w:val="16"/>
        </w:rPr>
        <w:softHyphen/>
        <w:t>стрел, предварив его воздушной разведкой с бомбардировкой и последующей оценкой достигнутого. Для этого из Севастополя вышел дополнительный отряд, состоявший из авианесущего судна, вспомогательного крейсера и полудивизиона миноносцев. Из донесения начальника судового авиаотряда Георгиевского кавалера лейтенанта Е. Коведяева видно, что 27 октября 1915 года летчики действовали следующим образом. В 05.47 с «Императрицы Марии» на «Император Николай I» посту</w:t>
      </w:r>
      <w:r w:rsidRPr="00405303">
        <w:rPr>
          <w:bCs/>
          <w:color w:val="002060"/>
          <w:sz w:val="16"/>
          <w:szCs w:val="16"/>
        </w:rPr>
        <w:softHyphen/>
        <w:t>пил короткий радиоприказ, переданный заведующим авиаци</w:t>
      </w:r>
      <w:r w:rsidRPr="00405303">
        <w:rPr>
          <w:bCs/>
          <w:color w:val="002060"/>
          <w:sz w:val="16"/>
          <w:szCs w:val="16"/>
        </w:rPr>
        <w:softHyphen/>
        <w:t>ей флота: «Спустить гидро!». На его выполнение ушло мень</w:t>
      </w:r>
      <w:r w:rsidRPr="00405303">
        <w:rPr>
          <w:bCs/>
          <w:color w:val="002060"/>
          <w:sz w:val="16"/>
          <w:szCs w:val="16"/>
        </w:rPr>
        <w:softHyphen/>
        <w:t>ше получаса. Затем последовал приказ: «Начать действия!».</w:t>
      </w:r>
    </w:p>
    <w:p w14:paraId="1F6942D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Первым на разведку Варны в 06.15 вылетел аппарат № 32 лейтенанта Марченко и унтер-офицера Захарченко. По возвра</w:t>
      </w:r>
      <w:r w:rsidRPr="00405303">
        <w:rPr>
          <w:bCs/>
          <w:color w:val="002060"/>
          <w:sz w:val="16"/>
          <w:szCs w:val="16"/>
        </w:rPr>
        <w:softHyphen/>
        <w:t>щении через 55 минут командир экипажа доложил, что в порту у мола стоят крейсер «Надежда» и пара миноносцев, а дальше -в канале и озере - четыре парохода. Уклоняясь от обстрелов с земли, летчики сбросили на большой пакгауз две 50- и две 8-фунтовые бомбы, затем сделали фотоснимок порта.</w:t>
      </w:r>
    </w:p>
    <w:p w14:paraId="2435508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06.16 стартовала «М-5» летчика Ламанова и моториста Демченко. На высотах 700 и 1400 метров они покружили над идущими в строю фронта линкорами, не заметив ничего подо</w:t>
      </w:r>
      <w:r w:rsidRPr="00405303">
        <w:rPr>
          <w:bCs/>
          <w:color w:val="002060"/>
          <w:sz w:val="16"/>
          <w:szCs w:val="16"/>
        </w:rPr>
        <w:softHyphen/>
        <w:t>зрительного. Затем направились к Варне, где дважды атако</w:t>
      </w:r>
      <w:r w:rsidRPr="00405303">
        <w:rPr>
          <w:bCs/>
          <w:color w:val="002060"/>
          <w:sz w:val="16"/>
          <w:szCs w:val="16"/>
        </w:rPr>
        <w:softHyphen/>
        <w:t>вали болгарский крейсер, но 8-фунтовые бомбы попадали в мол. Еще семь бомб сбросили на разные цели, включая дви</w:t>
      </w:r>
      <w:r w:rsidRPr="00405303">
        <w:rPr>
          <w:bCs/>
          <w:color w:val="002060"/>
          <w:sz w:val="16"/>
          <w:szCs w:val="16"/>
        </w:rPr>
        <w:softHyphen/>
        <w:t>гавшийся к вагонам паровоз, остановленный взрывом рельсо</w:t>
      </w:r>
      <w:r w:rsidRPr="00405303">
        <w:rPr>
          <w:bCs/>
          <w:color w:val="002060"/>
          <w:sz w:val="16"/>
          <w:szCs w:val="16"/>
        </w:rPr>
        <w:softHyphen/>
        <w:t>вого пути. Последнюю бомбу они оставили на случай обнару</w:t>
      </w:r>
      <w:r w:rsidRPr="00405303">
        <w:rPr>
          <w:bCs/>
          <w:color w:val="002060"/>
          <w:sz w:val="16"/>
          <w:szCs w:val="16"/>
        </w:rPr>
        <w:softHyphen/>
        <w:t>жения субмарины, но этого не произошло.</w:t>
      </w:r>
    </w:p>
    <w:p w14:paraId="2C5FF80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Свыше часа с четвертью в воздухе находился экипаж лейте</w:t>
      </w:r>
      <w:r w:rsidRPr="00405303">
        <w:rPr>
          <w:bCs/>
          <w:color w:val="002060"/>
          <w:sz w:val="16"/>
          <w:szCs w:val="16"/>
        </w:rPr>
        <w:softHyphen/>
        <w:t>нанта Качинского и унтер-офицера Яковенко. Летчики удач</w:t>
      </w:r>
      <w:r w:rsidRPr="00405303">
        <w:rPr>
          <w:bCs/>
          <w:color w:val="002060"/>
          <w:sz w:val="16"/>
          <w:szCs w:val="16"/>
        </w:rPr>
        <w:softHyphen/>
        <w:t>но применили бомбовое оружие - взорвали каменный пакгауз, затем сфотографировали обнаруженную западней Галаты по</w:t>
      </w:r>
      <w:r w:rsidRPr="00405303">
        <w:rPr>
          <w:bCs/>
          <w:color w:val="002060"/>
          <w:sz w:val="16"/>
          <w:szCs w:val="16"/>
        </w:rPr>
        <w:softHyphen/>
        <w:t>левую батарею. Снизившись возле «Евстафия», они условны</w:t>
      </w:r>
      <w:r w:rsidRPr="00405303">
        <w:rPr>
          <w:bCs/>
          <w:color w:val="002060"/>
          <w:sz w:val="16"/>
          <w:szCs w:val="16"/>
        </w:rPr>
        <w:softHyphen/>
        <w:t>ми сигналами, поданными цветными дымками, сообщили на</w:t>
      </w:r>
      <w:r w:rsidRPr="00405303">
        <w:rPr>
          <w:bCs/>
          <w:color w:val="002060"/>
          <w:sz w:val="16"/>
          <w:szCs w:val="16"/>
        </w:rPr>
        <w:softHyphen/>
        <w:t>чальнику дивизии вице-адмиралу П. Новицкому о стоящих в порту судах.</w:t>
      </w:r>
    </w:p>
    <w:p w14:paraId="78BB175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После выполнения задачи противолодочного охранения ко</w:t>
      </w:r>
      <w:r w:rsidRPr="00405303">
        <w:rPr>
          <w:bCs/>
          <w:color w:val="002060"/>
          <w:sz w:val="16"/>
          <w:szCs w:val="16"/>
        </w:rPr>
        <w:softHyphen/>
        <w:t>раблей ударной группы лейтенанту Коведяеву и унтер-офице</w:t>
      </w:r>
      <w:r w:rsidRPr="00405303">
        <w:rPr>
          <w:bCs/>
          <w:color w:val="002060"/>
          <w:sz w:val="16"/>
          <w:szCs w:val="16"/>
        </w:rPr>
        <w:softHyphen/>
        <w:t>ру Волынскому не повезло. На 44-й минуте полета, уже над Варной, у аппарата «забарахлил» мотор. Пришлось возвратиться к авиасудну и заняться устранением неисправности. В 08.45 начальник отряда со старшим мотористом Артюховым снова поднялся в воздух. Оценивая результаты стрельбы линкоров, они видели накрытие тремя залпами Галатской батареи и за</w:t>
      </w:r>
      <w:r w:rsidRPr="00405303">
        <w:rPr>
          <w:bCs/>
          <w:color w:val="002060"/>
          <w:sz w:val="16"/>
          <w:szCs w:val="16"/>
        </w:rPr>
        <w:softHyphen/>
        <w:t>секли местонахождение неизвестной батареи, стрелявшей по кораблям. Сброшенные летчиками 50-фунтовые бомбы угоди</w:t>
      </w:r>
      <w:r w:rsidRPr="00405303">
        <w:rPr>
          <w:bCs/>
          <w:color w:val="002060"/>
          <w:sz w:val="16"/>
          <w:szCs w:val="16"/>
        </w:rPr>
        <w:softHyphen/>
        <w:t>ли в приземистое строение, где произошел внутренний взрыв.</w:t>
      </w:r>
    </w:p>
    <w:p w14:paraId="3C7AFC3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период с 08.12 до 09.25 на 2000-метровой высоте летал экипаж лейтенанта Юнкера и унтер-офицера Аристова, при</w:t>
      </w:r>
      <w:r w:rsidRPr="00405303">
        <w:rPr>
          <w:bCs/>
          <w:color w:val="002060"/>
          <w:sz w:val="16"/>
          <w:szCs w:val="16"/>
        </w:rPr>
        <w:softHyphen/>
        <w:t>нявших шестипудовый запас бензина. Около получаса они ох</w:t>
      </w:r>
      <w:r w:rsidRPr="00405303">
        <w:rPr>
          <w:bCs/>
          <w:color w:val="002060"/>
          <w:sz w:val="16"/>
          <w:szCs w:val="16"/>
        </w:rPr>
        <w:softHyphen/>
        <w:t>раняли линкоры, после чего оценивали результаты стрельбы по фортам. Затем летчики сбросили две бомбы на артбата-рею, установленную на пологом холме за губернаторским двор</w:t>
      </w:r>
      <w:r w:rsidRPr="00405303">
        <w:rPr>
          <w:bCs/>
          <w:color w:val="002060"/>
          <w:sz w:val="16"/>
          <w:szCs w:val="16"/>
        </w:rPr>
        <w:softHyphen/>
        <w:t>цом. От близких разрывов шрапнельных снарядов аппарат «бросало» в разные стороны, мотор стал работать с перебоями, но позволил до авиасудна «дотянуть».</w:t>
      </w:r>
    </w:p>
    <w:p w14:paraId="552A5F7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Последним к нему возвратился аппарат № 38, которым уп</w:t>
      </w:r>
      <w:r w:rsidRPr="00405303">
        <w:rPr>
          <w:bCs/>
          <w:color w:val="002060"/>
          <w:sz w:val="16"/>
          <w:szCs w:val="16"/>
        </w:rPr>
        <w:softHyphen/>
        <w:t>равлял матрос Сосновский, а наблюдателем-бомбардиром был заведующий техникой авиации флота лейтенант Михайлов, опытный летчик, конструктор бомб. Их полет продолжался свыше двух часов. Сперва они барражировали над кораблями, после наблюдали за стрельбой по фортам. Крупное укрепле</w:t>
      </w:r>
      <w:r w:rsidRPr="00405303">
        <w:rPr>
          <w:bCs/>
          <w:color w:val="002060"/>
          <w:sz w:val="16"/>
          <w:szCs w:val="16"/>
        </w:rPr>
        <w:softHyphen/>
        <w:t>ние и железнодорожный разъезд возле него имели хорошо ви</w:t>
      </w:r>
      <w:r w:rsidRPr="00405303">
        <w:rPr>
          <w:bCs/>
          <w:color w:val="002060"/>
          <w:sz w:val="16"/>
          <w:szCs w:val="16"/>
        </w:rPr>
        <w:softHyphen/>
        <w:t>димые повреждения. Сделав фотоснимок, летчики сбросили бомбы на каменное здание у ближнего форта.</w:t>
      </w:r>
    </w:p>
    <w:p w14:paraId="559DF6E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10.00 поступил радио-приказ о прекращении разведыва</w:t>
      </w:r>
      <w:r w:rsidRPr="00405303">
        <w:rPr>
          <w:bCs/>
          <w:color w:val="002060"/>
          <w:sz w:val="16"/>
          <w:szCs w:val="16"/>
        </w:rPr>
        <w:softHyphen/>
        <w:t>тельно-боевых действий летчиками авианесущего судна. Они успешно выполнили две из трех поставленных задач. Концевой в строю линкор «Пантелеймон» атаковала субмарина «1ТВ-7», но ее торпеда прошла мимо цели. Командиру «ПВ-8» приме</w:t>
      </w:r>
      <w:r w:rsidRPr="00405303">
        <w:rPr>
          <w:bCs/>
          <w:color w:val="002060"/>
          <w:sz w:val="16"/>
          <w:szCs w:val="16"/>
        </w:rPr>
        <w:softHyphen/>
        <w:t>нить оружие не удалось. Осматривая морскую поверхность в бинокли, воздушные наблюдатели имели мало шансов обнару</w:t>
      </w:r>
      <w:r w:rsidRPr="00405303">
        <w:rPr>
          <w:bCs/>
          <w:color w:val="002060"/>
          <w:sz w:val="16"/>
          <w:szCs w:val="16"/>
        </w:rPr>
        <w:softHyphen/>
        <w:t>жить перископы субмарин.</w:t>
      </w:r>
    </w:p>
    <w:p w14:paraId="2815FA7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налетах на Варну участвовали шесть летающих лодок «М-5», у седьмой при разбеге для взлета «заглох» мотор, быст</w:t>
      </w:r>
      <w:r w:rsidRPr="00405303">
        <w:rPr>
          <w:bCs/>
          <w:color w:val="002060"/>
          <w:sz w:val="16"/>
          <w:szCs w:val="16"/>
        </w:rPr>
        <w:softHyphen/>
        <w:t>ро починить его мотористы не смогли. Под пушечным и пуле</w:t>
      </w:r>
      <w:r w:rsidRPr="00405303">
        <w:rPr>
          <w:bCs/>
          <w:color w:val="002060"/>
          <w:sz w:val="16"/>
          <w:szCs w:val="16"/>
        </w:rPr>
        <w:softHyphen/>
        <w:t>метным обстрелом аппаратов с земли, летчики сбросили на военные объекты десять 50-фунтовых бронебойных и один</w:t>
      </w:r>
      <w:r w:rsidRPr="00405303">
        <w:rPr>
          <w:bCs/>
          <w:color w:val="002060"/>
          <w:sz w:val="16"/>
          <w:szCs w:val="16"/>
        </w:rPr>
        <w:softHyphen/>
        <w:t>надцать 8-фунтовых фугасных бомб, причинивших неприяте</w:t>
      </w:r>
      <w:r w:rsidRPr="00405303">
        <w:rPr>
          <w:bCs/>
          <w:color w:val="002060"/>
          <w:sz w:val="16"/>
          <w:szCs w:val="16"/>
        </w:rPr>
        <w:softHyphen/>
        <w:t>лю довольно ощутимый ущерб и урон.</w:t>
      </w:r>
    </w:p>
    <w:p w14:paraId="6E36C5C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Несомненно, одним из уроков этой операции стало убеди</w:t>
      </w:r>
      <w:r w:rsidRPr="00405303">
        <w:rPr>
          <w:bCs/>
          <w:color w:val="002060"/>
          <w:sz w:val="16"/>
          <w:szCs w:val="16"/>
        </w:rPr>
        <w:softHyphen/>
        <w:t>тельное подтверждение срочной необходимости вооружения авиации действующих флотов более совершенными летающи</w:t>
      </w:r>
      <w:r w:rsidRPr="00405303">
        <w:rPr>
          <w:bCs/>
          <w:color w:val="002060"/>
          <w:sz w:val="16"/>
          <w:szCs w:val="16"/>
        </w:rPr>
        <w:softHyphen/>
        <w:t>ми лодками, оснащенными новыми боевыми и техническими средствами для эффективного выполнения наступательных и оборонительных задач, в частности, ведения воздушных боев (11283).</w:t>
      </w:r>
    </w:p>
    <w:p w14:paraId="464E4A9E" w14:textId="77777777" w:rsidR="004B4E35" w:rsidRPr="00405303" w:rsidRDefault="004B4E35" w:rsidP="00C15251">
      <w:pPr>
        <w:shd w:val="clear" w:color="auto" w:fill="FFFFFF"/>
        <w:jc w:val="both"/>
        <w:rPr>
          <w:bCs/>
          <w:color w:val="002060"/>
          <w:sz w:val="16"/>
          <w:szCs w:val="16"/>
        </w:rPr>
      </w:pPr>
    </w:p>
    <w:p w14:paraId="44917BD2" w14:textId="77777777" w:rsidR="004B4E35" w:rsidRPr="00405303" w:rsidRDefault="009E6F82" w:rsidP="00C15251">
      <w:pPr>
        <w:jc w:val="both"/>
        <w:rPr>
          <w:bCs/>
          <w:color w:val="002060"/>
          <w:sz w:val="16"/>
          <w:szCs w:val="16"/>
        </w:rPr>
      </w:pPr>
      <w:r w:rsidRPr="00405303">
        <w:rPr>
          <w:bCs/>
          <w:color w:val="002060"/>
          <w:sz w:val="16"/>
          <w:szCs w:val="16"/>
        </w:rPr>
        <w:t>Утром 24 октября 1915 г. на авиатранспорт "Император Николай I" погрузили семь М-5, доставили личный состав авиационной части. До участников довели план операции. Для своевременного получения данных о целях предполагалось поднимать самолёты на разведку за 20 миль до Варненского залива.</w:t>
      </w:r>
    </w:p>
    <w:p w14:paraId="1C47FAC3" w14:textId="77777777" w:rsidR="004B4E35" w:rsidRPr="00405303" w:rsidRDefault="009E6F82" w:rsidP="00C15251">
      <w:pPr>
        <w:jc w:val="both"/>
        <w:rPr>
          <w:bCs/>
          <w:color w:val="002060"/>
          <w:sz w:val="16"/>
          <w:szCs w:val="16"/>
        </w:rPr>
      </w:pPr>
      <w:r w:rsidRPr="00405303">
        <w:rPr>
          <w:bCs/>
          <w:color w:val="002060"/>
          <w:sz w:val="16"/>
          <w:szCs w:val="16"/>
        </w:rPr>
        <w:t>Ударная группа из линкоров: "Евстафий", "Иоанн Златоуст", "Пантелеймон", крейсера "Память Меркурия", шести миноносцев, четырех минных заградителей получила задачу обстреливать побережье противника. В группу обеспечения вошли линкор "Императрица Мария" (под флагом адмирала Эбергарда), крейсер "Кагул" и четыре миноносца. Из Севастополя вышел дополнительный отряд из авиатранспорта, вспомогательного крейсера и миноносцев.</w:t>
      </w:r>
    </w:p>
    <w:p w14:paraId="106BCBA8" w14:textId="77777777" w:rsidR="004B4E35" w:rsidRPr="00405303" w:rsidRDefault="009E6F82" w:rsidP="00C15251">
      <w:pPr>
        <w:jc w:val="both"/>
        <w:rPr>
          <w:bCs/>
          <w:color w:val="002060"/>
          <w:sz w:val="16"/>
          <w:szCs w:val="16"/>
        </w:rPr>
      </w:pPr>
      <w:r w:rsidRPr="00405303">
        <w:rPr>
          <w:bCs/>
          <w:color w:val="002060"/>
          <w:sz w:val="16"/>
          <w:szCs w:val="16"/>
        </w:rPr>
        <w:t>Отряду из семи гидросамолётов поставили задачу: поиск подводных лодок; уточнение положения батарей, указанных в донесении консула Рагозина; опознавание плавсредств в порту; бомбардировка сооружений, имеющих военное значение и укреплений порта Варна (11930).</w:t>
      </w:r>
    </w:p>
    <w:p w14:paraId="1270A415" w14:textId="77777777" w:rsidR="004B4E35" w:rsidRPr="00405303" w:rsidRDefault="004B4E35" w:rsidP="00C15251">
      <w:pPr>
        <w:jc w:val="both"/>
        <w:rPr>
          <w:bCs/>
          <w:color w:val="002060"/>
          <w:sz w:val="16"/>
          <w:szCs w:val="16"/>
        </w:rPr>
      </w:pPr>
    </w:p>
    <w:p w14:paraId="029D6475" w14:textId="09A6AD86" w:rsidR="007F6099" w:rsidRPr="00405303" w:rsidRDefault="007F6099" w:rsidP="00C15251">
      <w:pPr>
        <w:jc w:val="both"/>
        <w:rPr>
          <w:bCs/>
          <w:i/>
          <w:color w:val="002060"/>
          <w:sz w:val="16"/>
          <w:szCs w:val="16"/>
        </w:rPr>
      </w:pPr>
      <w:r w:rsidRPr="00405303">
        <w:rPr>
          <w:bCs/>
          <w:i/>
          <w:color w:val="002060"/>
          <w:sz w:val="16"/>
          <w:szCs w:val="16"/>
        </w:rPr>
        <w:t>Авиация и воздухоплавание за рубежом:</w:t>
      </w:r>
    </w:p>
    <w:p w14:paraId="6B239991" w14:textId="77777777" w:rsidR="007F6099" w:rsidRPr="00405303" w:rsidRDefault="007F6099" w:rsidP="00C15251">
      <w:pPr>
        <w:jc w:val="both"/>
        <w:rPr>
          <w:bCs/>
          <w:i/>
          <w:color w:val="002060"/>
          <w:sz w:val="16"/>
          <w:szCs w:val="16"/>
        </w:rPr>
      </w:pPr>
    </w:p>
    <w:p w14:paraId="1B40C214" w14:textId="77777777" w:rsidR="007F6099" w:rsidRPr="00405303" w:rsidRDefault="007F6099" w:rsidP="00C15251">
      <w:pPr>
        <w:jc w:val="both"/>
        <w:rPr>
          <w:bCs/>
          <w:color w:val="002060"/>
          <w:sz w:val="16"/>
          <w:szCs w:val="16"/>
        </w:rPr>
      </w:pPr>
      <w:r w:rsidRPr="00405303">
        <w:rPr>
          <w:bCs/>
          <w:color w:val="002060"/>
          <w:sz w:val="16"/>
          <w:szCs w:val="16"/>
        </w:rPr>
        <w:t>24 октября (6 ноября) 1915 броненосный крейсер ВМС США USS North Carolina становится первым военным кораблем, запустившим самолет с помощью катапульты. Это была летающая лодка Curtiss AB-2, пилотируемая лейтенант-командиром Генри К. Мустином (20338).</w:t>
      </w:r>
    </w:p>
    <w:p w14:paraId="1E623609" w14:textId="77777777" w:rsidR="007F6099" w:rsidRPr="00405303" w:rsidRDefault="007F6099" w:rsidP="00C15251">
      <w:pPr>
        <w:jc w:val="both"/>
        <w:rPr>
          <w:bCs/>
          <w:color w:val="002060"/>
          <w:sz w:val="16"/>
          <w:szCs w:val="16"/>
        </w:rPr>
      </w:pPr>
    </w:p>
    <w:p w14:paraId="04A819AF" w14:textId="77777777" w:rsidR="00D979C5" w:rsidRPr="00405303" w:rsidRDefault="00D979C5" w:rsidP="00D979C5">
      <w:pPr>
        <w:shd w:val="clear" w:color="auto" w:fill="FFFFFF"/>
        <w:jc w:val="both"/>
        <w:rPr>
          <w:bCs/>
          <w:i/>
          <w:color w:val="002060"/>
          <w:sz w:val="16"/>
          <w:szCs w:val="16"/>
        </w:rPr>
      </w:pPr>
      <w:r w:rsidRPr="00405303">
        <w:rPr>
          <w:bCs/>
          <w:i/>
          <w:color w:val="002060"/>
          <w:sz w:val="16"/>
          <w:szCs w:val="16"/>
        </w:rPr>
        <w:t>Авиация:</w:t>
      </w:r>
    </w:p>
    <w:p w14:paraId="3FEDFB28" w14:textId="77777777" w:rsidR="00D979C5" w:rsidRPr="00405303" w:rsidRDefault="00D979C5" w:rsidP="00D979C5">
      <w:pPr>
        <w:shd w:val="clear" w:color="auto" w:fill="FFFFFF"/>
        <w:jc w:val="both"/>
        <w:rPr>
          <w:bCs/>
          <w:i/>
          <w:color w:val="002060"/>
          <w:sz w:val="16"/>
          <w:szCs w:val="16"/>
        </w:rPr>
      </w:pPr>
    </w:p>
    <w:p w14:paraId="5204D275" w14:textId="77777777" w:rsidR="00D979C5" w:rsidRPr="00B52707" w:rsidRDefault="00D979C5" w:rsidP="00D979C5">
      <w:pPr>
        <w:jc w:val="both"/>
        <w:rPr>
          <w:color w:val="0070C0"/>
          <w:sz w:val="16"/>
          <w:szCs w:val="16"/>
        </w:rPr>
      </w:pPr>
      <w:r w:rsidRPr="00B52707">
        <w:rPr>
          <w:rStyle w:val="aa"/>
          <w:rFonts w:ascii="Times New Roman" w:hAnsi="Times New Roman"/>
          <w:color w:val="0070C0"/>
          <w:spacing w:val="0"/>
          <w:sz w:val="16"/>
          <w:szCs w:val="16"/>
        </w:rPr>
        <w:t>25 октября (7 ноября) 1915 г. в Минском районе наши артиллеристы сбили немецкий аэроплан. Экипаж при падении погиб (25135).</w:t>
      </w:r>
    </w:p>
    <w:p w14:paraId="1E0ABDCE" w14:textId="77777777" w:rsidR="00D979C5" w:rsidRPr="00B52707" w:rsidRDefault="00D979C5" w:rsidP="00D979C5">
      <w:pPr>
        <w:jc w:val="both"/>
        <w:rPr>
          <w:rStyle w:val="aa"/>
          <w:rFonts w:ascii="Times New Roman" w:hAnsi="Times New Roman"/>
          <w:color w:val="0070C0"/>
          <w:spacing w:val="0"/>
          <w:sz w:val="16"/>
          <w:szCs w:val="16"/>
        </w:rPr>
      </w:pPr>
    </w:p>
    <w:p w14:paraId="06536803"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48C9FF46" w14:textId="77777777" w:rsidR="004B4E35" w:rsidRPr="00405303" w:rsidRDefault="004B4E35" w:rsidP="00C15251">
      <w:pPr>
        <w:jc w:val="both"/>
        <w:rPr>
          <w:bCs/>
          <w:i/>
          <w:color w:val="002060"/>
          <w:sz w:val="16"/>
          <w:szCs w:val="16"/>
        </w:rPr>
      </w:pPr>
    </w:p>
    <w:p w14:paraId="0853058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 xml:space="preserve">Судьба заложенного в августе-сентябре 1915 г. аппарата М-8 неизвестна, а упоминавшиеся выше характеристики дают основания связать ее с историей еще одной конструкции ПРТВ — с «Морским крейсером» (см. раздел Щетинин: Григорович тип МК). В том, что тип М-8 действительно существовал, нет никаких сомнений. Одним из свидетельств этому может служить известие от 26 </w:t>
      </w:r>
      <w:proofErr w:type="gramStart"/>
      <w:r w:rsidRPr="00405303">
        <w:rPr>
          <w:bCs/>
          <w:color w:val="002060"/>
          <w:sz w:val="16"/>
          <w:szCs w:val="16"/>
        </w:rPr>
        <w:t>октября( 8</w:t>
      </w:r>
      <w:proofErr w:type="gramEnd"/>
      <w:r w:rsidRPr="00405303">
        <w:rPr>
          <w:bCs/>
          <w:color w:val="002060"/>
          <w:sz w:val="16"/>
          <w:szCs w:val="16"/>
        </w:rPr>
        <w:t xml:space="preserve"> ноября) 1915г., гласившее:</w:t>
      </w:r>
    </w:p>
    <w:p w14:paraId="7407275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«&lt;...&gt; В настоящее время завод Щетинина выстроил и строит два больших опытных гидроаэроплана с увеличенным районом действия и большой грузоподъемности. Ныне один (меньший) аппарат уже готов и находится в стадии испытаний &lt;...»&gt; (2807).</w:t>
      </w:r>
    </w:p>
    <w:p w14:paraId="517D09A6" w14:textId="77777777" w:rsidR="004B4E35" w:rsidRPr="00405303" w:rsidRDefault="004B4E35" w:rsidP="00C15251">
      <w:pPr>
        <w:shd w:val="clear" w:color="auto" w:fill="FFFFFF"/>
        <w:jc w:val="both"/>
        <w:rPr>
          <w:bCs/>
          <w:color w:val="002060"/>
          <w:sz w:val="16"/>
          <w:szCs w:val="16"/>
        </w:rPr>
      </w:pPr>
    </w:p>
    <w:p w14:paraId="439B6586" w14:textId="77777777" w:rsidR="00D979C5" w:rsidRPr="00405303" w:rsidRDefault="00D979C5" w:rsidP="00D979C5">
      <w:pPr>
        <w:shd w:val="clear" w:color="auto" w:fill="FFFFFF"/>
        <w:jc w:val="both"/>
        <w:rPr>
          <w:bCs/>
          <w:i/>
          <w:color w:val="002060"/>
          <w:sz w:val="16"/>
          <w:szCs w:val="16"/>
        </w:rPr>
      </w:pPr>
      <w:r w:rsidRPr="00405303">
        <w:rPr>
          <w:bCs/>
          <w:i/>
          <w:color w:val="002060"/>
          <w:sz w:val="16"/>
          <w:szCs w:val="16"/>
        </w:rPr>
        <w:t>Авиация:</w:t>
      </w:r>
    </w:p>
    <w:p w14:paraId="3B92A3A4" w14:textId="77777777" w:rsidR="00D979C5" w:rsidRPr="00405303" w:rsidRDefault="00D979C5" w:rsidP="00D979C5">
      <w:pPr>
        <w:shd w:val="clear" w:color="auto" w:fill="FFFFFF"/>
        <w:jc w:val="both"/>
        <w:rPr>
          <w:bCs/>
          <w:i/>
          <w:color w:val="002060"/>
          <w:sz w:val="16"/>
          <w:szCs w:val="16"/>
        </w:rPr>
      </w:pPr>
    </w:p>
    <w:p w14:paraId="16A0DDED" w14:textId="77777777" w:rsidR="00D979C5" w:rsidRPr="00B52707" w:rsidRDefault="00D979C5" w:rsidP="00D979C5">
      <w:pPr>
        <w:jc w:val="both"/>
        <w:rPr>
          <w:rStyle w:val="aa"/>
          <w:rFonts w:ascii="Times New Roman" w:hAnsi="Times New Roman"/>
          <w:color w:val="0070C0"/>
          <w:spacing w:val="0"/>
          <w:sz w:val="16"/>
          <w:szCs w:val="16"/>
        </w:rPr>
      </w:pPr>
      <w:r w:rsidRPr="00B52707">
        <w:rPr>
          <w:rFonts w:eastAsia="Trebuchet MS"/>
          <w:color w:val="0070C0"/>
          <w:sz w:val="16"/>
          <w:szCs w:val="16"/>
          <w:shd w:val="clear" w:color="auto" w:fill="FFFFFF"/>
        </w:rPr>
        <w:t>27 октября (9 ноября) 1915 г. унтер-офицеры летчик Стржижевский и наблюдатель Авчухов из 16-го као на самолете «Моран-Парасоль» атаковали привязной змейковый аэростат у высоты «778». Приближаясь к немцу, летчики были обстреляны неприятельской зенитной артиллерией. Тем не менее, они сделали два круга над аэростатом и бросили на него две бомбы и 500 стрел. Аэростат с пробитой оболочкой стал быстро снижаться и вскоре упал на землю (25147).</w:t>
      </w:r>
    </w:p>
    <w:p w14:paraId="346E8273" w14:textId="77777777" w:rsidR="00D979C5" w:rsidRPr="00B52707" w:rsidRDefault="00D979C5" w:rsidP="00D979C5">
      <w:pPr>
        <w:jc w:val="both"/>
        <w:rPr>
          <w:rStyle w:val="aa"/>
          <w:rFonts w:ascii="Times New Roman" w:hAnsi="Times New Roman"/>
          <w:color w:val="0070C0"/>
          <w:spacing w:val="0"/>
          <w:sz w:val="16"/>
          <w:szCs w:val="16"/>
        </w:rPr>
      </w:pPr>
    </w:p>
    <w:p w14:paraId="44E80570"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14257541" w14:textId="77777777" w:rsidR="004B4E35" w:rsidRPr="00405303" w:rsidRDefault="004B4E35" w:rsidP="00C15251">
      <w:pPr>
        <w:shd w:val="clear" w:color="auto" w:fill="FFFFFF"/>
        <w:jc w:val="both"/>
        <w:rPr>
          <w:bCs/>
          <w:i/>
          <w:color w:val="002060"/>
          <w:sz w:val="16"/>
          <w:szCs w:val="16"/>
        </w:rPr>
      </w:pPr>
    </w:p>
    <w:p w14:paraId="7C0FF0BD" w14:textId="77777777" w:rsidR="004B4E35" w:rsidRPr="00405303" w:rsidRDefault="009E6F82" w:rsidP="00C15251">
      <w:pPr>
        <w:jc w:val="both"/>
        <w:rPr>
          <w:bCs/>
          <w:color w:val="002060"/>
          <w:sz w:val="16"/>
          <w:szCs w:val="16"/>
        </w:rPr>
      </w:pPr>
      <w:r w:rsidRPr="00405303">
        <w:rPr>
          <w:bCs/>
          <w:color w:val="002060"/>
          <w:sz w:val="16"/>
          <w:szCs w:val="16"/>
        </w:rPr>
        <w:t>27 октября (9 ноября) 1915 г. в 5 ч 57 мин с "Императрицы Марии" поступила команда, переданная заведующим авиацией флота: "Спустить гидро!". В 6 ч 15 мин взлетел лейтенант Марченко с наблюдателем унтер-офицером А.Демченко, доложивший после посадки о батареях у общественного сада и еврейского кладбища, обстрелявших самолёт. В порту у мола находился крейсер, два миноносца; пять пароходов, баржа; сброшено четыре бомбы (2 по 8 фунтов и 2 по 1 пуду 10 фунтов), сфотографирован порт и город Варна.</w:t>
      </w:r>
    </w:p>
    <w:p w14:paraId="0A93705C" w14:textId="77777777" w:rsidR="004B4E35" w:rsidRPr="00405303" w:rsidRDefault="009E6F82" w:rsidP="00C15251">
      <w:pPr>
        <w:jc w:val="both"/>
        <w:rPr>
          <w:bCs/>
          <w:color w:val="002060"/>
          <w:sz w:val="16"/>
          <w:szCs w:val="16"/>
        </w:rPr>
      </w:pPr>
      <w:r w:rsidRPr="00405303">
        <w:rPr>
          <w:bCs/>
          <w:color w:val="002060"/>
          <w:sz w:val="16"/>
          <w:szCs w:val="16"/>
        </w:rPr>
        <w:t>В 6 ч 16 мин взлетел лейтенант Ламанов с наблюдателем мотористом Захаренко. Подводных лодок и судов он не обнаружил, а положение батарей на южном и северном берегу совпали с донесениями консула Рогозина. Батарея у еврейского кладбища была полевая из четырёх орудий. В 6 ч 36 мин взлетел лейтенант Качинский с наблюдателем унтер-офицером Яковенко. Кроме расположения батарей экипаж обнаружил западнее Галаты временное полевое укрепление. Летчики удачно отбомбились - взорвали каменный пакгауз на набережной; произвели фотосъёмку и суда. В 6 ч 49 мин взлетел Кове- дяев с наблюдателем унтер-</w:t>
      </w:r>
      <w:proofErr w:type="gramStart"/>
      <w:r w:rsidRPr="00405303">
        <w:rPr>
          <w:bCs/>
          <w:color w:val="002060"/>
          <w:sz w:val="16"/>
          <w:szCs w:val="16"/>
        </w:rPr>
        <w:t>офице- ром</w:t>
      </w:r>
      <w:proofErr w:type="gramEnd"/>
      <w:r w:rsidRPr="00405303">
        <w:rPr>
          <w:bCs/>
          <w:color w:val="002060"/>
          <w:sz w:val="16"/>
          <w:szCs w:val="16"/>
        </w:rPr>
        <w:t xml:space="preserve"> Волынским. Но им не повезло. Через 44 миниты они вернулись из- за неустойчивой работы мотора. После устранения неисправности Коведяев вновь вылетел с мотористом Артюховым. Вернувшись через час он доложил, что Галатская батарея, мол и портовые сооружения Варны накрыты, наблюдаются пожары.</w:t>
      </w:r>
    </w:p>
    <w:p w14:paraId="554A29E6" w14:textId="77777777" w:rsidR="004B4E35" w:rsidRPr="00405303" w:rsidRDefault="009E6F82" w:rsidP="00C15251">
      <w:pPr>
        <w:jc w:val="both"/>
        <w:rPr>
          <w:bCs/>
          <w:color w:val="002060"/>
          <w:sz w:val="16"/>
          <w:szCs w:val="16"/>
        </w:rPr>
      </w:pPr>
      <w:r w:rsidRPr="00405303">
        <w:rPr>
          <w:bCs/>
          <w:color w:val="002060"/>
          <w:sz w:val="16"/>
          <w:szCs w:val="16"/>
        </w:rPr>
        <w:t>В период с 7 ч 38 мин и до окончания полётов в 10 ч вылеты на разведку выполнили охотник на правах вольноопределяющегося Сосновский с наблюдателем лейтенантом Михайловым. Затем летал лейтенант Юнкер с унтер-офицером Аристовым. В 10 ч 10 мин все гидросамолёты были на своих местах на авиатранспорте "Император Николай I". Во время налёта на Варну лётчики находились под ружейным и пушечным огнём пяти батарей, но поражений самолётов не было. Все сделанные фотоснимки оказались достаточного качества. Из семи аэропланов в полётах участвовало только шесть, поскольку на одном из самолётов мотор неустойчиво работал уже на разбеге (11930).</w:t>
      </w:r>
    </w:p>
    <w:p w14:paraId="19364A67" w14:textId="50D00D6E" w:rsidR="004B4E35" w:rsidRPr="00405303" w:rsidRDefault="004B4E35" w:rsidP="00C15251">
      <w:pPr>
        <w:jc w:val="both"/>
        <w:rPr>
          <w:bCs/>
          <w:color w:val="002060"/>
          <w:sz w:val="16"/>
          <w:szCs w:val="16"/>
        </w:rPr>
      </w:pPr>
    </w:p>
    <w:p w14:paraId="0AB3D046" w14:textId="77777777" w:rsidR="00BA7B05" w:rsidRPr="00405303" w:rsidRDefault="00BA7B05"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2F49CB49" w14:textId="77777777" w:rsidR="00BA7B05" w:rsidRPr="00405303" w:rsidRDefault="00BA7B05" w:rsidP="00C15251">
      <w:pPr>
        <w:shd w:val="clear" w:color="auto" w:fill="FFFFFF"/>
        <w:jc w:val="both"/>
        <w:rPr>
          <w:bCs/>
          <w:i/>
          <w:color w:val="002060"/>
          <w:sz w:val="16"/>
          <w:szCs w:val="16"/>
        </w:rPr>
      </w:pPr>
    </w:p>
    <w:p w14:paraId="4CF02FF9" w14:textId="526D2CED" w:rsidR="00BA7B05" w:rsidRPr="00405303" w:rsidRDefault="00BA7B05" w:rsidP="00C15251">
      <w:pPr>
        <w:jc w:val="both"/>
        <w:rPr>
          <w:bCs/>
          <w:color w:val="002060"/>
          <w:sz w:val="16"/>
          <w:szCs w:val="16"/>
        </w:rPr>
      </w:pPr>
      <w:r w:rsidRPr="00405303">
        <w:rPr>
          <w:bCs/>
          <w:color w:val="002060"/>
          <w:sz w:val="16"/>
          <w:szCs w:val="16"/>
        </w:rPr>
        <w:t>28 октября (10 ноября) 1915 г. Особое совещание, предлагало использовать секвестр для предстоящего «приобретения за</w:t>
      </w:r>
      <w:r w:rsidRPr="00405303">
        <w:rPr>
          <w:bCs/>
          <w:color w:val="002060"/>
          <w:sz w:val="16"/>
          <w:szCs w:val="16"/>
        </w:rPr>
        <w:softHyphen/>
        <w:t>водов в казну, путем предварительного доведения Общества до несостоятельности». Речь шла об Обществе Путиловских заводов. Особое совещание видело здесь, в принципе, и другую возможность — «признание заводов государствен</w:t>
      </w:r>
      <w:r w:rsidRPr="00405303">
        <w:rPr>
          <w:bCs/>
          <w:color w:val="002060"/>
          <w:sz w:val="16"/>
          <w:szCs w:val="16"/>
        </w:rPr>
        <w:softHyphen/>
        <w:t>ной собственностью в законодательном порядке», то есть по процедуре, описанной в Законах гражданских. Но в слу</w:t>
      </w:r>
      <w:r w:rsidRPr="00405303">
        <w:rPr>
          <w:bCs/>
          <w:color w:val="002060"/>
          <w:sz w:val="16"/>
          <w:szCs w:val="16"/>
        </w:rPr>
        <w:softHyphen/>
        <w:t>чае «объявления Общества несостоятельным» после нало</w:t>
      </w:r>
      <w:r w:rsidRPr="00405303">
        <w:rPr>
          <w:bCs/>
          <w:color w:val="002060"/>
          <w:sz w:val="16"/>
          <w:szCs w:val="16"/>
        </w:rPr>
        <w:softHyphen/>
        <w:t xml:space="preserve">жения секвестра казна могла приобрести завод, </w:t>
      </w:r>
      <w:proofErr w:type="gramStart"/>
      <w:r w:rsidRPr="00405303">
        <w:rPr>
          <w:bCs/>
          <w:color w:val="002060"/>
          <w:sz w:val="16"/>
          <w:szCs w:val="16"/>
        </w:rPr>
        <w:t>как то</w:t>
      </w:r>
      <w:proofErr w:type="gramEnd"/>
      <w:r w:rsidRPr="00405303">
        <w:rPr>
          <w:bCs/>
          <w:color w:val="002060"/>
          <w:sz w:val="16"/>
          <w:szCs w:val="16"/>
        </w:rPr>
        <w:t xml:space="preserve"> уже было проделано с Балтийским и Александровским завода</w:t>
      </w:r>
      <w:r w:rsidRPr="00405303">
        <w:rPr>
          <w:bCs/>
          <w:color w:val="002060"/>
          <w:sz w:val="16"/>
          <w:szCs w:val="16"/>
        </w:rPr>
        <w:softHyphen/>
        <w:t>ми, с минимальными затратами — «за сумму, вероятно, лишь незначительно превышающую его задолженность каз</w:t>
      </w:r>
      <w:r w:rsidRPr="00405303">
        <w:rPr>
          <w:bCs/>
          <w:color w:val="002060"/>
          <w:sz w:val="16"/>
          <w:szCs w:val="16"/>
        </w:rPr>
        <w:softHyphen/>
        <w:t>не» и без отягощения прочими долгами. Это оградило бы казну как будущего владельца завода «от предъявления не</w:t>
      </w:r>
      <w:r w:rsidRPr="00405303">
        <w:rPr>
          <w:bCs/>
          <w:color w:val="002060"/>
          <w:sz w:val="16"/>
          <w:szCs w:val="16"/>
        </w:rPr>
        <w:softHyphen/>
        <w:t>обоснованных требований» со стороны его частных креди</w:t>
      </w:r>
      <w:r w:rsidRPr="00405303">
        <w:rPr>
          <w:bCs/>
          <w:color w:val="002060"/>
          <w:sz w:val="16"/>
          <w:szCs w:val="16"/>
        </w:rPr>
        <w:softHyphen/>
        <w:t>торов (РГВИА. Ф. 369. Оп. 16. Д. 32. Л. 126 об., 128-130. Цит. журнал Наблюдательной комиссии; ЖОСО 1915. С. 376—377). В 1915 г., когда созрел этот замысел в отношении Путиловского завода, исполнить его сразу же оказалось не</w:t>
      </w:r>
      <w:r w:rsidRPr="00405303">
        <w:rPr>
          <w:bCs/>
          <w:color w:val="002060"/>
          <w:sz w:val="16"/>
          <w:szCs w:val="16"/>
        </w:rPr>
        <w:softHyphen/>
        <w:t>возможно ввиду несовершенства существовавших правовых норм; такая возможность, однако, появилась с изданием закона 12 января 1916 г. (23452)</w:t>
      </w:r>
    </w:p>
    <w:p w14:paraId="356D3FD8" w14:textId="77777777" w:rsidR="00BA7B05" w:rsidRPr="00405303" w:rsidRDefault="00BA7B05" w:rsidP="00C15251">
      <w:pPr>
        <w:jc w:val="both"/>
        <w:rPr>
          <w:bCs/>
          <w:color w:val="002060"/>
          <w:sz w:val="16"/>
          <w:szCs w:val="16"/>
          <w:lang w:bidi="ru-RU"/>
        </w:rPr>
      </w:pPr>
    </w:p>
    <w:p w14:paraId="3332AD5C" w14:textId="1F29FB80" w:rsidR="00477787" w:rsidRPr="00405303" w:rsidRDefault="00477787" w:rsidP="00C15251">
      <w:pPr>
        <w:shd w:val="clear" w:color="auto" w:fill="FFFFFF"/>
        <w:jc w:val="both"/>
        <w:rPr>
          <w:bCs/>
          <w:i/>
          <w:color w:val="002060"/>
          <w:sz w:val="16"/>
          <w:szCs w:val="16"/>
        </w:rPr>
      </w:pPr>
      <w:r w:rsidRPr="00405303">
        <w:rPr>
          <w:bCs/>
          <w:i/>
          <w:color w:val="002060"/>
          <w:sz w:val="16"/>
          <w:szCs w:val="16"/>
        </w:rPr>
        <w:t>Авиация:</w:t>
      </w:r>
    </w:p>
    <w:p w14:paraId="14EF453E" w14:textId="77777777" w:rsidR="00477787" w:rsidRPr="00405303" w:rsidRDefault="00477787" w:rsidP="00C15251">
      <w:pPr>
        <w:shd w:val="clear" w:color="auto" w:fill="FFFFFF"/>
        <w:jc w:val="both"/>
        <w:rPr>
          <w:bCs/>
          <w:i/>
          <w:color w:val="002060"/>
          <w:sz w:val="16"/>
          <w:szCs w:val="16"/>
        </w:rPr>
      </w:pPr>
    </w:p>
    <w:p w14:paraId="3A401931" w14:textId="06B56CCE" w:rsidR="00477787" w:rsidRPr="00405303" w:rsidRDefault="00477787" w:rsidP="00C15251">
      <w:pPr>
        <w:jc w:val="both"/>
        <w:rPr>
          <w:bCs/>
          <w:color w:val="002060"/>
          <w:sz w:val="16"/>
          <w:szCs w:val="16"/>
        </w:rPr>
      </w:pPr>
      <w:r w:rsidRPr="00405303">
        <w:rPr>
          <w:bCs/>
          <w:color w:val="002060"/>
          <w:sz w:val="16"/>
          <w:szCs w:val="16"/>
          <w:lang w:bidi="en-US"/>
        </w:rPr>
        <w:t>28 сенгтября (10 ноября) 1915 г. в отчете по воздухоплавательным частям говорилось, что «опыт войны показал необходимость в воздушных змеях для корректировки огня тяжелой артиллерии. Мы создали двенадцать воздухоплавательных рот с одним наблюдательным пунктом в каждой. Потребность в корректировке артиллерийской стрельбы возросла и планируется, что в каждой штатной роте должно быть по два наблюдательных поста, формировать новые роты мы не можем из-за нехватки воздухоплавателей» (23525).</w:t>
      </w:r>
    </w:p>
    <w:p w14:paraId="48133315" w14:textId="77777777" w:rsidR="00477787" w:rsidRPr="00405303" w:rsidRDefault="00477787" w:rsidP="00C15251">
      <w:pPr>
        <w:jc w:val="both"/>
        <w:rPr>
          <w:bCs/>
          <w:color w:val="002060"/>
          <w:sz w:val="16"/>
          <w:szCs w:val="16"/>
          <w:lang w:bidi="en-US"/>
        </w:rPr>
      </w:pPr>
    </w:p>
    <w:p w14:paraId="3486B04B" w14:textId="3A316B54" w:rsidR="00BA7B05" w:rsidRPr="00405303" w:rsidRDefault="00BA7B05" w:rsidP="00C15251">
      <w:pPr>
        <w:shd w:val="clear" w:color="auto" w:fill="FFFFFF"/>
        <w:jc w:val="both"/>
        <w:rPr>
          <w:bCs/>
          <w:i/>
          <w:color w:val="002060"/>
          <w:sz w:val="16"/>
          <w:szCs w:val="16"/>
        </w:rPr>
      </w:pPr>
      <w:r w:rsidRPr="00405303">
        <w:rPr>
          <w:bCs/>
          <w:i/>
          <w:color w:val="002060"/>
          <w:sz w:val="16"/>
          <w:szCs w:val="16"/>
        </w:rPr>
        <w:t>Самолетостроение:</w:t>
      </w:r>
    </w:p>
    <w:p w14:paraId="02891893" w14:textId="77777777" w:rsidR="00BA7B05" w:rsidRPr="00405303" w:rsidRDefault="00BA7B05" w:rsidP="00C15251">
      <w:pPr>
        <w:shd w:val="clear" w:color="auto" w:fill="FFFFFF"/>
        <w:jc w:val="both"/>
        <w:rPr>
          <w:bCs/>
          <w:i/>
          <w:color w:val="002060"/>
          <w:sz w:val="16"/>
          <w:szCs w:val="16"/>
        </w:rPr>
      </w:pPr>
    </w:p>
    <w:p w14:paraId="60807A98" w14:textId="1C4D7ECD" w:rsidR="00BA7B05" w:rsidRPr="00405303" w:rsidRDefault="00BA7B05" w:rsidP="00C15251">
      <w:pPr>
        <w:jc w:val="both"/>
        <w:rPr>
          <w:bCs/>
          <w:color w:val="002060"/>
          <w:sz w:val="16"/>
          <w:szCs w:val="16"/>
        </w:rPr>
      </w:pPr>
      <w:r w:rsidRPr="00405303">
        <w:rPr>
          <w:bCs/>
          <w:color w:val="002060"/>
          <w:sz w:val="16"/>
          <w:szCs w:val="16"/>
          <w:lang w:bidi="ru-RU"/>
        </w:rPr>
        <w:t>29 октября (11 ноября) 1915 г. завод Ф. Моска подписал контракт с военным ведомством на поставку 10 самолетов типа МБ (Моска-Быстрицкий) (№1—№10). Машины сдали до середи</w:t>
      </w:r>
      <w:r w:rsidRPr="00405303">
        <w:rPr>
          <w:bCs/>
          <w:color w:val="002060"/>
          <w:sz w:val="16"/>
          <w:szCs w:val="16"/>
          <w:lang w:bidi="ru-RU"/>
        </w:rPr>
        <w:softHyphen/>
        <w:t>ны 1916 г., при этом они определялись как самолеты-истребители, хотя сведений об их вооружении не имеется. Основным от</w:t>
      </w:r>
      <w:r w:rsidRPr="00405303">
        <w:rPr>
          <w:bCs/>
          <w:color w:val="002060"/>
          <w:sz w:val="16"/>
          <w:szCs w:val="16"/>
          <w:lang w:bidi="ru-RU"/>
        </w:rPr>
        <w:softHyphen/>
        <w:t>личием серийных машин явилось хвосто</w:t>
      </w:r>
      <w:r w:rsidRPr="00405303">
        <w:rPr>
          <w:bCs/>
          <w:color w:val="002060"/>
          <w:sz w:val="16"/>
          <w:szCs w:val="16"/>
          <w:lang w:bidi="ru-RU"/>
        </w:rPr>
        <w:softHyphen/>
        <w:t>вое оперение оригинальной формы в виде крыла мотылька, снабженное лишь рулями высоты и поворота (23374).</w:t>
      </w:r>
    </w:p>
    <w:p w14:paraId="3BEC0618" w14:textId="77777777" w:rsidR="00BA7B05" w:rsidRPr="00405303" w:rsidRDefault="00BA7B05" w:rsidP="00C15251">
      <w:pPr>
        <w:jc w:val="both"/>
        <w:rPr>
          <w:bCs/>
          <w:color w:val="002060"/>
          <w:sz w:val="16"/>
          <w:szCs w:val="16"/>
          <w:lang w:bidi="ru-RU"/>
        </w:rPr>
      </w:pPr>
    </w:p>
    <w:p w14:paraId="24CC4488" w14:textId="2E25FDDF"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4B6DD159" w14:textId="77777777" w:rsidR="004B4E35" w:rsidRPr="00405303" w:rsidRDefault="004B4E35" w:rsidP="00C15251">
      <w:pPr>
        <w:shd w:val="clear" w:color="auto" w:fill="FFFFFF"/>
        <w:jc w:val="both"/>
        <w:rPr>
          <w:bCs/>
          <w:i/>
          <w:color w:val="002060"/>
          <w:sz w:val="16"/>
          <w:szCs w:val="16"/>
        </w:rPr>
      </w:pPr>
    </w:p>
    <w:p w14:paraId="233ADCC0" w14:textId="0A8A7DEF"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29 октября (11 ноября) 1915 г.</w:t>
      </w:r>
      <w:r w:rsidR="00442A91" w:rsidRPr="00405303">
        <w:rPr>
          <w:bCs/>
          <w:i w:val="0"/>
          <w:color w:val="002060"/>
          <w:spacing w:val="0"/>
          <w:kern w:val="0"/>
          <w:position w:val="0"/>
          <w:sz w:val="16"/>
          <w:szCs w:val="16"/>
        </w:rPr>
        <w:t xml:space="preserve"> Военный совет</w:t>
      </w:r>
      <w:r w:rsidRPr="00405303">
        <w:rPr>
          <w:bCs/>
          <w:i w:val="0"/>
          <w:color w:val="002060"/>
          <w:spacing w:val="0"/>
          <w:kern w:val="0"/>
          <w:position w:val="0"/>
          <w:sz w:val="16"/>
          <w:szCs w:val="16"/>
        </w:rPr>
        <w:t xml:space="preserve"> разреш</w:t>
      </w:r>
      <w:r w:rsidR="00442A91" w:rsidRPr="00405303">
        <w:rPr>
          <w:bCs/>
          <w:i w:val="0"/>
          <w:color w:val="002060"/>
          <w:spacing w:val="0"/>
          <w:kern w:val="0"/>
          <w:position w:val="0"/>
          <w:sz w:val="16"/>
          <w:szCs w:val="16"/>
        </w:rPr>
        <w:t>ил</w:t>
      </w:r>
      <w:r w:rsidRPr="00405303">
        <w:rPr>
          <w:bCs/>
          <w:i w:val="0"/>
          <w:color w:val="002060"/>
          <w:spacing w:val="0"/>
          <w:kern w:val="0"/>
          <w:position w:val="0"/>
          <w:sz w:val="16"/>
          <w:szCs w:val="16"/>
        </w:rPr>
        <w:t xml:space="preserve"> </w:t>
      </w:r>
      <w:r w:rsidR="00442A91" w:rsidRPr="00405303">
        <w:rPr>
          <w:bCs/>
          <w:i w:val="0"/>
          <w:color w:val="002060"/>
          <w:spacing w:val="0"/>
          <w:kern w:val="0"/>
          <w:position w:val="0"/>
          <w:sz w:val="16"/>
          <w:szCs w:val="16"/>
        </w:rPr>
        <w:t xml:space="preserve">ГАУ </w:t>
      </w:r>
      <w:r w:rsidRPr="00405303">
        <w:rPr>
          <w:bCs/>
          <w:i w:val="0"/>
          <w:color w:val="002060"/>
          <w:spacing w:val="0"/>
          <w:kern w:val="0"/>
          <w:position w:val="0"/>
          <w:sz w:val="16"/>
          <w:szCs w:val="16"/>
        </w:rPr>
        <w:t>постройк</w:t>
      </w:r>
      <w:r w:rsidR="00442A91" w:rsidRPr="00405303">
        <w:rPr>
          <w:bCs/>
          <w:i w:val="0"/>
          <w:color w:val="002060"/>
          <w:spacing w:val="0"/>
          <w:kern w:val="0"/>
          <w:position w:val="0"/>
          <w:sz w:val="16"/>
          <w:szCs w:val="16"/>
        </w:rPr>
        <w:t>у</w:t>
      </w:r>
      <w:r w:rsidRPr="00405303">
        <w:rPr>
          <w:bCs/>
          <w:i w:val="0"/>
          <w:color w:val="002060"/>
          <w:spacing w:val="0"/>
          <w:kern w:val="0"/>
          <w:position w:val="0"/>
          <w:sz w:val="16"/>
          <w:szCs w:val="16"/>
        </w:rPr>
        <w:t xml:space="preserve"> вместо частного еще одного казенного оружейного завода. </w:t>
      </w:r>
    </w:p>
    <w:p w14:paraId="24337F4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Здесь не приводятся все те предложения на постройку частного оружейного завода, которые делались военному ведомству или высшим правительственным учреждениям и лицам. Выполнение всех этих предложений было совершенно не по силам для их авторов, которые имели целью лишь одну наживу без малейшей гарантии как успеха дела, так и интересов казны (11483).</w:t>
      </w:r>
    </w:p>
    <w:p w14:paraId="66A786BC" w14:textId="77777777" w:rsidR="004B4E35" w:rsidRPr="00405303" w:rsidRDefault="004B4E35" w:rsidP="00C15251">
      <w:pPr>
        <w:pStyle w:val="a3"/>
        <w:jc w:val="both"/>
        <w:rPr>
          <w:bCs/>
          <w:i w:val="0"/>
          <w:color w:val="002060"/>
          <w:spacing w:val="0"/>
          <w:kern w:val="0"/>
          <w:position w:val="0"/>
          <w:sz w:val="16"/>
          <w:szCs w:val="16"/>
        </w:rPr>
      </w:pPr>
    </w:p>
    <w:p w14:paraId="43E8CB5D" w14:textId="198A5242" w:rsidR="00D00DBC" w:rsidRPr="00405303" w:rsidRDefault="00D00DBC" w:rsidP="00C15251">
      <w:pPr>
        <w:jc w:val="both"/>
        <w:rPr>
          <w:bCs/>
          <w:color w:val="002060"/>
          <w:sz w:val="16"/>
          <w:szCs w:val="16"/>
        </w:rPr>
      </w:pPr>
      <w:r w:rsidRPr="00405303">
        <w:rPr>
          <w:bCs/>
          <w:color w:val="002060"/>
          <w:sz w:val="16"/>
          <w:szCs w:val="16"/>
        </w:rPr>
        <w:t xml:space="preserve">29 октября </w:t>
      </w:r>
      <w:r w:rsidR="00442A91" w:rsidRPr="00405303">
        <w:rPr>
          <w:bCs/>
          <w:color w:val="002060"/>
          <w:sz w:val="16"/>
          <w:szCs w:val="16"/>
        </w:rPr>
        <w:t xml:space="preserve">(11 ноября) </w:t>
      </w:r>
      <w:r w:rsidRPr="00405303">
        <w:rPr>
          <w:bCs/>
          <w:color w:val="002060"/>
          <w:sz w:val="16"/>
          <w:szCs w:val="16"/>
        </w:rPr>
        <w:t>1915 г. Журналом особое совещания предусматривалась выдача предприятиям авансов в размере до 65% от стоимости заказа, если его выполнение было связано с приобретением нового оборудования. В случае если потребности в таком оборудовании не было, размер аванса устанавливался в размере 30%.</w:t>
      </w:r>
    </w:p>
    <w:p w14:paraId="54CE8C4B" w14:textId="77777777" w:rsidR="00D00DBC" w:rsidRPr="00405303" w:rsidRDefault="00D00DBC" w:rsidP="00C15251">
      <w:pPr>
        <w:jc w:val="both"/>
        <w:rPr>
          <w:bCs/>
          <w:color w:val="002060"/>
          <w:sz w:val="16"/>
          <w:szCs w:val="16"/>
        </w:rPr>
      </w:pPr>
      <w:r w:rsidRPr="00405303">
        <w:rPr>
          <w:bCs/>
          <w:color w:val="002060"/>
          <w:sz w:val="16"/>
          <w:szCs w:val="16"/>
        </w:rPr>
        <w:t>При этом право принятия решения предоставлялось Подготовительной комиссии по общим вопросам, которое затем утверждалось Председателем Особого совещания без вынесения вопроса на рассмотрение самого совещания.</w:t>
      </w:r>
    </w:p>
    <w:p w14:paraId="12E90D77" w14:textId="77777777" w:rsidR="00D00DBC" w:rsidRPr="00405303" w:rsidRDefault="00D00DBC" w:rsidP="00C15251">
      <w:pPr>
        <w:jc w:val="both"/>
        <w:rPr>
          <w:bCs/>
          <w:color w:val="002060"/>
          <w:sz w:val="16"/>
          <w:szCs w:val="16"/>
        </w:rPr>
      </w:pPr>
      <w:r w:rsidRPr="00405303">
        <w:rPr>
          <w:bCs/>
          <w:color w:val="002060"/>
          <w:sz w:val="16"/>
          <w:szCs w:val="16"/>
        </w:rPr>
        <w:t>Был упрощен порядок внесения предприятиями залогов, «обеспечивающих исправность поставок». Как правило, он вносился только тогда, когда сумма заказа превышала стоимостную оценку годовой производительности предприятия, указанную в свидетельстве, выдаваемом старшим фабричным инспектором. Хотя нередко органы Особого совещания шли навстречу интересам предпринимателей и в этом случае, освобождая их от залогов (18297).</w:t>
      </w:r>
    </w:p>
    <w:p w14:paraId="11B63725" w14:textId="77777777" w:rsidR="00D00DBC" w:rsidRPr="00405303" w:rsidRDefault="00D00DBC" w:rsidP="00C15251">
      <w:pPr>
        <w:jc w:val="both"/>
        <w:rPr>
          <w:bCs/>
          <w:color w:val="002060"/>
          <w:sz w:val="16"/>
          <w:szCs w:val="16"/>
        </w:rPr>
      </w:pPr>
    </w:p>
    <w:p w14:paraId="65F22573" w14:textId="1EFC4906" w:rsidR="00CD0E71" w:rsidRPr="00405303" w:rsidRDefault="00CD0E71" w:rsidP="00C15251">
      <w:pPr>
        <w:jc w:val="both"/>
        <w:rPr>
          <w:bCs/>
          <w:i/>
          <w:color w:val="002060"/>
          <w:sz w:val="16"/>
          <w:szCs w:val="16"/>
        </w:rPr>
      </w:pPr>
      <w:r w:rsidRPr="00405303">
        <w:rPr>
          <w:bCs/>
          <w:i/>
          <w:color w:val="002060"/>
          <w:sz w:val="16"/>
          <w:szCs w:val="16"/>
        </w:rPr>
        <w:lastRenderedPageBreak/>
        <w:t>Авиация:</w:t>
      </w:r>
    </w:p>
    <w:p w14:paraId="5A520E08" w14:textId="77777777" w:rsidR="00CD0E71" w:rsidRPr="00405303" w:rsidRDefault="00CD0E71" w:rsidP="00C15251">
      <w:pPr>
        <w:jc w:val="both"/>
        <w:rPr>
          <w:bCs/>
          <w:i/>
          <w:color w:val="002060"/>
          <w:sz w:val="16"/>
          <w:szCs w:val="16"/>
        </w:rPr>
      </w:pPr>
    </w:p>
    <w:p w14:paraId="7D330F3F" w14:textId="2319C292" w:rsidR="00477787" w:rsidRPr="00405303" w:rsidRDefault="00477787" w:rsidP="00C15251">
      <w:pPr>
        <w:jc w:val="both"/>
        <w:rPr>
          <w:bCs/>
          <w:color w:val="002060"/>
          <w:sz w:val="16"/>
          <w:szCs w:val="16"/>
        </w:rPr>
      </w:pPr>
      <w:r w:rsidRPr="00405303">
        <w:rPr>
          <w:bCs/>
          <w:color w:val="002060"/>
          <w:sz w:val="16"/>
          <w:szCs w:val="16"/>
          <w:lang w:bidi="en-US"/>
        </w:rPr>
        <w:t xml:space="preserve">29 октября (11 ноября) 1915 г. царь Николай </w:t>
      </w:r>
      <w:r w:rsidRPr="00405303">
        <w:rPr>
          <w:bCs/>
          <w:color w:val="002060"/>
          <w:sz w:val="16"/>
          <w:szCs w:val="16"/>
          <w:lang w:val="en-US" w:bidi="en-US"/>
        </w:rPr>
        <w:t>II</w:t>
      </w:r>
      <w:r w:rsidRPr="00405303">
        <w:rPr>
          <w:bCs/>
          <w:color w:val="002060"/>
          <w:sz w:val="16"/>
          <w:szCs w:val="16"/>
          <w:lang w:bidi="en-US"/>
        </w:rPr>
        <w:t xml:space="preserve"> и его сын Алексей, наследник престола, посетили Рижские земли. Находясь так близко к линии фронта, летчики 20-й КАО. во главе с есаулом В.М. Ткачевым, а другим частям было приказано патрулировать район в качестве охраны. Из-за ненастной погоды самолетов противника не наблюдалось (23525).</w:t>
      </w:r>
    </w:p>
    <w:p w14:paraId="2ADCF1A7" w14:textId="77777777" w:rsidR="00477787" w:rsidRPr="00405303" w:rsidRDefault="00477787" w:rsidP="00C15251">
      <w:pPr>
        <w:jc w:val="both"/>
        <w:rPr>
          <w:bCs/>
          <w:color w:val="002060"/>
          <w:sz w:val="16"/>
          <w:szCs w:val="16"/>
          <w:lang w:bidi="ru-RU"/>
        </w:rPr>
      </w:pPr>
    </w:p>
    <w:p w14:paraId="18F12AB1" w14:textId="28A6A4D2" w:rsidR="00CD0E71" w:rsidRPr="00405303" w:rsidRDefault="00CD0E71" w:rsidP="00C15251">
      <w:pPr>
        <w:jc w:val="both"/>
        <w:rPr>
          <w:bCs/>
          <w:color w:val="002060"/>
          <w:sz w:val="16"/>
          <w:szCs w:val="16"/>
        </w:rPr>
      </w:pPr>
      <w:r w:rsidRPr="00405303">
        <w:rPr>
          <w:bCs/>
          <w:color w:val="002060"/>
          <w:sz w:val="16"/>
          <w:szCs w:val="16"/>
        </w:rPr>
        <w:t xml:space="preserve">29 октября </w:t>
      </w:r>
      <w:r w:rsidR="00F32916" w:rsidRPr="00405303">
        <w:rPr>
          <w:bCs/>
          <w:color w:val="002060"/>
          <w:sz w:val="16"/>
          <w:szCs w:val="16"/>
        </w:rPr>
        <w:t xml:space="preserve">(11 ноября) </w:t>
      </w:r>
      <w:r w:rsidRPr="00405303">
        <w:rPr>
          <w:bCs/>
          <w:color w:val="002060"/>
          <w:sz w:val="16"/>
          <w:szCs w:val="16"/>
        </w:rPr>
        <w:t>1915 г. немецкая авиация бомбардировала позиции наших войск в районе Шлока (23405).</w:t>
      </w:r>
    </w:p>
    <w:p w14:paraId="76FF7D59" w14:textId="77777777" w:rsidR="00CD0E71" w:rsidRPr="00405303" w:rsidRDefault="00CD0E71" w:rsidP="00C15251">
      <w:pPr>
        <w:jc w:val="both"/>
        <w:rPr>
          <w:bCs/>
          <w:color w:val="002060"/>
          <w:sz w:val="16"/>
          <w:szCs w:val="16"/>
        </w:rPr>
      </w:pPr>
    </w:p>
    <w:p w14:paraId="4278B040" w14:textId="001642A7" w:rsidR="00CD0E71" w:rsidRPr="00405303" w:rsidRDefault="00CD0E71" w:rsidP="00C15251">
      <w:pPr>
        <w:jc w:val="both"/>
        <w:rPr>
          <w:bCs/>
          <w:color w:val="002060"/>
          <w:sz w:val="16"/>
          <w:szCs w:val="16"/>
        </w:rPr>
      </w:pPr>
      <w:bookmarkStart w:id="291" w:name="bookmark306"/>
      <w:bookmarkStart w:id="292" w:name="bookmark307"/>
      <w:r w:rsidRPr="00405303">
        <w:rPr>
          <w:bCs/>
          <w:color w:val="002060"/>
          <w:sz w:val="16"/>
          <w:szCs w:val="16"/>
        </w:rPr>
        <w:t xml:space="preserve">29 октября </w:t>
      </w:r>
      <w:r w:rsidR="00F32916" w:rsidRPr="00405303">
        <w:rPr>
          <w:bCs/>
          <w:color w:val="002060"/>
          <w:sz w:val="16"/>
          <w:szCs w:val="16"/>
        </w:rPr>
        <w:t xml:space="preserve">(11 ноября) </w:t>
      </w:r>
      <w:r w:rsidRPr="00405303">
        <w:rPr>
          <w:bCs/>
          <w:color w:val="002060"/>
          <w:sz w:val="16"/>
          <w:szCs w:val="16"/>
        </w:rPr>
        <w:t>1915 в районе Городище (к югу от Барановичей) огнем нашей артиллерии был подбит германский самолет, упавший в расположении русских войск. Летчик и наблюдатель попали в плен. 7 ноября в Минском районе наши артиллеристы сбили немецкий аэроплан. Экипаж при падении погиб (23405).</w:t>
      </w:r>
      <w:bookmarkEnd w:id="291"/>
      <w:bookmarkEnd w:id="292"/>
    </w:p>
    <w:p w14:paraId="2B0E56E6" w14:textId="77777777" w:rsidR="00CD0E71" w:rsidRPr="00405303" w:rsidRDefault="00CD0E71" w:rsidP="00C15251">
      <w:pPr>
        <w:jc w:val="both"/>
        <w:rPr>
          <w:bCs/>
          <w:color w:val="002060"/>
          <w:sz w:val="16"/>
          <w:szCs w:val="16"/>
        </w:rPr>
      </w:pPr>
    </w:p>
    <w:p w14:paraId="166E40AA" w14:textId="1593989A" w:rsidR="00D00DBC" w:rsidRPr="00405303" w:rsidRDefault="00D00DBC" w:rsidP="00C15251">
      <w:pPr>
        <w:jc w:val="both"/>
        <w:rPr>
          <w:bCs/>
          <w:i/>
          <w:color w:val="002060"/>
          <w:sz w:val="16"/>
          <w:szCs w:val="16"/>
        </w:rPr>
      </w:pPr>
      <w:r w:rsidRPr="00405303">
        <w:rPr>
          <w:bCs/>
          <w:i/>
          <w:color w:val="002060"/>
          <w:sz w:val="16"/>
          <w:szCs w:val="16"/>
        </w:rPr>
        <w:t>За рубежом:</w:t>
      </w:r>
    </w:p>
    <w:p w14:paraId="1EB37268" w14:textId="77777777" w:rsidR="00D00DBC" w:rsidRPr="00405303" w:rsidRDefault="00D00DBC" w:rsidP="00C15251">
      <w:pPr>
        <w:jc w:val="both"/>
        <w:rPr>
          <w:bCs/>
          <w:color w:val="002060"/>
          <w:sz w:val="16"/>
          <w:szCs w:val="16"/>
        </w:rPr>
      </w:pPr>
    </w:p>
    <w:p w14:paraId="6538BF8B" w14:textId="304C2DE1" w:rsidR="00D00DBC" w:rsidRPr="00405303" w:rsidRDefault="00D00DBC" w:rsidP="00C15251">
      <w:pPr>
        <w:jc w:val="both"/>
        <w:rPr>
          <w:bCs/>
          <w:color w:val="002060"/>
          <w:sz w:val="16"/>
          <w:szCs w:val="16"/>
        </w:rPr>
      </w:pPr>
      <w:r w:rsidRPr="00405303">
        <w:rPr>
          <w:rStyle w:val="ucoz-forum-post"/>
          <w:bCs/>
          <w:color w:val="002060"/>
          <w:sz w:val="16"/>
          <w:szCs w:val="16"/>
        </w:rPr>
        <w:t>29 октября (1</w:t>
      </w:r>
      <w:r w:rsidR="00442A91" w:rsidRPr="00405303">
        <w:rPr>
          <w:rStyle w:val="ucoz-forum-post"/>
          <w:bCs/>
          <w:color w:val="002060"/>
          <w:sz w:val="16"/>
          <w:szCs w:val="16"/>
        </w:rPr>
        <w:t>1</w:t>
      </w:r>
      <w:r w:rsidRPr="00405303">
        <w:rPr>
          <w:rStyle w:val="ucoz-forum-post"/>
          <w:bCs/>
          <w:color w:val="002060"/>
          <w:sz w:val="16"/>
          <w:szCs w:val="16"/>
        </w:rPr>
        <w:t xml:space="preserve"> ноября) </w:t>
      </w:r>
      <w:r w:rsidRPr="00405303">
        <w:rPr>
          <w:bCs/>
          <w:color w:val="002060"/>
          <w:sz w:val="16"/>
          <w:szCs w:val="16"/>
        </w:rPr>
        <w:t xml:space="preserve">в 1915 году </w:t>
      </w:r>
      <w:r w:rsidR="00442A91" w:rsidRPr="00405303">
        <w:rPr>
          <w:bCs/>
          <w:color w:val="002060"/>
          <w:sz w:val="16"/>
          <w:szCs w:val="16"/>
        </w:rPr>
        <w:t xml:space="preserve">началось </w:t>
      </w:r>
      <w:r w:rsidRPr="00405303">
        <w:rPr>
          <w:bCs/>
          <w:color w:val="002060"/>
          <w:sz w:val="16"/>
          <w:szCs w:val="16"/>
        </w:rPr>
        <w:t>четвертое сражение на Исонцо (до 2 декабря) (14826).</w:t>
      </w:r>
    </w:p>
    <w:p w14:paraId="4D192770" w14:textId="77777777" w:rsidR="00D00DBC" w:rsidRPr="00405303" w:rsidRDefault="00D00DBC" w:rsidP="00C15251">
      <w:pPr>
        <w:jc w:val="both"/>
        <w:rPr>
          <w:bCs/>
          <w:color w:val="002060"/>
          <w:sz w:val="16"/>
          <w:szCs w:val="16"/>
        </w:rPr>
      </w:pPr>
    </w:p>
    <w:p w14:paraId="2C19BB14" w14:textId="77777777" w:rsidR="00D979C5" w:rsidRPr="00405303" w:rsidRDefault="00D979C5" w:rsidP="00D979C5">
      <w:pPr>
        <w:jc w:val="both"/>
        <w:rPr>
          <w:bCs/>
          <w:i/>
          <w:color w:val="002060"/>
          <w:sz w:val="16"/>
          <w:szCs w:val="16"/>
        </w:rPr>
      </w:pPr>
      <w:r w:rsidRPr="00405303">
        <w:rPr>
          <w:bCs/>
          <w:i/>
          <w:color w:val="002060"/>
          <w:sz w:val="16"/>
          <w:szCs w:val="16"/>
        </w:rPr>
        <w:t>Авиация:</w:t>
      </w:r>
    </w:p>
    <w:p w14:paraId="722AADF4" w14:textId="77777777" w:rsidR="00D979C5" w:rsidRPr="00405303" w:rsidRDefault="00D979C5" w:rsidP="00D979C5">
      <w:pPr>
        <w:jc w:val="both"/>
        <w:rPr>
          <w:bCs/>
          <w:i/>
          <w:color w:val="002060"/>
          <w:sz w:val="16"/>
          <w:szCs w:val="16"/>
        </w:rPr>
      </w:pPr>
    </w:p>
    <w:p w14:paraId="50DF9F3E" w14:textId="77777777" w:rsidR="00D979C5" w:rsidRPr="00B52707" w:rsidRDefault="00D979C5" w:rsidP="00D979C5">
      <w:pPr>
        <w:jc w:val="both"/>
        <w:rPr>
          <w:color w:val="0070C0"/>
          <w:sz w:val="16"/>
          <w:szCs w:val="16"/>
        </w:rPr>
      </w:pPr>
      <w:r w:rsidRPr="00B52707">
        <w:rPr>
          <w:rStyle w:val="aa"/>
          <w:rFonts w:ascii="Times New Roman" w:hAnsi="Times New Roman"/>
          <w:color w:val="0070C0"/>
          <w:spacing w:val="0"/>
          <w:sz w:val="16"/>
          <w:szCs w:val="16"/>
        </w:rPr>
        <w:t>В 20-х числах октября 1915 г. в полосе Юго-Западного фронта русский летчик во время очередного боевого вылета настиг неприятельский летательный аппарат у ст. Мамалыга, обстрелял его «почти в упор, после чего противник накренился и отвесно полетел вниз над румынской территорией» (25135).</w:t>
      </w:r>
    </w:p>
    <w:p w14:paraId="2DECFCCB" w14:textId="77777777" w:rsidR="00D979C5" w:rsidRPr="00B52707" w:rsidRDefault="00D979C5" w:rsidP="00D979C5">
      <w:pPr>
        <w:jc w:val="both"/>
        <w:rPr>
          <w:rStyle w:val="aa"/>
          <w:rFonts w:ascii="Times New Roman" w:hAnsi="Times New Roman"/>
          <w:color w:val="0070C0"/>
          <w:spacing w:val="0"/>
          <w:sz w:val="16"/>
          <w:szCs w:val="16"/>
        </w:rPr>
      </w:pPr>
    </w:p>
    <w:p w14:paraId="590ADBC3"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109DAD25" w14:textId="77777777" w:rsidR="004B4E35" w:rsidRPr="00405303" w:rsidRDefault="004B4E35" w:rsidP="00C15251">
      <w:pPr>
        <w:shd w:val="clear" w:color="auto" w:fill="FFFFFF"/>
        <w:jc w:val="both"/>
        <w:rPr>
          <w:bCs/>
          <w:i/>
          <w:color w:val="002060"/>
          <w:sz w:val="16"/>
          <w:szCs w:val="16"/>
        </w:rPr>
      </w:pPr>
    </w:p>
    <w:p w14:paraId="0C082E19" w14:textId="49CB4A9A"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30 октября (12 ноября) 1915 г. план постройки прототипа аэроглиссера </w:t>
      </w:r>
      <w:r w:rsidR="00442A91" w:rsidRPr="00405303">
        <w:rPr>
          <w:bCs/>
          <w:color w:val="002060"/>
          <w:sz w:val="16"/>
          <w:szCs w:val="16"/>
        </w:rPr>
        <w:t xml:space="preserve">И. И. Голенищева-Кутузова </w:t>
      </w:r>
      <w:r w:rsidRPr="00405303">
        <w:rPr>
          <w:bCs/>
          <w:color w:val="002060"/>
          <w:sz w:val="16"/>
          <w:szCs w:val="16"/>
        </w:rPr>
        <w:t>получил одобрение Морского министра И. К. Григоровича (2807).</w:t>
      </w:r>
    </w:p>
    <w:p w14:paraId="30DD3DC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 предварительным расчетам инженеров, торпедонесущий аэроглиссер представлялся двухмо</w:t>
      </w:r>
      <w:r w:rsidRPr="00405303">
        <w:rPr>
          <w:bCs/>
          <w:color w:val="002060"/>
          <w:sz w:val="16"/>
          <w:szCs w:val="16"/>
        </w:rPr>
        <w:softHyphen/>
        <w:t>торным двух- или трехместным аппаратом, состоявшим из двух больших длинных поплавков объемом около 7 тыс. литров каждый, несших на себе на носу и в корме две неодинакового размаха бипланные коробки крыльев. Соединенные еще посредством поперечных ферм, в нижней части понтоны оснащались водными крыльями, должными сообщать машине грузоподъемность не менее 1 тыс. 200 кг, а потому полезная нагрузка (специальное оборудование и вооружение) могла достигать 1 тыс. кг, при полном весе 3 тыс. 900-4 тыс. кг (включая экипаж из трех человек и запасы топлива и масла на 3 часа хода на полной скорости). Аэропланного типа гондола экипажа находилась в задней части, перед вторым двигателем. Что касалось поверхностей управления, то, очевидно, в данном вопросе мнение создателей не отлича</w:t>
      </w:r>
      <w:r w:rsidRPr="00405303">
        <w:rPr>
          <w:bCs/>
          <w:color w:val="002060"/>
          <w:sz w:val="16"/>
          <w:szCs w:val="16"/>
        </w:rPr>
        <w:softHyphen/>
        <w:t>лось достаточной ясностью: собираясь обойтись без привычных рулей высоты, они вместе с тем допуска</w:t>
      </w:r>
      <w:r w:rsidRPr="00405303">
        <w:rPr>
          <w:bCs/>
          <w:color w:val="002060"/>
          <w:sz w:val="16"/>
          <w:szCs w:val="16"/>
        </w:rPr>
        <w:softHyphen/>
        <w:t>ли возможность установки воздушного руля или рулей поворота на задней коробке крыльев. Два «Сальмсона» по 140 л. с. — передний тянущий, а задний толкающий, виделись в качестве силового агрегата аэроглиссера, располагаясь между центропланами крыльев; шаг толкающего винта предполагали сде</w:t>
      </w:r>
      <w:r w:rsidRPr="00405303">
        <w:rPr>
          <w:bCs/>
          <w:color w:val="002060"/>
          <w:sz w:val="16"/>
          <w:szCs w:val="16"/>
        </w:rPr>
        <w:softHyphen/>
        <w:t>лать большим, чем шаг тянущего. Представители компании вынужденно заявили, однако, что «по усло</w:t>
      </w:r>
      <w:r w:rsidRPr="00405303">
        <w:rPr>
          <w:bCs/>
          <w:color w:val="002060"/>
          <w:sz w:val="16"/>
          <w:szCs w:val="16"/>
        </w:rPr>
        <w:softHyphen/>
        <w:t>виям, в которых протекает в настоящее время работа на заводе Товарищества, не представляется воз</w:t>
      </w:r>
      <w:r w:rsidRPr="00405303">
        <w:rPr>
          <w:bCs/>
          <w:color w:val="002060"/>
          <w:sz w:val="16"/>
          <w:szCs w:val="16"/>
        </w:rPr>
        <w:softHyphen/>
        <w:t>можным ставить какие-либо опыты для определения величины водных сопротивлений аппарата, теоре</w:t>
      </w:r>
      <w:r w:rsidRPr="00405303">
        <w:rPr>
          <w:bCs/>
          <w:color w:val="002060"/>
          <w:sz w:val="16"/>
          <w:szCs w:val="16"/>
        </w:rPr>
        <w:softHyphen/>
        <w:t>тически же эти величины могут быть вычислены только с тем большим приближением, которое определя</w:t>
      </w:r>
      <w:r w:rsidRPr="00405303">
        <w:rPr>
          <w:bCs/>
          <w:color w:val="002060"/>
          <w:sz w:val="16"/>
          <w:szCs w:val="16"/>
        </w:rPr>
        <w:softHyphen/>
        <w:t>ет уже только порядок величины, известный уже из конструкций, выполненных в этой области и лежащий в пределах взятых весов и мощностей &lt;...&gt; Детали и изменения конструкции будут выясняться по мере постройки &lt;...»&gt; (2807).</w:t>
      </w:r>
    </w:p>
    <w:p w14:paraId="32974306" w14:textId="77777777" w:rsidR="004B4E35" w:rsidRPr="00405303" w:rsidRDefault="004B4E35" w:rsidP="00C15251">
      <w:pPr>
        <w:shd w:val="clear" w:color="auto" w:fill="FFFFFF"/>
        <w:jc w:val="both"/>
        <w:rPr>
          <w:bCs/>
          <w:color w:val="002060"/>
          <w:sz w:val="16"/>
          <w:szCs w:val="16"/>
        </w:rPr>
      </w:pPr>
    </w:p>
    <w:p w14:paraId="6FF30735" w14:textId="10E1C16F" w:rsidR="004B4E35" w:rsidRPr="00405303" w:rsidRDefault="009E6F82" w:rsidP="00C15251">
      <w:pPr>
        <w:jc w:val="both"/>
        <w:rPr>
          <w:bCs/>
          <w:color w:val="002060"/>
          <w:sz w:val="16"/>
          <w:szCs w:val="16"/>
        </w:rPr>
      </w:pPr>
      <w:r w:rsidRPr="00405303">
        <w:rPr>
          <w:bCs/>
          <w:color w:val="002060"/>
          <w:sz w:val="16"/>
          <w:szCs w:val="16"/>
        </w:rPr>
        <w:t xml:space="preserve">30 октября </w:t>
      </w:r>
      <w:r w:rsidR="00442A91" w:rsidRPr="00405303">
        <w:rPr>
          <w:bCs/>
          <w:color w:val="002060"/>
          <w:sz w:val="16"/>
          <w:szCs w:val="16"/>
        </w:rPr>
        <w:t xml:space="preserve">(12 ноября) </w:t>
      </w:r>
      <w:r w:rsidRPr="00405303">
        <w:rPr>
          <w:bCs/>
          <w:color w:val="002060"/>
          <w:sz w:val="16"/>
          <w:szCs w:val="16"/>
        </w:rPr>
        <w:t>1915 г. начальник Морского генерального штаба ка</w:t>
      </w:r>
      <w:r w:rsidRPr="00405303">
        <w:rPr>
          <w:bCs/>
          <w:color w:val="002060"/>
          <w:sz w:val="16"/>
          <w:szCs w:val="16"/>
        </w:rPr>
        <w:softHyphen/>
        <w:t>питан 1 ранга Капнист в докладе морскому министру обосновывает необходимость иметь собственный опытный авиационный завод морс</w:t>
      </w:r>
      <w:r w:rsidRPr="00405303">
        <w:rPr>
          <w:bCs/>
          <w:color w:val="002060"/>
          <w:sz w:val="16"/>
          <w:szCs w:val="16"/>
        </w:rPr>
        <w:softHyphen/>
        <w:t>кого ведомства, руководствуясь сле</w:t>
      </w:r>
      <w:r w:rsidRPr="00405303">
        <w:rPr>
          <w:bCs/>
          <w:color w:val="002060"/>
          <w:sz w:val="16"/>
          <w:szCs w:val="16"/>
        </w:rPr>
        <w:softHyphen/>
        <w:t>дующими соображениями:</w:t>
      </w:r>
    </w:p>
    <w:p w14:paraId="596867C6" w14:textId="77777777" w:rsidR="004B4E35" w:rsidRPr="00405303" w:rsidRDefault="009E6F82" w:rsidP="00C15251">
      <w:pPr>
        <w:jc w:val="both"/>
        <w:rPr>
          <w:bCs/>
          <w:color w:val="002060"/>
          <w:sz w:val="16"/>
          <w:szCs w:val="16"/>
        </w:rPr>
      </w:pPr>
      <w:r w:rsidRPr="00405303">
        <w:rPr>
          <w:bCs/>
          <w:color w:val="002060"/>
          <w:sz w:val="16"/>
          <w:szCs w:val="16"/>
        </w:rPr>
        <w:t>«Опыт текущей войны и непре</w:t>
      </w:r>
      <w:r w:rsidRPr="00405303">
        <w:rPr>
          <w:bCs/>
          <w:color w:val="002060"/>
          <w:sz w:val="16"/>
          <w:szCs w:val="16"/>
        </w:rPr>
        <w:softHyphen/>
        <w:t>рывный рост гидроавиации обоих морей ставят на очередь целый ряд новых задач, к разрешению кото</w:t>
      </w:r>
      <w:r w:rsidRPr="00405303">
        <w:rPr>
          <w:bCs/>
          <w:color w:val="002060"/>
          <w:sz w:val="16"/>
          <w:szCs w:val="16"/>
        </w:rPr>
        <w:softHyphen/>
        <w:t>рых необходимо приступить в бли</w:t>
      </w:r>
      <w:r w:rsidRPr="00405303">
        <w:rPr>
          <w:bCs/>
          <w:color w:val="002060"/>
          <w:sz w:val="16"/>
          <w:szCs w:val="16"/>
        </w:rPr>
        <w:softHyphen/>
        <w:t>жайшем будущем. Из них главными задачами являются: I) Скорое и возможно полное снабжение гид</w:t>
      </w:r>
      <w:r w:rsidRPr="00405303">
        <w:rPr>
          <w:bCs/>
          <w:color w:val="002060"/>
          <w:sz w:val="16"/>
          <w:szCs w:val="16"/>
        </w:rPr>
        <w:softHyphen/>
        <w:t>роавиации материальной частью. 2) Создание новых типов аппара</w:t>
      </w:r>
      <w:r w:rsidRPr="00405303">
        <w:rPr>
          <w:bCs/>
          <w:color w:val="002060"/>
          <w:sz w:val="16"/>
          <w:szCs w:val="16"/>
        </w:rPr>
        <w:softHyphen/>
        <w:t>тов, удовлетворяющих тактическим требованиям каждого из морей. Отечественный рынок и промышлен</w:t>
      </w:r>
      <w:r w:rsidRPr="00405303">
        <w:rPr>
          <w:bCs/>
          <w:color w:val="002060"/>
          <w:sz w:val="16"/>
          <w:szCs w:val="16"/>
        </w:rPr>
        <w:softHyphen/>
        <w:t>ность, как показал ближайший опыт войны, оказались не на высоте, и снабжение гидроавиации техникой было сопряжено с большими труд</w:t>
      </w:r>
      <w:r w:rsidRPr="00405303">
        <w:rPr>
          <w:bCs/>
          <w:color w:val="002060"/>
          <w:sz w:val="16"/>
          <w:szCs w:val="16"/>
        </w:rPr>
        <w:softHyphen/>
        <w:t>ностями, не говоря уже о том, что при этом цены на все нужные для авиации предметы подняты до край</w:t>
      </w:r>
      <w:r w:rsidRPr="00405303">
        <w:rPr>
          <w:bCs/>
          <w:color w:val="002060"/>
          <w:sz w:val="16"/>
          <w:szCs w:val="16"/>
        </w:rPr>
        <w:softHyphen/>
        <w:t>них пределов. Вместе с тем отсут</w:t>
      </w:r>
      <w:r w:rsidRPr="00405303">
        <w:rPr>
          <w:bCs/>
          <w:color w:val="002060"/>
          <w:sz w:val="16"/>
          <w:szCs w:val="16"/>
        </w:rPr>
        <w:softHyphen/>
        <w:t>ствие воздухоплавательного скла</w:t>
      </w:r>
      <w:r w:rsidRPr="00405303">
        <w:rPr>
          <w:bCs/>
          <w:color w:val="002060"/>
          <w:sz w:val="16"/>
          <w:szCs w:val="16"/>
        </w:rPr>
        <w:softHyphen/>
        <w:t>да делает чрезвычайно сложным учёт и передачу по документам аппаратов, моторов, материалов и приборов для отечественного про</w:t>
      </w:r>
      <w:r w:rsidRPr="00405303">
        <w:rPr>
          <w:bCs/>
          <w:color w:val="002060"/>
          <w:sz w:val="16"/>
          <w:szCs w:val="16"/>
        </w:rPr>
        <w:softHyphen/>
        <w:t>изводства, так и получаемых из заг</w:t>
      </w:r>
      <w:r w:rsidRPr="00405303">
        <w:rPr>
          <w:bCs/>
          <w:color w:val="002060"/>
          <w:sz w:val="16"/>
          <w:szCs w:val="16"/>
        </w:rPr>
        <w:softHyphen/>
        <w:t>раницы. Что же касается создания новых типов аппаратов, благодаря пожеланию некоторых заводов идти навстречу морскому ведомству, таковые вырабатываются, но очень медленно, с относительно больши</w:t>
      </w:r>
      <w:r w:rsidRPr="00405303">
        <w:rPr>
          <w:bCs/>
          <w:color w:val="002060"/>
          <w:sz w:val="16"/>
          <w:szCs w:val="16"/>
        </w:rPr>
        <w:softHyphen/>
        <w:t>ми затратами и без всяких гаран</w:t>
      </w:r>
      <w:r w:rsidRPr="00405303">
        <w:rPr>
          <w:bCs/>
          <w:color w:val="002060"/>
          <w:sz w:val="16"/>
          <w:szCs w:val="16"/>
        </w:rPr>
        <w:softHyphen/>
        <w:t>тий сохранения военной тайны».</w:t>
      </w:r>
    </w:p>
    <w:p w14:paraId="156209F3" w14:textId="77777777" w:rsidR="004B4E35" w:rsidRPr="00405303" w:rsidRDefault="009E6F82" w:rsidP="00C15251">
      <w:pPr>
        <w:jc w:val="both"/>
        <w:rPr>
          <w:bCs/>
          <w:color w:val="002060"/>
          <w:sz w:val="16"/>
          <w:szCs w:val="16"/>
        </w:rPr>
      </w:pPr>
      <w:r w:rsidRPr="00405303">
        <w:rPr>
          <w:bCs/>
          <w:color w:val="002060"/>
          <w:sz w:val="16"/>
          <w:szCs w:val="16"/>
        </w:rPr>
        <w:t>В состав завода предполагалось включить: небольшие мастерские, опытное отделение, состоящее из аэродинамической лаборатории, лаборатории легких двигателей и КБ, склад авиационного имущества. Определили и место для завода (территория Гребного канала), а также штат в 150-200 человек. Все расходы по постройке предполага</w:t>
      </w:r>
      <w:r w:rsidRPr="00405303">
        <w:rPr>
          <w:bCs/>
          <w:color w:val="002060"/>
          <w:sz w:val="16"/>
          <w:szCs w:val="16"/>
        </w:rPr>
        <w:softHyphen/>
        <w:t>лось отнести на 1916 г. Морской министр распорядился срочно об</w:t>
      </w:r>
      <w:r w:rsidRPr="00405303">
        <w:rPr>
          <w:bCs/>
          <w:color w:val="002060"/>
          <w:sz w:val="16"/>
          <w:szCs w:val="16"/>
        </w:rPr>
        <w:softHyphen/>
        <w:t>разовать комиссию под председа</w:t>
      </w:r>
      <w:r w:rsidRPr="00405303">
        <w:rPr>
          <w:bCs/>
          <w:color w:val="002060"/>
          <w:sz w:val="16"/>
          <w:szCs w:val="16"/>
        </w:rPr>
        <w:softHyphen/>
        <w:t>тельством помощника морского министра, но последующие собы</w:t>
      </w:r>
      <w:r w:rsidRPr="00405303">
        <w:rPr>
          <w:bCs/>
          <w:color w:val="002060"/>
          <w:sz w:val="16"/>
          <w:szCs w:val="16"/>
        </w:rPr>
        <w:softHyphen/>
        <w:t>тия показали, что решение оказа</w:t>
      </w:r>
      <w:r w:rsidRPr="00405303">
        <w:rPr>
          <w:bCs/>
          <w:color w:val="002060"/>
          <w:sz w:val="16"/>
          <w:szCs w:val="16"/>
        </w:rPr>
        <w:softHyphen/>
        <w:t>лось запоздалым.</w:t>
      </w:r>
    </w:p>
    <w:p w14:paraId="6D245BC8" w14:textId="77777777" w:rsidR="004B4E35" w:rsidRPr="00405303" w:rsidRDefault="009E6F82" w:rsidP="00C15251">
      <w:pPr>
        <w:jc w:val="both"/>
        <w:rPr>
          <w:bCs/>
          <w:color w:val="002060"/>
          <w:sz w:val="16"/>
          <w:szCs w:val="16"/>
        </w:rPr>
      </w:pPr>
      <w:r w:rsidRPr="00405303">
        <w:rPr>
          <w:bCs/>
          <w:color w:val="002060"/>
          <w:sz w:val="16"/>
          <w:szCs w:val="16"/>
        </w:rPr>
        <w:t>В течение 1915 г. и первой по</w:t>
      </w:r>
      <w:r w:rsidRPr="00405303">
        <w:rPr>
          <w:bCs/>
          <w:color w:val="002060"/>
          <w:sz w:val="16"/>
          <w:szCs w:val="16"/>
        </w:rPr>
        <w:softHyphen/>
        <w:t>ловины 1916 г. между Морским и Военным министерствами с привле</w:t>
      </w:r>
      <w:r w:rsidRPr="00405303">
        <w:rPr>
          <w:bCs/>
          <w:color w:val="002060"/>
          <w:sz w:val="16"/>
          <w:szCs w:val="16"/>
        </w:rPr>
        <w:softHyphen/>
        <w:t>чением директоров самолетострои</w:t>
      </w:r>
      <w:r w:rsidRPr="00405303">
        <w:rPr>
          <w:bCs/>
          <w:color w:val="002060"/>
          <w:sz w:val="16"/>
          <w:szCs w:val="16"/>
        </w:rPr>
        <w:softHyphen/>
        <w:t>тельных заводов велись переговоры (11872).</w:t>
      </w:r>
    </w:p>
    <w:p w14:paraId="26E203D0" w14:textId="77777777" w:rsidR="004B4E35" w:rsidRPr="00405303" w:rsidRDefault="004B4E35" w:rsidP="00C15251">
      <w:pPr>
        <w:jc w:val="both"/>
        <w:rPr>
          <w:bCs/>
          <w:color w:val="002060"/>
          <w:sz w:val="16"/>
          <w:szCs w:val="16"/>
        </w:rPr>
      </w:pPr>
    </w:p>
    <w:p w14:paraId="4EF98619" w14:textId="77777777" w:rsidR="004B4E35" w:rsidRPr="00405303" w:rsidRDefault="009E6F82" w:rsidP="00C15251">
      <w:pPr>
        <w:jc w:val="both"/>
        <w:rPr>
          <w:rStyle w:val="11"/>
          <w:b w:val="0"/>
          <w:bCs/>
          <w:i/>
          <w:color w:val="002060"/>
          <w:sz w:val="16"/>
          <w:szCs w:val="16"/>
        </w:rPr>
      </w:pPr>
      <w:r w:rsidRPr="00405303">
        <w:rPr>
          <w:rStyle w:val="11"/>
          <w:b w:val="0"/>
          <w:bCs/>
          <w:i/>
          <w:color w:val="002060"/>
          <w:sz w:val="16"/>
          <w:szCs w:val="16"/>
        </w:rPr>
        <w:t>Другие оборонные отрасли:</w:t>
      </w:r>
    </w:p>
    <w:p w14:paraId="559A475F" w14:textId="77777777" w:rsidR="004B4E35" w:rsidRPr="00405303" w:rsidRDefault="004B4E35" w:rsidP="00C15251">
      <w:pPr>
        <w:jc w:val="both"/>
        <w:rPr>
          <w:rStyle w:val="11"/>
          <w:b w:val="0"/>
          <w:bCs/>
          <w:i/>
          <w:color w:val="002060"/>
          <w:sz w:val="16"/>
          <w:szCs w:val="16"/>
        </w:rPr>
      </w:pPr>
    </w:p>
    <w:p w14:paraId="1AB0DCA2" w14:textId="34523800" w:rsidR="004B4E35" w:rsidRPr="00405303" w:rsidRDefault="009E6F82" w:rsidP="00C15251">
      <w:pPr>
        <w:jc w:val="both"/>
        <w:rPr>
          <w:bCs/>
          <w:color w:val="002060"/>
          <w:sz w:val="16"/>
          <w:szCs w:val="16"/>
        </w:rPr>
      </w:pPr>
      <w:r w:rsidRPr="00405303">
        <w:rPr>
          <w:bCs/>
          <w:color w:val="002060"/>
          <w:sz w:val="16"/>
          <w:szCs w:val="16"/>
        </w:rPr>
        <w:t xml:space="preserve">30 октября (12 ноября) 1915 г. </w:t>
      </w:r>
      <w:r w:rsidR="00442A91" w:rsidRPr="00405303">
        <w:rPr>
          <w:bCs/>
          <w:color w:val="002060"/>
          <w:sz w:val="16"/>
          <w:szCs w:val="16"/>
        </w:rPr>
        <w:t xml:space="preserve">Представление Военного министерства о дальнейших ассигнованиях на постройку трубочного завода в Пензе (3,1 млн руб.) </w:t>
      </w:r>
      <w:r w:rsidRPr="00405303">
        <w:rPr>
          <w:bCs/>
          <w:color w:val="002060"/>
          <w:sz w:val="16"/>
          <w:szCs w:val="16"/>
        </w:rPr>
        <w:t>было одобрено Думой, Государственным советом и 7 апреля 1916 г. утверждено царем, т.е. стало законом (РГВИА. Ф. 29. Оп. 3. Д. 262. Л. 16. Доклад Комиссии по военным и морским делам № 187б; СУ. 1916. Ст. 867) (11329).</w:t>
      </w:r>
    </w:p>
    <w:p w14:paraId="0E0CF385" w14:textId="77777777" w:rsidR="004B4E35" w:rsidRPr="00405303" w:rsidRDefault="004B4E35" w:rsidP="00C15251">
      <w:pPr>
        <w:shd w:val="clear" w:color="auto" w:fill="FFFFFF"/>
        <w:jc w:val="both"/>
        <w:rPr>
          <w:bCs/>
          <w:i/>
          <w:color w:val="002060"/>
          <w:sz w:val="16"/>
          <w:szCs w:val="16"/>
        </w:rPr>
      </w:pPr>
    </w:p>
    <w:p w14:paraId="21E6DF6E" w14:textId="67051600" w:rsidR="00D00DBC" w:rsidRPr="00405303" w:rsidRDefault="00D00DBC" w:rsidP="00C15251">
      <w:pPr>
        <w:jc w:val="both"/>
        <w:rPr>
          <w:bCs/>
          <w:color w:val="002060"/>
          <w:sz w:val="16"/>
          <w:szCs w:val="16"/>
        </w:rPr>
      </w:pPr>
      <w:r w:rsidRPr="00405303">
        <w:rPr>
          <w:bCs/>
          <w:color w:val="002060"/>
          <w:sz w:val="16"/>
          <w:szCs w:val="16"/>
        </w:rPr>
        <w:t>30 октября (1</w:t>
      </w:r>
      <w:r w:rsidR="00442A91" w:rsidRPr="00405303">
        <w:rPr>
          <w:bCs/>
          <w:color w:val="002060"/>
          <w:sz w:val="16"/>
          <w:szCs w:val="16"/>
        </w:rPr>
        <w:t>2</w:t>
      </w:r>
      <w:r w:rsidRPr="00405303">
        <w:rPr>
          <w:bCs/>
          <w:color w:val="002060"/>
          <w:sz w:val="16"/>
          <w:szCs w:val="16"/>
        </w:rPr>
        <w:t xml:space="preserve"> ноября) 1915 г. вступление Болгарии в войну на стороне Тройственного союза позволило немцам построить ещё один ангар для цеппелинов в местечке Ямболи, рас</w:t>
      </w:r>
      <w:r w:rsidRPr="00405303">
        <w:rPr>
          <w:bCs/>
          <w:color w:val="002060"/>
          <w:sz w:val="16"/>
          <w:szCs w:val="16"/>
        </w:rPr>
        <w:softHyphen/>
        <w:t>положенном в 80 км к западу от черноморского порта Бургас. Отсюда германские дири</w:t>
      </w:r>
      <w:r w:rsidRPr="00405303">
        <w:rPr>
          <w:bCs/>
          <w:color w:val="002060"/>
          <w:sz w:val="16"/>
          <w:szCs w:val="16"/>
        </w:rPr>
        <w:softHyphen/>
        <w:t>жабли могли угрожать не только десанту союзников в Дарданеллах, но и русским портам Чёрного моря (15972).</w:t>
      </w:r>
    </w:p>
    <w:p w14:paraId="31163596" w14:textId="77777777" w:rsidR="00D00DBC" w:rsidRPr="00405303" w:rsidRDefault="00D00DBC" w:rsidP="00C15251">
      <w:pPr>
        <w:pStyle w:val="60"/>
        <w:shd w:val="clear" w:color="auto" w:fill="auto"/>
        <w:spacing w:line="240" w:lineRule="auto"/>
        <w:rPr>
          <w:bCs/>
          <w:color w:val="002060"/>
        </w:rPr>
      </w:pPr>
    </w:p>
    <w:p w14:paraId="1E212601" w14:textId="14910A53" w:rsidR="00F32916" w:rsidRPr="00405303" w:rsidRDefault="00F32916" w:rsidP="00C15251">
      <w:pPr>
        <w:jc w:val="both"/>
        <w:rPr>
          <w:bCs/>
          <w:i/>
          <w:color w:val="002060"/>
          <w:sz w:val="16"/>
          <w:szCs w:val="16"/>
        </w:rPr>
      </w:pPr>
      <w:r w:rsidRPr="00405303">
        <w:rPr>
          <w:bCs/>
          <w:i/>
          <w:color w:val="002060"/>
          <w:sz w:val="16"/>
          <w:szCs w:val="16"/>
        </w:rPr>
        <w:t>Авиация:</w:t>
      </w:r>
    </w:p>
    <w:p w14:paraId="54647AC8" w14:textId="77777777" w:rsidR="00F32916" w:rsidRPr="00405303" w:rsidRDefault="00F32916" w:rsidP="00C15251">
      <w:pPr>
        <w:jc w:val="both"/>
        <w:rPr>
          <w:bCs/>
          <w:i/>
          <w:color w:val="002060"/>
          <w:sz w:val="16"/>
          <w:szCs w:val="16"/>
        </w:rPr>
      </w:pPr>
    </w:p>
    <w:p w14:paraId="2DC733C8" w14:textId="05C187AE" w:rsidR="00F32916" w:rsidRPr="00405303" w:rsidRDefault="00F32916" w:rsidP="00C15251">
      <w:pPr>
        <w:jc w:val="both"/>
        <w:rPr>
          <w:bCs/>
          <w:color w:val="002060"/>
          <w:sz w:val="16"/>
          <w:szCs w:val="16"/>
        </w:rPr>
      </w:pPr>
      <w:r w:rsidRPr="00405303">
        <w:rPr>
          <w:bCs/>
          <w:color w:val="002060"/>
          <w:sz w:val="16"/>
          <w:szCs w:val="16"/>
        </w:rPr>
        <w:t>30 октября (12 ноября) 1915 г. противник вновь совершил на г. Рига воздушный налет. Взрывами бомб была убита пожилая женщина, ранено несколько детей. 31 октября воздушный налет повторился (без какого-либо вреда). В тот же день в Рижском заливе миноносец Балтийского флота захватил подбитый германский гидроаэроплан (экипаж при падении погиб, по другим данным - взят в плен) (23405).</w:t>
      </w:r>
    </w:p>
    <w:p w14:paraId="4E1A536D" w14:textId="77777777" w:rsidR="00F32916" w:rsidRPr="00405303" w:rsidRDefault="00F32916" w:rsidP="00C15251">
      <w:pPr>
        <w:jc w:val="both"/>
        <w:rPr>
          <w:bCs/>
          <w:color w:val="002060"/>
          <w:sz w:val="16"/>
          <w:szCs w:val="16"/>
        </w:rPr>
      </w:pPr>
    </w:p>
    <w:p w14:paraId="62FF5948" w14:textId="6CDFB106" w:rsidR="00F32916" w:rsidRPr="00405303" w:rsidRDefault="00F32916" w:rsidP="00C15251">
      <w:pPr>
        <w:jc w:val="both"/>
        <w:rPr>
          <w:bCs/>
          <w:color w:val="002060"/>
          <w:sz w:val="16"/>
          <w:szCs w:val="16"/>
        </w:rPr>
      </w:pPr>
      <w:r w:rsidRPr="00405303">
        <w:rPr>
          <w:bCs/>
          <w:color w:val="002060"/>
          <w:sz w:val="16"/>
          <w:szCs w:val="16"/>
        </w:rPr>
        <w:lastRenderedPageBreak/>
        <w:t>30 октября (12 ноября) 1915 г. к югу от г. Барановичи вблизи н/п Городище (Западный фронт) метким огнем полевой артиллерии подбит вражеский аэроплан, упавший на позиции русских войск. Экипаж (летчик и летчик- наблюдатель) были взяты в плен (23405).</w:t>
      </w:r>
    </w:p>
    <w:p w14:paraId="79111371" w14:textId="77777777" w:rsidR="00F32916" w:rsidRPr="00405303" w:rsidRDefault="00F32916" w:rsidP="00C15251">
      <w:pPr>
        <w:jc w:val="both"/>
        <w:rPr>
          <w:bCs/>
          <w:color w:val="002060"/>
          <w:sz w:val="16"/>
          <w:szCs w:val="16"/>
        </w:rPr>
      </w:pPr>
    </w:p>
    <w:p w14:paraId="7AAE3E44" w14:textId="77777777" w:rsidR="00F32916" w:rsidRPr="00405303" w:rsidRDefault="00F32916" w:rsidP="00C15251">
      <w:pPr>
        <w:jc w:val="both"/>
        <w:rPr>
          <w:bCs/>
          <w:i/>
          <w:color w:val="002060"/>
          <w:sz w:val="16"/>
          <w:szCs w:val="16"/>
        </w:rPr>
      </w:pPr>
      <w:r w:rsidRPr="00405303">
        <w:rPr>
          <w:bCs/>
          <w:i/>
          <w:color w:val="002060"/>
          <w:sz w:val="16"/>
          <w:szCs w:val="16"/>
        </w:rPr>
        <w:t>Авиация и воздухоплавание Германии:</w:t>
      </w:r>
    </w:p>
    <w:p w14:paraId="0997BDBA" w14:textId="77777777" w:rsidR="00F32916" w:rsidRPr="00405303" w:rsidRDefault="00F32916" w:rsidP="00C15251">
      <w:pPr>
        <w:jc w:val="both"/>
        <w:rPr>
          <w:bCs/>
          <w:i/>
          <w:color w:val="002060"/>
          <w:sz w:val="16"/>
          <w:szCs w:val="16"/>
        </w:rPr>
      </w:pPr>
    </w:p>
    <w:p w14:paraId="1D564856" w14:textId="77777777" w:rsidR="00F32916" w:rsidRPr="00405303" w:rsidRDefault="00F32916" w:rsidP="00C15251">
      <w:pPr>
        <w:pStyle w:val="2"/>
        <w:spacing w:before="0" w:after="0"/>
        <w:jc w:val="both"/>
        <w:rPr>
          <w:b w:val="0"/>
          <w:bCs/>
          <w:color w:val="002060"/>
          <w:sz w:val="16"/>
          <w:szCs w:val="16"/>
        </w:rPr>
      </w:pPr>
      <w:r w:rsidRPr="00405303">
        <w:rPr>
          <w:b w:val="0"/>
          <w:bCs/>
          <w:color w:val="002060"/>
          <w:sz w:val="16"/>
          <w:szCs w:val="16"/>
        </w:rPr>
        <w:t>30-го октября (12 ноября) 1915 г. было представление ГВТУ за № 6341/4739 о разрешении Управлению передать предоставленный заводу Ф.Ф.Терещенко, на основании положения Военного Совета от 8 августа 1915 г. заказ на 25 аэропланов Моран-Сольнье. (парасоль). 25 комплектов запасных частей к ним и 2 дополнительных комплекта... к ним, всего на сумму 420.146 руб. Акционерному Общества Дукс ЮА.Меллер, при соблюдении установленных указанных выше положением Военного Совета для Вашего заказа условий и 10-месячного срока, считая его с 12 августа сего года.» (15464).</w:t>
      </w:r>
    </w:p>
    <w:p w14:paraId="1221D4D3" w14:textId="77777777" w:rsidR="00F32916" w:rsidRPr="00405303" w:rsidRDefault="00F32916" w:rsidP="00C15251">
      <w:pPr>
        <w:pStyle w:val="2"/>
        <w:spacing w:before="0" w:after="0"/>
        <w:jc w:val="both"/>
        <w:rPr>
          <w:b w:val="0"/>
          <w:bCs/>
          <w:color w:val="002060"/>
          <w:sz w:val="16"/>
          <w:szCs w:val="16"/>
        </w:rPr>
      </w:pPr>
    </w:p>
    <w:p w14:paraId="3C127EEE" w14:textId="78BBB6E5" w:rsidR="00D00DBC" w:rsidRPr="00405303" w:rsidRDefault="00D00DBC" w:rsidP="00C15251">
      <w:pPr>
        <w:jc w:val="both"/>
        <w:rPr>
          <w:bCs/>
          <w:i/>
          <w:color w:val="002060"/>
          <w:sz w:val="16"/>
          <w:szCs w:val="16"/>
        </w:rPr>
      </w:pPr>
      <w:r w:rsidRPr="00405303">
        <w:rPr>
          <w:bCs/>
          <w:i/>
          <w:color w:val="002060"/>
          <w:sz w:val="16"/>
          <w:szCs w:val="16"/>
        </w:rPr>
        <w:t>Самолетостроение:</w:t>
      </w:r>
    </w:p>
    <w:p w14:paraId="2C9C3638" w14:textId="77777777" w:rsidR="00D00DBC" w:rsidRPr="00405303" w:rsidRDefault="00D00DBC" w:rsidP="00C15251">
      <w:pPr>
        <w:jc w:val="both"/>
        <w:rPr>
          <w:bCs/>
          <w:i/>
          <w:color w:val="002060"/>
          <w:sz w:val="16"/>
          <w:szCs w:val="16"/>
        </w:rPr>
      </w:pPr>
    </w:p>
    <w:p w14:paraId="7FD8E04D" w14:textId="25E07257" w:rsidR="00D00DBC" w:rsidRPr="00405303" w:rsidRDefault="00D00DBC" w:rsidP="00C15251">
      <w:pPr>
        <w:pStyle w:val="16"/>
        <w:shd w:val="clear" w:color="auto" w:fill="auto"/>
        <w:spacing w:before="0" w:line="240" w:lineRule="auto"/>
        <w:ind w:firstLine="0"/>
        <w:jc w:val="both"/>
        <w:rPr>
          <w:bCs/>
          <w:color w:val="002060"/>
          <w:sz w:val="16"/>
          <w:szCs w:val="16"/>
        </w:rPr>
      </w:pPr>
      <w:r w:rsidRPr="00405303">
        <w:rPr>
          <w:bCs/>
          <w:color w:val="002060"/>
          <w:sz w:val="16"/>
          <w:szCs w:val="16"/>
        </w:rPr>
        <w:t xml:space="preserve">31 октября </w:t>
      </w:r>
      <w:r w:rsidR="00442A91" w:rsidRPr="00405303">
        <w:rPr>
          <w:bCs/>
          <w:color w:val="002060"/>
          <w:sz w:val="16"/>
          <w:szCs w:val="16"/>
        </w:rPr>
        <w:t xml:space="preserve">(13 ноября) </w:t>
      </w:r>
      <w:r w:rsidRPr="00405303">
        <w:rPr>
          <w:bCs/>
          <w:color w:val="002060"/>
          <w:sz w:val="16"/>
          <w:szCs w:val="16"/>
        </w:rPr>
        <w:t>1915 г. ГВТУ заключило контракт с акционерным обществом «Электромеханические сооружения» на постройку «одного комплекта бом- бометательной системы профессора Г. А. Ботезата» к 1 июня 1916 г. Как ука</w:t>
      </w:r>
      <w:r w:rsidRPr="00405303">
        <w:rPr>
          <w:bCs/>
          <w:color w:val="002060"/>
          <w:sz w:val="16"/>
          <w:szCs w:val="16"/>
        </w:rPr>
        <w:softHyphen/>
        <w:t>зывалось в контракте, «в состав комплекта входят приборы, необходимые для определения данных прицеливания, для самого прицеливания и приспособ</w:t>
      </w:r>
      <w:r w:rsidRPr="00405303">
        <w:rPr>
          <w:bCs/>
          <w:color w:val="002060"/>
          <w:sz w:val="16"/>
          <w:szCs w:val="16"/>
        </w:rPr>
        <w:softHyphen/>
        <w:t>ление для сбрасывания бомб» (15740).</w:t>
      </w:r>
    </w:p>
    <w:p w14:paraId="3E21E1A2" w14:textId="77777777" w:rsidR="00D00DBC" w:rsidRPr="00405303" w:rsidRDefault="00D00DBC" w:rsidP="00C15251">
      <w:pPr>
        <w:pStyle w:val="16"/>
        <w:shd w:val="clear" w:color="auto" w:fill="auto"/>
        <w:spacing w:before="0" w:line="240" w:lineRule="auto"/>
        <w:ind w:firstLine="0"/>
        <w:jc w:val="both"/>
        <w:rPr>
          <w:bCs/>
          <w:color w:val="002060"/>
          <w:sz w:val="16"/>
          <w:szCs w:val="16"/>
        </w:rPr>
      </w:pPr>
    </w:p>
    <w:p w14:paraId="34D9E0D7"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25935B8B" w14:textId="77777777" w:rsidR="004B4E35" w:rsidRPr="00405303" w:rsidRDefault="004B4E35" w:rsidP="00C15251">
      <w:pPr>
        <w:shd w:val="clear" w:color="auto" w:fill="FFFFFF"/>
        <w:jc w:val="both"/>
        <w:rPr>
          <w:bCs/>
          <w:i/>
          <w:color w:val="002060"/>
          <w:sz w:val="16"/>
          <w:szCs w:val="16"/>
        </w:rPr>
      </w:pPr>
    </w:p>
    <w:p w14:paraId="212BA94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31 октября (13 ноября) 1915 летчик 12 КАО прапорщик Василий Иванович Янченко во время воздушной разведки в районе Луцка был обстре</w:t>
      </w:r>
      <w:r w:rsidRPr="00405303">
        <w:rPr>
          <w:bCs/>
          <w:color w:val="002060"/>
          <w:sz w:val="16"/>
          <w:szCs w:val="16"/>
        </w:rPr>
        <w:softHyphen/>
        <w:t>лян противником. Пуля пробила бензиновый бак и двигатель остано</w:t>
      </w:r>
      <w:r w:rsidRPr="00405303">
        <w:rPr>
          <w:bCs/>
          <w:color w:val="002060"/>
          <w:sz w:val="16"/>
          <w:szCs w:val="16"/>
        </w:rPr>
        <w:softHyphen/>
        <w:t xml:space="preserve">вился. Спустившись в тыл противника, Янченко заделал пробоину карандашом, обмотанным изоляционной лентой, перекачал бензин из запасного бака и взлетел для продолжения </w:t>
      </w:r>
      <w:proofErr w:type="gramStart"/>
      <w:r w:rsidRPr="00405303">
        <w:rPr>
          <w:bCs/>
          <w:color w:val="002060"/>
          <w:sz w:val="16"/>
          <w:szCs w:val="16"/>
        </w:rPr>
        <w:t>разведки .С</w:t>
      </w:r>
      <w:proofErr w:type="gramEnd"/>
      <w:r w:rsidRPr="00405303">
        <w:rPr>
          <w:bCs/>
          <w:color w:val="002060"/>
          <w:sz w:val="16"/>
          <w:szCs w:val="16"/>
        </w:rPr>
        <w:t xml:space="preserve"> высоты 300 м он сбросил две пудовыз бомбы в неприятельскую колонну и, несмотря на сочившийся из бака бензин и артиллерийский обстрел противника, довел разведку до конца (Приказ по 12 армии № 477 от 17 декабря 1915 г.; ЦГВИА. ф.2008, д.652, л.77).</w:t>
      </w:r>
    </w:p>
    <w:p w14:paraId="23090093" w14:textId="77777777" w:rsidR="004B4E35" w:rsidRPr="00405303" w:rsidRDefault="004B4E35" w:rsidP="00C15251">
      <w:pPr>
        <w:shd w:val="clear" w:color="auto" w:fill="FFFFFF"/>
        <w:jc w:val="both"/>
        <w:rPr>
          <w:bCs/>
          <w:color w:val="002060"/>
          <w:sz w:val="16"/>
          <w:szCs w:val="16"/>
        </w:rPr>
      </w:pPr>
    </w:p>
    <w:p w14:paraId="4439625F" w14:textId="6A3E0BC5" w:rsidR="00ED425E" w:rsidRPr="00405303" w:rsidRDefault="00ED425E" w:rsidP="00C15251">
      <w:pPr>
        <w:jc w:val="both"/>
        <w:rPr>
          <w:bCs/>
          <w:color w:val="002060"/>
          <w:sz w:val="16"/>
          <w:szCs w:val="16"/>
        </w:rPr>
      </w:pPr>
      <w:r w:rsidRPr="00405303">
        <w:rPr>
          <w:bCs/>
          <w:color w:val="002060"/>
          <w:sz w:val="16"/>
          <w:szCs w:val="16"/>
        </w:rPr>
        <w:t xml:space="preserve">31 октября (13 ноября) 1915 г. летчик 12 КАО прапорщик Василий Иванович Янченко во время воздушной разведки в районе Луцка был обстрелян противником. Пуля пробила бензиновый бак и мотор остановился. Спустившись в тылу противника, Янченко заделал пробоину карандашом, обмотанным изоляционной лентой, перекачал бензин из запасного бака и взлетел для продолжения разведки. С высоты 300 м он </w:t>
      </w:r>
      <w:r w:rsidR="008B3FC8" w:rsidRPr="00405303">
        <w:rPr>
          <w:bCs/>
          <w:color w:val="002060"/>
          <w:sz w:val="16"/>
          <w:szCs w:val="16"/>
        </w:rPr>
        <w:t>с</w:t>
      </w:r>
      <w:r w:rsidRPr="00405303">
        <w:rPr>
          <w:bCs/>
          <w:color w:val="002060"/>
          <w:sz w:val="16"/>
          <w:szCs w:val="16"/>
        </w:rPr>
        <w:t>бросил две пудовые бомбы в неприятельскую колонну и, несмотря на сочившийся из бака бензин и артиллерийский обстрел противником, довел разведку до конца.</w:t>
      </w:r>
    </w:p>
    <w:p w14:paraId="687FB944" w14:textId="77777777" w:rsidR="00ED425E" w:rsidRPr="00405303" w:rsidRDefault="00ED425E" w:rsidP="00C15251">
      <w:pPr>
        <w:jc w:val="both"/>
        <w:rPr>
          <w:bCs/>
          <w:color w:val="002060"/>
          <w:sz w:val="16"/>
          <w:szCs w:val="16"/>
        </w:rPr>
      </w:pPr>
      <w:r w:rsidRPr="00405303">
        <w:rPr>
          <w:bCs/>
          <w:color w:val="002060"/>
          <w:sz w:val="16"/>
          <w:szCs w:val="16"/>
        </w:rPr>
        <w:t>/Приказ ПО 12 армии № 477 от 17.12.15; ЦГВИА, ф. 2008, д. 652, л. 77/ (23320).</w:t>
      </w:r>
    </w:p>
    <w:p w14:paraId="06F34EFB" w14:textId="77777777" w:rsidR="00ED425E" w:rsidRPr="00405303" w:rsidRDefault="00ED425E" w:rsidP="00C15251">
      <w:pPr>
        <w:jc w:val="both"/>
        <w:rPr>
          <w:bCs/>
          <w:color w:val="002060"/>
          <w:sz w:val="16"/>
          <w:szCs w:val="16"/>
        </w:rPr>
      </w:pPr>
    </w:p>
    <w:p w14:paraId="75FE5FED" w14:textId="578111A4" w:rsidR="00F32916" w:rsidRPr="00405303" w:rsidRDefault="00F32916" w:rsidP="00C15251">
      <w:pPr>
        <w:jc w:val="both"/>
        <w:rPr>
          <w:bCs/>
          <w:color w:val="002060"/>
          <w:sz w:val="16"/>
          <w:szCs w:val="16"/>
        </w:rPr>
      </w:pPr>
      <w:r w:rsidRPr="00405303">
        <w:rPr>
          <w:bCs/>
          <w:color w:val="002060"/>
          <w:sz w:val="16"/>
          <w:szCs w:val="16"/>
        </w:rPr>
        <w:t>31 октября (13 ноября) 1915 г. воздушный налет на Ригу повторился (без какого-либо вреда). В тот же день в Рижском заливе миноносец Балтийского флота захватил подбитый германский гидроаэроплан (экипаж при падении погиб, по другим данным - взят в плен) (23405).</w:t>
      </w:r>
    </w:p>
    <w:p w14:paraId="3AB2F8C4" w14:textId="77777777" w:rsidR="00F32916" w:rsidRPr="00405303" w:rsidRDefault="00F32916" w:rsidP="00C15251">
      <w:pPr>
        <w:jc w:val="both"/>
        <w:rPr>
          <w:bCs/>
          <w:color w:val="002060"/>
          <w:sz w:val="16"/>
          <w:szCs w:val="16"/>
        </w:rPr>
      </w:pPr>
    </w:p>
    <w:p w14:paraId="2B67D8B3"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Франции:</w:t>
      </w:r>
    </w:p>
    <w:p w14:paraId="49F127F0" w14:textId="77777777" w:rsidR="004B4E35" w:rsidRPr="00405303" w:rsidRDefault="004B4E35" w:rsidP="00C15251">
      <w:pPr>
        <w:shd w:val="clear" w:color="auto" w:fill="FFFFFF"/>
        <w:jc w:val="both"/>
        <w:rPr>
          <w:bCs/>
          <w:i/>
          <w:color w:val="002060"/>
          <w:sz w:val="16"/>
          <w:szCs w:val="16"/>
        </w:rPr>
      </w:pPr>
    </w:p>
    <w:p w14:paraId="43960505" w14:textId="77777777" w:rsidR="004B4E35" w:rsidRPr="00405303" w:rsidRDefault="009E6F82" w:rsidP="00C15251">
      <w:pPr>
        <w:jc w:val="both"/>
        <w:rPr>
          <w:bCs/>
          <w:color w:val="002060"/>
          <w:sz w:val="16"/>
          <w:szCs w:val="16"/>
        </w:rPr>
      </w:pPr>
      <w:r w:rsidRPr="00405303">
        <w:rPr>
          <w:bCs/>
          <w:color w:val="002060"/>
          <w:sz w:val="16"/>
          <w:szCs w:val="16"/>
        </w:rPr>
        <w:t xml:space="preserve">31 октября (13 ноября) 1915 г. состоялась первая бомбардировка с воздуха города в тылу противника – бомбардировка французской авиацией германского города </w:t>
      </w:r>
      <w:proofErr w:type="gramStart"/>
      <w:r w:rsidRPr="00405303">
        <w:rPr>
          <w:bCs/>
          <w:color w:val="002060"/>
          <w:sz w:val="16"/>
          <w:szCs w:val="16"/>
        </w:rPr>
        <w:t>Фрейбург(</w:t>
      </w:r>
      <w:proofErr w:type="gramEnd"/>
      <w:r w:rsidRPr="00405303">
        <w:rPr>
          <w:bCs/>
          <w:color w:val="002060"/>
          <w:sz w:val="16"/>
          <w:szCs w:val="16"/>
        </w:rPr>
        <w:t>11165).</w:t>
      </w:r>
    </w:p>
    <w:p w14:paraId="6D4B5AB1" w14:textId="77777777" w:rsidR="004B4E35" w:rsidRPr="00405303" w:rsidRDefault="004B4E35" w:rsidP="00C15251">
      <w:pPr>
        <w:jc w:val="both"/>
        <w:rPr>
          <w:bCs/>
          <w:color w:val="002060"/>
          <w:sz w:val="16"/>
          <w:szCs w:val="16"/>
        </w:rPr>
      </w:pPr>
    </w:p>
    <w:p w14:paraId="3827F6AC" w14:textId="67B03476" w:rsidR="00F6220B" w:rsidRPr="00405303" w:rsidRDefault="00F6220B" w:rsidP="00C15251">
      <w:pPr>
        <w:shd w:val="clear" w:color="auto" w:fill="FFFFFF"/>
        <w:jc w:val="both"/>
        <w:rPr>
          <w:bCs/>
          <w:i/>
          <w:color w:val="002060"/>
          <w:sz w:val="16"/>
          <w:szCs w:val="16"/>
        </w:rPr>
      </w:pPr>
      <w:r w:rsidRPr="00405303">
        <w:rPr>
          <w:bCs/>
          <w:i/>
          <w:color w:val="002060"/>
          <w:sz w:val="16"/>
          <w:szCs w:val="16"/>
        </w:rPr>
        <w:t>Авиация и воздухоплавание Англии:</w:t>
      </w:r>
    </w:p>
    <w:p w14:paraId="702F08A9" w14:textId="77777777" w:rsidR="00F6220B" w:rsidRPr="00405303" w:rsidRDefault="00F6220B" w:rsidP="00C15251">
      <w:pPr>
        <w:shd w:val="clear" w:color="auto" w:fill="FFFFFF"/>
        <w:jc w:val="both"/>
        <w:rPr>
          <w:bCs/>
          <w:i/>
          <w:color w:val="002060"/>
          <w:sz w:val="16"/>
          <w:szCs w:val="16"/>
        </w:rPr>
      </w:pPr>
    </w:p>
    <w:p w14:paraId="5EB78761" w14:textId="77777777" w:rsidR="00F6220B" w:rsidRPr="00405303" w:rsidRDefault="00F6220B" w:rsidP="00C15251">
      <w:pPr>
        <w:jc w:val="both"/>
        <w:rPr>
          <w:bCs/>
          <w:color w:val="002060"/>
          <w:sz w:val="16"/>
          <w:szCs w:val="16"/>
        </w:rPr>
      </w:pPr>
      <w:r w:rsidRPr="00405303">
        <w:rPr>
          <w:bCs/>
          <w:color w:val="002060"/>
          <w:sz w:val="16"/>
          <w:szCs w:val="16"/>
        </w:rPr>
        <w:t>31 октября (13 ноября) 1915 командир Королевских военно-морских сил JRW Смит-Пиготт на самолете BE.2c совершает дерзкую ночную бомбардировку моста железной дороги Берлин - Константинополь через реку Марица в Кулели Бургас в Османской империи с высоты 300 м. футов (91 метр). Хотя мост уцелел, за храбрость он получает орден «За выдающиеся заслуги» (20338).</w:t>
      </w:r>
    </w:p>
    <w:p w14:paraId="41D175B8" w14:textId="77777777" w:rsidR="00F6220B" w:rsidRPr="00405303" w:rsidRDefault="00F6220B" w:rsidP="00C15251">
      <w:pPr>
        <w:jc w:val="both"/>
        <w:rPr>
          <w:bCs/>
          <w:color w:val="002060"/>
          <w:sz w:val="16"/>
          <w:szCs w:val="16"/>
        </w:rPr>
      </w:pPr>
    </w:p>
    <w:p w14:paraId="7EE33C3F" w14:textId="77777777" w:rsidR="00D00DBC" w:rsidRPr="00405303" w:rsidRDefault="00D00DBC" w:rsidP="00C15251">
      <w:pPr>
        <w:jc w:val="both"/>
        <w:rPr>
          <w:bCs/>
          <w:i/>
          <w:color w:val="002060"/>
          <w:sz w:val="16"/>
          <w:szCs w:val="16"/>
        </w:rPr>
      </w:pPr>
      <w:r w:rsidRPr="00405303">
        <w:rPr>
          <w:bCs/>
          <w:i/>
          <w:color w:val="002060"/>
          <w:sz w:val="16"/>
          <w:szCs w:val="16"/>
        </w:rPr>
        <w:t>За рубежом:</w:t>
      </w:r>
    </w:p>
    <w:p w14:paraId="6E8B3824" w14:textId="77777777" w:rsidR="00D00DBC" w:rsidRPr="00405303" w:rsidRDefault="00D00DBC" w:rsidP="00C15251">
      <w:pPr>
        <w:jc w:val="both"/>
        <w:rPr>
          <w:bCs/>
          <w:color w:val="002060"/>
          <w:sz w:val="16"/>
          <w:szCs w:val="16"/>
        </w:rPr>
      </w:pPr>
    </w:p>
    <w:p w14:paraId="6DF5B5A3" w14:textId="4972CD68" w:rsidR="00D00DBC" w:rsidRPr="00405303" w:rsidRDefault="00D00DBC" w:rsidP="00C15251">
      <w:pPr>
        <w:jc w:val="both"/>
        <w:rPr>
          <w:bCs/>
          <w:color w:val="002060"/>
          <w:sz w:val="16"/>
          <w:szCs w:val="16"/>
        </w:rPr>
      </w:pPr>
      <w:r w:rsidRPr="00405303">
        <w:rPr>
          <w:rStyle w:val="ucoz-forum-post"/>
          <w:bCs/>
          <w:color w:val="002060"/>
          <w:sz w:val="16"/>
          <w:szCs w:val="16"/>
        </w:rPr>
        <w:t>31 октября (1</w:t>
      </w:r>
      <w:r w:rsidR="00442A91" w:rsidRPr="00405303">
        <w:rPr>
          <w:rStyle w:val="ucoz-forum-post"/>
          <w:bCs/>
          <w:color w:val="002060"/>
          <w:sz w:val="16"/>
          <w:szCs w:val="16"/>
        </w:rPr>
        <w:t>3</w:t>
      </w:r>
      <w:r w:rsidRPr="00405303">
        <w:rPr>
          <w:rStyle w:val="ucoz-forum-post"/>
          <w:bCs/>
          <w:color w:val="002060"/>
          <w:sz w:val="16"/>
          <w:szCs w:val="16"/>
        </w:rPr>
        <w:t xml:space="preserve"> ноября) </w:t>
      </w:r>
      <w:r w:rsidRPr="00405303">
        <w:rPr>
          <w:bCs/>
          <w:color w:val="002060"/>
          <w:sz w:val="16"/>
          <w:szCs w:val="16"/>
        </w:rPr>
        <w:t>в 1915 году Великобритания аннексирует острова Гильберт и Эллис (современные острова Тувалу и Кирибати), захваченные у Германии, превращая их из протектората в колонию (14828).</w:t>
      </w:r>
    </w:p>
    <w:p w14:paraId="06461219" w14:textId="77777777" w:rsidR="00D00DBC" w:rsidRPr="00405303" w:rsidRDefault="00D00DBC" w:rsidP="00C15251">
      <w:pPr>
        <w:jc w:val="both"/>
        <w:rPr>
          <w:bCs/>
          <w:color w:val="002060"/>
          <w:sz w:val="16"/>
          <w:szCs w:val="16"/>
        </w:rPr>
      </w:pPr>
    </w:p>
    <w:p w14:paraId="7E0603F3" w14:textId="24DEC5C9" w:rsidR="00F32916" w:rsidRPr="00405303" w:rsidRDefault="00F32916" w:rsidP="00C15251">
      <w:pPr>
        <w:jc w:val="both"/>
        <w:rPr>
          <w:bCs/>
          <w:i/>
          <w:color w:val="002060"/>
          <w:sz w:val="16"/>
          <w:szCs w:val="16"/>
        </w:rPr>
      </w:pPr>
      <w:r w:rsidRPr="00405303">
        <w:rPr>
          <w:bCs/>
          <w:i/>
          <w:color w:val="002060"/>
          <w:sz w:val="16"/>
          <w:szCs w:val="16"/>
        </w:rPr>
        <w:t>Спмолетостроение:</w:t>
      </w:r>
    </w:p>
    <w:p w14:paraId="703CEEC2" w14:textId="77777777" w:rsidR="00F32916" w:rsidRPr="00405303" w:rsidRDefault="00F32916" w:rsidP="00C15251">
      <w:pPr>
        <w:jc w:val="both"/>
        <w:rPr>
          <w:bCs/>
          <w:i/>
          <w:color w:val="002060"/>
          <w:sz w:val="16"/>
          <w:szCs w:val="16"/>
        </w:rPr>
      </w:pPr>
    </w:p>
    <w:p w14:paraId="6CA077F8" w14:textId="77777777" w:rsidR="00F32916" w:rsidRPr="00405303" w:rsidRDefault="00F32916" w:rsidP="00C15251">
      <w:pPr>
        <w:jc w:val="both"/>
        <w:rPr>
          <w:bCs/>
          <w:color w:val="002060"/>
          <w:sz w:val="16"/>
          <w:szCs w:val="16"/>
        </w:rPr>
      </w:pPr>
      <w:r w:rsidRPr="00405303">
        <w:rPr>
          <w:bCs/>
          <w:color w:val="002060"/>
          <w:sz w:val="16"/>
          <w:szCs w:val="16"/>
        </w:rPr>
        <w:t>К концу октября 1915 г. корабль «Илья Муромец» В-10 (ИМ В-10 № 151 «остроносый», борт № III) экз. № 10, стратегический разведчик, тяжелый бомбардировщик сделал 30 полетов на глубину до 200 км в тыл противника.</w:t>
      </w:r>
    </w:p>
    <w:p w14:paraId="632749B8" w14:textId="77777777" w:rsidR="00F32916" w:rsidRPr="00405303" w:rsidRDefault="00F32916" w:rsidP="00C15251">
      <w:pPr>
        <w:jc w:val="both"/>
        <w:rPr>
          <w:bCs/>
          <w:color w:val="002060"/>
          <w:sz w:val="16"/>
          <w:szCs w:val="16"/>
        </w:rPr>
      </w:pPr>
      <w:r w:rsidRPr="00405303">
        <w:rPr>
          <w:bCs/>
          <w:color w:val="002060"/>
          <w:sz w:val="16"/>
          <w:szCs w:val="16"/>
        </w:rPr>
        <w:t>С 5 июля 1915 г., после первой попытки немецких самолетов атаки «Ильи Муромца», штатное вооружение корабля усилили до 3 пулеметов:</w:t>
      </w:r>
    </w:p>
    <w:p w14:paraId="754415F2" w14:textId="77777777" w:rsidR="00F32916" w:rsidRPr="00405303" w:rsidRDefault="00F32916" w:rsidP="00C15251">
      <w:pPr>
        <w:jc w:val="both"/>
        <w:rPr>
          <w:bCs/>
          <w:color w:val="002060"/>
          <w:sz w:val="16"/>
          <w:szCs w:val="16"/>
        </w:rPr>
      </w:pPr>
      <w:r w:rsidRPr="00405303">
        <w:rPr>
          <w:bCs/>
          <w:color w:val="002060"/>
          <w:sz w:val="16"/>
          <w:szCs w:val="16"/>
        </w:rPr>
        <w:t>- один Льюис Mk.</w:t>
      </w:r>
      <w:proofErr w:type="gramStart"/>
      <w:r w:rsidRPr="00405303">
        <w:rPr>
          <w:bCs/>
          <w:color w:val="002060"/>
          <w:sz w:val="16"/>
          <w:szCs w:val="16"/>
        </w:rPr>
        <w:t>I(</w:t>
      </w:r>
      <w:proofErr w:type="gramEnd"/>
      <w:r w:rsidRPr="00405303">
        <w:rPr>
          <w:bCs/>
          <w:color w:val="002060"/>
          <w:sz w:val="16"/>
          <w:szCs w:val="16"/>
        </w:rPr>
        <w:t>282 патронов в шести дисках);</w:t>
      </w:r>
    </w:p>
    <w:p w14:paraId="500AD9A7" w14:textId="77777777" w:rsidR="00F32916" w:rsidRPr="00405303" w:rsidRDefault="00F32916" w:rsidP="00C15251">
      <w:pPr>
        <w:jc w:val="both"/>
        <w:rPr>
          <w:bCs/>
          <w:color w:val="002060"/>
          <w:sz w:val="16"/>
          <w:szCs w:val="16"/>
        </w:rPr>
      </w:pPr>
      <w:r w:rsidRPr="00405303">
        <w:rPr>
          <w:bCs/>
          <w:color w:val="002060"/>
          <w:sz w:val="16"/>
          <w:szCs w:val="16"/>
        </w:rPr>
        <w:t>- один Мадсен M.1904/1915 (150 патронов в шести рожковых магазинах);</w:t>
      </w:r>
    </w:p>
    <w:p w14:paraId="4B4CB582" w14:textId="77777777" w:rsidR="00F32916" w:rsidRPr="00405303" w:rsidRDefault="00F32916" w:rsidP="00C15251">
      <w:pPr>
        <w:jc w:val="both"/>
        <w:rPr>
          <w:bCs/>
          <w:color w:val="002060"/>
          <w:sz w:val="16"/>
          <w:szCs w:val="16"/>
        </w:rPr>
      </w:pPr>
      <w:r w:rsidRPr="00405303">
        <w:rPr>
          <w:bCs/>
          <w:color w:val="002060"/>
          <w:sz w:val="16"/>
          <w:szCs w:val="16"/>
        </w:rPr>
        <w:t>- Максим обр. 1910 (приспособлен серийный станковый пулемет калибра 7,62 мм, боекомплект – брезентовые ленты, всего – 500 патронов).</w:t>
      </w:r>
    </w:p>
    <w:p w14:paraId="58DC0DE6" w14:textId="77777777" w:rsidR="00F32916" w:rsidRPr="00405303" w:rsidRDefault="00F32916" w:rsidP="00C15251">
      <w:pPr>
        <w:jc w:val="both"/>
        <w:rPr>
          <w:bCs/>
          <w:color w:val="002060"/>
          <w:sz w:val="16"/>
          <w:szCs w:val="16"/>
        </w:rPr>
      </w:pPr>
      <w:r w:rsidRPr="00405303">
        <w:rPr>
          <w:bCs/>
          <w:color w:val="002060"/>
          <w:sz w:val="16"/>
          <w:szCs w:val="16"/>
        </w:rPr>
        <w:t>На самолете остались две шкворневые установки, которые использовались для одного пулемета Максим обр. 1910 (ставить туда вместе со станковым еще один пулемет оказалось неудобно), из легких пулеметов огонь велся из дверей и окон. В то же время на этом месте могли ставиться два легких пулемета.</w:t>
      </w:r>
    </w:p>
    <w:p w14:paraId="0D0E09F3" w14:textId="77777777" w:rsidR="00F32916" w:rsidRPr="00405303" w:rsidRDefault="00F32916" w:rsidP="00C15251">
      <w:pPr>
        <w:jc w:val="both"/>
        <w:rPr>
          <w:bCs/>
          <w:color w:val="002060"/>
          <w:sz w:val="16"/>
          <w:szCs w:val="16"/>
        </w:rPr>
      </w:pPr>
      <w:r w:rsidRPr="00405303">
        <w:rPr>
          <w:bCs/>
          <w:color w:val="002060"/>
          <w:sz w:val="16"/>
          <w:szCs w:val="16"/>
        </w:rPr>
        <w:t>В дальнейшем для всех кораблей типа В такое вооружение считалось стандартным, но в строевой службе самолеты комплектовались оборонительным пулеметным вооружением с отступлением от этого стандарта (23563).</w:t>
      </w:r>
    </w:p>
    <w:p w14:paraId="6EA05723" w14:textId="77777777" w:rsidR="00F32916" w:rsidRPr="00405303" w:rsidRDefault="00F32916" w:rsidP="00C15251">
      <w:pPr>
        <w:jc w:val="both"/>
        <w:rPr>
          <w:bCs/>
          <w:color w:val="002060"/>
          <w:sz w:val="16"/>
          <w:szCs w:val="16"/>
        </w:rPr>
      </w:pPr>
      <w:r w:rsidRPr="00405303">
        <w:rPr>
          <w:bCs/>
          <w:color w:val="002060"/>
          <w:sz w:val="16"/>
          <w:szCs w:val="16"/>
        </w:rPr>
        <w:t>2 ноября 1915 г. (15.11.15 г. по н.ст.) корабль был послан на бомбардировку противника. В полете корабль попал под обстрел с земли – осколками снаряда были перебиты тросы управления левого элерона. Командир корабля Озерский в снижении с высоты 2800 м попытался развернуться одним лишь рулем направления, но при этом возник крен на левое крыло, перешедший в скольжение, которое выровнять не удалось (возможно, если бы дополнительные рули не были бы сняты, его удалось бы избежать, но не факт – элероны не действовали). В упавшем самолете погибли штабс-капитан Озерский, подполковник Звегинцев и унтер-офицер Фогт, поручик Спасов выжил, но был тяжело ранен.</w:t>
      </w:r>
    </w:p>
    <w:p w14:paraId="183BCBD5" w14:textId="77777777" w:rsidR="00F32916" w:rsidRPr="00405303" w:rsidRDefault="00F32916" w:rsidP="00C15251">
      <w:pPr>
        <w:jc w:val="both"/>
        <w:rPr>
          <w:bCs/>
          <w:color w:val="002060"/>
          <w:sz w:val="16"/>
          <w:szCs w:val="16"/>
        </w:rPr>
      </w:pPr>
      <w:r w:rsidRPr="00405303">
        <w:rPr>
          <w:bCs/>
          <w:color w:val="002060"/>
          <w:sz w:val="16"/>
          <w:szCs w:val="16"/>
        </w:rPr>
        <w:t>Самолет выполнил 35 боевых вылетов и сбросил свыше 7520 кг (470 пудов) бомб – это был самый результативный корабль «Илья Муромец» (23563).</w:t>
      </w:r>
    </w:p>
    <w:p w14:paraId="4907766E" w14:textId="77777777" w:rsidR="00F32916" w:rsidRPr="00405303" w:rsidRDefault="00F32916" w:rsidP="00C15251">
      <w:pPr>
        <w:jc w:val="both"/>
        <w:rPr>
          <w:bCs/>
          <w:color w:val="002060"/>
          <w:sz w:val="16"/>
          <w:szCs w:val="16"/>
          <w:lang w:bidi="en-US"/>
        </w:rPr>
      </w:pPr>
    </w:p>
    <w:p w14:paraId="78AC7DEF" w14:textId="47D27770" w:rsidR="00F6220B" w:rsidRPr="00405303" w:rsidRDefault="00F6220B" w:rsidP="00C15251">
      <w:pPr>
        <w:jc w:val="both"/>
        <w:rPr>
          <w:bCs/>
          <w:i/>
          <w:color w:val="002060"/>
          <w:sz w:val="16"/>
          <w:szCs w:val="16"/>
        </w:rPr>
      </w:pPr>
      <w:r w:rsidRPr="00405303">
        <w:rPr>
          <w:bCs/>
          <w:i/>
          <w:color w:val="002060"/>
          <w:sz w:val="16"/>
          <w:szCs w:val="16"/>
        </w:rPr>
        <w:t>Аэростатостроение:</w:t>
      </w:r>
    </w:p>
    <w:p w14:paraId="0C6831DD" w14:textId="77777777" w:rsidR="00F6220B" w:rsidRPr="00405303" w:rsidRDefault="00F6220B" w:rsidP="00C15251">
      <w:pPr>
        <w:jc w:val="both"/>
        <w:rPr>
          <w:bCs/>
          <w:i/>
          <w:color w:val="002060"/>
          <w:sz w:val="16"/>
          <w:szCs w:val="16"/>
        </w:rPr>
      </w:pPr>
    </w:p>
    <w:p w14:paraId="2E694469" w14:textId="77777777" w:rsidR="00F6220B" w:rsidRPr="00405303" w:rsidRDefault="00F6220B" w:rsidP="00C15251">
      <w:pPr>
        <w:jc w:val="both"/>
        <w:rPr>
          <w:bCs/>
          <w:color w:val="002060"/>
          <w:sz w:val="16"/>
          <w:szCs w:val="16"/>
        </w:rPr>
      </w:pPr>
      <w:r w:rsidRPr="00405303">
        <w:rPr>
          <w:rStyle w:val="42"/>
          <w:rFonts w:ascii="Times New Roman" w:hAnsi="Times New Roman" w:cs="Times New Roman"/>
          <w:bCs/>
          <w:color w:val="002060"/>
          <w:w w:val="100"/>
          <w:sz w:val="16"/>
          <w:szCs w:val="16"/>
        </w:rPr>
        <w:lastRenderedPageBreak/>
        <w:t>В конце октября 1915 г. закончили переделку Гиганта под руководством П.Н. Сыромятникова. Наполнение оболочки, однако, отложили до марта-апреля 1916 г. — более бла</w:t>
      </w:r>
      <w:r w:rsidRPr="00405303">
        <w:rPr>
          <w:rStyle w:val="42"/>
          <w:rFonts w:ascii="Times New Roman" w:hAnsi="Times New Roman" w:cs="Times New Roman"/>
          <w:bCs/>
          <w:color w:val="002060"/>
          <w:w w:val="100"/>
          <w:sz w:val="16"/>
          <w:szCs w:val="16"/>
        </w:rPr>
        <w:softHyphen/>
        <w:t>гоприятного времени для полётов аэростата. Но наполнение не состоялось и в эти весенние меся</w:t>
      </w:r>
      <w:r w:rsidRPr="00405303">
        <w:rPr>
          <w:rStyle w:val="42"/>
          <w:rFonts w:ascii="Times New Roman" w:hAnsi="Times New Roman" w:cs="Times New Roman"/>
          <w:bCs/>
          <w:color w:val="002060"/>
          <w:w w:val="100"/>
          <w:sz w:val="16"/>
          <w:szCs w:val="16"/>
        </w:rPr>
        <w:softHyphen/>
        <w:t>цы: начал сказываться недостаток водорода, ко</w:t>
      </w:r>
      <w:r w:rsidRPr="00405303">
        <w:rPr>
          <w:rStyle w:val="42"/>
          <w:rFonts w:ascii="Times New Roman" w:hAnsi="Times New Roman" w:cs="Times New Roman"/>
          <w:bCs/>
          <w:color w:val="002060"/>
          <w:w w:val="100"/>
          <w:sz w:val="16"/>
          <w:szCs w:val="16"/>
        </w:rPr>
        <w:softHyphen/>
        <w:t>торого не хватало даже для фронтовых воздухо</w:t>
      </w:r>
      <w:r w:rsidRPr="00405303">
        <w:rPr>
          <w:rStyle w:val="42"/>
          <w:rFonts w:ascii="Times New Roman" w:hAnsi="Times New Roman" w:cs="Times New Roman"/>
          <w:bCs/>
          <w:color w:val="002060"/>
          <w:w w:val="100"/>
          <w:sz w:val="16"/>
          <w:szCs w:val="16"/>
        </w:rPr>
        <w:softHyphen/>
        <w:t>плавательных частей (20120).</w:t>
      </w:r>
    </w:p>
    <w:p w14:paraId="17722C8A" w14:textId="71F69C58" w:rsidR="00F6220B" w:rsidRPr="00405303" w:rsidRDefault="00F6220B" w:rsidP="00C15251">
      <w:pPr>
        <w:jc w:val="both"/>
        <w:rPr>
          <w:bCs/>
          <w:color w:val="002060"/>
          <w:sz w:val="16"/>
          <w:szCs w:val="16"/>
        </w:rPr>
      </w:pPr>
    </w:p>
    <w:p w14:paraId="64D62B93" w14:textId="295B4AFF" w:rsidR="0073033D" w:rsidRPr="00405303" w:rsidRDefault="0073033D" w:rsidP="0073033D">
      <w:pPr>
        <w:jc w:val="both"/>
        <w:rPr>
          <w:bCs/>
          <w:i/>
          <w:iCs/>
          <w:color w:val="002060"/>
          <w:sz w:val="16"/>
          <w:szCs w:val="16"/>
        </w:rPr>
      </w:pPr>
      <w:r>
        <w:rPr>
          <w:bCs/>
          <w:i/>
          <w:iCs/>
          <w:color w:val="002060"/>
          <w:sz w:val="16"/>
          <w:szCs w:val="16"/>
        </w:rPr>
        <w:t>Авиация и воздухоплавание Германии</w:t>
      </w:r>
      <w:r w:rsidRPr="00405303">
        <w:rPr>
          <w:bCs/>
          <w:i/>
          <w:iCs/>
          <w:color w:val="002060"/>
          <w:sz w:val="16"/>
          <w:szCs w:val="16"/>
        </w:rPr>
        <w:t>:</w:t>
      </w:r>
    </w:p>
    <w:p w14:paraId="07528E2F" w14:textId="77777777" w:rsidR="0073033D" w:rsidRPr="00405303" w:rsidRDefault="0073033D" w:rsidP="0073033D">
      <w:pPr>
        <w:jc w:val="both"/>
        <w:rPr>
          <w:bCs/>
          <w:i/>
          <w:iCs/>
          <w:color w:val="002060"/>
          <w:sz w:val="16"/>
          <w:szCs w:val="16"/>
        </w:rPr>
      </w:pPr>
    </w:p>
    <w:p w14:paraId="47095E14" w14:textId="77777777" w:rsidR="0073033D" w:rsidRPr="00CF03EC" w:rsidRDefault="0073033D" w:rsidP="0073033D">
      <w:pPr>
        <w:jc w:val="both"/>
        <w:rPr>
          <w:color w:val="0070C0"/>
          <w:sz w:val="16"/>
          <w:szCs w:val="16"/>
        </w:rPr>
      </w:pPr>
      <w:r w:rsidRPr="00CF03EC">
        <w:rPr>
          <w:color w:val="0070C0"/>
          <w:sz w:val="16"/>
          <w:szCs w:val="16"/>
        </w:rPr>
        <w:t>В конце октября 1915 г. истребители Пфальц E I оказались на Западном фронте, но сначала не в Воздушных войсках, а в морской авиации, которая также остро нуждалась в прикрытии своих разведчиков и бомбардировщиков, в том числе и дирижаблей, и их баз. Несколько истребителей этого типа продали Австро-Венгрии – также для ее моряков (25772).</w:t>
      </w:r>
    </w:p>
    <w:p w14:paraId="4D6B1163" w14:textId="77777777" w:rsidR="0073033D" w:rsidRPr="00CF03EC" w:rsidRDefault="0073033D" w:rsidP="0073033D">
      <w:pPr>
        <w:jc w:val="both"/>
        <w:rPr>
          <w:color w:val="0070C0"/>
          <w:sz w:val="16"/>
          <w:szCs w:val="16"/>
        </w:rPr>
      </w:pPr>
    </w:p>
    <w:p w14:paraId="1CD8DAD3" w14:textId="2E5B7D84" w:rsidR="00CD7855" w:rsidRPr="00405303" w:rsidRDefault="00CD7855" w:rsidP="00C15251">
      <w:pPr>
        <w:jc w:val="both"/>
        <w:rPr>
          <w:bCs/>
          <w:i/>
          <w:iCs/>
          <w:color w:val="002060"/>
          <w:sz w:val="16"/>
          <w:szCs w:val="16"/>
        </w:rPr>
      </w:pPr>
      <w:r w:rsidRPr="00405303">
        <w:rPr>
          <w:bCs/>
          <w:i/>
          <w:iCs/>
          <w:color w:val="002060"/>
          <w:sz w:val="16"/>
          <w:szCs w:val="16"/>
        </w:rPr>
        <w:t>Морская авиация:</w:t>
      </w:r>
    </w:p>
    <w:p w14:paraId="76895542" w14:textId="77777777" w:rsidR="00CD7855" w:rsidRPr="00405303" w:rsidRDefault="00CD7855" w:rsidP="00C15251">
      <w:pPr>
        <w:jc w:val="both"/>
        <w:rPr>
          <w:bCs/>
          <w:i/>
          <w:iCs/>
          <w:color w:val="002060"/>
          <w:sz w:val="16"/>
          <w:szCs w:val="16"/>
        </w:rPr>
      </w:pPr>
    </w:p>
    <w:p w14:paraId="60ED9077" w14:textId="77777777" w:rsidR="00CD7855" w:rsidRPr="00405303" w:rsidRDefault="00CD7855" w:rsidP="00C15251">
      <w:pPr>
        <w:jc w:val="both"/>
        <w:rPr>
          <w:bCs/>
          <w:color w:val="002060"/>
          <w:sz w:val="16"/>
          <w:szCs w:val="16"/>
        </w:rPr>
      </w:pPr>
      <w:r w:rsidRPr="00405303">
        <w:rPr>
          <w:bCs/>
          <w:color w:val="002060"/>
          <w:sz w:val="16"/>
          <w:szCs w:val="16"/>
        </w:rPr>
        <w:t>Во второй половине сентября 1915 года, когда германское командование стало активно применять самолеты для ударов по русским кораблям, «Орлицу» перебазировали в Рижский залив. Ее самолеты вели разведку, обеспечивали противоздушную оборону кораблей на огневых позициях, корректирование артиллерийского огня, бомбардировали позиции противника. 9 (22) октября 1915 г. корабельная авиагруппа вела разведку и обеспечила противовоздушную оборону при высадке десанта в районе Домеснеса (11333).</w:t>
      </w:r>
    </w:p>
    <w:p w14:paraId="14CC055E" w14:textId="77777777" w:rsidR="00CD7855" w:rsidRPr="00405303" w:rsidRDefault="00CD7855" w:rsidP="00C15251">
      <w:pPr>
        <w:jc w:val="both"/>
        <w:rPr>
          <w:bCs/>
          <w:i/>
          <w:color w:val="002060"/>
          <w:sz w:val="16"/>
          <w:szCs w:val="16"/>
        </w:rPr>
      </w:pPr>
    </w:p>
    <w:p w14:paraId="49310181"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78138315" w14:textId="77777777" w:rsidR="004B4E35" w:rsidRPr="00405303" w:rsidRDefault="004B4E35" w:rsidP="00C15251">
      <w:pPr>
        <w:jc w:val="both"/>
        <w:rPr>
          <w:bCs/>
          <w:i/>
          <w:color w:val="002060"/>
          <w:sz w:val="16"/>
          <w:szCs w:val="16"/>
        </w:rPr>
      </w:pPr>
    </w:p>
    <w:p w14:paraId="1F98B8F0" w14:textId="2B2949ED" w:rsidR="004B4E35" w:rsidRPr="00405303" w:rsidRDefault="00442A91"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октябре 1915 г.</w:t>
      </w:r>
      <w:r w:rsidRPr="00405303">
        <w:rPr>
          <w:bCs/>
          <w:color w:val="002060"/>
          <w:sz w:val="16"/>
          <w:szCs w:val="16"/>
        </w:rPr>
        <w:t xml:space="preserve"> </w:t>
      </w:r>
      <w:r w:rsidR="003810CD" w:rsidRPr="00405303">
        <w:rPr>
          <w:bCs/>
          <w:color w:val="002060"/>
          <w:sz w:val="16"/>
          <w:szCs w:val="16"/>
        </w:rPr>
        <w:t>машину, которую в</w:t>
      </w:r>
      <w:r w:rsidRPr="00405303">
        <w:rPr>
          <w:bCs/>
          <w:color w:val="002060"/>
          <w:sz w:val="16"/>
          <w:szCs w:val="16"/>
        </w:rPr>
        <w:t xml:space="preserve"> бумагах Черноморского флота иногда называли аппаратами М-4</w:t>
      </w:r>
      <w:r w:rsidR="003810CD" w:rsidRPr="00405303">
        <w:rPr>
          <w:bCs/>
          <w:color w:val="002060"/>
          <w:sz w:val="16"/>
          <w:szCs w:val="16"/>
        </w:rPr>
        <w:t xml:space="preserve"> </w:t>
      </w:r>
      <w:r w:rsidRPr="00405303">
        <w:rPr>
          <w:bCs/>
          <w:color w:val="002060"/>
          <w:sz w:val="16"/>
          <w:szCs w:val="16"/>
        </w:rPr>
        <w:t>с номером 30 списали</w:t>
      </w:r>
      <w:r w:rsidR="009E6F82" w:rsidRPr="00405303">
        <w:rPr>
          <w:bCs/>
          <w:color w:val="002060"/>
          <w:sz w:val="16"/>
          <w:szCs w:val="16"/>
        </w:rPr>
        <w:t>, а вот судьба второго гидро остается неизвестной. Балтийские Щ-2 и Щ-3 использовали до зимы 1915/16 г., после чего моторы с них сняли, а сами самолеты, по всей вероятности, в течение некоторого времени хранили в Ревеле. В заключение пишущий эти строки может только предположить, что серия упомянутых в данном разделе гидроаэроп</w:t>
      </w:r>
      <w:r w:rsidR="009E6F82" w:rsidRPr="00405303">
        <w:rPr>
          <w:bCs/>
          <w:color w:val="002060"/>
          <w:sz w:val="16"/>
          <w:szCs w:val="16"/>
        </w:rPr>
        <w:softHyphen/>
        <w:t>ланов состояла, в реальности, из 3 моделей: с М-2 по М-4. Допустим, разбитый в Гребном порту аппарат являлся летающей лодкой М-2, две собранные, а затем модернизированные в Ревеле машины—лодками типа М-3, а машины, летавшие на Черном море — лодками типа М-4; почему бы и нет? Возможно, они отличались друг от друга какими-то деталями конструкции — как это часто встречалось, например, у кертиссовских моделей, но их основная схема оставалась неизменной: одномоторный двухстоечный биплан с толкающей силовой установкой и корпусом, вмещавшим экипаж из двух человек. Размах верхних крыльев был гораздо больше, чем нижних, но при этом консольные части первых не поддержи</w:t>
      </w:r>
      <w:r w:rsidR="009E6F82" w:rsidRPr="00405303">
        <w:rPr>
          <w:bCs/>
          <w:color w:val="002060"/>
          <w:sz w:val="16"/>
          <w:szCs w:val="16"/>
        </w:rPr>
        <w:softHyphen/>
        <w:t>вались никакими крайними диагональными подкосами. Коробка крыльев по-прежнему устанавлива</w:t>
      </w:r>
      <w:r w:rsidR="009E6F82" w:rsidRPr="00405303">
        <w:rPr>
          <w:bCs/>
          <w:color w:val="002060"/>
          <w:sz w:val="16"/>
          <w:szCs w:val="16"/>
        </w:rPr>
        <w:softHyphen/>
        <w:t>лась над корпусом, а поверхности управления состояли из двух элеронов, двух рулей глубины и руля поворота, подвешенных, соответственно, к верхним несущим плоскостям, стабилизатору и килю. Из плоскодонного—у М-1, корпус лодки превратился в килеватый, со скулами в носовой части. По Шав-рову, на аппаратах серии М-2/М-4 якобы опробовали некоторые экспериментальные устройства, в том числе стабилизатор с изменяемым в полете углом атаки (для чего имелся винтовой подъемник под пере</w:t>
      </w:r>
      <w:r w:rsidR="009E6F82" w:rsidRPr="00405303">
        <w:rPr>
          <w:bCs/>
          <w:color w:val="002060"/>
          <w:sz w:val="16"/>
          <w:szCs w:val="16"/>
        </w:rPr>
        <w:softHyphen/>
        <w:t>дней кромкой) и «лыжа-лопата с резиновым буфером», пристроенная на шарнирах под хвостом для его лучшего отрыва от воды на разбеге. Нет никаких сомнений в том, что при строительстве использовали те же материалы, что и при сборке М-1. В процессе работы были высказаны и первые претензии касательно культуры и качества производства и, в частности, уже в деловой корреспонденции между Морским ведомством и ПРТВ от 30 июля 1914 г. сообщалось:</w:t>
      </w:r>
    </w:p>
    <w:p w14:paraId="40FB8FD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«Офицером, командированным вчера на Ваш завод, замечено небрежное выполнение столярных работ, неаккуратная сборка и совершенно недопустимая установка железных час</w:t>
      </w:r>
      <w:r w:rsidRPr="00405303">
        <w:rPr>
          <w:bCs/>
          <w:color w:val="002060"/>
          <w:sz w:val="16"/>
          <w:szCs w:val="16"/>
        </w:rPr>
        <w:softHyphen/>
        <w:t>тей там, где надлежит иметь их медными (днище). Считаю долгом предупредить, что подобные упущения, как влияющие на сокращение живучести корпуса, могут повести к нарушению контракта».</w:t>
      </w:r>
    </w:p>
    <w:p w14:paraId="0DCA6EA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Наблюдающим офицером служил уже знакомый читателю лейтенант И. И. Кульнев; к сожалению, несмотря на его и других моряков усилия, руководство ПРТВ не сумело вовремя искоренить дефекты, и болезнь приняла затяжной хронический характер (2807).</w:t>
      </w:r>
    </w:p>
    <w:p w14:paraId="2A04731C" w14:textId="77777777" w:rsidR="004B4E35" w:rsidRPr="00405303" w:rsidRDefault="004B4E35" w:rsidP="00C15251">
      <w:pPr>
        <w:shd w:val="clear" w:color="auto" w:fill="FFFFFF"/>
        <w:jc w:val="both"/>
        <w:rPr>
          <w:bCs/>
          <w:color w:val="002060"/>
          <w:sz w:val="16"/>
          <w:szCs w:val="16"/>
        </w:rPr>
      </w:pPr>
    </w:p>
    <w:p w14:paraId="75AB3DE4" w14:textId="08CAA79E" w:rsidR="004B4E35" w:rsidRPr="00405303" w:rsidRDefault="003810CD"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октябре</w:t>
      </w:r>
      <w:r w:rsidRPr="00405303">
        <w:rPr>
          <w:bCs/>
          <w:color w:val="002060"/>
          <w:sz w:val="16"/>
          <w:szCs w:val="16"/>
        </w:rPr>
        <w:t xml:space="preserve"> 1915 г. лодку №30 списали</w:t>
      </w:r>
      <w:r w:rsidR="009E6F82" w:rsidRPr="00405303">
        <w:rPr>
          <w:bCs/>
          <w:color w:val="002060"/>
          <w:sz w:val="16"/>
          <w:szCs w:val="16"/>
        </w:rPr>
        <w:t>; но Балтике Щ-2 и Щ-3 ис</w:t>
      </w:r>
      <w:r w:rsidR="009E6F82" w:rsidRPr="00405303">
        <w:rPr>
          <w:bCs/>
          <w:color w:val="002060"/>
          <w:sz w:val="16"/>
          <w:szCs w:val="16"/>
        </w:rPr>
        <w:softHyphen/>
        <w:t>пользовались до зимы 1915-1916 гг. после чего с них сняли двигатели (11759).</w:t>
      </w:r>
    </w:p>
    <w:p w14:paraId="45723DA0" w14:textId="77777777" w:rsidR="004B4E35" w:rsidRPr="00405303" w:rsidRDefault="004B4E35" w:rsidP="00C15251">
      <w:pPr>
        <w:shd w:val="clear" w:color="auto" w:fill="FFFFFF"/>
        <w:jc w:val="both"/>
        <w:rPr>
          <w:bCs/>
          <w:color w:val="002060"/>
          <w:sz w:val="16"/>
          <w:szCs w:val="16"/>
        </w:rPr>
      </w:pPr>
    </w:p>
    <w:p w14:paraId="4AB30F3F" w14:textId="2729B564" w:rsidR="004B4E35" w:rsidRPr="00405303" w:rsidRDefault="003810CD"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октябре 1915 г. </w:t>
      </w:r>
      <w:r w:rsidRPr="00405303">
        <w:rPr>
          <w:bCs/>
          <w:color w:val="002060"/>
          <w:sz w:val="16"/>
          <w:szCs w:val="16"/>
        </w:rPr>
        <w:t>в результате устного соглашения между начальником Воздухоплавательного отделе</w:t>
      </w:r>
      <w:r w:rsidRPr="00405303">
        <w:rPr>
          <w:bCs/>
          <w:color w:val="002060"/>
          <w:sz w:val="16"/>
          <w:szCs w:val="16"/>
        </w:rPr>
        <w:softHyphen/>
        <w:t xml:space="preserve">ния МГШ лейтенантом А. А. Тучковым и руководством ПРТВ заказ на изготовление первого прототипа аэроглиссера последовал контракт. </w:t>
      </w:r>
      <w:r w:rsidR="009E6F82" w:rsidRPr="00405303">
        <w:rPr>
          <w:bCs/>
          <w:color w:val="002060"/>
          <w:sz w:val="16"/>
          <w:szCs w:val="16"/>
        </w:rPr>
        <w:t>Одновременно лейтенант И. И. Голенищев-Кутузов назначался офицером, наблюдающим за работой (2807).</w:t>
      </w:r>
    </w:p>
    <w:p w14:paraId="525CC1D9" w14:textId="77777777" w:rsidR="004B4E35" w:rsidRPr="00405303" w:rsidRDefault="004B4E35" w:rsidP="00C15251">
      <w:pPr>
        <w:shd w:val="clear" w:color="auto" w:fill="FFFFFF"/>
        <w:jc w:val="both"/>
        <w:rPr>
          <w:bCs/>
          <w:color w:val="002060"/>
          <w:sz w:val="16"/>
          <w:szCs w:val="16"/>
        </w:rPr>
      </w:pPr>
    </w:p>
    <w:p w14:paraId="4B85732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октябре 1915 Адаменко получил первую партию необ</w:t>
      </w:r>
      <w:r w:rsidRPr="00405303">
        <w:rPr>
          <w:bCs/>
          <w:color w:val="002060"/>
          <w:sz w:val="16"/>
          <w:szCs w:val="16"/>
        </w:rPr>
        <w:softHyphen/>
        <w:t>ходимых проволоки и тросов (11124).</w:t>
      </w:r>
    </w:p>
    <w:p w14:paraId="599E95E6" w14:textId="77777777" w:rsidR="004B4E35" w:rsidRPr="00405303" w:rsidRDefault="004B4E35" w:rsidP="00C15251">
      <w:pPr>
        <w:shd w:val="clear" w:color="auto" w:fill="FFFFFF"/>
        <w:jc w:val="both"/>
        <w:rPr>
          <w:bCs/>
          <w:color w:val="002060"/>
          <w:sz w:val="16"/>
          <w:szCs w:val="16"/>
        </w:rPr>
      </w:pPr>
    </w:p>
    <w:p w14:paraId="33E97B63" w14:textId="40CA3324" w:rsidR="004B4E35" w:rsidRPr="00405303" w:rsidRDefault="003810CD" w:rsidP="00C15251">
      <w:pPr>
        <w:jc w:val="both"/>
        <w:rPr>
          <w:bCs/>
          <w:color w:val="002060"/>
          <w:sz w:val="16"/>
          <w:szCs w:val="16"/>
        </w:rPr>
      </w:pPr>
      <w:r w:rsidRPr="00405303">
        <w:rPr>
          <w:bCs/>
          <w:color w:val="002060"/>
          <w:sz w:val="16"/>
          <w:szCs w:val="16"/>
        </w:rPr>
        <w:t xml:space="preserve">В </w:t>
      </w:r>
      <w:r w:rsidR="009E6F82" w:rsidRPr="00405303">
        <w:rPr>
          <w:bCs/>
          <w:color w:val="002060"/>
          <w:sz w:val="16"/>
          <w:szCs w:val="16"/>
        </w:rPr>
        <w:t>октябр</w:t>
      </w:r>
      <w:r w:rsidRPr="00405303">
        <w:rPr>
          <w:bCs/>
          <w:color w:val="002060"/>
          <w:sz w:val="16"/>
          <w:szCs w:val="16"/>
        </w:rPr>
        <w:t>е</w:t>
      </w:r>
      <w:r w:rsidR="009E6F82" w:rsidRPr="00405303">
        <w:rPr>
          <w:bCs/>
          <w:color w:val="002060"/>
          <w:sz w:val="16"/>
          <w:szCs w:val="16"/>
        </w:rPr>
        <w:t xml:space="preserve"> 1915 года </w:t>
      </w:r>
      <w:r w:rsidRPr="00405303">
        <w:rPr>
          <w:bCs/>
          <w:color w:val="002060"/>
          <w:sz w:val="16"/>
          <w:szCs w:val="16"/>
        </w:rPr>
        <w:t xml:space="preserve">к моменту начала постройки </w:t>
      </w:r>
      <w:r w:rsidR="009E6F82" w:rsidRPr="00405303">
        <w:rPr>
          <w:bCs/>
          <w:color w:val="002060"/>
          <w:sz w:val="16"/>
          <w:szCs w:val="16"/>
        </w:rPr>
        <w:t>"Лебедь-Гранд" считался наиболее передовым среди прочих двухмоторных самолетов. Его строили в течение 1916-1917 гг., неподалеку от Петрограда, на заводе русского летчика и авиаконструктора Владимира Александровича Лебедева.</w:t>
      </w:r>
    </w:p>
    <w:p w14:paraId="1F2F4ED9" w14:textId="77777777" w:rsidR="004B4E35" w:rsidRPr="00405303" w:rsidRDefault="009E6F82" w:rsidP="00C15251">
      <w:pPr>
        <w:jc w:val="both"/>
        <w:rPr>
          <w:bCs/>
          <w:color w:val="002060"/>
          <w:sz w:val="16"/>
          <w:szCs w:val="16"/>
        </w:rPr>
      </w:pPr>
      <w:r w:rsidRPr="00405303">
        <w:rPr>
          <w:bCs/>
          <w:color w:val="002060"/>
          <w:sz w:val="16"/>
          <w:szCs w:val="16"/>
        </w:rPr>
        <w:t>Это предприятие было основано в 1914 году и специализировалось, главным образом, на выпуске одномоторных воздушных разведчиков, которых В. А. Лебедев выпускал в больших количествах и более, чем кто-либо из русских авиазаводчиков снабжал ими фронт.</w:t>
      </w:r>
    </w:p>
    <w:p w14:paraId="74F0920D" w14:textId="77777777" w:rsidR="004B4E35" w:rsidRPr="00405303" w:rsidRDefault="009E6F82" w:rsidP="00C15251">
      <w:pPr>
        <w:jc w:val="both"/>
        <w:rPr>
          <w:bCs/>
          <w:color w:val="002060"/>
          <w:sz w:val="16"/>
          <w:szCs w:val="16"/>
        </w:rPr>
      </w:pPr>
      <w:r w:rsidRPr="00405303">
        <w:rPr>
          <w:bCs/>
          <w:color w:val="002060"/>
          <w:sz w:val="16"/>
          <w:szCs w:val="16"/>
        </w:rPr>
        <w:t xml:space="preserve">"Лебедь-Гранд" был значительно более совершенным; чем другие аналогичные машины: "Русский Витязь" завода Руссо-Балт, РБВЗ-С-18 и РБВЗ-С-19 того же предприятия, а также аэропланы "Анатра ДЕ" и "Анадва", построенные на заводе А. А. Анатры. </w:t>
      </w:r>
    </w:p>
    <w:p w14:paraId="4C1FF7E8" w14:textId="77777777" w:rsidR="004B4E35" w:rsidRPr="00405303" w:rsidRDefault="009E6F82" w:rsidP="00C15251">
      <w:pPr>
        <w:jc w:val="both"/>
        <w:rPr>
          <w:bCs/>
          <w:color w:val="002060"/>
          <w:sz w:val="16"/>
          <w:szCs w:val="16"/>
        </w:rPr>
      </w:pPr>
      <w:r w:rsidRPr="00405303">
        <w:rPr>
          <w:bCs/>
          <w:color w:val="002060"/>
          <w:sz w:val="16"/>
          <w:szCs w:val="16"/>
        </w:rPr>
        <w:t xml:space="preserve">Автор проекта самолета Л. Д. Колпаков за время мировой войны разрабатывал всевозможные варианты подвижных пулеметных установок. Его механизмы, созданные на различных принципах подвижности, отличались широкими углами обстрела, вплоть до возможности ведения огня в зенитном положении. Практически все дуговые, шкворневые и турельные механизмы его были удачными и, что немаловажно, очень компактными. Так, наиболее известной и широко применяемой была установка со сферически-подвижной стрелковой точкой на двух секторальных шестернях. Она именовалась штанговой установкой, была самой удобной в эксплуатации и наиболее легкой по сравнению с механизмами других систем. Как разработчик стрелковых установок, Л. Д Колпаков работал по договорам на заводе Лебедева. Помимо названных работ, Колпаков занимался конструкторской деятельностью в области самолетостроения. На том же предприятии он спроектировал и построил два самолета. </w:t>
      </w:r>
    </w:p>
    <w:p w14:paraId="01764A70" w14:textId="77777777" w:rsidR="004B4E35" w:rsidRPr="00405303" w:rsidRDefault="009E6F82" w:rsidP="00C15251">
      <w:pPr>
        <w:jc w:val="both"/>
        <w:rPr>
          <w:bCs/>
          <w:color w:val="002060"/>
          <w:sz w:val="16"/>
          <w:szCs w:val="16"/>
        </w:rPr>
      </w:pPr>
      <w:r w:rsidRPr="00405303">
        <w:rPr>
          <w:bCs/>
          <w:color w:val="002060"/>
          <w:sz w:val="16"/>
          <w:szCs w:val="16"/>
        </w:rPr>
        <w:t>Первым был двухместный разведчик К-1 (Колпаков-1) с трофейным однорядным двигателем "Австро-Даймлер" мощностью 110 л.с. По схеме это был нормальный полутораплан с подвижной управляемой бипланной коробкой, которая на земле и в полете могла менять угол установки крыльев до 7° (11237).</w:t>
      </w:r>
    </w:p>
    <w:p w14:paraId="32126548" w14:textId="77777777" w:rsidR="004B4E35" w:rsidRPr="00405303" w:rsidRDefault="004B4E35" w:rsidP="00C15251">
      <w:pPr>
        <w:jc w:val="both"/>
        <w:rPr>
          <w:bCs/>
          <w:color w:val="002060"/>
          <w:sz w:val="16"/>
          <w:szCs w:val="16"/>
        </w:rPr>
      </w:pPr>
    </w:p>
    <w:p w14:paraId="445E7F42" w14:textId="61EB0D29" w:rsidR="004B4E35" w:rsidRPr="00405303" w:rsidRDefault="003810CD" w:rsidP="00C15251">
      <w:pPr>
        <w:jc w:val="both"/>
        <w:rPr>
          <w:bCs/>
          <w:color w:val="002060"/>
          <w:sz w:val="16"/>
          <w:szCs w:val="16"/>
        </w:rPr>
      </w:pPr>
      <w:r w:rsidRPr="00405303">
        <w:rPr>
          <w:bCs/>
          <w:color w:val="002060"/>
          <w:sz w:val="16"/>
          <w:szCs w:val="16"/>
        </w:rPr>
        <w:t xml:space="preserve">В </w:t>
      </w:r>
      <w:r w:rsidR="009E6F82" w:rsidRPr="00405303">
        <w:rPr>
          <w:bCs/>
          <w:color w:val="002060"/>
          <w:sz w:val="16"/>
          <w:szCs w:val="16"/>
        </w:rPr>
        <w:t>октябр</w:t>
      </w:r>
      <w:r w:rsidRPr="00405303">
        <w:rPr>
          <w:bCs/>
          <w:color w:val="002060"/>
          <w:sz w:val="16"/>
          <w:szCs w:val="16"/>
        </w:rPr>
        <w:t>е</w:t>
      </w:r>
      <w:r w:rsidR="009E6F82" w:rsidRPr="00405303">
        <w:rPr>
          <w:bCs/>
          <w:color w:val="002060"/>
          <w:sz w:val="16"/>
          <w:szCs w:val="16"/>
        </w:rPr>
        <w:t xml:space="preserve"> 1915 года </w:t>
      </w:r>
      <w:r w:rsidRPr="00405303">
        <w:rPr>
          <w:bCs/>
          <w:color w:val="002060"/>
          <w:sz w:val="16"/>
          <w:szCs w:val="16"/>
        </w:rPr>
        <w:t xml:space="preserve">к моменту начала постройки </w:t>
      </w:r>
      <w:r w:rsidR="009E6F82" w:rsidRPr="00405303">
        <w:rPr>
          <w:bCs/>
          <w:color w:val="002060"/>
          <w:sz w:val="16"/>
          <w:szCs w:val="16"/>
        </w:rPr>
        <w:t>"Лебедь-Гранд" считался наиболее передовым среди прочих двухмоторных самолетов. Его строили в течение 1916-1917 гг., неподалеку от Петрограда, на заводе русского летчика и авиаконструктора Владимира Александровича Лебедева.</w:t>
      </w:r>
    </w:p>
    <w:p w14:paraId="7844E529" w14:textId="77777777" w:rsidR="004B4E35" w:rsidRPr="00405303" w:rsidRDefault="009E6F82" w:rsidP="00C15251">
      <w:pPr>
        <w:jc w:val="both"/>
        <w:rPr>
          <w:bCs/>
          <w:color w:val="002060"/>
          <w:sz w:val="16"/>
          <w:szCs w:val="16"/>
        </w:rPr>
      </w:pPr>
      <w:r w:rsidRPr="00405303">
        <w:rPr>
          <w:bCs/>
          <w:color w:val="002060"/>
          <w:sz w:val="16"/>
          <w:szCs w:val="16"/>
        </w:rPr>
        <w:t>Это предприятие было основано в 1914 году и специализировалось, главным образом, на выпуске одномоторных воздушных разведчиков, которых В.А.Лебедев выпускал в больших количествах и более, чем кто-либо из русских авиазаводчиков, снабжал ими фронт.</w:t>
      </w:r>
    </w:p>
    <w:p w14:paraId="06183C1A" w14:textId="77777777" w:rsidR="004B4E35" w:rsidRPr="00405303" w:rsidRDefault="009E6F82" w:rsidP="00C15251">
      <w:pPr>
        <w:jc w:val="both"/>
        <w:rPr>
          <w:bCs/>
          <w:color w:val="002060"/>
          <w:sz w:val="16"/>
          <w:szCs w:val="16"/>
        </w:rPr>
      </w:pPr>
      <w:r w:rsidRPr="00405303">
        <w:rPr>
          <w:bCs/>
          <w:color w:val="002060"/>
          <w:sz w:val="16"/>
          <w:szCs w:val="16"/>
        </w:rPr>
        <w:t>"Лебедь-Гранд" был значительно более совершенным, чем другие аналогичные машины: "Русский Витязь" завода Руссо-Балт, РБВЗ-С-18 и РБВЗ-С-19 того же предприятия, а также аэропланы "Анатра ДЕ" и "Анадва", построенные на заводе А.А.Анатры.</w:t>
      </w:r>
    </w:p>
    <w:p w14:paraId="6AC65BA1" w14:textId="77777777" w:rsidR="004B4E35" w:rsidRPr="00405303" w:rsidRDefault="009E6F82" w:rsidP="00C15251">
      <w:pPr>
        <w:jc w:val="both"/>
        <w:rPr>
          <w:bCs/>
          <w:color w:val="002060"/>
          <w:sz w:val="16"/>
          <w:szCs w:val="16"/>
        </w:rPr>
      </w:pPr>
      <w:r w:rsidRPr="00405303">
        <w:rPr>
          <w:bCs/>
          <w:color w:val="002060"/>
          <w:sz w:val="16"/>
          <w:szCs w:val="16"/>
        </w:rPr>
        <w:t xml:space="preserve">Автор проекта самолета Л.Д.Колпаков за время мировой войны разрабатывал всевозможные варианты подвижных пулеметных установок. Его механизмы, созданные на различных принципах подвижности, отличались широкими углами обстрела, вплоть до возможности ведения огня в зенитном положении. Практически все </w:t>
      </w:r>
      <w:r w:rsidRPr="00405303">
        <w:rPr>
          <w:bCs/>
          <w:color w:val="002060"/>
          <w:sz w:val="16"/>
          <w:szCs w:val="16"/>
        </w:rPr>
        <w:lastRenderedPageBreak/>
        <w:t>дуговые, шкворневые и турельные механизмы его были удачными и, что немаловажно, очень компактными. Так, наиболее известной и широко применяемой была установка со сферически-подвижной стрелковой точкой на двух секторальных шестернях. Она именовалась штанговой установкой, была самой удобной в эксплуатации и наиболее легкой по сравнению с механизмами других систем. Как разработчик стрелковых установок, Л.Д.Колпаков работал по договорам на заводе Лебедева. Помимо названных работ, Колпаков занимался конструкторской деятельностью в области самолетостроения. На том же предприятии он спроектировал и построил два самолета.</w:t>
      </w:r>
    </w:p>
    <w:p w14:paraId="56B61371" w14:textId="77777777" w:rsidR="004B4E35" w:rsidRPr="00405303" w:rsidRDefault="009E6F82" w:rsidP="00C15251">
      <w:pPr>
        <w:jc w:val="both"/>
        <w:rPr>
          <w:bCs/>
          <w:color w:val="002060"/>
          <w:sz w:val="16"/>
          <w:szCs w:val="16"/>
        </w:rPr>
      </w:pPr>
      <w:r w:rsidRPr="00405303">
        <w:rPr>
          <w:bCs/>
          <w:color w:val="002060"/>
          <w:sz w:val="16"/>
          <w:szCs w:val="16"/>
        </w:rPr>
        <w:t>Первым был двухместный разведчик К-1 (Колпаков-1) с трофейным однорядным двигателем "Австро-Даймлер" мощностью 110 л.с. По схеме это был нормальный полутораплан с подвижной управляемой бипланной коробкой, которая на земле и в полете могла менять угол установки крыльев до 7°. На летных испытаниях летом 1916 г. этот самолет постигла участь едва ли не всех аппаратов с переменным углом установки крыльев. При первом же взлете с поднятыми крыльями самолет стал круто набирать высоту и при падении был разрушен. На этом было принято решение о прекращении работ. Летчик М.Ф.Госповский не пострадал, аппарат ремонту не подлежал.</w:t>
      </w:r>
    </w:p>
    <w:p w14:paraId="2214BBE1" w14:textId="77777777" w:rsidR="004B4E35" w:rsidRPr="00405303" w:rsidRDefault="009E6F82" w:rsidP="00C15251">
      <w:pPr>
        <w:jc w:val="both"/>
        <w:rPr>
          <w:bCs/>
          <w:color w:val="002060"/>
          <w:sz w:val="16"/>
          <w:szCs w:val="16"/>
        </w:rPr>
      </w:pPr>
      <w:r w:rsidRPr="00405303">
        <w:rPr>
          <w:bCs/>
          <w:color w:val="002060"/>
          <w:sz w:val="16"/>
          <w:szCs w:val="16"/>
        </w:rPr>
        <w:t>В сентябре 1914 года, после начала Германской войны, Л.Д.Колпаков обратился в Военное ведомство с предложением о создании боевого аэроплана, предназначенного для выполнения дальней воздушной разведки, бомбардирования войск и военных объектов противника. Руководство ведомства отнеслось к этой идее положительно и, согласовав с авиационным отделом специфические тонкости, сформулировало задание, согласно которому будущий "Летающий крейсер" должен был бы иметь "скорость полета 150-160 км/ч, высоту порядка 4000-5000 м и при бомбовой нагрузке 550-600 кг...".</w:t>
      </w:r>
    </w:p>
    <w:p w14:paraId="10787AD0" w14:textId="77777777" w:rsidR="004B4E35" w:rsidRPr="00405303" w:rsidRDefault="009E6F82" w:rsidP="00C15251">
      <w:pPr>
        <w:jc w:val="both"/>
        <w:rPr>
          <w:bCs/>
          <w:color w:val="002060"/>
          <w:sz w:val="16"/>
          <w:szCs w:val="16"/>
        </w:rPr>
      </w:pPr>
      <w:r w:rsidRPr="00405303">
        <w:rPr>
          <w:bCs/>
          <w:color w:val="002060"/>
          <w:sz w:val="16"/>
          <w:szCs w:val="16"/>
        </w:rPr>
        <w:t xml:space="preserve">Ответ на предложение инженера-изобретателя пришел только к началу следующего года, и он при поддержке специалистов завода Лебедева разработал проект аэроплана, который был представлен и утвержден заказчиком весной 1915 года. Принятые в проекте основные геометрические параметры и расчетные весовые характеристики оказались в такой степени близкими к реальности, что практически не изменились к окончанию постройки "Лебедя-14". Отклонения были вынужденными и оказались несущественными. Первоначальная ориентация на два мотора мощностью по 150 л.с. (было отмечено в задании) привела к выбору для самолета доступных двигателей "Бенц". Под такую силовую установку был рассчитан рабочий проект, а также выпущен ознакомительный альбом для военных и смотровая (тактическая) модель. После принятия представленных документов, носивших больше рекламный характер, чем практический, выяснилось, что далеко не всегда трофейные моторы (независимо от марки) могут быть доведены до требуемой мощности в связи с отсутствием для них формуляров, инструкций и прочей эксплуатационной документации. Имевшиеся моторы были не совсем и неодинаково исправны, нуждались в ремонте и длительной доводке. Больше, чем по 140 л.с. </w:t>
      </w:r>
      <w:proofErr w:type="gramStart"/>
      <w:r w:rsidRPr="00405303">
        <w:rPr>
          <w:bCs/>
          <w:color w:val="002060"/>
          <w:sz w:val="16"/>
          <w:szCs w:val="16"/>
        </w:rPr>
        <w:t>мощности,они</w:t>
      </w:r>
      <w:proofErr w:type="gramEnd"/>
      <w:r w:rsidRPr="00405303">
        <w:rPr>
          <w:bCs/>
          <w:color w:val="002060"/>
          <w:sz w:val="16"/>
          <w:szCs w:val="16"/>
        </w:rPr>
        <w:t xml:space="preserve"> дать не могли. Начавшиеся поставки союзников упростили задачу оснащения крейсера нужной силовой группой. Французская фирма "Сальмсон" предложила стационарные звездообразные моторы воздушного охлаждения нужной мощности. Они и были выбраны для самолета. Прежние двигатели "Бенц" хотели было поставить между парами внутренних стоек бипланной коробки. Для устройства подмоторного крепежа стойки получили бы форму ромба при общих точках опоры на верхнем и нижнем крыльях. Двигатели должны были быть установлены на горизонтальные подмоторные брусья, лежащие посередине высоты стоек. После замены моторов Л.Д.Колпаков принял решение об устройстве двух обтекаемых мотогондол, объединяющих все агрегаты и системы винтомоторных групп. Каждая мотогондола собиралась из тянущего двухлопастного винта (d=2,9 м), начинаясь с его кока, собственно двигателя "Сальмсон", размещенного в миделевом сечении гондолы и установленного на Y-образных передних стойках бипланной коробки без моторных рам. Далее, в центральном отсеке каждой гондолы был устроен топливный бак на 420 л бензина, отделенный от двигателя противопожарной перегородкой. Внутри хвостовых обтекателей было помещено еще по одному баку, вернее -бачку, на 45 л моторного масла. Хвостовые опоры крепления мотогондол, лежащие в плоскости задних лонжеронных крыльев, имели V-образную форму и были составлены из алюминиевых труб каплевидного сечения, аналогично Y-образным стойкам, на которых висели двигатели. Для передачи силы тяги ВМГ на конструкцию аэроплана к переднему лонжерону нижнего крыла были прикреплены два подкоса. Передний подкос, работающий на растяжение, шел от первого шпангоута гондолы, по оси которого был заделан люнет для удлиненного вала, передающего обороты на пропеллер. Задний подкос работал на сжатие, он разгружал хвостовое крепление гондолы, т.е. Y-образную стойку крыльев, которая при даче газа работала на изгиб. Таким образом, наиболее сложно нагруженными точками конструкции самолета были узлы переднего лонжерона нижнего крыла, к которым подходили и крепились передние стержни стоек шасси (снизу), а внутри крыла была установлена еще и усиленная нервюра. Поэтому, в центральной части нижнего крыла элементы конструкции были усилены, выполнены более мощными (за счет включения стальных накладок, уголков и фитингов), чем в остальных регулярных зонах по размаху. По рекомендации профессора С.П.Тимошенко, центральная клетка бипланной коробки получила дополнительное усиление набором диагональных растяжек. Все пролеты между стойками также были расчалены по диагоналям стальными лентами. Концевые вылеты верхнего крыла были поддержаны подкосами от нижних заделок крайних вертикальных стоек и дополнительно подкреплены контрподкосами. Конструкция крыльев - деревянная, с полотняной обтяжкой. Элероны были только на верхнем крыле. Двухколесное шасси имело опорные стойки, установленные под нижним крылом в плоскости каждой мотогондолы на расстоянии от оси самолета 2,15 м. Между днищем фюзеляжа и полувилками пневматиков были установлены Y-образные подкосы, качающиеся вокруг шарниров заделки в корпусе при движении аппарата по неровному грунту. Мощные многовитковые резиновые амортизаторы, стягивающие передние и задние стержни стоек шасси, допускали возможные перемещения колес при осадке в пределах 220-250 мм. Ход за счет обжатия пневматиков был незначительным, а поэтому нерасчетным. Колеса (900x120 мм) имели ободы, сделанные из гнутого ясеня и легкие алюминиевые колпаки (6=3 мм), которые закрыли с двух сторон спицы каждого колеса и крепились к ободам на 8-ми винтах. Хвостовое оперение состояло из киля, стабилизатора и рулей, имевших нарочито округлые формы передних и задних кромок, включая и осевую компенсацию руля поворота.</w:t>
      </w:r>
    </w:p>
    <w:p w14:paraId="790C2964" w14:textId="77777777" w:rsidR="004B4E35" w:rsidRPr="00405303" w:rsidRDefault="009E6F82" w:rsidP="00C15251">
      <w:pPr>
        <w:jc w:val="both"/>
        <w:rPr>
          <w:bCs/>
          <w:color w:val="002060"/>
          <w:sz w:val="16"/>
          <w:szCs w:val="16"/>
        </w:rPr>
      </w:pPr>
      <w:r w:rsidRPr="00405303">
        <w:rPr>
          <w:bCs/>
          <w:color w:val="002060"/>
          <w:sz w:val="16"/>
          <w:szCs w:val="16"/>
        </w:rPr>
        <w:t>Фюзеляж состоял из двух деревянных монококовых частей (впервые в России для крупных самолетов). Передняя его часть имела наружные обводы двойной кривизны, каркас состоял из семи шпангоутов и набора стрингеров, четыре из которых были усилены и фактически выполняли функцию лонжеронов. На двух нижних продольных брусьях был постлан пол в кабинах переднего стрелка и летчика. В пределах рабочего места аэрофотографа пол был приопущен для удобства воздушной съемки через бортовые иллюминаторы. Задняя часть фюзеляжа имела также монококовую конструкцию и соединялась с головной частью фланцевым стыком. Она была набрана из десяти шпангоутов и комплекта разновеликих стрингеров. У самого стыкового фланца была устроена кабина для заднего стрелка. Все члены экипажа занимали свои места, пользуясь открытыми проемами. У фотографа был еще нижний аварийный люк, который мог применяться как окно для ручного бомбометания. Стрелковое вооружение "Лебедя-Гранда" состояло из трех пулеметов. В одном из проектных вариантов вооружения значилась пушка калибра 37 мм и два пулемета. Управление элеронами и рулевыми поверхностями хвостового оперения -тросовое, с прокладкой силовых коммуникаций внутри обшивки крыльев и фюзеляжа.</w:t>
      </w:r>
    </w:p>
    <w:p w14:paraId="629CEB7E" w14:textId="77777777" w:rsidR="004B4E35" w:rsidRPr="00405303" w:rsidRDefault="009E6F82" w:rsidP="00C15251">
      <w:pPr>
        <w:jc w:val="both"/>
        <w:rPr>
          <w:bCs/>
          <w:color w:val="002060"/>
          <w:sz w:val="16"/>
          <w:szCs w:val="16"/>
        </w:rPr>
      </w:pPr>
      <w:r w:rsidRPr="00405303">
        <w:rPr>
          <w:bCs/>
          <w:color w:val="002060"/>
          <w:sz w:val="16"/>
          <w:szCs w:val="16"/>
        </w:rPr>
        <w:t>В целом, конструкция аэроплана была тщательно продумана и добротно выполнена в производстве. "Лебедь-Гранд" обладал хорошей аэродинамикой и полноценным вооружением, будучи ярко выраженным типом дальнего разведчика или среднего бомбардировщика, в зависимости от назначения, вариантов целевого оснащения и боевой нагрузки.</w:t>
      </w:r>
    </w:p>
    <w:p w14:paraId="39033EE1" w14:textId="77777777" w:rsidR="004B4E35" w:rsidRPr="00405303" w:rsidRDefault="009E6F82" w:rsidP="00C15251">
      <w:pPr>
        <w:jc w:val="both"/>
        <w:rPr>
          <w:bCs/>
          <w:color w:val="002060"/>
          <w:sz w:val="16"/>
          <w:szCs w:val="16"/>
        </w:rPr>
      </w:pPr>
      <w:r w:rsidRPr="00405303">
        <w:rPr>
          <w:bCs/>
          <w:color w:val="002060"/>
          <w:sz w:val="16"/>
          <w:szCs w:val="16"/>
        </w:rPr>
        <w:t>Однако, ему не удалось показать себя ни в одном из боевых качеств, предписанных заказчиками и создателями еще на стадии проектирования.</w:t>
      </w:r>
    </w:p>
    <w:p w14:paraId="4C900C1D" w14:textId="77777777" w:rsidR="004B4E35" w:rsidRPr="00405303" w:rsidRDefault="009E6F82" w:rsidP="00C15251">
      <w:pPr>
        <w:jc w:val="both"/>
        <w:rPr>
          <w:bCs/>
          <w:color w:val="002060"/>
          <w:sz w:val="16"/>
          <w:szCs w:val="16"/>
        </w:rPr>
      </w:pPr>
      <w:r w:rsidRPr="00405303">
        <w:rPr>
          <w:bCs/>
          <w:color w:val="002060"/>
          <w:sz w:val="16"/>
          <w:szCs w:val="16"/>
        </w:rPr>
        <w:t>Постройка аппарата началась в середине 1916 года и продолжалась до второй половины 1917 года. Начавшиеся летные испытания до конца доведены не были, однако, было выявлено, что центровка машины была неудовлетворительной. На вооружение армии самолет, естественно, принят не был. Имевшиеся в конструкции недостатки можно было устранить, но отрицательное отношение Военного ведомства к машинам большого тоннажа не дало возможности довести "Лебедя-Гранда" до серийного производства. Ко всему прочему, политические события в Петрограде, да и в России в целом, не позволили проводить дальнейшее совершенствование авиационной техники. Обрушившийся на Российскую империю всеобщий крах выбил авиацию "как класс" на полных 6-7 лет, пока в 1923-24 гг. не начали появляться вновь первые низкопробные любительские авиетки и на верные 10-12 лет, пока в стране не появились первые крупносерийные самолеты, достойные всеобщего уважения.</w:t>
      </w:r>
    </w:p>
    <w:p w14:paraId="4D2D8E39" w14:textId="77777777" w:rsidR="004B4E35" w:rsidRPr="00405303" w:rsidRDefault="009E6F82" w:rsidP="00C15251">
      <w:pPr>
        <w:jc w:val="both"/>
        <w:rPr>
          <w:bCs/>
          <w:color w:val="002060"/>
          <w:sz w:val="16"/>
          <w:szCs w:val="16"/>
        </w:rPr>
      </w:pPr>
      <w:r w:rsidRPr="00405303">
        <w:rPr>
          <w:bCs/>
          <w:color w:val="002060"/>
          <w:sz w:val="16"/>
          <w:szCs w:val="16"/>
        </w:rPr>
        <w:t>"Большой истребитель" инженера Л.Д.Колпакова-Мирошниченко стал "Лебединой песней" российской дореволюционной авиации</w:t>
      </w:r>
    </w:p>
    <w:p w14:paraId="67B60ACE" w14:textId="77777777" w:rsidR="004B4E35" w:rsidRPr="00405303" w:rsidRDefault="009E6F82" w:rsidP="00C15251">
      <w:pPr>
        <w:jc w:val="both"/>
        <w:rPr>
          <w:bCs/>
          <w:color w:val="002060"/>
          <w:sz w:val="16"/>
          <w:szCs w:val="16"/>
        </w:rPr>
      </w:pPr>
      <w:r w:rsidRPr="00405303">
        <w:rPr>
          <w:bCs/>
          <w:color w:val="002060"/>
          <w:sz w:val="16"/>
          <w:szCs w:val="16"/>
        </w:rPr>
        <w:t>Сам конструктор заявил о себе спустя несколько лет. В 1926 году появился его легкий бомбардировщик ЛБ-2ЛД. Он проходил летные испытания, но дальнейшего развития не получил в связи с появлением ТБ-1 А.Н.Туполева. Самолет во многом напоминал "Лебедь-Гранд".</w:t>
      </w:r>
    </w:p>
    <w:tbl>
      <w:tblPr>
        <w:tblW w:w="0" w:type="auto"/>
        <w:tblLayout w:type="fixed"/>
        <w:tblCellMar>
          <w:left w:w="0" w:type="dxa"/>
          <w:right w:w="0" w:type="dxa"/>
        </w:tblCellMar>
        <w:tblLook w:val="0000" w:firstRow="0" w:lastRow="0" w:firstColumn="0" w:lastColumn="0" w:noHBand="0" w:noVBand="0"/>
      </w:tblPr>
      <w:tblGrid>
        <w:gridCol w:w="5045"/>
        <w:gridCol w:w="4314"/>
      </w:tblGrid>
      <w:tr w:rsidR="00946658" w:rsidRPr="00405303" w14:paraId="41D36312" w14:textId="77777777" w:rsidTr="00946658">
        <w:tc>
          <w:tcPr>
            <w:tcW w:w="9359" w:type="dxa"/>
            <w:gridSpan w:val="2"/>
          </w:tcPr>
          <w:p w14:paraId="4DC96278" w14:textId="77777777" w:rsidR="004B4E35" w:rsidRPr="00405303" w:rsidRDefault="009E6F82" w:rsidP="00C15251">
            <w:pPr>
              <w:jc w:val="both"/>
              <w:rPr>
                <w:bCs/>
                <w:color w:val="002060"/>
                <w:sz w:val="16"/>
                <w:szCs w:val="16"/>
              </w:rPr>
            </w:pPr>
            <w:r w:rsidRPr="00405303">
              <w:rPr>
                <w:bCs/>
                <w:color w:val="002060"/>
                <w:sz w:val="16"/>
                <w:szCs w:val="16"/>
              </w:rPr>
              <w:t>Основные летно-тактические характеристики самолета "Лебедь-Гранд"</w:t>
            </w:r>
          </w:p>
        </w:tc>
      </w:tr>
      <w:tr w:rsidR="004B4E35" w:rsidRPr="00405303" w14:paraId="3AAA6F50" w14:textId="77777777">
        <w:tc>
          <w:tcPr>
            <w:tcW w:w="5045" w:type="dxa"/>
            <w:tcBorders>
              <w:top w:val="single" w:sz="12" w:space="0" w:color="auto"/>
              <w:left w:val="single" w:sz="12" w:space="0" w:color="auto"/>
              <w:bottom w:val="single" w:sz="6" w:space="0" w:color="auto"/>
              <w:right w:val="single" w:sz="6" w:space="0" w:color="auto"/>
            </w:tcBorders>
          </w:tcPr>
          <w:p w14:paraId="658C7C55" w14:textId="77777777" w:rsidR="004B4E35" w:rsidRPr="00405303" w:rsidRDefault="009E6F82" w:rsidP="00C15251">
            <w:pPr>
              <w:jc w:val="both"/>
              <w:rPr>
                <w:bCs/>
                <w:color w:val="002060"/>
                <w:sz w:val="16"/>
                <w:szCs w:val="16"/>
              </w:rPr>
            </w:pPr>
            <w:r w:rsidRPr="00405303">
              <w:rPr>
                <w:bCs/>
                <w:color w:val="002060"/>
                <w:sz w:val="16"/>
                <w:szCs w:val="16"/>
              </w:rPr>
              <w:lastRenderedPageBreak/>
              <w:t>Самолет</w:t>
            </w:r>
          </w:p>
        </w:tc>
        <w:tc>
          <w:tcPr>
            <w:tcW w:w="4314" w:type="dxa"/>
            <w:tcBorders>
              <w:top w:val="single" w:sz="12" w:space="0" w:color="auto"/>
              <w:left w:val="single" w:sz="6" w:space="0" w:color="auto"/>
              <w:bottom w:val="single" w:sz="6" w:space="0" w:color="auto"/>
              <w:right w:val="single" w:sz="12" w:space="0" w:color="auto"/>
            </w:tcBorders>
          </w:tcPr>
          <w:p w14:paraId="598ABE11" w14:textId="77777777" w:rsidR="004B4E35" w:rsidRPr="00405303" w:rsidRDefault="009E6F82" w:rsidP="00C15251">
            <w:pPr>
              <w:jc w:val="both"/>
              <w:rPr>
                <w:bCs/>
                <w:color w:val="002060"/>
                <w:sz w:val="16"/>
                <w:szCs w:val="16"/>
              </w:rPr>
            </w:pPr>
            <w:r w:rsidRPr="00405303">
              <w:rPr>
                <w:bCs/>
                <w:color w:val="002060"/>
                <w:sz w:val="16"/>
                <w:szCs w:val="16"/>
              </w:rPr>
              <w:t>"Лебедь-Гранд"</w:t>
            </w:r>
          </w:p>
        </w:tc>
      </w:tr>
      <w:tr w:rsidR="004B4E35" w:rsidRPr="00405303" w14:paraId="684E4099" w14:textId="77777777">
        <w:tc>
          <w:tcPr>
            <w:tcW w:w="5045" w:type="dxa"/>
            <w:tcBorders>
              <w:top w:val="single" w:sz="6" w:space="0" w:color="auto"/>
              <w:left w:val="single" w:sz="12" w:space="0" w:color="auto"/>
              <w:bottom w:val="single" w:sz="6" w:space="0" w:color="auto"/>
              <w:right w:val="single" w:sz="6" w:space="0" w:color="auto"/>
            </w:tcBorders>
          </w:tcPr>
          <w:p w14:paraId="377D216F" w14:textId="77777777" w:rsidR="004B4E35" w:rsidRPr="00405303" w:rsidRDefault="009E6F82" w:rsidP="00C15251">
            <w:pPr>
              <w:jc w:val="both"/>
              <w:rPr>
                <w:bCs/>
                <w:color w:val="002060"/>
                <w:sz w:val="16"/>
                <w:szCs w:val="16"/>
              </w:rPr>
            </w:pPr>
            <w:r w:rsidRPr="00405303">
              <w:rPr>
                <w:bCs/>
                <w:color w:val="002060"/>
                <w:sz w:val="16"/>
                <w:szCs w:val="16"/>
              </w:rPr>
              <w:t>Год выпуска</w:t>
            </w:r>
          </w:p>
        </w:tc>
        <w:tc>
          <w:tcPr>
            <w:tcW w:w="4314" w:type="dxa"/>
            <w:tcBorders>
              <w:top w:val="single" w:sz="6" w:space="0" w:color="auto"/>
              <w:left w:val="single" w:sz="6" w:space="0" w:color="auto"/>
              <w:bottom w:val="single" w:sz="6" w:space="0" w:color="auto"/>
              <w:right w:val="single" w:sz="12" w:space="0" w:color="auto"/>
            </w:tcBorders>
          </w:tcPr>
          <w:p w14:paraId="56788334" w14:textId="77777777" w:rsidR="004B4E35" w:rsidRPr="00405303" w:rsidRDefault="009E6F82" w:rsidP="00C15251">
            <w:pPr>
              <w:jc w:val="both"/>
              <w:rPr>
                <w:bCs/>
                <w:color w:val="002060"/>
                <w:sz w:val="16"/>
                <w:szCs w:val="16"/>
              </w:rPr>
            </w:pPr>
            <w:r w:rsidRPr="00405303">
              <w:rPr>
                <w:bCs/>
                <w:color w:val="002060"/>
                <w:sz w:val="16"/>
                <w:szCs w:val="16"/>
              </w:rPr>
              <w:t>1917</w:t>
            </w:r>
          </w:p>
        </w:tc>
      </w:tr>
      <w:tr w:rsidR="004B4E35" w:rsidRPr="00405303" w14:paraId="53DFDB6E" w14:textId="77777777">
        <w:tc>
          <w:tcPr>
            <w:tcW w:w="5045" w:type="dxa"/>
            <w:tcBorders>
              <w:top w:val="single" w:sz="6" w:space="0" w:color="auto"/>
              <w:left w:val="single" w:sz="12" w:space="0" w:color="auto"/>
              <w:bottom w:val="single" w:sz="6" w:space="0" w:color="auto"/>
              <w:right w:val="single" w:sz="6" w:space="0" w:color="auto"/>
            </w:tcBorders>
          </w:tcPr>
          <w:p w14:paraId="1D111E34" w14:textId="77777777" w:rsidR="004B4E35" w:rsidRPr="00405303" w:rsidRDefault="009E6F82" w:rsidP="00C15251">
            <w:pPr>
              <w:jc w:val="both"/>
              <w:rPr>
                <w:bCs/>
                <w:color w:val="002060"/>
                <w:sz w:val="16"/>
                <w:szCs w:val="16"/>
              </w:rPr>
            </w:pPr>
            <w:r w:rsidRPr="00405303">
              <w:rPr>
                <w:bCs/>
                <w:color w:val="002060"/>
                <w:sz w:val="16"/>
                <w:szCs w:val="16"/>
              </w:rPr>
              <w:t>Заводское обозначение</w:t>
            </w:r>
          </w:p>
        </w:tc>
        <w:tc>
          <w:tcPr>
            <w:tcW w:w="4314" w:type="dxa"/>
            <w:tcBorders>
              <w:top w:val="single" w:sz="6" w:space="0" w:color="auto"/>
              <w:left w:val="single" w:sz="6" w:space="0" w:color="auto"/>
              <w:bottom w:val="single" w:sz="6" w:space="0" w:color="auto"/>
              <w:right w:val="single" w:sz="12" w:space="0" w:color="auto"/>
            </w:tcBorders>
          </w:tcPr>
          <w:p w14:paraId="34C06498" w14:textId="77777777" w:rsidR="004B4E35" w:rsidRPr="00405303" w:rsidRDefault="009E6F82" w:rsidP="00C15251">
            <w:pPr>
              <w:jc w:val="both"/>
              <w:rPr>
                <w:bCs/>
                <w:color w:val="002060"/>
                <w:sz w:val="16"/>
                <w:szCs w:val="16"/>
              </w:rPr>
            </w:pPr>
            <w:r w:rsidRPr="00405303">
              <w:rPr>
                <w:bCs/>
                <w:color w:val="002060"/>
                <w:sz w:val="16"/>
                <w:szCs w:val="16"/>
              </w:rPr>
              <w:t>Л-14</w:t>
            </w:r>
          </w:p>
        </w:tc>
      </w:tr>
      <w:tr w:rsidR="004B4E35" w:rsidRPr="00405303" w14:paraId="386A978C" w14:textId="77777777">
        <w:tc>
          <w:tcPr>
            <w:tcW w:w="5045" w:type="dxa"/>
            <w:tcBorders>
              <w:top w:val="single" w:sz="6" w:space="0" w:color="auto"/>
              <w:left w:val="single" w:sz="12" w:space="0" w:color="auto"/>
              <w:bottom w:val="single" w:sz="6" w:space="0" w:color="auto"/>
              <w:right w:val="single" w:sz="6" w:space="0" w:color="auto"/>
            </w:tcBorders>
          </w:tcPr>
          <w:p w14:paraId="4DF1FE5A" w14:textId="77777777" w:rsidR="004B4E35" w:rsidRPr="00405303" w:rsidRDefault="009E6F82" w:rsidP="00C15251">
            <w:pPr>
              <w:jc w:val="both"/>
              <w:rPr>
                <w:bCs/>
                <w:color w:val="002060"/>
                <w:sz w:val="16"/>
                <w:szCs w:val="16"/>
              </w:rPr>
            </w:pPr>
            <w:r w:rsidRPr="00405303">
              <w:rPr>
                <w:bCs/>
                <w:color w:val="002060"/>
                <w:sz w:val="16"/>
                <w:szCs w:val="16"/>
              </w:rPr>
              <w:t>Силовая установка</w:t>
            </w:r>
          </w:p>
        </w:tc>
        <w:tc>
          <w:tcPr>
            <w:tcW w:w="4314" w:type="dxa"/>
            <w:tcBorders>
              <w:top w:val="single" w:sz="6" w:space="0" w:color="auto"/>
              <w:left w:val="single" w:sz="6" w:space="0" w:color="auto"/>
              <w:bottom w:val="single" w:sz="6" w:space="0" w:color="auto"/>
              <w:right w:val="single" w:sz="12" w:space="0" w:color="auto"/>
            </w:tcBorders>
          </w:tcPr>
          <w:p w14:paraId="57B7920B" w14:textId="77777777" w:rsidR="004B4E35" w:rsidRPr="00405303" w:rsidRDefault="009E6F82" w:rsidP="00C15251">
            <w:pPr>
              <w:jc w:val="both"/>
              <w:rPr>
                <w:bCs/>
                <w:color w:val="002060"/>
                <w:sz w:val="16"/>
                <w:szCs w:val="16"/>
              </w:rPr>
            </w:pPr>
            <w:r w:rsidRPr="00405303">
              <w:rPr>
                <w:bCs/>
                <w:color w:val="002060"/>
                <w:sz w:val="16"/>
                <w:szCs w:val="16"/>
              </w:rPr>
              <w:t>2х"Сальмсон"</w:t>
            </w:r>
          </w:p>
        </w:tc>
      </w:tr>
      <w:tr w:rsidR="004B4E35" w:rsidRPr="00405303" w14:paraId="2AE071E3" w14:textId="77777777">
        <w:tc>
          <w:tcPr>
            <w:tcW w:w="5045" w:type="dxa"/>
            <w:tcBorders>
              <w:top w:val="single" w:sz="6" w:space="0" w:color="auto"/>
              <w:left w:val="single" w:sz="12" w:space="0" w:color="auto"/>
              <w:bottom w:val="single" w:sz="6" w:space="0" w:color="auto"/>
              <w:right w:val="single" w:sz="6" w:space="0" w:color="auto"/>
            </w:tcBorders>
          </w:tcPr>
          <w:p w14:paraId="6C44B0BF" w14:textId="77777777" w:rsidR="004B4E35" w:rsidRPr="00405303" w:rsidRDefault="009E6F82" w:rsidP="00C15251">
            <w:pPr>
              <w:jc w:val="both"/>
              <w:rPr>
                <w:bCs/>
                <w:color w:val="002060"/>
                <w:sz w:val="16"/>
                <w:szCs w:val="16"/>
              </w:rPr>
            </w:pPr>
            <w:r w:rsidRPr="00405303">
              <w:rPr>
                <w:bCs/>
                <w:color w:val="002060"/>
                <w:sz w:val="16"/>
                <w:szCs w:val="16"/>
              </w:rPr>
              <w:t>Мощность максимальная, л. с.</w:t>
            </w:r>
          </w:p>
        </w:tc>
        <w:tc>
          <w:tcPr>
            <w:tcW w:w="4314" w:type="dxa"/>
            <w:tcBorders>
              <w:top w:val="single" w:sz="6" w:space="0" w:color="auto"/>
              <w:left w:val="single" w:sz="6" w:space="0" w:color="auto"/>
              <w:bottom w:val="single" w:sz="6" w:space="0" w:color="auto"/>
              <w:right w:val="single" w:sz="12" w:space="0" w:color="auto"/>
            </w:tcBorders>
          </w:tcPr>
          <w:p w14:paraId="223D75E4" w14:textId="77777777" w:rsidR="004B4E35" w:rsidRPr="00405303" w:rsidRDefault="009E6F82" w:rsidP="00C15251">
            <w:pPr>
              <w:jc w:val="both"/>
              <w:rPr>
                <w:bCs/>
                <w:color w:val="002060"/>
                <w:sz w:val="16"/>
                <w:szCs w:val="16"/>
              </w:rPr>
            </w:pPr>
            <w:r w:rsidRPr="00405303">
              <w:rPr>
                <w:bCs/>
                <w:color w:val="002060"/>
                <w:sz w:val="16"/>
                <w:szCs w:val="16"/>
              </w:rPr>
              <w:t>2x150</w:t>
            </w:r>
          </w:p>
        </w:tc>
      </w:tr>
      <w:tr w:rsidR="004B4E35" w:rsidRPr="00405303" w14:paraId="5E3BBA7C" w14:textId="77777777">
        <w:tc>
          <w:tcPr>
            <w:tcW w:w="5045" w:type="dxa"/>
            <w:tcBorders>
              <w:top w:val="single" w:sz="6" w:space="0" w:color="auto"/>
              <w:left w:val="single" w:sz="12" w:space="0" w:color="auto"/>
              <w:bottom w:val="single" w:sz="6" w:space="0" w:color="auto"/>
              <w:right w:val="single" w:sz="6" w:space="0" w:color="auto"/>
            </w:tcBorders>
          </w:tcPr>
          <w:p w14:paraId="7F7DE4EE" w14:textId="77777777" w:rsidR="004B4E35" w:rsidRPr="00405303" w:rsidRDefault="009E6F82" w:rsidP="00C15251">
            <w:pPr>
              <w:jc w:val="both"/>
              <w:rPr>
                <w:bCs/>
                <w:color w:val="002060"/>
                <w:sz w:val="16"/>
                <w:szCs w:val="16"/>
              </w:rPr>
            </w:pPr>
            <w:r w:rsidRPr="00405303">
              <w:rPr>
                <w:bCs/>
                <w:color w:val="002060"/>
                <w:sz w:val="16"/>
                <w:szCs w:val="16"/>
              </w:rPr>
              <w:t>Скорость максимальная, км/ч</w:t>
            </w:r>
          </w:p>
        </w:tc>
        <w:tc>
          <w:tcPr>
            <w:tcW w:w="4314" w:type="dxa"/>
            <w:tcBorders>
              <w:top w:val="single" w:sz="6" w:space="0" w:color="auto"/>
              <w:left w:val="single" w:sz="6" w:space="0" w:color="auto"/>
              <w:bottom w:val="single" w:sz="6" w:space="0" w:color="auto"/>
              <w:right w:val="single" w:sz="12" w:space="0" w:color="auto"/>
            </w:tcBorders>
          </w:tcPr>
          <w:p w14:paraId="1BC48C01" w14:textId="77777777" w:rsidR="004B4E35" w:rsidRPr="00405303" w:rsidRDefault="009E6F82" w:rsidP="00C15251">
            <w:pPr>
              <w:jc w:val="both"/>
              <w:rPr>
                <w:bCs/>
                <w:color w:val="002060"/>
                <w:sz w:val="16"/>
                <w:szCs w:val="16"/>
              </w:rPr>
            </w:pPr>
            <w:r w:rsidRPr="00405303">
              <w:rPr>
                <w:bCs/>
                <w:color w:val="002060"/>
                <w:sz w:val="16"/>
                <w:szCs w:val="16"/>
              </w:rPr>
              <w:t>140</w:t>
            </w:r>
          </w:p>
        </w:tc>
      </w:tr>
      <w:tr w:rsidR="004B4E35" w:rsidRPr="00405303" w14:paraId="14182D60" w14:textId="77777777">
        <w:tc>
          <w:tcPr>
            <w:tcW w:w="5045" w:type="dxa"/>
            <w:tcBorders>
              <w:top w:val="single" w:sz="6" w:space="0" w:color="auto"/>
              <w:left w:val="single" w:sz="12" w:space="0" w:color="auto"/>
              <w:bottom w:val="single" w:sz="6" w:space="0" w:color="auto"/>
              <w:right w:val="single" w:sz="6" w:space="0" w:color="auto"/>
            </w:tcBorders>
          </w:tcPr>
          <w:p w14:paraId="346E02C3" w14:textId="77777777" w:rsidR="004B4E35" w:rsidRPr="00405303" w:rsidRDefault="009E6F82" w:rsidP="00C15251">
            <w:pPr>
              <w:jc w:val="both"/>
              <w:rPr>
                <w:bCs/>
                <w:color w:val="002060"/>
                <w:sz w:val="16"/>
                <w:szCs w:val="16"/>
              </w:rPr>
            </w:pPr>
            <w:r w:rsidRPr="00405303">
              <w:rPr>
                <w:bCs/>
                <w:color w:val="002060"/>
                <w:sz w:val="16"/>
                <w:szCs w:val="16"/>
              </w:rPr>
              <w:t>Потолок практический, м</w:t>
            </w:r>
          </w:p>
        </w:tc>
        <w:tc>
          <w:tcPr>
            <w:tcW w:w="4314" w:type="dxa"/>
            <w:tcBorders>
              <w:top w:val="single" w:sz="6" w:space="0" w:color="auto"/>
              <w:left w:val="single" w:sz="6" w:space="0" w:color="auto"/>
              <w:bottom w:val="single" w:sz="6" w:space="0" w:color="auto"/>
              <w:right w:val="single" w:sz="12" w:space="0" w:color="auto"/>
            </w:tcBorders>
          </w:tcPr>
          <w:p w14:paraId="7B6CB2E6" w14:textId="77777777" w:rsidR="004B4E35" w:rsidRPr="00405303" w:rsidRDefault="009E6F82" w:rsidP="00C15251">
            <w:pPr>
              <w:jc w:val="both"/>
              <w:rPr>
                <w:bCs/>
                <w:color w:val="002060"/>
                <w:sz w:val="16"/>
                <w:szCs w:val="16"/>
              </w:rPr>
            </w:pPr>
            <w:r w:rsidRPr="00405303">
              <w:rPr>
                <w:bCs/>
                <w:color w:val="002060"/>
                <w:sz w:val="16"/>
                <w:szCs w:val="16"/>
              </w:rPr>
              <w:t>4000</w:t>
            </w:r>
          </w:p>
        </w:tc>
      </w:tr>
      <w:tr w:rsidR="004B4E35" w:rsidRPr="00405303" w14:paraId="5BACD7BF" w14:textId="77777777">
        <w:tc>
          <w:tcPr>
            <w:tcW w:w="5045" w:type="dxa"/>
            <w:tcBorders>
              <w:top w:val="single" w:sz="6" w:space="0" w:color="auto"/>
              <w:left w:val="single" w:sz="12" w:space="0" w:color="auto"/>
              <w:bottom w:val="single" w:sz="6" w:space="0" w:color="auto"/>
              <w:right w:val="single" w:sz="6" w:space="0" w:color="auto"/>
            </w:tcBorders>
          </w:tcPr>
          <w:p w14:paraId="7E916D40" w14:textId="77777777" w:rsidR="004B4E35" w:rsidRPr="00405303" w:rsidRDefault="009E6F82" w:rsidP="00C15251">
            <w:pPr>
              <w:jc w:val="both"/>
              <w:rPr>
                <w:bCs/>
                <w:color w:val="002060"/>
                <w:sz w:val="16"/>
                <w:szCs w:val="16"/>
              </w:rPr>
            </w:pPr>
            <w:r w:rsidRPr="00405303">
              <w:rPr>
                <w:bCs/>
                <w:color w:val="002060"/>
                <w:sz w:val="16"/>
                <w:szCs w:val="16"/>
              </w:rPr>
              <w:t>Продолжительность полета, ч</w:t>
            </w:r>
          </w:p>
        </w:tc>
        <w:tc>
          <w:tcPr>
            <w:tcW w:w="4314" w:type="dxa"/>
            <w:tcBorders>
              <w:top w:val="single" w:sz="6" w:space="0" w:color="auto"/>
              <w:left w:val="single" w:sz="6" w:space="0" w:color="auto"/>
              <w:bottom w:val="single" w:sz="6" w:space="0" w:color="auto"/>
              <w:right w:val="single" w:sz="12" w:space="0" w:color="auto"/>
            </w:tcBorders>
          </w:tcPr>
          <w:p w14:paraId="2C1924FD" w14:textId="77777777" w:rsidR="004B4E35" w:rsidRPr="00405303" w:rsidRDefault="009E6F82" w:rsidP="00C15251">
            <w:pPr>
              <w:jc w:val="both"/>
              <w:rPr>
                <w:bCs/>
                <w:color w:val="002060"/>
                <w:sz w:val="16"/>
                <w:szCs w:val="16"/>
              </w:rPr>
            </w:pPr>
            <w:r w:rsidRPr="00405303">
              <w:rPr>
                <w:bCs/>
                <w:color w:val="002060"/>
                <w:sz w:val="16"/>
                <w:szCs w:val="16"/>
              </w:rPr>
              <w:t>4-5</w:t>
            </w:r>
          </w:p>
        </w:tc>
      </w:tr>
      <w:tr w:rsidR="004B4E35" w:rsidRPr="00405303" w14:paraId="7C5B7259" w14:textId="77777777">
        <w:tc>
          <w:tcPr>
            <w:tcW w:w="5045" w:type="dxa"/>
            <w:tcBorders>
              <w:top w:val="single" w:sz="6" w:space="0" w:color="auto"/>
              <w:left w:val="single" w:sz="12" w:space="0" w:color="auto"/>
              <w:bottom w:val="single" w:sz="6" w:space="0" w:color="auto"/>
              <w:right w:val="single" w:sz="6" w:space="0" w:color="auto"/>
            </w:tcBorders>
          </w:tcPr>
          <w:p w14:paraId="10DDB26D" w14:textId="77777777" w:rsidR="004B4E35" w:rsidRPr="00405303" w:rsidRDefault="009E6F82" w:rsidP="00C15251">
            <w:pPr>
              <w:jc w:val="both"/>
              <w:rPr>
                <w:bCs/>
                <w:color w:val="002060"/>
                <w:sz w:val="16"/>
                <w:szCs w:val="16"/>
              </w:rPr>
            </w:pPr>
            <w:r w:rsidRPr="00405303">
              <w:rPr>
                <w:bCs/>
                <w:color w:val="002060"/>
                <w:sz w:val="16"/>
                <w:szCs w:val="16"/>
              </w:rPr>
              <w:t>Площадь крыльев, м</w:t>
            </w:r>
            <w:r w:rsidRPr="00405303">
              <w:rPr>
                <w:bCs/>
                <w:color w:val="002060"/>
                <w:sz w:val="16"/>
                <w:szCs w:val="16"/>
                <w:vertAlign w:val="superscript"/>
              </w:rPr>
              <w:t>2</w:t>
            </w:r>
          </w:p>
        </w:tc>
        <w:tc>
          <w:tcPr>
            <w:tcW w:w="4314" w:type="dxa"/>
            <w:tcBorders>
              <w:top w:val="single" w:sz="6" w:space="0" w:color="auto"/>
              <w:left w:val="single" w:sz="6" w:space="0" w:color="auto"/>
              <w:bottom w:val="single" w:sz="6" w:space="0" w:color="auto"/>
              <w:right w:val="single" w:sz="12" w:space="0" w:color="auto"/>
            </w:tcBorders>
          </w:tcPr>
          <w:p w14:paraId="2412B2A0" w14:textId="77777777" w:rsidR="004B4E35" w:rsidRPr="00405303" w:rsidRDefault="009E6F82" w:rsidP="00C15251">
            <w:pPr>
              <w:jc w:val="both"/>
              <w:rPr>
                <w:bCs/>
                <w:color w:val="002060"/>
                <w:sz w:val="16"/>
                <w:szCs w:val="16"/>
              </w:rPr>
            </w:pPr>
            <w:r w:rsidRPr="00405303">
              <w:rPr>
                <w:bCs/>
                <w:color w:val="002060"/>
                <w:sz w:val="16"/>
                <w:szCs w:val="16"/>
              </w:rPr>
              <w:t>91,5</w:t>
            </w:r>
          </w:p>
        </w:tc>
      </w:tr>
      <w:tr w:rsidR="004B4E35" w:rsidRPr="00405303" w14:paraId="25C2F9DE" w14:textId="77777777">
        <w:tc>
          <w:tcPr>
            <w:tcW w:w="5045" w:type="dxa"/>
            <w:tcBorders>
              <w:top w:val="single" w:sz="6" w:space="0" w:color="auto"/>
              <w:left w:val="single" w:sz="12" w:space="0" w:color="auto"/>
              <w:bottom w:val="single" w:sz="6" w:space="0" w:color="auto"/>
              <w:right w:val="single" w:sz="6" w:space="0" w:color="auto"/>
            </w:tcBorders>
          </w:tcPr>
          <w:p w14:paraId="5B3EB272" w14:textId="77777777" w:rsidR="004B4E35" w:rsidRPr="00405303" w:rsidRDefault="009E6F82" w:rsidP="00C15251">
            <w:pPr>
              <w:jc w:val="both"/>
              <w:rPr>
                <w:bCs/>
                <w:color w:val="002060"/>
                <w:sz w:val="16"/>
                <w:szCs w:val="16"/>
              </w:rPr>
            </w:pPr>
            <w:r w:rsidRPr="00405303">
              <w:rPr>
                <w:bCs/>
                <w:color w:val="002060"/>
                <w:sz w:val="16"/>
                <w:szCs w:val="16"/>
              </w:rPr>
              <w:t>Взлетный вес кг</w:t>
            </w:r>
          </w:p>
        </w:tc>
        <w:tc>
          <w:tcPr>
            <w:tcW w:w="4314" w:type="dxa"/>
            <w:tcBorders>
              <w:top w:val="single" w:sz="6" w:space="0" w:color="auto"/>
              <w:left w:val="single" w:sz="6" w:space="0" w:color="auto"/>
              <w:bottom w:val="single" w:sz="6" w:space="0" w:color="auto"/>
              <w:right w:val="single" w:sz="12" w:space="0" w:color="auto"/>
            </w:tcBorders>
          </w:tcPr>
          <w:p w14:paraId="0F50B1D5" w14:textId="77777777" w:rsidR="004B4E35" w:rsidRPr="00405303" w:rsidRDefault="009E6F82" w:rsidP="00C15251">
            <w:pPr>
              <w:jc w:val="both"/>
              <w:rPr>
                <w:bCs/>
                <w:color w:val="002060"/>
                <w:sz w:val="16"/>
                <w:szCs w:val="16"/>
              </w:rPr>
            </w:pPr>
            <w:r w:rsidRPr="00405303">
              <w:rPr>
                <w:bCs/>
                <w:color w:val="002060"/>
                <w:sz w:val="16"/>
                <w:szCs w:val="16"/>
              </w:rPr>
              <w:t>3170</w:t>
            </w:r>
          </w:p>
        </w:tc>
      </w:tr>
      <w:tr w:rsidR="004B4E35" w:rsidRPr="00405303" w14:paraId="6D7E84CB" w14:textId="77777777">
        <w:tc>
          <w:tcPr>
            <w:tcW w:w="5045" w:type="dxa"/>
            <w:tcBorders>
              <w:top w:val="single" w:sz="6" w:space="0" w:color="auto"/>
              <w:left w:val="single" w:sz="12" w:space="0" w:color="auto"/>
              <w:bottom w:val="single" w:sz="6" w:space="0" w:color="auto"/>
              <w:right w:val="single" w:sz="6" w:space="0" w:color="auto"/>
            </w:tcBorders>
          </w:tcPr>
          <w:p w14:paraId="43F88A0C" w14:textId="77777777" w:rsidR="004B4E35" w:rsidRPr="00405303" w:rsidRDefault="009E6F82" w:rsidP="00C15251">
            <w:pPr>
              <w:jc w:val="both"/>
              <w:rPr>
                <w:bCs/>
                <w:color w:val="002060"/>
                <w:sz w:val="16"/>
                <w:szCs w:val="16"/>
              </w:rPr>
            </w:pPr>
            <w:r w:rsidRPr="00405303">
              <w:rPr>
                <w:bCs/>
                <w:color w:val="002060"/>
                <w:sz w:val="16"/>
                <w:szCs w:val="16"/>
              </w:rPr>
              <w:t>Вес пустого самолета, кг</w:t>
            </w:r>
          </w:p>
        </w:tc>
        <w:tc>
          <w:tcPr>
            <w:tcW w:w="4314" w:type="dxa"/>
            <w:tcBorders>
              <w:top w:val="single" w:sz="6" w:space="0" w:color="auto"/>
              <w:left w:val="single" w:sz="6" w:space="0" w:color="auto"/>
              <w:bottom w:val="single" w:sz="6" w:space="0" w:color="auto"/>
              <w:right w:val="single" w:sz="12" w:space="0" w:color="auto"/>
            </w:tcBorders>
          </w:tcPr>
          <w:p w14:paraId="30D4C461" w14:textId="77777777" w:rsidR="004B4E35" w:rsidRPr="00405303" w:rsidRDefault="009E6F82" w:rsidP="00C15251">
            <w:pPr>
              <w:jc w:val="both"/>
              <w:rPr>
                <w:bCs/>
                <w:color w:val="002060"/>
                <w:sz w:val="16"/>
                <w:szCs w:val="16"/>
              </w:rPr>
            </w:pPr>
            <w:r w:rsidRPr="00405303">
              <w:rPr>
                <w:bCs/>
                <w:color w:val="002060"/>
                <w:sz w:val="16"/>
                <w:szCs w:val="16"/>
              </w:rPr>
              <w:t>2210</w:t>
            </w:r>
          </w:p>
        </w:tc>
      </w:tr>
      <w:tr w:rsidR="004B4E35" w:rsidRPr="00405303" w14:paraId="30731D42" w14:textId="77777777">
        <w:tc>
          <w:tcPr>
            <w:tcW w:w="5045" w:type="dxa"/>
            <w:tcBorders>
              <w:top w:val="single" w:sz="6" w:space="0" w:color="auto"/>
              <w:left w:val="single" w:sz="12" w:space="0" w:color="auto"/>
              <w:bottom w:val="single" w:sz="6" w:space="0" w:color="auto"/>
              <w:right w:val="single" w:sz="6" w:space="0" w:color="auto"/>
            </w:tcBorders>
          </w:tcPr>
          <w:p w14:paraId="29B94B7F" w14:textId="77777777" w:rsidR="004B4E35" w:rsidRPr="00405303" w:rsidRDefault="009E6F82" w:rsidP="00C15251">
            <w:pPr>
              <w:jc w:val="both"/>
              <w:rPr>
                <w:bCs/>
                <w:color w:val="002060"/>
                <w:sz w:val="16"/>
                <w:szCs w:val="16"/>
              </w:rPr>
            </w:pPr>
            <w:r w:rsidRPr="00405303">
              <w:rPr>
                <w:bCs/>
                <w:color w:val="002060"/>
                <w:sz w:val="16"/>
                <w:szCs w:val="16"/>
              </w:rPr>
              <w:t>Полезная нагрузка, кг</w:t>
            </w:r>
          </w:p>
        </w:tc>
        <w:tc>
          <w:tcPr>
            <w:tcW w:w="4314" w:type="dxa"/>
            <w:tcBorders>
              <w:top w:val="single" w:sz="6" w:space="0" w:color="auto"/>
              <w:left w:val="single" w:sz="6" w:space="0" w:color="auto"/>
              <w:bottom w:val="single" w:sz="6" w:space="0" w:color="auto"/>
              <w:right w:val="single" w:sz="12" w:space="0" w:color="auto"/>
            </w:tcBorders>
          </w:tcPr>
          <w:p w14:paraId="44920268" w14:textId="77777777" w:rsidR="004B4E35" w:rsidRPr="00405303" w:rsidRDefault="009E6F82" w:rsidP="00C15251">
            <w:pPr>
              <w:jc w:val="both"/>
              <w:rPr>
                <w:bCs/>
                <w:color w:val="002060"/>
                <w:sz w:val="16"/>
                <w:szCs w:val="16"/>
              </w:rPr>
            </w:pPr>
            <w:r w:rsidRPr="00405303">
              <w:rPr>
                <w:bCs/>
                <w:color w:val="002060"/>
                <w:sz w:val="16"/>
                <w:szCs w:val="16"/>
              </w:rPr>
              <w:t>960</w:t>
            </w:r>
          </w:p>
        </w:tc>
      </w:tr>
      <w:tr w:rsidR="004B4E35" w:rsidRPr="00405303" w14:paraId="62CE923F" w14:textId="77777777">
        <w:tc>
          <w:tcPr>
            <w:tcW w:w="5045" w:type="dxa"/>
            <w:tcBorders>
              <w:top w:val="single" w:sz="6" w:space="0" w:color="auto"/>
              <w:left w:val="single" w:sz="12" w:space="0" w:color="auto"/>
              <w:bottom w:val="single" w:sz="6" w:space="0" w:color="auto"/>
              <w:right w:val="single" w:sz="6" w:space="0" w:color="auto"/>
            </w:tcBorders>
          </w:tcPr>
          <w:p w14:paraId="4B363FC6" w14:textId="77777777" w:rsidR="004B4E35" w:rsidRPr="00405303" w:rsidRDefault="009E6F82" w:rsidP="00C15251">
            <w:pPr>
              <w:jc w:val="both"/>
              <w:rPr>
                <w:bCs/>
                <w:color w:val="002060"/>
                <w:sz w:val="16"/>
                <w:szCs w:val="16"/>
              </w:rPr>
            </w:pPr>
            <w:r w:rsidRPr="00405303">
              <w:rPr>
                <w:bCs/>
                <w:color w:val="002060"/>
                <w:sz w:val="16"/>
                <w:szCs w:val="16"/>
              </w:rPr>
              <w:t>Удельная нагрузка на крыло, кг/м</w:t>
            </w:r>
            <w:r w:rsidRPr="00405303">
              <w:rPr>
                <w:bCs/>
                <w:color w:val="002060"/>
                <w:sz w:val="16"/>
                <w:szCs w:val="16"/>
                <w:vertAlign w:val="superscript"/>
              </w:rPr>
              <w:t>2</w:t>
            </w:r>
          </w:p>
        </w:tc>
        <w:tc>
          <w:tcPr>
            <w:tcW w:w="4314" w:type="dxa"/>
            <w:tcBorders>
              <w:top w:val="single" w:sz="6" w:space="0" w:color="auto"/>
              <w:left w:val="single" w:sz="6" w:space="0" w:color="auto"/>
              <w:bottom w:val="single" w:sz="6" w:space="0" w:color="auto"/>
              <w:right w:val="single" w:sz="12" w:space="0" w:color="auto"/>
            </w:tcBorders>
          </w:tcPr>
          <w:p w14:paraId="7B395DC0" w14:textId="77777777" w:rsidR="004B4E35" w:rsidRPr="00405303" w:rsidRDefault="009E6F82" w:rsidP="00C15251">
            <w:pPr>
              <w:jc w:val="both"/>
              <w:rPr>
                <w:bCs/>
                <w:color w:val="002060"/>
                <w:sz w:val="16"/>
                <w:szCs w:val="16"/>
              </w:rPr>
            </w:pPr>
            <w:r w:rsidRPr="00405303">
              <w:rPr>
                <w:bCs/>
                <w:color w:val="002060"/>
                <w:sz w:val="16"/>
                <w:szCs w:val="16"/>
              </w:rPr>
              <w:t>34,8</w:t>
            </w:r>
          </w:p>
        </w:tc>
      </w:tr>
      <w:tr w:rsidR="004B4E35" w:rsidRPr="00405303" w14:paraId="6664D92D" w14:textId="77777777">
        <w:tc>
          <w:tcPr>
            <w:tcW w:w="5045" w:type="dxa"/>
            <w:tcBorders>
              <w:top w:val="single" w:sz="6" w:space="0" w:color="auto"/>
              <w:left w:val="single" w:sz="12" w:space="0" w:color="auto"/>
              <w:bottom w:val="single" w:sz="6" w:space="0" w:color="auto"/>
              <w:right w:val="single" w:sz="6" w:space="0" w:color="auto"/>
            </w:tcBorders>
          </w:tcPr>
          <w:p w14:paraId="29CD72B3" w14:textId="77777777" w:rsidR="004B4E35" w:rsidRPr="00405303" w:rsidRDefault="009E6F82" w:rsidP="00C15251">
            <w:pPr>
              <w:jc w:val="both"/>
              <w:rPr>
                <w:bCs/>
                <w:color w:val="002060"/>
                <w:sz w:val="16"/>
                <w:szCs w:val="16"/>
              </w:rPr>
            </w:pPr>
            <w:r w:rsidRPr="00405303">
              <w:rPr>
                <w:bCs/>
                <w:color w:val="002060"/>
                <w:sz w:val="16"/>
                <w:szCs w:val="16"/>
              </w:rPr>
              <w:t>Удельная нагрузка на мощность, кг/л.с.</w:t>
            </w:r>
          </w:p>
        </w:tc>
        <w:tc>
          <w:tcPr>
            <w:tcW w:w="4314" w:type="dxa"/>
            <w:tcBorders>
              <w:top w:val="single" w:sz="6" w:space="0" w:color="auto"/>
              <w:left w:val="single" w:sz="6" w:space="0" w:color="auto"/>
              <w:bottom w:val="single" w:sz="6" w:space="0" w:color="auto"/>
              <w:right w:val="single" w:sz="12" w:space="0" w:color="auto"/>
            </w:tcBorders>
          </w:tcPr>
          <w:p w14:paraId="49B60183" w14:textId="77777777" w:rsidR="004B4E35" w:rsidRPr="00405303" w:rsidRDefault="009E6F82" w:rsidP="00C15251">
            <w:pPr>
              <w:jc w:val="both"/>
              <w:rPr>
                <w:bCs/>
                <w:color w:val="002060"/>
                <w:sz w:val="16"/>
                <w:szCs w:val="16"/>
              </w:rPr>
            </w:pPr>
            <w:r w:rsidRPr="00405303">
              <w:rPr>
                <w:bCs/>
                <w:color w:val="002060"/>
                <w:sz w:val="16"/>
                <w:szCs w:val="16"/>
              </w:rPr>
              <w:t>10,6</w:t>
            </w:r>
          </w:p>
        </w:tc>
      </w:tr>
      <w:tr w:rsidR="004B4E35" w:rsidRPr="00405303" w14:paraId="4AE087C7" w14:textId="77777777">
        <w:tc>
          <w:tcPr>
            <w:tcW w:w="5045" w:type="dxa"/>
            <w:tcBorders>
              <w:top w:val="single" w:sz="6" w:space="0" w:color="auto"/>
              <w:left w:val="single" w:sz="12" w:space="0" w:color="auto"/>
              <w:bottom w:val="single" w:sz="12" w:space="0" w:color="auto"/>
              <w:right w:val="single" w:sz="6" w:space="0" w:color="auto"/>
            </w:tcBorders>
          </w:tcPr>
          <w:p w14:paraId="45EC8457" w14:textId="77777777" w:rsidR="004B4E35" w:rsidRPr="00405303" w:rsidRDefault="009E6F82" w:rsidP="00C15251">
            <w:pPr>
              <w:jc w:val="both"/>
              <w:rPr>
                <w:bCs/>
                <w:color w:val="002060"/>
                <w:sz w:val="16"/>
                <w:szCs w:val="16"/>
              </w:rPr>
            </w:pPr>
            <w:r w:rsidRPr="00405303">
              <w:rPr>
                <w:bCs/>
                <w:color w:val="002060"/>
                <w:sz w:val="16"/>
                <w:szCs w:val="16"/>
              </w:rPr>
              <w:t>Весовая отдача, %</w:t>
            </w:r>
          </w:p>
        </w:tc>
        <w:tc>
          <w:tcPr>
            <w:tcW w:w="4314" w:type="dxa"/>
            <w:tcBorders>
              <w:top w:val="single" w:sz="6" w:space="0" w:color="auto"/>
              <w:left w:val="single" w:sz="6" w:space="0" w:color="auto"/>
              <w:bottom w:val="single" w:sz="12" w:space="0" w:color="auto"/>
              <w:right w:val="single" w:sz="12" w:space="0" w:color="auto"/>
            </w:tcBorders>
          </w:tcPr>
          <w:p w14:paraId="1D9DD426" w14:textId="77777777" w:rsidR="004B4E35" w:rsidRPr="00405303" w:rsidRDefault="009E6F82" w:rsidP="00C15251">
            <w:pPr>
              <w:jc w:val="both"/>
              <w:rPr>
                <w:bCs/>
                <w:color w:val="002060"/>
                <w:sz w:val="16"/>
                <w:szCs w:val="16"/>
              </w:rPr>
            </w:pPr>
            <w:r w:rsidRPr="00405303">
              <w:rPr>
                <w:bCs/>
                <w:color w:val="002060"/>
                <w:sz w:val="16"/>
                <w:szCs w:val="16"/>
              </w:rPr>
              <w:t>30,2</w:t>
            </w:r>
          </w:p>
        </w:tc>
      </w:tr>
    </w:tbl>
    <w:p w14:paraId="22C5AC32" w14:textId="77777777" w:rsidR="004B4E35" w:rsidRPr="00405303" w:rsidRDefault="009E6F82" w:rsidP="00C15251">
      <w:pPr>
        <w:jc w:val="both"/>
        <w:rPr>
          <w:bCs/>
          <w:color w:val="002060"/>
          <w:sz w:val="16"/>
          <w:szCs w:val="16"/>
        </w:rPr>
      </w:pPr>
      <w:r w:rsidRPr="00405303">
        <w:rPr>
          <w:bCs/>
          <w:color w:val="002060"/>
          <w:sz w:val="16"/>
          <w:szCs w:val="16"/>
        </w:rPr>
        <w:t>(11918)</w:t>
      </w:r>
    </w:p>
    <w:p w14:paraId="146BB7E8" w14:textId="77777777" w:rsidR="004B4E35" w:rsidRPr="00405303" w:rsidRDefault="004B4E35" w:rsidP="00C15251">
      <w:pPr>
        <w:jc w:val="both"/>
        <w:rPr>
          <w:bCs/>
          <w:color w:val="002060"/>
          <w:sz w:val="16"/>
          <w:szCs w:val="16"/>
        </w:rPr>
      </w:pPr>
    </w:p>
    <w:p w14:paraId="037B0C89" w14:textId="77777777" w:rsidR="004B4E35" w:rsidRPr="00405303" w:rsidRDefault="009E6F82" w:rsidP="00C15251">
      <w:pPr>
        <w:jc w:val="both"/>
        <w:rPr>
          <w:bCs/>
          <w:color w:val="002060"/>
          <w:sz w:val="16"/>
          <w:szCs w:val="16"/>
        </w:rPr>
      </w:pPr>
      <w:r w:rsidRPr="00405303">
        <w:rPr>
          <w:bCs/>
          <w:color w:val="002060"/>
          <w:sz w:val="16"/>
          <w:szCs w:val="16"/>
        </w:rPr>
        <w:t xml:space="preserve">В октябре 1915 г. очередной проект поступил от генерала М.М. Поморцева, который представил на рассмотрение морского и сухопутного военного ведомства конструкцию боевой пневматической ракеты, предназначавшуюся для поражения подводных лодок и воздушных судов. Флот (в лице начальника артиллерийского отдела Главного управления кораблестроения вице-адмирала В.К.Гирса) не имел возможности практической реализации проекта. Реакция военного министерства на предложение Поморцева вообще не известна. В то же время моряки предоставили изобретателю корабельный компрессор, с помощью которого он смог продолжать свои опыты в стенах Аэродинамического института. </w:t>
      </w:r>
    </w:p>
    <w:p w14:paraId="229CA1AA" w14:textId="77777777" w:rsidR="004B4E35" w:rsidRPr="00405303" w:rsidRDefault="009E6F82" w:rsidP="00C15251">
      <w:pPr>
        <w:jc w:val="both"/>
        <w:rPr>
          <w:bCs/>
          <w:color w:val="002060"/>
          <w:sz w:val="16"/>
          <w:szCs w:val="16"/>
        </w:rPr>
      </w:pPr>
      <w:r w:rsidRPr="00405303">
        <w:rPr>
          <w:bCs/>
          <w:color w:val="002060"/>
          <w:sz w:val="16"/>
          <w:szCs w:val="16"/>
        </w:rPr>
        <w:t xml:space="preserve">К сожалению, скоропостижная смерть (в июне 1916 г.) М.М.Поморцева и вынужденная эмиграция в 1917 г. его продолжателя предпринимателя Д.П.Рябушинского во Францию окончательно поставили крест на данном проекте. Между тем, ракета имела оригинальную конструкцию. В движение она приводилась за счет сжатого воздуха. С одной стороны, это существенно ограничивало ее дальность, с другой - делало ее практически бесшумной. Боеголовка ракеты снаряжалась тротилом. Двигатель оснащался соплом Леваля, позволявшим потоку газов из пороховой камеры втекать в него с дозвуковой скоростью, а вытекать со сверхзвуковой. Это в значительной мере увеличивало тягу его работы. На корпусе ракеты находился кольцевой стабилизатор. </w:t>
      </w:r>
    </w:p>
    <w:p w14:paraId="6DF2AB94" w14:textId="77777777" w:rsidR="004B4E35" w:rsidRPr="00405303" w:rsidRDefault="009E6F82" w:rsidP="00C15251">
      <w:pPr>
        <w:jc w:val="both"/>
        <w:rPr>
          <w:bCs/>
          <w:color w:val="002060"/>
          <w:sz w:val="16"/>
          <w:szCs w:val="16"/>
        </w:rPr>
      </w:pPr>
      <w:r w:rsidRPr="00405303">
        <w:rPr>
          <w:bCs/>
          <w:color w:val="002060"/>
          <w:sz w:val="16"/>
          <w:szCs w:val="16"/>
        </w:rPr>
        <w:t xml:space="preserve">Нужно отметить, что помимо российских в области создания зенитных ракет для эффективной борьбы с германскими цеппелинами работали английские специалисты. </w:t>
      </w:r>
    </w:p>
    <w:p w14:paraId="11AD4F25" w14:textId="77777777" w:rsidR="004B4E35" w:rsidRPr="00405303" w:rsidRDefault="004B4E35" w:rsidP="00C15251">
      <w:pPr>
        <w:shd w:val="clear" w:color="auto" w:fill="FFFFFF"/>
        <w:jc w:val="both"/>
        <w:rPr>
          <w:bCs/>
          <w:color w:val="002060"/>
          <w:sz w:val="16"/>
          <w:szCs w:val="16"/>
        </w:rPr>
      </w:pPr>
    </w:p>
    <w:p w14:paraId="40C1F40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октябре 1915 г. поступил заказ от ремонтного поезда-мастерской завода Ф.Ф.Терещенко: «Просим... изгото</w:t>
      </w:r>
      <w:r w:rsidRPr="00405303">
        <w:rPr>
          <w:bCs/>
          <w:color w:val="002060"/>
          <w:sz w:val="16"/>
          <w:szCs w:val="16"/>
        </w:rPr>
        <w:softHyphen/>
        <w:t>вить на заводе Дукс для авиационной мастерской на де</w:t>
      </w:r>
      <w:r w:rsidRPr="00405303">
        <w:rPr>
          <w:bCs/>
          <w:color w:val="002060"/>
          <w:sz w:val="16"/>
          <w:szCs w:val="16"/>
        </w:rPr>
        <w:softHyphen/>
        <w:t>вять аппаратов Вуазен: бомбометов и пулеметных устано</w:t>
      </w:r>
      <w:r w:rsidRPr="00405303">
        <w:rPr>
          <w:bCs/>
          <w:color w:val="002060"/>
          <w:sz w:val="16"/>
          <w:szCs w:val="16"/>
        </w:rPr>
        <w:softHyphen/>
        <w:t>вок согласно имеющихся у Вас чертежей» (9651).</w:t>
      </w:r>
    </w:p>
    <w:p w14:paraId="6BBB126B" w14:textId="77777777" w:rsidR="004B4E35" w:rsidRPr="00405303" w:rsidRDefault="004B4E35" w:rsidP="00C15251">
      <w:pPr>
        <w:shd w:val="clear" w:color="auto" w:fill="FFFFFF"/>
        <w:jc w:val="both"/>
        <w:rPr>
          <w:bCs/>
          <w:color w:val="002060"/>
          <w:sz w:val="16"/>
          <w:szCs w:val="16"/>
        </w:rPr>
      </w:pPr>
    </w:p>
    <w:p w14:paraId="02BE9254" w14:textId="77777777" w:rsidR="004B4E35" w:rsidRPr="00405303" w:rsidRDefault="009E6F82" w:rsidP="00C15251">
      <w:pPr>
        <w:jc w:val="both"/>
        <w:rPr>
          <w:bCs/>
          <w:color w:val="002060"/>
          <w:sz w:val="16"/>
          <w:szCs w:val="16"/>
        </w:rPr>
      </w:pPr>
      <w:r w:rsidRPr="00405303">
        <w:rPr>
          <w:bCs/>
          <w:color w:val="002060"/>
          <w:sz w:val="16"/>
          <w:szCs w:val="16"/>
        </w:rPr>
        <w:t>В октябре 1915 г. пилот А.Налетов провел испытания первого ЛМ-1 (зав. № 217) (Лебедь Морской). Достиг высоты 500 м за 11,5 мин. Полезная нагрузка составляла 365 кг при взлетном весе 1455 кг. После испытаний гидроплан был куплен Морским ведомством и в декабре передан на хранение в Петроградскую школу морских летчиков. Через год еще один аппарат этого типа (зав. № 218), к тому времени уже устаревший, был все же куплен Морским ведомством. За срыв сроков сдачи этого самолета на завод Лебедева наложили штраф, но руководство завода в свою очередь обвинило заказчика, не приславшего вовремя комиссию для приемки давно готового самолета. Споры тянулись до весны 1917 г. Второй экземпляр ЛМ-1 некоторое время оставался невостребованным. Его поставили на колесное шасси и решили передать Военному ведомству. Осенью в Ревеле началось формирование сухопутного авиаотряда Морской крепости Петра Великого, туда и был передан самолет № 218 (11183).</w:t>
      </w:r>
    </w:p>
    <w:p w14:paraId="640052F1" w14:textId="77777777" w:rsidR="004B4E35" w:rsidRPr="00405303" w:rsidRDefault="004B4E35" w:rsidP="00C15251">
      <w:pPr>
        <w:jc w:val="both"/>
        <w:rPr>
          <w:bCs/>
          <w:color w:val="002060"/>
          <w:sz w:val="16"/>
          <w:szCs w:val="16"/>
        </w:rPr>
      </w:pPr>
    </w:p>
    <w:p w14:paraId="2D22BAE4" w14:textId="77777777" w:rsidR="00202AB0" w:rsidRPr="00405303" w:rsidRDefault="00202AB0" w:rsidP="00C15251">
      <w:pPr>
        <w:pStyle w:val="15"/>
        <w:spacing w:before="0" w:after="0"/>
        <w:jc w:val="both"/>
        <w:rPr>
          <w:bCs/>
          <w:color w:val="002060"/>
          <w:sz w:val="16"/>
          <w:szCs w:val="16"/>
        </w:rPr>
      </w:pPr>
      <w:r w:rsidRPr="00405303">
        <w:rPr>
          <w:bCs/>
          <w:color w:val="002060"/>
          <w:sz w:val="16"/>
          <w:szCs w:val="16"/>
        </w:rPr>
        <w:t>В октябре 1915 Адаменко получил первую партию необходимых проволоки и тросов. Наконец, 12 ноября 1915 г. был подписан контракт № 30033, предусматривавший поставку десяти самолетов «Фарман IV» по цене 4875 руб. В соответствии с принятой в России практикой, аппараты поставлялись без моторов и винтов. Обычно партии самолетов сдавали, используя 1-2 двигателя, которые по очереди устанавливали на подлежащие облету машины. Сроки выполнения заказа определялись довольно жесткие — к 6 января 1916 г. Вполне естественно, что недавно родившееся предприятие не смогло их выдержать — первые 5 самолетов представитель Центрального воздухоплавательного склада принял лишь 29 марта, а вторую партию передали Севастопольской авиашколе 24 июня 1916 г. (12252).</w:t>
      </w:r>
    </w:p>
    <w:p w14:paraId="28687D58" w14:textId="77777777" w:rsidR="00202AB0" w:rsidRPr="00405303" w:rsidRDefault="00202AB0" w:rsidP="00C15251">
      <w:pPr>
        <w:pStyle w:val="15"/>
        <w:spacing w:before="0" w:after="0"/>
        <w:jc w:val="both"/>
        <w:rPr>
          <w:bCs/>
          <w:color w:val="002060"/>
          <w:sz w:val="16"/>
          <w:szCs w:val="16"/>
        </w:rPr>
      </w:pPr>
    </w:p>
    <w:p w14:paraId="2E1CE068" w14:textId="78BEFFD1" w:rsidR="004B4E35" w:rsidRPr="00405303" w:rsidRDefault="009E6F82" w:rsidP="00C15251">
      <w:pPr>
        <w:shd w:val="clear" w:color="auto" w:fill="FFFFFF"/>
        <w:jc w:val="both"/>
        <w:rPr>
          <w:bCs/>
          <w:color w:val="002060"/>
          <w:sz w:val="16"/>
          <w:szCs w:val="16"/>
        </w:rPr>
      </w:pPr>
      <w:r w:rsidRPr="00405303">
        <w:rPr>
          <w:bCs/>
          <w:color w:val="002060"/>
          <w:sz w:val="16"/>
          <w:szCs w:val="16"/>
        </w:rPr>
        <w:t>В октябре 1915г. ГВТУ заключило контракт с акционерным обществом «Электромеханические сооружения» на пост</w:t>
      </w:r>
      <w:r w:rsidRPr="00405303">
        <w:rPr>
          <w:bCs/>
          <w:color w:val="002060"/>
          <w:sz w:val="16"/>
          <w:szCs w:val="16"/>
        </w:rPr>
        <w:softHyphen/>
        <w:t>ройку одного комплекта «бомбометательной системы профессора ГА. Ботезата». К 1917 г. система была изготовлена и испытана. Командова</w:t>
      </w:r>
      <w:r w:rsidRPr="00405303">
        <w:rPr>
          <w:bCs/>
          <w:color w:val="002060"/>
          <w:sz w:val="16"/>
          <w:szCs w:val="16"/>
        </w:rPr>
        <w:softHyphen/>
        <w:t>ние УВВФ результат испытаний признало удачным и направило в Воен</w:t>
      </w:r>
      <w:r w:rsidRPr="00405303">
        <w:rPr>
          <w:bCs/>
          <w:color w:val="002060"/>
          <w:sz w:val="16"/>
          <w:szCs w:val="16"/>
        </w:rPr>
        <w:softHyphen/>
        <w:t>ный совет предложение о серийном производстве прибора. В предложе</w:t>
      </w:r>
      <w:r w:rsidRPr="00405303">
        <w:rPr>
          <w:bCs/>
          <w:color w:val="002060"/>
          <w:sz w:val="16"/>
          <w:szCs w:val="16"/>
        </w:rPr>
        <w:softHyphen/>
        <w:t>нии было сказано: «Проведенными испытаниями прибора на аэропланах выявлена полная целесообразность прибора и надежность его действия. Специальная комиссия по изучению воздушной артиллерии при УВВФ, производившая испытание прибора, признала желательным снабдить наши авиационные части этими приборами».</w:t>
      </w:r>
    </w:p>
    <w:p w14:paraId="24D9C2BC" w14:textId="77777777" w:rsidR="004B4E35" w:rsidRPr="00405303" w:rsidRDefault="009E6F82" w:rsidP="00C15251">
      <w:pPr>
        <w:jc w:val="both"/>
        <w:rPr>
          <w:bCs/>
          <w:color w:val="002060"/>
          <w:sz w:val="16"/>
          <w:szCs w:val="16"/>
        </w:rPr>
      </w:pPr>
      <w:r w:rsidRPr="00405303">
        <w:rPr>
          <w:bCs/>
          <w:color w:val="002060"/>
          <w:sz w:val="16"/>
          <w:szCs w:val="16"/>
        </w:rPr>
        <w:t>Февральская революция и последующие события, к сожалению, раз</w:t>
      </w:r>
      <w:r w:rsidRPr="00405303">
        <w:rPr>
          <w:bCs/>
          <w:color w:val="002060"/>
          <w:sz w:val="16"/>
          <w:szCs w:val="16"/>
        </w:rPr>
        <w:softHyphen/>
        <w:t>рушила эти планы. После пресловутого приказа Ю.М. Ларина о ликвида</w:t>
      </w:r>
      <w:r w:rsidRPr="00405303">
        <w:rPr>
          <w:bCs/>
          <w:color w:val="002060"/>
          <w:sz w:val="16"/>
          <w:szCs w:val="16"/>
        </w:rPr>
        <w:softHyphen/>
        <w:t>ции авиационной промышленности в России, о прицельных приборах Бо</w:t>
      </w:r>
      <w:r w:rsidRPr="00405303">
        <w:rPr>
          <w:bCs/>
          <w:color w:val="002060"/>
          <w:sz w:val="16"/>
          <w:szCs w:val="16"/>
        </w:rPr>
        <w:softHyphen/>
        <w:t>тезата вспомнили только в конце апреля 1918 г. Специальная комиссия ВВФ РККА, прибывшая на завод Общества ДЕКА сделала следующий вы</w:t>
      </w:r>
      <w:r w:rsidRPr="00405303">
        <w:rPr>
          <w:bCs/>
          <w:color w:val="002060"/>
          <w:sz w:val="16"/>
          <w:szCs w:val="16"/>
        </w:rPr>
        <w:softHyphen/>
        <w:t>вод: «Дальнейшее проведение работ и испытаний невозможно как по при</w:t>
      </w:r>
      <w:r w:rsidRPr="00405303">
        <w:rPr>
          <w:bCs/>
          <w:color w:val="002060"/>
          <w:sz w:val="16"/>
          <w:szCs w:val="16"/>
        </w:rPr>
        <w:softHyphen/>
        <w:t>чине отсутствия специального персонала для исполнения требующихся чрезвычайно точных работ, так и за отсутствием требующихся указаний профессора Ботезата.»</w:t>
      </w:r>
    </w:p>
    <w:p w14:paraId="51106EA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Анализ развития прицельного бомбометания в годы первой миро</w:t>
      </w:r>
      <w:r w:rsidRPr="00405303">
        <w:rPr>
          <w:bCs/>
          <w:color w:val="002060"/>
          <w:sz w:val="16"/>
          <w:szCs w:val="16"/>
        </w:rPr>
        <w:softHyphen/>
        <w:t>вой войны показывает, что отечественные специалисты и практики лет</w:t>
      </w:r>
      <w:r w:rsidRPr="00405303">
        <w:rPr>
          <w:bCs/>
          <w:color w:val="002060"/>
          <w:sz w:val="16"/>
          <w:szCs w:val="16"/>
        </w:rPr>
        <w:softHyphen/>
        <w:t>ного дела сделали ценный вклад в дело развития прицельных приспособ</w:t>
      </w:r>
      <w:r w:rsidRPr="00405303">
        <w:rPr>
          <w:bCs/>
          <w:color w:val="002060"/>
          <w:sz w:val="16"/>
          <w:szCs w:val="16"/>
        </w:rPr>
        <w:softHyphen/>
        <w:t>лений для бомбометания, главным образом механического типа. По ре</w:t>
      </w:r>
      <w:r w:rsidRPr="00405303">
        <w:rPr>
          <w:bCs/>
          <w:color w:val="002060"/>
          <w:sz w:val="16"/>
          <w:szCs w:val="16"/>
        </w:rPr>
        <w:softHyphen/>
        <w:t>зультатам бомбометаний эти прицелы не только не уступали загранич</w:t>
      </w:r>
      <w:r w:rsidRPr="00405303">
        <w:rPr>
          <w:bCs/>
          <w:color w:val="002060"/>
          <w:sz w:val="16"/>
          <w:szCs w:val="16"/>
        </w:rPr>
        <w:softHyphen/>
        <w:t>ным, но зачастую превосходили их (11425).</w:t>
      </w:r>
    </w:p>
    <w:p w14:paraId="7E72CE84" w14:textId="77777777" w:rsidR="004B4E35" w:rsidRPr="00405303" w:rsidRDefault="004B4E35" w:rsidP="00C15251">
      <w:pPr>
        <w:shd w:val="clear" w:color="auto" w:fill="FFFFFF"/>
        <w:jc w:val="both"/>
        <w:rPr>
          <w:bCs/>
          <w:color w:val="002060"/>
          <w:sz w:val="16"/>
          <w:szCs w:val="16"/>
        </w:rPr>
      </w:pPr>
    </w:p>
    <w:p w14:paraId="218B49A6" w14:textId="77777777" w:rsidR="007D6483" w:rsidRPr="00405303" w:rsidRDefault="007D6483" w:rsidP="00C15251">
      <w:pPr>
        <w:jc w:val="both"/>
        <w:rPr>
          <w:bCs/>
          <w:color w:val="002060"/>
          <w:sz w:val="16"/>
          <w:szCs w:val="16"/>
          <w:lang w:bidi="ru-RU"/>
        </w:rPr>
      </w:pPr>
      <w:r w:rsidRPr="00405303">
        <w:rPr>
          <w:bCs/>
          <w:color w:val="002060"/>
          <w:sz w:val="16"/>
          <w:szCs w:val="16"/>
          <w:lang w:bidi="ru-RU"/>
        </w:rPr>
        <w:t>В октябре 1915 г. был оформлен заказ на 15 С-16 (т.е. весь заказ, вместе с ранее поставленными тремя са</w:t>
      </w:r>
      <w:r w:rsidRPr="00405303">
        <w:rPr>
          <w:bCs/>
          <w:color w:val="002060"/>
          <w:sz w:val="16"/>
          <w:szCs w:val="16"/>
          <w:lang w:bidi="ru-RU"/>
        </w:rPr>
        <w:softHyphen/>
        <w:t>молетами, составил 18 экземпляров).</w:t>
      </w:r>
    </w:p>
    <w:p w14:paraId="779528BD" w14:textId="77777777" w:rsidR="007D6483" w:rsidRPr="00405303" w:rsidRDefault="007D6483" w:rsidP="00C15251">
      <w:pPr>
        <w:jc w:val="both"/>
        <w:rPr>
          <w:bCs/>
          <w:color w:val="002060"/>
          <w:sz w:val="16"/>
          <w:szCs w:val="16"/>
        </w:rPr>
      </w:pPr>
      <w:r w:rsidRPr="00405303">
        <w:rPr>
          <w:bCs/>
          <w:color w:val="002060"/>
          <w:sz w:val="16"/>
          <w:szCs w:val="16"/>
          <w:lang w:bidi="ru-RU"/>
        </w:rPr>
        <w:t>Если поначалу С-16 предполагались для тренировки летчиков самолетов «Илья Му</w:t>
      </w:r>
      <w:r w:rsidRPr="00405303">
        <w:rPr>
          <w:bCs/>
          <w:color w:val="002060"/>
          <w:sz w:val="16"/>
          <w:szCs w:val="16"/>
          <w:lang w:bidi="ru-RU"/>
        </w:rPr>
        <w:softHyphen/>
        <w:t>ромец» и выполнения ближней разведки, то с расширением боевых действий специали</w:t>
      </w:r>
      <w:r w:rsidRPr="00405303">
        <w:rPr>
          <w:bCs/>
          <w:color w:val="002060"/>
          <w:sz w:val="16"/>
          <w:szCs w:val="16"/>
          <w:lang w:bidi="ru-RU"/>
        </w:rPr>
        <w:softHyphen/>
        <w:t>зация их изменилась. Теперь С-16 требова</w:t>
      </w:r>
      <w:r w:rsidRPr="00405303">
        <w:rPr>
          <w:bCs/>
          <w:color w:val="002060"/>
          <w:sz w:val="16"/>
          <w:szCs w:val="16"/>
          <w:lang w:bidi="ru-RU"/>
        </w:rPr>
        <w:softHyphen/>
        <w:t>лись для защиты Эскадры воздушных ко</w:t>
      </w:r>
      <w:r w:rsidRPr="00405303">
        <w:rPr>
          <w:bCs/>
          <w:color w:val="002060"/>
          <w:sz w:val="16"/>
          <w:szCs w:val="16"/>
          <w:lang w:bidi="ru-RU"/>
        </w:rPr>
        <w:softHyphen/>
        <w:t>раблей на месте базирования и для сопро</w:t>
      </w:r>
      <w:r w:rsidRPr="00405303">
        <w:rPr>
          <w:bCs/>
          <w:color w:val="002060"/>
          <w:sz w:val="16"/>
          <w:szCs w:val="16"/>
          <w:lang w:bidi="ru-RU"/>
        </w:rPr>
        <w:softHyphen/>
        <w:t>вождения бомбардировщиков в ходе следования их на боевое задание. Для этой цели на левом борту фюзеляжа С-16 смон</w:t>
      </w:r>
      <w:r w:rsidRPr="00405303">
        <w:rPr>
          <w:bCs/>
          <w:color w:val="002060"/>
          <w:sz w:val="16"/>
          <w:szCs w:val="16"/>
          <w:lang w:bidi="ru-RU"/>
        </w:rPr>
        <w:softHyphen/>
        <w:t>тировали пулемет «Виккерс», оборудован</w:t>
      </w:r>
      <w:r w:rsidRPr="00405303">
        <w:rPr>
          <w:bCs/>
          <w:color w:val="002060"/>
          <w:sz w:val="16"/>
          <w:szCs w:val="16"/>
          <w:lang w:bidi="ru-RU"/>
        </w:rPr>
        <w:softHyphen/>
        <w:t>ный синхронизатором Лаврова. Одновре</w:t>
      </w:r>
      <w:r w:rsidRPr="00405303">
        <w:rPr>
          <w:bCs/>
          <w:color w:val="002060"/>
          <w:sz w:val="16"/>
          <w:szCs w:val="16"/>
          <w:lang w:bidi="ru-RU"/>
        </w:rPr>
        <w:softHyphen/>
        <w:t>менно, у серийных С-16 изменилась форма хвостового оперения, площадь крыльев уве</w:t>
      </w:r>
      <w:r w:rsidRPr="00405303">
        <w:rPr>
          <w:bCs/>
          <w:color w:val="002060"/>
          <w:sz w:val="16"/>
          <w:szCs w:val="16"/>
          <w:lang w:bidi="ru-RU"/>
        </w:rPr>
        <w:softHyphen/>
        <w:t>личилась за счет увеличения размаха верх</w:t>
      </w:r>
      <w:r w:rsidRPr="00405303">
        <w:rPr>
          <w:bCs/>
          <w:color w:val="002060"/>
          <w:sz w:val="16"/>
          <w:szCs w:val="16"/>
          <w:lang w:bidi="ru-RU"/>
        </w:rPr>
        <w:softHyphen/>
        <w:t>него крыла. Элероны в серийных самолетах имелись только на верхнем крыле.</w:t>
      </w:r>
    </w:p>
    <w:p w14:paraId="3048C6C8" w14:textId="77777777" w:rsidR="007D6483" w:rsidRPr="00405303" w:rsidRDefault="007D6483" w:rsidP="00C15251">
      <w:pPr>
        <w:jc w:val="both"/>
        <w:rPr>
          <w:bCs/>
          <w:color w:val="002060"/>
          <w:sz w:val="16"/>
          <w:szCs w:val="16"/>
        </w:rPr>
      </w:pPr>
      <w:r w:rsidRPr="00405303">
        <w:rPr>
          <w:bCs/>
          <w:color w:val="002060"/>
          <w:sz w:val="16"/>
          <w:szCs w:val="16"/>
          <w:lang w:bidi="ru-RU"/>
        </w:rPr>
        <w:t>Часть построенных истребителей доста</w:t>
      </w:r>
      <w:r w:rsidRPr="00405303">
        <w:rPr>
          <w:bCs/>
          <w:color w:val="002060"/>
          <w:sz w:val="16"/>
          <w:szCs w:val="16"/>
          <w:lang w:bidi="ru-RU"/>
        </w:rPr>
        <w:softHyphen/>
        <w:t>лась Эскадре, по три самолета поступили в формируемые 7-й и 12-й истребительные авиаотряды (23374).</w:t>
      </w:r>
    </w:p>
    <w:p w14:paraId="72FEC4B0" w14:textId="77777777" w:rsidR="007D6483" w:rsidRPr="00405303" w:rsidRDefault="007D6483" w:rsidP="00C15251">
      <w:pPr>
        <w:jc w:val="both"/>
        <w:rPr>
          <w:bCs/>
          <w:color w:val="002060"/>
          <w:sz w:val="16"/>
          <w:szCs w:val="16"/>
        </w:rPr>
      </w:pPr>
    </w:p>
    <w:p w14:paraId="60680B63" w14:textId="77777777" w:rsidR="00D979C5" w:rsidRPr="00B52707" w:rsidRDefault="00D979C5" w:rsidP="00D979C5">
      <w:pPr>
        <w:jc w:val="both"/>
        <w:rPr>
          <w:color w:val="0070C0"/>
          <w:sz w:val="16"/>
          <w:szCs w:val="16"/>
        </w:rPr>
      </w:pPr>
      <w:r w:rsidRPr="00B52707">
        <w:rPr>
          <w:rStyle w:val="aa"/>
          <w:rFonts w:ascii="Times New Roman" w:hAnsi="Times New Roman"/>
          <w:color w:val="0070C0"/>
          <w:spacing w:val="0"/>
          <w:sz w:val="16"/>
          <w:szCs w:val="16"/>
        </w:rPr>
        <w:t>В ок</w:t>
      </w:r>
      <w:r w:rsidRPr="00B52707">
        <w:rPr>
          <w:rStyle w:val="aa"/>
          <w:rFonts w:ascii="Times New Roman" w:hAnsi="Times New Roman"/>
          <w:color w:val="0070C0"/>
          <w:spacing w:val="0"/>
          <w:sz w:val="16"/>
          <w:szCs w:val="16"/>
        </w:rPr>
        <w:softHyphen/>
        <w:t>тябре 1915 г. разработанный</w:t>
      </w:r>
      <w:r w:rsidRPr="00B52707">
        <w:rPr>
          <w:rStyle w:val="10"/>
          <w:rFonts w:ascii="Times New Roman" w:hAnsi="Times New Roman" w:cs="Times New Roman"/>
          <w:color w:val="0070C0"/>
          <w:sz w:val="16"/>
          <w:szCs w:val="16"/>
        </w:rPr>
        <w:t xml:space="preserve"> с</w:t>
      </w:r>
      <w:r w:rsidRPr="00B52707">
        <w:rPr>
          <w:rStyle w:val="aa"/>
          <w:rFonts w:ascii="Times New Roman" w:hAnsi="Times New Roman"/>
          <w:color w:val="0070C0"/>
          <w:spacing w:val="0"/>
          <w:sz w:val="16"/>
          <w:szCs w:val="16"/>
        </w:rPr>
        <w:t>ыном орловского купца прапорщиком Иван Андреевич Эйда, который был признан после ранения вес</w:t>
      </w:r>
      <w:r w:rsidRPr="00B52707">
        <w:rPr>
          <w:rStyle w:val="aa"/>
          <w:rFonts w:ascii="Times New Roman" w:hAnsi="Times New Roman"/>
          <w:color w:val="0070C0"/>
          <w:spacing w:val="0"/>
          <w:sz w:val="16"/>
          <w:szCs w:val="16"/>
        </w:rPr>
        <w:softHyphen/>
        <w:t>ной 1915 г. негод</w:t>
      </w:r>
      <w:r w:rsidRPr="00B52707">
        <w:rPr>
          <w:rStyle w:val="aa"/>
          <w:rFonts w:ascii="Times New Roman" w:hAnsi="Times New Roman"/>
          <w:color w:val="0070C0"/>
          <w:spacing w:val="0"/>
          <w:sz w:val="16"/>
          <w:szCs w:val="16"/>
        </w:rPr>
        <w:softHyphen/>
        <w:t>ным к боевой служ</w:t>
      </w:r>
      <w:r w:rsidRPr="00B52707">
        <w:rPr>
          <w:rStyle w:val="aa"/>
          <w:rFonts w:ascii="Times New Roman" w:hAnsi="Times New Roman"/>
          <w:color w:val="0070C0"/>
          <w:spacing w:val="0"/>
          <w:sz w:val="16"/>
          <w:szCs w:val="16"/>
        </w:rPr>
        <w:softHyphen/>
        <w:t>бе, представил на рассмотрение в Мо</w:t>
      </w:r>
      <w:r w:rsidRPr="00B52707">
        <w:rPr>
          <w:rStyle w:val="aa"/>
          <w:rFonts w:ascii="Times New Roman" w:hAnsi="Times New Roman"/>
          <w:color w:val="0070C0"/>
          <w:spacing w:val="0"/>
          <w:sz w:val="16"/>
          <w:szCs w:val="16"/>
        </w:rPr>
        <w:softHyphen/>
        <w:t>сковское Леденцовское общество проект вертолета. Вер</w:t>
      </w:r>
      <w:r w:rsidRPr="00B52707">
        <w:rPr>
          <w:rStyle w:val="aa"/>
          <w:rFonts w:ascii="Times New Roman" w:hAnsi="Times New Roman"/>
          <w:color w:val="0070C0"/>
          <w:spacing w:val="0"/>
          <w:sz w:val="16"/>
          <w:szCs w:val="16"/>
        </w:rPr>
        <w:softHyphen/>
        <w:t xml:space="preserve">толет должен был быть соосной схемы. Причем диаметр верхнего </w:t>
      </w:r>
      <w:r w:rsidRPr="00B52707">
        <w:rPr>
          <w:rStyle w:val="aa"/>
          <w:rFonts w:ascii="Times New Roman" w:hAnsi="Times New Roman"/>
          <w:color w:val="0070C0"/>
          <w:spacing w:val="0"/>
          <w:sz w:val="16"/>
          <w:szCs w:val="16"/>
        </w:rPr>
        <w:lastRenderedPageBreak/>
        <w:t>несущего винта (2,5 м) планировался мень</w:t>
      </w:r>
      <w:r w:rsidRPr="00B52707">
        <w:rPr>
          <w:rStyle w:val="aa"/>
          <w:rFonts w:ascii="Times New Roman" w:hAnsi="Times New Roman"/>
          <w:color w:val="0070C0"/>
          <w:spacing w:val="0"/>
          <w:sz w:val="16"/>
          <w:szCs w:val="16"/>
        </w:rPr>
        <w:softHyphen/>
        <w:t>ше диаметра нижнего (5 м). Такая 'распространенная в то время схе</w:t>
      </w:r>
      <w:r w:rsidRPr="00B52707">
        <w:rPr>
          <w:rStyle w:val="aa"/>
          <w:rFonts w:ascii="Times New Roman" w:hAnsi="Times New Roman"/>
          <w:color w:val="0070C0"/>
          <w:spacing w:val="0"/>
          <w:sz w:val="16"/>
          <w:szCs w:val="16"/>
        </w:rPr>
        <w:softHyphen/>
        <w:t>ма предусматривалась для уменьшения вредного влияния верхнего винта на нижний. Верхний малый винт проектировался четырехлопа</w:t>
      </w:r>
      <w:r w:rsidRPr="00B52707">
        <w:rPr>
          <w:rStyle w:val="aa"/>
          <w:rFonts w:ascii="Times New Roman" w:hAnsi="Times New Roman"/>
          <w:color w:val="0070C0"/>
          <w:spacing w:val="0"/>
          <w:sz w:val="16"/>
          <w:szCs w:val="16"/>
        </w:rPr>
        <w:softHyphen/>
        <w:t>стным и цельнодеревянным по образцу винта Жуковского «НЕЖ», а нижний должен был быть шестилопастным и представлять собой стальной каркас, обтянутый материей. Частота вращения малого вин</w:t>
      </w:r>
      <w:r w:rsidRPr="00B52707">
        <w:rPr>
          <w:rStyle w:val="aa"/>
          <w:rFonts w:ascii="Times New Roman" w:hAnsi="Times New Roman"/>
          <w:color w:val="0070C0"/>
          <w:spacing w:val="0"/>
          <w:sz w:val="16"/>
          <w:szCs w:val="16"/>
        </w:rPr>
        <w:softHyphen/>
        <w:t>та предполагалась 1000 об/мин, большого — 400 об/мин. Их суммар</w:t>
      </w:r>
      <w:r w:rsidRPr="00B52707">
        <w:rPr>
          <w:rStyle w:val="aa"/>
          <w:rFonts w:ascii="Times New Roman" w:hAnsi="Times New Roman"/>
          <w:color w:val="0070C0"/>
          <w:spacing w:val="0"/>
          <w:sz w:val="16"/>
          <w:szCs w:val="16"/>
        </w:rPr>
        <w:softHyphen/>
        <w:t>ная подъемная сила оценивалась изобретателем в 350 кг. Кроме того, сзади устанавливался толкающий двухлопастный пропеллер, подо</w:t>
      </w:r>
      <w:r w:rsidRPr="00B52707">
        <w:rPr>
          <w:rStyle w:val="aa"/>
          <w:rFonts w:ascii="Times New Roman" w:hAnsi="Times New Roman"/>
          <w:color w:val="0070C0"/>
          <w:spacing w:val="0"/>
          <w:sz w:val="16"/>
          <w:szCs w:val="16"/>
        </w:rPr>
        <w:softHyphen/>
        <w:t>бный малому несущему винту, и руль. Продольно-поперечная балан</w:t>
      </w:r>
      <w:r w:rsidRPr="00B52707">
        <w:rPr>
          <w:rStyle w:val="aa"/>
          <w:rFonts w:ascii="Times New Roman" w:hAnsi="Times New Roman"/>
          <w:color w:val="0070C0"/>
          <w:spacing w:val="0"/>
          <w:sz w:val="16"/>
          <w:szCs w:val="16"/>
        </w:rPr>
        <w:softHyphen/>
        <w:t>сировка должна была обеспечиваться противовесом. Предполагалось, что после подъема на нужную высоту «каретка», представлявшая со</w:t>
      </w:r>
      <w:r w:rsidRPr="00B52707">
        <w:rPr>
          <w:rStyle w:val="aa"/>
          <w:rFonts w:ascii="Times New Roman" w:hAnsi="Times New Roman"/>
          <w:color w:val="0070C0"/>
          <w:spacing w:val="0"/>
          <w:sz w:val="16"/>
          <w:szCs w:val="16"/>
        </w:rPr>
        <w:softHyphen/>
        <w:t>бой шасси и кабину для экипажа, сместится вперед. За счет этого на</w:t>
      </w:r>
      <w:r w:rsidRPr="00B52707">
        <w:rPr>
          <w:rStyle w:val="aa"/>
          <w:rFonts w:ascii="Times New Roman" w:hAnsi="Times New Roman"/>
          <w:color w:val="0070C0"/>
          <w:spacing w:val="0"/>
          <w:sz w:val="16"/>
          <w:szCs w:val="16"/>
        </w:rPr>
        <w:softHyphen/>
        <w:t>клонится ось несущих винтов, которые создадут дополнительную про</w:t>
      </w:r>
      <w:r w:rsidRPr="00B52707">
        <w:rPr>
          <w:rStyle w:val="10"/>
          <w:rFonts w:ascii="Times New Roman" w:hAnsi="Times New Roman" w:cs="Times New Roman"/>
          <w:color w:val="0070C0"/>
          <w:sz w:val="16"/>
          <w:szCs w:val="16"/>
        </w:rPr>
        <w:t xml:space="preserve"> </w:t>
      </w:r>
      <w:r w:rsidRPr="00B52707">
        <w:rPr>
          <w:rStyle w:val="aa"/>
          <w:rFonts w:ascii="Times New Roman" w:hAnsi="Times New Roman"/>
          <w:color w:val="0070C0"/>
          <w:spacing w:val="0"/>
          <w:sz w:val="16"/>
          <w:szCs w:val="16"/>
        </w:rPr>
        <w:t>пульсивную силу пропеллеру. Для полета на данном режиме предус</w:t>
      </w:r>
      <w:r w:rsidRPr="00B52707">
        <w:rPr>
          <w:rStyle w:val="aa"/>
          <w:rFonts w:ascii="Times New Roman" w:hAnsi="Times New Roman"/>
          <w:color w:val="0070C0"/>
          <w:spacing w:val="0"/>
          <w:sz w:val="16"/>
          <w:szCs w:val="16"/>
        </w:rPr>
        <w:softHyphen/>
        <w:t>матривалась установка сзади крыла.</w:t>
      </w:r>
    </w:p>
    <w:p w14:paraId="1289CA75" w14:textId="77777777" w:rsidR="00D979C5" w:rsidRPr="00B52707" w:rsidRDefault="00D979C5" w:rsidP="00D979C5">
      <w:pPr>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Проект сопровождался сравнительно грамотным расчетом подъем</w:t>
      </w:r>
      <w:r w:rsidRPr="00B52707">
        <w:rPr>
          <w:rStyle w:val="aa"/>
          <w:rFonts w:ascii="Times New Roman" w:hAnsi="Times New Roman"/>
          <w:color w:val="0070C0"/>
          <w:spacing w:val="0"/>
          <w:sz w:val="16"/>
          <w:szCs w:val="16"/>
        </w:rPr>
        <w:softHyphen/>
        <w:t>ной силы винтов. Кроме того, в нем И.А. Эйда сообщал о проведен</w:t>
      </w:r>
      <w:r w:rsidRPr="00B52707">
        <w:rPr>
          <w:rStyle w:val="aa"/>
          <w:rFonts w:ascii="Times New Roman" w:hAnsi="Times New Roman"/>
          <w:color w:val="0070C0"/>
          <w:spacing w:val="0"/>
          <w:sz w:val="16"/>
          <w:szCs w:val="16"/>
        </w:rPr>
        <w:softHyphen/>
        <w:t>ных им дома в Орле исследованиях работы моделей соосных несущих винтов диаметром 0,25 и 0,5 м на самодельном ис</w:t>
      </w:r>
      <w:r w:rsidRPr="00B52707">
        <w:rPr>
          <w:rStyle w:val="aa"/>
          <w:rFonts w:ascii="Times New Roman" w:hAnsi="Times New Roman"/>
          <w:color w:val="0070C0"/>
          <w:spacing w:val="0"/>
          <w:sz w:val="16"/>
          <w:szCs w:val="16"/>
        </w:rPr>
        <w:softHyphen/>
        <w:t>пытательном стенде, пе</w:t>
      </w:r>
      <w:r w:rsidRPr="00B52707">
        <w:rPr>
          <w:rStyle w:val="aa"/>
          <w:rFonts w:ascii="Times New Roman" w:hAnsi="Times New Roman"/>
          <w:color w:val="0070C0"/>
          <w:spacing w:val="0"/>
          <w:sz w:val="16"/>
          <w:szCs w:val="16"/>
        </w:rPr>
        <w:softHyphen/>
        <w:t>рестроенном из электри</w:t>
      </w:r>
      <w:r w:rsidRPr="00B52707">
        <w:rPr>
          <w:rStyle w:val="aa"/>
          <w:rFonts w:ascii="Times New Roman" w:hAnsi="Times New Roman"/>
          <w:color w:val="0070C0"/>
          <w:spacing w:val="0"/>
          <w:sz w:val="16"/>
          <w:szCs w:val="16"/>
        </w:rPr>
        <w:softHyphen/>
        <w:t>ческого ‘вентилятора. При этих испытаниях он обнаружил, что подъем</w:t>
      </w:r>
      <w:r w:rsidRPr="00B52707">
        <w:rPr>
          <w:rStyle w:val="aa"/>
          <w:rFonts w:ascii="Times New Roman" w:hAnsi="Times New Roman"/>
          <w:color w:val="0070C0"/>
          <w:spacing w:val="0"/>
          <w:sz w:val="16"/>
          <w:szCs w:val="16"/>
        </w:rPr>
        <w:softHyphen/>
        <w:t>ная сила совместно рабо</w:t>
      </w:r>
      <w:r w:rsidRPr="00B52707">
        <w:rPr>
          <w:rStyle w:val="aa"/>
          <w:rFonts w:ascii="Times New Roman" w:hAnsi="Times New Roman"/>
          <w:color w:val="0070C0"/>
          <w:spacing w:val="0"/>
          <w:sz w:val="16"/>
          <w:szCs w:val="16"/>
        </w:rPr>
        <w:softHyphen/>
        <w:t>тающих соосных несу</w:t>
      </w:r>
      <w:r w:rsidRPr="00B52707">
        <w:rPr>
          <w:rStyle w:val="aa"/>
          <w:rFonts w:ascii="Times New Roman" w:hAnsi="Times New Roman"/>
          <w:color w:val="0070C0"/>
          <w:spacing w:val="0"/>
          <w:sz w:val="16"/>
          <w:szCs w:val="16"/>
        </w:rPr>
        <w:softHyphen/>
        <w:t>щих винтов не равна сумме подъемных сил, полученных на каждом из них, действующем раздельно. Эйда заметил и зависимость суммар</w:t>
      </w:r>
      <w:r w:rsidRPr="00B52707">
        <w:rPr>
          <w:rStyle w:val="aa"/>
          <w:rFonts w:ascii="Times New Roman" w:hAnsi="Times New Roman"/>
          <w:color w:val="0070C0"/>
          <w:spacing w:val="0"/>
          <w:sz w:val="16"/>
          <w:szCs w:val="16"/>
        </w:rPr>
        <w:softHyphen/>
        <w:t>ной подъемной силы от размаха соосных винтов.</w:t>
      </w:r>
    </w:p>
    <w:p w14:paraId="4B2896C9" w14:textId="77777777" w:rsidR="00D979C5" w:rsidRPr="00B52707" w:rsidRDefault="00D979C5" w:rsidP="00D979C5">
      <w:pPr>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Проект И.А. Эйды рассматривал эксперт Леденцовского общества В.П. Ветчинкин, который отметил, что «хотя проект геликоптера представлен изобретателем в неразра</w:t>
      </w:r>
      <w:r w:rsidRPr="00B52707">
        <w:rPr>
          <w:rStyle w:val="aa"/>
          <w:rFonts w:ascii="Times New Roman" w:hAnsi="Times New Roman"/>
          <w:color w:val="0070C0"/>
          <w:spacing w:val="0"/>
          <w:sz w:val="16"/>
          <w:szCs w:val="16"/>
        </w:rPr>
        <w:softHyphen/>
        <w:t>ботанной и неконструк</w:t>
      </w:r>
      <w:r w:rsidRPr="00B52707">
        <w:rPr>
          <w:rStyle w:val="aa"/>
          <w:rFonts w:ascii="Times New Roman" w:hAnsi="Times New Roman"/>
          <w:color w:val="0070C0"/>
          <w:spacing w:val="0"/>
          <w:sz w:val="16"/>
          <w:szCs w:val="16"/>
        </w:rPr>
        <w:softHyphen/>
        <w:t>тивной форме, но при его описании изобретатель показал достаточное зна</w:t>
      </w:r>
      <w:r w:rsidRPr="00B52707">
        <w:rPr>
          <w:rStyle w:val="aa"/>
          <w:rFonts w:ascii="Times New Roman" w:hAnsi="Times New Roman"/>
          <w:color w:val="0070C0"/>
          <w:spacing w:val="0"/>
          <w:sz w:val="16"/>
          <w:szCs w:val="16"/>
        </w:rPr>
        <w:softHyphen/>
        <w:t>ние теории винтов и глав</w:t>
      </w:r>
      <w:r w:rsidRPr="00B52707">
        <w:rPr>
          <w:rStyle w:val="aa"/>
          <w:rFonts w:ascii="Times New Roman" w:hAnsi="Times New Roman"/>
          <w:color w:val="0070C0"/>
          <w:spacing w:val="0"/>
          <w:sz w:val="16"/>
          <w:szCs w:val="16"/>
        </w:rPr>
        <w:softHyphen/>
        <w:t>ная его тема — устройст</w:t>
      </w:r>
      <w:r w:rsidRPr="00B52707">
        <w:rPr>
          <w:rStyle w:val="aa"/>
          <w:rFonts w:ascii="Times New Roman" w:hAnsi="Times New Roman"/>
          <w:color w:val="0070C0"/>
          <w:spacing w:val="0"/>
          <w:sz w:val="16"/>
          <w:szCs w:val="16"/>
        </w:rPr>
        <w:softHyphen/>
        <w:t>во двойного (соосного. — В.М.) винта... заслужива</w:t>
      </w:r>
      <w:r w:rsidRPr="00B52707">
        <w:rPr>
          <w:rStyle w:val="aa"/>
          <w:rFonts w:ascii="Times New Roman" w:hAnsi="Times New Roman"/>
          <w:color w:val="0070C0"/>
          <w:spacing w:val="0"/>
          <w:sz w:val="16"/>
          <w:szCs w:val="16"/>
        </w:rPr>
        <w:softHyphen/>
        <w:t>ет внимания». Ветчинкин разумно обосновал целе</w:t>
      </w:r>
      <w:r w:rsidRPr="00B52707">
        <w:rPr>
          <w:rStyle w:val="aa"/>
          <w:rFonts w:ascii="Times New Roman" w:hAnsi="Times New Roman"/>
          <w:color w:val="0070C0"/>
          <w:spacing w:val="0"/>
          <w:sz w:val="16"/>
          <w:szCs w:val="16"/>
        </w:rPr>
        <w:softHyphen/>
        <w:t>сообразность проведения больших эксперимен</w:t>
      </w:r>
      <w:r w:rsidRPr="00B52707">
        <w:rPr>
          <w:rStyle w:val="aa"/>
          <w:rFonts w:ascii="Times New Roman" w:hAnsi="Times New Roman"/>
          <w:color w:val="0070C0"/>
          <w:spacing w:val="0"/>
          <w:sz w:val="16"/>
          <w:szCs w:val="16"/>
        </w:rPr>
        <w:softHyphen/>
        <w:t>тальных работ, предше</w:t>
      </w:r>
      <w:r w:rsidRPr="00B52707">
        <w:rPr>
          <w:rStyle w:val="aa"/>
          <w:rFonts w:ascii="Times New Roman" w:hAnsi="Times New Roman"/>
          <w:color w:val="0070C0"/>
          <w:spacing w:val="0"/>
          <w:sz w:val="16"/>
          <w:szCs w:val="16"/>
        </w:rPr>
        <w:softHyphen/>
        <w:t>ствующих постройке самого аппарата.</w:t>
      </w:r>
    </w:p>
    <w:p w14:paraId="6F2D8445" w14:textId="77777777" w:rsidR="00D979C5" w:rsidRPr="00B52707" w:rsidRDefault="00D979C5" w:rsidP="00D979C5">
      <w:pPr>
        <w:jc w:val="both"/>
        <w:rPr>
          <w:color w:val="0070C0"/>
          <w:sz w:val="16"/>
          <w:szCs w:val="16"/>
        </w:rPr>
      </w:pPr>
      <w:r w:rsidRPr="00B52707">
        <w:rPr>
          <w:rStyle w:val="aa"/>
          <w:rFonts w:ascii="Times New Roman" w:hAnsi="Times New Roman"/>
          <w:color w:val="0070C0"/>
          <w:spacing w:val="0"/>
          <w:sz w:val="16"/>
          <w:szCs w:val="16"/>
        </w:rPr>
        <w:t>По распоряжению Н.Е. Жуковского Эйде в аэродина</w:t>
      </w:r>
      <w:r w:rsidRPr="00B52707">
        <w:rPr>
          <w:rStyle w:val="aa"/>
          <w:rFonts w:ascii="Times New Roman" w:hAnsi="Times New Roman"/>
          <w:color w:val="0070C0"/>
          <w:spacing w:val="0"/>
          <w:sz w:val="16"/>
          <w:szCs w:val="16"/>
        </w:rPr>
        <w:softHyphen/>
        <w:t>мической лаборатории Императорского Московского университета</w:t>
      </w:r>
      <w:r w:rsidRPr="00B52707">
        <w:rPr>
          <w:color w:val="0070C0"/>
          <w:sz w:val="16"/>
          <w:szCs w:val="16"/>
        </w:rPr>
        <w:t xml:space="preserve"> </w:t>
      </w:r>
      <w:r w:rsidRPr="00B52707">
        <w:rPr>
          <w:rStyle w:val="aa"/>
          <w:rFonts w:ascii="Times New Roman" w:hAnsi="Times New Roman"/>
          <w:color w:val="0070C0"/>
          <w:spacing w:val="0"/>
          <w:sz w:val="16"/>
          <w:szCs w:val="16"/>
        </w:rPr>
        <w:t>был предоставлен большой лабораторный стенд для испытания несущих винтов и 300 рублей для его соответствующей переделки. Обладая некоторыми собственными средствами, изобретатель взялся построить исследуемые винты за соб</w:t>
      </w:r>
      <w:r w:rsidRPr="00B52707">
        <w:rPr>
          <w:rStyle w:val="aa"/>
          <w:rFonts w:ascii="Times New Roman" w:hAnsi="Times New Roman"/>
          <w:color w:val="0070C0"/>
          <w:spacing w:val="0"/>
          <w:sz w:val="16"/>
          <w:szCs w:val="16"/>
        </w:rPr>
        <w:softHyphen/>
        <w:t>ственный счет.</w:t>
      </w:r>
    </w:p>
    <w:p w14:paraId="40383072" w14:textId="77777777" w:rsidR="00D979C5" w:rsidRPr="00B52707" w:rsidRDefault="00D979C5" w:rsidP="00D979C5">
      <w:pPr>
        <w:jc w:val="both"/>
        <w:rPr>
          <w:color w:val="0070C0"/>
          <w:sz w:val="16"/>
          <w:szCs w:val="16"/>
        </w:rPr>
      </w:pPr>
      <w:r w:rsidRPr="00B52707">
        <w:rPr>
          <w:rStyle w:val="aa"/>
          <w:rFonts w:ascii="Times New Roman" w:hAnsi="Times New Roman"/>
          <w:color w:val="0070C0"/>
          <w:spacing w:val="0"/>
          <w:sz w:val="16"/>
          <w:szCs w:val="16"/>
        </w:rPr>
        <w:t>На основании заключения Леденцовского общества и результатов первых опытов с винтами И.А. Эйда внес в свой проект ряд измене</w:t>
      </w:r>
      <w:r w:rsidRPr="00B52707">
        <w:rPr>
          <w:rStyle w:val="aa"/>
          <w:rFonts w:ascii="Times New Roman" w:hAnsi="Times New Roman"/>
          <w:color w:val="0070C0"/>
          <w:spacing w:val="0"/>
          <w:sz w:val="16"/>
          <w:szCs w:val="16"/>
        </w:rPr>
        <w:softHyphen/>
        <w:t>ний и отправил его в Министерство торговли и промышленности для получения привилегии (25622).</w:t>
      </w:r>
    </w:p>
    <w:p w14:paraId="46A7561D" w14:textId="77777777" w:rsidR="00D979C5" w:rsidRPr="00B52707" w:rsidRDefault="00D979C5" w:rsidP="00D979C5">
      <w:pPr>
        <w:jc w:val="both"/>
        <w:rPr>
          <w:rStyle w:val="aa"/>
          <w:rFonts w:ascii="Times New Roman" w:hAnsi="Times New Roman"/>
          <w:color w:val="0070C0"/>
          <w:spacing w:val="0"/>
          <w:sz w:val="16"/>
          <w:szCs w:val="16"/>
        </w:rPr>
      </w:pPr>
    </w:p>
    <w:p w14:paraId="15699ED5"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0FFF150B" w14:textId="77777777" w:rsidR="004B4E35" w:rsidRPr="00405303" w:rsidRDefault="004B4E35" w:rsidP="00C15251">
      <w:pPr>
        <w:jc w:val="both"/>
        <w:rPr>
          <w:bCs/>
          <w:i/>
          <w:color w:val="002060"/>
          <w:sz w:val="16"/>
          <w:szCs w:val="16"/>
        </w:rPr>
      </w:pPr>
    </w:p>
    <w:p w14:paraId="47D6FB4C" w14:textId="77777777" w:rsidR="00D00DBC" w:rsidRPr="00405303" w:rsidRDefault="00D00DBC" w:rsidP="00C15251">
      <w:pPr>
        <w:pStyle w:val="20"/>
        <w:shd w:val="clear" w:color="auto" w:fill="auto"/>
        <w:spacing w:after="0" w:line="240" w:lineRule="auto"/>
        <w:ind w:firstLine="0"/>
        <w:jc w:val="both"/>
        <w:rPr>
          <w:rFonts w:ascii="Times New Roman" w:hAnsi="Times New Roman"/>
          <w:bCs/>
          <w:color w:val="002060"/>
          <w:spacing w:val="0"/>
          <w:sz w:val="16"/>
          <w:szCs w:val="16"/>
        </w:rPr>
      </w:pPr>
      <w:r w:rsidRPr="00405303">
        <w:rPr>
          <w:rFonts w:ascii="Times New Roman" w:hAnsi="Times New Roman"/>
          <w:bCs/>
          <w:color w:val="002060"/>
          <w:spacing w:val="0"/>
          <w:sz w:val="16"/>
          <w:szCs w:val="16"/>
        </w:rPr>
        <w:t>В октябре 1915 года генерал штаба Ставки М.А. Беляев был вынужден с грустью констатировать: «Общая потребность в винтовочных патронах исчисляется в месяц в 200 миллионов, однако в значительной мере не покрывается в данный момент производительностью патронных заводов, изготавливающих в месяц 100-115 млн патронов» (15230).</w:t>
      </w:r>
    </w:p>
    <w:p w14:paraId="1D736435" w14:textId="77777777" w:rsidR="00D00DBC" w:rsidRPr="00405303" w:rsidRDefault="00D00DBC" w:rsidP="00C15251">
      <w:pPr>
        <w:pStyle w:val="20"/>
        <w:shd w:val="clear" w:color="auto" w:fill="auto"/>
        <w:spacing w:after="0" w:line="240" w:lineRule="auto"/>
        <w:ind w:firstLine="0"/>
        <w:jc w:val="both"/>
        <w:rPr>
          <w:rFonts w:ascii="Times New Roman" w:hAnsi="Times New Roman"/>
          <w:bCs/>
          <w:color w:val="002060"/>
          <w:spacing w:val="0"/>
          <w:sz w:val="16"/>
          <w:szCs w:val="16"/>
        </w:rPr>
      </w:pPr>
    </w:p>
    <w:p w14:paraId="3AF09232" w14:textId="77777777" w:rsidR="0050121B" w:rsidRPr="00405303" w:rsidRDefault="0050121B" w:rsidP="0050121B">
      <w:pPr>
        <w:pStyle w:val="p1"/>
        <w:spacing w:before="0" w:beforeAutospacing="0" w:after="0" w:afterAutospacing="0"/>
        <w:jc w:val="both"/>
        <w:rPr>
          <w:bCs/>
          <w:color w:val="002060"/>
          <w:sz w:val="16"/>
          <w:szCs w:val="16"/>
        </w:rPr>
      </w:pPr>
      <w:r w:rsidRPr="00405303">
        <w:rPr>
          <w:bCs/>
          <w:color w:val="002060"/>
          <w:sz w:val="16"/>
          <w:szCs w:val="16"/>
        </w:rPr>
        <w:t>На октябрь 1915 г. при потребности, исчисленной в 2078 пулеметов в месяц, ТОЗ выпускал около 500 шт. (в 1916 г. — свыше 900 в месяц в среднем). Всего пулеметный отдел ТОЗ дал в 1914 г. 833,[40] в 1915 г. — 4251, в 1916 г. — 11 072 пулемета, увеличив, таким образом, производство более чем в 10 раз (за 1914–1917 гг. было выпущено 27 477 шт., ввезено 42 318). Пополнение оборудования опережало расширение площадей: к концу войны пространство на один станок сократилось почти втрое (18409).</w:t>
      </w:r>
    </w:p>
    <w:p w14:paraId="3A255D0F" w14:textId="77777777" w:rsidR="0050121B" w:rsidRPr="00405303" w:rsidRDefault="0050121B" w:rsidP="0050121B">
      <w:pPr>
        <w:pStyle w:val="p1"/>
        <w:spacing w:before="0" w:beforeAutospacing="0" w:after="0" w:afterAutospacing="0"/>
        <w:jc w:val="both"/>
        <w:rPr>
          <w:bCs/>
          <w:color w:val="002060"/>
          <w:sz w:val="16"/>
          <w:szCs w:val="16"/>
        </w:rPr>
      </w:pPr>
    </w:p>
    <w:p w14:paraId="13E1752C" w14:textId="77777777" w:rsidR="0050121B" w:rsidRPr="00B52707" w:rsidRDefault="0050121B" w:rsidP="0050121B">
      <w:pPr>
        <w:jc w:val="both"/>
        <w:rPr>
          <w:color w:val="0070C0"/>
          <w:sz w:val="16"/>
          <w:szCs w:val="16"/>
        </w:rPr>
      </w:pPr>
      <w:r w:rsidRPr="00B52707">
        <w:rPr>
          <w:color w:val="0070C0"/>
          <w:sz w:val="16"/>
          <w:szCs w:val="16"/>
        </w:rPr>
        <w:t xml:space="preserve">В октябре 1915 года в Севастополе была испытана глубинная бомба с гидростатическим «ударником» (взрывателем), разработанная главным минером Севастопольского порта генерал-майором М. Б. Щиголевым. Несмотря на то, что первые испытания не могли дать исчерпывающих данных, в частности, не была выяснена возможность серийного бомбометания, гидростатический принцип подрыва был признан наиболее рациональным, и Севастопольский порт начал работы по изготовлению первой партии бомб (к концу января 1916 года было готово 20 штук). Только в январе 1916 года чертежи и образец бомбы были отправлены в Петроград для демонстрации в МГШ и минном отделе Главного управления кораблестроения (ГУК), которые высказывали сомнения в целесообразности установки гидростатического </w:t>
      </w:r>
      <w:proofErr w:type="gramStart"/>
      <w:r w:rsidRPr="00B52707">
        <w:rPr>
          <w:color w:val="0070C0"/>
          <w:sz w:val="16"/>
          <w:szCs w:val="16"/>
        </w:rPr>
        <w:t>взрывателя(</w:t>
      </w:r>
      <w:proofErr w:type="gramEnd"/>
      <w:r w:rsidRPr="00B52707">
        <w:rPr>
          <w:color w:val="0070C0"/>
          <w:sz w:val="16"/>
          <w:szCs w:val="16"/>
        </w:rPr>
        <w:t>25382).</w:t>
      </w:r>
    </w:p>
    <w:p w14:paraId="4B58D60D" w14:textId="77777777" w:rsidR="0050121B" w:rsidRPr="00B52707" w:rsidRDefault="0050121B" w:rsidP="0050121B">
      <w:pPr>
        <w:jc w:val="both"/>
        <w:rPr>
          <w:color w:val="0070C0"/>
          <w:sz w:val="16"/>
          <w:szCs w:val="16"/>
        </w:rPr>
      </w:pPr>
    </w:p>
    <w:p w14:paraId="6ED817AC" w14:textId="77777777" w:rsidR="00D00DBC" w:rsidRPr="00405303" w:rsidRDefault="00D00DBC" w:rsidP="00C15251">
      <w:pPr>
        <w:jc w:val="both"/>
        <w:rPr>
          <w:bCs/>
          <w:color w:val="002060"/>
          <w:sz w:val="16"/>
          <w:szCs w:val="16"/>
        </w:rPr>
      </w:pPr>
      <w:r w:rsidRPr="00405303">
        <w:rPr>
          <w:bCs/>
          <w:color w:val="002060"/>
          <w:sz w:val="16"/>
          <w:szCs w:val="16"/>
        </w:rPr>
        <w:t>С октября 1915 года завод АМО сам уже выпускал все комплектующие. С переходом на комплектующие собственного производства, впрочем, выпуск автомобилей временно упал. Так, в 1915 году удалось выпустить всего 221 машину (18376).</w:t>
      </w:r>
    </w:p>
    <w:p w14:paraId="73111A31" w14:textId="77777777" w:rsidR="00D00DBC" w:rsidRPr="00405303" w:rsidRDefault="00D00DBC" w:rsidP="00C15251">
      <w:pPr>
        <w:jc w:val="both"/>
        <w:rPr>
          <w:bCs/>
          <w:color w:val="002060"/>
          <w:sz w:val="16"/>
          <w:szCs w:val="16"/>
        </w:rPr>
      </w:pPr>
    </w:p>
    <w:p w14:paraId="5F8743C2" w14:textId="77777777" w:rsidR="0050121B" w:rsidRPr="00B52707" w:rsidRDefault="0050121B" w:rsidP="0050121B">
      <w:pPr>
        <w:jc w:val="both"/>
        <w:rPr>
          <w:color w:val="0070C0"/>
          <w:sz w:val="16"/>
          <w:szCs w:val="16"/>
        </w:rPr>
      </w:pPr>
      <w:r w:rsidRPr="00B52707">
        <w:rPr>
          <w:color w:val="0070C0"/>
          <w:sz w:val="16"/>
          <w:szCs w:val="16"/>
        </w:rPr>
        <w:t>В октябре 1915 года Кегресс представил на рассмотрение техническо</w:t>
      </w:r>
      <w:r w:rsidRPr="00B52707">
        <w:rPr>
          <w:color w:val="0070C0"/>
          <w:sz w:val="16"/>
          <w:szCs w:val="16"/>
        </w:rPr>
        <w:softHyphen/>
        <w:t>го комитета ГВТУ образец, чертеж и описа</w:t>
      </w:r>
      <w:r w:rsidRPr="00B52707">
        <w:rPr>
          <w:color w:val="0070C0"/>
          <w:sz w:val="16"/>
          <w:szCs w:val="16"/>
        </w:rPr>
        <w:softHyphen/>
        <w:t>ние автосаней своей конструкции. Комитет высказал мнение, что «крайне желательно испытать приспособление Кегресса на ав</w:t>
      </w:r>
      <w:r w:rsidRPr="00B52707">
        <w:rPr>
          <w:color w:val="0070C0"/>
          <w:sz w:val="16"/>
          <w:szCs w:val="16"/>
        </w:rPr>
        <w:softHyphen/>
        <w:t>томобилях разных систем, особенно воз</w:t>
      </w:r>
      <w:r w:rsidRPr="00B52707">
        <w:rPr>
          <w:color w:val="0070C0"/>
          <w:sz w:val="16"/>
          <w:szCs w:val="16"/>
        </w:rPr>
        <w:softHyphen/>
        <w:t>можность их применения для броневых ав</w:t>
      </w:r>
      <w:r w:rsidRPr="00B52707">
        <w:rPr>
          <w:color w:val="0070C0"/>
          <w:sz w:val="16"/>
          <w:szCs w:val="16"/>
        </w:rPr>
        <w:softHyphen/>
        <w:t>томобилей, что может иметь большое зна</w:t>
      </w:r>
      <w:r w:rsidRPr="00B52707">
        <w:rPr>
          <w:color w:val="0070C0"/>
          <w:sz w:val="16"/>
          <w:szCs w:val="16"/>
        </w:rPr>
        <w:softHyphen/>
        <w:t>чение» (25008).</w:t>
      </w:r>
    </w:p>
    <w:p w14:paraId="633F5ED0" w14:textId="77777777" w:rsidR="0050121B" w:rsidRPr="00B52707" w:rsidRDefault="0050121B" w:rsidP="0050121B">
      <w:pPr>
        <w:jc w:val="both"/>
        <w:rPr>
          <w:color w:val="0070C0"/>
          <w:sz w:val="16"/>
          <w:szCs w:val="16"/>
        </w:rPr>
      </w:pPr>
    </w:p>
    <w:p w14:paraId="205E5999" w14:textId="77777777" w:rsidR="00D00DBC" w:rsidRPr="00405303" w:rsidRDefault="00D00DBC" w:rsidP="00C15251">
      <w:pPr>
        <w:jc w:val="both"/>
        <w:rPr>
          <w:bCs/>
          <w:color w:val="002060"/>
          <w:sz w:val="16"/>
          <w:szCs w:val="16"/>
        </w:rPr>
      </w:pPr>
      <w:r w:rsidRPr="00405303">
        <w:rPr>
          <w:bCs/>
          <w:color w:val="002060"/>
          <w:sz w:val="16"/>
          <w:szCs w:val="16"/>
        </w:rPr>
        <w:t>В октябре 1915 г. правление АО «Л.М. Эриксон» обращается в Электротехнический отдел ГВТУ по поводу отсутствия на рынке замков, которыми должны снабжаться ящики для укладки телефонных коммутаторов, и предлагает поставку этих ящиков без замков со скидкой их стоимости3.</w:t>
      </w:r>
    </w:p>
    <w:p w14:paraId="5EA01873" w14:textId="77777777" w:rsidR="00D00DBC" w:rsidRPr="00405303" w:rsidRDefault="00D00DBC" w:rsidP="00C15251">
      <w:pPr>
        <w:jc w:val="both"/>
        <w:rPr>
          <w:bCs/>
          <w:color w:val="002060"/>
          <w:sz w:val="16"/>
          <w:szCs w:val="16"/>
        </w:rPr>
      </w:pPr>
      <w:r w:rsidRPr="00405303">
        <w:rPr>
          <w:bCs/>
          <w:color w:val="002060"/>
          <w:sz w:val="16"/>
          <w:szCs w:val="16"/>
        </w:rPr>
        <w:t>В период войны в условиях дефицита большинства средств связи остро встал вопрос о соблюдении предприятиями тактико-технических требований (ТТТ) как на саму аппаратуры, так и на сопутствующие изделия (чехлы, ящики, ремни для переноски и т.п.). В мирное время приемщики Военного ведомства неукоснительно требовали соблюдения всех без исключения требований. В условиях войны, при дефиците на рынке многих видов материалов как таковых, так и имеющих определенные свойства, выполнить некоторые требования становилось проблематичным или даже невозможным. Поэтому предприятия все настойчивее ставят перед довольствующими органами Военного и Морского ведомства вопросы об упрощении этих требований (18297).</w:t>
      </w:r>
    </w:p>
    <w:p w14:paraId="3ED6D3C3" w14:textId="77777777" w:rsidR="00D00DBC" w:rsidRPr="00405303" w:rsidRDefault="00D00DBC" w:rsidP="00C15251">
      <w:pPr>
        <w:jc w:val="both"/>
        <w:rPr>
          <w:bCs/>
          <w:color w:val="002060"/>
          <w:sz w:val="16"/>
          <w:szCs w:val="16"/>
        </w:rPr>
      </w:pPr>
    </w:p>
    <w:p w14:paraId="5286AD77" w14:textId="4844B339" w:rsidR="00D00DBC" w:rsidRPr="00405303" w:rsidRDefault="00D00DBC" w:rsidP="00C15251">
      <w:pPr>
        <w:jc w:val="both"/>
        <w:rPr>
          <w:bCs/>
          <w:color w:val="002060"/>
          <w:sz w:val="16"/>
          <w:szCs w:val="16"/>
          <w:shd w:val="clear" w:color="auto" w:fill="FFFFFF"/>
        </w:rPr>
      </w:pPr>
      <w:r w:rsidRPr="00405303">
        <w:rPr>
          <w:bCs/>
          <w:color w:val="002060"/>
          <w:sz w:val="16"/>
          <w:szCs w:val="16"/>
          <w:shd w:val="clear" w:color="auto" w:fill="FFFFFF"/>
        </w:rPr>
        <w:t>В октябре 1915 года по распоряжению генерал-майора Колобова 4-й роте 2-го Заамурско-го железнодорожного батальона 2-й Заамур-ской железнодорожной бригады, до этого занятой постройкой бронепоездов типа «Хунхуз», поручалось спроектировать и изготовить три бронированных дрезины, вооруженных пулеметами. Было разработано два проекта - один представил командир 4-й роты поручик Кочен-гин и инженер-механик роты прапорщик Основин, а второй прапорщик, инженер-технолог</w:t>
      </w:r>
      <w:r w:rsidR="00DB4D64" w:rsidRPr="00405303">
        <w:rPr>
          <w:bCs/>
          <w:color w:val="002060"/>
          <w:sz w:val="16"/>
          <w:szCs w:val="16"/>
          <w:shd w:val="clear" w:color="auto" w:fill="FFFFFF"/>
        </w:rPr>
        <w:t xml:space="preserve"> </w:t>
      </w:r>
      <w:r w:rsidRPr="00405303">
        <w:rPr>
          <w:bCs/>
          <w:color w:val="002060"/>
          <w:sz w:val="16"/>
          <w:szCs w:val="16"/>
          <w:shd w:val="clear" w:color="auto" w:fill="FFFFFF"/>
        </w:rPr>
        <w:t>3-го железнодорожного батальона, фамилию которого установить не удалось. Первые предлагали тяжелую бронедрезину, вооруженную четырьмя пулеметами, а второй - легкую с дву мя пулеметами. После рассмотрения и утверждения проектов Военно-дорожным отделом начались работы по изготовлению бронедрезин силами 4-й роты 2-го Заамурского железнодорожного батальона в Киевских главных (тяжелая) и Одесских (две легких) мастерских ЮгоЗападных железных дорог (18626).</w:t>
      </w:r>
    </w:p>
    <w:p w14:paraId="13B98EF7" w14:textId="77777777" w:rsidR="00D00DBC" w:rsidRPr="00405303" w:rsidRDefault="00D00DBC" w:rsidP="00C15251">
      <w:pPr>
        <w:jc w:val="both"/>
        <w:rPr>
          <w:bCs/>
          <w:color w:val="002060"/>
          <w:sz w:val="16"/>
          <w:szCs w:val="16"/>
        </w:rPr>
      </w:pPr>
    </w:p>
    <w:p w14:paraId="50AE6050" w14:textId="23B3D611" w:rsidR="00D00DBC" w:rsidRPr="00405303" w:rsidRDefault="00D00DBC" w:rsidP="00C15251">
      <w:pPr>
        <w:jc w:val="both"/>
        <w:rPr>
          <w:bCs/>
          <w:color w:val="002060"/>
          <w:sz w:val="16"/>
          <w:szCs w:val="16"/>
        </w:rPr>
      </w:pPr>
      <w:r w:rsidRPr="00405303">
        <w:rPr>
          <w:bCs/>
          <w:color w:val="002060"/>
          <w:sz w:val="16"/>
          <w:szCs w:val="16"/>
          <w:shd w:val="clear" w:color="auto" w:fill="FFFFFF"/>
        </w:rPr>
        <w:t>В октябре 1915 года 12-й железнодорожный батальон получил разрешение на строительство бронепоезда «путем приспособления к бронировке существующих типов товарных вагонов и платформ». Однако в ходе предварительного проектирования командование и технический персонал батальона пришли к выводу, что «значительный вес поезда ставит его во всецелую зависимость от состояния рельсового пути в тылу поезда, и в то же время бронепоезд представляет собою удобную цель для неприятельского орудийного огня». Выход, по их мнению, был в изготовлении легких бронедрезин с пулеметным вооружением, о чем командир батальона полковник Фурин и сообщал начальнику военно-дорожного отдела Управления военных сообщений (УПВОСО) в своем письме от 5 ноября 1915 года:</w:t>
      </w:r>
      <w:r w:rsidR="00DB4D64" w:rsidRPr="00405303">
        <w:rPr>
          <w:bCs/>
          <w:color w:val="002060"/>
          <w:sz w:val="16"/>
          <w:szCs w:val="16"/>
          <w:shd w:val="clear" w:color="auto" w:fill="FFFFFF"/>
        </w:rPr>
        <w:t xml:space="preserve"> </w:t>
      </w:r>
    </w:p>
    <w:p w14:paraId="4CB1BAF2" w14:textId="2B20B6FF" w:rsidR="00D00DBC" w:rsidRPr="00405303" w:rsidRDefault="00D00DBC" w:rsidP="00C15251">
      <w:pPr>
        <w:jc w:val="both"/>
        <w:rPr>
          <w:bCs/>
          <w:color w:val="002060"/>
          <w:sz w:val="16"/>
          <w:szCs w:val="16"/>
        </w:rPr>
      </w:pPr>
      <w:r w:rsidRPr="00405303">
        <w:rPr>
          <w:bCs/>
          <w:color w:val="002060"/>
          <w:sz w:val="16"/>
          <w:szCs w:val="16"/>
          <w:shd w:val="clear" w:color="auto" w:fill="FFFFFF"/>
        </w:rPr>
        <w:t>«Указанные выше недостатки бронепоезда, необходимо связанные с самой сущностью его, не могут быть устранены и были побудительной причиной к созданию нового типа легкой и подвижной механической единицы - моторной бронированной пулеметной дрезины типа 12-го железнодорожного батальона, проект таковой дрезины вместе с пояснительной запиской и проектом инструкции при сем представляется...</w:t>
      </w:r>
      <w:r w:rsidR="00DB4D64" w:rsidRPr="00405303">
        <w:rPr>
          <w:bCs/>
          <w:color w:val="002060"/>
          <w:sz w:val="16"/>
          <w:szCs w:val="16"/>
          <w:shd w:val="clear" w:color="auto" w:fill="FFFFFF"/>
        </w:rPr>
        <w:t xml:space="preserve"> </w:t>
      </w:r>
    </w:p>
    <w:p w14:paraId="595DC69B" w14:textId="5A9DB815" w:rsidR="00D00DBC" w:rsidRPr="00405303" w:rsidRDefault="00D00DBC" w:rsidP="00C15251">
      <w:pPr>
        <w:jc w:val="both"/>
        <w:rPr>
          <w:bCs/>
          <w:color w:val="002060"/>
          <w:sz w:val="16"/>
          <w:szCs w:val="16"/>
        </w:rPr>
      </w:pPr>
      <w:r w:rsidRPr="00405303">
        <w:rPr>
          <w:bCs/>
          <w:color w:val="002060"/>
          <w:sz w:val="16"/>
          <w:szCs w:val="16"/>
          <w:shd w:val="clear" w:color="auto" w:fill="FFFFFF"/>
        </w:rPr>
        <w:t>В случае если представленный и рассмотренный проект моторной дрезины признается целесообразным, ходатайствую:</w:t>
      </w:r>
      <w:r w:rsidR="00DB4D64" w:rsidRPr="00405303">
        <w:rPr>
          <w:bCs/>
          <w:color w:val="002060"/>
          <w:sz w:val="16"/>
          <w:szCs w:val="16"/>
          <w:shd w:val="clear" w:color="auto" w:fill="FFFFFF"/>
        </w:rPr>
        <w:t xml:space="preserve"> </w:t>
      </w:r>
    </w:p>
    <w:p w14:paraId="7D990956" w14:textId="301F5520" w:rsidR="00D00DBC" w:rsidRPr="00405303" w:rsidRDefault="00D00DBC" w:rsidP="00C15251">
      <w:pPr>
        <w:jc w:val="both"/>
        <w:rPr>
          <w:bCs/>
          <w:color w:val="002060"/>
          <w:sz w:val="16"/>
          <w:szCs w:val="16"/>
        </w:rPr>
      </w:pPr>
      <w:r w:rsidRPr="00405303">
        <w:rPr>
          <w:bCs/>
          <w:color w:val="002060"/>
          <w:sz w:val="16"/>
          <w:szCs w:val="16"/>
          <w:shd w:val="clear" w:color="auto" w:fill="FFFFFF"/>
        </w:rPr>
        <w:lastRenderedPageBreak/>
        <w:t>1. Разрешить вместо постройки броне поезда построить две броневых дрезины для вверенного мне батальона;</w:t>
      </w:r>
      <w:r w:rsidR="00DB4D64" w:rsidRPr="00405303">
        <w:rPr>
          <w:bCs/>
          <w:color w:val="002060"/>
          <w:sz w:val="16"/>
          <w:szCs w:val="16"/>
          <w:shd w:val="clear" w:color="auto" w:fill="FFFFFF"/>
        </w:rPr>
        <w:t xml:space="preserve"> </w:t>
      </w:r>
    </w:p>
    <w:p w14:paraId="7308310F" w14:textId="64EA4EB1" w:rsidR="00D00DBC" w:rsidRPr="00405303" w:rsidRDefault="00D00DBC" w:rsidP="00C15251">
      <w:pPr>
        <w:jc w:val="both"/>
        <w:rPr>
          <w:bCs/>
          <w:color w:val="002060"/>
          <w:sz w:val="16"/>
          <w:szCs w:val="16"/>
        </w:rPr>
      </w:pPr>
      <w:r w:rsidRPr="00405303">
        <w:rPr>
          <w:bCs/>
          <w:color w:val="002060"/>
          <w:sz w:val="16"/>
          <w:szCs w:val="16"/>
          <w:shd w:val="clear" w:color="auto" w:fill="FFFFFF"/>
        </w:rPr>
        <w:t xml:space="preserve">2. Разрешить мне выдать обществу </w:t>
      </w:r>
      <w:proofErr w:type="gramStart"/>
      <w:r w:rsidRPr="00405303">
        <w:rPr>
          <w:bCs/>
          <w:color w:val="002060"/>
          <w:sz w:val="16"/>
          <w:szCs w:val="16"/>
          <w:shd w:val="clear" w:color="auto" w:fill="FFFFFF"/>
        </w:rPr>
        <w:t>Пути-ловских</w:t>
      </w:r>
      <w:proofErr w:type="gramEnd"/>
      <w:r w:rsidRPr="00405303">
        <w:rPr>
          <w:bCs/>
          <w:color w:val="002060"/>
          <w:sz w:val="16"/>
          <w:szCs w:val="16"/>
          <w:shd w:val="clear" w:color="auto" w:fill="FFFFFF"/>
        </w:rPr>
        <w:t xml:space="preserve"> заводов в Петрограде заказ на постройку двух таких дрезин, так как упомянутые заводы являются наиболее приспособленными к такого рода работам, ибо заводы ведут и вели постройку броневых автомобилей;</w:t>
      </w:r>
      <w:r w:rsidR="00DB4D64" w:rsidRPr="00405303">
        <w:rPr>
          <w:bCs/>
          <w:color w:val="002060"/>
          <w:sz w:val="16"/>
          <w:szCs w:val="16"/>
          <w:shd w:val="clear" w:color="auto" w:fill="FFFFFF"/>
        </w:rPr>
        <w:t xml:space="preserve"> </w:t>
      </w:r>
    </w:p>
    <w:p w14:paraId="1C4F005E" w14:textId="3EF5DDA8" w:rsidR="00D00DBC" w:rsidRPr="00405303" w:rsidRDefault="00D00DBC" w:rsidP="00C15251">
      <w:pPr>
        <w:jc w:val="both"/>
        <w:rPr>
          <w:bCs/>
          <w:color w:val="002060"/>
          <w:sz w:val="16"/>
          <w:szCs w:val="16"/>
        </w:rPr>
      </w:pPr>
      <w:r w:rsidRPr="00405303">
        <w:rPr>
          <w:bCs/>
          <w:color w:val="002060"/>
          <w:sz w:val="16"/>
          <w:szCs w:val="16"/>
          <w:shd w:val="clear" w:color="auto" w:fill="FFFFFF"/>
        </w:rPr>
        <w:t>3. Отпустить потребный на сей счет кредит, считая стоимость одной броневой дрезины 11000 рублей, а двух - 22000 рублей;</w:t>
      </w:r>
      <w:r w:rsidR="00DB4D64" w:rsidRPr="00405303">
        <w:rPr>
          <w:bCs/>
          <w:color w:val="002060"/>
          <w:sz w:val="16"/>
          <w:szCs w:val="16"/>
          <w:shd w:val="clear" w:color="auto" w:fill="FFFFFF"/>
        </w:rPr>
        <w:t xml:space="preserve"> </w:t>
      </w:r>
    </w:p>
    <w:p w14:paraId="1DCDC9A0" w14:textId="77777777" w:rsidR="00D00DBC" w:rsidRPr="00405303" w:rsidRDefault="00D00DBC" w:rsidP="00C15251">
      <w:pPr>
        <w:jc w:val="both"/>
        <w:rPr>
          <w:bCs/>
          <w:color w:val="002060"/>
          <w:sz w:val="16"/>
          <w:szCs w:val="16"/>
          <w:shd w:val="clear" w:color="auto" w:fill="FFFFFF"/>
        </w:rPr>
      </w:pPr>
      <w:r w:rsidRPr="00405303">
        <w:rPr>
          <w:bCs/>
          <w:color w:val="002060"/>
          <w:sz w:val="16"/>
          <w:szCs w:val="16"/>
          <w:shd w:val="clear" w:color="auto" w:fill="FFFFFF"/>
        </w:rPr>
        <w:t>4. Разрешить командировать на Путилов-ские заводы для наблюдения и руководства за работами по постройке дрезин прапорщика 12-го железнодорожного батальона инжене-ра-технолога Дмитрия Сонкина, под непосредственным руководством которого была спроектирована означенная дрезина» (18626).</w:t>
      </w:r>
    </w:p>
    <w:p w14:paraId="7ABCD0CB" w14:textId="77777777" w:rsidR="00D00DBC" w:rsidRPr="00405303" w:rsidRDefault="00D00DBC" w:rsidP="00C15251">
      <w:pPr>
        <w:jc w:val="both"/>
        <w:rPr>
          <w:bCs/>
          <w:color w:val="002060"/>
          <w:sz w:val="16"/>
          <w:szCs w:val="16"/>
          <w:shd w:val="clear" w:color="auto" w:fill="FFFFFF"/>
        </w:rPr>
      </w:pPr>
    </w:p>
    <w:p w14:paraId="38A2FB80" w14:textId="746360AE" w:rsidR="00D00DBC" w:rsidRPr="00405303" w:rsidRDefault="00D00DBC" w:rsidP="00C15251">
      <w:pPr>
        <w:jc w:val="both"/>
        <w:rPr>
          <w:bCs/>
          <w:color w:val="002060"/>
          <w:sz w:val="16"/>
          <w:szCs w:val="16"/>
        </w:rPr>
      </w:pPr>
      <w:r w:rsidRPr="00405303">
        <w:rPr>
          <w:bCs/>
          <w:color w:val="002060"/>
          <w:sz w:val="16"/>
          <w:szCs w:val="16"/>
          <w:shd w:val="clear" w:color="auto" w:fill="FFFFFF"/>
        </w:rPr>
        <w:t>В октябре 1915 года начальником отдела железнодорожных войск и полевых железных дорог управления военных сообщений (УВОСО) Юго-Западного фронта подполковником Бутузовым был разработан проект бронированного мотовагона. Первоначально в качестве базы предполагалось использовать четырехосную железнодорожную платформу Фокс-Арбель, на которой размещалось вооружение и силовая установка. Однако впоследствии от использования этой ходовой части пришлось отказаться. В объяснительной записке к проекту Бутузов писал:</w:t>
      </w:r>
      <w:r w:rsidR="00DB4D64" w:rsidRPr="00405303">
        <w:rPr>
          <w:bCs/>
          <w:color w:val="002060"/>
          <w:sz w:val="16"/>
          <w:szCs w:val="16"/>
          <w:shd w:val="clear" w:color="auto" w:fill="FFFFFF"/>
        </w:rPr>
        <w:t xml:space="preserve"> </w:t>
      </w:r>
    </w:p>
    <w:p w14:paraId="5F972BCC" w14:textId="22551A4C" w:rsidR="00D00DBC" w:rsidRPr="00405303" w:rsidRDefault="00D00DBC" w:rsidP="00C15251">
      <w:pPr>
        <w:jc w:val="both"/>
        <w:rPr>
          <w:bCs/>
          <w:color w:val="002060"/>
          <w:sz w:val="16"/>
          <w:szCs w:val="16"/>
        </w:rPr>
      </w:pPr>
      <w:r w:rsidRPr="00405303">
        <w:rPr>
          <w:bCs/>
          <w:color w:val="002060"/>
          <w:sz w:val="16"/>
          <w:szCs w:val="16"/>
          <w:shd w:val="clear" w:color="auto" w:fill="FFFFFF"/>
        </w:rPr>
        <w:t>«Постройка бронированного моторного вагона на ходовой раме вагонов Фокс-Арбеля не представляется возможной ввиду слабой конструкции шкворневых балок этих вагонов, плохой конструкции их тележек, имеющих весьма сложные рамы, а также жесткие рессоры. Кроме того, ходовая рама имеет недостаточную длину (всего 14 м), при которой не представляется возможным размещение всех приборов для правильного действия мотовагона».</w:t>
      </w:r>
      <w:r w:rsidR="00DB4D64" w:rsidRPr="00405303">
        <w:rPr>
          <w:bCs/>
          <w:color w:val="002060"/>
          <w:sz w:val="16"/>
          <w:szCs w:val="16"/>
          <w:shd w:val="clear" w:color="auto" w:fill="FFFFFF"/>
        </w:rPr>
        <w:t xml:space="preserve"> </w:t>
      </w:r>
    </w:p>
    <w:p w14:paraId="45782A32" w14:textId="77777777" w:rsidR="00D00DBC" w:rsidRPr="00405303" w:rsidRDefault="00D00DBC" w:rsidP="00C15251">
      <w:pPr>
        <w:jc w:val="both"/>
        <w:rPr>
          <w:bCs/>
          <w:color w:val="002060"/>
          <w:sz w:val="16"/>
          <w:szCs w:val="16"/>
          <w:shd w:val="clear" w:color="auto" w:fill="FFFFFF"/>
        </w:rPr>
      </w:pPr>
      <w:r w:rsidRPr="00405303">
        <w:rPr>
          <w:bCs/>
          <w:color w:val="002060"/>
          <w:sz w:val="16"/>
          <w:szCs w:val="16"/>
          <w:shd w:val="clear" w:color="auto" w:fill="FFFFFF"/>
        </w:rPr>
        <w:t>Проект, представленный Бутузовым, понравился не только в УПВОСО Юго-Западного фронта, но и в Ставке. В результате было принято решение не начинать планировавшееся в Петрограде строительство трех бронепоездов по проекту Главного военно-технического управления, а использовать средства для изготовления трех мотоброневагонов - по одному для Северного, Западного и Юго-Западного фронтов (18626).</w:t>
      </w:r>
    </w:p>
    <w:p w14:paraId="2DF78806" w14:textId="77777777" w:rsidR="00D00DBC" w:rsidRPr="00405303" w:rsidRDefault="00D00DBC" w:rsidP="00C15251">
      <w:pPr>
        <w:jc w:val="both"/>
        <w:rPr>
          <w:bCs/>
          <w:color w:val="002060"/>
          <w:sz w:val="16"/>
          <w:szCs w:val="16"/>
          <w:shd w:val="clear" w:color="auto" w:fill="FFFFFF"/>
        </w:rPr>
      </w:pPr>
    </w:p>
    <w:p w14:paraId="0C2A0914" w14:textId="77777777" w:rsidR="00D00DBC" w:rsidRPr="00405303" w:rsidRDefault="00D00DBC" w:rsidP="00C15251">
      <w:pPr>
        <w:jc w:val="both"/>
        <w:rPr>
          <w:bCs/>
          <w:color w:val="002060"/>
          <w:sz w:val="16"/>
          <w:szCs w:val="16"/>
        </w:rPr>
      </w:pPr>
      <w:r w:rsidRPr="00405303">
        <w:rPr>
          <w:bCs/>
          <w:color w:val="002060"/>
          <w:sz w:val="16"/>
          <w:szCs w:val="16"/>
        </w:rPr>
        <w:t>В октябре 1915 г. Особое совещание по обороне государства категорически выступило против предложения «Сименс и Гальске» о строительстве телеграфно-телефонного завода в Нижнем Новгороде. Позднее, во многом благодаря позиции ГВТУ и Подготовительной комиссии по общим вопросам, совещание не только санкционировало это строительство, но и отказалось от своих первоначальных намерений ликвидировать петроградское предприятие фирмы, перенеся его производство в Поволжье.</w:t>
      </w:r>
    </w:p>
    <w:p w14:paraId="43AAEEE6" w14:textId="77777777" w:rsidR="00D00DBC" w:rsidRPr="00405303" w:rsidRDefault="00D00DBC" w:rsidP="00C15251">
      <w:pPr>
        <w:jc w:val="both"/>
        <w:rPr>
          <w:bCs/>
          <w:color w:val="002060"/>
          <w:sz w:val="16"/>
          <w:szCs w:val="16"/>
        </w:rPr>
      </w:pPr>
      <w:r w:rsidRPr="00405303">
        <w:rPr>
          <w:bCs/>
          <w:color w:val="002060"/>
          <w:sz w:val="16"/>
          <w:szCs w:val="16"/>
        </w:rPr>
        <w:t>Тем не менее, Особое совещание неукоснительно придерживалось своей позиции о «… недопустимости правительственной поддержки начинаний фирмы, строительство которой должно осуществляться только на ее риск». Это выражалось не только в отказе субсидировать строительство, но и в отклонении ходатайств фирмы о выдаче ей повышенных авансов при распределении заказов на телеграфно-телефонного имущества в марте и в мае 1916 г. Только после учреждения Особого правления АО «Сименс» положение изменилось.</w:t>
      </w:r>
    </w:p>
    <w:p w14:paraId="0F9BD4F6" w14:textId="77777777" w:rsidR="00D00DBC" w:rsidRPr="00405303" w:rsidRDefault="00D00DBC" w:rsidP="00C15251">
      <w:pPr>
        <w:jc w:val="both"/>
        <w:rPr>
          <w:bCs/>
          <w:color w:val="002060"/>
          <w:sz w:val="16"/>
          <w:szCs w:val="16"/>
        </w:rPr>
      </w:pPr>
      <w:r w:rsidRPr="00405303">
        <w:rPr>
          <w:bCs/>
          <w:color w:val="002060"/>
          <w:sz w:val="16"/>
          <w:szCs w:val="16"/>
        </w:rPr>
        <w:t>Фирма «Сименс и Гальске» и в годы Первой мировой войны сохранила за собой статус крупнейшего поставщика разнообразной электрослаботочной продукции для Военного ведомства. Однако она постоянно находилась под подозрением со стороны государственных органов в своей неблагонадежности. Периодически возбуждались вопросы о применении к ней санкций в соответствии с действовавшим законодательством в отношении фирм германского и австрийского происхождения (18297).</w:t>
      </w:r>
    </w:p>
    <w:p w14:paraId="684587F4" w14:textId="77777777" w:rsidR="00D00DBC" w:rsidRPr="00405303" w:rsidRDefault="00D00DBC" w:rsidP="00C15251">
      <w:pPr>
        <w:jc w:val="both"/>
        <w:rPr>
          <w:bCs/>
          <w:color w:val="002060"/>
          <w:sz w:val="16"/>
          <w:szCs w:val="16"/>
        </w:rPr>
      </w:pPr>
    </w:p>
    <w:p w14:paraId="4132BD46" w14:textId="5268F521" w:rsidR="004B4E35" w:rsidRPr="00405303" w:rsidRDefault="009E6F82" w:rsidP="00C15251">
      <w:pPr>
        <w:jc w:val="both"/>
        <w:rPr>
          <w:bCs/>
          <w:color w:val="002060"/>
          <w:sz w:val="16"/>
          <w:szCs w:val="16"/>
        </w:rPr>
      </w:pPr>
      <w:r w:rsidRPr="00405303">
        <w:rPr>
          <w:bCs/>
          <w:color w:val="002060"/>
          <w:sz w:val="16"/>
          <w:szCs w:val="16"/>
        </w:rPr>
        <w:t xml:space="preserve">В октябре 1915 г. датский Синдикат обратился к русскому военному агенту в Риме с предложением о продаже ружей - пулеметов. </w:t>
      </w:r>
    </w:p>
    <w:p w14:paraId="529400F1" w14:textId="77777777" w:rsidR="004B4E35" w:rsidRPr="00405303" w:rsidRDefault="009E6F82" w:rsidP="00C15251">
      <w:pPr>
        <w:jc w:val="both"/>
        <w:rPr>
          <w:bCs/>
          <w:color w:val="002060"/>
          <w:sz w:val="16"/>
          <w:szCs w:val="16"/>
        </w:rPr>
      </w:pPr>
      <w:r w:rsidRPr="00405303">
        <w:rPr>
          <w:bCs/>
          <w:color w:val="002060"/>
          <w:sz w:val="16"/>
          <w:szCs w:val="16"/>
        </w:rPr>
        <w:t xml:space="preserve">Столь сложный путь Синдикат избрал опять же исходя из нейтралитета Дании. Речь шла о поставке 7500 ружей-пулеметов Мадсена усовершенствованного типа под 7-мм патрон Маузера: 2500 - сразу по заключении контракта и по 1000 штук - ежемесячно. </w:t>
      </w:r>
    </w:p>
    <w:p w14:paraId="12F50794" w14:textId="77777777" w:rsidR="004B4E35" w:rsidRPr="00405303" w:rsidRDefault="004B4E35" w:rsidP="00C15251">
      <w:pPr>
        <w:shd w:val="clear" w:color="auto" w:fill="FFFFFF"/>
        <w:jc w:val="both"/>
        <w:rPr>
          <w:bCs/>
          <w:color w:val="002060"/>
          <w:sz w:val="16"/>
          <w:szCs w:val="16"/>
        </w:rPr>
      </w:pPr>
    </w:p>
    <w:p w14:paraId="5D306D10" w14:textId="7B129607" w:rsidR="004B4E35" w:rsidRPr="00405303" w:rsidRDefault="003810CD" w:rsidP="00C15251">
      <w:pPr>
        <w:jc w:val="both"/>
        <w:rPr>
          <w:bCs/>
          <w:color w:val="002060"/>
          <w:sz w:val="16"/>
          <w:szCs w:val="16"/>
        </w:rPr>
      </w:pPr>
      <w:r w:rsidRPr="00405303">
        <w:rPr>
          <w:bCs/>
          <w:color w:val="002060"/>
          <w:sz w:val="16"/>
          <w:szCs w:val="16"/>
        </w:rPr>
        <w:t xml:space="preserve">В октябре </w:t>
      </w:r>
      <w:r w:rsidR="009E6F82" w:rsidRPr="00405303">
        <w:rPr>
          <w:bCs/>
          <w:color w:val="002060"/>
          <w:sz w:val="16"/>
          <w:szCs w:val="16"/>
        </w:rPr>
        <w:t>1915</w:t>
      </w:r>
      <w:r w:rsidRPr="00405303">
        <w:rPr>
          <w:bCs/>
          <w:color w:val="002060"/>
          <w:sz w:val="16"/>
          <w:szCs w:val="16"/>
        </w:rPr>
        <w:t xml:space="preserve"> </w:t>
      </w:r>
      <w:r w:rsidR="009E6F82" w:rsidRPr="00405303">
        <w:rPr>
          <w:bCs/>
          <w:color w:val="002060"/>
          <w:sz w:val="16"/>
          <w:szCs w:val="16"/>
        </w:rPr>
        <w:t xml:space="preserve">г. </w:t>
      </w:r>
      <w:r w:rsidRPr="00405303">
        <w:rPr>
          <w:bCs/>
          <w:color w:val="002060"/>
          <w:sz w:val="16"/>
          <w:szCs w:val="16"/>
        </w:rPr>
        <w:t xml:space="preserve">вступил в строй еще один снаряжательный завод «О» Второва, построенный на территоии, прилегающей к заводу «А». </w:t>
      </w:r>
      <w:r w:rsidR="009E6F82" w:rsidRPr="00405303">
        <w:rPr>
          <w:bCs/>
          <w:color w:val="002060"/>
          <w:sz w:val="16"/>
          <w:szCs w:val="16"/>
        </w:rPr>
        <w:t>Мощность заводов составляла 12 и 16 тыс. снарядов в сутки соответственно, затем общая мощность была доведена до 40 тыс. Уже 10.07.1915г. завод получил заказ на снаряжение 1,6 млн. снарядов, а всего по 1917г. были выданы заказы на 17 млн. снарядов. В 12.1915г. было начато строительство специального корпуса для снаряжения химических боеприпасов. Мощность этого производства составляла до 2500 снарядов в сутки. В конце 1916г. освоено снаряжение в небольших количествах 122-мм и 155-мм снарядов.</w:t>
      </w:r>
    </w:p>
    <w:p w14:paraId="25D4F6C6" w14:textId="77777777" w:rsidR="004B4E35" w:rsidRPr="00405303" w:rsidRDefault="009E6F82" w:rsidP="00C15251">
      <w:pPr>
        <w:jc w:val="both"/>
        <w:rPr>
          <w:bCs/>
          <w:color w:val="002060"/>
          <w:sz w:val="16"/>
          <w:szCs w:val="16"/>
        </w:rPr>
      </w:pPr>
      <w:r w:rsidRPr="00405303">
        <w:rPr>
          <w:bCs/>
          <w:color w:val="002060"/>
          <w:sz w:val="16"/>
          <w:szCs w:val="16"/>
        </w:rPr>
        <w:t>В 1915г. было снаряжено лишь 52,4 тыс. снарядов; в 1916г. - 7,3 млн. (в т.ч. 930 тыс. химических); в 1917г. - 6,7 млн. (в т.ч. 800 тыс. химических).</w:t>
      </w:r>
    </w:p>
    <w:p w14:paraId="760BDC59" w14:textId="77777777" w:rsidR="004B4E35" w:rsidRPr="00405303" w:rsidRDefault="009E6F82" w:rsidP="00C15251">
      <w:pPr>
        <w:jc w:val="both"/>
        <w:rPr>
          <w:bCs/>
          <w:color w:val="002060"/>
          <w:sz w:val="16"/>
          <w:szCs w:val="16"/>
        </w:rPr>
      </w:pPr>
      <w:r w:rsidRPr="00405303">
        <w:rPr>
          <w:bCs/>
          <w:color w:val="002060"/>
          <w:sz w:val="16"/>
          <w:szCs w:val="16"/>
        </w:rPr>
        <w:t>В 1916г. был построен третий снаряжательный завод в Богородском уезде.</w:t>
      </w:r>
    </w:p>
    <w:p w14:paraId="40113B0B" w14:textId="77777777" w:rsidR="004B4E35" w:rsidRPr="00405303" w:rsidRDefault="009E6F82" w:rsidP="00C15251">
      <w:pPr>
        <w:jc w:val="both"/>
        <w:rPr>
          <w:bCs/>
          <w:color w:val="002060"/>
          <w:sz w:val="16"/>
          <w:szCs w:val="16"/>
        </w:rPr>
      </w:pPr>
      <w:r w:rsidRPr="00405303">
        <w:rPr>
          <w:bCs/>
          <w:color w:val="002060"/>
          <w:sz w:val="16"/>
          <w:szCs w:val="16"/>
        </w:rPr>
        <w:t>В 12.1917г. Второв передал оба завода в ведение ГАУ. В 11.1918г. помещения бывшей фабрики Байера передали под фабрику Гознака, а снаряжательные мастерские - под склады ГАУ. В 1931г. на площадке фабрики Гознака был организован завод по изготовлению штампов, приспособлений и пресс-форм, в 1938г. он был передан в ведение 1ГУ НКОП. В 1939г. завод был влит в состав завода № 1 ОАП НКАП.</w:t>
      </w:r>
    </w:p>
    <w:p w14:paraId="7012E072" w14:textId="77777777" w:rsidR="004B4E35" w:rsidRPr="00405303" w:rsidRDefault="009E6F82" w:rsidP="00C15251">
      <w:pPr>
        <w:jc w:val="both"/>
        <w:rPr>
          <w:bCs/>
          <w:color w:val="002060"/>
          <w:sz w:val="16"/>
          <w:szCs w:val="16"/>
        </w:rPr>
      </w:pPr>
      <w:r w:rsidRPr="00405303">
        <w:rPr>
          <w:bCs/>
          <w:color w:val="002060"/>
          <w:sz w:val="16"/>
          <w:szCs w:val="16"/>
        </w:rPr>
        <w:t>Численность персонала (1916г.)- около 2000 чел. (11982)</w:t>
      </w:r>
    </w:p>
    <w:p w14:paraId="1F39723F" w14:textId="77777777" w:rsidR="004B4E35" w:rsidRPr="00405303" w:rsidRDefault="004B4E35" w:rsidP="00C15251">
      <w:pPr>
        <w:jc w:val="both"/>
        <w:rPr>
          <w:bCs/>
          <w:color w:val="002060"/>
          <w:sz w:val="16"/>
          <w:szCs w:val="16"/>
        </w:rPr>
      </w:pPr>
    </w:p>
    <w:p w14:paraId="130A1B06" w14:textId="52D8814A" w:rsidR="004B4E35" w:rsidRPr="00405303" w:rsidRDefault="003810CD"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октябре 1915</w:t>
      </w:r>
      <w:r w:rsidRPr="00405303">
        <w:rPr>
          <w:bCs/>
          <w:color w:val="002060"/>
          <w:sz w:val="16"/>
          <w:szCs w:val="16"/>
        </w:rPr>
        <w:t xml:space="preserve"> </w:t>
      </w:r>
      <w:r w:rsidR="009E6F82" w:rsidRPr="00405303">
        <w:rPr>
          <w:bCs/>
          <w:color w:val="002060"/>
          <w:sz w:val="16"/>
          <w:szCs w:val="16"/>
        </w:rPr>
        <w:t xml:space="preserve">г. </w:t>
      </w:r>
      <w:r w:rsidRPr="00405303">
        <w:rPr>
          <w:bCs/>
          <w:color w:val="002060"/>
          <w:sz w:val="16"/>
          <w:szCs w:val="16"/>
        </w:rPr>
        <w:t xml:space="preserve">организация Ванкова начала массовое производство корпусов снарядов - через 9 месяцев после начала проекта. </w:t>
      </w:r>
      <w:r w:rsidR="009E6F82" w:rsidRPr="00405303">
        <w:rPr>
          <w:bCs/>
          <w:color w:val="002060"/>
          <w:sz w:val="16"/>
          <w:szCs w:val="16"/>
        </w:rPr>
        <w:t>Снаряжение началось в ян варе 1916 г., т. е. через 11 месяцев. Максимальной интенсивности производство достигло в декабре 1916 г.</w:t>
      </w:r>
    </w:p>
    <w:p w14:paraId="05BB60B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Итоги работы русских заводов по изготовлению снарядов во время первой мировой войны [5, с. 198|</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98"/>
        <w:gridCol w:w="720"/>
        <w:gridCol w:w="960"/>
        <w:gridCol w:w="1066"/>
        <w:gridCol w:w="1018"/>
        <w:gridCol w:w="1142"/>
      </w:tblGrid>
      <w:tr w:rsidR="004B4E35" w:rsidRPr="00405303" w14:paraId="24AB7A6E" w14:textId="77777777">
        <w:trPr>
          <w:trHeight w:val="355"/>
        </w:trPr>
        <w:tc>
          <w:tcPr>
            <w:tcW w:w="1498" w:type="dxa"/>
          </w:tcPr>
          <w:p w14:paraId="007A146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Название снарядов</w:t>
            </w:r>
          </w:p>
          <w:p w14:paraId="666DE85E" w14:textId="77777777" w:rsidR="004B4E35" w:rsidRPr="00405303" w:rsidRDefault="004B4E35" w:rsidP="00C15251">
            <w:pPr>
              <w:shd w:val="clear" w:color="auto" w:fill="FFFFFF"/>
              <w:jc w:val="both"/>
              <w:rPr>
                <w:bCs/>
                <w:color w:val="002060"/>
                <w:sz w:val="16"/>
                <w:szCs w:val="16"/>
              </w:rPr>
            </w:pPr>
          </w:p>
        </w:tc>
        <w:tc>
          <w:tcPr>
            <w:tcW w:w="720" w:type="dxa"/>
          </w:tcPr>
          <w:p w14:paraId="2178516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1914</w:t>
            </w:r>
          </w:p>
          <w:p w14:paraId="1FD73635" w14:textId="77777777" w:rsidR="004B4E35" w:rsidRPr="00405303" w:rsidRDefault="004B4E35" w:rsidP="00C15251">
            <w:pPr>
              <w:shd w:val="clear" w:color="auto" w:fill="FFFFFF"/>
              <w:jc w:val="both"/>
              <w:rPr>
                <w:bCs/>
                <w:color w:val="002060"/>
                <w:sz w:val="16"/>
                <w:szCs w:val="16"/>
              </w:rPr>
            </w:pPr>
          </w:p>
        </w:tc>
        <w:tc>
          <w:tcPr>
            <w:tcW w:w="960" w:type="dxa"/>
          </w:tcPr>
          <w:p w14:paraId="1E4750A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1915</w:t>
            </w:r>
          </w:p>
          <w:p w14:paraId="30EE798D" w14:textId="77777777" w:rsidR="004B4E35" w:rsidRPr="00405303" w:rsidRDefault="004B4E35" w:rsidP="00C15251">
            <w:pPr>
              <w:shd w:val="clear" w:color="auto" w:fill="FFFFFF"/>
              <w:jc w:val="both"/>
              <w:rPr>
                <w:bCs/>
                <w:color w:val="002060"/>
                <w:sz w:val="16"/>
                <w:szCs w:val="16"/>
              </w:rPr>
            </w:pPr>
          </w:p>
        </w:tc>
        <w:tc>
          <w:tcPr>
            <w:tcW w:w="1066" w:type="dxa"/>
          </w:tcPr>
          <w:p w14:paraId="47B9F05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1916</w:t>
            </w:r>
          </w:p>
          <w:p w14:paraId="4346E6F8" w14:textId="77777777" w:rsidR="004B4E35" w:rsidRPr="00405303" w:rsidRDefault="004B4E35" w:rsidP="00C15251">
            <w:pPr>
              <w:shd w:val="clear" w:color="auto" w:fill="FFFFFF"/>
              <w:jc w:val="both"/>
              <w:rPr>
                <w:bCs/>
                <w:color w:val="002060"/>
                <w:sz w:val="16"/>
                <w:szCs w:val="16"/>
              </w:rPr>
            </w:pPr>
          </w:p>
        </w:tc>
        <w:tc>
          <w:tcPr>
            <w:tcW w:w="1018" w:type="dxa"/>
          </w:tcPr>
          <w:p w14:paraId="1217810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1917</w:t>
            </w:r>
          </w:p>
          <w:p w14:paraId="2ABCACBA" w14:textId="77777777" w:rsidR="004B4E35" w:rsidRPr="00405303" w:rsidRDefault="004B4E35" w:rsidP="00C15251">
            <w:pPr>
              <w:shd w:val="clear" w:color="auto" w:fill="FFFFFF"/>
              <w:jc w:val="both"/>
              <w:rPr>
                <w:bCs/>
                <w:color w:val="002060"/>
                <w:sz w:val="16"/>
                <w:szCs w:val="16"/>
              </w:rPr>
            </w:pPr>
          </w:p>
        </w:tc>
        <w:tc>
          <w:tcPr>
            <w:tcW w:w="1142" w:type="dxa"/>
          </w:tcPr>
          <w:p w14:paraId="233B193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Всего</w:t>
            </w:r>
          </w:p>
          <w:p w14:paraId="2D43FF72" w14:textId="77777777" w:rsidR="004B4E35" w:rsidRPr="00405303" w:rsidRDefault="004B4E35" w:rsidP="00C15251">
            <w:pPr>
              <w:shd w:val="clear" w:color="auto" w:fill="FFFFFF"/>
              <w:jc w:val="both"/>
              <w:rPr>
                <w:bCs/>
                <w:color w:val="002060"/>
                <w:sz w:val="16"/>
                <w:szCs w:val="16"/>
              </w:rPr>
            </w:pPr>
          </w:p>
        </w:tc>
      </w:tr>
      <w:tr w:rsidR="004B4E35" w:rsidRPr="00405303" w14:paraId="2D1EFAE3" w14:textId="77777777">
        <w:trPr>
          <w:trHeight w:val="605"/>
        </w:trPr>
        <w:tc>
          <w:tcPr>
            <w:tcW w:w="1498" w:type="dxa"/>
          </w:tcPr>
          <w:p w14:paraId="6184826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76-мм шрапнели 76-мм </w:t>
            </w:r>
            <w:proofErr w:type="gramStart"/>
            <w:r w:rsidRPr="00405303">
              <w:rPr>
                <w:bCs/>
                <w:color w:val="002060"/>
                <w:sz w:val="16"/>
                <w:szCs w:val="16"/>
              </w:rPr>
              <w:t>гранаты</w:t>
            </w:r>
            <w:proofErr w:type="gramEnd"/>
            <w:r w:rsidRPr="00405303">
              <w:rPr>
                <w:bCs/>
                <w:color w:val="002060"/>
                <w:sz w:val="16"/>
                <w:szCs w:val="16"/>
              </w:rPr>
              <w:t xml:space="preserve"> Всего 76-мм</w:t>
            </w:r>
          </w:p>
          <w:p w14:paraId="338BD5AE" w14:textId="77777777" w:rsidR="004B4E35" w:rsidRPr="00405303" w:rsidRDefault="004B4E35" w:rsidP="00C15251">
            <w:pPr>
              <w:shd w:val="clear" w:color="auto" w:fill="FFFFFF"/>
              <w:jc w:val="both"/>
              <w:rPr>
                <w:bCs/>
                <w:color w:val="002060"/>
                <w:sz w:val="16"/>
                <w:szCs w:val="16"/>
              </w:rPr>
            </w:pPr>
          </w:p>
        </w:tc>
        <w:tc>
          <w:tcPr>
            <w:tcW w:w="720" w:type="dxa"/>
          </w:tcPr>
          <w:p w14:paraId="16913E6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78 800 78800</w:t>
            </w:r>
          </w:p>
          <w:p w14:paraId="5D13556C" w14:textId="77777777" w:rsidR="004B4E35" w:rsidRPr="00405303" w:rsidRDefault="004B4E35" w:rsidP="00C15251">
            <w:pPr>
              <w:shd w:val="clear" w:color="auto" w:fill="FFFFFF"/>
              <w:jc w:val="both"/>
              <w:rPr>
                <w:bCs/>
                <w:color w:val="002060"/>
                <w:sz w:val="16"/>
                <w:szCs w:val="16"/>
              </w:rPr>
            </w:pPr>
          </w:p>
        </w:tc>
        <w:tc>
          <w:tcPr>
            <w:tcW w:w="960" w:type="dxa"/>
          </w:tcPr>
          <w:p w14:paraId="49C0FAE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6 807 300 2018500 8 825 800</w:t>
            </w:r>
          </w:p>
          <w:p w14:paraId="0B676F7B" w14:textId="77777777" w:rsidR="004B4E35" w:rsidRPr="00405303" w:rsidRDefault="004B4E35" w:rsidP="00C15251">
            <w:pPr>
              <w:shd w:val="clear" w:color="auto" w:fill="FFFFFF"/>
              <w:jc w:val="both"/>
              <w:rPr>
                <w:bCs/>
                <w:color w:val="002060"/>
                <w:sz w:val="16"/>
                <w:szCs w:val="16"/>
              </w:rPr>
            </w:pPr>
          </w:p>
        </w:tc>
        <w:tc>
          <w:tcPr>
            <w:tcW w:w="1066" w:type="dxa"/>
          </w:tcPr>
          <w:p w14:paraId="1A2C6E3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1 1 377 200 15521 800 26 899 000</w:t>
            </w:r>
          </w:p>
          <w:p w14:paraId="358C2398" w14:textId="77777777" w:rsidR="004B4E35" w:rsidRPr="00405303" w:rsidRDefault="004B4E35" w:rsidP="00C15251">
            <w:pPr>
              <w:shd w:val="clear" w:color="auto" w:fill="FFFFFF"/>
              <w:jc w:val="both"/>
              <w:rPr>
                <w:bCs/>
                <w:color w:val="002060"/>
                <w:sz w:val="16"/>
                <w:szCs w:val="16"/>
              </w:rPr>
            </w:pPr>
          </w:p>
        </w:tc>
        <w:tc>
          <w:tcPr>
            <w:tcW w:w="1018" w:type="dxa"/>
          </w:tcPr>
          <w:p w14:paraId="5C3E573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7 217 500 10 504 300 17 721 800</w:t>
            </w:r>
          </w:p>
          <w:p w14:paraId="5EA56A8B" w14:textId="77777777" w:rsidR="004B4E35" w:rsidRPr="00405303" w:rsidRDefault="004B4E35" w:rsidP="00C15251">
            <w:pPr>
              <w:shd w:val="clear" w:color="auto" w:fill="FFFFFF"/>
              <w:jc w:val="both"/>
              <w:rPr>
                <w:bCs/>
                <w:color w:val="002060"/>
                <w:sz w:val="16"/>
                <w:szCs w:val="16"/>
              </w:rPr>
            </w:pPr>
          </w:p>
        </w:tc>
        <w:tc>
          <w:tcPr>
            <w:tcW w:w="1142" w:type="dxa"/>
          </w:tcPr>
          <w:p w14:paraId="0AF536D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25 480 800 28 044 600 53 525 400</w:t>
            </w:r>
          </w:p>
          <w:p w14:paraId="7C4639A9" w14:textId="77777777" w:rsidR="004B4E35" w:rsidRPr="00405303" w:rsidRDefault="004B4E35" w:rsidP="00C15251">
            <w:pPr>
              <w:shd w:val="clear" w:color="auto" w:fill="FFFFFF"/>
              <w:jc w:val="both"/>
              <w:rPr>
                <w:bCs/>
                <w:color w:val="002060"/>
                <w:sz w:val="16"/>
                <w:szCs w:val="16"/>
              </w:rPr>
            </w:pPr>
          </w:p>
        </w:tc>
      </w:tr>
      <w:tr w:rsidR="004B4E35" w:rsidRPr="00405303" w14:paraId="02544119" w14:textId="77777777">
        <w:trPr>
          <w:trHeight w:val="355"/>
        </w:trPr>
        <w:tc>
          <w:tcPr>
            <w:tcW w:w="1498" w:type="dxa"/>
          </w:tcPr>
          <w:p w14:paraId="188B9EE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снарядов 122-мм гранаты и</w:t>
            </w:r>
          </w:p>
          <w:p w14:paraId="3F5C9003" w14:textId="77777777" w:rsidR="004B4E35" w:rsidRPr="00405303" w:rsidRDefault="004B4E35" w:rsidP="00C15251">
            <w:pPr>
              <w:shd w:val="clear" w:color="auto" w:fill="FFFFFF"/>
              <w:jc w:val="both"/>
              <w:rPr>
                <w:bCs/>
                <w:color w:val="002060"/>
                <w:sz w:val="16"/>
                <w:szCs w:val="16"/>
              </w:rPr>
            </w:pPr>
          </w:p>
        </w:tc>
        <w:tc>
          <w:tcPr>
            <w:tcW w:w="720" w:type="dxa"/>
          </w:tcPr>
          <w:p w14:paraId="5D0D997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24000</w:t>
            </w:r>
          </w:p>
          <w:p w14:paraId="6DC5EE14" w14:textId="77777777" w:rsidR="004B4E35" w:rsidRPr="00405303" w:rsidRDefault="004B4E35" w:rsidP="00C15251">
            <w:pPr>
              <w:shd w:val="clear" w:color="auto" w:fill="FFFFFF"/>
              <w:jc w:val="both"/>
              <w:rPr>
                <w:bCs/>
                <w:color w:val="002060"/>
                <w:sz w:val="16"/>
                <w:szCs w:val="16"/>
              </w:rPr>
            </w:pPr>
          </w:p>
        </w:tc>
        <w:tc>
          <w:tcPr>
            <w:tcW w:w="960" w:type="dxa"/>
          </w:tcPr>
          <w:p w14:paraId="5D4B72C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358 938</w:t>
            </w:r>
          </w:p>
          <w:p w14:paraId="327ED2FF" w14:textId="77777777" w:rsidR="004B4E35" w:rsidRPr="00405303" w:rsidRDefault="004B4E35" w:rsidP="00C15251">
            <w:pPr>
              <w:shd w:val="clear" w:color="auto" w:fill="FFFFFF"/>
              <w:jc w:val="both"/>
              <w:rPr>
                <w:bCs/>
                <w:color w:val="002060"/>
                <w:sz w:val="16"/>
                <w:szCs w:val="16"/>
              </w:rPr>
            </w:pPr>
          </w:p>
        </w:tc>
        <w:tc>
          <w:tcPr>
            <w:tcW w:w="1066" w:type="dxa"/>
          </w:tcPr>
          <w:p w14:paraId="46715BE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2212512</w:t>
            </w:r>
          </w:p>
          <w:p w14:paraId="05DF698A" w14:textId="77777777" w:rsidR="004B4E35" w:rsidRPr="00405303" w:rsidRDefault="004B4E35" w:rsidP="00C15251">
            <w:pPr>
              <w:shd w:val="clear" w:color="auto" w:fill="FFFFFF"/>
              <w:jc w:val="both"/>
              <w:rPr>
                <w:bCs/>
                <w:color w:val="002060"/>
                <w:sz w:val="16"/>
                <w:szCs w:val="16"/>
              </w:rPr>
            </w:pPr>
          </w:p>
        </w:tc>
        <w:tc>
          <w:tcPr>
            <w:tcW w:w="1018" w:type="dxa"/>
          </w:tcPr>
          <w:p w14:paraId="66E0849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3 238 404</w:t>
            </w:r>
          </w:p>
          <w:p w14:paraId="4E4B43D6" w14:textId="77777777" w:rsidR="004B4E35" w:rsidRPr="00405303" w:rsidRDefault="004B4E35" w:rsidP="00C15251">
            <w:pPr>
              <w:shd w:val="clear" w:color="auto" w:fill="FFFFFF"/>
              <w:jc w:val="both"/>
              <w:rPr>
                <w:bCs/>
                <w:color w:val="002060"/>
                <w:sz w:val="16"/>
                <w:szCs w:val="16"/>
              </w:rPr>
            </w:pPr>
          </w:p>
        </w:tc>
        <w:tc>
          <w:tcPr>
            <w:tcW w:w="1142" w:type="dxa"/>
          </w:tcPr>
          <w:p w14:paraId="38763E5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5 833 854</w:t>
            </w:r>
          </w:p>
          <w:p w14:paraId="2B41472D" w14:textId="77777777" w:rsidR="004B4E35" w:rsidRPr="00405303" w:rsidRDefault="004B4E35" w:rsidP="00C15251">
            <w:pPr>
              <w:shd w:val="clear" w:color="auto" w:fill="FFFFFF"/>
              <w:jc w:val="both"/>
              <w:rPr>
                <w:bCs/>
                <w:color w:val="002060"/>
                <w:sz w:val="16"/>
                <w:szCs w:val="16"/>
              </w:rPr>
            </w:pPr>
          </w:p>
        </w:tc>
      </w:tr>
      <w:tr w:rsidR="004B4E35" w:rsidRPr="00405303" w14:paraId="605D8167" w14:textId="77777777">
        <w:trPr>
          <w:trHeight w:val="346"/>
        </w:trPr>
        <w:tc>
          <w:tcPr>
            <w:tcW w:w="1498" w:type="dxa"/>
          </w:tcPr>
          <w:p w14:paraId="755214F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шрапнели 107-мм гранаты и</w:t>
            </w:r>
          </w:p>
          <w:p w14:paraId="68FAA94F" w14:textId="77777777" w:rsidR="004B4E35" w:rsidRPr="00405303" w:rsidRDefault="004B4E35" w:rsidP="00C15251">
            <w:pPr>
              <w:shd w:val="clear" w:color="auto" w:fill="FFFFFF"/>
              <w:jc w:val="both"/>
              <w:rPr>
                <w:bCs/>
                <w:color w:val="002060"/>
                <w:sz w:val="16"/>
                <w:szCs w:val="16"/>
              </w:rPr>
            </w:pPr>
          </w:p>
        </w:tc>
        <w:tc>
          <w:tcPr>
            <w:tcW w:w="720" w:type="dxa"/>
          </w:tcPr>
          <w:p w14:paraId="733E365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_</w:t>
            </w:r>
          </w:p>
          <w:p w14:paraId="34B82829" w14:textId="77777777" w:rsidR="004B4E35" w:rsidRPr="00405303" w:rsidRDefault="004B4E35" w:rsidP="00C15251">
            <w:pPr>
              <w:shd w:val="clear" w:color="auto" w:fill="FFFFFF"/>
              <w:jc w:val="both"/>
              <w:rPr>
                <w:bCs/>
                <w:color w:val="002060"/>
                <w:sz w:val="16"/>
                <w:szCs w:val="16"/>
              </w:rPr>
            </w:pPr>
          </w:p>
        </w:tc>
        <w:tc>
          <w:tcPr>
            <w:tcW w:w="960" w:type="dxa"/>
          </w:tcPr>
          <w:p w14:paraId="17E9845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243 589</w:t>
            </w:r>
          </w:p>
          <w:p w14:paraId="7486B01B" w14:textId="77777777" w:rsidR="004B4E35" w:rsidRPr="00405303" w:rsidRDefault="004B4E35" w:rsidP="00C15251">
            <w:pPr>
              <w:shd w:val="clear" w:color="auto" w:fill="FFFFFF"/>
              <w:jc w:val="both"/>
              <w:rPr>
                <w:bCs/>
                <w:color w:val="002060"/>
                <w:sz w:val="16"/>
                <w:szCs w:val="16"/>
              </w:rPr>
            </w:pPr>
          </w:p>
        </w:tc>
        <w:tc>
          <w:tcPr>
            <w:tcW w:w="1066" w:type="dxa"/>
          </w:tcPr>
          <w:p w14:paraId="6E1EE5F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720812</w:t>
            </w:r>
          </w:p>
          <w:p w14:paraId="3269B6DC" w14:textId="77777777" w:rsidR="004B4E35" w:rsidRPr="00405303" w:rsidRDefault="004B4E35" w:rsidP="00C15251">
            <w:pPr>
              <w:shd w:val="clear" w:color="auto" w:fill="FFFFFF"/>
              <w:jc w:val="both"/>
              <w:rPr>
                <w:bCs/>
                <w:color w:val="002060"/>
                <w:sz w:val="16"/>
                <w:szCs w:val="16"/>
              </w:rPr>
            </w:pPr>
          </w:p>
        </w:tc>
        <w:tc>
          <w:tcPr>
            <w:tcW w:w="1018" w:type="dxa"/>
          </w:tcPr>
          <w:p w14:paraId="1C98E65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759 487</w:t>
            </w:r>
          </w:p>
          <w:p w14:paraId="30C8ADCF" w14:textId="77777777" w:rsidR="004B4E35" w:rsidRPr="00405303" w:rsidRDefault="004B4E35" w:rsidP="00C15251">
            <w:pPr>
              <w:shd w:val="clear" w:color="auto" w:fill="FFFFFF"/>
              <w:jc w:val="both"/>
              <w:rPr>
                <w:bCs/>
                <w:color w:val="002060"/>
                <w:sz w:val="16"/>
                <w:szCs w:val="16"/>
              </w:rPr>
            </w:pPr>
          </w:p>
        </w:tc>
        <w:tc>
          <w:tcPr>
            <w:tcW w:w="1142" w:type="dxa"/>
          </w:tcPr>
          <w:p w14:paraId="1DC0A5C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1 723 888</w:t>
            </w:r>
          </w:p>
          <w:p w14:paraId="02A3C8DD" w14:textId="77777777" w:rsidR="004B4E35" w:rsidRPr="00405303" w:rsidRDefault="004B4E35" w:rsidP="00C15251">
            <w:pPr>
              <w:shd w:val="clear" w:color="auto" w:fill="FFFFFF"/>
              <w:jc w:val="both"/>
              <w:rPr>
                <w:bCs/>
                <w:color w:val="002060"/>
                <w:sz w:val="16"/>
                <w:szCs w:val="16"/>
              </w:rPr>
            </w:pPr>
          </w:p>
        </w:tc>
      </w:tr>
      <w:tr w:rsidR="004B4E35" w:rsidRPr="00405303" w14:paraId="70D702D0" w14:textId="77777777">
        <w:trPr>
          <w:trHeight w:val="1190"/>
        </w:trPr>
        <w:tc>
          <w:tcPr>
            <w:tcW w:w="1498" w:type="dxa"/>
          </w:tcPr>
          <w:p w14:paraId="7E3A325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шрапнели 152-мм гранаты 203-мм гранаты 254-мм гранаты 280-мм гранаты 305-мм гранаты</w:t>
            </w:r>
          </w:p>
          <w:p w14:paraId="19A965D5" w14:textId="77777777" w:rsidR="004B4E35" w:rsidRPr="00405303" w:rsidRDefault="004B4E35" w:rsidP="00C15251">
            <w:pPr>
              <w:shd w:val="clear" w:color="auto" w:fill="FFFFFF"/>
              <w:jc w:val="both"/>
              <w:rPr>
                <w:bCs/>
                <w:color w:val="002060"/>
                <w:sz w:val="16"/>
                <w:szCs w:val="16"/>
              </w:rPr>
            </w:pPr>
          </w:p>
        </w:tc>
        <w:tc>
          <w:tcPr>
            <w:tcW w:w="720" w:type="dxa"/>
          </w:tcPr>
          <w:p w14:paraId="12B4618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2100</w:t>
            </w:r>
          </w:p>
          <w:p w14:paraId="2D0EB7B6" w14:textId="77777777" w:rsidR="004B4E35" w:rsidRPr="00405303" w:rsidRDefault="004B4E35" w:rsidP="00C15251">
            <w:pPr>
              <w:shd w:val="clear" w:color="auto" w:fill="FFFFFF"/>
              <w:jc w:val="both"/>
              <w:rPr>
                <w:bCs/>
                <w:color w:val="002060"/>
                <w:sz w:val="16"/>
                <w:szCs w:val="16"/>
              </w:rPr>
            </w:pPr>
          </w:p>
        </w:tc>
        <w:tc>
          <w:tcPr>
            <w:tcW w:w="960" w:type="dxa"/>
          </w:tcPr>
          <w:p w14:paraId="28AA8D0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131 724</w:t>
            </w:r>
          </w:p>
          <w:p w14:paraId="31F0D2B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0 237 1 600</w:t>
            </w:r>
          </w:p>
          <w:p w14:paraId="7ED12892" w14:textId="77777777" w:rsidR="004B4E35" w:rsidRPr="00405303" w:rsidRDefault="004B4E35" w:rsidP="00C15251">
            <w:pPr>
              <w:shd w:val="clear" w:color="auto" w:fill="FFFFFF"/>
              <w:jc w:val="both"/>
              <w:rPr>
                <w:bCs/>
                <w:color w:val="002060"/>
                <w:sz w:val="16"/>
                <w:szCs w:val="16"/>
              </w:rPr>
            </w:pPr>
          </w:p>
        </w:tc>
        <w:tc>
          <w:tcPr>
            <w:tcW w:w="1066" w:type="dxa"/>
          </w:tcPr>
          <w:p w14:paraId="390E64A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1 130433</w:t>
            </w:r>
          </w:p>
          <w:p w14:paraId="7838E93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8590 3 331</w:t>
            </w:r>
          </w:p>
          <w:p w14:paraId="3A5878F7" w14:textId="77777777" w:rsidR="004B4E35" w:rsidRPr="00405303" w:rsidRDefault="004B4E35" w:rsidP="00C15251">
            <w:pPr>
              <w:shd w:val="clear" w:color="auto" w:fill="FFFFFF"/>
              <w:jc w:val="both"/>
              <w:rPr>
                <w:bCs/>
                <w:color w:val="002060"/>
                <w:sz w:val="16"/>
                <w:szCs w:val="16"/>
              </w:rPr>
            </w:pPr>
          </w:p>
        </w:tc>
        <w:tc>
          <w:tcPr>
            <w:tcW w:w="1018" w:type="dxa"/>
          </w:tcPr>
          <w:p w14:paraId="6F25715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2676 164 3535 270 6520</w:t>
            </w:r>
          </w:p>
          <w:p w14:paraId="0A7B3AF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7372</w:t>
            </w:r>
          </w:p>
          <w:p w14:paraId="34917CC8" w14:textId="77777777" w:rsidR="004B4E35" w:rsidRPr="00405303" w:rsidRDefault="004B4E35" w:rsidP="00C15251">
            <w:pPr>
              <w:shd w:val="clear" w:color="auto" w:fill="FFFFFF"/>
              <w:jc w:val="both"/>
              <w:rPr>
                <w:bCs/>
                <w:color w:val="002060"/>
                <w:sz w:val="16"/>
                <w:szCs w:val="16"/>
              </w:rPr>
            </w:pPr>
          </w:p>
        </w:tc>
        <w:tc>
          <w:tcPr>
            <w:tcW w:w="1142" w:type="dxa"/>
          </w:tcPr>
          <w:p w14:paraId="4C6CCBD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3 938 321 3535 270 23447 12 303</w:t>
            </w:r>
          </w:p>
          <w:p w14:paraId="04D4C004" w14:textId="77777777" w:rsidR="004B4E35" w:rsidRPr="00405303" w:rsidRDefault="004B4E35" w:rsidP="00C15251">
            <w:pPr>
              <w:shd w:val="clear" w:color="auto" w:fill="FFFFFF"/>
              <w:jc w:val="both"/>
              <w:rPr>
                <w:bCs/>
                <w:color w:val="002060"/>
                <w:sz w:val="16"/>
                <w:szCs w:val="16"/>
              </w:rPr>
            </w:pPr>
          </w:p>
        </w:tc>
      </w:tr>
      <w:tr w:rsidR="004B4E35" w:rsidRPr="00405303" w14:paraId="47588108" w14:textId="77777777">
        <w:trPr>
          <w:trHeight w:val="442"/>
        </w:trPr>
        <w:tc>
          <w:tcPr>
            <w:tcW w:w="1498" w:type="dxa"/>
          </w:tcPr>
          <w:p w14:paraId="0393C99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Всего</w:t>
            </w:r>
          </w:p>
          <w:p w14:paraId="57A99293" w14:textId="77777777" w:rsidR="004B4E35" w:rsidRPr="00405303" w:rsidRDefault="004B4E35" w:rsidP="00C15251">
            <w:pPr>
              <w:shd w:val="clear" w:color="auto" w:fill="FFFFFF"/>
              <w:jc w:val="both"/>
              <w:rPr>
                <w:bCs/>
                <w:color w:val="002060"/>
                <w:sz w:val="16"/>
                <w:szCs w:val="16"/>
              </w:rPr>
            </w:pPr>
          </w:p>
        </w:tc>
        <w:tc>
          <w:tcPr>
            <w:tcW w:w="720" w:type="dxa"/>
          </w:tcPr>
          <w:p w14:paraId="1F6900C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104 900</w:t>
            </w:r>
          </w:p>
          <w:p w14:paraId="1A4E7615" w14:textId="77777777" w:rsidR="004B4E35" w:rsidRPr="00405303" w:rsidRDefault="004B4E35" w:rsidP="00C15251">
            <w:pPr>
              <w:shd w:val="clear" w:color="auto" w:fill="FFFFFF"/>
              <w:jc w:val="both"/>
              <w:rPr>
                <w:bCs/>
                <w:color w:val="002060"/>
                <w:sz w:val="16"/>
                <w:szCs w:val="16"/>
              </w:rPr>
            </w:pPr>
          </w:p>
        </w:tc>
        <w:tc>
          <w:tcPr>
            <w:tcW w:w="960" w:type="dxa"/>
          </w:tcPr>
          <w:p w14:paraId="4F14BD2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9 567 888</w:t>
            </w:r>
          </w:p>
          <w:p w14:paraId="69AA2E01" w14:textId="77777777" w:rsidR="004B4E35" w:rsidRPr="00405303" w:rsidRDefault="004B4E35" w:rsidP="00C15251">
            <w:pPr>
              <w:shd w:val="clear" w:color="auto" w:fill="FFFFFF"/>
              <w:jc w:val="both"/>
              <w:rPr>
                <w:bCs/>
                <w:color w:val="002060"/>
                <w:sz w:val="16"/>
                <w:szCs w:val="16"/>
              </w:rPr>
            </w:pPr>
          </w:p>
        </w:tc>
        <w:tc>
          <w:tcPr>
            <w:tcW w:w="1066" w:type="dxa"/>
          </w:tcPr>
          <w:p w14:paraId="40B3C13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30 974 678</w:t>
            </w:r>
          </w:p>
          <w:p w14:paraId="4B08478D" w14:textId="77777777" w:rsidR="004B4E35" w:rsidRPr="00405303" w:rsidRDefault="004B4E35" w:rsidP="00C15251">
            <w:pPr>
              <w:shd w:val="clear" w:color="auto" w:fill="FFFFFF"/>
              <w:jc w:val="both"/>
              <w:rPr>
                <w:bCs/>
                <w:color w:val="002060"/>
                <w:sz w:val="16"/>
                <w:szCs w:val="16"/>
              </w:rPr>
            </w:pPr>
          </w:p>
        </w:tc>
        <w:tc>
          <w:tcPr>
            <w:tcW w:w="1018" w:type="dxa"/>
          </w:tcPr>
          <w:p w14:paraId="17ADCDA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24 413 552</w:t>
            </w:r>
          </w:p>
          <w:p w14:paraId="01B6786D" w14:textId="77777777" w:rsidR="004B4E35" w:rsidRPr="00405303" w:rsidRDefault="004B4E35" w:rsidP="00C15251">
            <w:pPr>
              <w:shd w:val="clear" w:color="auto" w:fill="FFFFFF"/>
              <w:jc w:val="both"/>
              <w:rPr>
                <w:bCs/>
                <w:color w:val="002060"/>
                <w:sz w:val="16"/>
                <w:szCs w:val="16"/>
              </w:rPr>
            </w:pPr>
          </w:p>
        </w:tc>
        <w:tc>
          <w:tcPr>
            <w:tcW w:w="1142" w:type="dxa"/>
          </w:tcPr>
          <w:p w14:paraId="5036A66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65061 018</w:t>
            </w:r>
          </w:p>
          <w:p w14:paraId="5B9A3E65" w14:textId="77777777" w:rsidR="004B4E35" w:rsidRPr="00405303" w:rsidRDefault="004B4E35" w:rsidP="00C15251">
            <w:pPr>
              <w:shd w:val="clear" w:color="auto" w:fill="FFFFFF"/>
              <w:jc w:val="both"/>
              <w:rPr>
                <w:bCs/>
                <w:color w:val="002060"/>
                <w:sz w:val="16"/>
                <w:szCs w:val="16"/>
              </w:rPr>
            </w:pPr>
          </w:p>
        </w:tc>
      </w:tr>
    </w:tbl>
    <w:p w14:paraId="295AEFA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Организация генерала С. Н. Ванкова сыграла огромную роль в снабжении русской армии боеприпасами в первую мировую войну [5, с. 130, 198].</w:t>
      </w:r>
    </w:p>
    <w:p w14:paraId="20A92BD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Всего казенные и частные заводы изготовили для нужд армии 65061018 снарядов, из них 76-мм — 53 525 400 (табл. 1.10) [5, с. 198] (5484).</w:t>
      </w:r>
    </w:p>
    <w:p w14:paraId="1503C434" w14:textId="77777777" w:rsidR="004B4E35" w:rsidRPr="00405303" w:rsidRDefault="004B4E35" w:rsidP="00C15251">
      <w:pPr>
        <w:jc w:val="both"/>
        <w:rPr>
          <w:bCs/>
          <w:i/>
          <w:color w:val="002060"/>
          <w:sz w:val="16"/>
          <w:szCs w:val="16"/>
        </w:rPr>
      </w:pPr>
    </w:p>
    <w:p w14:paraId="4C8AC459" w14:textId="77777777" w:rsidR="004B4E35" w:rsidRPr="00405303" w:rsidRDefault="009E6F82" w:rsidP="00C15251">
      <w:pPr>
        <w:jc w:val="both"/>
        <w:rPr>
          <w:bCs/>
          <w:color w:val="002060"/>
          <w:sz w:val="16"/>
          <w:szCs w:val="16"/>
        </w:rPr>
      </w:pPr>
      <w:r w:rsidRPr="00405303">
        <w:rPr>
          <w:bCs/>
          <w:color w:val="002060"/>
          <w:sz w:val="16"/>
          <w:szCs w:val="16"/>
        </w:rPr>
        <w:t>С октября 1915 г. в Комиссию по заготовке взрывчатых веществ стали поступать заявления от различных организаций, готовых построить заводы по производству серной кислоты на своей территории и поставлять серную кислоту в казну по твердым ценам. При этом испрашивался аванс на постройку завода. Предложения поступали, например, от Пермской губернской земской управы, от торгового дома Павла Афанасьева в Сергиевом Посаде, от правления Акционерного общества нефтеперегонного завода Зиллер в Москве (РГВИА, ф. 507, оп. 2, д. 72, л. 60-61.). Комиссия постановила принять эти предложения.</w:t>
      </w:r>
    </w:p>
    <w:p w14:paraId="029B72C9" w14:textId="77777777" w:rsidR="004B4E35" w:rsidRPr="00405303" w:rsidRDefault="009E6F82" w:rsidP="00C15251">
      <w:pPr>
        <w:jc w:val="both"/>
        <w:rPr>
          <w:bCs/>
          <w:color w:val="002060"/>
          <w:sz w:val="16"/>
          <w:szCs w:val="16"/>
        </w:rPr>
      </w:pPr>
      <w:r w:rsidRPr="00405303">
        <w:rPr>
          <w:bCs/>
          <w:color w:val="002060"/>
          <w:sz w:val="16"/>
          <w:szCs w:val="16"/>
        </w:rPr>
        <w:t xml:space="preserve">Развитие производства серной кислоты в России заботило не только военные, но и гражданские организации, в частности Комиссию по содействию развитию отечественной химико-фармацевтической и </w:t>
      </w:r>
      <w:proofErr w:type="gramStart"/>
      <w:r w:rsidRPr="00405303">
        <w:rPr>
          <w:bCs/>
          <w:color w:val="002060"/>
          <w:sz w:val="16"/>
          <w:szCs w:val="16"/>
        </w:rPr>
        <w:t>техно-химической</w:t>
      </w:r>
      <w:proofErr w:type="gramEnd"/>
      <w:r w:rsidRPr="00405303">
        <w:rPr>
          <w:bCs/>
          <w:color w:val="002060"/>
          <w:sz w:val="16"/>
          <w:szCs w:val="16"/>
        </w:rPr>
        <w:t xml:space="preserve"> промышленности, созданную при Российском фармацевтическом обществе (РГВИА, ф. 507, оп. 2, д. 72, л. 60-61.). В письме в Военное министерство она протестовала против монополии фирмы Вогау на добычу серного колчедана на Урале. Комиссия просила принять решительные меры: либо колчедан должен составить монополию казны, либо необходима фиксация цен (РГВИА, ф. 507, оп. 2, д. 72, л. 60-61.). Комиссия просила военное ведомство рассмотреть вопрос о получении серной кислоты из сернистой кислоты - побочного продукта медеплавильного производства (РГВИА, ф. 507, оп. 2, д. 72, л. 60-61.). По расчетам Комиссии, только на Верх-Исетском, Кыштымском и Сысертском рудниках утилизация сернистой кислоты могла дать 37-44 млн пуд. стопроцентной серной кислоты. ГАУ письмом от 4 июля 1915 г. (РГВИА, ф. 507, оп. 2, д. 72, л. 60-61.) доложило председателю подготовительной комиссии при Особом совещании по усилению средств государственной обороны о содержании доклада Комиссии при Российском фармацевтическом обществе и выступило с предложением назначить "уполномоченное лицо от военного ведомства, которое могло бы следить за правильностью разработки" дела добычи колчедана на Урале (РГВИА, ф. 507, оп. 2, д. 72, л. 60-61.). Этому лицу также поручалось определить себестоимость колчедана и выяснить предельно допустимую цену на него, которую и </w:t>
      </w:r>
      <w:proofErr w:type="gramStart"/>
      <w:r w:rsidRPr="00405303">
        <w:rPr>
          <w:bCs/>
          <w:color w:val="002060"/>
          <w:sz w:val="16"/>
          <w:szCs w:val="16"/>
        </w:rPr>
        <w:t>заявить</w:t>
      </w:r>
      <w:proofErr w:type="gramEnd"/>
      <w:r w:rsidRPr="00405303">
        <w:rPr>
          <w:bCs/>
          <w:color w:val="002060"/>
          <w:sz w:val="16"/>
          <w:szCs w:val="16"/>
        </w:rPr>
        <w:t xml:space="preserve"> как обязательную для фирм, занятых его добычей.</w:t>
      </w:r>
    </w:p>
    <w:p w14:paraId="208F4471" w14:textId="77777777" w:rsidR="004B4E35" w:rsidRPr="00405303" w:rsidRDefault="009E6F82" w:rsidP="00C15251">
      <w:pPr>
        <w:jc w:val="both"/>
        <w:rPr>
          <w:bCs/>
          <w:color w:val="002060"/>
          <w:sz w:val="16"/>
          <w:szCs w:val="16"/>
        </w:rPr>
      </w:pPr>
      <w:r w:rsidRPr="00405303">
        <w:rPr>
          <w:bCs/>
          <w:color w:val="002060"/>
          <w:sz w:val="16"/>
          <w:szCs w:val="16"/>
        </w:rPr>
        <w:t>Благодаря усилиям Комиссии по заготовке взрывчатых веществ работа по налаживанию производства серной кислоты и других необходимых химических веществ шла ровно и планомерно. Однако в это время в Особое совещание была подана докладная записка А.Е. Маковецкого, где доказывалось, что заготовка серной кислоты в пределах 20-22 млн пуд. в год, как наметила Комиссия по заготовке взрывчатых веществ, недостаточна. Маковецкий предлагал повысить добычу до 80-90 млн пуд. в год, т.е. в 4 раза. Однако Ипатьев выступил резко против этого предложения. Он писал: "Не надо было быть пророком, чтобы предсказать то ужасное положение, в котором очутилась бы нарождающаяся русская химическая промышленность, если бы она большую часть своих сил и материалов направила бы на изготовление такого громадного количества серной кислоты. Никакого нет сомнения в том, что Россия нуждается в гораздо большем количестве серной кислоты не только в военное время, но даже и в мирное время..., но необходимо также выполнить эту грандиозную программу последовательно, не обижая и других отраслей промышленности". В.Н. Ипатьев настаивал на равномерном развитии всех отраслей промышленности. Повышение производства серной кислоты диктовалось необходимым увеличением производства взрывчатых веществ, однако дальнейшее увеличение ее производства, да еще в таких масштабах, могло губительно сказаться на уже проводимой успешной и планомерной работе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Пг., 1921.) (11781).</w:t>
      </w:r>
    </w:p>
    <w:p w14:paraId="3341581A" w14:textId="77777777" w:rsidR="004B4E35" w:rsidRPr="00405303" w:rsidRDefault="004B4E35" w:rsidP="00C15251">
      <w:pPr>
        <w:jc w:val="both"/>
        <w:rPr>
          <w:bCs/>
          <w:color w:val="002060"/>
          <w:sz w:val="16"/>
          <w:szCs w:val="16"/>
        </w:rPr>
      </w:pPr>
    </w:p>
    <w:p w14:paraId="6CDDBF00" w14:textId="607192A0" w:rsidR="004B4E35" w:rsidRPr="00405303" w:rsidRDefault="003810CD"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октябре </w:t>
      </w:r>
      <w:r w:rsidRPr="00405303">
        <w:rPr>
          <w:bCs/>
          <w:color w:val="002060"/>
          <w:sz w:val="16"/>
          <w:szCs w:val="16"/>
        </w:rPr>
        <w:t xml:space="preserve">1915 г. </w:t>
      </w:r>
      <w:r w:rsidR="009E6F82" w:rsidRPr="00405303">
        <w:rPr>
          <w:bCs/>
          <w:color w:val="002060"/>
          <w:sz w:val="16"/>
          <w:szCs w:val="16"/>
        </w:rPr>
        <w:t xml:space="preserve">добыча </w:t>
      </w:r>
      <w:r w:rsidRPr="00405303">
        <w:rPr>
          <w:bCs/>
          <w:color w:val="002060"/>
          <w:sz w:val="16"/>
          <w:szCs w:val="16"/>
        </w:rPr>
        <w:t xml:space="preserve">серного колчедана </w:t>
      </w:r>
      <w:r w:rsidR="009E6F82" w:rsidRPr="00405303">
        <w:rPr>
          <w:bCs/>
          <w:color w:val="002060"/>
          <w:sz w:val="16"/>
          <w:szCs w:val="16"/>
        </w:rPr>
        <w:t>поднялась до 1280 тыс. пуд. при потребности в 964 тыс. пуд. В дальнейшем добыча опережала потребность, но разрыв этот уменьшался. Благодаря мерам, принятым Комиссией по заготовке взрывчатых веществ, ежемесячное производство серной кислоты на существующих заводах в декабре 1915 г. составило 800 тыс. пуд., что было явно недостаточно. Однако после постройки новых сернокислотных заводов к сентябрю 1916 г. общий объем произведенной кислоты равнялся 1864,7 тыс. пуд., что было больше довоенного уровня (Ипатьев В.Н. Работа химической промышленности на оборону во время войны. Пг., 1920. Эта тема была затронута и в мемуарах В.Н. Ипатьева "Жизнь одного химика" (Нью-Йорк, 1945).). Если в феврале 1915 г. было изготовлено 6.3 тыс. пуд. взрывчатых веществ, то в январе 1917 г. – 130,8 тыс. пуд. Если в феврале 1915 г. взрывчатые вещества производились только на четырех заводах, то в январе 1917 г. этих заводов было 28{42}. Производство сырого каменноугольного бензола выросло с 15,6 тыс. пуд. в феврале 1915 г. до 61,8 тыс. пуд. в январе 1917 г. (11781).</w:t>
      </w:r>
    </w:p>
    <w:p w14:paraId="11F54FE0" w14:textId="77777777" w:rsidR="004B4E35" w:rsidRPr="00405303" w:rsidRDefault="004B4E35" w:rsidP="00C15251">
      <w:pPr>
        <w:jc w:val="both"/>
        <w:rPr>
          <w:bCs/>
          <w:color w:val="002060"/>
          <w:sz w:val="16"/>
          <w:szCs w:val="16"/>
        </w:rPr>
      </w:pPr>
    </w:p>
    <w:p w14:paraId="62D40DE4" w14:textId="77777777" w:rsidR="00F6220B" w:rsidRPr="00405303" w:rsidRDefault="00F6220B" w:rsidP="00C15251">
      <w:pPr>
        <w:jc w:val="both"/>
        <w:rPr>
          <w:bCs/>
          <w:color w:val="002060"/>
          <w:sz w:val="16"/>
          <w:szCs w:val="16"/>
        </w:rPr>
      </w:pPr>
      <w:r w:rsidRPr="00405303">
        <w:rPr>
          <w:bCs/>
          <w:color w:val="002060"/>
          <w:sz w:val="16"/>
          <w:szCs w:val="16"/>
        </w:rPr>
        <w:t>В октябре 1915 года в России началось производство фосгена. С октября 1915 г. начали формироваться в России особые химические команды для выполнения газобаллонных атак и по мере формирования отправляться на фронт (20246).</w:t>
      </w:r>
    </w:p>
    <w:p w14:paraId="7C25DB56" w14:textId="77777777" w:rsidR="00F6220B" w:rsidRPr="00405303" w:rsidRDefault="00F6220B" w:rsidP="00C15251">
      <w:pPr>
        <w:jc w:val="both"/>
        <w:rPr>
          <w:bCs/>
          <w:color w:val="002060"/>
          <w:sz w:val="16"/>
          <w:szCs w:val="16"/>
        </w:rPr>
      </w:pPr>
    </w:p>
    <w:p w14:paraId="535C6794" w14:textId="77777777" w:rsidR="00F6220B" w:rsidRPr="00405303" w:rsidRDefault="00F6220B" w:rsidP="00C15251">
      <w:pPr>
        <w:jc w:val="both"/>
        <w:rPr>
          <w:rFonts w:eastAsia="TimesNewRoman"/>
          <w:bCs/>
          <w:color w:val="002060"/>
          <w:sz w:val="16"/>
          <w:szCs w:val="16"/>
        </w:rPr>
      </w:pPr>
      <w:r w:rsidRPr="00405303">
        <w:rPr>
          <w:rFonts w:eastAsia="TimesNewRoman"/>
          <w:bCs/>
          <w:color w:val="002060"/>
          <w:sz w:val="16"/>
          <w:szCs w:val="16"/>
        </w:rPr>
        <w:t xml:space="preserve">В октябре </w:t>
      </w:r>
      <w:r w:rsidRPr="00405303">
        <w:rPr>
          <w:rFonts w:eastAsia="Times-Roman"/>
          <w:bCs/>
          <w:color w:val="002060"/>
          <w:sz w:val="16"/>
          <w:szCs w:val="16"/>
        </w:rPr>
        <w:t xml:space="preserve">1915 </w:t>
      </w:r>
      <w:r w:rsidRPr="00405303">
        <w:rPr>
          <w:rFonts w:eastAsia="TimesNewRoman"/>
          <w:bCs/>
          <w:color w:val="002060"/>
          <w:sz w:val="16"/>
          <w:szCs w:val="16"/>
        </w:rPr>
        <w:t>года Министром финансов Российской</w:t>
      </w:r>
      <w:r w:rsidRPr="00405303">
        <w:rPr>
          <w:rFonts w:eastAsia="Times-Roman"/>
          <w:bCs/>
          <w:color w:val="002060"/>
          <w:sz w:val="16"/>
          <w:szCs w:val="16"/>
        </w:rPr>
        <w:t xml:space="preserve"> </w:t>
      </w:r>
      <w:r w:rsidRPr="00405303">
        <w:rPr>
          <w:rFonts w:eastAsia="TimesNewRoman"/>
          <w:bCs/>
          <w:color w:val="002060"/>
          <w:sz w:val="16"/>
          <w:szCs w:val="16"/>
        </w:rPr>
        <w:t>империи дал детальный анализ деятельности Англо</w:t>
      </w:r>
      <w:r w:rsidRPr="00405303">
        <w:rPr>
          <w:rFonts w:eastAsia="Times-Roman"/>
          <w:bCs/>
          <w:color w:val="002060"/>
          <w:sz w:val="16"/>
          <w:szCs w:val="16"/>
        </w:rPr>
        <w:t>-</w:t>
      </w:r>
      <w:r w:rsidRPr="00405303">
        <w:rPr>
          <w:rFonts w:eastAsia="TimesNewRoman"/>
          <w:bCs/>
          <w:color w:val="002060"/>
          <w:sz w:val="16"/>
          <w:szCs w:val="16"/>
        </w:rPr>
        <w:t>русского комитета в Лондоне с предложением о его реорганизации и переименования в Русский правительственный комитет.</w:t>
      </w:r>
    </w:p>
    <w:p w14:paraId="1AFE83FE" w14:textId="77777777" w:rsidR="00F6220B" w:rsidRPr="00405303" w:rsidRDefault="00F6220B" w:rsidP="00C15251">
      <w:pPr>
        <w:jc w:val="both"/>
        <w:rPr>
          <w:rFonts w:eastAsia="Times-Roman"/>
          <w:bCs/>
          <w:color w:val="002060"/>
          <w:sz w:val="16"/>
          <w:szCs w:val="16"/>
        </w:rPr>
      </w:pPr>
      <w:r w:rsidRPr="00405303">
        <w:rPr>
          <w:rFonts w:eastAsia="TimesNewRoman"/>
          <w:bCs/>
          <w:color w:val="002060"/>
          <w:sz w:val="16"/>
          <w:szCs w:val="16"/>
        </w:rPr>
        <w:t>Министр финансов отметил главные причины неудачной деятельности комитета</w:t>
      </w:r>
      <w:r w:rsidRPr="00405303">
        <w:rPr>
          <w:rFonts w:eastAsia="Times-Roman"/>
          <w:bCs/>
          <w:color w:val="002060"/>
          <w:sz w:val="16"/>
          <w:szCs w:val="16"/>
        </w:rPr>
        <w:t>.</w:t>
      </w:r>
    </w:p>
    <w:p w14:paraId="311A57FA" w14:textId="77777777" w:rsidR="00F6220B" w:rsidRPr="00405303" w:rsidRDefault="00F6220B" w:rsidP="00C15251">
      <w:pPr>
        <w:jc w:val="both"/>
        <w:rPr>
          <w:rFonts w:eastAsia="Times-Roman"/>
          <w:bCs/>
          <w:color w:val="002060"/>
          <w:sz w:val="16"/>
          <w:szCs w:val="16"/>
        </w:rPr>
      </w:pPr>
      <w:r w:rsidRPr="00405303">
        <w:rPr>
          <w:rFonts w:eastAsia="TimesNewRoman"/>
          <w:bCs/>
          <w:color w:val="002060"/>
          <w:sz w:val="16"/>
          <w:szCs w:val="16"/>
        </w:rPr>
        <w:t xml:space="preserve">В первую очередь </w:t>
      </w:r>
      <w:r w:rsidRPr="00405303">
        <w:rPr>
          <w:rFonts w:eastAsia="Times-Roman"/>
          <w:bCs/>
          <w:color w:val="002060"/>
          <w:sz w:val="16"/>
          <w:szCs w:val="16"/>
        </w:rPr>
        <w:t xml:space="preserve">– </w:t>
      </w:r>
      <w:r w:rsidRPr="00405303">
        <w:rPr>
          <w:rFonts w:eastAsia="TimesNewRoman"/>
          <w:bCs/>
          <w:color w:val="002060"/>
          <w:sz w:val="16"/>
          <w:szCs w:val="16"/>
        </w:rPr>
        <w:t xml:space="preserve">его </w:t>
      </w:r>
      <w:proofErr w:type="gramStart"/>
      <w:r w:rsidRPr="00405303">
        <w:rPr>
          <w:rFonts w:eastAsia="TimesNewRoman"/>
          <w:bCs/>
          <w:color w:val="002060"/>
          <w:sz w:val="16"/>
          <w:szCs w:val="16"/>
        </w:rPr>
        <w:t>не организованность</w:t>
      </w:r>
      <w:proofErr w:type="gramEnd"/>
      <w:r w:rsidRPr="00405303">
        <w:rPr>
          <w:rFonts w:eastAsia="Times-Roman"/>
          <w:bCs/>
          <w:color w:val="002060"/>
          <w:sz w:val="16"/>
          <w:szCs w:val="16"/>
        </w:rPr>
        <w:t xml:space="preserve">. </w:t>
      </w:r>
      <w:r w:rsidRPr="00405303">
        <w:rPr>
          <w:rFonts w:eastAsia="TimesNewRoman"/>
          <w:bCs/>
          <w:color w:val="002060"/>
          <w:sz w:val="16"/>
          <w:szCs w:val="16"/>
        </w:rPr>
        <w:t>Министр финансов обратил внимание на то</w:t>
      </w:r>
      <w:r w:rsidRPr="00405303">
        <w:rPr>
          <w:rFonts w:eastAsia="Times-Roman"/>
          <w:bCs/>
          <w:color w:val="002060"/>
          <w:sz w:val="16"/>
          <w:szCs w:val="16"/>
        </w:rPr>
        <w:t xml:space="preserve">, </w:t>
      </w:r>
      <w:r w:rsidRPr="00405303">
        <w:rPr>
          <w:rFonts w:eastAsia="TimesNewRoman"/>
          <w:bCs/>
          <w:color w:val="002060"/>
          <w:sz w:val="16"/>
          <w:szCs w:val="16"/>
        </w:rPr>
        <w:t>что члены комитета действовали не совместно</w:t>
      </w:r>
      <w:r w:rsidRPr="00405303">
        <w:rPr>
          <w:rFonts w:eastAsia="Times-Roman"/>
          <w:bCs/>
          <w:color w:val="002060"/>
          <w:sz w:val="16"/>
          <w:szCs w:val="16"/>
        </w:rPr>
        <w:t xml:space="preserve">, </w:t>
      </w:r>
      <w:r w:rsidRPr="00405303">
        <w:rPr>
          <w:rFonts w:eastAsia="TimesNewRoman"/>
          <w:bCs/>
          <w:color w:val="002060"/>
          <w:sz w:val="16"/>
          <w:szCs w:val="16"/>
        </w:rPr>
        <w:t>а самостоятельно</w:t>
      </w:r>
      <w:r w:rsidRPr="00405303">
        <w:rPr>
          <w:rFonts w:eastAsia="Times-Roman"/>
          <w:bCs/>
          <w:color w:val="002060"/>
          <w:sz w:val="16"/>
          <w:szCs w:val="16"/>
        </w:rPr>
        <w:t>.</w:t>
      </w:r>
    </w:p>
    <w:p w14:paraId="5AADEE35" w14:textId="77777777" w:rsidR="00F6220B" w:rsidRPr="00405303" w:rsidRDefault="00F6220B" w:rsidP="00C15251">
      <w:pPr>
        <w:jc w:val="both"/>
        <w:rPr>
          <w:rFonts w:eastAsia="Times-Roman"/>
          <w:bCs/>
          <w:color w:val="002060"/>
          <w:sz w:val="16"/>
          <w:szCs w:val="16"/>
        </w:rPr>
      </w:pPr>
      <w:r w:rsidRPr="00405303">
        <w:rPr>
          <w:rFonts w:eastAsia="TimesNewRoman"/>
          <w:bCs/>
          <w:color w:val="002060"/>
          <w:sz w:val="16"/>
          <w:szCs w:val="16"/>
        </w:rPr>
        <w:t>Случалось так</w:t>
      </w:r>
      <w:r w:rsidRPr="00405303">
        <w:rPr>
          <w:rFonts w:eastAsia="Times-Roman"/>
          <w:bCs/>
          <w:color w:val="002060"/>
          <w:sz w:val="16"/>
          <w:szCs w:val="16"/>
        </w:rPr>
        <w:t xml:space="preserve">, </w:t>
      </w:r>
      <w:r w:rsidRPr="00405303">
        <w:rPr>
          <w:rFonts w:eastAsia="TimesNewRoman"/>
          <w:bCs/>
          <w:color w:val="002060"/>
          <w:sz w:val="16"/>
          <w:szCs w:val="16"/>
        </w:rPr>
        <w:t>что в распоряжении некоторых из них были значительные валютные средства</w:t>
      </w:r>
      <w:r w:rsidRPr="00405303">
        <w:rPr>
          <w:rFonts w:eastAsia="Times-Roman"/>
          <w:bCs/>
          <w:color w:val="002060"/>
          <w:sz w:val="16"/>
          <w:szCs w:val="16"/>
        </w:rPr>
        <w:t xml:space="preserve">, </w:t>
      </w:r>
      <w:r w:rsidRPr="00405303">
        <w:rPr>
          <w:rFonts w:eastAsia="TimesNewRoman"/>
          <w:bCs/>
          <w:color w:val="002060"/>
          <w:sz w:val="16"/>
          <w:szCs w:val="16"/>
        </w:rPr>
        <w:t>тогда как в это же время</w:t>
      </w:r>
      <w:r w:rsidRPr="00405303">
        <w:rPr>
          <w:rFonts w:eastAsia="Times-Roman"/>
          <w:bCs/>
          <w:color w:val="002060"/>
          <w:sz w:val="16"/>
          <w:szCs w:val="16"/>
        </w:rPr>
        <w:t xml:space="preserve">, </w:t>
      </w:r>
      <w:r w:rsidRPr="00405303">
        <w:rPr>
          <w:rFonts w:eastAsia="TimesNewRoman"/>
          <w:bCs/>
          <w:color w:val="002060"/>
          <w:sz w:val="16"/>
          <w:szCs w:val="16"/>
        </w:rPr>
        <w:t>другой член комиссии упускал выгодный заказ из</w:t>
      </w:r>
      <w:r w:rsidRPr="00405303">
        <w:rPr>
          <w:rFonts w:eastAsia="Times-Roman"/>
          <w:bCs/>
          <w:color w:val="002060"/>
          <w:sz w:val="16"/>
          <w:szCs w:val="16"/>
        </w:rPr>
        <w:t>-</w:t>
      </w:r>
      <w:r w:rsidRPr="00405303">
        <w:rPr>
          <w:rFonts w:eastAsia="TimesNewRoman"/>
          <w:bCs/>
          <w:color w:val="002060"/>
          <w:sz w:val="16"/>
          <w:szCs w:val="16"/>
        </w:rPr>
        <w:t>за невозможности сделать взнос задатка</w:t>
      </w:r>
      <w:r w:rsidRPr="00405303">
        <w:rPr>
          <w:rFonts w:eastAsia="Times-Roman"/>
          <w:bCs/>
          <w:color w:val="002060"/>
          <w:sz w:val="16"/>
          <w:szCs w:val="16"/>
        </w:rPr>
        <w:t>.</w:t>
      </w:r>
    </w:p>
    <w:p w14:paraId="5D983FAB" w14:textId="77777777" w:rsidR="00F6220B" w:rsidRPr="00405303" w:rsidRDefault="00F6220B" w:rsidP="00C15251">
      <w:pPr>
        <w:jc w:val="both"/>
        <w:rPr>
          <w:rFonts w:eastAsia="Times-Roman"/>
          <w:bCs/>
          <w:color w:val="002060"/>
          <w:sz w:val="16"/>
          <w:szCs w:val="16"/>
        </w:rPr>
      </w:pPr>
      <w:r w:rsidRPr="00405303">
        <w:rPr>
          <w:rFonts w:eastAsia="TimesNewRoman"/>
          <w:bCs/>
          <w:color w:val="002060"/>
          <w:sz w:val="16"/>
          <w:szCs w:val="16"/>
        </w:rPr>
        <w:t xml:space="preserve">Деятельность комитета началась в сентябре </w:t>
      </w:r>
      <w:r w:rsidRPr="00405303">
        <w:rPr>
          <w:rFonts w:eastAsia="Times-Roman"/>
          <w:bCs/>
          <w:color w:val="002060"/>
          <w:sz w:val="16"/>
          <w:szCs w:val="16"/>
        </w:rPr>
        <w:t xml:space="preserve">1914 </w:t>
      </w:r>
      <w:r w:rsidRPr="00405303">
        <w:rPr>
          <w:rFonts w:eastAsia="TimesNewRoman"/>
          <w:bCs/>
          <w:color w:val="002060"/>
          <w:sz w:val="16"/>
          <w:szCs w:val="16"/>
        </w:rPr>
        <w:t>года и его члены</w:t>
      </w:r>
      <w:r w:rsidRPr="00405303">
        <w:rPr>
          <w:rFonts w:eastAsia="Times-Roman"/>
          <w:bCs/>
          <w:color w:val="002060"/>
          <w:sz w:val="16"/>
          <w:szCs w:val="16"/>
        </w:rPr>
        <w:t xml:space="preserve">, </w:t>
      </w:r>
      <w:r w:rsidRPr="00405303">
        <w:rPr>
          <w:rFonts w:eastAsia="TimesNewRoman"/>
          <w:bCs/>
          <w:color w:val="002060"/>
          <w:sz w:val="16"/>
          <w:szCs w:val="16"/>
        </w:rPr>
        <w:t>собравшись на первое заседание</w:t>
      </w:r>
      <w:r w:rsidRPr="00405303">
        <w:rPr>
          <w:rFonts w:eastAsia="Times-Roman"/>
          <w:bCs/>
          <w:color w:val="002060"/>
          <w:sz w:val="16"/>
          <w:szCs w:val="16"/>
        </w:rPr>
        <w:t xml:space="preserve">, </w:t>
      </w:r>
      <w:r w:rsidRPr="00405303">
        <w:rPr>
          <w:rFonts w:eastAsia="TimesNewRoman"/>
          <w:bCs/>
          <w:color w:val="002060"/>
          <w:sz w:val="16"/>
          <w:szCs w:val="16"/>
        </w:rPr>
        <w:t>спланировали порядок выдачи заказов</w:t>
      </w:r>
      <w:r w:rsidRPr="00405303">
        <w:rPr>
          <w:rFonts w:eastAsia="Times-Roman"/>
          <w:bCs/>
          <w:color w:val="002060"/>
          <w:sz w:val="16"/>
          <w:szCs w:val="16"/>
        </w:rPr>
        <w:t xml:space="preserve">. </w:t>
      </w:r>
      <w:r w:rsidRPr="00405303">
        <w:rPr>
          <w:rFonts w:eastAsia="TimesNewRoman"/>
          <w:bCs/>
          <w:color w:val="002060"/>
          <w:sz w:val="16"/>
          <w:szCs w:val="16"/>
        </w:rPr>
        <w:t>Он сводился к тому</w:t>
      </w:r>
      <w:r w:rsidRPr="00405303">
        <w:rPr>
          <w:rFonts w:eastAsia="Times-Roman"/>
          <w:bCs/>
          <w:color w:val="002060"/>
          <w:sz w:val="16"/>
          <w:szCs w:val="16"/>
        </w:rPr>
        <w:t xml:space="preserve">, </w:t>
      </w:r>
      <w:r w:rsidRPr="00405303">
        <w:rPr>
          <w:rFonts w:eastAsia="TimesNewRoman"/>
          <w:bCs/>
          <w:color w:val="002060"/>
          <w:sz w:val="16"/>
          <w:szCs w:val="16"/>
        </w:rPr>
        <w:t>что все заказы должны были размешаться только членами комитета</w:t>
      </w:r>
      <w:r w:rsidRPr="00405303">
        <w:rPr>
          <w:rFonts w:eastAsia="Times-Roman"/>
          <w:bCs/>
          <w:color w:val="002060"/>
          <w:sz w:val="16"/>
          <w:szCs w:val="16"/>
        </w:rPr>
        <w:t xml:space="preserve">, </w:t>
      </w:r>
      <w:r w:rsidRPr="00405303">
        <w:rPr>
          <w:rFonts w:eastAsia="TimesNewRoman"/>
          <w:bCs/>
          <w:color w:val="002060"/>
          <w:sz w:val="16"/>
          <w:szCs w:val="16"/>
        </w:rPr>
        <w:t>исключительно по своим ведомствам и их валютным средствам</w:t>
      </w:r>
      <w:r w:rsidRPr="00405303">
        <w:rPr>
          <w:rFonts w:eastAsia="Times-Roman"/>
          <w:bCs/>
          <w:color w:val="002060"/>
          <w:sz w:val="16"/>
          <w:szCs w:val="16"/>
        </w:rPr>
        <w:t>.</w:t>
      </w:r>
    </w:p>
    <w:p w14:paraId="34CF69D9" w14:textId="77777777" w:rsidR="00F6220B" w:rsidRPr="00405303" w:rsidRDefault="00F6220B" w:rsidP="00C15251">
      <w:pPr>
        <w:jc w:val="both"/>
        <w:rPr>
          <w:rFonts w:eastAsia="Times-Roman"/>
          <w:bCs/>
          <w:color w:val="002060"/>
          <w:sz w:val="16"/>
          <w:szCs w:val="16"/>
        </w:rPr>
      </w:pPr>
      <w:r w:rsidRPr="00405303">
        <w:rPr>
          <w:rFonts w:eastAsia="TimesNewRoman"/>
          <w:bCs/>
          <w:color w:val="002060"/>
          <w:sz w:val="16"/>
          <w:szCs w:val="16"/>
        </w:rPr>
        <w:t>Данное решение было поддержано графом Бенкендорфом</w:t>
      </w:r>
      <w:r w:rsidRPr="00405303">
        <w:rPr>
          <w:rFonts w:eastAsia="Times-Roman"/>
          <w:bCs/>
          <w:color w:val="002060"/>
          <w:sz w:val="16"/>
          <w:szCs w:val="16"/>
        </w:rPr>
        <w:t>.</w:t>
      </w:r>
    </w:p>
    <w:p w14:paraId="141C84CC" w14:textId="77777777" w:rsidR="00F6220B" w:rsidRPr="00405303" w:rsidRDefault="00F6220B" w:rsidP="00C15251">
      <w:pPr>
        <w:jc w:val="both"/>
        <w:rPr>
          <w:rFonts w:eastAsia="Times-Roman"/>
          <w:bCs/>
          <w:color w:val="002060"/>
          <w:sz w:val="16"/>
          <w:szCs w:val="16"/>
        </w:rPr>
      </w:pPr>
      <w:r w:rsidRPr="00405303">
        <w:rPr>
          <w:rFonts w:eastAsia="TimesNewRoman"/>
          <w:bCs/>
          <w:color w:val="002060"/>
          <w:sz w:val="16"/>
          <w:szCs w:val="16"/>
        </w:rPr>
        <w:t>В это же время</w:t>
      </w:r>
      <w:r w:rsidRPr="00405303">
        <w:rPr>
          <w:rFonts w:eastAsia="Times-Roman"/>
          <w:bCs/>
          <w:color w:val="002060"/>
          <w:sz w:val="16"/>
          <w:szCs w:val="16"/>
        </w:rPr>
        <w:t xml:space="preserve">, </w:t>
      </w:r>
      <w:r w:rsidRPr="00405303">
        <w:rPr>
          <w:rFonts w:eastAsia="TimesNewRoman"/>
          <w:bCs/>
          <w:color w:val="002060"/>
          <w:sz w:val="16"/>
          <w:szCs w:val="16"/>
        </w:rPr>
        <w:t xml:space="preserve">английским правительством было создало центральное учреждение </w:t>
      </w:r>
      <w:r w:rsidRPr="00405303">
        <w:rPr>
          <w:rFonts w:eastAsia="Times-Roman"/>
          <w:bCs/>
          <w:color w:val="002060"/>
          <w:sz w:val="16"/>
          <w:szCs w:val="16"/>
        </w:rPr>
        <w:t>«</w:t>
      </w:r>
      <w:r w:rsidRPr="00405303">
        <w:rPr>
          <w:rFonts w:eastAsia="Times-Roman"/>
          <w:bCs/>
          <w:color w:val="002060"/>
          <w:sz w:val="16"/>
          <w:szCs w:val="16"/>
          <w:lang w:val="en-US"/>
        </w:rPr>
        <w:t>Comission</w:t>
      </w:r>
      <w:r w:rsidRPr="00405303">
        <w:rPr>
          <w:rFonts w:eastAsia="Times-Roman"/>
          <w:bCs/>
          <w:color w:val="002060"/>
          <w:sz w:val="16"/>
          <w:szCs w:val="16"/>
        </w:rPr>
        <w:t xml:space="preserve"> </w:t>
      </w:r>
      <w:r w:rsidRPr="00405303">
        <w:rPr>
          <w:rFonts w:eastAsia="Times-Roman"/>
          <w:bCs/>
          <w:color w:val="002060"/>
          <w:sz w:val="16"/>
          <w:szCs w:val="16"/>
          <w:lang w:val="en-US"/>
        </w:rPr>
        <w:t>Internationale</w:t>
      </w:r>
      <w:r w:rsidRPr="00405303">
        <w:rPr>
          <w:rFonts w:eastAsia="Times-Roman"/>
          <w:bCs/>
          <w:color w:val="002060"/>
          <w:sz w:val="16"/>
          <w:szCs w:val="16"/>
        </w:rPr>
        <w:t xml:space="preserve"> </w:t>
      </w:r>
      <w:r w:rsidRPr="00405303">
        <w:rPr>
          <w:rFonts w:eastAsia="Times-Roman"/>
          <w:bCs/>
          <w:color w:val="002060"/>
          <w:sz w:val="16"/>
          <w:szCs w:val="16"/>
          <w:lang w:val="en-US"/>
        </w:rPr>
        <w:t>de</w:t>
      </w:r>
      <w:r w:rsidRPr="00405303">
        <w:rPr>
          <w:rFonts w:eastAsia="Times-Roman"/>
          <w:bCs/>
          <w:color w:val="002060"/>
          <w:sz w:val="16"/>
          <w:szCs w:val="16"/>
        </w:rPr>
        <w:t xml:space="preserve"> </w:t>
      </w:r>
      <w:r w:rsidRPr="00405303">
        <w:rPr>
          <w:rFonts w:eastAsia="Times-Roman"/>
          <w:bCs/>
          <w:color w:val="002060"/>
          <w:sz w:val="16"/>
          <w:szCs w:val="16"/>
          <w:lang w:val="en-US"/>
        </w:rPr>
        <w:t>Ravitaillement</w:t>
      </w:r>
      <w:r w:rsidRPr="00405303">
        <w:rPr>
          <w:rFonts w:eastAsia="Times-Roman"/>
          <w:bCs/>
          <w:color w:val="002060"/>
          <w:sz w:val="16"/>
          <w:szCs w:val="16"/>
        </w:rPr>
        <w:t>» («</w:t>
      </w:r>
      <w:r w:rsidRPr="00405303">
        <w:rPr>
          <w:rFonts w:eastAsia="Times-Roman"/>
          <w:bCs/>
          <w:color w:val="002060"/>
          <w:sz w:val="16"/>
          <w:szCs w:val="16"/>
          <w:lang w:val="en-US"/>
        </w:rPr>
        <w:t>C</w:t>
      </w:r>
      <w:r w:rsidRPr="00405303">
        <w:rPr>
          <w:rFonts w:eastAsia="Times-Roman"/>
          <w:bCs/>
          <w:color w:val="002060"/>
          <w:sz w:val="16"/>
          <w:szCs w:val="16"/>
        </w:rPr>
        <w:t>.</w:t>
      </w:r>
      <w:r w:rsidRPr="00405303">
        <w:rPr>
          <w:rFonts w:eastAsia="Times-Roman"/>
          <w:bCs/>
          <w:color w:val="002060"/>
          <w:sz w:val="16"/>
          <w:szCs w:val="16"/>
          <w:lang w:val="en-US"/>
        </w:rPr>
        <w:t>I</w:t>
      </w:r>
      <w:r w:rsidRPr="00405303">
        <w:rPr>
          <w:rFonts w:eastAsia="Times-Roman"/>
          <w:bCs/>
          <w:color w:val="002060"/>
          <w:sz w:val="16"/>
          <w:szCs w:val="16"/>
        </w:rPr>
        <w:t>.</w:t>
      </w:r>
      <w:r w:rsidRPr="00405303">
        <w:rPr>
          <w:rFonts w:eastAsia="Times-Roman"/>
          <w:bCs/>
          <w:color w:val="002060"/>
          <w:sz w:val="16"/>
          <w:szCs w:val="16"/>
          <w:lang w:val="en-US"/>
        </w:rPr>
        <w:t>R</w:t>
      </w:r>
      <w:r w:rsidRPr="00405303">
        <w:rPr>
          <w:rFonts w:eastAsia="Times-Roman"/>
          <w:bCs/>
          <w:color w:val="002060"/>
          <w:sz w:val="16"/>
          <w:szCs w:val="16"/>
        </w:rPr>
        <w:t xml:space="preserve">.»). </w:t>
      </w:r>
      <w:r w:rsidRPr="00405303">
        <w:rPr>
          <w:rFonts w:eastAsia="TimesNewRoman"/>
          <w:bCs/>
          <w:color w:val="002060"/>
          <w:sz w:val="16"/>
          <w:szCs w:val="16"/>
        </w:rPr>
        <w:t>Это было очень примечательное учреждение</w:t>
      </w:r>
      <w:r w:rsidRPr="00405303">
        <w:rPr>
          <w:rFonts w:eastAsia="Times-Roman"/>
          <w:bCs/>
          <w:color w:val="002060"/>
          <w:sz w:val="16"/>
          <w:szCs w:val="16"/>
        </w:rPr>
        <w:t xml:space="preserve">. </w:t>
      </w:r>
      <w:r w:rsidRPr="00405303">
        <w:rPr>
          <w:rFonts w:eastAsia="TimesNewRoman"/>
          <w:bCs/>
          <w:color w:val="002060"/>
          <w:sz w:val="16"/>
          <w:szCs w:val="16"/>
        </w:rPr>
        <w:t>Именно оно решало все вопросы размещения заказов союзнических правительств на приобретение военной техники и вооружения</w:t>
      </w:r>
      <w:r w:rsidRPr="00405303">
        <w:rPr>
          <w:rFonts w:eastAsia="Times-Roman"/>
          <w:bCs/>
          <w:color w:val="002060"/>
          <w:sz w:val="16"/>
          <w:szCs w:val="16"/>
        </w:rPr>
        <w:t xml:space="preserve">, </w:t>
      </w:r>
      <w:r w:rsidRPr="00405303">
        <w:rPr>
          <w:rFonts w:eastAsia="TimesNewRoman"/>
          <w:bCs/>
          <w:color w:val="002060"/>
          <w:sz w:val="16"/>
          <w:szCs w:val="16"/>
        </w:rPr>
        <w:t>производящихся в Англии</w:t>
      </w:r>
      <w:r w:rsidRPr="00405303">
        <w:rPr>
          <w:rFonts w:eastAsia="Times-Roman"/>
          <w:bCs/>
          <w:color w:val="002060"/>
          <w:sz w:val="16"/>
          <w:szCs w:val="16"/>
        </w:rPr>
        <w:t xml:space="preserve">. </w:t>
      </w:r>
      <w:r w:rsidRPr="00405303">
        <w:rPr>
          <w:rFonts w:eastAsia="TimesNewRoman"/>
          <w:bCs/>
          <w:color w:val="002060"/>
          <w:sz w:val="16"/>
          <w:szCs w:val="16"/>
        </w:rPr>
        <w:t>Таким образом</w:t>
      </w:r>
      <w:r w:rsidRPr="00405303">
        <w:rPr>
          <w:rFonts w:eastAsia="Times-Roman"/>
          <w:bCs/>
          <w:color w:val="002060"/>
          <w:sz w:val="16"/>
          <w:szCs w:val="16"/>
        </w:rPr>
        <w:t xml:space="preserve">, </w:t>
      </w:r>
      <w:r w:rsidRPr="00405303">
        <w:rPr>
          <w:rFonts w:eastAsia="TimesNewRoman"/>
          <w:bCs/>
          <w:color w:val="002060"/>
          <w:sz w:val="16"/>
          <w:szCs w:val="16"/>
        </w:rPr>
        <w:t>представители английского правительства не принимали участия в работе Англо</w:t>
      </w:r>
      <w:r w:rsidRPr="00405303">
        <w:rPr>
          <w:rFonts w:eastAsia="Times-Roman"/>
          <w:bCs/>
          <w:color w:val="002060"/>
          <w:sz w:val="16"/>
          <w:szCs w:val="16"/>
        </w:rPr>
        <w:t>-</w:t>
      </w:r>
      <w:r w:rsidRPr="00405303">
        <w:rPr>
          <w:rFonts w:eastAsia="TimesNewRoman"/>
          <w:bCs/>
          <w:color w:val="002060"/>
          <w:sz w:val="16"/>
          <w:szCs w:val="16"/>
        </w:rPr>
        <w:t>русского комитета</w:t>
      </w:r>
      <w:r w:rsidRPr="00405303">
        <w:rPr>
          <w:rFonts w:eastAsia="Times-Roman"/>
          <w:bCs/>
          <w:color w:val="002060"/>
          <w:sz w:val="16"/>
          <w:szCs w:val="16"/>
        </w:rPr>
        <w:t xml:space="preserve">, </w:t>
      </w:r>
      <w:r w:rsidRPr="00405303">
        <w:rPr>
          <w:rFonts w:eastAsia="TimesNewRoman"/>
          <w:bCs/>
          <w:color w:val="002060"/>
          <w:sz w:val="16"/>
          <w:szCs w:val="16"/>
        </w:rPr>
        <w:t>а его члены</w:t>
      </w:r>
      <w:r w:rsidRPr="00405303">
        <w:rPr>
          <w:rFonts w:eastAsia="Times-Roman"/>
          <w:bCs/>
          <w:color w:val="002060"/>
          <w:sz w:val="16"/>
          <w:szCs w:val="16"/>
        </w:rPr>
        <w:t xml:space="preserve">, </w:t>
      </w:r>
      <w:r w:rsidRPr="00405303">
        <w:rPr>
          <w:rFonts w:eastAsia="TimesNewRoman"/>
          <w:bCs/>
          <w:color w:val="002060"/>
          <w:sz w:val="16"/>
          <w:szCs w:val="16"/>
        </w:rPr>
        <w:t>каждый сам по себе</w:t>
      </w:r>
      <w:r w:rsidRPr="00405303">
        <w:rPr>
          <w:rFonts w:eastAsia="Times-Roman"/>
          <w:bCs/>
          <w:color w:val="002060"/>
          <w:sz w:val="16"/>
          <w:szCs w:val="16"/>
        </w:rPr>
        <w:t xml:space="preserve">, </w:t>
      </w:r>
      <w:r w:rsidRPr="00405303">
        <w:rPr>
          <w:rFonts w:eastAsia="TimesNewRoman"/>
          <w:bCs/>
          <w:color w:val="002060"/>
          <w:sz w:val="16"/>
          <w:szCs w:val="16"/>
        </w:rPr>
        <w:t xml:space="preserve">обращались в </w:t>
      </w:r>
      <w:r w:rsidRPr="00405303">
        <w:rPr>
          <w:rFonts w:eastAsia="Times-Roman"/>
          <w:bCs/>
          <w:color w:val="002060"/>
          <w:sz w:val="16"/>
          <w:szCs w:val="16"/>
        </w:rPr>
        <w:t>«</w:t>
      </w:r>
      <w:r w:rsidRPr="00405303">
        <w:rPr>
          <w:rFonts w:eastAsia="TimesNewRoman"/>
          <w:bCs/>
          <w:color w:val="002060"/>
          <w:sz w:val="16"/>
          <w:szCs w:val="16"/>
        </w:rPr>
        <w:t>С</w:t>
      </w:r>
      <w:r w:rsidRPr="00405303">
        <w:rPr>
          <w:rFonts w:eastAsia="Times-Roman"/>
          <w:bCs/>
          <w:color w:val="002060"/>
          <w:sz w:val="16"/>
          <w:szCs w:val="16"/>
        </w:rPr>
        <w:t xml:space="preserve">.I.R.» </w:t>
      </w:r>
      <w:r w:rsidRPr="00405303">
        <w:rPr>
          <w:rFonts w:eastAsia="TimesNewRoman"/>
          <w:bCs/>
          <w:color w:val="002060"/>
          <w:sz w:val="16"/>
          <w:szCs w:val="16"/>
        </w:rPr>
        <w:t>для решения с английскими функционерами данного учреждения по соответствующим специальностям своих</w:t>
      </w:r>
      <w:r w:rsidRPr="00405303">
        <w:rPr>
          <w:rFonts w:eastAsia="Times-Roman"/>
          <w:bCs/>
          <w:color w:val="002060"/>
          <w:sz w:val="16"/>
          <w:szCs w:val="16"/>
        </w:rPr>
        <w:t xml:space="preserve">, </w:t>
      </w:r>
      <w:r w:rsidRPr="00405303">
        <w:rPr>
          <w:rFonts w:eastAsia="TimesNewRoman"/>
          <w:bCs/>
          <w:color w:val="002060"/>
          <w:sz w:val="16"/>
          <w:szCs w:val="16"/>
        </w:rPr>
        <w:t>узковедомственных вопросов</w:t>
      </w:r>
      <w:r w:rsidRPr="00405303">
        <w:rPr>
          <w:rFonts w:eastAsia="Times-Roman"/>
          <w:bCs/>
          <w:color w:val="002060"/>
          <w:sz w:val="16"/>
          <w:szCs w:val="16"/>
        </w:rPr>
        <w:t xml:space="preserve">. </w:t>
      </w:r>
      <w:r w:rsidRPr="00405303">
        <w:rPr>
          <w:rFonts w:eastAsia="TimesNewRoman"/>
          <w:bCs/>
          <w:color w:val="002060"/>
          <w:sz w:val="16"/>
          <w:szCs w:val="16"/>
        </w:rPr>
        <w:t>Причём</w:t>
      </w:r>
      <w:r w:rsidRPr="00405303">
        <w:rPr>
          <w:rFonts w:eastAsia="Times-Roman"/>
          <w:bCs/>
          <w:color w:val="002060"/>
          <w:sz w:val="16"/>
          <w:szCs w:val="16"/>
        </w:rPr>
        <w:t xml:space="preserve">, </w:t>
      </w:r>
      <w:r w:rsidRPr="00405303">
        <w:rPr>
          <w:rFonts w:eastAsia="TimesNewRoman"/>
          <w:bCs/>
          <w:color w:val="002060"/>
          <w:sz w:val="16"/>
          <w:szCs w:val="16"/>
        </w:rPr>
        <w:t>считали себя полномочными действовать от имени всего Англо</w:t>
      </w:r>
      <w:r w:rsidRPr="00405303">
        <w:rPr>
          <w:rFonts w:eastAsia="Times-Roman"/>
          <w:bCs/>
          <w:color w:val="002060"/>
          <w:sz w:val="16"/>
          <w:szCs w:val="16"/>
        </w:rPr>
        <w:t>-</w:t>
      </w:r>
      <w:r w:rsidRPr="00405303">
        <w:rPr>
          <w:rFonts w:eastAsia="TimesNewRoman"/>
          <w:bCs/>
          <w:color w:val="002060"/>
          <w:sz w:val="16"/>
          <w:szCs w:val="16"/>
        </w:rPr>
        <w:t>русского комитета</w:t>
      </w:r>
      <w:r w:rsidRPr="00405303">
        <w:rPr>
          <w:rFonts w:eastAsia="Times-Roman"/>
          <w:bCs/>
          <w:color w:val="002060"/>
          <w:sz w:val="16"/>
          <w:szCs w:val="16"/>
        </w:rPr>
        <w:t>.</w:t>
      </w:r>
    </w:p>
    <w:p w14:paraId="251F4D38" w14:textId="77777777" w:rsidR="00F6220B" w:rsidRPr="00405303" w:rsidRDefault="00F6220B" w:rsidP="00C15251">
      <w:pPr>
        <w:jc w:val="both"/>
        <w:rPr>
          <w:rFonts w:eastAsia="Times-Roman"/>
          <w:bCs/>
          <w:color w:val="002060"/>
          <w:sz w:val="16"/>
          <w:szCs w:val="16"/>
        </w:rPr>
      </w:pPr>
      <w:r w:rsidRPr="00405303">
        <w:rPr>
          <w:rFonts w:eastAsia="TimesNewRoman"/>
          <w:bCs/>
          <w:color w:val="002060"/>
          <w:sz w:val="16"/>
          <w:szCs w:val="16"/>
        </w:rPr>
        <w:t>В результате</w:t>
      </w:r>
      <w:r w:rsidRPr="00405303">
        <w:rPr>
          <w:rFonts w:eastAsia="Times-Roman"/>
          <w:bCs/>
          <w:color w:val="002060"/>
          <w:sz w:val="16"/>
          <w:szCs w:val="16"/>
        </w:rPr>
        <w:t xml:space="preserve">, </w:t>
      </w:r>
      <w:r w:rsidRPr="00405303">
        <w:rPr>
          <w:rFonts w:eastAsia="TimesNewRoman"/>
          <w:bCs/>
          <w:color w:val="002060"/>
          <w:sz w:val="16"/>
          <w:szCs w:val="16"/>
        </w:rPr>
        <w:t>деятельность комитета приняла совершенно иные формы</w:t>
      </w:r>
      <w:r w:rsidRPr="00405303">
        <w:rPr>
          <w:rFonts w:eastAsia="Times-Roman"/>
          <w:bCs/>
          <w:color w:val="002060"/>
          <w:sz w:val="16"/>
          <w:szCs w:val="16"/>
        </w:rPr>
        <w:t xml:space="preserve">, </w:t>
      </w:r>
      <w:r w:rsidRPr="00405303">
        <w:rPr>
          <w:rFonts w:eastAsia="TimesNewRoman"/>
          <w:bCs/>
          <w:color w:val="002060"/>
          <w:sz w:val="16"/>
          <w:szCs w:val="16"/>
        </w:rPr>
        <w:t>чем это имелось в виду при его учреждении</w:t>
      </w:r>
      <w:r w:rsidRPr="00405303">
        <w:rPr>
          <w:rFonts w:eastAsia="Times-Roman"/>
          <w:bCs/>
          <w:color w:val="002060"/>
          <w:sz w:val="16"/>
          <w:szCs w:val="16"/>
        </w:rPr>
        <w:t xml:space="preserve">. </w:t>
      </w:r>
      <w:r w:rsidRPr="00405303">
        <w:rPr>
          <w:rFonts w:eastAsia="TimesNewRoman"/>
          <w:bCs/>
          <w:color w:val="002060"/>
          <w:sz w:val="16"/>
          <w:szCs w:val="16"/>
        </w:rPr>
        <w:t>Это было вызвано ещё и тем</w:t>
      </w:r>
      <w:r w:rsidRPr="00405303">
        <w:rPr>
          <w:rFonts w:eastAsia="Times-Roman"/>
          <w:bCs/>
          <w:color w:val="002060"/>
          <w:sz w:val="16"/>
          <w:szCs w:val="16"/>
        </w:rPr>
        <w:t xml:space="preserve">, </w:t>
      </w:r>
      <w:r w:rsidRPr="00405303">
        <w:rPr>
          <w:rFonts w:eastAsia="TimesNewRoman"/>
          <w:bCs/>
          <w:color w:val="002060"/>
          <w:sz w:val="16"/>
          <w:szCs w:val="16"/>
        </w:rPr>
        <w:t>что при его создании не проводились соответствующие организационные мероприятия</w:t>
      </w:r>
      <w:r w:rsidRPr="00405303">
        <w:rPr>
          <w:rFonts w:eastAsia="Times-Roman"/>
          <w:bCs/>
          <w:color w:val="002060"/>
          <w:sz w:val="16"/>
          <w:szCs w:val="16"/>
        </w:rPr>
        <w:t xml:space="preserve">. </w:t>
      </w:r>
      <w:r w:rsidRPr="00405303">
        <w:rPr>
          <w:rFonts w:eastAsia="TimesNewRoman"/>
          <w:bCs/>
          <w:color w:val="002060"/>
          <w:sz w:val="16"/>
          <w:szCs w:val="16"/>
        </w:rPr>
        <w:t xml:space="preserve">Не было разработано </w:t>
      </w:r>
      <w:r w:rsidRPr="00405303">
        <w:rPr>
          <w:rFonts w:eastAsia="Times-Roman"/>
          <w:bCs/>
          <w:color w:val="002060"/>
          <w:sz w:val="16"/>
          <w:szCs w:val="16"/>
        </w:rPr>
        <w:t>«</w:t>
      </w:r>
      <w:r w:rsidRPr="00405303">
        <w:rPr>
          <w:rFonts w:eastAsia="TimesNewRoman"/>
          <w:bCs/>
          <w:color w:val="002060"/>
          <w:sz w:val="16"/>
          <w:szCs w:val="16"/>
        </w:rPr>
        <w:t>Положение об Англо</w:t>
      </w:r>
      <w:r w:rsidRPr="00405303">
        <w:rPr>
          <w:rFonts w:eastAsia="Times-Roman"/>
          <w:bCs/>
          <w:color w:val="002060"/>
          <w:sz w:val="16"/>
          <w:szCs w:val="16"/>
        </w:rPr>
        <w:t>-</w:t>
      </w:r>
      <w:r w:rsidRPr="00405303">
        <w:rPr>
          <w:rFonts w:eastAsia="TimesNewRoman"/>
          <w:bCs/>
          <w:color w:val="002060"/>
          <w:sz w:val="16"/>
          <w:szCs w:val="16"/>
        </w:rPr>
        <w:t>русском комитете</w:t>
      </w:r>
      <w:r w:rsidRPr="00405303">
        <w:rPr>
          <w:rFonts w:eastAsia="Times-Roman"/>
          <w:bCs/>
          <w:color w:val="002060"/>
          <w:sz w:val="16"/>
          <w:szCs w:val="16"/>
        </w:rPr>
        <w:t xml:space="preserve">», </w:t>
      </w:r>
      <w:r w:rsidRPr="00405303">
        <w:rPr>
          <w:rFonts w:eastAsia="TimesNewRoman"/>
          <w:bCs/>
          <w:color w:val="002060"/>
          <w:sz w:val="16"/>
          <w:szCs w:val="16"/>
        </w:rPr>
        <w:t>председатель комитета не назначался</w:t>
      </w:r>
      <w:r w:rsidRPr="00405303">
        <w:rPr>
          <w:rFonts w:eastAsia="Times-Roman"/>
          <w:bCs/>
          <w:color w:val="002060"/>
          <w:sz w:val="16"/>
          <w:szCs w:val="16"/>
        </w:rPr>
        <w:t xml:space="preserve">, </w:t>
      </w:r>
      <w:r w:rsidRPr="00405303">
        <w:rPr>
          <w:rFonts w:eastAsia="TimesNewRoman"/>
          <w:bCs/>
          <w:color w:val="002060"/>
          <w:sz w:val="16"/>
          <w:szCs w:val="16"/>
        </w:rPr>
        <w:t>а был избран его членами представитель Министерства торговли и промышленности действительный статский советник Рутковский</w:t>
      </w:r>
      <w:r w:rsidRPr="00405303">
        <w:rPr>
          <w:rFonts w:eastAsia="Times-Roman"/>
          <w:bCs/>
          <w:color w:val="002060"/>
          <w:sz w:val="16"/>
          <w:szCs w:val="16"/>
        </w:rPr>
        <w:t>.</w:t>
      </w:r>
    </w:p>
    <w:p w14:paraId="3CE21F48" w14:textId="77777777" w:rsidR="00F6220B" w:rsidRPr="00405303" w:rsidRDefault="00F6220B" w:rsidP="00C15251">
      <w:pPr>
        <w:jc w:val="both"/>
        <w:rPr>
          <w:rFonts w:eastAsia="Times-Roman"/>
          <w:bCs/>
          <w:color w:val="002060"/>
          <w:sz w:val="16"/>
          <w:szCs w:val="16"/>
        </w:rPr>
      </w:pPr>
      <w:r w:rsidRPr="00405303">
        <w:rPr>
          <w:rFonts w:eastAsia="TimesNewRoman"/>
          <w:bCs/>
          <w:color w:val="002060"/>
          <w:sz w:val="16"/>
          <w:szCs w:val="16"/>
        </w:rPr>
        <w:t>Совместная деятельность членов комитета</w:t>
      </w:r>
      <w:r w:rsidRPr="00405303">
        <w:rPr>
          <w:rFonts w:eastAsia="Times-Roman"/>
          <w:bCs/>
          <w:color w:val="002060"/>
          <w:sz w:val="16"/>
          <w:szCs w:val="16"/>
        </w:rPr>
        <w:t xml:space="preserve">,- </w:t>
      </w:r>
      <w:r w:rsidRPr="00405303">
        <w:rPr>
          <w:rFonts w:eastAsia="TimesNewRoman"/>
          <w:bCs/>
          <w:color w:val="002060"/>
          <w:sz w:val="16"/>
          <w:szCs w:val="16"/>
        </w:rPr>
        <w:t>по мнению Министра финансов</w:t>
      </w:r>
      <w:r w:rsidRPr="00405303">
        <w:rPr>
          <w:rFonts w:eastAsia="Times-Roman"/>
          <w:bCs/>
          <w:color w:val="002060"/>
          <w:sz w:val="16"/>
          <w:szCs w:val="16"/>
        </w:rPr>
        <w:t xml:space="preserve">, </w:t>
      </w:r>
      <w:r w:rsidRPr="00405303">
        <w:rPr>
          <w:rFonts w:eastAsia="TimesNewRoman"/>
          <w:bCs/>
          <w:color w:val="002060"/>
          <w:sz w:val="16"/>
          <w:szCs w:val="16"/>
        </w:rPr>
        <w:t>выразилась только в организации транспортировки товаров из портов Англии в Россию</w:t>
      </w:r>
      <w:r w:rsidRPr="00405303">
        <w:rPr>
          <w:rFonts w:eastAsia="Times-Roman"/>
          <w:bCs/>
          <w:color w:val="002060"/>
          <w:sz w:val="16"/>
          <w:szCs w:val="16"/>
        </w:rPr>
        <w:t xml:space="preserve">, </w:t>
      </w:r>
      <w:r w:rsidRPr="00405303">
        <w:rPr>
          <w:rFonts w:eastAsia="TimesNewRoman"/>
          <w:bCs/>
          <w:color w:val="002060"/>
          <w:sz w:val="16"/>
          <w:szCs w:val="16"/>
        </w:rPr>
        <w:t xml:space="preserve">которая была поручена фирме </w:t>
      </w:r>
      <w:r w:rsidRPr="00405303">
        <w:rPr>
          <w:rFonts w:eastAsia="Times-Roman"/>
          <w:bCs/>
          <w:color w:val="002060"/>
          <w:sz w:val="16"/>
          <w:szCs w:val="16"/>
        </w:rPr>
        <w:t>«</w:t>
      </w:r>
      <w:r w:rsidRPr="00405303">
        <w:rPr>
          <w:rFonts w:eastAsia="TimesNewRoman"/>
          <w:bCs/>
          <w:color w:val="002060"/>
          <w:sz w:val="16"/>
          <w:szCs w:val="16"/>
        </w:rPr>
        <w:t>Мартенс</w:t>
      </w:r>
      <w:r w:rsidRPr="00405303">
        <w:rPr>
          <w:rFonts w:eastAsia="Times-Roman"/>
          <w:bCs/>
          <w:color w:val="002060"/>
          <w:sz w:val="16"/>
          <w:szCs w:val="16"/>
        </w:rPr>
        <w:t xml:space="preserve">» </w:t>
      </w:r>
      <w:r w:rsidRPr="00405303">
        <w:rPr>
          <w:rFonts w:eastAsia="TimesNewRoman"/>
          <w:bCs/>
          <w:color w:val="002060"/>
          <w:sz w:val="16"/>
          <w:szCs w:val="16"/>
        </w:rPr>
        <w:t>и переписка с английскими властями о разрешении вывоза приобретённых и изготовленных товаров</w:t>
      </w:r>
      <w:r w:rsidRPr="00405303">
        <w:rPr>
          <w:rFonts w:eastAsia="Times-Roman"/>
          <w:bCs/>
          <w:color w:val="002060"/>
          <w:sz w:val="16"/>
          <w:szCs w:val="16"/>
        </w:rPr>
        <w:t>.</w:t>
      </w:r>
    </w:p>
    <w:p w14:paraId="49D6E100" w14:textId="77777777" w:rsidR="00F6220B" w:rsidRPr="00405303" w:rsidRDefault="00F6220B" w:rsidP="00C15251">
      <w:pPr>
        <w:jc w:val="both"/>
        <w:rPr>
          <w:rFonts w:eastAsia="Times-Roman"/>
          <w:bCs/>
          <w:color w:val="002060"/>
          <w:sz w:val="16"/>
          <w:szCs w:val="16"/>
        </w:rPr>
      </w:pPr>
      <w:r w:rsidRPr="00405303">
        <w:rPr>
          <w:rFonts w:eastAsia="TimesNewRoman"/>
          <w:bCs/>
          <w:color w:val="002060"/>
          <w:sz w:val="16"/>
          <w:szCs w:val="16"/>
        </w:rPr>
        <w:t>Вместе с тем</w:t>
      </w:r>
      <w:r w:rsidRPr="00405303">
        <w:rPr>
          <w:rFonts w:eastAsia="Times-Roman"/>
          <w:bCs/>
          <w:color w:val="002060"/>
          <w:sz w:val="16"/>
          <w:szCs w:val="16"/>
        </w:rPr>
        <w:t xml:space="preserve">, – </w:t>
      </w:r>
      <w:r w:rsidRPr="00405303">
        <w:rPr>
          <w:rFonts w:eastAsia="TimesNewRoman"/>
          <w:bCs/>
          <w:color w:val="002060"/>
          <w:sz w:val="16"/>
          <w:szCs w:val="16"/>
        </w:rPr>
        <w:t>отмечал Министр финансов</w:t>
      </w:r>
      <w:r w:rsidRPr="00405303">
        <w:rPr>
          <w:rFonts w:eastAsia="Times-Roman"/>
          <w:bCs/>
          <w:color w:val="002060"/>
          <w:sz w:val="16"/>
          <w:szCs w:val="16"/>
        </w:rPr>
        <w:t xml:space="preserve">, </w:t>
      </w:r>
      <w:r w:rsidRPr="00405303">
        <w:rPr>
          <w:rFonts w:eastAsia="TimesNewRoman"/>
          <w:bCs/>
          <w:color w:val="002060"/>
          <w:sz w:val="16"/>
          <w:szCs w:val="16"/>
        </w:rPr>
        <w:t>в Англии образовалось значительное количество частных обществ</w:t>
      </w:r>
      <w:r w:rsidRPr="00405303">
        <w:rPr>
          <w:rFonts w:eastAsia="Times-Roman"/>
          <w:bCs/>
          <w:color w:val="002060"/>
          <w:sz w:val="16"/>
          <w:szCs w:val="16"/>
        </w:rPr>
        <w:t xml:space="preserve">, </w:t>
      </w:r>
      <w:r w:rsidRPr="00405303">
        <w:rPr>
          <w:rFonts w:eastAsia="TimesNewRoman"/>
          <w:bCs/>
          <w:color w:val="002060"/>
          <w:sz w:val="16"/>
          <w:szCs w:val="16"/>
        </w:rPr>
        <w:t>присвоивших названия созвучные с Англо</w:t>
      </w:r>
      <w:r w:rsidRPr="00405303">
        <w:rPr>
          <w:rFonts w:eastAsia="Times-Roman"/>
          <w:bCs/>
          <w:color w:val="002060"/>
          <w:sz w:val="16"/>
          <w:szCs w:val="16"/>
        </w:rPr>
        <w:t>-</w:t>
      </w:r>
      <w:r w:rsidRPr="00405303">
        <w:rPr>
          <w:rFonts w:eastAsia="TimesNewRoman"/>
          <w:bCs/>
          <w:color w:val="002060"/>
          <w:sz w:val="16"/>
          <w:szCs w:val="16"/>
        </w:rPr>
        <w:t>русским комитетом и выдававших себя за уполномоченных правительства Российской империи</w:t>
      </w:r>
      <w:r w:rsidRPr="00405303">
        <w:rPr>
          <w:rFonts w:eastAsia="Times-Roman"/>
          <w:bCs/>
          <w:color w:val="002060"/>
          <w:sz w:val="16"/>
          <w:szCs w:val="16"/>
        </w:rPr>
        <w:t xml:space="preserve">. </w:t>
      </w:r>
      <w:r w:rsidRPr="00405303">
        <w:rPr>
          <w:rFonts w:eastAsia="TimesNewRoman"/>
          <w:bCs/>
          <w:color w:val="002060"/>
          <w:sz w:val="16"/>
          <w:szCs w:val="16"/>
        </w:rPr>
        <w:t>Комитет вёл активную борьбу с ними</w:t>
      </w:r>
      <w:r w:rsidRPr="00405303">
        <w:rPr>
          <w:rFonts w:eastAsia="Times-Roman"/>
          <w:bCs/>
          <w:color w:val="002060"/>
          <w:sz w:val="16"/>
          <w:szCs w:val="16"/>
        </w:rPr>
        <w:t xml:space="preserve">, </w:t>
      </w:r>
      <w:r w:rsidRPr="00405303">
        <w:rPr>
          <w:rFonts w:eastAsia="TimesNewRoman"/>
          <w:bCs/>
          <w:color w:val="002060"/>
          <w:sz w:val="16"/>
          <w:szCs w:val="16"/>
        </w:rPr>
        <w:t>эта борьба опять же отнимала силы и время</w:t>
      </w:r>
      <w:r w:rsidRPr="00405303">
        <w:rPr>
          <w:rFonts w:eastAsia="Times-Roman"/>
          <w:bCs/>
          <w:color w:val="002060"/>
          <w:sz w:val="16"/>
          <w:szCs w:val="16"/>
        </w:rPr>
        <w:t>.</w:t>
      </w:r>
    </w:p>
    <w:p w14:paraId="5382A0A7" w14:textId="77777777" w:rsidR="00F6220B" w:rsidRPr="00405303" w:rsidRDefault="00F6220B" w:rsidP="00C15251">
      <w:pPr>
        <w:jc w:val="both"/>
        <w:rPr>
          <w:rFonts w:eastAsia="Times-Roman"/>
          <w:bCs/>
          <w:color w:val="002060"/>
          <w:sz w:val="16"/>
          <w:szCs w:val="16"/>
        </w:rPr>
      </w:pPr>
      <w:r w:rsidRPr="00405303">
        <w:rPr>
          <w:rFonts w:eastAsia="TimesNewRoman"/>
          <w:bCs/>
          <w:color w:val="002060"/>
          <w:sz w:val="16"/>
          <w:szCs w:val="16"/>
        </w:rPr>
        <w:t>В целях преобразования и реорганизации деятельности Англо</w:t>
      </w:r>
      <w:r w:rsidRPr="00405303">
        <w:rPr>
          <w:rFonts w:eastAsia="Times-Roman"/>
          <w:bCs/>
          <w:color w:val="002060"/>
          <w:sz w:val="16"/>
          <w:szCs w:val="16"/>
        </w:rPr>
        <w:t>-</w:t>
      </w:r>
      <w:r w:rsidRPr="00405303">
        <w:rPr>
          <w:rFonts w:eastAsia="TimesNewRoman"/>
          <w:bCs/>
          <w:color w:val="002060"/>
          <w:sz w:val="16"/>
          <w:szCs w:val="16"/>
        </w:rPr>
        <w:t>русского комитета</w:t>
      </w:r>
      <w:r w:rsidRPr="00405303">
        <w:rPr>
          <w:rFonts w:eastAsia="Times-Roman"/>
          <w:bCs/>
          <w:color w:val="002060"/>
          <w:sz w:val="16"/>
          <w:szCs w:val="16"/>
        </w:rPr>
        <w:t xml:space="preserve">, </w:t>
      </w:r>
      <w:r w:rsidRPr="00405303">
        <w:rPr>
          <w:rFonts w:eastAsia="TimesNewRoman"/>
          <w:bCs/>
          <w:color w:val="002060"/>
          <w:sz w:val="16"/>
          <w:szCs w:val="16"/>
        </w:rPr>
        <w:t>кроме переименования</w:t>
      </w:r>
      <w:r w:rsidRPr="00405303">
        <w:rPr>
          <w:rFonts w:eastAsia="Times-Roman"/>
          <w:bCs/>
          <w:color w:val="002060"/>
          <w:sz w:val="16"/>
          <w:szCs w:val="16"/>
        </w:rPr>
        <w:t xml:space="preserve">, </w:t>
      </w:r>
      <w:r w:rsidRPr="00405303">
        <w:rPr>
          <w:rFonts w:eastAsia="TimesNewRoman"/>
          <w:bCs/>
          <w:color w:val="002060"/>
          <w:sz w:val="16"/>
          <w:szCs w:val="16"/>
        </w:rPr>
        <w:t>Министр финансов России предложил назначить в состав данной организации по одному уполномоченному представителю от каждого заинтересованного в заграничных заказах ведомства</w:t>
      </w:r>
      <w:r w:rsidRPr="00405303">
        <w:rPr>
          <w:rFonts w:eastAsia="Times-Roman"/>
          <w:bCs/>
          <w:color w:val="002060"/>
          <w:sz w:val="16"/>
          <w:szCs w:val="16"/>
        </w:rPr>
        <w:t xml:space="preserve">. </w:t>
      </w:r>
      <w:r w:rsidRPr="00405303">
        <w:rPr>
          <w:rFonts w:eastAsia="TimesNewRoman"/>
          <w:bCs/>
          <w:color w:val="002060"/>
          <w:sz w:val="16"/>
          <w:szCs w:val="16"/>
        </w:rPr>
        <w:t>В состав этой структуры</w:t>
      </w:r>
      <w:r w:rsidRPr="00405303">
        <w:rPr>
          <w:rFonts w:eastAsia="Times-Roman"/>
          <w:bCs/>
          <w:color w:val="002060"/>
          <w:sz w:val="16"/>
          <w:szCs w:val="16"/>
        </w:rPr>
        <w:t xml:space="preserve">, </w:t>
      </w:r>
      <w:r w:rsidRPr="00405303">
        <w:rPr>
          <w:rFonts w:eastAsia="TimesNewRoman"/>
          <w:bCs/>
          <w:color w:val="002060"/>
          <w:sz w:val="16"/>
          <w:szCs w:val="16"/>
        </w:rPr>
        <w:t>также рекомендовалось включить одного представителя Министерства финансов</w:t>
      </w:r>
      <w:r w:rsidRPr="00405303">
        <w:rPr>
          <w:rFonts w:eastAsia="Times-Roman"/>
          <w:bCs/>
          <w:color w:val="002060"/>
          <w:sz w:val="16"/>
          <w:szCs w:val="16"/>
        </w:rPr>
        <w:t xml:space="preserve">, </w:t>
      </w:r>
      <w:r w:rsidRPr="00405303">
        <w:rPr>
          <w:rFonts w:eastAsia="TimesNewRoman"/>
          <w:bCs/>
          <w:color w:val="002060"/>
          <w:sz w:val="16"/>
          <w:szCs w:val="16"/>
        </w:rPr>
        <w:t>которому поручалось бы ведение финансовых вопросов</w:t>
      </w:r>
      <w:r w:rsidRPr="00405303">
        <w:rPr>
          <w:rFonts w:eastAsia="Times-Roman"/>
          <w:bCs/>
          <w:color w:val="002060"/>
          <w:sz w:val="16"/>
          <w:szCs w:val="16"/>
        </w:rPr>
        <w:t>.</w:t>
      </w:r>
    </w:p>
    <w:p w14:paraId="555A16D6" w14:textId="77777777" w:rsidR="00F6220B" w:rsidRPr="00405303" w:rsidRDefault="00F6220B" w:rsidP="00C15251">
      <w:pPr>
        <w:jc w:val="both"/>
        <w:rPr>
          <w:rFonts w:eastAsia="Times-Roman"/>
          <w:bCs/>
          <w:color w:val="002060"/>
          <w:sz w:val="16"/>
          <w:szCs w:val="16"/>
        </w:rPr>
      </w:pPr>
      <w:r w:rsidRPr="00405303">
        <w:rPr>
          <w:rFonts w:eastAsia="TimesNewRoman"/>
          <w:bCs/>
          <w:color w:val="002060"/>
          <w:sz w:val="16"/>
          <w:szCs w:val="16"/>
        </w:rPr>
        <w:t>Председателем Комитета предлагалось назначить представителя от Военного министерства</w:t>
      </w:r>
      <w:r w:rsidRPr="00405303">
        <w:rPr>
          <w:rFonts w:eastAsia="Times-Roman"/>
          <w:bCs/>
          <w:color w:val="002060"/>
          <w:sz w:val="16"/>
          <w:szCs w:val="16"/>
        </w:rPr>
        <w:t xml:space="preserve">, </w:t>
      </w:r>
      <w:r w:rsidRPr="00405303">
        <w:rPr>
          <w:rFonts w:eastAsia="TimesNewRoman"/>
          <w:bCs/>
          <w:color w:val="002060"/>
          <w:sz w:val="16"/>
          <w:szCs w:val="16"/>
        </w:rPr>
        <w:t>как основного и самого крупного заказчика (20240)</w:t>
      </w:r>
      <w:r w:rsidRPr="00405303">
        <w:rPr>
          <w:rFonts w:eastAsia="Times-Roman"/>
          <w:bCs/>
          <w:color w:val="002060"/>
          <w:sz w:val="16"/>
          <w:szCs w:val="16"/>
        </w:rPr>
        <w:t>.</w:t>
      </w:r>
    </w:p>
    <w:p w14:paraId="7C2AE65B" w14:textId="77777777" w:rsidR="00F6220B" w:rsidRPr="00405303" w:rsidRDefault="00F6220B" w:rsidP="00C15251">
      <w:pPr>
        <w:jc w:val="both"/>
        <w:rPr>
          <w:rFonts w:eastAsia="Times-Roman"/>
          <w:bCs/>
          <w:color w:val="002060"/>
          <w:sz w:val="16"/>
          <w:szCs w:val="16"/>
        </w:rPr>
      </w:pPr>
    </w:p>
    <w:p w14:paraId="7E38D0F5" w14:textId="77777777" w:rsidR="007D6483" w:rsidRPr="00405303" w:rsidRDefault="007D6483"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lastRenderedPageBreak/>
        <w:t>В октябре 1915 г. Качалов составил коллегию консультан</w:t>
      </w:r>
      <w:r w:rsidRPr="00405303">
        <w:rPr>
          <w:rFonts w:ascii="Times New Roman" w:hAnsi="Times New Roman" w:cs="Times New Roman"/>
          <w:bCs/>
          <w:color w:val="002060"/>
          <w:sz w:val="16"/>
          <w:szCs w:val="16"/>
        </w:rPr>
        <w:softHyphen/>
        <w:t>тов (комиссию), в которую вошли заведующий производ</w:t>
      </w:r>
      <w:r w:rsidRPr="00405303">
        <w:rPr>
          <w:rFonts w:ascii="Times New Roman" w:hAnsi="Times New Roman" w:cs="Times New Roman"/>
          <w:bCs/>
          <w:color w:val="002060"/>
          <w:sz w:val="16"/>
          <w:szCs w:val="16"/>
        </w:rPr>
        <w:softHyphen/>
        <w:t>ством И.В. Гребенщиков, академик Н.С. Курнаков, профес</w:t>
      </w:r>
      <w:r w:rsidRPr="00405303">
        <w:rPr>
          <w:rFonts w:ascii="Times New Roman" w:hAnsi="Times New Roman" w:cs="Times New Roman"/>
          <w:bCs/>
          <w:color w:val="002060"/>
          <w:sz w:val="16"/>
          <w:szCs w:val="16"/>
        </w:rPr>
        <w:softHyphen/>
        <w:t>сора-химики Н.А. Пушин, В.Е. Тищенко и профессор-физик Д.С. Рождественский. Наконец показалось, что «достигнут небольшой, но существенный успех». 10 ноября Рождествен</w:t>
      </w:r>
      <w:r w:rsidRPr="00405303">
        <w:rPr>
          <w:rFonts w:ascii="Times New Roman" w:hAnsi="Times New Roman" w:cs="Times New Roman"/>
          <w:bCs/>
          <w:color w:val="002060"/>
          <w:sz w:val="16"/>
          <w:szCs w:val="16"/>
        </w:rPr>
        <w:softHyphen/>
        <w:t>ский доложил коллегам о результатах исследования призмы, изготовленной заводом: она как будто «вполне» удовлетво</w:t>
      </w:r>
      <w:r w:rsidRPr="00405303">
        <w:rPr>
          <w:rFonts w:ascii="Times New Roman" w:hAnsi="Times New Roman" w:cs="Times New Roman"/>
          <w:bCs/>
          <w:color w:val="002060"/>
          <w:sz w:val="16"/>
          <w:szCs w:val="16"/>
        </w:rPr>
        <w:softHyphen/>
        <w:t>рила требованиям ГАУ. Призма была «не лучше среднего стекла, изготовлявшегося до того времени», но Рождествен</w:t>
      </w:r>
      <w:r w:rsidRPr="00405303">
        <w:rPr>
          <w:rFonts w:ascii="Times New Roman" w:hAnsi="Times New Roman" w:cs="Times New Roman"/>
          <w:bCs/>
          <w:color w:val="002060"/>
          <w:sz w:val="16"/>
          <w:szCs w:val="16"/>
        </w:rPr>
        <w:softHyphen/>
        <w:t>ский все же считал возможным в условиях военного времени удовлетвориться и этим. Собранный с использованием этой призмы опытный экземпляр бинокля «несмотря на наличие большого числа свилей... был вполне годен для эксплуата</w:t>
      </w:r>
      <w:r w:rsidRPr="00405303">
        <w:rPr>
          <w:rFonts w:ascii="Times New Roman" w:hAnsi="Times New Roman" w:cs="Times New Roman"/>
          <w:bCs/>
          <w:color w:val="002060"/>
          <w:sz w:val="16"/>
          <w:szCs w:val="16"/>
        </w:rPr>
        <w:softHyphen/>
        <w:t xml:space="preserve">ции» (Доклад Жуковского на заседании бюро съездов стеклозаводчиков, </w:t>
      </w:r>
      <w:proofErr w:type="gramStart"/>
      <w:r w:rsidRPr="00405303">
        <w:rPr>
          <w:rFonts w:ascii="Times New Roman" w:hAnsi="Times New Roman" w:cs="Times New Roman"/>
          <w:bCs/>
          <w:color w:val="002060"/>
          <w:sz w:val="16"/>
          <w:szCs w:val="16"/>
        </w:rPr>
        <w:t>5.IX.</w:t>
      </w:r>
      <w:proofErr w:type="gramEnd"/>
      <w:r w:rsidRPr="00405303">
        <w:rPr>
          <w:rFonts w:ascii="Times New Roman" w:hAnsi="Times New Roman" w:cs="Times New Roman"/>
          <w:bCs/>
          <w:color w:val="002060"/>
          <w:sz w:val="16"/>
          <w:szCs w:val="16"/>
        </w:rPr>
        <w:t xml:space="preserve"> 1915 // Стеклозаводчик. 1915. № 23. С. 8; Стожаров А.И. Наука об оптическом стекле. С. 450; Жуковский Г.Ю. Указ. соч. С. 32, 126, 125; Бахрах А.М. Указ. соч. С. 192). Такая непритязательность была обычным явлением: «Вследствие недостатка стекла во всех странах на стекло перестали быть разборчивыми: брали в инструменты стекло и со свилями, лишь бы были инструменты, хотя бы второка</w:t>
      </w:r>
      <w:r w:rsidRPr="00405303">
        <w:rPr>
          <w:rFonts w:ascii="Times New Roman" w:hAnsi="Times New Roman" w:cs="Times New Roman"/>
          <w:bCs/>
          <w:color w:val="002060"/>
          <w:sz w:val="16"/>
          <w:szCs w:val="16"/>
        </w:rPr>
        <w:softHyphen/>
        <w:t>чественные», — писал Рождественский. И добавлял, что, по- видимому, то же наблюдалось даже у немцев: «В их би</w:t>
      </w:r>
      <w:r w:rsidRPr="00405303">
        <w:rPr>
          <w:rFonts w:ascii="Times New Roman" w:hAnsi="Times New Roman" w:cs="Times New Roman"/>
          <w:bCs/>
          <w:color w:val="002060"/>
          <w:sz w:val="16"/>
          <w:szCs w:val="16"/>
        </w:rPr>
        <w:softHyphen/>
        <w:t>ноклях, попадавших в наши руки, было подчас плохое, второкачественное стекло» (Рождественский Д.С. Записка об оптическом стекле. 1922 г. // Ака</w:t>
      </w:r>
      <w:r w:rsidRPr="00405303">
        <w:rPr>
          <w:rFonts w:ascii="Times New Roman" w:hAnsi="Times New Roman" w:cs="Times New Roman"/>
          <w:bCs/>
          <w:color w:val="002060"/>
          <w:sz w:val="16"/>
          <w:szCs w:val="16"/>
        </w:rPr>
        <w:softHyphen/>
        <w:t>демик Д.С. Рождественский. Собрание трудов. М.; Л., 1949. С. 591).</w:t>
      </w:r>
    </w:p>
    <w:p w14:paraId="64B5361F" w14:textId="77777777" w:rsidR="007D6483" w:rsidRPr="00405303" w:rsidRDefault="007D6483"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Дворцовое ведомство постаралось придать полученному результату преувеличенное значение: «Получен сорт стекла такого качества, что изготовленная из него призма была найдена Главным артиллерийским управлением безукориз</w:t>
      </w:r>
      <w:r w:rsidRPr="00405303">
        <w:rPr>
          <w:rFonts w:ascii="Times New Roman" w:hAnsi="Times New Roman" w:cs="Times New Roman"/>
          <w:bCs/>
          <w:color w:val="002060"/>
          <w:sz w:val="16"/>
          <w:szCs w:val="16"/>
        </w:rPr>
        <w:softHyphen/>
        <w:t>ненной»; «в настоящее время Императорский стеклянный завод становится четвертым в мире заводом по изготовле</w:t>
      </w:r>
      <w:r w:rsidRPr="00405303">
        <w:rPr>
          <w:rFonts w:ascii="Times New Roman" w:hAnsi="Times New Roman" w:cs="Times New Roman"/>
          <w:bCs/>
          <w:color w:val="002060"/>
          <w:sz w:val="16"/>
          <w:szCs w:val="16"/>
        </w:rPr>
        <w:softHyphen/>
        <w:t>нию оптического стекла». Несмотря на ограниченность успеха, Кабинет объявил, что приступит «немедленно к оборудованию устройств для валового производства» опти</w:t>
      </w:r>
      <w:r w:rsidRPr="00405303">
        <w:rPr>
          <w:rFonts w:ascii="Times New Roman" w:hAnsi="Times New Roman" w:cs="Times New Roman"/>
          <w:bCs/>
          <w:color w:val="002060"/>
          <w:sz w:val="16"/>
          <w:szCs w:val="16"/>
        </w:rPr>
        <w:softHyphen/>
        <w:t>ческого стекла «всех необходимых сортов» и доведет вы</w:t>
      </w:r>
      <w:r w:rsidRPr="00405303">
        <w:rPr>
          <w:rFonts w:ascii="Times New Roman" w:hAnsi="Times New Roman" w:cs="Times New Roman"/>
          <w:bCs/>
          <w:color w:val="002060"/>
          <w:sz w:val="16"/>
          <w:szCs w:val="16"/>
        </w:rPr>
        <w:softHyphen/>
        <w:t>пуск до 720 пудов в год. Комиссия, в сущности, не бле</w:t>
      </w:r>
      <w:r w:rsidRPr="00405303">
        <w:rPr>
          <w:rFonts w:ascii="Times New Roman" w:hAnsi="Times New Roman" w:cs="Times New Roman"/>
          <w:bCs/>
          <w:color w:val="002060"/>
          <w:sz w:val="16"/>
          <w:szCs w:val="16"/>
        </w:rPr>
        <w:softHyphen/>
        <w:t>фовала: «Имея самую авторитетную коллегию, которую можно было создать в стране по вопросам стекловарения, и 200 тысяч рублей на эксперименты, Фарфоровый завод чув</w:t>
      </w:r>
      <w:r w:rsidRPr="00405303">
        <w:rPr>
          <w:rFonts w:ascii="Times New Roman" w:hAnsi="Times New Roman" w:cs="Times New Roman"/>
          <w:bCs/>
          <w:color w:val="002060"/>
          <w:sz w:val="16"/>
          <w:szCs w:val="16"/>
        </w:rPr>
        <w:softHyphen/>
        <w:t>ствовал себя уверенно, — вспоминал Качалов, — и полагал, что производство оптического стекла будет налажено в крат</w:t>
      </w:r>
      <w:r w:rsidRPr="00405303">
        <w:rPr>
          <w:rFonts w:ascii="Times New Roman" w:hAnsi="Times New Roman" w:cs="Times New Roman"/>
          <w:bCs/>
          <w:color w:val="002060"/>
          <w:sz w:val="16"/>
          <w:szCs w:val="16"/>
        </w:rPr>
        <w:softHyphen/>
        <w:t>чайшие сроки». Демонстрация же успеха, по выражению Рождественского, «прельщала взор начальства, дававшего деньги на опыты». Однако «шли месяцы. Ученая коллегия участила свои заседания, ее члены проводили многочислен</w:t>
      </w:r>
      <w:r w:rsidRPr="00405303">
        <w:rPr>
          <w:rFonts w:ascii="Times New Roman" w:hAnsi="Times New Roman" w:cs="Times New Roman"/>
          <w:bCs/>
          <w:color w:val="002060"/>
          <w:sz w:val="16"/>
          <w:szCs w:val="16"/>
        </w:rPr>
        <w:softHyphen/>
        <w:t>ные консультации в цехах и лабораториях, мы с Гребенщи</w:t>
      </w:r>
      <w:r w:rsidRPr="00405303">
        <w:rPr>
          <w:rFonts w:ascii="Times New Roman" w:hAnsi="Times New Roman" w:cs="Times New Roman"/>
          <w:bCs/>
          <w:color w:val="002060"/>
          <w:sz w:val="16"/>
          <w:szCs w:val="16"/>
        </w:rPr>
        <w:softHyphen/>
        <w:t>ковым сутками высиживали у опытных печей, но все труды продолжали пропадать даром, и ничто не свидетельствова</w:t>
      </w:r>
      <w:r w:rsidRPr="00405303">
        <w:rPr>
          <w:rFonts w:ascii="Times New Roman" w:hAnsi="Times New Roman" w:cs="Times New Roman"/>
          <w:bCs/>
          <w:color w:val="002060"/>
          <w:sz w:val="16"/>
          <w:szCs w:val="16"/>
        </w:rPr>
        <w:softHyphen/>
        <w:t>ло о приближении успеха»; «работа кипела... день и ночь... непрерывно поступали образцы полученных разными спо</w:t>
      </w:r>
      <w:r w:rsidRPr="00405303">
        <w:rPr>
          <w:rFonts w:ascii="Times New Roman" w:hAnsi="Times New Roman" w:cs="Times New Roman"/>
          <w:bCs/>
          <w:color w:val="002060"/>
          <w:sz w:val="16"/>
          <w:szCs w:val="16"/>
        </w:rPr>
        <w:softHyphen/>
        <w:t>собами стекол. Они подвергались всесторонним испытани</w:t>
      </w:r>
      <w:r w:rsidRPr="00405303">
        <w:rPr>
          <w:rFonts w:ascii="Times New Roman" w:hAnsi="Times New Roman" w:cs="Times New Roman"/>
          <w:bCs/>
          <w:color w:val="002060"/>
          <w:sz w:val="16"/>
          <w:szCs w:val="16"/>
        </w:rPr>
        <w:softHyphen/>
        <w:t>ям... и в Физическом институте университета, и в ГАУ, од</w:t>
      </w:r>
      <w:r w:rsidRPr="00405303">
        <w:rPr>
          <w:rFonts w:ascii="Times New Roman" w:hAnsi="Times New Roman" w:cs="Times New Roman"/>
          <w:bCs/>
          <w:color w:val="002060"/>
          <w:sz w:val="16"/>
          <w:szCs w:val="16"/>
        </w:rPr>
        <w:softHyphen/>
        <w:t xml:space="preserve">нако неизменно качество их оказывалось никуда не годным» (Обзор деятельности Кабинета Его Императорского Величества за 1906-1915 годы. Пг., 1916. С. 99, 100; РГВИА. Ф. 369. </w:t>
      </w:r>
      <w:r w:rsidRPr="00405303">
        <w:rPr>
          <w:rFonts w:ascii="Times New Roman" w:hAnsi="Times New Roman" w:cs="Times New Roman"/>
          <w:bCs/>
          <w:color w:val="002060"/>
          <w:sz w:val="16"/>
          <w:szCs w:val="16"/>
          <w:lang w:val="en-US" w:bidi="en-US"/>
        </w:rPr>
        <w:t>On</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 xml:space="preserve">1. Д. 122. Л. 1, 1 об.; Ф. 29. Оп. 3. Д. 786. Л. 2. Е.Н. Волков — А.А. Поливанову, </w:t>
      </w:r>
      <w:r w:rsidRPr="00405303">
        <w:rPr>
          <w:rFonts w:ascii="Times New Roman" w:hAnsi="Times New Roman" w:cs="Times New Roman"/>
          <w:bCs/>
          <w:color w:val="002060"/>
          <w:sz w:val="16"/>
          <w:szCs w:val="16"/>
          <w:lang w:bidi="en-US"/>
        </w:rPr>
        <w:t>15.</w:t>
      </w:r>
      <w:r w:rsidRPr="00405303">
        <w:rPr>
          <w:rFonts w:ascii="Times New Roman" w:hAnsi="Times New Roman" w:cs="Times New Roman"/>
          <w:bCs/>
          <w:color w:val="002060"/>
          <w:sz w:val="16"/>
          <w:szCs w:val="16"/>
          <w:lang w:val="en-US" w:bidi="en-US"/>
        </w:rPr>
        <w:t>XII</w:t>
      </w:r>
      <w:r w:rsidRPr="00405303">
        <w:rPr>
          <w:rFonts w:ascii="Times New Roman" w:hAnsi="Times New Roman" w:cs="Times New Roman"/>
          <w:bCs/>
          <w:color w:val="002060"/>
          <w:sz w:val="16"/>
          <w:szCs w:val="16"/>
          <w:lang w:bidi="en-US"/>
        </w:rPr>
        <w:t xml:space="preserve">.1915; </w:t>
      </w:r>
      <w:r w:rsidRPr="00405303">
        <w:rPr>
          <w:rFonts w:ascii="Times New Roman" w:hAnsi="Times New Roman" w:cs="Times New Roman"/>
          <w:bCs/>
          <w:color w:val="002060"/>
          <w:sz w:val="16"/>
          <w:szCs w:val="16"/>
        </w:rPr>
        <w:t>Качалов Н.Н. Указ. соч. С. 448; Рождественский Д.С. Записка. С. 594).</w:t>
      </w:r>
    </w:p>
    <w:p w14:paraId="16EA2B7D" w14:textId="77777777" w:rsidR="007D6483" w:rsidRPr="00405303" w:rsidRDefault="007D6483" w:rsidP="00C15251">
      <w:pPr>
        <w:jc w:val="both"/>
        <w:rPr>
          <w:bCs/>
          <w:color w:val="002060"/>
          <w:sz w:val="16"/>
          <w:szCs w:val="16"/>
        </w:rPr>
      </w:pPr>
      <w:r w:rsidRPr="00405303">
        <w:rPr>
          <w:bCs/>
          <w:color w:val="002060"/>
          <w:sz w:val="16"/>
          <w:szCs w:val="16"/>
        </w:rPr>
        <w:t>На опыты, проведенные под руководством Жуковского, Качалова и Гребенщикова, Кабинет потратил 120 тысяч рублей. В ноябре 1915 г. «должно быть окончено сооруже</w:t>
      </w:r>
      <w:r w:rsidRPr="00405303">
        <w:rPr>
          <w:bCs/>
          <w:color w:val="002060"/>
          <w:sz w:val="16"/>
          <w:szCs w:val="16"/>
        </w:rPr>
        <w:softHyphen/>
        <w:t>ние печей для изготовления стекла по новейшему способу», отчитывался Кабинет, и тогда завод «обеспечит потреб</w:t>
      </w:r>
      <w:r w:rsidRPr="00405303">
        <w:rPr>
          <w:bCs/>
          <w:color w:val="002060"/>
          <w:sz w:val="16"/>
          <w:szCs w:val="16"/>
        </w:rPr>
        <w:softHyphen/>
        <w:t>ность в оптическом стекле военного и морского ведомств». Но на практике для подготовки перехода к валовому про</w:t>
      </w:r>
      <w:r w:rsidRPr="00405303">
        <w:rPr>
          <w:bCs/>
          <w:color w:val="002060"/>
          <w:sz w:val="16"/>
          <w:szCs w:val="16"/>
        </w:rPr>
        <w:softHyphen/>
        <w:t>изводству все же понадобилось дооборудование завода еще на 113 тысяч рублей (пришлось строить новые печи для более вместительных горшков, от чего зависело качество стекла); санкция хозяина завода, Николая II, была получена 27 но</w:t>
      </w:r>
      <w:r w:rsidRPr="00405303">
        <w:rPr>
          <w:bCs/>
          <w:color w:val="002060"/>
          <w:sz w:val="16"/>
          <w:szCs w:val="16"/>
        </w:rPr>
        <w:softHyphen/>
        <w:t>ября 1915 г. (23452).</w:t>
      </w:r>
    </w:p>
    <w:p w14:paraId="3093274A" w14:textId="77777777" w:rsidR="007D6483" w:rsidRPr="00405303" w:rsidRDefault="007D6483" w:rsidP="00C15251">
      <w:pPr>
        <w:jc w:val="both"/>
        <w:rPr>
          <w:bCs/>
          <w:color w:val="002060"/>
          <w:sz w:val="16"/>
          <w:szCs w:val="16"/>
          <w:lang w:bidi="ru-RU"/>
        </w:rPr>
      </w:pPr>
    </w:p>
    <w:p w14:paraId="79433459" w14:textId="7EA75EAE" w:rsidR="007A095B" w:rsidRPr="00405303" w:rsidRDefault="007A095B" w:rsidP="00C15251">
      <w:pPr>
        <w:jc w:val="both"/>
        <w:rPr>
          <w:bCs/>
          <w:i/>
          <w:color w:val="002060"/>
          <w:sz w:val="16"/>
          <w:szCs w:val="16"/>
        </w:rPr>
      </w:pPr>
      <w:r w:rsidRPr="00405303">
        <w:rPr>
          <w:bCs/>
          <w:i/>
          <w:color w:val="002060"/>
          <w:sz w:val="16"/>
          <w:szCs w:val="16"/>
        </w:rPr>
        <w:t>Армия:</w:t>
      </w:r>
    </w:p>
    <w:p w14:paraId="781D93DD" w14:textId="77777777" w:rsidR="007A095B" w:rsidRPr="00405303" w:rsidRDefault="007A095B" w:rsidP="00C15251">
      <w:pPr>
        <w:jc w:val="both"/>
        <w:rPr>
          <w:bCs/>
          <w:i/>
          <w:color w:val="002060"/>
          <w:sz w:val="16"/>
          <w:szCs w:val="16"/>
        </w:rPr>
      </w:pPr>
    </w:p>
    <w:p w14:paraId="21BE796D" w14:textId="77777777" w:rsidR="007A095B" w:rsidRPr="00405303" w:rsidRDefault="007A095B" w:rsidP="00C15251">
      <w:pPr>
        <w:jc w:val="both"/>
        <w:rPr>
          <w:bCs/>
          <w:color w:val="002060"/>
          <w:sz w:val="16"/>
          <w:szCs w:val="16"/>
        </w:rPr>
      </w:pPr>
      <w:r w:rsidRPr="00405303">
        <w:rPr>
          <w:bCs/>
          <w:color w:val="002060"/>
          <w:sz w:val="16"/>
          <w:szCs w:val="16"/>
        </w:rPr>
        <w:t>До октября 1915 г. года на востоке противник провел две крупные наступательные операции (Горлицкую и Свенцянскую), вынудив русские войска оставить Галицию - на юго-западе, и часть Прибалтики с г. Вильна - на северо-западе. Опасаясь окружения своих крупных сил в центральных областях Польши, Ставка ВГК приняла решение на стратегическое отступление русских войск из создавшегося «польского мешка» на заранее выбранные позиции.</w:t>
      </w:r>
    </w:p>
    <w:p w14:paraId="2345130E" w14:textId="77777777" w:rsidR="007A095B" w:rsidRPr="00405303" w:rsidRDefault="007A095B" w:rsidP="00C15251">
      <w:pPr>
        <w:jc w:val="both"/>
        <w:rPr>
          <w:bCs/>
          <w:color w:val="002060"/>
          <w:sz w:val="16"/>
          <w:szCs w:val="16"/>
        </w:rPr>
      </w:pPr>
      <w:bookmarkStart w:id="293" w:name="bookmark244"/>
      <w:bookmarkStart w:id="294" w:name="bookmark245"/>
      <w:bookmarkStart w:id="295" w:name="bookmark246"/>
      <w:r w:rsidRPr="00405303">
        <w:rPr>
          <w:bCs/>
          <w:color w:val="002060"/>
          <w:sz w:val="16"/>
          <w:szCs w:val="16"/>
        </w:rPr>
        <w:t>Отступая, наши части оказывали врагу упорное сопротивление, в том числе и в воздушной сфере. В своих налетах на крепости и укрепленные районы в полосе русского СЗФ противник задействовал значительное количество своих воздушных сил. В течение двух недель ежедневным бомбардировкам с воздуха подвергались объекты и фортификационные сооружения крепости Брест-Литовск</w:t>
      </w:r>
      <w:bookmarkStart w:id="296" w:name="bookmark248"/>
      <w:bookmarkEnd w:id="293"/>
      <w:bookmarkEnd w:id="294"/>
      <w:bookmarkEnd w:id="295"/>
      <w:r w:rsidRPr="00405303">
        <w:rPr>
          <w:bCs/>
          <w:color w:val="002060"/>
          <w:sz w:val="16"/>
          <w:szCs w:val="16"/>
        </w:rPr>
        <w:t xml:space="preserve"> (23405).</w:t>
      </w:r>
      <w:bookmarkEnd w:id="296"/>
    </w:p>
    <w:p w14:paraId="2BF8CC5D" w14:textId="77777777" w:rsidR="007A095B" w:rsidRPr="00405303" w:rsidRDefault="007A095B" w:rsidP="00C15251">
      <w:pPr>
        <w:jc w:val="both"/>
        <w:rPr>
          <w:bCs/>
          <w:color w:val="002060"/>
          <w:sz w:val="16"/>
          <w:szCs w:val="16"/>
        </w:rPr>
      </w:pPr>
    </w:p>
    <w:p w14:paraId="0B05F502" w14:textId="223C2329" w:rsidR="004B4E35" w:rsidRPr="00405303" w:rsidRDefault="009E6F82" w:rsidP="00C15251">
      <w:pPr>
        <w:jc w:val="both"/>
        <w:rPr>
          <w:bCs/>
          <w:i/>
          <w:color w:val="002060"/>
          <w:sz w:val="16"/>
          <w:szCs w:val="16"/>
        </w:rPr>
      </w:pPr>
      <w:r w:rsidRPr="00405303">
        <w:rPr>
          <w:bCs/>
          <w:i/>
          <w:color w:val="002060"/>
          <w:sz w:val="16"/>
          <w:szCs w:val="16"/>
        </w:rPr>
        <w:t>Авиация:</w:t>
      </w:r>
    </w:p>
    <w:p w14:paraId="7E94FCC7" w14:textId="77777777" w:rsidR="004B4E35" w:rsidRPr="00405303" w:rsidRDefault="004B4E35" w:rsidP="00C15251">
      <w:pPr>
        <w:jc w:val="both"/>
        <w:rPr>
          <w:bCs/>
          <w:i/>
          <w:color w:val="002060"/>
          <w:sz w:val="16"/>
          <w:szCs w:val="16"/>
        </w:rPr>
      </w:pPr>
    </w:p>
    <w:p w14:paraId="34B26132" w14:textId="09775893" w:rsidR="004B4E35" w:rsidRPr="00405303" w:rsidRDefault="003810CD"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С</w:t>
      </w:r>
      <w:r w:rsidR="009E6F82" w:rsidRPr="00405303">
        <w:rPr>
          <w:bCs/>
          <w:i w:val="0"/>
          <w:color w:val="002060"/>
          <w:spacing w:val="0"/>
          <w:kern w:val="0"/>
          <w:position w:val="0"/>
          <w:sz w:val="16"/>
          <w:szCs w:val="16"/>
        </w:rPr>
        <w:t xml:space="preserve"> мая по октябрь 1915 г. </w:t>
      </w:r>
      <w:r w:rsidRPr="00405303">
        <w:rPr>
          <w:bCs/>
          <w:i w:val="0"/>
          <w:color w:val="002060"/>
          <w:spacing w:val="0"/>
          <w:kern w:val="0"/>
          <w:position w:val="0"/>
          <w:sz w:val="16"/>
          <w:szCs w:val="16"/>
        </w:rPr>
        <w:t xml:space="preserve">ИМ Киевский совершил </w:t>
      </w:r>
      <w:r w:rsidR="009E6F82" w:rsidRPr="00405303">
        <w:rPr>
          <w:bCs/>
          <w:i w:val="0"/>
          <w:color w:val="002060"/>
          <w:spacing w:val="0"/>
          <w:kern w:val="0"/>
          <w:position w:val="0"/>
          <w:sz w:val="16"/>
          <w:szCs w:val="16"/>
        </w:rPr>
        <w:t xml:space="preserve">более 30 полетов, часто проникая на п-рриторию врага на глубину до 190 верст. </w:t>
      </w:r>
      <w:r w:rsidR="00093785" w:rsidRPr="00405303">
        <w:rPr>
          <w:bCs/>
          <w:i w:val="0"/>
          <w:color w:val="002060"/>
          <w:spacing w:val="0"/>
          <w:kern w:val="0"/>
          <w:position w:val="0"/>
          <w:sz w:val="16"/>
          <w:szCs w:val="16"/>
        </w:rPr>
        <w:t xml:space="preserve">Это был оставшийся в июле-августе единственным боеспособным на фронте 111-й корабль тогоже полка и "Киевский" поначалу брал 2 пулемета, затем только Мадсен с 75 патронами. После случая нападения на корабль своего товарища на борту 111-го корабля взяли за правило брать с собой 3 пулемета: «Мадсен», «Максим» и «Льюис» со 150, 500 и 280 патронами соответственно. </w:t>
      </w:r>
      <w:r w:rsidR="009E6F82" w:rsidRPr="00405303">
        <w:rPr>
          <w:bCs/>
          <w:i w:val="0"/>
          <w:color w:val="002060"/>
          <w:spacing w:val="0"/>
          <w:kern w:val="0"/>
          <w:position w:val="0"/>
          <w:sz w:val="16"/>
          <w:szCs w:val="16"/>
        </w:rPr>
        <w:t>2 ноября 1915 г. был потерян один из лучших кораблей Эскадры. Штабс-капитан Озерский, желая увеличить скорость "Муромца", приказал снять добавочные рули, чем уменьшил устойчивость аппарата. Это и стало причиной гибели экипажа. "Муромцы" этого отряда совершили до типа 1915 г. на Северном фронте 25 боевых вылетов. Зa весь 1915 год воздушные корабли выполнили около 100 боевых полетов, сбросив на противника до 1220 пудов бомб (11277).</w:t>
      </w:r>
    </w:p>
    <w:p w14:paraId="3A477B3A" w14:textId="77777777" w:rsidR="004B4E35" w:rsidRPr="00405303" w:rsidRDefault="004B4E35" w:rsidP="00C15251">
      <w:pPr>
        <w:pStyle w:val="a3"/>
        <w:jc w:val="both"/>
        <w:rPr>
          <w:bCs/>
          <w:i w:val="0"/>
          <w:color w:val="002060"/>
          <w:spacing w:val="0"/>
          <w:kern w:val="0"/>
          <w:position w:val="0"/>
          <w:sz w:val="16"/>
          <w:szCs w:val="16"/>
        </w:rPr>
      </w:pPr>
    </w:p>
    <w:p w14:paraId="534326DE" w14:textId="49A359F2" w:rsidR="004B4E35" w:rsidRPr="00405303" w:rsidRDefault="00093785" w:rsidP="00C15251">
      <w:pPr>
        <w:pStyle w:val="a3"/>
        <w:jc w:val="both"/>
        <w:rPr>
          <w:bCs/>
          <w:color w:val="002060"/>
          <w:spacing w:val="0"/>
          <w:sz w:val="16"/>
          <w:szCs w:val="16"/>
        </w:rPr>
      </w:pPr>
      <w:r w:rsidRPr="00405303">
        <w:rPr>
          <w:bCs/>
          <w:i w:val="0"/>
          <w:color w:val="002060"/>
          <w:spacing w:val="0"/>
          <w:kern w:val="0"/>
          <w:position w:val="0"/>
          <w:sz w:val="16"/>
          <w:szCs w:val="16"/>
        </w:rPr>
        <w:t>С мая по октябрь 1915 г. ИМ Киевский совершил более 30 полетов, часто проникая на п-рриторию врага на глубину до 190 верст. Это был оставшийся в июле-августе единственным боеспособным на фронте 111-й корабль тогоже полка и "Киевский" поначалу брал 2 пулемета, затем только Мадсен с 75 патронами. После случая нападения на корабль своего товарища на борту 111-го корабля взяли за правило брать с собой 3 пулемета: «Мадсен», «Максим» и «Льюис» со 150, 500 и 280 патронами соответственно. 2 ноября 1915 г. был потерян один из лучших кораблей Эскадры. Штабс-капитан Озерский, желая увеличить скорость "Муромца", приказал снять добавочные рули, чем уменьшил устойчивость аппарата. Это и стало причиной гибели экипажа. "Муромцы" этого отряда совершили до типа 1915 г. на Северном фронте 25 боевых вылетов. Зa весь 1915 год воздушные корабли выполнили около 100 боевых полетов, сбросив на противника до 1220 пудов бомб</w:t>
      </w:r>
      <w:r w:rsidR="000F5756">
        <w:rPr>
          <w:bCs/>
          <w:i w:val="0"/>
          <w:color w:val="002060"/>
          <w:spacing w:val="0"/>
          <w:kern w:val="0"/>
          <w:position w:val="0"/>
          <w:sz w:val="16"/>
          <w:szCs w:val="16"/>
        </w:rPr>
        <w:t xml:space="preserve"> </w:t>
      </w:r>
      <w:r w:rsidR="009E6F82" w:rsidRPr="00405303">
        <w:rPr>
          <w:bCs/>
          <w:color w:val="002060"/>
          <w:spacing w:val="0"/>
          <w:sz w:val="16"/>
          <w:szCs w:val="16"/>
        </w:rPr>
        <w:t>(12038).</w:t>
      </w:r>
    </w:p>
    <w:p w14:paraId="5236F494" w14:textId="77777777" w:rsidR="004B4E35" w:rsidRPr="00405303" w:rsidRDefault="004B4E35" w:rsidP="00C15251">
      <w:pPr>
        <w:jc w:val="both"/>
        <w:rPr>
          <w:bCs/>
          <w:color w:val="002060"/>
          <w:sz w:val="16"/>
          <w:szCs w:val="16"/>
        </w:rPr>
      </w:pPr>
    </w:p>
    <w:p w14:paraId="2A3EAB1A" w14:textId="77777777" w:rsidR="00093785" w:rsidRPr="00405303" w:rsidRDefault="00093785" w:rsidP="00C15251">
      <w:pPr>
        <w:jc w:val="both"/>
        <w:rPr>
          <w:bCs/>
          <w:color w:val="002060"/>
          <w:sz w:val="16"/>
          <w:szCs w:val="16"/>
        </w:rPr>
      </w:pPr>
      <w:r w:rsidRPr="00405303">
        <w:rPr>
          <w:bCs/>
          <w:color w:val="002060"/>
          <w:sz w:val="16"/>
          <w:szCs w:val="16"/>
        </w:rPr>
        <w:t>В октябре 1915 г. из статьи военного обозревателя австрийской газеты "Pester Loyd": "Было бы смешно говорить с неуважением о русских летчиках. Русские летчики более опасные враги, чем французы. Русские летчики хладнокровны. В атаках русских, быть может, отсутствует планомерность так же, как и у французов, но в воздухе русские летчики непоколебимы и могут переносить большие потери без всякой паники.</w:t>
      </w:r>
    </w:p>
    <w:p w14:paraId="4136D0A6" w14:textId="1A02883B" w:rsidR="00093785" w:rsidRPr="00405303" w:rsidRDefault="00093785" w:rsidP="00C15251">
      <w:pPr>
        <w:jc w:val="both"/>
        <w:rPr>
          <w:bCs/>
          <w:color w:val="002060"/>
          <w:sz w:val="16"/>
          <w:szCs w:val="16"/>
        </w:rPr>
      </w:pPr>
      <w:r w:rsidRPr="00405303">
        <w:rPr>
          <w:bCs/>
          <w:color w:val="002060"/>
          <w:sz w:val="16"/>
          <w:szCs w:val="16"/>
        </w:rPr>
        <w:t xml:space="preserve">Русский летчик есть и остается страшным противником </w:t>
      </w:r>
      <w:proofErr w:type="gramStart"/>
      <w:r w:rsidRPr="00405303">
        <w:rPr>
          <w:bCs/>
          <w:color w:val="002060"/>
          <w:sz w:val="16"/>
          <w:szCs w:val="16"/>
        </w:rPr>
        <w:t>"</w:t>
      </w:r>
      <w:r w:rsidR="000F5756">
        <w:rPr>
          <w:bCs/>
          <w:color w:val="002060"/>
          <w:sz w:val="16"/>
          <w:szCs w:val="16"/>
        </w:rPr>
        <w:t xml:space="preserve"> </w:t>
      </w:r>
      <w:r w:rsidRPr="00405303">
        <w:rPr>
          <w:bCs/>
          <w:color w:val="002060"/>
          <w:sz w:val="16"/>
          <w:szCs w:val="16"/>
        </w:rPr>
        <w:t xml:space="preserve"> (</w:t>
      </w:r>
      <w:proofErr w:type="gramEnd"/>
      <w:r w:rsidRPr="00405303">
        <w:rPr>
          <w:bCs/>
          <w:color w:val="002060"/>
          <w:sz w:val="16"/>
          <w:szCs w:val="16"/>
        </w:rPr>
        <w:t>11999).</w:t>
      </w:r>
    </w:p>
    <w:p w14:paraId="6EEF3FBA" w14:textId="77777777" w:rsidR="00093785" w:rsidRPr="00405303" w:rsidRDefault="00093785" w:rsidP="00C15251">
      <w:pPr>
        <w:jc w:val="both"/>
        <w:rPr>
          <w:bCs/>
          <w:color w:val="002060"/>
          <w:sz w:val="16"/>
          <w:szCs w:val="16"/>
        </w:rPr>
      </w:pPr>
    </w:p>
    <w:p w14:paraId="6B6CB116" w14:textId="77777777" w:rsidR="00093785" w:rsidRPr="00405303" w:rsidRDefault="00093785" w:rsidP="00C15251">
      <w:pPr>
        <w:jc w:val="both"/>
        <w:rPr>
          <w:bCs/>
          <w:color w:val="002060"/>
          <w:sz w:val="16"/>
          <w:szCs w:val="16"/>
        </w:rPr>
      </w:pPr>
      <w:r w:rsidRPr="00405303">
        <w:rPr>
          <w:bCs/>
          <w:color w:val="002060"/>
          <w:sz w:val="16"/>
          <w:szCs w:val="16"/>
        </w:rPr>
        <w:t>В октябре 1915 года LZ-85, базировавшийся в Алленштейне, сбросил около 12 000 кг бомб на мосты и железнодорожные пути в районах Двинска, Минска и Риги. Он совершил 15 и 16 ноября налеты на Двинск и сбросил 3600 кг бомб. В феврале 1916 года им была произведена бомбардировка Ковно, куда он вскоре и перебрался после взятия этого города немецкими войсками. Из Ковно LZ-86 бомбил Минск, Речицу, Двинск и железную дорогу Минск — Молодечно. За первые 5 полетов этого года он сбросил на русские города 9600 кг бомб (11324).</w:t>
      </w:r>
    </w:p>
    <w:p w14:paraId="43D29633" w14:textId="77777777" w:rsidR="00093785" w:rsidRPr="00405303" w:rsidRDefault="00093785" w:rsidP="00C15251">
      <w:pPr>
        <w:jc w:val="both"/>
        <w:rPr>
          <w:bCs/>
          <w:i/>
          <w:color w:val="002060"/>
          <w:sz w:val="16"/>
          <w:szCs w:val="16"/>
        </w:rPr>
      </w:pPr>
    </w:p>
    <w:p w14:paraId="00D8EA17" w14:textId="77777777" w:rsidR="00093785" w:rsidRPr="00405303" w:rsidRDefault="00093785"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С октября 1915 г. начали формироваться особые химические команды и отправляться на фронт. До начала 1917 г. было отправлено на фронт 13 химических команд, принимавших участие в боевых действиях. Запас сжиженного газа для боевого выступления вначале для каждой команды составлял по 1.875 пудов, затем к марту 1916 г. - 3.750 пудов и в конце того же года был доведен до 10.500 пудов. </w:t>
      </w:r>
    </w:p>
    <w:p w14:paraId="1C991361" w14:textId="77777777" w:rsidR="00093785" w:rsidRPr="00405303" w:rsidRDefault="00093785"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Кроме того, на фронте организованы были тыловые склады для пополнения убыли и снабжения химических команд новым специальным имуществом. </w:t>
      </w:r>
    </w:p>
    <w:p w14:paraId="37892B5C" w14:textId="77777777" w:rsidR="00093785" w:rsidRPr="00405303" w:rsidRDefault="00093785"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lastRenderedPageBreak/>
        <w:t xml:space="preserve">Для усиления всего газового и противогазового дела на фронтах были назначены особые штаб-офицеры, получившие специальную для этого подготовку как практическую, так и теоретическую в Химическом комитете при ГАУ. </w:t>
      </w:r>
    </w:p>
    <w:p w14:paraId="24513377" w14:textId="77777777" w:rsidR="00093785" w:rsidRPr="00405303" w:rsidRDefault="00093785"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С 1917 г. предполагалось для химической борьбы применять смеси не менее ядовитые, чем употребляли немцы, и по токсическому действию своему значительно превосходящие те, которые применялись нами до того времени (11483).</w:t>
      </w:r>
    </w:p>
    <w:p w14:paraId="5A301F84" w14:textId="77777777" w:rsidR="00093785" w:rsidRPr="00405303" w:rsidRDefault="00093785" w:rsidP="00C15251">
      <w:pPr>
        <w:pStyle w:val="a3"/>
        <w:jc w:val="both"/>
        <w:rPr>
          <w:bCs/>
          <w:i w:val="0"/>
          <w:color w:val="002060"/>
          <w:spacing w:val="0"/>
          <w:kern w:val="0"/>
          <w:position w:val="0"/>
          <w:sz w:val="16"/>
          <w:szCs w:val="16"/>
        </w:rPr>
      </w:pPr>
    </w:p>
    <w:p w14:paraId="4F189BB5" w14:textId="77777777" w:rsidR="007D6483" w:rsidRPr="00405303" w:rsidRDefault="007D6483" w:rsidP="00C15251">
      <w:pPr>
        <w:jc w:val="both"/>
        <w:rPr>
          <w:bCs/>
          <w:color w:val="002060"/>
          <w:sz w:val="16"/>
          <w:szCs w:val="16"/>
        </w:rPr>
      </w:pPr>
      <w:r w:rsidRPr="00405303">
        <w:rPr>
          <w:bCs/>
          <w:color w:val="002060"/>
          <w:sz w:val="16"/>
          <w:szCs w:val="16"/>
          <w:lang w:bidi="en-US"/>
        </w:rPr>
        <w:t>В октябре 1915 г. Военный совет наметил планы организации в авиационных и воздухоплавательных частях 34 радиостанций для улучшения связи между ними и частями фронта и тыла. Далее ничего не известно, были ли реализованы эти планы (23525).</w:t>
      </w:r>
    </w:p>
    <w:p w14:paraId="7E1A5E8B" w14:textId="77777777" w:rsidR="007D6483" w:rsidRPr="00405303" w:rsidRDefault="007D6483" w:rsidP="00C15251">
      <w:pPr>
        <w:jc w:val="both"/>
        <w:rPr>
          <w:bCs/>
          <w:color w:val="002060"/>
          <w:sz w:val="16"/>
          <w:szCs w:val="16"/>
          <w:lang w:bidi="en-US"/>
        </w:rPr>
      </w:pPr>
    </w:p>
    <w:p w14:paraId="54A9FAFF" w14:textId="77777777" w:rsidR="007D6483" w:rsidRPr="00405303" w:rsidRDefault="007D6483" w:rsidP="00C15251">
      <w:pPr>
        <w:jc w:val="both"/>
        <w:rPr>
          <w:bCs/>
          <w:color w:val="002060"/>
          <w:sz w:val="16"/>
          <w:szCs w:val="16"/>
          <w:lang w:bidi="en-US"/>
        </w:rPr>
      </w:pPr>
      <w:r w:rsidRPr="00405303">
        <w:rPr>
          <w:bCs/>
          <w:color w:val="002060"/>
          <w:sz w:val="16"/>
          <w:szCs w:val="16"/>
          <w:lang w:bidi="en-US"/>
        </w:rPr>
        <w:t xml:space="preserve">В октябре 1915 г. немцы отправили на русский фронт четыре одноместных истребителя </w:t>
      </w:r>
      <w:r w:rsidRPr="00405303">
        <w:rPr>
          <w:bCs/>
          <w:color w:val="002060"/>
          <w:sz w:val="16"/>
          <w:szCs w:val="16"/>
          <w:lang w:val="en-US" w:bidi="en-US"/>
        </w:rPr>
        <w:t>Fokker</w:t>
      </w:r>
      <w:r w:rsidRPr="00405303">
        <w:rPr>
          <w:bCs/>
          <w:color w:val="002060"/>
          <w:sz w:val="16"/>
          <w:szCs w:val="16"/>
          <w:lang w:bidi="en-US"/>
        </w:rPr>
        <w:t xml:space="preserve"> </w:t>
      </w:r>
      <w:r w:rsidRPr="00405303">
        <w:rPr>
          <w:bCs/>
          <w:color w:val="002060"/>
          <w:sz w:val="16"/>
          <w:szCs w:val="16"/>
          <w:lang w:val="en-US" w:bidi="en-US"/>
        </w:rPr>
        <w:t>E</w:t>
      </w:r>
      <w:r w:rsidRPr="00405303">
        <w:rPr>
          <w:bCs/>
          <w:color w:val="002060"/>
          <w:sz w:val="16"/>
          <w:szCs w:val="16"/>
          <w:lang w:bidi="en-US"/>
        </w:rPr>
        <w:t>.</w:t>
      </w:r>
      <w:r w:rsidRPr="00405303">
        <w:rPr>
          <w:bCs/>
          <w:color w:val="002060"/>
          <w:sz w:val="16"/>
          <w:szCs w:val="16"/>
          <w:lang w:val="en-US" w:bidi="en-US"/>
        </w:rPr>
        <w:t>II</w:t>
      </w:r>
      <w:r w:rsidRPr="00405303">
        <w:rPr>
          <w:bCs/>
          <w:color w:val="002060"/>
          <w:sz w:val="16"/>
          <w:szCs w:val="16"/>
          <w:lang w:bidi="en-US"/>
        </w:rPr>
        <w:t xml:space="preserve"> для защиты своих самолетов-разведчиков. На востоке будет постепенно увеличиваться количество воздушных боев (23525).</w:t>
      </w:r>
    </w:p>
    <w:p w14:paraId="180EF642" w14:textId="77777777" w:rsidR="007D6483" w:rsidRPr="00405303" w:rsidRDefault="007D6483" w:rsidP="00C15251">
      <w:pPr>
        <w:jc w:val="both"/>
        <w:rPr>
          <w:bCs/>
          <w:color w:val="002060"/>
          <w:sz w:val="16"/>
          <w:szCs w:val="16"/>
        </w:rPr>
      </w:pPr>
    </w:p>
    <w:p w14:paraId="110A11DA" w14:textId="77777777" w:rsidR="007D6483" w:rsidRPr="00405303" w:rsidRDefault="007D6483" w:rsidP="00C15251">
      <w:pPr>
        <w:jc w:val="both"/>
        <w:rPr>
          <w:bCs/>
          <w:color w:val="002060"/>
          <w:sz w:val="16"/>
          <w:szCs w:val="16"/>
        </w:rPr>
      </w:pPr>
      <w:r w:rsidRPr="00405303">
        <w:rPr>
          <w:bCs/>
          <w:color w:val="002060"/>
          <w:sz w:val="16"/>
          <w:szCs w:val="16"/>
          <w:lang w:bidi="en-US"/>
        </w:rPr>
        <w:t xml:space="preserve">В октябре 1915 года дирижабль немецкой армии </w:t>
      </w:r>
      <w:r w:rsidRPr="00405303">
        <w:rPr>
          <w:bCs/>
          <w:color w:val="002060"/>
          <w:sz w:val="16"/>
          <w:szCs w:val="16"/>
          <w:lang w:val="en-US" w:bidi="en-US"/>
        </w:rPr>
        <w:t>LZ</w:t>
      </w:r>
      <w:r w:rsidRPr="00405303">
        <w:rPr>
          <w:bCs/>
          <w:color w:val="002060"/>
          <w:sz w:val="16"/>
          <w:szCs w:val="16"/>
          <w:lang w:bidi="en-US"/>
        </w:rPr>
        <w:t>.86 (</w:t>
      </w:r>
      <w:r w:rsidRPr="00405303">
        <w:rPr>
          <w:bCs/>
          <w:color w:val="002060"/>
          <w:sz w:val="16"/>
          <w:szCs w:val="16"/>
          <w:lang w:val="en-US" w:bidi="en-US"/>
        </w:rPr>
        <w:t>LZ</w:t>
      </w:r>
      <w:r w:rsidRPr="00405303">
        <w:rPr>
          <w:bCs/>
          <w:color w:val="002060"/>
          <w:sz w:val="16"/>
          <w:szCs w:val="16"/>
          <w:lang w:bidi="en-US"/>
        </w:rPr>
        <w:t>.56) начал действовать со своей базы в Алленштайне в Восточной Пруссии. В феврале 1916 года переведена в Ковно. До конца июня 1916 года совершала рейды на Двинск, Режицу, Минск и Молодечно. В июле ее перевели в Дрезден, где в 1916 году она служила на румынском фронте (23525).</w:t>
      </w:r>
    </w:p>
    <w:p w14:paraId="4A5BA3CC" w14:textId="77777777" w:rsidR="007D6483" w:rsidRPr="00405303" w:rsidRDefault="007D6483" w:rsidP="00C15251">
      <w:pPr>
        <w:jc w:val="both"/>
        <w:rPr>
          <w:bCs/>
          <w:color w:val="002060"/>
          <w:sz w:val="16"/>
          <w:szCs w:val="16"/>
        </w:rPr>
      </w:pPr>
    </w:p>
    <w:p w14:paraId="23D63741" w14:textId="77777777" w:rsidR="007D6483" w:rsidRPr="00405303" w:rsidRDefault="007D6483" w:rsidP="00C15251">
      <w:pPr>
        <w:jc w:val="both"/>
        <w:rPr>
          <w:bCs/>
          <w:color w:val="002060"/>
          <w:sz w:val="16"/>
          <w:szCs w:val="16"/>
        </w:rPr>
      </w:pPr>
      <w:r w:rsidRPr="00405303">
        <w:rPr>
          <w:bCs/>
          <w:color w:val="002060"/>
          <w:sz w:val="16"/>
          <w:szCs w:val="16"/>
          <w:lang w:bidi="en-US"/>
        </w:rPr>
        <w:t xml:space="preserve">В течение октября 1915 г. дирижабль немецкой армии </w:t>
      </w:r>
      <w:r w:rsidRPr="00405303">
        <w:rPr>
          <w:bCs/>
          <w:color w:val="002060"/>
          <w:sz w:val="16"/>
          <w:szCs w:val="16"/>
          <w:lang w:val="en-US" w:bidi="en-US"/>
        </w:rPr>
        <w:t>LZ</w:t>
      </w:r>
      <w:r w:rsidRPr="00405303">
        <w:rPr>
          <w:bCs/>
          <w:color w:val="002060"/>
          <w:sz w:val="16"/>
          <w:szCs w:val="16"/>
          <w:lang w:bidi="en-US"/>
        </w:rPr>
        <w:t>.85 (</w:t>
      </w:r>
      <w:r w:rsidRPr="00405303">
        <w:rPr>
          <w:bCs/>
          <w:color w:val="002060"/>
          <w:sz w:val="16"/>
          <w:szCs w:val="16"/>
          <w:lang w:val="en-US" w:bidi="en-US"/>
        </w:rPr>
        <w:t>LZ</w:t>
      </w:r>
      <w:r w:rsidRPr="00405303">
        <w:rPr>
          <w:bCs/>
          <w:color w:val="002060"/>
          <w:sz w:val="16"/>
          <w:szCs w:val="16"/>
          <w:lang w:bidi="en-US"/>
        </w:rPr>
        <w:t>-55), базировавшийся в Алленштейне в Восточной Пруссии, совершал налеты на Двинск, Минск и Ригу. В январе 1916 года она была отозвана в Лигниц для перевода в Сентандрас, недалеко от Темешвара в Венгрии, для операций на Македонском фронте (23525).</w:t>
      </w:r>
    </w:p>
    <w:p w14:paraId="6C126EEF" w14:textId="77777777" w:rsidR="007D6483" w:rsidRPr="00405303" w:rsidRDefault="007D6483" w:rsidP="00C15251">
      <w:pPr>
        <w:jc w:val="both"/>
        <w:rPr>
          <w:bCs/>
          <w:color w:val="002060"/>
          <w:sz w:val="16"/>
          <w:szCs w:val="16"/>
        </w:rPr>
      </w:pPr>
    </w:p>
    <w:p w14:paraId="1EC8F653" w14:textId="77777777" w:rsidR="007A095B" w:rsidRPr="00405303" w:rsidRDefault="007A095B" w:rsidP="00C15251">
      <w:pPr>
        <w:jc w:val="both"/>
        <w:rPr>
          <w:bCs/>
          <w:color w:val="002060"/>
          <w:sz w:val="16"/>
          <w:szCs w:val="16"/>
        </w:rPr>
      </w:pPr>
      <w:r w:rsidRPr="00405303">
        <w:rPr>
          <w:bCs/>
          <w:color w:val="002060"/>
          <w:sz w:val="16"/>
          <w:szCs w:val="16"/>
        </w:rPr>
        <w:t xml:space="preserve">В октябре 1915 г. местом нового базирования цеппелина LZ-39 стала г. Варшава. Ранее он, с началом вывода русских войск из Польши, был переброшен в г. Шнейдемюль (Пила). Оттуда он совершил несколько налетов на г. Ровно. В августе 1915 г. дирижабль произвел бомбардировку Новогеоргиевской крепости и Новоминска, сбросив на них по 0,5 тонны бомб. Для работы в глубоком тылу </w:t>
      </w:r>
      <w:bookmarkStart w:id="297" w:name="bookmark260"/>
      <w:r w:rsidRPr="00405303">
        <w:rPr>
          <w:bCs/>
          <w:color w:val="002060"/>
          <w:sz w:val="16"/>
          <w:szCs w:val="16"/>
        </w:rPr>
        <w:t>действующей русской армии на фронт прибыли дирижабли большей мощности. LZ-85 получил свою прописку в г. Кёнигсберг, а LZ-86 - в Алленштейне. Появление новых цеппелинов не замедлило сказаться на интенсивности воздушных налетов на наши города. Так, в период октября LZ-85 совершил три налета и подверг бомбардировке г. Двинск, Минск и Рига, сбросив на них в общей сложности 10,6 тонны бомб. В дальнейшем, ввиду неблагоприятной зимней погоды, цеппелин был переведен на Балканский фронт.</w:t>
      </w:r>
    </w:p>
    <w:p w14:paraId="1E9E7FAF" w14:textId="77777777" w:rsidR="007A095B" w:rsidRPr="00405303" w:rsidRDefault="007A095B" w:rsidP="00C15251">
      <w:pPr>
        <w:jc w:val="both"/>
        <w:rPr>
          <w:bCs/>
          <w:color w:val="002060"/>
          <w:sz w:val="16"/>
          <w:szCs w:val="16"/>
        </w:rPr>
      </w:pPr>
      <w:r w:rsidRPr="00405303">
        <w:rPr>
          <w:bCs/>
          <w:color w:val="002060"/>
          <w:sz w:val="16"/>
          <w:szCs w:val="16"/>
        </w:rPr>
        <w:t>Помимо сухопутных дирижаблей для боевых действий на Восточном фронте были привлечены и воздушные корабли SL-7, LZ- 88, LZ-89 морского ведомства Германии, пришедшие на замену погибших ранее в катастрофах дирижаблей SL-4, SL-6, L-38 и др. Помимо приморских районов они задействовались и для совершения налетов на объекты, расположенные на значительном расстоянии от моря (23405).</w:t>
      </w:r>
      <w:bookmarkEnd w:id="297"/>
    </w:p>
    <w:p w14:paraId="41951286" w14:textId="77777777" w:rsidR="007A095B" w:rsidRPr="00405303" w:rsidRDefault="007A095B" w:rsidP="00C15251">
      <w:pPr>
        <w:jc w:val="both"/>
        <w:rPr>
          <w:bCs/>
          <w:color w:val="002060"/>
          <w:sz w:val="16"/>
          <w:szCs w:val="16"/>
        </w:rPr>
      </w:pPr>
    </w:p>
    <w:p w14:paraId="2C8CE455" w14:textId="77777777" w:rsidR="007D6483" w:rsidRPr="00405303" w:rsidRDefault="007D6483" w:rsidP="00C15251">
      <w:pPr>
        <w:jc w:val="both"/>
        <w:rPr>
          <w:bCs/>
          <w:color w:val="002060"/>
          <w:sz w:val="16"/>
          <w:szCs w:val="16"/>
        </w:rPr>
      </w:pPr>
      <w:r w:rsidRPr="00405303">
        <w:rPr>
          <w:bCs/>
          <w:color w:val="002060"/>
          <w:sz w:val="16"/>
          <w:szCs w:val="16"/>
          <w:lang w:bidi="en-US"/>
        </w:rPr>
        <w:t>В октябре 1915 г. на Северо-Западном фронте была создана русская 1-я батарея авиационной артиллерийской бригады (23525).</w:t>
      </w:r>
    </w:p>
    <w:p w14:paraId="34204C99" w14:textId="77777777" w:rsidR="007D6483" w:rsidRPr="00405303" w:rsidRDefault="007D6483" w:rsidP="00C15251">
      <w:pPr>
        <w:jc w:val="both"/>
        <w:rPr>
          <w:bCs/>
          <w:color w:val="002060"/>
          <w:sz w:val="16"/>
          <w:szCs w:val="16"/>
          <w:lang w:bidi="en-US"/>
        </w:rPr>
      </w:pPr>
    </w:p>
    <w:p w14:paraId="0AAF94F8" w14:textId="77777777" w:rsidR="007A095B" w:rsidRPr="00405303" w:rsidRDefault="007A095B" w:rsidP="00C15251">
      <w:pPr>
        <w:jc w:val="both"/>
        <w:rPr>
          <w:bCs/>
          <w:color w:val="002060"/>
          <w:sz w:val="16"/>
          <w:szCs w:val="16"/>
        </w:rPr>
      </w:pPr>
      <w:r w:rsidRPr="00405303">
        <w:rPr>
          <w:bCs/>
          <w:color w:val="002060"/>
          <w:sz w:val="16"/>
          <w:szCs w:val="16"/>
          <w:lang w:bidi="ru-RU"/>
        </w:rPr>
        <w:t>В октябре 1915 г. из состава эскад</w:t>
      </w:r>
      <w:r w:rsidRPr="00405303">
        <w:rPr>
          <w:bCs/>
          <w:color w:val="002060"/>
          <w:sz w:val="16"/>
          <w:szCs w:val="16"/>
          <w:lang w:bidi="ru-RU"/>
        </w:rPr>
        <w:softHyphen/>
        <w:t>ры выделили боевой отряд в количестве 5-6 машин, которые до конца года базирова</w:t>
      </w:r>
      <w:r w:rsidRPr="00405303">
        <w:rPr>
          <w:bCs/>
          <w:color w:val="002060"/>
          <w:sz w:val="16"/>
          <w:szCs w:val="16"/>
          <w:lang w:bidi="ru-RU"/>
        </w:rPr>
        <w:softHyphen/>
        <w:t>лись под Ригой (станция Зегевольд) и дей</w:t>
      </w:r>
      <w:r w:rsidRPr="00405303">
        <w:rPr>
          <w:bCs/>
          <w:color w:val="002060"/>
          <w:sz w:val="16"/>
          <w:szCs w:val="16"/>
          <w:lang w:bidi="ru-RU"/>
        </w:rPr>
        <w:softHyphen/>
        <w:t>ствовали в интересах Северного фронта. Две машины отправили на Юго-Западный фронт с базированием в Колодзиевке (23374).</w:t>
      </w:r>
    </w:p>
    <w:p w14:paraId="0CF2AE29" w14:textId="77777777" w:rsidR="007A095B" w:rsidRPr="00405303" w:rsidRDefault="007A095B" w:rsidP="00C15251">
      <w:pPr>
        <w:jc w:val="both"/>
        <w:rPr>
          <w:bCs/>
          <w:color w:val="002060"/>
          <w:sz w:val="16"/>
          <w:szCs w:val="16"/>
        </w:rPr>
      </w:pPr>
    </w:p>
    <w:p w14:paraId="551019FC" w14:textId="77777777" w:rsidR="007A095B" w:rsidRPr="00405303" w:rsidRDefault="007A095B" w:rsidP="00C15251">
      <w:pPr>
        <w:jc w:val="both"/>
        <w:rPr>
          <w:bCs/>
          <w:color w:val="002060"/>
          <w:sz w:val="16"/>
          <w:szCs w:val="16"/>
        </w:rPr>
      </w:pPr>
      <w:r w:rsidRPr="00405303">
        <w:rPr>
          <w:bCs/>
          <w:color w:val="002060"/>
          <w:sz w:val="16"/>
          <w:szCs w:val="16"/>
        </w:rPr>
        <w:t>На октябрь 1915 г. противник располагал тремя боевыми «двухвостыми» аэропланами (23405).</w:t>
      </w:r>
    </w:p>
    <w:p w14:paraId="65C1B023" w14:textId="77777777" w:rsidR="007A095B" w:rsidRPr="00405303" w:rsidRDefault="007A095B" w:rsidP="00C15251">
      <w:pPr>
        <w:jc w:val="both"/>
        <w:rPr>
          <w:bCs/>
          <w:color w:val="002060"/>
          <w:sz w:val="16"/>
          <w:szCs w:val="16"/>
        </w:rPr>
      </w:pPr>
    </w:p>
    <w:p w14:paraId="2B94E507" w14:textId="77777777" w:rsidR="002C470C" w:rsidRPr="00B52707" w:rsidRDefault="002C470C" w:rsidP="002C470C">
      <w:pPr>
        <w:jc w:val="both"/>
        <w:rPr>
          <w:color w:val="0070C0"/>
          <w:sz w:val="16"/>
          <w:szCs w:val="16"/>
        </w:rPr>
      </w:pPr>
      <w:r w:rsidRPr="00B52707">
        <w:rPr>
          <w:rStyle w:val="aa"/>
          <w:rFonts w:ascii="Times New Roman" w:hAnsi="Times New Roman"/>
          <w:color w:val="0070C0"/>
          <w:spacing w:val="0"/>
          <w:sz w:val="16"/>
          <w:szCs w:val="16"/>
        </w:rPr>
        <w:t>В октябре 1915 года временный штат «Штаба обороны от воздушного нападения Императорской резиденции в Царском Селе и Петрограде» определял его состав в количестве шести офицеров и 412 нижних чинов (категория начальника воздушной обороны повышалась до воинского звания «генерал-лейтенант»</w:t>
      </w:r>
      <w:r w:rsidRPr="00B52707">
        <w:rPr>
          <w:rStyle w:val="aa"/>
          <w:rFonts w:ascii="Times New Roman" w:hAnsi="Times New Roman"/>
          <w:color w:val="0070C0"/>
          <w:spacing w:val="0"/>
          <w:sz w:val="16"/>
          <w:szCs w:val="16"/>
          <w:vertAlign w:val="superscript"/>
        </w:rPr>
        <w:t>53</w:t>
      </w:r>
      <w:r w:rsidRPr="00B52707">
        <w:rPr>
          <w:rStyle w:val="aa"/>
          <w:rFonts w:ascii="Times New Roman" w:hAnsi="Times New Roman"/>
          <w:color w:val="0070C0"/>
          <w:spacing w:val="0"/>
          <w:sz w:val="16"/>
          <w:szCs w:val="16"/>
        </w:rPr>
        <w:t>, должность начальника штаба ВоздО - до старшего офицера по инженерным войскам дополнительно начальнику Петроградского района ВоздО в общем порядке службы и хозяйственном отношении предоставлялись права начальника отдела управления, подчиненного главному начальнику снабжения армий фронта (25166).</w:t>
      </w:r>
    </w:p>
    <w:p w14:paraId="0A230015" w14:textId="77777777" w:rsidR="002C470C" w:rsidRPr="00B52707" w:rsidRDefault="002C470C" w:rsidP="002C470C">
      <w:pPr>
        <w:jc w:val="both"/>
        <w:rPr>
          <w:rStyle w:val="aa"/>
          <w:rFonts w:ascii="Times New Roman" w:hAnsi="Times New Roman"/>
          <w:color w:val="0070C0"/>
          <w:spacing w:val="0"/>
          <w:sz w:val="16"/>
          <w:szCs w:val="16"/>
        </w:rPr>
      </w:pPr>
    </w:p>
    <w:p w14:paraId="2151BB1E"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57843035" w14:textId="77777777" w:rsidR="004B4E35" w:rsidRPr="00405303" w:rsidRDefault="004B4E35" w:rsidP="00C15251">
      <w:pPr>
        <w:jc w:val="both"/>
        <w:rPr>
          <w:bCs/>
          <w:i/>
          <w:color w:val="002060"/>
          <w:sz w:val="16"/>
          <w:szCs w:val="16"/>
        </w:rPr>
      </w:pPr>
    </w:p>
    <w:p w14:paraId="053A57F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октябре 1915, после вступления в войну Болгарии на стороне Германии и Турции, была проведена атака на базу немецких подвод</w:t>
      </w:r>
      <w:r w:rsidRPr="00405303">
        <w:rPr>
          <w:bCs/>
          <w:color w:val="002060"/>
          <w:sz w:val="16"/>
          <w:szCs w:val="16"/>
        </w:rPr>
        <w:softHyphen/>
        <w:t>ных лодок в районе Варны. В ней участвовали «Импера</w:t>
      </w:r>
      <w:r w:rsidRPr="00405303">
        <w:rPr>
          <w:bCs/>
          <w:color w:val="002060"/>
          <w:sz w:val="16"/>
          <w:szCs w:val="16"/>
        </w:rPr>
        <w:softHyphen/>
        <w:t>тор Николай I» и крейсер «Алмаз», несущие на борту гид</w:t>
      </w:r>
      <w:r w:rsidRPr="00405303">
        <w:rPr>
          <w:bCs/>
          <w:color w:val="002060"/>
          <w:sz w:val="16"/>
          <w:szCs w:val="16"/>
        </w:rPr>
        <w:softHyphen/>
        <w:t>росамолеты (11107).</w:t>
      </w:r>
    </w:p>
    <w:p w14:paraId="2A4C879A" w14:textId="77777777" w:rsidR="004B4E35" w:rsidRPr="00405303" w:rsidRDefault="004B4E35" w:rsidP="00C15251">
      <w:pPr>
        <w:shd w:val="clear" w:color="auto" w:fill="FFFFFF"/>
        <w:jc w:val="both"/>
        <w:rPr>
          <w:bCs/>
          <w:color w:val="002060"/>
          <w:sz w:val="16"/>
          <w:szCs w:val="16"/>
        </w:rPr>
      </w:pPr>
    </w:p>
    <w:p w14:paraId="54FAEA9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октябре 1915 «Орлица» прикрывала высадку русского десанта на курляндском по</w:t>
      </w:r>
      <w:r w:rsidRPr="00405303">
        <w:rPr>
          <w:bCs/>
          <w:color w:val="002060"/>
          <w:sz w:val="16"/>
          <w:szCs w:val="16"/>
        </w:rPr>
        <w:softHyphen/>
        <w:t>бережье у Доменеса. В зимний период активность боевых действий на море спала, а к началу лета 1916 г. «Орлица» приняла на борт более совершенные летающие лодки М-9 конструкции Д.П.Григоровича. 4 июля самолеты «Орлицы» прикрывали с воздуха линкор «Слава» и несколько миноносцев, ве</w:t>
      </w:r>
      <w:r w:rsidRPr="00405303">
        <w:rPr>
          <w:bCs/>
          <w:color w:val="002060"/>
          <w:sz w:val="16"/>
          <w:szCs w:val="16"/>
        </w:rPr>
        <w:softHyphen/>
        <w:t>дущих обстрел немецких береговых батарей у мыса Раго-цем. В ходе операции четверку русских М-9 атаковали че</w:t>
      </w:r>
      <w:r w:rsidRPr="00405303">
        <w:rPr>
          <w:bCs/>
          <w:color w:val="002060"/>
          <w:sz w:val="16"/>
          <w:szCs w:val="16"/>
        </w:rPr>
        <w:softHyphen/>
        <w:t>тыре вражеских гидроплана с немецкого авиатранспорта, однако два из них были сбиты воздушными стрелками «девяток». Поднятые из воды немецкие пило</w:t>
      </w:r>
      <w:r w:rsidRPr="00405303">
        <w:rPr>
          <w:bCs/>
          <w:color w:val="002060"/>
          <w:sz w:val="16"/>
          <w:szCs w:val="16"/>
        </w:rPr>
        <w:softHyphen/>
        <w:t>ты рассказали, что целью их нападения являлось уничто</w:t>
      </w:r>
      <w:r w:rsidRPr="00405303">
        <w:rPr>
          <w:bCs/>
          <w:color w:val="002060"/>
          <w:sz w:val="16"/>
          <w:szCs w:val="16"/>
        </w:rPr>
        <w:softHyphen/>
        <w:t>жение «Орлицы», как наиболее досаждающего своими действиями корабля (11107).</w:t>
      </w:r>
    </w:p>
    <w:p w14:paraId="3907C122" w14:textId="77777777" w:rsidR="004B4E35" w:rsidRPr="00405303" w:rsidRDefault="004B4E35" w:rsidP="00C15251">
      <w:pPr>
        <w:shd w:val="clear" w:color="auto" w:fill="FFFFFF"/>
        <w:jc w:val="both"/>
        <w:rPr>
          <w:bCs/>
          <w:color w:val="002060"/>
          <w:sz w:val="16"/>
          <w:szCs w:val="16"/>
        </w:rPr>
      </w:pPr>
    </w:p>
    <w:p w14:paraId="79891A5A" w14:textId="434D1CAF" w:rsidR="004B4E35" w:rsidRPr="00405303" w:rsidRDefault="009E6F82" w:rsidP="00C15251">
      <w:pPr>
        <w:jc w:val="both"/>
        <w:rPr>
          <w:bCs/>
          <w:color w:val="002060"/>
          <w:sz w:val="16"/>
          <w:szCs w:val="16"/>
        </w:rPr>
      </w:pPr>
      <w:r w:rsidRPr="00405303">
        <w:rPr>
          <w:bCs/>
          <w:color w:val="002060"/>
          <w:sz w:val="16"/>
          <w:szCs w:val="16"/>
        </w:rPr>
        <w:t xml:space="preserve">В октябре </w:t>
      </w:r>
      <w:r w:rsidR="00093785" w:rsidRPr="00405303">
        <w:rPr>
          <w:bCs/>
          <w:color w:val="002060"/>
          <w:sz w:val="16"/>
          <w:szCs w:val="16"/>
        </w:rPr>
        <w:t xml:space="preserve">1915 г. </w:t>
      </w:r>
      <w:r w:rsidRPr="00405303">
        <w:rPr>
          <w:bCs/>
          <w:color w:val="002060"/>
          <w:sz w:val="16"/>
          <w:szCs w:val="16"/>
        </w:rPr>
        <w:t>самолёты "Орлицы" обеспечивали высадку десанта у маяка Домеснес, произведя разведку берега. Десант оказался успешным. Из-за осенних штормов и ранних заморозков авиатранспорт "Орлица" ушёл на зимовку в Гельсингфорс.</w:t>
      </w:r>
    </w:p>
    <w:p w14:paraId="1BC4E935" w14:textId="77777777" w:rsidR="004B4E35" w:rsidRPr="00405303" w:rsidRDefault="009E6F82" w:rsidP="00C15251">
      <w:pPr>
        <w:jc w:val="both"/>
        <w:rPr>
          <w:bCs/>
          <w:color w:val="002060"/>
          <w:sz w:val="16"/>
          <w:szCs w:val="16"/>
        </w:rPr>
      </w:pPr>
      <w:r w:rsidRPr="00405303">
        <w:rPr>
          <w:bCs/>
          <w:color w:val="002060"/>
          <w:sz w:val="16"/>
          <w:szCs w:val="16"/>
        </w:rPr>
        <w:t xml:space="preserve">В конце 1915 г. для продолжения службы в балтийской авиации прибыли: лейтенант В.В.Дитерихс, мичманы Б.П. Берг, А.Н.Горковенко, братья Олег и Игорь Зайцевские, Петров, А.И.Макаревич, прапорщик из студентов политехникуме </w:t>
      </w:r>
      <w:proofErr w:type="gramStart"/>
      <w:r w:rsidRPr="00405303">
        <w:rPr>
          <w:bCs/>
          <w:color w:val="002060"/>
          <w:sz w:val="16"/>
          <w:szCs w:val="16"/>
        </w:rPr>
        <w:t>Антонен- ко</w:t>
      </w:r>
      <w:proofErr w:type="gramEnd"/>
      <w:r w:rsidRPr="00405303">
        <w:rPr>
          <w:bCs/>
          <w:color w:val="002060"/>
          <w:sz w:val="16"/>
          <w:szCs w:val="16"/>
        </w:rPr>
        <w:t>, волонтер студент Матвеев и др.</w:t>
      </w:r>
    </w:p>
    <w:p w14:paraId="6C334921" w14:textId="77777777" w:rsidR="004B4E35" w:rsidRPr="00405303" w:rsidRDefault="009E6F82" w:rsidP="00C15251">
      <w:pPr>
        <w:jc w:val="both"/>
        <w:rPr>
          <w:bCs/>
          <w:color w:val="002060"/>
          <w:sz w:val="16"/>
          <w:szCs w:val="16"/>
        </w:rPr>
      </w:pPr>
      <w:r w:rsidRPr="00405303">
        <w:rPr>
          <w:bCs/>
          <w:color w:val="002060"/>
          <w:sz w:val="16"/>
          <w:szCs w:val="16"/>
        </w:rPr>
        <w:t>За 1915 г. немцы потеряли всего три дирижабля, пять самолётов, три экипажа попали в плен (11927).</w:t>
      </w:r>
    </w:p>
    <w:p w14:paraId="06895DA5" w14:textId="77777777" w:rsidR="004B4E35" w:rsidRPr="00405303" w:rsidRDefault="004B4E35" w:rsidP="00C15251">
      <w:pPr>
        <w:jc w:val="both"/>
        <w:rPr>
          <w:bCs/>
          <w:color w:val="002060"/>
          <w:sz w:val="16"/>
          <w:szCs w:val="16"/>
        </w:rPr>
      </w:pPr>
    </w:p>
    <w:p w14:paraId="5EDA30B9" w14:textId="5D6A7F83" w:rsidR="004B4E35" w:rsidRPr="00405303" w:rsidRDefault="009E6F82" w:rsidP="00C15251">
      <w:pPr>
        <w:jc w:val="both"/>
        <w:rPr>
          <w:bCs/>
          <w:color w:val="002060"/>
          <w:sz w:val="16"/>
          <w:szCs w:val="16"/>
        </w:rPr>
      </w:pPr>
      <w:r w:rsidRPr="00405303">
        <w:rPr>
          <w:bCs/>
          <w:color w:val="002060"/>
          <w:sz w:val="16"/>
          <w:szCs w:val="16"/>
        </w:rPr>
        <w:t xml:space="preserve">В октябре </w:t>
      </w:r>
      <w:r w:rsidR="00093785" w:rsidRPr="00405303">
        <w:rPr>
          <w:bCs/>
          <w:color w:val="002060"/>
          <w:sz w:val="16"/>
          <w:szCs w:val="16"/>
        </w:rPr>
        <w:t xml:space="preserve">1915 г. </w:t>
      </w:r>
      <w:r w:rsidRPr="00405303">
        <w:rPr>
          <w:bCs/>
          <w:color w:val="002060"/>
          <w:sz w:val="16"/>
          <w:szCs w:val="16"/>
        </w:rPr>
        <w:t>«Орлица» прикрывала высадку рус</w:t>
      </w:r>
      <w:r w:rsidRPr="00405303">
        <w:rPr>
          <w:bCs/>
          <w:color w:val="002060"/>
          <w:sz w:val="16"/>
          <w:szCs w:val="16"/>
        </w:rPr>
        <w:softHyphen/>
        <w:t>ского десанта на курляндском по</w:t>
      </w:r>
      <w:r w:rsidRPr="00405303">
        <w:rPr>
          <w:bCs/>
          <w:color w:val="002060"/>
          <w:sz w:val="16"/>
          <w:szCs w:val="16"/>
        </w:rPr>
        <w:softHyphen/>
        <w:t>бережье у Доместеса.</w:t>
      </w:r>
    </w:p>
    <w:p w14:paraId="738C025E" w14:textId="77777777" w:rsidR="004B4E35" w:rsidRPr="00405303" w:rsidRDefault="009E6F82" w:rsidP="00C15251">
      <w:pPr>
        <w:jc w:val="both"/>
        <w:rPr>
          <w:bCs/>
          <w:color w:val="002060"/>
          <w:sz w:val="16"/>
          <w:szCs w:val="16"/>
        </w:rPr>
      </w:pPr>
      <w:r w:rsidRPr="00405303">
        <w:rPr>
          <w:bCs/>
          <w:color w:val="002060"/>
          <w:sz w:val="16"/>
          <w:szCs w:val="16"/>
        </w:rPr>
        <w:t>В начале 1915 г. для этой цели использовали пароход «Императри</w:t>
      </w:r>
      <w:r w:rsidRPr="00405303">
        <w:rPr>
          <w:bCs/>
          <w:color w:val="002060"/>
          <w:sz w:val="16"/>
          <w:szCs w:val="16"/>
        </w:rPr>
        <w:softHyphen/>
        <w:t>ца Александра», получивший после проведенной модернизации наиме</w:t>
      </w:r>
      <w:r w:rsidRPr="00405303">
        <w:rPr>
          <w:bCs/>
          <w:color w:val="002060"/>
          <w:sz w:val="16"/>
          <w:szCs w:val="16"/>
        </w:rPr>
        <w:softHyphen/>
        <w:t>нование авиабаза «Орлица». Ко</w:t>
      </w:r>
      <w:r w:rsidRPr="00405303">
        <w:rPr>
          <w:bCs/>
          <w:color w:val="002060"/>
          <w:sz w:val="16"/>
          <w:szCs w:val="16"/>
        </w:rPr>
        <w:softHyphen/>
        <w:t>рабль имел на верхней палубе два навеса-ангара, вмещавшие по два самолета. Еще один самолет в ра</w:t>
      </w:r>
      <w:r w:rsidRPr="00405303">
        <w:rPr>
          <w:bCs/>
          <w:color w:val="002060"/>
          <w:sz w:val="16"/>
          <w:szCs w:val="16"/>
        </w:rPr>
        <w:softHyphen/>
        <w:t>зобранном виде хранился в трюм</w:t>
      </w:r>
      <w:r w:rsidRPr="00405303">
        <w:rPr>
          <w:bCs/>
          <w:color w:val="002060"/>
          <w:sz w:val="16"/>
          <w:szCs w:val="16"/>
        </w:rPr>
        <w:softHyphen/>
        <w:t>ном отделении. На борту хранились необходимые запасы топлива и бомб, были устроены мастерские для ремонта самолетов и двигате</w:t>
      </w:r>
      <w:r w:rsidRPr="00405303">
        <w:rPr>
          <w:bCs/>
          <w:color w:val="002060"/>
          <w:sz w:val="16"/>
          <w:szCs w:val="16"/>
        </w:rPr>
        <w:softHyphen/>
        <w:t>лей. После окончания переобору</w:t>
      </w:r>
      <w:r w:rsidRPr="00405303">
        <w:rPr>
          <w:bCs/>
          <w:color w:val="002060"/>
          <w:sz w:val="16"/>
          <w:szCs w:val="16"/>
        </w:rPr>
        <w:softHyphen/>
        <w:t>дования на «Орлицу» перевели ле</w:t>
      </w:r>
      <w:r w:rsidRPr="00405303">
        <w:rPr>
          <w:bCs/>
          <w:color w:val="002060"/>
          <w:sz w:val="16"/>
          <w:szCs w:val="16"/>
        </w:rPr>
        <w:softHyphen/>
        <w:t>тающие лодки РВА с экипажами с закрытой береговой станции в Гель</w:t>
      </w:r>
      <w:r w:rsidRPr="00405303">
        <w:rPr>
          <w:bCs/>
          <w:color w:val="002060"/>
          <w:sz w:val="16"/>
          <w:szCs w:val="16"/>
        </w:rPr>
        <w:softHyphen/>
        <w:t>сингфорсе.</w:t>
      </w:r>
    </w:p>
    <w:p w14:paraId="5D43D632" w14:textId="77777777" w:rsidR="004B4E35" w:rsidRPr="00405303" w:rsidRDefault="009E6F82" w:rsidP="00C15251">
      <w:pPr>
        <w:jc w:val="both"/>
        <w:rPr>
          <w:bCs/>
          <w:color w:val="002060"/>
          <w:sz w:val="16"/>
          <w:szCs w:val="16"/>
        </w:rPr>
      </w:pPr>
      <w:r w:rsidRPr="00405303">
        <w:rPr>
          <w:bCs/>
          <w:color w:val="002060"/>
          <w:sz w:val="16"/>
          <w:szCs w:val="16"/>
        </w:rPr>
        <w:t>В зимний период активность боевых действий на море спала, а к началу летнего периода 1916 г. «Орлица» приняла на борт более совершенные летающие лодки М-9. 4 июля самолеты «Орлицы» прикры</w:t>
      </w:r>
      <w:r w:rsidRPr="00405303">
        <w:rPr>
          <w:bCs/>
          <w:color w:val="002060"/>
          <w:sz w:val="16"/>
          <w:szCs w:val="16"/>
        </w:rPr>
        <w:softHyphen/>
        <w:t>вали с воздуха линкор «Слава» и несколько миноносцев, ведущих обстрел немецких береговых бата</w:t>
      </w:r>
      <w:r w:rsidRPr="00405303">
        <w:rPr>
          <w:bCs/>
          <w:color w:val="002060"/>
          <w:sz w:val="16"/>
          <w:szCs w:val="16"/>
        </w:rPr>
        <w:softHyphen/>
        <w:t>рей у мыса Рагоцен. В ходе опера</w:t>
      </w:r>
      <w:r w:rsidRPr="00405303">
        <w:rPr>
          <w:bCs/>
          <w:color w:val="002060"/>
          <w:sz w:val="16"/>
          <w:szCs w:val="16"/>
        </w:rPr>
        <w:softHyphen/>
        <w:t>ции четверку русских М-9 атакова</w:t>
      </w:r>
      <w:r w:rsidRPr="00405303">
        <w:rPr>
          <w:bCs/>
          <w:color w:val="002060"/>
          <w:sz w:val="16"/>
          <w:szCs w:val="16"/>
        </w:rPr>
        <w:softHyphen/>
        <w:t>ли 4 вражеских гидроплана с не</w:t>
      </w:r>
      <w:r w:rsidRPr="00405303">
        <w:rPr>
          <w:bCs/>
          <w:color w:val="002060"/>
          <w:sz w:val="16"/>
          <w:szCs w:val="16"/>
        </w:rPr>
        <w:softHyphen/>
        <w:t>мецкого авиатранспорта «СПпс1ег», однако два из них были сбиты воз</w:t>
      </w:r>
      <w:r w:rsidRPr="00405303">
        <w:rPr>
          <w:bCs/>
          <w:color w:val="002060"/>
          <w:sz w:val="16"/>
          <w:szCs w:val="16"/>
        </w:rPr>
        <w:softHyphen/>
        <w:t>душными стрелками «девяток». Под</w:t>
      </w:r>
      <w:r w:rsidRPr="00405303">
        <w:rPr>
          <w:bCs/>
          <w:color w:val="002060"/>
          <w:sz w:val="16"/>
          <w:szCs w:val="16"/>
        </w:rPr>
        <w:softHyphen/>
        <w:t>нятые из воды немецкие пилоты рассказали, что целью их нападе</w:t>
      </w:r>
      <w:r w:rsidRPr="00405303">
        <w:rPr>
          <w:bCs/>
          <w:color w:val="002060"/>
          <w:sz w:val="16"/>
          <w:szCs w:val="16"/>
        </w:rPr>
        <w:softHyphen/>
        <w:t>ния являлось уничтожение «Орли</w:t>
      </w:r>
      <w:r w:rsidRPr="00405303">
        <w:rPr>
          <w:bCs/>
          <w:color w:val="002060"/>
          <w:sz w:val="16"/>
          <w:szCs w:val="16"/>
        </w:rPr>
        <w:softHyphen/>
        <w:t>цы», как наиболее досаждающего своими действиями корабля.</w:t>
      </w:r>
    </w:p>
    <w:p w14:paraId="0E7D145C" w14:textId="77777777" w:rsidR="004B4E35" w:rsidRPr="00405303" w:rsidRDefault="009E6F82" w:rsidP="00C15251">
      <w:pPr>
        <w:jc w:val="both"/>
        <w:rPr>
          <w:bCs/>
          <w:color w:val="002060"/>
          <w:sz w:val="16"/>
          <w:szCs w:val="16"/>
        </w:rPr>
      </w:pPr>
      <w:r w:rsidRPr="00405303">
        <w:rPr>
          <w:bCs/>
          <w:color w:val="002060"/>
          <w:sz w:val="16"/>
          <w:szCs w:val="16"/>
        </w:rPr>
        <w:t>Начиная с 1916 г. немцы во все возрастающих масштабах стали привлекать к действиям против рус</w:t>
      </w:r>
      <w:r w:rsidRPr="00405303">
        <w:rPr>
          <w:bCs/>
          <w:color w:val="002060"/>
          <w:sz w:val="16"/>
          <w:szCs w:val="16"/>
        </w:rPr>
        <w:softHyphen/>
        <w:t>ских кораблей, береговых станций и авиации свои сухопутные само</w:t>
      </w:r>
      <w:r w:rsidRPr="00405303">
        <w:rPr>
          <w:bCs/>
          <w:color w:val="002060"/>
          <w:sz w:val="16"/>
          <w:szCs w:val="16"/>
        </w:rPr>
        <w:softHyphen/>
        <w:t>леты. Численное преимущество про</w:t>
      </w:r>
      <w:r w:rsidRPr="00405303">
        <w:rPr>
          <w:bCs/>
          <w:color w:val="002060"/>
          <w:sz w:val="16"/>
          <w:szCs w:val="16"/>
        </w:rPr>
        <w:softHyphen/>
        <w:t>тивника к лету 1917 г. стало подав</w:t>
      </w:r>
      <w:r w:rsidRPr="00405303">
        <w:rPr>
          <w:bCs/>
          <w:color w:val="002060"/>
          <w:sz w:val="16"/>
          <w:szCs w:val="16"/>
        </w:rPr>
        <w:softHyphen/>
        <w:t>ляющим. Листая сводки боевых до</w:t>
      </w:r>
      <w:r w:rsidRPr="00405303">
        <w:rPr>
          <w:bCs/>
          <w:color w:val="002060"/>
          <w:sz w:val="16"/>
          <w:szCs w:val="16"/>
        </w:rPr>
        <w:softHyphen/>
        <w:t>несений, можно увидеть, что немец</w:t>
      </w:r>
      <w:r w:rsidRPr="00405303">
        <w:rPr>
          <w:bCs/>
          <w:color w:val="002060"/>
          <w:sz w:val="16"/>
          <w:szCs w:val="16"/>
        </w:rPr>
        <w:softHyphen/>
        <w:t>кие самолеты буквально каждые пять минут осуществляли бомбежку и обстрел русских позиций, вели не</w:t>
      </w:r>
      <w:r w:rsidRPr="00405303">
        <w:rPr>
          <w:bCs/>
          <w:color w:val="002060"/>
          <w:sz w:val="16"/>
          <w:szCs w:val="16"/>
        </w:rPr>
        <w:softHyphen/>
        <w:t>устанное воздушное патрулирова</w:t>
      </w:r>
      <w:r w:rsidRPr="00405303">
        <w:rPr>
          <w:bCs/>
          <w:color w:val="002060"/>
          <w:sz w:val="16"/>
          <w:szCs w:val="16"/>
        </w:rPr>
        <w:softHyphen/>
        <w:t xml:space="preserve">ние и охотно вступали в воздушные бои. </w:t>
      </w:r>
      <w:r w:rsidRPr="00405303">
        <w:rPr>
          <w:bCs/>
          <w:color w:val="002060"/>
          <w:sz w:val="16"/>
          <w:szCs w:val="16"/>
        </w:rPr>
        <w:lastRenderedPageBreak/>
        <w:t>Напряженность боевой обста</w:t>
      </w:r>
      <w:r w:rsidRPr="00405303">
        <w:rPr>
          <w:bCs/>
          <w:color w:val="002060"/>
          <w:sz w:val="16"/>
          <w:szCs w:val="16"/>
        </w:rPr>
        <w:softHyphen/>
        <w:t>новки можно иллюстрировать сле</w:t>
      </w:r>
      <w:r w:rsidRPr="00405303">
        <w:rPr>
          <w:bCs/>
          <w:color w:val="002060"/>
          <w:sz w:val="16"/>
          <w:szCs w:val="16"/>
        </w:rPr>
        <w:softHyphen/>
        <w:t>дующим фактом: мичман Зайцевс- кий, отчаявшись отбиться в воздухе от численно превосходящего про</w:t>
      </w:r>
      <w:r w:rsidRPr="00405303">
        <w:rPr>
          <w:bCs/>
          <w:color w:val="002060"/>
          <w:sz w:val="16"/>
          <w:szCs w:val="16"/>
        </w:rPr>
        <w:softHyphen/>
        <w:t>тивника, вынужден был посадить свою лодку в небольшую бухту, снять пулемет и отстреливаться от нем</w:t>
      </w:r>
      <w:r w:rsidRPr="00405303">
        <w:rPr>
          <w:bCs/>
          <w:color w:val="002060"/>
          <w:sz w:val="16"/>
          <w:szCs w:val="16"/>
        </w:rPr>
        <w:softHyphen/>
        <w:t>цев из-за гранитных валунов (12088).</w:t>
      </w:r>
    </w:p>
    <w:p w14:paraId="6F82B8E1" w14:textId="14D4305D" w:rsidR="004B4E35" w:rsidRPr="00405303" w:rsidRDefault="004B4E35" w:rsidP="00C15251">
      <w:pPr>
        <w:jc w:val="both"/>
        <w:rPr>
          <w:bCs/>
          <w:color w:val="002060"/>
          <w:sz w:val="16"/>
          <w:szCs w:val="16"/>
        </w:rPr>
      </w:pPr>
    </w:p>
    <w:p w14:paraId="4B780CEC" w14:textId="77777777" w:rsidR="00093785" w:rsidRPr="00405303" w:rsidRDefault="00093785" w:rsidP="00C15251">
      <w:pPr>
        <w:jc w:val="both"/>
        <w:rPr>
          <w:bCs/>
          <w:color w:val="002060"/>
          <w:sz w:val="16"/>
          <w:szCs w:val="16"/>
        </w:rPr>
      </w:pPr>
      <w:r w:rsidRPr="00405303">
        <w:rPr>
          <w:bCs/>
          <w:color w:val="002060"/>
          <w:sz w:val="16"/>
          <w:szCs w:val="16"/>
        </w:rPr>
        <w:t>В течение октября 1915 Черноморский флот Императорского военно - морского флота совершают набеги на Варну, Болгария, применяя носитель гидросамолетов (20338).</w:t>
      </w:r>
    </w:p>
    <w:p w14:paraId="57948E54" w14:textId="77777777" w:rsidR="00093785" w:rsidRPr="00405303" w:rsidRDefault="00093785" w:rsidP="00C15251">
      <w:pPr>
        <w:jc w:val="both"/>
        <w:rPr>
          <w:bCs/>
          <w:color w:val="002060"/>
          <w:sz w:val="16"/>
          <w:szCs w:val="16"/>
        </w:rPr>
      </w:pPr>
    </w:p>
    <w:p w14:paraId="2B502AA4" w14:textId="5DCF082C" w:rsidR="00F6220B" w:rsidRPr="00405303" w:rsidRDefault="00F6220B" w:rsidP="00C15251">
      <w:pPr>
        <w:jc w:val="both"/>
        <w:rPr>
          <w:bCs/>
          <w:i/>
          <w:iCs/>
          <w:color w:val="002060"/>
          <w:sz w:val="16"/>
          <w:szCs w:val="16"/>
        </w:rPr>
      </w:pPr>
      <w:r w:rsidRPr="00405303">
        <w:rPr>
          <w:bCs/>
          <w:i/>
          <w:iCs/>
          <w:color w:val="002060"/>
          <w:sz w:val="16"/>
          <w:szCs w:val="16"/>
        </w:rPr>
        <w:t>Воздухоплавание:</w:t>
      </w:r>
    </w:p>
    <w:p w14:paraId="09BA315F" w14:textId="77777777" w:rsidR="00F6220B" w:rsidRPr="00405303" w:rsidRDefault="00F6220B" w:rsidP="00C15251">
      <w:pPr>
        <w:jc w:val="both"/>
        <w:rPr>
          <w:bCs/>
          <w:i/>
          <w:iCs/>
          <w:color w:val="002060"/>
          <w:sz w:val="16"/>
          <w:szCs w:val="16"/>
        </w:rPr>
      </w:pPr>
    </w:p>
    <w:p w14:paraId="7E4EA9A3" w14:textId="77777777" w:rsidR="00F6220B" w:rsidRPr="00405303" w:rsidRDefault="00F6220B" w:rsidP="00C15251">
      <w:pPr>
        <w:jc w:val="both"/>
        <w:rPr>
          <w:bCs/>
          <w:color w:val="002060"/>
          <w:sz w:val="16"/>
          <w:szCs w:val="16"/>
        </w:rPr>
      </w:pPr>
      <w:r w:rsidRPr="00405303">
        <w:rPr>
          <w:bCs/>
          <w:color w:val="002060"/>
          <w:sz w:val="16"/>
          <w:szCs w:val="16"/>
        </w:rPr>
        <w:t>В октябре 1915 г. в районе г. Будзенова привязной аэро</w:t>
      </w:r>
      <w:r w:rsidRPr="00405303">
        <w:rPr>
          <w:bCs/>
          <w:color w:val="002060"/>
          <w:sz w:val="16"/>
          <w:szCs w:val="16"/>
        </w:rPr>
        <w:softHyphen/>
        <w:t>стат 13-й роты, постепенно продвигаясь на мо</w:t>
      </w:r>
      <w:r w:rsidRPr="00405303">
        <w:rPr>
          <w:bCs/>
          <w:color w:val="002060"/>
          <w:sz w:val="16"/>
          <w:szCs w:val="16"/>
        </w:rPr>
        <w:softHyphen/>
        <w:t>бильной лебёдке вдоль фронта, корректировал стрельбу артиллерии, подавившей ураганный огонь батарей противника по расположению Курского полка. 13-я и 14-я воздухоплавательные роты остава</w:t>
      </w:r>
      <w:r w:rsidRPr="00405303">
        <w:rPr>
          <w:bCs/>
          <w:color w:val="002060"/>
          <w:sz w:val="16"/>
          <w:szCs w:val="16"/>
        </w:rPr>
        <w:softHyphen/>
        <w:t>лись в составе Юго-Западного фронта (20120)</w:t>
      </w:r>
    </w:p>
    <w:p w14:paraId="2ACECCA6" w14:textId="77777777" w:rsidR="00F6220B" w:rsidRPr="00405303" w:rsidRDefault="00F6220B" w:rsidP="00C15251">
      <w:pPr>
        <w:jc w:val="both"/>
        <w:rPr>
          <w:bCs/>
          <w:color w:val="002060"/>
          <w:sz w:val="16"/>
          <w:szCs w:val="16"/>
        </w:rPr>
      </w:pPr>
    </w:p>
    <w:p w14:paraId="7B7E492B" w14:textId="77777777" w:rsidR="004B4E35" w:rsidRPr="00405303" w:rsidRDefault="009E6F82" w:rsidP="00C15251">
      <w:pPr>
        <w:jc w:val="both"/>
        <w:rPr>
          <w:bCs/>
          <w:i/>
          <w:color w:val="002060"/>
          <w:sz w:val="16"/>
          <w:szCs w:val="16"/>
        </w:rPr>
      </w:pPr>
      <w:r w:rsidRPr="00405303">
        <w:rPr>
          <w:bCs/>
          <w:i/>
          <w:color w:val="002060"/>
          <w:sz w:val="16"/>
          <w:szCs w:val="16"/>
        </w:rPr>
        <w:t>Жизнь и внутреняя политика:</w:t>
      </w:r>
    </w:p>
    <w:p w14:paraId="36C9E3F1" w14:textId="77777777" w:rsidR="004B4E35" w:rsidRPr="00405303" w:rsidRDefault="004B4E35" w:rsidP="00C15251">
      <w:pPr>
        <w:jc w:val="both"/>
        <w:rPr>
          <w:bCs/>
          <w:i/>
          <w:color w:val="002060"/>
          <w:sz w:val="16"/>
          <w:szCs w:val="16"/>
        </w:rPr>
      </w:pPr>
    </w:p>
    <w:p w14:paraId="7A3A6EFC" w14:textId="5219C169" w:rsidR="004B4E35" w:rsidRPr="00405303" w:rsidRDefault="00093785"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w:t>
      </w:r>
      <w:r w:rsidR="009E6F82" w:rsidRPr="00405303">
        <w:rPr>
          <w:bCs/>
          <w:i w:val="0"/>
          <w:color w:val="002060"/>
          <w:spacing w:val="0"/>
          <w:kern w:val="0"/>
          <w:position w:val="0"/>
          <w:sz w:val="16"/>
          <w:szCs w:val="16"/>
        </w:rPr>
        <w:t xml:space="preserve"> октябре </w:t>
      </w:r>
      <w:r w:rsidRPr="00405303">
        <w:rPr>
          <w:bCs/>
          <w:i w:val="0"/>
          <w:color w:val="002060"/>
          <w:spacing w:val="0"/>
          <w:kern w:val="0"/>
          <w:position w:val="0"/>
          <w:sz w:val="16"/>
          <w:szCs w:val="16"/>
        </w:rPr>
        <w:t xml:space="preserve">1915 г. недогруз угля в Донецком бассейне составил </w:t>
      </w:r>
      <w:r w:rsidR="009E6F82" w:rsidRPr="00405303">
        <w:rPr>
          <w:bCs/>
          <w:i w:val="0"/>
          <w:color w:val="002060"/>
          <w:spacing w:val="0"/>
          <w:kern w:val="0"/>
          <w:position w:val="0"/>
          <w:sz w:val="16"/>
          <w:szCs w:val="16"/>
        </w:rPr>
        <w:t>— 33 %, в ноябре — 40 %, причем 90 % в сентябре и 95 % в октябре; это объяснялось неподачей вагонов. Вследствие неподвоза железными дорогами топлива, руды для доменной плавки в 1915 г. (октябрь) остановилось 23 доменные печи, что составило более 1/3 наличных доменных печей. К 1917 г. разруха на железных дорогах приняла катастрофический характер: перевозки неуклонно сокращались, недогруз угля и дров усиливался, ремонт состава и пути ухудшался, залежи грузов на станциях и в пути достигали огромных размеров (11270).</w:t>
      </w:r>
    </w:p>
    <w:p w14:paraId="2EC0C2F7" w14:textId="77777777" w:rsidR="004B4E35" w:rsidRPr="00405303" w:rsidRDefault="004B4E35" w:rsidP="00C15251">
      <w:pPr>
        <w:pStyle w:val="a3"/>
        <w:jc w:val="both"/>
        <w:rPr>
          <w:bCs/>
          <w:i w:val="0"/>
          <w:color w:val="002060"/>
          <w:spacing w:val="0"/>
          <w:kern w:val="0"/>
          <w:position w:val="0"/>
          <w:sz w:val="16"/>
          <w:szCs w:val="16"/>
        </w:rPr>
      </w:pPr>
    </w:p>
    <w:p w14:paraId="34045CAA" w14:textId="77777777" w:rsidR="004B4E35" w:rsidRPr="00405303" w:rsidRDefault="009E6F82" w:rsidP="00C15251">
      <w:pPr>
        <w:jc w:val="both"/>
        <w:rPr>
          <w:bCs/>
          <w:i/>
          <w:color w:val="002060"/>
          <w:sz w:val="16"/>
          <w:szCs w:val="16"/>
        </w:rPr>
      </w:pPr>
      <w:r w:rsidRPr="00405303">
        <w:rPr>
          <w:bCs/>
          <w:i/>
          <w:color w:val="002060"/>
          <w:sz w:val="16"/>
          <w:szCs w:val="16"/>
        </w:rPr>
        <w:t>Внешняя политика:</w:t>
      </w:r>
    </w:p>
    <w:p w14:paraId="2663C4EB" w14:textId="77777777" w:rsidR="004B4E35" w:rsidRPr="00405303" w:rsidRDefault="004B4E35" w:rsidP="00C15251">
      <w:pPr>
        <w:jc w:val="both"/>
        <w:rPr>
          <w:bCs/>
          <w:i/>
          <w:color w:val="002060"/>
          <w:sz w:val="16"/>
          <w:szCs w:val="16"/>
        </w:rPr>
      </w:pPr>
    </w:p>
    <w:p w14:paraId="26F99CFE" w14:textId="6E9744C1" w:rsidR="004B4E35" w:rsidRPr="00405303" w:rsidRDefault="00093785"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октябре 1915 г. между Англией и русским министром финансов состоялось соглашение, основы которого сводились к следующему: </w:t>
      </w:r>
    </w:p>
    <w:p w14:paraId="510880C2" w14:textId="77777777" w:rsidR="004B4E35" w:rsidRPr="00405303" w:rsidRDefault="009E6F82" w:rsidP="00C15251">
      <w:pPr>
        <w:jc w:val="both"/>
        <w:rPr>
          <w:bCs/>
          <w:color w:val="002060"/>
          <w:sz w:val="16"/>
          <w:szCs w:val="16"/>
        </w:rPr>
      </w:pPr>
      <w:r w:rsidRPr="00405303">
        <w:rPr>
          <w:bCs/>
          <w:color w:val="002060"/>
          <w:sz w:val="16"/>
          <w:szCs w:val="16"/>
        </w:rPr>
        <w:t xml:space="preserve">1. Все предложения относительно поставок для России, подлежащие производству в Великобритании или Америке, должны рассматриваться в Англии. </w:t>
      </w:r>
    </w:p>
    <w:p w14:paraId="4E406D10" w14:textId="77777777" w:rsidR="004B4E35" w:rsidRPr="00405303" w:rsidRDefault="009E6F82" w:rsidP="00C15251">
      <w:pPr>
        <w:jc w:val="both"/>
        <w:rPr>
          <w:bCs/>
          <w:color w:val="002060"/>
          <w:sz w:val="16"/>
          <w:szCs w:val="16"/>
        </w:rPr>
      </w:pPr>
      <w:r w:rsidRPr="00405303">
        <w:rPr>
          <w:bCs/>
          <w:color w:val="002060"/>
          <w:sz w:val="16"/>
          <w:szCs w:val="16"/>
        </w:rPr>
        <w:t xml:space="preserve">2. Все контракты в Англии и Америке могут быть заключены русским правительством только с ведома специальных в Лондоне представителей обеих держав и по возможность с их подписями. </w:t>
      </w:r>
    </w:p>
    <w:p w14:paraId="18A4EFCF" w14:textId="77777777" w:rsidR="004B4E35" w:rsidRPr="00405303" w:rsidRDefault="009E6F82" w:rsidP="00C15251">
      <w:pPr>
        <w:jc w:val="both"/>
        <w:rPr>
          <w:bCs/>
          <w:color w:val="002060"/>
          <w:sz w:val="16"/>
          <w:szCs w:val="16"/>
        </w:rPr>
      </w:pPr>
      <w:r w:rsidRPr="00405303">
        <w:rPr>
          <w:bCs/>
          <w:color w:val="002060"/>
          <w:sz w:val="16"/>
          <w:szCs w:val="16"/>
        </w:rPr>
        <w:t xml:space="preserve">3. Ни одна поставка для России, платежи по которой должны быть произведены из кредитов, предоставленных английским правительством, не должна делаться без ведома представителей обеих держав. </w:t>
      </w:r>
    </w:p>
    <w:p w14:paraId="0A908862" w14:textId="77777777" w:rsidR="004B4E35" w:rsidRPr="00405303" w:rsidRDefault="009E6F82" w:rsidP="00C15251">
      <w:pPr>
        <w:jc w:val="both"/>
        <w:rPr>
          <w:bCs/>
          <w:color w:val="002060"/>
          <w:sz w:val="16"/>
          <w:szCs w:val="16"/>
        </w:rPr>
      </w:pPr>
      <w:r w:rsidRPr="00405303">
        <w:rPr>
          <w:bCs/>
          <w:color w:val="002060"/>
          <w:sz w:val="16"/>
          <w:szCs w:val="16"/>
        </w:rPr>
        <w:t xml:space="preserve">Однако это соглашение не давало еще полного координирования заготовительной работы Англии и русского правительства, так как некоторые русские заказы проходили помимо Русского заготовительного комитета и велись через Лондон, откуда британское правительство передавало их для исполнения Америке через банкирский дом Морган. </w:t>
      </w:r>
    </w:p>
    <w:p w14:paraId="65CCC335" w14:textId="77777777" w:rsidR="004B4E35" w:rsidRPr="00405303" w:rsidRDefault="009E6F82" w:rsidP="00C15251">
      <w:pPr>
        <w:jc w:val="both"/>
        <w:rPr>
          <w:bCs/>
          <w:color w:val="002060"/>
          <w:sz w:val="16"/>
          <w:szCs w:val="16"/>
        </w:rPr>
      </w:pPr>
      <w:r w:rsidRPr="00405303">
        <w:rPr>
          <w:bCs/>
          <w:color w:val="002060"/>
          <w:sz w:val="16"/>
          <w:szCs w:val="16"/>
        </w:rPr>
        <w:t>При этих условиях опять-таки возникала конкуренция в заготовках, проводимых Комитетом и Морганом, так как последний действовал совершенно независимо от Комитета. Был случай, что одна из заготовительных ведомостей из Петрограда была отправлена по двум адресам — в Комитет и Лондон, и по этой ведомости была произведена двойная заготовка, одна — Комитетом, другая — Морганом.</w:t>
      </w:r>
    </w:p>
    <w:p w14:paraId="7B69BD83" w14:textId="77777777" w:rsidR="004B4E35" w:rsidRPr="00405303" w:rsidRDefault="009E6F82" w:rsidP="00C15251">
      <w:pPr>
        <w:jc w:val="both"/>
        <w:rPr>
          <w:bCs/>
          <w:color w:val="002060"/>
          <w:sz w:val="16"/>
          <w:szCs w:val="16"/>
        </w:rPr>
      </w:pPr>
      <w:r w:rsidRPr="00405303">
        <w:rPr>
          <w:bCs/>
          <w:color w:val="002060"/>
          <w:sz w:val="16"/>
          <w:szCs w:val="16"/>
        </w:rPr>
        <w:t xml:space="preserve">Для окончательного согласования заготовительных действий Комитетом был выдвинут вопрос об образовании Русско-английской согласительной комиссии, куда должны были войти, с одной стороны, представители Русского заготовительного комитета, а с другой — представители британского правительства. Образование Комиссии значительно упрощало прохождение заказов, так как этой Комиссии предоставлено было право обсуждать все основные заказы и разрешать многие важные вопросы, избегая, таким образом, тормозящей дело переписки с Лондоном. Затем, этой Комиссии было предоставлено право наблюдать за заказами, проводимыми через Моргана, и согласовывать их с заказами Комитета. </w:t>
      </w:r>
    </w:p>
    <w:p w14:paraId="2298550F" w14:textId="77777777" w:rsidR="004B4E35" w:rsidRPr="00405303" w:rsidRDefault="009E6F82" w:rsidP="00C15251">
      <w:pPr>
        <w:jc w:val="both"/>
        <w:rPr>
          <w:bCs/>
          <w:color w:val="002060"/>
          <w:sz w:val="16"/>
          <w:szCs w:val="16"/>
        </w:rPr>
      </w:pPr>
      <w:r w:rsidRPr="00405303">
        <w:rPr>
          <w:bCs/>
          <w:color w:val="002060"/>
          <w:sz w:val="16"/>
          <w:szCs w:val="16"/>
        </w:rPr>
        <w:t xml:space="preserve">Комиссия начала свою деятельность в январе 1916 г. и продолжала до середины этого года. Своей работой она оказала громадную помощь Комитету. В середине года, с отъездом состоявшего в составе Комиссии представителя британского правительства, центр тяжести разрешения всех вопросов по заготовительной деятельности вновь автоматически перенесся в Лондон. </w:t>
      </w:r>
    </w:p>
    <w:p w14:paraId="4903EDB3" w14:textId="77777777" w:rsidR="004B4E35" w:rsidRPr="00405303" w:rsidRDefault="009E6F82" w:rsidP="00C15251">
      <w:pPr>
        <w:jc w:val="both"/>
        <w:rPr>
          <w:bCs/>
          <w:color w:val="002060"/>
          <w:sz w:val="16"/>
          <w:szCs w:val="16"/>
        </w:rPr>
      </w:pPr>
      <w:r w:rsidRPr="00405303">
        <w:rPr>
          <w:bCs/>
          <w:color w:val="002060"/>
          <w:sz w:val="16"/>
          <w:szCs w:val="16"/>
        </w:rPr>
        <w:t>Такова была в основных чертах организация дела русских военных заказов. В дальнейшем изложении истории отдельных крупных артиллерийских заказов попутно придется касаться организационной стороны (11329).</w:t>
      </w:r>
    </w:p>
    <w:p w14:paraId="36C2D048" w14:textId="77777777" w:rsidR="004B4E35" w:rsidRPr="00405303" w:rsidRDefault="004B4E35" w:rsidP="00C15251">
      <w:pPr>
        <w:jc w:val="both"/>
        <w:rPr>
          <w:bCs/>
          <w:i/>
          <w:color w:val="002060"/>
          <w:sz w:val="16"/>
          <w:szCs w:val="16"/>
        </w:rPr>
      </w:pPr>
    </w:p>
    <w:p w14:paraId="6ABD3557"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77B44CFA" w14:textId="77777777" w:rsidR="004B4E35" w:rsidRPr="00405303" w:rsidRDefault="004B4E35" w:rsidP="00C15251">
      <w:pPr>
        <w:jc w:val="both"/>
        <w:rPr>
          <w:bCs/>
          <w:i/>
          <w:color w:val="002060"/>
          <w:sz w:val="16"/>
          <w:szCs w:val="16"/>
        </w:rPr>
      </w:pPr>
    </w:p>
    <w:p w14:paraId="5AFA151F" w14:textId="77777777" w:rsidR="00116C91" w:rsidRPr="00405303" w:rsidRDefault="00116C91" w:rsidP="00C15251">
      <w:pPr>
        <w:pStyle w:val="20"/>
        <w:shd w:val="clear" w:color="auto" w:fill="auto"/>
        <w:spacing w:after="0" w:line="240" w:lineRule="auto"/>
        <w:ind w:firstLine="0"/>
        <w:jc w:val="both"/>
        <w:rPr>
          <w:rFonts w:ascii="Times New Roman" w:hAnsi="Times New Roman"/>
          <w:bCs/>
          <w:color w:val="002060"/>
          <w:spacing w:val="0"/>
          <w:sz w:val="16"/>
          <w:szCs w:val="16"/>
        </w:rPr>
      </w:pPr>
      <w:r w:rsidRPr="00405303">
        <w:rPr>
          <w:rStyle w:val="LucidaSansUnicode8pt0pt"/>
          <w:rFonts w:ascii="Times New Roman" w:hAnsi="Times New Roman" w:cs="Times New Roman"/>
          <w:b w:val="0"/>
          <w:color w:val="002060"/>
          <w:spacing w:val="0"/>
        </w:rPr>
        <w:t>В</w:t>
      </w:r>
      <w:r w:rsidRPr="00405303">
        <w:rPr>
          <w:rFonts w:ascii="Times New Roman" w:hAnsi="Times New Roman"/>
          <w:bCs/>
          <w:color w:val="002060"/>
          <w:spacing w:val="0"/>
          <w:sz w:val="16"/>
          <w:szCs w:val="16"/>
        </w:rPr>
        <w:t xml:space="preserve"> октябре 1915 г. проект Сименс-Шукерт по постройке копии бомбардировщика «Илья</w:t>
      </w:r>
      <w:r w:rsidRPr="00405303">
        <w:rPr>
          <w:rStyle w:val="LucidaSansUnicode8pt0pt"/>
          <w:rFonts w:ascii="Times New Roman" w:hAnsi="Times New Roman" w:cs="Times New Roman"/>
          <w:b w:val="0"/>
          <w:color w:val="002060"/>
          <w:spacing w:val="0"/>
        </w:rPr>
        <w:t xml:space="preserve"> Муромец</w:t>
      </w:r>
      <w:r w:rsidRPr="00405303">
        <w:rPr>
          <w:rFonts w:ascii="Times New Roman" w:hAnsi="Times New Roman"/>
          <w:bCs/>
          <w:color w:val="002060"/>
          <w:spacing w:val="0"/>
          <w:sz w:val="16"/>
          <w:szCs w:val="16"/>
        </w:rPr>
        <w:t xml:space="preserve"> прекратили: после очередного облегчения</w:t>
      </w:r>
      <w:r w:rsidRPr="00405303">
        <w:rPr>
          <w:rStyle w:val="LucidaSansUnicode8pt0pt"/>
          <w:rFonts w:ascii="Times New Roman" w:hAnsi="Times New Roman" w:cs="Times New Roman"/>
          <w:b w:val="0"/>
          <w:color w:val="002060"/>
          <w:spacing w:val="0"/>
        </w:rPr>
        <w:t xml:space="preserve"> конструкции</w:t>
      </w:r>
      <w:r w:rsidRPr="00405303">
        <w:rPr>
          <w:rFonts w:ascii="Times New Roman" w:hAnsi="Times New Roman"/>
          <w:bCs/>
          <w:color w:val="002060"/>
          <w:spacing w:val="0"/>
          <w:sz w:val="16"/>
          <w:szCs w:val="16"/>
        </w:rPr>
        <w:t xml:space="preserve"> фюзе</w:t>
      </w:r>
      <w:r w:rsidRPr="00405303">
        <w:rPr>
          <w:rFonts w:ascii="Times New Roman" w:hAnsi="Times New Roman"/>
          <w:bCs/>
          <w:color w:val="002060"/>
          <w:spacing w:val="0"/>
          <w:sz w:val="16"/>
          <w:szCs w:val="16"/>
        </w:rPr>
        <w:softHyphen/>
      </w:r>
      <w:r w:rsidRPr="00405303">
        <w:rPr>
          <w:rStyle w:val="LucidaSansUnicode8pt0pt"/>
          <w:rFonts w:ascii="Times New Roman" w:hAnsi="Times New Roman" w:cs="Times New Roman"/>
          <w:b w:val="0"/>
          <w:color w:val="002060"/>
          <w:spacing w:val="0"/>
        </w:rPr>
        <w:t>ляж</w:t>
      </w:r>
      <w:r w:rsidRPr="00405303">
        <w:rPr>
          <w:rFonts w:ascii="Times New Roman" w:hAnsi="Times New Roman"/>
          <w:bCs/>
          <w:color w:val="002060"/>
          <w:spacing w:val="0"/>
          <w:sz w:val="16"/>
          <w:szCs w:val="16"/>
        </w:rPr>
        <w:t xml:space="preserve"> на земле, во время испытаний двигателей, раскололся пополам (15832).</w:t>
      </w:r>
    </w:p>
    <w:p w14:paraId="47091B4E" w14:textId="77777777" w:rsidR="00116C91" w:rsidRPr="00405303" w:rsidRDefault="00116C91" w:rsidP="00C15251">
      <w:pPr>
        <w:pStyle w:val="20"/>
        <w:shd w:val="clear" w:color="auto" w:fill="auto"/>
        <w:spacing w:after="0" w:line="240" w:lineRule="auto"/>
        <w:ind w:firstLine="0"/>
        <w:jc w:val="both"/>
        <w:rPr>
          <w:rFonts w:ascii="Times New Roman" w:hAnsi="Times New Roman"/>
          <w:bCs/>
          <w:color w:val="002060"/>
          <w:spacing w:val="0"/>
          <w:sz w:val="16"/>
          <w:szCs w:val="16"/>
        </w:rPr>
      </w:pPr>
    </w:p>
    <w:p w14:paraId="43695F65" w14:textId="30DFAC1C" w:rsidR="004B4E35" w:rsidRPr="00405303" w:rsidRDefault="00093785"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октябре 1915 г. </w:t>
      </w:r>
      <w:r w:rsidRPr="00405303">
        <w:rPr>
          <w:bCs/>
          <w:color w:val="002060"/>
          <w:sz w:val="16"/>
          <w:szCs w:val="16"/>
        </w:rPr>
        <w:t xml:space="preserve">Дорнье выпустил свой первый гигантский, целиком металлический гидросамолет Rsl. </w:t>
      </w:r>
      <w:r w:rsidR="009E6F82" w:rsidRPr="00405303">
        <w:rPr>
          <w:bCs/>
          <w:color w:val="002060"/>
          <w:sz w:val="16"/>
          <w:szCs w:val="16"/>
        </w:rPr>
        <w:t>Это был биплан с размахом крыла 43,5 м и тремя двигателями "Майбах" по 240 л. с. Наряду с дюралюминием во всех силовых узлах, в лонжеронах крыла и корпуса лодки использовалась первоклассная сталь. На этом новаторские идеи конструктора не исчерпывались - вся бипланная коробка самолета могла поворачиваться вокруг особого узла на среднем лонжероне нижнего крыла. Таким образом, по мере надобности изменялся угол атаки крыльев. Впрочем, судьба машины оказалась короткой, а надежды на абсолютную прочность металлической конструкции оказались преувеличенными - в декабре 1915 г., еще до совершения первого полета, Rsl был разрушен бурей безо всякой надежды на восстановление (11961).</w:t>
      </w:r>
    </w:p>
    <w:p w14:paraId="3C7D7A49" w14:textId="77777777" w:rsidR="004B4E35" w:rsidRPr="00405303" w:rsidRDefault="004B4E35" w:rsidP="00C15251">
      <w:pPr>
        <w:jc w:val="both"/>
        <w:rPr>
          <w:bCs/>
          <w:color w:val="002060"/>
          <w:sz w:val="16"/>
          <w:szCs w:val="16"/>
        </w:rPr>
      </w:pPr>
    </w:p>
    <w:p w14:paraId="34C91F22" w14:textId="7B784502" w:rsidR="004B4E35" w:rsidRPr="00405303" w:rsidRDefault="009E6F82" w:rsidP="00C15251">
      <w:pPr>
        <w:jc w:val="both"/>
        <w:rPr>
          <w:bCs/>
          <w:color w:val="002060"/>
          <w:sz w:val="16"/>
          <w:szCs w:val="16"/>
        </w:rPr>
      </w:pPr>
      <w:r w:rsidRPr="00405303">
        <w:rPr>
          <w:bCs/>
          <w:color w:val="002060"/>
          <w:sz w:val="16"/>
          <w:szCs w:val="16"/>
        </w:rPr>
        <w:t>В октябре 1915 г. во время боев в Галиции русские батареи, корректируемые наблюдателями с аэростатов, одержали не одну победу над батареями врага. В апреле 1916 г. под Барановичами в течение двух дней русскими артиллеристами таким же способом было подавлено 18 батарей (11238).</w:t>
      </w:r>
    </w:p>
    <w:p w14:paraId="22BC2250" w14:textId="77777777" w:rsidR="004B4E35" w:rsidRPr="00405303" w:rsidRDefault="004B4E35" w:rsidP="00C15251">
      <w:pPr>
        <w:jc w:val="both"/>
        <w:rPr>
          <w:bCs/>
          <w:color w:val="002060"/>
          <w:sz w:val="16"/>
          <w:szCs w:val="16"/>
        </w:rPr>
      </w:pPr>
    </w:p>
    <w:p w14:paraId="267D0B11" w14:textId="77777777" w:rsidR="004B4E35" w:rsidRPr="00405303" w:rsidRDefault="009E6F82" w:rsidP="00C15251">
      <w:pPr>
        <w:jc w:val="both"/>
        <w:rPr>
          <w:bCs/>
          <w:color w:val="002060"/>
          <w:sz w:val="16"/>
          <w:szCs w:val="16"/>
        </w:rPr>
      </w:pPr>
      <w:r w:rsidRPr="00405303">
        <w:rPr>
          <w:bCs/>
          <w:color w:val="002060"/>
          <w:sz w:val="16"/>
          <w:szCs w:val="16"/>
        </w:rPr>
        <w:t>В октябре 1915 дирижаблям впервые пришлось действовать совместно с армией при бомбардировке главных узловых пунктов железной дороги Реймс—Верден и ее ответвлений. На восточном фронте были произведены успешные налеты на Ломжу, Белосток, Гродно и Ковно (11282).</w:t>
      </w:r>
    </w:p>
    <w:p w14:paraId="261E40E7" w14:textId="77777777" w:rsidR="004B4E35" w:rsidRPr="00405303" w:rsidRDefault="004B4E35" w:rsidP="00C15251">
      <w:pPr>
        <w:jc w:val="both"/>
        <w:rPr>
          <w:bCs/>
          <w:color w:val="002060"/>
          <w:sz w:val="16"/>
          <w:szCs w:val="16"/>
        </w:rPr>
      </w:pPr>
    </w:p>
    <w:p w14:paraId="71AC9A75" w14:textId="77777777" w:rsidR="004B4E35" w:rsidRPr="00405303" w:rsidRDefault="009E6F82" w:rsidP="00C15251">
      <w:pPr>
        <w:jc w:val="both"/>
        <w:rPr>
          <w:bCs/>
          <w:color w:val="002060"/>
          <w:sz w:val="16"/>
          <w:szCs w:val="16"/>
        </w:rPr>
      </w:pPr>
      <w:r w:rsidRPr="00405303">
        <w:rPr>
          <w:bCs/>
          <w:color w:val="002060"/>
          <w:sz w:val="16"/>
          <w:szCs w:val="16"/>
        </w:rPr>
        <w:t>В октябре 1915 дирижаблям впервые пришлось действовать совместно с армейской авиацией при бомбардировке главных узловых пунктов железной дороги Реймс — Верден и ее ответвлений. На Восточном фронте прошли успешные налеты на Ломжу, Белосток, Гродно и Ковно. Во время летнего наступления с успехом бомбардировались узловые пункты железных дорог, идущих к Млаве, Брест-Литовску и Вильно, а позднее Брест-Литовск и железная дорога у Кобрина. После постройки эллинга под Варшавой оттуда осенью [146] был совершен ряд налетов на южную часть русского фронта в районе Ровно. Дирижаблям, размещенным в старых эллингах, в качестве целей были назначены Двинск, Рига, узловые железнодорожные станции Минск, Вилейка и Лида (11324).</w:t>
      </w:r>
    </w:p>
    <w:p w14:paraId="05AE71B8" w14:textId="77777777" w:rsidR="004B4E35" w:rsidRPr="00405303" w:rsidRDefault="004B4E35" w:rsidP="00C15251">
      <w:pPr>
        <w:jc w:val="both"/>
        <w:rPr>
          <w:bCs/>
          <w:color w:val="002060"/>
          <w:sz w:val="16"/>
          <w:szCs w:val="16"/>
        </w:rPr>
      </w:pPr>
    </w:p>
    <w:p w14:paraId="0176C2FB" w14:textId="1FFCC197" w:rsidR="004B4E35" w:rsidRPr="00405303" w:rsidRDefault="009E6F82" w:rsidP="00C15251">
      <w:pPr>
        <w:jc w:val="both"/>
        <w:rPr>
          <w:bCs/>
          <w:color w:val="002060"/>
          <w:sz w:val="16"/>
          <w:szCs w:val="16"/>
        </w:rPr>
      </w:pPr>
      <w:r w:rsidRPr="00405303">
        <w:rPr>
          <w:bCs/>
          <w:color w:val="002060"/>
          <w:sz w:val="16"/>
          <w:szCs w:val="16"/>
        </w:rPr>
        <w:t>До октября 1915 года немцам удалось переправить воздушным путем и без промежуточной посадки 24 германских самолета из Геркумсбада (Венгрия) в Адрианополь. В обороне Дарданелл они приняли самое деятельное участие.</w:t>
      </w:r>
    </w:p>
    <w:p w14:paraId="4422DAB2" w14:textId="77777777" w:rsidR="004B4E35" w:rsidRPr="00405303" w:rsidRDefault="009E6F82" w:rsidP="00C15251">
      <w:pPr>
        <w:jc w:val="both"/>
        <w:rPr>
          <w:bCs/>
          <w:color w:val="002060"/>
          <w:sz w:val="16"/>
          <w:szCs w:val="16"/>
        </w:rPr>
      </w:pPr>
      <w:r w:rsidRPr="00405303">
        <w:rPr>
          <w:bCs/>
          <w:color w:val="002060"/>
          <w:sz w:val="16"/>
          <w:szCs w:val="16"/>
        </w:rPr>
        <w:lastRenderedPageBreak/>
        <w:t>После ухода англичан из Галлиполи эти самолеты были отправлены в Ирак (Месопотамия). Они прибыли туда как раз вовремя для того, чтобы отнять у англичан, осажденных в Кут-эль-Амара, последнюю возможность связи с внешним миром по воздуху. Своей успешной деятельностью они немало содействовали капитуляции англичан.</w:t>
      </w:r>
    </w:p>
    <w:p w14:paraId="082CAB65" w14:textId="77777777" w:rsidR="004B4E35" w:rsidRPr="00405303" w:rsidRDefault="009E6F82" w:rsidP="00C15251">
      <w:pPr>
        <w:jc w:val="both"/>
        <w:rPr>
          <w:bCs/>
          <w:color w:val="002060"/>
          <w:sz w:val="16"/>
          <w:szCs w:val="16"/>
        </w:rPr>
      </w:pPr>
      <w:r w:rsidRPr="00405303">
        <w:rPr>
          <w:bCs/>
          <w:color w:val="002060"/>
          <w:sz w:val="16"/>
          <w:szCs w:val="16"/>
        </w:rPr>
        <w:t>Эти германские летчики и обслуживавший их самолеты технический персонал состояли на турецкой службе, тогда как авиаотряды, действовавшие в Палестине и на Синайском фронте, продолжали оставаться германскими частями, откомандированными в Турцию. Первым из них выехал из Германии в феврале 1916 года 300-й авиаотряд. Он был придан германо-турецкому экспедиционному корпусу, оперативной целью которого являлся захват Суэцкого канала.</w:t>
      </w:r>
    </w:p>
    <w:p w14:paraId="34B800A2" w14:textId="77777777" w:rsidR="004B4E35" w:rsidRPr="00405303" w:rsidRDefault="009E6F82" w:rsidP="00C15251">
      <w:pPr>
        <w:jc w:val="both"/>
        <w:rPr>
          <w:bCs/>
          <w:color w:val="002060"/>
          <w:sz w:val="16"/>
          <w:szCs w:val="16"/>
        </w:rPr>
      </w:pPr>
      <w:r w:rsidRPr="00405303">
        <w:rPr>
          <w:bCs/>
          <w:color w:val="002060"/>
          <w:sz w:val="16"/>
          <w:szCs w:val="16"/>
        </w:rPr>
        <w:t>Мысль применить авиацию в пустыне должна была казаться дерзкой. Многие вообще сомневались в возможности полетов в сильно нагретом разреженном воздухе.</w:t>
      </w:r>
    </w:p>
    <w:p w14:paraId="11FD1082" w14:textId="77777777" w:rsidR="004B4E35" w:rsidRPr="00405303" w:rsidRDefault="009E6F82" w:rsidP="00C15251">
      <w:pPr>
        <w:jc w:val="both"/>
        <w:rPr>
          <w:bCs/>
          <w:color w:val="002060"/>
          <w:sz w:val="16"/>
          <w:szCs w:val="16"/>
        </w:rPr>
      </w:pPr>
      <w:r w:rsidRPr="00405303">
        <w:rPr>
          <w:bCs/>
          <w:color w:val="002060"/>
          <w:sz w:val="16"/>
          <w:szCs w:val="16"/>
        </w:rPr>
        <w:t>Сомнительно было также, что удастся обеспечить техническое снабжение этого отряда, пользуясь коммуникационной линией, ведущей из Германии через Константинополь, Малую Азию и Сирию. Благодаря тщательнейшей подготовке удалось преодолеть все эти трудности, и этот отряд воздушной разведкой, бомбометанием и высадками в тылу противника оказал сражающимся на земле войскам неоценимую услугу (11262).</w:t>
      </w:r>
    </w:p>
    <w:p w14:paraId="346F13E8" w14:textId="5794E501" w:rsidR="004B4E35" w:rsidRPr="00405303" w:rsidRDefault="004B4E35" w:rsidP="00C15251">
      <w:pPr>
        <w:jc w:val="both"/>
        <w:rPr>
          <w:bCs/>
          <w:color w:val="002060"/>
          <w:sz w:val="16"/>
          <w:szCs w:val="16"/>
        </w:rPr>
      </w:pPr>
    </w:p>
    <w:p w14:paraId="3E6856D0" w14:textId="77777777" w:rsidR="00F6220B" w:rsidRPr="00405303" w:rsidRDefault="00F6220B" w:rsidP="00C15251">
      <w:pPr>
        <w:jc w:val="both"/>
        <w:rPr>
          <w:rFonts w:eastAsia="Times-Roman"/>
          <w:bCs/>
          <w:color w:val="002060"/>
          <w:sz w:val="16"/>
          <w:szCs w:val="16"/>
        </w:rPr>
      </w:pPr>
      <w:r w:rsidRPr="00405303">
        <w:rPr>
          <w:bCs/>
          <w:color w:val="002060"/>
          <w:sz w:val="16"/>
          <w:szCs w:val="16"/>
        </w:rPr>
        <w:t>В октябре 1915 г. доработанный М.15 Фоккера (снят левый пулемет, отказ от наклонной установки оружия) Паршау перегнал на Западный фронт, где провел его войсковые испытания. Конечно, два пулемета — это не три, но тогда и таких истребителей ни у кого не было. А тем временем на заводе «Фоккер» в Шверине под Берлином построили еще один опытный истребитель — М.17. Его закончили в ноябре 1915 г., потратив на постройку и испытания почти два месяца. И только в январе следующего года Кайзеровские воздушные войска Германии получили первые три серийных двухпулеметных истребителя Фоккер E IV. Облегчение вооружения положительно сказалось и на скорости, которая превысила 160 км/ч, и на маневренности. Немецкие авиаторы были крайне заинтересованы в таком самолете, но слабость производственной базы фирмы сдерживала поставки — с января по июль 1916 г. сделали лишь 48 машин (22754).</w:t>
      </w:r>
    </w:p>
    <w:p w14:paraId="43D73085" w14:textId="77777777" w:rsidR="00F6220B" w:rsidRPr="00405303" w:rsidRDefault="00F6220B" w:rsidP="00C15251">
      <w:pPr>
        <w:jc w:val="both"/>
        <w:rPr>
          <w:rFonts w:eastAsia="Times-Roman"/>
          <w:bCs/>
          <w:color w:val="002060"/>
          <w:sz w:val="16"/>
          <w:szCs w:val="16"/>
        </w:rPr>
      </w:pPr>
    </w:p>
    <w:p w14:paraId="675AEF79" w14:textId="77777777" w:rsidR="0050121B" w:rsidRPr="00B52707" w:rsidRDefault="0050121B" w:rsidP="0050121B">
      <w:pPr>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 xml:space="preserve">В октябре 1915 г. местом нового базирования цеппелина </w:t>
      </w:r>
      <w:r w:rsidRPr="00B52707">
        <w:rPr>
          <w:rStyle w:val="aa"/>
          <w:rFonts w:ascii="Times New Roman" w:hAnsi="Times New Roman"/>
          <w:color w:val="0070C0"/>
          <w:spacing w:val="0"/>
          <w:sz w:val="16"/>
          <w:szCs w:val="16"/>
          <w:lang w:val="en-US"/>
        </w:rPr>
        <w:t>LZ</w:t>
      </w:r>
      <w:r w:rsidRPr="00B52707">
        <w:rPr>
          <w:rStyle w:val="aa"/>
          <w:rFonts w:ascii="Times New Roman" w:hAnsi="Times New Roman"/>
          <w:color w:val="0070C0"/>
          <w:spacing w:val="0"/>
          <w:sz w:val="16"/>
          <w:szCs w:val="16"/>
        </w:rPr>
        <w:t>-39 стала г. Варшава. Ранее он, с началом вывода русских войск из Польши, был переброшен в г. Шнейдемюль (Пила). Оттуда он совершил несколько налетов на г. Ровно (25135).</w:t>
      </w:r>
    </w:p>
    <w:p w14:paraId="26A1DC96" w14:textId="77777777" w:rsidR="0050121B" w:rsidRPr="00B52707" w:rsidRDefault="0050121B" w:rsidP="0050121B">
      <w:pPr>
        <w:jc w:val="both"/>
        <w:rPr>
          <w:rStyle w:val="aa"/>
          <w:rFonts w:ascii="Times New Roman" w:hAnsi="Times New Roman"/>
          <w:color w:val="0070C0"/>
          <w:spacing w:val="0"/>
          <w:sz w:val="16"/>
          <w:szCs w:val="16"/>
        </w:rPr>
      </w:pPr>
    </w:p>
    <w:p w14:paraId="2A9821FD" w14:textId="77777777" w:rsidR="0050121B" w:rsidRPr="00B52707" w:rsidRDefault="0050121B" w:rsidP="0050121B">
      <w:pPr>
        <w:jc w:val="both"/>
        <w:rPr>
          <w:color w:val="0070C0"/>
          <w:sz w:val="16"/>
          <w:szCs w:val="16"/>
        </w:rPr>
      </w:pPr>
      <w:r w:rsidRPr="00B52707">
        <w:rPr>
          <w:rStyle w:val="aa"/>
          <w:rFonts w:ascii="Times New Roman" w:hAnsi="Times New Roman"/>
          <w:color w:val="0070C0"/>
          <w:spacing w:val="0"/>
          <w:sz w:val="16"/>
          <w:szCs w:val="16"/>
        </w:rPr>
        <w:t xml:space="preserve">В октябре 1915 г. на фронте для работы в глубоком тылу действовали германские дирижабли большей мощности. </w:t>
      </w:r>
      <w:r w:rsidRPr="00B52707">
        <w:rPr>
          <w:rStyle w:val="aa"/>
          <w:rFonts w:ascii="Times New Roman" w:hAnsi="Times New Roman"/>
          <w:color w:val="0070C0"/>
          <w:spacing w:val="0"/>
          <w:sz w:val="16"/>
          <w:szCs w:val="16"/>
          <w:lang w:val="en-US"/>
        </w:rPr>
        <w:t>LZ</w:t>
      </w:r>
      <w:r w:rsidRPr="00B52707">
        <w:rPr>
          <w:rStyle w:val="aa"/>
          <w:rFonts w:ascii="Times New Roman" w:hAnsi="Times New Roman"/>
          <w:color w:val="0070C0"/>
          <w:spacing w:val="0"/>
          <w:sz w:val="16"/>
          <w:szCs w:val="16"/>
        </w:rPr>
        <w:t xml:space="preserve">-85 и </w:t>
      </w:r>
      <w:r w:rsidRPr="00B52707">
        <w:rPr>
          <w:rStyle w:val="aa"/>
          <w:rFonts w:ascii="Times New Roman" w:hAnsi="Times New Roman"/>
          <w:color w:val="0070C0"/>
          <w:spacing w:val="0"/>
          <w:sz w:val="16"/>
          <w:szCs w:val="16"/>
          <w:lang w:val="en-US"/>
        </w:rPr>
        <w:t>LZ</w:t>
      </w:r>
      <w:r w:rsidRPr="00B52707">
        <w:rPr>
          <w:rStyle w:val="aa"/>
          <w:rFonts w:ascii="Times New Roman" w:hAnsi="Times New Roman"/>
          <w:color w:val="0070C0"/>
          <w:spacing w:val="0"/>
          <w:sz w:val="16"/>
          <w:szCs w:val="16"/>
        </w:rPr>
        <w:t xml:space="preserve">-86. </w:t>
      </w:r>
      <w:r w:rsidRPr="00B52707">
        <w:rPr>
          <w:rStyle w:val="aa"/>
          <w:rFonts w:ascii="Times New Roman" w:hAnsi="Times New Roman"/>
          <w:color w:val="0070C0"/>
          <w:spacing w:val="0"/>
          <w:sz w:val="16"/>
          <w:szCs w:val="16"/>
          <w:lang w:val="en-US"/>
        </w:rPr>
        <w:t>LZ</w:t>
      </w:r>
      <w:r w:rsidRPr="00B52707">
        <w:rPr>
          <w:rStyle w:val="aa"/>
          <w:rFonts w:ascii="Times New Roman" w:hAnsi="Times New Roman"/>
          <w:color w:val="0070C0"/>
          <w:spacing w:val="0"/>
          <w:sz w:val="16"/>
          <w:szCs w:val="16"/>
        </w:rPr>
        <w:t xml:space="preserve">-85 получил свою прописку в г. Кёнигсберг, а </w:t>
      </w:r>
      <w:r w:rsidRPr="00B52707">
        <w:rPr>
          <w:rStyle w:val="aa"/>
          <w:rFonts w:ascii="Times New Roman" w:hAnsi="Times New Roman"/>
          <w:color w:val="0070C0"/>
          <w:spacing w:val="0"/>
          <w:sz w:val="16"/>
          <w:szCs w:val="16"/>
          <w:lang w:val="en-US"/>
        </w:rPr>
        <w:t>LZ</w:t>
      </w:r>
      <w:r w:rsidRPr="00B52707">
        <w:rPr>
          <w:rStyle w:val="aa"/>
          <w:rFonts w:ascii="Times New Roman" w:hAnsi="Times New Roman"/>
          <w:color w:val="0070C0"/>
          <w:spacing w:val="0"/>
          <w:sz w:val="16"/>
          <w:szCs w:val="16"/>
        </w:rPr>
        <w:t xml:space="preserve">-86 – в Алленштейне. Появление новых цеппелинов не замедлило сказаться на интенсивности воздушных налетов на наши города. Так, в период октября </w:t>
      </w:r>
      <w:r w:rsidRPr="00B52707">
        <w:rPr>
          <w:rStyle w:val="aa"/>
          <w:rFonts w:ascii="Times New Roman" w:hAnsi="Times New Roman"/>
          <w:color w:val="0070C0"/>
          <w:spacing w:val="0"/>
          <w:sz w:val="16"/>
          <w:szCs w:val="16"/>
          <w:lang w:val="en-US"/>
        </w:rPr>
        <w:t>LZ</w:t>
      </w:r>
      <w:r w:rsidRPr="00B52707">
        <w:rPr>
          <w:rStyle w:val="aa"/>
          <w:rFonts w:ascii="Times New Roman" w:hAnsi="Times New Roman"/>
          <w:color w:val="0070C0"/>
          <w:spacing w:val="0"/>
          <w:sz w:val="16"/>
          <w:szCs w:val="16"/>
        </w:rPr>
        <w:t>-85 совершил три налета и подверг бомбардировке г. Двинск, Минск и Рига, сбросив на них в общей сложности 10,6 тонны бомб</w:t>
      </w:r>
      <w:hyperlink w:anchor="bookmark1321" w:tooltip="Current Document">
        <w:r w:rsidRPr="00B52707">
          <w:rPr>
            <w:rStyle w:val="aa"/>
            <w:rFonts w:ascii="Times New Roman" w:hAnsi="Times New Roman"/>
            <w:color w:val="0070C0"/>
            <w:spacing w:val="0"/>
            <w:sz w:val="16"/>
            <w:szCs w:val="16"/>
            <w:u w:val="single"/>
            <w:vertAlign w:val="superscript"/>
          </w:rPr>
          <w:t>[252]</w:t>
        </w:r>
      </w:hyperlink>
      <w:r w:rsidRPr="00B52707">
        <w:rPr>
          <w:rStyle w:val="aa"/>
          <w:rFonts w:ascii="Times New Roman" w:hAnsi="Times New Roman"/>
          <w:color w:val="0070C0"/>
          <w:spacing w:val="0"/>
          <w:sz w:val="16"/>
          <w:szCs w:val="16"/>
        </w:rPr>
        <w:t>. В дальнейшем, ввиду неблагоприятной зимней погоды, цеппелин был переведен на Балканский фронт.</w:t>
      </w:r>
    </w:p>
    <w:p w14:paraId="295CA2EE" w14:textId="77777777" w:rsidR="0050121B" w:rsidRPr="00B52707" w:rsidRDefault="0050121B" w:rsidP="0050121B">
      <w:pPr>
        <w:jc w:val="both"/>
        <w:rPr>
          <w:color w:val="0070C0"/>
          <w:sz w:val="16"/>
          <w:szCs w:val="16"/>
        </w:rPr>
      </w:pPr>
      <w:r w:rsidRPr="00B52707">
        <w:rPr>
          <w:rStyle w:val="aa"/>
          <w:rFonts w:ascii="Times New Roman" w:hAnsi="Times New Roman"/>
          <w:color w:val="0070C0"/>
          <w:spacing w:val="0"/>
          <w:sz w:val="16"/>
          <w:szCs w:val="16"/>
        </w:rPr>
        <w:t xml:space="preserve">Помимо сухопутных дирижаблей для боевых действий на Восточном фронте были привлечены и воздушные корабли </w:t>
      </w:r>
      <w:r w:rsidRPr="00B52707">
        <w:rPr>
          <w:rStyle w:val="aa"/>
          <w:rFonts w:ascii="Times New Roman" w:hAnsi="Times New Roman"/>
          <w:color w:val="0070C0"/>
          <w:spacing w:val="0"/>
          <w:sz w:val="16"/>
          <w:szCs w:val="16"/>
          <w:lang w:val="en-US"/>
        </w:rPr>
        <w:t>SL</w:t>
      </w:r>
      <w:r w:rsidRPr="00B52707">
        <w:rPr>
          <w:rStyle w:val="aa"/>
          <w:rFonts w:ascii="Times New Roman" w:hAnsi="Times New Roman"/>
          <w:color w:val="0070C0"/>
          <w:spacing w:val="0"/>
          <w:sz w:val="16"/>
          <w:szCs w:val="16"/>
        </w:rPr>
        <w:t xml:space="preserve">-7, </w:t>
      </w:r>
      <w:r w:rsidRPr="00B52707">
        <w:rPr>
          <w:rStyle w:val="aa"/>
          <w:rFonts w:ascii="Times New Roman" w:hAnsi="Times New Roman"/>
          <w:color w:val="0070C0"/>
          <w:spacing w:val="0"/>
          <w:sz w:val="16"/>
          <w:szCs w:val="16"/>
          <w:lang w:val="en-US"/>
        </w:rPr>
        <w:t>LZ</w:t>
      </w:r>
      <w:r w:rsidRPr="00B52707">
        <w:rPr>
          <w:rStyle w:val="aa"/>
          <w:rFonts w:ascii="Times New Roman" w:hAnsi="Times New Roman"/>
          <w:color w:val="0070C0"/>
          <w:spacing w:val="0"/>
          <w:sz w:val="16"/>
          <w:szCs w:val="16"/>
        </w:rPr>
        <w:t xml:space="preserve">- 88, </w:t>
      </w:r>
      <w:r w:rsidRPr="00B52707">
        <w:rPr>
          <w:rStyle w:val="aa"/>
          <w:rFonts w:ascii="Times New Roman" w:hAnsi="Times New Roman"/>
          <w:color w:val="0070C0"/>
          <w:spacing w:val="0"/>
          <w:sz w:val="16"/>
          <w:szCs w:val="16"/>
          <w:lang w:val="en-US"/>
        </w:rPr>
        <w:t>LZ</w:t>
      </w:r>
      <w:r w:rsidRPr="00B52707">
        <w:rPr>
          <w:rStyle w:val="aa"/>
          <w:rFonts w:ascii="Times New Roman" w:hAnsi="Times New Roman"/>
          <w:color w:val="0070C0"/>
          <w:spacing w:val="0"/>
          <w:sz w:val="16"/>
          <w:szCs w:val="16"/>
        </w:rPr>
        <w:t xml:space="preserve">-89 морского ведомства Германии, пришедшие на замену погибших ранее в катастрофах дирижаблей </w:t>
      </w:r>
      <w:r w:rsidRPr="00B52707">
        <w:rPr>
          <w:rStyle w:val="aa"/>
          <w:rFonts w:ascii="Times New Roman" w:hAnsi="Times New Roman"/>
          <w:color w:val="0070C0"/>
          <w:spacing w:val="0"/>
          <w:sz w:val="16"/>
          <w:szCs w:val="16"/>
          <w:lang w:val="en-US"/>
        </w:rPr>
        <w:t>SL</w:t>
      </w:r>
      <w:r w:rsidRPr="00B52707">
        <w:rPr>
          <w:rStyle w:val="aa"/>
          <w:rFonts w:ascii="Times New Roman" w:hAnsi="Times New Roman"/>
          <w:color w:val="0070C0"/>
          <w:spacing w:val="0"/>
          <w:sz w:val="16"/>
          <w:szCs w:val="16"/>
        </w:rPr>
        <w:t xml:space="preserve">-4, </w:t>
      </w:r>
      <w:r w:rsidRPr="00B52707">
        <w:rPr>
          <w:rStyle w:val="aa"/>
          <w:rFonts w:ascii="Times New Roman" w:hAnsi="Times New Roman"/>
          <w:color w:val="0070C0"/>
          <w:spacing w:val="0"/>
          <w:sz w:val="16"/>
          <w:szCs w:val="16"/>
          <w:lang w:val="en-US"/>
        </w:rPr>
        <w:t>SL</w:t>
      </w:r>
      <w:r w:rsidRPr="00B52707">
        <w:rPr>
          <w:rStyle w:val="aa"/>
          <w:rFonts w:ascii="Times New Roman" w:hAnsi="Times New Roman"/>
          <w:color w:val="0070C0"/>
          <w:spacing w:val="0"/>
          <w:sz w:val="16"/>
          <w:szCs w:val="16"/>
        </w:rPr>
        <w:t xml:space="preserve">-6, </w:t>
      </w:r>
      <w:r w:rsidRPr="00B52707">
        <w:rPr>
          <w:rStyle w:val="aa"/>
          <w:rFonts w:ascii="Times New Roman" w:hAnsi="Times New Roman"/>
          <w:color w:val="0070C0"/>
          <w:spacing w:val="0"/>
          <w:sz w:val="16"/>
          <w:szCs w:val="16"/>
          <w:lang w:val="en-US"/>
        </w:rPr>
        <w:t>L</w:t>
      </w:r>
      <w:r w:rsidRPr="00B52707">
        <w:rPr>
          <w:rStyle w:val="aa"/>
          <w:rFonts w:ascii="Times New Roman" w:hAnsi="Times New Roman"/>
          <w:color w:val="0070C0"/>
          <w:spacing w:val="0"/>
          <w:sz w:val="16"/>
          <w:szCs w:val="16"/>
        </w:rPr>
        <w:t>-38 и др.</w:t>
      </w:r>
    </w:p>
    <w:p w14:paraId="61E34AE4" w14:textId="77777777" w:rsidR="0050121B" w:rsidRPr="00B52707" w:rsidRDefault="0050121B" w:rsidP="0050121B">
      <w:pPr>
        <w:jc w:val="both"/>
        <w:rPr>
          <w:color w:val="0070C0"/>
          <w:sz w:val="16"/>
          <w:szCs w:val="16"/>
        </w:rPr>
      </w:pPr>
      <w:r w:rsidRPr="00B52707">
        <w:rPr>
          <w:rStyle w:val="aa"/>
          <w:rFonts w:ascii="Times New Roman" w:hAnsi="Times New Roman"/>
          <w:color w:val="0070C0"/>
          <w:spacing w:val="0"/>
          <w:sz w:val="16"/>
          <w:szCs w:val="16"/>
        </w:rPr>
        <w:t>Помимо приморских районов они задействовались и для совершения налетов на объекты, расположенные на значительном расстоянии от моря (25135).</w:t>
      </w:r>
    </w:p>
    <w:p w14:paraId="67BD0323" w14:textId="77777777" w:rsidR="0050121B" w:rsidRPr="00B52707" w:rsidRDefault="0050121B" w:rsidP="0050121B">
      <w:pPr>
        <w:jc w:val="both"/>
        <w:rPr>
          <w:rStyle w:val="aa"/>
          <w:rFonts w:ascii="Times New Roman" w:hAnsi="Times New Roman"/>
          <w:color w:val="0070C0"/>
          <w:spacing w:val="0"/>
          <w:sz w:val="16"/>
          <w:szCs w:val="16"/>
        </w:rPr>
      </w:pPr>
    </w:p>
    <w:p w14:paraId="592E4EA6" w14:textId="77777777" w:rsidR="0050121B" w:rsidRPr="00B52707" w:rsidRDefault="0050121B" w:rsidP="0050121B">
      <w:pPr>
        <w:jc w:val="both"/>
        <w:rPr>
          <w:color w:val="0070C0"/>
          <w:sz w:val="16"/>
          <w:szCs w:val="16"/>
        </w:rPr>
      </w:pPr>
      <w:r w:rsidRPr="00B52707">
        <w:rPr>
          <w:rStyle w:val="aa"/>
          <w:rFonts w:ascii="Times New Roman" w:hAnsi="Times New Roman"/>
          <w:color w:val="0070C0"/>
          <w:spacing w:val="0"/>
          <w:sz w:val="16"/>
          <w:szCs w:val="16"/>
        </w:rPr>
        <w:t xml:space="preserve">В октябре 1915 г. объектом нападения цеппелина </w:t>
      </w:r>
      <w:r w:rsidRPr="00B52707">
        <w:rPr>
          <w:rStyle w:val="aa"/>
          <w:rFonts w:ascii="Times New Roman" w:hAnsi="Times New Roman"/>
          <w:color w:val="0070C0"/>
          <w:spacing w:val="0"/>
          <w:sz w:val="16"/>
          <w:szCs w:val="16"/>
          <w:lang w:val="en-US"/>
        </w:rPr>
        <w:t>LZ</w:t>
      </w:r>
      <w:r w:rsidRPr="00B52707">
        <w:rPr>
          <w:rStyle w:val="aa"/>
          <w:rFonts w:ascii="Times New Roman" w:hAnsi="Times New Roman"/>
          <w:color w:val="0070C0"/>
          <w:spacing w:val="0"/>
          <w:sz w:val="16"/>
          <w:szCs w:val="16"/>
        </w:rPr>
        <w:t>-86 стала Рига. На ее жилые кварталы немецкие аэронавты сбросили несколько бомб без особого ущерба для жителей город</w:t>
      </w:r>
      <w:hyperlink w:anchor="bookmark1322" w:tooltip="Current Document">
        <w:r w:rsidRPr="00B52707">
          <w:rPr>
            <w:rStyle w:val="aa"/>
            <w:rFonts w:ascii="Times New Roman" w:hAnsi="Times New Roman"/>
            <w:color w:val="0070C0"/>
            <w:spacing w:val="0"/>
            <w:sz w:val="16"/>
            <w:szCs w:val="16"/>
          </w:rPr>
          <w:t>а (25135)</w:t>
        </w:r>
      </w:hyperlink>
      <w:r w:rsidRPr="00B52707">
        <w:rPr>
          <w:rStyle w:val="aa"/>
          <w:rFonts w:ascii="Times New Roman" w:hAnsi="Times New Roman"/>
          <w:color w:val="0070C0"/>
          <w:spacing w:val="0"/>
          <w:sz w:val="16"/>
          <w:szCs w:val="16"/>
        </w:rPr>
        <w:t>.</w:t>
      </w:r>
    </w:p>
    <w:p w14:paraId="608C1696" w14:textId="77777777" w:rsidR="0050121B" w:rsidRPr="00B52707" w:rsidRDefault="0050121B" w:rsidP="0050121B">
      <w:pPr>
        <w:jc w:val="both"/>
        <w:rPr>
          <w:rStyle w:val="aa"/>
          <w:rFonts w:ascii="Times New Roman" w:hAnsi="Times New Roman"/>
          <w:color w:val="0070C0"/>
          <w:spacing w:val="0"/>
          <w:sz w:val="16"/>
          <w:szCs w:val="16"/>
        </w:rPr>
      </w:pPr>
    </w:p>
    <w:p w14:paraId="794B61FD" w14:textId="77777777" w:rsidR="0050121B" w:rsidRPr="00B52707" w:rsidRDefault="0050121B" w:rsidP="0050121B">
      <w:pPr>
        <w:jc w:val="both"/>
        <w:rPr>
          <w:color w:val="0070C0"/>
          <w:sz w:val="16"/>
          <w:szCs w:val="16"/>
        </w:rPr>
      </w:pPr>
      <w:r w:rsidRPr="00B52707">
        <w:rPr>
          <w:rStyle w:val="aa"/>
          <w:rFonts w:ascii="Times New Roman" w:hAnsi="Times New Roman"/>
          <w:color w:val="0070C0"/>
          <w:spacing w:val="0"/>
          <w:sz w:val="16"/>
          <w:szCs w:val="16"/>
        </w:rPr>
        <w:t xml:space="preserve">В октябре 1915 года </w:t>
      </w:r>
      <w:r w:rsidRPr="00B52707">
        <w:rPr>
          <w:rStyle w:val="aa"/>
          <w:rFonts w:ascii="Times New Roman" w:hAnsi="Times New Roman"/>
          <w:color w:val="0070C0"/>
          <w:spacing w:val="0"/>
          <w:sz w:val="16"/>
          <w:szCs w:val="16"/>
          <w:lang w:val="en-US"/>
        </w:rPr>
        <w:t>LZ</w:t>
      </w:r>
      <w:r w:rsidRPr="00B52707">
        <w:rPr>
          <w:rStyle w:val="aa"/>
          <w:rFonts w:ascii="Times New Roman" w:hAnsi="Times New Roman"/>
          <w:color w:val="0070C0"/>
          <w:spacing w:val="0"/>
          <w:sz w:val="16"/>
          <w:szCs w:val="16"/>
        </w:rPr>
        <w:t xml:space="preserve">-85 совершил три налета и подверг бомбардировке наиболее крупные города Лифляндской губернии, в том числе г. Рига, сбросив на них в общей сложности 10,6 тонны бомб. В дальнейшем, в виду неблагоприятной зимней погоды, цеппелин был переведен на Балканский фронт. Одновременно город стал объектом нападения цеппелина </w:t>
      </w:r>
      <w:r w:rsidRPr="00B52707">
        <w:rPr>
          <w:rStyle w:val="aa"/>
          <w:rFonts w:ascii="Times New Roman" w:hAnsi="Times New Roman"/>
          <w:color w:val="0070C0"/>
          <w:spacing w:val="0"/>
          <w:sz w:val="16"/>
          <w:szCs w:val="16"/>
          <w:lang w:val="en-US"/>
        </w:rPr>
        <w:t>LZ</w:t>
      </w:r>
      <w:r w:rsidRPr="00B52707">
        <w:rPr>
          <w:rStyle w:val="aa"/>
          <w:rFonts w:ascii="Times New Roman" w:hAnsi="Times New Roman"/>
          <w:color w:val="0070C0"/>
          <w:spacing w:val="0"/>
          <w:sz w:val="16"/>
          <w:szCs w:val="16"/>
        </w:rPr>
        <w:t>-86. На жилые кварталы Риги немецкие аэронавты сбросили несколько бомб без особого ущерба для рижан (25166).</w:t>
      </w:r>
    </w:p>
    <w:p w14:paraId="5BFB1D85" w14:textId="77777777" w:rsidR="0050121B" w:rsidRPr="00B52707" w:rsidRDefault="0050121B" w:rsidP="0050121B">
      <w:pPr>
        <w:jc w:val="both"/>
        <w:rPr>
          <w:rStyle w:val="aa"/>
          <w:rFonts w:ascii="Times New Roman" w:hAnsi="Times New Roman"/>
          <w:color w:val="0070C0"/>
          <w:spacing w:val="0"/>
          <w:sz w:val="16"/>
          <w:szCs w:val="16"/>
        </w:rPr>
      </w:pPr>
    </w:p>
    <w:p w14:paraId="06223E9E" w14:textId="24FE6319" w:rsidR="00F6220B" w:rsidRPr="00405303" w:rsidRDefault="00F6220B" w:rsidP="00C15251">
      <w:pPr>
        <w:jc w:val="both"/>
        <w:rPr>
          <w:bCs/>
          <w:i/>
          <w:iCs/>
          <w:color w:val="002060"/>
          <w:sz w:val="16"/>
          <w:szCs w:val="16"/>
        </w:rPr>
      </w:pPr>
      <w:r w:rsidRPr="00405303">
        <w:rPr>
          <w:bCs/>
          <w:i/>
          <w:iCs/>
          <w:color w:val="002060"/>
          <w:sz w:val="16"/>
          <w:szCs w:val="16"/>
        </w:rPr>
        <w:t>За рубежом:</w:t>
      </w:r>
    </w:p>
    <w:p w14:paraId="3A089D22" w14:textId="77777777" w:rsidR="00F6220B" w:rsidRPr="00405303" w:rsidRDefault="00F6220B" w:rsidP="00C15251">
      <w:pPr>
        <w:jc w:val="both"/>
        <w:rPr>
          <w:bCs/>
          <w:i/>
          <w:iCs/>
          <w:color w:val="002060"/>
          <w:sz w:val="16"/>
          <w:szCs w:val="16"/>
        </w:rPr>
      </w:pPr>
    </w:p>
    <w:p w14:paraId="0F1AC81D" w14:textId="77777777" w:rsidR="00F6220B" w:rsidRPr="00405303" w:rsidRDefault="00F6220B" w:rsidP="00C15251">
      <w:pPr>
        <w:jc w:val="both"/>
        <w:rPr>
          <w:rFonts w:eastAsia="TimesNewRoman"/>
          <w:bCs/>
          <w:color w:val="002060"/>
          <w:sz w:val="16"/>
          <w:szCs w:val="16"/>
        </w:rPr>
      </w:pPr>
      <w:r w:rsidRPr="00405303">
        <w:rPr>
          <w:rFonts w:eastAsia="TimesNewRoman"/>
          <w:bCs/>
          <w:color w:val="002060"/>
          <w:sz w:val="16"/>
          <w:szCs w:val="16"/>
        </w:rPr>
        <w:t xml:space="preserve">В октябре </w:t>
      </w:r>
      <w:r w:rsidRPr="00405303">
        <w:rPr>
          <w:rFonts w:eastAsia="Times-Roman"/>
          <w:bCs/>
          <w:color w:val="002060"/>
          <w:sz w:val="16"/>
          <w:szCs w:val="16"/>
        </w:rPr>
        <w:t xml:space="preserve">1915 </w:t>
      </w:r>
      <w:r w:rsidRPr="00405303">
        <w:rPr>
          <w:rFonts w:eastAsia="TimesNewRoman"/>
          <w:bCs/>
          <w:color w:val="002060"/>
          <w:sz w:val="16"/>
          <w:szCs w:val="16"/>
        </w:rPr>
        <w:t>года немцы с помощью фосгена осуществили химическую атаку против французских войск у г</w:t>
      </w:r>
      <w:r w:rsidRPr="00405303">
        <w:rPr>
          <w:rFonts w:eastAsia="Times-Roman"/>
          <w:bCs/>
          <w:color w:val="002060"/>
          <w:sz w:val="16"/>
          <w:szCs w:val="16"/>
        </w:rPr>
        <w:t xml:space="preserve">. </w:t>
      </w:r>
      <w:r w:rsidRPr="00405303">
        <w:rPr>
          <w:rFonts w:eastAsia="TimesNewRoman"/>
          <w:bCs/>
          <w:color w:val="002060"/>
          <w:sz w:val="16"/>
          <w:szCs w:val="16"/>
        </w:rPr>
        <w:t>Реймса</w:t>
      </w:r>
      <w:r w:rsidRPr="00405303">
        <w:rPr>
          <w:rFonts w:eastAsia="Times-Roman"/>
          <w:bCs/>
          <w:color w:val="002060"/>
          <w:sz w:val="16"/>
          <w:szCs w:val="16"/>
        </w:rPr>
        <w:t xml:space="preserve">. </w:t>
      </w:r>
      <w:r w:rsidRPr="00405303">
        <w:rPr>
          <w:rFonts w:eastAsia="TimesNewRoman"/>
          <w:bCs/>
          <w:color w:val="002060"/>
          <w:sz w:val="16"/>
          <w:szCs w:val="16"/>
        </w:rPr>
        <w:t xml:space="preserve">В результате этой атаки было отравлено около </w:t>
      </w:r>
      <w:r w:rsidRPr="00405303">
        <w:rPr>
          <w:rFonts w:eastAsia="Times-Roman"/>
          <w:bCs/>
          <w:color w:val="002060"/>
          <w:sz w:val="16"/>
          <w:szCs w:val="16"/>
        </w:rPr>
        <w:t xml:space="preserve">5 </w:t>
      </w:r>
      <w:r w:rsidRPr="00405303">
        <w:rPr>
          <w:rFonts w:eastAsia="TimesNewRoman"/>
          <w:bCs/>
          <w:color w:val="002060"/>
          <w:sz w:val="16"/>
          <w:szCs w:val="16"/>
        </w:rPr>
        <w:t>тыс. человек</w:t>
      </w:r>
      <w:r w:rsidRPr="00405303">
        <w:rPr>
          <w:rFonts w:eastAsia="Times-Roman"/>
          <w:bCs/>
          <w:color w:val="002060"/>
          <w:sz w:val="16"/>
          <w:szCs w:val="16"/>
        </w:rPr>
        <w:t xml:space="preserve">, </w:t>
      </w:r>
      <w:r w:rsidRPr="00405303">
        <w:rPr>
          <w:rFonts w:eastAsia="TimesNewRoman"/>
          <w:bCs/>
          <w:color w:val="002060"/>
          <w:sz w:val="16"/>
          <w:szCs w:val="16"/>
        </w:rPr>
        <w:t xml:space="preserve">из которых </w:t>
      </w:r>
      <w:r w:rsidRPr="00405303">
        <w:rPr>
          <w:rFonts w:eastAsia="Times-Roman"/>
          <w:bCs/>
          <w:color w:val="002060"/>
          <w:sz w:val="16"/>
          <w:szCs w:val="16"/>
        </w:rPr>
        <w:t xml:space="preserve">800 </w:t>
      </w:r>
      <w:r w:rsidRPr="00405303">
        <w:rPr>
          <w:rFonts w:eastAsia="TimesNewRoman"/>
          <w:bCs/>
          <w:color w:val="002060"/>
          <w:sz w:val="16"/>
          <w:szCs w:val="16"/>
        </w:rPr>
        <w:t>погибло (20240).</w:t>
      </w:r>
    </w:p>
    <w:p w14:paraId="117BA7E0" w14:textId="77777777" w:rsidR="00F6220B" w:rsidRPr="00405303" w:rsidRDefault="00F6220B" w:rsidP="00C15251">
      <w:pPr>
        <w:jc w:val="both"/>
        <w:rPr>
          <w:rFonts w:eastAsia="TimesNewRoman"/>
          <w:bCs/>
          <w:color w:val="002060"/>
          <w:sz w:val="16"/>
          <w:szCs w:val="16"/>
        </w:rPr>
      </w:pPr>
    </w:p>
    <w:p w14:paraId="1F06E106" w14:textId="66365A09" w:rsidR="007A095B" w:rsidRPr="00405303" w:rsidRDefault="007A095B" w:rsidP="00C15251">
      <w:pPr>
        <w:jc w:val="both"/>
        <w:rPr>
          <w:bCs/>
          <w:i/>
          <w:color w:val="002060"/>
          <w:sz w:val="16"/>
          <w:szCs w:val="16"/>
        </w:rPr>
      </w:pPr>
      <w:r w:rsidRPr="00405303">
        <w:rPr>
          <w:bCs/>
          <w:i/>
          <w:color w:val="002060"/>
          <w:sz w:val="16"/>
          <w:szCs w:val="16"/>
        </w:rPr>
        <w:t>Самолетостроение:</w:t>
      </w:r>
    </w:p>
    <w:p w14:paraId="47E7E7CF" w14:textId="77777777" w:rsidR="007A095B" w:rsidRPr="00405303" w:rsidRDefault="007A095B" w:rsidP="00C15251">
      <w:pPr>
        <w:jc w:val="both"/>
        <w:rPr>
          <w:bCs/>
          <w:i/>
          <w:color w:val="002060"/>
          <w:sz w:val="16"/>
          <w:szCs w:val="16"/>
        </w:rPr>
      </w:pPr>
    </w:p>
    <w:p w14:paraId="4A79D4C4" w14:textId="77777777" w:rsidR="007A095B" w:rsidRPr="00405303" w:rsidRDefault="007A095B" w:rsidP="00C15251">
      <w:pPr>
        <w:jc w:val="both"/>
        <w:rPr>
          <w:bCs/>
          <w:color w:val="002060"/>
          <w:sz w:val="16"/>
          <w:szCs w:val="16"/>
        </w:rPr>
      </w:pPr>
      <w:r w:rsidRPr="00405303">
        <w:rPr>
          <w:bCs/>
          <w:color w:val="002060"/>
          <w:sz w:val="16"/>
          <w:szCs w:val="16"/>
        </w:rPr>
        <w:t>К ноябрю 1915 г. российские заводы сумели выпустить почти 800 самолетов. Еще 300 аэропланов доставили из-за границы (23472).</w:t>
      </w:r>
    </w:p>
    <w:p w14:paraId="3EE44031" w14:textId="77777777" w:rsidR="007A095B" w:rsidRPr="00405303" w:rsidRDefault="007A095B" w:rsidP="00C15251">
      <w:pPr>
        <w:jc w:val="both"/>
        <w:rPr>
          <w:bCs/>
          <w:color w:val="002060"/>
          <w:sz w:val="16"/>
          <w:szCs w:val="16"/>
        </w:rPr>
      </w:pPr>
    </w:p>
    <w:p w14:paraId="245B8C77" w14:textId="65F3754D" w:rsidR="00116C91" w:rsidRPr="00405303" w:rsidRDefault="00116C91" w:rsidP="00C15251">
      <w:pPr>
        <w:jc w:val="both"/>
        <w:rPr>
          <w:bCs/>
          <w:i/>
          <w:color w:val="002060"/>
          <w:sz w:val="16"/>
          <w:szCs w:val="16"/>
        </w:rPr>
      </w:pPr>
      <w:r w:rsidRPr="00405303">
        <w:rPr>
          <w:bCs/>
          <w:i/>
          <w:color w:val="002060"/>
          <w:sz w:val="16"/>
          <w:szCs w:val="16"/>
        </w:rPr>
        <w:t>Другие оборонные отрасли:</w:t>
      </w:r>
    </w:p>
    <w:p w14:paraId="67287B42" w14:textId="77777777" w:rsidR="00116C91" w:rsidRPr="00405303" w:rsidRDefault="00116C91" w:rsidP="00C15251">
      <w:pPr>
        <w:jc w:val="both"/>
        <w:rPr>
          <w:bCs/>
          <w:i/>
          <w:color w:val="002060"/>
          <w:sz w:val="16"/>
          <w:szCs w:val="16"/>
        </w:rPr>
      </w:pPr>
    </w:p>
    <w:p w14:paraId="170D7E80" w14:textId="77777777" w:rsidR="00116C91" w:rsidRPr="00405303" w:rsidRDefault="00116C91" w:rsidP="00C15251">
      <w:pPr>
        <w:pStyle w:val="p1"/>
        <w:spacing w:before="0" w:beforeAutospacing="0" w:after="0" w:afterAutospacing="0"/>
        <w:jc w:val="both"/>
        <w:rPr>
          <w:bCs/>
          <w:color w:val="002060"/>
          <w:sz w:val="16"/>
          <w:szCs w:val="16"/>
        </w:rPr>
      </w:pPr>
      <w:r w:rsidRPr="00405303">
        <w:rPr>
          <w:bCs/>
          <w:color w:val="002060"/>
          <w:sz w:val="16"/>
          <w:szCs w:val="16"/>
        </w:rPr>
        <w:t>К ноябрю 1915 г. при «самой широкой» оценке, с начала войны и до середины 1916 г. фронт нуждался в 24 526 автомобилях и 16 455 мотоциклах, 23 905 самокатах, половину всех этих машин еще только предстояло заказать. «Предметы предстоящей заготовки в главной массе, к сожалению, относятся к числу не изготовляемых в России», — докладывало ГВТУ Особому совещанию по обороне; лишь «часть поставки», «вероятно, представится возможность разместить в России» (в том числе самокаты, часть шин, броню, кузова для санитарных автомобилей), но приходилось считаться с перегруженностью заказами одних заводов и неустроенностью других после эвакуации на новом месте. Освоивший шины рижский «Проводник» как раз обосновывался на новом месте, а «Треугольник», во-первых, проводил у себя переоборудование и расширение, а во-вторых, не мог изготовлять шины для основного количества приобретаемых за границей, в США (хотя европейские изделия были выше качеством), автомобилей, не имея на съемные обода патента и специальной фасонной стали. Сама возможность заказа за границей недостающих машин и материалов зависела от согласия союзников (18366).</w:t>
      </w:r>
    </w:p>
    <w:p w14:paraId="7BBAC113" w14:textId="77777777" w:rsidR="00116C91" w:rsidRPr="00405303" w:rsidRDefault="00116C91" w:rsidP="00C15251">
      <w:pPr>
        <w:pStyle w:val="p1"/>
        <w:spacing w:before="0" w:beforeAutospacing="0" w:after="0" w:afterAutospacing="0"/>
        <w:jc w:val="both"/>
        <w:rPr>
          <w:bCs/>
          <w:color w:val="002060"/>
          <w:sz w:val="16"/>
          <w:szCs w:val="16"/>
        </w:rPr>
      </w:pPr>
    </w:p>
    <w:p w14:paraId="468DE82B" w14:textId="77777777" w:rsidR="00116C91" w:rsidRPr="00405303" w:rsidRDefault="00116C91" w:rsidP="00C15251">
      <w:pPr>
        <w:pStyle w:val="p1"/>
        <w:spacing w:before="0" w:beforeAutospacing="0" w:after="0" w:afterAutospacing="0"/>
        <w:jc w:val="both"/>
        <w:rPr>
          <w:bCs/>
          <w:color w:val="002060"/>
          <w:sz w:val="16"/>
          <w:szCs w:val="16"/>
        </w:rPr>
      </w:pPr>
      <w:r w:rsidRPr="00405303">
        <w:rPr>
          <w:bCs/>
          <w:color w:val="002060"/>
          <w:sz w:val="16"/>
          <w:szCs w:val="16"/>
        </w:rPr>
        <w:t>К ноябрю 1915 г., как это представлялось при «самой широкой» оценке, с начала войны до середины 1916 г. фронт нуждался в 24 526 автомобилях и 16 455 мотоциклах, 23 905 самокатах, половину всех этих машин еще только предстояло заказать. «Предметы предстоящей заготовки в главной массе, к сожалению, относятся к числу не изготовляемых в России», — докладывало ГВТУ Особому совещанию по обороне; лишь «часть поставки», «вероятно, представится возможность разместить в России» (в том числе самокаты, часть шин, броню, кузова для санитарных автомобилей), но приходилось считаться с перегруженностью заказами одних заводов и неустроенностью других после эвакуации на новом месте. Освоивший шины рижский «Проводник» как раз обосновывался на новом месте, а «Треугольник», во-первых, проводил у себя переоборудование и расширение, а во-вторых, не мог изготовлять шины для основного количества приобретаемых за границей, в США (хотя европейские изделия были выше качеством), автомобилей, не имея на съемные обода патента и специальной фасонной стали. Сама возможность заказа за границей недостающих машин и материалов зависела от согласия союзников (18409).</w:t>
      </w:r>
    </w:p>
    <w:p w14:paraId="4D10939C" w14:textId="77777777" w:rsidR="00116C91" w:rsidRPr="00405303" w:rsidRDefault="00116C91" w:rsidP="00C15251">
      <w:pPr>
        <w:pStyle w:val="p1"/>
        <w:spacing w:before="0" w:beforeAutospacing="0" w:after="0" w:afterAutospacing="0"/>
        <w:jc w:val="both"/>
        <w:rPr>
          <w:bCs/>
          <w:color w:val="002060"/>
          <w:sz w:val="16"/>
          <w:szCs w:val="16"/>
        </w:rPr>
      </w:pPr>
    </w:p>
    <w:p w14:paraId="550DD2D5" w14:textId="77777777" w:rsidR="007A095B" w:rsidRPr="00405303" w:rsidRDefault="007A095B" w:rsidP="00C15251">
      <w:pPr>
        <w:jc w:val="both"/>
        <w:rPr>
          <w:bCs/>
          <w:color w:val="002060"/>
          <w:sz w:val="16"/>
          <w:szCs w:val="16"/>
        </w:rPr>
      </w:pPr>
      <w:bookmarkStart w:id="298" w:name="bookmark298"/>
      <w:bookmarkStart w:id="299" w:name="bookmark299"/>
      <w:bookmarkStart w:id="300" w:name="bookmark300"/>
      <w:bookmarkStart w:id="301" w:name="bookmark301"/>
      <w:bookmarkStart w:id="302" w:name="bookmark302"/>
      <w:bookmarkStart w:id="303" w:name="bookmark303"/>
      <w:bookmarkStart w:id="304" w:name="bookmark259"/>
      <w:r w:rsidRPr="00405303">
        <w:rPr>
          <w:bCs/>
          <w:color w:val="002060"/>
          <w:sz w:val="16"/>
          <w:szCs w:val="16"/>
        </w:rPr>
        <w:t>К ноябрю 1915 г. с начала войны до середины 1916 г. фронт нуждался в 24 526 автомобилях и 16 455 мотоциклах, 23 905 са</w:t>
      </w:r>
      <w:r w:rsidRPr="00405303">
        <w:rPr>
          <w:bCs/>
          <w:color w:val="002060"/>
          <w:sz w:val="16"/>
          <w:szCs w:val="16"/>
        </w:rPr>
        <w:softHyphen/>
        <w:t>мокатах, половину всех этих машин еще только предстояло заказать. «Предметы предстоящей заготовки в главной массе, к сожалению, относятся к числу не изготовляемых в Рос</w:t>
      </w:r>
      <w:r w:rsidRPr="00405303">
        <w:rPr>
          <w:bCs/>
          <w:color w:val="002060"/>
          <w:sz w:val="16"/>
          <w:szCs w:val="16"/>
        </w:rPr>
        <w:softHyphen/>
        <w:t>сии», — докладывало ГВТУ Особому совещанию по обороне; лишь «часть поставки», «вероятно, представится возмож</w:t>
      </w:r>
      <w:r w:rsidRPr="00405303">
        <w:rPr>
          <w:bCs/>
          <w:color w:val="002060"/>
          <w:sz w:val="16"/>
          <w:szCs w:val="16"/>
        </w:rPr>
        <w:softHyphen/>
        <w:t>ность разместить в России» (в том числе самокаты, часть шин, броню, кузова для санитарных автомобилей), но при</w:t>
      </w:r>
      <w:r w:rsidRPr="00405303">
        <w:rPr>
          <w:bCs/>
          <w:color w:val="002060"/>
          <w:sz w:val="16"/>
          <w:szCs w:val="16"/>
        </w:rPr>
        <w:softHyphen/>
        <w:t>ходилось считаться с перегруженностью заказами одних за</w:t>
      </w:r>
      <w:r w:rsidRPr="00405303">
        <w:rPr>
          <w:bCs/>
          <w:color w:val="002060"/>
          <w:sz w:val="16"/>
          <w:szCs w:val="16"/>
        </w:rPr>
        <w:softHyphen/>
        <w:t>водов и неустроенностью других после эвакуации на новом месте. Освоивший шины рижский «Проводник» как раз обо</w:t>
      </w:r>
      <w:r w:rsidRPr="00405303">
        <w:rPr>
          <w:bCs/>
          <w:color w:val="002060"/>
          <w:sz w:val="16"/>
          <w:szCs w:val="16"/>
        </w:rPr>
        <w:softHyphen/>
        <w:t xml:space="preserve">сновывался на новом месте, а «Треугольник», во-первых, проводил у себя переоборудование и расширение, а во- вторых, не мог изготовлять шины для основного количества приобретаемых за границей, в США (хотя европейские изделия были выше качеством), автомобилей, </w:t>
      </w:r>
      <w:r w:rsidRPr="00405303">
        <w:rPr>
          <w:bCs/>
          <w:color w:val="002060"/>
          <w:sz w:val="16"/>
          <w:szCs w:val="16"/>
        </w:rPr>
        <w:lastRenderedPageBreak/>
        <w:t>не имея на съемные обода патента и специальной фасонной стали. Сама возможность заказа за границей недостающих машин и ма</w:t>
      </w:r>
      <w:r w:rsidRPr="00405303">
        <w:rPr>
          <w:bCs/>
          <w:color w:val="002060"/>
          <w:sz w:val="16"/>
          <w:szCs w:val="16"/>
        </w:rPr>
        <w:softHyphen/>
        <w:t>териалов зависела от согласия союзников (23452).</w:t>
      </w:r>
    </w:p>
    <w:p w14:paraId="0E5E2600" w14:textId="77777777" w:rsidR="007A095B" w:rsidRPr="00405303" w:rsidRDefault="007A095B" w:rsidP="00C15251">
      <w:pPr>
        <w:pStyle w:val="af6"/>
        <w:spacing w:line="240" w:lineRule="auto"/>
        <w:jc w:val="both"/>
        <w:rPr>
          <w:rFonts w:ascii="Times New Roman" w:hAnsi="Times New Roman" w:cs="Times New Roman"/>
          <w:bCs/>
          <w:color w:val="002060"/>
          <w:sz w:val="16"/>
          <w:szCs w:val="16"/>
        </w:rPr>
      </w:pPr>
    </w:p>
    <w:bookmarkEnd w:id="298"/>
    <w:bookmarkEnd w:id="299"/>
    <w:bookmarkEnd w:id="300"/>
    <w:bookmarkEnd w:id="301"/>
    <w:bookmarkEnd w:id="302"/>
    <w:bookmarkEnd w:id="303"/>
    <w:bookmarkEnd w:id="304"/>
    <w:p w14:paraId="0FFBA749"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444D464E" w14:textId="77777777" w:rsidR="004B4E35" w:rsidRPr="00405303" w:rsidRDefault="004B4E35" w:rsidP="00C15251">
      <w:pPr>
        <w:jc w:val="both"/>
        <w:rPr>
          <w:bCs/>
          <w:i/>
          <w:color w:val="002060"/>
          <w:sz w:val="16"/>
          <w:szCs w:val="16"/>
        </w:rPr>
      </w:pPr>
    </w:p>
    <w:p w14:paraId="02EA9FB3" w14:textId="77777777" w:rsidR="002C470C" w:rsidRPr="00B52707" w:rsidRDefault="002C470C" w:rsidP="002C470C">
      <w:pPr>
        <w:jc w:val="both"/>
        <w:rPr>
          <w:color w:val="0070C0"/>
          <w:sz w:val="16"/>
          <w:szCs w:val="16"/>
        </w:rPr>
      </w:pPr>
      <w:r w:rsidRPr="00B52707">
        <w:rPr>
          <w:color w:val="0070C0"/>
          <w:sz w:val="16"/>
          <w:szCs w:val="16"/>
        </w:rPr>
        <w:t>1 (14) ноября 1915 года представление ГВТУ было одобрено особым совеща</w:t>
      </w:r>
      <w:r w:rsidRPr="00B52707">
        <w:rPr>
          <w:color w:val="0070C0"/>
          <w:sz w:val="16"/>
          <w:szCs w:val="16"/>
        </w:rPr>
        <w:softHyphen/>
        <w:t xml:space="preserve">нием в заседании. 4 сент. 1914 года представление это было утверждено </w:t>
      </w:r>
    </w:p>
    <w:tbl>
      <w:tblPr>
        <w:tblOverlap w:val="never"/>
        <w:tblW w:w="0" w:type="auto"/>
        <w:tblLayout w:type="fixed"/>
        <w:tblCellMar>
          <w:left w:w="10" w:type="dxa"/>
          <w:right w:w="10" w:type="dxa"/>
        </w:tblCellMar>
        <w:tblLook w:val="0000" w:firstRow="0" w:lastRow="0" w:firstColumn="0" w:lastColumn="0" w:noHBand="0" w:noVBand="0"/>
      </w:tblPr>
      <w:tblGrid>
        <w:gridCol w:w="2880"/>
        <w:gridCol w:w="552"/>
        <w:gridCol w:w="562"/>
        <w:gridCol w:w="557"/>
        <w:gridCol w:w="552"/>
        <w:gridCol w:w="557"/>
        <w:gridCol w:w="571"/>
      </w:tblGrid>
      <w:tr w:rsidR="002C470C" w:rsidRPr="00B52707" w14:paraId="4E684340" w14:textId="77777777" w:rsidTr="00BD0BCB">
        <w:trPr>
          <w:trHeight w:hRule="exact" w:val="566"/>
        </w:trPr>
        <w:tc>
          <w:tcPr>
            <w:tcW w:w="2880" w:type="dxa"/>
            <w:vMerge w:val="restart"/>
            <w:tcBorders>
              <w:top w:val="single" w:sz="4" w:space="0" w:color="auto"/>
            </w:tcBorders>
            <w:shd w:val="clear" w:color="auto" w:fill="FFFFFF"/>
          </w:tcPr>
          <w:p w14:paraId="7DFD4681" w14:textId="77777777" w:rsidR="002C470C" w:rsidRPr="00B52707" w:rsidRDefault="002C470C" w:rsidP="00BD0BCB">
            <w:pPr>
              <w:jc w:val="both"/>
              <w:rPr>
                <w:color w:val="0070C0"/>
                <w:sz w:val="16"/>
                <w:szCs w:val="16"/>
              </w:rPr>
            </w:pPr>
            <w:r w:rsidRPr="00B52707">
              <w:rPr>
                <w:color w:val="0070C0"/>
                <w:sz w:val="16"/>
                <w:szCs w:val="16"/>
              </w:rPr>
              <w:t>Наименование имуществ.</w:t>
            </w:r>
          </w:p>
        </w:tc>
        <w:tc>
          <w:tcPr>
            <w:tcW w:w="552" w:type="dxa"/>
            <w:vMerge w:val="restart"/>
            <w:tcBorders>
              <w:top w:val="single" w:sz="4" w:space="0" w:color="auto"/>
              <w:left w:val="single" w:sz="4" w:space="0" w:color="auto"/>
            </w:tcBorders>
            <w:shd w:val="clear" w:color="auto" w:fill="FFFFFF"/>
            <w:textDirection w:val="btLr"/>
          </w:tcPr>
          <w:p w14:paraId="7886B0B5" w14:textId="77777777" w:rsidR="002C470C" w:rsidRPr="00B52707" w:rsidRDefault="002C470C" w:rsidP="00BD0BCB">
            <w:pPr>
              <w:jc w:val="both"/>
              <w:rPr>
                <w:color w:val="0070C0"/>
                <w:sz w:val="16"/>
                <w:szCs w:val="16"/>
              </w:rPr>
            </w:pPr>
            <w:r w:rsidRPr="00B52707">
              <w:rPr>
                <w:color w:val="0070C0"/>
                <w:sz w:val="16"/>
                <w:szCs w:val="16"/>
              </w:rPr>
              <w:t>Общее количество, подлежащих заго</w:t>
            </w:r>
            <w:r w:rsidRPr="00B52707">
              <w:rPr>
                <w:color w:val="0070C0"/>
                <w:sz w:val="16"/>
                <w:szCs w:val="16"/>
              </w:rPr>
              <w:softHyphen/>
              <w:t>товок.</w:t>
            </w:r>
          </w:p>
        </w:tc>
        <w:tc>
          <w:tcPr>
            <w:tcW w:w="2799" w:type="dxa"/>
            <w:gridSpan w:val="5"/>
            <w:tcBorders>
              <w:top w:val="single" w:sz="4" w:space="0" w:color="auto"/>
              <w:left w:val="single" w:sz="4" w:space="0" w:color="auto"/>
            </w:tcBorders>
            <w:shd w:val="clear" w:color="auto" w:fill="FFFFFF"/>
            <w:vAlign w:val="center"/>
          </w:tcPr>
          <w:p w14:paraId="62360B9C" w14:textId="77777777" w:rsidR="002C470C" w:rsidRPr="00B52707" w:rsidRDefault="002C470C" w:rsidP="00BD0BCB">
            <w:pPr>
              <w:jc w:val="both"/>
              <w:rPr>
                <w:color w:val="0070C0"/>
                <w:sz w:val="16"/>
                <w:szCs w:val="16"/>
              </w:rPr>
            </w:pPr>
            <w:r w:rsidRPr="00B52707">
              <w:rPr>
                <w:color w:val="0070C0"/>
                <w:sz w:val="16"/>
                <w:szCs w:val="16"/>
              </w:rPr>
              <w:t>Из общего количества пред</w:t>
            </w:r>
            <w:r w:rsidRPr="00B52707">
              <w:rPr>
                <w:color w:val="0070C0"/>
                <w:sz w:val="16"/>
                <w:szCs w:val="16"/>
              </w:rPr>
              <w:softHyphen/>
              <w:t>положено заказать.</w:t>
            </w:r>
          </w:p>
        </w:tc>
      </w:tr>
      <w:tr w:rsidR="002C470C" w:rsidRPr="00B52707" w14:paraId="492B35B1" w14:textId="77777777" w:rsidTr="00BD0BCB">
        <w:trPr>
          <w:trHeight w:hRule="exact" w:val="1066"/>
        </w:trPr>
        <w:tc>
          <w:tcPr>
            <w:tcW w:w="2880" w:type="dxa"/>
            <w:vMerge/>
            <w:shd w:val="clear" w:color="auto" w:fill="FFFFFF"/>
          </w:tcPr>
          <w:p w14:paraId="10E8D774" w14:textId="77777777" w:rsidR="002C470C" w:rsidRPr="00B52707" w:rsidRDefault="002C470C" w:rsidP="00BD0BCB">
            <w:pPr>
              <w:jc w:val="both"/>
              <w:rPr>
                <w:color w:val="0070C0"/>
                <w:sz w:val="16"/>
                <w:szCs w:val="16"/>
              </w:rPr>
            </w:pPr>
          </w:p>
        </w:tc>
        <w:tc>
          <w:tcPr>
            <w:tcW w:w="552" w:type="dxa"/>
            <w:vMerge/>
            <w:tcBorders>
              <w:left w:val="single" w:sz="4" w:space="0" w:color="auto"/>
            </w:tcBorders>
            <w:shd w:val="clear" w:color="auto" w:fill="FFFFFF"/>
            <w:textDirection w:val="btLr"/>
          </w:tcPr>
          <w:p w14:paraId="4F9E3184" w14:textId="77777777" w:rsidR="002C470C" w:rsidRPr="00B52707" w:rsidRDefault="002C470C" w:rsidP="00BD0BCB">
            <w:pPr>
              <w:jc w:val="both"/>
              <w:rPr>
                <w:color w:val="0070C0"/>
                <w:sz w:val="16"/>
                <w:szCs w:val="16"/>
              </w:rPr>
            </w:pPr>
          </w:p>
        </w:tc>
        <w:tc>
          <w:tcPr>
            <w:tcW w:w="562" w:type="dxa"/>
            <w:tcBorders>
              <w:top w:val="single" w:sz="4" w:space="0" w:color="auto"/>
              <w:left w:val="single" w:sz="4" w:space="0" w:color="auto"/>
            </w:tcBorders>
            <w:shd w:val="clear" w:color="auto" w:fill="FFFFFF"/>
            <w:textDirection w:val="btLr"/>
          </w:tcPr>
          <w:p w14:paraId="02DE6D86" w14:textId="77777777" w:rsidR="002C470C" w:rsidRPr="00B52707" w:rsidRDefault="002C470C" w:rsidP="00BD0BCB">
            <w:pPr>
              <w:jc w:val="both"/>
              <w:rPr>
                <w:color w:val="0070C0"/>
                <w:sz w:val="16"/>
                <w:szCs w:val="16"/>
              </w:rPr>
            </w:pPr>
            <w:r w:rsidRPr="00B52707">
              <w:rPr>
                <w:color w:val="0070C0"/>
                <w:sz w:val="16"/>
                <w:szCs w:val="16"/>
              </w:rPr>
              <w:t>Во Франции.</w:t>
            </w:r>
          </w:p>
        </w:tc>
        <w:tc>
          <w:tcPr>
            <w:tcW w:w="557" w:type="dxa"/>
            <w:tcBorders>
              <w:top w:val="single" w:sz="4" w:space="0" w:color="auto"/>
              <w:left w:val="single" w:sz="4" w:space="0" w:color="auto"/>
            </w:tcBorders>
            <w:shd w:val="clear" w:color="auto" w:fill="FFFFFF"/>
            <w:textDirection w:val="btLr"/>
          </w:tcPr>
          <w:p w14:paraId="2A1C559E" w14:textId="77777777" w:rsidR="002C470C" w:rsidRPr="00B52707" w:rsidRDefault="002C470C" w:rsidP="00BD0BCB">
            <w:pPr>
              <w:jc w:val="both"/>
              <w:rPr>
                <w:color w:val="0070C0"/>
                <w:sz w:val="16"/>
                <w:szCs w:val="16"/>
              </w:rPr>
            </w:pPr>
            <w:r w:rsidRPr="00B52707">
              <w:rPr>
                <w:color w:val="0070C0"/>
                <w:sz w:val="16"/>
                <w:szCs w:val="16"/>
              </w:rPr>
              <w:t>В Англии.</w:t>
            </w:r>
          </w:p>
          <w:p w14:paraId="1C0D6120" w14:textId="77777777" w:rsidR="002C470C" w:rsidRPr="00B52707" w:rsidRDefault="002C470C" w:rsidP="00BD0BCB">
            <w:pPr>
              <w:jc w:val="both"/>
              <w:rPr>
                <w:color w:val="0070C0"/>
                <w:sz w:val="16"/>
                <w:szCs w:val="16"/>
              </w:rPr>
            </w:pPr>
            <w:r w:rsidRPr="00B52707">
              <w:rPr>
                <w:color w:val="0070C0"/>
                <w:sz w:val="16"/>
                <w:szCs w:val="16"/>
              </w:rPr>
              <w:t>J</w:t>
            </w:r>
          </w:p>
        </w:tc>
        <w:tc>
          <w:tcPr>
            <w:tcW w:w="552" w:type="dxa"/>
            <w:tcBorders>
              <w:top w:val="single" w:sz="4" w:space="0" w:color="auto"/>
              <w:left w:val="single" w:sz="4" w:space="0" w:color="auto"/>
            </w:tcBorders>
            <w:shd w:val="clear" w:color="auto" w:fill="FFFFFF"/>
            <w:textDirection w:val="btLr"/>
          </w:tcPr>
          <w:p w14:paraId="4853C11F" w14:textId="77777777" w:rsidR="002C470C" w:rsidRPr="00B52707" w:rsidRDefault="002C470C" w:rsidP="00BD0BCB">
            <w:pPr>
              <w:jc w:val="both"/>
              <w:rPr>
                <w:color w:val="0070C0"/>
                <w:sz w:val="16"/>
                <w:szCs w:val="16"/>
              </w:rPr>
            </w:pPr>
            <w:r w:rsidRPr="00B52707">
              <w:rPr>
                <w:color w:val="0070C0"/>
                <w:sz w:val="16"/>
                <w:szCs w:val="16"/>
              </w:rPr>
              <w:t>В Италии?</w:t>
            </w:r>
          </w:p>
        </w:tc>
        <w:tc>
          <w:tcPr>
            <w:tcW w:w="557" w:type="dxa"/>
            <w:shd w:val="clear" w:color="auto" w:fill="FFFFFF"/>
            <w:textDirection w:val="btLr"/>
          </w:tcPr>
          <w:p w14:paraId="50249A74" w14:textId="77777777" w:rsidR="002C470C" w:rsidRPr="00B52707" w:rsidRDefault="002C470C" w:rsidP="00BD0BCB">
            <w:pPr>
              <w:jc w:val="both"/>
              <w:rPr>
                <w:color w:val="0070C0"/>
                <w:sz w:val="16"/>
                <w:szCs w:val="16"/>
              </w:rPr>
            </w:pPr>
            <w:r w:rsidRPr="00B52707">
              <w:rPr>
                <w:color w:val="0070C0"/>
                <w:sz w:val="16"/>
                <w:szCs w:val="16"/>
              </w:rPr>
              <w:t>В Швей</w:t>
            </w:r>
            <w:r w:rsidRPr="00B52707">
              <w:rPr>
                <w:color w:val="0070C0"/>
                <w:sz w:val="16"/>
                <w:szCs w:val="16"/>
              </w:rPr>
              <w:softHyphen/>
              <w:t>царии.</w:t>
            </w:r>
          </w:p>
        </w:tc>
        <w:tc>
          <w:tcPr>
            <w:tcW w:w="571" w:type="dxa"/>
            <w:tcBorders>
              <w:left w:val="single" w:sz="4" w:space="0" w:color="auto"/>
            </w:tcBorders>
            <w:shd w:val="clear" w:color="auto" w:fill="FFFFFF"/>
            <w:textDirection w:val="btLr"/>
          </w:tcPr>
          <w:p w14:paraId="274625F7" w14:textId="77777777" w:rsidR="002C470C" w:rsidRPr="00B52707" w:rsidRDefault="002C470C" w:rsidP="00BD0BCB">
            <w:pPr>
              <w:jc w:val="both"/>
              <w:rPr>
                <w:color w:val="0070C0"/>
                <w:sz w:val="16"/>
                <w:szCs w:val="16"/>
              </w:rPr>
            </w:pPr>
            <w:r w:rsidRPr="00B52707">
              <w:rPr>
                <w:color w:val="0070C0"/>
                <w:sz w:val="16"/>
                <w:szCs w:val="16"/>
              </w:rPr>
              <w:t>В'Америке.</w:t>
            </w:r>
          </w:p>
        </w:tc>
      </w:tr>
      <w:tr w:rsidR="002C470C" w:rsidRPr="00B52707" w14:paraId="546FF354" w14:textId="77777777" w:rsidTr="00BD0BCB">
        <w:trPr>
          <w:trHeight w:hRule="exact" w:val="566"/>
        </w:trPr>
        <w:tc>
          <w:tcPr>
            <w:tcW w:w="2880" w:type="dxa"/>
            <w:tcBorders>
              <w:top w:val="single" w:sz="4" w:space="0" w:color="auto"/>
            </w:tcBorders>
            <w:shd w:val="clear" w:color="auto" w:fill="FFFFFF"/>
            <w:vAlign w:val="bottom"/>
          </w:tcPr>
          <w:p w14:paraId="19B7B3A6" w14:textId="77777777" w:rsidR="002C470C" w:rsidRPr="00B52707" w:rsidRDefault="002C470C" w:rsidP="00BD0BCB">
            <w:pPr>
              <w:jc w:val="both"/>
              <w:rPr>
                <w:color w:val="0070C0"/>
                <w:sz w:val="16"/>
                <w:szCs w:val="16"/>
              </w:rPr>
            </w:pPr>
            <w:r w:rsidRPr="00B52707">
              <w:rPr>
                <w:color w:val="0070C0"/>
                <w:sz w:val="16"/>
                <w:szCs w:val="16"/>
              </w:rPr>
              <w:t>Грузовых автомобилей в 5 т</w:t>
            </w:r>
          </w:p>
        </w:tc>
        <w:tc>
          <w:tcPr>
            <w:tcW w:w="552" w:type="dxa"/>
            <w:tcBorders>
              <w:top w:val="single" w:sz="4" w:space="0" w:color="auto"/>
              <w:left w:val="single" w:sz="4" w:space="0" w:color="auto"/>
            </w:tcBorders>
            <w:shd w:val="clear" w:color="auto" w:fill="FFFFFF"/>
            <w:vAlign w:val="bottom"/>
          </w:tcPr>
          <w:p w14:paraId="3773B3CF" w14:textId="77777777" w:rsidR="002C470C" w:rsidRPr="00B52707" w:rsidRDefault="002C470C" w:rsidP="00BD0BCB">
            <w:pPr>
              <w:jc w:val="both"/>
              <w:rPr>
                <w:color w:val="0070C0"/>
                <w:sz w:val="16"/>
                <w:szCs w:val="16"/>
              </w:rPr>
            </w:pPr>
            <w:r w:rsidRPr="00B52707">
              <w:rPr>
                <w:color w:val="0070C0"/>
                <w:sz w:val="16"/>
                <w:szCs w:val="16"/>
              </w:rPr>
              <w:t>158</w:t>
            </w:r>
          </w:p>
        </w:tc>
        <w:tc>
          <w:tcPr>
            <w:tcW w:w="562" w:type="dxa"/>
            <w:tcBorders>
              <w:top w:val="single" w:sz="4" w:space="0" w:color="auto"/>
              <w:left w:val="single" w:sz="4" w:space="0" w:color="auto"/>
            </w:tcBorders>
            <w:shd w:val="clear" w:color="auto" w:fill="FFFFFF"/>
            <w:vAlign w:val="bottom"/>
          </w:tcPr>
          <w:p w14:paraId="6CC5D121" w14:textId="77777777" w:rsidR="002C470C" w:rsidRPr="00B52707" w:rsidRDefault="002C470C" w:rsidP="00BD0BCB">
            <w:pPr>
              <w:jc w:val="both"/>
              <w:rPr>
                <w:color w:val="0070C0"/>
                <w:sz w:val="16"/>
                <w:szCs w:val="16"/>
              </w:rPr>
            </w:pPr>
            <w:r w:rsidRPr="00B52707">
              <w:rPr>
                <w:color w:val="0070C0"/>
                <w:sz w:val="16"/>
                <w:szCs w:val="16"/>
              </w:rPr>
              <w:t>—</w:t>
            </w:r>
          </w:p>
        </w:tc>
        <w:tc>
          <w:tcPr>
            <w:tcW w:w="557" w:type="dxa"/>
            <w:tcBorders>
              <w:top w:val="single" w:sz="4" w:space="0" w:color="auto"/>
            </w:tcBorders>
            <w:shd w:val="clear" w:color="auto" w:fill="FFFFFF"/>
            <w:vAlign w:val="bottom"/>
          </w:tcPr>
          <w:p w14:paraId="7BF4E362" w14:textId="77777777" w:rsidR="002C470C" w:rsidRPr="00B52707" w:rsidRDefault="002C470C" w:rsidP="00BD0BCB">
            <w:pPr>
              <w:jc w:val="both"/>
              <w:rPr>
                <w:color w:val="0070C0"/>
                <w:sz w:val="16"/>
                <w:szCs w:val="16"/>
              </w:rPr>
            </w:pPr>
            <w:r w:rsidRPr="00B52707">
              <w:rPr>
                <w:color w:val="0070C0"/>
                <w:sz w:val="16"/>
                <w:szCs w:val="16"/>
              </w:rPr>
              <w:t>-</w:t>
            </w:r>
          </w:p>
        </w:tc>
        <w:tc>
          <w:tcPr>
            <w:tcW w:w="552" w:type="dxa"/>
            <w:tcBorders>
              <w:top w:val="single" w:sz="4" w:space="0" w:color="auto"/>
              <w:left w:val="single" w:sz="4" w:space="0" w:color="auto"/>
            </w:tcBorders>
            <w:shd w:val="clear" w:color="auto" w:fill="FFFFFF"/>
            <w:vAlign w:val="bottom"/>
          </w:tcPr>
          <w:p w14:paraId="7CC4254D" w14:textId="77777777" w:rsidR="002C470C" w:rsidRPr="00B52707" w:rsidRDefault="002C470C" w:rsidP="00BD0BCB">
            <w:pPr>
              <w:jc w:val="both"/>
              <w:rPr>
                <w:color w:val="0070C0"/>
                <w:sz w:val="16"/>
                <w:szCs w:val="16"/>
              </w:rPr>
            </w:pPr>
            <w:r w:rsidRPr="00B52707">
              <w:rPr>
                <w:color w:val="0070C0"/>
                <w:sz w:val="16"/>
                <w:szCs w:val="16"/>
              </w:rPr>
              <w:t>—</w:t>
            </w:r>
          </w:p>
        </w:tc>
        <w:tc>
          <w:tcPr>
            <w:tcW w:w="557" w:type="dxa"/>
            <w:tcBorders>
              <w:top w:val="single" w:sz="4" w:space="0" w:color="auto"/>
              <w:left w:val="single" w:sz="4" w:space="0" w:color="auto"/>
            </w:tcBorders>
            <w:shd w:val="clear" w:color="auto" w:fill="FFFFFF"/>
            <w:vAlign w:val="bottom"/>
          </w:tcPr>
          <w:p w14:paraId="0BD8012C" w14:textId="77777777" w:rsidR="002C470C" w:rsidRPr="00B52707" w:rsidRDefault="002C470C" w:rsidP="00BD0BCB">
            <w:pPr>
              <w:jc w:val="both"/>
              <w:rPr>
                <w:color w:val="0070C0"/>
                <w:sz w:val="16"/>
                <w:szCs w:val="16"/>
              </w:rPr>
            </w:pPr>
            <w:r w:rsidRPr="00B52707">
              <w:rPr>
                <w:color w:val="0070C0"/>
                <w:sz w:val="16"/>
                <w:szCs w:val="16"/>
              </w:rPr>
              <w:t>.* —</w:t>
            </w:r>
          </w:p>
        </w:tc>
        <w:tc>
          <w:tcPr>
            <w:tcW w:w="571" w:type="dxa"/>
            <w:tcBorders>
              <w:top w:val="single" w:sz="4" w:space="0" w:color="auto"/>
            </w:tcBorders>
            <w:shd w:val="clear" w:color="auto" w:fill="FFFFFF"/>
            <w:vAlign w:val="bottom"/>
          </w:tcPr>
          <w:p w14:paraId="78B1B4BF" w14:textId="77777777" w:rsidR="002C470C" w:rsidRPr="00B52707" w:rsidRDefault="002C470C" w:rsidP="00BD0BCB">
            <w:pPr>
              <w:jc w:val="both"/>
              <w:rPr>
                <w:color w:val="0070C0"/>
                <w:sz w:val="16"/>
                <w:szCs w:val="16"/>
              </w:rPr>
            </w:pPr>
            <w:r w:rsidRPr="00B52707">
              <w:rPr>
                <w:color w:val="0070C0"/>
                <w:sz w:val="16"/>
                <w:szCs w:val="16"/>
              </w:rPr>
              <w:t>158</w:t>
            </w:r>
          </w:p>
        </w:tc>
      </w:tr>
      <w:tr w:rsidR="002C470C" w:rsidRPr="00B52707" w14:paraId="0A04D57B" w14:textId="77777777" w:rsidTr="00BD0BCB">
        <w:trPr>
          <w:trHeight w:hRule="exact" w:val="254"/>
        </w:trPr>
        <w:tc>
          <w:tcPr>
            <w:tcW w:w="2880" w:type="dxa"/>
            <w:shd w:val="clear" w:color="auto" w:fill="FFFFFF"/>
            <w:vAlign w:val="center"/>
          </w:tcPr>
          <w:p w14:paraId="65D6C5BD" w14:textId="77777777" w:rsidR="002C470C" w:rsidRPr="00B52707" w:rsidRDefault="002C470C" w:rsidP="00BD0BCB">
            <w:pPr>
              <w:jc w:val="both"/>
              <w:rPr>
                <w:color w:val="0070C0"/>
                <w:sz w:val="16"/>
                <w:szCs w:val="16"/>
              </w:rPr>
            </w:pPr>
            <w:r w:rsidRPr="00B52707">
              <w:rPr>
                <w:color w:val="0070C0"/>
                <w:sz w:val="16"/>
                <w:szCs w:val="16"/>
              </w:rPr>
              <w:tab/>
            </w:r>
            <w:r w:rsidRPr="00B52707">
              <w:rPr>
                <w:rFonts w:eastAsia="Cambria"/>
                <w:color w:val="0070C0"/>
                <w:sz w:val="16"/>
                <w:szCs w:val="16"/>
              </w:rPr>
              <w:t>«</w:t>
            </w:r>
            <w:r w:rsidRPr="00B52707">
              <w:rPr>
                <w:color w:val="0070C0"/>
                <w:sz w:val="16"/>
                <w:szCs w:val="16"/>
              </w:rPr>
              <w:t>.</w:t>
            </w:r>
            <w:r w:rsidRPr="00B52707">
              <w:rPr>
                <w:color w:val="0070C0"/>
                <w:sz w:val="16"/>
                <w:szCs w:val="16"/>
              </w:rPr>
              <w:tab/>
              <w:t>4 т</w:t>
            </w:r>
          </w:p>
        </w:tc>
        <w:tc>
          <w:tcPr>
            <w:tcW w:w="552" w:type="dxa"/>
            <w:tcBorders>
              <w:left w:val="single" w:sz="4" w:space="0" w:color="auto"/>
            </w:tcBorders>
            <w:shd w:val="clear" w:color="auto" w:fill="FFFFFF"/>
            <w:vAlign w:val="center"/>
          </w:tcPr>
          <w:p w14:paraId="7B6CD6E6" w14:textId="77777777" w:rsidR="002C470C" w:rsidRPr="00B52707" w:rsidRDefault="002C470C" w:rsidP="00BD0BCB">
            <w:pPr>
              <w:jc w:val="both"/>
              <w:rPr>
                <w:color w:val="0070C0"/>
                <w:sz w:val="16"/>
                <w:szCs w:val="16"/>
              </w:rPr>
            </w:pPr>
            <w:r w:rsidRPr="00B52707">
              <w:rPr>
                <w:color w:val="0070C0"/>
                <w:sz w:val="16"/>
                <w:szCs w:val="16"/>
              </w:rPr>
              <w:t>65</w:t>
            </w:r>
          </w:p>
        </w:tc>
        <w:tc>
          <w:tcPr>
            <w:tcW w:w="562" w:type="dxa"/>
            <w:tcBorders>
              <w:left w:val="single" w:sz="4" w:space="0" w:color="auto"/>
            </w:tcBorders>
            <w:shd w:val="clear" w:color="auto" w:fill="FFFFFF"/>
          </w:tcPr>
          <w:p w14:paraId="197D1D55" w14:textId="77777777" w:rsidR="002C470C" w:rsidRPr="00B52707" w:rsidRDefault="002C470C" w:rsidP="00BD0BCB">
            <w:pPr>
              <w:jc w:val="both"/>
              <w:rPr>
                <w:color w:val="0070C0"/>
                <w:sz w:val="16"/>
                <w:szCs w:val="16"/>
              </w:rPr>
            </w:pPr>
          </w:p>
        </w:tc>
        <w:tc>
          <w:tcPr>
            <w:tcW w:w="557" w:type="dxa"/>
            <w:shd w:val="clear" w:color="auto" w:fill="FFFFFF"/>
          </w:tcPr>
          <w:p w14:paraId="6FDB0F62" w14:textId="77777777" w:rsidR="002C470C" w:rsidRPr="00B52707" w:rsidRDefault="002C470C" w:rsidP="00BD0BCB">
            <w:pPr>
              <w:jc w:val="both"/>
              <w:rPr>
                <w:color w:val="0070C0"/>
                <w:sz w:val="16"/>
                <w:szCs w:val="16"/>
              </w:rPr>
            </w:pPr>
          </w:p>
        </w:tc>
        <w:tc>
          <w:tcPr>
            <w:tcW w:w="552" w:type="dxa"/>
            <w:tcBorders>
              <w:left w:val="single" w:sz="4" w:space="0" w:color="auto"/>
            </w:tcBorders>
            <w:shd w:val="clear" w:color="auto" w:fill="FFFFFF"/>
            <w:vAlign w:val="center"/>
          </w:tcPr>
          <w:p w14:paraId="41EA03B5" w14:textId="77777777" w:rsidR="002C470C" w:rsidRPr="00B52707" w:rsidRDefault="002C470C" w:rsidP="00BD0BCB">
            <w:pPr>
              <w:jc w:val="both"/>
              <w:rPr>
                <w:color w:val="0070C0"/>
                <w:sz w:val="16"/>
                <w:szCs w:val="16"/>
              </w:rPr>
            </w:pPr>
            <w:r w:rsidRPr="00B52707">
              <w:rPr>
                <w:color w:val="0070C0"/>
                <w:sz w:val="16"/>
                <w:szCs w:val="16"/>
              </w:rPr>
              <w:t>—</w:t>
            </w:r>
          </w:p>
        </w:tc>
        <w:tc>
          <w:tcPr>
            <w:tcW w:w="557" w:type="dxa"/>
            <w:tcBorders>
              <w:left w:val="single" w:sz="4" w:space="0" w:color="auto"/>
            </w:tcBorders>
            <w:shd w:val="clear" w:color="auto" w:fill="FFFFFF"/>
            <w:vAlign w:val="center"/>
          </w:tcPr>
          <w:p w14:paraId="499D202E" w14:textId="77777777" w:rsidR="002C470C" w:rsidRPr="00B52707" w:rsidRDefault="002C470C" w:rsidP="00BD0BCB">
            <w:pPr>
              <w:jc w:val="both"/>
              <w:rPr>
                <w:color w:val="0070C0"/>
                <w:sz w:val="16"/>
                <w:szCs w:val="16"/>
              </w:rPr>
            </w:pPr>
            <w:r w:rsidRPr="00B52707">
              <w:rPr>
                <w:color w:val="0070C0"/>
                <w:sz w:val="16"/>
                <w:szCs w:val="16"/>
              </w:rPr>
              <w:t>—</w:t>
            </w:r>
          </w:p>
        </w:tc>
        <w:tc>
          <w:tcPr>
            <w:tcW w:w="571" w:type="dxa"/>
            <w:shd w:val="clear" w:color="auto" w:fill="FFFFFF"/>
            <w:vAlign w:val="center"/>
          </w:tcPr>
          <w:p w14:paraId="2BE84DFE" w14:textId="77777777" w:rsidR="002C470C" w:rsidRPr="00B52707" w:rsidRDefault="002C470C" w:rsidP="00BD0BCB">
            <w:pPr>
              <w:jc w:val="both"/>
              <w:rPr>
                <w:color w:val="0070C0"/>
                <w:sz w:val="16"/>
                <w:szCs w:val="16"/>
              </w:rPr>
            </w:pPr>
            <w:r w:rsidRPr="00B52707">
              <w:rPr>
                <w:color w:val="0070C0"/>
                <w:sz w:val="16"/>
                <w:szCs w:val="16"/>
              </w:rPr>
              <w:t>65</w:t>
            </w:r>
          </w:p>
        </w:tc>
      </w:tr>
      <w:tr w:rsidR="002C470C" w:rsidRPr="00B52707" w14:paraId="4FD1AC9A" w14:textId="77777777" w:rsidTr="00BD0BCB">
        <w:trPr>
          <w:trHeight w:hRule="exact" w:val="254"/>
        </w:trPr>
        <w:tc>
          <w:tcPr>
            <w:tcW w:w="2880" w:type="dxa"/>
            <w:shd w:val="clear" w:color="auto" w:fill="FFFFFF"/>
          </w:tcPr>
          <w:p w14:paraId="767E78BE" w14:textId="77777777" w:rsidR="002C470C" w:rsidRPr="00B52707" w:rsidRDefault="002C470C" w:rsidP="00BD0BCB">
            <w:pPr>
              <w:jc w:val="both"/>
              <w:rPr>
                <w:color w:val="0070C0"/>
                <w:sz w:val="16"/>
                <w:szCs w:val="16"/>
              </w:rPr>
            </w:pPr>
            <w:r w:rsidRPr="00B52707">
              <w:rPr>
                <w:color w:val="0070C0"/>
                <w:sz w:val="16"/>
                <w:szCs w:val="16"/>
              </w:rPr>
              <w:tab/>
              <w:t>»</w:t>
            </w:r>
            <w:r w:rsidRPr="00B52707">
              <w:rPr>
                <w:color w:val="0070C0"/>
                <w:sz w:val="16"/>
                <w:szCs w:val="16"/>
              </w:rPr>
              <w:tab/>
              <w:t xml:space="preserve">3 </w:t>
            </w:r>
            <w:r w:rsidRPr="00B52707">
              <w:rPr>
                <w:rFonts w:eastAsia="Cambria"/>
                <w:color w:val="0070C0"/>
                <w:sz w:val="16"/>
                <w:szCs w:val="16"/>
              </w:rPr>
              <w:t>т</w:t>
            </w:r>
          </w:p>
        </w:tc>
        <w:tc>
          <w:tcPr>
            <w:tcW w:w="552" w:type="dxa"/>
            <w:tcBorders>
              <w:left w:val="single" w:sz="4" w:space="0" w:color="auto"/>
            </w:tcBorders>
            <w:shd w:val="clear" w:color="auto" w:fill="FFFFFF"/>
          </w:tcPr>
          <w:p w14:paraId="6CEAFF8A" w14:textId="77777777" w:rsidR="002C470C" w:rsidRPr="00B52707" w:rsidRDefault="002C470C" w:rsidP="00BD0BCB">
            <w:pPr>
              <w:jc w:val="both"/>
              <w:rPr>
                <w:color w:val="0070C0"/>
                <w:sz w:val="16"/>
                <w:szCs w:val="16"/>
              </w:rPr>
            </w:pPr>
            <w:r w:rsidRPr="00B52707">
              <w:rPr>
                <w:color w:val="0070C0"/>
                <w:sz w:val="16"/>
                <w:szCs w:val="16"/>
              </w:rPr>
              <w:t>2.119</w:t>
            </w:r>
          </w:p>
        </w:tc>
        <w:tc>
          <w:tcPr>
            <w:tcW w:w="562" w:type="dxa"/>
            <w:tcBorders>
              <w:left w:val="single" w:sz="4" w:space="0" w:color="auto"/>
            </w:tcBorders>
            <w:shd w:val="clear" w:color="auto" w:fill="FFFFFF"/>
          </w:tcPr>
          <w:p w14:paraId="0E5A4E57" w14:textId="77777777" w:rsidR="002C470C" w:rsidRPr="00B52707" w:rsidRDefault="002C470C" w:rsidP="00BD0BCB">
            <w:pPr>
              <w:jc w:val="both"/>
              <w:rPr>
                <w:color w:val="0070C0"/>
                <w:sz w:val="16"/>
                <w:szCs w:val="16"/>
              </w:rPr>
            </w:pPr>
            <w:r w:rsidRPr="00B52707">
              <w:rPr>
                <w:color w:val="0070C0"/>
                <w:sz w:val="16"/>
                <w:szCs w:val="16"/>
              </w:rPr>
              <w:t>200</w:t>
            </w:r>
          </w:p>
        </w:tc>
        <w:tc>
          <w:tcPr>
            <w:tcW w:w="557" w:type="dxa"/>
            <w:tcBorders>
              <w:left w:val="single" w:sz="4" w:space="0" w:color="auto"/>
            </w:tcBorders>
            <w:shd w:val="clear" w:color="auto" w:fill="FFFFFF"/>
          </w:tcPr>
          <w:p w14:paraId="397C272A" w14:textId="77777777" w:rsidR="002C470C" w:rsidRPr="00B52707" w:rsidRDefault="002C470C" w:rsidP="00BD0BCB">
            <w:pPr>
              <w:jc w:val="both"/>
              <w:rPr>
                <w:color w:val="0070C0"/>
                <w:sz w:val="16"/>
                <w:szCs w:val="16"/>
              </w:rPr>
            </w:pPr>
            <w:r w:rsidRPr="00B52707">
              <w:rPr>
                <w:color w:val="0070C0"/>
                <w:sz w:val="16"/>
                <w:szCs w:val="16"/>
              </w:rPr>
              <w:t>—</w:t>
            </w:r>
          </w:p>
        </w:tc>
        <w:tc>
          <w:tcPr>
            <w:tcW w:w="552" w:type="dxa"/>
            <w:tcBorders>
              <w:left w:val="single" w:sz="4" w:space="0" w:color="auto"/>
            </w:tcBorders>
            <w:shd w:val="clear" w:color="auto" w:fill="FFFFFF"/>
          </w:tcPr>
          <w:p w14:paraId="6AF73BA4" w14:textId="77777777" w:rsidR="002C470C" w:rsidRPr="00B52707" w:rsidRDefault="002C470C" w:rsidP="00BD0BCB">
            <w:pPr>
              <w:jc w:val="both"/>
              <w:rPr>
                <w:color w:val="0070C0"/>
                <w:sz w:val="16"/>
                <w:szCs w:val="16"/>
              </w:rPr>
            </w:pPr>
            <w:r w:rsidRPr="00B52707">
              <w:rPr>
                <w:color w:val="0070C0"/>
                <w:sz w:val="16"/>
                <w:szCs w:val="16"/>
              </w:rPr>
              <w:t>200</w:t>
            </w:r>
          </w:p>
        </w:tc>
        <w:tc>
          <w:tcPr>
            <w:tcW w:w="557" w:type="dxa"/>
            <w:tcBorders>
              <w:left w:val="single" w:sz="4" w:space="0" w:color="auto"/>
            </w:tcBorders>
            <w:shd w:val="clear" w:color="auto" w:fill="FFFFFF"/>
          </w:tcPr>
          <w:p w14:paraId="29B7E410" w14:textId="77777777" w:rsidR="002C470C" w:rsidRPr="00B52707" w:rsidRDefault="002C470C" w:rsidP="00BD0BCB">
            <w:pPr>
              <w:jc w:val="both"/>
              <w:rPr>
                <w:color w:val="0070C0"/>
                <w:sz w:val="16"/>
                <w:szCs w:val="16"/>
              </w:rPr>
            </w:pPr>
            <w:r w:rsidRPr="00B52707">
              <w:rPr>
                <w:color w:val="0070C0"/>
                <w:sz w:val="16"/>
                <w:szCs w:val="16"/>
              </w:rPr>
              <w:t>100</w:t>
            </w:r>
          </w:p>
        </w:tc>
        <w:tc>
          <w:tcPr>
            <w:tcW w:w="571" w:type="dxa"/>
            <w:tcBorders>
              <w:left w:val="single" w:sz="4" w:space="0" w:color="auto"/>
            </w:tcBorders>
            <w:shd w:val="clear" w:color="auto" w:fill="FFFFFF"/>
          </w:tcPr>
          <w:p w14:paraId="0EB4F96E" w14:textId="77777777" w:rsidR="002C470C" w:rsidRPr="00B52707" w:rsidRDefault="002C470C" w:rsidP="00BD0BCB">
            <w:pPr>
              <w:jc w:val="both"/>
              <w:rPr>
                <w:color w:val="0070C0"/>
                <w:sz w:val="16"/>
                <w:szCs w:val="16"/>
              </w:rPr>
            </w:pPr>
            <w:r w:rsidRPr="00B52707">
              <w:rPr>
                <w:color w:val="0070C0"/>
                <w:sz w:val="16"/>
                <w:szCs w:val="16"/>
              </w:rPr>
              <w:t>1.690</w:t>
            </w:r>
          </w:p>
        </w:tc>
      </w:tr>
      <w:tr w:rsidR="002C470C" w:rsidRPr="00B52707" w14:paraId="1E1F86D4" w14:textId="77777777" w:rsidTr="00BD0BCB">
        <w:trPr>
          <w:trHeight w:hRule="exact" w:val="259"/>
        </w:trPr>
        <w:tc>
          <w:tcPr>
            <w:tcW w:w="2880" w:type="dxa"/>
            <w:shd w:val="clear" w:color="auto" w:fill="FFFFFF"/>
          </w:tcPr>
          <w:p w14:paraId="39D78043" w14:textId="77777777" w:rsidR="002C470C" w:rsidRPr="00B52707" w:rsidRDefault="002C470C" w:rsidP="00BD0BCB">
            <w:pPr>
              <w:jc w:val="both"/>
              <w:rPr>
                <w:color w:val="0070C0"/>
                <w:sz w:val="16"/>
                <w:szCs w:val="16"/>
              </w:rPr>
            </w:pPr>
            <w:r w:rsidRPr="00B52707">
              <w:rPr>
                <w:color w:val="0070C0"/>
                <w:sz w:val="16"/>
                <w:szCs w:val="16"/>
              </w:rPr>
              <w:tab/>
              <w:t>»</w:t>
            </w:r>
            <w:r w:rsidRPr="00B52707">
              <w:rPr>
                <w:color w:val="0070C0"/>
                <w:sz w:val="16"/>
                <w:szCs w:val="16"/>
              </w:rPr>
              <w:tab/>
              <w:t>2</w:t>
            </w:r>
            <w:r w:rsidRPr="00B52707">
              <w:rPr>
                <w:rFonts w:eastAsia="Cambria"/>
                <w:color w:val="0070C0"/>
                <w:sz w:val="16"/>
                <w:szCs w:val="16"/>
              </w:rPr>
              <w:t xml:space="preserve"> </w:t>
            </w:r>
            <w:r w:rsidRPr="00B52707">
              <w:rPr>
                <w:color w:val="0070C0"/>
                <w:sz w:val="16"/>
                <w:szCs w:val="16"/>
              </w:rPr>
              <w:t>т</w:t>
            </w:r>
          </w:p>
        </w:tc>
        <w:tc>
          <w:tcPr>
            <w:tcW w:w="552" w:type="dxa"/>
            <w:tcBorders>
              <w:left w:val="single" w:sz="4" w:space="0" w:color="auto"/>
            </w:tcBorders>
            <w:shd w:val="clear" w:color="auto" w:fill="FFFFFF"/>
          </w:tcPr>
          <w:p w14:paraId="1B606EE5" w14:textId="77777777" w:rsidR="002C470C" w:rsidRPr="00B52707" w:rsidRDefault="002C470C" w:rsidP="00BD0BCB">
            <w:pPr>
              <w:jc w:val="both"/>
              <w:rPr>
                <w:color w:val="0070C0"/>
                <w:sz w:val="16"/>
                <w:szCs w:val="16"/>
              </w:rPr>
            </w:pPr>
            <w:r w:rsidRPr="00B52707">
              <w:rPr>
                <w:color w:val="0070C0"/>
                <w:sz w:val="16"/>
                <w:szCs w:val="16"/>
              </w:rPr>
              <w:t>2.176</w:t>
            </w:r>
          </w:p>
        </w:tc>
        <w:tc>
          <w:tcPr>
            <w:tcW w:w="562" w:type="dxa"/>
            <w:tcBorders>
              <w:left w:val="single" w:sz="4" w:space="0" w:color="auto"/>
            </w:tcBorders>
            <w:shd w:val="clear" w:color="auto" w:fill="FFFFFF"/>
          </w:tcPr>
          <w:p w14:paraId="5D8B17E3" w14:textId="77777777" w:rsidR="002C470C" w:rsidRPr="00B52707" w:rsidRDefault="002C470C" w:rsidP="00BD0BCB">
            <w:pPr>
              <w:jc w:val="both"/>
              <w:rPr>
                <w:color w:val="0070C0"/>
                <w:sz w:val="16"/>
                <w:szCs w:val="16"/>
              </w:rPr>
            </w:pPr>
            <w:r w:rsidRPr="00B52707">
              <w:rPr>
                <w:color w:val="0070C0"/>
                <w:sz w:val="16"/>
                <w:szCs w:val="16"/>
              </w:rPr>
              <w:t>200</w:t>
            </w:r>
          </w:p>
        </w:tc>
        <w:tc>
          <w:tcPr>
            <w:tcW w:w="557" w:type="dxa"/>
            <w:tcBorders>
              <w:left w:val="single" w:sz="4" w:space="0" w:color="auto"/>
            </w:tcBorders>
            <w:shd w:val="clear" w:color="auto" w:fill="FFFFFF"/>
          </w:tcPr>
          <w:p w14:paraId="3C20515B" w14:textId="77777777" w:rsidR="002C470C" w:rsidRPr="00B52707" w:rsidRDefault="002C470C" w:rsidP="00BD0BCB">
            <w:pPr>
              <w:jc w:val="both"/>
              <w:rPr>
                <w:color w:val="0070C0"/>
                <w:sz w:val="16"/>
                <w:szCs w:val="16"/>
              </w:rPr>
            </w:pPr>
            <w:r w:rsidRPr="00B52707">
              <w:rPr>
                <w:color w:val="0070C0"/>
                <w:sz w:val="16"/>
                <w:szCs w:val="16"/>
              </w:rPr>
              <w:t>400</w:t>
            </w:r>
          </w:p>
        </w:tc>
        <w:tc>
          <w:tcPr>
            <w:tcW w:w="552" w:type="dxa"/>
            <w:tcBorders>
              <w:left w:val="single" w:sz="4" w:space="0" w:color="auto"/>
            </w:tcBorders>
            <w:shd w:val="clear" w:color="auto" w:fill="FFFFFF"/>
          </w:tcPr>
          <w:p w14:paraId="3EDDED7F" w14:textId="77777777" w:rsidR="002C470C" w:rsidRPr="00B52707" w:rsidRDefault="002C470C" w:rsidP="00BD0BCB">
            <w:pPr>
              <w:jc w:val="both"/>
              <w:rPr>
                <w:color w:val="0070C0"/>
                <w:sz w:val="16"/>
                <w:szCs w:val="16"/>
              </w:rPr>
            </w:pPr>
            <w:r w:rsidRPr="00B52707">
              <w:rPr>
                <w:color w:val="0070C0"/>
                <w:sz w:val="16"/>
                <w:szCs w:val="16"/>
              </w:rPr>
              <w:t>200</w:t>
            </w:r>
          </w:p>
        </w:tc>
        <w:tc>
          <w:tcPr>
            <w:tcW w:w="557" w:type="dxa"/>
            <w:tcBorders>
              <w:left w:val="single" w:sz="4" w:space="0" w:color="auto"/>
            </w:tcBorders>
            <w:shd w:val="clear" w:color="auto" w:fill="FFFFFF"/>
          </w:tcPr>
          <w:p w14:paraId="62ECE804" w14:textId="77777777" w:rsidR="002C470C" w:rsidRPr="00B52707" w:rsidRDefault="002C470C" w:rsidP="00BD0BCB">
            <w:pPr>
              <w:jc w:val="both"/>
              <w:rPr>
                <w:color w:val="0070C0"/>
                <w:sz w:val="16"/>
                <w:szCs w:val="16"/>
              </w:rPr>
            </w:pPr>
            <w:r w:rsidRPr="00B52707">
              <w:rPr>
                <w:color w:val="0070C0"/>
                <w:sz w:val="16"/>
                <w:szCs w:val="16"/>
              </w:rPr>
              <w:t>100</w:t>
            </w:r>
          </w:p>
        </w:tc>
        <w:tc>
          <w:tcPr>
            <w:tcW w:w="571" w:type="dxa"/>
            <w:tcBorders>
              <w:left w:val="single" w:sz="4" w:space="0" w:color="auto"/>
            </w:tcBorders>
            <w:shd w:val="clear" w:color="auto" w:fill="FFFFFF"/>
          </w:tcPr>
          <w:p w14:paraId="358DDB36" w14:textId="77777777" w:rsidR="002C470C" w:rsidRPr="00B52707" w:rsidRDefault="002C470C" w:rsidP="00BD0BCB">
            <w:pPr>
              <w:jc w:val="both"/>
              <w:rPr>
                <w:color w:val="0070C0"/>
                <w:sz w:val="16"/>
                <w:szCs w:val="16"/>
              </w:rPr>
            </w:pPr>
            <w:r w:rsidRPr="00B52707">
              <w:rPr>
                <w:color w:val="0070C0"/>
                <w:sz w:val="16"/>
                <w:szCs w:val="16"/>
              </w:rPr>
              <w:t>1.286</w:t>
            </w:r>
          </w:p>
        </w:tc>
      </w:tr>
      <w:tr w:rsidR="002C470C" w:rsidRPr="00B52707" w14:paraId="68AFBA77" w14:textId="77777777" w:rsidTr="00BD0BCB">
        <w:trPr>
          <w:trHeight w:hRule="exact" w:val="254"/>
        </w:trPr>
        <w:tc>
          <w:tcPr>
            <w:tcW w:w="2880" w:type="dxa"/>
            <w:shd w:val="clear" w:color="auto" w:fill="FFFFFF"/>
            <w:vAlign w:val="center"/>
          </w:tcPr>
          <w:p w14:paraId="3A842F2F" w14:textId="77777777" w:rsidR="002C470C" w:rsidRPr="00B52707" w:rsidRDefault="002C470C" w:rsidP="00BD0BCB">
            <w:pPr>
              <w:jc w:val="both"/>
              <w:rPr>
                <w:color w:val="0070C0"/>
                <w:sz w:val="16"/>
                <w:szCs w:val="16"/>
              </w:rPr>
            </w:pPr>
            <w:r w:rsidRPr="00B52707">
              <w:rPr>
                <w:color w:val="0070C0"/>
                <w:sz w:val="16"/>
                <w:szCs w:val="16"/>
              </w:rPr>
              <w:tab/>
            </w:r>
            <w:r w:rsidRPr="00B52707">
              <w:rPr>
                <w:rFonts w:eastAsia="Cambria"/>
                <w:color w:val="0070C0"/>
                <w:sz w:val="16"/>
                <w:szCs w:val="16"/>
              </w:rPr>
              <w:t>«</w:t>
            </w:r>
            <w:r w:rsidRPr="00B52707">
              <w:rPr>
                <w:color w:val="0070C0"/>
                <w:sz w:val="16"/>
                <w:szCs w:val="16"/>
              </w:rPr>
              <w:t>.</w:t>
            </w:r>
            <w:r w:rsidRPr="00B52707">
              <w:rPr>
                <w:color w:val="0070C0"/>
                <w:sz w:val="16"/>
                <w:szCs w:val="16"/>
              </w:rPr>
              <w:tab/>
              <w:t>1</w:t>
            </w:r>
            <w:r w:rsidRPr="00B52707">
              <w:rPr>
                <w:rFonts w:eastAsia="Cambria"/>
                <w:color w:val="0070C0"/>
                <w:sz w:val="16"/>
                <w:szCs w:val="16"/>
              </w:rPr>
              <w:t xml:space="preserve"> </w:t>
            </w:r>
            <w:r w:rsidRPr="00B52707">
              <w:rPr>
                <w:color w:val="0070C0"/>
                <w:sz w:val="16"/>
                <w:szCs w:val="16"/>
              </w:rPr>
              <w:t>т.</w:t>
            </w:r>
          </w:p>
        </w:tc>
        <w:tc>
          <w:tcPr>
            <w:tcW w:w="552" w:type="dxa"/>
            <w:tcBorders>
              <w:left w:val="single" w:sz="4" w:space="0" w:color="auto"/>
            </w:tcBorders>
            <w:shd w:val="clear" w:color="auto" w:fill="FFFFFF"/>
            <w:vAlign w:val="center"/>
          </w:tcPr>
          <w:p w14:paraId="7C12F271" w14:textId="77777777" w:rsidR="002C470C" w:rsidRPr="00B52707" w:rsidRDefault="002C470C" w:rsidP="00BD0BCB">
            <w:pPr>
              <w:jc w:val="both"/>
              <w:rPr>
                <w:color w:val="0070C0"/>
                <w:sz w:val="16"/>
                <w:szCs w:val="16"/>
              </w:rPr>
            </w:pPr>
            <w:r w:rsidRPr="00B52707">
              <w:rPr>
                <w:color w:val="0070C0"/>
                <w:sz w:val="16"/>
                <w:szCs w:val="16"/>
              </w:rPr>
              <w:t>365</w:t>
            </w:r>
          </w:p>
        </w:tc>
        <w:tc>
          <w:tcPr>
            <w:tcW w:w="562" w:type="dxa"/>
            <w:tcBorders>
              <w:left w:val="single" w:sz="4" w:space="0" w:color="auto"/>
            </w:tcBorders>
            <w:shd w:val="clear" w:color="auto" w:fill="FFFFFF"/>
            <w:vAlign w:val="center"/>
          </w:tcPr>
          <w:p w14:paraId="7DEBC71E" w14:textId="77777777" w:rsidR="002C470C" w:rsidRPr="00B52707" w:rsidRDefault="002C470C" w:rsidP="00BD0BCB">
            <w:pPr>
              <w:jc w:val="both"/>
              <w:rPr>
                <w:color w:val="0070C0"/>
                <w:sz w:val="16"/>
                <w:szCs w:val="16"/>
              </w:rPr>
            </w:pPr>
            <w:r w:rsidRPr="00B52707">
              <w:rPr>
                <w:color w:val="0070C0"/>
                <w:sz w:val="16"/>
                <w:szCs w:val="16"/>
              </w:rPr>
              <w:t>—</w:t>
            </w:r>
          </w:p>
        </w:tc>
        <w:tc>
          <w:tcPr>
            <w:tcW w:w="557" w:type="dxa"/>
            <w:tcBorders>
              <w:left w:val="single" w:sz="4" w:space="0" w:color="auto"/>
            </w:tcBorders>
            <w:shd w:val="clear" w:color="auto" w:fill="FFFFFF"/>
            <w:vAlign w:val="center"/>
          </w:tcPr>
          <w:p w14:paraId="5942C3A8" w14:textId="77777777" w:rsidR="002C470C" w:rsidRPr="00B52707" w:rsidRDefault="002C470C" w:rsidP="00BD0BCB">
            <w:pPr>
              <w:jc w:val="both"/>
              <w:rPr>
                <w:color w:val="0070C0"/>
                <w:sz w:val="16"/>
                <w:szCs w:val="16"/>
              </w:rPr>
            </w:pPr>
            <w:r w:rsidRPr="00B52707">
              <w:rPr>
                <w:color w:val="0070C0"/>
                <w:sz w:val="16"/>
                <w:szCs w:val="16"/>
              </w:rPr>
              <w:t>—</w:t>
            </w:r>
          </w:p>
        </w:tc>
        <w:tc>
          <w:tcPr>
            <w:tcW w:w="552" w:type="dxa"/>
            <w:tcBorders>
              <w:left w:val="single" w:sz="4" w:space="0" w:color="auto"/>
            </w:tcBorders>
            <w:shd w:val="clear" w:color="auto" w:fill="FFFFFF"/>
            <w:vAlign w:val="center"/>
          </w:tcPr>
          <w:p w14:paraId="7158E450" w14:textId="77777777" w:rsidR="002C470C" w:rsidRPr="00B52707" w:rsidRDefault="002C470C" w:rsidP="00BD0BCB">
            <w:pPr>
              <w:jc w:val="both"/>
              <w:rPr>
                <w:color w:val="0070C0"/>
                <w:sz w:val="16"/>
                <w:szCs w:val="16"/>
              </w:rPr>
            </w:pPr>
            <w:r w:rsidRPr="00B52707">
              <w:rPr>
                <w:color w:val="0070C0"/>
                <w:sz w:val="16"/>
                <w:szCs w:val="16"/>
              </w:rPr>
              <w:t>—</w:t>
            </w:r>
          </w:p>
        </w:tc>
        <w:tc>
          <w:tcPr>
            <w:tcW w:w="557" w:type="dxa"/>
            <w:tcBorders>
              <w:left w:val="single" w:sz="4" w:space="0" w:color="auto"/>
            </w:tcBorders>
            <w:shd w:val="clear" w:color="auto" w:fill="FFFFFF"/>
            <w:vAlign w:val="center"/>
          </w:tcPr>
          <w:p w14:paraId="7A3BBA8F" w14:textId="77777777" w:rsidR="002C470C" w:rsidRPr="00B52707" w:rsidRDefault="002C470C" w:rsidP="00BD0BCB">
            <w:pPr>
              <w:jc w:val="both"/>
              <w:rPr>
                <w:color w:val="0070C0"/>
                <w:sz w:val="16"/>
                <w:szCs w:val="16"/>
              </w:rPr>
            </w:pPr>
            <w:r w:rsidRPr="00B52707">
              <w:rPr>
                <w:color w:val="0070C0"/>
                <w:sz w:val="16"/>
                <w:szCs w:val="16"/>
              </w:rPr>
              <w:t>—</w:t>
            </w:r>
          </w:p>
        </w:tc>
        <w:tc>
          <w:tcPr>
            <w:tcW w:w="571" w:type="dxa"/>
            <w:tcBorders>
              <w:left w:val="single" w:sz="4" w:space="0" w:color="auto"/>
            </w:tcBorders>
            <w:shd w:val="clear" w:color="auto" w:fill="FFFFFF"/>
            <w:vAlign w:val="center"/>
          </w:tcPr>
          <w:p w14:paraId="6070F68F" w14:textId="77777777" w:rsidR="002C470C" w:rsidRPr="00B52707" w:rsidRDefault="002C470C" w:rsidP="00BD0BCB">
            <w:pPr>
              <w:jc w:val="both"/>
              <w:rPr>
                <w:color w:val="0070C0"/>
                <w:sz w:val="16"/>
                <w:szCs w:val="16"/>
              </w:rPr>
            </w:pPr>
            <w:r w:rsidRPr="00B52707">
              <w:rPr>
                <w:color w:val="0070C0"/>
                <w:sz w:val="16"/>
                <w:szCs w:val="16"/>
              </w:rPr>
              <w:t>365</w:t>
            </w:r>
          </w:p>
        </w:tc>
      </w:tr>
      <w:tr w:rsidR="002C470C" w:rsidRPr="00B52707" w14:paraId="32530C72" w14:textId="77777777" w:rsidTr="00BD0BCB">
        <w:trPr>
          <w:trHeight w:hRule="exact" w:val="254"/>
        </w:trPr>
        <w:tc>
          <w:tcPr>
            <w:tcW w:w="2880" w:type="dxa"/>
            <w:shd w:val="clear" w:color="auto" w:fill="FFFFFF"/>
            <w:vAlign w:val="center"/>
          </w:tcPr>
          <w:p w14:paraId="3891645D" w14:textId="77777777" w:rsidR="002C470C" w:rsidRPr="00B52707" w:rsidRDefault="002C470C" w:rsidP="00BD0BCB">
            <w:pPr>
              <w:jc w:val="both"/>
              <w:rPr>
                <w:color w:val="0070C0"/>
                <w:sz w:val="16"/>
                <w:szCs w:val="16"/>
              </w:rPr>
            </w:pPr>
            <w:r w:rsidRPr="00B52707">
              <w:rPr>
                <w:color w:val="0070C0"/>
                <w:sz w:val="16"/>
                <w:szCs w:val="16"/>
              </w:rPr>
              <w:tab/>
            </w:r>
            <w:r w:rsidRPr="00B52707">
              <w:rPr>
                <w:rFonts w:eastAsia="Cambria"/>
                <w:color w:val="0070C0"/>
                <w:sz w:val="16"/>
                <w:szCs w:val="16"/>
              </w:rPr>
              <w:t>«</w:t>
            </w:r>
            <w:r w:rsidRPr="00B52707">
              <w:rPr>
                <w:color w:val="0070C0"/>
                <w:sz w:val="16"/>
                <w:szCs w:val="16"/>
              </w:rPr>
              <w:t>.</w:t>
            </w:r>
            <w:r w:rsidRPr="00B52707">
              <w:rPr>
                <w:color w:val="0070C0"/>
                <w:sz w:val="16"/>
                <w:szCs w:val="16"/>
              </w:rPr>
              <w:tab/>
              <w:t>1</w:t>
            </w:r>
            <w:r w:rsidRPr="00B52707">
              <w:rPr>
                <w:rFonts w:eastAsia="Cambria"/>
                <w:color w:val="0070C0"/>
                <w:sz w:val="16"/>
                <w:szCs w:val="16"/>
              </w:rPr>
              <w:t xml:space="preserve"> т</w:t>
            </w:r>
          </w:p>
        </w:tc>
        <w:tc>
          <w:tcPr>
            <w:tcW w:w="552" w:type="dxa"/>
            <w:tcBorders>
              <w:left w:val="single" w:sz="4" w:space="0" w:color="auto"/>
            </w:tcBorders>
            <w:shd w:val="clear" w:color="auto" w:fill="FFFFFF"/>
            <w:vAlign w:val="center"/>
          </w:tcPr>
          <w:p w14:paraId="3CC4044D" w14:textId="77777777" w:rsidR="002C470C" w:rsidRPr="00B52707" w:rsidRDefault="002C470C" w:rsidP="00BD0BCB">
            <w:pPr>
              <w:jc w:val="both"/>
              <w:rPr>
                <w:color w:val="0070C0"/>
                <w:sz w:val="16"/>
                <w:szCs w:val="16"/>
              </w:rPr>
            </w:pPr>
            <w:r w:rsidRPr="00B52707">
              <w:rPr>
                <w:color w:val="0070C0"/>
                <w:sz w:val="16"/>
                <w:szCs w:val="16"/>
              </w:rPr>
              <w:t>165</w:t>
            </w:r>
          </w:p>
        </w:tc>
        <w:tc>
          <w:tcPr>
            <w:tcW w:w="562" w:type="dxa"/>
            <w:tcBorders>
              <w:left w:val="single" w:sz="4" w:space="0" w:color="auto"/>
            </w:tcBorders>
            <w:shd w:val="clear" w:color="auto" w:fill="FFFFFF"/>
            <w:vAlign w:val="center"/>
          </w:tcPr>
          <w:p w14:paraId="46E5C082" w14:textId="77777777" w:rsidR="002C470C" w:rsidRPr="00B52707" w:rsidRDefault="002C470C" w:rsidP="00BD0BCB">
            <w:pPr>
              <w:jc w:val="both"/>
              <w:rPr>
                <w:color w:val="0070C0"/>
                <w:sz w:val="16"/>
                <w:szCs w:val="16"/>
              </w:rPr>
            </w:pPr>
            <w:r w:rsidRPr="00B52707">
              <w:rPr>
                <w:color w:val="0070C0"/>
                <w:sz w:val="16"/>
                <w:szCs w:val="16"/>
              </w:rPr>
              <w:t>—</w:t>
            </w:r>
          </w:p>
        </w:tc>
        <w:tc>
          <w:tcPr>
            <w:tcW w:w="557" w:type="dxa"/>
            <w:tcBorders>
              <w:left w:val="single" w:sz="4" w:space="0" w:color="auto"/>
            </w:tcBorders>
            <w:shd w:val="clear" w:color="auto" w:fill="FFFFFF"/>
            <w:vAlign w:val="center"/>
          </w:tcPr>
          <w:p w14:paraId="77172074" w14:textId="77777777" w:rsidR="002C470C" w:rsidRPr="00B52707" w:rsidRDefault="002C470C" w:rsidP="00BD0BCB">
            <w:pPr>
              <w:jc w:val="both"/>
              <w:rPr>
                <w:color w:val="0070C0"/>
                <w:sz w:val="16"/>
                <w:szCs w:val="16"/>
              </w:rPr>
            </w:pPr>
            <w:r w:rsidRPr="00B52707">
              <w:rPr>
                <w:color w:val="0070C0"/>
                <w:sz w:val="16"/>
                <w:szCs w:val="16"/>
              </w:rPr>
              <w:t>—</w:t>
            </w:r>
          </w:p>
        </w:tc>
        <w:tc>
          <w:tcPr>
            <w:tcW w:w="552" w:type="dxa"/>
            <w:tcBorders>
              <w:left w:val="single" w:sz="4" w:space="0" w:color="auto"/>
            </w:tcBorders>
            <w:shd w:val="clear" w:color="auto" w:fill="FFFFFF"/>
            <w:vAlign w:val="center"/>
          </w:tcPr>
          <w:p w14:paraId="4D44EB31" w14:textId="77777777" w:rsidR="002C470C" w:rsidRPr="00B52707" w:rsidRDefault="002C470C" w:rsidP="00BD0BCB">
            <w:pPr>
              <w:jc w:val="both"/>
              <w:rPr>
                <w:color w:val="0070C0"/>
                <w:sz w:val="16"/>
                <w:szCs w:val="16"/>
              </w:rPr>
            </w:pPr>
            <w:r w:rsidRPr="00B52707">
              <w:rPr>
                <w:color w:val="0070C0"/>
                <w:sz w:val="16"/>
                <w:szCs w:val="16"/>
              </w:rPr>
              <w:t>—</w:t>
            </w:r>
          </w:p>
        </w:tc>
        <w:tc>
          <w:tcPr>
            <w:tcW w:w="557" w:type="dxa"/>
            <w:tcBorders>
              <w:left w:val="single" w:sz="4" w:space="0" w:color="auto"/>
            </w:tcBorders>
            <w:shd w:val="clear" w:color="auto" w:fill="FFFFFF"/>
            <w:vAlign w:val="center"/>
          </w:tcPr>
          <w:p w14:paraId="67FF83C0" w14:textId="77777777" w:rsidR="002C470C" w:rsidRPr="00B52707" w:rsidRDefault="002C470C" w:rsidP="00BD0BCB">
            <w:pPr>
              <w:jc w:val="both"/>
              <w:rPr>
                <w:color w:val="0070C0"/>
                <w:sz w:val="16"/>
                <w:szCs w:val="16"/>
              </w:rPr>
            </w:pPr>
            <w:r w:rsidRPr="00B52707">
              <w:rPr>
                <w:color w:val="0070C0"/>
                <w:sz w:val="16"/>
                <w:szCs w:val="16"/>
              </w:rPr>
              <w:t>—</w:t>
            </w:r>
          </w:p>
        </w:tc>
        <w:tc>
          <w:tcPr>
            <w:tcW w:w="571" w:type="dxa"/>
            <w:tcBorders>
              <w:left w:val="single" w:sz="4" w:space="0" w:color="auto"/>
            </w:tcBorders>
            <w:shd w:val="clear" w:color="auto" w:fill="FFFFFF"/>
            <w:vAlign w:val="center"/>
          </w:tcPr>
          <w:p w14:paraId="506E4B7E" w14:textId="77777777" w:rsidR="002C470C" w:rsidRPr="00B52707" w:rsidRDefault="002C470C" w:rsidP="00BD0BCB">
            <w:pPr>
              <w:jc w:val="both"/>
              <w:rPr>
                <w:color w:val="0070C0"/>
                <w:sz w:val="16"/>
                <w:szCs w:val="16"/>
              </w:rPr>
            </w:pPr>
            <w:r w:rsidRPr="00B52707">
              <w:rPr>
                <w:color w:val="0070C0"/>
                <w:sz w:val="16"/>
                <w:szCs w:val="16"/>
              </w:rPr>
              <w:t>165</w:t>
            </w:r>
          </w:p>
        </w:tc>
      </w:tr>
      <w:tr w:rsidR="002C470C" w:rsidRPr="00B52707" w14:paraId="61A17D0B" w14:textId="77777777" w:rsidTr="00BD0BCB">
        <w:trPr>
          <w:trHeight w:hRule="exact" w:val="254"/>
        </w:trPr>
        <w:tc>
          <w:tcPr>
            <w:tcW w:w="2880" w:type="dxa"/>
            <w:shd w:val="clear" w:color="auto" w:fill="FFFFFF"/>
            <w:vAlign w:val="bottom"/>
          </w:tcPr>
          <w:p w14:paraId="37114BEE" w14:textId="77777777" w:rsidR="002C470C" w:rsidRPr="00B52707" w:rsidRDefault="002C470C" w:rsidP="00BD0BCB">
            <w:pPr>
              <w:jc w:val="both"/>
              <w:rPr>
                <w:color w:val="0070C0"/>
                <w:sz w:val="16"/>
                <w:szCs w:val="16"/>
              </w:rPr>
            </w:pPr>
            <w:r w:rsidRPr="00B52707">
              <w:rPr>
                <w:color w:val="0070C0"/>
                <w:sz w:val="16"/>
                <w:szCs w:val="16"/>
              </w:rPr>
              <w:t>Легковых автомобилей</w:t>
            </w:r>
            <w:r w:rsidRPr="00B52707">
              <w:rPr>
                <w:color w:val="0070C0"/>
                <w:sz w:val="16"/>
                <w:szCs w:val="16"/>
              </w:rPr>
              <w:tab/>
            </w:r>
          </w:p>
        </w:tc>
        <w:tc>
          <w:tcPr>
            <w:tcW w:w="552" w:type="dxa"/>
            <w:tcBorders>
              <w:left w:val="single" w:sz="4" w:space="0" w:color="auto"/>
            </w:tcBorders>
            <w:shd w:val="clear" w:color="auto" w:fill="FFFFFF"/>
            <w:vAlign w:val="bottom"/>
          </w:tcPr>
          <w:p w14:paraId="2D9AAD1F" w14:textId="77777777" w:rsidR="002C470C" w:rsidRPr="00B52707" w:rsidRDefault="002C470C" w:rsidP="00BD0BCB">
            <w:pPr>
              <w:jc w:val="both"/>
              <w:rPr>
                <w:color w:val="0070C0"/>
                <w:sz w:val="16"/>
                <w:szCs w:val="16"/>
              </w:rPr>
            </w:pPr>
            <w:r w:rsidRPr="00B52707">
              <w:rPr>
                <w:color w:val="0070C0"/>
                <w:sz w:val="16"/>
                <w:szCs w:val="16"/>
              </w:rPr>
              <w:t>4.667</w:t>
            </w:r>
          </w:p>
        </w:tc>
        <w:tc>
          <w:tcPr>
            <w:tcW w:w="562" w:type="dxa"/>
            <w:tcBorders>
              <w:left w:val="single" w:sz="4" w:space="0" w:color="auto"/>
            </w:tcBorders>
            <w:shd w:val="clear" w:color="auto" w:fill="FFFFFF"/>
            <w:vAlign w:val="bottom"/>
          </w:tcPr>
          <w:p w14:paraId="21F058ED" w14:textId="77777777" w:rsidR="002C470C" w:rsidRPr="00B52707" w:rsidRDefault="002C470C" w:rsidP="00BD0BCB">
            <w:pPr>
              <w:jc w:val="both"/>
              <w:rPr>
                <w:color w:val="0070C0"/>
                <w:sz w:val="16"/>
                <w:szCs w:val="16"/>
              </w:rPr>
            </w:pPr>
            <w:r w:rsidRPr="00B52707">
              <w:rPr>
                <w:color w:val="0070C0"/>
                <w:sz w:val="16"/>
                <w:szCs w:val="16"/>
              </w:rPr>
              <w:t>600</w:t>
            </w:r>
          </w:p>
        </w:tc>
        <w:tc>
          <w:tcPr>
            <w:tcW w:w="557" w:type="dxa"/>
            <w:tcBorders>
              <w:left w:val="single" w:sz="4" w:space="0" w:color="auto"/>
            </w:tcBorders>
            <w:shd w:val="clear" w:color="auto" w:fill="FFFFFF"/>
            <w:vAlign w:val="bottom"/>
          </w:tcPr>
          <w:p w14:paraId="1C904DB2" w14:textId="77777777" w:rsidR="002C470C" w:rsidRPr="00B52707" w:rsidRDefault="002C470C" w:rsidP="00BD0BCB">
            <w:pPr>
              <w:jc w:val="both"/>
              <w:rPr>
                <w:color w:val="0070C0"/>
                <w:sz w:val="16"/>
                <w:szCs w:val="16"/>
              </w:rPr>
            </w:pPr>
            <w:r w:rsidRPr="00B52707">
              <w:rPr>
                <w:color w:val="0070C0"/>
                <w:sz w:val="16"/>
                <w:szCs w:val="16"/>
              </w:rPr>
              <w:t>600</w:t>
            </w:r>
          </w:p>
        </w:tc>
        <w:tc>
          <w:tcPr>
            <w:tcW w:w="552" w:type="dxa"/>
            <w:tcBorders>
              <w:left w:val="single" w:sz="4" w:space="0" w:color="auto"/>
            </w:tcBorders>
            <w:shd w:val="clear" w:color="auto" w:fill="FFFFFF"/>
            <w:vAlign w:val="bottom"/>
          </w:tcPr>
          <w:p w14:paraId="67017815" w14:textId="77777777" w:rsidR="002C470C" w:rsidRPr="00B52707" w:rsidRDefault="002C470C" w:rsidP="00BD0BCB">
            <w:pPr>
              <w:jc w:val="both"/>
              <w:rPr>
                <w:color w:val="0070C0"/>
                <w:sz w:val="16"/>
                <w:szCs w:val="16"/>
              </w:rPr>
            </w:pPr>
            <w:r w:rsidRPr="00B52707">
              <w:rPr>
                <w:color w:val="0070C0"/>
                <w:sz w:val="16"/>
                <w:szCs w:val="16"/>
              </w:rPr>
              <w:t>400</w:t>
            </w:r>
          </w:p>
        </w:tc>
        <w:tc>
          <w:tcPr>
            <w:tcW w:w="557" w:type="dxa"/>
            <w:tcBorders>
              <w:left w:val="single" w:sz="4" w:space="0" w:color="auto"/>
            </w:tcBorders>
            <w:shd w:val="clear" w:color="auto" w:fill="FFFFFF"/>
            <w:vAlign w:val="bottom"/>
          </w:tcPr>
          <w:p w14:paraId="3E68B657" w14:textId="77777777" w:rsidR="002C470C" w:rsidRPr="00B52707" w:rsidRDefault="002C470C" w:rsidP="00BD0BCB">
            <w:pPr>
              <w:jc w:val="both"/>
              <w:rPr>
                <w:color w:val="0070C0"/>
                <w:sz w:val="16"/>
                <w:szCs w:val="16"/>
              </w:rPr>
            </w:pPr>
            <w:r w:rsidRPr="00B52707">
              <w:rPr>
                <w:color w:val="0070C0"/>
                <w:sz w:val="16"/>
                <w:szCs w:val="16"/>
              </w:rPr>
              <w:t>—</w:t>
            </w:r>
          </w:p>
        </w:tc>
        <w:tc>
          <w:tcPr>
            <w:tcW w:w="571" w:type="dxa"/>
            <w:tcBorders>
              <w:left w:val="single" w:sz="4" w:space="0" w:color="auto"/>
            </w:tcBorders>
            <w:shd w:val="clear" w:color="auto" w:fill="FFFFFF"/>
            <w:vAlign w:val="bottom"/>
          </w:tcPr>
          <w:p w14:paraId="5227F2FC" w14:textId="77777777" w:rsidR="002C470C" w:rsidRPr="00B52707" w:rsidRDefault="002C470C" w:rsidP="00BD0BCB">
            <w:pPr>
              <w:jc w:val="both"/>
              <w:rPr>
                <w:color w:val="0070C0"/>
                <w:sz w:val="16"/>
                <w:szCs w:val="16"/>
              </w:rPr>
            </w:pPr>
            <w:r w:rsidRPr="00B52707">
              <w:rPr>
                <w:color w:val="0070C0"/>
                <w:sz w:val="16"/>
                <w:szCs w:val="16"/>
              </w:rPr>
              <w:t>3.067</w:t>
            </w:r>
          </w:p>
        </w:tc>
      </w:tr>
      <w:tr w:rsidR="002C470C" w:rsidRPr="00B52707" w14:paraId="0B339D0E" w14:textId="77777777" w:rsidTr="00BD0BCB">
        <w:trPr>
          <w:trHeight w:hRule="exact" w:val="274"/>
        </w:trPr>
        <w:tc>
          <w:tcPr>
            <w:tcW w:w="2880" w:type="dxa"/>
            <w:tcBorders>
              <w:top w:val="single" w:sz="4" w:space="0" w:color="auto"/>
            </w:tcBorders>
            <w:shd w:val="clear" w:color="auto" w:fill="FFFFFF"/>
            <w:vAlign w:val="bottom"/>
          </w:tcPr>
          <w:p w14:paraId="0B47047D" w14:textId="77777777" w:rsidR="002C470C" w:rsidRPr="00B52707" w:rsidRDefault="002C470C" w:rsidP="00BD0BCB">
            <w:pPr>
              <w:jc w:val="both"/>
              <w:rPr>
                <w:color w:val="0070C0"/>
                <w:sz w:val="16"/>
                <w:szCs w:val="16"/>
              </w:rPr>
            </w:pPr>
            <w:r w:rsidRPr="00B52707">
              <w:rPr>
                <w:color w:val="0070C0"/>
                <w:sz w:val="16"/>
                <w:szCs w:val="16"/>
              </w:rPr>
              <w:t>Санитарных автомобилей</w:t>
            </w:r>
          </w:p>
        </w:tc>
        <w:tc>
          <w:tcPr>
            <w:tcW w:w="552" w:type="dxa"/>
            <w:tcBorders>
              <w:top w:val="single" w:sz="4" w:space="0" w:color="auto"/>
              <w:left w:val="single" w:sz="4" w:space="0" w:color="auto"/>
            </w:tcBorders>
            <w:shd w:val="clear" w:color="auto" w:fill="FFFFFF"/>
            <w:vAlign w:val="center"/>
          </w:tcPr>
          <w:p w14:paraId="3E83DBB1" w14:textId="77777777" w:rsidR="002C470C" w:rsidRPr="00B52707" w:rsidRDefault="002C470C" w:rsidP="00BD0BCB">
            <w:pPr>
              <w:jc w:val="both"/>
              <w:rPr>
                <w:color w:val="0070C0"/>
                <w:sz w:val="16"/>
                <w:szCs w:val="16"/>
              </w:rPr>
            </w:pPr>
            <w:r w:rsidRPr="00B52707">
              <w:rPr>
                <w:color w:val="0070C0"/>
                <w:sz w:val="16"/>
                <w:szCs w:val="16"/>
              </w:rPr>
              <w:t>451</w:t>
            </w:r>
          </w:p>
        </w:tc>
        <w:tc>
          <w:tcPr>
            <w:tcW w:w="562" w:type="dxa"/>
            <w:tcBorders>
              <w:left w:val="single" w:sz="4" w:space="0" w:color="auto"/>
            </w:tcBorders>
            <w:shd w:val="clear" w:color="auto" w:fill="FFFFFF"/>
            <w:vAlign w:val="center"/>
          </w:tcPr>
          <w:p w14:paraId="638FFC8D" w14:textId="77777777" w:rsidR="002C470C" w:rsidRPr="00B52707" w:rsidRDefault="002C470C" w:rsidP="00BD0BCB">
            <w:pPr>
              <w:jc w:val="both"/>
              <w:rPr>
                <w:color w:val="0070C0"/>
                <w:sz w:val="16"/>
                <w:szCs w:val="16"/>
              </w:rPr>
            </w:pPr>
            <w:r w:rsidRPr="00B52707">
              <w:rPr>
                <w:color w:val="0070C0"/>
                <w:sz w:val="16"/>
                <w:szCs w:val="16"/>
              </w:rPr>
              <w:t>150</w:t>
            </w:r>
          </w:p>
        </w:tc>
        <w:tc>
          <w:tcPr>
            <w:tcW w:w="557" w:type="dxa"/>
            <w:tcBorders>
              <w:left w:val="single" w:sz="4" w:space="0" w:color="auto"/>
            </w:tcBorders>
            <w:shd w:val="clear" w:color="auto" w:fill="FFFFFF"/>
            <w:vAlign w:val="center"/>
          </w:tcPr>
          <w:p w14:paraId="25D8929A" w14:textId="77777777" w:rsidR="002C470C" w:rsidRPr="00B52707" w:rsidRDefault="002C470C" w:rsidP="00BD0BCB">
            <w:pPr>
              <w:jc w:val="both"/>
              <w:rPr>
                <w:color w:val="0070C0"/>
                <w:sz w:val="16"/>
                <w:szCs w:val="16"/>
              </w:rPr>
            </w:pPr>
            <w:r w:rsidRPr="00B52707">
              <w:rPr>
                <w:color w:val="0070C0"/>
                <w:sz w:val="16"/>
                <w:szCs w:val="16"/>
              </w:rPr>
              <w:t>—</w:t>
            </w:r>
          </w:p>
        </w:tc>
        <w:tc>
          <w:tcPr>
            <w:tcW w:w="552" w:type="dxa"/>
            <w:tcBorders>
              <w:left w:val="single" w:sz="4" w:space="0" w:color="auto"/>
            </w:tcBorders>
            <w:shd w:val="clear" w:color="auto" w:fill="FFFFFF"/>
            <w:vAlign w:val="bottom"/>
          </w:tcPr>
          <w:p w14:paraId="007CEE93" w14:textId="77777777" w:rsidR="002C470C" w:rsidRPr="00B52707" w:rsidRDefault="002C470C" w:rsidP="00BD0BCB">
            <w:pPr>
              <w:jc w:val="both"/>
              <w:rPr>
                <w:color w:val="0070C0"/>
                <w:sz w:val="16"/>
                <w:szCs w:val="16"/>
              </w:rPr>
            </w:pPr>
            <w:r w:rsidRPr="00B52707">
              <w:rPr>
                <w:color w:val="0070C0"/>
                <w:sz w:val="16"/>
                <w:szCs w:val="16"/>
              </w:rPr>
              <w:t>201</w:t>
            </w:r>
          </w:p>
        </w:tc>
        <w:tc>
          <w:tcPr>
            <w:tcW w:w="557" w:type="dxa"/>
            <w:tcBorders>
              <w:left w:val="single" w:sz="4" w:space="0" w:color="auto"/>
            </w:tcBorders>
            <w:shd w:val="clear" w:color="auto" w:fill="FFFFFF"/>
            <w:vAlign w:val="center"/>
          </w:tcPr>
          <w:p w14:paraId="53D91B99" w14:textId="77777777" w:rsidR="002C470C" w:rsidRPr="00B52707" w:rsidRDefault="002C470C" w:rsidP="00BD0BCB">
            <w:pPr>
              <w:jc w:val="both"/>
              <w:rPr>
                <w:color w:val="0070C0"/>
                <w:sz w:val="16"/>
                <w:szCs w:val="16"/>
              </w:rPr>
            </w:pPr>
            <w:r w:rsidRPr="00B52707">
              <w:rPr>
                <w:color w:val="0070C0"/>
                <w:sz w:val="16"/>
                <w:szCs w:val="16"/>
              </w:rPr>
              <w:t>—</w:t>
            </w:r>
          </w:p>
        </w:tc>
        <w:tc>
          <w:tcPr>
            <w:tcW w:w="571" w:type="dxa"/>
            <w:tcBorders>
              <w:left w:val="single" w:sz="4" w:space="0" w:color="auto"/>
            </w:tcBorders>
            <w:shd w:val="clear" w:color="auto" w:fill="FFFFFF"/>
            <w:vAlign w:val="center"/>
          </w:tcPr>
          <w:p w14:paraId="4B049E24" w14:textId="77777777" w:rsidR="002C470C" w:rsidRPr="00B52707" w:rsidRDefault="002C470C" w:rsidP="00BD0BCB">
            <w:pPr>
              <w:jc w:val="both"/>
              <w:rPr>
                <w:color w:val="0070C0"/>
                <w:sz w:val="16"/>
                <w:szCs w:val="16"/>
              </w:rPr>
            </w:pPr>
            <w:r w:rsidRPr="00B52707">
              <w:rPr>
                <w:color w:val="0070C0"/>
                <w:sz w:val="16"/>
                <w:szCs w:val="16"/>
              </w:rPr>
              <w:t>—</w:t>
            </w:r>
          </w:p>
        </w:tc>
      </w:tr>
      <w:tr w:rsidR="002C470C" w:rsidRPr="00B52707" w14:paraId="4E238DBE" w14:textId="77777777" w:rsidTr="00BD0BCB">
        <w:trPr>
          <w:trHeight w:hRule="exact" w:val="413"/>
        </w:trPr>
        <w:tc>
          <w:tcPr>
            <w:tcW w:w="2880" w:type="dxa"/>
            <w:shd w:val="clear" w:color="auto" w:fill="FFFFFF"/>
          </w:tcPr>
          <w:p w14:paraId="561CCA9F" w14:textId="77777777" w:rsidR="002C470C" w:rsidRPr="00B52707" w:rsidRDefault="002C470C" w:rsidP="00BD0BCB">
            <w:pPr>
              <w:jc w:val="both"/>
              <w:rPr>
                <w:color w:val="0070C0"/>
                <w:sz w:val="16"/>
                <w:szCs w:val="16"/>
              </w:rPr>
            </w:pPr>
            <w:r w:rsidRPr="00B52707">
              <w:rPr>
                <w:color w:val="0070C0"/>
                <w:sz w:val="16"/>
                <w:szCs w:val="16"/>
              </w:rPr>
              <w:t>Бронированных пулеметных авто</w:t>
            </w:r>
            <w:r w:rsidRPr="00B52707">
              <w:rPr>
                <w:color w:val="0070C0"/>
                <w:sz w:val="16"/>
                <w:szCs w:val="16"/>
              </w:rPr>
              <w:softHyphen/>
              <w:t xml:space="preserve">мобилей </w:t>
            </w:r>
            <w:r w:rsidRPr="00B52707">
              <w:rPr>
                <w:color w:val="0070C0"/>
                <w:sz w:val="16"/>
                <w:szCs w:val="16"/>
              </w:rPr>
              <w:tab/>
            </w:r>
          </w:p>
        </w:tc>
        <w:tc>
          <w:tcPr>
            <w:tcW w:w="552" w:type="dxa"/>
            <w:tcBorders>
              <w:left w:val="single" w:sz="4" w:space="0" w:color="auto"/>
            </w:tcBorders>
            <w:shd w:val="clear" w:color="auto" w:fill="FFFFFF"/>
            <w:vAlign w:val="bottom"/>
          </w:tcPr>
          <w:p w14:paraId="299619DE" w14:textId="77777777" w:rsidR="002C470C" w:rsidRPr="00B52707" w:rsidRDefault="002C470C" w:rsidP="00BD0BCB">
            <w:pPr>
              <w:jc w:val="both"/>
              <w:rPr>
                <w:color w:val="0070C0"/>
                <w:sz w:val="16"/>
                <w:szCs w:val="16"/>
              </w:rPr>
            </w:pPr>
            <w:r w:rsidRPr="00B52707">
              <w:rPr>
                <w:color w:val="0070C0"/>
                <w:sz w:val="16"/>
                <w:szCs w:val="16"/>
              </w:rPr>
              <w:t>90</w:t>
            </w:r>
          </w:p>
        </w:tc>
        <w:tc>
          <w:tcPr>
            <w:tcW w:w="562" w:type="dxa"/>
            <w:tcBorders>
              <w:left w:val="single" w:sz="4" w:space="0" w:color="auto"/>
            </w:tcBorders>
            <w:shd w:val="clear" w:color="auto" w:fill="FFFFFF"/>
          </w:tcPr>
          <w:p w14:paraId="7E6B26E5" w14:textId="77777777" w:rsidR="002C470C" w:rsidRPr="00B52707" w:rsidRDefault="002C470C" w:rsidP="00BD0BCB">
            <w:pPr>
              <w:jc w:val="both"/>
              <w:rPr>
                <w:color w:val="0070C0"/>
                <w:sz w:val="16"/>
                <w:szCs w:val="16"/>
              </w:rPr>
            </w:pPr>
          </w:p>
        </w:tc>
        <w:tc>
          <w:tcPr>
            <w:tcW w:w="557" w:type="dxa"/>
            <w:tcBorders>
              <w:left w:val="single" w:sz="4" w:space="0" w:color="auto"/>
            </w:tcBorders>
            <w:shd w:val="clear" w:color="auto" w:fill="FFFFFF"/>
            <w:vAlign w:val="bottom"/>
          </w:tcPr>
          <w:p w14:paraId="6FC029CE" w14:textId="77777777" w:rsidR="002C470C" w:rsidRPr="00B52707" w:rsidRDefault="002C470C" w:rsidP="00BD0BCB">
            <w:pPr>
              <w:jc w:val="both"/>
              <w:rPr>
                <w:color w:val="0070C0"/>
                <w:sz w:val="16"/>
                <w:szCs w:val="16"/>
              </w:rPr>
            </w:pPr>
            <w:r w:rsidRPr="00B52707">
              <w:rPr>
                <w:color w:val="0070C0"/>
                <w:sz w:val="16"/>
                <w:szCs w:val="16"/>
              </w:rPr>
              <w:t>90</w:t>
            </w:r>
          </w:p>
        </w:tc>
        <w:tc>
          <w:tcPr>
            <w:tcW w:w="552" w:type="dxa"/>
            <w:tcBorders>
              <w:left w:val="single" w:sz="4" w:space="0" w:color="auto"/>
            </w:tcBorders>
            <w:shd w:val="clear" w:color="auto" w:fill="FFFFFF"/>
            <w:vAlign w:val="bottom"/>
          </w:tcPr>
          <w:p w14:paraId="3A10C58A" w14:textId="77777777" w:rsidR="002C470C" w:rsidRPr="00B52707" w:rsidRDefault="002C470C" w:rsidP="00BD0BCB">
            <w:pPr>
              <w:jc w:val="both"/>
              <w:rPr>
                <w:color w:val="0070C0"/>
                <w:sz w:val="16"/>
                <w:szCs w:val="16"/>
              </w:rPr>
            </w:pPr>
            <w:r w:rsidRPr="00B52707">
              <w:rPr>
                <w:color w:val="0070C0"/>
                <w:sz w:val="16"/>
                <w:szCs w:val="16"/>
              </w:rPr>
              <w:t>—</w:t>
            </w:r>
          </w:p>
        </w:tc>
        <w:tc>
          <w:tcPr>
            <w:tcW w:w="557" w:type="dxa"/>
            <w:tcBorders>
              <w:left w:val="single" w:sz="4" w:space="0" w:color="auto"/>
            </w:tcBorders>
            <w:shd w:val="clear" w:color="auto" w:fill="FFFFFF"/>
            <w:vAlign w:val="bottom"/>
          </w:tcPr>
          <w:p w14:paraId="307702CB" w14:textId="77777777" w:rsidR="002C470C" w:rsidRPr="00B52707" w:rsidRDefault="002C470C" w:rsidP="00BD0BCB">
            <w:pPr>
              <w:jc w:val="both"/>
              <w:rPr>
                <w:color w:val="0070C0"/>
                <w:sz w:val="16"/>
                <w:szCs w:val="16"/>
              </w:rPr>
            </w:pPr>
            <w:r w:rsidRPr="00B52707">
              <w:rPr>
                <w:color w:val="0070C0"/>
                <w:sz w:val="16"/>
                <w:szCs w:val="16"/>
              </w:rPr>
              <w:t>—</w:t>
            </w:r>
          </w:p>
        </w:tc>
        <w:tc>
          <w:tcPr>
            <w:tcW w:w="571" w:type="dxa"/>
            <w:tcBorders>
              <w:left w:val="single" w:sz="4" w:space="0" w:color="auto"/>
            </w:tcBorders>
            <w:shd w:val="clear" w:color="auto" w:fill="FFFFFF"/>
            <w:vAlign w:val="bottom"/>
          </w:tcPr>
          <w:p w14:paraId="60B30068" w14:textId="77777777" w:rsidR="002C470C" w:rsidRPr="00B52707" w:rsidRDefault="002C470C" w:rsidP="00BD0BCB">
            <w:pPr>
              <w:jc w:val="both"/>
              <w:rPr>
                <w:color w:val="0070C0"/>
                <w:sz w:val="16"/>
                <w:szCs w:val="16"/>
              </w:rPr>
            </w:pPr>
            <w:r w:rsidRPr="00B52707">
              <w:rPr>
                <w:color w:val="0070C0"/>
                <w:sz w:val="16"/>
                <w:szCs w:val="16"/>
              </w:rPr>
              <w:t>—</w:t>
            </w:r>
          </w:p>
        </w:tc>
      </w:tr>
      <w:tr w:rsidR="002C470C" w:rsidRPr="00B52707" w14:paraId="49A9FA26" w14:textId="77777777" w:rsidTr="00BD0BCB">
        <w:trPr>
          <w:trHeight w:hRule="exact" w:val="403"/>
        </w:trPr>
        <w:tc>
          <w:tcPr>
            <w:tcW w:w="2880" w:type="dxa"/>
            <w:tcBorders>
              <w:top w:val="single" w:sz="4" w:space="0" w:color="auto"/>
            </w:tcBorders>
            <w:shd w:val="clear" w:color="auto" w:fill="FFFFFF"/>
          </w:tcPr>
          <w:p w14:paraId="45018472" w14:textId="77777777" w:rsidR="002C470C" w:rsidRPr="00B52707" w:rsidRDefault="002C470C" w:rsidP="00BD0BCB">
            <w:pPr>
              <w:jc w:val="both"/>
              <w:rPr>
                <w:color w:val="0070C0"/>
                <w:sz w:val="16"/>
                <w:szCs w:val="16"/>
              </w:rPr>
            </w:pPr>
            <w:r w:rsidRPr="00B52707">
              <w:rPr>
                <w:color w:val="0070C0"/>
                <w:sz w:val="16"/>
                <w:szCs w:val="16"/>
              </w:rPr>
              <w:t>Тоже пушечных</w:t>
            </w:r>
          </w:p>
        </w:tc>
        <w:tc>
          <w:tcPr>
            <w:tcW w:w="552" w:type="dxa"/>
            <w:tcBorders>
              <w:left w:val="single" w:sz="4" w:space="0" w:color="auto"/>
            </w:tcBorders>
            <w:shd w:val="clear" w:color="auto" w:fill="FFFFFF"/>
          </w:tcPr>
          <w:p w14:paraId="6642DBC2" w14:textId="77777777" w:rsidR="002C470C" w:rsidRPr="00B52707" w:rsidRDefault="002C470C" w:rsidP="00BD0BCB">
            <w:pPr>
              <w:jc w:val="both"/>
              <w:rPr>
                <w:color w:val="0070C0"/>
                <w:sz w:val="16"/>
                <w:szCs w:val="16"/>
              </w:rPr>
            </w:pPr>
            <w:r w:rsidRPr="00B52707">
              <w:rPr>
                <w:color w:val="0070C0"/>
                <w:sz w:val="16"/>
                <w:szCs w:val="16"/>
              </w:rPr>
              <w:t>71</w:t>
            </w:r>
          </w:p>
        </w:tc>
        <w:tc>
          <w:tcPr>
            <w:tcW w:w="562" w:type="dxa"/>
            <w:tcBorders>
              <w:left w:val="single" w:sz="4" w:space="0" w:color="auto"/>
            </w:tcBorders>
            <w:shd w:val="clear" w:color="auto" w:fill="FFFFFF"/>
          </w:tcPr>
          <w:p w14:paraId="2DF59338" w14:textId="77777777" w:rsidR="002C470C" w:rsidRPr="00B52707" w:rsidRDefault="002C470C" w:rsidP="00BD0BCB">
            <w:pPr>
              <w:jc w:val="both"/>
              <w:rPr>
                <w:color w:val="0070C0"/>
                <w:sz w:val="16"/>
                <w:szCs w:val="16"/>
              </w:rPr>
            </w:pPr>
          </w:p>
        </w:tc>
        <w:tc>
          <w:tcPr>
            <w:tcW w:w="557" w:type="dxa"/>
            <w:tcBorders>
              <w:left w:val="single" w:sz="4" w:space="0" w:color="auto"/>
            </w:tcBorders>
            <w:shd w:val="clear" w:color="auto" w:fill="FFFFFF"/>
            <w:vAlign w:val="center"/>
          </w:tcPr>
          <w:p w14:paraId="411D9AD8" w14:textId="77777777" w:rsidR="002C470C" w:rsidRPr="00B52707" w:rsidRDefault="002C470C" w:rsidP="00BD0BCB">
            <w:pPr>
              <w:jc w:val="both"/>
              <w:rPr>
                <w:color w:val="0070C0"/>
                <w:sz w:val="16"/>
                <w:szCs w:val="16"/>
              </w:rPr>
            </w:pPr>
            <w:r w:rsidRPr="00B52707">
              <w:rPr>
                <w:color w:val="0070C0"/>
                <w:sz w:val="16"/>
                <w:szCs w:val="16"/>
              </w:rPr>
              <w:t>—</w:t>
            </w:r>
          </w:p>
        </w:tc>
        <w:tc>
          <w:tcPr>
            <w:tcW w:w="552" w:type="dxa"/>
            <w:tcBorders>
              <w:left w:val="single" w:sz="4" w:space="0" w:color="auto"/>
            </w:tcBorders>
            <w:shd w:val="clear" w:color="auto" w:fill="FFFFFF"/>
            <w:vAlign w:val="center"/>
          </w:tcPr>
          <w:p w14:paraId="27CA1F98" w14:textId="77777777" w:rsidR="002C470C" w:rsidRPr="00B52707" w:rsidRDefault="002C470C" w:rsidP="00BD0BCB">
            <w:pPr>
              <w:jc w:val="both"/>
              <w:rPr>
                <w:color w:val="0070C0"/>
                <w:sz w:val="16"/>
                <w:szCs w:val="16"/>
              </w:rPr>
            </w:pPr>
            <w:r w:rsidRPr="00B52707">
              <w:rPr>
                <w:color w:val="0070C0"/>
                <w:sz w:val="16"/>
                <w:szCs w:val="16"/>
              </w:rPr>
              <w:t>—</w:t>
            </w:r>
          </w:p>
        </w:tc>
        <w:tc>
          <w:tcPr>
            <w:tcW w:w="557" w:type="dxa"/>
            <w:tcBorders>
              <w:left w:val="single" w:sz="4" w:space="0" w:color="auto"/>
            </w:tcBorders>
            <w:shd w:val="clear" w:color="auto" w:fill="FFFFFF"/>
            <w:vAlign w:val="center"/>
          </w:tcPr>
          <w:p w14:paraId="102ADCDE" w14:textId="77777777" w:rsidR="002C470C" w:rsidRPr="00B52707" w:rsidRDefault="002C470C" w:rsidP="00BD0BCB">
            <w:pPr>
              <w:jc w:val="both"/>
              <w:rPr>
                <w:color w:val="0070C0"/>
                <w:sz w:val="16"/>
                <w:szCs w:val="16"/>
              </w:rPr>
            </w:pPr>
            <w:r w:rsidRPr="00B52707">
              <w:rPr>
                <w:color w:val="0070C0"/>
                <w:sz w:val="16"/>
                <w:szCs w:val="16"/>
              </w:rPr>
              <w:t>—</w:t>
            </w:r>
          </w:p>
        </w:tc>
        <w:tc>
          <w:tcPr>
            <w:tcW w:w="571" w:type="dxa"/>
            <w:tcBorders>
              <w:left w:val="single" w:sz="4" w:space="0" w:color="auto"/>
            </w:tcBorders>
            <w:shd w:val="clear" w:color="auto" w:fill="FFFFFF"/>
          </w:tcPr>
          <w:p w14:paraId="5767F189" w14:textId="77777777" w:rsidR="002C470C" w:rsidRPr="00B52707" w:rsidRDefault="002C470C" w:rsidP="00BD0BCB">
            <w:pPr>
              <w:jc w:val="both"/>
              <w:rPr>
                <w:color w:val="0070C0"/>
                <w:sz w:val="16"/>
                <w:szCs w:val="16"/>
              </w:rPr>
            </w:pPr>
            <w:r w:rsidRPr="00B52707">
              <w:rPr>
                <w:color w:val="0070C0"/>
                <w:sz w:val="16"/>
                <w:szCs w:val="16"/>
              </w:rPr>
              <w:t>71</w:t>
            </w:r>
          </w:p>
        </w:tc>
      </w:tr>
      <w:tr w:rsidR="002C470C" w:rsidRPr="00B52707" w14:paraId="16524F6F" w14:textId="77777777" w:rsidTr="00BD0BCB">
        <w:trPr>
          <w:trHeight w:hRule="exact" w:val="888"/>
        </w:trPr>
        <w:tc>
          <w:tcPr>
            <w:tcW w:w="2880" w:type="dxa"/>
            <w:shd w:val="clear" w:color="auto" w:fill="FFFFFF"/>
            <w:vAlign w:val="bottom"/>
          </w:tcPr>
          <w:p w14:paraId="18EE546E" w14:textId="77777777" w:rsidR="002C470C" w:rsidRPr="00B52707" w:rsidRDefault="002C470C" w:rsidP="00BD0BCB">
            <w:pPr>
              <w:jc w:val="both"/>
              <w:rPr>
                <w:color w:val="0070C0"/>
                <w:sz w:val="16"/>
                <w:szCs w:val="16"/>
              </w:rPr>
            </w:pPr>
            <w:r w:rsidRPr="00B52707">
              <w:rPr>
                <w:color w:val="0070C0"/>
                <w:sz w:val="16"/>
                <w:szCs w:val="16"/>
              </w:rPr>
              <w:t>Автомобилей вспомогательного на</w:t>
            </w:r>
            <w:r w:rsidRPr="00B52707">
              <w:rPr>
                <w:color w:val="0070C0"/>
                <w:sz w:val="16"/>
                <w:szCs w:val="16"/>
              </w:rPr>
              <w:softHyphen/>
              <w:t>значения:</w:t>
            </w:r>
          </w:p>
          <w:p w14:paraId="0A29C486" w14:textId="77777777" w:rsidR="002C470C" w:rsidRPr="00B52707" w:rsidRDefault="002C470C" w:rsidP="00BD0BCB">
            <w:pPr>
              <w:jc w:val="both"/>
              <w:rPr>
                <w:color w:val="0070C0"/>
                <w:sz w:val="16"/>
                <w:szCs w:val="16"/>
              </w:rPr>
            </w:pPr>
            <w:r w:rsidRPr="00B52707">
              <w:rPr>
                <w:color w:val="0070C0"/>
                <w:sz w:val="16"/>
                <w:szCs w:val="16"/>
              </w:rPr>
              <w:t>а) цисгерн в 2 — 3 т</w:t>
            </w:r>
            <w:r w:rsidRPr="00B52707">
              <w:rPr>
                <w:color w:val="0070C0"/>
                <w:sz w:val="16"/>
                <w:szCs w:val="16"/>
              </w:rPr>
              <w:tab/>
            </w:r>
          </w:p>
        </w:tc>
        <w:tc>
          <w:tcPr>
            <w:tcW w:w="552" w:type="dxa"/>
            <w:tcBorders>
              <w:left w:val="single" w:sz="4" w:space="0" w:color="auto"/>
            </w:tcBorders>
            <w:shd w:val="clear" w:color="auto" w:fill="FFFFFF"/>
            <w:vAlign w:val="bottom"/>
          </w:tcPr>
          <w:p w14:paraId="7F6503DF" w14:textId="77777777" w:rsidR="002C470C" w:rsidRPr="00B52707" w:rsidRDefault="002C470C" w:rsidP="00BD0BCB">
            <w:pPr>
              <w:jc w:val="both"/>
              <w:rPr>
                <w:color w:val="0070C0"/>
                <w:sz w:val="16"/>
                <w:szCs w:val="16"/>
              </w:rPr>
            </w:pPr>
            <w:r w:rsidRPr="00B52707">
              <w:rPr>
                <w:color w:val="0070C0"/>
                <w:sz w:val="16"/>
                <w:szCs w:val="16"/>
              </w:rPr>
              <w:t>96</w:t>
            </w:r>
          </w:p>
        </w:tc>
        <w:tc>
          <w:tcPr>
            <w:tcW w:w="562" w:type="dxa"/>
            <w:tcBorders>
              <w:left w:val="single" w:sz="4" w:space="0" w:color="auto"/>
            </w:tcBorders>
            <w:shd w:val="clear" w:color="auto" w:fill="FFFFFF"/>
          </w:tcPr>
          <w:p w14:paraId="61526EE1" w14:textId="77777777" w:rsidR="002C470C" w:rsidRPr="00B52707" w:rsidRDefault="002C470C" w:rsidP="00BD0BCB">
            <w:pPr>
              <w:jc w:val="both"/>
              <w:rPr>
                <w:color w:val="0070C0"/>
                <w:sz w:val="16"/>
                <w:szCs w:val="16"/>
              </w:rPr>
            </w:pPr>
          </w:p>
        </w:tc>
        <w:tc>
          <w:tcPr>
            <w:tcW w:w="557" w:type="dxa"/>
            <w:tcBorders>
              <w:left w:val="single" w:sz="4" w:space="0" w:color="auto"/>
            </w:tcBorders>
            <w:shd w:val="clear" w:color="auto" w:fill="FFFFFF"/>
          </w:tcPr>
          <w:p w14:paraId="3274AB18" w14:textId="77777777" w:rsidR="002C470C" w:rsidRPr="00B52707" w:rsidRDefault="002C470C" w:rsidP="00BD0BCB">
            <w:pPr>
              <w:jc w:val="both"/>
              <w:rPr>
                <w:color w:val="0070C0"/>
                <w:sz w:val="16"/>
                <w:szCs w:val="16"/>
              </w:rPr>
            </w:pPr>
          </w:p>
        </w:tc>
        <w:tc>
          <w:tcPr>
            <w:tcW w:w="552" w:type="dxa"/>
            <w:tcBorders>
              <w:left w:val="single" w:sz="4" w:space="0" w:color="auto"/>
            </w:tcBorders>
            <w:shd w:val="clear" w:color="auto" w:fill="FFFFFF"/>
          </w:tcPr>
          <w:p w14:paraId="40D48D23" w14:textId="77777777" w:rsidR="002C470C" w:rsidRPr="00B52707" w:rsidRDefault="002C470C" w:rsidP="00BD0BCB">
            <w:pPr>
              <w:jc w:val="both"/>
              <w:rPr>
                <w:color w:val="0070C0"/>
                <w:sz w:val="16"/>
                <w:szCs w:val="16"/>
              </w:rPr>
            </w:pPr>
          </w:p>
        </w:tc>
        <w:tc>
          <w:tcPr>
            <w:tcW w:w="557" w:type="dxa"/>
            <w:tcBorders>
              <w:left w:val="single" w:sz="4" w:space="0" w:color="auto"/>
            </w:tcBorders>
            <w:shd w:val="clear" w:color="auto" w:fill="FFFFFF"/>
          </w:tcPr>
          <w:p w14:paraId="35375441" w14:textId="77777777" w:rsidR="002C470C" w:rsidRPr="00B52707" w:rsidRDefault="002C470C" w:rsidP="00BD0BCB">
            <w:pPr>
              <w:jc w:val="both"/>
              <w:rPr>
                <w:color w:val="0070C0"/>
                <w:sz w:val="16"/>
                <w:szCs w:val="16"/>
              </w:rPr>
            </w:pPr>
          </w:p>
        </w:tc>
        <w:tc>
          <w:tcPr>
            <w:tcW w:w="571" w:type="dxa"/>
            <w:tcBorders>
              <w:left w:val="single" w:sz="4" w:space="0" w:color="auto"/>
            </w:tcBorders>
            <w:shd w:val="clear" w:color="auto" w:fill="FFFFFF"/>
            <w:vAlign w:val="bottom"/>
          </w:tcPr>
          <w:p w14:paraId="26A8019B" w14:textId="77777777" w:rsidR="002C470C" w:rsidRPr="00B52707" w:rsidRDefault="002C470C" w:rsidP="00BD0BCB">
            <w:pPr>
              <w:jc w:val="both"/>
              <w:rPr>
                <w:color w:val="0070C0"/>
                <w:sz w:val="16"/>
                <w:szCs w:val="16"/>
              </w:rPr>
            </w:pPr>
            <w:r w:rsidRPr="00B52707">
              <w:rPr>
                <w:color w:val="0070C0"/>
                <w:sz w:val="16"/>
                <w:szCs w:val="16"/>
              </w:rPr>
              <w:t>96</w:t>
            </w:r>
          </w:p>
        </w:tc>
      </w:tr>
      <w:tr w:rsidR="002C470C" w:rsidRPr="00B52707" w14:paraId="7344EF9C" w14:textId="77777777" w:rsidTr="00BD0BCB">
        <w:trPr>
          <w:trHeight w:hRule="exact" w:val="254"/>
        </w:trPr>
        <w:tc>
          <w:tcPr>
            <w:tcW w:w="2880" w:type="dxa"/>
            <w:shd w:val="clear" w:color="auto" w:fill="FFFFFF"/>
            <w:vAlign w:val="center"/>
          </w:tcPr>
          <w:p w14:paraId="6EBE0AAC" w14:textId="77777777" w:rsidR="002C470C" w:rsidRPr="00B52707" w:rsidRDefault="002C470C" w:rsidP="00BD0BCB">
            <w:pPr>
              <w:jc w:val="both"/>
              <w:rPr>
                <w:color w:val="0070C0"/>
                <w:sz w:val="16"/>
                <w:szCs w:val="16"/>
              </w:rPr>
            </w:pPr>
            <w:r w:rsidRPr="00B52707">
              <w:rPr>
                <w:color w:val="0070C0"/>
                <w:sz w:val="16"/>
                <w:szCs w:val="16"/>
              </w:rPr>
              <w:t>б</w:t>
            </w:r>
            <w:proofErr w:type="gramStart"/>
            <w:r w:rsidRPr="00B52707">
              <w:rPr>
                <w:color w:val="0070C0"/>
                <w:sz w:val="16"/>
                <w:szCs w:val="16"/>
              </w:rPr>
              <w:t>) »</w:t>
            </w:r>
            <w:proofErr w:type="gramEnd"/>
            <w:r w:rsidRPr="00B52707">
              <w:rPr>
                <w:color w:val="0070C0"/>
                <w:sz w:val="16"/>
                <w:szCs w:val="16"/>
              </w:rPr>
              <w:t xml:space="preserve"> в 1 т</w:t>
            </w:r>
            <w:r w:rsidRPr="00B52707">
              <w:rPr>
                <w:color w:val="0070C0"/>
                <w:sz w:val="16"/>
                <w:szCs w:val="16"/>
              </w:rPr>
              <w:tab/>
            </w:r>
          </w:p>
        </w:tc>
        <w:tc>
          <w:tcPr>
            <w:tcW w:w="552" w:type="dxa"/>
            <w:tcBorders>
              <w:left w:val="single" w:sz="4" w:space="0" w:color="auto"/>
            </w:tcBorders>
            <w:shd w:val="clear" w:color="auto" w:fill="FFFFFF"/>
            <w:vAlign w:val="center"/>
          </w:tcPr>
          <w:p w14:paraId="0BAC4EEA" w14:textId="77777777" w:rsidR="002C470C" w:rsidRPr="00B52707" w:rsidRDefault="002C470C" w:rsidP="00BD0BCB">
            <w:pPr>
              <w:jc w:val="both"/>
              <w:rPr>
                <w:color w:val="0070C0"/>
                <w:sz w:val="16"/>
                <w:szCs w:val="16"/>
              </w:rPr>
            </w:pPr>
            <w:r w:rsidRPr="00B52707">
              <w:rPr>
                <w:color w:val="0070C0"/>
                <w:sz w:val="16"/>
                <w:szCs w:val="16"/>
              </w:rPr>
              <w:t>127</w:t>
            </w:r>
          </w:p>
        </w:tc>
        <w:tc>
          <w:tcPr>
            <w:tcW w:w="562" w:type="dxa"/>
            <w:tcBorders>
              <w:left w:val="single" w:sz="4" w:space="0" w:color="auto"/>
            </w:tcBorders>
            <w:shd w:val="clear" w:color="auto" w:fill="FFFFFF"/>
            <w:vAlign w:val="center"/>
          </w:tcPr>
          <w:p w14:paraId="6C5C262C" w14:textId="77777777" w:rsidR="002C470C" w:rsidRPr="00B52707" w:rsidRDefault="002C470C" w:rsidP="00BD0BCB">
            <w:pPr>
              <w:jc w:val="both"/>
              <w:rPr>
                <w:color w:val="0070C0"/>
                <w:sz w:val="16"/>
                <w:szCs w:val="16"/>
              </w:rPr>
            </w:pPr>
            <w:r w:rsidRPr="00B52707">
              <w:rPr>
                <w:color w:val="0070C0"/>
                <w:sz w:val="16"/>
                <w:szCs w:val="16"/>
              </w:rPr>
              <w:t>—</w:t>
            </w:r>
          </w:p>
        </w:tc>
        <w:tc>
          <w:tcPr>
            <w:tcW w:w="557" w:type="dxa"/>
            <w:tcBorders>
              <w:left w:val="single" w:sz="4" w:space="0" w:color="auto"/>
            </w:tcBorders>
            <w:shd w:val="clear" w:color="auto" w:fill="FFFFFF"/>
            <w:vAlign w:val="center"/>
          </w:tcPr>
          <w:p w14:paraId="2631448C" w14:textId="77777777" w:rsidR="002C470C" w:rsidRPr="00B52707" w:rsidRDefault="002C470C" w:rsidP="00BD0BCB">
            <w:pPr>
              <w:jc w:val="both"/>
              <w:rPr>
                <w:color w:val="0070C0"/>
                <w:sz w:val="16"/>
                <w:szCs w:val="16"/>
              </w:rPr>
            </w:pPr>
            <w:r w:rsidRPr="00B52707">
              <w:rPr>
                <w:color w:val="0070C0"/>
                <w:sz w:val="16"/>
                <w:szCs w:val="16"/>
              </w:rPr>
              <w:t>—</w:t>
            </w:r>
          </w:p>
        </w:tc>
        <w:tc>
          <w:tcPr>
            <w:tcW w:w="552" w:type="dxa"/>
            <w:tcBorders>
              <w:left w:val="single" w:sz="4" w:space="0" w:color="auto"/>
            </w:tcBorders>
            <w:shd w:val="clear" w:color="auto" w:fill="FFFFFF"/>
            <w:vAlign w:val="center"/>
          </w:tcPr>
          <w:p w14:paraId="4B1F6B53" w14:textId="77777777" w:rsidR="002C470C" w:rsidRPr="00B52707" w:rsidRDefault="002C470C" w:rsidP="00BD0BCB">
            <w:pPr>
              <w:jc w:val="both"/>
              <w:rPr>
                <w:color w:val="0070C0"/>
                <w:sz w:val="16"/>
                <w:szCs w:val="16"/>
              </w:rPr>
            </w:pPr>
            <w:r w:rsidRPr="00B52707">
              <w:rPr>
                <w:color w:val="0070C0"/>
                <w:sz w:val="16"/>
                <w:szCs w:val="16"/>
              </w:rPr>
              <w:t>—</w:t>
            </w:r>
          </w:p>
        </w:tc>
        <w:tc>
          <w:tcPr>
            <w:tcW w:w="557" w:type="dxa"/>
            <w:tcBorders>
              <w:left w:val="single" w:sz="4" w:space="0" w:color="auto"/>
            </w:tcBorders>
            <w:shd w:val="clear" w:color="auto" w:fill="FFFFFF"/>
            <w:vAlign w:val="center"/>
          </w:tcPr>
          <w:p w14:paraId="0F653F66" w14:textId="77777777" w:rsidR="002C470C" w:rsidRPr="00B52707" w:rsidRDefault="002C470C" w:rsidP="00BD0BCB">
            <w:pPr>
              <w:jc w:val="both"/>
              <w:rPr>
                <w:color w:val="0070C0"/>
                <w:sz w:val="16"/>
                <w:szCs w:val="16"/>
              </w:rPr>
            </w:pPr>
            <w:r w:rsidRPr="00B52707">
              <w:rPr>
                <w:color w:val="0070C0"/>
                <w:sz w:val="16"/>
                <w:szCs w:val="16"/>
              </w:rPr>
              <w:t>—</w:t>
            </w:r>
          </w:p>
        </w:tc>
        <w:tc>
          <w:tcPr>
            <w:tcW w:w="571" w:type="dxa"/>
            <w:tcBorders>
              <w:left w:val="single" w:sz="4" w:space="0" w:color="auto"/>
            </w:tcBorders>
            <w:shd w:val="clear" w:color="auto" w:fill="FFFFFF"/>
            <w:vAlign w:val="center"/>
          </w:tcPr>
          <w:p w14:paraId="3A3DE347" w14:textId="77777777" w:rsidR="002C470C" w:rsidRPr="00B52707" w:rsidRDefault="002C470C" w:rsidP="00BD0BCB">
            <w:pPr>
              <w:jc w:val="both"/>
              <w:rPr>
                <w:color w:val="0070C0"/>
                <w:sz w:val="16"/>
                <w:szCs w:val="16"/>
              </w:rPr>
            </w:pPr>
            <w:r w:rsidRPr="00B52707">
              <w:rPr>
                <w:color w:val="0070C0"/>
                <w:sz w:val="16"/>
                <w:szCs w:val="16"/>
              </w:rPr>
              <w:t>•127</w:t>
            </w:r>
          </w:p>
        </w:tc>
      </w:tr>
      <w:tr w:rsidR="002C470C" w:rsidRPr="00B52707" w14:paraId="5FE7EA28" w14:textId="77777777" w:rsidTr="00BD0BCB">
        <w:trPr>
          <w:trHeight w:hRule="exact" w:val="264"/>
        </w:trPr>
        <w:tc>
          <w:tcPr>
            <w:tcW w:w="2880" w:type="dxa"/>
            <w:tcBorders>
              <w:top w:val="single" w:sz="4" w:space="0" w:color="auto"/>
            </w:tcBorders>
            <w:shd w:val="clear" w:color="auto" w:fill="FFFFFF"/>
            <w:vAlign w:val="center"/>
          </w:tcPr>
          <w:p w14:paraId="36A92530" w14:textId="77777777" w:rsidR="002C470C" w:rsidRPr="00B52707" w:rsidRDefault="002C470C" w:rsidP="00BD0BCB">
            <w:pPr>
              <w:jc w:val="both"/>
              <w:rPr>
                <w:color w:val="0070C0"/>
                <w:sz w:val="16"/>
                <w:szCs w:val="16"/>
              </w:rPr>
            </w:pPr>
            <w:r w:rsidRPr="00B52707">
              <w:rPr>
                <w:color w:val="0070C0"/>
                <w:sz w:val="16"/>
                <w:szCs w:val="16"/>
              </w:rPr>
              <w:t>в) мастерских тяжелого типа . . .</w:t>
            </w:r>
          </w:p>
        </w:tc>
        <w:tc>
          <w:tcPr>
            <w:tcW w:w="552" w:type="dxa"/>
            <w:tcBorders>
              <w:left w:val="single" w:sz="4" w:space="0" w:color="auto"/>
            </w:tcBorders>
            <w:shd w:val="clear" w:color="auto" w:fill="FFFFFF"/>
            <w:vAlign w:val="center"/>
          </w:tcPr>
          <w:p w14:paraId="12048379" w14:textId="77777777" w:rsidR="002C470C" w:rsidRPr="00B52707" w:rsidRDefault="002C470C" w:rsidP="00BD0BCB">
            <w:pPr>
              <w:jc w:val="both"/>
              <w:rPr>
                <w:color w:val="0070C0"/>
                <w:sz w:val="16"/>
                <w:szCs w:val="16"/>
              </w:rPr>
            </w:pPr>
            <w:r w:rsidRPr="00B52707">
              <w:rPr>
                <w:color w:val="0070C0"/>
                <w:sz w:val="16"/>
                <w:szCs w:val="16"/>
              </w:rPr>
              <w:t>131</w:t>
            </w:r>
          </w:p>
        </w:tc>
        <w:tc>
          <w:tcPr>
            <w:tcW w:w="562" w:type="dxa"/>
            <w:tcBorders>
              <w:left w:val="single" w:sz="4" w:space="0" w:color="auto"/>
            </w:tcBorders>
            <w:shd w:val="clear" w:color="auto" w:fill="FFFFFF"/>
            <w:vAlign w:val="center"/>
          </w:tcPr>
          <w:p w14:paraId="5234750C" w14:textId="77777777" w:rsidR="002C470C" w:rsidRPr="00B52707" w:rsidRDefault="002C470C" w:rsidP="00BD0BCB">
            <w:pPr>
              <w:jc w:val="both"/>
              <w:rPr>
                <w:color w:val="0070C0"/>
                <w:sz w:val="16"/>
                <w:szCs w:val="16"/>
              </w:rPr>
            </w:pPr>
            <w:r w:rsidRPr="00B52707">
              <w:rPr>
                <w:color w:val="0070C0"/>
                <w:sz w:val="16"/>
                <w:szCs w:val="16"/>
              </w:rPr>
              <w:t>—</w:t>
            </w:r>
          </w:p>
        </w:tc>
        <w:tc>
          <w:tcPr>
            <w:tcW w:w="557" w:type="dxa"/>
            <w:tcBorders>
              <w:left w:val="single" w:sz="4" w:space="0" w:color="auto"/>
            </w:tcBorders>
            <w:shd w:val="clear" w:color="auto" w:fill="FFFFFF"/>
            <w:vAlign w:val="center"/>
          </w:tcPr>
          <w:p w14:paraId="417B4120" w14:textId="77777777" w:rsidR="002C470C" w:rsidRPr="00B52707" w:rsidRDefault="002C470C" w:rsidP="00BD0BCB">
            <w:pPr>
              <w:jc w:val="both"/>
              <w:rPr>
                <w:color w:val="0070C0"/>
                <w:sz w:val="16"/>
                <w:szCs w:val="16"/>
              </w:rPr>
            </w:pPr>
            <w:r w:rsidRPr="00B52707">
              <w:rPr>
                <w:color w:val="0070C0"/>
                <w:sz w:val="16"/>
                <w:szCs w:val="16"/>
              </w:rPr>
              <w:t>50</w:t>
            </w:r>
          </w:p>
        </w:tc>
        <w:tc>
          <w:tcPr>
            <w:tcW w:w="552" w:type="dxa"/>
            <w:tcBorders>
              <w:left w:val="single" w:sz="4" w:space="0" w:color="auto"/>
            </w:tcBorders>
            <w:shd w:val="clear" w:color="auto" w:fill="FFFFFF"/>
            <w:vAlign w:val="center"/>
          </w:tcPr>
          <w:p w14:paraId="307E3474" w14:textId="77777777" w:rsidR="002C470C" w:rsidRPr="00B52707" w:rsidRDefault="002C470C" w:rsidP="00BD0BCB">
            <w:pPr>
              <w:jc w:val="both"/>
              <w:rPr>
                <w:color w:val="0070C0"/>
                <w:sz w:val="16"/>
                <w:szCs w:val="16"/>
              </w:rPr>
            </w:pPr>
            <w:r w:rsidRPr="00B52707">
              <w:rPr>
                <w:color w:val="0070C0"/>
                <w:sz w:val="16"/>
                <w:szCs w:val="16"/>
              </w:rPr>
              <w:t>—</w:t>
            </w:r>
          </w:p>
        </w:tc>
        <w:tc>
          <w:tcPr>
            <w:tcW w:w="557" w:type="dxa"/>
            <w:tcBorders>
              <w:left w:val="single" w:sz="4" w:space="0" w:color="auto"/>
            </w:tcBorders>
            <w:shd w:val="clear" w:color="auto" w:fill="FFFFFF"/>
            <w:vAlign w:val="center"/>
          </w:tcPr>
          <w:p w14:paraId="74AF1915" w14:textId="77777777" w:rsidR="002C470C" w:rsidRPr="00B52707" w:rsidRDefault="002C470C" w:rsidP="00BD0BCB">
            <w:pPr>
              <w:jc w:val="both"/>
              <w:rPr>
                <w:color w:val="0070C0"/>
                <w:sz w:val="16"/>
                <w:szCs w:val="16"/>
              </w:rPr>
            </w:pPr>
            <w:r w:rsidRPr="00B52707">
              <w:rPr>
                <w:color w:val="0070C0"/>
                <w:sz w:val="16"/>
                <w:szCs w:val="16"/>
              </w:rPr>
              <w:t>—</w:t>
            </w:r>
          </w:p>
        </w:tc>
        <w:tc>
          <w:tcPr>
            <w:tcW w:w="571" w:type="dxa"/>
            <w:tcBorders>
              <w:left w:val="single" w:sz="4" w:space="0" w:color="auto"/>
            </w:tcBorders>
            <w:shd w:val="clear" w:color="auto" w:fill="FFFFFF"/>
            <w:vAlign w:val="center"/>
          </w:tcPr>
          <w:p w14:paraId="7C623DC0" w14:textId="77777777" w:rsidR="002C470C" w:rsidRPr="00B52707" w:rsidRDefault="002C470C" w:rsidP="00BD0BCB">
            <w:pPr>
              <w:jc w:val="both"/>
              <w:rPr>
                <w:color w:val="0070C0"/>
                <w:sz w:val="16"/>
                <w:szCs w:val="16"/>
              </w:rPr>
            </w:pPr>
            <w:r w:rsidRPr="00B52707">
              <w:rPr>
                <w:color w:val="0070C0"/>
                <w:sz w:val="16"/>
                <w:szCs w:val="16"/>
              </w:rPr>
              <w:t>81</w:t>
            </w:r>
          </w:p>
        </w:tc>
      </w:tr>
      <w:tr w:rsidR="002C470C" w:rsidRPr="00B52707" w14:paraId="433025BD" w14:textId="77777777" w:rsidTr="00BD0BCB">
        <w:trPr>
          <w:trHeight w:hRule="exact" w:val="245"/>
        </w:trPr>
        <w:tc>
          <w:tcPr>
            <w:tcW w:w="2880" w:type="dxa"/>
            <w:shd w:val="clear" w:color="auto" w:fill="FFFFFF"/>
            <w:vAlign w:val="center"/>
          </w:tcPr>
          <w:p w14:paraId="5F0EE0AA" w14:textId="77777777" w:rsidR="002C470C" w:rsidRPr="00B52707" w:rsidRDefault="002C470C" w:rsidP="00BD0BCB">
            <w:pPr>
              <w:jc w:val="both"/>
              <w:rPr>
                <w:color w:val="0070C0"/>
                <w:sz w:val="16"/>
                <w:szCs w:val="16"/>
              </w:rPr>
            </w:pPr>
            <w:r w:rsidRPr="00B52707">
              <w:rPr>
                <w:color w:val="0070C0"/>
                <w:sz w:val="16"/>
                <w:szCs w:val="16"/>
              </w:rPr>
              <w:t>г) тоже легкого типа</w:t>
            </w:r>
            <w:r w:rsidRPr="00B52707">
              <w:rPr>
                <w:color w:val="0070C0"/>
                <w:sz w:val="16"/>
                <w:szCs w:val="16"/>
              </w:rPr>
              <w:tab/>
            </w:r>
          </w:p>
        </w:tc>
        <w:tc>
          <w:tcPr>
            <w:tcW w:w="552" w:type="dxa"/>
            <w:tcBorders>
              <w:left w:val="single" w:sz="4" w:space="0" w:color="auto"/>
            </w:tcBorders>
            <w:shd w:val="clear" w:color="auto" w:fill="FFFFFF"/>
            <w:vAlign w:val="center"/>
          </w:tcPr>
          <w:p w14:paraId="58CDB552" w14:textId="77777777" w:rsidR="002C470C" w:rsidRPr="00B52707" w:rsidRDefault="002C470C" w:rsidP="00BD0BCB">
            <w:pPr>
              <w:jc w:val="both"/>
              <w:rPr>
                <w:color w:val="0070C0"/>
                <w:sz w:val="16"/>
                <w:szCs w:val="16"/>
              </w:rPr>
            </w:pPr>
            <w:r w:rsidRPr="00B52707">
              <w:rPr>
                <w:color w:val="0070C0"/>
                <w:sz w:val="16"/>
                <w:szCs w:val="16"/>
              </w:rPr>
              <w:t>216</w:t>
            </w:r>
          </w:p>
        </w:tc>
        <w:tc>
          <w:tcPr>
            <w:tcW w:w="562" w:type="dxa"/>
            <w:tcBorders>
              <w:left w:val="single" w:sz="4" w:space="0" w:color="auto"/>
            </w:tcBorders>
            <w:shd w:val="clear" w:color="auto" w:fill="FFFFFF"/>
            <w:vAlign w:val="center"/>
          </w:tcPr>
          <w:p w14:paraId="66B1E347" w14:textId="77777777" w:rsidR="002C470C" w:rsidRPr="00B52707" w:rsidRDefault="002C470C" w:rsidP="00BD0BCB">
            <w:pPr>
              <w:jc w:val="both"/>
              <w:rPr>
                <w:color w:val="0070C0"/>
                <w:sz w:val="16"/>
                <w:szCs w:val="16"/>
              </w:rPr>
            </w:pPr>
            <w:r w:rsidRPr="00B52707">
              <w:rPr>
                <w:color w:val="0070C0"/>
                <w:sz w:val="16"/>
                <w:szCs w:val="16"/>
              </w:rPr>
              <w:t>—</w:t>
            </w:r>
          </w:p>
        </w:tc>
        <w:tc>
          <w:tcPr>
            <w:tcW w:w="557" w:type="dxa"/>
            <w:shd w:val="clear" w:color="auto" w:fill="FFFFFF"/>
            <w:vAlign w:val="center"/>
          </w:tcPr>
          <w:p w14:paraId="5169087D" w14:textId="77777777" w:rsidR="002C470C" w:rsidRPr="00B52707" w:rsidRDefault="002C470C" w:rsidP="00BD0BCB">
            <w:pPr>
              <w:jc w:val="both"/>
              <w:rPr>
                <w:color w:val="0070C0"/>
                <w:sz w:val="16"/>
                <w:szCs w:val="16"/>
              </w:rPr>
            </w:pPr>
            <w:r w:rsidRPr="00B52707">
              <w:rPr>
                <w:color w:val="0070C0"/>
                <w:sz w:val="16"/>
                <w:szCs w:val="16"/>
              </w:rPr>
              <w:t>50</w:t>
            </w:r>
          </w:p>
        </w:tc>
        <w:tc>
          <w:tcPr>
            <w:tcW w:w="552" w:type="dxa"/>
            <w:tcBorders>
              <w:left w:val="single" w:sz="4" w:space="0" w:color="auto"/>
            </w:tcBorders>
            <w:shd w:val="clear" w:color="auto" w:fill="FFFFFF"/>
            <w:vAlign w:val="center"/>
          </w:tcPr>
          <w:p w14:paraId="45777A41" w14:textId="77777777" w:rsidR="002C470C" w:rsidRPr="00B52707" w:rsidRDefault="002C470C" w:rsidP="00BD0BCB">
            <w:pPr>
              <w:jc w:val="both"/>
              <w:rPr>
                <w:color w:val="0070C0"/>
                <w:sz w:val="16"/>
                <w:szCs w:val="16"/>
              </w:rPr>
            </w:pPr>
            <w:r w:rsidRPr="00B52707">
              <w:rPr>
                <w:color w:val="0070C0"/>
                <w:sz w:val="16"/>
                <w:szCs w:val="16"/>
              </w:rPr>
              <w:t>—</w:t>
            </w:r>
          </w:p>
        </w:tc>
        <w:tc>
          <w:tcPr>
            <w:tcW w:w="557" w:type="dxa"/>
            <w:tcBorders>
              <w:left w:val="single" w:sz="4" w:space="0" w:color="auto"/>
            </w:tcBorders>
            <w:shd w:val="clear" w:color="auto" w:fill="FFFFFF"/>
            <w:vAlign w:val="center"/>
          </w:tcPr>
          <w:p w14:paraId="1399D719" w14:textId="77777777" w:rsidR="002C470C" w:rsidRPr="00B52707" w:rsidRDefault="002C470C" w:rsidP="00BD0BCB">
            <w:pPr>
              <w:jc w:val="both"/>
              <w:rPr>
                <w:color w:val="0070C0"/>
                <w:sz w:val="16"/>
                <w:szCs w:val="16"/>
              </w:rPr>
            </w:pPr>
            <w:r w:rsidRPr="00B52707">
              <w:rPr>
                <w:color w:val="0070C0"/>
                <w:sz w:val="16"/>
                <w:szCs w:val="16"/>
              </w:rPr>
              <w:t>—</w:t>
            </w:r>
          </w:p>
        </w:tc>
        <w:tc>
          <w:tcPr>
            <w:tcW w:w="571" w:type="dxa"/>
            <w:shd w:val="clear" w:color="auto" w:fill="FFFFFF"/>
            <w:vAlign w:val="center"/>
          </w:tcPr>
          <w:p w14:paraId="0FDD9880" w14:textId="77777777" w:rsidR="002C470C" w:rsidRPr="00B52707" w:rsidRDefault="002C470C" w:rsidP="00BD0BCB">
            <w:pPr>
              <w:jc w:val="both"/>
              <w:rPr>
                <w:color w:val="0070C0"/>
                <w:sz w:val="16"/>
                <w:szCs w:val="16"/>
              </w:rPr>
            </w:pPr>
            <w:r w:rsidRPr="00B52707">
              <w:rPr>
                <w:color w:val="0070C0"/>
                <w:sz w:val="16"/>
                <w:szCs w:val="16"/>
              </w:rPr>
              <w:t>166</w:t>
            </w:r>
          </w:p>
        </w:tc>
      </w:tr>
      <w:tr w:rsidR="002C470C" w:rsidRPr="00B52707" w14:paraId="0ABCB03A" w14:textId="77777777" w:rsidTr="00BD0BCB">
        <w:trPr>
          <w:trHeight w:hRule="exact" w:val="269"/>
        </w:trPr>
        <w:tc>
          <w:tcPr>
            <w:tcW w:w="2880" w:type="dxa"/>
            <w:tcBorders>
              <w:top w:val="single" w:sz="4" w:space="0" w:color="auto"/>
            </w:tcBorders>
            <w:shd w:val="clear" w:color="auto" w:fill="FFFFFF"/>
            <w:vAlign w:val="center"/>
          </w:tcPr>
          <w:p w14:paraId="2924A931" w14:textId="77777777" w:rsidR="002C470C" w:rsidRPr="00B52707" w:rsidRDefault="002C470C" w:rsidP="00BD0BCB">
            <w:pPr>
              <w:jc w:val="both"/>
              <w:rPr>
                <w:color w:val="0070C0"/>
                <w:sz w:val="16"/>
                <w:szCs w:val="16"/>
              </w:rPr>
            </w:pPr>
            <w:r w:rsidRPr="00B52707">
              <w:rPr>
                <w:color w:val="0070C0"/>
                <w:sz w:val="16"/>
                <w:szCs w:val="16"/>
              </w:rPr>
              <w:t xml:space="preserve">д) кухонь </w:t>
            </w:r>
            <w:r w:rsidRPr="00B52707">
              <w:rPr>
                <w:color w:val="0070C0"/>
                <w:sz w:val="16"/>
                <w:szCs w:val="16"/>
              </w:rPr>
              <w:tab/>
            </w:r>
          </w:p>
        </w:tc>
        <w:tc>
          <w:tcPr>
            <w:tcW w:w="552" w:type="dxa"/>
            <w:tcBorders>
              <w:left w:val="single" w:sz="4" w:space="0" w:color="auto"/>
            </w:tcBorders>
            <w:shd w:val="clear" w:color="auto" w:fill="FFFFFF"/>
            <w:vAlign w:val="center"/>
          </w:tcPr>
          <w:p w14:paraId="7E7B74FE" w14:textId="77777777" w:rsidR="002C470C" w:rsidRPr="00B52707" w:rsidRDefault="002C470C" w:rsidP="00BD0BCB">
            <w:pPr>
              <w:jc w:val="both"/>
              <w:rPr>
                <w:color w:val="0070C0"/>
                <w:sz w:val="16"/>
                <w:szCs w:val="16"/>
              </w:rPr>
            </w:pPr>
            <w:r w:rsidRPr="00B52707">
              <w:rPr>
                <w:color w:val="0070C0"/>
                <w:sz w:val="16"/>
                <w:szCs w:val="16"/>
              </w:rPr>
              <w:t>225</w:t>
            </w:r>
          </w:p>
        </w:tc>
        <w:tc>
          <w:tcPr>
            <w:tcW w:w="562" w:type="dxa"/>
            <w:tcBorders>
              <w:left w:val="single" w:sz="4" w:space="0" w:color="auto"/>
            </w:tcBorders>
            <w:shd w:val="clear" w:color="auto" w:fill="FFFFFF"/>
            <w:vAlign w:val="center"/>
          </w:tcPr>
          <w:p w14:paraId="61443D51" w14:textId="77777777" w:rsidR="002C470C" w:rsidRPr="00B52707" w:rsidRDefault="002C470C" w:rsidP="00BD0BCB">
            <w:pPr>
              <w:jc w:val="both"/>
              <w:rPr>
                <w:color w:val="0070C0"/>
                <w:sz w:val="16"/>
                <w:szCs w:val="16"/>
              </w:rPr>
            </w:pPr>
            <w:r w:rsidRPr="00B52707">
              <w:rPr>
                <w:color w:val="0070C0"/>
                <w:sz w:val="16"/>
                <w:szCs w:val="16"/>
              </w:rPr>
              <w:t>—</w:t>
            </w:r>
          </w:p>
        </w:tc>
        <w:tc>
          <w:tcPr>
            <w:tcW w:w="557" w:type="dxa"/>
            <w:tcBorders>
              <w:left w:val="single" w:sz="4" w:space="0" w:color="auto"/>
            </w:tcBorders>
            <w:shd w:val="clear" w:color="auto" w:fill="FFFFFF"/>
            <w:vAlign w:val="center"/>
          </w:tcPr>
          <w:p w14:paraId="11F12ECF" w14:textId="77777777" w:rsidR="002C470C" w:rsidRPr="00B52707" w:rsidRDefault="002C470C" w:rsidP="00BD0BCB">
            <w:pPr>
              <w:jc w:val="both"/>
              <w:rPr>
                <w:color w:val="0070C0"/>
                <w:sz w:val="16"/>
                <w:szCs w:val="16"/>
              </w:rPr>
            </w:pPr>
            <w:r w:rsidRPr="00B52707">
              <w:rPr>
                <w:color w:val="0070C0"/>
                <w:sz w:val="16"/>
                <w:szCs w:val="16"/>
              </w:rPr>
              <w:t>100</w:t>
            </w:r>
          </w:p>
        </w:tc>
        <w:tc>
          <w:tcPr>
            <w:tcW w:w="552" w:type="dxa"/>
            <w:tcBorders>
              <w:left w:val="single" w:sz="4" w:space="0" w:color="auto"/>
            </w:tcBorders>
            <w:shd w:val="clear" w:color="auto" w:fill="FFFFFF"/>
            <w:vAlign w:val="center"/>
          </w:tcPr>
          <w:p w14:paraId="6C9D81A1" w14:textId="77777777" w:rsidR="002C470C" w:rsidRPr="00B52707" w:rsidRDefault="002C470C" w:rsidP="00BD0BCB">
            <w:pPr>
              <w:jc w:val="both"/>
              <w:rPr>
                <w:color w:val="0070C0"/>
                <w:sz w:val="16"/>
                <w:szCs w:val="16"/>
              </w:rPr>
            </w:pPr>
            <w:r w:rsidRPr="00B52707">
              <w:rPr>
                <w:color w:val="0070C0"/>
                <w:sz w:val="16"/>
                <w:szCs w:val="16"/>
              </w:rPr>
              <w:t>. —</w:t>
            </w:r>
          </w:p>
        </w:tc>
        <w:tc>
          <w:tcPr>
            <w:tcW w:w="557" w:type="dxa"/>
            <w:tcBorders>
              <w:left w:val="single" w:sz="4" w:space="0" w:color="auto"/>
            </w:tcBorders>
            <w:shd w:val="clear" w:color="auto" w:fill="FFFFFF"/>
            <w:vAlign w:val="center"/>
          </w:tcPr>
          <w:p w14:paraId="7182F3CC" w14:textId="77777777" w:rsidR="002C470C" w:rsidRPr="00B52707" w:rsidRDefault="002C470C" w:rsidP="00BD0BCB">
            <w:pPr>
              <w:jc w:val="both"/>
              <w:rPr>
                <w:color w:val="0070C0"/>
                <w:sz w:val="16"/>
                <w:szCs w:val="16"/>
              </w:rPr>
            </w:pPr>
            <w:r w:rsidRPr="00B52707">
              <w:rPr>
                <w:color w:val="0070C0"/>
                <w:sz w:val="16"/>
                <w:szCs w:val="16"/>
              </w:rPr>
              <w:t>-</w:t>
            </w:r>
          </w:p>
        </w:tc>
        <w:tc>
          <w:tcPr>
            <w:tcW w:w="571" w:type="dxa"/>
            <w:shd w:val="clear" w:color="auto" w:fill="FFFFFF"/>
            <w:vAlign w:val="center"/>
          </w:tcPr>
          <w:p w14:paraId="47CFD21E" w14:textId="77777777" w:rsidR="002C470C" w:rsidRPr="00B52707" w:rsidRDefault="002C470C" w:rsidP="00BD0BCB">
            <w:pPr>
              <w:jc w:val="both"/>
              <w:rPr>
                <w:color w:val="0070C0"/>
                <w:sz w:val="16"/>
                <w:szCs w:val="16"/>
              </w:rPr>
            </w:pPr>
            <w:r w:rsidRPr="00B52707">
              <w:rPr>
                <w:color w:val="0070C0"/>
                <w:sz w:val="16"/>
                <w:szCs w:val="16"/>
              </w:rPr>
              <w:t>125</w:t>
            </w:r>
          </w:p>
        </w:tc>
      </w:tr>
      <w:tr w:rsidR="002C470C" w:rsidRPr="00B52707" w14:paraId="700328E5" w14:textId="77777777" w:rsidTr="00BD0BCB">
        <w:trPr>
          <w:trHeight w:hRule="exact" w:val="254"/>
        </w:trPr>
        <w:tc>
          <w:tcPr>
            <w:tcW w:w="2880" w:type="dxa"/>
            <w:shd w:val="clear" w:color="auto" w:fill="FFFFFF"/>
            <w:vAlign w:val="bottom"/>
          </w:tcPr>
          <w:p w14:paraId="03C1670F" w14:textId="77777777" w:rsidR="002C470C" w:rsidRPr="00B52707" w:rsidRDefault="002C470C" w:rsidP="00BD0BCB">
            <w:pPr>
              <w:jc w:val="both"/>
              <w:rPr>
                <w:color w:val="0070C0"/>
                <w:sz w:val="16"/>
                <w:szCs w:val="16"/>
              </w:rPr>
            </w:pPr>
            <w:r w:rsidRPr="00B52707">
              <w:rPr>
                <w:color w:val="0070C0"/>
                <w:sz w:val="16"/>
                <w:szCs w:val="16"/>
              </w:rPr>
              <w:t>е) омнибусов</w:t>
            </w:r>
            <w:r w:rsidRPr="00B52707">
              <w:rPr>
                <w:color w:val="0070C0"/>
                <w:sz w:val="16"/>
                <w:szCs w:val="16"/>
              </w:rPr>
              <w:tab/>
            </w:r>
          </w:p>
        </w:tc>
        <w:tc>
          <w:tcPr>
            <w:tcW w:w="552" w:type="dxa"/>
            <w:tcBorders>
              <w:left w:val="single" w:sz="4" w:space="0" w:color="auto"/>
            </w:tcBorders>
            <w:shd w:val="clear" w:color="auto" w:fill="FFFFFF"/>
            <w:vAlign w:val="center"/>
          </w:tcPr>
          <w:p w14:paraId="2D9B5097" w14:textId="77777777" w:rsidR="002C470C" w:rsidRPr="00B52707" w:rsidRDefault="002C470C" w:rsidP="00BD0BCB">
            <w:pPr>
              <w:jc w:val="both"/>
              <w:rPr>
                <w:color w:val="0070C0"/>
                <w:sz w:val="16"/>
                <w:szCs w:val="16"/>
              </w:rPr>
            </w:pPr>
            <w:r w:rsidRPr="00B52707">
              <w:rPr>
                <w:color w:val="0070C0"/>
                <w:sz w:val="16"/>
                <w:szCs w:val="16"/>
              </w:rPr>
              <w:t>67</w:t>
            </w:r>
          </w:p>
        </w:tc>
        <w:tc>
          <w:tcPr>
            <w:tcW w:w="562" w:type="dxa"/>
            <w:tcBorders>
              <w:left w:val="single" w:sz="4" w:space="0" w:color="auto"/>
            </w:tcBorders>
            <w:shd w:val="clear" w:color="auto" w:fill="FFFFFF"/>
            <w:vAlign w:val="center"/>
          </w:tcPr>
          <w:p w14:paraId="3A6F75CA" w14:textId="77777777" w:rsidR="002C470C" w:rsidRPr="00B52707" w:rsidRDefault="002C470C" w:rsidP="00BD0BCB">
            <w:pPr>
              <w:jc w:val="both"/>
              <w:rPr>
                <w:color w:val="0070C0"/>
                <w:sz w:val="16"/>
                <w:szCs w:val="16"/>
              </w:rPr>
            </w:pPr>
            <w:r w:rsidRPr="00B52707">
              <w:rPr>
                <w:color w:val="0070C0"/>
                <w:sz w:val="16"/>
                <w:szCs w:val="16"/>
              </w:rPr>
              <w:t>—</w:t>
            </w:r>
          </w:p>
        </w:tc>
        <w:tc>
          <w:tcPr>
            <w:tcW w:w="557" w:type="dxa"/>
            <w:tcBorders>
              <w:left w:val="single" w:sz="4" w:space="0" w:color="auto"/>
            </w:tcBorders>
            <w:shd w:val="clear" w:color="auto" w:fill="FFFFFF"/>
            <w:vAlign w:val="center"/>
          </w:tcPr>
          <w:p w14:paraId="6106A46B" w14:textId="77777777" w:rsidR="002C470C" w:rsidRPr="00B52707" w:rsidRDefault="002C470C" w:rsidP="00BD0BCB">
            <w:pPr>
              <w:jc w:val="both"/>
              <w:rPr>
                <w:color w:val="0070C0"/>
                <w:sz w:val="16"/>
                <w:szCs w:val="16"/>
              </w:rPr>
            </w:pPr>
            <w:r w:rsidRPr="00B52707">
              <w:rPr>
                <w:color w:val="0070C0"/>
                <w:sz w:val="16"/>
                <w:szCs w:val="16"/>
              </w:rPr>
              <w:t>—</w:t>
            </w:r>
          </w:p>
        </w:tc>
        <w:tc>
          <w:tcPr>
            <w:tcW w:w="552" w:type="dxa"/>
            <w:tcBorders>
              <w:left w:val="single" w:sz="4" w:space="0" w:color="auto"/>
            </w:tcBorders>
            <w:shd w:val="clear" w:color="auto" w:fill="FFFFFF"/>
            <w:vAlign w:val="center"/>
          </w:tcPr>
          <w:p w14:paraId="56DE7523" w14:textId="77777777" w:rsidR="002C470C" w:rsidRPr="00B52707" w:rsidRDefault="002C470C" w:rsidP="00BD0BCB">
            <w:pPr>
              <w:jc w:val="both"/>
              <w:rPr>
                <w:color w:val="0070C0"/>
                <w:sz w:val="16"/>
                <w:szCs w:val="16"/>
              </w:rPr>
            </w:pPr>
            <w:r w:rsidRPr="00B52707">
              <w:rPr>
                <w:color w:val="0070C0"/>
                <w:sz w:val="16"/>
                <w:szCs w:val="16"/>
              </w:rPr>
              <w:t>—</w:t>
            </w:r>
          </w:p>
        </w:tc>
        <w:tc>
          <w:tcPr>
            <w:tcW w:w="557" w:type="dxa"/>
            <w:tcBorders>
              <w:left w:val="single" w:sz="4" w:space="0" w:color="auto"/>
            </w:tcBorders>
            <w:shd w:val="clear" w:color="auto" w:fill="FFFFFF"/>
          </w:tcPr>
          <w:p w14:paraId="2F409882" w14:textId="77777777" w:rsidR="002C470C" w:rsidRPr="00B52707" w:rsidRDefault="002C470C" w:rsidP="00BD0BCB">
            <w:pPr>
              <w:jc w:val="both"/>
              <w:rPr>
                <w:color w:val="0070C0"/>
                <w:sz w:val="16"/>
                <w:szCs w:val="16"/>
              </w:rPr>
            </w:pPr>
          </w:p>
        </w:tc>
        <w:tc>
          <w:tcPr>
            <w:tcW w:w="571" w:type="dxa"/>
            <w:shd w:val="clear" w:color="auto" w:fill="FFFFFF"/>
            <w:vAlign w:val="center"/>
          </w:tcPr>
          <w:p w14:paraId="5C277011" w14:textId="77777777" w:rsidR="002C470C" w:rsidRPr="00B52707" w:rsidRDefault="002C470C" w:rsidP="00BD0BCB">
            <w:pPr>
              <w:jc w:val="both"/>
              <w:rPr>
                <w:color w:val="0070C0"/>
                <w:sz w:val="16"/>
                <w:szCs w:val="16"/>
              </w:rPr>
            </w:pPr>
            <w:r w:rsidRPr="00B52707">
              <w:rPr>
                <w:color w:val="0070C0"/>
                <w:sz w:val="16"/>
                <w:szCs w:val="16"/>
              </w:rPr>
              <w:t>67</w:t>
            </w:r>
          </w:p>
        </w:tc>
      </w:tr>
      <w:tr w:rsidR="002C470C" w:rsidRPr="00B52707" w14:paraId="0F8EB274" w14:textId="77777777" w:rsidTr="00BD0BCB">
        <w:trPr>
          <w:trHeight w:hRule="exact" w:val="250"/>
        </w:trPr>
        <w:tc>
          <w:tcPr>
            <w:tcW w:w="2880" w:type="dxa"/>
            <w:shd w:val="clear" w:color="auto" w:fill="FFFFFF"/>
            <w:vAlign w:val="center"/>
          </w:tcPr>
          <w:p w14:paraId="4444C889" w14:textId="77777777" w:rsidR="002C470C" w:rsidRPr="00B52707" w:rsidRDefault="002C470C" w:rsidP="00BD0BCB">
            <w:pPr>
              <w:jc w:val="both"/>
              <w:rPr>
                <w:color w:val="0070C0"/>
                <w:sz w:val="16"/>
                <w:szCs w:val="16"/>
              </w:rPr>
            </w:pPr>
            <w:r w:rsidRPr="00B52707">
              <w:rPr>
                <w:color w:val="0070C0"/>
                <w:sz w:val="16"/>
                <w:szCs w:val="16"/>
              </w:rPr>
              <w:t xml:space="preserve">ж) депо </w:t>
            </w:r>
            <w:r w:rsidRPr="00B52707">
              <w:rPr>
                <w:color w:val="0070C0"/>
                <w:sz w:val="16"/>
                <w:szCs w:val="16"/>
              </w:rPr>
              <w:tab/>
            </w:r>
          </w:p>
        </w:tc>
        <w:tc>
          <w:tcPr>
            <w:tcW w:w="552" w:type="dxa"/>
            <w:tcBorders>
              <w:left w:val="single" w:sz="4" w:space="0" w:color="auto"/>
            </w:tcBorders>
            <w:shd w:val="clear" w:color="auto" w:fill="FFFFFF"/>
            <w:vAlign w:val="center"/>
          </w:tcPr>
          <w:p w14:paraId="1DCE069D" w14:textId="77777777" w:rsidR="002C470C" w:rsidRPr="00B52707" w:rsidRDefault="002C470C" w:rsidP="00BD0BCB">
            <w:pPr>
              <w:jc w:val="both"/>
              <w:rPr>
                <w:color w:val="0070C0"/>
                <w:sz w:val="16"/>
                <w:szCs w:val="16"/>
              </w:rPr>
            </w:pPr>
            <w:r w:rsidRPr="00B52707">
              <w:rPr>
                <w:color w:val="0070C0"/>
                <w:sz w:val="16"/>
                <w:szCs w:val="16"/>
              </w:rPr>
              <w:t>65</w:t>
            </w:r>
          </w:p>
        </w:tc>
        <w:tc>
          <w:tcPr>
            <w:tcW w:w="562" w:type="dxa"/>
            <w:tcBorders>
              <w:left w:val="single" w:sz="4" w:space="0" w:color="auto"/>
            </w:tcBorders>
            <w:shd w:val="clear" w:color="auto" w:fill="FFFFFF"/>
            <w:vAlign w:val="center"/>
          </w:tcPr>
          <w:p w14:paraId="03E07C85" w14:textId="77777777" w:rsidR="002C470C" w:rsidRPr="00B52707" w:rsidRDefault="002C470C" w:rsidP="00BD0BCB">
            <w:pPr>
              <w:jc w:val="both"/>
              <w:rPr>
                <w:color w:val="0070C0"/>
                <w:sz w:val="16"/>
                <w:szCs w:val="16"/>
              </w:rPr>
            </w:pPr>
            <w:r w:rsidRPr="00B52707">
              <w:rPr>
                <w:color w:val="0070C0"/>
                <w:sz w:val="16"/>
                <w:szCs w:val="16"/>
              </w:rPr>
              <w:t>—</w:t>
            </w:r>
          </w:p>
        </w:tc>
        <w:tc>
          <w:tcPr>
            <w:tcW w:w="557" w:type="dxa"/>
            <w:tcBorders>
              <w:left w:val="single" w:sz="4" w:space="0" w:color="auto"/>
            </w:tcBorders>
            <w:shd w:val="clear" w:color="auto" w:fill="FFFFFF"/>
            <w:vAlign w:val="center"/>
          </w:tcPr>
          <w:p w14:paraId="5615B8BB" w14:textId="77777777" w:rsidR="002C470C" w:rsidRPr="00B52707" w:rsidRDefault="002C470C" w:rsidP="00BD0BCB">
            <w:pPr>
              <w:jc w:val="both"/>
              <w:rPr>
                <w:color w:val="0070C0"/>
                <w:sz w:val="16"/>
                <w:szCs w:val="16"/>
              </w:rPr>
            </w:pPr>
            <w:r w:rsidRPr="00B52707">
              <w:rPr>
                <w:color w:val="0070C0"/>
                <w:sz w:val="16"/>
                <w:szCs w:val="16"/>
              </w:rPr>
              <w:t>—</w:t>
            </w:r>
          </w:p>
        </w:tc>
        <w:tc>
          <w:tcPr>
            <w:tcW w:w="552" w:type="dxa"/>
            <w:tcBorders>
              <w:left w:val="single" w:sz="4" w:space="0" w:color="auto"/>
            </w:tcBorders>
            <w:shd w:val="clear" w:color="auto" w:fill="FFFFFF"/>
            <w:vAlign w:val="center"/>
          </w:tcPr>
          <w:p w14:paraId="1A5CC38A" w14:textId="77777777" w:rsidR="002C470C" w:rsidRPr="00B52707" w:rsidRDefault="002C470C" w:rsidP="00BD0BCB">
            <w:pPr>
              <w:jc w:val="both"/>
              <w:rPr>
                <w:color w:val="0070C0"/>
                <w:sz w:val="16"/>
                <w:szCs w:val="16"/>
              </w:rPr>
            </w:pPr>
            <w:r w:rsidRPr="00B52707">
              <w:rPr>
                <w:color w:val="0070C0"/>
                <w:sz w:val="16"/>
                <w:szCs w:val="16"/>
              </w:rPr>
              <w:t>—</w:t>
            </w:r>
          </w:p>
        </w:tc>
        <w:tc>
          <w:tcPr>
            <w:tcW w:w="557" w:type="dxa"/>
            <w:tcBorders>
              <w:left w:val="single" w:sz="4" w:space="0" w:color="auto"/>
            </w:tcBorders>
            <w:shd w:val="clear" w:color="auto" w:fill="FFFFFF"/>
            <w:vAlign w:val="center"/>
          </w:tcPr>
          <w:p w14:paraId="73C6444B" w14:textId="77777777" w:rsidR="002C470C" w:rsidRPr="00B52707" w:rsidRDefault="002C470C" w:rsidP="00BD0BCB">
            <w:pPr>
              <w:jc w:val="both"/>
              <w:rPr>
                <w:color w:val="0070C0"/>
                <w:sz w:val="16"/>
                <w:szCs w:val="16"/>
              </w:rPr>
            </w:pPr>
            <w:r w:rsidRPr="00B52707">
              <w:rPr>
                <w:color w:val="0070C0"/>
                <w:sz w:val="16"/>
                <w:szCs w:val="16"/>
              </w:rPr>
              <w:t xml:space="preserve">' </w:t>
            </w:r>
            <w:r w:rsidRPr="00B52707">
              <w:rPr>
                <w:color w:val="0070C0"/>
                <w:sz w:val="16"/>
                <w:szCs w:val="16"/>
              </w:rPr>
              <w:tab/>
            </w:r>
          </w:p>
        </w:tc>
        <w:tc>
          <w:tcPr>
            <w:tcW w:w="571" w:type="dxa"/>
            <w:shd w:val="clear" w:color="auto" w:fill="FFFFFF"/>
            <w:vAlign w:val="center"/>
          </w:tcPr>
          <w:p w14:paraId="1836F62C" w14:textId="77777777" w:rsidR="002C470C" w:rsidRPr="00B52707" w:rsidRDefault="002C470C" w:rsidP="00BD0BCB">
            <w:pPr>
              <w:jc w:val="both"/>
              <w:rPr>
                <w:color w:val="0070C0"/>
                <w:sz w:val="16"/>
                <w:szCs w:val="16"/>
              </w:rPr>
            </w:pPr>
            <w:r w:rsidRPr="00B52707">
              <w:rPr>
                <w:color w:val="0070C0"/>
                <w:sz w:val="16"/>
                <w:szCs w:val="16"/>
              </w:rPr>
              <w:t>65</w:t>
            </w:r>
          </w:p>
        </w:tc>
      </w:tr>
      <w:tr w:rsidR="002C470C" w:rsidRPr="00B52707" w14:paraId="7DB6E247" w14:textId="77777777" w:rsidTr="00BD0BCB">
        <w:trPr>
          <w:trHeight w:hRule="exact" w:val="590"/>
        </w:trPr>
        <w:tc>
          <w:tcPr>
            <w:tcW w:w="2880" w:type="dxa"/>
            <w:shd w:val="clear" w:color="auto" w:fill="FFFFFF"/>
          </w:tcPr>
          <w:p w14:paraId="7060D604" w14:textId="77777777" w:rsidR="002C470C" w:rsidRPr="00B52707" w:rsidRDefault="002C470C" w:rsidP="00BD0BCB">
            <w:pPr>
              <w:jc w:val="both"/>
              <w:rPr>
                <w:color w:val="0070C0"/>
                <w:sz w:val="16"/>
                <w:szCs w:val="16"/>
              </w:rPr>
            </w:pPr>
            <w:r w:rsidRPr="00B52707">
              <w:rPr>
                <w:color w:val="0070C0"/>
                <w:sz w:val="16"/>
                <w:szCs w:val="16"/>
              </w:rPr>
              <w:t>Мотоциклетов</w:t>
            </w:r>
            <w:r w:rsidRPr="00B52707">
              <w:rPr>
                <w:color w:val="0070C0"/>
                <w:sz w:val="16"/>
                <w:szCs w:val="16"/>
              </w:rPr>
              <w:tab/>
            </w:r>
          </w:p>
        </w:tc>
        <w:tc>
          <w:tcPr>
            <w:tcW w:w="552" w:type="dxa"/>
            <w:tcBorders>
              <w:left w:val="single" w:sz="4" w:space="0" w:color="auto"/>
            </w:tcBorders>
            <w:shd w:val="clear" w:color="auto" w:fill="FFFFFF"/>
          </w:tcPr>
          <w:p w14:paraId="4DFF5B67" w14:textId="77777777" w:rsidR="002C470C" w:rsidRPr="00B52707" w:rsidRDefault="002C470C" w:rsidP="00BD0BCB">
            <w:pPr>
              <w:jc w:val="both"/>
              <w:rPr>
                <w:color w:val="0070C0"/>
                <w:sz w:val="16"/>
                <w:szCs w:val="16"/>
              </w:rPr>
            </w:pPr>
            <w:r w:rsidRPr="00B52707">
              <w:rPr>
                <w:color w:val="0070C0"/>
                <w:sz w:val="16"/>
                <w:szCs w:val="16"/>
              </w:rPr>
              <w:t>8.893</w:t>
            </w:r>
          </w:p>
        </w:tc>
        <w:tc>
          <w:tcPr>
            <w:tcW w:w="562" w:type="dxa"/>
            <w:tcBorders>
              <w:left w:val="single" w:sz="4" w:space="0" w:color="auto"/>
            </w:tcBorders>
            <w:shd w:val="clear" w:color="auto" w:fill="FFFFFF"/>
          </w:tcPr>
          <w:p w14:paraId="58625350" w14:textId="77777777" w:rsidR="002C470C" w:rsidRPr="00B52707" w:rsidRDefault="002C470C" w:rsidP="00BD0BCB">
            <w:pPr>
              <w:jc w:val="both"/>
              <w:rPr>
                <w:color w:val="0070C0"/>
                <w:sz w:val="16"/>
                <w:szCs w:val="16"/>
              </w:rPr>
            </w:pPr>
            <w:r w:rsidRPr="00B52707">
              <w:rPr>
                <w:color w:val="0070C0"/>
                <w:sz w:val="16"/>
                <w:szCs w:val="16"/>
              </w:rPr>
              <w:t>1.000</w:t>
            </w:r>
          </w:p>
        </w:tc>
        <w:tc>
          <w:tcPr>
            <w:tcW w:w="557" w:type="dxa"/>
            <w:tcBorders>
              <w:left w:val="single" w:sz="4" w:space="0" w:color="auto"/>
            </w:tcBorders>
            <w:shd w:val="clear" w:color="auto" w:fill="FFFFFF"/>
          </w:tcPr>
          <w:p w14:paraId="4F22F62F" w14:textId="77777777" w:rsidR="002C470C" w:rsidRPr="00B52707" w:rsidRDefault="002C470C" w:rsidP="00BD0BCB">
            <w:pPr>
              <w:jc w:val="both"/>
              <w:rPr>
                <w:color w:val="0070C0"/>
                <w:sz w:val="16"/>
                <w:szCs w:val="16"/>
              </w:rPr>
            </w:pPr>
            <w:r w:rsidRPr="00B52707">
              <w:rPr>
                <w:color w:val="0070C0"/>
                <w:sz w:val="16"/>
                <w:szCs w:val="16"/>
              </w:rPr>
              <w:t>1.000</w:t>
            </w:r>
          </w:p>
        </w:tc>
        <w:tc>
          <w:tcPr>
            <w:tcW w:w="552" w:type="dxa"/>
            <w:tcBorders>
              <w:left w:val="single" w:sz="4" w:space="0" w:color="auto"/>
            </w:tcBorders>
            <w:shd w:val="clear" w:color="auto" w:fill="FFFFFF"/>
          </w:tcPr>
          <w:p w14:paraId="0B4B45EA" w14:textId="77777777" w:rsidR="002C470C" w:rsidRPr="00B52707" w:rsidRDefault="002C470C" w:rsidP="00BD0BCB">
            <w:pPr>
              <w:jc w:val="both"/>
              <w:rPr>
                <w:color w:val="0070C0"/>
                <w:sz w:val="16"/>
                <w:szCs w:val="16"/>
              </w:rPr>
            </w:pPr>
            <w:r w:rsidRPr="00B52707">
              <w:rPr>
                <w:color w:val="0070C0"/>
                <w:sz w:val="16"/>
                <w:szCs w:val="16"/>
              </w:rPr>
              <w:t>1.000</w:t>
            </w:r>
          </w:p>
        </w:tc>
        <w:tc>
          <w:tcPr>
            <w:tcW w:w="557" w:type="dxa"/>
            <w:tcBorders>
              <w:left w:val="single" w:sz="4" w:space="0" w:color="auto"/>
            </w:tcBorders>
            <w:shd w:val="clear" w:color="auto" w:fill="FFFFFF"/>
          </w:tcPr>
          <w:p w14:paraId="61C5D781" w14:textId="77777777" w:rsidR="002C470C" w:rsidRPr="00B52707" w:rsidRDefault="002C470C" w:rsidP="00BD0BCB">
            <w:pPr>
              <w:jc w:val="both"/>
              <w:rPr>
                <w:color w:val="0070C0"/>
                <w:sz w:val="16"/>
                <w:szCs w:val="16"/>
              </w:rPr>
            </w:pPr>
          </w:p>
        </w:tc>
        <w:tc>
          <w:tcPr>
            <w:tcW w:w="571" w:type="dxa"/>
            <w:shd w:val="clear" w:color="auto" w:fill="FFFFFF"/>
          </w:tcPr>
          <w:p w14:paraId="7DE96439" w14:textId="77777777" w:rsidR="002C470C" w:rsidRPr="00B52707" w:rsidRDefault="002C470C" w:rsidP="00BD0BCB">
            <w:pPr>
              <w:jc w:val="both"/>
              <w:rPr>
                <w:color w:val="0070C0"/>
                <w:sz w:val="16"/>
                <w:szCs w:val="16"/>
              </w:rPr>
            </w:pPr>
            <w:r w:rsidRPr="00B52707">
              <w:rPr>
                <w:color w:val="0070C0"/>
                <w:sz w:val="16"/>
                <w:szCs w:val="16"/>
              </w:rPr>
              <w:t>5.893</w:t>
            </w:r>
          </w:p>
        </w:tc>
      </w:tr>
    </w:tbl>
    <w:p w14:paraId="6C13BC7F" w14:textId="77777777" w:rsidR="002C470C" w:rsidRPr="00B52707" w:rsidRDefault="002C470C" w:rsidP="002C470C">
      <w:pPr>
        <w:jc w:val="both"/>
        <w:rPr>
          <w:color w:val="0070C0"/>
          <w:sz w:val="16"/>
          <w:szCs w:val="16"/>
        </w:rPr>
      </w:pPr>
      <w:r w:rsidRPr="00B52707">
        <w:rPr>
          <w:color w:val="0070C0"/>
          <w:sz w:val="16"/>
          <w:szCs w:val="16"/>
        </w:rPr>
        <w:t>(24923).</w:t>
      </w:r>
    </w:p>
    <w:p w14:paraId="4C3333F8" w14:textId="77777777" w:rsidR="002C470C" w:rsidRPr="00B52707" w:rsidRDefault="002C470C" w:rsidP="002C470C">
      <w:pPr>
        <w:jc w:val="both"/>
        <w:rPr>
          <w:color w:val="0070C0"/>
          <w:sz w:val="16"/>
          <w:szCs w:val="16"/>
        </w:rPr>
      </w:pPr>
    </w:p>
    <w:p w14:paraId="22FFA710" w14:textId="7F0A4229" w:rsidR="004B4E35" w:rsidRPr="00405303" w:rsidRDefault="00093785" w:rsidP="00C15251">
      <w:pPr>
        <w:jc w:val="both"/>
        <w:rPr>
          <w:bCs/>
          <w:color w:val="002060"/>
          <w:sz w:val="16"/>
          <w:szCs w:val="16"/>
        </w:rPr>
      </w:pPr>
      <w:r w:rsidRPr="00405303">
        <w:rPr>
          <w:bCs/>
          <w:color w:val="002060"/>
          <w:sz w:val="16"/>
          <w:szCs w:val="16"/>
        </w:rPr>
        <w:t>К</w:t>
      </w:r>
      <w:r w:rsidR="009E6F82" w:rsidRPr="00405303">
        <w:rPr>
          <w:bCs/>
          <w:color w:val="002060"/>
          <w:sz w:val="16"/>
          <w:szCs w:val="16"/>
        </w:rPr>
        <w:t xml:space="preserve"> 1 </w:t>
      </w:r>
      <w:r w:rsidRPr="00405303">
        <w:rPr>
          <w:bCs/>
          <w:color w:val="002060"/>
          <w:sz w:val="16"/>
          <w:szCs w:val="16"/>
        </w:rPr>
        <w:t xml:space="preserve">(14) </w:t>
      </w:r>
      <w:r w:rsidR="009E6F82" w:rsidRPr="00405303">
        <w:rPr>
          <w:bCs/>
          <w:color w:val="002060"/>
          <w:sz w:val="16"/>
          <w:szCs w:val="16"/>
        </w:rPr>
        <w:t>ноября 1915 года</w:t>
      </w:r>
      <w:r w:rsidRPr="00405303">
        <w:rPr>
          <w:bCs/>
          <w:color w:val="002060"/>
          <w:sz w:val="16"/>
          <w:szCs w:val="16"/>
        </w:rPr>
        <w:t xml:space="preserve"> сборка ВМ-1 </w:t>
      </w:r>
      <w:proofErr w:type="gramStart"/>
      <w:r w:rsidRPr="00405303">
        <w:rPr>
          <w:bCs/>
          <w:color w:val="002060"/>
          <w:sz w:val="16"/>
          <w:szCs w:val="16"/>
        </w:rPr>
        <w:t>закончилась</w:t>
      </w:r>
      <w:proofErr w:type="gramEnd"/>
      <w:r w:rsidRPr="00405303">
        <w:rPr>
          <w:bCs/>
          <w:color w:val="002060"/>
          <w:sz w:val="16"/>
          <w:szCs w:val="16"/>
        </w:rPr>
        <w:t xml:space="preserve"> </w:t>
      </w:r>
      <w:r w:rsidR="009E6F82" w:rsidRPr="00405303">
        <w:rPr>
          <w:bCs/>
          <w:color w:val="002060"/>
          <w:sz w:val="16"/>
          <w:szCs w:val="16"/>
        </w:rPr>
        <w:t>Первый полет прошел без происшествий. Во время посадки после удавшегося второго полета летчик-испытатель военной приемки не заметил на поверхности моря плавающего бревна, может быть, единственного на всю округу, и гидроплан при парашютировании угодил корпусом именно в него. Получив пробоину, аппарат затонул. Та часть конструкции, которая была выполнена из бамбука, на сей раз не дала аппарату достаточной плавучести, но погрузилась последней... Барограмму полета удалось спасти, и она подтвердила, что полетное задание выполнено успешно. Поскольку летчик Г.А. Фриде был лицом официальным (от военного ведомства), то деньги за построенный (и утонувший) самолет А.Ю. Виллишу были уплачены.</w:t>
      </w:r>
    </w:p>
    <w:p w14:paraId="44B8CF14" w14:textId="77777777" w:rsidR="004B4E35" w:rsidRPr="00405303" w:rsidRDefault="009E6F82" w:rsidP="00C15251">
      <w:pPr>
        <w:jc w:val="both"/>
        <w:rPr>
          <w:bCs/>
          <w:color w:val="002060"/>
          <w:sz w:val="16"/>
          <w:szCs w:val="16"/>
        </w:rPr>
      </w:pPr>
      <w:r w:rsidRPr="00405303">
        <w:rPr>
          <w:bCs/>
          <w:color w:val="002060"/>
          <w:sz w:val="16"/>
          <w:szCs w:val="16"/>
        </w:rPr>
        <w:t>ВМ-2 стал следующим гидропланом А.Ю.Виллиша. Он был оснащен мотором "Гном-Моносупап" в 100 л.с. и строился на тех же условиях морского генштаба, что и ВМ-1. В 1916 году Виллиш обращается к обладателям более мощной производственной базы: Ю.А. Меллеру - владельцу завода "Дукс" и В.А. Лебедеву - владельцу завода "Лебедев" за предоставлением заводской территории и рабочих рук для постройки ВМ-2. Они отказали. Тогда Виллиш пошел на поклон к хозяину мебельной фабрики, некоему Ф. Мельтцеру, который по контрактам с самолетчиками делал разнообразные воздушные винты и имел желание заняться постройкой аэропланов. Ф.Мельтцер согласился и связался в тесном сотрудничестве с прибалтийским авиатором. Постройка ВМ-2 началась в марте 1916 года. Аппарат собирали в течение лета того же года, и к осени он был закончен. Убедившись, что дело пошло должным образом, А.Ю. Виллиш в начале 1917 года закрепился у Ф. Мельтцера в качестве директора-распорядителя, и бывшая "фабрика художественной мебели" стала авиационным заводом того же хозяина. Тут и В.А. Лебедев "прозрел" и, не желая упускать возможность выгоды, договорился с Виллишем о сотрудничестве и также начал строить ВМ-2, но уже не в чистом виде, а усовершенствованную его копию. Переделки конструкции, были учтены, что дало основания Виллишу и Лебедеву считать обновленный аппарат новым типом, и он получил обозначение ВМ-4.</w:t>
      </w:r>
    </w:p>
    <w:p w14:paraId="00ED09F0" w14:textId="77777777" w:rsidR="004B4E35" w:rsidRPr="00405303" w:rsidRDefault="009E6F82" w:rsidP="00C15251">
      <w:pPr>
        <w:jc w:val="both"/>
        <w:rPr>
          <w:bCs/>
          <w:color w:val="002060"/>
          <w:sz w:val="16"/>
          <w:szCs w:val="16"/>
        </w:rPr>
      </w:pPr>
      <w:r w:rsidRPr="00405303">
        <w:rPr>
          <w:bCs/>
          <w:color w:val="002060"/>
          <w:sz w:val="16"/>
          <w:szCs w:val="16"/>
        </w:rPr>
        <w:t>И прототип, и модификация были летающими лодками с двумя членами экипажа, один управлял самолетом, второй - пулеметом. Они предназначались для воздушной разведки театров военных действий на море. Оба аппарата были добротно построены и хорошо летали, но не на Балтике, а в Бакинской летной школе, бороздя Каспийское море. Этим, в общем-то, неплохим гидропланам перешла (</w:t>
      </w:r>
      <w:proofErr w:type="gramStart"/>
      <w:r w:rsidRPr="00405303">
        <w:rPr>
          <w:bCs/>
          <w:color w:val="002060"/>
          <w:sz w:val="16"/>
          <w:szCs w:val="16"/>
        </w:rPr>
        <w:t>или,если</w:t>
      </w:r>
      <w:proofErr w:type="gramEnd"/>
      <w:r w:rsidRPr="00405303">
        <w:rPr>
          <w:bCs/>
          <w:color w:val="002060"/>
          <w:sz w:val="16"/>
          <w:szCs w:val="16"/>
        </w:rPr>
        <w:t xml:space="preserve"> угодно, переплыла) дорогу более перспективная летающая лодка М-5 конструкции Дмитрия Павловича Григоровича, которая строилась серийно. Надо полагать, что и влияние самого Д.П. Григоровича, фактического монополиста в гидросамолетостроении, также способствовало </w:t>
      </w:r>
      <w:proofErr w:type="gramStart"/>
      <w:r w:rsidRPr="00405303">
        <w:rPr>
          <w:bCs/>
          <w:color w:val="002060"/>
          <w:sz w:val="16"/>
          <w:szCs w:val="16"/>
        </w:rPr>
        <w:t>тому,чтобы</w:t>
      </w:r>
      <w:proofErr w:type="gramEnd"/>
      <w:r w:rsidRPr="00405303">
        <w:rPr>
          <w:bCs/>
          <w:color w:val="002060"/>
          <w:sz w:val="16"/>
          <w:szCs w:val="16"/>
        </w:rPr>
        <w:t xml:space="preserve"> предпочтение Военного ведомства России было обращено к лодке М-5, на основе которой вскоре появилась едва ли не самая лучшая летающая лодка первой мировой войны М-9.</w:t>
      </w:r>
    </w:p>
    <w:p w14:paraId="20A2DD3C"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Для нашей тематики из всех гидросамолетов Виллиша ( а приведены они для того, чтобы хоть как-то ознакомиться с его творчеством и почерком в деле) наиболее подходящим является гидроистребитель ВМ-5. По назначению это был морской одноместный истребитель, вооруженный пулеметов системы Хойрема Максима. Это соответствовало требованиям заказчика в период боевых действий на Балтике 1917 года, когда немцы рвались к Петрограду. На появление ВМ-5 немалой степени оказал влияние выпуск Д.П. Григоровичем одного из первых морских истребителей - </w:t>
      </w:r>
      <w:proofErr w:type="gramStart"/>
      <w:r w:rsidRPr="00405303">
        <w:rPr>
          <w:bCs/>
          <w:color w:val="002060"/>
          <w:sz w:val="16"/>
          <w:szCs w:val="16"/>
        </w:rPr>
        <w:t>М-11</w:t>
      </w:r>
      <w:proofErr w:type="gramEnd"/>
      <w:r w:rsidRPr="00405303">
        <w:rPr>
          <w:bCs/>
          <w:color w:val="002060"/>
          <w:sz w:val="16"/>
          <w:szCs w:val="16"/>
        </w:rPr>
        <w:t xml:space="preserve"> который, как выяснилось в 1916 году, в полной мере себя не оправдал, будучи слишком громоздким и тихоходным (Короче говоря, для истории от него осталось только громкое название -"морской истребитель"). Эта задача - создать полноценный истребитель способный взлетать и садиться на воду так никогда и не была решена полностью. Требования высокой скорости полета всегда были в конфликте с приемлемой мореходностью летающих судов.</w:t>
      </w:r>
    </w:p>
    <w:p w14:paraId="230DFE3F" w14:textId="77777777" w:rsidR="004B4E35" w:rsidRPr="00405303" w:rsidRDefault="009E6F82" w:rsidP="00C15251">
      <w:pPr>
        <w:jc w:val="both"/>
        <w:rPr>
          <w:bCs/>
          <w:color w:val="002060"/>
          <w:sz w:val="16"/>
          <w:szCs w:val="16"/>
        </w:rPr>
      </w:pPr>
      <w:r w:rsidRPr="00405303">
        <w:rPr>
          <w:bCs/>
          <w:color w:val="002060"/>
          <w:sz w:val="16"/>
          <w:szCs w:val="16"/>
        </w:rPr>
        <w:t>Как бы то ни было, но в период первой мировой войны задача оснащения флота хорошим морским истребителем с рассмотрения не снималась и на ВМ-5 возлагались определенные надежды. Начатый в постройке весной 1917 года и собранный в ноябре того же года, морской истребитель Виллиша был вывезен на гидродром слишком поздно и не испытывался до самой зимы. Для облета в "сухопутном" варианте к нему пристроили лыжи, однако развернувшиеся в стране драматические события привели к тому, что ВМ-5 в лыжной конфигурации доведен не бьл и не испытывался.</w:t>
      </w:r>
    </w:p>
    <w:p w14:paraId="6ADF85BF" w14:textId="77777777" w:rsidR="004B4E35" w:rsidRPr="00405303" w:rsidRDefault="009E6F82" w:rsidP="00C15251">
      <w:pPr>
        <w:jc w:val="both"/>
        <w:rPr>
          <w:bCs/>
          <w:color w:val="002060"/>
          <w:sz w:val="16"/>
          <w:szCs w:val="16"/>
        </w:rPr>
      </w:pPr>
      <w:r w:rsidRPr="00405303">
        <w:rPr>
          <w:bCs/>
          <w:color w:val="002060"/>
          <w:sz w:val="16"/>
          <w:szCs w:val="16"/>
        </w:rPr>
        <w:t xml:space="preserve">На этом, казалось бы, можно и закончить рассказ о деятельности Александра Юстусовича в </w:t>
      </w:r>
      <w:proofErr w:type="gramStart"/>
      <w:r w:rsidRPr="00405303">
        <w:rPr>
          <w:bCs/>
          <w:color w:val="002060"/>
          <w:sz w:val="16"/>
          <w:szCs w:val="16"/>
        </w:rPr>
        <w:t>авиации</w:t>
      </w:r>
      <w:proofErr w:type="gramEnd"/>
      <w:r w:rsidRPr="00405303">
        <w:rPr>
          <w:bCs/>
          <w:color w:val="002060"/>
          <w:sz w:val="16"/>
          <w:szCs w:val="16"/>
        </w:rPr>
        <w:t xml:space="preserve"> Однако еще одним его аппаратом, </w:t>
      </w:r>
      <w:proofErr w:type="gramStart"/>
      <w:r w:rsidRPr="00405303">
        <w:rPr>
          <w:bCs/>
          <w:color w:val="002060"/>
          <w:sz w:val="16"/>
          <w:szCs w:val="16"/>
        </w:rPr>
        <w:t>из за</w:t>
      </w:r>
      <w:proofErr w:type="gramEnd"/>
      <w:r w:rsidRPr="00405303">
        <w:rPr>
          <w:bCs/>
          <w:color w:val="002060"/>
          <w:sz w:val="16"/>
          <w:szCs w:val="16"/>
        </w:rPr>
        <w:t xml:space="preserve"> которого было затеяно всё приведенное выше повествование, был так называемый, "контристребитель"получивший обозначение ВМ-6. В том, что этому оригинальному аэроплану не удалось увидеть ни воды, ни неба, Виллиш не виноват. В 1918 году под давлением обстоятельств, он вынужден бросить все, покинуть Россию и вернуться к себе в тихое поместье на балтийском берегу (потому и остался в живых). Последний самолет его, ВМ-6, задуман и осуществлялся не просто на высоком или, скажем, приемлемом уровне: он стал очень интересным и притом во многих отношения.</w:t>
      </w:r>
    </w:p>
    <w:p w14:paraId="1C1AE431" w14:textId="77777777" w:rsidR="004B4E35" w:rsidRPr="00405303" w:rsidRDefault="009E6F82" w:rsidP="00C15251">
      <w:pPr>
        <w:jc w:val="both"/>
        <w:rPr>
          <w:bCs/>
          <w:color w:val="002060"/>
          <w:sz w:val="16"/>
          <w:szCs w:val="16"/>
        </w:rPr>
      </w:pPr>
      <w:r w:rsidRPr="00405303">
        <w:rPr>
          <w:bCs/>
          <w:color w:val="002060"/>
          <w:sz w:val="16"/>
          <w:szCs w:val="16"/>
        </w:rPr>
        <w:t>Идея контристребителя появилась в авиаморских кругах России в 1916 году. Автором ее был профессиональный моряк, капитан 2-го ранга B.C. Щербачев. Имея недюжинный ум, природные технические способности и неугомонный характер, он предложил высшему командованию сделать морской самолет, способный базироваться на суше и на палубе крупных судов. Такой аэроплан мог применяться не только против крупных гидросамолетов противника, но и истребителей! Он должен иметь схему обычного сухопутного самолета на колесном шасси с передним расположением двигательной установки и тянущим винтом. Главное отличие новой машины от распространенных аппаратов заключалось в ее способности садиться на воду, и таким уже путем она должна возвращаться на базу. Береговое аэродромное базирование самолета должно было обеспечивать безопасность крупных баз военно-морского флота и той части кораблей, что стояли на якоре вблизи базы. Преимущество над гидропланами противника обеспечивалось конструкцией контристребителя. Она позволяла иметь более высокие летно-тактические характеристики за счет сбрасываемого после старта колесного шасси, мощной силовой установки, предельно легкой и малогабаритной конструкции частей аэроплана и пулеметного вооружения.</w:t>
      </w:r>
    </w:p>
    <w:p w14:paraId="4EB0E7F8" w14:textId="77777777" w:rsidR="004B4E35" w:rsidRPr="00405303" w:rsidRDefault="009E6F82" w:rsidP="00C15251">
      <w:pPr>
        <w:jc w:val="both"/>
        <w:rPr>
          <w:bCs/>
          <w:color w:val="002060"/>
          <w:sz w:val="16"/>
          <w:szCs w:val="16"/>
        </w:rPr>
      </w:pPr>
      <w:r w:rsidRPr="00405303">
        <w:rPr>
          <w:bCs/>
          <w:color w:val="002060"/>
          <w:sz w:val="16"/>
          <w:szCs w:val="16"/>
        </w:rPr>
        <w:t>При фюзеляжной схеме самолета посадка на воду была бы возможной при удалении или изоляции воздушного винта от морской поверхности. Этот вопрос думали решить поворотом оси винта после его остановки и последующей фиксацией в горизонтальном положении над мотором. При этом пропеллер представал собой небольшое двухлопастное крылышко перед кабиной летчика. Пилоту надлежало садиться на воду при таком положении винта и осуществлять послеполетный пробег с рулением на стоянку. Перед стартом ось винта приводилась в нормальное горизонтальное положение и являлась продолжением выходного вала двигателя. Для осуществления эксплуатации такого устройства наиболее подходящим был стационарный мотор водяного охлаждения с рядным расположением цилиндров, каким является двигатель французской фирмы Марка Биркинга "Испано-Сюиза". Он обладал мощностью 200 л.с, чего должно быть вполне достаточно для получения высоких летно-тактических характеристик самолету небольшой размерности. Для " контристребителя" ВМ-6 была выбрана схема аэродинамической компоновки расчалочного высокоплана с крылом площадью в 13,5 м</w:t>
      </w:r>
      <w:r w:rsidRPr="00405303">
        <w:rPr>
          <w:bCs/>
          <w:color w:val="002060"/>
          <w:sz w:val="16"/>
          <w:szCs w:val="16"/>
          <w:vertAlign w:val="superscript"/>
        </w:rPr>
        <w:t>2</w:t>
      </w:r>
      <w:r w:rsidRPr="00405303">
        <w:rPr>
          <w:bCs/>
          <w:color w:val="002060"/>
          <w:sz w:val="16"/>
          <w:szCs w:val="16"/>
        </w:rPr>
        <w:t xml:space="preserve">. Крыло выполнено двухлонжеронным с фанерными нервюрами, расположенными по направлению полета на 65% размаха. В концевых зонах нервюры пустили веером от поточного направления до стреловидного к </w:t>
      </w:r>
      <w:proofErr w:type="gramStart"/>
      <w:r w:rsidRPr="00405303">
        <w:rPr>
          <w:bCs/>
          <w:color w:val="002060"/>
          <w:sz w:val="16"/>
          <w:szCs w:val="16"/>
        </w:rPr>
        <w:t>оконцам,параллельно</w:t>
      </w:r>
      <w:proofErr w:type="gramEnd"/>
      <w:r w:rsidRPr="00405303">
        <w:rPr>
          <w:bCs/>
          <w:color w:val="002060"/>
          <w:sz w:val="16"/>
          <w:szCs w:val="16"/>
        </w:rPr>
        <w:t xml:space="preserve"> передним кромкам законцовок, скошенным на 40 градусов от поперечной оси. Двигатель установили в носовой части корпуса, которая была слегка расширена для обеспечения лучшей мореходности. Корпус имел обводы, близкие к контурам классической шлюпки. Задняя часть заужена к хвосту, отличалась более сильной килеватостью (от средней части) имея почти треугольное сечение вершиной вниз. От носовой части к середине корпуса шли бортовые скулы, плавно соединенные на нет, без редана, поскольку взлет с воды не предусматривался, да был бы и невозможен при низком расположении винта. Хвостовое оперение обычное.</w:t>
      </w:r>
    </w:p>
    <w:p w14:paraId="73BFE976" w14:textId="77777777" w:rsidR="004B4E35" w:rsidRPr="00405303" w:rsidRDefault="009E6F82" w:rsidP="00C15251">
      <w:pPr>
        <w:jc w:val="both"/>
        <w:rPr>
          <w:bCs/>
          <w:color w:val="002060"/>
          <w:sz w:val="16"/>
          <w:szCs w:val="16"/>
        </w:rPr>
      </w:pPr>
      <w:r w:rsidRPr="00405303">
        <w:rPr>
          <w:bCs/>
          <w:color w:val="002060"/>
          <w:sz w:val="16"/>
          <w:szCs w:val="16"/>
        </w:rPr>
        <w:t xml:space="preserve">Проект ВМ-6 был представлен Управлению Морской авиации (УМА) 13 сентября 1917 года. Поначалу предполагали дать задание на контристребитель Д.П. Григоровичу и конструкторскому бюро АИС, но за дело взялся толькоA.Ю. Виллиш, который при непосредственном участии такого сильного специалиста как И.М. Косткин* (он стал техническим директором фабрики Ф. Мельтцера) обещал справиться с поставленной задачей. Помимо самолета, следовало сделать и вспомогательные стартовые механизмы, состоящие согласно проекту, из направляющих рельсовых дорожек, стартовой тележки, на которой должно установить аэроплан, и агрегатов системы запуска, т.е. стоек, крюков, рычагов, тросов и цилиндра со сжатым воздухом. Все это требовало длительной изолированной отработки, автономной доводки перед испытаниями всего комплекса вместе с истребителем. Все - и катапультная система, и береговые постройки, необходимые для непосредственных пусков -выглядело вполне реальными и осуществимыми, постройка стартовой позиции и самого аэроплана началась осенью 1917 года. Известные политические события и окружающая обстановка вынуждали предпринимателей ускорить работу. На каком-то этапе пришлось прерваться для постройки и опробования в воздухе хотя бы одного только аппарата. Его решили довести до испытаний в сухопутном варианте с обычным положением винта на жестком (не сгибаемом) валу, без отделяемого </w:t>
      </w:r>
      <w:proofErr w:type="gramStart"/>
      <w:r w:rsidRPr="00405303">
        <w:rPr>
          <w:bCs/>
          <w:color w:val="002060"/>
          <w:sz w:val="16"/>
          <w:szCs w:val="16"/>
        </w:rPr>
        <w:t>шасси,но</w:t>
      </w:r>
      <w:proofErr w:type="gramEnd"/>
      <w:r w:rsidRPr="00405303">
        <w:rPr>
          <w:bCs/>
          <w:color w:val="002060"/>
          <w:sz w:val="16"/>
          <w:szCs w:val="16"/>
        </w:rPr>
        <w:t xml:space="preserve"> с "мореходным корпусом" (как это было по проекту). Однако даже в таком виде ВМ-6 на летные испытания не передавался. Грянула революция... Так была заброшена интереснейшая идея боевой амфибии, которая осуществлялась авиаторами России, возможно, впервые в мире. Самолет же построили практически полностью...</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686"/>
        <w:gridCol w:w="4738"/>
      </w:tblGrid>
      <w:tr w:rsidR="00946658" w:rsidRPr="00405303" w14:paraId="682A6795" w14:textId="77777777" w:rsidTr="00946658">
        <w:tc>
          <w:tcPr>
            <w:tcW w:w="10424" w:type="dxa"/>
            <w:gridSpan w:val="2"/>
          </w:tcPr>
          <w:p w14:paraId="246C41F0" w14:textId="77777777" w:rsidR="004B4E35" w:rsidRPr="00405303" w:rsidRDefault="009E6F82" w:rsidP="00C15251">
            <w:pPr>
              <w:jc w:val="both"/>
              <w:rPr>
                <w:bCs/>
                <w:color w:val="002060"/>
                <w:sz w:val="16"/>
                <w:szCs w:val="16"/>
              </w:rPr>
            </w:pPr>
            <w:r w:rsidRPr="00405303">
              <w:rPr>
                <w:bCs/>
                <w:color w:val="002060"/>
                <w:sz w:val="16"/>
                <w:szCs w:val="16"/>
              </w:rPr>
              <w:t>Летно-тактические характеристики контристребителя ВМ-6*</w:t>
            </w:r>
          </w:p>
        </w:tc>
      </w:tr>
      <w:tr w:rsidR="004B4E35" w:rsidRPr="00405303" w14:paraId="6D18E84C" w14:textId="77777777">
        <w:tc>
          <w:tcPr>
            <w:tcW w:w="5686" w:type="dxa"/>
          </w:tcPr>
          <w:p w14:paraId="3DD49F56" w14:textId="77777777" w:rsidR="004B4E35" w:rsidRPr="00405303" w:rsidRDefault="009E6F82" w:rsidP="00C15251">
            <w:pPr>
              <w:jc w:val="both"/>
              <w:rPr>
                <w:bCs/>
                <w:color w:val="002060"/>
                <w:sz w:val="16"/>
                <w:szCs w:val="16"/>
              </w:rPr>
            </w:pPr>
            <w:r w:rsidRPr="00405303">
              <w:rPr>
                <w:bCs/>
                <w:color w:val="002060"/>
                <w:sz w:val="16"/>
                <w:szCs w:val="16"/>
              </w:rPr>
              <w:t>Самолет</w:t>
            </w:r>
          </w:p>
        </w:tc>
        <w:tc>
          <w:tcPr>
            <w:tcW w:w="4738" w:type="dxa"/>
          </w:tcPr>
          <w:p w14:paraId="20F188C6" w14:textId="77777777" w:rsidR="004B4E35" w:rsidRPr="00405303" w:rsidRDefault="009E6F82" w:rsidP="00C15251">
            <w:pPr>
              <w:jc w:val="both"/>
              <w:rPr>
                <w:bCs/>
                <w:color w:val="002060"/>
                <w:sz w:val="16"/>
                <w:szCs w:val="16"/>
              </w:rPr>
            </w:pPr>
            <w:r w:rsidRPr="00405303">
              <w:rPr>
                <w:bCs/>
                <w:color w:val="002060"/>
                <w:sz w:val="16"/>
                <w:szCs w:val="16"/>
              </w:rPr>
              <w:t>ВМ-6</w:t>
            </w:r>
          </w:p>
        </w:tc>
      </w:tr>
      <w:tr w:rsidR="004B4E35" w:rsidRPr="00405303" w14:paraId="360AC998" w14:textId="77777777">
        <w:tc>
          <w:tcPr>
            <w:tcW w:w="5686" w:type="dxa"/>
          </w:tcPr>
          <w:p w14:paraId="6F9499AD" w14:textId="77777777" w:rsidR="004B4E35" w:rsidRPr="00405303" w:rsidRDefault="009E6F82" w:rsidP="00C15251">
            <w:pPr>
              <w:jc w:val="both"/>
              <w:rPr>
                <w:bCs/>
                <w:color w:val="002060"/>
                <w:sz w:val="16"/>
                <w:szCs w:val="16"/>
              </w:rPr>
            </w:pPr>
            <w:r w:rsidRPr="00405303">
              <w:rPr>
                <w:bCs/>
                <w:color w:val="002060"/>
                <w:sz w:val="16"/>
                <w:szCs w:val="16"/>
              </w:rPr>
              <w:t>Год выпуска</w:t>
            </w:r>
          </w:p>
        </w:tc>
        <w:tc>
          <w:tcPr>
            <w:tcW w:w="4738" w:type="dxa"/>
          </w:tcPr>
          <w:p w14:paraId="32D87B9B" w14:textId="77777777" w:rsidR="004B4E35" w:rsidRPr="00405303" w:rsidRDefault="009E6F82" w:rsidP="00C15251">
            <w:pPr>
              <w:jc w:val="both"/>
              <w:rPr>
                <w:bCs/>
                <w:color w:val="002060"/>
                <w:sz w:val="16"/>
                <w:szCs w:val="16"/>
              </w:rPr>
            </w:pPr>
            <w:r w:rsidRPr="00405303">
              <w:rPr>
                <w:bCs/>
                <w:color w:val="002060"/>
                <w:sz w:val="16"/>
                <w:szCs w:val="16"/>
              </w:rPr>
              <w:t>1918</w:t>
            </w:r>
          </w:p>
        </w:tc>
      </w:tr>
      <w:tr w:rsidR="004B4E35" w:rsidRPr="00405303" w14:paraId="08CDACC9" w14:textId="77777777">
        <w:tc>
          <w:tcPr>
            <w:tcW w:w="5686" w:type="dxa"/>
          </w:tcPr>
          <w:p w14:paraId="56E48F5A" w14:textId="77777777" w:rsidR="004B4E35" w:rsidRPr="00405303" w:rsidRDefault="009E6F82" w:rsidP="00C15251">
            <w:pPr>
              <w:jc w:val="both"/>
              <w:rPr>
                <w:bCs/>
                <w:color w:val="002060"/>
                <w:sz w:val="16"/>
                <w:szCs w:val="16"/>
              </w:rPr>
            </w:pPr>
            <w:r w:rsidRPr="00405303">
              <w:rPr>
                <w:bCs/>
                <w:color w:val="002060"/>
                <w:sz w:val="16"/>
                <w:szCs w:val="16"/>
              </w:rPr>
              <w:t>Мотор</w:t>
            </w:r>
          </w:p>
        </w:tc>
        <w:tc>
          <w:tcPr>
            <w:tcW w:w="4738" w:type="dxa"/>
          </w:tcPr>
          <w:p w14:paraId="195C664F" w14:textId="77777777" w:rsidR="004B4E35" w:rsidRPr="00405303" w:rsidRDefault="009E6F82" w:rsidP="00C15251">
            <w:pPr>
              <w:jc w:val="both"/>
              <w:rPr>
                <w:bCs/>
                <w:color w:val="002060"/>
                <w:sz w:val="16"/>
                <w:szCs w:val="16"/>
              </w:rPr>
            </w:pPr>
            <w:r w:rsidRPr="00405303">
              <w:rPr>
                <w:bCs/>
                <w:color w:val="002060"/>
                <w:sz w:val="16"/>
                <w:szCs w:val="16"/>
              </w:rPr>
              <w:t>"Испано-Сюиза "</w:t>
            </w:r>
          </w:p>
        </w:tc>
      </w:tr>
      <w:tr w:rsidR="004B4E35" w:rsidRPr="00405303" w14:paraId="3525843E" w14:textId="77777777">
        <w:tc>
          <w:tcPr>
            <w:tcW w:w="5686" w:type="dxa"/>
          </w:tcPr>
          <w:p w14:paraId="556A4474" w14:textId="77777777" w:rsidR="004B4E35" w:rsidRPr="00405303" w:rsidRDefault="009E6F82" w:rsidP="00C15251">
            <w:pPr>
              <w:jc w:val="both"/>
              <w:rPr>
                <w:bCs/>
                <w:color w:val="002060"/>
                <w:sz w:val="16"/>
                <w:szCs w:val="16"/>
              </w:rPr>
            </w:pPr>
            <w:r w:rsidRPr="00405303">
              <w:rPr>
                <w:bCs/>
                <w:color w:val="002060"/>
                <w:sz w:val="16"/>
                <w:szCs w:val="16"/>
              </w:rPr>
              <w:t>Мощность максимальная, л.с.</w:t>
            </w:r>
          </w:p>
        </w:tc>
        <w:tc>
          <w:tcPr>
            <w:tcW w:w="4738" w:type="dxa"/>
          </w:tcPr>
          <w:p w14:paraId="68D10123" w14:textId="77777777" w:rsidR="004B4E35" w:rsidRPr="00405303" w:rsidRDefault="009E6F82" w:rsidP="00C15251">
            <w:pPr>
              <w:jc w:val="both"/>
              <w:rPr>
                <w:bCs/>
                <w:color w:val="002060"/>
                <w:sz w:val="16"/>
                <w:szCs w:val="16"/>
              </w:rPr>
            </w:pPr>
            <w:r w:rsidRPr="00405303">
              <w:rPr>
                <w:bCs/>
                <w:color w:val="002060"/>
                <w:sz w:val="16"/>
                <w:szCs w:val="16"/>
              </w:rPr>
              <w:t>200</w:t>
            </w:r>
          </w:p>
        </w:tc>
      </w:tr>
      <w:tr w:rsidR="004B4E35" w:rsidRPr="00405303" w14:paraId="3636DF31" w14:textId="77777777">
        <w:tc>
          <w:tcPr>
            <w:tcW w:w="5686" w:type="dxa"/>
          </w:tcPr>
          <w:p w14:paraId="7B4F00E8" w14:textId="77777777" w:rsidR="004B4E35" w:rsidRPr="00405303" w:rsidRDefault="009E6F82" w:rsidP="00C15251">
            <w:pPr>
              <w:jc w:val="both"/>
              <w:rPr>
                <w:bCs/>
                <w:color w:val="002060"/>
                <w:sz w:val="16"/>
                <w:szCs w:val="16"/>
              </w:rPr>
            </w:pPr>
            <w:r w:rsidRPr="00405303">
              <w:rPr>
                <w:bCs/>
                <w:color w:val="002060"/>
                <w:sz w:val="16"/>
                <w:szCs w:val="16"/>
              </w:rPr>
              <w:t>Скорость максимальная, км/ч</w:t>
            </w:r>
          </w:p>
        </w:tc>
        <w:tc>
          <w:tcPr>
            <w:tcW w:w="4738" w:type="dxa"/>
          </w:tcPr>
          <w:p w14:paraId="20E2C1F0" w14:textId="77777777" w:rsidR="004B4E35" w:rsidRPr="00405303" w:rsidRDefault="009E6F82" w:rsidP="00C15251">
            <w:pPr>
              <w:jc w:val="both"/>
              <w:rPr>
                <w:bCs/>
                <w:color w:val="002060"/>
                <w:sz w:val="16"/>
                <w:szCs w:val="16"/>
              </w:rPr>
            </w:pPr>
            <w:r w:rsidRPr="00405303">
              <w:rPr>
                <w:bCs/>
                <w:color w:val="002060"/>
                <w:sz w:val="16"/>
                <w:szCs w:val="16"/>
              </w:rPr>
              <w:t>210</w:t>
            </w:r>
          </w:p>
        </w:tc>
      </w:tr>
      <w:tr w:rsidR="004B4E35" w:rsidRPr="00405303" w14:paraId="45F451AA" w14:textId="77777777">
        <w:tc>
          <w:tcPr>
            <w:tcW w:w="5686" w:type="dxa"/>
          </w:tcPr>
          <w:p w14:paraId="721D2DD2" w14:textId="77777777" w:rsidR="004B4E35" w:rsidRPr="00405303" w:rsidRDefault="009E6F82" w:rsidP="00C15251">
            <w:pPr>
              <w:jc w:val="both"/>
              <w:rPr>
                <w:bCs/>
                <w:color w:val="002060"/>
                <w:sz w:val="16"/>
                <w:szCs w:val="16"/>
              </w:rPr>
            </w:pPr>
            <w:r w:rsidRPr="00405303">
              <w:rPr>
                <w:bCs/>
                <w:color w:val="002060"/>
                <w:sz w:val="16"/>
                <w:szCs w:val="16"/>
              </w:rPr>
              <w:t>Время набора высоты 2000 м, мин</w:t>
            </w:r>
          </w:p>
        </w:tc>
        <w:tc>
          <w:tcPr>
            <w:tcW w:w="4738" w:type="dxa"/>
          </w:tcPr>
          <w:p w14:paraId="6473B504" w14:textId="77777777" w:rsidR="004B4E35" w:rsidRPr="00405303" w:rsidRDefault="009E6F82" w:rsidP="00C15251">
            <w:pPr>
              <w:jc w:val="both"/>
              <w:rPr>
                <w:bCs/>
                <w:color w:val="002060"/>
                <w:sz w:val="16"/>
                <w:szCs w:val="16"/>
              </w:rPr>
            </w:pPr>
            <w:r w:rsidRPr="00405303">
              <w:rPr>
                <w:bCs/>
                <w:color w:val="002060"/>
                <w:sz w:val="16"/>
                <w:szCs w:val="16"/>
              </w:rPr>
              <w:t>8,0</w:t>
            </w:r>
          </w:p>
        </w:tc>
      </w:tr>
      <w:tr w:rsidR="004B4E35" w:rsidRPr="00405303" w14:paraId="2778A88D" w14:textId="77777777">
        <w:tc>
          <w:tcPr>
            <w:tcW w:w="5686" w:type="dxa"/>
          </w:tcPr>
          <w:p w14:paraId="48EDC039" w14:textId="77777777" w:rsidR="004B4E35" w:rsidRPr="00405303" w:rsidRDefault="009E6F82" w:rsidP="00C15251">
            <w:pPr>
              <w:jc w:val="both"/>
              <w:rPr>
                <w:bCs/>
                <w:color w:val="002060"/>
                <w:sz w:val="16"/>
                <w:szCs w:val="16"/>
              </w:rPr>
            </w:pPr>
            <w:r w:rsidRPr="00405303">
              <w:rPr>
                <w:bCs/>
                <w:color w:val="002060"/>
                <w:sz w:val="16"/>
                <w:szCs w:val="16"/>
              </w:rPr>
              <w:t>Потолок практический, м</w:t>
            </w:r>
          </w:p>
        </w:tc>
        <w:tc>
          <w:tcPr>
            <w:tcW w:w="4738" w:type="dxa"/>
          </w:tcPr>
          <w:p w14:paraId="63F41FE6" w14:textId="77777777" w:rsidR="004B4E35" w:rsidRPr="00405303" w:rsidRDefault="009E6F82" w:rsidP="00C15251">
            <w:pPr>
              <w:jc w:val="both"/>
              <w:rPr>
                <w:bCs/>
                <w:color w:val="002060"/>
                <w:sz w:val="16"/>
                <w:szCs w:val="16"/>
              </w:rPr>
            </w:pPr>
            <w:r w:rsidRPr="00405303">
              <w:rPr>
                <w:bCs/>
                <w:color w:val="002060"/>
                <w:sz w:val="16"/>
                <w:szCs w:val="16"/>
              </w:rPr>
              <w:t>6500</w:t>
            </w:r>
          </w:p>
        </w:tc>
      </w:tr>
      <w:tr w:rsidR="004B4E35" w:rsidRPr="00405303" w14:paraId="51E6501E" w14:textId="77777777">
        <w:tc>
          <w:tcPr>
            <w:tcW w:w="5686" w:type="dxa"/>
          </w:tcPr>
          <w:p w14:paraId="5AE6F593" w14:textId="77777777" w:rsidR="004B4E35" w:rsidRPr="00405303" w:rsidRDefault="009E6F82" w:rsidP="00C15251">
            <w:pPr>
              <w:jc w:val="both"/>
              <w:rPr>
                <w:bCs/>
                <w:color w:val="002060"/>
                <w:sz w:val="16"/>
                <w:szCs w:val="16"/>
              </w:rPr>
            </w:pPr>
            <w:r w:rsidRPr="00405303">
              <w:rPr>
                <w:bCs/>
                <w:color w:val="002060"/>
                <w:sz w:val="16"/>
                <w:szCs w:val="16"/>
              </w:rPr>
              <w:t>Продолжительность полета, час</w:t>
            </w:r>
          </w:p>
        </w:tc>
        <w:tc>
          <w:tcPr>
            <w:tcW w:w="4738" w:type="dxa"/>
          </w:tcPr>
          <w:p w14:paraId="6967E5C3" w14:textId="77777777" w:rsidR="004B4E35" w:rsidRPr="00405303" w:rsidRDefault="009E6F82" w:rsidP="00C15251">
            <w:pPr>
              <w:jc w:val="both"/>
              <w:rPr>
                <w:bCs/>
                <w:color w:val="002060"/>
                <w:sz w:val="16"/>
                <w:szCs w:val="16"/>
              </w:rPr>
            </w:pPr>
            <w:r w:rsidRPr="00405303">
              <w:rPr>
                <w:bCs/>
                <w:color w:val="002060"/>
                <w:sz w:val="16"/>
                <w:szCs w:val="16"/>
              </w:rPr>
              <w:t>2,0</w:t>
            </w:r>
          </w:p>
        </w:tc>
      </w:tr>
      <w:tr w:rsidR="004B4E35" w:rsidRPr="00405303" w14:paraId="68727FA8" w14:textId="77777777">
        <w:tc>
          <w:tcPr>
            <w:tcW w:w="5686" w:type="dxa"/>
          </w:tcPr>
          <w:p w14:paraId="0B9C666B" w14:textId="77777777" w:rsidR="004B4E35" w:rsidRPr="00405303" w:rsidRDefault="009E6F82" w:rsidP="00C15251">
            <w:pPr>
              <w:jc w:val="both"/>
              <w:rPr>
                <w:bCs/>
                <w:color w:val="002060"/>
                <w:sz w:val="16"/>
                <w:szCs w:val="16"/>
              </w:rPr>
            </w:pPr>
            <w:r w:rsidRPr="00405303">
              <w:rPr>
                <w:bCs/>
                <w:color w:val="002060"/>
                <w:sz w:val="16"/>
                <w:szCs w:val="16"/>
              </w:rPr>
              <w:t>Площадь крыла, м</w:t>
            </w:r>
            <w:r w:rsidRPr="00405303">
              <w:rPr>
                <w:bCs/>
                <w:color w:val="002060"/>
                <w:sz w:val="16"/>
                <w:szCs w:val="16"/>
                <w:vertAlign w:val="superscript"/>
              </w:rPr>
              <w:t>2</w:t>
            </w:r>
          </w:p>
        </w:tc>
        <w:tc>
          <w:tcPr>
            <w:tcW w:w="4738" w:type="dxa"/>
          </w:tcPr>
          <w:p w14:paraId="0A11D058" w14:textId="77777777" w:rsidR="004B4E35" w:rsidRPr="00405303" w:rsidRDefault="009E6F82" w:rsidP="00C15251">
            <w:pPr>
              <w:jc w:val="both"/>
              <w:rPr>
                <w:bCs/>
                <w:color w:val="002060"/>
                <w:sz w:val="16"/>
                <w:szCs w:val="16"/>
              </w:rPr>
            </w:pPr>
            <w:r w:rsidRPr="00405303">
              <w:rPr>
                <w:bCs/>
                <w:color w:val="002060"/>
                <w:sz w:val="16"/>
                <w:szCs w:val="16"/>
              </w:rPr>
              <w:t>13,5</w:t>
            </w:r>
          </w:p>
        </w:tc>
      </w:tr>
      <w:tr w:rsidR="004B4E35" w:rsidRPr="00405303" w14:paraId="63279DE0" w14:textId="77777777">
        <w:tc>
          <w:tcPr>
            <w:tcW w:w="5686" w:type="dxa"/>
          </w:tcPr>
          <w:p w14:paraId="0B983902" w14:textId="77777777" w:rsidR="004B4E35" w:rsidRPr="00405303" w:rsidRDefault="009E6F82" w:rsidP="00C15251">
            <w:pPr>
              <w:jc w:val="both"/>
              <w:rPr>
                <w:bCs/>
                <w:color w:val="002060"/>
                <w:sz w:val="16"/>
                <w:szCs w:val="16"/>
              </w:rPr>
            </w:pPr>
            <w:r w:rsidRPr="00405303">
              <w:rPr>
                <w:bCs/>
                <w:color w:val="002060"/>
                <w:sz w:val="16"/>
                <w:szCs w:val="16"/>
              </w:rPr>
              <w:t>Взлетный вес, кг</w:t>
            </w:r>
          </w:p>
        </w:tc>
        <w:tc>
          <w:tcPr>
            <w:tcW w:w="4738" w:type="dxa"/>
          </w:tcPr>
          <w:p w14:paraId="69CFC78F" w14:textId="77777777" w:rsidR="004B4E35" w:rsidRPr="00405303" w:rsidRDefault="009E6F82" w:rsidP="00C15251">
            <w:pPr>
              <w:jc w:val="both"/>
              <w:rPr>
                <w:bCs/>
                <w:color w:val="002060"/>
                <w:sz w:val="16"/>
                <w:szCs w:val="16"/>
              </w:rPr>
            </w:pPr>
            <w:r w:rsidRPr="00405303">
              <w:rPr>
                <w:bCs/>
                <w:color w:val="002060"/>
                <w:sz w:val="16"/>
                <w:szCs w:val="16"/>
              </w:rPr>
              <w:t>785</w:t>
            </w:r>
          </w:p>
        </w:tc>
      </w:tr>
      <w:tr w:rsidR="004B4E35" w:rsidRPr="00405303" w14:paraId="0D3D4790" w14:textId="77777777">
        <w:tc>
          <w:tcPr>
            <w:tcW w:w="5686" w:type="dxa"/>
          </w:tcPr>
          <w:p w14:paraId="01E08DEB" w14:textId="77777777" w:rsidR="004B4E35" w:rsidRPr="00405303" w:rsidRDefault="009E6F82" w:rsidP="00C15251">
            <w:pPr>
              <w:jc w:val="both"/>
              <w:rPr>
                <w:bCs/>
                <w:color w:val="002060"/>
                <w:sz w:val="16"/>
                <w:szCs w:val="16"/>
              </w:rPr>
            </w:pPr>
            <w:r w:rsidRPr="00405303">
              <w:rPr>
                <w:bCs/>
                <w:color w:val="002060"/>
                <w:sz w:val="16"/>
                <w:szCs w:val="16"/>
              </w:rPr>
              <w:t>Вес пустого самолета, кг</w:t>
            </w:r>
          </w:p>
        </w:tc>
        <w:tc>
          <w:tcPr>
            <w:tcW w:w="4738" w:type="dxa"/>
          </w:tcPr>
          <w:p w14:paraId="1EB1274C" w14:textId="77777777" w:rsidR="004B4E35" w:rsidRPr="00405303" w:rsidRDefault="009E6F82" w:rsidP="00C15251">
            <w:pPr>
              <w:jc w:val="both"/>
              <w:rPr>
                <w:bCs/>
                <w:color w:val="002060"/>
                <w:sz w:val="16"/>
                <w:szCs w:val="16"/>
              </w:rPr>
            </w:pPr>
            <w:r w:rsidRPr="00405303">
              <w:rPr>
                <w:bCs/>
                <w:color w:val="002060"/>
                <w:sz w:val="16"/>
                <w:szCs w:val="16"/>
              </w:rPr>
              <w:t>571</w:t>
            </w:r>
          </w:p>
        </w:tc>
      </w:tr>
      <w:tr w:rsidR="004B4E35" w:rsidRPr="00405303" w14:paraId="23569145" w14:textId="77777777">
        <w:tc>
          <w:tcPr>
            <w:tcW w:w="5686" w:type="dxa"/>
          </w:tcPr>
          <w:p w14:paraId="02EF053B" w14:textId="77777777" w:rsidR="004B4E35" w:rsidRPr="00405303" w:rsidRDefault="009E6F82" w:rsidP="00C15251">
            <w:pPr>
              <w:jc w:val="both"/>
              <w:rPr>
                <w:bCs/>
                <w:color w:val="002060"/>
                <w:sz w:val="16"/>
                <w:szCs w:val="16"/>
              </w:rPr>
            </w:pPr>
            <w:r w:rsidRPr="00405303">
              <w:rPr>
                <w:bCs/>
                <w:color w:val="002060"/>
                <w:sz w:val="16"/>
                <w:szCs w:val="16"/>
              </w:rPr>
              <w:t>Запас топлива, кг</w:t>
            </w:r>
          </w:p>
        </w:tc>
        <w:tc>
          <w:tcPr>
            <w:tcW w:w="4738" w:type="dxa"/>
          </w:tcPr>
          <w:p w14:paraId="26A85877" w14:textId="77777777" w:rsidR="004B4E35" w:rsidRPr="00405303" w:rsidRDefault="009E6F82" w:rsidP="00C15251">
            <w:pPr>
              <w:jc w:val="both"/>
              <w:rPr>
                <w:bCs/>
                <w:color w:val="002060"/>
                <w:sz w:val="16"/>
                <w:szCs w:val="16"/>
              </w:rPr>
            </w:pPr>
            <w:r w:rsidRPr="00405303">
              <w:rPr>
                <w:bCs/>
                <w:color w:val="002060"/>
                <w:sz w:val="16"/>
                <w:szCs w:val="16"/>
              </w:rPr>
              <w:t>95</w:t>
            </w:r>
          </w:p>
        </w:tc>
      </w:tr>
      <w:tr w:rsidR="004B4E35" w:rsidRPr="00405303" w14:paraId="43EC6061" w14:textId="77777777">
        <w:tc>
          <w:tcPr>
            <w:tcW w:w="5686" w:type="dxa"/>
          </w:tcPr>
          <w:p w14:paraId="4B0FCBD9" w14:textId="77777777" w:rsidR="004B4E35" w:rsidRPr="00405303" w:rsidRDefault="009E6F82" w:rsidP="00C15251">
            <w:pPr>
              <w:jc w:val="both"/>
              <w:rPr>
                <w:bCs/>
                <w:color w:val="002060"/>
                <w:sz w:val="16"/>
                <w:szCs w:val="16"/>
              </w:rPr>
            </w:pPr>
            <w:r w:rsidRPr="00405303">
              <w:rPr>
                <w:bCs/>
                <w:color w:val="002060"/>
                <w:sz w:val="16"/>
                <w:szCs w:val="16"/>
              </w:rPr>
              <w:t>Уд. нагрузка на крыло, кг/м2</w:t>
            </w:r>
          </w:p>
        </w:tc>
        <w:tc>
          <w:tcPr>
            <w:tcW w:w="4738" w:type="dxa"/>
          </w:tcPr>
          <w:p w14:paraId="380C1E1F" w14:textId="77777777" w:rsidR="004B4E35" w:rsidRPr="00405303" w:rsidRDefault="009E6F82" w:rsidP="00C15251">
            <w:pPr>
              <w:jc w:val="both"/>
              <w:rPr>
                <w:bCs/>
                <w:color w:val="002060"/>
                <w:sz w:val="16"/>
                <w:szCs w:val="16"/>
              </w:rPr>
            </w:pPr>
            <w:r w:rsidRPr="00405303">
              <w:rPr>
                <w:bCs/>
                <w:color w:val="002060"/>
                <w:sz w:val="16"/>
                <w:szCs w:val="16"/>
              </w:rPr>
              <w:t>58,2</w:t>
            </w:r>
          </w:p>
        </w:tc>
      </w:tr>
      <w:tr w:rsidR="004B4E35" w:rsidRPr="00405303" w14:paraId="156DC856" w14:textId="77777777">
        <w:tc>
          <w:tcPr>
            <w:tcW w:w="5686" w:type="dxa"/>
          </w:tcPr>
          <w:p w14:paraId="5E3A5043" w14:textId="77777777" w:rsidR="004B4E35" w:rsidRPr="00405303" w:rsidRDefault="009E6F82" w:rsidP="00C15251">
            <w:pPr>
              <w:jc w:val="both"/>
              <w:rPr>
                <w:bCs/>
                <w:color w:val="002060"/>
                <w:sz w:val="16"/>
                <w:szCs w:val="16"/>
              </w:rPr>
            </w:pPr>
            <w:r w:rsidRPr="00405303">
              <w:rPr>
                <w:bCs/>
                <w:color w:val="002060"/>
                <w:sz w:val="16"/>
                <w:szCs w:val="16"/>
              </w:rPr>
              <w:t>Уд. нагрузка на мощность, кг/л.с.</w:t>
            </w:r>
          </w:p>
        </w:tc>
        <w:tc>
          <w:tcPr>
            <w:tcW w:w="4738" w:type="dxa"/>
          </w:tcPr>
          <w:p w14:paraId="7E26112C" w14:textId="77777777" w:rsidR="004B4E35" w:rsidRPr="00405303" w:rsidRDefault="009E6F82" w:rsidP="00C15251">
            <w:pPr>
              <w:jc w:val="both"/>
              <w:rPr>
                <w:bCs/>
                <w:color w:val="002060"/>
                <w:sz w:val="16"/>
                <w:szCs w:val="16"/>
              </w:rPr>
            </w:pPr>
            <w:r w:rsidRPr="00405303">
              <w:rPr>
                <w:bCs/>
                <w:color w:val="002060"/>
                <w:sz w:val="16"/>
                <w:szCs w:val="16"/>
              </w:rPr>
              <w:t>3,9</w:t>
            </w:r>
          </w:p>
        </w:tc>
      </w:tr>
      <w:tr w:rsidR="004B4E35" w:rsidRPr="00405303" w14:paraId="42BB27F2" w14:textId="77777777">
        <w:tc>
          <w:tcPr>
            <w:tcW w:w="5686" w:type="dxa"/>
          </w:tcPr>
          <w:p w14:paraId="2FAB4EC1" w14:textId="77777777" w:rsidR="004B4E35" w:rsidRPr="00405303" w:rsidRDefault="009E6F82" w:rsidP="00C15251">
            <w:pPr>
              <w:jc w:val="both"/>
              <w:rPr>
                <w:bCs/>
                <w:color w:val="002060"/>
                <w:sz w:val="16"/>
                <w:szCs w:val="16"/>
              </w:rPr>
            </w:pPr>
            <w:r w:rsidRPr="00405303">
              <w:rPr>
                <w:bCs/>
                <w:color w:val="002060"/>
                <w:sz w:val="16"/>
                <w:szCs w:val="16"/>
              </w:rPr>
              <w:t>Весовая отдача, %</w:t>
            </w:r>
          </w:p>
        </w:tc>
        <w:tc>
          <w:tcPr>
            <w:tcW w:w="4738" w:type="dxa"/>
          </w:tcPr>
          <w:p w14:paraId="59F90ED7" w14:textId="77777777" w:rsidR="004B4E35" w:rsidRPr="00405303" w:rsidRDefault="009E6F82" w:rsidP="00C15251">
            <w:pPr>
              <w:jc w:val="both"/>
              <w:rPr>
                <w:bCs/>
                <w:color w:val="002060"/>
                <w:sz w:val="16"/>
                <w:szCs w:val="16"/>
              </w:rPr>
            </w:pPr>
            <w:r w:rsidRPr="00405303">
              <w:rPr>
                <w:bCs/>
                <w:color w:val="002060"/>
                <w:sz w:val="16"/>
                <w:szCs w:val="16"/>
              </w:rPr>
              <w:t>27,3</w:t>
            </w:r>
          </w:p>
        </w:tc>
      </w:tr>
    </w:tbl>
    <w:p w14:paraId="20F84097" w14:textId="77777777" w:rsidR="004B4E35" w:rsidRPr="00405303" w:rsidRDefault="009E6F82" w:rsidP="00C15251">
      <w:pPr>
        <w:jc w:val="both"/>
        <w:rPr>
          <w:bCs/>
          <w:color w:val="002060"/>
          <w:sz w:val="16"/>
          <w:szCs w:val="16"/>
        </w:rPr>
      </w:pPr>
      <w:r w:rsidRPr="00405303">
        <w:rPr>
          <w:bCs/>
          <w:color w:val="002060"/>
          <w:sz w:val="16"/>
          <w:szCs w:val="16"/>
        </w:rPr>
        <w:t>* - данные расчетные</w:t>
      </w:r>
    </w:p>
    <w:p w14:paraId="6ED293E1" w14:textId="77777777" w:rsidR="004B4E35" w:rsidRPr="00405303" w:rsidRDefault="009E6F82" w:rsidP="00C15251">
      <w:pPr>
        <w:jc w:val="both"/>
        <w:rPr>
          <w:bCs/>
          <w:color w:val="002060"/>
          <w:sz w:val="16"/>
          <w:szCs w:val="16"/>
        </w:rPr>
      </w:pPr>
      <w:r w:rsidRPr="00405303">
        <w:rPr>
          <w:bCs/>
          <w:color w:val="002060"/>
          <w:sz w:val="16"/>
          <w:szCs w:val="16"/>
        </w:rPr>
        <w:t>(11918).</w:t>
      </w:r>
    </w:p>
    <w:p w14:paraId="1F801354" w14:textId="77777777" w:rsidR="004B4E35" w:rsidRPr="00405303" w:rsidRDefault="004B4E35" w:rsidP="00C15251">
      <w:pPr>
        <w:jc w:val="both"/>
        <w:rPr>
          <w:bCs/>
          <w:color w:val="002060"/>
          <w:sz w:val="16"/>
          <w:szCs w:val="16"/>
        </w:rPr>
      </w:pPr>
    </w:p>
    <w:p w14:paraId="0F724945" w14:textId="02D29346" w:rsidR="004B4E35" w:rsidRPr="00405303" w:rsidRDefault="00093785" w:rsidP="00C15251">
      <w:pPr>
        <w:shd w:val="clear" w:color="auto" w:fill="FFFFFF"/>
        <w:jc w:val="both"/>
        <w:rPr>
          <w:bCs/>
          <w:color w:val="002060"/>
          <w:sz w:val="16"/>
          <w:szCs w:val="16"/>
        </w:rPr>
      </w:pPr>
      <w:r w:rsidRPr="00405303">
        <w:rPr>
          <w:bCs/>
          <w:color w:val="002060"/>
          <w:sz w:val="16"/>
          <w:szCs w:val="16"/>
        </w:rPr>
        <w:lastRenderedPageBreak/>
        <w:t>П</w:t>
      </w:r>
      <w:r w:rsidR="009E6F82" w:rsidRPr="00405303">
        <w:rPr>
          <w:bCs/>
          <w:color w:val="002060"/>
          <w:sz w:val="16"/>
          <w:szCs w:val="16"/>
        </w:rPr>
        <w:t xml:space="preserve">о 1 (14) ноября 1915 г. </w:t>
      </w:r>
      <w:r w:rsidRPr="00405303">
        <w:rPr>
          <w:bCs/>
          <w:color w:val="002060"/>
          <w:sz w:val="16"/>
          <w:szCs w:val="16"/>
        </w:rPr>
        <w:t xml:space="preserve">с начала войны </w:t>
      </w:r>
      <w:r w:rsidR="009E6F82" w:rsidRPr="00405303">
        <w:rPr>
          <w:bCs/>
          <w:color w:val="002060"/>
          <w:sz w:val="16"/>
          <w:szCs w:val="16"/>
        </w:rPr>
        <w:t>самолетов-истребителей и самолетов, используемых как истребители, заказанных на рус</w:t>
      </w:r>
      <w:r w:rsidR="009E6F82" w:rsidRPr="00405303">
        <w:rPr>
          <w:bCs/>
          <w:color w:val="002060"/>
          <w:sz w:val="16"/>
          <w:szCs w:val="16"/>
        </w:rPr>
        <w:softHyphen/>
        <w:t>ских заводах, было 872. За это же время самолетов, используе</w:t>
      </w:r>
      <w:r w:rsidR="009E6F82" w:rsidRPr="00405303">
        <w:rPr>
          <w:bCs/>
          <w:color w:val="002060"/>
          <w:sz w:val="16"/>
          <w:szCs w:val="16"/>
        </w:rPr>
        <w:softHyphen/>
        <w:t>мых как истребители, от союзников было получено 63, несмотря на союзнические обязательства передать для русского воздуш</w:t>
      </w:r>
      <w:r w:rsidR="009E6F82" w:rsidRPr="00405303">
        <w:rPr>
          <w:bCs/>
          <w:color w:val="002060"/>
          <w:sz w:val="16"/>
          <w:szCs w:val="16"/>
        </w:rPr>
        <w:softHyphen/>
        <w:t>ного флота 162 самолета. Известно также, что к 1 ноября 1916 г. 73% самолетов, действовавших на фронте, было русской по</w:t>
      </w:r>
      <w:r w:rsidR="009E6F82" w:rsidRPr="00405303">
        <w:rPr>
          <w:bCs/>
          <w:color w:val="002060"/>
          <w:sz w:val="16"/>
          <w:szCs w:val="16"/>
        </w:rPr>
        <w:softHyphen/>
        <w:t>стройки (318).</w:t>
      </w:r>
    </w:p>
    <w:p w14:paraId="2E71A80C" w14:textId="77777777" w:rsidR="004B4E35" w:rsidRPr="00405303" w:rsidRDefault="004B4E35" w:rsidP="00C15251">
      <w:pPr>
        <w:jc w:val="both"/>
        <w:rPr>
          <w:bCs/>
          <w:color w:val="002060"/>
          <w:sz w:val="16"/>
          <w:szCs w:val="16"/>
        </w:rPr>
      </w:pPr>
    </w:p>
    <w:p w14:paraId="59488EE1" w14:textId="77777777" w:rsidR="009A4184" w:rsidRPr="00405303" w:rsidRDefault="009A4184" w:rsidP="00C15251">
      <w:pPr>
        <w:jc w:val="both"/>
        <w:rPr>
          <w:bCs/>
          <w:i/>
          <w:color w:val="002060"/>
          <w:sz w:val="16"/>
          <w:szCs w:val="16"/>
        </w:rPr>
      </w:pPr>
      <w:r w:rsidRPr="00405303">
        <w:rPr>
          <w:bCs/>
          <w:i/>
          <w:color w:val="002060"/>
          <w:sz w:val="16"/>
          <w:szCs w:val="16"/>
        </w:rPr>
        <w:t>Другие оборонные отрасли:</w:t>
      </w:r>
    </w:p>
    <w:p w14:paraId="4F9E2242" w14:textId="77777777" w:rsidR="009A4184" w:rsidRPr="00405303" w:rsidRDefault="009A4184" w:rsidP="00C15251">
      <w:pPr>
        <w:jc w:val="both"/>
        <w:rPr>
          <w:bCs/>
          <w:i/>
          <w:color w:val="002060"/>
          <w:sz w:val="16"/>
          <w:szCs w:val="16"/>
        </w:rPr>
      </w:pPr>
    </w:p>
    <w:p w14:paraId="009513A0" w14:textId="714D43F5" w:rsidR="009A4184" w:rsidRPr="00405303" w:rsidRDefault="009A4184" w:rsidP="00C15251">
      <w:pPr>
        <w:pStyle w:val="p1"/>
        <w:spacing w:before="0" w:beforeAutospacing="0" w:after="0" w:afterAutospacing="0"/>
        <w:jc w:val="both"/>
        <w:rPr>
          <w:bCs/>
          <w:color w:val="002060"/>
          <w:sz w:val="16"/>
          <w:szCs w:val="16"/>
        </w:rPr>
      </w:pPr>
      <w:r w:rsidRPr="00405303">
        <w:rPr>
          <w:bCs/>
          <w:color w:val="002060"/>
          <w:sz w:val="16"/>
          <w:szCs w:val="16"/>
        </w:rPr>
        <w:t>К 1 ноября 1915 г. казенные ружейные заводы получили 358 из 402 заказанных для них в России станков; из них 231 был изготовлен на Тульском оружейном заводе. В 1916 г. ТОЗ изготовил 600 станков. Во второй половине октября Совет министров утвердил проект сооружения в Туле нового казенного машиностроительного завода для выпуска по 8 станков в день (2400 в год) при одной 9-часовой рабочей смене и до 14 тысяч станковых пулеметов (строительство уже было начато). Внося в октябре 1916 г. этот проект на утверждение Думы, Военное министерство поясняло, что новое предприятие «не только обеспечит потребность в станках названных (ружейных, патронных и трубочных</w:t>
      </w:r>
      <w:r w:rsidRPr="00405303">
        <w:rPr>
          <w:rStyle w:val="af"/>
          <w:rFonts w:eastAsiaTheme="majorEastAsia"/>
          <w:bCs/>
          <w:color w:val="002060"/>
          <w:sz w:val="16"/>
          <w:szCs w:val="16"/>
        </w:rPr>
        <w:t>)</w:t>
      </w:r>
      <w:r w:rsidR="00DB4D64" w:rsidRPr="00405303">
        <w:rPr>
          <w:rStyle w:val="af"/>
          <w:rFonts w:eastAsiaTheme="majorEastAsia"/>
          <w:bCs/>
          <w:color w:val="002060"/>
          <w:sz w:val="16"/>
          <w:szCs w:val="16"/>
        </w:rPr>
        <w:t xml:space="preserve"> </w:t>
      </w:r>
      <w:r w:rsidRPr="00405303">
        <w:rPr>
          <w:bCs/>
          <w:color w:val="002060"/>
          <w:sz w:val="16"/>
          <w:szCs w:val="16"/>
        </w:rPr>
        <w:t>заводов, но сможет изготовлять станки (близкие по своим типам к вышеупомянутым) и для других технических артиллерийских заведений». Предполагалось, что в механических и инструментальных мастерских самого этого завода будет размещено около 1000 станков (оборудование на 6 млн. руб. должен был поставить «Ремингтон</w:t>
      </w:r>
      <w:proofErr w:type="gramStart"/>
      <w:r w:rsidRPr="00405303">
        <w:rPr>
          <w:bCs/>
          <w:color w:val="002060"/>
          <w:sz w:val="16"/>
          <w:szCs w:val="16"/>
        </w:rPr>
        <w:t>»)</w:t>
      </w:r>
      <w:r w:rsidRPr="00405303">
        <w:rPr>
          <w:bCs/>
          <w:color w:val="002060"/>
          <w:sz w:val="16"/>
          <w:szCs w:val="16"/>
          <w:vertAlign w:val="superscript"/>
        </w:rPr>
        <w:t>{</w:t>
      </w:r>
      <w:proofErr w:type="gramEnd"/>
      <w:r w:rsidRPr="00405303">
        <w:rPr>
          <w:bCs/>
          <w:color w:val="002060"/>
          <w:sz w:val="16"/>
          <w:szCs w:val="16"/>
          <w:vertAlign w:val="superscript"/>
        </w:rPr>
        <w:t>232}</w:t>
      </w:r>
      <w:r w:rsidRPr="00405303">
        <w:rPr>
          <w:bCs/>
          <w:color w:val="002060"/>
          <w:sz w:val="16"/>
          <w:szCs w:val="16"/>
        </w:rPr>
        <w:t>. Проект оценивался в 32 млн. руб. (1,5 млн. — на отчуждение 122 частных усадеб, часть земли уступил город), первые крупные ассигнования произошли в феврале 1917 г.</w:t>
      </w:r>
      <w:r w:rsidR="00DB4D64" w:rsidRPr="00405303">
        <w:rPr>
          <w:bCs/>
          <w:color w:val="002060"/>
          <w:sz w:val="16"/>
          <w:szCs w:val="16"/>
        </w:rPr>
        <w:t xml:space="preserve"> </w:t>
      </w:r>
      <w:r w:rsidRPr="00405303">
        <w:rPr>
          <w:bCs/>
          <w:color w:val="002060"/>
          <w:sz w:val="16"/>
          <w:szCs w:val="16"/>
        </w:rPr>
        <w:t>Сооружение завода продолжалось недолгое время и после Октябрьской революции (18409).</w:t>
      </w:r>
    </w:p>
    <w:p w14:paraId="721E85D6" w14:textId="77777777" w:rsidR="009A4184" w:rsidRPr="00405303" w:rsidRDefault="009A4184" w:rsidP="00C15251">
      <w:pPr>
        <w:pStyle w:val="p1"/>
        <w:spacing w:before="0" w:beforeAutospacing="0" w:after="0" w:afterAutospacing="0"/>
        <w:jc w:val="both"/>
        <w:rPr>
          <w:bCs/>
          <w:color w:val="002060"/>
          <w:sz w:val="16"/>
          <w:szCs w:val="16"/>
        </w:rPr>
      </w:pPr>
    </w:p>
    <w:p w14:paraId="1DFF6463" w14:textId="77777777" w:rsidR="00B06DB8" w:rsidRPr="00405303" w:rsidRDefault="00B06DB8"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К 1 ноября 1915 г. казенные ружейные заводы получили 358 из 402 за</w:t>
      </w:r>
      <w:r w:rsidRPr="00405303">
        <w:rPr>
          <w:rFonts w:ascii="Times New Roman" w:hAnsi="Times New Roman" w:cs="Times New Roman"/>
          <w:bCs/>
          <w:color w:val="002060"/>
          <w:sz w:val="16"/>
          <w:szCs w:val="16"/>
        </w:rPr>
        <w:softHyphen/>
        <w:t>казанных для них в России станков; из них 231 был изготов</w:t>
      </w:r>
      <w:r w:rsidRPr="00405303">
        <w:rPr>
          <w:rFonts w:ascii="Times New Roman" w:hAnsi="Times New Roman" w:cs="Times New Roman"/>
          <w:bCs/>
          <w:color w:val="002060"/>
          <w:sz w:val="16"/>
          <w:szCs w:val="16"/>
        </w:rPr>
        <w:softHyphen/>
        <w:t>лен на Тульском оружейном заводе (РГВИА. Ф. 962. Оп. 2. Д. 22. Л. 17 и об.; Сухов В.А. Производство вооружения. С. 27—28). В 1916 г. ТОЗ изготовил 600 станков. Во второй половине октября Совет министров утвердил проект сооружения в Туле нового казенного маши</w:t>
      </w:r>
      <w:r w:rsidRPr="00405303">
        <w:rPr>
          <w:rFonts w:ascii="Times New Roman" w:hAnsi="Times New Roman" w:cs="Times New Roman"/>
          <w:bCs/>
          <w:color w:val="002060"/>
          <w:sz w:val="16"/>
          <w:szCs w:val="16"/>
        </w:rPr>
        <w:softHyphen/>
        <w:t>ностроительного завода для выпуска по 8 станков в день (2400 в год) при одной 9-часовой рабочей смене и до 14 ты</w:t>
      </w:r>
      <w:r w:rsidRPr="00405303">
        <w:rPr>
          <w:rFonts w:ascii="Times New Roman" w:hAnsi="Times New Roman" w:cs="Times New Roman"/>
          <w:bCs/>
          <w:color w:val="002060"/>
          <w:sz w:val="16"/>
          <w:szCs w:val="16"/>
        </w:rPr>
        <w:softHyphen/>
        <w:t>сяч станковых пулеметов (строительство уже было начато). Внося в октябре 1916 г. этот проект на утверждение Думы, Военное министерство поясняло, что новое предприятие «не только обеспечит потребность в станках названных (ружей</w:t>
      </w:r>
      <w:r w:rsidRPr="00405303">
        <w:rPr>
          <w:rFonts w:ascii="Times New Roman" w:hAnsi="Times New Roman" w:cs="Times New Roman"/>
          <w:bCs/>
          <w:color w:val="002060"/>
          <w:sz w:val="16"/>
          <w:szCs w:val="16"/>
        </w:rPr>
        <w:softHyphen/>
        <w:t>ных, патронных и трубочных. — В. 77.) заводов, но сможет изготовлять станки (близкие по своим типам к вышеупомя</w:t>
      </w:r>
      <w:r w:rsidRPr="00405303">
        <w:rPr>
          <w:rFonts w:ascii="Times New Roman" w:hAnsi="Times New Roman" w:cs="Times New Roman"/>
          <w:bCs/>
          <w:color w:val="002060"/>
          <w:sz w:val="16"/>
          <w:szCs w:val="16"/>
        </w:rPr>
        <w:softHyphen/>
        <w:t>нутым) и для других технических артиллерийских заведе</w:t>
      </w:r>
      <w:r w:rsidRPr="00405303">
        <w:rPr>
          <w:rFonts w:ascii="Times New Roman" w:hAnsi="Times New Roman" w:cs="Times New Roman"/>
          <w:bCs/>
          <w:color w:val="002060"/>
          <w:sz w:val="16"/>
          <w:szCs w:val="16"/>
        </w:rPr>
        <w:softHyphen/>
        <w:t>ний». Предполагалось, что в механических и инструменталь</w:t>
      </w:r>
      <w:r w:rsidRPr="00405303">
        <w:rPr>
          <w:rFonts w:ascii="Times New Roman" w:hAnsi="Times New Roman" w:cs="Times New Roman"/>
          <w:bCs/>
          <w:color w:val="002060"/>
          <w:sz w:val="16"/>
          <w:szCs w:val="16"/>
        </w:rPr>
        <w:softHyphen/>
        <w:t>ных мастерских самого этого завода будет размещено около 1000 станков (оборудование на 6 млн руб. должен был по</w:t>
      </w:r>
      <w:r w:rsidRPr="00405303">
        <w:rPr>
          <w:rFonts w:ascii="Times New Roman" w:hAnsi="Times New Roman" w:cs="Times New Roman"/>
          <w:bCs/>
          <w:color w:val="002060"/>
          <w:sz w:val="16"/>
          <w:szCs w:val="16"/>
        </w:rPr>
        <w:softHyphen/>
        <w:t>ставить «Ремингтон»). Проект оценивался в 32 млн руб. (1,5 млн — на отчуждение 122 частных усадеб, часть земли уступил город), первые крупные ассигнования произошли в феврале 1917 г. (Михайлов А.В., Малахов Г.В., Птицын В.В. Указ. соч. С. 207; Сот</w:t>
      </w:r>
      <w:r w:rsidRPr="00405303">
        <w:rPr>
          <w:rFonts w:ascii="Times New Roman" w:hAnsi="Times New Roman" w:cs="Times New Roman"/>
          <w:bCs/>
          <w:color w:val="002060"/>
          <w:sz w:val="16"/>
          <w:szCs w:val="16"/>
        </w:rPr>
        <w:softHyphen/>
        <w:t xml:space="preserve">ников М.А., Чудное Г.М. Указ. соч. С. 33—34; Сидоров АЛ. Экономическое положение России. С. 138; РГВИА. Ф. 29. Оп. 3. Д. 1003. Л. 323 и об.; Ф. 1. </w:t>
      </w:r>
      <w:r w:rsidRPr="00405303">
        <w:rPr>
          <w:rFonts w:ascii="Times New Roman" w:hAnsi="Times New Roman" w:cs="Times New Roman"/>
          <w:bCs/>
          <w:color w:val="002060"/>
          <w:sz w:val="16"/>
          <w:szCs w:val="16"/>
          <w:lang w:val="en-US" w:bidi="en-US"/>
        </w:rPr>
        <w:t>On</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 xml:space="preserve">1. </w:t>
      </w:r>
      <w:r w:rsidRPr="00405303">
        <w:rPr>
          <w:rFonts w:ascii="Times New Roman" w:hAnsi="Times New Roman" w:cs="Times New Roman"/>
          <w:bCs/>
          <w:color w:val="002060"/>
          <w:sz w:val="16"/>
          <w:szCs w:val="16"/>
          <w:lang w:val="en-US" w:bidi="en-US"/>
        </w:rPr>
        <w:t>T</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44. Д. 548. Л. 373 и об. Доклад ГАУ «О заимообразном отпуске из военного фонда 2 млн руб. на неотложные расходы по постройке машиностроительного завода», утв. Военным советом 27.11.1917) Сооружение завода продолжалось недолгое время и после Октябрьской революции (Сотников М.А., Чудное Г.М. Указ. соч. С. 34).</w:t>
      </w:r>
    </w:p>
    <w:p w14:paraId="69BAEB60" w14:textId="77777777" w:rsidR="00B06DB8" w:rsidRPr="00405303" w:rsidRDefault="00B06DB8" w:rsidP="00C15251">
      <w:pPr>
        <w:jc w:val="both"/>
        <w:rPr>
          <w:bCs/>
          <w:color w:val="002060"/>
          <w:sz w:val="16"/>
          <w:szCs w:val="16"/>
        </w:rPr>
      </w:pPr>
      <w:r w:rsidRPr="00405303">
        <w:rPr>
          <w:bCs/>
          <w:color w:val="002060"/>
          <w:sz w:val="16"/>
          <w:szCs w:val="16"/>
        </w:rPr>
        <w:t>Помимо Тульского, станкостроением занимались также Ижевский, петроградские патронный, трубочный заводы и даже пороховые. Кроме того, источником роста оборудова</w:t>
      </w:r>
      <w:r w:rsidRPr="00405303">
        <w:rPr>
          <w:bCs/>
          <w:color w:val="002060"/>
          <w:sz w:val="16"/>
          <w:szCs w:val="16"/>
        </w:rPr>
        <w:softHyphen/>
        <w:t>ния казенных производств служило перераспределение тех</w:t>
      </w:r>
      <w:r w:rsidRPr="00405303">
        <w:rPr>
          <w:bCs/>
          <w:color w:val="002060"/>
          <w:sz w:val="16"/>
          <w:szCs w:val="16"/>
        </w:rPr>
        <w:softHyphen/>
        <w:t>нических средств путем реквизиций на частных предпри</w:t>
      </w:r>
      <w:r w:rsidRPr="00405303">
        <w:rPr>
          <w:bCs/>
          <w:color w:val="002060"/>
          <w:sz w:val="16"/>
          <w:szCs w:val="16"/>
        </w:rPr>
        <w:softHyphen/>
        <w:t>ятиях.</w:t>
      </w:r>
    </w:p>
    <w:p w14:paraId="42E4B1AB" w14:textId="77777777" w:rsidR="00B06DB8" w:rsidRPr="00405303" w:rsidRDefault="00B06DB8" w:rsidP="00C15251">
      <w:pPr>
        <w:jc w:val="both"/>
        <w:rPr>
          <w:bCs/>
          <w:color w:val="002060"/>
          <w:sz w:val="16"/>
          <w:szCs w:val="16"/>
        </w:rPr>
      </w:pPr>
      <w:r w:rsidRPr="00405303">
        <w:rPr>
          <w:bCs/>
          <w:color w:val="002060"/>
          <w:sz w:val="16"/>
          <w:szCs w:val="16"/>
        </w:rPr>
        <w:t>На успехи в области станкостроения обратил внимание Н. Стоун, автор идеи о вызванном войной процветании России; оно выразилось, в частности, в «чрезмерно бы</w:t>
      </w:r>
      <w:r w:rsidRPr="00405303">
        <w:rPr>
          <w:bCs/>
          <w:color w:val="002060"/>
          <w:sz w:val="16"/>
          <w:szCs w:val="16"/>
        </w:rPr>
        <w:softHyphen/>
        <w:t>стром промышленном развитии». На этот раз оптимисти</w:t>
      </w:r>
      <w:r w:rsidRPr="00405303">
        <w:rPr>
          <w:bCs/>
          <w:color w:val="002060"/>
          <w:sz w:val="16"/>
          <w:szCs w:val="16"/>
        </w:rPr>
        <w:softHyphen/>
        <w:t>ческое впечатление навеяла обнаружившаяся «способность России заместить импортные машины своим собственным машиностроением». Английский историк в подтверждение указывает на соотношение — по суммарной стоимости — внутренней продукции машиностроения России и ввезен</w:t>
      </w:r>
      <w:r w:rsidRPr="00405303">
        <w:rPr>
          <w:bCs/>
          <w:color w:val="002060"/>
          <w:sz w:val="16"/>
          <w:szCs w:val="16"/>
        </w:rPr>
        <w:softHyphen/>
        <w:t>ных машин.</w:t>
      </w:r>
    </w:p>
    <w:p w14:paraId="5A80C742" w14:textId="77777777" w:rsidR="00B06DB8" w:rsidRPr="00405303" w:rsidRDefault="00B06DB8"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Эти данные Стоун берет из вторых рук, ссылаясь на Си</w:t>
      </w:r>
      <w:r w:rsidRPr="00405303">
        <w:rPr>
          <w:rFonts w:ascii="Times New Roman" w:hAnsi="Times New Roman" w:cs="Times New Roman"/>
          <w:bCs/>
          <w:color w:val="002060"/>
          <w:sz w:val="16"/>
          <w:szCs w:val="16"/>
        </w:rPr>
        <w:softHyphen/>
        <w:t>дорова, который вынужден был учитывать и использовать цифры, введенные в 1925 г. в обращение С.Г. Струмилиным в его борьбе против «капитулянтов», за высокие темпы индустриализации СССР. «Можем ли мы сомневаться в том, что форсированные темпы индустриализации страны отнюдь не являются для нас предельными, — писал Струмилин. — Не только удвоение их, но, быть может, даже утроение не выходят за пределы теоретически осуществи</w:t>
      </w:r>
      <w:r w:rsidRPr="00405303">
        <w:rPr>
          <w:rFonts w:ascii="Times New Roman" w:hAnsi="Times New Roman" w:cs="Times New Roman"/>
          <w:bCs/>
          <w:color w:val="002060"/>
          <w:sz w:val="16"/>
          <w:szCs w:val="16"/>
        </w:rPr>
        <w:softHyphen/>
        <w:t>мого», тут лишь «важно знать ее исходные пункты в минув</w:t>
      </w:r>
      <w:r w:rsidRPr="00405303">
        <w:rPr>
          <w:rFonts w:ascii="Times New Roman" w:hAnsi="Times New Roman" w:cs="Times New Roman"/>
          <w:bCs/>
          <w:color w:val="002060"/>
          <w:sz w:val="16"/>
          <w:szCs w:val="16"/>
        </w:rPr>
        <w:softHyphen/>
        <w:t>шем» (капитальные фонды, техническую базу), «унаследо</w:t>
      </w:r>
      <w:r w:rsidRPr="00405303">
        <w:rPr>
          <w:rFonts w:ascii="Times New Roman" w:hAnsi="Times New Roman" w:cs="Times New Roman"/>
          <w:bCs/>
          <w:color w:val="002060"/>
          <w:sz w:val="16"/>
          <w:szCs w:val="16"/>
        </w:rPr>
        <w:softHyphen/>
        <w:t>ванные нами целиком от дореволюционного прошлого». Уже до революции, по его словам, промышленная продук</w:t>
      </w:r>
      <w:r w:rsidRPr="00405303">
        <w:rPr>
          <w:rFonts w:ascii="Times New Roman" w:hAnsi="Times New Roman" w:cs="Times New Roman"/>
          <w:bCs/>
          <w:color w:val="002060"/>
          <w:sz w:val="16"/>
          <w:szCs w:val="16"/>
        </w:rPr>
        <w:softHyphen/>
        <w:t>ция прирастала по 7,6% в год. «Даже без прилива капиталов из-за границы русская промышленность могла бы умно</w:t>
      </w:r>
      <w:r w:rsidRPr="00405303">
        <w:rPr>
          <w:rFonts w:ascii="Times New Roman" w:hAnsi="Times New Roman" w:cs="Times New Roman"/>
          <w:bCs/>
          <w:color w:val="002060"/>
          <w:sz w:val="16"/>
          <w:szCs w:val="16"/>
        </w:rPr>
        <w:softHyphen/>
        <w:t>жить свои промышленные фонды ежегодно не на 7,2% в год, а даже по полуторной или вдвое более высокой норме» (</w:t>
      </w:r>
      <w:r w:rsidRPr="00405303">
        <w:rPr>
          <w:rFonts w:ascii="Times New Roman" w:hAnsi="Times New Roman" w:cs="Times New Roman"/>
          <w:bCs/>
          <w:color w:val="002060"/>
          <w:sz w:val="16"/>
          <w:szCs w:val="16"/>
          <w:lang w:val="en-US" w:bidi="en-US"/>
        </w:rPr>
        <w:t>Stone</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N</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The</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Eastern</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Front</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P</w:t>
      </w:r>
      <w:r w:rsidRPr="00405303">
        <w:rPr>
          <w:rFonts w:ascii="Times New Roman" w:hAnsi="Times New Roman" w:cs="Times New Roman"/>
          <w:bCs/>
          <w:color w:val="002060"/>
          <w:sz w:val="16"/>
          <w:szCs w:val="16"/>
          <w:lang w:bidi="en-US"/>
        </w:rPr>
        <w:t xml:space="preserve">. 208—209; </w:t>
      </w:r>
      <w:r w:rsidRPr="00405303">
        <w:rPr>
          <w:rFonts w:ascii="Times New Roman" w:hAnsi="Times New Roman" w:cs="Times New Roman"/>
          <w:bCs/>
          <w:color w:val="002060"/>
          <w:sz w:val="16"/>
          <w:szCs w:val="16"/>
          <w:lang w:val="en-US" w:bidi="en-US"/>
        </w:rPr>
        <w:t>Haumann</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H</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Op</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cit</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S</w:t>
      </w:r>
      <w:r w:rsidRPr="00405303">
        <w:rPr>
          <w:rFonts w:ascii="Times New Roman" w:hAnsi="Times New Roman" w:cs="Times New Roman"/>
          <w:bCs/>
          <w:color w:val="002060"/>
          <w:sz w:val="16"/>
          <w:szCs w:val="16"/>
          <w:lang w:bidi="en-US"/>
        </w:rPr>
        <w:t xml:space="preserve">. 84, 236. </w:t>
      </w:r>
      <w:r w:rsidRPr="00405303">
        <w:rPr>
          <w:rFonts w:ascii="Times New Roman" w:hAnsi="Times New Roman" w:cs="Times New Roman"/>
          <w:bCs/>
          <w:color w:val="002060"/>
          <w:sz w:val="16"/>
          <w:szCs w:val="16"/>
        </w:rPr>
        <w:t>Стоун едва ли прав, утверждая, что внутреннее станкостроение ока</w:t>
      </w:r>
      <w:r w:rsidRPr="00405303">
        <w:rPr>
          <w:rFonts w:ascii="Times New Roman" w:hAnsi="Times New Roman" w:cs="Times New Roman"/>
          <w:bCs/>
          <w:color w:val="002060"/>
          <w:sz w:val="16"/>
          <w:szCs w:val="16"/>
        </w:rPr>
        <w:softHyphen/>
        <w:t>залось выгодным из-за «дороговизны английских и американских ма</w:t>
      </w:r>
      <w:r w:rsidRPr="00405303">
        <w:rPr>
          <w:rFonts w:ascii="Times New Roman" w:hAnsi="Times New Roman" w:cs="Times New Roman"/>
          <w:bCs/>
          <w:color w:val="002060"/>
          <w:sz w:val="16"/>
          <w:szCs w:val="16"/>
        </w:rPr>
        <w:softHyphen/>
        <w:t>шин». Известно, что при назначении цен русские заводы, как правило, не отставали от зарубежных; Струмилин С.Г. Очерки советской экономики. Ресурсы и перспек</w:t>
      </w:r>
      <w:r w:rsidRPr="00405303">
        <w:rPr>
          <w:rFonts w:ascii="Times New Roman" w:hAnsi="Times New Roman" w:cs="Times New Roman"/>
          <w:bCs/>
          <w:color w:val="002060"/>
          <w:sz w:val="16"/>
          <w:szCs w:val="16"/>
        </w:rPr>
        <w:softHyphen/>
        <w:t>тивы. М.; Л., 1928. С. 6—7, 71; Уткин А.И. Указ. соч. С. 390). Для доказательства успехов, достигнутых в России к 1917 г. в создании технической базы дальнейшего индустриально</w:t>
      </w:r>
      <w:r w:rsidRPr="00405303">
        <w:rPr>
          <w:rFonts w:ascii="Times New Roman" w:hAnsi="Times New Roman" w:cs="Times New Roman"/>
          <w:bCs/>
          <w:color w:val="002060"/>
          <w:sz w:val="16"/>
          <w:szCs w:val="16"/>
        </w:rPr>
        <w:softHyphen/>
        <w:t>го развития, Струмилин и привел сопоставление стоимости произведенного в стране промышленного оборудования со стоимостью импортированного.</w:t>
      </w:r>
    </w:p>
    <w:p w14:paraId="19691C86" w14:textId="77777777" w:rsidR="00B06DB8" w:rsidRPr="00405303" w:rsidRDefault="00B06DB8"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Хотя бы и в рукописной диссертации, Сидоров, по ус</w:t>
      </w:r>
      <w:r w:rsidRPr="00405303">
        <w:rPr>
          <w:rFonts w:ascii="Times New Roman" w:hAnsi="Times New Roman" w:cs="Times New Roman"/>
          <w:bCs/>
          <w:color w:val="002060"/>
          <w:sz w:val="16"/>
          <w:szCs w:val="16"/>
        </w:rPr>
        <w:softHyphen/>
        <w:t>ловиям времени, не мог ставить точки над «i» в споре со Струмилиным — сталинским любимцем, надзиравшим за всей историей русского/советского народного хозяйства, дубликатом А.Я. Вышинского в своей области, сторонни</w:t>
      </w:r>
      <w:r w:rsidRPr="00405303">
        <w:rPr>
          <w:rFonts w:ascii="Times New Roman" w:hAnsi="Times New Roman" w:cs="Times New Roman"/>
          <w:bCs/>
          <w:color w:val="002060"/>
          <w:sz w:val="16"/>
          <w:szCs w:val="16"/>
        </w:rPr>
        <w:softHyphen/>
        <w:t>ком ликвидации «всяких дискуссий». Тем не менее Сидо</w:t>
      </w:r>
      <w:r w:rsidRPr="00405303">
        <w:rPr>
          <w:rFonts w:ascii="Times New Roman" w:hAnsi="Times New Roman" w:cs="Times New Roman"/>
          <w:bCs/>
          <w:color w:val="002060"/>
          <w:sz w:val="16"/>
          <w:szCs w:val="16"/>
        </w:rPr>
        <w:softHyphen/>
        <w:t>ров указал на несостоятельность оптимистических расчетов академика. Струмилин воспользовался отсутствием источ</w:t>
      </w:r>
      <w:r w:rsidRPr="00405303">
        <w:rPr>
          <w:rFonts w:ascii="Times New Roman" w:hAnsi="Times New Roman" w:cs="Times New Roman"/>
          <w:bCs/>
          <w:color w:val="002060"/>
          <w:sz w:val="16"/>
          <w:szCs w:val="16"/>
        </w:rPr>
        <w:softHyphen/>
        <w:t xml:space="preserve">ников с </w:t>
      </w:r>
      <w:proofErr w:type="gramStart"/>
      <w:r w:rsidRPr="00405303">
        <w:rPr>
          <w:rFonts w:ascii="Times New Roman" w:hAnsi="Times New Roman" w:cs="Times New Roman"/>
          <w:bCs/>
          <w:color w:val="002060"/>
          <w:sz w:val="16"/>
          <w:szCs w:val="16"/>
        </w:rPr>
        <w:t>данными собственно</w:t>
      </w:r>
      <w:proofErr w:type="gramEnd"/>
      <w:r w:rsidRPr="00405303">
        <w:rPr>
          <w:rFonts w:ascii="Times New Roman" w:hAnsi="Times New Roman" w:cs="Times New Roman"/>
          <w:bCs/>
          <w:color w:val="002060"/>
          <w:sz w:val="16"/>
          <w:szCs w:val="16"/>
        </w:rPr>
        <w:t xml:space="preserve"> о промышленном оборудова</w:t>
      </w:r>
      <w:r w:rsidRPr="00405303">
        <w:rPr>
          <w:rFonts w:ascii="Times New Roman" w:hAnsi="Times New Roman" w:cs="Times New Roman"/>
          <w:bCs/>
          <w:color w:val="002060"/>
          <w:sz w:val="16"/>
          <w:szCs w:val="16"/>
        </w:rPr>
        <w:softHyphen/>
        <w:t>нии внутреннего производства и сконструировал цифры умозрительно — условно принимая стоимость этого обо</w:t>
      </w:r>
      <w:r w:rsidRPr="00405303">
        <w:rPr>
          <w:rFonts w:ascii="Times New Roman" w:hAnsi="Times New Roman" w:cs="Times New Roman"/>
          <w:bCs/>
          <w:color w:val="002060"/>
          <w:sz w:val="16"/>
          <w:szCs w:val="16"/>
        </w:rPr>
        <w:softHyphen/>
        <w:t>рудования за половину совокупной продукции отечествен</w:t>
      </w:r>
      <w:r w:rsidRPr="00405303">
        <w:rPr>
          <w:rFonts w:ascii="Times New Roman" w:hAnsi="Times New Roman" w:cs="Times New Roman"/>
          <w:bCs/>
          <w:color w:val="002060"/>
          <w:sz w:val="16"/>
          <w:szCs w:val="16"/>
        </w:rPr>
        <w:softHyphen/>
        <w:t>ного машиностроения. При этом, объясняя, что подразуме</w:t>
      </w:r>
      <w:r w:rsidRPr="00405303">
        <w:rPr>
          <w:rFonts w:ascii="Times New Roman" w:hAnsi="Times New Roman" w:cs="Times New Roman"/>
          <w:bCs/>
          <w:color w:val="002060"/>
          <w:sz w:val="16"/>
          <w:szCs w:val="16"/>
        </w:rPr>
        <w:softHyphen/>
        <w:t>вается в составе продукции машиностроения, Струмилин упомянул паровозы, суда, сельскохозяйственные машины, а вооружение не назвал, ограничившись невнятной ссыл</w:t>
      </w:r>
      <w:r w:rsidRPr="00405303">
        <w:rPr>
          <w:rFonts w:ascii="Times New Roman" w:hAnsi="Times New Roman" w:cs="Times New Roman"/>
          <w:bCs/>
          <w:color w:val="002060"/>
          <w:sz w:val="16"/>
          <w:szCs w:val="16"/>
        </w:rPr>
        <w:softHyphen/>
        <w:t>кой на «многие другие производства». Сидоров этого не упустил и заметил, что требуется «поправка» — из ма</w:t>
      </w:r>
      <w:r w:rsidRPr="00405303">
        <w:rPr>
          <w:rFonts w:ascii="Times New Roman" w:hAnsi="Times New Roman" w:cs="Times New Roman"/>
          <w:bCs/>
          <w:color w:val="002060"/>
          <w:sz w:val="16"/>
          <w:szCs w:val="16"/>
        </w:rPr>
        <w:softHyphen/>
        <w:t>шиностроения «вычесть продукцию предприятий, изготов</w:t>
      </w:r>
      <w:r w:rsidRPr="00405303">
        <w:rPr>
          <w:rFonts w:ascii="Times New Roman" w:hAnsi="Times New Roman" w:cs="Times New Roman"/>
          <w:bCs/>
          <w:color w:val="002060"/>
          <w:sz w:val="16"/>
          <w:szCs w:val="16"/>
        </w:rPr>
        <w:softHyphen/>
        <w:t>лявших оружие» (Струмилин и сам признавал, что произ</w:t>
      </w:r>
      <w:r w:rsidRPr="00405303">
        <w:rPr>
          <w:rFonts w:ascii="Times New Roman" w:hAnsi="Times New Roman" w:cs="Times New Roman"/>
          <w:bCs/>
          <w:color w:val="002060"/>
          <w:sz w:val="16"/>
          <w:szCs w:val="16"/>
        </w:rPr>
        <w:softHyphen/>
        <w:t>водство предметов военного потребления лишь расточает производительные силы) (</w:t>
      </w:r>
      <w:r w:rsidRPr="00405303">
        <w:rPr>
          <w:rFonts w:ascii="Times New Roman" w:hAnsi="Times New Roman" w:cs="Times New Roman"/>
          <w:bCs/>
          <w:color w:val="002060"/>
          <w:sz w:val="16"/>
          <w:szCs w:val="16"/>
          <w:lang w:val="en-US" w:bidi="en-US"/>
        </w:rPr>
        <w:t>Stone</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N</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The</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Eastern</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Front</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P</w:t>
      </w:r>
      <w:r w:rsidRPr="00405303">
        <w:rPr>
          <w:rFonts w:ascii="Times New Roman" w:hAnsi="Times New Roman" w:cs="Times New Roman"/>
          <w:bCs/>
          <w:color w:val="002060"/>
          <w:sz w:val="16"/>
          <w:szCs w:val="16"/>
          <w:lang w:bidi="en-US"/>
        </w:rPr>
        <w:t xml:space="preserve">. 208—209; </w:t>
      </w:r>
      <w:r w:rsidRPr="00405303">
        <w:rPr>
          <w:rFonts w:ascii="Times New Roman" w:hAnsi="Times New Roman" w:cs="Times New Roman"/>
          <w:bCs/>
          <w:color w:val="002060"/>
          <w:sz w:val="16"/>
          <w:szCs w:val="16"/>
          <w:lang w:val="en-US" w:bidi="en-US"/>
        </w:rPr>
        <w:t>Haumann</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H</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Op</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cit</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lang w:val="en-US" w:bidi="en-US"/>
        </w:rPr>
        <w:t>S</w:t>
      </w:r>
      <w:r w:rsidRPr="00405303">
        <w:rPr>
          <w:rFonts w:ascii="Times New Roman" w:hAnsi="Times New Roman" w:cs="Times New Roman"/>
          <w:bCs/>
          <w:color w:val="002060"/>
          <w:sz w:val="16"/>
          <w:szCs w:val="16"/>
          <w:lang w:bidi="en-US"/>
        </w:rPr>
        <w:t xml:space="preserve">. 84, 236. </w:t>
      </w:r>
      <w:r w:rsidRPr="00405303">
        <w:rPr>
          <w:rFonts w:ascii="Times New Roman" w:hAnsi="Times New Roman" w:cs="Times New Roman"/>
          <w:bCs/>
          <w:color w:val="002060"/>
          <w:sz w:val="16"/>
          <w:szCs w:val="16"/>
        </w:rPr>
        <w:t>Стоун едва ли прав, утверждая, что внутреннее станкостроение ока</w:t>
      </w:r>
      <w:r w:rsidRPr="00405303">
        <w:rPr>
          <w:rFonts w:ascii="Times New Roman" w:hAnsi="Times New Roman" w:cs="Times New Roman"/>
          <w:bCs/>
          <w:color w:val="002060"/>
          <w:sz w:val="16"/>
          <w:szCs w:val="16"/>
        </w:rPr>
        <w:softHyphen/>
        <w:t>залось выгодным из-за «дороговизны английских и американских ма</w:t>
      </w:r>
      <w:r w:rsidRPr="00405303">
        <w:rPr>
          <w:rFonts w:ascii="Times New Roman" w:hAnsi="Times New Roman" w:cs="Times New Roman"/>
          <w:bCs/>
          <w:color w:val="002060"/>
          <w:sz w:val="16"/>
          <w:szCs w:val="16"/>
        </w:rPr>
        <w:softHyphen/>
        <w:t>шин». Известно, что при назначении цен русские заводы, как правило, не отставали от зарубежных; Струмилин С.Г. Очерки советской экономики. Ресурсы и перспек</w:t>
      </w:r>
      <w:r w:rsidRPr="00405303">
        <w:rPr>
          <w:rFonts w:ascii="Times New Roman" w:hAnsi="Times New Roman" w:cs="Times New Roman"/>
          <w:bCs/>
          <w:color w:val="002060"/>
          <w:sz w:val="16"/>
          <w:szCs w:val="16"/>
        </w:rPr>
        <w:softHyphen/>
        <w:t xml:space="preserve">тивы. М.; Л., 1928. С. 6—7, 71; Уткин А.И. Указ. соч. С. 390), и тогда цифры роста продукции собственно машиностроения «значительно сократятся». В составе машиностроения (по данным переписи) выработка военной продукции возросла с 26% в 1913 г. и 38% в 1914 г. до 78% в 1916 г. </w:t>
      </w:r>
      <w:proofErr w:type="gramStart"/>
      <w:r w:rsidRPr="00405303">
        <w:rPr>
          <w:rFonts w:ascii="Times New Roman" w:hAnsi="Times New Roman" w:cs="Times New Roman"/>
          <w:bCs/>
          <w:color w:val="002060"/>
          <w:sz w:val="16"/>
          <w:szCs w:val="16"/>
        </w:rPr>
        <w:t>( Сидоров</w:t>
      </w:r>
      <w:proofErr w:type="gramEnd"/>
      <w:r w:rsidRPr="00405303">
        <w:rPr>
          <w:rFonts w:ascii="Times New Roman" w:hAnsi="Times New Roman" w:cs="Times New Roman"/>
          <w:bCs/>
          <w:color w:val="002060"/>
          <w:sz w:val="16"/>
          <w:szCs w:val="16"/>
        </w:rPr>
        <w:t xml:space="preserve"> А.Л. Экономическое положение России. С. 366), безжалостно ужав значение тех произ</w:t>
      </w:r>
      <w:r w:rsidRPr="00405303">
        <w:rPr>
          <w:rFonts w:ascii="Times New Roman" w:hAnsi="Times New Roman" w:cs="Times New Roman"/>
          <w:bCs/>
          <w:color w:val="002060"/>
          <w:sz w:val="16"/>
          <w:szCs w:val="16"/>
        </w:rPr>
        <w:softHyphen/>
        <w:t>вольных 50%, какие Струмилин отвел в общем объеме ма</w:t>
      </w:r>
      <w:r w:rsidRPr="00405303">
        <w:rPr>
          <w:rFonts w:ascii="Times New Roman" w:hAnsi="Times New Roman" w:cs="Times New Roman"/>
          <w:bCs/>
          <w:color w:val="002060"/>
          <w:sz w:val="16"/>
          <w:szCs w:val="16"/>
        </w:rPr>
        <w:softHyphen/>
        <w:t>шиностроения производству промышленного оборудова</w:t>
      </w:r>
      <w:r w:rsidRPr="00405303">
        <w:rPr>
          <w:rFonts w:ascii="Times New Roman" w:hAnsi="Times New Roman" w:cs="Times New Roman"/>
          <w:bCs/>
          <w:color w:val="002060"/>
          <w:sz w:val="16"/>
          <w:szCs w:val="16"/>
        </w:rPr>
        <w:softHyphen/>
        <w:t>ния.</w:t>
      </w:r>
    </w:p>
    <w:p w14:paraId="70780995" w14:textId="77777777" w:rsidR="00B06DB8" w:rsidRPr="00405303" w:rsidRDefault="00B06DB8" w:rsidP="00C15251">
      <w:pPr>
        <w:jc w:val="both"/>
        <w:rPr>
          <w:bCs/>
          <w:color w:val="002060"/>
          <w:sz w:val="16"/>
          <w:szCs w:val="16"/>
        </w:rPr>
      </w:pPr>
      <w:r w:rsidRPr="00405303">
        <w:rPr>
          <w:bCs/>
          <w:color w:val="002060"/>
          <w:sz w:val="16"/>
          <w:szCs w:val="16"/>
        </w:rPr>
        <w:t>Если Сидоров обязан был так или иначе учитывать по</w:t>
      </w:r>
      <w:r w:rsidRPr="00405303">
        <w:rPr>
          <w:bCs/>
          <w:color w:val="002060"/>
          <w:sz w:val="16"/>
          <w:szCs w:val="16"/>
        </w:rPr>
        <w:softHyphen/>
        <w:t>казатели Струмилина — «урок ГПУ не пропал даром» (Смит М.Н. Статистика как орудие вредительства // Смит М.Н. Те</w:t>
      </w:r>
      <w:r w:rsidRPr="00405303">
        <w:rPr>
          <w:bCs/>
          <w:color w:val="002060"/>
          <w:sz w:val="16"/>
          <w:szCs w:val="16"/>
        </w:rPr>
        <w:softHyphen/>
        <w:t>ория и практика советской статистики. М.; Л., 1931. С. 5), то Стоуна никто не заставлял использовать негодные цифры, однако вся критика струмилинских исчислений, все «по</w:t>
      </w:r>
      <w:r w:rsidRPr="00405303">
        <w:rPr>
          <w:bCs/>
          <w:color w:val="002060"/>
          <w:sz w:val="16"/>
          <w:szCs w:val="16"/>
        </w:rPr>
        <w:softHyphen/>
        <w:t>правки» прошли мимо внимания Стоуна, равно как и за</w:t>
      </w:r>
      <w:r w:rsidRPr="00405303">
        <w:rPr>
          <w:bCs/>
          <w:color w:val="002060"/>
          <w:sz w:val="16"/>
          <w:szCs w:val="16"/>
        </w:rPr>
        <w:softHyphen/>
        <w:t>мечание о том, что Струмилиным «кривая заграничного оборудования несколько преуменьшена» (23452).</w:t>
      </w:r>
    </w:p>
    <w:p w14:paraId="48148F37" w14:textId="77777777" w:rsidR="00B06DB8" w:rsidRPr="00405303" w:rsidRDefault="00B06DB8" w:rsidP="00C15251">
      <w:pPr>
        <w:jc w:val="both"/>
        <w:rPr>
          <w:bCs/>
          <w:color w:val="002060"/>
          <w:sz w:val="16"/>
          <w:szCs w:val="16"/>
        </w:rPr>
      </w:pPr>
    </w:p>
    <w:p w14:paraId="18016319"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08437AF2" w14:textId="77777777" w:rsidR="004B4E35" w:rsidRPr="00405303" w:rsidRDefault="004B4E35" w:rsidP="00C15251">
      <w:pPr>
        <w:jc w:val="both"/>
        <w:rPr>
          <w:bCs/>
          <w:i/>
          <w:color w:val="002060"/>
          <w:sz w:val="16"/>
          <w:szCs w:val="16"/>
        </w:rPr>
      </w:pPr>
    </w:p>
    <w:p w14:paraId="7DCF48A5" w14:textId="77777777" w:rsidR="00DB2A53" w:rsidRPr="00B52707" w:rsidRDefault="00DB2A53" w:rsidP="00DB2A53">
      <w:pPr>
        <w:jc w:val="both"/>
        <w:rPr>
          <w:color w:val="0070C0"/>
          <w:sz w:val="16"/>
          <w:szCs w:val="16"/>
        </w:rPr>
      </w:pPr>
      <w:r w:rsidRPr="00B52707">
        <w:rPr>
          <w:color w:val="0070C0"/>
          <w:sz w:val="16"/>
          <w:szCs w:val="16"/>
        </w:rPr>
        <w:t>2 (15) ноября 1915 г. в результате урагана на базе в Виннице было поломано 11 малых аппаратов, 2 учебных и 2 боевых корабля, а во 2-м боевом отряде на Юго-Западном фронте - 4 корабля (24965).</w:t>
      </w:r>
    </w:p>
    <w:p w14:paraId="1422DF4D" w14:textId="77777777" w:rsidR="00DB2A53" w:rsidRPr="00B52707" w:rsidRDefault="00DB2A53" w:rsidP="00DB2A53">
      <w:pPr>
        <w:jc w:val="both"/>
        <w:rPr>
          <w:color w:val="0070C0"/>
          <w:sz w:val="16"/>
          <w:szCs w:val="16"/>
        </w:rPr>
      </w:pPr>
      <w:r w:rsidRPr="00B52707">
        <w:rPr>
          <w:color w:val="0070C0"/>
          <w:sz w:val="16"/>
          <w:szCs w:val="16"/>
        </w:rPr>
        <w:t>В этих условиях эвакуировать ЭВК в глубь России стало невозможно. При подходе немцев и реальной угрозе захвата «муромцев» большая часть кораблей была сожжена.</w:t>
      </w:r>
    </w:p>
    <w:p w14:paraId="18DD3C1B" w14:textId="77777777" w:rsidR="00DB2A53" w:rsidRPr="00B52707" w:rsidRDefault="00DB2A53" w:rsidP="00DB2A53">
      <w:pPr>
        <w:jc w:val="both"/>
        <w:rPr>
          <w:color w:val="0070C0"/>
          <w:sz w:val="16"/>
          <w:szCs w:val="16"/>
        </w:rPr>
      </w:pPr>
    </w:p>
    <w:p w14:paraId="1FD0469F" w14:textId="77777777" w:rsidR="004B4E35" w:rsidRPr="00405303" w:rsidRDefault="009E6F82" w:rsidP="00C15251">
      <w:pPr>
        <w:jc w:val="both"/>
        <w:rPr>
          <w:bCs/>
          <w:color w:val="002060"/>
          <w:sz w:val="16"/>
          <w:szCs w:val="16"/>
        </w:rPr>
      </w:pPr>
      <w:r w:rsidRPr="00405303">
        <w:rPr>
          <w:bCs/>
          <w:color w:val="002060"/>
          <w:sz w:val="16"/>
          <w:szCs w:val="16"/>
        </w:rPr>
        <w:t xml:space="preserve">После выведения из строя самолета Башко, который нуждался в капитальном ремонте, вся тяжесть боевой работы отряда легла на корабль Озерского. Ему приходилось ежедневно вылетать. "Муромец" так хорошо выполнял боевые задания, что начальник Штаба 3-й армии генерал-майор Романовский как-то сказал, что </w:t>
      </w:r>
      <w:r w:rsidRPr="00405303">
        <w:rPr>
          <w:bCs/>
          <w:color w:val="002060"/>
          <w:sz w:val="16"/>
          <w:szCs w:val="16"/>
        </w:rPr>
        <w:lastRenderedPageBreak/>
        <w:t>он готов обменять всю легкую авиацию, имеющуюся в его распоряжении, всего на три "Муромца". И действительно, кроме эффективного боевого применения появление "Муромцев" оказывало на солдат в окопах громадное психологическое воздействие. Русские солдаты с восторгом наблюдали, как "Муромцы" неспешно и уверенно уходили в тыл противника. Их не смущал зенитный огонь, они не шарахались от него в стороны, как легкие самолеты, а неприятельские аэропланы вообще боялись подходить к воздушному кораблю. Эта богатырская уверенность в своих силах передавалась и солдатам. В серединесентября 1915 г. Озерский перебазировался в район Слуцка. 2 (15) ноября 1915 после выполнения боевого задания на снижении при входе в зону своего аэродрома самолет вдруг перешел в плоский штопор и врезался в землю. Кроме второго пилота Спасова, весь экипаж погиб. Хотя работала представительная комиссия под председательством Горшкова, причин катастрофы выяснить не удалось. Спасов при ударе потерял память и даже после лечения вспомнить ничего не смог. Потерей второго корабля завершилась история первого боевого отряда (11230).</w:t>
      </w:r>
    </w:p>
    <w:p w14:paraId="1431F7CA" w14:textId="77777777" w:rsidR="004B4E35" w:rsidRPr="00405303" w:rsidRDefault="004B4E35" w:rsidP="00C15251">
      <w:pPr>
        <w:jc w:val="both"/>
        <w:rPr>
          <w:bCs/>
          <w:color w:val="002060"/>
          <w:sz w:val="16"/>
          <w:szCs w:val="16"/>
        </w:rPr>
      </w:pPr>
    </w:p>
    <w:p w14:paraId="5BFBB26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Оставшийся в июле-августе единственный боеспособный на фронте 111-й корабль тогоже полка и "Киевский" поначалу брал 2 пулемета, затем только Мадсен с 75 патронами. После случая нападения на корабль своего товарища на борту 111-го корабля взяли за правило брать с собой 3 пулемета: «Мадсен», «Максим» и «Льюис» со 150, 500 и 280 патронами соответственно. Этот корабль совершил с мая по октябрь 1915 г. более 30 полетов, часто проникая на п-рриторию врага на глубину до 190 верст. 2 (15) ноября 1915 г. был потерян один из лучших кораблей Эскадры. Штабс-капитан Озерский, желая увеличить скорость "Муромца", приказал снять добавочные рули, чем уменьшил устойчивость аппарата. Это и стало причиной гибели экипажа. "Муромцы" этого отряда совершили до 1915 г. на Северном фронте 25 боевых вылетов. Зa весь 1915 год воздушные корабли выполнили около 100 боевых полетов, сбросив на противника до 1220 пудов бомб (11277).</w:t>
      </w:r>
    </w:p>
    <w:p w14:paraId="61F9330D" w14:textId="77777777" w:rsidR="004B4E35" w:rsidRPr="00405303" w:rsidRDefault="004B4E35" w:rsidP="00C15251">
      <w:pPr>
        <w:pStyle w:val="a3"/>
        <w:jc w:val="both"/>
        <w:rPr>
          <w:bCs/>
          <w:i w:val="0"/>
          <w:color w:val="002060"/>
          <w:spacing w:val="0"/>
          <w:kern w:val="0"/>
          <w:position w:val="0"/>
          <w:sz w:val="16"/>
          <w:szCs w:val="16"/>
        </w:rPr>
      </w:pPr>
    </w:p>
    <w:p w14:paraId="302854B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 (15) ноября 1915 в районе Барановичей погиб по невыясненной причине воздушный корабль "Илья Муромец", управляемый штабс-капитаном Дмитрием Алексеевичем Оверским. Во время сбрасывания бомб на станцию Барановичи корабль был обстрелян и, по-видимому, серьезно повреаден, так как скользнул на крыло и перешел в штопор. Кроме Озерского, погибли подполковник А.И.Зверинцев (член Государственной Думы) и моторист старший унтер-офицер Фогт. Второй пилот поручик Михаил Порфирьевич Спасов чудом остался жив, хотя и получил тяжелые ранения. Эта первая боевая потеря "Ильи Муромца" не ослабила энергии энтузиастов тяжелой авиации (К.Н.Финне. Русские воздушные богатыри И.И.Сикорского, 1930, стр.85).</w:t>
      </w:r>
    </w:p>
    <w:p w14:paraId="1645AB0C" w14:textId="77777777" w:rsidR="004B4E35" w:rsidRPr="00405303" w:rsidRDefault="004B4E35" w:rsidP="00C15251">
      <w:pPr>
        <w:shd w:val="clear" w:color="auto" w:fill="FFFFFF"/>
        <w:jc w:val="both"/>
        <w:rPr>
          <w:bCs/>
          <w:color w:val="002060"/>
          <w:sz w:val="16"/>
          <w:szCs w:val="16"/>
        </w:rPr>
      </w:pPr>
    </w:p>
    <w:p w14:paraId="69F85928" w14:textId="77777777" w:rsidR="008B3FC8" w:rsidRPr="00405303" w:rsidRDefault="008B3FC8" w:rsidP="00C15251">
      <w:pPr>
        <w:jc w:val="both"/>
        <w:rPr>
          <w:bCs/>
          <w:color w:val="002060"/>
          <w:sz w:val="16"/>
          <w:szCs w:val="16"/>
        </w:rPr>
      </w:pPr>
      <w:r w:rsidRPr="00405303">
        <w:rPr>
          <w:bCs/>
          <w:color w:val="002060"/>
          <w:sz w:val="16"/>
          <w:szCs w:val="16"/>
        </w:rPr>
        <w:t xml:space="preserve">2 (15) ноября 1915 г. в районе Варановичей погиб от невыясненной причины воздушный корабль "Илья Муромец", управляемый шт.-капитаном Дмитрием Алексеевшчем Озерским. Во время сбрасывания бомб на ст. Барановичи корабль был обстрелян и, </w:t>
      </w:r>
      <w:proofErr w:type="gramStart"/>
      <w:r w:rsidRPr="00405303">
        <w:rPr>
          <w:bCs/>
          <w:color w:val="002060"/>
          <w:sz w:val="16"/>
          <w:szCs w:val="16"/>
        </w:rPr>
        <w:t>по видимому</w:t>
      </w:r>
      <w:proofErr w:type="gramEnd"/>
      <w:r w:rsidRPr="00405303">
        <w:rPr>
          <w:bCs/>
          <w:color w:val="002060"/>
          <w:sz w:val="16"/>
          <w:szCs w:val="16"/>
        </w:rPr>
        <w:t>, серьезно поврежден, так как скользнул на крыло и перешел в штопор. Кроме Озерского, погибли подполковник А.И.Звягинцев /член государственной Думы/, и моторист ст. унтер-офицер Фогт. Второй пилот поручик Михаил Порфирьевич Спасов, чудом остался жив, хотя и с тяжелыми ранениями. Эта первая потеря "Ильи Муромца" произвела тяжелое впечатление в эскадре воздушных кораблей, но не ослабила энергии энтузиастов тяжелой авиации.</w:t>
      </w:r>
    </w:p>
    <w:p w14:paraId="77813DED" w14:textId="77777777" w:rsidR="008B3FC8" w:rsidRPr="00405303" w:rsidRDefault="008B3FC8" w:rsidP="00C15251">
      <w:pPr>
        <w:jc w:val="both"/>
        <w:rPr>
          <w:bCs/>
          <w:color w:val="002060"/>
          <w:sz w:val="16"/>
          <w:szCs w:val="16"/>
        </w:rPr>
      </w:pPr>
      <w:r w:rsidRPr="00405303">
        <w:rPr>
          <w:bCs/>
          <w:color w:val="002060"/>
          <w:sz w:val="16"/>
          <w:szCs w:val="16"/>
        </w:rPr>
        <w:t>/К.Н.Финне. Русские воздушные богатыри И.И. Сикорского, 1930, стр. 85/ (23320).</w:t>
      </w:r>
    </w:p>
    <w:p w14:paraId="3431AA9B" w14:textId="77777777" w:rsidR="008B3FC8" w:rsidRPr="00405303" w:rsidRDefault="008B3FC8" w:rsidP="00C15251">
      <w:pPr>
        <w:jc w:val="both"/>
        <w:rPr>
          <w:bCs/>
          <w:color w:val="002060"/>
          <w:sz w:val="16"/>
          <w:szCs w:val="16"/>
        </w:rPr>
      </w:pPr>
    </w:p>
    <w:p w14:paraId="09BFAD4D" w14:textId="6C204561" w:rsidR="004B4E35" w:rsidRPr="00405303" w:rsidRDefault="009E6F82" w:rsidP="00C15251">
      <w:pPr>
        <w:jc w:val="both"/>
        <w:rPr>
          <w:bCs/>
          <w:color w:val="002060"/>
          <w:sz w:val="16"/>
          <w:szCs w:val="16"/>
        </w:rPr>
      </w:pPr>
      <w:r w:rsidRPr="00405303">
        <w:rPr>
          <w:bCs/>
          <w:color w:val="002060"/>
          <w:sz w:val="16"/>
          <w:szCs w:val="16"/>
        </w:rPr>
        <w:t xml:space="preserve">2 </w:t>
      </w:r>
      <w:r w:rsidR="008B3FC8" w:rsidRPr="00405303">
        <w:rPr>
          <w:bCs/>
          <w:color w:val="002060"/>
          <w:sz w:val="16"/>
          <w:szCs w:val="16"/>
        </w:rPr>
        <w:t xml:space="preserve">(15) </w:t>
      </w:r>
      <w:r w:rsidRPr="00405303">
        <w:rPr>
          <w:bCs/>
          <w:color w:val="002060"/>
          <w:sz w:val="16"/>
          <w:szCs w:val="16"/>
        </w:rPr>
        <w:t>ноября 1915 г. был потерян один из лучших кораблей Эскадры. Штабс-капитан Озерский, желая увеличить скорость "Муромца", приказал снять добавочные рули, чем уменьшил устойчивость аппарата. Это и стало причиной гибели экипажа. В своем последнем вылете во время бомбометания III-й корабль попал под силь</w:t>
      </w:r>
      <w:proofErr w:type="gramStart"/>
      <w:r w:rsidRPr="00405303">
        <w:rPr>
          <w:bCs/>
          <w:color w:val="002060"/>
          <w:sz w:val="16"/>
          <w:szCs w:val="16"/>
        </w:rPr>
        <w:t>- .</w:t>
      </w:r>
      <w:proofErr w:type="gramEnd"/>
      <w:r w:rsidRPr="00405303">
        <w:rPr>
          <w:bCs/>
          <w:color w:val="002060"/>
          <w:sz w:val="16"/>
          <w:szCs w:val="16"/>
        </w:rPr>
        <w:t xml:space="preserve"> ный огонь многочисленных противоаэропланных батарей. Осколками снарядов были повреждены тросы, ведшие к элеронам (крылышки для устойчивости при поворотах). Заметив плохое действие левого элерона, штабс-капитан Озерский стал поворачивать назад, действуя лишь рулем направления. Снижаясь с высоты 2800 м, аппарат внезапно наклонился на левую сторону и скользнул на крыло. Выравнить аппарат не удалось, он перешел на нос, затем в пологий штопор и упал на нашей территории, причем были убиты штабс-капитан Озерский, подполковник Звегинцев и унтер-офицер Фогт. Поручик Спасов уцелел каким-то чудом, хотя и получил очень тяжелые переломы и повреждения.</w:t>
      </w:r>
    </w:p>
    <w:p w14:paraId="19681075" w14:textId="77777777" w:rsidR="004B4E35" w:rsidRPr="00405303" w:rsidRDefault="009E6F82" w:rsidP="00C15251">
      <w:pPr>
        <w:jc w:val="both"/>
        <w:rPr>
          <w:bCs/>
          <w:color w:val="002060"/>
          <w:sz w:val="16"/>
          <w:szCs w:val="16"/>
        </w:rPr>
      </w:pPr>
      <w:r w:rsidRPr="00405303">
        <w:rPr>
          <w:bCs/>
          <w:color w:val="002060"/>
          <w:sz w:val="16"/>
          <w:szCs w:val="16"/>
        </w:rPr>
        <w:t>Тем временем ЭВК в июле 1915 г. перебазировалась из дер.Старая Яблонна в Лиду, а затем в Псков. В сентябре из Пскова был выделен боевой отряд на Северный фронт в распоряжение 12-й армии. Корабли (1-й лейтенант Лаврова, П-й штабс-капитана Панкратьева, V-й поручика Алехновича, IX-й штабс-капитана Нижевского и "Киевский" штабс-капитана Башко) перелетели на аэродром у станции Зегевольд под Ригой. Панкратьев получил новый корабль типа В №167 с моторами РБ3.6 (аналог "Аргуса"), который по своим характеристикам был прекрасной машиной наряду с "Киевским". "Муромцы" этого отряда совершили до конца 1915 г. на Северном фронте 25 боевых вылетов.</w:t>
      </w:r>
    </w:p>
    <w:p w14:paraId="484C15CC" w14:textId="77777777" w:rsidR="004B4E35" w:rsidRPr="00405303" w:rsidRDefault="009E6F82" w:rsidP="00C15251">
      <w:pPr>
        <w:jc w:val="both"/>
        <w:rPr>
          <w:bCs/>
          <w:color w:val="002060"/>
          <w:sz w:val="16"/>
          <w:szCs w:val="16"/>
        </w:rPr>
      </w:pPr>
      <w:r w:rsidRPr="00405303">
        <w:rPr>
          <w:bCs/>
          <w:color w:val="002060"/>
          <w:sz w:val="16"/>
          <w:szCs w:val="16"/>
        </w:rPr>
        <w:t>За весь 1915 год воздушные корабли выполнили около 100 боевых полетов, сбросив на противника до 1220 пудов бомб (12038).</w:t>
      </w:r>
    </w:p>
    <w:p w14:paraId="29ECFCEA" w14:textId="77777777" w:rsidR="004B4E35" w:rsidRPr="00405303" w:rsidRDefault="004B4E35" w:rsidP="00C15251">
      <w:pPr>
        <w:jc w:val="both"/>
        <w:rPr>
          <w:bCs/>
          <w:color w:val="002060"/>
          <w:sz w:val="16"/>
          <w:szCs w:val="16"/>
        </w:rPr>
      </w:pPr>
    </w:p>
    <w:p w14:paraId="3A880CB9" w14:textId="77777777" w:rsidR="004351B4" w:rsidRPr="00405303" w:rsidRDefault="004351B4" w:rsidP="00C15251">
      <w:pPr>
        <w:jc w:val="both"/>
        <w:rPr>
          <w:bCs/>
          <w:color w:val="002060"/>
          <w:sz w:val="16"/>
          <w:szCs w:val="16"/>
        </w:rPr>
      </w:pPr>
      <w:bookmarkStart w:id="305" w:name="_Hlk117839647"/>
      <w:r w:rsidRPr="00405303">
        <w:rPr>
          <w:bCs/>
          <w:color w:val="002060"/>
          <w:sz w:val="16"/>
          <w:szCs w:val="16"/>
        </w:rPr>
        <w:t>2 (15) ноября 1915 г. корабль «Илья Муромец» В-10 (ИМ В-10 № 151 «остроносый», борт № III) экз. № 10, стратегический разведчик, тяжелый бомбардировщик был послан на бомбардировку противника. В полете корабль попал под обстрел с земли – осколками снаряда были перебиты тросы управления левого элерона. Командир корабля Озерский в снижении с высоты 2800 м попытался развернуться одним лишь рулем направления, но при этом возник крен на левое крыло, перешедший в скольжение, которое выровнять не удалось (возможно, если бы дополнительные рули не были бы сняты, его удалось бы избежать, но не факт – элероны не действовали). В упавшем самолете погибли штабс-капитан Озерский, подполковник Звегинцев и унтер-офицер Фогт, поручик Спасов выжил, но был тяжело ранен.</w:t>
      </w:r>
    </w:p>
    <w:p w14:paraId="105CEE00" w14:textId="77777777" w:rsidR="004351B4" w:rsidRPr="00405303" w:rsidRDefault="004351B4" w:rsidP="00C15251">
      <w:pPr>
        <w:jc w:val="both"/>
        <w:rPr>
          <w:bCs/>
          <w:color w:val="002060"/>
          <w:sz w:val="16"/>
          <w:szCs w:val="16"/>
        </w:rPr>
      </w:pPr>
      <w:r w:rsidRPr="00405303">
        <w:rPr>
          <w:bCs/>
          <w:color w:val="002060"/>
          <w:sz w:val="16"/>
          <w:szCs w:val="16"/>
        </w:rPr>
        <w:t>Самолет выполнил 35 боевых вылетов и сбросил свыше 7520 кг (470 пудов) бомб – это был самый результативный корабль «Илья Муромец» (23563).</w:t>
      </w:r>
    </w:p>
    <w:p w14:paraId="582332D7" w14:textId="77777777" w:rsidR="004351B4" w:rsidRPr="00405303" w:rsidRDefault="004351B4" w:rsidP="00C15251">
      <w:pPr>
        <w:jc w:val="both"/>
        <w:rPr>
          <w:bCs/>
          <w:color w:val="002060"/>
          <w:sz w:val="16"/>
          <w:szCs w:val="16"/>
          <w:lang w:bidi="en-US"/>
        </w:rPr>
      </w:pPr>
    </w:p>
    <w:p w14:paraId="59624ED3" w14:textId="77777777" w:rsidR="004351B4" w:rsidRPr="00405303" w:rsidRDefault="004351B4" w:rsidP="00C15251">
      <w:pPr>
        <w:jc w:val="both"/>
        <w:rPr>
          <w:bCs/>
          <w:color w:val="002060"/>
          <w:sz w:val="16"/>
          <w:szCs w:val="16"/>
        </w:rPr>
      </w:pPr>
      <w:r w:rsidRPr="00405303">
        <w:rPr>
          <w:bCs/>
          <w:color w:val="002060"/>
          <w:sz w:val="16"/>
          <w:szCs w:val="16"/>
        </w:rPr>
        <w:t>2 (15) ноября 1915 г. корабль «Илья Муромец» В-19 (ИМ В-19 № 165, борт № I, далее – № V) экз. № 19, стратегический разведчик, тяжелый бомбардировщик выполнил последний боевой вылет.</w:t>
      </w:r>
    </w:p>
    <w:p w14:paraId="2B76E3FF" w14:textId="77777777" w:rsidR="004351B4" w:rsidRPr="00405303" w:rsidRDefault="004351B4" w:rsidP="00C15251">
      <w:pPr>
        <w:jc w:val="both"/>
        <w:rPr>
          <w:bCs/>
          <w:color w:val="002060"/>
          <w:sz w:val="16"/>
          <w:szCs w:val="16"/>
        </w:rPr>
      </w:pPr>
      <w:r w:rsidRPr="00405303">
        <w:rPr>
          <w:bCs/>
          <w:color w:val="002060"/>
          <w:sz w:val="16"/>
          <w:szCs w:val="16"/>
        </w:rPr>
        <w:t>Всего самолет сделал 12 боевых вылетов и сбросил свыше 1664 кг (104 пудов) бомб.</w:t>
      </w:r>
    </w:p>
    <w:p w14:paraId="0B158455" w14:textId="77777777" w:rsidR="004351B4" w:rsidRPr="00405303" w:rsidRDefault="004351B4" w:rsidP="00C15251">
      <w:pPr>
        <w:jc w:val="both"/>
        <w:rPr>
          <w:bCs/>
          <w:color w:val="002060"/>
          <w:sz w:val="16"/>
          <w:szCs w:val="16"/>
        </w:rPr>
      </w:pPr>
      <w:r w:rsidRPr="00405303">
        <w:rPr>
          <w:bCs/>
          <w:color w:val="002060"/>
          <w:sz w:val="16"/>
          <w:szCs w:val="16"/>
        </w:rPr>
        <w:t>Поврежден ураганом 03.01.16 г. (12.02.16 г. по н.ст.) и списан (23563).</w:t>
      </w:r>
    </w:p>
    <w:p w14:paraId="53826A6C" w14:textId="77777777" w:rsidR="004351B4" w:rsidRPr="00405303" w:rsidRDefault="004351B4" w:rsidP="00C15251">
      <w:pPr>
        <w:jc w:val="both"/>
        <w:rPr>
          <w:bCs/>
          <w:color w:val="002060"/>
          <w:sz w:val="16"/>
          <w:szCs w:val="16"/>
          <w:lang w:bidi="en-US"/>
        </w:rPr>
      </w:pPr>
    </w:p>
    <w:p w14:paraId="286A48F5" w14:textId="571D8491" w:rsidR="004B4E35" w:rsidRPr="00405303" w:rsidRDefault="009E6F82" w:rsidP="00C15251">
      <w:pPr>
        <w:jc w:val="both"/>
        <w:rPr>
          <w:bCs/>
          <w:color w:val="002060"/>
          <w:sz w:val="16"/>
          <w:szCs w:val="16"/>
        </w:rPr>
      </w:pPr>
      <w:r w:rsidRPr="00405303">
        <w:rPr>
          <w:bCs/>
          <w:color w:val="002060"/>
          <w:sz w:val="16"/>
          <w:szCs w:val="16"/>
        </w:rPr>
        <w:t xml:space="preserve">2 и 3 (15 и 16) ноября 1915 </w:t>
      </w:r>
      <w:r w:rsidR="008B3FC8" w:rsidRPr="00405303">
        <w:rPr>
          <w:bCs/>
          <w:color w:val="002060"/>
          <w:sz w:val="16"/>
          <w:szCs w:val="16"/>
        </w:rPr>
        <w:t xml:space="preserve">LZ-85, базировавшийся в Алленштейне, совершил </w:t>
      </w:r>
      <w:r w:rsidRPr="00405303">
        <w:rPr>
          <w:bCs/>
          <w:color w:val="002060"/>
          <w:sz w:val="16"/>
          <w:szCs w:val="16"/>
        </w:rPr>
        <w:t>налеты на Двинск и сбросил 3600 кг бомб. В феврале 1916 года им была произведена бомбардировка Ковно, куда он вскоре и перебрался после взятия этого города немецкими войсками. Из Ковно LZ-86 бомбил Минск, Речицу, Двинск и железную дорогу Минск — Молодечно. За первые 5 полетов этого года он сбросил на русские города 9600 кг бомб (11324).</w:t>
      </w:r>
    </w:p>
    <w:p w14:paraId="107D9D46" w14:textId="25B17601" w:rsidR="004B4E35" w:rsidRPr="00405303" w:rsidRDefault="004B4E35" w:rsidP="00C15251">
      <w:pPr>
        <w:jc w:val="both"/>
        <w:rPr>
          <w:bCs/>
          <w:i/>
          <w:color w:val="002060"/>
          <w:sz w:val="16"/>
          <w:szCs w:val="16"/>
        </w:rPr>
      </w:pPr>
    </w:p>
    <w:p w14:paraId="2408D6C9" w14:textId="49C7BFA1" w:rsidR="008B3FC8" w:rsidRPr="00405303" w:rsidRDefault="008B3FC8" w:rsidP="00C15251">
      <w:pPr>
        <w:jc w:val="both"/>
        <w:rPr>
          <w:bCs/>
          <w:i/>
          <w:color w:val="002060"/>
          <w:sz w:val="16"/>
          <w:szCs w:val="16"/>
        </w:rPr>
      </w:pPr>
      <w:r w:rsidRPr="00405303">
        <w:rPr>
          <w:bCs/>
          <w:i/>
          <w:color w:val="002060"/>
          <w:sz w:val="16"/>
          <w:szCs w:val="16"/>
        </w:rPr>
        <w:t>Армия:</w:t>
      </w:r>
    </w:p>
    <w:p w14:paraId="4D45709F" w14:textId="77777777" w:rsidR="008B3FC8" w:rsidRPr="00405303" w:rsidRDefault="008B3FC8" w:rsidP="00C15251">
      <w:pPr>
        <w:jc w:val="both"/>
        <w:rPr>
          <w:bCs/>
          <w:i/>
          <w:color w:val="002060"/>
          <w:sz w:val="16"/>
          <w:szCs w:val="16"/>
        </w:rPr>
      </w:pPr>
    </w:p>
    <w:p w14:paraId="072C879A" w14:textId="0FB46A00" w:rsidR="004B4E35" w:rsidRPr="00405303" w:rsidRDefault="009E6F82" w:rsidP="00C15251">
      <w:pPr>
        <w:jc w:val="both"/>
        <w:rPr>
          <w:bCs/>
          <w:color w:val="002060"/>
          <w:sz w:val="16"/>
          <w:szCs w:val="16"/>
        </w:rPr>
      </w:pPr>
      <w:bookmarkStart w:id="306" w:name="_Hlk117839769"/>
      <w:bookmarkEnd w:id="305"/>
      <w:r w:rsidRPr="00405303">
        <w:rPr>
          <w:bCs/>
          <w:color w:val="002060"/>
          <w:sz w:val="16"/>
          <w:szCs w:val="16"/>
        </w:rPr>
        <w:t xml:space="preserve">Со 2 по 4 </w:t>
      </w:r>
      <w:r w:rsidR="008B3FC8" w:rsidRPr="00405303">
        <w:rPr>
          <w:bCs/>
          <w:color w:val="002060"/>
          <w:sz w:val="16"/>
          <w:szCs w:val="16"/>
        </w:rPr>
        <w:t xml:space="preserve">(15-15) </w:t>
      </w:r>
      <w:r w:rsidRPr="00405303">
        <w:rPr>
          <w:bCs/>
          <w:color w:val="002060"/>
          <w:sz w:val="16"/>
          <w:szCs w:val="16"/>
        </w:rPr>
        <w:t xml:space="preserve">и с 6 по 8 </w:t>
      </w:r>
      <w:r w:rsidR="008B3FC8" w:rsidRPr="00405303">
        <w:rPr>
          <w:bCs/>
          <w:color w:val="002060"/>
          <w:sz w:val="16"/>
          <w:szCs w:val="16"/>
        </w:rPr>
        <w:t xml:space="preserve">(19-21) </w:t>
      </w:r>
      <w:r w:rsidRPr="00405303">
        <w:rPr>
          <w:bCs/>
          <w:color w:val="002060"/>
          <w:sz w:val="16"/>
          <w:szCs w:val="16"/>
        </w:rPr>
        <w:t xml:space="preserve">ноября 1915 года </w:t>
      </w:r>
      <w:r w:rsidR="008B3FC8" w:rsidRPr="00405303">
        <w:rPr>
          <w:bCs/>
          <w:color w:val="002060"/>
          <w:sz w:val="16"/>
          <w:szCs w:val="16"/>
        </w:rPr>
        <w:t xml:space="preserve">«Императрица Мария» </w:t>
      </w:r>
      <w:r w:rsidRPr="00405303">
        <w:rPr>
          <w:bCs/>
          <w:color w:val="002060"/>
          <w:sz w:val="16"/>
          <w:szCs w:val="16"/>
        </w:rPr>
        <w:t xml:space="preserve">содействовал 2-й бригаде во время обстрела Варны и Евсинограда. С 5 февраля по 18 апреля 1916 года участвовал в Трапезундской наступательной операции. В течение июня — октября 1916 года «Императрица Мария» совершила 24 эффективных боевых похода. В частности, 22 мая 1916 года она осуществила перехват немецкого крейсера «Бреслау». Если бы немецкий крейсер не спрятался за плотной стеной дождя </w:t>
      </w:r>
      <w:bookmarkEnd w:id="306"/>
      <w:r w:rsidRPr="00405303">
        <w:rPr>
          <w:bCs/>
          <w:color w:val="002060"/>
          <w:sz w:val="16"/>
          <w:szCs w:val="16"/>
        </w:rPr>
        <w:t>в проливе Босфор, то 305-мм снаряды русского линкора наверняка «почесали» бы его броневую спину (11646).</w:t>
      </w:r>
    </w:p>
    <w:p w14:paraId="525ADFE8" w14:textId="77777777" w:rsidR="004B4E35" w:rsidRPr="00405303" w:rsidRDefault="004B4E35" w:rsidP="00C15251">
      <w:pPr>
        <w:pStyle w:val="a3"/>
        <w:jc w:val="both"/>
        <w:rPr>
          <w:bCs/>
          <w:i w:val="0"/>
          <w:color w:val="002060"/>
          <w:spacing w:val="0"/>
          <w:kern w:val="0"/>
          <w:position w:val="0"/>
          <w:sz w:val="16"/>
          <w:szCs w:val="16"/>
        </w:rPr>
      </w:pPr>
    </w:p>
    <w:p w14:paraId="469920F5" w14:textId="63A40F49" w:rsidR="00BC7007" w:rsidRPr="00405303" w:rsidRDefault="00BC7007" w:rsidP="00C15251">
      <w:pPr>
        <w:shd w:val="clear" w:color="auto" w:fill="FFFFFF"/>
        <w:jc w:val="both"/>
        <w:rPr>
          <w:bCs/>
          <w:i/>
          <w:color w:val="002060"/>
          <w:sz w:val="16"/>
          <w:szCs w:val="16"/>
        </w:rPr>
      </w:pPr>
      <w:r w:rsidRPr="00405303">
        <w:rPr>
          <w:bCs/>
          <w:i/>
          <w:color w:val="002060"/>
          <w:sz w:val="16"/>
          <w:szCs w:val="16"/>
        </w:rPr>
        <w:t>Самолетостроение:</w:t>
      </w:r>
    </w:p>
    <w:p w14:paraId="350C21C0" w14:textId="77777777" w:rsidR="00BC7007" w:rsidRPr="00405303" w:rsidRDefault="00BC7007" w:rsidP="00C15251">
      <w:pPr>
        <w:shd w:val="clear" w:color="auto" w:fill="FFFFFF"/>
        <w:jc w:val="both"/>
        <w:rPr>
          <w:bCs/>
          <w:i/>
          <w:color w:val="002060"/>
          <w:sz w:val="16"/>
          <w:szCs w:val="16"/>
        </w:rPr>
      </w:pPr>
    </w:p>
    <w:p w14:paraId="2D7792DA" w14:textId="77777777" w:rsidR="00BC7007" w:rsidRPr="00405303" w:rsidRDefault="00BC7007" w:rsidP="00C15251">
      <w:pPr>
        <w:jc w:val="both"/>
        <w:rPr>
          <w:bCs/>
          <w:color w:val="002060"/>
          <w:sz w:val="16"/>
          <w:szCs w:val="16"/>
          <w:lang w:bidi="en-US"/>
        </w:rPr>
      </w:pPr>
      <w:r w:rsidRPr="00405303">
        <w:rPr>
          <w:bCs/>
          <w:color w:val="002060"/>
          <w:sz w:val="16"/>
          <w:szCs w:val="16"/>
          <w:lang w:bidi="en-US"/>
        </w:rPr>
        <w:t xml:space="preserve">3 (16) ноября 1915 г. военный министр доложил царю о предложениях об авиационной комиссии. Государь повелел передать все обязанности по контролю и руководству по всем предложенным пунктам начальнику авиации и воздухоплавания в действующей армии великому князю Александру Михайловичу. В конечном </w:t>
      </w:r>
      <w:r w:rsidRPr="00405303">
        <w:rPr>
          <w:bCs/>
          <w:color w:val="002060"/>
          <w:sz w:val="16"/>
          <w:szCs w:val="16"/>
          <w:lang w:bidi="en-US"/>
        </w:rPr>
        <w:lastRenderedPageBreak/>
        <w:t>итоге он будет нести ответственность за инструктаж заводов по строительству и испытаниям самолетов и правильной деятельности авиационных заводов, а также контролировать процесс обучения пилотов. Однако великий князь и его помощники не были полностью осведомлены о таких делах (23525).</w:t>
      </w:r>
    </w:p>
    <w:p w14:paraId="5F496F57" w14:textId="77777777" w:rsidR="00BC7007" w:rsidRPr="00405303" w:rsidRDefault="00BC7007" w:rsidP="00C15251">
      <w:pPr>
        <w:jc w:val="both"/>
        <w:rPr>
          <w:bCs/>
          <w:color w:val="002060"/>
          <w:sz w:val="16"/>
          <w:szCs w:val="16"/>
        </w:rPr>
      </w:pPr>
    </w:p>
    <w:p w14:paraId="034CB3A2" w14:textId="7B924273"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3093F3FE" w14:textId="77777777" w:rsidR="004B4E35" w:rsidRPr="00405303" w:rsidRDefault="004B4E35" w:rsidP="00C15251">
      <w:pPr>
        <w:shd w:val="clear" w:color="auto" w:fill="FFFFFF"/>
        <w:jc w:val="both"/>
        <w:rPr>
          <w:bCs/>
          <w:i/>
          <w:color w:val="002060"/>
          <w:sz w:val="16"/>
          <w:szCs w:val="16"/>
        </w:rPr>
      </w:pPr>
    </w:p>
    <w:p w14:paraId="37041C36" w14:textId="5A047DDC" w:rsidR="009A4184" w:rsidRPr="00405303" w:rsidRDefault="009A4184" w:rsidP="00C15251">
      <w:pPr>
        <w:jc w:val="both"/>
        <w:rPr>
          <w:bCs/>
          <w:color w:val="002060"/>
          <w:sz w:val="16"/>
          <w:szCs w:val="16"/>
        </w:rPr>
      </w:pPr>
      <w:r w:rsidRPr="00405303">
        <w:rPr>
          <w:bCs/>
          <w:color w:val="002060"/>
          <w:sz w:val="16"/>
          <w:szCs w:val="16"/>
        </w:rPr>
        <w:t xml:space="preserve">3 </w:t>
      </w:r>
      <w:r w:rsidR="00AB5579" w:rsidRPr="00405303">
        <w:rPr>
          <w:bCs/>
          <w:color w:val="002060"/>
          <w:sz w:val="16"/>
          <w:szCs w:val="16"/>
        </w:rPr>
        <w:t xml:space="preserve">(16) </w:t>
      </w:r>
      <w:r w:rsidRPr="00405303">
        <w:rPr>
          <w:bCs/>
          <w:color w:val="002060"/>
          <w:sz w:val="16"/>
          <w:szCs w:val="16"/>
        </w:rPr>
        <w:t>ноября 1915 г. Совет министров обсудил вопрос цен в связи с ассигнованием 300 тыс. руб. на организационные расходы Центрального военно-промышленного комитета. В деятельности военно-промышленных комитетов была отмечена "чрезмерная преувеличенность цен по передаваемым частной промышленности заказам". В журнале заседания Совета министров это подтверждалось сопоставлением тех цен, которые назначали частные заводы, и тех, по которым работали казенные заводы горного ведомства:</w:t>
      </w:r>
      <w:r w:rsidR="00DB4D64" w:rsidRPr="00405303">
        <w:rPr>
          <w:bCs/>
          <w:color w:val="002060"/>
          <w:sz w:val="16"/>
          <w:szCs w:val="16"/>
        </w:rPr>
        <w:t xml:space="preserve"> </w:t>
      </w:r>
      <w:r w:rsidRPr="00405303">
        <w:rPr>
          <w:bCs/>
          <w:iCs/>
          <w:color w:val="002060"/>
          <w:sz w:val="16"/>
          <w:szCs w:val="16"/>
        </w:rPr>
        <w:t xml:space="preserve">"Так, цена на 3-дюймовые шрапнели, поставляемые горным ведомством, колеблется между 6 руб. 40 коп. и 8 руб. 50 коп., а последние заготовительные цены для частных заводов достигают 14 руб. 25 коп.; 3-дм гранаты поставляются горным ведомством по 6 руб. 90 </w:t>
      </w:r>
      <w:proofErr w:type="gramStart"/>
      <w:r w:rsidRPr="00405303">
        <w:rPr>
          <w:bCs/>
          <w:iCs/>
          <w:color w:val="002060"/>
          <w:sz w:val="16"/>
          <w:szCs w:val="16"/>
        </w:rPr>
        <w:t>коп..</w:t>
      </w:r>
      <w:proofErr w:type="gramEnd"/>
      <w:r w:rsidRPr="00405303">
        <w:rPr>
          <w:bCs/>
          <w:iCs/>
          <w:color w:val="002060"/>
          <w:sz w:val="16"/>
          <w:szCs w:val="16"/>
        </w:rPr>
        <w:t>, а частными заводами - по 12 рублей"</w:t>
      </w:r>
      <w:r w:rsidRPr="00405303">
        <w:rPr>
          <w:bCs/>
          <w:color w:val="002060"/>
          <w:sz w:val="16"/>
          <w:szCs w:val="16"/>
        </w:rPr>
        <w:t>.</w:t>
      </w:r>
    </w:p>
    <w:p w14:paraId="33BB124B" w14:textId="0533959F" w:rsidR="009A4184" w:rsidRPr="00405303" w:rsidRDefault="009A4184" w:rsidP="00C15251">
      <w:pPr>
        <w:jc w:val="both"/>
        <w:rPr>
          <w:bCs/>
          <w:color w:val="002060"/>
          <w:sz w:val="16"/>
          <w:szCs w:val="16"/>
        </w:rPr>
      </w:pPr>
      <w:bookmarkStart w:id="307" w:name="cutid1"/>
      <w:bookmarkEnd w:id="307"/>
      <w:r w:rsidRPr="00405303">
        <w:rPr>
          <w:bCs/>
          <w:color w:val="002060"/>
          <w:sz w:val="16"/>
          <w:szCs w:val="16"/>
        </w:rPr>
        <w:t>Далее были перечислены такие же расхождения цен, назначаемых казенными и частными заводами, на 48-лин. (122-мм) и 6-дм снаряды. Был приведен и</w:t>
      </w:r>
      <w:r w:rsidR="00DB4D64" w:rsidRPr="00405303">
        <w:rPr>
          <w:bCs/>
          <w:color w:val="002060"/>
          <w:sz w:val="16"/>
          <w:szCs w:val="16"/>
        </w:rPr>
        <w:t xml:space="preserve"> </w:t>
      </w:r>
      <w:r w:rsidRPr="00405303">
        <w:rPr>
          <w:bCs/>
          <w:iCs/>
          <w:color w:val="002060"/>
          <w:sz w:val="16"/>
          <w:szCs w:val="16"/>
        </w:rPr>
        <w:t>"самый разительный, однако, пример непомерного подъема цен"</w:t>
      </w:r>
      <w:r w:rsidRPr="00405303">
        <w:rPr>
          <w:bCs/>
          <w:color w:val="002060"/>
          <w:sz w:val="16"/>
          <w:szCs w:val="16"/>
        </w:rPr>
        <w:t>: наиболее массовая 3-дм полевая пушка, изготовляемая казенными заводами</w:t>
      </w:r>
      <w:r w:rsidR="00DB4D64" w:rsidRPr="00405303">
        <w:rPr>
          <w:bCs/>
          <w:color w:val="002060"/>
          <w:sz w:val="16"/>
          <w:szCs w:val="16"/>
        </w:rPr>
        <w:t xml:space="preserve"> </w:t>
      </w:r>
      <w:r w:rsidRPr="00405303">
        <w:rPr>
          <w:bCs/>
          <w:iCs/>
          <w:color w:val="002060"/>
          <w:sz w:val="16"/>
          <w:szCs w:val="16"/>
        </w:rPr>
        <w:t>"по нормальной цене 3750 руб."</w:t>
      </w:r>
      <w:r w:rsidRPr="00405303">
        <w:rPr>
          <w:bCs/>
          <w:color w:val="002060"/>
          <w:sz w:val="16"/>
          <w:szCs w:val="16"/>
        </w:rPr>
        <w:t>, обходилась при заказе частным заводам</w:t>
      </w:r>
      <w:r w:rsidR="00DB4D64" w:rsidRPr="00405303">
        <w:rPr>
          <w:bCs/>
          <w:color w:val="002060"/>
          <w:sz w:val="16"/>
          <w:szCs w:val="16"/>
        </w:rPr>
        <w:t xml:space="preserve"> </w:t>
      </w:r>
      <w:r w:rsidRPr="00405303">
        <w:rPr>
          <w:bCs/>
          <w:iCs/>
          <w:color w:val="002060"/>
          <w:sz w:val="16"/>
          <w:szCs w:val="16"/>
        </w:rPr>
        <w:t>"в 7000 руб., 9000 руб. и даже 12 000 руб. за орудие"</w:t>
      </w:r>
      <w:r w:rsidRPr="00405303">
        <w:rPr>
          <w:bCs/>
          <w:color w:val="002060"/>
          <w:sz w:val="16"/>
          <w:szCs w:val="16"/>
        </w:rPr>
        <w:t>. В этом обнаруживались признаки "нежелательного и вредного стремления объединившихся промышленников и посредников, пренебрегая благом общим и интересами государственными, извлекать из обстоятельств военного времени возможно большие выгоды". Совет министров сожалел, что указания на "корыстные побуждения" в деятельности общественных организаций "лишь в единичных случаях проникали в повременную печать", она вообще излишне "благожелательно" относится к "общественно-промышленным организациям". Такая односторонность печати "вводит в заблуждение общественное мнение, утверждая в нем превратное убеждение в безупречном и плодотворном функционировании (военно-промышленных) комитетов, противополагаемых оказавшимся будто бы несостоятельными правительственным органам", а это "роняет престиж" правительства. В итоге Совет министров решил, что освещение в печати</w:t>
      </w:r>
      <w:r w:rsidR="00DB4D64" w:rsidRPr="00405303">
        <w:rPr>
          <w:bCs/>
          <w:color w:val="002060"/>
          <w:sz w:val="16"/>
          <w:szCs w:val="16"/>
        </w:rPr>
        <w:t xml:space="preserve"> </w:t>
      </w:r>
      <w:r w:rsidRPr="00405303">
        <w:rPr>
          <w:bCs/>
          <w:iCs/>
          <w:color w:val="002060"/>
          <w:sz w:val="16"/>
          <w:szCs w:val="16"/>
        </w:rPr>
        <w:t>"отрицательных сторон деятельности комитетов представляется существенно необходимым"</w:t>
      </w:r>
      <w:r w:rsidR="00DB4D64" w:rsidRPr="00405303">
        <w:rPr>
          <w:bCs/>
          <w:color w:val="002060"/>
          <w:sz w:val="16"/>
          <w:szCs w:val="16"/>
        </w:rPr>
        <w:t xml:space="preserve"> </w:t>
      </w:r>
      <w:r w:rsidRPr="00405303">
        <w:rPr>
          <w:bCs/>
          <w:color w:val="002060"/>
          <w:sz w:val="16"/>
          <w:szCs w:val="16"/>
        </w:rPr>
        <w:t>{1} (18367).</w:t>
      </w:r>
    </w:p>
    <w:p w14:paraId="2AB99672" w14:textId="77777777" w:rsidR="009A4184" w:rsidRPr="00405303" w:rsidRDefault="009A4184" w:rsidP="00C15251">
      <w:pPr>
        <w:jc w:val="both"/>
        <w:rPr>
          <w:bCs/>
          <w:color w:val="002060"/>
          <w:sz w:val="16"/>
          <w:szCs w:val="16"/>
        </w:rPr>
      </w:pPr>
    </w:p>
    <w:p w14:paraId="2CCD6D08" w14:textId="4D6043B5" w:rsidR="009A4184" w:rsidRPr="00405303" w:rsidRDefault="009A4184" w:rsidP="00C15251">
      <w:pPr>
        <w:jc w:val="both"/>
        <w:rPr>
          <w:bCs/>
          <w:color w:val="002060"/>
          <w:sz w:val="16"/>
          <w:szCs w:val="16"/>
        </w:rPr>
      </w:pPr>
      <w:r w:rsidRPr="00405303">
        <w:rPr>
          <w:bCs/>
          <w:color w:val="002060"/>
          <w:sz w:val="16"/>
          <w:szCs w:val="16"/>
        </w:rPr>
        <w:t xml:space="preserve">3 </w:t>
      </w:r>
      <w:r w:rsidR="00AB5579" w:rsidRPr="00405303">
        <w:rPr>
          <w:bCs/>
          <w:color w:val="002060"/>
          <w:sz w:val="16"/>
          <w:szCs w:val="16"/>
        </w:rPr>
        <w:t xml:space="preserve">(16) </w:t>
      </w:r>
      <w:r w:rsidRPr="00405303">
        <w:rPr>
          <w:bCs/>
          <w:color w:val="002060"/>
          <w:sz w:val="16"/>
          <w:szCs w:val="16"/>
        </w:rPr>
        <w:t>ноября 1915 г. Совет министров постановил придать максимальную огласку сопоставлению цен (по пушкам, шрапнелям и др.), подогнанному в пользу казенного хозяйства. Как показал Шацилло, подобные сравнения цен лишены объективного смысла, ибо выявилась намеренная фальсификация: «цены» казенным заводам ГАУ назначало с произвольным понижением против расценок частных фирм. Советской историографии эти ложные сопоставления пригодились для разоблачения хищничества монополий, тогда как в новейшей литературе они используются по их первоначальному назначению: для восхваления военной бюрократии и шельмования «либеральных», «общественных» организаций и вообще какой бы то ни было независимой деятельности. Занижая расценки казенных заводов на снаряды, чиновники проявляли изобретательность. Например, ГАУ проводило большую часть своих затрат на эту цель отдельно по статье «строительные ассигнования», либо, когда за снаряды брался завод МПС, — по статье «эксплуатационные расходы» казенной железной дороги. Один и тот же заказ мог быть показан, в зависимости от решаемой бюрократической задачи, с более высокой или, наоборот, более низкой «ценой». «Условная» («номинальная», «последнезаготовительная») цена могла быть на удивление низкой, как в мирное время, но можно было вместо «твердой» цены проставить и цену, учитывающую «биржевые» цены военного времени на материалы и рабочую силу [РГВИА. Ф. 29. Оп. 3. Д. 754. Л. 262 и об., 101 и об., 331 и об.; д. 753. Л. б/№; ф. 369. Оп. 16. Д. 265. Л. 1–2, 4]. Очевиден произвольный характер «ценообразования» внутри казенного хозяйства и неправомерность сопоставления таких «цен» с какими-либо другими. Частные предприниматели, обвиняемые в завышении цен по сравнению с казенными заводами, оправдываясь, обычно сводили дело к мелочам — ссылались на то, что, в отличие от этих заводов, они вынуждены нести дополнительные расходы — земские налоги, проценты по частным кредитам и т. п. Секретность делопроизводства в военно-хозяйственных инстанциях позволяла скрывать от «публики» главное «преимущество» казенного хозяйства — возможность систематической подтасовки цифр при исчислении расходов. Например, Верхнетуринский завод горного ведомства должен был получать за свою 48-линейную шрапнель «твердую» цену в 32 руб., но «в целях ускорения производства» ему требовалось дооборудование на 700 тыс. руб., и к цене было добавлено 2 руб. 30 коп (18408).</w:t>
      </w:r>
    </w:p>
    <w:p w14:paraId="5FDC88AC" w14:textId="77777777" w:rsidR="009A4184" w:rsidRPr="00405303" w:rsidRDefault="009A4184" w:rsidP="00C15251">
      <w:pPr>
        <w:jc w:val="both"/>
        <w:rPr>
          <w:bCs/>
          <w:color w:val="002060"/>
          <w:sz w:val="16"/>
          <w:szCs w:val="16"/>
        </w:rPr>
      </w:pPr>
    </w:p>
    <w:p w14:paraId="2A74143D" w14:textId="2FE2F694" w:rsidR="009A4184" w:rsidRPr="00405303" w:rsidRDefault="009A4184" w:rsidP="00C15251">
      <w:pPr>
        <w:pStyle w:val="p1"/>
        <w:spacing w:before="0" w:beforeAutospacing="0" w:after="0" w:afterAutospacing="0"/>
        <w:jc w:val="both"/>
        <w:rPr>
          <w:bCs/>
          <w:color w:val="002060"/>
          <w:sz w:val="16"/>
          <w:szCs w:val="16"/>
        </w:rPr>
      </w:pPr>
      <w:r w:rsidRPr="00405303">
        <w:rPr>
          <w:bCs/>
          <w:color w:val="002060"/>
          <w:sz w:val="16"/>
          <w:szCs w:val="16"/>
        </w:rPr>
        <w:t xml:space="preserve">3 </w:t>
      </w:r>
      <w:r w:rsidR="00AB5579" w:rsidRPr="00405303">
        <w:rPr>
          <w:bCs/>
          <w:color w:val="002060"/>
          <w:sz w:val="16"/>
          <w:szCs w:val="16"/>
        </w:rPr>
        <w:t xml:space="preserve">(16) </w:t>
      </w:r>
      <w:r w:rsidRPr="00405303">
        <w:rPr>
          <w:bCs/>
          <w:color w:val="002060"/>
          <w:sz w:val="16"/>
          <w:szCs w:val="16"/>
        </w:rPr>
        <w:t xml:space="preserve">ноября 1915 г. Совет министров обсудил вопрос участия общественных организаций в снабжении армии в связи с ассигнованием 300 тысяч рублей на организационные расходы Центрального военно-промышленного комитета. В деятельности военно-промышленных комитетов была отмечена «чрезмерная преувеличенность цен по передаваемым частной промышленности заказам». В журнале заседания Совета министров это подтверждалось сопоставлением тех цен, которые назначали частные заводы, с теми, по которым работали казенные заводы горного ведомства: «Так, цена на 3-дюймовые шрапнели, поставляемые горным ведомством, колеблется между 6 руб. 40 коп. и 8 руб. 50 коп., а последние заготовительные цены для частных заводов достигают 14 руб. 25 коп.; 3-дм гранаты поставляются горным ведомством по 6 руб. 90 </w:t>
      </w:r>
      <w:proofErr w:type="gramStart"/>
      <w:r w:rsidRPr="00405303">
        <w:rPr>
          <w:bCs/>
          <w:color w:val="002060"/>
          <w:sz w:val="16"/>
          <w:szCs w:val="16"/>
        </w:rPr>
        <w:t>коп….</w:t>
      </w:r>
      <w:proofErr w:type="gramEnd"/>
      <w:r w:rsidRPr="00405303">
        <w:rPr>
          <w:bCs/>
          <w:color w:val="002060"/>
          <w:sz w:val="16"/>
          <w:szCs w:val="16"/>
        </w:rPr>
        <w:t xml:space="preserve"> а частными заводами — по 12 руб.». Далее были перечислены такие же расхождения цен, назначаемых казенными и частными заводами, по другим снарядам. Был приведен и «самый разительный, однако, пример непомерного подъема цен»: наиболее массовая 3-дм полевая пушка, изготовляемая казенными заводами «по нормальной цене 3750 руб.», обходилась при заказе частным заводам «в 7000 руб., 9000 руб. и даже 12 000 руб. за орудие». В этом обнаруживались признаки «нежелательного и вредного стремления объединившихся промышленников и посредников, пренебрегая благом общим и интересами государственными, извлекать из обстоятельств военного времени возможно большие выгоды». Совет министров, высоко оценив своевременное разоблачительное выступление Маниковского в «Новом времени», сожалел, что указания на «корыстные побуждения» в деятельности общественных организаций «лишь в единичных случаях проникали в повременную печать», она вообще чересчур «благожелательно» относится к «общественно-промышленным организациям». Такая односторонность печати «вводит в заблуждение общественное мнение, утверждая в нем превратное убеждение в безупречном и плодотворном функционировании [военно-промышленных] комитетов, противополагаемых оказавшимся будто бы несостоятельными правительственным органам», а это «роняет престиж» правительства. Совет министров сделал вывод, что освещение в печати «отрицательных сторон деятельности комитетов представляется существенно необходимым» (18409).</w:t>
      </w:r>
    </w:p>
    <w:p w14:paraId="42393543" w14:textId="77777777" w:rsidR="009A4184" w:rsidRPr="00405303" w:rsidRDefault="009A4184" w:rsidP="00C15251">
      <w:pPr>
        <w:pStyle w:val="p1"/>
        <w:spacing w:before="0" w:beforeAutospacing="0" w:after="0" w:afterAutospacing="0"/>
        <w:jc w:val="both"/>
        <w:rPr>
          <w:bCs/>
          <w:color w:val="002060"/>
          <w:sz w:val="16"/>
          <w:szCs w:val="16"/>
        </w:rPr>
      </w:pPr>
    </w:p>
    <w:p w14:paraId="1B97C27B" w14:textId="59DCB39C" w:rsidR="004B4E35" w:rsidRPr="00405303" w:rsidRDefault="009E6F82" w:rsidP="00C15251">
      <w:pPr>
        <w:jc w:val="both"/>
        <w:rPr>
          <w:bCs/>
          <w:color w:val="002060"/>
          <w:sz w:val="16"/>
          <w:szCs w:val="16"/>
        </w:rPr>
      </w:pPr>
      <w:r w:rsidRPr="00405303">
        <w:rPr>
          <w:bCs/>
          <w:color w:val="002060"/>
          <w:sz w:val="16"/>
          <w:szCs w:val="16"/>
        </w:rPr>
        <w:t>3 (16) ноября 1915 года</w:t>
      </w:r>
      <w:r w:rsidR="00AB5579" w:rsidRPr="00405303">
        <w:rPr>
          <w:bCs/>
          <w:color w:val="002060"/>
          <w:sz w:val="16"/>
          <w:szCs w:val="16"/>
        </w:rPr>
        <w:t xml:space="preserve"> </w:t>
      </w:r>
      <w:proofErr w:type="gramStart"/>
      <w:r w:rsidR="00AB5579" w:rsidRPr="00405303">
        <w:rPr>
          <w:bCs/>
          <w:color w:val="002060"/>
          <w:sz w:val="16"/>
          <w:szCs w:val="16"/>
        </w:rPr>
        <w:t>был Высочайше</w:t>
      </w:r>
      <w:proofErr w:type="gramEnd"/>
      <w:r w:rsidR="00AB5579" w:rsidRPr="00405303">
        <w:rPr>
          <w:bCs/>
          <w:color w:val="002060"/>
          <w:sz w:val="16"/>
          <w:szCs w:val="16"/>
        </w:rPr>
        <w:t xml:space="preserve"> утвержден временный штат Тамбовского порохового завода</w:t>
      </w:r>
      <w:r w:rsidRPr="00405303">
        <w:rPr>
          <w:bCs/>
          <w:color w:val="002060"/>
          <w:sz w:val="16"/>
          <w:szCs w:val="16"/>
        </w:rPr>
        <w:t>.</w:t>
      </w:r>
      <w:r w:rsidR="00AB5579" w:rsidRPr="00405303">
        <w:rPr>
          <w:bCs/>
          <w:color w:val="002060"/>
          <w:sz w:val="16"/>
          <w:szCs w:val="16"/>
        </w:rPr>
        <w:t xml:space="preserve"> </w:t>
      </w:r>
      <w:r w:rsidRPr="00405303">
        <w:rPr>
          <w:bCs/>
          <w:color w:val="002060"/>
          <w:sz w:val="16"/>
          <w:szCs w:val="16"/>
        </w:rPr>
        <w:t>Для обеспечения функционирования завода создаются механический, строительный, хозяйственный, административный отделы, канцелярия, бухгалтерия, чертежная архитектора завода.</w:t>
      </w:r>
    </w:p>
    <w:p w14:paraId="280CB842" w14:textId="77777777" w:rsidR="004B4E35" w:rsidRPr="00405303" w:rsidRDefault="009E6F82" w:rsidP="00C15251">
      <w:pPr>
        <w:jc w:val="both"/>
        <w:rPr>
          <w:bCs/>
          <w:color w:val="002060"/>
          <w:sz w:val="16"/>
          <w:szCs w:val="16"/>
        </w:rPr>
      </w:pPr>
      <w:r w:rsidRPr="00405303">
        <w:rPr>
          <w:bCs/>
          <w:color w:val="002060"/>
          <w:sz w:val="16"/>
          <w:szCs w:val="16"/>
        </w:rPr>
        <w:t>12 (25) ноября 1915 года первым приказом по заводу было объявле­но о начале его действия.</w:t>
      </w:r>
    </w:p>
    <w:p w14:paraId="0B059213" w14:textId="77777777" w:rsidR="004B4E35" w:rsidRPr="00405303" w:rsidRDefault="009E6F82" w:rsidP="00C15251">
      <w:pPr>
        <w:jc w:val="both"/>
        <w:rPr>
          <w:bCs/>
          <w:color w:val="002060"/>
          <w:sz w:val="16"/>
          <w:szCs w:val="16"/>
        </w:rPr>
      </w:pPr>
      <w:r w:rsidRPr="00405303">
        <w:rPr>
          <w:bCs/>
          <w:color w:val="002060"/>
          <w:sz w:val="16"/>
          <w:szCs w:val="16"/>
        </w:rPr>
        <w:t>В 1927 году на заводе начинаются организация новых цехов, которые стали базой для основного производства. Годы первой пятилетки характеризуются большим размахом строительства.</w:t>
      </w:r>
    </w:p>
    <w:p w14:paraId="6FC18B10" w14:textId="77777777" w:rsidR="004B4E35" w:rsidRPr="00405303" w:rsidRDefault="009E6F82" w:rsidP="00C15251">
      <w:pPr>
        <w:jc w:val="both"/>
        <w:rPr>
          <w:bCs/>
          <w:color w:val="002060"/>
          <w:sz w:val="16"/>
          <w:szCs w:val="16"/>
        </w:rPr>
      </w:pPr>
      <w:r w:rsidRPr="00405303">
        <w:rPr>
          <w:bCs/>
          <w:color w:val="002060"/>
          <w:sz w:val="16"/>
          <w:szCs w:val="16"/>
        </w:rPr>
        <w:t>В 1930 году введен в эксплуатацию 1-й цех, в 31-м — сернокислотный, в 32-м — третье производство.</w:t>
      </w:r>
    </w:p>
    <w:p w14:paraId="6F00CC70" w14:textId="77777777" w:rsidR="004B4E35" w:rsidRPr="00405303" w:rsidRDefault="009E6F82" w:rsidP="00C15251">
      <w:pPr>
        <w:jc w:val="both"/>
        <w:rPr>
          <w:bCs/>
          <w:color w:val="002060"/>
          <w:sz w:val="16"/>
          <w:szCs w:val="16"/>
        </w:rPr>
      </w:pPr>
      <w:r w:rsidRPr="00405303">
        <w:rPr>
          <w:bCs/>
          <w:color w:val="002060"/>
          <w:sz w:val="16"/>
          <w:szCs w:val="16"/>
        </w:rPr>
        <w:t>Строятся вспомогательные службы — железнодорожные пути, склады, электростанция. Южная часть завода приступает к производству основной продукции на базе смонтированных в 1915—1916 годах фаз. А первый выпуск порохов по полному цик­лу осуществлен в феврале 1932 года.</w:t>
      </w:r>
    </w:p>
    <w:p w14:paraId="0CAFC69F" w14:textId="77777777" w:rsidR="004B4E35" w:rsidRPr="00405303" w:rsidRDefault="009E6F82" w:rsidP="00C15251">
      <w:pPr>
        <w:jc w:val="both"/>
        <w:rPr>
          <w:bCs/>
          <w:color w:val="002060"/>
          <w:sz w:val="16"/>
          <w:szCs w:val="16"/>
        </w:rPr>
      </w:pPr>
      <w:r w:rsidRPr="00405303">
        <w:rPr>
          <w:bCs/>
          <w:color w:val="002060"/>
          <w:sz w:val="16"/>
          <w:szCs w:val="16"/>
        </w:rPr>
        <w:t>В апреле 1933 года начато производство целлулоида —триплексного, технического, галантерейного.</w:t>
      </w:r>
    </w:p>
    <w:p w14:paraId="4E6384D2" w14:textId="77777777" w:rsidR="004B4E35" w:rsidRPr="00405303" w:rsidRDefault="009E6F82" w:rsidP="00C15251">
      <w:pPr>
        <w:jc w:val="both"/>
        <w:rPr>
          <w:bCs/>
          <w:color w:val="002060"/>
          <w:sz w:val="16"/>
          <w:szCs w:val="16"/>
        </w:rPr>
      </w:pPr>
      <w:r w:rsidRPr="00405303">
        <w:rPr>
          <w:bCs/>
          <w:color w:val="002060"/>
          <w:sz w:val="16"/>
          <w:szCs w:val="16"/>
        </w:rPr>
        <w:t>Рост объемов производства с 1931 по 1935 год составил более 160%. Темпы развернувшегося строительства и реконструкции завода потребовали от коллектива большой творческой работы, появилась необходимость в квалифицированных кадрах. Эту задачу тоже пришлось решать заводу. Идет подготовка специалистов в ФЗУ. В 1931 году все учебные заведения завода объединены в учебный комбинат, который в 1933 году реорганизуется в отдел подготовки кадров. Его окончили В. Карлинский, Н. Лободанов, В. Пошухонина, И. Дьячков.</w:t>
      </w:r>
    </w:p>
    <w:p w14:paraId="5AEB5BEE" w14:textId="77777777" w:rsidR="004B4E35" w:rsidRPr="00405303" w:rsidRDefault="009E6F82" w:rsidP="00C15251">
      <w:pPr>
        <w:jc w:val="both"/>
        <w:rPr>
          <w:bCs/>
          <w:color w:val="002060"/>
          <w:sz w:val="16"/>
          <w:szCs w:val="16"/>
        </w:rPr>
      </w:pPr>
      <w:r w:rsidRPr="00405303">
        <w:rPr>
          <w:bCs/>
          <w:color w:val="002060"/>
          <w:sz w:val="16"/>
          <w:szCs w:val="16"/>
        </w:rPr>
        <w:t>С 1927 по 1935 год начальниками завода были М. Моисеев, Ш. Зайденберг, П. Козловский.</w:t>
      </w:r>
    </w:p>
    <w:p w14:paraId="1232AC08" w14:textId="77777777" w:rsidR="004B4E35" w:rsidRPr="00405303" w:rsidRDefault="009E6F82" w:rsidP="00C15251">
      <w:pPr>
        <w:jc w:val="both"/>
        <w:rPr>
          <w:bCs/>
          <w:color w:val="002060"/>
          <w:sz w:val="16"/>
          <w:szCs w:val="16"/>
        </w:rPr>
      </w:pPr>
      <w:r w:rsidRPr="00405303">
        <w:rPr>
          <w:bCs/>
          <w:color w:val="002060"/>
          <w:sz w:val="16"/>
          <w:szCs w:val="16"/>
        </w:rPr>
        <w:lastRenderedPageBreak/>
        <w:t>Приход в Германии к власти фашистов, непрерывно нарастающая угроза войны требовали быстрого развития оборонных отраслей. Основной задачей для коллектива завода в то время было, не снижая объемов текущего производства, создать условия устойчивой и экономичной работы в мобилизационный период, повысить производительность труда. Поэтому вплоть до начала Великой Отечественной войны шла реконструкция отдельных цехов, интенсификация процессов.</w:t>
      </w:r>
    </w:p>
    <w:p w14:paraId="3CFE57F8" w14:textId="77777777" w:rsidR="004B4E35" w:rsidRPr="00405303" w:rsidRDefault="009E6F82" w:rsidP="00C15251">
      <w:pPr>
        <w:jc w:val="both"/>
        <w:rPr>
          <w:bCs/>
          <w:color w:val="002060"/>
          <w:sz w:val="16"/>
          <w:szCs w:val="16"/>
        </w:rPr>
      </w:pPr>
      <w:r w:rsidRPr="00405303">
        <w:rPr>
          <w:bCs/>
          <w:color w:val="002060"/>
          <w:sz w:val="16"/>
          <w:szCs w:val="16"/>
        </w:rPr>
        <w:t>Увеличиваются выпуск и освоение новых видов боеприпасов, производство которых к началу войны завод удвоил. В результате мероприятий по реконструкции длительность технологических циклов сократилась в 4 раза. Благодаря внедрению рекуперационной техники снизились расходы на производство.</w:t>
      </w:r>
    </w:p>
    <w:p w14:paraId="04818D41" w14:textId="77777777" w:rsidR="004B4E35" w:rsidRPr="00405303" w:rsidRDefault="009E6F82" w:rsidP="00C15251">
      <w:pPr>
        <w:jc w:val="both"/>
        <w:rPr>
          <w:bCs/>
          <w:color w:val="002060"/>
          <w:sz w:val="16"/>
          <w:szCs w:val="16"/>
        </w:rPr>
      </w:pPr>
      <w:r w:rsidRPr="00405303">
        <w:rPr>
          <w:bCs/>
          <w:color w:val="002060"/>
          <w:sz w:val="16"/>
          <w:szCs w:val="16"/>
        </w:rPr>
        <w:t>В 1936 году начато производство изделий из целлулоида.</w:t>
      </w:r>
    </w:p>
    <w:p w14:paraId="7914A704" w14:textId="77777777" w:rsidR="004B4E35" w:rsidRPr="00405303" w:rsidRDefault="009E6F82" w:rsidP="00C15251">
      <w:pPr>
        <w:jc w:val="both"/>
        <w:rPr>
          <w:bCs/>
          <w:color w:val="002060"/>
          <w:sz w:val="16"/>
          <w:szCs w:val="16"/>
        </w:rPr>
      </w:pPr>
      <w:r w:rsidRPr="00405303">
        <w:rPr>
          <w:bCs/>
          <w:color w:val="002060"/>
          <w:sz w:val="16"/>
          <w:szCs w:val="16"/>
        </w:rPr>
        <w:t>Численность промышленно-производственного персонала доведена до 8000 человек. Выработка на одного рабочего возросла вдвое. Пример в работе показывают Яковцев, Подледников, Гурова. Они довели выполнение норм выработки до 700 процентов.</w:t>
      </w:r>
    </w:p>
    <w:p w14:paraId="28582B55" w14:textId="77777777" w:rsidR="004B4E35" w:rsidRPr="00405303" w:rsidRDefault="009E6F82" w:rsidP="00C15251">
      <w:pPr>
        <w:jc w:val="both"/>
        <w:rPr>
          <w:bCs/>
          <w:color w:val="002060"/>
          <w:sz w:val="16"/>
          <w:szCs w:val="16"/>
        </w:rPr>
      </w:pPr>
      <w:r w:rsidRPr="00405303">
        <w:rPr>
          <w:bCs/>
          <w:color w:val="002060"/>
          <w:sz w:val="16"/>
          <w:szCs w:val="16"/>
        </w:rPr>
        <w:t xml:space="preserve">Больших успехов добивается коллектив завода. Задание правительства выполнено по всем показателям. </w:t>
      </w:r>
    </w:p>
    <w:p w14:paraId="59831E7D" w14:textId="77777777" w:rsidR="004B4E35" w:rsidRPr="00405303" w:rsidRDefault="009E6F82" w:rsidP="00C15251">
      <w:pPr>
        <w:jc w:val="both"/>
        <w:rPr>
          <w:bCs/>
          <w:color w:val="002060"/>
          <w:sz w:val="16"/>
          <w:szCs w:val="16"/>
        </w:rPr>
      </w:pPr>
      <w:r w:rsidRPr="00405303">
        <w:rPr>
          <w:bCs/>
          <w:color w:val="002060"/>
          <w:sz w:val="16"/>
          <w:szCs w:val="16"/>
        </w:rPr>
        <w:t xml:space="preserve">Указом Президиума Верховного Совета СССР награждены: </w:t>
      </w:r>
    </w:p>
    <w:p w14:paraId="16358D9C" w14:textId="77777777" w:rsidR="004B4E35" w:rsidRPr="00405303" w:rsidRDefault="009E6F82" w:rsidP="00C15251">
      <w:pPr>
        <w:jc w:val="both"/>
        <w:rPr>
          <w:bCs/>
          <w:color w:val="002060"/>
          <w:sz w:val="16"/>
          <w:szCs w:val="16"/>
        </w:rPr>
      </w:pPr>
      <w:r w:rsidRPr="00405303">
        <w:rPr>
          <w:bCs/>
          <w:color w:val="002060"/>
          <w:sz w:val="16"/>
          <w:szCs w:val="16"/>
        </w:rPr>
        <w:t xml:space="preserve">орденом Ленина — Фекла Сергеевна Сергеева, </w:t>
      </w:r>
    </w:p>
    <w:p w14:paraId="1F86583D" w14:textId="77777777" w:rsidR="004B4E35" w:rsidRPr="00405303" w:rsidRDefault="009E6F82" w:rsidP="00C15251">
      <w:pPr>
        <w:jc w:val="both"/>
        <w:rPr>
          <w:bCs/>
          <w:color w:val="002060"/>
          <w:sz w:val="16"/>
          <w:szCs w:val="16"/>
        </w:rPr>
      </w:pPr>
      <w:r w:rsidRPr="00405303">
        <w:rPr>
          <w:bCs/>
          <w:color w:val="002060"/>
          <w:sz w:val="16"/>
          <w:szCs w:val="16"/>
        </w:rPr>
        <w:t xml:space="preserve">орденами Трудового Красно­го Знамени — А. Абакумов, Г. Балашов, </w:t>
      </w:r>
    </w:p>
    <w:p w14:paraId="7FF3E955" w14:textId="77777777" w:rsidR="004B4E35" w:rsidRPr="00405303" w:rsidRDefault="009E6F82" w:rsidP="00C15251">
      <w:pPr>
        <w:jc w:val="both"/>
        <w:rPr>
          <w:bCs/>
          <w:color w:val="002060"/>
          <w:sz w:val="16"/>
          <w:szCs w:val="16"/>
        </w:rPr>
      </w:pPr>
      <w:r w:rsidRPr="00405303">
        <w:rPr>
          <w:bCs/>
          <w:color w:val="002060"/>
          <w:sz w:val="16"/>
          <w:szCs w:val="16"/>
        </w:rPr>
        <w:t xml:space="preserve">орденом Красной Звезды — Е. Лукьянов. </w:t>
      </w:r>
    </w:p>
    <w:p w14:paraId="4B4B6587" w14:textId="77777777" w:rsidR="004B4E35" w:rsidRPr="00405303" w:rsidRDefault="009E6F82" w:rsidP="00C15251">
      <w:pPr>
        <w:jc w:val="both"/>
        <w:rPr>
          <w:bCs/>
          <w:color w:val="002060"/>
          <w:sz w:val="16"/>
          <w:szCs w:val="16"/>
        </w:rPr>
      </w:pPr>
      <w:r w:rsidRPr="00405303">
        <w:rPr>
          <w:bCs/>
          <w:color w:val="002060"/>
          <w:sz w:val="16"/>
          <w:szCs w:val="16"/>
        </w:rPr>
        <w:t>Многие заводчане награждены медалями.</w:t>
      </w:r>
    </w:p>
    <w:p w14:paraId="2682CB6E" w14:textId="77777777" w:rsidR="004B4E35" w:rsidRPr="00405303" w:rsidRDefault="009E6F82" w:rsidP="00C15251">
      <w:pPr>
        <w:jc w:val="both"/>
        <w:rPr>
          <w:bCs/>
          <w:color w:val="002060"/>
          <w:sz w:val="16"/>
          <w:szCs w:val="16"/>
        </w:rPr>
      </w:pPr>
      <w:r w:rsidRPr="00405303">
        <w:rPr>
          <w:bCs/>
          <w:color w:val="002060"/>
          <w:sz w:val="16"/>
          <w:szCs w:val="16"/>
        </w:rPr>
        <w:t>Всерьез начинается подготовка собственных кадров. Перед самой войной 20 июня 1941 года на базе завода открывается техникум. Открыто ремесленное училище.</w:t>
      </w:r>
    </w:p>
    <w:p w14:paraId="02C2F735" w14:textId="77777777" w:rsidR="004B4E35" w:rsidRPr="00405303" w:rsidRDefault="009E6F82" w:rsidP="00C15251">
      <w:pPr>
        <w:jc w:val="both"/>
        <w:rPr>
          <w:bCs/>
          <w:color w:val="002060"/>
          <w:sz w:val="16"/>
          <w:szCs w:val="16"/>
        </w:rPr>
      </w:pPr>
      <w:r w:rsidRPr="00405303">
        <w:rPr>
          <w:bCs/>
          <w:color w:val="002060"/>
          <w:sz w:val="16"/>
          <w:szCs w:val="16"/>
        </w:rPr>
        <w:t>Улучшились экономические показатели работы завода. Перестает расти себестоимость продукции, с 1936 по 1940 год получена прибыль более 5 миллионов рублей.</w:t>
      </w:r>
    </w:p>
    <w:p w14:paraId="0C92613B" w14:textId="77777777" w:rsidR="004B4E35" w:rsidRPr="00405303" w:rsidRDefault="009E6F82" w:rsidP="00C15251">
      <w:pPr>
        <w:jc w:val="both"/>
        <w:rPr>
          <w:bCs/>
          <w:color w:val="002060"/>
          <w:sz w:val="16"/>
          <w:szCs w:val="16"/>
        </w:rPr>
      </w:pPr>
      <w:r w:rsidRPr="00405303">
        <w:rPr>
          <w:bCs/>
          <w:color w:val="002060"/>
          <w:sz w:val="16"/>
          <w:szCs w:val="16"/>
        </w:rPr>
        <w:t>К концу тридцатых годов площадь жилья поселка, который 16 апреля 1940 года становится городом Котовском, увеличивается в 10 раз. Население — более 16 тысяч человек.</w:t>
      </w:r>
    </w:p>
    <w:p w14:paraId="66A8D805" w14:textId="77777777" w:rsidR="004B4E35" w:rsidRPr="00405303" w:rsidRDefault="009E6F82" w:rsidP="00C15251">
      <w:pPr>
        <w:jc w:val="both"/>
        <w:rPr>
          <w:bCs/>
          <w:color w:val="002060"/>
          <w:sz w:val="16"/>
          <w:szCs w:val="16"/>
        </w:rPr>
      </w:pPr>
      <w:r w:rsidRPr="00405303">
        <w:rPr>
          <w:bCs/>
          <w:color w:val="002060"/>
          <w:sz w:val="16"/>
          <w:szCs w:val="16"/>
        </w:rPr>
        <w:t>Начальники завода в то время — Н. Семенов и М. Дынкин (11831).</w:t>
      </w:r>
    </w:p>
    <w:p w14:paraId="38BCB24F" w14:textId="77777777" w:rsidR="00477787" w:rsidRPr="00405303" w:rsidRDefault="00477787" w:rsidP="00C15251">
      <w:pPr>
        <w:shd w:val="clear" w:color="auto" w:fill="FFFFFF"/>
        <w:jc w:val="both"/>
        <w:rPr>
          <w:bCs/>
          <w:i/>
          <w:color w:val="002060"/>
          <w:sz w:val="16"/>
          <w:szCs w:val="16"/>
        </w:rPr>
      </w:pPr>
    </w:p>
    <w:p w14:paraId="4B988881" w14:textId="554DD93C" w:rsidR="00BC7007" w:rsidRPr="00405303" w:rsidRDefault="00BC7007"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3 (16) ноября 1915 г. Совет министров на своем заседании обсудил вопрос эффективности работы общественных организаций в связи с ассигнова</w:t>
      </w:r>
      <w:r w:rsidRPr="00405303">
        <w:rPr>
          <w:rFonts w:ascii="Times New Roman" w:hAnsi="Times New Roman" w:cs="Times New Roman"/>
          <w:bCs/>
          <w:color w:val="002060"/>
          <w:sz w:val="16"/>
          <w:szCs w:val="16"/>
        </w:rPr>
        <w:softHyphen/>
        <w:t>нием 300 тысяч рублей на организационные расходы Цен</w:t>
      </w:r>
      <w:r w:rsidRPr="00405303">
        <w:rPr>
          <w:rFonts w:ascii="Times New Roman" w:hAnsi="Times New Roman" w:cs="Times New Roman"/>
          <w:bCs/>
          <w:color w:val="002060"/>
          <w:sz w:val="16"/>
          <w:szCs w:val="16"/>
        </w:rPr>
        <w:softHyphen/>
        <w:t>трального военно-промышленного комитета. В деятель</w:t>
      </w:r>
      <w:r w:rsidRPr="00405303">
        <w:rPr>
          <w:rFonts w:ascii="Times New Roman" w:hAnsi="Times New Roman" w:cs="Times New Roman"/>
          <w:bCs/>
          <w:color w:val="002060"/>
          <w:sz w:val="16"/>
          <w:szCs w:val="16"/>
        </w:rPr>
        <w:softHyphen/>
        <w:t>ности военно-промышленных комитетов была отмечена «чрезмерная преувеличенность цен по передаваемым част</w:t>
      </w:r>
      <w:r w:rsidRPr="00405303">
        <w:rPr>
          <w:rFonts w:ascii="Times New Roman" w:hAnsi="Times New Roman" w:cs="Times New Roman"/>
          <w:bCs/>
          <w:color w:val="002060"/>
          <w:sz w:val="16"/>
          <w:szCs w:val="16"/>
        </w:rPr>
        <w:softHyphen/>
        <w:t>ной промышленности заказам». В журнале заседания Со</w:t>
      </w:r>
      <w:r w:rsidRPr="00405303">
        <w:rPr>
          <w:rFonts w:ascii="Times New Roman" w:hAnsi="Times New Roman" w:cs="Times New Roman"/>
          <w:bCs/>
          <w:color w:val="002060"/>
          <w:sz w:val="16"/>
          <w:szCs w:val="16"/>
        </w:rPr>
        <w:softHyphen/>
        <w:t>вета министров это подтверждалось сопоставлением тех цен, которые назначали частные заводы, с теми, по кото</w:t>
      </w:r>
      <w:r w:rsidRPr="00405303">
        <w:rPr>
          <w:rFonts w:ascii="Times New Roman" w:hAnsi="Times New Roman" w:cs="Times New Roman"/>
          <w:bCs/>
          <w:color w:val="002060"/>
          <w:sz w:val="16"/>
          <w:szCs w:val="16"/>
        </w:rPr>
        <w:softHyphen/>
        <w:t>рым работали казенные заводы горного ведомства: «Так, цена на 3-дюймовые шрапнели, поставляемые горным ве</w:t>
      </w:r>
      <w:r w:rsidRPr="00405303">
        <w:rPr>
          <w:rFonts w:ascii="Times New Roman" w:hAnsi="Times New Roman" w:cs="Times New Roman"/>
          <w:bCs/>
          <w:color w:val="002060"/>
          <w:sz w:val="16"/>
          <w:szCs w:val="16"/>
        </w:rPr>
        <w:softHyphen/>
        <w:t>домством, колеблется между 6 руб. 40 коп. и 8 руб. 50 коп., а последние заготовительные цены для частных заводов достигают 14 руб. 25 коп.; 3-дм гранаты поставляются гор</w:t>
      </w:r>
      <w:r w:rsidRPr="00405303">
        <w:rPr>
          <w:rFonts w:ascii="Times New Roman" w:hAnsi="Times New Roman" w:cs="Times New Roman"/>
          <w:bCs/>
          <w:color w:val="002060"/>
          <w:sz w:val="16"/>
          <w:szCs w:val="16"/>
        </w:rPr>
        <w:softHyphen/>
        <w:t>ным ведомством по 6 руб. 90 коп. ... а частными заводами — по 12 руб.». Далее были перечислены такие же расхождения цен, назначаемых казенными и частными заводами, по дру</w:t>
      </w:r>
      <w:r w:rsidRPr="00405303">
        <w:rPr>
          <w:rFonts w:ascii="Times New Roman" w:hAnsi="Times New Roman" w:cs="Times New Roman"/>
          <w:bCs/>
          <w:color w:val="002060"/>
          <w:sz w:val="16"/>
          <w:szCs w:val="16"/>
        </w:rPr>
        <w:softHyphen/>
        <w:t>гим снарядам. Был приведен и «самый разительный, одна</w:t>
      </w:r>
      <w:r w:rsidRPr="00405303">
        <w:rPr>
          <w:rFonts w:ascii="Times New Roman" w:hAnsi="Times New Roman" w:cs="Times New Roman"/>
          <w:bCs/>
          <w:color w:val="002060"/>
          <w:sz w:val="16"/>
          <w:szCs w:val="16"/>
        </w:rPr>
        <w:softHyphen/>
        <w:t>ко, пример непомерного подъема цен»: наиболее массовая 3-дм полевая пушка, изготовляемая казенными заводами «по нормальной цене 3750 руб.», обходилась при заказе частным заводам «в 7000 руб., 9000 руб. и даже 12 000 руб. за орудие». В этом обнаруживались признаки «нежелатель</w:t>
      </w:r>
      <w:r w:rsidRPr="00405303">
        <w:rPr>
          <w:rFonts w:ascii="Times New Roman" w:hAnsi="Times New Roman" w:cs="Times New Roman"/>
          <w:bCs/>
          <w:color w:val="002060"/>
          <w:sz w:val="16"/>
          <w:szCs w:val="16"/>
        </w:rPr>
        <w:softHyphen/>
        <w:t>ного и вредного стремления объединившихся промышлен</w:t>
      </w:r>
      <w:r w:rsidRPr="00405303">
        <w:rPr>
          <w:rFonts w:ascii="Times New Roman" w:hAnsi="Times New Roman" w:cs="Times New Roman"/>
          <w:bCs/>
          <w:color w:val="002060"/>
          <w:sz w:val="16"/>
          <w:szCs w:val="16"/>
        </w:rPr>
        <w:softHyphen/>
        <w:t>ников и посредников, пренебрегая благом общим и ин</w:t>
      </w:r>
      <w:r w:rsidRPr="00405303">
        <w:rPr>
          <w:rFonts w:ascii="Times New Roman" w:hAnsi="Times New Roman" w:cs="Times New Roman"/>
          <w:bCs/>
          <w:color w:val="002060"/>
          <w:sz w:val="16"/>
          <w:szCs w:val="16"/>
        </w:rPr>
        <w:softHyphen/>
        <w:t>тересами государственными, извлекать из обстоятельств военного времени возможно большие выгоды». Совет ми</w:t>
      </w:r>
      <w:r w:rsidRPr="00405303">
        <w:rPr>
          <w:rFonts w:ascii="Times New Roman" w:hAnsi="Times New Roman" w:cs="Times New Roman"/>
          <w:bCs/>
          <w:color w:val="002060"/>
          <w:sz w:val="16"/>
          <w:szCs w:val="16"/>
        </w:rPr>
        <w:softHyphen/>
        <w:t>нистров, высоко оценив своевременное разоблачительное выступление Маниковского в «Новом времени», сожалел, что указания на «корыстные побуждения» в деятельности общественных организаций «лишь в единичных случаях проникали в повременную печать», она вообще чересчур «благожелательно» относится к «общественно-промышлен</w:t>
      </w:r>
      <w:r w:rsidRPr="00405303">
        <w:rPr>
          <w:rFonts w:ascii="Times New Roman" w:hAnsi="Times New Roman" w:cs="Times New Roman"/>
          <w:bCs/>
          <w:color w:val="002060"/>
          <w:sz w:val="16"/>
          <w:szCs w:val="16"/>
        </w:rPr>
        <w:softHyphen/>
        <w:t>ным организациям». Такая односторонность печати «вво</w:t>
      </w:r>
      <w:r w:rsidRPr="00405303">
        <w:rPr>
          <w:rFonts w:ascii="Times New Roman" w:hAnsi="Times New Roman" w:cs="Times New Roman"/>
          <w:bCs/>
          <w:color w:val="002060"/>
          <w:sz w:val="16"/>
          <w:szCs w:val="16"/>
        </w:rPr>
        <w:softHyphen/>
        <w:t>дит в заблуждение общественное мнение, утверждая в нем превратное убеждение в безупречном и плодотворном функ</w:t>
      </w:r>
      <w:r w:rsidRPr="00405303">
        <w:rPr>
          <w:rFonts w:ascii="Times New Roman" w:hAnsi="Times New Roman" w:cs="Times New Roman"/>
          <w:bCs/>
          <w:color w:val="002060"/>
          <w:sz w:val="16"/>
          <w:szCs w:val="16"/>
        </w:rPr>
        <w:softHyphen/>
        <w:t>ционировании [военно-промышленных] комитетов, проти</w:t>
      </w:r>
      <w:r w:rsidRPr="00405303">
        <w:rPr>
          <w:rFonts w:ascii="Times New Roman" w:hAnsi="Times New Roman" w:cs="Times New Roman"/>
          <w:bCs/>
          <w:color w:val="002060"/>
          <w:sz w:val="16"/>
          <w:szCs w:val="16"/>
        </w:rPr>
        <w:softHyphen/>
        <w:t>вополагаемых оказавшимся будто бы несостоятельными правительственным органам», а это «роняет престиж» пра</w:t>
      </w:r>
      <w:r w:rsidRPr="00405303">
        <w:rPr>
          <w:rFonts w:ascii="Times New Roman" w:hAnsi="Times New Roman" w:cs="Times New Roman"/>
          <w:bCs/>
          <w:color w:val="002060"/>
          <w:sz w:val="16"/>
          <w:szCs w:val="16"/>
        </w:rPr>
        <w:softHyphen/>
        <w:t>вительства. Совет министров сделал вывод, что освещение в печати «отрицательных сторон деятельности комитетов представляется существенно необходимым» (ОЖСМ 1915. С. 482—486. Сразу же, 4 ноября Поливанов распоря</w:t>
      </w:r>
      <w:r w:rsidRPr="00405303">
        <w:rPr>
          <w:rFonts w:ascii="Times New Roman" w:hAnsi="Times New Roman" w:cs="Times New Roman"/>
          <w:bCs/>
          <w:color w:val="002060"/>
          <w:sz w:val="16"/>
          <w:szCs w:val="16"/>
        </w:rPr>
        <w:softHyphen/>
        <w:t>дился, чтобы органы Военного министерства прекратили передавать заказы за границу через военно-промышленные комитеты и Земгор: «Если бы даже эти заказы и вызывались тем, что рынок России не в состоянии был дать заказываемые предметы или в требуемом количе</w:t>
      </w:r>
      <w:r w:rsidRPr="00405303">
        <w:rPr>
          <w:rFonts w:ascii="Times New Roman" w:hAnsi="Times New Roman" w:cs="Times New Roman"/>
          <w:bCs/>
          <w:color w:val="002060"/>
          <w:sz w:val="16"/>
          <w:szCs w:val="16"/>
        </w:rPr>
        <w:softHyphen/>
        <w:t>стве, или в определенные сроки, то все же такие заказы ведомствами должны были бы даваться за границу непосредственно самими, а не через общественные организации. На недопустимость в будущем по</w:t>
      </w:r>
      <w:r w:rsidRPr="00405303">
        <w:rPr>
          <w:rFonts w:ascii="Times New Roman" w:hAnsi="Times New Roman" w:cs="Times New Roman"/>
          <w:bCs/>
          <w:color w:val="002060"/>
          <w:sz w:val="16"/>
          <w:szCs w:val="16"/>
        </w:rPr>
        <w:softHyphen/>
        <w:t xml:space="preserve">вторения подобного рода заказов через общественные организации... Советом министров обращено особое внимание» (циркуляр Лукомского, </w:t>
      </w:r>
      <w:r w:rsidRPr="00405303">
        <w:rPr>
          <w:rFonts w:ascii="Times New Roman" w:hAnsi="Times New Roman" w:cs="Times New Roman"/>
          <w:bCs/>
          <w:color w:val="002060"/>
          <w:sz w:val="16"/>
          <w:szCs w:val="16"/>
          <w:lang w:bidi="en-US"/>
        </w:rPr>
        <w:t>4.</w:t>
      </w:r>
      <w:r w:rsidRPr="00405303">
        <w:rPr>
          <w:rFonts w:ascii="Times New Roman" w:hAnsi="Times New Roman" w:cs="Times New Roman"/>
          <w:bCs/>
          <w:color w:val="002060"/>
          <w:sz w:val="16"/>
          <w:szCs w:val="16"/>
          <w:lang w:val="en-US" w:bidi="en-US"/>
        </w:rPr>
        <w:t>XI</w:t>
      </w:r>
      <w:r w:rsidRPr="00405303">
        <w:rPr>
          <w:rFonts w:ascii="Times New Roman" w:hAnsi="Times New Roman" w:cs="Times New Roman"/>
          <w:bCs/>
          <w:color w:val="002060"/>
          <w:sz w:val="16"/>
          <w:szCs w:val="16"/>
          <w:lang w:bidi="en-US"/>
        </w:rPr>
        <w:t xml:space="preserve">.1915. </w:t>
      </w:r>
      <w:r w:rsidRPr="00405303">
        <w:rPr>
          <w:rFonts w:ascii="Times New Roman" w:hAnsi="Times New Roman" w:cs="Times New Roman"/>
          <w:bCs/>
          <w:color w:val="002060"/>
          <w:sz w:val="16"/>
          <w:szCs w:val="16"/>
        </w:rPr>
        <w:t xml:space="preserve">Цит. по: Сенин А.С. Организация снабжения русской армии •вооружением и боеприпасами в годы Первой мировой войны // XX век и Россия: общество, реформы и революции: Электронный сборник. Вып. 2. Самара, 2014. С. 69 </w:t>
      </w:r>
      <w:r w:rsidRPr="00405303">
        <w:rPr>
          <w:rFonts w:ascii="Times New Roman" w:hAnsi="Times New Roman" w:cs="Times New Roman"/>
          <w:bCs/>
          <w:color w:val="002060"/>
          <w:sz w:val="16"/>
          <w:szCs w:val="16"/>
          <w:lang w:bidi="en-US"/>
        </w:rPr>
        <w:t>//</w:t>
      </w:r>
      <w:r w:rsidRPr="00405303">
        <w:rPr>
          <w:rFonts w:ascii="Times New Roman" w:hAnsi="Times New Roman" w:cs="Times New Roman"/>
          <w:bCs/>
          <w:color w:val="002060"/>
          <w:sz w:val="16"/>
          <w:szCs w:val="16"/>
          <w:lang w:val="en-US" w:bidi="en-US"/>
        </w:rPr>
        <w:t>sbornik</w:t>
      </w:r>
      <w:r w:rsidRPr="00405303">
        <w:rPr>
          <w:rFonts w:ascii="Times New Roman" w:hAnsi="Times New Roman" w:cs="Times New Roman"/>
          <w:bCs/>
          <w:color w:val="002060"/>
          <w:sz w:val="16"/>
          <w:szCs w:val="16"/>
          <w:lang w:bidi="en-US"/>
        </w:rPr>
        <w:t>.</w:t>
      </w:r>
      <w:r w:rsidRPr="00405303">
        <w:rPr>
          <w:rFonts w:ascii="Times New Roman" w:hAnsi="Times New Roman" w:cs="Times New Roman"/>
          <w:bCs/>
          <w:color w:val="002060"/>
          <w:sz w:val="16"/>
          <w:szCs w:val="16"/>
          <w:lang w:val="en-US" w:bidi="en-US"/>
        </w:rPr>
        <w:t>lib</w:t>
      </w:r>
      <w:r w:rsidRPr="00405303">
        <w:rPr>
          <w:rFonts w:ascii="Times New Roman" w:hAnsi="Times New Roman" w:cs="Times New Roman"/>
          <w:bCs/>
          <w:color w:val="002060"/>
          <w:sz w:val="16"/>
          <w:szCs w:val="16"/>
          <w:lang w:bidi="en-US"/>
        </w:rPr>
        <w:t>.</w:t>
      </w:r>
      <w:r w:rsidRPr="00405303">
        <w:rPr>
          <w:rFonts w:ascii="Times New Roman" w:hAnsi="Times New Roman" w:cs="Times New Roman"/>
          <w:bCs/>
          <w:color w:val="002060"/>
          <w:sz w:val="16"/>
          <w:szCs w:val="16"/>
          <w:lang w:val="en-US" w:bidi="en-US"/>
        </w:rPr>
        <w:t>smr</w:t>
      </w:r>
      <w:r w:rsidRPr="00405303">
        <w:rPr>
          <w:rFonts w:ascii="Times New Roman" w:hAnsi="Times New Roman" w:cs="Times New Roman"/>
          <w:bCs/>
          <w:color w:val="002060"/>
          <w:sz w:val="16"/>
          <w:szCs w:val="16"/>
          <w:lang w:bidi="en-US"/>
        </w:rPr>
        <w:t>.</w:t>
      </w:r>
      <w:r w:rsidRPr="00405303">
        <w:rPr>
          <w:rFonts w:ascii="Times New Roman" w:hAnsi="Times New Roman" w:cs="Times New Roman"/>
          <w:bCs/>
          <w:color w:val="002060"/>
          <w:sz w:val="16"/>
          <w:szCs w:val="16"/>
          <w:lang w:val="en-US" w:bidi="en-US"/>
        </w:rPr>
        <w:t>ru</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 xml:space="preserve">СОГД. </w:t>
      </w:r>
      <w:r w:rsidRPr="00405303">
        <w:rPr>
          <w:rFonts w:ascii="Times New Roman" w:hAnsi="Times New Roman" w:cs="Times New Roman"/>
          <w:bCs/>
          <w:color w:val="002060"/>
          <w:sz w:val="16"/>
          <w:szCs w:val="16"/>
          <w:lang w:val="en-US" w:bidi="en-US"/>
        </w:rPr>
        <w:t>IV</w:t>
      </w:r>
      <w:r w:rsidRPr="00405303">
        <w:rPr>
          <w:rFonts w:ascii="Times New Roman" w:hAnsi="Times New Roman" w:cs="Times New Roman"/>
          <w:bCs/>
          <w:color w:val="002060"/>
          <w:sz w:val="16"/>
          <w:szCs w:val="16"/>
          <w:lang w:bidi="en-US"/>
        </w:rPr>
        <w:t xml:space="preserve">/4. </w:t>
      </w:r>
      <w:r w:rsidRPr="00405303">
        <w:rPr>
          <w:rFonts w:ascii="Times New Roman" w:hAnsi="Times New Roman" w:cs="Times New Roman"/>
          <w:bCs/>
          <w:color w:val="002060"/>
          <w:sz w:val="16"/>
          <w:szCs w:val="16"/>
        </w:rPr>
        <w:t>Пг., 1916. Ч. 2. Стб. 2464-2465) (23452).</w:t>
      </w:r>
    </w:p>
    <w:p w14:paraId="35B989F7" w14:textId="77777777" w:rsidR="00BC7007" w:rsidRPr="00405303" w:rsidRDefault="00BC7007" w:rsidP="00C15251">
      <w:pPr>
        <w:jc w:val="both"/>
        <w:rPr>
          <w:bCs/>
          <w:color w:val="002060"/>
          <w:sz w:val="16"/>
          <w:szCs w:val="16"/>
        </w:rPr>
      </w:pPr>
    </w:p>
    <w:p w14:paraId="1FFEE2BB" w14:textId="196489C5" w:rsidR="00BC7007" w:rsidRPr="00405303" w:rsidRDefault="00BC7007" w:rsidP="00C15251">
      <w:pPr>
        <w:shd w:val="clear" w:color="auto" w:fill="FFFFFF"/>
        <w:jc w:val="both"/>
        <w:rPr>
          <w:bCs/>
          <w:i/>
          <w:color w:val="002060"/>
          <w:sz w:val="16"/>
          <w:szCs w:val="16"/>
        </w:rPr>
      </w:pPr>
      <w:r w:rsidRPr="00405303">
        <w:rPr>
          <w:bCs/>
          <w:i/>
          <w:color w:val="002060"/>
          <w:sz w:val="16"/>
          <w:szCs w:val="16"/>
        </w:rPr>
        <w:t>Авиация:</w:t>
      </w:r>
    </w:p>
    <w:p w14:paraId="725966A5" w14:textId="77777777" w:rsidR="00BC7007" w:rsidRPr="00405303" w:rsidRDefault="00BC7007" w:rsidP="00C15251">
      <w:pPr>
        <w:shd w:val="clear" w:color="auto" w:fill="FFFFFF"/>
        <w:jc w:val="both"/>
        <w:rPr>
          <w:bCs/>
          <w:i/>
          <w:color w:val="002060"/>
          <w:sz w:val="16"/>
          <w:szCs w:val="16"/>
        </w:rPr>
      </w:pPr>
    </w:p>
    <w:p w14:paraId="6AC3BA48" w14:textId="7584BA77" w:rsidR="00BC7007" w:rsidRPr="00405303" w:rsidRDefault="00BC7007" w:rsidP="00C15251">
      <w:pPr>
        <w:jc w:val="both"/>
        <w:rPr>
          <w:bCs/>
          <w:color w:val="002060"/>
          <w:sz w:val="16"/>
          <w:szCs w:val="16"/>
        </w:rPr>
      </w:pPr>
      <w:r w:rsidRPr="00405303">
        <w:rPr>
          <w:bCs/>
          <w:color w:val="002060"/>
          <w:sz w:val="16"/>
          <w:szCs w:val="16"/>
        </w:rPr>
        <w:t xml:space="preserve">3 (16) ноября 1915 г. германский самолет сбросил над ст. Клеван (севере-западнее г. Ровно) две бомбы. Позднее над Шлоком был </w:t>
      </w:r>
      <w:bookmarkStart w:id="308" w:name="bookmark304"/>
      <w:bookmarkStart w:id="309" w:name="bookmark305"/>
      <w:r w:rsidRPr="00405303">
        <w:rPr>
          <w:bCs/>
          <w:color w:val="002060"/>
          <w:sz w:val="16"/>
          <w:szCs w:val="16"/>
        </w:rPr>
        <w:t>отмечен полет неприятельского дирижабля с явно разведывательными целями. В одном из своих полетов в ближнем тылу русских войск в Двинском районе экипаж цеппелина ошибочно подверг бомбардировке германские окопы, «причинив потери и вызвав панику» (23405).</w:t>
      </w:r>
      <w:bookmarkEnd w:id="308"/>
      <w:bookmarkEnd w:id="309"/>
    </w:p>
    <w:p w14:paraId="71CE3D30" w14:textId="77777777" w:rsidR="00BC7007" w:rsidRPr="00405303" w:rsidRDefault="00BC7007" w:rsidP="00C15251">
      <w:pPr>
        <w:jc w:val="both"/>
        <w:rPr>
          <w:bCs/>
          <w:color w:val="002060"/>
          <w:sz w:val="16"/>
          <w:szCs w:val="16"/>
        </w:rPr>
      </w:pPr>
    </w:p>
    <w:p w14:paraId="754FE8F2" w14:textId="77777777" w:rsidR="00DB2A53" w:rsidRPr="00B52707" w:rsidRDefault="00DB2A53" w:rsidP="00DB2A53">
      <w:pPr>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 xml:space="preserve">3 (16) ноября 1915 г. </w:t>
      </w:r>
      <w:r w:rsidRPr="00B52707">
        <w:rPr>
          <w:rStyle w:val="aa"/>
          <w:rFonts w:ascii="Times New Roman" w:hAnsi="Times New Roman"/>
          <w:color w:val="0070C0"/>
          <w:spacing w:val="0"/>
          <w:sz w:val="16"/>
          <w:szCs w:val="16"/>
          <w:lang w:val="en-US"/>
        </w:rPr>
        <w:t>LZ</w:t>
      </w:r>
      <w:r w:rsidRPr="00B52707">
        <w:rPr>
          <w:rStyle w:val="aa"/>
          <w:rFonts w:ascii="Times New Roman" w:hAnsi="Times New Roman"/>
          <w:color w:val="0070C0"/>
          <w:spacing w:val="0"/>
          <w:sz w:val="16"/>
          <w:szCs w:val="16"/>
        </w:rPr>
        <w:t>-86. в ходе своего налета на Двинск сбросил с высоты 2,6 км на город 3,5 тонны бомб (25135).</w:t>
      </w:r>
    </w:p>
    <w:p w14:paraId="15A877F7" w14:textId="77777777" w:rsidR="00DB2A53" w:rsidRPr="00B52707" w:rsidRDefault="00DB2A53" w:rsidP="00DB2A53">
      <w:pPr>
        <w:jc w:val="both"/>
        <w:rPr>
          <w:rStyle w:val="aa"/>
          <w:rFonts w:ascii="Times New Roman" w:hAnsi="Times New Roman"/>
          <w:color w:val="0070C0"/>
          <w:spacing w:val="0"/>
          <w:sz w:val="16"/>
          <w:szCs w:val="16"/>
        </w:rPr>
      </w:pPr>
    </w:p>
    <w:p w14:paraId="05D357BA" w14:textId="104CEE29" w:rsidR="00CF613C" w:rsidRPr="00405303" w:rsidRDefault="00CF613C" w:rsidP="00C15251">
      <w:pPr>
        <w:shd w:val="clear" w:color="auto" w:fill="FFFFFF"/>
        <w:jc w:val="both"/>
        <w:rPr>
          <w:bCs/>
          <w:i/>
          <w:color w:val="002060"/>
          <w:sz w:val="16"/>
          <w:szCs w:val="16"/>
        </w:rPr>
      </w:pPr>
      <w:r w:rsidRPr="00405303">
        <w:rPr>
          <w:bCs/>
          <w:i/>
          <w:color w:val="002060"/>
          <w:sz w:val="16"/>
          <w:szCs w:val="16"/>
        </w:rPr>
        <w:t>Военное воздухоплавание:</w:t>
      </w:r>
    </w:p>
    <w:p w14:paraId="17D9364A" w14:textId="77777777" w:rsidR="00CF613C" w:rsidRPr="00405303" w:rsidRDefault="00CF613C" w:rsidP="00C15251">
      <w:pPr>
        <w:shd w:val="clear" w:color="auto" w:fill="FFFFFF"/>
        <w:jc w:val="both"/>
        <w:rPr>
          <w:bCs/>
          <w:i/>
          <w:color w:val="002060"/>
          <w:sz w:val="16"/>
          <w:szCs w:val="16"/>
        </w:rPr>
      </w:pPr>
    </w:p>
    <w:p w14:paraId="27A059E7" w14:textId="7D8F6876" w:rsidR="00CF613C" w:rsidRPr="00405303" w:rsidRDefault="00CF613C" w:rsidP="00C15251">
      <w:pPr>
        <w:jc w:val="both"/>
        <w:rPr>
          <w:bCs/>
          <w:color w:val="002060"/>
          <w:sz w:val="16"/>
          <w:szCs w:val="16"/>
        </w:rPr>
      </w:pPr>
      <w:r w:rsidRPr="00405303">
        <w:rPr>
          <w:rStyle w:val="42"/>
          <w:rFonts w:ascii="Times New Roman" w:hAnsi="Times New Roman" w:cs="Times New Roman"/>
          <w:bCs/>
          <w:color w:val="002060"/>
          <w:w w:val="100"/>
          <w:sz w:val="16"/>
          <w:szCs w:val="16"/>
        </w:rPr>
        <w:t>3 (16) ноя</w:t>
      </w:r>
      <w:r w:rsidRPr="00405303">
        <w:rPr>
          <w:rStyle w:val="42"/>
          <w:rFonts w:ascii="Times New Roman" w:hAnsi="Times New Roman" w:cs="Times New Roman"/>
          <w:bCs/>
          <w:color w:val="002060"/>
          <w:w w:val="100"/>
          <w:sz w:val="16"/>
          <w:szCs w:val="16"/>
        </w:rPr>
        <w:softHyphen/>
        <w:t>бря 1915 г. начались работы по разбор</w:t>
      </w:r>
      <w:r w:rsidRPr="00405303">
        <w:rPr>
          <w:rStyle w:val="42"/>
          <w:rFonts w:ascii="Times New Roman" w:hAnsi="Times New Roman" w:cs="Times New Roman"/>
          <w:bCs/>
          <w:color w:val="002060"/>
          <w:w w:val="100"/>
          <w:sz w:val="16"/>
          <w:szCs w:val="16"/>
        </w:rPr>
        <w:softHyphen/>
        <w:t>ке дирижабля Кондор во 2-й воздухоплавательной роте. Вследствие сильных морозов металл стал хрупким. От этого сломался крюк стяжного домкрата, и эллинг обрушился. При этом погиб рядовой Целинский, а трое солдат и двое рабо</w:t>
      </w:r>
      <w:r w:rsidRPr="00405303">
        <w:rPr>
          <w:rStyle w:val="42"/>
          <w:rFonts w:ascii="Times New Roman" w:hAnsi="Times New Roman" w:cs="Times New Roman"/>
          <w:bCs/>
          <w:color w:val="002060"/>
          <w:w w:val="100"/>
          <w:sz w:val="16"/>
          <w:szCs w:val="16"/>
        </w:rPr>
        <w:softHyphen/>
        <w:t>чих получили ушибы. Значительная часть (40%) металлоконструкций эллинга была повреждена.</w:t>
      </w:r>
    </w:p>
    <w:p w14:paraId="4DA5AB7D" w14:textId="77777777" w:rsidR="00CF613C" w:rsidRPr="00405303" w:rsidRDefault="00CF613C" w:rsidP="00C15251">
      <w:pPr>
        <w:jc w:val="both"/>
        <w:rPr>
          <w:rStyle w:val="42"/>
          <w:rFonts w:ascii="Times New Roman" w:hAnsi="Times New Roman" w:cs="Times New Roman"/>
          <w:bCs/>
          <w:color w:val="002060"/>
          <w:w w:val="100"/>
          <w:sz w:val="16"/>
          <w:szCs w:val="16"/>
        </w:rPr>
      </w:pPr>
      <w:r w:rsidRPr="00405303">
        <w:rPr>
          <w:rStyle w:val="42"/>
          <w:rFonts w:ascii="Times New Roman" w:hAnsi="Times New Roman" w:cs="Times New Roman"/>
          <w:bCs/>
          <w:color w:val="002060"/>
          <w:w w:val="100"/>
          <w:sz w:val="16"/>
          <w:szCs w:val="16"/>
        </w:rPr>
        <w:t>24 декабря все части эллинга доставили во Львов, а 1 января 1915 г. началась его установка на уже готовый фундамент. Командир 2-й воздухоплавательной роты подполковник М.В. Агапов докладывал Авиаканцу: «Снежные заносы, обледенелость железных ферм и недостаточное коли</w:t>
      </w:r>
      <w:r w:rsidRPr="00405303">
        <w:rPr>
          <w:rStyle w:val="42"/>
          <w:rFonts w:ascii="Times New Roman" w:hAnsi="Times New Roman" w:cs="Times New Roman"/>
          <w:bCs/>
          <w:color w:val="002060"/>
          <w:w w:val="100"/>
          <w:sz w:val="16"/>
          <w:szCs w:val="16"/>
        </w:rPr>
        <w:softHyphen/>
        <w:t>чество опытных специалистов-рабочих крайне задерживает быстрое проведение работ. Все за</w:t>
      </w:r>
      <w:r w:rsidRPr="00405303">
        <w:rPr>
          <w:rStyle w:val="42"/>
          <w:rFonts w:ascii="Times New Roman" w:hAnsi="Times New Roman" w:cs="Times New Roman"/>
          <w:bCs/>
          <w:color w:val="002060"/>
          <w:w w:val="100"/>
          <w:sz w:val="16"/>
          <w:szCs w:val="16"/>
        </w:rPr>
        <w:softHyphen/>
        <w:t>висящие меры принимаются»62. Повреждённые фермы отремонтировали в железнодорожных мастерских Львова, и к лету эллинг установили. Но при эвакуации Львова 9 июня 1915 г. эллинг пришлось взорвать (20120).</w:t>
      </w:r>
    </w:p>
    <w:p w14:paraId="67B0B991" w14:textId="77777777" w:rsidR="00CF613C" w:rsidRPr="00405303" w:rsidRDefault="00CF613C" w:rsidP="00C15251">
      <w:pPr>
        <w:jc w:val="both"/>
        <w:rPr>
          <w:bCs/>
          <w:color w:val="002060"/>
          <w:sz w:val="16"/>
          <w:szCs w:val="16"/>
        </w:rPr>
      </w:pPr>
    </w:p>
    <w:p w14:paraId="605C9297"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5A70A211" w14:textId="77777777" w:rsidR="004B4E35" w:rsidRPr="00405303" w:rsidRDefault="004B4E35" w:rsidP="00C15251">
      <w:pPr>
        <w:shd w:val="clear" w:color="auto" w:fill="FFFFFF"/>
        <w:jc w:val="both"/>
        <w:rPr>
          <w:bCs/>
          <w:i/>
          <w:color w:val="002060"/>
          <w:sz w:val="16"/>
          <w:szCs w:val="16"/>
        </w:rPr>
      </w:pPr>
    </w:p>
    <w:p w14:paraId="2E063FA4" w14:textId="61290E3A"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4 (17) ноября 1915 </w:t>
      </w:r>
      <w:r w:rsidR="00AB5579" w:rsidRPr="00405303">
        <w:rPr>
          <w:bCs/>
          <w:color w:val="002060"/>
          <w:sz w:val="16"/>
          <w:szCs w:val="16"/>
        </w:rPr>
        <w:t>аэроплан Виллиша, который собрали только в конце сентября или даже в октябре,</w:t>
      </w:r>
      <w:r w:rsidRPr="00405303">
        <w:rPr>
          <w:bCs/>
          <w:color w:val="002060"/>
          <w:sz w:val="16"/>
          <w:szCs w:val="16"/>
        </w:rPr>
        <w:t xml:space="preserve"> отправили в Ревель для опытов. Спустя неделю А.Ю. Виллиш телеграфировал в МГШ о том, что и аппарат, и его мотор находились в ожидании первого полета; по другой версии, летающую лодку сна</w:t>
      </w:r>
      <w:r w:rsidRPr="00405303">
        <w:rPr>
          <w:bCs/>
          <w:color w:val="002060"/>
          <w:sz w:val="16"/>
          <w:szCs w:val="16"/>
        </w:rPr>
        <w:softHyphen/>
        <w:t>чала доставили в Петроградскую офицерскую школу морских летчиков и только затем, в конце ноября, она поступила в Ревель вместе с некоторым другим школьным имуществом (2843).</w:t>
      </w:r>
    </w:p>
    <w:p w14:paraId="40C44BC6" w14:textId="77777777" w:rsidR="004B4E35" w:rsidRPr="00405303" w:rsidRDefault="004B4E35" w:rsidP="00C15251">
      <w:pPr>
        <w:shd w:val="clear" w:color="auto" w:fill="FFFFFF"/>
        <w:jc w:val="both"/>
        <w:rPr>
          <w:bCs/>
          <w:color w:val="002060"/>
          <w:sz w:val="16"/>
          <w:szCs w:val="16"/>
        </w:rPr>
      </w:pPr>
    </w:p>
    <w:p w14:paraId="5F29F896" w14:textId="0943C0A8" w:rsidR="00CF613C" w:rsidRPr="00405303" w:rsidRDefault="00CF613C"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6832850E" w14:textId="77777777" w:rsidR="00CF613C" w:rsidRPr="00405303" w:rsidRDefault="00CF613C" w:rsidP="00C15251">
      <w:pPr>
        <w:shd w:val="clear" w:color="auto" w:fill="FFFFFF"/>
        <w:jc w:val="both"/>
        <w:rPr>
          <w:bCs/>
          <w:i/>
          <w:color w:val="002060"/>
          <w:sz w:val="16"/>
          <w:szCs w:val="16"/>
        </w:rPr>
      </w:pPr>
    </w:p>
    <w:p w14:paraId="48D42D9E" w14:textId="77777777" w:rsidR="00CF613C" w:rsidRPr="00405303" w:rsidRDefault="00CF613C" w:rsidP="00C15251">
      <w:pPr>
        <w:shd w:val="clear" w:color="auto" w:fill="FFFFFF"/>
        <w:jc w:val="both"/>
        <w:rPr>
          <w:bCs/>
          <w:color w:val="002060"/>
          <w:sz w:val="16"/>
          <w:szCs w:val="16"/>
        </w:rPr>
      </w:pPr>
      <w:r w:rsidRPr="00405303">
        <w:rPr>
          <w:bCs/>
          <w:color w:val="002060"/>
          <w:sz w:val="16"/>
          <w:szCs w:val="16"/>
        </w:rPr>
        <w:lastRenderedPageBreak/>
        <w:t>4 (17) ноября 1915 Особое совещание постановило ввести «в обиход армии, в качестве предмета нормального снабжения, кипятильников типа, принятого в Красном Кресте» [Журнал № 21 Особого совещания… Заседание 4 ноября 1915 г. / ЖОСО. 1915 год. М., 1975. С. 392.].</w:t>
      </w:r>
    </w:p>
    <w:p w14:paraId="0EE6CFE8" w14:textId="77777777" w:rsidR="00CF613C" w:rsidRPr="00405303" w:rsidRDefault="00CF613C" w:rsidP="00C15251">
      <w:pPr>
        <w:jc w:val="both"/>
        <w:rPr>
          <w:bCs/>
          <w:color w:val="002060"/>
          <w:sz w:val="16"/>
          <w:szCs w:val="16"/>
          <w:shd w:val="clear" w:color="auto" w:fill="FFFFFF"/>
        </w:rPr>
      </w:pPr>
    </w:p>
    <w:p w14:paraId="347384A0" w14:textId="32A655DA" w:rsidR="00E47662" w:rsidRPr="00405303" w:rsidRDefault="00E47662"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4 (17) ноября 1915 г. Поливанов распоря</w:t>
      </w:r>
      <w:r w:rsidRPr="00405303">
        <w:rPr>
          <w:rFonts w:ascii="Times New Roman" w:hAnsi="Times New Roman" w:cs="Times New Roman"/>
          <w:bCs/>
          <w:color w:val="002060"/>
          <w:sz w:val="16"/>
          <w:szCs w:val="16"/>
        </w:rPr>
        <w:softHyphen/>
        <w:t>дился, чтобы органы Военного министерства прекратили передавать заказы за границу через военно-промышленные комитеты и Земгор: «Если бы даже эти заказы и вызывались тем, что рынок России не в состоянии был дать заказываемые предметы или в требуемом количе</w:t>
      </w:r>
      <w:r w:rsidRPr="00405303">
        <w:rPr>
          <w:rFonts w:ascii="Times New Roman" w:hAnsi="Times New Roman" w:cs="Times New Roman"/>
          <w:bCs/>
          <w:color w:val="002060"/>
          <w:sz w:val="16"/>
          <w:szCs w:val="16"/>
        </w:rPr>
        <w:softHyphen/>
        <w:t>стве, или в определенные сроки, то все же такие заказы ведомствами должны были бы даваться за границу непосредственно самими, а не через общественные организации. На недопустимость в будущем по</w:t>
      </w:r>
      <w:r w:rsidRPr="00405303">
        <w:rPr>
          <w:rFonts w:ascii="Times New Roman" w:hAnsi="Times New Roman" w:cs="Times New Roman"/>
          <w:bCs/>
          <w:color w:val="002060"/>
          <w:sz w:val="16"/>
          <w:szCs w:val="16"/>
        </w:rPr>
        <w:softHyphen/>
        <w:t xml:space="preserve">вторения подобного рода заказов через общественные организации... Советом министров обращено особое внимание» (циркуляр Лукомского, </w:t>
      </w:r>
      <w:r w:rsidRPr="00405303">
        <w:rPr>
          <w:rFonts w:ascii="Times New Roman" w:hAnsi="Times New Roman" w:cs="Times New Roman"/>
          <w:bCs/>
          <w:color w:val="002060"/>
          <w:sz w:val="16"/>
          <w:szCs w:val="16"/>
          <w:lang w:bidi="en-US"/>
        </w:rPr>
        <w:t>4.</w:t>
      </w:r>
      <w:r w:rsidRPr="00405303">
        <w:rPr>
          <w:rFonts w:ascii="Times New Roman" w:hAnsi="Times New Roman" w:cs="Times New Roman"/>
          <w:bCs/>
          <w:color w:val="002060"/>
          <w:sz w:val="16"/>
          <w:szCs w:val="16"/>
          <w:lang w:val="en-US" w:bidi="en-US"/>
        </w:rPr>
        <w:t>XI</w:t>
      </w:r>
      <w:r w:rsidRPr="00405303">
        <w:rPr>
          <w:rFonts w:ascii="Times New Roman" w:hAnsi="Times New Roman" w:cs="Times New Roman"/>
          <w:bCs/>
          <w:color w:val="002060"/>
          <w:sz w:val="16"/>
          <w:szCs w:val="16"/>
          <w:lang w:bidi="en-US"/>
        </w:rPr>
        <w:t xml:space="preserve">.1915. </w:t>
      </w:r>
      <w:r w:rsidRPr="00405303">
        <w:rPr>
          <w:rFonts w:ascii="Times New Roman" w:hAnsi="Times New Roman" w:cs="Times New Roman"/>
          <w:bCs/>
          <w:color w:val="002060"/>
          <w:sz w:val="16"/>
          <w:szCs w:val="16"/>
        </w:rPr>
        <w:t xml:space="preserve">Цит. по: Сенин А.С. Организация снабжения русской армии •вооружением и боеприпасами в годы Первой мировой войны // XX век и Россия: общество, реформы и революции: Электронный сборник. Вып. 2. Самара, 2014. С. 69 </w:t>
      </w:r>
      <w:r w:rsidRPr="00405303">
        <w:rPr>
          <w:rFonts w:ascii="Times New Roman" w:hAnsi="Times New Roman" w:cs="Times New Roman"/>
          <w:bCs/>
          <w:color w:val="002060"/>
          <w:sz w:val="16"/>
          <w:szCs w:val="16"/>
          <w:lang w:bidi="en-US"/>
        </w:rPr>
        <w:t>//</w:t>
      </w:r>
      <w:r w:rsidRPr="00405303">
        <w:rPr>
          <w:rFonts w:ascii="Times New Roman" w:hAnsi="Times New Roman" w:cs="Times New Roman"/>
          <w:bCs/>
          <w:color w:val="002060"/>
          <w:sz w:val="16"/>
          <w:szCs w:val="16"/>
          <w:lang w:val="en-US" w:bidi="en-US"/>
        </w:rPr>
        <w:t>sbornik</w:t>
      </w:r>
      <w:r w:rsidRPr="00405303">
        <w:rPr>
          <w:rFonts w:ascii="Times New Roman" w:hAnsi="Times New Roman" w:cs="Times New Roman"/>
          <w:bCs/>
          <w:color w:val="002060"/>
          <w:sz w:val="16"/>
          <w:szCs w:val="16"/>
          <w:lang w:bidi="en-US"/>
        </w:rPr>
        <w:t>.</w:t>
      </w:r>
      <w:r w:rsidRPr="00405303">
        <w:rPr>
          <w:rFonts w:ascii="Times New Roman" w:hAnsi="Times New Roman" w:cs="Times New Roman"/>
          <w:bCs/>
          <w:color w:val="002060"/>
          <w:sz w:val="16"/>
          <w:szCs w:val="16"/>
          <w:lang w:val="en-US" w:bidi="en-US"/>
        </w:rPr>
        <w:t>lib</w:t>
      </w:r>
      <w:r w:rsidRPr="00405303">
        <w:rPr>
          <w:rFonts w:ascii="Times New Roman" w:hAnsi="Times New Roman" w:cs="Times New Roman"/>
          <w:bCs/>
          <w:color w:val="002060"/>
          <w:sz w:val="16"/>
          <w:szCs w:val="16"/>
          <w:lang w:bidi="en-US"/>
        </w:rPr>
        <w:t>.</w:t>
      </w:r>
      <w:r w:rsidRPr="00405303">
        <w:rPr>
          <w:rFonts w:ascii="Times New Roman" w:hAnsi="Times New Roman" w:cs="Times New Roman"/>
          <w:bCs/>
          <w:color w:val="002060"/>
          <w:sz w:val="16"/>
          <w:szCs w:val="16"/>
          <w:lang w:val="en-US" w:bidi="en-US"/>
        </w:rPr>
        <w:t>smr</w:t>
      </w:r>
      <w:r w:rsidRPr="00405303">
        <w:rPr>
          <w:rFonts w:ascii="Times New Roman" w:hAnsi="Times New Roman" w:cs="Times New Roman"/>
          <w:bCs/>
          <w:color w:val="002060"/>
          <w:sz w:val="16"/>
          <w:szCs w:val="16"/>
          <w:lang w:bidi="en-US"/>
        </w:rPr>
        <w:t>.</w:t>
      </w:r>
      <w:r w:rsidRPr="00405303">
        <w:rPr>
          <w:rFonts w:ascii="Times New Roman" w:hAnsi="Times New Roman" w:cs="Times New Roman"/>
          <w:bCs/>
          <w:color w:val="002060"/>
          <w:sz w:val="16"/>
          <w:szCs w:val="16"/>
          <w:lang w:val="en-US" w:bidi="en-US"/>
        </w:rPr>
        <w:t>ru</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 xml:space="preserve">СОГД. </w:t>
      </w:r>
      <w:r w:rsidRPr="00405303">
        <w:rPr>
          <w:rFonts w:ascii="Times New Roman" w:hAnsi="Times New Roman" w:cs="Times New Roman"/>
          <w:bCs/>
          <w:color w:val="002060"/>
          <w:sz w:val="16"/>
          <w:szCs w:val="16"/>
          <w:lang w:val="en-US" w:bidi="en-US"/>
        </w:rPr>
        <w:t>IV</w:t>
      </w:r>
      <w:r w:rsidRPr="00405303">
        <w:rPr>
          <w:rFonts w:ascii="Times New Roman" w:hAnsi="Times New Roman" w:cs="Times New Roman"/>
          <w:bCs/>
          <w:color w:val="002060"/>
          <w:sz w:val="16"/>
          <w:szCs w:val="16"/>
          <w:lang w:bidi="en-US"/>
        </w:rPr>
        <w:t xml:space="preserve">/4. </w:t>
      </w:r>
      <w:r w:rsidRPr="00405303">
        <w:rPr>
          <w:rFonts w:ascii="Times New Roman" w:hAnsi="Times New Roman" w:cs="Times New Roman"/>
          <w:bCs/>
          <w:color w:val="002060"/>
          <w:sz w:val="16"/>
          <w:szCs w:val="16"/>
        </w:rPr>
        <w:t>Пг., 1916. Ч. 2. Стб. 2464-2465) (23452).</w:t>
      </w:r>
    </w:p>
    <w:p w14:paraId="4EB3B8FA" w14:textId="77777777" w:rsidR="00E47662" w:rsidRPr="00405303" w:rsidRDefault="00E47662" w:rsidP="00C15251">
      <w:pPr>
        <w:jc w:val="both"/>
        <w:rPr>
          <w:bCs/>
          <w:color w:val="002060"/>
          <w:sz w:val="16"/>
          <w:szCs w:val="16"/>
        </w:rPr>
      </w:pPr>
    </w:p>
    <w:p w14:paraId="101FD7C1" w14:textId="797552C1" w:rsidR="00DB2A53" w:rsidRPr="00405303" w:rsidRDefault="00DB2A53" w:rsidP="00DB2A53">
      <w:pPr>
        <w:shd w:val="clear" w:color="auto" w:fill="FFFFFF"/>
        <w:jc w:val="both"/>
        <w:rPr>
          <w:bCs/>
          <w:i/>
          <w:color w:val="002060"/>
          <w:sz w:val="16"/>
          <w:szCs w:val="16"/>
        </w:rPr>
      </w:pPr>
      <w:r w:rsidRPr="00405303">
        <w:rPr>
          <w:bCs/>
          <w:i/>
          <w:color w:val="002060"/>
          <w:sz w:val="16"/>
          <w:szCs w:val="16"/>
        </w:rPr>
        <w:t>Авиация:</w:t>
      </w:r>
    </w:p>
    <w:p w14:paraId="30A4B798" w14:textId="77777777" w:rsidR="00DB2A53" w:rsidRPr="00405303" w:rsidRDefault="00DB2A53" w:rsidP="00DB2A53">
      <w:pPr>
        <w:shd w:val="clear" w:color="auto" w:fill="FFFFFF"/>
        <w:jc w:val="both"/>
        <w:rPr>
          <w:bCs/>
          <w:i/>
          <w:color w:val="002060"/>
          <w:sz w:val="16"/>
          <w:szCs w:val="16"/>
        </w:rPr>
      </w:pPr>
    </w:p>
    <w:p w14:paraId="764CF140" w14:textId="77777777" w:rsidR="00DB2A53" w:rsidRPr="00B52707" w:rsidRDefault="00DB2A53" w:rsidP="00DB2A53">
      <w:pPr>
        <w:jc w:val="both"/>
        <w:rPr>
          <w:color w:val="0070C0"/>
          <w:sz w:val="16"/>
          <w:szCs w:val="16"/>
        </w:rPr>
      </w:pPr>
      <w:r w:rsidRPr="00B52707">
        <w:rPr>
          <w:rStyle w:val="aa"/>
          <w:rFonts w:ascii="Times New Roman" w:hAnsi="Times New Roman"/>
          <w:color w:val="0070C0"/>
          <w:spacing w:val="0"/>
          <w:sz w:val="16"/>
          <w:szCs w:val="16"/>
        </w:rPr>
        <w:t xml:space="preserve">4 (17) ноября 1915 г. ночью воздушной бомбардировке с </w:t>
      </w:r>
      <w:r w:rsidRPr="00B52707">
        <w:rPr>
          <w:rStyle w:val="aa"/>
          <w:rFonts w:ascii="Times New Roman" w:hAnsi="Times New Roman"/>
          <w:color w:val="0070C0"/>
          <w:spacing w:val="0"/>
          <w:sz w:val="16"/>
          <w:szCs w:val="16"/>
          <w:lang w:val="en-US"/>
        </w:rPr>
        <w:t>LZ</w:t>
      </w:r>
      <w:r w:rsidRPr="00B52707">
        <w:rPr>
          <w:rStyle w:val="aa"/>
          <w:rFonts w:ascii="Times New Roman" w:hAnsi="Times New Roman"/>
          <w:color w:val="0070C0"/>
          <w:spacing w:val="0"/>
          <w:sz w:val="16"/>
          <w:szCs w:val="16"/>
        </w:rPr>
        <w:t>-86 подверглась ст. Ново-Вилейск (район г. Вильна). На железнодорожные сооружения было сброшено около 40 бомб, имелись человеческие жертвы. Немного ранее появление цеппелина было зафиксировано над Вильной. Плотный зенитный огонь заставил неприятельский экипаж изменить курс полета военного дирижабля (25135).</w:t>
      </w:r>
    </w:p>
    <w:p w14:paraId="00D0255B" w14:textId="77777777" w:rsidR="00DB2A53" w:rsidRPr="00B52707" w:rsidRDefault="00DB2A53" w:rsidP="00DB2A53">
      <w:pPr>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Действия воздухоплавания активно поддерживались авиацией.</w:t>
      </w:r>
    </w:p>
    <w:p w14:paraId="4C35C656" w14:textId="77777777" w:rsidR="00DB2A53" w:rsidRPr="00B52707" w:rsidRDefault="00DB2A53" w:rsidP="00DB2A53">
      <w:pPr>
        <w:jc w:val="both"/>
        <w:rPr>
          <w:color w:val="0070C0"/>
          <w:sz w:val="16"/>
          <w:szCs w:val="16"/>
        </w:rPr>
      </w:pPr>
    </w:p>
    <w:p w14:paraId="459BB290"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Франции:</w:t>
      </w:r>
    </w:p>
    <w:p w14:paraId="011E0AAB" w14:textId="77777777" w:rsidR="004B4E35" w:rsidRPr="00405303" w:rsidRDefault="004B4E35" w:rsidP="00C15251">
      <w:pPr>
        <w:shd w:val="clear" w:color="auto" w:fill="FFFFFF"/>
        <w:jc w:val="both"/>
        <w:rPr>
          <w:bCs/>
          <w:i/>
          <w:color w:val="002060"/>
          <w:sz w:val="16"/>
          <w:szCs w:val="16"/>
        </w:rPr>
      </w:pPr>
    </w:p>
    <w:p w14:paraId="788BF91E" w14:textId="7F13B35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4 (17) ноября 1915 года командующий 6-й Армией отдал приказ № 4893 "Следующие пилоты: капитан Брокар, адъютант Вандрен и сержант Гинем, с этого времени не будут участвовать в разведывательных полетах. Их специализацией будет борьба с самолетами противника над нашими оборонительными линиями. На территорию противника они не должны залетать ни под каким предлогом". Так появилась истребительная авиация. Запрет залетать на территорию противника объяснялся тем, что французы опасались раскрыть противнику сенсационное по тому времени изобретение Гарроса: установленные на фюзеляже самолета пулеметы и отражатель пуль на винте. Но в апреле 1916 года сам Гаррос был сбит за линией фронта и его изобретение стало известно немцам. Немецкое командование приказало скопировать французское изобретение, но тут выяснилось, что Германия обладает более технологичным решением проблемы стрельбы через диск винта - синхронизатором пулемета. Синхронизатор разработал Фоккер в Шверине. Конструкция синхронизатора опиралась на патент голландца Франца Шнайдера, выданный в 1913 году. У Фоккера совершенствованием синхронизатора занимался Генрих Люббе. Когда синхронизатор начали применять на самолетах, немцы снова получили преимущество в воздухе. Одновременно, в России синхронизатор изобрели В.П. Поплавко и С. Лавров. Синхронизатор с успехом использовался на истребителе С-16 конструкции Сикорского, но российская промышленность не смогла придать изобретению широкое распространение. С появлением синхронизатора исчезла необходимость создавать самолеты с толкающим винтом, позволяющим вести стрельбу в передней полусфере без каких-либо помех. Тем не менее, некоторые английские фирмы до конца войны предпочитали эту, в общем-то, проигрышную схему. К концу войны появились специальные авиационные скорострельные пулеметы - легкие, с оптическими прицелами, приемниками для стреляных гильз, ленточным питанием и большим боекомплектом. Эти пулеметы вели огонь зажигательными, трассирующими и разрывными пулями. Появились даже авиационные пушки разных калибров вплоть до 50 мм (11262).</w:t>
      </w:r>
    </w:p>
    <w:p w14:paraId="2CE0DA2E" w14:textId="77777777" w:rsidR="004B4E35" w:rsidRPr="00405303" w:rsidRDefault="004B4E35" w:rsidP="00C15251">
      <w:pPr>
        <w:pStyle w:val="a3"/>
        <w:jc w:val="both"/>
        <w:rPr>
          <w:bCs/>
          <w:i w:val="0"/>
          <w:color w:val="002060"/>
          <w:spacing w:val="0"/>
          <w:kern w:val="0"/>
          <w:position w:val="0"/>
          <w:sz w:val="16"/>
          <w:szCs w:val="16"/>
        </w:rPr>
      </w:pPr>
    </w:p>
    <w:p w14:paraId="6E19790A" w14:textId="662DF879" w:rsidR="002E1868" w:rsidRPr="00405303" w:rsidRDefault="002E1868" w:rsidP="002E1868">
      <w:pPr>
        <w:shd w:val="clear" w:color="auto" w:fill="FFFFFF"/>
        <w:jc w:val="both"/>
        <w:rPr>
          <w:bCs/>
          <w:i/>
          <w:color w:val="002060"/>
          <w:sz w:val="16"/>
          <w:szCs w:val="16"/>
        </w:rPr>
      </w:pPr>
      <w:r>
        <w:rPr>
          <w:bCs/>
          <w:i/>
          <w:color w:val="002060"/>
          <w:sz w:val="16"/>
          <w:szCs w:val="16"/>
        </w:rPr>
        <w:t>Самолетостроение</w:t>
      </w:r>
      <w:r w:rsidRPr="00405303">
        <w:rPr>
          <w:bCs/>
          <w:i/>
          <w:color w:val="002060"/>
          <w:sz w:val="16"/>
          <w:szCs w:val="16"/>
        </w:rPr>
        <w:t>:</w:t>
      </w:r>
    </w:p>
    <w:p w14:paraId="624556E6" w14:textId="77777777" w:rsidR="002E1868" w:rsidRPr="00405303" w:rsidRDefault="002E1868" w:rsidP="002E1868">
      <w:pPr>
        <w:shd w:val="clear" w:color="auto" w:fill="FFFFFF"/>
        <w:jc w:val="both"/>
        <w:rPr>
          <w:bCs/>
          <w:i/>
          <w:color w:val="002060"/>
          <w:sz w:val="16"/>
          <w:szCs w:val="16"/>
        </w:rPr>
      </w:pPr>
    </w:p>
    <w:p w14:paraId="5FD1FFB0" w14:textId="77777777" w:rsidR="002E1868" w:rsidRPr="00B52707" w:rsidRDefault="002E1868" w:rsidP="002E1868">
      <w:pPr>
        <w:jc w:val="both"/>
        <w:rPr>
          <w:color w:val="0070C0"/>
          <w:sz w:val="16"/>
          <w:szCs w:val="16"/>
        </w:rPr>
      </w:pPr>
      <w:r w:rsidRPr="00B52707">
        <w:rPr>
          <w:color w:val="0070C0"/>
          <w:sz w:val="16"/>
          <w:szCs w:val="16"/>
        </w:rPr>
        <w:t>5 (18) ноября 1915 года штаб верх, главн. сообщил ГВТУ в телеграмме следующие сведения:</w:t>
      </w:r>
    </w:p>
    <w:p w14:paraId="164AEC4A" w14:textId="77777777" w:rsidR="002E1868" w:rsidRPr="00B52707" w:rsidRDefault="002E1868" w:rsidP="002E1868">
      <w:pPr>
        <w:jc w:val="both"/>
        <w:rPr>
          <w:color w:val="0070C0"/>
          <w:sz w:val="16"/>
          <w:szCs w:val="16"/>
        </w:rPr>
      </w:pPr>
      <w:r w:rsidRPr="00B52707">
        <w:rPr>
          <w:color w:val="0070C0"/>
          <w:sz w:val="16"/>
          <w:szCs w:val="16"/>
        </w:rPr>
        <w:t>«Воздушные корабли типа «Илья Муромец» оказались вполне пригодными как для производства разведки, так и в особенности для бомбометания, которое неоднократно давало отличные результаты. Наибольшая длина полета корабля—572 км. (540 верст), высота под'ема—3.700 метров, грузопод‘емность 1.800 кг. (110 пудов), продолжительность полета 5 часов 17 минут, наибольший вес сброшенной по противнику бомбы 250 кг. (15 пудов), вес же учебных бомб, сбрасывавшихся с кораблей, достигал 417 кг. (25 пудов). Благоприятные отзывы о работе кораблей засвидетельство</w:t>
      </w:r>
      <w:r w:rsidRPr="00B52707">
        <w:rPr>
          <w:color w:val="0070C0"/>
          <w:sz w:val="16"/>
          <w:szCs w:val="16"/>
        </w:rPr>
        <w:softHyphen/>
        <w:t>ваны всеми начальниками штабов армий, в районе которых производилась боевая работа кораблей. Эта работа харак</w:t>
      </w:r>
      <w:r w:rsidRPr="00B52707">
        <w:rPr>
          <w:color w:val="0070C0"/>
          <w:sz w:val="16"/>
          <w:szCs w:val="16"/>
        </w:rPr>
        <w:softHyphen/>
        <w:t>теризуется, между прочим, заявлением одного пленного летчика - германца, что „Муромцами" причинены в неприя</w:t>
      </w:r>
      <w:r w:rsidRPr="00B52707">
        <w:rPr>
          <w:color w:val="0070C0"/>
          <w:sz w:val="16"/>
          <w:szCs w:val="16"/>
        </w:rPr>
        <w:softHyphen/>
        <w:t>тельском расположении значительные повреждения, и что в неприятельской армии замечается страх перед борьбой с ними».</w:t>
      </w:r>
    </w:p>
    <w:p w14:paraId="53579532" w14:textId="77777777" w:rsidR="002E1868" w:rsidRPr="00B52707" w:rsidRDefault="002E1868" w:rsidP="002E1868">
      <w:pPr>
        <w:jc w:val="both"/>
        <w:rPr>
          <w:color w:val="0070C0"/>
          <w:sz w:val="16"/>
          <w:szCs w:val="16"/>
        </w:rPr>
      </w:pPr>
      <w:r w:rsidRPr="00B52707">
        <w:rPr>
          <w:color w:val="0070C0"/>
          <w:sz w:val="16"/>
          <w:szCs w:val="16"/>
        </w:rPr>
        <w:t>В дополнение к этому сообщению штаб верх, глав-щего препроводил отчет о службе корабля № 111, составленный в штабе одной из наших армий.</w:t>
      </w:r>
    </w:p>
    <w:p w14:paraId="62036F7C" w14:textId="77777777" w:rsidR="002E1868" w:rsidRPr="00B52707" w:rsidRDefault="002E1868" w:rsidP="002E1868">
      <w:pPr>
        <w:jc w:val="both"/>
        <w:rPr>
          <w:color w:val="0070C0"/>
          <w:sz w:val="16"/>
          <w:szCs w:val="16"/>
        </w:rPr>
      </w:pPr>
      <w:r w:rsidRPr="00B52707">
        <w:rPr>
          <w:color w:val="0070C0"/>
          <w:sz w:val="16"/>
          <w:szCs w:val="16"/>
        </w:rPr>
        <w:t>В этом отчете, после подробного изложения сведений о работе корабля по производству разведок и бомбометания, дана такая аттестация кораблю: «Аппарат этот совершенно незаменим, и трудно лишь определенно ответить, важнее ли он для штаба афмии, как воздушная батарея, или как орган дальней разведки» (24923).</w:t>
      </w:r>
    </w:p>
    <w:p w14:paraId="38D8DD76" w14:textId="77777777" w:rsidR="002E1868" w:rsidRPr="00B52707" w:rsidRDefault="002E1868" w:rsidP="002E1868">
      <w:pPr>
        <w:jc w:val="both"/>
        <w:rPr>
          <w:color w:val="0070C0"/>
          <w:sz w:val="16"/>
          <w:szCs w:val="16"/>
        </w:rPr>
      </w:pPr>
    </w:p>
    <w:p w14:paraId="12966113"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2E16E182" w14:textId="77777777" w:rsidR="004B4E35" w:rsidRPr="00405303" w:rsidRDefault="004B4E35" w:rsidP="00C15251">
      <w:pPr>
        <w:shd w:val="clear" w:color="auto" w:fill="FFFFFF"/>
        <w:jc w:val="both"/>
        <w:rPr>
          <w:bCs/>
          <w:i/>
          <w:color w:val="002060"/>
          <w:sz w:val="16"/>
          <w:szCs w:val="16"/>
        </w:rPr>
      </w:pPr>
    </w:p>
    <w:p w14:paraId="3ED5F645" w14:textId="347B2BB6" w:rsidR="004B4E35" w:rsidRPr="00405303" w:rsidRDefault="009E6F82" w:rsidP="00C15251">
      <w:pPr>
        <w:jc w:val="both"/>
        <w:rPr>
          <w:bCs/>
          <w:color w:val="002060"/>
          <w:sz w:val="16"/>
          <w:szCs w:val="16"/>
        </w:rPr>
      </w:pPr>
      <w:r w:rsidRPr="00405303">
        <w:rPr>
          <w:bCs/>
          <w:color w:val="002060"/>
          <w:sz w:val="16"/>
          <w:szCs w:val="16"/>
        </w:rPr>
        <w:t>5 (18) ноября 1915 г.</w:t>
      </w:r>
      <w:r w:rsidR="00AB5579" w:rsidRPr="00405303">
        <w:rPr>
          <w:bCs/>
          <w:color w:val="002060"/>
          <w:sz w:val="16"/>
          <w:szCs w:val="16"/>
        </w:rPr>
        <w:t xml:space="preserve"> ГАУ получило разрешение строить Юзовский завод</w:t>
      </w:r>
      <w:r w:rsidRPr="00405303">
        <w:rPr>
          <w:bCs/>
          <w:color w:val="002060"/>
          <w:sz w:val="16"/>
          <w:szCs w:val="16"/>
        </w:rPr>
        <w:t>, когда Военный совет утвердил соответствующий доклад ГАУ от 29 октября. С учетом третьего ассигнования на этот объект, утвержденного Военным советом 11 марта 1917 г., общая стоимость его сооружения достигла 1,7 млн руб. (РГВИА. Ф. 29. Оп. 3. Д. 970. Л. 307; д. 1003. Л. 268—269), а вместе с постройкой жилых домов для рабочих — 2 млн рублей (ИПАТЬЕВ В.Н. Указ. соч. Т. 1. С. 466) (11329).</w:t>
      </w:r>
    </w:p>
    <w:p w14:paraId="315577D4" w14:textId="77777777" w:rsidR="004B4E35" w:rsidRPr="00405303" w:rsidRDefault="004B4E35" w:rsidP="00C15251">
      <w:pPr>
        <w:shd w:val="clear" w:color="auto" w:fill="FFFFFF"/>
        <w:jc w:val="both"/>
        <w:rPr>
          <w:bCs/>
          <w:i/>
          <w:color w:val="002060"/>
          <w:sz w:val="16"/>
          <w:szCs w:val="16"/>
        </w:rPr>
      </w:pPr>
    </w:p>
    <w:p w14:paraId="36E2D3C9" w14:textId="36DDB53E" w:rsidR="00AE0767" w:rsidRPr="00405303" w:rsidRDefault="00AE0767" w:rsidP="00C15251">
      <w:pPr>
        <w:jc w:val="both"/>
        <w:rPr>
          <w:bCs/>
          <w:color w:val="002060"/>
          <w:sz w:val="16"/>
          <w:szCs w:val="16"/>
        </w:rPr>
      </w:pPr>
      <w:r w:rsidRPr="00405303">
        <w:rPr>
          <w:bCs/>
          <w:color w:val="002060"/>
          <w:sz w:val="16"/>
          <w:szCs w:val="16"/>
          <w:shd w:val="clear" w:color="auto" w:fill="FFFFFF"/>
        </w:rPr>
        <w:t xml:space="preserve">5 </w:t>
      </w:r>
      <w:r w:rsidR="00AB5579" w:rsidRPr="00405303">
        <w:rPr>
          <w:bCs/>
          <w:color w:val="002060"/>
          <w:sz w:val="16"/>
          <w:szCs w:val="16"/>
          <w:shd w:val="clear" w:color="auto" w:fill="FFFFFF"/>
        </w:rPr>
        <w:t xml:space="preserve">(18) </w:t>
      </w:r>
      <w:r w:rsidRPr="00405303">
        <w:rPr>
          <w:bCs/>
          <w:color w:val="002060"/>
          <w:sz w:val="16"/>
          <w:szCs w:val="16"/>
          <w:shd w:val="clear" w:color="auto" w:fill="FFFFFF"/>
        </w:rPr>
        <w:t>ноября 1915 года командир батальона полковник Фурин и сообщал начальнику военно-дорожного отдела Управления военных сообщений (УПВОСО) в своем письме от:</w:t>
      </w:r>
      <w:r w:rsidR="00DB4D64" w:rsidRPr="00405303">
        <w:rPr>
          <w:bCs/>
          <w:color w:val="002060"/>
          <w:sz w:val="16"/>
          <w:szCs w:val="16"/>
          <w:shd w:val="clear" w:color="auto" w:fill="FFFFFF"/>
        </w:rPr>
        <w:t xml:space="preserve"> </w:t>
      </w:r>
    </w:p>
    <w:p w14:paraId="36E3A2B5" w14:textId="05ED7818" w:rsidR="00AE0767" w:rsidRPr="00405303" w:rsidRDefault="00AE0767" w:rsidP="00C15251">
      <w:pPr>
        <w:jc w:val="both"/>
        <w:rPr>
          <w:bCs/>
          <w:color w:val="002060"/>
          <w:sz w:val="16"/>
          <w:szCs w:val="16"/>
        </w:rPr>
      </w:pPr>
      <w:r w:rsidRPr="00405303">
        <w:rPr>
          <w:bCs/>
          <w:color w:val="002060"/>
          <w:sz w:val="16"/>
          <w:szCs w:val="16"/>
          <w:shd w:val="clear" w:color="auto" w:fill="FFFFFF"/>
        </w:rPr>
        <w:t>«Указанные выше недостатки бронепоезда, необходимо связанные с самой сущностью его, не могут быть устранены и были побудительной причиной к созданию нового типа легкой и подвижной механической единицы - моторной бронированной пулеметной дрезины типа 12-го железнодорожного батальона, проект таковой дрезины вместе с пояснительной запиской и проектом инструкции при сем представляется...</w:t>
      </w:r>
      <w:r w:rsidR="00DB4D64" w:rsidRPr="00405303">
        <w:rPr>
          <w:bCs/>
          <w:color w:val="002060"/>
          <w:sz w:val="16"/>
          <w:szCs w:val="16"/>
          <w:shd w:val="clear" w:color="auto" w:fill="FFFFFF"/>
        </w:rPr>
        <w:t xml:space="preserve"> </w:t>
      </w:r>
    </w:p>
    <w:p w14:paraId="55E5C7AE" w14:textId="5DC31348" w:rsidR="00AE0767" w:rsidRPr="00405303" w:rsidRDefault="00AE0767" w:rsidP="00C15251">
      <w:pPr>
        <w:jc w:val="both"/>
        <w:rPr>
          <w:bCs/>
          <w:color w:val="002060"/>
          <w:sz w:val="16"/>
          <w:szCs w:val="16"/>
        </w:rPr>
      </w:pPr>
      <w:r w:rsidRPr="00405303">
        <w:rPr>
          <w:bCs/>
          <w:color w:val="002060"/>
          <w:sz w:val="16"/>
          <w:szCs w:val="16"/>
          <w:shd w:val="clear" w:color="auto" w:fill="FFFFFF"/>
        </w:rPr>
        <w:t>В случае если представленный и рассмотренный проект моторной дрезины признается целесообразным, ходатайствую:</w:t>
      </w:r>
      <w:r w:rsidR="00DB4D64" w:rsidRPr="00405303">
        <w:rPr>
          <w:bCs/>
          <w:color w:val="002060"/>
          <w:sz w:val="16"/>
          <w:szCs w:val="16"/>
          <w:shd w:val="clear" w:color="auto" w:fill="FFFFFF"/>
        </w:rPr>
        <w:t xml:space="preserve"> </w:t>
      </w:r>
    </w:p>
    <w:p w14:paraId="6B2A3473" w14:textId="468AF189" w:rsidR="00AE0767" w:rsidRPr="00405303" w:rsidRDefault="00AE0767" w:rsidP="00C15251">
      <w:pPr>
        <w:jc w:val="both"/>
        <w:rPr>
          <w:bCs/>
          <w:color w:val="002060"/>
          <w:sz w:val="16"/>
          <w:szCs w:val="16"/>
        </w:rPr>
      </w:pPr>
      <w:r w:rsidRPr="00405303">
        <w:rPr>
          <w:bCs/>
          <w:color w:val="002060"/>
          <w:sz w:val="16"/>
          <w:szCs w:val="16"/>
          <w:shd w:val="clear" w:color="auto" w:fill="FFFFFF"/>
        </w:rPr>
        <w:t>1. Разрешить вместо постройки броне поезда построить две броневых дрезины для вверенного мне батальона;</w:t>
      </w:r>
      <w:r w:rsidR="00DB4D64" w:rsidRPr="00405303">
        <w:rPr>
          <w:bCs/>
          <w:color w:val="002060"/>
          <w:sz w:val="16"/>
          <w:szCs w:val="16"/>
          <w:shd w:val="clear" w:color="auto" w:fill="FFFFFF"/>
        </w:rPr>
        <w:t xml:space="preserve"> </w:t>
      </w:r>
    </w:p>
    <w:p w14:paraId="4D2B229A" w14:textId="2EA65FC1" w:rsidR="00AE0767" w:rsidRPr="00405303" w:rsidRDefault="00AE0767" w:rsidP="00C15251">
      <w:pPr>
        <w:jc w:val="both"/>
        <w:rPr>
          <w:bCs/>
          <w:color w:val="002060"/>
          <w:sz w:val="16"/>
          <w:szCs w:val="16"/>
        </w:rPr>
      </w:pPr>
      <w:r w:rsidRPr="00405303">
        <w:rPr>
          <w:bCs/>
          <w:color w:val="002060"/>
          <w:sz w:val="16"/>
          <w:szCs w:val="16"/>
          <w:shd w:val="clear" w:color="auto" w:fill="FFFFFF"/>
        </w:rPr>
        <w:t xml:space="preserve">2. Разрешить мне выдать обществу </w:t>
      </w:r>
      <w:proofErr w:type="gramStart"/>
      <w:r w:rsidRPr="00405303">
        <w:rPr>
          <w:bCs/>
          <w:color w:val="002060"/>
          <w:sz w:val="16"/>
          <w:szCs w:val="16"/>
          <w:shd w:val="clear" w:color="auto" w:fill="FFFFFF"/>
        </w:rPr>
        <w:t>Пути-ловских</w:t>
      </w:r>
      <w:proofErr w:type="gramEnd"/>
      <w:r w:rsidRPr="00405303">
        <w:rPr>
          <w:bCs/>
          <w:color w:val="002060"/>
          <w:sz w:val="16"/>
          <w:szCs w:val="16"/>
          <w:shd w:val="clear" w:color="auto" w:fill="FFFFFF"/>
        </w:rPr>
        <w:t xml:space="preserve"> заводов в Петрограде заказ на постройку двух таких дрезин, так как упомянутые заводы являются наиболее приспособленными к такого рода работам, ибо заводы ведут и вели постройку броневых автомобилей;</w:t>
      </w:r>
      <w:r w:rsidR="00DB4D64" w:rsidRPr="00405303">
        <w:rPr>
          <w:bCs/>
          <w:color w:val="002060"/>
          <w:sz w:val="16"/>
          <w:szCs w:val="16"/>
          <w:shd w:val="clear" w:color="auto" w:fill="FFFFFF"/>
        </w:rPr>
        <w:t xml:space="preserve"> </w:t>
      </w:r>
    </w:p>
    <w:p w14:paraId="0ADB4D7C" w14:textId="7F1B0FF1" w:rsidR="00AE0767" w:rsidRPr="00405303" w:rsidRDefault="00AE0767" w:rsidP="00C15251">
      <w:pPr>
        <w:jc w:val="both"/>
        <w:rPr>
          <w:bCs/>
          <w:color w:val="002060"/>
          <w:sz w:val="16"/>
          <w:szCs w:val="16"/>
        </w:rPr>
      </w:pPr>
      <w:r w:rsidRPr="00405303">
        <w:rPr>
          <w:bCs/>
          <w:color w:val="002060"/>
          <w:sz w:val="16"/>
          <w:szCs w:val="16"/>
          <w:shd w:val="clear" w:color="auto" w:fill="FFFFFF"/>
        </w:rPr>
        <w:t>3. Отпустить потребный на сей счет кредит, считая стоимость одной броневой дрезины 11000 рублей, а двух - 22000 рублей;</w:t>
      </w:r>
      <w:r w:rsidR="00DB4D64" w:rsidRPr="00405303">
        <w:rPr>
          <w:bCs/>
          <w:color w:val="002060"/>
          <w:sz w:val="16"/>
          <w:szCs w:val="16"/>
          <w:shd w:val="clear" w:color="auto" w:fill="FFFFFF"/>
        </w:rPr>
        <w:t xml:space="preserve"> </w:t>
      </w:r>
    </w:p>
    <w:p w14:paraId="1A3831DE" w14:textId="77777777" w:rsidR="00AE0767" w:rsidRPr="00405303" w:rsidRDefault="00AE0767" w:rsidP="00C15251">
      <w:pPr>
        <w:jc w:val="both"/>
        <w:rPr>
          <w:bCs/>
          <w:color w:val="002060"/>
          <w:sz w:val="16"/>
          <w:szCs w:val="16"/>
          <w:shd w:val="clear" w:color="auto" w:fill="FFFFFF"/>
        </w:rPr>
      </w:pPr>
      <w:r w:rsidRPr="00405303">
        <w:rPr>
          <w:bCs/>
          <w:color w:val="002060"/>
          <w:sz w:val="16"/>
          <w:szCs w:val="16"/>
          <w:shd w:val="clear" w:color="auto" w:fill="FFFFFF"/>
        </w:rPr>
        <w:t>4. Разрешить командировать на Путилов-ские заводы для наблюдения и руководства за работами по постройке дрезин прапорщика 12-го железнодорожного батальона инжене-ра-технолога Дмитрия Сонкина, под непосредственным руководством которого была спроектирована означенная дрезина» (18626).</w:t>
      </w:r>
    </w:p>
    <w:p w14:paraId="78DDBE61" w14:textId="77777777" w:rsidR="00AE0767" w:rsidRPr="00405303" w:rsidRDefault="00AE0767" w:rsidP="00C15251">
      <w:pPr>
        <w:jc w:val="both"/>
        <w:rPr>
          <w:bCs/>
          <w:color w:val="002060"/>
          <w:sz w:val="16"/>
          <w:szCs w:val="16"/>
        </w:rPr>
      </w:pPr>
    </w:p>
    <w:p w14:paraId="6DDD79EF" w14:textId="3F0E1D83" w:rsidR="00AE0767" w:rsidRPr="00405303" w:rsidRDefault="00AE0767" w:rsidP="00C15251">
      <w:pPr>
        <w:jc w:val="both"/>
        <w:rPr>
          <w:bCs/>
          <w:color w:val="002060"/>
          <w:sz w:val="16"/>
          <w:szCs w:val="16"/>
        </w:rPr>
      </w:pPr>
      <w:r w:rsidRPr="00405303">
        <w:rPr>
          <w:bCs/>
          <w:color w:val="002060"/>
          <w:sz w:val="16"/>
          <w:szCs w:val="16"/>
          <w:shd w:val="clear" w:color="auto" w:fill="FFFFFF"/>
        </w:rPr>
        <w:t xml:space="preserve">5 </w:t>
      </w:r>
      <w:r w:rsidR="00AB5579" w:rsidRPr="00405303">
        <w:rPr>
          <w:bCs/>
          <w:color w:val="002060"/>
          <w:sz w:val="16"/>
          <w:szCs w:val="16"/>
          <w:shd w:val="clear" w:color="auto" w:fill="FFFFFF"/>
        </w:rPr>
        <w:t xml:space="preserve">(19) </w:t>
      </w:r>
      <w:r w:rsidRPr="00405303">
        <w:rPr>
          <w:bCs/>
          <w:color w:val="002060"/>
          <w:sz w:val="16"/>
          <w:szCs w:val="16"/>
          <w:shd w:val="clear" w:color="auto" w:fill="FFFFFF"/>
        </w:rPr>
        <w:t>ноября 1915 года в своей телеграмме начальник УПВОСО Ставки генерал-майор Тихменев информировал начальника УПВОСО Западного фронта генерал-майора Кислякова:</w:t>
      </w:r>
      <w:r w:rsidR="00DB4D64" w:rsidRPr="00405303">
        <w:rPr>
          <w:bCs/>
          <w:color w:val="002060"/>
          <w:sz w:val="16"/>
          <w:szCs w:val="16"/>
          <w:shd w:val="clear" w:color="auto" w:fill="FFFFFF"/>
        </w:rPr>
        <w:t xml:space="preserve"> </w:t>
      </w:r>
    </w:p>
    <w:p w14:paraId="649BB8D6" w14:textId="56FD74E7" w:rsidR="00AE0767" w:rsidRPr="00405303" w:rsidRDefault="00AE0767" w:rsidP="00C15251">
      <w:pPr>
        <w:jc w:val="both"/>
        <w:rPr>
          <w:bCs/>
          <w:color w:val="002060"/>
          <w:sz w:val="16"/>
          <w:szCs w:val="16"/>
        </w:rPr>
      </w:pPr>
      <w:r w:rsidRPr="00405303">
        <w:rPr>
          <w:bCs/>
          <w:color w:val="002060"/>
          <w:sz w:val="16"/>
          <w:szCs w:val="16"/>
          <w:shd w:val="clear" w:color="auto" w:fill="FFFFFF"/>
        </w:rPr>
        <w:t xml:space="preserve">«Вам предложено сделать 2 бронированных моторных вагона, по одному на Северный и Западный фронты. Вкратце устройство таково: на длинной арбелевской платформе помещается: первое - вооружение, две 57-мм орудия на тумбах и 14 пулеметов, и второе - механическая часть, состоящая из бензинового двигателя автомобильного типа, динамо-машины с передачей на автоматический тормоз, электрическое освещение, вентиляция, прожектор и прочее. Первостепенное </w:t>
      </w:r>
      <w:r w:rsidRPr="00405303">
        <w:rPr>
          <w:bCs/>
          <w:color w:val="002060"/>
          <w:sz w:val="16"/>
          <w:szCs w:val="16"/>
          <w:shd w:val="clear" w:color="auto" w:fill="FFFFFF"/>
        </w:rPr>
        <w:lastRenderedPageBreak/>
        <w:t>преимущество перед всеми другими бронепоездами: первое - начальник поезда все видит и всем распоряжается: личным составом, движением вагона, работой орудий и пулеметов; и второе - небольшая цель - всего семь сажень длины, отсутствие пара, дыма и шума при движении».</w:t>
      </w:r>
      <w:r w:rsidR="00DB4D64" w:rsidRPr="00405303">
        <w:rPr>
          <w:bCs/>
          <w:color w:val="002060"/>
          <w:sz w:val="16"/>
          <w:szCs w:val="16"/>
          <w:shd w:val="clear" w:color="auto" w:fill="FFFFFF"/>
        </w:rPr>
        <w:t xml:space="preserve"> </w:t>
      </w:r>
    </w:p>
    <w:p w14:paraId="450EE30D" w14:textId="77777777" w:rsidR="00AE0767" w:rsidRPr="00405303" w:rsidRDefault="00AE0767" w:rsidP="00C15251">
      <w:pPr>
        <w:jc w:val="both"/>
        <w:rPr>
          <w:bCs/>
          <w:color w:val="002060"/>
          <w:sz w:val="16"/>
          <w:szCs w:val="16"/>
        </w:rPr>
      </w:pPr>
      <w:r w:rsidRPr="00405303">
        <w:rPr>
          <w:bCs/>
          <w:color w:val="002060"/>
          <w:sz w:val="16"/>
          <w:szCs w:val="16"/>
          <w:shd w:val="clear" w:color="auto" w:fill="FFFFFF"/>
        </w:rPr>
        <w:t>Но вскоре работы по постройке мотоброне-вагонов передали на Юго-Западный фронт, железнодорожные части которого имели опыт изготовления бронепоездов. После всесторонних обсуждений строительство решили поручить 4-й роте 1 -го Заамурского железнодорожного батальона под командованием капитана Крживоблоцкого, работавшей в Одесских железнодорожных мастерских. Общее руководство работами осуществлял командир 2-й За-амурской железнодорожной бригады генерал-майор М. Колобов.</w:t>
      </w:r>
    </w:p>
    <w:p w14:paraId="6729467B" w14:textId="7EAD9388" w:rsidR="00AE0767" w:rsidRPr="00405303" w:rsidRDefault="00AE0767" w:rsidP="00C15251">
      <w:pPr>
        <w:jc w:val="both"/>
        <w:rPr>
          <w:bCs/>
          <w:color w:val="002060"/>
          <w:sz w:val="16"/>
          <w:szCs w:val="16"/>
        </w:rPr>
      </w:pPr>
      <w:r w:rsidRPr="00405303">
        <w:rPr>
          <w:bCs/>
          <w:color w:val="002060"/>
          <w:sz w:val="16"/>
          <w:szCs w:val="16"/>
          <w:shd w:val="clear" w:color="auto" w:fill="FFFFFF"/>
        </w:rPr>
        <w:t>Рабочие чертежи разрабатывали Бутузов и инженеры-технологи прапорщики Таубе и Кельчицкий. Выполнив расчеты, они передали их для проверки профессорам Верхомоно-ву и Косицкому, которые дали следующий отзыв: «Тяговые расчеты произведены правильно и достаточно осторожно: моторы мощностью в 100 л.с. полезных на валу достаточны для движения вагоны весом до 55 т со скоростью 45 верст в час. Схема передачи от моторов к ведущим осям вполне осуществима».</w:t>
      </w:r>
      <w:r w:rsidR="00DB4D64" w:rsidRPr="00405303">
        <w:rPr>
          <w:bCs/>
          <w:color w:val="002060"/>
          <w:sz w:val="16"/>
          <w:szCs w:val="16"/>
          <w:shd w:val="clear" w:color="auto" w:fill="FFFFFF"/>
        </w:rPr>
        <w:t xml:space="preserve"> </w:t>
      </w:r>
    </w:p>
    <w:p w14:paraId="3581D7F1" w14:textId="77777777" w:rsidR="00AE0767" w:rsidRPr="00405303" w:rsidRDefault="00AE0767" w:rsidP="00C15251">
      <w:pPr>
        <w:jc w:val="both"/>
        <w:rPr>
          <w:bCs/>
          <w:color w:val="002060"/>
          <w:sz w:val="16"/>
          <w:szCs w:val="16"/>
        </w:rPr>
      </w:pPr>
      <w:r w:rsidRPr="00405303">
        <w:rPr>
          <w:bCs/>
          <w:color w:val="002060"/>
          <w:sz w:val="16"/>
          <w:szCs w:val="16"/>
          <w:shd w:val="clear" w:color="auto" w:fill="FFFFFF"/>
        </w:rPr>
        <w:t>И если с чертежами и подготовкой к изготовлению новых бронеединиц все обстояло благополучно, то с вооружением возникли проблемы. Дело в том, что планируемых к установке на мотоброневагоны 57-мм морских орудий Норденфельда в распоряжении железнодорожных войск не было. Пришлось их разыскивать на всех фронтах, но и это не помогло - выяснилось, что на вооружение может быть получено только «две 57-мм капонирных пушки и шесть и более орудий Гочкиса 47-мм с запасом снарядов от 800 до 1000 на каждое орудие». Проблему удалось только вмешательством начальника УПВОСО Ставки генерал-майора Тихменева, который 26 декабря 1915 года направил Колобову следующую телеграмму:</w:t>
      </w:r>
    </w:p>
    <w:p w14:paraId="51460AAC" w14:textId="3542E5EF" w:rsidR="00AE0767" w:rsidRPr="00405303" w:rsidRDefault="00AE0767" w:rsidP="00C15251">
      <w:pPr>
        <w:jc w:val="both"/>
        <w:rPr>
          <w:bCs/>
          <w:color w:val="002060"/>
          <w:sz w:val="16"/>
          <w:szCs w:val="16"/>
        </w:rPr>
      </w:pPr>
      <w:r w:rsidRPr="00405303">
        <w:rPr>
          <w:bCs/>
          <w:color w:val="002060"/>
          <w:sz w:val="16"/>
          <w:szCs w:val="16"/>
          <w:shd w:val="clear" w:color="auto" w:fill="FFFFFF"/>
        </w:rPr>
        <w:t>«Береговые 57-мм пушки в числе десять с 4000 выстрелов (75% шрапнель и 25% бронебойных) по сообщению Дежурного генерала при Верховном Главнокомандующем от 17 декабря, высланы в распоряжение начальника военных сообщений армий Юго-Западного фронта для оборудования мотовагонов (шесть для оборудования и четыре в запас). Помимо изложенного, ожидается еще 5000 шрапнелей. Таким образом, оборудование мотовагонов пушками будет обеспечено».</w:t>
      </w:r>
      <w:r w:rsidR="00DB4D64" w:rsidRPr="00405303">
        <w:rPr>
          <w:bCs/>
          <w:color w:val="002060"/>
          <w:sz w:val="16"/>
          <w:szCs w:val="16"/>
          <w:shd w:val="clear" w:color="auto" w:fill="FFFFFF"/>
        </w:rPr>
        <w:t xml:space="preserve"> </w:t>
      </w:r>
    </w:p>
    <w:p w14:paraId="07144553" w14:textId="4076AAAB" w:rsidR="00AE0767" w:rsidRPr="00405303" w:rsidRDefault="00AE0767" w:rsidP="00C15251">
      <w:pPr>
        <w:jc w:val="both"/>
        <w:rPr>
          <w:bCs/>
          <w:color w:val="002060"/>
          <w:sz w:val="16"/>
          <w:szCs w:val="16"/>
        </w:rPr>
      </w:pPr>
      <w:r w:rsidRPr="00405303">
        <w:rPr>
          <w:bCs/>
          <w:color w:val="002060"/>
          <w:sz w:val="16"/>
          <w:szCs w:val="16"/>
          <w:shd w:val="clear" w:color="auto" w:fill="FFFFFF"/>
        </w:rPr>
        <w:t xml:space="preserve">Но на этом проблемы не закончились. При закупке материалов, необходимых для строительства выяснилось, что уложиться в первоначальную смету - 29000 рублей за один </w:t>
      </w:r>
      <w:proofErr w:type="gramStart"/>
      <w:r w:rsidRPr="00405303">
        <w:rPr>
          <w:bCs/>
          <w:color w:val="002060"/>
          <w:sz w:val="16"/>
          <w:szCs w:val="16"/>
          <w:shd w:val="clear" w:color="auto" w:fill="FFFFFF"/>
        </w:rPr>
        <w:t>мото вагон</w:t>
      </w:r>
      <w:proofErr w:type="gramEnd"/>
      <w:r w:rsidRPr="00405303">
        <w:rPr>
          <w:bCs/>
          <w:color w:val="002060"/>
          <w:sz w:val="16"/>
          <w:szCs w:val="16"/>
          <w:shd w:val="clear" w:color="auto" w:fill="FFFFFF"/>
        </w:rPr>
        <w:t xml:space="preserve"> - невозможно. Поэтому Колобов совместно с начальником Одесских железнодорожных мастерских провел перерасчет необходимых для выполнения заказа средств, о чем докладывал начальнику УПВО-СО Ставки 9 января 1916 года:</w:t>
      </w:r>
      <w:r w:rsidR="00DB4D64" w:rsidRPr="00405303">
        <w:rPr>
          <w:bCs/>
          <w:color w:val="002060"/>
          <w:sz w:val="16"/>
          <w:szCs w:val="16"/>
          <w:shd w:val="clear" w:color="auto" w:fill="FFFFFF"/>
        </w:rPr>
        <w:t xml:space="preserve"> </w:t>
      </w:r>
    </w:p>
    <w:p w14:paraId="2FB436A7" w14:textId="77777777" w:rsidR="00AE0767" w:rsidRPr="00405303" w:rsidRDefault="00AE0767" w:rsidP="00C15251">
      <w:pPr>
        <w:jc w:val="both"/>
        <w:rPr>
          <w:bCs/>
          <w:color w:val="002060"/>
          <w:sz w:val="16"/>
          <w:szCs w:val="16"/>
        </w:rPr>
      </w:pPr>
      <w:r w:rsidRPr="00405303">
        <w:rPr>
          <w:bCs/>
          <w:color w:val="002060"/>
          <w:sz w:val="16"/>
          <w:szCs w:val="16"/>
          <w:shd w:val="clear" w:color="auto" w:fill="FFFFFF"/>
        </w:rPr>
        <w:t>«5 января закончена согласованная с начальником мастерских смета, причем стоимость одного мотовагона, не считая двух пульмановских тележек для каждого, достигает 40000 рублей, а с электрическим освещением - до 47000рублей. Смета высылается вместе с сим. Прошу ходатайствовать об ассигновании на три мотовагона 141000 рублей и об отпуске этой суммы в распоряжение начальника Юго-Западных железных дорог. К постройке мотовагона будет приступлено в течение этой недели. Сначала будет построен один мотовагон, на что потребуется два месяца, затем, в случае успешного испытания, следующие два вагона будут закончены в следующие два месяца» (18626).</w:t>
      </w:r>
    </w:p>
    <w:p w14:paraId="2FA172AB" w14:textId="77777777" w:rsidR="00AE0767" w:rsidRPr="00405303" w:rsidRDefault="00AE0767" w:rsidP="00C15251">
      <w:pPr>
        <w:jc w:val="both"/>
        <w:rPr>
          <w:bCs/>
          <w:color w:val="002060"/>
          <w:sz w:val="16"/>
          <w:szCs w:val="16"/>
        </w:rPr>
      </w:pPr>
    </w:p>
    <w:p w14:paraId="5FB8E755" w14:textId="77777777" w:rsidR="00AE0767" w:rsidRPr="00405303" w:rsidRDefault="00AE0767" w:rsidP="00C15251">
      <w:pPr>
        <w:shd w:val="clear" w:color="auto" w:fill="FFFFFF"/>
        <w:jc w:val="both"/>
        <w:rPr>
          <w:bCs/>
          <w:i/>
          <w:color w:val="002060"/>
          <w:sz w:val="16"/>
          <w:szCs w:val="16"/>
        </w:rPr>
      </w:pPr>
      <w:r w:rsidRPr="00405303">
        <w:rPr>
          <w:bCs/>
          <w:i/>
          <w:color w:val="002060"/>
          <w:sz w:val="16"/>
          <w:szCs w:val="16"/>
        </w:rPr>
        <w:t>Авиация:</w:t>
      </w:r>
    </w:p>
    <w:p w14:paraId="538F8038" w14:textId="77777777" w:rsidR="00AE0767" w:rsidRPr="00405303" w:rsidRDefault="00AE0767" w:rsidP="00C15251">
      <w:pPr>
        <w:shd w:val="clear" w:color="auto" w:fill="FFFFFF"/>
        <w:jc w:val="both"/>
        <w:rPr>
          <w:bCs/>
          <w:i/>
          <w:color w:val="002060"/>
          <w:sz w:val="16"/>
          <w:szCs w:val="16"/>
        </w:rPr>
      </w:pPr>
    </w:p>
    <w:p w14:paraId="33BEF744" w14:textId="77777777" w:rsidR="00CF613C" w:rsidRPr="00405303" w:rsidRDefault="00CF613C" w:rsidP="00C15251">
      <w:pPr>
        <w:pStyle w:val="rtejustify"/>
        <w:shd w:val="clear" w:color="auto" w:fill="FFFFFF"/>
        <w:spacing w:before="0" w:beforeAutospacing="0" w:after="0" w:afterAutospacing="0"/>
        <w:jc w:val="both"/>
        <w:textAlignment w:val="baseline"/>
        <w:rPr>
          <w:bCs/>
          <w:color w:val="002060"/>
          <w:sz w:val="16"/>
          <w:szCs w:val="16"/>
        </w:rPr>
      </w:pPr>
      <w:r w:rsidRPr="00405303">
        <w:rPr>
          <w:bCs/>
          <w:color w:val="002060"/>
          <w:sz w:val="16"/>
          <w:szCs w:val="16"/>
        </w:rPr>
        <w:t>5 (18) ноября 1915 г. в соответствии с приказом Начальника штаба УварРИ №329 от три первых русских истребительных авиаотряда (ИАО) были сформированы при авиапарках 2-й, 7-й и 12-й армий</w:t>
      </w:r>
      <w:r w:rsidRPr="00405303">
        <w:rPr>
          <w:bCs/>
          <w:color w:val="002060"/>
          <w:sz w:val="16"/>
          <w:szCs w:val="16"/>
          <w:shd w:val="clear" w:color="auto" w:fill="FFFFFF"/>
        </w:rPr>
        <w:t xml:space="preserve"> (20200)</w:t>
      </w:r>
      <w:r w:rsidRPr="00405303">
        <w:rPr>
          <w:bCs/>
          <w:color w:val="002060"/>
          <w:sz w:val="16"/>
          <w:szCs w:val="16"/>
        </w:rPr>
        <w:t>.</w:t>
      </w:r>
    </w:p>
    <w:p w14:paraId="4020C83D" w14:textId="77777777" w:rsidR="00CF613C" w:rsidRPr="00405303" w:rsidRDefault="00CF613C" w:rsidP="00C15251">
      <w:pPr>
        <w:pStyle w:val="rtejustify"/>
        <w:shd w:val="clear" w:color="auto" w:fill="FFFFFF"/>
        <w:spacing w:before="0" w:beforeAutospacing="0" w:after="0" w:afterAutospacing="0"/>
        <w:jc w:val="both"/>
        <w:textAlignment w:val="baseline"/>
        <w:rPr>
          <w:bCs/>
          <w:color w:val="002060"/>
          <w:sz w:val="16"/>
          <w:szCs w:val="16"/>
        </w:rPr>
      </w:pPr>
    </w:p>
    <w:p w14:paraId="4336C41A" w14:textId="184F33E0" w:rsidR="00AE0767" w:rsidRPr="00405303" w:rsidRDefault="00AE0767" w:rsidP="00C15251">
      <w:pPr>
        <w:pStyle w:val="rtejustify"/>
        <w:shd w:val="clear" w:color="auto" w:fill="FFFFFF"/>
        <w:spacing w:before="0" w:beforeAutospacing="0" w:after="0" w:afterAutospacing="0"/>
        <w:jc w:val="both"/>
        <w:rPr>
          <w:bCs/>
          <w:color w:val="002060"/>
          <w:sz w:val="16"/>
          <w:szCs w:val="16"/>
        </w:rPr>
      </w:pPr>
      <w:r w:rsidRPr="00405303">
        <w:rPr>
          <w:bCs/>
          <w:color w:val="002060"/>
          <w:sz w:val="16"/>
          <w:szCs w:val="16"/>
        </w:rPr>
        <w:t xml:space="preserve">5 </w:t>
      </w:r>
      <w:r w:rsidR="00AB5579" w:rsidRPr="00405303">
        <w:rPr>
          <w:bCs/>
          <w:color w:val="002060"/>
          <w:sz w:val="16"/>
          <w:szCs w:val="16"/>
        </w:rPr>
        <w:t xml:space="preserve">(18) </w:t>
      </w:r>
      <w:r w:rsidRPr="00405303">
        <w:rPr>
          <w:bCs/>
          <w:color w:val="002060"/>
          <w:sz w:val="16"/>
          <w:szCs w:val="16"/>
        </w:rPr>
        <w:t>ноября 1915 г. в соответствии с приказом Начальника штаба УварРИ №329 три первых русских истребительных авиаотряда (ИАО) были сформированы при авиапарках 2-й, 7-й и 12-й армий.</w:t>
      </w:r>
    </w:p>
    <w:p w14:paraId="270DF888" w14:textId="77777777" w:rsidR="00AE0767" w:rsidRPr="00405303" w:rsidRDefault="00AE0767" w:rsidP="00C15251">
      <w:pPr>
        <w:pStyle w:val="rtejustify"/>
        <w:shd w:val="clear" w:color="auto" w:fill="FFFFFF"/>
        <w:spacing w:before="0" w:beforeAutospacing="0" w:after="0" w:afterAutospacing="0"/>
        <w:jc w:val="both"/>
        <w:rPr>
          <w:bCs/>
          <w:color w:val="002060"/>
          <w:sz w:val="16"/>
          <w:szCs w:val="16"/>
        </w:rPr>
      </w:pPr>
      <w:r w:rsidRPr="00405303">
        <w:rPr>
          <w:bCs/>
          <w:color w:val="002060"/>
          <w:sz w:val="16"/>
          <w:szCs w:val="16"/>
        </w:rPr>
        <w:t>Уже 15 декабря великий князь Александр Михайлович доложил в Ставку ВГ генералу от инфантерии М.В. Алексееву, что «седьмой и двенадцатый отряды истребителей сформированы и выступают по назначению». Их командирами являлись соответственно подпоручики И.А. Орлов и М.Г. фон Лерхе. 2-й ИАО формировался при 2-м авиационном парке (г. Смоленск) под руководством штабс-капитана Е.Н.Крутеня, позднее вступившего в его командование.</w:t>
      </w:r>
    </w:p>
    <w:p w14:paraId="5E044023" w14:textId="13B06185" w:rsidR="00AE0767" w:rsidRPr="00405303" w:rsidRDefault="00AE0767" w:rsidP="00C15251">
      <w:pPr>
        <w:pStyle w:val="rtejustify"/>
        <w:shd w:val="clear" w:color="auto" w:fill="FFFFFF"/>
        <w:spacing w:before="0" w:beforeAutospacing="0" w:after="0" w:afterAutospacing="0"/>
        <w:jc w:val="both"/>
        <w:rPr>
          <w:bCs/>
          <w:color w:val="002060"/>
          <w:sz w:val="16"/>
          <w:szCs w:val="16"/>
        </w:rPr>
      </w:pPr>
      <w:r w:rsidRPr="00405303">
        <w:rPr>
          <w:bCs/>
          <w:color w:val="002060"/>
          <w:sz w:val="16"/>
          <w:szCs w:val="16"/>
        </w:rPr>
        <w:t>Формирование остальных авиаотрядов затянулось фактически на полгода из-за</w:t>
      </w:r>
      <w:r w:rsidR="000F5756">
        <w:rPr>
          <w:bCs/>
          <w:color w:val="002060"/>
          <w:sz w:val="16"/>
          <w:szCs w:val="16"/>
        </w:rPr>
        <w:t xml:space="preserve"> </w:t>
      </w:r>
      <w:r w:rsidRPr="00405303">
        <w:rPr>
          <w:bCs/>
          <w:color w:val="002060"/>
          <w:sz w:val="16"/>
          <w:szCs w:val="16"/>
        </w:rPr>
        <w:t>отсутствия союзнической помощи и недостатка специальных самолётов-истребителей. Поэтому полноценные отряды истребителей появились на фронте только к 1 июня</w:t>
      </w:r>
      <w:r w:rsidR="000F5756">
        <w:rPr>
          <w:bCs/>
          <w:color w:val="002060"/>
          <w:sz w:val="16"/>
          <w:szCs w:val="16"/>
        </w:rPr>
        <w:t xml:space="preserve"> </w:t>
      </w:r>
      <w:r w:rsidRPr="00405303">
        <w:rPr>
          <w:rStyle w:val="highlight"/>
          <w:bCs/>
          <w:color w:val="002060"/>
          <w:sz w:val="16"/>
          <w:szCs w:val="16"/>
        </w:rPr>
        <w:t>1916</w:t>
      </w:r>
      <w:r w:rsidR="000F5756">
        <w:rPr>
          <w:rStyle w:val="highlight"/>
          <w:bCs/>
          <w:color w:val="002060"/>
          <w:sz w:val="16"/>
          <w:szCs w:val="16"/>
        </w:rPr>
        <w:t xml:space="preserve"> </w:t>
      </w:r>
      <w:r w:rsidRPr="00405303">
        <w:rPr>
          <w:bCs/>
          <w:color w:val="002060"/>
          <w:sz w:val="16"/>
          <w:szCs w:val="16"/>
        </w:rPr>
        <w:t>года. В июле-августе на фронте появились еще 11 ИАО.</w:t>
      </w:r>
    </w:p>
    <w:tbl>
      <w:tblPr>
        <w:tblW w:w="5000" w:type="pct"/>
        <w:tblCellSpacing w:w="15" w:type="dxa"/>
        <w:tblCellMar>
          <w:left w:w="0" w:type="dxa"/>
          <w:right w:w="0" w:type="dxa"/>
        </w:tblCellMar>
        <w:tblLook w:val="04A0" w:firstRow="1" w:lastRow="0" w:firstColumn="1" w:lastColumn="0" w:noHBand="0" w:noVBand="1"/>
      </w:tblPr>
      <w:tblGrid>
        <w:gridCol w:w="1543"/>
        <w:gridCol w:w="1431"/>
        <w:gridCol w:w="1500"/>
        <w:gridCol w:w="1983"/>
        <w:gridCol w:w="4856"/>
      </w:tblGrid>
      <w:tr w:rsidR="00AE0767" w:rsidRPr="00405303" w14:paraId="37F1F216"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41D6A89" w14:textId="0B255374" w:rsidR="00AE0767" w:rsidRPr="00405303" w:rsidRDefault="00DB4D64" w:rsidP="00C15251">
            <w:pPr>
              <w:pStyle w:val="ae"/>
              <w:spacing w:before="0" w:beforeAutospacing="0" w:after="0" w:afterAutospacing="0"/>
              <w:jc w:val="both"/>
              <w:rPr>
                <w:bCs/>
                <w:color w:val="002060"/>
                <w:sz w:val="16"/>
                <w:szCs w:val="16"/>
              </w:rPr>
            </w:pPr>
            <w:r w:rsidRPr="00405303">
              <w:rPr>
                <w:bCs/>
                <w:color w:val="002060"/>
                <w:sz w:val="16"/>
                <w:szCs w:val="16"/>
              </w:rPr>
              <w:t xml:space="preserve"> </w:t>
            </w:r>
            <w:r w:rsidR="00AE0767" w:rsidRPr="00405303">
              <w:rPr>
                <w:rStyle w:val="af0"/>
                <w:b w:val="0"/>
                <w:color w:val="002060"/>
                <w:sz w:val="16"/>
                <w:szCs w:val="16"/>
              </w:rPr>
              <w:t>Наименование</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78CF238" w14:textId="275AEFDB" w:rsidR="00AE0767" w:rsidRPr="00405303" w:rsidRDefault="00DB4D64" w:rsidP="00C15251">
            <w:pPr>
              <w:pStyle w:val="ae"/>
              <w:spacing w:before="0" w:beforeAutospacing="0" w:after="0" w:afterAutospacing="0"/>
              <w:jc w:val="both"/>
              <w:rPr>
                <w:bCs/>
                <w:color w:val="002060"/>
                <w:sz w:val="16"/>
                <w:szCs w:val="16"/>
              </w:rPr>
            </w:pPr>
            <w:r w:rsidRPr="00405303">
              <w:rPr>
                <w:bCs/>
                <w:color w:val="002060"/>
                <w:sz w:val="16"/>
                <w:szCs w:val="16"/>
              </w:rPr>
              <w:t xml:space="preserve"> </w:t>
            </w:r>
            <w:r w:rsidR="00AE0767" w:rsidRPr="00405303">
              <w:rPr>
                <w:rStyle w:val="af0"/>
                <w:b w:val="0"/>
                <w:color w:val="002060"/>
                <w:sz w:val="16"/>
                <w:szCs w:val="16"/>
              </w:rPr>
              <w:t>Дата формирования</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5353020" w14:textId="1BB74330" w:rsidR="00AE0767" w:rsidRPr="00405303" w:rsidRDefault="00DB4D64" w:rsidP="00C15251">
            <w:pPr>
              <w:pStyle w:val="ae"/>
              <w:spacing w:before="0" w:beforeAutospacing="0" w:after="0" w:afterAutospacing="0"/>
              <w:jc w:val="both"/>
              <w:rPr>
                <w:bCs/>
                <w:color w:val="002060"/>
                <w:sz w:val="16"/>
                <w:szCs w:val="16"/>
              </w:rPr>
            </w:pPr>
            <w:r w:rsidRPr="00405303">
              <w:rPr>
                <w:bCs/>
                <w:color w:val="002060"/>
                <w:sz w:val="16"/>
                <w:szCs w:val="16"/>
              </w:rPr>
              <w:t xml:space="preserve"> </w:t>
            </w:r>
            <w:r w:rsidR="00AE0767" w:rsidRPr="00405303">
              <w:rPr>
                <w:rStyle w:val="af0"/>
                <w:b w:val="0"/>
                <w:color w:val="002060"/>
                <w:sz w:val="16"/>
                <w:szCs w:val="16"/>
              </w:rPr>
              <w:t>Начальник отряда</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4841709" w14:textId="71C76FBD" w:rsidR="00AE0767" w:rsidRPr="00405303" w:rsidRDefault="00DB4D64" w:rsidP="00C15251">
            <w:pPr>
              <w:pStyle w:val="ae"/>
              <w:spacing w:before="0" w:beforeAutospacing="0" w:after="0" w:afterAutospacing="0"/>
              <w:jc w:val="both"/>
              <w:rPr>
                <w:bCs/>
                <w:color w:val="002060"/>
                <w:sz w:val="16"/>
                <w:szCs w:val="16"/>
              </w:rPr>
            </w:pPr>
            <w:r w:rsidRPr="00405303">
              <w:rPr>
                <w:bCs/>
                <w:color w:val="002060"/>
                <w:sz w:val="16"/>
                <w:szCs w:val="16"/>
              </w:rPr>
              <w:t xml:space="preserve"> </w:t>
            </w:r>
            <w:r w:rsidR="00AE0767" w:rsidRPr="00405303">
              <w:rPr>
                <w:rStyle w:val="af0"/>
                <w:b w:val="0"/>
                <w:color w:val="002060"/>
                <w:sz w:val="16"/>
                <w:szCs w:val="16"/>
              </w:rPr>
              <w:t>Асы</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A74A531" w14:textId="7B50EA35" w:rsidR="00AE0767" w:rsidRPr="00405303" w:rsidRDefault="00DB4D64" w:rsidP="00C15251">
            <w:pPr>
              <w:pStyle w:val="ae"/>
              <w:spacing w:before="0" w:beforeAutospacing="0" w:after="0" w:afterAutospacing="0"/>
              <w:jc w:val="both"/>
              <w:rPr>
                <w:bCs/>
                <w:color w:val="002060"/>
                <w:sz w:val="16"/>
                <w:szCs w:val="16"/>
              </w:rPr>
            </w:pPr>
            <w:r w:rsidRPr="00405303">
              <w:rPr>
                <w:bCs/>
                <w:color w:val="002060"/>
                <w:sz w:val="16"/>
                <w:szCs w:val="16"/>
              </w:rPr>
              <w:t xml:space="preserve"> </w:t>
            </w:r>
            <w:r w:rsidR="00AE0767" w:rsidRPr="00405303">
              <w:rPr>
                <w:rStyle w:val="af0"/>
                <w:b w:val="0"/>
                <w:color w:val="002060"/>
                <w:sz w:val="16"/>
                <w:szCs w:val="16"/>
              </w:rPr>
              <w:t>Примечания</w:t>
            </w:r>
          </w:p>
        </w:tc>
      </w:tr>
      <w:tr w:rsidR="00AE0767" w:rsidRPr="00405303" w14:paraId="014E261F"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7E1130D"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1-й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0A4CA7D" w14:textId="59F68410"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12.07.</w:t>
            </w:r>
            <w:r w:rsidR="00DB4D64" w:rsidRPr="00405303">
              <w:rPr>
                <w:rStyle w:val="highlight"/>
                <w:bCs/>
                <w:color w:val="002060"/>
                <w:sz w:val="16"/>
                <w:szCs w:val="16"/>
              </w:rPr>
              <w:t xml:space="preserve"> </w:t>
            </w:r>
            <w:r w:rsidRPr="00405303">
              <w:rPr>
                <w:rStyle w:val="highlight"/>
                <w:bCs/>
                <w:color w:val="002060"/>
                <w:sz w:val="16"/>
                <w:szCs w:val="16"/>
              </w:rPr>
              <w:t>1916</w:t>
            </w:r>
            <w:r w:rsidR="000F5756">
              <w:rPr>
                <w:rStyle w:val="highlight"/>
                <w:bCs/>
                <w:color w:val="002060"/>
                <w:sz w:val="16"/>
                <w:szCs w:val="16"/>
              </w:rPr>
              <w:t xml:space="preserve"> </w:t>
            </w:r>
            <w:r w:rsidRPr="00405303">
              <w:rPr>
                <w:bCs/>
                <w:color w:val="002060"/>
                <w:sz w:val="16"/>
                <w:szCs w:val="16"/>
              </w:rPr>
              <w:t>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CF90568"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подпоручик К.К. Вакуловский</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8516B7A"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К.К. Вакуловский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6951B88"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7 самолетов «Моран-Стеглау» Сформирован при 4-м авиапарке (Витебск), передан в состав 1-го авиадивизиона (Рига, Северный фронт).</w:t>
            </w:r>
          </w:p>
        </w:tc>
      </w:tr>
      <w:tr w:rsidR="00AE0767" w:rsidRPr="00405303" w14:paraId="4D38E01C"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E193473"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2-й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7FDFAAB" w14:textId="2DB34C9C"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февраль</w:t>
            </w:r>
            <w:r w:rsidR="000F5756">
              <w:rPr>
                <w:bCs/>
                <w:color w:val="002060"/>
                <w:sz w:val="16"/>
                <w:szCs w:val="16"/>
              </w:rPr>
              <w:t xml:space="preserve"> </w:t>
            </w:r>
            <w:r w:rsidRPr="00405303">
              <w:rPr>
                <w:rStyle w:val="highlight"/>
                <w:bCs/>
                <w:color w:val="002060"/>
                <w:sz w:val="16"/>
                <w:szCs w:val="16"/>
              </w:rPr>
              <w:t>1916</w:t>
            </w:r>
            <w:r w:rsidR="000F5756">
              <w:rPr>
                <w:rStyle w:val="highlight"/>
                <w:bCs/>
                <w:color w:val="002060"/>
                <w:sz w:val="16"/>
                <w:szCs w:val="16"/>
              </w:rPr>
              <w:t xml:space="preserve"> </w:t>
            </w:r>
            <w:r w:rsidRPr="00405303">
              <w:rPr>
                <w:bCs/>
                <w:color w:val="002060"/>
                <w:sz w:val="16"/>
                <w:szCs w:val="16"/>
              </w:rPr>
              <w:t>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5863DC4"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шт.-капитан Е.Н. Крутень,</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9FC368D"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Е.Н. Крутень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BC56CBE"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10 самолетов «Ньюпорт-9»</w:t>
            </w:r>
          </w:p>
          <w:p w14:paraId="4FE988FB"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Сформирован при 2-м авиапарке (Смоленск).</w:t>
            </w:r>
          </w:p>
        </w:tc>
      </w:tr>
      <w:tr w:rsidR="00AE0767" w:rsidRPr="00405303" w14:paraId="662D709E"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9FA68F1"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3-й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698A611" w14:textId="7B46545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июль-август</w:t>
            </w:r>
            <w:r w:rsidR="000F5756">
              <w:rPr>
                <w:bCs/>
                <w:color w:val="002060"/>
                <w:sz w:val="16"/>
                <w:szCs w:val="16"/>
              </w:rPr>
              <w:t xml:space="preserve"> </w:t>
            </w:r>
            <w:r w:rsidRPr="00405303">
              <w:rPr>
                <w:rStyle w:val="highlight"/>
                <w:bCs/>
                <w:color w:val="002060"/>
                <w:sz w:val="16"/>
                <w:szCs w:val="16"/>
              </w:rPr>
              <w:t>1916</w:t>
            </w:r>
            <w:r w:rsidR="000F5756">
              <w:rPr>
                <w:rStyle w:val="highlight"/>
                <w:bCs/>
                <w:color w:val="002060"/>
                <w:sz w:val="16"/>
                <w:szCs w:val="16"/>
              </w:rPr>
              <w:t xml:space="preserve"> </w:t>
            </w:r>
            <w:r w:rsidRPr="00405303">
              <w:rPr>
                <w:bCs/>
                <w:color w:val="002060"/>
                <w:sz w:val="16"/>
                <w:szCs w:val="16"/>
              </w:rPr>
              <w:t>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9279CB7"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шт.-капитан Н.А. Мульков</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FB3D759"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1593404" w14:textId="7FD9ED09"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планировалось сформировать при 5-м авиапарке приказом от 12 марта</w:t>
            </w:r>
            <w:r w:rsidR="000F5756">
              <w:rPr>
                <w:bCs/>
                <w:color w:val="002060"/>
                <w:sz w:val="16"/>
                <w:szCs w:val="16"/>
              </w:rPr>
              <w:t xml:space="preserve"> </w:t>
            </w:r>
            <w:r w:rsidRPr="00405303">
              <w:rPr>
                <w:rStyle w:val="highlight"/>
                <w:bCs/>
                <w:color w:val="002060"/>
                <w:sz w:val="16"/>
                <w:szCs w:val="16"/>
              </w:rPr>
              <w:t>1916</w:t>
            </w:r>
            <w:r w:rsidR="000F5756">
              <w:rPr>
                <w:rStyle w:val="highlight"/>
                <w:bCs/>
                <w:color w:val="002060"/>
                <w:sz w:val="16"/>
                <w:szCs w:val="16"/>
              </w:rPr>
              <w:t xml:space="preserve"> </w:t>
            </w:r>
            <w:r w:rsidRPr="00405303">
              <w:rPr>
                <w:bCs/>
                <w:color w:val="002060"/>
                <w:sz w:val="16"/>
                <w:szCs w:val="16"/>
              </w:rPr>
              <w:t>г. Из-за нехватки самолётов и лётчиков формирование затянулось, и отряд был готов к перебазированию на фронт только в середине августа. 8 «Моран-Стеглау»</w:t>
            </w:r>
          </w:p>
        </w:tc>
      </w:tr>
      <w:tr w:rsidR="00AE0767" w:rsidRPr="00405303" w14:paraId="1FD682FB"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8463E34"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4-й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9CD44CE" w14:textId="2BC46514"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8.07.</w:t>
            </w:r>
            <w:r w:rsidR="00DB4D64" w:rsidRPr="00405303">
              <w:rPr>
                <w:rStyle w:val="highlight"/>
                <w:bCs/>
                <w:color w:val="002060"/>
                <w:sz w:val="16"/>
                <w:szCs w:val="16"/>
              </w:rPr>
              <w:t xml:space="preserve"> </w:t>
            </w:r>
            <w:r w:rsidRPr="00405303">
              <w:rPr>
                <w:rStyle w:val="highlight"/>
                <w:bCs/>
                <w:color w:val="002060"/>
                <w:sz w:val="16"/>
                <w:szCs w:val="16"/>
              </w:rPr>
              <w:t>1916</w:t>
            </w:r>
            <w:r w:rsidR="000F5756">
              <w:rPr>
                <w:rStyle w:val="highlight"/>
                <w:bCs/>
                <w:color w:val="002060"/>
                <w:sz w:val="16"/>
                <w:szCs w:val="16"/>
              </w:rPr>
              <w:t xml:space="preserve"> </w:t>
            </w:r>
            <w:r w:rsidRPr="00405303">
              <w:rPr>
                <w:bCs/>
                <w:color w:val="002060"/>
                <w:sz w:val="16"/>
                <w:szCs w:val="16"/>
              </w:rPr>
              <w:t>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2D56CAE"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сотник Зверев</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0B6FA86"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6B599B5"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Сформирован при 2-м авиапарке (Смоленск). 7 «Ньюпорт-9»</w:t>
            </w:r>
          </w:p>
        </w:tc>
      </w:tr>
      <w:tr w:rsidR="00AE0767" w:rsidRPr="00405303" w14:paraId="4B0A1D26"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36BA2F1"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5-й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3569D2A" w14:textId="3BFD64E5"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май</w:t>
            </w:r>
            <w:r w:rsidR="000F5756">
              <w:rPr>
                <w:bCs/>
                <w:color w:val="002060"/>
                <w:sz w:val="16"/>
                <w:szCs w:val="16"/>
              </w:rPr>
              <w:t xml:space="preserve"> </w:t>
            </w:r>
            <w:r w:rsidRPr="00405303">
              <w:rPr>
                <w:rStyle w:val="highlight"/>
                <w:bCs/>
                <w:color w:val="002060"/>
                <w:sz w:val="16"/>
                <w:szCs w:val="16"/>
              </w:rPr>
              <w:t>1916</w:t>
            </w:r>
            <w:r w:rsidR="000F5756">
              <w:rPr>
                <w:rStyle w:val="highlight"/>
                <w:bCs/>
                <w:color w:val="002060"/>
                <w:sz w:val="16"/>
                <w:szCs w:val="16"/>
              </w:rPr>
              <w:t xml:space="preserve"> </w:t>
            </w:r>
            <w:r w:rsidRPr="00405303">
              <w:rPr>
                <w:bCs/>
                <w:color w:val="002060"/>
                <w:sz w:val="16"/>
                <w:szCs w:val="16"/>
              </w:rPr>
              <w:t>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CD83524"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подпоручик Капутовский</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D7B7A99"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51B153A"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7-й авиапарк (Псков). 8 «Моран-Стеглау»</w:t>
            </w:r>
          </w:p>
        </w:tc>
      </w:tr>
      <w:tr w:rsidR="00AE0767" w:rsidRPr="00405303" w14:paraId="0893C393"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E0D14CB"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lastRenderedPageBreak/>
              <w:t>6-й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6E38F5B" w14:textId="411B6CF4"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5.06.</w:t>
            </w:r>
            <w:r w:rsidR="00DB4D64" w:rsidRPr="00405303">
              <w:rPr>
                <w:rStyle w:val="highlight"/>
                <w:bCs/>
                <w:color w:val="002060"/>
                <w:sz w:val="16"/>
                <w:szCs w:val="16"/>
              </w:rPr>
              <w:t xml:space="preserve"> </w:t>
            </w:r>
            <w:r w:rsidRPr="00405303">
              <w:rPr>
                <w:rStyle w:val="highlight"/>
                <w:bCs/>
                <w:color w:val="002060"/>
                <w:sz w:val="16"/>
                <w:szCs w:val="16"/>
              </w:rPr>
              <w:t>1916</w:t>
            </w:r>
            <w:r w:rsidR="000F5756">
              <w:rPr>
                <w:rStyle w:val="highlight"/>
                <w:bCs/>
                <w:color w:val="002060"/>
                <w:sz w:val="16"/>
                <w:szCs w:val="16"/>
              </w:rPr>
              <w:t xml:space="preserve"> </w:t>
            </w:r>
            <w:r w:rsidRPr="00405303">
              <w:rPr>
                <w:bCs/>
                <w:color w:val="002060"/>
                <w:sz w:val="16"/>
                <w:szCs w:val="16"/>
              </w:rPr>
              <w:t>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2FF6735"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капитан Н.Н. Моисеенко-Великий</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B272B3B"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8B23B25" w14:textId="270EE3E3"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7-й авиапарк. (бывший Гвардейский КАО?). 10 «Ньюпорт-17»</w:t>
            </w:r>
            <w:r w:rsidRPr="00405303">
              <w:rPr>
                <w:bCs/>
                <w:color w:val="002060"/>
                <w:sz w:val="16"/>
                <w:szCs w:val="16"/>
              </w:rPr>
              <w:br/>
              <w:t>В составе авиаотряда служили французские лётчики, прибывшие с французской миссией в Россию весной</w:t>
            </w:r>
            <w:r w:rsidR="000F5756">
              <w:rPr>
                <w:bCs/>
                <w:color w:val="002060"/>
                <w:sz w:val="16"/>
                <w:szCs w:val="16"/>
              </w:rPr>
              <w:t xml:space="preserve"> </w:t>
            </w:r>
            <w:r w:rsidRPr="00405303">
              <w:rPr>
                <w:rStyle w:val="highlight"/>
                <w:bCs/>
                <w:color w:val="002060"/>
                <w:sz w:val="16"/>
                <w:szCs w:val="16"/>
              </w:rPr>
              <w:t>1916</w:t>
            </w:r>
            <w:r w:rsidR="000F5756">
              <w:rPr>
                <w:rStyle w:val="highlight"/>
                <w:bCs/>
                <w:color w:val="002060"/>
                <w:sz w:val="16"/>
                <w:szCs w:val="16"/>
              </w:rPr>
              <w:t xml:space="preserve"> </w:t>
            </w:r>
            <w:r w:rsidRPr="00405303">
              <w:rPr>
                <w:bCs/>
                <w:color w:val="002060"/>
                <w:sz w:val="16"/>
                <w:szCs w:val="16"/>
              </w:rPr>
              <w:t>г.: лётчики старшие лейтенанты (суб-лейтенанты) Марсель Пайэт (Marcel Paillette) и Анри Мутак (Henri Moutach) и летнаб суб-лейтенант Анри Пиллэ (Henri Pillet).</w:t>
            </w:r>
          </w:p>
        </w:tc>
      </w:tr>
      <w:tr w:rsidR="00AE0767" w:rsidRPr="00405303" w14:paraId="7F5B2A97"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7C29CAB"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7-й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00123C9"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13.12.1915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6C6C3C9"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подпоручик И.А. Орлов;</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251FA45"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И.А. Орлов (5), В.И. Янченко (9), Д.А. Макиёнок (5), Ю.А. Гильшер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DFAF378"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10 самолетов «Ньюпорт-9». 3-я авиарота (Киев). 17 июня 1917 г. погиб первый командир отряда Иван Орлов; 7 июля 1917 г. погиб Гильшер;</w:t>
            </w:r>
          </w:p>
        </w:tc>
      </w:tr>
      <w:tr w:rsidR="00AE0767" w:rsidRPr="00405303" w14:paraId="4170B3A6"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77DE78D"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8-й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429006F" w14:textId="7CA5C138"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май</w:t>
            </w:r>
            <w:r w:rsidR="000F5756">
              <w:rPr>
                <w:bCs/>
                <w:color w:val="002060"/>
                <w:sz w:val="16"/>
                <w:szCs w:val="16"/>
              </w:rPr>
              <w:t xml:space="preserve"> </w:t>
            </w:r>
            <w:r w:rsidRPr="00405303">
              <w:rPr>
                <w:rStyle w:val="highlight"/>
                <w:bCs/>
                <w:color w:val="002060"/>
                <w:sz w:val="16"/>
                <w:szCs w:val="16"/>
              </w:rPr>
              <w:t>1916</w:t>
            </w:r>
            <w:r w:rsidR="000F5756">
              <w:rPr>
                <w:rStyle w:val="highlight"/>
                <w:bCs/>
                <w:color w:val="002060"/>
                <w:sz w:val="16"/>
                <w:szCs w:val="16"/>
              </w:rPr>
              <w:t xml:space="preserve"> </w:t>
            </w:r>
            <w:r w:rsidRPr="00405303">
              <w:rPr>
                <w:bCs/>
                <w:color w:val="002060"/>
                <w:sz w:val="16"/>
                <w:szCs w:val="16"/>
              </w:rPr>
              <w:t>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40297F7"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поручик Иванов</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28C98F3"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6D4814A"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3-й авиапарк (Киев). 17 апреля 1917 г. вошёл в 1-ю БАГ. 22 апреля лётчики-истребители приступили к боевой работе. 6 «Моран-Стеглау»</w:t>
            </w:r>
          </w:p>
        </w:tc>
      </w:tr>
      <w:tr w:rsidR="00AE0767" w:rsidRPr="00405303" w14:paraId="33E8196F"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BA8B0E3"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9-й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196B62E" w14:textId="5866EBF4"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5.03.</w:t>
            </w:r>
            <w:r w:rsidR="00DB4D64" w:rsidRPr="00405303">
              <w:rPr>
                <w:rStyle w:val="highlight"/>
                <w:bCs/>
                <w:color w:val="002060"/>
                <w:sz w:val="16"/>
                <w:szCs w:val="16"/>
              </w:rPr>
              <w:t xml:space="preserve"> </w:t>
            </w:r>
            <w:r w:rsidRPr="00405303">
              <w:rPr>
                <w:rStyle w:val="highlight"/>
                <w:bCs/>
                <w:color w:val="002060"/>
                <w:sz w:val="16"/>
                <w:szCs w:val="16"/>
              </w:rPr>
              <w:t>1916</w:t>
            </w:r>
            <w:r w:rsidR="000F5756">
              <w:rPr>
                <w:rStyle w:val="highlight"/>
                <w:bCs/>
                <w:color w:val="002060"/>
                <w:sz w:val="16"/>
                <w:szCs w:val="16"/>
              </w:rPr>
              <w:t xml:space="preserve"> </w:t>
            </w:r>
            <w:r w:rsidRPr="00405303">
              <w:rPr>
                <w:bCs/>
                <w:color w:val="002060"/>
                <w:sz w:val="16"/>
                <w:szCs w:val="16"/>
              </w:rPr>
              <w:t>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DD7C1A6"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подпоручик И.А. Лойко</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92CED52"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Г.Э. Сук (8), И.А. Лойко (6), В.И. Стржижевский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B9951E9"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5 (Ньюпорт-9, Моран-Стеглау, 3 Ньюпорт-17)</w:t>
            </w:r>
          </w:p>
        </w:tc>
      </w:tr>
      <w:tr w:rsidR="00AE0767" w:rsidRPr="00405303" w14:paraId="161BABC7"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A247D3B"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10-й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4E52C55" w14:textId="45E13017" w:rsidR="00AE0767" w:rsidRPr="00405303" w:rsidRDefault="00DB4D64" w:rsidP="00C15251">
            <w:pPr>
              <w:pStyle w:val="ae"/>
              <w:spacing w:before="0" w:beforeAutospacing="0" w:after="0" w:afterAutospacing="0"/>
              <w:jc w:val="both"/>
              <w:rPr>
                <w:bCs/>
                <w:color w:val="002060"/>
                <w:sz w:val="16"/>
                <w:szCs w:val="16"/>
              </w:rPr>
            </w:pPr>
            <w:r w:rsidRPr="00405303">
              <w:rPr>
                <w:rStyle w:val="highlight"/>
                <w:bCs/>
                <w:color w:val="002060"/>
                <w:sz w:val="16"/>
                <w:szCs w:val="16"/>
              </w:rPr>
              <w:t xml:space="preserve"> </w:t>
            </w:r>
            <w:r w:rsidR="00AE0767" w:rsidRPr="00405303">
              <w:rPr>
                <w:rStyle w:val="highlight"/>
                <w:bCs/>
                <w:color w:val="002060"/>
                <w:sz w:val="16"/>
                <w:szCs w:val="16"/>
              </w:rPr>
              <w:t>июль</w:t>
            </w:r>
            <w:r w:rsidR="000F5756">
              <w:rPr>
                <w:rStyle w:val="highlight"/>
                <w:bCs/>
                <w:color w:val="002060"/>
                <w:sz w:val="16"/>
                <w:szCs w:val="16"/>
              </w:rPr>
              <w:t xml:space="preserve"> </w:t>
            </w:r>
            <w:r w:rsidR="00AE0767" w:rsidRPr="00405303">
              <w:rPr>
                <w:rStyle w:val="highlight"/>
                <w:bCs/>
                <w:color w:val="002060"/>
                <w:sz w:val="16"/>
                <w:szCs w:val="16"/>
              </w:rPr>
              <w:t>1916</w:t>
            </w:r>
            <w:r w:rsidR="000F5756">
              <w:rPr>
                <w:rStyle w:val="highlight"/>
                <w:bCs/>
                <w:color w:val="002060"/>
                <w:sz w:val="16"/>
                <w:szCs w:val="16"/>
              </w:rPr>
              <w:t xml:space="preserve"> </w:t>
            </w:r>
            <w:r w:rsidR="00AE0767" w:rsidRPr="00405303">
              <w:rPr>
                <w:bCs/>
                <w:color w:val="002060"/>
                <w:sz w:val="16"/>
                <w:szCs w:val="16"/>
              </w:rPr>
              <w:t>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6E281EF"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прапорщик С.Ноздровский</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A9F8B7C"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А.И. Пишванов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5B6EFD6"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4-й авиапарк (Витебск) 7 «Моран-Стеглау»</w:t>
            </w:r>
          </w:p>
        </w:tc>
      </w:tr>
      <w:tr w:rsidR="00AE0767" w:rsidRPr="00405303" w14:paraId="71724E1A"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E99AC43"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11-й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8725E4F" w14:textId="7E860A61" w:rsidR="00AE0767" w:rsidRPr="00405303" w:rsidRDefault="00DB4D64" w:rsidP="00C15251">
            <w:pPr>
              <w:pStyle w:val="ae"/>
              <w:spacing w:before="0" w:beforeAutospacing="0" w:after="0" w:afterAutospacing="0"/>
              <w:jc w:val="both"/>
              <w:rPr>
                <w:bCs/>
                <w:color w:val="002060"/>
                <w:sz w:val="16"/>
                <w:szCs w:val="16"/>
              </w:rPr>
            </w:pPr>
            <w:r w:rsidRPr="00405303">
              <w:rPr>
                <w:rStyle w:val="highlight"/>
                <w:bCs/>
                <w:color w:val="002060"/>
                <w:sz w:val="16"/>
                <w:szCs w:val="16"/>
              </w:rPr>
              <w:t xml:space="preserve"> </w:t>
            </w:r>
            <w:r w:rsidR="00AE0767" w:rsidRPr="00405303">
              <w:rPr>
                <w:rStyle w:val="highlight"/>
                <w:bCs/>
                <w:color w:val="002060"/>
                <w:sz w:val="16"/>
                <w:szCs w:val="16"/>
              </w:rPr>
              <w:t>июль</w:t>
            </w:r>
            <w:r w:rsidR="000F5756">
              <w:rPr>
                <w:rStyle w:val="highlight"/>
                <w:bCs/>
                <w:color w:val="002060"/>
                <w:sz w:val="16"/>
                <w:szCs w:val="16"/>
              </w:rPr>
              <w:t xml:space="preserve"> </w:t>
            </w:r>
            <w:r w:rsidR="00AE0767" w:rsidRPr="00405303">
              <w:rPr>
                <w:rStyle w:val="highlight"/>
                <w:bCs/>
                <w:color w:val="002060"/>
                <w:sz w:val="16"/>
                <w:szCs w:val="16"/>
              </w:rPr>
              <w:t>1916</w:t>
            </w:r>
            <w:r w:rsidR="000F5756">
              <w:rPr>
                <w:rStyle w:val="highlight"/>
                <w:bCs/>
                <w:color w:val="002060"/>
                <w:sz w:val="16"/>
                <w:szCs w:val="16"/>
              </w:rPr>
              <w:t xml:space="preserve"> </w:t>
            </w:r>
            <w:r w:rsidR="00AE0767" w:rsidRPr="00405303">
              <w:rPr>
                <w:bCs/>
                <w:color w:val="002060"/>
                <w:sz w:val="16"/>
                <w:szCs w:val="16"/>
              </w:rPr>
              <w:t>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698B99E"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поручик Станюкович;</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C15AFB9"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703376F"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3-й авиапарк 9 «Моран-Стеглау»</w:t>
            </w:r>
          </w:p>
        </w:tc>
      </w:tr>
      <w:tr w:rsidR="00AE0767" w:rsidRPr="00405303" w14:paraId="2D5845CE"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92B1ECD"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12-й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64972EB"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14.12.1915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ACA700C"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подпоручик М.Г. фон Лерхе</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3394B8F"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8148691"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10 самолетов «Моран-Стеглау IIIР»</w:t>
            </w:r>
          </w:p>
          <w:p w14:paraId="367B2572"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7-й авиапарк (Псков)</w:t>
            </w:r>
          </w:p>
        </w:tc>
      </w:tr>
      <w:tr w:rsidR="00AE0767" w:rsidRPr="00405303" w14:paraId="7DD14811"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E7ABCF0"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13-й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5AF1981"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февраль 1917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9724D4C"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шт.-капитан Коссовский</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10C1182"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7088B35"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7-й авиапарк. Отряд вошёл в состав 4-й БАГ Северного фронта. 10 Ньюпорт-17</w:t>
            </w:r>
          </w:p>
        </w:tc>
      </w:tr>
      <w:tr w:rsidR="00AE0767" w:rsidRPr="00405303" w14:paraId="03B7AF5C"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0C6AFE1"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14-й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15646BF"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февраль 1917 г. — июль 1917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5E4D877"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шт.-капитан Н.И. Белоусович</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7512738"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F5A6EF3"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7-й авиапарк. Отряд работал в составе Северного фронта с 21 августа. Вошёл в состав 4-й БАГ Северного фронта</w:t>
            </w:r>
          </w:p>
          <w:p w14:paraId="2B5F57CA"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10 Ньюпорт-17</w:t>
            </w:r>
          </w:p>
        </w:tc>
      </w:tr>
      <w:tr w:rsidR="00AE0767" w:rsidRPr="00405303" w14:paraId="33351B4F"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8CF2122"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15-й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D36DE7A"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июнь 1917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D01F950"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капитан Сакиричь</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FC649CF"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50A3236" w14:textId="77777777" w:rsidR="00AE0767" w:rsidRPr="00405303" w:rsidRDefault="00AE0767" w:rsidP="00C15251">
            <w:pPr>
              <w:pStyle w:val="ae"/>
              <w:spacing w:before="0" w:beforeAutospacing="0" w:after="0" w:afterAutospacing="0"/>
              <w:jc w:val="both"/>
              <w:rPr>
                <w:bCs/>
                <w:color w:val="002060"/>
                <w:sz w:val="16"/>
                <w:szCs w:val="16"/>
              </w:rPr>
            </w:pPr>
            <w:r w:rsidRPr="00405303">
              <w:rPr>
                <w:bCs/>
                <w:color w:val="002060"/>
                <w:sz w:val="16"/>
                <w:szCs w:val="16"/>
              </w:rPr>
              <w:t>авиаотряд сформирован из части авиаотряда охраны Ставки 10 Ньюпорт-17</w:t>
            </w:r>
          </w:p>
        </w:tc>
      </w:tr>
    </w:tbl>
    <w:p w14:paraId="17656970" w14:textId="77777777" w:rsidR="00AE0767" w:rsidRPr="00405303" w:rsidRDefault="00AE0767" w:rsidP="00C15251">
      <w:pPr>
        <w:pStyle w:val="ae"/>
        <w:shd w:val="clear" w:color="auto" w:fill="FFFFFF"/>
        <w:spacing w:before="0" w:beforeAutospacing="0" w:after="0" w:afterAutospacing="0"/>
        <w:jc w:val="both"/>
        <w:rPr>
          <w:rStyle w:val="af0"/>
          <w:b w:val="0"/>
          <w:color w:val="002060"/>
          <w:sz w:val="16"/>
          <w:szCs w:val="16"/>
        </w:rPr>
      </w:pPr>
      <w:r w:rsidRPr="00405303">
        <w:rPr>
          <w:rStyle w:val="af0"/>
          <w:b w:val="0"/>
          <w:color w:val="002060"/>
          <w:sz w:val="16"/>
          <w:szCs w:val="16"/>
        </w:rPr>
        <w:t>(17110).</w:t>
      </w:r>
    </w:p>
    <w:p w14:paraId="288AA8F5" w14:textId="77777777" w:rsidR="00AE0767" w:rsidRPr="00405303" w:rsidRDefault="00AE0767" w:rsidP="00C15251">
      <w:pPr>
        <w:pStyle w:val="ae"/>
        <w:shd w:val="clear" w:color="auto" w:fill="FFFFFF"/>
        <w:spacing w:before="0" w:beforeAutospacing="0" w:after="0" w:afterAutospacing="0"/>
        <w:jc w:val="both"/>
        <w:rPr>
          <w:rStyle w:val="af0"/>
          <w:b w:val="0"/>
          <w:color w:val="002060"/>
          <w:sz w:val="16"/>
          <w:szCs w:val="16"/>
        </w:rPr>
      </w:pPr>
    </w:p>
    <w:p w14:paraId="1C1F15C8" w14:textId="62D38C08" w:rsidR="00093136" w:rsidRPr="00405303" w:rsidRDefault="00093136" w:rsidP="00C15251">
      <w:pPr>
        <w:jc w:val="both"/>
        <w:rPr>
          <w:bCs/>
          <w:color w:val="002060"/>
          <w:sz w:val="16"/>
          <w:szCs w:val="16"/>
        </w:rPr>
      </w:pPr>
      <w:r w:rsidRPr="00405303">
        <w:rPr>
          <w:bCs/>
          <w:color w:val="002060"/>
          <w:sz w:val="16"/>
          <w:szCs w:val="16"/>
        </w:rPr>
        <w:t>5 (18) ноября 1915 г., когда по неизвестным причинам ИМ-3 разбился южнее Барановичей неподалеку от Прилук. Согласно капитану Горшкову, который участвовал в работе комитета по расследованию воздушной катастрофы, ее причиной могло быть решение штабс-капитана Озерецкого — мужественного командира ИМ-3, удалить вторую пару рычагов управления чтобы увеличить скорость полета, которая обычно составляла 120-130 км в час. Эта переделка на самом деле уменьшила стабильность большого самолета.</w:t>
      </w:r>
    </w:p>
    <w:p w14:paraId="6F936568" w14:textId="77777777" w:rsidR="00093136" w:rsidRPr="00405303" w:rsidRDefault="00093136" w:rsidP="00C15251">
      <w:pPr>
        <w:jc w:val="both"/>
        <w:rPr>
          <w:bCs/>
          <w:color w:val="002060"/>
          <w:sz w:val="16"/>
          <w:szCs w:val="16"/>
        </w:rPr>
      </w:pPr>
      <w:r w:rsidRPr="00405303">
        <w:rPr>
          <w:bCs/>
          <w:color w:val="002060"/>
          <w:sz w:val="16"/>
          <w:szCs w:val="16"/>
        </w:rPr>
        <w:t>Перед приходом в ЭВК штабс-капитан Озерецкий был инструктором Гатчинской военной школы летчиков. Озерецкий отличался от большинства других офицеров тем, что не разделял их враждебное отношение к тяжелой авиации. На самом деле Озерецкий предпочел службу в ЭВК назначению в часть, которая была оснащена одномоторными аэропланами. Он был убежден, что Муромцы могли бы внести ценный вклад в военные усилия. До прихода в авиацию Озерецкий служил в Лейб-гвардии Первом гренадерском полку.</w:t>
      </w:r>
    </w:p>
    <w:p w14:paraId="04A63920" w14:textId="77777777" w:rsidR="00093136" w:rsidRPr="00405303" w:rsidRDefault="00093136" w:rsidP="00C15251">
      <w:pPr>
        <w:jc w:val="both"/>
        <w:rPr>
          <w:bCs/>
          <w:color w:val="002060"/>
          <w:sz w:val="16"/>
          <w:szCs w:val="16"/>
        </w:rPr>
      </w:pPr>
      <w:r w:rsidRPr="00405303">
        <w:rPr>
          <w:bCs/>
          <w:color w:val="002060"/>
          <w:sz w:val="16"/>
          <w:szCs w:val="16"/>
        </w:rPr>
        <w:t>Перед последним роковым полетом Озерецкого, ИМ-3 был заправлен топливом на пять часов и имел бомбовой груз 425 кг. На борту ИМ-3, кроме командира, находился экипаж из трех человек: заместитель командира, лейтенант М. П. Спасов; полковник Звягинцев, член Государственной Думы; и механик, унтер-офицер Фогт.</w:t>
      </w:r>
    </w:p>
    <w:p w14:paraId="77EA3B4A" w14:textId="77777777" w:rsidR="00093136" w:rsidRPr="00405303" w:rsidRDefault="00093136" w:rsidP="00C15251">
      <w:pPr>
        <w:jc w:val="both"/>
        <w:rPr>
          <w:bCs/>
          <w:color w:val="002060"/>
          <w:sz w:val="16"/>
          <w:szCs w:val="16"/>
        </w:rPr>
      </w:pPr>
      <w:r w:rsidRPr="00405303">
        <w:rPr>
          <w:bCs/>
          <w:color w:val="002060"/>
          <w:sz w:val="16"/>
          <w:szCs w:val="16"/>
        </w:rPr>
        <w:lastRenderedPageBreak/>
        <w:t>Во время этого вылета, в ходе бомбежки Барановичей, ИМ-3 попал под сильный вражеский огонь. ИМ-3 сбросил восемь бомб на Барановичи, поразив железнодорожную станцию. По всей видимости, в этот момент рядом с воздушным судном разорвался немецкий зенитный снаряд, повредив тяги элеронов. Озерецкий увидел ущерб, нанесенный левому элерону и повернул назад.</w:t>
      </w:r>
    </w:p>
    <w:p w14:paraId="6FF18EB3" w14:textId="77777777" w:rsidR="00093136" w:rsidRPr="00405303" w:rsidRDefault="00093136" w:rsidP="00C15251">
      <w:pPr>
        <w:jc w:val="both"/>
        <w:rPr>
          <w:bCs/>
          <w:color w:val="002060"/>
          <w:sz w:val="16"/>
          <w:szCs w:val="16"/>
        </w:rPr>
      </w:pPr>
      <w:r w:rsidRPr="00405303">
        <w:rPr>
          <w:bCs/>
          <w:color w:val="002060"/>
          <w:sz w:val="16"/>
          <w:szCs w:val="16"/>
        </w:rPr>
        <w:t xml:space="preserve">Опустившись на высоту 2800 метров </w:t>
      </w:r>
      <w:proofErr w:type="gramStart"/>
      <w:r w:rsidRPr="00405303">
        <w:rPr>
          <w:bCs/>
          <w:color w:val="002060"/>
          <w:sz w:val="16"/>
          <w:szCs w:val="16"/>
        </w:rPr>
        <w:t>ИМ-3</w:t>
      </w:r>
      <w:proofErr w:type="gramEnd"/>
      <w:r w:rsidRPr="00405303">
        <w:rPr>
          <w:bCs/>
          <w:color w:val="002060"/>
          <w:sz w:val="16"/>
          <w:szCs w:val="16"/>
        </w:rPr>
        <w:t xml:space="preserve"> внезапно накренился влево и вниз. Озерецкий не смог удержать судно под контролем. ИМ-3 резко спикировал и ударился о землю. Погиб весь экипаж кроме лейтенанта Спасова, который уцелел чудом, хотя и получил много ранений и переломов.</w:t>
      </w:r>
    </w:p>
    <w:p w14:paraId="20FC5CF2" w14:textId="77777777" w:rsidR="00093136" w:rsidRPr="00405303" w:rsidRDefault="00093136" w:rsidP="00C15251">
      <w:pPr>
        <w:jc w:val="both"/>
        <w:rPr>
          <w:bCs/>
          <w:color w:val="002060"/>
          <w:sz w:val="16"/>
          <w:szCs w:val="16"/>
        </w:rPr>
      </w:pPr>
      <w:r w:rsidRPr="00405303">
        <w:rPr>
          <w:bCs/>
          <w:color w:val="002060"/>
          <w:sz w:val="16"/>
          <w:szCs w:val="16"/>
        </w:rPr>
        <w:t>Также следует упомянуть тот факт, что бомбы, все еще находившиеся на борту, хотя и были повреждены в момент удара, но не разорвались. Наши русские бомбы, согласно наблюдениям, были высокого качества, и оснащались спусковым механизмом, который никогда не отказывал (23470).</w:t>
      </w:r>
    </w:p>
    <w:p w14:paraId="0C866365" w14:textId="77777777" w:rsidR="00093136" w:rsidRPr="00405303" w:rsidRDefault="00093136" w:rsidP="00C15251">
      <w:pPr>
        <w:jc w:val="both"/>
        <w:rPr>
          <w:bCs/>
          <w:color w:val="002060"/>
          <w:sz w:val="16"/>
          <w:szCs w:val="16"/>
        </w:rPr>
      </w:pPr>
    </w:p>
    <w:p w14:paraId="1369C683" w14:textId="72730987" w:rsidR="004B4E35" w:rsidRPr="00405303" w:rsidRDefault="009E6F82" w:rsidP="00C15251">
      <w:pPr>
        <w:jc w:val="both"/>
        <w:rPr>
          <w:bCs/>
          <w:color w:val="002060"/>
          <w:sz w:val="16"/>
          <w:szCs w:val="16"/>
        </w:rPr>
      </w:pPr>
      <w:r w:rsidRPr="00405303">
        <w:rPr>
          <w:bCs/>
          <w:color w:val="002060"/>
          <w:sz w:val="16"/>
          <w:szCs w:val="16"/>
        </w:rPr>
        <w:t xml:space="preserve">5 </w:t>
      </w:r>
      <w:r w:rsidR="00AB5579" w:rsidRPr="00405303">
        <w:rPr>
          <w:bCs/>
          <w:color w:val="002060"/>
          <w:sz w:val="16"/>
          <w:szCs w:val="16"/>
        </w:rPr>
        <w:t xml:space="preserve">(18) </w:t>
      </w:r>
      <w:r w:rsidRPr="00405303">
        <w:rPr>
          <w:bCs/>
          <w:color w:val="002060"/>
          <w:sz w:val="16"/>
          <w:szCs w:val="16"/>
        </w:rPr>
        <w:t xml:space="preserve">ноября </w:t>
      </w:r>
      <w:r w:rsidR="00AB5579" w:rsidRPr="00405303">
        <w:rPr>
          <w:bCs/>
          <w:color w:val="002060"/>
          <w:sz w:val="16"/>
          <w:szCs w:val="16"/>
        </w:rPr>
        <w:t xml:space="preserve">1915 </w:t>
      </w:r>
      <w:r w:rsidRPr="00405303">
        <w:rPr>
          <w:bCs/>
          <w:color w:val="002060"/>
          <w:sz w:val="16"/>
          <w:szCs w:val="16"/>
        </w:rPr>
        <w:t xml:space="preserve">года </w:t>
      </w:r>
      <w:r w:rsidR="00AB5579" w:rsidRPr="00405303">
        <w:rPr>
          <w:bCs/>
          <w:color w:val="002060"/>
          <w:sz w:val="16"/>
          <w:szCs w:val="16"/>
        </w:rPr>
        <w:t xml:space="preserve">приказом </w:t>
      </w:r>
      <w:r w:rsidRPr="00405303">
        <w:rPr>
          <w:bCs/>
          <w:color w:val="002060"/>
          <w:sz w:val="16"/>
          <w:szCs w:val="16"/>
        </w:rPr>
        <w:t>в Эскадру было добавлено содержание ещё 10 кораблей. В положении говорилось, что Эскадра имеет назначение:</w:t>
      </w:r>
    </w:p>
    <w:p w14:paraId="5BF1465C" w14:textId="77777777" w:rsidR="004B4E35" w:rsidRPr="00405303" w:rsidRDefault="009E6F82" w:rsidP="00C15251">
      <w:pPr>
        <w:jc w:val="both"/>
        <w:rPr>
          <w:bCs/>
          <w:color w:val="002060"/>
          <w:sz w:val="16"/>
          <w:szCs w:val="16"/>
        </w:rPr>
      </w:pPr>
      <w:r w:rsidRPr="00405303">
        <w:rPr>
          <w:bCs/>
          <w:color w:val="002060"/>
          <w:sz w:val="16"/>
          <w:szCs w:val="16"/>
        </w:rPr>
        <w:t>а) производство глубокой разведки в тылу противника,</w:t>
      </w:r>
    </w:p>
    <w:p w14:paraId="52252F28" w14:textId="77777777" w:rsidR="004B4E35" w:rsidRPr="00405303" w:rsidRDefault="009E6F82" w:rsidP="00C15251">
      <w:pPr>
        <w:jc w:val="both"/>
        <w:rPr>
          <w:bCs/>
          <w:color w:val="002060"/>
          <w:sz w:val="16"/>
          <w:szCs w:val="16"/>
        </w:rPr>
      </w:pPr>
      <w:r w:rsidRPr="00405303">
        <w:rPr>
          <w:bCs/>
          <w:color w:val="002060"/>
          <w:sz w:val="16"/>
          <w:szCs w:val="16"/>
        </w:rPr>
        <w:t xml:space="preserve">б) разрушение укреплений и сооружений, имеющих военное значение, поражение резервов противника и значительного скопления его обозов и подвижных составов, </w:t>
      </w:r>
    </w:p>
    <w:p w14:paraId="778EF568" w14:textId="77777777" w:rsidR="004B4E35" w:rsidRPr="00405303" w:rsidRDefault="009E6F82" w:rsidP="00C15251">
      <w:pPr>
        <w:jc w:val="both"/>
        <w:rPr>
          <w:bCs/>
          <w:color w:val="002060"/>
          <w:sz w:val="16"/>
          <w:szCs w:val="16"/>
        </w:rPr>
      </w:pPr>
      <w:r w:rsidRPr="00405303">
        <w:rPr>
          <w:bCs/>
          <w:color w:val="002060"/>
          <w:sz w:val="16"/>
          <w:szCs w:val="16"/>
        </w:rPr>
        <w:t>в) уничтожение воздушного флота противника,</w:t>
      </w:r>
    </w:p>
    <w:p w14:paraId="42699BDB" w14:textId="77777777" w:rsidR="004B4E35" w:rsidRPr="00405303" w:rsidRDefault="009E6F82" w:rsidP="00C15251">
      <w:pPr>
        <w:jc w:val="both"/>
        <w:rPr>
          <w:bCs/>
          <w:color w:val="002060"/>
          <w:sz w:val="16"/>
          <w:szCs w:val="16"/>
        </w:rPr>
      </w:pPr>
      <w:r w:rsidRPr="00405303">
        <w:rPr>
          <w:bCs/>
          <w:color w:val="002060"/>
          <w:sz w:val="16"/>
          <w:szCs w:val="16"/>
        </w:rPr>
        <w:t>г) служить школой для подготовки опытного личного состава для боевых воздушных кораблей.</w:t>
      </w:r>
    </w:p>
    <w:p w14:paraId="688CEACF" w14:textId="77777777" w:rsidR="004B4E35" w:rsidRPr="00405303" w:rsidRDefault="009E6F82" w:rsidP="00C15251">
      <w:pPr>
        <w:jc w:val="both"/>
        <w:rPr>
          <w:bCs/>
          <w:color w:val="002060"/>
          <w:sz w:val="16"/>
          <w:szCs w:val="16"/>
        </w:rPr>
      </w:pPr>
      <w:r w:rsidRPr="00405303">
        <w:rPr>
          <w:bCs/>
          <w:color w:val="002060"/>
          <w:sz w:val="16"/>
          <w:szCs w:val="16"/>
        </w:rPr>
        <w:t>Эскадру подчинили непосредственно начальнику штаба Верховного главнокомандующего. А начальник этого соединения наделялся правами начальника дивизии.</w:t>
      </w:r>
    </w:p>
    <w:p w14:paraId="011907A1" w14:textId="77777777" w:rsidR="004B4E35" w:rsidRPr="00405303" w:rsidRDefault="009E6F82" w:rsidP="00C15251">
      <w:pPr>
        <w:jc w:val="both"/>
        <w:rPr>
          <w:bCs/>
          <w:color w:val="002060"/>
          <w:sz w:val="16"/>
          <w:szCs w:val="16"/>
        </w:rPr>
      </w:pPr>
      <w:r w:rsidRPr="00405303">
        <w:rPr>
          <w:bCs/>
          <w:color w:val="002060"/>
          <w:sz w:val="16"/>
          <w:szCs w:val="16"/>
        </w:rPr>
        <w:t>Объединение всех "Муромцев" в одно подразделение (Эскадру) было на текущий момент единственно правильным решением, но развитие оперативной обстановки уже весной I9I5 года потребовало формирование внутри Эскадры отдельных групп для действий в интересах отдельных армий (12041).</w:t>
      </w:r>
    </w:p>
    <w:p w14:paraId="38466BB4" w14:textId="77777777" w:rsidR="004B4E35" w:rsidRPr="00405303" w:rsidRDefault="004B4E35" w:rsidP="00C15251">
      <w:pPr>
        <w:jc w:val="both"/>
        <w:rPr>
          <w:bCs/>
          <w:color w:val="002060"/>
          <w:sz w:val="16"/>
          <w:szCs w:val="16"/>
        </w:rPr>
      </w:pPr>
    </w:p>
    <w:p w14:paraId="4DA5257E" w14:textId="77777777" w:rsidR="0009532D" w:rsidRPr="00405303" w:rsidRDefault="0009532D" w:rsidP="00C15251">
      <w:pPr>
        <w:jc w:val="both"/>
        <w:rPr>
          <w:bCs/>
          <w:color w:val="002060"/>
          <w:sz w:val="16"/>
          <w:szCs w:val="16"/>
          <w:lang w:bidi="en-US"/>
        </w:rPr>
      </w:pPr>
      <w:r w:rsidRPr="00405303">
        <w:rPr>
          <w:bCs/>
          <w:color w:val="002060"/>
          <w:sz w:val="16"/>
          <w:szCs w:val="16"/>
          <w:lang w:bidi="en-US"/>
        </w:rPr>
        <w:t xml:space="preserve">5 (18) ноября 1915 г. в ЦМТД была направлена телеграмма Ставки, в которой высоко оценивались возможности и достижения ЭВК «Илья Муромец» в полевых условиях. В этот день трое </w:t>
      </w:r>
      <w:r w:rsidRPr="00405303">
        <w:rPr>
          <w:bCs/>
          <w:color w:val="002060"/>
          <w:sz w:val="16"/>
          <w:szCs w:val="16"/>
          <w:lang w:val="en-US" w:bidi="en-US"/>
        </w:rPr>
        <w:t>IM</w:t>
      </w:r>
      <w:r w:rsidRPr="00405303">
        <w:rPr>
          <w:bCs/>
          <w:color w:val="002060"/>
          <w:sz w:val="16"/>
          <w:szCs w:val="16"/>
          <w:lang w:bidi="en-US"/>
        </w:rPr>
        <w:t xml:space="preserve"> из Зегевольда нанесли сильный бомбовый удар по немецким складам снабжения в Фридрихштадте на Рижском фронте, сбросив 810 кг бомб (23525).</w:t>
      </w:r>
    </w:p>
    <w:p w14:paraId="539C3F58" w14:textId="77777777" w:rsidR="0009532D" w:rsidRPr="00405303" w:rsidRDefault="0009532D" w:rsidP="00C15251">
      <w:pPr>
        <w:jc w:val="both"/>
        <w:rPr>
          <w:bCs/>
          <w:color w:val="002060"/>
          <w:sz w:val="16"/>
          <w:szCs w:val="16"/>
        </w:rPr>
      </w:pPr>
    </w:p>
    <w:p w14:paraId="2C36F461" w14:textId="77777777" w:rsidR="0009532D" w:rsidRPr="00405303" w:rsidRDefault="0009532D" w:rsidP="00C15251">
      <w:pPr>
        <w:jc w:val="both"/>
        <w:rPr>
          <w:bCs/>
          <w:color w:val="002060"/>
          <w:sz w:val="16"/>
          <w:szCs w:val="16"/>
          <w:lang w:bidi="en-US"/>
        </w:rPr>
      </w:pPr>
      <w:r w:rsidRPr="00405303">
        <w:rPr>
          <w:bCs/>
          <w:color w:val="002060"/>
          <w:sz w:val="16"/>
          <w:szCs w:val="16"/>
          <w:lang w:bidi="en-US"/>
        </w:rPr>
        <w:t xml:space="preserve">5 (18) 18 ноября 1915 г. дирижабль ВМС Германии </w:t>
      </w:r>
      <w:r w:rsidRPr="00405303">
        <w:rPr>
          <w:bCs/>
          <w:color w:val="002060"/>
          <w:sz w:val="16"/>
          <w:szCs w:val="16"/>
          <w:lang w:val="en-US" w:bidi="en-US"/>
        </w:rPr>
        <w:t>SL</w:t>
      </w:r>
      <w:r w:rsidRPr="00405303">
        <w:rPr>
          <w:bCs/>
          <w:color w:val="002060"/>
          <w:sz w:val="16"/>
          <w:szCs w:val="16"/>
          <w:lang w:bidi="en-US"/>
        </w:rPr>
        <w:t>.6 (</w:t>
      </w:r>
      <w:r w:rsidRPr="00405303">
        <w:rPr>
          <w:bCs/>
          <w:color w:val="002060"/>
          <w:sz w:val="16"/>
          <w:szCs w:val="16"/>
          <w:lang w:val="en-US" w:bidi="en-US"/>
        </w:rPr>
        <w:t>Dl</w:t>
      </w:r>
      <w:r w:rsidRPr="00405303">
        <w:rPr>
          <w:bCs/>
          <w:color w:val="002060"/>
          <w:sz w:val="16"/>
          <w:szCs w:val="16"/>
          <w:lang w:bidi="en-US"/>
        </w:rPr>
        <w:t>), прибывший в октябре для службы на русском фронте, по неизвестным причинам взорвался в воздухе к северу от своей базы в Седдине. Все двадцать членов экипажа погибли (23525).</w:t>
      </w:r>
    </w:p>
    <w:p w14:paraId="5349E5CF" w14:textId="77777777" w:rsidR="0009532D" w:rsidRPr="00405303" w:rsidRDefault="0009532D" w:rsidP="00C15251">
      <w:pPr>
        <w:jc w:val="both"/>
        <w:rPr>
          <w:bCs/>
          <w:color w:val="002060"/>
          <w:sz w:val="16"/>
          <w:szCs w:val="16"/>
        </w:rPr>
      </w:pPr>
    </w:p>
    <w:p w14:paraId="009EA56C"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613CD4AF" w14:textId="77777777" w:rsidR="004B4E35" w:rsidRPr="00405303" w:rsidRDefault="004B4E35" w:rsidP="00C15251">
      <w:pPr>
        <w:shd w:val="clear" w:color="auto" w:fill="FFFFFF"/>
        <w:jc w:val="both"/>
        <w:rPr>
          <w:bCs/>
          <w:i/>
          <w:color w:val="002060"/>
          <w:sz w:val="16"/>
          <w:szCs w:val="16"/>
        </w:rPr>
      </w:pPr>
    </w:p>
    <w:p w14:paraId="3D55AF06" w14:textId="597E2FFE" w:rsidR="004B4E35" w:rsidRPr="00405303" w:rsidRDefault="009E6F82" w:rsidP="00C15251">
      <w:pPr>
        <w:jc w:val="both"/>
        <w:rPr>
          <w:bCs/>
          <w:color w:val="002060"/>
          <w:sz w:val="16"/>
          <w:szCs w:val="16"/>
        </w:rPr>
      </w:pPr>
      <w:r w:rsidRPr="00405303">
        <w:rPr>
          <w:bCs/>
          <w:color w:val="002060"/>
          <w:sz w:val="16"/>
          <w:szCs w:val="16"/>
        </w:rPr>
        <w:t>6 (19) ноября 1915 года</w:t>
      </w:r>
      <w:r w:rsidR="00AB5579" w:rsidRPr="00405303">
        <w:rPr>
          <w:bCs/>
          <w:color w:val="002060"/>
          <w:sz w:val="16"/>
          <w:szCs w:val="16"/>
        </w:rPr>
        <w:t xml:space="preserve"> Положение о "Комитете по заготовке в Америке предметов боевого и материального снабжения армии и флота" приняло силу закона</w:t>
      </w:r>
      <w:r w:rsidRPr="00405303">
        <w:rPr>
          <w:bCs/>
          <w:color w:val="002060"/>
          <w:sz w:val="16"/>
          <w:szCs w:val="16"/>
        </w:rPr>
        <w:t xml:space="preserve">. Это положение определяло круг деятельности Комитета следующими основными задачами: </w:t>
      </w:r>
    </w:p>
    <w:p w14:paraId="1B2850D9" w14:textId="77777777" w:rsidR="004B4E35" w:rsidRPr="00405303" w:rsidRDefault="009E6F82" w:rsidP="00C15251">
      <w:pPr>
        <w:jc w:val="both"/>
        <w:rPr>
          <w:bCs/>
          <w:color w:val="002060"/>
          <w:sz w:val="16"/>
          <w:szCs w:val="16"/>
        </w:rPr>
      </w:pPr>
      <w:r w:rsidRPr="00405303">
        <w:rPr>
          <w:bCs/>
          <w:color w:val="002060"/>
          <w:sz w:val="16"/>
          <w:szCs w:val="16"/>
        </w:rPr>
        <w:t xml:space="preserve">1. Выяснение предметов боевого и материального снабжения, которые могли бы быть приобретены или заготовлены в Америке, выяснение для них цен, сроков и условий поставки. </w:t>
      </w:r>
    </w:p>
    <w:p w14:paraId="74B25C3C" w14:textId="77777777" w:rsidR="004B4E35" w:rsidRPr="00405303" w:rsidRDefault="009E6F82" w:rsidP="00C15251">
      <w:pPr>
        <w:jc w:val="both"/>
        <w:rPr>
          <w:bCs/>
          <w:color w:val="002060"/>
          <w:sz w:val="16"/>
          <w:szCs w:val="16"/>
        </w:rPr>
      </w:pPr>
      <w:r w:rsidRPr="00405303">
        <w:rPr>
          <w:bCs/>
          <w:color w:val="002060"/>
          <w:sz w:val="16"/>
          <w:szCs w:val="16"/>
        </w:rPr>
        <w:t xml:space="preserve">2. Заключение сделок на поставку предметов снабжения и доставление их в Россию в тех случаях, когда сделки эти должны совершаться в Америке. Избранные для них фирмы и условия заказов должны быть одобрены в Петрограде, а также Русским правительственным комитетом в Лондоне. </w:t>
      </w:r>
    </w:p>
    <w:p w14:paraId="79896DF8" w14:textId="77777777" w:rsidR="004B4E35" w:rsidRPr="00405303" w:rsidRDefault="009E6F82" w:rsidP="00C15251">
      <w:pPr>
        <w:jc w:val="both"/>
        <w:rPr>
          <w:bCs/>
          <w:color w:val="002060"/>
          <w:sz w:val="16"/>
          <w:szCs w:val="16"/>
        </w:rPr>
      </w:pPr>
      <w:r w:rsidRPr="00405303">
        <w:rPr>
          <w:bCs/>
          <w:color w:val="002060"/>
          <w:sz w:val="16"/>
          <w:szCs w:val="16"/>
        </w:rPr>
        <w:t xml:space="preserve">3. Надзор за всеми заготовками для нужд обороны, выполняемыми в Америке, выяснение и устранение причин задержки в работе и организация приемки заказанных предметов. </w:t>
      </w:r>
    </w:p>
    <w:p w14:paraId="284CACD2" w14:textId="77777777" w:rsidR="004B4E35" w:rsidRPr="00405303" w:rsidRDefault="009E6F82" w:rsidP="00C15251">
      <w:pPr>
        <w:jc w:val="both"/>
        <w:rPr>
          <w:bCs/>
          <w:color w:val="002060"/>
          <w:sz w:val="16"/>
          <w:szCs w:val="16"/>
        </w:rPr>
      </w:pPr>
      <w:r w:rsidRPr="00405303">
        <w:rPr>
          <w:bCs/>
          <w:color w:val="002060"/>
          <w:sz w:val="16"/>
          <w:szCs w:val="16"/>
        </w:rPr>
        <w:t xml:space="preserve">4. Выполнение поручений Особого совещания по обороне. </w:t>
      </w:r>
    </w:p>
    <w:p w14:paraId="208EB328" w14:textId="77777777" w:rsidR="004B4E35" w:rsidRPr="00405303" w:rsidRDefault="009E6F82" w:rsidP="00C15251">
      <w:pPr>
        <w:jc w:val="both"/>
        <w:rPr>
          <w:bCs/>
          <w:color w:val="002060"/>
          <w:sz w:val="16"/>
          <w:szCs w:val="16"/>
        </w:rPr>
      </w:pPr>
      <w:r w:rsidRPr="00405303">
        <w:rPr>
          <w:bCs/>
          <w:color w:val="002060"/>
          <w:sz w:val="16"/>
          <w:szCs w:val="16"/>
        </w:rPr>
        <w:t xml:space="preserve">Заготовительный комитет в Америке, имея, таким образом, весьма широкий круг деятельности, все-таки был под фактическим контролем Лондонского правительственного комитета. </w:t>
      </w:r>
    </w:p>
    <w:p w14:paraId="1D7BC838" w14:textId="77777777" w:rsidR="004B4E35" w:rsidRPr="00405303" w:rsidRDefault="009E6F82" w:rsidP="00C15251">
      <w:pPr>
        <w:jc w:val="both"/>
        <w:rPr>
          <w:bCs/>
          <w:color w:val="002060"/>
          <w:sz w:val="16"/>
          <w:szCs w:val="16"/>
        </w:rPr>
      </w:pPr>
      <w:r w:rsidRPr="00405303">
        <w:rPr>
          <w:bCs/>
          <w:color w:val="002060"/>
          <w:sz w:val="16"/>
          <w:szCs w:val="16"/>
        </w:rPr>
        <w:t xml:space="preserve">18 марта 1916 г. утверждено было новое Положение о Заготовительном комитете, которое в основных чертах не разнилось от первого; коренным различием было лишь введение в состав Комитета представителя британского правительства. </w:t>
      </w:r>
    </w:p>
    <w:p w14:paraId="30BCD926" w14:textId="77777777" w:rsidR="004B4E35" w:rsidRPr="00405303" w:rsidRDefault="009E6F82" w:rsidP="00C15251">
      <w:pPr>
        <w:jc w:val="both"/>
        <w:rPr>
          <w:bCs/>
          <w:color w:val="002060"/>
          <w:sz w:val="16"/>
          <w:szCs w:val="16"/>
        </w:rPr>
      </w:pPr>
      <w:r w:rsidRPr="00405303">
        <w:rPr>
          <w:bCs/>
          <w:color w:val="002060"/>
          <w:sz w:val="16"/>
          <w:szCs w:val="16"/>
        </w:rPr>
        <w:t xml:space="preserve">Для выполнения отдельных задач, вмененных в обязанности Комитета, в составе его были организованы комиссии: финансовая, перевозок, организационная и наблюдения за заказами. </w:t>
      </w:r>
    </w:p>
    <w:p w14:paraId="57E3413F" w14:textId="77777777" w:rsidR="004B4E35" w:rsidRPr="00405303" w:rsidRDefault="009E6F82" w:rsidP="00C15251">
      <w:pPr>
        <w:jc w:val="both"/>
        <w:rPr>
          <w:bCs/>
          <w:color w:val="002060"/>
          <w:sz w:val="16"/>
          <w:szCs w:val="16"/>
        </w:rPr>
      </w:pPr>
      <w:r w:rsidRPr="00405303">
        <w:rPr>
          <w:bCs/>
          <w:color w:val="002060"/>
          <w:sz w:val="16"/>
          <w:szCs w:val="16"/>
        </w:rPr>
        <w:t xml:space="preserve">Говоря о Заготовительном комитете, надлежит упомянуть об образовании при нем англо-русской Согласительной комиссии, которая в течение известного периода имела большое влияние на работу Комитета. История ее возникновения заключается в следующем. С самого начала размещения военных заказов в Америке неизбежно возникла конкуренция в этой области между Россией и Англией, вредно отзывавшаяся на успехе заготовок и бывшая вполне понятной причиной повышения цен. При таких условиях естественно потребовалась координация в заготовительной работе по английским и русским заказам. В равной мере требовалась согласованная работа и в области финансовой. Дело в том, что русское правительство было не в состоянии путем самостоятельных операций реализовать долларовый фонд в том масштабе, в каком это требовалось для заготовительных операций, и вынуждено было обращаться к содействию Англии. С другой стороны, Англия была готова идти в этом деле навстречу России, так как была ближайшим образом заинтересована в поддержке боевой мощи русской армии. Но, оказывая широкую материальную поддержку России и предоставляя ей денежные ресурсы, Англия, конечно, не могла не потребовать права ближайшего контроля над расходованием этих средств Русским заготовительным комитетом. </w:t>
      </w:r>
    </w:p>
    <w:p w14:paraId="444B01CD" w14:textId="77777777" w:rsidR="004B4E35" w:rsidRPr="00405303" w:rsidRDefault="009E6F82" w:rsidP="00C15251">
      <w:pPr>
        <w:jc w:val="both"/>
        <w:rPr>
          <w:bCs/>
          <w:color w:val="002060"/>
          <w:sz w:val="16"/>
          <w:szCs w:val="16"/>
        </w:rPr>
      </w:pPr>
      <w:r w:rsidRPr="00405303">
        <w:rPr>
          <w:bCs/>
          <w:color w:val="002060"/>
          <w:sz w:val="16"/>
          <w:szCs w:val="16"/>
        </w:rPr>
        <w:t xml:space="preserve">Ввиду этого в октябре 1915 г. между Англией и русским министром финансов состоялось соглашение, основы которого сводились к следующему: </w:t>
      </w:r>
    </w:p>
    <w:p w14:paraId="0C90EF3D" w14:textId="77777777" w:rsidR="004B4E35" w:rsidRPr="00405303" w:rsidRDefault="009E6F82" w:rsidP="00C15251">
      <w:pPr>
        <w:jc w:val="both"/>
        <w:rPr>
          <w:bCs/>
          <w:color w:val="002060"/>
          <w:sz w:val="16"/>
          <w:szCs w:val="16"/>
        </w:rPr>
      </w:pPr>
      <w:r w:rsidRPr="00405303">
        <w:rPr>
          <w:bCs/>
          <w:color w:val="002060"/>
          <w:sz w:val="16"/>
          <w:szCs w:val="16"/>
        </w:rPr>
        <w:t xml:space="preserve">1. Все предложения относительно поставок для России, подлежащие производству в Великобритании или Америке, должны рассматриваться в Англии. </w:t>
      </w:r>
    </w:p>
    <w:p w14:paraId="2F36C1DD" w14:textId="77777777" w:rsidR="004B4E35" w:rsidRPr="00405303" w:rsidRDefault="009E6F82" w:rsidP="00C15251">
      <w:pPr>
        <w:jc w:val="both"/>
        <w:rPr>
          <w:bCs/>
          <w:color w:val="002060"/>
          <w:sz w:val="16"/>
          <w:szCs w:val="16"/>
        </w:rPr>
      </w:pPr>
      <w:r w:rsidRPr="00405303">
        <w:rPr>
          <w:bCs/>
          <w:color w:val="002060"/>
          <w:sz w:val="16"/>
          <w:szCs w:val="16"/>
        </w:rPr>
        <w:t xml:space="preserve">2. Все контракты в Англии и Америке могут быть заключены русским правительством только с ведома специальных в Лондоне представителей обеих держав и по возможность с их подписями. </w:t>
      </w:r>
    </w:p>
    <w:p w14:paraId="62B818CB" w14:textId="77777777" w:rsidR="004B4E35" w:rsidRPr="00405303" w:rsidRDefault="009E6F82" w:rsidP="00C15251">
      <w:pPr>
        <w:jc w:val="both"/>
        <w:rPr>
          <w:bCs/>
          <w:color w:val="002060"/>
          <w:sz w:val="16"/>
          <w:szCs w:val="16"/>
        </w:rPr>
      </w:pPr>
      <w:r w:rsidRPr="00405303">
        <w:rPr>
          <w:bCs/>
          <w:color w:val="002060"/>
          <w:sz w:val="16"/>
          <w:szCs w:val="16"/>
        </w:rPr>
        <w:t xml:space="preserve">3. Ни одна поставка для России, платежи по которой должны быть произведены из кредитов, предоставленных английским правительством, не должна делаться без ведома представителей обеих держав. </w:t>
      </w:r>
    </w:p>
    <w:p w14:paraId="4B9C17F6" w14:textId="77777777" w:rsidR="004B4E35" w:rsidRPr="00405303" w:rsidRDefault="009E6F82" w:rsidP="00C15251">
      <w:pPr>
        <w:jc w:val="both"/>
        <w:rPr>
          <w:bCs/>
          <w:color w:val="002060"/>
          <w:sz w:val="16"/>
          <w:szCs w:val="16"/>
        </w:rPr>
      </w:pPr>
      <w:r w:rsidRPr="00405303">
        <w:rPr>
          <w:bCs/>
          <w:color w:val="002060"/>
          <w:sz w:val="16"/>
          <w:szCs w:val="16"/>
        </w:rPr>
        <w:t xml:space="preserve">Однако это соглашение не давало еще полного координирования заготовительной работы Англии и русского правительства, так как некоторые русские заказы проходили помимо Русского заготовительного комитета и велись через Лондон, откуда британское правительство передавало их для исполнения Америке через банкирский дом Морган. </w:t>
      </w:r>
    </w:p>
    <w:p w14:paraId="3E5007A4" w14:textId="77777777" w:rsidR="004B4E35" w:rsidRPr="00405303" w:rsidRDefault="009E6F82" w:rsidP="00C15251">
      <w:pPr>
        <w:jc w:val="both"/>
        <w:rPr>
          <w:bCs/>
          <w:color w:val="002060"/>
          <w:sz w:val="16"/>
          <w:szCs w:val="16"/>
        </w:rPr>
      </w:pPr>
      <w:r w:rsidRPr="00405303">
        <w:rPr>
          <w:bCs/>
          <w:color w:val="002060"/>
          <w:sz w:val="16"/>
          <w:szCs w:val="16"/>
        </w:rPr>
        <w:t>При этих условиях опять-таки возникала конкуренция в заготовках, проводимых Комитетом и Морганом, так как последний действовал совершенно независимо от Комитета. Был случай, что одна из заготовительных ведомостей из Петрограда была отправлена по двум адресам — в Комитет и Лондон, и по этой ведомости была произведена двойная заготовка, одна — Комитетом, другая — Морганом.</w:t>
      </w:r>
    </w:p>
    <w:p w14:paraId="1F41FF2A" w14:textId="77777777" w:rsidR="004B4E35" w:rsidRPr="00405303" w:rsidRDefault="009E6F82" w:rsidP="00C15251">
      <w:pPr>
        <w:jc w:val="both"/>
        <w:rPr>
          <w:bCs/>
          <w:color w:val="002060"/>
          <w:sz w:val="16"/>
          <w:szCs w:val="16"/>
        </w:rPr>
      </w:pPr>
      <w:r w:rsidRPr="00405303">
        <w:rPr>
          <w:bCs/>
          <w:color w:val="002060"/>
          <w:sz w:val="16"/>
          <w:szCs w:val="16"/>
        </w:rPr>
        <w:t xml:space="preserve">Для окончательного согласования заготовительных действий Комитетом был выдвинут вопрос об образовании Русско-английской согласительной комиссии, куда должны были войти, с одной стороны, представители Русского заготовительного комитета, а с другой — представители британского правительства. Образование Комиссии значительно упрощало прохождение заказов, так как этой Комиссии предоставлено было право обсуждать все основные заказы и разрешать многие важные вопросы, избегая, таким образом, тормозящей дело переписки с Лондоном. Затем, этой Комиссии было предоставлено право наблюдать за заказами, проводимыми через Моргана, и согласовывать их с заказами Комитета. </w:t>
      </w:r>
    </w:p>
    <w:p w14:paraId="41E6A6E7" w14:textId="77777777" w:rsidR="004B4E35" w:rsidRPr="00405303" w:rsidRDefault="009E6F82" w:rsidP="00C15251">
      <w:pPr>
        <w:jc w:val="both"/>
        <w:rPr>
          <w:bCs/>
          <w:color w:val="002060"/>
          <w:sz w:val="16"/>
          <w:szCs w:val="16"/>
        </w:rPr>
      </w:pPr>
      <w:r w:rsidRPr="00405303">
        <w:rPr>
          <w:bCs/>
          <w:color w:val="002060"/>
          <w:sz w:val="16"/>
          <w:szCs w:val="16"/>
        </w:rPr>
        <w:t xml:space="preserve">Комиссия начала свою деятельность в январе 1916 г. и продолжала до середины этого года. Своей работой она оказала громадную помощь Комитету. В середине года, с отъездом состоявшего в составе Комиссии представителя британского правительства, центр тяжести разрешения всех вопросов по заготовительной деятельности вновь автоматически перенесся в Лондон. </w:t>
      </w:r>
    </w:p>
    <w:p w14:paraId="489DD20C" w14:textId="77777777" w:rsidR="004B4E35" w:rsidRPr="00405303" w:rsidRDefault="009E6F82" w:rsidP="00C15251">
      <w:pPr>
        <w:jc w:val="both"/>
        <w:rPr>
          <w:bCs/>
          <w:color w:val="002060"/>
          <w:sz w:val="16"/>
          <w:szCs w:val="16"/>
        </w:rPr>
      </w:pPr>
      <w:r w:rsidRPr="00405303">
        <w:rPr>
          <w:bCs/>
          <w:color w:val="002060"/>
          <w:sz w:val="16"/>
          <w:szCs w:val="16"/>
        </w:rPr>
        <w:lastRenderedPageBreak/>
        <w:t>Такова была в основных чертах организация дела русских военных заказов. В дальнейшем изложении истории отдельных крупных артиллерийских заказов попутно придется касаться организационной стороны (11329).</w:t>
      </w:r>
    </w:p>
    <w:p w14:paraId="698FDFF0" w14:textId="77777777" w:rsidR="004B4E35" w:rsidRPr="00405303" w:rsidRDefault="004B4E35" w:rsidP="00C15251">
      <w:pPr>
        <w:jc w:val="both"/>
        <w:rPr>
          <w:bCs/>
          <w:i/>
          <w:color w:val="002060"/>
          <w:sz w:val="16"/>
          <w:szCs w:val="16"/>
        </w:rPr>
      </w:pPr>
    </w:p>
    <w:p w14:paraId="4F8EE243"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Армия:</w:t>
      </w:r>
    </w:p>
    <w:p w14:paraId="378B09A5" w14:textId="77777777" w:rsidR="004B4E35" w:rsidRPr="00405303" w:rsidRDefault="004B4E35" w:rsidP="00C15251">
      <w:pPr>
        <w:pStyle w:val="a3"/>
        <w:jc w:val="both"/>
        <w:rPr>
          <w:bCs/>
          <w:color w:val="002060"/>
          <w:spacing w:val="0"/>
          <w:kern w:val="0"/>
          <w:position w:val="0"/>
          <w:sz w:val="16"/>
          <w:szCs w:val="16"/>
        </w:rPr>
      </w:pPr>
    </w:p>
    <w:p w14:paraId="6611265B" w14:textId="707CF484" w:rsidR="004B4E35" w:rsidRPr="00405303" w:rsidRDefault="0083394E" w:rsidP="00C15251">
      <w:pPr>
        <w:jc w:val="both"/>
        <w:rPr>
          <w:bCs/>
          <w:color w:val="002060"/>
          <w:sz w:val="16"/>
          <w:szCs w:val="16"/>
        </w:rPr>
      </w:pPr>
      <w:r w:rsidRPr="00405303">
        <w:rPr>
          <w:bCs/>
          <w:color w:val="002060"/>
          <w:sz w:val="16"/>
          <w:szCs w:val="16"/>
        </w:rPr>
        <w:t>С</w:t>
      </w:r>
      <w:r w:rsidR="009E6F82" w:rsidRPr="00405303">
        <w:rPr>
          <w:bCs/>
          <w:color w:val="002060"/>
          <w:sz w:val="16"/>
          <w:szCs w:val="16"/>
        </w:rPr>
        <w:t xml:space="preserve"> 6 по 8 </w:t>
      </w:r>
      <w:r w:rsidRPr="00405303">
        <w:rPr>
          <w:bCs/>
          <w:color w:val="002060"/>
          <w:sz w:val="16"/>
          <w:szCs w:val="16"/>
        </w:rPr>
        <w:t>(1</w:t>
      </w:r>
      <w:r w:rsidR="0009532D" w:rsidRPr="00405303">
        <w:rPr>
          <w:bCs/>
          <w:color w:val="002060"/>
          <w:sz w:val="16"/>
          <w:szCs w:val="16"/>
        </w:rPr>
        <w:t>9</w:t>
      </w:r>
      <w:r w:rsidRPr="00405303">
        <w:rPr>
          <w:bCs/>
          <w:color w:val="002060"/>
          <w:sz w:val="16"/>
          <w:szCs w:val="16"/>
        </w:rPr>
        <w:t xml:space="preserve">-21) как и со 2 по 4 (15-17) </w:t>
      </w:r>
      <w:r w:rsidR="009E6F82" w:rsidRPr="00405303">
        <w:rPr>
          <w:bCs/>
          <w:color w:val="002060"/>
          <w:sz w:val="16"/>
          <w:szCs w:val="16"/>
        </w:rPr>
        <w:t xml:space="preserve">ноября 1915 года </w:t>
      </w:r>
      <w:r w:rsidRPr="00405303">
        <w:rPr>
          <w:bCs/>
          <w:color w:val="002060"/>
          <w:sz w:val="16"/>
          <w:szCs w:val="16"/>
        </w:rPr>
        <w:t xml:space="preserve">линкор «Императрица Мария» </w:t>
      </w:r>
      <w:r w:rsidR="009E6F82" w:rsidRPr="00405303">
        <w:rPr>
          <w:bCs/>
          <w:color w:val="002060"/>
          <w:sz w:val="16"/>
          <w:szCs w:val="16"/>
        </w:rPr>
        <w:t>содействовал 2-й бригаде во время обстрела Варны и Евсинограда. С 5 февраля по 18 апреля 1916 года участвовал в Трапезундской наступательной операции. В течение июня — октября 1916 года «Императрица Мария» совершила 24 эффективных боевых похода. В частности, 22 мая 1916 года она осуществила перехват немецкого крейсера «Бреслау». Если бы немецкий крейсер не спрятался за плотной стеной дождя в проливе Босфор, то 305-мм снаряды русского линкора наверняка «почесали» бы его броневую спину (11646).</w:t>
      </w:r>
    </w:p>
    <w:p w14:paraId="3AF94DF8" w14:textId="77777777" w:rsidR="004B4E35" w:rsidRPr="00405303" w:rsidRDefault="004B4E35" w:rsidP="00C15251">
      <w:pPr>
        <w:pStyle w:val="a3"/>
        <w:jc w:val="both"/>
        <w:rPr>
          <w:bCs/>
          <w:i w:val="0"/>
          <w:color w:val="002060"/>
          <w:spacing w:val="0"/>
          <w:kern w:val="0"/>
          <w:position w:val="0"/>
          <w:sz w:val="16"/>
          <w:szCs w:val="16"/>
        </w:rPr>
      </w:pPr>
    </w:p>
    <w:p w14:paraId="616DE3CA" w14:textId="3BF1BA3A" w:rsidR="00093136" w:rsidRPr="00405303" w:rsidRDefault="00093136"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60BE71C5" w14:textId="77777777" w:rsidR="00093136" w:rsidRPr="00405303" w:rsidRDefault="00093136" w:rsidP="00C15251">
      <w:pPr>
        <w:pStyle w:val="a3"/>
        <w:jc w:val="both"/>
        <w:rPr>
          <w:bCs/>
          <w:color w:val="002060"/>
          <w:spacing w:val="0"/>
          <w:kern w:val="0"/>
          <w:position w:val="0"/>
          <w:sz w:val="16"/>
          <w:szCs w:val="16"/>
        </w:rPr>
      </w:pPr>
    </w:p>
    <w:p w14:paraId="051F764D" w14:textId="31486F5D" w:rsidR="00093136" w:rsidRPr="00405303" w:rsidRDefault="00093136" w:rsidP="00C15251">
      <w:pPr>
        <w:jc w:val="both"/>
        <w:rPr>
          <w:bCs/>
          <w:color w:val="002060"/>
          <w:sz w:val="16"/>
          <w:szCs w:val="16"/>
        </w:rPr>
      </w:pPr>
      <w:r w:rsidRPr="00405303">
        <w:rPr>
          <w:bCs/>
          <w:color w:val="002060"/>
          <w:sz w:val="16"/>
          <w:szCs w:val="16"/>
          <w:lang w:bidi="en-US"/>
        </w:rPr>
        <w:t>6 (19) ноября 1915 г. великий князь Александр Михайлович направил государю рапорт, в котором говорилось, что «(воздушная) разведывательная служба хорошо организована во всех армиях. Но необходимо разработать определенные правила для начальников разведывательных частей. Эта война дает хороший материал по всем вопросам воздушной войны, все материалы собраны в моей конторе, но ни я, ни офицеры моего штаба не в состоянии пользоваться этими материалами в силу очень больших текущих обязанностей. «Кроме того, только офицеры Генерального штаба обладают специальными знаниями для выбора наиболее ценных сведений из этих материалов и использования их в настоящее время. В таком случае прошу назначить в наш штаб одного офицера из Генштаба. К сожалению, в Генеральном штабе мало знакомых и интересующихся авиационным делом офицеров. Срочно прошу назначить в мой штаб капитана Л. В. Дюзиметьера, он достойный офицер, совершал полеты на воздушную разведку. В данном случае он представляет собой редкую и исключительную личность среди офицеров Генерального штаба».</w:t>
      </w:r>
    </w:p>
    <w:p w14:paraId="230A1262" w14:textId="77777777" w:rsidR="00093136" w:rsidRPr="00405303" w:rsidRDefault="00093136" w:rsidP="00C15251">
      <w:pPr>
        <w:jc w:val="both"/>
        <w:rPr>
          <w:bCs/>
          <w:color w:val="002060"/>
          <w:sz w:val="16"/>
          <w:szCs w:val="16"/>
          <w:lang w:bidi="en-US"/>
        </w:rPr>
      </w:pPr>
    </w:p>
    <w:p w14:paraId="093105EE" w14:textId="4FC8ADC0"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 и воздухоплавание Англии:</w:t>
      </w:r>
    </w:p>
    <w:p w14:paraId="38BD1EFA" w14:textId="77777777" w:rsidR="004B4E35" w:rsidRPr="00405303" w:rsidRDefault="004B4E35" w:rsidP="00C15251">
      <w:pPr>
        <w:pStyle w:val="a3"/>
        <w:jc w:val="both"/>
        <w:rPr>
          <w:bCs/>
          <w:color w:val="002060"/>
          <w:spacing w:val="0"/>
          <w:kern w:val="0"/>
          <w:position w:val="0"/>
          <w:sz w:val="16"/>
          <w:szCs w:val="16"/>
        </w:rPr>
      </w:pPr>
    </w:p>
    <w:p w14:paraId="065DEC95" w14:textId="77777777" w:rsidR="00477787" w:rsidRPr="00405303" w:rsidRDefault="00477787" w:rsidP="00C15251">
      <w:pPr>
        <w:jc w:val="both"/>
        <w:rPr>
          <w:bCs/>
          <w:color w:val="002060"/>
          <w:sz w:val="16"/>
          <w:szCs w:val="16"/>
        </w:rPr>
      </w:pPr>
      <w:r w:rsidRPr="00405303">
        <w:rPr>
          <w:bCs/>
          <w:color w:val="002060"/>
          <w:sz w:val="16"/>
          <w:szCs w:val="16"/>
        </w:rPr>
        <w:t xml:space="preserve">6 (19) ноября 1915 пилоты Королевской военно-морской авиации - командир эскадрильи Ричард Белл-Дэвис и младший лейтенант Гилберт Смайли совершают бомбардировку железнодорожного узла в Болгарии, и наземный огонь сбивает бомбардировщик Фарман </w:t>
      </w:r>
      <w:proofErr w:type="gramStart"/>
      <w:r w:rsidRPr="00405303">
        <w:rPr>
          <w:bCs/>
          <w:color w:val="002060"/>
          <w:sz w:val="16"/>
          <w:szCs w:val="16"/>
        </w:rPr>
        <w:t>Смайли .</w:t>
      </w:r>
      <w:proofErr w:type="gramEnd"/>
      <w:r w:rsidRPr="00405303">
        <w:rPr>
          <w:bCs/>
          <w:color w:val="002060"/>
          <w:sz w:val="16"/>
          <w:szCs w:val="16"/>
        </w:rPr>
        <w:t xml:space="preserve"> В ходе первой в истории боевой операции по спасению с самолета Белл-Дэвис приземляет свой одноместный самолет Nieuport 10, запихивает в него Смайли, в то время как болгарские пехотинцы приближаются, и взлетает, благополучно возвращаясь на базу. Белл-Дэвис получает Крест Виктории за свои действия (20338).</w:t>
      </w:r>
    </w:p>
    <w:p w14:paraId="5C49D1FD" w14:textId="77777777" w:rsidR="00477787" w:rsidRPr="00405303" w:rsidRDefault="00477787" w:rsidP="00C15251">
      <w:pPr>
        <w:jc w:val="both"/>
        <w:rPr>
          <w:bCs/>
          <w:color w:val="002060"/>
          <w:sz w:val="16"/>
          <w:szCs w:val="16"/>
        </w:rPr>
      </w:pPr>
    </w:p>
    <w:p w14:paraId="4A5A3A68" w14:textId="753E5C09" w:rsidR="004B4E35" w:rsidRPr="00405303" w:rsidRDefault="009E6F82" w:rsidP="00C15251">
      <w:pPr>
        <w:jc w:val="both"/>
        <w:rPr>
          <w:bCs/>
          <w:color w:val="002060"/>
          <w:sz w:val="16"/>
          <w:szCs w:val="16"/>
        </w:rPr>
      </w:pPr>
      <w:r w:rsidRPr="00405303">
        <w:rPr>
          <w:bCs/>
          <w:color w:val="002060"/>
          <w:sz w:val="16"/>
          <w:szCs w:val="16"/>
        </w:rPr>
        <w:t xml:space="preserve">6 (19) ноября </w:t>
      </w:r>
      <w:r w:rsidR="0083394E" w:rsidRPr="00405303">
        <w:rPr>
          <w:bCs/>
          <w:color w:val="002060"/>
          <w:sz w:val="16"/>
          <w:szCs w:val="16"/>
        </w:rPr>
        <w:t>а</w:t>
      </w:r>
      <w:r w:rsidRPr="00405303">
        <w:rPr>
          <w:bCs/>
          <w:color w:val="002060"/>
          <w:sz w:val="16"/>
          <w:szCs w:val="16"/>
        </w:rPr>
        <w:t>нгличане бомб</w:t>
      </w:r>
      <w:r w:rsidR="0083394E" w:rsidRPr="00405303">
        <w:rPr>
          <w:bCs/>
          <w:color w:val="002060"/>
          <w:sz w:val="16"/>
          <w:szCs w:val="16"/>
        </w:rPr>
        <w:t>или</w:t>
      </w:r>
      <w:r w:rsidRPr="00405303">
        <w:rPr>
          <w:bCs/>
          <w:color w:val="002060"/>
          <w:sz w:val="16"/>
          <w:szCs w:val="16"/>
        </w:rPr>
        <w:t xml:space="preserve"> станцию Феррик.</w:t>
      </w:r>
    </w:p>
    <w:p w14:paraId="027F7C9B" w14:textId="77777777" w:rsidR="004B4E35" w:rsidRPr="00405303" w:rsidRDefault="009E6F82" w:rsidP="00C15251">
      <w:pPr>
        <w:jc w:val="both"/>
        <w:rPr>
          <w:bCs/>
          <w:color w:val="002060"/>
          <w:sz w:val="16"/>
          <w:szCs w:val="16"/>
        </w:rPr>
      </w:pPr>
      <w:r w:rsidRPr="00405303">
        <w:rPr>
          <w:bCs/>
          <w:color w:val="002060"/>
          <w:sz w:val="16"/>
          <w:szCs w:val="16"/>
        </w:rPr>
        <w:t>Германским зенитчикам удается повредить мотор самолета, которым управлял пилот Смили. Английский летчик совершает вынужденную посадку на германской территории. Выскочив из самолета, он видит, что одна из сброшенных им бомб зацепилась за расчалки. Смили решает уничтожить самолет и скрыться, для чего простреливает бензобак и поджигает свою машину.</w:t>
      </w:r>
    </w:p>
    <w:p w14:paraId="6FDBEB19" w14:textId="77777777" w:rsidR="004B4E35" w:rsidRPr="00405303" w:rsidRDefault="009E6F82" w:rsidP="00C15251">
      <w:pPr>
        <w:jc w:val="both"/>
        <w:rPr>
          <w:bCs/>
          <w:color w:val="002060"/>
          <w:sz w:val="16"/>
          <w:szCs w:val="16"/>
        </w:rPr>
      </w:pPr>
      <w:r w:rsidRPr="00405303">
        <w:rPr>
          <w:bCs/>
          <w:color w:val="002060"/>
          <w:sz w:val="16"/>
          <w:szCs w:val="16"/>
        </w:rPr>
        <w:t>Не успев отбежать нескольких шагов, он видит, что рядом с его горящим самолетом намеревается совершить посадку его товарищ по эскадрилье Дэвис. Смили быстро падает на землю и разряжает весь свой револьвер в запутавшуюся стабилизатором бомбу; его машина взрывается, не причинив никому вреда. В следующий момент Дэвис совершает посадку, и оба летчика благополучно улетают.</w:t>
      </w:r>
    </w:p>
    <w:p w14:paraId="62D6FF0A" w14:textId="77777777" w:rsidR="004B4E35" w:rsidRPr="00405303" w:rsidRDefault="009E6F82" w:rsidP="00C15251">
      <w:pPr>
        <w:jc w:val="both"/>
        <w:rPr>
          <w:bCs/>
          <w:color w:val="002060"/>
          <w:sz w:val="16"/>
          <w:szCs w:val="16"/>
        </w:rPr>
      </w:pPr>
      <w:r w:rsidRPr="00405303">
        <w:rPr>
          <w:bCs/>
          <w:color w:val="002060"/>
          <w:sz w:val="16"/>
          <w:szCs w:val="16"/>
        </w:rPr>
        <w:t>А вот как этот эпизод был описан в прессе. "Вокруг света", №28, 17 июля 1916 г.:</w:t>
      </w:r>
    </w:p>
    <w:p w14:paraId="6D031532" w14:textId="77777777" w:rsidR="004B4E35" w:rsidRPr="00405303" w:rsidRDefault="009E6F82" w:rsidP="00C15251">
      <w:pPr>
        <w:jc w:val="both"/>
        <w:rPr>
          <w:bCs/>
          <w:color w:val="002060"/>
          <w:sz w:val="16"/>
          <w:szCs w:val="16"/>
        </w:rPr>
      </w:pPr>
      <w:r w:rsidRPr="00405303">
        <w:rPr>
          <w:bCs/>
          <w:color w:val="002060"/>
          <w:sz w:val="16"/>
          <w:szCs w:val="16"/>
        </w:rPr>
        <w:t>"Ускользнувшая добыча</w:t>
      </w:r>
    </w:p>
    <w:p w14:paraId="2A5114F4" w14:textId="77777777" w:rsidR="004B4E35" w:rsidRPr="00405303" w:rsidRDefault="009E6F82" w:rsidP="00C15251">
      <w:pPr>
        <w:jc w:val="both"/>
        <w:rPr>
          <w:bCs/>
          <w:color w:val="002060"/>
          <w:sz w:val="16"/>
          <w:szCs w:val="16"/>
        </w:rPr>
      </w:pPr>
      <w:r w:rsidRPr="00405303">
        <w:rPr>
          <w:bCs/>
          <w:color w:val="002060"/>
          <w:sz w:val="16"/>
          <w:szCs w:val="16"/>
        </w:rPr>
        <w:t>Во время операций у Дарданелл два английских летчика совершали полеты над турецкими позициями, корректируя стрельбу судов, делая разведки и сбрасывая бомбы над неприятельским расположением.</w:t>
      </w:r>
    </w:p>
    <w:p w14:paraId="039D9CCD" w14:textId="77777777" w:rsidR="004B4E35" w:rsidRPr="00405303" w:rsidRDefault="009E6F82" w:rsidP="00C15251">
      <w:pPr>
        <w:jc w:val="both"/>
        <w:rPr>
          <w:bCs/>
          <w:color w:val="002060"/>
          <w:sz w:val="16"/>
          <w:szCs w:val="16"/>
        </w:rPr>
      </w:pPr>
      <w:r w:rsidRPr="00405303">
        <w:rPr>
          <w:bCs/>
          <w:color w:val="002060"/>
          <w:sz w:val="16"/>
          <w:szCs w:val="16"/>
        </w:rPr>
        <w:t>Однажды им было поручено сбросить бомбы над местечком, где стояли болгары. Они подлетели к местечку, и один из них, летчик Смили, снизился и сбросил первую бомбу. Болгары тотчас же открыли по нем огонь, но он продолжал снижаться и сбрасывать бомбы...</w:t>
      </w:r>
    </w:p>
    <w:p w14:paraId="509514E0" w14:textId="77777777" w:rsidR="004B4E35" w:rsidRPr="00405303" w:rsidRDefault="009E6F82" w:rsidP="00C15251">
      <w:pPr>
        <w:jc w:val="both"/>
        <w:rPr>
          <w:bCs/>
          <w:color w:val="002060"/>
          <w:sz w:val="16"/>
          <w:szCs w:val="16"/>
        </w:rPr>
      </w:pPr>
      <w:r w:rsidRPr="00405303">
        <w:rPr>
          <w:bCs/>
          <w:color w:val="002060"/>
          <w:sz w:val="16"/>
          <w:szCs w:val="16"/>
        </w:rPr>
        <w:t>Когда у него оставалась всего одна бомба, пуля попала в бак, и ему ничего не оставалось делать, как приземлиться. Он выбрал равнину и стал снижаться.</w:t>
      </w:r>
    </w:p>
    <w:p w14:paraId="024EBC41" w14:textId="77777777" w:rsidR="004B4E35" w:rsidRPr="00405303" w:rsidRDefault="009E6F82" w:rsidP="00C15251">
      <w:pPr>
        <w:jc w:val="both"/>
        <w:rPr>
          <w:bCs/>
          <w:color w:val="002060"/>
          <w:sz w:val="16"/>
          <w:szCs w:val="16"/>
        </w:rPr>
      </w:pPr>
      <w:r w:rsidRPr="00405303">
        <w:rPr>
          <w:bCs/>
          <w:color w:val="002060"/>
          <w:sz w:val="16"/>
          <w:szCs w:val="16"/>
        </w:rPr>
        <w:t>Для того, чтобы аппарат не достался врагу, он поджег его, надеясь, что от огня взорвутся и бомбы и закончить таким образом дело разрушения. Исполнив это важное дело, он осмотрелся и побежал.</w:t>
      </w:r>
    </w:p>
    <w:p w14:paraId="2198CC27" w14:textId="77777777" w:rsidR="004B4E35" w:rsidRPr="00405303" w:rsidRDefault="009E6F82" w:rsidP="00C15251">
      <w:pPr>
        <w:jc w:val="both"/>
        <w:rPr>
          <w:bCs/>
          <w:color w:val="002060"/>
          <w:sz w:val="16"/>
          <w:szCs w:val="16"/>
        </w:rPr>
      </w:pPr>
      <w:r w:rsidRPr="00405303">
        <w:rPr>
          <w:bCs/>
          <w:color w:val="002060"/>
          <w:sz w:val="16"/>
          <w:szCs w:val="16"/>
        </w:rPr>
        <w:t>Болгары бежали за ним. Смили спустился среди болота и побежал по направлению к реке Марица, чтобы перейти болгаро-турецкую границу. Он предпочитал попасть в руки турок, которые были, на его взгляд, честными врагами. В болгарах он видел только предателей...</w:t>
      </w:r>
    </w:p>
    <w:p w14:paraId="7DDCB308" w14:textId="77777777" w:rsidR="004B4E35" w:rsidRPr="00405303" w:rsidRDefault="009E6F82" w:rsidP="00C15251">
      <w:pPr>
        <w:jc w:val="both"/>
        <w:rPr>
          <w:bCs/>
          <w:color w:val="002060"/>
          <w:sz w:val="16"/>
          <w:szCs w:val="16"/>
        </w:rPr>
      </w:pPr>
      <w:r w:rsidRPr="00405303">
        <w:rPr>
          <w:bCs/>
          <w:color w:val="002060"/>
          <w:sz w:val="16"/>
          <w:szCs w:val="16"/>
        </w:rPr>
        <w:t>В это время другой летчик Дэвис, увидя несчастье своего товарища, решил его выручить и тоже стал снижаться. Спасти Смили было очень трудно, потому что аэроплан Дэвиса был рассчитан только на одного человека, к тому же, Смили был высок ростом и довольно тучен.</w:t>
      </w:r>
    </w:p>
    <w:p w14:paraId="16CD39F6" w14:textId="77777777" w:rsidR="004B4E35" w:rsidRPr="00405303" w:rsidRDefault="009E6F82" w:rsidP="00C15251">
      <w:pPr>
        <w:jc w:val="both"/>
        <w:rPr>
          <w:bCs/>
          <w:color w:val="002060"/>
          <w:sz w:val="16"/>
          <w:szCs w:val="16"/>
        </w:rPr>
      </w:pPr>
      <w:r w:rsidRPr="00405303">
        <w:rPr>
          <w:bCs/>
          <w:color w:val="002060"/>
          <w:sz w:val="16"/>
          <w:szCs w:val="16"/>
        </w:rPr>
        <w:t>А Смили, убегая от своих врагов по болоту... с удивлением услышал вдруг за собой шум аппарата, и оглянувшись, увидал и понял намерения своего товарища...</w:t>
      </w:r>
    </w:p>
    <w:p w14:paraId="5A35562D" w14:textId="77777777" w:rsidR="004B4E35" w:rsidRPr="00405303" w:rsidRDefault="009E6F82" w:rsidP="00C15251">
      <w:pPr>
        <w:jc w:val="both"/>
        <w:rPr>
          <w:bCs/>
          <w:color w:val="002060"/>
          <w:sz w:val="16"/>
          <w:szCs w:val="16"/>
        </w:rPr>
      </w:pPr>
      <w:r w:rsidRPr="00405303">
        <w:rPr>
          <w:bCs/>
          <w:color w:val="002060"/>
          <w:sz w:val="16"/>
          <w:szCs w:val="16"/>
        </w:rPr>
        <w:t>Тогда ему оставалось сделать еще одно важное дело - выбрать место спуска для своего товарища... аппарат, наконец, спустился, и Смили бросился к нему. Запыхавшись от быстрого бега, он с трудом забрался в тесное сиденье, пока аппарат еще медленно двигался. Потом мотор загудел снова, и аппарат поднялся ввысь прямо перед носом добежавших болгар. Оба летчика получили боевые награды" (11999).</w:t>
      </w:r>
    </w:p>
    <w:p w14:paraId="4B37E4F2" w14:textId="77777777" w:rsidR="004B4E35" w:rsidRPr="00405303" w:rsidRDefault="004B4E35" w:rsidP="00C15251">
      <w:pPr>
        <w:jc w:val="both"/>
        <w:rPr>
          <w:bCs/>
          <w:color w:val="002060"/>
          <w:sz w:val="16"/>
          <w:szCs w:val="16"/>
        </w:rPr>
      </w:pPr>
    </w:p>
    <w:p w14:paraId="3A5707A2" w14:textId="77777777" w:rsidR="005C4C47" w:rsidRPr="00405303" w:rsidRDefault="005C4C47" w:rsidP="00C15251">
      <w:pPr>
        <w:jc w:val="both"/>
        <w:rPr>
          <w:bCs/>
          <w:i/>
          <w:color w:val="002060"/>
          <w:sz w:val="16"/>
          <w:szCs w:val="16"/>
        </w:rPr>
      </w:pPr>
      <w:r w:rsidRPr="00405303">
        <w:rPr>
          <w:bCs/>
          <w:i/>
          <w:color w:val="002060"/>
          <w:sz w:val="16"/>
          <w:szCs w:val="16"/>
        </w:rPr>
        <w:t>Самолетостроение:</w:t>
      </w:r>
    </w:p>
    <w:p w14:paraId="37CCA506" w14:textId="77777777" w:rsidR="005C4C47" w:rsidRPr="00405303" w:rsidRDefault="005C4C47" w:rsidP="00C15251">
      <w:pPr>
        <w:jc w:val="both"/>
        <w:rPr>
          <w:bCs/>
          <w:i/>
          <w:color w:val="002060"/>
          <w:sz w:val="16"/>
          <w:szCs w:val="16"/>
        </w:rPr>
      </w:pPr>
    </w:p>
    <w:p w14:paraId="40E3A27C" w14:textId="357C44F1" w:rsidR="005C4C47" w:rsidRPr="00405303" w:rsidRDefault="005C4C47" w:rsidP="00C15251">
      <w:pPr>
        <w:jc w:val="both"/>
        <w:rPr>
          <w:bCs/>
          <w:color w:val="002060"/>
          <w:sz w:val="16"/>
          <w:szCs w:val="16"/>
        </w:rPr>
      </w:pPr>
      <w:r w:rsidRPr="00405303">
        <w:rPr>
          <w:bCs/>
          <w:color w:val="002060"/>
          <w:sz w:val="16"/>
          <w:szCs w:val="16"/>
        </w:rPr>
        <w:t xml:space="preserve">7 </w:t>
      </w:r>
      <w:r w:rsidR="0083394E" w:rsidRPr="00405303">
        <w:rPr>
          <w:bCs/>
          <w:color w:val="002060"/>
          <w:sz w:val="16"/>
          <w:szCs w:val="16"/>
        </w:rPr>
        <w:t xml:space="preserve">(20) </w:t>
      </w:r>
      <w:r w:rsidRPr="00405303">
        <w:rPr>
          <w:bCs/>
          <w:color w:val="002060"/>
          <w:sz w:val="16"/>
          <w:szCs w:val="16"/>
        </w:rPr>
        <w:t>ноября 1915 г. приказом Военного министра № 598 Авиационная приемная комиссия, которая должна была наблюдать за производством авиатехники, производить ее испытания и приемку, была введена в действие. Таким образом, управление авиационным тылом все более совершенствовалось (19566).</w:t>
      </w:r>
    </w:p>
    <w:p w14:paraId="77DD3793" w14:textId="77777777" w:rsidR="005C4C47" w:rsidRPr="00405303" w:rsidRDefault="005C4C47" w:rsidP="00C15251">
      <w:pPr>
        <w:jc w:val="both"/>
        <w:rPr>
          <w:bCs/>
          <w:color w:val="002060"/>
          <w:sz w:val="16"/>
          <w:szCs w:val="16"/>
        </w:rPr>
      </w:pPr>
    </w:p>
    <w:p w14:paraId="7CA9FC02"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Морская авиация:</w:t>
      </w:r>
    </w:p>
    <w:p w14:paraId="2035D170" w14:textId="77777777" w:rsidR="004B4E35" w:rsidRPr="00405303" w:rsidRDefault="004B4E35" w:rsidP="00C15251">
      <w:pPr>
        <w:pStyle w:val="a3"/>
        <w:jc w:val="both"/>
        <w:rPr>
          <w:bCs/>
          <w:color w:val="002060"/>
          <w:spacing w:val="0"/>
          <w:kern w:val="0"/>
          <w:position w:val="0"/>
          <w:sz w:val="16"/>
          <w:szCs w:val="16"/>
        </w:rPr>
      </w:pPr>
    </w:p>
    <w:p w14:paraId="4BB08124" w14:textId="7304D41E" w:rsidR="00234C51" w:rsidRPr="00405303" w:rsidRDefault="0083394E" w:rsidP="00C15251">
      <w:pPr>
        <w:jc w:val="both"/>
        <w:rPr>
          <w:bCs/>
          <w:color w:val="002060"/>
          <w:sz w:val="16"/>
          <w:szCs w:val="16"/>
        </w:rPr>
      </w:pPr>
      <w:bookmarkStart w:id="310" w:name="_Hlk117840700"/>
      <w:r w:rsidRPr="00405303">
        <w:rPr>
          <w:bCs/>
          <w:color w:val="002060"/>
          <w:sz w:val="16"/>
          <w:szCs w:val="16"/>
        </w:rPr>
        <w:t>В</w:t>
      </w:r>
      <w:r w:rsidR="00234C51" w:rsidRPr="00405303">
        <w:rPr>
          <w:bCs/>
          <w:color w:val="002060"/>
          <w:sz w:val="16"/>
          <w:szCs w:val="16"/>
        </w:rPr>
        <w:t xml:space="preserve"> начале ноября 1915 г. </w:t>
      </w:r>
      <w:r w:rsidRPr="00405303">
        <w:rPr>
          <w:bCs/>
          <w:color w:val="002060"/>
          <w:sz w:val="16"/>
          <w:szCs w:val="16"/>
        </w:rPr>
        <w:t>отправленные из Петрограда два эшелона с личным соста</w:t>
      </w:r>
      <w:r w:rsidRPr="00405303">
        <w:rPr>
          <w:bCs/>
          <w:color w:val="002060"/>
          <w:sz w:val="16"/>
          <w:szCs w:val="16"/>
        </w:rPr>
        <w:softHyphen/>
        <w:t>вом и имуществом Школы морской авиации при</w:t>
      </w:r>
      <w:r w:rsidRPr="00405303">
        <w:rPr>
          <w:bCs/>
          <w:color w:val="002060"/>
          <w:sz w:val="16"/>
          <w:szCs w:val="16"/>
        </w:rPr>
        <w:softHyphen/>
        <w:t xml:space="preserve">были к месту назначения в Баку. </w:t>
      </w:r>
      <w:r w:rsidR="00234C51" w:rsidRPr="00405303">
        <w:rPr>
          <w:bCs/>
          <w:color w:val="002060"/>
          <w:sz w:val="16"/>
          <w:szCs w:val="16"/>
        </w:rPr>
        <w:t>Начальником школы назначили призванного из запаса приказом по морскому ведомству от 28 июля капитана 1-го ранга Андрея Александровича Яновского, зачисленного с 12 ноября на служ</w:t>
      </w:r>
      <w:r w:rsidR="00234C51" w:rsidRPr="00405303">
        <w:rPr>
          <w:bCs/>
          <w:color w:val="002060"/>
          <w:sz w:val="16"/>
          <w:szCs w:val="16"/>
        </w:rPr>
        <w:softHyphen/>
        <w:t>бу в Каспийскую отдельную флотс</w:t>
      </w:r>
      <w:r w:rsidR="00234C51" w:rsidRPr="00405303">
        <w:rPr>
          <w:bCs/>
          <w:color w:val="002060"/>
          <w:sz w:val="16"/>
          <w:szCs w:val="16"/>
        </w:rPr>
        <w:softHyphen/>
        <w:t>кую роту. Благодаря помощи коман</w:t>
      </w:r>
      <w:r w:rsidR="00234C51" w:rsidRPr="00405303">
        <w:rPr>
          <w:bCs/>
          <w:color w:val="002060"/>
          <w:sz w:val="16"/>
          <w:szCs w:val="16"/>
        </w:rPr>
        <w:softHyphen/>
        <w:t>дира Бакинского порта, количество обслуживающего персонала отде</w:t>
      </w:r>
      <w:r w:rsidR="00234C51" w:rsidRPr="00405303">
        <w:rPr>
          <w:bCs/>
          <w:color w:val="002060"/>
          <w:sz w:val="16"/>
          <w:szCs w:val="16"/>
        </w:rPr>
        <w:softHyphen/>
        <w:t>ления школы увеличилось с 35 до 150 человек. В своём отчёте Яно</w:t>
      </w:r>
      <w:r w:rsidR="00234C51" w:rsidRPr="00405303">
        <w:rPr>
          <w:bCs/>
          <w:color w:val="002060"/>
          <w:sz w:val="16"/>
          <w:szCs w:val="16"/>
        </w:rPr>
        <w:softHyphen/>
        <w:t>вич с большой благодарностью писал о той помощи, которую не</w:t>
      </w:r>
      <w:r w:rsidR="00234C51" w:rsidRPr="00405303">
        <w:rPr>
          <w:bCs/>
          <w:color w:val="002060"/>
          <w:sz w:val="16"/>
          <w:szCs w:val="16"/>
        </w:rPr>
        <w:softHyphen/>
        <w:t>посредственно оказали городские власти, выделив средства на обо</w:t>
      </w:r>
      <w:r w:rsidR="00234C51" w:rsidRPr="00405303">
        <w:rPr>
          <w:bCs/>
          <w:color w:val="002060"/>
          <w:sz w:val="16"/>
          <w:szCs w:val="16"/>
        </w:rPr>
        <w:softHyphen/>
        <w:t>рудование территории Каменной пристани и постройку мастерских, гаража и других сооружений: «На той же пристани были выстроены два спуска для гидросамолетов, причем работа была осложнена сравнительно большой глубиной у стенок пристани, так как раньше к пристани могли приставать доста</w:t>
      </w:r>
      <w:r w:rsidR="00234C51" w:rsidRPr="00405303">
        <w:rPr>
          <w:bCs/>
          <w:color w:val="002060"/>
          <w:sz w:val="16"/>
          <w:szCs w:val="16"/>
        </w:rPr>
        <w:softHyphen/>
        <w:t>точно большие пароходы. К тому же сама высота пристани над уров</w:t>
      </w:r>
      <w:r w:rsidR="00234C51" w:rsidRPr="00405303">
        <w:rPr>
          <w:bCs/>
          <w:color w:val="002060"/>
          <w:sz w:val="16"/>
          <w:szCs w:val="16"/>
        </w:rPr>
        <w:softHyphen/>
        <w:t>нем воды доходила до 1,5 саженей. Таким образом, явилась необходи</w:t>
      </w:r>
      <w:r w:rsidR="00234C51" w:rsidRPr="00405303">
        <w:rPr>
          <w:bCs/>
          <w:color w:val="002060"/>
          <w:sz w:val="16"/>
          <w:szCs w:val="16"/>
        </w:rPr>
        <w:softHyphen/>
        <w:t>мость делать очень солидные на особо забитых сваях спуски. К тому же длина спусков не должна быть менее 14 метров. Не зная точной расценки производимых городом работ, я полагаю, что каждый спуск обошелся городу в несколько ты</w:t>
      </w:r>
      <w:r w:rsidR="00234C51" w:rsidRPr="00405303">
        <w:rPr>
          <w:bCs/>
          <w:color w:val="002060"/>
          <w:sz w:val="16"/>
          <w:szCs w:val="16"/>
        </w:rPr>
        <w:softHyphen/>
        <w:t>сяч, ибо кроме дороговизны рабо</w:t>
      </w:r>
      <w:r w:rsidR="00234C51" w:rsidRPr="00405303">
        <w:rPr>
          <w:bCs/>
          <w:color w:val="002060"/>
          <w:sz w:val="16"/>
          <w:szCs w:val="16"/>
        </w:rPr>
        <w:softHyphen/>
        <w:t>чих рук и громадных цен в Баку на дерево, на каждый из спусков по</w:t>
      </w:r>
      <w:r w:rsidR="00234C51" w:rsidRPr="00405303">
        <w:rPr>
          <w:bCs/>
          <w:color w:val="002060"/>
          <w:sz w:val="16"/>
          <w:szCs w:val="16"/>
        </w:rPr>
        <w:softHyphen/>
        <w:t>шло от 25 до 30 свай, и при самой интенсивной работе на постройку каждого спуска потребовалось в среднем около полутора месяцев. Так как каждая пристань замощена камнем, то к обоим спускам от ан</w:t>
      </w:r>
      <w:r w:rsidR="00234C51" w:rsidRPr="00405303">
        <w:rPr>
          <w:bCs/>
          <w:color w:val="002060"/>
          <w:sz w:val="16"/>
          <w:szCs w:val="16"/>
        </w:rPr>
        <w:softHyphen/>
        <w:t xml:space="preserve">гара проведены бетонированные дорожки, позволяющие быстро и удобно перевозить аппараты </w:t>
      </w:r>
      <w:r w:rsidR="00234C51" w:rsidRPr="00405303">
        <w:rPr>
          <w:bCs/>
          <w:color w:val="002060"/>
          <w:sz w:val="16"/>
          <w:szCs w:val="16"/>
        </w:rPr>
        <w:lastRenderedPageBreak/>
        <w:t>от спуска к ангарам и обратно. Кро</w:t>
      </w:r>
      <w:r w:rsidR="00234C51" w:rsidRPr="00405303">
        <w:rPr>
          <w:bCs/>
          <w:color w:val="002060"/>
          <w:sz w:val="16"/>
          <w:szCs w:val="16"/>
        </w:rPr>
        <w:softHyphen/>
        <w:t>ме того, городом было проведено электрическое освещение, как для самой пристани и спусков, так и во все помещения школы, причем пла</w:t>
      </w:r>
      <w:r w:rsidR="00234C51" w:rsidRPr="00405303">
        <w:rPr>
          <w:bCs/>
          <w:color w:val="002060"/>
          <w:sz w:val="16"/>
          <w:szCs w:val="16"/>
        </w:rPr>
        <w:softHyphen/>
        <w:t>ту за освещение принял на себя город».</w:t>
      </w:r>
    </w:p>
    <w:p w14:paraId="4D57188B" w14:textId="77777777" w:rsidR="00234C51" w:rsidRPr="00405303" w:rsidRDefault="00234C51" w:rsidP="00C15251">
      <w:pPr>
        <w:jc w:val="both"/>
        <w:rPr>
          <w:bCs/>
          <w:color w:val="002060"/>
          <w:sz w:val="16"/>
          <w:szCs w:val="16"/>
        </w:rPr>
      </w:pPr>
      <w:r w:rsidRPr="00405303">
        <w:rPr>
          <w:bCs/>
          <w:color w:val="002060"/>
          <w:sz w:val="16"/>
          <w:szCs w:val="16"/>
        </w:rPr>
        <w:t>22 ноября 1915 г. капитан 1-го ранга Янович доложил великому князю: «...сего числа епископом Ба</w:t>
      </w:r>
      <w:r w:rsidRPr="00405303">
        <w:rPr>
          <w:bCs/>
          <w:color w:val="002060"/>
          <w:sz w:val="16"/>
          <w:szCs w:val="16"/>
        </w:rPr>
        <w:softHyphen/>
        <w:t>кинским Григорием совершено ос</w:t>
      </w:r>
      <w:r w:rsidRPr="00405303">
        <w:rPr>
          <w:bCs/>
          <w:color w:val="002060"/>
          <w:sz w:val="16"/>
          <w:szCs w:val="16"/>
        </w:rPr>
        <w:softHyphen/>
        <w:t>вящение в присутствии всех влас</w:t>
      </w:r>
      <w:r w:rsidRPr="00405303">
        <w:rPr>
          <w:bCs/>
          <w:color w:val="002060"/>
          <w:sz w:val="16"/>
          <w:szCs w:val="16"/>
        </w:rPr>
        <w:softHyphen/>
        <w:t>тей и представителей Баку откры</w:t>
      </w:r>
      <w:r w:rsidRPr="00405303">
        <w:rPr>
          <w:bCs/>
          <w:color w:val="002060"/>
          <w:sz w:val="16"/>
          <w:szCs w:val="16"/>
        </w:rPr>
        <w:softHyphen/>
        <w:t>тие вверенного мне отделения офи</w:t>
      </w:r>
      <w:r w:rsidRPr="00405303">
        <w:rPr>
          <w:bCs/>
          <w:color w:val="002060"/>
          <w:sz w:val="16"/>
          <w:szCs w:val="16"/>
        </w:rPr>
        <w:softHyphen/>
        <w:t>церской школы морской авиации Отдела воздушного флота».</w:t>
      </w:r>
    </w:p>
    <w:p w14:paraId="21557DDD" w14:textId="77777777" w:rsidR="00234C51" w:rsidRPr="00405303" w:rsidRDefault="00234C51" w:rsidP="00C15251">
      <w:pPr>
        <w:jc w:val="both"/>
        <w:rPr>
          <w:bCs/>
          <w:color w:val="002060"/>
          <w:sz w:val="16"/>
          <w:szCs w:val="16"/>
        </w:rPr>
      </w:pPr>
      <w:r w:rsidRPr="00405303">
        <w:rPr>
          <w:bCs/>
          <w:color w:val="002060"/>
          <w:sz w:val="16"/>
          <w:szCs w:val="16"/>
        </w:rPr>
        <w:t>На следующий деньбыло полу</w:t>
      </w:r>
      <w:r w:rsidRPr="00405303">
        <w:rPr>
          <w:bCs/>
          <w:color w:val="002060"/>
          <w:sz w:val="16"/>
          <w:szCs w:val="16"/>
        </w:rPr>
        <w:softHyphen/>
        <w:t>чено поздравление от Николая II: «Желаю от всего сердца божьего благословения и полного успеха вновь открытому отделению школы морской авиации в Баку и благо</w:t>
      </w:r>
      <w:r w:rsidRPr="00405303">
        <w:rPr>
          <w:bCs/>
          <w:color w:val="002060"/>
          <w:sz w:val="16"/>
          <w:szCs w:val="16"/>
        </w:rPr>
        <w:softHyphen/>
        <w:t>дарю весь личный состав за готов</w:t>
      </w:r>
      <w:r w:rsidRPr="00405303">
        <w:rPr>
          <w:bCs/>
          <w:color w:val="002060"/>
          <w:sz w:val="16"/>
          <w:szCs w:val="16"/>
        </w:rPr>
        <w:softHyphen/>
        <w:t>ность послужить по примеру наших доблестных лётчиков».</w:t>
      </w:r>
    </w:p>
    <w:p w14:paraId="67CA5A4E" w14:textId="77777777" w:rsidR="00234C51" w:rsidRPr="00405303" w:rsidRDefault="00234C51" w:rsidP="00C15251">
      <w:pPr>
        <w:jc w:val="both"/>
        <w:rPr>
          <w:bCs/>
          <w:color w:val="002060"/>
          <w:sz w:val="16"/>
          <w:szCs w:val="16"/>
        </w:rPr>
      </w:pPr>
      <w:r w:rsidRPr="00405303">
        <w:rPr>
          <w:bCs/>
          <w:color w:val="002060"/>
          <w:sz w:val="16"/>
          <w:szCs w:val="16"/>
        </w:rPr>
        <w:t>В январе 1916 г. в школе летали с инструкторами 22 лётчика. К се</w:t>
      </w:r>
      <w:r w:rsidRPr="00405303">
        <w:rPr>
          <w:bCs/>
          <w:color w:val="002060"/>
          <w:sz w:val="16"/>
          <w:szCs w:val="16"/>
        </w:rPr>
        <w:softHyphen/>
        <w:t>редине марта количество инструк</w:t>
      </w:r>
      <w:r w:rsidRPr="00405303">
        <w:rPr>
          <w:bCs/>
          <w:color w:val="002060"/>
          <w:sz w:val="16"/>
          <w:szCs w:val="16"/>
        </w:rPr>
        <w:softHyphen/>
        <w:t>торов было увеличено за счёт вы</w:t>
      </w:r>
      <w:r w:rsidRPr="00405303">
        <w:rPr>
          <w:bCs/>
          <w:color w:val="002060"/>
          <w:sz w:val="16"/>
          <w:szCs w:val="16"/>
        </w:rPr>
        <w:softHyphen/>
        <w:t>пусков первых двух месяцев нового года и увеличилось до шести. Коли</w:t>
      </w:r>
      <w:r w:rsidRPr="00405303">
        <w:rPr>
          <w:bCs/>
          <w:color w:val="002060"/>
          <w:sz w:val="16"/>
          <w:szCs w:val="16"/>
        </w:rPr>
        <w:softHyphen/>
        <w:t>чество обучающихся в марте дос</w:t>
      </w:r>
      <w:r w:rsidRPr="00405303">
        <w:rPr>
          <w:bCs/>
          <w:color w:val="002060"/>
          <w:sz w:val="16"/>
          <w:szCs w:val="16"/>
        </w:rPr>
        <w:softHyphen/>
        <w:t>тигло 42 человек. К апрелю сдали испытания на звание морского лёт</w:t>
      </w:r>
      <w:r w:rsidRPr="00405303">
        <w:rPr>
          <w:bCs/>
          <w:color w:val="002060"/>
          <w:sz w:val="16"/>
          <w:szCs w:val="16"/>
        </w:rPr>
        <w:softHyphen/>
        <w:t>чика 16 человек и несколько чело</w:t>
      </w:r>
      <w:r w:rsidRPr="00405303">
        <w:rPr>
          <w:bCs/>
          <w:color w:val="002060"/>
          <w:sz w:val="16"/>
          <w:szCs w:val="16"/>
        </w:rPr>
        <w:softHyphen/>
        <w:t>век летали самостоятельно, но эк</w:t>
      </w:r>
      <w:r w:rsidRPr="00405303">
        <w:rPr>
          <w:bCs/>
          <w:color w:val="002060"/>
          <w:sz w:val="16"/>
          <w:szCs w:val="16"/>
        </w:rPr>
        <w:softHyphen/>
        <w:t>замен ещё не сдавали.</w:t>
      </w:r>
    </w:p>
    <w:p w14:paraId="58F74610" w14:textId="77777777" w:rsidR="00234C51" w:rsidRPr="00405303" w:rsidRDefault="00234C51" w:rsidP="00C15251">
      <w:pPr>
        <w:jc w:val="both"/>
        <w:rPr>
          <w:bCs/>
          <w:color w:val="002060"/>
          <w:sz w:val="16"/>
          <w:szCs w:val="16"/>
        </w:rPr>
      </w:pPr>
      <w:r w:rsidRPr="00405303">
        <w:rPr>
          <w:bCs/>
          <w:color w:val="002060"/>
          <w:sz w:val="16"/>
          <w:szCs w:val="16"/>
        </w:rPr>
        <w:t>28 апреля 1916 г. начальник школы Янович доложил великому князю, что согласно указаниям фло</w:t>
      </w:r>
      <w:r w:rsidRPr="00405303">
        <w:rPr>
          <w:bCs/>
          <w:color w:val="002060"/>
          <w:sz w:val="16"/>
          <w:szCs w:val="16"/>
        </w:rPr>
        <w:softHyphen/>
        <w:t>та и Морского генерального шта</w:t>
      </w:r>
      <w:r w:rsidRPr="00405303">
        <w:rPr>
          <w:bCs/>
          <w:color w:val="002060"/>
          <w:sz w:val="16"/>
          <w:szCs w:val="16"/>
        </w:rPr>
        <w:softHyphen/>
        <w:t>ба «учебная деятельность Бакинс</w:t>
      </w:r>
      <w:r w:rsidRPr="00405303">
        <w:rPr>
          <w:bCs/>
          <w:color w:val="002060"/>
          <w:sz w:val="16"/>
          <w:szCs w:val="16"/>
        </w:rPr>
        <w:softHyphen/>
        <w:t>кого отделения школы приостанов</w:t>
      </w:r>
      <w:r w:rsidRPr="00405303">
        <w:rPr>
          <w:bCs/>
          <w:color w:val="002060"/>
          <w:sz w:val="16"/>
          <w:szCs w:val="16"/>
        </w:rPr>
        <w:softHyphen/>
        <w:t>лена до осени и с завтрашнего дня приступается к эвакуации личного состава и инвентаря в Петроград» Для охраны школы оставлено 37 человек.</w:t>
      </w:r>
    </w:p>
    <w:p w14:paraId="2147CAF3" w14:textId="77777777" w:rsidR="00234C51" w:rsidRPr="00405303" w:rsidRDefault="00234C51" w:rsidP="00C15251">
      <w:pPr>
        <w:pStyle w:val="a5"/>
        <w:rPr>
          <w:bCs/>
          <w:color w:val="002060"/>
          <w:sz w:val="16"/>
          <w:szCs w:val="16"/>
          <w:lang w:val="ru-RU"/>
        </w:rPr>
      </w:pPr>
      <w:r w:rsidRPr="00405303">
        <w:rPr>
          <w:bCs/>
          <w:color w:val="002060"/>
          <w:sz w:val="16"/>
          <w:szCs w:val="16"/>
          <w:lang w:val="ru-RU"/>
        </w:rPr>
        <w:t>В середине мая отделение Ба</w:t>
      </w:r>
      <w:r w:rsidRPr="00405303">
        <w:rPr>
          <w:bCs/>
          <w:color w:val="002060"/>
          <w:sz w:val="16"/>
          <w:szCs w:val="16"/>
          <w:lang w:val="ru-RU"/>
        </w:rPr>
        <w:softHyphen/>
        <w:t>кинской школы возобновило учеб</w:t>
      </w:r>
      <w:r w:rsidRPr="00405303">
        <w:rPr>
          <w:bCs/>
          <w:color w:val="002060"/>
          <w:sz w:val="16"/>
          <w:szCs w:val="16"/>
          <w:lang w:val="ru-RU"/>
        </w:rPr>
        <w:softHyphen/>
        <w:t>ный процесс в Петрограде. В сен</w:t>
      </w:r>
      <w:r w:rsidRPr="00405303">
        <w:rPr>
          <w:bCs/>
          <w:color w:val="002060"/>
          <w:sz w:val="16"/>
          <w:szCs w:val="16"/>
          <w:lang w:val="ru-RU"/>
        </w:rPr>
        <w:softHyphen/>
        <w:t>тябре в Баку вновь отправился пер</w:t>
      </w:r>
      <w:r w:rsidRPr="00405303">
        <w:rPr>
          <w:bCs/>
          <w:color w:val="002060"/>
          <w:sz w:val="16"/>
          <w:szCs w:val="16"/>
          <w:lang w:val="ru-RU"/>
        </w:rPr>
        <w:softHyphen/>
        <w:t>вый эшелон отделения школы, 2 ноября последовал второй эшелон в составе 29 офицеров и 77 ниж</w:t>
      </w:r>
      <w:r w:rsidRPr="00405303">
        <w:rPr>
          <w:bCs/>
          <w:color w:val="002060"/>
          <w:sz w:val="16"/>
          <w:szCs w:val="16"/>
          <w:lang w:val="ru-RU"/>
        </w:rPr>
        <w:softHyphen/>
        <w:t>них чинов. К концу ноября в отде</w:t>
      </w:r>
      <w:r w:rsidRPr="00405303">
        <w:rPr>
          <w:bCs/>
          <w:color w:val="002060"/>
          <w:sz w:val="16"/>
          <w:szCs w:val="16"/>
          <w:lang w:val="ru-RU"/>
        </w:rPr>
        <w:softHyphen/>
        <w:t>лении Бакинской школы морской авиации оказалось пять инструкто</w:t>
      </w:r>
      <w:r w:rsidRPr="00405303">
        <w:rPr>
          <w:bCs/>
          <w:color w:val="002060"/>
          <w:sz w:val="16"/>
          <w:szCs w:val="16"/>
          <w:lang w:val="ru-RU"/>
        </w:rPr>
        <w:softHyphen/>
        <w:t>ров, 53 ученика-лётчика, а всего 50 офицеров, 250 нижних чинов и 25 самолётов. Занятия в лётных груп</w:t>
      </w:r>
      <w:r w:rsidRPr="00405303">
        <w:rPr>
          <w:bCs/>
          <w:color w:val="002060"/>
          <w:sz w:val="16"/>
          <w:szCs w:val="16"/>
          <w:lang w:val="ru-RU"/>
        </w:rPr>
        <w:softHyphen/>
        <w:t>пах начались уже в октябре. В кон</w:t>
      </w:r>
      <w:r w:rsidRPr="00405303">
        <w:rPr>
          <w:bCs/>
          <w:color w:val="002060"/>
          <w:sz w:val="16"/>
          <w:szCs w:val="16"/>
          <w:lang w:val="ru-RU"/>
        </w:rPr>
        <w:softHyphen/>
        <w:t>це июня в Бакинской школе насчи</w:t>
      </w:r>
      <w:r w:rsidRPr="00405303">
        <w:rPr>
          <w:bCs/>
          <w:color w:val="002060"/>
          <w:sz w:val="16"/>
          <w:szCs w:val="16"/>
          <w:lang w:val="ru-RU"/>
        </w:rPr>
        <w:softHyphen/>
        <w:t>тывало десять лётных групп инструк</w:t>
      </w:r>
      <w:r w:rsidRPr="00405303">
        <w:rPr>
          <w:bCs/>
          <w:color w:val="002060"/>
          <w:sz w:val="16"/>
          <w:szCs w:val="16"/>
          <w:lang w:val="ru-RU"/>
        </w:rPr>
        <w:softHyphen/>
        <w:t>торами в которых были: лейтенант Фриде; прапорщики Энгельмейер, П.Боклевский, В.Боклевский,Колба- сьев; морские лётчики прапорщики Яковлев, Быков; штабс-капитаны Энгельс, Грузинов; авиационный унтер-офицер Томашевский. У каж</w:t>
      </w:r>
      <w:r w:rsidRPr="00405303">
        <w:rPr>
          <w:bCs/>
          <w:color w:val="002060"/>
          <w:sz w:val="16"/>
          <w:szCs w:val="16"/>
          <w:lang w:val="ru-RU"/>
        </w:rPr>
        <w:softHyphen/>
        <w:t>дого инструктора группа состояла из 12-13 человек.</w:t>
      </w:r>
    </w:p>
    <w:p w14:paraId="5A419EC6" w14:textId="77777777" w:rsidR="00234C51" w:rsidRPr="00405303" w:rsidRDefault="00234C51" w:rsidP="00C15251">
      <w:pPr>
        <w:pStyle w:val="a5"/>
        <w:rPr>
          <w:bCs/>
          <w:color w:val="002060"/>
          <w:sz w:val="16"/>
          <w:szCs w:val="16"/>
          <w:lang w:val="ru-RU"/>
        </w:rPr>
      </w:pPr>
      <w:r w:rsidRPr="00405303">
        <w:rPr>
          <w:bCs/>
          <w:color w:val="002060"/>
          <w:sz w:val="16"/>
          <w:szCs w:val="16"/>
          <w:lang w:val="ru-RU"/>
        </w:rPr>
        <w:t>Обучение не обходилось без лётных происшествий по различным причинам, в том числе и по недис</w:t>
      </w:r>
      <w:r w:rsidRPr="00405303">
        <w:rPr>
          <w:bCs/>
          <w:color w:val="002060"/>
          <w:sz w:val="16"/>
          <w:szCs w:val="16"/>
          <w:lang w:val="ru-RU"/>
        </w:rPr>
        <w:softHyphen/>
        <w:t xml:space="preserve">циплинированности. Из приказа по школе от 21 июня 1916 г. №226: </w:t>
      </w:r>
      <w:r w:rsidRPr="00405303">
        <w:rPr>
          <w:rStyle w:val="40pt9"/>
          <w:rFonts w:ascii="Times New Roman" w:hAnsi="Times New Roman"/>
          <w:bCs/>
          <w:color w:val="002060"/>
          <w:spacing w:val="0"/>
          <w:szCs w:val="16"/>
          <w:lang w:val="ru-RU"/>
        </w:rPr>
        <w:t>«Разбившийся насмерть при само</w:t>
      </w:r>
      <w:r w:rsidRPr="00405303">
        <w:rPr>
          <w:rStyle w:val="40pt9"/>
          <w:rFonts w:ascii="Times New Roman" w:hAnsi="Times New Roman"/>
          <w:bCs/>
          <w:color w:val="002060"/>
          <w:spacing w:val="0"/>
          <w:szCs w:val="16"/>
          <w:lang w:val="ru-RU"/>
        </w:rPr>
        <w:softHyphen/>
        <w:t>вольном полёте в Баку на аппара</w:t>
      </w:r>
      <w:r w:rsidRPr="00405303">
        <w:rPr>
          <w:rStyle w:val="40pt9"/>
          <w:rFonts w:ascii="Times New Roman" w:hAnsi="Times New Roman"/>
          <w:bCs/>
          <w:color w:val="002060"/>
          <w:spacing w:val="0"/>
          <w:szCs w:val="16"/>
          <w:lang w:val="ru-RU"/>
        </w:rPr>
        <w:softHyphen/>
        <w:t>те № 1 прапорщик по авиационной части Горячев исключён из списков».</w:t>
      </w:r>
    </w:p>
    <w:p w14:paraId="2274EB3F" w14:textId="77777777" w:rsidR="00234C51" w:rsidRPr="00405303" w:rsidRDefault="00234C51" w:rsidP="00C15251">
      <w:pPr>
        <w:pStyle w:val="a5"/>
        <w:rPr>
          <w:bCs/>
          <w:color w:val="002060"/>
          <w:sz w:val="16"/>
          <w:szCs w:val="16"/>
          <w:lang w:val="ru-RU"/>
        </w:rPr>
      </w:pPr>
      <w:r w:rsidRPr="00405303">
        <w:rPr>
          <w:bCs/>
          <w:color w:val="002060"/>
          <w:sz w:val="16"/>
          <w:szCs w:val="16"/>
          <w:lang w:val="ru-RU"/>
        </w:rPr>
        <w:t xml:space="preserve">Приказ исполняющего должность начальника Офицерской школы морской авиации от 10 сентября 1916 </w:t>
      </w:r>
      <w:proofErr w:type="gramStart"/>
      <w:r w:rsidRPr="00405303">
        <w:rPr>
          <w:bCs/>
          <w:color w:val="002060"/>
          <w:sz w:val="16"/>
          <w:szCs w:val="16"/>
          <w:lang w:val="ru-RU"/>
        </w:rPr>
        <w:t>г. :</w:t>
      </w:r>
      <w:proofErr w:type="gramEnd"/>
      <w:r w:rsidRPr="00405303">
        <w:rPr>
          <w:rStyle w:val="40pt9"/>
          <w:rFonts w:ascii="Times New Roman" w:hAnsi="Times New Roman"/>
          <w:bCs/>
          <w:color w:val="002060"/>
          <w:spacing w:val="0"/>
          <w:szCs w:val="16"/>
          <w:lang w:val="ru-RU"/>
        </w:rPr>
        <w:t xml:space="preserve"> «Принял школу от лейте</w:t>
      </w:r>
      <w:r w:rsidRPr="00405303">
        <w:rPr>
          <w:rStyle w:val="40pt9"/>
          <w:rFonts w:ascii="Times New Roman" w:hAnsi="Times New Roman"/>
          <w:bCs/>
          <w:color w:val="002060"/>
          <w:spacing w:val="0"/>
          <w:szCs w:val="16"/>
          <w:lang w:val="ru-RU"/>
        </w:rPr>
        <w:softHyphen/>
        <w:t>нанта Краевского. Штабс-капитан Грузинов».</w:t>
      </w:r>
      <w:r w:rsidRPr="00405303">
        <w:rPr>
          <w:bCs/>
          <w:color w:val="002060"/>
          <w:sz w:val="16"/>
          <w:szCs w:val="16"/>
          <w:lang w:val="ru-RU"/>
        </w:rPr>
        <w:t xml:space="preserve"> В декабре 1916 г. после двух катастроф и других наруше</w:t>
      </w:r>
      <w:r w:rsidRPr="00405303">
        <w:rPr>
          <w:bCs/>
          <w:color w:val="002060"/>
          <w:sz w:val="16"/>
          <w:szCs w:val="16"/>
          <w:lang w:val="ru-RU"/>
        </w:rPr>
        <w:softHyphen/>
        <w:t>ний командир Бакинского порта просил великого князя Александра Михайловича передать школу в более «твёрдые руки». Верховное главнокомандование одобрило пе</w:t>
      </w:r>
      <w:r w:rsidRPr="00405303">
        <w:rPr>
          <w:bCs/>
          <w:color w:val="002060"/>
          <w:sz w:val="16"/>
          <w:szCs w:val="16"/>
          <w:lang w:val="ru-RU"/>
        </w:rPr>
        <w:softHyphen/>
        <w:t>редачу Петроградской школы мор</w:t>
      </w:r>
      <w:r w:rsidRPr="00405303">
        <w:rPr>
          <w:bCs/>
          <w:color w:val="002060"/>
          <w:sz w:val="16"/>
          <w:szCs w:val="16"/>
          <w:lang w:val="ru-RU"/>
        </w:rPr>
        <w:softHyphen/>
        <w:t>ской авиации из ОВФ в ведение морского ведомства.</w:t>
      </w:r>
    </w:p>
    <w:p w14:paraId="7A719724" w14:textId="77777777" w:rsidR="00234C51" w:rsidRPr="00405303" w:rsidRDefault="00234C51" w:rsidP="00C15251">
      <w:pPr>
        <w:pStyle w:val="a5"/>
        <w:rPr>
          <w:bCs/>
          <w:color w:val="002060"/>
          <w:sz w:val="16"/>
          <w:szCs w:val="16"/>
          <w:lang w:val="ru-RU"/>
        </w:rPr>
      </w:pPr>
      <w:r w:rsidRPr="00405303">
        <w:rPr>
          <w:bCs/>
          <w:color w:val="002060"/>
          <w:sz w:val="16"/>
          <w:szCs w:val="16"/>
          <w:lang w:val="ru-RU"/>
        </w:rPr>
        <w:t>Начиная с 25 февраля 1917 г. после усиления двумя воздушными дивизионами расформированной бригады особого назначения, Ба</w:t>
      </w:r>
      <w:r w:rsidRPr="00405303">
        <w:rPr>
          <w:bCs/>
          <w:color w:val="002060"/>
          <w:sz w:val="16"/>
          <w:szCs w:val="16"/>
          <w:lang w:val="ru-RU"/>
        </w:rPr>
        <w:softHyphen/>
        <w:t>кинское отделение стало называть</w:t>
      </w:r>
      <w:r w:rsidRPr="00405303">
        <w:rPr>
          <w:bCs/>
          <w:color w:val="002060"/>
          <w:sz w:val="16"/>
          <w:szCs w:val="16"/>
          <w:lang w:val="ru-RU"/>
        </w:rPr>
        <w:softHyphen/>
        <w:t>ся Бакинской школой морской авиа</w:t>
      </w:r>
      <w:r w:rsidRPr="00405303">
        <w:rPr>
          <w:bCs/>
          <w:color w:val="002060"/>
          <w:sz w:val="16"/>
          <w:szCs w:val="16"/>
          <w:lang w:val="ru-RU"/>
        </w:rPr>
        <w:softHyphen/>
        <w:t>ции. В сентябре-октябре в Бакинс</w:t>
      </w:r>
      <w:r w:rsidRPr="00405303">
        <w:rPr>
          <w:bCs/>
          <w:color w:val="002060"/>
          <w:sz w:val="16"/>
          <w:szCs w:val="16"/>
          <w:lang w:val="ru-RU"/>
        </w:rPr>
        <w:softHyphen/>
        <w:t>кой школе оставалось 90 офицеров в том числе более половины обу</w:t>
      </w:r>
      <w:r w:rsidRPr="00405303">
        <w:rPr>
          <w:bCs/>
          <w:color w:val="002060"/>
          <w:sz w:val="16"/>
          <w:szCs w:val="16"/>
          <w:lang w:val="ru-RU"/>
        </w:rPr>
        <w:softHyphen/>
        <w:t>чающихся и проходивших стажиров</w:t>
      </w:r>
      <w:r w:rsidRPr="00405303">
        <w:rPr>
          <w:bCs/>
          <w:color w:val="002060"/>
          <w:sz w:val="16"/>
          <w:szCs w:val="16"/>
          <w:lang w:val="ru-RU"/>
        </w:rPr>
        <w:softHyphen/>
        <w:t>ку. В конце мая 1918 г. примерно 165 человек лётного и техническо</w:t>
      </w:r>
      <w:r w:rsidRPr="00405303">
        <w:rPr>
          <w:bCs/>
          <w:color w:val="002060"/>
          <w:sz w:val="16"/>
          <w:szCs w:val="16"/>
          <w:lang w:val="ru-RU"/>
        </w:rPr>
        <w:softHyphen/>
        <w:t>го состава собирались согласно указаниям из Москвы уволиться. Средняя численность самолётного парка составляла 20-25 единиц.</w:t>
      </w:r>
    </w:p>
    <w:p w14:paraId="72C03650" w14:textId="77777777" w:rsidR="00234C51" w:rsidRPr="00405303" w:rsidRDefault="00234C51" w:rsidP="00C15251">
      <w:pPr>
        <w:pStyle w:val="a5"/>
        <w:rPr>
          <w:bCs/>
          <w:color w:val="002060"/>
          <w:sz w:val="16"/>
          <w:szCs w:val="16"/>
          <w:lang w:val="ru-RU"/>
        </w:rPr>
      </w:pPr>
      <w:r w:rsidRPr="00405303">
        <w:rPr>
          <w:bCs/>
          <w:color w:val="002060"/>
          <w:sz w:val="16"/>
          <w:szCs w:val="16"/>
          <w:lang w:val="ru-RU"/>
        </w:rPr>
        <w:t>В начале 1917 г. начальник уп</w:t>
      </w:r>
      <w:r w:rsidRPr="00405303">
        <w:rPr>
          <w:bCs/>
          <w:color w:val="002060"/>
          <w:sz w:val="16"/>
          <w:szCs w:val="16"/>
          <w:lang w:val="ru-RU"/>
        </w:rPr>
        <w:softHyphen/>
        <w:t>равления воздушного флота гене</w:t>
      </w:r>
      <w:r w:rsidRPr="00405303">
        <w:rPr>
          <w:bCs/>
          <w:color w:val="002060"/>
          <w:sz w:val="16"/>
          <w:szCs w:val="16"/>
          <w:lang w:val="ru-RU"/>
        </w:rPr>
        <w:softHyphen/>
        <w:t>рал-майор Пневский утвердил Про</w:t>
      </w:r>
      <w:r w:rsidRPr="00405303">
        <w:rPr>
          <w:bCs/>
          <w:color w:val="002060"/>
          <w:sz w:val="16"/>
          <w:szCs w:val="16"/>
          <w:lang w:val="ru-RU"/>
        </w:rPr>
        <w:softHyphen/>
        <w:t>грамму испытаний на звание воен</w:t>
      </w:r>
      <w:r w:rsidRPr="00405303">
        <w:rPr>
          <w:bCs/>
          <w:color w:val="002060"/>
          <w:sz w:val="16"/>
          <w:szCs w:val="16"/>
          <w:lang w:val="ru-RU"/>
        </w:rPr>
        <w:softHyphen/>
        <w:t>ного лётчика. Она представляет интерес как свидетельство всё бо</w:t>
      </w:r>
      <w:r w:rsidRPr="00405303">
        <w:rPr>
          <w:bCs/>
          <w:color w:val="002060"/>
          <w:sz w:val="16"/>
          <w:szCs w:val="16"/>
          <w:lang w:val="ru-RU"/>
        </w:rPr>
        <w:softHyphen/>
        <w:t>лее высокого требования к этой категории военнослужащих. В час</w:t>
      </w:r>
      <w:r w:rsidRPr="00405303">
        <w:rPr>
          <w:bCs/>
          <w:color w:val="002060"/>
          <w:sz w:val="16"/>
          <w:szCs w:val="16"/>
          <w:lang w:val="ru-RU"/>
        </w:rPr>
        <w:softHyphen/>
        <w:t>тности она включала 12 дисциплин: материаловедение; двигатели внут</w:t>
      </w:r>
      <w:r w:rsidRPr="00405303">
        <w:rPr>
          <w:bCs/>
          <w:color w:val="002060"/>
          <w:sz w:val="16"/>
          <w:szCs w:val="16"/>
          <w:lang w:val="ru-RU"/>
        </w:rPr>
        <w:softHyphen/>
        <w:t>реннего сгорания; автомобильное дело; метеорология; артиллерия; аэронавигация; аэрофотография; радиотелеграфия; теоретические сведения по авиации; материальная часть и служба аэропланов; прак</w:t>
      </w:r>
      <w:r w:rsidRPr="00405303">
        <w:rPr>
          <w:bCs/>
          <w:color w:val="002060"/>
          <w:sz w:val="16"/>
          <w:szCs w:val="16"/>
          <w:lang w:val="ru-RU"/>
        </w:rPr>
        <w:softHyphen/>
        <w:t>тические занятия. Обращает вни</w:t>
      </w:r>
      <w:r w:rsidRPr="00405303">
        <w:rPr>
          <w:bCs/>
          <w:color w:val="002060"/>
          <w:sz w:val="16"/>
          <w:szCs w:val="16"/>
          <w:lang w:val="ru-RU"/>
        </w:rPr>
        <w:softHyphen/>
        <w:t>мание, что программа подписана исполняющим должность начальни</w:t>
      </w:r>
      <w:r w:rsidRPr="00405303">
        <w:rPr>
          <w:bCs/>
          <w:color w:val="002060"/>
          <w:sz w:val="16"/>
          <w:szCs w:val="16"/>
          <w:lang w:val="ru-RU"/>
        </w:rPr>
        <w:softHyphen/>
        <w:t>ка авиационной школы инженер- капитаном Борейко. Последнему принадлежат фундаментальные ин</w:t>
      </w:r>
      <w:r w:rsidRPr="00405303">
        <w:rPr>
          <w:bCs/>
          <w:color w:val="002060"/>
          <w:sz w:val="16"/>
          <w:szCs w:val="16"/>
          <w:lang w:val="ru-RU"/>
        </w:rPr>
        <w:softHyphen/>
        <w:t>струкции по основам подготовки и эксплуатации гидросамолётов.</w:t>
      </w:r>
    </w:p>
    <w:p w14:paraId="52F08D2D" w14:textId="77777777" w:rsidR="00234C51" w:rsidRPr="00405303" w:rsidRDefault="00234C51" w:rsidP="00C15251">
      <w:pPr>
        <w:pStyle w:val="a5"/>
        <w:rPr>
          <w:bCs/>
          <w:color w:val="002060"/>
          <w:sz w:val="16"/>
          <w:szCs w:val="16"/>
          <w:lang w:val="ru-RU"/>
        </w:rPr>
      </w:pPr>
      <w:r w:rsidRPr="00405303">
        <w:rPr>
          <w:bCs/>
          <w:color w:val="002060"/>
          <w:sz w:val="16"/>
          <w:szCs w:val="16"/>
          <w:lang w:val="ru-RU"/>
        </w:rPr>
        <w:t>Утверждённая программа рас</w:t>
      </w:r>
      <w:r w:rsidRPr="00405303">
        <w:rPr>
          <w:bCs/>
          <w:color w:val="002060"/>
          <w:sz w:val="16"/>
          <w:szCs w:val="16"/>
          <w:lang w:val="ru-RU"/>
        </w:rPr>
        <w:softHyphen/>
        <w:t>крывает некоторые новые понятия, в частности относящиеся к тактике. Вводится понятие господство в воз</w:t>
      </w:r>
      <w:r w:rsidRPr="00405303">
        <w:rPr>
          <w:bCs/>
          <w:color w:val="002060"/>
          <w:sz w:val="16"/>
          <w:szCs w:val="16"/>
          <w:lang w:val="ru-RU"/>
        </w:rPr>
        <w:softHyphen/>
        <w:t>духе, а главным средством его дос</w:t>
      </w:r>
      <w:r w:rsidRPr="00405303">
        <w:rPr>
          <w:bCs/>
          <w:color w:val="002060"/>
          <w:sz w:val="16"/>
          <w:szCs w:val="16"/>
          <w:lang w:val="ru-RU"/>
        </w:rPr>
        <w:softHyphen/>
        <w:t>тижения считается воздушный бой. Основными требованиями, которые предъявляются к лётному составу, считают высокий нравственный уро</w:t>
      </w:r>
      <w:r w:rsidRPr="00405303">
        <w:rPr>
          <w:bCs/>
          <w:color w:val="002060"/>
          <w:sz w:val="16"/>
          <w:szCs w:val="16"/>
          <w:lang w:val="ru-RU"/>
        </w:rPr>
        <w:softHyphen/>
        <w:t>вень и дисциплина.</w:t>
      </w:r>
    </w:p>
    <w:p w14:paraId="7164E9C3" w14:textId="77777777" w:rsidR="00234C51" w:rsidRPr="00405303" w:rsidRDefault="00234C51" w:rsidP="00C15251">
      <w:pPr>
        <w:pStyle w:val="a5"/>
        <w:rPr>
          <w:bCs/>
          <w:color w:val="002060"/>
          <w:sz w:val="16"/>
          <w:szCs w:val="16"/>
          <w:lang w:val="ru-RU"/>
        </w:rPr>
      </w:pPr>
      <w:r w:rsidRPr="00405303">
        <w:rPr>
          <w:bCs/>
          <w:color w:val="002060"/>
          <w:sz w:val="16"/>
          <w:szCs w:val="16"/>
          <w:lang w:val="ru-RU"/>
        </w:rPr>
        <w:t>Программой предъявлялись очень высокие требования к техни</w:t>
      </w:r>
      <w:r w:rsidRPr="00405303">
        <w:rPr>
          <w:bCs/>
          <w:color w:val="002060"/>
          <w:sz w:val="16"/>
          <w:szCs w:val="16"/>
          <w:lang w:val="ru-RU"/>
        </w:rPr>
        <w:softHyphen/>
        <w:t>ческой подготовке лётного соста</w:t>
      </w:r>
      <w:r w:rsidRPr="00405303">
        <w:rPr>
          <w:bCs/>
          <w:color w:val="002060"/>
          <w:sz w:val="16"/>
          <w:szCs w:val="16"/>
          <w:lang w:val="ru-RU"/>
        </w:rPr>
        <w:softHyphen/>
        <w:t>ва. В частности, предусматрива</w:t>
      </w:r>
      <w:r w:rsidRPr="00405303">
        <w:rPr>
          <w:bCs/>
          <w:color w:val="002060"/>
          <w:sz w:val="16"/>
          <w:szCs w:val="16"/>
          <w:lang w:val="ru-RU"/>
        </w:rPr>
        <w:softHyphen/>
        <w:t>лось: «запускание» мотора и под- готовителычые к этому работы (за</w:t>
      </w:r>
      <w:r w:rsidRPr="00405303">
        <w:rPr>
          <w:bCs/>
          <w:color w:val="002060"/>
          <w:sz w:val="16"/>
          <w:szCs w:val="16"/>
          <w:lang w:val="ru-RU"/>
        </w:rPr>
        <w:softHyphen/>
        <w:t>ливание бензина, масца, воды, об</w:t>
      </w:r>
      <w:r w:rsidRPr="00405303">
        <w:rPr>
          <w:bCs/>
          <w:color w:val="002060"/>
          <w:sz w:val="16"/>
          <w:szCs w:val="16"/>
          <w:lang w:val="ru-RU"/>
        </w:rPr>
        <w:softHyphen/>
        <w:t>щий осмотр). Проверка состояния и правильности взаимного распо</w:t>
      </w:r>
      <w:r w:rsidRPr="00405303">
        <w:rPr>
          <w:bCs/>
          <w:color w:val="002060"/>
          <w:sz w:val="16"/>
          <w:szCs w:val="16"/>
          <w:lang w:val="ru-RU"/>
        </w:rPr>
        <w:softHyphen/>
        <w:t>ложения составных частей аппара</w:t>
      </w:r>
      <w:r w:rsidRPr="00405303">
        <w:rPr>
          <w:bCs/>
          <w:color w:val="002060"/>
          <w:sz w:val="16"/>
          <w:szCs w:val="16"/>
          <w:lang w:val="ru-RU"/>
        </w:rPr>
        <w:softHyphen/>
        <w:t>та после сборки и ремонта, визи</w:t>
      </w:r>
      <w:r w:rsidRPr="00405303">
        <w:rPr>
          <w:bCs/>
          <w:color w:val="002060"/>
          <w:sz w:val="16"/>
          <w:szCs w:val="16"/>
          <w:lang w:val="ru-RU"/>
        </w:rPr>
        <w:softHyphen/>
        <w:t>рование, обмеривание и взвеши</w:t>
      </w:r>
      <w:r w:rsidRPr="00405303">
        <w:rPr>
          <w:bCs/>
          <w:color w:val="002060"/>
          <w:sz w:val="16"/>
          <w:szCs w:val="16"/>
          <w:lang w:val="ru-RU"/>
        </w:rPr>
        <w:softHyphen/>
        <w:t>вание. Оговаривалось так называ</w:t>
      </w:r>
      <w:r w:rsidRPr="00405303">
        <w:rPr>
          <w:bCs/>
          <w:color w:val="002060"/>
          <w:sz w:val="16"/>
          <w:szCs w:val="16"/>
          <w:lang w:val="ru-RU"/>
        </w:rPr>
        <w:softHyphen/>
        <w:t>емое исследование аппарата. Оно включало определение углов атаки и кривизны различных поверхнос</w:t>
      </w:r>
      <w:r w:rsidRPr="00405303">
        <w:rPr>
          <w:bCs/>
          <w:color w:val="002060"/>
          <w:sz w:val="16"/>
          <w:szCs w:val="16"/>
          <w:lang w:val="ru-RU"/>
        </w:rPr>
        <w:softHyphen/>
        <w:t>тей, наклона оси мотора, площади несущей поверхности (главных ру</w:t>
      </w:r>
      <w:r w:rsidRPr="00405303">
        <w:rPr>
          <w:bCs/>
          <w:color w:val="002060"/>
          <w:sz w:val="16"/>
          <w:szCs w:val="16"/>
          <w:lang w:val="ru-RU"/>
        </w:rPr>
        <w:softHyphen/>
        <w:t>лей и стабилизатора), веса аппа</w:t>
      </w:r>
      <w:r w:rsidRPr="00405303">
        <w:rPr>
          <w:bCs/>
          <w:color w:val="002060"/>
          <w:sz w:val="16"/>
          <w:szCs w:val="16"/>
          <w:lang w:val="ru-RU"/>
        </w:rPr>
        <w:softHyphen/>
        <w:t>рата, центра тяжести всей системы и перемещение его при изменении нагрузки, тяги винта на месте. Кро</w:t>
      </w:r>
      <w:r w:rsidRPr="00405303">
        <w:rPr>
          <w:bCs/>
          <w:color w:val="002060"/>
          <w:sz w:val="16"/>
          <w:szCs w:val="16"/>
          <w:lang w:val="ru-RU"/>
        </w:rPr>
        <w:softHyphen/>
        <w:t>ме этого лётчик должен был уметь регулировать угол опережение за</w:t>
      </w:r>
      <w:r w:rsidRPr="00405303">
        <w:rPr>
          <w:bCs/>
          <w:color w:val="002060"/>
          <w:sz w:val="16"/>
          <w:szCs w:val="16"/>
          <w:lang w:val="ru-RU"/>
        </w:rPr>
        <w:softHyphen/>
        <w:t>жигания двигателя, зазоры клапа</w:t>
      </w:r>
      <w:r w:rsidRPr="00405303">
        <w:rPr>
          <w:bCs/>
          <w:color w:val="002060"/>
          <w:sz w:val="16"/>
          <w:szCs w:val="16"/>
          <w:lang w:val="ru-RU"/>
        </w:rPr>
        <w:softHyphen/>
        <w:t>нов, зазоры между контактами све</w:t>
      </w:r>
      <w:r w:rsidRPr="00405303">
        <w:rPr>
          <w:bCs/>
          <w:color w:val="002060"/>
          <w:sz w:val="16"/>
          <w:szCs w:val="16"/>
          <w:lang w:val="ru-RU"/>
        </w:rPr>
        <w:softHyphen/>
        <w:t>чей зажигания и т. п.</w:t>
      </w:r>
    </w:p>
    <w:p w14:paraId="4768C5B1" w14:textId="77777777" w:rsidR="00234C51" w:rsidRPr="00405303" w:rsidRDefault="00234C51" w:rsidP="00C15251">
      <w:pPr>
        <w:pStyle w:val="a5"/>
        <w:rPr>
          <w:bCs/>
          <w:color w:val="002060"/>
          <w:sz w:val="16"/>
          <w:szCs w:val="16"/>
          <w:lang w:val="ru-RU"/>
        </w:rPr>
      </w:pPr>
      <w:r w:rsidRPr="00405303">
        <w:rPr>
          <w:bCs/>
          <w:color w:val="002060"/>
          <w:sz w:val="16"/>
          <w:szCs w:val="16"/>
          <w:lang w:val="ru-RU"/>
        </w:rPr>
        <w:t>Полёты (испытание на звание лётчика) включали: полёт по задан</w:t>
      </w:r>
      <w:r w:rsidRPr="00405303">
        <w:rPr>
          <w:bCs/>
          <w:color w:val="002060"/>
          <w:sz w:val="16"/>
          <w:szCs w:val="16"/>
          <w:lang w:val="ru-RU"/>
        </w:rPr>
        <w:softHyphen/>
        <w:t>ному маршруту продолжительнос</w:t>
      </w:r>
      <w:r w:rsidRPr="00405303">
        <w:rPr>
          <w:bCs/>
          <w:color w:val="002060"/>
          <w:sz w:val="16"/>
          <w:szCs w:val="16"/>
          <w:lang w:val="ru-RU"/>
        </w:rPr>
        <w:softHyphen/>
        <w:t>тью до 1,5 ч. Во время проведения испытаний требовалось пробыть на высоте выше 2500 м не менее 30 мин. Также нужно было произвести планирующий спуск с высоты 500 м, с точностью приземления от задан</w:t>
      </w:r>
      <w:r w:rsidRPr="00405303">
        <w:rPr>
          <w:bCs/>
          <w:color w:val="002060"/>
          <w:sz w:val="16"/>
          <w:szCs w:val="16"/>
          <w:lang w:val="ru-RU"/>
        </w:rPr>
        <w:softHyphen/>
        <w:t>ной точки до 150 м, а также посад</w:t>
      </w:r>
      <w:r w:rsidRPr="00405303">
        <w:rPr>
          <w:bCs/>
          <w:color w:val="002060"/>
          <w:sz w:val="16"/>
          <w:szCs w:val="16"/>
          <w:lang w:val="ru-RU"/>
        </w:rPr>
        <w:softHyphen/>
        <w:t>ку с выключенным над точкой при</w:t>
      </w:r>
      <w:r w:rsidRPr="00405303">
        <w:rPr>
          <w:bCs/>
          <w:color w:val="002060"/>
          <w:sz w:val="16"/>
          <w:szCs w:val="16"/>
          <w:lang w:val="ru-RU"/>
        </w:rPr>
        <w:softHyphen/>
        <w:t>земления мотором, «чтобы получил</w:t>
      </w:r>
      <w:r w:rsidRPr="00405303">
        <w:rPr>
          <w:bCs/>
          <w:color w:val="002060"/>
          <w:sz w:val="16"/>
          <w:szCs w:val="16"/>
          <w:lang w:val="ru-RU"/>
        </w:rPr>
        <w:softHyphen/>
        <w:t>ся спуск с поворотом на 360 град. Еще требовалось совершить три полёта продолжительностью не менее 30 мин. по заданному марш</w:t>
      </w:r>
      <w:r w:rsidRPr="00405303">
        <w:rPr>
          <w:bCs/>
          <w:color w:val="002060"/>
          <w:sz w:val="16"/>
          <w:szCs w:val="16"/>
          <w:lang w:val="ru-RU"/>
        </w:rPr>
        <w:softHyphen/>
        <w:t>руту с посадкой вне аэродрома на заданной местности. Все полётные задания контролировались барог</w:t>
      </w:r>
      <w:r w:rsidRPr="00405303">
        <w:rPr>
          <w:bCs/>
          <w:color w:val="002060"/>
          <w:sz w:val="16"/>
          <w:szCs w:val="16"/>
          <w:lang w:val="ru-RU"/>
        </w:rPr>
        <w:softHyphen/>
        <w:t>рафом.</w:t>
      </w:r>
    </w:p>
    <w:p w14:paraId="1974E7DA" w14:textId="77777777" w:rsidR="00234C51" w:rsidRPr="00405303" w:rsidRDefault="00234C51" w:rsidP="00C15251">
      <w:pPr>
        <w:pStyle w:val="a5"/>
        <w:rPr>
          <w:bCs/>
          <w:color w:val="002060"/>
          <w:sz w:val="16"/>
          <w:szCs w:val="16"/>
          <w:lang w:val="ru-RU"/>
        </w:rPr>
      </w:pPr>
      <w:r w:rsidRPr="00405303">
        <w:rPr>
          <w:bCs/>
          <w:color w:val="002060"/>
          <w:sz w:val="16"/>
          <w:szCs w:val="16"/>
          <w:lang w:val="ru-RU"/>
        </w:rPr>
        <w:t>Когда возникли проблемы с кад</w:t>
      </w:r>
      <w:r w:rsidRPr="00405303">
        <w:rPr>
          <w:bCs/>
          <w:color w:val="002060"/>
          <w:sz w:val="16"/>
          <w:szCs w:val="16"/>
          <w:lang w:val="ru-RU"/>
        </w:rPr>
        <w:softHyphen/>
        <w:t>рами лётного и технического со</w:t>
      </w:r>
      <w:r w:rsidRPr="00405303">
        <w:rPr>
          <w:bCs/>
          <w:color w:val="002060"/>
          <w:sz w:val="16"/>
          <w:szCs w:val="16"/>
          <w:lang w:val="ru-RU"/>
        </w:rPr>
        <w:softHyphen/>
        <w:t>става, начальник службы связи и наблюдения Балтийского флота контр -адмирал А.И.Непенин пред</w:t>
      </w:r>
      <w:r w:rsidRPr="00405303">
        <w:rPr>
          <w:bCs/>
          <w:color w:val="002060"/>
          <w:sz w:val="16"/>
          <w:szCs w:val="16"/>
          <w:lang w:val="ru-RU"/>
        </w:rPr>
        <w:softHyphen/>
        <w:t>ложил обучить по программе лёт</w:t>
      </w:r>
      <w:r w:rsidRPr="00405303">
        <w:rPr>
          <w:bCs/>
          <w:color w:val="002060"/>
          <w:sz w:val="16"/>
          <w:szCs w:val="16"/>
          <w:lang w:val="ru-RU"/>
        </w:rPr>
        <w:softHyphen/>
        <w:t>чиков восемь унтер-офицеров, а также организовать подготовку в школах морской авиации «охотни</w:t>
      </w:r>
      <w:r w:rsidRPr="00405303">
        <w:rPr>
          <w:bCs/>
          <w:color w:val="002060"/>
          <w:sz w:val="16"/>
          <w:szCs w:val="16"/>
          <w:lang w:val="ru-RU"/>
        </w:rPr>
        <w:softHyphen/>
        <w:t>ков» - лиц, добровольно поступив</w:t>
      </w:r>
      <w:r w:rsidRPr="00405303">
        <w:rPr>
          <w:bCs/>
          <w:color w:val="002060"/>
          <w:sz w:val="16"/>
          <w:szCs w:val="16"/>
          <w:lang w:val="ru-RU"/>
        </w:rPr>
        <w:softHyphen/>
        <w:t>ших на флот (обычно грамотных в теоретическом отношении студентов).</w:t>
      </w:r>
    </w:p>
    <w:p w14:paraId="34EF53CA" w14:textId="77777777" w:rsidR="00234C51" w:rsidRPr="00405303" w:rsidRDefault="00234C51" w:rsidP="00C15251">
      <w:pPr>
        <w:pStyle w:val="a5"/>
        <w:rPr>
          <w:bCs/>
          <w:color w:val="002060"/>
          <w:sz w:val="16"/>
          <w:szCs w:val="16"/>
          <w:lang w:val="ru-RU"/>
        </w:rPr>
      </w:pPr>
      <w:r w:rsidRPr="00405303">
        <w:rPr>
          <w:bCs/>
          <w:color w:val="002060"/>
          <w:sz w:val="16"/>
          <w:szCs w:val="16"/>
          <w:lang w:val="ru-RU"/>
        </w:rPr>
        <w:t>Забота о необходимости обу</w:t>
      </w:r>
      <w:r w:rsidRPr="00405303">
        <w:rPr>
          <w:bCs/>
          <w:color w:val="002060"/>
          <w:sz w:val="16"/>
          <w:szCs w:val="16"/>
          <w:lang w:val="ru-RU"/>
        </w:rPr>
        <w:softHyphen/>
        <w:t>чения лётчиков была вполне понят</w:t>
      </w:r>
      <w:r w:rsidRPr="00405303">
        <w:rPr>
          <w:bCs/>
          <w:color w:val="002060"/>
          <w:sz w:val="16"/>
          <w:szCs w:val="16"/>
          <w:lang w:val="ru-RU"/>
        </w:rPr>
        <w:softHyphen/>
        <w:t>на, но безопасность полётов суще</w:t>
      </w:r>
      <w:r w:rsidRPr="00405303">
        <w:rPr>
          <w:bCs/>
          <w:color w:val="002060"/>
          <w:sz w:val="16"/>
          <w:szCs w:val="16"/>
          <w:lang w:val="ru-RU"/>
        </w:rPr>
        <w:softHyphen/>
        <w:t>ственно зависит и от качества под</w:t>
      </w:r>
      <w:r w:rsidRPr="00405303">
        <w:rPr>
          <w:bCs/>
          <w:color w:val="002060"/>
          <w:sz w:val="16"/>
          <w:szCs w:val="16"/>
          <w:lang w:val="ru-RU"/>
        </w:rPr>
        <w:softHyphen/>
        <w:t>готовки техники. Это не следовало недооценивать, принимая во вни</w:t>
      </w:r>
      <w:r w:rsidRPr="00405303">
        <w:rPr>
          <w:bCs/>
          <w:color w:val="002060"/>
          <w:sz w:val="16"/>
          <w:szCs w:val="16"/>
          <w:lang w:val="ru-RU"/>
        </w:rPr>
        <w:softHyphen/>
        <w:t>мание, что основные усилия по под</w:t>
      </w:r>
      <w:r w:rsidRPr="00405303">
        <w:rPr>
          <w:bCs/>
          <w:color w:val="002060"/>
          <w:sz w:val="16"/>
          <w:szCs w:val="16"/>
          <w:lang w:val="ru-RU"/>
        </w:rPr>
        <w:softHyphen/>
        <w:t>готовке самолётов к полёту ложат</w:t>
      </w:r>
      <w:r w:rsidRPr="00405303">
        <w:rPr>
          <w:bCs/>
          <w:color w:val="002060"/>
          <w:sz w:val="16"/>
          <w:szCs w:val="16"/>
          <w:lang w:val="ru-RU"/>
        </w:rPr>
        <w:softHyphen/>
        <w:t>ся на младших авиационных специ</w:t>
      </w:r>
      <w:r w:rsidRPr="00405303">
        <w:rPr>
          <w:bCs/>
          <w:color w:val="002060"/>
          <w:sz w:val="16"/>
          <w:szCs w:val="16"/>
          <w:lang w:val="ru-RU"/>
        </w:rPr>
        <w:softHyphen/>
        <w:t>алистов, к которым относились мо</w:t>
      </w:r>
      <w:r w:rsidRPr="00405303">
        <w:rPr>
          <w:bCs/>
          <w:color w:val="002060"/>
          <w:sz w:val="16"/>
          <w:szCs w:val="16"/>
          <w:lang w:val="ru-RU"/>
        </w:rPr>
        <w:softHyphen/>
        <w:t>тористы и механики. Имелись так</w:t>
      </w:r>
      <w:r w:rsidRPr="00405303">
        <w:rPr>
          <w:bCs/>
          <w:color w:val="002060"/>
          <w:sz w:val="16"/>
          <w:szCs w:val="16"/>
          <w:lang w:val="ru-RU"/>
        </w:rPr>
        <w:softHyphen/>
        <w:t>же существенные сложности с под</w:t>
      </w:r>
      <w:r w:rsidRPr="00405303">
        <w:rPr>
          <w:bCs/>
          <w:color w:val="002060"/>
          <w:sz w:val="16"/>
          <w:szCs w:val="16"/>
          <w:lang w:val="ru-RU"/>
        </w:rPr>
        <w:softHyphen/>
        <w:t>бором и подготовкой инженерно- технического состава, способного организовать работы, контролиро</w:t>
      </w:r>
      <w:r w:rsidRPr="00405303">
        <w:rPr>
          <w:bCs/>
          <w:color w:val="002060"/>
          <w:sz w:val="16"/>
          <w:szCs w:val="16"/>
          <w:lang w:val="ru-RU"/>
        </w:rPr>
        <w:softHyphen/>
        <w:t>вать их выполнение. На должности инженеров назначали обычно лиц с высшим техническим образовани</w:t>
      </w:r>
      <w:r w:rsidRPr="00405303">
        <w:rPr>
          <w:bCs/>
          <w:color w:val="002060"/>
          <w:sz w:val="16"/>
          <w:szCs w:val="16"/>
          <w:lang w:val="ru-RU"/>
        </w:rPr>
        <w:softHyphen/>
        <w:t>ем. В начале 1917 г. в Гапсале (Ха- апсалу) окрыли школу авиационных унтер-офицеров младших авиаспе</w:t>
      </w:r>
      <w:r w:rsidRPr="00405303">
        <w:rPr>
          <w:bCs/>
          <w:color w:val="002060"/>
          <w:sz w:val="16"/>
          <w:szCs w:val="16"/>
          <w:lang w:val="ru-RU"/>
        </w:rPr>
        <w:softHyphen/>
        <w:t>циалистов. Дальнейшее показало, что подготовленные в авиационном отношении матросы и унтер-офи</w:t>
      </w:r>
      <w:r w:rsidRPr="00405303">
        <w:rPr>
          <w:bCs/>
          <w:color w:val="002060"/>
          <w:sz w:val="16"/>
          <w:szCs w:val="16"/>
          <w:lang w:val="ru-RU"/>
        </w:rPr>
        <w:softHyphen/>
        <w:t>церы являются горячим резервом для восполнения кадров лётного состава. Их подготовка занимала меньше времени, кроме того, неко</w:t>
      </w:r>
      <w:r w:rsidRPr="00405303">
        <w:rPr>
          <w:bCs/>
          <w:color w:val="002060"/>
          <w:sz w:val="16"/>
          <w:szCs w:val="16"/>
          <w:lang w:val="ru-RU"/>
        </w:rPr>
        <w:softHyphen/>
        <w:t>торые уже обладали первичными лётными навыками так как многие лётчики брали механиков в полёт и на самолётах с двойным управле</w:t>
      </w:r>
      <w:r w:rsidRPr="00405303">
        <w:rPr>
          <w:bCs/>
          <w:color w:val="002060"/>
          <w:sz w:val="16"/>
          <w:szCs w:val="16"/>
          <w:lang w:val="ru-RU"/>
        </w:rPr>
        <w:softHyphen/>
        <w:t>ниям позволяли им пилотировать. Ко всему прочему некоторые поло</w:t>
      </w:r>
      <w:r w:rsidRPr="00405303">
        <w:rPr>
          <w:bCs/>
          <w:color w:val="002060"/>
          <w:sz w:val="16"/>
          <w:szCs w:val="16"/>
          <w:lang w:val="ru-RU"/>
        </w:rPr>
        <w:softHyphen/>
        <w:t>жения приходилось изменять по тре</w:t>
      </w:r>
      <w:r w:rsidRPr="00405303">
        <w:rPr>
          <w:bCs/>
          <w:color w:val="002060"/>
          <w:sz w:val="16"/>
          <w:szCs w:val="16"/>
          <w:lang w:val="ru-RU"/>
        </w:rPr>
        <w:softHyphen/>
        <w:t>бованиям снизу. Так весной 1917 г. группа механиков, обучавшихся на о. Эзель направила петицию морс</w:t>
      </w:r>
      <w:r w:rsidRPr="00405303">
        <w:rPr>
          <w:bCs/>
          <w:color w:val="002060"/>
          <w:sz w:val="16"/>
          <w:szCs w:val="16"/>
          <w:lang w:val="ru-RU"/>
        </w:rPr>
        <w:softHyphen/>
        <w:t>кому министру с требованием обу</w:t>
      </w:r>
      <w:r w:rsidRPr="00405303">
        <w:rPr>
          <w:bCs/>
          <w:color w:val="002060"/>
          <w:sz w:val="16"/>
          <w:szCs w:val="16"/>
          <w:lang w:val="ru-RU"/>
        </w:rPr>
        <w:softHyphen/>
        <w:t xml:space="preserve">чить их полётам на самолётах. Министр, учитывая неразбериху, создавшуюся </w:t>
      </w:r>
      <w:proofErr w:type="gramStart"/>
      <w:r w:rsidRPr="00405303">
        <w:rPr>
          <w:bCs/>
          <w:color w:val="002060"/>
          <w:sz w:val="16"/>
          <w:szCs w:val="16"/>
          <w:lang w:val="ru-RU"/>
        </w:rPr>
        <w:t>после февральской революции</w:t>
      </w:r>
      <w:proofErr w:type="gramEnd"/>
      <w:r w:rsidRPr="00405303">
        <w:rPr>
          <w:bCs/>
          <w:color w:val="002060"/>
          <w:sz w:val="16"/>
          <w:szCs w:val="16"/>
          <w:lang w:val="ru-RU"/>
        </w:rPr>
        <w:t xml:space="preserve"> не стал чинить препят</w:t>
      </w:r>
      <w:r w:rsidRPr="00405303">
        <w:rPr>
          <w:bCs/>
          <w:color w:val="002060"/>
          <w:sz w:val="16"/>
          <w:szCs w:val="16"/>
          <w:lang w:val="ru-RU"/>
        </w:rPr>
        <w:softHyphen/>
        <w:t>ствий и возложил техническое ре</w:t>
      </w:r>
      <w:r w:rsidRPr="00405303">
        <w:rPr>
          <w:bCs/>
          <w:color w:val="002060"/>
          <w:sz w:val="16"/>
          <w:szCs w:val="16"/>
          <w:lang w:val="ru-RU"/>
        </w:rPr>
        <w:softHyphen/>
        <w:t>шение вопросов на капитана 1-го ранга Дудорова. Из Петрограда доставили четыре М-5 и два М-9. Обучать группу из 13 авиамехани</w:t>
      </w:r>
      <w:r w:rsidRPr="00405303">
        <w:rPr>
          <w:bCs/>
          <w:color w:val="002060"/>
          <w:sz w:val="16"/>
          <w:szCs w:val="16"/>
          <w:lang w:val="ru-RU"/>
        </w:rPr>
        <w:softHyphen/>
        <w:t>ков вызвались лейтенант В.В. Дите- рихс и подпоручик Евламов. Они подготовили первых лётчиков: Сто</w:t>
      </w:r>
      <w:r w:rsidRPr="00405303">
        <w:rPr>
          <w:bCs/>
          <w:color w:val="002060"/>
          <w:sz w:val="16"/>
          <w:szCs w:val="16"/>
          <w:lang w:val="ru-RU"/>
        </w:rPr>
        <w:softHyphen/>
        <w:t>лярского, Свинарёва, Кузнецова, Волкова и других. Впоследствии школа перешла из Гапсалы в Ре</w:t>
      </w:r>
      <w:r w:rsidRPr="00405303">
        <w:rPr>
          <w:bCs/>
          <w:color w:val="002060"/>
          <w:sz w:val="16"/>
          <w:szCs w:val="16"/>
          <w:lang w:val="ru-RU"/>
        </w:rPr>
        <w:softHyphen/>
        <w:t>вель, а затем в Баку.</w:t>
      </w:r>
    </w:p>
    <w:p w14:paraId="5C6E2BB2" w14:textId="77777777" w:rsidR="00234C51" w:rsidRPr="00405303" w:rsidRDefault="00234C51" w:rsidP="00C15251">
      <w:pPr>
        <w:pStyle w:val="a5"/>
        <w:rPr>
          <w:bCs/>
          <w:color w:val="002060"/>
          <w:sz w:val="16"/>
          <w:szCs w:val="16"/>
          <w:lang w:val="ru-RU"/>
        </w:rPr>
      </w:pPr>
      <w:r w:rsidRPr="00405303">
        <w:rPr>
          <w:bCs/>
          <w:color w:val="002060"/>
          <w:sz w:val="16"/>
          <w:szCs w:val="16"/>
          <w:lang w:val="ru-RU"/>
        </w:rPr>
        <w:t>Необходимость обеспечения прикрытия практически беззащит</w:t>
      </w:r>
      <w:r w:rsidRPr="00405303">
        <w:rPr>
          <w:bCs/>
          <w:color w:val="002060"/>
          <w:sz w:val="16"/>
          <w:szCs w:val="16"/>
          <w:lang w:val="ru-RU"/>
        </w:rPr>
        <w:softHyphen/>
        <w:t>ных самолётов М-5 и М-9 требова</w:t>
      </w:r>
      <w:r w:rsidRPr="00405303">
        <w:rPr>
          <w:bCs/>
          <w:color w:val="002060"/>
          <w:sz w:val="16"/>
          <w:szCs w:val="16"/>
          <w:lang w:val="ru-RU"/>
        </w:rPr>
        <w:softHyphen/>
        <w:t>ла специальных самолётов и подго</w:t>
      </w:r>
      <w:r w:rsidRPr="00405303">
        <w:rPr>
          <w:bCs/>
          <w:color w:val="002060"/>
          <w:sz w:val="16"/>
          <w:szCs w:val="16"/>
          <w:lang w:val="ru-RU"/>
        </w:rPr>
        <w:softHyphen/>
        <w:t>товленного лётного состава. Лета</w:t>
      </w:r>
      <w:r w:rsidRPr="00405303">
        <w:rPr>
          <w:bCs/>
          <w:color w:val="002060"/>
          <w:sz w:val="16"/>
          <w:szCs w:val="16"/>
          <w:lang w:val="ru-RU"/>
        </w:rPr>
        <w:softHyphen/>
        <w:t>ющая лодка М-11 хоть и именова</w:t>
      </w:r>
      <w:r w:rsidRPr="00405303">
        <w:rPr>
          <w:bCs/>
          <w:color w:val="002060"/>
          <w:sz w:val="16"/>
          <w:szCs w:val="16"/>
          <w:lang w:val="ru-RU"/>
        </w:rPr>
        <w:softHyphen/>
        <w:t>лась истребителем, явно не отве</w:t>
      </w:r>
      <w:r w:rsidRPr="00405303">
        <w:rPr>
          <w:bCs/>
          <w:color w:val="002060"/>
          <w:sz w:val="16"/>
          <w:szCs w:val="16"/>
          <w:lang w:val="ru-RU"/>
        </w:rPr>
        <w:softHyphen/>
        <w:t>чала этим требованиям. Начиная с 1917 г. Морской генеральный штаб неоднократно обращался в Управ</w:t>
      </w:r>
      <w:r w:rsidRPr="00405303">
        <w:rPr>
          <w:bCs/>
          <w:color w:val="002060"/>
          <w:sz w:val="16"/>
          <w:szCs w:val="16"/>
          <w:lang w:val="ru-RU"/>
        </w:rPr>
        <w:softHyphen/>
        <w:t>ление Воздушного флота с просьбой о поставке самолётов- истребителей в морскую авиацию, имея ввиду самолёты с колёсным шасси. В военном ведомстве истре</w:t>
      </w:r>
      <w:r w:rsidRPr="00405303">
        <w:rPr>
          <w:bCs/>
          <w:color w:val="002060"/>
          <w:sz w:val="16"/>
          <w:szCs w:val="16"/>
          <w:lang w:val="ru-RU"/>
        </w:rPr>
        <w:softHyphen/>
        <w:t>бительная авиация решением Вер</w:t>
      </w:r>
      <w:r w:rsidRPr="00405303">
        <w:rPr>
          <w:bCs/>
          <w:color w:val="002060"/>
          <w:sz w:val="16"/>
          <w:szCs w:val="16"/>
          <w:lang w:val="ru-RU"/>
        </w:rPr>
        <w:softHyphen/>
        <w:t>ховного командования была обра</w:t>
      </w:r>
      <w:r w:rsidRPr="00405303">
        <w:rPr>
          <w:bCs/>
          <w:color w:val="002060"/>
          <w:sz w:val="16"/>
          <w:szCs w:val="16"/>
          <w:lang w:val="ru-RU"/>
        </w:rPr>
        <w:softHyphen/>
        <w:t>зована в конце марта 1916 г.</w:t>
      </w:r>
    </w:p>
    <w:p w14:paraId="098F382A" w14:textId="77777777" w:rsidR="00234C51" w:rsidRPr="00405303" w:rsidRDefault="00234C51" w:rsidP="00C15251">
      <w:pPr>
        <w:pStyle w:val="a5"/>
        <w:rPr>
          <w:bCs/>
          <w:color w:val="002060"/>
          <w:sz w:val="16"/>
          <w:szCs w:val="16"/>
          <w:lang w:val="ru-RU"/>
        </w:rPr>
      </w:pPr>
      <w:r w:rsidRPr="00405303">
        <w:rPr>
          <w:bCs/>
          <w:color w:val="002060"/>
          <w:sz w:val="16"/>
          <w:szCs w:val="16"/>
          <w:lang w:val="ru-RU"/>
        </w:rPr>
        <w:t>Однако дело продвигалось не</w:t>
      </w:r>
      <w:r w:rsidRPr="00405303">
        <w:rPr>
          <w:bCs/>
          <w:color w:val="002060"/>
          <w:sz w:val="16"/>
          <w:szCs w:val="16"/>
          <w:lang w:val="ru-RU"/>
        </w:rPr>
        <w:softHyphen/>
        <w:t>спешно, и только при создании воз</w:t>
      </w:r>
      <w:r w:rsidRPr="00405303">
        <w:rPr>
          <w:bCs/>
          <w:color w:val="002060"/>
          <w:sz w:val="16"/>
          <w:szCs w:val="16"/>
          <w:lang w:val="ru-RU"/>
        </w:rPr>
        <w:softHyphen/>
        <w:t>душной бригады особого назначе</w:t>
      </w:r>
      <w:r w:rsidRPr="00405303">
        <w:rPr>
          <w:bCs/>
          <w:color w:val="002060"/>
          <w:sz w:val="16"/>
          <w:szCs w:val="16"/>
          <w:lang w:val="ru-RU"/>
        </w:rPr>
        <w:softHyphen/>
        <w:t>ния её первый дивизион должен был готовить лётчиков-истребителей. Вскоре в Красном Селе была сфор</w:t>
      </w:r>
      <w:r w:rsidRPr="00405303">
        <w:rPr>
          <w:bCs/>
          <w:color w:val="002060"/>
          <w:sz w:val="16"/>
          <w:szCs w:val="16"/>
          <w:lang w:val="ru-RU"/>
        </w:rPr>
        <w:softHyphen/>
        <w:t>мирована Школа воздушного боя. В школу поступили 10 самолётов типа «Лебедев-! 2», построенного на базе трофейного немецкого самолёта «Альбатрос», но с худши</w:t>
      </w:r>
      <w:r w:rsidRPr="00405303">
        <w:rPr>
          <w:bCs/>
          <w:color w:val="002060"/>
          <w:sz w:val="16"/>
          <w:szCs w:val="16"/>
          <w:lang w:val="ru-RU"/>
        </w:rPr>
        <w:softHyphen/>
        <w:t>ми по всем показателям характе</w:t>
      </w:r>
      <w:r w:rsidRPr="00405303">
        <w:rPr>
          <w:bCs/>
          <w:color w:val="002060"/>
          <w:sz w:val="16"/>
          <w:szCs w:val="16"/>
          <w:lang w:val="ru-RU"/>
        </w:rPr>
        <w:softHyphen/>
        <w:t>ристиками. Первый самолёт испы- тывался военным летчиком Слепцо</w:t>
      </w:r>
      <w:r w:rsidRPr="00405303">
        <w:rPr>
          <w:bCs/>
          <w:color w:val="002060"/>
          <w:sz w:val="16"/>
          <w:szCs w:val="16"/>
          <w:lang w:val="ru-RU"/>
        </w:rPr>
        <w:softHyphen/>
        <w:t>вым 28 декабря 1915 г. В Акте запи</w:t>
      </w:r>
      <w:r w:rsidRPr="00405303">
        <w:rPr>
          <w:bCs/>
          <w:color w:val="002060"/>
          <w:sz w:val="16"/>
          <w:szCs w:val="16"/>
          <w:lang w:val="ru-RU"/>
        </w:rPr>
        <w:softHyphen/>
        <w:t>сано: «.. аппарат имеет по сравне</w:t>
      </w:r>
      <w:r w:rsidRPr="00405303">
        <w:rPr>
          <w:bCs/>
          <w:color w:val="002060"/>
          <w:sz w:val="16"/>
          <w:szCs w:val="16"/>
          <w:lang w:val="ru-RU"/>
        </w:rPr>
        <w:softHyphen/>
        <w:t>нию с оригинальным немецким «Аль</w:t>
      </w:r>
      <w:r w:rsidRPr="00405303">
        <w:rPr>
          <w:bCs/>
          <w:color w:val="002060"/>
          <w:sz w:val="16"/>
          <w:szCs w:val="16"/>
          <w:lang w:val="ru-RU"/>
        </w:rPr>
        <w:softHyphen/>
        <w:t>батросом» большой запас летуче</w:t>
      </w:r>
      <w:r w:rsidRPr="00405303">
        <w:rPr>
          <w:bCs/>
          <w:color w:val="002060"/>
          <w:sz w:val="16"/>
          <w:szCs w:val="16"/>
          <w:lang w:val="ru-RU"/>
        </w:rPr>
        <w:softHyphen/>
        <w:t>сти при 700 оборотах мотора (мень</w:t>
      </w:r>
      <w:r w:rsidRPr="00405303">
        <w:rPr>
          <w:bCs/>
          <w:color w:val="002060"/>
          <w:sz w:val="16"/>
          <w:szCs w:val="16"/>
          <w:lang w:val="ru-RU"/>
        </w:rPr>
        <w:softHyphen/>
        <w:t>ше он и не мог дать), аппарат при посадке имел тенденцию взлететь». Одновременно предлагалось поста</w:t>
      </w:r>
      <w:r w:rsidRPr="00405303">
        <w:rPr>
          <w:bCs/>
          <w:color w:val="002060"/>
          <w:sz w:val="16"/>
          <w:szCs w:val="16"/>
          <w:lang w:val="ru-RU"/>
        </w:rPr>
        <w:softHyphen/>
        <w:t xml:space="preserve">вить броню на кабины лётчика и наблюдателя. В марте </w:t>
      </w:r>
      <w:r w:rsidRPr="00405303">
        <w:rPr>
          <w:bCs/>
          <w:color w:val="002060"/>
          <w:sz w:val="16"/>
          <w:szCs w:val="16"/>
          <w:lang w:val="ru-RU"/>
        </w:rPr>
        <w:lastRenderedPageBreak/>
        <w:t>1916 г. В.А. Лебедев предложил военному ве</w:t>
      </w:r>
      <w:r w:rsidRPr="00405303">
        <w:rPr>
          <w:bCs/>
          <w:color w:val="002060"/>
          <w:sz w:val="16"/>
          <w:szCs w:val="16"/>
          <w:lang w:val="ru-RU"/>
        </w:rPr>
        <w:softHyphen/>
        <w:t>домству приступить к серийной по</w:t>
      </w:r>
      <w:r w:rsidRPr="00405303">
        <w:rPr>
          <w:bCs/>
          <w:color w:val="002060"/>
          <w:sz w:val="16"/>
          <w:szCs w:val="16"/>
          <w:lang w:val="ru-RU"/>
        </w:rPr>
        <w:softHyphen/>
        <w:t>стройке самолёта, и его строили как разведчик на заводе «Акционер</w:t>
      </w:r>
      <w:r w:rsidRPr="00405303">
        <w:rPr>
          <w:bCs/>
          <w:color w:val="002060"/>
          <w:sz w:val="16"/>
          <w:szCs w:val="16"/>
          <w:lang w:val="ru-RU"/>
        </w:rPr>
        <w:softHyphen/>
        <w:t>ное общество воздухоплавания В.А.Лебедева» в Петрограде. Контрактом предусматривалось строительство 225 самолётов (двух</w:t>
      </w:r>
      <w:r w:rsidRPr="00405303">
        <w:rPr>
          <w:bCs/>
          <w:color w:val="002060"/>
          <w:sz w:val="16"/>
          <w:szCs w:val="16"/>
          <w:lang w:val="ru-RU"/>
        </w:rPr>
        <w:softHyphen/>
        <w:t>местных бипланов с двигателем «Сальмсон» мощностью 150 л.е.). Двигатель выпускался в России и был довольно надёжен в эксплуатации. При полной нагрузке в 300 кг са</w:t>
      </w:r>
      <w:r w:rsidRPr="00405303">
        <w:rPr>
          <w:bCs/>
          <w:color w:val="002060"/>
          <w:sz w:val="16"/>
          <w:szCs w:val="16"/>
          <w:lang w:val="ru-RU"/>
        </w:rPr>
        <w:softHyphen/>
        <w:t>молёт развивал скорость у земли 135 км/ч, что представляло его малопригодным для ведения манев</w:t>
      </w:r>
      <w:r w:rsidRPr="00405303">
        <w:rPr>
          <w:bCs/>
          <w:color w:val="002060"/>
          <w:sz w:val="16"/>
          <w:szCs w:val="16"/>
          <w:lang w:val="ru-RU"/>
        </w:rPr>
        <w:softHyphen/>
        <w:t>ренного воздушного боя. Самолёт имел заднюю турельную установку и бомбардировочное вооружение системы Шкульника (которое впос</w:t>
      </w:r>
      <w:r w:rsidRPr="00405303">
        <w:rPr>
          <w:bCs/>
          <w:color w:val="002060"/>
          <w:sz w:val="16"/>
          <w:szCs w:val="16"/>
          <w:lang w:val="ru-RU"/>
        </w:rPr>
        <w:softHyphen/>
        <w:t>ледствии посчитали непригодным).</w:t>
      </w:r>
    </w:p>
    <w:p w14:paraId="566A5755" w14:textId="77777777" w:rsidR="00234C51" w:rsidRPr="00405303" w:rsidRDefault="00234C51" w:rsidP="00C15251">
      <w:pPr>
        <w:pStyle w:val="a5"/>
        <w:rPr>
          <w:bCs/>
          <w:color w:val="002060"/>
          <w:sz w:val="16"/>
          <w:szCs w:val="16"/>
          <w:lang w:val="ru-RU"/>
        </w:rPr>
      </w:pPr>
      <w:r w:rsidRPr="00405303">
        <w:rPr>
          <w:bCs/>
          <w:color w:val="002060"/>
          <w:sz w:val="16"/>
          <w:szCs w:val="16"/>
          <w:lang w:val="ru-RU"/>
        </w:rPr>
        <w:t>Первую партию боевых самолё</w:t>
      </w:r>
      <w:r w:rsidRPr="00405303">
        <w:rPr>
          <w:bCs/>
          <w:color w:val="002060"/>
          <w:sz w:val="16"/>
          <w:szCs w:val="16"/>
          <w:lang w:val="ru-RU"/>
        </w:rPr>
        <w:softHyphen/>
        <w:t>тов «Лебедь-12» предъявили воен</w:t>
      </w:r>
      <w:r w:rsidRPr="00405303">
        <w:rPr>
          <w:bCs/>
          <w:color w:val="002060"/>
          <w:sz w:val="16"/>
          <w:szCs w:val="16"/>
          <w:lang w:val="ru-RU"/>
        </w:rPr>
        <w:softHyphen/>
        <w:t>ному ведомству и 4 августа 1916 г. на Комендантском аэродроме на</w:t>
      </w:r>
      <w:r w:rsidRPr="00405303">
        <w:rPr>
          <w:bCs/>
          <w:color w:val="002060"/>
          <w:sz w:val="16"/>
          <w:szCs w:val="16"/>
          <w:lang w:val="ru-RU"/>
        </w:rPr>
        <w:softHyphen/>
        <w:t>чались официальные испытания, проводившиеся лётчиком Михайло</w:t>
      </w:r>
      <w:r w:rsidRPr="00405303">
        <w:rPr>
          <w:bCs/>
          <w:color w:val="002060"/>
          <w:sz w:val="16"/>
          <w:szCs w:val="16"/>
          <w:lang w:val="ru-RU"/>
        </w:rPr>
        <w:softHyphen/>
        <w:t>вым.</w:t>
      </w:r>
    </w:p>
    <w:p w14:paraId="48A53AEF" w14:textId="77777777" w:rsidR="00234C51" w:rsidRPr="00405303" w:rsidRDefault="00234C51" w:rsidP="00C15251">
      <w:pPr>
        <w:pStyle w:val="a5"/>
        <w:rPr>
          <w:bCs/>
          <w:color w:val="002060"/>
          <w:sz w:val="16"/>
          <w:szCs w:val="16"/>
          <w:lang w:val="ru-RU"/>
        </w:rPr>
      </w:pPr>
      <w:r w:rsidRPr="00405303">
        <w:rPr>
          <w:bCs/>
          <w:color w:val="002060"/>
          <w:sz w:val="16"/>
          <w:szCs w:val="16"/>
          <w:lang w:val="ru-RU"/>
        </w:rPr>
        <w:t>Было установлено, что скорость отрыва самолёта составляет 75-80 км/ч, пробег после посадки не пре</w:t>
      </w:r>
      <w:r w:rsidRPr="00405303">
        <w:rPr>
          <w:bCs/>
          <w:color w:val="002060"/>
          <w:sz w:val="16"/>
          <w:szCs w:val="16"/>
          <w:lang w:val="ru-RU"/>
        </w:rPr>
        <w:softHyphen/>
        <w:t>вышал 100 м. Впоследствии лётчики Яцук, Николаев и другие, ознако</w:t>
      </w:r>
      <w:r w:rsidRPr="00405303">
        <w:rPr>
          <w:bCs/>
          <w:color w:val="002060"/>
          <w:sz w:val="16"/>
          <w:szCs w:val="16"/>
          <w:lang w:val="ru-RU"/>
        </w:rPr>
        <w:softHyphen/>
        <w:t>мившись с «Лебедь-12» дадут ему нелестную оценку: «...самолёт опа</w:t>
      </w:r>
      <w:r w:rsidRPr="00405303">
        <w:rPr>
          <w:bCs/>
          <w:color w:val="002060"/>
          <w:sz w:val="16"/>
          <w:szCs w:val="16"/>
          <w:lang w:val="ru-RU"/>
        </w:rPr>
        <w:softHyphen/>
        <w:t>сен для полётов и использовать толь</w:t>
      </w:r>
      <w:r w:rsidRPr="00405303">
        <w:rPr>
          <w:bCs/>
          <w:color w:val="002060"/>
          <w:sz w:val="16"/>
          <w:szCs w:val="16"/>
          <w:lang w:val="ru-RU"/>
        </w:rPr>
        <w:softHyphen/>
        <w:t>ко в случае крайней необходимос</w:t>
      </w:r>
      <w:r w:rsidRPr="00405303">
        <w:rPr>
          <w:bCs/>
          <w:color w:val="002060"/>
          <w:sz w:val="16"/>
          <w:szCs w:val="16"/>
          <w:lang w:val="ru-RU"/>
        </w:rPr>
        <w:softHyphen/>
        <w:t>ти... испытание самолёта морской авиации показало: самолёт очень неуравновешен, на вираже неус</w:t>
      </w:r>
      <w:r w:rsidRPr="00405303">
        <w:rPr>
          <w:bCs/>
          <w:color w:val="002060"/>
          <w:sz w:val="16"/>
          <w:szCs w:val="16"/>
          <w:lang w:val="ru-RU"/>
        </w:rPr>
        <w:softHyphen/>
        <w:t>тойчив, в полёте тянет на пикиро</w:t>
      </w:r>
      <w:r w:rsidRPr="00405303">
        <w:rPr>
          <w:bCs/>
          <w:color w:val="002060"/>
          <w:sz w:val="16"/>
          <w:szCs w:val="16"/>
          <w:lang w:val="ru-RU"/>
        </w:rPr>
        <w:softHyphen/>
        <w:t>вание, имелись случаи, когда при клевке был выброшен пассажир. При переходе к пикированию вы</w:t>
      </w:r>
      <w:r w:rsidRPr="00405303">
        <w:rPr>
          <w:bCs/>
          <w:color w:val="002060"/>
          <w:sz w:val="16"/>
          <w:szCs w:val="16"/>
          <w:lang w:val="ru-RU"/>
        </w:rPr>
        <w:softHyphen/>
        <w:t>равнивается с трудом поэтому пос</w:t>
      </w:r>
      <w:r w:rsidRPr="00405303">
        <w:rPr>
          <w:bCs/>
          <w:color w:val="002060"/>
          <w:sz w:val="16"/>
          <w:szCs w:val="16"/>
          <w:lang w:val="ru-RU"/>
        </w:rPr>
        <w:softHyphen/>
        <w:t>ле потери мощности двигателя, а следовательно и скорости на ма</w:t>
      </w:r>
      <w:r w:rsidRPr="00405303">
        <w:rPr>
          <w:bCs/>
          <w:color w:val="002060"/>
          <w:sz w:val="16"/>
          <w:szCs w:val="16"/>
          <w:lang w:val="ru-RU"/>
        </w:rPr>
        <w:softHyphen/>
        <w:t>лой высоте возможна серьёзная авария». И самолёт подобного типа рекомендовался для обучения. Во</w:t>
      </w:r>
      <w:r w:rsidRPr="00405303">
        <w:rPr>
          <w:bCs/>
          <w:color w:val="002060"/>
          <w:sz w:val="16"/>
          <w:szCs w:val="16"/>
          <w:lang w:val="ru-RU"/>
        </w:rPr>
        <w:softHyphen/>
        <w:t>енное ведомство вообще отказа</w:t>
      </w:r>
      <w:r w:rsidRPr="00405303">
        <w:rPr>
          <w:bCs/>
          <w:color w:val="002060"/>
          <w:sz w:val="16"/>
          <w:szCs w:val="16"/>
          <w:lang w:val="ru-RU"/>
        </w:rPr>
        <w:softHyphen/>
        <w:t>лось использовать эти самолёты на фронте.</w:t>
      </w:r>
    </w:p>
    <w:p w14:paraId="05D2C19D" w14:textId="77777777" w:rsidR="00234C51" w:rsidRPr="00405303" w:rsidRDefault="00234C51" w:rsidP="00C15251">
      <w:pPr>
        <w:pStyle w:val="a5"/>
        <w:rPr>
          <w:bCs/>
          <w:color w:val="002060"/>
          <w:sz w:val="16"/>
          <w:szCs w:val="16"/>
          <w:lang w:val="ru-RU"/>
        </w:rPr>
      </w:pPr>
      <w:r w:rsidRPr="00405303">
        <w:rPr>
          <w:bCs/>
          <w:color w:val="002060"/>
          <w:sz w:val="16"/>
          <w:szCs w:val="16"/>
          <w:lang w:val="ru-RU"/>
        </w:rPr>
        <w:t>Несмотря но все сложности и финансовые затруднения в ходе мировой войны, в морском ведом</w:t>
      </w:r>
      <w:r w:rsidRPr="00405303">
        <w:rPr>
          <w:bCs/>
          <w:color w:val="002060"/>
          <w:sz w:val="16"/>
          <w:szCs w:val="16"/>
          <w:lang w:val="ru-RU"/>
        </w:rPr>
        <w:softHyphen/>
        <w:t>стве удалось создать систему под</w:t>
      </w:r>
      <w:r w:rsidRPr="00405303">
        <w:rPr>
          <w:bCs/>
          <w:color w:val="002060"/>
          <w:sz w:val="16"/>
          <w:szCs w:val="16"/>
          <w:lang w:val="ru-RU"/>
        </w:rPr>
        <w:softHyphen/>
        <w:t>готовки личного состава, и к лету 1917 г. она включала Петроградс</w:t>
      </w:r>
      <w:r w:rsidRPr="00405303">
        <w:rPr>
          <w:bCs/>
          <w:color w:val="002060"/>
          <w:sz w:val="16"/>
          <w:szCs w:val="16"/>
          <w:lang w:val="ru-RU"/>
        </w:rPr>
        <w:softHyphen/>
        <w:t>кую (с 1917 г. Ораниенбаумскую) и Бакинскую школы морской авиации, школу воздушного боя в Красном селе и школу авиационных унтер- офицеров в Гапсале.</w:t>
      </w:r>
    </w:p>
    <w:p w14:paraId="015A4EE6" w14:textId="77777777" w:rsidR="00234C51" w:rsidRPr="00405303" w:rsidRDefault="00234C51" w:rsidP="00C15251">
      <w:pPr>
        <w:pStyle w:val="a5"/>
        <w:rPr>
          <w:bCs/>
          <w:color w:val="002060"/>
          <w:sz w:val="16"/>
          <w:szCs w:val="16"/>
          <w:lang w:val="ru-RU"/>
        </w:rPr>
      </w:pPr>
      <w:r w:rsidRPr="00405303">
        <w:rPr>
          <w:bCs/>
          <w:color w:val="002060"/>
          <w:sz w:val="16"/>
          <w:szCs w:val="16"/>
          <w:lang w:val="ru-RU"/>
        </w:rPr>
        <w:t>В течение 1916 года Петроград</w:t>
      </w:r>
      <w:r w:rsidRPr="00405303">
        <w:rPr>
          <w:bCs/>
          <w:color w:val="002060"/>
          <w:sz w:val="16"/>
          <w:szCs w:val="16"/>
          <w:lang w:val="ru-RU"/>
        </w:rPr>
        <w:softHyphen/>
        <w:t>ская и Бакинская школы ежемесячно выпускали по 20 морских летчиков (11924).</w:t>
      </w:r>
    </w:p>
    <w:p w14:paraId="00917D23" w14:textId="77777777" w:rsidR="00234C51" w:rsidRPr="00405303" w:rsidRDefault="00234C51" w:rsidP="00C15251">
      <w:pPr>
        <w:pStyle w:val="a5"/>
        <w:rPr>
          <w:bCs/>
          <w:color w:val="002060"/>
          <w:sz w:val="16"/>
          <w:szCs w:val="16"/>
          <w:lang w:val="ru-RU"/>
        </w:rPr>
      </w:pPr>
    </w:p>
    <w:bookmarkEnd w:id="310"/>
    <w:p w14:paraId="687A684D"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3B004D57" w14:textId="77777777" w:rsidR="004B4E35" w:rsidRPr="00405303" w:rsidRDefault="004B4E35" w:rsidP="00C15251">
      <w:pPr>
        <w:pStyle w:val="a3"/>
        <w:jc w:val="both"/>
        <w:rPr>
          <w:bCs/>
          <w:color w:val="002060"/>
          <w:spacing w:val="0"/>
          <w:kern w:val="0"/>
          <w:position w:val="0"/>
          <w:sz w:val="16"/>
          <w:szCs w:val="16"/>
        </w:rPr>
      </w:pPr>
    </w:p>
    <w:p w14:paraId="15A3DB66" w14:textId="4D5E528F" w:rsidR="004B4E35" w:rsidRPr="00405303" w:rsidRDefault="009E6F82" w:rsidP="00C15251">
      <w:pPr>
        <w:shd w:val="clear" w:color="auto" w:fill="FFFFFF"/>
        <w:jc w:val="both"/>
        <w:rPr>
          <w:bCs/>
          <w:i/>
          <w:color w:val="002060"/>
          <w:sz w:val="16"/>
          <w:szCs w:val="16"/>
          <w:vertAlign w:val="subscript"/>
        </w:rPr>
      </w:pPr>
      <w:r w:rsidRPr="00405303">
        <w:rPr>
          <w:bCs/>
          <w:color w:val="002060"/>
          <w:sz w:val="16"/>
          <w:szCs w:val="16"/>
        </w:rPr>
        <w:t>9 (2</w:t>
      </w:r>
      <w:r w:rsidR="0083394E" w:rsidRPr="00405303">
        <w:rPr>
          <w:bCs/>
          <w:color w:val="002060"/>
          <w:sz w:val="16"/>
          <w:szCs w:val="16"/>
        </w:rPr>
        <w:t>2</w:t>
      </w:r>
      <w:r w:rsidRPr="00405303">
        <w:rPr>
          <w:bCs/>
          <w:color w:val="002060"/>
          <w:sz w:val="16"/>
          <w:szCs w:val="16"/>
        </w:rPr>
        <w:t>) ноября 1915 Старший механик 2-го авиапарка Владимир Федорович Савельев и техник того же парка Владислав Залевский доложили о своем проекте трехмоторного четырехплана "С-3" (Савелъев-Залевский) с площадью крыльев 230 м и шасси с носовым колесом, что тогда было новинкой. По такому проекту са</w:t>
      </w:r>
      <w:r w:rsidRPr="00405303">
        <w:rPr>
          <w:bCs/>
          <w:color w:val="002060"/>
          <w:sz w:val="16"/>
          <w:szCs w:val="16"/>
        </w:rPr>
        <w:softHyphen/>
        <w:t xml:space="preserve">молет не строился. Конструкторы построили четырехплан с одним двигателем Гном в 80 л.с., который и испытывался (см.12 мая 1916 г.) </w:t>
      </w:r>
      <w:r w:rsidRPr="00405303">
        <w:rPr>
          <w:bCs/>
          <w:i/>
          <w:color w:val="002060"/>
          <w:sz w:val="16"/>
          <w:szCs w:val="16"/>
        </w:rPr>
        <w:t>(ЦГВИА. ф.2008, д. 448, л. 16)</w:t>
      </w:r>
      <w:r w:rsidRPr="00405303">
        <w:rPr>
          <w:bCs/>
          <w:i/>
          <w:color w:val="002060"/>
          <w:sz w:val="16"/>
          <w:szCs w:val="16"/>
          <w:vertAlign w:val="subscript"/>
        </w:rPr>
        <w:t>4</w:t>
      </w:r>
    </w:p>
    <w:p w14:paraId="4A2494E5" w14:textId="77777777" w:rsidR="004B4E35" w:rsidRPr="00405303" w:rsidRDefault="004B4E35" w:rsidP="00C15251">
      <w:pPr>
        <w:shd w:val="clear" w:color="auto" w:fill="FFFFFF"/>
        <w:jc w:val="both"/>
        <w:rPr>
          <w:bCs/>
          <w:i/>
          <w:color w:val="002060"/>
          <w:sz w:val="16"/>
          <w:szCs w:val="16"/>
        </w:rPr>
      </w:pPr>
    </w:p>
    <w:p w14:paraId="634ABB2E" w14:textId="77777777" w:rsidR="001F5EE8" w:rsidRPr="00405303" w:rsidRDefault="001F5EE8" w:rsidP="00C15251">
      <w:pPr>
        <w:jc w:val="both"/>
        <w:rPr>
          <w:bCs/>
          <w:color w:val="002060"/>
          <w:sz w:val="16"/>
          <w:szCs w:val="16"/>
        </w:rPr>
      </w:pPr>
      <w:r w:rsidRPr="00405303">
        <w:rPr>
          <w:bCs/>
          <w:color w:val="002060"/>
          <w:sz w:val="16"/>
          <w:szCs w:val="16"/>
        </w:rPr>
        <w:t>9 (22) ноября 1915 г. старший механик 2-го авиапарка Владимир Федорович Савельев и техник того же парка Владимир Залевский доложили о своем проекте трехмоторного четырехплана "С-3" /савельев-Залевский/. Проектные данные: площадь крыльев - 230 м2, полетный вес — 4250 кг, полезная нагрузка — 2750 кг, продолжительность полета - $ часов, скорость - 135 км/час, ори мотора по 250 л.с. вращают два толкающих и один тянущий винт. Шасси с носовым колесом, что тогда было новинкой. По такому проекту самолет не строился. Конструкторы построили уменьшенный вариант четырехплана с одним мотором гном 180 л.с», который и испытывался.</w:t>
      </w:r>
    </w:p>
    <w:p w14:paraId="44FBAE13" w14:textId="77777777" w:rsidR="001F5EE8" w:rsidRPr="00405303" w:rsidRDefault="001F5EE8" w:rsidP="00C15251">
      <w:pPr>
        <w:jc w:val="both"/>
        <w:rPr>
          <w:bCs/>
          <w:color w:val="002060"/>
          <w:sz w:val="16"/>
          <w:szCs w:val="16"/>
        </w:rPr>
      </w:pPr>
      <w:r w:rsidRPr="00405303">
        <w:rPr>
          <w:bCs/>
          <w:color w:val="002060"/>
          <w:sz w:val="16"/>
          <w:szCs w:val="16"/>
        </w:rPr>
        <w:t>/ЦГВИА, ф. 2008, л. 448, л. 16/ (23320).</w:t>
      </w:r>
    </w:p>
    <w:p w14:paraId="0651EAFE" w14:textId="77777777" w:rsidR="001F5EE8" w:rsidRPr="00405303" w:rsidRDefault="001F5EE8" w:rsidP="00C15251">
      <w:pPr>
        <w:jc w:val="both"/>
        <w:rPr>
          <w:bCs/>
          <w:color w:val="002060"/>
          <w:sz w:val="16"/>
          <w:szCs w:val="16"/>
        </w:rPr>
      </w:pPr>
    </w:p>
    <w:p w14:paraId="787101E9" w14:textId="38F5706F" w:rsidR="005C4C47" w:rsidRPr="00405303" w:rsidRDefault="005C4C47" w:rsidP="00C15251">
      <w:pPr>
        <w:pStyle w:val="16"/>
        <w:shd w:val="clear" w:color="auto" w:fill="auto"/>
        <w:spacing w:before="0" w:line="240" w:lineRule="auto"/>
        <w:ind w:firstLine="0"/>
        <w:jc w:val="both"/>
        <w:rPr>
          <w:bCs/>
          <w:color w:val="002060"/>
          <w:sz w:val="16"/>
          <w:szCs w:val="16"/>
        </w:rPr>
      </w:pPr>
      <w:r w:rsidRPr="00405303">
        <w:rPr>
          <w:bCs/>
          <w:color w:val="002060"/>
          <w:sz w:val="16"/>
          <w:szCs w:val="16"/>
        </w:rPr>
        <w:t xml:space="preserve">9 </w:t>
      </w:r>
      <w:r w:rsidR="0083394E" w:rsidRPr="00405303">
        <w:rPr>
          <w:bCs/>
          <w:color w:val="002060"/>
          <w:sz w:val="16"/>
          <w:szCs w:val="16"/>
        </w:rPr>
        <w:t xml:space="preserve">(22) </w:t>
      </w:r>
      <w:r w:rsidRPr="00405303">
        <w:rPr>
          <w:bCs/>
          <w:color w:val="002060"/>
          <w:sz w:val="16"/>
          <w:szCs w:val="16"/>
        </w:rPr>
        <w:t>ноября 1915 г. чертежи и расчеты самолета Ботезата были рассмотрены Тех</w:t>
      </w:r>
      <w:r w:rsidRPr="00405303">
        <w:rPr>
          <w:bCs/>
          <w:color w:val="002060"/>
          <w:sz w:val="16"/>
          <w:szCs w:val="16"/>
        </w:rPr>
        <w:softHyphen/>
        <w:t>ническим комитетом ГВТУ и «возражений не встретили». Более того, члены Комитета пришли к единому мнению, что проекты «обеща</w:t>
      </w:r>
      <w:r w:rsidRPr="00405303">
        <w:rPr>
          <w:bCs/>
          <w:color w:val="002060"/>
          <w:sz w:val="16"/>
          <w:szCs w:val="16"/>
        </w:rPr>
        <w:softHyphen/>
        <w:t>ют дать аппараты, превосходящие по своим качествам ныне существующие типы аэропланов». Особенно была отмечена своевременность создания та</w:t>
      </w:r>
      <w:r w:rsidRPr="00405303">
        <w:rPr>
          <w:bCs/>
          <w:color w:val="002060"/>
          <w:sz w:val="16"/>
          <w:szCs w:val="16"/>
        </w:rPr>
        <w:softHyphen/>
        <w:t>ких специализированных самолетов, о необходимости которых ходатайство</w:t>
      </w:r>
      <w:r w:rsidRPr="00405303">
        <w:rPr>
          <w:bCs/>
          <w:color w:val="002060"/>
          <w:sz w:val="16"/>
          <w:szCs w:val="16"/>
        </w:rPr>
        <w:softHyphen/>
        <w:t>вало командование русской армии (15740).</w:t>
      </w:r>
    </w:p>
    <w:p w14:paraId="226336FD" w14:textId="77777777" w:rsidR="005C4C47" w:rsidRPr="00405303" w:rsidRDefault="005C4C47" w:rsidP="00C15251">
      <w:pPr>
        <w:pStyle w:val="16"/>
        <w:shd w:val="clear" w:color="auto" w:fill="auto"/>
        <w:spacing w:before="0" w:line="240" w:lineRule="auto"/>
        <w:ind w:firstLine="0"/>
        <w:jc w:val="both"/>
        <w:rPr>
          <w:bCs/>
          <w:color w:val="002060"/>
          <w:sz w:val="16"/>
          <w:szCs w:val="16"/>
        </w:rPr>
      </w:pPr>
      <w:r w:rsidRPr="00405303">
        <w:rPr>
          <w:bCs/>
          <w:color w:val="002060"/>
          <w:sz w:val="16"/>
          <w:szCs w:val="16"/>
        </w:rPr>
        <w:t>Технический комитет ГВТУ, рассмотрев проект Ботезата, пришел к следующим выводам:</w:t>
      </w:r>
    </w:p>
    <w:p w14:paraId="53415EC0" w14:textId="77777777" w:rsidR="005C4C47" w:rsidRPr="00405303" w:rsidRDefault="005C4C47" w:rsidP="00C15251">
      <w:pPr>
        <w:pStyle w:val="30"/>
        <w:shd w:val="clear" w:color="auto" w:fill="auto"/>
        <w:spacing w:line="240" w:lineRule="auto"/>
        <w:jc w:val="both"/>
        <w:rPr>
          <w:bCs/>
          <w:color w:val="002060"/>
          <w:sz w:val="16"/>
          <w:szCs w:val="16"/>
        </w:rPr>
      </w:pPr>
      <w:r w:rsidRPr="00405303">
        <w:rPr>
          <w:bCs/>
          <w:color w:val="002060"/>
          <w:sz w:val="16"/>
          <w:szCs w:val="16"/>
        </w:rPr>
        <w:t>«1. Осуществление аэропланов бомбометателя и истребителя соответствуют потребности настоящего времени.</w:t>
      </w:r>
    </w:p>
    <w:p w14:paraId="0DDCD999" w14:textId="77777777" w:rsidR="005C4C47" w:rsidRPr="00405303" w:rsidRDefault="005C4C47" w:rsidP="00C15251">
      <w:pPr>
        <w:pStyle w:val="30"/>
        <w:shd w:val="clear" w:color="auto" w:fill="auto"/>
        <w:tabs>
          <w:tab w:val="left" w:pos="456"/>
        </w:tabs>
        <w:spacing w:line="240" w:lineRule="auto"/>
        <w:jc w:val="both"/>
        <w:rPr>
          <w:bCs/>
          <w:color w:val="002060"/>
          <w:sz w:val="16"/>
          <w:szCs w:val="16"/>
        </w:rPr>
      </w:pPr>
      <w:r w:rsidRPr="00405303">
        <w:rPr>
          <w:bCs/>
          <w:color w:val="002060"/>
          <w:sz w:val="16"/>
          <w:szCs w:val="16"/>
        </w:rPr>
        <w:t>2. Осуществление двух аэропланов этих типов, спроектированных профессором Ботезатом, является желательным.</w:t>
      </w:r>
    </w:p>
    <w:p w14:paraId="6C9480FF" w14:textId="77777777" w:rsidR="005C4C47" w:rsidRPr="00405303" w:rsidRDefault="005C4C47" w:rsidP="00C15251">
      <w:pPr>
        <w:pStyle w:val="30"/>
        <w:shd w:val="clear" w:color="auto" w:fill="auto"/>
        <w:tabs>
          <w:tab w:val="left" w:pos="475"/>
        </w:tabs>
        <w:spacing w:line="240" w:lineRule="auto"/>
        <w:jc w:val="both"/>
        <w:rPr>
          <w:bCs/>
          <w:color w:val="002060"/>
          <w:sz w:val="16"/>
          <w:szCs w:val="16"/>
        </w:rPr>
      </w:pPr>
      <w:r w:rsidRPr="00405303">
        <w:rPr>
          <w:bCs/>
          <w:color w:val="002060"/>
          <w:sz w:val="16"/>
          <w:szCs w:val="16"/>
        </w:rPr>
        <w:t>3. Средства, исчисленные профессором Ботезатом на детальную разработку проектов его аэропланов и на их осуществление, являются не преувеличенными.</w:t>
      </w:r>
    </w:p>
    <w:p w14:paraId="18259C3E" w14:textId="77777777" w:rsidR="005C4C47" w:rsidRPr="00405303" w:rsidRDefault="005C4C47" w:rsidP="00C15251">
      <w:pPr>
        <w:pStyle w:val="30"/>
        <w:shd w:val="clear" w:color="auto" w:fill="auto"/>
        <w:tabs>
          <w:tab w:val="left" w:pos="480"/>
        </w:tabs>
        <w:spacing w:line="240" w:lineRule="auto"/>
        <w:jc w:val="both"/>
        <w:rPr>
          <w:bCs/>
          <w:color w:val="002060"/>
          <w:sz w:val="16"/>
          <w:szCs w:val="16"/>
        </w:rPr>
      </w:pPr>
      <w:r w:rsidRPr="00405303">
        <w:rPr>
          <w:bCs/>
          <w:color w:val="002060"/>
          <w:sz w:val="16"/>
          <w:szCs w:val="16"/>
        </w:rPr>
        <w:t>4. Условия профессора Ботезата об уплате ему авторского гонорара в случае дальнейших заказов аэропланов его систем признать приемлемыми» (15740).</w:t>
      </w:r>
    </w:p>
    <w:p w14:paraId="75E7B5AF" w14:textId="77777777" w:rsidR="005C4C47" w:rsidRPr="00405303" w:rsidRDefault="005C4C47" w:rsidP="00C15251">
      <w:pPr>
        <w:pStyle w:val="30"/>
        <w:shd w:val="clear" w:color="auto" w:fill="auto"/>
        <w:spacing w:line="240" w:lineRule="auto"/>
        <w:jc w:val="both"/>
        <w:rPr>
          <w:bCs/>
          <w:color w:val="002060"/>
          <w:sz w:val="16"/>
          <w:szCs w:val="16"/>
        </w:rPr>
      </w:pPr>
    </w:p>
    <w:p w14:paraId="1350084C" w14:textId="66EF089B" w:rsidR="00093136" w:rsidRPr="00405303" w:rsidRDefault="00093136" w:rsidP="00C15251">
      <w:pPr>
        <w:pStyle w:val="a3"/>
        <w:jc w:val="both"/>
        <w:rPr>
          <w:bCs/>
          <w:color w:val="002060"/>
          <w:spacing w:val="0"/>
          <w:kern w:val="0"/>
          <w:position w:val="0"/>
          <w:sz w:val="16"/>
          <w:szCs w:val="16"/>
        </w:rPr>
      </w:pPr>
      <w:r w:rsidRPr="00405303">
        <w:rPr>
          <w:bCs/>
          <w:color w:val="002060"/>
          <w:spacing w:val="0"/>
          <w:kern w:val="0"/>
          <w:position w:val="0"/>
          <w:sz w:val="16"/>
          <w:szCs w:val="16"/>
        </w:rPr>
        <w:t>Другие оборонные отрасли:</w:t>
      </w:r>
    </w:p>
    <w:p w14:paraId="3C71D241" w14:textId="77777777" w:rsidR="00093136" w:rsidRPr="00405303" w:rsidRDefault="00093136" w:rsidP="00C15251">
      <w:pPr>
        <w:pStyle w:val="a3"/>
        <w:jc w:val="both"/>
        <w:rPr>
          <w:bCs/>
          <w:color w:val="002060"/>
          <w:spacing w:val="0"/>
          <w:kern w:val="0"/>
          <w:position w:val="0"/>
          <w:sz w:val="16"/>
          <w:szCs w:val="16"/>
        </w:rPr>
      </w:pPr>
    </w:p>
    <w:p w14:paraId="759BD204" w14:textId="4D6A9BEB" w:rsidR="00093136" w:rsidRPr="00405303" w:rsidRDefault="00093136"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9 (22) ноября 1915 г. наиболее крупный специальный подковный завод Посселя» в Петербурге, входивший в военно-промышленную группу Русско-Азиатского банка, подобно Путиловскому и другим не справлявшимся с военными заданиями предприятиям группы,</w:t>
      </w:r>
      <w:r w:rsidR="000F5756">
        <w:rPr>
          <w:rFonts w:ascii="Times New Roman" w:hAnsi="Times New Roman" w:cs="Times New Roman"/>
          <w:bCs/>
          <w:color w:val="002060"/>
          <w:sz w:val="16"/>
          <w:szCs w:val="16"/>
        </w:rPr>
        <w:t xml:space="preserve"> </w:t>
      </w:r>
      <w:r w:rsidRPr="00405303">
        <w:rPr>
          <w:rFonts w:ascii="Times New Roman" w:hAnsi="Times New Roman" w:cs="Times New Roman"/>
          <w:bCs/>
          <w:color w:val="002060"/>
          <w:sz w:val="16"/>
          <w:szCs w:val="16"/>
        </w:rPr>
        <w:t>подвергся конфискации (РГВИА. Ф. 962. Оп. 2. Д.115. Л. 136—137), после чего именовался Петроградским военно-подковным заводом (23452).</w:t>
      </w:r>
    </w:p>
    <w:p w14:paraId="75D4D9D6" w14:textId="77777777" w:rsidR="00093136" w:rsidRPr="00405303" w:rsidRDefault="00093136" w:rsidP="00C15251">
      <w:pPr>
        <w:jc w:val="both"/>
        <w:rPr>
          <w:bCs/>
          <w:color w:val="002060"/>
          <w:sz w:val="16"/>
          <w:szCs w:val="16"/>
        </w:rPr>
      </w:pPr>
    </w:p>
    <w:p w14:paraId="5531FF7F" w14:textId="005AF4E6"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7A238DF7" w14:textId="77777777" w:rsidR="004B4E35" w:rsidRPr="00405303" w:rsidRDefault="004B4E35" w:rsidP="00C15251">
      <w:pPr>
        <w:pStyle w:val="a3"/>
        <w:jc w:val="both"/>
        <w:rPr>
          <w:bCs/>
          <w:color w:val="002060"/>
          <w:spacing w:val="0"/>
          <w:kern w:val="0"/>
          <w:position w:val="0"/>
          <w:sz w:val="16"/>
          <w:szCs w:val="16"/>
        </w:rPr>
      </w:pPr>
    </w:p>
    <w:p w14:paraId="410A2CF9" w14:textId="3FE90CA7" w:rsidR="004B4E35" w:rsidRPr="00405303" w:rsidRDefault="009E6F82" w:rsidP="00C15251">
      <w:pPr>
        <w:shd w:val="clear" w:color="auto" w:fill="FFFFFF"/>
        <w:jc w:val="both"/>
        <w:rPr>
          <w:bCs/>
          <w:color w:val="002060"/>
          <w:sz w:val="16"/>
          <w:szCs w:val="16"/>
        </w:rPr>
      </w:pPr>
      <w:r w:rsidRPr="00405303">
        <w:rPr>
          <w:bCs/>
          <w:color w:val="002060"/>
          <w:sz w:val="16"/>
          <w:szCs w:val="16"/>
        </w:rPr>
        <w:t>10 (23) ноября 1915 г.</w:t>
      </w:r>
      <w:r w:rsidR="0083394E" w:rsidRPr="00405303">
        <w:rPr>
          <w:bCs/>
          <w:color w:val="002060"/>
          <w:sz w:val="16"/>
          <w:szCs w:val="16"/>
        </w:rPr>
        <w:t xml:space="preserve"> закончили единственный эк</w:t>
      </w:r>
      <w:r w:rsidR="0083394E" w:rsidRPr="00405303">
        <w:rPr>
          <w:bCs/>
          <w:color w:val="002060"/>
          <w:sz w:val="16"/>
          <w:szCs w:val="16"/>
        </w:rPr>
        <w:softHyphen/>
        <w:t>земпляр«Вуазен с пушкой», построенный на «Дуксе» по француз</w:t>
      </w:r>
      <w:r w:rsidR="0083394E" w:rsidRPr="00405303">
        <w:rPr>
          <w:bCs/>
          <w:color w:val="002060"/>
          <w:sz w:val="16"/>
          <w:szCs w:val="16"/>
        </w:rPr>
        <w:softHyphen/>
        <w:t>ским чертежам, значительно дополненным руководившим постройкой инженером В.С.Денисовым</w:t>
      </w:r>
      <w:r w:rsidRPr="00405303">
        <w:rPr>
          <w:bCs/>
          <w:color w:val="002060"/>
          <w:sz w:val="16"/>
          <w:szCs w:val="16"/>
        </w:rPr>
        <w:t>, испытали и отпра</w:t>
      </w:r>
      <w:r w:rsidRPr="00405303">
        <w:rPr>
          <w:bCs/>
          <w:color w:val="002060"/>
          <w:sz w:val="16"/>
          <w:szCs w:val="16"/>
        </w:rPr>
        <w:softHyphen/>
        <w:t>вили на фронт, где летали еще 10 французских пушечных «Вуазенов» с моторами «Изотта-Фраскини» в 225 л.с.</w:t>
      </w:r>
      <w:r w:rsidR="0083394E" w:rsidRPr="00405303">
        <w:rPr>
          <w:bCs/>
          <w:color w:val="002060"/>
          <w:sz w:val="16"/>
          <w:szCs w:val="16"/>
        </w:rPr>
        <w:t xml:space="preserve"> «Вуазен с пушкой» был существенно боль</w:t>
      </w:r>
      <w:r w:rsidR="0083394E" w:rsidRPr="00405303">
        <w:rPr>
          <w:bCs/>
          <w:color w:val="002060"/>
          <w:sz w:val="16"/>
          <w:szCs w:val="16"/>
        </w:rPr>
        <w:softHyphen/>
        <w:t>ших размеров с двигателем «Сальмсон» в 225 л.с. и 1,5-дм (37 мм) пушкой «Кольт». Под нее существенно изменили нос гондолы</w:t>
      </w:r>
      <w:r w:rsidR="000F5756">
        <w:rPr>
          <w:bCs/>
          <w:color w:val="002060"/>
          <w:sz w:val="16"/>
          <w:szCs w:val="16"/>
        </w:rPr>
        <w:t xml:space="preserve"> </w:t>
      </w:r>
      <w:r w:rsidRPr="00405303">
        <w:rPr>
          <w:bCs/>
          <w:color w:val="002060"/>
          <w:sz w:val="16"/>
          <w:szCs w:val="16"/>
        </w:rPr>
        <w:t>(9651)/</w:t>
      </w:r>
    </w:p>
    <w:p w14:paraId="3E6C2A31" w14:textId="77777777" w:rsidR="004B4E35" w:rsidRPr="00405303" w:rsidRDefault="004B4E35" w:rsidP="00C15251">
      <w:pPr>
        <w:shd w:val="clear" w:color="auto" w:fill="FFFFFF"/>
        <w:jc w:val="both"/>
        <w:rPr>
          <w:bCs/>
          <w:color w:val="002060"/>
          <w:sz w:val="16"/>
          <w:szCs w:val="16"/>
        </w:rPr>
      </w:pPr>
    </w:p>
    <w:p w14:paraId="569B7C8E" w14:textId="45B72762" w:rsidR="005C4C47" w:rsidRPr="00405303" w:rsidRDefault="005C4C47" w:rsidP="00C15251">
      <w:pPr>
        <w:shd w:val="clear" w:color="auto" w:fill="FFFFFF"/>
        <w:jc w:val="both"/>
        <w:rPr>
          <w:bCs/>
          <w:color w:val="002060"/>
          <w:sz w:val="16"/>
          <w:szCs w:val="16"/>
        </w:rPr>
      </w:pPr>
      <w:r w:rsidRPr="00405303">
        <w:rPr>
          <w:bCs/>
          <w:color w:val="002060"/>
          <w:sz w:val="16"/>
          <w:szCs w:val="16"/>
        </w:rPr>
        <w:t>10</w:t>
      </w:r>
      <w:r w:rsidR="000F5756">
        <w:rPr>
          <w:bCs/>
          <w:color w:val="002060"/>
          <w:sz w:val="16"/>
          <w:szCs w:val="16"/>
        </w:rPr>
        <w:t xml:space="preserve"> </w:t>
      </w:r>
      <w:r w:rsidR="0083394E" w:rsidRPr="00405303">
        <w:rPr>
          <w:bCs/>
          <w:color w:val="002060"/>
          <w:sz w:val="16"/>
          <w:szCs w:val="16"/>
        </w:rPr>
        <w:t xml:space="preserve">(23) </w:t>
      </w:r>
      <w:r w:rsidRPr="00405303">
        <w:rPr>
          <w:bCs/>
          <w:color w:val="002060"/>
          <w:sz w:val="16"/>
          <w:szCs w:val="16"/>
        </w:rPr>
        <w:t>ноября 1915</w:t>
      </w:r>
      <w:r w:rsidR="00DB4D64" w:rsidRPr="00405303">
        <w:rPr>
          <w:bCs/>
          <w:color w:val="002060"/>
          <w:sz w:val="16"/>
          <w:szCs w:val="16"/>
        </w:rPr>
        <w:t xml:space="preserve"> </w:t>
      </w:r>
      <w:r w:rsidRPr="00405303">
        <w:rPr>
          <w:bCs/>
          <w:color w:val="002060"/>
          <w:sz w:val="16"/>
          <w:szCs w:val="16"/>
        </w:rPr>
        <w:t>г. на Дуксе закончили «Вуазен с</w:t>
      </w:r>
      <w:r w:rsidR="00DB4D64" w:rsidRPr="00405303">
        <w:rPr>
          <w:bCs/>
          <w:color w:val="002060"/>
          <w:sz w:val="16"/>
          <w:szCs w:val="16"/>
        </w:rPr>
        <w:t xml:space="preserve"> </w:t>
      </w:r>
      <w:r w:rsidRPr="00405303">
        <w:rPr>
          <w:bCs/>
          <w:color w:val="002060"/>
          <w:sz w:val="16"/>
          <w:szCs w:val="16"/>
        </w:rPr>
        <w:t>пушкой» существенно больших размеров и</w:t>
      </w:r>
      <w:r w:rsidR="00DB4D64" w:rsidRPr="00405303">
        <w:rPr>
          <w:bCs/>
          <w:color w:val="002060"/>
          <w:sz w:val="16"/>
          <w:szCs w:val="16"/>
        </w:rPr>
        <w:t xml:space="preserve"> </w:t>
      </w:r>
      <w:r w:rsidRPr="00405303">
        <w:rPr>
          <w:bCs/>
          <w:color w:val="002060"/>
          <w:sz w:val="16"/>
          <w:szCs w:val="16"/>
        </w:rPr>
        <w:t>с</w:t>
      </w:r>
      <w:r w:rsidR="00DB4D64" w:rsidRPr="00405303">
        <w:rPr>
          <w:bCs/>
          <w:color w:val="002060"/>
          <w:sz w:val="16"/>
          <w:szCs w:val="16"/>
        </w:rPr>
        <w:t xml:space="preserve"> </w:t>
      </w:r>
      <w:r w:rsidRPr="00405303">
        <w:rPr>
          <w:bCs/>
          <w:color w:val="002060"/>
          <w:sz w:val="16"/>
          <w:szCs w:val="16"/>
        </w:rPr>
        <w:t>мотором «Сальмсон» в</w:t>
      </w:r>
      <w:r w:rsidR="00DB4D64" w:rsidRPr="00405303">
        <w:rPr>
          <w:bCs/>
          <w:color w:val="002060"/>
          <w:sz w:val="16"/>
          <w:szCs w:val="16"/>
        </w:rPr>
        <w:t xml:space="preserve"> </w:t>
      </w:r>
      <w:r w:rsidRPr="00405303">
        <w:rPr>
          <w:bCs/>
          <w:color w:val="002060"/>
          <w:sz w:val="16"/>
          <w:szCs w:val="16"/>
        </w:rPr>
        <w:t>225 л. с, вооруженный 1,5-дм (37 мм) пушкой «Кольт», под которую существенно изменили нос гондолы. Машину строили на</w:t>
      </w:r>
      <w:r w:rsidR="00DB4D64" w:rsidRPr="00405303">
        <w:rPr>
          <w:bCs/>
          <w:color w:val="002060"/>
          <w:sz w:val="16"/>
          <w:szCs w:val="16"/>
        </w:rPr>
        <w:t xml:space="preserve"> </w:t>
      </w:r>
      <w:r w:rsidRPr="00405303">
        <w:rPr>
          <w:bCs/>
          <w:color w:val="002060"/>
          <w:sz w:val="16"/>
          <w:szCs w:val="16"/>
        </w:rPr>
        <w:t>«</w:t>
      </w:r>
      <w:r w:rsidR="00DB4D64" w:rsidRPr="00405303">
        <w:rPr>
          <w:bCs/>
          <w:color w:val="002060"/>
          <w:sz w:val="16"/>
          <w:szCs w:val="16"/>
        </w:rPr>
        <w:t xml:space="preserve"> </w:t>
      </w:r>
      <w:r w:rsidRPr="00405303">
        <w:rPr>
          <w:bCs/>
          <w:color w:val="002060"/>
          <w:sz w:val="16"/>
          <w:szCs w:val="16"/>
        </w:rPr>
        <w:t>Дуксе</w:t>
      </w:r>
      <w:r w:rsidR="00DB4D64" w:rsidRPr="00405303">
        <w:rPr>
          <w:bCs/>
          <w:color w:val="002060"/>
          <w:sz w:val="16"/>
          <w:szCs w:val="16"/>
        </w:rPr>
        <w:t xml:space="preserve"> </w:t>
      </w:r>
      <w:r w:rsidRPr="00405303">
        <w:rPr>
          <w:bCs/>
          <w:color w:val="002060"/>
          <w:sz w:val="16"/>
          <w:szCs w:val="16"/>
        </w:rPr>
        <w:t>» по</w:t>
      </w:r>
      <w:r w:rsidR="00DB4D64" w:rsidRPr="00405303">
        <w:rPr>
          <w:bCs/>
          <w:color w:val="002060"/>
          <w:sz w:val="16"/>
          <w:szCs w:val="16"/>
        </w:rPr>
        <w:t xml:space="preserve"> </w:t>
      </w:r>
      <w:r w:rsidRPr="00405303">
        <w:rPr>
          <w:bCs/>
          <w:color w:val="002060"/>
          <w:sz w:val="16"/>
          <w:szCs w:val="16"/>
        </w:rPr>
        <w:t>французским чертежам, значительно дополненным на</w:t>
      </w:r>
      <w:r w:rsidR="00DB4D64" w:rsidRPr="00405303">
        <w:rPr>
          <w:bCs/>
          <w:color w:val="002060"/>
          <w:sz w:val="16"/>
          <w:szCs w:val="16"/>
        </w:rPr>
        <w:t xml:space="preserve"> </w:t>
      </w:r>
      <w:r w:rsidRPr="00405303">
        <w:rPr>
          <w:bCs/>
          <w:color w:val="002060"/>
          <w:sz w:val="16"/>
          <w:szCs w:val="16"/>
        </w:rPr>
        <w:t>заводе под руководством инженера В. С.Денисова, он</w:t>
      </w:r>
      <w:r w:rsidR="00DB4D64" w:rsidRPr="00405303">
        <w:rPr>
          <w:bCs/>
          <w:color w:val="002060"/>
          <w:sz w:val="16"/>
          <w:szCs w:val="16"/>
        </w:rPr>
        <w:t xml:space="preserve"> </w:t>
      </w:r>
      <w:r w:rsidRPr="00405303">
        <w:rPr>
          <w:bCs/>
          <w:color w:val="002060"/>
          <w:sz w:val="16"/>
          <w:szCs w:val="16"/>
        </w:rPr>
        <w:t>же</w:t>
      </w:r>
      <w:r w:rsidR="00DB4D64" w:rsidRPr="00405303">
        <w:rPr>
          <w:bCs/>
          <w:color w:val="002060"/>
          <w:sz w:val="16"/>
          <w:szCs w:val="16"/>
        </w:rPr>
        <w:t xml:space="preserve"> </w:t>
      </w:r>
      <w:r w:rsidRPr="00405303">
        <w:rPr>
          <w:bCs/>
          <w:color w:val="002060"/>
          <w:sz w:val="16"/>
          <w:szCs w:val="16"/>
        </w:rPr>
        <w:t>руководил постройкой. Единственный экземпляр испытали и</w:t>
      </w:r>
      <w:r w:rsidR="00DB4D64" w:rsidRPr="00405303">
        <w:rPr>
          <w:bCs/>
          <w:color w:val="002060"/>
          <w:sz w:val="16"/>
          <w:szCs w:val="16"/>
        </w:rPr>
        <w:t xml:space="preserve"> </w:t>
      </w:r>
      <w:r w:rsidRPr="00405303">
        <w:rPr>
          <w:bCs/>
          <w:color w:val="002060"/>
          <w:sz w:val="16"/>
          <w:szCs w:val="16"/>
        </w:rPr>
        <w:t>отправили на</w:t>
      </w:r>
      <w:r w:rsidR="00DB4D64" w:rsidRPr="00405303">
        <w:rPr>
          <w:bCs/>
          <w:color w:val="002060"/>
          <w:sz w:val="16"/>
          <w:szCs w:val="16"/>
        </w:rPr>
        <w:t xml:space="preserve"> </w:t>
      </w:r>
      <w:r w:rsidRPr="00405303">
        <w:rPr>
          <w:bCs/>
          <w:color w:val="002060"/>
          <w:sz w:val="16"/>
          <w:szCs w:val="16"/>
        </w:rPr>
        <w:t>фронт «в</w:t>
      </w:r>
      <w:r w:rsidR="00DB4D64" w:rsidRPr="00405303">
        <w:rPr>
          <w:bCs/>
          <w:color w:val="002060"/>
          <w:sz w:val="16"/>
          <w:szCs w:val="16"/>
        </w:rPr>
        <w:t xml:space="preserve"> </w:t>
      </w:r>
      <w:r w:rsidRPr="00405303">
        <w:rPr>
          <w:bCs/>
          <w:color w:val="002060"/>
          <w:sz w:val="16"/>
          <w:szCs w:val="16"/>
        </w:rPr>
        <w:t>компанию» к</w:t>
      </w:r>
      <w:r w:rsidR="00DB4D64" w:rsidRPr="00405303">
        <w:rPr>
          <w:bCs/>
          <w:color w:val="002060"/>
          <w:sz w:val="16"/>
          <w:szCs w:val="16"/>
        </w:rPr>
        <w:t xml:space="preserve"> </w:t>
      </w:r>
      <w:r w:rsidRPr="00405303">
        <w:rPr>
          <w:bCs/>
          <w:color w:val="002060"/>
          <w:sz w:val="16"/>
          <w:szCs w:val="16"/>
        </w:rPr>
        <w:t>аналогичным машинам, полученным из</w:t>
      </w:r>
      <w:r w:rsidR="00DB4D64" w:rsidRPr="00405303">
        <w:rPr>
          <w:bCs/>
          <w:color w:val="002060"/>
          <w:sz w:val="16"/>
          <w:szCs w:val="16"/>
        </w:rPr>
        <w:t xml:space="preserve"> </w:t>
      </w:r>
      <w:r w:rsidRPr="00405303">
        <w:rPr>
          <w:bCs/>
          <w:color w:val="002060"/>
          <w:sz w:val="16"/>
          <w:szCs w:val="16"/>
        </w:rPr>
        <w:t>Франции. На</w:t>
      </w:r>
      <w:r w:rsidR="00DB4D64" w:rsidRPr="00405303">
        <w:rPr>
          <w:bCs/>
          <w:color w:val="002060"/>
          <w:sz w:val="16"/>
          <w:szCs w:val="16"/>
        </w:rPr>
        <w:t xml:space="preserve"> </w:t>
      </w:r>
      <w:r w:rsidRPr="00405303">
        <w:rPr>
          <w:bCs/>
          <w:color w:val="002060"/>
          <w:sz w:val="16"/>
          <w:szCs w:val="16"/>
        </w:rPr>
        <w:t>фронте также летали 10 французских пушечных «Вуазенов» с</w:t>
      </w:r>
      <w:r w:rsidR="00DB4D64" w:rsidRPr="00405303">
        <w:rPr>
          <w:bCs/>
          <w:color w:val="002060"/>
          <w:sz w:val="16"/>
          <w:szCs w:val="16"/>
        </w:rPr>
        <w:t xml:space="preserve"> </w:t>
      </w:r>
      <w:r w:rsidRPr="00405303">
        <w:rPr>
          <w:bCs/>
          <w:color w:val="002060"/>
          <w:sz w:val="16"/>
          <w:szCs w:val="16"/>
        </w:rPr>
        <w:t>двигателем водяного охлаждения «Изотта-Фраскини» в</w:t>
      </w:r>
      <w:r w:rsidR="00DB4D64" w:rsidRPr="00405303">
        <w:rPr>
          <w:bCs/>
          <w:color w:val="002060"/>
          <w:sz w:val="16"/>
          <w:szCs w:val="16"/>
        </w:rPr>
        <w:t xml:space="preserve"> </w:t>
      </w:r>
      <w:r w:rsidRPr="00405303">
        <w:rPr>
          <w:bCs/>
          <w:color w:val="002060"/>
          <w:sz w:val="16"/>
          <w:szCs w:val="16"/>
        </w:rPr>
        <w:t>225 л. с. Мнение М. Ефимова после первого полета на</w:t>
      </w:r>
      <w:r w:rsidR="00DB4D64" w:rsidRPr="00405303">
        <w:rPr>
          <w:bCs/>
          <w:color w:val="002060"/>
          <w:sz w:val="16"/>
          <w:szCs w:val="16"/>
        </w:rPr>
        <w:t xml:space="preserve"> </w:t>
      </w:r>
      <w:r w:rsidRPr="00405303">
        <w:rPr>
          <w:bCs/>
          <w:color w:val="002060"/>
          <w:sz w:val="16"/>
          <w:szCs w:val="16"/>
        </w:rPr>
        <w:t>«Вуазене» в</w:t>
      </w:r>
      <w:r w:rsidR="00DB4D64" w:rsidRPr="00405303">
        <w:rPr>
          <w:bCs/>
          <w:color w:val="002060"/>
          <w:sz w:val="16"/>
          <w:szCs w:val="16"/>
        </w:rPr>
        <w:t xml:space="preserve"> </w:t>
      </w:r>
      <w:r w:rsidRPr="00405303">
        <w:rPr>
          <w:bCs/>
          <w:color w:val="002060"/>
          <w:sz w:val="16"/>
          <w:szCs w:val="16"/>
        </w:rPr>
        <w:t>1916</w:t>
      </w:r>
      <w:r w:rsidR="00DB4D64" w:rsidRPr="00405303">
        <w:rPr>
          <w:bCs/>
          <w:color w:val="002060"/>
          <w:sz w:val="16"/>
          <w:szCs w:val="16"/>
        </w:rPr>
        <w:t xml:space="preserve"> </w:t>
      </w:r>
      <w:r w:rsidRPr="00405303">
        <w:rPr>
          <w:bCs/>
          <w:color w:val="002060"/>
          <w:sz w:val="16"/>
          <w:szCs w:val="16"/>
        </w:rPr>
        <w:t>г.</w:t>
      </w:r>
      <w:r w:rsidR="00DB4D64" w:rsidRPr="00405303">
        <w:rPr>
          <w:bCs/>
          <w:color w:val="002060"/>
          <w:sz w:val="16"/>
          <w:szCs w:val="16"/>
        </w:rPr>
        <w:t xml:space="preserve"> </w:t>
      </w:r>
      <w:r w:rsidRPr="00405303">
        <w:rPr>
          <w:bCs/>
          <w:color w:val="002060"/>
          <w:sz w:val="16"/>
          <w:szCs w:val="16"/>
        </w:rPr>
        <w:t>оказалось резко отрицательным: «Этой сетью проволок только мух ловить, а</w:t>
      </w:r>
      <w:r w:rsidR="00DB4D64" w:rsidRPr="00405303">
        <w:rPr>
          <w:bCs/>
          <w:color w:val="002060"/>
          <w:sz w:val="16"/>
          <w:szCs w:val="16"/>
        </w:rPr>
        <w:t xml:space="preserve"> </w:t>
      </w:r>
      <w:r w:rsidRPr="00405303">
        <w:rPr>
          <w:bCs/>
          <w:color w:val="002060"/>
          <w:sz w:val="16"/>
          <w:szCs w:val="16"/>
        </w:rPr>
        <w:t>вообще неповоротлива, как груженная колымага, а</w:t>
      </w:r>
      <w:r w:rsidR="00DB4D64" w:rsidRPr="00405303">
        <w:rPr>
          <w:bCs/>
          <w:color w:val="002060"/>
          <w:sz w:val="16"/>
          <w:szCs w:val="16"/>
        </w:rPr>
        <w:t xml:space="preserve"> </w:t>
      </w:r>
      <w:r w:rsidRPr="00405303">
        <w:rPr>
          <w:bCs/>
          <w:color w:val="002060"/>
          <w:sz w:val="16"/>
          <w:szCs w:val="16"/>
        </w:rPr>
        <w:t>так спокойна, проста в</w:t>
      </w:r>
      <w:r w:rsidR="00DB4D64" w:rsidRPr="00405303">
        <w:rPr>
          <w:bCs/>
          <w:color w:val="002060"/>
          <w:sz w:val="16"/>
          <w:szCs w:val="16"/>
        </w:rPr>
        <w:t xml:space="preserve"> </w:t>
      </w:r>
      <w:r w:rsidRPr="00405303">
        <w:rPr>
          <w:bCs/>
          <w:color w:val="002060"/>
          <w:sz w:val="16"/>
          <w:szCs w:val="16"/>
        </w:rPr>
        <w:t>управлении. Но</w:t>
      </w:r>
      <w:r w:rsidR="00DB4D64" w:rsidRPr="00405303">
        <w:rPr>
          <w:bCs/>
          <w:color w:val="002060"/>
          <w:sz w:val="16"/>
          <w:szCs w:val="16"/>
        </w:rPr>
        <w:t xml:space="preserve"> </w:t>
      </w:r>
      <w:r w:rsidRPr="00405303">
        <w:rPr>
          <w:bCs/>
          <w:color w:val="002060"/>
          <w:sz w:val="16"/>
          <w:szCs w:val="16"/>
        </w:rPr>
        <w:t>вниз идет как-то тупо, просто не</w:t>
      </w:r>
      <w:r w:rsidR="00DB4D64" w:rsidRPr="00405303">
        <w:rPr>
          <w:bCs/>
          <w:color w:val="002060"/>
          <w:sz w:val="16"/>
          <w:szCs w:val="16"/>
        </w:rPr>
        <w:t xml:space="preserve"> </w:t>
      </w:r>
      <w:r w:rsidRPr="00405303">
        <w:rPr>
          <w:bCs/>
          <w:color w:val="002060"/>
          <w:sz w:val="16"/>
          <w:szCs w:val="16"/>
        </w:rPr>
        <w:t>чувствуешь, что опускаешься, ну, а</w:t>
      </w:r>
      <w:r w:rsidR="00DB4D64" w:rsidRPr="00405303">
        <w:rPr>
          <w:bCs/>
          <w:color w:val="002060"/>
          <w:sz w:val="16"/>
          <w:szCs w:val="16"/>
        </w:rPr>
        <w:t xml:space="preserve"> </w:t>
      </w:r>
      <w:r w:rsidRPr="00405303">
        <w:rPr>
          <w:bCs/>
          <w:color w:val="002060"/>
          <w:sz w:val="16"/>
          <w:szCs w:val="16"/>
        </w:rPr>
        <w:t>о</w:t>
      </w:r>
      <w:r w:rsidR="00DB4D64" w:rsidRPr="00405303">
        <w:rPr>
          <w:bCs/>
          <w:color w:val="002060"/>
          <w:sz w:val="16"/>
          <w:szCs w:val="16"/>
        </w:rPr>
        <w:t xml:space="preserve"> </w:t>
      </w:r>
      <w:r w:rsidRPr="00405303">
        <w:rPr>
          <w:bCs/>
          <w:color w:val="002060"/>
          <w:sz w:val="16"/>
          <w:szCs w:val="16"/>
        </w:rPr>
        <w:t>скорости и</w:t>
      </w:r>
      <w:r w:rsidR="00DB4D64" w:rsidRPr="00405303">
        <w:rPr>
          <w:bCs/>
          <w:color w:val="002060"/>
          <w:sz w:val="16"/>
          <w:szCs w:val="16"/>
        </w:rPr>
        <w:t xml:space="preserve"> </w:t>
      </w:r>
      <w:r w:rsidRPr="00405303">
        <w:rPr>
          <w:bCs/>
          <w:color w:val="002060"/>
          <w:sz w:val="16"/>
          <w:szCs w:val="16"/>
        </w:rPr>
        <w:t>говорить не</w:t>
      </w:r>
      <w:r w:rsidR="00DB4D64" w:rsidRPr="00405303">
        <w:rPr>
          <w:bCs/>
          <w:color w:val="002060"/>
          <w:sz w:val="16"/>
          <w:szCs w:val="16"/>
        </w:rPr>
        <w:t xml:space="preserve"> </w:t>
      </w:r>
      <w:r w:rsidRPr="00405303">
        <w:rPr>
          <w:bCs/>
          <w:color w:val="002060"/>
          <w:sz w:val="16"/>
          <w:szCs w:val="16"/>
        </w:rPr>
        <w:t>приходится. Ну</w:t>
      </w:r>
      <w:r w:rsidR="00DB4D64" w:rsidRPr="00405303">
        <w:rPr>
          <w:bCs/>
          <w:color w:val="002060"/>
          <w:sz w:val="16"/>
          <w:szCs w:val="16"/>
        </w:rPr>
        <w:t xml:space="preserve"> </w:t>
      </w:r>
      <w:r w:rsidRPr="00405303">
        <w:rPr>
          <w:bCs/>
          <w:color w:val="002060"/>
          <w:sz w:val="16"/>
          <w:szCs w:val="16"/>
        </w:rPr>
        <w:t>вот представьте, сейчас эту бандуру уже строят на</w:t>
      </w:r>
      <w:r w:rsidR="00DB4D64" w:rsidRPr="00405303">
        <w:rPr>
          <w:bCs/>
          <w:color w:val="002060"/>
          <w:sz w:val="16"/>
          <w:szCs w:val="16"/>
        </w:rPr>
        <w:t xml:space="preserve"> </w:t>
      </w:r>
      <w:r w:rsidRPr="00405303">
        <w:rPr>
          <w:bCs/>
          <w:color w:val="002060"/>
          <w:sz w:val="16"/>
          <w:szCs w:val="16"/>
        </w:rPr>
        <w:t>нескольких заводах и</w:t>
      </w:r>
      <w:r w:rsidR="00DB4D64" w:rsidRPr="00405303">
        <w:rPr>
          <w:bCs/>
          <w:color w:val="002060"/>
          <w:sz w:val="16"/>
          <w:szCs w:val="16"/>
        </w:rPr>
        <w:t xml:space="preserve"> </w:t>
      </w:r>
      <w:r w:rsidRPr="00405303">
        <w:rPr>
          <w:bCs/>
          <w:color w:val="002060"/>
          <w:sz w:val="16"/>
          <w:szCs w:val="16"/>
        </w:rPr>
        <w:t>дают на</w:t>
      </w:r>
      <w:r w:rsidR="00DB4D64" w:rsidRPr="00405303">
        <w:rPr>
          <w:bCs/>
          <w:color w:val="002060"/>
          <w:sz w:val="16"/>
          <w:szCs w:val="16"/>
        </w:rPr>
        <w:t xml:space="preserve"> </w:t>
      </w:r>
      <w:r w:rsidRPr="00405303">
        <w:rPr>
          <w:bCs/>
          <w:color w:val="002060"/>
          <w:sz w:val="16"/>
          <w:szCs w:val="16"/>
        </w:rPr>
        <w:t>фронт! Ну</w:t>
      </w:r>
      <w:r w:rsidR="00DB4D64" w:rsidRPr="00405303">
        <w:rPr>
          <w:bCs/>
          <w:color w:val="002060"/>
          <w:sz w:val="16"/>
          <w:szCs w:val="16"/>
        </w:rPr>
        <w:t xml:space="preserve"> </w:t>
      </w:r>
      <w:r w:rsidRPr="00405303">
        <w:rPr>
          <w:bCs/>
          <w:color w:val="002060"/>
          <w:sz w:val="16"/>
          <w:szCs w:val="16"/>
        </w:rPr>
        <w:t>подумайте, разве можно ее</w:t>
      </w:r>
      <w:r w:rsidR="00DB4D64" w:rsidRPr="00405303">
        <w:rPr>
          <w:bCs/>
          <w:color w:val="002060"/>
          <w:sz w:val="16"/>
          <w:szCs w:val="16"/>
        </w:rPr>
        <w:t xml:space="preserve"> </w:t>
      </w:r>
      <w:r w:rsidRPr="00405303">
        <w:rPr>
          <w:bCs/>
          <w:color w:val="002060"/>
          <w:sz w:val="16"/>
          <w:szCs w:val="16"/>
        </w:rPr>
        <w:t>сравнить с</w:t>
      </w:r>
      <w:r w:rsidR="00DB4D64" w:rsidRPr="00405303">
        <w:rPr>
          <w:bCs/>
          <w:color w:val="002060"/>
          <w:sz w:val="16"/>
          <w:szCs w:val="16"/>
        </w:rPr>
        <w:t xml:space="preserve"> </w:t>
      </w:r>
      <w:r w:rsidRPr="00405303">
        <w:rPr>
          <w:bCs/>
          <w:color w:val="002060"/>
          <w:sz w:val="16"/>
          <w:szCs w:val="16"/>
        </w:rPr>
        <w:t>немецкими машинами, ведь они и</w:t>
      </w:r>
      <w:r w:rsidR="00DB4D64" w:rsidRPr="00405303">
        <w:rPr>
          <w:bCs/>
          <w:color w:val="002060"/>
          <w:sz w:val="16"/>
          <w:szCs w:val="16"/>
        </w:rPr>
        <w:t xml:space="preserve"> </w:t>
      </w:r>
      <w:r w:rsidRPr="00405303">
        <w:rPr>
          <w:bCs/>
          <w:color w:val="002060"/>
          <w:sz w:val="16"/>
          <w:szCs w:val="16"/>
        </w:rPr>
        <w:t>по</w:t>
      </w:r>
      <w:r w:rsidR="00DB4D64" w:rsidRPr="00405303">
        <w:rPr>
          <w:bCs/>
          <w:color w:val="002060"/>
          <w:sz w:val="16"/>
          <w:szCs w:val="16"/>
        </w:rPr>
        <w:t xml:space="preserve"> </w:t>
      </w:r>
      <w:r w:rsidRPr="00405303">
        <w:rPr>
          <w:bCs/>
          <w:color w:val="002060"/>
          <w:sz w:val="16"/>
          <w:szCs w:val="16"/>
        </w:rPr>
        <w:t>скорости и</w:t>
      </w:r>
      <w:r w:rsidR="00DB4D64" w:rsidRPr="00405303">
        <w:rPr>
          <w:bCs/>
          <w:color w:val="002060"/>
          <w:sz w:val="16"/>
          <w:szCs w:val="16"/>
        </w:rPr>
        <w:t xml:space="preserve"> </w:t>
      </w:r>
      <w:r w:rsidRPr="00405303">
        <w:rPr>
          <w:bCs/>
          <w:color w:val="002060"/>
          <w:sz w:val="16"/>
          <w:szCs w:val="16"/>
        </w:rPr>
        <w:t>маневренности превосходят эту этажерку, и</w:t>
      </w:r>
      <w:r w:rsidR="00DB4D64" w:rsidRPr="00405303">
        <w:rPr>
          <w:bCs/>
          <w:color w:val="002060"/>
          <w:sz w:val="16"/>
          <w:szCs w:val="16"/>
        </w:rPr>
        <w:t xml:space="preserve"> </w:t>
      </w:r>
      <w:r w:rsidRPr="00405303">
        <w:rPr>
          <w:bCs/>
          <w:color w:val="002060"/>
          <w:sz w:val="16"/>
          <w:szCs w:val="16"/>
        </w:rPr>
        <w:t>просто стыдно, что нашим летчикам придется на</w:t>
      </w:r>
      <w:r w:rsidR="00DB4D64" w:rsidRPr="00405303">
        <w:rPr>
          <w:bCs/>
          <w:color w:val="002060"/>
          <w:sz w:val="16"/>
          <w:szCs w:val="16"/>
        </w:rPr>
        <w:t xml:space="preserve"> </w:t>
      </w:r>
      <w:r w:rsidRPr="00405303">
        <w:rPr>
          <w:bCs/>
          <w:color w:val="002060"/>
          <w:sz w:val="16"/>
          <w:szCs w:val="16"/>
        </w:rPr>
        <w:t>них не</w:t>
      </w:r>
      <w:r w:rsidR="00DB4D64" w:rsidRPr="00405303">
        <w:rPr>
          <w:bCs/>
          <w:color w:val="002060"/>
          <w:sz w:val="16"/>
          <w:szCs w:val="16"/>
        </w:rPr>
        <w:t xml:space="preserve"> </w:t>
      </w:r>
      <w:r w:rsidRPr="00405303">
        <w:rPr>
          <w:bCs/>
          <w:color w:val="002060"/>
          <w:sz w:val="16"/>
          <w:szCs w:val="16"/>
        </w:rPr>
        <w:t>только летать, но</w:t>
      </w:r>
      <w:r w:rsidR="00DB4D64" w:rsidRPr="00405303">
        <w:rPr>
          <w:bCs/>
          <w:color w:val="002060"/>
          <w:sz w:val="16"/>
          <w:szCs w:val="16"/>
        </w:rPr>
        <w:t xml:space="preserve"> </w:t>
      </w:r>
      <w:r w:rsidRPr="00405303">
        <w:rPr>
          <w:bCs/>
          <w:color w:val="002060"/>
          <w:sz w:val="16"/>
          <w:szCs w:val="16"/>
        </w:rPr>
        <w:t>вероятно и</w:t>
      </w:r>
      <w:r w:rsidR="00DB4D64" w:rsidRPr="00405303">
        <w:rPr>
          <w:bCs/>
          <w:color w:val="002060"/>
          <w:sz w:val="16"/>
          <w:szCs w:val="16"/>
        </w:rPr>
        <w:t xml:space="preserve"> </w:t>
      </w:r>
      <w:r w:rsidRPr="00405303">
        <w:rPr>
          <w:bCs/>
          <w:color w:val="002060"/>
          <w:sz w:val="16"/>
          <w:szCs w:val="16"/>
        </w:rPr>
        <w:t>воевать! А</w:t>
      </w:r>
      <w:r w:rsidR="00DB4D64" w:rsidRPr="00405303">
        <w:rPr>
          <w:bCs/>
          <w:color w:val="002060"/>
          <w:sz w:val="16"/>
          <w:szCs w:val="16"/>
        </w:rPr>
        <w:t xml:space="preserve"> </w:t>
      </w:r>
      <w:r w:rsidRPr="00405303">
        <w:rPr>
          <w:bCs/>
          <w:color w:val="002060"/>
          <w:sz w:val="16"/>
          <w:szCs w:val="16"/>
        </w:rPr>
        <w:t>вы</w:t>
      </w:r>
      <w:r w:rsidR="00DB4D64" w:rsidRPr="00405303">
        <w:rPr>
          <w:bCs/>
          <w:color w:val="002060"/>
          <w:sz w:val="16"/>
          <w:szCs w:val="16"/>
        </w:rPr>
        <w:t xml:space="preserve"> </w:t>
      </w:r>
      <w:r w:rsidRPr="00405303">
        <w:rPr>
          <w:bCs/>
          <w:color w:val="002060"/>
          <w:sz w:val="16"/>
          <w:szCs w:val="16"/>
        </w:rPr>
        <w:t>знаете,</w:t>
      </w:r>
      <w:r w:rsidR="00DB4D64" w:rsidRPr="00405303">
        <w:rPr>
          <w:bCs/>
          <w:color w:val="002060"/>
          <w:sz w:val="16"/>
          <w:szCs w:val="16"/>
        </w:rPr>
        <w:t xml:space="preserve"> </w:t>
      </w:r>
      <w:r w:rsidRPr="00405303">
        <w:rPr>
          <w:bCs/>
          <w:color w:val="002060"/>
          <w:sz w:val="16"/>
          <w:szCs w:val="16"/>
        </w:rPr>
        <w:t>— продолжал он,</w:t>
      </w:r>
      <w:r w:rsidR="00DB4D64" w:rsidRPr="00405303">
        <w:rPr>
          <w:bCs/>
          <w:color w:val="002060"/>
          <w:sz w:val="16"/>
          <w:szCs w:val="16"/>
        </w:rPr>
        <w:t xml:space="preserve"> </w:t>
      </w:r>
      <w:r w:rsidRPr="00405303">
        <w:rPr>
          <w:bCs/>
          <w:color w:val="002060"/>
          <w:sz w:val="16"/>
          <w:szCs w:val="16"/>
        </w:rPr>
        <w:t>— что еще в</w:t>
      </w:r>
      <w:r w:rsidR="00DB4D64" w:rsidRPr="00405303">
        <w:rPr>
          <w:bCs/>
          <w:color w:val="002060"/>
          <w:sz w:val="16"/>
          <w:szCs w:val="16"/>
        </w:rPr>
        <w:t xml:space="preserve"> </w:t>
      </w:r>
      <w:r w:rsidRPr="00405303">
        <w:rPr>
          <w:bCs/>
          <w:color w:val="002060"/>
          <w:sz w:val="16"/>
          <w:szCs w:val="16"/>
        </w:rPr>
        <w:t>1913</w:t>
      </w:r>
      <w:r w:rsidR="00DB4D64" w:rsidRPr="00405303">
        <w:rPr>
          <w:bCs/>
          <w:color w:val="002060"/>
          <w:sz w:val="16"/>
          <w:szCs w:val="16"/>
        </w:rPr>
        <w:t xml:space="preserve"> </w:t>
      </w:r>
      <w:r w:rsidRPr="00405303">
        <w:rPr>
          <w:bCs/>
          <w:color w:val="002060"/>
          <w:sz w:val="16"/>
          <w:szCs w:val="16"/>
        </w:rPr>
        <w:t>г.</w:t>
      </w:r>
      <w:r w:rsidR="00DB4D64" w:rsidRPr="00405303">
        <w:rPr>
          <w:bCs/>
          <w:color w:val="002060"/>
          <w:sz w:val="16"/>
          <w:szCs w:val="16"/>
        </w:rPr>
        <w:t xml:space="preserve"> </w:t>
      </w:r>
      <w:r w:rsidRPr="00405303">
        <w:rPr>
          <w:bCs/>
          <w:color w:val="002060"/>
          <w:sz w:val="16"/>
          <w:szCs w:val="16"/>
        </w:rPr>
        <w:t>английская фирма «Сопвич» предлагала нашему правительству купить лицензию на</w:t>
      </w:r>
      <w:r w:rsidR="00DB4D64" w:rsidRPr="00405303">
        <w:rPr>
          <w:bCs/>
          <w:color w:val="002060"/>
          <w:sz w:val="16"/>
          <w:szCs w:val="16"/>
        </w:rPr>
        <w:t xml:space="preserve"> </w:t>
      </w:r>
      <w:r w:rsidRPr="00405303">
        <w:rPr>
          <w:bCs/>
          <w:color w:val="002060"/>
          <w:sz w:val="16"/>
          <w:szCs w:val="16"/>
        </w:rPr>
        <w:t>эту машину, чтобы строить ее</w:t>
      </w:r>
      <w:r w:rsidR="00DB4D64" w:rsidRPr="00405303">
        <w:rPr>
          <w:bCs/>
          <w:color w:val="002060"/>
          <w:sz w:val="16"/>
          <w:szCs w:val="16"/>
        </w:rPr>
        <w:t xml:space="preserve"> </w:t>
      </w:r>
      <w:r w:rsidRPr="00405303">
        <w:rPr>
          <w:bCs/>
          <w:color w:val="002060"/>
          <w:sz w:val="16"/>
          <w:szCs w:val="16"/>
        </w:rPr>
        <w:t>самим. Ведь она хорошо себя зарекомендовала, показав скорость около 140 км/час. Но</w:t>
      </w:r>
      <w:r w:rsidR="00DB4D64" w:rsidRPr="00405303">
        <w:rPr>
          <w:bCs/>
          <w:color w:val="002060"/>
          <w:sz w:val="16"/>
          <w:szCs w:val="16"/>
        </w:rPr>
        <w:t xml:space="preserve"> </w:t>
      </w:r>
      <w:r w:rsidRPr="00405303">
        <w:rPr>
          <w:bCs/>
          <w:color w:val="002060"/>
          <w:sz w:val="16"/>
          <w:szCs w:val="16"/>
        </w:rPr>
        <w:t>англичане не</w:t>
      </w:r>
      <w:r w:rsidR="00DB4D64" w:rsidRPr="00405303">
        <w:rPr>
          <w:bCs/>
          <w:color w:val="002060"/>
          <w:sz w:val="16"/>
          <w:szCs w:val="16"/>
        </w:rPr>
        <w:t xml:space="preserve"> </w:t>
      </w:r>
      <w:r w:rsidRPr="00405303">
        <w:rPr>
          <w:bCs/>
          <w:color w:val="002060"/>
          <w:sz w:val="16"/>
          <w:szCs w:val="16"/>
        </w:rPr>
        <w:t>дали «взятки» нашим заправилам в</w:t>
      </w:r>
      <w:r w:rsidR="00DB4D64" w:rsidRPr="00405303">
        <w:rPr>
          <w:bCs/>
          <w:color w:val="002060"/>
          <w:sz w:val="16"/>
          <w:szCs w:val="16"/>
        </w:rPr>
        <w:t xml:space="preserve"> </w:t>
      </w:r>
      <w:r w:rsidRPr="00405303">
        <w:rPr>
          <w:bCs/>
          <w:color w:val="002060"/>
          <w:sz w:val="16"/>
          <w:szCs w:val="16"/>
        </w:rPr>
        <w:t>авиации, а</w:t>
      </w:r>
      <w:r w:rsidR="00DB4D64" w:rsidRPr="00405303">
        <w:rPr>
          <w:bCs/>
          <w:color w:val="002060"/>
          <w:sz w:val="16"/>
          <w:szCs w:val="16"/>
        </w:rPr>
        <w:t xml:space="preserve"> </w:t>
      </w:r>
      <w:r w:rsidRPr="00405303">
        <w:rPr>
          <w:bCs/>
          <w:color w:val="002060"/>
          <w:sz w:val="16"/>
          <w:szCs w:val="16"/>
        </w:rPr>
        <w:t>дали французы, и</w:t>
      </w:r>
      <w:r w:rsidR="00DB4D64" w:rsidRPr="00405303">
        <w:rPr>
          <w:bCs/>
          <w:color w:val="002060"/>
          <w:sz w:val="16"/>
          <w:szCs w:val="16"/>
        </w:rPr>
        <w:t xml:space="preserve"> </w:t>
      </w:r>
      <w:r w:rsidRPr="00405303">
        <w:rPr>
          <w:bCs/>
          <w:color w:val="002060"/>
          <w:sz w:val="16"/>
          <w:szCs w:val="16"/>
        </w:rPr>
        <w:t>потому у</w:t>
      </w:r>
      <w:r w:rsidR="00DB4D64" w:rsidRPr="00405303">
        <w:rPr>
          <w:bCs/>
          <w:color w:val="002060"/>
          <w:sz w:val="16"/>
          <w:szCs w:val="16"/>
        </w:rPr>
        <w:t xml:space="preserve"> </w:t>
      </w:r>
      <w:r w:rsidRPr="00405303">
        <w:rPr>
          <w:bCs/>
          <w:color w:val="002060"/>
          <w:sz w:val="16"/>
          <w:szCs w:val="16"/>
        </w:rPr>
        <w:t>нас «Ньюпоры», «Фарманы», а</w:t>
      </w:r>
      <w:r w:rsidR="00DB4D64" w:rsidRPr="00405303">
        <w:rPr>
          <w:bCs/>
          <w:color w:val="002060"/>
          <w:sz w:val="16"/>
          <w:szCs w:val="16"/>
        </w:rPr>
        <w:t xml:space="preserve"> </w:t>
      </w:r>
      <w:r w:rsidRPr="00405303">
        <w:rPr>
          <w:bCs/>
          <w:color w:val="002060"/>
          <w:sz w:val="16"/>
          <w:szCs w:val="16"/>
        </w:rPr>
        <w:t>теперь «Вуазен»."</w:t>
      </w:r>
    </w:p>
    <w:p w14:paraId="26063CDD" w14:textId="77777777" w:rsidR="005C4C47" w:rsidRPr="00405303" w:rsidRDefault="005C4C47" w:rsidP="00C15251">
      <w:pPr>
        <w:shd w:val="clear" w:color="auto" w:fill="FFFFFF"/>
        <w:jc w:val="both"/>
        <w:rPr>
          <w:bCs/>
          <w:color w:val="002060"/>
          <w:sz w:val="16"/>
          <w:szCs w:val="16"/>
        </w:rPr>
      </w:pPr>
    </w:p>
    <w:p w14:paraId="5859A5A1" w14:textId="44833B5A" w:rsidR="003F35FB" w:rsidRPr="00405303" w:rsidRDefault="003F35FB" w:rsidP="00C15251">
      <w:pPr>
        <w:pStyle w:val="2"/>
        <w:spacing w:before="0" w:after="0"/>
        <w:jc w:val="both"/>
        <w:rPr>
          <w:b w:val="0"/>
          <w:bCs/>
          <w:color w:val="002060"/>
          <w:sz w:val="16"/>
          <w:szCs w:val="16"/>
        </w:rPr>
      </w:pPr>
      <w:r w:rsidRPr="00405303">
        <w:rPr>
          <w:b w:val="0"/>
          <w:bCs/>
          <w:color w:val="002060"/>
          <w:sz w:val="16"/>
          <w:szCs w:val="16"/>
        </w:rPr>
        <w:t xml:space="preserve">10 </w:t>
      </w:r>
      <w:r w:rsidR="0083394E" w:rsidRPr="00405303">
        <w:rPr>
          <w:b w:val="0"/>
          <w:bCs/>
          <w:color w:val="002060"/>
          <w:sz w:val="16"/>
          <w:szCs w:val="16"/>
        </w:rPr>
        <w:t xml:space="preserve">(23) </w:t>
      </w:r>
      <w:r w:rsidRPr="00405303">
        <w:rPr>
          <w:b w:val="0"/>
          <w:bCs/>
          <w:color w:val="002060"/>
          <w:sz w:val="16"/>
          <w:szCs w:val="16"/>
        </w:rPr>
        <w:t>ноября 1915 г. на Дуксе закончили единственный экземпляр «Вуазена с пушкой», испытали и отправили на фронт «в компанию» к аналогичным машинам, полученным из Франции. На фронте также летали 10 французских пушечных «Вуазенов» с двигателем водяного охлаждения «Изотта-Фраскини» в 225 л.с. «Вуазен с пушкой» существенно больших размеров и с мотором «Сальмсон» в 225 л.с., вооруженный 1,5-дм (37 мм) пушкой «Кольт» Под нее существенно изменили нос гондолы. Машину строили на «Дуксе» по французским чертежам, значительно дополненным на заводе под руководством инженера В.С.Денисова, он же руководил постройкой (15464).</w:t>
      </w:r>
    </w:p>
    <w:p w14:paraId="0233E5F0" w14:textId="77777777" w:rsidR="003F35FB" w:rsidRPr="00405303" w:rsidRDefault="003F35FB" w:rsidP="00C15251">
      <w:pPr>
        <w:pStyle w:val="2"/>
        <w:spacing w:before="0" w:after="0"/>
        <w:jc w:val="both"/>
        <w:rPr>
          <w:b w:val="0"/>
          <w:bCs/>
          <w:color w:val="002060"/>
          <w:sz w:val="16"/>
          <w:szCs w:val="16"/>
        </w:rPr>
      </w:pPr>
    </w:p>
    <w:p w14:paraId="1C08D080" w14:textId="77777777" w:rsidR="005C4C47" w:rsidRPr="00405303" w:rsidRDefault="005C4C47" w:rsidP="00C15251">
      <w:pPr>
        <w:jc w:val="both"/>
        <w:rPr>
          <w:bCs/>
          <w:i/>
          <w:color w:val="002060"/>
          <w:sz w:val="16"/>
          <w:szCs w:val="16"/>
        </w:rPr>
      </w:pPr>
      <w:r w:rsidRPr="00405303">
        <w:rPr>
          <w:bCs/>
          <w:i/>
          <w:color w:val="002060"/>
          <w:sz w:val="16"/>
          <w:szCs w:val="16"/>
        </w:rPr>
        <w:lastRenderedPageBreak/>
        <w:t>Другие оборонные отрасли:</w:t>
      </w:r>
    </w:p>
    <w:p w14:paraId="19338DB4" w14:textId="77777777" w:rsidR="005C4C47" w:rsidRPr="00405303" w:rsidRDefault="005C4C47" w:rsidP="00C15251">
      <w:pPr>
        <w:jc w:val="both"/>
        <w:rPr>
          <w:bCs/>
          <w:i/>
          <w:color w:val="002060"/>
          <w:sz w:val="16"/>
          <w:szCs w:val="16"/>
        </w:rPr>
      </w:pPr>
    </w:p>
    <w:p w14:paraId="69CFFCA4" w14:textId="4A53349E" w:rsidR="005C4C47" w:rsidRPr="00405303" w:rsidRDefault="005C4C47" w:rsidP="00C15251">
      <w:pPr>
        <w:jc w:val="both"/>
        <w:rPr>
          <w:bCs/>
          <w:color w:val="002060"/>
          <w:sz w:val="16"/>
          <w:szCs w:val="16"/>
        </w:rPr>
      </w:pPr>
      <w:r w:rsidRPr="00405303">
        <w:rPr>
          <w:bCs/>
          <w:color w:val="002060"/>
          <w:sz w:val="16"/>
          <w:szCs w:val="16"/>
        </w:rPr>
        <w:t xml:space="preserve">10 </w:t>
      </w:r>
      <w:r w:rsidR="0083394E" w:rsidRPr="00405303">
        <w:rPr>
          <w:bCs/>
          <w:color w:val="002060"/>
          <w:sz w:val="16"/>
          <w:szCs w:val="16"/>
        </w:rPr>
        <w:t xml:space="preserve">(23) </w:t>
      </w:r>
      <w:r w:rsidRPr="00405303">
        <w:rPr>
          <w:bCs/>
          <w:color w:val="002060"/>
          <w:sz w:val="16"/>
          <w:szCs w:val="16"/>
        </w:rPr>
        <w:t>ноября 1915 г. Маниковский докладывал «Так как все производство 42-лин. пушек на русских заводах следует считать данными заказами совершенно использованным, — то рассчитывать получить 42-лин. пушки можно только с иностранных заводов» (французских, английских или японских). На протяжении 1916 г. число скорострельных 42-лин. пушек на фронтах не превышало 116, а в 1917 г. достигло 172 (18408).</w:t>
      </w:r>
    </w:p>
    <w:p w14:paraId="6B1C2001" w14:textId="77777777" w:rsidR="005C4C47" w:rsidRPr="00405303" w:rsidRDefault="005C4C47" w:rsidP="00C15251">
      <w:pPr>
        <w:jc w:val="both"/>
        <w:rPr>
          <w:bCs/>
          <w:color w:val="002060"/>
          <w:sz w:val="16"/>
          <w:szCs w:val="16"/>
        </w:rPr>
      </w:pPr>
    </w:p>
    <w:p w14:paraId="36279A31" w14:textId="1AABE499" w:rsidR="0009532D" w:rsidRPr="00405303" w:rsidRDefault="0009532D"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1934B49F" w14:textId="77777777" w:rsidR="0009532D" w:rsidRPr="00405303" w:rsidRDefault="0009532D" w:rsidP="00C15251">
      <w:pPr>
        <w:pStyle w:val="a3"/>
        <w:jc w:val="both"/>
        <w:rPr>
          <w:bCs/>
          <w:color w:val="002060"/>
          <w:spacing w:val="0"/>
          <w:kern w:val="0"/>
          <w:position w:val="0"/>
          <w:sz w:val="16"/>
          <w:szCs w:val="16"/>
        </w:rPr>
      </w:pPr>
    </w:p>
    <w:p w14:paraId="16020431" w14:textId="199C5321" w:rsidR="0009532D" w:rsidRPr="00405303" w:rsidRDefault="0009532D" w:rsidP="00C15251">
      <w:pPr>
        <w:jc w:val="both"/>
        <w:rPr>
          <w:bCs/>
          <w:color w:val="002060"/>
          <w:sz w:val="16"/>
          <w:szCs w:val="16"/>
          <w:lang w:bidi="en-US"/>
        </w:rPr>
      </w:pPr>
      <w:r w:rsidRPr="00405303">
        <w:rPr>
          <w:bCs/>
          <w:color w:val="002060"/>
          <w:sz w:val="16"/>
          <w:szCs w:val="16"/>
          <w:lang w:bidi="en-US"/>
        </w:rPr>
        <w:t>10 (23) ноября 1915 г. великий князь Александр Михайлович был назначен царем начальником действующей авиации и воздухоплавания (АВИАКАНЦ). Его адъютантом был капитан 1-го ранга Н. Ф. Фогель. Подпоручик Бредис стал начальником статистического отдела АВИАКАНЦА, а капитан (ныне Полковник) Л. П. Дюсиметриер был прикомандирован к Великому Князю штаб-офицером Генерального штаба. На одной фотографии Великого Князя и того, что кажется его штабом в Киеве, видно около десяти человек, что очень мало для такого крупного предприятия, как строительство воздушного флота (23525).</w:t>
      </w:r>
    </w:p>
    <w:p w14:paraId="666789C4" w14:textId="77777777" w:rsidR="0009532D" w:rsidRPr="00405303" w:rsidRDefault="0009532D" w:rsidP="00C15251">
      <w:pPr>
        <w:jc w:val="both"/>
        <w:rPr>
          <w:bCs/>
          <w:color w:val="002060"/>
          <w:sz w:val="16"/>
          <w:szCs w:val="16"/>
        </w:rPr>
      </w:pPr>
    </w:p>
    <w:p w14:paraId="5750D30B" w14:textId="28532810" w:rsidR="00C16F20" w:rsidRPr="00405303" w:rsidRDefault="00C16F20"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52BD43C2" w14:textId="77777777" w:rsidR="00C16F20" w:rsidRPr="00405303" w:rsidRDefault="00C16F20" w:rsidP="00C15251">
      <w:pPr>
        <w:pStyle w:val="a3"/>
        <w:jc w:val="both"/>
        <w:rPr>
          <w:bCs/>
          <w:color w:val="002060"/>
          <w:spacing w:val="0"/>
          <w:kern w:val="0"/>
          <w:position w:val="0"/>
          <w:sz w:val="16"/>
          <w:szCs w:val="16"/>
        </w:rPr>
      </w:pPr>
    </w:p>
    <w:p w14:paraId="0E847871" w14:textId="77777777" w:rsidR="00C16F20" w:rsidRPr="00405303" w:rsidRDefault="00C16F20" w:rsidP="00C15251">
      <w:pPr>
        <w:jc w:val="both"/>
        <w:rPr>
          <w:bCs/>
          <w:color w:val="002060"/>
          <w:sz w:val="16"/>
          <w:szCs w:val="16"/>
        </w:rPr>
      </w:pPr>
      <w:r w:rsidRPr="00405303">
        <w:rPr>
          <w:bCs/>
          <w:color w:val="002060"/>
          <w:sz w:val="16"/>
          <w:szCs w:val="16"/>
        </w:rPr>
        <w:t>11 (24) ноября 1915 года</w:t>
      </w:r>
    </w:p>
    <w:p w14:paraId="0B0D5308" w14:textId="77777777" w:rsidR="00C16F20" w:rsidRPr="00405303" w:rsidRDefault="00C16F20" w:rsidP="00C15251">
      <w:pPr>
        <w:jc w:val="both"/>
        <w:rPr>
          <w:bCs/>
          <w:color w:val="002060"/>
          <w:sz w:val="16"/>
          <w:szCs w:val="16"/>
        </w:rPr>
      </w:pPr>
      <w:r w:rsidRPr="00405303">
        <w:rPr>
          <w:bCs/>
          <w:color w:val="002060"/>
          <w:sz w:val="16"/>
          <w:szCs w:val="16"/>
        </w:rPr>
        <w:t>Копия.</w:t>
      </w:r>
    </w:p>
    <w:p w14:paraId="1937146E" w14:textId="77777777" w:rsidR="00C16F20" w:rsidRPr="00405303" w:rsidRDefault="00C16F20" w:rsidP="00C15251">
      <w:pPr>
        <w:jc w:val="both"/>
        <w:rPr>
          <w:bCs/>
          <w:color w:val="002060"/>
          <w:sz w:val="16"/>
          <w:szCs w:val="16"/>
        </w:rPr>
      </w:pPr>
      <w:r w:rsidRPr="00405303">
        <w:rPr>
          <w:bCs/>
          <w:color w:val="002060"/>
          <w:sz w:val="16"/>
          <w:szCs w:val="16"/>
        </w:rPr>
        <w:t>Совершенно секретно.</w:t>
      </w:r>
    </w:p>
    <w:p w14:paraId="71176E1D" w14:textId="77777777" w:rsidR="00C16F20" w:rsidRPr="00405303" w:rsidRDefault="00C16F20" w:rsidP="00C15251">
      <w:pPr>
        <w:jc w:val="both"/>
        <w:rPr>
          <w:bCs/>
          <w:color w:val="002060"/>
          <w:sz w:val="16"/>
          <w:szCs w:val="16"/>
        </w:rPr>
      </w:pPr>
      <w:r w:rsidRPr="00405303">
        <w:rPr>
          <w:bCs/>
          <w:color w:val="002060"/>
          <w:sz w:val="16"/>
          <w:szCs w:val="16"/>
        </w:rPr>
        <w:t>Журнал № 23</w:t>
      </w:r>
    </w:p>
    <w:p w14:paraId="2AE84A8B" w14:textId="77777777" w:rsidR="00C16F20" w:rsidRPr="00405303" w:rsidRDefault="00C16F20" w:rsidP="00C15251">
      <w:pPr>
        <w:jc w:val="both"/>
        <w:rPr>
          <w:bCs/>
          <w:color w:val="002060"/>
          <w:sz w:val="16"/>
          <w:szCs w:val="16"/>
        </w:rPr>
      </w:pPr>
      <w:r w:rsidRPr="00405303">
        <w:rPr>
          <w:bCs/>
          <w:color w:val="002060"/>
          <w:sz w:val="16"/>
          <w:szCs w:val="16"/>
        </w:rPr>
        <w:t>Особого Совещания для обсуждения и объединения мероприятий по обороне государства.</w:t>
      </w:r>
    </w:p>
    <w:p w14:paraId="2C8081A7" w14:textId="77777777" w:rsidR="00C16F20" w:rsidRPr="00405303" w:rsidRDefault="00C16F20" w:rsidP="00C15251">
      <w:pPr>
        <w:jc w:val="both"/>
        <w:rPr>
          <w:bCs/>
          <w:color w:val="002060"/>
          <w:sz w:val="16"/>
          <w:szCs w:val="16"/>
        </w:rPr>
      </w:pPr>
      <w:r w:rsidRPr="00405303">
        <w:rPr>
          <w:bCs/>
          <w:color w:val="002060"/>
          <w:sz w:val="16"/>
          <w:szCs w:val="16"/>
        </w:rPr>
        <w:t>Заседание 11 ноября 1915 года.</w:t>
      </w:r>
    </w:p>
    <w:p w14:paraId="58FA9E43" w14:textId="77777777" w:rsidR="00C16F20" w:rsidRPr="00405303" w:rsidRDefault="00C16F20" w:rsidP="00C15251">
      <w:pPr>
        <w:jc w:val="both"/>
        <w:rPr>
          <w:bCs/>
          <w:color w:val="002060"/>
          <w:sz w:val="16"/>
          <w:szCs w:val="16"/>
        </w:rPr>
      </w:pPr>
      <w:r w:rsidRPr="00405303">
        <w:rPr>
          <w:bCs/>
          <w:color w:val="002060"/>
          <w:sz w:val="16"/>
          <w:szCs w:val="16"/>
        </w:rPr>
        <w:t>Председательствовал генерал от инфантерии.А. А. Поливанов.</w:t>
      </w:r>
    </w:p>
    <w:p w14:paraId="21964BD4" w14:textId="77777777" w:rsidR="00C16F20" w:rsidRPr="00405303" w:rsidRDefault="00C16F20" w:rsidP="00C15251">
      <w:pPr>
        <w:jc w:val="both"/>
        <w:rPr>
          <w:bCs/>
          <w:color w:val="002060"/>
          <w:sz w:val="16"/>
          <w:szCs w:val="16"/>
        </w:rPr>
      </w:pPr>
      <w:r w:rsidRPr="00405303">
        <w:rPr>
          <w:bCs/>
          <w:color w:val="002060"/>
          <w:sz w:val="16"/>
          <w:szCs w:val="16"/>
        </w:rPr>
        <w:t>Присутствовали:</w:t>
      </w:r>
    </w:p>
    <w:p w14:paraId="1DE7D58A" w14:textId="77777777" w:rsidR="00C16F20" w:rsidRPr="00405303" w:rsidRDefault="00C16F20" w:rsidP="00C15251">
      <w:pPr>
        <w:jc w:val="both"/>
        <w:rPr>
          <w:bCs/>
          <w:color w:val="002060"/>
          <w:sz w:val="16"/>
          <w:szCs w:val="16"/>
        </w:rPr>
      </w:pPr>
      <w:r w:rsidRPr="00405303">
        <w:rPr>
          <w:bCs/>
          <w:color w:val="002060"/>
          <w:sz w:val="16"/>
          <w:szCs w:val="16"/>
        </w:rPr>
        <w:t>Председатель Государственного Совета</w:t>
      </w:r>
    </w:p>
    <w:p w14:paraId="61F7DA95" w14:textId="77777777" w:rsidR="00C16F20" w:rsidRPr="00405303" w:rsidRDefault="00C16F20" w:rsidP="00C15251">
      <w:pPr>
        <w:jc w:val="both"/>
        <w:rPr>
          <w:bCs/>
          <w:color w:val="002060"/>
          <w:sz w:val="16"/>
          <w:szCs w:val="16"/>
        </w:rPr>
      </w:pPr>
      <w:r w:rsidRPr="00405303">
        <w:rPr>
          <w:bCs/>
          <w:color w:val="002060"/>
          <w:sz w:val="16"/>
          <w:szCs w:val="16"/>
        </w:rPr>
        <w:t>Член Государственного Совета</w:t>
      </w:r>
      <w:proofErr w:type="gramStart"/>
      <w:r w:rsidRPr="00405303">
        <w:rPr>
          <w:bCs/>
          <w:color w:val="002060"/>
          <w:sz w:val="16"/>
          <w:szCs w:val="16"/>
        </w:rPr>
        <w:t xml:space="preserve"> ....</w:t>
      </w:r>
      <w:proofErr w:type="gramEnd"/>
      <w:r w:rsidRPr="00405303">
        <w:rPr>
          <w:bCs/>
          <w:color w:val="002060"/>
          <w:sz w:val="16"/>
          <w:szCs w:val="16"/>
        </w:rPr>
        <w:t>.</w:t>
      </w:r>
    </w:p>
    <w:p w14:paraId="7C8982F5" w14:textId="116D2BD7"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w:t>
      </w:r>
    </w:p>
    <w:p w14:paraId="4271E25F" w14:textId="42D09AE8"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 ».............................</w:t>
      </w:r>
    </w:p>
    <w:p w14:paraId="2606299C" w14:textId="480E0EDC"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 »............................</w:t>
      </w:r>
    </w:p>
    <w:p w14:paraId="55770A01" w14:textId="77C1422B"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 »............................</w:t>
      </w:r>
    </w:p>
    <w:p w14:paraId="52C7BB61" w14:textId="5DF7F309"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 »............................</w:t>
      </w:r>
    </w:p>
    <w:p w14:paraId="536C4B1C" w14:textId="49623617"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w:t>
      </w:r>
    </w:p>
    <w:p w14:paraId="7C8A46F6" w14:textId="0D3437C3"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w:t>
      </w:r>
    </w:p>
    <w:p w14:paraId="5FD14ABE" w14:textId="2E624DD3"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 »............................</w:t>
      </w:r>
    </w:p>
    <w:p w14:paraId="7B2D5321" w14:textId="0316560E"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w:t>
      </w:r>
    </w:p>
    <w:p w14:paraId="14DB1FB6" w14:textId="77777777" w:rsidR="00C16F20" w:rsidRPr="00405303" w:rsidRDefault="00C16F20" w:rsidP="00C15251">
      <w:pPr>
        <w:jc w:val="both"/>
        <w:rPr>
          <w:bCs/>
          <w:color w:val="002060"/>
          <w:sz w:val="16"/>
          <w:szCs w:val="16"/>
        </w:rPr>
      </w:pPr>
      <w:r w:rsidRPr="00405303">
        <w:rPr>
          <w:bCs/>
          <w:color w:val="002060"/>
          <w:sz w:val="16"/>
          <w:szCs w:val="16"/>
        </w:rPr>
        <w:t>Председатель Государственной Думы</w:t>
      </w:r>
      <w:proofErr w:type="gramStart"/>
      <w:r w:rsidRPr="00405303">
        <w:rPr>
          <w:bCs/>
          <w:color w:val="002060"/>
          <w:sz w:val="16"/>
          <w:szCs w:val="16"/>
        </w:rPr>
        <w:t xml:space="preserve"> ..</w:t>
      </w:r>
      <w:proofErr w:type="gramEnd"/>
    </w:p>
    <w:p w14:paraId="355C535F" w14:textId="339601B9"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Член Государственной Думы ........</w:t>
      </w:r>
    </w:p>
    <w:p w14:paraId="31F73D94" w14:textId="6D9CEB6E"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w:t>
      </w:r>
    </w:p>
    <w:p w14:paraId="750216FA" w14:textId="55974BA5"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w:t>
      </w:r>
    </w:p>
    <w:p w14:paraId="6C386835" w14:textId="44501D8B"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w:t>
      </w:r>
    </w:p>
    <w:p w14:paraId="4B02AEF7" w14:textId="5A715559"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w:t>
      </w:r>
    </w:p>
    <w:p w14:paraId="40FF215B" w14:textId="61E224B0"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w:t>
      </w:r>
    </w:p>
    <w:p w14:paraId="16AF81EB" w14:textId="77777777" w:rsidR="00C16F20" w:rsidRPr="00405303" w:rsidRDefault="00C16F20" w:rsidP="00C15251">
      <w:pPr>
        <w:jc w:val="both"/>
        <w:rPr>
          <w:bCs/>
          <w:color w:val="002060"/>
          <w:sz w:val="16"/>
          <w:szCs w:val="16"/>
        </w:rPr>
      </w:pPr>
      <w:r w:rsidRPr="00405303">
        <w:rPr>
          <w:bCs/>
          <w:color w:val="002060"/>
          <w:sz w:val="16"/>
          <w:szCs w:val="16"/>
        </w:rPr>
        <w:t>... А.Н. Куломзин.</w:t>
      </w:r>
    </w:p>
    <w:p w14:paraId="6617D063" w14:textId="77777777" w:rsidR="00C16F20" w:rsidRPr="00405303" w:rsidRDefault="00C16F20" w:rsidP="00C15251">
      <w:pPr>
        <w:jc w:val="both"/>
        <w:rPr>
          <w:bCs/>
          <w:color w:val="002060"/>
          <w:sz w:val="16"/>
          <w:szCs w:val="16"/>
        </w:rPr>
      </w:pPr>
      <w:r w:rsidRPr="00405303">
        <w:rPr>
          <w:bCs/>
          <w:color w:val="002060"/>
          <w:sz w:val="16"/>
          <w:szCs w:val="16"/>
        </w:rPr>
        <w:t>— С. И. Тимашев.</w:t>
      </w:r>
    </w:p>
    <w:p w14:paraId="3AA252C3" w14:textId="77777777" w:rsidR="00C16F20" w:rsidRPr="00405303" w:rsidRDefault="00C16F20" w:rsidP="00C15251">
      <w:pPr>
        <w:jc w:val="both"/>
        <w:rPr>
          <w:bCs/>
          <w:color w:val="002060"/>
          <w:sz w:val="16"/>
          <w:szCs w:val="16"/>
        </w:rPr>
      </w:pPr>
      <w:r w:rsidRPr="00405303">
        <w:rPr>
          <w:bCs/>
          <w:color w:val="002060"/>
          <w:sz w:val="16"/>
          <w:szCs w:val="16"/>
        </w:rPr>
        <w:t>.. В. И. Тимирязев.</w:t>
      </w:r>
    </w:p>
    <w:p w14:paraId="004DD2CB" w14:textId="77777777" w:rsidR="00C16F20" w:rsidRPr="00405303" w:rsidRDefault="00C16F20" w:rsidP="00C15251">
      <w:pPr>
        <w:jc w:val="both"/>
        <w:rPr>
          <w:bCs/>
          <w:color w:val="002060"/>
          <w:sz w:val="16"/>
          <w:szCs w:val="16"/>
        </w:rPr>
      </w:pPr>
      <w:r w:rsidRPr="00405303">
        <w:rPr>
          <w:bCs/>
          <w:color w:val="002060"/>
          <w:sz w:val="16"/>
          <w:szCs w:val="16"/>
        </w:rPr>
        <w:t>А. С. Стишинский.</w:t>
      </w:r>
    </w:p>
    <w:p w14:paraId="449C61F4" w14:textId="77777777" w:rsidR="00C16F20" w:rsidRPr="00405303" w:rsidRDefault="00C16F20" w:rsidP="00C15251">
      <w:pPr>
        <w:jc w:val="both"/>
        <w:rPr>
          <w:bCs/>
          <w:color w:val="002060"/>
          <w:sz w:val="16"/>
          <w:szCs w:val="16"/>
        </w:rPr>
      </w:pPr>
      <w:r w:rsidRPr="00405303">
        <w:rPr>
          <w:bCs/>
          <w:color w:val="002060"/>
          <w:sz w:val="16"/>
          <w:szCs w:val="16"/>
        </w:rPr>
        <w:t>......В. И. Гурко.</w:t>
      </w:r>
    </w:p>
    <w:p w14:paraId="3E66ADED" w14:textId="77777777" w:rsidR="00C16F20" w:rsidRPr="00405303" w:rsidRDefault="00C16F20" w:rsidP="00C15251">
      <w:pPr>
        <w:jc w:val="both"/>
        <w:rPr>
          <w:bCs/>
          <w:color w:val="002060"/>
          <w:sz w:val="16"/>
          <w:szCs w:val="16"/>
        </w:rPr>
      </w:pPr>
      <w:r w:rsidRPr="00405303">
        <w:rPr>
          <w:bCs/>
          <w:color w:val="002060"/>
          <w:sz w:val="16"/>
          <w:szCs w:val="16"/>
        </w:rPr>
        <w:t>.. М.А. Стахович.</w:t>
      </w:r>
    </w:p>
    <w:p w14:paraId="042B2EA0" w14:textId="77777777" w:rsidR="00C16F20" w:rsidRPr="00405303" w:rsidRDefault="00C16F20" w:rsidP="00C15251">
      <w:pPr>
        <w:jc w:val="both"/>
        <w:rPr>
          <w:bCs/>
          <w:color w:val="002060"/>
          <w:sz w:val="16"/>
          <w:szCs w:val="16"/>
        </w:rPr>
      </w:pPr>
      <w:r w:rsidRPr="00405303">
        <w:rPr>
          <w:bCs/>
          <w:color w:val="002060"/>
          <w:sz w:val="16"/>
          <w:szCs w:val="16"/>
        </w:rPr>
        <w:t>___А. И. Мосолов.</w:t>
      </w:r>
    </w:p>
    <w:p w14:paraId="07A85538" w14:textId="77777777" w:rsidR="00C16F20" w:rsidRPr="00405303" w:rsidRDefault="00C16F20"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Ф. А. Иванов.</w:t>
      </w:r>
    </w:p>
    <w:p w14:paraId="5FD9F572" w14:textId="77777777" w:rsidR="00C16F20" w:rsidRPr="00405303" w:rsidRDefault="00C16F20" w:rsidP="00C15251">
      <w:pPr>
        <w:jc w:val="both"/>
        <w:rPr>
          <w:bCs/>
          <w:color w:val="002060"/>
          <w:sz w:val="16"/>
          <w:szCs w:val="16"/>
        </w:rPr>
      </w:pPr>
      <w:r w:rsidRPr="00405303">
        <w:rPr>
          <w:bCs/>
          <w:color w:val="002060"/>
          <w:sz w:val="16"/>
          <w:szCs w:val="16"/>
        </w:rPr>
        <w:t>... граф С. А. Толь.</w:t>
      </w:r>
    </w:p>
    <w:p w14:paraId="47AA07C8" w14:textId="77777777" w:rsidR="00C16F20" w:rsidRPr="00405303" w:rsidRDefault="00C16F20"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И. А. Шебеко.</w:t>
      </w:r>
    </w:p>
    <w:p w14:paraId="60F956AD" w14:textId="77777777" w:rsidR="00C16F20" w:rsidRPr="00405303" w:rsidRDefault="00C16F20" w:rsidP="00C15251">
      <w:pPr>
        <w:jc w:val="both"/>
        <w:rPr>
          <w:bCs/>
          <w:color w:val="002060"/>
          <w:sz w:val="16"/>
          <w:szCs w:val="16"/>
        </w:rPr>
      </w:pPr>
      <w:r w:rsidRPr="00405303">
        <w:rPr>
          <w:bCs/>
          <w:color w:val="002060"/>
          <w:sz w:val="16"/>
          <w:szCs w:val="16"/>
        </w:rPr>
        <w:t>. С. Ф. Ольденбург.</w:t>
      </w:r>
    </w:p>
    <w:p w14:paraId="587F0E93" w14:textId="77777777" w:rsidR="00C16F20" w:rsidRPr="00405303" w:rsidRDefault="00C16F20" w:rsidP="00C15251">
      <w:pPr>
        <w:jc w:val="both"/>
        <w:rPr>
          <w:bCs/>
          <w:color w:val="002060"/>
          <w:sz w:val="16"/>
          <w:szCs w:val="16"/>
        </w:rPr>
      </w:pPr>
      <w:r w:rsidRPr="00405303">
        <w:rPr>
          <w:bCs/>
          <w:color w:val="002060"/>
          <w:sz w:val="16"/>
          <w:szCs w:val="16"/>
        </w:rPr>
        <w:t>... М. В. Родзянко.</w:t>
      </w:r>
    </w:p>
    <w:p w14:paraId="1D5F148A" w14:textId="77777777" w:rsidR="00C16F20" w:rsidRPr="00405303" w:rsidRDefault="00C16F20" w:rsidP="00C15251">
      <w:pPr>
        <w:jc w:val="both"/>
        <w:rPr>
          <w:bCs/>
          <w:color w:val="002060"/>
          <w:sz w:val="16"/>
          <w:szCs w:val="16"/>
        </w:rPr>
      </w:pPr>
      <w:r w:rsidRPr="00405303">
        <w:rPr>
          <w:bCs/>
          <w:color w:val="002060"/>
          <w:sz w:val="16"/>
          <w:szCs w:val="16"/>
        </w:rPr>
        <w:t>... И.Н. Ефремов.</w:t>
      </w:r>
    </w:p>
    <w:p w14:paraId="63A3C4A1" w14:textId="77777777" w:rsidR="00C16F20" w:rsidRPr="00405303" w:rsidRDefault="00C16F20" w:rsidP="00C15251">
      <w:pPr>
        <w:jc w:val="both"/>
        <w:rPr>
          <w:bCs/>
          <w:color w:val="002060"/>
          <w:sz w:val="16"/>
          <w:szCs w:val="16"/>
        </w:rPr>
      </w:pPr>
      <w:r w:rsidRPr="00405303">
        <w:rPr>
          <w:bCs/>
          <w:color w:val="002060"/>
          <w:sz w:val="16"/>
          <w:szCs w:val="16"/>
        </w:rPr>
        <w:t>..... Н.В. Савич.</w:t>
      </w:r>
    </w:p>
    <w:p w14:paraId="1CBB2DCE" w14:textId="77777777" w:rsidR="00C16F20" w:rsidRPr="00405303" w:rsidRDefault="00C16F20" w:rsidP="00C15251">
      <w:pPr>
        <w:jc w:val="both"/>
        <w:rPr>
          <w:bCs/>
          <w:color w:val="002060"/>
          <w:sz w:val="16"/>
          <w:szCs w:val="16"/>
        </w:rPr>
      </w:pPr>
      <w:r w:rsidRPr="00405303">
        <w:rPr>
          <w:bCs/>
          <w:color w:val="002060"/>
          <w:sz w:val="16"/>
          <w:szCs w:val="16"/>
        </w:rPr>
        <w:t>... Д.Н. Сверчков.</w:t>
      </w:r>
    </w:p>
    <w:p w14:paraId="53D8FF18" w14:textId="77777777" w:rsidR="00C16F20" w:rsidRPr="00405303" w:rsidRDefault="00C16F20" w:rsidP="00C15251">
      <w:pPr>
        <w:jc w:val="both"/>
        <w:rPr>
          <w:bCs/>
          <w:color w:val="002060"/>
          <w:sz w:val="16"/>
          <w:szCs w:val="16"/>
        </w:rPr>
      </w:pPr>
      <w:r w:rsidRPr="00405303">
        <w:rPr>
          <w:bCs/>
          <w:color w:val="002060"/>
          <w:sz w:val="16"/>
          <w:szCs w:val="16"/>
        </w:rPr>
        <w:t>___Д.Н. Чихачев.</w:t>
      </w:r>
    </w:p>
    <w:p w14:paraId="46BF0B98" w14:textId="77777777" w:rsidR="00C16F20" w:rsidRPr="00405303" w:rsidRDefault="00C16F20" w:rsidP="00C15251">
      <w:pPr>
        <w:jc w:val="both"/>
        <w:rPr>
          <w:bCs/>
          <w:color w:val="002060"/>
          <w:sz w:val="16"/>
          <w:szCs w:val="16"/>
        </w:rPr>
      </w:pPr>
      <w:r w:rsidRPr="00405303">
        <w:rPr>
          <w:bCs/>
          <w:color w:val="002060"/>
          <w:sz w:val="16"/>
          <w:szCs w:val="16"/>
        </w:rPr>
        <w:t>.. А. И. Шингарев.</w:t>
      </w:r>
    </w:p>
    <w:p w14:paraId="2A2C91D3" w14:textId="77777777" w:rsidR="00C16F20" w:rsidRPr="00405303" w:rsidRDefault="00C16F20" w:rsidP="00C15251">
      <w:pPr>
        <w:jc w:val="both"/>
        <w:rPr>
          <w:bCs/>
          <w:color w:val="002060"/>
          <w:sz w:val="16"/>
          <w:szCs w:val="16"/>
        </w:rPr>
      </w:pPr>
      <w:r w:rsidRPr="00405303">
        <w:rPr>
          <w:bCs/>
          <w:color w:val="002060"/>
          <w:sz w:val="16"/>
          <w:szCs w:val="16"/>
        </w:rPr>
        <w:t>... В. В. Шульгин.</w:t>
      </w:r>
    </w:p>
    <w:p w14:paraId="0AE309B2" w14:textId="77777777" w:rsidR="00C16F20" w:rsidRPr="00405303" w:rsidRDefault="00C16F20" w:rsidP="00C15251">
      <w:pPr>
        <w:jc w:val="both"/>
        <w:rPr>
          <w:bCs/>
          <w:color w:val="002060"/>
          <w:sz w:val="16"/>
          <w:szCs w:val="16"/>
        </w:rPr>
      </w:pPr>
      <w:r w:rsidRPr="00405303">
        <w:rPr>
          <w:bCs/>
          <w:color w:val="002060"/>
          <w:sz w:val="16"/>
          <w:szCs w:val="16"/>
        </w:rPr>
        <w:t>... М.С. Аджемов.</w:t>
      </w:r>
    </w:p>
    <w:p w14:paraId="42F7B46D" w14:textId="77777777" w:rsidR="00C16F20" w:rsidRPr="00405303" w:rsidRDefault="00C16F20" w:rsidP="00C15251">
      <w:pPr>
        <w:jc w:val="both"/>
        <w:rPr>
          <w:bCs/>
          <w:color w:val="002060"/>
          <w:sz w:val="16"/>
          <w:szCs w:val="16"/>
        </w:rPr>
      </w:pPr>
      <w:r w:rsidRPr="00405303">
        <w:rPr>
          <w:bCs/>
          <w:color w:val="002060"/>
          <w:sz w:val="16"/>
          <w:szCs w:val="16"/>
        </w:rPr>
        <w:t>»»»...................</w:t>
      </w:r>
    </w:p>
    <w:p w14:paraId="33D18D5E" w14:textId="76AC3555"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От военного министерства:</w:t>
      </w:r>
    </w:p>
    <w:p w14:paraId="09292BD7" w14:textId="1ECBB474"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Генерал от инфантерии ...</w:t>
      </w:r>
    </w:p>
    <w:p w14:paraId="0B837EAC" w14:textId="4B4385B7"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Генерал-лейтенант ......</w:t>
      </w:r>
    </w:p>
    <w:p w14:paraId="4E9F3C5D" w14:textId="1FB1D232"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Генерал от инфантерии ...</w:t>
      </w:r>
    </w:p>
    <w:p w14:paraId="4DDB983F" w14:textId="5A283408"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 » ».................</w:t>
      </w:r>
    </w:p>
    <w:p w14:paraId="7C6C8844" w14:textId="4D0B7280"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Генерал-лейтенант ......</w:t>
      </w:r>
    </w:p>
    <w:p w14:paraId="6AB4A1AB" w14:textId="2F873026"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 » ».................</w:t>
      </w:r>
    </w:p>
    <w:p w14:paraId="2EAB1ED3" w14:textId="1FBA0A65"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Генерал-майор ..........</w:t>
      </w:r>
    </w:p>
    <w:p w14:paraId="75CA483C" w14:textId="45B2362C"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 » ».................</w:t>
      </w:r>
    </w:p>
    <w:p w14:paraId="6C421FDA" w14:textId="1C30BA3F"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w:t>
      </w:r>
    </w:p>
    <w:p w14:paraId="3FCCEA5A" w14:textId="77777777" w:rsidR="00C16F20" w:rsidRPr="00405303" w:rsidRDefault="00C16F20" w:rsidP="00C15251">
      <w:pPr>
        <w:jc w:val="both"/>
        <w:rPr>
          <w:bCs/>
          <w:color w:val="002060"/>
          <w:sz w:val="16"/>
          <w:szCs w:val="16"/>
        </w:rPr>
      </w:pPr>
      <w:r w:rsidRPr="00405303">
        <w:rPr>
          <w:bCs/>
          <w:color w:val="002060"/>
          <w:sz w:val="16"/>
          <w:szCs w:val="16"/>
        </w:rPr>
        <w:lastRenderedPageBreak/>
        <w:t>Я. Н. Крупенский.</w:t>
      </w:r>
    </w:p>
    <w:p w14:paraId="334757C9" w14:textId="77777777" w:rsidR="00C16F20" w:rsidRPr="00405303" w:rsidRDefault="00C16F20" w:rsidP="00C15251">
      <w:pPr>
        <w:jc w:val="both"/>
        <w:rPr>
          <w:bCs/>
          <w:color w:val="002060"/>
          <w:sz w:val="16"/>
          <w:szCs w:val="16"/>
        </w:rPr>
      </w:pPr>
      <w:r w:rsidRPr="00405303">
        <w:rPr>
          <w:bCs/>
          <w:color w:val="002060"/>
          <w:sz w:val="16"/>
          <w:szCs w:val="16"/>
        </w:rPr>
        <w:t>Я. Я. Опочинин.</w:t>
      </w:r>
    </w:p>
    <w:p w14:paraId="52FF92BC" w14:textId="77777777" w:rsidR="00C16F20" w:rsidRPr="00405303" w:rsidRDefault="00C16F20" w:rsidP="00C15251">
      <w:pPr>
        <w:jc w:val="both"/>
        <w:rPr>
          <w:bCs/>
          <w:color w:val="002060"/>
          <w:sz w:val="16"/>
          <w:szCs w:val="16"/>
        </w:rPr>
      </w:pPr>
      <w:r w:rsidRPr="00405303">
        <w:rPr>
          <w:bCs/>
          <w:color w:val="002060"/>
          <w:sz w:val="16"/>
          <w:szCs w:val="16"/>
        </w:rPr>
        <w:t>М.А. Беляев.</w:t>
      </w:r>
    </w:p>
    <w:p w14:paraId="31AD1289" w14:textId="77777777" w:rsidR="00C16F20" w:rsidRPr="00405303" w:rsidRDefault="00C16F20" w:rsidP="00C15251">
      <w:pPr>
        <w:jc w:val="both"/>
        <w:rPr>
          <w:bCs/>
          <w:color w:val="002060"/>
          <w:sz w:val="16"/>
          <w:szCs w:val="16"/>
        </w:rPr>
      </w:pPr>
      <w:r w:rsidRPr="00405303">
        <w:rPr>
          <w:bCs/>
          <w:color w:val="002060"/>
          <w:sz w:val="16"/>
          <w:szCs w:val="16"/>
        </w:rPr>
        <w:t>А. С. Лукомский.</w:t>
      </w:r>
    </w:p>
    <w:p w14:paraId="57ACDC3F" w14:textId="77777777" w:rsidR="00C16F20" w:rsidRPr="00405303" w:rsidRDefault="00C16F20" w:rsidP="00C15251">
      <w:pPr>
        <w:jc w:val="both"/>
        <w:rPr>
          <w:bCs/>
          <w:color w:val="002060"/>
          <w:sz w:val="16"/>
          <w:szCs w:val="16"/>
        </w:rPr>
      </w:pPr>
      <w:r w:rsidRPr="00405303">
        <w:rPr>
          <w:bCs/>
          <w:color w:val="002060"/>
          <w:sz w:val="16"/>
          <w:szCs w:val="16"/>
        </w:rPr>
        <w:t>А. 3. Мышлаевский.</w:t>
      </w:r>
    </w:p>
    <w:p w14:paraId="1D8A4BDC" w14:textId="77777777" w:rsidR="00C16F20" w:rsidRPr="00405303" w:rsidRDefault="00C16F20" w:rsidP="00C15251">
      <w:pPr>
        <w:jc w:val="both"/>
        <w:rPr>
          <w:bCs/>
          <w:color w:val="002060"/>
          <w:sz w:val="16"/>
          <w:szCs w:val="16"/>
        </w:rPr>
      </w:pPr>
      <w:r w:rsidRPr="00405303">
        <w:rPr>
          <w:bCs/>
          <w:color w:val="002060"/>
          <w:sz w:val="16"/>
          <w:szCs w:val="16"/>
        </w:rPr>
        <w:t>Д.С. Шуваев.</w:t>
      </w:r>
    </w:p>
    <w:p w14:paraId="5D8CEAC5" w14:textId="77777777" w:rsidR="00C16F20" w:rsidRPr="00405303" w:rsidRDefault="00C16F20" w:rsidP="00C15251">
      <w:pPr>
        <w:jc w:val="both"/>
        <w:rPr>
          <w:bCs/>
          <w:color w:val="002060"/>
          <w:sz w:val="16"/>
          <w:szCs w:val="16"/>
        </w:rPr>
      </w:pPr>
      <w:r w:rsidRPr="00405303">
        <w:rPr>
          <w:bCs/>
          <w:color w:val="002060"/>
          <w:sz w:val="16"/>
          <w:szCs w:val="16"/>
        </w:rPr>
        <w:t>Г. Г. Милеант.</w:t>
      </w:r>
    </w:p>
    <w:p w14:paraId="02177C16" w14:textId="77777777" w:rsidR="00C16F20" w:rsidRPr="00405303" w:rsidRDefault="00C16F20" w:rsidP="00C15251">
      <w:pPr>
        <w:jc w:val="both"/>
        <w:rPr>
          <w:bCs/>
          <w:color w:val="002060"/>
          <w:sz w:val="16"/>
          <w:szCs w:val="16"/>
        </w:rPr>
      </w:pPr>
      <w:r w:rsidRPr="00405303">
        <w:rPr>
          <w:bCs/>
          <w:color w:val="002060"/>
          <w:sz w:val="16"/>
          <w:szCs w:val="16"/>
        </w:rPr>
        <w:t>Н. А. Бабиков.</w:t>
      </w:r>
    </w:p>
    <w:p w14:paraId="59FFF669" w14:textId="77777777" w:rsidR="00C16F20" w:rsidRPr="00405303" w:rsidRDefault="00C16F20" w:rsidP="00C15251">
      <w:pPr>
        <w:jc w:val="both"/>
        <w:rPr>
          <w:bCs/>
          <w:color w:val="002060"/>
          <w:sz w:val="16"/>
          <w:szCs w:val="16"/>
        </w:rPr>
      </w:pPr>
      <w:r w:rsidRPr="00405303">
        <w:rPr>
          <w:bCs/>
          <w:color w:val="002060"/>
          <w:sz w:val="16"/>
          <w:szCs w:val="16"/>
        </w:rPr>
        <w:t>В. А. Лехович.</w:t>
      </w:r>
    </w:p>
    <w:p w14:paraId="4B9D109C" w14:textId="77777777" w:rsidR="00C16F20" w:rsidRPr="00405303" w:rsidRDefault="00C16F20" w:rsidP="00C15251">
      <w:pPr>
        <w:jc w:val="both"/>
        <w:rPr>
          <w:bCs/>
          <w:color w:val="002060"/>
          <w:sz w:val="16"/>
          <w:szCs w:val="16"/>
        </w:rPr>
      </w:pPr>
      <w:r w:rsidRPr="00405303">
        <w:rPr>
          <w:bCs/>
          <w:color w:val="002060"/>
          <w:sz w:val="16"/>
          <w:szCs w:val="16"/>
        </w:rPr>
        <w:t>П. И. Аверьянов.</w:t>
      </w:r>
    </w:p>
    <w:p w14:paraId="639301D1" w14:textId="77777777" w:rsidR="00C16F20" w:rsidRPr="00405303" w:rsidRDefault="00C16F20" w:rsidP="00C15251">
      <w:pPr>
        <w:jc w:val="both"/>
        <w:rPr>
          <w:bCs/>
          <w:color w:val="002060"/>
          <w:sz w:val="16"/>
          <w:szCs w:val="16"/>
        </w:rPr>
      </w:pPr>
      <w:r w:rsidRPr="00405303">
        <w:rPr>
          <w:bCs/>
          <w:color w:val="002060"/>
          <w:sz w:val="16"/>
          <w:szCs w:val="16"/>
        </w:rPr>
        <w:t>А. А. Якимович.</w:t>
      </w:r>
    </w:p>
    <w:p w14:paraId="19B9A444" w14:textId="77777777" w:rsidR="00C16F20" w:rsidRPr="00405303" w:rsidRDefault="00C16F20" w:rsidP="00C15251">
      <w:pPr>
        <w:jc w:val="both"/>
        <w:rPr>
          <w:bCs/>
          <w:color w:val="002060"/>
          <w:sz w:val="16"/>
          <w:szCs w:val="16"/>
        </w:rPr>
      </w:pPr>
      <w:r w:rsidRPr="00405303">
        <w:rPr>
          <w:bCs/>
          <w:color w:val="002060"/>
          <w:sz w:val="16"/>
          <w:szCs w:val="16"/>
        </w:rPr>
        <w:t>А. А. Саткевич.</w:t>
      </w:r>
    </w:p>
    <w:p w14:paraId="01DF896B" w14:textId="77777777" w:rsidR="00C16F20" w:rsidRPr="00405303" w:rsidRDefault="00C16F20" w:rsidP="00C15251">
      <w:pPr>
        <w:jc w:val="both"/>
        <w:rPr>
          <w:bCs/>
          <w:color w:val="002060"/>
          <w:sz w:val="16"/>
          <w:szCs w:val="16"/>
        </w:rPr>
      </w:pPr>
      <w:r w:rsidRPr="00405303">
        <w:rPr>
          <w:bCs/>
          <w:color w:val="002060"/>
          <w:sz w:val="16"/>
          <w:szCs w:val="16"/>
        </w:rPr>
        <w:t>К. Н. Егорьев.</w:t>
      </w:r>
    </w:p>
    <w:p w14:paraId="77A770A2" w14:textId="77777777" w:rsidR="00C16F20" w:rsidRPr="00405303" w:rsidRDefault="00C16F20" w:rsidP="00C15251">
      <w:pPr>
        <w:jc w:val="both"/>
        <w:rPr>
          <w:bCs/>
          <w:color w:val="002060"/>
          <w:sz w:val="16"/>
          <w:szCs w:val="16"/>
        </w:rPr>
      </w:pPr>
      <w:r w:rsidRPr="00405303">
        <w:rPr>
          <w:bCs/>
          <w:color w:val="002060"/>
          <w:sz w:val="16"/>
          <w:szCs w:val="16"/>
        </w:rPr>
        <w:t>А. А. Михельсон.</w:t>
      </w:r>
    </w:p>
    <w:p w14:paraId="6D9901D8" w14:textId="77777777" w:rsidR="00C16F20" w:rsidRPr="00405303" w:rsidRDefault="00C16F20" w:rsidP="00C15251">
      <w:pPr>
        <w:jc w:val="both"/>
        <w:rPr>
          <w:bCs/>
          <w:color w:val="002060"/>
          <w:sz w:val="16"/>
          <w:szCs w:val="16"/>
        </w:rPr>
      </w:pPr>
      <w:r w:rsidRPr="00405303">
        <w:rPr>
          <w:bCs/>
          <w:color w:val="002060"/>
          <w:sz w:val="16"/>
          <w:szCs w:val="16"/>
        </w:rPr>
        <w:t>От морского министерства:</w:t>
      </w:r>
    </w:p>
    <w:p w14:paraId="21E8AA24" w14:textId="1CFAE07E"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Вице-адмирал...................................П. П. Муравьев.</w:t>
      </w:r>
    </w:p>
    <w:p w14:paraId="75D3E57E" w14:textId="3E75FDDA"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w:t>
      </w:r>
      <w:proofErr w:type="gramStart"/>
      <w:r w:rsidR="00C16F20" w:rsidRPr="00405303">
        <w:rPr>
          <w:bCs/>
          <w:color w:val="002060"/>
          <w:sz w:val="16"/>
          <w:szCs w:val="16"/>
        </w:rPr>
        <w:t>» »</w:t>
      </w:r>
      <w:proofErr w:type="gramEnd"/>
      <w:r w:rsidR="00C16F20" w:rsidRPr="00405303">
        <w:rPr>
          <w:bCs/>
          <w:color w:val="002060"/>
          <w:sz w:val="16"/>
          <w:szCs w:val="16"/>
        </w:rPr>
        <w:t xml:space="preserve"> ».............................................В. К. Гирс.</w:t>
      </w:r>
    </w:p>
    <w:p w14:paraId="5D17F860" w14:textId="24916EA7"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От министерства финансов:</w:t>
      </w:r>
    </w:p>
    <w:p w14:paraId="7BA06066" w14:textId="39F03449"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Тайный советник..............................В. В. Кузьминский.</w:t>
      </w:r>
    </w:p>
    <w:p w14:paraId="529F2DFA" w14:textId="17147B00"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От министерства путей сообщения:</w:t>
      </w:r>
    </w:p>
    <w:p w14:paraId="3FB3B2A7" w14:textId="530101B3"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Тайный советник..............................П.Н. Думитрашко.</w:t>
      </w:r>
    </w:p>
    <w:p w14:paraId="6BD97A8B" w14:textId="3E894D91"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w:t>
      </w:r>
      <w:proofErr w:type="gramStart"/>
      <w:r w:rsidR="00C16F20" w:rsidRPr="00405303">
        <w:rPr>
          <w:bCs/>
          <w:color w:val="002060"/>
          <w:sz w:val="16"/>
          <w:szCs w:val="16"/>
        </w:rPr>
        <w:t>» »</w:t>
      </w:r>
      <w:proofErr w:type="gramEnd"/>
      <w:r w:rsidR="00C16F20" w:rsidRPr="00405303">
        <w:rPr>
          <w:bCs/>
          <w:color w:val="002060"/>
          <w:sz w:val="16"/>
          <w:szCs w:val="16"/>
        </w:rPr>
        <w:t xml:space="preserve"> »..........................................И.Н.</w:t>
      </w:r>
      <w:r>
        <w:rPr>
          <w:bCs/>
          <w:color w:val="002060"/>
          <w:sz w:val="16"/>
          <w:szCs w:val="16"/>
        </w:rPr>
        <w:t xml:space="preserve"> </w:t>
      </w:r>
      <w:r w:rsidR="00C16F20" w:rsidRPr="00405303">
        <w:rPr>
          <w:bCs/>
          <w:color w:val="002060"/>
          <w:sz w:val="16"/>
          <w:szCs w:val="16"/>
        </w:rPr>
        <w:t>Борисов.</w:t>
      </w:r>
    </w:p>
    <w:p w14:paraId="113F2A73" w14:textId="00C52FDB"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От министерства торговли и промышленности:</w:t>
      </w:r>
    </w:p>
    <w:p w14:paraId="3F4C2C4F" w14:textId="7D61515A"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Действительный статский советник.................С.П. Веселого.</w:t>
      </w:r>
    </w:p>
    <w:p w14:paraId="684CA4D2" w14:textId="1C7AABE1"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 » »..........................................Н.И.</w:t>
      </w:r>
      <w:r>
        <w:rPr>
          <w:bCs/>
          <w:color w:val="002060"/>
          <w:sz w:val="16"/>
          <w:szCs w:val="16"/>
        </w:rPr>
        <w:t xml:space="preserve"> </w:t>
      </w:r>
      <w:r w:rsidR="00C16F20" w:rsidRPr="00405303">
        <w:rPr>
          <w:bCs/>
          <w:color w:val="002060"/>
          <w:sz w:val="16"/>
          <w:szCs w:val="16"/>
        </w:rPr>
        <w:t>Разумов.</w:t>
      </w:r>
    </w:p>
    <w:p w14:paraId="5F5BE920" w14:textId="23338E79"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Статский советник................................ Р.М.</w:t>
      </w:r>
      <w:r>
        <w:rPr>
          <w:bCs/>
          <w:color w:val="002060"/>
          <w:sz w:val="16"/>
          <w:szCs w:val="16"/>
        </w:rPr>
        <w:t xml:space="preserve"> </w:t>
      </w:r>
      <w:r w:rsidR="00C16F20" w:rsidRPr="00405303">
        <w:rPr>
          <w:bCs/>
          <w:color w:val="002060"/>
          <w:sz w:val="16"/>
          <w:szCs w:val="16"/>
        </w:rPr>
        <w:t>Ловяшн.</w:t>
      </w:r>
    </w:p>
    <w:p w14:paraId="640B4C7C" w14:textId="2445F8A0"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w:t>
      </w:r>
      <w:proofErr w:type="gramStart"/>
      <w:r w:rsidR="00C16F20" w:rsidRPr="00405303">
        <w:rPr>
          <w:bCs/>
          <w:color w:val="002060"/>
          <w:sz w:val="16"/>
          <w:szCs w:val="16"/>
        </w:rPr>
        <w:t>» »</w:t>
      </w:r>
      <w:proofErr w:type="gramEnd"/>
      <w:r w:rsidR="00C16F20" w:rsidRPr="00405303">
        <w:rPr>
          <w:bCs/>
          <w:color w:val="002060"/>
          <w:sz w:val="16"/>
          <w:szCs w:val="16"/>
        </w:rPr>
        <w:t xml:space="preserve"> »......................................В. А. Рогожников.</w:t>
      </w:r>
    </w:p>
    <w:p w14:paraId="2082256A" w14:textId="14773342"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От государственного контроля:</w:t>
      </w:r>
    </w:p>
    <w:p w14:paraId="3BE20A5B" w14:textId="6D1A8CE1"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Тайный советник..............................М. И. Скипетров.</w:t>
      </w:r>
    </w:p>
    <w:p w14:paraId="69B41D66" w14:textId="1D31C838"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От Всероссийского земского союза:</w:t>
      </w:r>
    </w:p>
    <w:p w14:paraId="3DD8B1D0" w14:textId="7BA3E2ED"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Член Государственного Совета ... .барон В. В. Меллер-Закомельский.</w:t>
      </w:r>
    </w:p>
    <w:p w14:paraId="3D2A57A6" w14:textId="5F46DCC0"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От Всероссийского городского союза:</w:t>
      </w:r>
    </w:p>
    <w:p w14:paraId="1C71420A" w14:textId="6AD986CA"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Член Государственной Думы ..................... Н. В. Некрасов.</w:t>
      </w:r>
    </w:p>
    <w:p w14:paraId="3FFF3F17" w14:textId="5D3BEE61"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От центрального военно-промышленного комитета:</w:t>
      </w:r>
    </w:p>
    <w:p w14:paraId="3E243DCE" w14:textId="6E5F4A68"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Член Государственного Совета .....................А.</w:t>
      </w:r>
      <w:r>
        <w:rPr>
          <w:bCs/>
          <w:color w:val="002060"/>
          <w:sz w:val="16"/>
          <w:szCs w:val="16"/>
        </w:rPr>
        <w:t xml:space="preserve"> </w:t>
      </w:r>
      <w:r w:rsidR="00C16F20" w:rsidRPr="00405303">
        <w:rPr>
          <w:bCs/>
          <w:color w:val="002060"/>
          <w:sz w:val="16"/>
          <w:szCs w:val="16"/>
        </w:rPr>
        <w:t>И. Гучков.</w:t>
      </w:r>
    </w:p>
    <w:p w14:paraId="0F63E99F" w14:textId="6B1A50CF"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Член Государственной Думы ...................А. И. Коновалов.</w:t>
      </w:r>
    </w:p>
    <w:p w14:paraId="07062DD1" w14:textId="35439CC1"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Действительный статский советник...................Д С. Зернов.</w:t>
      </w:r>
    </w:p>
    <w:p w14:paraId="13184F1F" w14:textId="494598B2"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Особо приглашенные в заседание:</w:t>
      </w:r>
    </w:p>
    <w:p w14:paraId="26A00179" w14:textId="29589439"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Член Государственного Совета</w:t>
      </w:r>
      <w:proofErr w:type="gramStart"/>
      <w:r w:rsidR="00C16F20" w:rsidRPr="00405303">
        <w:rPr>
          <w:bCs/>
          <w:color w:val="002060"/>
          <w:sz w:val="16"/>
          <w:szCs w:val="16"/>
        </w:rPr>
        <w:t xml:space="preserve"> ..</w:t>
      </w:r>
      <w:proofErr w:type="gramEnd"/>
    </w:p>
    <w:p w14:paraId="6365550C" w14:textId="77777777" w:rsidR="00C16F20" w:rsidRPr="00405303" w:rsidRDefault="00C16F20" w:rsidP="00C15251">
      <w:pPr>
        <w:jc w:val="both"/>
        <w:rPr>
          <w:bCs/>
          <w:color w:val="002060"/>
          <w:sz w:val="16"/>
          <w:szCs w:val="16"/>
        </w:rPr>
      </w:pPr>
      <w:r w:rsidRPr="00405303">
        <w:rPr>
          <w:bCs/>
          <w:color w:val="002060"/>
          <w:sz w:val="16"/>
          <w:szCs w:val="16"/>
        </w:rPr>
        <w:t>Я. Ф. фонДитмар.</w:t>
      </w:r>
    </w:p>
    <w:p w14:paraId="417CA23F" w14:textId="77777777" w:rsidR="00C16F20" w:rsidRPr="00405303" w:rsidRDefault="00C16F20" w:rsidP="00C15251">
      <w:pPr>
        <w:jc w:val="both"/>
        <w:rPr>
          <w:bCs/>
          <w:color w:val="002060"/>
          <w:sz w:val="16"/>
          <w:szCs w:val="16"/>
        </w:rPr>
      </w:pPr>
      <w:r w:rsidRPr="00405303">
        <w:rPr>
          <w:bCs/>
          <w:color w:val="002060"/>
          <w:sz w:val="16"/>
          <w:szCs w:val="16"/>
        </w:rPr>
        <w:t>Действительный статский советник....В. П. Литвинов-Фалинский.</w:t>
      </w:r>
    </w:p>
    <w:p w14:paraId="65693283" w14:textId="655EA23D"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Коллежский советник...........................В. В. Жуковский.</w:t>
      </w:r>
    </w:p>
    <w:p w14:paraId="0FC3AD73" w14:textId="0ACD30D8"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Инженер путей сообщения ..................барон Г. X. Майдель.</w:t>
      </w:r>
    </w:p>
    <w:p w14:paraId="60E1D0CB" w14:textId="74BD5A45"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Делопроизводители Особого Совещания:</w:t>
      </w:r>
    </w:p>
    <w:p w14:paraId="5213E88B" w14:textId="026E7B44"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Надворный советник............................Л.Д. Тяжелое.</w:t>
      </w:r>
    </w:p>
    <w:p w14:paraId="60CCEC71" w14:textId="0E1A5748" w:rsidR="00C16F20" w:rsidRPr="00405303" w:rsidRDefault="000F5756" w:rsidP="00C15251">
      <w:pPr>
        <w:jc w:val="both"/>
        <w:rPr>
          <w:bCs/>
          <w:color w:val="002060"/>
          <w:sz w:val="16"/>
          <w:szCs w:val="16"/>
        </w:rPr>
      </w:pPr>
      <w:r>
        <w:rPr>
          <w:bCs/>
          <w:color w:val="002060"/>
          <w:sz w:val="16"/>
          <w:szCs w:val="16"/>
        </w:rPr>
        <w:t xml:space="preserve">  </w:t>
      </w:r>
      <w:r w:rsidR="00C16F20" w:rsidRPr="00405303">
        <w:rPr>
          <w:bCs/>
          <w:color w:val="002060"/>
          <w:sz w:val="16"/>
          <w:szCs w:val="16"/>
        </w:rPr>
        <w:t xml:space="preserve"> </w:t>
      </w:r>
      <w:proofErr w:type="gramStart"/>
      <w:r w:rsidR="00C16F20" w:rsidRPr="00405303">
        <w:rPr>
          <w:bCs/>
          <w:color w:val="002060"/>
          <w:sz w:val="16"/>
          <w:szCs w:val="16"/>
        </w:rPr>
        <w:t>» »</w:t>
      </w:r>
      <w:proofErr w:type="gramEnd"/>
      <w:r w:rsidR="00C16F20" w:rsidRPr="00405303">
        <w:rPr>
          <w:bCs/>
          <w:color w:val="002060"/>
          <w:sz w:val="16"/>
          <w:szCs w:val="16"/>
        </w:rPr>
        <w:t xml:space="preserve"> »</w:t>
      </w:r>
      <w:proofErr w:type="gramStart"/>
      <w:r w:rsidR="00C16F20" w:rsidRPr="00405303">
        <w:rPr>
          <w:bCs/>
          <w:color w:val="002060"/>
          <w:sz w:val="16"/>
          <w:szCs w:val="16"/>
        </w:rPr>
        <w:t>.......................................Н.В.де</w:t>
      </w:r>
      <w:proofErr w:type="gramEnd"/>
      <w:r w:rsidR="00C16F20" w:rsidRPr="00405303">
        <w:rPr>
          <w:bCs/>
          <w:color w:val="002060"/>
          <w:sz w:val="16"/>
          <w:szCs w:val="16"/>
        </w:rPr>
        <w:t xml:space="preserve"> Бособр.</w:t>
      </w:r>
    </w:p>
    <w:p w14:paraId="3097A3FC" w14:textId="6088E977" w:rsidR="00C16F20" w:rsidRPr="00405303" w:rsidRDefault="00C16F20" w:rsidP="00C15251">
      <w:pPr>
        <w:jc w:val="both"/>
        <w:rPr>
          <w:bCs/>
          <w:color w:val="002060"/>
          <w:sz w:val="16"/>
          <w:szCs w:val="16"/>
        </w:rPr>
      </w:pPr>
      <w:r w:rsidRPr="00405303">
        <w:rPr>
          <w:bCs/>
          <w:color w:val="002060"/>
          <w:sz w:val="16"/>
          <w:szCs w:val="16"/>
        </w:rPr>
        <w:t>По открытии заседания Особое Совещание заслушало и одобрило доклад подготовительной комиссии но артиллерийским вопросам о принятии предложения торгового дома «Гольстрем и Тунельд» на поставку 48-линейных шрапнелей. Равным образом Особое Совещание не встретило препятствий к одобрению докладов подготовительной комиссии по общим вопросам: а) о выдаче на льготных условиях аванса без обеспечения вновь устраиваемому в центральной части России кабельному заводу А. И. Петичева, б) о выдаче пособия и ссуды Одесскому авиационному заводу «Анатра» на устройство отделения завода в Симферополе, в) об устройстве внутри России отделения завода первого Российского товарищества</w:t>
      </w:r>
      <w:r w:rsidR="000F5756">
        <w:rPr>
          <w:bCs/>
          <w:color w:val="002060"/>
          <w:sz w:val="16"/>
          <w:szCs w:val="16"/>
        </w:rPr>
        <w:t xml:space="preserve"> </w:t>
      </w:r>
      <w:r w:rsidRPr="00405303">
        <w:rPr>
          <w:bCs/>
          <w:color w:val="002060"/>
          <w:sz w:val="16"/>
          <w:szCs w:val="16"/>
        </w:rPr>
        <w:t>воздухоплавания С. С. Щетинина и К° и о выдаче ссуды и пособия для осуществления этого предложения (последний доклад Особое Совещание одобрило с оговоркой, что отделение завода должно быть устроено не непременно в Вологде, как то указано в докладе, а в одной из местностей центральной России соответственно интересам авиационного дела).</w:t>
      </w:r>
    </w:p>
    <w:p w14:paraId="447ADAD4" w14:textId="77777777" w:rsidR="00C16F20" w:rsidRPr="00405303" w:rsidRDefault="00C16F20" w:rsidP="00C15251">
      <w:pPr>
        <w:jc w:val="both"/>
        <w:rPr>
          <w:bCs/>
          <w:color w:val="002060"/>
          <w:sz w:val="16"/>
          <w:szCs w:val="16"/>
        </w:rPr>
      </w:pPr>
      <w:r w:rsidRPr="00405303">
        <w:rPr>
          <w:bCs/>
          <w:color w:val="002060"/>
          <w:sz w:val="16"/>
          <w:szCs w:val="16"/>
        </w:rPr>
        <w:t xml:space="preserve"> По поводу вопросов о выдаче ссуд и пособий вышеупомянутым авиационным заводам Особое Совещание, соглашаясь с мнением товарища министра финансов В. В. Кузьминского, высказало, что главному военно-техническому управлению при заключении с означенными заводами контрактов надлежит иметь в виду необходимость понижения контрактных цен в соответствии с предоставленными этим заводам финансовыми льготами.</w:t>
      </w:r>
    </w:p>
    <w:p w14:paraId="3829E084" w14:textId="77777777" w:rsidR="00C16F20" w:rsidRPr="00405303" w:rsidRDefault="00C16F20" w:rsidP="00C15251">
      <w:pPr>
        <w:jc w:val="both"/>
        <w:rPr>
          <w:bCs/>
          <w:color w:val="002060"/>
          <w:sz w:val="16"/>
          <w:szCs w:val="16"/>
        </w:rPr>
      </w:pPr>
      <w:r w:rsidRPr="00405303">
        <w:rPr>
          <w:bCs/>
          <w:color w:val="002060"/>
          <w:sz w:val="16"/>
          <w:szCs w:val="16"/>
        </w:rPr>
        <w:t>В дальнейшем Особое Совещание одобрило доклад подготовительной комиссии по общим вопросам об ассигновании председателю заводского Совещания Екатеринославского района денежных средств на обследование заводов Екатеринославской губернии. Членами Особого Совещания М. В. Родзянко и А. И. Шингаревым был в связи с сим докладом возбужден вопрос о том, не имеется ли в распоряжении министерства торговли и промышленности готовых данных о заводах Екатеринославской губернии и, в частности, не могут ли служить таковыми данными донесения чинов фабричной инспекции. Представители министерства торговли и промышленности по этому поводу сообщили, что подробные донесения фабричной и горной инспекции о заводах представляются в министерство к 1 января каждого года, в месячных же отчетах указываются лишь краткие сведения об увеличении или уменьшении производства и т. п. Поэтому сведения о заводах по той программе, которая выработана Екатеринославским заводским Совещанием, в настоящее время в министерстве торговли и промышленности не имеется, а представленные к 1 января 1915 г. сведения уже устарели вследствие значительных изменений, происшедших летом 1915 г.</w:t>
      </w:r>
    </w:p>
    <w:p w14:paraId="3996F834" w14:textId="77777777" w:rsidR="00C16F20" w:rsidRPr="00405303" w:rsidRDefault="00C16F20" w:rsidP="00C15251">
      <w:pPr>
        <w:jc w:val="both"/>
        <w:rPr>
          <w:bCs/>
          <w:color w:val="002060"/>
          <w:sz w:val="16"/>
          <w:szCs w:val="16"/>
        </w:rPr>
      </w:pPr>
      <w:r w:rsidRPr="00405303">
        <w:rPr>
          <w:bCs/>
          <w:color w:val="002060"/>
          <w:sz w:val="16"/>
          <w:szCs w:val="16"/>
        </w:rPr>
        <w:t>В дальнейшем Особое Совещание приняло к сведению доклад статс-секретаря А. Н. Куломзина по наблюдательной комиссии о ходе заготовления предметов интендантского снабжения за август и сентябрь 1915 г.</w:t>
      </w:r>
    </w:p>
    <w:p w14:paraId="6FBCAAF8" w14:textId="77777777" w:rsidR="00C16F20" w:rsidRPr="00405303" w:rsidRDefault="00C16F20" w:rsidP="00C15251">
      <w:pPr>
        <w:jc w:val="both"/>
        <w:rPr>
          <w:bCs/>
          <w:color w:val="002060"/>
          <w:sz w:val="16"/>
          <w:szCs w:val="16"/>
        </w:rPr>
      </w:pPr>
      <w:r w:rsidRPr="00405303">
        <w:rPr>
          <w:bCs/>
          <w:color w:val="002060"/>
          <w:sz w:val="16"/>
          <w:szCs w:val="16"/>
        </w:rPr>
        <w:t>Обратясь далее к рассмотрению проекта положения о порядке выдачи авансов общественным организациям, исполняющим поручения военного и морского ведомств по заказам предметов обороны государства, Особое Совещание признало его подлежащим утверждению с внесением некоторых поправок (одобренная большинством Особого Совещания редакция при сем прилагается).</w:t>
      </w:r>
    </w:p>
    <w:p w14:paraId="33F7E242" w14:textId="77777777" w:rsidR="00C16F20" w:rsidRPr="00405303" w:rsidRDefault="00C16F20" w:rsidP="00C15251">
      <w:pPr>
        <w:jc w:val="both"/>
        <w:rPr>
          <w:bCs/>
          <w:color w:val="002060"/>
          <w:sz w:val="16"/>
          <w:szCs w:val="16"/>
        </w:rPr>
      </w:pPr>
      <w:r w:rsidRPr="00405303">
        <w:rPr>
          <w:bCs/>
          <w:color w:val="002060"/>
          <w:sz w:val="16"/>
          <w:szCs w:val="16"/>
        </w:rPr>
        <w:t xml:space="preserve">Затем Особое Совещание, выслушав доклад представителя министерства путей сообщения тайного советника И. Н. Борисова по поводу затруднений в железнодорожных перевозках, усмотрело из данных сего доклада нижеследующее. Расстройство железнодорожных перевозок, как уже известно Особому Совещанию </w:t>
      </w:r>
      <w:r w:rsidRPr="00405303">
        <w:rPr>
          <w:bCs/>
          <w:color w:val="002060"/>
          <w:sz w:val="16"/>
          <w:szCs w:val="16"/>
        </w:rPr>
        <w:lastRenderedPageBreak/>
        <w:t xml:space="preserve">из предшествующих заседаний, заключается главным образом в забитости Петроградского и Московского железнодорожных узлов и в отсутствии надлежащего количества вагонов в юго-восточном районе, потребных для перевозок каменного угля. Явления эти представляются в высшей степени угрожающими, ибо возникает опасность недостаточного снабжения столиц продовольствием и сырьем, потребным для заводов и фабрик, работающих на государственную оборону. Но наиболее грозным представляется надвигающаяся и отчасти уже наступившая задержка в снабжении Петрограда каменным углем. Уже в настоящее время таковая недостача вынуждает министерство путей сообщения отпускать уголь предприятиям, работающим на оборону, из запасов железных дорог*, в дальнейшем же, в случае непринятия надлежащих мер в рассматриваемой области, и этот ресурс иссякнет, и тогда Петроградский промышленный район, в пределах коего изготовляется почти 60 % всего количества предметов государственной обороны, производимых в России, будет поставлен в крайне тяжелое положение. </w:t>
      </w:r>
    </w:p>
    <w:p w14:paraId="47AFC2B0" w14:textId="77777777" w:rsidR="00C16F20" w:rsidRPr="00405303" w:rsidRDefault="00C16F20" w:rsidP="00C15251">
      <w:pPr>
        <w:jc w:val="both"/>
        <w:rPr>
          <w:bCs/>
          <w:color w:val="002060"/>
          <w:sz w:val="16"/>
          <w:szCs w:val="16"/>
        </w:rPr>
      </w:pPr>
      <w:r w:rsidRPr="00405303">
        <w:rPr>
          <w:bCs/>
          <w:color w:val="002060"/>
          <w:sz w:val="16"/>
          <w:szCs w:val="16"/>
        </w:rPr>
        <w:t xml:space="preserve">Но не только тыловому району наносится ущерб расстройством перевозок, а и непосредственно фронту, ибо вследствие забитости передаточных станций, являющихся границей между железнодорожной сетью фронта и тыла, затрудняется подвоз предметов довольствия и снабжения всякого рода в действующую армию. Так, в частности, станция Двинск не пропускает в настоящее время вагонов на фронт, между тем как именно расположенные около Двинска войсковые части страдают от недостатка снабжения теплыми вещами, а отчасти и продовольственными продуктами. </w:t>
      </w:r>
    </w:p>
    <w:p w14:paraId="3CCCA311" w14:textId="77777777" w:rsidR="00C16F20" w:rsidRPr="00405303" w:rsidRDefault="00C16F20" w:rsidP="00C15251">
      <w:pPr>
        <w:jc w:val="both"/>
        <w:rPr>
          <w:bCs/>
          <w:color w:val="002060"/>
          <w:sz w:val="16"/>
          <w:szCs w:val="16"/>
        </w:rPr>
      </w:pPr>
      <w:r w:rsidRPr="00405303">
        <w:rPr>
          <w:bCs/>
          <w:color w:val="002060"/>
          <w:sz w:val="16"/>
          <w:szCs w:val="16"/>
        </w:rPr>
        <w:t>Обратясь к рассмотрению причин создавшегося грозного положения, Особое Совещание нашло, что в основе вышеупомянутых явлений лежит некоординированность деятельности фронта и тыла в области. Частью же уголь отпускается из запасов заводов военного ведомства.</w:t>
      </w:r>
    </w:p>
    <w:p w14:paraId="1198A7CF" w14:textId="77777777" w:rsidR="00C16F20" w:rsidRPr="00405303" w:rsidRDefault="00C16F20" w:rsidP="00C15251">
      <w:pPr>
        <w:jc w:val="both"/>
        <w:rPr>
          <w:bCs/>
          <w:color w:val="002060"/>
          <w:sz w:val="16"/>
          <w:szCs w:val="16"/>
        </w:rPr>
      </w:pPr>
      <w:r w:rsidRPr="00405303">
        <w:rPr>
          <w:bCs/>
          <w:color w:val="002060"/>
          <w:sz w:val="16"/>
          <w:szCs w:val="16"/>
        </w:rPr>
        <w:t xml:space="preserve">перевозок. С начала войны вся железнодорожная сеть оказалась разделенной на два совершенно не зависимых </w:t>
      </w:r>
      <w:proofErr w:type="gramStart"/>
      <w:r w:rsidRPr="00405303">
        <w:rPr>
          <w:bCs/>
          <w:color w:val="002060"/>
          <w:sz w:val="16"/>
          <w:szCs w:val="16"/>
        </w:rPr>
        <w:t>друг,от</w:t>
      </w:r>
      <w:proofErr w:type="gramEnd"/>
      <w:r w:rsidRPr="00405303">
        <w:rPr>
          <w:bCs/>
          <w:color w:val="002060"/>
          <w:sz w:val="16"/>
          <w:szCs w:val="16"/>
        </w:rPr>
        <w:t xml:space="preserve"> друга района, а именно: район вне театра военных действий, подчиненный министру путей сообщения, и район театра военных действий, подчиненный властям полевого управления. Последствием такового разъединения явилось прежде всего нарушение правильного круговорота вагонов, без коего невозможно рациональное использование железнодорожной сети. Вагоны, подаваемые на фронт, не возвращались в надлежащем количестве обратно, что создало, с одной стороны, столь огромное скопление вагонов на фронте, что ввиду невозможности проталкивания их нередко приходилось сваливать под откосы; с другой же стороны, возникло обеднение вагонами тыла, приведшее, в частности, к невозможности вывоза угля из Донецкого бассейна. Но независимо от некоординированности действий железнодорожных властей тыла и фронта и в пределах театра военных действий не было до последнего времени в достаточной мере централизованной системы управления железнодорожной сетью. </w:t>
      </w:r>
      <w:proofErr w:type="gramStart"/>
      <w:r w:rsidRPr="00405303">
        <w:rPr>
          <w:bCs/>
          <w:color w:val="002060"/>
          <w:sz w:val="16"/>
          <w:szCs w:val="16"/>
        </w:rPr>
        <w:t>Лишь Высочайше</w:t>
      </w:r>
      <w:proofErr w:type="gramEnd"/>
      <w:r w:rsidRPr="00405303">
        <w:rPr>
          <w:bCs/>
          <w:color w:val="002060"/>
          <w:sz w:val="16"/>
          <w:szCs w:val="16"/>
        </w:rPr>
        <w:t xml:space="preserve"> утвержденное 18 сентября сего года положение поставило во главе железнодорожной сети фронта особое управление путей сообщения, укомплектованное инженерами путей сообщения, но, согласно имеющимся данным, действие нового положения фактически не распространено на Юго-Западный фронт, чем значение новой меры совершенно парализуется.</w:t>
      </w:r>
    </w:p>
    <w:p w14:paraId="286A6181" w14:textId="77777777" w:rsidR="00C16F20" w:rsidRPr="00405303" w:rsidRDefault="00C16F20" w:rsidP="00C15251">
      <w:pPr>
        <w:jc w:val="both"/>
        <w:rPr>
          <w:bCs/>
          <w:color w:val="002060"/>
          <w:sz w:val="16"/>
          <w:szCs w:val="16"/>
        </w:rPr>
      </w:pPr>
      <w:r w:rsidRPr="00405303">
        <w:rPr>
          <w:bCs/>
          <w:color w:val="002060"/>
          <w:sz w:val="16"/>
          <w:szCs w:val="16"/>
        </w:rPr>
        <w:t>Основываясь на изложенном и приняв во внимание сообщенное Председателем Особого Совещания письмо министра торговли и промышленности, в коем князь Шаховской указывает, что за невозможностью обеспечения Петрограда достаточным количеством топлива вследствие расстройства транспорта представлялось бы вследствие сего необходимым обсудить вопрос о прекращении выдачи в Петроград новых заказов на оборону и даже о приостановке уже исполняемых заказов, - Особое Совещание признало создавшееся положение в области перевозок катастрофическим и высказалось за необходимость безотлагательного принятия в этой области самых решительных мер. Прежде всего Особое Совещание полагало бы необходимым достигнуть в самом непродолжительном времени полного согласовании и объединения деятельности властей фронта и тыла в области перевозок. Затем Особое Совещание наметило нижеследующий ряд мероприятий, подлежащих немедленному осуществлению: а) прекращение или сокращение деятельности некоторых предприятий, не работающих на государственную оборону, б) разгрузка Петрограда от излишнего населения и лечебных заведений, в) урегулирование подвоза к Петрограду различных предметов и материалов и г) разработка вопроса о нормировке потребления населением Петрограда различных продуктов.</w:t>
      </w:r>
    </w:p>
    <w:p w14:paraId="142B5946" w14:textId="77777777" w:rsidR="00C16F20" w:rsidRPr="00405303" w:rsidRDefault="00C16F20" w:rsidP="00C15251">
      <w:pPr>
        <w:jc w:val="both"/>
        <w:rPr>
          <w:bCs/>
          <w:color w:val="002060"/>
          <w:sz w:val="16"/>
          <w:szCs w:val="16"/>
        </w:rPr>
      </w:pPr>
      <w:r w:rsidRPr="00405303">
        <w:rPr>
          <w:bCs/>
          <w:color w:val="002060"/>
          <w:sz w:val="16"/>
          <w:szCs w:val="16"/>
        </w:rPr>
        <w:t>Остановившись, в частности, на проектируемом министром торговли и промышленности приостановлении исполнения заказов на оборону, Особое Совещание признало такую меру явно неприемлемой и, напротив, разделило мнение генерала от инфантерии Мышлаевского, высказавшегося за необходимость поручения какому-либо вполне авторитетному лицу выяснения, какие именно заводы должны быть признаны ненужными с точки зрения интересов государственной обороны на предмет лишения таковых заводов минерального топлива и электрической энергии.</w:t>
      </w:r>
    </w:p>
    <w:p w14:paraId="5E0C89E0" w14:textId="77777777" w:rsidR="00C16F20" w:rsidRPr="00405303" w:rsidRDefault="00C16F20" w:rsidP="00C15251">
      <w:pPr>
        <w:jc w:val="both"/>
        <w:rPr>
          <w:bCs/>
          <w:color w:val="002060"/>
          <w:sz w:val="16"/>
          <w:szCs w:val="16"/>
        </w:rPr>
      </w:pPr>
      <w:r w:rsidRPr="00405303">
        <w:rPr>
          <w:bCs/>
          <w:color w:val="002060"/>
          <w:sz w:val="16"/>
          <w:szCs w:val="16"/>
        </w:rPr>
        <w:t>Члены Особого Совещания М. В. Родзянко и П. Н. Крупенский высказали по поводу раскрывшейся картины расстройства перевозок, что представлялось бы необходимым доложить ввиду исключительной важности настоящего вопроса о положении сего дела ЕГО ИМПЕРАТОРСКОМУ ВЕЛИЧЕСТВУ и просить ЕГО ИМПЕРАТОРСКОЕ ВЕЛИЧЕСТВО соизволить принять председательствование в заседании Особого Совещания, имеющем быть посвященным обсуждению этого вопроса.</w:t>
      </w:r>
    </w:p>
    <w:p w14:paraId="2212401A" w14:textId="77777777" w:rsidR="00C16F20" w:rsidRPr="00405303" w:rsidRDefault="00C16F20" w:rsidP="00C15251">
      <w:pPr>
        <w:jc w:val="both"/>
        <w:rPr>
          <w:bCs/>
          <w:color w:val="002060"/>
          <w:sz w:val="16"/>
          <w:szCs w:val="16"/>
        </w:rPr>
      </w:pPr>
      <w:r w:rsidRPr="00405303">
        <w:rPr>
          <w:bCs/>
          <w:color w:val="002060"/>
          <w:sz w:val="16"/>
          <w:szCs w:val="16"/>
        </w:rPr>
        <w:t>Особое Совещание вполне разделило изложенное мнение.</w:t>
      </w:r>
    </w:p>
    <w:p w14:paraId="3131E43D" w14:textId="77777777" w:rsidR="00C16F20" w:rsidRPr="00405303" w:rsidRDefault="00C16F20" w:rsidP="00C15251">
      <w:pPr>
        <w:jc w:val="both"/>
        <w:rPr>
          <w:bCs/>
          <w:color w:val="002060"/>
          <w:sz w:val="16"/>
          <w:szCs w:val="16"/>
        </w:rPr>
      </w:pPr>
      <w:r w:rsidRPr="00405303">
        <w:rPr>
          <w:bCs/>
          <w:color w:val="002060"/>
          <w:sz w:val="16"/>
          <w:szCs w:val="16"/>
        </w:rPr>
        <w:t>В заключение председатель подготовительной комиссии по артиллерийским вопросам С. И. Тимашев доложил Особому Совещанию выдержки из журнала означенной комиссии, относящиеся к вопросу о затруднениях, возникающих для заводов, работающих на оборону, вследствие призыва военнообязанных рабочих.</w:t>
      </w:r>
    </w:p>
    <w:p w14:paraId="620DB3E0" w14:textId="77777777" w:rsidR="00C16F20" w:rsidRPr="00405303" w:rsidRDefault="00C16F20" w:rsidP="00C15251">
      <w:pPr>
        <w:jc w:val="both"/>
        <w:rPr>
          <w:bCs/>
          <w:color w:val="002060"/>
          <w:sz w:val="16"/>
          <w:szCs w:val="16"/>
        </w:rPr>
      </w:pPr>
      <w:r w:rsidRPr="00405303">
        <w:rPr>
          <w:bCs/>
          <w:color w:val="002060"/>
          <w:sz w:val="16"/>
          <w:szCs w:val="16"/>
        </w:rPr>
        <w:t>Помощник Военного Министра генерал от инфантерии Беляев разъяснил по сему вопросу, что в настоящее время все ходатайства об освобождении от призыва квалифицированных рабочих удовлетворяются.</w:t>
      </w:r>
    </w:p>
    <w:p w14:paraId="42BA8FA9" w14:textId="77777777" w:rsidR="00C16F20" w:rsidRPr="00405303" w:rsidRDefault="00C16F20" w:rsidP="00C15251">
      <w:pPr>
        <w:jc w:val="both"/>
        <w:rPr>
          <w:bCs/>
          <w:color w:val="002060"/>
          <w:sz w:val="16"/>
          <w:szCs w:val="16"/>
        </w:rPr>
      </w:pPr>
      <w:r w:rsidRPr="00405303">
        <w:rPr>
          <w:bCs/>
          <w:color w:val="002060"/>
          <w:sz w:val="16"/>
          <w:szCs w:val="16"/>
        </w:rPr>
        <w:t>При этом, без сомнения, имеют место случаи недостаточно обоснованного освобождения, что, однако, будет исправлено последующей поверкой призывных списков особо учреждаемыми для сего комитетами.</w:t>
      </w:r>
    </w:p>
    <w:p w14:paraId="0A2626D5" w14:textId="77777777" w:rsidR="00C16F20" w:rsidRPr="00405303" w:rsidRDefault="00C16F20" w:rsidP="00C15251">
      <w:pPr>
        <w:jc w:val="both"/>
        <w:rPr>
          <w:bCs/>
          <w:color w:val="002060"/>
          <w:sz w:val="16"/>
          <w:szCs w:val="16"/>
        </w:rPr>
      </w:pPr>
      <w:r w:rsidRPr="00405303">
        <w:rPr>
          <w:bCs/>
          <w:color w:val="002060"/>
          <w:sz w:val="16"/>
          <w:szCs w:val="16"/>
        </w:rPr>
        <w:t>Член Особого Совещания Н. Ф. фон Дитмар высказал по настоящему вопросу, что он считает несоответственной замену на заводах военнообязанных рабочих, призываемых в войска, военнопленными, ибо по окончании войны и освобождения военнопленных заводы окажутся в крайне тяжелом положении. Вместе с сим Н. Ф. фон Дитмар считал бы желательным предупреждать рабочих о предстоящем освобождении за достаточно продолжительный срок перед призывом, ибо в противном случае рабочие накануне самого призыва покидают заводы, отправляясь на родину, и обратное их возращение уже является затруднительным.</w:t>
      </w:r>
    </w:p>
    <w:p w14:paraId="74AC6416" w14:textId="77777777" w:rsidR="00C16F20" w:rsidRPr="00405303" w:rsidRDefault="00C16F20" w:rsidP="00C15251">
      <w:pPr>
        <w:jc w:val="both"/>
        <w:rPr>
          <w:bCs/>
          <w:color w:val="002060"/>
          <w:sz w:val="16"/>
          <w:szCs w:val="16"/>
        </w:rPr>
      </w:pPr>
      <w:r w:rsidRPr="00405303">
        <w:rPr>
          <w:bCs/>
          <w:color w:val="002060"/>
          <w:sz w:val="16"/>
          <w:szCs w:val="16"/>
        </w:rPr>
        <w:t>Председатель Особого Совещания в отношении приведения в исполнение требующих того суждений Особого Совещания решил:</w:t>
      </w:r>
    </w:p>
    <w:p w14:paraId="14888E5D" w14:textId="1B656878" w:rsidR="00C16F20" w:rsidRPr="00405303" w:rsidRDefault="00C16F20" w:rsidP="00C15251">
      <w:pPr>
        <w:jc w:val="both"/>
        <w:rPr>
          <w:bCs/>
          <w:color w:val="002060"/>
          <w:sz w:val="16"/>
          <w:szCs w:val="16"/>
        </w:rPr>
      </w:pPr>
      <w:r w:rsidRPr="00405303">
        <w:rPr>
          <w:bCs/>
          <w:color w:val="002060"/>
          <w:sz w:val="16"/>
          <w:szCs w:val="16"/>
        </w:rPr>
        <w:t>1.</w:t>
      </w:r>
      <w:r w:rsidR="000F5756">
        <w:rPr>
          <w:bCs/>
          <w:color w:val="002060"/>
          <w:sz w:val="16"/>
          <w:szCs w:val="16"/>
        </w:rPr>
        <w:t xml:space="preserve">  </w:t>
      </w:r>
      <w:r w:rsidRPr="00405303">
        <w:rPr>
          <w:bCs/>
          <w:color w:val="002060"/>
          <w:sz w:val="16"/>
          <w:szCs w:val="16"/>
        </w:rPr>
        <w:t>Утвердить доклад подготовительной комиссии по артиллерийским вопросам о предложении торгового дома «Гольстрем и Тунельд» на поставку 48-лин. шрапнелей.</w:t>
      </w:r>
    </w:p>
    <w:p w14:paraId="55CA4EB0" w14:textId="5C1F493D" w:rsidR="00C16F20" w:rsidRPr="00405303" w:rsidRDefault="00C16F20" w:rsidP="00C15251">
      <w:pPr>
        <w:jc w:val="both"/>
        <w:rPr>
          <w:bCs/>
          <w:color w:val="002060"/>
          <w:sz w:val="16"/>
          <w:szCs w:val="16"/>
        </w:rPr>
      </w:pPr>
      <w:r w:rsidRPr="00405303">
        <w:rPr>
          <w:bCs/>
          <w:color w:val="002060"/>
          <w:sz w:val="16"/>
          <w:szCs w:val="16"/>
        </w:rPr>
        <w:t>2.</w:t>
      </w:r>
      <w:r w:rsidR="000F5756">
        <w:rPr>
          <w:bCs/>
          <w:color w:val="002060"/>
          <w:sz w:val="16"/>
          <w:szCs w:val="16"/>
        </w:rPr>
        <w:t xml:space="preserve">  </w:t>
      </w:r>
      <w:r w:rsidRPr="00405303">
        <w:rPr>
          <w:bCs/>
          <w:color w:val="002060"/>
          <w:sz w:val="16"/>
          <w:szCs w:val="16"/>
        </w:rPr>
        <w:t xml:space="preserve">Утвердить доклады подготовительной комиссии по общим вопросам: </w:t>
      </w:r>
    </w:p>
    <w:p w14:paraId="4D39AC06" w14:textId="77777777" w:rsidR="00C16F20" w:rsidRPr="00405303" w:rsidRDefault="00C16F20" w:rsidP="00C15251">
      <w:pPr>
        <w:jc w:val="both"/>
        <w:rPr>
          <w:bCs/>
          <w:color w:val="002060"/>
          <w:sz w:val="16"/>
          <w:szCs w:val="16"/>
        </w:rPr>
      </w:pPr>
      <w:r w:rsidRPr="00405303">
        <w:rPr>
          <w:bCs/>
          <w:color w:val="002060"/>
          <w:sz w:val="16"/>
          <w:szCs w:val="16"/>
        </w:rPr>
        <w:t>а) об ассигновании председателю заводского Совещания Екатеринославского района денежных средств на обследование заводов Екатеринославской губернии, б) о выдаче пособия и ссуды Одесскому авиационному заводу «Анатра» на устройство отделения завода в Симферополе, в) о выдаче на льготных условиях аванса вновь устраиваемому в центральной России кабельному заводу А. К. Петичева.</w:t>
      </w:r>
    </w:p>
    <w:p w14:paraId="38894636" w14:textId="400B911C" w:rsidR="00C16F20" w:rsidRPr="00405303" w:rsidRDefault="00C16F20" w:rsidP="00C15251">
      <w:pPr>
        <w:jc w:val="both"/>
        <w:rPr>
          <w:bCs/>
          <w:color w:val="002060"/>
          <w:sz w:val="16"/>
          <w:szCs w:val="16"/>
        </w:rPr>
      </w:pPr>
      <w:r w:rsidRPr="00405303">
        <w:rPr>
          <w:bCs/>
          <w:color w:val="002060"/>
          <w:sz w:val="16"/>
          <w:szCs w:val="16"/>
        </w:rPr>
        <w:t>3.</w:t>
      </w:r>
      <w:r w:rsidR="000F5756">
        <w:rPr>
          <w:bCs/>
          <w:color w:val="002060"/>
          <w:sz w:val="16"/>
          <w:szCs w:val="16"/>
        </w:rPr>
        <w:t xml:space="preserve">  </w:t>
      </w:r>
      <w:r w:rsidRPr="00405303">
        <w:rPr>
          <w:bCs/>
          <w:color w:val="002060"/>
          <w:sz w:val="16"/>
          <w:szCs w:val="16"/>
        </w:rPr>
        <w:t>Утвердить с изложенными в журнале изменениями проект правил о порядке выдачи авансов общественным организациям.</w:t>
      </w:r>
    </w:p>
    <w:p w14:paraId="05574BE7" w14:textId="1E30E6DF" w:rsidR="00C16F20" w:rsidRPr="00405303" w:rsidRDefault="00C16F20" w:rsidP="00C15251">
      <w:pPr>
        <w:jc w:val="both"/>
        <w:rPr>
          <w:bCs/>
          <w:color w:val="002060"/>
          <w:sz w:val="16"/>
          <w:szCs w:val="16"/>
        </w:rPr>
      </w:pPr>
      <w:r w:rsidRPr="00405303">
        <w:rPr>
          <w:bCs/>
          <w:color w:val="002060"/>
          <w:sz w:val="16"/>
          <w:szCs w:val="16"/>
        </w:rPr>
        <w:t>4.</w:t>
      </w:r>
      <w:r w:rsidR="000F5756">
        <w:rPr>
          <w:bCs/>
          <w:color w:val="002060"/>
          <w:sz w:val="16"/>
          <w:szCs w:val="16"/>
        </w:rPr>
        <w:t xml:space="preserve">  </w:t>
      </w:r>
      <w:r w:rsidRPr="00405303">
        <w:rPr>
          <w:bCs/>
          <w:color w:val="002060"/>
          <w:sz w:val="16"/>
          <w:szCs w:val="16"/>
        </w:rPr>
        <w:t>Утвердить на изложенных в журнале основаниях доклад подготовительной комиссии по общим вопросам об устройстве внутри России отделения завода первого Российского товарищества воздухоплавания С. С. Щетинина и К0 и о выдаче ссуды и пособия для осуществления этого предложения.</w:t>
      </w:r>
    </w:p>
    <w:p w14:paraId="01079EEF" w14:textId="33B5C492" w:rsidR="00C16F20" w:rsidRPr="00405303" w:rsidRDefault="00C16F20" w:rsidP="00C15251">
      <w:pPr>
        <w:jc w:val="both"/>
        <w:rPr>
          <w:bCs/>
          <w:color w:val="002060"/>
          <w:sz w:val="16"/>
          <w:szCs w:val="16"/>
        </w:rPr>
      </w:pPr>
      <w:r w:rsidRPr="00405303">
        <w:rPr>
          <w:bCs/>
          <w:color w:val="002060"/>
          <w:sz w:val="16"/>
          <w:szCs w:val="16"/>
        </w:rPr>
        <w:t>5.</w:t>
      </w:r>
      <w:r w:rsidR="000F5756">
        <w:rPr>
          <w:bCs/>
          <w:color w:val="002060"/>
          <w:sz w:val="16"/>
          <w:szCs w:val="16"/>
        </w:rPr>
        <w:t xml:space="preserve">  </w:t>
      </w:r>
      <w:r w:rsidRPr="00405303">
        <w:rPr>
          <w:bCs/>
          <w:color w:val="002060"/>
          <w:sz w:val="16"/>
          <w:szCs w:val="16"/>
        </w:rPr>
        <w:t>Сообщить министру торговли и промышленности высказанные Особым Совещанием соображения по вопросу о мероприятиях, клонящихся к устранению недостатка в топливе, угрожающего предприятиям Петроградского района, работающим на оборону.</w:t>
      </w:r>
    </w:p>
    <w:p w14:paraId="1C68EB47" w14:textId="1E5DD25D" w:rsidR="00C16F20" w:rsidRPr="00405303" w:rsidRDefault="00C16F20" w:rsidP="00C15251">
      <w:pPr>
        <w:jc w:val="both"/>
        <w:rPr>
          <w:bCs/>
          <w:color w:val="002060"/>
          <w:sz w:val="16"/>
          <w:szCs w:val="16"/>
        </w:rPr>
      </w:pPr>
      <w:r w:rsidRPr="00405303">
        <w:rPr>
          <w:bCs/>
          <w:color w:val="002060"/>
          <w:sz w:val="16"/>
          <w:szCs w:val="16"/>
        </w:rPr>
        <w:t>6.</w:t>
      </w:r>
      <w:r w:rsidR="000F5756">
        <w:rPr>
          <w:bCs/>
          <w:color w:val="002060"/>
          <w:sz w:val="16"/>
          <w:szCs w:val="16"/>
        </w:rPr>
        <w:t xml:space="preserve">  </w:t>
      </w:r>
      <w:r w:rsidRPr="00405303">
        <w:rPr>
          <w:bCs/>
          <w:color w:val="002060"/>
          <w:sz w:val="16"/>
          <w:szCs w:val="16"/>
        </w:rPr>
        <w:t>Признать, на основании изложенных в журнале соображений, безотлагательно необходимой разработку вопросов: а) о прекращении или сокращении деятельности некоторых предприятий, не работающих на государственную оборону, б) о разгрузке Петрограда от излишнего населения и лечебных заведений, в) об урегулировании подвоза к Петрограду различных предметов и материалов и г) о нормировке потребления населением Петрограда различных продуктов.</w:t>
      </w:r>
    </w:p>
    <w:p w14:paraId="0016BBF8" w14:textId="711A90BF" w:rsidR="00C16F20" w:rsidRPr="00405303" w:rsidRDefault="00C16F20" w:rsidP="00C15251">
      <w:pPr>
        <w:jc w:val="both"/>
        <w:rPr>
          <w:bCs/>
          <w:color w:val="002060"/>
          <w:sz w:val="16"/>
          <w:szCs w:val="16"/>
        </w:rPr>
      </w:pPr>
      <w:r w:rsidRPr="00405303">
        <w:rPr>
          <w:bCs/>
          <w:color w:val="002060"/>
          <w:sz w:val="16"/>
          <w:szCs w:val="16"/>
        </w:rPr>
        <w:t>7.</w:t>
      </w:r>
      <w:r w:rsidR="000F5756">
        <w:rPr>
          <w:bCs/>
          <w:color w:val="002060"/>
          <w:sz w:val="16"/>
          <w:szCs w:val="16"/>
        </w:rPr>
        <w:t xml:space="preserve">  </w:t>
      </w:r>
      <w:r w:rsidRPr="00405303">
        <w:rPr>
          <w:bCs/>
          <w:color w:val="002060"/>
          <w:sz w:val="16"/>
          <w:szCs w:val="16"/>
        </w:rPr>
        <w:t>Отпустить немедленно из военного фонда 21 500 руб. в распоряжение уполномоченного Особого Совещания по Екатеринославскому району на расходы по обследованию заводов Екатеринославской губернии.</w:t>
      </w:r>
    </w:p>
    <w:p w14:paraId="0335C86A" w14:textId="35E7587E" w:rsidR="00C16F20" w:rsidRPr="00405303" w:rsidRDefault="00C16F20" w:rsidP="00C15251">
      <w:pPr>
        <w:jc w:val="both"/>
        <w:rPr>
          <w:bCs/>
          <w:color w:val="002060"/>
          <w:sz w:val="16"/>
          <w:szCs w:val="16"/>
        </w:rPr>
      </w:pPr>
      <w:r w:rsidRPr="00405303">
        <w:rPr>
          <w:bCs/>
          <w:color w:val="002060"/>
          <w:sz w:val="16"/>
          <w:szCs w:val="16"/>
        </w:rPr>
        <w:t>8.</w:t>
      </w:r>
      <w:r w:rsidR="000F5756">
        <w:rPr>
          <w:bCs/>
          <w:color w:val="002060"/>
          <w:sz w:val="16"/>
          <w:szCs w:val="16"/>
        </w:rPr>
        <w:t xml:space="preserve">  </w:t>
      </w:r>
      <w:r w:rsidRPr="00405303">
        <w:rPr>
          <w:bCs/>
          <w:color w:val="002060"/>
          <w:sz w:val="16"/>
          <w:szCs w:val="16"/>
        </w:rPr>
        <w:t>Предложить главному военно-техническому управлению при заключении контрактов с фирмами «Анатра» и Щетинин и К° принимать во внимание необходимость уменьшения контрактных цен в соответствии с предоставляемыми означенным фирмам льготами, выражающимися в выдаче им пособий и ссуд.</w:t>
      </w:r>
    </w:p>
    <w:p w14:paraId="415645E4" w14:textId="77777777" w:rsidR="00C16F20" w:rsidRPr="00405303" w:rsidRDefault="00C16F20" w:rsidP="00C15251">
      <w:pPr>
        <w:jc w:val="both"/>
        <w:rPr>
          <w:bCs/>
          <w:color w:val="002060"/>
          <w:sz w:val="16"/>
          <w:szCs w:val="16"/>
        </w:rPr>
      </w:pPr>
      <w:r w:rsidRPr="00405303">
        <w:rPr>
          <w:bCs/>
          <w:color w:val="002060"/>
          <w:sz w:val="16"/>
          <w:szCs w:val="16"/>
        </w:rPr>
        <w:t>Подлинный журнал за надлежащими подписями.</w:t>
      </w:r>
    </w:p>
    <w:p w14:paraId="25C40E3C" w14:textId="77777777" w:rsidR="00C16F20" w:rsidRPr="00405303" w:rsidRDefault="00C16F20" w:rsidP="00C15251">
      <w:pPr>
        <w:jc w:val="both"/>
        <w:rPr>
          <w:bCs/>
          <w:color w:val="002060"/>
          <w:sz w:val="16"/>
          <w:szCs w:val="16"/>
        </w:rPr>
      </w:pPr>
      <w:r w:rsidRPr="00405303">
        <w:rPr>
          <w:bCs/>
          <w:color w:val="002060"/>
          <w:sz w:val="16"/>
          <w:szCs w:val="16"/>
        </w:rPr>
        <w:t>С подлинным верно: делопроизводитель Л. Тяжелое.</w:t>
      </w:r>
    </w:p>
    <w:p w14:paraId="6D62C7A5" w14:textId="77777777" w:rsidR="00C16F20" w:rsidRPr="00405303" w:rsidRDefault="00C16F20" w:rsidP="00C15251">
      <w:pPr>
        <w:jc w:val="both"/>
        <w:rPr>
          <w:bCs/>
          <w:color w:val="002060"/>
          <w:sz w:val="16"/>
          <w:szCs w:val="16"/>
        </w:rPr>
      </w:pPr>
      <w:r w:rsidRPr="00405303">
        <w:rPr>
          <w:bCs/>
          <w:color w:val="002060"/>
          <w:sz w:val="16"/>
          <w:szCs w:val="16"/>
        </w:rPr>
        <w:lastRenderedPageBreak/>
        <w:t>Сверял: за делопроизводителя (20987).</w:t>
      </w:r>
    </w:p>
    <w:p w14:paraId="0191F976" w14:textId="77777777" w:rsidR="00C16F20" w:rsidRPr="00405303" w:rsidRDefault="00C16F20" w:rsidP="00C15251">
      <w:pPr>
        <w:jc w:val="both"/>
        <w:rPr>
          <w:bCs/>
          <w:color w:val="002060"/>
          <w:sz w:val="16"/>
          <w:szCs w:val="16"/>
        </w:rPr>
      </w:pPr>
    </w:p>
    <w:p w14:paraId="3104ACF1" w14:textId="77777777" w:rsidR="005C4C47" w:rsidRPr="00405303" w:rsidRDefault="005C4C47" w:rsidP="00C15251">
      <w:pPr>
        <w:shd w:val="clear" w:color="auto" w:fill="FFFFFF"/>
        <w:jc w:val="both"/>
        <w:rPr>
          <w:bCs/>
          <w:i/>
          <w:color w:val="002060"/>
          <w:sz w:val="16"/>
          <w:szCs w:val="16"/>
        </w:rPr>
      </w:pPr>
      <w:r w:rsidRPr="00405303">
        <w:rPr>
          <w:bCs/>
          <w:i/>
          <w:color w:val="002060"/>
          <w:sz w:val="16"/>
          <w:szCs w:val="16"/>
        </w:rPr>
        <w:t>Авиация:</w:t>
      </w:r>
    </w:p>
    <w:p w14:paraId="1B6B66A8" w14:textId="77777777" w:rsidR="005C4C47" w:rsidRPr="00405303" w:rsidRDefault="005C4C47" w:rsidP="00C15251">
      <w:pPr>
        <w:shd w:val="clear" w:color="auto" w:fill="FFFFFF"/>
        <w:jc w:val="both"/>
        <w:rPr>
          <w:bCs/>
          <w:i/>
          <w:color w:val="002060"/>
          <w:sz w:val="16"/>
          <w:szCs w:val="16"/>
        </w:rPr>
      </w:pPr>
    </w:p>
    <w:p w14:paraId="79CC19BC" w14:textId="41C0DAA5" w:rsidR="0009532D" w:rsidRPr="00405303" w:rsidRDefault="0009532D" w:rsidP="00C15251">
      <w:pPr>
        <w:jc w:val="both"/>
        <w:rPr>
          <w:bCs/>
          <w:color w:val="002060"/>
          <w:sz w:val="16"/>
          <w:szCs w:val="16"/>
        </w:rPr>
      </w:pPr>
      <w:r w:rsidRPr="00405303">
        <w:rPr>
          <w:bCs/>
          <w:color w:val="002060"/>
          <w:sz w:val="16"/>
          <w:szCs w:val="16"/>
          <w:lang w:bidi="en-US"/>
        </w:rPr>
        <w:t>11 (24) ноября 1915 г. АВИАКАНЦ передал в Ставку доклад о предполагаемой организации авиации в армии. В нем говорилось, что:</w:t>
      </w:r>
    </w:p>
    <w:p w14:paraId="260435AA" w14:textId="77777777" w:rsidR="0009532D" w:rsidRPr="00405303" w:rsidRDefault="0009532D" w:rsidP="00C15251">
      <w:pPr>
        <w:jc w:val="both"/>
        <w:rPr>
          <w:bCs/>
          <w:color w:val="002060"/>
          <w:sz w:val="16"/>
          <w:szCs w:val="16"/>
        </w:rPr>
      </w:pPr>
      <w:r w:rsidRPr="00405303">
        <w:rPr>
          <w:bCs/>
          <w:color w:val="002060"/>
          <w:sz w:val="16"/>
          <w:szCs w:val="16"/>
          <w:lang w:bidi="en-US"/>
        </w:rPr>
        <w:t>Каждый корпус (35) должен иметь КАО с шестью самолетами. Каждая армия (10) должна иметь один полевой АО. В каждом кавалерийском корпусе (10) должно быть по одному отряду легковозимых самолетов. Все упомянутые выше отряды численностью около 55 должны базироваться на ротных авиационных мастерских и складах для снабжения бензином и маслом, а также ремонта самолетов. Всего должно было быть девять компаний.</w:t>
      </w:r>
    </w:p>
    <w:p w14:paraId="0A8B71AF" w14:textId="77777777" w:rsidR="0009532D" w:rsidRPr="00405303" w:rsidRDefault="0009532D" w:rsidP="00C15251">
      <w:pPr>
        <w:jc w:val="both"/>
        <w:rPr>
          <w:bCs/>
          <w:color w:val="002060"/>
          <w:sz w:val="16"/>
          <w:szCs w:val="16"/>
        </w:rPr>
      </w:pPr>
      <w:r w:rsidRPr="00405303">
        <w:rPr>
          <w:bCs/>
          <w:color w:val="002060"/>
          <w:sz w:val="16"/>
          <w:szCs w:val="16"/>
          <w:lang w:bidi="en-US"/>
        </w:rPr>
        <w:t>К началу войны была сформирована лишь часть этих частей, а именно 30 КАО, восемь крепостных АО и одна полевая АО, всего 39 единиц. Было сформировано шесть авиационных рот. В ходе войны были сформированы следующие новые части или изменены существующие части: все крепостные АО были преобразованы в КАО; количество КАО доведено до 42; количество армейских АО доведено до шести; количество авиационных рот было доведено до семи, а их штат увеличен так, чтобы каждая рота могла обслуживать две армии, создав две автономные подвижные базы с легкими магазинами.</w:t>
      </w:r>
    </w:p>
    <w:p w14:paraId="2294FF86" w14:textId="77777777" w:rsidR="0009532D" w:rsidRPr="00405303" w:rsidRDefault="0009532D" w:rsidP="00C15251">
      <w:pPr>
        <w:jc w:val="both"/>
        <w:rPr>
          <w:bCs/>
          <w:color w:val="002060"/>
          <w:sz w:val="16"/>
          <w:szCs w:val="16"/>
        </w:rPr>
      </w:pPr>
      <w:r w:rsidRPr="00405303">
        <w:rPr>
          <w:bCs/>
          <w:color w:val="002060"/>
          <w:sz w:val="16"/>
          <w:szCs w:val="16"/>
          <w:lang w:bidi="en-US"/>
        </w:rPr>
        <w:t>Количество резервных самолетов в авиаотрядах было увеличено таким образом, что в каждом отряде имелось по шесть исправных машин, а еще шесть находились в резерве на базах. Для возможности формирования новых авиационных отрядов и восполнения потерь была усилена деятельность двух авиашкол, что позволило довести количество КАО до 61, армейских АО до 12, специальных частей для фронта до трех и довести количество КАО до 12. образуют два крепостных АО. Общее количество отрядов предлагается увеличить до 76, т. е. сформировать 28 новых частей.</w:t>
      </w:r>
    </w:p>
    <w:p w14:paraId="491B6CF4" w14:textId="77777777" w:rsidR="0009532D" w:rsidRPr="00405303" w:rsidRDefault="0009532D" w:rsidP="00C15251">
      <w:pPr>
        <w:jc w:val="both"/>
        <w:rPr>
          <w:bCs/>
          <w:color w:val="002060"/>
          <w:sz w:val="16"/>
          <w:szCs w:val="16"/>
        </w:rPr>
      </w:pPr>
      <w:r w:rsidRPr="00405303">
        <w:rPr>
          <w:bCs/>
          <w:color w:val="002060"/>
          <w:sz w:val="16"/>
          <w:szCs w:val="16"/>
          <w:lang w:bidi="en-US"/>
        </w:rPr>
        <w:t>Организация работы авиационных отрядов следующая: КАО, приданные корпусам, объединяются в авиагруппы в каждой армии, подчиняются начальнику штаба армии, в боевых вопросах объединяют усилия. Группу возглавляет офицер Ставки. Исключение составляют отдельные участки фронта, где из-за широкого фронта авиационные отряды подчиняются начальнику штаба корпуса. В техническом отношении армейские отряды подчиняются командующему базой при армии.</w:t>
      </w:r>
    </w:p>
    <w:p w14:paraId="3C2FAC1A" w14:textId="77777777" w:rsidR="0009532D" w:rsidRPr="00405303" w:rsidRDefault="0009532D" w:rsidP="00C15251">
      <w:pPr>
        <w:jc w:val="both"/>
        <w:rPr>
          <w:bCs/>
          <w:color w:val="002060"/>
          <w:sz w:val="16"/>
          <w:szCs w:val="16"/>
        </w:rPr>
      </w:pPr>
      <w:r w:rsidRPr="00405303">
        <w:rPr>
          <w:bCs/>
          <w:color w:val="002060"/>
          <w:sz w:val="16"/>
          <w:szCs w:val="16"/>
          <w:lang w:bidi="en-US"/>
        </w:rPr>
        <w:t>Авиационные роты, расположенные в тылу, вместе с генеральным цехом и складом создают передовую подвижную базу с легкими магазинами для каждой армии. На случай, если фронт выдвинется вперед или отступит, та же рота создает дополнительные подвижные базы между передовой подвижной базой и ротным складом. Авиационные роты подчиняются начальникам фронтового инженерного снабжения и питаются от Центрального аэронавигационного депо в Петрограде.</w:t>
      </w:r>
    </w:p>
    <w:p w14:paraId="0BEA24A9" w14:textId="77777777" w:rsidR="0009532D" w:rsidRPr="00405303" w:rsidRDefault="0009532D" w:rsidP="00C15251">
      <w:pPr>
        <w:jc w:val="both"/>
        <w:rPr>
          <w:bCs/>
          <w:color w:val="002060"/>
          <w:sz w:val="16"/>
          <w:szCs w:val="16"/>
        </w:rPr>
      </w:pPr>
      <w:r w:rsidRPr="00405303">
        <w:rPr>
          <w:bCs/>
          <w:color w:val="002060"/>
          <w:sz w:val="16"/>
          <w:szCs w:val="16"/>
          <w:lang w:bidi="en-US"/>
        </w:rPr>
        <w:t>Во время войны в сухопутных войсках был создан Авиационный и воздухоплавательный исполнительный комитет (АВИАДАРМ) для равномерного распределения авиационных запасов и изучения всех новых потребностей. Помимо данных об организации авиационных отрядов, ЭВК формировался в годы войны. ЭВК состоит из штаба эскадрильи, цехов, депо и десяти отрядов ИМ. Они направлены на ведение глубокой разведки в тылу противника, уничтожение важных военных сооружений, бомбардировку резервов, транспорта и подвижного состава противника, уничтожение воздушного флота противника.</w:t>
      </w:r>
    </w:p>
    <w:p w14:paraId="308D1840" w14:textId="77777777" w:rsidR="0009532D" w:rsidRPr="00405303" w:rsidRDefault="0009532D" w:rsidP="00C15251">
      <w:pPr>
        <w:jc w:val="both"/>
        <w:rPr>
          <w:bCs/>
          <w:color w:val="002060"/>
          <w:sz w:val="16"/>
          <w:szCs w:val="16"/>
        </w:rPr>
      </w:pPr>
      <w:r w:rsidRPr="00405303">
        <w:rPr>
          <w:bCs/>
          <w:color w:val="002060"/>
          <w:sz w:val="16"/>
          <w:szCs w:val="16"/>
          <w:lang w:bidi="en-US"/>
        </w:rPr>
        <w:t>Что касается воздухоплавательной организации, то в настоящее время мы имеем следующее: 27 полевых воздухоплавательных рот, снабженных привязными воздушными змеями в количестве, достаточном для одновременной работы двух наблюдательных постов. Полевые авиационные роты подчиняются непосредственно батареям тяжелой артиллерии, по одной роте на батарею (23525).</w:t>
      </w:r>
    </w:p>
    <w:p w14:paraId="2FE81336" w14:textId="77777777" w:rsidR="0009532D" w:rsidRPr="00405303" w:rsidRDefault="0009532D" w:rsidP="00C15251">
      <w:pPr>
        <w:jc w:val="both"/>
        <w:rPr>
          <w:bCs/>
          <w:color w:val="002060"/>
          <w:sz w:val="16"/>
          <w:szCs w:val="16"/>
          <w:lang w:bidi="en-US"/>
        </w:rPr>
      </w:pPr>
    </w:p>
    <w:p w14:paraId="024DEAFD" w14:textId="6035CF4F" w:rsidR="005C4C47" w:rsidRPr="00405303" w:rsidRDefault="005C4C47" w:rsidP="00C15251">
      <w:pPr>
        <w:jc w:val="both"/>
        <w:rPr>
          <w:bCs/>
          <w:color w:val="002060"/>
          <w:sz w:val="16"/>
          <w:szCs w:val="16"/>
        </w:rPr>
      </w:pPr>
      <w:r w:rsidRPr="00405303">
        <w:rPr>
          <w:bCs/>
          <w:color w:val="002060"/>
          <w:sz w:val="16"/>
          <w:szCs w:val="16"/>
        </w:rPr>
        <w:t xml:space="preserve">11 </w:t>
      </w:r>
      <w:r w:rsidR="003770D9" w:rsidRPr="00405303">
        <w:rPr>
          <w:bCs/>
          <w:color w:val="002060"/>
          <w:sz w:val="16"/>
          <w:szCs w:val="16"/>
        </w:rPr>
        <w:t xml:space="preserve">(24) </w:t>
      </w:r>
      <w:r w:rsidRPr="00405303">
        <w:rPr>
          <w:bCs/>
          <w:color w:val="002060"/>
          <w:sz w:val="16"/>
          <w:szCs w:val="16"/>
        </w:rPr>
        <w:t>ноября 1915 г. Приказом Ставки при Эскадре воздушных кораблей была учреждена школа для обучения полетам на самолетах «Илья Муромец». Таким образом, в течение двух месяцев открылись пять авиашкол (19566).</w:t>
      </w:r>
    </w:p>
    <w:p w14:paraId="023CA8FB" w14:textId="77777777" w:rsidR="005C4C47" w:rsidRPr="00405303" w:rsidRDefault="005C4C47" w:rsidP="00C15251">
      <w:pPr>
        <w:jc w:val="both"/>
        <w:rPr>
          <w:bCs/>
          <w:color w:val="002060"/>
          <w:sz w:val="16"/>
          <w:szCs w:val="16"/>
        </w:rPr>
      </w:pPr>
    </w:p>
    <w:p w14:paraId="0012A180" w14:textId="77777777" w:rsidR="00197CE4" w:rsidRPr="00B52707" w:rsidRDefault="00197CE4" w:rsidP="00197CE4">
      <w:pPr>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 xml:space="preserve">11 (24 ноября) 1915 г. германский «Альбатрос», атакованный нашими аэропланами, был вынужден «после долгих стараний пробиться и опуститься на озеро. Подоспевшие через час казаки нашли обоих летчиков замерзшими» (25135). </w:t>
      </w:r>
    </w:p>
    <w:p w14:paraId="65CA5096" w14:textId="77777777" w:rsidR="00197CE4" w:rsidRPr="00B52707" w:rsidRDefault="00197CE4" w:rsidP="00197CE4">
      <w:pPr>
        <w:jc w:val="both"/>
        <w:rPr>
          <w:rStyle w:val="aa"/>
          <w:rFonts w:ascii="Times New Roman" w:hAnsi="Times New Roman"/>
          <w:color w:val="0070C0"/>
          <w:spacing w:val="0"/>
          <w:sz w:val="16"/>
          <w:szCs w:val="16"/>
        </w:rPr>
      </w:pPr>
    </w:p>
    <w:p w14:paraId="6C2B5A15"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562BD19B" w14:textId="0B5EF526" w:rsidR="004B4E35" w:rsidRPr="00405303" w:rsidRDefault="004B4E35" w:rsidP="00C15251">
      <w:pPr>
        <w:pStyle w:val="a3"/>
        <w:jc w:val="both"/>
        <w:rPr>
          <w:bCs/>
          <w:color w:val="002060"/>
          <w:spacing w:val="0"/>
          <w:kern w:val="0"/>
          <w:position w:val="0"/>
          <w:sz w:val="16"/>
          <w:szCs w:val="16"/>
        </w:rPr>
      </w:pPr>
    </w:p>
    <w:p w14:paraId="54EF786A" w14:textId="6FA7E87C" w:rsidR="003770D9" w:rsidRPr="00405303" w:rsidRDefault="003770D9" w:rsidP="00C15251">
      <w:pPr>
        <w:pStyle w:val="a3"/>
        <w:jc w:val="both"/>
        <w:rPr>
          <w:bCs/>
          <w:i w:val="0"/>
          <w:iCs/>
          <w:color w:val="002060"/>
          <w:spacing w:val="0"/>
          <w:kern w:val="0"/>
          <w:position w:val="0"/>
          <w:sz w:val="16"/>
          <w:szCs w:val="16"/>
        </w:rPr>
      </w:pPr>
      <w:r w:rsidRPr="00405303">
        <w:rPr>
          <w:bCs/>
          <w:i w:val="0"/>
          <w:iCs/>
          <w:color w:val="002060"/>
          <w:spacing w:val="0"/>
          <w:kern w:val="0"/>
          <w:position w:val="0"/>
          <w:sz w:val="16"/>
          <w:szCs w:val="16"/>
        </w:rPr>
        <w:t>12 (25) ноября 1815 г. был подписан заказ на М-5</w:t>
      </w:r>
    </w:p>
    <w:p w14:paraId="6A1514E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Вряд ли будет ошибкой сказать, что как патрульный аппарат небольшого радиуса действия «пятер</w:t>
      </w:r>
      <w:r w:rsidRPr="00405303">
        <w:rPr>
          <w:bCs/>
          <w:color w:val="002060"/>
          <w:sz w:val="16"/>
          <w:szCs w:val="16"/>
        </w:rPr>
        <w:softHyphen/>
        <w:t>ка» оказалась весьма эффективным видом авиационного вооружения флота: при своей относительной дешевизне она демонстрировала полную пригодность к выполнению возложенных задач, особенно в тех районах черноморского театра, где не встречала активного противодействия авиации противника. В этом своем качестве машина могла успешно летать не только до 1918 г., но и далее, чему есть примеры в хронике Гражданской войны. Еще одной сферой удачного применения модели стали учебные подразде</w:t>
      </w:r>
      <w:r w:rsidRPr="00405303">
        <w:rPr>
          <w:bCs/>
          <w:color w:val="002060"/>
          <w:sz w:val="16"/>
          <w:szCs w:val="16"/>
        </w:rPr>
        <w:softHyphen/>
        <w:t>ления, с которыми гидроаэропланы типа М-5 прошли долгий путь, начиная с лета 1915г., открыв небо многим стремившимся к нему людям. В общем, в период с 10 июля 1915 г. по 20 июня 1917г. Черномор</w:t>
      </w:r>
      <w:r w:rsidRPr="00405303">
        <w:rPr>
          <w:bCs/>
          <w:color w:val="002060"/>
          <w:sz w:val="16"/>
          <w:szCs w:val="16"/>
        </w:rPr>
        <w:softHyphen/>
        <w:t>ский флот принял 71 летающую лодку М-5, а около 60 машин данного типа достались морским авиашко</w:t>
      </w:r>
      <w:r w:rsidRPr="00405303">
        <w:rPr>
          <w:bCs/>
          <w:color w:val="002060"/>
          <w:sz w:val="16"/>
          <w:szCs w:val="16"/>
        </w:rPr>
        <w:softHyphen/>
        <w:t>лам; с июня 1915 г. по декабрь 1917г. полное число принятых военно-морскими силами М-5 составило, по крайней мере, 1?3 аппарата, но некоторые из них изначально изготовлялись как запасные.</w:t>
      </w:r>
    </w:p>
    <w:p w14:paraId="45D0BE5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4B4E35" w:rsidRPr="00405303" w14:paraId="16EEEC90" w14:textId="77777777">
        <w:tc>
          <w:tcPr>
            <w:tcW w:w="1548" w:type="dxa"/>
            <w:shd w:val="clear" w:color="auto" w:fill="FFFFFF"/>
          </w:tcPr>
          <w:p w14:paraId="7422B4D8" w14:textId="77777777" w:rsidR="004B4E35" w:rsidRPr="00405303" w:rsidRDefault="009E6F82" w:rsidP="00C15251">
            <w:pPr>
              <w:jc w:val="both"/>
              <w:rPr>
                <w:bCs/>
                <w:color w:val="002060"/>
                <w:sz w:val="16"/>
                <w:szCs w:val="16"/>
              </w:rPr>
            </w:pPr>
            <w:r w:rsidRPr="00405303">
              <w:rPr>
                <w:bCs/>
                <w:color w:val="002060"/>
                <w:sz w:val="16"/>
                <w:szCs w:val="16"/>
              </w:rPr>
              <w:t>Дата контракта</w:t>
            </w:r>
          </w:p>
        </w:tc>
        <w:tc>
          <w:tcPr>
            <w:tcW w:w="1170" w:type="dxa"/>
            <w:shd w:val="clear" w:color="auto" w:fill="FFFFFF"/>
          </w:tcPr>
          <w:p w14:paraId="7280A6DF" w14:textId="77777777" w:rsidR="004B4E35" w:rsidRPr="00405303" w:rsidRDefault="009E6F82" w:rsidP="00C15251">
            <w:pPr>
              <w:jc w:val="both"/>
              <w:rPr>
                <w:bCs/>
                <w:color w:val="002060"/>
                <w:sz w:val="16"/>
                <w:szCs w:val="16"/>
              </w:rPr>
            </w:pPr>
            <w:r w:rsidRPr="00405303">
              <w:rPr>
                <w:bCs/>
                <w:color w:val="002060"/>
                <w:sz w:val="16"/>
                <w:szCs w:val="16"/>
              </w:rPr>
              <w:t>Число заказанных аэропланов</w:t>
            </w:r>
          </w:p>
        </w:tc>
        <w:tc>
          <w:tcPr>
            <w:tcW w:w="6858" w:type="dxa"/>
            <w:shd w:val="clear" w:color="auto" w:fill="FFFFFF"/>
          </w:tcPr>
          <w:p w14:paraId="4C8EA223" w14:textId="77777777" w:rsidR="004B4E35" w:rsidRPr="00405303" w:rsidRDefault="009E6F82" w:rsidP="00C15251">
            <w:pPr>
              <w:jc w:val="both"/>
              <w:rPr>
                <w:bCs/>
                <w:color w:val="002060"/>
                <w:sz w:val="16"/>
                <w:szCs w:val="16"/>
              </w:rPr>
            </w:pPr>
            <w:r w:rsidRPr="00405303">
              <w:rPr>
                <w:bCs/>
                <w:color w:val="002060"/>
                <w:sz w:val="16"/>
                <w:szCs w:val="16"/>
              </w:rPr>
              <w:t>Условия</w:t>
            </w:r>
          </w:p>
        </w:tc>
      </w:tr>
      <w:tr w:rsidR="004B4E35" w:rsidRPr="00405303" w14:paraId="537C291B" w14:textId="77777777">
        <w:tc>
          <w:tcPr>
            <w:tcW w:w="1548" w:type="dxa"/>
            <w:shd w:val="clear" w:color="auto" w:fill="FFFFFF"/>
          </w:tcPr>
          <w:p w14:paraId="66F60D9A" w14:textId="77777777" w:rsidR="004B4E35" w:rsidRPr="00405303" w:rsidRDefault="009E6F82" w:rsidP="00C15251">
            <w:pPr>
              <w:jc w:val="both"/>
              <w:rPr>
                <w:bCs/>
                <w:color w:val="002060"/>
                <w:sz w:val="16"/>
                <w:szCs w:val="16"/>
              </w:rPr>
            </w:pPr>
            <w:r w:rsidRPr="00405303">
              <w:rPr>
                <w:bCs/>
                <w:color w:val="002060"/>
                <w:sz w:val="16"/>
                <w:szCs w:val="16"/>
              </w:rPr>
              <w:t>Май 27 1915</w:t>
            </w:r>
          </w:p>
        </w:tc>
        <w:tc>
          <w:tcPr>
            <w:tcW w:w="1170" w:type="dxa"/>
            <w:shd w:val="clear" w:color="auto" w:fill="FFFFFF"/>
          </w:tcPr>
          <w:p w14:paraId="0874BD1E" w14:textId="77777777" w:rsidR="004B4E35" w:rsidRPr="00405303" w:rsidRDefault="009E6F82" w:rsidP="00C15251">
            <w:pPr>
              <w:jc w:val="both"/>
              <w:rPr>
                <w:bCs/>
                <w:color w:val="002060"/>
                <w:sz w:val="16"/>
                <w:szCs w:val="16"/>
              </w:rPr>
            </w:pPr>
            <w:r w:rsidRPr="00405303">
              <w:rPr>
                <w:bCs/>
                <w:color w:val="002060"/>
                <w:sz w:val="16"/>
                <w:szCs w:val="16"/>
              </w:rPr>
              <w:t>12</w:t>
            </w:r>
          </w:p>
        </w:tc>
        <w:tc>
          <w:tcPr>
            <w:tcW w:w="6858" w:type="dxa"/>
            <w:shd w:val="clear" w:color="auto" w:fill="FFFFFF"/>
          </w:tcPr>
          <w:p w14:paraId="0187D828" w14:textId="77777777" w:rsidR="004B4E35" w:rsidRPr="00405303" w:rsidRDefault="009E6F82" w:rsidP="00C15251">
            <w:pPr>
              <w:jc w:val="both"/>
              <w:rPr>
                <w:bCs/>
                <w:color w:val="002060"/>
                <w:sz w:val="16"/>
                <w:szCs w:val="16"/>
              </w:rPr>
            </w:pPr>
            <w:r w:rsidRPr="00405303">
              <w:rPr>
                <w:bCs/>
                <w:color w:val="002060"/>
                <w:sz w:val="16"/>
                <w:szCs w:val="16"/>
              </w:rPr>
              <w:t>9 тыс. 500 руб. за аппарат без мотора, срок исполнения с 30 мая по 15 июля 1915 г. (выполнен к 20 июля 1915 г.)</w:t>
            </w:r>
          </w:p>
        </w:tc>
      </w:tr>
      <w:tr w:rsidR="004B4E35" w:rsidRPr="00405303" w14:paraId="4764992D" w14:textId="77777777">
        <w:tc>
          <w:tcPr>
            <w:tcW w:w="1548" w:type="dxa"/>
            <w:shd w:val="clear" w:color="auto" w:fill="FFFFFF"/>
          </w:tcPr>
          <w:p w14:paraId="5D41E1F3" w14:textId="77777777" w:rsidR="004B4E35" w:rsidRPr="00405303" w:rsidRDefault="009E6F82" w:rsidP="00C15251">
            <w:pPr>
              <w:jc w:val="both"/>
              <w:rPr>
                <w:bCs/>
                <w:color w:val="002060"/>
                <w:sz w:val="16"/>
                <w:szCs w:val="16"/>
              </w:rPr>
            </w:pPr>
            <w:r w:rsidRPr="00405303">
              <w:rPr>
                <w:bCs/>
                <w:color w:val="002060"/>
                <w:sz w:val="16"/>
                <w:szCs w:val="16"/>
              </w:rPr>
              <w:t>Июль 17 1915</w:t>
            </w:r>
          </w:p>
        </w:tc>
        <w:tc>
          <w:tcPr>
            <w:tcW w:w="1170" w:type="dxa"/>
            <w:shd w:val="clear" w:color="auto" w:fill="FFFFFF"/>
          </w:tcPr>
          <w:p w14:paraId="43861738" w14:textId="77777777" w:rsidR="004B4E35" w:rsidRPr="00405303" w:rsidRDefault="009E6F82" w:rsidP="00C15251">
            <w:pPr>
              <w:jc w:val="both"/>
              <w:rPr>
                <w:bCs/>
                <w:color w:val="002060"/>
                <w:sz w:val="16"/>
                <w:szCs w:val="16"/>
              </w:rPr>
            </w:pPr>
            <w:r w:rsidRPr="00405303">
              <w:rPr>
                <w:bCs/>
                <w:color w:val="002060"/>
                <w:sz w:val="16"/>
                <w:szCs w:val="16"/>
              </w:rPr>
              <w:t>10</w:t>
            </w:r>
          </w:p>
        </w:tc>
        <w:tc>
          <w:tcPr>
            <w:tcW w:w="6858" w:type="dxa"/>
            <w:shd w:val="clear" w:color="auto" w:fill="FFFFFF"/>
          </w:tcPr>
          <w:p w14:paraId="0A35A76C" w14:textId="77777777" w:rsidR="004B4E35" w:rsidRPr="00405303" w:rsidRDefault="009E6F82" w:rsidP="00C15251">
            <w:pPr>
              <w:jc w:val="both"/>
              <w:rPr>
                <w:bCs/>
                <w:color w:val="002060"/>
                <w:sz w:val="16"/>
                <w:szCs w:val="16"/>
              </w:rPr>
            </w:pPr>
            <w:r w:rsidRPr="00405303">
              <w:rPr>
                <w:bCs/>
                <w:color w:val="002060"/>
                <w:sz w:val="16"/>
                <w:szCs w:val="16"/>
              </w:rPr>
              <w:t>выполнен к 10 сентября 1915 г.</w:t>
            </w:r>
          </w:p>
        </w:tc>
      </w:tr>
      <w:tr w:rsidR="004B4E35" w:rsidRPr="00405303" w14:paraId="7656B17A" w14:textId="77777777">
        <w:tc>
          <w:tcPr>
            <w:tcW w:w="1548" w:type="dxa"/>
            <w:shd w:val="clear" w:color="auto" w:fill="FFFFFF"/>
          </w:tcPr>
          <w:p w14:paraId="79551D00" w14:textId="77777777" w:rsidR="004B4E35" w:rsidRPr="00405303" w:rsidRDefault="009E6F82" w:rsidP="00C15251">
            <w:pPr>
              <w:jc w:val="both"/>
              <w:rPr>
                <w:bCs/>
                <w:color w:val="002060"/>
                <w:sz w:val="16"/>
                <w:szCs w:val="16"/>
              </w:rPr>
            </w:pPr>
            <w:r w:rsidRPr="00405303">
              <w:rPr>
                <w:bCs/>
                <w:color w:val="002060"/>
                <w:sz w:val="16"/>
                <w:szCs w:val="16"/>
              </w:rPr>
              <w:t>Август 10 1915</w:t>
            </w:r>
          </w:p>
        </w:tc>
        <w:tc>
          <w:tcPr>
            <w:tcW w:w="1170" w:type="dxa"/>
            <w:shd w:val="clear" w:color="auto" w:fill="FFFFFF"/>
          </w:tcPr>
          <w:p w14:paraId="5146780B" w14:textId="77777777" w:rsidR="004B4E35" w:rsidRPr="00405303" w:rsidRDefault="009E6F82" w:rsidP="00C15251">
            <w:pPr>
              <w:jc w:val="both"/>
              <w:rPr>
                <w:bCs/>
                <w:color w:val="002060"/>
                <w:sz w:val="16"/>
                <w:szCs w:val="16"/>
              </w:rPr>
            </w:pPr>
            <w:r w:rsidRPr="00405303">
              <w:rPr>
                <w:bCs/>
                <w:color w:val="002060"/>
                <w:sz w:val="16"/>
                <w:szCs w:val="16"/>
              </w:rPr>
              <w:t>3</w:t>
            </w:r>
          </w:p>
        </w:tc>
        <w:tc>
          <w:tcPr>
            <w:tcW w:w="6858" w:type="dxa"/>
            <w:shd w:val="clear" w:color="auto" w:fill="FFFFFF"/>
          </w:tcPr>
          <w:p w14:paraId="17781F55" w14:textId="77777777" w:rsidR="004B4E35" w:rsidRPr="00405303" w:rsidRDefault="009E6F82" w:rsidP="00C15251">
            <w:pPr>
              <w:jc w:val="both"/>
              <w:rPr>
                <w:bCs/>
                <w:color w:val="002060"/>
                <w:sz w:val="16"/>
                <w:szCs w:val="16"/>
              </w:rPr>
            </w:pPr>
            <w:r w:rsidRPr="00405303">
              <w:rPr>
                <w:bCs/>
                <w:color w:val="002060"/>
                <w:sz w:val="16"/>
                <w:szCs w:val="16"/>
              </w:rPr>
              <w:t>выполнен к 20 июля 1915г.</w:t>
            </w:r>
          </w:p>
        </w:tc>
      </w:tr>
      <w:tr w:rsidR="004B4E35" w:rsidRPr="00405303" w14:paraId="08BA9A88" w14:textId="77777777">
        <w:tc>
          <w:tcPr>
            <w:tcW w:w="1548" w:type="dxa"/>
            <w:shd w:val="clear" w:color="auto" w:fill="FFFFFF"/>
          </w:tcPr>
          <w:p w14:paraId="76E39EF6" w14:textId="77777777" w:rsidR="004B4E35" w:rsidRPr="00405303" w:rsidRDefault="009E6F82" w:rsidP="00C15251">
            <w:pPr>
              <w:jc w:val="both"/>
              <w:rPr>
                <w:bCs/>
                <w:color w:val="002060"/>
                <w:sz w:val="16"/>
                <w:szCs w:val="16"/>
              </w:rPr>
            </w:pPr>
            <w:r w:rsidRPr="00405303">
              <w:rPr>
                <w:bCs/>
                <w:color w:val="002060"/>
                <w:sz w:val="16"/>
                <w:szCs w:val="16"/>
              </w:rPr>
              <w:t>Ноябрь 12 (25) 1915</w:t>
            </w:r>
          </w:p>
        </w:tc>
        <w:tc>
          <w:tcPr>
            <w:tcW w:w="1170" w:type="dxa"/>
            <w:shd w:val="clear" w:color="auto" w:fill="FFFFFF"/>
          </w:tcPr>
          <w:p w14:paraId="15563722" w14:textId="77777777" w:rsidR="004B4E35" w:rsidRPr="00405303" w:rsidRDefault="009E6F82" w:rsidP="00C15251">
            <w:pPr>
              <w:jc w:val="both"/>
              <w:rPr>
                <w:bCs/>
                <w:color w:val="002060"/>
                <w:sz w:val="16"/>
                <w:szCs w:val="16"/>
              </w:rPr>
            </w:pPr>
            <w:r w:rsidRPr="00405303">
              <w:rPr>
                <w:bCs/>
                <w:color w:val="002060"/>
                <w:sz w:val="16"/>
                <w:szCs w:val="16"/>
              </w:rPr>
              <w:t>16</w:t>
            </w:r>
          </w:p>
        </w:tc>
        <w:tc>
          <w:tcPr>
            <w:tcW w:w="6858" w:type="dxa"/>
            <w:shd w:val="clear" w:color="auto" w:fill="FFFFFF"/>
          </w:tcPr>
          <w:p w14:paraId="278DDF41" w14:textId="77777777" w:rsidR="004B4E35" w:rsidRPr="00405303" w:rsidRDefault="009E6F82" w:rsidP="00C15251">
            <w:pPr>
              <w:jc w:val="both"/>
              <w:rPr>
                <w:bCs/>
                <w:color w:val="002060"/>
                <w:sz w:val="16"/>
                <w:szCs w:val="16"/>
              </w:rPr>
            </w:pPr>
            <w:r w:rsidRPr="00405303">
              <w:rPr>
                <w:bCs/>
                <w:color w:val="002060"/>
                <w:sz w:val="16"/>
                <w:szCs w:val="16"/>
              </w:rPr>
              <w:t>10 тыс. 500 руб. за аппарат без мотора, срок исполнения ноябрь 1915-март 1916 гг. (выполнен к 27 мая 1916 г.) ПРИМЕЧАНИЯ: аппараты с номерами 440 и 441 имели депердюссеновскую систему управления</w:t>
            </w:r>
          </w:p>
        </w:tc>
      </w:tr>
      <w:tr w:rsidR="004B4E35" w:rsidRPr="00405303" w14:paraId="43F7AA83" w14:textId="77777777">
        <w:tc>
          <w:tcPr>
            <w:tcW w:w="1548" w:type="dxa"/>
            <w:shd w:val="clear" w:color="auto" w:fill="FFFFFF"/>
          </w:tcPr>
          <w:p w14:paraId="79C705AE" w14:textId="77777777" w:rsidR="004B4E35" w:rsidRPr="00405303" w:rsidRDefault="009E6F82" w:rsidP="00C15251">
            <w:pPr>
              <w:jc w:val="both"/>
              <w:rPr>
                <w:bCs/>
                <w:color w:val="002060"/>
                <w:sz w:val="16"/>
                <w:szCs w:val="16"/>
              </w:rPr>
            </w:pPr>
            <w:r w:rsidRPr="00405303">
              <w:rPr>
                <w:bCs/>
                <w:color w:val="002060"/>
                <w:sz w:val="16"/>
                <w:szCs w:val="16"/>
              </w:rPr>
              <w:t>Декабрь 21 1915</w:t>
            </w:r>
          </w:p>
        </w:tc>
        <w:tc>
          <w:tcPr>
            <w:tcW w:w="1170" w:type="dxa"/>
            <w:shd w:val="clear" w:color="auto" w:fill="FFFFFF"/>
          </w:tcPr>
          <w:p w14:paraId="6331DFD7" w14:textId="77777777" w:rsidR="004B4E35" w:rsidRPr="00405303" w:rsidRDefault="009E6F82" w:rsidP="00C15251">
            <w:pPr>
              <w:jc w:val="both"/>
              <w:rPr>
                <w:bCs/>
                <w:color w:val="002060"/>
                <w:sz w:val="16"/>
                <w:szCs w:val="16"/>
              </w:rPr>
            </w:pPr>
            <w:r w:rsidRPr="00405303">
              <w:rPr>
                <w:bCs/>
                <w:color w:val="002060"/>
                <w:sz w:val="16"/>
                <w:szCs w:val="16"/>
              </w:rPr>
              <w:t>10</w:t>
            </w:r>
          </w:p>
        </w:tc>
        <w:tc>
          <w:tcPr>
            <w:tcW w:w="6858" w:type="dxa"/>
            <w:shd w:val="clear" w:color="auto" w:fill="FFFFFF"/>
          </w:tcPr>
          <w:p w14:paraId="0B653039" w14:textId="77777777" w:rsidR="004B4E35" w:rsidRPr="00405303" w:rsidRDefault="009E6F82" w:rsidP="00C15251">
            <w:pPr>
              <w:jc w:val="both"/>
              <w:rPr>
                <w:bCs/>
                <w:color w:val="002060"/>
                <w:sz w:val="16"/>
                <w:szCs w:val="16"/>
              </w:rPr>
            </w:pPr>
            <w:r w:rsidRPr="00405303">
              <w:rPr>
                <w:bCs/>
                <w:color w:val="002060"/>
                <w:sz w:val="16"/>
                <w:szCs w:val="16"/>
              </w:rPr>
              <w:t>10 корпусов без хвостовых оперений и мотора, но с сиденьями, по цене 4 тыс. 750 руб. за каждый</w:t>
            </w:r>
          </w:p>
        </w:tc>
      </w:tr>
      <w:tr w:rsidR="004B4E35" w:rsidRPr="00405303" w14:paraId="453532FD" w14:textId="77777777">
        <w:tc>
          <w:tcPr>
            <w:tcW w:w="1548" w:type="dxa"/>
            <w:shd w:val="clear" w:color="auto" w:fill="FFFFFF"/>
          </w:tcPr>
          <w:p w14:paraId="0F553916" w14:textId="77777777" w:rsidR="004B4E35" w:rsidRPr="00405303" w:rsidRDefault="009E6F82" w:rsidP="00C15251">
            <w:pPr>
              <w:jc w:val="both"/>
              <w:rPr>
                <w:bCs/>
                <w:color w:val="002060"/>
                <w:sz w:val="16"/>
                <w:szCs w:val="16"/>
              </w:rPr>
            </w:pPr>
            <w:r w:rsidRPr="00405303">
              <w:rPr>
                <w:bCs/>
                <w:color w:val="002060"/>
                <w:sz w:val="16"/>
                <w:szCs w:val="16"/>
              </w:rPr>
              <w:t>Апрель 1 1916</w:t>
            </w:r>
          </w:p>
        </w:tc>
        <w:tc>
          <w:tcPr>
            <w:tcW w:w="1170" w:type="dxa"/>
            <w:shd w:val="clear" w:color="auto" w:fill="FFFFFF"/>
          </w:tcPr>
          <w:p w14:paraId="537BBE22" w14:textId="77777777" w:rsidR="004B4E35" w:rsidRPr="00405303" w:rsidRDefault="009E6F82" w:rsidP="00C15251">
            <w:pPr>
              <w:jc w:val="both"/>
              <w:rPr>
                <w:bCs/>
                <w:color w:val="002060"/>
                <w:sz w:val="16"/>
                <w:szCs w:val="16"/>
              </w:rPr>
            </w:pPr>
            <w:r w:rsidRPr="00405303">
              <w:rPr>
                <w:bCs/>
                <w:color w:val="002060"/>
                <w:sz w:val="16"/>
                <w:szCs w:val="16"/>
              </w:rPr>
              <w:t>35</w:t>
            </w:r>
          </w:p>
        </w:tc>
        <w:tc>
          <w:tcPr>
            <w:tcW w:w="6858" w:type="dxa"/>
            <w:shd w:val="clear" w:color="auto" w:fill="FFFFFF"/>
          </w:tcPr>
          <w:p w14:paraId="4D3A0095" w14:textId="77777777" w:rsidR="004B4E35" w:rsidRPr="00405303" w:rsidRDefault="009E6F82" w:rsidP="00C15251">
            <w:pPr>
              <w:jc w:val="both"/>
              <w:rPr>
                <w:bCs/>
                <w:color w:val="002060"/>
                <w:sz w:val="16"/>
                <w:szCs w:val="16"/>
              </w:rPr>
            </w:pPr>
            <w:r w:rsidRPr="00405303">
              <w:rPr>
                <w:bCs/>
                <w:color w:val="002060"/>
                <w:sz w:val="16"/>
                <w:szCs w:val="16"/>
              </w:rPr>
              <w:t>выполнен к 23 сентября 1916 г.</w:t>
            </w:r>
          </w:p>
        </w:tc>
      </w:tr>
      <w:tr w:rsidR="004B4E35" w:rsidRPr="00405303" w14:paraId="3D55FBF7" w14:textId="77777777">
        <w:tc>
          <w:tcPr>
            <w:tcW w:w="1548" w:type="dxa"/>
            <w:shd w:val="clear" w:color="auto" w:fill="FFFFFF"/>
          </w:tcPr>
          <w:p w14:paraId="24F1EC1A" w14:textId="77777777" w:rsidR="004B4E35" w:rsidRPr="00405303" w:rsidRDefault="009E6F82" w:rsidP="00C15251">
            <w:pPr>
              <w:jc w:val="both"/>
              <w:rPr>
                <w:bCs/>
                <w:color w:val="002060"/>
                <w:sz w:val="16"/>
                <w:szCs w:val="16"/>
              </w:rPr>
            </w:pPr>
            <w:r w:rsidRPr="00405303">
              <w:rPr>
                <w:bCs/>
                <w:color w:val="002060"/>
                <w:sz w:val="16"/>
                <w:szCs w:val="16"/>
              </w:rPr>
              <w:t>Июнь 16 1916</w:t>
            </w:r>
          </w:p>
        </w:tc>
        <w:tc>
          <w:tcPr>
            <w:tcW w:w="1170" w:type="dxa"/>
            <w:shd w:val="clear" w:color="auto" w:fill="FFFFFF"/>
          </w:tcPr>
          <w:p w14:paraId="6FFB7344" w14:textId="77777777" w:rsidR="004B4E35" w:rsidRPr="00405303" w:rsidRDefault="009E6F82" w:rsidP="00C15251">
            <w:pPr>
              <w:jc w:val="both"/>
              <w:rPr>
                <w:bCs/>
                <w:color w:val="002060"/>
                <w:sz w:val="16"/>
                <w:szCs w:val="16"/>
              </w:rPr>
            </w:pPr>
            <w:r w:rsidRPr="00405303">
              <w:rPr>
                <w:bCs/>
                <w:color w:val="002060"/>
                <w:sz w:val="16"/>
                <w:szCs w:val="16"/>
              </w:rPr>
              <w:t>20</w:t>
            </w:r>
          </w:p>
        </w:tc>
        <w:tc>
          <w:tcPr>
            <w:tcW w:w="6858" w:type="dxa"/>
            <w:shd w:val="clear" w:color="auto" w:fill="FFFFFF"/>
          </w:tcPr>
          <w:p w14:paraId="1C81DF08" w14:textId="77777777" w:rsidR="004B4E35" w:rsidRPr="00405303" w:rsidRDefault="009E6F82" w:rsidP="00C15251">
            <w:pPr>
              <w:jc w:val="both"/>
              <w:rPr>
                <w:bCs/>
                <w:color w:val="002060"/>
                <w:sz w:val="16"/>
                <w:szCs w:val="16"/>
              </w:rPr>
            </w:pPr>
            <w:r w:rsidRPr="00405303">
              <w:rPr>
                <w:bCs/>
                <w:color w:val="002060"/>
                <w:sz w:val="16"/>
                <w:szCs w:val="16"/>
              </w:rPr>
              <w:t>10 тыс. 500 руб. за аппарат без мотора, срок исполнения июль-август 1916 г. (выполнен к 20 мая 1917 г.)</w:t>
            </w:r>
          </w:p>
        </w:tc>
      </w:tr>
      <w:tr w:rsidR="004B4E35" w:rsidRPr="00405303" w14:paraId="3D6EE938" w14:textId="77777777">
        <w:tc>
          <w:tcPr>
            <w:tcW w:w="1548" w:type="dxa"/>
            <w:shd w:val="clear" w:color="auto" w:fill="FFFFFF"/>
          </w:tcPr>
          <w:p w14:paraId="26B00634" w14:textId="77777777" w:rsidR="004B4E35" w:rsidRPr="00405303" w:rsidRDefault="009E6F82" w:rsidP="00C15251">
            <w:pPr>
              <w:jc w:val="both"/>
              <w:rPr>
                <w:bCs/>
                <w:color w:val="002060"/>
                <w:sz w:val="16"/>
                <w:szCs w:val="16"/>
              </w:rPr>
            </w:pPr>
            <w:r w:rsidRPr="00405303">
              <w:rPr>
                <w:bCs/>
                <w:color w:val="002060"/>
                <w:sz w:val="16"/>
                <w:szCs w:val="16"/>
              </w:rPr>
              <w:t xml:space="preserve">Июнь </w:t>
            </w:r>
            <w:r w:rsidRPr="00405303">
              <w:rPr>
                <w:bCs/>
                <w:i/>
                <w:color w:val="002060"/>
                <w:sz w:val="16"/>
                <w:szCs w:val="16"/>
              </w:rPr>
              <w:t xml:space="preserve">1 </w:t>
            </w:r>
            <w:r w:rsidRPr="00405303">
              <w:rPr>
                <w:bCs/>
                <w:color w:val="002060"/>
                <w:sz w:val="16"/>
                <w:szCs w:val="16"/>
              </w:rPr>
              <w:t>1916</w:t>
            </w:r>
          </w:p>
        </w:tc>
        <w:tc>
          <w:tcPr>
            <w:tcW w:w="1170" w:type="dxa"/>
            <w:shd w:val="clear" w:color="auto" w:fill="FFFFFF"/>
          </w:tcPr>
          <w:p w14:paraId="49EAB9B4" w14:textId="77777777" w:rsidR="004B4E35" w:rsidRPr="00405303" w:rsidRDefault="009E6F82" w:rsidP="00C15251">
            <w:pPr>
              <w:jc w:val="both"/>
              <w:rPr>
                <w:bCs/>
                <w:color w:val="002060"/>
                <w:sz w:val="16"/>
                <w:szCs w:val="16"/>
              </w:rPr>
            </w:pPr>
            <w:r w:rsidRPr="00405303">
              <w:rPr>
                <w:bCs/>
                <w:color w:val="002060"/>
                <w:sz w:val="16"/>
                <w:szCs w:val="16"/>
              </w:rPr>
              <w:t>20</w:t>
            </w:r>
          </w:p>
        </w:tc>
        <w:tc>
          <w:tcPr>
            <w:tcW w:w="6858" w:type="dxa"/>
            <w:shd w:val="clear" w:color="auto" w:fill="FFFFFF"/>
          </w:tcPr>
          <w:p w14:paraId="4CE30CCD" w14:textId="77777777" w:rsidR="004B4E35" w:rsidRPr="00405303" w:rsidRDefault="009E6F82" w:rsidP="00C15251">
            <w:pPr>
              <w:jc w:val="both"/>
              <w:rPr>
                <w:bCs/>
                <w:color w:val="002060"/>
                <w:sz w:val="16"/>
                <w:szCs w:val="16"/>
              </w:rPr>
            </w:pPr>
            <w:r w:rsidRPr="00405303">
              <w:rPr>
                <w:bCs/>
                <w:color w:val="002060"/>
                <w:sz w:val="16"/>
                <w:szCs w:val="16"/>
              </w:rPr>
              <w:t>заказ на 20 запасных аппаратов, но затем некоторые из них все же использовались как боевые; контракт выполнен к апрелю 1917 г.</w:t>
            </w:r>
          </w:p>
        </w:tc>
      </w:tr>
      <w:tr w:rsidR="004B4E35" w:rsidRPr="00405303" w14:paraId="190DD8EC" w14:textId="77777777">
        <w:tc>
          <w:tcPr>
            <w:tcW w:w="1548" w:type="dxa"/>
            <w:shd w:val="clear" w:color="auto" w:fill="FFFFFF"/>
          </w:tcPr>
          <w:p w14:paraId="62F5CD87" w14:textId="77777777" w:rsidR="004B4E35" w:rsidRPr="00405303" w:rsidRDefault="009E6F82" w:rsidP="00C15251">
            <w:pPr>
              <w:jc w:val="both"/>
              <w:rPr>
                <w:bCs/>
                <w:color w:val="002060"/>
                <w:sz w:val="16"/>
                <w:szCs w:val="16"/>
              </w:rPr>
            </w:pPr>
            <w:r w:rsidRPr="00405303">
              <w:rPr>
                <w:bCs/>
                <w:color w:val="002060"/>
                <w:sz w:val="16"/>
                <w:szCs w:val="16"/>
              </w:rPr>
              <w:t>Сентябрь 22 1916</w:t>
            </w:r>
          </w:p>
        </w:tc>
        <w:tc>
          <w:tcPr>
            <w:tcW w:w="1170" w:type="dxa"/>
            <w:shd w:val="clear" w:color="auto" w:fill="FFFFFF"/>
          </w:tcPr>
          <w:p w14:paraId="0ADA9920" w14:textId="77777777" w:rsidR="004B4E35" w:rsidRPr="00405303" w:rsidRDefault="009E6F82" w:rsidP="00C15251">
            <w:pPr>
              <w:jc w:val="both"/>
              <w:rPr>
                <w:bCs/>
                <w:color w:val="002060"/>
                <w:sz w:val="16"/>
                <w:szCs w:val="16"/>
              </w:rPr>
            </w:pPr>
            <w:r w:rsidRPr="00405303">
              <w:rPr>
                <w:bCs/>
                <w:color w:val="002060"/>
                <w:sz w:val="16"/>
                <w:szCs w:val="16"/>
              </w:rPr>
              <w:t>30</w:t>
            </w:r>
          </w:p>
        </w:tc>
        <w:tc>
          <w:tcPr>
            <w:tcW w:w="6858" w:type="dxa"/>
            <w:shd w:val="clear" w:color="auto" w:fill="FFFFFF"/>
          </w:tcPr>
          <w:p w14:paraId="7F31155F" w14:textId="77777777" w:rsidR="004B4E35" w:rsidRPr="00405303" w:rsidRDefault="009E6F82" w:rsidP="00C15251">
            <w:pPr>
              <w:jc w:val="both"/>
              <w:rPr>
                <w:bCs/>
                <w:color w:val="002060"/>
                <w:sz w:val="16"/>
                <w:szCs w:val="16"/>
              </w:rPr>
            </w:pPr>
            <w:r w:rsidRPr="00405303">
              <w:rPr>
                <w:bCs/>
                <w:color w:val="002060"/>
                <w:sz w:val="16"/>
                <w:szCs w:val="16"/>
              </w:rPr>
              <w:t>11 тыс. руб. за аппарат без мотора; полезная нагрузкасниже-на до 275 кг; срок исполнения с 1 октября по 1 декабря 1916 г. (выполнен к концу августа 1917 г.)</w:t>
            </w:r>
          </w:p>
        </w:tc>
      </w:tr>
      <w:tr w:rsidR="004B4E35" w:rsidRPr="00405303" w14:paraId="5476B8C7" w14:textId="77777777">
        <w:tc>
          <w:tcPr>
            <w:tcW w:w="1548" w:type="dxa"/>
            <w:shd w:val="clear" w:color="auto" w:fill="FFFFFF"/>
          </w:tcPr>
          <w:p w14:paraId="43478F81" w14:textId="77777777" w:rsidR="004B4E35" w:rsidRPr="00405303" w:rsidRDefault="009E6F82" w:rsidP="00C15251">
            <w:pPr>
              <w:jc w:val="both"/>
              <w:rPr>
                <w:bCs/>
                <w:color w:val="002060"/>
                <w:sz w:val="16"/>
                <w:szCs w:val="16"/>
              </w:rPr>
            </w:pPr>
            <w:r w:rsidRPr="00405303">
              <w:rPr>
                <w:bCs/>
                <w:color w:val="002060"/>
                <w:sz w:val="16"/>
                <w:szCs w:val="16"/>
              </w:rPr>
              <w:t>Апрель 27 1917</w:t>
            </w:r>
          </w:p>
        </w:tc>
        <w:tc>
          <w:tcPr>
            <w:tcW w:w="1170" w:type="dxa"/>
            <w:shd w:val="clear" w:color="auto" w:fill="FFFFFF"/>
          </w:tcPr>
          <w:p w14:paraId="2B59236D" w14:textId="77777777" w:rsidR="004B4E35" w:rsidRPr="00405303" w:rsidRDefault="009E6F82" w:rsidP="00C15251">
            <w:pPr>
              <w:jc w:val="both"/>
              <w:rPr>
                <w:bCs/>
                <w:color w:val="002060"/>
                <w:sz w:val="16"/>
                <w:szCs w:val="16"/>
              </w:rPr>
            </w:pPr>
            <w:r w:rsidRPr="00405303">
              <w:rPr>
                <w:bCs/>
                <w:color w:val="002060"/>
                <w:sz w:val="16"/>
                <w:szCs w:val="16"/>
              </w:rPr>
              <w:t>70</w:t>
            </w:r>
          </w:p>
        </w:tc>
        <w:tc>
          <w:tcPr>
            <w:tcW w:w="6858" w:type="dxa"/>
            <w:shd w:val="clear" w:color="auto" w:fill="FFFFFF"/>
          </w:tcPr>
          <w:p w14:paraId="15B0E517" w14:textId="77777777" w:rsidR="004B4E35" w:rsidRPr="00405303" w:rsidRDefault="009E6F82" w:rsidP="00C15251">
            <w:pPr>
              <w:jc w:val="both"/>
              <w:rPr>
                <w:bCs/>
                <w:color w:val="002060"/>
                <w:sz w:val="16"/>
                <w:szCs w:val="16"/>
              </w:rPr>
            </w:pPr>
            <w:r w:rsidRPr="00405303">
              <w:rPr>
                <w:bCs/>
                <w:color w:val="002060"/>
                <w:sz w:val="16"/>
                <w:szCs w:val="16"/>
              </w:rPr>
              <w:t>II тыс. руб. за аппарат без мотора, с уплатой 10% лицензион</w:t>
            </w:r>
            <w:r w:rsidRPr="00405303">
              <w:rPr>
                <w:bCs/>
                <w:color w:val="002060"/>
                <w:sz w:val="16"/>
                <w:szCs w:val="16"/>
              </w:rPr>
              <w:softHyphen/>
              <w:t xml:space="preserve">ной стоимости ПРТВ; аппараты под мотор «Рон» 110 л. с. или «Гном-Моносупап» 100-110 л. с.; полезная нагрузка 300 кг, скороподъемность 500 м за 5 мин., 1000 м за 10 мин., 2000 м за 30 мин., скорость 100 км/ч, запасы </w:t>
            </w:r>
            <w:r w:rsidRPr="00405303">
              <w:rPr>
                <w:bCs/>
                <w:color w:val="002060"/>
                <w:sz w:val="16"/>
                <w:szCs w:val="16"/>
              </w:rPr>
              <w:lastRenderedPageBreak/>
              <w:t>бензина/масла 215/21 л; срок исполнения с 1 декабря 1917 г. по 1 апреля 1918 г. (аннулирован к 2 ноября 1917 г.)</w:t>
            </w:r>
          </w:p>
          <w:p w14:paraId="3E516AB0" w14:textId="77777777" w:rsidR="004B4E35" w:rsidRPr="00405303" w:rsidRDefault="009E6F82" w:rsidP="00C15251">
            <w:pPr>
              <w:jc w:val="both"/>
              <w:rPr>
                <w:bCs/>
                <w:color w:val="002060"/>
                <w:sz w:val="16"/>
                <w:szCs w:val="16"/>
              </w:rPr>
            </w:pPr>
            <w:r w:rsidRPr="00405303">
              <w:rPr>
                <w:bCs/>
                <w:color w:val="002060"/>
                <w:sz w:val="16"/>
                <w:szCs w:val="16"/>
              </w:rPr>
              <w:t>ПРИМЕЧАНИЯ: условный контракт, данный компании Ф. Мельцера в Петрограде</w:t>
            </w:r>
          </w:p>
        </w:tc>
      </w:tr>
      <w:tr w:rsidR="004B4E35" w:rsidRPr="00405303" w14:paraId="560F0667" w14:textId="77777777">
        <w:tc>
          <w:tcPr>
            <w:tcW w:w="1548" w:type="dxa"/>
            <w:shd w:val="clear" w:color="auto" w:fill="FFFFFF"/>
          </w:tcPr>
          <w:p w14:paraId="699B9823" w14:textId="77777777" w:rsidR="004B4E35" w:rsidRPr="00405303" w:rsidRDefault="009E6F82" w:rsidP="00C15251">
            <w:pPr>
              <w:jc w:val="both"/>
              <w:rPr>
                <w:bCs/>
                <w:color w:val="002060"/>
                <w:sz w:val="16"/>
                <w:szCs w:val="16"/>
              </w:rPr>
            </w:pPr>
            <w:r w:rsidRPr="00405303">
              <w:rPr>
                <w:bCs/>
                <w:color w:val="002060"/>
                <w:sz w:val="16"/>
                <w:szCs w:val="16"/>
              </w:rPr>
              <w:lastRenderedPageBreak/>
              <w:t>Апрель 29 1917</w:t>
            </w:r>
          </w:p>
        </w:tc>
        <w:tc>
          <w:tcPr>
            <w:tcW w:w="1170" w:type="dxa"/>
            <w:shd w:val="clear" w:color="auto" w:fill="FFFFFF"/>
          </w:tcPr>
          <w:p w14:paraId="11285B7F" w14:textId="77777777" w:rsidR="004B4E35" w:rsidRPr="00405303" w:rsidRDefault="009E6F82" w:rsidP="00C15251">
            <w:pPr>
              <w:jc w:val="both"/>
              <w:rPr>
                <w:bCs/>
                <w:color w:val="002060"/>
                <w:sz w:val="16"/>
                <w:szCs w:val="16"/>
              </w:rPr>
            </w:pPr>
            <w:r w:rsidRPr="00405303">
              <w:rPr>
                <w:bCs/>
                <w:color w:val="002060"/>
                <w:sz w:val="16"/>
                <w:szCs w:val="16"/>
              </w:rPr>
              <w:t>10</w:t>
            </w:r>
          </w:p>
        </w:tc>
        <w:tc>
          <w:tcPr>
            <w:tcW w:w="6858" w:type="dxa"/>
            <w:shd w:val="clear" w:color="auto" w:fill="FFFFFF"/>
          </w:tcPr>
          <w:p w14:paraId="544AD660" w14:textId="77777777" w:rsidR="004B4E35" w:rsidRPr="00405303" w:rsidRDefault="009E6F82" w:rsidP="00C15251">
            <w:pPr>
              <w:jc w:val="both"/>
              <w:rPr>
                <w:bCs/>
                <w:color w:val="002060"/>
                <w:sz w:val="16"/>
                <w:szCs w:val="16"/>
              </w:rPr>
            </w:pPr>
            <w:r w:rsidRPr="00405303">
              <w:rPr>
                <w:bCs/>
                <w:color w:val="002060"/>
                <w:sz w:val="16"/>
                <w:szCs w:val="16"/>
              </w:rPr>
              <w:t>ПРИМЕЧАНИЯ: 10 запасных корпусов; выполнен к 25 мая 1917 г.; возможно, помимо корпусов поставлено и 20 запасных нижних крыльев</w:t>
            </w:r>
          </w:p>
        </w:tc>
      </w:tr>
      <w:tr w:rsidR="004B4E35" w:rsidRPr="00405303" w14:paraId="4DD1DCAA" w14:textId="77777777">
        <w:tc>
          <w:tcPr>
            <w:tcW w:w="1548" w:type="dxa"/>
            <w:shd w:val="clear" w:color="auto" w:fill="FFFFFF"/>
          </w:tcPr>
          <w:p w14:paraId="19757BFB" w14:textId="77777777" w:rsidR="004B4E35" w:rsidRPr="00405303" w:rsidRDefault="009E6F82" w:rsidP="00C15251">
            <w:pPr>
              <w:jc w:val="both"/>
              <w:rPr>
                <w:bCs/>
                <w:color w:val="002060"/>
                <w:sz w:val="16"/>
                <w:szCs w:val="16"/>
              </w:rPr>
            </w:pPr>
            <w:r w:rsidRPr="00405303">
              <w:rPr>
                <w:bCs/>
                <w:color w:val="002060"/>
                <w:sz w:val="16"/>
                <w:szCs w:val="16"/>
              </w:rPr>
              <w:t>Май 26 1917</w:t>
            </w:r>
          </w:p>
        </w:tc>
        <w:tc>
          <w:tcPr>
            <w:tcW w:w="1170" w:type="dxa"/>
            <w:shd w:val="clear" w:color="auto" w:fill="FFFFFF"/>
          </w:tcPr>
          <w:p w14:paraId="4B220880" w14:textId="77777777" w:rsidR="004B4E35" w:rsidRPr="00405303" w:rsidRDefault="009E6F82" w:rsidP="00C15251">
            <w:pPr>
              <w:jc w:val="both"/>
              <w:rPr>
                <w:bCs/>
                <w:color w:val="002060"/>
                <w:sz w:val="16"/>
                <w:szCs w:val="16"/>
              </w:rPr>
            </w:pPr>
            <w:r w:rsidRPr="00405303">
              <w:rPr>
                <w:bCs/>
                <w:color w:val="002060"/>
                <w:sz w:val="16"/>
                <w:szCs w:val="16"/>
              </w:rPr>
              <w:t>25</w:t>
            </w:r>
          </w:p>
        </w:tc>
        <w:tc>
          <w:tcPr>
            <w:tcW w:w="6858" w:type="dxa"/>
            <w:shd w:val="clear" w:color="auto" w:fill="FFFFFF"/>
          </w:tcPr>
          <w:p w14:paraId="73ACF8CE" w14:textId="77777777" w:rsidR="004B4E35" w:rsidRPr="00405303" w:rsidRDefault="009E6F82" w:rsidP="00C15251">
            <w:pPr>
              <w:jc w:val="both"/>
              <w:rPr>
                <w:bCs/>
                <w:color w:val="002060"/>
                <w:sz w:val="16"/>
                <w:szCs w:val="16"/>
              </w:rPr>
            </w:pPr>
            <w:r w:rsidRPr="00405303">
              <w:rPr>
                <w:bCs/>
                <w:color w:val="002060"/>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4B4E35" w:rsidRPr="00405303" w14:paraId="06F9D991" w14:textId="77777777">
        <w:tc>
          <w:tcPr>
            <w:tcW w:w="1548" w:type="dxa"/>
            <w:shd w:val="clear" w:color="auto" w:fill="FFFFFF"/>
          </w:tcPr>
          <w:p w14:paraId="070B39E8" w14:textId="77777777" w:rsidR="004B4E35" w:rsidRPr="00405303" w:rsidRDefault="009E6F82" w:rsidP="00C15251">
            <w:pPr>
              <w:jc w:val="both"/>
              <w:rPr>
                <w:bCs/>
                <w:color w:val="002060"/>
                <w:sz w:val="16"/>
                <w:szCs w:val="16"/>
              </w:rPr>
            </w:pPr>
            <w:r w:rsidRPr="00405303">
              <w:rPr>
                <w:bCs/>
                <w:color w:val="002060"/>
                <w:sz w:val="16"/>
                <w:szCs w:val="16"/>
              </w:rPr>
              <w:t>Июль 28 1917</w:t>
            </w:r>
          </w:p>
        </w:tc>
        <w:tc>
          <w:tcPr>
            <w:tcW w:w="1170" w:type="dxa"/>
            <w:shd w:val="clear" w:color="auto" w:fill="FFFFFF"/>
          </w:tcPr>
          <w:p w14:paraId="54B92C15" w14:textId="77777777" w:rsidR="004B4E35" w:rsidRPr="00405303" w:rsidRDefault="009E6F82" w:rsidP="00C15251">
            <w:pPr>
              <w:jc w:val="both"/>
              <w:rPr>
                <w:bCs/>
                <w:color w:val="002060"/>
                <w:sz w:val="16"/>
                <w:szCs w:val="16"/>
              </w:rPr>
            </w:pPr>
            <w:r w:rsidRPr="00405303">
              <w:rPr>
                <w:bCs/>
                <w:color w:val="002060"/>
                <w:sz w:val="16"/>
                <w:szCs w:val="16"/>
              </w:rPr>
              <w:t>40</w:t>
            </w:r>
          </w:p>
        </w:tc>
        <w:tc>
          <w:tcPr>
            <w:tcW w:w="6858" w:type="dxa"/>
            <w:shd w:val="clear" w:color="auto" w:fill="FFFFFF"/>
          </w:tcPr>
          <w:p w14:paraId="5EDD0150" w14:textId="77777777" w:rsidR="004B4E35" w:rsidRPr="00405303" w:rsidRDefault="009E6F82" w:rsidP="00C15251">
            <w:pPr>
              <w:jc w:val="both"/>
              <w:rPr>
                <w:bCs/>
                <w:color w:val="002060"/>
                <w:sz w:val="16"/>
                <w:szCs w:val="16"/>
              </w:rPr>
            </w:pPr>
            <w:r w:rsidRPr="00405303">
              <w:rPr>
                <w:bCs/>
                <w:color w:val="002060"/>
                <w:sz w:val="16"/>
                <w:szCs w:val="16"/>
              </w:rPr>
              <w:t>16 тыс. руб. за аппарат под мотор «Рон» 125 л.с., срок исполнения с 1 сентября 1917 г. по 1 января 1918 г. (не выполнен)</w:t>
            </w:r>
          </w:p>
          <w:p w14:paraId="5F88322D" w14:textId="77777777" w:rsidR="004B4E35" w:rsidRPr="00405303" w:rsidRDefault="009E6F82" w:rsidP="00C15251">
            <w:pPr>
              <w:jc w:val="both"/>
              <w:rPr>
                <w:bCs/>
                <w:color w:val="002060"/>
                <w:sz w:val="16"/>
                <w:szCs w:val="16"/>
              </w:rPr>
            </w:pPr>
            <w:r w:rsidRPr="00405303">
              <w:rPr>
                <w:bCs/>
                <w:color w:val="002060"/>
                <w:sz w:val="16"/>
                <w:szCs w:val="16"/>
              </w:rPr>
              <w:t>ПРИМЕЧАНИЯ: заказ дан Опытному заводу Д. П. Григоровича (см. главу 2 и раздел М-20)</w:t>
            </w:r>
          </w:p>
        </w:tc>
      </w:tr>
      <w:tr w:rsidR="004B4E35" w:rsidRPr="00405303" w14:paraId="4163A303" w14:textId="77777777">
        <w:tc>
          <w:tcPr>
            <w:tcW w:w="1548" w:type="dxa"/>
            <w:shd w:val="clear" w:color="auto" w:fill="FFFFFF"/>
          </w:tcPr>
          <w:p w14:paraId="3A1C54C3" w14:textId="77777777" w:rsidR="004B4E35" w:rsidRPr="00405303" w:rsidRDefault="009E6F82" w:rsidP="00C15251">
            <w:pPr>
              <w:jc w:val="both"/>
              <w:rPr>
                <w:bCs/>
                <w:color w:val="002060"/>
                <w:sz w:val="16"/>
                <w:szCs w:val="16"/>
              </w:rPr>
            </w:pPr>
            <w:r w:rsidRPr="00405303">
              <w:rPr>
                <w:bCs/>
                <w:color w:val="002060"/>
                <w:sz w:val="16"/>
                <w:szCs w:val="16"/>
              </w:rPr>
              <w:t>Август 31 1917</w:t>
            </w:r>
          </w:p>
        </w:tc>
        <w:tc>
          <w:tcPr>
            <w:tcW w:w="1170" w:type="dxa"/>
            <w:shd w:val="clear" w:color="auto" w:fill="FFFFFF"/>
          </w:tcPr>
          <w:p w14:paraId="6BEC8272" w14:textId="77777777" w:rsidR="004B4E35" w:rsidRPr="00405303" w:rsidRDefault="009E6F82" w:rsidP="00C15251">
            <w:pPr>
              <w:jc w:val="both"/>
              <w:rPr>
                <w:bCs/>
                <w:color w:val="002060"/>
                <w:sz w:val="16"/>
                <w:szCs w:val="16"/>
              </w:rPr>
            </w:pPr>
            <w:r w:rsidRPr="00405303">
              <w:rPr>
                <w:bCs/>
                <w:color w:val="002060"/>
                <w:sz w:val="16"/>
                <w:szCs w:val="16"/>
              </w:rPr>
              <w:t>4</w:t>
            </w:r>
          </w:p>
        </w:tc>
        <w:tc>
          <w:tcPr>
            <w:tcW w:w="6858" w:type="dxa"/>
            <w:shd w:val="clear" w:color="auto" w:fill="FFFFFF"/>
          </w:tcPr>
          <w:p w14:paraId="6B5545CC" w14:textId="77777777" w:rsidR="004B4E35" w:rsidRPr="00405303" w:rsidRDefault="009E6F82" w:rsidP="00C15251">
            <w:pPr>
              <w:jc w:val="both"/>
              <w:rPr>
                <w:bCs/>
                <w:color w:val="002060"/>
                <w:sz w:val="16"/>
                <w:szCs w:val="16"/>
              </w:rPr>
            </w:pPr>
            <w:r w:rsidRPr="00405303">
              <w:rPr>
                <w:bCs/>
                <w:color w:val="002060"/>
                <w:sz w:val="16"/>
                <w:szCs w:val="16"/>
              </w:rPr>
              <w:t>контракт на ранее приобретенные аппараты (2807)</w:t>
            </w:r>
          </w:p>
        </w:tc>
      </w:tr>
    </w:tbl>
    <w:p w14:paraId="26718654" w14:textId="77777777" w:rsidR="004B4E35" w:rsidRPr="00405303" w:rsidRDefault="004B4E35" w:rsidP="00C15251">
      <w:pPr>
        <w:shd w:val="clear" w:color="auto" w:fill="FFFFFF"/>
        <w:jc w:val="both"/>
        <w:rPr>
          <w:bCs/>
          <w:color w:val="002060"/>
          <w:sz w:val="16"/>
          <w:szCs w:val="16"/>
        </w:rPr>
      </w:pPr>
    </w:p>
    <w:p w14:paraId="6C3B0EFE" w14:textId="7B4BB948" w:rsidR="004B4E35" w:rsidRPr="00405303" w:rsidRDefault="009E6F82" w:rsidP="00C15251">
      <w:pPr>
        <w:shd w:val="clear" w:color="auto" w:fill="FFFFFF"/>
        <w:jc w:val="both"/>
        <w:rPr>
          <w:bCs/>
          <w:color w:val="002060"/>
          <w:sz w:val="16"/>
          <w:szCs w:val="16"/>
        </w:rPr>
      </w:pPr>
      <w:r w:rsidRPr="00405303">
        <w:rPr>
          <w:bCs/>
          <w:color w:val="002060"/>
          <w:sz w:val="16"/>
          <w:szCs w:val="16"/>
        </w:rPr>
        <w:t>12 (25) ноября 1915 г.</w:t>
      </w:r>
      <w:r w:rsidR="003770D9" w:rsidRPr="00405303">
        <w:rPr>
          <w:bCs/>
          <w:color w:val="002060"/>
          <w:sz w:val="16"/>
          <w:szCs w:val="16"/>
        </w:rPr>
        <w:t xml:space="preserve"> с Анатрой</w:t>
      </w:r>
      <w:r w:rsidRPr="00405303">
        <w:rPr>
          <w:bCs/>
          <w:color w:val="002060"/>
          <w:sz w:val="16"/>
          <w:szCs w:val="16"/>
        </w:rPr>
        <w:t xml:space="preserve"> был подписан контракт № 30033, предус</w:t>
      </w:r>
      <w:r w:rsidRPr="00405303">
        <w:rPr>
          <w:bCs/>
          <w:color w:val="002060"/>
          <w:sz w:val="16"/>
          <w:szCs w:val="16"/>
        </w:rPr>
        <w:softHyphen/>
        <w:t>матривавший поставку десяти самолетов «Фар</w:t>
      </w:r>
      <w:r w:rsidRPr="00405303">
        <w:rPr>
          <w:bCs/>
          <w:color w:val="002060"/>
          <w:sz w:val="16"/>
          <w:szCs w:val="16"/>
        </w:rPr>
        <w:softHyphen/>
        <w:t>ман IV» по цене 4875 руб. В соответствии с приня</w:t>
      </w:r>
      <w:r w:rsidRPr="00405303">
        <w:rPr>
          <w:bCs/>
          <w:color w:val="002060"/>
          <w:sz w:val="16"/>
          <w:szCs w:val="16"/>
        </w:rPr>
        <w:softHyphen/>
        <w:t>той в России практикой, аппараты поставлялись без моторов и винтов. Обычно партии самолетов сдавали, используя 1-2 двигателя, которые по очереди устанавливали на подлежащие облету машины. Сроки выполнения заказа определялись довольно жесткие — к 6 января 1916 г. Вполне ес</w:t>
      </w:r>
      <w:r w:rsidRPr="00405303">
        <w:rPr>
          <w:bCs/>
          <w:color w:val="002060"/>
          <w:sz w:val="16"/>
          <w:szCs w:val="16"/>
        </w:rPr>
        <w:softHyphen/>
        <w:t>тественно, что недавно родившееся предприятие не смогло их выдержать — первые 5 самолетов представитель Центрального воздухоплавательного склада при</w:t>
      </w:r>
      <w:r w:rsidRPr="00405303">
        <w:rPr>
          <w:bCs/>
          <w:color w:val="002060"/>
          <w:sz w:val="16"/>
          <w:szCs w:val="16"/>
        </w:rPr>
        <w:softHyphen/>
        <w:t>нял лишь 29 марта, а вторую партию передали Севастопольской авиашколе 24 июня 1916 г (11124).</w:t>
      </w:r>
    </w:p>
    <w:p w14:paraId="30BB153E" w14:textId="77777777" w:rsidR="004B4E35" w:rsidRPr="00405303" w:rsidRDefault="004B4E35" w:rsidP="00C15251">
      <w:pPr>
        <w:shd w:val="clear" w:color="auto" w:fill="FFFFFF"/>
        <w:jc w:val="both"/>
        <w:rPr>
          <w:bCs/>
          <w:color w:val="002060"/>
          <w:sz w:val="16"/>
          <w:szCs w:val="16"/>
        </w:rPr>
      </w:pPr>
    </w:p>
    <w:p w14:paraId="1DDBFAA7" w14:textId="17EE2AE3" w:rsidR="003770D9" w:rsidRPr="00405303" w:rsidRDefault="003770D9" w:rsidP="00C15251">
      <w:pPr>
        <w:pStyle w:val="15"/>
        <w:spacing w:before="0" w:after="0"/>
        <w:jc w:val="both"/>
        <w:rPr>
          <w:bCs/>
          <w:color w:val="002060"/>
          <w:sz w:val="16"/>
          <w:szCs w:val="16"/>
        </w:rPr>
      </w:pPr>
      <w:r w:rsidRPr="00405303">
        <w:rPr>
          <w:bCs/>
          <w:color w:val="002060"/>
          <w:sz w:val="16"/>
          <w:szCs w:val="16"/>
        </w:rPr>
        <w:t>12 (25) ноября 1915 г. с заводом Анатра был подписан контракт № 30033, предусматривавший поставку десяти самолетов «Фарман IV» по цене 4875 руб. В соответствии с принятой в России практикой, аппараты поставлялись без моторов и винтов. Обычно партии самолетов сдавали, используя 1-2 двигателя, которые по очереди устанавливали на подлежащие облету машины. Сроки выполнения заказа определялись довольно жесткие — к 6 января 1916 г. Вполне естественно, что недавно родившееся предприятие не смогло их выдержать — первые 5 самолетов представитель Центрального воздухоплавательного склада принял лишь 29 марта, а вторую партию передали Севастопольской авиашколе 24 июня 1916 г. (12252).</w:t>
      </w:r>
    </w:p>
    <w:p w14:paraId="1B2B9DFB" w14:textId="77777777" w:rsidR="003770D9" w:rsidRPr="00405303" w:rsidRDefault="003770D9" w:rsidP="00C15251">
      <w:pPr>
        <w:pStyle w:val="15"/>
        <w:spacing w:before="0" w:after="0"/>
        <w:jc w:val="both"/>
        <w:rPr>
          <w:bCs/>
          <w:color w:val="002060"/>
          <w:sz w:val="16"/>
          <w:szCs w:val="16"/>
        </w:rPr>
      </w:pPr>
    </w:p>
    <w:p w14:paraId="142AC5D1"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47F391AE" w14:textId="77777777" w:rsidR="004B4E35" w:rsidRPr="00405303" w:rsidRDefault="004B4E35" w:rsidP="00C15251">
      <w:pPr>
        <w:shd w:val="clear" w:color="auto" w:fill="FFFFFF"/>
        <w:jc w:val="both"/>
        <w:rPr>
          <w:bCs/>
          <w:i/>
          <w:color w:val="002060"/>
          <w:sz w:val="16"/>
          <w:szCs w:val="16"/>
        </w:rPr>
      </w:pPr>
    </w:p>
    <w:p w14:paraId="40A49FA2" w14:textId="65A7A092" w:rsidR="004B4E35" w:rsidRPr="00405303" w:rsidRDefault="003770D9" w:rsidP="00C15251">
      <w:pPr>
        <w:jc w:val="both"/>
        <w:rPr>
          <w:bCs/>
          <w:color w:val="002060"/>
          <w:sz w:val="16"/>
          <w:szCs w:val="16"/>
        </w:rPr>
      </w:pPr>
      <w:r w:rsidRPr="00405303">
        <w:rPr>
          <w:bCs/>
          <w:color w:val="002060"/>
          <w:sz w:val="16"/>
          <w:szCs w:val="16"/>
        </w:rPr>
        <w:t xml:space="preserve">12 (15) ноября 1915 г. </w:t>
      </w:r>
      <w:r w:rsidR="009E6F82" w:rsidRPr="00405303">
        <w:rPr>
          <w:bCs/>
          <w:color w:val="002060"/>
          <w:sz w:val="16"/>
          <w:szCs w:val="16"/>
        </w:rPr>
        <w:t xml:space="preserve">Тамбовский казенный пороховой завод введен в строй приказом по заводу № 1 от 12.11.1915 г. </w:t>
      </w:r>
      <w:r w:rsidRPr="00405303">
        <w:rPr>
          <w:bCs/>
          <w:color w:val="002060"/>
          <w:sz w:val="16"/>
          <w:szCs w:val="16"/>
        </w:rPr>
        <w:t>(ГС завод № 204 НКОП, НКБ, Тамбовский пороховой завод ВСНХ, завод «Красный боевик» ВСНХ, НКТП, Завод № 25 НКТП, п/я 33, ГУП, ФГУП «Котовский завод пластмасс» (КЗП) Росбоеприпаса, ФАП, ФКП «Тамбовский пороховой завод» ФАП /г. Тамбов (1927 г.); пос. Красный боевик Тамбовской обл.;</w:t>
      </w:r>
      <w:r w:rsidR="000F5756">
        <w:rPr>
          <w:bCs/>
          <w:color w:val="002060"/>
          <w:sz w:val="16"/>
          <w:szCs w:val="16"/>
        </w:rPr>
        <w:t xml:space="preserve"> </w:t>
      </w:r>
      <w:r w:rsidRPr="00405303">
        <w:rPr>
          <w:bCs/>
          <w:color w:val="002060"/>
          <w:sz w:val="16"/>
          <w:szCs w:val="16"/>
        </w:rPr>
        <w:t>г. Котовск п/я 33 «Боевик» (1943 г.)/ /393190</w:t>
      </w:r>
      <w:r w:rsidR="000F5756">
        <w:rPr>
          <w:bCs/>
          <w:color w:val="002060"/>
          <w:sz w:val="16"/>
          <w:szCs w:val="16"/>
        </w:rPr>
        <w:t xml:space="preserve"> </w:t>
      </w:r>
      <w:r w:rsidRPr="00405303">
        <w:rPr>
          <w:bCs/>
          <w:color w:val="002060"/>
          <w:sz w:val="16"/>
          <w:szCs w:val="16"/>
        </w:rPr>
        <w:t xml:space="preserve">г. Котовск Тамбовской обл. пр. Труда, 23 тел. 22-759/) </w:t>
      </w:r>
      <w:r w:rsidR="009E6F82" w:rsidRPr="00405303">
        <w:rPr>
          <w:bCs/>
          <w:color w:val="002060"/>
          <w:sz w:val="16"/>
          <w:szCs w:val="16"/>
        </w:rPr>
        <w:t>В 12.1916 г. выпущена первая продукция - винтовочный порох.</w:t>
      </w:r>
    </w:p>
    <w:p w14:paraId="068CE6D7" w14:textId="11D6C7E3" w:rsidR="004B4E35" w:rsidRPr="00405303" w:rsidRDefault="009E6F82" w:rsidP="00C15251">
      <w:pPr>
        <w:jc w:val="both"/>
        <w:rPr>
          <w:bCs/>
          <w:color w:val="002060"/>
          <w:sz w:val="16"/>
          <w:szCs w:val="16"/>
        </w:rPr>
      </w:pPr>
      <w:r w:rsidRPr="00405303">
        <w:rPr>
          <w:bCs/>
          <w:color w:val="002060"/>
          <w:sz w:val="16"/>
          <w:szCs w:val="16"/>
        </w:rPr>
        <w:t>В 1919 г. завод и поселок получил название «Красный боевик». До начала 1930-х</w:t>
      </w:r>
      <w:r w:rsidR="000F5756">
        <w:rPr>
          <w:bCs/>
          <w:color w:val="002060"/>
          <w:sz w:val="16"/>
          <w:szCs w:val="16"/>
        </w:rPr>
        <w:t xml:space="preserve"> </w:t>
      </w:r>
      <w:r w:rsidRPr="00405303">
        <w:rPr>
          <w:bCs/>
          <w:color w:val="002060"/>
          <w:sz w:val="16"/>
          <w:szCs w:val="16"/>
        </w:rPr>
        <w:t xml:space="preserve">г. на заводе лишь перерабатывались импортные и трофейные пороха, в 1932 г. выпущен первый пироксилиновый </w:t>
      </w:r>
      <w:r w:rsidRPr="00405303">
        <w:rPr>
          <w:bCs/>
          <w:color w:val="002060"/>
          <w:sz w:val="16"/>
          <w:szCs w:val="16"/>
          <w:lang w:val="en-US"/>
        </w:rPr>
        <w:t>iiuj</w:t>
      </w:r>
      <w:r w:rsidRPr="00405303">
        <w:rPr>
          <w:bCs/>
          <w:color w:val="002060"/>
          <w:sz w:val="16"/>
          <w:szCs w:val="16"/>
        </w:rPr>
        <w:t>., произведенный самостоятельно. Приказом № 0021 от 3.02.1937 г. заводу предписано к 1.01.1938 г. создать мощности по выпуску пороха - 20 тыс. т в год; приказом № 046с от 9.03.1937 г. - построить в 1937 г. рекуперационную и ректификационную установки.</w:t>
      </w:r>
    </w:p>
    <w:p w14:paraId="6680898A" w14:textId="77777777" w:rsidR="004B4E35" w:rsidRPr="00405303" w:rsidRDefault="009E6F82" w:rsidP="00C15251">
      <w:pPr>
        <w:jc w:val="both"/>
        <w:rPr>
          <w:bCs/>
          <w:color w:val="002060"/>
          <w:sz w:val="16"/>
          <w:szCs w:val="16"/>
        </w:rPr>
      </w:pPr>
      <w:r w:rsidRPr="00405303">
        <w:rPr>
          <w:bCs/>
          <w:color w:val="002060"/>
          <w:sz w:val="16"/>
          <w:szCs w:val="16"/>
        </w:rPr>
        <w:t>В 1924 г. Тамбовский пороховой завод - в ведении ГУВП. В соответствии с пост. СНК от 27.04.1926 г. по пр. ВСНХ/НКВМ/ОГПУ № 73сс от 9.07.1927 г. Тамбовский пороховой завод с 1.10.1927 г. переименован в завод «Красный боевик» в ведении Вохимтреста УВП ВСНХ.</w:t>
      </w:r>
      <w:r w:rsidRPr="00405303">
        <w:rPr>
          <w:bCs/>
          <w:color w:val="002060"/>
          <w:sz w:val="16"/>
          <w:szCs w:val="16"/>
          <w:vertAlign w:val="superscript"/>
        </w:rPr>
        <w:t>133</w:t>
      </w:r>
      <w:r w:rsidRPr="00405303">
        <w:rPr>
          <w:bCs/>
          <w:color w:val="002060"/>
          <w:sz w:val="16"/>
          <w:szCs w:val="16"/>
        </w:rPr>
        <w:t xml:space="preserve"> К 1933 г. передан другому ведомству." В соответствии с пост. СНК № 2139-425сс от 21.12.1936 г. и пр. НКОП № 05с от 29.12.1936 г. завод «Красный боевик» (именовался также завод № 25) передан из Порохового треста НКТП в ГУ военно-химической промышленности НКОП, по пр. № Обсс от 30.12.1936 г. переименован в завод № 204. Приказом № 107 от 21.03.1937 г. утвержден Устав ГС завода № 204 6ГУ НКОП. В соответствии с пост. СНК № 1960-390сс от 5.11.1936 г. и пр. № 068 от 2.04.1937 г. завод переведен в группу особо режимных предприятий. По пр. № 0089 от 20.04.1937 г. передан из 6ГУ в новое 11ГУ. В 02.1939 г. завод № 204 11ГУ НКОП передан в ведение 11ГУ НКБ, в 12.1942-04.1943 г. - в ведении ЗГУ НКБ, в 08.1943-09.1944 г. - в ведении 9ГУ.</w:t>
      </w:r>
    </w:p>
    <w:p w14:paraId="6C295F41" w14:textId="77777777" w:rsidR="004B4E35" w:rsidRPr="00405303" w:rsidRDefault="009E6F82" w:rsidP="00C15251">
      <w:pPr>
        <w:jc w:val="both"/>
        <w:rPr>
          <w:bCs/>
          <w:color w:val="002060"/>
          <w:sz w:val="16"/>
          <w:szCs w:val="16"/>
        </w:rPr>
      </w:pPr>
      <w:r w:rsidRPr="00405303">
        <w:rPr>
          <w:bCs/>
          <w:color w:val="002060"/>
          <w:sz w:val="16"/>
          <w:szCs w:val="16"/>
        </w:rPr>
        <w:t>Проектная мощность завода: на 1.07.1941 г.- 1500 т пироксилинового пороха в месяц; перед эвакуацией: пироксилиновый порох- 22 тыс. т в год; олеум- 10 тыс. т; азотная кислота- 9 тыс. т.</w:t>
      </w:r>
    </w:p>
    <w:p w14:paraId="0A381E94" w14:textId="77777777" w:rsidR="004B4E35" w:rsidRPr="00405303" w:rsidRDefault="009E6F82" w:rsidP="00C15251">
      <w:pPr>
        <w:jc w:val="both"/>
        <w:rPr>
          <w:bCs/>
          <w:color w:val="002060"/>
          <w:sz w:val="16"/>
          <w:szCs w:val="16"/>
        </w:rPr>
      </w:pPr>
      <w:r w:rsidRPr="00405303">
        <w:rPr>
          <w:bCs/>
          <w:color w:val="002060"/>
          <w:sz w:val="16"/>
          <w:szCs w:val="16"/>
        </w:rPr>
        <w:t>В начале войны завод № 204 ЗГУ частично эвакуирован на завод № 850. 27.12.1941 г. вышло постановление ГКО № 1071 о восстановлении производства пироксилиновых порохов на заводе № 204. В 07.1942 г. закончена реэвакуация и восстановление производства. Проектная мощность завода: на 1.01.1942 г. - 80</w:t>
      </w:r>
      <w:r w:rsidRPr="00405303">
        <w:rPr>
          <w:bCs/>
          <w:color w:val="002060"/>
          <w:sz w:val="16"/>
          <w:szCs w:val="16"/>
          <w:lang w:val="en-US"/>
        </w:rPr>
        <w:t>Q</w:t>
      </w:r>
      <w:r w:rsidRPr="00405303">
        <w:rPr>
          <w:bCs/>
          <w:color w:val="002060"/>
          <w:sz w:val="16"/>
          <w:szCs w:val="16"/>
        </w:rPr>
        <w:t xml:space="preserve"> т в месяц; выпускал в конце 1941-начале 1942 г.- 200...300 т в месяц. В 07.1942 г. вышло постановление ГКО (возможно, № 2009 от 10.07.1942 г.) об увеличении производственной мощности завода № 204 в 1,7 раза по сравнению с довоенной. Проектная мощность на 1.01.1943 г.- 1800, на 1.01.1945 г.- 2500 т в месяц.</w:t>
      </w:r>
    </w:p>
    <w:p w14:paraId="25F9BEDA" w14:textId="77777777" w:rsidR="004B4E35" w:rsidRPr="00405303" w:rsidRDefault="009E6F82" w:rsidP="00C15251">
      <w:pPr>
        <w:jc w:val="both"/>
        <w:rPr>
          <w:bCs/>
          <w:color w:val="002060"/>
          <w:sz w:val="16"/>
          <w:szCs w:val="16"/>
        </w:rPr>
      </w:pPr>
      <w:r w:rsidRPr="00405303">
        <w:rPr>
          <w:bCs/>
          <w:color w:val="002060"/>
          <w:sz w:val="16"/>
          <w:szCs w:val="16"/>
        </w:rPr>
        <w:t>В конце 1941 г. на заводе разработаны и производились противотанковые гранаты, в конце 1942 г. освоен выпуск зарядов из смеси пироксилинового пороха собственного производства и импортного. В годы ВОВ произведено 110 тыс. т. пироксилинового пороха и 50 млн. зарядов для бронебойных снарядов (85-мм зенитные орудия, 76-мм пушки, 152-мм пушки-гаубицы, зарядов к 57-мм пушкам ЗИС-2, пороха 4/7 для авиационного пулемета, винтовочного пороха под пулю Б-32, пороха 22/1 для 122-мм пушки А-19).</w:t>
      </w:r>
    </w:p>
    <w:p w14:paraId="791B75AD" w14:textId="77777777" w:rsidR="004B4E35" w:rsidRPr="00405303" w:rsidRDefault="009E6F82" w:rsidP="00C15251">
      <w:pPr>
        <w:jc w:val="both"/>
        <w:rPr>
          <w:bCs/>
          <w:color w:val="002060"/>
          <w:sz w:val="16"/>
          <w:szCs w:val="16"/>
        </w:rPr>
      </w:pPr>
      <w:r w:rsidRPr="00405303">
        <w:rPr>
          <w:bCs/>
          <w:color w:val="002060"/>
          <w:sz w:val="16"/>
          <w:szCs w:val="16"/>
        </w:rPr>
        <w:t xml:space="preserve">В составе завода (1943 г.): основные производства: сернокислотное, азотнокислотное, пироксилиновое, </w:t>
      </w:r>
      <w:proofErr w:type="gramStart"/>
      <w:r w:rsidRPr="00405303">
        <w:rPr>
          <w:bCs/>
          <w:color w:val="002060"/>
          <w:sz w:val="16"/>
          <w:szCs w:val="16"/>
        </w:rPr>
        <w:t>спирто-эфирное</w:t>
      </w:r>
      <w:proofErr w:type="gramEnd"/>
      <w:r w:rsidRPr="00405303">
        <w:rPr>
          <w:bCs/>
          <w:color w:val="002060"/>
          <w:sz w:val="16"/>
          <w:szCs w:val="16"/>
        </w:rPr>
        <w:t>, пороховое, зарядное, целлулоидное; вспомогательные: стрельбище, металло-тарный цех, ремонтно-механическая мастерская, энергосектор, транспортный отдел.</w:t>
      </w:r>
    </w:p>
    <w:p w14:paraId="2D7E6ECD" w14:textId="3F4F1CEB" w:rsidR="004B4E35" w:rsidRPr="00405303" w:rsidRDefault="009E6F82" w:rsidP="00C15251">
      <w:pPr>
        <w:jc w:val="both"/>
        <w:rPr>
          <w:bCs/>
          <w:color w:val="002060"/>
          <w:sz w:val="16"/>
          <w:szCs w:val="16"/>
        </w:rPr>
      </w:pPr>
      <w:r w:rsidRPr="00405303">
        <w:rPr>
          <w:bCs/>
          <w:color w:val="002060"/>
          <w:sz w:val="16"/>
          <w:szCs w:val="16"/>
        </w:rPr>
        <w:t>После войны освоен выпуск целлулоида, пенопласта, обувного гранитоля, этрола, лакокрасочных материалов. В 1970-х</w:t>
      </w:r>
      <w:r w:rsidR="000F5756">
        <w:rPr>
          <w:bCs/>
          <w:color w:val="002060"/>
          <w:sz w:val="16"/>
          <w:szCs w:val="16"/>
        </w:rPr>
        <w:t xml:space="preserve"> </w:t>
      </w:r>
      <w:r w:rsidRPr="00405303">
        <w:rPr>
          <w:bCs/>
          <w:color w:val="002060"/>
          <w:sz w:val="16"/>
          <w:szCs w:val="16"/>
        </w:rPr>
        <w:t>г. начато производство нетканых материалов, синтетической кожи, с начала 1990-х</w:t>
      </w:r>
      <w:r w:rsidR="000F5756">
        <w:rPr>
          <w:bCs/>
          <w:color w:val="002060"/>
          <w:sz w:val="16"/>
          <w:szCs w:val="16"/>
        </w:rPr>
        <w:t xml:space="preserve"> </w:t>
      </w:r>
      <w:r w:rsidRPr="00405303">
        <w:rPr>
          <w:bCs/>
          <w:color w:val="002060"/>
          <w:sz w:val="16"/>
          <w:szCs w:val="16"/>
        </w:rPr>
        <w:t>г.- пластикатов, охотничьих порохов. В 2000-е</w:t>
      </w:r>
      <w:r w:rsidR="000F5756">
        <w:rPr>
          <w:bCs/>
          <w:color w:val="002060"/>
          <w:sz w:val="16"/>
          <w:szCs w:val="16"/>
        </w:rPr>
        <w:t xml:space="preserve"> </w:t>
      </w:r>
      <w:r w:rsidRPr="00405303">
        <w:rPr>
          <w:bCs/>
          <w:color w:val="002060"/>
          <w:sz w:val="16"/>
          <w:szCs w:val="16"/>
        </w:rPr>
        <w:t>г. проведена реконструкция, построены новые корпуса, пущен участок по производству пигментных паст, пентафталевых эмалей, линия ПВА дисперсии.</w:t>
      </w:r>
    </w:p>
    <w:p w14:paraId="666D792D" w14:textId="77777777" w:rsidR="004B4E35" w:rsidRPr="00405303" w:rsidRDefault="009E6F82" w:rsidP="00C15251">
      <w:pPr>
        <w:jc w:val="both"/>
        <w:rPr>
          <w:bCs/>
          <w:color w:val="002060"/>
          <w:sz w:val="16"/>
          <w:szCs w:val="16"/>
        </w:rPr>
      </w:pPr>
      <w:r w:rsidRPr="00405303">
        <w:rPr>
          <w:bCs/>
          <w:color w:val="002060"/>
          <w:sz w:val="16"/>
          <w:szCs w:val="16"/>
        </w:rPr>
        <w:t>КЗП являлся градообразующим предприятием.</w:t>
      </w:r>
    </w:p>
    <w:p w14:paraId="10CE90DD" w14:textId="77777777" w:rsidR="004B4E35" w:rsidRPr="00405303" w:rsidRDefault="009E6F82" w:rsidP="00C15251">
      <w:pPr>
        <w:jc w:val="both"/>
        <w:rPr>
          <w:bCs/>
          <w:color w:val="002060"/>
          <w:sz w:val="16"/>
          <w:szCs w:val="16"/>
        </w:rPr>
      </w:pPr>
      <w:r w:rsidRPr="00405303">
        <w:rPr>
          <w:bCs/>
          <w:color w:val="002060"/>
          <w:sz w:val="16"/>
          <w:szCs w:val="16"/>
        </w:rPr>
        <w:t>Производство (2005 г.): бронебойные подкалиберные выстрелы для танковых пушек; пироксилиновые пороха.</w:t>
      </w:r>
    </w:p>
    <w:p w14:paraId="5F9815C5" w14:textId="77777777" w:rsidR="004B4E35" w:rsidRPr="00405303" w:rsidRDefault="009E6F82" w:rsidP="00C15251">
      <w:pPr>
        <w:jc w:val="both"/>
        <w:rPr>
          <w:bCs/>
          <w:color w:val="002060"/>
          <w:sz w:val="16"/>
          <w:szCs w:val="16"/>
        </w:rPr>
      </w:pPr>
      <w:r w:rsidRPr="00405303">
        <w:rPr>
          <w:bCs/>
          <w:color w:val="002060"/>
          <w:sz w:val="16"/>
          <w:szCs w:val="16"/>
        </w:rPr>
        <w:t>В 1996 г. вошел в состав ТПФГ «Точность». По Указу Президента РФ № 1009 от 4.08.2004 г. вошел в число стратегических оборонных предприятий. В 2006 г. ФГУП КЗП преобразовано в ФКП «Тамбовский пороховой завод». По приказу ФАП № 56 от 5.02.2007 г. завод вошел в состав НП «Пороховые заводы».</w:t>
      </w:r>
    </w:p>
    <w:p w14:paraId="68881C34" w14:textId="77777777" w:rsidR="004B4E35" w:rsidRPr="00405303" w:rsidRDefault="009E6F82" w:rsidP="00C15251">
      <w:pPr>
        <w:jc w:val="both"/>
        <w:rPr>
          <w:bCs/>
          <w:color w:val="002060"/>
          <w:sz w:val="16"/>
          <w:szCs w:val="16"/>
        </w:rPr>
      </w:pPr>
      <w:r w:rsidRPr="00405303">
        <w:rPr>
          <w:bCs/>
          <w:color w:val="002060"/>
          <w:sz w:val="16"/>
          <w:szCs w:val="16"/>
        </w:rPr>
        <w:t>Площадь (1943 г.): производственная- 85645 м</w:t>
      </w:r>
      <w:r w:rsidRPr="00405303">
        <w:rPr>
          <w:bCs/>
          <w:color w:val="002060"/>
          <w:sz w:val="16"/>
          <w:szCs w:val="16"/>
          <w:vertAlign w:val="superscript"/>
        </w:rPr>
        <w:t>2</w:t>
      </w:r>
      <w:r w:rsidRPr="00405303">
        <w:rPr>
          <w:bCs/>
          <w:color w:val="002060"/>
          <w:sz w:val="16"/>
          <w:szCs w:val="16"/>
        </w:rPr>
        <w:t>; вспомогательная- 42497 м</w:t>
      </w:r>
      <w:r w:rsidRPr="00405303">
        <w:rPr>
          <w:bCs/>
          <w:color w:val="002060"/>
          <w:sz w:val="16"/>
          <w:szCs w:val="16"/>
          <w:vertAlign w:val="superscript"/>
        </w:rPr>
        <w:t>2</w:t>
      </w:r>
      <w:r w:rsidRPr="00405303">
        <w:rPr>
          <w:bCs/>
          <w:color w:val="002060"/>
          <w:sz w:val="16"/>
          <w:szCs w:val="16"/>
        </w:rPr>
        <w:t>; прочая- 30737 м</w:t>
      </w:r>
      <w:r w:rsidRPr="00405303">
        <w:rPr>
          <w:bCs/>
          <w:color w:val="002060"/>
          <w:sz w:val="16"/>
          <w:szCs w:val="16"/>
          <w:vertAlign w:val="superscript"/>
        </w:rPr>
        <w:t>2</w:t>
      </w:r>
      <w:r w:rsidRPr="00405303">
        <w:rPr>
          <w:bCs/>
          <w:color w:val="002060"/>
          <w:sz w:val="16"/>
          <w:szCs w:val="16"/>
        </w:rPr>
        <w:t>.</w:t>
      </w:r>
    </w:p>
    <w:p w14:paraId="48AED779" w14:textId="77777777" w:rsidR="004B4E35" w:rsidRPr="00405303" w:rsidRDefault="009E6F82" w:rsidP="00C15251">
      <w:pPr>
        <w:jc w:val="both"/>
        <w:rPr>
          <w:bCs/>
          <w:color w:val="002060"/>
          <w:sz w:val="16"/>
          <w:szCs w:val="16"/>
        </w:rPr>
      </w:pPr>
      <w:r w:rsidRPr="00405303">
        <w:rPr>
          <w:bCs/>
          <w:color w:val="002060"/>
          <w:sz w:val="16"/>
          <w:szCs w:val="16"/>
        </w:rPr>
        <w:t>Численность персонала (до революции)- 6000 чел., (12.1942 г.)- 7901 чел.</w:t>
      </w:r>
    </w:p>
    <w:p w14:paraId="768D1BF7" w14:textId="77777777" w:rsidR="004B4E35" w:rsidRPr="00405303" w:rsidRDefault="009E6F82" w:rsidP="00C15251">
      <w:pPr>
        <w:jc w:val="both"/>
        <w:rPr>
          <w:bCs/>
          <w:color w:val="002060"/>
          <w:sz w:val="16"/>
          <w:szCs w:val="16"/>
        </w:rPr>
      </w:pPr>
      <w:r w:rsidRPr="00405303">
        <w:rPr>
          <w:bCs/>
          <w:color w:val="002060"/>
          <w:sz w:val="16"/>
          <w:szCs w:val="16"/>
        </w:rPr>
        <w:t>Начальник (1914 г.-)- г-м Т.С. Мионичинский; и.о. (09.1915 г.)- п И.А. Скосырский; (1927 г.)- М. Моисеев, Ш. Зайденберг, П. Козловский, (-06-22.И.1937 г.)- И. Г. Семенов (снят). Директор (13.01.1938-40 г.)- М.П. Дынкин, (1940-42 г.)- Ф.К. Губанов, (04.1942-44 г.-)- Н.Е. Стрельцов, (1945 г.)- В.Л. Ивченков; и.о. начальника (1946-47 г.)- С.И. Айзенберг, (1947-68 г.)- Т.А. Долматов, (1968-75 г.)- Н.Б. Письменный, (1975-83 г.)- В.И. Паничкин, (1983- 89 г.)- В.М. Бедный, (1989 г.-)- Н.П. Горохов. Гендиректор (05.2005-07 г.-)- В.Ф. Харитонов.</w:t>
      </w:r>
    </w:p>
    <w:p w14:paraId="1E76B8DC" w14:textId="77777777" w:rsidR="004B4E35" w:rsidRPr="00405303" w:rsidRDefault="009E6F82" w:rsidP="00C15251">
      <w:pPr>
        <w:jc w:val="both"/>
        <w:rPr>
          <w:bCs/>
          <w:color w:val="002060"/>
          <w:sz w:val="16"/>
          <w:szCs w:val="16"/>
        </w:rPr>
      </w:pPr>
      <w:r w:rsidRPr="00405303">
        <w:rPr>
          <w:bCs/>
          <w:color w:val="002060"/>
          <w:sz w:val="16"/>
          <w:szCs w:val="16"/>
        </w:rPr>
        <w:t>Помощник начальника (директора): по строительной части (1914 г.-)- Д.К. Квятковский; по технической части (1914 г.-)- м Н.С. Деханов; по хозяйственной части (1914 г.-)- пп М.Н. Рубан; по найму и увольнению (31.05.1938 г.-)- Н.Т. Панин; (-29.11.1937 г.)- М.Е. Гусев.</w:t>
      </w:r>
    </w:p>
    <w:p w14:paraId="4B9E9993" w14:textId="77777777" w:rsidR="004B4E35" w:rsidRPr="00405303" w:rsidRDefault="009E6F82" w:rsidP="00C15251">
      <w:pPr>
        <w:jc w:val="both"/>
        <w:rPr>
          <w:bCs/>
          <w:color w:val="002060"/>
          <w:sz w:val="16"/>
          <w:szCs w:val="16"/>
        </w:rPr>
      </w:pPr>
      <w:r w:rsidRPr="00405303">
        <w:rPr>
          <w:bCs/>
          <w:color w:val="002060"/>
          <w:sz w:val="16"/>
          <w:szCs w:val="16"/>
        </w:rPr>
        <w:t>Технический директор (-7.06.1937 г.)- Д.И. Гальперин.</w:t>
      </w:r>
    </w:p>
    <w:p w14:paraId="1E768B73" w14:textId="77777777" w:rsidR="004B4E35" w:rsidRPr="00405303" w:rsidRDefault="009E6F82" w:rsidP="00C15251">
      <w:pPr>
        <w:jc w:val="both"/>
        <w:rPr>
          <w:bCs/>
          <w:color w:val="002060"/>
          <w:sz w:val="16"/>
          <w:szCs w:val="16"/>
        </w:rPr>
      </w:pPr>
      <w:r w:rsidRPr="00405303">
        <w:rPr>
          <w:bCs/>
          <w:color w:val="002060"/>
          <w:sz w:val="16"/>
          <w:szCs w:val="16"/>
        </w:rPr>
        <w:t>Гл. инженер (06.1937 г.)- Н.А. Волков, (1941 г.)- М.М. Тропп, (04.1943 г.)- С.И. Айзенбер г.</w:t>
      </w:r>
      <w:r w:rsidRPr="00405303">
        <w:rPr>
          <w:bCs/>
          <w:color w:val="002060"/>
          <w:sz w:val="16"/>
          <w:szCs w:val="16"/>
          <w:vertAlign w:val="superscript"/>
        </w:rPr>
        <w:t>55</w:t>
      </w:r>
      <w:r w:rsidRPr="00405303">
        <w:rPr>
          <w:bCs/>
          <w:color w:val="002060"/>
          <w:sz w:val="16"/>
          <w:szCs w:val="16"/>
        </w:rPr>
        <w:t>'</w:t>
      </w:r>
      <w:r w:rsidRPr="00405303">
        <w:rPr>
          <w:bCs/>
          <w:color w:val="002060"/>
          <w:sz w:val="16"/>
          <w:szCs w:val="16"/>
          <w:vertAlign w:val="superscript"/>
        </w:rPr>
        <w:t>56</w:t>
      </w:r>
    </w:p>
    <w:p w14:paraId="44D07599" w14:textId="77777777" w:rsidR="004B4E35" w:rsidRPr="00405303" w:rsidRDefault="009E6F82" w:rsidP="00C15251">
      <w:pPr>
        <w:jc w:val="both"/>
        <w:rPr>
          <w:bCs/>
          <w:color w:val="002060"/>
          <w:sz w:val="16"/>
          <w:szCs w:val="16"/>
        </w:rPr>
      </w:pPr>
      <w:r w:rsidRPr="00405303">
        <w:rPr>
          <w:bCs/>
          <w:color w:val="002060"/>
          <w:sz w:val="16"/>
          <w:szCs w:val="16"/>
        </w:rPr>
        <w:t>Зам. гл. инженера по по производству (1987 г.-)- Н.П. Горохов.</w:t>
      </w:r>
      <w:r w:rsidRPr="00405303">
        <w:rPr>
          <w:bCs/>
          <w:color w:val="002060"/>
          <w:sz w:val="16"/>
          <w:szCs w:val="16"/>
          <w:vertAlign w:val="superscript"/>
        </w:rPr>
        <w:t>101</w:t>
      </w:r>
    </w:p>
    <w:p w14:paraId="0C3C389D" w14:textId="77777777" w:rsidR="004B4E35" w:rsidRPr="00405303" w:rsidRDefault="009E6F82" w:rsidP="00C15251">
      <w:pPr>
        <w:jc w:val="both"/>
        <w:rPr>
          <w:bCs/>
          <w:color w:val="002060"/>
          <w:sz w:val="16"/>
          <w:szCs w:val="16"/>
        </w:rPr>
      </w:pPr>
      <w:r w:rsidRPr="00405303">
        <w:rPr>
          <w:bCs/>
          <w:color w:val="002060"/>
          <w:sz w:val="16"/>
          <w:szCs w:val="16"/>
        </w:rPr>
        <w:lastRenderedPageBreak/>
        <w:t>Гл. энергетик (1941 г.)- М.А. Кучеров. Гл. механик (1941 г.)- Я.Д. Плотников.</w:t>
      </w:r>
    </w:p>
    <w:p w14:paraId="7D54A431" w14:textId="20B73CD3" w:rsidR="004B4E35" w:rsidRPr="00405303" w:rsidRDefault="009E6F82" w:rsidP="00C15251">
      <w:pPr>
        <w:jc w:val="both"/>
        <w:rPr>
          <w:bCs/>
          <w:color w:val="002060"/>
          <w:sz w:val="16"/>
          <w:szCs w:val="16"/>
        </w:rPr>
      </w:pPr>
      <w:r w:rsidRPr="00405303">
        <w:rPr>
          <w:bCs/>
          <w:color w:val="002060"/>
          <w:sz w:val="16"/>
          <w:szCs w:val="16"/>
        </w:rPr>
        <w:t>Начальники цехов: (ВОВ)- Т.А. Далматов, (ВОВ)- И.Я. Забеленков, (ВОВ)- М.М. Курышев, (ВОВ)- Ф.А. Ремизов, (ВОВ)- А.К. Сакин. Комендант (1935-37 г.-)-</w:t>
      </w:r>
      <w:r w:rsidR="000F5756">
        <w:rPr>
          <w:bCs/>
          <w:color w:val="002060"/>
          <w:sz w:val="16"/>
          <w:szCs w:val="16"/>
        </w:rPr>
        <w:t xml:space="preserve"> </w:t>
      </w:r>
      <w:r w:rsidRPr="00405303">
        <w:rPr>
          <w:bCs/>
          <w:color w:val="002060"/>
          <w:sz w:val="16"/>
          <w:szCs w:val="16"/>
        </w:rPr>
        <w:t>Г.Ф. Федоров.</w:t>
      </w:r>
    </w:p>
    <w:p w14:paraId="332BDEBE" w14:textId="77777777" w:rsidR="004B4E35" w:rsidRPr="00405303" w:rsidRDefault="009E6F82" w:rsidP="00C15251">
      <w:pPr>
        <w:jc w:val="both"/>
        <w:rPr>
          <w:bCs/>
          <w:color w:val="002060"/>
          <w:sz w:val="16"/>
          <w:szCs w:val="16"/>
        </w:rPr>
      </w:pPr>
      <w:r w:rsidRPr="00405303">
        <w:rPr>
          <w:bCs/>
          <w:color w:val="002060"/>
          <w:sz w:val="16"/>
          <w:szCs w:val="16"/>
        </w:rPr>
        <w:t>Начальник ОТК (ВОВ)- Л.П. Хряпин.</w:t>
      </w:r>
    </w:p>
    <w:p w14:paraId="350CEB14" w14:textId="77777777" w:rsidR="004B4E35" w:rsidRPr="00405303" w:rsidRDefault="009E6F82" w:rsidP="00C15251">
      <w:pPr>
        <w:jc w:val="both"/>
        <w:rPr>
          <w:bCs/>
          <w:color w:val="002060"/>
          <w:sz w:val="16"/>
          <w:szCs w:val="16"/>
        </w:rPr>
      </w:pPr>
      <w:r w:rsidRPr="00405303">
        <w:rPr>
          <w:bCs/>
          <w:color w:val="002060"/>
          <w:sz w:val="16"/>
          <w:szCs w:val="16"/>
        </w:rPr>
        <w:t>Производство: порох пироксилиновый, заряды; олеум, азотная кислота, купоросное масло, пироксилин, эфир, спирт-ректификат, целлулоид, нитромастика (1943) (11982).</w:t>
      </w:r>
    </w:p>
    <w:p w14:paraId="4BA31FC1" w14:textId="77777777" w:rsidR="005C4C47" w:rsidRPr="00405303" w:rsidRDefault="005C4C47" w:rsidP="00C15251">
      <w:pPr>
        <w:jc w:val="both"/>
        <w:rPr>
          <w:bCs/>
          <w:color w:val="002060"/>
          <w:sz w:val="16"/>
          <w:szCs w:val="16"/>
        </w:rPr>
      </w:pPr>
    </w:p>
    <w:p w14:paraId="0F7B191D" w14:textId="4B0CD36D" w:rsidR="004B4E35" w:rsidRPr="00405303" w:rsidRDefault="009E6F82" w:rsidP="00C15251">
      <w:pPr>
        <w:jc w:val="both"/>
        <w:rPr>
          <w:bCs/>
          <w:color w:val="002060"/>
          <w:sz w:val="16"/>
          <w:szCs w:val="16"/>
        </w:rPr>
      </w:pPr>
      <w:r w:rsidRPr="00405303">
        <w:rPr>
          <w:bCs/>
          <w:color w:val="002060"/>
          <w:sz w:val="16"/>
          <w:szCs w:val="16"/>
        </w:rPr>
        <w:t xml:space="preserve">12 (25) ноября 1915 года первым приказом по </w:t>
      </w:r>
      <w:r w:rsidR="003770D9" w:rsidRPr="00405303">
        <w:rPr>
          <w:bCs/>
          <w:color w:val="002060"/>
          <w:sz w:val="16"/>
          <w:szCs w:val="16"/>
        </w:rPr>
        <w:t xml:space="preserve">Тамбовскому пороховому </w:t>
      </w:r>
      <w:r w:rsidRPr="00405303">
        <w:rPr>
          <w:bCs/>
          <w:color w:val="002060"/>
          <w:sz w:val="16"/>
          <w:szCs w:val="16"/>
        </w:rPr>
        <w:t>заводу было объявле­но о начале его действия.</w:t>
      </w:r>
    </w:p>
    <w:p w14:paraId="007F2B5C" w14:textId="77777777" w:rsidR="004B4E35" w:rsidRPr="00405303" w:rsidRDefault="009E6F82" w:rsidP="00C15251">
      <w:pPr>
        <w:jc w:val="both"/>
        <w:rPr>
          <w:bCs/>
          <w:color w:val="002060"/>
          <w:sz w:val="16"/>
          <w:szCs w:val="16"/>
        </w:rPr>
      </w:pPr>
      <w:r w:rsidRPr="00405303">
        <w:rPr>
          <w:bCs/>
          <w:color w:val="002060"/>
          <w:sz w:val="16"/>
          <w:szCs w:val="16"/>
        </w:rPr>
        <w:t>В 1927 году на заводе начинаются организация новых цехов, которые стали базой для основного производства. Годы первой пятилетки характеризуются большим размахом строительства.</w:t>
      </w:r>
    </w:p>
    <w:p w14:paraId="29AF06EB" w14:textId="77777777" w:rsidR="004B4E35" w:rsidRPr="00405303" w:rsidRDefault="009E6F82" w:rsidP="00C15251">
      <w:pPr>
        <w:jc w:val="both"/>
        <w:rPr>
          <w:bCs/>
          <w:color w:val="002060"/>
          <w:sz w:val="16"/>
          <w:szCs w:val="16"/>
        </w:rPr>
      </w:pPr>
      <w:r w:rsidRPr="00405303">
        <w:rPr>
          <w:bCs/>
          <w:color w:val="002060"/>
          <w:sz w:val="16"/>
          <w:szCs w:val="16"/>
        </w:rPr>
        <w:t>В 1930 году введен в эксплуатацию 1-й цех, в 31-м — сернокислотный, в 32-м — третье производство.</w:t>
      </w:r>
    </w:p>
    <w:p w14:paraId="3AA93C71" w14:textId="77777777" w:rsidR="004B4E35" w:rsidRPr="00405303" w:rsidRDefault="009E6F82" w:rsidP="00C15251">
      <w:pPr>
        <w:jc w:val="both"/>
        <w:rPr>
          <w:bCs/>
          <w:color w:val="002060"/>
          <w:sz w:val="16"/>
          <w:szCs w:val="16"/>
        </w:rPr>
      </w:pPr>
      <w:r w:rsidRPr="00405303">
        <w:rPr>
          <w:bCs/>
          <w:color w:val="002060"/>
          <w:sz w:val="16"/>
          <w:szCs w:val="16"/>
        </w:rPr>
        <w:t>Строятся вспомогательные службы — железнодорожные пути, склады, электростанция. Южная часть завода приступает к производству основной продукции на базе смонтированных в 1915—1916 годах фаз. А первый выпуск порохов по полному цик­лу осуществлен в феврале 1932 года.</w:t>
      </w:r>
    </w:p>
    <w:p w14:paraId="09807C94" w14:textId="77777777" w:rsidR="004B4E35" w:rsidRPr="00405303" w:rsidRDefault="009E6F82" w:rsidP="00C15251">
      <w:pPr>
        <w:jc w:val="both"/>
        <w:rPr>
          <w:bCs/>
          <w:color w:val="002060"/>
          <w:sz w:val="16"/>
          <w:szCs w:val="16"/>
        </w:rPr>
      </w:pPr>
      <w:r w:rsidRPr="00405303">
        <w:rPr>
          <w:bCs/>
          <w:color w:val="002060"/>
          <w:sz w:val="16"/>
          <w:szCs w:val="16"/>
        </w:rPr>
        <w:t>В апреле 1933 года начато производство целлулоида —триплексного, технического, галантерейного.</w:t>
      </w:r>
    </w:p>
    <w:p w14:paraId="2137FA82" w14:textId="77777777" w:rsidR="004B4E35" w:rsidRPr="00405303" w:rsidRDefault="009E6F82" w:rsidP="00C15251">
      <w:pPr>
        <w:jc w:val="both"/>
        <w:rPr>
          <w:bCs/>
          <w:color w:val="002060"/>
          <w:sz w:val="16"/>
          <w:szCs w:val="16"/>
        </w:rPr>
      </w:pPr>
      <w:r w:rsidRPr="00405303">
        <w:rPr>
          <w:bCs/>
          <w:color w:val="002060"/>
          <w:sz w:val="16"/>
          <w:szCs w:val="16"/>
        </w:rPr>
        <w:t>Рост объемов производства с 1931 по 1935 год составил более 160%. Темпы развернувшегося строительства и реконструкции завода потребовали от коллектива большой творческой работы, появилась необходимость в квалифицированных кадрах. Эту задачу тоже пришлось решать заводу. Идет подготовка специалистов в ФЗУ. В 1931 году все учебные заведения завода объединены в учебный комбинат, который в 1933 году реорганизуется в отдел подготовки кадров. Его окончили В. Карлинский, Н. Лободанов, В. Пошухонина, И. Дьячков.</w:t>
      </w:r>
    </w:p>
    <w:p w14:paraId="7B91FE4D" w14:textId="77777777" w:rsidR="004B4E35" w:rsidRPr="00405303" w:rsidRDefault="009E6F82" w:rsidP="00C15251">
      <w:pPr>
        <w:jc w:val="both"/>
        <w:rPr>
          <w:bCs/>
          <w:color w:val="002060"/>
          <w:sz w:val="16"/>
          <w:szCs w:val="16"/>
        </w:rPr>
      </w:pPr>
      <w:r w:rsidRPr="00405303">
        <w:rPr>
          <w:bCs/>
          <w:color w:val="002060"/>
          <w:sz w:val="16"/>
          <w:szCs w:val="16"/>
        </w:rPr>
        <w:t>С 1927 по 1935 год начальниками завода были М. Моисеев, Ш. Зайденберг, П. Козловский.</w:t>
      </w:r>
    </w:p>
    <w:p w14:paraId="2AD5CF34" w14:textId="77777777" w:rsidR="004B4E35" w:rsidRPr="00405303" w:rsidRDefault="009E6F82" w:rsidP="00C15251">
      <w:pPr>
        <w:jc w:val="both"/>
        <w:rPr>
          <w:bCs/>
          <w:color w:val="002060"/>
          <w:sz w:val="16"/>
          <w:szCs w:val="16"/>
        </w:rPr>
      </w:pPr>
      <w:r w:rsidRPr="00405303">
        <w:rPr>
          <w:bCs/>
          <w:color w:val="002060"/>
          <w:sz w:val="16"/>
          <w:szCs w:val="16"/>
        </w:rPr>
        <w:t>Приход в Германии к власти фашистов, непрерывно нарастающая угроза войны требовали быстрого развития оборонных отраслей. Основной задачей для коллектива завода в то время было, не снижая объемов текущего производства, создать условия устойчивой и экономичной работы в мобилизационный период, повысить производительность труда. Поэтому вплоть до начала Великой Отечественной войны шла реконструкция отдельных цехов, интенсификация процессов.</w:t>
      </w:r>
    </w:p>
    <w:p w14:paraId="677AC1D9" w14:textId="77777777" w:rsidR="004B4E35" w:rsidRPr="00405303" w:rsidRDefault="009E6F82" w:rsidP="00C15251">
      <w:pPr>
        <w:jc w:val="both"/>
        <w:rPr>
          <w:bCs/>
          <w:color w:val="002060"/>
          <w:sz w:val="16"/>
          <w:szCs w:val="16"/>
        </w:rPr>
      </w:pPr>
      <w:r w:rsidRPr="00405303">
        <w:rPr>
          <w:bCs/>
          <w:color w:val="002060"/>
          <w:sz w:val="16"/>
          <w:szCs w:val="16"/>
        </w:rPr>
        <w:t>Увеличиваются выпуск и освоение новых видов боеприпасов, производство которых к началу войны завод удвоил. В результате мероприятий по реконструкции длительность технологических циклов сократилась в 4 раза. Благодаря внедрению рекуперационной техники снизились расходы на производство.</w:t>
      </w:r>
    </w:p>
    <w:p w14:paraId="6B6B985E" w14:textId="77777777" w:rsidR="004B4E35" w:rsidRPr="00405303" w:rsidRDefault="009E6F82" w:rsidP="00C15251">
      <w:pPr>
        <w:jc w:val="both"/>
        <w:rPr>
          <w:bCs/>
          <w:color w:val="002060"/>
          <w:sz w:val="16"/>
          <w:szCs w:val="16"/>
        </w:rPr>
      </w:pPr>
      <w:r w:rsidRPr="00405303">
        <w:rPr>
          <w:bCs/>
          <w:color w:val="002060"/>
          <w:sz w:val="16"/>
          <w:szCs w:val="16"/>
        </w:rPr>
        <w:t>В 1936 году начато производство изделий из целлулоида.</w:t>
      </w:r>
    </w:p>
    <w:p w14:paraId="19C135A1" w14:textId="77777777" w:rsidR="004B4E35" w:rsidRPr="00405303" w:rsidRDefault="009E6F82" w:rsidP="00C15251">
      <w:pPr>
        <w:jc w:val="both"/>
        <w:rPr>
          <w:bCs/>
          <w:color w:val="002060"/>
          <w:sz w:val="16"/>
          <w:szCs w:val="16"/>
        </w:rPr>
      </w:pPr>
      <w:r w:rsidRPr="00405303">
        <w:rPr>
          <w:bCs/>
          <w:color w:val="002060"/>
          <w:sz w:val="16"/>
          <w:szCs w:val="16"/>
        </w:rPr>
        <w:t>Численность промышленно-производственного персонала доведена до 8000 человек. Выработка на одного рабочего возросла вдвое. Пример в работе показывают Яковцев, Подледников, Гурова. Они довели выполнение норм выработки до 700 процентов.</w:t>
      </w:r>
    </w:p>
    <w:p w14:paraId="24330F1F" w14:textId="77777777" w:rsidR="004B4E35" w:rsidRPr="00405303" w:rsidRDefault="009E6F82" w:rsidP="00C15251">
      <w:pPr>
        <w:jc w:val="both"/>
        <w:rPr>
          <w:bCs/>
          <w:color w:val="002060"/>
          <w:sz w:val="16"/>
          <w:szCs w:val="16"/>
        </w:rPr>
      </w:pPr>
      <w:r w:rsidRPr="00405303">
        <w:rPr>
          <w:bCs/>
          <w:color w:val="002060"/>
          <w:sz w:val="16"/>
          <w:szCs w:val="16"/>
        </w:rPr>
        <w:t xml:space="preserve">Больших успехов добивается коллектив завода. Задание правительства выполнено по всем показателям. </w:t>
      </w:r>
    </w:p>
    <w:p w14:paraId="55D7E37D" w14:textId="77777777" w:rsidR="004B4E35" w:rsidRPr="00405303" w:rsidRDefault="009E6F82" w:rsidP="00C15251">
      <w:pPr>
        <w:jc w:val="both"/>
        <w:rPr>
          <w:bCs/>
          <w:color w:val="002060"/>
          <w:sz w:val="16"/>
          <w:szCs w:val="16"/>
        </w:rPr>
      </w:pPr>
      <w:r w:rsidRPr="00405303">
        <w:rPr>
          <w:bCs/>
          <w:color w:val="002060"/>
          <w:sz w:val="16"/>
          <w:szCs w:val="16"/>
        </w:rPr>
        <w:t xml:space="preserve">Указом Президиума Верховного Совета СССР награждены: </w:t>
      </w:r>
    </w:p>
    <w:p w14:paraId="563F1A56" w14:textId="77777777" w:rsidR="004B4E35" w:rsidRPr="00405303" w:rsidRDefault="009E6F82" w:rsidP="00C15251">
      <w:pPr>
        <w:jc w:val="both"/>
        <w:rPr>
          <w:bCs/>
          <w:color w:val="002060"/>
          <w:sz w:val="16"/>
          <w:szCs w:val="16"/>
        </w:rPr>
      </w:pPr>
      <w:r w:rsidRPr="00405303">
        <w:rPr>
          <w:bCs/>
          <w:color w:val="002060"/>
          <w:sz w:val="16"/>
          <w:szCs w:val="16"/>
        </w:rPr>
        <w:t xml:space="preserve">орденом Ленина — Фекла Сергеевна Сергеева, </w:t>
      </w:r>
    </w:p>
    <w:p w14:paraId="4DE22C9C" w14:textId="77777777" w:rsidR="004B4E35" w:rsidRPr="00405303" w:rsidRDefault="009E6F82" w:rsidP="00C15251">
      <w:pPr>
        <w:jc w:val="both"/>
        <w:rPr>
          <w:bCs/>
          <w:color w:val="002060"/>
          <w:sz w:val="16"/>
          <w:szCs w:val="16"/>
        </w:rPr>
      </w:pPr>
      <w:r w:rsidRPr="00405303">
        <w:rPr>
          <w:bCs/>
          <w:color w:val="002060"/>
          <w:sz w:val="16"/>
          <w:szCs w:val="16"/>
        </w:rPr>
        <w:t xml:space="preserve">орденами Трудового Красно­го Знамени — А. Абакумов, Г. Балашов, </w:t>
      </w:r>
    </w:p>
    <w:p w14:paraId="78D62E91" w14:textId="77777777" w:rsidR="004B4E35" w:rsidRPr="00405303" w:rsidRDefault="009E6F82" w:rsidP="00C15251">
      <w:pPr>
        <w:jc w:val="both"/>
        <w:rPr>
          <w:bCs/>
          <w:color w:val="002060"/>
          <w:sz w:val="16"/>
          <w:szCs w:val="16"/>
        </w:rPr>
      </w:pPr>
      <w:r w:rsidRPr="00405303">
        <w:rPr>
          <w:bCs/>
          <w:color w:val="002060"/>
          <w:sz w:val="16"/>
          <w:szCs w:val="16"/>
        </w:rPr>
        <w:t xml:space="preserve">орденом Красной Звезды — Е. Лукьянов. </w:t>
      </w:r>
    </w:p>
    <w:p w14:paraId="4BC55EF8" w14:textId="77777777" w:rsidR="004B4E35" w:rsidRPr="00405303" w:rsidRDefault="009E6F82" w:rsidP="00C15251">
      <w:pPr>
        <w:jc w:val="both"/>
        <w:rPr>
          <w:bCs/>
          <w:color w:val="002060"/>
          <w:sz w:val="16"/>
          <w:szCs w:val="16"/>
        </w:rPr>
      </w:pPr>
      <w:r w:rsidRPr="00405303">
        <w:rPr>
          <w:bCs/>
          <w:color w:val="002060"/>
          <w:sz w:val="16"/>
          <w:szCs w:val="16"/>
        </w:rPr>
        <w:t>Многие заводчане награждены медалями.</w:t>
      </w:r>
    </w:p>
    <w:p w14:paraId="6DD93851" w14:textId="77777777" w:rsidR="004B4E35" w:rsidRPr="00405303" w:rsidRDefault="009E6F82" w:rsidP="00C15251">
      <w:pPr>
        <w:jc w:val="both"/>
        <w:rPr>
          <w:bCs/>
          <w:color w:val="002060"/>
          <w:sz w:val="16"/>
          <w:szCs w:val="16"/>
        </w:rPr>
      </w:pPr>
      <w:r w:rsidRPr="00405303">
        <w:rPr>
          <w:bCs/>
          <w:color w:val="002060"/>
          <w:sz w:val="16"/>
          <w:szCs w:val="16"/>
        </w:rPr>
        <w:t>Всерьез начинается подготовка собственных кадров. Перед самой войной 20 июня 1941 года на базе завода открывается техникум. Открыто ремесленное училище.</w:t>
      </w:r>
    </w:p>
    <w:p w14:paraId="41526EAA" w14:textId="77777777" w:rsidR="004B4E35" w:rsidRPr="00405303" w:rsidRDefault="009E6F82" w:rsidP="00C15251">
      <w:pPr>
        <w:jc w:val="both"/>
        <w:rPr>
          <w:bCs/>
          <w:color w:val="002060"/>
          <w:sz w:val="16"/>
          <w:szCs w:val="16"/>
        </w:rPr>
      </w:pPr>
      <w:r w:rsidRPr="00405303">
        <w:rPr>
          <w:bCs/>
          <w:color w:val="002060"/>
          <w:sz w:val="16"/>
          <w:szCs w:val="16"/>
        </w:rPr>
        <w:t>Улучшились экономические показатели работы завода. Перестает расти себестоимость продукции, с 1936 по 1940 год получена прибыль более 5 миллионов рублей.</w:t>
      </w:r>
    </w:p>
    <w:p w14:paraId="126C57B0" w14:textId="77777777" w:rsidR="004B4E35" w:rsidRPr="00405303" w:rsidRDefault="009E6F82" w:rsidP="00C15251">
      <w:pPr>
        <w:jc w:val="both"/>
        <w:rPr>
          <w:bCs/>
          <w:color w:val="002060"/>
          <w:sz w:val="16"/>
          <w:szCs w:val="16"/>
        </w:rPr>
      </w:pPr>
      <w:r w:rsidRPr="00405303">
        <w:rPr>
          <w:bCs/>
          <w:color w:val="002060"/>
          <w:sz w:val="16"/>
          <w:szCs w:val="16"/>
        </w:rPr>
        <w:t>К концу тридцатых годов площадь жилья поселка, который 16 апреля 1940 года становится городом Котовском, увеличивается в 10 раз. Население — более 16 тысяч человек.</w:t>
      </w:r>
    </w:p>
    <w:p w14:paraId="616CABF0" w14:textId="77777777" w:rsidR="004B4E35" w:rsidRPr="00405303" w:rsidRDefault="009E6F82" w:rsidP="00C15251">
      <w:pPr>
        <w:jc w:val="both"/>
        <w:rPr>
          <w:bCs/>
          <w:color w:val="002060"/>
          <w:sz w:val="16"/>
          <w:szCs w:val="16"/>
        </w:rPr>
      </w:pPr>
      <w:r w:rsidRPr="00405303">
        <w:rPr>
          <w:bCs/>
          <w:color w:val="002060"/>
          <w:sz w:val="16"/>
          <w:szCs w:val="16"/>
        </w:rPr>
        <w:t>Начальники завода в то время — Н. Семенов и М. Дынкин (11831).</w:t>
      </w:r>
    </w:p>
    <w:p w14:paraId="210D0E73" w14:textId="77777777" w:rsidR="004B4E35" w:rsidRPr="00405303" w:rsidRDefault="004B4E35" w:rsidP="00C15251">
      <w:pPr>
        <w:pStyle w:val="a3"/>
        <w:jc w:val="both"/>
        <w:rPr>
          <w:bCs/>
          <w:i w:val="0"/>
          <w:color w:val="002060"/>
          <w:spacing w:val="0"/>
          <w:kern w:val="0"/>
          <w:position w:val="0"/>
          <w:sz w:val="16"/>
          <w:szCs w:val="16"/>
        </w:rPr>
      </w:pPr>
    </w:p>
    <w:p w14:paraId="22225BC1" w14:textId="62AE48C6" w:rsidR="0009532D" w:rsidRPr="00405303" w:rsidRDefault="0009532D" w:rsidP="00C15251">
      <w:pPr>
        <w:shd w:val="clear" w:color="auto" w:fill="FFFFFF"/>
        <w:jc w:val="both"/>
        <w:rPr>
          <w:bCs/>
          <w:i/>
          <w:color w:val="002060"/>
          <w:sz w:val="16"/>
          <w:szCs w:val="16"/>
        </w:rPr>
      </w:pPr>
      <w:r w:rsidRPr="00405303">
        <w:rPr>
          <w:bCs/>
          <w:i/>
          <w:color w:val="002060"/>
          <w:sz w:val="16"/>
          <w:szCs w:val="16"/>
        </w:rPr>
        <w:t>Морская авиация:</w:t>
      </w:r>
    </w:p>
    <w:p w14:paraId="36F61DAA" w14:textId="77777777" w:rsidR="0009532D" w:rsidRPr="00405303" w:rsidRDefault="0009532D" w:rsidP="00C15251">
      <w:pPr>
        <w:shd w:val="clear" w:color="auto" w:fill="FFFFFF"/>
        <w:jc w:val="both"/>
        <w:rPr>
          <w:bCs/>
          <w:i/>
          <w:color w:val="002060"/>
          <w:sz w:val="16"/>
          <w:szCs w:val="16"/>
        </w:rPr>
      </w:pPr>
    </w:p>
    <w:p w14:paraId="1ADCDB40" w14:textId="77777777" w:rsidR="0009532D" w:rsidRPr="00405303" w:rsidRDefault="0009532D" w:rsidP="00C15251">
      <w:pPr>
        <w:jc w:val="both"/>
        <w:rPr>
          <w:bCs/>
          <w:color w:val="002060"/>
          <w:sz w:val="16"/>
          <w:szCs w:val="16"/>
        </w:rPr>
      </w:pPr>
      <w:r w:rsidRPr="00405303">
        <w:rPr>
          <w:bCs/>
          <w:color w:val="002060"/>
          <w:sz w:val="16"/>
          <w:szCs w:val="16"/>
          <w:lang w:bidi="en-US"/>
        </w:rPr>
        <w:t>25 ноября 1915 года в связи с зимними погодными условиями в Баку на Каспийское море прибыл первый эшелон Петроградской морской авиационной школы ОВФ. 4 декабря было создано Бакинское военно-морское авиационное училище с тремя ангарами и коротким стартовым пирсом, построенным на большой Каменной пристани. Курсы должны были длиться с середины декабря 1915 г. по 10 мая 1916 г. и включали обучение стрельбе из пулеметов, бомбометанию с использованием бомбового прицела и аэрофотосъемке. Школу возглавил капитан 1-го ранга А.А. Янович (23525).</w:t>
      </w:r>
    </w:p>
    <w:p w14:paraId="25D3ED95" w14:textId="77777777" w:rsidR="0009532D" w:rsidRPr="00405303" w:rsidRDefault="0009532D" w:rsidP="00C15251">
      <w:pPr>
        <w:jc w:val="both"/>
        <w:rPr>
          <w:bCs/>
          <w:color w:val="002060"/>
          <w:sz w:val="16"/>
          <w:szCs w:val="16"/>
        </w:rPr>
      </w:pPr>
    </w:p>
    <w:p w14:paraId="7FECA55F" w14:textId="1B26B4E3"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34912B51" w14:textId="77777777" w:rsidR="004B4E35" w:rsidRPr="00405303" w:rsidRDefault="004B4E35" w:rsidP="00C15251">
      <w:pPr>
        <w:shd w:val="clear" w:color="auto" w:fill="FFFFFF"/>
        <w:jc w:val="both"/>
        <w:rPr>
          <w:bCs/>
          <w:i/>
          <w:color w:val="002060"/>
          <w:sz w:val="16"/>
          <w:szCs w:val="16"/>
        </w:rPr>
      </w:pPr>
    </w:p>
    <w:p w14:paraId="40379B5E" w14:textId="61D91AAC" w:rsidR="004B4E35" w:rsidRPr="00405303" w:rsidRDefault="009E6F82" w:rsidP="00C15251">
      <w:pPr>
        <w:shd w:val="clear" w:color="auto" w:fill="FFFFFF"/>
        <w:jc w:val="both"/>
        <w:rPr>
          <w:bCs/>
          <w:color w:val="002060"/>
          <w:sz w:val="16"/>
          <w:szCs w:val="16"/>
        </w:rPr>
      </w:pPr>
      <w:r w:rsidRPr="00405303">
        <w:rPr>
          <w:bCs/>
          <w:color w:val="002060"/>
          <w:sz w:val="16"/>
          <w:szCs w:val="16"/>
        </w:rPr>
        <w:t>13 (29) ноября 1915</w:t>
      </w:r>
      <w:r w:rsidR="003770D9" w:rsidRPr="00405303">
        <w:rPr>
          <w:bCs/>
          <w:color w:val="002060"/>
          <w:sz w:val="16"/>
          <w:szCs w:val="16"/>
        </w:rPr>
        <w:t xml:space="preserve"> г. за неделю до </w:t>
      </w:r>
      <w:r w:rsidR="005A5FEF" w:rsidRPr="00405303">
        <w:rPr>
          <w:bCs/>
          <w:color w:val="002060"/>
          <w:sz w:val="16"/>
          <w:szCs w:val="16"/>
        </w:rPr>
        <w:t xml:space="preserve">оговоренного </w:t>
      </w:r>
      <w:r w:rsidR="003770D9" w:rsidRPr="00405303">
        <w:rPr>
          <w:bCs/>
          <w:color w:val="002060"/>
          <w:sz w:val="16"/>
          <w:szCs w:val="16"/>
        </w:rPr>
        <w:t>срока</w:t>
      </w:r>
      <w:r w:rsidRPr="00405303">
        <w:rPr>
          <w:bCs/>
          <w:color w:val="002060"/>
          <w:sz w:val="16"/>
          <w:szCs w:val="16"/>
        </w:rPr>
        <w:t xml:space="preserve"> В.А. Лебедев уведомил МГШ о том, что из-за ранней зимы и замерзания город</w:t>
      </w:r>
      <w:r w:rsidRPr="00405303">
        <w:rPr>
          <w:bCs/>
          <w:color w:val="002060"/>
          <w:sz w:val="16"/>
          <w:szCs w:val="16"/>
        </w:rPr>
        <w:softHyphen/>
        <w:t>ской акватории не представляется возможным провести сдаточные опыты на воде. Он жаловался на задержку, вызванную опозданием с поставкой нужных моторов, и предла</w:t>
      </w:r>
      <w:r w:rsidRPr="00405303">
        <w:rPr>
          <w:bCs/>
          <w:color w:val="002060"/>
          <w:sz w:val="16"/>
          <w:szCs w:val="16"/>
        </w:rPr>
        <w:softHyphen/>
        <w:t>гал отправить аппараты и двигатели в Севастополь, где дело и подошло бы к логическо</w:t>
      </w:r>
      <w:r w:rsidRPr="00405303">
        <w:rPr>
          <w:bCs/>
          <w:color w:val="002060"/>
          <w:sz w:val="16"/>
          <w:szCs w:val="16"/>
        </w:rPr>
        <w:softHyphen/>
        <w:t>му завершению (2843).</w:t>
      </w:r>
    </w:p>
    <w:p w14:paraId="30502FEE" w14:textId="77777777" w:rsidR="004B4E35" w:rsidRPr="00405303" w:rsidRDefault="004B4E35" w:rsidP="00C15251">
      <w:pPr>
        <w:shd w:val="clear" w:color="auto" w:fill="FFFFFF"/>
        <w:jc w:val="both"/>
        <w:rPr>
          <w:bCs/>
          <w:color w:val="002060"/>
          <w:sz w:val="16"/>
          <w:szCs w:val="16"/>
        </w:rPr>
      </w:pPr>
    </w:p>
    <w:p w14:paraId="0F4B7B94" w14:textId="77777777" w:rsidR="005C4C47" w:rsidRPr="00405303" w:rsidRDefault="005C4C47" w:rsidP="00C15251">
      <w:pPr>
        <w:jc w:val="both"/>
        <w:rPr>
          <w:bCs/>
          <w:i/>
          <w:color w:val="002060"/>
          <w:sz w:val="16"/>
          <w:szCs w:val="16"/>
        </w:rPr>
      </w:pPr>
      <w:r w:rsidRPr="00405303">
        <w:rPr>
          <w:bCs/>
          <w:i/>
          <w:color w:val="002060"/>
          <w:sz w:val="16"/>
          <w:szCs w:val="16"/>
        </w:rPr>
        <w:t>Другие оборонные отрасли:</w:t>
      </w:r>
    </w:p>
    <w:p w14:paraId="5DD0A67E" w14:textId="77777777" w:rsidR="005C4C47" w:rsidRPr="00405303" w:rsidRDefault="005C4C47" w:rsidP="00C15251">
      <w:pPr>
        <w:jc w:val="both"/>
        <w:rPr>
          <w:bCs/>
          <w:i/>
          <w:color w:val="002060"/>
          <w:sz w:val="16"/>
          <w:szCs w:val="16"/>
        </w:rPr>
      </w:pPr>
    </w:p>
    <w:p w14:paraId="289025CA" w14:textId="7C9468E4" w:rsidR="005C4C47" w:rsidRPr="00405303" w:rsidRDefault="005C4C47" w:rsidP="00C15251">
      <w:pPr>
        <w:jc w:val="both"/>
        <w:rPr>
          <w:bCs/>
          <w:color w:val="002060"/>
          <w:sz w:val="16"/>
          <w:szCs w:val="16"/>
        </w:rPr>
      </w:pPr>
      <w:r w:rsidRPr="00405303">
        <w:rPr>
          <w:bCs/>
          <w:color w:val="002060"/>
          <w:sz w:val="16"/>
          <w:szCs w:val="16"/>
        </w:rPr>
        <w:t xml:space="preserve">13 </w:t>
      </w:r>
      <w:r w:rsidR="005A5FEF" w:rsidRPr="00405303">
        <w:rPr>
          <w:bCs/>
          <w:color w:val="002060"/>
          <w:sz w:val="16"/>
          <w:szCs w:val="16"/>
        </w:rPr>
        <w:t xml:space="preserve">(29) </w:t>
      </w:r>
      <w:r w:rsidRPr="00405303">
        <w:rPr>
          <w:bCs/>
          <w:color w:val="002060"/>
          <w:sz w:val="16"/>
          <w:szCs w:val="16"/>
        </w:rPr>
        <w:t>ноября 1915 г. вышло распоряжение председателя заводского совещания Петроградского района, в соответствии с которым заводам предписывалось установить очередность и ежемесячные объемы выпуска предметов заказов, начиная с ноября 1915 г., и строго придерживаться установленной программы выполнения заказов. Для контроля этих мероприятий ведомости очередности и объемов направлялись в управление заводского совещания для утверждения. В случае возникновения задержек с выполнением утвержденных программ предприятия обязаны были немедленно известить об этом заводское совещание для принятия необходимых мер (18297).</w:t>
      </w:r>
    </w:p>
    <w:p w14:paraId="3D066D15" w14:textId="77777777" w:rsidR="005C4C47" w:rsidRPr="00405303" w:rsidRDefault="005C4C47" w:rsidP="00C15251">
      <w:pPr>
        <w:jc w:val="both"/>
        <w:rPr>
          <w:bCs/>
          <w:color w:val="002060"/>
          <w:sz w:val="16"/>
          <w:szCs w:val="16"/>
        </w:rPr>
      </w:pPr>
    </w:p>
    <w:p w14:paraId="3A938909" w14:textId="77777777" w:rsidR="005C4C47" w:rsidRPr="00405303" w:rsidRDefault="005C4C47" w:rsidP="00C15251">
      <w:pPr>
        <w:jc w:val="both"/>
        <w:rPr>
          <w:bCs/>
          <w:i/>
          <w:color w:val="002060"/>
          <w:sz w:val="16"/>
          <w:szCs w:val="16"/>
        </w:rPr>
      </w:pPr>
      <w:r w:rsidRPr="00405303">
        <w:rPr>
          <w:bCs/>
          <w:i/>
          <w:color w:val="002060"/>
          <w:sz w:val="16"/>
          <w:szCs w:val="16"/>
        </w:rPr>
        <w:t>За рубежом:</w:t>
      </w:r>
    </w:p>
    <w:p w14:paraId="48FCDFE8" w14:textId="77777777" w:rsidR="005C4C47" w:rsidRPr="00405303" w:rsidRDefault="005C4C47" w:rsidP="00C15251">
      <w:pPr>
        <w:jc w:val="both"/>
        <w:rPr>
          <w:bCs/>
          <w:color w:val="002060"/>
          <w:sz w:val="16"/>
          <w:szCs w:val="16"/>
        </w:rPr>
      </w:pPr>
    </w:p>
    <w:p w14:paraId="2826A59E" w14:textId="40BFBA27" w:rsidR="005C4C47" w:rsidRPr="00405303" w:rsidRDefault="005C4C47" w:rsidP="00C15251">
      <w:pPr>
        <w:jc w:val="both"/>
        <w:rPr>
          <w:bCs/>
          <w:color w:val="002060"/>
          <w:sz w:val="16"/>
          <w:szCs w:val="16"/>
        </w:rPr>
      </w:pPr>
      <w:r w:rsidRPr="00405303">
        <w:rPr>
          <w:rStyle w:val="ucoz-forum-post"/>
          <w:bCs/>
          <w:color w:val="002060"/>
          <w:sz w:val="16"/>
          <w:szCs w:val="16"/>
        </w:rPr>
        <w:t xml:space="preserve">13 </w:t>
      </w:r>
      <w:r w:rsidR="005A5FEF" w:rsidRPr="00405303">
        <w:rPr>
          <w:rStyle w:val="ucoz-forum-post"/>
          <w:bCs/>
          <w:color w:val="002060"/>
          <w:sz w:val="16"/>
          <w:szCs w:val="16"/>
        </w:rPr>
        <w:t xml:space="preserve">(29) </w:t>
      </w:r>
      <w:r w:rsidRPr="00405303">
        <w:rPr>
          <w:rStyle w:val="ucoz-forum-post"/>
          <w:bCs/>
          <w:color w:val="002060"/>
          <w:sz w:val="16"/>
          <w:szCs w:val="16"/>
        </w:rPr>
        <w:t xml:space="preserve">ноября </w:t>
      </w:r>
      <w:r w:rsidRPr="00405303">
        <w:rPr>
          <w:bCs/>
          <w:color w:val="002060"/>
          <w:sz w:val="16"/>
          <w:szCs w:val="16"/>
        </w:rPr>
        <w:t>в 1915 году после провала операции на Галлипольском полуострове Уинстон Черчилль выходит из состава британского кабинета министров (14829).</w:t>
      </w:r>
    </w:p>
    <w:p w14:paraId="6DAC6C2C" w14:textId="77777777" w:rsidR="005C4C47" w:rsidRPr="00405303" w:rsidRDefault="005C4C47" w:rsidP="00C15251">
      <w:pPr>
        <w:jc w:val="both"/>
        <w:rPr>
          <w:bCs/>
          <w:color w:val="002060"/>
          <w:sz w:val="16"/>
          <w:szCs w:val="16"/>
        </w:rPr>
      </w:pPr>
    </w:p>
    <w:p w14:paraId="3CA9E1DC" w14:textId="7A0028D3" w:rsidR="00093136" w:rsidRPr="00405303" w:rsidRDefault="00093136" w:rsidP="00C15251">
      <w:pPr>
        <w:shd w:val="clear" w:color="auto" w:fill="FFFFFF"/>
        <w:jc w:val="both"/>
        <w:rPr>
          <w:bCs/>
          <w:i/>
          <w:color w:val="002060"/>
          <w:sz w:val="16"/>
          <w:szCs w:val="16"/>
        </w:rPr>
      </w:pPr>
      <w:r w:rsidRPr="00405303">
        <w:rPr>
          <w:bCs/>
          <w:i/>
          <w:color w:val="002060"/>
          <w:sz w:val="16"/>
          <w:szCs w:val="16"/>
        </w:rPr>
        <w:t>Самолетостроение:</w:t>
      </w:r>
    </w:p>
    <w:p w14:paraId="35282B6F" w14:textId="77777777" w:rsidR="00093136" w:rsidRPr="00405303" w:rsidRDefault="00093136" w:rsidP="00C15251">
      <w:pPr>
        <w:shd w:val="clear" w:color="auto" w:fill="FFFFFF"/>
        <w:jc w:val="both"/>
        <w:rPr>
          <w:bCs/>
          <w:i/>
          <w:color w:val="002060"/>
          <w:sz w:val="16"/>
          <w:szCs w:val="16"/>
        </w:rPr>
      </w:pPr>
    </w:p>
    <w:p w14:paraId="61170728" w14:textId="77777777" w:rsidR="00093136" w:rsidRPr="00405303" w:rsidRDefault="00093136" w:rsidP="00C15251">
      <w:pPr>
        <w:jc w:val="both"/>
        <w:rPr>
          <w:bCs/>
          <w:color w:val="002060"/>
          <w:sz w:val="16"/>
          <w:szCs w:val="16"/>
        </w:rPr>
      </w:pPr>
      <w:r w:rsidRPr="00405303">
        <w:rPr>
          <w:bCs/>
          <w:color w:val="002060"/>
          <w:sz w:val="16"/>
          <w:szCs w:val="16"/>
          <w:lang w:bidi="ru-RU"/>
        </w:rPr>
        <w:t>14 ноября 1915 года Комитет по техническим делам отдела промышленности Министерства торговли и промышленно</w:t>
      </w:r>
      <w:r w:rsidRPr="00405303">
        <w:rPr>
          <w:bCs/>
          <w:color w:val="002060"/>
          <w:sz w:val="16"/>
          <w:szCs w:val="16"/>
          <w:lang w:bidi="ru-RU"/>
        </w:rPr>
        <w:softHyphen/>
        <w:t>сти выдал Тихомирову охранное свидетельство на заявку на воздушной самодвижущейся мины.</w:t>
      </w:r>
    </w:p>
    <w:p w14:paraId="4B7A6E76" w14:textId="77777777" w:rsidR="00093136" w:rsidRPr="00405303" w:rsidRDefault="00093136" w:rsidP="00C15251">
      <w:pPr>
        <w:jc w:val="both"/>
        <w:rPr>
          <w:bCs/>
          <w:color w:val="002060"/>
          <w:sz w:val="16"/>
          <w:szCs w:val="16"/>
        </w:rPr>
      </w:pPr>
      <w:r w:rsidRPr="00405303">
        <w:rPr>
          <w:bCs/>
          <w:color w:val="002060"/>
          <w:sz w:val="16"/>
          <w:szCs w:val="16"/>
          <w:lang w:bidi="ru-RU"/>
        </w:rPr>
        <w:t>Продолжая борьбу за проект, Тихомиров обратил</w:t>
      </w:r>
      <w:r w:rsidRPr="00405303">
        <w:rPr>
          <w:bCs/>
          <w:color w:val="002060"/>
          <w:sz w:val="16"/>
          <w:szCs w:val="16"/>
          <w:lang w:bidi="ru-RU"/>
        </w:rPr>
        <w:softHyphen/>
        <w:t>ся в Экспертную комиссию, возглавляемую авторитет</w:t>
      </w:r>
      <w:r w:rsidRPr="00405303">
        <w:rPr>
          <w:bCs/>
          <w:color w:val="002060"/>
          <w:sz w:val="16"/>
          <w:szCs w:val="16"/>
          <w:lang w:bidi="ru-RU"/>
        </w:rPr>
        <w:softHyphen/>
        <w:t>ным ученым Н.Е.Жуковским, и получил положительный отзыв.</w:t>
      </w:r>
    </w:p>
    <w:p w14:paraId="32EC720B" w14:textId="77777777" w:rsidR="00093136" w:rsidRPr="00405303" w:rsidRDefault="00093136" w:rsidP="00C15251">
      <w:pPr>
        <w:jc w:val="both"/>
        <w:rPr>
          <w:bCs/>
          <w:color w:val="002060"/>
          <w:sz w:val="16"/>
          <w:szCs w:val="16"/>
        </w:rPr>
      </w:pPr>
      <w:r w:rsidRPr="00405303">
        <w:rPr>
          <w:bCs/>
          <w:color w:val="002060"/>
          <w:sz w:val="16"/>
          <w:szCs w:val="16"/>
          <w:lang w:bidi="ru-RU"/>
        </w:rPr>
        <w:t>Комиссия Жуковского признала «действие таких торпед вполне возможным» и направила проект в Военное министерство. Рас</w:t>
      </w:r>
      <w:r w:rsidRPr="00405303">
        <w:rPr>
          <w:bCs/>
          <w:color w:val="002060"/>
          <w:sz w:val="16"/>
          <w:szCs w:val="16"/>
          <w:lang w:bidi="ru-RU"/>
        </w:rPr>
        <w:softHyphen/>
        <w:t>смотрев представленные бумаги, военные отказали в привиле</w:t>
      </w:r>
      <w:r w:rsidRPr="00405303">
        <w:rPr>
          <w:bCs/>
          <w:color w:val="002060"/>
          <w:sz w:val="16"/>
          <w:szCs w:val="16"/>
          <w:lang w:bidi="ru-RU"/>
        </w:rPr>
        <w:softHyphen/>
        <w:t>гии, но предложили приступить к реализации морской части проекта</w:t>
      </w:r>
      <w:r w:rsidRPr="00405303">
        <w:rPr>
          <w:bCs/>
          <w:color w:val="002060"/>
          <w:sz w:val="16"/>
          <w:szCs w:val="16"/>
        </w:rPr>
        <w:t xml:space="preserve"> (23510)</w:t>
      </w:r>
    </w:p>
    <w:p w14:paraId="33DFED48" w14:textId="77777777" w:rsidR="00093136" w:rsidRPr="00405303" w:rsidRDefault="00093136" w:rsidP="00C15251">
      <w:pPr>
        <w:jc w:val="both"/>
        <w:rPr>
          <w:bCs/>
          <w:color w:val="002060"/>
          <w:sz w:val="16"/>
          <w:szCs w:val="16"/>
        </w:rPr>
      </w:pPr>
    </w:p>
    <w:p w14:paraId="58D099CB" w14:textId="22A5BAB4" w:rsidR="00CE7CBE" w:rsidRPr="00405303" w:rsidRDefault="00CE7CBE" w:rsidP="00C15251">
      <w:pPr>
        <w:shd w:val="clear" w:color="auto" w:fill="FFFFFF"/>
        <w:jc w:val="both"/>
        <w:rPr>
          <w:bCs/>
          <w:i/>
          <w:color w:val="002060"/>
          <w:sz w:val="16"/>
          <w:szCs w:val="16"/>
        </w:rPr>
      </w:pPr>
      <w:r w:rsidRPr="00405303">
        <w:rPr>
          <w:bCs/>
          <w:i/>
          <w:color w:val="002060"/>
          <w:sz w:val="16"/>
          <w:szCs w:val="16"/>
        </w:rPr>
        <w:t>Авиация:</w:t>
      </w:r>
    </w:p>
    <w:p w14:paraId="4A9155C2" w14:textId="77777777" w:rsidR="00CE7CBE" w:rsidRPr="00405303" w:rsidRDefault="00CE7CBE" w:rsidP="00C15251">
      <w:pPr>
        <w:shd w:val="clear" w:color="auto" w:fill="FFFFFF"/>
        <w:jc w:val="both"/>
        <w:rPr>
          <w:bCs/>
          <w:i/>
          <w:color w:val="002060"/>
          <w:sz w:val="16"/>
          <w:szCs w:val="16"/>
        </w:rPr>
      </w:pPr>
    </w:p>
    <w:p w14:paraId="4493CD8A" w14:textId="77777777" w:rsidR="00CE7CBE" w:rsidRPr="00405303" w:rsidRDefault="00CE7CBE" w:rsidP="00C15251">
      <w:pPr>
        <w:jc w:val="both"/>
        <w:rPr>
          <w:bCs/>
          <w:color w:val="002060"/>
          <w:sz w:val="16"/>
          <w:szCs w:val="16"/>
        </w:rPr>
      </w:pPr>
      <w:r w:rsidRPr="00405303">
        <w:rPr>
          <w:bCs/>
          <w:color w:val="002060"/>
          <w:sz w:val="16"/>
          <w:szCs w:val="16"/>
        </w:rPr>
        <w:t>В середине ноября 1915 г. воздушной бомбардировке подверглась ст. Липканы (район г. Хотин). В результате группового налета на ее сооружения было сброшено шесть бомб. Позднее действовавший в ночных условиях цеппелин (Двинский район) сбросил бомбы на передовые позиции русских войск. Часть из них упала в озеро, другая - на окопы немецких частей. В результате противник понес большие потери в живой силе (23405).</w:t>
      </w:r>
    </w:p>
    <w:p w14:paraId="75410DB5" w14:textId="77777777" w:rsidR="00CE7CBE" w:rsidRPr="00405303" w:rsidRDefault="00CE7CBE" w:rsidP="00C15251">
      <w:pPr>
        <w:jc w:val="both"/>
        <w:rPr>
          <w:bCs/>
          <w:color w:val="002060"/>
          <w:sz w:val="16"/>
          <w:szCs w:val="16"/>
        </w:rPr>
      </w:pPr>
    </w:p>
    <w:p w14:paraId="6A21BEE0" w14:textId="77777777" w:rsidR="00197CE4" w:rsidRPr="00B52707" w:rsidRDefault="00197CE4" w:rsidP="00197CE4">
      <w:pPr>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В середине ноября 1915 г. воздушной бомбардировке подверглась ст. Липканы (район г. Хотин). В результате группового налета на ее сооружения было сброшено шесть бомб.</w:t>
      </w:r>
    </w:p>
    <w:p w14:paraId="2BA48646" w14:textId="77777777" w:rsidR="00197CE4" w:rsidRPr="00B52707" w:rsidRDefault="00197CE4" w:rsidP="00197CE4">
      <w:pPr>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Позднее действовавший в ночных условиях цеппелин (Двинский район) сбросил бомбы на передовые позиции русских войск. Часть из них упала в озеро, другая – на окопы немецких частей. В результате противник понес большие потери в живой силе (25135).</w:t>
      </w:r>
    </w:p>
    <w:p w14:paraId="61BFEF50" w14:textId="77777777" w:rsidR="00197CE4" w:rsidRPr="00B52707" w:rsidRDefault="00197CE4" w:rsidP="00197CE4">
      <w:pPr>
        <w:jc w:val="both"/>
        <w:rPr>
          <w:rStyle w:val="aa"/>
          <w:rFonts w:ascii="Times New Roman" w:hAnsi="Times New Roman"/>
          <w:color w:val="0070C0"/>
          <w:spacing w:val="0"/>
          <w:sz w:val="16"/>
          <w:szCs w:val="16"/>
        </w:rPr>
      </w:pPr>
    </w:p>
    <w:p w14:paraId="0ABEC2A8" w14:textId="55A8DF74"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533E6572" w14:textId="77777777" w:rsidR="004B4E35" w:rsidRPr="00405303" w:rsidRDefault="004B4E35" w:rsidP="00C15251">
      <w:pPr>
        <w:shd w:val="clear" w:color="auto" w:fill="FFFFFF"/>
        <w:jc w:val="both"/>
        <w:rPr>
          <w:bCs/>
          <w:i/>
          <w:color w:val="002060"/>
          <w:sz w:val="16"/>
          <w:szCs w:val="16"/>
        </w:rPr>
      </w:pPr>
    </w:p>
    <w:p w14:paraId="1BC6AC05" w14:textId="4EC0D6ED" w:rsidR="004B4E35" w:rsidRPr="00405303" w:rsidRDefault="005A5FEF" w:rsidP="00C15251">
      <w:pPr>
        <w:shd w:val="clear" w:color="auto" w:fill="FFFFFF"/>
        <w:jc w:val="both"/>
        <w:rPr>
          <w:bCs/>
          <w:color w:val="002060"/>
          <w:sz w:val="16"/>
          <w:szCs w:val="16"/>
        </w:rPr>
      </w:pPr>
      <w:r w:rsidRPr="00405303">
        <w:rPr>
          <w:bCs/>
          <w:color w:val="002060"/>
          <w:sz w:val="16"/>
          <w:szCs w:val="16"/>
        </w:rPr>
        <w:t>К</w:t>
      </w:r>
      <w:r w:rsidR="009E6F82" w:rsidRPr="00405303">
        <w:rPr>
          <w:bCs/>
          <w:color w:val="002060"/>
          <w:sz w:val="16"/>
          <w:szCs w:val="16"/>
        </w:rPr>
        <w:t xml:space="preserve"> середине ноября 1915 </w:t>
      </w:r>
      <w:r w:rsidRPr="00405303">
        <w:rPr>
          <w:bCs/>
          <w:color w:val="002060"/>
          <w:sz w:val="16"/>
          <w:szCs w:val="16"/>
        </w:rPr>
        <w:t xml:space="preserve">деятельность авиации Балтийского флота, которая с наступлением холодной и дождливой осени заметно сократилась, </w:t>
      </w:r>
      <w:r w:rsidR="009E6F82" w:rsidRPr="00405303">
        <w:rPr>
          <w:bCs/>
          <w:color w:val="002060"/>
          <w:sz w:val="16"/>
          <w:szCs w:val="16"/>
        </w:rPr>
        <w:t>вовсе прекратилась. Авиастанции занялись ремонтом техники. Готовились «к самой энергичной боевой работе» с приходом весны. Разработали методики тренировок пилотов по правилам бомбометания, фотосъемки, радиосвязи и спосо</w:t>
      </w:r>
      <w:r w:rsidR="009E6F82" w:rsidRPr="00405303">
        <w:rPr>
          <w:bCs/>
          <w:color w:val="002060"/>
          <w:sz w:val="16"/>
          <w:szCs w:val="16"/>
        </w:rPr>
        <w:softHyphen/>
        <w:t>бам борьбы с воздушной разведкой противника. Случавшиеся в минувшем году перестрелки в воздухе с «Альбатросами» указывали на то, что гидроаэропланы противника более маневренны и лучше оснащены. В связи с этим, балтийские пи</w:t>
      </w:r>
      <w:r w:rsidR="009E6F82" w:rsidRPr="00405303">
        <w:rPr>
          <w:bCs/>
          <w:color w:val="002060"/>
          <w:sz w:val="16"/>
          <w:szCs w:val="16"/>
        </w:rPr>
        <w:softHyphen/>
        <w:t>лоты возлагали надежды на «Кертиссы», якобы способные не</w:t>
      </w:r>
      <w:r w:rsidR="009E6F82" w:rsidRPr="00405303">
        <w:rPr>
          <w:bCs/>
          <w:color w:val="002060"/>
          <w:sz w:val="16"/>
          <w:szCs w:val="16"/>
        </w:rPr>
        <w:softHyphen/>
        <w:t>сти вдвое большую нагрузку. Между тем черноморские пилоты выражали претензии к ним и хвалили «Морские» (11283).</w:t>
      </w:r>
    </w:p>
    <w:p w14:paraId="2FC1FAFB" w14:textId="77777777" w:rsidR="004B4E35" w:rsidRPr="00405303" w:rsidRDefault="004B4E35" w:rsidP="00C15251">
      <w:pPr>
        <w:shd w:val="clear" w:color="auto" w:fill="FFFFFF"/>
        <w:jc w:val="both"/>
        <w:rPr>
          <w:bCs/>
          <w:color w:val="002060"/>
          <w:sz w:val="16"/>
          <w:szCs w:val="16"/>
        </w:rPr>
      </w:pPr>
    </w:p>
    <w:p w14:paraId="5BE5A53F" w14:textId="77777777" w:rsidR="00CE7CBE" w:rsidRPr="00405303" w:rsidRDefault="00CE7CBE" w:rsidP="00C15251">
      <w:pPr>
        <w:jc w:val="both"/>
        <w:rPr>
          <w:bCs/>
          <w:color w:val="002060"/>
          <w:sz w:val="16"/>
          <w:szCs w:val="16"/>
          <w:lang w:bidi="en-US"/>
        </w:rPr>
      </w:pPr>
      <w:r w:rsidRPr="00405303">
        <w:rPr>
          <w:bCs/>
          <w:color w:val="002060"/>
          <w:sz w:val="16"/>
          <w:szCs w:val="16"/>
          <w:lang w:bidi="en-US"/>
        </w:rPr>
        <w:t>В середине ноября 1915 в Балтийском море немецкие легкие крейсера «Бремен» и «Аугсбург» с тремя гидросамолетами на борту предприняли неудачную попытку поставить мины в Мун-Зунде, надеясь вывести из строя русский линкор «Слава» (23525).</w:t>
      </w:r>
    </w:p>
    <w:p w14:paraId="14014731" w14:textId="77777777" w:rsidR="00CE7CBE" w:rsidRPr="00405303" w:rsidRDefault="00CE7CBE" w:rsidP="00C15251">
      <w:pPr>
        <w:jc w:val="both"/>
        <w:rPr>
          <w:bCs/>
          <w:color w:val="002060"/>
          <w:sz w:val="16"/>
          <w:szCs w:val="16"/>
        </w:rPr>
      </w:pPr>
    </w:p>
    <w:p w14:paraId="3FC64DBE"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35A154B4" w14:textId="77777777" w:rsidR="004B4E35" w:rsidRPr="00405303" w:rsidRDefault="004B4E35" w:rsidP="00C15251">
      <w:pPr>
        <w:shd w:val="clear" w:color="auto" w:fill="FFFFFF"/>
        <w:jc w:val="both"/>
        <w:rPr>
          <w:bCs/>
          <w:i/>
          <w:color w:val="002060"/>
          <w:sz w:val="16"/>
          <w:szCs w:val="16"/>
        </w:rPr>
      </w:pPr>
    </w:p>
    <w:p w14:paraId="093B5FB3" w14:textId="75610F64" w:rsidR="004B4E35" w:rsidRPr="00405303" w:rsidRDefault="005A5FEF" w:rsidP="00C15251">
      <w:pPr>
        <w:jc w:val="both"/>
        <w:rPr>
          <w:bCs/>
          <w:color w:val="002060"/>
          <w:sz w:val="16"/>
          <w:szCs w:val="16"/>
        </w:rPr>
      </w:pPr>
      <w:bookmarkStart w:id="311" w:name="_Hlk117841853"/>
      <w:r w:rsidRPr="00405303">
        <w:rPr>
          <w:bCs/>
          <w:color w:val="002060"/>
          <w:sz w:val="16"/>
          <w:szCs w:val="16"/>
        </w:rPr>
        <w:t>В</w:t>
      </w:r>
      <w:r w:rsidR="009E6F82" w:rsidRPr="00405303">
        <w:rPr>
          <w:bCs/>
          <w:color w:val="002060"/>
          <w:sz w:val="16"/>
          <w:szCs w:val="16"/>
        </w:rPr>
        <w:t xml:space="preserve"> середине ноября 1915 </w:t>
      </w:r>
      <w:r w:rsidRPr="00405303">
        <w:rPr>
          <w:bCs/>
          <w:color w:val="002060"/>
          <w:sz w:val="16"/>
          <w:szCs w:val="16"/>
        </w:rPr>
        <w:t xml:space="preserve">налеты </w:t>
      </w:r>
      <w:r w:rsidR="009E6F82" w:rsidRPr="00405303">
        <w:rPr>
          <w:bCs/>
          <w:color w:val="002060"/>
          <w:sz w:val="16"/>
          <w:szCs w:val="16"/>
        </w:rPr>
        <w:t>на верфи Цеппелина в Фридрихсгафене</w:t>
      </w:r>
      <w:r w:rsidRPr="00405303">
        <w:rPr>
          <w:bCs/>
          <w:color w:val="002060"/>
          <w:sz w:val="16"/>
          <w:szCs w:val="16"/>
        </w:rPr>
        <w:t xml:space="preserve"> мало повлияли на изменение принятого способа противовоздушной обороны</w:t>
      </w:r>
      <w:r w:rsidR="009E6F82" w:rsidRPr="00405303">
        <w:rPr>
          <w:bCs/>
          <w:color w:val="002060"/>
          <w:sz w:val="16"/>
          <w:szCs w:val="16"/>
        </w:rPr>
        <w:t>. Причина заключалась в том, что не существовало единого центра управления средствами противовоздушной обороны, который мог бы собирать и систематизировать весь соответствующий материал. К тому же считалось, что далеко выдвинутая вперед линия западного фронта оградит тыл от воздушных нападений. Перемена взглядов на защиту от нападений с воздуха произошла лишь после налета на Фрейбург в декабре 1914 года, повлекшего за собой большое количество человеческих жертв. После этого всеми заинтересованными лицами, а в первую очередь руководителями военной промышленности, был поднят вопрос о противовоздушной обороне: предъявлено требование своевременного предупреждения о налетах вражеской авиации, что удовлетворяло потребности армии и населения (11282).</w:t>
      </w:r>
    </w:p>
    <w:p w14:paraId="45D3157E" w14:textId="77777777" w:rsidR="004B4E35" w:rsidRPr="00405303" w:rsidRDefault="004B4E35" w:rsidP="00C15251">
      <w:pPr>
        <w:jc w:val="both"/>
        <w:rPr>
          <w:bCs/>
          <w:color w:val="002060"/>
          <w:sz w:val="16"/>
          <w:szCs w:val="16"/>
        </w:rPr>
      </w:pPr>
    </w:p>
    <w:bookmarkEnd w:id="311"/>
    <w:p w14:paraId="4DEC56D8"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7ECC6EA9" w14:textId="77777777" w:rsidR="004B4E35" w:rsidRPr="00405303" w:rsidRDefault="004B4E35" w:rsidP="00C15251">
      <w:pPr>
        <w:jc w:val="both"/>
        <w:rPr>
          <w:bCs/>
          <w:i/>
          <w:color w:val="002060"/>
          <w:sz w:val="16"/>
          <w:szCs w:val="16"/>
        </w:rPr>
      </w:pPr>
    </w:p>
    <w:p w14:paraId="22A92179" w14:textId="77777777" w:rsidR="005A5FEF" w:rsidRPr="00405303" w:rsidRDefault="005A5FEF" w:rsidP="00C15251">
      <w:pPr>
        <w:pStyle w:val="2"/>
        <w:spacing w:before="0" w:after="0"/>
        <w:jc w:val="both"/>
        <w:rPr>
          <w:b w:val="0"/>
          <w:bCs/>
          <w:color w:val="002060"/>
          <w:sz w:val="16"/>
          <w:szCs w:val="16"/>
        </w:rPr>
      </w:pPr>
      <w:r w:rsidRPr="00405303">
        <w:rPr>
          <w:b w:val="0"/>
          <w:bCs/>
          <w:color w:val="002060"/>
          <w:sz w:val="16"/>
          <w:szCs w:val="16"/>
        </w:rPr>
        <w:t>С 16 (29) ноября 1915 «Исполнительная комиссия при Военном министре журналом от 16 сего ноября... по представлению ГВТУ от 30-го октября сего года за № 6341/4739, постановила: разрешить Управлению передать предоставленный Вам (заводу Ф.Ф.Терещенко), на основании положения Военного Совета от 8 августа 1915 г. заказ на 25 аэропланов Моран-Сольнье. (парасоль). 25 комплектов запасных частей к ним и 2 дополнительных комплекта... к ним, всего на сумму 420.146 руб. Акционерному Общества Дукс ЮА.Меллер, при соблюдении установленных указанных выше положением Военного Совета для Вашего заказа условий и 10-месячного срока, считая его с 12 августа сего года.» (15464).</w:t>
      </w:r>
    </w:p>
    <w:p w14:paraId="4D75D4C1" w14:textId="77777777" w:rsidR="005A5FEF" w:rsidRPr="00405303" w:rsidRDefault="005A5FEF" w:rsidP="00C15251">
      <w:pPr>
        <w:pStyle w:val="2"/>
        <w:spacing w:before="0" w:after="0"/>
        <w:jc w:val="both"/>
        <w:rPr>
          <w:b w:val="0"/>
          <w:bCs/>
          <w:color w:val="002060"/>
          <w:sz w:val="16"/>
          <w:szCs w:val="16"/>
        </w:rPr>
      </w:pPr>
    </w:p>
    <w:p w14:paraId="03BE5391" w14:textId="4A821187" w:rsidR="005C4C47" w:rsidRPr="00405303" w:rsidRDefault="005C4C47" w:rsidP="00C15251">
      <w:pPr>
        <w:jc w:val="both"/>
        <w:rPr>
          <w:bCs/>
          <w:color w:val="002060"/>
          <w:sz w:val="16"/>
          <w:szCs w:val="16"/>
        </w:rPr>
      </w:pPr>
      <w:r w:rsidRPr="00405303">
        <w:rPr>
          <w:bCs/>
          <w:color w:val="002060"/>
          <w:sz w:val="16"/>
          <w:szCs w:val="16"/>
        </w:rPr>
        <w:t xml:space="preserve">16 </w:t>
      </w:r>
      <w:r w:rsidR="005A5FEF" w:rsidRPr="00405303">
        <w:rPr>
          <w:bCs/>
          <w:color w:val="002060"/>
          <w:sz w:val="16"/>
          <w:szCs w:val="16"/>
        </w:rPr>
        <w:t xml:space="preserve">(29) </w:t>
      </w:r>
      <w:r w:rsidRPr="00405303">
        <w:rPr>
          <w:bCs/>
          <w:color w:val="002060"/>
          <w:sz w:val="16"/>
          <w:szCs w:val="16"/>
        </w:rPr>
        <w:t>ноября 1915 г. по зелультатам исследования Н. Е. Жуковский, продставленных в Технический комитет ГВТУ, ТК постановил:</w:t>
      </w:r>
    </w:p>
    <w:p w14:paraId="3798930E" w14:textId="77777777" w:rsidR="005C4C47" w:rsidRPr="00405303" w:rsidRDefault="005C4C47" w:rsidP="00C15251">
      <w:pPr>
        <w:jc w:val="both"/>
        <w:rPr>
          <w:bCs/>
          <w:color w:val="002060"/>
          <w:sz w:val="16"/>
          <w:szCs w:val="16"/>
        </w:rPr>
      </w:pPr>
      <w:r w:rsidRPr="00405303">
        <w:rPr>
          <w:bCs/>
          <w:color w:val="002060"/>
          <w:sz w:val="16"/>
          <w:szCs w:val="16"/>
        </w:rPr>
        <w:t>"1) исследование заслуженного профессора Жуковского о затухании колебаний больших аэропланных бомб принять к сведению;</w:t>
      </w:r>
    </w:p>
    <w:p w14:paraId="734E4E75" w14:textId="77777777" w:rsidR="005C4C47" w:rsidRPr="00405303" w:rsidRDefault="005C4C47" w:rsidP="00C15251">
      <w:pPr>
        <w:jc w:val="both"/>
        <w:rPr>
          <w:bCs/>
          <w:color w:val="002060"/>
          <w:sz w:val="16"/>
          <w:szCs w:val="16"/>
        </w:rPr>
      </w:pPr>
      <w:r w:rsidRPr="00405303">
        <w:rPr>
          <w:bCs/>
          <w:color w:val="002060"/>
          <w:sz w:val="16"/>
          <w:szCs w:val="16"/>
        </w:rPr>
        <w:t>2) выразить профессору Жуковскому благодарность комитета за доставление интересного для военного воздухоплавания исследования".</w:t>
      </w:r>
    </w:p>
    <w:p w14:paraId="1E24DE8F" w14:textId="77777777" w:rsidR="005C4C47" w:rsidRPr="00405303" w:rsidRDefault="005C4C47" w:rsidP="00C15251">
      <w:pPr>
        <w:jc w:val="both"/>
        <w:rPr>
          <w:bCs/>
          <w:color w:val="002060"/>
          <w:sz w:val="16"/>
          <w:szCs w:val="16"/>
        </w:rPr>
      </w:pPr>
      <w:r w:rsidRPr="00405303">
        <w:rPr>
          <w:bCs/>
          <w:color w:val="002060"/>
          <w:sz w:val="16"/>
          <w:szCs w:val="16"/>
        </w:rPr>
        <w:t>Выводы ученого позволили вскоре перейти к производству авиабомб нового типа с уменьшенным стабилизатором.</w:t>
      </w:r>
    </w:p>
    <w:p w14:paraId="077AD7C3" w14:textId="4A679F50" w:rsidR="005C4C47" w:rsidRPr="00405303" w:rsidRDefault="005C4C47" w:rsidP="00C15251">
      <w:pPr>
        <w:jc w:val="both"/>
        <w:rPr>
          <w:bCs/>
          <w:color w:val="002060"/>
          <w:sz w:val="16"/>
          <w:szCs w:val="16"/>
        </w:rPr>
      </w:pPr>
      <w:r w:rsidRPr="00405303">
        <w:rPr>
          <w:bCs/>
          <w:color w:val="002060"/>
          <w:sz w:val="16"/>
          <w:szCs w:val="16"/>
        </w:rPr>
        <w:t>В лаборатории при МВТУ Н. Е. Жуковский орган и изучение аэродинамических свойств принятых на вооружение авиационных бомб. С этой целью проводились испытания и определение предельной скорости десяти типов бомб массой 409 кг. Активное участие в работах принимали К А Г. М. Мусинянц и Г. И. Лукьянов. Опыты показали, что скорость падения возрастает с величиной бомб. Для</w:t>
      </w:r>
      <w:r w:rsidR="000F5756">
        <w:rPr>
          <w:bCs/>
          <w:color w:val="002060"/>
          <w:sz w:val="16"/>
          <w:szCs w:val="16"/>
        </w:rPr>
        <w:t xml:space="preserve"> </w:t>
      </w:r>
      <w:r w:rsidRPr="00405303">
        <w:rPr>
          <w:bCs/>
          <w:color w:val="002060"/>
          <w:sz w:val="16"/>
          <w:szCs w:val="16"/>
        </w:rPr>
        <w:t>409 кг. она составляла 296 м/с. При падении с высот, превышающих 800 м, колебания крупных бомб прекращаются. "Бомба, в вертикальном направлении, отмечал Н. Е. Жуковский, будет двигаться так, как будто бы она ниспадала по вертикальной линии". Этим самым было опровергнуто распространенное среди специалистов мнение, что колебания авиабомб служат причиной отказа ударных приспособлений (18738).</w:t>
      </w:r>
    </w:p>
    <w:p w14:paraId="0EB41614" w14:textId="77777777" w:rsidR="005C4C47" w:rsidRPr="00405303" w:rsidRDefault="005C4C47" w:rsidP="00C15251">
      <w:pPr>
        <w:jc w:val="both"/>
        <w:rPr>
          <w:bCs/>
          <w:color w:val="002060"/>
          <w:sz w:val="16"/>
          <w:szCs w:val="16"/>
        </w:rPr>
      </w:pPr>
    </w:p>
    <w:p w14:paraId="22E56021" w14:textId="77777777" w:rsidR="004B4E35" w:rsidRPr="00405303" w:rsidRDefault="009E6F82" w:rsidP="00C15251">
      <w:pPr>
        <w:jc w:val="both"/>
        <w:rPr>
          <w:bCs/>
          <w:color w:val="002060"/>
          <w:sz w:val="16"/>
          <w:szCs w:val="16"/>
        </w:rPr>
      </w:pPr>
      <w:r w:rsidRPr="00405303">
        <w:rPr>
          <w:bCs/>
          <w:color w:val="002060"/>
          <w:sz w:val="16"/>
          <w:szCs w:val="16"/>
        </w:rPr>
        <w:t xml:space="preserve">16 (29) ноября 1915 г. Технический комитет ГВТУ постановил: </w:t>
      </w:r>
    </w:p>
    <w:p w14:paraId="54A59A85" w14:textId="77777777" w:rsidR="004B4E35" w:rsidRPr="00405303" w:rsidRDefault="009E6F82" w:rsidP="00C15251">
      <w:pPr>
        <w:jc w:val="both"/>
        <w:rPr>
          <w:bCs/>
          <w:color w:val="002060"/>
          <w:sz w:val="16"/>
          <w:szCs w:val="16"/>
        </w:rPr>
      </w:pPr>
      <w:r w:rsidRPr="00405303">
        <w:rPr>
          <w:bCs/>
          <w:color w:val="002060"/>
          <w:sz w:val="16"/>
          <w:szCs w:val="16"/>
        </w:rPr>
        <w:t>"1) исследование заслуженного профессора Жуковского о затухании колебаний больших аэропланных бомб принять к сведению;</w:t>
      </w:r>
    </w:p>
    <w:p w14:paraId="7025B38F" w14:textId="77777777" w:rsidR="004B4E35" w:rsidRPr="00405303" w:rsidRDefault="009E6F82" w:rsidP="00C15251">
      <w:pPr>
        <w:jc w:val="both"/>
        <w:rPr>
          <w:bCs/>
          <w:color w:val="002060"/>
          <w:sz w:val="16"/>
          <w:szCs w:val="16"/>
        </w:rPr>
      </w:pPr>
      <w:r w:rsidRPr="00405303">
        <w:rPr>
          <w:bCs/>
          <w:color w:val="002060"/>
          <w:sz w:val="16"/>
          <w:szCs w:val="16"/>
        </w:rPr>
        <w:t xml:space="preserve">2) выразить профессору Жуковскому благодарность комитета за доставление интересного для военного воздухоплавания исследования". </w:t>
      </w:r>
    </w:p>
    <w:p w14:paraId="71666D95" w14:textId="77777777" w:rsidR="004B4E35" w:rsidRPr="00405303" w:rsidRDefault="009E6F82" w:rsidP="00C15251">
      <w:pPr>
        <w:jc w:val="both"/>
        <w:rPr>
          <w:bCs/>
          <w:color w:val="002060"/>
          <w:sz w:val="16"/>
          <w:szCs w:val="16"/>
        </w:rPr>
      </w:pPr>
      <w:r w:rsidRPr="00405303">
        <w:rPr>
          <w:bCs/>
          <w:color w:val="002060"/>
          <w:sz w:val="16"/>
          <w:szCs w:val="16"/>
        </w:rPr>
        <w:t>В лаборатории при МВТУ Н. Е. Жуковский организовали изучение аэродинамических свойств принятых на вооружение авиационных бомб. С этой целью проводились испытания и определение предельной скорости десяти типов бомб массой 409 кг. Активное участие в работах принимали К А Г. М. Мусинянц и Г. И. Лукьянов. Опыты показали, что скорость падения возрастает с величиной бомб. Для 409 кг. она составляла 296 м/с. При падении с высот, превышающих 800 м, колебания крупных бомб прекращаются. "Бомба, в вертикальном направлении, отмечал Н. Е. Жуковский, будет двигаться так, как будто бы она ниспадала по вертикальной линии". Этим самым было опровергнуто распространенное среди специалистов мнение, что колебания авиабомб служат причиной отказа ударных приспособлений. Выводы ученого позволили вскоре перейти к производству авиабомб нового типа с уменьшенным стабилизатором (11237).</w:t>
      </w:r>
    </w:p>
    <w:p w14:paraId="0186D80E" w14:textId="77777777" w:rsidR="004B4E35" w:rsidRPr="00405303" w:rsidRDefault="004B4E35" w:rsidP="00C15251">
      <w:pPr>
        <w:jc w:val="both"/>
        <w:rPr>
          <w:bCs/>
          <w:color w:val="002060"/>
          <w:sz w:val="16"/>
          <w:szCs w:val="16"/>
        </w:rPr>
      </w:pPr>
    </w:p>
    <w:p w14:paraId="2D1B4C5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16 (29) ноября 1915 Технический комитет Главного Военно-Техниче</w:t>
      </w:r>
      <w:r w:rsidRPr="00405303">
        <w:rPr>
          <w:bCs/>
          <w:color w:val="002060"/>
          <w:sz w:val="16"/>
          <w:szCs w:val="16"/>
        </w:rPr>
        <w:softHyphen/>
        <w:t>ского Управления рассмотрел исследование профессора Н.Е.Жуков</w:t>
      </w:r>
      <w:r w:rsidRPr="00405303">
        <w:rPr>
          <w:bCs/>
          <w:color w:val="002060"/>
          <w:sz w:val="16"/>
          <w:szCs w:val="16"/>
        </w:rPr>
        <w:softHyphen/>
        <w:t>ского о затухании колебаний больших бомб и выразил ему благо</w:t>
      </w:r>
      <w:r w:rsidRPr="00405303">
        <w:rPr>
          <w:bCs/>
          <w:color w:val="002060"/>
          <w:sz w:val="16"/>
          <w:szCs w:val="16"/>
        </w:rPr>
        <w:softHyphen/>
        <w:t>дарность за "доставление интересного для военного воздухоплавания исследования". Жуковский установил, что колебания крупных авиабомб прекращаются при падении с высот, превышающих 800 м. Это открытие позволило перейти к производству авиабомб с 1уменьшенным стабилизатором и более надежными взрывателями (ЦГВИА. ф 26, кор.219, Д.9482, л.324; Н.Е.Жуковский. Сочинения, т.5, стр.441).</w:t>
      </w:r>
    </w:p>
    <w:p w14:paraId="0B4D0C8A" w14:textId="77777777" w:rsidR="004B4E35" w:rsidRPr="00405303" w:rsidRDefault="004B4E35" w:rsidP="00C15251">
      <w:pPr>
        <w:shd w:val="clear" w:color="auto" w:fill="FFFFFF"/>
        <w:jc w:val="both"/>
        <w:rPr>
          <w:bCs/>
          <w:color w:val="002060"/>
          <w:sz w:val="16"/>
          <w:szCs w:val="16"/>
        </w:rPr>
      </w:pPr>
    </w:p>
    <w:p w14:paraId="7FB08D32" w14:textId="77777777" w:rsidR="00264B70" w:rsidRPr="00405303" w:rsidRDefault="00264B70" w:rsidP="00C15251">
      <w:pPr>
        <w:jc w:val="both"/>
        <w:rPr>
          <w:bCs/>
          <w:color w:val="002060"/>
          <w:sz w:val="16"/>
          <w:szCs w:val="16"/>
        </w:rPr>
      </w:pPr>
      <w:r w:rsidRPr="00405303">
        <w:rPr>
          <w:bCs/>
          <w:color w:val="002060"/>
          <w:sz w:val="16"/>
          <w:szCs w:val="16"/>
        </w:rPr>
        <w:t>16 (29) ноября 1915 г. Технический комитет Главного ВТУ рассмотрел иссле</w:t>
      </w:r>
      <w:r w:rsidRPr="00405303">
        <w:rPr>
          <w:bCs/>
          <w:color w:val="002060"/>
          <w:sz w:val="16"/>
          <w:szCs w:val="16"/>
        </w:rPr>
        <w:softHyphen/>
        <w:t>дование проф. Н. Е. Жуковского о затухании колебаний больших бомб и выразил ему благодарность за "доставление интересного для военного воздухоплавания исследования". Жуковский установил, что колебания крупных авиабомб прекращаются при падении с высот, превышающих 800 м. Этд открытие позволило перейти к производству авиа</w:t>
      </w:r>
      <w:r w:rsidRPr="00405303">
        <w:rPr>
          <w:bCs/>
          <w:color w:val="002060"/>
          <w:sz w:val="16"/>
          <w:szCs w:val="16"/>
        </w:rPr>
        <w:softHyphen/>
        <w:t>бомб с уменьшенным стабилизатором и более надежными взрывателями.</w:t>
      </w:r>
    </w:p>
    <w:p w14:paraId="3325BF03" w14:textId="77777777" w:rsidR="00264B70" w:rsidRPr="00405303" w:rsidRDefault="00264B70" w:rsidP="00C15251">
      <w:pPr>
        <w:jc w:val="both"/>
        <w:rPr>
          <w:bCs/>
          <w:color w:val="002060"/>
          <w:sz w:val="16"/>
          <w:szCs w:val="16"/>
        </w:rPr>
      </w:pPr>
      <w:r w:rsidRPr="00405303">
        <w:rPr>
          <w:bCs/>
          <w:color w:val="002060"/>
          <w:sz w:val="16"/>
          <w:szCs w:val="16"/>
        </w:rPr>
        <w:t>/ЦГВИА, ф. 26, кор. 219, д. 9482, л. 324; Н.Е.Жуковский. сочинения т. 5, стр. 441/ (23320).</w:t>
      </w:r>
    </w:p>
    <w:p w14:paraId="4A1D95B4" w14:textId="77777777" w:rsidR="00264B70" w:rsidRPr="00405303" w:rsidRDefault="00264B70" w:rsidP="00C15251">
      <w:pPr>
        <w:jc w:val="both"/>
        <w:rPr>
          <w:bCs/>
          <w:color w:val="002060"/>
          <w:sz w:val="16"/>
          <w:szCs w:val="16"/>
        </w:rPr>
      </w:pPr>
    </w:p>
    <w:p w14:paraId="25E6C212" w14:textId="77777777" w:rsidR="005C4C47" w:rsidRPr="00405303" w:rsidRDefault="005C4C47" w:rsidP="00C15251">
      <w:pPr>
        <w:jc w:val="both"/>
        <w:rPr>
          <w:bCs/>
          <w:i/>
          <w:color w:val="002060"/>
          <w:sz w:val="16"/>
          <w:szCs w:val="16"/>
        </w:rPr>
      </w:pPr>
      <w:r w:rsidRPr="00405303">
        <w:rPr>
          <w:bCs/>
          <w:i/>
          <w:color w:val="002060"/>
          <w:sz w:val="16"/>
          <w:szCs w:val="16"/>
        </w:rPr>
        <w:t>Другие оборонные отрасли:</w:t>
      </w:r>
    </w:p>
    <w:p w14:paraId="20AFE3A7" w14:textId="77777777" w:rsidR="005C4C47" w:rsidRPr="00405303" w:rsidRDefault="005C4C47" w:rsidP="00C15251">
      <w:pPr>
        <w:jc w:val="both"/>
        <w:rPr>
          <w:bCs/>
          <w:i/>
          <w:color w:val="002060"/>
          <w:sz w:val="16"/>
          <w:szCs w:val="16"/>
        </w:rPr>
      </w:pPr>
    </w:p>
    <w:p w14:paraId="16BD34DB" w14:textId="027D8392" w:rsidR="005C4C47" w:rsidRPr="00405303" w:rsidRDefault="005C4C47" w:rsidP="00C15251">
      <w:pPr>
        <w:pStyle w:val="p1"/>
        <w:spacing w:before="0" w:beforeAutospacing="0" w:after="0" w:afterAutospacing="0"/>
        <w:jc w:val="both"/>
        <w:rPr>
          <w:bCs/>
          <w:color w:val="002060"/>
          <w:sz w:val="16"/>
          <w:szCs w:val="16"/>
        </w:rPr>
      </w:pPr>
      <w:r w:rsidRPr="00405303">
        <w:rPr>
          <w:bCs/>
          <w:color w:val="002060"/>
          <w:sz w:val="16"/>
          <w:szCs w:val="16"/>
        </w:rPr>
        <w:t xml:space="preserve">16 </w:t>
      </w:r>
      <w:r w:rsidR="005A5FEF" w:rsidRPr="00405303">
        <w:rPr>
          <w:bCs/>
          <w:color w:val="002060"/>
          <w:sz w:val="16"/>
          <w:szCs w:val="16"/>
        </w:rPr>
        <w:t xml:space="preserve">(29) </w:t>
      </w:r>
      <w:r w:rsidRPr="00405303">
        <w:rPr>
          <w:bCs/>
          <w:color w:val="002060"/>
          <w:sz w:val="16"/>
          <w:szCs w:val="16"/>
        </w:rPr>
        <w:t>ноября 1915 г. В.Ф. Давыдов на заседании РАО полагал, что «по окончании войны льгота в виде временного разрешения ввоза 30% материалов из-за границы пойдет в ущерб развитию отечественной промышленности… Если оборудовать заводы и приступить к производству, получив 30% заграничных материалов, поручить руководство делом иностранцам и оперировать еще на иностранные капиталы, то можно ли при таких условиях нарождающуюся промышленность назвать русскою» (18366).</w:t>
      </w:r>
    </w:p>
    <w:p w14:paraId="73A173B5" w14:textId="77777777" w:rsidR="005C4C47" w:rsidRPr="00405303" w:rsidRDefault="005C4C47" w:rsidP="00C15251">
      <w:pPr>
        <w:pStyle w:val="p1"/>
        <w:spacing w:before="0" w:beforeAutospacing="0" w:after="0" w:afterAutospacing="0"/>
        <w:jc w:val="both"/>
        <w:rPr>
          <w:bCs/>
          <w:color w:val="002060"/>
          <w:sz w:val="16"/>
          <w:szCs w:val="16"/>
        </w:rPr>
      </w:pPr>
    </w:p>
    <w:p w14:paraId="13E0ED84" w14:textId="68A93219" w:rsidR="005C4C47" w:rsidRPr="00405303" w:rsidRDefault="005C4C47" w:rsidP="00C15251">
      <w:pPr>
        <w:pStyle w:val="p1"/>
        <w:spacing w:before="0" w:beforeAutospacing="0" w:after="0" w:afterAutospacing="0"/>
        <w:jc w:val="both"/>
        <w:rPr>
          <w:bCs/>
          <w:color w:val="002060"/>
          <w:sz w:val="16"/>
          <w:szCs w:val="16"/>
        </w:rPr>
      </w:pPr>
      <w:r w:rsidRPr="00405303">
        <w:rPr>
          <w:bCs/>
          <w:color w:val="002060"/>
          <w:sz w:val="16"/>
          <w:szCs w:val="16"/>
        </w:rPr>
        <w:t xml:space="preserve">16 </w:t>
      </w:r>
      <w:r w:rsidR="005A5FEF" w:rsidRPr="00405303">
        <w:rPr>
          <w:bCs/>
          <w:color w:val="002060"/>
          <w:sz w:val="16"/>
          <w:szCs w:val="16"/>
        </w:rPr>
        <w:t xml:space="preserve">(29) </w:t>
      </w:r>
      <w:r w:rsidRPr="00405303">
        <w:rPr>
          <w:bCs/>
          <w:color w:val="002060"/>
          <w:sz w:val="16"/>
          <w:szCs w:val="16"/>
        </w:rPr>
        <w:t>ноября 1915 г. докладчик на заседании РАО В.Ф. Давыдов полагал, что «по окончании войны эта льгота (временное разрешение ввоза 30% материалов из-за границы) пойдет в ущерб развитию отечественной промышленности… Если оборудовать заводы и приступить к производству, получив 30% заграничных материалов, поручить руководство делом иностранцам и оперировать еще на иностранные капиталы, то можно ли при таких условиях нарождающуюся промышленность назвать русскою» (18409).</w:t>
      </w:r>
    </w:p>
    <w:p w14:paraId="37049B79" w14:textId="77777777" w:rsidR="005C4C47" w:rsidRPr="00405303" w:rsidRDefault="005C4C47" w:rsidP="00C15251">
      <w:pPr>
        <w:pStyle w:val="p1"/>
        <w:spacing w:before="0" w:beforeAutospacing="0" w:after="0" w:afterAutospacing="0"/>
        <w:jc w:val="both"/>
        <w:rPr>
          <w:bCs/>
          <w:color w:val="002060"/>
          <w:sz w:val="16"/>
          <w:szCs w:val="16"/>
        </w:rPr>
      </w:pPr>
    </w:p>
    <w:p w14:paraId="61E6D4E2" w14:textId="24EF011A" w:rsidR="00CE7CBE" w:rsidRPr="00405303" w:rsidRDefault="00CE7CBE" w:rsidP="00C15251">
      <w:pPr>
        <w:jc w:val="both"/>
        <w:rPr>
          <w:bCs/>
          <w:color w:val="002060"/>
          <w:sz w:val="16"/>
          <w:szCs w:val="16"/>
        </w:rPr>
      </w:pPr>
      <w:r w:rsidRPr="00405303">
        <w:rPr>
          <w:bCs/>
          <w:color w:val="002060"/>
          <w:sz w:val="16"/>
          <w:szCs w:val="16"/>
        </w:rPr>
        <w:t>16 (29) ноября 1915 г. доклад</w:t>
      </w:r>
      <w:r w:rsidRPr="00405303">
        <w:rPr>
          <w:bCs/>
          <w:color w:val="002060"/>
          <w:sz w:val="16"/>
          <w:szCs w:val="16"/>
        </w:rPr>
        <w:softHyphen/>
        <w:t>чик на заседании РАО В.Ф. Давыдов по</w:t>
      </w:r>
      <w:r w:rsidRPr="00405303">
        <w:rPr>
          <w:bCs/>
          <w:color w:val="002060"/>
          <w:sz w:val="16"/>
          <w:szCs w:val="16"/>
        </w:rPr>
        <w:softHyphen/>
        <w:t>лагал, что «по окончании войны льгота, которую запрашивали предприниматели - временное разрешение ввоза 30% материалов из-за границы - пойдет в ущерб развитию отечественной промышленности... Если оборудо</w:t>
      </w:r>
      <w:r w:rsidRPr="00405303">
        <w:rPr>
          <w:bCs/>
          <w:color w:val="002060"/>
          <w:sz w:val="16"/>
          <w:szCs w:val="16"/>
        </w:rPr>
        <w:softHyphen/>
        <w:t>вать заводы и приступить к производству, получив 30% за</w:t>
      </w:r>
      <w:r w:rsidRPr="00405303">
        <w:rPr>
          <w:bCs/>
          <w:color w:val="002060"/>
          <w:sz w:val="16"/>
          <w:szCs w:val="16"/>
        </w:rPr>
        <w:softHyphen/>
        <w:t>граничных материалов, поручить руководство делом ино</w:t>
      </w:r>
      <w:r w:rsidRPr="00405303">
        <w:rPr>
          <w:bCs/>
          <w:color w:val="002060"/>
          <w:sz w:val="16"/>
          <w:szCs w:val="16"/>
        </w:rPr>
        <w:softHyphen/>
        <w:t>странцам и оперировать еще на иностранные капиталы, то можно ли при таких условиях нарождающуюся промыш</w:t>
      </w:r>
      <w:r w:rsidRPr="00405303">
        <w:rPr>
          <w:bCs/>
          <w:color w:val="002060"/>
          <w:sz w:val="16"/>
          <w:szCs w:val="16"/>
        </w:rPr>
        <w:softHyphen/>
        <w:t>ленность назвать русскою».</w:t>
      </w:r>
    </w:p>
    <w:p w14:paraId="6F81D50A" w14:textId="77777777" w:rsidR="00CE7CBE" w:rsidRPr="00405303" w:rsidRDefault="00CE7CBE" w:rsidP="00C15251">
      <w:pPr>
        <w:jc w:val="both"/>
        <w:rPr>
          <w:bCs/>
          <w:color w:val="002060"/>
          <w:sz w:val="16"/>
          <w:szCs w:val="16"/>
        </w:rPr>
      </w:pPr>
      <w:r w:rsidRPr="00405303">
        <w:rPr>
          <w:bCs/>
          <w:color w:val="002060"/>
          <w:sz w:val="16"/>
          <w:szCs w:val="16"/>
        </w:rPr>
        <w:t>Одобрив ссуды и авансы пяти фирмам (РГВИА. Ф. 369. Оп. 16. Д. 97. Л. 253; «Русский Рено» получил заказ на 1500 грузовиков; русские заво</w:t>
      </w:r>
      <w:r w:rsidRPr="00405303">
        <w:rPr>
          <w:bCs/>
          <w:color w:val="002060"/>
          <w:sz w:val="16"/>
          <w:szCs w:val="16"/>
        </w:rPr>
        <w:softHyphen/>
        <w:t>ды — «А. о. воздухоплавания В.А. Лебедев», «А. о. Русско-Балтийского вагонного завода», Т-во С. Рябушинский и А. Кузнецов и А. о. «Аксай» в Нахичевани — по 1500 легковых и грузовых автомобилей. Оборудова</w:t>
      </w:r>
      <w:r w:rsidRPr="00405303">
        <w:rPr>
          <w:bCs/>
          <w:color w:val="002060"/>
          <w:sz w:val="16"/>
          <w:szCs w:val="16"/>
        </w:rPr>
        <w:softHyphen/>
        <w:t>ние будущих заводов полагалось закончить к октябрю 1916 г. при сроке окончания поставки не позднее 1 августа 1918 г. Судя по условиям до</w:t>
      </w:r>
      <w:r w:rsidRPr="00405303">
        <w:rPr>
          <w:bCs/>
          <w:color w:val="002060"/>
          <w:sz w:val="16"/>
          <w:szCs w:val="16"/>
        </w:rPr>
        <w:softHyphen/>
        <w:t>говора с АМО, фирмы брались самостоятельно изготовить шасси и ку</w:t>
      </w:r>
      <w:r w:rsidRPr="00405303">
        <w:rPr>
          <w:bCs/>
          <w:color w:val="002060"/>
          <w:sz w:val="16"/>
          <w:szCs w:val="16"/>
        </w:rPr>
        <w:softHyphen/>
        <w:t>зова с запасными частями, но не моторы (Москва в годы Первой миро</w:t>
      </w:r>
      <w:r w:rsidRPr="00405303">
        <w:rPr>
          <w:bCs/>
          <w:color w:val="002060"/>
          <w:sz w:val="16"/>
          <w:szCs w:val="16"/>
        </w:rPr>
        <w:softHyphen/>
        <w:t>вой войны. С. 382—383)), Совет министров предоставил военному ведомству 55 млн руб. на создание еще и казенного автомобильного завода. Как доложило царю в отчете за 1915 г. Военное министерство, оно не желало ми</w:t>
      </w:r>
      <w:r w:rsidRPr="00405303">
        <w:rPr>
          <w:bCs/>
          <w:color w:val="002060"/>
          <w:sz w:val="16"/>
          <w:szCs w:val="16"/>
        </w:rPr>
        <w:softHyphen/>
        <w:t>риться с таким положением, когда правительственные за</w:t>
      </w:r>
      <w:r w:rsidRPr="00405303">
        <w:rPr>
          <w:bCs/>
          <w:color w:val="002060"/>
          <w:sz w:val="16"/>
          <w:szCs w:val="16"/>
        </w:rPr>
        <w:softHyphen/>
        <w:t>казы на автомобили «производились почти полностью за границей» (при этом в 1913 г. 81% ввоза автомобилей при</w:t>
      </w:r>
      <w:r w:rsidRPr="00405303">
        <w:rPr>
          <w:bCs/>
          <w:color w:val="002060"/>
          <w:sz w:val="16"/>
          <w:szCs w:val="16"/>
        </w:rPr>
        <w:softHyphen/>
        <w:t>ходился на Германию). Но возлагать всю ответственность за эту отрасль машиностроения на собственные предприятия казны и создавать другие казенные автомобильные заводы, чего добивались в Думе, министры не желали, тем более что уже выявились неизбежные затруднения на пути утвержде</w:t>
      </w:r>
      <w:r w:rsidRPr="00405303">
        <w:rPr>
          <w:bCs/>
          <w:color w:val="002060"/>
          <w:sz w:val="16"/>
          <w:szCs w:val="16"/>
        </w:rPr>
        <w:softHyphen/>
        <w:t>ния в России собственного автомобилестроения.</w:t>
      </w:r>
    </w:p>
    <w:p w14:paraId="62D6D2E6" w14:textId="77777777" w:rsidR="00CE7CBE" w:rsidRPr="00405303" w:rsidRDefault="00CE7CBE" w:rsidP="00C15251">
      <w:pPr>
        <w:jc w:val="both"/>
        <w:rPr>
          <w:bCs/>
          <w:color w:val="002060"/>
          <w:sz w:val="16"/>
          <w:szCs w:val="16"/>
        </w:rPr>
      </w:pPr>
      <w:r w:rsidRPr="00405303">
        <w:rPr>
          <w:bCs/>
          <w:color w:val="002060"/>
          <w:sz w:val="16"/>
          <w:szCs w:val="16"/>
        </w:rPr>
        <w:t>Барк считал, что невозможно и нежелательно идти «да</w:t>
      </w:r>
      <w:r w:rsidRPr="00405303">
        <w:rPr>
          <w:bCs/>
          <w:color w:val="002060"/>
          <w:sz w:val="16"/>
          <w:szCs w:val="16"/>
        </w:rPr>
        <w:softHyphen/>
        <w:t>лее в направлении еще более широкого производства авто</w:t>
      </w:r>
      <w:r w:rsidRPr="00405303">
        <w:rPr>
          <w:bCs/>
          <w:color w:val="002060"/>
          <w:sz w:val="16"/>
          <w:szCs w:val="16"/>
        </w:rPr>
        <w:softHyphen/>
        <w:t>мобилей средствами казны» и что следует остановиться на одном, уже намеченном казенном предприятии. Так же и министр торговли и промышленности В.Н. Шаховской воз</w:t>
      </w:r>
      <w:r w:rsidRPr="00405303">
        <w:rPr>
          <w:bCs/>
          <w:color w:val="002060"/>
          <w:sz w:val="16"/>
          <w:szCs w:val="16"/>
        </w:rPr>
        <w:softHyphen/>
        <w:t>ражал против навязывания этого нового дела «казне, об</w:t>
      </w:r>
      <w:r w:rsidRPr="00405303">
        <w:rPr>
          <w:bCs/>
          <w:color w:val="002060"/>
          <w:sz w:val="16"/>
          <w:szCs w:val="16"/>
        </w:rPr>
        <w:softHyphen/>
        <w:t>ремененной множеством других, гораздо более свойствен</w:t>
      </w:r>
      <w:r w:rsidRPr="00405303">
        <w:rPr>
          <w:bCs/>
          <w:color w:val="002060"/>
          <w:sz w:val="16"/>
          <w:szCs w:val="16"/>
        </w:rPr>
        <w:softHyphen/>
        <w:t>ных ей, важных задач», и предлагал выждать и посмотреть, насколько успешно пойдет дело на остальных заводах в России. Очевидное затруднение заключалось в том, что для этого производства потребуются «высокие сорта стали, от</w:t>
      </w:r>
      <w:r w:rsidRPr="00405303">
        <w:rPr>
          <w:bCs/>
          <w:color w:val="002060"/>
          <w:sz w:val="16"/>
          <w:szCs w:val="16"/>
        </w:rPr>
        <w:softHyphen/>
        <w:t>ливок и поковок», подшипники и резиновые шины с ободами. Между тем «высшие специальные сорта стали» «пока в России не выделываются», лишь в будущем «имеется в виду... поднять вопрос о расширении, с правительственной поддержкой, Невского судостроительного и механического завода» специально для выпуска подходящей стали, поко</w:t>
      </w:r>
      <w:r w:rsidRPr="00405303">
        <w:rPr>
          <w:bCs/>
          <w:color w:val="002060"/>
          <w:sz w:val="16"/>
          <w:szCs w:val="16"/>
        </w:rPr>
        <w:softHyphen/>
        <w:t>вок, отливок, подшипников (23452).</w:t>
      </w:r>
    </w:p>
    <w:p w14:paraId="66659B8B" w14:textId="77777777" w:rsidR="00CE7CBE" w:rsidRPr="00405303" w:rsidRDefault="00CE7CBE" w:rsidP="00C15251">
      <w:pPr>
        <w:jc w:val="both"/>
        <w:rPr>
          <w:bCs/>
          <w:color w:val="002060"/>
          <w:sz w:val="16"/>
          <w:szCs w:val="16"/>
        </w:rPr>
      </w:pPr>
    </w:p>
    <w:p w14:paraId="752B85C5" w14:textId="7EFF4454" w:rsidR="00CE7CBE" w:rsidRPr="00405303" w:rsidRDefault="00CE7CBE" w:rsidP="00C15251">
      <w:pPr>
        <w:jc w:val="both"/>
        <w:rPr>
          <w:bCs/>
          <w:i/>
          <w:color w:val="002060"/>
          <w:sz w:val="16"/>
          <w:szCs w:val="16"/>
        </w:rPr>
      </w:pPr>
      <w:r w:rsidRPr="00405303">
        <w:rPr>
          <w:bCs/>
          <w:i/>
          <w:color w:val="002060"/>
          <w:sz w:val="16"/>
          <w:szCs w:val="16"/>
        </w:rPr>
        <w:t>Авиация:</w:t>
      </w:r>
    </w:p>
    <w:p w14:paraId="20C0630B" w14:textId="77777777" w:rsidR="00CE7CBE" w:rsidRPr="00405303" w:rsidRDefault="00CE7CBE" w:rsidP="00C15251">
      <w:pPr>
        <w:jc w:val="both"/>
        <w:rPr>
          <w:bCs/>
          <w:i/>
          <w:color w:val="002060"/>
          <w:sz w:val="16"/>
          <w:szCs w:val="16"/>
        </w:rPr>
      </w:pPr>
    </w:p>
    <w:p w14:paraId="0FA45AE4" w14:textId="41E3C5BA" w:rsidR="00CE7CBE" w:rsidRPr="00405303" w:rsidRDefault="00CE7CBE" w:rsidP="00C15251">
      <w:pPr>
        <w:jc w:val="both"/>
        <w:rPr>
          <w:bCs/>
          <w:color w:val="002060"/>
          <w:sz w:val="16"/>
          <w:szCs w:val="16"/>
        </w:rPr>
      </w:pPr>
      <w:r w:rsidRPr="00405303">
        <w:rPr>
          <w:bCs/>
          <w:color w:val="002060"/>
          <w:sz w:val="16"/>
          <w:szCs w:val="16"/>
        </w:rPr>
        <w:t>16 (29) ноября 1915 г. цеппелин LZ-86 сбросил с высоты 2,6 км на город Двинск 3,5 тонны бомб. Месяцем ранее объектом нападения стала Рига. На ее жилые кварталы немецкие аэронавты сбросили несколько бомб без особого ущерба для жителей города.</w:t>
      </w:r>
    </w:p>
    <w:p w14:paraId="2F3F91A7" w14:textId="77777777" w:rsidR="00CE7CBE" w:rsidRPr="00405303" w:rsidRDefault="00CE7CBE" w:rsidP="00C15251">
      <w:pPr>
        <w:jc w:val="both"/>
        <w:rPr>
          <w:bCs/>
          <w:color w:val="002060"/>
          <w:sz w:val="16"/>
          <w:szCs w:val="16"/>
        </w:rPr>
      </w:pPr>
      <w:r w:rsidRPr="00405303">
        <w:rPr>
          <w:bCs/>
          <w:color w:val="002060"/>
          <w:sz w:val="16"/>
          <w:szCs w:val="16"/>
        </w:rPr>
        <w:t>Ночью следующих суток воздушной бомбардировке подверглась ст. Ново-Вилейск (район г. Вильна). На железнодорожные сооружения было сброшено около 40 бомб, имелись человеческие жертвы. Немного ранее появление цеппелина было зафиксировано над Вильной. Плотный зенитный огонь заставил неприятельский экипаж изменить курс полета военного дирижабля (23405).</w:t>
      </w:r>
    </w:p>
    <w:p w14:paraId="34C38FAE" w14:textId="77777777" w:rsidR="00CE7CBE" w:rsidRPr="00405303" w:rsidRDefault="00CE7CBE" w:rsidP="00C15251">
      <w:pPr>
        <w:jc w:val="both"/>
        <w:rPr>
          <w:bCs/>
          <w:color w:val="002060"/>
          <w:sz w:val="16"/>
          <w:szCs w:val="16"/>
        </w:rPr>
      </w:pPr>
    </w:p>
    <w:p w14:paraId="46CD457A" w14:textId="21B7BC52"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4BEF2EF7" w14:textId="77777777" w:rsidR="004B4E35" w:rsidRPr="00405303" w:rsidRDefault="004B4E35" w:rsidP="00C15251">
      <w:pPr>
        <w:jc w:val="both"/>
        <w:rPr>
          <w:bCs/>
          <w:i/>
          <w:color w:val="002060"/>
          <w:sz w:val="16"/>
          <w:szCs w:val="16"/>
        </w:rPr>
      </w:pPr>
    </w:p>
    <w:p w14:paraId="31E984C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17 (30) ноября 1915 компания послала в МГШ официальное предложение своих услуг в деле со</w:t>
      </w:r>
      <w:r w:rsidRPr="00405303">
        <w:rPr>
          <w:bCs/>
          <w:color w:val="002060"/>
          <w:sz w:val="16"/>
          <w:szCs w:val="16"/>
        </w:rPr>
        <w:softHyphen/>
        <w:t>здания летающей лодки Г.А. Фриде. Письмо гласило, что фирма готова дать своего инже</w:t>
      </w:r>
      <w:r w:rsidRPr="00405303">
        <w:rPr>
          <w:bCs/>
          <w:color w:val="002060"/>
          <w:sz w:val="16"/>
          <w:szCs w:val="16"/>
        </w:rPr>
        <w:softHyphen/>
        <w:t>нера для ведения проекта, ожидая от Морского ведомства предоставления мотора; сборка же аэроплана оценивалась в 11.000 руб. Соответствующий договор был заключен 4 декабря 1915 г., предписывая завершить работу в течение 20 дней и испытать самолет за счет флота и силами кого-нибудь из морских летчиков. Как это часто случалось, завод не смог выпол</w:t>
      </w:r>
      <w:r w:rsidRPr="00405303">
        <w:rPr>
          <w:bCs/>
          <w:color w:val="002060"/>
          <w:sz w:val="16"/>
          <w:szCs w:val="16"/>
        </w:rPr>
        <w:softHyphen/>
        <w:t>нить задание в срок и 9 декабря Лебедеву пришлось донести о том, что некоторая задержка неизбежна, т.к. "тип еще не оформился", в чертежи вносились изменения, а уже изготов</w:t>
      </w:r>
      <w:r w:rsidRPr="00405303">
        <w:rPr>
          <w:bCs/>
          <w:color w:val="002060"/>
          <w:sz w:val="16"/>
          <w:szCs w:val="16"/>
        </w:rPr>
        <w:softHyphen/>
        <w:t>ленные части неоднократно приходилось заменять новыми. 27 декабря МГШ продлил срок сдачи на два месяца, благо спешить особенно было некуда по причине зимы (2843).</w:t>
      </w:r>
    </w:p>
    <w:p w14:paraId="6698D330" w14:textId="77777777" w:rsidR="004B4E35" w:rsidRPr="00405303" w:rsidRDefault="004B4E35" w:rsidP="00C15251">
      <w:pPr>
        <w:shd w:val="clear" w:color="auto" w:fill="FFFFFF"/>
        <w:jc w:val="both"/>
        <w:rPr>
          <w:bCs/>
          <w:color w:val="002060"/>
          <w:sz w:val="16"/>
          <w:szCs w:val="16"/>
        </w:rPr>
      </w:pPr>
    </w:p>
    <w:p w14:paraId="4B1B757C" w14:textId="23942EE3" w:rsidR="00C9554B" w:rsidRPr="00405303" w:rsidRDefault="00C9554B" w:rsidP="00C15251">
      <w:pPr>
        <w:shd w:val="clear" w:color="auto" w:fill="FFFFFF"/>
        <w:jc w:val="both"/>
        <w:rPr>
          <w:bCs/>
          <w:color w:val="002060"/>
          <w:sz w:val="16"/>
          <w:szCs w:val="16"/>
        </w:rPr>
      </w:pPr>
      <w:bookmarkStart w:id="312" w:name="_Hlk117842991"/>
      <w:r w:rsidRPr="00405303">
        <w:rPr>
          <w:bCs/>
          <w:color w:val="002060"/>
          <w:sz w:val="16"/>
          <w:szCs w:val="16"/>
        </w:rPr>
        <w:t>17 (30) ноября 1915 г.</w:t>
      </w:r>
    </w:p>
    <w:p w14:paraId="3AA37582" w14:textId="575AA291" w:rsidR="004B4E35" w:rsidRPr="00405303" w:rsidRDefault="009E6F82" w:rsidP="00C15251">
      <w:pPr>
        <w:shd w:val="clear" w:color="auto" w:fill="FFFFFF"/>
        <w:jc w:val="both"/>
        <w:rPr>
          <w:bCs/>
          <w:color w:val="002060"/>
          <w:sz w:val="16"/>
          <w:szCs w:val="16"/>
        </w:rPr>
      </w:pPr>
      <w:r w:rsidRPr="00405303">
        <w:rPr>
          <w:bCs/>
          <w:color w:val="002060"/>
          <w:sz w:val="16"/>
          <w:szCs w:val="16"/>
        </w:rPr>
        <w:t>Сведения о контрактах на аэроглиссеры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58"/>
        <w:gridCol w:w="1080"/>
        <w:gridCol w:w="1170"/>
        <w:gridCol w:w="5868"/>
      </w:tblGrid>
      <w:tr w:rsidR="004B4E35" w:rsidRPr="00405303" w14:paraId="22B8ED13" w14:textId="77777777">
        <w:tc>
          <w:tcPr>
            <w:tcW w:w="1458" w:type="dxa"/>
            <w:shd w:val="clear" w:color="auto" w:fill="FFFFFF"/>
          </w:tcPr>
          <w:p w14:paraId="2BDFCB34" w14:textId="77777777" w:rsidR="004B4E35" w:rsidRPr="00405303" w:rsidRDefault="009E6F82" w:rsidP="00C15251">
            <w:pPr>
              <w:jc w:val="both"/>
              <w:rPr>
                <w:bCs/>
                <w:color w:val="002060"/>
                <w:sz w:val="16"/>
                <w:szCs w:val="16"/>
              </w:rPr>
            </w:pPr>
            <w:r w:rsidRPr="00405303">
              <w:rPr>
                <w:bCs/>
                <w:color w:val="002060"/>
                <w:sz w:val="16"/>
                <w:szCs w:val="16"/>
              </w:rPr>
              <w:t>Дата контракта</w:t>
            </w:r>
          </w:p>
        </w:tc>
        <w:tc>
          <w:tcPr>
            <w:tcW w:w="1080" w:type="dxa"/>
            <w:shd w:val="clear" w:color="auto" w:fill="FFFFFF"/>
          </w:tcPr>
          <w:p w14:paraId="43834E9A" w14:textId="77777777" w:rsidR="004B4E35" w:rsidRPr="00405303" w:rsidRDefault="009E6F82" w:rsidP="00C15251">
            <w:pPr>
              <w:jc w:val="both"/>
              <w:rPr>
                <w:bCs/>
                <w:color w:val="002060"/>
                <w:sz w:val="16"/>
                <w:szCs w:val="16"/>
              </w:rPr>
            </w:pPr>
            <w:r w:rsidRPr="00405303">
              <w:rPr>
                <w:bCs/>
                <w:color w:val="002060"/>
                <w:sz w:val="16"/>
                <w:szCs w:val="16"/>
              </w:rPr>
              <w:t>Число заказанных аппаратов</w:t>
            </w:r>
          </w:p>
        </w:tc>
        <w:tc>
          <w:tcPr>
            <w:tcW w:w="1170" w:type="dxa"/>
            <w:shd w:val="clear" w:color="auto" w:fill="FFFFFF"/>
          </w:tcPr>
          <w:p w14:paraId="1F6B3314" w14:textId="77777777" w:rsidR="004B4E35" w:rsidRPr="00405303" w:rsidRDefault="009E6F82" w:rsidP="00C15251">
            <w:pPr>
              <w:jc w:val="both"/>
              <w:rPr>
                <w:bCs/>
                <w:color w:val="002060"/>
                <w:sz w:val="16"/>
                <w:szCs w:val="16"/>
              </w:rPr>
            </w:pPr>
            <w:r w:rsidRPr="00405303">
              <w:rPr>
                <w:bCs/>
                <w:color w:val="002060"/>
                <w:sz w:val="16"/>
                <w:szCs w:val="16"/>
              </w:rPr>
              <w:t>Заводские номера сданных аппаратов</w:t>
            </w:r>
          </w:p>
        </w:tc>
        <w:tc>
          <w:tcPr>
            <w:tcW w:w="5868" w:type="dxa"/>
            <w:shd w:val="clear" w:color="auto" w:fill="FFFFFF"/>
          </w:tcPr>
          <w:p w14:paraId="6E934487" w14:textId="77777777" w:rsidR="004B4E35" w:rsidRPr="00405303" w:rsidRDefault="009E6F82" w:rsidP="00C15251">
            <w:pPr>
              <w:jc w:val="both"/>
              <w:rPr>
                <w:bCs/>
                <w:color w:val="002060"/>
                <w:sz w:val="16"/>
                <w:szCs w:val="16"/>
              </w:rPr>
            </w:pPr>
            <w:r w:rsidRPr="00405303">
              <w:rPr>
                <w:bCs/>
                <w:color w:val="002060"/>
                <w:sz w:val="16"/>
                <w:szCs w:val="16"/>
              </w:rPr>
              <w:t>Условия</w:t>
            </w:r>
          </w:p>
        </w:tc>
      </w:tr>
      <w:tr w:rsidR="004B4E35" w:rsidRPr="00405303" w14:paraId="47C1D0C8" w14:textId="77777777">
        <w:tc>
          <w:tcPr>
            <w:tcW w:w="1458" w:type="dxa"/>
            <w:shd w:val="clear" w:color="auto" w:fill="FFFFFF"/>
          </w:tcPr>
          <w:p w14:paraId="2B6BB976" w14:textId="77777777" w:rsidR="004B4E35" w:rsidRPr="00405303" w:rsidRDefault="009E6F82" w:rsidP="00C15251">
            <w:pPr>
              <w:jc w:val="both"/>
              <w:rPr>
                <w:bCs/>
                <w:color w:val="002060"/>
                <w:sz w:val="16"/>
                <w:szCs w:val="16"/>
              </w:rPr>
            </w:pPr>
            <w:r w:rsidRPr="00405303">
              <w:rPr>
                <w:bCs/>
                <w:color w:val="002060"/>
                <w:sz w:val="16"/>
                <w:szCs w:val="16"/>
              </w:rPr>
              <w:t>Декабрь 8 1915</w:t>
            </w:r>
          </w:p>
        </w:tc>
        <w:tc>
          <w:tcPr>
            <w:tcW w:w="1080" w:type="dxa"/>
            <w:shd w:val="clear" w:color="auto" w:fill="FFFFFF"/>
          </w:tcPr>
          <w:p w14:paraId="5EB6A940" w14:textId="77777777" w:rsidR="004B4E35" w:rsidRPr="00405303" w:rsidRDefault="009E6F82" w:rsidP="00C15251">
            <w:pPr>
              <w:jc w:val="both"/>
              <w:rPr>
                <w:bCs/>
                <w:color w:val="002060"/>
                <w:sz w:val="16"/>
                <w:szCs w:val="16"/>
              </w:rPr>
            </w:pPr>
            <w:r w:rsidRPr="00405303">
              <w:rPr>
                <w:bCs/>
                <w:color w:val="002060"/>
                <w:sz w:val="16"/>
                <w:szCs w:val="16"/>
              </w:rPr>
              <w:t>1</w:t>
            </w:r>
          </w:p>
        </w:tc>
        <w:tc>
          <w:tcPr>
            <w:tcW w:w="1170" w:type="dxa"/>
            <w:shd w:val="clear" w:color="auto" w:fill="FFFFFF"/>
          </w:tcPr>
          <w:p w14:paraId="2087DDBC" w14:textId="77777777" w:rsidR="004B4E35" w:rsidRPr="00405303" w:rsidRDefault="009E6F82" w:rsidP="00C15251">
            <w:pPr>
              <w:jc w:val="both"/>
              <w:rPr>
                <w:bCs/>
                <w:color w:val="002060"/>
                <w:sz w:val="16"/>
                <w:szCs w:val="16"/>
              </w:rPr>
            </w:pPr>
            <w:r w:rsidRPr="00405303">
              <w:rPr>
                <w:bCs/>
                <w:color w:val="002060"/>
                <w:sz w:val="16"/>
                <w:szCs w:val="16"/>
              </w:rPr>
              <w:t>-</w:t>
            </w:r>
          </w:p>
        </w:tc>
        <w:tc>
          <w:tcPr>
            <w:tcW w:w="5868" w:type="dxa"/>
            <w:shd w:val="clear" w:color="auto" w:fill="FFFFFF"/>
          </w:tcPr>
          <w:p w14:paraId="175234D7" w14:textId="77777777" w:rsidR="004B4E35" w:rsidRPr="00405303" w:rsidRDefault="009E6F82" w:rsidP="00C15251">
            <w:pPr>
              <w:jc w:val="both"/>
              <w:rPr>
                <w:bCs/>
                <w:color w:val="002060"/>
                <w:sz w:val="16"/>
                <w:szCs w:val="16"/>
              </w:rPr>
            </w:pPr>
            <w:r w:rsidRPr="00405303">
              <w:rPr>
                <w:bCs/>
                <w:color w:val="002060"/>
                <w:sz w:val="16"/>
                <w:szCs w:val="16"/>
              </w:rPr>
              <w:t>9 тыс. 500 руб. за аппарат без мотора или моторов, срок подготовки к сдаточным испытаниям 7 дней ПРИМЕЧАНИЯ: официальный заказ на аэроглиссер № 1</w:t>
            </w:r>
          </w:p>
        </w:tc>
      </w:tr>
      <w:tr w:rsidR="004B4E35" w:rsidRPr="00405303" w14:paraId="012E064A" w14:textId="77777777">
        <w:tc>
          <w:tcPr>
            <w:tcW w:w="1458" w:type="dxa"/>
            <w:shd w:val="clear" w:color="auto" w:fill="FFFFFF"/>
          </w:tcPr>
          <w:p w14:paraId="717356BB" w14:textId="77777777" w:rsidR="004B4E35" w:rsidRPr="00405303" w:rsidRDefault="009E6F82" w:rsidP="00C15251">
            <w:pPr>
              <w:jc w:val="both"/>
              <w:rPr>
                <w:bCs/>
                <w:color w:val="002060"/>
                <w:sz w:val="16"/>
                <w:szCs w:val="16"/>
              </w:rPr>
            </w:pPr>
            <w:r w:rsidRPr="00405303">
              <w:rPr>
                <w:bCs/>
                <w:color w:val="002060"/>
                <w:sz w:val="16"/>
                <w:szCs w:val="16"/>
              </w:rPr>
              <w:t>Ноябрь 17 (30) 1915</w:t>
            </w:r>
          </w:p>
        </w:tc>
        <w:tc>
          <w:tcPr>
            <w:tcW w:w="1080" w:type="dxa"/>
            <w:shd w:val="clear" w:color="auto" w:fill="FFFFFF"/>
          </w:tcPr>
          <w:p w14:paraId="70D3281C" w14:textId="77777777" w:rsidR="004B4E35" w:rsidRPr="00405303" w:rsidRDefault="009E6F82" w:rsidP="00C15251">
            <w:pPr>
              <w:jc w:val="both"/>
              <w:rPr>
                <w:bCs/>
                <w:color w:val="002060"/>
                <w:sz w:val="16"/>
                <w:szCs w:val="16"/>
              </w:rPr>
            </w:pPr>
            <w:r w:rsidRPr="00405303">
              <w:rPr>
                <w:bCs/>
                <w:color w:val="002060"/>
                <w:sz w:val="16"/>
                <w:szCs w:val="16"/>
              </w:rPr>
              <w:t>1</w:t>
            </w:r>
          </w:p>
        </w:tc>
        <w:tc>
          <w:tcPr>
            <w:tcW w:w="1170" w:type="dxa"/>
            <w:shd w:val="clear" w:color="auto" w:fill="FFFFFF"/>
          </w:tcPr>
          <w:p w14:paraId="6FB6B4D4" w14:textId="77777777" w:rsidR="004B4E35" w:rsidRPr="00405303" w:rsidRDefault="009E6F82" w:rsidP="00C15251">
            <w:pPr>
              <w:jc w:val="both"/>
              <w:rPr>
                <w:bCs/>
                <w:color w:val="002060"/>
                <w:sz w:val="16"/>
                <w:szCs w:val="16"/>
              </w:rPr>
            </w:pPr>
            <w:r w:rsidRPr="00405303">
              <w:rPr>
                <w:bCs/>
                <w:color w:val="002060"/>
                <w:sz w:val="16"/>
                <w:szCs w:val="16"/>
              </w:rPr>
              <w:t>-</w:t>
            </w:r>
          </w:p>
        </w:tc>
        <w:tc>
          <w:tcPr>
            <w:tcW w:w="5868" w:type="dxa"/>
            <w:shd w:val="clear" w:color="auto" w:fill="FFFFFF"/>
          </w:tcPr>
          <w:p w14:paraId="4F441031" w14:textId="77777777" w:rsidR="004B4E35" w:rsidRPr="00405303" w:rsidRDefault="009E6F82" w:rsidP="00C15251">
            <w:pPr>
              <w:jc w:val="both"/>
              <w:rPr>
                <w:bCs/>
                <w:color w:val="002060"/>
                <w:sz w:val="16"/>
                <w:szCs w:val="16"/>
              </w:rPr>
            </w:pPr>
            <w:r w:rsidRPr="00405303">
              <w:rPr>
                <w:bCs/>
                <w:color w:val="002060"/>
                <w:sz w:val="16"/>
                <w:szCs w:val="16"/>
              </w:rPr>
              <w:t>20 тыс. руб. за аппарат без моторов ПРИМЕЧАНИЯ: официальный заказ на аэроглиссер № 2</w:t>
            </w:r>
          </w:p>
        </w:tc>
      </w:tr>
    </w:tbl>
    <w:p w14:paraId="5DB3FA3B" w14:textId="77777777" w:rsidR="004B4E35" w:rsidRPr="00405303" w:rsidRDefault="004B4E35" w:rsidP="00C15251">
      <w:pPr>
        <w:shd w:val="clear" w:color="auto" w:fill="FFFFFF"/>
        <w:jc w:val="both"/>
        <w:rPr>
          <w:bCs/>
          <w:color w:val="002060"/>
          <w:sz w:val="16"/>
          <w:szCs w:val="16"/>
        </w:rPr>
      </w:pPr>
    </w:p>
    <w:p w14:paraId="232729E3" w14:textId="77777777" w:rsidR="00C9554B" w:rsidRPr="00405303" w:rsidRDefault="009E6F82" w:rsidP="00C15251">
      <w:pPr>
        <w:shd w:val="clear" w:color="auto" w:fill="FFFFFF"/>
        <w:jc w:val="both"/>
        <w:rPr>
          <w:bCs/>
          <w:color w:val="002060"/>
          <w:sz w:val="16"/>
          <w:szCs w:val="16"/>
        </w:rPr>
      </w:pPr>
      <w:bookmarkStart w:id="313" w:name="_Hlk117843118"/>
      <w:bookmarkEnd w:id="312"/>
      <w:r w:rsidRPr="00405303">
        <w:rPr>
          <w:bCs/>
          <w:color w:val="002060"/>
          <w:sz w:val="16"/>
          <w:szCs w:val="16"/>
        </w:rPr>
        <w:t>В конце ноября аппарат, названный «Аэроглиссером № 1», подготовили к испытаниям, для про</w:t>
      </w:r>
      <w:r w:rsidRPr="00405303">
        <w:rPr>
          <w:bCs/>
          <w:color w:val="002060"/>
          <w:sz w:val="16"/>
          <w:szCs w:val="16"/>
        </w:rPr>
        <w:softHyphen/>
        <w:t>ведения которых его отправили в Баку. Эксперименты, проведенные инструкторами школы, проходи</w:t>
      </w:r>
      <w:r w:rsidRPr="00405303">
        <w:rPr>
          <w:bCs/>
          <w:color w:val="002060"/>
          <w:sz w:val="16"/>
          <w:szCs w:val="16"/>
        </w:rPr>
        <w:softHyphen/>
        <w:t>ли в период между январем и мартом 1916 г., но, к сожалению, их подробности неизвестны, как и дальнейшая судьба машины: возможно, ее, хоть и приняв в казну, возвратили на ПРТВ, где она могла погибнуть в огне пожара в ночь с 6 па 7 января 1917г. Досадно, ноне сохранилось и никаких техничес</w:t>
      </w:r>
      <w:r w:rsidRPr="00405303">
        <w:rPr>
          <w:bCs/>
          <w:color w:val="002060"/>
          <w:sz w:val="16"/>
          <w:szCs w:val="16"/>
        </w:rPr>
        <w:softHyphen/>
        <w:t>ких данных о «№ 1», однако его цена позволяет говорить о том, что он был уменьшенным аналогом «Аэроглиссера № 2». Последний заказали официальным контрактом от</w:t>
      </w:r>
    </w:p>
    <w:p w14:paraId="06CFFEC6" w14:textId="77777777" w:rsidR="00C9554B" w:rsidRPr="00405303" w:rsidRDefault="00C9554B" w:rsidP="00C15251">
      <w:pPr>
        <w:shd w:val="clear" w:color="auto" w:fill="FFFFFF"/>
        <w:jc w:val="both"/>
        <w:rPr>
          <w:bCs/>
          <w:color w:val="002060"/>
          <w:sz w:val="16"/>
          <w:szCs w:val="16"/>
        </w:rPr>
      </w:pPr>
    </w:p>
    <w:p w14:paraId="5C938FDC" w14:textId="23824959" w:rsidR="004B4E35" w:rsidRPr="00405303" w:rsidRDefault="009E6F82" w:rsidP="00C15251">
      <w:pPr>
        <w:shd w:val="clear" w:color="auto" w:fill="FFFFFF"/>
        <w:jc w:val="both"/>
        <w:rPr>
          <w:bCs/>
          <w:color w:val="002060"/>
          <w:sz w:val="16"/>
          <w:szCs w:val="16"/>
        </w:rPr>
      </w:pPr>
      <w:r w:rsidRPr="00405303">
        <w:rPr>
          <w:bCs/>
          <w:color w:val="002060"/>
          <w:sz w:val="16"/>
          <w:szCs w:val="16"/>
        </w:rPr>
        <w:t>17 (30) ноября 1915 г.</w:t>
      </w:r>
      <w:r w:rsidR="00C9554B" w:rsidRPr="00405303">
        <w:rPr>
          <w:bCs/>
          <w:color w:val="002060"/>
          <w:sz w:val="16"/>
          <w:szCs w:val="16"/>
        </w:rPr>
        <w:t xml:space="preserve"> появился официальный контракт на «Аэроглиссера № 2»</w:t>
      </w:r>
      <w:r w:rsidRPr="00405303">
        <w:rPr>
          <w:bCs/>
          <w:color w:val="002060"/>
          <w:sz w:val="16"/>
          <w:szCs w:val="16"/>
        </w:rPr>
        <w:t xml:space="preserve">, и можно только догадываться о том, почему Морское ведомство решилось на дополнительные расходы в то время, когда первый прототип не прошел опробования. Не исключено, что при принятии решения возобладали доводы о ставшей </w:t>
      </w:r>
      <w:r w:rsidRPr="00405303">
        <w:rPr>
          <w:bCs/>
          <w:color w:val="002060"/>
          <w:sz w:val="16"/>
          <w:szCs w:val="16"/>
        </w:rPr>
        <w:lastRenderedPageBreak/>
        <w:t>возможной сборке полноразмерного аппарата именно с «Сальмсонами» 140-150 л. с. и о желательности приблизить начало серийного производства в случае успеха «№ 1» — ведь летняя кампания 1916г. была не за горами. Первого марта 1916г. явилось датой готов</w:t>
      </w:r>
      <w:r w:rsidRPr="00405303">
        <w:rPr>
          <w:bCs/>
          <w:color w:val="002060"/>
          <w:sz w:val="16"/>
          <w:szCs w:val="16"/>
        </w:rPr>
        <w:softHyphen/>
        <w:t>ности «№ 2», а 2 мая аппарат доставили па территорию все той же Петроградской морской авиашко</w:t>
      </w:r>
      <w:r w:rsidRPr="00405303">
        <w:rPr>
          <w:bCs/>
          <w:color w:val="002060"/>
          <w:sz w:val="16"/>
          <w:szCs w:val="16"/>
        </w:rPr>
        <w:softHyphen/>
        <w:t>лы, но на этот раз на дамбу Гутуевского острова столицы. И снова неизвестно, что происходило с ним до 21 августа, когда школьная комиссия, состоявшая из лейтенанта Г. А. Фриде, штабс-капитана А. Е. Грузинова, штабс-капитана Е. Р. Энгельса и прапорщика А. П. Быкова, подписала акт о полом</w:t>
      </w:r>
      <w:r w:rsidRPr="00405303">
        <w:rPr>
          <w:bCs/>
          <w:color w:val="002060"/>
          <w:sz w:val="16"/>
          <w:szCs w:val="16"/>
        </w:rPr>
        <w:softHyphen/>
        <w:t>ке большого прототипа во время одного из опытов — возможно, самого первого. Аппарат полностью разрушился при движении по воде, тогда как его неназванный экипаж остался невредим</w:t>
      </w:r>
      <w:r w:rsidRPr="00405303">
        <w:rPr>
          <w:bCs/>
          <w:color w:val="002060"/>
          <w:sz w:val="16"/>
          <w:szCs w:val="16"/>
          <w:vertAlign w:val="superscript"/>
        </w:rPr>
        <w:t>2</w:t>
      </w:r>
      <w:r w:rsidRPr="00405303">
        <w:rPr>
          <w:bCs/>
          <w:color w:val="002060"/>
          <w:sz w:val="16"/>
          <w:szCs w:val="16"/>
        </w:rPr>
        <w:t>. Причину аварии не указывали, но, скорее всего, «Аэроглиссер № 2» «выскочил» из воды из-за слишком боль</w:t>
      </w:r>
      <w:r w:rsidRPr="00405303">
        <w:rPr>
          <w:bCs/>
          <w:color w:val="002060"/>
          <w:sz w:val="16"/>
          <w:szCs w:val="16"/>
        </w:rPr>
        <w:softHyphen/>
        <w:t>шой подъемной силы его воздушных и водных крыльев, затем безнадежно вышел из повиновения и рухнул в пучину. С его потерей все работы над проектом прекратились (2807).</w:t>
      </w:r>
    </w:p>
    <w:p w14:paraId="2402DBD7" w14:textId="77777777" w:rsidR="004B4E35" w:rsidRPr="00405303" w:rsidRDefault="004B4E35" w:rsidP="00C15251">
      <w:pPr>
        <w:shd w:val="clear" w:color="auto" w:fill="FFFFFF"/>
        <w:jc w:val="both"/>
        <w:rPr>
          <w:bCs/>
          <w:color w:val="002060"/>
          <w:sz w:val="16"/>
          <w:szCs w:val="16"/>
        </w:rPr>
      </w:pPr>
    </w:p>
    <w:bookmarkEnd w:id="313"/>
    <w:p w14:paraId="61132347" w14:textId="40EB991C" w:rsidR="00C16F20" w:rsidRPr="00405303" w:rsidRDefault="00C16F20" w:rsidP="00C15251">
      <w:pPr>
        <w:shd w:val="clear" w:color="auto" w:fill="FFFFFF"/>
        <w:jc w:val="both"/>
        <w:rPr>
          <w:bCs/>
          <w:i/>
          <w:color w:val="002060"/>
          <w:sz w:val="16"/>
          <w:szCs w:val="16"/>
        </w:rPr>
      </w:pPr>
      <w:r w:rsidRPr="00405303">
        <w:rPr>
          <w:bCs/>
          <w:i/>
          <w:color w:val="002060"/>
          <w:sz w:val="16"/>
          <w:szCs w:val="16"/>
        </w:rPr>
        <w:t>Авиация:</w:t>
      </w:r>
    </w:p>
    <w:p w14:paraId="363D3EF9" w14:textId="77777777" w:rsidR="00C16F20" w:rsidRPr="00405303" w:rsidRDefault="00C16F20" w:rsidP="00C15251">
      <w:pPr>
        <w:shd w:val="clear" w:color="auto" w:fill="FFFFFF"/>
        <w:jc w:val="both"/>
        <w:rPr>
          <w:bCs/>
          <w:i/>
          <w:color w:val="002060"/>
          <w:sz w:val="16"/>
          <w:szCs w:val="16"/>
        </w:rPr>
      </w:pPr>
    </w:p>
    <w:p w14:paraId="3DA91C0C" w14:textId="77777777" w:rsidR="00C16F20" w:rsidRPr="00405303" w:rsidRDefault="00C16F20" w:rsidP="00C15251">
      <w:pPr>
        <w:jc w:val="both"/>
        <w:rPr>
          <w:bCs/>
          <w:color w:val="002060"/>
          <w:sz w:val="16"/>
          <w:szCs w:val="16"/>
        </w:rPr>
      </w:pPr>
      <w:r w:rsidRPr="00405303">
        <w:rPr>
          <w:bCs/>
          <w:color w:val="002060"/>
          <w:sz w:val="16"/>
          <w:szCs w:val="16"/>
        </w:rPr>
        <w:t>17 (30) ноября 1915 г. в докладной записке, составленной штабс-офицером для поручений при заведующем авиацией и воздухоплаванием в действующей армии, который объехал воздухоплавательные роты «для ознакомления с их деятельностью на фронте, а также с состоянием их специального имущества и соответствием его требованиям войны», говорится, что объем применяемых в России змейковых аэростатов (750 м3 ) недостаточен для подъема двух воздухоплавателей на высоту 800-1000 м. Кроме того, подъемная сила аэростатов значительно уменьшалась от их хранения под открытым небом и воздействия атмосферных осадков (22857).</w:t>
      </w:r>
    </w:p>
    <w:p w14:paraId="1BA5D9D8" w14:textId="77777777" w:rsidR="00C16F20" w:rsidRPr="00405303" w:rsidRDefault="00C16F20" w:rsidP="00C15251">
      <w:pPr>
        <w:jc w:val="both"/>
        <w:rPr>
          <w:bCs/>
          <w:color w:val="002060"/>
          <w:sz w:val="16"/>
          <w:szCs w:val="16"/>
        </w:rPr>
      </w:pPr>
    </w:p>
    <w:p w14:paraId="3294B630" w14:textId="0AD191AC" w:rsidR="00CE7CBE" w:rsidRPr="00405303" w:rsidRDefault="00CE7CBE" w:rsidP="00C15251">
      <w:pPr>
        <w:jc w:val="both"/>
        <w:rPr>
          <w:bCs/>
          <w:color w:val="002060"/>
          <w:sz w:val="16"/>
          <w:szCs w:val="16"/>
        </w:rPr>
      </w:pPr>
      <w:r w:rsidRPr="00405303">
        <w:rPr>
          <w:bCs/>
          <w:color w:val="002060"/>
          <w:sz w:val="16"/>
          <w:szCs w:val="16"/>
        </w:rPr>
        <w:t>17 (30) ноября 1915 г. ночью воздушной бомбардировке с цеппелина LZ-86 подверглась ст. Ново-Вилейск (район г. Вильна). На железнодорожные сооружения было сброшено около 40 бомб, имелись человеческие жертвы. Немного ранее появление цеппелина было зафиксировано над Вильной. Плотный зенитный огонь заставил неприятельский экипаж изменить курс полета военного дирижабля (23405).</w:t>
      </w:r>
    </w:p>
    <w:p w14:paraId="0E1E290E" w14:textId="77777777" w:rsidR="00CE7CBE" w:rsidRPr="00405303" w:rsidRDefault="00CE7CBE" w:rsidP="00C15251">
      <w:pPr>
        <w:jc w:val="both"/>
        <w:rPr>
          <w:bCs/>
          <w:color w:val="002060"/>
          <w:sz w:val="16"/>
          <w:szCs w:val="16"/>
        </w:rPr>
      </w:pPr>
    </w:p>
    <w:p w14:paraId="7B8FEEFB" w14:textId="77777777" w:rsidR="00197CE4" w:rsidRPr="00B52707" w:rsidRDefault="00197CE4" w:rsidP="00197CE4">
      <w:pPr>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17 (30) ноября 1915 г. немецкий самолет атаковал наш тыловой объект вблизи ф. Вольтергофа (Рижский район), сбросив на него три бомбы.</w:t>
      </w:r>
    </w:p>
    <w:p w14:paraId="5BD01D46" w14:textId="77777777" w:rsidR="00197CE4" w:rsidRPr="00B52707" w:rsidRDefault="00197CE4" w:rsidP="00197CE4">
      <w:pPr>
        <w:jc w:val="both"/>
        <w:rPr>
          <w:color w:val="0070C0"/>
          <w:sz w:val="16"/>
          <w:szCs w:val="16"/>
        </w:rPr>
      </w:pPr>
      <w:r w:rsidRPr="00B52707">
        <w:rPr>
          <w:rStyle w:val="aa"/>
          <w:rFonts w:ascii="Times New Roman" w:hAnsi="Times New Roman"/>
          <w:color w:val="0070C0"/>
          <w:spacing w:val="0"/>
          <w:sz w:val="16"/>
          <w:szCs w:val="16"/>
        </w:rPr>
        <w:t>В то же время появившийся на Двинском участке Северного фронта цеппелин пытался провести бомбардировку русских частей, но был отогнан огнем артиллерии (25135).</w:t>
      </w:r>
    </w:p>
    <w:p w14:paraId="59FFFDA4" w14:textId="77777777" w:rsidR="00197CE4" w:rsidRPr="00B52707" w:rsidRDefault="00197CE4" w:rsidP="00197CE4">
      <w:pPr>
        <w:jc w:val="both"/>
        <w:rPr>
          <w:color w:val="0070C0"/>
          <w:sz w:val="16"/>
          <w:szCs w:val="16"/>
        </w:rPr>
      </w:pPr>
    </w:p>
    <w:p w14:paraId="2924364E" w14:textId="77777777" w:rsidR="00135780" w:rsidRPr="00405303" w:rsidRDefault="00135780" w:rsidP="00C15251">
      <w:pPr>
        <w:shd w:val="clear" w:color="auto" w:fill="FFFFFF"/>
        <w:jc w:val="both"/>
        <w:rPr>
          <w:bCs/>
          <w:i/>
          <w:color w:val="002060"/>
          <w:sz w:val="16"/>
          <w:szCs w:val="16"/>
        </w:rPr>
      </w:pPr>
      <w:r w:rsidRPr="00405303">
        <w:rPr>
          <w:bCs/>
          <w:i/>
          <w:color w:val="002060"/>
          <w:sz w:val="16"/>
          <w:szCs w:val="16"/>
        </w:rPr>
        <w:t>Авиация:</w:t>
      </w:r>
    </w:p>
    <w:p w14:paraId="205FE03D" w14:textId="77777777" w:rsidR="00135780" w:rsidRPr="00405303" w:rsidRDefault="00135780" w:rsidP="00C15251">
      <w:pPr>
        <w:shd w:val="clear" w:color="auto" w:fill="FFFFFF"/>
        <w:jc w:val="both"/>
        <w:rPr>
          <w:bCs/>
          <w:i/>
          <w:color w:val="002060"/>
          <w:sz w:val="16"/>
          <w:szCs w:val="16"/>
        </w:rPr>
      </w:pPr>
    </w:p>
    <w:p w14:paraId="192A4A4C" w14:textId="7585FF7A" w:rsidR="00135780" w:rsidRPr="00405303" w:rsidRDefault="00135780" w:rsidP="00C15251">
      <w:pPr>
        <w:jc w:val="both"/>
        <w:rPr>
          <w:bCs/>
          <w:color w:val="002060"/>
          <w:sz w:val="16"/>
          <w:szCs w:val="16"/>
        </w:rPr>
      </w:pPr>
      <w:r w:rsidRPr="00405303">
        <w:rPr>
          <w:bCs/>
          <w:color w:val="002060"/>
          <w:sz w:val="16"/>
          <w:szCs w:val="16"/>
          <w:lang w:bidi="en-US"/>
        </w:rPr>
        <w:t>На 18 (1) декабря 1915 г. в ЭВК имелось десять старых и изношенных дежурных и учебных ИМ. Шесть кораблей стояли у Пскова. 1-й боевой отряд на Юго-Западном фронте у Колодзневки имел ИМ-</w:t>
      </w:r>
      <w:r w:rsidRPr="00405303">
        <w:rPr>
          <w:bCs/>
          <w:color w:val="002060"/>
          <w:sz w:val="16"/>
          <w:szCs w:val="16"/>
          <w:lang w:val="en-US" w:bidi="en-US"/>
        </w:rPr>
        <w:t>II</w:t>
      </w:r>
      <w:r w:rsidRPr="00405303">
        <w:rPr>
          <w:bCs/>
          <w:color w:val="002060"/>
          <w:sz w:val="16"/>
          <w:szCs w:val="16"/>
          <w:lang w:bidi="en-US"/>
        </w:rPr>
        <w:t xml:space="preserve"> и ИМ-Киевский, а 2-й боевой отряд у Зегеволда на Северном фронте имел ИМ-</w:t>
      </w:r>
      <w:r w:rsidRPr="00405303">
        <w:rPr>
          <w:bCs/>
          <w:color w:val="002060"/>
          <w:sz w:val="16"/>
          <w:szCs w:val="16"/>
          <w:lang w:val="en-US" w:bidi="en-US"/>
        </w:rPr>
        <w:t>VI</w:t>
      </w:r>
      <w:r w:rsidRPr="00405303">
        <w:rPr>
          <w:bCs/>
          <w:color w:val="002060"/>
          <w:sz w:val="16"/>
          <w:szCs w:val="16"/>
          <w:lang w:bidi="en-US"/>
        </w:rPr>
        <w:t xml:space="preserve"> и ИМ-</w:t>
      </w:r>
      <w:r w:rsidRPr="00405303">
        <w:rPr>
          <w:bCs/>
          <w:color w:val="002060"/>
          <w:sz w:val="16"/>
          <w:szCs w:val="16"/>
          <w:lang w:val="en-US" w:bidi="en-US"/>
        </w:rPr>
        <w:t>IX</w:t>
      </w:r>
      <w:r w:rsidRPr="00405303">
        <w:rPr>
          <w:bCs/>
          <w:color w:val="002060"/>
          <w:sz w:val="16"/>
          <w:szCs w:val="16"/>
          <w:lang w:bidi="en-US"/>
        </w:rPr>
        <w:t>. 16 января 1916 года ураган пронесся по Зегевольду и выбил из строя ИМ-</w:t>
      </w:r>
      <w:r w:rsidRPr="00405303">
        <w:rPr>
          <w:bCs/>
          <w:color w:val="002060"/>
          <w:sz w:val="16"/>
          <w:szCs w:val="16"/>
          <w:lang w:val="en-US" w:bidi="en-US"/>
        </w:rPr>
        <w:t>VI</w:t>
      </w:r>
      <w:r w:rsidRPr="00405303">
        <w:rPr>
          <w:bCs/>
          <w:color w:val="002060"/>
          <w:sz w:val="16"/>
          <w:szCs w:val="16"/>
          <w:lang w:bidi="en-US"/>
        </w:rPr>
        <w:t xml:space="preserve"> и один учебно-тренировочный </w:t>
      </w:r>
      <w:r w:rsidRPr="00405303">
        <w:rPr>
          <w:bCs/>
          <w:color w:val="002060"/>
          <w:sz w:val="16"/>
          <w:szCs w:val="16"/>
          <w:lang w:val="en-US" w:bidi="en-US"/>
        </w:rPr>
        <w:t>Sikorsky</w:t>
      </w:r>
      <w:r w:rsidRPr="00405303">
        <w:rPr>
          <w:bCs/>
          <w:color w:val="002060"/>
          <w:sz w:val="16"/>
          <w:szCs w:val="16"/>
          <w:lang w:bidi="en-US"/>
        </w:rPr>
        <w:t xml:space="preserve"> </w:t>
      </w:r>
      <w:r w:rsidRPr="00405303">
        <w:rPr>
          <w:bCs/>
          <w:color w:val="002060"/>
          <w:sz w:val="16"/>
          <w:szCs w:val="16"/>
          <w:lang w:val="en-US" w:bidi="en-US"/>
        </w:rPr>
        <w:t>S</w:t>
      </w:r>
      <w:r w:rsidRPr="00405303">
        <w:rPr>
          <w:bCs/>
          <w:color w:val="002060"/>
          <w:sz w:val="16"/>
          <w:szCs w:val="16"/>
          <w:lang w:bidi="en-US"/>
        </w:rPr>
        <w:t>-16. ИМ-</w:t>
      </w:r>
      <w:r w:rsidRPr="00405303">
        <w:rPr>
          <w:bCs/>
          <w:color w:val="002060"/>
          <w:sz w:val="16"/>
          <w:szCs w:val="16"/>
          <w:lang w:val="en-US" w:bidi="en-US"/>
        </w:rPr>
        <w:t>IX</w:t>
      </w:r>
      <w:r w:rsidRPr="00405303">
        <w:rPr>
          <w:bCs/>
          <w:color w:val="002060"/>
          <w:sz w:val="16"/>
          <w:szCs w:val="16"/>
          <w:lang w:bidi="en-US"/>
        </w:rPr>
        <w:t xml:space="preserve"> был поврежден и отремонтирован как учебный (23525).</w:t>
      </w:r>
    </w:p>
    <w:p w14:paraId="0670F9B0" w14:textId="77777777" w:rsidR="00135780" w:rsidRPr="00405303" w:rsidRDefault="00135780" w:rsidP="00C15251">
      <w:pPr>
        <w:jc w:val="both"/>
        <w:rPr>
          <w:bCs/>
          <w:color w:val="002060"/>
          <w:sz w:val="16"/>
          <w:szCs w:val="16"/>
          <w:lang w:bidi="en-US"/>
        </w:rPr>
      </w:pPr>
    </w:p>
    <w:p w14:paraId="3EE0FB96" w14:textId="4F663DDB" w:rsidR="00C16F20" w:rsidRPr="00405303" w:rsidRDefault="00C16F20" w:rsidP="00C15251">
      <w:pPr>
        <w:shd w:val="clear" w:color="auto" w:fill="FFFFFF"/>
        <w:jc w:val="both"/>
        <w:rPr>
          <w:bCs/>
          <w:i/>
          <w:color w:val="002060"/>
          <w:sz w:val="16"/>
          <w:szCs w:val="16"/>
        </w:rPr>
      </w:pPr>
      <w:r w:rsidRPr="00405303">
        <w:rPr>
          <w:bCs/>
          <w:i/>
          <w:color w:val="002060"/>
          <w:sz w:val="16"/>
          <w:szCs w:val="16"/>
        </w:rPr>
        <w:t>Авиация и воздухоплавание за рубежом:</w:t>
      </w:r>
    </w:p>
    <w:p w14:paraId="582084C1" w14:textId="77777777" w:rsidR="00C16F20" w:rsidRPr="00405303" w:rsidRDefault="00C16F20" w:rsidP="00C15251">
      <w:pPr>
        <w:shd w:val="clear" w:color="auto" w:fill="FFFFFF"/>
        <w:jc w:val="both"/>
        <w:rPr>
          <w:bCs/>
          <w:i/>
          <w:color w:val="002060"/>
          <w:sz w:val="16"/>
          <w:szCs w:val="16"/>
        </w:rPr>
      </w:pPr>
    </w:p>
    <w:p w14:paraId="06C1B18C" w14:textId="77777777" w:rsidR="00C16F20" w:rsidRPr="00405303" w:rsidRDefault="00C16F20" w:rsidP="00C15251">
      <w:pPr>
        <w:jc w:val="both"/>
        <w:rPr>
          <w:bCs/>
          <w:color w:val="002060"/>
          <w:sz w:val="16"/>
          <w:szCs w:val="16"/>
        </w:rPr>
      </w:pPr>
      <w:r w:rsidRPr="00405303">
        <w:rPr>
          <w:bCs/>
          <w:color w:val="002060"/>
          <w:sz w:val="16"/>
          <w:szCs w:val="16"/>
        </w:rPr>
        <w:t>18 ноября (1 декабря) 1915 сформирована 2d Aero эскадрилья Армии Соединенных Штатов (20338).</w:t>
      </w:r>
    </w:p>
    <w:p w14:paraId="4FC50334" w14:textId="77777777" w:rsidR="00C16F20" w:rsidRPr="00405303" w:rsidRDefault="00C16F20" w:rsidP="00C15251">
      <w:pPr>
        <w:jc w:val="both"/>
        <w:rPr>
          <w:bCs/>
          <w:color w:val="002060"/>
          <w:sz w:val="16"/>
          <w:szCs w:val="16"/>
        </w:rPr>
      </w:pPr>
    </w:p>
    <w:p w14:paraId="2B79A97A" w14:textId="77777777" w:rsidR="00170C9B" w:rsidRPr="00405303" w:rsidRDefault="00170C9B" w:rsidP="00C15251">
      <w:pPr>
        <w:jc w:val="both"/>
        <w:rPr>
          <w:bCs/>
          <w:color w:val="002060"/>
          <w:sz w:val="16"/>
          <w:szCs w:val="16"/>
          <w:shd w:val="clear" w:color="auto" w:fill="FFFFFF"/>
        </w:rPr>
      </w:pPr>
      <w:r w:rsidRPr="00405303">
        <w:rPr>
          <w:bCs/>
          <w:color w:val="002060"/>
          <w:sz w:val="16"/>
          <w:szCs w:val="16"/>
          <w:shd w:val="clear" w:color="auto" w:fill="FFFFFF"/>
        </w:rPr>
        <w:t>18 ноября (1 декабря) 1915г. артиллерист полковник Ж. Э. Этьен подал докладную записку с предложением постройки “сухопутного броненосца” на шасси трактора “Холт”. Гусеничный трактор “Холт”, успевший в те годы широко распространиться, сыграл свою роль и в других странах – австриец Штайнер пытался заинтересовать возможностью его боевого применения германское военное ведомство, правда, безрезультатно (20250).</w:t>
      </w:r>
    </w:p>
    <w:p w14:paraId="75676A16" w14:textId="77777777" w:rsidR="00170C9B" w:rsidRPr="00405303" w:rsidRDefault="00170C9B" w:rsidP="00C15251">
      <w:pPr>
        <w:jc w:val="both"/>
        <w:rPr>
          <w:bCs/>
          <w:color w:val="002060"/>
          <w:sz w:val="16"/>
          <w:szCs w:val="16"/>
        </w:rPr>
      </w:pPr>
    </w:p>
    <w:p w14:paraId="27F52A69" w14:textId="7DC632FA" w:rsidR="00170C9B" w:rsidRPr="00405303" w:rsidRDefault="00170C9B" w:rsidP="00C15251">
      <w:pPr>
        <w:shd w:val="clear" w:color="auto" w:fill="FFFFFF"/>
        <w:jc w:val="both"/>
        <w:rPr>
          <w:bCs/>
          <w:i/>
          <w:color w:val="002060"/>
          <w:sz w:val="16"/>
          <w:szCs w:val="16"/>
        </w:rPr>
      </w:pPr>
      <w:r w:rsidRPr="00405303">
        <w:rPr>
          <w:bCs/>
          <w:i/>
          <w:color w:val="002060"/>
          <w:sz w:val="16"/>
          <w:szCs w:val="16"/>
        </w:rPr>
        <w:t>За рубежом:</w:t>
      </w:r>
    </w:p>
    <w:p w14:paraId="0368D1D8" w14:textId="77777777" w:rsidR="00170C9B" w:rsidRPr="00405303" w:rsidRDefault="00170C9B" w:rsidP="00C15251">
      <w:pPr>
        <w:shd w:val="clear" w:color="auto" w:fill="FFFFFF"/>
        <w:jc w:val="both"/>
        <w:rPr>
          <w:bCs/>
          <w:i/>
          <w:color w:val="002060"/>
          <w:sz w:val="16"/>
          <w:szCs w:val="16"/>
        </w:rPr>
      </w:pPr>
    </w:p>
    <w:p w14:paraId="1B5DB3BF" w14:textId="77777777" w:rsidR="00170C9B" w:rsidRPr="00405303" w:rsidRDefault="00170C9B" w:rsidP="00C15251">
      <w:pPr>
        <w:shd w:val="clear" w:color="auto" w:fill="FFFFFF"/>
        <w:jc w:val="both"/>
        <w:rPr>
          <w:bCs/>
          <w:color w:val="002060"/>
          <w:sz w:val="16"/>
          <w:szCs w:val="16"/>
        </w:rPr>
      </w:pPr>
      <w:r w:rsidRPr="00405303">
        <w:rPr>
          <w:bCs/>
          <w:color w:val="002060"/>
          <w:sz w:val="16"/>
          <w:szCs w:val="16"/>
          <w:shd w:val="clear" w:color="auto" w:fill="FFFFFF"/>
        </w:rPr>
        <w:t xml:space="preserve">18 ноября (1 декабря) </w:t>
      </w:r>
      <w:r w:rsidRPr="00405303">
        <w:rPr>
          <w:bCs/>
          <w:color w:val="002060"/>
          <w:sz w:val="16"/>
          <w:szCs w:val="16"/>
        </w:rPr>
        <w:t>1915г. французский полковник Этьен направил Главнокомандующему Французской армии письмо с предложением о постройке “бронированных повозок, обеспечивающих продвижение пехоты” или “сухопутных броненосцев". Опираясь на конструкцию все того же трактора «Холт» с 80-сильным двигателем, Этьен предлагал строить полностью бронированные вездеходные машины весом 12 (!) т, длиной 4, шириной 2,6 и высотой 1,6 м, с толщиной брони 15- 20 мм, экипажем 4 человека, вооруженную 37-мм пушкой и двумя пулеметами. Не дожидаясь официальных указаний, Этьен встретился в Париже с известным конструктором и владельцем автомобилестроительной фирмы Луи Рено, но тот, уже перегруженный заказами, не проявил видимого интереса, и Этьен обратился к его давнему конкуренту инженеру Брилье. Танками Луи Рено занялся только полгода спустя и очень удачно – результатом стал знаменитый легкий FT-17. Однако к середине 1916г. уже были готовы проекты средних танков «Шнейдер» (13,5 т) и «Сен-Шамон» (19,9 т), вооруженных 75- мм орудием и пулеметами (20250).</w:t>
      </w:r>
    </w:p>
    <w:p w14:paraId="74C573A3" w14:textId="77777777" w:rsidR="00170C9B" w:rsidRPr="00405303" w:rsidRDefault="00170C9B" w:rsidP="00C15251">
      <w:pPr>
        <w:shd w:val="clear" w:color="auto" w:fill="FFFFFF"/>
        <w:jc w:val="both"/>
        <w:rPr>
          <w:bCs/>
          <w:color w:val="002060"/>
          <w:sz w:val="16"/>
          <w:szCs w:val="16"/>
        </w:rPr>
      </w:pPr>
    </w:p>
    <w:p w14:paraId="1CB896AF"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7079674D" w14:textId="77777777" w:rsidR="004B4E35" w:rsidRPr="00405303" w:rsidRDefault="004B4E35" w:rsidP="00C15251">
      <w:pPr>
        <w:shd w:val="clear" w:color="auto" w:fill="FFFFFF"/>
        <w:jc w:val="both"/>
        <w:rPr>
          <w:bCs/>
          <w:i/>
          <w:color w:val="002060"/>
          <w:sz w:val="16"/>
          <w:szCs w:val="16"/>
        </w:rPr>
      </w:pPr>
    </w:p>
    <w:p w14:paraId="7C7CE9DC" w14:textId="03C3697E" w:rsidR="004B4E35" w:rsidRPr="00405303" w:rsidRDefault="009E6F82" w:rsidP="00C15251">
      <w:pPr>
        <w:jc w:val="both"/>
        <w:rPr>
          <w:bCs/>
          <w:color w:val="002060"/>
          <w:sz w:val="16"/>
          <w:szCs w:val="16"/>
        </w:rPr>
      </w:pPr>
      <w:r w:rsidRPr="00405303">
        <w:rPr>
          <w:bCs/>
          <w:color w:val="002060"/>
          <w:sz w:val="16"/>
          <w:szCs w:val="16"/>
        </w:rPr>
        <w:t xml:space="preserve">19 ноября (2 декабря) 1915 </w:t>
      </w:r>
      <w:r w:rsidR="00C9554B" w:rsidRPr="00405303">
        <w:rPr>
          <w:bCs/>
          <w:color w:val="002060"/>
          <w:sz w:val="16"/>
          <w:szCs w:val="16"/>
        </w:rPr>
        <w:t>г. л</w:t>
      </w:r>
      <w:r w:rsidRPr="00405303">
        <w:rPr>
          <w:bCs/>
          <w:color w:val="002060"/>
          <w:sz w:val="16"/>
          <w:szCs w:val="16"/>
        </w:rPr>
        <w:t>ейтенант Дыбовский самостоятельно изобрел и изготовил на заводе "Дукс" оригинальное приспособлении для стрельбы из неподвижного пулемета через винт. Чтобы согласовать количество выпускаемых в минуту пуль с числом оборотов винта, изобретатель установил на коленчатом валу двигателя кулачковые шайбы, которые через систему передач нажимали на спусковой механизм пулемета в момент прохождения лопасти осевой линии пулемета.</w:t>
      </w:r>
    </w:p>
    <w:p w14:paraId="5F24848C" w14:textId="77777777" w:rsidR="004B4E35" w:rsidRPr="00405303" w:rsidRDefault="009E6F82" w:rsidP="00C15251">
      <w:pPr>
        <w:jc w:val="both"/>
        <w:rPr>
          <w:bCs/>
          <w:color w:val="002060"/>
          <w:sz w:val="16"/>
          <w:szCs w:val="16"/>
        </w:rPr>
      </w:pPr>
      <w:r w:rsidRPr="00405303">
        <w:rPr>
          <w:bCs/>
          <w:color w:val="002060"/>
          <w:sz w:val="16"/>
          <w:szCs w:val="16"/>
        </w:rPr>
        <w:t>В этот день правление завода направило письмо в ГВТУ: "Производственное испытание этого прибора дало хорошие результаты, то есть ни одного попадания в винт". К письму прилагались чертежи (11999).</w:t>
      </w:r>
    </w:p>
    <w:p w14:paraId="16FDD0CB" w14:textId="77777777" w:rsidR="004B4E35" w:rsidRPr="00405303" w:rsidRDefault="004B4E35" w:rsidP="00C15251">
      <w:pPr>
        <w:jc w:val="both"/>
        <w:rPr>
          <w:bCs/>
          <w:color w:val="002060"/>
          <w:sz w:val="16"/>
          <w:szCs w:val="16"/>
        </w:rPr>
      </w:pPr>
    </w:p>
    <w:p w14:paraId="66A3AA7F" w14:textId="23BDE51C" w:rsidR="00E45D19" w:rsidRPr="00405303" w:rsidRDefault="00E45D19" w:rsidP="00C15251">
      <w:pPr>
        <w:jc w:val="both"/>
        <w:rPr>
          <w:bCs/>
          <w:color w:val="002060"/>
          <w:sz w:val="16"/>
          <w:szCs w:val="16"/>
        </w:rPr>
      </w:pPr>
      <w:r w:rsidRPr="00405303">
        <w:rPr>
          <w:bCs/>
          <w:color w:val="002060"/>
          <w:sz w:val="16"/>
          <w:szCs w:val="16"/>
        </w:rPr>
        <w:t>19 ноября (2 декабря) 1915 г. заводом Рено были получены заказы на 100 двигателей Renault мощностью 220 л.с.; 12 апреля 1917 г. – на 600 двигателей Renault 180 л.с. и 400 двигателей Renault мощностью 270 л.с. Фактические данные о производстве неизвестны (23525).</w:t>
      </w:r>
    </w:p>
    <w:p w14:paraId="2FD0BCDA" w14:textId="77777777" w:rsidR="00E45D19" w:rsidRPr="00405303" w:rsidRDefault="00E45D19" w:rsidP="00C15251">
      <w:pPr>
        <w:jc w:val="both"/>
        <w:rPr>
          <w:bCs/>
          <w:color w:val="002060"/>
          <w:sz w:val="16"/>
          <w:szCs w:val="16"/>
        </w:rPr>
      </w:pPr>
    </w:p>
    <w:p w14:paraId="223FBEBC" w14:textId="77777777" w:rsidR="00C32904" w:rsidRPr="00405303" w:rsidRDefault="00C32904" w:rsidP="00C15251">
      <w:pPr>
        <w:jc w:val="both"/>
        <w:rPr>
          <w:bCs/>
          <w:i/>
          <w:color w:val="002060"/>
          <w:sz w:val="16"/>
          <w:szCs w:val="16"/>
        </w:rPr>
      </w:pPr>
      <w:r w:rsidRPr="00405303">
        <w:rPr>
          <w:bCs/>
          <w:i/>
          <w:color w:val="002060"/>
          <w:sz w:val="16"/>
          <w:szCs w:val="16"/>
        </w:rPr>
        <w:t>Другие оборонные отрасли:</w:t>
      </w:r>
    </w:p>
    <w:p w14:paraId="0284F49D" w14:textId="77777777" w:rsidR="00C32904" w:rsidRPr="00405303" w:rsidRDefault="00C32904" w:rsidP="00C15251">
      <w:pPr>
        <w:jc w:val="both"/>
        <w:rPr>
          <w:bCs/>
          <w:i/>
          <w:color w:val="002060"/>
          <w:sz w:val="16"/>
          <w:szCs w:val="16"/>
        </w:rPr>
      </w:pPr>
    </w:p>
    <w:p w14:paraId="41A8D4FF" w14:textId="78EF654E" w:rsidR="005C4C47" w:rsidRPr="00405303" w:rsidRDefault="005C4C47" w:rsidP="00C15251">
      <w:pPr>
        <w:jc w:val="both"/>
        <w:rPr>
          <w:bCs/>
          <w:color w:val="002060"/>
          <w:sz w:val="16"/>
          <w:szCs w:val="16"/>
        </w:rPr>
      </w:pPr>
      <w:r w:rsidRPr="00405303">
        <w:rPr>
          <w:bCs/>
          <w:color w:val="002060"/>
          <w:sz w:val="16"/>
          <w:szCs w:val="16"/>
        </w:rPr>
        <w:t xml:space="preserve">19 ноября </w:t>
      </w:r>
      <w:r w:rsidR="00C9554B" w:rsidRPr="00405303">
        <w:rPr>
          <w:bCs/>
          <w:color w:val="002060"/>
          <w:sz w:val="16"/>
          <w:szCs w:val="16"/>
        </w:rPr>
        <w:t xml:space="preserve">(2 декабря) </w:t>
      </w:r>
      <w:r w:rsidRPr="00405303">
        <w:rPr>
          <w:bCs/>
          <w:color w:val="002060"/>
          <w:sz w:val="16"/>
          <w:szCs w:val="16"/>
        </w:rPr>
        <w:t>1915 г. составленный ГВТУ план обеспечения армии основными видами телеграфно-телефонного имущества был рассмотрен Подготовительной комиссией по общим вопросам, а 21 ноября утвержден на заседании Особого совещания по обороне государства.</w:t>
      </w:r>
    </w:p>
    <w:p w14:paraId="050009B1" w14:textId="77777777" w:rsidR="005C4C47" w:rsidRPr="00405303" w:rsidRDefault="005C4C47" w:rsidP="00C15251">
      <w:pPr>
        <w:jc w:val="both"/>
        <w:rPr>
          <w:bCs/>
          <w:color w:val="002060"/>
          <w:sz w:val="16"/>
          <w:szCs w:val="16"/>
        </w:rPr>
      </w:pPr>
      <w:r w:rsidRPr="00405303">
        <w:rPr>
          <w:bCs/>
          <w:color w:val="002060"/>
          <w:sz w:val="16"/>
          <w:szCs w:val="16"/>
        </w:rPr>
        <w:t>План был составлен с учетом потребностей не только ГВТУ, но и ГАУ, ГУПиТ, Управления железных дорог, а также Морского ведомства и был рассчитан на срок исполнения к 1 июля 1917 г. По телеграфным и телефонным аппаратам общую заготовительную компанию было решено реализовать в два этапа:</w:t>
      </w:r>
    </w:p>
    <w:p w14:paraId="6D80879E" w14:textId="77777777" w:rsidR="005C4C47" w:rsidRPr="00405303" w:rsidRDefault="005C4C47" w:rsidP="00C15251">
      <w:pPr>
        <w:jc w:val="both"/>
        <w:rPr>
          <w:bCs/>
          <w:color w:val="002060"/>
          <w:sz w:val="16"/>
          <w:szCs w:val="16"/>
        </w:rPr>
      </w:pPr>
      <w:r w:rsidRPr="00405303">
        <w:rPr>
          <w:bCs/>
          <w:color w:val="002060"/>
          <w:sz w:val="16"/>
          <w:szCs w:val="16"/>
        </w:rPr>
        <w:t>- до 1 октября 1916 г. основную нагрузку должны были нести ведущие поставщики: петроградские заводы АО «Сименс и Гальске», «Н.К. Гейслер» и «Л.М. Эриксон»;</w:t>
      </w:r>
    </w:p>
    <w:p w14:paraId="76DF9AB4" w14:textId="77777777" w:rsidR="005C4C47" w:rsidRPr="00405303" w:rsidRDefault="005C4C47" w:rsidP="00C15251">
      <w:pPr>
        <w:jc w:val="both"/>
        <w:rPr>
          <w:bCs/>
          <w:color w:val="002060"/>
          <w:sz w:val="16"/>
          <w:szCs w:val="16"/>
        </w:rPr>
      </w:pPr>
      <w:r w:rsidRPr="00405303">
        <w:rPr>
          <w:bCs/>
          <w:color w:val="002060"/>
          <w:sz w:val="16"/>
          <w:szCs w:val="16"/>
        </w:rPr>
        <w:t>- после этого срока к ним присоединялись новые частные и казенные предприятия (ВИМАИВиВС. Ф. 13. Оп. 87/1. Д. 71. Л. 66).</w:t>
      </w:r>
    </w:p>
    <w:p w14:paraId="7B3ED137" w14:textId="77777777" w:rsidR="005C4C47" w:rsidRPr="00405303" w:rsidRDefault="005C4C47" w:rsidP="00C15251">
      <w:pPr>
        <w:jc w:val="both"/>
        <w:rPr>
          <w:bCs/>
          <w:color w:val="002060"/>
          <w:sz w:val="16"/>
          <w:szCs w:val="16"/>
        </w:rPr>
      </w:pPr>
      <w:r w:rsidRPr="00405303">
        <w:rPr>
          <w:bCs/>
          <w:color w:val="002060"/>
          <w:sz w:val="16"/>
          <w:szCs w:val="16"/>
        </w:rPr>
        <w:t>Ежемесячная производительность заводов при этом была определена, по согласованию с ними, в следующих размерах: «Л.М. Эриксон» - 7 500 и «Н.К. Гейслер» - 2 500 телефонных аппаратов, «Сименс и Гальске» - 2 000 телефонных и 300 телеграфных аппаратов (Архив ВИМАИВиВС. Ф. 13. Оп. 87/1. Д. 151. Л. 53, 55.) (18297).</w:t>
      </w:r>
    </w:p>
    <w:p w14:paraId="33ED257D" w14:textId="77777777" w:rsidR="005C4C47" w:rsidRPr="00405303" w:rsidRDefault="005C4C47" w:rsidP="00C15251">
      <w:pPr>
        <w:jc w:val="both"/>
        <w:rPr>
          <w:bCs/>
          <w:color w:val="002060"/>
          <w:sz w:val="16"/>
          <w:szCs w:val="16"/>
        </w:rPr>
      </w:pPr>
    </w:p>
    <w:p w14:paraId="268BEFB4" w14:textId="59B3028F" w:rsidR="00B36F73" w:rsidRPr="00405303" w:rsidRDefault="00B36F73" w:rsidP="00C15251">
      <w:pPr>
        <w:shd w:val="clear" w:color="auto" w:fill="FFFFFF"/>
        <w:jc w:val="both"/>
        <w:rPr>
          <w:bCs/>
          <w:i/>
          <w:color w:val="002060"/>
          <w:sz w:val="16"/>
          <w:szCs w:val="16"/>
        </w:rPr>
      </w:pPr>
      <w:r w:rsidRPr="00405303">
        <w:rPr>
          <w:bCs/>
          <w:i/>
          <w:color w:val="002060"/>
          <w:sz w:val="16"/>
          <w:szCs w:val="16"/>
        </w:rPr>
        <w:t>Авиация:</w:t>
      </w:r>
    </w:p>
    <w:p w14:paraId="44342DFF" w14:textId="77777777" w:rsidR="00B36F73" w:rsidRPr="00405303" w:rsidRDefault="00B36F73" w:rsidP="00C15251">
      <w:pPr>
        <w:shd w:val="clear" w:color="auto" w:fill="FFFFFF"/>
        <w:jc w:val="both"/>
        <w:rPr>
          <w:bCs/>
          <w:i/>
          <w:color w:val="002060"/>
          <w:sz w:val="16"/>
          <w:szCs w:val="16"/>
        </w:rPr>
      </w:pPr>
    </w:p>
    <w:p w14:paraId="20D5698E" w14:textId="1B5CD036" w:rsidR="00B36F73" w:rsidRPr="00405303" w:rsidRDefault="00B36F73" w:rsidP="00C15251">
      <w:pPr>
        <w:jc w:val="both"/>
        <w:rPr>
          <w:bCs/>
          <w:color w:val="002060"/>
          <w:sz w:val="16"/>
          <w:szCs w:val="16"/>
        </w:rPr>
      </w:pPr>
      <w:r w:rsidRPr="00405303">
        <w:rPr>
          <w:bCs/>
          <w:color w:val="002060"/>
          <w:sz w:val="16"/>
          <w:szCs w:val="16"/>
          <w:lang w:bidi="en-US"/>
        </w:rPr>
        <w:t>20 ноября (3 декабря) 1915 г. в Пскове открылась летная школа ЭВК. Также в этот день приказом Верховного начальника штаба ЦИК № 272 ЭВК было приказано иметь три боевые части и двадцать экипажей, в каждой части по четырнадцать малых самолетов для прикрытия, в каждом экипаже ИМ по одному командиру, одному заместителю командира, один артиллерийский офицер, один унтер-офицер, один младший механик и 30 солдат для наземных работ (23525).</w:t>
      </w:r>
    </w:p>
    <w:p w14:paraId="363F1EDD" w14:textId="77777777" w:rsidR="00B36F73" w:rsidRPr="00405303" w:rsidRDefault="00B36F73" w:rsidP="00C15251">
      <w:pPr>
        <w:jc w:val="both"/>
        <w:rPr>
          <w:bCs/>
          <w:color w:val="002060"/>
          <w:sz w:val="16"/>
          <w:szCs w:val="16"/>
          <w:lang w:bidi="en-US"/>
        </w:rPr>
      </w:pPr>
    </w:p>
    <w:p w14:paraId="2BC405A7" w14:textId="617798F7" w:rsidR="004B4E35" w:rsidRPr="00405303" w:rsidRDefault="009E6F82" w:rsidP="00C15251">
      <w:pPr>
        <w:shd w:val="clear" w:color="auto" w:fill="FFFFFF"/>
        <w:jc w:val="both"/>
        <w:rPr>
          <w:bCs/>
          <w:i/>
          <w:color w:val="002060"/>
          <w:sz w:val="16"/>
          <w:szCs w:val="16"/>
        </w:rPr>
      </w:pPr>
      <w:r w:rsidRPr="00405303">
        <w:rPr>
          <w:bCs/>
          <w:i/>
          <w:color w:val="002060"/>
          <w:sz w:val="16"/>
          <w:szCs w:val="16"/>
        </w:rPr>
        <w:t>Морская авиация:</w:t>
      </w:r>
    </w:p>
    <w:p w14:paraId="1A1997F6" w14:textId="77777777" w:rsidR="004B4E35" w:rsidRPr="00405303" w:rsidRDefault="004B4E35" w:rsidP="00C15251">
      <w:pPr>
        <w:shd w:val="clear" w:color="auto" w:fill="FFFFFF"/>
        <w:jc w:val="both"/>
        <w:rPr>
          <w:bCs/>
          <w:i/>
          <w:color w:val="002060"/>
          <w:sz w:val="16"/>
          <w:szCs w:val="16"/>
        </w:rPr>
      </w:pPr>
    </w:p>
    <w:p w14:paraId="62E765F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 ноября (3 декабря) 1915 в Баку состоялось открытие школы морской авиации - филиала Офицерской школы морской авиации, организо</w:t>
      </w:r>
      <w:r w:rsidRPr="00405303">
        <w:rPr>
          <w:bCs/>
          <w:color w:val="002060"/>
          <w:sz w:val="16"/>
          <w:szCs w:val="16"/>
        </w:rPr>
        <w:softHyphen/>
        <w:t>ванной в августе 1915 года в Петрограде на Гутуевском острове ("Русский инвалид". 1915 г., 22 ноября).</w:t>
      </w:r>
    </w:p>
    <w:p w14:paraId="6240D93A" w14:textId="77777777" w:rsidR="004B4E35" w:rsidRPr="00405303" w:rsidRDefault="004B4E35" w:rsidP="00C15251">
      <w:pPr>
        <w:shd w:val="clear" w:color="auto" w:fill="FFFFFF"/>
        <w:jc w:val="both"/>
        <w:rPr>
          <w:bCs/>
          <w:color w:val="002060"/>
          <w:sz w:val="16"/>
          <w:szCs w:val="16"/>
        </w:rPr>
      </w:pPr>
    </w:p>
    <w:p w14:paraId="566768FF" w14:textId="77777777" w:rsidR="00074935" w:rsidRPr="00405303" w:rsidRDefault="00074935" w:rsidP="00C15251">
      <w:pPr>
        <w:jc w:val="both"/>
        <w:rPr>
          <w:bCs/>
          <w:color w:val="002060"/>
          <w:sz w:val="16"/>
          <w:szCs w:val="16"/>
        </w:rPr>
      </w:pPr>
      <w:r w:rsidRPr="00405303">
        <w:rPr>
          <w:bCs/>
          <w:color w:val="002060"/>
          <w:sz w:val="16"/>
          <w:szCs w:val="16"/>
        </w:rPr>
        <w:t>20 ноября (3 декабря) 1915 г. в Баку состоялось открытие школы морской авиации — филиала Офицерской школы морской авиации, организованной в августе этого года в Петрограде на Гутуевском острове.</w:t>
      </w:r>
    </w:p>
    <w:p w14:paraId="5833F180" w14:textId="77777777" w:rsidR="00074935" w:rsidRPr="00405303" w:rsidRDefault="00074935"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Русский инвалид»» за 22 ноября 1915/ (23320).</w:t>
      </w:r>
    </w:p>
    <w:p w14:paraId="5BC4A6CC" w14:textId="77777777" w:rsidR="00074935" w:rsidRPr="00405303" w:rsidRDefault="00074935" w:rsidP="00C15251">
      <w:pPr>
        <w:jc w:val="both"/>
        <w:rPr>
          <w:bCs/>
          <w:color w:val="002060"/>
          <w:sz w:val="16"/>
          <w:szCs w:val="16"/>
        </w:rPr>
      </w:pPr>
    </w:p>
    <w:p w14:paraId="6CDA6DFE" w14:textId="77777777" w:rsidR="00EF5F47" w:rsidRPr="00405303" w:rsidRDefault="00EF5F47" w:rsidP="00C15251">
      <w:pPr>
        <w:jc w:val="both"/>
        <w:rPr>
          <w:bCs/>
          <w:i/>
          <w:color w:val="002060"/>
          <w:sz w:val="16"/>
          <w:szCs w:val="16"/>
        </w:rPr>
      </w:pPr>
      <w:r w:rsidRPr="00405303">
        <w:rPr>
          <w:bCs/>
          <w:i/>
          <w:color w:val="002060"/>
          <w:sz w:val="16"/>
          <w:szCs w:val="16"/>
        </w:rPr>
        <w:t>Армия:</w:t>
      </w:r>
    </w:p>
    <w:p w14:paraId="12BAA702" w14:textId="77777777" w:rsidR="00EF5F47" w:rsidRPr="00405303" w:rsidRDefault="00EF5F47" w:rsidP="00C15251">
      <w:pPr>
        <w:jc w:val="both"/>
        <w:rPr>
          <w:bCs/>
          <w:i/>
          <w:color w:val="002060"/>
          <w:sz w:val="16"/>
          <w:szCs w:val="16"/>
        </w:rPr>
      </w:pPr>
    </w:p>
    <w:p w14:paraId="1DA5A36A" w14:textId="7B0B801D" w:rsidR="00EF5F47" w:rsidRPr="00405303" w:rsidRDefault="00EF5F47" w:rsidP="00C15251">
      <w:pPr>
        <w:jc w:val="both"/>
        <w:rPr>
          <w:bCs/>
          <w:color w:val="002060"/>
          <w:sz w:val="16"/>
          <w:szCs w:val="16"/>
        </w:rPr>
      </w:pPr>
      <w:r w:rsidRPr="00405303">
        <w:rPr>
          <w:bCs/>
          <w:color w:val="002060"/>
          <w:sz w:val="16"/>
          <w:szCs w:val="16"/>
        </w:rPr>
        <w:t xml:space="preserve">20 ноября </w:t>
      </w:r>
      <w:r w:rsidR="00C9554B" w:rsidRPr="00405303">
        <w:rPr>
          <w:bCs/>
          <w:color w:val="002060"/>
          <w:sz w:val="16"/>
          <w:szCs w:val="16"/>
        </w:rPr>
        <w:t xml:space="preserve">(3 ноября) </w:t>
      </w:r>
      <w:r w:rsidRPr="00405303">
        <w:rPr>
          <w:bCs/>
          <w:color w:val="002060"/>
          <w:sz w:val="16"/>
          <w:szCs w:val="16"/>
        </w:rPr>
        <w:t>в 1915 году русские войска под руководством капитана I ранга А.Колчака (будущего лидера белого движения) высадились в тылу немецких войск на мысе Домеснес (14836).</w:t>
      </w:r>
    </w:p>
    <w:p w14:paraId="767AC902" w14:textId="77777777" w:rsidR="00EF5F47" w:rsidRPr="00405303" w:rsidRDefault="00EF5F47" w:rsidP="00C15251">
      <w:pPr>
        <w:jc w:val="both"/>
        <w:rPr>
          <w:bCs/>
          <w:color w:val="002060"/>
          <w:sz w:val="16"/>
          <w:szCs w:val="16"/>
        </w:rPr>
      </w:pPr>
    </w:p>
    <w:p w14:paraId="5F7E5812" w14:textId="77777777" w:rsidR="00EF5F47" w:rsidRPr="00405303" w:rsidRDefault="00EF5F47" w:rsidP="00C15251">
      <w:pPr>
        <w:jc w:val="both"/>
        <w:rPr>
          <w:bCs/>
          <w:i/>
          <w:color w:val="002060"/>
          <w:sz w:val="16"/>
          <w:szCs w:val="16"/>
        </w:rPr>
      </w:pPr>
      <w:r w:rsidRPr="00405303">
        <w:rPr>
          <w:bCs/>
          <w:i/>
          <w:color w:val="002060"/>
          <w:sz w:val="16"/>
          <w:szCs w:val="16"/>
        </w:rPr>
        <w:t>За рубежом:</w:t>
      </w:r>
    </w:p>
    <w:p w14:paraId="0D059E9B" w14:textId="77777777" w:rsidR="00EF5F47" w:rsidRPr="00405303" w:rsidRDefault="00EF5F47" w:rsidP="00C15251">
      <w:pPr>
        <w:jc w:val="both"/>
        <w:rPr>
          <w:bCs/>
          <w:color w:val="002060"/>
          <w:sz w:val="16"/>
          <w:szCs w:val="16"/>
        </w:rPr>
      </w:pPr>
    </w:p>
    <w:p w14:paraId="2BA261A6" w14:textId="77777777" w:rsidR="00EF5F47" w:rsidRPr="00405303" w:rsidRDefault="00EF5F47" w:rsidP="00C15251">
      <w:pPr>
        <w:jc w:val="both"/>
        <w:rPr>
          <w:bCs/>
          <w:color w:val="002060"/>
          <w:sz w:val="16"/>
          <w:szCs w:val="16"/>
        </w:rPr>
      </w:pPr>
      <w:r w:rsidRPr="00405303">
        <w:rPr>
          <w:rStyle w:val="ucoz-forum-post"/>
          <w:bCs/>
          <w:color w:val="002060"/>
          <w:sz w:val="16"/>
          <w:szCs w:val="16"/>
        </w:rPr>
        <w:t xml:space="preserve">20 ноября (3 декабря) </w:t>
      </w:r>
      <w:r w:rsidRPr="00405303">
        <w:rPr>
          <w:bCs/>
          <w:color w:val="002060"/>
          <w:sz w:val="16"/>
          <w:szCs w:val="16"/>
        </w:rPr>
        <w:t xml:space="preserve">в 1915 году генерал Жозеф Жоффр был назначен главнокомандующим французской армией </w:t>
      </w:r>
    </w:p>
    <w:p w14:paraId="0F88DFC5" w14:textId="77777777" w:rsidR="00EF5F47" w:rsidRPr="00405303" w:rsidRDefault="00EF5F47" w:rsidP="00C15251">
      <w:pPr>
        <w:jc w:val="both"/>
        <w:rPr>
          <w:bCs/>
          <w:color w:val="002060"/>
          <w:sz w:val="16"/>
          <w:szCs w:val="16"/>
        </w:rPr>
      </w:pPr>
    </w:p>
    <w:p w14:paraId="0F0D48A9" w14:textId="77777777" w:rsidR="00E6406D" w:rsidRPr="00405303" w:rsidRDefault="00E6406D" w:rsidP="00C15251">
      <w:pPr>
        <w:shd w:val="clear" w:color="auto" w:fill="FFFFFF"/>
        <w:jc w:val="both"/>
        <w:rPr>
          <w:bCs/>
          <w:color w:val="002060"/>
          <w:sz w:val="16"/>
          <w:szCs w:val="16"/>
        </w:rPr>
      </w:pPr>
      <w:r w:rsidRPr="00405303">
        <w:rPr>
          <w:bCs/>
          <w:color w:val="002060"/>
          <w:sz w:val="16"/>
          <w:szCs w:val="16"/>
        </w:rPr>
        <w:t>20 ноября (3 декабря) 1915 года прототип танка Маленький Вилли был оснащен новыми траками и рамой ходовой части и вывезен из цеха на испытания, которые должны были состояться прямо во дворе завода «Фостер». Новая машина сразу же произвела на всех впечатление законченной и технически полностью отвечающей заданию. Если раньше внутренняя часть гусеничного обвода была открыта, то теперь ее закрывал металлический лист, обеспечивающий большую жесткость крепления колесным парам. Теперь можно было надеяться, что гусеничные цепи не будут больше с них сваливаться. К тому же они теперь были сконструированы так, что даже если бы машина была бы поднята над землей подъемным краном, они бы не провисли на ней больше, чем на дюйм (22855).</w:t>
      </w:r>
    </w:p>
    <w:p w14:paraId="0BA92270" w14:textId="77777777" w:rsidR="00E6406D" w:rsidRPr="00405303" w:rsidRDefault="00E6406D" w:rsidP="00C15251">
      <w:pPr>
        <w:shd w:val="clear" w:color="auto" w:fill="FFFFFF"/>
        <w:jc w:val="both"/>
        <w:rPr>
          <w:bCs/>
          <w:color w:val="002060"/>
          <w:sz w:val="16"/>
          <w:szCs w:val="16"/>
        </w:rPr>
      </w:pPr>
    </w:p>
    <w:p w14:paraId="0D8B7893" w14:textId="587B0B3D" w:rsidR="00197CE4" w:rsidRPr="00405303" w:rsidRDefault="00197CE4" w:rsidP="00197CE4">
      <w:pPr>
        <w:shd w:val="clear" w:color="auto" w:fill="FFFFFF"/>
        <w:jc w:val="both"/>
        <w:rPr>
          <w:bCs/>
          <w:i/>
          <w:color w:val="002060"/>
          <w:sz w:val="16"/>
          <w:szCs w:val="16"/>
        </w:rPr>
      </w:pPr>
      <w:r>
        <w:rPr>
          <w:bCs/>
          <w:i/>
          <w:color w:val="002060"/>
          <w:sz w:val="16"/>
          <w:szCs w:val="16"/>
        </w:rPr>
        <w:t>Самолетостроение</w:t>
      </w:r>
      <w:r w:rsidRPr="00405303">
        <w:rPr>
          <w:bCs/>
          <w:i/>
          <w:color w:val="002060"/>
          <w:sz w:val="16"/>
          <w:szCs w:val="16"/>
        </w:rPr>
        <w:t>:</w:t>
      </w:r>
    </w:p>
    <w:p w14:paraId="3A9D6576" w14:textId="77777777" w:rsidR="00197CE4" w:rsidRPr="00405303" w:rsidRDefault="00197CE4" w:rsidP="00197CE4">
      <w:pPr>
        <w:shd w:val="clear" w:color="auto" w:fill="FFFFFF"/>
        <w:jc w:val="both"/>
        <w:rPr>
          <w:bCs/>
          <w:i/>
          <w:color w:val="002060"/>
          <w:sz w:val="16"/>
          <w:szCs w:val="16"/>
        </w:rPr>
      </w:pPr>
    </w:p>
    <w:p w14:paraId="5756BCC1" w14:textId="77777777" w:rsidR="00197CE4" w:rsidRPr="00B52707" w:rsidRDefault="00197CE4" w:rsidP="00197CE4">
      <w:pPr>
        <w:jc w:val="both"/>
        <w:rPr>
          <w:color w:val="0070C0"/>
          <w:sz w:val="16"/>
          <w:szCs w:val="16"/>
        </w:rPr>
      </w:pPr>
      <w:r w:rsidRPr="00B52707">
        <w:rPr>
          <w:color w:val="0070C0"/>
          <w:sz w:val="16"/>
          <w:szCs w:val="16"/>
        </w:rPr>
        <w:t>21 и 22 ноября ( 4 и 5 декабря) 1915 г. в журнале совещания, состоявшегося в Смоленске под председательством заведывавшего воздухоплаванием в действующей армии б. в. к. Александра Михайловича, отмечено было сле</w:t>
      </w:r>
      <w:r w:rsidRPr="00B52707">
        <w:rPr>
          <w:color w:val="0070C0"/>
          <w:sz w:val="16"/>
          <w:szCs w:val="16"/>
        </w:rPr>
        <w:softHyphen/>
        <w:t>дующее: «По вопросу о выработке нового типа аэроплана совещание признало, что так как на вооружении неприя</w:t>
      </w:r>
      <w:r w:rsidRPr="00B52707">
        <w:rPr>
          <w:color w:val="0070C0"/>
          <w:sz w:val="16"/>
          <w:szCs w:val="16"/>
        </w:rPr>
        <w:softHyphen/>
        <w:t>теля появляются все более и более совершенные и быстро</w:t>
      </w:r>
      <w:r w:rsidRPr="00B52707">
        <w:rPr>
          <w:color w:val="0070C0"/>
          <w:sz w:val="16"/>
          <w:szCs w:val="16"/>
        </w:rPr>
        <w:softHyphen/>
        <w:t>ходные аппараты, типы же, имеющиеся у нас, пред</w:t>
      </w:r>
      <w:r w:rsidRPr="00B52707">
        <w:rPr>
          <w:color w:val="0070C0"/>
          <w:sz w:val="16"/>
          <w:szCs w:val="16"/>
        </w:rPr>
        <w:softHyphen/>
        <w:t>ставляются тихоходными, то для обеспечения вашей армии аппаратами, не только не уступающими по своим качествам аппаратам противника, но, по возможности, и сильнейшими их, является необходимым выработать такой аппарат в России».</w:t>
      </w:r>
    </w:p>
    <w:p w14:paraId="35940E5B" w14:textId="77777777" w:rsidR="00197CE4" w:rsidRPr="00B52707" w:rsidRDefault="00197CE4" w:rsidP="00197CE4">
      <w:pPr>
        <w:jc w:val="both"/>
        <w:rPr>
          <w:color w:val="0070C0"/>
          <w:sz w:val="16"/>
          <w:szCs w:val="16"/>
        </w:rPr>
      </w:pPr>
      <w:r w:rsidRPr="00B52707">
        <w:rPr>
          <w:color w:val="0070C0"/>
          <w:sz w:val="16"/>
          <w:szCs w:val="16"/>
        </w:rPr>
        <w:t>Наилучшим путем для выработки типа, удовлетворяю</w:t>
      </w:r>
      <w:r w:rsidRPr="00B52707">
        <w:rPr>
          <w:color w:val="0070C0"/>
          <w:sz w:val="16"/>
          <w:szCs w:val="16"/>
        </w:rPr>
        <w:softHyphen/>
        <w:t>щего всем выясненным войной требованиям, совещание- признало конкурс (24923).</w:t>
      </w:r>
    </w:p>
    <w:p w14:paraId="0BF79586" w14:textId="77777777" w:rsidR="00197CE4" w:rsidRPr="00B52707" w:rsidRDefault="00197CE4" w:rsidP="00197CE4">
      <w:pPr>
        <w:jc w:val="both"/>
        <w:rPr>
          <w:color w:val="0070C0"/>
          <w:sz w:val="16"/>
          <w:szCs w:val="16"/>
        </w:rPr>
      </w:pPr>
    </w:p>
    <w:p w14:paraId="342FEEB3" w14:textId="77777777" w:rsidR="00197CE4" w:rsidRPr="00B52707" w:rsidRDefault="00197CE4" w:rsidP="00197CE4">
      <w:pPr>
        <w:jc w:val="both"/>
        <w:rPr>
          <w:color w:val="0070C0"/>
          <w:sz w:val="16"/>
          <w:szCs w:val="16"/>
        </w:rPr>
      </w:pPr>
      <w:r w:rsidRPr="00B52707">
        <w:rPr>
          <w:color w:val="0070C0"/>
          <w:sz w:val="16"/>
          <w:szCs w:val="16"/>
        </w:rPr>
        <w:t>21 и 22 ноября ( 4 и 5 декабря) 1915 г. в совещании, состояв</w:t>
      </w:r>
      <w:r w:rsidRPr="00B52707">
        <w:rPr>
          <w:color w:val="0070C0"/>
          <w:sz w:val="16"/>
          <w:szCs w:val="16"/>
        </w:rPr>
        <w:softHyphen/>
        <w:t>шемся в Смоленске и ранее 17 (30) сентября 1915 г. в со</w:t>
      </w:r>
      <w:r w:rsidRPr="00B52707">
        <w:rPr>
          <w:color w:val="0070C0"/>
          <w:sz w:val="16"/>
          <w:szCs w:val="16"/>
        </w:rPr>
        <w:softHyphen/>
        <w:t>вещании в Петрограде была более точно установлена потребность в авиацион</w:t>
      </w:r>
      <w:r w:rsidRPr="00B52707">
        <w:rPr>
          <w:color w:val="0070C0"/>
          <w:sz w:val="16"/>
          <w:szCs w:val="16"/>
        </w:rPr>
        <w:softHyphen/>
        <w:t>ных средствах.</w:t>
      </w:r>
    </w:p>
    <w:p w14:paraId="2DE52BA2" w14:textId="77777777" w:rsidR="00197CE4" w:rsidRPr="00B52707" w:rsidRDefault="00197CE4" w:rsidP="00197CE4">
      <w:pPr>
        <w:jc w:val="both"/>
        <w:rPr>
          <w:color w:val="0070C0"/>
          <w:sz w:val="16"/>
          <w:szCs w:val="16"/>
        </w:rPr>
      </w:pPr>
      <w:r w:rsidRPr="00B52707">
        <w:rPr>
          <w:color w:val="0070C0"/>
          <w:sz w:val="16"/>
          <w:szCs w:val="16"/>
        </w:rPr>
        <w:t>К тому времени выяснилось, что в зависимости от новых формирований войсковых частей необходимо к 1 июня 1916 г. иметь 77 авиаотрядов, снабженных 600 табельными аэропланами. Имея это в виду, совещание поставило па свое обсуждение: 1) вопрос об обеспечении снабжения авиаотрядов по 1 июля 1916 г., к каковому времени пред</w:t>
      </w:r>
      <w:r w:rsidRPr="00B52707">
        <w:rPr>
          <w:color w:val="0070C0"/>
          <w:sz w:val="16"/>
          <w:szCs w:val="16"/>
        </w:rPr>
        <w:softHyphen/>
        <w:t>полагалось закончить формирование всех новых отрядов, и 2) вопрос о выполнении программы аэропланостроения с 1 июня 1916 г. по 1 июля 1917 г.</w:t>
      </w:r>
    </w:p>
    <w:p w14:paraId="4BC7C130" w14:textId="77777777" w:rsidR="00197CE4" w:rsidRPr="00B52707" w:rsidRDefault="00197CE4" w:rsidP="00197CE4">
      <w:pPr>
        <w:jc w:val="both"/>
        <w:rPr>
          <w:color w:val="0070C0"/>
          <w:sz w:val="16"/>
          <w:szCs w:val="16"/>
        </w:rPr>
      </w:pPr>
      <w:r w:rsidRPr="00B52707">
        <w:rPr>
          <w:color w:val="0070C0"/>
          <w:sz w:val="16"/>
          <w:szCs w:val="16"/>
        </w:rPr>
        <w:t>Первый вопрос разрешен был совещанием таким обра</w:t>
      </w:r>
      <w:r w:rsidRPr="00B52707">
        <w:rPr>
          <w:color w:val="0070C0"/>
          <w:sz w:val="16"/>
          <w:szCs w:val="16"/>
        </w:rPr>
        <w:softHyphen/>
        <w:t>зом. Имея в виду, 1) что, по исчислению завед. авиацией и воздухоплаванием, с 1 дек. 1915 г. по 12 июня 1916 г. (к этому времени истекали контрактные сроки сделанных заказов) должно было быть доставлено на фронт 1.629 аэро</w:t>
      </w:r>
      <w:r w:rsidRPr="00B52707">
        <w:rPr>
          <w:color w:val="0070C0"/>
          <w:sz w:val="16"/>
          <w:szCs w:val="16"/>
        </w:rPr>
        <w:softHyphen/>
        <w:t>планов и 2) что хотя и ожидалось к 12 июня 1916 года поступление с русских и заграничных заводов 1.480 аэро</w:t>
      </w:r>
      <w:r w:rsidRPr="00B52707">
        <w:rPr>
          <w:color w:val="0070C0"/>
          <w:sz w:val="16"/>
          <w:szCs w:val="16"/>
        </w:rPr>
        <w:softHyphen/>
        <w:t>планов, но из осторожности, размер ожидаемого поступле</w:t>
      </w:r>
      <w:r w:rsidRPr="00B52707">
        <w:rPr>
          <w:color w:val="0070C0"/>
          <w:sz w:val="16"/>
          <w:szCs w:val="16"/>
        </w:rPr>
        <w:softHyphen/>
        <w:t>ния следовало бы определить всего в количестве 1.000 аппа</w:t>
      </w:r>
      <w:r w:rsidRPr="00B52707">
        <w:rPr>
          <w:color w:val="0070C0"/>
          <w:sz w:val="16"/>
          <w:szCs w:val="16"/>
        </w:rPr>
        <w:softHyphen/>
        <w:t>ратов, в виду возможных нарушений нормального хода ра</w:t>
      </w:r>
      <w:r w:rsidRPr="00B52707">
        <w:rPr>
          <w:color w:val="0070C0"/>
          <w:sz w:val="16"/>
          <w:szCs w:val="16"/>
        </w:rPr>
        <w:softHyphen/>
        <w:t>бот на заводах, вследствие недостатка в материалах, в топ</w:t>
      </w:r>
      <w:r w:rsidRPr="00B52707">
        <w:rPr>
          <w:color w:val="0070C0"/>
          <w:sz w:val="16"/>
          <w:szCs w:val="16"/>
        </w:rPr>
        <w:softHyphen/>
        <w:t>ливе и проч.,—совещание в результате пришло к заклю</w:t>
      </w:r>
      <w:r w:rsidRPr="00B52707">
        <w:rPr>
          <w:color w:val="0070C0"/>
          <w:sz w:val="16"/>
          <w:szCs w:val="16"/>
        </w:rPr>
        <w:softHyphen/>
        <w:t>чению, что к 12 июня 1916 года для снабжения авиацион</w:t>
      </w:r>
      <w:r w:rsidRPr="00B52707">
        <w:rPr>
          <w:color w:val="0070C0"/>
          <w:sz w:val="16"/>
          <w:szCs w:val="16"/>
        </w:rPr>
        <w:softHyphen/>
        <w:t>ных частей будет не доставать 629 аэропланов.</w:t>
      </w:r>
    </w:p>
    <w:p w14:paraId="494B3863" w14:textId="77777777" w:rsidR="00197CE4" w:rsidRPr="00B52707" w:rsidRDefault="00197CE4" w:rsidP="00197CE4">
      <w:pPr>
        <w:jc w:val="both"/>
        <w:rPr>
          <w:color w:val="0070C0"/>
          <w:sz w:val="16"/>
          <w:szCs w:val="16"/>
        </w:rPr>
      </w:pPr>
      <w:r w:rsidRPr="00B52707">
        <w:rPr>
          <w:color w:val="0070C0"/>
          <w:sz w:val="16"/>
          <w:szCs w:val="16"/>
        </w:rPr>
        <w:t>Для пополнения этого недостатка совещание признало необходимым: 1) воспользоваться подходящими предложе</w:t>
      </w:r>
      <w:r w:rsidRPr="00B52707">
        <w:rPr>
          <w:color w:val="0070C0"/>
          <w:sz w:val="16"/>
          <w:szCs w:val="16"/>
        </w:rPr>
        <w:softHyphen/>
        <w:t>ниями заграничных фирм (например, Виккерса) и немед</w:t>
      </w:r>
      <w:r w:rsidRPr="00B52707">
        <w:rPr>
          <w:color w:val="0070C0"/>
          <w:sz w:val="16"/>
          <w:szCs w:val="16"/>
        </w:rPr>
        <w:softHyphen/>
        <w:t>ленно произвести небходимые заказы;</w:t>
      </w:r>
    </w:p>
    <w:p w14:paraId="65BF01A8" w14:textId="77777777" w:rsidR="00197CE4" w:rsidRPr="00B52707" w:rsidRDefault="00197CE4" w:rsidP="00197CE4">
      <w:pPr>
        <w:jc w:val="both"/>
        <w:rPr>
          <w:color w:val="0070C0"/>
          <w:sz w:val="16"/>
          <w:szCs w:val="16"/>
        </w:rPr>
      </w:pPr>
      <w:r w:rsidRPr="00B52707">
        <w:rPr>
          <w:color w:val="0070C0"/>
          <w:sz w:val="16"/>
          <w:szCs w:val="16"/>
        </w:rPr>
        <w:t>заказать немедленно 75 аэропланов Слоан и 50 Шмидта:</w:t>
      </w:r>
    </w:p>
    <w:p w14:paraId="6BAF861C" w14:textId="77777777" w:rsidR="00197CE4" w:rsidRPr="00B52707" w:rsidRDefault="00197CE4" w:rsidP="00197CE4">
      <w:pPr>
        <w:jc w:val="both"/>
        <w:rPr>
          <w:color w:val="0070C0"/>
          <w:sz w:val="16"/>
          <w:szCs w:val="16"/>
        </w:rPr>
      </w:pPr>
      <w:r w:rsidRPr="00B52707">
        <w:rPr>
          <w:color w:val="0070C0"/>
          <w:sz w:val="16"/>
          <w:szCs w:val="16"/>
        </w:rPr>
        <w:t>заказать русским заводам 220 аэропланов Альбатрос с усовершенствованными двигателями.</w:t>
      </w:r>
    </w:p>
    <w:p w14:paraId="47B8D895" w14:textId="77777777" w:rsidR="00197CE4" w:rsidRPr="00B52707" w:rsidRDefault="00197CE4" w:rsidP="00197CE4">
      <w:pPr>
        <w:jc w:val="both"/>
        <w:rPr>
          <w:color w:val="0070C0"/>
          <w:sz w:val="16"/>
          <w:szCs w:val="16"/>
        </w:rPr>
      </w:pPr>
      <w:r w:rsidRPr="00B52707">
        <w:rPr>
          <w:color w:val="0070C0"/>
          <w:sz w:val="16"/>
          <w:szCs w:val="16"/>
        </w:rPr>
        <w:t>Что касается второго вопроса, обсуждавшегося сове</w:t>
      </w:r>
      <w:r w:rsidRPr="00B52707">
        <w:rPr>
          <w:color w:val="0070C0"/>
          <w:sz w:val="16"/>
          <w:szCs w:val="16"/>
        </w:rPr>
        <w:softHyphen/>
        <w:t>щанием, то, имея в виду, что к 1 июня 19)6 года в отрядах должно было быть 600 табельных аэропланов и что, вслед</w:t>
      </w:r>
      <w:r w:rsidRPr="00B52707">
        <w:rPr>
          <w:color w:val="0070C0"/>
          <w:sz w:val="16"/>
          <w:szCs w:val="16"/>
        </w:rPr>
        <w:softHyphen/>
        <w:t>ствие убыли, исчисляемой в 37%, ежемесячно должно выбывать из строя 222 аэроплана, совещание установило, что за время с 1 июня ГА6 года по 1 июля 1917 года на фронт необходимо доставить 2.000 аэропланов.</w:t>
      </w:r>
    </w:p>
    <w:p w14:paraId="1959A213" w14:textId="77777777" w:rsidR="00197CE4" w:rsidRPr="00B52707" w:rsidRDefault="00197CE4" w:rsidP="00197CE4">
      <w:pPr>
        <w:jc w:val="both"/>
        <w:rPr>
          <w:color w:val="0070C0"/>
          <w:sz w:val="16"/>
          <w:szCs w:val="16"/>
        </w:rPr>
      </w:pPr>
      <w:r w:rsidRPr="00B52707">
        <w:rPr>
          <w:color w:val="0070C0"/>
          <w:sz w:val="16"/>
          <w:szCs w:val="16"/>
        </w:rPr>
        <w:t>Принимая во внимание недостаточную производитель</w:t>
      </w:r>
      <w:r w:rsidRPr="00B52707">
        <w:rPr>
          <w:color w:val="0070C0"/>
          <w:sz w:val="16"/>
          <w:szCs w:val="16"/>
        </w:rPr>
        <w:softHyphen/>
        <w:t>ность русских заводов, изготовлявших аэропланы и моторы, и совершенное отсутствие в России некоторых материалов, необходимых для постройки аэропланов, было признано необходимым:</w:t>
      </w:r>
    </w:p>
    <w:p w14:paraId="1EAB737E" w14:textId="77777777" w:rsidR="00197CE4" w:rsidRPr="00B52707" w:rsidRDefault="00197CE4" w:rsidP="00197CE4">
      <w:pPr>
        <w:jc w:val="both"/>
        <w:rPr>
          <w:color w:val="0070C0"/>
          <w:sz w:val="16"/>
          <w:szCs w:val="16"/>
        </w:rPr>
      </w:pPr>
      <w:r w:rsidRPr="00B52707">
        <w:rPr>
          <w:color w:val="0070C0"/>
          <w:sz w:val="16"/>
          <w:szCs w:val="16"/>
        </w:rPr>
        <w:t>немедленно принять меры к развитию производи</w:t>
      </w:r>
      <w:r w:rsidRPr="00B52707">
        <w:rPr>
          <w:color w:val="0070C0"/>
          <w:sz w:val="16"/>
          <w:szCs w:val="16"/>
        </w:rPr>
        <w:softHyphen/>
        <w:t>тельности заводов, изготовляющих аэропланы, путем откры</w:t>
      </w:r>
      <w:r w:rsidRPr="00B52707">
        <w:rPr>
          <w:color w:val="0070C0"/>
          <w:sz w:val="16"/>
          <w:szCs w:val="16"/>
        </w:rPr>
        <w:softHyphen/>
        <w:t>тия на этих заводах параллельных отделений, разрешенного уже Особым Совещанием по об'единению мероприятий по обороне государства;</w:t>
      </w:r>
    </w:p>
    <w:p w14:paraId="327A7247" w14:textId="77777777" w:rsidR="00197CE4" w:rsidRPr="00B52707" w:rsidRDefault="00197CE4" w:rsidP="00197CE4">
      <w:pPr>
        <w:jc w:val="both"/>
        <w:rPr>
          <w:color w:val="0070C0"/>
          <w:sz w:val="16"/>
          <w:szCs w:val="16"/>
        </w:rPr>
      </w:pPr>
      <w:r w:rsidRPr="00B52707">
        <w:rPr>
          <w:color w:val="0070C0"/>
          <w:sz w:val="16"/>
          <w:szCs w:val="16"/>
        </w:rPr>
        <w:t>немедленно приступить к развитию производитель</w:t>
      </w:r>
      <w:r w:rsidRPr="00B52707">
        <w:rPr>
          <w:color w:val="0070C0"/>
          <w:sz w:val="16"/>
          <w:szCs w:val="16"/>
        </w:rPr>
        <w:softHyphen/>
        <w:t xml:space="preserve">ности русских моторных заводов </w:t>
      </w:r>
      <w:proofErr w:type="gramStart"/>
      <w:r w:rsidRPr="00B52707">
        <w:rPr>
          <w:color w:val="0070C0"/>
          <w:sz w:val="16"/>
          <w:szCs w:val="16"/>
        </w:rPr>
        <w:t>и Привлечь</w:t>
      </w:r>
      <w:proofErr w:type="gramEnd"/>
      <w:r w:rsidRPr="00B52707">
        <w:rPr>
          <w:color w:val="0070C0"/>
          <w:sz w:val="16"/>
          <w:szCs w:val="16"/>
        </w:rPr>
        <w:t xml:space="preserve"> к моторо</w:t>
      </w:r>
      <w:r w:rsidRPr="00B52707">
        <w:rPr>
          <w:color w:val="0070C0"/>
          <w:sz w:val="16"/>
          <w:szCs w:val="16"/>
        </w:rPr>
        <w:softHyphen/>
        <w:t>строению новые заводы;</w:t>
      </w:r>
    </w:p>
    <w:p w14:paraId="1E7EEEE7" w14:textId="77777777" w:rsidR="00197CE4" w:rsidRPr="00B52707" w:rsidRDefault="00197CE4" w:rsidP="00197CE4">
      <w:pPr>
        <w:jc w:val="both"/>
        <w:rPr>
          <w:color w:val="0070C0"/>
          <w:sz w:val="16"/>
          <w:szCs w:val="16"/>
        </w:rPr>
      </w:pPr>
      <w:r w:rsidRPr="00B52707">
        <w:rPr>
          <w:color w:val="0070C0"/>
          <w:sz w:val="16"/>
          <w:szCs w:val="16"/>
        </w:rPr>
        <w:t>немедленно заказать русским заводам такое коли</w:t>
      </w:r>
      <w:r w:rsidRPr="00B52707">
        <w:rPr>
          <w:color w:val="0070C0"/>
          <w:sz w:val="16"/>
          <w:szCs w:val="16"/>
        </w:rPr>
        <w:softHyphen/>
        <w:t>чество моторов, которое эти заводы в состоянии выполнить к 1 июля 1917 года:</w:t>
      </w:r>
    </w:p>
    <w:p w14:paraId="069FD6FC" w14:textId="77777777" w:rsidR="00197CE4" w:rsidRPr="00B52707" w:rsidRDefault="00197CE4" w:rsidP="00197CE4">
      <w:pPr>
        <w:jc w:val="both"/>
        <w:rPr>
          <w:color w:val="0070C0"/>
          <w:sz w:val="16"/>
          <w:szCs w:val="16"/>
        </w:rPr>
      </w:pPr>
      <w:r w:rsidRPr="00B52707">
        <w:rPr>
          <w:color w:val="0070C0"/>
          <w:sz w:val="16"/>
          <w:szCs w:val="16"/>
        </w:rPr>
        <w:t>недостающее затем на 1916 год количество моторов немедленно заказать за границей;</w:t>
      </w:r>
    </w:p>
    <w:p w14:paraId="3D072477" w14:textId="77777777" w:rsidR="00197CE4" w:rsidRPr="00B52707" w:rsidRDefault="00197CE4" w:rsidP="00197CE4">
      <w:pPr>
        <w:jc w:val="both"/>
        <w:rPr>
          <w:color w:val="0070C0"/>
          <w:sz w:val="16"/>
          <w:szCs w:val="16"/>
        </w:rPr>
      </w:pPr>
      <w:r w:rsidRPr="00B52707">
        <w:rPr>
          <w:color w:val="0070C0"/>
          <w:sz w:val="16"/>
          <w:szCs w:val="16"/>
        </w:rPr>
        <w:t>признать совершенно необходимым принятие неза</w:t>
      </w:r>
      <w:r w:rsidRPr="00B52707">
        <w:rPr>
          <w:color w:val="0070C0"/>
          <w:sz w:val="16"/>
          <w:szCs w:val="16"/>
        </w:rPr>
        <w:softHyphen/>
        <w:t>медлительных мер к устройству в России, при воспособлении и содействии казны, особого завода для изготовления высокосортной стали для снабжения спецальными мате</w:t>
      </w:r>
      <w:r w:rsidRPr="00B52707">
        <w:rPr>
          <w:color w:val="0070C0"/>
          <w:sz w:val="16"/>
          <w:szCs w:val="16"/>
        </w:rPr>
        <w:softHyphen/>
        <w:t>риалами авиационных отрядов;</w:t>
      </w:r>
    </w:p>
    <w:p w14:paraId="560EB56E" w14:textId="77777777" w:rsidR="00197CE4" w:rsidRPr="00B52707" w:rsidRDefault="00197CE4" w:rsidP="00197CE4">
      <w:pPr>
        <w:jc w:val="both"/>
        <w:rPr>
          <w:color w:val="0070C0"/>
          <w:sz w:val="16"/>
          <w:szCs w:val="16"/>
        </w:rPr>
      </w:pPr>
      <w:r w:rsidRPr="00B52707">
        <w:rPr>
          <w:color w:val="0070C0"/>
          <w:sz w:val="16"/>
          <w:szCs w:val="16"/>
        </w:rPr>
        <w:t>признать необходимым принятие незамедлительных мер к организации в России производства специальных сортов проволоки, троссов, шариковых подшипников, болтов, стяжек, стальных труб, инструментов, измерительных при</w:t>
      </w:r>
      <w:r w:rsidRPr="00B52707">
        <w:rPr>
          <w:color w:val="0070C0"/>
          <w:sz w:val="16"/>
          <w:szCs w:val="16"/>
        </w:rPr>
        <w:softHyphen/>
        <w:t>боров, магнето и проч.</w:t>
      </w:r>
    </w:p>
    <w:p w14:paraId="0D5332C0" w14:textId="77777777" w:rsidR="00197CE4" w:rsidRPr="00B52707" w:rsidRDefault="00197CE4" w:rsidP="00197CE4">
      <w:pPr>
        <w:jc w:val="both"/>
        <w:rPr>
          <w:color w:val="0070C0"/>
          <w:sz w:val="16"/>
          <w:szCs w:val="16"/>
        </w:rPr>
      </w:pPr>
      <w:r w:rsidRPr="00B52707">
        <w:rPr>
          <w:color w:val="0070C0"/>
          <w:sz w:val="16"/>
          <w:szCs w:val="16"/>
        </w:rPr>
        <w:t>В отношении типов аэропланов, подлежавших заго</w:t>
      </w:r>
      <w:r w:rsidRPr="00B52707">
        <w:rPr>
          <w:color w:val="0070C0"/>
          <w:sz w:val="16"/>
          <w:szCs w:val="16"/>
        </w:rPr>
        <w:softHyphen/>
        <w:t>товке по июль 1917 г., в журнале совещания изложено было следующее: «Так как все имеющиеся ныне в нашем распоряжении типы тихоходны и слабее неприятельских, то предопределить в настоящее время в подробностях жела</w:t>
      </w:r>
      <w:r w:rsidRPr="00B52707">
        <w:rPr>
          <w:color w:val="0070C0"/>
          <w:sz w:val="16"/>
          <w:szCs w:val="16"/>
        </w:rPr>
        <w:softHyphen/>
        <w:t>тельный тип аппарата не только на 1917 год, но даже и на вторую половину 1916 года представлялось бы неосто</w:t>
      </w:r>
      <w:r w:rsidRPr="00B52707">
        <w:rPr>
          <w:color w:val="0070C0"/>
          <w:sz w:val="16"/>
          <w:szCs w:val="16"/>
        </w:rPr>
        <w:softHyphen/>
        <w:t>рожным. С другой стороны, для обеспечения снабжения в указанные сроки представляется совершенно неизбежным ныне же дать заводам заказы, во внимание тех трудностей, с которыми связано ныне заготовление надлежащего коли</w:t>
      </w:r>
      <w:r w:rsidRPr="00B52707">
        <w:rPr>
          <w:color w:val="0070C0"/>
          <w:sz w:val="16"/>
          <w:szCs w:val="16"/>
        </w:rPr>
        <w:softHyphen/>
        <w:t>чества материалов и тех огромных сроков, которые даются заводами, изготовляющими сырье. В целях согласования столь затруднительных условий, совещание признало не</w:t>
      </w:r>
      <w:r w:rsidRPr="00B52707">
        <w:rPr>
          <w:color w:val="0070C0"/>
          <w:sz w:val="16"/>
          <w:szCs w:val="16"/>
        </w:rPr>
        <w:softHyphen/>
        <w:t xml:space="preserve">обходимым </w:t>
      </w:r>
      <w:r w:rsidRPr="00B52707">
        <w:rPr>
          <w:color w:val="0070C0"/>
          <w:sz w:val="16"/>
          <w:szCs w:val="16"/>
        </w:rPr>
        <w:lastRenderedPageBreak/>
        <w:t>дать заводам заказ на заготовку материалов для будущих аппаратов, а с другой стороны — принять меры к выработке аппарата нового типа, удовлетворяю</w:t>
      </w:r>
      <w:r w:rsidRPr="00B52707">
        <w:rPr>
          <w:color w:val="0070C0"/>
          <w:sz w:val="16"/>
          <w:szCs w:val="16"/>
        </w:rPr>
        <w:softHyphen/>
        <w:t>щего всем выясненным войной требованиям. Наилучшим путем для получения такого аппарата совещание признало конкурс» (24923).</w:t>
      </w:r>
    </w:p>
    <w:p w14:paraId="4BCEB7E8" w14:textId="77777777" w:rsidR="00197CE4" w:rsidRPr="00B52707" w:rsidRDefault="00197CE4" w:rsidP="00197CE4">
      <w:pPr>
        <w:jc w:val="both"/>
        <w:rPr>
          <w:color w:val="0070C0"/>
          <w:sz w:val="16"/>
          <w:szCs w:val="16"/>
        </w:rPr>
      </w:pPr>
    </w:p>
    <w:p w14:paraId="10FD4077"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5E9EDC09" w14:textId="77777777" w:rsidR="004B4E35" w:rsidRPr="00405303" w:rsidRDefault="004B4E35" w:rsidP="00C15251">
      <w:pPr>
        <w:shd w:val="clear" w:color="auto" w:fill="FFFFFF"/>
        <w:jc w:val="both"/>
        <w:rPr>
          <w:bCs/>
          <w:i/>
          <w:color w:val="002060"/>
          <w:sz w:val="16"/>
          <w:szCs w:val="16"/>
        </w:rPr>
      </w:pPr>
    </w:p>
    <w:p w14:paraId="0F6C3810" w14:textId="23BBFE13" w:rsidR="00993C18" w:rsidRPr="00405303" w:rsidRDefault="00993C18" w:rsidP="00C15251">
      <w:pPr>
        <w:jc w:val="both"/>
        <w:rPr>
          <w:bCs/>
          <w:color w:val="002060"/>
          <w:sz w:val="16"/>
          <w:szCs w:val="16"/>
        </w:rPr>
      </w:pPr>
      <w:r w:rsidRPr="00405303">
        <w:rPr>
          <w:bCs/>
          <w:color w:val="002060"/>
          <w:sz w:val="16"/>
          <w:szCs w:val="16"/>
        </w:rPr>
        <w:t xml:space="preserve">21 ноября </w:t>
      </w:r>
      <w:r w:rsidR="00C9554B" w:rsidRPr="00405303">
        <w:rPr>
          <w:bCs/>
          <w:color w:val="002060"/>
          <w:sz w:val="16"/>
          <w:szCs w:val="16"/>
        </w:rPr>
        <w:t xml:space="preserve">(4 декабря) </w:t>
      </w:r>
      <w:r w:rsidRPr="00405303">
        <w:rPr>
          <w:bCs/>
          <w:color w:val="002060"/>
          <w:sz w:val="16"/>
          <w:szCs w:val="16"/>
        </w:rPr>
        <w:t>1915 г. вышел приказ М. В. Алексеева, согласно которому в штат эскадры должны были входить помимо кораблей легкие самолеты: 12 учебных - в эскадренную школу и по 4 истребителя, 4 разведчика и 6 тренировочных - в каждый боевой отряд, а всего их с учетом развития эскадры предусматривалось пять. В начале 1917 г. общая потребность эскадры оценивалась в 80 истребителей, 52 тренировочных и 20 учебных самолетов. Все предполагалось строить на предприятиях</w:t>
      </w:r>
      <w:r w:rsidR="000F5756">
        <w:rPr>
          <w:bCs/>
          <w:color w:val="002060"/>
          <w:sz w:val="16"/>
          <w:szCs w:val="16"/>
        </w:rPr>
        <w:t xml:space="preserve"> </w:t>
      </w:r>
      <w:r w:rsidRPr="00405303">
        <w:rPr>
          <w:bCs/>
          <w:color w:val="002060"/>
          <w:sz w:val="16"/>
          <w:szCs w:val="16"/>
        </w:rPr>
        <w:t>РБВЗ</w:t>
      </w:r>
      <w:r w:rsidR="000F5756">
        <w:rPr>
          <w:bCs/>
          <w:color w:val="002060"/>
          <w:sz w:val="16"/>
          <w:szCs w:val="16"/>
        </w:rPr>
        <w:t xml:space="preserve"> </w:t>
      </w:r>
      <w:r w:rsidRPr="00405303">
        <w:rPr>
          <w:bCs/>
          <w:color w:val="002060"/>
          <w:sz w:val="16"/>
          <w:szCs w:val="16"/>
        </w:rPr>
        <w:t>(15127).</w:t>
      </w:r>
    </w:p>
    <w:p w14:paraId="45AF7BC7" w14:textId="77777777" w:rsidR="00993C18" w:rsidRPr="00405303" w:rsidRDefault="00993C18" w:rsidP="00C15251">
      <w:pPr>
        <w:jc w:val="both"/>
        <w:rPr>
          <w:bCs/>
          <w:color w:val="002060"/>
          <w:sz w:val="16"/>
          <w:szCs w:val="16"/>
        </w:rPr>
      </w:pPr>
    </w:p>
    <w:p w14:paraId="782C6372" w14:textId="39AE62B3" w:rsidR="004B4E35" w:rsidRPr="00405303" w:rsidRDefault="009E6F82" w:rsidP="00C15251">
      <w:pPr>
        <w:jc w:val="both"/>
        <w:rPr>
          <w:bCs/>
          <w:color w:val="002060"/>
          <w:sz w:val="16"/>
          <w:szCs w:val="16"/>
        </w:rPr>
      </w:pPr>
      <w:r w:rsidRPr="00405303">
        <w:rPr>
          <w:bCs/>
          <w:color w:val="002060"/>
          <w:sz w:val="16"/>
          <w:szCs w:val="16"/>
        </w:rPr>
        <w:t xml:space="preserve">21 ноября </w:t>
      </w:r>
      <w:r w:rsidR="00C9554B" w:rsidRPr="00405303">
        <w:rPr>
          <w:bCs/>
          <w:color w:val="002060"/>
          <w:sz w:val="16"/>
          <w:szCs w:val="16"/>
        </w:rPr>
        <w:t xml:space="preserve">(4 декабря) </w:t>
      </w:r>
      <w:r w:rsidRPr="00405303">
        <w:rPr>
          <w:bCs/>
          <w:color w:val="002060"/>
          <w:sz w:val="16"/>
          <w:szCs w:val="16"/>
        </w:rPr>
        <w:t>1915 года</w:t>
      </w:r>
      <w:r w:rsidR="00C9554B" w:rsidRPr="00405303">
        <w:rPr>
          <w:bCs/>
          <w:color w:val="002060"/>
          <w:sz w:val="16"/>
          <w:szCs w:val="16"/>
        </w:rPr>
        <w:t xml:space="preserve"> г.</w:t>
      </w:r>
      <w:r w:rsidRPr="00405303">
        <w:rPr>
          <w:bCs/>
          <w:color w:val="002060"/>
          <w:sz w:val="16"/>
          <w:szCs w:val="16"/>
        </w:rPr>
        <w:t xml:space="preserve"> </w:t>
      </w:r>
      <w:r w:rsidR="00C9554B" w:rsidRPr="00405303">
        <w:rPr>
          <w:bCs/>
          <w:color w:val="002060"/>
          <w:sz w:val="16"/>
          <w:szCs w:val="16"/>
        </w:rPr>
        <w:t xml:space="preserve">приказом начальника штаба Верховного главнокомандующего за № 272 </w:t>
      </w:r>
      <w:r w:rsidRPr="00405303">
        <w:rPr>
          <w:bCs/>
          <w:color w:val="002060"/>
          <w:sz w:val="16"/>
          <w:szCs w:val="16"/>
        </w:rPr>
        <w:t>в составе Эскадры теперь полагалось содержать три боевых отряда и 20 экипажей воздушных кораблей (12041).</w:t>
      </w:r>
    </w:p>
    <w:p w14:paraId="59F00AAB" w14:textId="77777777" w:rsidR="004B4E35" w:rsidRPr="00405303" w:rsidRDefault="004B4E35" w:rsidP="00C15251">
      <w:pPr>
        <w:jc w:val="both"/>
        <w:rPr>
          <w:bCs/>
          <w:color w:val="002060"/>
          <w:sz w:val="16"/>
          <w:szCs w:val="16"/>
        </w:rPr>
      </w:pPr>
    </w:p>
    <w:p w14:paraId="68D61E8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21 ноября (4 декабря) 1915 Приказом начальника штаба Верховного главнокомандующего при Эскадре воздушных кораблей учреждена школа для обуче</w:t>
      </w:r>
      <w:r w:rsidRPr="00405303">
        <w:rPr>
          <w:bCs/>
          <w:color w:val="002060"/>
          <w:sz w:val="16"/>
          <w:szCs w:val="16"/>
        </w:rPr>
        <w:softHyphen/>
        <w:t>ния полетам на самолетах «Илья Муромец» (1137).</w:t>
      </w:r>
    </w:p>
    <w:p w14:paraId="795D39A4" w14:textId="77777777" w:rsidR="004B4E35" w:rsidRPr="00405303" w:rsidRDefault="004B4E35" w:rsidP="00C15251">
      <w:pPr>
        <w:shd w:val="clear" w:color="auto" w:fill="FFFFFF"/>
        <w:jc w:val="both"/>
        <w:rPr>
          <w:bCs/>
          <w:color w:val="002060"/>
          <w:sz w:val="16"/>
          <w:szCs w:val="16"/>
        </w:rPr>
      </w:pPr>
    </w:p>
    <w:p w14:paraId="08792F4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21 ноября (4 декабря) 1915 Приказом начальника штаба Верховного главнокомандую</w:t>
      </w:r>
      <w:r w:rsidRPr="00405303">
        <w:rPr>
          <w:bCs/>
          <w:color w:val="002060"/>
          <w:sz w:val="16"/>
          <w:szCs w:val="16"/>
        </w:rPr>
        <w:softHyphen/>
        <w:t>щего при Эскадре воздушных кораблей учреждена школа для обучения полетам на самолётах «Илья Муромец» (11425).</w:t>
      </w:r>
    </w:p>
    <w:p w14:paraId="2C189E60" w14:textId="77777777" w:rsidR="004B4E35" w:rsidRPr="00405303" w:rsidRDefault="004B4E35" w:rsidP="00C15251">
      <w:pPr>
        <w:shd w:val="clear" w:color="auto" w:fill="FFFFFF"/>
        <w:jc w:val="both"/>
        <w:rPr>
          <w:bCs/>
          <w:color w:val="002060"/>
          <w:sz w:val="16"/>
          <w:szCs w:val="16"/>
        </w:rPr>
      </w:pPr>
    </w:p>
    <w:p w14:paraId="478096F3" w14:textId="784B8235" w:rsidR="004B4E35" w:rsidRPr="00405303" w:rsidRDefault="009E6F82" w:rsidP="00C15251">
      <w:pPr>
        <w:jc w:val="both"/>
        <w:rPr>
          <w:bCs/>
          <w:color w:val="002060"/>
          <w:sz w:val="16"/>
          <w:szCs w:val="16"/>
        </w:rPr>
      </w:pPr>
      <w:r w:rsidRPr="00405303">
        <w:rPr>
          <w:bCs/>
          <w:color w:val="002060"/>
          <w:sz w:val="16"/>
          <w:szCs w:val="16"/>
        </w:rPr>
        <w:t>21 ноября (4 декабря) 1915 г.</w:t>
      </w:r>
      <w:r w:rsidR="00C9554B" w:rsidRPr="00405303">
        <w:rPr>
          <w:bCs/>
          <w:color w:val="002060"/>
          <w:sz w:val="16"/>
          <w:szCs w:val="16"/>
        </w:rPr>
        <w:t xml:space="preserve"> по приказу М. В. Алексеева </w:t>
      </w:r>
      <w:r w:rsidRPr="00405303">
        <w:rPr>
          <w:bCs/>
          <w:color w:val="002060"/>
          <w:sz w:val="16"/>
          <w:szCs w:val="16"/>
        </w:rPr>
        <w:t>в штат эскадры должны были входить помимо кораблей легкие самолеты: 12 учебных — в эскадренную школу и по 4 истребителя, 4 разведчика и 6 тренировочных — в каждый боевой отряд, а всего их с учетом развития эскадры предусматривалось пять. В начале 1917 г. общая потребность эскадры оценивалась в 80 истребителей, 52 тренировочных и 20 учебных самолетов. Все предполагалось строить на предприятиях РБВЗ (11196).</w:t>
      </w:r>
    </w:p>
    <w:p w14:paraId="2B2BCC75" w14:textId="77777777" w:rsidR="004B4E35" w:rsidRPr="00405303" w:rsidRDefault="004B4E35" w:rsidP="00C15251">
      <w:pPr>
        <w:jc w:val="both"/>
        <w:rPr>
          <w:bCs/>
          <w:color w:val="002060"/>
          <w:sz w:val="16"/>
          <w:szCs w:val="16"/>
        </w:rPr>
      </w:pPr>
    </w:p>
    <w:p w14:paraId="4A4F78B9" w14:textId="406945B0"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21 или 22 ноября </w:t>
      </w:r>
      <w:proofErr w:type="gramStart"/>
      <w:r w:rsidRPr="00405303">
        <w:rPr>
          <w:bCs/>
          <w:color w:val="002060"/>
          <w:sz w:val="16"/>
          <w:szCs w:val="16"/>
        </w:rPr>
        <w:t>( 4</w:t>
      </w:r>
      <w:proofErr w:type="gramEnd"/>
      <w:r w:rsidRPr="00405303">
        <w:rPr>
          <w:bCs/>
          <w:color w:val="002060"/>
          <w:sz w:val="16"/>
          <w:szCs w:val="16"/>
        </w:rPr>
        <w:t xml:space="preserve"> или 5 декабря) 1915</w:t>
      </w:r>
      <w:r w:rsidR="00C9554B" w:rsidRPr="00405303">
        <w:rPr>
          <w:bCs/>
          <w:color w:val="002060"/>
          <w:sz w:val="16"/>
          <w:szCs w:val="16"/>
        </w:rPr>
        <w:t xml:space="preserve"> г., по всей видимости, состоялся первый вылет аппарата</w:t>
      </w:r>
      <w:r w:rsidRPr="00405303">
        <w:rPr>
          <w:bCs/>
          <w:color w:val="002060"/>
          <w:sz w:val="16"/>
          <w:szCs w:val="16"/>
        </w:rPr>
        <w:t>, но уже 23 случилось несчастье. Во время разбега машина под управлением лейтенанта Г.А. Фриде и с двумя механиками завода в качестве пассажиров столкнулась со льдиной и ее корпус был поврежден. Экипаж остался невредим, тогда как летающая лодка затонула; вскоре ее под</w:t>
      </w:r>
      <w:r w:rsidRPr="00405303">
        <w:rPr>
          <w:bCs/>
          <w:color w:val="002060"/>
          <w:sz w:val="16"/>
          <w:szCs w:val="16"/>
        </w:rPr>
        <w:softHyphen/>
        <w:t>няли и вытащили на берег в районе 3-й морской авиастанции. Неизвестно, ремонтировалась ли она затем и летала ли, но 10 декабря комиссия в составе старшего лейтенанта А.А. Тучкова, начальника Воздухоплавательного отдела МГШ, и лейтенантов Б.Р. Миклашев</w:t>
      </w:r>
      <w:r w:rsidRPr="00405303">
        <w:rPr>
          <w:bCs/>
          <w:color w:val="002060"/>
          <w:sz w:val="16"/>
          <w:szCs w:val="16"/>
        </w:rPr>
        <w:softHyphen/>
        <w:t>ского и Г.А. Фриде из школы морских пилотов произвела официальную приемку самолета, зачислив его в казну. По иронии судьбы, Ф.В. Эбергарда совершенно забыли и он не мог получить причитавшиеся ему деньги до лета 1916 г. , отчасти под предлогом того, что ис</w:t>
      </w:r>
      <w:r w:rsidRPr="00405303">
        <w:rPr>
          <w:bCs/>
          <w:color w:val="002060"/>
          <w:sz w:val="16"/>
          <w:szCs w:val="16"/>
        </w:rPr>
        <w:softHyphen/>
        <w:t>пытания ВМ-1 должна были якобы возобновиться весной. На деле после декабрьской сдачи это была не более, чем одна из бюрократических проволочек (2843).</w:t>
      </w:r>
    </w:p>
    <w:p w14:paraId="65D73157" w14:textId="77777777" w:rsidR="004B4E35" w:rsidRPr="00405303" w:rsidRDefault="004B4E35" w:rsidP="00C15251">
      <w:pPr>
        <w:shd w:val="clear" w:color="auto" w:fill="FFFFFF"/>
        <w:jc w:val="both"/>
        <w:rPr>
          <w:bCs/>
          <w:color w:val="002060"/>
          <w:sz w:val="16"/>
          <w:szCs w:val="16"/>
        </w:rPr>
      </w:pPr>
    </w:p>
    <w:p w14:paraId="0B8CB22C" w14:textId="337E2EB7" w:rsidR="004B4E35" w:rsidRPr="00405303" w:rsidRDefault="009E6F82" w:rsidP="00C15251">
      <w:pPr>
        <w:shd w:val="clear" w:color="auto" w:fill="FFFFFF"/>
        <w:jc w:val="both"/>
        <w:rPr>
          <w:bCs/>
          <w:color w:val="002060"/>
          <w:sz w:val="16"/>
          <w:szCs w:val="16"/>
        </w:rPr>
      </w:pPr>
      <w:r w:rsidRPr="00405303">
        <w:rPr>
          <w:bCs/>
          <w:color w:val="002060"/>
          <w:sz w:val="16"/>
          <w:szCs w:val="16"/>
        </w:rPr>
        <w:t>21 или 22 ноября (4 или 5 декабря) 1915</w:t>
      </w:r>
      <w:r w:rsidR="00663F93" w:rsidRPr="00405303">
        <w:rPr>
          <w:bCs/>
          <w:color w:val="002060"/>
          <w:sz w:val="16"/>
          <w:szCs w:val="16"/>
        </w:rPr>
        <w:t xml:space="preserve"> г. по всей видимости, состоялся первый вылет аппарата</w:t>
      </w:r>
      <w:r w:rsidRPr="00405303">
        <w:rPr>
          <w:bCs/>
          <w:color w:val="002060"/>
          <w:sz w:val="16"/>
          <w:szCs w:val="16"/>
        </w:rPr>
        <w:t>, но уже 23 случилось несчастье. Во время разбега машина под управлением лейтенанта Г.А. Фриде и с двумя механиками завода в качестве пассажиров столкнулась со льдиной и ее корпус был поврежден. Экипаж остался невредим, тогда как летающая лодка затонула; вскоре ее под</w:t>
      </w:r>
      <w:r w:rsidRPr="00405303">
        <w:rPr>
          <w:bCs/>
          <w:color w:val="002060"/>
          <w:sz w:val="16"/>
          <w:szCs w:val="16"/>
        </w:rPr>
        <w:softHyphen/>
        <w:t>няли и вытащили на берег в районе 3-й морской авиастанции. Неизвестно, ремонтировалась ли она затем и летала ли, но 10 декабря комиссия в составе старшего лейтенанта А.А. Тучкова, начальника Воздухоплавательного отдела МГШ, и лейтенантов Б.Р. Миклашев</w:t>
      </w:r>
      <w:r w:rsidRPr="00405303">
        <w:rPr>
          <w:bCs/>
          <w:color w:val="002060"/>
          <w:sz w:val="16"/>
          <w:szCs w:val="16"/>
        </w:rPr>
        <w:softHyphen/>
        <w:t>ского и Г.А. Фриде из школы морских пилотов произвела официальную приемку самолета, зачислив его в казну. По иронии судьбы, Ф.В. Эбергарда совершенно забыли и он не мог получить причитавшиеся ему деньги до лета 1916 г. , отчасти под предлогом того, что ис</w:t>
      </w:r>
      <w:r w:rsidRPr="00405303">
        <w:rPr>
          <w:bCs/>
          <w:color w:val="002060"/>
          <w:sz w:val="16"/>
          <w:szCs w:val="16"/>
        </w:rPr>
        <w:softHyphen/>
        <w:t>пытания ВМ-1 должна были якобы возобновиться весной. На деле после декабрьской сдачи это была не более, чем одна из бюрократических проволочек (2843).</w:t>
      </w:r>
    </w:p>
    <w:p w14:paraId="2F9BF41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Самолет ВМ-1 был одномоторным бипланом — летающей лодкой, обводы корпуса кото</w:t>
      </w:r>
      <w:r w:rsidRPr="00405303">
        <w:rPr>
          <w:bCs/>
          <w:color w:val="002060"/>
          <w:sz w:val="16"/>
          <w:szCs w:val="16"/>
        </w:rPr>
        <w:softHyphen/>
        <w:t>рой, как и вспомогательные боковые поплавки, вырабатывались на примере моделей Кср-тисса для наилучшего действия при волнении. Корпус, состоявший из ясеневого каркаса и обшивки из тройной фанеры, вмещал трех авиаторов: летчика на переднем месте и двух пассажиров на сиденьи позади него. Верхние и нижние двухлонжеронные крылья имели различный размах, тогда как их профиль выбирался на основе опытов Эйфеля и рассчиты</w:t>
      </w:r>
      <w:r w:rsidRPr="00405303">
        <w:rPr>
          <w:bCs/>
          <w:color w:val="002060"/>
          <w:sz w:val="16"/>
          <w:szCs w:val="16"/>
        </w:rPr>
        <w:softHyphen/>
        <w:t>вался на скорость 100-110 км/ч при стосильном двигателе. Нервюры изготовлялись по типу, "успешно испытанному на сухопутных аппаратах" Виллиша; нервюры верхнего крыла на 3/4 их длины были "эластичны" (подвижны), что предусматривало поперечное управление машиной посредством перекашивания части несущей поверхности. Управление рулями глу</w:t>
      </w:r>
      <w:r w:rsidRPr="00405303">
        <w:rPr>
          <w:bCs/>
          <w:color w:val="002060"/>
          <w:sz w:val="16"/>
          <w:szCs w:val="16"/>
        </w:rPr>
        <w:softHyphen/>
        <w:t>бины (то есть высоты) и поворота было фармановского типа, а само хвостовое оперение монтировалось на бамбуковой ферме, укрепленной на корпусе лодки. Два боковых поплав</w:t>
      </w:r>
      <w:r w:rsidRPr="00405303">
        <w:rPr>
          <w:bCs/>
          <w:color w:val="002060"/>
          <w:sz w:val="16"/>
          <w:szCs w:val="16"/>
        </w:rPr>
        <w:softHyphen/>
        <w:t>ка, снабженные "лопатками" Форланини (подводными крыльями) — "чем хорошо разреша</w:t>
      </w:r>
      <w:r w:rsidRPr="00405303">
        <w:rPr>
          <w:bCs/>
          <w:color w:val="002060"/>
          <w:sz w:val="16"/>
          <w:szCs w:val="16"/>
        </w:rPr>
        <w:softHyphen/>
        <w:t>ется вопрос поперчной устойчивости аппарата" на воде, — находились под нижними несу</w:t>
      </w:r>
      <w:r w:rsidRPr="00405303">
        <w:rPr>
          <w:bCs/>
          <w:color w:val="002060"/>
          <w:sz w:val="16"/>
          <w:szCs w:val="16"/>
        </w:rPr>
        <w:softHyphen/>
        <w:t>щими поверхностями. Основной 100-литровый топливный бак помещался внутри лодки, а расходный резервуар емкостью 30 л был установлен позади воздушного винта и мотора, который мог быть 80 или 100 л.с., но, как уже отмечалось, расчет делался на использование более мощного из этих двух. Наконец, сборка и разборка машины в эксплуатационных це</w:t>
      </w:r>
      <w:r w:rsidRPr="00405303">
        <w:rPr>
          <w:bCs/>
          <w:color w:val="002060"/>
          <w:sz w:val="16"/>
          <w:szCs w:val="16"/>
        </w:rPr>
        <w:softHyphen/>
        <w:t>лях производились быстро и не вызывали больших затруднений.</w:t>
      </w:r>
    </w:p>
    <w:p w14:paraId="0CF0C3DF" w14:textId="77777777" w:rsidR="004B4E35" w:rsidRPr="00405303" w:rsidRDefault="009E6F82" w:rsidP="00C15251">
      <w:pPr>
        <w:jc w:val="both"/>
        <w:rPr>
          <w:bCs/>
          <w:color w:val="002060"/>
          <w:sz w:val="16"/>
          <w:szCs w:val="16"/>
        </w:rPr>
      </w:pPr>
      <w:r w:rsidRPr="00405303">
        <w:rPr>
          <w:bCs/>
          <w:color w:val="002060"/>
          <w:sz w:val="16"/>
          <w:szCs w:val="16"/>
        </w:rPr>
        <w:t>При всем том аэроплан имел три особенности, делавшие его совсем непохожим на ап</w:t>
      </w:r>
      <w:r w:rsidRPr="00405303">
        <w:rPr>
          <w:bCs/>
          <w:color w:val="002060"/>
          <w:sz w:val="16"/>
          <w:szCs w:val="16"/>
        </w:rPr>
        <w:softHyphen/>
        <w:t>параты других конструкторов. Во-первых, коробка крыльев, соединенная посредством спе</w:t>
      </w:r>
      <w:r w:rsidRPr="00405303">
        <w:rPr>
          <w:bCs/>
          <w:color w:val="002060"/>
          <w:sz w:val="16"/>
          <w:szCs w:val="16"/>
        </w:rPr>
        <w:softHyphen/>
        <w:t>циальных шарниров с двумя Л-образными стойками на корпусе лодки, могла по команде пилота в полете изменять свой угол атаки, фиксировавшийся в пределах от +4 до +</w:t>
      </w:r>
      <w:proofErr w:type="gramStart"/>
      <w:r w:rsidRPr="00405303">
        <w:rPr>
          <w:bCs/>
          <w:color w:val="002060"/>
          <w:sz w:val="16"/>
          <w:szCs w:val="16"/>
        </w:rPr>
        <w:t>7 .</w:t>
      </w:r>
      <w:proofErr w:type="gramEnd"/>
      <w:r w:rsidRPr="00405303">
        <w:rPr>
          <w:bCs/>
          <w:color w:val="002060"/>
          <w:sz w:val="16"/>
          <w:szCs w:val="16"/>
        </w:rPr>
        <w:t xml:space="preserve"> Для управления этим устройством у летчика имелся специальный штурвал или приспособление, действовавшее по "принципу Вестингауза". Во-вторых, мотор, помещенный за коробкой крыльев, оснащался обычным впереди расположенным, то есть тянущим, пропеллером. На</w:t>
      </w:r>
      <w:r w:rsidRPr="00405303">
        <w:rPr>
          <w:bCs/>
          <w:color w:val="002060"/>
          <w:sz w:val="16"/>
          <w:szCs w:val="16"/>
        </w:rPr>
        <w:softHyphen/>
        <w:t>конец, днище корпуса лодки было оборудовано целой системой из пяти реданов (2843).</w:t>
      </w:r>
    </w:p>
    <w:p w14:paraId="0B96F27E" w14:textId="77777777" w:rsidR="004B4E35" w:rsidRPr="00405303" w:rsidRDefault="004B4E35" w:rsidP="00C15251">
      <w:pPr>
        <w:jc w:val="both"/>
        <w:rPr>
          <w:bCs/>
          <w:color w:val="002060"/>
          <w:sz w:val="16"/>
          <w:szCs w:val="16"/>
        </w:rPr>
      </w:pPr>
    </w:p>
    <w:p w14:paraId="23856299" w14:textId="645627B2" w:rsidR="00CE7CBE" w:rsidRPr="00405303" w:rsidRDefault="00CE7CBE" w:rsidP="00C15251">
      <w:pPr>
        <w:jc w:val="both"/>
        <w:rPr>
          <w:bCs/>
          <w:color w:val="002060"/>
          <w:sz w:val="16"/>
          <w:szCs w:val="16"/>
        </w:rPr>
      </w:pPr>
      <w:r w:rsidRPr="00405303">
        <w:rPr>
          <w:bCs/>
          <w:color w:val="002060"/>
          <w:sz w:val="16"/>
          <w:szCs w:val="16"/>
        </w:rPr>
        <w:t>21 ноября (24 декабря) 1915 г. Штаб Вер</w:t>
      </w:r>
      <w:r w:rsidRPr="00405303">
        <w:rPr>
          <w:bCs/>
          <w:color w:val="002060"/>
          <w:sz w:val="16"/>
          <w:szCs w:val="16"/>
        </w:rPr>
        <w:softHyphen/>
        <w:t>ховного Главнокомандующего увеличил штат Эска</w:t>
      </w:r>
      <w:r w:rsidRPr="00405303">
        <w:rPr>
          <w:bCs/>
          <w:color w:val="002060"/>
          <w:sz w:val="16"/>
          <w:szCs w:val="16"/>
        </w:rPr>
        <w:softHyphen/>
        <w:t>дры до 20 боевых кораблей и трёх боевых отрядов. Официально под</w:t>
      </w:r>
      <w:r w:rsidRPr="00405303">
        <w:rPr>
          <w:bCs/>
          <w:color w:val="002060"/>
          <w:sz w:val="16"/>
          <w:szCs w:val="16"/>
        </w:rPr>
        <w:softHyphen/>
        <w:t>тверждалось наличие в составе ЭВК лётной школы, частей ПВО, мастер</w:t>
      </w:r>
      <w:r w:rsidRPr="00405303">
        <w:rPr>
          <w:bCs/>
          <w:color w:val="002060"/>
          <w:sz w:val="16"/>
          <w:szCs w:val="16"/>
        </w:rPr>
        <w:softHyphen/>
        <w:t>ских и некоторых других вспомога</w:t>
      </w:r>
      <w:r w:rsidRPr="00405303">
        <w:rPr>
          <w:bCs/>
          <w:color w:val="002060"/>
          <w:sz w:val="16"/>
          <w:szCs w:val="16"/>
        </w:rPr>
        <w:softHyphen/>
        <w:t>тельных подразделений. Вырос штат командования Эскадры. Её на</w:t>
      </w:r>
      <w:r w:rsidRPr="00405303">
        <w:rPr>
          <w:bCs/>
          <w:color w:val="002060"/>
          <w:sz w:val="16"/>
          <w:szCs w:val="16"/>
        </w:rPr>
        <w:softHyphen/>
        <w:t>чальнику' теперь полагался уже чин генерала-лейтенанта, а не генерала- майора, как прежде. Эскадра вступа</w:t>
      </w:r>
      <w:r w:rsidRPr="00405303">
        <w:rPr>
          <w:bCs/>
          <w:color w:val="002060"/>
          <w:sz w:val="16"/>
          <w:szCs w:val="16"/>
        </w:rPr>
        <w:softHyphen/>
        <w:t>ла в новый 1916 г. окрепшим и хо</w:t>
      </w:r>
      <w:r w:rsidRPr="00405303">
        <w:rPr>
          <w:bCs/>
          <w:color w:val="002060"/>
          <w:sz w:val="16"/>
          <w:szCs w:val="16"/>
        </w:rPr>
        <w:softHyphen/>
        <w:t>рошо оснащённым боевым соеди</w:t>
      </w:r>
      <w:r w:rsidRPr="00405303">
        <w:rPr>
          <w:bCs/>
          <w:color w:val="002060"/>
          <w:sz w:val="16"/>
          <w:szCs w:val="16"/>
        </w:rPr>
        <w:softHyphen/>
        <w:t>нением, пользующимся большим уважением в тылу и на фронте. Слава «Муромцев» гремела по всей русской армии.</w:t>
      </w:r>
    </w:p>
    <w:p w14:paraId="4F24543C" w14:textId="77777777" w:rsidR="00CE7CBE" w:rsidRPr="00405303" w:rsidRDefault="00CE7CBE" w:rsidP="00C15251">
      <w:pPr>
        <w:jc w:val="both"/>
        <w:rPr>
          <w:bCs/>
          <w:color w:val="002060"/>
          <w:sz w:val="16"/>
          <w:szCs w:val="16"/>
        </w:rPr>
      </w:pPr>
      <w:r w:rsidRPr="00405303">
        <w:rPr>
          <w:bCs/>
          <w:color w:val="002060"/>
          <w:sz w:val="16"/>
          <w:szCs w:val="16"/>
        </w:rPr>
        <w:t>В соответствии с новым штатом в составе ЭВК увеличивалось и ко</w:t>
      </w:r>
      <w:r w:rsidRPr="00405303">
        <w:rPr>
          <w:bCs/>
          <w:color w:val="002060"/>
          <w:sz w:val="16"/>
          <w:szCs w:val="16"/>
        </w:rPr>
        <w:softHyphen/>
        <w:t>личество лёгких самолётов. Поми</w:t>
      </w:r>
      <w:r w:rsidRPr="00405303">
        <w:rPr>
          <w:bCs/>
          <w:color w:val="002060"/>
          <w:sz w:val="16"/>
          <w:szCs w:val="16"/>
        </w:rPr>
        <w:softHyphen/>
        <w:t>мо 12 учебных машин эскадренной школы предлагалось ввести в со</w:t>
      </w:r>
      <w:r w:rsidRPr="00405303">
        <w:rPr>
          <w:bCs/>
          <w:color w:val="002060"/>
          <w:sz w:val="16"/>
          <w:szCs w:val="16"/>
        </w:rPr>
        <w:softHyphen/>
        <w:t>став каждого боевого отряда ещё по 14 лёгких аппаратов: по 4 истреби</w:t>
      </w:r>
      <w:r w:rsidRPr="00405303">
        <w:rPr>
          <w:bCs/>
          <w:color w:val="002060"/>
          <w:sz w:val="16"/>
          <w:szCs w:val="16"/>
        </w:rPr>
        <w:softHyphen/>
        <w:t>теля, 4 истребителя-разведчика и 6 тренировочных. Проектированием и строительством таких машин за</w:t>
      </w:r>
      <w:r w:rsidRPr="00405303">
        <w:rPr>
          <w:bCs/>
          <w:color w:val="002060"/>
          <w:sz w:val="16"/>
          <w:szCs w:val="16"/>
        </w:rPr>
        <w:softHyphen/>
        <w:t>нялись инженеры РБВЗ во главе с И.И. Сикорским. Они спроектиро</w:t>
      </w:r>
      <w:r w:rsidRPr="00405303">
        <w:rPr>
          <w:bCs/>
          <w:color w:val="002060"/>
          <w:sz w:val="16"/>
          <w:szCs w:val="16"/>
        </w:rPr>
        <w:softHyphen/>
        <w:t>вали целый ряд одно-, двух- и трёхмоторных самолётов, основным назначением которых предполага</w:t>
      </w:r>
      <w:r w:rsidRPr="00405303">
        <w:rPr>
          <w:bCs/>
          <w:color w:val="002060"/>
          <w:sz w:val="16"/>
          <w:szCs w:val="16"/>
        </w:rPr>
        <w:softHyphen/>
        <w:t>лась защита аэродромов базирова</w:t>
      </w:r>
      <w:r w:rsidRPr="00405303">
        <w:rPr>
          <w:bCs/>
          <w:color w:val="002060"/>
          <w:sz w:val="16"/>
          <w:szCs w:val="16"/>
        </w:rPr>
        <w:softHyphen/>
        <w:t>ния воздушных кораблей «Илья Му</w:t>
      </w:r>
      <w:r w:rsidRPr="00405303">
        <w:rPr>
          <w:bCs/>
          <w:color w:val="002060"/>
          <w:sz w:val="16"/>
          <w:szCs w:val="16"/>
        </w:rPr>
        <w:softHyphen/>
        <w:t>ромец», а также поддержка их при выполнении операций вблизи ли</w:t>
      </w:r>
      <w:r w:rsidRPr="00405303">
        <w:rPr>
          <w:bCs/>
          <w:color w:val="002060"/>
          <w:sz w:val="16"/>
          <w:szCs w:val="16"/>
        </w:rPr>
        <w:softHyphen/>
        <w:t>нии фронта. Лётчики Эскадры, как это ни парадоксально, были в числе первых разработчиков тактики применения истребительной авиа</w:t>
      </w:r>
      <w:r w:rsidRPr="00405303">
        <w:rPr>
          <w:bCs/>
          <w:color w:val="002060"/>
          <w:sz w:val="16"/>
          <w:szCs w:val="16"/>
        </w:rPr>
        <w:softHyphen/>
        <w:t>ции в отечественной армии. Выпущенные на РБВЗ первые се</w:t>
      </w:r>
      <w:r w:rsidRPr="00405303">
        <w:rPr>
          <w:bCs/>
          <w:color w:val="002060"/>
          <w:sz w:val="16"/>
          <w:szCs w:val="16"/>
        </w:rPr>
        <w:softHyphen/>
        <w:t>рийные истребители С-16 поступи</w:t>
      </w:r>
      <w:r w:rsidRPr="00405303">
        <w:rPr>
          <w:bCs/>
          <w:color w:val="002060"/>
          <w:sz w:val="16"/>
          <w:szCs w:val="16"/>
        </w:rPr>
        <w:softHyphen/>
        <w:t>ли весной 1916 г. не только в состав ЭВК, но и в первые русские фрон</w:t>
      </w:r>
      <w:r w:rsidRPr="00405303">
        <w:rPr>
          <w:bCs/>
          <w:color w:val="002060"/>
          <w:sz w:val="16"/>
          <w:szCs w:val="16"/>
        </w:rPr>
        <w:softHyphen/>
        <w:t>товые истребительные отряды. Так «тяжёлая» авиация поспособствова</w:t>
      </w:r>
      <w:r w:rsidRPr="00405303">
        <w:rPr>
          <w:bCs/>
          <w:color w:val="002060"/>
          <w:sz w:val="16"/>
          <w:szCs w:val="16"/>
        </w:rPr>
        <w:softHyphen/>
        <w:t>ла становлению нового рода авиа</w:t>
      </w:r>
      <w:r w:rsidRPr="00405303">
        <w:rPr>
          <w:bCs/>
          <w:color w:val="002060"/>
          <w:sz w:val="16"/>
          <w:szCs w:val="16"/>
        </w:rPr>
        <w:softHyphen/>
        <w:t>ции «лёгкой» (23469).</w:t>
      </w:r>
    </w:p>
    <w:p w14:paraId="3FC054AB" w14:textId="77777777" w:rsidR="00CE7CBE" w:rsidRPr="00405303" w:rsidRDefault="00CE7CBE" w:rsidP="00C15251">
      <w:pPr>
        <w:jc w:val="both"/>
        <w:rPr>
          <w:bCs/>
          <w:color w:val="002060"/>
          <w:sz w:val="16"/>
          <w:szCs w:val="16"/>
        </w:rPr>
      </w:pPr>
    </w:p>
    <w:p w14:paraId="507CF9EA" w14:textId="1CBB86A9" w:rsidR="00CE7CBE" w:rsidRPr="00405303" w:rsidRDefault="00CE7CBE" w:rsidP="00C15251">
      <w:pPr>
        <w:jc w:val="both"/>
        <w:rPr>
          <w:bCs/>
          <w:color w:val="002060"/>
          <w:sz w:val="16"/>
          <w:szCs w:val="16"/>
        </w:rPr>
      </w:pPr>
      <w:r w:rsidRPr="00405303">
        <w:rPr>
          <w:bCs/>
          <w:color w:val="002060"/>
          <w:sz w:val="16"/>
          <w:szCs w:val="16"/>
        </w:rPr>
        <w:t>21 ноября (24 лекабря) 1915 г. приказом М. В. Алексеева в штат эскадры должны были входить помимо кораблей лег</w:t>
      </w:r>
      <w:r w:rsidRPr="00405303">
        <w:rPr>
          <w:bCs/>
          <w:color w:val="002060"/>
          <w:sz w:val="16"/>
          <w:szCs w:val="16"/>
        </w:rPr>
        <w:softHyphen/>
        <w:t>кие самолеты: 12 учебных — в эскадренную школу и по 4 истребителя, 4 разведчика и 6 тренировочных — в каждый боевой отряд, а всего их с учетом развития эскадры предусматривалось пять. В начале 1917 г. общая потребность эскадры оценивалась в 80 истребителей, 52 тренировочных и 20 учебных самолетов. Все предпола</w:t>
      </w:r>
      <w:r w:rsidRPr="00405303">
        <w:rPr>
          <w:bCs/>
          <w:color w:val="002060"/>
          <w:sz w:val="16"/>
          <w:szCs w:val="16"/>
        </w:rPr>
        <w:softHyphen/>
        <w:t>галось строить на предприятиях РБВЗ (24177).</w:t>
      </w:r>
    </w:p>
    <w:p w14:paraId="658C5F05" w14:textId="77777777" w:rsidR="00CE7CBE" w:rsidRPr="00405303" w:rsidRDefault="00CE7CBE" w:rsidP="00C15251">
      <w:pPr>
        <w:jc w:val="both"/>
        <w:rPr>
          <w:bCs/>
          <w:color w:val="002060"/>
          <w:sz w:val="16"/>
          <w:szCs w:val="16"/>
          <w:lang w:bidi="ru-RU"/>
        </w:rPr>
      </w:pPr>
    </w:p>
    <w:p w14:paraId="38E19341" w14:textId="77777777" w:rsidR="004B4E35" w:rsidRPr="00405303" w:rsidRDefault="009E6F82" w:rsidP="00C15251">
      <w:pPr>
        <w:jc w:val="both"/>
        <w:rPr>
          <w:bCs/>
          <w:i/>
          <w:color w:val="002060"/>
          <w:sz w:val="16"/>
          <w:szCs w:val="16"/>
        </w:rPr>
      </w:pPr>
      <w:r w:rsidRPr="00405303">
        <w:rPr>
          <w:bCs/>
          <w:i/>
          <w:color w:val="002060"/>
          <w:sz w:val="16"/>
          <w:szCs w:val="16"/>
        </w:rPr>
        <w:lastRenderedPageBreak/>
        <w:t>Другие оборонные отрасли:</w:t>
      </w:r>
    </w:p>
    <w:p w14:paraId="40DB0964" w14:textId="77777777" w:rsidR="004B4E35" w:rsidRPr="00405303" w:rsidRDefault="004B4E35" w:rsidP="00C15251">
      <w:pPr>
        <w:jc w:val="both"/>
        <w:rPr>
          <w:bCs/>
          <w:i/>
          <w:color w:val="002060"/>
          <w:sz w:val="16"/>
          <w:szCs w:val="16"/>
        </w:rPr>
      </w:pPr>
    </w:p>
    <w:p w14:paraId="2E0426E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22 ноября (5 декабря) 1915 г.</w:t>
      </w:r>
    </w:p>
    <w:p w14:paraId="70565DF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 МОБИЛИЗАЦИИ РУССКОЙ ПРОМЫШЛЕННОСТИ </w:t>
      </w:r>
    </w:p>
    <w:p w14:paraId="3C60917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Семнадцать месяцев войны уже дали весьма поучительный для выяснения нашей боевой готовности материал. Уроки прошлого не могут пропасть даром и должны быть использованы для соображения некоторых мероприятий будущего. Предугадывая возможность войны и даже готовясь к ней, великие державы прежде веего ошиблись в определения вероятной продолжительности ее. Вряд ли кто-либо мог думать в начале войны, что даже по истечении полутора лет со времени открытия военных действий нельзя будет, хотя бы примерно, предугадать ее конец. </w:t>
      </w:r>
    </w:p>
    <w:p w14:paraId="5FB98B6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Так, первоначально у нас предполагалось, что запасы предметов снаряжения армии достаточно велики, ввиду чего дальнейшая заготовка их производилась в ограниченных количествах. Вскоре, однако, планы наших заготовлений стали вестись по расчету на сентябрь месяц 1915 г., впоследствии они рассчитывались уже на июль 1916 г., а в настоящее время некоторые расчеты ведутся уже на срок до середины 1917 г. Подобный же переучет заготовлений производился, насколько известно, и у наших союзников. </w:t>
      </w:r>
    </w:p>
    <w:p w14:paraId="6C269E7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Общее количество запасов снаряжения армии, заготовленных в период, непосредственно предшествовавший открытию военных действий, оказался, таким образом, слишком ничтожным по сравнению с количествами, потребными для ведения настоящей войны. </w:t>
      </w:r>
    </w:p>
    <w:p w14:paraId="209A8BE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Еще большая невольная ошибка была допущена при исчислении боевого расхода заготовлений, в особенности предметов артиллерийского снабжения. Те количества боевых припасов, которые считались в самом начале войны достаточными для достижения известного эффекта, оказались совершенно ничтожными по сравнению с числом вылущенных в некоторых боях снарядов, между тем достигнутые успехи представлялись весьма небольшими. И это обстоятельство, не предусмотренное ни нами, ни нашими союзниками, вызвало неоднократный общий переучет планов заготовлений. В результате оказалось, что настоящая война потребовала такого количества заготовлений, которое до войны показалось бы совершенно невероятным. Дальнейшие заказы во многом превосходят то, что готовилось до сего времени. </w:t>
      </w:r>
    </w:p>
    <w:p w14:paraId="63F6182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На самом деле, производство снарядов по 200-300 тысяч в день, - количество, до производства которого доходят некоторые воюющие страны, - кажется совершенно чудовищным. </w:t>
      </w:r>
    </w:p>
    <w:p w14:paraId="730A487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Для пополнения боевого расхода могли служить предметы дальнейшего производства: внутреннего и иностранного. О значении запасов говорить не приходится, ибо по самому существу дела значение их могло быть крайне ограниченным: они должны были служить лишь для начала военных действий. Готовность к войне в отношении снаряжения и снабжения армии должна была, очевидно, определяться не запасами, а возможностью производства заготовлений во время самой войны на внутреннем рынке и за границей. </w:t>
      </w:r>
    </w:p>
    <w:p w14:paraId="6C8B006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Но опыт наших иностранных заказов в настоящую войну в достаточной степени убедил нас в том, в какой мере заказы эти являются необеспеченными. Заграничные заказы могли быть производимы или у союзников, или же в нейтральных странах. Но союзники сами нуждаются в заготовлениях для своих армий, а потому рынок этот представляется всегда крайне ограниченным. В лучшем случае союзные страны имеют возможность давать только излишни своего производства, если излишки эти оказываются в действительности. Этим именно обстоятельством объясняются те огромные недопоставки боевых припасов, которые имеют место в отношении Англии и Франции. Так, из 4,5 млн. снарядов, которые должны были поступить к нам до сего времени на указанных стран, поступило всего около полумиллиона штук. Таким образом, рынок союзных стран не мог быть принимаем в серьезное внимание при определении и учете заготовлений, ибо страны-союзницы, как принимающие сами участие в войне, воспрещают и будут всегда воспрещать к вывозу все то, что необходимо для снабжения их собственных армий. </w:t>
      </w:r>
    </w:p>
    <w:p w14:paraId="2B9C57E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несколько ином: положении оказываются заказы в странах нейтральных: здесь нет ограничений вывоза, но вывоз этот служит в разной мере и для противников, являющихся нашими конкурентами в размещении заказов. </w:t>
      </w:r>
    </w:p>
    <w:p w14:paraId="27E4E79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Независимо от сего заказы в нейтральных странах подвержены в высокой степени различного рода неожиданным ограничениям и стеснениям, в зависимости от склонения политических симпатий в ту или иную сторону. При все том производство вообще всех иностранных заказов сопряжено с целым рядом иного рода неудобств. Сюда относятся трудности доставки заказанных предметов, необходимость приспособления наших потребностей в отношении калибров, систем и пр. к установившимся условиям иностранного производства, а не наоборот, как это имеет место при заказах на внутреннем рынке, находящемся в нашей власти и распоряжении. В результате в отношении общей массы заграничных заказов, выполнение коих вообще сопряжено с разного рода трудностями, наблюдаются общие запоздания и случайности, лишающие уверенности в том, что будет получено то именно, что было заказано, в обусловленных количествах, в надлежащие сроки и должного качества. </w:t>
      </w:r>
    </w:p>
    <w:p w14:paraId="1395B8A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Отрицательные стороны иностранных заказов в финансовом отношении не нуждаются, казалось бы, в особенном пояснении. Расплата в золотой иалюте ставит страну в чрезвычайно грудное положение и имеет пагубные последствия для курса денег, - все равно, производится ли эта расплата путем кредитных операций или же прямым вывозом золота в натуре, как это имело место в первый период войны, когда наше золото было в слитках отправлено в Англию. </w:t>
      </w:r>
    </w:p>
    <w:p w14:paraId="71D9402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Вызываемая заграничными заказами потребность в золотой валюте ставит часто в положение, обязывающее принимать при заключении займов, даже у союзников, условия, не отвечающие ни достоинству, ни независимости страны. Обычные же переплаты, и притом в пользу иностранцев, на заграничные заказы, сопряженные с потерей на курсе, с излишними перевозками, страховкой и прочими расходами, чрезвычайно обременяют государственное казначейство, и без того испытывающее тяжесть военного бремени. </w:t>
      </w:r>
    </w:p>
    <w:p w14:paraId="367FB49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Есть, однако, в иностранных заказах еще одно обстоятельство, заслуживающее серьезного внимания не со стороны финансовой, а в отношении экономическом. Если бы на те миллиарды рублей, которыми оцениваются ваши заграничные заказы, в страну были бы ввезены орудия не разрушения, а производства, как-то: сельскохозяйственные машины, паровозы, вагоны, удобрения и пр., то неблагоприятные финансовые последствия этого ввоза покрывались бы увеличением народнохозяйственной производительности и служили бы, вообще говоря, к экономическому обогащению страны. К сожалению, ни боевые припасы, ни ружья, ни пушки, ни порох, ни прочие средства разрушения, обильно заказанные нами в других странах, никакому обогащению страны служить не могут. </w:t>
      </w:r>
    </w:p>
    <w:p w14:paraId="5C40188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Высказанные соображения невольно обращают мысль на внутреннее производство: только оно может служить прочной основой, боевой способности страны. Значение внутреннего производства настолько велико, что в современных войнах наибольшие шансы победить имеют те страны, которые могут во время самой войны готовить эти предметы в наибольшем количестве. Лучшим доказательством является Германия, своевременно подготовившая свою мощную промышленность к войне. Это дало ей возможность не только питать самое себя боевыми припасами в неисчислимом количестве, но и принять на себя снабжение и снаряжение армий ее союзников - Австрии, Турции и Болгарии. Относительный же по сравнению с силами противников недостаток в людях Германия успешно компенсирует обилием снаряжения, благодаря которому она, имея против себя силы трех могущественных держав, могла в течение полутора лет развивать активные военные действия. Противники же ее, придерживаясь вследствие недостатка боевых припасов оборонительной тактики, вынуждены были для. поднятия боевой готовности приступить уже после открытия военных действий к мобилизации своей промышленности. При этом Англия и Франция, располагающие более сильной промышленностью, могли не только покрывать свой боевой расход, но и делать накопление запасов. Россия же с ее мало развитой промышленностью до настоящего времени никаких запасов скопить не могла. Это объясняется не только слабостью нашей промышленности, но и почти полной ее неподготовленностью к производству предметов снаряжения армии. Достаточно указать хотя бы на то, что перед войной ни один из частных заводов не готовил снарядов, и это производство пришлось вновь насаждать у нас в трудных обстоятельствах военного времени. </w:t>
      </w:r>
    </w:p>
    <w:p w14:paraId="21FA408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противоположность России, Германия делала огромные усилия не только для развития промышленности, но и для приспособления ее к военным потребностям. Это и создало Германии ту мощь, которую она проявила в настоящую войну. В укреплении этой мощи участвовали, к сожалению, и мы, передавая в Германию многочисленные казенные заказы, вместо того чтобы развивать свое собственное производство. Политика эта дала плачевные результаты, которые ясно оказались вслед за объявлением войны. </w:t>
      </w:r>
    </w:p>
    <w:p w14:paraId="1889243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У нас не оказалось заводов, способных быстро развернуться и немедленно приступить к удовлетворению внезапно возникшей огромной потребности в предметах военного снаряжения. В таком положении мы были вынуждены вслед за объявлением войны пойти по старому пути производства иностранных заказов. Заказы эти </w:t>
      </w:r>
      <w:r w:rsidRPr="00405303">
        <w:rPr>
          <w:bCs/>
          <w:i w:val="0"/>
          <w:color w:val="002060"/>
          <w:spacing w:val="0"/>
          <w:kern w:val="0"/>
          <w:position w:val="0"/>
          <w:sz w:val="16"/>
          <w:szCs w:val="16"/>
        </w:rPr>
        <w:lastRenderedPageBreak/>
        <w:t xml:space="preserve">касались: пушек, пулеметов, огромного количества снарядов, пороха, пироксилина, толуола, автомобилей, проволоки, подков, шипов, седел, шанцевого инструмента и пр. </w:t>
      </w:r>
    </w:p>
    <w:p w14:paraId="603F819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Без преувеличения можно оказать, что если бы вместо заказов за границей в русскую промышленность была брошена в начале войны лишь часть сумм, переведенных за границу заказами, то мы могли бы в гораздо большей степени развить нашу военную мощь, чем это имеет место в настоящее время. Так, истратив уже свыше 300 млн. рублей на заграничные автомобиля, мы только теперь приняли решение водворить это производство в России. </w:t>
      </w:r>
    </w:p>
    <w:p w14:paraId="7F5C34E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Лишь с учреждением Особого совещания по обороне государства отношение к русской промышленности изменилось. Но и само Совещание было образовано лишь после того, как наши боевые запасы были истощены, а в отношении произведенных осенью прошлого года иностранных заказав имелись неоспоримые доказательства, что мы их или вовсе не получим, или же получим с огромным опозданием. При таких условиях не было другого выхода, как обратиться к русской промышленности. </w:t>
      </w:r>
      <w:proofErr w:type="gramStart"/>
      <w:r w:rsidRPr="00405303">
        <w:rPr>
          <w:bCs/>
          <w:i w:val="0"/>
          <w:color w:val="002060"/>
          <w:spacing w:val="0"/>
          <w:kern w:val="0"/>
          <w:position w:val="0"/>
          <w:sz w:val="16"/>
          <w:szCs w:val="16"/>
        </w:rPr>
        <w:t>Путем выдача</w:t>
      </w:r>
      <w:proofErr w:type="gramEnd"/>
      <w:r w:rsidRPr="00405303">
        <w:rPr>
          <w:bCs/>
          <w:i w:val="0"/>
          <w:color w:val="002060"/>
          <w:spacing w:val="0"/>
          <w:kern w:val="0"/>
          <w:position w:val="0"/>
          <w:sz w:val="16"/>
          <w:szCs w:val="16"/>
        </w:rPr>
        <w:t xml:space="preserve"> заказов, авансов и иного рода воспособлений существующие заводы стали постепенно приспособляться к военным потребностям и даже начали нарождаться новые отрасли производства. На этом пути мы встретили огромные затруднения. У нас не оказалось необходимого количества машин - орудий, станков, прессов и пр. Наряду с этим мы были вовсе лишены свинца, олова, алюминия, достаточного количества меди, цинка и иного рода сырых материалов. Пришлось за этим обратиться к иностранным рынкам. </w:t>
      </w:r>
    </w:p>
    <w:p w14:paraId="0F659B9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Преодолевая целый ряд трудностей, наша промышленность в настоящее время в широкой мере работает на оборону страны. Приспособлен для военных надобноетей целый ряд производств, созданы новые отрасли промышленности, иные сильно развились и расширились. Все постепенно приспособляется к тяжелым условиям военного времени. Внимательно вглядываясь в налаживающуюся огромную работу русской промышленности, подсчитывая то, что она уже дала нашей армии и что она. еще в состоянии будет рскоре ей дать, можно чувствовать некоторое успокоение по отношению боевой нашей готовности. Мы хотя и медленно, но уверенно крепнем, и никто не думает о мире, ибо благополучный для нас исход настоящей кампании кажется всем нам несомненным. С бодрым чувством ждем мы ближайшего будущего. </w:t>
      </w:r>
    </w:p>
    <w:p w14:paraId="480DDF0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Но не столь радостным кажется нам более отдаленное </w:t>
      </w:r>
      <w:proofErr w:type="gramStart"/>
      <w:r w:rsidRPr="00405303">
        <w:rPr>
          <w:bCs/>
          <w:i w:val="0"/>
          <w:color w:val="002060"/>
          <w:spacing w:val="0"/>
          <w:kern w:val="0"/>
          <w:position w:val="0"/>
          <w:sz w:val="16"/>
          <w:szCs w:val="16"/>
        </w:rPr>
        <w:t>будущее Оно</w:t>
      </w:r>
      <w:proofErr w:type="gramEnd"/>
      <w:r w:rsidRPr="00405303">
        <w:rPr>
          <w:bCs/>
          <w:i w:val="0"/>
          <w:color w:val="002060"/>
          <w:spacing w:val="0"/>
          <w:kern w:val="0"/>
          <w:position w:val="0"/>
          <w:sz w:val="16"/>
          <w:szCs w:val="16"/>
        </w:rPr>
        <w:t xml:space="preserve"> представляется нам туманно-загадочным. Кончится война, но международного мира и спокойствия после войны ждать нельзя будет. Побежденные и обойденные страны будут таить очаг недовольства, могущего разразиться новыми потоками крови. Вот почему и в разгар настоящей еще неоконченной войны следует подуматъ о будущем, дабы не оказаться в том яге самом положении, в каком застал нас 1914 г. </w:t>
      </w:r>
    </w:p>
    <w:p w14:paraId="5731986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Выло бы величайшей и непростительной ошибкой допустить вслед за окончанием войны разрушение той огромной военной лощи, которую представит собою русская промышленность к концу войны. Прекратятся заказы, и наше военное производство, налаженное с такими усилиями и жертвами со стороны государственного казначейства, может легко расстроиться. Поддержание этой мощи составляет задачу величайшей государственной важности. Речь идет о сохранении в мирное время той способности русской промышленности к производству предметов военного снаряжения, которую она проявляет во время войны. Цель эта может быть достигнута без особых жертв со стороны государственного казначейства и во всяком случае без дачи заводам ненужных в мирное время заказов. Она может быть достигнута </w:t>
      </w:r>
      <w:proofErr w:type="gramStart"/>
      <w:r w:rsidRPr="00405303">
        <w:rPr>
          <w:bCs/>
          <w:i w:val="0"/>
          <w:color w:val="002060"/>
          <w:spacing w:val="0"/>
          <w:kern w:val="0"/>
          <w:position w:val="0"/>
          <w:sz w:val="16"/>
          <w:szCs w:val="16"/>
        </w:rPr>
        <w:t>прежде .всего</w:t>
      </w:r>
      <w:proofErr w:type="gramEnd"/>
      <w:r w:rsidRPr="00405303">
        <w:rPr>
          <w:bCs/>
          <w:i w:val="0"/>
          <w:color w:val="002060"/>
          <w:spacing w:val="0"/>
          <w:kern w:val="0"/>
          <w:position w:val="0"/>
          <w:sz w:val="16"/>
          <w:szCs w:val="16"/>
        </w:rPr>
        <w:t xml:space="preserve"> планомерным распределением и распоряжением всем тем оборудованием заводов, которое уже оплачено заводам казной включением в цену заказов стоимости нового оборудования. </w:t>
      </w:r>
    </w:p>
    <w:p w14:paraId="24AFD21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На этих началах, например, было создано у нас обширное производство снарядов на всех частных заводах. На тех же условиях погашения казною стоимости оборудования было дано нашим заводам большинство крупных военных заказов. Разумное использование одного этого ресурса казны даст возможность </w:t>
      </w:r>
      <w:proofErr w:type="gramStart"/>
      <w:r w:rsidRPr="00405303">
        <w:rPr>
          <w:bCs/>
          <w:i w:val="0"/>
          <w:color w:val="002060"/>
          <w:spacing w:val="0"/>
          <w:kern w:val="0"/>
          <w:position w:val="0"/>
          <w:sz w:val="16"/>
          <w:szCs w:val="16"/>
        </w:rPr>
        <w:t>держать .</w:t>
      </w:r>
      <w:proofErr w:type="gramEnd"/>
      <w:r w:rsidRPr="00405303">
        <w:rPr>
          <w:bCs/>
          <w:i w:val="0"/>
          <w:color w:val="002060"/>
          <w:spacing w:val="0"/>
          <w:kern w:val="0"/>
          <w:position w:val="0"/>
          <w:sz w:val="16"/>
          <w:szCs w:val="16"/>
        </w:rPr>
        <w:t xml:space="preserve"> заводы в состоянии способности приступить, в случае надобности, к немедленному </w:t>
      </w:r>
      <w:proofErr w:type="gramStart"/>
      <w:r w:rsidRPr="00405303">
        <w:rPr>
          <w:bCs/>
          <w:i w:val="0"/>
          <w:color w:val="002060"/>
          <w:spacing w:val="0"/>
          <w:kern w:val="0"/>
          <w:position w:val="0"/>
          <w:sz w:val="16"/>
          <w:szCs w:val="16"/>
        </w:rPr>
        <w:t>производству .военных</w:t>
      </w:r>
      <w:proofErr w:type="gramEnd"/>
      <w:r w:rsidRPr="00405303">
        <w:rPr>
          <w:bCs/>
          <w:i w:val="0"/>
          <w:color w:val="002060"/>
          <w:spacing w:val="0"/>
          <w:kern w:val="0"/>
          <w:position w:val="0"/>
          <w:sz w:val="16"/>
          <w:szCs w:val="16"/>
        </w:rPr>
        <w:t xml:space="preserve"> заказов. </w:t>
      </w:r>
    </w:p>
    <w:p w14:paraId="081B010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Для этой цели правительство должно обязать ныне работающие на оборону заводы держать соответственное оборудование в состоянии готовности к производству военных заказов. Взамен сего обязательства заводам должно быть дозволено использование в мирное время оборудования для удовлетворения потребностей частного рынка, но с обязательством возобновления изнашиваемого оборудования. </w:t>
      </w:r>
    </w:p>
    <w:p w14:paraId="0F02AF5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Подобные обязательства в отношении готовности производить военные заказы правительство могло бы ставить всем вновь возникающим предприятиям, в особенности же тем, коим будут оказываемы какие-либо льготы или воспособления. </w:t>
      </w:r>
    </w:p>
    <w:p w14:paraId="750CD7D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Идя таким путем и приводя в известное планомерное соотношение способность наших заводов производить отдельные предметы военных заготовителей, мы достигнем мобилизации нашей промышленности, т. е. приведения и поддержания ее в состоянии возможности начать производить без потери времени заранее определенное для каждого завода количество военных заготовлений. </w:t>
      </w:r>
    </w:p>
    <w:p w14:paraId="08C076D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Все изложенное касается собственно оборудования заводов. Но этим не исчерпывается поставленная задача мобилизации русской промышленности. Надо воспользоваться обстоятельствами настоящей войны, чтобы приблизить сильную машиностроительную промышленность Петрограда к металлургии, всячески способствуя эвакуации петроградских заводов в район нашей южной горной промышленности и на Урал, где в изобилии имеются и </w:t>
      </w:r>
      <w:proofErr w:type="gramStart"/>
      <w:r w:rsidRPr="00405303">
        <w:rPr>
          <w:bCs/>
          <w:i w:val="0"/>
          <w:color w:val="002060"/>
          <w:spacing w:val="0"/>
          <w:kern w:val="0"/>
          <w:position w:val="0"/>
          <w:sz w:val="16"/>
          <w:szCs w:val="16"/>
        </w:rPr>
        <w:t>топливо</w:t>
      </w:r>
      <w:proofErr w:type="gramEnd"/>
      <w:r w:rsidRPr="00405303">
        <w:rPr>
          <w:bCs/>
          <w:i w:val="0"/>
          <w:color w:val="002060"/>
          <w:spacing w:val="0"/>
          <w:kern w:val="0"/>
          <w:position w:val="0"/>
          <w:sz w:val="16"/>
          <w:szCs w:val="16"/>
        </w:rPr>
        <w:t xml:space="preserve"> и металлы. Таким только путем мы избегнем тех крупных перевозок на далекое расстояние топлива и металлов из районов горной промышленности в Петроград, кои вызвали крайнее напряжение работы ваших железных дорог, и без того обремененных военными перевозками. </w:t>
      </w:r>
    </w:p>
    <w:p w14:paraId="5A9D0BE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Наряду с заботами о мобилизации собственно технических средств заводов (оборудования) нужно сообразить план снабжения и обеспечения их необходимыми сырыми материалами. В этом отношении следует прежде всего водворить у нас добычу и производство свинца, олова, алюминия, цинка и прочих специальных металлов, без коих наша боевая готовность будет всегда находиться в рискованном положении. У нас имеются богатейшие залежи руд этих металлов, и развить выплавку их не представит особых трудностей. </w:t>
      </w:r>
    </w:p>
    <w:p w14:paraId="55DF3E7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Нельзя также не обратить внимания на то, что важнейший пункт нашего военного производства - Петроград находится в зависимости от иностранного топлива. Тяжесть этой зависимости мы испытываем теперь в полной силе. Выходом из указанного положения явилось бы освобождение столицы от заводов, работающих та оборону. Но задача эта очень трудно осуществима, а потому вполне целесообразным во всех отношениях представлялось бы использование вод Сайменокого озера в Финляндии (Иматра), могущего дать столице по электрическому кабелю около 400 000 лошадиных сил, что с большим излишком покрывает потребности не только промышленности, но и железнодорожного узла Петрограда, общественного и частного хозяйства. При всем том стоимость электрической энергии обойдется в три раза дешевле того, во что обходилось потребление в мирное время английского угля, за который ежегодно выплачивали мы свыше 30 млн. рублей за границу. Само собой разумеется, что вышеизложенными указаниями далеко не исчерпываются план и программа намеченной мобилизации промышленности. В ней не затронуты, например, вопросы о создании казенных заводов и о других факторах, могущих так или иначе влиять на боевую готовность нашей промышленности. Создание этой программы потребует серьезной и планомерной разработки того обильного фактического материала, коим располагает в настоящее время военное ведомство, а потому работа эта могла бы быть поручена особой комиссии. Труды этой комиссии, несомненно, должны находиться в теснейшей связи с трудами Особого совещания по обороне государства, ввиду чего комиссия эта должна быть образована в составе вышеназванного Особого совещания в качестве комиссии подготовительной. По одобрении в Особом совещании по обороне государства выработанных этой подготовительной комиссией плана и программы мобилизации русской промышленности проведение намеченных мероприятий в жизнь мажет потребовать, смотря по свойству их, частью одобрения законодательных палат, 'частью же распоряжений совета министров или председателя Особого совещания по обороне государства. </w:t>
      </w:r>
    </w:p>
    <w:p w14:paraId="706B497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Подписал </w:t>
      </w:r>
      <w:r w:rsidRPr="00405303">
        <w:rPr>
          <w:bCs/>
          <w:color w:val="002060"/>
          <w:spacing w:val="0"/>
          <w:kern w:val="0"/>
          <w:position w:val="0"/>
          <w:sz w:val="16"/>
          <w:szCs w:val="16"/>
        </w:rPr>
        <w:t>В. Литвинов-Фалинский</w:t>
      </w:r>
      <w:r w:rsidRPr="00405303">
        <w:rPr>
          <w:bCs/>
          <w:i w:val="0"/>
          <w:color w:val="002060"/>
          <w:spacing w:val="0"/>
          <w:kern w:val="0"/>
          <w:position w:val="0"/>
          <w:sz w:val="16"/>
          <w:szCs w:val="16"/>
        </w:rPr>
        <w:t xml:space="preserve">. </w:t>
      </w:r>
    </w:p>
    <w:p w14:paraId="5EEF5BC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Петроград (11483).</w:t>
      </w:r>
    </w:p>
    <w:p w14:paraId="1FA209EA" w14:textId="1796564D" w:rsidR="004B4E35" w:rsidRPr="00405303" w:rsidRDefault="004B4E35" w:rsidP="00C15251">
      <w:pPr>
        <w:pStyle w:val="a3"/>
        <w:jc w:val="both"/>
        <w:rPr>
          <w:bCs/>
          <w:i w:val="0"/>
          <w:color w:val="002060"/>
          <w:spacing w:val="0"/>
          <w:kern w:val="0"/>
          <w:position w:val="0"/>
          <w:sz w:val="16"/>
          <w:szCs w:val="16"/>
        </w:rPr>
      </w:pPr>
    </w:p>
    <w:p w14:paraId="7D798F14" w14:textId="46C67DD1" w:rsidR="009337F1" w:rsidRPr="00405303" w:rsidRDefault="009337F1" w:rsidP="00C15251">
      <w:pPr>
        <w:pStyle w:val="a3"/>
        <w:jc w:val="both"/>
        <w:rPr>
          <w:bCs/>
          <w:iCs/>
          <w:color w:val="002060"/>
          <w:spacing w:val="0"/>
          <w:kern w:val="0"/>
          <w:position w:val="0"/>
          <w:sz w:val="16"/>
          <w:szCs w:val="16"/>
        </w:rPr>
      </w:pPr>
      <w:r w:rsidRPr="00405303">
        <w:rPr>
          <w:bCs/>
          <w:iCs/>
          <w:color w:val="002060"/>
          <w:spacing w:val="0"/>
          <w:kern w:val="0"/>
          <w:position w:val="0"/>
          <w:sz w:val="16"/>
          <w:szCs w:val="16"/>
        </w:rPr>
        <w:t>Авиация:</w:t>
      </w:r>
    </w:p>
    <w:p w14:paraId="4037C085" w14:textId="77777777" w:rsidR="009337F1" w:rsidRPr="00405303" w:rsidRDefault="009337F1" w:rsidP="00C15251">
      <w:pPr>
        <w:pStyle w:val="a3"/>
        <w:jc w:val="both"/>
        <w:rPr>
          <w:bCs/>
          <w:iCs/>
          <w:color w:val="002060"/>
          <w:spacing w:val="0"/>
          <w:kern w:val="0"/>
          <w:position w:val="0"/>
          <w:sz w:val="16"/>
          <w:szCs w:val="16"/>
        </w:rPr>
      </w:pPr>
    </w:p>
    <w:p w14:paraId="75627681" w14:textId="77777777" w:rsidR="009337F1" w:rsidRPr="00405303" w:rsidRDefault="009337F1" w:rsidP="00C15251">
      <w:pPr>
        <w:jc w:val="both"/>
        <w:rPr>
          <w:bCs/>
          <w:color w:val="002060"/>
          <w:sz w:val="16"/>
          <w:szCs w:val="16"/>
        </w:rPr>
      </w:pPr>
      <w:r w:rsidRPr="00405303">
        <w:rPr>
          <w:bCs/>
          <w:color w:val="002060"/>
          <w:sz w:val="16"/>
          <w:szCs w:val="16"/>
        </w:rPr>
        <w:t>22 ноября (5 декабря) 1915 г. летчик эскадры воздушных кораблей лейтенант Г. И. Лавров представил проект организации дивизиона истребителей, состоящеro из двух групп по восьми летчиков в каждой, и проект самолета свлей конструкции - трехмоторный биплан с одним тянущим и двумя толкающими винтами, скоростью 150 км/час. Проект самолета не был осуществлен, идея истребительных дивизионов была реализована при создании истребительных групп.</w:t>
      </w:r>
    </w:p>
    <w:p w14:paraId="5D6931A4" w14:textId="77777777" w:rsidR="009337F1" w:rsidRPr="00405303" w:rsidRDefault="009337F1" w:rsidP="00C15251">
      <w:pPr>
        <w:jc w:val="both"/>
        <w:rPr>
          <w:bCs/>
          <w:color w:val="002060"/>
          <w:sz w:val="16"/>
          <w:szCs w:val="16"/>
        </w:rPr>
      </w:pPr>
      <w:r w:rsidRPr="00405303">
        <w:rPr>
          <w:bCs/>
          <w:color w:val="002060"/>
          <w:sz w:val="16"/>
          <w:szCs w:val="16"/>
        </w:rPr>
        <w:t>/ЦГВИА, ф. 493, оп. 2, д. 9/ (23320).</w:t>
      </w:r>
    </w:p>
    <w:p w14:paraId="27A2474E" w14:textId="77777777" w:rsidR="009337F1" w:rsidRPr="00405303" w:rsidRDefault="009337F1" w:rsidP="00C15251">
      <w:pPr>
        <w:jc w:val="both"/>
        <w:rPr>
          <w:bCs/>
          <w:color w:val="002060"/>
          <w:sz w:val="16"/>
          <w:szCs w:val="16"/>
        </w:rPr>
      </w:pPr>
    </w:p>
    <w:p w14:paraId="26631733" w14:textId="77777777" w:rsidR="004B4E35" w:rsidRPr="00405303" w:rsidRDefault="009E6F82" w:rsidP="00C15251">
      <w:pPr>
        <w:jc w:val="both"/>
        <w:rPr>
          <w:bCs/>
          <w:i/>
          <w:color w:val="002060"/>
          <w:sz w:val="16"/>
          <w:szCs w:val="16"/>
        </w:rPr>
      </w:pPr>
      <w:r w:rsidRPr="00405303">
        <w:rPr>
          <w:bCs/>
          <w:i/>
          <w:color w:val="002060"/>
          <w:sz w:val="16"/>
          <w:szCs w:val="16"/>
        </w:rPr>
        <w:t>Морская авиация:</w:t>
      </w:r>
    </w:p>
    <w:p w14:paraId="427DB40D" w14:textId="77777777" w:rsidR="004B4E35" w:rsidRPr="00405303" w:rsidRDefault="004B4E35" w:rsidP="00C15251">
      <w:pPr>
        <w:jc w:val="both"/>
        <w:rPr>
          <w:bCs/>
          <w:i/>
          <w:color w:val="002060"/>
          <w:sz w:val="16"/>
          <w:szCs w:val="16"/>
        </w:rPr>
      </w:pPr>
    </w:p>
    <w:p w14:paraId="6B713D39" w14:textId="3CE42724" w:rsidR="00993C18" w:rsidRPr="00405303" w:rsidRDefault="00993C18" w:rsidP="00C15251">
      <w:pPr>
        <w:jc w:val="both"/>
        <w:rPr>
          <w:bCs/>
          <w:color w:val="002060"/>
          <w:sz w:val="16"/>
          <w:szCs w:val="16"/>
        </w:rPr>
      </w:pPr>
      <w:r w:rsidRPr="00405303">
        <w:rPr>
          <w:bCs/>
          <w:color w:val="002060"/>
          <w:sz w:val="16"/>
          <w:szCs w:val="16"/>
        </w:rPr>
        <w:t xml:space="preserve">22 ноября </w:t>
      </w:r>
      <w:r w:rsidR="00663F93" w:rsidRPr="00405303">
        <w:rPr>
          <w:bCs/>
          <w:color w:val="002060"/>
          <w:sz w:val="16"/>
          <w:szCs w:val="16"/>
        </w:rPr>
        <w:t xml:space="preserve">(5 декабря) </w:t>
      </w:r>
      <w:r w:rsidRPr="00405303">
        <w:rPr>
          <w:bCs/>
          <w:color w:val="002060"/>
          <w:sz w:val="16"/>
          <w:szCs w:val="16"/>
        </w:rPr>
        <w:t>в 1915 году приступило к работе Бакинское отделение Петроградской школы морских летчиков. С 25 февраля 1917 г. Бакинское отделение стало Бакинской школой морской авиации. Обе школы стали существовать самостоятельно (14837).</w:t>
      </w:r>
    </w:p>
    <w:p w14:paraId="7246A020" w14:textId="77777777" w:rsidR="00993C18" w:rsidRPr="00405303" w:rsidRDefault="00993C18" w:rsidP="00C15251">
      <w:pPr>
        <w:jc w:val="both"/>
        <w:rPr>
          <w:bCs/>
          <w:color w:val="002060"/>
          <w:sz w:val="16"/>
          <w:szCs w:val="16"/>
        </w:rPr>
      </w:pPr>
    </w:p>
    <w:p w14:paraId="1A79E58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22 ноября (5 декабря) 1915 Школа морской авиации основана в Баку (1137).</w:t>
      </w:r>
    </w:p>
    <w:p w14:paraId="516780A0" w14:textId="77777777" w:rsidR="004B4E35" w:rsidRPr="00405303" w:rsidRDefault="004B4E35" w:rsidP="00C15251">
      <w:pPr>
        <w:shd w:val="clear" w:color="auto" w:fill="FFFFFF"/>
        <w:jc w:val="both"/>
        <w:rPr>
          <w:bCs/>
          <w:color w:val="002060"/>
          <w:sz w:val="16"/>
          <w:szCs w:val="16"/>
        </w:rPr>
      </w:pPr>
    </w:p>
    <w:p w14:paraId="0ABE5B6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22 ноября (5 декабря) 1915 Школа морской авиации основана в Баку (11425).</w:t>
      </w:r>
    </w:p>
    <w:p w14:paraId="43C48F99" w14:textId="77777777" w:rsidR="004B4E35" w:rsidRPr="00405303" w:rsidRDefault="004B4E35" w:rsidP="00C15251">
      <w:pPr>
        <w:shd w:val="clear" w:color="auto" w:fill="FFFFFF"/>
        <w:jc w:val="both"/>
        <w:rPr>
          <w:bCs/>
          <w:color w:val="002060"/>
          <w:sz w:val="16"/>
          <w:szCs w:val="16"/>
        </w:rPr>
      </w:pPr>
    </w:p>
    <w:p w14:paraId="66C5C7FB" w14:textId="77777777" w:rsidR="004B4E35" w:rsidRPr="00405303" w:rsidRDefault="009E6F82" w:rsidP="00C15251">
      <w:pPr>
        <w:jc w:val="both"/>
        <w:rPr>
          <w:bCs/>
          <w:color w:val="002060"/>
          <w:sz w:val="16"/>
          <w:szCs w:val="16"/>
        </w:rPr>
      </w:pPr>
      <w:r w:rsidRPr="00405303">
        <w:rPr>
          <w:bCs/>
          <w:color w:val="002060"/>
          <w:sz w:val="16"/>
          <w:szCs w:val="16"/>
        </w:rPr>
        <w:t>22 ноября (5 декабря) 1915 года, в Баку была открыта школа морской авиации (11185).</w:t>
      </w:r>
    </w:p>
    <w:p w14:paraId="4C95DB7F" w14:textId="77777777" w:rsidR="004B4E35" w:rsidRPr="00405303" w:rsidRDefault="004B4E35" w:rsidP="00C15251">
      <w:pPr>
        <w:jc w:val="both"/>
        <w:rPr>
          <w:bCs/>
          <w:color w:val="002060"/>
          <w:sz w:val="16"/>
          <w:szCs w:val="16"/>
        </w:rPr>
      </w:pPr>
    </w:p>
    <w:p w14:paraId="2C1285E2" w14:textId="77777777" w:rsidR="004B4E35" w:rsidRPr="00405303" w:rsidRDefault="009E6F82" w:rsidP="00C15251">
      <w:pPr>
        <w:jc w:val="both"/>
        <w:rPr>
          <w:bCs/>
          <w:color w:val="002060"/>
          <w:sz w:val="16"/>
          <w:szCs w:val="16"/>
        </w:rPr>
      </w:pPr>
      <w:r w:rsidRPr="00405303">
        <w:rPr>
          <w:bCs/>
          <w:color w:val="002060"/>
          <w:sz w:val="16"/>
          <w:szCs w:val="16"/>
        </w:rPr>
        <w:t>22 ноября (5 декабря) 1915 года состоялось открытие бакинского отделения Офицерской школы морской авиации. Церемония была очень торжественной: вначале религиозное освящение, поднятие флага, затем строевой смотр, после чего состоялись два показательных полета на гидропланах. Ведущая бакинская газета «Каспий», издававшаяся на средства Гаджи Зейналабдина Тагиева, описывает полеты следующим образом:</w:t>
      </w:r>
    </w:p>
    <w:p w14:paraId="5DA6F469" w14:textId="77777777" w:rsidR="004B4E35" w:rsidRPr="00405303" w:rsidRDefault="009E6F82" w:rsidP="00C15251">
      <w:pPr>
        <w:jc w:val="both"/>
        <w:rPr>
          <w:bCs/>
          <w:color w:val="002060"/>
          <w:sz w:val="16"/>
          <w:szCs w:val="16"/>
        </w:rPr>
      </w:pPr>
      <w:r w:rsidRPr="00405303">
        <w:rPr>
          <w:bCs/>
          <w:color w:val="002060"/>
          <w:sz w:val="16"/>
          <w:szCs w:val="16"/>
        </w:rPr>
        <w:t>«Плывя по волнам, морской самолет мягко взлетает, как волшебная летучая рыба, ощущая себя королем и моря, и воздуха. Это было великолепное зрелище!»</w:t>
      </w:r>
    </w:p>
    <w:p w14:paraId="68FB3AA8" w14:textId="77777777" w:rsidR="004B4E35" w:rsidRPr="00405303" w:rsidRDefault="009E6F82" w:rsidP="00C15251">
      <w:pPr>
        <w:jc w:val="both"/>
        <w:rPr>
          <w:bCs/>
          <w:color w:val="002060"/>
          <w:sz w:val="16"/>
          <w:szCs w:val="16"/>
        </w:rPr>
      </w:pPr>
      <w:r w:rsidRPr="00405303">
        <w:rPr>
          <w:bCs/>
          <w:color w:val="002060"/>
          <w:sz w:val="16"/>
          <w:szCs w:val="16"/>
        </w:rPr>
        <w:t>На открытие школы были приглашены более 500 видных общественных деятелей Баку, нефтепромышленников, представителей учебных заведений, банков, биржевого комитета, ученых, духовенства. Школа была организована Генеральным штабом военно-морских сил и департаментом авиации Российской империи. Командование было поручено капитану первого ранга А.Яновскому.</w:t>
      </w:r>
    </w:p>
    <w:p w14:paraId="0906290F" w14:textId="77777777" w:rsidR="004B4E35" w:rsidRPr="00405303" w:rsidRDefault="009E6F82" w:rsidP="00C15251">
      <w:pPr>
        <w:jc w:val="both"/>
        <w:rPr>
          <w:bCs/>
          <w:color w:val="002060"/>
          <w:sz w:val="16"/>
          <w:szCs w:val="16"/>
        </w:rPr>
      </w:pPr>
      <w:r w:rsidRPr="00405303">
        <w:rPr>
          <w:bCs/>
          <w:color w:val="002060"/>
          <w:sz w:val="16"/>
          <w:szCs w:val="16"/>
        </w:rPr>
        <w:t>В 1915 году, когда Российская империя испытывала острую нужду в военных летчиках, принимается решение о создании Бакинского отделения Петербургской офицерской школы морской авиации. Причин, по которым был выбран именно Бакинский порт, было несколько. Во-первых, это был один из немногих крупных портов, не замерзающих в зимнее время, что позволяло вести обучение военно-морских летчиков круглогодично. Однако помимо чисто климатических факторов немалую роль сыграло и то обстоятельство, что Бакинский порт к началу XX века стал самым крупным портом Российской империи по грузообороту. В первую очередь это произошло благодаря нефтяному буму 1872-1920 годов. Не будем забывать, что именно в Баку в 1878-79 годах были использованы первые нефтеналивные пароходы (знаменитые нобелевские «Зороастр», «Магомед», «Будда», «Моисей»), ставшие прообразом современных танкеров.</w:t>
      </w:r>
    </w:p>
    <w:p w14:paraId="4C61D8C0" w14:textId="77777777" w:rsidR="004B4E35" w:rsidRPr="00405303" w:rsidRDefault="009E6F82" w:rsidP="00C15251">
      <w:pPr>
        <w:jc w:val="both"/>
        <w:rPr>
          <w:bCs/>
          <w:color w:val="002060"/>
          <w:sz w:val="16"/>
          <w:szCs w:val="16"/>
        </w:rPr>
      </w:pPr>
      <w:r w:rsidRPr="00405303">
        <w:rPr>
          <w:bCs/>
          <w:color w:val="002060"/>
          <w:sz w:val="16"/>
          <w:szCs w:val="16"/>
        </w:rPr>
        <w:t>Начиная с 1907 года годовой грузооборот Бакинского порта (334 млн пудов) более чем вдвое превосходил аналогичные показатели портов Риги и Одессы (по 120 млн пудов) и почти в полтора раза — Санкт-Петербурга. К началу первой мировой войны Бакинский порт перерабатывал 342 млн пудов грузов, в то время как Петроградский — лишь 216,5 млн пудов.</w:t>
      </w:r>
    </w:p>
    <w:p w14:paraId="60C50F58" w14:textId="77777777" w:rsidR="004B4E35" w:rsidRPr="00405303" w:rsidRDefault="009E6F82" w:rsidP="00C15251">
      <w:pPr>
        <w:jc w:val="both"/>
        <w:rPr>
          <w:bCs/>
          <w:color w:val="002060"/>
          <w:sz w:val="16"/>
          <w:szCs w:val="16"/>
        </w:rPr>
      </w:pPr>
      <w:r w:rsidRPr="00405303">
        <w:rPr>
          <w:bCs/>
          <w:color w:val="002060"/>
          <w:sz w:val="16"/>
          <w:szCs w:val="16"/>
        </w:rPr>
        <w:t>Если учесть, что население Баку в это время составляло немногим более 214 тысяч человек, то уровень грузооборота Бакинского порта выглядит более чем впечатляющим. Не отставало и техническое оснащение порта, что создавало весьма благоприятные условия для размещения школы морской авиации именно в Баку.</w:t>
      </w:r>
    </w:p>
    <w:p w14:paraId="02EA9BC2" w14:textId="77777777" w:rsidR="004B4E35" w:rsidRPr="00405303" w:rsidRDefault="009E6F82" w:rsidP="00C15251">
      <w:pPr>
        <w:jc w:val="both"/>
        <w:rPr>
          <w:bCs/>
          <w:color w:val="002060"/>
          <w:sz w:val="16"/>
          <w:szCs w:val="16"/>
        </w:rPr>
      </w:pPr>
      <w:r w:rsidRPr="00405303">
        <w:rPr>
          <w:bCs/>
          <w:color w:val="002060"/>
          <w:sz w:val="16"/>
          <w:szCs w:val="16"/>
        </w:rPr>
        <w:t xml:space="preserve">Наконец, огромный вклад в создание школы внесла Бакинская городская управа в лице ее руководителя Мамед-Гасана Гаджинского. Выпускник Петербургского технологического института, Гаджинский сыграл ключевую роль в разбивке Приморского бульвара, а впоследствии стал одним из видных деятелей АДР. Под его руководством для школы морской авиации отводится и огораживается каменная пристань на Набережной (напротив нынешнего здания ГНКАР, бывшей Азнефти). На пристани выстраиваются два специальных спуска для гидропланов, каждый из которых состоял из 25-30 свай и обошелся городу в несколько тысяч рублей. </w:t>
      </w:r>
    </w:p>
    <w:p w14:paraId="7D660D75" w14:textId="77777777" w:rsidR="004B4E35" w:rsidRPr="00405303" w:rsidRDefault="009E6F82" w:rsidP="00C15251">
      <w:pPr>
        <w:jc w:val="both"/>
        <w:rPr>
          <w:bCs/>
          <w:color w:val="002060"/>
          <w:sz w:val="16"/>
          <w:szCs w:val="16"/>
        </w:rPr>
      </w:pPr>
      <w:r w:rsidRPr="00405303">
        <w:rPr>
          <w:bCs/>
          <w:color w:val="002060"/>
          <w:sz w:val="16"/>
          <w:szCs w:val="16"/>
        </w:rPr>
        <w:t>Пристань была замощена камнем с проложенными бетонированными дорожками, что позволяло быстро и удобно спускать гидропланы на воду из ангаров. Большую часть расходов на строительство этих сооружений взяла на себя Бакинская городская управа. Наряду с М.Г.Гаджинским деятельное участие в обустройстве школы приняли командир Бакинского порта контр-адмирал Клюпфель и начальник Бакинского торгового порта капитан первого ранга Данилов (11185).</w:t>
      </w:r>
    </w:p>
    <w:p w14:paraId="4F1F333F" w14:textId="77777777" w:rsidR="004B4E35" w:rsidRPr="00405303" w:rsidRDefault="009E6F82" w:rsidP="00C15251">
      <w:pPr>
        <w:jc w:val="both"/>
        <w:rPr>
          <w:bCs/>
          <w:color w:val="002060"/>
          <w:sz w:val="16"/>
          <w:szCs w:val="16"/>
        </w:rPr>
      </w:pPr>
      <w:r w:rsidRPr="00405303">
        <w:rPr>
          <w:bCs/>
          <w:color w:val="002060"/>
          <w:sz w:val="16"/>
          <w:szCs w:val="16"/>
        </w:rPr>
        <w:t>За первый год своего существования школа смогла заметно расшириться. Наряду с Каменной в ее распоряжение была предоставлена Старотаможенная пристань, построены третий спуск, два ангара, подведен телефон и организованы противопожарные мероприятия.</w:t>
      </w:r>
    </w:p>
    <w:p w14:paraId="7AFDDE76" w14:textId="77777777" w:rsidR="004B4E35" w:rsidRPr="00405303" w:rsidRDefault="009E6F82" w:rsidP="00C15251">
      <w:pPr>
        <w:jc w:val="both"/>
        <w:rPr>
          <w:bCs/>
          <w:color w:val="002060"/>
          <w:sz w:val="16"/>
          <w:szCs w:val="16"/>
        </w:rPr>
      </w:pPr>
      <w:r w:rsidRPr="00405303">
        <w:rPr>
          <w:bCs/>
          <w:color w:val="002060"/>
          <w:sz w:val="16"/>
          <w:szCs w:val="16"/>
        </w:rPr>
        <w:t>Команда школы была доведена до 160 человек. Всего же за время ее деятельности вплоть до большевистского переворота 1917 года в ней были подготовлены 40 офицеров и 17 низших чинов, выпущены 20 морских летчиков и один нижний чин (11185).</w:t>
      </w:r>
    </w:p>
    <w:p w14:paraId="784C4841" w14:textId="77777777" w:rsidR="004B4E35" w:rsidRPr="00405303" w:rsidRDefault="004B4E35" w:rsidP="00C15251">
      <w:pPr>
        <w:jc w:val="both"/>
        <w:rPr>
          <w:bCs/>
          <w:color w:val="002060"/>
          <w:sz w:val="16"/>
          <w:szCs w:val="16"/>
        </w:rPr>
      </w:pPr>
    </w:p>
    <w:p w14:paraId="217CDB54" w14:textId="1D0B1168" w:rsidR="004B4E35" w:rsidRPr="00405303" w:rsidRDefault="009E6F82" w:rsidP="00C15251">
      <w:pPr>
        <w:shd w:val="clear" w:color="auto" w:fill="FFFFFF"/>
        <w:jc w:val="both"/>
        <w:rPr>
          <w:bCs/>
          <w:color w:val="002060"/>
          <w:sz w:val="16"/>
          <w:szCs w:val="16"/>
        </w:rPr>
      </w:pPr>
      <w:r w:rsidRPr="00405303">
        <w:rPr>
          <w:bCs/>
          <w:color w:val="002060"/>
          <w:sz w:val="16"/>
          <w:szCs w:val="16"/>
        </w:rPr>
        <w:t>22 ноября (5 декабря) 1915 года</w:t>
      </w:r>
      <w:r w:rsidR="00663F93" w:rsidRPr="00405303">
        <w:rPr>
          <w:bCs/>
          <w:color w:val="002060"/>
          <w:sz w:val="16"/>
          <w:szCs w:val="16"/>
        </w:rPr>
        <w:t xml:space="preserve"> состоялось открытие крупного фи</w:t>
      </w:r>
      <w:r w:rsidR="00663F93" w:rsidRPr="00405303">
        <w:rPr>
          <w:bCs/>
          <w:color w:val="002060"/>
          <w:sz w:val="16"/>
          <w:szCs w:val="16"/>
        </w:rPr>
        <w:softHyphen/>
        <w:t>лиала</w:t>
      </w:r>
      <w:r w:rsidRPr="00405303">
        <w:rPr>
          <w:bCs/>
          <w:color w:val="002060"/>
          <w:sz w:val="16"/>
          <w:szCs w:val="16"/>
        </w:rPr>
        <w:t>. Созданием его руково</w:t>
      </w:r>
      <w:r w:rsidRPr="00405303">
        <w:rPr>
          <w:bCs/>
          <w:color w:val="002060"/>
          <w:sz w:val="16"/>
          <w:szCs w:val="16"/>
        </w:rPr>
        <w:softHyphen/>
        <w:t>дил капитан 1 ранга А. Янович, ставший начальником этого учебного заведения. Через месяц там развернулось строитель</w:t>
      </w:r>
      <w:r w:rsidRPr="00405303">
        <w:rPr>
          <w:bCs/>
          <w:color w:val="002060"/>
          <w:sz w:val="16"/>
          <w:szCs w:val="16"/>
        </w:rPr>
        <w:softHyphen/>
        <w:t>ство воздушной станции, предназначенной для проведения ис</w:t>
      </w:r>
      <w:r w:rsidRPr="00405303">
        <w:rPr>
          <w:bCs/>
          <w:color w:val="002060"/>
          <w:sz w:val="16"/>
          <w:szCs w:val="16"/>
        </w:rPr>
        <w:softHyphen/>
        <w:t>пытаний гидроаэропланов новых конструкций (11283).</w:t>
      </w:r>
    </w:p>
    <w:p w14:paraId="4DF6E6C7" w14:textId="77777777" w:rsidR="004B4E35" w:rsidRPr="00405303" w:rsidRDefault="004B4E35" w:rsidP="00C15251">
      <w:pPr>
        <w:shd w:val="clear" w:color="auto" w:fill="FFFFFF"/>
        <w:jc w:val="both"/>
        <w:rPr>
          <w:bCs/>
          <w:color w:val="002060"/>
          <w:sz w:val="16"/>
          <w:szCs w:val="16"/>
        </w:rPr>
      </w:pPr>
    </w:p>
    <w:p w14:paraId="62145EA2" w14:textId="79CB5D77" w:rsidR="004B4E35" w:rsidRPr="00405303" w:rsidRDefault="009E6F82" w:rsidP="00C15251">
      <w:pPr>
        <w:jc w:val="both"/>
        <w:rPr>
          <w:bCs/>
          <w:color w:val="002060"/>
          <w:sz w:val="16"/>
          <w:szCs w:val="16"/>
        </w:rPr>
      </w:pPr>
      <w:r w:rsidRPr="00405303">
        <w:rPr>
          <w:bCs/>
          <w:color w:val="002060"/>
          <w:sz w:val="16"/>
          <w:szCs w:val="16"/>
        </w:rPr>
        <w:t xml:space="preserve">22 ноября </w:t>
      </w:r>
      <w:r w:rsidR="00B6540F" w:rsidRPr="00405303">
        <w:rPr>
          <w:bCs/>
          <w:color w:val="002060"/>
          <w:sz w:val="16"/>
          <w:szCs w:val="16"/>
        </w:rPr>
        <w:t>(5 декабря) 1915 г. приступили к обучению летчиков на Каспийском море.</w:t>
      </w:r>
    </w:p>
    <w:p w14:paraId="427F6A35" w14:textId="77777777" w:rsidR="004B4E35" w:rsidRPr="00405303" w:rsidRDefault="009E6F82" w:rsidP="00C15251">
      <w:pPr>
        <w:jc w:val="both"/>
        <w:rPr>
          <w:bCs/>
          <w:color w:val="002060"/>
          <w:sz w:val="16"/>
          <w:szCs w:val="16"/>
        </w:rPr>
      </w:pPr>
      <w:r w:rsidRPr="00405303">
        <w:rPr>
          <w:bCs/>
          <w:color w:val="002060"/>
          <w:sz w:val="16"/>
          <w:szCs w:val="16"/>
        </w:rPr>
        <w:t>Бакинский филиал с начала 1917 г. стал самостоятельной летной школой с прекрасно оборудованными мастерскими, ангарами и спусками на воду. В лучшие времена здесь эксплуатировалось до 20 учебных гидросамолетов М-5. Часть из них в середине 1918 г. принимала участие в отражении турецкого наступления в Закавказье, действуя в интересах оставшихся подразделений русской армии. Между тем, активное использование вело к неуклонному снижению количества пригодных к полетам машин, поэтому в 1919 г. здесь оставалось лишь два экземпляра М-5. В последующих бурных событиях гражданской войны Бакинская школа и ее имущество перестали существовать.</w:t>
      </w:r>
    </w:p>
    <w:p w14:paraId="2D1A48AC" w14:textId="77777777" w:rsidR="004B4E35" w:rsidRPr="00405303" w:rsidRDefault="009E6F82" w:rsidP="00C15251">
      <w:pPr>
        <w:jc w:val="both"/>
        <w:rPr>
          <w:bCs/>
          <w:color w:val="002060"/>
          <w:sz w:val="16"/>
          <w:szCs w:val="16"/>
        </w:rPr>
      </w:pPr>
      <w:r w:rsidRPr="00405303">
        <w:rPr>
          <w:bCs/>
          <w:color w:val="002060"/>
          <w:sz w:val="16"/>
          <w:szCs w:val="16"/>
        </w:rPr>
        <w:t>Точное количество учебных аппаратов, используемых петроградской школой неизвестно, скорее всего, в течение двух лет здесь их применялось до двух десятков экземпляров. В апреле 1918 г., в связи с угрозой немецкого вторжения, школу эвакуировали в Нижний Новгород - на Волгу отправились 5 учебных М-5. Такое же количество учебных "пятаков" насчитывалось в морской школе летчиков им. Троцкого, открытой 11 ноября 1918 г. на Гу- туевском острове в Петрограде. В период с мая по октябрь 1919 г. летающие лодки этой школы принимали участие в боевых действиях против армии генерала Юденича, наступавшей на Петроград. В декабре 1919 г. оба упомянутые учебные заведения объединили в Военно-морскую школу авиации и перевели в Самару на Волге. Объединенная школа базировалась на барже "Евпраксия", которая была оборудована ангаром и спуском для гидросамолетов. В период 1920- 1921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середины 1920-х годов. Известно, что в декабре 1925 г. в составе советской авиации числилось 22 таких учебных летающих лодки (очевидно совместно с М-20, отличавшейся в основном двигателем).</w:t>
      </w:r>
    </w:p>
    <w:p w14:paraId="6462CB05" w14:textId="77777777" w:rsidR="004B4E35" w:rsidRPr="00405303" w:rsidRDefault="009E6F82" w:rsidP="00C15251">
      <w:pPr>
        <w:jc w:val="both"/>
        <w:rPr>
          <w:bCs/>
          <w:color w:val="002060"/>
          <w:sz w:val="16"/>
          <w:szCs w:val="16"/>
        </w:rPr>
      </w:pPr>
      <w:r w:rsidRPr="00405303">
        <w:rPr>
          <w:bCs/>
          <w:color w:val="002060"/>
          <w:sz w:val="16"/>
          <w:szCs w:val="16"/>
        </w:rPr>
        <w:t>Помимо эксплуатации в России, по крайней мере, одна лодка М-5 после 1917 г. использовалась в Финляндии. Еще один экземпляр в ходе войны достался Турции, где сохранился до наших дней в авиационном музее Стамбула - Науа Мизеа (12083).</w:t>
      </w:r>
    </w:p>
    <w:p w14:paraId="3D13652B" w14:textId="77777777" w:rsidR="004B4E35" w:rsidRPr="00405303" w:rsidRDefault="004B4E35" w:rsidP="00C15251">
      <w:pPr>
        <w:jc w:val="both"/>
        <w:rPr>
          <w:bCs/>
          <w:color w:val="002060"/>
          <w:sz w:val="16"/>
          <w:szCs w:val="16"/>
        </w:rPr>
      </w:pPr>
    </w:p>
    <w:p w14:paraId="04D31609" w14:textId="4853FF6B" w:rsidR="00F5698C" w:rsidRPr="00405303" w:rsidRDefault="00F5698C" w:rsidP="00C15251">
      <w:pPr>
        <w:jc w:val="both"/>
        <w:rPr>
          <w:bCs/>
          <w:color w:val="002060"/>
          <w:sz w:val="16"/>
          <w:szCs w:val="16"/>
          <w:lang w:bidi="ru-RU"/>
        </w:rPr>
      </w:pPr>
      <w:r w:rsidRPr="00405303">
        <w:rPr>
          <w:bCs/>
          <w:color w:val="002060"/>
          <w:sz w:val="16"/>
          <w:szCs w:val="16"/>
          <w:lang w:bidi="ru-RU"/>
        </w:rPr>
        <w:t xml:space="preserve">22 ноября </w:t>
      </w:r>
      <w:r w:rsidR="003526F9" w:rsidRPr="00405303">
        <w:rPr>
          <w:bCs/>
          <w:color w:val="002060"/>
          <w:sz w:val="16"/>
          <w:szCs w:val="16"/>
          <w:lang w:bidi="ru-RU"/>
        </w:rPr>
        <w:t xml:space="preserve">(5 декабря) </w:t>
      </w:r>
      <w:r w:rsidRPr="00405303">
        <w:rPr>
          <w:bCs/>
          <w:color w:val="002060"/>
          <w:sz w:val="16"/>
          <w:szCs w:val="16"/>
          <w:lang w:bidi="ru-RU"/>
        </w:rPr>
        <w:t>1915 года состоялось открытие Бакинского отделения ОШМА (позднее БОШМА). Неблагоприятные для гидроавиации зимние условия района Балтийского моря и связанная с этим сезонность в обучении курсантов полетам на гидро</w:t>
      </w:r>
      <w:r w:rsidRPr="00405303">
        <w:rPr>
          <w:bCs/>
          <w:color w:val="002060"/>
          <w:sz w:val="16"/>
          <w:szCs w:val="16"/>
          <w:lang w:bidi="ru-RU"/>
        </w:rPr>
        <w:softHyphen/>
        <w:t>самолетах привели осенью 1915 года к решению открыть отделение школы на зимнее время в одном из незамерзаю</w:t>
      </w:r>
      <w:r w:rsidRPr="00405303">
        <w:rPr>
          <w:bCs/>
          <w:color w:val="002060"/>
          <w:sz w:val="16"/>
          <w:szCs w:val="16"/>
          <w:lang w:bidi="ru-RU"/>
        </w:rPr>
        <w:softHyphen/>
        <w:t>щих портов России. Черное море, где шли активные боевые действия, для этого не годилось, и наиболее подходя</w:t>
      </w:r>
      <w:r w:rsidRPr="00405303">
        <w:rPr>
          <w:bCs/>
          <w:color w:val="002060"/>
          <w:sz w:val="16"/>
          <w:szCs w:val="16"/>
          <w:lang w:bidi="ru-RU"/>
        </w:rPr>
        <w:softHyphen/>
        <w:t>щим признали порт Баку (23764).</w:t>
      </w:r>
    </w:p>
    <w:p w14:paraId="3101122A" w14:textId="77777777" w:rsidR="00F5698C" w:rsidRPr="00405303" w:rsidRDefault="00F5698C" w:rsidP="00C15251">
      <w:pPr>
        <w:jc w:val="both"/>
        <w:rPr>
          <w:bCs/>
          <w:color w:val="002060"/>
          <w:sz w:val="16"/>
          <w:szCs w:val="16"/>
        </w:rPr>
      </w:pPr>
    </w:p>
    <w:p w14:paraId="2C1D011B"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воздухоплание Франции:</w:t>
      </w:r>
    </w:p>
    <w:p w14:paraId="6FC04485" w14:textId="77777777" w:rsidR="004B4E35" w:rsidRPr="00405303" w:rsidRDefault="004B4E35" w:rsidP="00C15251">
      <w:pPr>
        <w:jc w:val="both"/>
        <w:rPr>
          <w:bCs/>
          <w:i/>
          <w:color w:val="002060"/>
          <w:sz w:val="16"/>
          <w:szCs w:val="16"/>
        </w:rPr>
      </w:pPr>
    </w:p>
    <w:p w14:paraId="3E1188BE" w14:textId="1C22E4ED" w:rsidR="004B4E35" w:rsidRPr="00405303" w:rsidRDefault="009E6F82" w:rsidP="00C15251">
      <w:pPr>
        <w:jc w:val="both"/>
        <w:rPr>
          <w:bCs/>
          <w:color w:val="002060"/>
          <w:sz w:val="16"/>
          <w:szCs w:val="16"/>
        </w:rPr>
      </w:pPr>
      <w:r w:rsidRPr="00405303">
        <w:rPr>
          <w:bCs/>
          <w:color w:val="002060"/>
          <w:sz w:val="16"/>
          <w:szCs w:val="16"/>
        </w:rPr>
        <w:t xml:space="preserve">22 ноября (5 декабря) </w:t>
      </w:r>
      <w:r w:rsidR="00B6540F" w:rsidRPr="00405303">
        <w:rPr>
          <w:bCs/>
          <w:color w:val="002060"/>
          <w:sz w:val="16"/>
          <w:szCs w:val="16"/>
        </w:rPr>
        <w:t xml:space="preserve">1915 г. </w:t>
      </w:r>
      <w:r w:rsidRPr="00405303">
        <w:rPr>
          <w:bCs/>
          <w:color w:val="002060"/>
          <w:sz w:val="16"/>
          <w:szCs w:val="16"/>
        </w:rPr>
        <w:t>Гийнемер в районе Компьена одерживает свою вторую победу</w:t>
      </w:r>
    </w:p>
    <w:p w14:paraId="41B7C68D" w14:textId="77777777" w:rsidR="004B4E35" w:rsidRPr="00405303" w:rsidRDefault="009E6F82" w:rsidP="00C15251">
      <w:pPr>
        <w:jc w:val="both"/>
        <w:rPr>
          <w:bCs/>
          <w:color w:val="002060"/>
          <w:sz w:val="16"/>
          <w:szCs w:val="16"/>
        </w:rPr>
      </w:pPr>
      <w:r w:rsidRPr="00405303">
        <w:rPr>
          <w:bCs/>
          <w:color w:val="002060"/>
          <w:sz w:val="16"/>
          <w:szCs w:val="16"/>
        </w:rPr>
        <w:lastRenderedPageBreak/>
        <w:t>Из приказа французского командования: "Гийнемер... пилот высокого достоинства, образец самоотверженности и мужества. Выполнил за шесть месяцев два специальных задания, требовавших высшего духа самопожертвования, и дал тринадцать воздушных сражений, из которых два закончились пожаром и падением вражеских самолетов..." (11999).</w:t>
      </w:r>
    </w:p>
    <w:p w14:paraId="4248EDC8" w14:textId="77777777" w:rsidR="004B4E35" w:rsidRPr="00405303" w:rsidRDefault="004B4E35" w:rsidP="00C15251">
      <w:pPr>
        <w:jc w:val="both"/>
        <w:rPr>
          <w:bCs/>
          <w:color w:val="002060"/>
          <w:sz w:val="16"/>
          <w:szCs w:val="16"/>
        </w:rPr>
      </w:pPr>
    </w:p>
    <w:p w14:paraId="02D6F457"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0B68698D" w14:textId="77777777" w:rsidR="004B4E35" w:rsidRPr="00405303" w:rsidRDefault="004B4E35" w:rsidP="00C15251">
      <w:pPr>
        <w:jc w:val="both"/>
        <w:rPr>
          <w:bCs/>
          <w:i/>
          <w:color w:val="002060"/>
          <w:sz w:val="16"/>
          <w:szCs w:val="16"/>
        </w:rPr>
      </w:pPr>
    </w:p>
    <w:p w14:paraId="3FA605B1" w14:textId="2DB69A0B"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23 ноября (6 декабря) 1915 </w:t>
      </w:r>
      <w:r w:rsidR="00B6540F" w:rsidRPr="00405303">
        <w:rPr>
          <w:bCs/>
          <w:color w:val="002060"/>
          <w:sz w:val="16"/>
          <w:szCs w:val="16"/>
        </w:rPr>
        <w:t xml:space="preserve">г. </w:t>
      </w:r>
      <w:r w:rsidRPr="00405303">
        <w:rPr>
          <w:bCs/>
          <w:color w:val="002060"/>
          <w:sz w:val="16"/>
          <w:szCs w:val="16"/>
        </w:rPr>
        <w:t>случилось несчастье. Во время разбега машина под управлением лейтенанта Г.А. Фриде и с двумя механиками завода в качестве пассажиров столкнулась со льдиной и ее корпус был поврежден. Экипаж остался невредим, тогда как летающая лодка затонула; вскоре ее под</w:t>
      </w:r>
      <w:r w:rsidRPr="00405303">
        <w:rPr>
          <w:bCs/>
          <w:color w:val="002060"/>
          <w:sz w:val="16"/>
          <w:szCs w:val="16"/>
        </w:rPr>
        <w:softHyphen/>
        <w:t>няли и вытащили на берег в районе 3-й морской авиастанции. Неизвестно, ремонтировалась ли она затем и летала ли, но 10 декабря комиссия в составе старшего лейтенанта А.А. Тучкова, начальника Воздухоплавательного отдела МГШ, и лейтенантов Б.Р. Миклашев</w:t>
      </w:r>
      <w:r w:rsidRPr="00405303">
        <w:rPr>
          <w:bCs/>
          <w:color w:val="002060"/>
          <w:sz w:val="16"/>
          <w:szCs w:val="16"/>
        </w:rPr>
        <w:softHyphen/>
        <w:t>ского и Г.А. Фриде из школы морских пилотов произвела официальную приемку самолета, зачислив его в казну. По иронии судьбы, Ф.В. Эбергарда совершенно забыли и он не мог получить причитавшиеся ему деньги до лета 1916 г. , отчасти под предлогом того, что ис</w:t>
      </w:r>
      <w:r w:rsidRPr="00405303">
        <w:rPr>
          <w:bCs/>
          <w:color w:val="002060"/>
          <w:sz w:val="16"/>
          <w:szCs w:val="16"/>
        </w:rPr>
        <w:softHyphen/>
        <w:t>пытания ВМ-1 должна были якобы возобновиться весной. На деле после декабрьской сдачи это была не более, чем одна из бюрократических проволочек (2843).</w:t>
      </w:r>
    </w:p>
    <w:p w14:paraId="5F351C00" w14:textId="77777777" w:rsidR="004B4E35" w:rsidRPr="00405303" w:rsidRDefault="004B4E35" w:rsidP="00C15251">
      <w:pPr>
        <w:shd w:val="clear" w:color="auto" w:fill="FFFFFF"/>
        <w:jc w:val="both"/>
        <w:rPr>
          <w:bCs/>
          <w:color w:val="002060"/>
          <w:sz w:val="16"/>
          <w:szCs w:val="16"/>
        </w:rPr>
      </w:pPr>
    </w:p>
    <w:p w14:paraId="3A0C5D72" w14:textId="794D4CE0" w:rsidR="003526F9" w:rsidRPr="00405303" w:rsidRDefault="003526F9" w:rsidP="00C15251">
      <w:pPr>
        <w:jc w:val="both"/>
        <w:rPr>
          <w:bCs/>
          <w:color w:val="002060"/>
          <w:sz w:val="16"/>
          <w:szCs w:val="16"/>
        </w:rPr>
      </w:pPr>
      <w:r w:rsidRPr="00405303">
        <w:rPr>
          <w:bCs/>
          <w:color w:val="002060"/>
          <w:sz w:val="16"/>
          <w:szCs w:val="16"/>
          <w:lang w:bidi="ru-RU"/>
        </w:rPr>
        <w:t>23-го ноября (6 декабря) 1915 на 3-й день испытаний, лодка ВМ-1 А.Ю. Виллиша столкнулась с льдиной и после полученных повреждений затону</w:t>
      </w:r>
      <w:r w:rsidRPr="00405303">
        <w:rPr>
          <w:bCs/>
          <w:color w:val="002060"/>
          <w:sz w:val="16"/>
          <w:szCs w:val="16"/>
          <w:lang w:bidi="ru-RU"/>
        </w:rPr>
        <w:softHyphen/>
        <w:t>ла. После извлечения ВМ-1 из воды корот</w:t>
      </w:r>
      <w:r w:rsidRPr="00405303">
        <w:rPr>
          <w:bCs/>
          <w:color w:val="002060"/>
          <w:sz w:val="16"/>
          <w:szCs w:val="16"/>
          <w:lang w:bidi="ru-RU"/>
        </w:rPr>
        <w:softHyphen/>
        <w:t>кое время судьба самолета оставалась не</w:t>
      </w:r>
      <w:r w:rsidRPr="00405303">
        <w:rPr>
          <w:bCs/>
          <w:color w:val="002060"/>
          <w:sz w:val="16"/>
          <w:szCs w:val="16"/>
          <w:lang w:bidi="ru-RU"/>
        </w:rPr>
        <w:softHyphen/>
        <w:t>ясной. Благодаря договоренности конст</w:t>
      </w:r>
      <w:r w:rsidRPr="00405303">
        <w:rPr>
          <w:bCs/>
          <w:color w:val="002060"/>
          <w:sz w:val="16"/>
          <w:szCs w:val="16"/>
          <w:lang w:bidi="ru-RU"/>
        </w:rPr>
        <w:softHyphen/>
        <w:t>руктора с В.А. Лебедевым в декабре 1915 г. аварийный образец доставили на Комен</w:t>
      </w:r>
      <w:r w:rsidRPr="00405303">
        <w:rPr>
          <w:bCs/>
          <w:color w:val="002060"/>
          <w:sz w:val="16"/>
          <w:szCs w:val="16"/>
          <w:lang w:bidi="ru-RU"/>
        </w:rPr>
        <w:softHyphen/>
        <w:t>дантский аэродром, где его история про</w:t>
      </w:r>
      <w:r w:rsidRPr="00405303">
        <w:rPr>
          <w:bCs/>
          <w:color w:val="002060"/>
          <w:sz w:val="16"/>
          <w:szCs w:val="16"/>
          <w:lang w:bidi="ru-RU"/>
        </w:rPr>
        <w:softHyphen/>
        <w:t>должилась (23374).</w:t>
      </w:r>
    </w:p>
    <w:p w14:paraId="0769C0A6" w14:textId="77777777" w:rsidR="003526F9" w:rsidRPr="00405303" w:rsidRDefault="003526F9" w:rsidP="00C15251">
      <w:pPr>
        <w:jc w:val="both"/>
        <w:rPr>
          <w:bCs/>
          <w:color w:val="002060"/>
          <w:sz w:val="16"/>
          <w:szCs w:val="16"/>
        </w:rPr>
      </w:pPr>
    </w:p>
    <w:p w14:paraId="13800C36" w14:textId="401EC016" w:rsidR="00993C18" w:rsidRPr="00405303" w:rsidRDefault="00993C18" w:rsidP="00C15251">
      <w:pPr>
        <w:pStyle w:val="22"/>
        <w:shd w:val="clear" w:color="auto" w:fill="auto"/>
        <w:spacing w:line="240" w:lineRule="auto"/>
        <w:ind w:firstLine="0"/>
        <w:jc w:val="both"/>
        <w:rPr>
          <w:bCs/>
          <w:color w:val="002060"/>
          <w:sz w:val="16"/>
          <w:szCs w:val="16"/>
        </w:rPr>
      </w:pPr>
      <w:r w:rsidRPr="00405303">
        <w:rPr>
          <w:bCs/>
          <w:color w:val="002060"/>
          <w:sz w:val="16"/>
          <w:szCs w:val="16"/>
        </w:rPr>
        <w:t xml:space="preserve">23 ноября </w:t>
      </w:r>
      <w:r w:rsidR="00B6540F" w:rsidRPr="00405303">
        <w:rPr>
          <w:bCs/>
          <w:color w:val="002060"/>
          <w:sz w:val="16"/>
          <w:szCs w:val="16"/>
        </w:rPr>
        <w:t xml:space="preserve">(6 декабря) </w:t>
      </w:r>
      <w:r w:rsidRPr="00405303">
        <w:rPr>
          <w:bCs/>
          <w:color w:val="002060"/>
          <w:sz w:val="16"/>
          <w:szCs w:val="16"/>
        </w:rPr>
        <w:t>1915 г., опираясь на успех, достигнутый как в разработке винтов, так и в построй</w:t>
      </w:r>
      <w:r w:rsidRPr="00405303">
        <w:rPr>
          <w:bCs/>
          <w:color w:val="002060"/>
          <w:sz w:val="16"/>
          <w:szCs w:val="16"/>
        </w:rPr>
        <w:softHyphen/>
        <w:t>ке опытной серийной партии, Григорашвили обратился в ГВТУ с предложением: «...имея в виду, что фабрикой Ф. Мельцер до сих пор изготовлялись почти исключительно винты моей системы и, наоборот, совер</w:t>
      </w:r>
      <w:r w:rsidRPr="00405303">
        <w:rPr>
          <w:bCs/>
          <w:color w:val="002060"/>
          <w:sz w:val="16"/>
          <w:szCs w:val="16"/>
        </w:rPr>
        <w:softHyphen/>
        <w:t>шенно не изготовлялись винты Шовьера, имею честь ходатайствовать о пре</w:t>
      </w:r>
      <w:r w:rsidRPr="00405303">
        <w:rPr>
          <w:bCs/>
          <w:color w:val="002060"/>
          <w:sz w:val="16"/>
          <w:szCs w:val="16"/>
        </w:rPr>
        <w:softHyphen/>
        <w:t>доставлении фабрике Мельцер большого заказа на винты исключительно моей системы» (15740).</w:t>
      </w:r>
    </w:p>
    <w:p w14:paraId="32612FC9" w14:textId="77777777" w:rsidR="00993C18" w:rsidRPr="00405303" w:rsidRDefault="00993C18" w:rsidP="00C15251">
      <w:pPr>
        <w:pStyle w:val="22"/>
        <w:shd w:val="clear" w:color="auto" w:fill="auto"/>
        <w:spacing w:line="240" w:lineRule="auto"/>
        <w:ind w:firstLine="0"/>
        <w:jc w:val="both"/>
        <w:rPr>
          <w:bCs/>
          <w:color w:val="002060"/>
          <w:sz w:val="16"/>
          <w:szCs w:val="16"/>
        </w:rPr>
      </w:pPr>
    </w:p>
    <w:p w14:paraId="46207989" w14:textId="77777777" w:rsidR="00B6540F" w:rsidRPr="00405303" w:rsidRDefault="00B6540F" w:rsidP="00C15251">
      <w:pPr>
        <w:shd w:val="clear" w:color="auto" w:fill="FFFFFF"/>
        <w:jc w:val="both"/>
        <w:rPr>
          <w:bCs/>
          <w:i/>
          <w:color w:val="002060"/>
          <w:sz w:val="16"/>
          <w:szCs w:val="16"/>
        </w:rPr>
      </w:pPr>
      <w:r w:rsidRPr="00405303">
        <w:rPr>
          <w:bCs/>
          <w:i/>
          <w:color w:val="002060"/>
          <w:sz w:val="16"/>
          <w:szCs w:val="16"/>
        </w:rPr>
        <w:t>Внешняя политика:</w:t>
      </w:r>
    </w:p>
    <w:p w14:paraId="66E35914" w14:textId="77777777" w:rsidR="00B6540F" w:rsidRPr="00405303" w:rsidRDefault="00B6540F" w:rsidP="00C15251">
      <w:pPr>
        <w:shd w:val="clear" w:color="auto" w:fill="FFFFFF"/>
        <w:jc w:val="both"/>
        <w:rPr>
          <w:bCs/>
          <w:i/>
          <w:color w:val="002060"/>
          <w:sz w:val="16"/>
          <w:szCs w:val="16"/>
        </w:rPr>
      </w:pPr>
    </w:p>
    <w:p w14:paraId="3ADD4C14" w14:textId="77777777" w:rsidR="00B6540F" w:rsidRPr="00405303" w:rsidRDefault="00B6540F"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23-26 ноября (6—9 декабря) 1915 г. и 1 (14) февраля 1916 г. на конференциях в Шантильи и были уточнены сроки наступательных операций: на Восточноевропейском театре — 15 июня, на Западноевропейском — 1 июля. Антанта вступила в кампанию 1916 г. стратегически более организованно. Решающим фактором этого периода становится попытка восстановить утраченные позиции Антанты на Западном фронте, ознаменовавшаяся двумя кровопролитными операциями: у Вердена (февраль 1916 г.; она стоила французам 350 тыс. человек, немцам — 600 тысяч) и на Сомме (лето 1916 г.; обе стороны потеряли свыше 1300 тыс. человек). Германский натиск у Вердена, поставив французское командование в затруднительное положение, заставил западных союзников просить содействия русских войск. С этой целью в марте русским командованием предпринимается ряд операций, а 4 июня — Брусиловский прорыв. В результате операции значительная часть австро-венгерских армий была разгромлена. Русские войска продвинулись в глубь Буковины и Восточной Галиции, заняв около 25 тыс. квадратных километров. Было взято в плен 8924 офицера и свыше 400 тыс. солдат, захвачено 581 орудие, 1795 пулеметов и большое количество другого военного имущества. Значение этой операции в том, что в самый ответственный момент для французов под Верденом немцы вынуждены были снять с западноевропейского театра 11 дивизий и бросить их на восток; австрийцы перевели с итальянского фронта 6 дивизий (11270).</w:t>
      </w:r>
    </w:p>
    <w:p w14:paraId="56BC5FC0" w14:textId="05F80206" w:rsidR="00B6540F" w:rsidRPr="00405303" w:rsidRDefault="00B6540F" w:rsidP="00C15251">
      <w:pPr>
        <w:pStyle w:val="a3"/>
        <w:jc w:val="both"/>
        <w:rPr>
          <w:bCs/>
          <w:i w:val="0"/>
          <w:color w:val="002060"/>
          <w:spacing w:val="0"/>
          <w:kern w:val="0"/>
          <w:position w:val="0"/>
          <w:sz w:val="16"/>
          <w:szCs w:val="16"/>
        </w:rPr>
      </w:pPr>
    </w:p>
    <w:p w14:paraId="1672565B" w14:textId="36AE52BD" w:rsidR="009337F1" w:rsidRPr="00405303" w:rsidRDefault="009337F1" w:rsidP="00C15251">
      <w:pPr>
        <w:pStyle w:val="a3"/>
        <w:jc w:val="both"/>
        <w:rPr>
          <w:bCs/>
          <w:iCs/>
          <w:color w:val="002060"/>
          <w:spacing w:val="0"/>
          <w:kern w:val="0"/>
          <w:position w:val="0"/>
          <w:sz w:val="16"/>
          <w:szCs w:val="16"/>
        </w:rPr>
      </w:pPr>
      <w:r w:rsidRPr="00405303">
        <w:rPr>
          <w:bCs/>
          <w:iCs/>
          <w:color w:val="002060"/>
          <w:spacing w:val="0"/>
          <w:kern w:val="0"/>
          <w:position w:val="0"/>
          <w:sz w:val="16"/>
          <w:szCs w:val="16"/>
        </w:rPr>
        <w:t>Самолетостроение:</w:t>
      </w:r>
    </w:p>
    <w:p w14:paraId="119A27D9" w14:textId="77777777" w:rsidR="009337F1" w:rsidRPr="00405303" w:rsidRDefault="009337F1" w:rsidP="00C15251">
      <w:pPr>
        <w:pStyle w:val="a3"/>
        <w:jc w:val="both"/>
        <w:rPr>
          <w:bCs/>
          <w:iCs/>
          <w:color w:val="002060"/>
          <w:spacing w:val="0"/>
          <w:kern w:val="0"/>
          <w:position w:val="0"/>
          <w:sz w:val="16"/>
          <w:szCs w:val="16"/>
        </w:rPr>
      </w:pPr>
    </w:p>
    <w:p w14:paraId="0AD295C9" w14:textId="77777777" w:rsidR="009337F1" w:rsidRPr="00405303" w:rsidRDefault="009337F1" w:rsidP="00C15251">
      <w:pPr>
        <w:jc w:val="both"/>
        <w:rPr>
          <w:bCs/>
          <w:color w:val="002060"/>
          <w:sz w:val="16"/>
          <w:szCs w:val="16"/>
        </w:rPr>
      </w:pPr>
      <w:r w:rsidRPr="00405303">
        <w:rPr>
          <w:bCs/>
          <w:color w:val="002060"/>
          <w:sz w:val="16"/>
          <w:szCs w:val="16"/>
        </w:rPr>
        <w:t>24 ноября (7 декабря) 1815 г. в Ревеле состоялось испытание гвдросамолета ВМ-1 конструкции Александра Юстусавича Виллиша. Само лет ВМ-1 /виллиш, морской/ - летающая лодка с рядом оригинальных особенностей: пятиреданным корпусом, поворачивающейся бипланной коробкой крыльев для изменения установочного угла в полете и др. Испытание проводил морской летчик Г.А.Фриде. При втором полете гидросамолет при случайных обстоятель</w:t>
      </w:r>
      <w:r w:rsidRPr="00405303">
        <w:rPr>
          <w:bCs/>
          <w:color w:val="002060"/>
          <w:sz w:val="16"/>
          <w:szCs w:val="16"/>
        </w:rPr>
        <w:softHyphen/>
        <w:t>ствах был разбит, не успев показать свои летные качества.</w:t>
      </w:r>
    </w:p>
    <w:p w14:paraId="4BC905B4" w14:textId="77777777" w:rsidR="009337F1" w:rsidRPr="00405303" w:rsidRDefault="009337F1" w:rsidP="00C15251">
      <w:pPr>
        <w:jc w:val="both"/>
        <w:rPr>
          <w:bCs/>
          <w:color w:val="002060"/>
          <w:sz w:val="16"/>
          <w:szCs w:val="16"/>
        </w:rPr>
      </w:pPr>
      <w:r w:rsidRPr="00405303">
        <w:rPr>
          <w:bCs/>
          <w:color w:val="002060"/>
          <w:sz w:val="16"/>
          <w:szCs w:val="16"/>
        </w:rPr>
        <w:t>/По материалам В.Б.Шаврова/ (23320).</w:t>
      </w:r>
    </w:p>
    <w:p w14:paraId="79ECA161" w14:textId="77777777" w:rsidR="009337F1" w:rsidRPr="00405303" w:rsidRDefault="009337F1" w:rsidP="00C15251">
      <w:pPr>
        <w:jc w:val="both"/>
        <w:rPr>
          <w:bCs/>
          <w:color w:val="002060"/>
          <w:sz w:val="16"/>
          <w:szCs w:val="16"/>
        </w:rPr>
      </w:pPr>
    </w:p>
    <w:p w14:paraId="15E43676" w14:textId="7E167729" w:rsidR="0025736F" w:rsidRPr="00405303" w:rsidRDefault="0025736F" w:rsidP="0025736F">
      <w:pPr>
        <w:shd w:val="clear" w:color="auto" w:fill="FFFFFF"/>
        <w:jc w:val="both"/>
        <w:rPr>
          <w:bCs/>
          <w:i/>
          <w:color w:val="002060"/>
          <w:sz w:val="16"/>
          <w:szCs w:val="16"/>
        </w:rPr>
      </w:pPr>
      <w:r>
        <w:rPr>
          <w:bCs/>
          <w:i/>
          <w:color w:val="002060"/>
          <w:sz w:val="16"/>
          <w:szCs w:val="16"/>
        </w:rPr>
        <w:t>Другие оборонные отрасли</w:t>
      </w:r>
      <w:r w:rsidRPr="00405303">
        <w:rPr>
          <w:bCs/>
          <w:i/>
          <w:color w:val="002060"/>
          <w:sz w:val="16"/>
          <w:szCs w:val="16"/>
        </w:rPr>
        <w:t>:</w:t>
      </w:r>
    </w:p>
    <w:p w14:paraId="6F0A1552" w14:textId="77777777" w:rsidR="0025736F" w:rsidRPr="00405303" w:rsidRDefault="0025736F" w:rsidP="0025736F">
      <w:pPr>
        <w:shd w:val="clear" w:color="auto" w:fill="FFFFFF"/>
        <w:jc w:val="both"/>
        <w:rPr>
          <w:bCs/>
          <w:i/>
          <w:color w:val="002060"/>
          <w:sz w:val="16"/>
          <w:szCs w:val="16"/>
        </w:rPr>
      </w:pPr>
    </w:p>
    <w:p w14:paraId="57D4D7EA" w14:textId="77777777" w:rsidR="0025736F" w:rsidRPr="00405303" w:rsidRDefault="0025736F" w:rsidP="0025736F">
      <w:pPr>
        <w:jc w:val="both"/>
        <w:rPr>
          <w:bCs/>
          <w:color w:val="002060"/>
          <w:sz w:val="16"/>
          <w:szCs w:val="16"/>
        </w:rPr>
      </w:pPr>
      <w:r w:rsidRPr="00405303">
        <w:rPr>
          <w:bCs/>
          <w:color w:val="002060"/>
          <w:sz w:val="16"/>
          <w:szCs w:val="16"/>
        </w:rPr>
        <w:t>К 24 ноября (7 декабря) 1915 г. по телеграмме Ставки ВГК для авиарот было подготовлено 10 передающих и 20 приемных радиостанций, до 10 января 1917 г. ожидалось еще 140 передающих и 17 приемных станций, 50 зарядных агрегатов. Кроме того, генералом Каульбарсом были куплены во Франции 50 передающих и 25 приемных радиостанций, около половины из которых уже были разосланы в авиачасти (19951).</w:t>
      </w:r>
    </w:p>
    <w:p w14:paraId="1B6C16C8" w14:textId="77777777" w:rsidR="0025736F" w:rsidRPr="00405303" w:rsidRDefault="0025736F" w:rsidP="0025736F">
      <w:pPr>
        <w:jc w:val="both"/>
        <w:rPr>
          <w:bCs/>
          <w:color w:val="002060"/>
          <w:sz w:val="16"/>
          <w:szCs w:val="16"/>
        </w:rPr>
      </w:pPr>
    </w:p>
    <w:p w14:paraId="7C39E1B6" w14:textId="376D0D83" w:rsidR="00691E66" w:rsidRPr="00405303" w:rsidRDefault="00691E66" w:rsidP="00C15251">
      <w:pPr>
        <w:shd w:val="clear" w:color="auto" w:fill="FFFFFF"/>
        <w:jc w:val="both"/>
        <w:rPr>
          <w:bCs/>
          <w:i/>
          <w:color w:val="002060"/>
          <w:sz w:val="16"/>
          <w:szCs w:val="16"/>
        </w:rPr>
      </w:pPr>
      <w:r w:rsidRPr="00405303">
        <w:rPr>
          <w:bCs/>
          <w:i/>
          <w:color w:val="002060"/>
          <w:sz w:val="16"/>
          <w:szCs w:val="16"/>
        </w:rPr>
        <w:t>Авиация:</w:t>
      </w:r>
    </w:p>
    <w:p w14:paraId="5394EB91" w14:textId="77777777" w:rsidR="00691E66" w:rsidRPr="00405303" w:rsidRDefault="00691E66" w:rsidP="00C15251">
      <w:pPr>
        <w:shd w:val="clear" w:color="auto" w:fill="FFFFFF"/>
        <w:jc w:val="both"/>
        <w:rPr>
          <w:bCs/>
          <w:i/>
          <w:color w:val="002060"/>
          <w:sz w:val="16"/>
          <w:szCs w:val="16"/>
        </w:rPr>
      </w:pPr>
    </w:p>
    <w:p w14:paraId="120815EA" w14:textId="348AFF4D" w:rsidR="003526F9" w:rsidRPr="00405303" w:rsidRDefault="003526F9" w:rsidP="00C15251">
      <w:pPr>
        <w:jc w:val="both"/>
        <w:rPr>
          <w:bCs/>
          <w:color w:val="002060"/>
          <w:sz w:val="16"/>
          <w:szCs w:val="16"/>
        </w:rPr>
      </w:pPr>
      <w:r w:rsidRPr="00405303">
        <w:rPr>
          <w:bCs/>
          <w:color w:val="002060"/>
          <w:sz w:val="16"/>
          <w:szCs w:val="16"/>
        </w:rPr>
        <w:t>24 ноября (7 декабря) 1915 г. германский «Альбатрос», атакованный нашими аэропланами, был вынужден «после долгих стараний пробиться и опуститься на озеро. Подоспевшие через час казаки нашли обоих летчиков замерзшими» (23405).</w:t>
      </w:r>
    </w:p>
    <w:p w14:paraId="5B3D6BC7" w14:textId="77777777" w:rsidR="003526F9" w:rsidRPr="00405303" w:rsidRDefault="003526F9" w:rsidP="00C15251">
      <w:pPr>
        <w:jc w:val="both"/>
        <w:rPr>
          <w:bCs/>
          <w:color w:val="002060"/>
          <w:sz w:val="16"/>
          <w:szCs w:val="16"/>
        </w:rPr>
      </w:pPr>
    </w:p>
    <w:p w14:paraId="57153616" w14:textId="77777777" w:rsidR="00485DB2" w:rsidRPr="00B52707" w:rsidRDefault="00485DB2" w:rsidP="00485DB2">
      <w:pPr>
        <w:jc w:val="both"/>
        <w:rPr>
          <w:color w:val="0070C0"/>
          <w:sz w:val="16"/>
          <w:szCs w:val="16"/>
        </w:rPr>
      </w:pPr>
      <w:r w:rsidRPr="00B52707">
        <w:rPr>
          <w:rStyle w:val="aa"/>
          <w:rFonts w:ascii="Times New Roman" w:hAnsi="Times New Roman"/>
          <w:color w:val="0070C0"/>
          <w:spacing w:val="0"/>
          <w:sz w:val="16"/>
          <w:szCs w:val="16"/>
        </w:rPr>
        <w:t>24 ноября (7 декабря) 1915 г. в районе местечка Крево (южнее р. Вилия) ружейным огнем был сбит германский летательный аппарат, а его экипаж пленен. В то же время артиллерийским огнем с наших морских судов был поврежден немецкий гидроаэроплан. Позднее его вместе с экипажем подобрал один из немецких кораблей. Через день в результате стрельбы нашей тяжелой артиллерии оказался подбитым германский змейковый аэростат, проводивший воздушную разведку в районе г. Мерцендорф. Воздушный шар загорелся в воздухе, упал и взорвался (25135).</w:t>
      </w:r>
    </w:p>
    <w:p w14:paraId="63C8D8A9" w14:textId="77777777" w:rsidR="00485DB2" w:rsidRPr="00B52707" w:rsidRDefault="00485DB2" w:rsidP="00485DB2">
      <w:pPr>
        <w:jc w:val="both"/>
        <w:rPr>
          <w:color w:val="0070C0"/>
          <w:sz w:val="16"/>
          <w:szCs w:val="16"/>
        </w:rPr>
      </w:pPr>
    </w:p>
    <w:p w14:paraId="55730663"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Армия:</w:t>
      </w:r>
    </w:p>
    <w:p w14:paraId="38C8F209" w14:textId="77777777" w:rsidR="004B4E35" w:rsidRPr="00405303" w:rsidRDefault="004B4E35" w:rsidP="00C15251">
      <w:pPr>
        <w:shd w:val="clear" w:color="auto" w:fill="FFFFFF"/>
        <w:jc w:val="both"/>
        <w:rPr>
          <w:bCs/>
          <w:i/>
          <w:color w:val="002060"/>
          <w:sz w:val="16"/>
          <w:szCs w:val="16"/>
        </w:rPr>
      </w:pPr>
    </w:p>
    <w:p w14:paraId="0FFA1698" w14:textId="1A2DDEF7" w:rsidR="004B4E35" w:rsidRPr="00405303" w:rsidRDefault="009E6F82" w:rsidP="00C15251">
      <w:pPr>
        <w:jc w:val="both"/>
        <w:rPr>
          <w:bCs/>
          <w:color w:val="002060"/>
          <w:sz w:val="16"/>
          <w:szCs w:val="16"/>
        </w:rPr>
      </w:pPr>
      <w:r w:rsidRPr="00405303">
        <w:rPr>
          <w:bCs/>
          <w:color w:val="002060"/>
          <w:sz w:val="16"/>
          <w:szCs w:val="16"/>
        </w:rPr>
        <w:t xml:space="preserve">24 ноября (7 декабря) 1915 </w:t>
      </w:r>
      <w:r w:rsidR="00B6540F" w:rsidRPr="00405303">
        <w:rPr>
          <w:bCs/>
          <w:color w:val="002060"/>
          <w:sz w:val="16"/>
          <w:szCs w:val="16"/>
        </w:rPr>
        <w:t xml:space="preserve">г. </w:t>
      </w:r>
      <w:r w:rsidRPr="00405303">
        <w:rPr>
          <w:bCs/>
          <w:color w:val="002060"/>
          <w:sz w:val="16"/>
          <w:szCs w:val="16"/>
        </w:rPr>
        <w:t>дирижабль</w:t>
      </w:r>
      <w:r w:rsidR="00B6540F" w:rsidRPr="00405303">
        <w:rPr>
          <w:bCs/>
          <w:color w:val="002060"/>
          <w:sz w:val="16"/>
          <w:szCs w:val="16"/>
        </w:rPr>
        <w:t xml:space="preserve"> LZ-90. (Фактически его заводской номер был 60, но уже начиная с LZ-42 армия начала добавлять число «30» к заводскому номеру дирижаблей. Идея состояла в том, чтобы ввести в заблуждение британцев относительно действительного количества воздушных кораблей.)</w:t>
      </w:r>
      <w:r w:rsidR="000F5756">
        <w:rPr>
          <w:bCs/>
          <w:color w:val="002060"/>
          <w:sz w:val="16"/>
          <w:szCs w:val="16"/>
        </w:rPr>
        <w:t xml:space="preserve"> </w:t>
      </w:r>
      <w:r w:rsidRPr="00405303">
        <w:rPr>
          <w:bCs/>
          <w:color w:val="002060"/>
          <w:sz w:val="16"/>
          <w:szCs w:val="16"/>
        </w:rPr>
        <w:t xml:space="preserve">попал под сильный шрапнельный огонь под Ковно, в результате чего был разбит один из двигателей. Пришлось совершать в районе Лыка вынужденную посадку (11324). </w:t>
      </w:r>
    </w:p>
    <w:p w14:paraId="08417819" w14:textId="77777777" w:rsidR="004B4E35" w:rsidRPr="00405303" w:rsidRDefault="004B4E35" w:rsidP="00C15251">
      <w:pPr>
        <w:shd w:val="clear" w:color="auto" w:fill="FFFFFF"/>
        <w:jc w:val="both"/>
        <w:rPr>
          <w:bCs/>
          <w:color w:val="002060"/>
          <w:sz w:val="16"/>
          <w:szCs w:val="16"/>
        </w:rPr>
      </w:pPr>
    </w:p>
    <w:p w14:paraId="2520F915" w14:textId="31F97926" w:rsidR="00B36F73" w:rsidRPr="00405303" w:rsidRDefault="00B36F73" w:rsidP="00C15251">
      <w:pPr>
        <w:jc w:val="both"/>
        <w:rPr>
          <w:bCs/>
          <w:i/>
          <w:color w:val="002060"/>
          <w:sz w:val="16"/>
          <w:szCs w:val="16"/>
        </w:rPr>
      </w:pPr>
      <w:r w:rsidRPr="00405303">
        <w:rPr>
          <w:bCs/>
          <w:i/>
          <w:color w:val="002060"/>
          <w:sz w:val="16"/>
          <w:szCs w:val="16"/>
        </w:rPr>
        <w:t>Внешняя политика:</w:t>
      </w:r>
    </w:p>
    <w:p w14:paraId="133C4B64" w14:textId="77777777" w:rsidR="00B36F73" w:rsidRPr="00405303" w:rsidRDefault="00B36F73" w:rsidP="00C15251">
      <w:pPr>
        <w:jc w:val="both"/>
        <w:rPr>
          <w:bCs/>
          <w:i/>
          <w:color w:val="002060"/>
          <w:sz w:val="16"/>
          <w:szCs w:val="16"/>
        </w:rPr>
      </w:pPr>
    </w:p>
    <w:p w14:paraId="0B25092F" w14:textId="1E9A8C00" w:rsidR="00B36F73" w:rsidRPr="00405303" w:rsidRDefault="00B36F73" w:rsidP="00C15251">
      <w:pPr>
        <w:jc w:val="both"/>
        <w:rPr>
          <w:bCs/>
          <w:color w:val="002060"/>
          <w:sz w:val="16"/>
          <w:szCs w:val="16"/>
        </w:rPr>
      </w:pPr>
      <w:r w:rsidRPr="00405303">
        <w:rPr>
          <w:bCs/>
          <w:color w:val="002060"/>
          <w:sz w:val="16"/>
          <w:szCs w:val="16"/>
        </w:rPr>
        <w:t>24 ноября (7 декабря) 1915 г. на союзнической конференции в Шантильи потребность русской армии в заграничном снабжении вин</w:t>
      </w:r>
      <w:r w:rsidRPr="00405303">
        <w:rPr>
          <w:bCs/>
          <w:color w:val="002060"/>
          <w:sz w:val="16"/>
          <w:szCs w:val="16"/>
        </w:rPr>
        <w:softHyphen/>
        <w:t>товками была заявлена Ставкой, по существу, в прежнем размере: 1,2 млн единовременно и затем по 200 тысяч еже</w:t>
      </w:r>
      <w:r w:rsidRPr="00405303">
        <w:rPr>
          <w:bCs/>
          <w:color w:val="002060"/>
          <w:sz w:val="16"/>
          <w:szCs w:val="16"/>
        </w:rPr>
        <w:softHyphen/>
        <w:t>месячно (23452).</w:t>
      </w:r>
    </w:p>
    <w:p w14:paraId="26DDF8FD" w14:textId="77777777" w:rsidR="00B36F73" w:rsidRPr="00405303" w:rsidRDefault="00B36F73" w:rsidP="00C15251">
      <w:pPr>
        <w:jc w:val="both"/>
        <w:rPr>
          <w:bCs/>
          <w:color w:val="002060"/>
          <w:sz w:val="16"/>
          <w:szCs w:val="16"/>
        </w:rPr>
      </w:pPr>
    </w:p>
    <w:p w14:paraId="0E65528C" w14:textId="7D006554"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601C7064" w14:textId="77777777" w:rsidR="004B4E35" w:rsidRPr="00405303" w:rsidRDefault="004B4E35" w:rsidP="00C15251">
      <w:pPr>
        <w:jc w:val="both"/>
        <w:rPr>
          <w:bCs/>
          <w:i/>
          <w:color w:val="002060"/>
          <w:sz w:val="16"/>
          <w:szCs w:val="16"/>
        </w:rPr>
      </w:pPr>
    </w:p>
    <w:p w14:paraId="778116AD" w14:textId="77777777" w:rsidR="00691E66" w:rsidRPr="00405303" w:rsidRDefault="00691E66" w:rsidP="00C15251">
      <w:pPr>
        <w:jc w:val="both"/>
        <w:rPr>
          <w:bCs/>
          <w:color w:val="002060"/>
          <w:sz w:val="16"/>
          <w:szCs w:val="16"/>
        </w:rPr>
      </w:pPr>
      <w:r w:rsidRPr="00405303">
        <w:rPr>
          <w:bCs/>
          <w:color w:val="002060"/>
          <w:sz w:val="16"/>
          <w:szCs w:val="16"/>
        </w:rPr>
        <w:t>25 ноября (8 декабря) 1915 года.</w:t>
      </w:r>
    </w:p>
    <w:p w14:paraId="2E4FE309" w14:textId="77777777" w:rsidR="00691E66" w:rsidRPr="00405303" w:rsidRDefault="00691E66" w:rsidP="00C15251">
      <w:pPr>
        <w:jc w:val="both"/>
        <w:rPr>
          <w:bCs/>
          <w:color w:val="002060"/>
          <w:sz w:val="16"/>
          <w:szCs w:val="16"/>
        </w:rPr>
      </w:pPr>
      <w:r w:rsidRPr="00405303">
        <w:rPr>
          <w:bCs/>
          <w:color w:val="002060"/>
          <w:sz w:val="16"/>
          <w:szCs w:val="16"/>
        </w:rPr>
        <w:t>Копия.</w:t>
      </w:r>
    </w:p>
    <w:p w14:paraId="49C5913B" w14:textId="77777777" w:rsidR="00691E66" w:rsidRPr="00405303" w:rsidRDefault="00691E66" w:rsidP="00C15251">
      <w:pPr>
        <w:jc w:val="both"/>
        <w:rPr>
          <w:bCs/>
          <w:color w:val="002060"/>
          <w:sz w:val="16"/>
          <w:szCs w:val="16"/>
        </w:rPr>
      </w:pPr>
      <w:r w:rsidRPr="00405303">
        <w:rPr>
          <w:bCs/>
          <w:color w:val="002060"/>
          <w:sz w:val="16"/>
          <w:szCs w:val="16"/>
        </w:rPr>
        <w:t>Совершенно секретно.</w:t>
      </w:r>
    </w:p>
    <w:p w14:paraId="3B6170C8" w14:textId="77777777" w:rsidR="00691E66" w:rsidRPr="00405303" w:rsidRDefault="00691E66" w:rsidP="00C15251">
      <w:pPr>
        <w:jc w:val="both"/>
        <w:rPr>
          <w:bCs/>
          <w:color w:val="002060"/>
          <w:sz w:val="16"/>
          <w:szCs w:val="16"/>
        </w:rPr>
      </w:pPr>
      <w:r w:rsidRPr="00405303">
        <w:rPr>
          <w:bCs/>
          <w:color w:val="002060"/>
          <w:sz w:val="16"/>
          <w:szCs w:val="16"/>
        </w:rPr>
        <w:t>Журнал № 27</w:t>
      </w:r>
    </w:p>
    <w:p w14:paraId="24307529" w14:textId="77777777" w:rsidR="00691E66" w:rsidRPr="00405303" w:rsidRDefault="00691E66" w:rsidP="00C15251">
      <w:pPr>
        <w:jc w:val="both"/>
        <w:rPr>
          <w:bCs/>
          <w:color w:val="002060"/>
          <w:sz w:val="16"/>
          <w:szCs w:val="16"/>
        </w:rPr>
      </w:pPr>
      <w:r w:rsidRPr="00405303">
        <w:rPr>
          <w:bCs/>
          <w:color w:val="002060"/>
          <w:sz w:val="16"/>
          <w:szCs w:val="16"/>
        </w:rPr>
        <w:t>Особого Совещания для обсуждения и объединения мероприятий по обороне государства.</w:t>
      </w:r>
    </w:p>
    <w:p w14:paraId="720B6AD3" w14:textId="77777777" w:rsidR="00691E66" w:rsidRPr="00405303" w:rsidRDefault="00691E66" w:rsidP="00C15251">
      <w:pPr>
        <w:jc w:val="both"/>
        <w:rPr>
          <w:bCs/>
          <w:color w:val="002060"/>
          <w:sz w:val="16"/>
          <w:szCs w:val="16"/>
        </w:rPr>
      </w:pPr>
      <w:r w:rsidRPr="00405303">
        <w:rPr>
          <w:bCs/>
          <w:color w:val="002060"/>
          <w:sz w:val="16"/>
          <w:szCs w:val="16"/>
        </w:rPr>
        <w:t>Заседание 25 ноября 1915 года.</w:t>
      </w:r>
    </w:p>
    <w:p w14:paraId="3B0E250D" w14:textId="6A7C88D2"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Председательствовал генерал от </w:t>
      </w:r>
      <w:proofErr w:type="gramStart"/>
      <w:r w:rsidR="00691E66" w:rsidRPr="00405303">
        <w:rPr>
          <w:bCs/>
          <w:color w:val="002060"/>
          <w:sz w:val="16"/>
          <w:szCs w:val="16"/>
        </w:rPr>
        <w:t>инфантерии....</w:t>
      </w:r>
      <w:proofErr w:type="gramEnd"/>
      <w:r w:rsidR="00691E66" w:rsidRPr="00405303">
        <w:rPr>
          <w:bCs/>
          <w:color w:val="002060"/>
          <w:sz w:val="16"/>
          <w:szCs w:val="16"/>
        </w:rPr>
        <w:t>А. А. Поливанов.</w:t>
      </w:r>
    </w:p>
    <w:p w14:paraId="28B03C11" w14:textId="77777777" w:rsidR="00691E66" w:rsidRPr="00405303" w:rsidRDefault="00691E66" w:rsidP="00C15251">
      <w:pPr>
        <w:jc w:val="both"/>
        <w:rPr>
          <w:bCs/>
          <w:color w:val="002060"/>
          <w:sz w:val="16"/>
          <w:szCs w:val="16"/>
        </w:rPr>
      </w:pPr>
      <w:r w:rsidRPr="00405303">
        <w:rPr>
          <w:bCs/>
          <w:color w:val="002060"/>
          <w:sz w:val="16"/>
          <w:szCs w:val="16"/>
        </w:rPr>
        <w:t>Присутствовали:</w:t>
      </w:r>
    </w:p>
    <w:p w14:paraId="0BFD1193" w14:textId="77777777" w:rsidR="00691E66" w:rsidRPr="00405303" w:rsidRDefault="00691E66" w:rsidP="00C15251">
      <w:pPr>
        <w:jc w:val="both"/>
        <w:rPr>
          <w:bCs/>
          <w:color w:val="002060"/>
          <w:sz w:val="16"/>
          <w:szCs w:val="16"/>
        </w:rPr>
      </w:pPr>
      <w:r w:rsidRPr="00405303">
        <w:rPr>
          <w:bCs/>
          <w:color w:val="002060"/>
          <w:sz w:val="16"/>
          <w:szCs w:val="16"/>
        </w:rPr>
        <w:t>Член Государственного Совета</w:t>
      </w:r>
    </w:p>
    <w:p w14:paraId="0697ED20" w14:textId="77777777" w:rsidR="00691E66" w:rsidRPr="00405303" w:rsidRDefault="00691E66" w:rsidP="00C15251">
      <w:pPr>
        <w:jc w:val="both"/>
        <w:rPr>
          <w:bCs/>
          <w:color w:val="002060"/>
          <w:sz w:val="16"/>
          <w:szCs w:val="16"/>
        </w:rPr>
      </w:pPr>
      <w:r w:rsidRPr="00405303">
        <w:rPr>
          <w:bCs/>
          <w:color w:val="002060"/>
          <w:sz w:val="16"/>
          <w:szCs w:val="16"/>
        </w:rPr>
        <w:t>Председатель Государственной Думы</w:t>
      </w:r>
    </w:p>
    <w:p w14:paraId="0D70AB5C" w14:textId="77777777" w:rsidR="00691E66" w:rsidRPr="00405303" w:rsidRDefault="00691E66" w:rsidP="00C15251">
      <w:pPr>
        <w:jc w:val="both"/>
        <w:rPr>
          <w:bCs/>
          <w:color w:val="002060"/>
          <w:sz w:val="16"/>
          <w:szCs w:val="16"/>
        </w:rPr>
      </w:pPr>
      <w:r w:rsidRPr="00405303">
        <w:rPr>
          <w:bCs/>
          <w:color w:val="002060"/>
          <w:sz w:val="16"/>
          <w:szCs w:val="16"/>
        </w:rPr>
        <w:t>Член Государственной Думы ........</w:t>
      </w:r>
    </w:p>
    <w:p w14:paraId="366AADE2" w14:textId="77777777" w:rsidR="00691E66" w:rsidRPr="00405303" w:rsidRDefault="00691E66" w:rsidP="00C15251">
      <w:pPr>
        <w:jc w:val="both"/>
        <w:rPr>
          <w:bCs/>
          <w:color w:val="002060"/>
          <w:sz w:val="16"/>
          <w:szCs w:val="16"/>
        </w:rPr>
      </w:pPr>
      <w:r w:rsidRPr="00405303">
        <w:rPr>
          <w:bCs/>
          <w:color w:val="002060"/>
          <w:sz w:val="16"/>
          <w:szCs w:val="16"/>
        </w:rPr>
        <w:t>» » »</w:t>
      </w:r>
    </w:p>
    <w:p w14:paraId="359D7930" w14:textId="77777777" w:rsidR="00691E66" w:rsidRPr="00405303" w:rsidRDefault="00691E66" w:rsidP="00C15251">
      <w:pPr>
        <w:jc w:val="both"/>
        <w:rPr>
          <w:bCs/>
          <w:color w:val="002060"/>
          <w:sz w:val="16"/>
          <w:szCs w:val="16"/>
        </w:rPr>
      </w:pPr>
      <w:r w:rsidRPr="00405303">
        <w:rPr>
          <w:bCs/>
          <w:color w:val="002060"/>
          <w:sz w:val="16"/>
          <w:szCs w:val="16"/>
        </w:rPr>
        <w:t>» » »</w:t>
      </w:r>
    </w:p>
    <w:p w14:paraId="753F0837" w14:textId="77777777" w:rsidR="00691E66" w:rsidRPr="00405303" w:rsidRDefault="00691E66" w:rsidP="00C15251">
      <w:pPr>
        <w:jc w:val="both"/>
        <w:rPr>
          <w:bCs/>
          <w:color w:val="002060"/>
          <w:sz w:val="16"/>
          <w:szCs w:val="16"/>
        </w:rPr>
      </w:pPr>
      <w:r w:rsidRPr="00405303">
        <w:rPr>
          <w:bCs/>
          <w:color w:val="002060"/>
          <w:sz w:val="16"/>
          <w:szCs w:val="16"/>
        </w:rPr>
        <w:t>» » »</w:t>
      </w:r>
    </w:p>
    <w:p w14:paraId="0E2B27C2" w14:textId="77777777" w:rsidR="00691E66" w:rsidRPr="00405303" w:rsidRDefault="00691E66" w:rsidP="00C15251">
      <w:pPr>
        <w:jc w:val="both"/>
        <w:rPr>
          <w:bCs/>
          <w:color w:val="002060"/>
          <w:sz w:val="16"/>
          <w:szCs w:val="16"/>
        </w:rPr>
      </w:pPr>
      <w:r w:rsidRPr="00405303">
        <w:rPr>
          <w:bCs/>
          <w:color w:val="002060"/>
          <w:sz w:val="16"/>
          <w:szCs w:val="16"/>
        </w:rPr>
        <w:t>» » »</w:t>
      </w:r>
    </w:p>
    <w:p w14:paraId="28A10808" w14:textId="77777777" w:rsidR="00691E66" w:rsidRPr="00405303" w:rsidRDefault="00691E66"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С. И. Тимашев.</w:t>
      </w:r>
    </w:p>
    <w:p w14:paraId="44BDEA7B" w14:textId="77777777" w:rsidR="00691E66" w:rsidRPr="00405303" w:rsidRDefault="00691E66" w:rsidP="00C15251">
      <w:pPr>
        <w:jc w:val="both"/>
        <w:rPr>
          <w:bCs/>
          <w:color w:val="002060"/>
          <w:sz w:val="16"/>
          <w:szCs w:val="16"/>
        </w:rPr>
      </w:pPr>
      <w:r w:rsidRPr="00405303">
        <w:rPr>
          <w:bCs/>
          <w:color w:val="002060"/>
          <w:sz w:val="16"/>
          <w:szCs w:val="16"/>
        </w:rPr>
        <w:t>___В. И. Тимирязев.</w:t>
      </w:r>
    </w:p>
    <w:p w14:paraId="44D946C7" w14:textId="77777777" w:rsidR="00691E66" w:rsidRPr="00405303" w:rsidRDefault="00691E66" w:rsidP="00C15251">
      <w:pPr>
        <w:jc w:val="both"/>
        <w:rPr>
          <w:bCs/>
          <w:color w:val="002060"/>
          <w:sz w:val="16"/>
          <w:szCs w:val="16"/>
        </w:rPr>
      </w:pPr>
      <w:r w:rsidRPr="00405303">
        <w:rPr>
          <w:bCs/>
          <w:color w:val="002060"/>
          <w:sz w:val="16"/>
          <w:szCs w:val="16"/>
        </w:rPr>
        <w:t>.. А. С. Стишинский.</w:t>
      </w:r>
    </w:p>
    <w:p w14:paraId="5E7D0ED1" w14:textId="77777777" w:rsidR="00691E66" w:rsidRPr="00405303" w:rsidRDefault="00691E66" w:rsidP="00C15251">
      <w:pPr>
        <w:jc w:val="both"/>
        <w:rPr>
          <w:bCs/>
          <w:color w:val="002060"/>
          <w:sz w:val="16"/>
          <w:szCs w:val="16"/>
        </w:rPr>
      </w:pPr>
      <w:r w:rsidRPr="00405303">
        <w:rPr>
          <w:bCs/>
          <w:color w:val="002060"/>
          <w:sz w:val="16"/>
          <w:szCs w:val="16"/>
        </w:rPr>
        <w:t>___ М. А. Стахович.</w:t>
      </w:r>
    </w:p>
    <w:p w14:paraId="7EAE4F8C" w14:textId="77777777" w:rsidR="00691E66" w:rsidRPr="00405303" w:rsidRDefault="00691E66"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граф С. А. Толь.</w:t>
      </w:r>
    </w:p>
    <w:p w14:paraId="002EB615" w14:textId="77777777" w:rsidR="00691E66" w:rsidRPr="00405303" w:rsidRDefault="00691E66" w:rsidP="00C15251">
      <w:pPr>
        <w:jc w:val="both"/>
        <w:rPr>
          <w:bCs/>
          <w:color w:val="002060"/>
          <w:sz w:val="16"/>
          <w:szCs w:val="16"/>
        </w:rPr>
      </w:pPr>
      <w:r w:rsidRPr="00405303">
        <w:rPr>
          <w:bCs/>
          <w:color w:val="002060"/>
          <w:sz w:val="16"/>
          <w:szCs w:val="16"/>
        </w:rPr>
        <w:t>......И. А. Шебеко.</w:t>
      </w:r>
    </w:p>
    <w:p w14:paraId="1B0BFFCD" w14:textId="77777777" w:rsidR="00691E66" w:rsidRPr="00405303" w:rsidRDefault="00691E66"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М.В. Родзянко.</w:t>
      </w:r>
    </w:p>
    <w:p w14:paraId="3661097B" w14:textId="77777777" w:rsidR="00691E66" w:rsidRPr="00405303" w:rsidRDefault="00691E66" w:rsidP="00C15251">
      <w:pPr>
        <w:jc w:val="both"/>
        <w:rPr>
          <w:bCs/>
          <w:color w:val="002060"/>
          <w:sz w:val="16"/>
          <w:szCs w:val="16"/>
        </w:rPr>
      </w:pPr>
      <w:r w:rsidRPr="00405303">
        <w:rPr>
          <w:bCs/>
          <w:color w:val="002060"/>
          <w:sz w:val="16"/>
          <w:szCs w:val="16"/>
        </w:rPr>
        <w:t>А. А. Добровольский.</w:t>
      </w:r>
    </w:p>
    <w:p w14:paraId="43B589C7" w14:textId="77777777" w:rsidR="00691E66" w:rsidRPr="00405303" w:rsidRDefault="00691E66" w:rsidP="00C15251">
      <w:pPr>
        <w:jc w:val="both"/>
        <w:rPr>
          <w:bCs/>
          <w:color w:val="002060"/>
          <w:sz w:val="16"/>
          <w:szCs w:val="16"/>
        </w:rPr>
      </w:pPr>
      <w:r w:rsidRPr="00405303">
        <w:rPr>
          <w:bCs/>
          <w:color w:val="002060"/>
          <w:sz w:val="16"/>
          <w:szCs w:val="16"/>
        </w:rPr>
        <w:t>.... И.Н. Ефремов.</w:t>
      </w:r>
    </w:p>
    <w:p w14:paraId="267365D2" w14:textId="77777777" w:rsidR="00691E66" w:rsidRPr="00405303" w:rsidRDefault="00691E66" w:rsidP="00C15251">
      <w:pPr>
        <w:jc w:val="both"/>
        <w:rPr>
          <w:bCs/>
          <w:color w:val="002060"/>
          <w:sz w:val="16"/>
          <w:szCs w:val="16"/>
        </w:rPr>
      </w:pPr>
      <w:r w:rsidRPr="00405303">
        <w:rPr>
          <w:bCs/>
          <w:color w:val="002060"/>
          <w:sz w:val="16"/>
          <w:szCs w:val="16"/>
        </w:rPr>
        <w:t>....... Н.В. Савич.</w:t>
      </w:r>
    </w:p>
    <w:p w14:paraId="3415EA8D" w14:textId="77777777" w:rsidR="00691E66" w:rsidRPr="00405303" w:rsidRDefault="00691E66" w:rsidP="00C15251">
      <w:pPr>
        <w:jc w:val="both"/>
        <w:rPr>
          <w:bCs/>
          <w:color w:val="002060"/>
          <w:sz w:val="16"/>
          <w:szCs w:val="16"/>
        </w:rPr>
      </w:pPr>
      <w:r w:rsidRPr="00405303">
        <w:rPr>
          <w:bCs/>
          <w:color w:val="002060"/>
          <w:sz w:val="16"/>
          <w:szCs w:val="16"/>
        </w:rPr>
        <w:t>....Д.Н. Сверчков.</w:t>
      </w:r>
    </w:p>
    <w:p w14:paraId="47D40514" w14:textId="77777777" w:rsidR="00691E66" w:rsidRPr="00405303" w:rsidRDefault="00691E66"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Д.Н. Чихачев.</w:t>
      </w:r>
    </w:p>
    <w:p w14:paraId="2BD3B2A6" w14:textId="77777777" w:rsidR="00691E66" w:rsidRPr="00405303" w:rsidRDefault="00691E66" w:rsidP="00C15251">
      <w:pPr>
        <w:jc w:val="both"/>
        <w:rPr>
          <w:bCs/>
          <w:color w:val="002060"/>
          <w:sz w:val="16"/>
          <w:szCs w:val="16"/>
        </w:rPr>
      </w:pPr>
      <w:r w:rsidRPr="00405303">
        <w:rPr>
          <w:bCs/>
          <w:color w:val="002060"/>
          <w:sz w:val="16"/>
          <w:szCs w:val="16"/>
        </w:rPr>
        <w:t>___ А. И. Шингарев.</w:t>
      </w:r>
    </w:p>
    <w:p w14:paraId="737950BC" w14:textId="77777777" w:rsidR="00691E66" w:rsidRPr="00405303" w:rsidRDefault="00691E66"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В. В. Шульгин.</w:t>
      </w:r>
    </w:p>
    <w:p w14:paraId="101B329D" w14:textId="77777777" w:rsidR="00691E66" w:rsidRPr="00405303" w:rsidRDefault="00691E66" w:rsidP="00C15251">
      <w:pPr>
        <w:jc w:val="both"/>
        <w:rPr>
          <w:bCs/>
          <w:color w:val="002060"/>
          <w:sz w:val="16"/>
          <w:szCs w:val="16"/>
        </w:rPr>
      </w:pPr>
      <w:r w:rsidRPr="00405303">
        <w:rPr>
          <w:bCs/>
          <w:color w:val="002060"/>
          <w:sz w:val="16"/>
          <w:szCs w:val="16"/>
        </w:rPr>
        <w:t>... П.Н. Крупенский.</w:t>
      </w:r>
    </w:p>
    <w:p w14:paraId="7E715D50" w14:textId="77777777" w:rsidR="00691E66" w:rsidRPr="00405303" w:rsidRDefault="00691E66" w:rsidP="00C15251">
      <w:pPr>
        <w:jc w:val="both"/>
        <w:rPr>
          <w:bCs/>
          <w:color w:val="002060"/>
          <w:sz w:val="16"/>
          <w:szCs w:val="16"/>
        </w:rPr>
      </w:pPr>
      <w:r w:rsidRPr="00405303">
        <w:rPr>
          <w:bCs/>
          <w:color w:val="002060"/>
          <w:sz w:val="16"/>
          <w:szCs w:val="16"/>
        </w:rPr>
        <w:t>___ Н.Н. Опочинин.</w:t>
      </w:r>
    </w:p>
    <w:p w14:paraId="5E15D3AD" w14:textId="77777777" w:rsidR="00691E66" w:rsidRPr="00405303" w:rsidRDefault="00691E66" w:rsidP="00C15251">
      <w:pPr>
        <w:jc w:val="both"/>
        <w:rPr>
          <w:bCs/>
          <w:color w:val="002060"/>
          <w:sz w:val="16"/>
          <w:szCs w:val="16"/>
        </w:rPr>
      </w:pPr>
      <w:r w:rsidRPr="00405303">
        <w:rPr>
          <w:bCs/>
          <w:color w:val="002060"/>
          <w:sz w:val="16"/>
          <w:szCs w:val="16"/>
        </w:rPr>
        <w:t>....М.С. Аджемов.</w:t>
      </w:r>
    </w:p>
    <w:p w14:paraId="06667961" w14:textId="77777777" w:rsidR="00691E66" w:rsidRPr="00405303" w:rsidRDefault="00691E66" w:rsidP="00C15251">
      <w:pPr>
        <w:jc w:val="both"/>
        <w:rPr>
          <w:bCs/>
          <w:color w:val="002060"/>
          <w:sz w:val="16"/>
          <w:szCs w:val="16"/>
        </w:rPr>
      </w:pPr>
      <w:r w:rsidRPr="00405303">
        <w:rPr>
          <w:bCs/>
          <w:color w:val="002060"/>
          <w:sz w:val="16"/>
          <w:szCs w:val="16"/>
        </w:rPr>
        <w:t>От военного министерства:</w:t>
      </w:r>
    </w:p>
    <w:p w14:paraId="244B3670" w14:textId="00FD113C"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Генерал-лейтенант .............................А.</w:t>
      </w:r>
      <w:r>
        <w:rPr>
          <w:bCs/>
          <w:color w:val="002060"/>
          <w:sz w:val="16"/>
          <w:szCs w:val="16"/>
        </w:rPr>
        <w:t xml:space="preserve"> </w:t>
      </w:r>
      <w:r w:rsidR="00691E66" w:rsidRPr="00405303">
        <w:rPr>
          <w:bCs/>
          <w:color w:val="002060"/>
          <w:sz w:val="16"/>
          <w:szCs w:val="16"/>
        </w:rPr>
        <w:t>С. Лукомский.</w:t>
      </w:r>
    </w:p>
    <w:p w14:paraId="74742300" w14:textId="767AE9B8"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Генерал от инфантерии.......................А. 3. Мышлаевский.</w:t>
      </w:r>
    </w:p>
    <w:p w14:paraId="266FBFAC" w14:textId="708DD989"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Генерал-лейтенант .......................... А.</w:t>
      </w:r>
      <w:r>
        <w:rPr>
          <w:bCs/>
          <w:color w:val="002060"/>
          <w:sz w:val="16"/>
          <w:szCs w:val="16"/>
        </w:rPr>
        <w:t xml:space="preserve"> </w:t>
      </w:r>
      <w:r w:rsidR="00691E66" w:rsidRPr="00405303">
        <w:rPr>
          <w:bCs/>
          <w:color w:val="002060"/>
          <w:sz w:val="16"/>
          <w:szCs w:val="16"/>
        </w:rPr>
        <w:t>А. Маниковский.</w:t>
      </w:r>
    </w:p>
    <w:p w14:paraId="2818E8F3" w14:textId="5308DA8D"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 » »......................................... Н.А. Бабиков.</w:t>
      </w:r>
    </w:p>
    <w:p w14:paraId="5EAD8658" w14:textId="62A2AF94"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Генерал-майор .................................А. А. Саткевич.</w:t>
      </w:r>
    </w:p>
    <w:p w14:paraId="4207D687" w14:textId="2EDA412A"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 » »..................................... Н. И. Петровский.</w:t>
      </w:r>
    </w:p>
    <w:p w14:paraId="41BDDCD9" w14:textId="21096CD2"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 » »........................................А. А. Михельсон.</w:t>
      </w:r>
    </w:p>
    <w:p w14:paraId="2BCE4893" w14:textId="01607FE3"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От морского министерства:</w:t>
      </w:r>
    </w:p>
    <w:p w14:paraId="23C2FDC8" w14:textId="7FAEB7A3"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Вице-адмирал..................................... П.П. Муравьев.</w:t>
      </w:r>
    </w:p>
    <w:p w14:paraId="0A8E94FC" w14:textId="6014A29F"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w:t>
      </w:r>
      <w:proofErr w:type="gramStart"/>
      <w:r w:rsidR="00691E66" w:rsidRPr="00405303">
        <w:rPr>
          <w:bCs/>
          <w:color w:val="002060"/>
          <w:sz w:val="16"/>
          <w:szCs w:val="16"/>
        </w:rPr>
        <w:t>» »</w:t>
      </w:r>
      <w:proofErr w:type="gramEnd"/>
      <w:r w:rsidR="00691E66" w:rsidRPr="00405303">
        <w:rPr>
          <w:bCs/>
          <w:color w:val="002060"/>
          <w:sz w:val="16"/>
          <w:szCs w:val="16"/>
        </w:rPr>
        <w:t xml:space="preserve"> ».............................................В. К. Гирс.</w:t>
      </w:r>
    </w:p>
    <w:p w14:paraId="1AF64B49" w14:textId="744AE118"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От министерства финансов:</w:t>
      </w:r>
    </w:p>
    <w:p w14:paraId="75B2EAC9" w14:textId="5D3ECA03"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Тайный советник..............................В. В. Кузьминский.</w:t>
      </w:r>
    </w:p>
    <w:p w14:paraId="6BE614DB" w14:textId="34563D1C"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От министерства путей сообщения:</w:t>
      </w:r>
    </w:p>
    <w:p w14:paraId="74BB0EDD" w14:textId="69FD96B8"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Тайный советник..............................П.Н.</w:t>
      </w:r>
      <w:r>
        <w:rPr>
          <w:bCs/>
          <w:color w:val="002060"/>
          <w:sz w:val="16"/>
          <w:szCs w:val="16"/>
        </w:rPr>
        <w:t xml:space="preserve"> </w:t>
      </w:r>
      <w:r w:rsidR="00691E66" w:rsidRPr="00405303">
        <w:rPr>
          <w:bCs/>
          <w:color w:val="002060"/>
          <w:sz w:val="16"/>
          <w:szCs w:val="16"/>
        </w:rPr>
        <w:t xml:space="preserve"> Думитрашко.</w:t>
      </w:r>
    </w:p>
    <w:p w14:paraId="4736377C" w14:textId="58658BCE"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От министерства торговли и промышленности:</w:t>
      </w:r>
    </w:p>
    <w:p w14:paraId="05FB6BFD" w14:textId="0F550F9F"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Действительный статский советник................С.П. Веселаго.</w:t>
      </w:r>
    </w:p>
    <w:p w14:paraId="196A7785" w14:textId="6B4EFBAC"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Статский советник............................... Р.М.Ловягин.</w:t>
      </w:r>
    </w:p>
    <w:p w14:paraId="2477DC0B" w14:textId="0E5239EE"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От государственного контроля:</w:t>
      </w:r>
    </w:p>
    <w:p w14:paraId="25416AB7" w14:textId="24456693"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Тайный советник.............................М.И. Скипетров.</w:t>
      </w:r>
    </w:p>
    <w:p w14:paraId="59A7A45A" w14:textId="73B3DD8C"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От Всероссийского земского союза:</w:t>
      </w:r>
    </w:p>
    <w:p w14:paraId="0F59018A" w14:textId="06899175"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Член Государственного Совета барон ... В. В. Меллер-Закомельский.</w:t>
      </w:r>
    </w:p>
    <w:p w14:paraId="649CD3BD" w14:textId="5410CA92"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От Всероссийского городского союза:</w:t>
      </w:r>
    </w:p>
    <w:p w14:paraId="6F73D3DF" w14:textId="3979A3C4"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Член Государственной Думы ..................... Н. В. Некрасов.</w:t>
      </w:r>
    </w:p>
    <w:p w14:paraId="49940686" w14:textId="4831CD7D"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От центрального военно-промышленного комитета:</w:t>
      </w:r>
    </w:p>
    <w:p w14:paraId="4ECB2DE7" w14:textId="7C280065"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Член Государственного Совета .....................А.</w:t>
      </w:r>
      <w:r>
        <w:rPr>
          <w:bCs/>
          <w:color w:val="002060"/>
          <w:sz w:val="16"/>
          <w:szCs w:val="16"/>
        </w:rPr>
        <w:t xml:space="preserve"> </w:t>
      </w:r>
      <w:r w:rsidR="00691E66" w:rsidRPr="00405303">
        <w:rPr>
          <w:bCs/>
          <w:color w:val="002060"/>
          <w:sz w:val="16"/>
          <w:szCs w:val="16"/>
        </w:rPr>
        <w:t>И. Гучков.</w:t>
      </w:r>
    </w:p>
    <w:p w14:paraId="63ACCDFC" w14:textId="354DA0A8"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Член Государственной Думы .....................А.</w:t>
      </w:r>
      <w:r>
        <w:rPr>
          <w:bCs/>
          <w:color w:val="002060"/>
          <w:sz w:val="16"/>
          <w:szCs w:val="16"/>
        </w:rPr>
        <w:t xml:space="preserve"> </w:t>
      </w:r>
      <w:r w:rsidR="00691E66" w:rsidRPr="00405303">
        <w:rPr>
          <w:bCs/>
          <w:color w:val="002060"/>
          <w:sz w:val="16"/>
          <w:szCs w:val="16"/>
        </w:rPr>
        <w:t>И. Коновалов.</w:t>
      </w:r>
    </w:p>
    <w:p w14:paraId="776718EE" w14:textId="21CA9AAA"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Особо приглашенные в заседание:</w:t>
      </w:r>
    </w:p>
    <w:p w14:paraId="4934613D" w14:textId="2940DA9A"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Действительный статский советник....В. П. Литвинов-Фалинский.</w:t>
      </w:r>
    </w:p>
    <w:p w14:paraId="798347E2" w14:textId="34E1CF1C"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Тайный советник................................В. В. Жуковский.</w:t>
      </w:r>
    </w:p>
    <w:p w14:paraId="3C69AA6E" w14:textId="22C6778B"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Делопроизводители Особого Совещания:</w:t>
      </w:r>
    </w:p>
    <w:p w14:paraId="3CBC0538" w14:textId="0A819C33"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Надворный советник..............................</w:t>
      </w:r>
      <w:r>
        <w:rPr>
          <w:bCs/>
          <w:color w:val="002060"/>
          <w:sz w:val="16"/>
          <w:szCs w:val="16"/>
        </w:rPr>
        <w:t xml:space="preserve"> </w:t>
      </w:r>
      <w:r w:rsidR="00691E66" w:rsidRPr="00405303">
        <w:rPr>
          <w:bCs/>
          <w:color w:val="002060"/>
          <w:sz w:val="16"/>
          <w:szCs w:val="16"/>
        </w:rPr>
        <w:t>Л.Д. Тяжелое.</w:t>
      </w:r>
    </w:p>
    <w:p w14:paraId="14210538" w14:textId="213EB714"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w:t>
      </w:r>
      <w:proofErr w:type="gramStart"/>
      <w:r w:rsidR="00691E66" w:rsidRPr="00405303">
        <w:rPr>
          <w:bCs/>
          <w:color w:val="002060"/>
          <w:sz w:val="16"/>
          <w:szCs w:val="16"/>
        </w:rPr>
        <w:t>» »</w:t>
      </w:r>
      <w:proofErr w:type="gramEnd"/>
      <w:r w:rsidR="00691E66" w:rsidRPr="00405303">
        <w:rPr>
          <w:bCs/>
          <w:color w:val="002060"/>
          <w:sz w:val="16"/>
          <w:szCs w:val="16"/>
        </w:rPr>
        <w:t xml:space="preserve"> ».........................................Н.</w:t>
      </w:r>
      <w:proofErr w:type="gramStart"/>
      <w:r w:rsidR="00691E66" w:rsidRPr="00405303">
        <w:rPr>
          <w:bCs/>
          <w:color w:val="002060"/>
          <w:sz w:val="16"/>
          <w:szCs w:val="16"/>
        </w:rPr>
        <w:t>В.де</w:t>
      </w:r>
      <w:proofErr w:type="gramEnd"/>
      <w:r>
        <w:rPr>
          <w:bCs/>
          <w:color w:val="002060"/>
          <w:sz w:val="16"/>
          <w:szCs w:val="16"/>
        </w:rPr>
        <w:t xml:space="preserve"> </w:t>
      </w:r>
      <w:r w:rsidR="00691E66" w:rsidRPr="00405303">
        <w:rPr>
          <w:bCs/>
          <w:color w:val="002060"/>
          <w:sz w:val="16"/>
          <w:szCs w:val="16"/>
        </w:rPr>
        <w:t>Бособр.</w:t>
      </w:r>
    </w:p>
    <w:p w14:paraId="51D200F2" w14:textId="3986EB4F"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По открытии заседания Особое Совещание заслушало доклад комиссии по общим вопросам о заказе Русско-Балтийскому заводу воздушных кораблей. При обсуждении этого вопроса выяснилась желательность ускорить поставку кораблей. По сообщению штаба Верховного Главнокомандующего, корабли эти требуются на фронте уже к ранней весне, тогда как по условиям, предложенным заводом, их изготовление будет закончено лишь к маю месяцу. Из обмена мнений выяснилось, что мерами, могущими сократить ныне показанный заводом срок, могли бы служить, с одной стороны, премии за досрочную поставку кораблей, а с другой - штрафы </w:t>
      </w:r>
      <w:r w:rsidR="00691E66" w:rsidRPr="00405303">
        <w:rPr>
          <w:bCs/>
          <w:color w:val="002060"/>
          <w:sz w:val="16"/>
          <w:szCs w:val="16"/>
        </w:rPr>
        <w:lastRenderedPageBreak/>
        <w:t>за ее опоздание. Не предрешая, однако, ближайшего применения этих мер, Совещание в заключение ограничилось принципиальным разрешением заказа, поручив общей комиссии войти в переговоры с заводом об ускорении изготовки кораблей.</w:t>
      </w:r>
    </w:p>
    <w:p w14:paraId="007B2852" w14:textId="398CE876"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Доклад комиссии по артиллерийским делам о выдаче ссуды акционерному обществу «Тетюхе» на устройство плавильного завода был Совещанием одобрен.</w:t>
      </w:r>
    </w:p>
    <w:p w14:paraId="0FC6948E" w14:textId="48DE6984"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Вслед за этим подготовительная комиссия по артиллерийским вопросам внесла доклад о снабжении армии бомбометами, минометами, снарядами к ним и ручными гранатами. По поводу указаний доклада на запоздание военно-промышленного комитета в доставке взятых заказов, А. И. Гучков заявил, что причина задержки коренится в общих условиях настоящего времени, а именно в замедлении с подвозом материалов.</w:t>
      </w:r>
    </w:p>
    <w:p w14:paraId="503DB8FE" w14:textId="10BA9848" w:rsidR="00691E66" w:rsidRPr="00405303" w:rsidRDefault="00691E66" w:rsidP="00C15251">
      <w:pPr>
        <w:jc w:val="both"/>
        <w:rPr>
          <w:bCs/>
          <w:color w:val="002060"/>
          <w:sz w:val="16"/>
          <w:szCs w:val="16"/>
        </w:rPr>
      </w:pPr>
      <w:r w:rsidRPr="00405303">
        <w:rPr>
          <w:bCs/>
          <w:color w:val="002060"/>
          <w:sz w:val="16"/>
          <w:szCs w:val="16"/>
        </w:rPr>
        <w:t>С своей стороны Председатель Совещания отметил чрезвычайное значение</w:t>
      </w:r>
      <w:r w:rsidR="000F5756">
        <w:rPr>
          <w:bCs/>
          <w:color w:val="002060"/>
          <w:sz w:val="16"/>
          <w:szCs w:val="16"/>
        </w:rPr>
        <w:t xml:space="preserve"> </w:t>
      </w:r>
      <w:r w:rsidRPr="00405303">
        <w:rPr>
          <w:bCs/>
          <w:color w:val="002060"/>
          <w:sz w:val="16"/>
          <w:szCs w:val="16"/>
        </w:rPr>
        <w:t>упомянутых предметов снаряжения при окопной войне. Наличность достаточного количества бомбометов и ручных гранат позволяет держать в передовых окопах самое незначительное количество людей; этим, во-первых, уменьшаются потери в людях от артиллерийского огня, а во-вторых, главная масса войск, отведенная за линию огня, получает возможность облегчить себе условия зимней походной жизни.</w:t>
      </w:r>
    </w:p>
    <w:p w14:paraId="6AEED075" w14:textId="2F83C118"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В связи с поставкой гранат члены Совещания Н. В. Некрасов и А. И. Шингарев затронули общий вопрос об упорядочении перевозки военных грузов, следующих через Архангельск. По справке Н. В. Некрасова, пропускная способность Архангельской дороги значительно понизилась за последнее время, чему причиной служит перешивка узкой колеи на широкую, неподготовленность передаточной станции Няндома и, наконец, недостаточная определенность в разграничении полномочий местных властей по управлению дорогой. Дорога эта, имевшая узкую колею, была ранее ввиду особо важного ее значения для военных грузов передана в распоряжение главноначальствующего вице-адмирала Угрюмова, под начальством коего находятся также и все портовые учреждения и средства Архангельского порта. Однако мера эта, видимо, еще не обеспечивает улучшения дела, отчасти вследствие недостаточной распорядительности</w:t>
      </w:r>
      <w:r>
        <w:rPr>
          <w:bCs/>
          <w:color w:val="002060"/>
          <w:sz w:val="16"/>
          <w:szCs w:val="16"/>
        </w:rPr>
        <w:t xml:space="preserve"> </w:t>
      </w:r>
      <w:r w:rsidR="00691E66" w:rsidRPr="00405303">
        <w:rPr>
          <w:bCs/>
          <w:color w:val="002060"/>
          <w:sz w:val="16"/>
          <w:szCs w:val="16"/>
        </w:rPr>
        <w:t xml:space="preserve">главноначальствующего, отчасти вследствие неполноты прав, предоставленных ему в области организации погрузки прибывающих товаров на железную дорогу. Для устранения этих помех к правильному движению грузов надлежит, по-видимому, установить единство в распоряжении дорогой, либо расширив права главноначальствующего, либо передав дорогу в исключительное ведение министерства путей сообщения. </w:t>
      </w:r>
    </w:p>
    <w:p w14:paraId="66C01B7A" w14:textId="77777777" w:rsidR="00691E66" w:rsidRPr="00405303" w:rsidRDefault="00691E66" w:rsidP="00C15251">
      <w:pPr>
        <w:jc w:val="both"/>
        <w:rPr>
          <w:bCs/>
          <w:color w:val="002060"/>
          <w:sz w:val="16"/>
          <w:szCs w:val="16"/>
        </w:rPr>
      </w:pPr>
      <w:r w:rsidRPr="00405303">
        <w:rPr>
          <w:bCs/>
          <w:color w:val="002060"/>
          <w:sz w:val="16"/>
          <w:szCs w:val="16"/>
        </w:rPr>
        <w:t>Вместе с тем предстоит обеспечить и подвоз иностранных грузов к Архангельску, по возможности продлив срок навигации. Морское ведомство располагает примерно 15 ледоколами, которые и могут быть использованы для перевозки приближающихся к Архангельску грузов чрез полосу ледяного покрова.</w:t>
      </w:r>
    </w:p>
    <w:p w14:paraId="72EB04A3" w14:textId="709319AD"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По объяснению представителя министерства торговли и промышленности, главнейшая опасность для зимней навигации заключается в природных условиях, позволяющих ожидать в текущем году сильного напора льдов с Ледовитого океана; причем, однако, это явление должно почитаться неодолимым и не может быть предупреждено никакими мерами.</w:t>
      </w:r>
    </w:p>
    <w:p w14:paraId="3D1DE1F1" w14:textId="600D243B"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По поводу состоявшихся суждений Председатель Совещания объяснил, что отмеченные членами Совещания недочеты в подвозке грузов через Архангельск известны министру путей сообщения, который, признавая с своей стороны исключительно важное значение дороги для снабжения армии припасами, уже принимает меры к упорядочению дела.</w:t>
      </w:r>
    </w:p>
    <w:p w14:paraId="3E71B6CA" w14:textId="77777777" w:rsidR="00691E66" w:rsidRPr="00405303" w:rsidRDefault="00691E66" w:rsidP="00C15251">
      <w:pPr>
        <w:jc w:val="both"/>
        <w:rPr>
          <w:bCs/>
          <w:color w:val="002060"/>
          <w:sz w:val="16"/>
          <w:szCs w:val="16"/>
        </w:rPr>
      </w:pPr>
      <w:r w:rsidRPr="00405303">
        <w:rPr>
          <w:bCs/>
          <w:color w:val="002060"/>
          <w:sz w:val="16"/>
          <w:szCs w:val="16"/>
        </w:rPr>
        <w:t>Так, узкоколейные вагоны, задержавшиеся по недосмотру на ширококолейных путях, переправляются обратно на узкую колею; станция Няндома перестраивается для увеличения ее пропускной способности; достигнуто соглашение министерства с главноначальствующим относительно главных вопросов распоряжения дорогой, и в результате, по имеющимся сведениям, наблюдается уже некоторое улучшение в порядке перевозок.</w:t>
      </w:r>
    </w:p>
    <w:p w14:paraId="2B7E2DDD" w14:textId="77777777" w:rsidR="00691E66" w:rsidRPr="00405303" w:rsidRDefault="00691E66" w:rsidP="00C15251">
      <w:pPr>
        <w:jc w:val="both"/>
        <w:rPr>
          <w:bCs/>
          <w:color w:val="002060"/>
          <w:sz w:val="16"/>
          <w:szCs w:val="16"/>
        </w:rPr>
      </w:pPr>
      <w:r w:rsidRPr="00405303">
        <w:rPr>
          <w:bCs/>
          <w:color w:val="002060"/>
          <w:sz w:val="16"/>
          <w:szCs w:val="16"/>
        </w:rPr>
        <w:t>Сверх того, по указанию министра путей сообщения, к 1 января 1916 г. будет закончена перешивка всего железнодорожного пути с узкой колеи на широкую, причем для скорейшего движения грузов на дорогу будут направлены новые, неизношенные паровозы и, наконец, в близком будущем министр имеет в виду лично проехать по дороге.</w:t>
      </w:r>
    </w:p>
    <w:p w14:paraId="22B23FE5" w14:textId="273A5C8A"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Выслушав объяснения Председателя и приняв их к сведению, Совещание закончило свое заседание.</w:t>
      </w:r>
    </w:p>
    <w:p w14:paraId="2B49E80B" w14:textId="73FDCD99"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Председатель Особого Совещания в отношении приведения в исполнение требующих того суждений Особого Совещания решил:</w:t>
      </w:r>
    </w:p>
    <w:p w14:paraId="4D57BC25" w14:textId="0A2872E8"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1.</w:t>
      </w:r>
      <w:r>
        <w:rPr>
          <w:bCs/>
          <w:color w:val="002060"/>
          <w:sz w:val="16"/>
          <w:szCs w:val="16"/>
        </w:rPr>
        <w:t xml:space="preserve">  </w:t>
      </w:r>
      <w:r w:rsidR="00691E66" w:rsidRPr="00405303">
        <w:rPr>
          <w:bCs/>
          <w:color w:val="002060"/>
          <w:sz w:val="16"/>
          <w:szCs w:val="16"/>
        </w:rPr>
        <w:t>Утвердить доклад подготовительной комиссии по артиллерийским вопросам о выдаче ссуды акционерному обществу «Тетюхе» на постройку свинцово-плавильного завода, с тем чтобы до выдачи ссуды было учреждено управление общества на основании закона 1 июля 1915 г. и чтобы, засим, в зависимости от хода дела, был рассмотрен вопрос о переходе предприятия в казенное управление.</w:t>
      </w:r>
    </w:p>
    <w:p w14:paraId="39D9C297" w14:textId="29BB6421"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2.</w:t>
      </w:r>
      <w:r>
        <w:rPr>
          <w:bCs/>
          <w:color w:val="002060"/>
          <w:sz w:val="16"/>
          <w:szCs w:val="16"/>
        </w:rPr>
        <w:t xml:space="preserve">  </w:t>
      </w:r>
      <w:r w:rsidR="00691E66" w:rsidRPr="00405303">
        <w:rPr>
          <w:bCs/>
          <w:color w:val="002060"/>
          <w:sz w:val="16"/>
          <w:szCs w:val="16"/>
        </w:rPr>
        <w:t>Утвердить доклад подготовительной комиссии по общим вопросам о предоставлении Русско-Балтийскому заводу главным военно-техническим управлением заказа на воздушные корабли, предложив подготовительной комиссии принять меры к тому, чтобы завод согласился на ускорение сроков поставки, обусловив в случае надобности выдачу премии за досрочную поставку.</w:t>
      </w:r>
    </w:p>
    <w:p w14:paraId="720AEAF3" w14:textId="6D90762D"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3.</w:t>
      </w:r>
      <w:r>
        <w:rPr>
          <w:bCs/>
          <w:color w:val="002060"/>
          <w:sz w:val="16"/>
          <w:szCs w:val="16"/>
        </w:rPr>
        <w:t xml:space="preserve">  </w:t>
      </w:r>
      <w:r w:rsidR="00691E66" w:rsidRPr="00405303">
        <w:rPr>
          <w:bCs/>
          <w:color w:val="002060"/>
          <w:sz w:val="16"/>
          <w:szCs w:val="16"/>
        </w:rPr>
        <w:t>Принять к сведению доклад подготовительной комиссии по артиллерийским вопросам о ходе заготовления минометов, бомбометов, снарядов к ним и ручных гранат, утвердив проектируемые комиссией мероприятия к улучшению постановки дела изготовления упомянутых предметов.</w:t>
      </w:r>
    </w:p>
    <w:p w14:paraId="27E47326" w14:textId="1706DF3B"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Подлинный журнал за надлежащими подписями.</w:t>
      </w:r>
    </w:p>
    <w:p w14:paraId="022250D9" w14:textId="2EBD3BD7"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С подлинным верно: и. об. делопроизводителя надворный советник Л. Тяжелое.</w:t>
      </w:r>
    </w:p>
    <w:p w14:paraId="798458B7" w14:textId="163BA0F8" w:rsidR="00691E66" w:rsidRPr="00405303" w:rsidRDefault="000F5756" w:rsidP="00C15251">
      <w:pPr>
        <w:jc w:val="both"/>
        <w:rPr>
          <w:bCs/>
          <w:color w:val="002060"/>
          <w:sz w:val="16"/>
          <w:szCs w:val="16"/>
        </w:rPr>
      </w:pPr>
      <w:r>
        <w:rPr>
          <w:bCs/>
          <w:color w:val="002060"/>
          <w:sz w:val="16"/>
          <w:szCs w:val="16"/>
        </w:rPr>
        <w:t xml:space="preserve"> </w:t>
      </w:r>
      <w:r w:rsidR="00691E66" w:rsidRPr="00405303">
        <w:rPr>
          <w:bCs/>
          <w:color w:val="002060"/>
          <w:sz w:val="16"/>
          <w:szCs w:val="16"/>
        </w:rPr>
        <w:t xml:space="preserve"> Сверял: за делопроизводителя (20692).</w:t>
      </w:r>
    </w:p>
    <w:p w14:paraId="654C540D" w14:textId="77777777" w:rsidR="00691E66" w:rsidRPr="00405303" w:rsidRDefault="00691E66" w:rsidP="00C15251">
      <w:pPr>
        <w:jc w:val="both"/>
        <w:rPr>
          <w:bCs/>
          <w:color w:val="002060"/>
          <w:sz w:val="16"/>
          <w:szCs w:val="16"/>
        </w:rPr>
      </w:pPr>
    </w:p>
    <w:p w14:paraId="4E078FC9" w14:textId="77777777" w:rsidR="00993C18" w:rsidRPr="00405303" w:rsidRDefault="00993C18" w:rsidP="00C15251">
      <w:pPr>
        <w:jc w:val="both"/>
        <w:rPr>
          <w:bCs/>
          <w:i/>
          <w:color w:val="002060"/>
          <w:sz w:val="16"/>
          <w:szCs w:val="16"/>
        </w:rPr>
      </w:pPr>
      <w:r w:rsidRPr="00405303">
        <w:rPr>
          <w:bCs/>
          <w:i/>
          <w:color w:val="002060"/>
          <w:sz w:val="16"/>
          <w:szCs w:val="16"/>
        </w:rPr>
        <w:t>Другие оборонные отрасли:</w:t>
      </w:r>
    </w:p>
    <w:p w14:paraId="1323F9CC" w14:textId="77777777" w:rsidR="00993C18" w:rsidRPr="00405303" w:rsidRDefault="00993C18" w:rsidP="00C15251">
      <w:pPr>
        <w:jc w:val="both"/>
        <w:rPr>
          <w:bCs/>
          <w:i/>
          <w:color w:val="002060"/>
          <w:sz w:val="16"/>
          <w:szCs w:val="16"/>
        </w:rPr>
      </w:pPr>
    </w:p>
    <w:p w14:paraId="6632D089" w14:textId="51C6A370" w:rsidR="00993C18" w:rsidRPr="00405303" w:rsidRDefault="00993C18" w:rsidP="00C15251">
      <w:pPr>
        <w:pStyle w:val="ae"/>
        <w:spacing w:before="0" w:beforeAutospacing="0" w:after="0" w:afterAutospacing="0"/>
        <w:jc w:val="both"/>
        <w:rPr>
          <w:bCs/>
          <w:color w:val="002060"/>
          <w:sz w:val="16"/>
          <w:szCs w:val="16"/>
        </w:rPr>
      </w:pPr>
      <w:r w:rsidRPr="00405303">
        <w:rPr>
          <w:bCs/>
          <w:color w:val="002060"/>
          <w:sz w:val="16"/>
          <w:szCs w:val="16"/>
        </w:rPr>
        <w:t xml:space="preserve">25 ноября </w:t>
      </w:r>
      <w:r w:rsidR="00B6540F" w:rsidRPr="00405303">
        <w:rPr>
          <w:bCs/>
          <w:color w:val="002060"/>
          <w:sz w:val="16"/>
          <w:szCs w:val="16"/>
        </w:rPr>
        <w:t xml:space="preserve">(8 декабря) </w:t>
      </w:r>
      <w:r w:rsidRPr="00405303">
        <w:rPr>
          <w:bCs/>
          <w:color w:val="002060"/>
          <w:sz w:val="16"/>
          <w:szCs w:val="16"/>
        </w:rPr>
        <w:t>1915 года Главное управление кораблестроения заключает с РОБТиТ в лице С. М. Айзенштейна контракт на постройку 25-киловаттной радиостанции Морского штаба в Петрограде, получившей название «Новая Голландия», а в строй она вступила 21 сентября 1917</w:t>
      </w:r>
      <w:r w:rsidR="00DB4D64" w:rsidRPr="00405303">
        <w:rPr>
          <w:bCs/>
          <w:color w:val="002060"/>
          <w:sz w:val="16"/>
          <w:szCs w:val="16"/>
        </w:rPr>
        <w:t xml:space="preserve"> </w:t>
      </w:r>
      <w:r w:rsidRPr="00405303">
        <w:rPr>
          <w:bCs/>
          <w:color w:val="002060"/>
          <w:sz w:val="16"/>
          <w:szCs w:val="16"/>
        </w:rPr>
        <w:t>г., когда у власти уже находилось Временное правительство (15736).</w:t>
      </w:r>
    </w:p>
    <w:p w14:paraId="46771845" w14:textId="77777777" w:rsidR="00993C18" w:rsidRPr="00405303" w:rsidRDefault="00993C18" w:rsidP="00C15251">
      <w:pPr>
        <w:pStyle w:val="ae"/>
        <w:spacing w:before="0" w:beforeAutospacing="0" w:after="0" w:afterAutospacing="0"/>
        <w:jc w:val="both"/>
        <w:rPr>
          <w:bCs/>
          <w:color w:val="002060"/>
          <w:sz w:val="16"/>
          <w:szCs w:val="16"/>
        </w:rPr>
      </w:pPr>
    </w:p>
    <w:p w14:paraId="5B7D6460" w14:textId="18237E9C" w:rsidR="00B36F73" w:rsidRPr="00405303" w:rsidRDefault="00B36F73" w:rsidP="00C15251">
      <w:pPr>
        <w:shd w:val="clear" w:color="auto" w:fill="FFFFFF"/>
        <w:jc w:val="both"/>
        <w:rPr>
          <w:bCs/>
          <w:i/>
          <w:color w:val="002060"/>
          <w:sz w:val="16"/>
          <w:szCs w:val="16"/>
        </w:rPr>
      </w:pPr>
      <w:r w:rsidRPr="00405303">
        <w:rPr>
          <w:bCs/>
          <w:i/>
          <w:color w:val="002060"/>
          <w:sz w:val="16"/>
          <w:szCs w:val="16"/>
        </w:rPr>
        <w:t>Автация:</w:t>
      </w:r>
    </w:p>
    <w:p w14:paraId="032B4EEF" w14:textId="77777777" w:rsidR="00B36F73" w:rsidRPr="00405303" w:rsidRDefault="00B36F73" w:rsidP="00C15251">
      <w:pPr>
        <w:shd w:val="clear" w:color="auto" w:fill="FFFFFF"/>
        <w:jc w:val="both"/>
        <w:rPr>
          <w:bCs/>
          <w:i/>
          <w:color w:val="002060"/>
          <w:sz w:val="16"/>
          <w:szCs w:val="16"/>
        </w:rPr>
      </w:pPr>
    </w:p>
    <w:p w14:paraId="2F7FCC37" w14:textId="7A9C32F1" w:rsidR="00B36F73" w:rsidRPr="00405303" w:rsidRDefault="00B36F73" w:rsidP="00C15251">
      <w:pPr>
        <w:jc w:val="both"/>
        <w:rPr>
          <w:bCs/>
          <w:color w:val="002060"/>
          <w:sz w:val="16"/>
          <w:szCs w:val="16"/>
        </w:rPr>
      </w:pPr>
      <w:r w:rsidRPr="00405303">
        <w:rPr>
          <w:bCs/>
          <w:color w:val="002060"/>
          <w:sz w:val="16"/>
          <w:szCs w:val="16"/>
          <w:lang w:bidi="en-US"/>
        </w:rPr>
        <w:t>8 декабря 1915 г. приказом Верховного главнокомандующего штабом КБК № 285 каждая авиационная чпсть должна была иметь четыре боеспособных самолета, еще четыре в резерве, плюс двенадцать секционных тентов для машин, шесть и более запасных двигателей и другое оборудование (23525).</w:t>
      </w:r>
    </w:p>
    <w:p w14:paraId="54CA25F6" w14:textId="77777777" w:rsidR="00B36F73" w:rsidRPr="00405303" w:rsidRDefault="00B36F73" w:rsidP="00C15251">
      <w:pPr>
        <w:jc w:val="both"/>
        <w:rPr>
          <w:bCs/>
          <w:color w:val="002060"/>
          <w:sz w:val="16"/>
          <w:szCs w:val="16"/>
          <w:lang w:bidi="en-US"/>
        </w:rPr>
      </w:pPr>
    </w:p>
    <w:p w14:paraId="61EAFC9C" w14:textId="74809043"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Франции:</w:t>
      </w:r>
    </w:p>
    <w:p w14:paraId="0EE9DBF2" w14:textId="77777777" w:rsidR="004B4E35" w:rsidRPr="00405303" w:rsidRDefault="004B4E35" w:rsidP="00C15251">
      <w:pPr>
        <w:shd w:val="clear" w:color="auto" w:fill="FFFFFF"/>
        <w:jc w:val="both"/>
        <w:rPr>
          <w:bCs/>
          <w:i/>
          <w:color w:val="002060"/>
          <w:sz w:val="16"/>
          <w:szCs w:val="16"/>
        </w:rPr>
      </w:pPr>
    </w:p>
    <w:p w14:paraId="3CA77C46" w14:textId="133957A0" w:rsidR="004B4E35" w:rsidRPr="00405303" w:rsidRDefault="009E6F82" w:rsidP="00C15251">
      <w:pPr>
        <w:jc w:val="both"/>
        <w:rPr>
          <w:bCs/>
          <w:color w:val="002060"/>
          <w:sz w:val="16"/>
          <w:szCs w:val="16"/>
        </w:rPr>
      </w:pPr>
      <w:r w:rsidRPr="00405303">
        <w:rPr>
          <w:bCs/>
          <w:color w:val="002060"/>
          <w:sz w:val="16"/>
          <w:szCs w:val="16"/>
        </w:rPr>
        <w:t xml:space="preserve">25 ноября (8 декабря) </w:t>
      </w:r>
      <w:r w:rsidR="00B6540F" w:rsidRPr="00405303">
        <w:rPr>
          <w:bCs/>
          <w:color w:val="002060"/>
          <w:sz w:val="16"/>
          <w:szCs w:val="16"/>
        </w:rPr>
        <w:t>1915 г.</w:t>
      </w:r>
      <w:r w:rsidRPr="00405303">
        <w:rPr>
          <w:bCs/>
          <w:color w:val="002060"/>
          <w:sz w:val="16"/>
          <w:szCs w:val="16"/>
        </w:rPr>
        <w:t xml:space="preserve"> Гийнемер одерживает свою третью победу.</w:t>
      </w:r>
    </w:p>
    <w:p w14:paraId="00576D77" w14:textId="77777777" w:rsidR="004B4E35" w:rsidRPr="00405303" w:rsidRDefault="009E6F82" w:rsidP="00C15251">
      <w:pPr>
        <w:jc w:val="both"/>
        <w:rPr>
          <w:bCs/>
          <w:color w:val="002060"/>
          <w:sz w:val="16"/>
          <w:szCs w:val="16"/>
        </w:rPr>
      </w:pPr>
      <w:r w:rsidRPr="00405303">
        <w:rPr>
          <w:bCs/>
          <w:color w:val="002060"/>
          <w:sz w:val="16"/>
          <w:szCs w:val="16"/>
        </w:rPr>
        <w:t>Гийнемер вылетел с заданием обнаружить новую железную дорогу, которую немцы, по непроверенным сведениям, проложили по направлению в Нель. Во время полета Гийнемер заметил перелетающий линию фронта германский самолет и в 10 час. 35 мин. вступил с ним в бой. Зайдя в мертвую воронку германского самолета, Гийнемер выпустил всю обойму. Германский самолет стал пикировать, затем загорелся и упал.</w:t>
      </w:r>
    </w:p>
    <w:p w14:paraId="350F0E27" w14:textId="77777777" w:rsidR="004B4E35" w:rsidRPr="00405303" w:rsidRDefault="004B4E35" w:rsidP="00C15251">
      <w:pPr>
        <w:jc w:val="both"/>
        <w:rPr>
          <w:bCs/>
          <w:color w:val="002060"/>
          <w:sz w:val="16"/>
          <w:szCs w:val="16"/>
        </w:rPr>
      </w:pPr>
    </w:p>
    <w:p w14:paraId="1D9EB02F" w14:textId="77777777" w:rsidR="00993C18" w:rsidRPr="00405303" w:rsidRDefault="00993C18" w:rsidP="00C15251">
      <w:pPr>
        <w:jc w:val="both"/>
        <w:rPr>
          <w:bCs/>
          <w:i/>
          <w:color w:val="002060"/>
          <w:sz w:val="16"/>
          <w:szCs w:val="16"/>
        </w:rPr>
      </w:pPr>
      <w:r w:rsidRPr="00405303">
        <w:rPr>
          <w:bCs/>
          <w:i/>
          <w:color w:val="002060"/>
          <w:sz w:val="16"/>
          <w:szCs w:val="16"/>
        </w:rPr>
        <w:t>Другие оборонные отрасли:</w:t>
      </w:r>
    </w:p>
    <w:p w14:paraId="6BD9BDE8" w14:textId="77777777" w:rsidR="00993C18" w:rsidRPr="00405303" w:rsidRDefault="00993C18" w:rsidP="00C15251">
      <w:pPr>
        <w:jc w:val="both"/>
        <w:rPr>
          <w:bCs/>
          <w:i/>
          <w:color w:val="002060"/>
          <w:sz w:val="16"/>
          <w:szCs w:val="16"/>
        </w:rPr>
      </w:pPr>
    </w:p>
    <w:p w14:paraId="1B576E63" w14:textId="29626560" w:rsidR="00993C18" w:rsidRPr="00405303" w:rsidRDefault="00993C18" w:rsidP="00C15251">
      <w:pPr>
        <w:pStyle w:val="p1"/>
        <w:spacing w:before="0" w:beforeAutospacing="0" w:after="0" w:afterAutospacing="0"/>
        <w:jc w:val="both"/>
        <w:rPr>
          <w:bCs/>
          <w:color w:val="002060"/>
          <w:sz w:val="16"/>
          <w:szCs w:val="16"/>
        </w:rPr>
      </w:pPr>
      <w:r w:rsidRPr="00405303">
        <w:rPr>
          <w:bCs/>
          <w:color w:val="002060"/>
          <w:sz w:val="16"/>
          <w:szCs w:val="16"/>
        </w:rPr>
        <w:t xml:space="preserve">27 ноября </w:t>
      </w:r>
      <w:r w:rsidR="00B6540F" w:rsidRPr="00405303">
        <w:rPr>
          <w:bCs/>
          <w:color w:val="002060"/>
          <w:sz w:val="16"/>
          <w:szCs w:val="16"/>
        </w:rPr>
        <w:t xml:space="preserve">(10 декабря) </w:t>
      </w:r>
      <w:r w:rsidRPr="00405303">
        <w:rPr>
          <w:bCs/>
          <w:color w:val="002060"/>
          <w:sz w:val="16"/>
          <w:szCs w:val="16"/>
        </w:rPr>
        <w:t xml:space="preserve">1915 г. согласно журналу Совета </w:t>
      </w:r>
      <w:proofErr w:type="gramStart"/>
      <w:r w:rsidRPr="00405303">
        <w:rPr>
          <w:bCs/>
          <w:color w:val="002060"/>
          <w:sz w:val="16"/>
          <w:szCs w:val="16"/>
        </w:rPr>
        <w:t>министров</w:t>
      </w:r>
      <w:proofErr w:type="gramEnd"/>
      <w:r w:rsidRPr="00405303">
        <w:rPr>
          <w:bCs/>
          <w:color w:val="002060"/>
          <w:sz w:val="16"/>
          <w:szCs w:val="16"/>
        </w:rPr>
        <w:t xml:space="preserve"> принял решение о «расширении Сестрорецкого завода с перенесением его в Центральную Россию». За год на новом месте под Екатеринославом предполагалось, по объяснению Залюбовского, выстроить «здание для завода, в точности по своим размерам и устройству представляющее копию здания завода Ремингтона» в Бриджпорте, так что мучений с составлением оригинального проекта удалось бы избежать, устанавливая «все на свои места по точным планам, снятым прямо с планов у Ремингтона». По мере готовности корпусов нового завода должно было начинаться производство винтовок. рассмотрел по этому вопросу.</w:t>
      </w:r>
    </w:p>
    <w:p w14:paraId="04327E3F" w14:textId="77777777" w:rsidR="00993C18" w:rsidRPr="00405303" w:rsidRDefault="00993C18" w:rsidP="00C15251">
      <w:pPr>
        <w:pStyle w:val="p1"/>
        <w:spacing w:before="0" w:beforeAutospacing="0" w:after="0" w:afterAutospacing="0"/>
        <w:jc w:val="both"/>
        <w:rPr>
          <w:bCs/>
          <w:color w:val="002060"/>
          <w:sz w:val="16"/>
          <w:szCs w:val="16"/>
        </w:rPr>
      </w:pPr>
      <w:r w:rsidRPr="00405303">
        <w:rPr>
          <w:bCs/>
          <w:color w:val="002060"/>
          <w:sz w:val="16"/>
          <w:szCs w:val="16"/>
        </w:rPr>
        <w:lastRenderedPageBreak/>
        <w:t>В 1915 г. после длительного разбирательства с компанией РАОАЗ («дочка» английского «Виккерса»), добивавшейся от ГАУ заказа на винтовки и предлагавшей учредить собственный ружейный завод, правительство, отклонив это предложение, наметило постройку под Екатеринославом 4-го казенного ружейного завода (или 5-го, если считать 4-м второй Тульский, также намеченный).</w:t>
      </w:r>
    </w:p>
    <w:p w14:paraId="2021E5CB" w14:textId="77777777" w:rsidR="00993C18" w:rsidRPr="00405303" w:rsidRDefault="00993C18" w:rsidP="00C15251">
      <w:pPr>
        <w:pStyle w:val="p1"/>
        <w:spacing w:before="0" w:beforeAutospacing="0" w:after="0" w:afterAutospacing="0"/>
        <w:jc w:val="both"/>
        <w:rPr>
          <w:bCs/>
          <w:color w:val="002060"/>
          <w:sz w:val="16"/>
          <w:szCs w:val="16"/>
        </w:rPr>
      </w:pPr>
      <w:r w:rsidRPr="00405303">
        <w:rPr>
          <w:bCs/>
          <w:color w:val="002060"/>
          <w:sz w:val="16"/>
          <w:szCs w:val="16"/>
        </w:rPr>
        <w:t>Для нового завода ГАУ выбрало место при впадении в Днепр реки Самары; два участка (всего 1250 десятин) были, по оценке Залюбовского, «приобретены с запасом», с учетом удобного расположения для «вообще технических заведений, потребность в которых у ГАУ была большая». Началась реквизиция кирпичных заводов, станков, оборудования (18409).</w:t>
      </w:r>
    </w:p>
    <w:p w14:paraId="4F796B58" w14:textId="77777777" w:rsidR="00993C18" w:rsidRPr="00405303" w:rsidRDefault="00993C18" w:rsidP="00C15251">
      <w:pPr>
        <w:pStyle w:val="p1"/>
        <w:spacing w:before="0" w:beforeAutospacing="0" w:after="0" w:afterAutospacing="0"/>
        <w:jc w:val="both"/>
        <w:rPr>
          <w:bCs/>
          <w:color w:val="002060"/>
          <w:sz w:val="16"/>
          <w:szCs w:val="16"/>
        </w:rPr>
      </w:pPr>
    </w:p>
    <w:p w14:paraId="34FD3800" w14:textId="393159D0" w:rsidR="003526F9" w:rsidRPr="00405303" w:rsidRDefault="003526F9" w:rsidP="00C15251">
      <w:pPr>
        <w:jc w:val="both"/>
        <w:rPr>
          <w:bCs/>
          <w:color w:val="002060"/>
          <w:sz w:val="16"/>
          <w:szCs w:val="16"/>
        </w:rPr>
      </w:pPr>
      <w:r w:rsidRPr="00405303">
        <w:rPr>
          <w:bCs/>
          <w:color w:val="002060"/>
          <w:sz w:val="16"/>
          <w:szCs w:val="16"/>
        </w:rPr>
        <w:t>27 ноября (10 лекабря) 1915 г. был журнал Совета министров по вопросу о перенесе</w:t>
      </w:r>
      <w:r w:rsidRPr="00405303">
        <w:rPr>
          <w:bCs/>
          <w:color w:val="002060"/>
          <w:sz w:val="16"/>
          <w:szCs w:val="16"/>
        </w:rPr>
        <w:softHyphen/>
        <w:t>нии Сестрорецкого оружейного завода в Центральную Россию (за год на новом месте под Екатеринославом предполагалось, по объяснению Залюбовского, выстроить «здание для завода, в точности по своим размерам и устройству представляющее копию зда</w:t>
      </w:r>
      <w:r w:rsidRPr="00405303">
        <w:rPr>
          <w:bCs/>
          <w:color w:val="002060"/>
          <w:sz w:val="16"/>
          <w:szCs w:val="16"/>
        </w:rPr>
        <w:softHyphen/>
        <w:t>ния завода Ремингтона» в Бриджпорте), утверждая который Николай II 17 декабря рас</w:t>
      </w:r>
      <w:r w:rsidRPr="00405303">
        <w:rPr>
          <w:bCs/>
          <w:color w:val="002060"/>
          <w:sz w:val="16"/>
          <w:szCs w:val="16"/>
        </w:rPr>
        <w:softHyphen/>
        <w:t>порядился: «С перенесением и расширением завода поспе</w:t>
      </w:r>
      <w:r w:rsidRPr="00405303">
        <w:rPr>
          <w:bCs/>
          <w:color w:val="002060"/>
          <w:sz w:val="16"/>
          <w:szCs w:val="16"/>
        </w:rPr>
        <w:softHyphen/>
        <w:t>шить».</w:t>
      </w:r>
    </w:p>
    <w:p w14:paraId="715A2E8A" w14:textId="77777777" w:rsidR="003526F9" w:rsidRPr="00405303" w:rsidRDefault="003526F9" w:rsidP="00C15251">
      <w:pPr>
        <w:jc w:val="both"/>
        <w:rPr>
          <w:bCs/>
          <w:color w:val="002060"/>
          <w:sz w:val="16"/>
          <w:szCs w:val="16"/>
        </w:rPr>
      </w:pPr>
      <w:r w:rsidRPr="00405303">
        <w:rPr>
          <w:bCs/>
          <w:color w:val="002060"/>
          <w:sz w:val="16"/>
          <w:szCs w:val="16"/>
        </w:rPr>
        <w:t>Для нового завода ГАУ выбрало место при впадении в Днепр реки Самары; два участка (всего 1250 десятин) были, по оценке Залюбовского, «приобретены с запасом», с учетом удобного расположения для «вообще технических заведений, потребность в которых у ГАУ была большая». Началась рек</w:t>
      </w:r>
      <w:r w:rsidRPr="00405303">
        <w:rPr>
          <w:bCs/>
          <w:color w:val="002060"/>
          <w:sz w:val="16"/>
          <w:szCs w:val="16"/>
        </w:rPr>
        <w:softHyphen/>
        <w:t xml:space="preserve">визиция кирпичных заводов, станков, оборудования (РГВИА. Ф. 1. </w:t>
      </w:r>
      <w:r w:rsidRPr="00405303">
        <w:rPr>
          <w:bCs/>
          <w:color w:val="002060"/>
          <w:sz w:val="16"/>
          <w:szCs w:val="16"/>
          <w:lang w:val="en-US" w:bidi="en-US"/>
        </w:rPr>
        <w:t>On</w:t>
      </w:r>
      <w:r w:rsidRPr="00405303">
        <w:rPr>
          <w:bCs/>
          <w:color w:val="002060"/>
          <w:sz w:val="16"/>
          <w:szCs w:val="16"/>
          <w:lang w:bidi="en-US"/>
        </w:rPr>
        <w:t xml:space="preserve">. </w:t>
      </w:r>
      <w:r w:rsidRPr="00405303">
        <w:rPr>
          <w:bCs/>
          <w:color w:val="002060"/>
          <w:sz w:val="16"/>
          <w:szCs w:val="16"/>
        </w:rPr>
        <w:t>1. Ч. 46. Д. 1125. Л. 76. Доклад ГАУ в Государ</w:t>
      </w:r>
      <w:r w:rsidRPr="00405303">
        <w:rPr>
          <w:bCs/>
          <w:color w:val="002060"/>
          <w:sz w:val="16"/>
          <w:szCs w:val="16"/>
        </w:rPr>
        <w:softHyphen/>
        <w:t xml:space="preserve">ственную думу, 30.III. 1916; Ф. 29. Оп. 3. Д. 731. Л. 135 и об. Памятная записка КВМ для ГАУ, </w:t>
      </w:r>
      <w:r w:rsidRPr="00405303">
        <w:rPr>
          <w:bCs/>
          <w:color w:val="002060"/>
          <w:sz w:val="16"/>
          <w:szCs w:val="16"/>
          <w:lang w:bidi="en-US"/>
        </w:rPr>
        <w:t>29.</w:t>
      </w:r>
      <w:r w:rsidRPr="00405303">
        <w:rPr>
          <w:bCs/>
          <w:color w:val="002060"/>
          <w:sz w:val="16"/>
          <w:szCs w:val="16"/>
          <w:lang w:val="en-US" w:bidi="en-US"/>
        </w:rPr>
        <w:t>IX</w:t>
      </w:r>
      <w:r w:rsidRPr="00405303">
        <w:rPr>
          <w:bCs/>
          <w:color w:val="002060"/>
          <w:sz w:val="16"/>
          <w:szCs w:val="16"/>
          <w:lang w:bidi="en-US"/>
        </w:rPr>
        <w:t xml:space="preserve">.1915; </w:t>
      </w:r>
      <w:r w:rsidRPr="00405303">
        <w:rPr>
          <w:bCs/>
          <w:color w:val="002060"/>
          <w:sz w:val="16"/>
          <w:szCs w:val="16"/>
        </w:rPr>
        <w:t>Залюбовский А.П. Указ. соч. С. 66—67) (23452).</w:t>
      </w:r>
    </w:p>
    <w:p w14:paraId="2BB85C78" w14:textId="77777777" w:rsidR="003526F9" w:rsidRPr="00405303" w:rsidRDefault="003526F9" w:rsidP="00C15251">
      <w:pPr>
        <w:jc w:val="both"/>
        <w:rPr>
          <w:bCs/>
          <w:color w:val="002060"/>
          <w:sz w:val="16"/>
          <w:szCs w:val="16"/>
        </w:rPr>
      </w:pPr>
    </w:p>
    <w:p w14:paraId="5AC036A4" w14:textId="0315E672" w:rsidR="003526F9" w:rsidRPr="00405303" w:rsidRDefault="003526F9" w:rsidP="00C15251">
      <w:pPr>
        <w:jc w:val="both"/>
        <w:rPr>
          <w:bCs/>
          <w:color w:val="002060"/>
          <w:sz w:val="16"/>
          <w:szCs w:val="16"/>
        </w:rPr>
      </w:pPr>
      <w:r w:rsidRPr="00405303">
        <w:rPr>
          <w:bCs/>
          <w:color w:val="002060"/>
          <w:sz w:val="16"/>
          <w:szCs w:val="16"/>
        </w:rPr>
        <w:t>27 ноября (10 декабря) 1915 г. Совет министров отпустил 2 млн руб., необходимых для начала ра</w:t>
      </w:r>
      <w:r w:rsidRPr="00405303">
        <w:rPr>
          <w:bCs/>
          <w:color w:val="002060"/>
          <w:sz w:val="16"/>
          <w:szCs w:val="16"/>
        </w:rPr>
        <w:softHyphen/>
        <w:t>бот в 1915 году. 5-й Екатеринославский казенный ружей</w:t>
      </w:r>
      <w:r w:rsidRPr="00405303">
        <w:rPr>
          <w:bCs/>
          <w:color w:val="002060"/>
          <w:sz w:val="16"/>
          <w:szCs w:val="16"/>
        </w:rPr>
        <w:softHyphen/>
        <w:t>ный завод, подобно 4-му ружейному, 2-му сталелитейному, 4-му пороховому и др., позднее рассматривался как один из объектов «программы Маниковского» (23452).</w:t>
      </w:r>
    </w:p>
    <w:p w14:paraId="1AFD239F" w14:textId="77777777" w:rsidR="003526F9" w:rsidRPr="00405303" w:rsidRDefault="003526F9" w:rsidP="00C15251">
      <w:pPr>
        <w:jc w:val="both"/>
        <w:rPr>
          <w:bCs/>
          <w:color w:val="002060"/>
          <w:sz w:val="16"/>
          <w:szCs w:val="16"/>
        </w:rPr>
      </w:pPr>
    </w:p>
    <w:p w14:paraId="1ED656DA" w14:textId="434E5D3F" w:rsidR="00B6540F" w:rsidRPr="00405303" w:rsidRDefault="00B6540F" w:rsidP="00C15251">
      <w:pPr>
        <w:shd w:val="clear" w:color="auto" w:fill="FFFFFF"/>
        <w:jc w:val="both"/>
        <w:rPr>
          <w:bCs/>
          <w:i/>
          <w:color w:val="002060"/>
          <w:sz w:val="16"/>
          <w:szCs w:val="16"/>
        </w:rPr>
      </w:pPr>
      <w:r w:rsidRPr="00405303">
        <w:rPr>
          <w:bCs/>
          <w:i/>
          <w:color w:val="002060"/>
          <w:sz w:val="16"/>
          <w:szCs w:val="16"/>
        </w:rPr>
        <w:t>Авиация:</w:t>
      </w:r>
    </w:p>
    <w:p w14:paraId="1FCEAF41" w14:textId="77777777" w:rsidR="00B6540F" w:rsidRPr="00405303" w:rsidRDefault="00B6540F" w:rsidP="00C15251">
      <w:pPr>
        <w:shd w:val="clear" w:color="auto" w:fill="FFFFFF"/>
        <w:jc w:val="both"/>
        <w:rPr>
          <w:bCs/>
          <w:i/>
          <w:color w:val="002060"/>
          <w:sz w:val="16"/>
          <w:szCs w:val="16"/>
        </w:rPr>
      </w:pPr>
    </w:p>
    <w:p w14:paraId="57262415" w14:textId="77777777" w:rsidR="00B6540F" w:rsidRPr="00405303" w:rsidRDefault="00B6540F" w:rsidP="00C15251">
      <w:pPr>
        <w:jc w:val="both"/>
        <w:rPr>
          <w:bCs/>
          <w:color w:val="002060"/>
          <w:sz w:val="16"/>
          <w:szCs w:val="16"/>
        </w:rPr>
      </w:pPr>
      <w:r w:rsidRPr="00405303">
        <w:rPr>
          <w:bCs/>
          <w:color w:val="002060"/>
          <w:sz w:val="16"/>
          <w:szCs w:val="16"/>
        </w:rPr>
        <w:t>27 ноября (10 декабря) 1915 австрийские летчики Дример и Хубнер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Недостаток вооружения во многом компенсировался храбростью русских авиаторов. 18-го марта одержал свою первую победу летчик 4-го КАО поручик А. А. 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В 1915 г. на русских аэропланах появились пулеметы. Для их применения наиболее пригодным оказался биплан Вуазен, на который часто устанавливался пулемет Кольт. Такой самолет становился грозным оружием, 24-го июня летчик прапорщик Иванов и наблюдатель поручик Алексеев из 26-го КАО атаковали в районе Тарнополя австрийский Альбатрос (бортовой номер 21-01) из 1-й авиароты,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Тлусте,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6D4320CD" w14:textId="77777777" w:rsidR="00B6540F" w:rsidRPr="00405303" w:rsidRDefault="00B6540F" w:rsidP="00C15251">
      <w:pPr>
        <w:jc w:val="both"/>
        <w:rPr>
          <w:bCs/>
          <w:color w:val="002060"/>
          <w:sz w:val="16"/>
          <w:szCs w:val="16"/>
        </w:rPr>
      </w:pPr>
    </w:p>
    <w:p w14:paraId="1E534810" w14:textId="77777777" w:rsidR="00F54115" w:rsidRPr="00B52707" w:rsidRDefault="00F54115" w:rsidP="00F54115">
      <w:pPr>
        <w:jc w:val="both"/>
        <w:rPr>
          <w:color w:val="0070C0"/>
          <w:sz w:val="16"/>
          <w:szCs w:val="16"/>
        </w:rPr>
      </w:pPr>
      <w:r w:rsidRPr="00B52707">
        <w:rPr>
          <w:rStyle w:val="aa"/>
          <w:rFonts w:ascii="Times New Roman" w:hAnsi="Times New Roman"/>
          <w:color w:val="0070C0"/>
          <w:spacing w:val="0"/>
          <w:sz w:val="16"/>
          <w:szCs w:val="16"/>
        </w:rPr>
        <w:t xml:space="preserve">27 ноября (10 декабря) 1915 г. в полосе Юго-Западного фронта сильный порыв ветра отнес в ближний тыл русских частей австрийский самолет-разведчик, совершивший вынужденную посадку, что привело к пленению его экипажа. На северном участке русско- германского фронта в районе местечка Рафаловка нашими передовыми разъездами были захвачены два немецких летательных аппарата, опустившихся </w:t>
      </w:r>
      <w:proofErr w:type="gramStart"/>
      <w:r w:rsidRPr="00B52707">
        <w:rPr>
          <w:rStyle w:val="aa"/>
          <w:rFonts w:ascii="Times New Roman" w:hAnsi="Times New Roman"/>
          <w:color w:val="0070C0"/>
          <w:spacing w:val="0"/>
          <w:sz w:val="16"/>
          <w:szCs w:val="16"/>
        </w:rPr>
        <w:t>на подконтрольную русскими войсками</w:t>
      </w:r>
      <w:proofErr w:type="gramEnd"/>
      <w:r w:rsidRPr="00B52707">
        <w:rPr>
          <w:rStyle w:val="aa"/>
          <w:rFonts w:ascii="Times New Roman" w:hAnsi="Times New Roman"/>
          <w:color w:val="0070C0"/>
          <w:spacing w:val="0"/>
          <w:sz w:val="16"/>
          <w:szCs w:val="16"/>
        </w:rPr>
        <w:t xml:space="preserve"> территорию вследствие неполадок с мотором (25135).</w:t>
      </w:r>
    </w:p>
    <w:p w14:paraId="7C005AFC" w14:textId="77777777" w:rsidR="00F54115" w:rsidRPr="00B52707" w:rsidRDefault="00F54115" w:rsidP="00F54115">
      <w:pPr>
        <w:jc w:val="both"/>
        <w:rPr>
          <w:color w:val="0070C0"/>
          <w:sz w:val="16"/>
          <w:szCs w:val="16"/>
        </w:rPr>
      </w:pPr>
    </w:p>
    <w:p w14:paraId="34AF7932" w14:textId="77777777" w:rsidR="00F54115" w:rsidRPr="00B52707" w:rsidRDefault="00F54115" w:rsidP="00F54115">
      <w:pPr>
        <w:jc w:val="both"/>
        <w:rPr>
          <w:color w:val="0070C0"/>
          <w:sz w:val="16"/>
          <w:szCs w:val="16"/>
        </w:rPr>
      </w:pPr>
      <w:r w:rsidRPr="00B52707">
        <w:rPr>
          <w:color w:val="0070C0"/>
          <w:sz w:val="16"/>
          <w:szCs w:val="16"/>
        </w:rPr>
        <w:t>27 ноября (10 декабря) 1915 г. австрийские летчики Дример и Хубнер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(25151).</w:t>
      </w:r>
    </w:p>
    <w:p w14:paraId="4AC9528C" w14:textId="77777777" w:rsidR="00F54115" w:rsidRPr="00B52707" w:rsidRDefault="00F54115" w:rsidP="00F54115">
      <w:pPr>
        <w:jc w:val="both"/>
        <w:rPr>
          <w:color w:val="0070C0"/>
          <w:sz w:val="16"/>
          <w:szCs w:val="16"/>
        </w:rPr>
      </w:pPr>
    </w:p>
    <w:p w14:paraId="0017FD91"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Жизнь и внутреняя политика:</w:t>
      </w:r>
    </w:p>
    <w:p w14:paraId="33675B0D" w14:textId="77777777" w:rsidR="004B4E35" w:rsidRPr="00405303" w:rsidRDefault="004B4E35" w:rsidP="00C15251">
      <w:pPr>
        <w:shd w:val="clear" w:color="auto" w:fill="FFFFFF"/>
        <w:jc w:val="both"/>
        <w:rPr>
          <w:bCs/>
          <w:i/>
          <w:color w:val="002060"/>
          <w:sz w:val="16"/>
          <w:szCs w:val="16"/>
        </w:rPr>
      </w:pPr>
    </w:p>
    <w:p w14:paraId="7FB20D93" w14:textId="4A91270C"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27 ноября (10 декабря) 1915 г. </w:t>
      </w:r>
      <w:r w:rsidR="00B6540F" w:rsidRPr="00405303">
        <w:rPr>
          <w:bCs/>
          <w:i w:val="0"/>
          <w:color w:val="002060"/>
          <w:spacing w:val="0"/>
          <w:kern w:val="0"/>
          <w:position w:val="0"/>
          <w:sz w:val="16"/>
          <w:szCs w:val="16"/>
        </w:rPr>
        <w:t xml:space="preserve">Положением </w:t>
      </w:r>
      <w:r w:rsidRPr="00405303">
        <w:rPr>
          <w:bCs/>
          <w:i w:val="0"/>
          <w:color w:val="002060"/>
          <w:spacing w:val="0"/>
          <w:kern w:val="0"/>
          <w:position w:val="0"/>
          <w:sz w:val="16"/>
          <w:szCs w:val="16"/>
        </w:rPr>
        <w:t xml:space="preserve">председателю Особого совещания было предоставлено право устанавливать предельные цены на предметы продовольствия, т.е. формально к нему перешла высшая власть в области продовольствия — вне театра военных действий. В районе военных действий хлебными заготовками ведал Главноуполномоченный по закупке хлеба для армии </w:t>
      </w:r>
      <w:r w:rsidRPr="00405303">
        <w:rPr>
          <w:bCs/>
          <w:color w:val="002060"/>
          <w:spacing w:val="0"/>
          <w:kern w:val="0"/>
          <w:position w:val="0"/>
          <w:sz w:val="16"/>
          <w:szCs w:val="16"/>
        </w:rPr>
        <w:t>(Хлебармия)</w:t>
      </w:r>
      <w:r w:rsidRPr="00405303">
        <w:rPr>
          <w:bCs/>
          <w:i w:val="0"/>
          <w:color w:val="002060"/>
          <w:spacing w:val="0"/>
          <w:kern w:val="0"/>
          <w:position w:val="0"/>
          <w:sz w:val="16"/>
          <w:szCs w:val="16"/>
        </w:rPr>
        <w:t xml:space="preserve"> — товарищ министра земледелия В.Г.Глинка.</w:t>
      </w:r>
    </w:p>
    <w:p w14:paraId="6CBFC58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Возглавляемая им организация существовала до Особого совещания. Кроме Хлебармии действовали также главноуполномоченный по закупке мяса, жиров, овощей и других продуктов </w:t>
      </w:r>
      <w:r w:rsidRPr="00405303">
        <w:rPr>
          <w:bCs/>
          <w:color w:val="002060"/>
          <w:spacing w:val="0"/>
          <w:kern w:val="0"/>
          <w:position w:val="0"/>
          <w:sz w:val="16"/>
          <w:szCs w:val="16"/>
        </w:rPr>
        <w:t>(Заготосель)</w:t>
      </w:r>
      <w:r w:rsidRPr="00405303">
        <w:rPr>
          <w:bCs/>
          <w:i w:val="0"/>
          <w:color w:val="002060"/>
          <w:spacing w:val="0"/>
          <w:kern w:val="0"/>
          <w:position w:val="0"/>
          <w:sz w:val="16"/>
          <w:szCs w:val="16"/>
        </w:rPr>
        <w:t>, имевший свою канцелярию, и местные организации.</w:t>
      </w:r>
    </w:p>
    <w:p w14:paraId="140A838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Таким образом, несмотря на формальное единство, фактически действовали в ведомстве продовольствия:</w:t>
      </w:r>
    </w:p>
    <w:p w14:paraId="7264624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Особое совещание по продовольствию во главе с председателем и исполнительным органом (Управление делами);</w:t>
      </w:r>
    </w:p>
    <w:p w14:paraId="101C0DC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Главноуполномоченный по закупке хлеба со своей канцелярией и целым рядом комиссий (Хлебармия);</w:t>
      </w:r>
    </w:p>
    <w:p w14:paraId="1F492AB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Главноуполномоченный по закупке мяса, жиров, овощей со своей канцелярией (Заготосель) и соответственными при них комиссиями.</w:t>
      </w:r>
    </w:p>
    <w:p w14:paraId="54F77FE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составе Особого совещания по продовольствию были образованы три комиссии:</w:t>
      </w:r>
    </w:p>
    <w:p w14:paraId="35F26BDA"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 О снабжении армии и флота, а также сельского и городского населения хлебом и зерновым фуражом;</w:t>
      </w:r>
    </w:p>
    <w:p w14:paraId="3020671C"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 О снабжении армии и флота и городского населения мясом, маслом и сеном;</w:t>
      </w:r>
    </w:p>
    <w:p w14:paraId="662059A3" w14:textId="77777777" w:rsidR="004B4E35" w:rsidRPr="00405303" w:rsidRDefault="009E6F82" w:rsidP="00C15251">
      <w:pPr>
        <w:pStyle w:val="a3"/>
        <w:jc w:val="both"/>
        <w:rPr>
          <w:bCs/>
          <w:i w:val="0"/>
          <w:color w:val="002060"/>
          <w:spacing w:val="0"/>
          <w:kern w:val="0"/>
          <w:position w:val="0"/>
          <w:sz w:val="16"/>
          <w:szCs w:val="16"/>
        </w:rPr>
      </w:pPr>
      <w:r w:rsidRPr="00405303">
        <w:rPr>
          <w:bCs/>
          <w:color w:val="002060"/>
          <w:spacing w:val="0"/>
          <w:kern w:val="0"/>
          <w:position w:val="0"/>
          <w:sz w:val="16"/>
          <w:szCs w:val="16"/>
        </w:rPr>
        <w:t>— О мерах борьбы с дороговизною предметов первой необходимости</w:t>
      </w:r>
      <w:r w:rsidRPr="00405303">
        <w:rPr>
          <w:bCs/>
          <w:i w:val="0"/>
          <w:color w:val="002060"/>
          <w:spacing w:val="0"/>
          <w:kern w:val="0"/>
          <w:position w:val="0"/>
          <w:sz w:val="16"/>
          <w:szCs w:val="16"/>
        </w:rPr>
        <w:t>.</w:t>
      </w:r>
    </w:p>
    <w:p w14:paraId="021BB27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Затем к ним были присоединены особая экономическая и статистическая комиссия и специальная комиссия для выработки мер, направленных к сокращению потребления населением мяса, и комиссия об учете скота.</w:t>
      </w:r>
    </w:p>
    <w:p w14:paraId="7B9A101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Крупной частью аппарата Особого совещания было Центральное бюро по мукомолью. В области сахарного снабжения действовало </w:t>
      </w:r>
      <w:r w:rsidRPr="00405303">
        <w:rPr>
          <w:bCs/>
          <w:color w:val="002060"/>
          <w:spacing w:val="0"/>
          <w:kern w:val="0"/>
          <w:position w:val="0"/>
          <w:sz w:val="16"/>
          <w:szCs w:val="16"/>
        </w:rPr>
        <w:t>Центральное бюро по объединению закупок сахара (Центросахар)</w:t>
      </w:r>
      <w:r w:rsidRPr="00405303">
        <w:rPr>
          <w:bCs/>
          <w:i w:val="0"/>
          <w:color w:val="002060"/>
          <w:spacing w:val="0"/>
          <w:kern w:val="0"/>
          <w:position w:val="0"/>
          <w:sz w:val="16"/>
          <w:szCs w:val="16"/>
        </w:rPr>
        <w:t xml:space="preserve"> в Киеве, образованные 20 января 1916 г.</w:t>
      </w:r>
    </w:p>
    <w:p w14:paraId="6068172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lastRenderedPageBreak/>
        <w:t>Именно к нему должны были направляться все требования по закупке сахара — как от центральных, так и от местных организаций. На местах еще имелись соляные комитеты.</w:t>
      </w:r>
    </w:p>
    <w:p w14:paraId="144DFB9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На всех этих комиссиях лежала разработка порученных их ведению дел и представление по ним докладов Особому совещанию. Ведение делопроизводства во всех комиссиях Особого совещания возложено было на Управление делами Особого совещания.</w:t>
      </w:r>
    </w:p>
    <w:p w14:paraId="0EB93BA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целях объединения и согласования деятельности учреждений, ведающих продовольственным делом, Особое совещание, признав, что деятельность органов, занимающихся этим делом, не должна приостанавливаться и им должно быть предоставлено безостановочное ведение текущих дел и исполнение возложенных на них обязанностей, оставляло за собой обязанность объединения и согласования всех мероприятий и оказания помощи в выполнении возложенных на них задач с применением особых полномочий. Созданные на местах институты уполномоченных были местными органами по продовольственному делу.</w:t>
      </w:r>
    </w:p>
    <w:p w14:paraId="7331415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Уполномоченные председателя Особого совещания по продовольствию, 36 из которых (при общем числе 67) были губернаторы, могли на основании статьи 12 Положения об Особом совещании образовывать совещания из лиц, участие которых ими признавалось полезным.</w:t>
      </w:r>
    </w:p>
    <w:p w14:paraId="43A3923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основном местными органами по продовольственному делу были три разряда уполномоченных: уполномоченные председателя Особого совещания по продовольственному делу, уполномоченные по закупке хлеба для армии (</w:t>
      </w:r>
      <w:r w:rsidRPr="00405303">
        <w:rPr>
          <w:bCs/>
          <w:color w:val="002060"/>
          <w:spacing w:val="0"/>
          <w:kern w:val="0"/>
          <w:position w:val="0"/>
          <w:sz w:val="16"/>
          <w:szCs w:val="16"/>
        </w:rPr>
        <w:t>Хлебармия</w:t>
      </w:r>
      <w:r w:rsidRPr="00405303">
        <w:rPr>
          <w:bCs/>
          <w:i w:val="0"/>
          <w:color w:val="002060"/>
          <w:spacing w:val="0"/>
          <w:kern w:val="0"/>
          <w:position w:val="0"/>
          <w:sz w:val="16"/>
          <w:szCs w:val="16"/>
        </w:rPr>
        <w:t>) и уполномоченные по закупке мяса, масла и овощей и т.п. (11270)</w:t>
      </w:r>
    </w:p>
    <w:p w14:paraId="752E6236" w14:textId="77777777" w:rsidR="004B4E35" w:rsidRPr="00405303" w:rsidRDefault="004B4E35" w:rsidP="00C15251">
      <w:pPr>
        <w:shd w:val="clear" w:color="auto" w:fill="FFFFFF"/>
        <w:jc w:val="both"/>
        <w:rPr>
          <w:bCs/>
          <w:color w:val="002060"/>
          <w:sz w:val="16"/>
          <w:szCs w:val="16"/>
        </w:rPr>
      </w:pPr>
    </w:p>
    <w:p w14:paraId="484D430A" w14:textId="28590A90" w:rsidR="004B4E35" w:rsidRPr="00405303" w:rsidRDefault="009E6F82" w:rsidP="00C15251">
      <w:pPr>
        <w:jc w:val="both"/>
        <w:rPr>
          <w:bCs/>
          <w:color w:val="002060"/>
          <w:sz w:val="16"/>
          <w:szCs w:val="16"/>
        </w:rPr>
      </w:pPr>
      <w:r w:rsidRPr="00405303">
        <w:rPr>
          <w:bCs/>
          <w:color w:val="002060"/>
          <w:sz w:val="16"/>
          <w:szCs w:val="16"/>
        </w:rPr>
        <w:t xml:space="preserve">27 ноября (10 декабря) 1915 года </w:t>
      </w:r>
      <w:r w:rsidR="00B6540F" w:rsidRPr="00405303">
        <w:rPr>
          <w:bCs/>
          <w:color w:val="002060"/>
          <w:sz w:val="16"/>
          <w:szCs w:val="16"/>
        </w:rPr>
        <w:t xml:space="preserve">Законом </w:t>
      </w:r>
      <w:r w:rsidRPr="00405303">
        <w:rPr>
          <w:bCs/>
          <w:color w:val="002060"/>
          <w:sz w:val="16"/>
          <w:szCs w:val="16"/>
        </w:rPr>
        <w:t>председателю созданного в августе Особого совещания по продовольствию разрешалось «устанавливать в пределах империи или отдельных ее районов предельные цены на продажу продовольственных продуктов и фуража, обязательные для всех» (Развитие советской экономики / Под ред. А.А. Арутиняна и Б.Л. Маркуса. М.: Соцэкгиз, 1940. С. 42.). Однако до осени 1916 года централизованно установленные предельные цены распространялись только на закупки для нужд армии. И лишь 9 сентября 1916 года появился приказ об установлении твердых цен на хлебные продукты для всех без исключения сделок. В отличие от предельных цен, действовавших зимой 1915/16 года и являвшихся зачастую выше свободных, или, как тогда говорили, вольных, твердые цены, установленные осенью 1916 года, были ниже рыночных.</w:t>
      </w:r>
    </w:p>
    <w:p w14:paraId="5711C00E" w14:textId="77777777" w:rsidR="004B4E35" w:rsidRPr="00405303" w:rsidRDefault="009E6F82" w:rsidP="00C15251">
      <w:pPr>
        <w:jc w:val="both"/>
        <w:rPr>
          <w:bCs/>
          <w:color w:val="002060"/>
          <w:sz w:val="16"/>
          <w:szCs w:val="16"/>
        </w:rPr>
      </w:pPr>
      <w:r w:rsidRPr="00405303">
        <w:rPr>
          <w:bCs/>
          <w:color w:val="002060"/>
          <w:sz w:val="16"/>
          <w:szCs w:val="16"/>
        </w:rPr>
        <w:t>Первоначально твердые цены устанавливались почти исключительно на продукты сельскохозяйственного производства, цены же на промышленные товары долгое время оставались свободными. Землевладельцы и крестьяне были крайне недовольны таким положением. Они не хотели продавать свои продукты по низким твердым ценам, оплачивая промышленные товары по спекулятивно высоким.</w:t>
      </w:r>
    </w:p>
    <w:p w14:paraId="5F01C8BA" w14:textId="77777777" w:rsidR="004B4E35" w:rsidRPr="00405303" w:rsidRDefault="009E6F82" w:rsidP="00C15251">
      <w:pPr>
        <w:jc w:val="both"/>
        <w:rPr>
          <w:bCs/>
          <w:color w:val="002060"/>
          <w:sz w:val="16"/>
          <w:szCs w:val="16"/>
        </w:rPr>
      </w:pPr>
      <w:r w:rsidRPr="00405303">
        <w:rPr>
          <w:bCs/>
          <w:color w:val="002060"/>
          <w:sz w:val="16"/>
          <w:szCs w:val="16"/>
        </w:rPr>
        <w:t>Установление заниженных твердых цен на хлеб резко сократило его предложение на рынке. Сельскохозяйственные производители восприняли твердые цены и регламентацию рынка как попытку заставить их отдавать за дешевеющие бумажные деньги реальные ценности, причем не только государству, но и всем потребителям.</w:t>
      </w:r>
    </w:p>
    <w:p w14:paraId="627E7A22" w14:textId="77777777" w:rsidR="004B4E35" w:rsidRPr="00405303" w:rsidRDefault="009E6F82" w:rsidP="00C15251">
      <w:pPr>
        <w:jc w:val="both"/>
        <w:rPr>
          <w:bCs/>
          <w:color w:val="002060"/>
          <w:sz w:val="16"/>
          <w:szCs w:val="16"/>
        </w:rPr>
      </w:pPr>
      <w:r w:rsidRPr="00405303">
        <w:rPr>
          <w:bCs/>
          <w:color w:val="002060"/>
          <w:sz w:val="16"/>
          <w:szCs w:val="16"/>
        </w:rPr>
        <w:t>Известный экономист Н.П. Огановский в одном из сентябрьских номеров газеты «Русские ведомости» за 1916 год дал следующую характеристику сложившемуся положению: «Получается поразительная картина: посев и урожай в нынешнем году сошли в общем благополучно, у населения от прошлого года еще сохранились сотни миллионов пудов зерна, и в общем хлебные запасы у производящего населения достигают сейчас 5 млн. пудов, а потребляющее население оказывается на грани недоедания. Одна часть населения по горло зарылась в хлеб, другой грозит форменный голод. Коренную причину наблюдаемого явления нужно искать не в сфере чисто экономических отношений. Компетентные наблюдатели в один голос указывают, что всеобщее воздержание производителей хлеба от продажи больше всего зависит от современной психологии деревни: крестьяне потеряли доверие к реальной ценности денежных знаков и стремятся сберечь на черный день основу своего существования — хлеб, реальная ценность которого при всяких условиях непоколебима»( Цит. по: Кузовков Д.В. Основные моменты распада и восстановления денежной системы. С. 41.).</w:t>
      </w:r>
    </w:p>
    <w:p w14:paraId="29206024" w14:textId="77777777" w:rsidR="004B4E35" w:rsidRPr="00405303" w:rsidRDefault="009E6F82" w:rsidP="00C15251">
      <w:pPr>
        <w:jc w:val="both"/>
        <w:rPr>
          <w:bCs/>
          <w:color w:val="002060"/>
          <w:sz w:val="16"/>
          <w:szCs w:val="16"/>
        </w:rPr>
      </w:pPr>
      <w:r w:rsidRPr="00405303">
        <w:rPr>
          <w:bCs/>
          <w:color w:val="002060"/>
          <w:sz w:val="16"/>
          <w:szCs w:val="16"/>
        </w:rPr>
        <w:t>Правительство пыталось решить возникшую проблему. По инициативе министра земледелия А.А.Риттиха, являвшегося одновременно председателем Особого совещания по продовольствию, 29 ноября 1916 года было утверждено и 2 декабря опубликовано постановление «О разверстке зерновых хлебов и фуража, приобретаемых для потребностей, связанных с обороной» (Кондратьев Н.Д. Указ. соч. С. 106.). Это было новое слово в организации хлебных заготовок. По действовавшему до тех пор порядку размер хлебных поставок отдельными губерниями на предстоящий год определялся, да и то предположительно, на съездах уполномоченных на основании имевшихся данных о сборе и местных потребностях. Смысл постановления о разверстке сводился к тому, чтобы придать нарядам, выдаваемым губерниям, уездам и волостям, форму обязательности. Правда, сначала для выработки плана разверстки предполагалось созвать продовольственный съезд уполномоченных и представителей земств, но этого не сделали, и многие сочли объявленную продразверстку продуктом бюрократического законотворчества. Поэтому некоторые губернии проигнорировали ее, сохранив прежний порядок заготовок, другие, хотя и приняли, но определили для себя гораздо меньшие объемы заготовок, чем были установлены министерством. Производителям же разверстка представлялась, как и позднее, уже в советское время, простым захватом хлеба. В целом эксперимент дал довольно скромные результаты: вместо запланированных 506,5 млн. пудов хлебных продуктов было получено, по разным оценкам, лишь 100—130 млн. пудов от крестьянских хозяйств и около 40 млн. — от помещичьих (Яшнов Е.Е. Итоги Риттиховской разверстки // Известия по продовольственному делу. 1917. № 1(32). Май 1917. С. 11; Юровский Л.Н. Денежная политика Советской власти (1917— 1927). М.: Финиздат, 1928. С. 23.).</w:t>
      </w:r>
    </w:p>
    <w:p w14:paraId="5A150D3C" w14:textId="77777777" w:rsidR="004B4E35" w:rsidRPr="00405303" w:rsidRDefault="009E6F82" w:rsidP="00C15251">
      <w:pPr>
        <w:jc w:val="both"/>
        <w:rPr>
          <w:bCs/>
          <w:color w:val="002060"/>
          <w:sz w:val="16"/>
          <w:szCs w:val="16"/>
        </w:rPr>
      </w:pPr>
      <w:r w:rsidRPr="00405303">
        <w:rPr>
          <w:bCs/>
          <w:color w:val="002060"/>
          <w:sz w:val="16"/>
          <w:szCs w:val="16"/>
        </w:rPr>
        <w:t>СТАВШАЯ реальной угроза голода в сочетании с общим ухудшением экономического положения, топливным, сырьевым и транспортным кризисами окончательно подорвала доверие всех слоев общества к самодержавию. Показательно, что массовые демонстрации под лозунгами свержения монархической власти и прекращения войны, которые привели к отречению Николая II от престола, выросли из волнений, начавшихся 23 февраля 1917 года, в Международный женский день среди жен, сестер и матерей рабочих, простоявших всю ночь в мороз у хлебных лавок в очередях за хлебом, которого так и не смогли купить из-за его отсутствия.</w:t>
      </w:r>
    </w:p>
    <w:p w14:paraId="74A98D90" w14:textId="77777777" w:rsidR="004B4E35" w:rsidRPr="00405303" w:rsidRDefault="009E6F82" w:rsidP="00C15251">
      <w:pPr>
        <w:jc w:val="both"/>
        <w:rPr>
          <w:bCs/>
          <w:color w:val="002060"/>
          <w:sz w:val="16"/>
          <w:szCs w:val="16"/>
        </w:rPr>
      </w:pPr>
      <w:r w:rsidRPr="00405303">
        <w:rPr>
          <w:bCs/>
          <w:color w:val="002060"/>
          <w:sz w:val="16"/>
          <w:szCs w:val="16"/>
        </w:rPr>
        <w:t>Разумеется, если бы монархии удалось сохранить патриотический подъем начала войны и поддержку офицерского корпуса и армии в целом, то положение не оказалось бы столь катастрофическим. Но за годы войны вооруженные силы вместе с обществом претерпели существенные изменения, и лозунг «За веру, царя и Отечество» уже мало кого воодушевлял. Пехотные полки — основа армии — потеряли по нескольку комплектов рядового и офицерского состава: лишь в немногих из них потери убитыми и ранеными составляли 300 проц., чаще они достигали 400—500 проц. и более. К осени 1917 года кадровые офицеры составляли лишь около 4 проц. всего офицерского корпуса русской армии, а остальные 96 проц. являлись офицерами военного времени (Ратьковский И.С., Ходяков М.В. История советской России. Гл. 1. // www.history.pu.ru.). Стремление к миру, скорейшему окончанию длительной войны стало главным в настроениях армии снизу доверху. В дни политического кризиса февраля—марта 1917 года из высшего командного состава государя поддержали лишь два генерала — командующие кавалерийскими корпусами.</w:t>
      </w:r>
    </w:p>
    <w:p w14:paraId="27A8B431" w14:textId="77777777" w:rsidR="004B4E35" w:rsidRPr="00405303" w:rsidRDefault="009E6F82" w:rsidP="00C15251">
      <w:pPr>
        <w:jc w:val="both"/>
        <w:rPr>
          <w:bCs/>
          <w:color w:val="002060"/>
          <w:sz w:val="16"/>
          <w:szCs w:val="16"/>
        </w:rPr>
      </w:pPr>
      <w:r w:rsidRPr="00405303">
        <w:rPr>
          <w:bCs/>
          <w:color w:val="002060"/>
          <w:sz w:val="16"/>
          <w:szCs w:val="16"/>
        </w:rPr>
        <w:t>Пришедшее к власти в результате Февральской революции Временное правительство не только не смогло предотвратить дальнейшее ухудшение экономического положения, но и объективно способствовало нарастанию кризисных явлений. Курс на продолжение войны до победного конца при пустой казне и свертывающемся кредите (попытка пополнить казну за счет объявленного 26 марта 1917 года «Займа свободы» провалилась) вынуждал все активнее использовать печатный станок. Если царское правительство до февраля 1917 года покрыло за счет эмиссии 29,0 проц. общей суммы военных расходов, то Временное за первые четыре месяца — 44,0 проц., за следующие четыре — 66,5 проц. Всего за восемь месяцев своего существования Временное правительство выпустило в обращение бумажных денег больше, чем царское за тридцать два месяца войны. Резко ускорилась инфляция. Если в 1914 году общий уровень цен вырос на 28,7 проц., в 1915-м — на 20,2, в 1916-м — на 93,5, то в 1917 году — уже на 683,3 проц. Покупательная способность рубля снизилась к началу октября 1917 года до 6—7 довоенных копеек (Атлас З.В. Деньги и кредит (при капитализме и в СССР). М.; Л.: Госиздат, 1930. С. 81; Гусаков А.Д. Очерки по денежному обращению России. Накануне и в период Октябрьской социалистической революции. М.: Госфиниздат, 1946. С. 37, 38, 52.) (11177).</w:t>
      </w:r>
    </w:p>
    <w:p w14:paraId="0E157E6A" w14:textId="77777777" w:rsidR="004B4E35" w:rsidRPr="00405303" w:rsidRDefault="004B4E35" w:rsidP="00C15251">
      <w:pPr>
        <w:jc w:val="both"/>
        <w:rPr>
          <w:bCs/>
          <w:color w:val="002060"/>
          <w:sz w:val="16"/>
          <w:szCs w:val="16"/>
        </w:rPr>
      </w:pPr>
    </w:p>
    <w:p w14:paraId="699F6E57" w14:textId="77777777" w:rsidR="008B591E" w:rsidRPr="00405303" w:rsidRDefault="008B591E" w:rsidP="00C15251">
      <w:pPr>
        <w:jc w:val="both"/>
        <w:rPr>
          <w:bCs/>
          <w:i/>
          <w:color w:val="002060"/>
          <w:sz w:val="16"/>
          <w:szCs w:val="16"/>
        </w:rPr>
      </w:pPr>
      <w:r w:rsidRPr="00405303">
        <w:rPr>
          <w:bCs/>
          <w:i/>
          <w:color w:val="002060"/>
          <w:sz w:val="16"/>
          <w:szCs w:val="16"/>
        </w:rPr>
        <w:t>За рубежом:</w:t>
      </w:r>
    </w:p>
    <w:p w14:paraId="2458E489" w14:textId="77777777" w:rsidR="008B591E" w:rsidRPr="00405303" w:rsidRDefault="008B591E" w:rsidP="00C15251">
      <w:pPr>
        <w:jc w:val="both"/>
        <w:rPr>
          <w:bCs/>
          <w:i/>
          <w:color w:val="002060"/>
          <w:sz w:val="16"/>
          <w:szCs w:val="16"/>
        </w:rPr>
      </w:pPr>
    </w:p>
    <w:p w14:paraId="014428F3" w14:textId="77777777" w:rsidR="008B591E" w:rsidRPr="00405303" w:rsidRDefault="008B591E" w:rsidP="00C15251">
      <w:pPr>
        <w:jc w:val="both"/>
        <w:rPr>
          <w:bCs/>
          <w:color w:val="002060"/>
          <w:sz w:val="16"/>
          <w:szCs w:val="16"/>
        </w:rPr>
      </w:pPr>
      <w:r w:rsidRPr="00405303">
        <w:rPr>
          <w:bCs/>
          <w:color w:val="002060"/>
          <w:sz w:val="16"/>
          <w:szCs w:val="16"/>
        </w:rPr>
        <w:lastRenderedPageBreak/>
        <w:t>27 ноября (10 декабря) 1915 г. немецкие броневики были готовы и приняты на вооружение германский армии. Наконец, 21 февраля 1916 г. при Генеральном командовании гвардейского корпуса сформировали 1-й бронеавтомобильный пулеметный взвод (16 ноября переименован в отделение) и в составе 7-й армии отправили его на Западный фронт. Во взводе имелся всего один бронеавтомобиль «Даймлер», остальные машины еще требовали доводки (12256).</w:t>
      </w:r>
    </w:p>
    <w:p w14:paraId="2EE3A933" w14:textId="77777777" w:rsidR="008B591E" w:rsidRPr="00405303" w:rsidRDefault="008B591E" w:rsidP="00C15251">
      <w:pPr>
        <w:jc w:val="both"/>
        <w:rPr>
          <w:bCs/>
          <w:color w:val="002060"/>
          <w:sz w:val="16"/>
          <w:szCs w:val="16"/>
        </w:rPr>
      </w:pPr>
    </w:p>
    <w:p w14:paraId="6EDEE8D6" w14:textId="77777777" w:rsidR="00993C18" w:rsidRPr="00405303" w:rsidRDefault="00993C18" w:rsidP="00C15251">
      <w:pPr>
        <w:jc w:val="both"/>
        <w:rPr>
          <w:bCs/>
          <w:color w:val="002060"/>
          <w:sz w:val="16"/>
          <w:szCs w:val="16"/>
        </w:rPr>
      </w:pPr>
      <w:r w:rsidRPr="00405303">
        <w:rPr>
          <w:rStyle w:val="ucoz-forum-post"/>
          <w:bCs/>
          <w:color w:val="002060"/>
          <w:sz w:val="16"/>
          <w:szCs w:val="16"/>
        </w:rPr>
        <w:t xml:space="preserve">27 ноября (10 декабря) </w:t>
      </w:r>
      <w:r w:rsidRPr="00405303">
        <w:rPr>
          <w:bCs/>
          <w:color w:val="002060"/>
          <w:sz w:val="16"/>
          <w:szCs w:val="16"/>
        </w:rPr>
        <w:t>в 1915 году на заводах Форда был собран 1 000 000 автомобилей «Ford T» (14856).</w:t>
      </w:r>
    </w:p>
    <w:p w14:paraId="789740E1" w14:textId="77777777" w:rsidR="00993C18" w:rsidRPr="00405303" w:rsidRDefault="00993C18" w:rsidP="00C15251">
      <w:pPr>
        <w:jc w:val="both"/>
        <w:rPr>
          <w:bCs/>
          <w:color w:val="002060"/>
          <w:sz w:val="16"/>
          <w:szCs w:val="16"/>
        </w:rPr>
      </w:pPr>
    </w:p>
    <w:p w14:paraId="2D1DD6D6" w14:textId="77777777" w:rsidR="00D41A9E" w:rsidRPr="00405303" w:rsidRDefault="00D41A9E" w:rsidP="00C15251">
      <w:pPr>
        <w:jc w:val="both"/>
        <w:rPr>
          <w:bCs/>
          <w:color w:val="002060"/>
          <w:sz w:val="16"/>
          <w:szCs w:val="16"/>
        </w:rPr>
      </w:pPr>
      <w:r w:rsidRPr="00405303">
        <w:rPr>
          <w:bCs/>
          <w:color w:val="002060"/>
          <w:sz w:val="16"/>
          <w:szCs w:val="16"/>
        </w:rPr>
        <w:t>27 ноября (9 декабря) 1915 г. после посещения испытаний в Суене опытного образца бронированного трактора Baby Holt Этьен составил докладную записку, в которой изложил свои предложения по переоборудованию тракторов в «сухопутные линкоры» (cuirasses terrestres), которые уничтожали бы пулеметные гнезда противника.</w:t>
      </w:r>
    </w:p>
    <w:p w14:paraId="6CC78863" w14:textId="77777777" w:rsidR="00D41A9E" w:rsidRPr="00405303" w:rsidRDefault="00D41A9E" w:rsidP="00C15251">
      <w:pPr>
        <w:jc w:val="both"/>
        <w:rPr>
          <w:bCs/>
          <w:color w:val="002060"/>
          <w:sz w:val="16"/>
          <w:szCs w:val="16"/>
        </w:rPr>
      </w:pPr>
      <w:r w:rsidRPr="00405303">
        <w:rPr>
          <w:bCs/>
          <w:color w:val="002060"/>
          <w:sz w:val="16"/>
          <w:szCs w:val="16"/>
        </w:rPr>
        <w:t>Машина должна была вооружаться 37-мм пушкой (для борьбы с защищенными пулеметными точками) и двумя пулеметами (для самообороны), иметь толщину брони 15–20 мм, экипаж из четырех человек и быть способна пересекать траншеи и заграждения из колючей проволоки. При массе в 12 т и двигателе мощностью 80 л. с. «линкор» должен был передвигаться со скоростью 3–9 км/ч и буксировать бронированный прицеп с 20 пехотинцами (массой 7 т). Этьен также детально обосновал принципы боевого применения «сухопутных линкоров», предлагая использовать их массированно и с соблюдением принципа внезапности — начиная атаку на рассвете и без артиллерийской подготовки. Цель — захватить две первые линии окопов и обеспечить продвижение пехоты (22820).</w:t>
      </w:r>
    </w:p>
    <w:p w14:paraId="3DC82418" w14:textId="77777777" w:rsidR="00D41A9E" w:rsidRPr="00405303" w:rsidRDefault="00D41A9E" w:rsidP="00C15251">
      <w:pPr>
        <w:jc w:val="both"/>
        <w:rPr>
          <w:bCs/>
          <w:color w:val="002060"/>
          <w:sz w:val="16"/>
          <w:szCs w:val="16"/>
        </w:rPr>
      </w:pPr>
    </w:p>
    <w:p w14:paraId="501CF0E0" w14:textId="5EA39308" w:rsidR="001D2D2A" w:rsidRPr="00405303" w:rsidRDefault="001D2D2A" w:rsidP="00C15251">
      <w:pPr>
        <w:jc w:val="both"/>
        <w:rPr>
          <w:bCs/>
          <w:i/>
          <w:color w:val="002060"/>
          <w:sz w:val="16"/>
          <w:szCs w:val="16"/>
        </w:rPr>
      </w:pPr>
      <w:r w:rsidRPr="00405303">
        <w:rPr>
          <w:bCs/>
          <w:i/>
          <w:color w:val="002060"/>
          <w:sz w:val="16"/>
          <w:szCs w:val="16"/>
        </w:rPr>
        <w:t>Самолетостроение:</w:t>
      </w:r>
    </w:p>
    <w:p w14:paraId="0151A855" w14:textId="77777777" w:rsidR="001D2D2A" w:rsidRPr="00405303" w:rsidRDefault="001D2D2A" w:rsidP="00C15251">
      <w:pPr>
        <w:jc w:val="both"/>
        <w:rPr>
          <w:bCs/>
          <w:i/>
          <w:color w:val="002060"/>
          <w:sz w:val="16"/>
          <w:szCs w:val="16"/>
        </w:rPr>
      </w:pPr>
    </w:p>
    <w:p w14:paraId="4749277A" w14:textId="726A42E4" w:rsidR="001D2D2A" w:rsidRPr="00405303" w:rsidRDefault="001D2D2A" w:rsidP="00C15251">
      <w:pPr>
        <w:jc w:val="both"/>
        <w:rPr>
          <w:bCs/>
          <w:color w:val="002060"/>
          <w:sz w:val="16"/>
          <w:szCs w:val="16"/>
        </w:rPr>
      </w:pPr>
      <w:r w:rsidRPr="00405303">
        <w:rPr>
          <w:bCs/>
          <w:color w:val="002060"/>
          <w:sz w:val="16"/>
          <w:szCs w:val="16"/>
        </w:rPr>
        <w:t>28 ноября (1</w:t>
      </w:r>
      <w:r w:rsidR="00B6540F" w:rsidRPr="00405303">
        <w:rPr>
          <w:bCs/>
          <w:color w:val="002060"/>
          <w:sz w:val="16"/>
          <w:szCs w:val="16"/>
        </w:rPr>
        <w:t>1</w:t>
      </w:r>
      <w:r w:rsidRPr="00405303">
        <w:rPr>
          <w:bCs/>
          <w:color w:val="002060"/>
          <w:sz w:val="16"/>
          <w:szCs w:val="16"/>
        </w:rPr>
        <w:t xml:space="preserve"> декабря) 1915 года </w:t>
      </w:r>
    </w:p>
    <w:p w14:paraId="5C7C5806" w14:textId="77777777" w:rsidR="001D2D2A" w:rsidRPr="00405303" w:rsidRDefault="001D2D2A" w:rsidP="00C15251">
      <w:pPr>
        <w:jc w:val="both"/>
        <w:rPr>
          <w:bCs/>
          <w:color w:val="002060"/>
          <w:sz w:val="16"/>
          <w:szCs w:val="16"/>
        </w:rPr>
      </w:pPr>
      <w:r w:rsidRPr="00405303">
        <w:rPr>
          <w:bCs/>
          <w:color w:val="002060"/>
          <w:sz w:val="16"/>
          <w:szCs w:val="16"/>
        </w:rPr>
        <w:t>Копия.</w:t>
      </w:r>
    </w:p>
    <w:p w14:paraId="2949BCD1" w14:textId="77777777" w:rsidR="001D2D2A" w:rsidRPr="00405303" w:rsidRDefault="001D2D2A" w:rsidP="00C15251">
      <w:pPr>
        <w:jc w:val="both"/>
        <w:rPr>
          <w:bCs/>
          <w:color w:val="002060"/>
          <w:sz w:val="16"/>
          <w:szCs w:val="16"/>
        </w:rPr>
      </w:pPr>
      <w:r w:rsidRPr="00405303">
        <w:rPr>
          <w:bCs/>
          <w:color w:val="002060"/>
          <w:sz w:val="16"/>
          <w:szCs w:val="16"/>
        </w:rPr>
        <w:t>Совершенно секретно.</w:t>
      </w:r>
    </w:p>
    <w:p w14:paraId="0CDD6137" w14:textId="77777777" w:rsidR="001D2D2A" w:rsidRPr="00405303" w:rsidRDefault="001D2D2A" w:rsidP="00C15251">
      <w:pPr>
        <w:jc w:val="both"/>
        <w:rPr>
          <w:bCs/>
          <w:color w:val="002060"/>
          <w:sz w:val="16"/>
          <w:szCs w:val="16"/>
        </w:rPr>
      </w:pPr>
      <w:r w:rsidRPr="00405303">
        <w:rPr>
          <w:bCs/>
          <w:color w:val="002060"/>
          <w:sz w:val="16"/>
          <w:szCs w:val="16"/>
        </w:rPr>
        <w:t>Журнал № 28</w:t>
      </w:r>
    </w:p>
    <w:p w14:paraId="23E732CE" w14:textId="77777777" w:rsidR="001D2D2A" w:rsidRPr="00405303" w:rsidRDefault="001D2D2A" w:rsidP="00C15251">
      <w:pPr>
        <w:jc w:val="both"/>
        <w:rPr>
          <w:bCs/>
          <w:color w:val="002060"/>
          <w:sz w:val="16"/>
          <w:szCs w:val="16"/>
        </w:rPr>
      </w:pPr>
      <w:r w:rsidRPr="00405303">
        <w:rPr>
          <w:bCs/>
          <w:color w:val="002060"/>
          <w:sz w:val="16"/>
          <w:szCs w:val="16"/>
        </w:rPr>
        <w:t>Особого Совещания для обсуждения и объединения мероприятий по обороне государства.</w:t>
      </w:r>
    </w:p>
    <w:p w14:paraId="7794C8AC" w14:textId="77777777" w:rsidR="001D2D2A" w:rsidRPr="00405303" w:rsidRDefault="001D2D2A" w:rsidP="00C15251">
      <w:pPr>
        <w:jc w:val="both"/>
        <w:rPr>
          <w:bCs/>
          <w:color w:val="002060"/>
          <w:sz w:val="16"/>
          <w:szCs w:val="16"/>
        </w:rPr>
      </w:pPr>
      <w:r w:rsidRPr="00405303">
        <w:rPr>
          <w:bCs/>
          <w:color w:val="002060"/>
          <w:sz w:val="16"/>
          <w:szCs w:val="16"/>
        </w:rPr>
        <w:t>Заседание 28 ноября 1915 года.</w:t>
      </w:r>
    </w:p>
    <w:p w14:paraId="21E36566" w14:textId="77777777" w:rsidR="001D2D2A" w:rsidRPr="00405303" w:rsidRDefault="001D2D2A" w:rsidP="00C15251">
      <w:pPr>
        <w:jc w:val="both"/>
        <w:rPr>
          <w:bCs/>
          <w:color w:val="002060"/>
          <w:sz w:val="16"/>
          <w:szCs w:val="16"/>
        </w:rPr>
      </w:pPr>
      <w:r w:rsidRPr="00405303">
        <w:rPr>
          <w:bCs/>
          <w:color w:val="002060"/>
          <w:sz w:val="16"/>
          <w:szCs w:val="16"/>
        </w:rPr>
        <w:t>Председательствовал генерал от инфантерии.А. А. Поливанов.</w:t>
      </w:r>
    </w:p>
    <w:p w14:paraId="2BB5B7B9" w14:textId="77777777" w:rsidR="001D2D2A" w:rsidRPr="00405303" w:rsidRDefault="001D2D2A" w:rsidP="00C15251">
      <w:pPr>
        <w:jc w:val="both"/>
        <w:rPr>
          <w:bCs/>
          <w:color w:val="002060"/>
          <w:sz w:val="16"/>
          <w:szCs w:val="16"/>
        </w:rPr>
      </w:pPr>
      <w:r w:rsidRPr="00405303">
        <w:rPr>
          <w:bCs/>
          <w:color w:val="002060"/>
          <w:sz w:val="16"/>
          <w:szCs w:val="16"/>
        </w:rPr>
        <w:t>Присутствовали:</w:t>
      </w:r>
    </w:p>
    <w:p w14:paraId="7555FA7D" w14:textId="77777777" w:rsidR="001D2D2A" w:rsidRPr="00405303" w:rsidRDefault="001D2D2A" w:rsidP="00C15251">
      <w:pPr>
        <w:jc w:val="both"/>
        <w:rPr>
          <w:bCs/>
          <w:color w:val="002060"/>
          <w:sz w:val="16"/>
          <w:szCs w:val="16"/>
        </w:rPr>
      </w:pPr>
      <w:r w:rsidRPr="00405303">
        <w:rPr>
          <w:bCs/>
          <w:color w:val="002060"/>
          <w:sz w:val="16"/>
          <w:szCs w:val="16"/>
        </w:rPr>
        <w:t xml:space="preserve">Министр торговли и </w:t>
      </w:r>
      <w:proofErr w:type="gramStart"/>
      <w:r w:rsidRPr="00405303">
        <w:rPr>
          <w:bCs/>
          <w:color w:val="002060"/>
          <w:sz w:val="16"/>
          <w:szCs w:val="16"/>
        </w:rPr>
        <w:t>промышленностикн .</w:t>
      </w:r>
      <w:proofErr w:type="gramEnd"/>
      <w:r w:rsidRPr="00405303">
        <w:rPr>
          <w:bCs/>
          <w:color w:val="002060"/>
          <w:sz w:val="16"/>
          <w:szCs w:val="16"/>
        </w:rPr>
        <w:t>В. Н. Шаховской.</w:t>
      </w:r>
    </w:p>
    <w:p w14:paraId="7E7775C8" w14:textId="77777777" w:rsidR="001D2D2A" w:rsidRPr="00405303" w:rsidRDefault="001D2D2A" w:rsidP="00C15251">
      <w:pPr>
        <w:jc w:val="both"/>
        <w:rPr>
          <w:bCs/>
          <w:color w:val="002060"/>
          <w:sz w:val="16"/>
          <w:szCs w:val="16"/>
        </w:rPr>
      </w:pPr>
      <w:r w:rsidRPr="00405303">
        <w:rPr>
          <w:bCs/>
          <w:color w:val="002060"/>
          <w:sz w:val="16"/>
          <w:szCs w:val="16"/>
        </w:rPr>
        <w:t>Председатель Государственного Совета. А.Н. Куломзин.</w:t>
      </w:r>
    </w:p>
    <w:p w14:paraId="47EE7AE8" w14:textId="77777777" w:rsidR="001D2D2A" w:rsidRPr="00405303" w:rsidRDefault="001D2D2A" w:rsidP="00C15251">
      <w:pPr>
        <w:jc w:val="both"/>
        <w:rPr>
          <w:bCs/>
          <w:color w:val="002060"/>
          <w:sz w:val="16"/>
          <w:szCs w:val="16"/>
        </w:rPr>
      </w:pPr>
      <w:r w:rsidRPr="00405303">
        <w:rPr>
          <w:bCs/>
          <w:color w:val="002060"/>
          <w:sz w:val="16"/>
          <w:szCs w:val="16"/>
        </w:rPr>
        <w:t xml:space="preserve">Член Государственного </w:t>
      </w:r>
      <w:proofErr w:type="gramStart"/>
      <w:r w:rsidRPr="00405303">
        <w:rPr>
          <w:bCs/>
          <w:color w:val="002060"/>
          <w:sz w:val="16"/>
          <w:szCs w:val="16"/>
        </w:rPr>
        <w:t>Совета .</w:t>
      </w:r>
      <w:proofErr w:type="gramEnd"/>
      <w:r w:rsidRPr="00405303">
        <w:rPr>
          <w:bCs/>
          <w:color w:val="002060"/>
          <w:sz w:val="16"/>
          <w:szCs w:val="16"/>
        </w:rPr>
        <w:t xml:space="preserve"> С.И. Тимашев.</w:t>
      </w:r>
    </w:p>
    <w:p w14:paraId="22EDFCDC" w14:textId="77777777" w:rsidR="001D2D2A" w:rsidRPr="00405303" w:rsidRDefault="001D2D2A" w:rsidP="00C15251">
      <w:pPr>
        <w:jc w:val="both"/>
        <w:rPr>
          <w:bCs/>
          <w:color w:val="002060"/>
          <w:sz w:val="16"/>
          <w:szCs w:val="16"/>
        </w:rPr>
      </w:pPr>
      <w:r w:rsidRPr="00405303">
        <w:rPr>
          <w:bCs/>
          <w:color w:val="002060"/>
          <w:sz w:val="16"/>
          <w:szCs w:val="16"/>
        </w:rPr>
        <w:t>» » ». В. И. Тимирязев.</w:t>
      </w:r>
    </w:p>
    <w:p w14:paraId="1F0A50F3" w14:textId="77777777" w:rsidR="001D2D2A" w:rsidRPr="00405303" w:rsidRDefault="001D2D2A" w:rsidP="00C15251">
      <w:pPr>
        <w:jc w:val="both"/>
        <w:rPr>
          <w:bCs/>
          <w:color w:val="002060"/>
          <w:sz w:val="16"/>
          <w:szCs w:val="16"/>
        </w:rPr>
      </w:pPr>
      <w:r w:rsidRPr="00405303">
        <w:rPr>
          <w:bCs/>
          <w:color w:val="002060"/>
          <w:sz w:val="16"/>
          <w:szCs w:val="16"/>
        </w:rPr>
        <w:t>» » ». А. С. Стишинский.</w:t>
      </w:r>
    </w:p>
    <w:p w14:paraId="69D049A0" w14:textId="77777777" w:rsidR="001D2D2A" w:rsidRPr="00405303" w:rsidRDefault="001D2D2A" w:rsidP="00C15251">
      <w:pPr>
        <w:jc w:val="both"/>
        <w:rPr>
          <w:bCs/>
          <w:color w:val="002060"/>
          <w:sz w:val="16"/>
          <w:szCs w:val="16"/>
        </w:rPr>
      </w:pPr>
      <w:r w:rsidRPr="00405303">
        <w:rPr>
          <w:bCs/>
          <w:color w:val="002060"/>
          <w:sz w:val="16"/>
          <w:szCs w:val="16"/>
        </w:rPr>
        <w:t>» » ». В. И. Гурко.</w:t>
      </w:r>
    </w:p>
    <w:p w14:paraId="76A566AC" w14:textId="77777777" w:rsidR="001D2D2A" w:rsidRPr="00405303" w:rsidRDefault="001D2D2A" w:rsidP="00C15251">
      <w:pPr>
        <w:jc w:val="both"/>
        <w:rPr>
          <w:bCs/>
          <w:color w:val="002060"/>
          <w:sz w:val="16"/>
          <w:szCs w:val="16"/>
        </w:rPr>
      </w:pPr>
      <w:r w:rsidRPr="00405303">
        <w:rPr>
          <w:bCs/>
          <w:color w:val="002060"/>
          <w:sz w:val="16"/>
          <w:szCs w:val="16"/>
        </w:rPr>
        <w:t>» » ».. М. А. Стахович.</w:t>
      </w:r>
    </w:p>
    <w:p w14:paraId="4260D5BC" w14:textId="77777777" w:rsidR="001D2D2A" w:rsidRPr="00405303" w:rsidRDefault="001D2D2A" w:rsidP="00C15251">
      <w:pPr>
        <w:jc w:val="both"/>
        <w:rPr>
          <w:bCs/>
          <w:color w:val="002060"/>
          <w:sz w:val="16"/>
          <w:szCs w:val="16"/>
        </w:rPr>
      </w:pPr>
      <w:r w:rsidRPr="00405303">
        <w:rPr>
          <w:bCs/>
          <w:color w:val="002060"/>
          <w:sz w:val="16"/>
          <w:szCs w:val="16"/>
        </w:rPr>
        <w:t>» » ».. А. И. Мосолов.</w:t>
      </w:r>
    </w:p>
    <w:p w14:paraId="17F473E0" w14:textId="77777777" w:rsidR="001D2D2A" w:rsidRPr="00405303" w:rsidRDefault="001D2D2A"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 xml:space="preserve"> граф С. А. Толь.</w:t>
      </w:r>
    </w:p>
    <w:p w14:paraId="180E2567" w14:textId="77777777" w:rsidR="001D2D2A" w:rsidRPr="00405303" w:rsidRDefault="001D2D2A" w:rsidP="00C15251">
      <w:pPr>
        <w:jc w:val="both"/>
        <w:rPr>
          <w:bCs/>
          <w:color w:val="002060"/>
          <w:sz w:val="16"/>
          <w:szCs w:val="16"/>
        </w:rPr>
      </w:pPr>
      <w:r w:rsidRPr="00405303">
        <w:rPr>
          <w:bCs/>
          <w:color w:val="002060"/>
          <w:sz w:val="16"/>
          <w:szCs w:val="16"/>
        </w:rPr>
        <w:t>» » ». И. А. Шебеко.</w:t>
      </w:r>
    </w:p>
    <w:p w14:paraId="71BDAFC4" w14:textId="77777777" w:rsidR="001D2D2A" w:rsidRPr="00405303" w:rsidRDefault="001D2D2A" w:rsidP="00C15251">
      <w:pPr>
        <w:jc w:val="both"/>
        <w:rPr>
          <w:bCs/>
          <w:color w:val="002060"/>
          <w:sz w:val="16"/>
          <w:szCs w:val="16"/>
        </w:rPr>
      </w:pPr>
      <w:r w:rsidRPr="00405303">
        <w:rPr>
          <w:bCs/>
          <w:color w:val="002060"/>
          <w:sz w:val="16"/>
          <w:szCs w:val="16"/>
        </w:rPr>
        <w:t xml:space="preserve">Председатель Государственной </w:t>
      </w:r>
      <w:proofErr w:type="gramStart"/>
      <w:r w:rsidRPr="00405303">
        <w:rPr>
          <w:bCs/>
          <w:color w:val="002060"/>
          <w:sz w:val="16"/>
          <w:szCs w:val="16"/>
        </w:rPr>
        <w:t>Думы..</w:t>
      </w:r>
      <w:proofErr w:type="gramEnd"/>
      <w:r w:rsidRPr="00405303">
        <w:rPr>
          <w:bCs/>
          <w:color w:val="002060"/>
          <w:sz w:val="16"/>
          <w:szCs w:val="16"/>
        </w:rPr>
        <w:t xml:space="preserve"> М.В. Родзянко.</w:t>
      </w:r>
    </w:p>
    <w:p w14:paraId="150CD9C2" w14:textId="77777777" w:rsidR="001D2D2A" w:rsidRPr="00405303" w:rsidRDefault="001D2D2A" w:rsidP="00C15251">
      <w:pPr>
        <w:jc w:val="both"/>
        <w:rPr>
          <w:bCs/>
          <w:color w:val="002060"/>
          <w:sz w:val="16"/>
          <w:szCs w:val="16"/>
        </w:rPr>
      </w:pPr>
      <w:r w:rsidRPr="00405303">
        <w:rPr>
          <w:bCs/>
          <w:color w:val="002060"/>
          <w:sz w:val="16"/>
          <w:szCs w:val="16"/>
        </w:rPr>
        <w:t xml:space="preserve">Член Государственной </w:t>
      </w:r>
      <w:proofErr w:type="gramStart"/>
      <w:r w:rsidRPr="00405303">
        <w:rPr>
          <w:bCs/>
          <w:color w:val="002060"/>
          <w:sz w:val="16"/>
          <w:szCs w:val="16"/>
        </w:rPr>
        <w:t>Думы .</w:t>
      </w:r>
      <w:proofErr w:type="gramEnd"/>
      <w:r w:rsidRPr="00405303">
        <w:rPr>
          <w:bCs/>
          <w:color w:val="002060"/>
          <w:sz w:val="16"/>
          <w:szCs w:val="16"/>
        </w:rPr>
        <w:t xml:space="preserve"> А. А. Добровольский.</w:t>
      </w:r>
    </w:p>
    <w:p w14:paraId="290A9C27" w14:textId="77777777" w:rsidR="001D2D2A" w:rsidRPr="00405303" w:rsidRDefault="001D2D2A" w:rsidP="00C15251">
      <w:pPr>
        <w:jc w:val="both"/>
        <w:rPr>
          <w:bCs/>
          <w:color w:val="002060"/>
          <w:sz w:val="16"/>
          <w:szCs w:val="16"/>
        </w:rPr>
      </w:pPr>
      <w:r w:rsidRPr="00405303">
        <w:rPr>
          <w:bCs/>
          <w:color w:val="002060"/>
          <w:sz w:val="16"/>
          <w:szCs w:val="16"/>
        </w:rPr>
        <w:t>» » ». И.Н. Ефремов.</w:t>
      </w:r>
    </w:p>
    <w:p w14:paraId="1715523F" w14:textId="77777777" w:rsidR="001D2D2A" w:rsidRPr="00405303" w:rsidRDefault="001D2D2A" w:rsidP="00C15251">
      <w:pPr>
        <w:jc w:val="both"/>
        <w:rPr>
          <w:bCs/>
          <w:color w:val="002060"/>
          <w:sz w:val="16"/>
          <w:szCs w:val="16"/>
        </w:rPr>
      </w:pPr>
      <w:r w:rsidRPr="00405303">
        <w:rPr>
          <w:bCs/>
          <w:color w:val="002060"/>
          <w:sz w:val="16"/>
          <w:szCs w:val="16"/>
        </w:rPr>
        <w:t>» » ». Я. В. Савич.</w:t>
      </w:r>
    </w:p>
    <w:p w14:paraId="2800F8B4" w14:textId="77777777" w:rsidR="001D2D2A" w:rsidRPr="00405303" w:rsidRDefault="001D2D2A" w:rsidP="00C15251">
      <w:pPr>
        <w:jc w:val="both"/>
        <w:rPr>
          <w:bCs/>
          <w:color w:val="002060"/>
          <w:sz w:val="16"/>
          <w:szCs w:val="16"/>
        </w:rPr>
      </w:pPr>
      <w:r w:rsidRPr="00405303">
        <w:rPr>
          <w:bCs/>
          <w:color w:val="002060"/>
          <w:sz w:val="16"/>
          <w:szCs w:val="16"/>
        </w:rPr>
        <w:t>» » ». Д.Н. Сверчков.</w:t>
      </w:r>
    </w:p>
    <w:p w14:paraId="4851E59C" w14:textId="77777777" w:rsidR="001D2D2A" w:rsidRPr="00405303" w:rsidRDefault="001D2D2A" w:rsidP="00C15251">
      <w:pPr>
        <w:jc w:val="both"/>
        <w:rPr>
          <w:bCs/>
          <w:color w:val="002060"/>
          <w:sz w:val="16"/>
          <w:szCs w:val="16"/>
        </w:rPr>
      </w:pPr>
      <w:r w:rsidRPr="00405303">
        <w:rPr>
          <w:bCs/>
          <w:color w:val="002060"/>
          <w:sz w:val="16"/>
          <w:szCs w:val="16"/>
        </w:rPr>
        <w:t>» » ». Д Н. Чихачев.</w:t>
      </w:r>
    </w:p>
    <w:p w14:paraId="08E271CF" w14:textId="77777777" w:rsidR="001D2D2A" w:rsidRPr="00405303" w:rsidRDefault="001D2D2A" w:rsidP="00C15251">
      <w:pPr>
        <w:jc w:val="both"/>
        <w:rPr>
          <w:bCs/>
          <w:color w:val="002060"/>
          <w:sz w:val="16"/>
          <w:szCs w:val="16"/>
        </w:rPr>
      </w:pPr>
      <w:r w:rsidRPr="00405303">
        <w:rPr>
          <w:bCs/>
          <w:color w:val="002060"/>
          <w:sz w:val="16"/>
          <w:szCs w:val="16"/>
        </w:rPr>
        <w:t>» » ». А. И. Шингарев.</w:t>
      </w:r>
    </w:p>
    <w:p w14:paraId="7234C765" w14:textId="77777777" w:rsidR="001D2D2A" w:rsidRPr="00405303" w:rsidRDefault="001D2D2A" w:rsidP="00C15251">
      <w:pPr>
        <w:jc w:val="both"/>
        <w:rPr>
          <w:bCs/>
          <w:color w:val="002060"/>
          <w:sz w:val="16"/>
          <w:szCs w:val="16"/>
        </w:rPr>
      </w:pPr>
      <w:r w:rsidRPr="00405303">
        <w:rPr>
          <w:bCs/>
          <w:color w:val="002060"/>
          <w:sz w:val="16"/>
          <w:szCs w:val="16"/>
        </w:rPr>
        <w:t>» » ». В. В. Шульгин.</w:t>
      </w:r>
    </w:p>
    <w:p w14:paraId="6DD26C8B" w14:textId="77777777" w:rsidR="001D2D2A" w:rsidRPr="00405303" w:rsidRDefault="001D2D2A" w:rsidP="00C15251">
      <w:pPr>
        <w:jc w:val="both"/>
        <w:rPr>
          <w:bCs/>
          <w:color w:val="002060"/>
          <w:sz w:val="16"/>
          <w:szCs w:val="16"/>
        </w:rPr>
      </w:pPr>
      <w:r w:rsidRPr="00405303">
        <w:rPr>
          <w:bCs/>
          <w:color w:val="002060"/>
          <w:sz w:val="16"/>
          <w:szCs w:val="16"/>
        </w:rPr>
        <w:t>» » ».. П.Н. Крупенский.</w:t>
      </w:r>
    </w:p>
    <w:p w14:paraId="3C9AFE44" w14:textId="77777777" w:rsidR="001D2D2A" w:rsidRPr="00405303" w:rsidRDefault="001D2D2A" w:rsidP="00C15251">
      <w:pPr>
        <w:jc w:val="both"/>
        <w:rPr>
          <w:bCs/>
          <w:color w:val="002060"/>
          <w:sz w:val="16"/>
          <w:szCs w:val="16"/>
        </w:rPr>
      </w:pPr>
      <w:r w:rsidRPr="00405303">
        <w:rPr>
          <w:bCs/>
          <w:color w:val="002060"/>
          <w:sz w:val="16"/>
          <w:szCs w:val="16"/>
        </w:rPr>
        <w:t>» » ».. Н.Н. Опочинин.</w:t>
      </w:r>
    </w:p>
    <w:p w14:paraId="21195497" w14:textId="77777777" w:rsidR="001D2D2A" w:rsidRPr="00405303" w:rsidRDefault="001D2D2A" w:rsidP="00C15251">
      <w:pPr>
        <w:jc w:val="both"/>
        <w:rPr>
          <w:bCs/>
          <w:color w:val="002060"/>
          <w:sz w:val="16"/>
          <w:szCs w:val="16"/>
        </w:rPr>
      </w:pPr>
      <w:r w:rsidRPr="00405303">
        <w:rPr>
          <w:bCs/>
          <w:color w:val="002060"/>
          <w:sz w:val="16"/>
          <w:szCs w:val="16"/>
        </w:rPr>
        <w:t>От военного министерства:</w:t>
      </w:r>
    </w:p>
    <w:p w14:paraId="63CEEF2F" w14:textId="77777777" w:rsidR="001D2D2A" w:rsidRPr="00405303" w:rsidRDefault="001D2D2A" w:rsidP="00C15251">
      <w:pPr>
        <w:jc w:val="both"/>
        <w:rPr>
          <w:bCs/>
          <w:color w:val="002060"/>
          <w:sz w:val="16"/>
          <w:szCs w:val="16"/>
        </w:rPr>
      </w:pPr>
      <w:r w:rsidRPr="00405303">
        <w:rPr>
          <w:bCs/>
          <w:color w:val="002060"/>
          <w:sz w:val="16"/>
          <w:szCs w:val="16"/>
        </w:rPr>
        <w:t>Генерал-лейтенант .......</w:t>
      </w:r>
    </w:p>
    <w:p w14:paraId="14BABF1C" w14:textId="77777777" w:rsidR="001D2D2A" w:rsidRPr="00405303" w:rsidRDefault="001D2D2A" w:rsidP="00C15251">
      <w:pPr>
        <w:jc w:val="both"/>
        <w:rPr>
          <w:bCs/>
          <w:color w:val="002060"/>
          <w:sz w:val="16"/>
          <w:szCs w:val="16"/>
        </w:rPr>
      </w:pPr>
      <w:r w:rsidRPr="00405303">
        <w:rPr>
          <w:bCs/>
          <w:color w:val="002060"/>
          <w:sz w:val="16"/>
          <w:szCs w:val="16"/>
        </w:rPr>
        <w:t>Генерал от инфантерии ...</w:t>
      </w:r>
    </w:p>
    <w:p w14:paraId="5B425143" w14:textId="77777777" w:rsidR="001D2D2A" w:rsidRPr="00405303" w:rsidRDefault="001D2D2A" w:rsidP="00C15251">
      <w:pPr>
        <w:jc w:val="both"/>
        <w:rPr>
          <w:bCs/>
          <w:color w:val="002060"/>
          <w:sz w:val="16"/>
          <w:szCs w:val="16"/>
        </w:rPr>
      </w:pPr>
      <w:r w:rsidRPr="00405303">
        <w:rPr>
          <w:bCs/>
          <w:color w:val="002060"/>
          <w:sz w:val="16"/>
          <w:szCs w:val="16"/>
        </w:rPr>
        <w:t>» » »..................</w:t>
      </w:r>
    </w:p>
    <w:p w14:paraId="1A346B1B" w14:textId="77777777" w:rsidR="001D2D2A" w:rsidRPr="00405303" w:rsidRDefault="001D2D2A" w:rsidP="00C15251">
      <w:pPr>
        <w:jc w:val="both"/>
        <w:rPr>
          <w:bCs/>
          <w:color w:val="002060"/>
          <w:sz w:val="16"/>
          <w:szCs w:val="16"/>
        </w:rPr>
      </w:pPr>
      <w:r w:rsidRPr="00405303">
        <w:rPr>
          <w:bCs/>
          <w:color w:val="002060"/>
          <w:sz w:val="16"/>
          <w:szCs w:val="16"/>
        </w:rPr>
        <w:t>... А. С. Лукомский.</w:t>
      </w:r>
    </w:p>
    <w:p w14:paraId="67FDB6A2" w14:textId="77777777" w:rsidR="001D2D2A" w:rsidRPr="00405303" w:rsidRDefault="001D2D2A" w:rsidP="00C15251">
      <w:pPr>
        <w:jc w:val="both"/>
        <w:rPr>
          <w:bCs/>
          <w:color w:val="002060"/>
          <w:sz w:val="16"/>
          <w:szCs w:val="16"/>
        </w:rPr>
      </w:pPr>
      <w:r w:rsidRPr="00405303">
        <w:rPr>
          <w:bCs/>
          <w:color w:val="002060"/>
          <w:sz w:val="16"/>
          <w:szCs w:val="16"/>
        </w:rPr>
        <w:t xml:space="preserve">... </w:t>
      </w:r>
      <w:proofErr w:type="gramStart"/>
      <w:r w:rsidRPr="00405303">
        <w:rPr>
          <w:bCs/>
          <w:color w:val="002060"/>
          <w:sz w:val="16"/>
          <w:szCs w:val="16"/>
        </w:rPr>
        <w:t>Ф.Ф .</w:t>
      </w:r>
      <w:proofErr w:type="gramEnd"/>
      <w:r w:rsidRPr="00405303">
        <w:rPr>
          <w:bCs/>
          <w:color w:val="002060"/>
          <w:sz w:val="16"/>
          <w:szCs w:val="16"/>
        </w:rPr>
        <w:t xml:space="preserve"> Палицын.</w:t>
      </w:r>
    </w:p>
    <w:p w14:paraId="0B545E2A" w14:textId="77777777" w:rsidR="001D2D2A" w:rsidRPr="00405303" w:rsidRDefault="001D2D2A" w:rsidP="00C15251">
      <w:pPr>
        <w:jc w:val="both"/>
        <w:rPr>
          <w:bCs/>
          <w:color w:val="002060"/>
          <w:sz w:val="16"/>
          <w:szCs w:val="16"/>
        </w:rPr>
      </w:pPr>
      <w:r w:rsidRPr="00405303">
        <w:rPr>
          <w:bCs/>
          <w:color w:val="002060"/>
          <w:sz w:val="16"/>
          <w:szCs w:val="16"/>
        </w:rPr>
        <w:t>А. 3. Мышлаевский.</w:t>
      </w:r>
    </w:p>
    <w:p w14:paraId="3EAD27A8" w14:textId="77777777" w:rsidR="001D2D2A" w:rsidRPr="00405303" w:rsidRDefault="001D2D2A" w:rsidP="00C15251">
      <w:pPr>
        <w:jc w:val="both"/>
        <w:rPr>
          <w:bCs/>
          <w:color w:val="002060"/>
          <w:sz w:val="16"/>
          <w:szCs w:val="16"/>
        </w:rPr>
      </w:pPr>
      <w:r w:rsidRPr="00405303">
        <w:rPr>
          <w:bCs/>
          <w:color w:val="002060"/>
          <w:sz w:val="16"/>
          <w:szCs w:val="16"/>
        </w:rPr>
        <w:t>Генерал-лейтенант</w:t>
      </w:r>
      <w:proofErr w:type="gramStart"/>
      <w:r w:rsidRPr="00405303">
        <w:rPr>
          <w:bCs/>
          <w:color w:val="002060"/>
          <w:sz w:val="16"/>
          <w:szCs w:val="16"/>
        </w:rPr>
        <w:t xml:space="preserve"> ..</w:t>
      </w:r>
      <w:proofErr w:type="gramEnd"/>
      <w:r w:rsidRPr="00405303">
        <w:rPr>
          <w:bCs/>
          <w:color w:val="002060"/>
          <w:sz w:val="16"/>
          <w:szCs w:val="16"/>
        </w:rPr>
        <w:t xml:space="preserve"> Г. Г. Милеант.</w:t>
      </w:r>
    </w:p>
    <w:p w14:paraId="13D72CEE" w14:textId="77777777" w:rsidR="001D2D2A" w:rsidRPr="00405303" w:rsidRDefault="001D2D2A" w:rsidP="00C15251">
      <w:pPr>
        <w:jc w:val="both"/>
        <w:rPr>
          <w:bCs/>
          <w:color w:val="002060"/>
          <w:sz w:val="16"/>
          <w:szCs w:val="16"/>
        </w:rPr>
      </w:pPr>
      <w:r w:rsidRPr="00405303">
        <w:rPr>
          <w:bCs/>
          <w:color w:val="002060"/>
          <w:sz w:val="16"/>
          <w:szCs w:val="16"/>
        </w:rPr>
        <w:t>» » ».. Н.А. Бабиков.</w:t>
      </w:r>
    </w:p>
    <w:p w14:paraId="40E35238" w14:textId="77777777" w:rsidR="001D2D2A" w:rsidRPr="00405303" w:rsidRDefault="001D2D2A" w:rsidP="00C15251">
      <w:pPr>
        <w:jc w:val="both"/>
        <w:rPr>
          <w:bCs/>
          <w:color w:val="002060"/>
          <w:sz w:val="16"/>
          <w:szCs w:val="16"/>
        </w:rPr>
      </w:pPr>
      <w:r w:rsidRPr="00405303">
        <w:rPr>
          <w:bCs/>
          <w:color w:val="002060"/>
          <w:sz w:val="16"/>
          <w:szCs w:val="16"/>
        </w:rPr>
        <w:t>Генерал-майор</w:t>
      </w:r>
      <w:proofErr w:type="gramStart"/>
      <w:r w:rsidRPr="00405303">
        <w:rPr>
          <w:bCs/>
          <w:color w:val="002060"/>
          <w:sz w:val="16"/>
          <w:szCs w:val="16"/>
        </w:rPr>
        <w:t xml:space="preserve"> ..</w:t>
      </w:r>
      <w:proofErr w:type="gramEnd"/>
      <w:r w:rsidRPr="00405303">
        <w:rPr>
          <w:bCs/>
          <w:color w:val="002060"/>
          <w:sz w:val="16"/>
          <w:szCs w:val="16"/>
        </w:rPr>
        <w:t>А. А. Саткевт.</w:t>
      </w:r>
    </w:p>
    <w:p w14:paraId="6BD60B2D" w14:textId="77777777" w:rsidR="001D2D2A" w:rsidRPr="00405303" w:rsidRDefault="001D2D2A" w:rsidP="00C15251">
      <w:pPr>
        <w:jc w:val="both"/>
        <w:rPr>
          <w:bCs/>
          <w:color w:val="002060"/>
          <w:sz w:val="16"/>
          <w:szCs w:val="16"/>
        </w:rPr>
      </w:pPr>
      <w:proofErr w:type="gramStart"/>
      <w:r w:rsidRPr="00405303">
        <w:rPr>
          <w:bCs/>
          <w:color w:val="002060"/>
          <w:sz w:val="16"/>
          <w:szCs w:val="16"/>
        </w:rPr>
        <w:t>» »</w:t>
      </w:r>
      <w:proofErr w:type="gramEnd"/>
      <w:r w:rsidRPr="00405303">
        <w:rPr>
          <w:bCs/>
          <w:color w:val="002060"/>
          <w:sz w:val="16"/>
          <w:szCs w:val="16"/>
        </w:rPr>
        <w:t xml:space="preserve"> </w:t>
      </w:r>
      <w:proofErr w:type="gramStart"/>
      <w:r w:rsidRPr="00405303">
        <w:rPr>
          <w:bCs/>
          <w:color w:val="002060"/>
          <w:sz w:val="16"/>
          <w:szCs w:val="16"/>
        </w:rPr>
        <w:t>»..</w:t>
      </w:r>
      <w:proofErr w:type="gramEnd"/>
      <w:r w:rsidRPr="00405303">
        <w:rPr>
          <w:bCs/>
          <w:color w:val="002060"/>
          <w:sz w:val="16"/>
          <w:szCs w:val="16"/>
        </w:rPr>
        <w:t>К. Н. Егорьев.</w:t>
      </w:r>
    </w:p>
    <w:p w14:paraId="0D77BF94" w14:textId="77777777" w:rsidR="001D2D2A" w:rsidRPr="00405303" w:rsidRDefault="001D2D2A" w:rsidP="00C15251">
      <w:pPr>
        <w:jc w:val="both"/>
        <w:rPr>
          <w:bCs/>
          <w:color w:val="002060"/>
          <w:sz w:val="16"/>
          <w:szCs w:val="16"/>
        </w:rPr>
      </w:pPr>
      <w:r w:rsidRPr="00405303">
        <w:rPr>
          <w:bCs/>
          <w:color w:val="002060"/>
          <w:sz w:val="16"/>
          <w:szCs w:val="16"/>
        </w:rPr>
        <w:t>» » ». Н.И. Петровский.</w:t>
      </w:r>
    </w:p>
    <w:p w14:paraId="45FD388D" w14:textId="77777777" w:rsidR="001D2D2A" w:rsidRPr="00405303" w:rsidRDefault="001D2D2A" w:rsidP="00C15251">
      <w:pPr>
        <w:jc w:val="both"/>
        <w:rPr>
          <w:bCs/>
          <w:color w:val="002060"/>
          <w:sz w:val="16"/>
          <w:szCs w:val="16"/>
        </w:rPr>
      </w:pPr>
      <w:r w:rsidRPr="00405303">
        <w:rPr>
          <w:bCs/>
          <w:color w:val="002060"/>
          <w:sz w:val="16"/>
          <w:szCs w:val="16"/>
        </w:rPr>
        <w:t>»»».. А. А. Михельсон.</w:t>
      </w:r>
    </w:p>
    <w:p w14:paraId="1E6F645F" w14:textId="77777777" w:rsidR="001D2D2A" w:rsidRPr="00405303" w:rsidRDefault="001D2D2A" w:rsidP="00C15251">
      <w:pPr>
        <w:jc w:val="both"/>
        <w:rPr>
          <w:bCs/>
          <w:color w:val="002060"/>
          <w:sz w:val="16"/>
          <w:szCs w:val="16"/>
        </w:rPr>
      </w:pPr>
      <w:r w:rsidRPr="00405303">
        <w:rPr>
          <w:bCs/>
          <w:color w:val="002060"/>
          <w:sz w:val="16"/>
          <w:szCs w:val="16"/>
        </w:rPr>
        <w:t>От морского министерства:</w:t>
      </w:r>
    </w:p>
    <w:p w14:paraId="326A609C" w14:textId="77777777" w:rsidR="001D2D2A" w:rsidRPr="00405303" w:rsidRDefault="001D2D2A" w:rsidP="00C15251">
      <w:pPr>
        <w:jc w:val="both"/>
        <w:rPr>
          <w:bCs/>
          <w:color w:val="002060"/>
          <w:sz w:val="16"/>
          <w:szCs w:val="16"/>
        </w:rPr>
      </w:pPr>
      <w:r w:rsidRPr="00405303">
        <w:rPr>
          <w:bCs/>
          <w:color w:val="002060"/>
          <w:sz w:val="16"/>
          <w:szCs w:val="16"/>
        </w:rPr>
        <w:t>Вице-</w:t>
      </w:r>
      <w:proofErr w:type="gramStart"/>
      <w:r w:rsidRPr="00405303">
        <w:rPr>
          <w:bCs/>
          <w:color w:val="002060"/>
          <w:sz w:val="16"/>
          <w:szCs w:val="16"/>
        </w:rPr>
        <w:t>адмирал..</w:t>
      </w:r>
      <w:proofErr w:type="gramEnd"/>
      <w:r w:rsidRPr="00405303">
        <w:rPr>
          <w:bCs/>
          <w:color w:val="002060"/>
          <w:sz w:val="16"/>
          <w:szCs w:val="16"/>
        </w:rPr>
        <w:t xml:space="preserve"> П.П. Муравьев.</w:t>
      </w:r>
    </w:p>
    <w:p w14:paraId="3609212E" w14:textId="77777777" w:rsidR="001D2D2A" w:rsidRPr="00405303" w:rsidRDefault="001D2D2A" w:rsidP="00C15251">
      <w:pPr>
        <w:jc w:val="both"/>
        <w:rPr>
          <w:bCs/>
          <w:color w:val="002060"/>
          <w:sz w:val="16"/>
          <w:szCs w:val="16"/>
        </w:rPr>
      </w:pPr>
      <w:r w:rsidRPr="00405303">
        <w:rPr>
          <w:bCs/>
          <w:color w:val="002060"/>
          <w:sz w:val="16"/>
          <w:szCs w:val="16"/>
        </w:rPr>
        <w:t>» » ».. В. К. Гирс.</w:t>
      </w:r>
    </w:p>
    <w:p w14:paraId="174AB9C1" w14:textId="77777777" w:rsidR="001D2D2A" w:rsidRPr="00405303" w:rsidRDefault="001D2D2A" w:rsidP="00C15251">
      <w:pPr>
        <w:jc w:val="both"/>
        <w:rPr>
          <w:bCs/>
          <w:color w:val="002060"/>
          <w:sz w:val="16"/>
          <w:szCs w:val="16"/>
        </w:rPr>
      </w:pPr>
      <w:r w:rsidRPr="00405303">
        <w:rPr>
          <w:bCs/>
          <w:color w:val="002060"/>
          <w:sz w:val="16"/>
          <w:szCs w:val="16"/>
        </w:rPr>
        <w:t>От министерства финансов:</w:t>
      </w:r>
    </w:p>
    <w:p w14:paraId="28C4E500" w14:textId="77777777" w:rsidR="001D2D2A" w:rsidRPr="00405303" w:rsidRDefault="001D2D2A" w:rsidP="00C15251">
      <w:pPr>
        <w:jc w:val="both"/>
        <w:rPr>
          <w:bCs/>
          <w:color w:val="002060"/>
          <w:sz w:val="16"/>
          <w:szCs w:val="16"/>
        </w:rPr>
      </w:pPr>
      <w:r w:rsidRPr="00405303">
        <w:rPr>
          <w:bCs/>
          <w:color w:val="002060"/>
          <w:sz w:val="16"/>
          <w:szCs w:val="16"/>
        </w:rPr>
        <w:t>Действительный статский советник. П.Н. Кутлер.</w:t>
      </w:r>
    </w:p>
    <w:p w14:paraId="2491FA35" w14:textId="77777777" w:rsidR="001D2D2A" w:rsidRPr="00405303" w:rsidRDefault="001D2D2A" w:rsidP="00C15251">
      <w:pPr>
        <w:jc w:val="both"/>
        <w:rPr>
          <w:bCs/>
          <w:color w:val="002060"/>
          <w:sz w:val="16"/>
          <w:szCs w:val="16"/>
        </w:rPr>
      </w:pPr>
      <w:r w:rsidRPr="00405303">
        <w:rPr>
          <w:bCs/>
          <w:color w:val="002060"/>
          <w:sz w:val="16"/>
          <w:szCs w:val="16"/>
        </w:rPr>
        <w:t>От министерства путей сообщения:</w:t>
      </w:r>
    </w:p>
    <w:p w14:paraId="0F38887E" w14:textId="77777777" w:rsidR="001D2D2A" w:rsidRPr="00405303" w:rsidRDefault="001D2D2A" w:rsidP="00C15251">
      <w:pPr>
        <w:jc w:val="both"/>
        <w:rPr>
          <w:bCs/>
          <w:color w:val="002060"/>
          <w:sz w:val="16"/>
          <w:szCs w:val="16"/>
        </w:rPr>
      </w:pPr>
      <w:r w:rsidRPr="00405303">
        <w:rPr>
          <w:bCs/>
          <w:color w:val="002060"/>
          <w:sz w:val="16"/>
          <w:szCs w:val="16"/>
        </w:rPr>
        <w:t xml:space="preserve">Тайный </w:t>
      </w:r>
      <w:proofErr w:type="gramStart"/>
      <w:r w:rsidRPr="00405303">
        <w:rPr>
          <w:bCs/>
          <w:color w:val="002060"/>
          <w:sz w:val="16"/>
          <w:szCs w:val="16"/>
        </w:rPr>
        <w:t>советник..</w:t>
      </w:r>
      <w:proofErr w:type="gramEnd"/>
      <w:r w:rsidRPr="00405303">
        <w:rPr>
          <w:bCs/>
          <w:color w:val="002060"/>
          <w:sz w:val="16"/>
          <w:szCs w:val="16"/>
        </w:rPr>
        <w:t xml:space="preserve"> П.Н. Думитрашко.</w:t>
      </w:r>
    </w:p>
    <w:p w14:paraId="06D8F6F6" w14:textId="77777777" w:rsidR="001D2D2A" w:rsidRPr="00405303" w:rsidRDefault="001D2D2A" w:rsidP="00C15251">
      <w:pPr>
        <w:jc w:val="both"/>
        <w:rPr>
          <w:bCs/>
          <w:color w:val="002060"/>
          <w:sz w:val="16"/>
          <w:szCs w:val="16"/>
        </w:rPr>
      </w:pPr>
      <w:r w:rsidRPr="00405303">
        <w:rPr>
          <w:bCs/>
          <w:color w:val="002060"/>
          <w:sz w:val="16"/>
          <w:szCs w:val="16"/>
        </w:rPr>
        <w:t>От министерства торговли и промышленности:</w:t>
      </w:r>
    </w:p>
    <w:p w14:paraId="4C86DCC9" w14:textId="77777777" w:rsidR="001D2D2A" w:rsidRPr="00405303" w:rsidRDefault="001D2D2A" w:rsidP="00C15251">
      <w:pPr>
        <w:jc w:val="both"/>
        <w:rPr>
          <w:bCs/>
          <w:color w:val="002060"/>
          <w:sz w:val="16"/>
          <w:szCs w:val="16"/>
        </w:rPr>
      </w:pPr>
      <w:r w:rsidRPr="00405303">
        <w:rPr>
          <w:bCs/>
          <w:color w:val="002060"/>
          <w:sz w:val="16"/>
          <w:szCs w:val="16"/>
        </w:rPr>
        <w:t>Действительный статский советник..Б.Н. Кандиба.</w:t>
      </w:r>
    </w:p>
    <w:p w14:paraId="6CD0E54E" w14:textId="77777777" w:rsidR="001D2D2A" w:rsidRPr="00405303" w:rsidRDefault="001D2D2A" w:rsidP="00C15251">
      <w:pPr>
        <w:jc w:val="both"/>
        <w:rPr>
          <w:bCs/>
          <w:color w:val="002060"/>
          <w:sz w:val="16"/>
          <w:szCs w:val="16"/>
        </w:rPr>
      </w:pPr>
      <w:r w:rsidRPr="00405303">
        <w:rPr>
          <w:bCs/>
          <w:color w:val="002060"/>
          <w:sz w:val="16"/>
          <w:szCs w:val="16"/>
        </w:rPr>
        <w:t>Статский советник. М. В. Линден.</w:t>
      </w:r>
    </w:p>
    <w:p w14:paraId="24F9DCD2" w14:textId="77777777" w:rsidR="001D2D2A" w:rsidRPr="00405303" w:rsidRDefault="001D2D2A" w:rsidP="00C15251">
      <w:pPr>
        <w:jc w:val="both"/>
        <w:rPr>
          <w:bCs/>
          <w:color w:val="002060"/>
          <w:sz w:val="16"/>
          <w:szCs w:val="16"/>
        </w:rPr>
      </w:pPr>
      <w:r w:rsidRPr="00405303">
        <w:rPr>
          <w:bCs/>
          <w:color w:val="002060"/>
          <w:sz w:val="16"/>
          <w:szCs w:val="16"/>
        </w:rPr>
        <w:t>От Всероссийского земского союза:</w:t>
      </w:r>
    </w:p>
    <w:p w14:paraId="209924F4" w14:textId="77777777" w:rsidR="001D2D2A" w:rsidRPr="00405303" w:rsidRDefault="001D2D2A" w:rsidP="00C15251">
      <w:pPr>
        <w:jc w:val="both"/>
        <w:rPr>
          <w:bCs/>
          <w:color w:val="002060"/>
          <w:sz w:val="16"/>
          <w:szCs w:val="16"/>
        </w:rPr>
      </w:pPr>
      <w:r w:rsidRPr="00405303">
        <w:rPr>
          <w:bCs/>
          <w:color w:val="002060"/>
          <w:sz w:val="16"/>
          <w:szCs w:val="16"/>
        </w:rPr>
        <w:t>Член Государственного Совета барон В. В. Меллер-Закомельский.</w:t>
      </w:r>
    </w:p>
    <w:p w14:paraId="2E2B751D" w14:textId="77777777" w:rsidR="001D2D2A" w:rsidRPr="00405303" w:rsidRDefault="001D2D2A" w:rsidP="00C15251">
      <w:pPr>
        <w:jc w:val="both"/>
        <w:rPr>
          <w:bCs/>
          <w:color w:val="002060"/>
          <w:sz w:val="16"/>
          <w:szCs w:val="16"/>
        </w:rPr>
      </w:pPr>
      <w:r w:rsidRPr="00405303">
        <w:rPr>
          <w:bCs/>
          <w:color w:val="002060"/>
          <w:sz w:val="16"/>
          <w:szCs w:val="16"/>
        </w:rPr>
        <w:t>От Всероссийского городского союза:</w:t>
      </w:r>
    </w:p>
    <w:p w14:paraId="5438B685" w14:textId="77777777" w:rsidR="001D2D2A" w:rsidRPr="00405303" w:rsidRDefault="001D2D2A" w:rsidP="00C15251">
      <w:pPr>
        <w:jc w:val="both"/>
        <w:rPr>
          <w:bCs/>
          <w:color w:val="002060"/>
          <w:sz w:val="16"/>
          <w:szCs w:val="16"/>
        </w:rPr>
      </w:pPr>
      <w:r w:rsidRPr="00405303">
        <w:rPr>
          <w:bCs/>
          <w:color w:val="002060"/>
          <w:sz w:val="16"/>
          <w:szCs w:val="16"/>
        </w:rPr>
        <w:t>Член Государственной Думы ... Н. В. Некрасов.</w:t>
      </w:r>
    </w:p>
    <w:p w14:paraId="1EBEF61E" w14:textId="77777777" w:rsidR="001D2D2A" w:rsidRPr="00405303" w:rsidRDefault="001D2D2A" w:rsidP="00C15251">
      <w:pPr>
        <w:jc w:val="both"/>
        <w:rPr>
          <w:bCs/>
          <w:color w:val="002060"/>
          <w:sz w:val="16"/>
          <w:szCs w:val="16"/>
        </w:rPr>
      </w:pPr>
      <w:r w:rsidRPr="00405303">
        <w:rPr>
          <w:bCs/>
          <w:color w:val="002060"/>
          <w:sz w:val="16"/>
          <w:szCs w:val="16"/>
        </w:rPr>
        <w:lastRenderedPageBreak/>
        <w:t>От центрального военно-промышленного комитета:</w:t>
      </w:r>
    </w:p>
    <w:p w14:paraId="1EF4A2A9" w14:textId="77777777" w:rsidR="001D2D2A" w:rsidRPr="00405303" w:rsidRDefault="001D2D2A" w:rsidP="00C15251">
      <w:pPr>
        <w:jc w:val="both"/>
        <w:rPr>
          <w:bCs/>
          <w:color w:val="002060"/>
          <w:sz w:val="16"/>
          <w:szCs w:val="16"/>
        </w:rPr>
      </w:pPr>
      <w:r w:rsidRPr="00405303">
        <w:rPr>
          <w:bCs/>
          <w:color w:val="002060"/>
          <w:sz w:val="16"/>
          <w:szCs w:val="16"/>
        </w:rPr>
        <w:t xml:space="preserve">Член Государственного </w:t>
      </w:r>
      <w:proofErr w:type="gramStart"/>
      <w:r w:rsidRPr="00405303">
        <w:rPr>
          <w:bCs/>
          <w:color w:val="002060"/>
          <w:sz w:val="16"/>
          <w:szCs w:val="16"/>
        </w:rPr>
        <w:t>Совета .</w:t>
      </w:r>
      <w:proofErr w:type="gramEnd"/>
      <w:r w:rsidRPr="00405303">
        <w:rPr>
          <w:bCs/>
          <w:color w:val="002060"/>
          <w:sz w:val="16"/>
          <w:szCs w:val="16"/>
        </w:rPr>
        <w:t xml:space="preserve"> А. И. Гучков.</w:t>
      </w:r>
    </w:p>
    <w:p w14:paraId="2A10E4FE" w14:textId="77777777" w:rsidR="001D2D2A" w:rsidRPr="00405303" w:rsidRDefault="001D2D2A" w:rsidP="00C15251">
      <w:pPr>
        <w:jc w:val="both"/>
        <w:rPr>
          <w:bCs/>
          <w:color w:val="002060"/>
          <w:sz w:val="16"/>
          <w:szCs w:val="16"/>
        </w:rPr>
      </w:pPr>
      <w:r w:rsidRPr="00405303">
        <w:rPr>
          <w:bCs/>
          <w:color w:val="002060"/>
          <w:sz w:val="16"/>
          <w:szCs w:val="16"/>
        </w:rPr>
        <w:t xml:space="preserve">Член Государственной </w:t>
      </w:r>
      <w:proofErr w:type="gramStart"/>
      <w:r w:rsidRPr="00405303">
        <w:rPr>
          <w:bCs/>
          <w:color w:val="002060"/>
          <w:sz w:val="16"/>
          <w:szCs w:val="16"/>
        </w:rPr>
        <w:t>Думы .</w:t>
      </w:r>
      <w:proofErr w:type="gramEnd"/>
      <w:r w:rsidRPr="00405303">
        <w:rPr>
          <w:bCs/>
          <w:color w:val="002060"/>
          <w:sz w:val="16"/>
          <w:szCs w:val="16"/>
        </w:rPr>
        <w:t xml:space="preserve"> А. И. Коновалов.</w:t>
      </w:r>
    </w:p>
    <w:p w14:paraId="652DB592" w14:textId="77777777" w:rsidR="001D2D2A" w:rsidRPr="00405303" w:rsidRDefault="001D2D2A" w:rsidP="00C15251">
      <w:pPr>
        <w:jc w:val="both"/>
        <w:rPr>
          <w:bCs/>
          <w:color w:val="002060"/>
          <w:sz w:val="16"/>
          <w:szCs w:val="16"/>
        </w:rPr>
      </w:pPr>
      <w:r w:rsidRPr="00405303">
        <w:rPr>
          <w:bCs/>
          <w:color w:val="002060"/>
          <w:sz w:val="16"/>
          <w:szCs w:val="16"/>
        </w:rPr>
        <w:t>Особо приглашенные в заседание:</w:t>
      </w:r>
    </w:p>
    <w:p w14:paraId="259B7EF4" w14:textId="77777777" w:rsidR="001D2D2A" w:rsidRPr="00405303" w:rsidRDefault="001D2D2A" w:rsidP="00C15251">
      <w:pPr>
        <w:jc w:val="both"/>
        <w:rPr>
          <w:bCs/>
          <w:color w:val="002060"/>
          <w:sz w:val="16"/>
          <w:szCs w:val="16"/>
        </w:rPr>
      </w:pPr>
      <w:r w:rsidRPr="00405303">
        <w:rPr>
          <w:bCs/>
          <w:color w:val="002060"/>
          <w:sz w:val="16"/>
          <w:szCs w:val="16"/>
        </w:rPr>
        <w:t>Действительный статский советник.В. П. Литвинов-Фалинский.</w:t>
      </w:r>
    </w:p>
    <w:p w14:paraId="5962131B" w14:textId="77777777" w:rsidR="001D2D2A" w:rsidRPr="00405303" w:rsidRDefault="001D2D2A" w:rsidP="00C15251">
      <w:pPr>
        <w:jc w:val="both"/>
        <w:rPr>
          <w:bCs/>
          <w:color w:val="002060"/>
          <w:sz w:val="16"/>
          <w:szCs w:val="16"/>
        </w:rPr>
      </w:pPr>
      <w:r w:rsidRPr="00405303">
        <w:rPr>
          <w:bCs/>
          <w:color w:val="002060"/>
          <w:sz w:val="16"/>
          <w:szCs w:val="16"/>
        </w:rPr>
        <w:t>Член Государственной Думы</w:t>
      </w:r>
      <w:proofErr w:type="gramStart"/>
      <w:r w:rsidRPr="00405303">
        <w:rPr>
          <w:bCs/>
          <w:color w:val="002060"/>
          <w:sz w:val="16"/>
          <w:szCs w:val="16"/>
        </w:rPr>
        <w:t xml:space="preserve"> ..</w:t>
      </w:r>
      <w:proofErr w:type="gramEnd"/>
      <w:r w:rsidRPr="00405303">
        <w:rPr>
          <w:bCs/>
          <w:color w:val="002060"/>
          <w:sz w:val="16"/>
          <w:szCs w:val="16"/>
        </w:rPr>
        <w:t xml:space="preserve"> А. А. Бубликов.</w:t>
      </w:r>
    </w:p>
    <w:p w14:paraId="2283E30E" w14:textId="77777777" w:rsidR="001D2D2A" w:rsidRPr="00405303" w:rsidRDefault="001D2D2A" w:rsidP="00C15251">
      <w:pPr>
        <w:jc w:val="both"/>
        <w:rPr>
          <w:bCs/>
          <w:color w:val="002060"/>
          <w:sz w:val="16"/>
          <w:szCs w:val="16"/>
        </w:rPr>
      </w:pPr>
      <w:r w:rsidRPr="00405303">
        <w:rPr>
          <w:bCs/>
          <w:color w:val="002060"/>
          <w:sz w:val="16"/>
          <w:szCs w:val="16"/>
        </w:rPr>
        <w:t>Делопроизводители Особого Совещания:</w:t>
      </w:r>
    </w:p>
    <w:p w14:paraId="38AA474F" w14:textId="77777777" w:rsidR="001D2D2A" w:rsidRPr="00405303" w:rsidRDefault="001D2D2A" w:rsidP="00C15251">
      <w:pPr>
        <w:jc w:val="both"/>
        <w:rPr>
          <w:bCs/>
          <w:color w:val="002060"/>
          <w:sz w:val="16"/>
          <w:szCs w:val="16"/>
        </w:rPr>
      </w:pPr>
      <w:r w:rsidRPr="00405303">
        <w:rPr>
          <w:bCs/>
          <w:color w:val="002060"/>
          <w:sz w:val="16"/>
          <w:szCs w:val="16"/>
        </w:rPr>
        <w:t xml:space="preserve">Надворный </w:t>
      </w:r>
      <w:proofErr w:type="gramStart"/>
      <w:r w:rsidRPr="00405303">
        <w:rPr>
          <w:bCs/>
          <w:color w:val="002060"/>
          <w:sz w:val="16"/>
          <w:szCs w:val="16"/>
        </w:rPr>
        <w:t>советник..</w:t>
      </w:r>
      <w:proofErr w:type="gramEnd"/>
      <w:r w:rsidRPr="00405303">
        <w:rPr>
          <w:bCs/>
          <w:color w:val="002060"/>
          <w:sz w:val="16"/>
          <w:szCs w:val="16"/>
        </w:rPr>
        <w:t xml:space="preserve"> Л.Д. Тяжелое.</w:t>
      </w:r>
    </w:p>
    <w:p w14:paraId="777E7684" w14:textId="77777777" w:rsidR="001D2D2A" w:rsidRPr="00405303" w:rsidRDefault="001D2D2A" w:rsidP="00C15251">
      <w:pPr>
        <w:jc w:val="both"/>
        <w:rPr>
          <w:bCs/>
          <w:color w:val="002060"/>
          <w:sz w:val="16"/>
          <w:szCs w:val="16"/>
        </w:rPr>
      </w:pPr>
      <w:r w:rsidRPr="00405303">
        <w:rPr>
          <w:bCs/>
          <w:color w:val="002060"/>
          <w:sz w:val="16"/>
          <w:szCs w:val="16"/>
        </w:rPr>
        <w:t>» » ».. Н.</w:t>
      </w:r>
      <w:proofErr w:type="gramStart"/>
      <w:r w:rsidRPr="00405303">
        <w:rPr>
          <w:bCs/>
          <w:color w:val="002060"/>
          <w:sz w:val="16"/>
          <w:szCs w:val="16"/>
        </w:rPr>
        <w:t>В.де</w:t>
      </w:r>
      <w:proofErr w:type="gramEnd"/>
      <w:r w:rsidRPr="00405303">
        <w:rPr>
          <w:bCs/>
          <w:color w:val="002060"/>
          <w:sz w:val="16"/>
          <w:szCs w:val="16"/>
        </w:rPr>
        <w:t xml:space="preserve"> Бособр.</w:t>
      </w:r>
    </w:p>
    <w:p w14:paraId="49959778" w14:textId="77777777" w:rsidR="001D2D2A" w:rsidRPr="00405303" w:rsidRDefault="001D2D2A" w:rsidP="00C15251">
      <w:pPr>
        <w:jc w:val="both"/>
        <w:rPr>
          <w:bCs/>
          <w:color w:val="002060"/>
          <w:sz w:val="16"/>
          <w:szCs w:val="16"/>
        </w:rPr>
      </w:pPr>
      <w:r w:rsidRPr="00405303">
        <w:rPr>
          <w:bCs/>
          <w:color w:val="002060"/>
          <w:sz w:val="16"/>
          <w:szCs w:val="16"/>
        </w:rPr>
        <w:t>По открытии заседания Председатель Государственной Думы М. В. Родзянко доложил Совещанию текст полученной им от Московского металлического завода телеграммы, в которой завод сообщает, что его сталелитейные печи продолжают стоять с 7 октября, что завод принужден распустить 4000 рабочих и просит немедленно подать 150 вагонов под нагрузку чугуна на ст. Алмазная Кадиевскому заводу.</w:t>
      </w:r>
    </w:p>
    <w:p w14:paraId="0AE0B7A1" w14:textId="77777777" w:rsidR="001D2D2A" w:rsidRPr="00405303" w:rsidRDefault="001D2D2A" w:rsidP="00C15251">
      <w:pPr>
        <w:jc w:val="both"/>
        <w:rPr>
          <w:bCs/>
          <w:color w:val="002060"/>
          <w:sz w:val="16"/>
          <w:szCs w:val="16"/>
        </w:rPr>
      </w:pPr>
      <w:r w:rsidRPr="00405303">
        <w:rPr>
          <w:bCs/>
          <w:color w:val="002060"/>
          <w:sz w:val="16"/>
          <w:szCs w:val="16"/>
        </w:rPr>
        <w:t>При этом М. В. Родзянко заявил, что вследствие задержки в подвозе положение многих предприятий делается критическим, так как запасов угля не имеется, железнодорожные запасы, из коих выдается уголь предприятиям, могут также истощиться, что грозит приостановкой деятельности заводов.</w:t>
      </w:r>
    </w:p>
    <w:p w14:paraId="69F15794" w14:textId="77777777" w:rsidR="001D2D2A" w:rsidRPr="00405303" w:rsidRDefault="001D2D2A" w:rsidP="00C15251">
      <w:pPr>
        <w:jc w:val="both"/>
        <w:rPr>
          <w:bCs/>
          <w:color w:val="002060"/>
          <w:sz w:val="16"/>
          <w:szCs w:val="16"/>
        </w:rPr>
      </w:pPr>
      <w:r w:rsidRPr="00405303">
        <w:rPr>
          <w:bCs/>
          <w:color w:val="002060"/>
          <w:sz w:val="16"/>
          <w:szCs w:val="16"/>
        </w:rPr>
        <w:t>По этому поводу барон В. В. Меллер-Закомельский остановил внимание Совещания на том, что по перечню предприятий, находящихся накануне остановки из-за недостатка угля, составленному министерством торговли и промышленности, таких предприятий насчитывается до 58, среди них значится и Путиловский завод, у которого при ежедневной потребности до 50 000 пудов осталось запасов на 13/4 суток.</w:t>
      </w:r>
    </w:p>
    <w:p w14:paraId="6AB9BC87" w14:textId="77777777" w:rsidR="001D2D2A" w:rsidRPr="00405303" w:rsidRDefault="001D2D2A" w:rsidP="00C15251">
      <w:pPr>
        <w:jc w:val="both"/>
        <w:rPr>
          <w:bCs/>
          <w:color w:val="002060"/>
          <w:sz w:val="16"/>
          <w:szCs w:val="16"/>
        </w:rPr>
      </w:pPr>
      <w:r w:rsidRPr="00405303">
        <w:rPr>
          <w:bCs/>
          <w:color w:val="002060"/>
          <w:sz w:val="16"/>
          <w:szCs w:val="16"/>
        </w:rPr>
        <w:t>Если это положение еще можно считать терпимым, благодаря возможности ежедневно подвозить Путиловскому заводу поезд с углем, то оно значительно ухудшится при наступлении заносов, когда они будут угрожать прекращением железнодорожного движения, а следовательно, и деятельности заводов. Итак, необходимо озаботиться увеличением запасов угля Путиловского завода, для чего не следует останавливаться даже перед героическими мерами, вплоть до сокращения прибытия поездов с продовольствием, заменив их поездами с углем для Путиловского завода.</w:t>
      </w:r>
    </w:p>
    <w:p w14:paraId="7282793B" w14:textId="77777777" w:rsidR="001D2D2A" w:rsidRPr="00405303" w:rsidRDefault="001D2D2A" w:rsidP="00C15251">
      <w:pPr>
        <w:jc w:val="both"/>
        <w:rPr>
          <w:bCs/>
          <w:color w:val="002060"/>
          <w:sz w:val="16"/>
          <w:szCs w:val="16"/>
        </w:rPr>
      </w:pPr>
      <w:r w:rsidRPr="00405303">
        <w:rPr>
          <w:bCs/>
          <w:color w:val="002060"/>
          <w:sz w:val="16"/>
          <w:szCs w:val="16"/>
        </w:rPr>
        <w:t>На это министр торговли и промышленности князь В. Н. Шаховской сообщил, что Особое Совещание по топливу посылает каждые три дня министру путей сообщения список адресов заводов, испытывающих особенно острую нужду в топливе. Министерство торговли и промышленности через специальных агентов собирает сведения о заводах, обеспеченных углем; новые партии, прибывающие для них, будут поэтому отправляться непосредственно через Николаевскую железную дорогу для пополнения запасов не обеспеченных топливом заводов. При неполучении угля для Путиловского завода таковой выдается ему Николаевской железной дорогой в размере до 40 вагонов в сутки. О кризисе, испытываемом московскими заводами, министерством торговли и промышленности было уже сообщено министру путей сообщения. Следует заметить, что вопрос о перевозках - самый больной в данном случае, так как Донецкий бассейн поставлял обыкновенно до 3600 вагонов ежедневно.</w:t>
      </w:r>
    </w:p>
    <w:p w14:paraId="1271C5BF" w14:textId="77777777" w:rsidR="001D2D2A" w:rsidRPr="00405303" w:rsidRDefault="001D2D2A" w:rsidP="00C15251">
      <w:pPr>
        <w:jc w:val="both"/>
        <w:rPr>
          <w:bCs/>
          <w:color w:val="002060"/>
          <w:sz w:val="16"/>
          <w:szCs w:val="16"/>
        </w:rPr>
      </w:pPr>
      <w:r w:rsidRPr="00405303">
        <w:rPr>
          <w:bCs/>
          <w:color w:val="002060"/>
          <w:sz w:val="16"/>
          <w:szCs w:val="16"/>
        </w:rPr>
        <w:t>В октябре же эта цифра упала до 2000. Однако к концу ноября последовало значительное улучшение, и цифра отправки достигла до 3600 вагонов.</w:t>
      </w:r>
    </w:p>
    <w:p w14:paraId="31BBE6DC" w14:textId="77777777" w:rsidR="001D2D2A" w:rsidRPr="00405303" w:rsidRDefault="001D2D2A" w:rsidP="00C15251">
      <w:pPr>
        <w:jc w:val="both"/>
        <w:rPr>
          <w:bCs/>
          <w:color w:val="002060"/>
          <w:sz w:val="16"/>
          <w:szCs w:val="16"/>
        </w:rPr>
      </w:pPr>
      <w:r w:rsidRPr="00405303">
        <w:rPr>
          <w:bCs/>
          <w:color w:val="002060"/>
          <w:sz w:val="16"/>
          <w:szCs w:val="16"/>
        </w:rPr>
        <w:t>Помощник Военного Министра генерал-лейтенант А. С. Лукомский отметил, что на случай недостатка угля в Петрограде Председатель Особого Совещания поручил председателю Петроградского заводского Совещания произвести осмотр заводов, разделив их на три группы: заводы, которым уголь необходим, так как они работают на оборону; заводы, прекращение деятельности которых допустимо, и заводы, которые не работают на оборону. В случае необходимости деятельность последних может быть прекращена.</w:t>
      </w:r>
    </w:p>
    <w:p w14:paraId="109461CA" w14:textId="77777777" w:rsidR="001D2D2A" w:rsidRPr="00405303" w:rsidRDefault="001D2D2A" w:rsidP="00C15251">
      <w:pPr>
        <w:jc w:val="both"/>
        <w:rPr>
          <w:bCs/>
          <w:color w:val="002060"/>
          <w:sz w:val="16"/>
          <w:szCs w:val="16"/>
        </w:rPr>
      </w:pPr>
      <w:r w:rsidRPr="00405303">
        <w:rPr>
          <w:bCs/>
          <w:color w:val="002060"/>
          <w:sz w:val="16"/>
          <w:szCs w:val="16"/>
        </w:rPr>
        <w:t>Председатель Особого Совещания разъяснил, что все конкретные ходатайства о недостатке угля сообщаются им по принадлежности в Особое Совещание по топливу и добавил, что надлежащее направление безотлагательно получит и телеграмма, сообщенная М. В. Родзянко.</w:t>
      </w:r>
    </w:p>
    <w:p w14:paraId="27782A06" w14:textId="77777777" w:rsidR="001D2D2A" w:rsidRPr="00405303" w:rsidRDefault="001D2D2A" w:rsidP="00C15251">
      <w:pPr>
        <w:jc w:val="both"/>
        <w:rPr>
          <w:bCs/>
          <w:color w:val="002060"/>
          <w:sz w:val="16"/>
          <w:szCs w:val="16"/>
        </w:rPr>
      </w:pPr>
      <w:r w:rsidRPr="00405303">
        <w:rPr>
          <w:bCs/>
          <w:color w:val="002060"/>
          <w:sz w:val="16"/>
          <w:szCs w:val="16"/>
        </w:rPr>
        <w:t>Вслед за сим управляющей делами Особого Совещания генерал-лейтенант Н. А. Бабиков доложил Особому Совещанию справку по вопросу о перевозках военных грузов морем и о предложении Английского правительства сосредоточить таковую перевозку в своих руках.</w:t>
      </w:r>
    </w:p>
    <w:p w14:paraId="47F0DF07" w14:textId="77777777" w:rsidR="001D2D2A" w:rsidRPr="00405303" w:rsidRDefault="001D2D2A" w:rsidP="00C15251">
      <w:pPr>
        <w:jc w:val="both"/>
        <w:rPr>
          <w:bCs/>
          <w:color w:val="002060"/>
          <w:sz w:val="16"/>
          <w:szCs w:val="16"/>
        </w:rPr>
      </w:pPr>
      <w:r w:rsidRPr="00405303">
        <w:rPr>
          <w:bCs/>
          <w:color w:val="002060"/>
          <w:sz w:val="16"/>
          <w:szCs w:val="16"/>
        </w:rPr>
        <w:t>По этому поводу особо приглашенный член Государственной Думы А. А. Бубликов высказал нижеследующее.</w:t>
      </w:r>
    </w:p>
    <w:p w14:paraId="7EA8E7E1" w14:textId="77777777" w:rsidR="001D2D2A" w:rsidRPr="00405303" w:rsidRDefault="001D2D2A" w:rsidP="00C15251">
      <w:pPr>
        <w:jc w:val="both"/>
        <w:rPr>
          <w:bCs/>
          <w:color w:val="002060"/>
          <w:sz w:val="16"/>
          <w:szCs w:val="16"/>
        </w:rPr>
      </w:pPr>
      <w:r w:rsidRPr="00405303">
        <w:rPr>
          <w:bCs/>
          <w:color w:val="002060"/>
          <w:sz w:val="16"/>
          <w:szCs w:val="16"/>
        </w:rPr>
        <w:t>Дело перевозок предметов, необходимых для обороны, из-за границы поставлено в настоящее время весьма неудовлетворительно. Перевозочный отдел центрального военно-промышленного комитета, изучивший этот вопрос, обратил внимание, в частности, на крайне невыгодный договор, заключенный д. с. с. Рутковским с неким Мартенсом, немцем по происхождению, сначала английским, затем русским подданным, - личностью весьма подозрительной203. Упомянутый Мартенс действует также под фирмой Тимрота, захватившего в свои руки перегрузку в Архангельске. Вредная деятельность названных лиц общеизвестна: достаточно указать хотя бы на обычный простой судов неразгруженными, который дает Мартенсу выгоду, ибо он получает возможность фрахтовать новые суда. Размер фрахта достиг невероятных величин: два или три рейса окупают всю стоимость судна. Все флоты мира пользуются исключительными обстоятельствами данного времени для развития своей деятельности, и лишь Русский коммерческий флот падает. Передача всех перевозок для обороны из-за границы в руки Английского правительства, с отказом от производства их собственным распоряжением, окончательно погубила бы наш коммерческий флот, ибо после войны все морские перевозки оказались бы захваченными иностранными флотами. Кроме того, не следует думать, что передача перевозочного дела в английские руки гарантирует успешность этого дела, ибо и в Англии раздаются голоса, обвиняющие правительство в нецелесообразной деятельности в этой области. Отказавшись, согласно последнему финансовому соглашению, от финансового суверенитета, мы собираемся лишиться также и самостоятельности в области торговли. Шаг этот недопустим с точки зрения национального достоинства и мировых задач России.</w:t>
      </w:r>
    </w:p>
    <w:p w14:paraId="30D4A8DC" w14:textId="77777777" w:rsidR="001D2D2A" w:rsidRPr="00405303" w:rsidRDefault="001D2D2A" w:rsidP="00C15251">
      <w:pPr>
        <w:jc w:val="both"/>
        <w:rPr>
          <w:bCs/>
          <w:color w:val="002060"/>
          <w:sz w:val="16"/>
          <w:szCs w:val="16"/>
        </w:rPr>
      </w:pPr>
      <w:r w:rsidRPr="00405303">
        <w:rPr>
          <w:bCs/>
          <w:color w:val="002060"/>
          <w:sz w:val="16"/>
          <w:szCs w:val="16"/>
        </w:rPr>
        <w:t>Министр торговли и промышленности князь В. Н. Шаховской, соглашаясь, что проектируемая мера может нанести ущерб нашему флоту, указал, однако, что вопрос о ее приемлемости может быть разрешен лишь по всестороннему рассмотрению как сущности предложения Английского правительства, так и возможности разрешить вопрос о перевозках иным путем. Для этой цели министром торговли и промышленности уже сделаны надлежащие сношения. Кроме того, для выяснения выгодности предложения Английского правительства произведен грубый подсчет того, во сколько обойдутся перевозки, предпринятые собственными силами, причем выяснилось, что в случае сосредоточения в руках Английского правительства перевозки обошлись бы около 4 миллионов фунтов стерлингов, тогда как при производстве их нашим попечением общая стоимость перевозок не превысит 2,6 миллиона фунтов стерлингов. Однако делать отсюда какое-либо заключение было бы преждевременным, так как необходимо выяснить ранее, насколько мы в состоянии без помощи Английского правительства организовать перевозку в размерах, достаточных для соблюдения интересов государственной обороны.</w:t>
      </w:r>
    </w:p>
    <w:p w14:paraId="695EDF27" w14:textId="77777777" w:rsidR="001D2D2A" w:rsidRPr="00405303" w:rsidRDefault="001D2D2A" w:rsidP="00C15251">
      <w:pPr>
        <w:jc w:val="both"/>
        <w:rPr>
          <w:bCs/>
          <w:color w:val="002060"/>
          <w:sz w:val="16"/>
          <w:szCs w:val="16"/>
        </w:rPr>
      </w:pPr>
      <w:r w:rsidRPr="00405303">
        <w:rPr>
          <w:bCs/>
          <w:color w:val="002060"/>
          <w:sz w:val="16"/>
          <w:szCs w:val="16"/>
        </w:rPr>
        <w:t>Помощник Военного Министра генерал-лейтенант Лукомский отметил, что в отношении обеспечения потребности в перевозке из-за границы в свое время не были приняты все надлежащие меры, а именно, не было сделано подсчета потребности в перевозках и наличных для сего средствах. Ныне выяснилось, что потребность значительно превышает имеющийся у нас тоннаж. Приобретение пароходов ныне весьма затруднительно, ибо они имеются лишь у Англии, которая запретила их продажу. Таким образом, обойтись без содействия Англии нельзя, но необходимо, чтобы наш торговый флот не потерпел от этого ущерба. Для этой цели следует вступить в переговоры с Английским правительством о том, чтобы Английское правительство возило на наших судах исключительно наши грузы. При этом надлежит одновременно принять все меры к приобретению новых судов и, кроме того, следует просить Английское правительство предоставить нам новый кредит в валюте, независимо от Лондонского соглашения.</w:t>
      </w:r>
    </w:p>
    <w:p w14:paraId="77A3D632" w14:textId="77777777" w:rsidR="001D2D2A" w:rsidRPr="00405303" w:rsidRDefault="001D2D2A" w:rsidP="00C15251">
      <w:pPr>
        <w:jc w:val="both"/>
        <w:rPr>
          <w:bCs/>
          <w:color w:val="002060"/>
          <w:sz w:val="16"/>
          <w:szCs w:val="16"/>
        </w:rPr>
      </w:pPr>
      <w:r w:rsidRPr="00405303">
        <w:rPr>
          <w:bCs/>
          <w:color w:val="002060"/>
          <w:sz w:val="16"/>
          <w:szCs w:val="16"/>
        </w:rPr>
        <w:t>Помощник морского министра вице-адмирал П. П. Муравьев отметил, что если приобретение судов и затруднено в Атлантическом океане, то представлялось бы, быть может, возможным зафрахтовать или купить их у японцев или китайцев.</w:t>
      </w:r>
    </w:p>
    <w:p w14:paraId="635D461B" w14:textId="77777777" w:rsidR="001D2D2A" w:rsidRPr="00405303" w:rsidRDefault="001D2D2A" w:rsidP="00C15251">
      <w:pPr>
        <w:jc w:val="both"/>
        <w:rPr>
          <w:bCs/>
          <w:color w:val="002060"/>
          <w:sz w:val="16"/>
          <w:szCs w:val="16"/>
        </w:rPr>
      </w:pPr>
      <w:r w:rsidRPr="00405303">
        <w:rPr>
          <w:bCs/>
          <w:color w:val="002060"/>
          <w:sz w:val="16"/>
          <w:szCs w:val="16"/>
        </w:rPr>
        <w:t>Член Особого Совещания М. А. Стахович высказал, что, с точки зрения обороны, принятие предложения Англии представляется желательным, ибо оно дает гарантию доставки предметов, необходимых для государственной обороны. Перед этим соображением интересы нашего торгового флота могут, казалось бы, отступить на второй план. Однако ввиду сложности и недостаточной освещенности вопроса было бы желательно осветить его путем особой комиссии.</w:t>
      </w:r>
    </w:p>
    <w:p w14:paraId="0C576316" w14:textId="77777777" w:rsidR="001D2D2A" w:rsidRPr="00405303" w:rsidRDefault="001D2D2A" w:rsidP="00C15251">
      <w:pPr>
        <w:jc w:val="both"/>
        <w:rPr>
          <w:bCs/>
          <w:color w:val="002060"/>
          <w:sz w:val="16"/>
          <w:szCs w:val="16"/>
        </w:rPr>
      </w:pPr>
      <w:r w:rsidRPr="00405303">
        <w:rPr>
          <w:bCs/>
          <w:color w:val="002060"/>
          <w:sz w:val="16"/>
          <w:szCs w:val="16"/>
        </w:rPr>
        <w:lastRenderedPageBreak/>
        <w:t>Член Особого Совещания В. И. Гурко высказал, что в данном вопросе ярко проявился общий недостаток деятельности правительства, заключающийся в отсутствии единства действий. Переговоры о сосредоточении перевозок в руках Англии велись военным ведомством, а министерство иностранных дел не принимало в них участия. Между тем лишь дипломатическое ведомство способно ответить на основной вопрос, настолько ли безвыходно наше положение, чтобы мы были принуждены принимать диктуемые нам Англией тяжелые условия. Для надлежащего освещения вопроса необходимо рассмотреть его в особой комиссии, с приглашением представителя дипломатического ведомства.</w:t>
      </w:r>
    </w:p>
    <w:p w14:paraId="0F80FE57" w14:textId="77777777" w:rsidR="001D2D2A" w:rsidRPr="00405303" w:rsidRDefault="001D2D2A" w:rsidP="00C15251">
      <w:pPr>
        <w:jc w:val="both"/>
        <w:rPr>
          <w:bCs/>
          <w:color w:val="002060"/>
          <w:sz w:val="16"/>
          <w:szCs w:val="16"/>
        </w:rPr>
      </w:pPr>
      <w:r w:rsidRPr="00405303">
        <w:rPr>
          <w:bCs/>
          <w:color w:val="002060"/>
          <w:sz w:val="16"/>
          <w:szCs w:val="16"/>
        </w:rPr>
        <w:t>Член Особого Совещания А. А. Добровольский заметил, что русский коммерческий флот является совершенно незначительной величиной и существует лишь казенными вспомоществованиями. При таких обстоятельствах едва ли аргумент об остановке его развития может иметь большое значение. Что касается до перевозок на зафрахтованных судах, то нет сомнения, что англичане справятся с этой задачей лучше, чем мы сами, не говоря уже о том, что англичане могут дать наибольшую гарантию безопасности плавания. При этом, однако, необходимо, чтобы на русских судах возились исключительно русские грузы.</w:t>
      </w:r>
    </w:p>
    <w:p w14:paraId="62A9FDAF" w14:textId="77777777" w:rsidR="001D2D2A" w:rsidRPr="00405303" w:rsidRDefault="001D2D2A" w:rsidP="00C15251">
      <w:pPr>
        <w:jc w:val="both"/>
        <w:rPr>
          <w:bCs/>
          <w:color w:val="002060"/>
          <w:sz w:val="16"/>
          <w:szCs w:val="16"/>
        </w:rPr>
      </w:pPr>
      <w:r w:rsidRPr="00405303">
        <w:rPr>
          <w:bCs/>
          <w:color w:val="002060"/>
          <w:sz w:val="16"/>
          <w:szCs w:val="16"/>
        </w:rPr>
        <w:t>Член Особого Совещания А. И. Шингарев обратил внимание на то обстоятельство, что для приобретения тоннажа, необходимого для производства перевозок собственными средствами, требуется всего 10 миллионов фунтов стерлингов, каковую сумму, без сомнения, не слишком трудно найти на американском рынке. Затем, едва ли может встретиться какое-либо затруднение в получении средств на оплату перевозок за счет Лондонского кредита, ибо расход на перевозки, несомненно, должен считаться расходом на произведенные уже заказы. Для освещения этих вопросов необходимо пригласить в комиссию представителя от ведомства финансов.</w:t>
      </w:r>
    </w:p>
    <w:p w14:paraId="2E76179D" w14:textId="77777777" w:rsidR="001D2D2A" w:rsidRPr="00405303" w:rsidRDefault="001D2D2A" w:rsidP="00C15251">
      <w:pPr>
        <w:jc w:val="both"/>
        <w:rPr>
          <w:bCs/>
          <w:color w:val="002060"/>
          <w:sz w:val="16"/>
          <w:szCs w:val="16"/>
        </w:rPr>
      </w:pPr>
      <w:r w:rsidRPr="00405303">
        <w:rPr>
          <w:bCs/>
          <w:color w:val="002060"/>
          <w:sz w:val="16"/>
          <w:szCs w:val="16"/>
        </w:rPr>
        <w:t>Член Особого Совещания А. С. Стишинский отметил, что чрезвычайно важно выяснить, согласны ли англичане обеспечить нам немедленную погрузку всех наших грузов или хотя бы 50 % оных. Кроме того, необходимо, чтобы Англия дала нам новую валюту, независимо от предоставленной прежним соглашением.</w:t>
      </w:r>
    </w:p>
    <w:p w14:paraId="0374B13D" w14:textId="77777777" w:rsidR="001D2D2A" w:rsidRPr="00405303" w:rsidRDefault="001D2D2A" w:rsidP="00C15251">
      <w:pPr>
        <w:jc w:val="both"/>
        <w:rPr>
          <w:bCs/>
          <w:color w:val="002060"/>
          <w:sz w:val="16"/>
          <w:szCs w:val="16"/>
        </w:rPr>
      </w:pPr>
      <w:r w:rsidRPr="00405303">
        <w:rPr>
          <w:bCs/>
          <w:color w:val="002060"/>
          <w:sz w:val="16"/>
          <w:szCs w:val="16"/>
        </w:rPr>
        <w:t>Председатель Особого Совещания сообщил, что для выяснения в деталях предложения Английского правительства послан соответствующий запрос адмиралу Русину.</w:t>
      </w:r>
    </w:p>
    <w:p w14:paraId="2EC0246A" w14:textId="77777777" w:rsidR="001D2D2A" w:rsidRPr="00405303" w:rsidRDefault="001D2D2A" w:rsidP="00C15251">
      <w:pPr>
        <w:jc w:val="both"/>
        <w:rPr>
          <w:bCs/>
          <w:color w:val="002060"/>
          <w:sz w:val="16"/>
          <w:szCs w:val="16"/>
        </w:rPr>
      </w:pPr>
      <w:r w:rsidRPr="00405303">
        <w:rPr>
          <w:bCs/>
          <w:color w:val="002060"/>
          <w:sz w:val="16"/>
          <w:szCs w:val="16"/>
        </w:rPr>
        <w:t>По обмене мнениями по изложенному вопросу Особое Совещание, приняв во внимание сложность, объем и чрезвычайную важность этого дела, признало необходимым обсудить его в особо образованной для этого комиссии с участием представителей подлежащих ведомств.</w:t>
      </w:r>
    </w:p>
    <w:p w14:paraId="1C41B347" w14:textId="77777777" w:rsidR="001D2D2A" w:rsidRPr="00405303" w:rsidRDefault="001D2D2A" w:rsidP="00C15251">
      <w:pPr>
        <w:jc w:val="both"/>
        <w:rPr>
          <w:bCs/>
          <w:color w:val="002060"/>
          <w:sz w:val="16"/>
          <w:szCs w:val="16"/>
        </w:rPr>
      </w:pPr>
      <w:r w:rsidRPr="00405303">
        <w:rPr>
          <w:bCs/>
          <w:color w:val="002060"/>
          <w:sz w:val="16"/>
          <w:szCs w:val="16"/>
        </w:rPr>
        <w:t>Затем Особое Совещание рассмотрело доклад подготовительной комиссии по артиллерийским вопросам о заказе алюминия за границей.</w:t>
      </w:r>
    </w:p>
    <w:p w14:paraId="1F876A2F" w14:textId="77777777" w:rsidR="001D2D2A" w:rsidRPr="00405303" w:rsidRDefault="001D2D2A" w:rsidP="00C15251">
      <w:pPr>
        <w:jc w:val="both"/>
        <w:rPr>
          <w:bCs/>
          <w:color w:val="002060"/>
          <w:sz w:val="16"/>
          <w:szCs w:val="16"/>
        </w:rPr>
      </w:pPr>
      <w:r w:rsidRPr="00405303">
        <w:rPr>
          <w:bCs/>
          <w:color w:val="002060"/>
          <w:sz w:val="16"/>
          <w:szCs w:val="16"/>
        </w:rPr>
        <w:t>Член Особого Совещания А. И. Шингарев и представитель министерства финансов Г1. Н. Кутлер высказали, что вместо производства упомянутого заказа в Норвегии, как предполагается в докладе, было бы более желательным организовать производство алюминия в России, на что председатель артиллерийской комиссии С. И. Тимашев разъяснил, что, отнюдь не отказываясь от развития производства алюминия в России, комиссия полагает данный заказ произвести в Норвегии ввиду спешной необходимости получения продукта.</w:t>
      </w:r>
    </w:p>
    <w:p w14:paraId="29015A2D" w14:textId="77777777" w:rsidR="001D2D2A" w:rsidRPr="00405303" w:rsidRDefault="001D2D2A" w:rsidP="00C15251">
      <w:pPr>
        <w:jc w:val="both"/>
        <w:rPr>
          <w:bCs/>
          <w:color w:val="002060"/>
          <w:sz w:val="16"/>
          <w:szCs w:val="16"/>
        </w:rPr>
      </w:pPr>
      <w:r w:rsidRPr="00405303">
        <w:rPr>
          <w:bCs/>
          <w:color w:val="002060"/>
          <w:sz w:val="16"/>
          <w:szCs w:val="16"/>
        </w:rPr>
        <w:t>Особое Совещание одобрило доклад, обусловив, однако, производство заказа в Норвегии согласием Французского правительства на предоставление необходимой валюты на его оплату.</w:t>
      </w:r>
    </w:p>
    <w:p w14:paraId="33ED46AB" w14:textId="77777777" w:rsidR="001D2D2A" w:rsidRPr="00405303" w:rsidRDefault="001D2D2A" w:rsidP="00C15251">
      <w:pPr>
        <w:jc w:val="both"/>
        <w:rPr>
          <w:bCs/>
          <w:color w:val="002060"/>
          <w:sz w:val="16"/>
          <w:szCs w:val="16"/>
        </w:rPr>
      </w:pPr>
      <w:r w:rsidRPr="00405303">
        <w:rPr>
          <w:bCs/>
          <w:color w:val="002060"/>
          <w:sz w:val="16"/>
          <w:szCs w:val="16"/>
        </w:rPr>
        <w:t>Рассмотрев далее доклады подготовительной комиссии по общим вопросам:</w:t>
      </w:r>
    </w:p>
    <w:p w14:paraId="30BCCB30" w14:textId="77777777" w:rsidR="001D2D2A" w:rsidRPr="00405303" w:rsidRDefault="001D2D2A" w:rsidP="00C15251">
      <w:pPr>
        <w:jc w:val="both"/>
        <w:rPr>
          <w:bCs/>
          <w:color w:val="002060"/>
          <w:sz w:val="16"/>
          <w:szCs w:val="16"/>
        </w:rPr>
      </w:pPr>
      <w:r w:rsidRPr="00405303">
        <w:rPr>
          <w:bCs/>
          <w:color w:val="002060"/>
          <w:sz w:val="16"/>
          <w:szCs w:val="16"/>
        </w:rPr>
        <w:t xml:space="preserve">а) об ассигновании денежных средств Велико-Бобрикскому обществу на покупку машин для мастерской, изготовляющей снаряжение для армии, и </w:t>
      </w:r>
    </w:p>
    <w:p w14:paraId="55CBCBB3" w14:textId="77777777" w:rsidR="001D2D2A" w:rsidRPr="00405303" w:rsidRDefault="001D2D2A" w:rsidP="00C15251">
      <w:pPr>
        <w:jc w:val="both"/>
        <w:rPr>
          <w:bCs/>
          <w:color w:val="002060"/>
          <w:sz w:val="16"/>
          <w:szCs w:val="16"/>
        </w:rPr>
      </w:pPr>
      <w:r w:rsidRPr="00405303">
        <w:rPr>
          <w:bCs/>
          <w:color w:val="002060"/>
          <w:sz w:val="16"/>
          <w:szCs w:val="16"/>
        </w:rPr>
        <w:t>б) о срочном осуществлении содействия казны аэропланным заводам - Особое Совещание не встретило возражений к их одобрению.</w:t>
      </w:r>
    </w:p>
    <w:p w14:paraId="06527503" w14:textId="77777777" w:rsidR="001D2D2A" w:rsidRPr="00405303" w:rsidRDefault="001D2D2A" w:rsidP="00C15251">
      <w:pPr>
        <w:jc w:val="both"/>
        <w:rPr>
          <w:bCs/>
          <w:color w:val="002060"/>
          <w:sz w:val="16"/>
          <w:szCs w:val="16"/>
        </w:rPr>
      </w:pPr>
      <w:r w:rsidRPr="00405303">
        <w:rPr>
          <w:bCs/>
          <w:color w:val="002060"/>
          <w:sz w:val="16"/>
          <w:szCs w:val="16"/>
        </w:rPr>
        <w:t>Равным образом Особое Совещание одобрило доклад подготовительной комиссии по артиллерийским делам об отмене предполагавшегося заказа 48-лин. шрапнелей в Англии.</w:t>
      </w:r>
    </w:p>
    <w:p w14:paraId="245FA58B" w14:textId="77777777" w:rsidR="001D2D2A" w:rsidRPr="00405303" w:rsidRDefault="001D2D2A" w:rsidP="00C15251">
      <w:pPr>
        <w:jc w:val="both"/>
        <w:rPr>
          <w:bCs/>
          <w:color w:val="002060"/>
          <w:sz w:val="16"/>
          <w:szCs w:val="16"/>
        </w:rPr>
      </w:pPr>
      <w:r w:rsidRPr="00405303">
        <w:rPr>
          <w:bCs/>
          <w:color w:val="002060"/>
          <w:sz w:val="16"/>
          <w:szCs w:val="16"/>
        </w:rPr>
        <w:t>По поводу сего доклада председатель упомянутой комиссии С. И. Тимашев, отвечая на вопрос члена Особого Совещания М. В. Родзянко, сообщил, что упоминаемые в докладе заказы шрапнелей, на замену предполагавшихся в Англии, уже предоставлены вчера двум Московским фирмам.</w:t>
      </w:r>
    </w:p>
    <w:p w14:paraId="045E9AD8" w14:textId="77777777" w:rsidR="001D2D2A" w:rsidRPr="00405303" w:rsidRDefault="001D2D2A" w:rsidP="00C15251">
      <w:pPr>
        <w:jc w:val="both"/>
        <w:rPr>
          <w:bCs/>
          <w:color w:val="002060"/>
          <w:sz w:val="16"/>
          <w:szCs w:val="16"/>
        </w:rPr>
      </w:pPr>
      <w:r w:rsidRPr="00405303">
        <w:rPr>
          <w:bCs/>
          <w:color w:val="002060"/>
          <w:sz w:val="16"/>
          <w:szCs w:val="16"/>
        </w:rPr>
        <w:t>Рассмотрев затем проект правил о порядке выдачи авансов без обеспечения, Особое Совещание не встретило возражений к его одобрению, приняв предложенную генерал-лейтенантом А. С. Лукомским поправку об исключении из пункта 9-го его второй части.</w:t>
      </w:r>
    </w:p>
    <w:p w14:paraId="3C66FFAD" w14:textId="77777777" w:rsidR="001D2D2A" w:rsidRPr="00405303" w:rsidRDefault="001D2D2A" w:rsidP="00C15251">
      <w:pPr>
        <w:jc w:val="both"/>
        <w:rPr>
          <w:bCs/>
          <w:color w:val="002060"/>
          <w:sz w:val="16"/>
          <w:szCs w:val="16"/>
        </w:rPr>
      </w:pPr>
      <w:r w:rsidRPr="00405303">
        <w:rPr>
          <w:bCs/>
          <w:color w:val="002060"/>
          <w:sz w:val="16"/>
          <w:szCs w:val="16"/>
        </w:rPr>
        <w:t>В заключение Особое Совещание рассмотрело доклад подготовительной комиссии по общим вопросам об устройстве в России заводов для изготовления автомобилей, причем членами Особого Совещания были высказаны нижеследующие суждения по этому поводу.</w:t>
      </w:r>
    </w:p>
    <w:p w14:paraId="566B53F5" w14:textId="77777777" w:rsidR="001D2D2A" w:rsidRPr="00405303" w:rsidRDefault="001D2D2A" w:rsidP="00C15251">
      <w:pPr>
        <w:jc w:val="both"/>
        <w:rPr>
          <w:bCs/>
          <w:color w:val="002060"/>
          <w:sz w:val="16"/>
          <w:szCs w:val="16"/>
        </w:rPr>
      </w:pPr>
      <w:r w:rsidRPr="00405303">
        <w:rPr>
          <w:bCs/>
          <w:color w:val="002060"/>
          <w:sz w:val="16"/>
          <w:szCs w:val="16"/>
        </w:rPr>
        <w:t>Член Особого Совещания А. И. Шингарев указал, что нецелесообразно расходовать весьма значительные суммы на создание частных автомобильных заводов и одновременно создавать казенный завод, так как по открытии казенного завода, частные, лишившись казенных заказов, принуждены будут закрыться, ибо работать исключительно в потребность частного рынка они не будут в состоянии вследствие конкуренции заграничных фирм и неблагоприятного положения нашего таможенного тарифа для развития автомобильной промышленности, положения, изменение коего представляется маловероятным, ибо это связано с договором с Францией. Вместе с тем А. И. Шингарев высказался за сужение круга фирм, с устранением тех из них, кои, судя по их современной деятельности, не будут в состоянии справиться в срок с изготовлением автомобилей.</w:t>
      </w:r>
    </w:p>
    <w:p w14:paraId="6E80BC1C" w14:textId="77777777" w:rsidR="001D2D2A" w:rsidRPr="00405303" w:rsidRDefault="001D2D2A" w:rsidP="00C15251">
      <w:pPr>
        <w:jc w:val="both"/>
        <w:rPr>
          <w:bCs/>
          <w:color w:val="002060"/>
          <w:sz w:val="16"/>
          <w:szCs w:val="16"/>
        </w:rPr>
      </w:pPr>
      <w:r w:rsidRPr="00405303">
        <w:rPr>
          <w:bCs/>
          <w:color w:val="002060"/>
          <w:sz w:val="16"/>
          <w:szCs w:val="16"/>
        </w:rPr>
        <w:t>Член Особого Совещания А. А. Добровольский обратил внимание Особого Совещания, что заказы имеется в виду дать на условиях, предусматривающих сдачу автомобилей не только во время войны, но и значительно позднее предполагаемого ее окончания, то есть далеко за пределами тех сроков, в течение которых забота о снабжении армии входит в компетенцию Особого Совещания. Не отрицая необходимости для собственников, вновь призываемых к жизни потребностями войны, предприятий соразмерять цену своих изделий с подлежащими погашению первоначальными затратами, а следовательно, и с числом ожидаемых к сдаче изделий, А. А. Добровольский, однако, полагает, что в рассматриваемом случае правительство должно выговорить себе в контрактах право отказаться, в случае окончания войны, от принятия тех автомобилей, к изготовлению которых в момент отказа еще не будет приступлено, с возмещением предпринимателям только непогашенной доли первоначальных затрат, падающих на недопринятые изделия. Означенное условие, с одной стороны, освободит государственное казначейство от расходов, не оправдываемых текущей войной, а с другой - не создаст и затруднений к возникновению частных автомобильных заводов, деятельность которых обеспечивается потребностями гражданского населения в мирное время. А. А. Добровольский полагает, что оговорки, подобные указанной, приуроченные к каждому отдельному случаю, должны в интересах казны вводиться в заключаемые контракты во всех случаях создания для изготовления предметов снаряжения армии новых предприятий или новых их частей.</w:t>
      </w:r>
    </w:p>
    <w:p w14:paraId="5BBD83C5" w14:textId="77777777" w:rsidR="001D2D2A" w:rsidRPr="00405303" w:rsidRDefault="001D2D2A" w:rsidP="00C15251">
      <w:pPr>
        <w:jc w:val="both"/>
        <w:rPr>
          <w:bCs/>
          <w:color w:val="002060"/>
          <w:sz w:val="16"/>
          <w:szCs w:val="16"/>
        </w:rPr>
      </w:pPr>
      <w:r w:rsidRPr="00405303">
        <w:rPr>
          <w:bCs/>
          <w:color w:val="002060"/>
          <w:sz w:val="16"/>
          <w:szCs w:val="16"/>
        </w:rPr>
        <w:t xml:space="preserve">Член Особого Совещания Н. Н. Опочинин указал, что все основания доклада уже были принципиально одобрены Особым Совещанием и что нет оснований для нового их пересмотра. Правда, выясняется, что на покупку заграничных материалов нужно выдать заводам валюту на сумму в 30 % от общей стоимости заказов, но лучше произвести расход валюты в 30 %, чем в 100 %, </w:t>
      </w:r>
      <w:proofErr w:type="gramStart"/>
      <w:r w:rsidRPr="00405303">
        <w:rPr>
          <w:bCs/>
          <w:color w:val="002060"/>
          <w:sz w:val="16"/>
          <w:szCs w:val="16"/>
        </w:rPr>
        <w:t>как то</w:t>
      </w:r>
      <w:proofErr w:type="gramEnd"/>
      <w:r w:rsidRPr="00405303">
        <w:rPr>
          <w:bCs/>
          <w:color w:val="002060"/>
          <w:sz w:val="16"/>
          <w:szCs w:val="16"/>
        </w:rPr>
        <w:t xml:space="preserve"> было бы при заготовлении за границей.</w:t>
      </w:r>
    </w:p>
    <w:p w14:paraId="1074F150" w14:textId="77777777" w:rsidR="001D2D2A" w:rsidRPr="00405303" w:rsidRDefault="001D2D2A" w:rsidP="00C15251">
      <w:pPr>
        <w:jc w:val="both"/>
        <w:rPr>
          <w:bCs/>
          <w:color w:val="002060"/>
          <w:sz w:val="16"/>
          <w:szCs w:val="16"/>
        </w:rPr>
      </w:pPr>
      <w:r w:rsidRPr="00405303">
        <w:rPr>
          <w:bCs/>
          <w:color w:val="002060"/>
          <w:sz w:val="16"/>
          <w:szCs w:val="16"/>
        </w:rPr>
        <w:t>Член Особого Совещания В. И. Тимирязев высказал, что не следует опасаться расходов на это дело, так как чем больше предприниматели покроют свои затраты, тем прочнее утвердится автомобильное производство.</w:t>
      </w:r>
    </w:p>
    <w:p w14:paraId="715A4E3F" w14:textId="77777777" w:rsidR="001D2D2A" w:rsidRPr="00405303" w:rsidRDefault="001D2D2A" w:rsidP="00C15251">
      <w:pPr>
        <w:jc w:val="both"/>
        <w:rPr>
          <w:bCs/>
          <w:color w:val="002060"/>
          <w:sz w:val="16"/>
          <w:szCs w:val="16"/>
        </w:rPr>
      </w:pPr>
      <w:r w:rsidRPr="00405303">
        <w:rPr>
          <w:bCs/>
          <w:color w:val="002060"/>
          <w:sz w:val="16"/>
          <w:szCs w:val="16"/>
        </w:rPr>
        <w:t>Член Особого Совещания Д. Н. Сверчков отметил, что, согласно докладу, за время войны (до 1 июля 1917 г.) будет сдано не более 35 %</w:t>
      </w:r>
    </w:p>
    <w:p w14:paraId="3078ABF7" w14:textId="77777777" w:rsidR="001D2D2A" w:rsidRPr="00405303" w:rsidRDefault="001D2D2A" w:rsidP="00C15251">
      <w:pPr>
        <w:jc w:val="both"/>
        <w:rPr>
          <w:bCs/>
          <w:color w:val="002060"/>
          <w:sz w:val="16"/>
          <w:szCs w:val="16"/>
        </w:rPr>
      </w:pPr>
      <w:r w:rsidRPr="00405303">
        <w:rPr>
          <w:bCs/>
          <w:color w:val="002060"/>
          <w:sz w:val="16"/>
          <w:szCs w:val="16"/>
        </w:rPr>
        <w:t>общего количества заказанных автомобилей, причем будет выдано предпринимателям 30 % общей стоимости заказа в валюте. Таким образом в отношении расхода валюты заказ не является более выгодным, чем заграничный.</w:t>
      </w:r>
    </w:p>
    <w:p w14:paraId="2069FDEC" w14:textId="77777777" w:rsidR="001D2D2A" w:rsidRPr="00405303" w:rsidRDefault="001D2D2A" w:rsidP="00C15251">
      <w:pPr>
        <w:jc w:val="both"/>
        <w:rPr>
          <w:bCs/>
          <w:color w:val="002060"/>
          <w:sz w:val="16"/>
          <w:szCs w:val="16"/>
        </w:rPr>
      </w:pPr>
      <w:r w:rsidRPr="00405303">
        <w:rPr>
          <w:bCs/>
          <w:color w:val="002060"/>
          <w:sz w:val="16"/>
          <w:szCs w:val="16"/>
        </w:rPr>
        <w:t>Действительный статский советник В. П. Литвинов-Фалинский указал, что принципиальная сторона настоящего вопроса уже одобрена Особым Совещанием. Поэтому вводить теперь в контракты какие-либо новые условия представляется несоответственным. Можно лишь оговорить, что заводы обязуются сохранять после войны необходимое для изготовления автомобилей военного типа оборудование.</w:t>
      </w:r>
    </w:p>
    <w:p w14:paraId="1D3EFC63" w14:textId="77777777" w:rsidR="001D2D2A" w:rsidRPr="00405303" w:rsidRDefault="001D2D2A" w:rsidP="00C15251">
      <w:pPr>
        <w:jc w:val="both"/>
        <w:rPr>
          <w:bCs/>
          <w:color w:val="002060"/>
          <w:sz w:val="16"/>
          <w:szCs w:val="16"/>
        </w:rPr>
      </w:pPr>
      <w:r w:rsidRPr="00405303">
        <w:rPr>
          <w:bCs/>
          <w:color w:val="002060"/>
          <w:sz w:val="16"/>
          <w:szCs w:val="16"/>
        </w:rPr>
        <w:t>Член Особого Совещания Н. В. Савич высказал, что не представляется вероятной постройка казенного завода скорее, чем через год. Поэтому едва ли следует сокращать круг фирм, коим предоставляются заказы на автомобили. Более целесообразным было бы взять, в случае неисправности, некоторые частные заводы в казну. В итоге Н. В. Савич высказался за принятие решения комиссии.</w:t>
      </w:r>
    </w:p>
    <w:p w14:paraId="1465178B" w14:textId="77777777" w:rsidR="001D2D2A" w:rsidRPr="00405303" w:rsidRDefault="001D2D2A" w:rsidP="00C15251">
      <w:pPr>
        <w:jc w:val="both"/>
        <w:rPr>
          <w:bCs/>
          <w:color w:val="002060"/>
          <w:sz w:val="16"/>
          <w:szCs w:val="16"/>
        </w:rPr>
      </w:pPr>
      <w:r w:rsidRPr="00405303">
        <w:rPr>
          <w:bCs/>
          <w:color w:val="002060"/>
          <w:sz w:val="16"/>
          <w:szCs w:val="16"/>
        </w:rPr>
        <w:t>Особое Совещание, не входя в обсуждение деталей доклада, не встретило возражений против одобрения его принципиальных оснований, со включением предложенной А. А. Добровольским поправки.</w:t>
      </w:r>
    </w:p>
    <w:p w14:paraId="0544DE1B" w14:textId="77777777" w:rsidR="001D2D2A" w:rsidRPr="00405303" w:rsidRDefault="001D2D2A" w:rsidP="00C15251">
      <w:pPr>
        <w:jc w:val="both"/>
        <w:rPr>
          <w:bCs/>
          <w:color w:val="002060"/>
          <w:sz w:val="16"/>
          <w:szCs w:val="16"/>
        </w:rPr>
      </w:pPr>
      <w:r w:rsidRPr="00405303">
        <w:rPr>
          <w:bCs/>
          <w:color w:val="002060"/>
          <w:sz w:val="16"/>
          <w:szCs w:val="16"/>
        </w:rPr>
        <w:t>Председатель Особого Совещания в отношении приведения в исполнение требующих того суждений Особого Совещания решил:</w:t>
      </w:r>
    </w:p>
    <w:p w14:paraId="3E096489" w14:textId="77777777" w:rsidR="001D2D2A" w:rsidRPr="00405303" w:rsidRDefault="001D2D2A" w:rsidP="00C15251">
      <w:pPr>
        <w:jc w:val="both"/>
        <w:rPr>
          <w:bCs/>
          <w:color w:val="002060"/>
          <w:sz w:val="16"/>
          <w:szCs w:val="16"/>
        </w:rPr>
      </w:pPr>
      <w:r w:rsidRPr="00405303">
        <w:rPr>
          <w:bCs/>
          <w:color w:val="002060"/>
          <w:sz w:val="16"/>
          <w:szCs w:val="16"/>
        </w:rPr>
        <w:lastRenderedPageBreak/>
        <w:t>1. Утвердить выработанный подготовительной комиссией проект правил о выдаче авансов без обеспечения, исключив из пункта 9-го вторую его часть начиная от слов «по заказам, не подлежащим внесению».</w:t>
      </w:r>
    </w:p>
    <w:p w14:paraId="0962B47D" w14:textId="77777777" w:rsidR="001D2D2A" w:rsidRPr="00405303" w:rsidRDefault="001D2D2A" w:rsidP="00C15251">
      <w:pPr>
        <w:jc w:val="both"/>
        <w:rPr>
          <w:bCs/>
          <w:color w:val="002060"/>
          <w:sz w:val="16"/>
          <w:szCs w:val="16"/>
        </w:rPr>
      </w:pPr>
      <w:r w:rsidRPr="00405303">
        <w:rPr>
          <w:bCs/>
          <w:color w:val="002060"/>
          <w:sz w:val="16"/>
          <w:szCs w:val="16"/>
        </w:rPr>
        <w:t>2. Образовать специальную комиссию от Особого Совещания для всестороннего рассмотрения вопроса о сосредоточении перевозок для нужд государственной обороны из-за границы в руках Английского правительства, избрав в состав означенной комиссии из числа членов Особого Совещания двух членов Государственного Совета, двух членов Государственной Думы и по одному представителю от центрального военно-промышленного комитета и городского и земского союзов и включив надлежащих представителей ведомств.</w:t>
      </w:r>
    </w:p>
    <w:p w14:paraId="2AB2D549" w14:textId="77777777" w:rsidR="001D2D2A" w:rsidRPr="00405303" w:rsidRDefault="001D2D2A" w:rsidP="00C15251">
      <w:pPr>
        <w:jc w:val="both"/>
        <w:rPr>
          <w:bCs/>
          <w:color w:val="002060"/>
          <w:sz w:val="16"/>
          <w:szCs w:val="16"/>
        </w:rPr>
      </w:pPr>
      <w:r w:rsidRPr="00405303">
        <w:rPr>
          <w:bCs/>
          <w:color w:val="002060"/>
          <w:sz w:val="16"/>
          <w:szCs w:val="16"/>
        </w:rPr>
        <w:t>3. Утвердить доклады подготовительной комиссии по общим вопросам:</w:t>
      </w:r>
    </w:p>
    <w:p w14:paraId="29AD1C00" w14:textId="77777777" w:rsidR="001D2D2A" w:rsidRPr="00405303" w:rsidRDefault="001D2D2A" w:rsidP="00C15251">
      <w:pPr>
        <w:jc w:val="both"/>
        <w:rPr>
          <w:bCs/>
          <w:color w:val="002060"/>
          <w:sz w:val="16"/>
          <w:szCs w:val="16"/>
        </w:rPr>
      </w:pPr>
      <w:r w:rsidRPr="00405303">
        <w:rPr>
          <w:bCs/>
          <w:color w:val="002060"/>
          <w:sz w:val="16"/>
          <w:szCs w:val="16"/>
        </w:rPr>
        <w:t xml:space="preserve">а) о срочном осуществлении содействия казны аэропланным заводам и </w:t>
      </w:r>
    </w:p>
    <w:p w14:paraId="7117F49A" w14:textId="77777777" w:rsidR="001D2D2A" w:rsidRPr="00405303" w:rsidRDefault="001D2D2A" w:rsidP="00C15251">
      <w:pPr>
        <w:jc w:val="both"/>
        <w:rPr>
          <w:bCs/>
          <w:color w:val="002060"/>
          <w:sz w:val="16"/>
          <w:szCs w:val="16"/>
        </w:rPr>
      </w:pPr>
      <w:r w:rsidRPr="00405303">
        <w:rPr>
          <w:bCs/>
          <w:color w:val="002060"/>
          <w:sz w:val="16"/>
          <w:szCs w:val="16"/>
        </w:rPr>
        <w:t>б) об ассигновании денежных средств Велико-Бобрикскому обществу на покупку машин для мастерской, изготовляющей снаряжение для армии.</w:t>
      </w:r>
    </w:p>
    <w:p w14:paraId="3F0FB886" w14:textId="77777777" w:rsidR="001D2D2A" w:rsidRPr="00405303" w:rsidRDefault="001D2D2A" w:rsidP="00C15251">
      <w:pPr>
        <w:jc w:val="both"/>
        <w:rPr>
          <w:bCs/>
          <w:color w:val="002060"/>
          <w:sz w:val="16"/>
          <w:szCs w:val="16"/>
        </w:rPr>
      </w:pPr>
      <w:r w:rsidRPr="00405303">
        <w:rPr>
          <w:bCs/>
          <w:color w:val="002060"/>
          <w:sz w:val="16"/>
          <w:szCs w:val="16"/>
        </w:rPr>
        <w:t>4. Утвердить доклад подготовительной комиссии по артиллерийским вопросам об отмене предполагавшегося заказа 48-лин. шрапнелей за границей через Англо-Русский комитет.</w:t>
      </w:r>
    </w:p>
    <w:p w14:paraId="5926BAD4" w14:textId="77777777" w:rsidR="001D2D2A" w:rsidRPr="00405303" w:rsidRDefault="001D2D2A" w:rsidP="00C15251">
      <w:pPr>
        <w:jc w:val="both"/>
        <w:rPr>
          <w:bCs/>
          <w:color w:val="002060"/>
          <w:sz w:val="16"/>
          <w:szCs w:val="16"/>
        </w:rPr>
      </w:pPr>
      <w:r w:rsidRPr="00405303">
        <w:rPr>
          <w:bCs/>
          <w:color w:val="002060"/>
          <w:sz w:val="16"/>
          <w:szCs w:val="16"/>
        </w:rPr>
        <w:t>5. Утвердить принципиальные основания доклада подготовительной комиссии по общим вопросам об устройстве в России заводов для изготовления автомобилей. По настоящему вопросу войти с представлением в Совет Министров, предварительно предложив заводам, чтобы в контрактах было оговорено, что военное ведомство имеет право по окончании войны отказаться от дальнейшего приема автомобилей, с уплатой заводам непогашенной части стоимости их оборудования.</w:t>
      </w:r>
    </w:p>
    <w:p w14:paraId="3DDA422A" w14:textId="77777777" w:rsidR="001D2D2A" w:rsidRPr="00405303" w:rsidRDefault="001D2D2A" w:rsidP="00C15251">
      <w:pPr>
        <w:jc w:val="both"/>
        <w:rPr>
          <w:bCs/>
          <w:color w:val="002060"/>
          <w:sz w:val="16"/>
          <w:szCs w:val="16"/>
        </w:rPr>
      </w:pPr>
      <w:r w:rsidRPr="00405303">
        <w:rPr>
          <w:bCs/>
          <w:color w:val="002060"/>
          <w:sz w:val="16"/>
          <w:szCs w:val="16"/>
        </w:rPr>
        <w:t>6. Утвердить доклад подготовительной комиссии по артиллерийским вопросам о заказе алюминия за границей, обусловив производство такового заказа согласием Французского правительства на предоставление необходимой валюты для расплаты по заказу в Норвегии.</w:t>
      </w:r>
    </w:p>
    <w:p w14:paraId="7929155A" w14:textId="77777777" w:rsidR="001D2D2A" w:rsidRPr="00405303" w:rsidRDefault="001D2D2A" w:rsidP="00C15251">
      <w:pPr>
        <w:jc w:val="both"/>
        <w:rPr>
          <w:bCs/>
          <w:color w:val="002060"/>
          <w:sz w:val="16"/>
          <w:szCs w:val="16"/>
        </w:rPr>
      </w:pPr>
      <w:r w:rsidRPr="00405303">
        <w:rPr>
          <w:bCs/>
          <w:color w:val="002060"/>
          <w:sz w:val="16"/>
          <w:szCs w:val="16"/>
        </w:rPr>
        <w:t>7. Отпустить из военного фонда, через главное интендантское управление, 5000 руб. Велико-Бобрикскому сельскому обществу в безвозвратное пособие на дооборудование обществом мастерской, с тем чтобы после войны мастерская эта была обращена в учебную ремесленную школу.</w:t>
      </w:r>
    </w:p>
    <w:p w14:paraId="38252491" w14:textId="77777777" w:rsidR="001D2D2A" w:rsidRPr="00405303" w:rsidRDefault="001D2D2A" w:rsidP="00C15251">
      <w:pPr>
        <w:jc w:val="both"/>
        <w:rPr>
          <w:bCs/>
          <w:color w:val="002060"/>
          <w:sz w:val="16"/>
          <w:szCs w:val="16"/>
        </w:rPr>
      </w:pPr>
      <w:r w:rsidRPr="00405303">
        <w:rPr>
          <w:bCs/>
          <w:color w:val="002060"/>
          <w:sz w:val="16"/>
          <w:szCs w:val="16"/>
        </w:rPr>
        <w:t>Подлинный журнал за надлежащими подписями.</w:t>
      </w:r>
    </w:p>
    <w:p w14:paraId="03F8A6B8" w14:textId="77777777" w:rsidR="001D2D2A" w:rsidRPr="00405303" w:rsidRDefault="001D2D2A" w:rsidP="00C15251">
      <w:pPr>
        <w:jc w:val="both"/>
        <w:rPr>
          <w:bCs/>
          <w:color w:val="002060"/>
          <w:sz w:val="16"/>
          <w:szCs w:val="16"/>
        </w:rPr>
      </w:pPr>
      <w:r w:rsidRPr="00405303">
        <w:rPr>
          <w:bCs/>
          <w:color w:val="002060"/>
          <w:sz w:val="16"/>
          <w:szCs w:val="16"/>
        </w:rPr>
        <w:t>С подлинным верно: и. об. делопроизводителя,</w:t>
      </w:r>
    </w:p>
    <w:p w14:paraId="7520A4BA" w14:textId="77777777" w:rsidR="001D2D2A" w:rsidRPr="00405303" w:rsidRDefault="001D2D2A" w:rsidP="00C15251">
      <w:pPr>
        <w:jc w:val="both"/>
        <w:rPr>
          <w:bCs/>
          <w:color w:val="002060"/>
          <w:sz w:val="16"/>
          <w:szCs w:val="16"/>
        </w:rPr>
      </w:pPr>
      <w:r w:rsidRPr="00405303">
        <w:rPr>
          <w:bCs/>
          <w:color w:val="002060"/>
          <w:sz w:val="16"/>
          <w:szCs w:val="16"/>
        </w:rPr>
        <w:t>надворный советник Л. Тяжелое.</w:t>
      </w:r>
    </w:p>
    <w:p w14:paraId="005C6325" w14:textId="77777777" w:rsidR="001D2D2A" w:rsidRPr="00405303" w:rsidRDefault="001D2D2A" w:rsidP="00C15251">
      <w:pPr>
        <w:jc w:val="both"/>
        <w:rPr>
          <w:bCs/>
          <w:color w:val="002060"/>
          <w:sz w:val="16"/>
          <w:szCs w:val="16"/>
        </w:rPr>
      </w:pPr>
      <w:r w:rsidRPr="00405303">
        <w:rPr>
          <w:bCs/>
          <w:color w:val="002060"/>
          <w:sz w:val="16"/>
          <w:szCs w:val="16"/>
        </w:rPr>
        <w:t>Сверял: за делопроизводителя (20447).</w:t>
      </w:r>
    </w:p>
    <w:p w14:paraId="73542162" w14:textId="77777777" w:rsidR="001D2D2A" w:rsidRPr="00405303" w:rsidRDefault="001D2D2A" w:rsidP="00C15251">
      <w:pPr>
        <w:jc w:val="both"/>
        <w:rPr>
          <w:bCs/>
          <w:color w:val="002060"/>
          <w:sz w:val="16"/>
          <w:szCs w:val="16"/>
        </w:rPr>
      </w:pPr>
    </w:p>
    <w:p w14:paraId="469B9FAA" w14:textId="77777777" w:rsidR="009337F1" w:rsidRPr="00405303" w:rsidRDefault="009337F1" w:rsidP="00C15251">
      <w:pPr>
        <w:jc w:val="both"/>
        <w:rPr>
          <w:bCs/>
          <w:i/>
          <w:color w:val="002060"/>
          <w:sz w:val="16"/>
          <w:szCs w:val="16"/>
        </w:rPr>
      </w:pPr>
      <w:r w:rsidRPr="00405303">
        <w:rPr>
          <w:bCs/>
          <w:i/>
          <w:color w:val="002060"/>
          <w:sz w:val="16"/>
          <w:szCs w:val="16"/>
        </w:rPr>
        <w:t>Авиация:</w:t>
      </w:r>
    </w:p>
    <w:p w14:paraId="5B49291A" w14:textId="77777777" w:rsidR="009337F1" w:rsidRPr="00405303" w:rsidRDefault="009337F1" w:rsidP="00C15251">
      <w:pPr>
        <w:jc w:val="both"/>
        <w:rPr>
          <w:bCs/>
          <w:i/>
          <w:color w:val="002060"/>
          <w:sz w:val="16"/>
          <w:szCs w:val="16"/>
        </w:rPr>
      </w:pPr>
    </w:p>
    <w:p w14:paraId="740E172E" w14:textId="77777777" w:rsidR="009337F1" w:rsidRPr="00405303" w:rsidRDefault="009337F1" w:rsidP="00C15251">
      <w:pPr>
        <w:jc w:val="both"/>
        <w:rPr>
          <w:bCs/>
          <w:color w:val="002060"/>
          <w:sz w:val="16"/>
          <w:szCs w:val="16"/>
        </w:rPr>
      </w:pPr>
      <w:bookmarkStart w:id="314" w:name="_Hlk117850283"/>
      <w:r w:rsidRPr="00405303">
        <w:rPr>
          <w:bCs/>
          <w:color w:val="002060"/>
          <w:sz w:val="16"/>
          <w:szCs w:val="16"/>
        </w:rPr>
        <w:t xml:space="preserve">28 ноября (11 декабря) 1915 г. Всероссийский аэроклуб принимая меры к увековечиванию героической деятельности русских летчиков на театре войны, учредил особую комиссию под председательством генерала Беляевского для сбора всех материалов /точных и верных сведений, документальных, фотографий и пр./, необходимых для этой цели. Вмешательство управления Заведующего авиацией и воздухоплаванием ДА, приказавшего присылать вое сведения через него /управления/, </w:t>
      </w:r>
      <w:bookmarkEnd w:id="314"/>
      <w:r w:rsidRPr="00405303">
        <w:rPr>
          <w:bCs/>
          <w:color w:val="002060"/>
          <w:sz w:val="16"/>
          <w:szCs w:val="16"/>
        </w:rPr>
        <w:t>по губило это благородное дело.</w:t>
      </w:r>
    </w:p>
    <w:p w14:paraId="5B9C44C8" w14:textId="77777777" w:rsidR="009337F1" w:rsidRPr="00405303" w:rsidRDefault="009337F1" w:rsidP="00C15251">
      <w:pPr>
        <w:jc w:val="both"/>
        <w:rPr>
          <w:bCs/>
          <w:color w:val="002060"/>
          <w:sz w:val="16"/>
          <w:szCs w:val="16"/>
        </w:rPr>
      </w:pPr>
      <w:r w:rsidRPr="00405303">
        <w:rPr>
          <w:bCs/>
          <w:color w:val="002060"/>
          <w:sz w:val="16"/>
          <w:szCs w:val="16"/>
        </w:rPr>
        <w:t>/ЦГВИА, ф. 2008, д. 161, л. 3/ (23320).</w:t>
      </w:r>
    </w:p>
    <w:p w14:paraId="15079D47" w14:textId="77777777" w:rsidR="009337F1" w:rsidRPr="00405303" w:rsidRDefault="009337F1" w:rsidP="00C15251">
      <w:pPr>
        <w:jc w:val="both"/>
        <w:rPr>
          <w:bCs/>
          <w:color w:val="002060"/>
          <w:sz w:val="16"/>
          <w:szCs w:val="16"/>
        </w:rPr>
      </w:pPr>
    </w:p>
    <w:p w14:paraId="3EF0F50C" w14:textId="44356D66" w:rsidR="008B591E" w:rsidRPr="00405303" w:rsidRDefault="008B591E" w:rsidP="00C15251">
      <w:pPr>
        <w:jc w:val="both"/>
        <w:rPr>
          <w:bCs/>
          <w:i/>
          <w:color w:val="002060"/>
          <w:sz w:val="16"/>
          <w:szCs w:val="16"/>
        </w:rPr>
      </w:pPr>
      <w:r w:rsidRPr="00405303">
        <w:rPr>
          <w:bCs/>
          <w:i/>
          <w:color w:val="002060"/>
          <w:sz w:val="16"/>
          <w:szCs w:val="16"/>
        </w:rPr>
        <w:t>Авиация:</w:t>
      </w:r>
    </w:p>
    <w:p w14:paraId="3CF59165" w14:textId="77777777" w:rsidR="008B591E" w:rsidRPr="00405303" w:rsidRDefault="008B591E" w:rsidP="00C15251">
      <w:pPr>
        <w:jc w:val="both"/>
        <w:rPr>
          <w:bCs/>
          <w:i/>
          <w:color w:val="002060"/>
          <w:sz w:val="16"/>
          <w:szCs w:val="16"/>
        </w:rPr>
      </w:pPr>
    </w:p>
    <w:p w14:paraId="33D7A6D6" w14:textId="77777777" w:rsidR="00993C18" w:rsidRPr="00405303" w:rsidRDefault="00993C18" w:rsidP="00C15251">
      <w:pPr>
        <w:jc w:val="both"/>
        <w:rPr>
          <w:bCs/>
          <w:color w:val="002060"/>
          <w:sz w:val="16"/>
          <w:szCs w:val="16"/>
        </w:rPr>
      </w:pPr>
      <w:r w:rsidRPr="00405303">
        <w:rPr>
          <w:bCs/>
          <w:color w:val="002060"/>
          <w:sz w:val="16"/>
          <w:szCs w:val="16"/>
        </w:rPr>
        <w:t>29 ноября (12 декабря) в 1915 году начала работать частная Одесская авиационная школа А.А.Анатра, инструктор школы - В.Н.Хиони (14858).</w:t>
      </w:r>
    </w:p>
    <w:p w14:paraId="73281CBB" w14:textId="77777777" w:rsidR="00993C18" w:rsidRPr="00405303" w:rsidRDefault="00993C18" w:rsidP="00C15251">
      <w:pPr>
        <w:pStyle w:val="16"/>
        <w:shd w:val="clear" w:color="auto" w:fill="auto"/>
        <w:spacing w:before="0" w:line="240" w:lineRule="auto"/>
        <w:ind w:firstLine="0"/>
        <w:jc w:val="both"/>
        <w:rPr>
          <w:bCs/>
          <w:color w:val="002060"/>
          <w:sz w:val="16"/>
          <w:szCs w:val="16"/>
        </w:rPr>
      </w:pPr>
    </w:p>
    <w:p w14:paraId="72E70AFD" w14:textId="77777777" w:rsidR="003F2943" w:rsidRPr="00405303" w:rsidRDefault="003F2943" w:rsidP="00C15251">
      <w:pPr>
        <w:jc w:val="both"/>
        <w:rPr>
          <w:bCs/>
          <w:i/>
          <w:color w:val="002060"/>
          <w:sz w:val="16"/>
          <w:szCs w:val="16"/>
        </w:rPr>
      </w:pPr>
      <w:r w:rsidRPr="00405303">
        <w:rPr>
          <w:bCs/>
          <w:i/>
          <w:color w:val="002060"/>
          <w:sz w:val="16"/>
          <w:szCs w:val="16"/>
        </w:rPr>
        <w:t>Авиация и воздухоплавание Германии:</w:t>
      </w:r>
    </w:p>
    <w:p w14:paraId="249D7FD4" w14:textId="77777777" w:rsidR="003F2943" w:rsidRPr="00405303" w:rsidRDefault="003F2943" w:rsidP="00C15251">
      <w:pPr>
        <w:jc w:val="both"/>
        <w:rPr>
          <w:bCs/>
          <w:i/>
          <w:color w:val="002060"/>
          <w:sz w:val="16"/>
          <w:szCs w:val="16"/>
        </w:rPr>
      </w:pPr>
    </w:p>
    <w:p w14:paraId="7BB57874" w14:textId="77777777" w:rsidR="00B6540F" w:rsidRPr="00405303" w:rsidRDefault="00B6540F" w:rsidP="00C15251">
      <w:pPr>
        <w:jc w:val="both"/>
        <w:rPr>
          <w:bCs/>
          <w:color w:val="002060"/>
          <w:sz w:val="16"/>
          <w:szCs w:val="16"/>
        </w:rPr>
      </w:pPr>
      <w:r w:rsidRPr="00405303">
        <w:rPr>
          <w:bCs/>
          <w:color w:val="002060"/>
          <w:sz w:val="16"/>
          <w:szCs w:val="16"/>
        </w:rPr>
        <w:t>29 ноября (12 декабря) 1915 немецкий лейтенант Теодор Маллинкродт совершает первый «подскок» на первом в мире цельнометаллическом самолете Junkers J 1 (20338).</w:t>
      </w:r>
    </w:p>
    <w:p w14:paraId="7BDAF4A5" w14:textId="77777777" w:rsidR="00B6540F" w:rsidRPr="00405303" w:rsidRDefault="00B6540F" w:rsidP="00C15251">
      <w:pPr>
        <w:jc w:val="both"/>
        <w:rPr>
          <w:bCs/>
          <w:color w:val="002060"/>
          <w:sz w:val="16"/>
          <w:szCs w:val="16"/>
        </w:rPr>
      </w:pPr>
    </w:p>
    <w:p w14:paraId="2B38531F" w14:textId="35BFDDEC" w:rsidR="003F2943" w:rsidRPr="00405303" w:rsidRDefault="003F2943" w:rsidP="00C15251">
      <w:pPr>
        <w:jc w:val="both"/>
        <w:rPr>
          <w:bCs/>
          <w:color w:val="002060"/>
          <w:sz w:val="16"/>
          <w:szCs w:val="16"/>
        </w:rPr>
      </w:pPr>
      <w:r w:rsidRPr="00405303">
        <w:rPr>
          <w:bCs/>
          <w:color w:val="002060"/>
          <w:sz w:val="16"/>
          <w:szCs w:val="16"/>
        </w:rPr>
        <w:t>29 ноября (12 декабря) 1915 -</w:t>
      </w:r>
      <w:r w:rsidR="00DB4D64" w:rsidRPr="00405303">
        <w:rPr>
          <w:bCs/>
          <w:color w:val="002060"/>
          <w:sz w:val="16"/>
          <w:szCs w:val="16"/>
        </w:rPr>
        <w:t xml:space="preserve"> </w:t>
      </w:r>
      <w:r w:rsidRPr="00405303">
        <w:rPr>
          <w:bCs/>
          <w:color w:val="002060"/>
          <w:sz w:val="16"/>
          <w:szCs w:val="16"/>
        </w:rPr>
        <w:t>В Германии</w:t>
      </w:r>
      <w:r w:rsidR="00DB4D64" w:rsidRPr="00405303">
        <w:rPr>
          <w:bCs/>
          <w:color w:val="002060"/>
          <w:sz w:val="16"/>
          <w:szCs w:val="16"/>
        </w:rPr>
        <w:t xml:space="preserve"> </w:t>
      </w:r>
      <w:r w:rsidRPr="00405303">
        <w:rPr>
          <w:bCs/>
          <w:color w:val="002060"/>
          <w:sz w:val="16"/>
          <w:szCs w:val="16"/>
        </w:rPr>
        <w:t>лейтенант Теодор Маллинкродт совершил</w:t>
      </w:r>
      <w:r w:rsidR="00DB4D64" w:rsidRPr="00405303">
        <w:rPr>
          <w:bCs/>
          <w:color w:val="002060"/>
          <w:sz w:val="16"/>
          <w:szCs w:val="16"/>
        </w:rPr>
        <w:t xml:space="preserve"> </w:t>
      </w:r>
      <w:r w:rsidRPr="00405303">
        <w:rPr>
          <w:bCs/>
          <w:color w:val="002060"/>
          <w:sz w:val="16"/>
          <w:szCs w:val="16"/>
        </w:rPr>
        <w:t>первый полет первого в мире цельнометаллического свободнонесущего моноплана Г.Юнкерса J 1 («Жестяной осел»). Этот самолет представлял собой свободнонесущий моноплан. Выполненные из металла крыло толстого профиля и фюзеляж обшивались тонкими стальными листами. Однако при испытаниях выяснилось, что тяжелый самолет не способен принимать на борт большое количество грузов (22706).</w:t>
      </w:r>
    </w:p>
    <w:p w14:paraId="2AD993AC" w14:textId="77777777" w:rsidR="003F2943" w:rsidRPr="00405303" w:rsidRDefault="003F2943" w:rsidP="00C15251">
      <w:pPr>
        <w:jc w:val="both"/>
        <w:rPr>
          <w:bCs/>
          <w:color w:val="002060"/>
          <w:sz w:val="16"/>
          <w:szCs w:val="16"/>
        </w:rPr>
      </w:pPr>
    </w:p>
    <w:p w14:paraId="7802E4EE" w14:textId="60B542B1" w:rsidR="003F2943" w:rsidRPr="00405303" w:rsidRDefault="003F2943" w:rsidP="00C15251">
      <w:pPr>
        <w:jc w:val="both"/>
        <w:rPr>
          <w:bCs/>
          <w:color w:val="002060"/>
          <w:sz w:val="16"/>
          <w:szCs w:val="16"/>
        </w:rPr>
      </w:pPr>
      <w:r w:rsidRPr="00405303">
        <w:rPr>
          <w:bCs/>
          <w:color w:val="002060"/>
          <w:sz w:val="16"/>
          <w:szCs w:val="16"/>
        </w:rPr>
        <w:t>29 ноября (12 декабря) 1915 двухместный разведчик J 1 смог взлететь на высоту 3 м, но оттуда грохнулся на землю. Прибежавшие на место увидели, что пилотировавший машину лейтенант Маллинкродт жив, стальной борт фюзеляжа чутьпогнут, а крыло, на которое пришелся удар, вообще не пострадало. Самолет отрихтовали, и ефрейтор Пауль Арнольд сделал второй полет</w:t>
      </w:r>
      <w:r w:rsidR="00DB4D64" w:rsidRPr="00405303">
        <w:rPr>
          <w:bCs/>
          <w:color w:val="002060"/>
          <w:sz w:val="16"/>
          <w:szCs w:val="16"/>
        </w:rPr>
        <w:t xml:space="preserve"> </w:t>
      </w:r>
      <w:r w:rsidRPr="00405303">
        <w:rPr>
          <w:bCs/>
          <w:color w:val="002060"/>
          <w:sz w:val="16"/>
          <w:szCs w:val="16"/>
        </w:rPr>
        <w:t>— вполне успешный. Машина обгоняла биплан Румплер C I на 30 км/ч, но долго разбегалась, а на движение рулей реагировала с запаздыванием, уперто продолжая полет в прежнем направлении, из-за чего и случилась авария. За это J</w:t>
      </w:r>
      <w:r w:rsidR="00DB4D64" w:rsidRPr="00405303">
        <w:rPr>
          <w:bCs/>
          <w:color w:val="002060"/>
          <w:sz w:val="16"/>
          <w:szCs w:val="16"/>
        </w:rPr>
        <w:t xml:space="preserve"> </w:t>
      </w:r>
      <w:r w:rsidRPr="00405303">
        <w:rPr>
          <w:bCs/>
          <w:color w:val="002060"/>
          <w:sz w:val="16"/>
          <w:szCs w:val="16"/>
        </w:rPr>
        <w:t>1 прозвали «жестяным ослом», и все же он произвел сильнейшее впечатление на офицеров Инспекции Воздушных войск Германии</w:t>
      </w:r>
      <w:r w:rsidR="00DB4D64" w:rsidRPr="00405303">
        <w:rPr>
          <w:bCs/>
          <w:color w:val="002060"/>
          <w:sz w:val="16"/>
          <w:szCs w:val="16"/>
        </w:rPr>
        <w:t xml:space="preserve"> </w:t>
      </w:r>
      <w:r w:rsidRPr="00405303">
        <w:rPr>
          <w:bCs/>
          <w:color w:val="002060"/>
          <w:sz w:val="16"/>
          <w:szCs w:val="16"/>
        </w:rPr>
        <w:t>— IdFlieg.</w:t>
      </w:r>
    </w:p>
    <w:p w14:paraId="22156830" w14:textId="5090B2E5" w:rsidR="003F2943" w:rsidRPr="00405303" w:rsidRDefault="003F2943" w:rsidP="00C15251">
      <w:pPr>
        <w:jc w:val="both"/>
        <w:rPr>
          <w:bCs/>
          <w:color w:val="002060"/>
          <w:sz w:val="16"/>
          <w:szCs w:val="16"/>
        </w:rPr>
      </w:pPr>
      <w:r w:rsidRPr="00405303">
        <w:rPr>
          <w:bCs/>
          <w:color w:val="002060"/>
          <w:sz w:val="16"/>
          <w:szCs w:val="16"/>
        </w:rPr>
        <w:t>Инспекция оценила новшества и заказала одноместный истребитель Юнкерс E II с мотором Мерседес D III в 160 сил. От него многого не ждали: скорость должна была быть 145 км/ч, а время набора высоты 3000 м</w:t>
      </w:r>
      <w:r w:rsidR="00DB4D64" w:rsidRPr="00405303">
        <w:rPr>
          <w:bCs/>
          <w:color w:val="002060"/>
          <w:sz w:val="16"/>
          <w:szCs w:val="16"/>
        </w:rPr>
        <w:t xml:space="preserve"> </w:t>
      </w:r>
      <w:r w:rsidRPr="00405303">
        <w:rPr>
          <w:bCs/>
          <w:color w:val="002060"/>
          <w:sz w:val="16"/>
          <w:szCs w:val="16"/>
        </w:rPr>
        <w:t>— 20 минут, маневренность требовалась «как можно более высокая» (22886).</w:t>
      </w:r>
    </w:p>
    <w:p w14:paraId="2A4AB84E" w14:textId="77777777" w:rsidR="003F2943" w:rsidRPr="00405303" w:rsidRDefault="003F2943" w:rsidP="00C15251">
      <w:pPr>
        <w:jc w:val="both"/>
        <w:rPr>
          <w:bCs/>
          <w:color w:val="002060"/>
          <w:sz w:val="16"/>
          <w:szCs w:val="16"/>
        </w:rPr>
      </w:pPr>
    </w:p>
    <w:p w14:paraId="7F000550" w14:textId="77777777" w:rsidR="008B591E" w:rsidRPr="00405303" w:rsidRDefault="008B591E" w:rsidP="00C15251">
      <w:pPr>
        <w:jc w:val="both"/>
        <w:rPr>
          <w:bCs/>
          <w:color w:val="002060"/>
          <w:sz w:val="16"/>
          <w:szCs w:val="16"/>
        </w:rPr>
      </w:pPr>
      <w:r w:rsidRPr="00405303">
        <w:rPr>
          <w:bCs/>
          <w:color w:val="002060"/>
          <w:sz w:val="16"/>
          <w:szCs w:val="16"/>
        </w:rPr>
        <w:t>29 ноября (12 декабря) в 1915 году в Германии проведен первый испытательный полет первого в мире цельнометаллического свободнонесущего моноплана Г.Юнкерса «Ю-1» («Жестяной осел»). Этот самолет представлял собой свободнонесущий моноплан. Выполненные из металла крыло толстого профиля и фюзеляж обшивались тонкими стальными листами. Однако при испытаниях выяснилось, что тяжелый самолет не способен принимать на борт большое количество грузов (14858).</w:t>
      </w:r>
    </w:p>
    <w:p w14:paraId="3ED8C92C" w14:textId="77777777" w:rsidR="008B591E" w:rsidRPr="00405303" w:rsidRDefault="008B591E" w:rsidP="00C15251">
      <w:pPr>
        <w:jc w:val="both"/>
        <w:rPr>
          <w:bCs/>
          <w:color w:val="002060"/>
          <w:sz w:val="16"/>
          <w:szCs w:val="16"/>
        </w:rPr>
      </w:pPr>
    </w:p>
    <w:p w14:paraId="1DAA613F" w14:textId="77777777" w:rsidR="008B591E" w:rsidRPr="00405303" w:rsidRDefault="008B591E" w:rsidP="00C15251">
      <w:pPr>
        <w:jc w:val="both"/>
        <w:rPr>
          <w:bCs/>
          <w:color w:val="002060"/>
          <w:sz w:val="16"/>
          <w:szCs w:val="16"/>
        </w:rPr>
      </w:pPr>
      <w:r w:rsidRPr="00405303">
        <w:rPr>
          <w:bCs/>
          <w:color w:val="002060"/>
          <w:sz w:val="16"/>
          <w:szCs w:val="16"/>
        </w:rPr>
        <w:t xml:space="preserve">29 ноября (12 декабря) 1915 Фридрих фон Маллинкродт совершил на </w:t>
      </w:r>
      <w:r w:rsidRPr="00405303">
        <w:rPr>
          <w:bCs/>
          <w:color w:val="002060"/>
          <w:sz w:val="16"/>
          <w:szCs w:val="16"/>
          <w:lang w:val="en-US"/>
        </w:rPr>
        <w:t>J</w:t>
      </w:r>
      <w:r w:rsidRPr="00405303">
        <w:rPr>
          <w:bCs/>
          <w:color w:val="002060"/>
          <w:sz w:val="16"/>
          <w:szCs w:val="16"/>
        </w:rPr>
        <w:t>1 первый полёт. Испытания про</w:t>
      </w:r>
      <w:r w:rsidRPr="00405303">
        <w:rPr>
          <w:bCs/>
          <w:color w:val="002060"/>
          <w:sz w:val="16"/>
          <w:szCs w:val="16"/>
        </w:rPr>
        <w:softHyphen/>
        <w:t xml:space="preserve">шли успешно, но военных не удовлетворили малая скороподъёмность (чуть более 1 м/с) и невысокая полезная нагрузка. Поэтому в серию пошёл совсем другой самолёт, но уже полутораплан, </w:t>
      </w:r>
      <w:r w:rsidRPr="00405303">
        <w:rPr>
          <w:bCs/>
          <w:color w:val="002060"/>
          <w:sz w:val="16"/>
          <w:szCs w:val="16"/>
          <w:lang w:val="en-US"/>
        </w:rPr>
        <w:t>JyunkersJ</w:t>
      </w:r>
      <w:r w:rsidRPr="00405303">
        <w:rPr>
          <w:bCs/>
          <w:color w:val="002060"/>
          <w:sz w:val="16"/>
          <w:szCs w:val="16"/>
        </w:rPr>
        <w:t>4 (15785).</w:t>
      </w:r>
    </w:p>
    <w:p w14:paraId="2C617392" w14:textId="77777777" w:rsidR="008B591E" w:rsidRPr="00405303" w:rsidRDefault="008B591E" w:rsidP="00C15251">
      <w:pPr>
        <w:jc w:val="both"/>
        <w:rPr>
          <w:bCs/>
          <w:color w:val="002060"/>
          <w:sz w:val="16"/>
          <w:szCs w:val="16"/>
        </w:rPr>
      </w:pPr>
      <w:r w:rsidRPr="00405303">
        <w:rPr>
          <w:bCs/>
          <w:color w:val="002060"/>
          <w:sz w:val="16"/>
          <w:szCs w:val="16"/>
        </w:rPr>
        <w:t xml:space="preserve">На вооружение его приняли под обозначением </w:t>
      </w:r>
      <w:r w:rsidRPr="00405303">
        <w:rPr>
          <w:bCs/>
          <w:color w:val="002060"/>
          <w:sz w:val="16"/>
          <w:szCs w:val="16"/>
          <w:lang w:val="en-US"/>
        </w:rPr>
        <w:t>J</w:t>
      </w:r>
      <w:r w:rsidRPr="00405303">
        <w:rPr>
          <w:bCs/>
          <w:color w:val="002060"/>
          <w:sz w:val="16"/>
          <w:szCs w:val="16"/>
        </w:rPr>
        <w:t>.</w:t>
      </w:r>
      <w:r w:rsidRPr="00405303">
        <w:rPr>
          <w:bCs/>
          <w:color w:val="002060"/>
          <w:sz w:val="16"/>
          <w:szCs w:val="16"/>
          <w:lang w:val="en-US"/>
        </w:rPr>
        <w:t>I</w:t>
      </w:r>
      <w:r w:rsidRPr="00405303">
        <w:rPr>
          <w:bCs/>
          <w:color w:val="002060"/>
          <w:sz w:val="16"/>
          <w:szCs w:val="16"/>
        </w:rPr>
        <w:t>, что позднее создало немалую пута</w:t>
      </w:r>
      <w:r w:rsidRPr="00405303">
        <w:rPr>
          <w:bCs/>
          <w:color w:val="002060"/>
          <w:sz w:val="16"/>
          <w:szCs w:val="16"/>
        </w:rPr>
        <w:softHyphen/>
        <w:t xml:space="preserve">ницу. Надо помнить, что это совсем разные буквы «джей»: </w:t>
      </w:r>
      <w:r w:rsidRPr="00405303">
        <w:rPr>
          <w:bCs/>
          <w:color w:val="002060"/>
          <w:sz w:val="16"/>
          <w:szCs w:val="16"/>
          <w:lang w:val="en-US"/>
        </w:rPr>
        <w:t>J</w:t>
      </w:r>
      <w:r w:rsidRPr="00405303">
        <w:rPr>
          <w:bCs/>
          <w:color w:val="002060"/>
          <w:sz w:val="16"/>
          <w:szCs w:val="16"/>
        </w:rPr>
        <w:t xml:space="preserve">4 означает 4-ю конструкцию X. Юнкерса, а </w:t>
      </w:r>
      <w:r w:rsidRPr="00405303">
        <w:rPr>
          <w:bCs/>
          <w:color w:val="002060"/>
          <w:sz w:val="16"/>
          <w:szCs w:val="16"/>
          <w:lang w:val="en-US"/>
        </w:rPr>
        <w:t>J</w:t>
      </w:r>
      <w:r w:rsidRPr="00405303">
        <w:rPr>
          <w:bCs/>
          <w:color w:val="002060"/>
          <w:sz w:val="16"/>
          <w:szCs w:val="16"/>
        </w:rPr>
        <w:t>.</w:t>
      </w:r>
      <w:r w:rsidRPr="00405303">
        <w:rPr>
          <w:bCs/>
          <w:color w:val="002060"/>
          <w:sz w:val="16"/>
          <w:szCs w:val="16"/>
          <w:lang w:val="en-US"/>
        </w:rPr>
        <w:t>I</w:t>
      </w:r>
      <w:r w:rsidRPr="00405303">
        <w:rPr>
          <w:bCs/>
          <w:color w:val="002060"/>
          <w:sz w:val="16"/>
          <w:szCs w:val="16"/>
        </w:rPr>
        <w:t xml:space="preserve"> — первый ударный самолёт. Классификацию «</w:t>
      </w:r>
      <w:r w:rsidRPr="00405303">
        <w:rPr>
          <w:bCs/>
          <w:color w:val="002060"/>
          <w:sz w:val="16"/>
          <w:szCs w:val="16"/>
          <w:lang w:val="en-US"/>
        </w:rPr>
        <w:t>J</w:t>
      </w:r>
      <w:r w:rsidRPr="00405303">
        <w:rPr>
          <w:bCs/>
          <w:color w:val="002060"/>
          <w:sz w:val="16"/>
          <w:szCs w:val="16"/>
        </w:rPr>
        <w:t>» для ударных самолётов ввело авиационное бюро немецкого военного министерства в 1917 г. Для номе</w:t>
      </w:r>
      <w:r w:rsidRPr="00405303">
        <w:rPr>
          <w:bCs/>
          <w:color w:val="002060"/>
          <w:sz w:val="16"/>
          <w:szCs w:val="16"/>
        </w:rPr>
        <w:softHyphen/>
        <w:t xml:space="preserve">ров фирмы «Юнкере» использовались арабские цифры, а для номеров </w:t>
      </w:r>
      <w:r w:rsidRPr="00405303">
        <w:rPr>
          <w:bCs/>
          <w:color w:val="002060"/>
          <w:sz w:val="16"/>
          <w:szCs w:val="16"/>
          <w:lang w:val="en-US"/>
        </w:rPr>
        <w:t>Idflieg</w:t>
      </w:r>
      <w:r w:rsidRPr="00405303">
        <w:rPr>
          <w:bCs/>
          <w:color w:val="002060"/>
          <w:sz w:val="16"/>
          <w:szCs w:val="16"/>
        </w:rPr>
        <w:t xml:space="preserve"> — римские (15785).</w:t>
      </w:r>
    </w:p>
    <w:p w14:paraId="319B7F08" w14:textId="77777777" w:rsidR="008B591E" w:rsidRPr="00405303" w:rsidRDefault="008B591E" w:rsidP="00C15251">
      <w:pPr>
        <w:jc w:val="both"/>
        <w:rPr>
          <w:bCs/>
          <w:color w:val="002060"/>
          <w:sz w:val="16"/>
          <w:szCs w:val="16"/>
        </w:rPr>
      </w:pPr>
    </w:p>
    <w:p w14:paraId="35652B53" w14:textId="77777777" w:rsidR="008B591E" w:rsidRPr="00405303" w:rsidRDefault="008B591E" w:rsidP="00C15251">
      <w:pPr>
        <w:jc w:val="both"/>
        <w:rPr>
          <w:bCs/>
          <w:color w:val="002060"/>
          <w:sz w:val="16"/>
          <w:szCs w:val="16"/>
        </w:rPr>
      </w:pPr>
      <w:r w:rsidRPr="00405303">
        <w:rPr>
          <w:bCs/>
          <w:color w:val="002060"/>
          <w:sz w:val="16"/>
          <w:szCs w:val="16"/>
        </w:rPr>
        <w:t>29 ноября (12 декабря) 1915 г., как рассказывал соратник X. Юнкерса профессор Мадер, «ут</w:t>
      </w:r>
      <w:r w:rsidRPr="00405303">
        <w:rPr>
          <w:bCs/>
          <w:color w:val="002060"/>
          <w:sz w:val="16"/>
          <w:szCs w:val="16"/>
        </w:rPr>
        <w:softHyphen/>
        <w:t>ром... машина (Утка Юнверса) оторвалась от земли на таком же расстоянии, как и обычный самолет...» После приземления «лётчик сообщил мне, что машина плохо слушается рулей управ</w:t>
      </w:r>
      <w:r w:rsidRPr="00405303">
        <w:rPr>
          <w:bCs/>
          <w:color w:val="002060"/>
          <w:sz w:val="16"/>
          <w:szCs w:val="16"/>
        </w:rPr>
        <w:softHyphen/>
        <w:t>ления, и он вынужден был прекратить полёт... При осмотре самолёта мы обнаружили, что крепление крыла к фюзеляжу сильно ослаблено... Несмотря на то, что Юнкере был против расчалок, мы их все же установили и этим самым, как говорят, убили двух зай</w:t>
      </w:r>
      <w:r w:rsidRPr="00405303">
        <w:rPr>
          <w:bCs/>
          <w:color w:val="002060"/>
          <w:sz w:val="16"/>
          <w:szCs w:val="16"/>
        </w:rPr>
        <w:softHyphen/>
        <w:t>цев. Во-первых, укрепили крыло, а во-вторых, лётчики могли теперь любоваться ми</w:t>
      </w:r>
      <w:r w:rsidRPr="00405303">
        <w:rPr>
          <w:bCs/>
          <w:color w:val="002060"/>
          <w:sz w:val="16"/>
          <w:szCs w:val="16"/>
        </w:rPr>
        <w:softHyphen/>
        <w:t>лыми их сердцу расчалками» (15785).</w:t>
      </w:r>
    </w:p>
    <w:p w14:paraId="053BEBB1" w14:textId="77777777" w:rsidR="008B591E" w:rsidRPr="00405303" w:rsidRDefault="008B591E" w:rsidP="00C15251">
      <w:pPr>
        <w:jc w:val="both"/>
        <w:rPr>
          <w:bCs/>
          <w:color w:val="002060"/>
          <w:sz w:val="16"/>
          <w:szCs w:val="16"/>
        </w:rPr>
      </w:pPr>
    </w:p>
    <w:p w14:paraId="373BCB51" w14:textId="77777777" w:rsidR="00B6540F" w:rsidRPr="00405303" w:rsidRDefault="00B6540F" w:rsidP="00C15251">
      <w:pPr>
        <w:shd w:val="clear" w:color="auto" w:fill="FFFFFF"/>
        <w:jc w:val="both"/>
        <w:rPr>
          <w:bCs/>
          <w:color w:val="002060"/>
          <w:sz w:val="16"/>
          <w:szCs w:val="16"/>
        </w:rPr>
      </w:pPr>
      <w:r w:rsidRPr="00405303">
        <w:rPr>
          <w:bCs/>
          <w:color w:val="002060"/>
          <w:sz w:val="16"/>
          <w:szCs w:val="16"/>
        </w:rPr>
        <w:t>29 ноября (12 декабря) 1915 Фридрих фон Маленкродт совершил на Л первый полёт. Испытания прошли успешно, но военных не удовлетворили ма</w:t>
      </w:r>
      <w:r w:rsidRPr="00405303">
        <w:rPr>
          <w:bCs/>
          <w:color w:val="002060"/>
          <w:sz w:val="16"/>
          <w:szCs w:val="16"/>
        </w:rPr>
        <w:softHyphen/>
        <w:t>лая скороподъёмность (чуть более 1 метра в секунду) и невысокая полезная нагрузка.</w:t>
      </w:r>
    </w:p>
    <w:p w14:paraId="0BF3BC7E" w14:textId="77777777" w:rsidR="00B6540F" w:rsidRPr="00405303" w:rsidRDefault="00B6540F" w:rsidP="00C15251">
      <w:pPr>
        <w:shd w:val="clear" w:color="auto" w:fill="FFFFFF"/>
        <w:jc w:val="both"/>
        <w:rPr>
          <w:bCs/>
          <w:color w:val="002060"/>
          <w:sz w:val="16"/>
          <w:szCs w:val="16"/>
        </w:rPr>
      </w:pPr>
      <w:r w:rsidRPr="00405303">
        <w:rPr>
          <w:bCs/>
          <w:color w:val="002060"/>
          <w:sz w:val="16"/>
          <w:szCs w:val="16"/>
        </w:rPr>
        <w:lastRenderedPageBreak/>
        <w:t>Поэтому в серию пошёл совсем другой самолёт - биплан.</w:t>
      </w:r>
    </w:p>
    <w:p w14:paraId="2092EDFD" w14:textId="77777777" w:rsidR="00B6540F" w:rsidRPr="00405303" w:rsidRDefault="00B6540F" w:rsidP="00C15251">
      <w:pPr>
        <w:shd w:val="clear" w:color="auto" w:fill="FFFFFF"/>
        <w:jc w:val="both"/>
        <w:rPr>
          <w:bCs/>
          <w:color w:val="002060"/>
          <w:sz w:val="16"/>
          <w:szCs w:val="16"/>
        </w:rPr>
      </w:pPr>
      <w:r w:rsidRPr="00405303">
        <w:rPr>
          <w:bCs/>
          <w:color w:val="002060"/>
          <w:sz w:val="16"/>
          <w:szCs w:val="16"/>
        </w:rPr>
        <w:t>На вооружение его приняли под наименованием II, что позднее создало немалую путаницу. Надо помнить, что это совсем разные буквы «джей». М означает 4-ю кон</w:t>
      </w:r>
      <w:r w:rsidRPr="00405303">
        <w:rPr>
          <w:bCs/>
          <w:color w:val="002060"/>
          <w:sz w:val="16"/>
          <w:szCs w:val="16"/>
        </w:rPr>
        <w:softHyphen/>
        <w:t>струкцию фирмы .Ьп1&lt;.ег5, а II -первый ударный самолёт. Класси</w:t>
      </w:r>
      <w:r w:rsidRPr="00405303">
        <w:rPr>
          <w:bCs/>
          <w:color w:val="002060"/>
          <w:sz w:val="16"/>
          <w:szCs w:val="16"/>
        </w:rPr>
        <w:softHyphen/>
        <w:t>фикация «.Ь для ударных самолётов была введена авиационным бюро немецкого военного министерства в 1917 г. Для номеров «юнкерса» использовались арабские цифры, а для номеров военного министер</w:t>
      </w:r>
      <w:r w:rsidRPr="00405303">
        <w:rPr>
          <w:bCs/>
          <w:color w:val="002060"/>
          <w:sz w:val="16"/>
          <w:szCs w:val="16"/>
        </w:rPr>
        <w:softHyphen/>
        <w:t>ства - римские.</w:t>
      </w:r>
    </w:p>
    <w:p w14:paraId="3FC0CFF0" w14:textId="77777777" w:rsidR="00B6540F" w:rsidRPr="00405303" w:rsidRDefault="00B6540F" w:rsidP="00C15251">
      <w:pPr>
        <w:shd w:val="clear" w:color="auto" w:fill="FFFFFF"/>
        <w:jc w:val="both"/>
        <w:rPr>
          <w:bCs/>
          <w:color w:val="002060"/>
          <w:sz w:val="16"/>
          <w:szCs w:val="16"/>
        </w:rPr>
      </w:pPr>
      <w:r w:rsidRPr="00405303">
        <w:rPr>
          <w:bCs/>
          <w:color w:val="002060"/>
          <w:sz w:val="16"/>
          <w:szCs w:val="16"/>
        </w:rPr>
        <w:t>Но II нельзя считать цельнос</w:t>
      </w:r>
      <w:r w:rsidRPr="00405303">
        <w:rPr>
          <w:bCs/>
          <w:color w:val="002060"/>
          <w:sz w:val="16"/>
          <w:szCs w:val="16"/>
        </w:rPr>
        <w:softHyphen/>
        <w:t>тальным. Хотя в нем была примене</w:t>
      </w:r>
      <w:r w:rsidRPr="00405303">
        <w:rPr>
          <w:bCs/>
          <w:color w:val="002060"/>
          <w:sz w:val="16"/>
          <w:szCs w:val="16"/>
        </w:rPr>
        <w:softHyphen/>
        <w:t>на стальная бронекоробка (разго</w:t>
      </w:r>
      <w:r w:rsidRPr="00405303">
        <w:rPr>
          <w:bCs/>
          <w:color w:val="002060"/>
          <w:sz w:val="16"/>
          <w:szCs w:val="16"/>
        </w:rPr>
        <w:softHyphen/>
        <w:t>вор о броне в авиации пойдет поз</w:t>
      </w:r>
      <w:r w:rsidRPr="00405303">
        <w:rPr>
          <w:bCs/>
          <w:color w:val="002060"/>
          <w:sz w:val="16"/>
          <w:szCs w:val="16"/>
        </w:rPr>
        <w:softHyphen/>
        <w:t>же), но хвостовая часть фюзеляжа и крыло имели каркас из дюрале</w:t>
      </w:r>
      <w:r w:rsidRPr="00405303">
        <w:rPr>
          <w:bCs/>
          <w:color w:val="002060"/>
          <w:sz w:val="16"/>
          <w:szCs w:val="16"/>
        </w:rPr>
        <w:softHyphen/>
        <w:t>вых труб.</w:t>
      </w:r>
    </w:p>
    <w:p w14:paraId="62F5F989" w14:textId="77777777" w:rsidR="00B6540F" w:rsidRPr="00405303" w:rsidRDefault="00B6540F" w:rsidP="00C15251">
      <w:pPr>
        <w:shd w:val="clear" w:color="auto" w:fill="FFFFFF"/>
        <w:jc w:val="both"/>
        <w:rPr>
          <w:bCs/>
          <w:color w:val="002060"/>
          <w:sz w:val="16"/>
          <w:szCs w:val="16"/>
        </w:rPr>
      </w:pPr>
      <w:r w:rsidRPr="00405303">
        <w:rPr>
          <w:bCs/>
          <w:color w:val="002060"/>
          <w:sz w:val="16"/>
          <w:szCs w:val="16"/>
        </w:rPr>
        <w:t>Следовательно, для нас роль Юнкерса представляется интерес</w:t>
      </w:r>
      <w:r w:rsidRPr="00405303">
        <w:rPr>
          <w:bCs/>
          <w:color w:val="002060"/>
          <w:sz w:val="16"/>
          <w:szCs w:val="16"/>
        </w:rPr>
        <w:softHyphen/>
        <w:t>ной тем, что на его фирме был по</w:t>
      </w:r>
      <w:r w:rsidRPr="00405303">
        <w:rPr>
          <w:bCs/>
          <w:color w:val="002060"/>
          <w:sz w:val="16"/>
          <w:szCs w:val="16"/>
        </w:rPr>
        <w:softHyphen/>
        <w:t>строен первый в мире цельносталь</w:t>
      </w:r>
      <w:r w:rsidRPr="00405303">
        <w:rPr>
          <w:bCs/>
          <w:color w:val="002060"/>
          <w:sz w:val="16"/>
          <w:szCs w:val="16"/>
        </w:rPr>
        <w:softHyphen/>
        <w:t>ной свободнонесущий моноплан.</w:t>
      </w:r>
    </w:p>
    <w:p w14:paraId="1172E453" w14:textId="77777777" w:rsidR="00B6540F" w:rsidRPr="00405303" w:rsidRDefault="00B6540F" w:rsidP="00C15251">
      <w:pPr>
        <w:shd w:val="clear" w:color="auto" w:fill="FFFFFF"/>
        <w:jc w:val="both"/>
        <w:rPr>
          <w:bCs/>
          <w:color w:val="002060"/>
          <w:sz w:val="16"/>
          <w:szCs w:val="16"/>
        </w:rPr>
      </w:pPr>
      <w:r w:rsidRPr="00405303">
        <w:rPr>
          <w:bCs/>
          <w:color w:val="002060"/>
          <w:sz w:val="16"/>
          <w:szCs w:val="16"/>
        </w:rPr>
        <w:t>И, конечно, не стоит забывать о финансировании работ профессо</w:t>
      </w:r>
      <w:r w:rsidRPr="00405303">
        <w:rPr>
          <w:bCs/>
          <w:color w:val="002060"/>
          <w:sz w:val="16"/>
          <w:szCs w:val="16"/>
        </w:rPr>
        <w:softHyphen/>
        <w:t>ра Рейсснера.</w:t>
      </w:r>
    </w:p>
    <w:p w14:paraId="7FADF8AC" w14:textId="77777777" w:rsidR="00B6540F" w:rsidRPr="00405303" w:rsidRDefault="00B6540F" w:rsidP="00C15251">
      <w:pPr>
        <w:shd w:val="clear" w:color="auto" w:fill="FFFFFF"/>
        <w:jc w:val="both"/>
        <w:rPr>
          <w:bCs/>
          <w:color w:val="002060"/>
          <w:sz w:val="16"/>
          <w:szCs w:val="16"/>
        </w:rPr>
      </w:pPr>
      <w:r w:rsidRPr="00405303">
        <w:rPr>
          <w:bCs/>
          <w:color w:val="002060"/>
          <w:sz w:val="16"/>
          <w:szCs w:val="16"/>
        </w:rPr>
        <w:t>В 1920-е годы самолётов со стальным каркасом стало больше, чем с деревянным. Фюзеляж обыч</w:t>
      </w:r>
      <w:r w:rsidRPr="00405303">
        <w:rPr>
          <w:bCs/>
          <w:color w:val="002060"/>
          <w:sz w:val="16"/>
          <w:szCs w:val="16"/>
        </w:rPr>
        <w:softHyphen/>
        <w:t>но «строился» вокруг сварной фер</w:t>
      </w:r>
      <w:r w:rsidRPr="00405303">
        <w:rPr>
          <w:bCs/>
          <w:color w:val="002060"/>
          <w:sz w:val="16"/>
          <w:szCs w:val="16"/>
        </w:rPr>
        <w:softHyphen/>
        <w:t>мы из стальных труб. На эту ферму накладывались продольные и попе</w:t>
      </w:r>
      <w:r w:rsidRPr="00405303">
        <w:rPr>
          <w:bCs/>
          <w:color w:val="002060"/>
          <w:sz w:val="16"/>
          <w:szCs w:val="16"/>
        </w:rPr>
        <w:softHyphen/>
        <w:t>речные элементы (стрингеры и шпангоуты) из различных материа</w:t>
      </w:r>
      <w:r w:rsidRPr="00405303">
        <w:rPr>
          <w:bCs/>
          <w:color w:val="002060"/>
          <w:sz w:val="16"/>
          <w:szCs w:val="16"/>
        </w:rPr>
        <w:softHyphen/>
        <w:t>лов (дерево, дюраль), а сверху шла полотняная, фанерная или дюрале</w:t>
      </w:r>
      <w:r w:rsidRPr="00405303">
        <w:rPr>
          <w:bCs/>
          <w:color w:val="002060"/>
          <w:sz w:val="16"/>
          <w:szCs w:val="16"/>
        </w:rPr>
        <w:softHyphen/>
        <w:t>вая обшивка. Каркас крыла всё чаще тоже делали стальным.</w:t>
      </w:r>
    </w:p>
    <w:p w14:paraId="5029EB59" w14:textId="77777777" w:rsidR="00B6540F" w:rsidRPr="00405303" w:rsidRDefault="00B6540F" w:rsidP="00C15251">
      <w:pPr>
        <w:shd w:val="clear" w:color="auto" w:fill="FFFFFF"/>
        <w:jc w:val="both"/>
        <w:rPr>
          <w:bCs/>
          <w:color w:val="002060"/>
          <w:sz w:val="16"/>
          <w:szCs w:val="16"/>
        </w:rPr>
      </w:pPr>
      <w:r w:rsidRPr="00405303">
        <w:rPr>
          <w:bCs/>
          <w:color w:val="002060"/>
          <w:sz w:val="16"/>
          <w:szCs w:val="16"/>
        </w:rPr>
        <w:t>Но прошла новая технологичес</w:t>
      </w:r>
      <w:r w:rsidRPr="00405303">
        <w:rPr>
          <w:bCs/>
          <w:color w:val="002060"/>
          <w:sz w:val="16"/>
          <w:szCs w:val="16"/>
        </w:rPr>
        <w:softHyphen/>
        <w:t>кая революция, и к концу 1930-х го</w:t>
      </w:r>
      <w:r w:rsidRPr="00405303">
        <w:rPr>
          <w:bCs/>
          <w:color w:val="002060"/>
          <w:sz w:val="16"/>
          <w:szCs w:val="16"/>
        </w:rPr>
        <w:softHyphen/>
        <w:t>дов казалось, что сталь как конст</w:t>
      </w:r>
      <w:r w:rsidRPr="00405303">
        <w:rPr>
          <w:bCs/>
          <w:color w:val="002060"/>
          <w:sz w:val="16"/>
          <w:szCs w:val="16"/>
        </w:rPr>
        <w:softHyphen/>
        <w:t>рукционный материал полностью уступила свои позиции алюминию.</w:t>
      </w:r>
    </w:p>
    <w:p w14:paraId="7336A1C0" w14:textId="77777777" w:rsidR="00B6540F" w:rsidRPr="00405303" w:rsidRDefault="00B6540F" w:rsidP="00C15251">
      <w:pPr>
        <w:shd w:val="clear" w:color="auto" w:fill="FFFFFF"/>
        <w:jc w:val="both"/>
        <w:rPr>
          <w:bCs/>
          <w:color w:val="002060"/>
          <w:sz w:val="16"/>
          <w:szCs w:val="16"/>
        </w:rPr>
      </w:pPr>
      <w:r w:rsidRPr="00405303">
        <w:rPr>
          <w:bCs/>
          <w:color w:val="002060"/>
          <w:sz w:val="16"/>
          <w:szCs w:val="16"/>
        </w:rPr>
        <w:t>На смену фермам из труб при</w:t>
      </w:r>
      <w:r w:rsidRPr="00405303">
        <w:rPr>
          <w:bCs/>
          <w:color w:val="002060"/>
          <w:sz w:val="16"/>
          <w:szCs w:val="16"/>
        </w:rPr>
        <w:softHyphen/>
        <w:t>шёл набор фюзеляжа и крыла из открытых дюралевых профилей, всё чаще сочетавшихся с силовой дю</w:t>
      </w:r>
      <w:r w:rsidRPr="00405303">
        <w:rPr>
          <w:bCs/>
          <w:color w:val="002060"/>
          <w:sz w:val="16"/>
          <w:szCs w:val="16"/>
        </w:rPr>
        <w:softHyphen/>
        <w:t>ралевой обшивкой.</w:t>
      </w:r>
    </w:p>
    <w:p w14:paraId="11E83C96" w14:textId="77777777" w:rsidR="00B6540F" w:rsidRPr="00405303" w:rsidRDefault="00B6540F" w:rsidP="00C15251">
      <w:pPr>
        <w:shd w:val="clear" w:color="auto" w:fill="FFFFFF"/>
        <w:jc w:val="both"/>
        <w:rPr>
          <w:bCs/>
          <w:color w:val="002060"/>
          <w:sz w:val="16"/>
          <w:szCs w:val="16"/>
        </w:rPr>
      </w:pPr>
      <w:r w:rsidRPr="00405303">
        <w:rPr>
          <w:bCs/>
          <w:color w:val="002060"/>
          <w:sz w:val="16"/>
          <w:szCs w:val="16"/>
        </w:rPr>
        <w:t>Немногочисленные цельносталь</w:t>
      </w:r>
      <w:r w:rsidRPr="00405303">
        <w:rPr>
          <w:bCs/>
          <w:color w:val="002060"/>
          <w:sz w:val="16"/>
          <w:szCs w:val="16"/>
        </w:rPr>
        <w:softHyphen/>
        <w:t>ные самолёты, строившиеся в 1930-х годах, себя не оправдали. Собирать сварные конструкции из очень тон</w:t>
      </w:r>
      <w:r w:rsidRPr="00405303">
        <w:rPr>
          <w:bCs/>
          <w:color w:val="002060"/>
          <w:sz w:val="16"/>
          <w:szCs w:val="16"/>
        </w:rPr>
        <w:softHyphen/>
        <w:t>ких стальных листов было сложно и дорого: малейшая оплошность - и лист «прогорал». Требовалась очень высокая квалификация рабо</w:t>
      </w:r>
      <w:r w:rsidRPr="00405303">
        <w:rPr>
          <w:bCs/>
          <w:color w:val="002060"/>
          <w:sz w:val="16"/>
          <w:szCs w:val="16"/>
        </w:rPr>
        <w:softHyphen/>
        <w:t>чих, но всё равно сварное соеди</w:t>
      </w:r>
      <w:r w:rsidRPr="00405303">
        <w:rPr>
          <w:bCs/>
          <w:color w:val="002060"/>
          <w:sz w:val="16"/>
          <w:szCs w:val="16"/>
        </w:rPr>
        <w:softHyphen/>
        <w:t>нение становилось слабым местом, с которого начиналась коррозия.</w:t>
      </w:r>
    </w:p>
    <w:p w14:paraId="15690775" w14:textId="77777777" w:rsidR="00B6540F" w:rsidRPr="00405303" w:rsidRDefault="00B6540F" w:rsidP="00C15251">
      <w:pPr>
        <w:jc w:val="both"/>
        <w:rPr>
          <w:bCs/>
          <w:color w:val="002060"/>
          <w:sz w:val="16"/>
          <w:szCs w:val="16"/>
        </w:rPr>
      </w:pPr>
      <w:r w:rsidRPr="00405303">
        <w:rPr>
          <w:bCs/>
          <w:color w:val="002060"/>
          <w:sz w:val="16"/>
          <w:szCs w:val="16"/>
        </w:rPr>
        <w:t>Выяснилось, что самолёты из нержавеющей стали приходят в негодность через 2-5 лет именно в местах сварки (11844).</w:t>
      </w:r>
    </w:p>
    <w:p w14:paraId="794FD97C" w14:textId="77777777" w:rsidR="00B6540F" w:rsidRPr="00405303" w:rsidRDefault="00B6540F" w:rsidP="00C15251">
      <w:pPr>
        <w:jc w:val="both"/>
        <w:rPr>
          <w:bCs/>
          <w:color w:val="002060"/>
          <w:sz w:val="16"/>
          <w:szCs w:val="16"/>
        </w:rPr>
      </w:pPr>
    </w:p>
    <w:p w14:paraId="66CDA54A" w14:textId="77777777" w:rsidR="008B591E" w:rsidRPr="00405303" w:rsidRDefault="008B591E" w:rsidP="00C15251">
      <w:pPr>
        <w:jc w:val="both"/>
        <w:rPr>
          <w:bCs/>
          <w:i/>
          <w:color w:val="002060"/>
          <w:sz w:val="16"/>
          <w:szCs w:val="16"/>
        </w:rPr>
      </w:pPr>
      <w:r w:rsidRPr="00405303">
        <w:rPr>
          <w:bCs/>
          <w:i/>
          <w:color w:val="002060"/>
          <w:sz w:val="16"/>
          <w:szCs w:val="16"/>
        </w:rPr>
        <w:t>Авиация и воздухоплавание Франции:</w:t>
      </w:r>
    </w:p>
    <w:p w14:paraId="7A4AE65D" w14:textId="77777777" w:rsidR="008B591E" w:rsidRPr="00405303" w:rsidRDefault="008B591E" w:rsidP="00C15251">
      <w:pPr>
        <w:jc w:val="both"/>
        <w:rPr>
          <w:bCs/>
          <w:i/>
          <w:color w:val="002060"/>
          <w:sz w:val="16"/>
          <w:szCs w:val="16"/>
        </w:rPr>
      </w:pPr>
    </w:p>
    <w:p w14:paraId="26747FDD" w14:textId="77777777" w:rsidR="008B591E" w:rsidRPr="00405303" w:rsidRDefault="008B591E" w:rsidP="00C15251">
      <w:pPr>
        <w:jc w:val="both"/>
        <w:rPr>
          <w:bCs/>
          <w:color w:val="002060"/>
          <w:sz w:val="16"/>
          <w:szCs w:val="16"/>
        </w:rPr>
      </w:pPr>
      <w:r w:rsidRPr="00405303">
        <w:rPr>
          <w:bCs/>
          <w:color w:val="002060"/>
          <w:sz w:val="16"/>
          <w:szCs w:val="16"/>
        </w:rPr>
        <w:t>29 ноября (12 декабря) в 1915 году во время испытаний серийного самолёта погиб основатель фирмы Caudron Гастон Кодрон (14858).</w:t>
      </w:r>
    </w:p>
    <w:p w14:paraId="5E5A0159" w14:textId="77777777" w:rsidR="008B591E" w:rsidRPr="00405303" w:rsidRDefault="008B591E" w:rsidP="00C15251">
      <w:pPr>
        <w:jc w:val="both"/>
        <w:rPr>
          <w:bCs/>
          <w:color w:val="002060"/>
          <w:sz w:val="16"/>
          <w:szCs w:val="16"/>
        </w:rPr>
      </w:pPr>
    </w:p>
    <w:p w14:paraId="3DF298C9" w14:textId="77777777" w:rsidR="008B591E" w:rsidRPr="00405303" w:rsidRDefault="008B591E" w:rsidP="00C15251">
      <w:pPr>
        <w:jc w:val="both"/>
        <w:rPr>
          <w:bCs/>
          <w:i/>
          <w:color w:val="002060"/>
          <w:sz w:val="16"/>
          <w:szCs w:val="16"/>
        </w:rPr>
      </w:pPr>
      <w:r w:rsidRPr="00405303">
        <w:rPr>
          <w:bCs/>
          <w:i/>
          <w:color w:val="002060"/>
          <w:sz w:val="16"/>
          <w:szCs w:val="16"/>
        </w:rPr>
        <w:t>За рубежом:</w:t>
      </w:r>
    </w:p>
    <w:p w14:paraId="1EDC2E9D" w14:textId="77777777" w:rsidR="008B591E" w:rsidRPr="00405303" w:rsidRDefault="008B591E" w:rsidP="00C15251">
      <w:pPr>
        <w:jc w:val="both"/>
        <w:rPr>
          <w:bCs/>
          <w:color w:val="002060"/>
          <w:sz w:val="16"/>
          <w:szCs w:val="16"/>
        </w:rPr>
      </w:pPr>
    </w:p>
    <w:p w14:paraId="7FF4FD78" w14:textId="77777777" w:rsidR="008B591E" w:rsidRPr="00405303" w:rsidRDefault="008B591E" w:rsidP="00C15251">
      <w:pPr>
        <w:jc w:val="both"/>
        <w:rPr>
          <w:bCs/>
          <w:color w:val="002060"/>
          <w:sz w:val="16"/>
          <w:szCs w:val="16"/>
        </w:rPr>
      </w:pPr>
      <w:r w:rsidRPr="00405303">
        <w:rPr>
          <w:bCs/>
          <w:color w:val="002060"/>
          <w:sz w:val="16"/>
          <w:szCs w:val="16"/>
        </w:rPr>
        <w:t>29 ноября (12 декабря) в 1915 году в Англии заканчивается мобилизация (14858).</w:t>
      </w:r>
    </w:p>
    <w:p w14:paraId="74ACECE3" w14:textId="77777777" w:rsidR="008B591E" w:rsidRPr="00405303" w:rsidRDefault="008B591E" w:rsidP="00C15251">
      <w:pPr>
        <w:jc w:val="both"/>
        <w:rPr>
          <w:bCs/>
          <w:color w:val="002060"/>
          <w:sz w:val="16"/>
          <w:szCs w:val="16"/>
        </w:rPr>
      </w:pPr>
    </w:p>
    <w:p w14:paraId="26EE6CDE" w14:textId="77777777" w:rsidR="00197CE4" w:rsidRPr="00405303" w:rsidRDefault="00197CE4" w:rsidP="00197CE4">
      <w:pPr>
        <w:jc w:val="both"/>
        <w:rPr>
          <w:bCs/>
          <w:i/>
          <w:color w:val="002060"/>
          <w:sz w:val="16"/>
          <w:szCs w:val="16"/>
        </w:rPr>
      </w:pPr>
      <w:r w:rsidRPr="00405303">
        <w:rPr>
          <w:bCs/>
          <w:i/>
          <w:color w:val="002060"/>
          <w:sz w:val="16"/>
          <w:szCs w:val="16"/>
        </w:rPr>
        <w:t>Авиация:</w:t>
      </w:r>
    </w:p>
    <w:p w14:paraId="23D344C3" w14:textId="77777777" w:rsidR="00197CE4" w:rsidRPr="00405303" w:rsidRDefault="00197CE4" w:rsidP="00197CE4">
      <w:pPr>
        <w:jc w:val="both"/>
        <w:rPr>
          <w:bCs/>
          <w:i/>
          <w:color w:val="002060"/>
          <w:sz w:val="16"/>
          <w:szCs w:val="16"/>
        </w:rPr>
      </w:pPr>
    </w:p>
    <w:p w14:paraId="26704EBC" w14:textId="77777777" w:rsidR="00197CE4" w:rsidRPr="00B52707" w:rsidRDefault="00197CE4" w:rsidP="00197CE4">
      <w:pPr>
        <w:jc w:val="both"/>
        <w:rPr>
          <w:color w:val="0070C0"/>
          <w:sz w:val="16"/>
          <w:szCs w:val="16"/>
        </w:rPr>
      </w:pPr>
      <w:r w:rsidRPr="00B52707">
        <w:rPr>
          <w:color w:val="0070C0"/>
          <w:sz w:val="16"/>
          <w:szCs w:val="16"/>
        </w:rPr>
        <w:t>В двадцатых числах октября 1914 года 1 пулеметно</w:t>
      </w:r>
      <w:r w:rsidRPr="00B52707">
        <w:rPr>
          <w:color w:val="0070C0"/>
          <w:sz w:val="16"/>
          <w:szCs w:val="16"/>
        </w:rPr>
        <w:softHyphen/>
        <w:t>автомобильная рота под командой полк. Добржанского отпра</w:t>
      </w:r>
      <w:r w:rsidRPr="00B52707">
        <w:rPr>
          <w:color w:val="0070C0"/>
          <w:sz w:val="16"/>
          <w:szCs w:val="16"/>
        </w:rPr>
        <w:softHyphen/>
        <w:t>влена была на театр военных действий, где успешно рабо</w:t>
      </w:r>
      <w:r w:rsidRPr="00B52707">
        <w:rPr>
          <w:color w:val="0070C0"/>
          <w:sz w:val="16"/>
          <w:szCs w:val="16"/>
        </w:rPr>
        <w:softHyphen/>
        <w:t>тала в течение войны (24923).</w:t>
      </w:r>
    </w:p>
    <w:p w14:paraId="3D893E2A" w14:textId="77777777" w:rsidR="00197CE4" w:rsidRPr="00B52707" w:rsidRDefault="00197CE4" w:rsidP="00197CE4">
      <w:pPr>
        <w:jc w:val="both"/>
        <w:rPr>
          <w:color w:val="0070C0"/>
          <w:sz w:val="16"/>
          <w:szCs w:val="16"/>
        </w:rPr>
      </w:pPr>
    </w:p>
    <w:p w14:paraId="2908A9E4" w14:textId="77777777" w:rsidR="008B591E" w:rsidRPr="00405303" w:rsidRDefault="008B591E" w:rsidP="00C15251">
      <w:pPr>
        <w:jc w:val="both"/>
        <w:rPr>
          <w:bCs/>
          <w:i/>
          <w:color w:val="002060"/>
          <w:sz w:val="16"/>
          <w:szCs w:val="16"/>
        </w:rPr>
      </w:pPr>
      <w:r w:rsidRPr="00405303">
        <w:rPr>
          <w:bCs/>
          <w:i/>
          <w:color w:val="002060"/>
          <w:sz w:val="16"/>
          <w:szCs w:val="16"/>
        </w:rPr>
        <w:t>Самолетостроение:</w:t>
      </w:r>
    </w:p>
    <w:p w14:paraId="4C6A592F" w14:textId="77777777" w:rsidR="008B591E" w:rsidRPr="00405303" w:rsidRDefault="008B591E" w:rsidP="00C15251">
      <w:pPr>
        <w:jc w:val="both"/>
        <w:rPr>
          <w:bCs/>
          <w:i/>
          <w:color w:val="002060"/>
          <w:sz w:val="16"/>
          <w:szCs w:val="16"/>
        </w:rPr>
      </w:pPr>
    </w:p>
    <w:p w14:paraId="26EC333F" w14:textId="34EA373A" w:rsidR="008B591E" w:rsidRPr="00405303" w:rsidRDefault="008B591E" w:rsidP="00C15251">
      <w:pPr>
        <w:pStyle w:val="16"/>
        <w:shd w:val="clear" w:color="auto" w:fill="auto"/>
        <w:spacing w:before="0" w:line="240" w:lineRule="auto"/>
        <w:ind w:firstLine="0"/>
        <w:jc w:val="both"/>
        <w:rPr>
          <w:bCs/>
          <w:color w:val="002060"/>
          <w:sz w:val="16"/>
          <w:szCs w:val="16"/>
        </w:rPr>
      </w:pPr>
      <w:r w:rsidRPr="00405303">
        <w:rPr>
          <w:bCs/>
          <w:color w:val="002060"/>
          <w:sz w:val="16"/>
          <w:szCs w:val="16"/>
        </w:rPr>
        <w:t xml:space="preserve">30 ноября </w:t>
      </w:r>
      <w:r w:rsidR="004E27A5" w:rsidRPr="00405303">
        <w:rPr>
          <w:bCs/>
          <w:color w:val="002060"/>
          <w:sz w:val="16"/>
          <w:szCs w:val="16"/>
        </w:rPr>
        <w:t xml:space="preserve">(13 декабря) </w:t>
      </w:r>
      <w:r w:rsidRPr="00405303">
        <w:rPr>
          <w:bCs/>
          <w:color w:val="002060"/>
          <w:sz w:val="16"/>
          <w:szCs w:val="16"/>
        </w:rPr>
        <w:t>1915 г. Общество ДЕКА получило заказ на серийный выпуск разработанных Ботезатом магнето для моторов «Гном». Примерно с этого же времени «ДЕКА» начало строительство в г. Александровске (ныне г. Запо</w:t>
      </w:r>
      <w:r w:rsidRPr="00405303">
        <w:rPr>
          <w:bCs/>
          <w:color w:val="002060"/>
          <w:sz w:val="16"/>
          <w:szCs w:val="16"/>
        </w:rPr>
        <w:softHyphen/>
        <w:t>рожье) большого по тогдашним меркам завода по производству авиационных рядных двигателей водяного охлаждения в 100,129 и 168 л. с. К сожа</w:t>
      </w:r>
      <w:r w:rsidRPr="00405303">
        <w:rPr>
          <w:bCs/>
          <w:color w:val="002060"/>
          <w:sz w:val="16"/>
          <w:szCs w:val="16"/>
        </w:rPr>
        <w:softHyphen/>
        <w:t>лению, забастовки в конце 1916 г. и последовавшая Февральская революция задержали ввод в строй авиамоторного завода, и когда это стало возможным, пришлось заводу в Александровске срочно перестраиваться под производство более современных французских «Испано-Сюиза» (15740).</w:t>
      </w:r>
    </w:p>
    <w:p w14:paraId="4E76C330" w14:textId="77777777" w:rsidR="008B591E" w:rsidRPr="00405303" w:rsidRDefault="008B591E" w:rsidP="00C15251">
      <w:pPr>
        <w:pStyle w:val="16"/>
        <w:shd w:val="clear" w:color="auto" w:fill="auto"/>
        <w:spacing w:before="0" w:line="240" w:lineRule="auto"/>
        <w:ind w:firstLine="0"/>
        <w:jc w:val="both"/>
        <w:rPr>
          <w:bCs/>
          <w:color w:val="002060"/>
          <w:sz w:val="16"/>
          <w:szCs w:val="16"/>
        </w:rPr>
      </w:pPr>
    </w:p>
    <w:p w14:paraId="3AEFDBE1" w14:textId="77777777" w:rsidR="009764E0" w:rsidRPr="00405303" w:rsidRDefault="009764E0" w:rsidP="00C15251">
      <w:pPr>
        <w:jc w:val="both"/>
        <w:rPr>
          <w:bCs/>
          <w:color w:val="002060"/>
          <w:sz w:val="16"/>
          <w:szCs w:val="16"/>
        </w:rPr>
      </w:pPr>
      <w:r w:rsidRPr="00405303">
        <w:rPr>
          <w:bCs/>
          <w:color w:val="002060"/>
          <w:sz w:val="16"/>
          <w:szCs w:val="16"/>
        </w:rPr>
        <w:t>30 ноября (13 декабря) 1915 г. «Илья Муромец» В-24 (ИМ В-24 № 170) экз. № 22, стратегический разведчик, тяжелый бомбардировщик получил приказ вылететь с завода на аэродром ЭВК Яблона, но в тот же день разбит (23563).</w:t>
      </w:r>
    </w:p>
    <w:p w14:paraId="1ED329CC" w14:textId="77777777" w:rsidR="009764E0" w:rsidRPr="00405303" w:rsidRDefault="009764E0" w:rsidP="00C15251">
      <w:pPr>
        <w:jc w:val="both"/>
        <w:rPr>
          <w:bCs/>
          <w:color w:val="002060"/>
          <w:sz w:val="16"/>
          <w:szCs w:val="16"/>
        </w:rPr>
      </w:pPr>
    </w:p>
    <w:p w14:paraId="3D2AF755"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345F4B20" w14:textId="77777777" w:rsidR="004B4E35" w:rsidRPr="00405303" w:rsidRDefault="004B4E35" w:rsidP="00C15251">
      <w:pPr>
        <w:jc w:val="both"/>
        <w:rPr>
          <w:bCs/>
          <w:i/>
          <w:color w:val="002060"/>
          <w:sz w:val="16"/>
          <w:szCs w:val="16"/>
        </w:rPr>
      </w:pPr>
    </w:p>
    <w:p w14:paraId="46D1DCE5" w14:textId="28AB700F" w:rsidR="004B4E35" w:rsidRPr="00405303" w:rsidRDefault="009E6F82" w:rsidP="00C15251">
      <w:pPr>
        <w:jc w:val="both"/>
        <w:rPr>
          <w:bCs/>
          <w:color w:val="002060"/>
          <w:sz w:val="16"/>
          <w:szCs w:val="16"/>
        </w:rPr>
      </w:pPr>
      <w:r w:rsidRPr="00405303">
        <w:rPr>
          <w:bCs/>
          <w:color w:val="002060"/>
          <w:sz w:val="16"/>
          <w:szCs w:val="16"/>
        </w:rPr>
        <w:t>30 ноября (13 декабря) 1915 года было разработано положение о частных школах авиации военного времени, определены требования к их программам и выпускникам (ЦГВИА. ф. 369, оп 8, д.75, л. 16). Первыми такими школами являлись: школа Всероссийского Императорского аэроклуба, возобновившая свою работу после убытия на фронт инструкторов во главе с начальником Н.Н. Яцук, и Московского общества воздухоплавания; частная школа при авиационном заводе Анатра в Одессе получила наименование «Школа авиации нового времени, учрежденная А. А. Анатра». В этой школе начали обучение 62 человека, руководил занятиями летчик-конструктор завода (</w:t>
      </w:r>
      <w:proofErr w:type="gramStart"/>
      <w:r w:rsidRPr="00405303">
        <w:rPr>
          <w:bCs/>
          <w:color w:val="002060"/>
          <w:sz w:val="16"/>
          <w:szCs w:val="16"/>
        </w:rPr>
        <w:t>РГВИА,ф.493,оп</w:t>
      </w:r>
      <w:proofErr w:type="gramEnd"/>
      <w:r w:rsidRPr="00405303">
        <w:rPr>
          <w:bCs/>
          <w:color w:val="002060"/>
          <w:sz w:val="16"/>
          <w:szCs w:val="16"/>
        </w:rPr>
        <w:t>.З, д.4, л.35, РГВИА, ф.493, оп.1, д.1224, л.222.).</w:t>
      </w:r>
    </w:p>
    <w:p w14:paraId="7C1427F6" w14:textId="77777777" w:rsidR="004B4E35" w:rsidRPr="00405303" w:rsidRDefault="009E6F82" w:rsidP="00C15251">
      <w:pPr>
        <w:jc w:val="both"/>
        <w:rPr>
          <w:bCs/>
          <w:color w:val="002060"/>
          <w:sz w:val="16"/>
          <w:szCs w:val="16"/>
        </w:rPr>
      </w:pPr>
      <w:r w:rsidRPr="00405303">
        <w:rPr>
          <w:bCs/>
          <w:color w:val="002060"/>
          <w:sz w:val="16"/>
          <w:szCs w:val="16"/>
        </w:rPr>
        <w:t>Школы авиации военного времени располагали небольшими возможностями. По штатам им полагалось иметь 6 офицеров и 2 военных чинов, хотя среди них могли находиться и известные люди.</w:t>
      </w:r>
    </w:p>
    <w:p w14:paraId="2C4E025A" w14:textId="77777777" w:rsidR="004B4E35" w:rsidRPr="00405303" w:rsidRDefault="009E6F82" w:rsidP="00C15251">
      <w:pPr>
        <w:jc w:val="both"/>
        <w:rPr>
          <w:bCs/>
          <w:color w:val="002060"/>
          <w:sz w:val="16"/>
          <w:szCs w:val="16"/>
        </w:rPr>
      </w:pPr>
      <w:r w:rsidRPr="00405303">
        <w:rPr>
          <w:bCs/>
          <w:color w:val="002060"/>
          <w:sz w:val="16"/>
          <w:szCs w:val="16"/>
        </w:rPr>
        <w:t>Положением о школах военного времени их разрешалось открывать лицам или общественным организациям с обязательного разрешением военного министерства по представлению Управления воздушного флота.</w:t>
      </w:r>
    </w:p>
    <w:p w14:paraId="47BD0572" w14:textId="77777777" w:rsidR="004B4E35" w:rsidRPr="00405303" w:rsidRDefault="009E6F82" w:rsidP="00C15251">
      <w:pPr>
        <w:jc w:val="both"/>
        <w:rPr>
          <w:bCs/>
          <w:color w:val="002060"/>
          <w:sz w:val="16"/>
          <w:szCs w:val="16"/>
        </w:rPr>
      </w:pPr>
      <w:r w:rsidRPr="00405303">
        <w:rPr>
          <w:bCs/>
          <w:color w:val="002060"/>
          <w:sz w:val="16"/>
          <w:szCs w:val="16"/>
        </w:rPr>
        <w:t>Для нужд военной авиации школы готовили и летчиков, и мотористов (РГВИА ф.493, оп.2, д.З, л.92). Только в течение 1915 г. эти школы подготовили 233 летчика из нижних чинов и «охотников». Однако, несмотря на увеличение общего количества лиц, умевших пилотировать аэропланы, в целом уровень подготовки летного состава в русском воздушном флоте летом 1915 г. заметно снизился (РГВИА ф.493, оп.2 д.З л.87.). Это было обусловлено в первую очередь прибытием на доукомплектование в войска добровольцев из частных школ, а также пилотов из авиационных школ военного времени подготовленных слабо из-за того, что большая часть летно-инструкторского и преподавательского состава основных школ Гатчинской и Ставропольской была направлена на фронт. Так, в ходе исследования установлено, что за первый год войны летноинструкторский состав в этих школах обновился на 60-70% (11182).</w:t>
      </w:r>
    </w:p>
    <w:p w14:paraId="3986BC95" w14:textId="77777777" w:rsidR="004B4E35" w:rsidRPr="00405303" w:rsidRDefault="004B4E35" w:rsidP="00C15251">
      <w:pPr>
        <w:jc w:val="both"/>
        <w:rPr>
          <w:bCs/>
          <w:color w:val="002060"/>
          <w:sz w:val="16"/>
          <w:szCs w:val="16"/>
        </w:rPr>
      </w:pPr>
    </w:p>
    <w:p w14:paraId="00FD75A0" w14:textId="5FEED3D0"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30 ноября (13 декабря) 1915 </w:t>
      </w:r>
      <w:r w:rsidR="004E27A5" w:rsidRPr="00405303">
        <w:rPr>
          <w:bCs/>
          <w:color w:val="002060"/>
          <w:sz w:val="16"/>
          <w:szCs w:val="16"/>
        </w:rPr>
        <w:t xml:space="preserve">г. было </w:t>
      </w:r>
      <w:r w:rsidRPr="00405303">
        <w:rPr>
          <w:bCs/>
          <w:color w:val="002060"/>
          <w:sz w:val="16"/>
          <w:szCs w:val="16"/>
        </w:rPr>
        <w:t>утверждено положение о частных школах авиации {военного времени, развернутых на базе уже существовавших трех авиационных школ: Всероссийского аэроклуба, Московского общест</w:t>
      </w:r>
      <w:r w:rsidRPr="00405303">
        <w:rPr>
          <w:bCs/>
          <w:color w:val="002060"/>
          <w:sz w:val="16"/>
          <w:szCs w:val="16"/>
        </w:rPr>
        <w:softHyphen/>
        <w:t xml:space="preserve">ва воздухоплавания и школы Анатра в Одессе. Эти школы готовили военных летчиков из солдат и добровольцев - "охотников". За 1915 год они подготовили 233 </w:t>
      </w:r>
      <w:proofErr w:type="gramStart"/>
      <w:r w:rsidRPr="00405303">
        <w:rPr>
          <w:bCs/>
          <w:color w:val="002060"/>
          <w:sz w:val="16"/>
          <w:szCs w:val="16"/>
        </w:rPr>
        <w:t>летчика.Новым</w:t>
      </w:r>
      <w:proofErr w:type="gramEnd"/>
      <w:r w:rsidRPr="00405303">
        <w:rPr>
          <w:bCs/>
          <w:color w:val="002060"/>
          <w:sz w:val="16"/>
          <w:szCs w:val="16"/>
        </w:rPr>
        <w:t xml:space="preserve"> положением разреша</w:t>
      </w:r>
      <w:r w:rsidRPr="00405303">
        <w:rPr>
          <w:bCs/>
          <w:color w:val="002060"/>
          <w:sz w:val="16"/>
          <w:szCs w:val="16"/>
        </w:rPr>
        <w:softHyphen/>
        <w:t xml:space="preserve">лось открывать школы авиации и частным </w:t>
      </w:r>
      <w:proofErr w:type="gramStart"/>
      <w:r w:rsidRPr="00405303">
        <w:rPr>
          <w:bCs/>
          <w:color w:val="002060"/>
          <w:sz w:val="16"/>
          <w:szCs w:val="16"/>
        </w:rPr>
        <w:t>лицам ,</w:t>
      </w:r>
      <w:proofErr w:type="gramEnd"/>
      <w:r w:rsidRPr="00405303">
        <w:rPr>
          <w:bCs/>
          <w:color w:val="002060"/>
          <w:sz w:val="16"/>
          <w:szCs w:val="16"/>
        </w:rPr>
        <w:t xml:space="preserve"> и общественным учреждениям с обязательного каждый раз разрешения военного министерства по представлению Управления военно-воздушного фло</w:t>
      </w:r>
      <w:r w:rsidRPr="00405303">
        <w:rPr>
          <w:bCs/>
          <w:color w:val="002060"/>
          <w:sz w:val="16"/>
          <w:szCs w:val="16"/>
        </w:rPr>
        <w:softHyphen/>
        <w:t xml:space="preserve">та. Это мероприятие было вызвано неспособностью Севастопольской и Гатчинской военных школ обеспечить армию необходимым количезтвом летчиков. В январе 1917 года все частные авиашколы были переданы в военное ведомство (ЦГВИА. ф.2003, оп.1, д.1224, л.222; </w:t>
      </w:r>
      <w:proofErr w:type="gramStart"/>
      <w:r w:rsidRPr="00405303">
        <w:rPr>
          <w:bCs/>
          <w:color w:val="002060"/>
          <w:sz w:val="16"/>
          <w:szCs w:val="16"/>
        </w:rPr>
        <w:t>оп.З</w:t>
      </w:r>
      <w:proofErr w:type="gramEnd"/>
      <w:r w:rsidRPr="00405303">
        <w:rPr>
          <w:bCs/>
          <w:color w:val="002060"/>
          <w:sz w:val="16"/>
          <w:szCs w:val="16"/>
        </w:rPr>
        <w:t xml:space="preserve">, </w:t>
      </w:r>
      <w:proofErr w:type="gramStart"/>
      <w:r w:rsidRPr="00405303">
        <w:rPr>
          <w:bCs/>
          <w:color w:val="002060"/>
          <w:sz w:val="16"/>
          <w:szCs w:val="16"/>
        </w:rPr>
        <w:t>д.бЗЗ</w:t>
      </w:r>
      <w:proofErr w:type="gramEnd"/>
      <w:r w:rsidRPr="00405303">
        <w:rPr>
          <w:bCs/>
          <w:color w:val="002060"/>
          <w:sz w:val="16"/>
          <w:szCs w:val="16"/>
        </w:rPr>
        <w:t>,л.18).</w:t>
      </w:r>
    </w:p>
    <w:p w14:paraId="16963845" w14:textId="77777777" w:rsidR="004B4E35" w:rsidRPr="00405303" w:rsidRDefault="004B4E35" w:rsidP="00C15251">
      <w:pPr>
        <w:shd w:val="clear" w:color="auto" w:fill="FFFFFF"/>
        <w:jc w:val="both"/>
        <w:rPr>
          <w:bCs/>
          <w:color w:val="002060"/>
          <w:sz w:val="16"/>
          <w:szCs w:val="16"/>
        </w:rPr>
      </w:pPr>
    </w:p>
    <w:p w14:paraId="75FFC536" w14:textId="77777777" w:rsidR="00D91375" w:rsidRPr="00405303" w:rsidRDefault="00D91375" w:rsidP="00C15251">
      <w:pPr>
        <w:jc w:val="both"/>
        <w:rPr>
          <w:bCs/>
          <w:color w:val="002060"/>
          <w:sz w:val="16"/>
          <w:szCs w:val="16"/>
        </w:rPr>
      </w:pPr>
      <w:r w:rsidRPr="00405303">
        <w:rPr>
          <w:bCs/>
          <w:color w:val="002060"/>
          <w:sz w:val="16"/>
          <w:szCs w:val="16"/>
        </w:rPr>
        <w:t>30 ноября (13 декабря) 1915 г. было утвердждено положение о частных школах авиации воен</w:t>
      </w:r>
      <w:r w:rsidRPr="00405303">
        <w:rPr>
          <w:bCs/>
          <w:color w:val="002060"/>
          <w:sz w:val="16"/>
          <w:szCs w:val="16"/>
        </w:rPr>
        <w:softHyphen/>
        <w:t>ного времени, развернутых на базе уже существовавших трех авиационных школ всероссийского аэроклуба, московского общества воздухо</w:t>
      </w:r>
      <w:r w:rsidRPr="00405303">
        <w:rPr>
          <w:bCs/>
          <w:color w:val="002060"/>
          <w:sz w:val="16"/>
          <w:szCs w:val="16"/>
        </w:rPr>
        <w:softHyphen/>
        <w:t>плавания и школы Анатра в Одессе. Эти школы готовили военных летчи</w:t>
      </w:r>
      <w:r w:rsidRPr="00405303">
        <w:rPr>
          <w:bCs/>
          <w:color w:val="002060"/>
          <w:sz w:val="16"/>
          <w:szCs w:val="16"/>
        </w:rPr>
        <w:softHyphen/>
        <w:t xml:space="preserve">ков из «нижних чинов и добровольцев - охотников. За 1915 год они подготовили 233 летчика. Новым положением разрешалось открывать школы авиации и частным лицам и </w:t>
      </w:r>
      <w:r w:rsidRPr="00405303">
        <w:rPr>
          <w:bCs/>
          <w:color w:val="002060"/>
          <w:sz w:val="16"/>
          <w:szCs w:val="16"/>
        </w:rPr>
        <w:lastRenderedPageBreak/>
        <w:t>общественным учреждениям с обязатель</w:t>
      </w:r>
      <w:r w:rsidRPr="00405303">
        <w:rPr>
          <w:bCs/>
          <w:color w:val="002060"/>
          <w:sz w:val="16"/>
          <w:szCs w:val="16"/>
        </w:rPr>
        <w:softHyphen/>
        <w:t>ного каждый раз разрешения военного министерства по представлению управления военно-воздушного флота. Это мероприятие было вызвано неспособностью Севастопольской и гатчинской военных школ обеспечить армию необходимым количеством летчиков. В январе 1917 года все частные авиашколы были переданы в военное ведомство.</w:t>
      </w:r>
    </w:p>
    <w:p w14:paraId="703D9D21" w14:textId="77777777" w:rsidR="00D91375" w:rsidRPr="00405303" w:rsidRDefault="00D91375" w:rsidP="00C15251">
      <w:pPr>
        <w:jc w:val="both"/>
        <w:rPr>
          <w:bCs/>
          <w:color w:val="002060"/>
          <w:sz w:val="16"/>
          <w:szCs w:val="16"/>
        </w:rPr>
      </w:pPr>
      <w:r w:rsidRPr="00405303">
        <w:rPr>
          <w:bCs/>
          <w:color w:val="002060"/>
          <w:sz w:val="16"/>
          <w:szCs w:val="16"/>
        </w:rPr>
        <w:t>/ЦГВИА, ф. 2003, оп. 1, Д. 1224, л. 222; оп. 3, Д. 633, Л.18/ (23320).</w:t>
      </w:r>
    </w:p>
    <w:p w14:paraId="06C1E637" w14:textId="77777777" w:rsidR="00D91375" w:rsidRPr="00405303" w:rsidRDefault="00D91375" w:rsidP="00C15251">
      <w:pPr>
        <w:jc w:val="both"/>
        <w:rPr>
          <w:bCs/>
          <w:color w:val="002060"/>
          <w:sz w:val="16"/>
          <w:szCs w:val="16"/>
        </w:rPr>
      </w:pPr>
    </w:p>
    <w:p w14:paraId="2A28C834" w14:textId="31A8A1DA" w:rsidR="009764E0" w:rsidRPr="00405303" w:rsidRDefault="009764E0" w:rsidP="00C15251">
      <w:pPr>
        <w:jc w:val="both"/>
        <w:rPr>
          <w:bCs/>
          <w:color w:val="002060"/>
          <w:sz w:val="16"/>
          <w:szCs w:val="16"/>
        </w:rPr>
      </w:pPr>
      <w:r w:rsidRPr="00405303">
        <w:rPr>
          <w:bCs/>
          <w:color w:val="002060"/>
          <w:sz w:val="16"/>
          <w:szCs w:val="16"/>
        </w:rPr>
        <w:t>30 ноября (13 декабря) 1915 г. немецкий самолет атаковал наш тыловой объект вблизи ф. Вольтергофа (Рижский район), сбросив на него три бомбы то же время появившийся на Двинском участке Северного фронта цеппелин пытался провести бомбардировку русских частей, но был отогнан огнем артиллерии (23405).</w:t>
      </w:r>
    </w:p>
    <w:p w14:paraId="799543F6" w14:textId="77777777" w:rsidR="009764E0" w:rsidRPr="00405303" w:rsidRDefault="009764E0" w:rsidP="00C15251">
      <w:pPr>
        <w:jc w:val="both"/>
        <w:rPr>
          <w:bCs/>
          <w:color w:val="002060"/>
          <w:sz w:val="16"/>
          <w:szCs w:val="16"/>
        </w:rPr>
      </w:pPr>
    </w:p>
    <w:p w14:paraId="1BF96AF0"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4A883D2F" w14:textId="77777777" w:rsidR="004B4E35" w:rsidRPr="00405303" w:rsidRDefault="004B4E35" w:rsidP="00C15251">
      <w:pPr>
        <w:jc w:val="both"/>
        <w:rPr>
          <w:bCs/>
          <w:i/>
          <w:color w:val="002060"/>
          <w:sz w:val="16"/>
          <w:szCs w:val="16"/>
        </w:rPr>
      </w:pPr>
    </w:p>
    <w:p w14:paraId="67A01AE9" w14:textId="77777777" w:rsidR="004B4E35" w:rsidRPr="00405303" w:rsidRDefault="009E6F82" w:rsidP="00C15251">
      <w:pPr>
        <w:jc w:val="both"/>
        <w:rPr>
          <w:bCs/>
          <w:color w:val="002060"/>
          <w:sz w:val="16"/>
          <w:szCs w:val="16"/>
        </w:rPr>
      </w:pPr>
      <w:r w:rsidRPr="00405303">
        <w:rPr>
          <w:bCs/>
          <w:color w:val="002060"/>
          <w:sz w:val="16"/>
          <w:szCs w:val="16"/>
        </w:rPr>
        <w:t>К концу ноября 1915 стало очевидным, что к сроку удастся закончить от силы лишь четыре (Ко. 206- 209) из заказанных пятнадцати самолетов. Пришлось просить в ГВУ отсрочку, которая сопровождалась уплатой соответствующей неустойки. Только 4 января 1916 г. Авиа-Балт смог заявить о готовности представить к осмотру все 15 серийных самолетов С-16сер. Однако сдача их опять затянулась. Плохая погода прервала начатые 22 декабря 1915 г. прибывшим с фронта Г. И. Лавровым летно-сдаточные испытания самолетов. Во время одного из первых полетов на самолете Nо. 206 из-за сильных порывов ветра летчик не смог при посадке справиться с управлением. Самолет и двигатель были сильно повреждены и ремонтировались до марта1916 г. С отъездом Лаврова на фронт на заводе не осталось летчиков-сдатчиков. Ссылаясь на условия контракта (АО РБВЗ было обязано проводить сдаточные испытания с помощью заводских летчиков и за свой счет</w:t>
      </w:r>
      <w:proofErr w:type="gramStart"/>
      <w:r w:rsidRPr="00405303">
        <w:rPr>
          <w:bCs/>
          <w:color w:val="002060"/>
          <w:sz w:val="16"/>
          <w:szCs w:val="16"/>
        </w:rPr>
        <w:t>) ,</w:t>
      </w:r>
      <w:proofErr w:type="gramEnd"/>
      <w:r w:rsidRPr="00405303">
        <w:rPr>
          <w:bCs/>
          <w:color w:val="002060"/>
          <w:sz w:val="16"/>
          <w:szCs w:val="16"/>
        </w:rPr>
        <w:t xml:space="preserve"> ГВУ отказывалось предоставить своих летчиков. Несвоевременно поступали из ГВУ на завод и двигатели «Гном</w:t>
      </w:r>
      <w:proofErr w:type="gramStart"/>
      <w:r w:rsidRPr="00405303">
        <w:rPr>
          <w:bCs/>
          <w:color w:val="002060"/>
          <w:sz w:val="16"/>
          <w:szCs w:val="16"/>
        </w:rPr>
        <w:t>» .</w:t>
      </w:r>
      <w:proofErr w:type="gramEnd"/>
      <w:r w:rsidRPr="00405303">
        <w:rPr>
          <w:bCs/>
          <w:color w:val="002060"/>
          <w:sz w:val="16"/>
          <w:szCs w:val="16"/>
        </w:rPr>
        <w:t xml:space="preserve"> Кроме того, задержка поставок в армию С-16сер. способствовала и изменению взглядов на применение этих машин. В истории С-16 произошло важное событие -- расширилось назначение этого самолета. Если в середине 1915 г. «Сикорский маленький» , как иногда называли С-16 в войсках, предполагалось использовать в ЭВК в основном для тренировок летчиков воздушных кораблей, а также в качестве «разведчиков при намечаемых налетах Эскадры на определенные пункты» , то к концу этого года наметилось применение их в качестве истребителей на боевых базах для защиты воздушных кораблей против налетов неприятельского воздушного флота» . По новым утвержденным штатам ЭВК в ее составе предполагалось иметь теперь помимо 12 учебных аппаратов школы Эскадры еще по 14 легких самолетов (4 истребителя, 4разведчика и 6тренировочных) в составе каждого боевого отряда, число которых увеличилось с двух до трех. Подобно большинству других скаутов, С-16 превращался в классический одноместный истребитель. Он стал, таким образом, первым истребителем отечественной конструкции. Изменение назначения самолета С-16 ознаменовалось разработкой для него стационарного бортового вооружения. Одним из главных пропагандистов создания истребительной авиации в российском воздушном флоте был лейтенант Г, И. Лавров. В 1915 г. он сделал ряд предложений по созданию авиационного вооружения и формированию отрядов истребителей. Осенью этого года им был разработан и построен в мастерских ЭВК образец первого в России синхронизатора или, как тогда называли, приспособления для автоматической стрельбы через винт (11188).</w:t>
      </w:r>
    </w:p>
    <w:p w14:paraId="04355548" w14:textId="77777777" w:rsidR="004B4E35" w:rsidRPr="00405303" w:rsidRDefault="004B4E35" w:rsidP="00C15251">
      <w:pPr>
        <w:jc w:val="both"/>
        <w:rPr>
          <w:bCs/>
          <w:color w:val="002060"/>
          <w:sz w:val="16"/>
          <w:szCs w:val="16"/>
        </w:rPr>
      </w:pPr>
    </w:p>
    <w:p w14:paraId="7305F83B" w14:textId="77777777" w:rsidR="00F54115" w:rsidRPr="00B52707" w:rsidRDefault="00F54115" w:rsidP="00F54115">
      <w:pPr>
        <w:jc w:val="both"/>
        <w:rPr>
          <w:color w:val="0070C0"/>
          <w:sz w:val="16"/>
          <w:szCs w:val="16"/>
        </w:rPr>
      </w:pPr>
      <w:r w:rsidRPr="00B52707">
        <w:rPr>
          <w:color w:val="0070C0"/>
          <w:sz w:val="16"/>
          <w:szCs w:val="16"/>
        </w:rPr>
        <w:t>К концу ноября 1915 г. стало очевидным, что к сроку удастся закончить от силы лишь четыре С-16 (No. 206- 209) из заказанных пятнадцати самолетов. Пришлось просить в ГВТУ отсрочку, которая сопровождалась уплатой соответствующей неустойки (25049).</w:t>
      </w:r>
    </w:p>
    <w:p w14:paraId="4710EC44" w14:textId="77777777" w:rsidR="00F54115" w:rsidRPr="00B52707" w:rsidRDefault="00F54115" w:rsidP="00F54115">
      <w:pPr>
        <w:jc w:val="both"/>
        <w:rPr>
          <w:color w:val="0070C0"/>
          <w:sz w:val="16"/>
          <w:szCs w:val="16"/>
        </w:rPr>
      </w:pPr>
    </w:p>
    <w:p w14:paraId="0D156F92" w14:textId="7DB2F680" w:rsidR="004B4E35" w:rsidRPr="00405303" w:rsidRDefault="004E27A5"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последних числах</w:t>
      </w:r>
      <w:r w:rsidRPr="00405303">
        <w:rPr>
          <w:bCs/>
          <w:color w:val="002060"/>
          <w:sz w:val="16"/>
          <w:szCs w:val="16"/>
        </w:rPr>
        <w:t xml:space="preserve"> </w:t>
      </w:r>
      <w:r w:rsidR="009E6F82" w:rsidRPr="00405303">
        <w:rPr>
          <w:bCs/>
          <w:color w:val="002060"/>
          <w:sz w:val="16"/>
          <w:szCs w:val="16"/>
        </w:rPr>
        <w:t xml:space="preserve">ноября 1915 г. летающая лодка </w:t>
      </w:r>
      <w:r w:rsidRPr="00405303">
        <w:rPr>
          <w:bCs/>
          <w:color w:val="002060"/>
          <w:sz w:val="16"/>
          <w:szCs w:val="16"/>
        </w:rPr>
        <w:t xml:space="preserve">М-7 </w:t>
      </w:r>
      <w:r w:rsidR="009E6F82" w:rsidRPr="00405303">
        <w:rPr>
          <w:bCs/>
          <w:color w:val="002060"/>
          <w:sz w:val="16"/>
          <w:szCs w:val="16"/>
        </w:rPr>
        <w:t>так и не смогла оторваться от воды. Специалисты компа</w:t>
      </w:r>
      <w:r w:rsidR="009E6F82" w:rsidRPr="00405303">
        <w:rPr>
          <w:bCs/>
          <w:color w:val="002060"/>
          <w:sz w:val="16"/>
          <w:szCs w:val="16"/>
        </w:rPr>
        <w:softHyphen/>
        <w:t>нии все же надеялись усовершенствовать конст</w:t>
      </w:r>
      <w:r w:rsidR="009E6F82" w:rsidRPr="00405303">
        <w:rPr>
          <w:bCs/>
          <w:color w:val="002060"/>
          <w:sz w:val="16"/>
          <w:szCs w:val="16"/>
        </w:rPr>
        <w:softHyphen/>
        <w:t>рукцию, а потому для продолжения испытаний к середине января 1916 г. и гидроаэроплан, и его 150-сильный мотор «Санбим»</w:t>
      </w:r>
      <w:r w:rsidR="009E6F82" w:rsidRPr="00405303">
        <w:rPr>
          <w:bCs/>
          <w:color w:val="002060"/>
          <w:sz w:val="16"/>
          <w:szCs w:val="16"/>
          <w:vertAlign w:val="superscript"/>
        </w:rPr>
        <w:t>1</w:t>
      </w:r>
      <w:r w:rsidR="009E6F82" w:rsidRPr="00405303">
        <w:rPr>
          <w:bCs/>
          <w:color w:val="002060"/>
          <w:sz w:val="16"/>
          <w:szCs w:val="16"/>
        </w:rPr>
        <w:t xml:space="preserve"> очутились в Бакин</w:t>
      </w:r>
      <w:r w:rsidR="009E6F82" w:rsidRPr="00405303">
        <w:rPr>
          <w:bCs/>
          <w:color w:val="002060"/>
          <w:sz w:val="16"/>
          <w:szCs w:val="16"/>
        </w:rPr>
        <w:softHyphen/>
        <w:t>ском филиале Петроградской офицерской школы морских летчиков. По причине успешных проб модели М-9 аппарат М-7 забросили, и его даль</w:t>
      </w:r>
      <w:r w:rsidR="009E6F82" w:rsidRPr="00405303">
        <w:rPr>
          <w:bCs/>
          <w:color w:val="002060"/>
          <w:sz w:val="16"/>
          <w:szCs w:val="16"/>
        </w:rPr>
        <w:softHyphen/>
        <w:t>нейшая судьба неизвестна (2807).</w:t>
      </w:r>
    </w:p>
    <w:p w14:paraId="0A65E14D" w14:textId="77777777" w:rsidR="004B4E35" w:rsidRPr="00405303" w:rsidRDefault="004B4E35" w:rsidP="00C15251">
      <w:pPr>
        <w:shd w:val="clear" w:color="auto" w:fill="FFFFFF"/>
        <w:jc w:val="both"/>
        <w:rPr>
          <w:bCs/>
          <w:color w:val="002060"/>
          <w:sz w:val="16"/>
          <w:szCs w:val="16"/>
        </w:rPr>
      </w:pPr>
    </w:p>
    <w:p w14:paraId="0180EF5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конце ноября 1915 аппарат, названный «Аэроглиссером № 1», подготовили к испытаниям, для про</w:t>
      </w:r>
      <w:r w:rsidRPr="00405303">
        <w:rPr>
          <w:bCs/>
          <w:color w:val="002060"/>
          <w:sz w:val="16"/>
          <w:szCs w:val="16"/>
        </w:rPr>
        <w:softHyphen/>
        <w:t>ведения которых его отправили в Баку. Эксперименты, проведенные инструкторами школы, проходи</w:t>
      </w:r>
      <w:r w:rsidRPr="00405303">
        <w:rPr>
          <w:bCs/>
          <w:color w:val="002060"/>
          <w:sz w:val="16"/>
          <w:szCs w:val="16"/>
        </w:rPr>
        <w:softHyphen/>
        <w:t>ли в период между январем и мартом 1916 г., но, к сожалению, их подробности неизвестны, как и дальнейшая судьба машины: возможно, ее, хоть и приняв в казну, возвратили на ПРТВ, где она могла погибнуть в огне пожара в ночь с 6 па 7 января 1917г. Досадно, ноне сохранилось и никаких техничес</w:t>
      </w:r>
      <w:r w:rsidRPr="00405303">
        <w:rPr>
          <w:bCs/>
          <w:color w:val="002060"/>
          <w:sz w:val="16"/>
          <w:szCs w:val="16"/>
        </w:rPr>
        <w:softHyphen/>
        <w:t>ких данных о «№ 1», однако его цена позволяет говорить о том, что он был уменьшенным аналогом «Аэроглиссера № 2». Последний заказали официальным контрактом от 17 ноября 1915 г., и можно только догадываться о том, почему Морское ведомство решилось на дополнительные расходы в то время, когда первый прототип не прошел опробования. Не исключено, что при принятии решения возобладали доводы о ставшей возможной сборке полноразмерного аппарата именно с «Сальмсона-ми» 140-150 л. с.</w:t>
      </w:r>
      <w:r w:rsidRPr="00405303">
        <w:rPr>
          <w:bCs/>
          <w:color w:val="002060"/>
          <w:sz w:val="16"/>
          <w:szCs w:val="16"/>
          <w:vertAlign w:val="superscript"/>
        </w:rPr>
        <w:t>1</w:t>
      </w:r>
      <w:r w:rsidRPr="00405303">
        <w:rPr>
          <w:bCs/>
          <w:color w:val="002060"/>
          <w:sz w:val="16"/>
          <w:szCs w:val="16"/>
        </w:rPr>
        <w:t xml:space="preserve"> и о желательности приблизить начало серийного производства в случае успеха «№ 1» — ведь летняя кампания 1916г. была не за горами. Первого марта 1916г. явилось датой готов</w:t>
      </w:r>
      <w:r w:rsidRPr="00405303">
        <w:rPr>
          <w:bCs/>
          <w:color w:val="002060"/>
          <w:sz w:val="16"/>
          <w:szCs w:val="16"/>
        </w:rPr>
        <w:softHyphen/>
        <w:t>ности «№ 2», а 2 мая аппарат доставили па территорию все той же Петроградской морской авиашко</w:t>
      </w:r>
      <w:r w:rsidRPr="00405303">
        <w:rPr>
          <w:bCs/>
          <w:color w:val="002060"/>
          <w:sz w:val="16"/>
          <w:szCs w:val="16"/>
        </w:rPr>
        <w:softHyphen/>
        <w:t>лы, но на этот раз на дамбу Гутуевского острова столицы. И снова неизвестно, что происходило с ним до 21 августа, когда школьная комиссия, состоявшая из лейтенанта Г. А. Фриде, штабс-капитана А. Е. Грузинова, штабс-капитана Е. Р. Энгельса и прапорщика А. П. Быкова, подписала акт о полом</w:t>
      </w:r>
      <w:r w:rsidRPr="00405303">
        <w:rPr>
          <w:bCs/>
          <w:color w:val="002060"/>
          <w:sz w:val="16"/>
          <w:szCs w:val="16"/>
        </w:rPr>
        <w:softHyphen/>
        <w:t>ке большого прототипа во время одного из опытов — возможно, самого первого. Аппарат полностью разрушился при движении по воде, тогда как его неназванный экипаж остался невредим</w:t>
      </w:r>
      <w:r w:rsidRPr="00405303">
        <w:rPr>
          <w:bCs/>
          <w:color w:val="002060"/>
          <w:sz w:val="16"/>
          <w:szCs w:val="16"/>
          <w:vertAlign w:val="superscript"/>
        </w:rPr>
        <w:t>2</w:t>
      </w:r>
      <w:r w:rsidRPr="00405303">
        <w:rPr>
          <w:bCs/>
          <w:color w:val="002060"/>
          <w:sz w:val="16"/>
          <w:szCs w:val="16"/>
        </w:rPr>
        <w:t>. Причину аварии не указывали, но, скорее всего, «Аэроглиссер № 2» «выскочил» из воды из-за слишком боль</w:t>
      </w:r>
      <w:r w:rsidRPr="00405303">
        <w:rPr>
          <w:bCs/>
          <w:color w:val="002060"/>
          <w:sz w:val="16"/>
          <w:szCs w:val="16"/>
        </w:rPr>
        <w:softHyphen/>
        <w:t>шой подъемной силы его воздушных и водных крыльев, затем безнадежно вышел из повиновения и рухнул в пучину. С его потерей все работы над проектом прекратились (2807).</w:t>
      </w:r>
    </w:p>
    <w:p w14:paraId="4A6B7297" w14:textId="77777777" w:rsidR="004B4E35" w:rsidRPr="00405303" w:rsidRDefault="004B4E35" w:rsidP="00C15251">
      <w:pPr>
        <w:shd w:val="clear" w:color="auto" w:fill="FFFFFF"/>
        <w:jc w:val="both"/>
        <w:rPr>
          <w:bCs/>
          <w:color w:val="002060"/>
          <w:sz w:val="16"/>
          <w:szCs w:val="16"/>
        </w:rPr>
      </w:pPr>
    </w:p>
    <w:p w14:paraId="1717E05A"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Аэростатостроение:</w:t>
      </w:r>
    </w:p>
    <w:p w14:paraId="0A06A54E" w14:textId="77777777" w:rsidR="004B4E35" w:rsidRPr="00405303" w:rsidRDefault="004B4E35" w:rsidP="00C15251">
      <w:pPr>
        <w:shd w:val="clear" w:color="auto" w:fill="FFFFFF"/>
        <w:jc w:val="both"/>
        <w:rPr>
          <w:bCs/>
          <w:i/>
          <w:color w:val="002060"/>
          <w:sz w:val="16"/>
          <w:szCs w:val="16"/>
        </w:rPr>
      </w:pPr>
    </w:p>
    <w:p w14:paraId="3C00553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конце ноября 1915 г. работы по подготовке к приему дири</w:t>
      </w:r>
      <w:r w:rsidRPr="00405303">
        <w:rPr>
          <w:bCs/>
          <w:color w:val="002060"/>
          <w:sz w:val="16"/>
          <w:szCs w:val="16"/>
        </w:rPr>
        <w:softHyphen/>
        <w:t>жаблей шли полным ходом, а для оказания помощи в организации морского воздухоплавания командировали поручика Липпинга (по отзыву начальника авиации Черноморского флота старшего лейте</w:t>
      </w:r>
      <w:r w:rsidRPr="00405303">
        <w:rPr>
          <w:bCs/>
          <w:color w:val="002060"/>
          <w:sz w:val="16"/>
          <w:szCs w:val="16"/>
        </w:rPr>
        <w:softHyphen/>
        <w:t>нанта И.И. Стаховского, «офицера весьма способного, командовав</w:t>
      </w:r>
      <w:r w:rsidRPr="00405303">
        <w:rPr>
          <w:bCs/>
          <w:color w:val="002060"/>
          <w:sz w:val="16"/>
          <w:szCs w:val="16"/>
        </w:rPr>
        <w:softHyphen/>
        <w:t>шего дирижаблями и в совершенстве знакомого со всем оборудова</w:t>
      </w:r>
      <w:r w:rsidRPr="00405303">
        <w:rPr>
          <w:bCs/>
          <w:color w:val="002060"/>
          <w:sz w:val="16"/>
          <w:szCs w:val="16"/>
        </w:rPr>
        <w:softHyphen/>
        <w:t>нием таковых»).</w:t>
      </w:r>
    </w:p>
    <w:p w14:paraId="73D0E09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Многое было сделано, но, по-видимому, далеко не все, и после прибытия закупленных в Англии дирижаблей появились непред</w:t>
      </w:r>
      <w:r w:rsidRPr="00405303">
        <w:rPr>
          <w:bCs/>
          <w:color w:val="002060"/>
          <w:sz w:val="16"/>
          <w:szCs w:val="16"/>
        </w:rPr>
        <w:softHyphen/>
        <w:t>виденные трудности: не оказалось монтажных устройств, инструк</w:t>
      </w:r>
      <w:r w:rsidRPr="00405303">
        <w:rPr>
          <w:bCs/>
          <w:color w:val="002060"/>
          <w:sz w:val="16"/>
          <w:szCs w:val="16"/>
        </w:rPr>
        <w:softHyphen/>
        <w:t>ции по сборке, эллинги поступили с запозданием и т. д.</w:t>
      </w:r>
    </w:p>
    <w:p w14:paraId="2F44C5A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Дирижаблям присвоили название «Черномор». Судьба их оказа</w:t>
      </w:r>
      <w:r w:rsidRPr="00405303">
        <w:rPr>
          <w:bCs/>
          <w:color w:val="002060"/>
          <w:sz w:val="16"/>
          <w:szCs w:val="16"/>
        </w:rPr>
        <w:softHyphen/>
        <w:t>лась различной, но в то же время и чем-то схожей, «Черномор-1» совершил один полет продолжительностью всего 20 мин, причем была отмечена неустойчивая работа двигателей «Санбим», а затем один из двух двигателей отказал, вдобавок ко всему оболочка дирижабля начала охлаждаться, он стал снижать</w:t>
      </w:r>
      <w:r w:rsidRPr="00405303">
        <w:rPr>
          <w:bCs/>
          <w:color w:val="002060"/>
          <w:sz w:val="16"/>
          <w:szCs w:val="16"/>
        </w:rPr>
        <w:softHyphen/>
        <w:t>ся, приводнился на удалении 5 км от м. Херсонес, и его отбуксиро</w:t>
      </w:r>
      <w:r w:rsidRPr="00405303">
        <w:rPr>
          <w:bCs/>
          <w:color w:val="002060"/>
          <w:sz w:val="16"/>
          <w:szCs w:val="16"/>
        </w:rPr>
        <w:softHyphen/>
        <w:t>вали к берегу.</w:t>
      </w:r>
    </w:p>
    <w:p w14:paraId="7C5EF4D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«Черномор-2» также преследовали неудачи. В одном из полетов произошел отказ двигателя, и пришлось сажать его на аэродроме Кача. При заходе на посадку остановился и второй двигатель. Позже этот дирижабль разобрали.</w:t>
      </w:r>
    </w:p>
    <w:p w14:paraId="61E3311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«Черномор-3» вообще не сделал ни одного полета, так как 24 марта 1917 г. порывом ветра брезент, который прикрывал вход в эллинг, сорвало, дирижабль стало трепать. От него отцепили гон</w:t>
      </w:r>
      <w:r w:rsidRPr="00405303">
        <w:rPr>
          <w:bCs/>
          <w:color w:val="002060"/>
          <w:sz w:val="16"/>
          <w:szCs w:val="16"/>
        </w:rPr>
        <w:softHyphen/>
        <w:t>долу, но это только усугубило положение — оболочка с газом прижалась к потолку. Вследствие трения произошел взрыв. Дири</w:t>
      </w:r>
      <w:r w:rsidRPr="00405303">
        <w:rPr>
          <w:bCs/>
          <w:color w:val="002060"/>
          <w:sz w:val="16"/>
          <w:szCs w:val="16"/>
        </w:rPr>
        <w:softHyphen/>
        <w:t>жабль, эллинг и другое оборудование были уничтожены. Назначен</w:t>
      </w:r>
      <w:r w:rsidRPr="00405303">
        <w:rPr>
          <w:bCs/>
          <w:color w:val="002060"/>
          <w:sz w:val="16"/>
          <w:szCs w:val="16"/>
        </w:rPr>
        <w:softHyphen/>
        <w:t>ная комиссия причин аварии не установила.</w:t>
      </w:r>
    </w:p>
    <w:p w14:paraId="63DF5C0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«Черномор-4», </w:t>
      </w:r>
      <w:proofErr w:type="gramStart"/>
      <w:r w:rsidRPr="00405303">
        <w:rPr>
          <w:bCs/>
          <w:color w:val="002060"/>
          <w:sz w:val="16"/>
          <w:szCs w:val="16"/>
        </w:rPr>
        <w:t>по-видимому</w:t>
      </w:r>
      <w:proofErr w:type="gramEnd"/>
      <w:r w:rsidRPr="00405303">
        <w:rPr>
          <w:bCs/>
          <w:color w:val="002060"/>
          <w:sz w:val="16"/>
          <w:szCs w:val="16"/>
        </w:rPr>
        <w:t xml:space="preserve"> во избежание неприятностей, сдали в порт. На этом эпопея русского флота, связанная с использовани</w:t>
      </w:r>
      <w:r w:rsidRPr="00405303">
        <w:rPr>
          <w:bCs/>
          <w:color w:val="002060"/>
          <w:sz w:val="16"/>
          <w:szCs w:val="16"/>
        </w:rPr>
        <w:softHyphen/>
        <w:t>ем дирижаблей, завершилась.</w:t>
      </w:r>
    </w:p>
    <w:p w14:paraId="0ADA717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 этому времени на Черном море и Балтике уже имелись само</w:t>
      </w:r>
      <w:r w:rsidRPr="00405303">
        <w:rPr>
          <w:bCs/>
          <w:color w:val="002060"/>
          <w:sz w:val="16"/>
          <w:szCs w:val="16"/>
        </w:rPr>
        <w:softHyphen/>
        <w:t>леты и гидросамолеты, которые вели боевые действия. Интерес к воздухоплаванию существенно снизился (1085).</w:t>
      </w:r>
    </w:p>
    <w:p w14:paraId="7940359A" w14:textId="77777777" w:rsidR="004B4E35" w:rsidRPr="00405303" w:rsidRDefault="004B4E35" w:rsidP="00C15251">
      <w:pPr>
        <w:shd w:val="clear" w:color="auto" w:fill="FFFFFF"/>
        <w:jc w:val="both"/>
        <w:rPr>
          <w:bCs/>
          <w:color w:val="002060"/>
          <w:sz w:val="16"/>
          <w:szCs w:val="16"/>
        </w:rPr>
      </w:pPr>
    </w:p>
    <w:p w14:paraId="2F553E72" w14:textId="55A79000" w:rsidR="004B4E35" w:rsidRPr="00405303" w:rsidRDefault="009E6F82" w:rsidP="00C15251">
      <w:pPr>
        <w:shd w:val="clear" w:color="auto" w:fill="FFFFFF"/>
        <w:jc w:val="both"/>
        <w:rPr>
          <w:bCs/>
          <w:color w:val="002060"/>
          <w:sz w:val="16"/>
          <w:szCs w:val="16"/>
        </w:rPr>
      </w:pPr>
      <w:r w:rsidRPr="00405303">
        <w:rPr>
          <w:bCs/>
          <w:color w:val="002060"/>
          <w:sz w:val="16"/>
          <w:szCs w:val="16"/>
        </w:rPr>
        <w:t>В конце ноября 1915 г. работы по подготовке к приему дирижаблей шли полным ходом, а для ока</w:t>
      </w:r>
      <w:r w:rsidRPr="00405303">
        <w:rPr>
          <w:bCs/>
          <w:color w:val="002060"/>
          <w:sz w:val="16"/>
          <w:szCs w:val="16"/>
        </w:rPr>
        <w:softHyphen/>
        <w:t>зания помощи в организации мор</w:t>
      </w:r>
      <w:r w:rsidRPr="00405303">
        <w:rPr>
          <w:bCs/>
          <w:color w:val="002060"/>
          <w:sz w:val="16"/>
          <w:szCs w:val="16"/>
        </w:rPr>
        <w:softHyphen/>
        <w:t>ского воздухоплавания командиро</w:t>
      </w:r>
      <w:r w:rsidRPr="00405303">
        <w:rPr>
          <w:bCs/>
          <w:color w:val="002060"/>
          <w:sz w:val="16"/>
          <w:szCs w:val="16"/>
        </w:rPr>
        <w:softHyphen/>
        <w:t>вали поручика Липпинга (по отзыву начальника авиации Черноморско</w:t>
      </w:r>
      <w:r w:rsidRPr="00405303">
        <w:rPr>
          <w:bCs/>
          <w:color w:val="002060"/>
          <w:sz w:val="16"/>
          <w:szCs w:val="16"/>
        </w:rPr>
        <w:softHyphen/>
        <w:t>го флота старшего лейтенанта И.И.Стаховского, «офицера весьма способного, командовавшего дири</w:t>
      </w:r>
      <w:r w:rsidRPr="00405303">
        <w:rPr>
          <w:bCs/>
          <w:color w:val="002060"/>
          <w:sz w:val="16"/>
          <w:szCs w:val="16"/>
        </w:rPr>
        <w:softHyphen/>
        <w:t>жаблями и в совершенстве знако</w:t>
      </w:r>
      <w:r w:rsidRPr="00405303">
        <w:rPr>
          <w:bCs/>
          <w:color w:val="002060"/>
          <w:sz w:val="16"/>
          <w:szCs w:val="16"/>
        </w:rPr>
        <w:softHyphen/>
        <w:t>мого со всем оборудованием та</w:t>
      </w:r>
      <w:r w:rsidRPr="00405303">
        <w:rPr>
          <w:bCs/>
          <w:color w:val="002060"/>
          <w:sz w:val="16"/>
          <w:szCs w:val="16"/>
        </w:rPr>
        <w:softHyphen/>
        <w:t xml:space="preserve">ковых»). Многое было сделано, но, по-видимому, далеко не все, так как после прибытия </w:t>
      </w:r>
      <w:r w:rsidRPr="00405303">
        <w:rPr>
          <w:bCs/>
          <w:color w:val="002060"/>
          <w:sz w:val="16"/>
          <w:szCs w:val="16"/>
        </w:rPr>
        <w:lastRenderedPageBreak/>
        <w:t>закупленных в Анг</w:t>
      </w:r>
      <w:r w:rsidRPr="00405303">
        <w:rPr>
          <w:bCs/>
          <w:color w:val="002060"/>
          <w:sz w:val="16"/>
          <w:szCs w:val="16"/>
        </w:rPr>
        <w:softHyphen/>
        <w:t>лии дирижаблей, возникли непред</w:t>
      </w:r>
      <w:r w:rsidRPr="00405303">
        <w:rPr>
          <w:bCs/>
          <w:color w:val="002060"/>
          <w:sz w:val="16"/>
          <w:szCs w:val="16"/>
        </w:rPr>
        <w:softHyphen/>
        <w:t>виденные затруднения: не оказа</w:t>
      </w:r>
      <w:r w:rsidRPr="00405303">
        <w:rPr>
          <w:bCs/>
          <w:color w:val="002060"/>
          <w:sz w:val="16"/>
          <w:szCs w:val="16"/>
        </w:rPr>
        <w:softHyphen/>
        <w:t>лось монтажных устройств, инструк</w:t>
      </w:r>
      <w:r w:rsidRPr="00405303">
        <w:rPr>
          <w:bCs/>
          <w:color w:val="002060"/>
          <w:sz w:val="16"/>
          <w:szCs w:val="16"/>
        </w:rPr>
        <w:softHyphen/>
        <w:t>ций по сборке, эллинги поступили с запозданием и т. д. Всем четырём поступившим ди</w:t>
      </w:r>
      <w:r w:rsidRPr="00405303">
        <w:rPr>
          <w:bCs/>
          <w:color w:val="002060"/>
          <w:sz w:val="16"/>
          <w:szCs w:val="16"/>
        </w:rPr>
        <w:softHyphen/>
        <w:t>рижаблям присвоили название «Черномор», Судьба их оказалась различной, но в то же время в чём-то, схожей.</w:t>
      </w:r>
    </w:p>
    <w:p w14:paraId="74496BA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«Черномор-1», совершил один полет продолжительностью всего 20 минут, причем отмечалась неустой</w:t>
      </w:r>
      <w:r w:rsidRPr="00405303">
        <w:rPr>
          <w:bCs/>
          <w:color w:val="002060"/>
          <w:sz w:val="16"/>
          <w:szCs w:val="16"/>
        </w:rPr>
        <w:softHyphen/>
        <w:t>чивая работа двигателей «Санбим», а затем один из двух двигателей отказал. Вдобавок ко всему, обо</w:t>
      </w:r>
      <w:r w:rsidRPr="00405303">
        <w:rPr>
          <w:bCs/>
          <w:color w:val="002060"/>
          <w:sz w:val="16"/>
          <w:szCs w:val="16"/>
        </w:rPr>
        <w:softHyphen/>
        <w:t>лочка дирижабля из-за ухудшения погоды начала охлаждаться, он стал снижаться, приводнился на удале</w:t>
      </w:r>
      <w:r w:rsidRPr="00405303">
        <w:rPr>
          <w:bCs/>
          <w:color w:val="002060"/>
          <w:sz w:val="16"/>
          <w:szCs w:val="16"/>
        </w:rPr>
        <w:softHyphen/>
        <w:t>нии 5 км от м. Херсонес, и был от</w:t>
      </w:r>
      <w:r w:rsidRPr="00405303">
        <w:rPr>
          <w:bCs/>
          <w:color w:val="002060"/>
          <w:sz w:val="16"/>
          <w:szCs w:val="16"/>
        </w:rPr>
        <w:softHyphen/>
        <w:t>буксирован к берегу.</w:t>
      </w:r>
    </w:p>
    <w:p w14:paraId="3FB420D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«Черномор-2» также преследо</w:t>
      </w:r>
      <w:r w:rsidRPr="00405303">
        <w:rPr>
          <w:bCs/>
          <w:color w:val="002060"/>
          <w:sz w:val="16"/>
          <w:szCs w:val="16"/>
        </w:rPr>
        <w:softHyphen/>
        <w:t>вали неудачи. В одном из полетов отказал двигатель, и пришлось про</w:t>
      </w:r>
      <w:r w:rsidRPr="00405303">
        <w:rPr>
          <w:bCs/>
          <w:color w:val="002060"/>
          <w:sz w:val="16"/>
          <w:szCs w:val="16"/>
        </w:rPr>
        <w:softHyphen/>
        <w:t>изводить посадку на аэродроме Кача. При заходе на посадку оста</w:t>
      </w:r>
      <w:r w:rsidRPr="00405303">
        <w:rPr>
          <w:bCs/>
          <w:color w:val="002060"/>
          <w:sz w:val="16"/>
          <w:szCs w:val="16"/>
        </w:rPr>
        <w:softHyphen/>
        <w:t>новился и второй двигатель. Впос</w:t>
      </w:r>
      <w:r w:rsidRPr="00405303">
        <w:rPr>
          <w:bCs/>
          <w:color w:val="002060"/>
          <w:sz w:val="16"/>
          <w:szCs w:val="16"/>
        </w:rPr>
        <w:softHyphen/>
        <w:t>ледствии дирижабль разобрали.</w:t>
      </w:r>
    </w:p>
    <w:p w14:paraId="7C5CA80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«Черномор-3», вообще не сде</w:t>
      </w:r>
      <w:r w:rsidRPr="00405303">
        <w:rPr>
          <w:bCs/>
          <w:color w:val="002060"/>
          <w:sz w:val="16"/>
          <w:szCs w:val="16"/>
        </w:rPr>
        <w:softHyphen/>
        <w:t>лал ни одного полета, так как 24 марта 1917 г. порывом ветра бре</w:t>
      </w:r>
      <w:r w:rsidRPr="00405303">
        <w:rPr>
          <w:bCs/>
          <w:color w:val="002060"/>
          <w:sz w:val="16"/>
          <w:szCs w:val="16"/>
        </w:rPr>
        <w:softHyphen/>
        <w:t>зент, который прикрывал вход в эллинг, сорвало, дирижабль стало трепать. От него отцепили гондо</w:t>
      </w:r>
      <w:r w:rsidRPr="00405303">
        <w:rPr>
          <w:bCs/>
          <w:color w:val="002060"/>
          <w:sz w:val="16"/>
          <w:szCs w:val="16"/>
        </w:rPr>
        <w:softHyphen/>
        <w:t>лу, но это только усугубило поло</w:t>
      </w:r>
      <w:r w:rsidRPr="00405303">
        <w:rPr>
          <w:bCs/>
          <w:color w:val="002060"/>
          <w:sz w:val="16"/>
          <w:szCs w:val="16"/>
        </w:rPr>
        <w:softHyphen/>
        <w:t>жение - оболочка с газом прижа</w:t>
      </w:r>
      <w:r w:rsidRPr="00405303">
        <w:rPr>
          <w:bCs/>
          <w:color w:val="002060"/>
          <w:sz w:val="16"/>
          <w:szCs w:val="16"/>
        </w:rPr>
        <w:softHyphen/>
        <w:t>лась к потолку. Вследствие трения произошел взрыв. Дирижабль, эл</w:t>
      </w:r>
      <w:r w:rsidRPr="00405303">
        <w:rPr>
          <w:bCs/>
          <w:color w:val="002060"/>
          <w:sz w:val="16"/>
          <w:szCs w:val="16"/>
        </w:rPr>
        <w:softHyphen/>
        <w:t>линг и другое оборудование сго</w:t>
      </w:r>
      <w:r w:rsidRPr="00405303">
        <w:rPr>
          <w:bCs/>
          <w:color w:val="002060"/>
          <w:sz w:val="16"/>
          <w:szCs w:val="16"/>
        </w:rPr>
        <w:softHyphen/>
        <w:t>рели. Назначенная комиссия при</w:t>
      </w:r>
      <w:r w:rsidRPr="00405303">
        <w:rPr>
          <w:bCs/>
          <w:color w:val="002060"/>
          <w:sz w:val="16"/>
          <w:szCs w:val="16"/>
        </w:rPr>
        <w:softHyphen/>
        <w:t>чин аварии не установила.</w:t>
      </w:r>
    </w:p>
    <w:p w14:paraId="09A7F3A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«Черномор-4», по-видимому, во избежание неприятностей, сдали в порт. На этом эпопея русского фло</w:t>
      </w:r>
      <w:r w:rsidRPr="00405303">
        <w:rPr>
          <w:bCs/>
          <w:color w:val="002060"/>
          <w:sz w:val="16"/>
          <w:szCs w:val="16"/>
        </w:rPr>
        <w:softHyphen/>
        <w:t>та, связанная с использованием дирижаблей, завершилась.</w:t>
      </w:r>
    </w:p>
    <w:p w14:paraId="0B3B5478" w14:textId="77777777" w:rsidR="004B4E35" w:rsidRPr="00405303" w:rsidRDefault="009E6F82" w:rsidP="00C15251">
      <w:pPr>
        <w:jc w:val="both"/>
        <w:rPr>
          <w:bCs/>
          <w:color w:val="002060"/>
          <w:sz w:val="16"/>
          <w:szCs w:val="16"/>
        </w:rPr>
      </w:pPr>
      <w:r w:rsidRPr="00405303">
        <w:rPr>
          <w:bCs/>
          <w:color w:val="002060"/>
          <w:sz w:val="16"/>
          <w:szCs w:val="16"/>
        </w:rPr>
        <w:t>К 1915 г. на Черном море и Балтике уже имелись самолеты и гидросамолеты, которые даже вели боевые действия. Интерес к возду</w:t>
      </w:r>
      <w:r w:rsidRPr="00405303">
        <w:rPr>
          <w:bCs/>
          <w:color w:val="002060"/>
          <w:sz w:val="16"/>
          <w:szCs w:val="16"/>
        </w:rPr>
        <w:softHyphen/>
        <w:t>хоплаванию, как и следовало ожи</w:t>
      </w:r>
      <w:r w:rsidRPr="00405303">
        <w:rPr>
          <w:bCs/>
          <w:color w:val="002060"/>
          <w:sz w:val="16"/>
          <w:szCs w:val="16"/>
        </w:rPr>
        <w:softHyphen/>
        <w:t>дать, существенно снизился. Начи</w:t>
      </w:r>
      <w:r w:rsidRPr="00405303">
        <w:rPr>
          <w:bCs/>
          <w:color w:val="002060"/>
          <w:sz w:val="16"/>
          <w:szCs w:val="16"/>
        </w:rPr>
        <w:softHyphen/>
        <w:t>ная с 1913 года стали различать воздухоплавание и авиацию (11854).</w:t>
      </w:r>
    </w:p>
    <w:p w14:paraId="7E242A4D" w14:textId="77777777" w:rsidR="004B4E35" w:rsidRPr="00405303" w:rsidRDefault="004B4E35" w:rsidP="00C15251">
      <w:pPr>
        <w:jc w:val="both"/>
        <w:rPr>
          <w:bCs/>
          <w:color w:val="002060"/>
          <w:sz w:val="16"/>
          <w:szCs w:val="16"/>
        </w:rPr>
      </w:pPr>
    </w:p>
    <w:p w14:paraId="4C77BA57"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28348AE0" w14:textId="77777777" w:rsidR="004B4E35" w:rsidRPr="00405303" w:rsidRDefault="004B4E35" w:rsidP="00C15251">
      <w:pPr>
        <w:jc w:val="both"/>
        <w:rPr>
          <w:bCs/>
          <w:i/>
          <w:color w:val="002060"/>
          <w:sz w:val="16"/>
          <w:szCs w:val="16"/>
        </w:rPr>
      </w:pPr>
    </w:p>
    <w:p w14:paraId="02C0831A" w14:textId="77777777" w:rsidR="008B591E" w:rsidRPr="00405303" w:rsidRDefault="008B591E" w:rsidP="00C15251">
      <w:pPr>
        <w:pStyle w:val="2"/>
        <w:spacing w:before="0" w:after="0"/>
        <w:jc w:val="both"/>
        <w:rPr>
          <w:b w:val="0"/>
          <w:bCs/>
          <w:color w:val="002060"/>
          <w:sz w:val="16"/>
          <w:szCs w:val="16"/>
        </w:rPr>
      </w:pPr>
      <w:r w:rsidRPr="00405303">
        <w:rPr>
          <w:b w:val="0"/>
          <w:bCs/>
          <w:color w:val="002060"/>
          <w:sz w:val="16"/>
          <w:szCs w:val="16"/>
        </w:rPr>
        <w:t>В ноябре 1915 г. в Общество Леденцова и лично Жуковскому пересадресовали рапорт командиру 524-й пешей Дружины Рязанского ополчения с описанием проекта «воздушного миноносца», предложенного ратником второго разряда В.Ф.Уласенко. Его командир роты докладывал, что ратник окончил только двухклассное сельское училище, но «занимался самообразованием, имеет занятия по физике, читал научные журналы, интересовался газетами, сведениями об изобретениях итальянца Улеви». Целью изобретения являлась «возможность управлять... [самолетом] в то время, когда на нем никого нет. Мину или бомбу с такого аэроплана можно сбросить в любом месте, например, на неприятельское судно, не опасаясь, что летчик будет убит, так как такой аэроплан управляется электрическими волнами, и летчик на нем не нужен.» Увы, техническая проработка проекта явно опережала возможности самого изобретателя и общий научно-технический уровень в области автоматического управления. По сути Власенко представил только самые общие рассуждения о радио- и телемеханическом управлении лишь по одному каналу — «вправо—влево» и схему устройства, более всего похожую на часы-будильник. В отзыве комиссии отмечалось, что аппарат «представляет собой систему колес, приводимых в действие часовым механизмом, несомненно не может быть пригоден для целей, указанных изобретателем, ввиду несовершенства конструкции» (15464).</w:t>
      </w:r>
    </w:p>
    <w:p w14:paraId="2E723A1D" w14:textId="77777777" w:rsidR="008B591E" w:rsidRPr="00405303" w:rsidRDefault="008B591E" w:rsidP="00C15251">
      <w:pPr>
        <w:pStyle w:val="2"/>
        <w:spacing w:before="0" w:after="0"/>
        <w:jc w:val="both"/>
        <w:rPr>
          <w:b w:val="0"/>
          <w:bCs/>
          <w:color w:val="002060"/>
          <w:sz w:val="16"/>
          <w:szCs w:val="16"/>
        </w:rPr>
      </w:pPr>
    </w:p>
    <w:p w14:paraId="6F2C30D1" w14:textId="77777777" w:rsidR="008B591E" w:rsidRPr="00405303" w:rsidRDefault="008B591E" w:rsidP="00C15251">
      <w:pPr>
        <w:pStyle w:val="2"/>
        <w:spacing w:before="0" w:after="0"/>
        <w:jc w:val="both"/>
        <w:rPr>
          <w:b w:val="0"/>
          <w:bCs/>
          <w:color w:val="002060"/>
          <w:sz w:val="16"/>
          <w:szCs w:val="16"/>
        </w:rPr>
      </w:pPr>
      <w:r w:rsidRPr="00405303">
        <w:rPr>
          <w:b w:val="0"/>
          <w:bCs/>
          <w:color w:val="002060"/>
          <w:sz w:val="16"/>
          <w:szCs w:val="16"/>
        </w:rPr>
        <w:t>В ноябре 1915 Дуксу передали заказ на 25 «Парасолей», ранее выданный заводу Ф.Ф.Терещенко: «Исполнительная комиссия при Военном министре журналом от 16 сего ноября... по представлению ГВТУ от 30-го октября сего года за № 6341/4739, постановила: разрешить Управлению передать предоставленный Вам (заводу Ф.Ф.Терещенко), на основании положения Военного Совета от 8 августа 1915 г. заказ на 25 аэропланов Моран-Сольнье. (парасоль). 25 комплектов запасных частей к ним и 2 дополнительных комплекта... к ним, всего на сумму 420.146 руб. Акционерному Общества Дукс ЮА.Меллер, при соблюдении установленных указанных выше положением Военного Совета для Вашего заказа условий и 10-месячного срока, считая его с 12 августа сего года.» (15464).</w:t>
      </w:r>
    </w:p>
    <w:p w14:paraId="0D59C14F" w14:textId="77777777" w:rsidR="008B591E" w:rsidRPr="00405303" w:rsidRDefault="008B591E" w:rsidP="00C15251">
      <w:pPr>
        <w:pStyle w:val="2"/>
        <w:spacing w:before="0" w:after="0"/>
        <w:jc w:val="both"/>
        <w:rPr>
          <w:b w:val="0"/>
          <w:bCs/>
          <w:color w:val="002060"/>
          <w:sz w:val="16"/>
          <w:szCs w:val="16"/>
        </w:rPr>
      </w:pPr>
    </w:p>
    <w:p w14:paraId="47599F15" w14:textId="77777777" w:rsidR="008B591E" w:rsidRPr="00405303" w:rsidRDefault="008B591E" w:rsidP="00C15251">
      <w:pPr>
        <w:pStyle w:val="ae"/>
        <w:spacing w:before="0" w:beforeAutospacing="0" w:after="0" w:afterAutospacing="0"/>
        <w:jc w:val="both"/>
        <w:rPr>
          <w:bCs/>
          <w:color w:val="002060"/>
          <w:sz w:val="16"/>
          <w:szCs w:val="16"/>
        </w:rPr>
      </w:pPr>
      <w:r w:rsidRPr="00405303">
        <w:rPr>
          <w:bCs/>
          <w:color w:val="002060"/>
          <w:sz w:val="16"/>
          <w:szCs w:val="16"/>
        </w:rPr>
        <w:t>В ноябре 1915 г. обществом «Русский Рено» был заключен контракт с ГВТУ на поставку 150 моторов типа «Рено», по которому предусматривалось сооружение еще одного моторного завода. Завод начал строиться в Рыбинске, где это же общество строило автомобильный завод. Военное ведомство оказало широкую материальную помощь обществу в деле постройки авиамоторного завода. Правлению «Русский Рено» был выдан аванс в 1620 тыс. руб. Кроме того, для покупки необходимого оборудования за границей обществу была предоставлена соответствующая валюта. Хотя значительная часть зданий нового завода была построена, но завершить оборудование его не удалось по причине задержек в поступлении станков и механизмов из-за границы (18369).</w:t>
      </w:r>
    </w:p>
    <w:p w14:paraId="5438C8FC" w14:textId="77777777" w:rsidR="008B591E" w:rsidRPr="00405303" w:rsidRDefault="008B591E" w:rsidP="00C15251">
      <w:pPr>
        <w:pStyle w:val="ae"/>
        <w:spacing w:before="0" w:beforeAutospacing="0" w:after="0" w:afterAutospacing="0"/>
        <w:jc w:val="both"/>
        <w:rPr>
          <w:bCs/>
          <w:color w:val="002060"/>
          <w:sz w:val="16"/>
          <w:szCs w:val="16"/>
        </w:rPr>
      </w:pPr>
    </w:p>
    <w:p w14:paraId="21835C04" w14:textId="58030D47" w:rsidR="008B591E" w:rsidRPr="00405303" w:rsidRDefault="008B591E" w:rsidP="00C15251">
      <w:pPr>
        <w:pStyle w:val="ae"/>
        <w:spacing w:before="0" w:beforeAutospacing="0" w:after="0" w:afterAutospacing="0"/>
        <w:jc w:val="both"/>
        <w:rPr>
          <w:bCs/>
          <w:color w:val="002060"/>
          <w:sz w:val="16"/>
          <w:szCs w:val="16"/>
        </w:rPr>
      </w:pPr>
      <w:r w:rsidRPr="00405303">
        <w:rPr>
          <w:bCs/>
          <w:color w:val="002060"/>
          <w:sz w:val="16"/>
          <w:szCs w:val="16"/>
        </w:rPr>
        <w:t>В ноябре 1915 г. на основании решения Особого совещания по обороне</w:t>
      </w:r>
      <w:r w:rsidR="000F5756">
        <w:rPr>
          <w:bCs/>
          <w:color w:val="002060"/>
          <w:sz w:val="16"/>
          <w:szCs w:val="16"/>
        </w:rPr>
        <w:t xml:space="preserve"> </w:t>
      </w:r>
      <w:r w:rsidRPr="00405303">
        <w:rPr>
          <w:bCs/>
          <w:color w:val="002060"/>
          <w:sz w:val="16"/>
          <w:szCs w:val="16"/>
        </w:rPr>
        <w:t>Петроградский завод Товарищества С.С. Щетинина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предприятие</w:t>
      </w:r>
      <w:r w:rsidR="000F5756">
        <w:rPr>
          <w:bCs/>
          <w:color w:val="002060"/>
          <w:sz w:val="16"/>
          <w:szCs w:val="16"/>
        </w:rPr>
        <w:t xml:space="preserve"> </w:t>
      </w:r>
      <w:r w:rsidRPr="00405303">
        <w:rPr>
          <w:bCs/>
          <w:color w:val="002060"/>
          <w:sz w:val="16"/>
          <w:szCs w:val="16"/>
        </w:rPr>
        <w:t>в 1917 г. получило заказ военного ведомства на поставку 180 «Спадов», его выполнение не началось, так как не прибыло оборудование, заказанное в США (18369).</w:t>
      </w:r>
    </w:p>
    <w:p w14:paraId="476DD195" w14:textId="77777777" w:rsidR="008B591E" w:rsidRPr="00405303" w:rsidRDefault="008B591E" w:rsidP="00C15251">
      <w:pPr>
        <w:pStyle w:val="ae"/>
        <w:spacing w:before="0" w:beforeAutospacing="0" w:after="0" w:afterAutospacing="0"/>
        <w:jc w:val="both"/>
        <w:rPr>
          <w:bCs/>
          <w:color w:val="002060"/>
          <w:sz w:val="16"/>
          <w:szCs w:val="16"/>
        </w:rPr>
      </w:pPr>
    </w:p>
    <w:p w14:paraId="5B0E0995" w14:textId="77777777" w:rsidR="008B591E" w:rsidRPr="00405303" w:rsidRDefault="008B591E" w:rsidP="00C15251">
      <w:pPr>
        <w:pStyle w:val="p1"/>
        <w:spacing w:before="0" w:beforeAutospacing="0" w:after="0" w:afterAutospacing="0"/>
        <w:jc w:val="both"/>
        <w:rPr>
          <w:bCs/>
          <w:color w:val="002060"/>
          <w:sz w:val="16"/>
          <w:szCs w:val="16"/>
        </w:rPr>
      </w:pPr>
      <w:r w:rsidRPr="00405303">
        <w:rPr>
          <w:bCs/>
          <w:color w:val="002060"/>
          <w:sz w:val="16"/>
          <w:szCs w:val="16"/>
        </w:rPr>
        <w:t>В ноябре 1915 г. сообщалось, что «в России одним заводом уже начато с большим успехом фабричное производство магнето по испытанным образцам», уже поставлено производство рессор на рессорной фабрике Мохова, «выпускающей превосходный по качеству товар», но карбюраторы «фабричным способом еще не изготовляются», не дается также изготовление радиаторов (18366).</w:t>
      </w:r>
    </w:p>
    <w:p w14:paraId="44928BC5" w14:textId="77777777" w:rsidR="008B591E" w:rsidRPr="00405303" w:rsidRDefault="008B591E" w:rsidP="00C15251">
      <w:pPr>
        <w:pStyle w:val="p1"/>
        <w:spacing w:before="0" w:beforeAutospacing="0" w:after="0" w:afterAutospacing="0"/>
        <w:jc w:val="both"/>
        <w:rPr>
          <w:bCs/>
          <w:color w:val="002060"/>
          <w:sz w:val="16"/>
          <w:szCs w:val="16"/>
        </w:rPr>
      </w:pPr>
    </w:p>
    <w:p w14:paraId="4508DAF5" w14:textId="77777777" w:rsidR="008B591E" w:rsidRPr="00405303" w:rsidRDefault="008B591E" w:rsidP="00C15251">
      <w:pPr>
        <w:pStyle w:val="p1"/>
        <w:spacing w:before="0" w:beforeAutospacing="0" w:after="0" w:afterAutospacing="0"/>
        <w:jc w:val="both"/>
        <w:rPr>
          <w:bCs/>
          <w:color w:val="002060"/>
          <w:sz w:val="16"/>
          <w:szCs w:val="16"/>
        </w:rPr>
      </w:pPr>
      <w:r w:rsidRPr="00405303">
        <w:rPr>
          <w:bCs/>
          <w:color w:val="002060"/>
          <w:sz w:val="16"/>
          <w:szCs w:val="16"/>
        </w:rPr>
        <w:t>В ноябре 1915 г. сообщалось, что «в.России одним заводом уже начато с большим успехом фабричное производство магнето по испытанным образцам», уже поставлено производство рессор на рессорной фабрике Мохова, «выпускающей превосходный по качеству товар», но карбюраторы «фабричным способом еще не изготовляются», не дается также изготовление радиаторов (18409).</w:t>
      </w:r>
    </w:p>
    <w:p w14:paraId="7FC4D366" w14:textId="77777777" w:rsidR="008B591E" w:rsidRPr="00405303" w:rsidRDefault="008B591E" w:rsidP="00C15251">
      <w:pPr>
        <w:pStyle w:val="p1"/>
        <w:spacing w:before="0" w:beforeAutospacing="0" w:after="0" w:afterAutospacing="0"/>
        <w:jc w:val="both"/>
        <w:rPr>
          <w:bCs/>
          <w:color w:val="002060"/>
          <w:sz w:val="16"/>
          <w:szCs w:val="16"/>
        </w:rPr>
      </w:pPr>
    </w:p>
    <w:p w14:paraId="3CEEED8F" w14:textId="77777777" w:rsidR="008B591E" w:rsidRPr="00405303" w:rsidRDefault="008B591E" w:rsidP="00C15251">
      <w:pPr>
        <w:pStyle w:val="p1"/>
        <w:spacing w:before="0" w:beforeAutospacing="0" w:after="0" w:afterAutospacing="0"/>
        <w:jc w:val="both"/>
        <w:rPr>
          <w:bCs/>
          <w:color w:val="002060"/>
          <w:sz w:val="16"/>
          <w:szCs w:val="16"/>
        </w:rPr>
      </w:pPr>
      <w:r w:rsidRPr="00405303">
        <w:rPr>
          <w:bCs/>
          <w:color w:val="002060"/>
          <w:sz w:val="16"/>
          <w:szCs w:val="16"/>
        </w:rPr>
        <w:t xml:space="preserve">За ноябрь 1915 — ноябрь 1916 г. было доставлено из Франции и Англии 1184 двигателя; с русских заводов — около 500. В момент наивысшего развития русская промышленность дала в 1916 г. 1769 самолетов (666 моторов). В Германии в тот же год выпуск самолетов достиг 8182 (7823 двигателя), во Франции — 7549 самолетов и 16 875 моторов, в Великобритании — с июля 1915 по февраль 1917 г. — 7131; при этом треть моторов для английских самолетов поступала из Франции. Но и такое сравнение хромает, поскольку в значительной части русские показатели и </w:t>
      </w:r>
      <w:proofErr w:type="gramStart"/>
      <w:r w:rsidRPr="00405303">
        <w:rPr>
          <w:bCs/>
          <w:color w:val="002060"/>
          <w:sz w:val="16"/>
          <w:szCs w:val="16"/>
        </w:rPr>
        <w:t>по моторам</w:t>
      </w:r>
      <w:proofErr w:type="gramEnd"/>
      <w:r w:rsidRPr="00405303">
        <w:rPr>
          <w:bCs/>
          <w:color w:val="002060"/>
          <w:sz w:val="16"/>
          <w:szCs w:val="16"/>
        </w:rPr>
        <w:t xml:space="preserve"> и по самолетам относятся к сборке из готовых деталей и узлов. Разработкой авиационных двигателей занимались в лабораториях и мастерских Кораблестроительного отделения Петроградского Политехнического института, но оставалось в силе суждение М.В. Алексеева: «Главная причина слабого развития авиации у нас — это отсутствие двигателей. В этом отношении мы беспомощны. Корпуса аппаратов мы делаем, а “души” их — моторы — производить не можем» (18409).</w:t>
      </w:r>
    </w:p>
    <w:p w14:paraId="351C6A61" w14:textId="77777777" w:rsidR="008B591E" w:rsidRPr="00405303" w:rsidRDefault="008B591E" w:rsidP="00C15251">
      <w:pPr>
        <w:pStyle w:val="p1"/>
        <w:spacing w:before="0" w:beforeAutospacing="0" w:after="0" w:afterAutospacing="0"/>
        <w:jc w:val="both"/>
        <w:rPr>
          <w:bCs/>
          <w:color w:val="002060"/>
          <w:sz w:val="16"/>
          <w:szCs w:val="16"/>
        </w:rPr>
      </w:pPr>
    </w:p>
    <w:p w14:paraId="1E29E681" w14:textId="77777777" w:rsidR="008B591E" w:rsidRPr="00405303" w:rsidRDefault="008B591E" w:rsidP="00C15251">
      <w:pPr>
        <w:jc w:val="both"/>
        <w:rPr>
          <w:bCs/>
          <w:color w:val="002060"/>
          <w:sz w:val="16"/>
          <w:szCs w:val="16"/>
        </w:rPr>
      </w:pPr>
      <w:r w:rsidRPr="00405303">
        <w:rPr>
          <w:bCs/>
          <w:color w:val="002060"/>
          <w:sz w:val="16"/>
          <w:szCs w:val="16"/>
        </w:rPr>
        <w:t>В ноябре 1915 г. во 2-м армейском авиационном отряде, которым командовал Е. Н. Крутень, была испытана зажигательная бомба, изобретенная подполковником В. И. Горчинским. Ее металлический корпус имел в головной части утяжеление из 1000-1200 г. свинца. Бомба наполнялась бензином. Взрывателем, смонтированным по принципу артиллерийского, служил фосфористый терочный состав. Снаряд имел массу 4 кг, был снабжен стабилизатором. На самолет брали 12-16 таких бомб. Летчик Шебалин при опытах c6pосил их с высоты 200-250 м. Испытание показало падении глубоко уходит в грунт, бензин не paспыляется по поверхности, а быстро сгорает в воронке. В отряде пришли к следующему заключению: "Бомба вполне безопасна и имеет надежный воспламенитель, но требует развития горючего состава для снаряжения и изменения наружной формы, после чего необходимо произвести еще испытание" (18738).</w:t>
      </w:r>
    </w:p>
    <w:p w14:paraId="487C9F7B" w14:textId="77777777" w:rsidR="008B591E" w:rsidRPr="00405303" w:rsidRDefault="008B591E" w:rsidP="00C15251">
      <w:pPr>
        <w:jc w:val="both"/>
        <w:rPr>
          <w:bCs/>
          <w:color w:val="002060"/>
          <w:sz w:val="16"/>
          <w:szCs w:val="16"/>
        </w:rPr>
      </w:pPr>
    </w:p>
    <w:p w14:paraId="6FFF097F" w14:textId="77777777" w:rsidR="004B4E35" w:rsidRPr="00405303" w:rsidRDefault="009E6F82" w:rsidP="00C15251">
      <w:pPr>
        <w:jc w:val="both"/>
        <w:rPr>
          <w:bCs/>
          <w:color w:val="002060"/>
          <w:sz w:val="16"/>
          <w:szCs w:val="16"/>
        </w:rPr>
      </w:pPr>
      <w:r w:rsidRPr="00405303">
        <w:rPr>
          <w:bCs/>
          <w:color w:val="002060"/>
          <w:sz w:val="16"/>
          <w:szCs w:val="16"/>
        </w:rPr>
        <w:t>Широкое развитие в годы Первой мировой войны за счет нового заводского строительства получило авиастроение. Оно было представлено накануне войны восьмью самолетостроительными заводами и мастерскими, а также тремя авиамоторными предприятиями. Начавшаяся война очень скоро показала возможности применения авиации на фронте, что повлекло соответственно спрос на продукцию авиационных предприятий и быстрый рост требований к качеству самолетов и моторов.</w:t>
      </w:r>
    </w:p>
    <w:p w14:paraId="261C48D8" w14:textId="77777777" w:rsidR="004B4E35" w:rsidRPr="00405303" w:rsidRDefault="009E6F82" w:rsidP="00C15251">
      <w:pPr>
        <w:jc w:val="both"/>
        <w:rPr>
          <w:bCs/>
          <w:color w:val="002060"/>
          <w:sz w:val="16"/>
          <w:szCs w:val="16"/>
        </w:rPr>
      </w:pPr>
      <w:r w:rsidRPr="00405303">
        <w:rPr>
          <w:bCs/>
          <w:color w:val="002060"/>
          <w:sz w:val="16"/>
          <w:szCs w:val="16"/>
        </w:rPr>
        <w:lastRenderedPageBreak/>
        <w:t>В первый год войны заказы на авиаимущество русским заводам были очень невелики, соответственно незначительными являлись и их поставки самолетов и моторов. Заводы на свой страх и риск осуществляли попытки расширения производства и, конечно, вели разработку новых конструкций аппаратов и моторов. Определенное внимание было проявлено к увеличению производительности авиамоторных предприятий, так как это было наиболее узким местом отечественной авиационной промышленности, что повлекло громадные расходы военного ведомства по заказам моторов за рубежом и не менее сложную их последующую доставку. Уже в первые месяцы войны были приняты меры для расширения завода «Гном» в Москве; сооружения на новом месте эвакуированного из Риги в Москву завода «Мотор»; был устроен новый завод «Сальмсон»; заключено соглашение с акционерным обществом «Русский Рено» о постройке нового моторного завода; к работе по изготовлению запасных частей были привлечены еще 16 заводов и мастерских [РГВИА. Там же. Оп. 1. Д. 168. Л. 7.].</w:t>
      </w:r>
    </w:p>
    <w:p w14:paraId="26235C1D" w14:textId="77777777" w:rsidR="004B4E35" w:rsidRPr="00405303" w:rsidRDefault="009E6F82" w:rsidP="00C15251">
      <w:pPr>
        <w:jc w:val="both"/>
        <w:rPr>
          <w:bCs/>
          <w:color w:val="002060"/>
          <w:sz w:val="16"/>
          <w:szCs w:val="16"/>
        </w:rPr>
      </w:pPr>
      <w:r w:rsidRPr="00405303">
        <w:rPr>
          <w:bCs/>
          <w:color w:val="002060"/>
          <w:sz w:val="16"/>
          <w:szCs w:val="16"/>
        </w:rPr>
        <w:t>В мае 1915 г. была завершена выработка плана снабжения армии авиаимуществом на срок с 1 июня 1915 г. до 1 июня 1916 г. Заложенные в плане показатели обеспечения авиационных фронтовых отрядов различными типами самолетов и моторов к ним, а также возмещение их убыли предполагали распределение большей части заказов в России [Там же. Оп. 2. Д. 12. Л. 207-208об; Там же. Оп. 21. Д. 12. Л. 42.]. Регулярно проводимые учреждениями военного ведомства совещания по вопросам снабжения армии авиаимуществом стали важным фактором развития авиационной промышленности [См.: Материалы ноябрьского совещания 1915 г. (РГВИА. Ф. 493. Оп. 4. Д. 52. Л. 93-94об.); апрельского и майского совещаний 1916 г. (РГВИА, Ф. 493. Оп. 4. Д. 83. Л. 113-114, 229-232об.) и др.]. Принятые на них программы, или их корректировки на заключительном этапе обязательно рассматривались Особым совещанием по обороне.</w:t>
      </w:r>
    </w:p>
    <w:p w14:paraId="35918F9D" w14:textId="77777777" w:rsidR="004B4E35" w:rsidRPr="00405303" w:rsidRDefault="009E6F82" w:rsidP="00C15251">
      <w:pPr>
        <w:jc w:val="both"/>
        <w:rPr>
          <w:bCs/>
          <w:color w:val="002060"/>
          <w:sz w:val="16"/>
          <w:szCs w:val="16"/>
        </w:rPr>
      </w:pPr>
      <w:r w:rsidRPr="00405303">
        <w:rPr>
          <w:bCs/>
          <w:color w:val="002060"/>
          <w:sz w:val="16"/>
          <w:szCs w:val="16"/>
        </w:rPr>
        <w:t>На основе этих планов в течение 1915 - 1916 гг. Особое совещание вело широкую выдачу заказов различным авиационным предприятиям с одновременным предоставлением авансов и ссуд. В июле 1915 г. было привлечено к исполнению заказов всего два моторных и шесть самолетостроительных завода. Тогда как только в сентябре - декабре 1915 г. в подготовительной комиссии по общим вопросам Особого совещания было обсуждено более десятка дел, связанных с выдачей заказов, ссуд, авансов, пособий авиационным заводам [РГВИА. Ф. 369. Оп. 8. Д. 73. Л. 3-6об. Перечень по воздухоплавательно-авиационным вопросам, обсуждавшимся в Подготовительной комиссии по общим вопросам.]. И число рассматриваемых дел, и объемы, выдаваемых заказов, в 1916 г. значительно возросли.</w:t>
      </w:r>
    </w:p>
    <w:p w14:paraId="2C3F5407" w14:textId="77777777" w:rsidR="004B4E35" w:rsidRPr="00405303" w:rsidRDefault="009E6F82" w:rsidP="00C15251">
      <w:pPr>
        <w:jc w:val="both"/>
        <w:rPr>
          <w:bCs/>
          <w:color w:val="002060"/>
          <w:sz w:val="16"/>
          <w:szCs w:val="16"/>
        </w:rPr>
      </w:pPr>
      <w:r w:rsidRPr="00405303">
        <w:rPr>
          <w:bCs/>
          <w:color w:val="002060"/>
          <w:sz w:val="16"/>
          <w:szCs w:val="16"/>
        </w:rPr>
        <w:t>Уже с конца 1915 г. решения Особого совещания по обороне о выдаче заказов на авиационное имущество подразумевали, а часто прямо указывали на необходимость постройки нового завода или расширения старого. Недаром в отчете УВВФ за 1916 г. указывалось: «Принимавшиеся в 1916 г. меры к обеспечению авиации и воздухоплавания аэропланами, моторами и материалами шли, главным образом, по пути насаждения соответствующей отечественной промышленности, дабы в возможно большей степени освободиться от необходимости прибегать к услугам заграничной промышленности» [РГВИА. Ф. 493. Оп. 4. Д. 337. Л. 4.].</w:t>
      </w:r>
    </w:p>
    <w:p w14:paraId="148749CB" w14:textId="77777777" w:rsidR="004B4E35" w:rsidRPr="00405303" w:rsidRDefault="009E6F82" w:rsidP="00C15251">
      <w:pPr>
        <w:jc w:val="both"/>
        <w:rPr>
          <w:bCs/>
          <w:color w:val="002060"/>
          <w:sz w:val="16"/>
          <w:szCs w:val="16"/>
        </w:rPr>
      </w:pPr>
      <w:r w:rsidRPr="00405303">
        <w:rPr>
          <w:bCs/>
          <w:color w:val="002060"/>
          <w:sz w:val="16"/>
          <w:szCs w:val="16"/>
        </w:rPr>
        <w:t>Особую роль в расширении и налаживании работы отечественных авиационных предприятий сыграла созданная в июле 1916 г. подготовительная комиссия по авиационным вопросам Особого совещания по обороне, возглавлявшаяся И.В. Гурко. Комиссия занялась, прежде всего, выработкой программы отечественного авиастроения, включая развитие самолето- и моторостроительных заводов. До этого развитие авиационной промышленности шло в значительной мере стихийно, и организующим элементом были только программы снабжения армии авиаимуществом, которые определяли сумму заказов русским авиационным заводам. Программа развития авиационного дела в России обсуждалась на нескольких заседаниях подготовительной комиссии по авиационным вопросам в течение сентября - октября 1916 г. [РГВИА. Ф. 369. Оп. 8. Д. 74. Л. 1-17 об. Журнал авиационной комиссии от 8 и 19 сентября, 6, 12, 13, 19 и 24 октября 1916 г.]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мер, которые предлагались авиационной комиссией, были: создать возможности предприятиям использовать все имеющееся оборудование; увеличить оборудование действующих заводов; соорудить новые предприятия [Там же. Л. 8об.]. Решение первой задачи было сопряжено с 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аэроплановый и моторный заводы. Кроме того, в программе обращалось внимание на улучшение подготовки летных кадров и создание научного авиационного центра (так называемый Главный аэродром) [Там же. Л. 11об., 12-13.]. На заседании Особого совещания по обороне от 29 октября 1916 г. эта программа в целом была одобрена [Журналы Особого совещания по обороне государства. 1916 год. М., 1977. Вып. IV. С. 631-639.].</w:t>
      </w:r>
    </w:p>
    <w:p w14:paraId="25269B88" w14:textId="77777777" w:rsidR="004B4E35" w:rsidRPr="00405303" w:rsidRDefault="009E6F82" w:rsidP="00C15251">
      <w:pPr>
        <w:jc w:val="both"/>
        <w:rPr>
          <w:bCs/>
          <w:color w:val="002060"/>
          <w:sz w:val="16"/>
          <w:szCs w:val="16"/>
        </w:rPr>
      </w:pPr>
      <w:r w:rsidRPr="00405303">
        <w:rPr>
          <w:bCs/>
          <w:color w:val="002060"/>
          <w:sz w:val="16"/>
          <w:szCs w:val="16"/>
        </w:rPr>
        <w:t>Выдача казенных заказов и специальные меры поддержки отечественной промышленности, безусловно, стимулировали развитие производства и заводское строительство в области авиации. Если перед войной было всего 11 авиационных заводов и мастерских, то на начало 1917 г. в России насчитывалось 14 самолетостроительных предприятий, на которых было занято около 12 тыс. рабочих; производство авиационных двигателей было налажено на 7 заводах, насчитывающих около 3,5 тыс. рабочих. Таким образом, всего на 21 русском авиационном предприятии трудилось 15,5 тыс. рабочих [В число заводов не входят недостроенные предприятия. Количество заводов и численность рабочих установлены на основе подсчетов данных заводских совещаний и сведений УВВФ. РГВИА. Ф. 369. Оп. 1. Д. 471, 568; Там же. Оп. 8. Д. 43, 51; Там же. Оп. 21. Д. 145; Там же. Ф. 493. Оп. 9. Д. 493.]. Суммарная средняя производительность аэроплановых заводов в месяц в конце 1916 г. составляла 200 аппаратов (довоенная - 40), а моторных - около 100 двигателей (против 10-15 до войны) [РГВИА. Ф. 369. Оп. 8. Д. 74. Л. 18-18об.]. Попытаемся раскрыть эти обобщенные данные на материалах отдельных предприятий и истории их развития в 1915 - 1917 гг.</w:t>
      </w:r>
    </w:p>
    <w:p w14:paraId="55297F61" w14:textId="77777777" w:rsidR="004B4E35" w:rsidRPr="00405303" w:rsidRDefault="009E6F82" w:rsidP="00C15251">
      <w:pPr>
        <w:jc w:val="both"/>
        <w:rPr>
          <w:bCs/>
          <w:color w:val="002060"/>
          <w:sz w:val="16"/>
          <w:szCs w:val="16"/>
        </w:rPr>
      </w:pPr>
      <w:r w:rsidRPr="00405303">
        <w:rPr>
          <w:bCs/>
          <w:color w:val="002060"/>
          <w:sz w:val="16"/>
          <w:szCs w:val="16"/>
        </w:rPr>
        <w:t xml:space="preserve">В годы войны значительно расширились, используя прямую финансовую поддержку казны, предприятия акционерного общества воздухоплавания «В. А. Лебедев», учрежденного в 1913 г. одним из первых авиаторов России. Обществу первоначально принадлежало два завода в Петербурге - самолетостроительный и завод по производству воздушных винтов «Интеграл».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 [Там же. Ф. 493. Оп. 9. Д. 56. Л. 200.] В 1916 г. на самолетостроительном заводе имелись деревообделочный, механический, слесарный, сварочный, сборочный, малярный, сушильный цеха, столярная мастерская. В них трудилось около 1500 рабочих.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иностранных марок (Вуазен, Моран-Солье, Депердюссен) с применением двигателя «Сальмсон». Производительность завода к середине 1917 г. достигла 40-50 аппаратов в месяц (против 10 до войны) [Там же. Ф. 369. Оп. 8. Д. 74. Л. 18.], однако и при этом общество имело задолженность по выполнению контрактов. </w:t>
      </w:r>
    </w:p>
    <w:p w14:paraId="34089750" w14:textId="77777777" w:rsidR="004B4E35" w:rsidRPr="00405303" w:rsidRDefault="009E6F82" w:rsidP="00C15251">
      <w:pPr>
        <w:jc w:val="both"/>
        <w:rPr>
          <w:bCs/>
          <w:color w:val="002060"/>
          <w:sz w:val="16"/>
          <w:szCs w:val="16"/>
        </w:rPr>
      </w:pPr>
      <w:r w:rsidRPr="00405303">
        <w:rPr>
          <w:bCs/>
          <w:color w:val="002060"/>
          <w:sz w:val="16"/>
          <w:szCs w:val="16"/>
        </w:rPr>
        <w:t>Еще в 1915 г. встал вопрос о более существенном расширении предприятия, но имеющаяся территория в Петрограде этого не позволяла. Осенью того же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[Там же. Ф. 493. Оп. 9. Д. 56.].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м2. Экономический кризис 1917 г. не позволил полностью закончить строительство и особенно оборудование новых филиалов. Наиболее законченный из них, Таганрогский стал впоследствии основой крупнейшего авиационного завода им. Димитрова.</w:t>
      </w:r>
    </w:p>
    <w:p w14:paraId="48A1A131" w14:textId="77777777" w:rsidR="004B4E35" w:rsidRPr="00405303" w:rsidRDefault="009E6F82" w:rsidP="00C15251">
      <w:pPr>
        <w:jc w:val="both"/>
        <w:rPr>
          <w:bCs/>
          <w:color w:val="002060"/>
          <w:sz w:val="16"/>
          <w:szCs w:val="16"/>
        </w:rPr>
      </w:pPr>
      <w:r w:rsidRPr="00405303">
        <w:rPr>
          <w:bCs/>
          <w:color w:val="002060"/>
          <w:sz w:val="16"/>
          <w:szCs w:val="16"/>
        </w:rPr>
        <w:t xml:space="preserve">К числу первых самолетостроительных предприятий в России относился завод акционерного общества «Дукс», учрежденного в 1900 г. по инициативе Ю.А. Меллера. 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w:t>
      </w:r>
      <w:r w:rsidRPr="00405303">
        <w:rPr>
          <w:bCs/>
          <w:color w:val="002060"/>
          <w:sz w:val="16"/>
          <w:szCs w:val="16"/>
        </w:rPr>
        <w:lastRenderedPageBreak/>
        <w:t>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w:t>
      </w:r>
    </w:p>
    <w:p w14:paraId="7BB1B96D" w14:textId="184C2173" w:rsidR="004B4E35" w:rsidRPr="00405303" w:rsidRDefault="009E6F82" w:rsidP="00C15251">
      <w:pPr>
        <w:jc w:val="both"/>
        <w:rPr>
          <w:bCs/>
          <w:color w:val="002060"/>
          <w:sz w:val="16"/>
          <w:szCs w:val="16"/>
        </w:rPr>
      </w:pPr>
      <w:r w:rsidRPr="00405303">
        <w:rPr>
          <w:bCs/>
          <w:color w:val="002060"/>
          <w:sz w:val="16"/>
          <w:szCs w:val="16"/>
        </w:rPr>
        <w:t>Контракты, заключенные заводом в 1916 г., потребовали его дальнейшего расширения. К концу года на предприятии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w:t>
      </w:r>
    </w:p>
    <w:p w14:paraId="3BABFD43" w14:textId="77777777" w:rsidR="004E27A5" w:rsidRPr="00405303" w:rsidRDefault="004E27A5" w:rsidP="00C15251">
      <w:pPr>
        <w:jc w:val="both"/>
        <w:rPr>
          <w:bCs/>
          <w:color w:val="002060"/>
          <w:sz w:val="16"/>
          <w:szCs w:val="16"/>
        </w:rPr>
      </w:pPr>
    </w:p>
    <w:p w14:paraId="3730B760" w14:textId="51A6EA6B" w:rsidR="004B4E35" w:rsidRPr="00405303" w:rsidRDefault="004E27A5" w:rsidP="00C15251">
      <w:pPr>
        <w:jc w:val="both"/>
        <w:rPr>
          <w:bCs/>
          <w:color w:val="002060"/>
          <w:sz w:val="16"/>
          <w:szCs w:val="16"/>
        </w:rPr>
      </w:pPr>
      <w:r w:rsidRPr="00405303">
        <w:rPr>
          <w:bCs/>
          <w:color w:val="002060"/>
          <w:sz w:val="16"/>
          <w:szCs w:val="16"/>
        </w:rPr>
        <w:t>В ноябре 1915 г. и</w:t>
      </w:r>
      <w:r w:rsidR="009E6F82" w:rsidRPr="00405303">
        <w:rPr>
          <w:bCs/>
          <w:color w:val="002060"/>
          <w:sz w:val="16"/>
          <w:szCs w:val="16"/>
        </w:rPr>
        <w:t>звестный своими достижениями в области гидроавиации Петроградский завод Товарищества С.С. Щетинина на основании решения Особого совещания по обороне (ноябрь 1915 г.)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предприятие в 1917 г. получило заказ военного ведомства на поставку 180 «Спадов», его выполнение не началось, так как не прибыло оборудование, заказанное в США [Там же. Ф. 493. Оп. 4. Д. 51. Л. 3; Там же. Оп. 9. Д. 41. Л. 14об., 16об.]</w:t>
      </w:r>
      <w:r w:rsidRPr="00405303">
        <w:rPr>
          <w:bCs/>
          <w:color w:val="002060"/>
          <w:sz w:val="16"/>
          <w:szCs w:val="16"/>
        </w:rPr>
        <w:t xml:space="preserve"> </w:t>
      </w:r>
      <w:r w:rsidR="009E6F82" w:rsidRPr="00405303">
        <w:rPr>
          <w:bCs/>
          <w:color w:val="002060"/>
          <w:sz w:val="16"/>
          <w:szCs w:val="16"/>
        </w:rPr>
        <w:t>(11863).</w:t>
      </w:r>
    </w:p>
    <w:p w14:paraId="62F7BFA8" w14:textId="77777777" w:rsidR="004B4E35" w:rsidRPr="00405303" w:rsidRDefault="004B4E35" w:rsidP="00C15251">
      <w:pPr>
        <w:jc w:val="both"/>
        <w:rPr>
          <w:bCs/>
          <w:color w:val="002060"/>
          <w:sz w:val="16"/>
          <w:szCs w:val="16"/>
        </w:rPr>
      </w:pPr>
    </w:p>
    <w:p w14:paraId="55806B71" w14:textId="77777777" w:rsidR="004B4E35" w:rsidRPr="00405303" w:rsidRDefault="009E6F82" w:rsidP="00C15251">
      <w:pPr>
        <w:jc w:val="both"/>
        <w:rPr>
          <w:bCs/>
          <w:color w:val="002060"/>
          <w:sz w:val="16"/>
          <w:szCs w:val="16"/>
        </w:rPr>
      </w:pPr>
      <w:r w:rsidRPr="00405303">
        <w:rPr>
          <w:bCs/>
          <w:color w:val="002060"/>
          <w:sz w:val="16"/>
          <w:szCs w:val="16"/>
        </w:rPr>
        <w:t>В ноябре 1915 года по распоряжению М.В. Шидловского завод приступил "в плане опыта" к изготовлению пониженных ферм моторных установок под моторы "Санбим" и уширенных крыльев к аппаратам с №№ 180, 181 и 182. В ожидании результатов испытаний, были совершенно приостановлены работы по сборке остальных "Муромцев" (№№ 183-196).</w:t>
      </w:r>
    </w:p>
    <w:p w14:paraId="3AA6BEF8" w14:textId="77777777" w:rsidR="004B4E35" w:rsidRPr="00405303" w:rsidRDefault="009E6F82" w:rsidP="00C15251">
      <w:pPr>
        <w:jc w:val="both"/>
        <w:rPr>
          <w:bCs/>
          <w:color w:val="002060"/>
          <w:sz w:val="16"/>
          <w:szCs w:val="16"/>
        </w:rPr>
      </w:pPr>
      <w:r w:rsidRPr="00405303">
        <w:rPr>
          <w:bCs/>
          <w:color w:val="002060"/>
          <w:sz w:val="16"/>
          <w:szCs w:val="16"/>
        </w:rPr>
        <w:t>Понижение ферм моторных установок, по мнению И.И. Сикорского, давало следующие преимущества:</w:t>
      </w:r>
    </w:p>
    <w:p w14:paraId="29F8FFAB" w14:textId="77777777" w:rsidR="004B4E35" w:rsidRPr="00405303" w:rsidRDefault="009E6F82" w:rsidP="00C15251">
      <w:pPr>
        <w:jc w:val="both"/>
        <w:rPr>
          <w:bCs/>
          <w:color w:val="002060"/>
          <w:sz w:val="16"/>
          <w:szCs w:val="16"/>
        </w:rPr>
      </w:pPr>
      <w:r w:rsidRPr="00405303">
        <w:rPr>
          <w:bCs/>
          <w:color w:val="002060"/>
          <w:sz w:val="16"/>
          <w:szCs w:val="16"/>
        </w:rPr>
        <w:t>1) уменьшение лобового сопротивления аппарата, так как радиаторы при этом приближаются к оси мотора на 60 мм;</w:t>
      </w:r>
    </w:p>
    <w:p w14:paraId="50751937" w14:textId="77777777" w:rsidR="004B4E35" w:rsidRPr="00405303" w:rsidRDefault="009E6F82" w:rsidP="00C15251">
      <w:pPr>
        <w:jc w:val="both"/>
        <w:rPr>
          <w:bCs/>
          <w:color w:val="002060"/>
          <w:sz w:val="16"/>
          <w:szCs w:val="16"/>
        </w:rPr>
      </w:pPr>
      <w:r w:rsidRPr="00405303">
        <w:rPr>
          <w:bCs/>
          <w:color w:val="002060"/>
          <w:sz w:val="16"/>
          <w:szCs w:val="16"/>
        </w:rPr>
        <w:t>2) увеличение коэффициента отдачи винтов, так как приближение радиаторов к осям моторов и "обнажение" рабочих частей лопастей винтов улучшают условия работы последних, и</w:t>
      </w:r>
    </w:p>
    <w:p w14:paraId="37552182" w14:textId="77777777" w:rsidR="004B4E35" w:rsidRPr="00405303" w:rsidRDefault="009E6F82" w:rsidP="00C15251">
      <w:pPr>
        <w:jc w:val="both"/>
        <w:rPr>
          <w:bCs/>
          <w:color w:val="002060"/>
          <w:sz w:val="16"/>
          <w:szCs w:val="16"/>
        </w:rPr>
      </w:pPr>
      <w:r w:rsidRPr="00405303">
        <w:rPr>
          <w:bCs/>
          <w:color w:val="002060"/>
          <w:sz w:val="16"/>
          <w:szCs w:val="16"/>
        </w:rPr>
        <w:t>3) уменьшение веса четырёх ферм, приблизительно на 2 пуда, за счёт чего может быть увеличена полезная нагрузка аппарата.</w:t>
      </w:r>
    </w:p>
    <w:p w14:paraId="57F3397D" w14:textId="77777777" w:rsidR="004B4E35" w:rsidRPr="00405303" w:rsidRDefault="009E6F82" w:rsidP="00C15251">
      <w:pPr>
        <w:jc w:val="both"/>
        <w:rPr>
          <w:bCs/>
          <w:color w:val="002060"/>
          <w:sz w:val="16"/>
          <w:szCs w:val="16"/>
        </w:rPr>
      </w:pPr>
      <w:r w:rsidRPr="00405303">
        <w:rPr>
          <w:bCs/>
          <w:color w:val="002060"/>
          <w:sz w:val="16"/>
          <w:szCs w:val="16"/>
        </w:rPr>
        <w:t>Результатом же уширения верхнего плана "Илья Муромец" тип Г-1 (нервюра нового плана стала длиннее на 750 мм по сравнению с прежней, стрелка прогиба нервюры составила 1/24 хорды вместо 1/22) должно было стать увеличение подъёмной силы аппарата на 15-20 пудов (244.5-326 кг) при прежней мощности моторов и при сохранении первоначальной скорости горизонтального полёта.</w:t>
      </w:r>
    </w:p>
    <w:p w14:paraId="28F15245" w14:textId="77777777" w:rsidR="004B4E35" w:rsidRPr="00405303" w:rsidRDefault="009E6F82" w:rsidP="00C15251">
      <w:pPr>
        <w:jc w:val="both"/>
        <w:rPr>
          <w:bCs/>
          <w:color w:val="002060"/>
          <w:sz w:val="16"/>
          <w:szCs w:val="16"/>
        </w:rPr>
      </w:pPr>
      <w:r w:rsidRPr="00405303">
        <w:rPr>
          <w:bCs/>
          <w:color w:val="002060"/>
          <w:sz w:val="16"/>
          <w:szCs w:val="16"/>
        </w:rPr>
        <w:t>Так возникла модификация Г. Оставшиеся на заводе недостроенные корабли модификации В были постепенно переделаны в модификацию Г. Первая серия машин получила обозначение Г-1. Всего было выпушено порядка 20 самолётов модификации В.</w:t>
      </w:r>
    </w:p>
    <w:p w14:paraId="4CEDDD15" w14:textId="77777777" w:rsidR="004B4E35" w:rsidRPr="00405303" w:rsidRDefault="009E6F82" w:rsidP="00C15251">
      <w:pPr>
        <w:jc w:val="both"/>
        <w:rPr>
          <w:bCs/>
          <w:color w:val="002060"/>
          <w:sz w:val="16"/>
          <w:szCs w:val="16"/>
        </w:rPr>
      </w:pPr>
      <w:r w:rsidRPr="00405303">
        <w:rPr>
          <w:bCs/>
          <w:color w:val="002060"/>
          <w:sz w:val="16"/>
          <w:szCs w:val="16"/>
        </w:rPr>
        <w:t xml:space="preserve">Переделка и </w:t>
      </w:r>
      <w:proofErr w:type="gramStart"/>
      <w:r w:rsidRPr="00405303">
        <w:rPr>
          <w:bCs/>
          <w:color w:val="002060"/>
          <w:sz w:val="16"/>
          <w:szCs w:val="16"/>
        </w:rPr>
        <w:t>испытания</w:t>
      </w:r>
      <w:proofErr w:type="gramEnd"/>
      <w:r w:rsidRPr="00405303">
        <w:rPr>
          <w:bCs/>
          <w:color w:val="002060"/>
          <w:sz w:val="16"/>
          <w:szCs w:val="16"/>
        </w:rPr>
        <w:t xml:space="preserve"> переделанного №180 привели к образованию очередного "окна" в производственной программе. В итоге окончание работ по контракту на 32 машины было сдвинуто на январь 1916 года.</w:t>
      </w:r>
    </w:p>
    <w:p w14:paraId="5C475B6C" w14:textId="77777777" w:rsidR="004B4E35" w:rsidRPr="00405303" w:rsidRDefault="009E6F82" w:rsidP="00C15251">
      <w:pPr>
        <w:jc w:val="both"/>
        <w:rPr>
          <w:bCs/>
          <w:color w:val="002060"/>
          <w:sz w:val="16"/>
          <w:szCs w:val="16"/>
        </w:rPr>
      </w:pPr>
      <w:r w:rsidRPr="00405303">
        <w:rPr>
          <w:bCs/>
          <w:color w:val="002060"/>
          <w:sz w:val="16"/>
          <w:szCs w:val="16"/>
        </w:rPr>
        <w:t>Инженерный приёмшик ГВТУ военный лётчик капитан Шимкевич в своём докладе указывал на недостатки завода и медлительность при исполнении контракта на 32 корабля. Среди веских причин он называл отсутствие на рынке некоторых материалов, необходимых для постройки аппаратов и задержку получения таковых, заказанных за границей, а также недостаточную планомерность в своевременной заготовке сборочных материалов, приобретаемых покупкой на стороне, болтов, тросов, проволоки, шплинтов, замков, шайб, коушей и прочих металлических деталей аппаратов, изготовляемых в заводских мастерских (стаканчики, узловые соединения планов, фюзеляжа, оси, колеса). Шимкевич сетовал на отсутствие должного соотношения в размерах выпуска, а потому и согласованности в работе разных цехов, так например: работы столярного и обойного цехов закончены почти полностью на все 32 аппарата, тогда как слесарный едва успевает удовлетворять текущей потребности даже при столь пониженной производительности завода (3 аппарата в месяц). Ешё он указывал на полную зависимость всей деятельности завода от распоряжения начальника ЭВК.</w:t>
      </w:r>
    </w:p>
    <w:p w14:paraId="388B348C" w14:textId="77777777" w:rsidR="004B4E35" w:rsidRPr="00405303" w:rsidRDefault="009E6F82" w:rsidP="00C15251">
      <w:pPr>
        <w:jc w:val="both"/>
        <w:rPr>
          <w:bCs/>
          <w:color w:val="002060"/>
          <w:sz w:val="16"/>
          <w:szCs w:val="16"/>
        </w:rPr>
      </w:pPr>
      <w:r w:rsidRPr="00405303">
        <w:rPr>
          <w:bCs/>
          <w:color w:val="002060"/>
          <w:sz w:val="16"/>
          <w:szCs w:val="16"/>
        </w:rPr>
        <w:t>Что же представлял из себя "Илья Муромец" модификации Г-1? Практически это тип Г-1 с N9192, был тот же "тупоносый" тип В, но с "пониженными" фермами двигателей и уширенным верхним крылом. Фюзеляж, оперение, шасси, приборное и пилотажное оборудование остались прежними (12041).</w:t>
      </w:r>
    </w:p>
    <w:p w14:paraId="4F6BB16E" w14:textId="77777777" w:rsidR="004B4E35" w:rsidRPr="00405303" w:rsidRDefault="004B4E35" w:rsidP="00C15251">
      <w:pPr>
        <w:jc w:val="both"/>
        <w:rPr>
          <w:bCs/>
          <w:color w:val="002060"/>
          <w:sz w:val="16"/>
          <w:szCs w:val="16"/>
        </w:rPr>
      </w:pPr>
    </w:p>
    <w:p w14:paraId="41E4EEA0" w14:textId="38220A44" w:rsidR="004B4E35" w:rsidRPr="00405303" w:rsidRDefault="009E6F82" w:rsidP="00C15251">
      <w:pPr>
        <w:jc w:val="both"/>
        <w:rPr>
          <w:bCs/>
          <w:color w:val="002060"/>
          <w:sz w:val="16"/>
          <w:szCs w:val="16"/>
        </w:rPr>
      </w:pPr>
      <w:r w:rsidRPr="00405303">
        <w:rPr>
          <w:bCs/>
          <w:color w:val="002060"/>
          <w:sz w:val="16"/>
          <w:szCs w:val="16"/>
        </w:rPr>
        <w:t xml:space="preserve">В ноябре </w:t>
      </w:r>
      <w:r w:rsidR="004E27A5" w:rsidRPr="00405303">
        <w:rPr>
          <w:bCs/>
          <w:color w:val="002060"/>
          <w:sz w:val="16"/>
          <w:szCs w:val="16"/>
        </w:rPr>
        <w:t xml:space="preserve">1915 </w:t>
      </w:r>
      <w:r w:rsidRPr="00405303">
        <w:rPr>
          <w:bCs/>
          <w:color w:val="002060"/>
          <w:sz w:val="16"/>
          <w:szCs w:val="16"/>
        </w:rPr>
        <w:t xml:space="preserve">года </w:t>
      </w:r>
      <w:r w:rsidR="004E27A5" w:rsidRPr="00405303">
        <w:rPr>
          <w:bCs/>
          <w:color w:val="002060"/>
          <w:sz w:val="16"/>
          <w:szCs w:val="16"/>
        </w:rPr>
        <w:t xml:space="preserve">М-2 (Щ-2) и М-3 (Щ-3), которые использовались на 3-й станции в качестве учебных машин, </w:t>
      </w:r>
      <w:r w:rsidRPr="00405303">
        <w:rPr>
          <w:bCs/>
          <w:color w:val="002060"/>
          <w:sz w:val="16"/>
          <w:szCs w:val="16"/>
        </w:rPr>
        <w:t>списали.</w:t>
      </w:r>
    </w:p>
    <w:p w14:paraId="06A35701" w14:textId="77777777" w:rsidR="004B4E35" w:rsidRPr="00405303" w:rsidRDefault="009E6F82" w:rsidP="00C15251">
      <w:pPr>
        <w:jc w:val="both"/>
        <w:rPr>
          <w:bCs/>
          <w:color w:val="002060"/>
          <w:sz w:val="16"/>
          <w:szCs w:val="16"/>
        </w:rPr>
      </w:pPr>
      <w:r w:rsidRPr="00405303">
        <w:rPr>
          <w:bCs/>
          <w:color w:val="002060"/>
          <w:sz w:val="16"/>
          <w:szCs w:val="16"/>
        </w:rPr>
        <w:t>На Черном море летом 1914 г. еще царила довольно благодушная обстановка. Казалось, война далеко, а время для реорганизаций еще есть. В сентябре морская авиация Черноморского флота насчитывала всего шесть боевых машин. По-ложение резко изменилось в октябре, когда после набега немецких крейсеров "Гебен"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434D83E6" w14:textId="77777777" w:rsidR="004B4E35" w:rsidRPr="00405303" w:rsidRDefault="009E6F82" w:rsidP="00C15251">
      <w:pPr>
        <w:jc w:val="both"/>
        <w:rPr>
          <w:bCs/>
          <w:color w:val="002060"/>
          <w:sz w:val="16"/>
          <w:szCs w:val="16"/>
        </w:rPr>
      </w:pPr>
      <w:r w:rsidRPr="00405303">
        <w:rPr>
          <w:bCs/>
          <w:color w:val="002060"/>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0FC9F3C9" w14:textId="068E53E4" w:rsidR="004B4E35" w:rsidRPr="00405303" w:rsidRDefault="009E6F82" w:rsidP="00C15251">
      <w:pPr>
        <w:jc w:val="both"/>
        <w:rPr>
          <w:bCs/>
          <w:color w:val="002060"/>
          <w:sz w:val="16"/>
          <w:szCs w:val="16"/>
        </w:rPr>
      </w:pPr>
      <w:r w:rsidRPr="00405303">
        <w:rPr>
          <w:bCs/>
          <w:color w:val="002060"/>
          <w:sz w:val="16"/>
          <w:szCs w:val="16"/>
        </w:rPr>
        <w:t xml:space="preserve">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"Кертисс" (СигН$$)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w:t>
      </w:r>
      <w:proofErr w:type="gramStart"/>
      <w:r w:rsidRPr="00405303">
        <w:rPr>
          <w:bCs/>
          <w:color w:val="002060"/>
          <w:sz w:val="16"/>
          <w:szCs w:val="16"/>
        </w:rPr>
        <w:t>ис-пользовании</w:t>
      </w:r>
      <w:proofErr w:type="gramEnd"/>
      <w:r w:rsidRPr="00405303">
        <w:rPr>
          <w:bCs/>
          <w:color w:val="002060"/>
          <w:sz w:val="16"/>
          <w:szCs w:val="16"/>
        </w:rPr>
        <w:t xml:space="preserve"> летающих лодок Щетинина-Григоровича, позволило вполне уверенно продолжать строительство следующих гидросамолетов (12083).</w:t>
      </w:r>
    </w:p>
    <w:p w14:paraId="519A28B4" w14:textId="77777777" w:rsidR="004B4E35" w:rsidRPr="00405303" w:rsidRDefault="004B4E35" w:rsidP="00C15251">
      <w:pPr>
        <w:jc w:val="both"/>
        <w:rPr>
          <w:bCs/>
          <w:color w:val="002060"/>
          <w:sz w:val="16"/>
          <w:szCs w:val="16"/>
        </w:rPr>
      </w:pPr>
    </w:p>
    <w:p w14:paraId="58500049" w14:textId="05A0FCAA" w:rsidR="003532AF" w:rsidRPr="00405303" w:rsidRDefault="003532AF" w:rsidP="00C15251">
      <w:pPr>
        <w:jc w:val="both"/>
        <w:rPr>
          <w:bCs/>
          <w:color w:val="002060"/>
          <w:sz w:val="16"/>
          <w:szCs w:val="16"/>
        </w:rPr>
      </w:pPr>
      <w:r w:rsidRPr="00405303">
        <w:rPr>
          <w:bCs/>
          <w:color w:val="002060"/>
          <w:sz w:val="16"/>
          <w:szCs w:val="16"/>
        </w:rPr>
        <w:t xml:space="preserve">С ноября 1915 г. на отдельных экземплярах </w:t>
      </w:r>
      <w:r w:rsidR="004E27A5" w:rsidRPr="00405303">
        <w:rPr>
          <w:bCs/>
          <w:color w:val="002060"/>
          <w:sz w:val="16"/>
          <w:szCs w:val="16"/>
        </w:rPr>
        <w:t xml:space="preserve">М-5 </w:t>
      </w:r>
      <w:r w:rsidRPr="00405303">
        <w:rPr>
          <w:bCs/>
          <w:color w:val="002060"/>
          <w:sz w:val="16"/>
          <w:szCs w:val="16"/>
        </w:rPr>
        <w:t>устанавливали радиотелеграфные станции с дальностью связи свыше 40 км и фотоаппа</w:t>
      </w:r>
      <w:r w:rsidRPr="00405303">
        <w:rPr>
          <w:bCs/>
          <w:color w:val="002060"/>
          <w:sz w:val="16"/>
          <w:szCs w:val="16"/>
        </w:rPr>
        <w:softHyphen/>
        <w:t>раты «Потте».</w:t>
      </w:r>
    </w:p>
    <w:p w14:paraId="1027E197" w14:textId="77777777" w:rsidR="003532AF" w:rsidRPr="00405303" w:rsidRDefault="003532AF" w:rsidP="00C15251">
      <w:pPr>
        <w:jc w:val="both"/>
        <w:rPr>
          <w:bCs/>
          <w:color w:val="002060"/>
          <w:sz w:val="16"/>
          <w:szCs w:val="16"/>
        </w:rPr>
      </w:pPr>
      <w:r w:rsidRPr="00405303">
        <w:rPr>
          <w:bCs/>
          <w:color w:val="002060"/>
          <w:sz w:val="16"/>
          <w:szCs w:val="16"/>
        </w:rPr>
        <w:t>Черноморские М-5 базировались в Севас- -ополе (1-й и 2-й отряды Воздушной диви</w:t>
      </w:r>
      <w:r w:rsidRPr="00405303">
        <w:rPr>
          <w:rStyle w:val="aa"/>
          <w:rFonts w:ascii="Times New Roman" w:eastAsia="SimSun" w:hAnsi="Times New Roman"/>
          <w:bCs/>
          <w:color w:val="002060"/>
          <w:spacing w:val="0"/>
          <w:sz w:val="16"/>
          <w:szCs w:val="16"/>
        </w:rPr>
        <w:t xml:space="preserve"> зии), Одессе и Батуме (Кавказский фронт). Кроме этого, часть аппаратов была приписа</w:t>
      </w:r>
      <w:r w:rsidRPr="00405303">
        <w:rPr>
          <w:rStyle w:val="aa"/>
          <w:rFonts w:ascii="Times New Roman" w:eastAsia="SimSun" w:hAnsi="Times New Roman"/>
          <w:bCs/>
          <w:color w:val="002060"/>
          <w:spacing w:val="0"/>
          <w:sz w:val="16"/>
          <w:szCs w:val="16"/>
        </w:rPr>
        <w:softHyphen/>
        <w:t>на к 1, 2, 3-му корабельным авиаотрядам на гидрокрейсерах «Александр I» и «Николай I». В начале 1918 г. практически все черномор</w:t>
      </w:r>
      <w:r w:rsidRPr="00405303">
        <w:rPr>
          <w:rStyle w:val="aa"/>
          <w:rFonts w:ascii="Times New Roman" w:eastAsia="SimSun" w:hAnsi="Times New Roman"/>
          <w:bCs/>
          <w:color w:val="002060"/>
          <w:spacing w:val="0"/>
          <w:sz w:val="16"/>
          <w:szCs w:val="16"/>
        </w:rPr>
        <w:softHyphen/>
        <w:t>ские М-5 оказались в зоне белого движения и австрийской оккупации. В летном состоя</w:t>
      </w:r>
      <w:r w:rsidRPr="00405303">
        <w:rPr>
          <w:rStyle w:val="aa"/>
          <w:rFonts w:ascii="Times New Roman" w:eastAsia="SimSun" w:hAnsi="Times New Roman"/>
          <w:bCs/>
          <w:color w:val="002060"/>
          <w:spacing w:val="0"/>
          <w:sz w:val="16"/>
          <w:szCs w:val="16"/>
        </w:rPr>
        <w:softHyphen/>
        <w:t>нии оставались лишь единичные экземпля</w:t>
      </w:r>
      <w:r w:rsidRPr="00405303">
        <w:rPr>
          <w:rStyle w:val="aa"/>
          <w:rFonts w:ascii="Times New Roman" w:eastAsia="SimSun" w:hAnsi="Times New Roman"/>
          <w:bCs/>
          <w:color w:val="002060"/>
          <w:spacing w:val="0"/>
          <w:sz w:val="16"/>
          <w:szCs w:val="16"/>
        </w:rPr>
        <w:softHyphen/>
        <w:t>ры, которые просуществовали до 1919-20 гг.</w:t>
      </w:r>
    </w:p>
    <w:p w14:paraId="65061500" w14:textId="77777777" w:rsidR="003532AF" w:rsidRPr="00405303" w:rsidRDefault="003532AF" w:rsidP="00C15251">
      <w:pPr>
        <w:pStyle w:val="110"/>
        <w:shd w:val="clear" w:color="auto" w:fill="auto"/>
        <w:spacing w:line="240" w:lineRule="auto"/>
        <w:jc w:val="both"/>
        <w:rPr>
          <w:rFonts w:ascii="Times New Roman" w:hAnsi="Times New Roman"/>
          <w:bCs/>
          <w:color w:val="002060"/>
          <w:sz w:val="16"/>
          <w:szCs w:val="16"/>
        </w:rPr>
      </w:pPr>
      <w:r w:rsidRPr="00405303">
        <w:rPr>
          <w:rFonts w:ascii="Times New Roman" w:hAnsi="Times New Roman"/>
          <w:bCs/>
          <w:color w:val="002060"/>
          <w:sz w:val="16"/>
          <w:szCs w:val="16"/>
        </w:rPr>
        <w:t>Летные и технические характеристики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84"/>
        <w:gridCol w:w="8333"/>
      </w:tblGrid>
      <w:tr w:rsidR="003532AF" w:rsidRPr="00405303" w14:paraId="73805431" w14:textId="77777777" w:rsidTr="00F11369">
        <w:tc>
          <w:tcPr>
            <w:tcW w:w="3184" w:type="dxa"/>
          </w:tcPr>
          <w:p w14:paraId="35609537" w14:textId="77777777" w:rsidR="003532AF" w:rsidRPr="00405303" w:rsidRDefault="003532AF" w:rsidP="00C15251">
            <w:pPr>
              <w:jc w:val="both"/>
              <w:rPr>
                <w:bCs/>
                <w:color w:val="002060"/>
                <w:sz w:val="16"/>
                <w:szCs w:val="16"/>
              </w:rPr>
            </w:pPr>
            <w:r w:rsidRPr="00405303">
              <w:rPr>
                <w:bCs/>
                <w:color w:val="002060"/>
                <w:sz w:val="16"/>
                <w:szCs w:val="16"/>
              </w:rPr>
              <w:t>Размах верхнего крыла (м)</w:t>
            </w:r>
          </w:p>
        </w:tc>
        <w:tc>
          <w:tcPr>
            <w:tcW w:w="8333" w:type="dxa"/>
          </w:tcPr>
          <w:p w14:paraId="55492E41" w14:textId="77777777" w:rsidR="003532AF" w:rsidRPr="00405303" w:rsidRDefault="003532AF" w:rsidP="00C15251">
            <w:pPr>
              <w:jc w:val="both"/>
              <w:rPr>
                <w:bCs/>
                <w:color w:val="002060"/>
                <w:sz w:val="16"/>
                <w:szCs w:val="16"/>
              </w:rPr>
            </w:pPr>
            <w:r w:rsidRPr="00405303">
              <w:rPr>
                <w:bCs/>
                <w:color w:val="002060"/>
                <w:sz w:val="16"/>
                <w:szCs w:val="16"/>
              </w:rPr>
              <w:t>13,50 (13,62*)</w:t>
            </w:r>
          </w:p>
        </w:tc>
      </w:tr>
      <w:tr w:rsidR="003532AF" w:rsidRPr="00405303" w14:paraId="43A1911D" w14:textId="77777777" w:rsidTr="00F11369">
        <w:tc>
          <w:tcPr>
            <w:tcW w:w="3184" w:type="dxa"/>
          </w:tcPr>
          <w:p w14:paraId="1D2AE12D" w14:textId="77777777" w:rsidR="003532AF" w:rsidRPr="00405303" w:rsidRDefault="003532AF" w:rsidP="00C15251">
            <w:pPr>
              <w:jc w:val="both"/>
              <w:rPr>
                <w:bCs/>
                <w:color w:val="002060"/>
                <w:sz w:val="16"/>
                <w:szCs w:val="16"/>
              </w:rPr>
            </w:pPr>
            <w:r w:rsidRPr="00405303">
              <w:rPr>
                <w:bCs/>
                <w:color w:val="002060"/>
                <w:sz w:val="16"/>
                <w:szCs w:val="16"/>
              </w:rPr>
              <w:lastRenderedPageBreak/>
              <w:t>Длина в линии полета (м)</w:t>
            </w:r>
          </w:p>
        </w:tc>
        <w:tc>
          <w:tcPr>
            <w:tcW w:w="8333" w:type="dxa"/>
          </w:tcPr>
          <w:p w14:paraId="110D3B1D" w14:textId="77777777" w:rsidR="003532AF" w:rsidRPr="00405303" w:rsidRDefault="003532AF" w:rsidP="00C15251">
            <w:pPr>
              <w:jc w:val="both"/>
              <w:rPr>
                <w:bCs/>
                <w:color w:val="002060"/>
                <w:sz w:val="16"/>
                <w:szCs w:val="16"/>
              </w:rPr>
            </w:pPr>
            <w:r w:rsidRPr="00405303">
              <w:rPr>
                <w:bCs/>
                <w:color w:val="002060"/>
                <w:sz w:val="16"/>
                <w:szCs w:val="16"/>
              </w:rPr>
              <w:t>8,21(8,62*)</w:t>
            </w:r>
          </w:p>
        </w:tc>
      </w:tr>
      <w:tr w:rsidR="003532AF" w:rsidRPr="00405303" w14:paraId="24D8667A" w14:textId="77777777" w:rsidTr="00F11369">
        <w:tc>
          <w:tcPr>
            <w:tcW w:w="3184" w:type="dxa"/>
          </w:tcPr>
          <w:p w14:paraId="2848ED9D" w14:textId="77777777" w:rsidR="003532AF" w:rsidRPr="00405303" w:rsidRDefault="003532AF" w:rsidP="00C15251">
            <w:pPr>
              <w:jc w:val="both"/>
              <w:rPr>
                <w:bCs/>
                <w:color w:val="002060"/>
                <w:sz w:val="16"/>
                <w:szCs w:val="16"/>
              </w:rPr>
            </w:pPr>
            <w:r w:rsidRPr="00405303">
              <w:rPr>
                <w:bCs/>
                <w:color w:val="002060"/>
                <w:sz w:val="16"/>
                <w:szCs w:val="16"/>
              </w:rPr>
              <w:t>Площадь крыльев (м</w:t>
            </w:r>
            <w:r w:rsidRPr="00405303">
              <w:rPr>
                <w:bCs/>
                <w:color w:val="002060"/>
                <w:sz w:val="16"/>
                <w:szCs w:val="16"/>
                <w:vertAlign w:val="superscript"/>
              </w:rPr>
              <w:t>2</w:t>
            </w:r>
            <w:r w:rsidRPr="00405303">
              <w:rPr>
                <w:bCs/>
                <w:color w:val="002060"/>
                <w:sz w:val="16"/>
                <w:szCs w:val="16"/>
              </w:rPr>
              <w:t>)</w:t>
            </w:r>
          </w:p>
        </w:tc>
        <w:tc>
          <w:tcPr>
            <w:tcW w:w="8333" w:type="dxa"/>
          </w:tcPr>
          <w:p w14:paraId="10D05EFA" w14:textId="77777777" w:rsidR="003532AF" w:rsidRPr="00405303" w:rsidRDefault="003532AF" w:rsidP="00C15251">
            <w:pPr>
              <w:jc w:val="both"/>
              <w:rPr>
                <w:bCs/>
                <w:color w:val="002060"/>
                <w:sz w:val="16"/>
                <w:szCs w:val="16"/>
              </w:rPr>
            </w:pPr>
            <w:r w:rsidRPr="00405303">
              <w:rPr>
                <w:bCs/>
                <w:color w:val="002060"/>
                <w:sz w:val="16"/>
                <w:szCs w:val="16"/>
              </w:rPr>
              <w:t>36,6(37,96*)</w:t>
            </w:r>
          </w:p>
        </w:tc>
      </w:tr>
      <w:tr w:rsidR="003532AF" w:rsidRPr="00405303" w14:paraId="1C02E91B" w14:textId="77777777" w:rsidTr="00F11369">
        <w:tc>
          <w:tcPr>
            <w:tcW w:w="3184" w:type="dxa"/>
          </w:tcPr>
          <w:p w14:paraId="1CE01F01" w14:textId="77777777" w:rsidR="003532AF" w:rsidRPr="00405303" w:rsidRDefault="003532AF" w:rsidP="00C15251">
            <w:pPr>
              <w:jc w:val="both"/>
              <w:rPr>
                <w:bCs/>
                <w:color w:val="002060"/>
                <w:sz w:val="16"/>
                <w:szCs w:val="16"/>
              </w:rPr>
            </w:pPr>
            <w:r w:rsidRPr="00405303">
              <w:rPr>
                <w:bCs/>
                <w:color w:val="002060"/>
                <w:sz w:val="16"/>
                <w:szCs w:val="16"/>
              </w:rPr>
              <w:t>Вес пустого (кг)</w:t>
            </w:r>
          </w:p>
        </w:tc>
        <w:tc>
          <w:tcPr>
            <w:tcW w:w="8333" w:type="dxa"/>
          </w:tcPr>
          <w:p w14:paraId="5D12242E" w14:textId="77777777" w:rsidR="003532AF" w:rsidRPr="00405303" w:rsidRDefault="003532AF" w:rsidP="00C15251">
            <w:pPr>
              <w:jc w:val="both"/>
              <w:rPr>
                <w:bCs/>
                <w:color w:val="002060"/>
                <w:sz w:val="16"/>
                <w:szCs w:val="16"/>
              </w:rPr>
            </w:pPr>
            <w:r w:rsidRPr="00405303">
              <w:rPr>
                <w:bCs/>
                <w:color w:val="002060"/>
                <w:sz w:val="16"/>
                <w:szCs w:val="16"/>
              </w:rPr>
              <w:t>660</w:t>
            </w:r>
          </w:p>
        </w:tc>
      </w:tr>
      <w:tr w:rsidR="003532AF" w:rsidRPr="00405303" w14:paraId="1DAACD64" w14:textId="77777777" w:rsidTr="00F11369">
        <w:tc>
          <w:tcPr>
            <w:tcW w:w="3184" w:type="dxa"/>
          </w:tcPr>
          <w:p w14:paraId="36B575F8" w14:textId="77777777" w:rsidR="003532AF" w:rsidRPr="00405303" w:rsidRDefault="003532AF" w:rsidP="00C15251">
            <w:pPr>
              <w:jc w:val="both"/>
              <w:rPr>
                <w:bCs/>
                <w:color w:val="002060"/>
                <w:sz w:val="16"/>
                <w:szCs w:val="16"/>
              </w:rPr>
            </w:pPr>
            <w:r w:rsidRPr="00405303">
              <w:rPr>
                <w:bCs/>
                <w:color w:val="002060"/>
                <w:sz w:val="16"/>
                <w:szCs w:val="16"/>
              </w:rPr>
              <w:t>Полетный вес (кг)</w:t>
            </w:r>
          </w:p>
        </w:tc>
        <w:tc>
          <w:tcPr>
            <w:tcW w:w="8333" w:type="dxa"/>
          </w:tcPr>
          <w:p w14:paraId="6A7B77AB" w14:textId="77777777" w:rsidR="003532AF" w:rsidRPr="00405303" w:rsidRDefault="003532AF" w:rsidP="00C15251">
            <w:pPr>
              <w:jc w:val="both"/>
              <w:rPr>
                <w:bCs/>
                <w:color w:val="002060"/>
                <w:sz w:val="16"/>
                <w:szCs w:val="16"/>
              </w:rPr>
            </w:pPr>
            <w:r w:rsidRPr="00405303">
              <w:rPr>
                <w:bCs/>
                <w:color w:val="002060"/>
                <w:sz w:val="16"/>
                <w:szCs w:val="16"/>
              </w:rPr>
              <w:t>960</w:t>
            </w:r>
          </w:p>
        </w:tc>
      </w:tr>
      <w:tr w:rsidR="003532AF" w:rsidRPr="00405303" w14:paraId="29D31682" w14:textId="77777777" w:rsidTr="00F11369">
        <w:tc>
          <w:tcPr>
            <w:tcW w:w="3184" w:type="dxa"/>
          </w:tcPr>
          <w:p w14:paraId="3C9628E1" w14:textId="77777777" w:rsidR="003532AF" w:rsidRPr="00405303" w:rsidRDefault="003532AF" w:rsidP="00C15251">
            <w:pPr>
              <w:jc w:val="both"/>
              <w:rPr>
                <w:bCs/>
                <w:color w:val="002060"/>
                <w:sz w:val="16"/>
                <w:szCs w:val="16"/>
              </w:rPr>
            </w:pPr>
            <w:r w:rsidRPr="00405303">
              <w:rPr>
                <w:bCs/>
                <w:color w:val="002060"/>
                <w:sz w:val="16"/>
                <w:szCs w:val="16"/>
              </w:rPr>
              <w:t>Полетная скорость (км/ч)</w:t>
            </w:r>
          </w:p>
        </w:tc>
        <w:tc>
          <w:tcPr>
            <w:tcW w:w="8333" w:type="dxa"/>
          </w:tcPr>
          <w:p w14:paraId="67AB1860" w14:textId="77777777" w:rsidR="003532AF" w:rsidRPr="00405303" w:rsidRDefault="003532AF" w:rsidP="00C15251">
            <w:pPr>
              <w:jc w:val="both"/>
              <w:rPr>
                <w:bCs/>
                <w:color w:val="002060"/>
                <w:sz w:val="16"/>
                <w:szCs w:val="16"/>
              </w:rPr>
            </w:pPr>
            <w:r w:rsidRPr="00405303">
              <w:rPr>
                <w:bCs/>
                <w:color w:val="002060"/>
                <w:sz w:val="16"/>
                <w:szCs w:val="16"/>
              </w:rPr>
              <w:t>90-105</w:t>
            </w:r>
          </w:p>
        </w:tc>
      </w:tr>
      <w:tr w:rsidR="003532AF" w:rsidRPr="00405303" w14:paraId="0CC146A0" w14:textId="77777777" w:rsidTr="00F11369">
        <w:tc>
          <w:tcPr>
            <w:tcW w:w="3184" w:type="dxa"/>
          </w:tcPr>
          <w:p w14:paraId="221347D4" w14:textId="77777777" w:rsidR="003532AF" w:rsidRPr="00405303" w:rsidRDefault="003532AF" w:rsidP="00C15251">
            <w:pPr>
              <w:jc w:val="both"/>
              <w:rPr>
                <w:bCs/>
                <w:color w:val="002060"/>
                <w:sz w:val="16"/>
                <w:szCs w:val="16"/>
              </w:rPr>
            </w:pPr>
            <w:r w:rsidRPr="00405303">
              <w:rPr>
                <w:bCs/>
                <w:color w:val="002060"/>
                <w:sz w:val="16"/>
                <w:szCs w:val="16"/>
              </w:rPr>
              <w:t>Время набора высоты 2000 м (мин) 25-45</w:t>
            </w:r>
          </w:p>
        </w:tc>
        <w:tc>
          <w:tcPr>
            <w:tcW w:w="8333" w:type="dxa"/>
          </w:tcPr>
          <w:p w14:paraId="58B7583F" w14:textId="77777777" w:rsidR="003532AF" w:rsidRPr="00405303" w:rsidRDefault="003532AF" w:rsidP="00C15251">
            <w:pPr>
              <w:jc w:val="both"/>
              <w:rPr>
                <w:bCs/>
                <w:color w:val="002060"/>
                <w:sz w:val="16"/>
                <w:szCs w:val="16"/>
              </w:rPr>
            </w:pPr>
          </w:p>
        </w:tc>
      </w:tr>
      <w:tr w:rsidR="003532AF" w:rsidRPr="00405303" w14:paraId="74E323D9" w14:textId="77777777" w:rsidTr="00F11369">
        <w:tc>
          <w:tcPr>
            <w:tcW w:w="3184" w:type="dxa"/>
          </w:tcPr>
          <w:p w14:paraId="6DBF2484" w14:textId="77777777" w:rsidR="003532AF" w:rsidRPr="00405303" w:rsidRDefault="003532AF" w:rsidP="00C15251">
            <w:pPr>
              <w:jc w:val="both"/>
              <w:rPr>
                <w:bCs/>
                <w:color w:val="002060"/>
                <w:sz w:val="16"/>
                <w:szCs w:val="16"/>
              </w:rPr>
            </w:pPr>
            <w:r w:rsidRPr="00405303">
              <w:rPr>
                <w:bCs/>
                <w:color w:val="002060"/>
                <w:sz w:val="16"/>
                <w:szCs w:val="16"/>
              </w:rPr>
              <w:t>Потолок (м)</w:t>
            </w:r>
          </w:p>
        </w:tc>
        <w:tc>
          <w:tcPr>
            <w:tcW w:w="8333" w:type="dxa"/>
          </w:tcPr>
          <w:p w14:paraId="58E8C53A" w14:textId="77777777" w:rsidR="003532AF" w:rsidRPr="00405303" w:rsidRDefault="003532AF" w:rsidP="00C15251">
            <w:pPr>
              <w:jc w:val="both"/>
              <w:rPr>
                <w:bCs/>
                <w:color w:val="002060"/>
                <w:sz w:val="16"/>
                <w:szCs w:val="16"/>
              </w:rPr>
            </w:pPr>
            <w:r w:rsidRPr="00405303">
              <w:rPr>
                <w:bCs/>
                <w:color w:val="002060"/>
                <w:sz w:val="16"/>
                <w:szCs w:val="16"/>
              </w:rPr>
              <w:t>3300</w:t>
            </w:r>
          </w:p>
        </w:tc>
      </w:tr>
      <w:tr w:rsidR="003532AF" w:rsidRPr="00405303" w14:paraId="570F04A5" w14:textId="77777777" w:rsidTr="00F11369">
        <w:tc>
          <w:tcPr>
            <w:tcW w:w="3184" w:type="dxa"/>
          </w:tcPr>
          <w:p w14:paraId="48E33D9C" w14:textId="77777777" w:rsidR="003532AF" w:rsidRPr="00405303" w:rsidRDefault="003532AF" w:rsidP="00C15251">
            <w:pPr>
              <w:jc w:val="both"/>
              <w:rPr>
                <w:bCs/>
                <w:color w:val="002060"/>
                <w:sz w:val="16"/>
                <w:szCs w:val="16"/>
              </w:rPr>
            </w:pPr>
            <w:r w:rsidRPr="00405303">
              <w:rPr>
                <w:bCs/>
                <w:color w:val="002060"/>
                <w:sz w:val="16"/>
                <w:szCs w:val="16"/>
              </w:rPr>
              <w:t>Продолжительность полета (час)</w:t>
            </w:r>
          </w:p>
        </w:tc>
        <w:tc>
          <w:tcPr>
            <w:tcW w:w="8333" w:type="dxa"/>
          </w:tcPr>
          <w:p w14:paraId="50BF543A" w14:textId="77777777" w:rsidR="003532AF" w:rsidRPr="00405303" w:rsidRDefault="003532AF" w:rsidP="00C15251">
            <w:pPr>
              <w:jc w:val="both"/>
              <w:rPr>
                <w:bCs/>
                <w:color w:val="002060"/>
                <w:sz w:val="16"/>
                <w:szCs w:val="16"/>
              </w:rPr>
            </w:pPr>
            <w:r w:rsidRPr="00405303">
              <w:rPr>
                <w:bCs/>
                <w:color w:val="002060"/>
                <w:sz w:val="16"/>
                <w:szCs w:val="16"/>
              </w:rPr>
              <w:t>3,5-4</w:t>
            </w:r>
          </w:p>
        </w:tc>
      </w:tr>
    </w:tbl>
    <w:p w14:paraId="76320408" w14:textId="77777777" w:rsidR="003532AF" w:rsidRPr="00405303" w:rsidRDefault="003532AF" w:rsidP="00C15251">
      <w:pPr>
        <w:pStyle w:val="a7"/>
        <w:shd w:val="clear" w:color="auto" w:fill="auto"/>
        <w:spacing w:line="240" w:lineRule="auto"/>
        <w:ind w:firstLine="0"/>
        <w:jc w:val="both"/>
        <w:rPr>
          <w:rFonts w:ascii="Times New Roman" w:hAnsi="Times New Roman"/>
          <w:b w:val="0"/>
          <w:bCs/>
          <w:color w:val="002060"/>
          <w:sz w:val="16"/>
          <w:szCs w:val="16"/>
        </w:rPr>
      </w:pPr>
      <w:r w:rsidRPr="00405303">
        <w:rPr>
          <w:rFonts w:ascii="Times New Roman" w:hAnsi="Times New Roman"/>
          <w:b w:val="0"/>
          <w:bCs/>
          <w:color w:val="002060"/>
          <w:sz w:val="16"/>
          <w:szCs w:val="16"/>
        </w:rPr>
        <w:t>* по другим данным (12301).</w:t>
      </w:r>
    </w:p>
    <w:p w14:paraId="77D19BCB" w14:textId="77777777" w:rsidR="003532AF" w:rsidRPr="00405303" w:rsidRDefault="003532AF" w:rsidP="00C15251">
      <w:pPr>
        <w:jc w:val="both"/>
        <w:rPr>
          <w:bCs/>
          <w:color w:val="002060"/>
          <w:sz w:val="16"/>
          <w:szCs w:val="16"/>
        </w:rPr>
      </w:pPr>
    </w:p>
    <w:p w14:paraId="3F52A25F" w14:textId="77777777" w:rsidR="004B4E35" w:rsidRPr="00405303" w:rsidRDefault="009E6F82" w:rsidP="00C15251">
      <w:pPr>
        <w:jc w:val="both"/>
        <w:rPr>
          <w:bCs/>
          <w:color w:val="002060"/>
          <w:sz w:val="16"/>
          <w:szCs w:val="16"/>
        </w:rPr>
      </w:pPr>
      <w:r w:rsidRPr="00405303">
        <w:rPr>
          <w:bCs/>
          <w:color w:val="002060"/>
          <w:sz w:val="16"/>
          <w:szCs w:val="16"/>
        </w:rPr>
        <w:t>В ноябре 1915 г. построили первый опытный экземпляр М-9, после чего, по причине зимней погоды, его отправили в Баку, где в конце де</w:t>
      </w:r>
      <w:r w:rsidRPr="00405303">
        <w:rPr>
          <w:bCs/>
          <w:color w:val="002060"/>
          <w:sz w:val="16"/>
          <w:szCs w:val="16"/>
        </w:rPr>
        <w:softHyphen/>
        <w:t>кабря М-9 впервые подняли в воз</w:t>
      </w:r>
      <w:r w:rsidRPr="00405303">
        <w:rPr>
          <w:bCs/>
          <w:color w:val="002060"/>
          <w:sz w:val="16"/>
          <w:szCs w:val="16"/>
        </w:rPr>
        <w:softHyphen/>
        <w:t>дух. По результатам испытаний, проведенных в январе 1916 г., са</w:t>
      </w:r>
      <w:r w:rsidRPr="00405303">
        <w:rPr>
          <w:bCs/>
          <w:color w:val="002060"/>
          <w:sz w:val="16"/>
          <w:szCs w:val="16"/>
        </w:rPr>
        <w:softHyphen/>
        <w:t>молет показал хорошую мореход</w:t>
      </w:r>
      <w:r w:rsidRPr="00405303">
        <w:rPr>
          <w:bCs/>
          <w:color w:val="002060"/>
          <w:sz w:val="16"/>
          <w:szCs w:val="16"/>
        </w:rPr>
        <w:softHyphen/>
        <w:t>ность и послушность управления, свободно преодолевал волну высо</w:t>
      </w:r>
      <w:r w:rsidRPr="00405303">
        <w:rPr>
          <w:bCs/>
          <w:color w:val="002060"/>
          <w:sz w:val="16"/>
          <w:szCs w:val="16"/>
        </w:rPr>
        <w:softHyphen/>
        <w:t>той 0,5 метра, легко выходил из воды и отрывался в воздух. В поле</w:t>
      </w:r>
      <w:r w:rsidRPr="00405303">
        <w:rPr>
          <w:bCs/>
          <w:color w:val="002060"/>
          <w:sz w:val="16"/>
          <w:szCs w:val="16"/>
        </w:rPr>
        <w:softHyphen/>
        <w:t>те показал высокую устойчивость и мягкость управления на виражах.</w:t>
      </w:r>
    </w:p>
    <w:p w14:paraId="602BF871" w14:textId="77777777" w:rsidR="004B4E35" w:rsidRPr="00405303" w:rsidRDefault="009E6F82" w:rsidP="00C15251">
      <w:pPr>
        <w:jc w:val="both"/>
        <w:rPr>
          <w:bCs/>
          <w:color w:val="002060"/>
          <w:sz w:val="16"/>
          <w:szCs w:val="16"/>
        </w:rPr>
      </w:pPr>
      <w:r w:rsidRPr="00405303">
        <w:rPr>
          <w:bCs/>
          <w:color w:val="002060"/>
          <w:sz w:val="16"/>
          <w:szCs w:val="16"/>
        </w:rPr>
        <w:t>Летающая лодка М-9 явилась последовательным развитием М-5 под более мощный двигатель «Саль- мсон» 140-150 л.с. и соответствую</w:t>
      </w:r>
      <w:r w:rsidRPr="00405303">
        <w:rPr>
          <w:bCs/>
          <w:color w:val="002060"/>
          <w:sz w:val="16"/>
          <w:szCs w:val="16"/>
        </w:rPr>
        <w:softHyphen/>
        <w:t>щим увеличением размеров. Эки</w:t>
      </w:r>
      <w:r w:rsidRPr="00405303">
        <w:rPr>
          <w:bCs/>
          <w:color w:val="002060"/>
          <w:sz w:val="16"/>
          <w:szCs w:val="16"/>
        </w:rPr>
        <w:softHyphen/>
        <w:t>паж состоял из двух человек, сидя</w:t>
      </w:r>
      <w:r w:rsidRPr="00405303">
        <w:rPr>
          <w:bCs/>
          <w:color w:val="002060"/>
          <w:sz w:val="16"/>
          <w:szCs w:val="16"/>
        </w:rPr>
        <w:softHyphen/>
        <w:t>щих рядом. При этом впереди име</w:t>
      </w:r>
      <w:r w:rsidRPr="00405303">
        <w:rPr>
          <w:bCs/>
          <w:color w:val="002060"/>
          <w:sz w:val="16"/>
          <w:szCs w:val="16"/>
        </w:rPr>
        <w:softHyphen/>
        <w:t>лось еще одно место для воздуш</w:t>
      </w:r>
      <w:r w:rsidRPr="00405303">
        <w:rPr>
          <w:bCs/>
          <w:color w:val="002060"/>
          <w:sz w:val="16"/>
          <w:szCs w:val="16"/>
        </w:rPr>
        <w:softHyphen/>
        <w:t>ного стрелка, вооруженного пуле</w:t>
      </w:r>
      <w:r w:rsidRPr="00405303">
        <w:rPr>
          <w:bCs/>
          <w:color w:val="002060"/>
          <w:sz w:val="16"/>
          <w:szCs w:val="16"/>
        </w:rPr>
        <w:softHyphen/>
        <w:t>метом «Максим» или «Виккерс», ус</w:t>
      </w:r>
      <w:r w:rsidRPr="00405303">
        <w:rPr>
          <w:bCs/>
          <w:color w:val="002060"/>
          <w:sz w:val="16"/>
          <w:szCs w:val="16"/>
        </w:rPr>
        <w:softHyphen/>
        <w:t>тановленном на треноге. В случае необходимости место стрелка за</w:t>
      </w:r>
      <w:r w:rsidRPr="00405303">
        <w:rPr>
          <w:bCs/>
          <w:color w:val="002060"/>
          <w:sz w:val="16"/>
          <w:szCs w:val="16"/>
        </w:rPr>
        <w:softHyphen/>
        <w:t>нимал правый летчик (наблюдатель), в отдельных случаях экипаж состо</w:t>
      </w:r>
      <w:r w:rsidRPr="00405303">
        <w:rPr>
          <w:bCs/>
          <w:color w:val="002060"/>
          <w:sz w:val="16"/>
          <w:szCs w:val="16"/>
        </w:rPr>
        <w:softHyphen/>
        <w:t>ял из трех человек (12088).</w:t>
      </w:r>
    </w:p>
    <w:p w14:paraId="11E6F067" w14:textId="77777777" w:rsidR="004B4E35" w:rsidRPr="00405303" w:rsidRDefault="004B4E35" w:rsidP="00C15251">
      <w:pPr>
        <w:jc w:val="both"/>
        <w:rPr>
          <w:bCs/>
          <w:color w:val="002060"/>
          <w:sz w:val="16"/>
          <w:szCs w:val="16"/>
        </w:rPr>
      </w:pPr>
    </w:p>
    <w:p w14:paraId="633B82C4" w14:textId="4B172385" w:rsidR="004B4E35" w:rsidRPr="00405303" w:rsidRDefault="009E6F82" w:rsidP="00C15251">
      <w:pPr>
        <w:jc w:val="both"/>
        <w:rPr>
          <w:bCs/>
          <w:color w:val="002060"/>
          <w:sz w:val="16"/>
          <w:szCs w:val="16"/>
        </w:rPr>
      </w:pPr>
      <w:r w:rsidRPr="00405303">
        <w:rPr>
          <w:bCs/>
          <w:color w:val="002060"/>
          <w:sz w:val="16"/>
          <w:szCs w:val="16"/>
        </w:rPr>
        <w:t xml:space="preserve">С ноября 1915 г. на отдельных экземплярах </w:t>
      </w:r>
      <w:r w:rsidR="004E27A5" w:rsidRPr="00405303">
        <w:rPr>
          <w:bCs/>
          <w:color w:val="002060"/>
          <w:sz w:val="16"/>
          <w:szCs w:val="16"/>
        </w:rPr>
        <w:t xml:space="preserve">М-5 </w:t>
      </w:r>
      <w:r w:rsidRPr="00405303">
        <w:rPr>
          <w:bCs/>
          <w:color w:val="002060"/>
          <w:sz w:val="16"/>
          <w:szCs w:val="16"/>
        </w:rPr>
        <w:t>устанавливали радиотелеграфные станции разных типов с дальностью связи свыше 40 км и фотоаппараты "Потте".</w:t>
      </w:r>
    </w:p>
    <w:p w14:paraId="7D14882B" w14:textId="77777777" w:rsidR="004B4E35" w:rsidRPr="00405303" w:rsidRDefault="009E6F82" w:rsidP="00C15251">
      <w:pPr>
        <w:jc w:val="both"/>
        <w:rPr>
          <w:bCs/>
          <w:color w:val="002060"/>
          <w:sz w:val="16"/>
          <w:szCs w:val="16"/>
        </w:rPr>
      </w:pPr>
      <w:r w:rsidRPr="00405303">
        <w:rPr>
          <w:bCs/>
          <w:color w:val="002060"/>
          <w:sz w:val="16"/>
          <w:szCs w:val="16"/>
        </w:rPr>
        <w:t>Черноморские М-5 базировались в Севастополе (1-й и 2-й отряды Воздушной дивизии), Одессе и Батуме (Кавказский фронт). Кроме этого, часть аппаратов была приписана к 1, 2, 3-му корабельным авиаотрядам на гидрокрейсерах "Император Александр I", "Император Николай I", "Алмаз". В отдельных случаях самолеты транспортировали на крейсере "Память Меркурия". Самолеты корабельной авиации участвовали в рейдах к берегам Турции и Болгарии.</w:t>
      </w:r>
    </w:p>
    <w:p w14:paraId="17B8DA33" w14:textId="77777777" w:rsidR="004B4E35" w:rsidRPr="00405303" w:rsidRDefault="009E6F82" w:rsidP="00C15251">
      <w:pPr>
        <w:jc w:val="both"/>
        <w:rPr>
          <w:bCs/>
          <w:color w:val="002060"/>
          <w:sz w:val="16"/>
          <w:szCs w:val="16"/>
        </w:rPr>
      </w:pPr>
      <w:r w:rsidRPr="00405303">
        <w:rPr>
          <w:bCs/>
          <w:color w:val="002060"/>
          <w:sz w:val="16"/>
          <w:szCs w:val="16"/>
        </w:rPr>
        <w:t>Большую огласку получила атака турецкого порта Зонгулдак в январе 1916 г. Целью этой набеговой операции значилось нарушение турецких перевозок угля из Зонгулдакского угольного района в Константинополь. Уголь доставляли морем по причине отсутствия полноценного железнодорожного сообщения. Эффективность русских боевых кораблей в противодей-ствии турецким перевозкам угля оценивалась высоко, однако в начале 1916 г. последовало решение нанести удар по Зонгулдаку с использованием авиации.</w:t>
      </w:r>
    </w:p>
    <w:p w14:paraId="2997A4AE" w14:textId="77777777" w:rsidR="004B4E35" w:rsidRPr="00405303" w:rsidRDefault="009E6F82" w:rsidP="00C15251">
      <w:pPr>
        <w:jc w:val="both"/>
        <w:rPr>
          <w:bCs/>
          <w:color w:val="002060"/>
          <w:sz w:val="16"/>
          <w:szCs w:val="16"/>
        </w:rPr>
      </w:pPr>
      <w:r w:rsidRPr="00405303">
        <w:rPr>
          <w:bCs/>
          <w:color w:val="002060"/>
          <w:sz w:val="16"/>
          <w:szCs w:val="16"/>
        </w:rPr>
        <w:t>В составе эскадры, вышедшей из Севастополя 24 января 1916 г. находились авиатранспорты "Император Александр I" и "Император Николай I", которые имели на борту 1 4 летающих лодок "Кертисс" и М-5. Авиационной группе ставилась задача атаковать турецкие объекты, недоступные корабельной артиллерии. Каждый гидроплан был вооружен двумя двухпудовыми и несколькими десятифунтовыми бомбами. Примерно в 15 милях к северу от Зонгулдака авиатранспорты спустили самолеты на воду, после чего вся группа стартовала в воздух. До цели долетели 1 1 машин, остальные по причине неисправностей вернулись назад. Бомбардировка порта велась в условиях плотной облачности и активного обстрела с земли. Тем не менее, ударом с воздуха удалось уничтожить турецкий пароход "Ирмингард" (1гт1пНагс1), несколько мелких судов и разрушить портовые объекты.</w:t>
      </w:r>
    </w:p>
    <w:p w14:paraId="39956BFF" w14:textId="77777777" w:rsidR="004B4E35" w:rsidRPr="00405303" w:rsidRDefault="009E6F82" w:rsidP="00C15251">
      <w:pPr>
        <w:jc w:val="both"/>
        <w:rPr>
          <w:bCs/>
          <w:color w:val="002060"/>
          <w:sz w:val="16"/>
          <w:szCs w:val="16"/>
        </w:rPr>
      </w:pPr>
      <w:r w:rsidRPr="00405303">
        <w:rPr>
          <w:bCs/>
          <w:color w:val="002060"/>
          <w:sz w:val="16"/>
          <w:szCs w:val="16"/>
        </w:rPr>
        <w:t>В 1916-17 гг. летающие лодки М-5 продолжали активно использоваться в интересах Черноморского флота и своим присутствием существенно повлияли на достижение успеха во многих боевых операциях. В начале 1918 г. практически все черноморские М-5 оказались в зоне белого движения и австрийской оккупации. В летном состоянии оставались лишь единичные экземпляры, которые просуществовали до 1919-20 гг.</w:t>
      </w:r>
    </w:p>
    <w:p w14:paraId="345CE5BC" w14:textId="77777777" w:rsidR="004B4E35" w:rsidRPr="00405303" w:rsidRDefault="009E6F82" w:rsidP="00C15251">
      <w:pPr>
        <w:jc w:val="both"/>
        <w:rPr>
          <w:bCs/>
          <w:color w:val="002060"/>
          <w:sz w:val="16"/>
          <w:szCs w:val="16"/>
        </w:rPr>
      </w:pPr>
      <w:r w:rsidRPr="00405303">
        <w:rPr>
          <w:bCs/>
          <w:color w:val="002060"/>
          <w:sz w:val="16"/>
          <w:szCs w:val="16"/>
        </w:rPr>
        <w:t>На Балтике "пятаки" дебютировали как учебные машины при открытии в Петрограде 28 июля 1915 г. офицерской школы морской авиации. Поначалу в ней имелись 4 лодки М-5 и две французские ФБА. Одновременно с функционирующей школой в Петрограде решили открыть ее отделение в Баку - к обучению летчиков на Каспийском море приступили 22 ноября 1915 г.</w:t>
      </w:r>
    </w:p>
    <w:p w14:paraId="6AE63DCD" w14:textId="77777777" w:rsidR="004B4E35" w:rsidRPr="00405303" w:rsidRDefault="009E6F82" w:rsidP="00C15251">
      <w:pPr>
        <w:jc w:val="both"/>
        <w:rPr>
          <w:bCs/>
          <w:color w:val="002060"/>
          <w:sz w:val="16"/>
          <w:szCs w:val="16"/>
        </w:rPr>
      </w:pPr>
      <w:r w:rsidRPr="00405303">
        <w:rPr>
          <w:bCs/>
          <w:color w:val="002060"/>
          <w:sz w:val="16"/>
          <w:szCs w:val="16"/>
        </w:rPr>
        <w:t>Бакинский филиал с начала 1917 г. стал самостоятельной летной школой с прекрасно оборудованными мастерскими, ангарами и спусками на воду. В лучшие времена здесь эксплуатировалось до 20 учебных гидросамолетов М-5. Часть из них в середине 1918 г. принимала участие в отражении турецкого наступления в Закавказье, действуя в интересах оставшихся подразделений русской армии. Между тем, активное использование вело к неуклонному снижению количества пригодных к полетам машин, поэтому в 1919 г. здесь оставалось лишь два экземпляра М-5. В последующих бурных событиях гражданской войны Бакинская школа и ее имущество перестали существовать.</w:t>
      </w:r>
    </w:p>
    <w:p w14:paraId="1DDDDFE1" w14:textId="77777777" w:rsidR="004B4E35" w:rsidRPr="00405303" w:rsidRDefault="009E6F82" w:rsidP="00C15251">
      <w:pPr>
        <w:jc w:val="both"/>
        <w:rPr>
          <w:bCs/>
          <w:color w:val="002060"/>
          <w:sz w:val="16"/>
          <w:szCs w:val="16"/>
        </w:rPr>
      </w:pPr>
      <w:r w:rsidRPr="00405303">
        <w:rPr>
          <w:bCs/>
          <w:color w:val="002060"/>
          <w:sz w:val="16"/>
          <w:szCs w:val="16"/>
        </w:rPr>
        <w:t>Точное количество учебных аппаратов, используемых петроградской школой неизвестно, скорее всего, в течение двух лет здесь их применялось до двух десятков экземпляров. В апреле 1918 г., в связи с угрозой немецкого вторжения, школу эвакуировали в Нижний Новгород - на Волгу отправились 5 учебных М-5. Такое же количество учебных "пятаков" насчитывалось в морской школе летчиков им. Троцкого, открытой 11 ноября 1918 г. на Гу- туевском острове в Петрограде. В период с мая по октябрь 1919 г. летающие лодки этой школы принимали участие в боевых действиях против армии генерала Юденича, наступавшей на Петроград. В декабре 1919 г. оба упомянутые учебные заведения объединили в Военно-морскую школу авиации и перевели в Самару на Волге. Объединенная школа базировалась на барже "Евпраксия", которая была оборудована ангаром и спуском для гидросамолетов. В период 1920- 1921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середины 1920-х годов. Известно, что в декабре 1925 г. в составе советской авиации числилось 22 таких учебных летающих лодки (очевидно совместно с М-20, отличавшейся в основном двигателем).</w:t>
      </w:r>
    </w:p>
    <w:p w14:paraId="63E27EB2" w14:textId="77777777" w:rsidR="004B4E35" w:rsidRPr="00405303" w:rsidRDefault="009E6F82" w:rsidP="00C15251">
      <w:pPr>
        <w:jc w:val="both"/>
        <w:rPr>
          <w:bCs/>
          <w:color w:val="002060"/>
          <w:sz w:val="16"/>
          <w:szCs w:val="16"/>
        </w:rPr>
      </w:pPr>
      <w:r w:rsidRPr="00405303">
        <w:rPr>
          <w:bCs/>
          <w:color w:val="002060"/>
          <w:sz w:val="16"/>
          <w:szCs w:val="16"/>
        </w:rPr>
        <w:t>Помимо эксплуатации в России, по крайней мере, одна лодка М-5 после 1917 г. использовалась в Финляндии. Еще один экземпляр в ходе войны достался Турции, где сохранился до наших дней в авиационном музее Стамбула - Науа Мизеа (12083).</w:t>
      </w:r>
    </w:p>
    <w:p w14:paraId="03236934" w14:textId="77777777" w:rsidR="004B4E35" w:rsidRPr="00405303" w:rsidRDefault="004B4E35" w:rsidP="00C15251">
      <w:pPr>
        <w:jc w:val="both"/>
        <w:rPr>
          <w:bCs/>
          <w:color w:val="002060"/>
          <w:sz w:val="16"/>
          <w:szCs w:val="16"/>
        </w:rPr>
      </w:pPr>
    </w:p>
    <w:p w14:paraId="1FBDF776" w14:textId="77777777" w:rsidR="004B4E35" w:rsidRPr="00405303" w:rsidRDefault="009E6F82" w:rsidP="00C15251">
      <w:pPr>
        <w:jc w:val="both"/>
        <w:rPr>
          <w:bCs/>
          <w:color w:val="002060"/>
          <w:sz w:val="16"/>
          <w:szCs w:val="16"/>
        </w:rPr>
      </w:pPr>
      <w:r w:rsidRPr="00405303">
        <w:rPr>
          <w:bCs/>
          <w:color w:val="002060"/>
          <w:sz w:val="16"/>
          <w:szCs w:val="16"/>
        </w:rPr>
        <w:t>В ноябре 1915 г. обществом «Русский Рено» был заключен контракт с ГВТУ на поставку 150 моторов типа «Рено», по которому предусматривалось сооружение еще одного моторного завода. Завод начал строиться в Рыбинске, где это же общество строило автомобильный завод. Военное ведомство оказало широкую материальную помощь обществу в деле постройки авиамоторного завода. Правлению «Русский Рено» был выдан аванс в 1620 тыс. руб. Кроме того, для покупки необходимого оборудования за границей обществу была предоставлена соответствующая валюта [РГИА. Ф. 1525. Оп. 1. Д. 420. Л. 11-12, 8об. 10.]. Хотя значительная часть зданий нового завода была построена, но завершить оборудование его не удалось по причине задержек в поступлении станков и механизмов из-за границы (11863).</w:t>
      </w:r>
    </w:p>
    <w:p w14:paraId="55CB329F" w14:textId="77777777" w:rsidR="004B4E35" w:rsidRPr="00405303" w:rsidRDefault="004B4E35" w:rsidP="00C15251">
      <w:pPr>
        <w:jc w:val="both"/>
        <w:rPr>
          <w:bCs/>
          <w:color w:val="002060"/>
          <w:sz w:val="16"/>
          <w:szCs w:val="16"/>
        </w:rPr>
      </w:pPr>
    </w:p>
    <w:p w14:paraId="165110A2" w14:textId="77777777" w:rsidR="001014D2" w:rsidRPr="00405303" w:rsidRDefault="001014D2" w:rsidP="00C15251">
      <w:pPr>
        <w:pStyle w:val="ae"/>
        <w:shd w:val="clear" w:color="auto" w:fill="FFFFFF"/>
        <w:spacing w:before="0" w:beforeAutospacing="0" w:after="0" w:afterAutospacing="0"/>
        <w:jc w:val="both"/>
        <w:rPr>
          <w:bCs/>
          <w:color w:val="002060"/>
          <w:sz w:val="16"/>
          <w:szCs w:val="16"/>
        </w:rPr>
      </w:pPr>
      <w:r w:rsidRPr="00405303">
        <w:rPr>
          <w:bCs/>
          <w:color w:val="002060"/>
          <w:sz w:val="16"/>
          <w:szCs w:val="16"/>
        </w:rPr>
        <w:t>В ноябре 1915 г. обществом «Русский Рено» был заключен контракт с ГВТУ на поставку 150 моторов типа «Рено», по которому предусматривалось сооружение еще одного моторного завода. Завод начал строиться в Рыбинске, где это же общество строило автомобильный завод. Военное ведомство оказало широкую материальную помощь обществу в деле постройки авиамоторного завода. Правлению «Русский Рено» был выдан аванс в 1620 тыс. руб. Кроме того, для покупки необходимого оборудования за границей обществу была предоставлена соответствующая валюта (</w:t>
      </w:r>
      <w:r w:rsidRPr="00405303">
        <w:rPr>
          <w:bCs/>
          <w:color w:val="002060"/>
          <w:sz w:val="16"/>
          <w:szCs w:val="16"/>
          <w:shd w:val="clear" w:color="auto" w:fill="FFFFFF"/>
        </w:rPr>
        <w:t>РГИА. Ф. 1525. Оп. 1. Д. 420. Л. 11-12, 8об. 10</w:t>
      </w:r>
      <w:r w:rsidRPr="00405303">
        <w:rPr>
          <w:bCs/>
          <w:color w:val="002060"/>
          <w:sz w:val="16"/>
          <w:szCs w:val="16"/>
        </w:rPr>
        <w:t>). Хотя значительная часть зданий нового завода была построена, но завершить оборудование его не удалось по причине задержек в поступлении станков и механизмов из-за границы (21552).</w:t>
      </w:r>
    </w:p>
    <w:p w14:paraId="3EF7C36F" w14:textId="77777777" w:rsidR="001014D2" w:rsidRPr="00405303" w:rsidRDefault="001014D2" w:rsidP="00C15251">
      <w:pPr>
        <w:pStyle w:val="ae"/>
        <w:shd w:val="clear" w:color="auto" w:fill="FFFFFF"/>
        <w:spacing w:before="0" w:beforeAutospacing="0" w:after="0" w:afterAutospacing="0"/>
        <w:jc w:val="both"/>
        <w:rPr>
          <w:bCs/>
          <w:color w:val="002060"/>
          <w:sz w:val="16"/>
          <w:szCs w:val="16"/>
        </w:rPr>
      </w:pPr>
    </w:p>
    <w:p w14:paraId="6F61E5E9" w14:textId="77777777" w:rsidR="004B4E35" w:rsidRPr="00405303" w:rsidRDefault="009E6F82" w:rsidP="00C15251">
      <w:pPr>
        <w:jc w:val="both"/>
        <w:rPr>
          <w:bCs/>
          <w:color w:val="002060"/>
          <w:sz w:val="16"/>
          <w:szCs w:val="16"/>
        </w:rPr>
      </w:pPr>
      <w:r w:rsidRPr="00405303">
        <w:rPr>
          <w:bCs/>
          <w:color w:val="002060"/>
          <w:sz w:val="16"/>
          <w:szCs w:val="16"/>
        </w:rPr>
        <w:t xml:space="preserve">В ноябре 1915 г. во 2-м армейском авиационном отряде, которым командовал Е. Н. Крутень, была испытана зажигательная бомба, изобретенная подполковником В. И. Горчинским. Ее металлический корпус имел в головной части утяжеление из 1000-1200 г. свинца. Бомба наполнялась бензином. Взрывателем, смонтированным по принципу артиллерийского, служил фосфористый терочный состав. Снаряд имел массу 4 кг, был снабжен стабилизатором. На самолет брали 12-16 таких бомб. Летчик Шебалин при опытах c6pосил их с высоты 200-250 м. Испытание показало падении глубоко уходит в грунт, бензин не paспыляется по поверхности, а быстро </w:t>
      </w:r>
      <w:r w:rsidRPr="00405303">
        <w:rPr>
          <w:bCs/>
          <w:color w:val="002060"/>
          <w:sz w:val="16"/>
          <w:szCs w:val="16"/>
        </w:rPr>
        <w:lastRenderedPageBreak/>
        <w:t>сгорает в воронке. В отряде пришли к следующему заключению: "Бомба вполне безопасна и имеет надежный воспламенитель, но требует развития горючего состава для снаряжения и изменения наружной формы, после чего необходимо произвести еще испытание" (11237).</w:t>
      </w:r>
    </w:p>
    <w:p w14:paraId="19BE07EB" w14:textId="77777777" w:rsidR="004B4E35" w:rsidRPr="00405303" w:rsidRDefault="004B4E35" w:rsidP="00C15251">
      <w:pPr>
        <w:jc w:val="both"/>
        <w:rPr>
          <w:bCs/>
          <w:color w:val="002060"/>
          <w:sz w:val="16"/>
          <w:szCs w:val="16"/>
        </w:rPr>
      </w:pPr>
    </w:p>
    <w:p w14:paraId="2A4287FB" w14:textId="741ED480" w:rsidR="004B4E35" w:rsidRPr="00405303" w:rsidRDefault="004E27A5"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ноябре 1915 г. </w:t>
      </w:r>
      <w:r w:rsidRPr="00405303">
        <w:rPr>
          <w:bCs/>
          <w:color w:val="002060"/>
          <w:sz w:val="16"/>
          <w:szCs w:val="16"/>
        </w:rPr>
        <w:t xml:space="preserve">во 2-м армейском авиаотряде, которым командовал Е. Н. Крутень, </w:t>
      </w:r>
      <w:r w:rsidR="009E6F82" w:rsidRPr="00405303">
        <w:rPr>
          <w:bCs/>
          <w:color w:val="002060"/>
          <w:sz w:val="16"/>
          <w:szCs w:val="16"/>
        </w:rPr>
        <w:t>была испытана зажигательная бомба, изобретенная подполковником В.И. Горчинским. Снаряд имел массу около 4-х кг, был снабжен стабилизатором. Летчик Шебалин сбросил несколько таких бомб с высоты 200250 м. Бомбы при падении глубоко уходили в грунт, бензин не расплескался по поверхности, а быстро сгорел в воронке.</w:t>
      </w:r>
    </w:p>
    <w:p w14:paraId="55677835" w14:textId="77777777" w:rsidR="004B4E35" w:rsidRPr="00405303" w:rsidRDefault="009E6F82" w:rsidP="00C15251">
      <w:pPr>
        <w:jc w:val="both"/>
        <w:rPr>
          <w:bCs/>
          <w:color w:val="002060"/>
          <w:sz w:val="16"/>
          <w:szCs w:val="16"/>
        </w:rPr>
      </w:pPr>
      <w:r w:rsidRPr="00405303">
        <w:rPr>
          <w:bCs/>
          <w:color w:val="002060"/>
          <w:sz w:val="16"/>
          <w:szCs w:val="16"/>
        </w:rPr>
        <w:t>Испытание показало, что "бомба вполне безопасна и имеет надежный воспламенитель, но требует развития горючего состава для снаряжения и изменения наружной формы, после чего необходимо произвести еще испытание" (11999).</w:t>
      </w:r>
    </w:p>
    <w:p w14:paraId="7D7B62CA" w14:textId="77777777" w:rsidR="004B4E35" w:rsidRPr="00405303" w:rsidRDefault="004B4E35" w:rsidP="00C15251">
      <w:pPr>
        <w:jc w:val="both"/>
        <w:rPr>
          <w:bCs/>
          <w:color w:val="002060"/>
          <w:sz w:val="16"/>
          <w:szCs w:val="16"/>
        </w:rPr>
      </w:pPr>
    </w:p>
    <w:p w14:paraId="0189E1E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ноября 1915 г. на отдельных экземплярах М-5 устанавливали радиотелеграфные станции с дальностью связи свыше 40 км и фотоаппараты «Потте» (11107).</w:t>
      </w:r>
    </w:p>
    <w:p w14:paraId="21AC6B4F" w14:textId="77777777" w:rsidR="004B4E35" w:rsidRPr="00405303" w:rsidRDefault="004B4E35" w:rsidP="00C15251">
      <w:pPr>
        <w:shd w:val="clear" w:color="auto" w:fill="FFFFFF"/>
        <w:jc w:val="both"/>
        <w:rPr>
          <w:bCs/>
          <w:color w:val="002060"/>
          <w:sz w:val="16"/>
          <w:szCs w:val="16"/>
        </w:rPr>
      </w:pPr>
    </w:p>
    <w:p w14:paraId="6E9D69F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ноябре 1915г. А.Н. Вегенер получил назначение на должность председателя приемочной комиссии при Главном военно-техническом управлении. Такая бурная карьера всего лишь за 13 лет - с 1903 по 1915 г., - став</w:t>
      </w:r>
      <w:r w:rsidRPr="00405303">
        <w:rPr>
          <w:bCs/>
          <w:color w:val="002060"/>
          <w:sz w:val="16"/>
          <w:szCs w:val="16"/>
        </w:rPr>
        <w:softHyphen/>
        <w:t>шая возможной благодаря огромной энергии, благодаря преданности авиации и высокой эрудированности Александра Николаевича, делает ему честь, особенно если принять во внимание резюме, которым и заканчи</w:t>
      </w:r>
      <w:r w:rsidRPr="00405303">
        <w:rPr>
          <w:bCs/>
          <w:color w:val="002060"/>
          <w:sz w:val="16"/>
          <w:szCs w:val="16"/>
        </w:rPr>
        <w:softHyphen/>
        <w:t>вается на ноябре 1917г. послужной список этой яркой личности: «Всеми</w:t>
      </w:r>
      <w:r w:rsidRPr="00405303">
        <w:rPr>
          <w:bCs/>
          <w:color w:val="002060"/>
          <w:sz w:val="16"/>
          <w:szCs w:val="16"/>
        </w:rPr>
        <w:softHyphen/>
        <w:t>лостивейших рескриптов и Высочайших благоволений не получал» А это, если выразиться на современном бытовом языке, звучит так: «блатом не пользовался». На основе обобщения материалов о состоянии авиационной техни</w:t>
      </w:r>
      <w:r w:rsidRPr="00405303">
        <w:rPr>
          <w:bCs/>
          <w:color w:val="002060"/>
          <w:sz w:val="16"/>
          <w:szCs w:val="16"/>
        </w:rPr>
        <w:softHyphen/>
        <w:t>ки, поступающей для Военно-Воздушного флота, Вегенер А.Н. обосно</w:t>
      </w:r>
      <w:r w:rsidRPr="00405303">
        <w:rPr>
          <w:bCs/>
          <w:color w:val="002060"/>
          <w:sz w:val="16"/>
          <w:szCs w:val="16"/>
        </w:rPr>
        <w:softHyphen/>
        <w:t>вал основные положения по созданию государственной научно-испыта</w:t>
      </w:r>
      <w:r w:rsidRPr="00405303">
        <w:rPr>
          <w:bCs/>
          <w:color w:val="002060"/>
          <w:sz w:val="16"/>
          <w:szCs w:val="16"/>
        </w:rPr>
        <w:softHyphen/>
        <w:t>тельной организации (11425).</w:t>
      </w:r>
    </w:p>
    <w:p w14:paraId="27F85F1A" w14:textId="77777777" w:rsidR="004B4E35" w:rsidRPr="00405303" w:rsidRDefault="004B4E35" w:rsidP="00C15251">
      <w:pPr>
        <w:shd w:val="clear" w:color="auto" w:fill="FFFFFF"/>
        <w:jc w:val="both"/>
        <w:rPr>
          <w:bCs/>
          <w:color w:val="002060"/>
          <w:sz w:val="16"/>
          <w:szCs w:val="16"/>
        </w:rPr>
      </w:pPr>
    </w:p>
    <w:p w14:paraId="7E652343" w14:textId="77777777" w:rsidR="008B591E" w:rsidRPr="00405303" w:rsidRDefault="008B591E" w:rsidP="00C15251">
      <w:pPr>
        <w:jc w:val="both"/>
        <w:rPr>
          <w:bCs/>
          <w:color w:val="002060"/>
          <w:sz w:val="16"/>
          <w:szCs w:val="16"/>
        </w:rPr>
      </w:pPr>
      <w:r w:rsidRPr="00405303">
        <w:rPr>
          <w:bCs/>
          <w:color w:val="002060"/>
          <w:sz w:val="16"/>
          <w:szCs w:val="16"/>
        </w:rPr>
        <w:t xml:space="preserve">В ноябре 1915 г. Шидловским, Сикорским и Лавровым был подготовлен проект организации при эскадре специального истребительного дивизиона. Для него разработали оригинальный четырехместный истребитель-биплан с «Аргусом» в носу фюзеляжа и двумя «Гномами» по бокам на нижнем крыле. Последние были с толкающим винтами. Передние части мотогондол представляли собой огневые точки. Вооружение: 37-мм пушка, три пулемета - «Максим» и два «Льюиса». Эта концепция «воздушного крейсера» получила большое развитие позднее, в 20-30-е годы. Предложение поддержки не получило, и И. И. Сикорский построил в 1916 г. уменьшенный вариант первоначального проекта С-18, предназначенный служить истребителем в боевых отрядах «Муромцев» для прикрытия мест </w:t>
      </w:r>
      <w:proofErr w:type="gramStart"/>
      <w:r w:rsidRPr="00405303">
        <w:rPr>
          <w:bCs/>
          <w:color w:val="002060"/>
          <w:sz w:val="16"/>
          <w:szCs w:val="16"/>
        </w:rPr>
        <w:t>базирования.Мог</w:t>
      </w:r>
      <w:proofErr w:type="gramEnd"/>
      <w:r w:rsidRPr="00405303">
        <w:rPr>
          <w:bCs/>
          <w:color w:val="002060"/>
          <w:sz w:val="16"/>
          <w:szCs w:val="16"/>
        </w:rPr>
        <w:t xml:space="preserve"> он стать и средним бомбардировщиком. Двухместный двухмоторный биплан имел в носу кабину стрелка. Выпущен в двух экземплярах (№ 216 и 217).</w:t>
      </w:r>
    </w:p>
    <w:p w14:paraId="0906B1BC" w14:textId="77777777" w:rsidR="008B591E" w:rsidRPr="00405303" w:rsidRDefault="008B591E" w:rsidP="00C15251">
      <w:pPr>
        <w:jc w:val="both"/>
        <w:rPr>
          <w:bCs/>
          <w:color w:val="002060"/>
          <w:sz w:val="16"/>
          <w:szCs w:val="16"/>
        </w:rPr>
      </w:pPr>
      <w:r w:rsidRPr="00405303">
        <w:rPr>
          <w:bCs/>
          <w:color w:val="002060"/>
          <w:sz w:val="16"/>
          <w:szCs w:val="16"/>
        </w:rPr>
        <w:t>В 1916 г. И. И. Сикорский построил уменьшенный вариант первоначального проекта С-18, предназначенный служить истребителем в боевых отрядах «Муромцев» для прикрытия мест базирования. Мог он стать и средним бомбардировщиком. Двухместный двухмоторный биплан имел в носу кабину стрелка. Выпущен в двух экземплярах (№ 216 и 217). Установленные на нижнем крыле «Санбимы» с толкающими винтами, как и следовало ожидать, оказались плохими. Вместо них на С-18 поставили четыре «Гнома» двумя тандемами. Доводка затянулась. № 217 попал в эскадру лишь в конце 1916 г. Там на него собирались поставить два двигателя «Испг.но-Сюиза» по 150 л. с, но это по ряду причин сделать не удалось, и самолет вернули на завод (15127).</w:t>
      </w:r>
    </w:p>
    <w:p w14:paraId="60DD3E74" w14:textId="77777777" w:rsidR="008B591E" w:rsidRPr="00405303" w:rsidRDefault="008B591E" w:rsidP="00C15251">
      <w:pPr>
        <w:jc w:val="both"/>
        <w:rPr>
          <w:bCs/>
          <w:color w:val="002060"/>
          <w:sz w:val="16"/>
          <w:szCs w:val="16"/>
        </w:rPr>
      </w:pPr>
    </w:p>
    <w:p w14:paraId="4D162EDE" w14:textId="7C92FE05" w:rsidR="000176B4" w:rsidRPr="00405303" w:rsidRDefault="000176B4" w:rsidP="00C15251">
      <w:pPr>
        <w:jc w:val="both"/>
        <w:rPr>
          <w:bCs/>
          <w:color w:val="002060"/>
          <w:sz w:val="16"/>
          <w:szCs w:val="16"/>
          <w:shd w:val="clear" w:color="auto" w:fill="FFFFFF"/>
        </w:rPr>
      </w:pPr>
      <w:r w:rsidRPr="00405303">
        <w:rPr>
          <w:bCs/>
          <w:color w:val="002060"/>
          <w:sz w:val="16"/>
          <w:szCs w:val="16"/>
          <w:shd w:val="clear" w:color="auto" w:fill="FFFFFF"/>
        </w:rPr>
        <w:t>В ноябре 1915 г. известный своими достижениями в области гидроавиации Петроградский завод Товарищества С.С. Щетинина на основании решения Особого совещания по обороне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предприятие</w:t>
      </w:r>
      <w:r w:rsidR="000F5756">
        <w:rPr>
          <w:bCs/>
          <w:color w:val="002060"/>
          <w:sz w:val="16"/>
          <w:szCs w:val="16"/>
          <w:shd w:val="clear" w:color="auto" w:fill="FFFFFF"/>
        </w:rPr>
        <w:t xml:space="preserve"> </w:t>
      </w:r>
      <w:r w:rsidRPr="00405303">
        <w:rPr>
          <w:bCs/>
          <w:color w:val="002060"/>
          <w:sz w:val="16"/>
          <w:szCs w:val="16"/>
          <w:shd w:val="clear" w:color="auto" w:fill="FFFFFF"/>
        </w:rPr>
        <w:t>в 1917 г. получило заказ военного ведомства на поставку 180 «Спадов», его выполнение не началось, так как не прибыло оборудование, заказанное в США (РГВИА. Ф. 493. Оп. 4. Д. 51. Л. 3; Там же. Оп. 9. Д. 41. Л. 14об., 16об)</w:t>
      </w:r>
      <w:r w:rsidRPr="00405303">
        <w:rPr>
          <w:bCs/>
          <w:color w:val="002060"/>
          <w:sz w:val="16"/>
          <w:szCs w:val="16"/>
        </w:rPr>
        <w:t xml:space="preserve"> (21552)</w:t>
      </w:r>
      <w:r w:rsidRPr="00405303">
        <w:rPr>
          <w:bCs/>
          <w:color w:val="002060"/>
          <w:sz w:val="16"/>
          <w:szCs w:val="16"/>
          <w:shd w:val="clear" w:color="auto" w:fill="FFFFFF"/>
        </w:rPr>
        <w:t>.</w:t>
      </w:r>
    </w:p>
    <w:p w14:paraId="6710E891" w14:textId="77777777" w:rsidR="000176B4" w:rsidRPr="00405303" w:rsidRDefault="000176B4" w:rsidP="00C15251">
      <w:pPr>
        <w:jc w:val="both"/>
        <w:rPr>
          <w:bCs/>
          <w:color w:val="002060"/>
          <w:sz w:val="16"/>
          <w:szCs w:val="16"/>
          <w:shd w:val="clear" w:color="auto" w:fill="FFFFFF"/>
        </w:rPr>
      </w:pPr>
    </w:p>
    <w:p w14:paraId="467E2368" w14:textId="77777777" w:rsidR="009B612E" w:rsidRPr="00405303" w:rsidRDefault="009B612E" w:rsidP="00C15251">
      <w:pPr>
        <w:pStyle w:val="ae"/>
        <w:spacing w:before="0" w:beforeAutospacing="0" w:after="0" w:afterAutospacing="0"/>
        <w:jc w:val="both"/>
        <w:rPr>
          <w:bCs/>
          <w:color w:val="002060"/>
          <w:sz w:val="16"/>
          <w:szCs w:val="16"/>
        </w:rPr>
      </w:pPr>
      <w:r w:rsidRPr="00405303">
        <w:rPr>
          <w:bCs/>
          <w:color w:val="002060"/>
          <w:sz w:val="16"/>
          <w:szCs w:val="16"/>
        </w:rPr>
        <w:t>В ноябре 1915 г. на испытаниях химической двухпудовой бомбы в отчете отмечалось, что бомба разорвалась на 3 куска, и получилось «белое облако паров хлора». Действие этих паров проверялось на белых мышах и морских свинках, клетки с которыми были расставлены на расстоянии от 2 до 15 м от точки взрыва. Из нескольких десятков подопытных мышек и свинок через 2 ч умерли только две (20246).</w:t>
      </w:r>
    </w:p>
    <w:p w14:paraId="4477208D" w14:textId="77777777" w:rsidR="009B612E" w:rsidRPr="00405303" w:rsidRDefault="009B612E" w:rsidP="00C15251">
      <w:pPr>
        <w:shd w:val="clear" w:color="auto" w:fill="FFFFFF"/>
        <w:jc w:val="both"/>
        <w:rPr>
          <w:bCs/>
          <w:i/>
          <w:color w:val="002060"/>
          <w:sz w:val="16"/>
          <w:szCs w:val="16"/>
        </w:rPr>
      </w:pPr>
    </w:p>
    <w:p w14:paraId="5F0350EA" w14:textId="77777777" w:rsidR="00F67A02" w:rsidRPr="00405303" w:rsidRDefault="00F67A02" w:rsidP="00C15251">
      <w:pPr>
        <w:jc w:val="both"/>
        <w:rPr>
          <w:bCs/>
          <w:color w:val="002060"/>
          <w:sz w:val="16"/>
          <w:szCs w:val="16"/>
        </w:rPr>
      </w:pPr>
      <w:r w:rsidRPr="00405303">
        <w:rPr>
          <w:bCs/>
          <w:color w:val="002060"/>
          <w:sz w:val="16"/>
          <w:szCs w:val="16"/>
          <w:lang w:bidi="ru-RU"/>
        </w:rPr>
        <w:t>С ноября 1915 г. на отдельных экземплярах М-5 устанавливали радиотелеграфные станции с дальностью связи 40 км и фотоаппараты «Потте». Вооружение боевых М-5 состояло из од</w:t>
      </w:r>
      <w:r w:rsidRPr="00405303">
        <w:rPr>
          <w:bCs/>
          <w:color w:val="002060"/>
          <w:sz w:val="16"/>
          <w:szCs w:val="16"/>
          <w:lang w:bidi="ru-RU"/>
        </w:rPr>
        <w:softHyphen/>
        <w:t>ного пулемета «Максим», «Виккерс» или «Льюис», установленных на треноге перед правым членом экипажа, нескольких 8</w:t>
      </w:r>
      <w:r w:rsidRPr="00405303">
        <w:rPr>
          <w:bCs/>
          <w:color w:val="002060"/>
          <w:sz w:val="16"/>
          <w:szCs w:val="16"/>
          <w:lang w:bidi="ru-RU"/>
        </w:rPr>
        <w:softHyphen/>
        <w:t>фунтовых или двух 50-фунтовых бомб (23374).</w:t>
      </w:r>
    </w:p>
    <w:p w14:paraId="1D43FC46" w14:textId="77777777" w:rsidR="00F67A02" w:rsidRPr="00405303" w:rsidRDefault="00F67A02" w:rsidP="00C15251">
      <w:pPr>
        <w:jc w:val="both"/>
        <w:rPr>
          <w:bCs/>
          <w:color w:val="002060"/>
          <w:sz w:val="16"/>
          <w:szCs w:val="16"/>
        </w:rPr>
      </w:pPr>
    </w:p>
    <w:p w14:paraId="5431C60C" w14:textId="77777777" w:rsidR="00F67A02" w:rsidRPr="00405303" w:rsidRDefault="00F67A02" w:rsidP="00C15251">
      <w:pPr>
        <w:jc w:val="both"/>
        <w:rPr>
          <w:bCs/>
          <w:color w:val="002060"/>
          <w:sz w:val="16"/>
          <w:szCs w:val="16"/>
        </w:rPr>
      </w:pPr>
      <w:r w:rsidRPr="00405303">
        <w:rPr>
          <w:bCs/>
          <w:color w:val="002060"/>
          <w:sz w:val="16"/>
          <w:szCs w:val="16"/>
        </w:rPr>
        <w:t>В ноябре 1915 г. четыре летающие лодки были оснащены радиотелеграфным оборудованием (23525).</w:t>
      </w:r>
    </w:p>
    <w:p w14:paraId="1487922E" w14:textId="77777777" w:rsidR="00F67A02" w:rsidRPr="00405303" w:rsidRDefault="00F67A02" w:rsidP="00C15251">
      <w:pPr>
        <w:jc w:val="both"/>
        <w:rPr>
          <w:bCs/>
          <w:color w:val="002060"/>
          <w:sz w:val="16"/>
          <w:szCs w:val="16"/>
        </w:rPr>
      </w:pPr>
    </w:p>
    <w:p w14:paraId="2FFF9DB1" w14:textId="77777777" w:rsidR="00F67A02" w:rsidRPr="00405303" w:rsidRDefault="00F67A02" w:rsidP="00C15251">
      <w:pPr>
        <w:jc w:val="both"/>
        <w:rPr>
          <w:bCs/>
          <w:color w:val="002060"/>
          <w:sz w:val="16"/>
          <w:szCs w:val="16"/>
          <w:lang w:bidi="en-US"/>
        </w:rPr>
      </w:pPr>
      <w:r w:rsidRPr="00405303">
        <w:rPr>
          <w:bCs/>
          <w:color w:val="002060"/>
          <w:sz w:val="16"/>
          <w:szCs w:val="16"/>
          <w:lang w:bidi="en-US"/>
        </w:rPr>
        <w:t xml:space="preserve">В ноябре 1915 г. начальник технического отдела Управления военного воздушного флота Полковник Ульянин был командирован во Францию с авиационным заданием для решения неотложных проблем со снабжением. Старший лейтенант В.В. Дыбовский возглавил Закупочную миссию морской авиации. Находясь в Лондоне на службе в Лондонском торговом комитете, Дыбовский выступал в качестве получателя авиационного имущества. Находясь там, он представил Британскому Адмиралтейству свой проект синхронизатора для стрельбы из пулемета через винт. Адмиралтейство передало его Министерству авиации. Отработку устройства поручили инженеру Ф.В.Шарфу. Она была разработана и известна как система Скарфа-Дыбовского. Британцы передали русским пятьдесят пулеметов «Льюис» в качестве оплаты за патентные права Дыбовского. К лету 1916 г. синхронизатор Шарфа-Дыбовского устанавливали на самолеты в Великобритании. Он широко использовался на </w:t>
      </w:r>
      <w:r w:rsidRPr="00405303">
        <w:rPr>
          <w:bCs/>
          <w:color w:val="002060"/>
          <w:sz w:val="16"/>
          <w:szCs w:val="16"/>
          <w:lang w:val="en-US" w:bidi="en-US"/>
        </w:rPr>
        <w:t>Sopwith</w:t>
      </w:r>
      <w:r w:rsidRPr="00405303">
        <w:rPr>
          <w:bCs/>
          <w:color w:val="002060"/>
          <w:sz w:val="16"/>
          <w:szCs w:val="16"/>
          <w:lang w:bidi="en-US"/>
        </w:rPr>
        <w:t xml:space="preserve"> 1 </w:t>
      </w:r>
      <w:r w:rsidRPr="00405303">
        <w:rPr>
          <w:bCs/>
          <w:color w:val="002060"/>
          <w:sz w:val="16"/>
          <w:szCs w:val="16"/>
          <w:lang w:bidi="ru-RU"/>
        </w:rPr>
        <w:t xml:space="preserve">1/2 </w:t>
      </w:r>
      <w:r w:rsidRPr="00405303">
        <w:rPr>
          <w:bCs/>
          <w:color w:val="002060"/>
          <w:sz w:val="16"/>
          <w:szCs w:val="16"/>
          <w:lang w:val="en-US" w:bidi="en-US"/>
        </w:rPr>
        <w:t>Strutters</w:t>
      </w:r>
      <w:r w:rsidRPr="00405303">
        <w:rPr>
          <w:bCs/>
          <w:color w:val="002060"/>
          <w:sz w:val="16"/>
          <w:szCs w:val="16"/>
          <w:lang w:bidi="en-US"/>
        </w:rPr>
        <w:t xml:space="preserve"> и </w:t>
      </w:r>
      <w:r w:rsidRPr="00405303">
        <w:rPr>
          <w:bCs/>
          <w:color w:val="002060"/>
          <w:sz w:val="16"/>
          <w:szCs w:val="16"/>
          <w:lang w:val="en-US" w:bidi="en-US"/>
        </w:rPr>
        <w:t>Sopwith</w:t>
      </w:r>
      <w:r w:rsidRPr="00405303">
        <w:rPr>
          <w:bCs/>
          <w:color w:val="002060"/>
          <w:sz w:val="16"/>
          <w:szCs w:val="16"/>
          <w:lang w:bidi="en-US"/>
        </w:rPr>
        <w:t xml:space="preserve"> </w:t>
      </w:r>
      <w:r w:rsidRPr="00405303">
        <w:rPr>
          <w:bCs/>
          <w:color w:val="002060"/>
          <w:sz w:val="16"/>
          <w:szCs w:val="16"/>
          <w:lang w:val="en-US" w:bidi="en-US"/>
        </w:rPr>
        <w:t>Pups</w:t>
      </w:r>
      <w:r w:rsidRPr="00405303">
        <w:rPr>
          <w:bCs/>
          <w:color w:val="002060"/>
          <w:sz w:val="16"/>
          <w:szCs w:val="16"/>
          <w:lang w:bidi="en-US"/>
        </w:rPr>
        <w:t xml:space="preserve"> (23525).</w:t>
      </w:r>
    </w:p>
    <w:p w14:paraId="7C5164DE" w14:textId="77777777" w:rsidR="00F67A02" w:rsidRPr="00405303" w:rsidRDefault="00F67A02" w:rsidP="00C15251">
      <w:pPr>
        <w:jc w:val="both"/>
        <w:rPr>
          <w:bCs/>
          <w:color w:val="002060"/>
          <w:sz w:val="16"/>
          <w:szCs w:val="16"/>
        </w:rPr>
      </w:pPr>
    </w:p>
    <w:p w14:paraId="5997831F" w14:textId="77777777" w:rsidR="00F67A02" w:rsidRPr="00405303" w:rsidRDefault="00F67A02" w:rsidP="00C15251">
      <w:pPr>
        <w:jc w:val="both"/>
        <w:rPr>
          <w:bCs/>
          <w:color w:val="002060"/>
          <w:sz w:val="16"/>
          <w:szCs w:val="16"/>
          <w:lang w:bidi="ru-RU"/>
        </w:rPr>
      </w:pPr>
      <w:r w:rsidRPr="00405303">
        <w:rPr>
          <w:bCs/>
          <w:color w:val="002060"/>
          <w:sz w:val="16"/>
          <w:szCs w:val="16"/>
          <w:lang w:bidi="ru-RU"/>
        </w:rPr>
        <w:t>В ноябре 1915 г. летчик Г.А. Фриде начал испытания ВМ-1 А.Ю. Виллиша (Алек</w:t>
      </w:r>
      <w:r w:rsidRPr="00405303">
        <w:rPr>
          <w:bCs/>
          <w:color w:val="002060"/>
          <w:sz w:val="16"/>
          <w:szCs w:val="16"/>
          <w:lang w:bidi="ru-RU"/>
        </w:rPr>
        <w:softHyphen/>
        <w:t>сандра фон Виллиша).</w:t>
      </w:r>
    </w:p>
    <w:p w14:paraId="248E1A73" w14:textId="77777777" w:rsidR="00F67A02" w:rsidRPr="00405303" w:rsidRDefault="00F67A02" w:rsidP="00C15251">
      <w:pPr>
        <w:jc w:val="both"/>
        <w:rPr>
          <w:bCs/>
          <w:color w:val="002060"/>
          <w:sz w:val="16"/>
          <w:szCs w:val="16"/>
        </w:rPr>
      </w:pPr>
      <w:r w:rsidRPr="00405303">
        <w:rPr>
          <w:bCs/>
          <w:color w:val="002060"/>
          <w:sz w:val="16"/>
          <w:szCs w:val="16"/>
          <w:lang w:bidi="ru-RU"/>
        </w:rPr>
        <w:t>В 1915 г. он совместно с владельцем деревообделочной фабрики Ф.В. Эбергардом он построил летающую лодку, в отно</w:t>
      </w:r>
      <w:r w:rsidRPr="00405303">
        <w:rPr>
          <w:bCs/>
          <w:color w:val="002060"/>
          <w:sz w:val="16"/>
          <w:szCs w:val="16"/>
          <w:lang w:bidi="ru-RU"/>
        </w:rPr>
        <w:softHyphen/>
        <w:t>шении которой позднее использовалось обозначение ВМ-1. Самолет, выполненный по бипланной схеме, имел короткий лодоч</w:t>
      </w:r>
      <w:r w:rsidRPr="00405303">
        <w:rPr>
          <w:bCs/>
          <w:color w:val="002060"/>
          <w:sz w:val="16"/>
          <w:szCs w:val="16"/>
          <w:lang w:bidi="ru-RU"/>
        </w:rPr>
        <w:softHyphen/>
        <w:t>ный корпус, снабженный ферменной хвос</w:t>
      </w:r>
      <w:r w:rsidRPr="00405303">
        <w:rPr>
          <w:bCs/>
          <w:color w:val="002060"/>
          <w:sz w:val="16"/>
          <w:szCs w:val="16"/>
          <w:lang w:bidi="ru-RU"/>
        </w:rPr>
        <w:softHyphen/>
        <w:t>товой частью. По причине отсутствия под</w:t>
      </w:r>
      <w:r w:rsidRPr="00405303">
        <w:rPr>
          <w:bCs/>
          <w:color w:val="002060"/>
          <w:sz w:val="16"/>
          <w:szCs w:val="16"/>
          <w:lang w:bidi="ru-RU"/>
        </w:rPr>
        <w:softHyphen/>
        <w:t>ходящих стальных труб хвостовую ферму выполнили из стволов бамбука.</w:t>
      </w:r>
    </w:p>
    <w:p w14:paraId="7A996D9D" w14:textId="77777777" w:rsidR="00F67A02" w:rsidRPr="00405303" w:rsidRDefault="00F67A02" w:rsidP="00C15251">
      <w:pPr>
        <w:jc w:val="both"/>
        <w:rPr>
          <w:bCs/>
          <w:color w:val="002060"/>
          <w:sz w:val="16"/>
          <w:szCs w:val="16"/>
        </w:rPr>
      </w:pPr>
      <w:r w:rsidRPr="00405303">
        <w:rPr>
          <w:bCs/>
          <w:color w:val="002060"/>
          <w:sz w:val="16"/>
          <w:szCs w:val="16"/>
          <w:lang w:bidi="ru-RU"/>
        </w:rPr>
        <w:t>Корпус 3-местной лодки имел 5-ть реда</w:t>
      </w:r>
      <w:r w:rsidRPr="00405303">
        <w:rPr>
          <w:bCs/>
          <w:color w:val="002060"/>
          <w:sz w:val="16"/>
          <w:szCs w:val="16"/>
          <w:lang w:bidi="ru-RU"/>
        </w:rPr>
        <w:softHyphen/>
        <w:t>нов для улучшения взлетных характерис</w:t>
      </w:r>
      <w:r w:rsidRPr="00405303">
        <w:rPr>
          <w:bCs/>
          <w:color w:val="002060"/>
          <w:sz w:val="16"/>
          <w:szCs w:val="16"/>
          <w:lang w:bidi="ru-RU"/>
        </w:rPr>
        <w:softHyphen/>
        <w:t>тик, кроме этого, по бортам корпуса конст</w:t>
      </w:r>
      <w:r w:rsidRPr="00405303">
        <w:rPr>
          <w:bCs/>
          <w:color w:val="002060"/>
          <w:sz w:val="16"/>
          <w:szCs w:val="16"/>
          <w:lang w:bidi="ru-RU"/>
        </w:rPr>
        <w:softHyphen/>
        <w:t>руктор разместил т.н. «ножи» (подобие современных подводных крыльев). По</w:t>
      </w:r>
      <w:r w:rsidRPr="00405303">
        <w:rPr>
          <w:bCs/>
          <w:color w:val="002060"/>
          <w:sz w:val="16"/>
          <w:szCs w:val="16"/>
          <w:lang w:bidi="ru-RU"/>
        </w:rPr>
        <w:softHyphen/>
        <w:t>следнее устройство при испытаниях на во</w:t>
      </w:r>
      <w:r w:rsidRPr="00405303">
        <w:rPr>
          <w:bCs/>
          <w:color w:val="002060"/>
          <w:sz w:val="16"/>
          <w:szCs w:val="16"/>
          <w:lang w:bidi="ru-RU"/>
        </w:rPr>
        <w:softHyphen/>
        <w:t>де не показало преимуществ, и вскоре бы</w:t>
      </w:r>
      <w:r w:rsidRPr="00405303">
        <w:rPr>
          <w:bCs/>
          <w:color w:val="002060"/>
          <w:sz w:val="16"/>
          <w:szCs w:val="16"/>
          <w:lang w:bidi="ru-RU"/>
        </w:rPr>
        <w:softHyphen/>
        <w:t>ло демонтировано. Еще одно оригиналь</w:t>
      </w:r>
      <w:r w:rsidRPr="00405303">
        <w:rPr>
          <w:bCs/>
          <w:color w:val="002060"/>
          <w:sz w:val="16"/>
          <w:szCs w:val="16"/>
          <w:lang w:bidi="ru-RU"/>
        </w:rPr>
        <w:softHyphen/>
        <w:t>ное приспособление предназначалось для изменения угла установки крыльев в поле</w:t>
      </w:r>
      <w:r w:rsidRPr="00405303">
        <w:rPr>
          <w:bCs/>
          <w:color w:val="002060"/>
          <w:sz w:val="16"/>
          <w:szCs w:val="16"/>
          <w:lang w:bidi="ru-RU"/>
        </w:rPr>
        <w:softHyphen/>
        <w:t>те. Управление осуществлялось при помо</w:t>
      </w:r>
      <w:r w:rsidRPr="00405303">
        <w:rPr>
          <w:bCs/>
          <w:color w:val="002060"/>
          <w:sz w:val="16"/>
          <w:szCs w:val="16"/>
          <w:lang w:bidi="ru-RU"/>
        </w:rPr>
        <w:softHyphen/>
        <w:t>щи штурвала из кабины летчика.</w:t>
      </w:r>
    </w:p>
    <w:p w14:paraId="6B0F16F2" w14:textId="77777777" w:rsidR="00F67A02" w:rsidRPr="00405303" w:rsidRDefault="00F67A02" w:rsidP="00C15251">
      <w:pPr>
        <w:jc w:val="both"/>
        <w:rPr>
          <w:bCs/>
          <w:color w:val="002060"/>
          <w:sz w:val="16"/>
          <w:szCs w:val="16"/>
        </w:rPr>
      </w:pPr>
      <w:r w:rsidRPr="00405303">
        <w:rPr>
          <w:bCs/>
          <w:color w:val="002060"/>
          <w:sz w:val="16"/>
          <w:szCs w:val="16"/>
          <w:lang w:bidi="ru-RU"/>
        </w:rPr>
        <w:t>Вид несущих плоскостей и горизонталь</w:t>
      </w:r>
      <w:r w:rsidRPr="00405303">
        <w:rPr>
          <w:bCs/>
          <w:color w:val="002060"/>
          <w:sz w:val="16"/>
          <w:szCs w:val="16"/>
          <w:lang w:bidi="ru-RU"/>
        </w:rPr>
        <w:softHyphen/>
        <w:t>ного оперения ВМ-1 в плане весьма напо</w:t>
      </w:r>
      <w:r w:rsidRPr="00405303">
        <w:rPr>
          <w:bCs/>
          <w:color w:val="002060"/>
          <w:sz w:val="16"/>
          <w:szCs w:val="16"/>
          <w:lang w:bidi="ru-RU"/>
        </w:rPr>
        <w:softHyphen/>
        <w:t>минал немецкий моноплан «Таубе». Данное обстоятельство объяснялось более ранни</w:t>
      </w:r>
      <w:r w:rsidRPr="00405303">
        <w:rPr>
          <w:bCs/>
          <w:color w:val="002060"/>
          <w:sz w:val="16"/>
          <w:szCs w:val="16"/>
          <w:lang w:bidi="ru-RU"/>
        </w:rPr>
        <w:softHyphen/>
        <w:t>ми работами Виллиша, также имеющими сходство с этим распространенным аппа</w:t>
      </w:r>
      <w:r w:rsidRPr="00405303">
        <w:rPr>
          <w:bCs/>
          <w:color w:val="002060"/>
          <w:sz w:val="16"/>
          <w:szCs w:val="16"/>
          <w:lang w:bidi="ru-RU"/>
        </w:rPr>
        <w:softHyphen/>
        <w:t>ратом.</w:t>
      </w:r>
    </w:p>
    <w:p w14:paraId="3CF025F2" w14:textId="77777777" w:rsidR="00F67A02" w:rsidRPr="00405303" w:rsidRDefault="00F67A02" w:rsidP="00C15251">
      <w:pPr>
        <w:jc w:val="both"/>
        <w:rPr>
          <w:bCs/>
          <w:color w:val="002060"/>
          <w:sz w:val="16"/>
          <w:szCs w:val="16"/>
          <w:lang w:bidi="ru-RU"/>
        </w:rPr>
      </w:pPr>
      <w:r w:rsidRPr="00405303">
        <w:rPr>
          <w:bCs/>
          <w:color w:val="002060"/>
          <w:sz w:val="16"/>
          <w:szCs w:val="16"/>
          <w:lang w:bidi="ru-RU"/>
        </w:rPr>
        <w:t>В качестве силовой установки использо</w:t>
      </w:r>
      <w:r w:rsidRPr="00405303">
        <w:rPr>
          <w:bCs/>
          <w:color w:val="002060"/>
          <w:sz w:val="16"/>
          <w:szCs w:val="16"/>
          <w:lang w:bidi="ru-RU"/>
        </w:rPr>
        <w:softHyphen/>
        <w:t>вался двигатель «Гном Моносупап» 100 л.с. с толкающим воздушным винтом</w:t>
      </w:r>
    </w:p>
    <w:p w14:paraId="63EC7B45" w14:textId="77777777" w:rsidR="00F67A02" w:rsidRPr="00405303" w:rsidRDefault="00F67A02" w:rsidP="00C15251">
      <w:pPr>
        <w:jc w:val="both"/>
        <w:rPr>
          <w:bCs/>
          <w:color w:val="002060"/>
          <w:sz w:val="16"/>
          <w:szCs w:val="16"/>
        </w:rPr>
      </w:pPr>
      <w:r w:rsidRPr="00405303">
        <w:rPr>
          <w:bCs/>
          <w:color w:val="002060"/>
          <w:sz w:val="16"/>
          <w:szCs w:val="16"/>
          <w:lang w:bidi="ru-RU"/>
        </w:rPr>
        <w:t>Летные характери</w:t>
      </w:r>
      <w:r w:rsidRPr="00405303">
        <w:rPr>
          <w:bCs/>
          <w:color w:val="002060"/>
          <w:sz w:val="16"/>
          <w:szCs w:val="16"/>
          <w:lang w:bidi="ru-RU"/>
        </w:rPr>
        <w:softHyphen/>
        <w:t>стики оценивались как вполне удовлетво</w:t>
      </w:r>
      <w:r w:rsidRPr="00405303">
        <w:rPr>
          <w:bCs/>
          <w:color w:val="002060"/>
          <w:sz w:val="16"/>
          <w:szCs w:val="16"/>
          <w:lang w:bidi="ru-RU"/>
        </w:rPr>
        <w:softHyphen/>
        <w:t>рительные, однако полностью испытать са</w:t>
      </w:r>
      <w:r w:rsidRPr="00405303">
        <w:rPr>
          <w:bCs/>
          <w:color w:val="002060"/>
          <w:sz w:val="16"/>
          <w:szCs w:val="16"/>
          <w:lang w:bidi="ru-RU"/>
        </w:rPr>
        <w:softHyphen/>
        <w:t>молет не удалось. На 3-й день испытаний, 23-го ноября, лодка столкнулась с льдиной и после полученных повреждений затону</w:t>
      </w:r>
      <w:r w:rsidRPr="00405303">
        <w:rPr>
          <w:bCs/>
          <w:color w:val="002060"/>
          <w:sz w:val="16"/>
          <w:szCs w:val="16"/>
          <w:lang w:bidi="ru-RU"/>
        </w:rPr>
        <w:softHyphen/>
        <w:t>ла. После извлечения ВМ-1 из воды корот</w:t>
      </w:r>
      <w:r w:rsidRPr="00405303">
        <w:rPr>
          <w:bCs/>
          <w:color w:val="002060"/>
          <w:sz w:val="16"/>
          <w:szCs w:val="16"/>
          <w:lang w:bidi="ru-RU"/>
        </w:rPr>
        <w:softHyphen/>
        <w:t>кое время судьба самолета оставалась не</w:t>
      </w:r>
      <w:r w:rsidRPr="00405303">
        <w:rPr>
          <w:bCs/>
          <w:color w:val="002060"/>
          <w:sz w:val="16"/>
          <w:szCs w:val="16"/>
          <w:lang w:bidi="ru-RU"/>
        </w:rPr>
        <w:softHyphen/>
        <w:t>ясной. Благодаря договоренности конст</w:t>
      </w:r>
      <w:r w:rsidRPr="00405303">
        <w:rPr>
          <w:bCs/>
          <w:color w:val="002060"/>
          <w:sz w:val="16"/>
          <w:szCs w:val="16"/>
          <w:lang w:bidi="ru-RU"/>
        </w:rPr>
        <w:softHyphen/>
        <w:t>руктора с В.А. Лебедевым в декабре 1915 г. аварийный образец доставили на Комен</w:t>
      </w:r>
      <w:r w:rsidRPr="00405303">
        <w:rPr>
          <w:bCs/>
          <w:color w:val="002060"/>
          <w:sz w:val="16"/>
          <w:szCs w:val="16"/>
          <w:lang w:bidi="ru-RU"/>
        </w:rPr>
        <w:softHyphen/>
        <w:t>дантский аэродром, где его история про</w:t>
      </w:r>
      <w:r w:rsidRPr="00405303">
        <w:rPr>
          <w:bCs/>
          <w:color w:val="002060"/>
          <w:sz w:val="16"/>
          <w:szCs w:val="16"/>
          <w:lang w:bidi="ru-RU"/>
        </w:rPr>
        <w:softHyphen/>
        <w:t>должилась (23374).</w:t>
      </w:r>
    </w:p>
    <w:p w14:paraId="0241F56A" w14:textId="77777777" w:rsidR="00F67A02" w:rsidRPr="00405303" w:rsidRDefault="00F67A02" w:rsidP="00C15251">
      <w:pPr>
        <w:jc w:val="both"/>
        <w:rPr>
          <w:bCs/>
          <w:color w:val="002060"/>
          <w:sz w:val="16"/>
          <w:szCs w:val="16"/>
        </w:rPr>
      </w:pPr>
    </w:p>
    <w:p w14:paraId="0F7CAEB7" w14:textId="77777777" w:rsidR="00F54115" w:rsidRPr="00B52707" w:rsidRDefault="00F54115" w:rsidP="00F54115">
      <w:pPr>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В ноябре 1915 года в Аэродинамический институт Рябушинского обратился генерал М. М. Поморцев с проектом боевой пневматической ра</w:t>
      </w:r>
      <w:r w:rsidRPr="00B52707">
        <w:rPr>
          <w:rStyle w:val="aa"/>
          <w:rFonts w:ascii="Times New Roman" w:hAnsi="Times New Roman"/>
          <w:color w:val="0070C0"/>
          <w:spacing w:val="0"/>
          <w:sz w:val="16"/>
          <w:szCs w:val="16"/>
        </w:rPr>
        <w:softHyphen/>
        <w:t>кеты. Ракета Поморцева приводилась в движение сжатым воздухом, что существенно ограничивало ее дальность, но зато делало ее бесшумной. Ракета предназначалась для стрельбы из окопов по вражеским позициям.</w:t>
      </w:r>
    </w:p>
    <w:p w14:paraId="3D4765EB" w14:textId="77777777" w:rsidR="00F54115" w:rsidRPr="00B52707" w:rsidRDefault="00F54115" w:rsidP="00F54115">
      <w:pPr>
        <w:jc w:val="both"/>
        <w:rPr>
          <w:color w:val="0070C0"/>
          <w:sz w:val="16"/>
          <w:szCs w:val="16"/>
        </w:rPr>
      </w:pPr>
      <w:r w:rsidRPr="00B52707">
        <w:rPr>
          <w:rStyle w:val="aa"/>
          <w:rFonts w:ascii="Times New Roman" w:hAnsi="Times New Roman"/>
          <w:color w:val="0070C0"/>
          <w:spacing w:val="0"/>
          <w:sz w:val="16"/>
          <w:szCs w:val="16"/>
        </w:rPr>
        <w:lastRenderedPageBreak/>
        <w:t>Боеголовка оснащалась тротилом. В ракете Поморцева было применено два интересных конструктивных ре</w:t>
      </w:r>
      <w:r w:rsidRPr="00B52707">
        <w:rPr>
          <w:rStyle w:val="aa"/>
          <w:rFonts w:ascii="Times New Roman" w:hAnsi="Times New Roman"/>
          <w:color w:val="0070C0"/>
          <w:spacing w:val="0"/>
          <w:sz w:val="16"/>
          <w:szCs w:val="16"/>
        </w:rPr>
        <w:softHyphen/>
        <w:t>шения: в двигателе имелось сопло Лаваля, а с корпусом был свя</w:t>
      </w:r>
      <w:r w:rsidRPr="00B52707">
        <w:rPr>
          <w:rStyle w:val="aa"/>
          <w:rFonts w:ascii="Times New Roman" w:hAnsi="Times New Roman"/>
          <w:color w:val="0070C0"/>
          <w:spacing w:val="0"/>
          <w:sz w:val="16"/>
          <w:szCs w:val="16"/>
        </w:rPr>
        <w:softHyphen/>
        <w:t>зан кольцевой стабилизатор.</w:t>
      </w:r>
    </w:p>
    <w:p w14:paraId="771DAE20" w14:textId="77777777" w:rsidR="00F54115" w:rsidRPr="00B52707" w:rsidRDefault="00F54115" w:rsidP="00F54115">
      <w:pPr>
        <w:jc w:val="both"/>
        <w:rPr>
          <w:rStyle w:val="3"/>
          <w:color w:val="0070C0"/>
          <w:sz w:val="16"/>
          <w:szCs w:val="16"/>
        </w:rPr>
      </w:pPr>
      <w:r w:rsidRPr="00B52707">
        <w:rPr>
          <w:rStyle w:val="3"/>
          <w:color w:val="0070C0"/>
          <w:sz w:val="16"/>
          <w:szCs w:val="16"/>
        </w:rPr>
        <w:t>Профиль сопла был рассчитан так, что поток газов из пороховой камеры втекал в пего с дозвуковой скоростью, а вытекал со сверхзвуковой. Это позволяло существенно увеличить тягу’ двигателя.</w:t>
      </w:r>
    </w:p>
    <w:p w14:paraId="48AE05F3" w14:textId="77777777" w:rsidR="00F54115" w:rsidRPr="00B52707" w:rsidRDefault="00F54115" w:rsidP="00F54115">
      <w:pPr>
        <w:jc w:val="both"/>
        <w:rPr>
          <w:color w:val="0070C0"/>
          <w:sz w:val="16"/>
          <w:szCs w:val="16"/>
        </w:rPr>
      </w:pPr>
      <w:r w:rsidRPr="00B52707">
        <w:rPr>
          <w:rStyle w:val="aa"/>
          <w:rFonts w:ascii="Times New Roman" w:hAnsi="Times New Roman"/>
          <w:color w:val="0070C0"/>
          <w:spacing w:val="0"/>
          <w:sz w:val="16"/>
          <w:szCs w:val="16"/>
        </w:rPr>
        <w:t>В июне 1916 года Поморцев умер. Дальнейшие работы по бо</w:t>
      </w:r>
      <w:r w:rsidRPr="00B52707">
        <w:rPr>
          <w:rStyle w:val="aa"/>
          <w:rFonts w:ascii="Times New Roman" w:hAnsi="Times New Roman"/>
          <w:color w:val="0070C0"/>
          <w:spacing w:val="0"/>
          <w:sz w:val="16"/>
          <w:szCs w:val="16"/>
        </w:rPr>
        <w:softHyphen/>
        <w:t>евым ракетам перешли к Д. II. Рябушинскому (25439).</w:t>
      </w:r>
    </w:p>
    <w:p w14:paraId="57270CB9" w14:textId="77777777" w:rsidR="00F54115" w:rsidRPr="00B52707" w:rsidRDefault="00F54115" w:rsidP="00F54115">
      <w:pPr>
        <w:jc w:val="both"/>
        <w:rPr>
          <w:color w:val="0070C0"/>
          <w:sz w:val="16"/>
          <w:szCs w:val="16"/>
        </w:rPr>
      </w:pPr>
    </w:p>
    <w:p w14:paraId="22B1DB15" w14:textId="7021318F"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1C2E8089" w14:textId="77777777" w:rsidR="004B4E35" w:rsidRPr="00405303" w:rsidRDefault="004B4E35" w:rsidP="00C15251">
      <w:pPr>
        <w:shd w:val="clear" w:color="auto" w:fill="FFFFFF"/>
        <w:jc w:val="both"/>
        <w:rPr>
          <w:bCs/>
          <w:i/>
          <w:color w:val="002060"/>
          <w:sz w:val="16"/>
          <w:szCs w:val="16"/>
        </w:rPr>
      </w:pPr>
    </w:p>
    <w:p w14:paraId="3F05BB52" w14:textId="51C57814" w:rsidR="008B591E" w:rsidRPr="00405303" w:rsidRDefault="008B591E" w:rsidP="00C15251">
      <w:pPr>
        <w:pStyle w:val="p1"/>
        <w:spacing w:before="0" w:beforeAutospacing="0" w:after="0" w:afterAutospacing="0"/>
        <w:jc w:val="both"/>
        <w:rPr>
          <w:bCs/>
          <w:color w:val="002060"/>
          <w:sz w:val="16"/>
          <w:szCs w:val="16"/>
        </w:rPr>
      </w:pPr>
      <w:r w:rsidRPr="00405303">
        <w:rPr>
          <w:bCs/>
          <w:color w:val="002060"/>
          <w:sz w:val="16"/>
          <w:szCs w:val="16"/>
        </w:rPr>
        <w:t>В ноябре 1915 г., по Маниковскому, негде было взять 428 3-дм горных пушек образца 1909 г. (из требовавшихся 732), и он предлагал либо заказать их за границей (иначе «часть потребности остается неудовлетворенной»), либо поручить Путиловскому заводу, но тогда уже «за счет выпуска с этого завода полевых пушек». В конце концов, когда промышленность в России достигла производительности в 3 тыс. легких пушек в год, на замену изношенных, то это был максимум: «Но уже больше этого числа выжать для этой цели было нельзя. Значит, вот предел —</w:t>
      </w:r>
      <w:r w:rsidR="00DB4D64" w:rsidRPr="00405303">
        <w:rPr>
          <w:bCs/>
          <w:color w:val="002060"/>
          <w:sz w:val="16"/>
          <w:szCs w:val="16"/>
        </w:rPr>
        <w:t xml:space="preserve"> </w:t>
      </w:r>
      <w:r w:rsidRPr="00405303">
        <w:rPr>
          <w:rStyle w:val="af"/>
          <w:rFonts w:eastAsiaTheme="majorEastAsia"/>
          <w:bCs/>
          <w:color w:val="002060"/>
          <w:sz w:val="16"/>
          <w:szCs w:val="16"/>
        </w:rPr>
        <w:t>3000 пушек,</w:t>
      </w:r>
      <w:r w:rsidR="00DB4D64" w:rsidRPr="00405303">
        <w:rPr>
          <w:rStyle w:val="af"/>
          <w:rFonts w:eastAsiaTheme="majorEastAsia"/>
          <w:bCs/>
          <w:color w:val="002060"/>
          <w:sz w:val="16"/>
          <w:szCs w:val="16"/>
        </w:rPr>
        <w:t xml:space="preserve"> </w:t>
      </w:r>
      <w:r w:rsidRPr="00405303">
        <w:rPr>
          <w:bCs/>
          <w:color w:val="002060"/>
          <w:sz w:val="16"/>
          <w:szCs w:val="16"/>
        </w:rPr>
        <w:t>которые ежегодно можно было при наших средствах приводить в негодность на фронте собственной стрельбой» (18409).</w:t>
      </w:r>
    </w:p>
    <w:p w14:paraId="59F0116E" w14:textId="77777777" w:rsidR="008B591E" w:rsidRPr="00405303" w:rsidRDefault="008B591E" w:rsidP="00C15251">
      <w:pPr>
        <w:pStyle w:val="p1"/>
        <w:spacing w:before="0" w:beforeAutospacing="0" w:after="0" w:afterAutospacing="0"/>
        <w:jc w:val="both"/>
        <w:rPr>
          <w:bCs/>
          <w:color w:val="002060"/>
          <w:sz w:val="16"/>
          <w:szCs w:val="16"/>
        </w:rPr>
      </w:pPr>
    </w:p>
    <w:p w14:paraId="2E227002" w14:textId="77777777" w:rsidR="00E45D19" w:rsidRPr="00405303" w:rsidRDefault="00E45D19" w:rsidP="00C15251">
      <w:pPr>
        <w:jc w:val="both"/>
        <w:rPr>
          <w:bCs/>
          <w:color w:val="002060"/>
          <w:sz w:val="16"/>
          <w:szCs w:val="16"/>
        </w:rPr>
      </w:pPr>
      <w:r w:rsidRPr="00405303">
        <w:rPr>
          <w:bCs/>
          <w:color w:val="002060"/>
          <w:sz w:val="16"/>
          <w:szCs w:val="16"/>
        </w:rPr>
        <w:t>В ноябре 1915 г., по Маниковскому, негде было взять 428 3-дм горных пушек образца 1909 г. (из требовав</w:t>
      </w:r>
      <w:r w:rsidRPr="00405303">
        <w:rPr>
          <w:bCs/>
          <w:color w:val="002060"/>
          <w:sz w:val="16"/>
          <w:szCs w:val="16"/>
        </w:rPr>
        <w:softHyphen/>
        <w:t>шихся 732), и он предлагал либо заказать их за границей (иначе «часть потребности остается неудовлетворенной»), либо поручить Путиловскому заводу, но тогда уже «за счет выпуска с этого завода полевых пушек». В конце концов, когда промышленность в России достигла производитель</w:t>
      </w:r>
      <w:r w:rsidRPr="00405303">
        <w:rPr>
          <w:bCs/>
          <w:color w:val="002060"/>
          <w:sz w:val="16"/>
          <w:szCs w:val="16"/>
        </w:rPr>
        <w:softHyphen/>
        <w:t>ности в 3 тыс. легких пушек в год, на замену изношенных, то это был максимум: «Но уже больше этого числа выжать для этой цели было нельзя. Значит, вот предел — 3000 пушек, которые ежегодно можно было при наших средствах приво</w:t>
      </w:r>
      <w:r w:rsidRPr="00405303">
        <w:rPr>
          <w:bCs/>
          <w:color w:val="002060"/>
          <w:sz w:val="16"/>
          <w:szCs w:val="16"/>
        </w:rPr>
        <w:softHyphen/>
        <w:t>дить в негодность на фронте собственной стрельбой» (Там же. Д. 41. Л. 66; Маниковский А.А. Указ. соч. М., 1923. Ч. 3. С. 133). В ян</w:t>
      </w:r>
      <w:r w:rsidRPr="00405303">
        <w:rPr>
          <w:bCs/>
          <w:color w:val="002060"/>
          <w:sz w:val="16"/>
          <w:szCs w:val="16"/>
        </w:rPr>
        <w:softHyphen/>
        <w:t>варе 1917 г. на конференции с союзниками они «катего</w:t>
      </w:r>
      <w:r w:rsidRPr="00405303">
        <w:rPr>
          <w:bCs/>
          <w:color w:val="002060"/>
          <w:sz w:val="16"/>
          <w:szCs w:val="16"/>
        </w:rPr>
        <w:softHyphen/>
        <w:t xml:space="preserve">рически отказались дать нам легкие орудия», докладывал Маниковский правительству 23 июня 1917 г. (РГВИА. Ф. 366. </w:t>
      </w:r>
      <w:r w:rsidRPr="00405303">
        <w:rPr>
          <w:bCs/>
          <w:color w:val="002060"/>
          <w:sz w:val="16"/>
          <w:szCs w:val="16"/>
          <w:lang w:val="en-US" w:bidi="en-US"/>
        </w:rPr>
        <w:t>On</w:t>
      </w:r>
      <w:r w:rsidRPr="00405303">
        <w:rPr>
          <w:bCs/>
          <w:color w:val="002060"/>
          <w:sz w:val="16"/>
          <w:szCs w:val="16"/>
          <w:lang w:bidi="en-US"/>
        </w:rPr>
        <w:t xml:space="preserve">. </w:t>
      </w:r>
      <w:r w:rsidRPr="00405303">
        <w:rPr>
          <w:bCs/>
          <w:color w:val="002060"/>
          <w:sz w:val="16"/>
          <w:szCs w:val="16"/>
        </w:rPr>
        <w:t>1. Д. 410. Л. 10. На протяжении 1916 г. в Англии, Франции и США исполняли русские заказы на внутренние трубы, дру</w:t>
      </w:r>
      <w:r w:rsidRPr="00405303">
        <w:rPr>
          <w:bCs/>
          <w:color w:val="002060"/>
          <w:sz w:val="16"/>
          <w:szCs w:val="16"/>
        </w:rPr>
        <w:softHyphen/>
        <w:t>гие крупные части орудий, колеса (Сидоров А.Л. Финансовое положение России. С. 410-411, 414; Ф. 504</w:t>
      </w:r>
      <w:r w:rsidRPr="00405303">
        <w:rPr>
          <w:bCs/>
          <w:color w:val="002060"/>
          <w:sz w:val="16"/>
          <w:szCs w:val="16"/>
          <w:vertAlign w:val="subscript"/>
        </w:rPr>
        <w:t>ь</w:t>
      </w:r>
      <w:r w:rsidRPr="00405303">
        <w:rPr>
          <w:bCs/>
          <w:color w:val="002060"/>
          <w:sz w:val="16"/>
          <w:szCs w:val="16"/>
        </w:rPr>
        <w:t>Оп. 6. Д. 68. Л. 50 об., 80, 259 об. и др. Депеши Сапожникова из Нью-Йорка, январь—июнь 1916 г., распоря</w:t>
      </w:r>
      <w:r w:rsidRPr="00405303">
        <w:rPr>
          <w:bCs/>
          <w:color w:val="002060"/>
          <w:sz w:val="16"/>
          <w:szCs w:val="16"/>
        </w:rPr>
        <w:softHyphen/>
        <w:t xml:space="preserve">жение Маниковского </w:t>
      </w:r>
      <w:r w:rsidRPr="00405303">
        <w:rPr>
          <w:bCs/>
          <w:color w:val="002060"/>
          <w:sz w:val="16"/>
          <w:szCs w:val="16"/>
          <w:lang w:bidi="en-US"/>
        </w:rPr>
        <w:t>15.</w:t>
      </w:r>
      <w:r w:rsidRPr="00405303">
        <w:rPr>
          <w:bCs/>
          <w:color w:val="002060"/>
          <w:sz w:val="16"/>
          <w:szCs w:val="16"/>
          <w:lang w:val="en-US" w:bidi="en-US"/>
        </w:rPr>
        <w:t>V</w:t>
      </w:r>
      <w:r w:rsidRPr="00405303">
        <w:rPr>
          <w:bCs/>
          <w:color w:val="002060"/>
          <w:sz w:val="16"/>
          <w:szCs w:val="16"/>
          <w:lang w:bidi="en-US"/>
        </w:rPr>
        <w:t xml:space="preserve">.1916), </w:t>
      </w:r>
      <w:r w:rsidRPr="00405303">
        <w:rPr>
          <w:bCs/>
          <w:color w:val="002060"/>
          <w:sz w:val="16"/>
          <w:szCs w:val="16"/>
        </w:rPr>
        <w:t>многие тысячи пружин накатника для 3-дм пушек образца 1902 г., тогда как Ижевский завод в апреле 1916 г. еще только намечал дооборудование для повышения выпуска таких пру</w:t>
      </w:r>
      <w:r w:rsidRPr="00405303">
        <w:rPr>
          <w:bCs/>
          <w:color w:val="002060"/>
          <w:sz w:val="16"/>
          <w:szCs w:val="16"/>
        </w:rPr>
        <w:softHyphen/>
        <w:t>жин до 6 тысяч в месяц. С июня—июля потребность в пружинах вполне удовлетворялась внутри России (Там же. Ф. 504. Оп. 6. Д. 99. Л. 9, 12, 13, 52, 59; Д. 68. Л. 281). 9 ноября 1916 г. ГАУ приостановило высылку американской фирмой заказанных ей 10 тысяч пружин, так как они были изготовлены по техническим условиям 1913 г., уже пересмотрен</w:t>
      </w:r>
      <w:r w:rsidRPr="00405303">
        <w:rPr>
          <w:bCs/>
          <w:color w:val="002060"/>
          <w:sz w:val="16"/>
          <w:szCs w:val="16"/>
        </w:rPr>
        <w:softHyphen/>
        <w:t>ным, и считались теперь негодными (Там же. Ф. 504. Оп. 6. Д. 68. Л. 525, 528, 554 об.). Франция поставляла в 1916 г. черновые (неотде</w:t>
      </w:r>
      <w:r w:rsidRPr="00405303">
        <w:rPr>
          <w:bCs/>
          <w:color w:val="002060"/>
          <w:sz w:val="16"/>
          <w:szCs w:val="16"/>
        </w:rPr>
        <w:softHyphen/>
        <w:t>ланные, но закаленные) внутренние трубы для обновления расстрелян</w:t>
      </w:r>
      <w:r w:rsidRPr="00405303">
        <w:rPr>
          <w:bCs/>
          <w:color w:val="002060"/>
          <w:sz w:val="16"/>
          <w:szCs w:val="16"/>
        </w:rPr>
        <w:softHyphen/>
        <w:t xml:space="preserve">ных стволов 3-дм пушек (Там же. Ф. 2000. </w:t>
      </w:r>
      <w:r w:rsidRPr="00405303">
        <w:rPr>
          <w:bCs/>
          <w:color w:val="002060"/>
          <w:sz w:val="16"/>
          <w:szCs w:val="16"/>
          <w:lang w:val="en-US" w:bidi="en-US"/>
        </w:rPr>
        <w:t>On</w:t>
      </w:r>
      <w:r w:rsidRPr="00405303">
        <w:rPr>
          <w:bCs/>
          <w:color w:val="002060"/>
          <w:sz w:val="16"/>
          <w:szCs w:val="16"/>
          <w:lang w:bidi="en-US"/>
        </w:rPr>
        <w:t xml:space="preserve">. </w:t>
      </w:r>
      <w:r w:rsidRPr="00405303">
        <w:rPr>
          <w:bCs/>
          <w:color w:val="002060"/>
          <w:sz w:val="16"/>
          <w:szCs w:val="16"/>
        </w:rPr>
        <w:t>1. Д. 5734. Л. 22—23; Ф. 29. Оп. 3. Д. 968. Л. 117). 15 мая 1916 г. Франция, прислав 430 труб из заказанных 1000, остановила исполнение обязательства, и Маниковский распорядился принять «настойчивые меры» для заказа 1500 таких болванок в Англии (Там же. Ф. 504. Оп. 6. Д. 68. Л. 196 и об., 237)) Тем не менее, как признавал Ф.Ф. Палицын, «Англия и Франция в пери</w:t>
      </w:r>
      <w:r w:rsidRPr="00405303">
        <w:rPr>
          <w:bCs/>
          <w:color w:val="002060"/>
          <w:sz w:val="16"/>
          <w:szCs w:val="16"/>
        </w:rPr>
        <w:softHyphen/>
        <w:t>од конца 1916 и начала 1917 г. дали столько, сколько мы в организационной работе на месте не могли переработать» (то есть не успевали формировать новые батареи и диви</w:t>
      </w:r>
      <w:r w:rsidRPr="00405303">
        <w:rPr>
          <w:bCs/>
          <w:color w:val="002060"/>
          <w:sz w:val="16"/>
          <w:szCs w:val="16"/>
        </w:rPr>
        <w:softHyphen/>
        <w:t>зионы) (23452).</w:t>
      </w:r>
    </w:p>
    <w:p w14:paraId="7A2FCF12" w14:textId="77777777" w:rsidR="00E45D19" w:rsidRPr="00405303" w:rsidRDefault="00E45D19" w:rsidP="00C15251">
      <w:pPr>
        <w:jc w:val="both"/>
        <w:rPr>
          <w:bCs/>
          <w:color w:val="002060"/>
          <w:sz w:val="16"/>
          <w:szCs w:val="16"/>
          <w:lang w:bidi="ru-RU"/>
        </w:rPr>
      </w:pPr>
    </w:p>
    <w:p w14:paraId="69D97E3A" w14:textId="77777777" w:rsidR="008B591E" w:rsidRPr="00405303" w:rsidRDefault="008B591E" w:rsidP="00C15251">
      <w:pPr>
        <w:jc w:val="both"/>
        <w:rPr>
          <w:bCs/>
          <w:color w:val="002060"/>
          <w:sz w:val="16"/>
          <w:szCs w:val="16"/>
        </w:rPr>
      </w:pPr>
      <w:r w:rsidRPr="00405303">
        <w:rPr>
          <w:bCs/>
          <w:color w:val="002060"/>
          <w:sz w:val="16"/>
          <w:szCs w:val="16"/>
        </w:rPr>
        <w:t>В ноябре 1915 г., по Маниковскому, негде было взять 428 3-дм горных пушек обр. 1909 г. (из требовавшихся 732), и он предлагал либо заказать их за границей (иначе «часть потребности остается неудовлетворенной»), либо поручить Путиловскому заводу, но тогда уже «за счет выпуска с этого завода полевых пушек». В конце концов, когда русская промышленность достигла производительности в 3 тыс. легких пушек в год, на замену изношенных, то это был максимум: «Но уже больше этого числа выжать для этой цели было нельзя. Значит, вот предел — 3000 пушек, которые ежегодно можно было при наших средствах приводить в негодность на фронте собственной стрельбой» [Маниковский 1923, ч. 3: 133] (18408).</w:t>
      </w:r>
    </w:p>
    <w:p w14:paraId="57CC6C08" w14:textId="77777777" w:rsidR="008B591E" w:rsidRPr="00405303" w:rsidRDefault="008B591E" w:rsidP="00C15251">
      <w:pPr>
        <w:jc w:val="both"/>
        <w:rPr>
          <w:bCs/>
          <w:color w:val="002060"/>
          <w:sz w:val="16"/>
          <w:szCs w:val="16"/>
        </w:rPr>
      </w:pPr>
    </w:p>
    <w:p w14:paraId="58595D80" w14:textId="77777777" w:rsidR="008B591E" w:rsidRPr="00405303" w:rsidRDefault="008B591E" w:rsidP="00C15251">
      <w:pPr>
        <w:pStyle w:val="p1"/>
        <w:spacing w:before="0" w:beforeAutospacing="0" w:after="0" w:afterAutospacing="0"/>
        <w:jc w:val="both"/>
        <w:rPr>
          <w:bCs/>
          <w:color w:val="002060"/>
          <w:sz w:val="16"/>
          <w:szCs w:val="16"/>
        </w:rPr>
      </w:pPr>
      <w:r w:rsidRPr="00405303">
        <w:rPr>
          <w:bCs/>
          <w:color w:val="002060"/>
          <w:sz w:val="16"/>
          <w:szCs w:val="16"/>
        </w:rPr>
        <w:t>В ноябре 1915 г., подсчитав потребности фронта до середины 1917 г., Маниковский докладывал Военному министерству, что 1400 48-лин. (122-мм) гаубиц (из требовавшихся 2396) придется заказать за границей. Он предупреждал, что «если заказ [этих 1400] гаубиц за границей не состоится, получить их в России не удастся, так как ни один из существующих заводов принять заказ не может».</w:t>
      </w:r>
    </w:p>
    <w:p w14:paraId="7764D53B" w14:textId="77777777" w:rsidR="008B591E" w:rsidRPr="00405303" w:rsidRDefault="008B591E" w:rsidP="00C15251">
      <w:pPr>
        <w:pStyle w:val="p1"/>
        <w:spacing w:before="0" w:beforeAutospacing="0" w:after="0" w:afterAutospacing="0"/>
        <w:jc w:val="both"/>
        <w:rPr>
          <w:bCs/>
          <w:color w:val="002060"/>
          <w:sz w:val="16"/>
          <w:szCs w:val="16"/>
        </w:rPr>
      </w:pPr>
      <w:r w:rsidRPr="00405303">
        <w:rPr>
          <w:bCs/>
          <w:color w:val="002060"/>
          <w:sz w:val="16"/>
          <w:szCs w:val="16"/>
        </w:rPr>
        <w:t xml:space="preserve">Все 42-лин. (107-мм) тяжелые пушки, состоявшие на вооружении к середине 1915 г., были французского изготовления (122 шт. по контракту 1910 года). При потребности в 808 таких орудий в России ожидали от Путиловского завода 315 пушек, заказанных в феврале и июле 1914 г. (с обязательством начать поставку с апреля 1916 г.; фактически этот завод дал с июня по декабрь 1916 г. 50 и в 1917 г. еще 20 шт.). В июне 1915 г. ГАУ запросило и Петроградский орудийный завод, но выяснилось, что он не мог бы одновременно с 42-лин. пушками исполнять наряд на 3-дм пушки, признаваемый в условиях маневренной войны более срочным. Тогда ГАУ адресовалось к Обуховскому заводу, и, хотя там не рассчитывали начать выпуск 42-лин. пушек раньше осени 1916 г. (по 12 в месяц), заказ на 400 пушек все же пришлось дать ему (25 июня 1916 г.). А требовалось 808 шт. «Так как все производство 42-лин. пушек на русских заводах следует считать данными заказами совершенно использованным, — докладывал Маниковский 10 ноября 1915 г., — то рассчитывать получить 42-лин. пушки можно только с иностранных заводов» (французских или японских)[83]. На протяжении 1916 г. число 42-лин. пушек (скорострельных, образца 1910 г.) на фронтах не превышало 116, а в 1917 г. достигло 172 шт. Обуховский завод по февраль 1917 г. выпустил 51 </w:t>
      </w:r>
      <w:proofErr w:type="gramStart"/>
      <w:r w:rsidRPr="00405303">
        <w:rPr>
          <w:bCs/>
          <w:color w:val="002060"/>
          <w:sz w:val="16"/>
          <w:szCs w:val="16"/>
        </w:rPr>
        <w:t>пушку</w:t>
      </w:r>
      <w:r w:rsidRPr="00405303">
        <w:rPr>
          <w:bCs/>
          <w:color w:val="002060"/>
          <w:sz w:val="16"/>
          <w:szCs w:val="16"/>
          <w:vertAlign w:val="superscript"/>
        </w:rPr>
        <w:t>{</w:t>
      </w:r>
      <w:proofErr w:type="gramEnd"/>
      <w:r w:rsidRPr="00405303">
        <w:rPr>
          <w:bCs/>
          <w:color w:val="002060"/>
          <w:sz w:val="16"/>
          <w:szCs w:val="16"/>
          <w:vertAlign w:val="superscript"/>
        </w:rPr>
        <w:t>374}</w:t>
      </w:r>
      <w:r w:rsidRPr="00405303">
        <w:rPr>
          <w:bCs/>
          <w:color w:val="002060"/>
          <w:sz w:val="16"/>
          <w:szCs w:val="16"/>
        </w:rPr>
        <w:t>. Тяжелая артиллерия имела на вооружении также 42-лин. пушки образца 1877 г. и другие устаревшие системы: 152-мм в 120, 190 и 200 пудов образца 1877 и 1904 гг., 229-мм береговые образца 1867 г., 155-мм французские образца 1877 г., 127-мм английские и др. (18409).</w:t>
      </w:r>
    </w:p>
    <w:p w14:paraId="7255418D" w14:textId="77777777" w:rsidR="008B591E" w:rsidRPr="00405303" w:rsidRDefault="008B591E" w:rsidP="00C15251">
      <w:pPr>
        <w:pStyle w:val="p1"/>
        <w:spacing w:before="0" w:beforeAutospacing="0" w:after="0" w:afterAutospacing="0"/>
        <w:jc w:val="both"/>
        <w:rPr>
          <w:bCs/>
          <w:color w:val="002060"/>
          <w:sz w:val="16"/>
          <w:szCs w:val="16"/>
        </w:rPr>
      </w:pPr>
    </w:p>
    <w:p w14:paraId="41B258AB" w14:textId="77777777" w:rsidR="00F54115" w:rsidRPr="00B52707" w:rsidRDefault="00F54115" w:rsidP="00F54115">
      <w:pPr>
        <w:jc w:val="both"/>
        <w:rPr>
          <w:color w:val="0070C0"/>
          <w:sz w:val="16"/>
          <w:szCs w:val="16"/>
        </w:rPr>
      </w:pPr>
      <w:r w:rsidRPr="00B52707">
        <w:rPr>
          <w:color w:val="0070C0"/>
          <w:sz w:val="16"/>
          <w:szCs w:val="16"/>
        </w:rPr>
        <w:t>В ноябре 1915 г. генерал-лейтенант Р. А. Дурляхов спроектировал мобильную 406-мм гаубицу. 25 февраля 1916 г. Обуховскому заводу дан заказ на 4 ствола, а Брянскому заводу – на 4 сборных лафета. К началу 1920 г. стволы 406-мм гаубиц находились на Обуховском заводе. Готовность стволов: двух – 75 %, одного – 50 % и последнего – 25 % (26184).</w:t>
      </w:r>
    </w:p>
    <w:p w14:paraId="72006B24" w14:textId="77777777" w:rsidR="00F54115" w:rsidRPr="00B52707" w:rsidRDefault="00F54115" w:rsidP="00F54115">
      <w:pPr>
        <w:jc w:val="both"/>
        <w:rPr>
          <w:color w:val="0070C0"/>
          <w:sz w:val="16"/>
          <w:szCs w:val="16"/>
        </w:rPr>
      </w:pPr>
    </w:p>
    <w:p w14:paraId="151B27D0" w14:textId="77777777" w:rsidR="00F54115" w:rsidRPr="00B52707" w:rsidRDefault="00F54115" w:rsidP="00F54115">
      <w:pPr>
        <w:jc w:val="both"/>
        <w:rPr>
          <w:color w:val="0070C0"/>
          <w:sz w:val="16"/>
          <w:szCs w:val="16"/>
        </w:rPr>
      </w:pPr>
      <w:r w:rsidRPr="00B52707">
        <w:rPr>
          <w:color w:val="0070C0"/>
          <w:sz w:val="16"/>
          <w:szCs w:val="16"/>
        </w:rPr>
        <w:t>В но</w:t>
      </w:r>
      <w:r w:rsidRPr="00B52707">
        <w:rPr>
          <w:color w:val="0070C0"/>
          <w:sz w:val="16"/>
          <w:szCs w:val="16"/>
        </w:rPr>
        <w:softHyphen/>
        <w:t>ябре 1915 года для вооружения «остинов» 2-й серии на Путиловском заводе зака</w:t>
      </w:r>
      <w:r w:rsidRPr="00B52707">
        <w:rPr>
          <w:color w:val="0070C0"/>
          <w:sz w:val="16"/>
          <w:szCs w:val="16"/>
        </w:rPr>
        <w:softHyphen/>
        <w:t>зали 100 комплектов пулеметных станков, еще 20 изготовили мастерские Офицерской стрелковой школы. Их монтаж, установку охлаждающих бачков к пулеметам и воору</w:t>
      </w:r>
      <w:r w:rsidRPr="00B52707">
        <w:rPr>
          <w:color w:val="0070C0"/>
          <w:sz w:val="16"/>
          <w:szCs w:val="16"/>
        </w:rPr>
        <w:softHyphen/>
        <w:t>жения вели мастерские Военной автошколы и Запасной броневой роты.</w:t>
      </w:r>
    </w:p>
    <w:p w14:paraId="4DD3010C" w14:textId="77777777" w:rsidR="00F54115" w:rsidRPr="00B52707" w:rsidRDefault="00F54115" w:rsidP="00F54115">
      <w:pPr>
        <w:jc w:val="both"/>
        <w:rPr>
          <w:color w:val="0070C0"/>
          <w:sz w:val="16"/>
          <w:szCs w:val="16"/>
        </w:rPr>
      </w:pPr>
      <w:r w:rsidRPr="00B52707">
        <w:rPr>
          <w:color w:val="0070C0"/>
          <w:sz w:val="16"/>
          <w:szCs w:val="16"/>
        </w:rPr>
        <w:t>При осмотре новых «остинов» 2-й се</w:t>
      </w:r>
      <w:r w:rsidRPr="00B52707">
        <w:rPr>
          <w:color w:val="0070C0"/>
          <w:sz w:val="16"/>
          <w:szCs w:val="16"/>
        </w:rPr>
        <w:softHyphen/>
        <w:t>рии, несмотря на видимый ряд преимуществ по сравнению с машинами 1-й серии, у рус</w:t>
      </w:r>
      <w:r w:rsidRPr="00B52707">
        <w:rPr>
          <w:color w:val="0070C0"/>
          <w:sz w:val="16"/>
          <w:szCs w:val="16"/>
        </w:rPr>
        <w:softHyphen/>
        <w:t>ских офицеров мнения разделились (25008).</w:t>
      </w:r>
    </w:p>
    <w:p w14:paraId="32DC02D3" w14:textId="77777777" w:rsidR="00F54115" w:rsidRPr="00B52707" w:rsidRDefault="00F54115" w:rsidP="00F54115">
      <w:pPr>
        <w:jc w:val="both"/>
        <w:rPr>
          <w:color w:val="0070C0"/>
          <w:sz w:val="16"/>
          <w:szCs w:val="16"/>
        </w:rPr>
      </w:pPr>
    </w:p>
    <w:p w14:paraId="4BC0A7A5" w14:textId="77777777" w:rsidR="008B591E" w:rsidRPr="00405303" w:rsidRDefault="008B591E" w:rsidP="00C15251">
      <w:pPr>
        <w:pStyle w:val="ae"/>
        <w:spacing w:before="0" w:beforeAutospacing="0" w:after="0" w:afterAutospacing="0"/>
        <w:jc w:val="both"/>
        <w:rPr>
          <w:bCs/>
          <w:color w:val="002060"/>
          <w:sz w:val="16"/>
          <w:szCs w:val="16"/>
        </w:rPr>
      </w:pPr>
      <w:r w:rsidRPr="00405303">
        <w:rPr>
          <w:bCs/>
          <w:color w:val="002060"/>
          <w:sz w:val="16"/>
          <w:szCs w:val="16"/>
        </w:rPr>
        <w:t>В ноябре 1915 г. В.П. Литвиновым-Фалинским был подготовлен доклад по теме «О мобилизации русской промышленности», с которым он 16 декабря того же года выступил на заседании Особого совещания по обороне.</w:t>
      </w:r>
    </w:p>
    <w:p w14:paraId="38EC54A9" w14:textId="77777777" w:rsidR="008B591E" w:rsidRPr="00405303" w:rsidRDefault="008B591E" w:rsidP="00C15251">
      <w:pPr>
        <w:pStyle w:val="ae"/>
        <w:spacing w:before="0" w:beforeAutospacing="0" w:after="0" w:afterAutospacing="0"/>
        <w:jc w:val="both"/>
        <w:rPr>
          <w:bCs/>
          <w:color w:val="002060"/>
          <w:sz w:val="16"/>
          <w:szCs w:val="16"/>
        </w:rPr>
      </w:pPr>
      <w:r w:rsidRPr="00405303">
        <w:rPr>
          <w:bCs/>
          <w:color w:val="002060"/>
          <w:sz w:val="16"/>
          <w:szCs w:val="16"/>
        </w:rPr>
        <w:t xml:space="preserve">Кратко представив картину снабжения русской армии за полтора года войны, Литвинов-Фалинский формулирует первый принципиальный вывод: «Готовность к войне в отношении снаряжений и снабжения армии должна определяться не запасами, а возможностью производства заготовлений во время самой войны на внутреннем рынке и за границей». Вместе с тем, подчеркивает автор доклада, заказы за границей, как у союзников, так и в нейтральных странах, имеют целый ряд серьезных недостатков: трудности доставки заказанных предметов, ослабление финансовой системы страны, отвлечение ресурсов от решения внутренних проблем государства и проч. Отсюда делается второй важный вывод: только внутреннее производство может служить основой обороноспособности страны. Оценивая далее состояние отечественной промышленности и ее возможности по обеспечению воюющей армии всем необходимым накануне войны, Литвинов-Фалинский рисует </w:t>
      </w:r>
      <w:r w:rsidRPr="00405303">
        <w:rPr>
          <w:bCs/>
          <w:color w:val="002060"/>
          <w:sz w:val="16"/>
          <w:szCs w:val="16"/>
        </w:rPr>
        <w:lastRenderedPageBreak/>
        <w:t>картину определенных успехов в налаживании внутреннего военного производства. Исходя из неопределенных перспектив послевоенной военно-политической обстановки, в докладе ставится важнейшая задача - «о сохранении в мирное время той способности русской промышленности к производству предметов военного снаряжения, которую она проявляет во время войны». Для этого требуется организовать планомерное использование основных фондов предприятий, созданных во время войны и предназначенных для военного производства. В качестве конкретных мер В.П. Литвинов-Фалинский предлагает наложение на заводы обязательств по поддержанию этих фондов в готовности к использованию по предназначению взамен на предоставление им определенных льгот. Такой же порядок автор доклада предлагает реализовывать и в отношении всех вновь создающихся производств. Помимо мер производственно-технологического характера в докладе Литвинова- Фалинского содержится и целый ряд мероприятий иного характера, а именно: вывод крупномасштабного производства из района</w:t>
      </w:r>
    </w:p>
    <w:p w14:paraId="5D78AA90" w14:textId="77777777" w:rsidR="008B591E" w:rsidRPr="00405303" w:rsidRDefault="008B591E" w:rsidP="00C15251">
      <w:pPr>
        <w:pStyle w:val="ae"/>
        <w:spacing w:before="0" w:beforeAutospacing="0" w:after="0" w:afterAutospacing="0"/>
        <w:jc w:val="both"/>
        <w:rPr>
          <w:bCs/>
          <w:color w:val="002060"/>
          <w:sz w:val="16"/>
          <w:szCs w:val="16"/>
        </w:rPr>
      </w:pPr>
      <w:r w:rsidRPr="00405303">
        <w:rPr>
          <w:bCs/>
          <w:color w:val="002060"/>
          <w:sz w:val="16"/>
          <w:szCs w:val="16"/>
        </w:rPr>
        <w:t>Петрограда ближе к источникам топлива и сырья (Урал и Юг России); развертывание работ по обеспечению отечественной промышленности собственным сырьем; использование альтернативных источников энергии (в частности, гидроэлектростанций). Разработку и реализацию программы «мобилизации промышленности», т. е. создания мощного оборонного сектора промышленности, включающего как казенные, так и частные предприятия, автор доклада предлагал возложить на специально учрежденный орган, работающий в системе Особого совещания по обороне.</w:t>
      </w:r>
    </w:p>
    <w:p w14:paraId="793447FA" w14:textId="77777777" w:rsidR="008B591E" w:rsidRPr="00405303" w:rsidRDefault="008B591E" w:rsidP="00C15251">
      <w:pPr>
        <w:pStyle w:val="ae"/>
        <w:spacing w:before="0" w:beforeAutospacing="0" w:after="0" w:afterAutospacing="0"/>
        <w:jc w:val="both"/>
        <w:rPr>
          <w:bCs/>
          <w:color w:val="002060"/>
          <w:sz w:val="16"/>
          <w:szCs w:val="16"/>
        </w:rPr>
      </w:pPr>
      <w:r w:rsidRPr="00405303">
        <w:rPr>
          <w:bCs/>
          <w:color w:val="002060"/>
          <w:sz w:val="16"/>
          <w:szCs w:val="16"/>
        </w:rPr>
        <w:t>Хотя на заседании Особого совещания по результатам обсуждения доклада В.П. Литвинова-Фалинского и было принято решение о создании такого органа при Военном министерстве, однако на практике оно не было реализовано (18391).</w:t>
      </w:r>
    </w:p>
    <w:p w14:paraId="65BA30B6" w14:textId="77777777" w:rsidR="008B591E" w:rsidRPr="00405303" w:rsidRDefault="008B591E" w:rsidP="00C15251">
      <w:pPr>
        <w:jc w:val="both"/>
        <w:rPr>
          <w:bCs/>
          <w:color w:val="002060"/>
          <w:sz w:val="16"/>
          <w:szCs w:val="16"/>
        </w:rPr>
      </w:pPr>
    </w:p>
    <w:p w14:paraId="32EBAFBA" w14:textId="77777777" w:rsidR="008B591E" w:rsidRPr="00405303" w:rsidRDefault="008B591E" w:rsidP="00C15251">
      <w:pPr>
        <w:jc w:val="both"/>
        <w:rPr>
          <w:bCs/>
          <w:color w:val="002060"/>
          <w:sz w:val="16"/>
          <w:szCs w:val="16"/>
        </w:rPr>
      </w:pPr>
      <w:r w:rsidRPr="00405303">
        <w:rPr>
          <w:bCs/>
          <w:color w:val="002060"/>
          <w:sz w:val="16"/>
          <w:szCs w:val="16"/>
        </w:rPr>
        <w:t>В ноябре 1915 г. совещание приемщиков на предприятии «Л.М. Эриксона» ходатайствует перед заводским совещанием об освобождении от призыва бухгалтеров завода. В январе 1917 г. аналогичный вопрос рассматривает совещание приемщиков на предприятии АО «Сименс и Гальске». Однако на сей раз речь шла о призыве ведущих специалистов – начальника технической части радиотелеграфного отдела и разработчика новых радиостанций штабс-капитана А.А. Савельева, а также заведующего отделом слабых токов, ответственного за выполнение военных заказов на телеграфно-телефонную продукцию прапорщика Э.А. Бетге. Откомандированные в начале войны Инженерным ведомством на завод «Сименс и Гальске», эти специалисты оказались настолько ценными, что заменить их на данном предприятии оказалось невозможным. В связи с этим совещание приемщиков принимает решение ходатайствовать о возвращении инженеров не только перед заводским совещанием, но перед другими инстанциями (18297).</w:t>
      </w:r>
    </w:p>
    <w:p w14:paraId="16C144D8" w14:textId="77777777" w:rsidR="008B591E" w:rsidRPr="00405303" w:rsidRDefault="008B591E" w:rsidP="00C15251">
      <w:pPr>
        <w:jc w:val="both"/>
        <w:rPr>
          <w:bCs/>
          <w:color w:val="002060"/>
          <w:sz w:val="16"/>
          <w:szCs w:val="16"/>
        </w:rPr>
      </w:pPr>
    </w:p>
    <w:p w14:paraId="71E40C91" w14:textId="0595F056"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До ноября 1915 г. завод</w:t>
      </w:r>
      <w:r w:rsidR="001014D2" w:rsidRPr="00405303">
        <w:rPr>
          <w:bCs/>
          <w:i w:val="0"/>
          <w:color w:val="002060"/>
          <w:spacing w:val="0"/>
          <w:kern w:val="0"/>
          <w:position w:val="0"/>
          <w:sz w:val="16"/>
          <w:szCs w:val="16"/>
        </w:rPr>
        <w:t xml:space="preserve"> хлорацетона</w:t>
      </w:r>
      <w:r w:rsidRPr="00405303">
        <w:rPr>
          <w:bCs/>
          <w:i w:val="0"/>
          <w:color w:val="002060"/>
          <w:spacing w:val="0"/>
          <w:kern w:val="0"/>
          <w:position w:val="0"/>
          <w:sz w:val="16"/>
          <w:szCs w:val="16"/>
        </w:rPr>
        <w:t xml:space="preserve"> </w:t>
      </w:r>
      <w:r w:rsidR="001014D2" w:rsidRPr="00405303">
        <w:rPr>
          <w:bCs/>
          <w:i w:val="0"/>
          <w:color w:val="002060"/>
          <w:spacing w:val="0"/>
          <w:kern w:val="0"/>
          <w:position w:val="0"/>
          <w:sz w:val="16"/>
          <w:szCs w:val="16"/>
        </w:rPr>
        <w:t xml:space="preserve">организованный в июле 1915 г. распоряжением главковерха (приказ № 625) в районе Юго-западного фронта, </w:t>
      </w:r>
      <w:r w:rsidRPr="00405303">
        <w:rPr>
          <w:bCs/>
          <w:i w:val="0"/>
          <w:color w:val="002060"/>
          <w:spacing w:val="0"/>
          <w:kern w:val="0"/>
          <w:position w:val="0"/>
          <w:sz w:val="16"/>
          <w:szCs w:val="16"/>
        </w:rPr>
        <w:t>находился в ведении начальника инженерных снабжений фронта, а затем поступил в распоряжение ГАУ, которое расширило завод, устроило в нем лабораторию и установило производство хлорпикрина (11483).</w:t>
      </w:r>
    </w:p>
    <w:p w14:paraId="54C3057E" w14:textId="77777777" w:rsidR="004B4E35" w:rsidRPr="00405303" w:rsidRDefault="004B4E35" w:rsidP="00C15251">
      <w:pPr>
        <w:pStyle w:val="a3"/>
        <w:jc w:val="both"/>
        <w:rPr>
          <w:bCs/>
          <w:i w:val="0"/>
          <w:color w:val="002060"/>
          <w:spacing w:val="0"/>
          <w:kern w:val="0"/>
          <w:position w:val="0"/>
          <w:sz w:val="16"/>
          <w:szCs w:val="16"/>
        </w:rPr>
      </w:pPr>
    </w:p>
    <w:p w14:paraId="7E29B928" w14:textId="77777777" w:rsidR="005567CB" w:rsidRPr="00405303" w:rsidRDefault="005567CB"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В ноябре 1915 г. царское пра</w:t>
      </w:r>
      <w:r w:rsidRPr="00405303">
        <w:rPr>
          <w:rFonts w:ascii="Times New Roman" w:hAnsi="Times New Roman" w:cs="Times New Roman"/>
          <w:bCs/>
          <w:color w:val="002060"/>
          <w:sz w:val="16"/>
          <w:szCs w:val="16"/>
        </w:rPr>
        <w:softHyphen/>
        <w:t>вительство добилось согласия союзников поставить обору</w:t>
      </w:r>
      <w:r w:rsidRPr="00405303">
        <w:rPr>
          <w:rFonts w:ascii="Times New Roman" w:hAnsi="Times New Roman" w:cs="Times New Roman"/>
          <w:bCs/>
          <w:color w:val="002060"/>
          <w:sz w:val="16"/>
          <w:szCs w:val="16"/>
        </w:rPr>
        <w:softHyphen/>
        <w:t>дование для нового патронного завода. Речь шла о постав</w:t>
      </w:r>
      <w:r w:rsidRPr="00405303">
        <w:rPr>
          <w:rFonts w:ascii="Times New Roman" w:hAnsi="Times New Roman" w:cs="Times New Roman"/>
          <w:bCs/>
          <w:color w:val="002060"/>
          <w:sz w:val="16"/>
          <w:szCs w:val="16"/>
        </w:rPr>
        <w:softHyphen/>
        <w:t>ке полного комплекта, рассчитанного на выпуск 10—15 млн патронов в неделю (40—60 в месяц; 480—720 в год) (Маниковский А.А. Указ. соч. Ч. 1. С. 116—117; Королев А.А. Государ</w:t>
      </w:r>
      <w:r w:rsidRPr="00405303">
        <w:rPr>
          <w:rFonts w:ascii="Times New Roman" w:hAnsi="Times New Roman" w:cs="Times New Roman"/>
          <w:bCs/>
          <w:color w:val="002060"/>
          <w:sz w:val="16"/>
          <w:szCs w:val="16"/>
        </w:rPr>
        <w:softHyphen/>
        <w:t>ственно-монополистический капитализм в частной патронной промыш</w:t>
      </w:r>
      <w:r w:rsidRPr="00405303">
        <w:rPr>
          <w:rFonts w:ascii="Times New Roman" w:hAnsi="Times New Roman" w:cs="Times New Roman"/>
          <w:bCs/>
          <w:color w:val="002060"/>
          <w:sz w:val="16"/>
          <w:szCs w:val="16"/>
        </w:rPr>
        <w:softHyphen/>
        <w:t>ленности России в годы Первой мировой войны // Ученые записки Кафедры истории КПСС Тульского гос. пед. института. Тула, 1970. Вып. 2. С. 111-112; Доклад начальника Главного артиллерийского управления 20 ок</w:t>
      </w:r>
      <w:r w:rsidRPr="00405303">
        <w:rPr>
          <w:rFonts w:ascii="Times New Roman" w:hAnsi="Times New Roman" w:cs="Times New Roman"/>
          <w:bCs/>
          <w:color w:val="002060"/>
          <w:sz w:val="16"/>
          <w:szCs w:val="16"/>
        </w:rPr>
        <w:softHyphen/>
        <w:t xml:space="preserve">тября 1916 г. № 165392 военному министру через генерала Фролова. С программой заводского строительства. [Пг., 1916.] С. 46 (экземпляр этого документа имеется в ГПИБ: 1/8675); Маниковский А.А. Указ. соч. Ч. 1. С. 115—116; Сидоров А.Л. Экономическое положение России. С. 142, 304, 306, 435—436; Исторические записки. </w:t>
      </w:r>
      <w:r w:rsidRPr="00405303">
        <w:rPr>
          <w:rFonts w:ascii="Times New Roman" w:hAnsi="Times New Roman" w:cs="Times New Roman"/>
          <w:bCs/>
          <w:color w:val="002060"/>
          <w:sz w:val="16"/>
          <w:szCs w:val="16"/>
          <w:lang w:val="en-US"/>
        </w:rPr>
        <w:t xml:space="preserve">1945. </w:t>
      </w:r>
      <w:r w:rsidRPr="00405303">
        <w:rPr>
          <w:rFonts w:ascii="Times New Roman" w:hAnsi="Times New Roman" w:cs="Times New Roman"/>
          <w:bCs/>
          <w:color w:val="002060"/>
          <w:sz w:val="16"/>
          <w:szCs w:val="16"/>
        </w:rPr>
        <w:t>Т</w:t>
      </w:r>
      <w:r w:rsidRPr="00405303">
        <w:rPr>
          <w:rFonts w:ascii="Times New Roman" w:hAnsi="Times New Roman" w:cs="Times New Roman"/>
          <w:bCs/>
          <w:color w:val="002060"/>
          <w:sz w:val="16"/>
          <w:szCs w:val="16"/>
          <w:lang w:val="en-US"/>
        </w:rPr>
        <w:t xml:space="preserve">. 15. </w:t>
      </w:r>
      <w:r w:rsidRPr="00405303">
        <w:rPr>
          <w:rFonts w:ascii="Times New Roman" w:hAnsi="Times New Roman" w:cs="Times New Roman"/>
          <w:bCs/>
          <w:color w:val="002060"/>
          <w:sz w:val="16"/>
          <w:szCs w:val="16"/>
        </w:rPr>
        <w:t>С</w:t>
      </w:r>
      <w:r w:rsidRPr="00405303">
        <w:rPr>
          <w:rFonts w:ascii="Times New Roman" w:hAnsi="Times New Roman" w:cs="Times New Roman"/>
          <w:bCs/>
          <w:color w:val="002060"/>
          <w:sz w:val="16"/>
          <w:szCs w:val="16"/>
          <w:lang w:val="en-US"/>
        </w:rPr>
        <w:t xml:space="preserve">. 160— 161; 1955. </w:t>
      </w:r>
      <w:r w:rsidRPr="00405303">
        <w:rPr>
          <w:rFonts w:ascii="Times New Roman" w:hAnsi="Times New Roman" w:cs="Times New Roman"/>
          <w:bCs/>
          <w:color w:val="002060"/>
          <w:sz w:val="16"/>
          <w:szCs w:val="16"/>
        </w:rPr>
        <w:t>Т</w:t>
      </w:r>
      <w:r w:rsidRPr="00405303">
        <w:rPr>
          <w:rFonts w:ascii="Times New Roman" w:hAnsi="Times New Roman" w:cs="Times New Roman"/>
          <w:bCs/>
          <w:color w:val="002060"/>
          <w:sz w:val="16"/>
          <w:szCs w:val="16"/>
          <w:lang w:val="en-US"/>
        </w:rPr>
        <w:t xml:space="preserve">. 54. </w:t>
      </w:r>
      <w:r w:rsidRPr="00405303">
        <w:rPr>
          <w:rFonts w:ascii="Times New Roman" w:hAnsi="Times New Roman" w:cs="Times New Roman"/>
          <w:bCs/>
          <w:color w:val="002060"/>
          <w:sz w:val="16"/>
          <w:szCs w:val="16"/>
        </w:rPr>
        <w:t>С</w:t>
      </w:r>
      <w:r w:rsidRPr="00405303">
        <w:rPr>
          <w:rFonts w:ascii="Times New Roman" w:hAnsi="Times New Roman" w:cs="Times New Roman"/>
          <w:bCs/>
          <w:color w:val="002060"/>
          <w:sz w:val="16"/>
          <w:szCs w:val="16"/>
          <w:lang w:val="en-US"/>
        </w:rPr>
        <w:t xml:space="preserve">. 165; </w:t>
      </w:r>
      <w:r w:rsidRPr="00405303">
        <w:rPr>
          <w:rFonts w:ascii="Times New Roman" w:hAnsi="Times New Roman" w:cs="Times New Roman"/>
          <w:bCs/>
          <w:color w:val="002060"/>
          <w:sz w:val="16"/>
          <w:szCs w:val="16"/>
        </w:rPr>
        <w:t>Исторический</w:t>
      </w:r>
      <w:r w:rsidRPr="00405303">
        <w:rPr>
          <w:rFonts w:ascii="Times New Roman" w:hAnsi="Times New Roman" w:cs="Times New Roman"/>
          <w:bCs/>
          <w:color w:val="002060"/>
          <w:sz w:val="16"/>
          <w:szCs w:val="16"/>
          <w:lang w:val="en-US"/>
        </w:rPr>
        <w:t xml:space="preserve"> </w:t>
      </w:r>
      <w:r w:rsidRPr="00405303">
        <w:rPr>
          <w:rFonts w:ascii="Times New Roman" w:hAnsi="Times New Roman" w:cs="Times New Roman"/>
          <w:bCs/>
          <w:color w:val="002060"/>
          <w:sz w:val="16"/>
          <w:szCs w:val="16"/>
        </w:rPr>
        <w:t>архив</w:t>
      </w:r>
      <w:r w:rsidRPr="00405303">
        <w:rPr>
          <w:rFonts w:ascii="Times New Roman" w:hAnsi="Times New Roman" w:cs="Times New Roman"/>
          <w:bCs/>
          <w:color w:val="002060"/>
          <w:sz w:val="16"/>
          <w:szCs w:val="16"/>
          <w:lang w:val="en-US"/>
        </w:rPr>
        <w:t xml:space="preserve">. 1949. </w:t>
      </w:r>
      <w:r w:rsidRPr="00405303">
        <w:rPr>
          <w:rFonts w:ascii="Times New Roman" w:hAnsi="Times New Roman" w:cs="Times New Roman"/>
          <w:bCs/>
          <w:color w:val="002060"/>
          <w:sz w:val="16"/>
          <w:szCs w:val="16"/>
        </w:rPr>
        <w:t>Т</w:t>
      </w:r>
      <w:r w:rsidRPr="00405303">
        <w:rPr>
          <w:rFonts w:ascii="Times New Roman" w:hAnsi="Times New Roman" w:cs="Times New Roman"/>
          <w:bCs/>
          <w:color w:val="002060"/>
          <w:sz w:val="16"/>
          <w:szCs w:val="16"/>
          <w:lang w:val="en-US"/>
        </w:rPr>
        <w:t xml:space="preserve">. 4; </w:t>
      </w:r>
      <w:r w:rsidRPr="00405303">
        <w:rPr>
          <w:rFonts w:ascii="Times New Roman" w:hAnsi="Times New Roman" w:cs="Times New Roman"/>
          <w:bCs/>
          <w:color w:val="002060"/>
          <w:sz w:val="16"/>
          <w:szCs w:val="16"/>
          <w:lang w:val="en-US" w:bidi="en-US"/>
        </w:rPr>
        <w:t xml:space="preserve">Neilson </w:t>
      </w:r>
      <w:r w:rsidRPr="00405303">
        <w:rPr>
          <w:rFonts w:ascii="Times New Roman" w:hAnsi="Times New Roman" w:cs="Times New Roman"/>
          <w:bCs/>
          <w:color w:val="002060"/>
          <w:sz w:val="16"/>
          <w:szCs w:val="16"/>
        </w:rPr>
        <w:t>К</w:t>
      </w:r>
      <w:r w:rsidRPr="00405303">
        <w:rPr>
          <w:rFonts w:ascii="Times New Roman" w:hAnsi="Times New Roman" w:cs="Times New Roman"/>
          <w:bCs/>
          <w:color w:val="002060"/>
          <w:sz w:val="16"/>
          <w:szCs w:val="16"/>
          <w:lang w:val="en-US"/>
        </w:rPr>
        <w:t xml:space="preserve">. </w:t>
      </w:r>
      <w:r w:rsidRPr="00405303">
        <w:rPr>
          <w:rFonts w:ascii="Times New Roman" w:hAnsi="Times New Roman" w:cs="Times New Roman"/>
          <w:bCs/>
          <w:color w:val="002060"/>
          <w:sz w:val="16"/>
          <w:szCs w:val="16"/>
          <w:lang w:val="en-US" w:bidi="en-US"/>
        </w:rPr>
        <w:t xml:space="preserve">Strategy and Supply. </w:t>
      </w:r>
      <w:r w:rsidRPr="00405303">
        <w:rPr>
          <w:rFonts w:ascii="Times New Roman" w:hAnsi="Times New Roman" w:cs="Times New Roman"/>
          <w:bCs/>
          <w:color w:val="002060"/>
          <w:sz w:val="16"/>
          <w:szCs w:val="16"/>
        </w:rPr>
        <w:t>Р. 132). Ле</w:t>
      </w:r>
      <w:r w:rsidRPr="00405303">
        <w:rPr>
          <w:rFonts w:ascii="Times New Roman" w:hAnsi="Times New Roman" w:cs="Times New Roman"/>
          <w:bCs/>
          <w:color w:val="002060"/>
          <w:sz w:val="16"/>
          <w:szCs w:val="16"/>
        </w:rPr>
        <w:softHyphen/>
        <w:t>том-осенью 1916 г. станками для Симбирского патронно</w:t>
      </w:r>
      <w:r w:rsidRPr="00405303">
        <w:rPr>
          <w:rFonts w:ascii="Times New Roman" w:hAnsi="Times New Roman" w:cs="Times New Roman"/>
          <w:bCs/>
          <w:color w:val="002060"/>
          <w:sz w:val="16"/>
          <w:szCs w:val="16"/>
        </w:rPr>
        <w:softHyphen/>
        <w:t xml:space="preserve">го завода нагружались пароходы, отправлявшиеся из США (РГВИА. Ф. 2000. </w:t>
      </w:r>
      <w:r w:rsidRPr="00405303">
        <w:rPr>
          <w:rFonts w:ascii="Times New Roman" w:hAnsi="Times New Roman" w:cs="Times New Roman"/>
          <w:bCs/>
          <w:color w:val="002060"/>
          <w:sz w:val="16"/>
          <w:szCs w:val="16"/>
          <w:lang w:val="en-US" w:bidi="en-US"/>
        </w:rPr>
        <w:t>On</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1. Д. 5572-5574) (23452).</w:t>
      </w:r>
    </w:p>
    <w:p w14:paraId="21B135C2" w14:textId="77777777" w:rsidR="005567CB" w:rsidRPr="00405303" w:rsidRDefault="005567CB" w:rsidP="00C15251">
      <w:pPr>
        <w:jc w:val="both"/>
        <w:rPr>
          <w:bCs/>
          <w:color w:val="002060"/>
          <w:sz w:val="16"/>
          <w:szCs w:val="16"/>
        </w:rPr>
      </w:pPr>
    </w:p>
    <w:p w14:paraId="266821A1" w14:textId="77777777" w:rsidR="005567CB" w:rsidRPr="00405303" w:rsidRDefault="005567CB" w:rsidP="00C15251">
      <w:pPr>
        <w:jc w:val="both"/>
        <w:rPr>
          <w:bCs/>
          <w:color w:val="002060"/>
          <w:sz w:val="16"/>
          <w:szCs w:val="16"/>
        </w:rPr>
      </w:pPr>
      <w:r w:rsidRPr="00405303">
        <w:rPr>
          <w:bCs/>
          <w:color w:val="002060"/>
          <w:sz w:val="16"/>
          <w:szCs w:val="16"/>
        </w:rPr>
        <w:t>В ноябре 1915 г., подсчитав потребности фронта до середи</w:t>
      </w:r>
      <w:r w:rsidRPr="00405303">
        <w:rPr>
          <w:bCs/>
          <w:color w:val="002060"/>
          <w:sz w:val="16"/>
          <w:szCs w:val="16"/>
        </w:rPr>
        <w:softHyphen/>
        <w:t>ны 1917 г., Маниковский докладывал Военному министер</w:t>
      </w:r>
      <w:r w:rsidRPr="00405303">
        <w:rPr>
          <w:bCs/>
          <w:color w:val="002060"/>
          <w:sz w:val="16"/>
          <w:szCs w:val="16"/>
        </w:rPr>
        <w:softHyphen/>
        <w:t>ству (РГВИА. Ф. 369. Оп. 3. Д. 41. Л. 66), что 1400 48-лин. (122-мм) гаубиц (из требовавшихся 2396) придется заказать за границей. Он предупреждал, что «если заказ [этих 1400] гаубиц за границей не состоится, получить их в России не удастся, так как ни один из суще</w:t>
      </w:r>
      <w:r w:rsidRPr="00405303">
        <w:rPr>
          <w:bCs/>
          <w:color w:val="002060"/>
          <w:sz w:val="16"/>
          <w:szCs w:val="16"/>
        </w:rPr>
        <w:softHyphen/>
        <w:t>ствующих заводов принять заказ не может».</w:t>
      </w:r>
    </w:p>
    <w:p w14:paraId="03DEE247" w14:textId="77777777" w:rsidR="005567CB" w:rsidRPr="00405303" w:rsidRDefault="005567CB"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Все 42-лин. (107-мм) тяжелые пушки, состоявшие на во</w:t>
      </w:r>
      <w:r w:rsidRPr="00405303">
        <w:rPr>
          <w:rFonts w:ascii="Times New Roman" w:hAnsi="Times New Roman" w:cs="Times New Roman"/>
          <w:bCs/>
          <w:color w:val="002060"/>
          <w:sz w:val="16"/>
          <w:szCs w:val="16"/>
        </w:rPr>
        <w:softHyphen/>
        <w:t>оружении к середине 1915 г., были французского изготов</w:t>
      </w:r>
      <w:r w:rsidRPr="00405303">
        <w:rPr>
          <w:rFonts w:ascii="Times New Roman" w:hAnsi="Times New Roman" w:cs="Times New Roman"/>
          <w:bCs/>
          <w:color w:val="002060"/>
          <w:sz w:val="16"/>
          <w:szCs w:val="16"/>
        </w:rPr>
        <w:softHyphen/>
        <w:t>ления (122 шт. по контракту 1910 года). При потребности в 808 таких орудий (Год спустя, по исчислению Ставки, артиллерия располагала 77 ору</w:t>
      </w:r>
      <w:r w:rsidRPr="00405303">
        <w:rPr>
          <w:rFonts w:ascii="Times New Roman" w:hAnsi="Times New Roman" w:cs="Times New Roman"/>
          <w:bCs/>
          <w:color w:val="002060"/>
          <w:sz w:val="16"/>
          <w:szCs w:val="16"/>
        </w:rPr>
        <w:softHyphen/>
        <w:t>диями, а требовалось еще 1123 (Банков С.Н. Указ. соч. С. 7)) в России ожидали от Путиловского за</w:t>
      </w:r>
      <w:r w:rsidRPr="00405303">
        <w:rPr>
          <w:rFonts w:ascii="Times New Roman" w:hAnsi="Times New Roman" w:cs="Times New Roman"/>
          <w:bCs/>
          <w:color w:val="002060"/>
          <w:sz w:val="16"/>
          <w:szCs w:val="16"/>
        </w:rPr>
        <w:softHyphen/>
        <w:t>вода 315 пушек, заказанных в феврале и июле 1914 г. (с обязательством начать поставку с апреля 1916 г.; фактиче</w:t>
      </w:r>
      <w:r w:rsidRPr="00405303">
        <w:rPr>
          <w:rFonts w:ascii="Times New Roman" w:hAnsi="Times New Roman" w:cs="Times New Roman"/>
          <w:bCs/>
          <w:color w:val="002060"/>
          <w:sz w:val="16"/>
          <w:szCs w:val="16"/>
        </w:rPr>
        <w:softHyphen/>
        <w:t>ски этот завод дал с июня по декабрь 1916 г. 50 и в 1917 г. еще 20 шт.). В июне 1915 г. ГАУ запросило и Петроград</w:t>
      </w:r>
      <w:r w:rsidRPr="00405303">
        <w:rPr>
          <w:rFonts w:ascii="Times New Roman" w:hAnsi="Times New Roman" w:cs="Times New Roman"/>
          <w:bCs/>
          <w:color w:val="002060"/>
          <w:sz w:val="16"/>
          <w:szCs w:val="16"/>
        </w:rPr>
        <w:softHyphen/>
        <w:t>ский орудийный завод, но выяснилось, что он не мог бы одновременно с 42-лин. пушками исполнять наряд на 3-дм пушки, признаваемый в условиях маневренной войны более срочным. Тогда ГАУ адресовалось к Обуховскому за</w:t>
      </w:r>
      <w:r w:rsidRPr="00405303">
        <w:rPr>
          <w:rFonts w:ascii="Times New Roman" w:hAnsi="Times New Roman" w:cs="Times New Roman"/>
          <w:bCs/>
          <w:color w:val="002060"/>
          <w:sz w:val="16"/>
          <w:szCs w:val="16"/>
        </w:rPr>
        <w:softHyphen/>
        <w:t>воду, и, хотя там не рассчитывали начать выпуск 42-лин. пушек раньше осени 1916 г. (по 12 в месяц), заказ на 400 пушек все же пришлось дать ему (25 июня 1916 г.). А требовалось 808 шт. «Так как все производство 42-лин. пушек на русских заводах следует считать данными заказа</w:t>
      </w:r>
      <w:r w:rsidRPr="00405303">
        <w:rPr>
          <w:rFonts w:ascii="Times New Roman" w:hAnsi="Times New Roman" w:cs="Times New Roman"/>
          <w:bCs/>
          <w:color w:val="002060"/>
          <w:sz w:val="16"/>
          <w:szCs w:val="16"/>
        </w:rPr>
        <w:softHyphen/>
        <w:t>ми совершенно использованным, — докладывал Маников</w:t>
      </w:r>
      <w:r w:rsidRPr="00405303">
        <w:rPr>
          <w:rFonts w:ascii="Times New Roman" w:hAnsi="Times New Roman" w:cs="Times New Roman"/>
          <w:bCs/>
          <w:color w:val="002060"/>
          <w:sz w:val="16"/>
          <w:szCs w:val="16"/>
        </w:rPr>
        <w:softHyphen/>
        <w:t>ский 10 ноября 1915 г., — то рассчитывать получить 42-лин. пушки можно только с иностранных заводов» (французских или японских)1. На протяжении 1916 г. число 42-лин. пу</w:t>
      </w:r>
      <w:r w:rsidRPr="00405303">
        <w:rPr>
          <w:rFonts w:ascii="Times New Roman" w:hAnsi="Times New Roman" w:cs="Times New Roman"/>
          <w:bCs/>
          <w:color w:val="002060"/>
          <w:sz w:val="16"/>
          <w:szCs w:val="16"/>
        </w:rPr>
        <w:softHyphen/>
        <w:t>шек (скорострельных, образца 1910 г.) на фронтах не пре</w:t>
      </w:r>
      <w:r w:rsidRPr="00405303">
        <w:rPr>
          <w:rFonts w:ascii="Times New Roman" w:hAnsi="Times New Roman" w:cs="Times New Roman"/>
          <w:bCs/>
          <w:color w:val="002060"/>
          <w:sz w:val="16"/>
          <w:szCs w:val="16"/>
        </w:rPr>
        <w:softHyphen/>
        <w:t>вышало 116, а в 1917 г. достигло 172 шт. Обуховский завод по февраль 1917 г. выпустил 51 пушку ( С мая 1916 по февраль 1917 г. шли переговоры с итальянской фир</w:t>
      </w:r>
      <w:r w:rsidRPr="00405303">
        <w:rPr>
          <w:rFonts w:ascii="Times New Roman" w:hAnsi="Times New Roman" w:cs="Times New Roman"/>
          <w:bCs/>
          <w:color w:val="002060"/>
          <w:sz w:val="16"/>
          <w:szCs w:val="16"/>
        </w:rPr>
        <w:softHyphen/>
        <w:t>мой Ансальдо. Она, «необычайно расширив свою деятельность» и по</w:t>
      </w:r>
      <w:r w:rsidRPr="00405303">
        <w:rPr>
          <w:rFonts w:ascii="Times New Roman" w:hAnsi="Times New Roman" w:cs="Times New Roman"/>
          <w:bCs/>
          <w:color w:val="002060"/>
          <w:sz w:val="16"/>
          <w:szCs w:val="16"/>
        </w:rPr>
        <w:softHyphen/>
        <w:t>строив близ Генуи 9 новых заводов, предложила с января 1917 г. давать по 25 42-лин. пушек и 50 6-дм гаубиц Круппа в месяц. Генерал-инспектор артиллерии и Верховный главнокомандующий распорядились «занять за</w:t>
      </w:r>
      <w:r w:rsidRPr="00405303">
        <w:rPr>
          <w:rFonts w:ascii="Times New Roman" w:hAnsi="Times New Roman" w:cs="Times New Roman"/>
          <w:bCs/>
          <w:color w:val="002060"/>
          <w:sz w:val="16"/>
          <w:szCs w:val="16"/>
        </w:rPr>
        <w:softHyphen/>
        <w:t>вод Ансальдо... использовав всю его производительность» (РГВИА. Ф. 29. Оп. 3. Д. 796. Л. 9—10). В мае 1917 г. были готовы к погрузке 10 батарей, но итальянское правительство запретило отправку, были получены толь</w:t>
      </w:r>
      <w:r w:rsidRPr="00405303">
        <w:rPr>
          <w:rFonts w:ascii="Times New Roman" w:hAnsi="Times New Roman" w:cs="Times New Roman"/>
          <w:bCs/>
          <w:color w:val="002060"/>
          <w:sz w:val="16"/>
          <w:szCs w:val="16"/>
        </w:rPr>
        <w:softHyphen/>
        <w:t>ко две батареи 42-лин. пушек (ЭПР. Ч. 2. С. 175; Сидоров АЛ. Финан</w:t>
      </w:r>
      <w:r w:rsidRPr="00405303">
        <w:rPr>
          <w:rFonts w:ascii="Times New Roman" w:hAnsi="Times New Roman" w:cs="Times New Roman"/>
          <w:bCs/>
          <w:color w:val="002060"/>
          <w:sz w:val="16"/>
          <w:szCs w:val="16"/>
        </w:rPr>
        <w:softHyphen/>
        <w:t>совое положение России. С. 410—411, 414; Бодров А.В., Виноградов П.В., Малыгина А.А. Военно-техническое сотрудничество Российской импе</w:t>
      </w:r>
      <w:r w:rsidRPr="00405303">
        <w:rPr>
          <w:rFonts w:ascii="Times New Roman" w:hAnsi="Times New Roman" w:cs="Times New Roman"/>
          <w:bCs/>
          <w:color w:val="002060"/>
          <w:sz w:val="16"/>
          <w:szCs w:val="16"/>
        </w:rPr>
        <w:softHyphen/>
        <w:t xml:space="preserve">рии с союзниками // Россия в стратегии Первой мировой войны. СПб., 2014. С. 198); РГВИА. Ф. 369. Оп. 3. Д. 41. Л. 53, 65-66; Ф. 29. Оп. 3. Д. 939. Л. 252 и об.; Ф. 505. </w:t>
      </w:r>
      <w:r w:rsidRPr="00405303">
        <w:rPr>
          <w:rFonts w:ascii="Times New Roman" w:hAnsi="Times New Roman" w:cs="Times New Roman"/>
          <w:bCs/>
          <w:color w:val="002060"/>
          <w:sz w:val="16"/>
          <w:szCs w:val="16"/>
          <w:lang w:val="en-US" w:bidi="en-US"/>
        </w:rPr>
        <w:t>On</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1. Д. 53. Л. 3; Маниковский А.А. Указ. соч. Т. 2. С. 81, 121). Тяжелая артиллерия имела на вооружении также 42-лин. пушки образца 1877 г. и другие устаревшие системы: 152-мм в 120, 190 и 200 пудов образца 1877 и 1904 гг., 229-мм береговые образца 1867 г., 155-мм французские образца 1877 г., 127-мм английские и др. (Маниковский А.А. Указ. соч. Ч. 3. С. 218; Барсуков Е.З. Русская артиллерия в мировую войну. Т. 2. С. 445. За время войны в полевую артиллерию из крепостей поступили 365 42-лин. пушек образца 1877 г. (РГВИА. Ф. 504. Оп. 2. Д. 496. Л. 2). Они отличались от новых боль</w:t>
      </w:r>
      <w:r w:rsidRPr="00405303">
        <w:rPr>
          <w:rFonts w:ascii="Times New Roman" w:hAnsi="Times New Roman" w:cs="Times New Roman"/>
          <w:bCs/>
          <w:color w:val="002060"/>
          <w:sz w:val="16"/>
          <w:szCs w:val="16"/>
        </w:rPr>
        <w:softHyphen/>
        <w:t xml:space="preserve">шим весом (200 пудов), меньшей подвижностью и тем, что «орудие стреляет не иначе как с платформы» (Там же. Ф. 1. </w:t>
      </w:r>
      <w:r w:rsidRPr="00405303">
        <w:rPr>
          <w:rFonts w:ascii="Times New Roman" w:hAnsi="Times New Roman" w:cs="Times New Roman"/>
          <w:bCs/>
          <w:color w:val="002060"/>
          <w:sz w:val="16"/>
          <w:szCs w:val="16"/>
          <w:lang w:val="en-US" w:bidi="en-US"/>
        </w:rPr>
        <w:t>On</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1. Д. 74436. Л. 276 об.)) (12452).</w:t>
      </w:r>
    </w:p>
    <w:p w14:paraId="189B6788" w14:textId="77777777" w:rsidR="005567CB" w:rsidRPr="00405303" w:rsidRDefault="005567CB" w:rsidP="00C15251">
      <w:pPr>
        <w:jc w:val="both"/>
        <w:rPr>
          <w:bCs/>
          <w:color w:val="002060"/>
          <w:sz w:val="16"/>
          <w:szCs w:val="16"/>
        </w:rPr>
      </w:pPr>
    </w:p>
    <w:p w14:paraId="4B02FD9B" w14:textId="77777777" w:rsidR="005567CB" w:rsidRPr="00405303" w:rsidRDefault="005567CB"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В ноябре 1915 г. сообщалось, что «</w:t>
      </w:r>
      <w:proofErr w:type="gramStart"/>
      <w:r w:rsidRPr="00405303">
        <w:rPr>
          <w:rFonts w:ascii="Times New Roman" w:hAnsi="Times New Roman" w:cs="Times New Roman"/>
          <w:bCs/>
          <w:color w:val="002060"/>
          <w:sz w:val="16"/>
          <w:szCs w:val="16"/>
        </w:rPr>
        <w:t>в .России</w:t>
      </w:r>
      <w:proofErr w:type="gramEnd"/>
      <w:r w:rsidRPr="00405303">
        <w:rPr>
          <w:rFonts w:ascii="Times New Roman" w:hAnsi="Times New Roman" w:cs="Times New Roman"/>
          <w:bCs/>
          <w:color w:val="002060"/>
          <w:sz w:val="16"/>
          <w:szCs w:val="16"/>
        </w:rPr>
        <w:t xml:space="preserve"> одним заводом уже начато с большим успехом фабричное производство магнето по ис</w:t>
      </w:r>
      <w:r w:rsidRPr="00405303">
        <w:rPr>
          <w:rFonts w:ascii="Times New Roman" w:hAnsi="Times New Roman" w:cs="Times New Roman"/>
          <w:bCs/>
          <w:color w:val="002060"/>
          <w:sz w:val="16"/>
          <w:szCs w:val="16"/>
        </w:rPr>
        <w:softHyphen/>
        <w:t>пытанным образцам», уже поставлено производство рессор на рессорной фабрике Мохова, «выпускающей превосход</w:t>
      </w:r>
      <w:r w:rsidRPr="00405303">
        <w:rPr>
          <w:rFonts w:ascii="Times New Roman" w:hAnsi="Times New Roman" w:cs="Times New Roman"/>
          <w:bCs/>
          <w:color w:val="002060"/>
          <w:sz w:val="16"/>
          <w:szCs w:val="16"/>
        </w:rPr>
        <w:softHyphen/>
        <w:t>ный по качеству товар», но карбюраторы «фабричным спо</w:t>
      </w:r>
      <w:r w:rsidRPr="00405303">
        <w:rPr>
          <w:rFonts w:ascii="Times New Roman" w:hAnsi="Times New Roman" w:cs="Times New Roman"/>
          <w:bCs/>
          <w:color w:val="002060"/>
          <w:sz w:val="16"/>
          <w:szCs w:val="16"/>
        </w:rPr>
        <w:softHyphen/>
        <w:t>собом еще не изготовляются», не дается также изготовле</w:t>
      </w:r>
      <w:r w:rsidRPr="00405303">
        <w:rPr>
          <w:rFonts w:ascii="Times New Roman" w:hAnsi="Times New Roman" w:cs="Times New Roman"/>
          <w:bCs/>
          <w:color w:val="002060"/>
          <w:sz w:val="16"/>
          <w:szCs w:val="16"/>
        </w:rPr>
        <w:softHyphen/>
        <w:t xml:space="preserve">ние радиаторов (ЭПР. Ч. 1. С. 387—391; Петров Ю.А. Династия Рябушинских. М., 1997. С. 64—65; Покровский А.С. Материалы промышленной переписи 1918 г. о предприятиях, работавших на оборону // Труды Московского государственного историко-архивного института. 1961. Т. 16. С. 209; Шу гуров Л.М. Автомобили России и СССР. Ч. 1. С. 47; РГВИА. Ф. 509. </w:t>
      </w:r>
      <w:r w:rsidRPr="00405303">
        <w:rPr>
          <w:rFonts w:ascii="Times New Roman" w:hAnsi="Times New Roman" w:cs="Times New Roman"/>
          <w:bCs/>
          <w:color w:val="002060"/>
          <w:sz w:val="16"/>
          <w:szCs w:val="16"/>
          <w:lang w:val="en-US" w:bidi="en-US"/>
        </w:rPr>
        <w:t>On</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1. Д. 1. Л. 51; РГВИА. Ф. 369. Оп. 16. Д. 97. Л. 252. Журнал соединенного засе</w:t>
      </w:r>
      <w:r w:rsidRPr="00405303">
        <w:rPr>
          <w:rFonts w:ascii="Times New Roman" w:hAnsi="Times New Roman" w:cs="Times New Roman"/>
          <w:bCs/>
          <w:color w:val="002060"/>
          <w:sz w:val="16"/>
          <w:szCs w:val="16"/>
        </w:rPr>
        <w:softHyphen/>
        <w:t>дания в РАО, 16.Х1.1915; Там же. Ф. 962. Оп. 2. Д. 82. Л. 8. Разъяснения о состоянии снабжения армии. К середине 1917 г. начали сдавать маг</w:t>
      </w:r>
      <w:r w:rsidRPr="00405303">
        <w:rPr>
          <w:rFonts w:ascii="Times New Roman" w:hAnsi="Times New Roman" w:cs="Times New Roman"/>
          <w:bCs/>
          <w:color w:val="002060"/>
          <w:sz w:val="16"/>
          <w:szCs w:val="16"/>
        </w:rPr>
        <w:softHyphen/>
        <w:t>нето, заказанные в январе 1916 г., мастерские Политехнического инсти</w:t>
      </w:r>
      <w:r w:rsidRPr="00405303">
        <w:rPr>
          <w:rFonts w:ascii="Times New Roman" w:hAnsi="Times New Roman" w:cs="Times New Roman"/>
          <w:bCs/>
          <w:color w:val="002060"/>
          <w:sz w:val="16"/>
          <w:szCs w:val="16"/>
        </w:rPr>
        <w:softHyphen/>
        <w:t>тута (Шильцев Е.А. Исследовательская и производственная деятельность в С.-Петербургском Политехническом институте в интересах армии в годы Первой мировой войны // Война и оружие. Новые исследования и материалы. Труды 5-й международной... конференции. СПб., 2014. Ч. 4. С. 437)) (23452).</w:t>
      </w:r>
    </w:p>
    <w:p w14:paraId="4CC80EE8" w14:textId="77777777" w:rsidR="005567CB" w:rsidRPr="00405303" w:rsidRDefault="005567CB" w:rsidP="00C15251">
      <w:pPr>
        <w:jc w:val="both"/>
        <w:rPr>
          <w:bCs/>
          <w:color w:val="002060"/>
          <w:sz w:val="16"/>
          <w:szCs w:val="16"/>
        </w:rPr>
      </w:pPr>
    </w:p>
    <w:p w14:paraId="58B6A57D"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w:t>
      </w:r>
    </w:p>
    <w:p w14:paraId="71F789C5" w14:textId="77777777" w:rsidR="004B4E35" w:rsidRPr="00405303" w:rsidRDefault="004B4E35" w:rsidP="00C15251">
      <w:pPr>
        <w:shd w:val="clear" w:color="auto" w:fill="FFFFFF"/>
        <w:jc w:val="both"/>
        <w:rPr>
          <w:bCs/>
          <w:i/>
          <w:color w:val="002060"/>
          <w:sz w:val="16"/>
          <w:szCs w:val="16"/>
        </w:rPr>
      </w:pPr>
    </w:p>
    <w:p w14:paraId="406D30D8" w14:textId="77777777" w:rsidR="004B4E35" w:rsidRPr="00405303" w:rsidRDefault="009E6F82" w:rsidP="00C15251">
      <w:pPr>
        <w:jc w:val="both"/>
        <w:rPr>
          <w:bCs/>
          <w:color w:val="002060"/>
          <w:sz w:val="16"/>
          <w:szCs w:val="16"/>
        </w:rPr>
      </w:pPr>
      <w:r w:rsidRPr="00405303">
        <w:rPr>
          <w:bCs/>
          <w:color w:val="002060"/>
          <w:sz w:val="16"/>
          <w:szCs w:val="16"/>
        </w:rPr>
        <w:lastRenderedPageBreak/>
        <w:t>В ноябре 1915 года Эскадру воздушных кораблей перевели на новый штат, который включал школу подготовки летчиков, метеостанцию, фотокабинет, мастерские, гараж, зенитную батарею и три боевых отряда с 20 экапажами. Всего в Эскадре числилось 20 аоздушных кораблей "Илья Муромец" и 24 одномоторных самолета, предназначенных для обеспечения ПВО, эскортирования тяжелых саморолетов и обучения личного состава. По состоянию на 1 ноября 1917 года в Эскадре имелось, в общей сложности, 38 летательных аппаратов. Кроме Россиии, ни одна из воюющих сторон до 1917 года подобными авиационными соединениями не располагала (11184).</w:t>
      </w:r>
    </w:p>
    <w:p w14:paraId="37F7A610" w14:textId="77777777" w:rsidR="004B4E35" w:rsidRPr="00405303" w:rsidRDefault="004B4E35" w:rsidP="00C15251">
      <w:pPr>
        <w:jc w:val="both"/>
        <w:rPr>
          <w:bCs/>
          <w:color w:val="002060"/>
          <w:sz w:val="16"/>
          <w:szCs w:val="16"/>
        </w:rPr>
      </w:pPr>
    </w:p>
    <w:p w14:paraId="32AA7441" w14:textId="77777777" w:rsidR="004B4E35" w:rsidRPr="00405303" w:rsidRDefault="009E6F82" w:rsidP="00C15251">
      <w:pPr>
        <w:jc w:val="both"/>
        <w:rPr>
          <w:bCs/>
          <w:color w:val="002060"/>
          <w:sz w:val="16"/>
          <w:szCs w:val="16"/>
        </w:rPr>
      </w:pPr>
      <w:r w:rsidRPr="00405303">
        <w:rPr>
          <w:bCs/>
          <w:color w:val="002060"/>
          <w:sz w:val="16"/>
          <w:szCs w:val="16"/>
        </w:rPr>
        <w:t>В ноябре 1915 года ЭВК перевели на новый штат, который включал школу подготовки летчиков, метеостанцию, фотокабинет, мастерские, гараж, зенитную батарею и три боевых отряда с 20 экапажами. Всего в Эскадре числилось 20 аоздушных кораблей "Илья Муромец" и 24 одномоторных самолета, предназначенных для обеспечения ПВО, эскортирования тяжелых саморолетов и обучения личного состава. По состоянию на 1 ноября 1917 года в Эскадре имелось, в общей сложности, 38 летательных аппаратов. Кроме Россиии, ни одна из воюющих сторон до 1917 года подобными авиационными соединениями не располагала (11184).</w:t>
      </w:r>
    </w:p>
    <w:p w14:paraId="503A9D2E" w14:textId="77777777" w:rsidR="004B4E35" w:rsidRPr="00405303" w:rsidRDefault="004B4E35" w:rsidP="00C15251">
      <w:pPr>
        <w:jc w:val="both"/>
        <w:rPr>
          <w:bCs/>
          <w:color w:val="002060"/>
          <w:sz w:val="16"/>
          <w:szCs w:val="16"/>
        </w:rPr>
      </w:pPr>
    </w:p>
    <w:p w14:paraId="73ACD70F" w14:textId="7944334E" w:rsidR="004B4E35" w:rsidRPr="00405303" w:rsidRDefault="009E6F82" w:rsidP="00C15251">
      <w:pPr>
        <w:jc w:val="both"/>
        <w:rPr>
          <w:bCs/>
          <w:color w:val="002060"/>
          <w:sz w:val="16"/>
          <w:szCs w:val="16"/>
        </w:rPr>
      </w:pPr>
      <w:r w:rsidRPr="00405303">
        <w:rPr>
          <w:bCs/>
          <w:color w:val="002060"/>
          <w:sz w:val="16"/>
          <w:szCs w:val="16"/>
        </w:rPr>
        <w:t xml:space="preserve">В ноябре 1915 года </w:t>
      </w:r>
      <w:r w:rsidR="001014D2" w:rsidRPr="00405303">
        <w:rPr>
          <w:bCs/>
          <w:color w:val="002060"/>
          <w:sz w:val="16"/>
          <w:szCs w:val="16"/>
        </w:rPr>
        <w:t>ЭВК</w:t>
      </w:r>
      <w:r w:rsidRPr="00405303">
        <w:rPr>
          <w:bCs/>
          <w:color w:val="002060"/>
          <w:sz w:val="16"/>
          <w:szCs w:val="16"/>
        </w:rPr>
        <w:t xml:space="preserve"> перевели на новый штат, который включал школу подготовки летчиков, метеостанцию, фотокабинет, мастерские, гараж, зенитную батарею и три боевых отряда с 20 экапажами. Всего в Эскадре числилось 20 аоздушных кораблей "Илья Муромец" и 24 одномоторных самолета, предназначенных для обеспечения ПВО, эскортирования тяжелых саморолетов и обучения личного состава. По состоянию на 1 ноября 1917 года в Эскадре имелось, в общей сложности, 38 летательных аппаратов. Кроме Россиии, ни одна из воюющих сторон до 1917 года подобными авиационными соединениями не располагала (11184).</w:t>
      </w:r>
    </w:p>
    <w:p w14:paraId="48C34320" w14:textId="77777777" w:rsidR="004B4E35" w:rsidRPr="00405303" w:rsidRDefault="004B4E35" w:rsidP="00C15251">
      <w:pPr>
        <w:jc w:val="both"/>
        <w:rPr>
          <w:bCs/>
          <w:color w:val="002060"/>
          <w:sz w:val="16"/>
          <w:szCs w:val="16"/>
        </w:rPr>
      </w:pPr>
    </w:p>
    <w:p w14:paraId="54620332" w14:textId="0C140CA7" w:rsidR="004B4E35" w:rsidRPr="00405303" w:rsidRDefault="009E6F82" w:rsidP="00C15251">
      <w:pPr>
        <w:jc w:val="both"/>
        <w:rPr>
          <w:bCs/>
          <w:color w:val="002060"/>
          <w:sz w:val="16"/>
          <w:szCs w:val="16"/>
        </w:rPr>
      </w:pPr>
      <w:r w:rsidRPr="00405303">
        <w:rPr>
          <w:bCs/>
          <w:color w:val="002060"/>
          <w:sz w:val="16"/>
          <w:szCs w:val="16"/>
        </w:rPr>
        <w:t xml:space="preserve">В ноябре 1915 г. штат </w:t>
      </w:r>
      <w:r w:rsidR="001014D2" w:rsidRPr="00405303">
        <w:rPr>
          <w:bCs/>
          <w:color w:val="002060"/>
          <w:sz w:val="16"/>
          <w:szCs w:val="16"/>
        </w:rPr>
        <w:t xml:space="preserve">ЭВК </w:t>
      </w:r>
      <w:r w:rsidRPr="00405303">
        <w:rPr>
          <w:bCs/>
          <w:color w:val="002060"/>
          <w:sz w:val="16"/>
          <w:szCs w:val="16"/>
        </w:rPr>
        <w:t>увеличили до трех отрядов и 20 самолетов. Шидловскому присвоили звание генерал-лейтенанта. Позже состав эскадры довели до 30 бомбардировщиков, разделенных на четыре отряда. Позже отрядов стало пять и хотели сформировать еще три. В состав отрядов "Муромцев" намеревались включить подразделения истребителей сопровождения. В начале 1917 г. появился проект создания на базе эскадры Военно-Воздушного Флота Резерва Верховного главнокомандующего (12036).</w:t>
      </w:r>
    </w:p>
    <w:p w14:paraId="4F218315" w14:textId="77777777" w:rsidR="004B4E35" w:rsidRPr="00405303" w:rsidRDefault="004B4E35" w:rsidP="00C15251">
      <w:pPr>
        <w:jc w:val="both"/>
        <w:rPr>
          <w:bCs/>
          <w:color w:val="002060"/>
          <w:sz w:val="16"/>
          <w:szCs w:val="16"/>
        </w:rPr>
      </w:pPr>
    </w:p>
    <w:p w14:paraId="73692B01" w14:textId="77777777" w:rsidR="00F54115" w:rsidRPr="00B52707" w:rsidRDefault="00F54115" w:rsidP="00F54115">
      <w:pPr>
        <w:jc w:val="both"/>
        <w:rPr>
          <w:color w:val="0070C0"/>
          <w:sz w:val="16"/>
          <w:szCs w:val="16"/>
        </w:rPr>
      </w:pPr>
      <w:r w:rsidRPr="00B52707">
        <w:rPr>
          <w:color w:val="0070C0"/>
          <w:sz w:val="16"/>
          <w:szCs w:val="16"/>
        </w:rPr>
        <w:t>В ноябре 1915 г. ЭВК получила статус соединения и новый штат, который предусматривал выделение от Эскадры трех боевых отрядов, по одному на каждый из фронтов (24965).</w:t>
      </w:r>
    </w:p>
    <w:p w14:paraId="24A3BEC0" w14:textId="77777777" w:rsidR="00F54115" w:rsidRPr="00B52707" w:rsidRDefault="00F54115" w:rsidP="00F54115">
      <w:pPr>
        <w:jc w:val="both"/>
        <w:rPr>
          <w:color w:val="0070C0"/>
          <w:sz w:val="16"/>
          <w:szCs w:val="16"/>
        </w:rPr>
      </w:pPr>
    </w:p>
    <w:p w14:paraId="38D9A032" w14:textId="77777777" w:rsidR="00F54115" w:rsidRPr="00B52707" w:rsidRDefault="00F54115" w:rsidP="00F54115">
      <w:pPr>
        <w:jc w:val="both"/>
        <w:rPr>
          <w:color w:val="0070C0"/>
          <w:sz w:val="16"/>
          <w:szCs w:val="16"/>
        </w:rPr>
      </w:pPr>
      <w:r w:rsidRPr="00B52707">
        <w:rPr>
          <w:color w:val="0070C0"/>
          <w:sz w:val="16"/>
          <w:szCs w:val="16"/>
        </w:rPr>
        <w:t>В ноябре 1915 г. штат ЭВК увеличили до трех отрядов и 20 самолетов. Шидловскому присвоили звание генерал-лейтенанта. Поз</w:t>
      </w:r>
      <w:r w:rsidRPr="00B52707">
        <w:rPr>
          <w:color w:val="0070C0"/>
          <w:sz w:val="16"/>
          <w:szCs w:val="16"/>
        </w:rPr>
        <w:softHyphen/>
        <w:t>же состав эскадры довели до 30 бомбардировщиков, разде</w:t>
      </w:r>
      <w:r w:rsidRPr="00B52707">
        <w:rPr>
          <w:color w:val="0070C0"/>
          <w:sz w:val="16"/>
          <w:szCs w:val="16"/>
        </w:rPr>
        <w:softHyphen/>
        <w:t>ленных на четыре отряда. Позже отрядов стало пять и хо</w:t>
      </w:r>
      <w:r w:rsidRPr="00B52707">
        <w:rPr>
          <w:color w:val="0070C0"/>
          <w:sz w:val="16"/>
          <w:szCs w:val="16"/>
        </w:rPr>
        <w:softHyphen/>
        <w:t>тели сформировать еще три. В состав отрядов «Муромцев» намеревались включить подразделения истребителей со</w:t>
      </w:r>
      <w:r w:rsidRPr="00B52707">
        <w:rPr>
          <w:color w:val="0070C0"/>
          <w:sz w:val="16"/>
          <w:szCs w:val="16"/>
        </w:rPr>
        <w:softHyphen/>
        <w:t>провождения (24977).</w:t>
      </w:r>
    </w:p>
    <w:p w14:paraId="0FE36CD8" w14:textId="77777777" w:rsidR="00F54115" w:rsidRPr="00B52707" w:rsidRDefault="00F54115" w:rsidP="00F54115">
      <w:pPr>
        <w:jc w:val="both"/>
        <w:rPr>
          <w:color w:val="0070C0"/>
          <w:sz w:val="16"/>
          <w:szCs w:val="16"/>
        </w:rPr>
      </w:pPr>
    </w:p>
    <w:p w14:paraId="53AEA860" w14:textId="77777777" w:rsidR="004B4E35" w:rsidRPr="00405303" w:rsidRDefault="009E6F82" w:rsidP="00C15251">
      <w:pPr>
        <w:jc w:val="both"/>
        <w:rPr>
          <w:bCs/>
          <w:color w:val="002060"/>
          <w:sz w:val="16"/>
          <w:szCs w:val="16"/>
        </w:rPr>
      </w:pPr>
      <w:r w:rsidRPr="00405303">
        <w:rPr>
          <w:bCs/>
          <w:color w:val="002060"/>
          <w:sz w:val="16"/>
          <w:szCs w:val="16"/>
        </w:rPr>
        <w:t xml:space="preserve">В ноябре 1915 г. Шидловским, Сикорским и Лавровым был подготовлен проект организации при эскадре специального истребительного дивизиона. Для него разработали оригинальный четырехместный истребитель-биплан с «Аргусом» в носу фюзеляжа и двумя «Гномами» по бокам на нижнем крыле. Последние были с толкающим винтами. Передние части мотогондол представляли собой огневые точки. Вооружение: 37-мм пушка, три пулемета — «Максим» и два «Льюиса». Эта концепция «воздушного крейсера» получила большое развитие позднее, в 20–30-е годы. Предложение поддержки не получило, и И. И. Сикорский построил в 1916 г. уменьшенный вариант первоначального проекта С-18, предназначенный служить истребителем в боевых отрядах «Муромцев» для прикрытия мест базирования. Мог он стать и средним бомбардировщиком. Двухместный двухмоторный биплан имел в носу кабину стрелка. Выпущен в двух экземплярах (№ 216 и 217). </w:t>
      </w:r>
    </w:p>
    <w:p w14:paraId="6E7E4C5B" w14:textId="77777777" w:rsidR="004B4E35" w:rsidRPr="00405303" w:rsidRDefault="009E6F82" w:rsidP="00C15251">
      <w:pPr>
        <w:jc w:val="both"/>
        <w:rPr>
          <w:bCs/>
          <w:color w:val="002060"/>
          <w:sz w:val="16"/>
          <w:szCs w:val="16"/>
        </w:rPr>
      </w:pPr>
      <w:r w:rsidRPr="00405303">
        <w:rPr>
          <w:bCs/>
          <w:color w:val="002060"/>
          <w:sz w:val="16"/>
          <w:szCs w:val="16"/>
        </w:rPr>
        <w:t>Установленные на нижнем крыле «Санбимы» с толкающими винтами, как и следовало ожидать, оказались плохими. Вместо них на С-18 поставили четыре «Гнома» двумя тандемами. Доводка затянулась. № 217 попал в эскадру лишь в конце 1916 г. Там на него собирались поставить два двигателя «Испано-Сюиза» по 150 л. с., но это по ряду причин сделать не удалось, и самолет вернули на завод (11196).</w:t>
      </w:r>
    </w:p>
    <w:p w14:paraId="7E4424F5" w14:textId="77777777" w:rsidR="004B4E35" w:rsidRPr="00405303" w:rsidRDefault="004B4E35" w:rsidP="00C15251">
      <w:pPr>
        <w:jc w:val="both"/>
        <w:rPr>
          <w:bCs/>
          <w:color w:val="002060"/>
          <w:sz w:val="16"/>
          <w:szCs w:val="16"/>
        </w:rPr>
      </w:pPr>
    </w:p>
    <w:p w14:paraId="37DD3A48" w14:textId="77777777" w:rsidR="00F67A02" w:rsidRPr="00405303" w:rsidRDefault="00F67A02" w:rsidP="00C15251">
      <w:pPr>
        <w:jc w:val="both"/>
        <w:rPr>
          <w:bCs/>
          <w:color w:val="002060"/>
          <w:sz w:val="16"/>
          <w:szCs w:val="16"/>
        </w:rPr>
      </w:pPr>
      <w:r w:rsidRPr="00405303">
        <w:rPr>
          <w:bCs/>
          <w:color w:val="002060"/>
          <w:sz w:val="16"/>
          <w:szCs w:val="16"/>
        </w:rPr>
        <w:t>В ноябре 1915 г. Шидловским, Сикорским и Лавро</w:t>
      </w:r>
      <w:r w:rsidRPr="00405303">
        <w:rPr>
          <w:bCs/>
          <w:color w:val="002060"/>
          <w:sz w:val="16"/>
          <w:szCs w:val="16"/>
        </w:rPr>
        <w:softHyphen/>
        <w:t>вым был подготовлен проект организации при эскадре специального истребительного дивизиона. Для него разработали оригинальный четырехместный истреби</w:t>
      </w:r>
      <w:r w:rsidRPr="00405303">
        <w:rPr>
          <w:bCs/>
          <w:color w:val="002060"/>
          <w:sz w:val="16"/>
          <w:szCs w:val="16"/>
        </w:rPr>
        <w:softHyphen/>
        <w:t>тель-биплан с «Аргусом» в носу фюзеляжа и двумя «Гномами» по бокам на нижнем крыле. Последние были с толкающим винтами. Передние части мотогондол представляли собой огневые точки. Вооружение: 37</w:t>
      </w:r>
      <w:r w:rsidRPr="00405303">
        <w:rPr>
          <w:bCs/>
          <w:color w:val="002060"/>
          <w:sz w:val="16"/>
          <w:szCs w:val="16"/>
        </w:rPr>
        <w:softHyphen/>
        <w:t>мм пушка, три пулемета — «Максим» и два «Льюиса». Эта концепция «воздушного крейсера» получила боль</w:t>
      </w:r>
      <w:r w:rsidRPr="00405303">
        <w:rPr>
          <w:bCs/>
          <w:color w:val="002060"/>
          <w:sz w:val="16"/>
          <w:szCs w:val="16"/>
        </w:rPr>
        <w:softHyphen/>
        <w:t>шое развитие позднее, в 20-30-е годы. Предложение поддержки не получило, и И. И. Сикорский построил в 1916 г. уменьшенный вариант первоначального проекта С-18, предназначенный служить истребителем в боевых отрядах «Муромцев» для прикрытия мест базирования. Мог он стать и средним бомбардировщиком. Двухместный двухмоторный биплан имел в носу каби</w:t>
      </w:r>
      <w:r w:rsidRPr="00405303">
        <w:rPr>
          <w:bCs/>
          <w:color w:val="002060"/>
          <w:sz w:val="16"/>
          <w:szCs w:val="16"/>
        </w:rPr>
        <w:softHyphen/>
        <w:t>ну стрелка. Выпущен в двух экземплярах (№ 216 и 217).</w:t>
      </w:r>
    </w:p>
    <w:p w14:paraId="3D11A7E9" w14:textId="77777777" w:rsidR="00F67A02" w:rsidRPr="00405303" w:rsidRDefault="00F67A02" w:rsidP="00C15251">
      <w:pPr>
        <w:jc w:val="both"/>
        <w:rPr>
          <w:bCs/>
          <w:color w:val="002060"/>
          <w:sz w:val="16"/>
          <w:szCs w:val="16"/>
        </w:rPr>
      </w:pPr>
      <w:r w:rsidRPr="00405303">
        <w:rPr>
          <w:bCs/>
          <w:color w:val="002060"/>
          <w:sz w:val="16"/>
          <w:szCs w:val="16"/>
        </w:rPr>
        <w:t>Установленные на нижнем крыле «Санбимы» с тол</w:t>
      </w:r>
      <w:r w:rsidRPr="00405303">
        <w:rPr>
          <w:bCs/>
          <w:color w:val="002060"/>
          <w:sz w:val="16"/>
          <w:szCs w:val="16"/>
        </w:rPr>
        <w:softHyphen/>
        <w:t>кающими винтами, как и следовало ожидать, оказались плохими. Вместо них на С-18 поставили четыре «Гнома» двумя тандемами. Доводка затянулась. № 217 попал в эскадру лишь в конце 1916 г. Там на него соби</w:t>
      </w:r>
      <w:r w:rsidRPr="00405303">
        <w:rPr>
          <w:bCs/>
          <w:color w:val="002060"/>
          <w:sz w:val="16"/>
          <w:szCs w:val="16"/>
        </w:rPr>
        <w:softHyphen/>
        <w:t>рались поставить два двигателя «Испано-Сюиза» по 150 л. с., но это по ряду причин сделать не удалось, и самолет вернули на завод.</w:t>
      </w:r>
    </w:p>
    <w:p w14:paraId="6963789F" w14:textId="77777777" w:rsidR="00F67A02" w:rsidRPr="00405303" w:rsidRDefault="00F67A02" w:rsidP="00C15251">
      <w:pPr>
        <w:jc w:val="both"/>
        <w:rPr>
          <w:bCs/>
          <w:color w:val="002060"/>
          <w:sz w:val="16"/>
          <w:szCs w:val="16"/>
        </w:rPr>
      </w:pPr>
      <w:r w:rsidRPr="00405303">
        <w:rPr>
          <w:bCs/>
          <w:color w:val="002060"/>
          <w:sz w:val="16"/>
          <w:szCs w:val="16"/>
        </w:rPr>
        <w:t>Очень похожий проект был в 1916 г. осуществлен на заводе «Анатра» в Одессе. Можно предположить, что это было воплощение идеи И. И. Сикорского (24177).</w:t>
      </w:r>
    </w:p>
    <w:p w14:paraId="281769F1" w14:textId="77777777" w:rsidR="00F67A02" w:rsidRPr="00405303" w:rsidRDefault="00F67A02" w:rsidP="00C15251">
      <w:pPr>
        <w:jc w:val="both"/>
        <w:rPr>
          <w:bCs/>
          <w:color w:val="002060"/>
          <w:sz w:val="16"/>
          <w:szCs w:val="16"/>
        </w:rPr>
      </w:pPr>
    </w:p>
    <w:p w14:paraId="174ACC68"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Армия</w:t>
      </w:r>
    </w:p>
    <w:p w14:paraId="2B907FEF" w14:textId="77777777" w:rsidR="004B4E35" w:rsidRPr="00405303" w:rsidRDefault="004B4E35" w:rsidP="00C15251">
      <w:pPr>
        <w:shd w:val="clear" w:color="auto" w:fill="FFFFFF"/>
        <w:jc w:val="both"/>
        <w:rPr>
          <w:bCs/>
          <w:i/>
          <w:color w:val="002060"/>
          <w:sz w:val="16"/>
          <w:szCs w:val="16"/>
        </w:rPr>
      </w:pPr>
    </w:p>
    <w:p w14:paraId="6188B89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ноябре 1915 г. батарея капитана Тарнов</w:t>
      </w:r>
      <w:r w:rsidRPr="00405303">
        <w:rPr>
          <w:bCs/>
          <w:color w:val="002060"/>
          <w:sz w:val="16"/>
          <w:szCs w:val="16"/>
        </w:rPr>
        <w:softHyphen/>
        <w:t>ского приказом начальника штаба ВГ №172 получила нумерацию (№1) в связи с началом формирования 2-й аналогичной автомо</w:t>
      </w:r>
      <w:r w:rsidRPr="00405303">
        <w:rPr>
          <w:bCs/>
          <w:color w:val="002060"/>
          <w:sz w:val="16"/>
          <w:szCs w:val="16"/>
        </w:rPr>
        <w:softHyphen/>
        <w:t>бильной батареи. Структурным изменениям подверглась и зенитно-артиллерийская обо</w:t>
      </w:r>
      <w:r w:rsidRPr="00405303">
        <w:rPr>
          <w:bCs/>
          <w:color w:val="002060"/>
          <w:sz w:val="16"/>
          <w:szCs w:val="16"/>
        </w:rPr>
        <w:softHyphen/>
        <w:t>рона города. Входившие в её состав батареи были выдвинуты на западную и южную окра</w:t>
      </w:r>
      <w:r w:rsidRPr="00405303">
        <w:rPr>
          <w:bCs/>
          <w:color w:val="002060"/>
          <w:sz w:val="16"/>
          <w:szCs w:val="16"/>
        </w:rPr>
        <w:softHyphen/>
        <w:t>ину Минска, где чаще всего отмечалось по</w:t>
      </w:r>
      <w:r w:rsidRPr="00405303">
        <w:rPr>
          <w:bCs/>
          <w:color w:val="002060"/>
          <w:sz w:val="16"/>
          <w:szCs w:val="16"/>
        </w:rPr>
        <w:softHyphen/>
        <w:t>явление неприятельской авиации. Учитывая возрастающую мощь зенитного огня, не</w:t>
      </w:r>
      <w:r w:rsidRPr="00405303">
        <w:rPr>
          <w:bCs/>
          <w:color w:val="002060"/>
          <w:sz w:val="16"/>
          <w:szCs w:val="16"/>
        </w:rPr>
        <w:softHyphen/>
        <w:t>мецкие лётчики старались прорваться к го</w:t>
      </w:r>
      <w:r w:rsidRPr="00405303">
        <w:rPr>
          <w:bCs/>
          <w:color w:val="002060"/>
          <w:sz w:val="16"/>
          <w:szCs w:val="16"/>
        </w:rPr>
        <w:softHyphen/>
        <w:t>роду на больших высотах, исключавших по</w:t>
      </w:r>
      <w:r w:rsidRPr="00405303">
        <w:rPr>
          <w:bCs/>
          <w:color w:val="002060"/>
          <w:sz w:val="16"/>
          <w:szCs w:val="16"/>
        </w:rPr>
        <w:softHyphen/>
        <w:t>ражение с земли. «Цеппелины» же преиму</w:t>
      </w:r>
      <w:r w:rsidRPr="00405303">
        <w:rPr>
          <w:bCs/>
          <w:color w:val="002060"/>
          <w:sz w:val="16"/>
          <w:szCs w:val="16"/>
        </w:rPr>
        <w:softHyphen/>
        <w:t>щественно совершали налёты в тёмное вре</w:t>
      </w:r>
      <w:r w:rsidRPr="00405303">
        <w:rPr>
          <w:bCs/>
          <w:color w:val="002060"/>
          <w:sz w:val="16"/>
          <w:szCs w:val="16"/>
        </w:rPr>
        <w:softHyphen/>
        <w:t>мя суток, заблаговременно выключая мото</w:t>
      </w:r>
      <w:r w:rsidRPr="00405303">
        <w:rPr>
          <w:bCs/>
          <w:color w:val="002060"/>
          <w:sz w:val="16"/>
          <w:szCs w:val="16"/>
        </w:rPr>
        <w:softHyphen/>
        <w:t>ры и практически бесшумно приближаясь к цели (11391).</w:t>
      </w:r>
    </w:p>
    <w:p w14:paraId="551F08C5" w14:textId="77777777" w:rsidR="004B4E35" w:rsidRPr="00405303" w:rsidRDefault="004B4E35" w:rsidP="00C15251">
      <w:pPr>
        <w:shd w:val="clear" w:color="auto" w:fill="FFFFFF"/>
        <w:jc w:val="both"/>
        <w:rPr>
          <w:bCs/>
          <w:color w:val="002060"/>
          <w:sz w:val="16"/>
          <w:szCs w:val="16"/>
        </w:rPr>
      </w:pPr>
    </w:p>
    <w:p w14:paraId="71049D9D" w14:textId="04C6AC09" w:rsidR="00D64118" w:rsidRPr="00405303" w:rsidRDefault="00D64118" w:rsidP="00C15251">
      <w:pPr>
        <w:shd w:val="clear" w:color="auto" w:fill="FFFFFF"/>
        <w:jc w:val="both"/>
        <w:rPr>
          <w:bCs/>
          <w:i/>
          <w:color w:val="002060"/>
          <w:sz w:val="16"/>
          <w:szCs w:val="16"/>
        </w:rPr>
      </w:pPr>
      <w:r w:rsidRPr="00405303">
        <w:rPr>
          <w:bCs/>
          <w:i/>
          <w:color w:val="002060"/>
          <w:sz w:val="16"/>
          <w:szCs w:val="16"/>
        </w:rPr>
        <w:t>Внешняя политика:</w:t>
      </w:r>
    </w:p>
    <w:p w14:paraId="2BD33B90" w14:textId="77777777" w:rsidR="00D64118" w:rsidRPr="00405303" w:rsidRDefault="00D64118" w:rsidP="00C15251">
      <w:pPr>
        <w:shd w:val="clear" w:color="auto" w:fill="FFFFFF"/>
        <w:jc w:val="both"/>
        <w:rPr>
          <w:bCs/>
          <w:i/>
          <w:color w:val="002060"/>
          <w:sz w:val="16"/>
          <w:szCs w:val="16"/>
        </w:rPr>
      </w:pPr>
    </w:p>
    <w:p w14:paraId="61A0CCE4" w14:textId="77777777" w:rsidR="00D64118" w:rsidRPr="00405303" w:rsidRDefault="00D64118" w:rsidP="00C15251">
      <w:pPr>
        <w:jc w:val="both"/>
        <w:rPr>
          <w:bCs/>
          <w:color w:val="002060"/>
          <w:sz w:val="16"/>
          <w:szCs w:val="16"/>
        </w:rPr>
      </w:pPr>
      <w:r w:rsidRPr="00405303">
        <w:rPr>
          <w:bCs/>
          <w:color w:val="002060"/>
          <w:sz w:val="16"/>
          <w:szCs w:val="16"/>
          <w:lang w:bidi="en-US"/>
        </w:rPr>
        <w:t>В ноябре 1915 г. Ставка обсуждала план морского вторжения в Болгарию. План был отвергнут адмиралами как неосуществимый. Затем генерал Алексеев предпринял шаги по созданию русской Дунайской армии под Одессой (23525).</w:t>
      </w:r>
    </w:p>
    <w:p w14:paraId="70E12EE7" w14:textId="77777777" w:rsidR="00D64118" w:rsidRPr="00405303" w:rsidRDefault="00D64118" w:rsidP="00C15251">
      <w:pPr>
        <w:jc w:val="both"/>
        <w:rPr>
          <w:bCs/>
          <w:color w:val="002060"/>
          <w:sz w:val="16"/>
          <w:szCs w:val="16"/>
        </w:rPr>
      </w:pPr>
    </w:p>
    <w:p w14:paraId="22A04E13" w14:textId="591F963B"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7AE006F1" w14:textId="77777777" w:rsidR="004B4E35" w:rsidRPr="00405303" w:rsidRDefault="004B4E35" w:rsidP="00C15251">
      <w:pPr>
        <w:shd w:val="clear" w:color="auto" w:fill="FFFFFF"/>
        <w:jc w:val="both"/>
        <w:rPr>
          <w:bCs/>
          <w:i/>
          <w:color w:val="002060"/>
          <w:sz w:val="16"/>
          <w:szCs w:val="16"/>
        </w:rPr>
      </w:pPr>
    </w:p>
    <w:p w14:paraId="7F7735CC" w14:textId="19C8A917" w:rsidR="004B4E35" w:rsidRPr="00405303" w:rsidRDefault="009E6F82" w:rsidP="00C15251">
      <w:pPr>
        <w:jc w:val="both"/>
        <w:rPr>
          <w:bCs/>
          <w:color w:val="002060"/>
          <w:sz w:val="16"/>
          <w:szCs w:val="16"/>
        </w:rPr>
      </w:pPr>
      <w:r w:rsidRPr="00405303">
        <w:rPr>
          <w:bCs/>
          <w:color w:val="002060"/>
          <w:sz w:val="16"/>
          <w:szCs w:val="16"/>
        </w:rPr>
        <w:t xml:space="preserve">С марта до ноября месяца </w:t>
      </w:r>
      <w:r w:rsidR="001014D2" w:rsidRPr="00405303">
        <w:rPr>
          <w:bCs/>
          <w:color w:val="002060"/>
          <w:sz w:val="16"/>
          <w:szCs w:val="16"/>
        </w:rPr>
        <w:t xml:space="preserve">1915 г. </w:t>
      </w:r>
      <w:r w:rsidRPr="00405303">
        <w:rPr>
          <w:bCs/>
          <w:color w:val="002060"/>
          <w:sz w:val="16"/>
          <w:szCs w:val="16"/>
        </w:rPr>
        <w:t>германские цеппелины 37 раз бомбили британскую столицу. На Лондон было сброшено в общей сложности 35 т бомб. Вообще в первой фазе этой цеипелиновой войны против Англии с января по ноябрь было совершено 50 цеппелиновылетов, из которых только 37 достигли Англии. Во время 23-го нападения было сброшено 35 т бомб, 208 англичан было убито и 531 ранен. 7 цеппелинов были потеряны (11999).</w:t>
      </w:r>
    </w:p>
    <w:p w14:paraId="1B57C2D4" w14:textId="77777777" w:rsidR="004B4E35" w:rsidRPr="00405303" w:rsidRDefault="004B4E35" w:rsidP="00C15251">
      <w:pPr>
        <w:jc w:val="both"/>
        <w:rPr>
          <w:bCs/>
          <w:color w:val="002060"/>
          <w:sz w:val="16"/>
          <w:szCs w:val="16"/>
        </w:rPr>
      </w:pPr>
    </w:p>
    <w:p w14:paraId="4AE96C43" w14:textId="77777777" w:rsidR="009B612E" w:rsidRPr="00405303" w:rsidRDefault="009B612E" w:rsidP="00C15251">
      <w:pPr>
        <w:jc w:val="both"/>
        <w:rPr>
          <w:rFonts w:eastAsia="Times-Roman"/>
          <w:bCs/>
          <w:color w:val="002060"/>
          <w:sz w:val="16"/>
          <w:szCs w:val="16"/>
        </w:rPr>
      </w:pPr>
      <w:r w:rsidRPr="00405303">
        <w:rPr>
          <w:bCs/>
          <w:color w:val="002060"/>
          <w:sz w:val="16"/>
          <w:szCs w:val="16"/>
        </w:rPr>
        <w:t xml:space="preserve">В ноябре 1915 г. на заводе «Фоккер» в Шверине под Берлином построили еще один опытный истребитель — М.17, потратив на постройку и испытания почти два месяца. И только в январе следующего года Кайзеровские воздушные войска Германии получили первые три серийных двухпулеметных истребителя Фоккер E IV. </w:t>
      </w:r>
      <w:r w:rsidRPr="00405303">
        <w:rPr>
          <w:bCs/>
          <w:color w:val="002060"/>
          <w:sz w:val="16"/>
          <w:szCs w:val="16"/>
        </w:rPr>
        <w:lastRenderedPageBreak/>
        <w:t>Облегчение вооружения положительно сказалось и на скорости, которая превысила 160 км/ч, и на маневренности. Немецкие авиаторы были крайне заинтересованы в таком самолете, но слабость производственной базы фирмы сдерживала поставки — с января по июль 1916 г. сделали лишь 48 машин (22754).</w:t>
      </w:r>
    </w:p>
    <w:p w14:paraId="77EB2E0A" w14:textId="77777777" w:rsidR="009B612E" w:rsidRPr="00405303" w:rsidRDefault="009B612E" w:rsidP="00C15251">
      <w:pPr>
        <w:jc w:val="both"/>
        <w:rPr>
          <w:rFonts w:eastAsia="Times-Roman"/>
          <w:bCs/>
          <w:color w:val="002060"/>
          <w:sz w:val="16"/>
          <w:szCs w:val="16"/>
        </w:rPr>
      </w:pPr>
    </w:p>
    <w:p w14:paraId="64D1F502" w14:textId="3AFEC813" w:rsidR="005567CB" w:rsidRPr="00405303" w:rsidRDefault="005567CB" w:rsidP="00C15251">
      <w:pPr>
        <w:shd w:val="clear" w:color="auto" w:fill="FFFFFF"/>
        <w:jc w:val="both"/>
        <w:rPr>
          <w:bCs/>
          <w:i/>
          <w:color w:val="002060"/>
          <w:sz w:val="16"/>
          <w:szCs w:val="16"/>
        </w:rPr>
      </w:pPr>
      <w:r w:rsidRPr="00405303">
        <w:rPr>
          <w:bCs/>
          <w:i/>
          <w:color w:val="002060"/>
          <w:sz w:val="16"/>
          <w:szCs w:val="16"/>
        </w:rPr>
        <w:t>Самолетостроение:</w:t>
      </w:r>
    </w:p>
    <w:p w14:paraId="5D5AFCE4" w14:textId="77777777" w:rsidR="005567CB" w:rsidRPr="00405303" w:rsidRDefault="005567CB" w:rsidP="00C15251">
      <w:pPr>
        <w:shd w:val="clear" w:color="auto" w:fill="FFFFFF"/>
        <w:jc w:val="both"/>
        <w:rPr>
          <w:bCs/>
          <w:i/>
          <w:color w:val="002060"/>
          <w:sz w:val="16"/>
          <w:szCs w:val="16"/>
        </w:rPr>
      </w:pPr>
    </w:p>
    <w:p w14:paraId="49BBA91D" w14:textId="77777777" w:rsidR="005567CB" w:rsidRPr="00405303" w:rsidRDefault="005567CB" w:rsidP="00C15251">
      <w:pPr>
        <w:jc w:val="both"/>
        <w:rPr>
          <w:bCs/>
          <w:color w:val="002060"/>
          <w:sz w:val="16"/>
          <w:szCs w:val="16"/>
        </w:rPr>
      </w:pPr>
      <w:r w:rsidRPr="00405303">
        <w:rPr>
          <w:bCs/>
          <w:color w:val="002060"/>
          <w:sz w:val="16"/>
          <w:szCs w:val="16"/>
        </w:rPr>
        <w:t>За ноябрь 1915 — ноябрь 1916 г. из Франции и Англии было доставлено 1184 двигателя; с русских заводов — около 500. В мо</w:t>
      </w:r>
      <w:r w:rsidRPr="00405303">
        <w:rPr>
          <w:bCs/>
          <w:color w:val="002060"/>
          <w:sz w:val="16"/>
          <w:szCs w:val="16"/>
        </w:rPr>
        <w:softHyphen/>
        <w:t>мент наивысшего развития русская промышленность дала в 1916 г. 1769 самолетов (666 моторов) (РГВИА. Ф. 369. Оп. 16. Д. 541. Л. 1—2. Журнал Подготовительной комиссии по авиационным вопросам, 2.II. 1917; СВП. С. 463; История отечественной авиапромышленности. С. 24, 29. Если же учитывать только принятую в казну продукцию — то 1420 самолетов {Соболев Д.А. Указ. соч. С. 147, 150)). В Германии в тот же год выпуск самолетов достиг 8182 (7823 двигателя), во Франции — 7549 самолетов и 16 875 моторов, в Велико</w:t>
      </w:r>
      <w:r w:rsidRPr="00405303">
        <w:rPr>
          <w:bCs/>
          <w:color w:val="002060"/>
          <w:sz w:val="16"/>
          <w:szCs w:val="16"/>
        </w:rPr>
        <w:softHyphen/>
        <w:t>британии — с июля 1915 по февраль 1917 г. — 7131; при этом треть моторов для английских самолетов поступала из Франции (</w:t>
      </w:r>
      <w:r w:rsidRPr="00405303">
        <w:rPr>
          <w:bCs/>
          <w:color w:val="002060"/>
          <w:sz w:val="16"/>
          <w:szCs w:val="16"/>
          <w:lang w:val="en-US" w:bidi="en-US"/>
        </w:rPr>
        <w:t>Murray</w:t>
      </w:r>
      <w:r w:rsidRPr="00405303">
        <w:rPr>
          <w:bCs/>
          <w:color w:val="002060"/>
          <w:sz w:val="16"/>
          <w:szCs w:val="16"/>
          <w:lang w:bidi="en-US"/>
        </w:rPr>
        <w:t xml:space="preserve"> </w:t>
      </w:r>
      <w:r w:rsidRPr="00405303">
        <w:rPr>
          <w:bCs/>
          <w:color w:val="002060"/>
          <w:sz w:val="16"/>
          <w:szCs w:val="16"/>
          <w:lang w:val="en-US" w:bidi="en-US"/>
        </w:rPr>
        <w:t>War</w:t>
      </w:r>
      <w:r w:rsidRPr="00405303">
        <w:rPr>
          <w:bCs/>
          <w:color w:val="002060"/>
          <w:sz w:val="16"/>
          <w:szCs w:val="16"/>
          <w:lang w:bidi="en-US"/>
        </w:rPr>
        <w:t xml:space="preserve"> </w:t>
      </w:r>
      <w:r w:rsidRPr="00405303">
        <w:rPr>
          <w:bCs/>
          <w:color w:val="002060"/>
          <w:sz w:val="16"/>
          <w:szCs w:val="16"/>
          <w:lang w:val="en-US" w:bidi="en-US"/>
        </w:rPr>
        <w:t>in</w:t>
      </w:r>
      <w:r w:rsidRPr="00405303">
        <w:rPr>
          <w:bCs/>
          <w:color w:val="002060"/>
          <w:sz w:val="16"/>
          <w:szCs w:val="16"/>
          <w:lang w:bidi="en-US"/>
        </w:rPr>
        <w:t xml:space="preserve"> </w:t>
      </w:r>
      <w:r w:rsidRPr="00405303">
        <w:rPr>
          <w:bCs/>
          <w:color w:val="002060"/>
          <w:sz w:val="16"/>
          <w:szCs w:val="16"/>
          <w:lang w:val="en-US" w:bidi="en-US"/>
        </w:rPr>
        <w:t>the</w:t>
      </w:r>
      <w:r w:rsidRPr="00405303">
        <w:rPr>
          <w:bCs/>
          <w:color w:val="002060"/>
          <w:sz w:val="16"/>
          <w:szCs w:val="16"/>
          <w:lang w:bidi="en-US"/>
        </w:rPr>
        <w:t xml:space="preserve"> </w:t>
      </w:r>
      <w:r w:rsidRPr="00405303">
        <w:rPr>
          <w:bCs/>
          <w:color w:val="002060"/>
          <w:sz w:val="16"/>
          <w:szCs w:val="16"/>
          <w:lang w:val="en-US" w:bidi="en-US"/>
        </w:rPr>
        <w:t>Air</w:t>
      </w:r>
      <w:r w:rsidRPr="00405303">
        <w:rPr>
          <w:bCs/>
          <w:color w:val="002060"/>
          <w:sz w:val="16"/>
          <w:szCs w:val="16"/>
          <w:lang w:bidi="en-US"/>
        </w:rPr>
        <w:t xml:space="preserve">, 1914—45. </w:t>
      </w:r>
      <w:r w:rsidRPr="00405303">
        <w:rPr>
          <w:bCs/>
          <w:color w:val="002060"/>
          <w:sz w:val="16"/>
          <w:szCs w:val="16"/>
          <w:lang w:val="en-US" w:bidi="en-US"/>
        </w:rPr>
        <w:t>London</w:t>
      </w:r>
      <w:r w:rsidRPr="00405303">
        <w:rPr>
          <w:bCs/>
          <w:color w:val="002060"/>
          <w:sz w:val="16"/>
          <w:szCs w:val="16"/>
          <w:lang w:bidi="en-US"/>
        </w:rPr>
        <w:t xml:space="preserve">, 1999. </w:t>
      </w:r>
      <w:r w:rsidRPr="00405303">
        <w:rPr>
          <w:bCs/>
          <w:color w:val="002060"/>
          <w:sz w:val="16"/>
          <w:szCs w:val="16"/>
          <w:lang w:val="en-US" w:bidi="en-US"/>
        </w:rPr>
        <w:t>P</w:t>
      </w:r>
      <w:r w:rsidRPr="00405303">
        <w:rPr>
          <w:bCs/>
          <w:color w:val="002060"/>
          <w:sz w:val="16"/>
          <w:szCs w:val="16"/>
          <w:lang w:bidi="en-US"/>
        </w:rPr>
        <w:t xml:space="preserve">. 61—62; </w:t>
      </w:r>
      <w:r w:rsidRPr="00405303">
        <w:rPr>
          <w:bCs/>
          <w:color w:val="002060"/>
          <w:sz w:val="16"/>
          <w:szCs w:val="16"/>
        </w:rPr>
        <w:t>Военная мысль и революция. 1921. Июль—август. С. 244). Но и такое сравнение хромает, поскольку в зна</w:t>
      </w:r>
      <w:r w:rsidRPr="00405303">
        <w:rPr>
          <w:bCs/>
          <w:color w:val="002060"/>
          <w:sz w:val="16"/>
          <w:szCs w:val="16"/>
        </w:rPr>
        <w:softHyphen/>
        <w:t xml:space="preserve">чительной части русские показатели и </w:t>
      </w:r>
      <w:proofErr w:type="gramStart"/>
      <w:r w:rsidRPr="00405303">
        <w:rPr>
          <w:bCs/>
          <w:color w:val="002060"/>
          <w:sz w:val="16"/>
          <w:szCs w:val="16"/>
        </w:rPr>
        <w:t>по моторам</w:t>
      </w:r>
      <w:proofErr w:type="gramEnd"/>
      <w:r w:rsidRPr="00405303">
        <w:rPr>
          <w:bCs/>
          <w:color w:val="002060"/>
          <w:sz w:val="16"/>
          <w:szCs w:val="16"/>
        </w:rPr>
        <w:t xml:space="preserve"> и по са</w:t>
      </w:r>
      <w:r w:rsidRPr="00405303">
        <w:rPr>
          <w:bCs/>
          <w:color w:val="002060"/>
          <w:sz w:val="16"/>
          <w:szCs w:val="16"/>
        </w:rPr>
        <w:softHyphen/>
        <w:t>молетам относятся к сборке из готовых деталей и узлов. Разработкой авиационных двигателей занимались в лабора</w:t>
      </w:r>
      <w:r w:rsidRPr="00405303">
        <w:rPr>
          <w:bCs/>
          <w:color w:val="002060"/>
          <w:sz w:val="16"/>
          <w:szCs w:val="16"/>
        </w:rPr>
        <w:softHyphen/>
        <w:t>ториях и мастерских Кораблестроительного отделения Пе</w:t>
      </w:r>
      <w:r w:rsidRPr="00405303">
        <w:rPr>
          <w:bCs/>
          <w:color w:val="002060"/>
          <w:sz w:val="16"/>
          <w:szCs w:val="16"/>
        </w:rPr>
        <w:softHyphen/>
        <w:t>троградского Политехнического института (Шильцев Е.А. Указ. соч. С. 436), но оставалось в силе суждение М.В. Алексеева: «Главная причина слабого развития авиации у нас — это отсутствие двигателей. В этом отношении мы беспомощны. Корпуса аппаратов мы делаем, а “души” их — моторы — производить не можем» (РГВИА. Ф. 2003. Оп. 2. Д. 1017. Л. 220 и об. Протокол совещания 1 апреля 1916 г. в Могилеве).</w:t>
      </w:r>
    </w:p>
    <w:p w14:paraId="3F53944D" w14:textId="77777777" w:rsidR="005567CB" w:rsidRPr="00405303" w:rsidRDefault="005567CB"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В целом в 1912—1916 гг. русская авиапромышленность «сделала мощный скачок». Это было «большим достижени</w:t>
      </w:r>
      <w:r w:rsidRPr="00405303">
        <w:rPr>
          <w:rFonts w:ascii="Times New Roman" w:hAnsi="Times New Roman" w:cs="Times New Roman"/>
          <w:bCs/>
          <w:color w:val="002060"/>
          <w:sz w:val="16"/>
          <w:szCs w:val="16"/>
        </w:rPr>
        <w:softHyphen/>
        <w:t>ем для страны с только начинавшей развиваться машино</w:t>
      </w:r>
      <w:r w:rsidRPr="00405303">
        <w:rPr>
          <w:rFonts w:ascii="Times New Roman" w:hAnsi="Times New Roman" w:cs="Times New Roman"/>
          <w:bCs/>
          <w:color w:val="002060"/>
          <w:sz w:val="16"/>
          <w:szCs w:val="16"/>
        </w:rPr>
        <w:softHyphen/>
        <w:t>строительной промышленностью». При этом она «остава</w:t>
      </w:r>
      <w:r w:rsidRPr="00405303">
        <w:rPr>
          <w:rFonts w:ascii="Times New Roman" w:hAnsi="Times New Roman" w:cs="Times New Roman"/>
          <w:bCs/>
          <w:color w:val="002060"/>
          <w:sz w:val="16"/>
          <w:szCs w:val="16"/>
        </w:rPr>
        <w:softHyphen/>
        <w:t xml:space="preserve">лась несамодостаточной, однобокой. По сути, в России научились делать только планеры самолетов и пропеллеры. Собственной конструкторской школы по двигателям </w:t>
      </w:r>
      <w:proofErr w:type="gramStart"/>
      <w:r w:rsidRPr="00405303">
        <w:rPr>
          <w:rFonts w:ascii="Times New Roman" w:hAnsi="Times New Roman" w:cs="Times New Roman"/>
          <w:bCs/>
          <w:color w:val="002060"/>
          <w:sz w:val="16"/>
          <w:szCs w:val="16"/>
        </w:rPr>
        <w:t>не су</w:t>
      </w:r>
      <w:proofErr w:type="gramEnd"/>
      <w:r w:rsidRPr="00405303">
        <w:rPr>
          <w:rFonts w:ascii="Times New Roman" w:hAnsi="Times New Roman" w:cs="Times New Roman"/>
          <w:bCs/>
          <w:color w:val="002060"/>
          <w:sz w:val="16"/>
          <w:szCs w:val="16"/>
        </w:rPr>
        <w:t>- шествовало. Оставалось неосвоенным производство при</w:t>
      </w:r>
      <w:r w:rsidRPr="00405303">
        <w:rPr>
          <w:rFonts w:ascii="Times New Roman" w:hAnsi="Times New Roman" w:cs="Times New Roman"/>
          <w:bCs/>
          <w:color w:val="002060"/>
          <w:sz w:val="16"/>
          <w:szCs w:val="16"/>
        </w:rPr>
        <w:softHyphen/>
        <w:t>боров, авиационного вооружения, электрооборудования, радиаторов», алюминиевого литья, специальных сталей. И все же за годы войны авиация получила 3761 самолет оте</w:t>
      </w:r>
      <w:r w:rsidRPr="00405303">
        <w:rPr>
          <w:rFonts w:ascii="Times New Roman" w:hAnsi="Times New Roman" w:cs="Times New Roman"/>
          <w:bCs/>
          <w:color w:val="002060"/>
          <w:sz w:val="16"/>
          <w:szCs w:val="16"/>
        </w:rPr>
        <w:softHyphen/>
        <w:t>чественного изготовления1. В свете приведенных Д.А. Со</w:t>
      </w:r>
      <w:r w:rsidRPr="00405303">
        <w:rPr>
          <w:rFonts w:ascii="Times New Roman" w:hAnsi="Times New Roman" w:cs="Times New Roman"/>
          <w:bCs/>
          <w:color w:val="002060"/>
          <w:sz w:val="16"/>
          <w:szCs w:val="16"/>
        </w:rPr>
        <w:softHyphen/>
        <w:t>болевым данных о зависимости русского производства от поставок из Франции выглядит преувеличением его вывод о том, что хотя бы в снабжении самолетами истребитель</w:t>
      </w:r>
      <w:r w:rsidRPr="00405303">
        <w:rPr>
          <w:rFonts w:ascii="Times New Roman" w:hAnsi="Times New Roman" w:cs="Times New Roman"/>
          <w:bCs/>
          <w:color w:val="002060"/>
          <w:sz w:val="16"/>
          <w:szCs w:val="16"/>
        </w:rPr>
        <w:softHyphen/>
        <w:t>ных авиаотрядов «в целом отечественные заводы справи</w:t>
      </w:r>
      <w:r w:rsidRPr="00405303">
        <w:rPr>
          <w:rFonts w:ascii="Times New Roman" w:hAnsi="Times New Roman" w:cs="Times New Roman"/>
          <w:bCs/>
          <w:color w:val="002060"/>
          <w:sz w:val="16"/>
          <w:szCs w:val="16"/>
        </w:rPr>
        <w:softHyphen/>
        <w:t>лись с задачей», поскольку из России поступило «более половины» их парка (История отечественной авиапромышленности. Серийное самоле</w:t>
      </w:r>
      <w:r w:rsidRPr="00405303">
        <w:rPr>
          <w:rFonts w:ascii="Times New Roman" w:hAnsi="Times New Roman" w:cs="Times New Roman"/>
          <w:bCs/>
          <w:color w:val="002060"/>
          <w:sz w:val="16"/>
          <w:szCs w:val="16"/>
        </w:rPr>
        <w:softHyphen/>
        <w:t>тостроение. С. 30, 16; Соболев Д.А. Указ. соч. С. 152; История отечественной авиапромышленности. С. 24) (23452).</w:t>
      </w:r>
    </w:p>
    <w:p w14:paraId="046D34DA" w14:textId="77777777" w:rsidR="005567CB" w:rsidRPr="00405303" w:rsidRDefault="005567CB" w:rsidP="00C15251">
      <w:pPr>
        <w:pStyle w:val="af6"/>
        <w:spacing w:line="240" w:lineRule="auto"/>
        <w:jc w:val="both"/>
        <w:rPr>
          <w:rFonts w:ascii="Times New Roman" w:hAnsi="Times New Roman" w:cs="Times New Roman"/>
          <w:bCs/>
          <w:color w:val="002060"/>
          <w:sz w:val="16"/>
          <w:szCs w:val="16"/>
        </w:rPr>
      </w:pPr>
    </w:p>
    <w:p w14:paraId="4D5D2C6A" w14:textId="77777777" w:rsidR="00D64118" w:rsidRPr="00405303" w:rsidRDefault="00D64118"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0A7DAA30" w14:textId="77777777" w:rsidR="00D64118" w:rsidRPr="00405303" w:rsidRDefault="00D64118" w:rsidP="00C15251">
      <w:pPr>
        <w:shd w:val="clear" w:color="auto" w:fill="FFFFFF"/>
        <w:jc w:val="both"/>
        <w:rPr>
          <w:bCs/>
          <w:i/>
          <w:color w:val="002060"/>
          <w:sz w:val="16"/>
          <w:szCs w:val="16"/>
        </w:rPr>
      </w:pPr>
    </w:p>
    <w:p w14:paraId="0AFC5065" w14:textId="77777777" w:rsidR="00D64118" w:rsidRPr="00405303" w:rsidRDefault="00D64118" w:rsidP="00C15251">
      <w:pPr>
        <w:jc w:val="both"/>
        <w:rPr>
          <w:bCs/>
          <w:color w:val="002060"/>
          <w:sz w:val="16"/>
          <w:szCs w:val="16"/>
        </w:rPr>
      </w:pPr>
      <w:r w:rsidRPr="00405303">
        <w:rPr>
          <w:bCs/>
          <w:color w:val="002060"/>
          <w:sz w:val="16"/>
          <w:szCs w:val="16"/>
        </w:rPr>
        <w:t>С конца осени 1915 г. концерном «Роберт Бош» по заказу фирмы «Цеппелин» велась разработка нового такого проекта как дальнейшего развития предыдущей конструкции VGO II со значительными отличиями, которые должны были повысить их слабоватые пока летные данные (23077).</w:t>
      </w:r>
    </w:p>
    <w:p w14:paraId="0CA4F5AE" w14:textId="77777777" w:rsidR="00D64118" w:rsidRPr="00405303" w:rsidRDefault="00D64118" w:rsidP="00C15251">
      <w:pPr>
        <w:jc w:val="both"/>
        <w:rPr>
          <w:rFonts w:eastAsia="Times-Roman"/>
          <w:bCs/>
          <w:color w:val="002060"/>
          <w:sz w:val="16"/>
          <w:szCs w:val="16"/>
        </w:rPr>
      </w:pPr>
    </w:p>
    <w:p w14:paraId="62B24EED" w14:textId="77777777" w:rsidR="00DB552F" w:rsidRPr="00405303" w:rsidRDefault="00DB552F" w:rsidP="00DB552F">
      <w:pPr>
        <w:shd w:val="clear" w:color="auto" w:fill="FFFFFF"/>
        <w:jc w:val="both"/>
        <w:rPr>
          <w:bCs/>
          <w:i/>
          <w:color w:val="002060"/>
          <w:sz w:val="16"/>
          <w:szCs w:val="16"/>
        </w:rPr>
      </w:pPr>
      <w:r w:rsidRPr="00405303">
        <w:rPr>
          <w:bCs/>
          <w:i/>
          <w:color w:val="002060"/>
          <w:sz w:val="16"/>
          <w:szCs w:val="16"/>
        </w:rPr>
        <w:t>Армия:</w:t>
      </w:r>
    </w:p>
    <w:p w14:paraId="6D8AB25C" w14:textId="77777777" w:rsidR="00DB552F" w:rsidRPr="00405303" w:rsidRDefault="00DB552F" w:rsidP="00DB552F">
      <w:pPr>
        <w:shd w:val="clear" w:color="auto" w:fill="FFFFFF"/>
        <w:jc w:val="both"/>
        <w:rPr>
          <w:bCs/>
          <w:i/>
          <w:color w:val="002060"/>
          <w:sz w:val="16"/>
          <w:szCs w:val="16"/>
        </w:rPr>
      </w:pPr>
    </w:p>
    <w:p w14:paraId="15CFC5E2" w14:textId="77777777" w:rsidR="00DB552F" w:rsidRPr="00B52707" w:rsidRDefault="00DB552F" w:rsidP="00DB552F">
      <w:pPr>
        <w:jc w:val="both"/>
        <w:rPr>
          <w:color w:val="0070C0"/>
          <w:sz w:val="16"/>
          <w:szCs w:val="16"/>
        </w:rPr>
      </w:pPr>
      <w:r w:rsidRPr="00B52707">
        <w:rPr>
          <w:rStyle w:val="aa"/>
          <w:rFonts w:ascii="Times New Roman" w:hAnsi="Times New Roman"/>
          <w:color w:val="0070C0"/>
          <w:spacing w:val="0"/>
          <w:sz w:val="16"/>
          <w:szCs w:val="16"/>
        </w:rPr>
        <w:t>К зиме 1915/16 г. вооруженная борьба на русско-германском фронте стала повсеместно приобретать позиционный характер (25135).</w:t>
      </w:r>
    </w:p>
    <w:p w14:paraId="5EE723D9" w14:textId="77777777" w:rsidR="00DB552F" w:rsidRPr="00B52707" w:rsidRDefault="00DB552F" w:rsidP="00DB552F">
      <w:pPr>
        <w:jc w:val="both"/>
        <w:rPr>
          <w:color w:val="0070C0"/>
          <w:sz w:val="16"/>
          <w:szCs w:val="16"/>
        </w:rPr>
      </w:pPr>
    </w:p>
    <w:p w14:paraId="10DA1244" w14:textId="77777777" w:rsidR="00AB5B6C" w:rsidRPr="00405303" w:rsidRDefault="00AB5B6C" w:rsidP="00C15251">
      <w:pPr>
        <w:shd w:val="clear" w:color="auto" w:fill="FFFFFF"/>
        <w:jc w:val="both"/>
        <w:rPr>
          <w:bCs/>
          <w:i/>
          <w:color w:val="002060"/>
          <w:sz w:val="16"/>
          <w:szCs w:val="16"/>
        </w:rPr>
      </w:pPr>
      <w:r w:rsidRPr="00405303">
        <w:rPr>
          <w:bCs/>
          <w:i/>
          <w:color w:val="002060"/>
          <w:sz w:val="16"/>
          <w:szCs w:val="16"/>
        </w:rPr>
        <w:t>Армия:</w:t>
      </w:r>
    </w:p>
    <w:p w14:paraId="18FB669D" w14:textId="77777777" w:rsidR="00AB5B6C" w:rsidRPr="00405303" w:rsidRDefault="00AB5B6C" w:rsidP="00C15251">
      <w:pPr>
        <w:shd w:val="clear" w:color="auto" w:fill="FFFFFF"/>
        <w:jc w:val="both"/>
        <w:rPr>
          <w:bCs/>
          <w:i/>
          <w:color w:val="002060"/>
          <w:sz w:val="16"/>
          <w:szCs w:val="16"/>
        </w:rPr>
      </w:pPr>
    </w:p>
    <w:p w14:paraId="7F9C5971" w14:textId="77777777" w:rsidR="00AB5B6C" w:rsidRPr="00405303" w:rsidRDefault="00AB5B6C" w:rsidP="00C15251">
      <w:pPr>
        <w:pStyle w:val="DefinitionList"/>
        <w:ind w:left="0"/>
        <w:jc w:val="both"/>
        <w:rPr>
          <w:bCs/>
          <w:color w:val="002060"/>
          <w:sz w:val="16"/>
          <w:szCs w:val="16"/>
        </w:rPr>
      </w:pPr>
      <w:r w:rsidRPr="00405303">
        <w:rPr>
          <w:bCs/>
          <w:color w:val="002060"/>
          <w:sz w:val="16"/>
          <w:szCs w:val="16"/>
        </w:rPr>
        <w:t>К декабрю 1915 было изготовлено и распределено по флотам 27 комплектов корабельных РРП</w:t>
      </w:r>
      <w:proofErr w:type="gramStart"/>
      <w:r w:rsidRPr="00405303">
        <w:rPr>
          <w:bCs/>
          <w:color w:val="002060"/>
          <w:sz w:val="16"/>
          <w:szCs w:val="16"/>
        </w:rPr>
        <w:t>. .</w:t>
      </w:r>
      <w:proofErr w:type="gramEnd"/>
      <w:r w:rsidRPr="00405303">
        <w:rPr>
          <w:bCs/>
          <w:color w:val="002060"/>
          <w:sz w:val="16"/>
          <w:szCs w:val="16"/>
        </w:rPr>
        <w:t xml:space="preserve"> Разведывательный радиопеленгатор (РРП) имел антенну зонтичного типа, состоящую из 32 лучей-радиусов, ориентированных на местности согласно компасным румбам, почему иногда именовался "компасной радиостанцией" или "радиостанцией компасного типа" (позднее был разработан также вариант на 64 R). В марте 1914 года был введен в строй радиопеленгатор в Кильконде, в мае на полуострове Ганге и о.Даго. Важно отметить, что Ренгартен уже тогда обращал внимание на необходимость объединения РРП в единую сеть и организацию синхронного радиопеленгования. На Черном море в апреле был введен в строй РРП под Севастополем, в мае вошел в строй РРП под Одессой. Первые же 3 комплекта береговых РРП получил Тихоокеанский флот и ввел в строй их к марту 1914 года. Посты были размещены в б.Славянка, на острове Русском и на м.Путятина, притом к маю их удалось связать надежными линиями проводной связи. В мае был установлен еще 1 РРП на Сахалине на Корсаковом посту, что позволило пеленговать с высокой точностью выходы в эфир судов Японского флота. В начале июня 1914 года между МГШ и Адмирал-штабом было достигнуто соглашение о развертывании 2-х Радиопеленгаторов на Германской территории, обслуживаемых совместными командами. Один радиопеленгатор был установлен к августу 1914 года у Бельгийской границы, второй на острове Гельголанд. Еще один РРП был установлен практически на границе с Данией. В заключении стоит отметить, что первый корабельный РРП разработанный Ренгартеном был испытан на "Бутакове" в ноябре 1914 года, но испытания были признаны не совсем успешным. Ввиду этого проект нового корабельного РРП был предложен офицером МГШ П. Е. Стоговым, взявшим за основу созданный на заводе РОБТиТ (Российского Общества Беспроволочных Телеграфов и Телефонов) перевозной РРП, смонтированный на легковой автомашине. Антенна корабельного РРП представляла собой рамку из трех витков антенного провода, натянутых между мачтами в диаметральной плоскости корабля. Определение пеленга осуществлялось при циркуляции корабля по минимуму сигнала. Испытания РРП прошли весной 1915 года в районе Севастополя под руководством лейтенанта Н. Е. Киреенко и дали положительный результат (12284).</w:t>
      </w:r>
    </w:p>
    <w:p w14:paraId="2C203E09" w14:textId="77777777" w:rsidR="00AB5B6C" w:rsidRPr="00405303" w:rsidRDefault="00AB5B6C" w:rsidP="00C15251">
      <w:pPr>
        <w:jc w:val="both"/>
        <w:rPr>
          <w:bCs/>
          <w:color w:val="002060"/>
          <w:sz w:val="16"/>
          <w:szCs w:val="16"/>
        </w:rPr>
      </w:pPr>
    </w:p>
    <w:p w14:paraId="547C7507" w14:textId="77D848EA" w:rsidR="00135780" w:rsidRPr="00405303" w:rsidRDefault="00135780" w:rsidP="00C15251">
      <w:pPr>
        <w:shd w:val="clear" w:color="auto" w:fill="FFFFFF"/>
        <w:jc w:val="both"/>
        <w:rPr>
          <w:bCs/>
          <w:i/>
          <w:color w:val="002060"/>
          <w:sz w:val="16"/>
          <w:szCs w:val="16"/>
        </w:rPr>
      </w:pPr>
      <w:r w:rsidRPr="00405303">
        <w:rPr>
          <w:bCs/>
          <w:i/>
          <w:color w:val="002060"/>
          <w:sz w:val="16"/>
          <w:szCs w:val="16"/>
        </w:rPr>
        <w:t>Морская авиация:</w:t>
      </w:r>
    </w:p>
    <w:p w14:paraId="028D2A78" w14:textId="77777777" w:rsidR="00135780" w:rsidRPr="00405303" w:rsidRDefault="00135780" w:rsidP="00C15251">
      <w:pPr>
        <w:shd w:val="clear" w:color="auto" w:fill="FFFFFF"/>
        <w:jc w:val="both"/>
        <w:rPr>
          <w:bCs/>
          <w:i/>
          <w:color w:val="002060"/>
          <w:sz w:val="16"/>
          <w:szCs w:val="16"/>
        </w:rPr>
      </w:pPr>
    </w:p>
    <w:p w14:paraId="7CA2DD49" w14:textId="77777777" w:rsidR="00135780" w:rsidRPr="00405303" w:rsidRDefault="00135780" w:rsidP="00C15251">
      <w:pPr>
        <w:jc w:val="both"/>
        <w:rPr>
          <w:bCs/>
          <w:color w:val="002060"/>
          <w:sz w:val="16"/>
          <w:szCs w:val="16"/>
        </w:rPr>
      </w:pPr>
      <w:r w:rsidRPr="00405303">
        <w:rPr>
          <w:bCs/>
          <w:color w:val="002060"/>
          <w:sz w:val="16"/>
          <w:szCs w:val="16"/>
          <w:lang w:bidi="en-US"/>
        </w:rPr>
        <w:t xml:space="preserve">К декабрю 1915 г. в Балтийском море русские создали 6-ю военно-морскую авиабазу близ Гапсала, в 91 км к юго-западу от Ревеля, для защиты сверхсекретной </w:t>
      </w:r>
      <w:r w:rsidRPr="00405303">
        <w:rPr>
          <w:bCs/>
          <w:color w:val="002060"/>
          <w:sz w:val="16"/>
          <w:szCs w:val="16"/>
          <w:lang w:bidi="en-US"/>
        </w:rPr>
        <w:softHyphen/>
        <w:t>станции радиоперехвата и дешифровки на мысе Шпитхамн, а 7-ю военно-морскую авиабазу организовали в Аренсбурге для защиты броненосец «Слава» на зимней стоянке (23525).</w:t>
      </w:r>
    </w:p>
    <w:p w14:paraId="0F10335C" w14:textId="77777777" w:rsidR="00135780" w:rsidRPr="00405303" w:rsidRDefault="00135780" w:rsidP="00C15251">
      <w:pPr>
        <w:jc w:val="both"/>
        <w:rPr>
          <w:bCs/>
          <w:color w:val="002060"/>
          <w:sz w:val="16"/>
          <w:szCs w:val="16"/>
        </w:rPr>
      </w:pPr>
    </w:p>
    <w:p w14:paraId="1CB267FC" w14:textId="7D7E09B8" w:rsidR="00B36F73" w:rsidRPr="00405303" w:rsidRDefault="00B36F73" w:rsidP="00C15251">
      <w:pPr>
        <w:shd w:val="clear" w:color="auto" w:fill="FFFFFF"/>
        <w:jc w:val="both"/>
        <w:rPr>
          <w:bCs/>
          <w:i/>
          <w:color w:val="002060"/>
          <w:sz w:val="16"/>
          <w:szCs w:val="16"/>
        </w:rPr>
      </w:pPr>
      <w:r w:rsidRPr="00405303">
        <w:rPr>
          <w:bCs/>
          <w:i/>
          <w:color w:val="002060"/>
          <w:sz w:val="16"/>
          <w:szCs w:val="16"/>
        </w:rPr>
        <w:t>Самолетостроение:</w:t>
      </w:r>
    </w:p>
    <w:p w14:paraId="13BA345E" w14:textId="77777777" w:rsidR="00B36F73" w:rsidRPr="00405303" w:rsidRDefault="00B36F73" w:rsidP="00C15251">
      <w:pPr>
        <w:shd w:val="clear" w:color="auto" w:fill="FFFFFF"/>
        <w:jc w:val="both"/>
        <w:rPr>
          <w:bCs/>
          <w:i/>
          <w:color w:val="002060"/>
          <w:sz w:val="16"/>
          <w:szCs w:val="16"/>
        </w:rPr>
      </w:pPr>
    </w:p>
    <w:p w14:paraId="6977C0A8" w14:textId="77777777" w:rsidR="00B36F73" w:rsidRPr="00405303" w:rsidRDefault="00B36F73" w:rsidP="00C15251">
      <w:pPr>
        <w:jc w:val="both"/>
        <w:rPr>
          <w:bCs/>
          <w:color w:val="002060"/>
          <w:sz w:val="16"/>
          <w:szCs w:val="16"/>
        </w:rPr>
      </w:pPr>
      <w:r w:rsidRPr="00405303">
        <w:rPr>
          <w:bCs/>
          <w:color w:val="002060"/>
          <w:sz w:val="16"/>
          <w:szCs w:val="16"/>
          <w:lang w:bidi="en-US"/>
        </w:rPr>
        <w:t>14 декабря 1915 г. в отчете было указано количество самолетов, заказанных во Франции, количество полученных и количество отправленных на фронт:</w:t>
      </w:r>
    </w:p>
    <w:tbl>
      <w:tblPr>
        <w:tblOverlap w:val="never"/>
        <w:tblW w:w="0" w:type="auto"/>
        <w:tblLayout w:type="fixed"/>
        <w:tblCellMar>
          <w:left w:w="10" w:type="dxa"/>
          <w:right w:w="10" w:type="dxa"/>
        </w:tblCellMar>
        <w:tblLook w:val="0000" w:firstRow="0" w:lastRow="0" w:firstColumn="0" w:lastColumn="0" w:noHBand="0" w:noVBand="0"/>
      </w:tblPr>
      <w:tblGrid>
        <w:gridCol w:w="1848"/>
        <w:gridCol w:w="1666"/>
        <w:gridCol w:w="1560"/>
        <w:gridCol w:w="1565"/>
      </w:tblGrid>
      <w:tr w:rsidR="00B36F73" w:rsidRPr="00405303" w14:paraId="4FC1DAA6" w14:textId="77777777" w:rsidTr="006606CA">
        <w:trPr>
          <w:trHeight w:val="178"/>
        </w:trPr>
        <w:tc>
          <w:tcPr>
            <w:tcW w:w="1848" w:type="dxa"/>
          </w:tcPr>
          <w:p w14:paraId="3226DAF4" w14:textId="77777777" w:rsidR="00B36F73" w:rsidRPr="00405303" w:rsidRDefault="00B36F73"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Тип самолета</w:t>
            </w:r>
          </w:p>
        </w:tc>
        <w:tc>
          <w:tcPr>
            <w:tcW w:w="1666" w:type="dxa"/>
          </w:tcPr>
          <w:p w14:paraId="17AA8807" w14:textId="77777777" w:rsidR="00B36F73" w:rsidRPr="00405303" w:rsidRDefault="00B36F73"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Заказал</w:t>
            </w:r>
          </w:p>
        </w:tc>
        <w:tc>
          <w:tcPr>
            <w:tcW w:w="1560" w:type="dxa"/>
          </w:tcPr>
          <w:p w14:paraId="04312FAA" w14:textId="77777777" w:rsidR="00B36F73" w:rsidRPr="00405303" w:rsidRDefault="00B36F73"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Полученный</w:t>
            </w:r>
          </w:p>
        </w:tc>
        <w:tc>
          <w:tcPr>
            <w:tcW w:w="1565" w:type="dxa"/>
          </w:tcPr>
          <w:p w14:paraId="6DFE4C4B" w14:textId="77777777" w:rsidR="00B36F73" w:rsidRPr="00405303" w:rsidRDefault="00B36F73"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Отправили на фронт</w:t>
            </w:r>
          </w:p>
        </w:tc>
      </w:tr>
      <w:tr w:rsidR="00B36F73" w:rsidRPr="00405303" w14:paraId="1BB49E37" w14:textId="77777777" w:rsidTr="006606CA">
        <w:trPr>
          <w:trHeight w:val="182"/>
        </w:trPr>
        <w:tc>
          <w:tcPr>
            <w:tcW w:w="1848" w:type="dxa"/>
            <w:vAlign w:val="bottom"/>
          </w:tcPr>
          <w:p w14:paraId="5AEDE074" w14:textId="77777777" w:rsidR="00B36F73" w:rsidRPr="00405303" w:rsidRDefault="00B36F73"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Морис Фарман</w:t>
            </w:r>
          </w:p>
        </w:tc>
        <w:tc>
          <w:tcPr>
            <w:tcW w:w="1666" w:type="dxa"/>
            <w:vAlign w:val="bottom"/>
          </w:tcPr>
          <w:p w14:paraId="72C8AD49" w14:textId="77777777" w:rsidR="00B36F73" w:rsidRPr="00405303" w:rsidRDefault="00B36F73"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37</w:t>
            </w:r>
          </w:p>
        </w:tc>
        <w:tc>
          <w:tcPr>
            <w:tcW w:w="1560" w:type="dxa"/>
            <w:vAlign w:val="bottom"/>
          </w:tcPr>
          <w:p w14:paraId="17ACBFFC" w14:textId="77777777" w:rsidR="00B36F73" w:rsidRPr="00405303" w:rsidRDefault="00B36F73"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37</w:t>
            </w:r>
          </w:p>
        </w:tc>
        <w:tc>
          <w:tcPr>
            <w:tcW w:w="1565" w:type="dxa"/>
            <w:vAlign w:val="bottom"/>
          </w:tcPr>
          <w:p w14:paraId="594DE0C4" w14:textId="77777777" w:rsidR="00B36F73" w:rsidRPr="00405303" w:rsidRDefault="00B36F73"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36</w:t>
            </w:r>
          </w:p>
        </w:tc>
      </w:tr>
      <w:tr w:rsidR="00B36F73" w:rsidRPr="00405303" w14:paraId="54889483" w14:textId="77777777" w:rsidTr="006606CA">
        <w:trPr>
          <w:trHeight w:val="187"/>
        </w:trPr>
        <w:tc>
          <w:tcPr>
            <w:tcW w:w="1848" w:type="dxa"/>
            <w:vAlign w:val="bottom"/>
          </w:tcPr>
          <w:p w14:paraId="7B2663BE" w14:textId="77777777" w:rsidR="00B36F73" w:rsidRPr="00405303" w:rsidRDefault="00B36F73"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Анри Фарман</w:t>
            </w:r>
          </w:p>
        </w:tc>
        <w:tc>
          <w:tcPr>
            <w:tcW w:w="1666" w:type="dxa"/>
            <w:vAlign w:val="bottom"/>
          </w:tcPr>
          <w:p w14:paraId="0ACD5FF8" w14:textId="77777777" w:rsidR="00B36F73" w:rsidRPr="00405303" w:rsidRDefault="00B36F73"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35</w:t>
            </w:r>
          </w:p>
        </w:tc>
        <w:tc>
          <w:tcPr>
            <w:tcW w:w="1560" w:type="dxa"/>
            <w:vAlign w:val="bottom"/>
          </w:tcPr>
          <w:p w14:paraId="03E76EF6" w14:textId="77777777" w:rsidR="00B36F73" w:rsidRPr="00405303" w:rsidRDefault="00B36F73"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35</w:t>
            </w:r>
          </w:p>
        </w:tc>
        <w:tc>
          <w:tcPr>
            <w:tcW w:w="1565" w:type="dxa"/>
            <w:vAlign w:val="bottom"/>
          </w:tcPr>
          <w:p w14:paraId="609879E1" w14:textId="77777777" w:rsidR="00B36F73" w:rsidRPr="00405303" w:rsidRDefault="00B36F73"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34</w:t>
            </w:r>
          </w:p>
        </w:tc>
      </w:tr>
      <w:tr w:rsidR="00B36F73" w:rsidRPr="00405303" w14:paraId="097F985D" w14:textId="77777777" w:rsidTr="006606CA">
        <w:trPr>
          <w:trHeight w:val="187"/>
        </w:trPr>
        <w:tc>
          <w:tcPr>
            <w:tcW w:w="1848" w:type="dxa"/>
            <w:vAlign w:val="bottom"/>
          </w:tcPr>
          <w:p w14:paraId="16B65563" w14:textId="77777777" w:rsidR="00B36F73" w:rsidRPr="00405303" w:rsidRDefault="00B36F73"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Вуазен</w:t>
            </w:r>
          </w:p>
        </w:tc>
        <w:tc>
          <w:tcPr>
            <w:tcW w:w="1666" w:type="dxa"/>
            <w:vAlign w:val="bottom"/>
          </w:tcPr>
          <w:p w14:paraId="6BF66ABD" w14:textId="77777777" w:rsidR="00B36F73" w:rsidRPr="00405303" w:rsidRDefault="00B36F73"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157</w:t>
            </w:r>
          </w:p>
        </w:tc>
        <w:tc>
          <w:tcPr>
            <w:tcW w:w="1560" w:type="dxa"/>
            <w:vAlign w:val="bottom"/>
          </w:tcPr>
          <w:p w14:paraId="6769C234" w14:textId="77777777" w:rsidR="00B36F73" w:rsidRPr="00405303" w:rsidRDefault="00B36F73"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130</w:t>
            </w:r>
          </w:p>
        </w:tc>
        <w:tc>
          <w:tcPr>
            <w:tcW w:w="1565" w:type="dxa"/>
            <w:vAlign w:val="bottom"/>
          </w:tcPr>
          <w:p w14:paraId="5F4C344F" w14:textId="77777777" w:rsidR="00B36F73" w:rsidRPr="00405303" w:rsidRDefault="00B36F73"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91</w:t>
            </w:r>
          </w:p>
        </w:tc>
      </w:tr>
      <w:tr w:rsidR="00B36F73" w:rsidRPr="00405303" w14:paraId="45BC04DD" w14:textId="77777777" w:rsidTr="006606CA">
        <w:trPr>
          <w:trHeight w:val="197"/>
        </w:trPr>
        <w:tc>
          <w:tcPr>
            <w:tcW w:w="1848" w:type="dxa"/>
          </w:tcPr>
          <w:p w14:paraId="7F04DD35" w14:textId="77777777" w:rsidR="00B36F73" w:rsidRPr="00405303" w:rsidRDefault="00B36F73"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Вуазен (15Ohp Salm)</w:t>
            </w:r>
          </w:p>
        </w:tc>
        <w:tc>
          <w:tcPr>
            <w:tcW w:w="1666" w:type="dxa"/>
          </w:tcPr>
          <w:p w14:paraId="78A727A5" w14:textId="77777777" w:rsidR="00B36F73" w:rsidRPr="00405303" w:rsidRDefault="00B36F73"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150</w:t>
            </w:r>
          </w:p>
        </w:tc>
        <w:tc>
          <w:tcPr>
            <w:tcW w:w="1560" w:type="dxa"/>
          </w:tcPr>
          <w:p w14:paraId="3FA8ECA3" w14:textId="77777777" w:rsidR="00B36F73" w:rsidRPr="00405303" w:rsidRDefault="00B36F73"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0</w:t>
            </w:r>
          </w:p>
        </w:tc>
        <w:tc>
          <w:tcPr>
            <w:tcW w:w="1565" w:type="dxa"/>
          </w:tcPr>
          <w:p w14:paraId="4E8B0141" w14:textId="77777777" w:rsidR="00B36F73" w:rsidRPr="00405303" w:rsidRDefault="00B36F73"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val="en-US" w:bidi="en-US"/>
              </w:rPr>
              <w:t>0</w:t>
            </w:r>
          </w:p>
        </w:tc>
      </w:tr>
      <w:tr w:rsidR="00B36F73" w:rsidRPr="00405303" w14:paraId="7E35B0E7" w14:textId="77777777" w:rsidTr="006606CA">
        <w:trPr>
          <w:trHeight w:val="197"/>
        </w:trPr>
        <w:tc>
          <w:tcPr>
            <w:tcW w:w="1848" w:type="dxa"/>
          </w:tcPr>
          <w:p w14:paraId="59135B7D" w14:textId="77777777" w:rsidR="00B36F73" w:rsidRPr="00405303" w:rsidRDefault="00B36F73" w:rsidP="00C15251">
            <w:pPr>
              <w:pStyle w:val="afa"/>
              <w:ind w:firstLine="0"/>
              <w:jc w:val="both"/>
              <w:rPr>
                <w:rFonts w:ascii="Times New Roman" w:hAnsi="Times New Roman" w:cs="Times New Roman"/>
                <w:bCs/>
                <w:color w:val="002060"/>
                <w:sz w:val="16"/>
                <w:szCs w:val="16"/>
                <w:lang w:bidi="en-US"/>
              </w:rPr>
            </w:pPr>
            <w:r w:rsidRPr="00405303">
              <w:rPr>
                <w:rFonts w:ascii="Times New Roman" w:hAnsi="Times New Roman" w:cs="Times New Roman"/>
                <w:bCs/>
                <w:color w:val="002060"/>
                <w:sz w:val="16"/>
                <w:szCs w:val="16"/>
                <w:lang w:val="en-US" w:bidi="en-US"/>
              </w:rPr>
              <w:t>Моран</w:t>
            </w:r>
            <w:r w:rsidRPr="00405303">
              <w:rPr>
                <w:rFonts w:ascii="Times New Roman" w:hAnsi="Times New Roman" w:cs="Times New Roman"/>
                <w:bCs/>
                <w:color w:val="002060"/>
                <w:sz w:val="16"/>
                <w:szCs w:val="16"/>
                <w:lang w:bidi="en-US"/>
              </w:rPr>
              <w:t xml:space="preserve"> Парасоль</w:t>
            </w:r>
          </w:p>
        </w:tc>
        <w:tc>
          <w:tcPr>
            <w:tcW w:w="1666" w:type="dxa"/>
          </w:tcPr>
          <w:p w14:paraId="56A9B602"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99</w:t>
            </w:r>
          </w:p>
        </w:tc>
        <w:tc>
          <w:tcPr>
            <w:tcW w:w="1560" w:type="dxa"/>
          </w:tcPr>
          <w:p w14:paraId="47B83E45"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47</w:t>
            </w:r>
          </w:p>
        </w:tc>
        <w:tc>
          <w:tcPr>
            <w:tcW w:w="1565" w:type="dxa"/>
          </w:tcPr>
          <w:p w14:paraId="0239CB37"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45</w:t>
            </w:r>
          </w:p>
        </w:tc>
      </w:tr>
      <w:tr w:rsidR="00B36F73" w:rsidRPr="00405303" w14:paraId="5FA8B71A" w14:textId="77777777" w:rsidTr="006606CA">
        <w:trPr>
          <w:trHeight w:val="197"/>
        </w:trPr>
        <w:tc>
          <w:tcPr>
            <w:tcW w:w="1848" w:type="dxa"/>
          </w:tcPr>
          <w:p w14:paraId="6CD08966"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Моран J-типа</w:t>
            </w:r>
          </w:p>
        </w:tc>
        <w:tc>
          <w:tcPr>
            <w:tcW w:w="1666" w:type="dxa"/>
          </w:tcPr>
          <w:p w14:paraId="17340C29"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6</w:t>
            </w:r>
          </w:p>
        </w:tc>
        <w:tc>
          <w:tcPr>
            <w:tcW w:w="1560" w:type="dxa"/>
          </w:tcPr>
          <w:p w14:paraId="42C34F58"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6</w:t>
            </w:r>
          </w:p>
        </w:tc>
        <w:tc>
          <w:tcPr>
            <w:tcW w:w="1565" w:type="dxa"/>
          </w:tcPr>
          <w:p w14:paraId="59C7C3A0"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6</w:t>
            </w:r>
          </w:p>
        </w:tc>
      </w:tr>
      <w:tr w:rsidR="00B36F73" w:rsidRPr="00405303" w14:paraId="05A7F685" w14:textId="77777777" w:rsidTr="006606CA">
        <w:trPr>
          <w:trHeight w:val="197"/>
        </w:trPr>
        <w:tc>
          <w:tcPr>
            <w:tcW w:w="1848" w:type="dxa"/>
          </w:tcPr>
          <w:p w14:paraId="66854273"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Ньюпор IV</w:t>
            </w:r>
          </w:p>
        </w:tc>
        <w:tc>
          <w:tcPr>
            <w:tcW w:w="1666" w:type="dxa"/>
          </w:tcPr>
          <w:p w14:paraId="21532619"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5</w:t>
            </w:r>
          </w:p>
        </w:tc>
        <w:tc>
          <w:tcPr>
            <w:tcW w:w="1560" w:type="dxa"/>
          </w:tcPr>
          <w:p w14:paraId="0DE94B47"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5</w:t>
            </w:r>
          </w:p>
        </w:tc>
        <w:tc>
          <w:tcPr>
            <w:tcW w:w="1565" w:type="dxa"/>
          </w:tcPr>
          <w:p w14:paraId="49F98D21"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5</w:t>
            </w:r>
          </w:p>
        </w:tc>
      </w:tr>
      <w:tr w:rsidR="00B36F73" w:rsidRPr="00405303" w14:paraId="15403225" w14:textId="77777777" w:rsidTr="006606CA">
        <w:trPr>
          <w:trHeight w:val="197"/>
        </w:trPr>
        <w:tc>
          <w:tcPr>
            <w:tcW w:w="1848" w:type="dxa"/>
          </w:tcPr>
          <w:p w14:paraId="17A90364"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Ньюпор 10</w:t>
            </w:r>
          </w:p>
        </w:tc>
        <w:tc>
          <w:tcPr>
            <w:tcW w:w="1666" w:type="dxa"/>
          </w:tcPr>
          <w:p w14:paraId="49F3DA36"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7</w:t>
            </w:r>
          </w:p>
        </w:tc>
        <w:tc>
          <w:tcPr>
            <w:tcW w:w="1560" w:type="dxa"/>
          </w:tcPr>
          <w:p w14:paraId="2B071D04"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7</w:t>
            </w:r>
          </w:p>
        </w:tc>
        <w:tc>
          <w:tcPr>
            <w:tcW w:w="1565" w:type="dxa"/>
          </w:tcPr>
          <w:p w14:paraId="4AF0DC4C"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7</w:t>
            </w:r>
          </w:p>
        </w:tc>
      </w:tr>
      <w:tr w:rsidR="00B36F73" w:rsidRPr="00405303" w14:paraId="55B319B1" w14:textId="77777777" w:rsidTr="006606CA">
        <w:trPr>
          <w:trHeight w:val="197"/>
        </w:trPr>
        <w:tc>
          <w:tcPr>
            <w:tcW w:w="1848" w:type="dxa"/>
          </w:tcPr>
          <w:p w14:paraId="5AD06372"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Ньюпор ??? тип</w:t>
            </w:r>
          </w:p>
        </w:tc>
        <w:tc>
          <w:tcPr>
            <w:tcW w:w="1666" w:type="dxa"/>
          </w:tcPr>
          <w:p w14:paraId="0783FA7D"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 50</w:t>
            </w:r>
          </w:p>
        </w:tc>
        <w:tc>
          <w:tcPr>
            <w:tcW w:w="1560" w:type="dxa"/>
          </w:tcPr>
          <w:p w14:paraId="6D2D3A5D"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19</w:t>
            </w:r>
          </w:p>
        </w:tc>
        <w:tc>
          <w:tcPr>
            <w:tcW w:w="1565" w:type="dxa"/>
          </w:tcPr>
          <w:p w14:paraId="7B250162"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10</w:t>
            </w:r>
          </w:p>
        </w:tc>
      </w:tr>
      <w:tr w:rsidR="00B36F73" w:rsidRPr="00405303" w14:paraId="5EE2C2DD" w14:textId="77777777" w:rsidTr="006606CA">
        <w:trPr>
          <w:trHeight w:val="197"/>
        </w:trPr>
        <w:tc>
          <w:tcPr>
            <w:tcW w:w="1848" w:type="dxa"/>
          </w:tcPr>
          <w:p w14:paraId="52ED7656"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lastRenderedPageBreak/>
              <w:t>Кодрон</w:t>
            </w:r>
          </w:p>
        </w:tc>
        <w:tc>
          <w:tcPr>
            <w:tcW w:w="1666" w:type="dxa"/>
          </w:tcPr>
          <w:p w14:paraId="7AE1B5AD"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20</w:t>
            </w:r>
          </w:p>
        </w:tc>
        <w:tc>
          <w:tcPr>
            <w:tcW w:w="1560" w:type="dxa"/>
          </w:tcPr>
          <w:p w14:paraId="4003B864"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20</w:t>
            </w:r>
          </w:p>
        </w:tc>
        <w:tc>
          <w:tcPr>
            <w:tcW w:w="1565" w:type="dxa"/>
          </w:tcPr>
          <w:p w14:paraId="69C5A89F"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16</w:t>
            </w:r>
          </w:p>
        </w:tc>
      </w:tr>
      <w:tr w:rsidR="00B36F73" w:rsidRPr="00405303" w14:paraId="49FE4EF6" w14:textId="77777777" w:rsidTr="006606CA">
        <w:trPr>
          <w:trHeight w:val="197"/>
        </w:trPr>
        <w:tc>
          <w:tcPr>
            <w:tcW w:w="1848" w:type="dxa"/>
          </w:tcPr>
          <w:p w14:paraId="3C5A6FBA"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Бреге ??? тип</w:t>
            </w:r>
          </w:p>
        </w:tc>
        <w:tc>
          <w:tcPr>
            <w:tcW w:w="1666" w:type="dxa"/>
          </w:tcPr>
          <w:p w14:paraId="747D0B6F"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3</w:t>
            </w:r>
          </w:p>
        </w:tc>
        <w:tc>
          <w:tcPr>
            <w:tcW w:w="1560" w:type="dxa"/>
          </w:tcPr>
          <w:p w14:paraId="7C2C8B7F"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0</w:t>
            </w:r>
          </w:p>
        </w:tc>
        <w:tc>
          <w:tcPr>
            <w:tcW w:w="1565" w:type="dxa"/>
          </w:tcPr>
          <w:p w14:paraId="53F06FD0"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0</w:t>
            </w:r>
          </w:p>
        </w:tc>
      </w:tr>
      <w:tr w:rsidR="00B36F73" w:rsidRPr="00405303" w14:paraId="416C8226" w14:textId="77777777" w:rsidTr="006606CA">
        <w:trPr>
          <w:trHeight w:val="197"/>
        </w:trPr>
        <w:tc>
          <w:tcPr>
            <w:tcW w:w="1848" w:type="dxa"/>
          </w:tcPr>
          <w:p w14:paraId="3C280963"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Фарман (160 л.с.)</w:t>
            </w:r>
          </w:p>
        </w:tc>
        <w:tc>
          <w:tcPr>
            <w:tcW w:w="1666" w:type="dxa"/>
          </w:tcPr>
          <w:p w14:paraId="66FCE285"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5</w:t>
            </w:r>
          </w:p>
        </w:tc>
        <w:tc>
          <w:tcPr>
            <w:tcW w:w="1560" w:type="dxa"/>
          </w:tcPr>
          <w:p w14:paraId="0E8AF411"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0</w:t>
            </w:r>
          </w:p>
        </w:tc>
        <w:tc>
          <w:tcPr>
            <w:tcW w:w="1565" w:type="dxa"/>
          </w:tcPr>
          <w:p w14:paraId="03C1EB4C"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0</w:t>
            </w:r>
          </w:p>
        </w:tc>
      </w:tr>
      <w:tr w:rsidR="00B36F73" w:rsidRPr="00405303" w14:paraId="534E5717" w14:textId="77777777" w:rsidTr="006606CA">
        <w:trPr>
          <w:trHeight w:val="197"/>
        </w:trPr>
        <w:tc>
          <w:tcPr>
            <w:tcW w:w="1848" w:type="dxa"/>
          </w:tcPr>
          <w:p w14:paraId="7AC9C6D7"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Моран ???тип</w:t>
            </w:r>
          </w:p>
        </w:tc>
        <w:tc>
          <w:tcPr>
            <w:tcW w:w="1666" w:type="dxa"/>
          </w:tcPr>
          <w:p w14:paraId="29DE1A8C"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6</w:t>
            </w:r>
          </w:p>
        </w:tc>
        <w:tc>
          <w:tcPr>
            <w:tcW w:w="1560" w:type="dxa"/>
          </w:tcPr>
          <w:p w14:paraId="48AD2AD3"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0</w:t>
            </w:r>
          </w:p>
        </w:tc>
        <w:tc>
          <w:tcPr>
            <w:tcW w:w="1565" w:type="dxa"/>
          </w:tcPr>
          <w:p w14:paraId="3650C2CF"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0</w:t>
            </w:r>
          </w:p>
        </w:tc>
      </w:tr>
      <w:tr w:rsidR="00B36F73" w:rsidRPr="00405303" w14:paraId="28F75996" w14:textId="77777777" w:rsidTr="006606CA">
        <w:trPr>
          <w:trHeight w:val="197"/>
        </w:trPr>
        <w:tc>
          <w:tcPr>
            <w:tcW w:w="1848" w:type="dxa"/>
          </w:tcPr>
          <w:p w14:paraId="7F6FE9AA"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Спад А-2</w:t>
            </w:r>
          </w:p>
        </w:tc>
        <w:tc>
          <w:tcPr>
            <w:tcW w:w="1666" w:type="dxa"/>
          </w:tcPr>
          <w:p w14:paraId="03641692"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6</w:t>
            </w:r>
          </w:p>
        </w:tc>
        <w:tc>
          <w:tcPr>
            <w:tcW w:w="1560" w:type="dxa"/>
          </w:tcPr>
          <w:p w14:paraId="31C2A39A"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0</w:t>
            </w:r>
          </w:p>
        </w:tc>
        <w:tc>
          <w:tcPr>
            <w:tcW w:w="1565" w:type="dxa"/>
          </w:tcPr>
          <w:p w14:paraId="130B0624"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0</w:t>
            </w:r>
          </w:p>
        </w:tc>
      </w:tr>
      <w:tr w:rsidR="00B36F73" w:rsidRPr="00405303" w14:paraId="3A12F0B4" w14:textId="77777777" w:rsidTr="006606CA">
        <w:trPr>
          <w:trHeight w:val="197"/>
        </w:trPr>
        <w:tc>
          <w:tcPr>
            <w:tcW w:w="1848" w:type="dxa"/>
          </w:tcPr>
          <w:p w14:paraId="3434A669"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Общий</w:t>
            </w:r>
          </w:p>
        </w:tc>
        <w:tc>
          <w:tcPr>
            <w:tcW w:w="1666" w:type="dxa"/>
          </w:tcPr>
          <w:p w14:paraId="62E0D898"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586</w:t>
            </w:r>
          </w:p>
        </w:tc>
        <w:tc>
          <w:tcPr>
            <w:tcW w:w="1560" w:type="dxa"/>
          </w:tcPr>
          <w:p w14:paraId="66E21FE0"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306</w:t>
            </w:r>
          </w:p>
        </w:tc>
        <w:tc>
          <w:tcPr>
            <w:tcW w:w="1565" w:type="dxa"/>
          </w:tcPr>
          <w:p w14:paraId="0BEDBA5B" w14:textId="77777777" w:rsidR="00B36F73" w:rsidRPr="00405303" w:rsidRDefault="00B36F73" w:rsidP="00C15251">
            <w:pPr>
              <w:pStyle w:val="afa"/>
              <w:ind w:firstLine="0"/>
              <w:jc w:val="both"/>
              <w:rPr>
                <w:rFonts w:ascii="Times New Roman" w:hAnsi="Times New Roman" w:cs="Times New Roman"/>
                <w:bCs/>
                <w:color w:val="002060"/>
                <w:sz w:val="16"/>
                <w:szCs w:val="16"/>
                <w:lang w:val="en-US" w:bidi="en-US"/>
              </w:rPr>
            </w:pPr>
            <w:r w:rsidRPr="00405303">
              <w:rPr>
                <w:rFonts w:ascii="Times New Roman" w:hAnsi="Times New Roman" w:cs="Times New Roman"/>
                <w:bCs/>
                <w:color w:val="002060"/>
                <w:sz w:val="16"/>
                <w:szCs w:val="16"/>
                <w:lang w:val="en-US" w:bidi="en-US"/>
              </w:rPr>
              <w:t>250</w:t>
            </w:r>
          </w:p>
        </w:tc>
      </w:tr>
    </w:tbl>
    <w:p w14:paraId="03A8F359" w14:textId="77777777" w:rsidR="00B36F73" w:rsidRPr="00405303" w:rsidRDefault="00B36F73" w:rsidP="00C15251">
      <w:pPr>
        <w:jc w:val="both"/>
        <w:rPr>
          <w:bCs/>
          <w:color w:val="002060"/>
          <w:sz w:val="16"/>
          <w:szCs w:val="16"/>
          <w:lang w:bidi="en-US"/>
        </w:rPr>
      </w:pPr>
      <w:r w:rsidRPr="00405303">
        <w:rPr>
          <w:bCs/>
          <w:color w:val="002060"/>
          <w:sz w:val="16"/>
          <w:szCs w:val="16"/>
          <w:lang w:bidi="en-US"/>
        </w:rPr>
        <w:t>За время войны заказы на авиационные двигатели были размещены на шести русских заводах на 1720 двигателей, из которых к 15 мая 1916 г. военным было поставлено только 472. За всю войну заказы были размещены во Франции на 1688 двигателей, в Италии на 100 двигателей. Неясно, сколько из них было получено на самом деле. С середины 1915 г. до конца 1916 г. в Россию было поставлено около 675 британских авиадвигателей (23525).</w:t>
      </w:r>
    </w:p>
    <w:p w14:paraId="038C5B87" w14:textId="77777777" w:rsidR="00B36F73" w:rsidRPr="00405303" w:rsidRDefault="00B36F73" w:rsidP="00C15251">
      <w:pPr>
        <w:jc w:val="both"/>
        <w:rPr>
          <w:bCs/>
          <w:color w:val="002060"/>
          <w:sz w:val="16"/>
          <w:szCs w:val="16"/>
          <w:lang w:bidi="en-US"/>
        </w:rPr>
      </w:pPr>
    </w:p>
    <w:p w14:paraId="02C0EDD4" w14:textId="77777777" w:rsidR="00DB552F" w:rsidRPr="00B52707" w:rsidRDefault="00DB552F" w:rsidP="00DB552F">
      <w:pPr>
        <w:jc w:val="both"/>
        <w:rPr>
          <w:color w:val="0070C0"/>
          <w:sz w:val="16"/>
          <w:szCs w:val="16"/>
        </w:rPr>
      </w:pPr>
      <w:r w:rsidRPr="00B52707">
        <w:rPr>
          <w:rFonts w:eastAsia="Cambria"/>
          <w:color w:val="0070C0"/>
          <w:sz w:val="16"/>
          <w:szCs w:val="16"/>
        </w:rPr>
        <w:t>К</w:t>
      </w:r>
      <w:r w:rsidRPr="00B52707">
        <w:rPr>
          <w:color w:val="0070C0"/>
          <w:sz w:val="16"/>
          <w:szCs w:val="16"/>
        </w:rPr>
        <w:t xml:space="preserve"> 1 (14) декабря 1915 г.</w:t>
      </w:r>
      <w:r w:rsidRPr="00B52707">
        <w:rPr>
          <w:rFonts w:eastAsia="Cambria"/>
          <w:color w:val="0070C0"/>
          <w:sz w:val="16"/>
          <w:szCs w:val="16"/>
        </w:rPr>
        <w:t xml:space="preserve"> з</w:t>
      </w:r>
      <w:r w:rsidRPr="00B52707">
        <w:rPr>
          <w:color w:val="0070C0"/>
          <w:sz w:val="16"/>
          <w:szCs w:val="16"/>
        </w:rPr>
        <w:t>аказы аэропланов во Франции</w:t>
      </w:r>
    </w:p>
    <w:tbl>
      <w:tblPr>
        <w:tblOverlap w:val="never"/>
        <w:tblW w:w="0" w:type="auto"/>
        <w:tblLayout w:type="fixed"/>
        <w:tblCellMar>
          <w:left w:w="10" w:type="dxa"/>
          <w:right w:w="10" w:type="dxa"/>
        </w:tblCellMar>
        <w:tblLook w:val="0000" w:firstRow="0" w:lastRow="0" w:firstColumn="0" w:lastColumn="0" w:noHBand="0" w:noVBand="0"/>
      </w:tblPr>
      <w:tblGrid>
        <w:gridCol w:w="3110"/>
        <w:gridCol w:w="941"/>
        <w:gridCol w:w="1066"/>
        <w:gridCol w:w="1056"/>
      </w:tblGrid>
      <w:tr w:rsidR="00DB552F" w:rsidRPr="00B52707" w14:paraId="1AC40957" w14:textId="77777777" w:rsidTr="00BD0BCB">
        <w:trPr>
          <w:trHeight w:hRule="exact" w:val="1080"/>
        </w:trPr>
        <w:tc>
          <w:tcPr>
            <w:tcW w:w="3110" w:type="dxa"/>
            <w:tcBorders>
              <w:top w:val="single" w:sz="4" w:space="0" w:color="auto"/>
            </w:tcBorders>
            <w:shd w:val="clear" w:color="auto" w:fill="FFFFFF"/>
            <w:vAlign w:val="center"/>
          </w:tcPr>
          <w:p w14:paraId="3E7087FA" w14:textId="77777777" w:rsidR="00DB552F" w:rsidRPr="00B52707" w:rsidRDefault="00DB552F" w:rsidP="00BD0BCB">
            <w:pPr>
              <w:jc w:val="both"/>
              <w:rPr>
                <w:color w:val="0070C0"/>
                <w:sz w:val="16"/>
                <w:szCs w:val="16"/>
              </w:rPr>
            </w:pPr>
            <w:r w:rsidRPr="00B52707">
              <w:rPr>
                <w:color w:val="0070C0"/>
                <w:sz w:val="16"/>
                <w:szCs w:val="16"/>
              </w:rPr>
              <w:t>Системы.</w:t>
            </w:r>
          </w:p>
        </w:tc>
        <w:tc>
          <w:tcPr>
            <w:tcW w:w="941" w:type="dxa"/>
            <w:tcBorders>
              <w:top w:val="single" w:sz="4" w:space="0" w:color="auto"/>
              <w:left w:val="single" w:sz="4" w:space="0" w:color="auto"/>
            </w:tcBorders>
            <w:shd w:val="clear" w:color="auto" w:fill="FFFFFF"/>
            <w:vAlign w:val="center"/>
          </w:tcPr>
          <w:p w14:paraId="7E1D5F3E" w14:textId="77777777" w:rsidR="00DB552F" w:rsidRPr="00B52707" w:rsidRDefault="00DB552F" w:rsidP="00BD0BCB">
            <w:pPr>
              <w:jc w:val="both"/>
              <w:rPr>
                <w:color w:val="0070C0"/>
                <w:sz w:val="16"/>
                <w:szCs w:val="16"/>
              </w:rPr>
            </w:pPr>
            <w:r w:rsidRPr="00B52707">
              <w:rPr>
                <w:color w:val="0070C0"/>
                <w:sz w:val="16"/>
                <w:szCs w:val="16"/>
              </w:rPr>
              <w:t>Заказано.</w:t>
            </w:r>
          </w:p>
        </w:tc>
        <w:tc>
          <w:tcPr>
            <w:tcW w:w="1066" w:type="dxa"/>
            <w:tcBorders>
              <w:top w:val="single" w:sz="4" w:space="0" w:color="auto"/>
            </w:tcBorders>
            <w:shd w:val="clear" w:color="auto" w:fill="FFFFFF"/>
            <w:vAlign w:val="center"/>
          </w:tcPr>
          <w:p w14:paraId="47DBBAD8" w14:textId="77777777" w:rsidR="00DB552F" w:rsidRPr="00B52707" w:rsidRDefault="00DB552F" w:rsidP="00BD0BCB">
            <w:pPr>
              <w:jc w:val="both"/>
              <w:rPr>
                <w:color w:val="0070C0"/>
                <w:sz w:val="16"/>
                <w:szCs w:val="16"/>
              </w:rPr>
            </w:pPr>
            <w:r w:rsidRPr="00B52707">
              <w:rPr>
                <w:color w:val="0070C0"/>
                <w:sz w:val="16"/>
                <w:szCs w:val="16"/>
              </w:rPr>
              <w:t>Исполнено.</w:t>
            </w:r>
          </w:p>
        </w:tc>
        <w:tc>
          <w:tcPr>
            <w:tcW w:w="1056" w:type="dxa"/>
            <w:tcBorders>
              <w:top w:val="single" w:sz="4" w:space="0" w:color="auto"/>
              <w:left w:val="single" w:sz="4" w:space="0" w:color="auto"/>
            </w:tcBorders>
            <w:shd w:val="clear" w:color="auto" w:fill="FFFFFF"/>
            <w:vAlign w:val="center"/>
          </w:tcPr>
          <w:p w14:paraId="539BCAE8" w14:textId="77777777" w:rsidR="00DB552F" w:rsidRPr="00B52707" w:rsidRDefault="00DB552F" w:rsidP="00BD0BCB">
            <w:pPr>
              <w:jc w:val="both"/>
              <w:rPr>
                <w:color w:val="0070C0"/>
                <w:sz w:val="16"/>
                <w:szCs w:val="16"/>
              </w:rPr>
            </w:pPr>
            <w:r w:rsidRPr="00B52707">
              <w:rPr>
                <w:color w:val="0070C0"/>
                <w:sz w:val="16"/>
                <w:szCs w:val="16"/>
              </w:rPr>
              <w:t>Из посту</w:t>
            </w:r>
            <w:r w:rsidRPr="00B52707">
              <w:rPr>
                <w:color w:val="0070C0"/>
                <w:sz w:val="16"/>
                <w:szCs w:val="16"/>
              </w:rPr>
              <w:softHyphen/>
              <w:t>пившего отправлено на фронт.</w:t>
            </w:r>
          </w:p>
        </w:tc>
      </w:tr>
      <w:tr w:rsidR="00DB552F" w:rsidRPr="00B52707" w14:paraId="521AFB32" w14:textId="77777777" w:rsidTr="00BD0BCB">
        <w:trPr>
          <w:trHeight w:hRule="exact" w:val="451"/>
        </w:trPr>
        <w:tc>
          <w:tcPr>
            <w:tcW w:w="3110" w:type="dxa"/>
            <w:tcBorders>
              <w:top w:val="single" w:sz="4" w:space="0" w:color="auto"/>
            </w:tcBorders>
            <w:shd w:val="clear" w:color="auto" w:fill="FFFFFF"/>
            <w:vAlign w:val="bottom"/>
          </w:tcPr>
          <w:p w14:paraId="6DA70706" w14:textId="77777777" w:rsidR="00DB552F" w:rsidRPr="00B52707" w:rsidRDefault="00DB552F" w:rsidP="00BD0BCB">
            <w:pPr>
              <w:jc w:val="both"/>
              <w:rPr>
                <w:color w:val="0070C0"/>
                <w:sz w:val="16"/>
                <w:szCs w:val="16"/>
              </w:rPr>
            </w:pPr>
            <w:r w:rsidRPr="00B52707">
              <w:rPr>
                <w:color w:val="0070C0"/>
                <w:sz w:val="16"/>
                <w:szCs w:val="16"/>
              </w:rPr>
              <w:t>Морис Фарман</w:t>
            </w:r>
            <w:r w:rsidRPr="00B52707">
              <w:rPr>
                <w:color w:val="0070C0"/>
                <w:sz w:val="16"/>
                <w:szCs w:val="16"/>
              </w:rPr>
              <w:tab/>
            </w:r>
          </w:p>
        </w:tc>
        <w:tc>
          <w:tcPr>
            <w:tcW w:w="941" w:type="dxa"/>
            <w:tcBorders>
              <w:top w:val="single" w:sz="4" w:space="0" w:color="auto"/>
              <w:left w:val="single" w:sz="4" w:space="0" w:color="auto"/>
            </w:tcBorders>
            <w:shd w:val="clear" w:color="auto" w:fill="FFFFFF"/>
            <w:vAlign w:val="bottom"/>
          </w:tcPr>
          <w:p w14:paraId="3BC568C4" w14:textId="77777777" w:rsidR="00DB552F" w:rsidRPr="00B52707" w:rsidRDefault="00DB552F" w:rsidP="00BD0BCB">
            <w:pPr>
              <w:jc w:val="both"/>
              <w:rPr>
                <w:color w:val="0070C0"/>
                <w:sz w:val="16"/>
                <w:szCs w:val="16"/>
              </w:rPr>
            </w:pPr>
            <w:r w:rsidRPr="00B52707">
              <w:rPr>
                <w:color w:val="0070C0"/>
                <w:sz w:val="16"/>
                <w:szCs w:val="16"/>
              </w:rPr>
              <w:t>37</w:t>
            </w:r>
          </w:p>
        </w:tc>
        <w:tc>
          <w:tcPr>
            <w:tcW w:w="1066" w:type="dxa"/>
            <w:tcBorders>
              <w:top w:val="single" w:sz="4" w:space="0" w:color="auto"/>
            </w:tcBorders>
            <w:shd w:val="clear" w:color="auto" w:fill="FFFFFF"/>
            <w:vAlign w:val="bottom"/>
          </w:tcPr>
          <w:p w14:paraId="1F50FD26" w14:textId="77777777" w:rsidR="00DB552F" w:rsidRPr="00B52707" w:rsidRDefault="00DB552F" w:rsidP="00BD0BCB">
            <w:pPr>
              <w:jc w:val="both"/>
              <w:rPr>
                <w:color w:val="0070C0"/>
                <w:sz w:val="16"/>
                <w:szCs w:val="16"/>
              </w:rPr>
            </w:pPr>
            <w:r w:rsidRPr="00B52707">
              <w:rPr>
                <w:color w:val="0070C0"/>
                <w:sz w:val="16"/>
                <w:szCs w:val="16"/>
              </w:rPr>
              <w:t>37</w:t>
            </w:r>
          </w:p>
        </w:tc>
        <w:tc>
          <w:tcPr>
            <w:tcW w:w="1056" w:type="dxa"/>
            <w:tcBorders>
              <w:top w:val="single" w:sz="4" w:space="0" w:color="auto"/>
            </w:tcBorders>
            <w:shd w:val="clear" w:color="auto" w:fill="FFFFFF"/>
          </w:tcPr>
          <w:p w14:paraId="010C5B66" w14:textId="77777777" w:rsidR="00DB552F" w:rsidRPr="00B52707" w:rsidRDefault="00DB552F" w:rsidP="00BD0BCB">
            <w:pPr>
              <w:jc w:val="both"/>
              <w:rPr>
                <w:color w:val="0070C0"/>
                <w:sz w:val="16"/>
                <w:szCs w:val="16"/>
              </w:rPr>
            </w:pPr>
          </w:p>
        </w:tc>
      </w:tr>
      <w:tr w:rsidR="00DB552F" w:rsidRPr="00B52707" w14:paraId="6CD47754" w14:textId="77777777" w:rsidTr="00BD0BCB">
        <w:trPr>
          <w:trHeight w:hRule="exact" w:val="168"/>
        </w:trPr>
        <w:tc>
          <w:tcPr>
            <w:tcW w:w="3110" w:type="dxa"/>
            <w:tcBorders>
              <w:top w:val="single" w:sz="4" w:space="0" w:color="auto"/>
            </w:tcBorders>
            <w:shd w:val="clear" w:color="auto" w:fill="FFFFFF"/>
          </w:tcPr>
          <w:p w14:paraId="70238E45" w14:textId="77777777" w:rsidR="00DB552F" w:rsidRPr="00B52707" w:rsidRDefault="00DB552F" w:rsidP="00BD0BCB">
            <w:pPr>
              <w:jc w:val="both"/>
              <w:rPr>
                <w:color w:val="0070C0"/>
                <w:sz w:val="16"/>
                <w:szCs w:val="16"/>
              </w:rPr>
            </w:pPr>
            <w:r w:rsidRPr="00B52707">
              <w:rPr>
                <w:color w:val="0070C0"/>
                <w:sz w:val="16"/>
                <w:szCs w:val="16"/>
              </w:rPr>
              <w:t>Анри Фарман</w:t>
            </w:r>
            <w:r w:rsidRPr="00B52707">
              <w:rPr>
                <w:color w:val="0070C0"/>
                <w:sz w:val="16"/>
                <w:szCs w:val="16"/>
              </w:rPr>
              <w:tab/>
            </w:r>
          </w:p>
        </w:tc>
        <w:tc>
          <w:tcPr>
            <w:tcW w:w="941" w:type="dxa"/>
            <w:tcBorders>
              <w:left w:val="single" w:sz="4" w:space="0" w:color="auto"/>
            </w:tcBorders>
            <w:shd w:val="clear" w:color="auto" w:fill="FFFFFF"/>
          </w:tcPr>
          <w:p w14:paraId="1F15E1F5" w14:textId="77777777" w:rsidR="00DB552F" w:rsidRPr="00B52707" w:rsidRDefault="00DB552F" w:rsidP="00BD0BCB">
            <w:pPr>
              <w:jc w:val="both"/>
              <w:rPr>
                <w:color w:val="0070C0"/>
                <w:sz w:val="16"/>
                <w:szCs w:val="16"/>
              </w:rPr>
            </w:pPr>
            <w:r w:rsidRPr="00B52707">
              <w:rPr>
                <w:color w:val="0070C0"/>
                <w:sz w:val="16"/>
                <w:szCs w:val="16"/>
              </w:rPr>
              <w:t>35</w:t>
            </w:r>
          </w:p>
        </w:tc>
        <w:tc>
          <w:tcPr>
            <w:tcW w:w="1066" w:type="dxa"/>
            <w:shd w:val="clear" w:color="auto" w:fill="FFFFFF"/>
          </w:tcPr>
          <w:p w14:paraId="258A3545" w14:textId="77777777" w:rsidR="00DB552F" w:rsidRPr="00B52707" w:rsidRDefault="00DB552F" w:rsidP="00BD0BCB">
            <w:pPr>
              <w:jc w:val="both"/>
              <w:rPr>
                <w:color w:val="0070C0"/>
                <w:sz w:val="16"/>
                <w:szCs w:val="16"/>
              </w:rPr>
            </w:pPr>
            <w:r w:rsidRPr="00B52707">
              <w:rPr>
                <w:color w:val="0070C0"/>
                <w:sz w:val="16"/>
                <w:szCs w:val="16"/>
              </w:rPr>
              <w:t>35</w:t>
            </w:r>
          </w:p>
        </w:tc>
        <w:tc>
          <w:tcPr>
            <w:tcW w:w="1056" w:type="dxa"/>
            <w:shd w:val="clear" w:color="auto" w:fill="FFFFFF"/>
          </w:tcPr>
          <w:p w14:paraId="422A538F" w14:textId="77777777" w:rsidR="00DB552F" w:rsidRPr="00B52707" w:rsidRDefault="00DB552F" w:rsidP="00BD0BCB">
            <w:pPr>
              <w:jc w:val="both"/>
              <w:rPr>
                <w:color w:val="0070C0"/>
                <w:sz w:val="16"/>
                <w:szCs w:val="16"/>
              </w:rPr>
            </w:pPr>
            <w:r w:rsidRPr="00B52707">
              <w:rPr>
                <w:color w:val="0070C0"/>
                <w:sz w:val="16"/>
                <w:szCs w:val="16"/>
              </w:rPr>
              <w:t>34</w:t>
            </w:r>
          </w:p>
        </w:tc>
      </w:tr>
      <w:tr w:rsidR="00DB552F" w:rsidRPr="00B52707" w14:paraId="7438A958" w14:textId="77777777" w:rsidTr="00BD0BCB">
        <w:trPr>
          <w:trHeight w:hRule="exact" w:val="173"/>
        </w:trPr>
        <w:tc>
          <w:tcPr>
            <w:tcW w:w="3110" w:type="dxa"/>
            <w:tcBorders>
              <w:top w:val="single" w:sz="4" w:space="0" w:color="auto"/>
            </w:tcBorders>
            <w:shd w:val="clear" w:color="auto" w:fill="FFFFFF"/>
          </w:tcPr>
          <w:p w14:paraId="2DF2BE50" w14:textId="77777777" w:rsidR="00DB552F" w:rsidRPr="00B52707" w:rsidRDefault="00DB552F" w:rsidP="00BD0BCB">
            <w:pPr>
              <w:jc w:val="both"/>
              <w:rPr>
                <w:color w:val="0070C0"/>
                <w:sz w:val="16"/>
                <w:szCs w:val="16"/>
              </w:rPr>
            </w:pPr>
            <w:r w:rsidRPr="00B52707">
              <w:rPr>
                <w:color w:val="0070C0"/>
                <w:sz w:val="16"/>
                <w:szCs w:val="16"/>
              </w:rPr>
              <w:t>Вуазен</w:t>
            </w:r>
            <w:r w:rsidRPr="00B52707">
              <w:rPr>
                <w:color w:val="0070C0"/>
                <w:sz w:val="16"/>
                <w:szCs w:val="16"/>
              </w:rPr>
              <w:tab/>
            </w:r>
          </w:p>
        </w:tc>
        <w:tc>
          <w:tcPr>
            <w:tcW w:w="941" w:type="dxa"/>
            <w:tcBorders>
              <w:left w:val="single" w:sz="4" w:space="0" w:color="auto"/>
            </w:tcBorders>
            <w:shd w:val="clear" w:color="auto" w:fill="FFFFFF"/>
          </w:tcPr>
          <w:p w14:paraId="547BD303" w14:textId="77777777" w:rsidR="00DB552F" w:rsidRPr="00B52707" w:rsidRDefault="00DB552F" w:rsidP="00BD0BCB">
            <w:pPr>
              <w:jc w:val="both"/>
              <w:rPr>
                <w:color w:val="0070C0"/>
                <w:sz w:val="16"/>
                <w:szCs w:val="16"/>
              </w:rPr>
            </w:pPr>
            <w:r w:rsidRPr="00B52707">
              <w:rPr>
                <w:color w:val="0070C0"/>
                <w:sz w:val="16"/>
                <w:szCs w:val="16"/>
              </w:rPr>
              <w:t>157</w:t>
            </w:r>
          </w:p>
        </w:tc>
        <w:tc>
          <w:tcPr>
            <w:tcW w:w="1066" w:type="dxa"/>
            <w:shd w:val="clear" w:color="auto" w:fill="FFFFFF"/>
          </w:tcPr>
          <w:p w14:paraId="2D5AECAA" w14:textId="77777777" w:rsidR="00DB552F" w:rsidRPr="00B52707" w:rsidRDefault="00DB552F" w:rsidP="00BD0BCB">
            <w:pPr>
              <w:jc w:val="both"/>
              <w:rPr>
                <w:color w:val="0070C0"/>
                <w:sz w:val="16"/>
                <w:szCs w:val="16"/>
              </w:rPr>
            </w:pPr>
            <w:r w:rsidRPr="00B52707">
              <w:rPr>
                <w:color w:val="0070C0"/>
                <w:sz w:val="16"/>
                <w:szCs w:val="16"/>
              </w:rPr>
              <w:t>130</w:t>
            </w:r>
          </w:p>
        </w:tc>
        <w:tc>
          <w:tcPr>
            <w:tcW w:w="1056" w:type="dxa"/>
            <w:shd w:val="clear" w:color="auto" w:fill="FFFFFF"/>
          </w:tcPr>
          <w:p w14:paraId="1435EFAE" w14:textId="77777777" w:rsidR="00DB552F" w:rsidRPr="00B52707" w:rsidRDefault="00DB552F" w:rsidP="00BD0BCB">
            <w:pPr>
              <w:jc w:val="both"/>
              <w:rPr>
                <w:color w:val="0070C0"/>
                <w:sz w:val="16"/>
                <w:szCs w:val="16"/>
              </w:rPr>
            </w:pPr>
            <w:r w:rsidRPr="00B52707">
              <w:rPr>
                <w:color w:val="0070C0"/>
                <w:sz w:val="16"/>
                <w:szCs w:val="16"/>
              </w:rPr>
              <w:t>91</w:t>
            </w:r>
          </w:p>
        </w:tc>
      </w:tr>
      <w:tr w:rsidR="00DB552F" w:rsidRPr="00B52707" w14:paraId="4B087834" w14:textId="77777777" w:rsidTr="00BD0BCB">
        <w:trPr>
          <w:trHeight w:hRule="exact" w:val="168"/>
        </w:trPr>
        <w:tc>
          <w:tcPr>
            <w:tcW w:w="3110" w:type="dxa"/>
            <w:tcBorders>
              <w:top w:val="single" w:sz="4" w:space="0" w:color="auto"/>
            </w:tcBorders>
            <w:shd w:val="clear" w:color="auto" w:fill="FFFFFF"/>
            <w:vAlign w:val="bottom"/>
          </w:tcPr>
          <w:p w14:paraId="3CC58B95" w14:textId="77777777" w:rsidR="00DB552F" w:rsidRPr="00B52707" w:rsidRDefault="00DB552F" w:rsidP="00BD0BCB">
            <w:pPr>
              <w:jc w:val="both"/>
              <w:rPr>
                <w:color w:val="0070C0"/>
                <w:sz w:val="16"/>
                <w:szCs w:val="16"/>
              </w:rPr>
            </w:pPr>
            <w:r w:rsidRPr="00B52707">
              <w:rPr>
                <w:color w:val="0070C0"/>
                <w:sz w:val="16"/>
                <w:szCs w:val="16"/>
              </w:rPr>
              <w:t>Вуазен с мотерами Сальмсон в 150 сил.</w:t>
            </w:r>
          </w:p>
        </w:tc>
        <w:tc>
          <w:tcPr>
            <w:tcW w:w="941" w:type="dxa"/>
            <w:tcBorders>
              <w:left w:val="single" w:sz="4" w:space="0" w:color="auto"/>
            </w:tcBorders>
            <w:shd w:val="clear" w:color="auto" w:fill="FFFFFF"/>
          </w:tcPr>
          <w:p w14:paraId="01889B4A" w14:textId="77777777" w:rsidR="00DB552F" w:rsidRPr="00B52707" w:rsidRDefault="00DB552F" w:rsidP="00BD0BCB">
            <w:pPr>
              <w:jc w:val="both"/>
              <w:rPr>
                <w:color w:val="0070C0"/>
                <w:sz w:val="16"/>
                <w:szCs w:val="16"/>
              </w:rPr>
            </w:pPr>
            <w:r w:rsidRPr="00B52707">
              <w:rPr>
                <w:color w:val="0070C0"/>
                <w:sz w:val="16"/>
                <w:szCs w:val="16"/>
              </w:rPr>
              <w:t>150</w:t>
            </w:r>
          </w:p>
        </w:tc>
        <w:tc>
          <w:tcPr>
            <w:tcW w:w="1066" w:type="dxa"/>
            <w:shd w:val="clear" w:color="auto" w:fill="FFFFFF"/>
            <w:vAlign w:val="center"/>
          </w:tcPr>
          <w:p w14:paraId="70BA1649" w14:textId="77777777" w:rsidR="00DB552F" w:rsidRPr="00B52707" w:rsidRDefault="00DB552F" w:rsidP="00BD0BCB">
            <w:pPr>
              <w:jc w:val="both"/>
              <w:rPr>
                <w:color w:val="0070C0"/>
                <w:sz w:val="16"/>
                <w:szCs w:val="16"/>
              </w:rPr>
            </w:pPr>
            <w:r w:rsidRPr="00B52707">
              <w:rPr>
                <w:color w:val="0070C0"/>
                <w:sz w:val="16"/>
                <w:szCs w:val="16"/>
              </w:rPr>
              <w:t>——</w:t>
            </w:r>
          </w:p>
        </w:tc>
        <w:tc>
          <w:tcPr>
            <w:tcW w:w="1056" w:type="dxa"/>
            <w:shd w:val="clear" w:color="auto" w:fill="FFFFFF"/>
            <w:vAlign w:val="center"/>
          </w:tcPr>
          <w:p w14:paraId="2DF5D566" w14:textId="77777777" w:rsidR="00DB552F" w:rsidRPr="00B52707" w:rsidRDefault="00DB552F" w:rsidP="00BD0BCB">
            <w:pPr>
              <w:jc w:val="both"/>
              <w:rPr>
                <w:color w:val="0070C0"/>
                <w:sz w:val="16"/>
                <w:szCs w:val="16"/>
              </w:rPr>
            </w:pPr>
            <w:r w:rsidRPr="00B52707">
              <w:rPr>
                <w:color w:val="0070C0"/>
                <w:sz w:val="16"/>
                <w:szCs w:val="16"/>
              </w:rPr>
              <w:t>—</w:t>
            </w:r>
          </w:p>
        </w:tc>
      </w:tr>
      <w:tr w:rsidR="00DB552F" w:rsidRPr="00B52707" w14:paraId="416F769B" w14:textId="77777777" w:rsidTr="00BD0BCB">
        <w:trPr>
          <w:trHeight w:hRule="exact" w:val="178"/>
        </w:trPr>
        <w:tc>
          <w:tcPr>
            <w:tcW w:w="3110" w:type="dxa"/>
            <w:shd w:val="clear" w:color="auto" w:fill="FFFFFF"/>
          </w:tcPr>
          <w:p w14:paraId="1EF84E0A" w14:textId="77777777" w:rsidR="00DB552F" w:rsidRPr="00B52707" w:rsidRDefault="00DB552F" w:rsidP="00BD0BCB">
            <w:pPr>
              <w:jc w:val="both"/>
              <w:rPr>
                <w:color w:val="0070C0"/>
                <w:sz w:val="16"/>
                <w:szCs w:val="16"/>
              </w:rPr>
            </w:pPr>
            <w:r w:rsidRPr="00B52707">
              <w:rPr>
                <w:color w:val="0070C0"/>
                <w:sz w:val="16"/>
                <w:szCs w:val="16"/>
              </w:rPr>
              <w:t>Моран-Парасоль</w:t>
            </w:r>
            <w:r w:rsidRPr="00B52707">
              <w:rPr>
                <w:color w:val="0070C0"/>
                <w:sz w:val="16"/>
                <w:szCs w:val="16"/>
              </w:rPr>
              <w:tab/>
            </w:r>
          </w:p>
        </w:tc>
        <w:tc>
          <w:tcPr>
            <w:tcW w:w="941" w:type="dxa"/>
            <w:tcBorders>
              <w:left w:val="single" w:sz="4" w:space="0" w:color="auto"/>
            </w:tcBorders>
            <w:shd w:val="clear" w:color="auto" w:fill="FFFFFF"/>
          </w:tcPr>
          <w:p w14:paraId="36D6A5BB" w14:textId="77777777" w:rsidR="00DB552F" w:rsidRPr="00B52707" w:rsidRDefault="00DB552F" w:rsidP="00BD0BCB">
            <w:pPr>
              <w:jc w:val="both"/>
              <w:rPr>
                <w:color w:val="0070C0"/>
                <w:sz w:val="16"/>
                <w:szCs w:val="16"/>
              </w:rPr>
            </w:pPr>
            <w:r w:rsidRPr="00B52707">
              <w:rPr>
                <w:color w:val="0070C0"/>
                <w:sz w:val="16"/>
                <w:szCs w:val="16"/>
              </w:rPr>
              <w:t>99</w:t>
            </w:r>
          </w:p>
        </w:tc>
        <w:tc>
          <w:tcPr>
            <w:tcW w:w="1066" w:type="dxa"/>
            <w:shd w:val="clear" w:color="auto" w:fill="FFFFFF"/>
          </w:tcPr>
          <w:p w14:paraId="63A0D770" w14:textId="77777777" w:rsidR="00DB552F" w:rsidRPr="00B52707" w:rsidRDefault="00DB552F" w:rsidP="00BD0BCB">
            <w:pPr>
              <w:jc w:val="both"/>
              <w:rPr>
                <w:color w:val="0070C0"/>
                <w:sz w:val="16"/>
                <w:szCs w:val="16"/>
              </w:rPr>
            </w:pPr>
            <w:r w:rsidRPr="00B52707">
              <w:rPr>
                <w:color w:val="0070C0"/>
                <w:sz w:val="16"/>
                <w:szCs w:val="16"/>
              </w:rPr>
              <w:t>47</w:t>
            </w:r>
          </w:p>
        </w:tc>
        <w:tc>
          <w:tcPr>
            <w:tcW w:w="1056" w:type="dxa"/>
            <w:shd w:val="clear" w:color="auto" w:fill="FFFFFF"/>
          </w:tcPr>
          <w:p w14:paraId="2C75E218" w14:textId="77777777" w:rsidR="00DB552F" w:rsidRPr="00B52707" w:rsidRDefault="00DB552F" w:rsidP="00BD0BCB">
            <w:pPr>
              <w:jc w:val="both"/>
              <w:rPr>
                <w:color w:val="0070C0"/>
                <w:sz w:val="16"/>
                <w:szCs w:val="16"/>
              </w:rPr>
            </w:pPr>
            <w:r w:rsidRPr="00B52707">
              <w:rPr>
                <w:color w:val="0070C0"/>
                <w:sz w:val="16"/>
                <w:szCs w:val="16"/>
              </w:rPr>
              <w:t>45</w:t>
            </w:r>
          </w:p>
        </w:tc>
      </w:tr>
      <w:tr w:rsidR="00DB552F" w:rsidRPr="00B52707" w14:paraId="580185CE" w14:textId="77777777" w:rsidTr="00BD0BCB">
        <w:trPr>
          <w:trHeight w:hRule="exact" w:val="173"/>
        </w:trPr>
        <w:tc>
          <w:tcPr>
            <w:tcW w:w="3110" w:type="dxa"/>
            <w:tcBorders>
              <w:top w:val="single" w:sz="4" w:space="0" w:color="auto"/>
            </w:tcBorders>
            <w:shd w:val="clear" w:color="auto" w:fill="FFFFFF"/>
          </w:tcPr>
          <w:p w14:paraId="6C25E183" w14:textId="77777777" w:rsidR="00DB552F" w:rsidRPr="00B52707" w:rsidRDefault="00DB552F" w:rsidP="00BD0BCB">
            <w:pPr>
              <w:jc w:val="both"/>
              <w:rPr>
                <w:color w:val="0070C0"/>
                <w:sz w:val="16"/>
                <w:szCs w:val="16"/>
              </w:rPr>
            </w:pPr>
            <w:r w:rsidRPr="00B52707">
              <w:rPr>
                <w:color w:val="0070C0"/>
                <w:sz w:val="16"/>
                <w:szCs w:val="16"/>
              </w:rPr>
              <w:t>Моран типа Ж</w:t>
            </w:r>
            <w:r w:rsidRPr="00B52707">
              <w:rPr>
                <w:color w:val="0070C0"/>
                <w:sz w:val="16"/>
                <w:szCs w:val="16"/>
              </w:rPr>
              <w:tab/>
            </w:r>
          </w:p>
        </w:tc>
        <w:tc>
          <w:tcPr>
            <w:tcW w:w="941" w:type="dxa"/>
            <w:tcBorders>
              <w:left w:val="single" w:sz="4" w:space="0" w:color="auto"/>
            </w:tcBorders>
            <w:shd w:val="clear" w:color="auto" w:fill="FFFFFF"/>
          </w:tcPr>
          <w:p w14:paraId="04494A31" w14:textId="77777777" w:rsidR="00DB552F" w:rsidRPr="00B52707" w:rsidRDefault="00DB552F" w:rsidP="00BD0BCB">
            <w:pPr>
              <w:jc w:val="both"/>
              <w:rPr>
                <w:color w:val="0070C0"/>
                <w:sz w:val="16"/>
                <w:szCs w:val="16"/>
              </w:rPr>
            </w:pPr>
            <w:r w:rsidRPr="00B52707">
              <w:rPr>
                <w:color w:val="0070C0"/>
                <w:sz w:val="16"/>
                <w:szCs w:val="16"/>
              </w:rPr>
              <w:t>6</w:t>
            </w:r>
          </w:p>
        </w:tc>
        <w:tc>
          <w:tcPr>
            <w:tcW w:w="1066" w:type="dxa"/>
            <w:shd w:val="clear" w:color="auto" w:fill="FFFFFF"/>
          </w:tcPr>
          <w:p w14:paraId="0AAFE6FC" w14:textId="77777777" w:rsidR="00DB552F" w:rsidRPr="00B52707" w:rsidRDefault="00DB552F" w:rsidP="00BD0BCB">
            <w:pPr>
              <w:jc w:val="both"/>
              <w:rPr>
                <w:color w:val="0070C0"/>
                <w:sz w:val="16"/>
                <w:szCs w:val="16"/>
              </w:rPr>
            </w:pPr>
            <w:r w:rsidRPr="00B52707">
              <w:rPr>
                <w:color w:val="0070C0"/>
                <w:sz w:val="16"/>
                <w:szCs w:val="16"/>
              </w:rPr>
              <w:t>6</w:t>
            </w:r>
          </w:p>
        </w:tc>
        <w:tc>
          <w:tcPr>
            <w:tcW w:w="1056" w:type="dxa"/>
            <w:shd w:val="clear" w:color="auto" w:fill="FFFFFF"/>
          </w:tcPr>
          <w:p w14:paraId="193D1955" w14:textId="77777777" w:rsidR="00DB552F" w:rsidRPr="00B52707" w:rsidRDefault="00DB552F" w:rsidP="00BD0BCB">
            <w:pPr>
              <w:jc w:val="both"/>
              <w:rPr>
                <w:color w:val="0070C0"/>
                <w:sz w:val="16"/>
                <w:szCs w:val="16"/>
              </w:rPr>
            </w:pPr>
            <w:r w:rsidRPr="00B52707">
              <w:rPr>
                <w:color w:val="0070C0"/>
                <w:sz w:val="16"/>
                <w:szCs w:val="16"/>
              </w:rPr>
              <w:t>6</w:t>
            </w:r>
          </w:p>
        </w:tc>
      </w:tr>
      <w:tr w:rsidR="00DB552F" w:rsidRPr="00B52707" w14:paraId="65F2CFB0" w14:textId="77777777" w:rsidTr="00BD0BCB">
        <w:trPr>
          <w:trHeight w:hRule="exact" w:val="168"/>
        </w:trPr>
        <w:tc>
          <w:tcPr>
            <w:tcW w:w="3110" w:type="dxa"/>
            <w:tcBorders>
              <w:top w:val="single" w:sz="4" w:space="0" w:color="auto"/>
            </w:tcBorders>
            <w:shd w:val="clear" w:color="auto" w:fill="FFFFFF"/>
          </w:tcPr>
          <w:p w14:paraId="4D7704F4" w14:textId="77777777" w:rsidR="00DB552F" w:rsidRPr="00B52707" w:rsidRDefault="00DB552F" w:rsidP="00BD0BCB">
            <w:pPr>
              <w:jc w:val="both"/>
              <w:rPr>
                <w:color w:val="0070C0"/>
                <w:sz w:val="16"/>
                <w:szCs w:val="16"/>
              </w:rPr>
            </w:pPr>
            <w:r w:rsidRPr="00B52707">
              <w:rPr>
                <w:color w:val="0070C0"/>
                <w:sz w:val="16"/>
                <w:szCs w:val="16"/>
              </w:rPr>
              <w:t>Ныопор типа IV</w:t>
            </w:r>
            <w:r w:rsidRPr="00B52707">
              <w:rPr>
                <w:color w:val="0070C0"/>
                <w:sz w:val="16"/>
                <w:szCs w:val="16"/>
              </w:rPr>
              <w:tab/>
            </w:r>
          </w:p>
        </w:tc>
        <w:tc>
          <w:tcPr>
            <w:tcW w:w="941" w:type="dxa"/>
            <w:tcBorders>
              <w:left w:val="single" w:sz="4" w:space="0" w:color="auto"/>
            </w:tcBorders>
            <w:shd w:val="clear" w:color="auto" w:fill="FFFFFF"/>
          </w:tcPr>
          <w:p w14:paraId="6A05EBAA" w14:textId="77777777" w:rsidR="00DB552F" w:rsidRPr="00B52707" w:rsidRDefault="00DB552F" w:rsidP="00BD0BCB">
            <w:pPr>
              <w:jc w:val="both"/>
              <w:rPr>
                <w:color w:val="0070C0"/>
                <w:sz w:val="16"/>
                <w:szCs w:val="16"/>
              </w:rPr>
            </w:pPr>
            <w:r w:rsidRPr="00B52707">
              <w:rPr>
                <w:color w:val="0070C0"/>
                <w:sz w:val="16"/>
                <w:szCs w:val="16"/>
              </w:rPr>
              <w:t>5</w:t>
            </w:r>
          </w:p>
        </w:tc>
        <w:tc>
          <w:tcPr>
            <w:tcW w:w="1066" w:type="dxa"/>
            <w:shd w:val="clear" w:color="auto" w:fill="FFFFFF"/>
          </w:tcPr>
          <w:p w14:paraId="002ECF99" w14:textId="77777777" w:rsidR="00DB552F" w:rsidRPr="00B52707" w:rsidRDefault="00DB552F" w:rsidP="00BD0BCB">
            <w:pPr>
              <w:jc w:val="both"/>
              <w:rPr>
                <w:color w:val="0070C0"/>
                <w:sz w:val="16"/>
                <w:szCs w:val="16"/>
              </w:rPr>
            </w:pPr>
            <w:r w:rsidRPr="00B52707">
              <w:rPr>
                <w:color w:val="0070C0"/>
                <w:sz w:val="16"/>
                <w:szCs w:val="16"/>
              </w:rPr>
              <w:t>5</w:t>
            </w:r>
          </w:p>
        </w:tc>
        <w:tc>
          <w:tcPr>
            <w:tcW w:w="1056" w:type="dxa"/>
            <w:tcBorders>
              <w:left w:val="single" w:sz="4" w:space="0" w:color="auto"/>
            </w:tcBorders>
            <w:shd w:val="clear" w:color="auto" w:fill="FFFFFF"/>
          </w:tcPr>
          <w:p w14:paraId="1EDED735" w14:textId="77777777" w:rsidR="00DB552F" w:rsidRPr="00B52707" w:rsidRDefault="00DB552F" w:rsidP="00BD0BCB">
            <w:pPr>
              <w:jc w:val="both"/>
              <w:rPr>
                <w:color w:val="0070C0"/>
                <w:sz w:val="16"/>
                <w:szCs w:val="16"/>
              </w:rPr>
            </w:pPr>
            <w:r w:rsidRPr="00B52707">
              <w:rPr>
                <w:color w:val="0070C0"/>
                <w:sz w:val="16"/>
                <w:szCs w:val="16"/>
              </w:rPr>
              <w:t>5</w:t>
            </w:r>
          </w:p>
        </w:tc>
      </w:tr>
      <w:tr w:rsidR="00DB552F" w:rsidRPr="00B52707" w14:paraId="05B5FB0C" w14:textId="77777777" w:rsidTr="00BD0BCB">
        <w:trPr>
          <w:trHeight w:hRule="exact" w:val="158"/>
        </w:trPr>
        <w:tc>
          <w:tcPr>
            <w:tcW w:w="3110" w:type="dxa"/>
            <w:shd w:val="clear" w:color="auto" w:fill="FFFFFF"/>
          </w:tcPr>
          <w:p w14:paraId="2F168D72" w14:textId="77777777" w:rsidR="00DB552F" w:rsidRPr="00B52707" w:rsidRDefault="00DB552F" w:rsidP="00BD0BCB">
            <w:pPr>
              <w:jc w:val="both"/>
              <w:rPr>
                <w:color w:val="0070C0"/>
                <w:sz w:val="16"/>
                <w:szCs w:val="16"/>
              </w:rPr>
            </w:pPr>
            <w:r w:rsidRPr="00B52707">
              <w:rPr>
                <w:color w:val="0070C0"/>
                <w:sz w:val="16"/>
                <w:szCs w:val="16"/>
              </w:rPr>
              <w:t>Ныопор типа X</w:t>
            </w:r>
            <w:r w:rsidRPr="00B52707">
              <w:rPr>
                <w:color w:val="0070C0"/>
                <w:sz w:val="16"/>
                <w:szCs w:val="16"/>
              </w:rPr>
              <w:tab/>
            </w:r>
          </w:p>
        </w:tc>
        <w:tc>
          <w:tcPr>
            <w:tcW w:w="941" w:type="dxa"/>
            <w:tcBorders>
              <w:left w:val="single" w:sz="4" w:space="0" w:color="auto"/>
            </w:tcBorders>
            <w:shd w:val="clear" w:color="auto" w:fill="FFFFFF"/>
          </w:tcPr>
          <w:p w14:paraId="0F3D2795" w14:textId="77777777" w:rsidR="00DB552F" w:rsidRPr="00B52707" w:rsidRDefault="00DB552F" w:rsidP="00BD0BCB">
            <w:pPr>
              <w:jc w:val="both"/>
              <w:rPr>
                <w:color w:val="0070C0"/>
                <w:sz w:val="16"/>
                <w:szCs w:val="16"/>
              </w:rPr>
            </w:pPr>
            <w:r w:rsidRPr="00B52707">
              <w:rPr>
                <w:color w:val="0070C0"/>
                <w:sz w:val="16"/>
                <w:szCs w:val="16"/>
              </w:rPr>
              <w:t>7</w:t>
            </w:r>
          </w:p>
        </w:tc>
        <w:tc>
          <w:tcPr>
            <w:tcW w:w="1066" w:type="dxa"/>
            <w:shd w:val="clear" w:color="auto" w:fill="FFFFFF"/>
          </w:tcPr>
          <w:p w14:paraId="38243873" w14:textId="77777777" w:rsidR="00DB552F" w:rsidRPr="00B52707" w:rsidRDefault="00DB552F" w:rsidP="00BD0BCB">
            <w:pPr>
              <w:jc w:val="both"/>
              <w:rPr>
                <w:color w:val="0070C0"/>
                <w:sz w:val="16"/>
                <w:szCs w:val="16"/>
              </w:rPr>
            </w:pPr>
            <w:r w:rsidRPr="00B52707">
              <w:rPr>
                <w:color w:val="0070C0"/>
                <w:sz w:val="16"/>
                <w:szCs w:val="16"/>
              </w:rPr>
              <w:t>7</w:t>
            </w:r>
          </w:p>
        </w:tc>
        <w:tc>
          <w:tcPr>
            <w:tcW w:w="1056" w:type="dxa"/>
            <w:tcBorders>
              <w:left w:val="single" w:sz="4" w:space="0" w:color="auto"/>
            </w:tcBorders>
            <w:shd w:val="clear" w:color="auto" w:fill="FFFFFF"/>
          </w:tcPr>
          <w:p w14:paraId="60966BE4" w14:textId="77777777" w:rsidR="00DB552F" w:rsidRPr="00B52707" w:rsidRDefault="00DB552F" w:rsidP="00BD0BCB">
            <w:pPr>
              <w:jc w:val="both"/>
              <w:rPr>
                <w:color w:val="0070C0"/>
                <w:sz w:val="16"/>
                <w:szCs w:val="16"/>
              </w:rPr>
            </w:pPr>
            <w:r w:rsidRPr="00B52707">
              <w:rPr>
                <w:color w:val="0070C0"/>
                <w:sz w:val="16"/>
                <w:szCs w:val="16"/>
              </w:rPr>
              <w:t>7</w:t>
            </w:r>
          </w:p>
        </w:tc>
      </w:tr>
      <w:tr w:rsidR="00DB552F" w:rsidRPr="00B52707" w14:paraId="1FCCD920" w14:textId="77777777" w:rsidTr="00BD0BCB">
        <w:trPr>
          <w:trHeight w:hRule="exact" w:val="187"/>
        </w:trPr>
        <w:tc>
          <w:tcPr>
            <w:tcW w:w="3110" w:type="dxa"/>
            <w:tcBorders>
              <w:top w:val="single" w:sz="4" w:space="0" w:color="auto"/>
            </w:tcBorders>
            <w:shd w:val="clear" w:color="auto" w:fill="FFFFFF"/>
          </w:tcPr>
          <w:p w14:paraId="316CC072" w14:textId="77777777" w:rsidR="00DB552F" w:rsidRPr="00B52707" w:rsidRDefault="00DB552F" w:rsidP="00BD0BCB">
            <w:pPr>
              <w:jc w:val="both"/>
              <w:rPr>
                <w:color w:val="0070C0"/>
                <w:sz w:val="16"/>
                <w:szCs w:val="16"/>
              </w:rPr>
            </w:pPr>
            <w:r w:rsidRPr="00B52707">
              <w:rPr>
                <w:color w:val="0070C0"/>
                <w:sz w:val="16"/>
                <w:szCs w:val="16"/>
              </w:rPr>
              <w:t xml:space="preserve">(биплан) </w:t>
            </w:r>
            <w:r w:rsidRPr="00B52707">
              <w:rPr>
                <w:color w:val="0070C0"/>
                <w:sz w:val="16"/>
                <w:szCs w:val="16"/>
              </w:rPr>
              <w:tab/>
            </w:r>
            <w:r w:rsidRPr="00B52707">
              <w:rPr>
                <w:color w:val="0070C0"/>
                <w:sz w:val="16"/>
                <w:szCs w:val="16"/>
              </w:rPr>
              <w:tab/>
            </w:r>
          </w:p>
        </w:tc>
        <w:tc>
          <w:tcPr>
            <w:tcW w:w="941" w:type="dxa"/>
            <w:tcBorders>
              <w:left w:val="single" w:sz="4" w:space="0" w:color="auto"/>
            </w:tcBorders>
            <w:shd w:val="clear" w:color="auto" w:fill="FFFFFF"/>
          </w:tcPr>
          <w:p w14:paraId="341F9B06" w14:textId="77777777" w:rsidR="00DB552F" w:rsidRPr="00B52707" w:rsidRDefault="00DB552F" w:rsidP="00BD0BCB">
            <w:pPr>
              <w:jc w:val="both"/>
              <w:rPr>
                <w:color w:val="0070C0"/>
                <w:sz w:val="16"/>
                <w:szCs w:val="16"/>
              </w:rPr>
            </w:pPr>
            <w:r w:rsidRPr="00B52707">
              <w:rPr>
                <w:color w:val="0070C0"/>
                <w:sz w:val="16"/>
                <w:szCs w:val="16"/>
              </w:rPr>
              <w:t>50</w:t>
            </w:r>
          </w:p>
        </w:tc>
        <w:tc>
          <w:tcPr>
            <w:tcW w:w="1066" w:type="dxa"/>
            <w:shd w:val="clear" w:color="auto" w:fill="FFFFFF"/>
          </w:tcPr>
          <w:p w14:paraId="3B8B0534" w14:textId="77777777" w:rsidR="00DB552F" w:rsidRPr="00B52707" w:rsidRDefault="00DB552F" w:rsidP="00BD0BCB">
            <w:pPr>
              <w:jc w:val="both"/>
              <w:rPr>
                <w:color w:val="0070C0"/>
                <w:sz w:val="16"/>
                <w:szCs w:val="16"/>
              </w:rPr>
            </w:pPr>
            <w:r w:rsidRPr="00B52707">
              <w:rPr>
                <w:color w:val="0070C0"/>
                <w:sz w:val="16"/>
                <w:szCs w:val="16"/>
              </w:rPr>
              <w:t>19</w:t>
            </w:r>
          </w:p>
        </w:tc>
        <w:tc>
          <w:tcPr>
            <w:tcW w:w="1056" w:type="dxa"/>
            <w:tcBorders>
              <w:left w:val="single" w:sz="4" w:space="0" w:color="auto"/>
            </w:tcBorders>
            <w:shd w:val="clear" w:color="auto" w:fill="FFFFFF"/>
          </w:tcPr>
          <w:p w14:paraId="5F53756E" w14:textId="77777777" w:rsidR="00DB552F" w:rsidRPr="00B52707" w:rsidRDefault="00DB552F" w:rsidP="00BD0BCB">
            <w:pPr>
              <w:jc w:val="both"/>
              <w:rPr>
                <w:color w:val="0070C0"/>
                <w:sz w:val="16"/>
                <w:szCs w:val="16"/>
              </w:rPr>
            </w:pPr>
            <w:r w:rsidRPr="00B52707">
              <w:rPr>
                <w:color w:val="0070C0"/>
                <w:sz w:val="16"/>
                <w:szCs w:val="16"/>
              </w:rPr>
              <w:t>10</w:t>
            </w:r>
          </w:p>
        </w:tc>
      </w:tr>
      <w:tr w:rsidR="00DB552F" w:rsidRPr="00B52707" w14:paraId="0C7576E5" w14:textId="77777777" w:rsidTr="00BD0BCB">
        <w:trPr>
          <w:trHeight w:hRule="exact" w:val="173"/>
        </w:trPr>
        <w:tc>
          <w:tcPr>
            <w:tcW w:w="3110" w:type="dxa"/>
            <w:tcBorders>
              <w:top w:val="single" w:sz="4" w:space="0" w:color="auto"/>
            </w:tcBorders>
            <w:shd w:val="clear" w:color="auto" w:fill="FFFFFF"/>
          </w:tcPr>
          <w:p w14:paraId="10B26423" w14:textId="77777777" w:rsidR="00DB552F" w:rsidRPr="00B52707" w:rsidRDefault="00DB552F" w:rsidP="00BD0BCB">
            <w:pPr>
              <w:jc w:val="both"/>
              <w:rPr>
                <w:color w:val="0070C0"/>
                <w:sz w:val="16"/>
                <w:szCs w:val="16"/>
              </w:rPr>
            </w:pPr>
            <w:r w:rsidRPr="00B52707">
              <w:rPr>
                <w:color w:val="0070C0"/>
                <w:sz w:val="16"/>
                <w:szCs w:val="16"/>
              </w:rPr>
              <w:t>Кодрон . .’</w:t>
            </w:r>
            <w:r w:rsidRPr="00B52707">
              <w:rPr>
                <w:color w:val="0070C0"/>
                <w:sz w:val="16"/>
                <w:szCs w:val="16"/>
              </w:rPr>
              <w:tab/>
            </w:r>
            <w:r w:rsidRPr="00B52707">
              <w:rPr>
                <w:color w:val="0070C0"/>
                <w:sz w:val="16"/>
                <w:szCs w:val="16"/>
              </w:rPr>
              <w:tab/>
            </w:r>
          </w:p>
        </w:tc>
        <w:tc>
          <w:tcPr>
            <w:tcW w:w="941" w:type="dxa"/>
            <w:tcBorders>
              <w:left w:val="single" w:sz="4" w:space="0" w:color="auto"/>
            </w:tcBorders>
            <w:shd w:val="clear" w:color="auto" w:fill="FFFFFF"/>
          </w:tcPr>
          <w:p w14:paraId="26B85F71" w14:textId="77777777" w:rsidR="00DB552F" w:rsidRPr="00B52707" w:rsidRDefault="00DB552F" w:rsidP="00BD0BCB">
            <w:pPr>
              <w:jc w:val="both"/>
              <w:rPr>
                <w:color w:val="0070C0"/>
                <w:sz w:val="16"/>
                <w:szCs w:val="16"/>
              </w:rPr>
            </w:pPr>
            <w:r w:rsidRPr="00B52707">
              <w:rPr>
                <w:color w:val="0070C0"/>
                <w:sz w:val="16"/>
                <w:szCs w:val="16"/>
              </w:rPr>
              <w:t>20</w:t>
            </w:r>
          </w:p>
        </w:tc>
        <w:tc>
          <w:tcPr>
            <w:tcW w:w="1066" w:type="dxa"/>
            <w:shd w:val="clear" w:color="auto" w:fill="FFFFFF"/>
          </w:tcPr>
          <w:p w14:paraId="0A324BE5" w14:textId="77777777" w:rsidR="00DB552F" w:rsidRPr="00B52707" w:rsidRDefault="00DB552F" w:rsidP="00BD0BCB">
            <w:pPr>
              <w:jc w:val="both"/>
              <w:rPr>
                <w:color w:val="0070C0"/>
                <w:sz w:val="16"/>
                <w:szCs w:val="16"/>
              </w:rPr>
            </w:pPr>
            <w:r w:rsidRPr="00B52707">
              <w:rPr>
                <w:color w:val="0070C0"/>
                <w:sz w:val="16"/>
                <w:szCs w:val="16"/>
              </w:rPr>
              <w:t>20</w:t>
            </w:r>
          </w:p>
        </w:tc>
        <w:tc>
          <w:tcPr>
            <w:tcW w:w="1056" w:type="dxa"/>
            <w:tcBorders>
              <w:left w:val="single" w:sz="4" w:space="0" w:color="auto"/>
            </w:tcBorders>
            <w:shd w:val="clear" w:color="auto" w:fill="FFFFFF"/>
          </w:tcPr>
          <w:p w14:paraId="46963B80" w14:textId="77777777" w:rsidR="00DB552F" w:rsidRPr="00B52707" w:rsidRDefault="00DB552F" w:rsidP="00BD0BCB">
            <w:pPr>
              <w:jc w:val="both"/>
              <w:rPr>
                <w:color w:val="0070C0"/>
                <w:sz w:val="16"/>
                <w:szCs w:val="16"/>
              </w:rPr>
            </w:pPr>
            <w:r w:rsidRPr="00B52707">
              <w:rPr>
                <w:color w:val="0070C0"/>
                <w:sz w:val="16"/>
                <w:szCs w:val="16"/>
              </w:rPr>
              <w:t>16</w:t>
            </w:r>
          </w:p>
        </w:tc>
      </w:tr>
      <w:tr w:rsidR="00DB552F" w:rsidRPr="00B52707" w14:paraId="2B8182DA" w14:textId="77777777" w:rsidTr="00BD0BCB">
        <w:trPr>
          <w:trHeight w:hRule="exact" w:val="173"/>
        </w:trPr>
        <w:tc>
          <w:tcPr>
            <w:tcW w:w="3110" w:type="dxa"/>
            <w:shd w:val="clear" w:color="auto" w:fill="FFFFFF"/>
            <w:vAlign w:val="bottom"/>
          </w:tcPr>
          <w:p w14:paraId="115ED70E" w14:textId="77777777" w:rsidR="00DB552F" w:rsidRPr="00B52707" w:rsidRDefault="00DB552F" w:rsidP="00BD0BCB">
            <w:pPr>
              <w:jc w:val="both"/>
              <w:rPr>
                <w:color w:val="0070C0"/>
                <w:sz w:val="16"/>
                <w:szCs w:val="16"/>
              </w:rPr>
            </w:pPr>
            <w:r w:rsidRPr="00B52707">
              <w:rPr>
                <w:color w:val="0070C0"/>
                <w:sz w:val="16"/>
                <w:szCs w:val="16"/>
              </w:rPr>
              <w:t>Бреге</w:t>
            </w:r>
            <w:r w:rsidRPr="00B52707">
              <w:rPr>
                <w:color w:val="0070C0"/>
                <w:sz w:val="16"/>
                <w:szCs w:val="16"/>
              </w:rPr>
              <w:tab/>
            </w:r>
          </w:p>
        </w:tc>
        <w:tc>
          <w:tcPr>
            <w:tcW w:w="941" w:type="dxa"/>
            <w:tcBorders>
              <w:left w:val="single" w:sz="4" w:space="0" w:color="auto"/>
            </w:tcBorders>
            <w:shd w:val="clear" w:color="auto" w:fill="FFFFFF"/>
          </w:tcPr>
          <w:p w14:paraId="7E6CFFD6" w14:textId="77777777" w:rsidR="00DB552F" w:rsidRPr="00B52707" w:rsidRDefault="00DB552F" w:rsidP="00BD0BCB">
            <w:pPr>
              <w:jc w:val="both"/>
              <w:rPr>
                <w:color w:val="0070C0"/>
                <w:sz w:val="16"/>
                <w:szCs w:val="16"/>
              </w:rPr>
            </w:pPr>
            <w:r w:rsidRPr="00B52707">
              <w:rPr>
                <w:color w:val="0070C0"/>
                <w:sz w:val="16"/>
                <w:szCs w:val="16"/>
              </w:rPr>
              <w:t>3</w:t>
            </w:r>
          </w:p>
        </w:tc>
        <w:tc>
          <w:tcPr>
            <w:tcW w:w="1066" w:type="dxa"/>
            <w:shd w:val="clear" w:color="auto" w:fill="FFFFFF"/>
            <w:vAlign w:val="center"/>
          </w:tcPr>
          <w:p w14:paraId="369FA715" w14:textId="77777777" w:rsidR="00DB552F" w:rsidRPr="00B52707" w:rsidRDefault="00DB552F" w:rsidP="00BD0BCB">
            <w:pPr>
              <w:jc w:val="both"/>
              <w:rPr>
                <w:color w:val="0070C0"/>
                <w:sz w:val="16"/>
                <w:szCs w:val="16"/>
              </w:rPr>
            </w:pPr>
            <w:r w:rsidRPr="00B52707">
              <w:rPr>
                <w:color w:val="0070C0"/>
                <w:sz w:val="16"/>
                <w:szCs w:val="16"/>
              </w:rPr>
              <w:t>—</w:t>
            </w:r>
          </w:p>
        </w:tc>
        <w:tc>
          <w:tcPr>
            <w:tcW w:w="1056" w:type="dxa"/>
            <w:tcBorders>
              <w:left w:val="single" w:sz="4" w:space="0" w:color="auto"/>
            </w:tcBorders>
            <w:shd w:val="clear" w:color="auto" w:fill="FFFFFF"/>
            <w:vAlign w:val="center"/>
          </w:tcPr>
          <w:p w14:paraId="25D9B1AA" w14:textId="77777777" w:rsidR="00DB552F" w:rsidRPr="00B52707" w:rsidRDefault="00DB552F" w:rsidP="00BD0BCB">
            <w:pPr>
              <w:jc w:val="both"/>
              <w:rPr>
                <w:color w:val="0070C0"/>
                <w:sz w:val="16"/>
                <w:szCs w:val="16"/>
              </w:rPr>
            </w:pPr>
            <w:r w:rsidRPr="00B52707">
              <w:rPr>
                <w:color w:val="0070C0"/>
                <w:sz w:val="16"/>
                <w:szCs w:val="16"/>
              </w:rPr>
              <w:t>—</w:t>
            </w:r>
          </w:p>
        </w:tc>
      </w:tr>
      <w:tr w:rsidR="00DB552F" w:rsidRPr="00B52707" w14:paraId="10B91CAB" w14:textId="77777777" w:rsidTr="00BD0BCB">
        <w:trPr>
          <w:trHeight w:hRule="exact" w:val="173"/>
        </w:trPr>
        <w:tc>
          <w:tcPr>
            <w:tcW w:w="3110" w:type="dxa"/>
            <w:tcBorders>
              <w:top w:val="single" w:sz="4" w:space="0" w:color="auto"/>
            </w:tcBorders>
            <w:shd w:val="clear" w:color="auto" w:fill="FFFFFF"/>
            <w:vAlign w:val="bottom"/>
          </w:tcPr>
          <w:p w14:paraId="2285B299" w14:textId="77777777" w:rsidR="00DB552F" w:rsidRPr="00B52707" w:rsidRDefault="00DB552F" w:rsidP="00BD0BCB">
            <w:pPr>
              <w:jc w:val="both"/>
              <w:rPr>
                <w:color w:val="0070C0"/>
                <w:sz w:val="16"/>
                <w:szCs w:val="16"/>
              </w:rPr>
            </w:pPr>
            <w:r w:rsidRPr="00B52707">
              <w:rPr>
                <w:color w:val="0070C0"/>
                <w:sz w:val="16"/>
                <w:szCs w:val="16"/>
              </w:rPr>
              <w:t>Фарман с моторами Сальмсон в 160 сил.</w:t>
            </w:r>
          </w:p>
        </w:tc>
        <w:tc>
          <w:tcPr>
            <w:tcW w:w="941" w:type="dxa"/>
            <w:tcBorders>
              <w:left w:val="single" w:sz="4" w:space="0" w:color="auto"/>
            </w:tcBorders>
            <w:shd w:val="clear" w:color="auto" w:fill="FFFFFF"/>
          </w:tcPr>
          <w:p w14:paraId="7E216368" w14:textId="77777777" w:rsidR="00DB552F" w:rsidRPr="00B52707" w:rsidRDefault="00DB552F" w:rsidP="00BD0BCB">
            <w:pPr>
              <w:jc w:val="both"/>
              <w:rPr>
                <w:color w:val="0070C0"/>
                <w:sz w:val="16"/>
                <w:szCs w:val="16"/>
              </w:rPr>
            </w:pPr>
            <w:r w:rsidRPr="00B52707">
              <w:rPr>
                <w:color w:val="0070C0"/>
                <w:sz w:val="16"/>
                <w:szCs w:val="16"/>
              </w:rPr>
              <w:t>5</w:t>
            </w:r>
          </w:p>
        </w:tc>
        <w:tc>
          <w:tcPr>
            <w:tcW w:w="1066" w:type="dxa"/>
            <w:shd w:val="clear" w:color="auto" w:fill="FFFFFF"/>
          </w:tcPr>
          <w:p w14:paraId="61EF8617" w14:textId="77777777" w:rsidR="00DB552F" w:rsidRPr="00B52707" w:rsidRDefault="00DB552F" w:rsidP="00BD0BCB">
            <w:pPr>
              <w:jc w:val="both"/>
              <w:rPr>
                <w:color w:val="0070C0"/>
                <w:sz w:val="16"/>
                <w:szCs w:val="16"/>
              </w:rPr>
            </w:pPr>
            <w:r w:rsidRPr="00B52707">
              <w:rPr>
                <w:color w:val="0070C0"/>
                <w:sz w:val="16"/>
                <w:szCs w:val="16"/>
              </w:rPr>
              <w:t>—</w:t>
            </w:r>
          </w:p>
        </w:tc>
        <w:tc>
          <w:tcPr>
            <w:tcW w:w="1056" w:type="dxa"/>
            <w:tcBorders>
              <w:left w:val="single" w:sz="4" w:space="0" w:color="auto"/>
            </w:tcBorders>
            <w:shd w:val="clear" w:color="auto" w:fill="FFFFFF"/>
          </w:tcPr>
          <w:p w14:paraId="3CF7FD31" w14:textId="77777777" w:rsidR="00DB552F" w:rsidRPr="00B52707" w:rsidRDefault="00DB552F" w:rsidP="00BD0BCB">
            <w:pPr>
              <w:jc w:val="both"/>
              <w:rPr>
                <w:color w:val="0070C0"/>
                <w:sz w:val="16"/>
                <w:szCs w:val="16"/>
              </w:rPr>
            </w:pPr>
          </w:p>
        </w:tc>
      </w:tr>
      <w:tr w:rsidR="00DB552F" w:rsidRPr="00B52707" w14:paraId="2A8B1D4F" w14:textId="77777777" w:rsidTr="00BD0BCB">
        <w:trPr>
          <w:trHeight w:hRule="exact" w:val="168"/>
        </w:trPr>
        <w:tc>
          <w:tcPr>
            <w:tcW w:w="3110" w:type="dxa"/>
            <w:shd w:val="clear" w:color="auto" w:fill="FFFFFF"/>
            <w:vAlign w:val="bottom"/>
          </w:tcPr>
          <w:p w14:paraId="288D73C3" w14:textId="77777777" w:rsidR="00DB552F" w:rsidRPr="00B52707" w:rsidRDefault="00DB552F" w:rsidP="00BD0BCB">
            <w:pPr>
              <w:jc w:val="both"/>
              <w:rPr>
                <w:color w:val="0070C0"/>
                <w:sz w:val="16"/>
                <w:szCs w:val="16"/>
              </w:rPr>
            </w:pPr>
            <w:r w:rsidRPr="00B52707">
              <w:rPr>
                <w:color w:val="0070C0"/>
                <w:sz w:val="16"/>
                <w:szCs w:val="16"/>
              </w:rPr>
              <w:t>Моран (биплан)</w:t>
            </w:r>
            <w:r w:rsidRPr="00B52707">
              <w:rPr>
                <w:color w:val="0070C0"/>
                <w:sz w:val="16"/>
                <w:szCs w:val="16"/>
              </w:rPr>
              <w:tab/>
            </w:r>
          </w:p>
        </w:tc>
        <w:tc>
          <w:tcPr>
            <w:tcW w:w="941" w:type="dxa"/>
            <w:tcBorders>
              <w:left w:val="single" w:sz="4" w:space="0" w:color="auto"/>
            </w:tcBorders>
            <w:shd w:val="clear" w:color="auto" w:fill="FFFFFF"/>
          </w:tcPr>
          <w:p w14:paraId="559EB6B0" w14:textId="77777777" w:rsidR="00DB552F" w:rsidRPr="00B52707" w:rsidRDefault="00DB552F" w:rsidP="00BD0BCB">
            <w:pPr>
              <w:jc w:val="both"/>
              <w:rPr>
                <w:color w:val="0070C0"/>
                <w:sz w:val="16"/>
                <w:szCs w:val="16"/>
              </w:rPr>
            </w:pPr>
            <w:r w:rsidRPr="00B52707">
              <w:rPr>
                <w:color w:val="0070C0"/>
                <w:sz w:val="16"/>
                <w:szCs w:val="16"/>
              </w:rPr>
              <w:t>6</w:t>
            </w:r>
          </w:p>
        </w:tc>
        <w:tc>
          <w:tcPr>
            <w:tcW w:w="1066" w:type="dxa"/>
            <w:shd w:val="clear" w:color="auto" w:fill="FFFFFF"/>
          </w:tcPr>
          <w:p w14:paraId="44D35647" w14:textId="77777777" w:rsidR="00DB552F" w:rsidRPr="00B52707" w:rsidRDefault="00DB552F" w:rsidP="00BD0BCB">
            <w:pPr>
              <w:jc w:val="both"/>
              <w:rPr>
                <w:color w:val="0070C0"/>
                <w:sz w:val="16"/>
                <w:szCs w:val="16"/>
              </w:rPr>
            </w:pPr>
          </w:p>
        </w:tc>
        <w:tc>
          <w:tcPr>
            <w:tcW w:w="1056" w:type="dxa"/>
            <w:tcBorders>
              <w:left w:val="single" w:sz="4" w:space="0" w:color="auto"/>
            </w:tcBorders>
            <w:shd w:val="clear" w:color="auto" w:fill="FFFFFF"/>
          </w:tcPr>
          <w:p w14:paraId="7AA1C18C" w14:textId="77777777" w:rsidR="00DB552F" w:rsidRPr="00B52707" w:rsidRDefault="00DB552F" w:rsidP="00BD0BCB">
            <w:pPr>
              <w:jc w:val="both"/>
              <w:rPr>
                <w:color w:val="0070C0"/>
                <w:sz w:val="16"/>
                <w:szCs w:val="16"/>
              </w:rPr>
            </w:pPr>
            <w:r w:rsidRPr="00B52707">
              <w:rPr>
                <w:color w:val="0070C0"/>
                <w:sz w:val="16"/>
                <w:szCs w:val="16"/>
              </w:rPr>
              <w:t>—-</w:t>
            </w:r>
          </w:p>
        </w:tc>
      </w:tr>
      <w:tr w:rsidR="00DB552F" w:rsidRPr="00B52707" w14:paraId="23441EA4" w14:textId="77777777" w:rsidTr="00BD0BCB">
        <w:trPr>
          <w:trHeight w:hRule="exact" w:val="312"/>
        </w:trPr>
        <w:tc>
          <w:tcPr>
            <w:tcW w:w="3110" w:type="dxa"/>
            <w:tcBorders>
              <w:top w:val="single" w:sz="4" w:space="0" w:color="auto"/>
            </w:tcBorders>
            <w:shd w:val="clear" w:color="auto" w:fill="FFFFFF"/>
          </w:tcPr>
          <w:p w14:paraId="35F02682" w14:textId="77777777" w:rsidR="00DB552F" w:rsidRPr="00B52707" w:rsidRDefault="00DB552F" w:rsidP="00BD0BCB">
            <w:pPr>
              <w:jc w:val="both"/>
              <w:rPr>
                <w:color w:val="0070C0"/>
                <w:sz w:val="16"/>
                <w:szCs w:val="16"/>
              </w:rPr>
            </w:pPr>
            <w:r w:rsidRPr="00B52707">
              <w:rPr>
                <w:color w:val="0070C0"/>
                <w:sz w:val="16"/>
                <w:szCs w:val="16"/>
              </w:rPr>
              <w:t>Спад</w:t>
            </w:r>
            <w:r w:rsidRPr="00B52707">
              <w:rPr>
                <w:color w:val="0070C0"/>
                <w:sz w:val="16"/>
                <w:szCs w:val="16"/>
              </w:rPr>
              <w:tab/>
            </w:r>
            <w:r w:rsidRPr="00B52707">
              <w:rPr>
                <w:color w:val="0070C0"/>
                <w:sz w:val="16"/>
                <w:szCs w:val="16"/>
              </w:rPr>
              <w:tab/>
            </w:r>
            <w:r w:rsidRPr="00B52707">
              <w:rPr>
                <w:color w:val="0070C0"/>
                <w:sz w:val="16"/>
                <w:szCs w:val="16"/>
              </w:rPr>
              <w:tab/>
            </w:r>
          </w:p>
        </w:tc>
        <w:tc>
          <w:tcPr>
            <w:tcW w:w="941" w:type="dxa"/>
            <w:tcBorders>
              <w:left w:val="single" w:sz="4" w:space="0" w:color="auto"/>
            </w:tcBorders>
            <w:shd w:val="clear" w:color="auto" w:fill="FFFFFF"/>
          </w:tcPr>
          <w:p w14:paraId="590215A7" w14:textId="77777777" w:rsidR="00DB552F" w:rsidRPr="00B52707" w:rsidRDefault="00DB552F" w:rsidP="00BD0BCB">
            <w:pPr>
              <w:jc w:val="both"/>
              <w:rPr>
                <w:color w:val="0070C0"/>
                <w:sz w:val="16"/>
                <w:szCs w:val="16"/>
              </w:rPr>
            </w:pPr>
            <w:r w:rsidRPr="00B52707">
              <w:rPr>
                <w:color w:val="0070C0"/>
                <w:sz w:val="16"/>
                <w:szCs w:val="16"/>
              </w:rPr>
              <w:t>6</w:t>
            </w:r>
          </w:p>
        </w:tc>
        <w:tc>
          <w:tcPr>
            <w:tcW w:w="1066" w:type="dxa"/>
            <w:shd w:val="clear" w:color="auto" w:fill="FFFFFF"/>
          </w:tcPr>
          <w:p w14:paraId="40058BFF" w14:textId="77777777" w:rsidR="00DB552F" w:rsidRPr="00B52707" w:rsidRDefault="00DB552F" w:rsidP="00BD0BCB">
            <w:pPr>
              <w:jc w:val="both"/>
              <w:rPr>
                <w:color w:val="0070C0"/>
                <w:sz w:val="16"/>
                <w:szCs w:val="16"/>
              </w:rPr>
            </w:pPr>
            <w:r w:rsidRPr="00B52707">
              <w:rPr>
                <w:color w:val="0070C0"/>
                <w:sz w:val="16"/>
                <w:szCs w:val="16"/>
              </w:rPr>
              <w:t>\</w:t>
            </w:r>
          </w:p>
        </w:tc>
        <w:tc>
          <w:tcPr>
            <w:tcW w:w="1056" w:type="dxa"/>
            <w:tcBorders>
              <w:left w:val="single" w:sz="4" w:space="0" w:color="auto"/>
            </w:tcBorders>
            <w:shd w:val="clear" w:color="auto" w:fill="FFFFFF"/>
          </w:tcPr>
          <w:p w14:paraId="2FD897CB" w14:textId="77777777" w:rsidR="00DB552F" w:rsidRPr="00B52707" w:rsidRDefault="00DB552F" w:rsidP="00BD0BCB">
            <w:pPr>
              <w:jc w:val="both"/>
              <w:rPr>
                <w:color w:val="0070C0"/>
                <w:sz w:val="16"/>
                <w:szCs w:val="16"/>
              </w:rPr>
            </w:pPr>
            <w:r w:rsidRPr="00B52707">
              <w:rPr>
                <w:color w:val="0070C0"/>
                <w:sz w:val="16"/>
                <w:szCs w:val="16"/>
              </w:rPr>
              <w:t>—</w:t>
            </w:r>
          </w:p>
        </w:tc>
      </w:tr>
      <w:tr w:rsidR="00DB552F" w:rsidRPr="00B52707" w14:paraId="6CED7C4D" w14:textId="77777777" w:rsidTr="00BD0BCB">
        <w:trPr>
          <w:trHeight w:hRule="exact" w:val="562"/>
        </w:trPr>
        <w:tc>
          <w:tcPr>
            <w:tcW w:w="3110" w:type="dxa"/>
            <w:tcBorders>
              <w:top w:val="single" w:sz="4" w:space="0" w:color="auto"/>
            </w:tcBorders>
            <w:shd w:val="clear" w:color="auto" w:fill="FFFFFF"/>
            <w:vAlign w:val="center"/>
          </w:tcPr>
          <w:p w14:paraId="07582F88" w14:textId="77777777" w:rsidR="00DB552F" w:rsidRPr="00B52707" w:rsidRDefault="00DB552F" w:rsidP="00BD0BCB">
            <w:pPr>
              <w:jc w:val="both"/>
              <w:rPr>
                <w:color w:val="0070C0"/>
                <w:sz w:val="16"/>
                <w:szCs w:val="16"/>
              </w:rPr>
            </w:pPr>
            <w:r w:rsidRPr="00B52707">
              <w:rPr>
                <w:color w:val="0070C0"/>
                <w:sz w:val="16"/>
                <w:szCs w:val="16"/>
              </w:rPr>
              <w:t xml:space="preserve">Итого </w:t>
            </w:r>
            <w:r w:rsidRPr="00B52707">
              <w:rPr>
                <w:color w:val="0070C0"/>
                <w:sz w:val="16"/>
                <w:szCs w:val="16"/>
              </w:rPr>
              <w:tab/>
            </w:r>
          </w:p>
        </w:tc>
        <w:tc>
          <w:tcPr>
            <w:tcW w:w="941" w:type="dxa"/>
            <w:tcBorders>
              <w:top w:val="single" w:sz="4" w:space="0" w:color="auto"/>
              <w:left w:val="single" w:sz="4" w:space="0" w:color="auto"/>
            </w:tcBorders>
            <w:shd w:val="clear" w:color="auto" w:fill="FFFFFF"/>
            <w:vAlign w:val="center"/>
          </w:tcPr>
          <w:p w14:paraId="5D241F7D" w14:textId="77777777" w:rsidR="00DB552F" w:rsidRPr="00B52707" w:rsidRDefault="00DB552F" w:rsidP="00BD0BCB">
            <w:pPr>
              <w:jc w:val="both"/>
              <w:rPr>
                <w:color w:val="0070C0"/>
                <w:sz w:val="16"/>
                <w:szCs w:val="16"/>
              </w:rPr>
            </w:pPr>
            <w:r w:rsidRPr="00B52707">
              <w:rPr>
                <w:color w:val="0070C0"/>
                <w:sz w:val="16"/>
                <w:szCs w:val="16"/>
              </w:rPr>
              <w:t>586</w:t>
            </w:r>
          </w:p>
        </w:tc>
        <w:tc>
          <w:tcPr>
            <w:tcW w:w="1066" w:type="dxa"/>
            <w:tcBorders>
              <w:top w:val="single" w:sz="4" w:space="0" w:color="auto"/>
            </w:tcBorders>
            <w:shd w:val="clear" w:color="auto" w:fill="FFFFFF"/>
            <w:vAlign w:val="center"/>
          </w:tcPr>
          <w:p w14:paraId="4DD8E942" w14:textId="77777777" w:rsidR="00DB552F" w:rsidRPr="00B52707" w:rsidRDefault="00DB552F" w:rsidP="00BD0BCB">
            <w:pPr>
              <w:jc w:val="both"/>
              <w:rPr>
                <w:color w:val="0070C0"/>
                <w:sz w:val="16"/>
                <w:szCs w:val="16"/>
              </w:rPr>
            </w:pPr>
            <w:r w:rsidRPr="00B52707">
              <w:rPr>
                <w:color w:val="0070C0"/>
                <w:sz w:val="16"/>
                <w:szCs w:val="16"/>
              </w:rPr>
              <w:t>306</w:t>
            </w:r>
          </w:p>
        </w:tc>
        <w:tc>
          <w:tcPr>
            <w:tcW w:w="1056" w:type="dxa"/>
            <w:tcBorders>
              <w:top w:val="single" w:sz="4" w:space="0" w:color="auto"/>
            </w:tcBorders>
            <w:shd w:val="clear" w:color="auto" w:fill="FFFFFF"/>
            <w:vAlign w:val="center"/>
          </w:tcPr>
          <w:p w14:paraId="15796391" w14:textId="77777777" w:rsidR="00DB552F" w:rsidRPr="00B52707" w:rsidRDefault="00DB552F" w:rsidP="00BD0BCB">
            <w:pPr>
              <w:jc w:val="both"/>
              <w:rPr>
                <w:color w:val="0070C0"/>
                <w:sz w:val="16"/>
                <w:szCs w:val="16"/>
              </w:rPr>
            </w:pPr>
            <w:r w:rsidRPr="00B52707">
              <w:rPr>
                <w:color w:val="0070C0"/>
                <w:sz w:val="16"/>
                <w:szCs w:val="16"/>
              </w:rPr>
              <w:t>250</w:t>
            </w:r>
          </w:p>
        </w:tc>
      </w:tr>
    </w:tbl>
    <w:p w14:paraId="6DC692E0" w14:textId="77777777" w:rsidR="00DB552F" w:rsidRPr="00B52707" w:rsidRDefault="00DB552F" w:rsidP="00DB552F">
      <w:pPr>
        <w:jc w:val="both"/>
        <w:rPr>
          <w:color w:val="0070C0"/>
          <w:sz w:val="16"/>
          <w:szCs w:val="16"/>
        </w:rPr>
      </w:pPr>
      <w:r w:rsidRPr="00B52707">
        <w:rPr>
          <w:color w:val="0070C0"/>
          <w:sz w:val="16"/>
          <w:szCs w:val="16"/>
        </w:rPr>
        <w:t>С начала войны по 1 мая 1916 года всего поступило па фронт 1.455 аэропланов, из которых 961 был изготовлен в России и 494—во Франции (24923).</w:t>
      </w:r>
    </w:p>
    <w:p w14:paraId="75FD93C8" w14:textId="77777777" w:rsidR="00DB552F" w:rsidRPr="00B52707" w:rsidRDefault="00DB552F" w:rsidP="00DB552F">
      <w:pPr>
        <w:jc w:val="both"/>
        <w:rPr>
          <w:color w:val="0070C0"/>
          <w:sz w:val="16"/>
          <w:szCs w:val="16"/>
        </w:rPr>
      </w:pPr>
    </w:p>
    <w:p w14:paraId="28823875" w14:textId="198E2060" w:rsidR="00DB552F" w:rsidRPr="00405303" w:rsidRDefault="00DB552F" w:rsidP="00DB552F">
      <w:pPr>
        <w:shd w:val="clear" w:color="auto" w:fill="FFFFFF"/>
        <w:jc w:val="both"/>
        <w:rPr>
          <w:bCs/>
          <w:i/>
          <w:color w:val="002060"/>
          <w:sz w:val="16"/>
          <w:szCs w:val="16"/>
        </w:rPr>
      </w:pPr>
      <w:r w:rsidRPr="00405303">
        <w:rPr>
          <w:bCs/>
          <w:i/>
          <w:color w:val="002060"/>
          <w:sz w:val="16"/>
          <w:szCs w:val="16"/>
        </w:rPr>
        <w:t>Авиация:</w:t>
      </w:r>
    </w:p>
    <w:p w14:paraId="26BCA9DC" w14:textId="77777777" w:rsidR="00DB552F" w:rsidRPr="00405303" w:rsidRDefault="00DB552F" w:rsidP="00DB552F">
      <w:pPr>
        <w:shd w:val="clear" w:color="auto" w:fill="FFFFFF"/>
        <w:jc w:val="both"/>
        <w:rPr>
          <w:bCs/>
          <w:i/>
          <w:color w:val="002060"/>
          <w:sz w:val="16"/>
          <w:szCs w:val="16"/>
        </w:rPr>
      </w:pPr>
    </w:p>
    <w:p w14:paraId="23C17B32" w14:textId="77777777" w:rsidR="00DB552F" w:rsidRPr="00B52707" w:rsidRDefault="00DB552F" w:rsidP="00DB552F">
      <w:pPr>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1 (14) декабря 1915 г. германский аэроплан сбросил несколько бомб возле ст. Икскюль.</w:t>
      </w:r>
    </w:p>
    <w:p w14:paraId="509FF565" w14:textId="77777777" w:rsidR="00DB552F" w:rsidRPr="00B52707" w:rsidRDefault="00DB552F" w:rsidP="00DB552F">
      <w:pPr>
        <w:jc w:val="both"/>
        <w:rPr>
          <w:color w:val="0070C0"/>
          <w:sz w:val="16"/>
          <w:szCs w:val="16"/>
        </w:rPr>
      </w:pPr>
      <w:r w:rsidRPr="00B52707">
        <w:rPr>
          <w:rStyle w:val="aa"/>
          <w:rFonts w:ascii="Times New Roman" w:hAnsi="Times New Roman"/>
          <w:color w:val="0070C0"/>
          <w:spacing w:val="0"/>
          <w:sz w:val="16"/>
          <w:szCs w:val="16"/>
        </w:rPr>
        <w:t>Через неделю, несмотря на 20-</w:t>
      </w:r>
      <w:proofErr w:type="gramStart"/>
      <w:r w:rsidRPr="00B52707">
        <w:rPr>
          <w:rStyle w:val="aa"/>
          <w:rFonts w:ascii="Times New Roman" w:hAnsi="Times New Roman"/>
          <w:color w:val="0070C0"/>
          <w:spacing w:val="0"/>
          <w:sz w:val="16"/>
          <w:szCs w:val="16"/>
        </w:rPr>
        <w:t>градус-ный</w:t>
      </w:r>
      <w:proofErr w:type="gramEnd"/>
      <w:r w:rsidRPr="00B52707">
        <w:rPr>
          <w:rStyle w:val="aa"/>
          <w:rFonts w:ascii="Times New Roman" w:hAnsi="Times New Roman"/>
          <w:color w:val="0070C0"/>
          <w:spacing w:val="0"/>
          <w:sz w:val="16"/>
          <w:szCs w:val="16"/>
        </w:rPr>
        <w:t xml:space="preserve"> мороз, два немецких летательных аппарата прорвались к Риге, подвергнув ее бомбардировке (без «особого вреда»)</w:t>
      </w:r>
      <w:hyperlink w:anchor="bookmark1380" w:tooltip="Current Document">
        <w:r w:rsidRPr="00B52707">
          <w:rPr>
            <w:rStyle w:val="aa"/>
            <w:rFonts w:ascii="Times New Roman" w:hAnsi="Times New Roman"/>
            <w:color w:val="0070C0"/>
            <w:spacing w:val="0"/>
            <w:sz w:val="16"/>
            <w:szCs w:val="16"/>
            <w:u w:val="single"/>
            <w:vertAlign w:val="superscript"/>
          </w:rPr>
          <w:t>[312]</w:t>
        </w:r>
      </w:hyperlink>
      <w:r w:rsidRPr="00B52707">
        <w:rPr>
          <w:rStyle w:val="aa"/>
          <w:rFonts w:ascii="Times New Roman" w:hAnsi="Times New Roman"/>
          <w:color w:val="0070C0"/>
          <w:spacing w:val="0"/>
          <w:sz w:val="16"/>
          <w:szCs w:val="16"/>
        </w:rPr>
        <w:t>. Один из вражеских самолетов, направлявшийся к городу, попал в зону зенитного огня и был вынужден повернуть назад</w:t>
      </w:r>
      <w:hyperlink w:anchor="bookmark1381" w:tooltip="Current Document">
        <w:r w:rsidRPr="00B52707">
          <w:rPr>
            <w:rStyle w:val="aa"/>
            <w:rFonts w:ascii="Times New Roman" w:hAnsi="Times New Roman"/>
            <w:color w:val="0070C0"/>
            <w:spacing w:val="0"/>
            <w:sz w:val="16"/>
            <w:szCs w:val="16"/>
            <w:u w:val="single"/>
            <w:vertAlign w:val="superscript"/>
          </w:rPr>
          <w:t>[313]</w:t>
        </w:r>
      </w:hyperlink>
      <w:r w:rsidRPr="00B52707">
        <w:rPr>
          <w:rStyle w:val="aa"/>
          <w:rFonts w:ascii="Times New Roman" w:hAnsi="Times New Roman"/>
          <w:color w:val="0070C0"/>
          <w:spacing w:val="0"/>
          <w:sz w:val="16"/>
          <w:szCs w:val="16"/>
        </w:rPr>
        <w:t>.</w:t>
      </w:r>
    </w:p>
    <w:p w14:paraId="2396016E" w14:textId="77777777" w:rsidR="00DB552F" w:rsidRPr="00B52707" w:rsidRDefault="00DB552F" w:rsidP="00DB552F">
      <w:pPr>
        <w:jc w:val="both"/>
        <w:rPr>
          <w:color w:val="0070C0"/>
          <w:sz w:val="16"/>
          <w:szCs w:val="16"/>
        </w:rPr>
      </w:pPr>
    </w:p>
    <w:p w14:paraId="6BF8AE04" w14:textId="034BF31C"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Франции:</w:t>
      </w:r>
    </w:p>
    <w:p w14:paraId="3E38CBFC" w14:textId="77777777" w:rsidR="004B4E35" w:rsidRPr="00405303" w:rsidRDefault="004B4E35" w:rsidP="00C15251">
      <w:pPr>
        <w:shd w:val="clear" w:color="auto" w:fill="FFFFFF"/>
        <w:jc w:val="both"/>
        <w:rPr>
          <w:bCs/>
          <w:i/>
          <w:color w:val="002060"/>
          <w:sz w:val="16"/>
          <w:szCs w:val="16"/>
        </w:rPr>
      </w:pPr>
    </w:p>
    <w:p w14:paraId="23F65831" w14:textId="77777777" w:rsidR="004B4E35" w:rsidRPr="00405303" w:rsidRDefault="009E6F82" w:rsidP="00C15251">
      <w:pPr>
        <w:jc w:val="both"/>
        <w:rPr>
          <w:bCs/>
          <w:color w:val="002060"/>
          <w:sz w:val="16"/>
          <w:szCs w:val="16"/>
        </w:rPr>
      </w:pPr>
      <w:r w:rsidRPr="00405303">
        <w:rPr>
          <w:bCs/>
          <w:color w:val="002060"/>
          <w:sz w:val="16"/>
          <w:szCs w:val="16"/>
        </w:rPr>
        <w:t>1 (14) декабря - Гийнемер одерживает четвертую победу!</w:t>
      </w:r>
    </w:p>
    <w:p w14:paraId="3CA21AE1" w14:textId="77777777" w:rsidR="004B4E35" w:rsidRPr="00405303" w:rsidRDefault="009E6F82" w:rsidP="00C15251">
      <w:pPr>
        <w:jc w:val="both"/>
        <w:rPr>
          <w:bCs/>
          <w:color w:val="002060"/>
          <w:sz w:val="16"/>
          <w:szCs w:val="16"/>
        </w:rPr>
      </w:pPr>
      <w:r w:rsidRPr="00405303">
        <w:rPr>
          <w:bCs/>
          <w:color w:val="002060"/>
          <w:sz w:val="16"/>
          <w:szCs w:val="16"/>
        </w:rPr>
        <w:t>В этот день Гийнемер сопровождал бомбардировочную эскадрилью на д'Эрвилли и был атакован во время бомбометания двумя монопланами типа "Фоккер". Один из атаковавших после первой же очереди Гийнемера развернулся и исчез из вида. Второй "Фоккер" вступил в схватку с "Вуазеном"-бом6ардировщиком.</w:t>
      </w:r>
    </w:p>
    <w:p w14:paraId="31EE03BA" w14:textId="77777777" w:rsidR="004B4E35" w:rsidRPr="00405303" w:rsidRDefault="009E6F82" w:rsidP="00C15251">
      <w:pPr>
        <w:jc w:val="both"/>
        <w:rPr>
          <w:bCs/>
          <w:color w:val="002060"/>
          <w:sz w:val="16"/>
          <w:szCs w:val="16"/>
        </w:rPr>
      </w:pPr>
      <w:r w:rsidRPr="00405303">
        <w:rPr>
          <w:bCs/>
          <w:color w:val="002060"/>
          <w:sz w:val="16"/>
          <w:szCs w:val="16"/>
        </w:rPr>
        <w:t>Вдруг исчезнувший "Фоккер" вновь появился перед Гийнемером, и француз выпустил в него с расстояния в 100 м остатки обоймы. "Фоккер" ушел в пике. Второй "Фоккер", когда Гийнемер поспешил на помощь "Вуазену", "сбежал".</w:t>
      </w:r>
    </w:p>
    <w:p w14:paraId="1311D62F" w14:textId="77777777" w:rsidR="004B4E35" w:rsidRPr="00405303" w:rsidRDefault="009E6F82" w:rsidP="00C15251">
      <w:pPr>
        <w:jc w:val="both"/>
        <w:rPr>
          <w:bCs/>
          <w:color w:val="002060"/>
          <w:sz w:val="16"/>
          <w:szCs w:val="16"/>
        </w:rPr>
      </w:pPr>
      <w:r w:rsidRPr="00405303">
        <w:rPr>
          <w:bCs/>
          <w:color w:val="002060"/>
          <w:sz w:val="16"/>
          <w:szCs w:val="16"/>
        </w:rPr>
        <w:t>По возвращении на аэродром Гийнемер обнаружил в своем самолете 5 пробоин (11999).</w:t>
      </w:r>
    </w:p>
    <w:p w14:paraId="2E5273DC" w14:textId="77777777" w:rsidR="004B4E35" w:rsidRPr="00405303" w:rsidRDefault="004B4E35" w:rsidP="00C15251">
      <w:pPr>
        <w:jc w:val="both"/>
        <w:rPr>
          <w:bCs/>
          <w:color w:val="002060"/>
          <w:sz w:val="16"/>
          <w:szCs w:val="16"/>
        </w:rPr>
      </w:pPr>
    </w:p>
    <w:p w14:paraId="2C338DE6"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50D77543" w14:textId="77777777" w:rsidR="004B4E35" w:rsidRPr="00405303" w:rsidRDefault="004B4E35" w:rsidP="00C15251">
      <w:pPr>
        <w:shd w:val="clear" w:color="auto" w:fill="FFFFFF"/>
        <w:jc w:val="both"/>
        <w:rPr>
          <w:bCs/>
          <w:i/>
          <w:color w:val="002060"/>
          <w:sz w:val="16"/>
          <w:szCs w:val="16"/>
        </w:rPr>
      </w:pPr>
    </w:p>
    <w:p w14:paraId="74BA7AD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 (15) декабря 1915 правление завода “Дукс” направи</w:t>
      </w:r>
      <w:r w:rsidRPr="00405303">
        <w:rPr>
          <w:bCs/>
          <w:color w:val="002060"/>
          <w:sz w:val="16"/>
          <w:szCs w:val="16"/>
        </w:rPr>
        <w:softHyphen/>
        <w:t>ло отношение в ГВТУ, сообщив, что «производственное испытание этого прибора дало хорошие результаты, т.е. ни одного попадания в винт». Серийный выпуск синхрониза</w:t>
      </w:r>
      <w:r w:rsidRPr="00405303">
        <w:rPr>
          <w:bCs/>
          <w:color w:val="002060"/>
          <w:sz w:val="16"/>
          <w:szCs w:val="16"/>
        </w:rPr>
        <w:softHyphen/>
        <w:t>торов для двигателей «Рон» начали в 1916 г. (9651,25)</w:t>
      </w:r>
    </w:p>
    <w:p w14:paraId="3107220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конце 1915 г. лейтенант В.В.Дыбовский изобрел и изготовил на «Дуксе» оригинальный синхронизатор для стрельбы через винт (9651).</w:t>
      </w:r>
    </w:p>
    <w:p w14:paraId="79B07E7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1915 на “Дуксе” для одноместных истребителей на «Дуксе» разрабатыва</w:t>
      </w:r>
      <w:r w:rsidRPr="00405303">
        <w:rPr>
          <w:bCs/>
          <w:color w:val="002060"/>
          <w:sz w:val="16"/>
          <w:szCs w:val="16"/>
        </w:rPr>
        <w:softHyphen/>
        <w:t>ли устройства стрельбы через плоскость, сметаемую вин</w:t>
      </w:r>
      <w:r w:rsidRPr="00405303">
        <w:rPr>
          <w:bCs/>
          <w:color w:val="002060"/>
          <w:sz w:val="16"/>
          <w:szCs w:val="16"/>
        </w:rPr>
        <w:softHyphen/>
        <w:t>том. В отклонителе пуль конструкции В.В.Бартошевича пули должны были рикошетировать от бронированных участков лопастей винта. Но доброкачественной стали не оказалось, и, как отмечалось в акте, «броня на винте сильно деформировалась и пробивалась» (9651).</w:t>
      </w:r>
    </w:p>
    <w:p w14:paraId="02F08FF9" w14:textId="77777777" w:rsidR="004B4E35" w:rsidRPr="00405303" w:rsidRDefault="004B4E35" w:rsidP="00C15251">
      <w:pPr>
        <w:shd w:val="clear" w:color="auto" w:fill="FFFFFF"/>
        <w:jc w:val="both"/>
        <w:rPr>
          <w:bCs/>
          <w:color w:val="002060"/>
          <w:sz w:val="16"/>
          <w:szCs w:val="16"/>
        </w:rPr>
      </w:pPr>
    </w:p>
    <w:p w14:paraId="61CFF6EE"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02410081" w14:textId="77777777" w:rsidR="004B4E35" w:rsidRPr="00405303" w:rsidRDefault="004B4E35" w:rsidP="00C15251">
      <w:pPr>
        <w:jc w:val="both"/>
        <w:rPr>
          <w:bCs/>
          <w:i/>
          <w:color w:val="002060"/>
          <w:sz w:val="16"/>
          <w:szCs w:val="16"/>
        </w:rPr>
      </w:pPr>
    </w:p>
    <w:p w14:paraId="450F2C0C" w14:textId="1DB440BA" w:rsidR="00660AC3"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середдине 1917 общее количество созданных областных и местных военно-промышленных комитетов по подсчетам М.Ф.Юрия — 242: 36 областных и 206 местных. Практическая задача и деятельность ВПК заключались в мобилизации промышленности на нужды обороны, но у ВПК собственных предприятий не было, а также не было капиталов для реконструкции предприятий. Поэтому фактически вся деятельность ВПК сводилась к простому распределению заказов среди предприятий. Распределяя заказы, тот или иной отдел Комитета командировал на завод своих агентов для выяснения пригодности предприятия к исполнению поставки, заинтересованности в кредите, в получении материалов и для обследования общего положения предприятия. Заказы были весьма важным рычагом, при помощи которого военно-промышленные комитеты могли влиять на промышленное производство посредством ограничения или льготами в выдаче недостающего сырья (металла, хлопка, шелка и т.п.), ходатайствами Центрального комитета об отсрочках мобилизованным рабочим заинтересованного предприятия, оказанием различных </w:t>
      </w:r>
      <w:r w:rsidRPr="00405303">
        <w:rPr>
          <w:bCs/>
          <w:i w:val="0"/>
          <w:color w:val="002060"/>
          <w:spacing w:val="0"/>
          <w:kern w:val="0"/>
          <w:position w:val="0"/>
          <w:sz w:val="16"/>
          <w:szCs w:val="16"/>
        </w:rPr>
        <w:lastRenderedPageBreak/>
        <w:t xml:space="preserve">выгод в финансировании. Имея в своем составе ряд деловых комиссий, ЦВПК участвовал через своих представителей в правительственных учреждениях и регулирующих органах, куда вносил немало инициативы, критики, добивался от государственных органов удовлетворения частно-хозяйственных интересов промышленности. Но основные правительственные заказы военно-промышленные комитеты получали из рук Особого совещания по обороне и его местных органов — заводских совещаний, от </w:t>
      </w:r>
    </w:p>
    <w:p w14:paraId="5F0B3232" w14:textId="77777777" w:rsidR="00660AC3" w:rsidRPr="00405303" w:rsidRDefault="00660AC3" w:rsidP="00C15251">
      <w:pPr>
        <w:pStyle w:val="a3"/>
        <w:jc w:val="both"/>
        <w:rPr>
          <w:bCs/>
          <w:i w:val="0"/>
          <w:color w:val="002060"/>
          <w:spacing w:val="0"/>
          <w:kern w:val="0"/>
          <w:position w:val="0"/>
          <w:sz w:val="16"/>
          <w:szCs w:val="16"/>
        </w:rPr>
      </w:pPr>
    </w:p>
    <w:p w14:paraId="12BCF888" w14:textId="2BB277CC"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 (15) декабря 1915 г. </w:t>
      </w:r>
      <w:r w:rsidR="00660AC3" w:rsidRPr="00405303">
        <w:rPr>
          <w:bCs/>
          <w:i w:val="0"/>
          <w:color w:val="002060"/>
          <w:spacing w:val="0"/>
          <w:kern w:val="0"/>
          <w:position w:val="0"/>
          <w:sz w:val="16"/>
          <w:szCs w:val="16"/>
        </w:rPr>
        <w:t xml:space="preserve">попытки же «предоставления Особого совещания по обороне … непосредственного надзора за исполнением всех заказов для нужд обороны» по решению Особого совещания по обороне </w:t>
      </w:r>
      <w:r w:rsidRPr="00405303">
        <w:rPr>
          <w:bCs/>
          <w:i w:val="0"/>
          <w:color w:val="002060"/>
          <w:spacing w:val="0"/>
          <w:kern w:val="0"/>
          <w:position w:val="0"/>
          <w:sz w:val="16"/>
          <w:szCs w:val="16"/>
        </w:rPr>
        <w:t>были отклонены. Так же как не удалась Военно-промышленным комитетам попытка превратиться в главный хозяйственный штаб страны, который распределял бы среди предприятий металл, топливо, рабочую силу, финансировал бы заводы, работавшие на оборону, устанавливал бы цены на промышленные изделия (11270).</w:t>
      </w:r>
    </w:p>
    <w:p w14:paraId="76973E90" w14:textId="77777777" w:rsidR="004B4E35" w:rsidRPr="00405303" w:rsidRDefault="004B4E35" w:rsidP="00C15251">
      <w:pPr>
        <w:pStyle w:val="a3"/>
        <w:jc w:val="both"/>
        <w:rPr>
          <w:bCs/>
          <w:i w:val="0"/>
          <w:color w:val="002060"/>
          <w:spacing w:val="0"/>
          <w:kern w:val="0"/>
          <w:position w:val="0"/>
          <w:sz w:val="16"/>
          <w:szCs w:val="16"/>
        </w:rPr>
      </w:pPr>
    </w:p>
    <w:p w14:paraId="23482442" w14:textId="7141161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 (15) декабря 1915 </w:t>
      </w:r>
      <w:r w:rsidR="00660AC3" w:rsidRPr="00405303">
        <w:rPr>
          <w:bCs/>
          <w:i w:val="0"/>
          <w:color w:val="002060"/>
          <w:spacing w:val="0"/>
          <w:kern w:val="0"/>
          <w:position w:val="0"/>
          <w:sz w:val="16"/>
          <w:szCs w:val="16"/>
        </w:rPr>
        <w:t xml:space="preserve">г. </w:t>
      </w:r>
      <w:r w:rsidRPr="00405303">
        <w:rPr>
          <w:bCs/>
          <w:i w:val="0"/>
          <w:color w:val="002060"/>
          <w:spacing w:val="0"/>
          <w:kern w:val="0"/>
          <w:position w:val="0"/>
          <w:sz w:val="16"/>
          <w:szCs w:val="16"/>
        </w:rPr>
        <w:t>новый велосипед прошел испытания в учебной автомобильной роте и был возвращен на доработку фирме с незначительными замечаниями. В начале 1916 года новую модель, получившую название «Дукс боевой», приняли к производству. Еще во время разработки «Боевого», летом 1915 года, произошли важные изменения в делах крупнейших велосипедных предприятий России. 10 июля велосипедная фабрика А. Лейтнера в Риге получила приказ об эвакуации в Харьков, так как немецкие войска уже подходили к этому прибалтийскому городу. Фабрика выполняла заказ Главного военно-технического управления (ГВТУ) на поставку военных велосипедов и взрывателей для гранат. 24 сентября 1915 года имущество и оборудование «Фабрики велосипедов и автомобилей «Россия» А. Лейтнера и Ко» было отправлено со станции Ревель в нескольких десятках вагонов в Харьков. Примерно в то же время «Дукс» получает крупный военный заказ на производство аэропланов и гидропланов. Велосипедное производство отступает на второй план, так как почти все производственные мощности были переориентированы на авиапроизводство. Дело в том, что к этому моменту фабрика осталась единственным отечественным поставщиком авиации для фронта (11257).</w:t>
      </w:r>
    </w:p>
    <w:p w14:paraId="21A3BAE4" w14:textId="77777777" w:rsidR="004B4E35" w:rsidRPr="00405303" w:rsidRDefault="004B4E35" w:rsidP="00C15251">
      <w:pPr>
        <w:pStyle w:val="a3"/>
        <w:jc w:val="both"/>
        <w:rPr>
          <w:bCs/>
          <w:i w:val="0"/>
          <w:color w:val="002060"/>
          <w:spacing w:val="0"/>
          <w:kern w:val="0"/>
          <w:position w:val="0"/>
          <w:sz w:val="16"/>
          <w:szCs w:val="16"/>
        </w:rPr>
      </w:pPr>
    </w:p>
    <w:p w14:paraId="485FB022" w14:textId="77777777" w:rsidR="00086DCC" w:rsidRPr="00405303" w:rsidRDefault="00086DCC"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 и воздухоплавание Германии:</w:t>
      </w:r>
    </w:p>
    <w:p w14:paraId="19F4E9D6" w14:textId="77777777" w:rsidR="00086DCC" w:rsidRPr="00405303" w:rsidRDefault="00086DCC" w:rsidP="00C15251">
      <w:pPr>
        <w:pStyle w:val="a3"/>
        <w:jc w:val="both"/>
        <w:rPr>
          <w:bCs/>
          <w:color w:val="002060"/>
          <w:spacing w:val="0"/>
          <w:kern w:val="0"/>
          <w:position w:val="0"/>
          <w:sz w:val="16"/>
          <w:szCs w:val="16"/>
        </w:rPr>
      </w:pPr>
    </w:p>
    <w:p w14:paraId="0585EB71" w14:textId="77777777" w:rsidR="00086DCC" w:rsidRPr="00405303" w:rsidRDefault="00086DCC" w:rsidP="00C15251">
      <w:pPr>
        <w:jc w:val="both"/>
        <w:rPr>
          <w:bCs/>
          <w:color w:val="002060"/>
          <w:sz w:val="16"/>
          <w:szCs w:val="16"/>
        </w:rPr>
      </w:pPr>
      <w:r w:rsidRPr="00405303">
        <w:rPr>
          <w:bCs/>
          <w:color w:val="002060"/>
          <w:sz w:val="16"/>
          <w:szCs w:val="16"/>
        </w:rPr>
        <w:t>2 (15) дека</w:t>
      </w:r>
      <w:r w:rsidRPr="00405303">
        <w:rPr>
          <w:bCs/>
          <w:color w:val="002060"/>
          <w:sz w:val="16"/>
          <w:szCs w:val="16"/>
        </w:rPr>
        <w:softHyphen/>
        <w:t>бря 1915 г. на общем собрании ИВАК состоялось «исключение из состава И.В.А.К. членов, принадлежащих к подданству враждебных держав» (20120).</w:t>
      </w:r>
    </w:p>
    <w:p w14:paraId="7DA605B8" w14:textId="77777777" w:rsidR="00086DCC" w:rsidRPr="00405303" w:rsidRDefault="00086DCC" w:rsidP="00C15251">
      <w:pPr>
        <w:jc w:val="both"/>
        <w:rPr>
          <w:bCs/>
          <w:color w:val="002060"/>
          <w:sz w:val="16"/>
          <w:szCs w:val="16"/>
        </w:rPr>
      </w:pPr>
    </w:p>
    <w:p w14:paraId="2145782C"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 и воздухоплавание Германии:</w:t>
      </w:r>
    </w:p>
    <w:p w14:paraId="0120046F" w14:textId="77777777" w:rsidR="004B4E35" w:rsidRPr="00405303" w:rsidRDefault="004B4E35" w:rsidP="00C15251">
      <w:pPr>
        <w:pStyle w:val="a3"/>
        <w:jc w:val="both"/>
        <w:rPr>
          <w:bCs/>
          <w:color w:val="002060"/>
          <w:spacing w:val="0"/>
          <w:kern w:val="0"/>
          <w:position w:val="0"/>
          <w:sz w:val="16"/>
          <w:szCs w:val="16"/>
        </w:rPr>
      </w:pPr>
    </w:p>
    <w:p w14:paraId="4456BEA3" w14:textId="679746BC" w:rsidR="004B4E35" w:rsidRPr="00405303" w:rsidRDefault="009E6F82" w:rsidP="00C15251">
      <w:pPr>
        <w:jc w:val="both"/>
        <w:rPr>
          <w:bCs/>
          <w:color w:val="002060"/>
          <w:sz w:val="16"/>
          <w:szCs w:val="16"/>
        </w:rPr>
      </w:pPr>
      <w:r w:rsidRPr="00405303">
        <w:rPr>
          <w:bCs/>
          <w:color w:val="002060"/>
          <w:sz w:val="16"/>
          <w:szCs w:val="16"/>
        </w:rPr>
        <w:t>2 (15) декабря</w:t>
      </w:r>
      <w:r w:rsidR="00660AC3" w:rsidRPr="00405303">
        <w:rPr>
          <w:bCs/>
          <w:color w:val="002060"/>
          <w:sz w:val="16"/>
          <w:szCs w:val="16"/>
        </w:rPr>
        <w:t xml:space="preserve"> 1915 г., согласно</w:t>
      </w:r>
      <w:r w:rsidRPr="00405303">
        <w:rPr>
          <w:bCs/>
          <w:color w:val="002060"/>
          <w:sz w:val="16"/>
          <w:szCs w:val="16"/>
        </w:rPr>
        <w:t xml:space="preserve"> Удет</w:t>
      </w:r>
      <w:r w:rsidR="00660AC3" w:rsidRPr="00405303">
        <w:rPr>
          <w:bCs/>
          <w:color w:val="002060"/>
          <w:sz w:val="16"/>
          <w:szCs w:val="16"/>
        </w:rPr>
        <w:t>у</w:t>
      </w:r>
      <w:r w:rsidRPr="00405303">
        <w:rPr>
          <w:bCs/>
          <w:color w:val="002060"/>
          <w:sz w:val="16"/>
          <w:szCs w:val="16"/>
        </w:rPr>
        <w:t xml:space="preserve">: "Однажды утром тревога звучит очень рано. Это необычно. Наблюдатели на переднем крае докладывают, что только что над их головами пролетел "Кодрон" и направляется в нашу сторону Я залезаю в свой аппарат и взлетаю. Облака висят низко, на высоте всего каких-то четырехсот метров. Я устремляюсь в серую дымку и карабкаюсь все выше и выше. На высоте двух тысяч метров надо мной дугой изгибается голубое небо, с которого светит странно-бледное декабрьское солнце. Я оглядываюсь вокруг. Далеко на западе, над облачным покрывалом, я вижу маленькую точку, похожую на парусное судно, курсирующее на самом горизонте, - это "Кодрон". Я направляюсь прямо к нему, а он продолжает лететь мне навстречу. Мы быстро сближаемся. Я уже могу различить широкий размах крыльев, два мотора, гондолу между крыльями, узкую как туловище хищной птицы. Мы летим на одной высоте, продолжая сближаться. Это против всех правил, потому что "Кодрон" - самолет-разведчик, а я - на истребителе. Одним нажатием на кнопку, расположенную на ручке управления, я извергну из моего пулемета поток пуль, достаточный, чтобы разнести противника на куски прямо в воздухе. Он должен это знать так же хорошо, как и я. Но все равно он продолжает лететь мне навстречу. Сейчас он так близок, что я как будто могу дотронуться до головы наблюдателя. В своих квадратных очках он похож на гигантское злое насекомое, которое подбирается ко мне, чтобы отнять жизнь. Наступает момент, когда я должен стрелять. Но я не могу. Как будто ужас леденит кровь в моих венах, парализует руки, мохнатой лапой выметает все мысли из головы. Я остаюсь сидеть на своем месте, лечу дальше, и продолжаю смотреть, как будто заколдованный на "Кодрон", который теперь слева от меня. Затем я слышу лай нацеленного на меня пулемета. Удары пуль в мой Фок- кер звучат как металлические щелчки. Машина дрожит, сильный удар по щеке, мои очки разбиты. Я инстинктивно касаюсь рукой лица, нащупываю на лице осколки. Моя рука мокрая от крови. Я ныряю в облака. Я как будто парализован. Как это случилось, как такое возможно? "Ты просто робок, ты трус", - молотом грохочет мотор. И затем только одна мысль: "Слава Богу, никто этого не видел!" Подо мной несется зеленая трава, верхушки сосен, аэродром. Я приземляюсь. Ко мне подбегают механики. Я не жду их. Я вылезаю из кабины и направляюсь в штаб. Медик удаляет стеклянные осколки с помощью пинцета. Они впились в плоть вокруг моих глаз. Это должно быть больно, но я ничего не чувствую. Затем я поднимаюсь в свою комнату и бросаюсь на кровать. Я хочу спать, но мои мысли снова и снова возвращаются, не давая расслабиться. Можно ли назвать трусостью, когда у кого-то сдают нервы в первый момент боя? Я хочу успокоить сам себя и говорю: "Нервы </w:t>
      </w:r>
      <w:proofErr w:type="gramStart"/>
      <w:r w:rsidRPr="00405303">
        <w:rPr>
          <w:bCs/>
          <w:color w:val="002060"/>
          <w:sz w:val="16"/>
          <w:szCs w:val="16"/>
        </w:rPr>
        <w:t>- это</w:t>
      </w:r>
      <w:proofErr w:type="gramEnd"/>
      <w:r w:rsidRPr="00405303">
        <w:rPr>
          <w:bCs/>
          <w:color w:val="002060"/>
          <w:sz w:val="16"/>
          <w:szCs w:val="16"/>
        </w:rPr>
        <w:t xml:space="preserve"> может со всяким случиться. В следующий раз ты сделаешь все как надо!" Но мое сознание отказывается удовлетвориться этим простым заявлением. Оно ставит меня лицом к лицу с неопровержимым фактом: "Ты проиграл, потому что в момент боя ты думал о себе. Ты боялся за свою жизнь". И в этот момент я понимаю, что такое на самом деле быть солдатом" (11999).</w:t>
      </w:r>
      <w:r w:rsidRPr="00405303">
        <w:rPr>
          <w:bCs/>
          <w:color w:val="002060"/>
          <w:sz w:val="16"/>
          <w:szCs w:val="16"/>
        </w:rPr>
        <w:cr/>
      </w:r>
    </w:p>
    <w:p w14:paraId="69B61EE2" w14:textId="77777777" w:rsidR="00DB552F" w:rsidRPr="00405303" w:rsidRDefault="00DB552F" w:rsidP="00DB552F">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0ACBA6B6" w14:textId="77777777" w:rsidR="00DB552F" w:rsidRPr="00405303" w:rsidRDefault="00DB552F" w:rsidP="00DB552F">
      <w:pPr>
        <w:pStyle w:val="a3"/>
        <w:jc w:val="both"/>
        <w:rPr>
          <w:bCs/>
          <w:color w:val="002060"/>
          <w:spacing w:val="0"/>
          <w:kern w:val="0"/>
          <w:position w:val="0"/>
          <w:sz w:val="16"/>
          <w:szCs w:val="16"/>
        </w:rPr>
      </w:pPr>
    </w:p>
    <w:p w14:paraId="1666D363" w14:textId="77777777" w:rsidR="00272D59" w:rsidRPr="00B52707" w:rsidRDefault="00272D59" w:rsidP="00272D59">
      <w:pPr>
        <w:jc w:val="both"/>
        <w:rPr>
          <w:color w:val="0070C0"/>
          <w:sz w:val="16"/>
          <w:szCs w:val="16"/>
        </w:rPr>
      </w:pPr>
      <w:r w:rsidRPr="00B52707">
        <w:rPr>
          <w:color w:val="0070C0"/>
          <w:sz w:val="16"/>
          <w:szCs w:val="16"/>
        </w:rPr>
        <w:t>3 (16) декабря 1915 г., с учетом, что РБВЗ к концу года завершил постройку заказанных 32 воздушных кораблей, ГВТУ немедленно заключило с акционерным обществом контракт на следующие 30 «муромцев». Одновременно с постройкой «муромцев» общество получило заказы и на выпуск различного другого оборудования и имущества для ЭВК. Предполагалось, что РБВЗ будет выпускать до 10 «муромцев» в месяц для пополнения эскадры, фактически же он строил по 2</w:t>
      </w:r>
      <w:r w:rsidRPr="00B52707">
        <w:rPr>
          <w:color w:val="0070C0"/>
          <w:sz w:val="16"/>
          <w:szCs w:val="16"/>
        </w:rPr>
        <w:softHyphen/>
        <w:t>3 самолета. Поэтому к моменту Февральской революции 1917 г. в эскадре насчитывалось всего 30 самолетов и возможности ее были ограничены.</w:t>
      </w:r>
    </w:p>
    <w:p w14:paraId="01C83371" w14:textId="77777777" w:rsidR="00272D59" w:rsidRPr="00B52707" w:rsidRDefault="00272D59" w:rsidP="00272D59">
      <w:pPr>
        <w:jc w:val="both"/>
        <w:rPr>
          <w:color w:val="0070C0"/>
          <w:sz w:val="16"/>
          <w:szCs w:val="16"/>
        </w:rPr>
      </w:pPr>
      <w:r w:rsidRPr="00B52707">
        <w:rPr>
          <w:color w:val="0070C0"/>
          <w:sz w:val="16"/>
          <w:szCs w:val="16"/>
        </w:rPr>
        <w:t>В эскадре производилась сборка поступавших с завода машин, их ремонт, отрабатывалось вооружение, велось обучение пилотированию этих самолетов, выполнялись боевые полеты (24965).</w:t>
      </w:r>
    </w:p>
    <w:p w14:paraId="786A2B8C" w14:textId="77777777" w:rsidR="00272D59" w:rsidRPr="00B52707" w:rsidRDefault="00272D59" w:rsidP="00272D59">
      <w:pPr>
        <w:jc w:val="both"/>
        <w:rPr>
          <w:color w:val="0070C0"/>
          <w:sz w:val="16"/>
          <w:szCs w:val="16"/>
        </w:rPr>
      </w:pPr>
    </w:p>
    <w:p w14:paraId="59AB11D3" w14:textId="77777777" w:rsidR="00DB552F" w:rsidRPr="00B52707" w:rsidRDefault="00DB552F" w:rsidP="00DB552F">
      <w:pPr>
        <w:jc w:val="both"/>
        <w:rPr>
          <w:color w:val="0070C0"/>
          <w:sz w:val="16"/>
          <w:szCs w:val="16"/>
        </w:rPr>
      </w:pPr>
      <w:r w:rsidRPr="00B52707">
        <w:rPr>
          <w:color w:val="0070C0"/>
          <w:sz w:val="16"/>
          <w:szCs w:val="16"/>
        </w:rPr>
        <w:t>3 (16) декабря 1915 года в телеграмме генерал инспектору Военно-Воздушного флота сообщалось о результатах испытания на заводе Дукс синхронной установки Смыслова: при стрельбе через винт при полной работе мотора пулемет Максим давал 600 выстрелов в минуту, и все пули проходили мимо винта. Далее указывалось, что установка вполне надежная и пулемет можно устанавливать на аппаратах всех систем (25100).</w:t>
      </w:r>
    </w:p>
    <w:p w14:paraId="12D7B0E2" w14:textId="77777777" w:rsidR="00DB552F" w:rsidRPr="00B52707" w:rsidRDefault="00DB552F" w:rsidP="00DB552F">
      <w:pPr>
        <w:jc w:val="both"/>
        <w:rPr>
          <w:color w:val="0070C0"/>
          <w:sz w:val="16"/>
          <w:szCs w:val="16"/>
        </w:rPr>
      </w:pPr>
    </w:p>
    <w:p w14:paraId="4EDC426A" w14:textId="77777777"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72ECC195" w14:textId="77777777" w:rsidR="004B4E35" w:rsidRPr="00405303" w:rsidRDefault="004B4E35" w:rsidP="00C15251">
      <w:pPr>
        <w:pStyle w:val="a3"/>
        <w:jc w:val="both"/>
        <w:rPr>
          <w:bCs/>
          <w:color w:val="002060"/>
          <w:spacing w:val="0"/>
          <w:kern w:val="0"/>
          <w:position w:val="0"/>
          <w:sz w:val="16"/>
          <w:szCs w:val="16"/>
        </w:rPr>
      </w:pPr>
    </w:p>
    <w:p w14:paraId="7FCB729A" w14:textId="6106F6FD" w:rsidR="004B4E35" w:rsidRPr="00405303" w:rsidRDefault="009E6F82" w:rsidP="00C15251">
      <w:pPr>
        <w:shd w:val="clear" w:color="auto" w:fill="FFFFFF"/>
        <w:jc w:val="both"/>
        <w:rPr>
          <w:bCs/>
          <w:color w:val="002060"/>
          <w:sz w:val="16"/>
          <w:szCs w:val="16"/>
        </w:rPr>
      </w:pPr>
      <w:r w:rsidRPr="00405303">
        <w:rPr>
          <w:bCs/>
          <w:color w:val="002060"/>
          <w:sz w:val="16"/>
          <w:szCs w:val="16"/>
        </w:rPr>
        <w:t>4 (17) декабря 1915 г.</w:t>
      </w:r>
      <w:r w:rsidR="00660AC3" w:rsidRPr="00405303">
        <w:rPr>
          <w:bCs/>
          <w:color w:val="002060"/>
          <w:sz w:val="16"/>
          <w:szCs w:val="16"/>
        </w:rPr>
        <w:t xml:space="preserve"> был заключен оговебедевым</w:t>
      </w:r>
      <w:r w:rsidRPr="00405303">
        <w:rPr>
          <w:bCs/>
          <w:color w:val="002060"/>
          <w:sz w:val="16"/>
          <w:szCs w:val="16"/>
        </w:rPr>
        <w:t xml:space="preserve">, предписывая завершить работу в течение 20 дней и испытать самолет за счет флота и силами кого-нибудь из морских летчиков. </w:t>
      </w:r>
      <w:r w:rsidR="00660AC3" w:rsidRPr="00405303">
        <w:rPr>
          <w:bCs/>
          <w:color w:val="002060"/>
          <w:sz w:val="16"/>
          <w:szCs w:val="16"/>
        </w:rPr>
        <w:t>17 ноября компания послала в МГШ официальное предложение своих услуг в деле со</w:t>
      </w:r>
      <w:r w:rsidR="00660AC3" w:rsidRPr="00405303">
        <w:rPr>
          <w:bCs/>
          <w:color w:val="002060"/>
          <w:sz w:val="16"/>
          <w:szCs w:val="16"/>
        </w:rPr>
        <w:softHyphen/>
        <w:t>здания летающей лодки Г.А. Фриде. Письмо гласило, что фирма готова дать своего инже</w:t>
      </w:r>
      <w:r w:rsidR="00660AC3" w:rsidRPr="00405303">
        <w:rPr>
          <w:bCs/>
          <w:color w:val="002060"/>
          <w:sz w:val="16"/>
          <w:szCs w:val="16"/>
        </w:rPr>
        <w:softHyphen/>
        <w:t xml:space="preserve">нера для ведения проекта, ожидая от Морского ведомства предоставления мотора; сборка же аэроплана оценивалась в 11.000 руб. </w:t>
      </w:r>
      <w:r w:rsidRPr="00405303">
        <w:rPr>
          <w:bCs/>
          <w:color w:val="002060"/>
          <w:sz w:val="16"/>
          <w:szCs w:val="16"/>
        </w:rPr>
        <w:t>Как это часто случалось, завод не смог выпол</w:t>
      </w:r>
      <w:r w:rsidRPr="00405303">
        <w:rPr>
          <w:bCs/>
          <w:color w:val="002060"/>
          <w:sz w:val="16"/>
          <w:szCs w:val="16"/>
        </w:rPr>
        <w:softHyphen/>
        <w:t>нить задание в срок и 9 декабря Лебедеву пришлось донести о том, что некоторая задержка неизбежна, т.к. "тип еще не оформился", в чертежи вносились изменения, а уже изготов</w:t>
      </w:r>
      <w:r w:rsidRPr="00405303">
        <w:rPr>
          <w:bCs/>
          <w:color w:val="002060"/>
          <w:sz w:val="16"/>
          <w:szCs w:val="16"/>
        </w:rPr>
        <w:softHyphen/>
        <w:t>ленные части неоднократно приходилось заменять новыми. 27 декабря МГШ продлил срок сдачи на два месяца, благо спешить особенно было некуда по причине зимы (2843).</w:t>
      </w:r>
    </w:p>
    <w:p w14:paraId="3AF8795A" w14:textId="77777777" w:rsidR="004B4E35" w:rsidRPr="00405303" w:rsidRDefault="004B4E35" w:rsidP="00C15251">
      <w:pPr>
        <w:shd w:val="clear" w:color="auto" w:fill="FFFFFF"/>
        <w:jc w:val="both"/>
        <w:rPr>
          <w:bCs/>
          <w:color w:val="002060"/>
          <w:sz w:val="16"/>
          <w:szCs w:val="16"/>
        </w:rPr>
      </w:pPr>
    </w:p>
    <w:p w14:paraId="6ADFFDCB" w14:textId="152FA583" w:rsidR="007672F7" w:rsidRPr="00405303" w:rsidRDefault="007672F7" w:rsidP="00C15251">
      <w:pPr>
        <w:pStyle w:val="a3"/>
        <w:jc w:val="both"/>
        <w:rPr>
          <w:bCs/>
          <w:color w:val="002060"/>
          <w:spacing w:val="0"/>
          <w:kern w:val="0"/>
          <w:position w:val="0"/>
          <w:sz w:val="16"/>
          <w:szCs w:val="16"/>
        </w:rPr>
      </w:pPr>
      <w:r w:rsidRPr="00405303">
        <w:rPr>
          <w:bCs/>
          <w:color w:val="002060"/>
          <w:spacing w:val="0"/>
          <w:kern w:val="0"/>
          <w:position w:val="0"/>
          <w:sz w:val="16"/>
          <w:szCs w:val="16"/>
        </w:rPr>
        <w:t>Другие оборонные отрасли:</w:t>
      </w:r>
    </w:p>
    <w:p w14:paraId="2E183987" w14:textId="77777777" w:rsidR="007672F7" w:rsidRPr="00405303" w:rsidRDefault="007672F7" w:rsidP="00C15251">
      <w:pPr>
        <w:pStyle w:val="a3"/>
        <w:jc w:val="both"/>
        <w:rPr>
          <w:bCs/>
          <w:color w:val="002060"/>
          <w:spacing w:val="0"/>
          <w:kern w:val="0"/>
          <w:position w:val="0"/>
          <w:sz w:val="16"/>
          <w:szCs w:val="16"/>
        </w:rPr>
      </w:pPr>
    </w:p>
    <w:p w14:paraId="6692C094" w14:textId="77777777" w:rsidR="007672F7" w:rsidRPr="00405303" w:rsidRDefault="007672F7" w:rsidP="00C15251">
      <w:pPr>
        <w:shd w:val="clear" w:color="auto" w:fill="FFFFFF"/>
        <w:jc w:val="both"/>
        <w:rPr>
          <w:bCs/>
          <w:color w:val="002060"/>
          <w:sz w:val="16"/>
          <w:szCs w:val="16"/>
        </w:rPr>
      </w:pPr>
      <w:r w:rsidRPr="00405303">
        <w:rPr>
          <w:bCs/>
          <w:color w:val="002060"/>
          <w:sz w:val="16"/>
          <w:szCs w:val="16"/>
        </w:rPr>
        <w:lastRenderedPageBreak/>
        <w:t>4 (17) декабря 1915 г. подготовительная комиссия по артиллерийским вопросам распределила заказ на 1 млн. упрощенного типа взрывателя, получивший наименование «трубка образца 1915 года» между товариществом «Феникс», торговым домом С.Н. Николаева, акционерным обществом (АО) «Сименс и Гальске» и Петроградским комитетом средней и мелкой промышленности [Журнал № 26 ПКАВ. Заседание 4 декабря 1915 г. / Архив ВИМАИВиВС. Ф. 13. Оп. 87/2. Д. 24. Л. 7. ] (20236).</w:t>
      </w:r>
    </w:p>
    <w:p w14:paraId="26F2EC9F" w14:textId="77777777" w:rsidR="007672F7" w:rsidRPr="00405303" w:rsidRDefault="007672F7" w:rsidP="00C15251">
      <w:pPr>
        <w:jc w:val="both"/>
        <w:rPr>
          <w:bCs/>
          <w:color w:val="002060"/>
          <w:sz w:val="16"/>
          <w:szCs w:val="16"/>
          <w:shd w:val="clear" w:color="auto" w:fill="FFFFFF"/>
        </w:rPr>
      </w:pPr>
    </w:p>
    <w:p w14:paraId="64F0BF4B" w14:textId="77777777" w:rsidR="007672F7" w:rsidRPr="00405303" w:rsidRDefault="007672F7" w:rsidP="00C15251">
      <w:pPr>
        <w:jc w:val="both"/>
        <w:rPr>
          <w:bCs/>
          <w:i/>
          <w:color w:val="002060"/>
          <w:sz w:val="16"/>
          <w:szCs w:val="16"/>
        </w:rPr>
      </w:pPr>
      <w:r w:rsidRPr="00405303">
        <w:rPr>
          <w:bCs/>
          <w:i/>
          <w:color w:val="002060"/>
          <w:sz w:val="16"/>
          <w:szCs w:val="16"/>
        </w:rPr>
        <w:t>Авиация и воздухоплавание Англии:</w:t>
      </w:r>
    </w:p>
    <w:p w14:paraId="02E78C12" w14:textId="77777777" w:rsidR="007672F7" w:rsidRPr="00405303" w:rsidRDefault="007672F7" w:rsidP="00C15251">
      <w:pPr>
        <w:jc w:val="both"/>
        <w:rPr>
          <w:bCs/>
          <w:i/>
          <w:color w:val="002060"/>
          <w:sz w:val="16"/>
          <w:szCs w:val="16"/>
        </w:rPr>
      </w:pPr>
    </w:p>
    <w:p w14:paraId="57006CF2" w14:textId="77777777" w:rsidR="007672F7" w:rsidRPr="00405303" w:rsidRDefault="007672F7" w:rsidP="00C15251">
      <w:pPr>
        <w:jc w:val="both"/>
        <w:rPr>
          <w:bCs/>
          <w:color w:val="002060"/>
          <w:sz w:val="16"/>
          <w:szCs w:val="16"/>
        </w:rPr>
      </w:pPr>
      <w:r w:rsidRPr="00405303">
        <w:rPr>
          <w:bCs/>
          <w:color w:val="002060"/>
          <w:sz w:val="16"/>
          <w:szCs w:val="16"/>
        </w:rPr>
        <w:t xml:space="preserve">4 (17) декабря 1915 первый полет </w:t>
      </w:r>
      <w:r w:rsidRPr="00405303">
        <w:rPr>
          <w:bCs/>
          <w:color w:val="002060"/>
          <w:sz w:val="16"/>
          <w:szCs w:val="16"/>
          <w:lang w:val="en-US"/>
        </w:rPr>
        <w:t>Handley</w:t>
      </w:r>
      <w:r w:rsidRPr="00405303">
        <w:rPr>
          <w:bCs/>
          <w:color w:val="002060"/>
          <w:sz w:val="16"/>
          <w:szCs w:val="16"/>
        </w:rPr>
        <w:t xml:space="preserve"> </w:t>
      </w:r>
      <w:r w:rsidRPr="00405303">
        <w:rPr>
          <w:bCs/>
          <w:color w:val="002060"/>
          <w:sz w:val="16"/>
          <w:szCs w:val="16"/>
          <w:lang w:val="en-US"/>
        </w:rPr>
        <w:t>Page</w:t>
      </w:r>
      <w:r w:rsidRPr="00405303">
        <w:rPr>
          <w:bCs/>
          <w:color w:val="002060"/>
          <w:sz w:val="16"/>
          <w:szCs w:val="16"/>
        </w:rPr>
        <w:t xml:space="preserve"> </w:t>
      </w:r>
      <w:r w:rsidRPr="00405303">
        <w:rPr>
          <w:bCs/>
          <w:color w:val="002060"/>
          <w:sz w:val="16"/>
          <w:szCs w:val="16"/>
          <w:lang w:val="en-US"/>
        </w:rPr>
        <w:t>O</w:t>
      </w:r>
      <w:r w:rsidRPr="00405303">
        <w:rPr>
          <w:bCs/>
          <w:color w:val="002060"/>
          <w:sz w:val="16"/>
          <w:szCs w:val="16"/>
        </w:rPr>
        <w:t xml:space="preserve"> / 400 с двигателями </w:t>
      </w:r>
      <w:r w:rsidRPr="00405303">
        <w:rPr>
          <w:bCs/>
          <w:color w:val="002060"/>
          <w:sz w:val="16"/>
          <w:szCs w:val="16"/>
          <w:lang w:val="en-US"/>
        </w:rPr>
        <w:t>Rolls</w:t>
      </w:r>
      <w:r w:rsidRPr="00405303">
        <w:rPr>
          <w:bCs/>
          <w:color w:val="002060"/>
          <w:sz w:val="16"/>
          <w:szCs w:val="16"/>
        </w:rPr>
        <w:t>-</w:t>
      </w:r>
      <w:r w:rsidRPr="00405303">
        <w:rPr>
          <w:bCs/>
          <w:color w:val="002060"/>
          <w:sz w:val="16"/>
          <w:szCs w:val="16"/>
          <w:lang w:val="en-US"/>
        </w:rPr>
        <w:t>Royce</w:t>
      </w:r>
      <w:r w:rsidRPr="00405303">
        <w:rPr>
          <w:bCs/>
          <w:color w:val="002060"/>
          <w:sz w:val="16"/>
          <w:szCs w:val="16"/>
        </w:rPr>
        <w:t xml:space="preserve"> </w:t>
      </w:r>
      <w:r w:rsidRPr="00405303">
        <w:rPr>
          <w:bCs/>
          <w:color w:val="002060"/>
          <w:sz w:val="16"/>
          <w:szCs w:val="16"/>
          <w:lang w:val="en-US"/>
        </w:rPr>
        <w:t>Eagle</w:t>
      </w:r>
      <w:r w:rsidRPr="00405303">
        <w:rPr>
          <w:bCs/>
          <w:color w:val="002060"/>
          <w:sz w:val="16"/>
          <w:szCs w:val="16"/>
        </w:rPr>
        <w:t xml:space="preserve">, первый полет авиадвигателя, построенного </w:t>
      </w:r>
      <w:r w:rsidRPr="00405303">
        <w:rPr>
          <w:bCs/>
          <w:color w:val="002060"/>
          <w:sz w:val="16"/>
          <w:szCs w:val="16"/>
          <w:lang w:val="en-US"/>
        </w:rPr>
        <w:t>Rolls</w:t>
      </w:r>
      <w:r w:rsidRPr="00405303">
        <w:rPr>
          <w:bCs/>
          <w:color w:val="002060"/>
          <w:sz w:val="16"/>
          <w:szCs w:val="16"/>
        </w:rPr>
        <w:t>-</w:t>
      </w:r>
      <w:r w:rsidRPr="00405303">
        <w:rPr>
          <w:bCs/>
          <w:color w:val="002060"/>
          <w:sz w:val="16"/>
          <w:szCs w:val="16"/>
          <w:lang w:val="en-US"/>
        </w:rPr>
        <w:t>Royce</w:t>
      </w:r>
      <w:r w:rsidRPr="00405303">
        <w:rPr>
          <w:bCs/>
          <w:color w:val="002060"/>
          <w:sz w:val="16"/>
          <w:szCs w:val="16"/>
        </w:rPr>
        <w:t xml:space="preserve"> </w:t>
      </w:r>
      <w:r w:rsidRPr="00405303">
        <w:rPr>
          <w:bCs/>
          <w:color w:val="002060"/>
          <w:sz w:val="16"/>
          <w:szCs w:val="16"/>
          <w:lang w:val="en-US"/>
        </w:rPr>
        <w:t>Limited</w:t>
      </w:r>
      <w:r w:rsidRPr="00405303">
        <w:rPr>
          <w:bCs/>
          <w:color w:val="002060"/>
          <w:sz w:val="16"/>
          <w:szCs w:val="16"/>
        </w:rPr>
        <w:t xml:space="preserve"> (20338).</w:t>
      </w:r>
    </w:p>
    <w:p w14:paraId="46605149" w14:textId="77777777" w:rsidR="007672F7" w:rsidRPr="00405303" w:rsidRDefault="007672F7" w:rsidP="00C15251">
      <w:pPr>
        <w:jc w:val="both"/>
        <w:rPr>
          <w:bCs/>
          <w:color w:val="002060"/>
          <w:sz w:val="16"/>
          <w:szCs w:val="16"/>
        </w:rPr>
      </w:pPr>
    </w:p>
    <w:p w14:paraId="781B4165" w14:textId="505E2276" w:rsidR="007672F7" w:rsidRPr="00405303" w:rsidRDefault="007672F7" w:rsidP="00C15251">
      <w:pPr>
        <w:jc w:val="both"/>
        <w:rPr>
          <w:bCs/>
          <w:color w:val="002060"/>
          <w:sz w:val="16"/>
          <w:szCs w:val="16"/>
        </w:rPr>
      </w:pPr>
      <w:r w:rsidRPr="00405303">
        <w:rPr>
          <w:bCs/>
          <w:color w:val="002060"/>
          <w:sz w:val="16"/>
          <w:szCs w:val="16"/>
        </w:rPr>
        <w:t>4 (17) декабря 1915</w:t>
      </w:r>
      <w:r w:rsidR="00DB4D64" w:rsidRPr="00405303">
        <w:rPr>
          <w:bCs/>
          <w:color w:val="002060"/>
          <w:sz w:val="16"/>
          <w:szCs w:val="16"/>
        </w:rPr>
        <w:t xml:space="preserve"> </w:t>
      </w:r>
      <w:r w:rsidR="00660AC3" w:rsidRPr="00405303">
        <w:rPr>
          <w:bCs/>
          <w:color w:val="002060"/>
          <w:sz w:val="16"/>
          <w:szCs w:val="16"/>
        </w:rPr>
        <w:t>состоялся п</w:t>
      </w:r>
      <w:r w:rsidRPr="00405303">
        <w:rPr>
          <w:bCs/>
          <w:color w:val="002060"/>
          <w:sz w:val="16"/>
          <w:szCs w:val="16"/>
        </w:rPr>
        <w:t>ервый полет Handley Page Type O.</w:t>
      </w:r>
    </w:p>
    <w:p w14:paraId="48A8C4C4" w14:textId="77777777" w:rsidR="007672F7" w:rsidRPr="00405303" w:rsidRDefault="007672F7" w:rsidP="00C15251">
      <w:pPr>
        <w:jc w:val="both"/>
        <w:rPr>
          <w:bCs/>
          <w:color w:val="002060"/>
          <w:sz w:val="16"/>
          <w:szCs w:val="16"/>
        </w:rPr>
      </w:pPr>
      <w:r w:rsidRPr="00405303">
        <w:rPr>
          <w:bCs/>
          <w:color w:val="002060"/>
          <w:sz w:val="16"/>
          <w:szCs w:val="16"/>
        </w:rPr>
        <w:t>Handley Page Type O был бомбардировщиком, который использовался Великобританией во время Первой мировой войны. На момент постройки Type O был самым большим самолетом, построенным в Великобритании, и одним из крупнейших в мире. Существовало два основных варианта: Handley Page O / 100 (H.P.11) и Handley Page O / 400 (H.P.12).</w:t>
      </w:r>
    </w:p>
    <w:p w14:paraId="0D915D76" w14:textId="77777777" w:rsidR="007672F7" w:rsidRPr="00405303" w:rsidRDefault="007672F7" w:rsidP="00C15251">
      <w:pPr>
        <w:jc w:val="both"/>
        <w:rPr>
          <w:bCs/>
          <w:color w:val="002060"/>
          <w:sz w:val="16"/>
          <w:szCs w:val="16"/>
        </w:rPr>
      </w:pPr>
      <w:r w:rsidRPr="00405303">
        <w:rPr>
          <w:bCs/>
          <w:color w:val="002060"/>
          <w:sz w:val="16"/>
          <w:szCs w:val="16"/>
        </w:rPr>
        <w:t>Самолет использовался во Франции для тактических ночных атак по целям в оккупированной немцами Франции и Бельгии и для стратегической бомбардировки промышленных и транспортных целей в Рейнской области. Некоторые самолеты были временно переведены на противолодочную разведку и бомбардировки в устье Тисы в 1917 году, а два самолета летали в восточной части Средиземного моря. Впечатление от Type O было таким, что в течение многих лет после войны любой крупный самолет в Британии назывался «Handley Page» (22700).</w:t>
      </w:r>
    </w:p>
    <w:p w14:paraId="1CBB2B92" w14:textId="77777777" w:rsidR="007672F7" w:rsidRPr="00405303" w:rsidRDefault="007672F7" w:rsidP="00C15251">
      <w:pPr>
        <w:pStyle w:val="article-renderblock"/>
        <w:shd w:val="clear" w:color="auto" w:fill="FFFFFF"/>
        <w:spacing w:before="0" w:beforeAutospacing="0" w:after="0" w:afterAutospacing="0"/>
        <w:jc w:val="both"/>
        <w:rPr>
          <w:bCs/>
          <w:color w:val="002060"/>
          <w:sz w:val="16"/>
          <w:szCs w:val="16"/>
        </w:rPr>
      </w:pPr>
    </w:p>
    <w:p w14:paraId="695451D3"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62D40D94" w14:textId="77777777" w:rsidR="004B4E35" w:rsidRPr="00405303" w:rsidRDefault="004B4E35" w:rsidP="00C15251">
      <w:pPr>
        <w:shd w:val="clear" w:color="auto" w:fill="FFFFFF"/>
        <w:jc w:val="both"/>
        <w:rPr>
          <w:bCs/>
          <w:i/>
          <w:color w:val="002060"/>
          <w:sz w:val="16"/>
          <w:szCs w:val="16"/>
        </w:rPr>
      </w:pPr>
    </w:p>
    <w:p w14:paraId="7C19BF41" w14:textId="280EF529" w:rsidR="004B4E35" w:rsidRPr="00405303" w:rsidRDefault="00660AC3" w:rsidP="00C15251">
      <w:pPr>
        <w:shd w:val="clear" w:color="auto" w:fill="FFFFFF"/>
        <w:jc w:val="both"/>
        <w:rPr>
          <w:bCs/>
          <w:color w:val="002060"/>
          <w:sz w:val="16"/>
          <w:szCs w:val="16"/>
        </w:rPr>
      </w:pPr>
      <w:r w:rsidRPr="00405303">
        <w:rPr>
          <w:bCs/>
          <w:color w:val="002060"/>
          <w:sz w:val="16"/>
          <w:szCs w:val="16"/>
        </w:rPr>
        <w:t xml:space="preserve">5 (18) </w:t>
      </w:r>
      <w:r w:rsidR="009E6F82" w:rsidRPr="00405303">
        <w:rPr>
          <w:bCs/>
          <w:color w:val="002060"/>
          <w:sz w:val="16"/>
          <w:szCs w:val="16"/>
        </w:rPr>
        <w:t>декабря 1915</w:t>
      </w:r>
      <w:r w:rsidRPr="00405303">
        <w:rPr>
          <w:bCs/>
          <w:color w:val="002060"/>
          <w:sz w:val="16"/>
          <w:szCs w:val="16"/>
        </w:rPr>
        <w:t xml:space="preserve"> </w:t>
      </w:r>
      <w:r w:rsidR="009E6F82" w:rsidRPr="00405303">
        <w:rPr>
          <w:bCs/>
          <w:color w:val="002060"/>
          <w:sz w:val="16"/>
          <w:szCs w:val="16"/>
        </w:rPr>
        <w:t>г. электротехник Южного района Службы связи Балтийского моря лейтенант Престин закончил рапорт об испытаниях французской станции «Рузе» (иначе «Рузэ», КоигеС), установленной на аппарате «Щетинин № 1», тип которого, к сожалению, не поддается определению: была ли это чудесным образом отремонтированная и сохранившаяся летающая лодка М-1 или какая-нибудь из ее более поздних «сестер». Как бы там ни было, район действия 32-килограммового и весьма компактного 0,5-кВт передатчика при полете на высоте 700 м с выпущенной 50-метровой антенной составил более 50 миль, что явилось поводом для признания станции весьма под</w:t>
      </w:r>
      <w:r w:rsidR="009E6F82" w:rsidRPr="00405303">
        <w:rPr>
          <w:bCs/>
          <w:color w:val="002060"/>
          <w:sz w:val="16"/>
          <w:szCs w:val="16"/>
        </w:rPr>
        <w:softHyphen/>
        <w:t>ходящей. Одновременно опробованию подвергся передатчик Русского общества беспроволочных теле</w:t>
      </w:r>
      <w:r w:rsidR="009E6F82" w:rsidRPr="00405303">
        <w:rPr>
          <w:bCs/>
          <w:color w:val="002060"/>
          <w:sz w:val="16"/>
          <w:szCs w:val="16"/>
        </w:rPr>
        <w:softHyphen/>
        <w:t>графов и телефонов (РОБТиТ), весивший 16 кг. Легкость оказалась единственным достоинством агрега</w:t>
      </w:r>
      <w:r w:rsidR="009E6F82" w:rsidRPr="00405303">
        <w:rPr>
          <w:bCs/>
          <w:color w:val="002060"/>
          <w:sz w:val="16"/>
          <w:szCs w:val="16"/>
        </w:rPr>
        <w:softHyphen/>
        <w:t>та, так как его дальность действия не превышала 15 миль, он не имел настройки, а тон его искры был хриплым и не чистым. Другой, 0,3-кВт передатчик той же отечественной фирмы работал очень плохо, его едва слышали уже на расстоянии 6-7 миль (2807).</w:t>
      </w:r>
    </w:p>
    <w:p w14:paraId="02CB0E50" w14:textId="77777777" w:rsidR="004B4E35" w:rsidRPr="00405303" w:rsidRDefault="004B4E35" w:rsidP="00C15251">
      <w:pPr>
        <w:jc w:val="both"/>
        <w:rPr>
          <w:bCs/>
          <w:color w:val="002060"/>
          <w:sz w:val="16"/>
          <w:szCs w:val="16"/>
        </w:rPr>
      </w:pPr>
    </w:p>
    <w:p w14:paraId="0FE144CF" w14:textId="77777777" w:rsidR="00272D59" w:rsidRPr="00B52707" w:rsidRDefault="00272D59" w:rsidP="00272D59">
      <w:pPr>
        <w:jc w:val="both"/>
        <w:rPr>
          <w:color w:val="0070C0"/>
          <w:sz w:val="16"/>
          <w:szCs w:val="16"/>
        </w:rPr>
      </w:pPr>
      <w:r w:rsidRPr="00B52707">
        <w:rPr>
          <w:color w:val="0070C0"/>
          <w:sz w:val="16"/>
          <w:szCs w:val="16"/>
        </w:rPr>
        <w:t>5 (18) декабря 1916 г. в России на гидроаэродроме Бакинской офицерской морской школы авиации предпринят четвертый испытательный полет второго опытного образца «гидроистребителя Энгельса», построенного «Петроградской аэропланной фабрикой Ф. Мельцнера». Как и предыдущие, выполнял его сам конструктор машины гвардии штабс-капитан Е.Р. Энгельс. Взлетел он легко, плавно набрал высоту 600 м, но дальше по свидетельствам очевидцев и выводам комиссии «…В воздухе сломался задний лонжерон правого крыла по отверстиям облегчения в его стенках. Произошел обрыв заднего верхнего троса перекашивания, который в полете провисал, вибрировал и затем намотался на винт». После этого машина перешла в крутое пикирование и столкнулась с водой. Обломки гидросамолета удалось выловить сразу, но тело пилота обнаружили лишь через полторы недели усиленных поисков. Официальная комиссия, расследовавшая катастрофу, пришла к заключению, что главной причиной катастрофы «была поломка заднего коробчатого лонжерона» из-за того, что «крепление плоскостей к раме… недостаточно». Комиссия решила, что изобретатель отдал предпочтение легкости конструкции в ущерб прочности и к принятию на вооружение она не пригодна. Владелец завода – изготовителя этого аэроплана Ф. Мельцнер тяжело переживал гибель Энгельса и неудачу проекта, но не терял надежды на его продолжение хотя бы и без самого Энгельса. Мельцнер оспорил выводы комиссии, опираясь на то, что корпус лодки остался совершенно не поврежденным, но она этого и не утверждала, указывая лишь на слабость крепления крыла. А оно было одним из ключевых решений всего проекта. В то же время очевидцы катастрофы летчики-инструкторы БОМША поручик B.Л. Кербер (в советское время известный авиаконструктор) и прапорщик В.Д. Кирсанов уверяли, что дело тут в диверсии, а машина не виновата (25669).</w:t>
      </w:r>
    </w:p>
    <w:p w14:paraId="50196AA7" w14:textId="77777777" w:rsidR="00272D59" w:rsidRPr="00B52707" w:rsidRDefault="00272D59" w:rsidP="00272D59">
      <w:pPr>
        <w:jc w:val="both"/>
        <w:rPr>
          <w:color w:val="0070C0"/>
          <w:sz w:val="16"/>
          <w:szCs w:val="16"/>
        </w:rPr>
      </w:pPr>
    </w:p>
    <w:p w14:paraId="2D3DE196" w14:textId="10D6485D" w:rsidR="00D56BEA" w:rsidRPr="00405303" w:rsidRDefault="00D56BEA" w:rsidP="00D56BEA">
      <w:pPr>
        <w:jc w:val="both"/>
        <w:rPr>
          <w:bCs/>
          <w:i/>
          <w:color w:val="002060"/>
          <w:sz w:val="16"/>
          <w:szCs w:val="16"/>
        </w:rPr>
      </w:pPr>
      <w:r w:rsidRPr="00405303">
        <w:rPr>
          <w:bCs/>
          <w:i/>
          <w:color w:val="002060"/>
          <w:sz w:val="16"/>
          <w:szCs w:val="16"/>
        </w:rPr>
        <w:t>А</w:t>
      </w:r>
      <w:r>
        <w:rPr>
          <w:bCs/>
          <w:i/>
          <w:color w:val="002060"/>
          <w:sz w:val="16"/>
          <w:szCs w:val="16"/>
        </w:rPr>
        <w:t>виация</w:t>
      </w:r>
      <w:r w:rsidRPr="00405303">
        <w:rPr>
          <w:bCs/>
          <w:i/>
          <w:color w:val="002060"/>
          <w:sz w:val="16"/>
          <w:szCs w:val="16"/>
        </w:rPr>
        <w:t>:</w:t>
      </w:r>
    </w:p>
    <w:p w14:paraId="3A03F861" w14:textId="77777777" w:rsidR="00D56BEA" w:rsidRPr="00405303" w:rsidRDefault="00D56BEA" w:rsidP="00D56BEA">
      <w:pPr>
        <w:jc w:val="both"/>
        <w:rPr>
          <w:bCs/>
          <w:i/>
          <w:color w:val="002060"/>
          <w:sz w:val="16"/>
          <w:szCs w:val="16"/>
        </w:rPr>
      </w:pPr>
    </w:p>
    <w:p w14:paraId="00CAF957" w14:textId="77777777" w:rsidR="00D56BEA" w:rsidRPr="00B52707" w:rsidRDefault="00D56BEA" w:rsidP="00D56BEA">
      <w:pPr>
        <w:jc w:val="both"/>
        <w:rPr>
          <w:color w:val="0070C0"/>
          <w:sz w:val="16"/>
          <w:szCs w:val="16"/>
        </w:rPr>
      </w:pPr>
      <w:r w:rsidRPr="00B52707">
        <w:rPr>
          <w:color w:val="0070C0"/>
          <w:sz w:val="16"/>
          <w:szCs w:val="16"/>
        </w:rPr>
        <w:t>С 5 (18) декабря 1915 г. начинается фор</w:t>
      </w:r>
      <w:r w:rsidRPr="00B52707">
        <w:rPr>
          <w:color w:val="0070C0"/>
          <w:sz w:val="16"/>
          <w:szCs w:val="16"/>
        </w:rPr>
        <w:softHyphen/>
        <w:t>мирование 1-8 армейских авиационных отрядов. Таким образом, пошло становле</w:t>
      </w:r>
      <w:r w:rsidRPr="00B52707">
        <w:rPr>
          <w:color w:val="0070C0"/>
          <w:sz w:val="16"/>
          <w:szCs w:val="16"/>
        </w:rPr>
        <w:softHyphen/>
        <w:t>ние армейской авиации. Эти авиаотряды по штату имели 8 лётчиков, 4 наблюдате</w:t>
      </w:r>
      <w:r w:rsidRPr="00B52707">
        <w:rPr>
          <w:color w:val="0070C0"/>
          <w:sz w:val="16"/>
          <w:szCs w:val="16"/>
        </w:rPr>
        <w:softHyphen/>
        <w:t>ля. Вооружены были 6-ю самолетами типа «Voisin LAS», каждый. Эту модель само</w:t>
      </w:r>
      <w:r w:rsidRPr="00B52707">
        <w:rPr>
          <w:color w:val="0070C0"/>
          <w:sz w:val="16"/>
          <w:szCs w:val="16"/>
        </w:rPr>
        <w:softHyphen/>
        <w:t>лёта специально выбрали для этих авиао</w:t>
      </w:r>
      <w:r w:rsidRPr="00B52707">
        <w:rPr>
          <w:color w:val="0070C0"/>
          <w:sz w:val="16"/>
          <w:szCs w:val="16"/>
        </w:rPr>
        <w:softHyphen/>
        <w:t>трядов как наиболее приемлемую (24962).</w:t>
      </w:r>
    </w:p>
    <w:p w14:paraId="05CC1D54" w14:textId="77777777" w:rsidR="00D56BEA" w:rsidRPr="00B52707" w:rsidRDefault="00D56BEA" w:rsidP="00D56BEA">
      <w:pPr>
        <w:jc w:val="both"/>
        <w:rPr>
          <w:color w:val="0070C0"/>
          <w:sz w:val="16"/>
          <w:szCs w:val="16"/>
        </w:rPr>
      </w:pPr>
    </w:p>
    <w:p w14:paraId="42F0C38B" w14:textId="77777777" w:rsidR="00077547" w:rsidRPr="00405303" w:rsidRDefault="00077547" w:rsidP="00C15251">
      <w:pPr>
        <w:jc w:val="both"/>
        <w:rPr>
          <w:bCs/>
          <w:i/>
          <w:color w:val="002060"/>
          <w:sz w:val="16"/>
          <w:szCs w:val="16"/>
        </w:rPr>
      </w:pPr>
      <w:r w:rsidRPr="00405303">
        <w:rPr>
          <w:bCs/>
          <w:i/>
          <w:color w:val="002060"/>
          <w:sz w:val="16"/>
          <w:szCs w:val="16"/>
        </w:rPr>
        <w:t>Авиация и воздухоплавание Англии:</w:t>
      </w:r>
    </w:p>
    <w:p w14:paraId="298A72FB" w14:textId="77777777" w:rsidR="00077547" w:rsidRPr="00405303" w:rsidRDefault="00077547" w:rsidP="00C15251">
      <w:pPr>
        <w:jc w:val="both"/>
        <w:rPr>
          <w:bCs/>
          <w:i/>
          <w:color w:val="002060"/>
          <w:sz w:val="16"/>
          <w:szCs w:val="16"/>
        </w:rPr>
      </w:pPr>
    </w:p>
    <w:p w14:paraId="3F69DC9A" w14:textId="3C02B576" w:rsidR="00077547" w:rsidRPr="00405303" w:rsidRDefault="00077547" w:rsidP="00C15251">
      <w:pPr>
        <w:jc w:val="both"/>
        <w:rPr>
          <w:bCs/>
          <w:color w:val="002060"/>
          <w:sz w:val="16"/>
          <w:szCs w:val="16"/>
        </w:rPr>
      </w:pPr>
      <w:r w:rsidRPr="00405303">
        <w:rPr>
          <w:rStyle w:val="ucoz-forum-post"/>
          <w:bCs/>
          <w:color w:val="002060"/>
          <w:sz w:val="16"/>
          <w:szCs w:val="16"/>
        </w:rPr>
        <w:t xml:space="preserve">5 (18) декабря </w:t>
      </w:r>
      <w:r w:rsidRPr="00405303">
        <w:rPr>
          <w:bCs/>
          <w:color w:val="002060"/>
          <w:sz w:val="16"/>
          <w:szCs w:val="16"/>
        </w:rPr>
        <w:t xml:space="preserve">в 1915 году </w:t>
      </w:r>
      <w:r w:rsidR="00660AC3" w:rsidRPr="00405303">
        <w:rPr>
          <w:bCs/>
          <w:color w:val="002060"/>
          <w:sz w:val="16"/>
          <w:szCs w:val="16"/>
        </w:rPr>
        <w:t xml:space="preserve">состоялся </w:t>
      </w:r>
      <w:r w:rsidRPr="00405303">
        <w:rPr>
          <w:bCs/>
          <w:color w:val="002060"/>
          <w:sz w:val="16"/>
          <w:szCs w:val="16"/>
        </w:rPr>
        <w:t>первый полёт бомбардировщика «Handley Page» «Type O». Позднее название сменили на «0/100», где 100 - размах крыла в футах. В ходе испытаний были выявлены различные недостатки. Была разработана новая версия самолёта. Кабина пилотов стала открытой. Уменьшилось бронирование, были установлены новые радиаторы. Следующие испытания состоялись в апреле 1916 г. В мае 1916 «0/100» поднялся на высоту 7000 футов (2135 м) с 20 служащими компании «Handley Page» на борту. В августе 1916 г. была создана эскадрилья «Handley Page». Первую бомбардировку эскадрилья совершила во Франции в ночь с 16 на 17 марта 1917 г. по германскому железнодорожному узлу.</w:t>
      </w:r>
    </w:p>
    <w:p w14:paraId="5B40DC7B" w14:textId="77777777" w:rsidR="00077547" w:rsidRPr="00405303" w:rsidRDefault="00077547" w:rsidP="00C15251">
      <w:pPr>
        <w:jc w:val="both"/>
        <w:rPr>
          <w:bCs/>
          <w:color w:val="002060"/>
          <w:sz w:val="16"/>
          <w:szCs w:val="16"/>
        </w:rPr>
      </w:pPr>
      <w:r w:rsidRPr="00405303">
        <w:rPr>
          <w:bCs/>
          <w:color w:val="002060"/>
          <w:sz w:val="16"/>
          <w:szCs w:val="16"/>
        </w:rPr>
        <w:t>Всего было произведено 46 экземпляров «0/100» (14864).</w:t>
      </w:r>
    </w:p>
    <w:p w14:paraId="62574109" w14:textId="77777777" w:rsidR="00077547" w:rsidRPr="00405303" w:rsidRDefault="00077547" w:rsidP="00C15251">
      <w:pPr>
        <w:jc w:val="both"/>
        <w:rPr>
          <w:bCs/>
          <w:color w:val="002060"/>
          <w:sz w:val="16"/>
          <w:szCs w:val="16"/>
        </w:rPr>
      </w:pPr>
    </w:p>
    <w:p w14:paraId="4866D4C1" w14:textId="77777777" w:rsidR="00077547" w:rsidRPr="00405303" w:rsidRDefault="00077547" w:rsidP="00C15251">
      <w:pPr>
        <w:jc w:val="both"/>
        <w:rPr>
          <w:bCs/>
          <w:i/>
          <w:color w:val="002060"/>
          <w:sz w:val="16"/>
          <w:szCs w:val="16"/>
        </w:rPr>
      </w:pPr>
      <w:r w:rsidRPr="00405303">
        <w:rPr>
          <w:bCs/>
          <w:i/>
          <w:color w:val="002060"/>
          <w:sz w:val="16"/>
          <w:szCs w:val="16"/>
        </w:rPr>
        <w:t>За рубежом:</w:t>
      </w:r>
    </w:p>
    <w:p w14:paraId="2BFCCBD4" w14:textId="77777777" w:rsidR="00077547" w:rsidRPr="00405303" w:rsidRDefault="00077547" w:rsidP="00C15251">
      <w:pPr>
        <w:jc w:val="both"/>
        <w:rPr>
          <w:bCs/>
          <w:color w:val="002060"/>
          <w:sz w:val="16"/>
          <w:szCs w:val="16"/>
        </w:rPr>
      </w:pPr>
    </w:p>
    <w:p w14:paraId="1C244415" w14:textId="77777777" w:rsidR="00077547" w:rsidRPr="00405303" w:rsidRDefault="00077547" w:rsidP="00C15251">
      <w:pPr>
        <w:jc w:val="both"/>
        <w:rPr>
          <w:bCs/>
          <w:color w:val="002060"/>
          <w:sz w:val="16"/>
          <w:szCs w:val="16"/>
        </w:rPr>
      </w:pPr>
      <w:r w:rsidRPr="00405303">
        <w:rPr>
          <w:rStyle w:val="ucoz-forum-post"/>
          <w:bCs/>
          <w:color w:val="002060"/>
          <w:sz w:val="16"/>
          <w:szCs w:val="16"/>
        </w:rPr>
        <w:t xml:space="preserve">5 (18) декабря </w:t>
      </w:r>
      <w:r w:rsidRPr="00405303">
        <w:rPr>
          <w:bCs/>
          <w:color w:val="002060"/>
          <w:sz w:val="16"/>
          <w:szCs w:val="16"/>
        </w:rPr>
        <w:t>в 1915 году союзники начали первый этап эвакуации своих войск с Галлипольского полуострова</w:t>
      </w:r>
    </w:p>
    <w:p w14:paraId="365498B8" w14:textId="1FE4C016" w:rsidR="00077547" w:rsidRPr="00405303" w:rsidRDefault="00077547" w:rsidP="00C15251">
      <w:pPr>
        <w:jc w:val="both"/>
        <w:rPr>
          <w:bCs/>
          <w:color w:val="002060"/>
          <w:sz w:val="16"/>
          <w:szCs w:val="16"/>
        </w:rPr>
      </w:pPr>
    </w:p>
    <w:p w14:paraId="348C135C" w14:textId="1F41AB27" w:rsidR="00B36F73" w:rsidRPr="00405303" w:rsidRDefault="00B36F73" w:rsidP="00C15251">
      <w:pPr>
        <w:jc w:val="both"/>
        <w:rPr>
          <w:bCs/>
          <w:i/>
          <w:color w:val="002060"/>
          <w:sz w:val="16"/>
          <w:szCs w:val="16"/>
        </w:rPr>
      </w:pPr>
      <w:r w:rsidRPr="00405303">
        <w:rPr>
          <w:bCs/>
          <w:i/>
          <w:color w:val="002060"/>
          <w:sz w:val="16"/>
          <w:szCs w:val="16"/>
        </w:rPr>
        <w:t>Армия:</w:t>
      </w:r>
    </w:p>
    <w:p w14:paraId="3E8DF9D1" w14:textId="77777777" w:rsidR="00B36F73" w:rsidRPr="00405303" w:rsidRDefault="00B36F73" w:rsidP="00C15251">
      <w:pPr>
        <w:jc w:val="both"/>
        <w:rPr>
          <w:bCs/>
          <w:i/>
          <w:color w:val="002060"/>
          <w:sz w:val="16"/>
          <w:szCs w:val="16"/>
        </w:rPr>
      </w:pPr>
    </w:p>
    <w:p w14:paraId="67B5A40F" w14:textId="14039CF5" w:rsidR="00B36F73" w:rsidRPr="00405303" w:rsidRDefault="00B36F73" w:rsidP="00C15251">
      <w:pPr>
        <w:jc w:val="both"/>
        <w:rPr>
          <w:bCs/>
          <w:color w:val="002060"/>
          <w:sz w:val="16"/>
          <w:szCs w:val="16"/>
        </w:rPr>
      </w:pPr>
      <w:r w:rsidRPr="00405303">
        <w:rPr>
          <w:bCs/>
          <w:color w:val="002060"/>
          <w:sz w:val="16"/>
          <w:szCs w:val="16"/>
          <w:lang w:bidi="en-US"/>
        </w:rPr>
        <w:t>6 (19) декабря 1915 г. царь назначил великого князя Александра Михайловича полным адмиралом (23525).</w:t>
      </w:r>
    </w:p>
    <w:p w14:paraId="3E63CB2F" w14:textId="77777777" w:rsidR="00B36F73" w:rsidRPr="00405303" w:rsidRDefault="00B36F73" w:rsidP="00C15251">
      <w:pPr>
        <w:jc w:val="both"/>
        <w:rPr>
          <w:bCs/>
          <w:color w:val="002060"/>
          <w:sz w:val="16"/>
          <w:szCs w:val="16"/>
        </w:rPr>
      </w:pPr>
    </w:p>
    <w:p w14:paraId="6673A26F" w14:textId="7CCF7A26" w:rsidR="00CF0ECF" w:rsidRPr="00405303" w:rsidRDefault="00CF0ECF" w:rsidP="00C15251">
      <w:pPr>
        <w:jc w:val="both"/>
        <w:rPr>
          <w:bCs/>
          <w:i/>
          <w:color w:val="002060"/>
          <w:sz w:val="16"/>
          <w:szCs w:val="16"/>
        </w:rPr>
      </w:pPr>
      <w:r w:rsidRPr="00405303">
        <w:rPr>
          <w:bCs/>
          <w:i/>
          <w:color w:val="002060"/>
          <w:sz w:val="16"/>
          <w:szCs w:val="16"/>
        </w:rPr>
        <w:t>За рубежом:</w:t>
      </w:r>
    </w:p>
    <w:p w14:paraId="7D2B631F" w14:textId="77777777" w:rsidR="00CF0ECF" w:rsidRPr="00405303" w:rsidRDefault="00CF0ECF" w:rsidP="00C15251">
      <w:pPr>
        <w:jc w:val="both"/>
        <w:rPr>
          <w:bCs/>
          <w:color w:val="002060"/>
          <w:sz w:val="16"/>
          <w:szCs w:val="16"/>
        </w:rPr>
      </w:pPr>
    </w:p>
    <w:p w14:paraId="5060CEF2" w14:textId="77777777" w:rsidR="00660AC3" w:rsidRPr="00405303" w:rsidRDefault="00660AC3" w:rsidP="00C15251">
      <w:pPr>
        <w:jc w:val="both"/>
        <w:rPr>
          <w:bCs/>
          <w:color w:val="002060"/>
          <w:sz w:val="16"/>
          <w:szCs w:val="16"/>
        </w:rPr>
      </w:pPr>
      <w:r w:rsidRPr="00405303">
        <w:rPr>
          <w:bCs/>
          <w:color w:val="002060"/>
          <w:sz w:val="16"/>
          <w:szCs w:val="16"/>
        </w:rPr>
        <w:t xml:space="preserve">7 (20) декабря 1915 г. Этьен посетил Луи Рено в Париже, но его компания была завалена военными контрактами, и новый проект не вызвал энтузиазма. После этого Этьен обратился в фирму «Шнейдер», встретившись с инженером Э. Брилье, который уже разрабатывал ранее проект гусеничной штурмовой машины на шасси трактора Baby Holt. Этьен и Брилье прекрасно дополнили друг друга. Один имел глубокое понимание вопроса, боевой опыт и связи в военных кругах, другой — технические знания для проектирования транспортного средства и глубокие знания производства. Посильную помощь также оказали главный инженер фабрики </w:t>
      </w:r>
      <w:r w:rsidRPr="00405303">
        <w:rPr>
          <w:bCs/>
          <w:color w:val="002060"/>
          <w:sz w:val="16"/>
          <w:szCs w:val="16"/>
        </w:rPr>
        <w:lastRenderedPageBreak/>
        <w:t>«Шнейдер» Делуаль и директор Курвиль. В результате буквально в течение нескольких дней команда создала конструкцию, которая годилась для массового производства (22820).</w:t>
      </w:r>
    </w:p>
    <w:p w14:paraId="2CEFF81A" w14:textId="77777777" w:rsidR="00660AC3" w:rsidRPr="00405303" w:rsidRDefault="00660AC3" w:rsidP="00C15251">
      <w:pPr>
        <w:jc w:val="both"/>
        <w:rPr>
          <w:rStyle w:val="42"/>
          <w:rFonts w:ascii="Times New Roman" w:hAnsi="Times New Roman" w:cs="Times New Roman"/>
          <w:bCs/>
          <w:color w:val="002060"/>
          <w:w w:val="100"/>
          <w:sz w:val="16"/>
          <w:szCs w:val="16"/>
        </w:rPr>
      </w:pPr>
    </w:p>
    <w:p w14:paraId="0486A48F" w14:textId="77777777" w:rsidR="00CF0ECF" w:rsidRPr="00405303" w:rsidRDefault="00CF0ECF" w:rsidP="00C15251">
      <w:pPr>
        <w:jc w:val="both"/>
        <w:rPr>
          <w:bCs/>
          <w:color w:val="002060"/>
          <w:sz w:val="16"/>
          <w:szCs w:val="16"/>
        </w:rPr>
      </w:pPr>
      <w:r w:rsidRPr="00405303">
        <w:rPr>
          <w:bCs/>
          <w:color w:val="002060"/>
          <w:sz w:val="16"/>
          <w:szCs w:val="16"/>
        </w:rPr>
        <w:t>7 (20) декабря в 1915 году (2 января 1916) АНЗАК (Австралийский и Новозеландский армейский корпус) с британскими войсками эвакуируются с Галлиполи, после того, как их экспедиция против турков прошла неудачно (14866).</w:t>
      </w:r>
    </w:p>
    <w:p w14:paraId="3C63C503" w14:textId="77777777" w:rsidR="00CF0ECF" w:rsidRPr="00405303" w:rsidRDefault="00CF0ECF" w:rsidP="00C15251">
      <w:pPr>
        <w:jc w:val="both"/>
        <w:rPr>
          <w:bCs/>
          <w:color w:val="002060"/>
          <w:sz w:val="16"/>
          <w:szCs w:val="16"/>
        </w:rPr>
      </w:pPr>
    </w:p>
    <w:p w14:paraId="5A89CD5E"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739881B6" w14:textId="77777777" w:rsidR="004B4E35" w:rsidRPr="00405303" w:rsidRDefault="004B4E35" w:rsidP="00C15251">
      <w:pPr>
        <w:shd w:val="clear" w:color="auto" w:fill="FFFFFF"/>
        <w:jc w:val="both"/>
        <w:rPr>
          <w:bCs/>
          <w:i/>
          <w:color w:val="002060"/>
          <w:sz w:val="16"/>
          <w:szCs w:val="16"/>
        </w:rPr>
      </w:pPr>
    </w:p>
    <w:p w14:paraId="3CB518E8" w14:textId="298F1C09"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В начале декабря </w:t>
      </w:r>
      <w:r w:rsidR="00660AC3" w:rsidRPr="00405303">
        <w:rPr>
          <w:bCs/>
          <w:color w:val="002060"/>
          <w:sz w:val="16"/>
          <w:szCs w:val="16"/>
        </w:rPr>
        <w:t xml:space="preserve">1915 г. радиотелеграфные станции </w:t>
      </w:r>
      <w:r w:rsidRPr="00405303">
        <w:rPr>
          <w:bCs/>
          <w:color w:val="002060"/>
          <w:sz w:val="16"/>
          <w:szCs w:val="16"/>
        </w:rPr>
        <w:t xml:space="preserve">стояли на аппаратах </w:t>
      </w:r>
      <w:r w:rsidR="00660AC3" w:rsidRPr="00405303">
        <w:rPr>
          <w:bCs/>
          <w:color w:val="002060"/>
          <w:sz w:val="16"/>
          <w:szCs w:val="16"/>
        </w:rPr>
        <w:t xml:space="preserve">М-5 </w:t>
      </w:r>
      <w:r w:rsidRPr="00405303">
        <w:rPr>
          <w:bCs/>
          <w:color w:val="002060"/>
          <w:sz w:val="16"/>
          <w:szCs w:val="16"/>
        </w:rPr>
        <w:t>с номерами 34, 36, 44 и 47 и более того, предлагалось оснастить ими еще 6 крылатых машин. Любопытно, что такой план выдвинули несмотря на то, что на «пятерках» разрядник радиотелеграфа помещался недалеко от бензинового крана, создавая угрозу по</w:t>
      </w:r>
      <w:r w:rsidRPr="00405303">
        <w:rPr>
          <w:bCs/>
          <w:color w:val="002060"/>
          <w:sz w:val="16"/>
          <w:szCs w:val="16"/>
        </w:rPr>
        <w:softHyphen/>
        <w:t>жара. Можно заключить, что пилоты понимали нужность этой новой техники — новой, но не совершен</w:t>
      </w:r>
      <w:r w:rsidRPr="00405303">
        <w:rPr>
          <w:bCs/>
          <w:color w:val="002060"/>
          <w:sz w:val="16"/>
          <w:szCs w:val="16"/>
        </w:rPr>
        <w:softHyphen/>
        <w:t>ной. Неизвестно, однако, на каких именно передатчиках они работали в то время. Возможно, что это были станции конструкции Радиотелеграфной мастерской Севастопольского порта с дальностью дей</w:t>
      </w:r>
      <w:r w:rsidRPr="00405303">
        <w:rPr>
          <w:bCs/>
          <w:color w:val="002060"/>
          <w:sz w:val="16"/>
          <w:szCs w:val="16"/>
        </w:rPr>
        <w:softHyphen/>
        <w:t>ствия до 50 миль. Двадцать девятого января 1916г. экипаж летающей лодки М-5, номер 32, испытал радиотелеграф в деле в ходе разведки турецкого лагеря в районе Вице. Спущенный с борта гидрокрейсе</w:t>
      </w:r>
      <w:r w:rsidRPr="00405303">
        <w:rPr>
          <w:bCs/>
          <w:color w:val="002060"/>
          <w:sz w:val="16"/>
          <w:szCs w:val="16"/>
        </w:rPr>
        <w:softHyphen/>
        <w:t>ра «Алмаз» в Батумской гавани, самолет успешно поддерживал связь с кораблем, находясь от него на удалении до 45 км и двигаясь на высоте 1,5-2 тыс. м, порой над горной местностью (2807).</w:t>
      </w:r>
    </w:p>
    <w:p w14:paraId="0A894471" w14:textId="77777777" w:rsidR="004B4E35" w:rsidRPr="00405303" w:rsidRDefault="004B4E35" w:rsidP="00C15251">
      <w:pPr>
        <w:shd w:val="clear" w:color="auto" w:fill="FFFFFF"/>
        <w:jc w:val="both"/>
        <w:rPr>
          <w:bCs/>
          <w:color w:val="002060"/>
          <w:sz w:val="16"/>
          <w:szCs w:val="16"/>
        </w:rPr>
      </w:pPr>
    </w:p>
    <w:p w14:paraId="4F135374" w14:textId="54AD74FD" w:rsidR="004B4E35" w:rsidRPr="00405303" w:rsidRDefault="00660AC3"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начале декабря 1915 г.</w:t>
      </w:r>
      <w:r w:rsidRPr="00405303">
        <w:rPr>
          <w:bCs/>
          <w:color w:val="002060"/>
          <w:sz w:val="16"/>
          <w:szCs w:val="16"/>
        </w:rPr>
        <w:t xml:space="preserve"> было заключено соглашение между предпринимателем Эбергардом и изобретателем</w:t>
      </w:r>
      <w:r w:rsidR="009E6F82" w:rsidRPr="00405303">
        <w:rPr>
          <w:bCs/>
          <w:color w:val="002060"/>
          <w:sz w:val="16"/>
          <w:szCs w:val="16"/>
        </w:rPr>
        <w:t xml:space="preserve"> </w:t>
      </w:r>
      <w:r w:rsidRPr="00405303">
        <w:rPr>
          <w:bCs/>
          <w:color w:val="002060"/>
          <w:sz w:val="16"/>
          <w:szCs w:val="16"/>
        </w:rPr>
        <w:t xml:space="preserve">Виллиша с В.А. Лебедевым </w:t>
      </w:r>
      <w:r w:rsidR="009E6F82" w:rsidRPr="00405303">
        <w:rPr>
          <w:bCs/>
          <w:color w:val="002060"/>
          <w:sz w:val="16"/>
          <w:szCs w:val="16"/>
        </w:rPr>
        <w:t>и гидроаэроплан ВМ-1 доставили на Комендантский аэродром. 14 декабря Лебедев информировал МГШ о том, что новая лодка может быть построена уже вскоре и за 13.000 руб. 16 декабря коман</w:t>
      </w:r>
      <w:r w:rsidR="009E6F82" w:rsidRPr="00405303">
        <w:rPr>
          <w:bCs/>
          <w:color w:val="002060"/>
          <w:sz w:val="16"/>
          <w:szCs w:val="16"/>
        </w:rPr>
        <w:softHyphen/>
        <w:t>диру Петроградского порта поручили послать производителю официальный заказ, что и бы</w:t>
      </w:r>
      <w:r w:rsidR="009E6F82" w:rsidRPr="00405303">
        <w:rPr>
          <w:bCs/>
          <w:color w:val="002060"/>
          <w:sz w:val="16"/>
          <w:szCs w:val="16"/>
        </w:rPr>
        <w:softHyphen/>
        <w:t>ло исполнено 23 (или 29 по другому источнику). Фирма обязалась выполнить все необхо</w:t>
      </w:r>
      <w:r w:rsidR="009E6F82" w:rsidRPr="00405303">
        <w:rPr>
          <w:bCs/>
          <w:color w:val="002060"/>
          <w:sz w:val="16"/>
          <w:szCs w:val="16"/>
        </w:rPr>
        <w:softHyphen/>
        <w:t>димые чертежи и изготовить самолет в течение трех месяцев, Морское же ведомство бралось доставить мотор и провести все испытания (2843).</w:t>
      </w:r>
    </w:p>
    <w:p w14:paraId="33757005" w14:textId="77777777" w:rsidR="004B4E35" w:rsidRPr="00405303" w:rsidRDefault="004B4E35" w:rsidP="00C15251">
      <w:pPr>
        <w:shd w:val="clear" w:color="auto" w:fill="FFFFFF"/>
        <w:jc w:val="both"/>
        <w:rPr>
          <w:bCs/>
          <w:color w:val="002060"/>
          <w:sz w:val="16"/>
          <w:szCs w:val="16"/>
        </w:rPr>
      </w:pPr>
    </w:p>
    <w:p w14:paraId="3B57325A"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1B338BED" w14:textId="77777777" w:rsidR="004B4E35" w:rsidRPr="00405303" w:rsidRDefault="004B4E35" w:rsidP="00C15251">
      <w:pPr>
        <w:shd w:val="clear" w:color="auto" w:fill="FFFFFF"/>
        <w:jc w:val="both"/>
        <w:rPr>
          <w:bCs/>
          <w:i/>
          <w:color w:val="002060"/>
          <w:sz w:val="16"/>
          <w:szCs w:val="16"/>
        </w:rPr>
      </w:pPr>
    </w:p>
    <w:p w14:paraId="238BC5C9" w14:textId="55AC83CD" w:rsidR="004B4E35" w:rsidRPr="00405303" w:rsidRDefault="009E6F82" w:rsidP="00C15251">
      <w:pPr>
        <w:jc w:val="both"/>
        <w:rPr>
          <w:bCs/>
          <w:color w:val="002060"/>
          <w:sz w:val="16"/>
          <w:szCs w:val="16"/>
        </w:rPr>
      </w:pPr>
      <w:r w:rsidRPr="00405303">
        <w:rPr>
          <w:bCs/>
          <w:color w:val="002060"/>
          <w:sz w:val="16"/>
          <w:szCs w:val="16"/>
        </w:rPr>
        <w:t>7 (</w:t>
      </w:r>
      <w:r w:rsidR="00BD100F" w:rsidRPr="00405303">
        <w:rPr>
          <w:bCs/>
          <w:color w:val="002060"/>
          <w:sz w:val="16"/>
          <w:szCs w:val="16"/>
        </w:rPr>
        <w:t>20</w:t>
      </w:r>
      <w:r w:rsidRPr="00405303">
        <w:rPr>
          <w:bCs/>
          <w:color w:val="002060"/>
          <w:sz w:val="16"/>
          <w:szCs w:val="16"/>
        </w:rPr>
        <w:t xml:space="preserve">) декабря 1915 г. </w:t>
      </w:r>
      <w:r w:rsidR="00660AC3" w:rsidRPr="00405303">
        <w:rPr>
          <w:bCs/>
          <w:color w:val="002060"/>
          <w:sz w:val="16"/>
          <w:szCs w:val="16"/>
        </w:rPr>
        <w:t xml:space="preserve">В справке о кредитах из военного фонда указано, что </w:t>
      </w:r>
      <w:r w:rsidRPr="00405303">
        <w:rPr>
          <w:bCs/>
          <w:color w:val="002060"/>
          <w:sz w:val="16"/>
          <w:szCs w:val="16"/>
        </w:rPr>
        <w:t>Исполнительная комиссия при военном министре ассигновала 90 тыс. руб. на устройство «двух заводов азотной кислоты при нитрационных мастерских в гг. Екатеринодаре и Грозном». «Переустройство нитрационной мастерской в Грозном в Тротиловый завод», на что 7 октября 1916 г. было отпущено 960 тыс. руб., продолжалось до августа 1917 г. (РГВИА. Ф. 531. Оп. 1. Д. 29. Л. 113—115) (11329).</w:t>
      </w:r>
    </w:p>
    <w:p w14:paraId="442F7CD2" w14:textId="77777777" w:rsidR="004B4E35" w:rsidRPr="00405303" w:rsidRDefault="004B4E35" w:rsidP="00C15251">
      <w:pPr>
        <w:shd w:val="clear" w:color="auto" w:fill="FFFFFF"/>
        <w:jc w:val="both"/>
        <w:rPr>
          <w:bCs/>
          <w:i/>
          <w:color w:val="002060"/>
          <w:sz w:val="16"/>
          <w:szCs w:val="16"/>
        </w:rPr>
      </w:pPr>
    </w:p>
    <w:p w14:paraId="689FD2F5" w14:textId="5C648020" w:rsidR="00531363" w:rsidRPr="00405303" w:rsidRDefault="00531363" w:rsidP="00C15251">
      <w:pPr>
        <w:shd w:val="clear" w:color="auto" w:fill="FFFFFF"/>
        <w:jc w:val="both"/>
        <w:rPr>
          <w:bCs/>
          <w:i/>
          <w:color w:val="002060"/>
          <w:sz w:val="16"/>
          <w:szCs w:val="16"/>
        </w:rPr>
      </w:pPr>
      <w:r w:rsidRPr="00405303">
        <w:rPr>
          <w:bCs/>
          <w:i/>
          <w:color w:val="002060"/>
          <w:sz w:val="16"/>
          <w:szCs w:val="16"/>
        </w:rPr>
        <w:t>Авиация:</w:t>
      </w:r>
    </w:p>
    <w:p w14:paraId="2A61D324" w14:textId="77777777" w:rsidR="00531363" w:rsidRPr="00405303" w:rsidRDefault="00531363" w:rsidP="00C15251">
      <w:pPr>
        <w:shd w:val="clear" w:color="auto" w:fill="FFFFFF"/>
        <w:jc w:val="both"/>
        <w:rPr>
          <w:bCs/>
          <w:i/>
          <w:color w:val="002060"/>
          <w:sz w:val="16"/>
          <w:szCs w:val="16"/>
        </w:rPr>
      </w:pPr>
    </w:p>
    <w:p w14:paraId="05EDD3CA" w14:textId="782D2583" w:rsidR="00531363" w:rsidRPr="00405303" w:rsidRDefault="00531363" w:rsidP="00C15251">
      <w:pPr>
        <w:jc w:val="both"/>
        <w:rPr>
          <w:bCs/>
          <w:color w:val="002060"/>
          <w:sz w:val="16"/>
          <w:szCs w:val="16"/>
        </w:rPr>
      </w:pPr>
      <w:r w:rsidRPr="00405303">
        <w:rPr>
          <w:bCs/>
          <w:color w:val="002060"/>
          <w:sz w:val="16"/>
          <w:szCs w:val="16"/>
        </w:rPr>
        <w:t>7 (20) декабря 1915 г. в районе местечка Крево (южнее р. Вилия) ружейным огнем был сбит германский летательный аппарат, а его экипаж пленен. В то же время артиллерийским огнем с наших морских судов был поврежден немецкий гидроаэроплан. Позднее его вместе с экипажем подобрал один из немецких кораблей. Через день в результате стрельбы нашей тяжелой артиллерии оказался подбитым германский змейковый аэростат, проводивший воздушную разведку в районе г. Мерцендорф. Воздушный шар загорелся в воздухе, упал и взорвался (23405).</w:t>
      </w:r>
    </w:p>
    <w:p w14:paraId="0FE29958" w14:textId="77777777" w:rsidR="00531363" w:rsidRPr="00405303" w:rsidRDefault="00531363" w:rsidP="00C15251">
      <w:pPr>
        <w:jc w:val="both"/>
        <w:rPr>
          <w:bCs/>
          <w:color w:val="002060"/>
          <w:sz w:val="16"/>
          <w:szCs w:val="16"/>
        </w:rPr>
      </w:pPr>
    </w:p>
    <w:p w14:paraId="59291686" w14:textId="77777777" w:rsidR="007A3724" w:rsidRPr="00B52707" w:rsidRDefault="007A3724" w:rsidP="007A3724">
      <w:pPr>
        <w:jc w:val="both"/>
        <w:rPr>
          <w:color w:val="0070C0"/>
          <w:sz w:val="16"/>
          <w:szCs w:val="16"/>
        </w:rPr>
      </w:pPr>
      <w:r w:rsidRPr="00B52707">
        <w:rPr>
          <w:rStyle w:val="aa"/>
          <w:rFonts w:ascii="Times New Roman" w:hAnsi="Times New Roman"/>
          <w:color w:val="0070C0"/>
          <w:spacing w:val="0"/>
          <w:sz w:val="16"/>
          <w:szCs w:val="16"/>
        </w:rPr>
        <w:t xml:space="preserve">7 (20) декабря 1915 г. первый же полет воздушного корабля </w:t>
      </w:r>
      <w:r w:rsidRPr="00B52707">
        <w:rPr>
          <w:rStyle w:val="aa"/>
          <w:rFonts w:ascii="Times New Roman" w:hAnsi="Times New Roman"/>
          <w:color w:val="0070C0"/>
          <w:spacing w:val="0"/>
          <w:sz w:val="16"/>
          <w:szCs w:val="16"/>
          <w:lang w:val="en-US"/>
        </w:rPr>
        <w:t>LZ</w:t>
      </w:r>
      <w:r w:rsidRPr="00B52707">
        <w:rPr>
          <w:rStyle w:val="aa"/>
          <w:rFonts w:ascii="Times New Roman" w:hAnsi="Times New Roman"/>
          <w:color w:val="0070C0"/>
          <w:spacing w:val="0"/>
          <w:sz w:val="16"/>
          <w:szCs w:val="16"/>
        </w:rPr>
        <w:t>-39</w:t>
      </w:r>
      <w:proofErr w:type="gramStart"/>
      <w:r w:rsidRPr="00B52707">
        <w:rPr>
          <w:rStyle w:val="aa"/>
          <w:rFonts w:ascii="Times New Roman" w:hAnsi="Times New Roman"/>
          <w:color w:val="0070C0"/>
          <w:spacing w:val="0"/>
          <w:sz w:val="16"/>
          <w:szCs w:val="16"/>
        </w:rPr>
        <w:t>, ,</w:t>
      </w:r>
      <w:proofErr w:type="gramEnd"/>
      <w:r w:rsidRPr="00B52707">
        <w:rPr>
          <w:rStyle w:val="aa"/>
          <w:rFonts w:ascii="Times New Roman" w:hAnsi="Times New Roman"/>
          <w:color w:val="0070C0"/>
          <w:spacing w:val="0"/>
          <w:sz w:val="16"/>
          <w:szCs w:val="16"/>
        </w:rPr>
        <w:t xml:space="preserve"> вследствие плохой погоды почти два месяца находившийся без боевой работы, стал для него последним. В ходе бомбардировки г. Ровно он подвергся сильному зенитному обстрелу. Находившийся на высоте 2,2 км дирижабль получил множество повреждений. В результате осколочных пробоин воздушное судно потеряло много газа из задних отсеков. Кроме того, у него оборвалась, видимо поврежденная обстрелом, передняя моторная гондола. Экипаж </w:t>
      </w:r>
      <w:r w:rsidRPr="00B52707">
        <w:rPr>
          <w:rStyle w:val="aa"/>
          <w:rFonts w:ascii="Times New Roman" w:hAnsi="Times New Roman"/>
          <w:color w:val="0070C0"/>
          <w:spacing w:val="0"/>
          <w:sz w:val="16"/>
          <w:szCs w:val="16"/>
          <w:lang w:val="en-US"/>
        </w:rPr>
        <w:t>LZ</w:t>
      </w:r>
      <w:r w:rsidRPr="00B52707">
        <w:rPr>
          <w:rStyle w:val="aa"/>
          <w:rFonts w:ascii="Times New Roman" w:hAnsi="Times New Roman"/>
          <w:color w:val="0070C0"/>
          <w:spacing w:val="0"/>
          <w:sz w:val="16"/>
          <w:szCs w:val="16"/>
        </w:rPr>
        <w:t xml:space="preserve">-39 сумел вывести свой корабль из-под огня и совершить вынужденную посадку в районе ст. Лык. Ввиду того что не было возможности провести на месте ремонт дирижабля, он был разоружен. Вместо него с франко-германского фронта вновь прибыл цеппелин </w:t>
      </w:r>
      <w:r w:rsidRPr="00B52707">
        <w:rPr>
          <w:rStyle w:val="aa"/>
          <w:rFonts w:ascii="Times New Roman" w:hAnsi="Times New Roman"/>
          <w:color w:val="0070C0"/>
          <w:spacing w:val="0"/>
          <w:sz w:val="16"/>
          <w:szCs w:val="16"/>
          <w:lang w:val="en-US"/>
        </w:rPr>
        <w:t>LZ</w:t>
      </w:r>
      <w:r w:rsidRPr="00B52707">
        <w:rPr>
          <w:rStyle w:val="aa"/>
          <w:rFonts w:ascii="Times New Roman" w:hAnsi="Times New Roman"/>
          <w:color w:val="0070C0"/>
          <w:spacing w:val="0"/>
          <w:sz w:val="16"/>
          <w:szCs w:val="16"/>
        </w:rPr>
        <w:t>-</w:t>
      </w:r>
      <w:r w:rsidRPr="00B52707">
        <w:rPr>
          <w:rStyle w:val="aa"/>
          <w:rFonts w:ascii="Times New Roman" w:hAnsi="Times New Roman"/>
          <w:color w:val="0070C0"/>
          <w:spacing w:val="0"/>
          <w:sz w:val="16"/>
          <w:szCs w:val="16"/>
          <w:lang w:val="en-US"/>
        </w:rPr>
        <w:t>XII</w:t>
      </w:r>
      <w:r w:rsidRPr="00B52707">
        <w:rPr>
          <w:rStyle w:val="aa"/>
          <w:rFonts w:ascii="Times New Roman" w:hAnsi="Times New Roman"/>
          <w:color w:val="0070C0"/>
          <w:spacing w:val="0"/>
          <w:sz w:val="16"/>
          <w:szCs w:val="16"/>
        </w:rPr>
        <w:t>, который только недавно покинул Восточноевропейский театр войны. Но из-за значительной удаленности воздушной базы от линии фронта в течение последующего года ему всего лишь четыре раза удалось долететь до расположения русских войск. Один из его налетов был совершен на железнодорожные станции Столбцы и Лунинец (25135).</w:t>
      </w:r>
    </w:p>
    <w:p w14:paraId="185203D3" w14:textId="77777777" w:rsidR="007A3724" w:rsidRPr="00B52707" w:rsidRDefault="007A3724" w:rsidP="007A3724">
      <w:pPr>
        <w:jc w:val="both"/>
        <w:rPr>
          <w:color w:val="0070C0"/>
          <w:sz w:val="16"/>
          <w:szCs w:val="16"/>
        </w:rPr>
      </w:pPr>
    </w:p>
    <w:p w14:paraId="6CD46518" w14:textId="566CE389"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2B373DA2" w14:textId="77777777" w:rsidR="004B4E35" w:rsidRPr="00405303" w:rsidRDefault="004B4E35" w:rsidP="00C15251">
      <w:pPr>
        <w:shd w:val="clear" w:color="auto" w:fill="FFFFFF"/>
        <w:jc w:val="both"/>
        <w:rPr>
          <w:bCs/>
          <w:i/>
          <w:color w:val="002060"/>
          <w:sz w:val="16"/>
          <w:szCs w:val="16"/>
        </w:rPr>
      </w:pPr>
    </w:p>
    <w:p w14:paraId="62FCD965" w14:textId="77777777" w:rsidR="00D56BEA" w:rsidRPr="00B52707" w:rsidRDefault="00D56BEA" w:rsidP="00D56BEA">
      <w:pPr>
        <w:jc w:val="both"/>
        <w:rPr>
          <w:color w:val="0070C0"/>
          <w:sz w:val="16"/>
          <w:szCs w:val="16"/>
        </w:rPr>
      </w:pPr>
      <w:r w:rsidRPr="00B52707">
        <w:rPr>
          <w:color w:val="0070C0"/>
          <w:sz w:val="16"/>
          <w:szCs w:val="16"/>
        </w:rPr>
        <w:t>8 (21) декабря 1915 г. (3 января 1916 г.) ураган, обрушившийся на Зегевольд, вывел из строя корабль VI и учебный биплан «Сикорский-16», повредил «муромец» IX, который после этого был отремонтирован и перечислен в разряд учебных кораблей. В результате ЭВК в январе - феврале имела лишь единственный боеспособный «муромец» - корабль 11-й командира Панкратьева, который совершил за это время 4 боевых полета, сбросив 90 пудов бомб (24965).</w:t>
      </w:r>
    </w:p>
    <w:p w14:paraId="192CD235" w14:textId="77777777" w:rsidR="00D56BEA" w:rsidRPr="00B52707" w:rsidRDefault="00D56BEA" w:rsidP="00D56BEA">
      <w:pPr>
        <w:jc w:val="both"/>
        <w:rPr>
          <w:color w:val="0070C0"/>
          <w:sz w:val="16"/>
          <w:szCs w:val="16"/>
        </w:rPr>
      </w:pPr>
    </w:p>
    <w:p w14:paraId="014449B2" w14:textId="54532675" w:rsidR="009719B0" w:rsidRPr="00405303" w:rsidRDefault="009719B0" w:rsidP="00C15251">
      <w:pPr>
        <w:pStyle w:val="2"/>
        <w:spacing w:before="0" w:after="0"/>
        <w:jc w:val="both"/>
        <w:rPr>
          <w:b w:val="0"/>
          <w:bCs/>
          <w:color w:val="002060"/>
          <w:sz w:val="16"/>
          <w:szCs w:val="16"/>
        </w:rPr>
      </w:pPr>
      <w:r w:rsidRPr="00405303">
        <w:rPr>
          <w:b w:val="0"/>
          <w:bCs/>
          <w:color w:val="002060"/>
          <w:sz w:val="16"/>
          <w:szCs w:val="16"/>
        </w:rPr>
        <w:t xml:space="preserve">8 </w:t>
      </w:r>
      <w:r w:rsidR="00BD100F" w:rsidRPr="00405303">
        <w:rPr>
          <w:b w:val="0"/>
          <w:bCs/>
          <w:color w:val="002060"/>
          <w:sz w:val="16"/>
          <w:szCs w:val="16"/>
        </w:rPr>
        <w:t xml:space="preserve">(21) </w:t>
      </w:r>
      <w:r w:rsidRPr="00405303">
        <w:rPr>
          <w:b w:val="0"/>
          <w:bCs/>
          <w:color w:val="002060"/>
          <w:sz w:val="16"/>
          <w:szCs w:val="16"/>
        </w:rPr>
        <w:t xml:space="preserve">декабря 1915 г. Технический отдел ГБТУ заключили контракт </w:t>
      </w:r>
      <w:r w:rsidR="00BD100F" w:rsidRPr="00405303">
        <w:rPr>
          <w:b w:val="0"/>
          <w:bCs/>
          <w:color w:val="002060"/>
          <w:sz w:val="16"/>
          <w:szCs w:val="16"/>
        </w:rPr>
        <w:t xml:space="preserve">с «Дуксом» </w:t>
      </w:r>
      <w:r w:rsidRPr="00405303">
        <w:rPr>
          <w:b w:val="0"/>
          <w:bCs/>
          <w:color w:val="002060"/>
          <w:sz w:val="16"/>
          <w:szCs w:val="16"/>
        </w:rPr>
        <w:t>в том, что:</w:t>
      </w:r>
    </w:p>
    <w:p w14:paraId="33CBDCF9" w14:textId="77777777" w:rsidR="009719B0" w:rsidRPr="00405303" w:rsidRDefault="009719B0" w:rsidP="00C15251">
      <w:pPr>
        <w:pStyle w:val="2"/>
        <w:spacing w:before="0" w:after="0"/>
        <w:jc w:val="both"/>
        <w:rPr>
          <w:b w:val="0"/>
          <w:bCs/>
          <w:color w:val="002060"/>
          <w:sz w:val="16"/>
          <w:szCs w:val="16"/>
        </w:rPr>
      </w:pPr>
      <w:r w:rsidRPr="00405303">
        <w:rPr>
          <w:b w:val="0"/>
          <w:bCs/>
          <w:color w:val="002060"/>
          <w:sz w:val="16"/>
          <w:szCs w:val="16"/>
        </w:rPr>
        <w:t xml:space="preserve">«1/ Акционерное Общество Дукс Ю.А.Меллер приняло на себя обязательство применительно образца и на точном основании чертежей и прилагаемых: описания, списков, технических и общих условий изготовить и поставить... </w:t>
      </w:r>
    </w:p>
    <w:p w14:paraId="2EE915D9" w14:textId="77777777" w:rsidR="009719B0" w:rsidRPr="00405303" w:rsidRDefault="009719B0" w:rsidP="00C15251">
      <w:pPr>
        <w:pStyle w:val="2"/>
        <w:spacing w:before="0" w:after="0"/>
        <w:jc w:val="both"/>
        <w:rPr>
          <w:b w:val="0"/>
          <w:bCs/>
          <w:color w:val="002060"/>
          <w:sz w:val="16"/>
          <w:szCs w:val="16"/>
        </w:rPr>
      </w:pPr>
      <w:r w:rsidRPr="00405303">
        <w:rPr>
          <w:b w:val="0"/>
          <w:bCs/>
          <w:color w:val="002060"/>
          <w:sz w:val="16"/>
          <w:szCs w:val="16"/>
        </w:rPr>
        <w:t>а/ [25 «Моранов»] без моторов и винтов, но с полным оборудованием для них моторов Рон или Гном 100 л.с. или 80НР безразлично по 9000 рублей за аппарат, с укупоркой:</w:t>
      </w:r>
    </w:p>
    <w:p w14:paraId="3EF7FF8F" w14:textId="77777777" w:rsidR="009719B0" w:rsidRPr="00405303" w:rsidRDefault="009719B0" w:rsidP="00C15251">
      <w:pPr>
        <w:pStyle w:val="2"/>
        <w:spacing w:before="0" w:after="0"/>
        <w:jc w:val="both"/>
        <w:rPr>
          <w:b w:val="0"/>
          <w:bCs/>
          <w:color w:val="002060"/>
          <w:sz w:val="16"/>
          <w:szCs w:val="16"/>
        </w:rPr>
      </w:pPr>
      <w:r w:rsidRPr="00405303">
        <w:rPr>
          <w:b w:val="0"/>
          <w:bCs/>
          <w:color w:val="002060"/>
          <w:sz w:val="16"/>
          <w:szCs w:val="16"/>
        </w:rPr>
        <w:t>б) 25 комплектов запасных частей к этим аппаратам по 7700 руб. за комплект, с укупоркой, а всего на общую сумму 420.146 руб...</w:t>
      </w:r>
    </w:p>
    <w:p w14:paraId="4B13EB5A" w14:textId="77777777" w:rsidR="009719B0" w:rsidRPr="00405303" w:rsidRDefault="009719B0" w:rsidP="00C15251">
      <w:pPr>
        <w:pStyle w:val="2"/>
        <w:spacing w:before="0" w:after="0"/>
        <w:jc w:val="both"/>
        <w:rPr>
          <w:b w:val="0"/>
          <w:bCs/>
          <w:color w:val="002060"/>
          <w:sz w:val="16"/>
          <w:szCs w:val="16"/>
        </w:rPr>
      </w:pPr>
      <w:r w:rsidRPr="00405303">
        <w:rPr>
          <w:b w:val="0"/>
          <w:bCs/>
          <w:color w:val="002060"/>
          <w:sz w:val="16"/>
          <w:szCs w:val="16"/>
        </w:rPr>
        <w:t xml:space="preserve">2/ Если в течение выполнения настоящей поставки, конструктором будут произведены в аппаратах усовершенствования, то Общество по требованию технического отдела, обязано внести их во все незаконченные к этому времени постройкой аппараты, в сроки и на условиях </w:t>
      </w:r>
      <w:proofErr w:type="gramStart"/>
      <w:r w:rsidRPr="00405303">
        <w:rPr>
          <w:b w:val="0"/>
          <w:bCs/>
          <w:color w:val="002060"/>
          <w:sz w:val="16"/>
          <w:szCs w:val="16"/>
        </w:rPr>
        <w:t>по особому</w:t>
      </w:r>
      <w:proofErr w:type="gramEnd"/>
      <w:r w:rsidRPr="00405303">
        <w:rPr>
          <w:b w:val="0"/>
          <w:bCs/>
          <w:color w:val="002060"/>
          <w:sz w:val="16"/>
          <w:szCs w:val="16"/>
        </w:rPr>
        <w:t xml:space="preserve"> на сей предмет соглашению.</w:t>
      </w:r>
    </w:p>
    <w:p w14:paraId="5638A81F" w14:textId="77777777" w:rsidR="009719B0" w:rsidRPr="00405303" w:rsidRDefault="009719B0" w:rsidP="00C15251">
      <w:pPr>
        <w:pStyle w:val="2"/>
        <w:spacing w:before="0" w:after="0"/>
        <w:jc w:val="both"/>
        <w:rPr>
          <w:b w:val="0"/>
          <w:bCs/>
          <w:color w:val="002060"/>
          <w:sz w:val="16"/>
          <w:szCs w:val="16"/>
        </w:rPr>
      </w:pPr>
      <w:r w:rsidRPr="00405303">
        <w:rPr>
          <w:b w:val="0"/>
          <w:bCs/>
          <w:color w:val="002060"/>
          <w:sz w:val="16"/>
          <w:szCs w:val="16"/>
        </w:rPr>
        <w:t>3) Моторы Гном или Рон с карбюратороми, магнето, помпой, подшипниками, носом, винтом, диском, принадлежностями и ключами доставляются обществу... [от ГВТУ] и должны быть установлены Обществом на означенных аппаратах.</w:t>
      </w:r>
    </w:p>
    <w:p w14:paraId="56969197" w14:textId="77777777" w:rsidR="009719B0" w:rsidRPr="00405303" w:rsidRDefault="009719B0" w:rsidP="00C15251">
      <w:pPr>
        <w:pStyle w:val="2"/>
        <w:spacing w:before="0" w:after="0"/>
        <w:jc w:val="both"/>
        <w:rPr>
          <w:b w:val="0"/>
          <w:bCs/>
          <w:color w:val="002060"/>
          <w:sz w:val="16"/>
          <w:szCs w:val="16"/>
        </w:rPr>
      </w:pPr>
      <w:r w:rsidRPr="00405303">
        <w:rPr>
          <w:b w:val="0"/>
          <w:bCs/>
          <w:color w:val="002060"/>
          <w:sz w:val="16"/>
          <w:szCs w:val="16"/>
        </w:rPr>
        <w:t>4/ Означенные аэропланы Общество обязуется: а/ изготовить на русских заводах из материалов русского производства, за исключением некоторых не имеющихся в России частей и материалов, которые могут быть на сумму не свыше 3 тыс. рублей на аппарат и 1 тыс. на комплект запчастей, приобретены за границей и б/ представить для осмотра и освидетельствования приемной комиссии у себя на заводе по мере их изготовления: (по пять машин и комплектов в январе—</w:t>
      </w:r>
      <w:proofErr w:type="gramStart"/>
      <w:r w:rsidRPr="00405303">
        <w:rPr>
          <w:b w:val="0"/>
          <w:bCs/>
          <w:color w:val="002060"/>
          <w:sz w:val="16"/>
          <w:szCs w:val="16"/>
        </w:rPr>
        <w:t>мае)...</w:t>
      </w:r>
      <w:proofErr w:type="gramEnd"/>
    </w:p>
    <w:p w14:paraId="695C3002" w14:textId="77777777" w:rsidR="009719B0" w:rsidRPr="00405303" w:rsidRDefault="009719B0" w:rsidP="00C15251">
      <w:pPr>
        <w:pStyle w:val="2"/>
        <w:spacing w:before="0" w:after="0"/>
        <w:jc w:val="both"/>
        <w:rPr>
          <w:b w:val="0"/>
          <w:bCs/>
          <w:color w:val="002060"/>
          <w:sz w:val="16"/>
          <w:szCs w:val="16"/>
        </w:rPr>
      </w:pPr>
      <w:r w:rsidRPr="00405303">
        <w:rPr>
          <w:b w:val="0"/>
          <w:bCs/>
          <w:color w:val="002060"/>
          <w:sz w:val="16"/>
          <w:szCs w:val="16"/>
        </w:rPr>
        <w:t xml:space="preserve">5/ По освидетельствовании аэропланов на заводе, таковые должны быть доставлены на аэродром в г.Москве, для испытания в полетах, </w:t>
      </w:r>
      <w:proofErr w:type="gramStart"/>
      <w:r w:rsidRPr="00405303">
        <w:rPr>
          <w:b w:val="0"/>
          <w:bCs/>
          <w:color w:val="002060"/>
          <w:sz w:val="16"/>
          <w:szCs w:val="16"/>
        </w:rPr>
        <w:t>согласно прилагаемых технических условий</w:t>
      </w:r>
      <w:proofErr w:type="gramEnd"/>
      <w:r w:rsidRPr="00405303">
        <w:rPr>
          <w:b w:val="0"/>
          <w:bCs/>
          <w:color w:val="002060"/>
          <w:sz w:val="16"/>
          <w:szCs w:val="16"/>
        </w:rPr>
        <w:t>; в случае повреждения аппарата при сдаче, для замены или исправления разбитого аппарата дается для каждого аппарата срок до одного месяца со дня его поломки. Сдача аппаратов производится служащими поставщика, при чем все расходы по сдаче и исправлению аппаратов Общество принимает на свой счет, кроме поломок, происходивших во время контрольных полетов, производимых пилотом военного ведомства.</w:t>
      </w:r>
    </w:p>
    <w:p w14:paraId="10AABAFC" w14:textId="77777777" w:rsidR="009719B0" w:rsidRPr="00405303" w:rsidRDefault="009719B0" w:rsidP="00C15251">
      <w:pPr>
        <w:pStyle w:val="2"/>
        <w:spacing w:before="0" w:after="0"/>
        <w:jc w:val="both"/>
        <w:rPr>
          <w:b w:val="0"/>
          <w:bCs/>
          <w:color w:val="002060"/>
          <w:sz w:val="16"/>
          <w:szCs w:val="16"/>
        </w:rPr>
      </w:pPr>
      <w:r w:rsidRPr="00405303">
        <w:rPr>
          <w:b w:val="0"/>
          <w:bCs/>
          <w:color w:val="002060"/>
          <w:sz w:val="16"/>
          <w:szCs w:val="16"/>
        </w:rPr>
        <w:t>6/ Общество обязуется после сдачи аппаратов в полете привести аппараты и моторы в полный порядок и, упаковать таковые, доставить на одну из железнодорожных станций г.Москвы по указанию Технического отдела, выполнив эти работы в 10-дневный срок со дня сдачи аппаратов...</w:t>
      </w:r>
    </w:p>
    <w:p w14:paraId="00D40B80" w14:textId="77777777" w:rsidR="009719B0" w:rsidRPr="00405303" w:rsidRDefault="009719B0" w:rsidP="00C15251">
      <w:pPr>
        <w:pStyle w:val="2"/>
        <w:spacing w:before="0" w:after="0"/>
        <w:jc w:val="both"/>
        <w:rPr>
          <w:b w:val="0"/>
          <w:bCs/>
          <w:color w:val="002060"/>
          <w:sz w:val="16"/>
          <w:szCs w:val="16"/>
        </w:rPr>
      </w:pPr>
      <w:r w:rsidRPr="00405303">
        <w:rPr>
          <w:b w:val="0"/>
          <w:bCs/>
          <w:color w:val="002060"/>
          <w:sz w:val="16"/>
          <w:szCs w:val="16"/>
        </w:rPr>
        <w:t>7/ Если, за непредставлением Военным ведомством моторов, поставщик не сможет сдать аэроплан в полете немедленно по их готовности, то таковые, по выдаче поставщиком сохранной расписки, оставляются у него для хранения на полной его ответственности на срок не более одного месяца. По истечении же этого срока ГВТУ обязано предоставить поставщику один мотор на каждые изготовленные 5 аппаратов для сдачи последних в полете и произвести затем с поставщиком полный расчет...» (15464).</w:t>
      </w:r>
    </w:p>
    <w:p w14:paraId="61C9D895" w14:textId="14F74BEB" w:rsidR="009719B0" w:rsidRPr="00405303" w:rsidRDefault="009719B0" w:rsidP="00C15251">
      <w:pPr>
        <w:pStyle w:val="2"/>
        <w:spacing w:before="0" w:after="0"/>
        <w:jc w:val="both"/>
        <w:rPr>
          <w:b w:val="0"/>
          <w:bCs/>
          <w:color w:val="002060"/>
          <w:sz w:val="16"/>
          <w:szCs w:val="16"/>
        </w:rPr>
      </w:pPr>
    </w:p>
    <w:p w14:paraId="732821FE" w14:textId="398F02CB" w:rsidR="00BD100F" w:rsidRPr="00405303" w:rsidRDefault="00BD100F" w:rsidP="00C15251">
      <w:pPr>
        <w:pStyle w:val="2"/>
        <w:spacing w:before="0" w:after="0"/>
        <w:jc w:val="both"/>
        <w:rPr>
          <w:b w:val="0"/>
          <w:bCs/>
          <w:color w:val="002060"/>
          <w:sz w:val="16"/>
          <w:szCs w:val="16"/>
        </w:rPr>
      </w:pPr>
      <w:r w:rsidRPr="00405303">
        <w:rPr>
          <w:b w:val="0"/>
          <w:bCs/>
          <w:color w:val="002060"/>
          <w:sz w:val="16"/>
          <w:szCs w:val="16"/>
        </w:rPr>
        <w:t>8 (21) декабря 1915 г. был заключен контракт:</w:t>
      </w:r>
    </w:p>
    <w:p w14:paraId="26267AE0" w14:textId="1C974B15" w:rsidR="004B4E35" w:rsidRPr="00405303" w:rsidRDefault="009E6F82" w:rsidP="00C15251">
      <w:pPr>
        <w:pStyle w:val="2"/>
        <w:spacing w:before="0" w:after="0"/>
        <w:jc w:val="both"/>
        <w:rPr>
          <w:b w:val="0"/>
          <w:bCs/>
          <w:color w:val="002060"/>
          <w:sz w:val="16"/>
          <w:szCs w:val="16"/>
        </w:rPr>
      </w:pPr>
      <w:r w:rsidRPr="00405303">
        <w:rPr>
          <w:b w:val="0"/>
          <w:bCs/>
          <w:color w:val="002060"/>
          <w:sz w:val="16"/>
          <w:szCs w:val="16"/>
        </w:rPr>
        <w:t>Сведения о контрактах на аэроглиссеры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58"/>
        <w:gridCol w:w="1080"/>
        <w:gridCol w:w="1170"/>
        <w:gridCol w:w="5868"/>
      </w:tblGrid>
      <w:tr w:rsidR="004B4E35" w:rsidRPr="00405303" w14:paraId="212F1D37" w14:textId="77777777">
        <w:tc>
          <w:tcPr>
            <w:tcW w:w="1458" w:type="dxa"/>
            <w:shd w:val="clear" w:color="auto" w:fill="FFFFFF"/>
          </w:tcPr>
          <w:p w14:paraId="2D44A5FD" w14:textId="77777777" w:rsidR="004B4E35" w:rsidRPr="00405303" w:rsidRDefault="009E6F82" w:rsidP="00C15251">
            <w:pPr>
              <w:jc w:val="both"/>
              <w:rPr>
                <w:bCs/>
                <w:color w:val="002060"/>
                <w:sz w:val="16"/>
                <w:szCs w:val="16"/>
              </w:rPr>
            </w:pPr>
            <w:r w:rsidRPr="00405303">
              <w:rPr>
                <w:bCs/>
                <w:color w:val="002060"/>
                <w:sz w:val="16"/>
                <w:szCs w:val="16"/>
              </w:rPr>
              <w:t>Дата контракта</w:t>
            </w:r>
          </w:p>
        </w:tc>
        <w:tc>
          <w:tcPr>
            <w:tcW w:w="1080" w:type="dxa"/>
            <w:shd w:val="clear" w:color="auto" w:fill="FFFFFF"/>
          </w:tcPr>
          <w:p w14:paraId="3DA0A0BE" w14:textId="77777777" w:rsidR="004B4E35" w:rsidRPr="00405303" w:rsidRDefault="009E6F82" w:rsidP="00C15251">
            <w:pPr>
              <w:jc w:val="both"/>
              <w:rPr>
                <w:bCs/>
                <w:color w:val="002060"/>
                <w:sz w:val="16"/>
                <w:szCs w:val="16"/>
              </w:rPr>
            </w:pPr>
            <w:r w:rsidRPr="00405303">
              <w:rPr>
                <w:bCs/>
                <w:color w:val="002060"/>
                <w:sz w:val="16"/>
                <w:szCs w:val="16"/>
              </w:rPr>
              <w:t>Число заказанных аппаратов</w:t>
            </w:r>
          </w:p>
        </w:tc>
        <w:tc>
          <w:tcPr>
            <w:tcW w:w="1170" w:type="dxa"/>
            <w:shd w:val="clear" w:color="auto" w:fill="FFFFFF"/>
          </w:tcPr>
          <w:p w14:paraId="56437DF3" w14:textId="77777777" w:rsidR="004B4E35" w:rsidRPr="00405303" w:rsidRDefault="009E6F82" w:rsidP="00C15251">
            <w:pPr>
              <w:jc w:val="both"/>
              <w:rPr>
                <w:bCs/>
                <w:color w:val="002060"/>
                <w:sz w:val="16"/>
                <w:szCs w:val="16"/>
              </w:rPr>
            </w:pPr>
            <w:r w:rsidRPr="00405303">
              <w:rPr>
                <w:bCs/>
                <w:color w:val="002060"/>
                <w:sz w:val="16"/>
                <w:szCs w:val="16"/>
              </w:rPr>
              <w:t>Заводские номера сданных аппаратов</w:t>
            </w:r>
          </w:p>
        </w:tc>
        <w:tc>
          <w:tcPr>
            <w:tcW w:w="5868" w:type="dxa"/>
            <w:shd w:val="clear" w:color="auto" w:fill="FFFFFF"/>
          </w:tcPr>
          <w:p w14:paraId="7643C6D0" w14:textId="77777777" w:rsidR="004B4E35" w:rsidRPr="00405303" w:rsidRDefault="009E6F82" w:rsidP="00C15251">
            <w:pPr>
              <w:jc w:val="both"/>
              <w:rPr>
                <w:bCs/>
                <w:color w:val="002060"/>
                <w:sz w:val="16"/>
                <w:szCs w:val="16"/>
              </w:rPr>
            </w:pPr>
            <w:r w:rsidRPr="00405303">
              <w:rPr>
                <w:bCs/>
                <w:color w:val="002060"/>
                <w:sz w:val="16"/>
                <w:szCs w:val="16"/>
              </w:rPr>
              <w:t>Условия</w:t>
            </w:r>
          </w:p>
        </w:tc>
      </w:tr>
      <w:tr w:rsidR="004B4E35" w:rsidRPr="00405303" w14:paraId="7D1B9C85" w14:textId="77777777">
        <w:tc>
          <w:tcPr>
            <w:tcW w:w="1458" w:type="dxa"/>
            <w:shd w:val="clear" w:color="auto" w:fill="FFFFFF"/>
          </w:tcPr>
          <w:p w14:paraId="27808001" w14:textId="77777777" w:rsidR="004B4E35" w:rsidRPr="00405303" w:rsidRDefault="009E6F82" w:rsidP="00C15251">
            <w:pPr>
              <w:jc w:val="both"/>
              <w:rPr>
                <w:bCs/>
                <w:color w:val="002060"/>
                <w:sz w:val="16"/>
                <w:szCs w:val="16"/>
              </w:rPr>
            </w:pPr>
            <w:r w:rsidRPr="00405303">
              <w:rPr>
                <w:bCs/>
                <w:color w:val="002060"/>
                <w:sz w:val="16"/>
                <w:szCs w:val="16"/>
              </w:rPr>
              <w:t>Декабрь 8 (21) 1915</w:t>
            </w:r>
          </w:p>
        </w:tc>
        <w:tc>
          <w:tcPr>
            <w:tcW w:w="1080" w:type="dxa"/>
            <w:shd w:val="clear" w:color="auto" w:fill="FFFFFF"/>
          </w:tcPr>
          <w:p w14:paraId="07BB629C" w14:textId="77777777" w:rsidR="004B4E35" w:rsidRPr="00405303" w:rsidRDefault="009E6F82" w:rsidP="00C15251">
            <w:pPr>
              <w:jc w:val="both"/>
              <w:rPr>
                <w:bCs/>
                <w:color w:val="002060"/>
                <w:sz w:val="16"/>
                <w:szCs w:val="16"/>
              </w:rPr>
            </w:pPr>
            <w:r w:rsidRPr="00405303">
              <w:rPr>
                <w:bCs/>
                <w:color w:val="002060"/>
                <w:sz w:val="16"/>
                <w:szCs w:val="16"/>
              </w:rPr>
              <w:t>1</w:t>
            </w:r>
          </w:p>
        </w:tc>
        <w:tc>
          <w:tcPr>
            <w:tcW w:w="1170" w:type="dxa"/>
            <w:shd w:val="clear" w:color="auto" w:fill="FFFFFF"/>
          </w:tcPr>
          <w:p w14:paraId="3AC2AFA6" w14:textId="77777777" w:rsidR="004B4E35" w:rsidRPr="00405303" w:rsidRDefault="009E6F82" w:rsidP="00C15251">
            <w:pPr>
              <w:jc w:val="both"/>
              <w:rPr>
                <w:bCs/>
                <w:color w:val="002060"/>
                <w:sz w:val="16"/>
                <w:szCs w:val="16"/>
              </w:rPr>
            </w:pPr>
            <w:r w:rsidRPr="00405303">
              <w:rPr>
                <w:bCs/>
                <w:color w:val="002060"/>
                <w:sz w:val="16"/>
                <w:szCs w:val="16"/>
              </w:rPr>
              <w:t>-</w:t>
            </w:r>
          </w:p>
        </w:tc>
        <w:tc>
          <w:tcPr>
            <w:tcW w:w="5868" w:type="dxa"/>
            <w:shd w:val="clear" w:color="auto" w:fill="FFFFFF"/>
          </w:tcPr>
          <w:p w14:paraId="59D936E4" w14:textId="77777777" w:rsidR="004B4E35" w:rsidRPr="00405303" w:rsidRDefault="009E6F82" w:rsidP="00C15251">
            <w:pPr>
              <w:jc w:val="both"/>
              <w:rPr>
                <w:bCs/>
                <w:color w:val="002060"/>
                <w:sz w:val="16"/>
                <w:szCs w:val="16"/>
              </w:rPr>
            </w:pPr>
            <w:r w:rsidRPr="00405303">
              <w:rPr>
                <w:bCs/>
                <w:color w:val="002060"/>
                <w:sz w:val="16"/>
                <w:szCs w:val="16"/>
              </w:rPr>
              <w:t>9 тыс. 500 руб. за аппарат без мотора или моторов, срок подготовки к сдаточным испытаниям 7 дней ПРИМЕЧАНИЯ: официальный заказ на аэроглиссер № 1</w:t>
            </w:r>
          </w:p>
        </w:tc>
      </w:tr>
      <w:tr w:rsidR="004B4E35" w:rsidRPr="00405303" w14:paraId="45DFB2FC" w14:textId="77777777">
        <w:tc>
          <w:tcPr>
            <w:tcW w:w="1458" w:type="dxa"/>
            <w:shd w:val="clear" w:color="auto" w:fill="FFFFFF"/>
          </w:tcPr>
          <w:p w14:paraId="27509666" w14:textId="77777777" w:rsidR="004B4E35" w:rsidRPr="00405303" w:rsidRDefault="009E6F82" w:rsidP="00C15251">
            <w:pPr>
              <w:jc w:val="both"/>
              <w:rPr>
                <w:bCs/>
                <w:color w:val="002060"/>
                <w:sz w:val="16"/>
                <w:szCs w:val="16"/>
              </w:rPr>
            </w:pPr>
            <w:r w:rsidRPr="00405303">
              <w:rPr>
                <w:bCs/>
                <w:color w:val="002060"/>
                <w:sz w:val="16"/>
                <w:szCs w:val="16"/>
              </w:rPr>
              <w:t>Ноябрь 17 1915</w:t>
            </w:r>
          </w:p>
        </w:tc>
        <w:tc>
          <w:tcPr>
            <w:tcW w:w="1080" w:type="dxa"/>
            <w:shd w:val="clear" w:color="auto" w:fill="FFFFFF"/>
          </w:tcPr>
          <w:p w14:paraId="59A6991A" w14:textId="77777777" w:rsidR="004B4E35" w:rsidRPr="00405303" w:rsidRDefault="009E6F82" w:rsidP="00C15251">
            <w:pPr>
              <w:jc w:val="both"/>
              <w:rPr>
                <w:bCs/>
                <w:color w:val="002060"/>
                <w:sz w:val="16"/>
                <w:szCs w:val="16"/>
              </w:rPr>
            </w:pPr>
            <w:r w:rsidRPr="00405303">
              <w:rPr>
                <w:bCs/>
                <w:color w:val="002060"/>
                <w:sz w:val="16"/>
                <w:szCs w:val="16"/>
              </w:rPr>
              <w:t>1</w:t>
            </w:r>
          </w:p>
        </w:tc>
        <w:tc>
          <w:tcPr>
            <w:tcW w:w="1170" w:type="dxa"/>
            <w:shd w:val="clear" w:color="auto" w:fill="FFFFFF"/>
          </w:tcPr>
          <w:p w14:paraId="674C5050" w14:textId="77777777" w:rsidR="004B4E35" w:rsidRPr="00405303" w:rsidRDefault="009E6F82" w:rsidP="00C15251">
            <w:pPr>
              <w:jc w:val="both"/>
              <w:rPr>
                <w:bCs/>
                <w:color w:val="002060"/>
                <w:sz w:val="16"/>
                <w:szCs w:val="16"/>
              </w:rPr>
            </w:pPr>
            <w:r w:rsidRPr="00405303">
              <w:rPr>
                <w:bCs/>
                <w:color w:val="002060"/>
                <w:sz w:val="16"/>
                <w:szCs w:val="16"/>
              </w:rPr>
              <w:t>-</w:t>
            </w:r>
          </w:p>
        </w:tc>
        <w:tc>
          <w:tcPr>
            <w:tcW w:w="5868" w:type="dxa"/>
            <w:shd w:val="clear" w:color="auto" w:fill="FFFFFF"/>
          </w:tcPr>
          <w:p w14:paraId="75B1ED0B" w14:textId="77777777" w:rsidR="004B4E35" w:rsidRPr="00405303" w:rsidRDefault="009E6F82" w:rsidP="00C15251">
            <w:pPr>
              <w:jc w:val="both"/>
              <w:rPr>
                <w:bCs/>
                <w:color w:val="002060"/>
                <w:sz w:val="16"/>
                <w:szCs w:val="16"/>
              </w:rPr>
            </w:pPr>
            <w:r w:rsidRPr="00405303">
              <w:rPr>
                <w:bCs/>
                <w:color w:val="002060"/>
                <w:sz w:val="16"/>
                <w:szCs w:val="16"/>
              </w:rPr>
              <w:t>20 тыс. руб. за аппарат без моторов ПРИМЕЧАНИЯ: официальный заказ на аэроглиссер № 2</w:t>
            </w:r>
          </w:p>
        </w:tc>
      </w:tr>
    </w:tbl>
    <w:p w14:paraId="31E24E48" w14:textId="77777777" w:rsidR="004B4E35" w:rsidRPr="00405303" w:rsidRDefault="004B4E35" w:rsidP="00C15251">
      <w:pPr>
        <w:shd w:val="clear" w:color="auto" w:fill="FFFFFF"/>
        <w:jc w:val="both"/>
        <w:rPr>
          <w:bCs/>
          <w:color w:val="002060"/>
          <w:sz w:val="16"/>
          <w:szCs w:val="16"/>
        </w:rPr>
      </w:pPr>
    </w:p>
    <w:p w14:paraId="51E1E6BD" w14:textId="77777777" w:rsidR="004B4E35" w:rsidRPr="00405303" w:rsidRDefault="009E6F82" w:rsidP="00C15251">
      <w:pPr>
        <w:jc w:val="both"/>
        <w:rPr>
          <w:bCs/>
          <w:color w:val="002060"/>
          <w:sz w:val="16"/>
          <w:szCs w:val="16"/>
        </w:rPr>
      </w:pPr>
      <w:r w:rsidRPr="00405303">
        <w:rPr>
          <w:bCs/>
          <w:color w:val="002060"/>
          <w:sz w:val="16"/>
          <w:szCs w:val="16"/>
        </w:rPr>
        <w:t>8 (21) декабря - В России продолжались испытания бомбосбрасывателей. Ботезат представил сводку поправок. Исследование показало, что пренебрежение сопротивлением воздуха и влиянием ветра может привести к уклонению снаряда от цели до километра.</w:t>
      </w:r>
    </w:p>
    <w:p w14:paraId="625DBE8B" w14:textId="77777777" w:rsidR="004B4E35" w:rsidRPr="00405303" w:rsidRDefault="009E6F82" w:rsidP="00C15251">
      <w:pPr>
        <w:jc w:val="both"/>
        <w:rPr>
          <w:bCs/>
          <w:color w:val="002060"/>
          <w:sz w:val="16"/>
          <w:szCs w:val="16"/>
        </w:rPr>
      </w:pPr>
      <w:r w:rsidRPr="00405303">
        <w:rPr>
          <w:bCs/>
          <w:color w:val="002060"/>
          <w:sz w:val="16"/>
          <w:szCs w:val="16"/>
        </w:rPr>
        <w:t>Ботезат разработал оптический прицел для бомбометания. Но слабо развитая российская промышленность не смогла освоить их производство в достаточном количестве (11999).</w:t>
      </w:r>
    </w:p>
    <w:p w14:paraId="4163CB30" w14:textId="77777777" w:rsidR="004B4E35" w:rsidRPr="00405303" w:rsidRDefault="004B4E35" w:rsidP="00C15251">
      <w:pPr>
        <w:jc w:val="both"/>
        <w:rPr>
          <w:bCs/>
          <w:color w:val="002060"/>
          <w:sz w:val="16"/>
          <w:szCs w:val="16"/>
        </w:rPr>
      </w:pPr>
    </w:p>
    <w:p w14:paraId="2C76D179"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654ECB0C" w14:textId="77777777" w:rsidR="004B4E35" w:rsidRPr="00405303" w:rsidRDefault="004B4E35" w:rsidP="00C15251">
      <w:pPr>
        <w:shd w:val="clear" w:color="auto" w:fill="FFFFFF"/>
        <w:jc w:val="both"/>
        <w:rPr>
          <w:bCs/>
          <w:i/>
          <w:color w:val="002060"/>
          <w:sz w:val="16"/>
          <w:szCs w:val="16"/>
        </w:rPr>
      </w:pPr>
    </w:p>
    <w:p w14:paraId="1AD07F2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 (22) декабря 1915г. фирма ПРТВ напоминала МГШ о договоренности провести испытания «особых бомб, наполненных химическим веществом» — не исключено, что речь шла об отравляющих газах. Справедливости ради надо сказать, что великая драма, начавшаяся в 1914 г., стала первым конфликтом поистине глобального свойства и ожесточила многих (2807).</w:t>
      </w:r>
    </w:p>
    <w:p w14:paraId="4BA9BA74" w14:textId="77777777" w:rsidR="004B4E35" w:rsidRPr="00405303" w:rsidRDefault="004B4E35" w:rsidP="00C15251">
      <w:pPr>
        <w:shd w:val="clear" w:color="auto" w:fill="FFFFFF"/>
        <w:jc w:val="both"/>
        <w:rPr>
          <w:bCs/>
          <w:i/>
          <w:color w:val="002060"/>
          <w:sz w:val="16"/>
          <w:szCs w:val="16"/>
        </w:rPr>
      </w:pPr>
    </w:p>
    <w:p w14:paraId="4962C716" w14:textId="6ADFEA75" w:rsidR="004B4E35" w:rsidRPr="00405303" w:rsidRDefault="009E6F82" w:rsidP="00C15251">
      <w:pPr>
        <w:shd w:val="clear" w:color="auto" w:fill="FFFFFF"/>
        <w:jc w:val="both"/>
        <w:rPr>
          <w:bCs/>
          <w:color w:val="002060"/>
          <w:sz w:val="16"/>
          <w:szCs w:val="16"/>
        </w:rPr>
      </w:pPr>
      <w:r w:rsidRPr="00405303">
        <w:rPr>
          <w:bCs/>
          <w:color w:val="002060"/>
          <w:sz w:val="16"/>
          <w:szCs w:val="16"/>
        </w:rPr>
        <w:t>9 (22) декабря 1915 Лебедеву пришлось донести о том, что некоторая задержка неизбежна, т.к. "тип еще не оформился", в чертежи вносились изменения, а уже изготов</w:t>
      </w:r>
      <w:r w:rsidRPr="00405303">
        <w:rPr>
          <w:bCs/>
          <w:color w:val="002060"/>
          <w:sz w:val="16"/>
          <w:szCs w:val="16"/>
        </w:rPr>
        <w:softHyphen/>
        <w:t>ленные части неоднократно приходилось заменять новыми. 27 декабря МГШ продлил срок сдачи на два месяца, благо спешить особенно было некуда по причине зимы (2843).</w:t>
      </w:r>
    </w:p>
    <w:p w14:paraId="6D7C73C0" w14:textId="77777777" w:rsidR="004B4E35" w:rsidRPr="00405303" w:rsidRDefault="004B4E35" w:rsidP="00C15251">
      <w:pPr>
        <w:shd w:val="clear" w:color="auto" w:fill="FFFFFF"/>
        <w:jc w:val="both"/>
        <w:rPr>
          <w:bCs/>
          <w:color w:val="002060"/>
          <w:sz w:val="16"/>
          <w:szCs w:val="16"/>
        </w:rPr>
      </w:pPr>
    </w:p>
    <w:p w14:paraId="32EFC220" w14:textId="77777777" w:rsidR="004B4E35" w:rsidRPr="00405303" w:rsidRDefault="009E6F82" w:rsidP="00C15251">
      <w:pPr>
        <w:jc w:val="both"/>
        <w:rPr>
          <w:bCs/>
          <w:color w:val="002060"/>
          <w:sz w:val="16"/>
          <w:szCs w:val="16"/>
        </w:rPr>
      </w:pPr>
      <w:r w:rsidRPr="00405303">
        <w:rPr>
          <w:bCs/>
          <w:color w:val="002060"/>
          <w:sz w:val="16"/>
          <w:szCs w:val="16"/>
        </w:rPr>
        <w:t>9 (22) декабря - Комиссия по изучению воздушной артиллерии признала, что лучшими прицельными приборами она считает приборы профессора Ботезата, инженера Гарфа и капитана Иванова. Но русские фронтовые летчики по- прежнему предпочитали пользоваться прицельными приборами Толмачева (11999).</w:t>
      </w:r>
    </w:p>
    <w:p w14:paraId="32F72589" w14:textId="77777777" w:rsidR="004B4E35" w:rsidRPr="00405303" w:rsidRDefault="004B4E35" w:rsidP="00C15251">
      <w:pPr>
        <w:jc w:val="both"/>
        <w:rPr>
          <w:bCs/>
          <w:color w:val="002060"/>
          <w:sz w:val="16"/>
          <w:szCs w:val="16"/>
        </w:rPr>
      </w:pPr>
    </w:p>
    <w:p w14:paraId="6F215A1A" w14:textId="77777777" w:rsidR="00D56BEA" w:rsidRPr="00B52707" w:rsidRDefault="00D56BEA" w:rsidP="00D56BEA">
      <w:pPr>
        <w:jc w:val="both"/>
        <w:rPr>
          <w:color w:val="0070C0"/>
          <w:sz w:val="16"/>
          <w:szCs w:val="16"/>
        </w:rPr>
      </w:pPr>
      <w:r w:rsidRPr="00B52707">
        <w:rPr>
          <w:color w:val="0070C0"/>
          <w:sz w:val="16"/>
          <w:szCs w:val="16"/>
        </w:rPr>
        <w:t>9 (22) декабря 1915 г. прибывшим с фронта Г.И. Лавровым были начаты летно-сдаточные испытания 15 самолетов С-16. Во время одного из первых полетов на самолете No. 206 из-за сильных порывов ветра летчик не смог при посадке справиться с управ</w:t>
      </w:r>
      <w:r w:rsidRPr="00B52707">
        <w:rPr>
          <w:color w:val="0070C0"/>
          <w:sz w:val="16"/>
          <w:szCs w:val="16"/>
        </w:rPr>
        <w:softHyphen/>
        <w:t>лением. Самолет и двигатель были сильно повреждены и ремонтировались до марта 1916 г. С отъездом Лаврова на фронт на заводе не осталось летчиков-сдатчиков. Ссылаясь на условия контракта (АО РБВЗ было обязано проводить сдаточные испытания с помощью заводских летчиков и за свой счет), ГВТУ отказывалось предоста</w:t>
      </w:r>
      <w:r w:rsidRPr="00B52707">
        <w:rPr>
          <w:color w:val="0070C0"/>
          <w:sz w:val="16"/>
          <w:szCs w:val="16"/>
        </w:rPr>
        <w:softHyphen/>
        <w:t>вить своих летчиков. Несвоевременно поступали из против налетов неприятельского воздушного флота». По новым утвержденным штатам ЭВК в ее составе предполагалось иметь теперь помимо 12 учебных аппа</w:t>
      </w:r>
      <w:r w:rsidRPr="00B52707">
        <w:rPr>
          <w:color w:val="0070C0"/>
          <w:sz w:val="16"/>
          <w:szCs w:val="16"/>
        </w:rPr>
        <w:softHyphen/>
        <w:t>ратов школы Эскадры еще по 14 легких самолетов (4 истребителя, 4 разведчика и 6 тренировочных) в составе каждого боевого отряда, число которых увеличилось с двух до трех. Подобно большинству других скаутов, С-16 превращался в классический одноместный истре</w:t>
      </w:r>
      <w:r w:rsidRPr="00B52707">
        <w:rPr>
          <w:color w:val="0070C0"/>
          <w:sz w:val="16"/>
          <w:szCs w:val="16"/>
        </w:rPr>
        <w:softHyphen/>
        <w:t>битель. Он стал, таким образом, первым истребителем отечественной конструкции (25049).</w:t>
      </w:r>
    </w:p>
    <w:p w14:paraId="6D8A977F" w14:textId="77777777" w:rsidR="00D56BEA" w:rsidRPr="00B52707" w:rsidRDefault="00D56BEA" w:rsidP="00D56BEA">
      <w:pPr>
        <w:jc w:val="both"/>
        <w:rPr>
          <w:color w:val="0070C0"/>
          <w:sz w:val="16"/>
          <w:szCs w:val="16"/>
        </w:rPr>
      </w:pPr>
    </w:p>
    <w:p w14:paraId="4E67BF6D" w14:textId="77777777" w:rsidR="009719B0" w:rsidRPr="00405303" w:rsidRDefault="009719B0" w:rsidP="00C15251">
      <w:pPr>
        <w:jc w:val="both"/>
        <w:rPr>
          <w:bCs/>
          <w:i/>
          <w:color w:val="002060"/>
          <w:sz w:val="16"/>
          <w:szCs w:val="16"/>
        </w:rPr>
      </w:pPr>
      <w:r w:rsidRPr="00405303">
        <w:rPr>
          <w:bCs/>
          <w:i/>
          <w:color w:val="002060"/>
          <w:sz w:val="16"/>
          <w:szCs w:val="16"/>
        </w:rPr>
        <w:t>Другие оборонные отрасли:</w:t>
      </w:r>
    </w:p>
    <w:p w14:paraId="7D279D73" w14:textId="77777777" w:rsidR="009719B0" w:rsidRPr="00405303" w:rsidRDefault="009719B0" w:rsidP="00C15251">
      <w:pPr>
        <w:jc w:val="both"/>
        <w:rPr>
          <w:bCs/>
          <w:i/>
          <w:color w:val="002060"/>
          <w:sz w:val="16"/>
          <w:szCs w:val="16"/>
        </w:rPr>
      </w:pPr>
    </w:p>
    <w:p w14:paraId="73D03158" w14:textId="31015CD0" w:rsidR="009719B0" w:rsidRPr="00405303" w:rsidRDefault="009719B0" w:rsidP="00C15251">
      <w:pPr>
        <w:pStyle w:val="ae"/>
        <w:spacing w:before="0" w:beforeAutospacing="0" w:after="0" w:afterAutospacing="0"/>
        <w:jc w:val="both"/>
        <w:rPr>
          <w:bCs/>
          <w:color w:val="002060"/>
          <w:sz w:val="16"/>
          <w:szCs w:val="16"/>
        </w:rPr>
      </w:pPr>
      <w:r w:rsidRPr="00405303">
        <w:rPr>
          <w:bCs/>
          <w:color w:val="002060"/>
          <w:sz w:val="16"/>
          <w:szCs w:val="16"/>
        </w:rPr>
        <w:t xml:space="preserve">9 </w:t>
      </w:r>
      <w:r w:rsidR="00D33269" w:rsidRPr="00405303">
        <w:rPr>
          <w:bCs/>
          <w:color w:val="002060"/>
          <w:sz w:val="16"/>
          <w:szCs w:val="16"/>
        </w:rPr>
        <w:t xml:space="preserve">(22) </w:t>
      </w:r>
      <w:r w:rsidRPr="00405303">
        <w:rPr>
          <w:bCs/>
          <w:color w:val="002060"/>
          <w:sz w:val="16"/>
          <w:szCs w:val="16"/>
        </w:rPr>
        <w:t>декабря 1915г. вышла резолюция Председателя Особого совещания по обороне государства о строительстве казенного автомобильных заводов, однако окончательное решение было вынесено Советом министров только в феврале 1916 г.</w:t>
      </w:r>
    </w:p>
    <w:p w14:paraId="150204D1" w14:textId="77777777" w:rsidR="009719B0" w:rsidRPr="00405303" w:rsidRDefault="009719B0" w:rsidP="00C15251">
      <w:pPr>
        <w:pStyle w:val="ae"/>
        <w:spacing w:before="0" w:beforeAutospacing="0" w:after="0" w:afterAutospacing="0"/>
        <w:jc w:val="both"/>
        <w:rPr>
          <w:bCs/>
          <w:color w:val="002060"/>
          <w:sz w:val="16"/>
          <w:szCs w:val="16"/>
        </w:rPr>
      </w:pPr>
      <w:r w:rsidRPr="00405303">
        <w:rPr>
          <w:bCs/>
          <w:color w:val="002060"/>
          <w:sz w:val="16"/>
          <w:szCs w:val="16"/>
        </w:rPr>
        <w:t>Рассмотрение на отдельных заседаниях подготовительной комиссии основных договорных условий постройки заводов осуществлялось в направлении решения главной задачи – освобождения российской промышленности от иностранной зависимости в сфере автомобилестроения. Именно поэтому членов комиссии не смущало, что большая часть поставок автомобилей будет производиться после войны, что первоначальные предложения фирм содержали цены на автомобили выше иностранных. Руководствуясь основной идеей независимости, комиссия высказывалась за предоставление заказов только отечественным заводам. Первыми претендентами были названы акционерное общество воздухоплавания «В.А. Лебедев», Русско-Балтийский вагонный завод, акционерное общество сельскохозяйственного машиностроения «Аксай», московское акционерное общество экипажно-автомобильной фабрики «П.Ильина», торговый дом «Кузнецов, Рябушинские и К</w:t>
      </w:r>
      <w:r w:rsidRPr="00405303">
        <w:rPr>
          <w:bCs/>
          <w:color w:val="002060"/>
          <w:sz w:val="16"/>
          <w:szCs w:val="16"/>
          <w:vertAlign w:val="superscript"/>
        </w:rPr>
        <w:t>˚»</w:t>
      </w:r>
      <w:r w:rsidRPr="00405303">
        <w:rPr>
          <w:bCs/>
          <w:color w:val="002060"/>
          <w:sz w:val="16"/>
          <w:szCs w:val="16"/>
        </w:rPr>
        <w:t xml:space="preserve">, «Автомобильный московский завод». Вырабатывая основные положения контрактов и добиваясь наиболее благоприятных условий </w:t>
      </w:r>
      <w:proofErr w:type="gramStart"/>
      <w:r w:rsidRPr="00405303">
        <w:rPr>
          <w:bCs/>
          <w:color w:val="002060"/>
          <w:sz w:val="16"/>
          <w:szCs w:val="16"/>
        </w:rPr>
        <w:t>для предпринимателе</w:t>
      </w:r>
      <w:proofErr w:type="gramEnd"/>
      <w:r w:rsidRPr="00405303">
        <w:rPr>
          <w:bCs/>
          <w:color w:val="002060"/>
          <w:sz w:val="16"/>
          <w:szCs w:val="16"/>
        </w:rPr>
        <w:t>, представители отечественных промышленных и финансовых кругов сделали все возможное для задержки решения вопроса о казенном заводе (18369).</w:t>
      </w:r>
    </w:p>
    <w:p w14:paraId="097F858B" w14:textId="77777777" w:rsidR="009719B0" w:rsidRPr="00405303" w:rsidRDefault="009719B0" w:rsidP="00C15251">
      <w:pPr>
        <w:pStyle w:val="ae"/>
        <w:spacing w:before="0" w:beforeAutospacing="0" w:after="0" w:afterAutospacing="0"/>
        <w:jc w:val="both"/>
        <w:rPr>
          <w:bCs/>
          <w:color w:val="002060"/>
          <w:sz w:val="16"/>
          <w:szCs w:val="16"/>
        </w:rPr>
      </w:pPr>
    </w:p>
    <w:p w14:paraId="45641C52" w14:textId="5074DE15" w:rsidR="007672F7" w:rsidRPr="00405303" w:rsidRDefault="007672F7" w:rsidP="00C15251">
      <w:pPr>
        <w:pStyle w:val="ae"/>
        <w:shd w:val="clear" w:color="auto" w:fill="FFFFFF"/>
        <w:spacing w:before="0" w:beforeAutospacing="0" w:after="0" w:afterAutospacing="0"/>
        <w:jc w:val="both"/>
        <w:rPr>
          <w:bCs/>
          <w:color w:val="002060"/>
          <w:sz w:val="16"/>
          <w:szCs w:val="16"/>
        </w:rPr>
      </w:pPr>
      <w:r w:rsidRPr="00405303">
        <w:rPr>
          <w:bCs/>
          <w:color w:val="002060"/>
          <w:sz w:val="16"/>
          <w:szCs w:val="16"/>
        </w:rPr>
        <w:t>9 (22) декабря 1915г. вышла резолюция Председателя Особого совещания по обороне государства о строительстве автомобильных заводов, однако окончательное решение было вынесено Советом министров только в феврале 1916 г. 26 февраля ГВТУ по поручению Особого совещания заключило контракты с акционерными обществами Русско-Балтийского вагонного завода, «Аксай», «Русский Рено», «В.А.Лебедев» и товариществом на паях московского автомобильного завода «АМО»</w:t>
      </w:r>
      <w:bookmarkStart w:id="315" w:name="_ednref74"/>
      <w:r w:rsidRPr="00405303">
        <w:rPr>
          <w:bCs/>
          <w:color w:val="002060"/>
          <w:sz w:val="16"/>
          <w:szCs w:val="16"/>
        </w:rPr>
        <w:t>(</w:t>
      </w:r>
      <w:r w:rsidRPr="00405303">
        <w:rPr>
          <w:bCs/>
          <w:color w:val="002060"/>
          <w:sz w:val="16"/>
          <w:szCs w:val="16"/>
          <w:shd w:val="clear" w:color="auto" w:fill="FFFFFF"/>
        </w:rPr>
        <w:t>Цена и условия договора не устроили о-во «П. Ильин» и вместо него было принято предложение фирмы «Русский</w:t>
      </w:r>
      <w:r w:rsidR="000F5756">
        <w:rPr>
          <w:bCs/>
          <w:color w:val="002060"/>
          <w:sz w:val="16"/>
          <w:szCs w:val="16"/>
          <w:shd w:val="clear" w:color="auto" w:fill="FFFFFF"/>
        </w:rPr>
        <w:t xml:space="preserve"> </w:t>
      </w:r>
      <w:r w:rsidRPr="00405303">
        <w:rPr>
          <w:bCs/>
          <w:color w:val="002060"/>
          <w:sz w:val="16"/>
          <w:szCs w:val="16"/>
          <w:shd w:val="clear" w:color="auto" w:fill="FFFFFF"/>
        </w:rPr>
        <w:t>Рено». 31 марта 1916 г. был утвержден Устав акционерного о-ва механических передвижений и производств «В.А. Лебедев». Торговый дом Кузнецова и Рябушинских был преобразован в Т-во на паях «АМО» в начале 1916 г.</w:t>
      </w:r>
      <w:r w:rsidRPr="00405303">
        <w:rPr>
          <w:bCs/>
          <w:color w:val="002060"/>
          <w:sz w:val="16"/>
          <w:szCs w:val="16"/>
        </w:rPr>
        <w:t>)</w:t>
      </w:r>
      <w:bookmarkEnd w:id="315"/>
      <w:r w:rsidRPr="00405303">
        <w:rPr>
          <w:bCs/>
          <w:color w:val="002060"/>
          <w:sz w:val="16"/>
          <w:szCs w:val="16"/>
        </w:rPr>
        <w:t>. В договорах специально оговаривалось, что для выполнения принятого на себя заказа поставщик должен построить завод, оборудовать его и пустить в ход не позднее 7 октября 1916 г.</w:t>
      </w:r>
      <w:bookmarkStart w:id="316" w:name="_ednref75"/>
      <w:r w:rsidRPr="00405303">
        <w:rPr>
          <w:bCs/>
          <w:color w:val="002060"/>
          <w:sz w:val="16"/>
          <w:szCs w:val="16"/>
        </w:rPr>
        <w:t xml:space="preserve"> (</w:t>
      </w:r>
      <w:r w:rsidRPr="00405303">
        <w:rPr>
          <w:bCs/>
          <w:color w:val="002060"/>
          <w:sz w:val="16"/>
          <w:szCs w:val="16"/>
          <w:shd w:val="clear" w:color="auto" w:fill="FFFFFF"/>
        </w:rPr>
        <w:t>РГВИА. Ф. 815. Оп. 1. Д. 24. Л. 3. Завер. копия</w:t>
      </w:r>
      <w:r w:rsidR="000F5756">
        <w:rPr>
          <w:bCs/>
          <w:color w:val="002060"/>
          <w:sz w:val="16"/>
          <w:szCs w:val="16"/>
          <w:shd w:val="clear" w:color="auto" w:fill="FFFFFF"/>
        </w:rPr>
        <w:t xml:space="preserve"> </w:t>
      </w:r>
      <w:r w:rsidRPr="00405303">
        <w:rPr>
          <w:bCs/>
          <w:color w:val="002060"/>
          <w:sz w:val="16"/>
          <w:szCs w:val="16"/>
          <w:shd w:val="clear" w:color="auto" w:fill="FFFFFF"/>
        </w:rPr>
        <w:t>договора ГВТУ с «АМО»</w:t>
      </w:r>
      <w:r w:rsidRPr="00405303">
        <w:rPr>
          <w:bCs/>
          <w:color w:val="002060"/>
          <w:sz w:val="16"/>
          <w:szCs w:val="16"/>
        </w:rPr>
        <w:t>).</w:t>
      </w:r>
      <w:bookmarkEnd w:id="316"/>
      <w:r w:rsidR="00DB4D64" w:rsidRPr="00405303">
        <w:rPr>
          <w:bCs/>
          <w:color w:val="002060"/>
          <w:sz w:val="16"/>
          <w:szCs w:val="16"/>
        </w:rPr>
        <w:t xml:space="preserve"> </w:t>
      </w:r>
      <w:r w:rsidRPr="00405303">
        <w:rPr>
          <w:bCs/>
          <w:color w:val="002060"/>
          <w:sz w:val="16"/>
          <w:szCs w:val="16"/>
        </w:rPr>
        <w:t>В контракте указывалось, что запасные части к автомашинам, большая часть оборудования должны производиться и приобретаться в России. В то же время допускалась закупка за границей частей и материалов на сумму не свыше 30 % контрактной стоимости, что представляется весьма значительной суммой. Эти статьи создавали определенный барьер, не допускающий превращения предприятий в обычные сборочные мастерские. В соответствии с договорами заводам предоставлялись авансы в размере 32,5 % контрактной стоимости</w:t>
      </w:r>
      <w:r w:rsidR="000F5756">
        <w:rPr>
          <w:bCs/>
          <w:color w:val="002060"/>
          <w:sz w:val="16"/>
          <w:szCs w:val="16"/>
        </w:rPr>
        <w:t xml:space="preserve"> </w:t>
      </w:r>
      <w:r w:rsidRPr="00405303">
        <w:rPr>
          <w:bCs/>
          <w:color w:val="002060"/>
          <w:sz w:val="16"/>
          <w:szCs w:val="16"/>
        </w:rPr>
        <w:t>и ссуда в 10 % от заказа с начислением 5 % годовых сроком на 15 лет с погашением равными частями, начиная с конца шестого года. Для осуществления заграничных закупок, допускаемых контрактом, заводам выдавалась соответствующая валюта</w:t>
      </w:r>
      <w:bookmarkStart w:id="317" w:name="_ednref76"/>
      <w:r w:rsidRPr="00405303">
        <w:rPr>
          <w:bCs/>
          <w:color w:val="002060"/>
          <w:sz w:val="16"/>
          <w:szCs w:val="16"/>
        </w:rPr>
        <w:t xml:space="preserve"> (</w:t>
      </w:r>
      <w:r w:rsidRPr="00405303">
        <w:rPr>
          <w:bCs/>
          <w:color w:val="002060"/>
          <w:sz w:val="16"/>
          <w:szCs w:val="16"/>
          <w:shd w:val="clear" w:color="auto" w:fill="FFFFFF"/>
        </w:rPr>
        <w:t>Ссуда не выдавалась только «Русскому Рено» как предприятию, в котором участвовал иностранный капитал</w:t>
      </w:r>
      <w:r w:rsidRPr="00405303">
        <w:rPr>
          <w:bCs/>
          <w:color w:val="002060"/>
          <w:sz w:val="16"/>
          <w:szCs w:val="16"/>
        </w:rPr>
        <w:t>)</w:t>
      </w:r>
      <w:bookmarkEnd w:id="317"/>
      <w:r w:rsidRPr="00405303">
        <w:rPr>
          <w:bCs/>
          <w:color w:val="002060"/>
          <w:sz w:val="16"/>
          <w:szCs w:val="16"/>
        </w:rPr>
        <w:t>. Программа автомобильного строительства финансировалась в счет кредита, предоставленного военному министру в размере 140,1 млн. руб. на основе Особого журнала Совета министров от 29 января 1916 г. Вся контрактная стоимость поставки составляла 133,5 тыс. руб., а сумма авансов, ссуд и выданной валюты превышала 94 тыс. руб., что свидетельствует о том, что большая часть расходов при сооружении частных автомобильных заводов легла на плечи государства</w:t>
      </w:r>
      <w:bookmarkStart w:id="318" w:name="_ednref77"/>
      <w:r w:rsidRPr="00405303">
        <w:rPr>
          <w:bCs/>
          <w:color w:val="002060"/>
          <w:sz w:val="16"/>
          <w:szCs w:val="16"/>
        </w:rPr>
        <w:t xml:space="preserve"> (</w:t>
      </w:r>
      <w:r w:rsidRPr="00405303">
        <w:rPr>
          <w:bCs/>
          <w:color w:val="002060"/>
          <w:sz w:val="16"/>
          <w:szCs w:val="16"/>
          <w:shd w:val="clear" w:color="auto" w:fill="FFFFFF"/>
        </w:rPr>
        <w:t>РГИА. Ф. 1525. Оп. 1. Д. 354. Л. 105</w:t>
      </w:r>
      <w:r w:rsidRPr="00405303">
        <w:rPr>
          <w:bCs/>
          <w:color w:val="002060"/>
          <w:sz w:val="16"/>
          <w:szCs w:val="16"/>
        </w:rPr>
        <w:t>)</w:t>
      </w:r>
      <w:bookmarkEnd w:id="318"/>
      <w:r w:rsidRPr="00405303">
        <w:rPr>
          <w:bCs/>
          <w:color w:val="002060"/>
          <w:sz w:val="16"/>
          <w:szCs w:val="16"/>
        </w:rPr>
        <w:t>.</w:t>
      </w:r>
    </w:p>
    <w:p w14:paraId="2C9F3E65" w14:textId="77777777" w:rsidR="007672F7" w:rsidRPr="00405303" w:rsidRDefault="007672F7" w:rsidP="00C15251">
      <w:pPr>
        <w:pStyle w:val="ae"/>
        <w:shd w:val="clear" w:color="auto" w:fill="FFFFFF"/>
        <w:spacing w:before="0" w:beforeAutospacing="0" w:after="0" w:afterAutospacing="0"/>
        <w:jc w:val="both"/>
        <w:rPr>
          <w:bCs/>
          <w:color w:val="002060"/>
          <w:sz w:val="16"/>
          <w:szCs w:val="16"/>
        </w:rPr>
      </w:pPr>
      <w:r w:rsidRPr="00405303">
        <w:rPr>
          <w:bCs/>
          <w:color w:val="002060"/>
          <w:sz w:val="16"/>
          <w:szCs w:val="16"/>
        </w:rPr>
        <w:lastRenderedPageBreak/>
        <w:t>Отпуская такие большие средства на сооружение частных автомобильных предприятий, военное ведомство приняло ряд мер, направленных к созданию государственного контроля и осуществлению определенного государственного руководства строительством автомобильных предприятий. В приказе по ГВТУ от 24 марта 1916 г. указывалось, что для наблюдения за сооружением и оборудованием автомобильных заводов, а также расходованием авансов и ссуд, временно создается делопроизводство по частным автомобильным заводам во главе с военным инженером, генерал-майором Г.Г. Кривошеиным. На каждое отдельное предприятие назначались представители ГВТУ с правами членов правлений, которые регулярно в своих рапортах сообщали о ходе строительства</w:t>
      </w:r>
      <w:bookmarkStart w:id="319" w:name="_ednref78"/>
      <w:r w:rsidRPr="00405303">
        <w:rPr>
          <w:bCs/>
          <w:color w:val="002060"/>
          <w:sz w:val="16"/>
          <w:szCs w:val="16"/>
        </w:rPr>
        <w:t xml:space="preserve"> (</w:t>
      </w:r>
      <w:r w:rsidRPr="00405303">
        <w:rPr>
          <w:bCs/>
          <w:color w:val="002060"/>
          <w:sz w:val="16"/>
          <w:szCs w:val="16"/>
          <w:shd w:val="clear" w:color="auto" w:fill="FFFFFF"/>
        </w:rPr>
        <w:t>РГВИА. Ф. 802. Оп. 1. Д. 111. Л. 34</w:t>
      </w:r>
      <w:r w:rsidRPr="00405303">
        <w:rPr>
          <w:bCs/>
          <w:color w:val="002060"/>
          <w:sz w:val="16"/>
          <w:szCs w:val="16"/>
        </w:rPr>
        <w:t>)</w:t>
      </w:r>
      <w:hyperlink r:id="rId79" w:anchor="_edn78" w:history="1"/>
      <w:bookmarkEnd w:id="319"/>
      <w:r w:rsidRPr="00405303">
        <w:rPr>
          <w:bCs/>
          <w:color w:val="002060"/>
          <w:sz w:val="16"/>
          <w:szCs w:val="16"/>
        </w:rPr>
        <w:t>.</w:t>
      </w:r>
    </w:p>
    <w:p w14:paraId="742982E7" w14:textId="6F2CC58A" w:rsidR="007672F7" w:rsidRPr="00405303" w:rsidRDefault="007672F7" w:rsidP="00C15251">
      <w:pPr>
        <w:pStyle w:val="ae"/>
        <w:shd w:val="clear" w:color="auto" w:fill="FFFFFF"/>
        <w:spacing w:before="0" w:beforeAutospacing="0" w:after="0" w:afterAutospacing="0"/>
        <w:jc w:val="both"/>
        <w:rPr>
          <w:bCs/>
          <w:color w:val="002060"/>
          <w:sz w:val="16"/>
          <w:szCs w:val="16"/>
        </w:rPr>
      </w:pPr>
      <w:r w:rsidRPr="00405303">
        <w:rPr>
          <w:bCs/>
          <w:color w:val="002060"/>
          <w:sz w:val="16"/>
          <w:szCs w:val="16"/>
        </w:rPr>
        <w:t>Решение Особого совещания по обороне о строительстве автомобильных заводов и заключении контрактов было встречено с большим удовлетворением промышленными кругами. Газета «Известия ЦВПК» писала: «Центральный военно-промышленный комитет, выдвинув этот вопрос и поставив его на реальную почву практического разрешения, проявил разумную инициативу масштаба государственного значения, а военное ведомство правильно учло эту инициативу и приняло на себя, в сотрудничестве с представителями мобилизованной промышленности, разрешение вопроса о насаждении отечественной автомобильной промышленности, и вот теперь вопрос решен». Не менее восторженный отзыв был помещен на страницах журнала «Автомобиль»: «Итак, русской промышленности открыт путь к ее развитию. Правительство пошло навстречу потребности страны в этом новом средстве сообщения и не побоялось больших материальных затрат, чтобы поставить дело на прочное основание»</w:t>
      </w:r>
      <w:bookmarkStart w:id="320" w:name="_ednref79"/>
      <w:r w:rsidRPr="00405303">
        <w:rPr>
          <w:bCs/>
          <w:color w:val="002060"/>
          <w:sz w:val="16"/>
          <w:szCs w:val="16"/>
        </w:rPr>
        <w:t xml:space="preserve"> (</w:t>
      </w:r>
      <w:r w:rsidRPr="00405303">
        <w:rPr>
          <w:bCs/>
          <w:color w:val="002060"/>
          <w:sz w:val="16"/>
          <w:szCs w:val="16"/>
          <w:shd w:val="clear" w:color="auto" w:fill="FFFFFF"/>
        </w:rPr>
        <w:t>Известия ЦВПК.</w:t>
      </w:r>
      <w:r w:rsidR="000F5756">
        <w:rPr>
          <w:bCs/>
          <w:color w:val="002060"/>
          <w:sz w:val="16"/>
          <w:szCs w:val="16"/>
          <w:shd w:val="clear" w:color="auto" w:fill="FFFFFF"/>
        </w:rPr>
        <w:t xml:space="preserve"> </w:t>
      </w:r>
      <w:r w:rsidRPr="00405303">
        <w:rPr>
          <w:bCs/>
          <w:color w:val="002060"/>
          <w:sz w:val="16"/>
          <w:szCs w:val="16"/>
          <w:shd w:val="clear" w:color="auto" w:fill="FFFFFF"/>
        </w:rPr>
        <w:t>№ 68 от 8 марта 1916 г. Автомобиль,</w:t>
      </w:r>
      <w:r w:rsidR="000F5756">
        <w:rPr>
          <w:bCs/>
          <w:color w:val="002060"/>
          <w:sz w:val="16"/>
          <w:szCs w:val="16"/>
          <w:shd w:val="clear" w:color="auto" w:fill="FFFFFF"/>
        </w:rPr>
        <w:t xml:space="preserve"> </w:t>
      </w:r>
      <w:r w:rsidRPr="00405303">
        <w:rPr>
          <w:bCs/>
          <w:color w:val="002060"/>
          <w:sz w:val="16"/>
          <w:szCs w:val="16"/>
          <w:shd w:val="clear" w:color="auto" w:fill="FFFFFF"/>
        </w:rPr>
        <w:t>№ 5. 1916. С. 6440.</w:t>
      </w:r>
      <w:r w:rsidRPr="00405303">
        <w:rPr>
          <w:bCs/>
          <w:color w:val="002060"/>
          <w:sz w:val="16"/>
          <w:szCs w:val="16"/>
        </w:rPr>
        <w:t>)</w:t>
      </w:r>
      <w:bookmarkEnd w:id="320"/>
      <w:r w:rsidRPr="00405303">
        <w:rPr>
          <w:bCs/>
          <w:color w:val="002060"/>
          <w:sz w:val="16"/>
          <w:szCs w:val="16"/>
        </w:rPr>
        <w:t xml:space="preserve"> (21552).</w:t>
      </w:r>
    </w:p>
    <w:p w14:paraId="778FCC6E" w14:textId="77777777" w:rsidR="007672F7" w:rsidRPr="00405303" w:rsidRDefault="007672F7" w:rsidP="00C15251">
      <w:pPr>
        <w:jc w:val="both"/>
        <w:rPr>
          <w:bCs/>
          <w:color w:val="002060"/>
          <w:sz w:val="16"/>
          <w:szCs w:val="16"/>
        </w:rPr>
      </w:pPr>
    </w:p>
    <w:p w14:paraId="16DF6EC3" w14:textId="77777777" w:rsidR="00DB0C4E" w:rsidRPr="00405303" w:rsidRDefault="00DB0C4E" w:rsidP="00C15251">
      <w:pPr>
        <w:jc w:val="both"/>
        <w:rPr>
          <w:bCs/>
          <w:color w:val="002060"/>
          <w:sz w:val="16"/>
          <w:szCs w:val="16"/>
        </w:rPr>
      </w:pPr>
      <w:r w:rsidRPr="00405303">
        <w:rPr>
          <w:bCs/>
          <w:color w:val="002060"/>
          <w:sz w:val="16"/>
          <w:szCs w:val="16"/>
        </w:rPr>
        <w:t>9 (22) декабря 1915г. вышла резолюция Председателя Особого совещания по обороне государства о строительстве автомобильных заводов, на основу которой в феврале 1916 г. Советом министров было вынесено окончательное решение. 26 февраля ГВТУ по поручению Особого совещания заключило контракты с акционерными обществами Русско-Балтийского вагонного завода, «Аксай», «Русский Рено», «В.А.Лебедев» и товариществом на паях московского автомобильного завода «АМО» [Цена и условия договора не устроили о-во «П. Ильин» и вместо него было принято предложение фирмы «Русский Рено». 31 марта 1916 г. был утвержден Устав акционерного о-ва механических передвижений и производств «В.А. Лебедев». Торговый дом Кузнецова и Рябушинских был преобразован в Т-во на паях «АМО» в начале 1916 г.]. В договорах специально оговаривалось, что для выполнения принятого на себя заказа поставщик должен построить завод, оборудовать его и пустить в ход не позднее 7 октября 1916 г. [РГВИА. Ф. 815. Оп. 1. Д. 24. Л. 3. Завер. копия договора ГВТУ с «АМО».] В контракте указывалось, что запасные части к автомашинам, большая часть оборудования должны производиться и приобретаться в России. В то же время допускалась закупка за границей частей и материалов на сумму не свыше 30 % контрактной стоимости, что представляется весьма значительной суммой. Эти статьи создавали определенный барьер, не допускающий превращения предприятий в обычные сборочные мастерские. В соответствии с договорами заводам предоставлялись авансы в размере 32,5 % контрактной стоимости и ссуда в 10 % от заказа с начислением 5 % годовых сроком на 15 лет с погашением равными частями, начиная с конца шестого года. Для осуществления заграничных закупок, допускаемых контрактом, заводам выдавалась соответствующая валюта [Ссуда не выдавалась только «Русскому Рено» как предприятию, в котором участвовал иностранный капитал.]. Программа автомобильного строительства финансировалась в счет кредита, предоставленного военному министру в размере 140,1 млн. руб. на основе Особого журнала Совета министров от 29 января 1916 г. Вся контрактная стоимость поставки составляла 133,5 тыс. руб., а сумма авансов, ссуд и выданной валюты превышала 94 тыс. руб., что свидетельствует о том, что большая часть расходов при сооружении частных автомобильных заводов легла на плечи государства [РГИА. Ф. 1525. Оп. 1. Д. 354. Л. 105.].</w:t>
      </w:r>
    </w:p>
    <w:p w14:paraId="14A8DE59" w14:textId="77777777" w:rsidR="00DB0C4E" w:rsidRPr="00405303" w:rsidRDefault="00DB0C4E" w:rsidP="00C15251">
      <w:pPr>
        <w:jc w:val="both"/>
        <w:rPr>
          <w:bCs/>
          <w:color w:val="002060"/>
          <w:sz w:val="16"/>
          <w:szCs w:val="16"/>
        </w:rPr>
      </w:pPr>
      <w:r w:rsidRPr="00405303">
        <w:rPr>
          <w:bCs/>
          <w:color w:val="002060"/>
          <w:sz w:val="16"/>
          <w:szCs w:val="16"/>
        </w:rPr>
        <w:t>Отпуская такие большие средства на сооружение частных автомобильных предприятий, военное ведомство приняло ряд мер, направленных к созданию государственного контроля и осуществлению определенного государственного руководства строительством автомобильных предприятий. В приказе по ГВТУ от 24 марта 1916 г. указывалось, что для наблюдения за сооружением и оборудованием автомобильных заводов, а также расходованием авансов и ссуд, временно создается делопроизводство по частным автомобильным заводам во главе с военным инженером, генерал-майором Г.Г. Кривошеиным. На каждое отдельное предприятие назначались представители ГВТУ с правами членов правлений, которые регулярно в своих рапортах сообщали о ходе строительства [РГВИА. Ф. 802. Оп. 1. Д. 111. Л. 34.].</w:t>
      </w:r>
    </w:p>
    <w:p w14:paraId="2D66B5F4" w14:textId="77777777" w:rsidR="00DB0C4E" w:rsidRPr="00405303" w:rsidRDefault="00DB0C4E" w:rsidP="00C15251">
      <w:pPr>
        <w:jc w:val="both"/>
        <w:rPr>
          <w:bCs/>
          <w:color w:val="002060"/>
          <w:sz w:val="16"/>
          <w:szCs w:val="16"/>
        </w:rPr>
      </w:pPr>
      <w:r w:rsidRPr="00405303">
        <w:rPr>
          <w:bCs/>
          <w:color w:val="002060"/>
          <w:sz w:val="16"/>
          <w:szCs w:val="16"/>
        </w:rPr>
        <w:t>Решение Особого совещания по обороне о строительстве автомобильных заводов и заключении контрактов было встречено с большим удовлетворением промышленными кругами. Газета «Известия ЦВПК» писала: «Центральный военно-промышленный комитет, выдвинув этот вопрос и поставив его на реальную почву практического разрешения, проявил разумную инициативу масштаба государственного значения, а военное ведомство правильно учло эту инициативу и приняло на себя, в сотрудничестве с представителями мобилизованной промышленности, разрешение вопроса о насаждении отечественной автомобильной промышленности, и вот теперь вопрос решен». Не менее восторженный отзыв был помещен на страницах журнала «Автомобиль»: «Итак, русской промышленности открыт путь к ее развитию. Правительство пошло навстречу потребности страны в этом новом средстве сообщения и не побоялось больших материальных затрат, чтобы поставить дело на прочное основание» [Известия ЦВПК. № 68 от 8 марта 1916 г. Автомобиль, № 5. 1916. С. 6440.].</w:t>
      </w:r>
    </w:p>
    <w:p w14:paraId="585F1F44" w14:textId="77777777" w:rsidR="00DB0C4E" w:rsidRPr="00405303" w:rsidRDefault="00DB0C4E" w:rsidP="00C15251">
      <w:pPr>
        <w:jc w:val="both"/>
        <w:rPr>
          <w:bCs/>
          <w:color w:val="002060"/>
          <w:sz w:val="16"/>
          <w:szCs w:val="16"/>
        </w:rPr>
      </w:pPr>
      <w:r w:rsidRPr="00405303">
        <w:rPr>
          <w:bCs/>
          <w:color w:val="002060"/>
          <w:sz w:val="16"/>
          <w:szCs w:val="16"/>
        </w:rPr>
        <w:t>Реализация решения о сооружении казенного автомобильного завода, принципиально одобренного Особым совещанием по обороне еще 21 октября 1915 г., затянулась. Только на заседании Совещания 23 января 1916 г. вопрос о казенном заводе перешел в практическую плоскость. В резолюции, утвержденной военным министром на следующий день, указывалось: «Предоставить ГВТУ заключить договор с Британским инженерным обществом Сибири о постройке автомобильного завода с передачей в казну.” [РГВИА. Ф. 369. Оп. 1. Д. 173. Л. 31-33; Там же. Д. 54. Л. 191. Британское инженерное общество Сибири (сокращенно – «Бекос») объединяло 60 британских акционерных обществ. Учреждено в 1913 г. по инициативе английского министерства торговли и промышленности. Директор правления - А. Маршалл. Представитель в России - П. Стефанкевич.] Договор ГВТУ с обществом «Бекос» был подписан 2 мая 1916 г. Контракт предусматривал сооружение завода с полным оборудованием и изготовлением на нем в течение 3 лет эксплуатации 3 тыс. автомобилей и ремонт в течение того же срока до тысячи автомашин. По решению Совета министров военному ведомству был открыт кредит в размере 55010 тыс. руб. Эта сумма включала не только контрактную стоимость поставки автомобилей, но также оплату постройки, оборудования завода и рабочего поселка при нем [Там же. Ф. 815. Оп. 1. Д. 17. Заверенная копия договора. Там же. Ф. 369. Оп. 2. Д. 54. Л. 480.]. Обществу «Бекос» выдавался аванс в размере 250 тыс. руб. Особо в договоре были оговорены условия заграничных закупок деталей и материалов: в последний год эксплуатации завода их разрешалось приобрести только на 7,2 % от стоимости поставки. Как и в случае с частными автомобильными заводами, для осуществления финансового и технического контроля за строительством в структуре ГВТУ было создано делопроизводство казенного завода военных самоходов во главе с военным инженером, полковником Бобровским.</w:t>
      </w:r>
    </w:p>
    <w:p w14:paraId="543F546F" w14:textId="77777777" w:rsidR="00DB0C4E" w:rsidRPr="00405303" w:rsidRDefault="00DB0C4E" w:rsidP="00C15251">
      <w:pPr>
        <w:jc w:val="both"/>
        <w:rPr>
          <w:bCs/>
          <w:color w:val="002060"/>
          <w:sz w:val="16"/>
          <w:szCs w:val="16"/>
        </w:rPr>
      </w:pPr>
      <w:r w:rsidRPr="00405303">
        <w:rPr>
          <w:bCs/>
          <w:color w:val="002060"/>
          <w:sz w:val="16"/>
          <w:szCs w:val="16"/>
        </w:rPr>
        <w:t xml:space="preserve">Итак, вопрос о развитии отечественной автомобильной промышленности был разрешен в виде принятия определенной программы строительства </w:t>
      </w:r>
      <w:proofErr w:type="gramStart"/>
      <w:r w:rsidRPr="00405303">
        <w:rPr>
          <w:bCs/>
          <w:color w:val="002060"/>
          <w:sz w:val="16"/>
          <w:szCs w:val="16"/>
        </w:rPr>
        <w:t>пяти частных</w:t>
      </w:r>
      <w:proofErr w:type="gramEnd"/>
      <w:r w:rsidRPr="00405303">
        <w:rPr>
          <w:bCs/>
          <w:color w:val="002060"/>
          <w:sz w:val="16"/>
          <w:szCs w:val="16"/>
        </w:rPr>
        <w:t xml:space="preserve"> и одного казенного заводов. Хотя предприятия сооружались в разных местах, но нельзя не отметить явное предпочтение городов Центрально-промышленного региона и особенно Москвы. Во второй столице было намечено строительство сразу трех заводов: в районе Симонова монастыря в Тюфелевой роще – «АМО», на Филях - РБВЗ и около Мытищ, в Подлипках – казенный завод. В Ярославле строился завод о-ва «В.А. Лебедев» и в Рыбинске – «Русский Рено». И только предприятие общества «Аксай» сооружалось на юге страны в Ростове - на- Дону [Информация о сооружении автомобильных предприятий в наиболее обобщенном виде содержится в документах: Сведения об успехе строительных работ на казенном заводе (РГВИА. Ф. 814. Оп. 1. Д. 51. Л. 1,7); Сведения о постройке пяти частных автомобильных заводов на октябрь 1916 г. (Архив ВИМАИВС и ВС. Ф. 13. Оп. 87/1. Д. 54. Л. 88-90об.); Сведения о состоянии работ на частных автомобильных заводах на июнь 1917 г. (РГВИА. Ф. 815. Оп. 1. Д. 23. Л. 112); Справка Г.Г. Кривошеина о положении 5 частных автомобильных заводов в ГВТУ от 8 января 1918 г. (РГВИА. Ф. 815. Оп. 1. Д. 23. Л. 489-490); Опись принятых в октябре 1918 г. заводских зданий казенного завода военных самоходов (РГВИА. Ф. 814. Оп. 1. Д. 86. Л. 61- 61об.)] (11863).</w:t>
      </w:r>
    </w:p>
    <w:p w14:paraId="1C971346" w14:textId="77777777" w:rsidR="00DB0C4E" w:rsidRPr="00405303" w:rsidRDefault="00DB0C4E" w:rsidP="00C15251">
      <w:pPr>
        <w:jc w:val="both"/>
        <w:rPr>
          <w:bCs/>
          <w:color w:val="002060"/>
          <w:sz w:val="16"/>
          <w:szCs w:val="16"/>
        </w:rPr>
      </w:pPr>
    </w:p>
    <w:p w14:paraId="7C32E123" w14:textId="77777777" w:rsidR="009719B0" w:rsidRPr="00405303" w:rsidRDefault="009719B0" w:rsidP="00C15251">
      <w:pPr>
        <w:shd w:val="clear" w:color="auto" w:fill="FFFFFF"/>
        <w:jc w:val="both"/>
        <w:rPr>
          <w:bCs/>
          <w:i/>
          <w:color w:val="002060"/>
          <w:sz w:val="16"/>
          <w:szCs w:val="16"/>
        </w:rPr>
      </w:pPr>
      <w:r w:rsidRPr="00405303">
        <w:rPr>
          <w:bCs/>
          <w:i/>
          <w:color w:val="002060"/>
          <w:sz w:val="16"/>
          <w:szCs w:val="16"/>
        </w:rPr>
        <w:t>Авиация:</w:t>
      </w:r>
    </w:p>
    <w:p w14:paraId="46F3EC08" w14:textId="77777777" w:rsidR="009719B0" w:rsidRPr="00405303" w:rsidRDefault="009719B0" w:rsidP="00C15251">
      <w:pPr>
        <w:shd w:val="clear" w:color="auto" w:fill="FFFFFF"/>
        <w:jc w:val="both"/>
        <w:rPr>
          <w:bCs/>
          <w:i/>
          <w:color w:val="002060"/>
          <w:sz w:val="16"/>
          <w:szCs w:val="16"/>
        </w:rPr>
      </w:pPr>
    </w:p>
    <w:p w14:paraId="14638CEF" w14:textId="77777777" w:rsidR="00272D59" w:rsidRPr="00B52707" w:rsidRDefault="00272D59" w:rsidP="00272D59">
      <w:pPr>
        <w:jc w:val="both"/>
        <w:rPr>
          <w:color w:val="0070C0"/>
          <w:sz w:val="16"/>
          <w:szCs w:val="16"/>
        </w:rPr>
      </w:pPr>
      <w:r w:rsidRPr="00B52707">
        <w:rPr>
          <w:rStyle w:val="aa"/>
          <w:rFonts w:ascii="Times New Roman" w:hAnsi="Times New Roman"/>
          <w:color w:val="0070C0"/>
          <w:spacing w:val="0"/>
          <w:sz w:val="16"/>
          <w:szCs w:val="16"/>
        </w:rPr>
        <w:t>9 (22) декабря 1915 г. австрийский аэроплан, «поднявшийся из Буковины, обстрелянный нашими войсками, был вынужден спуститься на территорию Румынии. Офицеры-летчики арестованы вместе с аппаратом» (25135).</w:t>
      </w:r>
    </w:p>
    <w:p w14:paraId="4A226193" w14:textId="77777777" w:rsidR="00272D59" w:rsidRPr="00B52707" w:rsidRDefault="00272D59" w:rsidP="00272D59">
      <w:pPr>
        <w:jc w:val="both"/>
        <w:rPr>
          <w:color w:val="0070C0"/>
          <w:sz w:val="16"/>
          <w:szCs w:val="16"/>
        </w:rPr>
      </w:pPr>
    </w:p>
    <w:p w14:paraId="16B2D38A" w14:textId="1DAE9908" w:rsidR="009719B0" w:rsidRPr="00405303" w:rsidRDefault="009719B0" w:rsidP="00C15251">
      <w:pPr>
        <w:jc w:val="both"/>
        <w:rPr>
          <w:bCs/>
          <w:color w:val="002060"/>
          <w:sz w:val="16"/>
          <w:szCs w:val="16"/>
        </w:rPr>
      </w:pPr>
      <w:r w:rsidRPr="00405303">
        <w:rPr>
          <w:bCs/>
          <w:color w:val="002060"/>
          <w:sz w:val="16"/>
          <w:szCs w:val="16"/>
        </w:rPr>
        <w:lastRenderedPageBreak/>
        <w:t xml:space="preserve">9 </w:t>
      </w:r>
      <w:r w:rsidR="00DB0C4E" w:rsidRPr="00405303">
        <w:rPr>
          <w:bCs/>
          <w:color w:val="002060"/>
          <w:sz w:val="16"/>
          <w:szCs w:val="16"/>
        </w:rPr>
        <w:t xml:space="preserve">(22) </w:t>
      </w:r>
      <w:r w:rsidRPr="00405303">
        <w:rPr>
          <w:bCs/>
          <w:color w:val="002060"/>
          <w:sz w:val="16"/>
          <w:szCs w:val="16"/>
        </w:rPr>
        <w:t>декабря в 1915 году в Киеве образована военная школа летчиков-истребителей (открылась 23-го декабря) (14855).</w:t>
      </w:r>
    </w:p>
    <w:p w14:paraId="656A066F" w14:textId="77777777" w:rsidR="009719B0" w:rsidRPr="00405303" w:rsidRDefault="009719B0" w:rsidP="00C15251">
      <w:pPr>
        <w:jc w:val="both"/>
        <w:rPr>
          <w:bCs/>
          <w:color w:val="002060"/>
          <w:sz w:val="16"/>
          <w:szCs w:val="16"/>
        </w:rPr>
      </w:pPr>
    </w:p>
    <w:p w14:paraId="2F85BE18"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Армия:</w:t>
      </w:r>
    </w:p>
    <w:p w14:paraId="38DA7C88" w14:textId="77777777" w:rsidR="004B4E35" w:rsidRPr="00405303" w:rsidRDefault="004B4E35" w:rsidP="00C15251">
      <w:pPr>
        <w:shd w:val="clear" w:color="auto" w:fill="FFFFFF"/>
        <w:jc w:val="both"/>
        <w:rPr>
          <w:bCs/>
          <w:i/>
          <w:color w:val="002060"/>
          <w:sz w:val="16"/>
          <w:szCs w:val="16"/>
        </w:rPr>
      </w:pPr>
    </w:p>
    <w:p w14:paraId="30E830C5" w14:textId="1FCD9AE8"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9 </w:t>
      </w:r>
      <w:r w:rsidR="00DB0C4E" w:rsidRPr="00405303">
        <w:rPr>
          <w:bCs/>
          <w:i w:val="0"/>
          <w:color w:val="002060"/>
          <w:spacing w:val="0"/>
          <w:kern w:val="0"/>
          <w:position w:val="0"/>
          <w:sz w:val="16"/>
          <w:szCs w:val="16"/>
        </w:rPr>
        <w:t xml:space="preserve">(22) </w:t>
      </w:r>
      <w:r w:rsidRPr="00405303">
        <w:rPr>
          <w:bCs/>
          <w:i w:val="0"/>
          <w:color w:val="002060"/>
          <w:spacing w:val="0"/>
          <w:kern w:val="0"/>
          <w:position w:val="0"/>
          <w:sz w:val="16"/>
          <w:szCs w:val="16"/>
        </w:rPr>
        <w:t xml:space="preserve">декабря 1915 г. </w:t>
      </w:r>
      <w:r w:rsidR="00DB0C4E" w:rsidRPr="00405303">
        <w:rPr>
          <w:bCs/>
          <w:i w:val="0"/>
          <w:color w:val="002060"/>
          <w:spacing w:val="0"/>
          <w:kern w:val="0"/>
          <w:position w:val="0"/>
          <w:sz w:val="16"/>
          <w:szCs w:val="16"/>
        </w:rPr>
        <w:t xml:space="preserve">Приказом наштаверха </w:t>
      </w:r>
      <w:r w:rsidRPr="00405303">
        <w:rPr>
          <w:bCs/>
          <w:i w:val="0"/>
          <w:color w:val="002060"/>
          <w:spacing w:val="0"/>
          <w:kern w:val="0"/>
          <w:position w:val="0"/>
          <w:sz w:val="16"/>
          <w:szCs w:val="16"/>
        </w:rPr>
        <w:t xml:space="preserve">за № 343 был расширен почти вдвое штат передового артиллерийского запаса № 1. </w:t>
      </w:r>
    </w:p>
    <w:p w14:paraId="56A3B45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"Куда девались остальные передовые запасы (сформированные по числу армий) и долженствовавшие находиться на Западном фронте, - доносил начартснаб 3 марта 1917 г. Упарту, - установить пока не удалось". </w:t>
      </w:r>
    </w:p>
    <w:p w14:paraId="614AE92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районе отдельной 6-й армии оказались петроградские склады - артиллерийский и огнестрельных припасов. Работа этих складов во многом напоминала работу Киевского артиллерийского склада и подтвердила отсутствие должной мобилизационной подготовки по развертыванию работы складов в соответствии с их штатными силами. На петроградском артиллерийском складе хранилось разного рода имущество: а) предметы артиллерийского довольствия для снабжения армии; б) негодное, не подлежащее исправлению и отпуску, и в) реквизированное и эвакуированное... "Все имущество находилось на учете ГАУ, за исключением вы-деленного для Северного фронта". Работа склада по снабжению заключалась: а) в приеме разных предметов артиллерийского довольствия от казенных заводов, складов, от армий и от частных лиц; б) в хранении имущества впредь до распоряжения об отправке; в) в сортировке, упаковке и отправке (имущества в другие склады и на фронт и г) в исправлении и отчасти в изготовлении в своих мастерских оружия, запасных частей, разного рода ящиков, повозок и пр. Склад вел также учет по хранению, сортировке и выдаче эвакуированного и реквизирован-ного имущества. Прием предметов из Петроградского арсенала производился складом на месте в арсенале, там же предметы упаковывались я затем рассылались на вокзалы. Те же предметы, которые не получили назначения к моменту приема их складом, завозились на склад. Аналогичный порядок приема и отправки артиллерийских изделий установлен был для Петроградского орудийного завода. </w:t>
      </w:r>
    </w:p>
    <w:p w14:paraId="11DEDB0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Поставки от частных заводов принимались складом в свои помещения и отсюда уже рассылались после сортировки и т. п. Для характеристики работы артсклада приводятся следующие цифры: в 1914 г. перевезено из склада на железные дороги, в технические артиллерийские заведения и обратно 1207995 пудов груза, в 1915 г. - 3630519 пудов, </w:t>
      </w:r>
      <w:proofErr w:type="gramStart"/>
      <w:r w:rsidRPr="00405303">
        <w:rPr>
          <w:bCs/>
          <w:i w:val="0"/>
          <w:color w:val="002060"/>
          <w:spacing w:val="0"/>
          <w:kern w:val="0"/>
          <w:position w:val="0"/>
          <w:sz w:val="16"/>
          <w:szCs w:val="16"/>
        </w:rPr>
        <w:t>кроме того</w:t>
      </w:r>
      <w:proofErr w:type="gramEnd"/>
      <w:r w:rsidRPr="00405303">
        <w:rPr>
          <w:bCs/>
          <w:i w:val="0"/>
          <w:color w:val="002060"/>
          <w:spacing w:val="0"/>
          <w:kern w:val="0"/>
          <w:position w:val="0"/>
          <w:sz w:val="16"/>
          <w:szCs w:val="16"/>
        </w:rPr>
        <w:t xml:space="preserve"> переотправлено грузов, пришедших из-за границы, более 2 млн. пудов. </w:t>
      </w:r>
    </w:p>
    <w:p w14:paraId="2D846F6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Переписка в 1914 г. исходящих бумаг - 92820, в 1915 г. - 142443. </w:t>
      </w:r>
    </w:p>
    <w:p w14:paraId="4CB3C66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Не будем останавливаться на подробностях работы склада огнестрельных припасов, приведем лишь некоторые итоговые данные: ежедневно в складе работало 1700 солдат и 850 вольнонаемных, ежедневно снаряжалось около 50-60 тысяч снарядов, ежедневно отправлялись местные парки с личным составом. В течение 1915 г. было отправлено складом патронов к ручному оружию 370754358 и пушечных патронов 6673694. Работа канцелярии огнесклада в 1915 г.: входящих бумаг 56880, исходящих - 93260. </w:t>
      </w:r>
    </w:p>
    <w:p w14:paraId="27CEFF1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Огромная работа вызывала крайнюю и безусловную необходимость увеличения штатов обоих петроградских складов. </w:t>
      </w:r>
    </w:p>
    <w:p w14:paraId="4B1BD1A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Из краткого описания работ петроградских складов выявляется их роль и значение в общегосударственном масштабе; между тем они на основании ст. 640, 644, 645 и 658 Положения о полевом управлении с началом войны обратились в местные исполнительные органы главного начальника, снабжений армий Северного фронта, которыми ГАУ не вправе было пользоваться и распоряжаться. Однако, жизнь заставила как эти склады, так и петроградское окарту про должать выполнять распоряжения ГАУ впредь до издания Упартом в мае 1916 г. приказа наштаверха за № 652 о подчинении их ГАУ (11483). </w:t>
      </w:r>
    </w:p>
    <w:p w14:paraId="05466FB3" w14:textId="77777777" w:rsidR="004B4E35" w:rsidRPr="00405303" w:rsidRDefault="004B4E35" w:rsidP="00C15251">
      <w:pPr>
        <w:pStyle w:val="a3"/>
        <w:jc w:val="both"/>
        <w:rPr>
          <w:bCs/>
          <w:i w:val="0"/>
          <w:color w:val="002060"/>
          <w:spacing w:val="0"/>
          <w:kern w:val="0"/>
          <w:position w:val="0"/>
          <w:sz w:val="16"/>
          <w:szCs w:val="16"/>
        </w:rPr>
      </w:pPr>
    </w:p>
    <w:p w14:paraId="7A37E7D0"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4DC502D5" w14:textId="77777777" w:rsidR="004B4E35" w:rsidRPr="00405303" w:rsidRDefault="004B4E35" w:rsidP="00C15251">
      <w:pPr>
        <w:shd w:val="clear" w:color="auto" w:fill="FFFFFF"/>
        <w:jc w:val="both"/>
        <w:rPr>
          <w:bCs/>
          <w:i/>
          <w:color w:val="002060"/>
          <w:sz w:val="16"/>
          <w:szCs w:val="16"/>
        </w:rPr>
      </w:pPr>
    </w:p>
    <w:p w14:paraId="1A0A915A" w14:textId="70806AFD"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10 (23) декабря 1915 </w:t>
      </w:r>
      <w:r w:rsidR="00DB0C4E" w:rsidRPr="00405303">
        <w:rPr>
          <w:bCs/>
          <w:color w:val="002060"/>
          <w:sz w:val="16"/>
          <w:szCs w:val="16"/>
        </w:rPr>
        <w:t xml:space="preserve">г. </w:t>
      </w:r>
      <w:r w:rsidRPr="00405303">
        <w:rPr>
          <w:bCs/>
          <w:color w:val="002060"/>
          <w:sz w:val="16"/>
          <w:szCs w:val="16"/>
        </w:rPr>
        <w:t>комиссия в составе старшего лейтенанта А.А. Тучкова, начальника Воздухоплавательного отдела МГШ, и лейтенантов Б.Р. Миклашев</w:t>
      </w:r>
      <w:r w:rsidRPr="00405303">
        <w:rPr>
          <w:bCs/>
          <w:color w:val="002060"/>
          <w:sz w:val="16"/>
          <w:szCs w:val="16"/>
        </w:rPr>
        <w:softHyphen/>
        <w:t>ского и Г.А. Фриде из школы морских пилотов произвела официальную приемку самолета, зачислив его в казну. По иронии судьбы, Ф.В. Эбергарда совершенно забыли и он не мог получить причитавшиеся ему деньги до лета 1916 г. , отчасти под предлогом того, что ис</w:t>
      </w:r>
      <w:r w:rsidRPr="00405303">
        <w:rPr>
          <w:bCs/>
          <w:color w:val="002060"/>
          <w:sz w:val="16"/>
          <w:szCs w:val="16"/>
        </w:rPr>
        <w:softHyphen/>
        <w:t>пытания ВМ-1 должна были якобы возобновиться весной. На деле после декабрьской сдачи это была не более, чем одна из бюрократических проволочек (2843).</w:t>
      </w:r>
    </w:p>
    <w:p w14:paraId="2276F9B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Самолет ВМ-1 был одномоторным бипланом — летающей лодкой, обводы корпуса кото</w:t>
      </w:r>
      <w:r w:rsidRPr="00405303">
        <w:rPr>
          <w:bCs/>
          <w:color w:val="002060"/>
          <w:sz w:val="16"/>
          <w:szCs w:val="16"/>
        </w:rPr>
        <w:softHyphen/>
        <w:t>рой, как и вспомогательные боковые поплавки, вырабатывались на примере моделей Кср-тисса для наилучшего действия при волнении. Корпус, состоявший из ясеневого каркаса и обшивки из тройной фанеры, вмещал трех авиаторов: летчика на переднем месте и двух пассажиров на сиденьи позади него. Верхние и нижние двухлонжеронные крылья имели различный размах, тогда как их профиль выбирался на основе опытов Эйфеля и рассчиты</w:t>
      </w:r>
      <w:r w:rsidRPr="00405303">
        <w:rPr>
          <w:bCs/>
          <w:color w:val="002060"/>
          <w:sz w:val="16"/>
          <w:szCs w:val="16"/>
        </w:rPr>
        <w:softHyphen/>
        <w:t>вался на скорость 100-110 км/ч при стосильном двигателе. Нервюры изготовлялись по типу, "успешно испытанному на сухопутных аппаратах" Виллиша; нервюры верхнего крыла на 3/4 их длины были "эластичны" (подвижны), что предусматривало поперечное управление машиной посредством перекашивания части несущей поверхности. Управление рулями глу</w:t>
      </w:r>
      <w:r w:rsidRPr="00405303">
        <w:rPr>
          <w:bCs/>
          <w:color w:val="002060"/>
          <w:sz w:val="16"/>
          <w:szCs w:val="16"/>
        </w:rPr>
        <w:softHyphen/>
        <w:t>бины (то есть высоты) и поворота было фармановского типа, а само хвостовое оперение монтировалось на бамбуковой ферме, укрепленной на корпусе лодки. Два боковых поплав</w:t>
      </w:r>
      <w:r w:rsidRPr="00405303">
        <w:rPr>
          <w:bCs/>
          <w:color w:val="002060"/>
          <w:sz w:val="16"/>
          <w:szCs w:val="16"/>
        </w:rPr>
        <w:softHyphen/>
        <w:t>ка, снабженные "лопатками" Форланини (подводными крыльями) — "чем хорошо разреша</w:t>
      </w:r>
      <w:r w:rsidRPr="00405303">
        <w:rPr>
          <w:bCs/>
          <w:color w:val="002060"/>
          <w:sz w:val="16"/>
          <w:szCs w:val="16"/>
        </w:rPr>
        <w:softHyphen/>
        <w:t>ется вопрос поперчной устойчивости аппарата" на воде, — находились под нижними несу</w:t>
      </w:r>
      <w:r w:rsidRPr="00405303">
        <w:rPr>
          <w:bCs/>
          <w:color w:val="002060"/>
          <w:sz w:val="16"/>
          <w:szCs w:val="16"/>
        </w:rPr>
        <w:softHyphen/>
        <w:t>щими поверхностями. Основной 100-литровый топливный бак помещался внутри лодки, а расходный резервуар емкостью 30 л был установлен позади воздушного винта и мотора, который мог быть 80 или 100 л.с., но, как уже отмечалось, расчет делался на использование более мощного из этих двух. Наконец, сборка и разборка машины в эксплуатационных це</w:t>
      </w:r>
      <w:r w:rsidRPr="00405303">
        <w:rPr>
          <w:bCs/>
          <w:color w:val="002060"/>
          <w:sz w:val="16"/>
          <w:szCs w:val="16"/>
        </w:rPr>
        <w:softHyphen/>
        <w:t>лях производились быстро и не вызывали больших затруднений.</w:t>
      </w:r>
    </w:p>
    <w:p w14:paraId="4956E162" w14:textId="77777777" w:rsidR="004B4E35" w:rsidRPr="00405303" w:rsidRDefault="009E6F82" w:rsidP="00C15251">
      <w:pPr>
        <w:jc w:val="both"/>
        <w:rPr>
          <w:bCs/>
          <w:color w:val="002060"/>
          <w:sz w:val="16"/>
          <w:szCs w:val="16"/>
        </w:rPr>
      </w:pPr>
      <w:r w:rsidRPr="00405303">
        <w:rPr>
          <w:bCs/>
          <w:color w:val="002060"/>
          <w:sz w:val="16"/>
          <w:szCs w:val="16"/>
        </w:rPr>
        <w:t>При всем том аэроплан имел три особенности, делавшие его совсем непохожим на ап</w:t>
      </w:r>
      <w:r w:rsidRPr="00405303">
        <w:rPr>
          <w:bCs/>
          <w:color w:val="002060"/>
          <w:sz w:val="16"/>
          <w:szCs w:val="16"/>
        </w:rPr>
        <w:softHyphen/>
        <w:t>параты других конструкторов. Во-первых, коробка крыльев, соединенная посредством спе</w:t>
      </w:r>
      <w:r w:rsidRPr="00405303">
        <w:rPr>
          <w:bCs/>
          <w:color w:val="002060"/>
          <w:sz w:val="16"/>
          <w:szCs w:val="16"/>
        </w:rPr>
        <w:softHyphen/>
        <w:t>циальных шарниров с двумя Л-образными стойками на корпусе лодки, могла по команде пилота в полете изменять свой угол атаки, фиксировавшийся в пределах от +4 до +</w:t>
      </w:r>
      <w:proofErr w:type="gramStart"/>
      <w:r w:rsidRPr="00405303">
        <w:rPr>
          <w:bCs/>
          <w:color w:val="002060"/>
          <w:sz w:val="16"/>
          <w:szCs w:val="16"/>
        </w:rPr>
        <w:t>7 .</w:t>
      </w:r>
      <w:proofErr w:type="gramEnd"/>
      <w:r w:rsidRPr="00405303">
        <w:rPr>
          <w:bCs/>
          <w:color w:val="002060"/>
          <w:sz w:val="16"/>
          <w:szCs w:val="16"/>
        </w:rPr>
        <w:t xml:space="preserve"> Для управления этим устройством у летчика имелся специальный штурвал или приспособление, действовавшее по "принципу Вестингауза". Во-вторых, мотор, помещенный за коробкой крыльев, оснащался обычным впереди расположенным, то есть тянущим, пропеллером. На</w:t>
      </w:r>
      <w:r w:rsidRPr="00405303">
        <w:rPr>
          <w:bCs/>
          <w:color w:val="002060"/>
          <w:sz w:val="16"/>
          <w:szCs w:val="16"/>
        </w:rPr>
        <w:softHyphen/>
        <w:t>конец, днище корпуса лодки было оборудовано целой системой из пяти реданов (2843).</w:t>
      </w:r>
    </w:p>
    <w:p w14:paraId="251148C4" w14:textId="77777777" w:rsidR="004B4E35" w:rsidRPr="00405303" w:rsidRDefault="004B4E35" w:rsidP="00C15251">
      <w:pPr>
        <w:jc w:val="both"/>
        <w:rPr>
          <w:bCs/>
          <w:color w:val="002060"/>
          <w:sz w:val="16"/>
          <w:szCs w:val="16"/>
        </w:rPr>
      </w:pPr>
    </w:p>
    <w:p w14:paraId="23214AB7" w14:textId="77777777" w:rsidR="00CD247C" w:rsidRPr="00405303" w:rsidRDefault="00CD247C" w:rsidP="00C15251">
      <w:pPr>
        <w:jc w:val="both"/>
        <w:rPr>
          <w:bCs/>
          <w:i/>
          <w:color w:val="002060"/>
          <w:sz w:val="16"/>
          <w:szCs w:val="16"/>
        </w:rPr>
      </w:pPr>
      <w:r w:rsidRPr="00405303">
        <w:rPr>
          <w:bCs/>
          <w:i/>
          <w:color w:val="002060"/>
          <w:sz w:val="16"/>
          <w:szCs w:val="16"/>
        </w:rPr>
        <w:t>Другие оборонные отрасли:</w:t>
      </w:r>
    </w:p>
    <w:p w14:paraId="4F3C1B35" w14:textId="77777777" w:rsidR="00CD247C" w:rsidRPr="00405303" w:rsidRDefault="00CD247C" w:rsidP="00C15251">
      <w:pPr>
        <w:jc w:val="both"/>
        <w:rPr>
          <w:bCs/>
          <w:i/>
          <w:color w:val="002060"/>
          <w:sz w:val="16"/>
          <w:szCs w:val="16"/>
        </w:rPr>
      </w:pPr>
    </w:p>
    <w:p w14:paraId="4FEC9A18" w14:textId="1362B1BA" w:rsidR="00CD247C" w:rsidRPr="00405303" w:rsidRDefault="00CD247C" w:rsidP="00C15251">
      <w:pPr>
        <w:pStyle w:val="p1"/>
        <w:spacing w:before="0" w:beforeAutospacing="0" w:after="0" w:afterAutospacing="0"/>
        <w:jc w:val="both"/>
        <w:rPr>
          <w:bCs/>
          <w:color w:val="002060"/>
          <w:sz w:val="16"/>
          <w:szCs w:val="16"/>
        </w:rPr>
      </w:pPr>
      <w:r w:rsidRPr="00405303">
        <w:rPr>
          <w:bCs/>
          <w:color w:val="002060"/>
          <w:sz w:val="16"/>
          <w:szCs w:val="16"/>
        </w:rPr>
        <w:t xml:space="preserve">К 10 </w:t>
      </w:r>
      <w:r w:rsidR="00DB0C4E" w:rsidRPr="00405303">
        <w:rPr>
          <w:bCs/>
          <w:color w:val="002060"/>
          <w:sz w:val="16"/>
          <w:szCs w:val="16"/>
        </w:rPr>
        <w:t xml:space="preserve">(23) </w:t>
      </w:r>
      <w:r w:rsidRPr="00405303">
        <w:rPr>
          <w:bCs/>
          <w:color w:val="002060"/>
          <w:sz w:val="16"/>
          <w:szCs w:val="16"/>
        </w:rPr>
        <w:t>декабря 1915 г., с учетом того, что заказ военного ведомства еще не состоялся; Е.А. Данилов, брат начальника Канцелярии Военного министерства (в 1914 г. член правления Общества «Руссуд»), представлявший фирму «Русское а. о. Делагэ» в переговорах с военным ведомством, уведомил Лукомского, что фирма уже понесла расходы, основываясь на обещании Вернандера, и если дело с оформлением договора не сдвинется, то он не сможет больше «удержать французскую группу директоров от ходатайства через их правительство о выдаче этого заказа»</w:t>
      </w:r>
      <w:r w:rsidRPr="00405303">
        <w:rPr>
          <w:bCs/>
          <w:color w:val="002060"/>
          <w:sz w:val="16"/>
          <w:szCs w:val="16"/>
          <w:vertAlign w:val="superscript"/>
        </w:rPr>
        <w:t>{599}</w:t>
      </w:r>
      <w:r w:rsidRPr="00405303">
        <w:rPr>
          <w:bCs/>
          <w:color w:val="002060"/>
          <w:sz w:val="16"/>
          <w:szCs w:val="16"/>
        </w:rPr>
        <w:t>. Такие ходатайства, как известно, обладали повышенной весомостью (18366).</w:t>
      </w:r>
    </w:p>
    <w:p w14:paraId="42E05C64" w14:textId="77777777" w:rsidR="00CD247C" w:rsidRPr="00405303" w:rsidRDefault="00CD247C" w:rsidP="00C15251">
      <w:pPr>
        <w:pStyle w:val="p1"/>
        <w:spacing w:before="0" w:beforeAutospacing="0" w:after="0" w:afterAutospacing="0"/>
        <w:jc w:val="both"/>
        <w:rPr>
          <w:bCs/>
          <w:color w:val="002060"/>
          <w:sz w:val="16"/>
          <w:szCs w:val="16"/>
        </w:rPr>
      </w:pPr>
    </w:p>
    <w:p w14:paraId="7DE88AD9" w14:textId="77777777" w:rsidR="00F3362B" w:rsidRPr="00405303" w:rsidRDefault="00F3362B" w:rsidP="00C15251">
      <w:pPr>
        <w:shd w:val="clear" w:color="auto" w:fill="FFFFFF"/>
        <w:jc w:val="both"/>
        <w:rPr>
          <w:bCs/>
          <w:color w:val="002060"/>
          <w:sz w:val="16"/>
          <w:szCs w:val="16"/>
        </w:rPr>
      </w:pPr>
      <w:r w:rsidRPr="00405303">
        <w:rPr>
          <w:bCs/>
          <w:color w:val="002060"/>
          <w:sz w:val="16"/>
          <w:szCs w:val="16"/>
        </w:rPr>
        <w:t>10 (23) декабря 1915 образец брони Пороховщикова, но с прокладками из войлока. был обстрелян, причем оказалось, что замена экзотической морской травы обычным войлоком ничуть не ухудшила качеств изобретения Пороховщикова (20250).</w:t>
      </w:r>
    </w:p>
    <w:p w14:paraId="5D23A370" w14:textId="77777777" w:rsidR="00F3362B" w:rsidRPr="00405303" w:rsidRDefault="00F3362B" w:rsidP="00C15251">
      <w:pPr>
        <w:shd w:val="clear" w:color="auto" w:fill="FFFFFF"/>
        <w:jc w:val="both"/>
        <w:rPr>
          <w:bCs/>
          <w:color w:val="002060"/>
          <w:sz w:val="16"/>
          <w:szCs w:val="16"/>
        </w:rPr>
      </w:pPr>
    </w:p>
    <w:p w14:paraId="344541B8" w14:textId="4C48F553" w:rsidR="004B4E35" w:rsidRPr="00405303" w:rsidRDefault="009E6F82" w:rsidP="00C15251">
      <w:pPr>
        <w:jc w:val="both"/>
        <w:rPr>
          <w:bCs/>
          <w:i/>
          <w:color w:val="002060"/>
          <w:sz w:val="16"/>
          <w:szCs w:val="16"/>
        </w:rPr>
      </w:pPr>
      <w:r w:rsidRPr="00405303">
        <w:rPr>
          <w:bCs/>
          <w:i/>
          <w:color w:val="002060"/>
          <w:sz w:val="16"/>
          <w:szCs w:val="16"/>
        </w:rPr>
        <w:t>Авиация:</w:t>
      </w:r>
    </w:p>
    <w:p w14:paraId="5FF6FE11" w14:textId="77777777" w:rsidR="004B4E35" w:rsidRPr="00405303" w:rsidRDefault="004B4E35" w:rsidP="00C15251">
      <w:pPr>
        <w:jc w:val="both"/>
        <w:rPr>
          <w:bCs/>
          <w:i/>
          <w:color w:val="002060"/>
          <w:sz w:val="16"/>
          <w:szCs w:val="16"/>
        </w:rPr>
      </w:pPr>
    </w:p>
    <w:p w14:paraId="153C65A6" w14:textId="77777777" w:rsidR="006177BD" w:rsidRPr="00B52707" w:rsidRDefault="006177BD" w:rsidP="006177BD">
      <w:pPr>
        <w:jc w:val="both"/>
        <w:rPr>
          <w:color w:val="0070C0"/>
          <w:sz w:val="16"/>
          <w:szCs w:val="16"/>
        </w:rPr>
      </w:pPr>
      <w:r w:rsidRPr="00B52707">
        <w:rPr>
          <w:rStyle w:val="aa"/>
          <w:rFonts w:ascii="Times New Roman" w:hAnsi="Times New Roman"/>
          <w:color w:val="0070C0"/>
          <w:spacing w:val="0"/>
          <w:sz w:val="16"/>
          <w:szCs w:val="16"/>
        </w:rPr>
        <w:t>10 (23) декабря 1915 г. под шквальный артиллерийский обстрел попали германские аэропланы и привязные аэростаты, которые вскоре вынуждены были удалиться с поля боя. Победа осталась за русскими артиллеристами (25135).</w:t>
      </w:r>
    </w:p>
    <w:p w14:paraId="491441C8" w14:textId="77777777" w:rsidR="006177BD" w:rsidRPr="00B52707" w:rsidRDefault="006177BD" w:rsidP="006177BD">
      <w:pPr>
        <w:jc w:val="both"/>
        <w:rPr>
          <w:color w:val="0070C0"/>
          <w:sz w:val="16"/>
          <w:szCs w:val="16"/>
        </w:rPr>
      </w:pPr>
    </w:p>
    <w:p w14:paraId="0A86A75B" w14:textId="77777777" w:rsidR="006177BD" w:rsidRPr="00405303" w:rsidRDefault="006177BD" w:rsidP="006177BD">
      <w:pPr>
        <w:jc w:val="both"/>
        <w:rPr>
          <w:bCs/>
          <w:color w:val="002060"/>
          <w:sz w:val="16"/>
          <w:szCs w:val="16"/>
        </w:rPr>
      </w:pPr>
      <w:r w:rsidRPr="00405303">
        <w:rPr>
          <w:bCs/>
          <w:color w:val="002060"/>
          <w:sz w:val="16"/>
          <w:szCs w:val="16"/>
        </w:rPr>
        <w:t xml:space="preserve">10 (23) декабря 1915 г. в полосе Юго-Западного фронта сильный порыв ветра отнес в ближний тыл русских частей австрийский самолет-разведчик, совершивший вынужденную посадку, что привело к пленению его экипажа. На северном участке русско- германского фронта в районе местечка Рафаловка нашими передовыми </w:t>
      </w:r>
      <w:r w:rsidRPr="00405303">
        <w:rPr>
          <w:bCs/>
          <w:color w:val="002060"/>
          <w:sz w:val="16"/>
          <w:szCs w:val="16"/>
        </w:rPr>
        <w:lastRenderedPageBreak/>
        <w:t xml:space="preserve">разъездами были захвачены два немецких летательных аппарата, </w:t>
      </w:r>
      <w:bookmarkStart w:id="321" w:name="bookmark317"/>
      <w:r w:rsidRPr="00405303">
        <w:rPr>
          <w:bCs/>
          <w:color w:val="002060"/>
          <w:sz w:val="16"/>
          <w:szCs w:val="16"/>
        </w:rPr>
        <w:t xml:space="preserve">опустившихся </w:t>
      </w:r>
      <w:proofErr w:type="gramStart"/>
      <w:r w:rsidRPr="00405303">
        <w:rPr>
          <w:bCs/>
          <w:color w:val="002060"/>
          <w:sz w:val="16"/>
          <w:szCs w:val="16"/>
        </w:rPr>
        <w:t>на подконтрольную русскими войсками</w:t>
      </w:r>
      <w:proofErr w:type="gramEnd"/>
      <w:r w:rsidRPr="00405303">
        <w:rPr>
          <w:bCs/>
          <w:color w:val="002060"/>
          <w:sz w:val="16"/>
          <w:szCs w:val="16"/>
        </w:rPr>
        <w:t xml:space="preserve"> территорию вследствие неполадок с мотором (23405).</w:t>
      </w:r>
      <w:bookmarkEnd w:id="321"/>
    </w:p>
    <w:p w14:paraId="6ACEF2C5" w14:textId="77777777" w:rsidR="006177BD" w:rsidRPr="00405303" w:rsidRDefault="006177BD" w:rsidP="006177BD">
      <w:pPr>
        <w:jc w:val="both"/>
        <w:rPr>
          <w:bCs/>
          <w:color w:val="002060"/>
          <w:sz w:val="16"/>
          <w:szCs w:val="16"/>
        </w:rPr>
      </w:pPr>
    </w:p>
    <w:p w14:paraId="53D13950" w14:textId="7A177360" w:rsidR="00E0009C" w:rsidRPr="00405303" w:rsidRDefault="00E0009C" w:rsidP="00C15251">
      <w:pPr>
        <w:jc w:val="both"/>
        <w:rPr>
          <w:bCs/>
          <w:color w:val="002060"/>
          <w:sz w:val="16"/>
          <w:szCs w:val="16"/>
        </w:rPr>
      </w:pPr>
      <w:r w:rsidRPr="00405303">
        <w:rPr>
          <w:bCs/>
          <w:color w:val="002060"/>
          <w:sz w:val="16"/>
          <w:szCs w:val="16"/>
        </w:rPr>
        <w:t>10 (23) декабря 1915 г. Военный Совет постановил: «сформировать и содержать на все время войны Главное военно-метеорологическое управление,</w:t>
      </w:r>
      <w:r w:rsidR="000F5756">
        <w:rPr>
          <w:bCs/>
          <w:color w:val="002060"/>
          <w:sz w:val="16"/>
          <w:szCs w:val="16"/>
        </w:rPr>
        <w:t xml:space="preserve"> </w:t>
      </w:r>
      <w:r w:rsidRPr="00405303">
        <w:rPr>
          <w:bCs/>
          <w:color w:val="002060"/>
          <w:sz w:val="16"/>
          <w:szCs w:val="16"/>
        </w:rPr>
        <w:t>военно-метеорологические отделения при штабах армий и семь метео</w:t>
      </w:r>
      <w:r w:rsidRPr="00405303">
        <w:rPr>
          <w:bCs/>
          <w:color w:val="002060"/>
          <w:sz w:val="16"/>
          <w:szCs w:val="16"/>
        </w:rPr>
        <w:softHyphen/>
        <w:t>рологических станций при авиационных ротах”.</w:t>
      </w:r>
    </w:p>
    <w:p w14:paraId="1C908649" w14:textId="77777777" w:rsidR="00E0009C" w:rsidRPr="00405303" w:rsidRDefault="00E0009C" w:rsidP="00C15251">
      <w:pPr>
        <w:jc w:val="both"/>
        <w:rPr>
          <w:bCs/>
          <w:color w:val="002060"/>
          <w:sz w:val="16"/>
          <w:szCs w:val="16"/>
        </w:rPr>
      </w:pPr>
      <w:r w:rsidRPr="00405303">
        <w:rPr>
          <w:bCs/>
          <w:color w:val="002060"/>
          <w:sz w:val="16"/>
          <w:szCs w:val="16"/>
        </w:rPr>
        <w:t>/ЦГВИА, ф. 493, оп. 2, д. 4/ (23320).</w:t>
      </w:r>
    </w:p>
    <w:p w14:paraId="6F7C5849" w14:textId="77777777" w:rsidR="00E0009C" w:rsidRPr="00405303" w:rsidRDefault="00E0009C" w:rsidP="00C15251">
      <w:pPr>
        <w:jc w:val="both"/>
        <w:rPr>
          <w:bCs/>
          <w:color w:val="002060"/>
          <w:sz w:val="16"/>
          <w:szCs w:val="16"/>
        </w:rPr>
      </w:pPr>
    </w:p>
    <w:p w14:paraId="217DC44B" w14:textId="0F3FDBCF"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10 (23) декабря 1915 </w:t>
      </w:r>
      <w:r w:rsidR="005E2BB7" w:rsidRPr="00405303">
        <w:rPr>
          <w:bCs/>
          <w:color w:val="002060"/>
          <w:sz w:val="16"/>
          <w:szCs w:val="16"/>
        </w:rPr>
        <w:t>г. в</w:t>
      </w:r>
      <w:r w:rsidRPr="00405303">
        <w:rPr>
          <w:bCs/>
          <w:color w:val="002060"/>
          <w:sz w:val="16"/>
          <w:szCs w:val="16"/>
        </w:rPr>
        <w:t xml:space="preserve"> Киеве сформирована Военная школа летчинрв-наблюдателей (1137).</w:t>
      </w:r>
    </w:p>
    <w:p w14:paraId="70E03D39" w14:textId="77777777" w:rsidR="004B4E35" w:rsidRPr="00405303" w:rsidRDefault="004B4E35" w:rsidP="00C15251">
      <w:pPr>
        <w:shd w:val="clear" w:color="auto" w:fill="FFFFFF"/>
        <w:jc w:val="both"/>
        <w:rPr>
          <w:bCs/>
          <w:color w:val="002060"/>
          <w:sz w:val="16"/>
          <w:szCs w:val="16"/>
        </w:rPr>
      </w:pPr>
    </w:p>
    <w:p w14:paraId="65999496" w14:textId="57C9C4B2"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10 </w:t>
      </w:r>
      <w:r w:rsidR="00DB0C4E" w:rsidRPr="00405303">
        <w:rPr>
          <w:bCs/>
          <w:color w:val="002060"/>
          <w:sz w:val="16"/>
          <w:szCs w:val="16"/>
        </w:rPr>
        <w:t xml:space="preserve">(23) </w:t>
      </w:r>
      <w:r w:rsidRPr="00405303">
        <w:rPr>
          <w:bCs/>
          <w:color w:val="002060"/>
          <w:sz w:val="16"/>
          <w:szCs w:val="16"/>
        </w:rPr>
        <w:t xml:space="preserve">декабря 1915 </w:t>
      </w:r>
      <w:r w:rsidR="005E2BB7" w:rsidRPr="00405303">
        <w:rPr>
          <w:bCs/>
          <w:color w:val="002060"/>
          <w:sz w:val="16"/>
          <w:szCs w:val="16"/>
        </w:rPr>
        <w:t>г. в</w:t>
      </w:r>
      <w:r w:rsidRPr="00405303">
        <w:rPr>
          <w:bCs/>
          <w:color w:val="002060"/>
          <w:sz w:val="16"/>
          <w:szCs w:val="16"/>
        </w:rPr>
        <w:t xml:space="preserve"> Киеве сформирована Военная школа летчиков-наблюдателей (11425).</w:t>
      </w:r>
    </w:p>
    <w:p w14:paraId="4FE63973" w14:textId="77777777" w:rsidR="004B4E35" w:rsidRPr="00405303" w:rsidRDefault="004B4E35" w:rsidP="00C15251">
      <w:pPr>
        <w:shd w:val="clear" w:color="auto" w:fill="FFFFFF"/>
        <w:jc w:val="both"/>
        <w:rPr>
          <w:bCs/>
          <w:color w:val="002060"/>
          <w:sz w:val="16"/>
          <w:szCs w:val="16"/>
        </w:rPr>
      </w:pPr>
    </w:p>
    <w:p w14:paraId="1C527560" w14:textId="729EB9B5" w:rsidR="00D33269" w:rsidRPr="00405303" w:rsidRDefault="00D33269" w:rsidP="00C15251">
      <w:pPr>
        <w:jc w:val="both"/>
        <w:rPr>
          <w:bCs/>
          <w:color w:val="002060"/>
          <w:sz w:val="16"/>
          <w:szCs w:val="16"/>
          <w:lang w:bidi="en-US"/>
        </w:rPr>
      </w:pPr>
      <w:r w:rsidRPr="00405303">
        <w:rPr>
          <w:bCs/>
          <w:color w:val="002060"/>
          <w:sz w:val="16"/>
          <w:szCs w:val="16"/>
          <w:lang w:bidi="en-US"/>
        </w:rPr>
        <w:t xml:space="preserve">10 (23) декабря 1915 г. начались работы в только что открывшейся Киевской школе пилотов и наблюдателей. Два </w:t>
      </w:r>
      <w:r w:rsidRPr="00405303">
        <w:rPr>
          <w:bCs/>
          <w:color w:val="002060"/>
          <w:sz w:val="16"/>
          <w:szCs w:val="16"/>
          <w:lang w:bidi="ru-RU"/>
        </w:rPr>
        <w:t xml:space="preserve">К </w:t>
      </w:r>
      <w:r w:rsidRPr="00405303">
        <w:rPr>
          <w:bCs/>
          <w:color w:val="002060"/>
          <w:sz w:val="16"/>
          <w:szCs w:val="16"/>
          <w:lang w:bidi="en-US"/>
        </w:rPr>
        <w:t>В училище направлялись офицеры с фронта, курсанты обучались практическим полетам, визуальной разведке, аэрофотосъемке и корректировке артиллерийского огня (23525).</w:t>
      </w:r>
    </w:p>
    <w:p w14:paraId="226DA73D" w14:textId="77777777" w:rsidR="00D33269" w:rsidRPr="00405303" w:rsidRDefault="00D33269" w:rsidP="00C15251">
      <w:pPr>
        <w:jc w:val="both"/>
        <w:rPr>
          <w:bCs/>
          <w:color w:val="002060"/>
          <w:sz w:val="16"/>
          <w:szCs w:val="16"/>
        </w:rPr>
      </w:pPr>
    </w:p>
    <w:p w14:paraId="647F96E2"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0DCC3831" w14:textId="77777777" w:rsidR="004B4E35" w:rsidRPr="00405303" w:rsidRDefault="004B4E35" w:rsidP="00C15251">
      <w:pPr>
        <w:jc w:val="both"/>
        <w:rPr>
          <w:bCs/>
          <w:i/>
          <w:color w:val="002060"/>
          <w:sz w:val="16"/>
          <w:szCs w:val="16"/>
        </w:rPr>
      </w:pPr>
    </w:p>
    <w:p w14:paraId="6E946C57" w14:textId="74D758AE"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12 (25) декабря 1915 </w:t>
      </w:r>
      <w:r w:rsidR="005E2BB7" w:rsidRPr="00405303">
        <w:rPr>
          <w:bCs/>
          <w:color w:val="002060"/>
          <w:sz w:val="16"/>
          <w:szCs w:val="16"/>
        </w:rPr>
        <w:t>г. н</w:t>
      </w:r>
      <w:r w:rsidRPr="00405303">
        <w:rPr>
          <w:bCs/>
          <w:color w:val="002060"/>
          <w:sz w:val="16"/>
          <w:szCs w:val="16"/>
        </w:rPr>
        <w:t>ачал</w:t>
      </w:r>
      <w:r w:rsidR="005E2BB7" w:rsidRPr="00405303">
        <w:rPr>
          <w:bCs/>
          <w:color w:val="002060"/>
          <w:sz w:val="16"/>
          <w:szCs w:val="16"/>
        </w:rPr>
        <w:t>ась</w:t>
      </w:r>
      <w:r w:rsidRPr="00405303">
        <w:rPr>
          <w:bCs/>
          <w:color w:val="002060"/>
          <w:sz w:val="16"/>
          <w:szCs w:val="16"/>
        </w:rPr>
        <w:t xml:space="preserve"> работ</w:t>
      </w:r>
      <w:r w:rsidR="005E2BB7" w:rsidRPr="00405303">
        <w:rPr>
          <w:bCs/>
          <w:color w:val="002060"/>
          <w:sz w:val="16"/>
          <w:szCs w:val="16"/>
        </w:rPr>
        <w:t>а</w:t>
      </w:r>
      <w:r w:rsidRPr="00405303">
        <w:rPr>
          <w:bCs/>
          <w:color w:val="002060"/>
          <w:sz w:val="16"/>
          <w:szCs w:val="16"/>
        </w:rPr>
        <w:t xml:space="preserve"> частной Одесской авиационной школы А. А. Анатра. Инструктор школы — В. Н. Хиони (1137).</w:t>
      </w:r>
    </w:p>
    <w:p w14:paraId="4F0D3CD1" w14:textId="77777777" w:rsidR="004B4E35" w:rsidRPr="00405303" w:rsidRDefault="004B4E35" w:rsidP="00C15251">
      <w:pPr>
        <w:shd w:val="clear" w:color="auto" w:fill="FFFFFF"/>
        <w:jc w:val="both"/>
        <w:rPr>
          <w:bCs/>
          <w:color w:val="002060"/>
          <w:sz w:val="16"/>
          <w:szCs w:val="16"/>
        </w:rPr>
      </w:pPr>
    </w:p>
    <w:p w14:paraId="49E2F777" w14:textId="1680EB6D" w:rsidR="004B4E35" w:rsidRPr="00405303" w:rsidRDefault="009E6F82" w:rsidP="00C15251">
      <w:pPr>
        <w:jc w:val="both"/>
        <w:rPr>
          <w:bCs/>
          <w:color w:val="002060"/>
          <w:sz w:val="16"/>
          <w:szCs w:val="16"/>
        </w:rPr>
      </w:pPr>
      <w:r w:rsidRPr="00405303">
        <w:rPr>
          <w:bCs/>
          <w:color w:val="002060"/>
          <w:sz w:val="16"/>
          <w:szCs w:val="16"/>
        </w:rPr>
        <w:t xml:space="preserve">12 (25) декабря 1915 </w:t>
      </w:r>
      <w:r w:rsidR="005E2BB7" w:rsidRPr="00405303">
        <w:rPr>
          <w:bCs/>
          <w:color w:val="002060"/>
          <w:sz w:val="16"/>
          <w:szCs w:val="16"/>
        </w:rPr>
        <w:t xml:space="preserve">г. </w:t>
      </w:r>
      <w:r w:rsidRPr="00405303">
        <w:rPr>
          <w:bCs/>
          <w:color w:val="002060"/>
          <w:sz w:val="16"/>
          <w:szCs w:val="16"/>
        </w:rPr>
        <w:t>начала</w:t>
      </w:r>
      <w:r w:rsidR="005E2BB7" w:rsidRPr="00405303">
        <w:rPr>
          <w:bCs/>
          <w:color w:val="002060"/>
          <w:sz w:val="16"/>
          <w:szCs w:val="16"/>
        </w:rPr>
        <w:t>сь</w:t>
      </w:r>
      <w:r w:rsidRPr="00405303">
        <w:rPr>
          <w:bCs/>
          <w:color w:val="002060"/>
          <w:sz w:val="16"/>
          <w:szCs w:val="16"/>
        </w:rPr>
        <w:t xml:space="preserve"> работа частн</w:t>
      </w:r>
      <w:r w:rsidR="005E2BB7" w:rsidRPr="00405303">
        <w:rPr>
          <w:bCs/>
          <w:color w:val="002060"/>
          <w:sz w:val="16"/>
          <w:szCs w:val="16"/>
        </w:rPr>
        <w:t>ой</w:t>
      </w:r>
      <w:r w:rsidRPr="00405303">
        <w:rPr>
          <w:bCs/>
          <w:color w:val="002060"/>
          <w:sz w:val="16"/>
          <w:szCs w:val="16"/>
        </w:rPr>
        <w:t xml:space="preserve"> Одесск</w:t>
      </w:r>
      <w:r w:rsidR="005E2BB7" w:rsidRPr="00405303">
        <w:rPr>
          <w:bCs/>
          <w:color w:val="002060"/>
          <w:sz w:val="16"/>
          <w:szCs w:val="16"/>
        </w:rPr>
        <w:t>ой</w:t>
      </w:r>
      <w:r w:rsidRPr="00405303">
        <w:rPr>
          <w:bCs/>
          <w:color w:val="002060"/>
          <w:sz w:val="16"/>
          <w:szCs w:val="16"/>
        </w:rPr>
        <w:t xml:space="preserve"> авиационн</w:t>
      </w:r>
      <w:r w:rsidR="005E2BB7" w:rsidRPr="00405303">
        <w:rPr>
          <w:bCs/>
          <w:color w:val="002060"/>
          <w:sz w:val="16"/>
          <w:szCs w:val="16"/>
        </w:rPr>
        <w:t>ой</w:t>
      </w:r>
      <w:r w:rsidRPr="00405303">
        <w:rPr>
          <w:bCs/>
          <w:color w:val="002060"/>
          <w:sz w:val="16"/>
          <w:szCs w:val="16"/>
        </w:rPr>
        <w:t xml:space="preserve"> школа А.А.Анатра, инструктор школы - В.Н.Хиони.</w:t>
      </w:r>
    </w:p>
    <w:p w14:paraId="233C6C65" w14:textId="77777777" w:rsidR="004B4E35" w:rsidRPr="00405303" w:rsidRDefault="004B4E35" w:rsidP="00C15251">
      <w:pPr>
        <w:jc w:val="both"/>
        <w:rPr>
          <w:bCs/>
          <w:color w:val="002060"/>
          <w:sz w:val="16"/>
          <w:szCs w:val="16"/>
        </w:rPr>
      </w:pPr>
    </w:p>
    <w:p w14:paraId="60172233" w14:textId="04B7F738"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12 </w:t>
      </w:r>
      <w:r w:rsidR="00970B21" w:rsidRPr="00405303">
        <w:rPr>
          <w:bCs/>
          <w:color w:val="002060"/>
          <w:sz w:val="16"/>
          <w:szCs w:val="16"/>
        </w:rPr>
        <w:t xml:space="preserve">(25) </w:t>
      </w:r>
      <w:r w:rsidRPr="00405303">
        <w:rPr>
          <w:bCs/>
          <w:color w:val="002060"/>
          <w:sz w:val="16"/>
          <w:szCs w:val="16"/>
        </w:rPr>
        <w:t xml:space="preserve">декабря 1915 </w:t>
      </w:r>
      <w:r w:rsidR="005E2BB7" w:rsidRPr="00405303">
        <w:rPr>
          <w:bCs/>
          <w:color w:val="002060"/>
          <w:sz w:val="16"/>
          <w:szCs w:val="16"/>
        </w:rPr>
        <w:t>г. было н</w:t>
      </w:r>
      <w:r w:rsidRPr="00405303">
        <w:rPr>
          <w:bCs/>
          <w:color w:val="002060"/>
          <w:sz w:val="16"/>
          <w:szCs w:val="16"/>
        </w:rPr>
        <w:t>ачало работы частной Одесской авиационной школы А. А. Анатра. Инструктор школы - В. Н. Хиони (11425).</w:t>
      </w:r>
    </w:p>
    <w:p w14:paraId="7287F19D" w14:textId="77777777" w:rsidR="004B4E35" w:rsidRPr="00405303" w:rsidRDefault="004B4E35" w:rsidP="00C15251">
      <w:pPr>
        <w:shd w:val="clear" w:color="auto" w:fill="FFFFFF"/>
        <w:jc w:val="both"/>
        <w:rPr>
          <w:bCs/>
          <w:color w:val="002060"/>
          <w:sz w:val="16"/>
          <w:szCs w:val="16"/>
        </w:rPr>
      </w:pPr>
    </w:p>
    <w:p w14:paraId="3F5699D7" w14:textId="738FFE94" w:rsidR="00970B21" w:rsidRPr="00405303" w:rsidRDefault="00970B21" w:rsidP="00C15251">
      <w:pPr>
        <w:jc w:val="both"/>
        <w:rPr>
          <w:bCs/>
          <w:color w:val="002060"/>
          <w:sz w:val="16"/>
          <w:szCs w:val="16"/>
        </w:rPr>
      </w:pPr>
      <w:r w:rsidRPr="00405303">
        <w:rPr>
          <w:bCs/>
          <w:color w:val="002060"/>
          <w:sz w:val="16"/>
          <w:szCs w:val="16"/>
          <w:lang w:bidi="en-US"/>
        </w:rPr>
        <w:t>12 (25) декабря 1915 г. в Одессе открылась частная авиашкола им. А.А. Анатра. Находился в ведении ОВФ. Старшим инструктором был В. Н. Хиони (23525).</w:t>
      </w:r>
    </w:p>
    <w:p w14:paraId="7858AB96" w14:textId="77777777" w:rsidR="00970B21" w:rsidRPr="00405303" w:rsidRDefault="00970B21" w:rsidP="00C15251">
      <w:pPr>
        <w:jc w:val="both"/>
        <w:rPr>
          <w:bCs/>
          <w:color w:val="002060"/>
          <w:sz w:val="16"/>
          <w:szCs w:val="16"/>
          <w:lang w:bidi="en-US"/>
        </w:rPr>
      </w:pPr>
    </w:p>
    <w:p w14:paraId="3C30435C" w14:textId="1E267CD3" w:rsidR="00970B21" w:rsidRPr="00405303" w:rsidRDefault="00970B21" w:rsidP="00C15251">
      <w:pPr>
        <w:jc w:val="both"/>
        <w:rPr>
          <w:bCs/>
          <w:i/>
          <w:color w:val="002060"/>
          <w:sz w:val="16"/>
          <w:szCs w:val="16"/>
        </w:rPr>
      </w:pPr>
      <w:r w:rsidRPr="00405303">
        <w:rPr>
          <w:bCs/>
          <w:i/>
          <w:color w:val="002060"/>
          <w:sz w:val="16"/>
          <w:szCs w:val="16"/>
        </w:rPr>
        <w:t>Вгншняя политика:</w:t>
      </w:r>
    </w:p>
    <w:p w14:paraId="46074865" w14:textId="77777777" w:rsidR="00970B21" w:rsidRPr="00405303" w:rsidRDefault="00970B21" w:rsidP="00C15251">
      <w:pPr>
        <w:jc w:val="both"/>
        <w:rPr>
          <w:bCs/>
          <w:color w:val="002060"/>
          <w:sz w:val="16"/>
          <w:szCs w:val="16"/>
          <w:lang w:bidi="en-US"/>
        </w:rPr>
      </w:pPr>
    </w:p>
    <w:p w14:paraId="7CBB9B90" w14:textId="3D66F8FC" w:rsidR="00970B21" w:rsidRPr="00405303" w:rsidRDefault="00970B21" w:rsidP="00C15251">
      <w:pPr>
        <w:jc w:val="both"/>
        <w:rPr>
          <w:bCs/>
          <w:color w:val="002060"/>
          <w:sz w:val="16"/>
          <w:szCs w:val="16"/>
          <w:lang w:bidi="en-US"/>
        </w:rPr>
      </w:pPr>
      <w:r w:rsidRPr="00405303">
        <w:rPr>
          <w:bCs/>
          <w:color w:val="002060"/>
          <w:sz w:val="16"/>
          <w:szCs w:val="16"/>
          <w:lang w:bidi="en-US"/>
        </w:rPr>
        <w:t>12 (25) декабря 1915 г. на севере России в Александровск прибыли первые части британской дивизии бронетранспортеров Королевской военно-морской авиации под командованием полковника Локера-Лэмпсона. Остальные части дивизии (три эскадрильи) прибыли к 22 апреля 1916 г. Они прибыли для действий на Кавказе в середине июня. В конце ноября они были переброшены на Румынский фронт для операций в северной части Добруджи (23525).</w:t>
      </w:r>
    </w:p>
    <w:p w14:paraId="444BF01A" w14:textId="77777777" w:rsidR="00970B21" w:rsidRPr="00405303" w:rsidRDefault="00970B21" w:rsidP="00C15251">
      <w:pPr>
        <w:jc w:val="both"/>
        <w:rPr>
          <w:bCs/>
          <w:color w:val="002060"/>
          <w:sz w:val="16"/>
          <w:szCs w:val="16"/>
        </w:rPr>
      </w:pPr>
    </w:p>
    <w:p w14:paraId="644D143C"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7C0E39E7" w14:textId="77777777" w:rsidR="004B4E35" w:rsidRPr="00405303" w:rsidRDefault="004B4E35" w:rsidP="00C15251">
      <w:pPr>
        <w:shd w:val="clear" w:color="auto" w:fill="FFFFFF"/>
        <w:jc w:val="both"/>
        <w:rPr>
          <w:bCs/>
          <w:i/>
          <w:color w:val="002060"/>
          <w:sz w:val="16"/>
          <w:szCs w:val="16"/>
        </w:rPr>
      </w:pPr>
    </w:p>
    <w:p w14:paraId="48D059A4" w14:textId="32B304CE"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12 (25) декабря 1915 </w:t>
      </w:r>
      <w:r w:rsidR="005E2BB7" w:rsidRPr="00405303">
        <w:rPr>
          <w:bCs/>
          <w:color w:val="002060"/>
          <w:sz w:val="16"/>
          <w:szCs w:val="16"/>
        </w:rPr>
        <w:t>состоялся п</w:t>
      </w:r>
      <w:r w:rsidRPr="00405303">
        <w:rPr>
          <w:bCs/>
          <w:color w:val="002060"/>
          <w:sz w:val="16"/>
          <w:szCs w:val="16"/>
        </w:rPr>
        <w:t>ервый полет первого цельнометаллического свободнонесу-щего моноплана Г. Юнкерса Ю-1 (1137).</w:t>
      </w:r>
    </w:p>
    <w:p w14:paraId="7C0BB2D4" w14:textId="3F61C558" w:rsidR="004B4E35" w:rsidRPr="00405303" w:rsidRDefault="004B4E35" w:rsidP="00C15251">
      <w:pPr>
        <w:shd w:val="clear" w:color="auto" w:fill="FFFFFF"/>
        <w:jc w:val="both"/>
        <w:rPr>
          <w:bCs/>
          <w:color w:val="002060"/>
          <w:sz w:val="16"/>
          <w:szCs w:val="16"/>
        </w:rPr>
      </w:pPr>
    </w:p>
    <w:p w14:paraId="24DC8B60" w14:textId="7F3E3B82" w:rsidR="00E0009C" w:rsidRPr="00405303" w:rsidRDefault="00E0009C" w:rsidP="00C15251">
      <w:pPr>
        <w:shd w:val="clear" w:color="auto" w:fill="FFFFFF"/>
        <w:jc w:val="both"/>
        <w:rPr>
          <w:bCs/>
          <w:i/>
          <w:iCs/>
          <w:color w:val="002060"/>
          <w:sz w:val="16"/>
          <w:szCs w:val="16"/>
        </w:rPr>
      </w:pPr>
      <w:r w:rsidRPr="00405303">
        <w:rPr>
          <w:bCs/>
          <w:i/>
          <w:iCs/>
          <w:color w:val="002060"/>
          <w:sz w:val="16"/>
          <w:szCs w:val="16"/>
        </w:rPr>
        <w:t>Самолетостроение:</w:t>
      </w:r>
    </w:p>
    <w:p w14:paraId="741CB6EC" w14:textId="77777777" w:rsidR="00E0009C" w:rsidRPr="00405303" w:rsidRDefault="00E0009C" w:rsidP="00C15251">
      <w:pPr>
        <w:shd w:val="clear" w:color="auto" w:fill="FFFFFF"/>
        <w:jc w:val="both"/>
        <w:rPr>
          <w:bCs/>
          <w:i/>
          <w:iCs/>
          <w:color w:val="002060"/>
          <w:sz w:val="16"/>
          <w:szCs w:val="16"/>
        </w:rPr>
      </w:pPr>
    </w:p>
    <w:p w14:paraId="61195458" w14:textId="77777777" w:rsidR="00E0009C" w:rsidRPr="00405303" w:rsidRDefault="00E0009C" w:rsidP="00C15251">
      <w:pPr>
        <w:jc w:val="both"/>
        <w:rPr>
          <w:bCs/>
          <w:color w:val="002060"/>
          <w:sz w:val="16"/>
          <w:szCs w:val="16"/>
        </w:rPr>
      </w:pPr>
      <w:r w:rsidRPr="00405303">
        <w:rPr>
          <w:bCs/>
          <w:color w:val="002060"/>
          <w:sz w:val="16"/>
          <w:szCs w:val="16"/>
        </w:rPr>
        <w:t>14 (27) декабря 1915 г. изобретатель К.А.Бородаченко предложил военному ведом</w:t>
      </w:r>
      <w:r w:rsidRPr="00405303">
        <w:rPr>
          <w:bCs/>
          <w:color w:val="002060"/>
          <w:sz w:val="16"/>
          <w:szCs w:val="16"/>
        </w:rPr>
        <w:softHyphen/>
        <w:t>ству «летательный аппарат, управляемый извне электрическими волнами»” и способ этого управления - автоматический механизм управления рулями, т.е. беспилотный телеуправляемый летательный аппарат. Это предложение, как и аналогичные ему ранее представленные Н.А.Яцуком и С.А. Няниным, осталось не реализованным, а изобретателю ответили:”Не заслуживает поощрения”.</w:t>
      </w:r>
    </w:p>
    <w:p w14:paraId="23C594B4" w14:textId="77777777" w:rsidR="00E0009C" w:rsidRPr="00405303" w:rsidRDefault="00E0009C" w:rsidP="00C15251">
      <w:pPr>
        <w:jc w:val="both"/>
        <w:rPr>
          <w:bCs/>
          <w:color w:val="002060"/>
          <w:sz w:val="16"/>
          <w:szCs w:val="16"/>
        </w:rPr>
      </w:pPr>
      <w:r w:rsidRPr="00405303">
        <w:rPr>
          <w:bCs/>
          <w:color w:val="002060"/>
          <w:sz w:val="16"/>
          <w:szCs w:val="16"/>
        </w:rPr>
        <w:t xml:space="preserve">/ЦГВИА, ф. 13251, оп. 4, Д. 805/ (23320). </w:t>
      </w:r>
    </w:p>
    <w:p w14:paraId="6DE683F8" w14:textId="77777777" w:rsidR="00E0009C" w:rsidRPr="00405303" w:rsidRDefault="00E0009C" w:rsidP="00C15251">
      <w:pPr>
        <w:jc w:val="both"/>
        <w:rPr>
          <w:bCs/>
          <w:color w:val="002060"/>
          <w:sz w:val="16"/>
          <w:szCs w:val="16"/>
        </w:rPr>
      </w:pPr>
    </w:p>
    <w:p w14:paraId="389C1679" w14:textId="42F0B0FB" w:rsidR="00970B21" w:rsidRPr="00405303" w:rsidRDefault="00970B21" w:rsidP="00C15251">
      <w:pPr>
        <w:shd w:val="clear" w:color="auto" w:fill="FFFFFF"/>
        <w:jc w:val="both"/>
        <w:rPr>
          <w:bCs/>
          <w:i/>
          <w:color w:val="002060"/>
          <w:sz w:val="16"/>
          <w:szCs w:val="16"/>
        </w:rPr>
      </w:pPr>
      <w:r w:rsidRPr="00405303">
        <w:rPr>
          <w:bCs/>
          <w:i/>
          <w:color w:val="002060"/>
          <w:sz w:val="16"/>
          <w:szCs w:val="16"/>
        </w:rPr>
        <w:t>Армия:</w:t>
      </w:r>
    </w:p>
    <w:p w14:paraId="284E8F36" w14:textId="77777777" w:rsidR="00970B21" w:rsidRPr="00405303" w:rsidRDefault="00970B21" w:rsidP="00C15251">
      <w:pPr>
        <w:shd w:val="clear" w:color="auto" w:fill="FFFFFF"/>
        <w:jc w:val="both"/>
        <w:rPr>
          <w:bCs/>
          <w:i/>
          <w:color w:val="002060"/>
          <w:sz w:val="16"/>
          <w:szCs w:val="16"/>
        </w:rPr>
      </w:pPr>
    </w:p>
    <w:p w14:paraId="5E241DF6" w14:textId="033A92DE" w:rsidR="00970B21" w:rsidRPr="00405303" w:rsidRDefault="009E63B5" w:rsidP="00C15251">
      <w:pPr>
        <w:jc w:val="both"/>
        <w:rPr>
          <w:bCs/>
          <w:color w:val="002060"/>
          <w:sz w:val="16"/>
          <w:szCs w:val="16"/>
          <w:lang w:bidi="en-US"/>
        </w:rPr>
      </w:pPr>
      <w:r w:rsidRPr="00405303">
        <w:rPr>
          <w:bCs/>
          <w:color w:val="002060"/>
          <w:sz w:val="16"/>
          <w:szCs w:val="16"/>
          <w:lang w:bidi="en-US"/>
        </w:rPr>
        <w:t>14 (</w:t>
      </w:r>
      <w:r w:rsidR="00970B21" w:rsidRPr="00405303">
        <w:rPr>
          <w:bCs/>
          <w:color w:val="002060"/>
          <w:sz w:val="16"/>
          <w:szCs w:val="16"/>
          <w:lang w:bidi="en-US"/>
        </w:rPr>
        <w:t>27</w:t>
      </w:r>
      <w:r w:rsidRPr="00405303">
        <w:rPr>
          <w:bCs/>
          <w:color w:val="002060"/>
          <w:sz w:val="16"/>
          <w:szCs w:val="16"/>
          <w:lang w:bidi="en-US"/>
        </w:rPr>
        <w:t>)</w:t>
      </w:r>
      <w:r w:rsidR="00970B21" w:rsidRPr="00405303">
        <w:rPr>
          <w:bCs/>
          <w:color w:val="002060"/>
          <w:sz w:val="16"/>
          <w:szCs w:val="16"/>
          <w:lang w:bidi="en-US"/>
        </w:rPr>
        <w:t xml:space="preserve"> декабря 1915 г. на Юго-Западном фронте русские начали ограниченное наступление на Буковине, надеясь снизить давление на Сербию. В конце концов его пришлось остановить (23525).</w:t>
      </w:r>
    </w:p>
    <w:p w14:paraId="6A2A919B" w14:textId="77777777" w:rsidR="00970B21" w:rsidRPr="00405303" w:rsidRDefault="00970B21" w:rsidP="00C15251">
      <w:pPr>
        <w:jc w:val="both"/>
        <w:rPr>
          <w:bCs/>
          <w:color w:val="002060"/>
          <w:sz w:val="16"/>
          <w:szCs w:val="16"/>
        </w:rPr>
      </w:pPr>
    </w:p>
    <w:p w14:paraId="1A9F5BC8" w14:textId="38567A9F" w:rsidR="009E63B5" w:rsidRPr="00405303" w:rsidRDefault="009E63B5" w:rsidP="00C15251">
      <w:pPr>
        <w:shd w:val="clear" w:color="auto" w:fill="FFFFFF"/>
        <w:jc w:val="both"/>
        <w:rPr>
          <w:bCs/>
          <w:i/>
          <w:color w:val="002060"/>
          <w:sz w:val="16"/>
          <w:szCs w:val="16"/>
        </w:rPr>
      </w:pPr>
      <w:r w:rsidRPr="00405303">
        <w:rPr>
          <w:bCs/>
          <w:i/>
          <w:color w:val="002060"/>
          <w:sz w:val="16"/>
          <w:szCs w:val="16"/>
        </w:rPr>
        <w:t>Авиация:</w:t>
      </w:r>
    </w:p>
    <w:p w14:paraId="44BAB2BE" w14:textId="77777777" w:rsidR="009E63B5" w:rsidRPr="00405303" w:rsidRDefault="009E63B5" w:rsidP="00C15251">
      <w:pPr>
        <w:shd w:val="clear" w:color="auto" w:fill="FFFFFF"/>
        <w:jc w:val="both"/>
        <w:rPr>
          <w:bCs/>
          <w:i/>
          <w:color w:val="002060"/>
          <w:sz w:val="16"/>
          <w:szCs w:val="16"/>
        </w:rPr>
      </w:pPr>
    </w:p>
    <w:p w14:paraId="4968045B" w14:textId="37FE3414" w:rsidR="009E63B5" w:rsidRPr="00405303" w:rsidRDefault="009E63B5" w:rsidP="00C15251">
      <w:pPr>
        <w:jc w:val="both"/>
        <w:rPr>
          <w:bCs/>
          <w:color w:val="002060"/>
          <w:sz w:val="16"/>
          <w:szCs w:val="16"/>
        </w:rPr>
      </w:pPr>
      <w:bookmarkStart w:id="322" w:name="bookmark319"/>
      <w:bookmarkStart w:id="323" w:name="bookmark320"/>
      <w:bookmarkStart w:id="324" w:name="bookmark321"/>
      <w:r w:rsidRPr="00405303">
        <w:rPr>
          <w:bCs/>
          <w:color w:val="002060"/>
          <w:sz w:val="16"/>
          <w:szCs w:val="16"/>
        </w:rPr>
        <w:t>14 (47) декабря 1915 г. германский аэроплан сбросил несколько бомб возле ст. Икскюль. Через неделю, несмотря на 20-</w:t>
      </w:r>
      <w:proofErr w:type="gramStart"/>
      <w:r w:rsidRPr="00405303">
        <w:rPr>
          <w:bCs/>
          <w:color w:val="002060"/>
          <w:sz w:val="16"/>
          <w:szCs w:val="16"/>
        </w:rPr>
        <w:t>градус-ный</w:t>
      </w:r>
      <w:proofErr w:type="gramEnd"/>
      <w:r w:rsidRPr="00405303">
        <w:rPr>
          <w:bCs/>
          <w:color w:val="002060"/>
          <w:sz w:val="16"/>
          <w:szCs w:val="16"/>
        </w:rPr>
        <w:t xml:space="preserve"> мороз, два немецких летательных аппарата прорвались к Риге, подвергнув ее бомбардировке (без «особого вреда»). Один из вражеских самолетов, направлявшийся к городу, попал в зону зенитного огня и был вынужден повернуть назад (23405).</w:t>
      </w:r>
      <w:bookmarkEnd w:id="322"/>
      <w:bookmarkEnd w:id="323"/>
      <w:bookmarkEnd w:id="324"/>
    </w:p>
    <w:p w14:paraId="367BEF06" w14:textId="77777777" w:rsidR="009E63B5" w:rsidRPr="00405303" w:rsidRDefault="009E63B5" w:rsidP="00C15251">
      <w:pPr>
        <w:jc w:val="both"/>
        <w:rPr>
          <w:bCs/>
          <w:color w:val="002060"/>
          <w:sz w:val="16"/>
          <w:szCs w:val="16"/>
        </w:rPr>
      </w:pPr>
    </w:p>
    <w:p w14:paraId="63FAAB96" w14:textId="6E90D14F" w:rsidR="00970B21" w:rsidRPr="00405303" w:rsidRDefault="00970B21" w:rsidP="00C15251">
      <w:pPr>
        <w:shd w:val="clear" w:color="auto" w:fill="FFFFFF"/>
        <w:jc w:val="both"/>
        <w:rPr>
          <w:bCs/>
          <w:i/>
          <w:color w:val="002060"/>
          <w:sz w:val="16"/>
          <w:szCs w:val="16"/>
        </w:rPr>
      </w:pPr>
      <w:r w:rsidRPr="00405303">
        <w:rPr>
          <w:bCs/>
          <w:i/>
          <w:color w:val="002060"/>
          <w:sz w:val="16"/>
          <w:szCs w:val="16"/>
        </w:rPr>
        <w:t>Морская авиация:</w:t>
      </w:r>
    </w:p>
    <w:p w14:paraId="5F4A5DF0" w14:textId="77777777" w:rsidR="00970B21" w:rsidRPr="00405303" w:rsidRDefault="00970B21" w:rsidP="00C15251">
      <w:pPr>
        <w:shd w:val="clear" w:color="auto" w:fill="FFFFFF"/>
        <w:jc w:val="both"/>
        <w:rPr>
          <w:bCs/>
          <w:i/>
          <w:color w:val="002060"/>
          <w:sz w:val="16"/>
          <w:szCs w:val="16"/>
        </w:rPr>
      </w:pPr>
    </w:p>
    <w:p w14:paraId="57BDA44D" w14:textId="0670F67C" w:rsidR="00970B21" w:rsidRPr="00405303" w:rsidRDefault="009E63B5" w:rsidP="00C15251">
      <w:pPr>
        <w:jc w:val="both"/>
        <w:rPr>
          <w:bCs/>
          <w:color w:val="002060"/>
          <w:sz w:val="16"/>
          <w:szCs w:val="16"/>
          <w:lang w:bidi="en-US"/>
        </w:rPr>
      </w:pPr>
      <w:r w:rsidRPr="00405303">
        <w:rPr>
          <w:bCs/>
          <w:color w:val="002060"/>
          <w:sz w:val="16"/>
          <w:szCs w:val="16"/>
          <w:lang w:bidi="en-US"/>
        </w:rPr>
        <w:t>14 (</w:t>
      </w:r>
      <w:r w:rsidR="00970B21" w:rsidRPr="00405303">
        <w:rPr>
          <w:bCs/>
          <w:color w:val="002060"/>
          <w:sz w:val="16"/>
          <w:szCs w:val="16"/>
          <w:lang w:bidi="en-US"/>
        </w:rPr>
        <w:t>27</w:t>
      </w:r>
      <w:r w:rsidRPr="00405303">
        <w:rPr>
          <w:bCs/>
          <w:color w:val="002060"/>
          <w:sz w:val="16"/>
          <w:szCs w:val="16"/>
          <w:lang w:bidi="en-US"/>
        </w:rPr>
        <w:t>)</w:t>
      </w:r>
      <w:r w:rsidR="00970B21" w:rsidRPr="00405303">
        <w:rPr>
          <w:bCs/>
          <w:color w:val="002060"/>
          <w:sz w:val="16"/>
          <w:szCs w:val="16"/>
          <w:lang w:bidi="en-US"/>
        </w:rPr>
        <w:t xml:space="preserve"> декабря 1915 г. в Баку прибыл второй эшелон Петроградской морской авиационной школы ОВФ (23525).</w:t>
      </w:r>
    </w:p>
    <w:p w14:paraId="36F48877" w14:textId="77777777" w:rsidR="00970B21" w:rsidRPr="00405303" w:rsidRDefault="00970B21" w:rsidP="00C15251">
      <w:pPr>
        <w:shd w:val="clear" w:color="auto" w:fill="FFFFFF"/>
        <w:jc w:val="both"/>
        <w:rPr>
          <w:bCs/>
          <w:i/>
          <w:color w:val="002060"/>
          <w:sz w:val="16"/>
          <w:szCs w:val="16"/>
        </w:rPr>
      </w:pPr>
    </w:p>
    <w:p w14:paraId="67D86F71" w14:textId="2D086AC3" w:rsidR="004B4E35" w:rsidRPr="00405303" w:rsidRDefault="009E6F82" w:rsidP="00C15251">
      <w:pPr>
        <w:shd w:val="clear" w:color="auto" w:fill="FFFFFF"/>
        <w:jc w:val="both"/>
        <w:rPr>
          <w:bCs/>
          <w:i/>
          <w:color w:val="002060"/>
          <w:sz w:val="16"/>
          <w:szCs w:val="16"/>
        </w:rPr>
      </w:pPr>
      <w:r w:rsidRPr="00405303">
        <w:rPr>
          <w:bCs/>
          <w:i/>
          <w:color w:val="002060"/>
          <w:sz w:val="16"/>
          <w:szCs w:val="16"/>
        </w:rPr>
        <w:t>Внешняя политика:</w:t>
      </w:r>
    </w:p>
    <w:p w14:paraId="753828C6" w14:textId="77777777" w:rsidR="004B4E35" w:rsidRPr="00405303" w:rsidRDefault="004B4E35" w:rsidP="00C15251">
      <w:pPr>
        <w:shd w:val="clear" w:color="auto" w:fill="FFFFFF"/>
        <w:jc w:val="both"/>
        <w:rPr>
          <w:bCs/>
          <w:i/>
          <w:color w:val="002060"/>
          <w:sz w:val="16"/>
          <w:szCs w:val="16"/>
        </w:rPr>
      </w:pPr>
    </w:p>
    <w:p w14:paraId="06813542" w14:textId="6A386109" w:rsidR="004B4E35" w:rsidRPr="00405303" w:rsidRDefault="009E6F82" w:rsidP="00C15251">
      <w:pPr>
        <w:jc w:val="both"/>
        <w:rPr>
          <w:bCs/>
          <w:color w:val="002060"/>
          <w:sz w:val="16"/>
          <w:szCs w:val="16"/>
        </w:rPr>
      </w:pPr>
      <w:r w:rsidRPr="00405303">
        <w:rPr>
          <w:bCs/>
          <w:color w:val="002060"/>
          <w:sz w:val="16"/>
          <w:szCs w:val="16"/>
        </w:rPr>
        <w:t>14 (27) декабря 1915 г.</w:t>
      </w:r>
      <w:r w:rsidR="00E0009C" w:rsidRPr="00405303">
        <w:rPr>
          <w:bCs/>
          <w:color w:val="002060"/>
          <w:sz w:val="16"/>
          <w:szCs w:val="16"/>
        </w:rPr>
        <w:t xml:space="preserve"> Н.Л. Голеевский поставил вопрос о создании отдельной компании для ведения дел по канадскому заказу</w:t>
      </w:r>
      <w:r w:rsidRPr="00405303">
        <w:rPr>
          <w:bCs/>
          <w:color w:val="002060"/>
          <w:sz w:val="16"/>
          <w:szCs w:val="16"/>
        </w:rPr>
        <w:t>, и она была учреждена 17 января 1916 г. (даты по новому ст.). См</w:t>
      </w:r>
      <w:r w:rsidRPr="00405303">
        <w:rPr>
          <w:bCs/>
          <w:color w:val="002060"/>
          <w:sz w:val="16"/>
          <w:szCs w:val="16"/>
          <w:lang w:val="en-US"/>
        </w:rPr>
        <w:t xml:space="preserve">. NEILSON K. Russian Foreign Purchasing in the Great War: A Test Case // The Slavonic and East European Review. </w:t>
      </w:r>
      <w:r w:rsidRPr="00405303">
        <w:rPr>
          <w:bCs/>
          <w:color w:val="002060"/>
          <w:sz w:val="16"/>
          <w:szCs w:val="16"/>
        </w:rPr>
        <w:t xml:space="preserve">Vol. 60. № 4. October 1982. P. 583—584. Эта статья посвящена специально обстоятельствам заключения с Канадской компанией и исполнения ею договоров на снаряды. </w:t>
      </w:r>
    </w:p>
    <w:p w14:paraId="25E4EC3C" w14:textId="77777777" w:rsidR="004B4E35" w:rsidRPr="00405303" w:rsidRDefault="009E6F82" w:rsidP="00C15251">
      <w:pPr>
        <w:jc w:val="both"/>
        <w:rPr>
          <w:bCs/>
          <w:color w:val="002060"/>
          <w:sz w:val="16"/>
          <w:szCs w:val="16"/>
        </w:rPr>
      </w:pPr>
      <w:r w:rsidRPr="00405303">
        <w:rPr>
          <w:bCs/>
          <w:color w:val="002060"/>
          <w:sz w:val="16"/>
          <w:szCs w:val="16"/>
        </w:rPr>
        <w:t>Положение Канадской компании облегчалось введением платежей по мере сдачи снарядов, а не итоговым расчетом по окончании всей операции (NEILSON K. Russian Foreign Purchasing. P. 585). Подробная характеристика работы заводов по заказу, выданному Канадской компании, осенью 1915 г. содержится в переписке Сапожникова с ГАУ: РГВИА. Ф. 2000. Оп. 1. Д. 5576. Л. 126—127об. 286—287об., 303; д. 5577. Л. 9—10, 102, 126, а также в журнале Наблюдательной комиссии Особого совещания по обороне № 23 за 22 декабря 1915 и 11 января 1916 г.: там же. Ф. 369. Оп. 1. Д. 33. Ч. 3—4. Л. 512—525 (11329).</w:t>
      </w:r>
    </w:p>
    <w:p w14:paraId="5A4789AB" w14:textId="77777777" w:rsidR="004B4E35" w:rsidRPr="00405303" w:rsidRDefault="004B4E35" w:rsidP="00C15251">
      <w:pPr>
        <w:jc w:val="both"/>
        <w:rPr>
          <w:bCs/>
          <w:color w:val="002060"/>
          <w:sz w:val="16"/>
          <w:szCs w:val="16"/>
        </w:rPr>
      </w:pPr>
    </w:p>
    <w:p w14:paraId="7EF0BF66" w14:textId="061DA48A" w:rsidR="004C5295" w:rsidRPr="00405303" w:rsidRDefault="004C5295"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0EEEC0BA" w14:textId="77777777" w:rsidR="004C5295" w:rsidRPr="00405303" w:rsidRDefault="004C5295" w:rsidP="00C15251">
      <w:pPr>
        <w:shd w:val="clear" w:color="auto" w:fill="FFFFFF"/>
        <w:jc w:val="both"/>
        <w:rPr>
          <w:bCs/>
          <w:i/>
          <w:color w:val="002060"/>
          <w:sz w:val="16"/>
          <w:szCs w:val="16"/>
        </w:rPr>
      </w:pPr>
    </w:p>
    <w:p w14:paraId="78646B52" w14:textId="77777777" w:rsidR="004C5295" w:rsidRPr="00405303" w:rsidRDefault="004C5295"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15 декабря 1915 г., прежде чем снова запросить согласие Николая II на от</w:t>
      </w:r>
      <w:r w:rsidRPr="00405303">
        <w:rPr>
          <w:rFonts w:ascii="Times New Roman" w:hAnsi="Times New Roman" w:cs="Times New Roman"/>
          <w:bCs/>
          <w:color w:val="002060"/>
          <w:sz w:val="16"/>
          <w:szCs w:val="16"/>
        </w:rPr>
        <w:softHyphen/>
        <w:t>пуск денег, управляющий Кабинетом Волков поинтересовался у Поливанова относительно гаран</w:t>
      </w:r>
      <w:r w:rsidRPr="00405303">
        <w:rPr>
          <w:rFonts w:ascii="Times New Roman" w:hAnsi="Times New Roman" w:cs="Times New Roman"/>
          <w:bCs/>
          <w:color w:val="002060"/>
          <w:sz w:val="16"/>
          <w:szCs w:val="16"/>
        </w:rPr>
        <w:softHyphen/>
        <w:t>тии дальнейших заказов на оптическое стекло для Императорского фарфорового завода. «Ввиду важного государственного значения означенного дела, — писал он, — Кабинет Е.В., конечно, не остановился [бы] перед означенной затратой, но, не будучи уверен в том, что Императорские заводы и по</w:t>
      </w:r>
      <w:r w:rsidRPr="00405303">
        <w:rPr>
          <w:rFonts w:ascii="Times New Roman" w:hAnsi="Times New Roman" w:cs="Times New Roman"/>
          <w:bCs/>
          <w:color w:val="002060"/>
          <w:sz w:val="16"/>
          <w:szCs w:val="16"/>
        </w:rPr>
        <w:softHyphen/>
        <w:t xml:space="preserve">сле окончания войны будут </w:t>
      </w:r>
      <w:r w:rsidRPr="00405303">
        <w:rPr>
          <w:rFonts w:ascii="Times New Roman" w:hAnsi="Times New Roman" w:cs="Times New Roman"/>
          <w:bCs/>
          <w:color w:val="002060"/>
          <w:sz w:val="16"/>
          <w:szCs w:val="16"/>
        </w:rPr>
        <w:lastRenderedPageBreak/>
        <w:t>получать заказы от военного и морского ведомств, затрудняется испросить Высочайшее со</w:t>
      </w:r>
      <w:r w:rsidRPr="00405303">
        <w:rPr>
          <w:rFonts w:ascii="Times New Roman" w:hAnsi="Times New Roman" w:cs="Times New Roman"/>
          <w:bCs/>
          <w:color w:val="002060"/>
          <w:sz w:val="16"/>
          <w:szCs w:val="16"/>
        </w:rPr>
        <w:softHyphen/>
        <w:t>изволение на расходование столь крупной суммы». Кабинет, представлявший основной источник личных доходов импе</w:t>
      </w:r>
      <w:r w:rsidRPr="00405303">
        <w:rPr>
          <w:rFonts w:ascii="Times New Roman" w:hAnsi="Times New Roman" w:cs="Times New Roman"/>
          <w:bCs/>
          <w:color w:val="002060"/>
          <w:sz w:val="16"/>
          <w:szCs w:val="16"/>
        </w:rPr>
        <w:softHyphen/>
        <w:t>ратора, ставил условием письменное обязательство, «будет ли военное ведомство и после окончания войны в течение хотя бы 10 лет давать заказы на оптическое стекло Импера</w:t>
      </w:r>
      <w:r w:rsidRPr="00405303">
        <w:rPr>
          <w:rFonts w:ascii="Times New Roman" w:hAnsi="Times New Roman" w:cs="Times New Roman"/>
          <w:bCs/>
          <w:color w:val="002060"/>
          <w:sz w:val="16"/>
          <w:szCs w:val="16"/>
        </w:rPr>
        <w:softHyphen/>
        <w:t>торским заводам в количестве до 720 пудов в год. При этом цена за стекло должна определяться по себестоимости с на</w:t>
      </w:r>
      <w:r w:rsidRPr="00405303">
        <w:rPr>
          <w:rFonts w:ascii="Times New Roman" w:hAnsi="Times New Roman" w:cs="Times New Roman"/>
          <w:bCs/>
          <w:color w:val="002060"/>
          <w:sz w:val="16"/>
          <w:szCs w:val="16"/>
        </w:rPr>
        <w:softHyphen/>
        <w:t>ложением до окончания войны прибыли в 5%, а после вой</w:t>
      </w:r>
      <w:r w:rsidRPr="00405303">
        <w:rPr>
          <w:rFonts w:ascii="Times New Roman" w:hAnsi="Times New Roman" w:cs="Times New Roman"/>
          <w:bCs/>
          <w:color w:val="002060"/>
          <w:sz w:val="16"/>
          <w:szCs w:val="16"/>
        </w:rPr>
        <w:softHyphen/>
        <w:t>ны — 10% (Выдвинутые пожелания — в духе британских деловых традиций ра</w:t>
      </w:r>
      <w:r w:rsidRPr="00405303">
        <w:rPr>
          <w:rFonts w:ascii="Times New Roman" w:hAnsi="Times New Roman" w:cs="Times New Roman"/>
          <w:bCs/>
          <w:color w:val="002060"/>
          <w:sz w:val="16"/>
          <w:szCs w:val="16"/>
        </w:rPr>
        <w:softHyphen/>
        <w:t>боты на русском «рынке» казенных военных заказов, они напоминают условия концессии «Виккерса» на пушечный завод в Царицыне и на по</w:t>
      </w:r>
      <w:r w:rsidRPr="00405303">
        <w:rPr>
          <w:rFonts w:ascii="Times New Roman" w:hAnsi="Times New Roman" w:cs="Times New Roman"/>
          <w:bCs/>
          <w:color w:val="002060"/>
          <w:sz w:val="16"/>
          <w:szCs w:val="16"/>
        </w:rPr>
        <w:softHyphen/>
        <w:t>роховой завод под Владимиром. Царь был воспитан «в сознании своих обязанностей по отношению к России», — свидетельствовал вел. кн. Алек</w:t>
      </w:r>
      <w:r w:rsidRPr="00405303">
        <w:rPr>
          <w:rFonts w:ascii="Times New Roman" w:hAnsi="Times New Roman" w:cs="Times New Roman"/>
          <w:bCs/>
          <w:color w:val="002060"/>
          <w:sz w:val="16"/>
          <w:szCs w:val="16"/>
        </w:rPr>
        <w:softHyphen/>
        <w:t>сандр Михайлович. Из года в год «Самодержец Всероссийский испытывал материальные затруднения», ему не хватало обычных 200 тысяч рублей «на личные нужды». При этом Фредериксу «было строжайше запрещено» вкладывать деньги в какие бы то ни было частные предприятия, «чтобы не дать пищи разговорам о том, что Государь Император заинтересован в той или иной отрасли промышленности» (Великий князь Александр Михай</w:t>
      </w:r>
      <w:r w:rsidRPr="00405303">
        <w:rPr>
          <w:rFonts w:ascii="Times New Roman" w:hAnsi="Times New Roman" w:cs="Times New Roman"/>
          <w:bCs/>
          <w:color w:val="002060"/>
          <w:sz w:val="16"/>
          <w:szCs w:val="16"/>
        </w:rPr>
        <w:softHyphen/>
        <w:t>лович. Книга воспоминаний. М., 1991. С. 131)). Себестоимость... не превысит 300 руб. за пуд».</w:t>
      </w:r>
    </w:p>
    <w:p w14:paraId="3F761B21" w14:textId="77777777" w:rsidR="004C5295" w:rsidRPr="00405303" w:rsidRDefault="004C5295"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В случае согласия военного ведомства, сообщал Волков, «Императорские заводы немедленно приступят к оборудова</w:t>
      </w:r>
      <w:r w:rsidRPr="00405303">
        <w:rPr>
          <w:rFonts w:ascii="Times New Roman" w:hAnsi="Times New Roman" w:cs="Times New Roman"/>
          <w:bCs/>
          <w:color w:val="002060"/>
          <w:sz w:val="16"/>
          <w:szCs w:val="16"/>
        </w:rPr>
        <w:softHyphen/>
        <w:t>нию устройств, необходимых для валового производства, и я убежден, что в конце апреля 1916 г. уже явится возмож</w:t>
      </w:r>
      <w:r w:rsidRPr="00405303">
        <w:rPr>
          <w:rFonts w:ascii="Times New Roman" w:hAnsi="Times New Roman" w:cs="Times New Roman"/>
          <w:bCs/>
          <w:color w:val="002060"/>
          <w:sz w:val="16"/>
          <w:szCs w:val="16"/>
        </w:rPr>
        <w:softHyphen/>
        <w:t>ность поставлять стекло в потребном количестве»1. Между тем стекло приходилось варить в глиняных горшках, а из</w:t>
      </w:r>
      <w:r w:rsidRPr="00405303">
        <w:rPr>
          <w:rFonts w:ascii="Times New Roman" w:hAnsi="Times New Roman" w:cs="Times New Roman"/>
          <w:bCs/>
          <w:color w:val="002060"/>
          <w:sz w:val="16"/>
          <w:szCs w:val="16"/>
        </w:rPr>
        <w:softHyphen/>
        <w:t xml:space="preserve">готовление их требовало длительного высушивания (малые горшки — не менее двух месяцев, 100-литровый горшок — около года) по очень строгому </w:t>
      </w:r>
      <w:proofErr w:type="gramStart"/>
      <w:r w:rsidRPr="00405303">
        <w:rPr>
          <w:rFonts w:ascii="Times New Roman" w:hAnsi="Times New Roman" w:cs="Times New Roman"/>
          <w:bCs/>
          <w:color w:val="002060"/>
          <w:sz w:val="16"/>
          <w:szCs w:val="16"/>
        </w:rPr>
        <w:t>режиму(</w:t>
      </w:r>
      <w:proofErr w:type="gramEnd"/>
      <w:r w:rsidRPr="00405303">
        <w:rPr>
          <w:rFonts w:ascii="Times New Roman" w:hAnsi="Times New Roman" w:cs="Times New Roman"/>
          <w:bCs/>
          <w:color w:val="002060"/>
          <w:sz w:val="16"/>
          <w:szCs w:val="16"/>
        </w:rPr>
        <w:t xml:space="preserve">РГВИА. Ф. 369. </w:t>
      </w:r>
      <w:r w:rsidRPr="00405303">
        <w:rPr>
          <w:rFonts w:ascii="Times New Roman" w:hAnsi="Times New Roman" w:cs="Times New Roman"/>
          <w:bCs/>
          <w:color w:val="002060"/>
          <w:sz w:val="16"/>
          <w:szCs w:val="16"/>
          <w:lang w:val="en-US" w:bidi="en-US"/>
        </w:rPr>
        <w:t>On</w:t>
      </w:r>
      <w:r w:rsidRPr="00405303">
        <w:rPr>
          <w:rFonts w:ascii="Times New Roman" w:hAnsi="Times New Roman" w:cs="Times New Roman"/>
          <w:bCs/>
          <w:color w:val="002060"/>
          <w:sz w:val="16"/>
          <w:szCs w:val="16"/>
          <w:lang w:bidi="en-US"/>
        </w:rPr>
        <w:t xml:space="preserve">. </w:t>
      </w:r>
      <w:r w:rsidRPr="00405303">
        <w:rPr>
          <w:rFonts w:ascii="Times New Roman" w:hAnsi="Times New Roman" w:cs="Times New Roman"/>
          <w:bCs/>
          <w:color w:val="002060"/>
          <w:sz w:val="16"/>
          <w:szCs w:val="16"/>
        </w:rPr>
        <w:t>1. Д. 122. Л. 1 об.—2. В «Обзоре деятельности Кабинета» указано, что заводу уже «гарантированы заказы... на оптиче</w:t>
      </w:r>
      <w:r w:rsidRPr="00405303">
        <w:rPr>
          <w:rFonts w:ascii="Times New Roman" w:hAnsi="Times New Roman" w:cs="Times New Roman"/>
          <w:bCs/>
          <w:color w:val="002060"/>
          <w:sz w:val="16"/>
          <w:szCs w:val="16"/>
        </w:rPr>
        <w:softHyphen/>
        <w:t>ское стекло в течение 10 лет, всего на 750 пудов в год» (с. 100).</w:t>
      </w:r>
    </w:p>
    <w:p w14:paraId="30FBA206" w14:textId="77777777" w:rsidR="004C5295" w:rsidRPr="00405303" w:rsidRDefault="004C5295"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 xml:space="preserve"> Жуковский Г.Ю. Указ. соч. С. 37; Стожаров А.И. Начало произ</w:t>
      </w:r>
      <w:r w:rsidRPr="00405303">
        <w:rPr>
          <w:rFonts w:ascii="Times New Roman" w:hAnsi="Times New Roman" w:cs="Times New Roman"/>
          <w:bCs/>
          <w:color w:val="002060"/>
          <w:sz w:val="16"/>
          <w:szCs w:val="16"/>
        </w:rPr>
        <w:softHyphen/>
        <w:t>водства оптического стекла в СССР // Оптико-механическая промыш</w:t>
      </w:r>
      <w:r w:rsidRPr="00405303">
        <w:rPr>
          <w:rFonts w:ascii="Times New Roman" w:hAnsi="Times New Roman" w:cs="Times New Roman"/>
          <w:bCs/>
          <w:color w:val="002060"/>
          <w:sz w:val="16"/>
          <w:szCs w:val="16"/>
        </w:rPr>
        <w:softHyphen/>
        <w:t>ленность. 1957. № 5. С. 65.</w:t>
      </w:r>
    </w:p>
    <w:p w14:paraId="40837C46" w14:textId="77777777" w:rsidR="004C5295" w:rsidRPr="00405303" w:rsidRDefault="004C5295" w:rsidP="00C15251">
      <w:pPr>
        <w:jc w:val="both"/>
        <w:rPr>
          <w:bCs/>
          <w:color w:val="002060"/>
          <w:sz w:val="16"/>
          <w:szCs w:val="16"/>
        </w:rPr>
      </w:pPr>
      <w:r w:rsidRPr="00405303">
        <w:rPr>
          <w:bCs/>
          <w:color w:val="002060"/>
          <w:sz w:val="16"/>
          <w:szCs w:val="16"/>
        </w:rPr>
        <w:t xml:space="preserve"> РГВИА. Ф. 369. </w:t>
      </w:r>
      <w:r w:rsidRPr="00405303">
        <w:rPr>
          <w:bCs/>
          <w:color w:val="002060"/>
          <w:sz w:val="16"/>
          <w:szCs w:val="16"/>
          <w:lang w:val="en-US" w:bidi="en-US"/>
        </w:rPr>
        <w:t>On</w:t>
      </w:r>
      <w:r w:rsidRPr="00405303">
        <w:rPr>
          <w:bCs/>
          <w:color w:val="002060"/>
          <w:sz w:val="16"/>
          <w:szCs w:val="16"/>
          <w:lang w:bidi="en-US"/>
        </w:rPr>
        <w:t xml:space="preserve">. </w:t>
      </w:r>
      <w:r w:rsidRPr="00405303">
        <w:rPr>
          <w:bCs/>
          <w:color w:val="002060"/>
          <w:sz w:val="16"/>
          <w:szCs w:val="16"/>
        </w:rPr>
        <w:t>1. Д. 122. Л. 10, 11, 15; Материалы по истории. Вып. 1. С. 7. Ряд других частных заводов («Северного стекольно-про</w:t>
      </w:r>
      <w:r w:rsidRPr="00405303">
        <w:rPr>
          <w:bCs/>
          <w:color w:val="002060"/>
          <w:sz w:val="16"/>
          <w:szCs w:val="16"/>
        </w:rPr>
        <w:softHyphen/>
        <w:t>мышленного общества» в Петрограде, «Анонимного общества зеркаль</w:t>
      </w:r>
      <w:r w:rsidRPr="00405303">
        <w:rPr>
          <w:bCs/>
          <w:color w:val="002060"/>
          <w:sz w:val="16"/>
          <w:szCs w:val="16"/>
        </w:rPr>
        <w:softHyphen/>
        <w:t>ных заводов» в Константиновке и др.) принялся за опыты по изготов</w:t>
      </w:r>
      <w:r w:rsidRPr="00405303">
        <w:rPr>
          <w:bCs/>
          <w:color w:val="002060"/>
          <w:sz w:val="16"/>
          <w:szCs w:val="16"/>
        </w:rPr>
        <w:softHyphen/>
        <w:t>лению зеркального стекла, применяемого в виде призм в биноклях, панорамах, стереотрубах, заменяя оптическое стекло, отмечал Артилле</w:t>
      </w:r>
      <w:r w:rsidRPr="00405303">
        <w:rPr>
          <w:bCs/>
          <w:color w:val="002060"/>
          <w:sz w:val="16"/>
          <w:szCs w:val="16"/>
        </w:rPr>
        <w:softHyphen/>
        <w:t>рийский комитет 7 ноября 1915 г. (РГВИА. Ф. 504. Оп. 10. Д. 8. Л. 305 и об.)). «Необходимо дать гарантии», — распорядился Поливанов.</w:t>
      </w:r>
    </w:p>
    <w:p w14:paraId="0F4356D5" w14:textId="77777777" w:rsidR="004C5295" w:rsidRPr="00405303" w:rsidRDefault="004C5295" w:rsidP="00C15251">
      <w:pPr>
        <w:jc w:val="both"/>
        <w:rPr>
          <w:bCs/>
          <w:color w:val="002060"/>
          <w:sz w:val="16"/>
          <w:szCs w:val="16"/>
        </w:rPr>
      </w:pPr>
      <w:r w:rsidRPr="00405303">
        <w:rPr>
          <w:bCs/>
          <w:color w:val="002060"/>
          <w:sz w:val="16"/>
          <w:szCs w:val="16"/>
        </w:rPr>
        <w:t>В то же время Фарфоровый завод отклонил предложение поставлять стекло для аппаратов оптического телеграфиро</w:t>
      </w:r>
      <w:r w:rsidRPr="00405303">
        <w:rPr>
          <w:bCs/>
          <w:color w:val="002060"/>
          <w:sz w:val="16"/>
          <w:szCs w:val="16"/>
        </w:rPr>
        <w:softHyphen/>
        <w:t>вания. По разъяснению Кабинета от 14 января 1916 г., та</w:t>
      </w:r>
      <w:r w:rsidRPr="00405303">
        <w:rPr>
          <w:bCs/>
          <w:color w:val="002060"/>
          <w:sz w:val="16"/>
          <w:szCs w:val="16"/>
        </w:rPr>
        <w:softHyphen/>
        <w:t>кое стекло «по исследовании оказалось обыкновенным зер</w:t>
      </w:r>
      <w:r w:rsidRPr="00405303">
        <w:rPr>
          <w:bCs/>
          <w:color w:val="002060"/>
          <w:sz w:val="16"/>
          <w:szCs w:val="16"/>
        </w:rPr>
        <w:softHyphen/>
        <w:t>кальным, которое императорским стеклянным заводом не изготовляется. Вследствие этого заказ... дан быть не мо</w:t>
      </w:r>
      <w:r w:rsidRPr="00405303">
        <w:rPr>
          <w:bCs/>
          <w:color w:val="002060"/>
          <w:sz w:val="16"/>
          <w:szCs w:val="16"/>
        </w:rPr>
        <w:softHyphen/>
        <w:t>жет». Учитывалось, очевидно, что оборудование завода спе</w:t>
      </w:r>
      <w:r w:rsidRPr="00405303">
        <w:rPr>
          <w:bCs/>
          <w:color w:val="002060"/>
          <w:sz w:val="16"/>
          <w:szCs w:val="16"/>
        </w:rPr>
        <w:softHyphen/>
        <w:t xml:space="preserve">циальными бельгийскими печами-машинами потребовало бы больших средств, как и приобретение патента (РГВИА. Ф. 369. </w:t>
      </w:r>
      <w:r w:rsidRPr="00405303">
        <w:rPr>
          <w:bCs/>
          <w:color w:val="002060"/>
          <w:sz w:val="16"/>
          <w:szCs w:val="16"/>
          <w:lang w:val="en-US" w:bidi="en-US"/>
        </w:rPr>
        <w:t>On</w:t>
      </w:r>
      <w:r w:rsidRPr="00405303">
        <w:rPr>
          <w:bCs/>
          <w:color w:val="002060"/>
          <w:sz w:val="16"/>
          <w:szCs w:val="16"/>
          <w:lang w:bidi="en-US"/>
        </w:rPr>
        <w:t xml:space="preserve">. </w:t>
      </w:r>
      <w:r w:rsidRPr="00405303">
        <w:rPr>
          <w:bCs/>
          <w:color w:val="002060"/>
          <w:sz w:val="16"/>
          <w:szCs w:val="16"/>
        </w:rPr>
        <w:t>1. Д. 122. Л. 10, 11, 15; Материалы по истории. Вып. 1. С. 7. Ряд других частных заводов («Северного стекольно-про</w:t>
      </w:r>
      <w:r w:rsidRPr="00405303">
        <w:rPr>
          <w:bCs/>
          <w:color w:val="002060"/>
          <w:sz w:val="16"/>
          <w:szCs w:val="16"/>
        </w:rPr>
        <w:softHyphen/>
        <w:t>мышленного общества» в Петрограде, «Анонимного общества зеркаль</w:t>
      </w:r>
      <w:r w:rsidRPr="00405303">
        <w:rPr>
          <w:bCs/>
          <w:color w:val="002060"/>
          <w:sz w:val="16"/>
          <w:szCs w:val="16"/>
        </w:rPr>
        <w:softHyphen/>
        <w:t>ных заводов» в Константиновке и др.) принялся за опыты по изготов</w:t>
      </w:r>
      <w:r w:rsidRPr="00405303">
        <w:rPr>
          <w:bCs/>
          <w:color w:val="002060"/>
          <w:sz w:val="16"/>
          <w:szCs w:val="16"/>
        </w:rPr>
        <w:softHyphen/>
        <w:t>лению зеркального стекла, применяемого в виде призм в биноклях, панорамах, стереотрубах, заменяя оптическое стекло, отмечал Артилле</w:t>
      </w:r>
      <w:r w:rsidRPr="00405303">
        <w:rPr>
          <w:bCs/>
          <w:color w:val="002060"/>
          <w:sz w:val="16"/>
          <w:szCs w:val="16"/>
        </w:rPr>
        <w:softHyphen/>
        <w:t>рийский комитет 7 ноября 1915 г. (РГВИА. Ф. 504. Оп. 10. Д. 8. Л. 305 и об.)).</w:t>
      </w:r>
    </w:p>
    <w:p w14:paraId="2566F535" w14:textId="77777777" w:rsidR="004C5295" w:rsidRPr="00405303" w:rsidRDefault="004C5295" w:rsidP="00C15251">
      <w:pPr>
        <w:jc w:val="both"/>
        <w:rPr>
          <w:bCs/>
          <w:color w:val="002060"/>
          <w:sz w:val="16"/>
          <w:szCs w:val="16"/>
        </w:rPr>
      </w:pPr>
      <w:r w:rsidRPr="00405303">
        <w:rPr>
          <w:bCs/>
          <w:color w:val="002060"/>
          <w:sz w:val="16"/>
          <w:szCs w:val="16"/>
        </w:rPr>
        <w:t>16 января Поливанов сообщил Волкову, что «определить точно потребность... на 10 лет не представляется возмож</w:t>
      </w:r>
      <w:r w:rsidRPr="00405303">
        <w:rPr>
          <w:bCs/>
          <w:color w:val="002060"/>
          <w:sz w:val="16"/>
          <w:szCs w:val="16"/>
        </w:rPr>
        <w:softHyphen/>
        <w:t>ным. В настоящее время для состоящих в ведении ГАУ оп</w:t>
      </w:r>
      <w:r w:rsidRPr="00405303">
        <w:rPr>
          <w:bCs/>
          <w:color w:val="002060"/>
          <w:sz w:val="16"/>
          <w:szCs w:val="16"/>
        </w:rPr>
        <w:softHyphen/>
        <w:t>тических заводов требуется ежемесячно 35 пудов... то есть 420 пудов в год» — 4200 пудов на 10 лет. «Следует полагать, что эта потребность не уменьшится в течение предстоящих 10 лет, а увеличится, но в какой мере — это зависит от при</w:t>
      </w:r>
      <w:r w:rsidRPr="00405303">
        <w:rPr>
          <w:bCs/>
          <w:color w:val="002060"/>
          <w:sz w:val="16"/>
          <w:szCs w:val="16"/>
        </w:rPr>
        <w:softHyphen/>
        <w:t>чин, которые нельзя теперь предусмотреть». Морское ве</w:t>
      </w:r>
      <w:r w:rsidRPr="00405303">
        <w:rPr>
          <w:bCs/>
          <w:color w:val="002060"/>
          <w:sz w:val="16"/>
          <w:szCs w:val="16"/>
        </w:rPr>
        <w:softHyphen/>
        <w:t>домство тратило 250 пудов в год. Таким образом, совокуп</w:t>
      </w:r>
      <w:r w:rsidRPr="00405303">
        <w:rPr>
          <w:bCs/>
          <w:color w:val="002060"/>
          <w:sz w:val="16"/>
          <w:szCs w:val="16"/>
        </w:rPr>
        <w:softHyphen/>
        <w:t>но армия и флот могли взять до 670 пудов в год (23452).</w:t>
      </w:r>
    </w:p>
    <w:p w14:paraId="79D9C532" w14:textId="77777777" w:rsidR="004C5295" w:rsidRPr="00405303" w:rsidRDefault="004C5295" w:rsidP="00C15251">
      <w:pPr>
        <w:jc w:val="both"/>
        <w:rPr>
          <w:bCs/>
          <w:color w:val="002060"/>
          <w:sz w:val="16"/>
          <w:szCs w:val="16"/>
        </w:rPr>
      </w:pPr>
    </w:p>
    <w:p w14:paraId="05795717" w14:textId="74EBA390" w:rsidR="00343BBF" w:rsidRPr="00405303" w:rsidRDefault="00343BBF" w:rsidP="00C15251">
      <w:pPr>
        <w:shd w:val="clear" w:color="auto" w:fill="FFFFFF"/>
        <w:jc w:val="both"/>
        <w:rPr>
          <w:bCs/>
          <w:i/>
          <w:color w:val="002060"/>
          <w:sz w:val="16"/>
          <w:szCs w:val="16"/>
        </w:rPr>
      </w:pPr>
      <w:r w:rsidRPr="00405303">
        <w:rPr>
          <w:bCs/>
          <w:i/>
          <w:color w:val="002060"/>
          <w:sz w:val="16"/>
          <w:szCs w:val="16"/>
        </w:rPr>
        <w:t>Авиация:</w:t>
      </w:r>
    </w:p>
    <w:p w14:paraId="1B0ECB66" w14:textId="77777777" w:rsidR="00343BBF" w:rsidRPr="00405303" w:rsidRDefault="00343BBF" w:rsidP="00C15251">
      <w:pPr>
        <w:shd w:val="clear" w:color="auto" w:fill="FFFFFF"/>
        <w:jc w:val="both"/>
        <w:rPr>
          <w:bCs/>
          <w:i/>
          <w:color w:val="002060"/>
          <w:sz w:val="16"/>
          <w:szCs w:val="16"/>
        </w:rPr>
      </w:pPr>
    </w:p>
    <w:p w14:paraId="219DCAD1" w14:textId="780B02E2" w:rsidR="00343BBF" w:rsidRPr="00405303" w:rsidRDefault="00343BBF" w:rsidP="00C15251">
      <w:pPr>
        <w:pStyle w:val="rtejustify"/>
        <w:shd w:val="clear" w:color="auto" w:fill="FFFFFF"/>
        <w:spacing w:before="0" w:beforeAutospacing="0" w:after="0" w:afterAutospacing="0"/>
        <w:jc w:val="both"/>
        <w:rPr>
          <w:bCs/>
          <w:color w:val="002060"/>
          <w:sz w:val="16"/>
          <w:szCs w:val="16"/>
        </w:rPr>
      </w:pPr>
      <w:r w:rsidRPr="00405303">
        <w:rPr>
          <w:bCs/>
          <w:color w:val="002060"/>
          <w:sz w:val="16"/>
          <w:szCs w:val="16"/>
        </w:rPr>
        <w:t xml:space="preserve">15 </w:t>
      </w:r>
      <w:r w:rsidR="00E0009C" w:rsidRPr="00405303">
        <w:rPr>
          <w:bCs/>
          <w:color w:val="002060"/>
          <w:sz w:val="16"/>
          <w:szCs w:val="16"/>
        </w:rPr>
        <w:t xml:space="preserve">(28) </w:t>
      </w:r>
      <w:r w:rsidRPr="00405303">
        <w:rPr>
          <w:bCs/>
          <w:color w:val="002060"/>
          <w:sz w:val="16"/>
          <w:szCs w:val="16"/>
        </w:rPr>
        <w:t>декабря 1915 великий князь Александр Михайлович доложил в Ставку ВГ генералу от инфантерии М.В. Алексееву, что «седьмой и двенадцатый отряды истребителей сформированы и выступают по назначению». Их командирами являлись соответственно подпоручики И.А. Орлов и М.Г. фон Лерхе. 2-й ИАО формировался при 2-м авиационном парке (г. Смоленск) под руководством штабс-капитана Е.Н.Крутеня, позднее вступившего в его командование.</w:t>
      </w:r>
    </w:p>
    <w:p w14:paraId="3D7A87B2" w14:textId="05C1A315" w:rsidR="00343BBF" w:rsidRPr="00405303" w:rsidRDefault="00343BBF" w:rsidP="00C15251">
      <w:pPr>
        <w:pStyle w:val="rtejustify"/>
        <w:shd w:val="clear" w:color="auto" w:fill="FFFFFF"/>
        <w:spacing w:before="0" w:beforeAutospacing="0" w:after="0" w:afterAutospacing="0"/>
        <w:jc w:val="both"/>
        <w:rPr>
          <w:bCs/>
          <w:color w:val="002060"/>
          <w:sz w:val="16"/>
          <w:szCs w:val="16"/>
        </w:rPr>
      </w:pPr>
      <w:r w:rsidRPr="00405303">
        <w:rPr>
          <w:bCs/>
          <w:color w:val="002060"/>
          <w:sz w:val="16"/>
          <w:szCs w:val="16"/>
        </w:rPr>
        <w:t>Формирование остальных авиаотрядов затянулось фактически на полгода из-за</w:t>
      </w:r>
      <w:r w:rsidR="000F5756">
        <w:rPr>
          <w:bCs/>
          <w:color w:val="002060"/>
          <w:sz w:val="16"/>
          <w:szCs w:val="16"/>
        </w:rPr>
        <w:t xml:space="preserve"> </w:t>
      </w:r>
      <w:r w:rsidRPr="00405303">
        <w:rPr>
          <w:bCs/>
          <w:color w:val="002060"/>
          <w:sz w:val="16"/>
          <w:szCs w:val="16"/>
        </w:rPr>
        <w:t>отсутствия союзнической помощи и недостатка специальных самолётов-истребителей. Поэтому полноценные отряды истребителей появились на фронте только к 1 июня</w:t>
      </w:r>
      <w:r w:rsidR="000F5756">
        <w:rPr>
          <w:bCs/>
          <w:color w:val="002060"/>
          <w:sz w:val="16"/>
          <w:szCs w:val="16"/>
        </w:rPr>
        <w:t xml:space="preserve"> </w:t>
      </w:r>
      <w:r w:rsidRPr="00405303">
        <w:rPr>
          <w:rStyle w:val="highlight"/>
          <w:bCs/>
          <w:color w:val="002060"/>
          <w:sz w:val="16"/>
          <w:szCs w:val="16"/>
        </w:rPr>
        <w:t>1916</w:t>
      </w:r>
      <w:r w:rsidR="000F5756">
        <w:rPr>
          <w:rStyle w:val="highlight"/>
          <w:bCs/>
          <w:color w:val="002060"/>
          <w:sz w:val="16"/>
          <w:szCs w:val="16"/>
        </w:rPr>
        <w:t xml:space="preserve"> </w:t>
      </w:r>
      <w:r w:rsidRPr="00405303">
        <w:rPr>
          <w:bCs/>
          <w:color w:val="002060"/>
          <w:sz w:val="16"/>
          <w:szCs w:val="16"/>
        </w:rPr>
        <w:t>года. В июле-августе на фронте появились еще 11 ИАО.</w:t>
      </w:r>
    </w:p>
    <w:tbl>
      <w:tblPr>
        <w:tblW w:w="5000" w:type="pct"/>
        <w:tblCellSpacing w:w="15" w:type="dxa"/>
        <w:tblCellMar>
          <w:left w:w="0" w:type="dxa"/>
          <w:right w:w="0" w:type="dxa"/>
        </w:tblCellMar>
        <w:tblLook w:val="04A0" w:firstRow="1" w:lastRow="0" w:firstColumn="1" w:lastColumn="0" w:noHBand="0" w:noVBand="1"/>
      </w:tblPr>
      <w:tblGrid>
        <w:gridCol w:w="1543"/>
        <w:gridCol w:w="1431"/>
        <w:gridCol w:w="1500"/>
        <w:gridCol w:w="1983"/>
        <w:gridCol w:w="4856"/>
      </w:tblGrid>
      <w:tr w:rsidR="00343BBF" w:rsidRPr="00405303" w14:paraId="253D53E1"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0B4945A" w14:textId="406483DA" w:rsidR="00343BBF" w:rsidRPr="00405303" w:rsidRDefault="00DB4D64" w:rsidP="00C15251">
            <w:pPr>
              <w:pStyle w:val="ae"/>
              <w:spacing w:before="0" w:beforeAutospacing="0" w:after="0" w:afterAutospacing="0"/>
              <w:jc w:val="both"/>
              <w:rPr>
                <w:bCs/>
                <w:color w:val="002060"/>
                <w:sz w:val="16"/>
                <w:szCs w:val="16"/>
              </w:rPr>
            </w:pPr>
            <w:r w:rsidRPr="00405303">
              <w:rPr>
                <w:bCs/>
                <w:color w:val="002060"/>
                <w:sz w:val="16"/>
                <w:szCs w:val="16"/>
              </w:rPr>
              <w:t xml:space="preserve"> </w:t>
            </w:r>
            <w:r w:rsidR="00343BBF" w:rsidRPr="00405303">
              <w:rPr>
                <w:rStyle w:val="af0"/>
                <w:b w:val="0"/>
                <w:color w:val="002060"/>
                <w:sz w:val="16"/>
                <w:szCs w:val="16"/>
              </w:rPr>
              <w:t>Наименование</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AAC0E9F" w14:textId="3F169E80" w:rsidR="00343BBF" w:rsidRPr="00405303" w:rsidRDefault="00DB4D64" w:rsidP="00C15251">
            <w:pPr>
              <w:pStyle w:val="ae"/>
              <w:spacing w:before="0" w:beforeAutospacing="0" w:after="0" w:afterAutospacing="0"/>
              <w:jc w:val="both"/>
              <w:rPr>
                <w:bCs/>
                <w:color w:val="002060"/>
                <w:sz w:val="16"/>
                <w:szCs w:val="16"/>
              </w:rPr>
            </w:pPr>
            <w:r w:rsidRPr="00405303">
              <w:rPr>
                <w:bCs/>
                <w:color w:val="002060"/>
                <w:sz w:val="16"/>
                <w:szCs w:val="16"/>
              </w:rPr>
              <w:t xml:space="preserve"> </w:t>
            </w:r>
            <w:r w:rsidR="00343BBF" w:rsidRPr="00405303">
              <w:rPr>
                <w:rStyle w:val="af0"/>
                <w:b w:val="0"/>
                <w:color w:val="002060"/>
                <w:sz w:val="16"/>
                <w:szCs w:val="16"/>
              </w:rPr>
              <w:t>Дата формирования</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5B9C001" w14:textId="5288E5F8" w:rsidR="00343BBF" w:rsidRPr="00405303" w:rsidRDefault="00DB4D64" w:rsidP="00C15251">
            <w:pPr>
              <w:pStyle w:val="ae"/>
              <w:spacing w:before="0" w:beforeAutospacing="0" w:after="0" w:afterAutospacing="0"/>
              <w:jc w:val="both"/>
              <w:rPr>
                <w:bCs/>
                <w:color w:val="002060"/>
                <w:sz w:val="16"/>
                <w:szCs w:val="16"/>
              </w:rPr>
            </w:pPr>
            <w:r w:rsidRPr="00405303">
              <w:rPr>
                <w:bCs/>
                <w:color w:val="002060"/>
                <w:sz w:val="16"/>
                <w:szCs w:val="16"/>
              </w:rPr>
              <w:t xml:space="preserve"> </w:t>
            </w:r>
            <w:r w:rsidR="00343BBF" w:rsidRPr="00405303">
              <w:rPr>
                <w:rStyle w:val="af0"/>
                <w:b w:val="0"/>
                <w:color w:val="002060"/>
                <w:sz w:val="16"/>
                <w:szCs w:val="16"/>
              </w:rPr>
              <w:t>Начальник отряда</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207C2D4" w14:textId="235D3ADC" w:rsidR="00343BBF" w:rsidRPr="00405303" w:rsidRDefault="00DB4D64" w:rsidP="00C15251">
            <w:pPr>
              <w:pStyle w:val="ae"/>
              <w:spacing w:before="0" w:beforeAutospacing="0" w:after="0" w:afterAutospacing="0"/>
              <w:jc w:val="both"/>
              <w:rPr>
                <w:bCs/>
                <w:color w:val="002060"/>
                <w:sz w:val="16"/>
                <w:szCs w:val="16"/>
              </w:rPr>
            </w:pPr>
            <w:r w:rsidRPr="00405303">
              <w:rPr>
                <w:bCs/>
                <w:color w:val="002060"/>
                <w:sz w:val="16"/>
                <w:szCs w:val="16"/>
              </w:rPr>
              <w:t xml:space="preserve"> </w:t>
            </w:r>
            <w:r w:rsidR="00343BBF" w:rsidRPr="00405303">
              <w:rPr>
                <w:rStyle w:val="af0"/>
                <w:b w:val="0"/>
                <w:color w:val="002060"/>
                <w:sz w:val="16"/>
                <w:szCs w:val="16"/>
              </w:rPr>
              <w:t>Асы</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EC9F808" w14:textId="21F12E85" w:rsidR="00343BBF" w:rsidRPr="00405303" w:rsidRDefault="00DB4D64" w:rsidP="00C15251">
            <w:pPr>
              <w:pStyle w:val="ae"/>
              <w:spacing w:before="0" w:beforeAutospacing="0" w:after="0" w:afterAutospacing="0"/>
              <w:jc w:val="both"/>
              <w:rPr>
                <w:bCs/>
                <w:color w:val="002060"/>
                <w:sz w:val="16"/>
                <w:szCs w:val="16"/>
              </w:rPr>
            </w:pPr>
            <w:r w:rsidRPr="00405303">
              <w:rPr>
                <w:bCs/>
                <w:color w:val="002060"/>
                <w:sz w:val="16"/>
                <w:szCs w:val="16"/>
              </w:rPr>
              <w:t xml:space="preserve"> </w:t>
            </w:r>
            <w:r w:rsidR="00343BBF" w:rsidRPr="00405303">
              <w:rPr>
                <w:rStyle w:val="af0"/>
                <w:b w:val="0"/>
                <w:color w:val="002060"/>
                <w:sz w:val="16"/>
                <w:szCs w:val="16"/>
              </w:rPr>
              <w:t>Примечания</w:t>
            </w:r>
          </w:p>
        </w:tc>
      </w:tr>
      <w:tr w:rsidR="00343BBF" w:rsidRPr="00405303" w14:paraId="4CE66F3C"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CC7AACB"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1-й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2EFEF3C" w14:textId="625462E0"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12.07.</w:t>
            </w:r>
            <w:r w:rsidR="00DB4D64" w:rsidRPr="00405303">
              <w:rPr>
                <w:rStyle w:val="highlight"/>
                <w:bCs/>
                <w:color w:val="002060"/>
                <w:sz w:val="16"/>
                <w:szCs w:val="16"/>
              </w:rPr>
              <w:t xml:space="preserve"> </w:t>
            </w:r>
            <w:r w:rsidRPr="00405303">
              <w:rPr>
                <w:rStyle w:val="highlight"/>
                <w:bCs/>
                <w:color w:val="002060"/>
                <w:sz w:val="16"/>
                <w:szCs w:val="16"/>
              </w:rPr>
              <w:t>1916</w:t>
            </w:r>
            <w:r w:rsidR="000F5756">
              <w:rPr>
                <w:rStyle w:val="highlight"/>
                <w:bCs/>
                <w:color w:val="002060"/>
                <w:sz w:val="16"/>
                <w:szCs w:val="16"/>
              </w:rPr>
              <w:t xml:space="preserve"> </w:t>
            </w:r>
            <w:r w:rsidRPr="00405303">
              <w:rPr>
                <w:bCs/>
                <w:color w:val="002060"/>
                <w:sz w:val="16"/>
                <w:szCs w:val="16"/>
              </w:rPr>
              <w:t>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9B9A132"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подпоручик К.К. Вакуловский</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169D12F"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К.К. Вакуловский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38ABFA2"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7 самолетов «Моран-Стеглау» Сформирован при 4-м авиапарке (Витебск), передан в состав 1-го авиадивизиона (Рига, Северный фронт).</w:t>
            </w:r>
          </w:p>
        </w:tc>
      </w:tr>
      <w:tr w:rsidR="00343BBF" w:rsidRPr="00405303" w14:paraId="2FB62E5A"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F463247"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2-й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303B3B3" w14:textId="3DEC206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февраль</w:t>
            </w:r>
            <w:r w:rsidR="000F5756">
              <w:rPr>
                <w:bCs/>
                <w:color w:val="002060"/>
                <w:sz w:val="16"/>
                <w:szCs w:val="16"/>
              </w:rPr>
              <w:t xml:space="preserve"> </w:t>
            </w:r>
            <w:r w:rsidRPr="00405303">
              <w:rPr>
                <w:rStyle w:val="highlight"/>
                <w:bCs/>
                <w:color w:val="002060"/>
                <w:sz w:val="16"/>
                <w:szCs w:val="16"/>
              </w:rPr>
              <w:t>1916</w:t>
            </w:r>
            <w:r w:rsidR="000F5756">
              <w:rPr>
                <w:rStyle w:val="highlight"/>
                <w:bCs/>
                <w:color w:val="002060"/>
                <w:sz w:val="16"/>
                <w:szCs w:val="16"/>
              </w:rPr>
              <w:t xml:space="preserve"> </w:t>
            </w:r>
            <w:r w:rsidRPr="00405303">
              <w:rPr>
                <w:bCs/>
                <w:color w:val="002060"/>
                <w:sz w:val="16"/>
                <w:szCs w:val="16"/>
              </w:rPr>
              <w:t>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0118EB4"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шт.-капитан Е.Н. Крутень,</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C9C5D77"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Е.Н. Крутень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5BA996A"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10 самолетов «Ньюпорт-9»</w:t>
            </w:r>
          </w:p>
          <w:p w14:paraId="329C42A9"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Сформирован при 2-м авиапарке (Смоленск).</w:t>
            </w:r>
          </w:p>
        </w:tc>
      </w:tr>
      <w:tr w:rsidR="00343BBF" w:rsidRPr="00405303" w14:paraId="3362AB99"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B1D0E2E"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3-й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4B5F299" w14:textId="6E59905C"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июль-август</w:t>
            </w:r>
            <w:r w:rsidR="000F5756">
              <w:rPr>
                <w:bCs/>
                <w:color w:val="002060"/>
                <w:sz w:val="16"/>
                <w:szCs w:val="16"/>
              </w:rPr>
              <w:t xml:space="preserve"> </w:t>
            </w:r>
            <w:r w:rsidRPr="00405303">
              <w:rPr>
                <w:rStyle w:val="highlight"/>
                <w:bCs/>
                <w:color w:val="002060"/>
                <w:sz w:val="16"/>
                <w:szCs w:val="16"/>
              </w:rPr>
              <w:t>1916</w:t>
            </w:r>
            <w:r w:rsidR="000F5756">
              <w:rPr>
                <w:rStyle w:val="highlight"/>
                <w:bCs/>
                <w:color w:val="002060"/>
                <w:sz w:val="16"/>
                <w:szCs w:val="16"/>
              </w:rPr>
              <w:t xml:space="preserve"> </w:t>
            </w:r>
            <w:r w:rsidRPr="00405303">
              <w:rPr>
                <w:bCs/>
                <w:color w:val="002060"/>
                <w:sz w:val="16"/>
                <w:szCs w:val="16"/>
              </w:rPr>
              <w:t>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328A308"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шт.-капитан Н.А. Мульков</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90366BC"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2892BD1" w14:textId="36C7A0FD"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планировалось сформировать при 5-м авиапарке приказом от 12 марта</w:t>
            </w:r>
            <w:r w:rsidR="000F5756">
              <w:rPr>
                <w:bCs/>
                <w:color w:val="002060"/>
                <w:sz w:val="16"/>
                <w:szCs w:val="16"/>
              </w:rPr>
              <w:t xml:space="preserve"> </w:t>
            </w:r>
            <w:r w:rsidRPr="00405303">
              <w:rPr>
                <w:rStyle w:val="highlight"/>
                <w:bCs/>
                <w:color w:val="002060"/>
                <w:sz w:val="16"/>
                <w:szCs w:val="16"/>
              </w:rPr>
              <w:t>1916</w:t>
            </w:r>
            <w:r w:rsidR="000F5756">
              <w:rPr>
                <w:rStyle w:val="highlight"/>
                <w:bCs/>
                <w:color w:val="002060"/>
                <w:sz w:val="16"/>
                <w:szCs w:val="16"/>
              </w:rPr>
              <w:t xml:space="preserve"> </w:t>
            </w:r>
            <w:r w:rsidRPr="00405303">
              <w:rPr>
                <w:bCs/>
                <w:color w:val="002060"/>
                <w:sz w:val="16"/>
                <w:szCs w:val="16"/>
              </w:rPr>
              <w:t>г. Из-за нехватки самолётов и лётчиков формирование затянулось, и отряд был готов к перебазированию на фронт только в середине августа. 8 «Моран-Стеглау»</w:t>
            </w:r>
          </w:p>
        </w:tc>
      </w:tr>
      <w:tr w:rsidR="00343BBF" w:rsidRPr="00405303" w14:paraId="7EA02555"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B5DC8AC"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4-й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7E86241" w14:textId="49BF4A8B"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8.07.</w:t>
            </w:r>
            <w:r w:rsidR="00DB4D64" w:rsidRPr="00405303">
              <w:rPr>
                <w:rStyle w:val="highlight"/>
                <w:bCs/>
                <w:color w:val="002060"/>
                <w:sz w:val="16"/>
                <w:szCs w:val="16"/>
              </w:rPr>
              <w:t xml:space="preserve"> </w:t>
            </w:r>
            <w:r w:rsidRPr="00405303">
              <w:rPr>
                <w:rStyle w:val="highlight"/>
                <w:bCs/>
                <w:color w:val="002060"/>
                <w:sz w:val="16"/>
                <w:szCs w:val="16"/>
              </w:rPr>
              <w:t>1916</w:t>
            </w:r>
            <w:r w:rsidR="000F5756">
              <w:rPr>
                <w:rStyle w:val="highlight"/>
                <w:bCs/>
                <w:color w:val="002060"/>
                <w:sz w:val="16"/>
                <w:szCs w:val="16"/>
              </w:rPr>
              <w:t xml:space="preserve"> </w:t>
            </w:r>
            <w:r w:rsidRPr="00405303">
              <w:rPr>
                <w:bCs/>
                <w:color w:val="002060"/>
                <w:sz w:val="16"/>
                <w:szCs w:val="16"/>
              </w:rPr>
              <w:t>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90DFD26"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сотник Зверев</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8B59B15"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A0B4D45"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Сформирован при 2-м авиапарке (Смоленск). 7 «Ньюпорт-9»</w:t>
            </w:r>
          </w:p>
        </w:tc>
      </w:tr>
      <w:tr w:rsidR="00343BBF" w:rsidRPr="00405303" w14:paraId="03BAADDA"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0C522D7"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5-й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5D680C7" w14:textId="4716A4F3"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май</w:t>
            </w:r>
            <w:r w:rsidR="000F5756">
              <w:rPr>
                <w:bCs/>
                <w:color w:val="002060"/>
                <w:sz w:val="16"/>
                <w:szCs w:val="16"/>
              </w:rPr>
              <w:t xml:space="preserve"> </w:t>
            </w:r>
            <w:r w:rsidRPr="00405303">
              <w:rPr>
                <w:rStyle w:val="highlight"/>
                <w:bCs/>
                <w:color w:val="002060"/>
                <w:sz w:val="16"/>
                <w:szCs w:val="16"/>
              </w:rPr>
              <w:t>1916</w:t>
            </w:r>
            <w:r w:rsidR="000F5756">
              <w:rPr>
                <w:rStyle w:val="highlight"/>
                <w:bCs/>
                <w:color w:val="002060"/>
                <w:sz w:val="16"/>
                <w:szCs w:val="16"/>
              </w:rPr>
              <w:t xml:space="preserve"> </w:t>
            </w:r>
            <w:r w:rsidRPr="00405303">
              <w:rPr>
                <w:bCs/>
                <w:color w:val="002060"/>
                <w:sz w:val="16"/>
                <w:szCs w:val="16"/>
              </w:rPr>
              <w:t>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11710A3"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подпоручик Капутовский</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CE5F57D"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D077FB2"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7-й авиапарк (Псков). 8 «Моран-Стеглау»</w:t>
            </w:r>
          </w:p>
        </w:tc>
      </w:tr>
      <w:tr w:rsidR="00343BBF" w:rsidRPr="00405303" w14:paraId="717EEECD"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BAC4409"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lastRenderedPageBreak/>
              <w:t>6-й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ABADDD2" w14:textId="2DE45FDA"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5.06.</w:t>
            </w:r>
            <w:r w:rsidR="00DB4D64" w:rsidRPr="00405303">
              <w:rPr>
                <w:rStyle w:val="highlight"/>
                <w:bCs/>
                <w:color w:val="002060"/>
                <w:sz w:val="16"/>
                <w:szCs w:val="16"/>
              </w:rPr>
              <w:t xml:space="preserve"> </w:t>
            </w:r>
            <w:r w:rsidRPr="00405303">
              <w:rPr>
                <w:rStyle w:val="highlight"/>
                <w:bCs/>
                <w:color w:val="002060"/>
                <w:sz w:val="16"/>
                <w:szCs w:val="16"/>
              </w:rPr>
              <w:t>1916</w:t>
            </w:r>
            <w:r w:rsidR="000F5756">
              <w:rPr>
                <w:rStyle w:val="highlight"/>
                <w:bCs/>
                <w:color w:val="002060"/>
                <w:sz w:val="16"/>
                <w:szCs w:val="16"/>
              </w:rPr>
              <w:t xml:space="preserve"> </w:t>
            </w:r>
            <w:r w:rsidRPr="00405303">
              <w:rPr>
                <w:bCs/>
                <w:color w:val="002060"/>
                <w:sz w:val="16"/>
                <w:szCs w:val="16"/>
              </w:rPr>
              <w:t>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DDC7EE1"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капитан Н.Н. Моисеенко-Великий</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EFC636A"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37EC601" w14:textId="44F1059E"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7-й авиапарк. (бывший Гвардейский КАО?). 10 «Ньюпорт-17»</w:t>
            </w:r>
            <w:r w:rsidRPr="00405303">
              <w:rPr>
                <w:bCs/>
                <w:color w:val="002060"/>
                <w:sz w:val="16"/>
                <w:szCs w:val="16"/>
              </w:rPr>
              <w:br/>
              <w:t>В составе авиаотряда служили французские лётчики, прибывшие с французской миссией в Россию весной</w:t>
            </w:r>
            <w:r w:rsidR="000F5756">
              <w:rPr>
                <w:bCs/>
                <w:color w:val="002060"/>
                <w:sz w:val="16"/>
                <w:szCs w:val="16"/>
              </w:rPr>
              <w:t xml:space="preserve"> </w:t>
            </w:r>
            <w:r w:rsidRPr="00405303">
              <w:rPr>
                <w:rStyle w:val="highlight"/>
                <w:bCs/>
                <w:color w:val="002060"/>
                <w:sz w:val="16"/>
                <w:szCs w:val="16"/>
              </w:rPr>
              <w:t>1916</w:t>
            </w:r>
            <w:r w:rsidR="000F5756">
              <w:rPr>
                <w:rStyle w:val="highlight"/>
                <w:bCs/>
                <w:color w:val="002060"/>
                <w:sz w:val="16"/>
                <w:szCs w:val="16"/>
              </w:rPr>
              <w:t xml:space="preserve"> </w:t>
            </w:r>
            <w:r w:rsidRPr="00405303">
              <w:rPr>
                <w:bCs/>
                <w:color w:val="002060"/>
                <w:sz w:val="16"/>
                <w:szCs w:val="16"/>
              </w:rPr>
              <w:t>г.: лётчики старшие лейтенанты (суб-лейтенанты) Марсель Пайэт (Marcel Paillette) и Анри Мутак (Henri Moutach) и летнаб суб-лейтенант Анри Пиллэ (Henri Pillet).</w:t>
            </w:r>
          </w:p>
        </w:tc>
      </w:tr>
      <w:tr w:rsidR="00343BBF" w:rsidRPr="00405303" w14:paraId="79AE3B4B"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D9C1188"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7-й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75946FA"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13.12.1915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704C3FB"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подпоручик И.А. Орлов;</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CDF41E3"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И.А. Орлов (5), В.И. Янченко (9), Д.А. Макиёнок (5), Ю.А. Гильшер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BEF62CE"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10 самолетов «Ньюпорт-9». 3-я авиарота (Киев). 17 июня 1917 г. погиб первый командир отряда Иван Орлов; 7 июля 1917 г. погиб Гильшер;</w:t>
            </w:r>
          </w:p>
        </w:tc>
      </w:tr>
      <w:tr w:rsidR="00343BBF" w:rsidRPr="00405303" w14:paraId="0CDE29B1"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C25B0DF"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8-й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CFF21F8" w14:textId="36D1E5C0"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май</w:t>
            </w:r>
            <w:r w:rsidR="000F5756">
              <w:rPr>
                <w:bCs/>
                <w:color w:val="002060"/>
                <w:sz w:val="16"/>
                <w:szCs w:val="16"/>
              </w:rPr>
              <w:t xml:space="preserve"> </w:t>
            </w:r>
            <w:r w:rsidRPr="00405303">
              <w:rPr>
                <w:rStyle w:val="highlight"/>
                <w:bCs/>
                <w:color w:val="002060"/>
                <w:sz w:val="16"/>
                <w:szCs w:val="16"/>
              </w:rPr>
              <w:t>1916</w:t>
            </w:r>
            <w:r w:rsidR="000F5756">
              <w:rPr>
                <w:rStyle w:val="highlight"/>
                <w:bCs/>
                <w:color w:val="002060"/>
                <w:sz w:val="16"/>
                <w:szCs w:val="16"/>
              </w:rPr>
              <w:t xml:space="preserve"> </w:t>
            </w:r>
            <w:r w:rsidRPr="00405303">
              <w:rPr>
                <w:bCs/>
                <w:color w:val="002060"/>
                <w:sz w:val="16"/>
                <w:szCs w:val="16"/>
              </w:rPr>
              <w:t>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2C70176"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поручик Иванов</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78FC197"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102A0C2"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3-й авиапарк (Киев). 17 апреля 1917 г. вошёл в 1-ю БАГ. 22 апреля лётчики-истребители приступили к боевой работе. 6 «Моран-Стеглау»</w:t>
            </w:r>
          </w:p>
        </w:tc>
      </w:tr>
      <w:tr w:rsidR="00343BBF" w:rsidRPr="00405303" w14:paraId="0B8037C6"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1F21E7A"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9-й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0880A7C" w14:textId="0343FC53"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5.03.</w:t>
            </w:r>
            <w:r w:rsidR="00DB4D64" w:rsidRPr="00405303">
              <w:rPr>
                <w:rStyle w:val="highlight"/>
                <w:bCs/>
                <w:color w:val="002060"/>
                <w:sz w:val="16"/>
                <w:szCs w:val="16"/>
              </w:rPr>
              <w:t xml:space="preserve"> </w:t>
            </w:r>
            <w:r w:rsidRPr="00405303">
              <w:rPr>
                <w:rStyle w:val="highlight"/>
                <w:bCs/>
                <w:color w:val="002060"/>
                <w:sz w:val="16"/>
                <w:szCs w:val="16"/>
              </w:rPr>
              <w:t>1916</w:t>
            </w:r>
            <w:r w:rsidR="000F5756">
              <w:rPr>
                <w:rStyle w:val="highlight"/>
                <w:bCs/>
                <w:color w:val="002060"/>
                <w:sz w:val="16"/>
                <w:szCs w:val="16"/>
              </w:rPr>
              <w:t xml:space="preserve"> </w:t>
            </w:r>
            <w:r w:rsidRPr="00405303">
              <w:rPr>
                <w:bCs/>
                <w:color w:val="002060"/>
                <w:sz w:val="16"/>
                <w:szCs w:val="16"/>
              </w:rPr>
              <w:t>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E06FA8E"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подпоручик И.А. Лойко</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CC70CAD"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Г.Э. Сук (8), И.А. Лойко (6), В.И. Стржижевский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B3E2E3A"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5 (Ньюпорт-9, Моран-Стеглау, 3 Ньюпорт-17)</w:t>
            </w:r>
          </w:p>
        </w:tc>
      </w:tr>
      <w:tr w:rsidR="00343BBF" w:rsidRPr="00405303" w14:paraId="19CCEFF1"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0E84C18"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10-й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ABC1227" w14:textId="57E7F8C1" w:rsidR="00343BBF" w:rsidRPr="00405303" w:rsidRDefault="00DB4D64" w:rsidP="00C15251">
            <w:pPr>
              <w:pStyle w:val="ae"/>
              <w:spacing w:before="0" w:beforeAutospacing="0" w:after="0" w:afterAutospacing="0"/>
              <w:jc w:val="both"/>
              <w:rPr>
                <w:bCs/>
                <w:color w:val="002060"/>
                <w:sz w:val="16"/>
                <w:szCs w:val="16"/>
              </w:rPr>
            </w:pPr>
            <w:r w:rsidRPr="00405303">
              <w:rPr>
                <w:rStyle w:val="highlight"/>
                <w:bCs/>
                <w:color w:val="002060"/>
                <w:sz w:val="16"/>
                <w:szCs w:val="16"/>
              </w:rPr>
              <w:t xml:space="preserve"> </w:t>
            </w:r>
            <w:r w:rsidR="00343BBF" w:rsidRPr="00405303">
              <w:rPr>
                <w:rStyle w:val="highlight"/>
                <w:bCs/>
                <w:color w:val="002060"/>
                <w:sz w:val="16"/>
                <w:szCs w:val="16"/>
              </w:rPr>
              <w:t>июль</w:t>
            </w:r>
            <w:r w:rsidR="000F5756">
              <w:rPr>
                <w:rStyle w:val="highlight"/>
                <w:bCs/>
                <w:color w:val="002060"/>
                <w:sz w:val="16"/>
                <w:szCs w:val="16"/>
              </w:rPr>
              <w:t xml:space="preserve"> </w:t>
            </w:r>
            <w:r w:rsidR="00343BBF" w:rsidRPr="00405303">
              <w:rPr>
                <w:rStyle w:val="highlight"/>
                <w:bCs/>
                <w:color w:val="002060"/>
                <w:sz w:val="16"/>
                <w:szCs w:val="16"/>
              </w:rPr>
              <w:t>1916</w:t>
            </w:r>
            <w:r w:rsidR="000F5756">
              <w:rPr>
                <w:rStyle w:val="highlight"/>
                <w:bCs/>
                <w:color w:val="002060"/>
                <w:sz w:val="16"/>
                <w:szCs w:val="16"/>
              </w:rPr>
              <w:t xml:space="preserve"> </w:t>
            </w:r>
            <w:r w:rsidR="00343BBF" w:rsidRPr="00405303">
              <w:rPr>
                <w:bCs/>
                <w:color w:val="002060"/>
                <w:sz w:val="16"/>
                <w:szCs w:val="16"/>
              </w:rPr>
              <w:t>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C114F6A"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прапорщик С.Ноздровский</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F20690D"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А.И. Пишванов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96B05DD"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4-й авиапарк (Витебск) 7 «Моран-Стеглау»</w:t>
            </w:r>
          </w:p>
        </w:tc>
      </w:tr>
      <w:tr w:rsidR="00343BBF" w:rsidRPr="00405303" w14:paraId="663FBF49"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61D9F61"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11-й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9783A3C" w14:textId="1D82F830" w:rsidR="00343BBF" w:rsidRPr="00405303" w:rsidRDefault="00DB4D64" w:rsidP="00C15251">
            <w:pPr>
              <w:pStyle w:val="ae"/>
              <w:spacing w:before="0" w:beforeAutospacing="0" w:after="0" w:afterAutospacing="0"/>
              <w:jc w:val="both"/>
              <w:rPr>
                <w:bCs/>
                <w:color w:val="002060"/>
                <w:sz w:val="16"/>
                <w:szCs w:val="16"/>
              </w:rPr>
            </w:pPr>
            <w:r w:rsidRPr="00405303">
              <w:rPr>
                <w:rStyle w:val="highlight"/>
                <w:bCs/>
                <w:color w:val="002060"/>
                <w:sz w:val="16"/>
                <w:szCs w:val="16"/>
              </w:rPr>
              <w:t xml:space="preserve"> </w:t>
            </w:r>
            <w:r w:rsidR="00343BBF" w:rsidRPr="00405303">
              <w:rPr>
                <w:rStyle w:val="highlight"/>
                <w:bCs/>
                <w:color w:val="002060"/>
                <w:sz w:val="16"/>
                <w:szCs w:val="16"/>
              </w:rPr>
              <w:t>июль</w:t>
            </w:r>
            <w:r w:rsidR="000F5756">
              <w:rPr>
                <w:rStyle w:val="highlight"/>
                <w:bCs/>
                <w:color w:val="002060"/>
                <w:sz w:val="16"/>
                <w:szCs w:val="16"/>
              </w:rPr>
              <w:t xml:space="preserve"> </w:t>
            </w:r>
            <w:r w:rsidR="00343BBF" w:rsidRPr="00405303">
              <w:rPr>
                <w:rStyle w:val="highlight"/>
                <w:bCs/>
                <w:color w:val="002060"/>
                <w:sz w:val="16"/>
                <w:szCs w:val="16"/>
              </w:rPr>
              <w:t>1916</w:t>
            </w:r>
            <w:r w:rsidR="000F5756">
              <w:rPr>
                <w:rStyle w:val="highlight"/>
                <w:bCs/>
                <w:color w:val="002060"/>
                <w:sz w:val="16"/>
                <w:szCs w:val="16"/>
              </w:rPr>
              <w:t xml:space="preserve"> </w:t>
            </w:r>
            <w:r w:rsidR="00343BBF" w:rsidRPr="00405303">
              <w:rPr>
                <w:bCs/>
                <w:color w:val="002060"/>
                <w:sz w:val="16"/>
                <w:szCs w:val="16"/>
              </w:rPr>
              <w:t>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45EDC26"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поручик Станюкович;</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6307B2B"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CF1E088"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3-й авиапарк 9 «Моран-Стеглау»</w:t>
            </w:r>
          </w:p>
        </w:tc>
      </w:tr>
      <w:tr w:rsidR="00343BBF" w:rsidRPr="00405303" w14:paraId="1D044297"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69A335B"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12-й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4B0E9BF"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14.12.1915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2042D5D"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подпоручик М.Г. фон Лерхе</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54D0E9F"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836A854"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10 самолетов «Моран-Стеглау IIIР»</w:t>
            </w:r>
          </w:p>
          <w:p w14:paraId="73E46BB0"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7-й авиапарк (Псков)</w:t>
            </w:r>
          </w:p>
        </w:tc>
      </w:tr>
      <w:tr w:rsidR="00343BBF" w:rsidRPr="00405303" w14:paraId="5864FC83"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77B53E0"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13-й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14D9AFB"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февраль 1917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93F6A85"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шт.-капитан Коссовский</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0E65A45"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021B68C"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7-й авиапарк. Отряд вошёл в состав 4-й БАГ Северного фронта. 10 Ньюпорт-17</w:t>
            </w:r>
          </w:p>
        </w:tc>
      </w:tr>
      <w:tr w:rsidR="00343BBF" w:rsidRPr="00405303" w14:paraId="24CC5054"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5381DE9"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14-й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4E031D6"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февраль 1917 г. — июль 1917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7E4AF70"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шт.-капитан Н.И. Белоусович</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B2B4D94"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74C0433"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7-й авиапарк. Отряд работал в составе Северного фронта с 21 августа. Вошёл в состав 4-й БАГ Северного фронта</w:t>
            </w:r>
          </w:p>
          <w:p w14:paraId="1A4A05C7"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10 Ньюпорт-17</w:t>
            </w:r>
          </w:p>
        </w:tc>
      </w:tr>
      <w:tr w:rsidR="00343BBF" w:rsidRPr="00405303" w14:paraId="01A80434"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D32605C"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15-й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0A78BF4"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июнь 1917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6B0E402"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капитан Сакиричь</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B280ECB"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ACC7B6E" w14:textId="77777777" w:rsidR="00343BBF" w:rsidRPr="00405303" w:rsidRDefault="00343BBF" w:rsidP="00C15251">
            <w:pPr>
              <w:pStyle w:val="ae"/>
              <w:spacing w:before="0" w:beforeAutospacing="0" w:after="0" w:afterAutospacing="0"/>
              <w:jc w:val="both"/>
              <w:rPr>
                <w:bCs/>
                <w:color w:val="002060"/>
                <w:sz w:val="16"/>
                <w:szCs w:val="16"/>
              </w:rPr>
            </w:pPr>
            <w:r w:rsidRPr="00405303">
              <w:rPr>
                <w:bCs/>
                <w:color w:val="002060"/>
                <w:sz w:val="16"/>
                <w:szCs w:val="16"/>
              </w:rPr>
              <w:t>авиаотряд сформирован из части авиаотряда охраны Ставки 10 Ньюпорт-17</w:t>
            </w:r>
          </w:p>
        </w:tc>
      </w:tr>
    </w:tbl>
    <w:p w14:paraId="25B5FF2E" w14:textId="77777777" w:rsidR="00343BBF" w:rsidRPr="00405303" w:rsidRDefault="00343BBF" w:rsidP="00C15251">
      <w:pPr>
        <w:pStyle w:val="ae"/>
        <w:shd w:val="clear" w:color="auto" w:fill="FFFFFF"/>
        <w:spacing w:before="0" w:beforeAutospacing="0" w:after="0" w:afterAutospacing="0"/>
        <w:jc w:val="both"/>
        <w:rPr>
          <w:rStyle w:val="af0"/>
          <w:b w:val="0"/>
          <w:color w:val="002060"/>
          <w:sz w:val="16"/>
          <w:szCs w:val="16"/>
        </w:rPr>
      </w:pPr>
      <w:r w:rsidRPr="00405303">
        <w:rPr>
          <w:rStyle w:val="af0"/>
          <w:b w:val="0"/>
          <w:color w:val="002060"/>
          <w:sz w:val="16"/>
          <w:szCs w:val="16"/>
        </w:rPr>
        <w:t>(17110).</w:t>
      </w:r>
    </w:p>
    <w:p w14:paraId="520B5BB5" w14:textId="77777777" w:rsidR="00343BBF" w:rsidRPr="00405303" w:rsidRDefault="00343BBF" w:rsidP="00C15251">
      <w:pPr>
        <w:pStyle w:val="ae"/>
        <w:shd w:val="clear" w:color="auto" w:fill="FFFFFF"/>
        <w:spacing w:before="0" w:beforeAutospacing="0" w:after="0" w:afterAutospacing="0"/>
        <w:jc w:val="both"/>
        <w:rPr>
          <w:rStyle w:val="af0"/>
          <w:b w:val="0"/>
          <w:color w:val="002060"/>
          <w:sz w:val="16"/>
          <w:szCs w:val="16"/>
        </w:rPr>
      </w:pPr>
    </w:p>
    <w:p w14:paraId="0A9A8033" w14:textId="77777777" w:rsidR="00F3362B" w:rsidRPr="00405303" w:rsidRDefault="00F3362B" w:rsidP="00C15251">
      <w:pPr>
        <w:pStyle w:val="rtejustify"/>
        <w:shd w:val="clear" w:color="auto" w:fill="FFFFFF"/>
        <w:spacing w:before="0" w:beforeAutospacing="0" w:after="0" w:afterAutospacing="0"/>
        <w:jc w:val="both"/>
        <w:textAlignment w:val="baseline"/>
        <w:rPr>
          <w:bCs/>
          <w:color w:val="002060"/>
          <w:sz w:val="16"/>
          <w:szCs w:val="16"/>
        </w:rPr>
      </w:pPr>
      <w:r w:rsidRPr="00405303">
        <w:rPr>
          <w:bCs/>
          <w:color w:val="002060"/>
          <w:sz w:val="16"/>
          <w:szCs w:val="16"/>
        </w:rPr>
        <w:t>15 (28) декабря 1915 великий князь Александр Михайлович доложил в Ставку ВГ генералу от инфантерии М.В. Алексееву, что «седьмой и двенадцатый отряды истребителей сформированы и выступают по назначению». Их командирами являлись соответственно подпоручики И.А. Орлов и М.Г. фон Лерхе. 2-й ИАО формировался при 2-м авиационном парке (г. Смоленск) под руководством штабс-капитана Е.Н.Крутеня, позднее вступившего в его командование</w:t>
      </w:r>
      <w:r w:rsidRPr="00405303">
        <w:rPr>
          <w:bCs/>
          <w:color w:val="002060"/>
          <w:sz w:val="16"/>
          <w:szCs w:val="16"/>
          <w:shd w:val="clear" w:color="auto" w:fill="FFFFFF"/>
        </w:rPr>
        <w:t xml:space="preserve"> (20200)</w:t>
      </w:r>
      <w:r w:rsidRPr="00405303">
        <w:rPr>
          <w:bCs/>
          <w:color w:val="002060"/>
          <w:sz w:val="16"/>
          <w:szCs w:val="16"/>
        </w:rPr>
        <w:t>.</w:t>
      </w:r>
    </w:p>
    <w:p w14:paraId="6434E39D" w14:textId="77777777" w:rsidR="00F3362B" w:rsidRPr="00405303" w:rsidRDefault="00F3362B" w:rsidP="00C15251">
      <w:pPr>
        <w:jc w:val="both"/>
        <w:rPr>
          <w:bCs/>
          <w:color w:val="002060"/>
          <w:sz w:val="16"/>
          <w:szCs w:val="16"/>
        </w:rPr>
      </w:pPr>
    </w:p>
    <w:p w14:paraId="18CA057C" w14:textId="77777777" w:rsidR="00343BBF" w:rsidRPr="00405303" w:rsidRDefault="00343BBF" w:rsidP="00C15251">
      <w:pPr>
        <w:jc w:val="both"/>
        <w:rPr>
          <w:bCs/>
          <w:i/>
          <w:color w:val="002060"/>
          <w:sz w:val="16"/>
          <w:szCs w:val="16"/>
        </w:rPr>
      </w:pPr>
      <w:r w:rsidRPr="00405303">
        <w:rPr>
          <w:bCs/>
          <w:i/>
          <w:color w:val="002060"/>
          <w:sz w:val="16"/>
          <w:szCs w:val="16"/>
        </w:rPr>
        <w:t>За рубежом:</w:t>
      </w:r>
    </w:p>
    <w:p w14:paraId="19413639" w14:textId="77777777" w:rsidR="00343BBF" w:rsidRPr="00405303" w:rsidRDefault="00343BBF" w:rsidP="00C15251">
      <w:pPr>
        <w:jc w:val="both"/>
        <w:rPr>
          <w:bCs/>
          <w:color w:val="002060"/>
          <w:sz w:val="16"/>
          <w:szCs w:val="16"/>
        </w:rPr>
      </w:pPr>
    </w:p>
    <w:p w14:paraId="75C9E9D1" w14:textId="77777777" w:rsidR="00343BBF" w:rsidRPr="00405303" w:rsidRDefault="00343BBF" w:rsidP="00C15251">
      <w:pPr>
        <w:jc w:val="both"/>
        <w:rPr>
          <w:bCs/>
          <w:color w:val="002060"/>
          <w:sz w:val="16"/>
          <w:szCs w:val="16"/>
        </w:rPr>
      </w:pPr>
      <w:r w:rsidRPr="00405303">
        <w:rPr>
          <w:bCs/>
          <w:color w:val="002060"/>
          <w:sz w:val="16"/>
          <w:szCs w:val="16"/>
        </w:rPr>
        <w:t>15 (28) декабря в 1915 году члены британского кабинета министров соглашаются с необходимостью обязательной воинской повинности (14874).</w:t>
      </w:r>
    </w:p>
    <w:p w14:paraId="5E1BF135" w14:textId="77777777" w:rsidR="00343BBF" w:rsidRPr="00405303" w:rsidRDefault="00343BBF" w:rsidP="00C15251">
      <w:pPr>
        <w:jc w:val="both"/>
        <w:rPr>
          <w:bCs/>
          <w:color w:val="002060"/>
          <w:sz w:val="16"/>
          <w:szCs w:val="16"/>
        </w:rPr>
      </w:pPr>
    </w:p>
    <w:p w14:paraId="796A474A" w14:textId="77777777" w:rsidR="00F3362B" w:rsidRPr="00405303" w:rsidRDefault="00F3362B" w:rsidP="00C15251">
      <w:pPr>
        <w:jc w:val="both"/>
        <w:rPr>
          <w:bCs/>
          <w:i/>
          <w:color w:val="002060"/>
          <w:sz w:val="16"/>
          <w:szCs w:val="16"/>
        </w:rPr>
      </w:pPr>
      <w:r w:rsidRPr="00405303">
        <w:rPr>
          <w:bCs/>
          <w:i/>
          <w:color w:val="002060"/>
          <w:sz w:val="16"/>
          <w:szCs w:val="16"/>
        </w:rPr>
        <w:t>За рубежом:</w:t>
      </w:r>
    </w:p>
    <w:p w14:paraId="7D3DCDA0" w14:textId="77777777" w:rsidR="00F3362B" w:rsidRPr="00405303" w:rsidRDefault="00F3362B" w:rsidP="00C15251">
      <w:pPr>
        <w:jc w:val="both"/>
        <w:rPr>
          <w:bCs/>
          <w:color w:val="002060"/>
          <w:sz w:val="16"/>
          <w:szCs w:val="16"/>
        </w:rPr>
      </w:pPr>
    </w:p>
    <w:p w14:paraId="36781B24" w14:textId="77777777" w:rsidR="00F3362B" w:rsidRPr="00405303" w:rsidRDefault="00F3362B" w:rsidP="00C15251">
      <w:pPr>
        <w:jc w:val="both"/>
        <w:rPr>
          <w:bCs/>
          <w:color w:val="002060"/>
          <w:sz w:val="16"/>
          <w:szCs w:val="16"/>
        </w:rPr>
      </w:pPr>
      <w:r w:rsidRPr="00405303">
        <w:rPr>
          <w:bCs/>
          <w:color w:val="002060"/>
          <w:sz w:val="16"/>
          <w:szCs w:val="16"/>
        </w:rPr>
        <w:t xml:space="preserve">В середине декабря 1915 г. полковнику Этьену удалось заручиться поддержкой главнокомандующего французской армии генерала Ж. Жоффра, получив разрешение провести переговоры с несколькими промышленниками, чтобы заинтересовать их выпуском будущих «сухопутных линкоров». Уже 20 декабря 1915 г. Этьен посетил Луи Рено в Париже, но его компания была завалена военными контрактами, и новый проект не вызвал энтузиазма. После этого Этьен обратился в фирму «Шнейдер», </w:t>
      </w:r>
      <w:r w:rsidRPr="00405303">
        <w:rPr>
          <w:bCs/>
          <w:color w:val="002060"/>
          <w:sz w:val="16"/>
          <w:szCs w:val="16"/>
        </w:rPr>
        <w:lastRenderedPageBreak/>
        <w:t>встретившись с инженером Э. Брилье, который, как мы помним, уже разрабатывал ранее проект гусеничной штурмовой машины на шасси трактора Baby Holt. Этьен и Брилье прекрасно дополнили друг друга. Один имел глубокое понимание вопроса, боевой опыт и связи в военных кругах, другой — технические знания для проектирования транспортного средства и глубокие знания производства. Посильную помощь также оказали главный инженер фабрики «Шнейдер» Делуаль и директор Курвиль. В результате буквально в течение нескольких дней команда создала конструкцию, которая годилась для массового производства (22820).</w:t>
      </w:r>
    </w:p>
    <w:p w14:paraId="38B5F591" w14:textId="77777777" w:rsidR="00F3362B" w:rsidRPr="00405303" w:rsidRDefault="00F3362B" w:rsidP="00C15251">
      <w:pPr>
        <w:jc w:val="both"/>
        <w:rPr>
          <w:bCs/>
          <w:color w:val="002060"/>
          <w:sz w:val="16"/>
          <w:szCs w:val="16"/>
        </w:rPr>
      </w:pPr>
    </w:p>
    <w:p w14:paraId="710168E0"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5E21456C" w14:textId="77777777" w:rsidR="004B4E35" w:rsidRPr="00405303" w:rsidRDefault="004B4E35" w:rsidP="00C15251">
      <w:pPr>
        <w:shd w:val="clear" w:color="auto" w:fill="FFFFFF"/>
        <w:jc w:val="both"/>
        <w:rPr>
          <w:bCs/>
          <w:i/>
          <w:color w:val="002060"/>
          <w:sz w:val="16"/>
          <w:szCs w:val="16"/>
        </w:rPr>
      </w:pPr>
    </w:p>
    <w:p w14:paraId="3D711760" w14:textId="77777777" w:rsidR="004B4E35" w:rsidRPr="00405303" w:rsidRDefault="009E6F82" w:rsidP="00C15251">
      <w:pPr>
        <w:jc w:val="both"/>
        <w:rPr>
          <w:bCs/>
          <w:color w:val="002060"/>
          <w:sz w:val="16"/>
          <w:szCs w:val="16"/>
        </w:rPr>
      </w:pPr>
      <w:r w:rsidRPr="00405303">
        <w:rPr>
          <w:bCs/>
          <w:color w:val="002060"/>
          <w:sz w:val="16"/>
          <w:szCs w:val="16"/>
        </w:rPr>
        <w:t>16 (29) декабря 1915 г. был подписан контракт с РБВЗ на 30 новых кораблей ИМ. И. И. Сикорский первоначально предусматривал сдать по нему пять машин, используя задел, подготовленный еще при выпуске предыдущих кораблей. Эти аппараты (№ 218–222), сборка которых была завершена в декабре 1916 г., принадлежали к модификации Г-2. Остальные 25 кораблей он намечал строить Принципиально новой конструкции, получившей название «Илья Муромец-Д» (ДИМ, или С-25). По замыслу боевые и летно-технические характеристики новых аппаратов должны были стать такими высокими, что их предполагалось использовать не только в качестве бомбардировщиков, но и для боевого прикрытия других кораблей старых типов. Поэтому ДИМ именовался даже «Муромцем-истребителем». Новый тип «Муромца» вызревал у И. И. Сикорского давно. Вынужденная остановка серийного производства в конце 1915 г. позволяла ему воплотить свои замыслы в реальность (11196).</w:t>
      </w:r>
    </w:p>
    <w:p w14:paraId="369AA13B" w14:textId="77777777" w:rsidR="004B4E35" w:rsidRPr="00405303" w:rsidRDefault="004B4E35" w:rsidP="00C15251">
      <w:pPr>
        <w:jc w:val="both"/>
        <w:rPr>
          <w:bCs/>
          <w:color w:val="002060"/>
          <w:sz w:val="16"/>
          <w:szCs w:val="16"/>
        </w:rPr>
      </w:pPr>
    </w:p>
    <w:p w14:paraId="259A7205" w14:textId="42DE667C" w:rsidR="00E0009C" w:rsidRPr="00405303" w:rsidRDefault="009E6F82" w:rsidP="00C15251">
      <w:pPr>
        <w:jc w:val="both"/>
        <w:rPr>
          <w:bCs/>
          <w:color w:val="002060"/>
          <w:sz w:val="16"/>
          <w:szCs w:val="16"/>
        </w:rPr>
      </w:pPr>
      <w:r w:rsidRPr="00405303">
        <w:rPr>
          <w:bCs/>
          <w:color w:val="002060"/>
          <w:sz w:val="16"/>
          <w:szCs w:val="16"/>
        </w:rPr>
        <w:t xml:space="preserve">Поначалу заказ на 32 машины планировался к выполнению на конец 1915г., поэтому командование русской армии решило заключить с РБВЗ новый договор. </w:t>
      </w:r>
    </w:p>
    <w:p w14:paraId="09A82A58" w14:textId="77777777" w:rsidR="00E0009C" w:rsidRPr="00405303" w:rsidRDefault="00E0009C" w:rsidP="00C15251">
      <w:pPr>
        <w:jc w:val="both"/>
        <w:rPr>
          <w:bCs/>
          <w:color w:val="002060"/>
          <w:sz w:val="16"/>
          <w:szCs w:val="16"/>
        </w:rPr>
      </w:pPr>
    </w:p>
    <w:p w14:paraId="652828BA" w14:textId="3ADD7E79" w:rsidR="004B4E35" w:rsidRPr="00405303" w:rsidRDefault="009E6F82" w:rsidP="00C15251">
      <w:pPr>
        <w:jc w:val="both"/>
        <w:rPr>
          <w:bCs/>
          <w:color w:val="002060"/>
          <w:sz w:val="16"/>
          <w:szCs w:val="16"/>
        </w:rPr>
      </w:pPr>
      <w:r w:rsidRPr="00405303">
        <w:rPr>
          <w:bCs/>
          <w:color w:val="002060"/>
          <w:sz w:val="16"/>
          <w:szCs w:val="16"/>
        </w:rPr>
        <w:t xml:space="preserve">16 (29) декабря 1915 г. </w:t>
      </w:r>
      <w:r w:rsidR="00E0009C" w:rsidRPr="00405303">
        <w:rPr>
          <w:bCs/>
          <w:color w:val="002060"/>
          <w:sz w:val="16"/>
          <w:szCs w:val="16"/>
        </w:rPr>
        <w:t xml:space="preserve">был подписан контракт с РБВЗ на 30 новых кораблей. </w:t>
      </w:r>
      <w:r w:rsidRPr="00405303">
        <w:rPr>
          <w:bCs/>
          <w:color w:val="002060"/>
          <w:sz w:val="16"/>
          <w:szCs w:val="16"/>
        </w:rPr>
        <w:t>И. И. Сикорский первоначально предусматривал сдать по нему пять машин, используя задел, подготовленный еще при выпуске предыдущих кораблей. Эти аппараты (№ 218-222), сборка которых была завершена в декабре 1916 г., принадлежали к модификации Г-2. Остальные 25 кораблей он намечал строить Принципиально новой конструкции, получившей название "Илья Муромец-Д" (ДИМ, или С-25). По замыслу боевые и летно-технические характеристики новых аппаратов должны были стать такими высокими, что их предполагалось использовать не только в качестве бомбардировщиков, но и для боевого прикрытия других кораблей старых типов. Поэтому ДИМ именовался даже "Муромцем-истребителем" (11230).</w:t>
      </w:r>
    </w:p>
    <w:p w14:paraId="50AF4EAC" w14:textId="77777777" w:rsidR="004B4E35" w:rsidRPr="00405303" w:rsidRDefault="004B4E35" w:rsidP="00C15251">
      <w:pPr>
        <w:jc w:val="both"/>
        <w:rPr>
          <w:bCs/>
          <w:color w:val="002060"/>
          <w:sz w:val="16"/>
          <w:szCs w:val="16"/>
        </w:rPr>
      </w:pPr>
    </w:p>
    <w:p w14:paraId="7069F3EC" w14:textId="7E2FC9DD" w:rsidR="0023730C" w:rsidRPr="00405303" w:rsidRDefault="0023730C" w:rsidP="00C15251">
      <w:pPr>
        <w:jc w:val="both"/>
        <w:rPr>
          <w:bCs/>
          <w:color w:val="002060"/>
          <w:sz w:val="16"/>
          <w:szCs w:val="16"/>
        </w:rPr>
      </w:pPr>
      <w:r w:rsidRPr="00405303">
        <w:rPr>
          <w:bCs/>
          <w:color w:val="002060"/>
          <w:sz w:val="16"/>
          <w:szCs w:val="16"/>
        </w:rPr>
        <w:t xml:space="preserve">16 </w:t>
      </w:r>
      <w:r w:rsidR="00E0009C" w:rsidRPr="00405303">
        <w:rPr>
          <w:bCs/>
          <w:color w:val="002060"/>
          <w:sz w:val="16"/>
          <w:szCs w:val="16"/>
        </w:rPr>
        <w:t xml:space="preserve">(29) </w:t>
      </w:r>
      <w:r w:rsidRPr="00405303">
        <w:rPr>
          <w:bCs/>
          <w:color w:val="002060"/>
          <w:sz w:val="16"/>
          <w:szCs w:val="16"/>
        </w:rPr>
        <w:t>декабря 1915 г. был подписан контракт на 30 новых кораблей ИМ. И. И. Сикорский первоначально предусматривал сдать по нему пять машин, используя задел, подготовленный еще при выпуске предыдущих кораблей. Эти аппараты (№ 218-222), сборка которых была завершена в декабре 1916 г., принадлежали к модификации Г-2. Остальные 25 кораблей он намечал строить принципиально новой конструкции, получившей название «Илья Муромец-Д» (ДИМ, или С-25). По замыслу боевые и летно-технические характеристики новых аппаратов должны были стать такими высокими, что их предполагалось использовать не только в качестве бомбардировщиков, но и для боевого прикрытия других кораблей старых типов. Поэтому ДИМ именовался даже «Муромцем-истребителем» (15127).</w:t>
      </w:r>
    </w:p>
    <w:p w14:paraId="2BBFA3F7" w14:textId="77777777" w:rsidR="0023730C" w:rsidRPr="00405303" w:rsidRDefault="0023730C" w:rsidP="00C15251">
      <w:pPr>
        <w:jc w:val="both"/>
        <w:rPr>
          <w:bCs/>
          <w:color w:val="002060"/>
          <w:sz w:val="16"/>
          <w:szCs w:val="16"/>
        </w:rPr>
      </w:pPr>
    </w:p>
    <w:p w14:paraId="2FF44B81" w14:textId="5E24BD33" w:rsidR="00C216A7" w:rsidRPr="00405303" w:rsidRDefault="00C216A7" w:rsidP="00C15251">
      <w:pPr>
        <w:jc w:val="both"/>
        <w:rPr>
          <w:bCs/>
          <w:color w:val="002060"/>
          <w:sz w:val="16"/>
          <w:szCs w:val="16"/>
        </w:rPr>
      </w:pPr>
      <w:bookmarkStart w:id="325" w:name="_Hlk51488568"/>
      <w:r w:rsidRPr="00405303">
        <w:rPr>
          <w:bCs/>
          <w:color w:val="002060"/>
          <w:sz w:val="16"/>
          <w:szCs w:val="16"/>
        </w:rPr>
        <w:t>16 (29) декабря 1915 г.</w:t>
      </w:r>
      <w:r w:rsidR="00E0009C" w:rsidRPr="00405303">
        <w:rPr>
          <w:bCs/>
          <w:color w:val="002060"/>
          <w:sz w:val="16"/>
          <w:szCs w:val="16"/>
        </w:rPr>
        <w:t xml:space="preserve"> был подписан</w:t>
      </w:r>
      <w:r w:rsidRPr="00405303">
        <w:rPr>
          <w:bCs/>
          <w:color w:val="002060"/>
          <w:sz w:val="16"/>
          <w:szCs w:val="16"/>
        </w:rPr>
        <w:t xml:space="preserve"> </w:t>
      </w:r>
      <w:r w:rsidR="00E0009C" w:rsidRPr="00405303">
        <w:rPr>
          <w:bCs/>
          <w:color w:val="002060"/>
          <w:sz w:val="16"/>
          <w:szCs w:val="16"/>
        </w:rPr>
        <w:t xml:space="preserve">контракт на 30 новых кораблей ИМ. </w:t>
      </w:r>
      <w:r w:rsidRPr="00405303">
        <w:rPr>
          <w:bCs/>
          <w:color w:val="002060"/>
          <w:sz w:val="16"/>
          <w:szCs w:val="16"/>
        </w:rPr>
        <w:t>И. И. Сикорский первоначально предусматривал сдать по нему пять машин, используя задел, подготовленный еще при выпуске предыдущих кораблей. Эти аппараты (№ 218-222), сборка которых была завершена в декабре 1916 г., принадлежали к модификации Г-2. Остальные 25 кораблей он намечал строить принципиально новой конструкции, получившей название «Илья Муромец-Д» (ДИМ, или С-25). По замыслу боевые и летно-технические характеристики новых аппаратов должны были стать такими высокими, что их предполагалось использовать не только в качестве бомбардировщиков, но и для боевого прикрытия других кораблей старых типов. Поэтому ДИМ именовался даже «Муромцем-</w:t>
      </w:r>
      <w:proofErr w:type="gramStart"/>
      <w:r w:rsidRPr="00405303">
        <w:rPr>
          <w:bCs/>
          <w:color w:val="002060"/>
          <w:sz w:val="16"/>
          <w:szCs w:val="16"/>
        </w:rPr>
        <w:t>истребителем »</w:t>
      </w:r>
      <w:proofErr w:type="gramEnd"/>
      <w:r w:rsidRPr="00405303">
        <w:rPr>
          <w:bCs/>
          <w:color w:val="002060"/>
          <w:sz w:val="16"/>
          <w:szCs w:val="16"/>
        </w:rPr>
        <w:t xml:space="preserve"> (19963).</w:t>
      </w:r>
    </w:p>
    <w:bookmarkEnd w:id="325"/>
    <w:p w14:paraId="4A015E0B" w14:textId="77777777" w:rsidR="00C216A7" w:rsidRPr="00405303" w:rsidRDefault="00C216A7" w:rsidP="00C15251">
      <w:pPr>
        <w:jc w:val="both"/>
        <w:rPr>
          <w:bCs/>
          <w:color w:val="002060"/>
          <w:sz w:val="16"/>
          <w:szCs w:val="16"/>
        </w:rPr>
      </w:pPr>
    </w:p>
    <w:p w14:paraId="3A390C72" w14:textId="31DA8050" w:rsidR="000349A9" w:rsidRPr="00405303" w:rsidRDefault="000349A9" w:rsidP="00C15251">
      <w:pPr>
        <w:jc w:val="both"/>
        <w:rPr>
          <w:bCs/>
          <w:color w:val="002060"/>
          <w:sz w:val="16"/>
          <w:szCs w:val="16"/>
        </w:rPr>
      </w:pPr>
      <w:r w:rsidRPr="00405303">
        <w:rPr>
          <w:bCs/>
          <w:color w:val="002060"/>
          <w:sz w:val="16"/>
          <w:szCs w:val="16"/>
        </w:rPr>
        <w:t>16 (29) декабря 1915 г. ГВТУ не</w:t>
      </w:r>
      <w:r w:rsidRPr="00405303">
        <w:rPr>
          <w:bCs/>
          <w:color w:val="002060"/>
          <w:sz w:val="16"/>
          <w:szCs w:val="16"/>
        </w:rPr>
        <w:softHyphen/>
        <w:t>медленно заключило с акционер</w:t>
      </w:r>
      <w:r w:rsidRPr="00405303">
        <w:rPr>
          <w:bCs/>
          <w:color w:val="002060"/>
          <w:sz w:val="16"/>
          <w:szCs w:val="16"/>
        </w:rPr>
        <w:softHyphen/>
        <w:t>ным обществом контракт на следу</w:t>
      </w:r>
      <w:r w:rsidRPr="00405303">
        <w:rPr>
          <w:bCs/>
          <w:color w:val="002060"/>
          <w:sz w:val="16"/>
          <w:szCs w:val="16"/>
        </w:rPr>
        <w:softHyphen/>
        <w:t>ющие 30 «Муромцев». Одновремен</w:t>
      </w:r>
      <w:r w:rsidRPr="00405303">
        <w:rPr>
          <w:bCs/>
          <w:color w:val="002060"/>
          <w:sz w:val="16"/>
          <w:szCs w:val="16"/>
        </w:rPr>
        <w:softHyphen/>
        <w:t>но с постройкой «Муромцев» обще</w:t>
      </w:r>
      <w:r w:rsidRPr="00405303">
        <w:rPr>
          <w:bCs/>
          <w:color w:val="002060"/>
          <w:sz w:val="16"/>
          <w:szCs w:val="16"/>
        </w:rPr>
        <w:softHyphen/>
        <w:t>ство получило заказы и на выпуск различного другого оборудования и имущества для ЭВК (23469).</w:t>
      </w:r>
    </w:p>
    <w:p w14:paraId="399F420A" w14:textId="77777777" w:rsidR="000349A9" w:rsidRPr="00405303" w:rsidRDefault="000349A9" w:rsidP="00C15251">
      <w:pPr>
        <w:jc w:val="both"/>
        <w:rPr>
          <w:bCs/>
          <w:color w:val="002060"/>
          <w:sz w:val="16"/>
          <w:szCs w:val="16"/>
        </w:rPr>
      </w:pPr>
    </w:p>
    <w:p w14:paraId="7201FEB0"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51949C79" w14:textId="77777777" w:rsidR="004B4E35" w:rsidRPr="00405303" w:rsidRDefault="004B4E35" w:rsidP="00C15251">
      <w:pPr>
        <w:shd w:val="clear" w:color="auto" w:fill="FFFFFF"/>
        <w:jc w:val="both"/>
        <w:rPr>
          <w:bCs/>
          <w:i/>
          <w:color w:val="002060"/>
          <w:sz w:val="16"/>
          <w:szCs w:val="16"/>
        </w:rPr>
      </w:pPr>
    </w:p>
    <w:p w14:paraId="4D43B595" w14:textId="5BA89EAA" w:rsidR="0023730C" w:rsidRPr="00405303" w:rsidRDefault="0023730C" w:rsidP="00C15251">
      <w:pPr>
        <w:pStyle w:val="ae"/>
        <w:spacing w:before="0" w:beforeAutospacing="0" w:after="0" w:afterAutospacing="0"/>
        <w:jc w:val="both"/>
        <w:rPr>
          <w:bCs/>
          <w:color w:val="002060"/>
          <w:sz w:val="16"/>
          <w:szCs w:val="16"/>
        </w:rPr>
      </w:pPr>
      <w:r w:rsidRPr="00405303">
        <w:rPr>
          <w:bCs/>
          <w:color w:val="002060"/>
          <w:sz w:val="16"/>
          <w:szCs w:val="16"/>
        </w:rPr>
        <w:t xml:space="preserve">16 </w:t>
      </w:r>
      <w:r w:rsidR="00E0009C" w:rsidRPr="00405303">
        <w:rPr>
          <w:bCs/>
          <w:color w:val="002060"/>
          <w:sz w:val="16"/>
          <w:szCs w:val="16"/>
        </w:rPr>
        <w:t xml:space="preserve">(30) </w:t>
      </w:r>
      <w:r w:rsidRPr="00405303">
        <w:rPr>
          <w:bCs/>
          <w:color w:val="002060"/>
          <w:sz w:val="16"/>
          <w:szCs w:val="16"/>
        </w:rPr>
        <w:t>декабря 1915 года В.П. Литвинов-Фалинский выстепил с докладом по теме «О мобилизации русской промышленности» на заседании Особого совещания по обороне.</w:t>
      </w:r>
    </w:p>
    <w:p w14:paraId="3999F6FC" w14:textId="77777777" w:rsidR="0023730C" w:rsidRPr="00405303" w:rsidRDefault="0023730C" w:rsidP="00C15251">
      <w:pPr>
        <w:pStyle w:val="ae"/>
        <w:spacing w:before="0" w:beforeAutospacing="0" w:after="0" w:afterAutospacing="0"/>
        <w:jc w:val="both"/>
        <w:rPr>
          <w:bCs/>
          <w:color w:val="002060"/>
          <w:sz w:val="16"/>
          <w:szCs w:val="16"/>
        </w:rPr>
      </w:pPr>
      <w:r w:rsidRPr="00405303">
        <w:rPr>
          <w:bCs/>
          <w:color w:val="002060"/>
          <w:sz w:val="16"/>
          <w:szCs w:val="16"/>
        </w:rPr>
        <w:t>Кратко представив картину снабжения русской армии за полтора года войны, Литвинов-Фалинский формулирует первый принципиальный вывод: «Готовность к войне в отношении снаряжений и снабжения армии должна определяться не запасами, а возможностью производства заготовлений во время самой войны на внутреннем рынке и за границей». Вместе с тем, подчеркивает автор доклада, заказы за границей, как у союзников, так и в нейтральных странах, имеют целый ряд серьезных недостатков: трудности доставки заказанных предметов, ослабление финансовой системы страны, отвлечение ресурсов от решения внутренних проблем государства и проч. Отсюда делается второй важный вывод: только внутреннее производство может служить основой обороноспособности страны. Оценивая далее состояние отечественной промышленности и ее возможности по обеспечению воюющей армии всем необходимым накануне войны, Литвинов-Фалинский рисует картину определенных успехов в налаживании внутреннего военного производства. Исходя из неопределенных перспектив послевоенной военно-политической обстановки, в докладе ставится важнейшая задача - «о сохранении в мирное время той способности русской промышленности к производству предметов военного снаряжения, которую она проявляет во время войны». Для этого требуется организовать планомерное использование основных фондов предприятий, созданных во время войны и предназначенных для военного производства. В качестве конкретных мер В.П. Литвинов-Фалинский предлагает наложение на заводы обязательств по поддержанию этих фондов в готовности к использованию по предназначению взамен на предоставление им определенных льгот. Такой же порядок автор доклада предлагает реализовывать и в отношении всех вновь создающихся производств. Помимо мер производственно-технологического характера в докладе Литвинова- Фалинского содержится и целый ряд мероприятий иного характера, а именно: вывод крупномасштабного производства из района</w:t>
      </w:r>
    </w:p>
    <w:p w14:paraId="62A503ED" w14:textId="77777777" w:rsidR="0023730C" w:rsidRPr="00405303" w:rsidRDefault="0023730C" w:rsidP="00C15251">
      <w:pPr>
        <w:pStyle w:val="ae"/>
        <w:spacing w:before="0" w:beforeAutospacing="0" w:after="0" w:afterAutospacing="0"/>
        <w:jc w:val="both"/>
        <w:rPr>
          <w:bCs/>
          <w:color w:val="002060"/>
          <w:sz w:val="16"/>
          <w:szCs w:val="16"/>
        </w:rPr>
      </w:pPr>
      <w:r w:rsidRPr="00405303">
        <w:rPr>
          <w:bCs/>
          <w:color w:val="002060"/>
          <w:sz w:val="16"/>
          <w:szCs w:val="16"/>
        </w:rPr>
        <w:t>Петрограда ближе к источникам топлива и сырья (Урал и Юг России); развертывание работ по обеспечению отечественной промышленности собственным сырьем; использование альтернативных источников энергии (в частности, гидроэлектростанций). Разработку и реализацию программы «мобилизации промышленности», т. е. создания мощного оборонного сектора промышленности, включающего как казенные, так и частные предприятия, автор доклада предлагал возложить на специально учрежденный орган, работающий в системе Особого совещания по обороне.</w:t>
      </w:r>
    </w:p>
    <w:p w14:paraId="6F9487E4" w14:textId="77777777" w:rsidR="0023730C" w:rsidRPr="00405303" w:rsidRDefault="0023730C" w:rsidP="00C15251">
      <w:pPr>
        <w:pStyle w:val="ae"/>
        <w:spacing w:before="0" w:beforeAutospacing="0" w:after="0" w:afterAutospacing="0"/>
        <w:jc w:val="both"/>
        <w:rPr>
          <w:bCs/>
          <w:color w:val="002060"/>
          <w:sz w:val="16"/>
          <w:szCs w:val="16"/>
        </w:rPr>
      </w:pPr>
      <w:r w:rsidRPr="00405303">
        <w:rPr>
          <w:bCs/>
          <w:color w:val="002060"/>
          <w:sz w:val="16"/>
          <w:szCs w:val="16"/>
        </w:rPr>
        <w:t>Хотя на заседании Особого совещания по результатам обсуждения доклада В.П. Литвинова-Фалинского и было принято решение о создании такого органа при Военном министерстве, однако на практике оно не было реализовано (18391).</w:t>
      </w:r>
    </w:p>
    <w:p w14:paraId="302E2C24" w14:textId="77777777" w:rsidR="0023730C" w:rsidRPr="00405303" w:rsidRDefault="0023730C" w:rsidP="00C15251">
      <w:pPr>
        <w:jc w:val="both"/>
        <w:rPr>
          <w:bCs/>
          <w:color w:val="002060"/>
          <w:sz w:val="16"/>
          <w:szCs w:val="16"/>
        </w:rPr>
      </w:pPr>
    </w:p>
    <w:p w14:paraId="766033B9" w14:textId="624BBB4D"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16 (29) декабря 1915 г. </w:t>
      </w:r>
      <w:r w:rsidR="00E0009C" w:rsidRPr="00405303">
        <w:rPr>
          <w:bCs/>
          <w:i w:val="0"/>
          <w:color w:val="002060"/>
          <w:spacing w:val="0"/>
          <w:kern w:val="0"/>
          <w:position w:val="0"/>
          <w:sz w:val="16"/>
          <w:szCs w:val="16"/>
        </w:rPr>
        <w:t xml:space="preserve">в заседании Особого совещания </w:t>
      </w:r>
      <w:r w:rsidRPr="00405303">
        <w:rPr>
          <w:bCs/>
          <w:i w:val="0"/>
          <w:color w:val="002060"/>
          <w:spacing w:val="0"/>
          <w:kern w:val="0"/>
          <w:position w:val="0"/>
          <w:sz w:val="16"/>
          <w:szCs w:val="16"/>
        </w:rPr>
        <w:t xml:space="preserve">было сделано два интересных доклада: ген. Михельсона: о мобилизации германской промышленности и бывшего директора департамента в министерстве торговли и промышленности В. Н. Литвинова-Фалинского о мобилизации русской промышленности. Этими двумя докладами и была, в сущности говоря, исчерпана большой государственной важности тема о мобилизации промышленности в Особом совещании по обороне, которое ограничилось чиновничьим "принятием их к сведению". </w:t>
      </w:r>
    </w:p>
    <w:p w14:paraId="63AD277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Между тем над этими докладами следовало серьезно подумать и почерпнуть в них многое полезное для проведения в жизнь. Германия в мировую войну показала замечательную организацию в деле боевого снабжения своей армии и армий своих союзников. </w:t>
      </w:r>
    </w:p>
    <w:p w14:paraId="04CF990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Вполне точных сведений по этой части не было: до и </w:t>
      </w:r>
      <w:proofErr w:type="gramStart"/>
      <w:r w:rsidRPr="00405303">
        <w:rPr>
          <w:bCs/>
          <w:i w:val="0"/>
          <w:color w:val="002060"/>
          <w:spacing w:val="0"/>
          <w:kern w:val="0"/>
          <w:position w:val="0"/>
          <w:sz w:val="16"/>
          <w:szCs w:val="16"/>
        </w:rPr>
        <w:t>во-время</w:t>
      </w:r>
      <w:proofErr w:type="gramEnd"/>
      <w:r w:rsidRPr="00405303">
        <w:rPr>
          <w:bCs/>
          <w:i w:val="0"/>
          <w:color w:val="002060"/>
          <w:spacing w:val="0"/>
          <w:kern w:val="0"/>
          <w:position w:val="0"/>
          <w:sz w:val="16"/>
          <w:szCs w:val="16"/>
        </w:rPr>
        <w:t xml:space="preserve"> войны немцы умели хранить свои тайны. По необходимости приходилось довольствоваться далеко не полными, отрывочными и не всегда достоверными сведениями, имевшимися в разведывательном отделе ГУГШ, полученными от бывших военных и коммерческих агентов в Германии. Во время мировой войны среди многих государственных и общественных деятелей России сложилось мнение (разделяемое и А. А. Маниковским), что Германия выдерживала эту поистине титаническую борьбу благодаря тому, что высшее германское командование, во-первых, предвидело грандиозный масштаб </w:t>
      </w:r>
      <w:r w:rsidRPr="00405303">
        <w:rPr>
          <w:bCs/>
          <w:i w:val="0"/>
          <w:color w:val="002060"/>
          <w:spacing w:val="0"/>
          <w:kern w:val="0"/>
          <w:position w:val="0"/>
          <w:sz w:val="16"/>
          <w:szCs w:val="16"/>
        </w:rPr>
        <w:lastRenderedPageBreak/>
        <w:t xml:space="preserve">войны и ее высокотехнический характер, во-вторых, понимало, что для ведения войны не хватит сил и средств своей военной промышленности, несмотря на высокое ее развитие, занимавшей перед войной выдающееся положение на мировом рынке и обслуживавшей в мирное время многие иностранные государства, и поэтому, в-третьих, признавая необходимым заблаговременно привлечь к делу снабжения армии все пригодное для этой цели в частной промышленности, разработало совместно с другими министерствами план "мобилизации всей промышленности", столь же подробный и обстоятельный, как и план "войсковой мобилизации". </w:t>
      </w:r>
    </w:p>
    <w:p w14:paraId="2B2EA67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Ген. Михельсон, бывший в течение ряда лет перед мировой войной военным агентом в Германии, являлся наиболее осведомленным в вопросах подготовки Германии к войне. Как видно из его доклада Особому совещанию по обороне (см. приложение 3), заслуживающего полного </w:t>
      </w:r>
      <w:proofErr w:type="gramStart"/>
      <w:r w:rsidRPr="00405303">
        <w:rPr>
          <w:bCs/>
          <w:i w:val="0"/>
          <w:color w:val="002060"/>
          <w:spacing w:val="0"/>
          <w:kern w:val="0"/>
          <w:position w:val="0"/>
          <w:sz w:val="16"/>
          <w:szCs w:val="16"/>
        </w:rPr>
        <w:t>внимания по существу</w:t>
      </w:r>
      <w:proofErr w:type="gramEnd"/>
      <w:r w:rsidRPr="00405303">
        <w:rPr>
          <w:bCs/>
          <w:i w:val="0"/>
          <w:color w:val="002060"/>
          <w:spacing w:val="0"/>
          <w:kern w:val="0"/>
          <w:position w:val="0"/>
          <w:sz w:val="16"/>
          <w:szCs w:val="16"/>
        </w:rPr>
        <w:t xml:space="preserve">, Германия "отлично подготовилась" к войне, но продолжительностью лишь в 4-5 месяцев. Ген. Михельсон "положительно утверждал", что Германия не готовилась к такой войне, какая на самом деле разыгралась, и что, если бы Германия могла предвидеть действительные размеры и продолжительность войны, "она никогда бы ее не начала". </w:t>
      </w:r>
    </w:p>
    <w:p w14:paraId="37B505E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Германская промышленность отмобилизовалась уже во время войны, и "оказавшаяся мощь" ее, по словам ген. Михельсона, "превзошла ожидания самих немцев". Главными причинами такого явления, помимо того, что такая "большая промышленность", как германская, "мобилизовавшись, останется большой", ген. Михельсон считал: 1) многие чрезвычайно мощные заводы Германии (Круппа и др.), еще в мирное время специально изготовлявшие предметы вооружения и военного снаряжения, дали немцам такой "большой кадр инженеров, техников, мастеров и рабочих, специализировавшихся на военно-промышленной работе", какого не имела ни одна другая страна; 2) правительственная нормировка фабрикатов германской промышленности, произведенная постепенно еще в мирное время с учетом соответствия нормальных типов фабрикатов потребностям армии; 3) трестирование отдельных отраслей промышленности, причем германские тресты (ферейны и фербанды) являлись, по мнению ген. Михельсона, "высшими мобилизационными единицами германской промышленности", служившими мощной опорой тыла германской армии во время войны. </w:t>
      </w:r>
    </w:p>
    <w:p w14:paraId="36B09DF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Высшее командование германской армии, повидимому, лишь во время войны сознало, что задача снабжения </w:t>
      </w:r>
      <w:proofErr w:type="gramStart"/>
      <w:r w:rsidRPr="00405303">
        <w:rPr>
          <w:bCs/>
          <w:i w:val="0"/>
          <w:color w:val="002060"/>
          <w:spacing w:val="0"/>
          <w:kern w:val="0"/>
          <w:position w:val="0"/>
          <w:sz w:val="16"/>
          <w:szCs w:val="16"/>
        </w:rPr>
        <w:t>во время</w:t>
      </w:r>
      <w:proofErr w:type="gramEnd"/>
      <w:r w:rsidRPr="00405303">
        <w:rPr>
          <w:bCs/>
          <w:i w:val="0"/>
          <w:color w:val="002060"/>
          <w:spacing w:val="0"/>
          <w:kern w:val="0"/>
          <w:position w:val="0"/>
          <w:sz w:val="16"/>
          <w:szCs w:val="16"/>
        </w:rPr>
        <w:t xml:space="preserve"> воины будет состоять не только в функциях "распределения", но и в функциях "заготовления" и, исходя из определенного плана войны, совместно с министерствами промышленности торговли и финансов разработало детальный план "мобилизации всей промышленности". В этом плане не было упущено из виду ни одно из промышленных предприятий страны, которое в той или иной мере могло быть использовано для целей снабжения армии, каждому из них была поставлена определенная задача, соответственно его силам и средствам, дана определенная инструкция как по части самого производства заданной работы, так и по части обеспечения необходимыми материалами, инструментом, мерительными приборами и т. д. И все это фактически осуществлялось на деле, инструктировалось соответствующими специалистами и регулярно контролировалось чинами особой правительственной инспекции. При этом немцы проявили организаторский талант, беспримерную нас тойчивость и педантическую систематичность. Результаты этой предусмотрительности всем известны: в то </w:t>
      </w:r>
      <w:proofErr w:type="gramStart"/>
      <w:r w:rsidRPr="00405303">
        <w:rPr>
          <w:bCs/>
          <w:i w:val="0"/>
          <w:color w:val="002060"/>
          <w:spacing w:val="0"/>
          <w:kern w:val="0"/>
          <w:position w:val="0"/>
          <w:sz w:val="16"/>
          <w:szCs w:val="16"/>
        </w:rPr>
        <w:t>время</w:t>
      </w:r>
      <w:proofErr w:type="gramEnd"/>
      <w:r w:rsidRPr="00405303">
        <w:rPr>
          <w:bCs/>
          <w:i w:val="0"/>
          <w:color w:val="002060"/>
          <w:spacing w:val="0"/>
          <w:kern w:val="0"/>
          <w:position w:val="0"/>
          <w:sz w:val="16"/>
          <w:szCs w:val="16"/>
        </w:rPr>
        <w:t xml:space="preserve"> как не только, русские, но и их более культурные союзники метались, как в жару, в организационных муках (неизбежно сбиваясь на всякого рода сомнительные импровизации)- в это самое время немцы спокойно и уверенно пустили в ход свой аппарат, работавший без перебоев при труднейших условиях мировой войны. Немцы, не полагаясь ни на какие импровизации, обеспечили себя надежной организацией, впитавшей в себя опыт промышленного прогресса всего мира. </w:t>
      </w:r>
    </w:p>
    <w:p w14:paraId="30A8591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У союзников России, французов и англичан, такой организации не существовало, но высоко развитая их промышленность довольно быстро организовалась вскоре после начала войны и дала возможность уже в ближайшее время подавать на фронт количество боевого снабжения почти соответственно масштабу войны, не предугаданному во </w:t>
      </w:r>
    </w:p>
    <w:p w14:paraId="456F34E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Франции и Англии так же, как и в России. Но там это осознали раньше; в то время как в России думали да раскачивались почти целый год, - вся французская промышленность без исключения уже в сентябре 1914 г. (после победы на Марне) была поставлена на ноги. И, действительно, каждый станок (в какой бы маленькой мастерской он ни был) и каждый способный к труду человек были привлечены к работе. Довольно быстро была выработана и проведена в жизнь оригинальная система "технической мобилизации", состоявшая в том, что вся кустарная, мелкая и средняя промышленность была разбита территориально на округа и так сказать "приписана" к более крупным и мощным заводам, на которые и были возложены все заботы как по техническому инструктированию, так и по хозяйственному руководству всеми меньшими членами их группы. Такая система оказалась, по крайней мере в условиях Франции, очень целесообразной и продуктивной, и результаты ее сказались все время прогрессировавшим увеличением подачи на фронт предметов боевого снабжения. В 1915 г. для объединения и наилучшего использования в целях обороны всех ресурсов страны было образовано министерство снабжения с почти диктаторскими полномочиями. Этим сразу были убиты те "междуведомственные" трения, которые так тормозили это дело в России и так парализовали все благие начинания. </w:t>
      </w:r>
    </w:p>
    <w:p w14:paraId="564C6DE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Литвинов-Фалинский в своем докладе (см. приложение 4) обращал внимание на полную необеспеченность иностранных заказов как в союзных, так и в нейтральных странах. Огромные недопоставки заказанных боевых припасов (из 4,5 млн. снарядов, заказанных в Англии и Франции, к концу 1915 г. поступило лишь около 0,5 млн.) он объяснял тем, что союзники сами нуждались в снарядах для своих армий и могли давать нам только излишки своего производства. В </w:t>
      </w:r>
      <w:proofErr w:type="gramStart"/>
      <w:r w:rsidRPr="00405303">
        <w:rPr>
          <w:bCs/>
          <w:i w:val="0"/>
          <w:color w:val="002060"/>
          <w:spacing w:val="0"/>
          <w:kern w:val="0"/>
          <w:position w:val="0"/>
          <w:sz w:val="16"/>
          <w:szCs w:val="16"/>
        </w:rPr>
        <w:t>ней-тральных</w:t>
      </w:r>
      <w:proofErr w:type="gramEnd"/>
      <w:r w:rsidRPr="00405303">
        <w:rPr>
          <w:bCs/>
          <w:i w:val="0"/>
          <w:color w:val="002060"/>
          <w:spacing w:val="0"/>
          <w:kern w:val="0"/>
          <w:position w:val="0"/>
          <w:sz w:val="16"/>
          <w:szCs w:val="16"/>
        </w:rPr>
        <w:t xml:space="preserve"> странах конкурентами в размещении русских заказов являлись их противники; независимо от того заказы в нейтральных странах подвергались случайностям "в зависимости от склонения политических симпатий в ту или иную сторону". </w:t>
      </w:r>
    </w:p>
    <w:p w14:paraId="4D224DA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Выполнение иностранных заказов сопряжено было с целым рядом неудобств, как-то: трудности доставки заказанных предметов, несоответствие их установившимся условиям заграничного производства и пр. </w:t>
      </w:r>
    </w:p>
    <w:p w14:paraId="3808F13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Наконец, расплата по иностранным заказам в золотой валюте ставила Россию в чрезвычайно трудное положение и имела пагубные последствия для курса денег, - безразлично, производилась ли расплата путем кредитных операций или же вывозом золота в натуре, как это было в первый, период войны, когда русское золото было в слитках отправлено в Англию. </w:t>
      </w:r>
    </w:p>
    <w:p w14:paraId="4A1B32C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Расплата в золотой валюте поставила Россию в "положение, обязывающее принимать при заключении займов, даже у союзников, условия, не отвечающие ни достоинству, ни независимости страны". </w:t>
      </w:r>
    </w:p>
    <w:p w14:paraId="107908E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Только внутреннее производство могло, по верной мысли Литвинова-Фалинского, служить "прочной основой боевой способности страны". Между тем мы вместо того, чтобы в довоенное время развивать и подготовлять свое производство к изготовлению предметов снаряжения армии передавали многочисленные заказы за границу, в том числе Германии, чем способствовали укреплению ее боевой мощи (11482).</w:t>
      </w:r>
    </w:p>
    <w:p w14:paraId="0E56D691" w14:textId="77777777" w:rsidR="004B4E35" w:rsidRPr="00405303" w:rsidRDefault="004B4E35" w:rsidP="00C15251">
      <w:pPr>
        <w:pStyle w:val="a3"/>
        <w:jc w:val="both"/>
        <w:rPr>
          <w:bCs/>
          <w:i w:val="0"/>
          <w:color w:val="002060"/>
          <w:spacing w:val="0"/>
          <w:kern w:val="0"/>
          <w:position w:val="0"/>
          <w:sz w:val="16"/>
          <w:szCs w:val="16"/>
        </w:rPr>
      </w:pPr>
    </w:p>
    <w:p w14:paraId="347233F2" w14:textId="0E5D609A" w:rsidR="004B4E35" w:rsidRPr="00405303" w:rsidRDefault="009E6F82" w:rsidP="00C15251">
      <w:pPr>
        <w:shd w:val="clear" w:color="auto" w:fill="FFFFFF"/>
        <w:jc w:val="both"/>
        <w:rPr>
          <w:bCs/>
          <w:color w:val="002060"/>
          <w:sz w:val="16"/>
          <w:szCs w:val="16"/>
        </w:rPr>
      </w:pPr>
      <w:r w:rsidRPr="00405303">
        <w:rPr>
          <w:bCs/>
          <w:color w:val="002060"/>
          <w:sz w:val="16"/>
          <w:szCs w:val="16"/>
        </w:rPr>
        <w:t>16 (29) декабря 1915 г.</w:t>
      </w:r>
      <w:r w:rsidR="00E0009C" w:rsidRPr="00405303">
        <w:rPr>
          <w:bCs/>
          <w:color w:val="002060"/>
          <w:sz w:val="16"/>
          <w:szCs w:val="16"/>
        </w:rPr>
        <w:t xml:space="preserve"> </w:t>
      </w:r>
      <w:r w:rsidRPr="00405303">
        <w:rPr>
          <w:bCs/>
          <w:color w:val="002060"/>
          <w:sz w:val="16"/>
          <w:szCs w:val="16"/>
        </w:rPr>
        <w:t>был подготовлен Доклад начальника ГВТУ генерал-лейтенанта Г. Г. Милеанта военному министру А. А. Поливанову о постройке автомобильных заводов № 33031</w:t>
      </w:r>
    </w:p>
    <w:p w14:paraId="1C3F986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Из имеющейся в Главном военно-техническом управлении переписки усматривает</w:t>
      </w:r>
      <w:r w:rsidRPr="00405303">
        <w:rPr>
          <w:bCs/>
          <w:color w:val="002060"/>
          <w:sz w:val="16"/>
          <w:szCs w:val="16"/>
        </w:rPr>
        <w:softHyphen/>
        <w:t>ся, что вопрос о постройке в России автомобильного завода возник в 1913 году. В предви</w:t>
      </w:r>
      <w:r w:rsidRPr="00405303">
        <w:rPr>
          <w:bCs/>
          <w:color w:val="002060"/>
          <w:sz w:val="16"/>
          <w:szCs w:val="16"/>
        </w:rPr>
        <w:softHyphen/>
        <w:t>дении предстоящих больших заготовок автомобилей в связи с вносимой в законодатель</w:t>
      </w:r>
      <w:r w:rsidRPr="00405303">
        <w:rPr>
          <w:bCs/>
          <w:color w:val="002060"/>
          <w:sz w:val="16"/>
          <w:szCs w:val="16"/>
        </w:rPr>
        <w:softHyphen/>
        <w:t>ные учреждения большой программой в Военное министерство стали поступать предло</w:t>
      </w:r>
      <w:r w:rsidRPr="00405303">
        <w:rPr>
          <w:bCs/>
          <w:color w:val="002060"/>
          <w:sz w:val="16"/>
          <w:szCs w:val="16"/>
        </w:rPr>
        <w:softHyphen/>
        <w:t>жения предпринимателей, русских и иностранных, о готовности организовать произ</w:t>
      </w:r>
      <w:r w:rsidRPr="00405303">
        <w:rPr>
          <w:bCs/>
          <w:color w:val="002060"/>
          <w:sz w:val="16"/>
          <w:szCs w:val="16"/>
        </w:rPr>
        <w:softHyphen/>
        <w:t>водство автомобилей в России, причем в большинстве вопрос о постройке завода ставил</w:t>
      </w:r>
      <w:r w:rsidRPr="00405303">
        <w:rPr>
          <w:bCs/>
          <w:color w:val="002060"/>
          <w:sz w:val="16"/>
          <w:szCs w:val="16"/>
        </w:rPr>
        <w:softHyphen/>
        <w:t>ся в зависимость от получения казенных заказов.</w:t>
      </w:r>
    </w:p>
    <w:p w14:paraId="4EC6072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 числу фирм, имевших намерение приступить к постройке автомобильного завода в России, кроме функционировавших Русско-Балтийского вагонного завода и частного завода Пузырева, относится Русское акционерное общество «Делагэ», учредителем коего является Е. А. Данилов.</w:t>
      </w:r>
    </w:p>
    <w:p w14:paraId="1E0C257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Заявлением на имя бывшего помощника военного министра инженер-генерала Вернандера от 15 января 1914 г. правление Русского акционерного общества «Делагэ» пред</w:t>
      </w:r>
      <w:r w:rsidRPr="00405303">
        <w:rPr>
          <w:bCs/>
          <w:color w:val="002060"/>
          <w:sz w:val="16"/>
          <w:szCs w:val="16"/>
        </w:rPr>
        <w:softHyphen/>
        <w:t>ставило копии высочайше утвержденного устава общества, протокол учредительного общего собрания акционеров, с основным капиталом в 1 млн. руб., и, ссылаясь на пись</w:t>
      </w:r>
      <w:r w:rsidRPr="00405303">
        <w:rPr>
          <w:bCs/>
          <w:color w:val="002060"/>
          <w:sz w:val="16"/>
          <w:szCs w:val="16"/>
        </w:rPr>
        <w:softHyphen/>
        <w:t>мо инженер-генерала Вернандера от 16 августа 1913 г., просило скорейшего окончатель</w:t>
      </w:r>
      <w:r w:rsidRPr="00405303">
        <w:rPr>
          <w:bCs/>
          <w:color w:val="002060"/>
          <w:sz w:val="16"/>
          <w:szCs w:val="16"/>
        </w:rPr>
        <w:softHyphen/>
        <w:t>ного выяснения вопроса о возможности получения заказа на автомобили согласно сде</w:t>
      </w:r>
      <w:r w:rsidRPr="00405303">
        <w:rPr>
          <w:bCs/>
          <w:color w:val="002060"/>
          <w:sz w:val="16"/>
          <w:szCs w:val="16"/>
        </w:rPr>
        <w:softHyphen/>
        <w:t>ланного им предложения.</w:t>
      </w:r>
    </w:p>
    <w:p w14:paraId="530589E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Означенное заявление было бывшим помощником военного министра препровож</w:t>
      </w:r>
      <w:r w:rsidRPr="00405303">
        <w:rPr>
          <w:bCs/>
          <w:color w:val="002060"/>
          <w:sz w:val="16"/>
          <w:szCs w:val="16"/>
        </w:rPr>
        <w:softHyphen/>
        <w:t>дено в Главное военно-техническое управление для принятия в соображение при рас</w:t>
      </w:r>
      <w:r w:rsidRPr="00405303">
        <w:rPr>
          <w:bCs/>
          <w:color w:val="002060"/>
          <w:sz w:val="16"/>
          <w:szCs w:val="16"/>
        </w:rPr>
        <w:softHyphen/>
        <w:t>пределении заказов на автомобили по большой заготовительной программе.</w:t>
      </w:r>
    </w:p>
    <w:p w14:paraId="1688A76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дальнейшем из дополнительной переписки с правлением названного общества выяснилось, что общество «Делагэ», в предположении получить заказы от Военного ми</w:t>
      </w:r>
      <w:r w:rsidRPr="00405303">
        <w:rPr>
          <w:bCs/>
          <w:color w:val="002060"/>
          <w:sz w:val="16"/>
          <w:szCs w:val="16"/>
        </w:rPr>
        <w:softHyphen/>
        <w:t xml:space="preserve">нистерства, еще до окончания решения этого вопроса, 27 марта 1914 г., приступило к постройке завода производительностью на 750 шасси в год на приобретенном </w:t>
      </w:r>
      <w:r w:rsidRPr="00405303">
        <w:rPr>
          <w:bCs/>
          <w:color w:val="002060"/>
          <w:sz w:val="16"/>
          <w:szCs w:val="16"/>
        </w:rPr>
        <w:lastRenderedPageBreak/>
        <w:t>им участ</w:t>
      </w:r>
      <w:r w:rsidRPr="00405303">
        <w:rPr>
          <w:bCs/>
          <w:color w:val="002060"/>
          <w:sz w:val="16"/>
          <w:szCs w:val="16"/>
        </w:rPr>
        <w:softHyphen/>
        <w:t>ке земли возле станции Реутино по Московско-Нижегородской дороге в 10 верстах от Москвы, причем, согласно предположения правления Общества, постройка завода дол</w:t>
      </w:r>
      <w:r w:rsidRPr="00405303">
        <w:rPr>
          <w:bCs/>
          <w:color w:val="002060"/>
          <w:sz w:val="16"/>
          <w:szCs w:val="16"/>
        </w:rPr>
        <w:softHyphen/>
        <w:t>жна была занять 18 месяцев. С 14-го месяца правление рассчитывало приступить к сбор</w:t>
      </w:r>
      <w:r w:rsidRPr="00405303">
        <w:rPr>
          <w:bCs/>
          <w:color w:val="002060"/>
          <w:sz w:val="16"/>
          <w:szCs w:val="16"/>
        </w:rPr>
        <w:softHyphen/>
        <w:t>ке автомобилей из частей, изготовленных во Франции, а начиная с 25-го месяца завод должен был выпускать грузовики, полностью построенные в России из русских матери</w:t>
      </w:r>
      <w:r w:rsidRPr="00405303">
        <w:rPr>
          <w:bCs/>
          <w:color w:val="002060"/>
          <w:sz w:val="16"/>
          <w:szCs w:val="16"/>
        </w:rPr>
        <w:softHyphen/>
        <w:t>алов, причем в первый год функционирования завода производительность его намеча</w:t>
      </w:r>
      <w:r w:rsidRPr="00405303">
        <w:rPr>
          <w:bCs/>
          <w:color w:val="002060"/>
          <w:sz w:val="16"/>
          <w:szCs w:val="16"/>
        </w:rPr>
        <w:softHyphen/>
        <w:t>лась примерно в 300 грузовиков.</w:t>
      </w:r>
    </w:p>
    <w:p w14:paraId="138A181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Кроме указанных трех предприятий, к организации в России автомобильных заводов предполагали приступить фирмы:</w:t>
      </w:r>
    </w:p>
    <w:p w14:paraId="33CC159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«Рено»— </w:t>
      </w:r>
      <w:proofErr w:type="gramStart"/>
      <w:r w:rsidRPr="00405303">
        <w:rPr>
          <w:bCs/>
          <w:color w:val="002060"/>
          <w:sz w:val="16"/>
          <w:szCs w:val="16"/>
        </w:rPr>
        <w:t>согласно заявлений</w:t>
      </w:r>
      <w:proofErr w:type="gramEnd"/>
      <w:r w:rsidRPr="00405303">
        <w:rPr>
          <w:bCs/>
          <w:color w:val="002060"/>
          <w:sz w:val="16"/>
          <w:szCs w:val="16"/>
        </w:rPr>
        <w:t>, поданных начальнику Генерального штаба и начальнику военных сообщений, на которые фирма получила ответ, что вопрос не может быть разре</w:t>
      </w:r>
      <w:r w:rsidRPr="00405303">
        <w:rPr>
          <w:bCs/>
          <w:color w:val="002060"/>
          <w:sz w:val="16"/>
          <w:szCs w:val="16"/>
        </w:rPr>
        <w:softHyphen/>
        <w:t>шен ввиду намеченного сформирования Главного военно-технического управления;</w:t>
      </w:r>
    </w:p>
    <w:p w14:paraId="3765CBE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«Фиат», ходатайство которой, поданное председателю Совета министров, было пре</w:t>
      </w:r>
      <w:r w:rsidRPr="00405303">
        <w:rPr>
          <w:bCs/>
          <w:color w:val="002060"/>
          <w:sz w:val="16"/>
          <w:szCs w:val="16"/>
        </w:rPr>
        <w:softHyphen/>
        <w:t>провождено на усмотрение военного министра и впоследствии препровождено в Глав</w:t>
      </w:r>
      <w:r w:rsidRPr="00405303">
        <w:rPr>
          <w:bCs/>
          <w:color w:val="002060"/>
          <w:sz w:val="16"/>
          <w:szCs w:val="16"/>
        </w:rPr>
        <w:softHyphen/>
        <w:t>ное военно-техническое управление, и</w:t>
      </w:r>
    </w:p>
    <w:p w14:paraId="574D1D2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«Шнейдер и К°» во Франции — </w:t>
      </w:r>
      <w:proofErr w:type="gramStart"/>
      <w:r w:rsidRPr="00405303">
        <w:rPr>
          <w:bCs/>
          <w:color w:val="002060"/>
          <w:sz w:val="16"/>
          <w:szCs w:val="16"/>
        </w:rPr>
        <w:t>согласно заявлений</w:t>
      </w:r>
      <w:proofErr w:type="gramEnd"/>
      <w:r w:rsidRPr="00405303">
        <w:rPr>
          <w:bCs/>
          <w:color w:val="002060"/>
          <w:sz w:val="16"/>
          <w:szCs w:val="16"/>
        </w:rPr>
        <w:t>, поданных в мае минувшего года на имя бывшего военного министра и начальника Главного военно-технического управ</w:t>
      </w:r>
      <w:r w:rsidRPr="00405303">
        <w:rPr>
          <w:bCs/>
          <w:color w:val="002060"/>
          <w:sz w:val="16"/>
          <w:szCs w:val="16"/>
        </w:rPr>
        <w:softHyphen/>
        <w:t>ления.</w:t>
      </w:r>
    </w:p>
    <w:p w14:paraId="4464947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соответствии с доложенным, признавая, с своей стороны, желательным поставить вопрос об организации отечественного производства автомобилей на вполне определен</w:t>
      </w:r>
      <w:r w:rsidRPr="00405303">
        <w:rPr>
          <w:bCs/>
          <w:color w:val="002060"/>
          <w:sz w:val="16"/>
          <w:szCs w:val="16"/>
        </w:rPr>
        <w:softHyphen/>
        <w:t>ные прочные основания и учитывая возможность сделать это не ранее утверждения зако</w:t>
      </w:r>
      <w:r w:rsidRPr="00405303">
        <w:rPr>
          <w:bCs/>
          <w:color w:val="002060"/>
          <w:sz w:val="16"/>
          <w:szCs w:val="16"/>
        </w:rPr>
        <w:softHyphen/>
        <w:t>нодательными учреждениями испрашиваемых на заготовку автомобилей крупных кре</w:t>
      </w:r>
      <w:r w:rsidRPr="00405303">
        <w:rPr>
          <w:bCs/>
          <w:color w:val="002060"/>
          <w:sz w:val="16"/>
          <w:szCs w:val="16"/>
        </w:rPr>
        <w:softHyphen/>
        <w:t>дитов, Главное военно-техническое управление, не ограничиваясь имевшимися предло</w:t>
      </w:r>
      <w:r w:rsidRPr="00405303">
        <w:rPr>
          <w:bCs/>
          <w:color w:val="002060"/>
          <w:sz w:val="16"/>
          <w:szCs w:val="16"/>
        </w:rPr>
        <w:softHyphen/>
        <w:t>жениями и полагая, что некоторые из крупных отечественных машиностроительных за</w:t>
      </w:r>
      <w:r w:rsidRPr="00405303">
        <w:rPr>
          <w:bCs/>
          <w:color w:val="002060"/>
          <w:sz w:val="16"/>
          <w:szCs w:val="16"/>
        </w:rPr>
        <w:softHyphen/>
        <w:t>водов могли бы принять участие в этой операции, обратилось в Министерство торговли и промышленности с просьбою оповестить наиболее крупные заводы, предложив им в случае согласия дать необходимые по сему соображения.</w:t>
      </w:r>
    </w:p>
    <w:p w14:paraId="61A0B2F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Вместе с тем в докладе на имя бывшего военного министра от 23 февраля 1914 г. за № 54/492 бывший начальник Главного военно-технического управления генерал-лейте</w:t>
      </w:r>
      <w:r w:rsidRPr="00405303">
        <w:rPr>
          <w:bCs/>
          <w:color w:val="002060"/>
          <w:sz w:val="16"/>
          <w:szCs w:val="16"/>
        </w:rPr>
        <w:softHyphen/>
        <w:t>нант барон Ропп представил свои соображения по означенному вопросу, имея в виду по проведении большой заготовительной программы через законодательные учреждения приступить к осуществлению предположений о развитии отечественного производства автомобилей в том виде, как это по обстоятельствам времени окажется исполнимым.</w:t>
      </w:r>
    </w:p>
    <w:p w14:paraId="6CFF3CE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связи с вновь возникшим за последнее время вопросом о постройке в России авто</w:t>
      </w:r>
      <w:r w:rsidRPr="00405303">
        <w:rPr>
          <w:bCs/>
          <w:color w:val="002060"/>
          <w:sz w:val="16"/>
          <w:szCs w:val="16"/>
        </w:rPr>
        <w:softHyphen/>
        <w:t>мобильных заводов фирма «Делагэ» заявлением от 3 ноября с. г. за № 33 вошла с новым предложением о постройке завода, причем в дополнительном заявлении от 5 ноября изложила свои соображения о конкурирующих фирмах с представлением копий пере</w:t>
      </w:r>
      <w:r w:rsidRPr="00405303">
        <w:rPr>
          <w:bCs/>
          <w:color w:val="002060"/>
          <w:sz w:val="16"/>
          <w:szCs w:val="16"/>
        </w:rPr>
        <w:softHyphen/>
        <w:t>писки бывшего помощника военного министра, на которой фирма основывала свои пре</w:t>
      </w:r>
      <w:r w:rsidRPr="00405303">
        <w:rPr>
          <w:bCs/>
          <w:color w:val="002060"/>
          <w:sz w:val="16"/>
          <w:szCs w:val="16"/>
        </w:rPr>
        <w:softHyphen/>
        <w:t>имущества перед другими конкурентами. Вся означенная переписка была препровожде</w:t>
      </w:r>
      <w:r w:rsidRPr="00405303">
        <w:rPr>
          <w:bCs/>
          <w:color w:val="002060"/>
          <w:sz w:val="16"/>
          <w:szCs w:val="16"/>
        </w:rPr>
        <w:softHyphen/>
        <w:t>на заведующему разработкой организации автомобильных заводов в России военному инженеру генерал-майору Кривошеину. Условия фирмы «Делагэ» в общем сводятся к желанию обеспечить завод заказом на 1 тыс. — 1500 грузовиков по цене 13 290 руб. за каждый.</w:t>
      </w:r>
    </w:p>
    <w:p w14:paraId="16D004B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 рассмотрении всех поступивших по этому вопросу предложений Подготовитель</w:t>
      </w:r>
      <w:r w:rsidRPr="00405303">
        <w:rPr>
          <w:bCs/>
          <w:color w:val="002060"/>
          <w:sz w:val="16"/>
          <w:szCs w:val="16"/>
        </w:rPr>
        <w:softHyphen/>
        <w:t>ной комиссией общее число заводов, поддерживаемых выдачей заказов военного ведом</w:t>
      </w:r>
      <w:r w:rsidRPr="00405303">
        <w:rPr>
          <w:bCs/>
          <w:color w:val="002060"/>
          <w:sz w:val="16"/>
          <w:szCs w:val="16"/>
        </w:rPr>
        <w:softHyphen/>
        <w:t>ства, определено было в количестве пяти русских заводов и одного иностранного.</w:t>
      </w:r>
    </w:p>
    <w:p w14:paraId="4552C81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Устранив, в силу полученных отзывов, американскую фирму «Дженерал Моторс Трек Компани», комиссия из остальных трех имевшихся предложений — двух от французских фирм «Рено» и «Делагэ» и одной от фирмы английской «Британского акционерного об</w:t>
      </w:r>
      <w:r w:rsidRPr="00405303">
        <w:rPr>
          <w:bCs/>
          <w:color w:val="002060"/>
          <w:sz w:val="16"/>
          <w:szCs w:val="16"/>
        </w:rPr>
        <w:softHyphen/>
        <w:t>щества Сибири» — остановилась, по условиям таможенной политики, на одной из фирм французских и при этом отдала преимущество фирме «Русский Рено» вследствие создав</w:t>
      </w:r>
      <w:r w:rsidRPr="00405303">
        <w:rPr>
          <w:bCs/>
          <w:color w:val="002060"/>
          <w:sz w:val="16"/>
          <w:szCs w:val="16"/>
        </w:rPr>
        <w:softHyphen/>
        <w:t>шейся репутации автомобилей этой фирмы. Имея, однако, в виду значительно более низкие цены, заявленные фирмой «Делагэ» и особенно фирмой «Британское общество Сибири», подготовительная комиссия, остановив свой выбор на фирме «Русский Рено», считала нужным для окончательного суждения запросить специального указания Осо</w:t>
      </w:r>
      <w:r w:rsidRPr="00405303">
        <w:rPr>
          <w:bCs/>
          <w:color w:val="002060"/>
          <w:sz w:val="16"/>
          <w:szCs w:val="16"/>
        </w:rPr>
        <w:softHyphen/>
        <w:t>бого совещания.</w:t>
      </w:r>
    </w:p>
    <w:p w14:paraId="13D1DBE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Принципиальные основания означенного доклада Подготовительной комиссии, со</w:t>
      </w:r>
      <w:r w:rsidRPr="00405303">
        <w:rPr>
          <w:bCs/>
          <w:color w:val="002060"/>
          <w:sz w:val="16"/>
          <w:szCs w:val="16"/>
        </w:rPr>
        <w:softHyphen/>
        <w:t>гласно сношения Особого совещания от 1 декабря с. г. за № 19196, вашему высокопре</w:t>
      </w:r>
      <w:r w:rsidRPr="00405303">
        <w:rPr>
          <w:bCs/>
          <w:color w:val="002060"/>
          <w:sz w:val="16"/>
          <w:szCs w:val="16"/>
        </w:rPr>
        <w:softHyphen/>
        <w:t>восходительству угодно было утвердить.</w:t>
      </w:r>
    </w:p>
    <w:p w14:paraId="74ED77A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Ввиду доложенного и согласно указания Особого совещания о необходимости внести по этому вопросу соответствующее представление в Совет министров, мною по выясне</w:t>
      </w:r>
      <w:r w:rsidRPr="00405303">
        <w:rPr>
          <w:bCs/>
          <w:color w:val="002060"/>
          <w:sz w:val="16"/>
          <w:szCs w:val="16"/>
        </w:rPr>
        <w:softHyphen/>
        <w:t>нии предполагаемых изменений контрактов будет внесено представление в Военный совет, в соответствии с мнением Подготовительной комиссии, о выдаче заказа: 1) акци</w:t>
      </w:r>
      <w:r w:rsidRPr="00405303">
        <w:rPr>
          <w:bCs/>
          <w:color w:val="002060"/>
          <w:sz w:val="16"/>
          <w:szCs w:val="16"/>
        </w:rPr>
        <w:softHyphen/>
        <w:t>онерному обществу «В. А.Лебедев», 2) Русско-Балтийскому вагонному заводу, 3) акцио</w:t>
      </w:r>
      <w:r w:rsidRPr="00405303">
        <w:rPr>
          <w:bCs/>
          <w:color w:val="002060"/>
          <w:sz w:val="16"/>
          <w:szCs w:val="16"/>
        </w:rPr>
        <w:softHyphen/>
        <w:t>нерному обществу «Аксай», 4) Русскому акционерному обществу П. Ильина и 5) товари</w:t>
      </w:r>
      <w:r w:rsidRPr="00405303">
        <w:rPr>
          <w:bCs/>
          <w:color w:val="002060"/>
          <w:sz w:val="16"/>
          <w:szCs w:val="16"/>
        </w:rPr>
        <w:softHyphen/>
        <w:t>ществу «Кузнецов и Рябушинский» и одной французской фирме «Русский Рено».</w:t>
      </w:r>
    </w:p>
    <w:p w14:paraId="5513C92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Засим, что касается предложений фирмы «Делагэ» на отдельные поставки автомоби</w:t>
      </w:r>
      <w:r w:rsidRPr="00405303">
        <w:rPr>
          <w:bCs/>
          <w:color w:val="002060"/>
          <w:sz w:val="16"/>
          <w:szCs w:val="16"/>
        </w:rPr>
        <w:softHyphen/>
        <w:t>лей в период войны, то таковые представителем фирмы действительно были сделаны, но не могли быть использованы в том соображении, что заказы на автомобили французско</w:t>
      </w:r>
      <w:r w:rsidRPr="00405303">
        <w:rPr>
          <w:bCs/>
          <w:color w:val="002060"/>
          <w:sz w:val="16"/>
          <w:szCs w:val="16"/>
        </w:rPr>
        <w:softHyphen/>
        <w:t>го изготовления производились распоряжением военного агента полковника графа Иг</w:t>
      </w:r>
      <w:r w:rsidRPr="00405303">
        <w:rPr>
          <w:bCs/>
          <w:color w:val="002060"/>
          <w:sz w:val="16"/>
          <w:szCs w:val="16"/>
        </w:rPr>
        <w:softHyphen/>
        <w:t>натьева</w:t>
      </w:r>
      <w:r w:rsidRPr="00405303">
        <w:rPr>
          <w:bCs/>
          <w:color w:val="002060"/>
          <w:sz w:val="16"/>
          <w:szCs w:val="16"/>
          <w:vertAlign w:val="superscript"/>
        </w:rPr>
        <w:t>194</w:t>
      </w:r>
      <w:r w:rsidRPr="00405303">
        <w:rPr>
          <w:bCs/>
          <w:color w:val="002060"/>
          <w:sz w:val="16"/>
          <w:szCs w:val="16"/>
        </w:rPr>
        <w:t xml:space="preserve"> в зависимости от производительности местных первоклассных фирм и разре</w:t>
      </w:r>
      <w:r w:rsidRPr="00405303">
        <w:rPr>
          <w:bCs/>
          <w:color w:val="002060"/>
          <w:sz w:val="16"/>
          <w:szCs w:val="16"/>
        </w:rPr>
        <w:softHyphen/>
        <w:t>шений, получаемых от французского правительства. Об изложенном представитель фир</w:t>
      </w:r>
      <w:r w:rsidRPr="00405303">
        <w:rPr>
          <w:bCs/>
          <w:color w:val="002060"/>
          <w:sz w:val="16"/>
          <w:szCs w:val="16"/>
        </w:rPr>
        <w:softHyphen/>
        <w:t>мы был поставлен в известность с указанием, что предложение свое ему надлежало на</w:t>
      </w:r>
      <w:r w:rsidRPr="00405303">
        <w:rPr>
          <w:bCs/>
          <w:color w:val="002060"/>
          <w:sz w:val="16"/>
          <w:szCs w:val="16"/>
        </w:rPr>
        <w:softHyphen/>
        <w:t>править непосредственно к русскому военному агенту.</w:t>
      </w:r>
    </w:p>
    <w:p w14:paraId="73190A0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Начальник Управления военный инженер генерал-лейтенант Милеант. РГИА. Ф. 1276. Оп. 12. Д. 208. Л. 65-66 об. Подлинник (10707).</w:t>
      </w:r>
    </w:p>
    <w:p w14:paraId="22A28A1C" w14:textId="77777777" w:rsidR="004B4E35" w:rsidRPr="00405303" w:rsidRDefault="004B4E35" w:rsidP="00C15251">
      <w:pPr>
        <w:shd w:val="clear" w:color="auto" w:fill="FFFFFF"/>
        <w:jc w:val="both"/>
        <w:rPr>
          <w:bCs/>
          <w:color w:val="002060"/>
          <w:sz w:val="16"/>
          <w:szCs w:val="16"/>
        </w:rPr>
      </w:pPr>
    </w:p>
    <w:p w14:paraId="50990673" w14:textId="5572765A"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16 </w:t>
      </w:r>
      <w:r w:rsidR="00E0009C" w:rsidRPr="00405303">
        <w:rPr>
          <w:bCs/>
          <w:i w:val="0"/>
          <w:color w:val="002060"/>
          <w:spacing w:val="0"/>
          <w:kern w:val="0"/>
          <w:position w:val="0"/>
          <w:sz w:val="16"/>
          <w:szCs w:val="16"/>
        </w:rPr>
        <w:t xml:space="preserve">(29) </w:t>
      </w:r>
      <w:r w:rsidRPr="00405303">
        <w:rPr>
          <w:bCs/>
          <w:i w:val="0"/>
          <w:color w:val="002060"/>
          <w:spacing w:val="0"/>
          <w:kern w:val="0"/>
          <w:position w:val="0"/>
          <w:sz w:val="16"/>
          <w:szCs w:val="16"/>
        </w:rPr>
        <w:t>декабря 1915. Чрезвычайное заседание Ярославской городской думы постановило продать 10 десятин и сдать в аренду 31 десятину акционерному обществу "В.А. Лебедев" (11246).</w:t>
      </w:r>
    </w:p>
    <w:p w14:paraId="19993F0C" w14:textId="77777777" w:rsidR="004B4E35" w:rsidRPr="00405303" w:rsidRDefault="004B4E35" w:rsidP="00C15251">
      <w:pPr>
        <w:pStyle w:val="a3"/>
        <w:jc w:val="both"/>
        <w:rPr>
          <w:bCs/>
          <w:i w:val="0"/>
          <w:color w:val="002060"/>
          <w:spacing w:val="0"/>
          <w:kern w:val="0"/>
          <w:position w:val="0"/>
          <w:sz w:val="16"/>
          <w:szCs w:val="16"/>
        </w:rPr>
      </w:pPr>
    </w:p>
    <w:p w14:paraId="27147DF6"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Армия:</w:t>
      </w:r>
    </w:p>
    <w:p w14:paraId="58310E99" w14:textId="77777777" w:rsidR="004B4E35" w:rsidRPr="00405303" w:rsidRDefault="004B4E35" w:rsidP="00C15251">
      <w:pPr>
        <w:shd w:val="clear" w:color="auto" w:fill="FFFFFF"/>
        <w:jc w:val="both"/>
        <w:rPr>
          <w:bCs/>
          <w:i/>
          <w:color w:val="002060"/>
          <w:sz w:val="16"/>
          <w:szCs w:val="16"/>
        </w:rPr>
      </w:pPr>
    </w:p>
    <w:p w14:paraId="6D09E151" w14:textId="77777777" w:rsidR="004B4E35" w:rsidRPr="00405303" w:rsidRDefault="009E6F82" w:rsidP="00C15251">
      <w:pPr>
        <w:jc w:val="both"/>
        <w:rPr>
          <w:bCs/>
          <w:color w:val="002060"/>
          <w:sz w:val="16"/>
          <w:szCs w:val="16"/>
        </w:rPr>
      </w:pPr>
      <w:r w:rsidRPr="00405303">
        <w:rPr>
          <w:bCs/>
          <w:color w:val="002060"/>
          <w:sz w:val="16"/>
          <w:szCs w:val="16"/>
        </w:rPr>
        <w:t>16 (29) декабря 1915 во время Первой мировой войны русский экспедиционный кавалерийский корпус (8 тыс. человек, 20 орудий) под командованием генерала Н. Н. Баратова занял персидский город Хамадан. Тем самым были сорваны попытки Германии втянуть Персию в войну с Россией (11146).</w:t>
      </w:r>
    </w:p>
    <w:p w14:paraId="2F15C32F" w14:textId="77777777" w:rsidR="004B4E35" w:rsidRPr="00405303" w:rsidRDefault="004B4E35" w:rsidP="00C15251">
      <w:pPr>
        <w:jc w:val="both"/>
        <w:rPr>
          <w:bCs/>
          <w:i/>
          <w:color w:val="002060"/>
          <w:sz w:val="16"/>
          <w:szCs w:val="16"/>
        </w:rPr>
      </w:pPr>
    </w:p>
    <w:p w14:paraId="0FF785BE" w14:textId="6C3239E3" w:rsidR="00C216A7" w:rsidRPr="00405303" w:rsidRDefault="00C216A7" w:rsidP="00C15251">
      <w:pPr>
        <w:jc w:val="both"/>
        <w:rPr>
          <w:bCs/>
          <w:color w:val="002060"/>
          <w:sz w:val="16"/>
          <w:szCs w:val="16"/>
        </w:rPr>
      </w:pPr>
      <w:r w:rsidRPr="00405303">
        <w:rPr>
          <w:bCs/>
          <w:color w:val="002060"/>
          <w:sz w:val="16"/>
          <w:szCs w:val="16"/>
        </w:rPr>
        <w:t xml:space="preserve">16 (29) декабря 1915 г. — 25 декабря 1915 г. (5 января </w:t>
      </w:r>
      <w:r w:rsidR="00E0009C" w:rsidRPr="00405303">
        <w:rPr>
          <w:bCs/>
          <w:color w:val="002060"/>
          <w:sz w:val="16"/>
          <w:szCs w:val="16"/>
        </w:rPr>
        <w:t xml:space="preserve">1916 </w:t>
      </w:r>
      <w:r w:rsidRPr="00405303">
        <w:rPr>
          <w:bCs/>
          <w:color w:val="002060"/>
          <w:sz w:val="16"/>
          <w:szCs w:val="16"/>
        </w:rPr>
        <w:t>г.), предпринятое по просьбе союзников на</w:t>
      </w:r>
      <w:r w:rsidRPr="00405303">
        <w:rPr>
          <w:bCs/>
          <w:color w:val="002060"/>
          <w:sz w:val="16"/>
          <w:szCs w:val="16"/>
        </w:rPr>
        <w:softHyphen/>
        <w:t>ступление войск Юго-Западного фронта для спасения Сербии стало последней операцией кампании. В ходе него 18 (31) дека</w:t>
      </w:r>
      <w:r w:rsidRPr="00405303">
        <w:rPr>
          <w:bCs/>
          <w:color w:val="002060"/>
          <w:sz w:val="16"/>
          <w:szCs w:val="16"/>
        </w:rPr>
        <w:softHyphen/>
        <w:t>бря инспектор артиллерии 2-го армейского кор</w:t>
      </w:r>
      <w:r w:rsidRPr="00405303">
        <w:rPr>
          <w:bCs/>
          <w:color w:val="002060"/>
          <w:sz w:val="16"/>
          <w:szCs w:val="16"/>
        </w:rPr>
        <w:softHyphen/>
        <w:t>пуса лично руководил ураганным огнём артил</w:t>
      </w:r>
      <w:r w:rsidRPr="00405303">
        <w:rPr>
          <w:bCs/>
          <w:color w:val="002060"/>
          <w:sz w:val="16"/>
          <w:szCs w:val="16"/>
        </w:rPr>
        <w:softHyphen/>
        <w:t>лерии по атакуемой русскими войсками высоте 382, передавая приказания из корзины аэроста</w:t>
      </w:r>
      <w:r w:rsidRPr="00405303">
        <w:rPr>
          <w:bCs/>
          <w:color w:val="002060"/>
          <w:sz w:val="16"/>
          <w:szCs w:val="16"/>
        </w:rPr>
        <w:softHyphen/>
        <w:t>та 14-й воздухоплавательной роты по телефо</w:t>
      </w:r>
      <w:r w:rsidRPr="00405303">
        <w:rPr>
          <w:bCs/>
          <w:color w:val="002060"/>
          <w:sz w:val="16"/>
          <w:szCs w:val="16"/>
        </w:rPr>
        <w:softHyphen/>
        <w:t>ну. Правда эффективность длившейся полчаса артподготовки оказалась невелика: окопы про</w:t>
      </w:r>
      <w:r w:rsidRPr="00405303">
        <w:rPr>
          <w:bCs/>
          <w:color w:val="002060"/>
          <w:sz w:val="16"/>
          <w:szCs w:val="16"/>
        </w:rPr>
        <w:softHyphen/>
        <w:t>тивника пострадали сильно, но проволока была основательно разрушена только в одном месте. Атака была отбита: две-три роты, ворвавшиеся в расположение противника через брешь в про</w:t>
      </w:r>
      <w:r w:rsidRPr="00405303">
        <w:rPr>
          <w:bCs/>
          <w:color w:val="002060"/>
          <w:sz w:val="16"/>
          <w:szCs w:val="16"/>
        </w:rPr>
        <w:softHyphen/>
        <w:t>волочном заграждении, австрийцы выбили кон</w:t>
      </w:r>
      <w:r w:rsidRPr="00405303">
        <w:rPr>
          <w:bCs/>
          <w:color w:val="002060"/>
          <w:sz w:val="16"/>
          <w:szCs w:val="16"/>
        </w:rPr>
        <w:softHyphen/>
        <w:t>трударом из второй линии обороны. Попытка русской армии прорвать укреплённые позиции противника закончилась неудачей (20120).</w:t>
      </w:r>
    </w:p>
    <w:p w14:paraId="25D27688" w14:textId="77777777" w:rsidR="00C216A7" w:rsidRPr="00405303" w:rsidRDefault="00C216A7" w:rsidP="00C15251">
      <w:pPr>
        <w:jc w:val="both"/>
        <w:rPr>
          <w:bCs/>
          <w:color w:val="002060"/>
          <w:sz w:val="16"/>
          <w:szCs w:val="16"/>
        </w:rPr>
      </w:pPr>
    </w:p>
    <w:p w14:paraId="795BAF57" w14:textId="3920DC36" w:rsidR="00555B6C" w:rsidRPr="00405303" w:rsidRDefault="00555B6C"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577A8D29" w14:textId="77777777" w:rsidR="00555B6C" w:rsidRPr="00405303" w:rsidRDefault="00555B6C" w:rsidP="00C15251">
      <w:pPr>
        <w:pStyle w:val="a3"/>
        <w:jc w:val="both"/>
        <w:rPr>
          <w:bCs/>
          <w:color w:val="002060"/>
          <w:spacing w:val="0"/>
          <w:kern w:val="0"/>
          <w:position w:val="0"/>
          <w:sz w:val="16"/>
          <w:szCs w:val="16"/>
        </w:rPr>
      </w:pPr>
    </w:p>
    <w:p w14:paraId="13863C28" w14:textId="1B6C0642" w:rsidR="00555B6C" w:rsidRPr="00405303" w:rsidRDefault="000349A9" w:rsidP="00C15251">
      <w:pPr>
        <w:jc w:val="both"/>
        <w:rPr>
          <w:bCs/>
          <w:color w:val="002060"/>
          <w:sz w:val="16"/>
          <w:szCs w:val="16"/>
          <w:lang w:bidi="en-US"/>
        </w:rPr>
      </w:pPr>
      <w:r w:rsidRPr="00405303">
        <w:rPr>
          <w:bCs/>
          <w:color w:val="002060"/>
          <w:sz w:val="16"/>
          <w:szCs w:val="16"/>
          <w:lang w:bidi="en-US"/>
        </w:rPr>
        <w:t>16 (</w:t>
      </w:r>
      <w:r w:rsidR="00555B6C" w:rsidRPr="00405303">
        <w:rPr>
          <w:bCs/>
          <w:color w:val="002060"/>
          <w:sz w:val="16"/>
          <w:szCs w:val="16"/>
          <w:lang w:bidi="en-US"/>
        </w:rPr>
        <w:t>29</w:t>
      </w:r>
      <w:r w:rsidRPr="00405303">
        <w:rPr>
          <w:bCs/>
          <w:color w:val="002060"/>
          <w:sz w:val="16"/>
          <w:szCs w:val="16"/>
          <w:lang w:bidi="en-US"/>
        </w:rPr>
        <w:t>)</w:t>
      </w:r>
      <w:r w:rsidR="00555B6C" w:rsidRPr="00405303">
        <w:rPr>
          <w:bCs/>
          <w:color w:val="002060"/>
          <w:sz w:val="16"/>
          <w:szCs w:val="16"/>
          <w:lang w:bidi="en-US"/>
        </w:rPr>
        <w:t xml:space="preserve"> декабря 1915 г. военный летчик Есаул В.М. Ткачев вместе с военным летчиком Капитаном Бойно-Родзиевичем прибыл в АВИАКАНЦ в г. Киев для участия в работе комиссии, которую возглавлял Полковник Генштаба Л.П. Дюсиметьер. Он был организован для подведения итогов деятельности 5-го авиационного батальона Полковника Кравцевича, организованного в составе 5-й армии в сентябре. Ткачев узнал, что общая статистика показала, что из-за непогоды не выполнялось около 30% боевых вылетов. Летчики тратили много времени на обучение полетам на новых типах самолетов. Во время отступлений с мая по сентябрь части постоянно перебрасывались, а боевым вылетам уделялось мало времени. Статистические справки показали, что в среднем каждый летчик совершал в течение 1915 г. только пять боевых вылетов в месяц. За первый месяц войны, в августе 1914 г., каждый летчик совершал в среднем десять боевых вылетов.</w:t>
      </w:r>
    </w:p>
    <w:p w14:paraId="1FBE9157" w14:textId="77777777" w:rsidR="00555B6C" w:rsidRPr="00405303" w:rsidRDefault="00555B6C" w:rsidP="00C15251">
      <w:pPr>
        <w:jc w:val="both"/>
        <w:rPr>
          <w:bCs/>
          <w:color w:val="002060"/>
          <w:sz w:val="16"/>
          <w:szCs w:val="16"/>
        </w:rPr>
      </w:pPr>
      <w:r w:rsidRPr="00405303">
        <w:rPr>
          <w:bCs/>
          <w:color w:val="002060"/>
          <w:sz w:val="16"/>
          <w:szCs w:val="16"/>
          <w:lang w:bidi="en-US"/>
        </w:rPr>
        <w:t>Он также узнал, что в течение 1915 года около 40% всего летного состава погибло или получило серьезные травмы из-за материальных отказов; около 22% погибли из-за плохого полета; еще 33% были сбиты наземным огнем; и 2% погибли в воздушном бою (23525).</w:t>
      </w:r>
    </w:p>
    <w:p w14:paraId="6CDA8308" w14:textId="77777777" w:rsidR="00555B6C" w:rsidRPr="00405303" w:rsidRDefault="00555B6C" w:rsidP="00C15251">
      <w:pPr>
        <w:jc w:val="both"/>
        <w:rPr>
          <w:bCs/>
          <w:color w:val="002060"/>
          <w:sz w:val="16"/>
          <w:szCs w:val="16"/>
          <w:lang w:bidi="en-US"/>
        </w:rPr>
      </w:pPr>
    </w:p>
    <w:p w14:paraId="58D2F258" w14:textId="77777777" w:rsidR="00C46885" w:rsidRPr="00405303" w:rsidRDefault="00C46885" w:rsidP="00C15251">
      <w:pPr>
        <w:jc w:val="both"/>
        <w:rPr>
          <w:bCs/>
          <w:i/>
          <w:color w:val="002060"/>
          <w:sz w:val="16"/>
          <w:szCs w:val="16"/>
        </w:rPr>
      </w:pPr>
      <w:r w:rsidRPr="00405303">
        <w:rPr>
          <w:bCs/>
          <w:i/>
          <w:color w:val="002060"/>
          <w:sz w:val="16"/>
          <w:szCs w:val="16"/>
        </w:rPr>
        <w:lastRenderedPageBreak/>
        <w:t>Другие оборонные отрасли:</w:t>
      </w:r>
    </w:p>
    <w:p w14:paraId="2FA7F17C" w14:textId="77777777" w:rsidR="00C46885" w:rsidRPr="00405303" w:rsidRDefault="00C46885" w:rsidP="00C15251">
      <w:pPr>
        <w:jc w:val="both"/>
        <w:rPr>
          <w:bCs/>
          <w:i/>
          <w:color w:val="002060"/>
          <w:sz w:val="16"/>
          <w:szCs w:val="16"/>
        </w:rPr>
      </w:pPr>
    </w:p>
    <w:p w14:paraId="58E801E1" w14:textId="62B07C11" w:rsidR="00C46885" w:rsidRPr="00405303" w:rsidRDefault="00C46885" w:rsidP="00C15251">
      <w:pPr>
        <w:pStyle w:val="p1"/>
        <w:spacing w:before="0" w:beforeAutospacing="0" w:after="0" w:afterAutospacing="0"/>
        <w:jc w:val="both"/>
        <w:rPr>
          <w:bCs/>
          <w:color w:val="002060"/>
          <w:sz w:val="16"/>
          <w:szCs w:val="16"/>
        </w:rPr>
      </w:pPr>
      <w:r w:rsidRPr="00405303">
        <w:rPr>
          <w:bCs/>
          <w:color w:val="002060"/>
          <w:sz w:val="16"/>
          <w:szCs w:val="16"/>
        </w:rPr>
        <w:t xml:space="preserve">17 </w:t>
      </w:r>
      <w:r w:rsidR="00E1045F" w:rsidRPr="00405303">
        <w:rPr>
          <w:bCs/>
          <w:color w:val="002060"/>
          <w:sz w:val="16"/>
          <w:szCs w:val="16"/>
        </w:rPr>
        <w:t xml:space="preserve">(30) </w:t>
      </w:r>
      <w:r w:rsidRPr="00405303">
        <w:rPr>
          <w:bCs/>
          <w:color w:val="002060"/>
          <w:sz w:val="16"/>
          <w:szCs w:val="16"/>
        </w:rPr>
        <w:t>декабря 1915, утверждая журнал Совета министров по вопросу СОЗ (от 27 ноября 1915 г.), Николай II распорядился: «С перенесением и расширением завода (Сестрорецкого) поспешить» (18409).</w:t>
      </w:r>
    </w:p>
    <w:p w14:paraId="579CFACA" w14:textId="77777777" w:rsidR="00C46885" w:rsidRPr="00405303" w:rsidRDefault="00C46885" w:rsidP="00C15251">
      <w:pPr>
        <w:jc w:val="both"/>
        <w:rPr>
          <w:bCs/>
          <w:color w:val="002060"/>
          <w:sz w:val="16"/>
          <w:szCs w:val="16"/>
        </w:rPr>
      </w:pPr>
    </w:p>
    <w:p w14:paraId="1A38D424" w14:textId="5423DF8C" w:rsidR="000349A9" w:rsidRPr="00405303" w:rsidRDefault="000349A9" w:rsidP="00C15251">
      <w:pPr>
        <w:jc w:val="both"/>
        <w:rPr>
          <w:bCs/>
          <w:color w:val="002060"/>
          <w:sz w:val="16"/>
          <w:szCs w:val="16"/>
        </w:rPr>
      </w:pPr>
      <w:r w:rsidRPr="00405303">
        <w:rPr>
          <w:bCs/>
          <w:color w:val="002060"/>
          <w:sz w:val="16"/>
          <w:szCs w:val="16"/>
        </w:rPr>
        <w:t>17 (30) декабря 1915 г., утверждая журнал Совета министров по вопросу о перенесе</w:t>
      </w:r>
      <w:r w:rsidRPr="00405303">
        <w:rPr>
          <w:bCs/>
          <w:color w:val="002060"/>
          <w:sz w:val="16"/>
          <w:szCs w:val="16"/>
        </w:rPr>
        <w:softHyphen/>
        <w:t>нии Сестрорецкого оружейного завода в Центральную Россию (за год на новом месте под Екатеринославом предполагалось, по объяснению Залюбовского, выстроить «здание для завода, в точности по своим размерам и устройству представляющее копию зда</w:t>
      </w:r>
      <w:r w:rsidRPr="00405303">
        <w:rPr>
          <w:bCs/>
          <w:color w:val="002060"/>
          <w:sz w:val="16"/>
          <w:szCs w:val="16"/>
        </w:rPr>
        <w:softHyphen/>
        <w:t>ния завода Ремингтона» в Бриджпорте) от 27 ноября 1915 г., Николай II рас</w:t>
      </w:r>
      <w:r w:rsidRPr="00405303">
        <w:rPr>
          <w:bCs/>
          <w:color w:val="002060"/>
          <w:sz w:val="16"/>
          <w:szCs w:val="16"/>
        </w:rPr>
        <w:softHyphen/>
        <w:t>порядился: «С перенесением и расширением завода поспе</w:t>
      </w:r>
      <w:r w:rsidRPr="00405303">
        <w:rPr>
          <w:bCs/>
          <w:color w:val="002060"/>
          <w:sz w:val="16"/>
          <w:szCs w:val="16"/>
        </w:rPr>
        <w:softHyphen/>
        <w:t>шить».</w:t>
      </w:r>
    </w:p>
    <w:p w14:paraId="112F2B78" w14:textId="77777777" w:rsidR="000349A9" w:rsidRPr="00405303" w:rsidRDefault="000349A9" w:rsidP="00C15251">
      <w:pPr>
        <w:jc w:val="both"/>
        <w:rPr>
          <w:bCs/>
          <w:color w:val="002060"/>
          <w:sz w:val="16"/>
          <w:szCs w:val="16"/>
        </w:rPr>
      </w:pPr>
      <w:r w:rsidRPr="00405303">
        <w:rPr>
          <w:bCs/>
          <w:color w:val="002060"/>
          <w:sz w:val="16"/>
          <w:szCs w:val="16"/>
        </w:rPr>
        <w:t>Для нового завода ГАУ выбрало место при впадении в Днепр реки Самары; два участка (всего 1250 десятин) были, по оценке Залюбовского, «приобретены с запасом», с учетом удобного расположения для «вообще технических заведений, потребность в которых у ГАУ была большая». Началась рек</w:t>
      </w:r>
      <w:r w:rsidRPr="00405303">
        <w:rPr>
          <w:bCs/>
          <w:color w:val="002060"/>
          <w:sz w:val="16"/>
          <w:szCs w:val="16"/>
        </w:rPr>
        <w:softHyphen/>
        <w:t xml:space="preserve">визиция кирпичных заводов, станков, оборудования (РГВИА. Ф. 1. </w:t>
      </w:r>
      <w:r w:rsidRPr="00405303">
        <w:rPr>
          <w:bCs/>
          <w:color w:val="002060"/>
          <w:sz w:val="16"/>
          <w:szCs w:val="16"/>
          <w:lang w:val="en-US" w:bidi="en-US"/>
        </w:rPr>
        <w:t>On</w:t>
      </w:r>
      <w:r w:rsidRPr="00405303">
        <w:rPr>
          <w:bCs/>
          <w:color w:val="002060"/>
          <w:sz w:val="16"/>
          <w:szCs w:val="16"/>
          <w:lang w:bidi="en-US"/>
        </w:rPr>
        <w:t xml:space="preserve">. </w:t>
      </w:r>
      <w:r w:rsidRPr="00405303">
        <w:rPr>
          <w:bCs/>
          <w:color w:val="002060"/>
          <w:sz w:val="16"/>
          <w:szCs w:val="16"/>
        </w:rPr>
        <w:t>1. Ч. 46. Д. 1125. Л. 76. Доклад ГАУ в Государ</w:t>
      </w:r>
      <w:r w:rsidRPr="00405303">
        <w:rPr>
          <w:bCs/>
          <w:color w:val="002060"/>
          <w:sz w:val="16"/>
          <w:szCs w:val="16"/>
        </w:rPr>
        <w:softHyphen/>
        <w:t xml:space="preserve">ственную думу, 30.III. 1916; Ф. 29. Оп. 3. Д. 731. Л. 135 и об. Памятная записка КВМ для ГАУ, </w:t>
      </w:r>
      <w:r w:rsidRPr="00405303">
        <w:rPr>
          <w:bCs/>
          <w:color w:val="002060"/>
          <w:sz w:val="16"/>
          <w:szCs w:val="16"/>
          <w:lang w:bidi="en-US"/>
        </w:rPr>
        <w:t>29.</w:t>
      </w:r>
      <w:r w:rsidRPr="00405303">
        <w:rPr>
          <w:bCs/>
          <w:color w:val="002060"/>
          <w:sz w:val="16"/>
          <w:szCs w:val="16"/>
          <w:lang w:val="en-US" w:bidi="en-US"/>
        </w:rPr>
        <w:t>IX</w:t>
      </w:r>
      <w:r w:rsidRPr="00405303">
        <w:rPr>
          <w:bCs/>
          <w:color w:val="002060"/>
          <w:sz w:val="16"/>
          <w:szCs w:val="16"/>
          <w:lang w:bidi="en-US"/>
        </w:rPr>
        <w:t xml:space="preserve">.1915; </w:t>
      </w:r>
      <w:r w:rsidRPr="00405303">
        <w:rPr>
          <w:bCs/>
          <w:color w:val="002060"/>
          <w:sz w:val="16"/>
          <w:szCs w:val="16"/>
        </w:rPr>
        <w:t>Залюбовский А.П. Указ. соч. С. 66—67) (23452).</w:t>
      </w:r>
    </w:p>
    <w:p w14:paraId="59A34B85" w14:textId="77777777" w:rsidR="000349A9" w:rsidRPr="00405303" w:rsidRDefault="000349A9" w:rsidP="00C15251">
      <w:pPr>
        <w:jc w:val="both"/>
        <w:rPr>
          <w:bCs/>
          <w:color w:val="002060"/>
          <w:sz w:val="16"/>
          <w:szCs w:val="16"/>
        </w:rPr>
      </w:pPr>
    </w:p>
    <w:p w14:paraId="3A5B50D1" w14:textId="77777777" w:rsidR="000349A9" w:rsidRPr="00405303" w:rsidRDefault="000349A9"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 и воздухоплавание Германии:</w:t>
      </w:r>
    </w:p>
    <w:p w14:paraId="5C3824E9" w14:textId="77777777" w:rsidR="000349A9" w:rsidRPr="00405303" w:rsidRDefault="000349A9" w:rsidP="00C15251">
      <w:pPr>
        <w:pStyle w:val="a3"/>
        <w:jc w:val="both"/>
        <w:rPr>
          <w:bCs/>
          <w:color w:val="002060"/>
          <w:spacing w:val="0"/>
          <w:kern w:val="0"/>
          <w:position w:val="0"/>
          <w:sz w:val="16"/>
          <w:szCs w:val="16"/>
        </w:rPr>
      </w:pPr>
    </w:p>
    <w:p w14:paraId="70ECE751" w14:textId="77777777" w:rsidR="000349A9" w:rsidRPr="00405303" w:rsidRDefault="000349A9" w:rsidP="00C15251">
      <w:pPr>
        <w:jc w:val="both"/>
        <w:rPr>
          <w:bCs/>
          <w:color w:val="002060"/>
          <w:sz w:val="16"/>
          <w:szCs w:val="16"/>
        </w:rPr>
      </w:pPr>
      <w:r w:rsidRPr="00405303">
        <w:rPr>
          <w:bCs/>
          <w:color w:val="002060"/>
          <w:sz w:val="16"/>
          <w:szCs w:val="16"/>
        </w:rPr>
        <w:t>17 (30) декабря 1915 г. в германском военном министерстве состоялось заседание, основной повесткой дня которого была морская блокада Германии, осуществляемая прежде всего со стороны Англии. Адмирал Тирпиц: "Немедленное и безоговорочное применение подводного оружия является, безусловно, необходимым. Дальнейшее откладывание неограниченной подводной войны даст Англии время для принятия важнейших мер политической и экономической обороны, повысит наши потери в будущем и поставит под вопрос успех в ближайшее время. Чем скорее мы применим подводное оружие, тем раньше мы достигнем успеха, тем быстрее и решительнее мы уничтожим надежду Англии побороть нас посредством войны на истощение. Помимо Англии мы сломаем хребет всей коалиции наших врагов" (11999).</w:t>
      </w:r>
    </w:p>
    <w:p w14:paraId="4B73051D" w14:textId="77777777" w:rsidR="000349A9" w:rsidRPr="00405303" w:rsidRDefault="000349A9" w:rsidP="00C15251">
      <w:pPr>
        <w:jc w:val="both"/>
        <w:rPr>
          <w:bCs/>
          <w:color w:val="002060"/>
          <w:sz w:val="16"/>
          <w:szCs w:val="16"/>
        </w:rPr>
      </w:pPr>
    </w:p>
    <w:p w14:paraId="1D518AF1" w14:textId="77777777" w:rsidR="000349A9" w:rsidRPr="00405303" w:rsidRDefault="000349A9" w:rsidP="00C15251">
      <w:pPr>
        <w:jc w:val="both"/>
        <w:rPr>
          <w:bCs/>
          <w:i/>
          <w:color w:val="002060"/>
          <w:sz w:val="16"/>
          <w:szCs w:val="16"/>
        </w:rPr>
      </w:pPr>
      <w:r w:rsidRPr="00405303">
        <w:rPr>
          <w:bCs/>
          <w:i/>
          <w:color w:val="002060"/>
          <w:sz w:val="16"/>
          <w:szCs w:val="16"/>
        </w:rPr>
        <w:t>За рубежом:</w:t>
      </w:r>
    </w:p>
    <w:p w14:paraId="5C4BF26D" w14:textId="77777777" w:rsidR="000349A9" w:rsidRPr="00405303" w:rsidRDefault="000349A9" w:rsidP="00C15251">
      <w:pPr>
        <w:jc w:val="both"/>
        <w:rPr>
          <w:bCs/>
          <w:color w:val="002060"/>
          <w:sz w:val="16"/>
          <w:szCs w:val="16"/>
        </w:rPr>
      </w:pPr>
    </w:p>
    <w:p w14:paraId="68A0263F" w14:textId="77777777" w:rsidR="000349A9" w:rsidRPr="00405303" w:rsidRDefault="000349A9" w:rsidP="00C15251">
      <w:pPr>
        <w:jc w:val="both"/>
        <w:rPr>
          <w:bCs/>
          <w:color w:val="002060"/>
          <w:sz w:val="16"/>
          <w:szCs w:val="16"/>
        </w:rPr>
      </w:pPr>
      <w:r w:rsidRPr="00405303">
        <w:rPr>
          <w:bCs/>
          <w:color w:val="002060"/>
          <w:sz w:val="16"/>
          <w:szCs w:val="16"/>
        </w:rPr>
        <w:t>17 (30) декабря в 1915 году у берегов Шотландии тонет британский крейсер "Наталь", 405 человек погибают (14876).</w:t>
      </w:r>
    </w:p>
    <w:p w14:paraId="62E8393E" w14:textId="77777777" w:rsidR="000349A9" w:rsidRPr="00405303" w:rsidRDefault="000349A9" w:rsidP="00C15251">
      <w:pPr>
        <w:jc w:val="both"/>
        <w:rPr>
          <w:bCs/>
          <w:color w:val="002060"/>
          <w:sz w:val="16"/>
          <w:szCs w:val="16"/>
        </w:rPr>
      </w:pPr>
    </w:p>
    <w:p w14:paraId="6D663D38" w14:textId="77777777" w:rsidR="000349A9" w:rsidRPr="00405303" w:rsidRDefault="000349A9" w:rsidP="00C15251">
      <w:pPr>
        <w:pStyle w:val="a3"/>
        <w:jc w:val="both"/>
        <w:rPr>
          <w:bCs/>
          <w:color w:val="002060"/>
          <w:spacing w:val="0"/>
          <w:kern w:val="0"/>
          <w:position w:val="0"/>
          <w:sz w:val="16"/>
          <w:szCs w:val="16"/>
        </w:rPr>
      </w:pPr>
      <w:r w:rsidRPr="00405303">
        <w:rPr>
          <w:bCs/>
          <w:color w:val="002060"/>
          <w:spacing w:val="0"/>
          <w:kern w:val="0"/>
          <w:position w:val="0"/>
          <w:sz w:val="16"/>
          <w:szCs w:val="16"/>
        </w:rPr>
        <w:t>Авиация:</w:t>
      </w:r>
    </w:p>
    <w:p w14:paraId="06478DA0" w14:textId="77777777" w:rsidR="000349A9" w:rsidRPr="00405303" w:rsidRDefault="000349A9" w:rsidP="00C15251">
      <w:pPr>
        <w:pStyle w:val="a3"/>
        <w:jc w:val="both"/>
        <w:rPr>
          <w:bCs/>
          <w:color w:val="002060"/>
          <w:spacing w:val="0"/>
          <w:kern w:val="0"/>
          <w:position w:val="0"/>
          <w:sz w:val="16"/>
          <w:szCs w:val="16"/>
        </w:rPr>
      </w:pPr>
    </w:p>
    <w:p w14:paraId="0210E568" w14:textId="3B8E05D5" w:rsidR="000349A9" w:rsidRPr="00405303" w:rsidRDefault="000349A9" w:rsidP="00C15251">
      <w:pPr>
        <w:jc w:val="both"/>
        <w:rPr>
          <w:bCs/>
          <w:color w:val="002060"/>
          <w:sz w:val="16"/>
          <w:szCs w:val="16"/>
        </w:rPr>
      </w:pPr>
      <w:r w:rsidRPr="00405303">
        <w:rPr>
          <w:bCs/>
          <w:color w:val="002060"/>
          <w:sz w:val="16"/>
          <w:szCs w:val="16"/>
          <w:lang w:bidi="en-US"/>
        </w:rPr>
        <w:t>На 18 (31) декабря 1915 г., с начала войны, шесть российских авиационных училищ (две военных и четыре аэроклуба) выпустили 185 летчиков (восемьдесят восемь офицеров, двадцать солдат и семьдесят семь добровольцев). Частные школы выпустил еще восемьдесят один гражданский летчик. В декабре началась подготовка военных летчиков в частной авиационной школе Московского воздухоплавательного общества (23525).</w:t>
      </w:r>
    </w:p>
    <w:p w14:paraId="5D3D75AF" w14:textId="77777777" w:rsidR="000349A9" w:rsidRPr="00405303" w:rsidRDefault="000349A9" w:rsidP="00C15251">
      <w:pPr>
        <w:jc w:val="both"/>
        <w:rPr>
          <w:bCs/>
          <w:color w:val="002060"/>
          <w:sz w:val="16"/>
          <w:szCs w:val="16"/>
          <w:lang w:bidi="en-US"/>
        </w:rPr>
      </w:pPr>
    </w:p>
    <w:p w14:paraId="19D8AF8B" w14:textId="058E0900" w:rsidR="000349A9" w:rsidRPr="00405303" w:rsidRDefault="000349A9" w:rsidP="00C15251">
      <w:pPr>
        <w:jc w:val="both"/>
        <w:rPr>
          <w:bCs/>
          <w:color w:val="002060"/>
          <w:sz w:val="16"/>
          <w:szCs w:val="16"/>
        </w:rPr>
      </w:pPr>
      <w:r w:rsidRPr="00405303">
        <w:rPr>
          <w:bCs/>
          <w:color w:val="002060"/>
          <w:sz w:val="16"/>
          <w:szCs w:val="16"/>
          <w:lang w:bidi="en-US"/>
        </w:rPr>
        <w:t>На 18 (31) декабря 1915 года в составе русской армии было 25 полевых воздухоплавательных рот, по две-три на каждую армию. Год спустя, 5 декабря 1916 г., был издан приказ о реорганизации полевых авиационных рот (ВО) в части армии (армейские ВО) и корпуса (КВО), которые к февралю 1917 г. действовали. К июню 1917 г. насчитывалось двадцать восемь армейских ВО. и пятьдесят девять КВО, с двумя крепостными ВО, один в Свеаборге, другой в Ревеле, всего 200 аэростатов, 700 офицеров и 28000 солдат. Авиационные парки располагались в Сализи (Санкт-Петербург) на Северном фронте, в Гомеле на Западном фронте, в Киеве на Юго-Западном фронте, а затем, после вступления Румынии в войну, в Болграде на румынском фронте (23525).</w:t>
      </w:r>
    </w:p>
    <w:p w14:paraId="28D3205E" w14:textId="77777777" w:rsidR="000349A9" w:rsidRPr="00405303" w:rsidRDefault="000349A9" w:rsidP="00C15251">
      <w:pPr>
        <w:jc w:val="both"/>
        <w:rPr>
          <w:bCs/>
          <w:color w:val="002060"/>
          <w:sz w:val="16"/>
          <w:szCs w:val="16"/>
        </w:rPr>
      </w:pPr>
    </w:p>
    <w:p w14:paraId="0E8E1DC6" w14:textId="6ECDEFDD" w:rsidR="004B4E35" w:rsidRPr="00405303" w:rsidRDefault="009E6F82" w:rsidP="00C15251">
      <w:pPr>
        <w:pStyle w:val="a3"/>
        <w:jc w:val="both"/>
        <w:rPr>
          <w:bCs/>
          <w:color w:val="002060"/>
          <w:spacing w:val="0"/>
          <w:kern w:val="0"/>
          <w:position w:val="0"/>
          <w:sz w:val="16"/>
          <w:szCs w:val="16"/>
        </w:rPr>
      </w:pPr>
      <w:r w:rsidRPr="00405303">
        <w:rPr>
          <w:bCs/>
          <w:color w:val="002060"/>
          <w:spacing w:val="0"/>
          <w:kern w:val="0"/>
          <w:position w:val="0"/>
          <w:sz w:val="16"/>
          <w:szCs w:val="16"/>
        </w:rPr>
        <w:t>Самолетостроение:</w:t>
      </w:r>
    </w:p>
    <w:p w14:paraId="7D18EDE0" w14:textId="77777777" w:rsidR="004B4E35" w:rsidRPr="00405303" w:rsidRDefault="004B4E35" w:rsidP="00C15251">
      <w:pPr>
        <w:pStyle w:val="a3"/>
        <w:jc w:val="both"/>
        <w:rPr>
          <w:bCs/>
          <w:color w:val="002060"/>
          <w:spacing w:val="0"/>
          <w:kern w:val="0"/>
          <w:position w:val="0"/>
          <w:sz w:val="16"/>
          <w:szCs w:val="16"/>
        </w:rPr>
      </w:pPr>
    </w:p>
    <w:p w14:paraId="406A9461" w14:textId="045C291F" w:rsidR="002C0F36" w:rsidRPr="00405303" w:rsidRDefault="002C0F36" w:rsidP="00C15251">
      <w:pPr>
        <w:jc w:val="both"/>
        <w:rPr>
          <w:bCs/>
          <w:color w:val="002060"/>
          <w:sz w:val="16"/>
          <w:szCs w:val="16"/>
        </w:rPr>
      </w:pPr>
      <w:r w:rsidRPr="00405303">
        <w:rPr>
          <w:bCs/>
          <w:color w:val="002060"/>
          <w:sz w:val="16"/>
          <w:szCs w:val="16"/>
        </w:rPr>
        <w:t>19 декабря 1915</w:t>
      </w:r>
      <w:r w:rsidR="00E1045F" w:rsidRPr="00405303">
        <w:rPr>
          <w:bCs/>
          <w:color w:val="002060"/>
          <w:sz w:val="16"/>
          <w:szCs w:val="16"/>
        </w:rPr>
        <w:t xml:space="preserve"> г.</w:t>
      </w:r>
      <w:r w:rsidRPr="00405303">
        <w:rPr>
          <w:bCs/>
          <w:color w:val="002060"/>
          <w:sz w:val="16"/>
          <w:szCs w:val="16"/>
        </w:rPr>
        <w:t xml:space="preserve"> (1 января 1916</w:t>
      </w:r>
      <w:r w:rsidR="00E1045F" w:rsidRPr="00405303">
        <w:rPr>
          <w:bCs/>
          <w:color w:val="002060"/>
          <w:sz w:val="16"/>
          <w:szCs w:val="16"/>
        </w:rPr>
        <w:t xml:space="preserve"> г.</w:t>
      </w:r>
      <w:r w:rsidRPr="00405303">
        <w:rPr>
          <w:bCs/>
          <w:color w:val="002060"/>
          <w:sz w:val="16"/>
          <w:szCs w:val="16"/>
        </w:rPr>
        <w:t>) в воздух поднялся самолет Анатра тип Д. Летал л Робино (Робинэ) и отметил слабую управляемость и недостаточную устойчивость. Увеличили угол стреловидности крыльев с 4 до 8 гр. И с 3.5 до 6 гр угол их установки. Всю бипланную коробку сдвинули на 200 мм вперед, а сиденья л и н - вперед на 50 мм и 100 мм. Площадь хвостового оперения увеличили почти на 50%, а элеронов - на 20% (5151, 9).</w:t>
      </w:r>
    </w:p>
    <w:p w14:paraId="53CB2FC5" w14:textId="77777777" w:rsidR="002C0F36" w:rsidRPr="00405303" w:rsidRDefault="002C0F36" w:rsidP="00C15251">
      <w:pPr>
        <w:jc w:val="both"/>
        <w:rPr>
          <w:bCs/>
          <w:color w:val="002060"/>
          <w:sz w:val="16"/>
          <w:szCs w:val="16"/>
        </w:rPr>
      </w:pPr>
    </w:p>
    <w:p w14:paraId="0DD7C083" w14:textId="77777777" w:rsidR="00D8136E" w:rsidRPr="00405303" w:rsidRDefault="00D8136E" w:rsidP="00C15251">
      <w:pPr>
        <w:shd w:val="clear" w:color="auto" w:fill="FFFFFF"/>
        <w:jc w:val="both"/>
        <w:rPr>
          <w:color w:val="002060"/>
          <w:sz w:val="16"/>
          <w:szCs w:val="16"/>
        </w:rPr>
      </w:pPr>
      <w:r w:rsidRPr="00405303">
        <w:rPr>
          <w:color w:val="002060"/>
          <w:sz w:val="16"/>
          <w:szCs w:val="16"/>
        </w:rPr>
        <w:t>19 декабря 1915 (1 января 1916) Первый полет самолета “Анаде” (Анатра—Декан). В 1916— 1917 гг. построено 170 экземпляров. Широко применялся на фронтах мировой и гражданской войн (1137).</w:t>
      </w:r>
    </w:p>
    <w:p w14:paraId="4CE87B87" w14:textId="77777777" w:rsidR="00D8136E" w:rsidRPr="00405303" w:rsidRDefault="00D8136E" w:rsidP="00C15251">
      <w:pPr>
        <w:jc w:val="both"/>
        <w:rPr>
          <w:bCs/>
          <w:color w:val="002060"/>
          <w:sz w:val="16"/>
          <w:szCs w:val="16"/>
        </w:rPr>
      </w:pPr>
    </w:p>
    <w:p w14:paraId="34F46CF0" w14:textId="47F2E92F" w:rsidR="002C0F36" w:rsidRPr="00405303" w:rsidRDefault="002C0F36" w:rsidP="00C15251">
      <w:pPr>
        <w:jc w:val="both"/>
        <w:rPr>
          <w:bCs/>
          <w:color w:val="002060"/>
          <w:sz w:val="16"/>
          <w:szCs w:val="16"/>
        </w:rPr>
      </w:pPr>
      <w:r w:rsidRPr="00405303">
        <w:rPr>
          <w:bCs/>
          <w:color w:val="002060"/>
          <w:sz w:val="16"/>
          <w:szCs w:val="16"/>
        </w:rPr>
        <w:t>19 декабря 1915-го (1 января 1916</w:t>
      </w:r>
      <w:r w:rsidR="00E1045F" w:rsidRPr="00405303">
        <w:rPr>
          <w:bCs/>
          <w:color w:val="002060"/>
          <w:sz w:val="16"/>
          <w:szCs w:val="16"/>
        </w:rPr>
        <w:t xml:space="preserve"> г.</w:t>
      </w:r>
      <w:r w:rsidRPr="00405303">
        <w:rPr>
          <w:bCs/>
          <w:color w:val="002060"/>
          <w:sz w:val="16"/>
          <w:szCs w:val="16"/>
        </w:rPr>
        <w:t>) в Одессе начались испытания опытного экземпляра самолета Анаде. Летчик Робино, впервые поднявший аппарат в воздух, отметил недостаточную поперечную и продольную устойчивости, а также малый запас рулей высоты. При доработке коробку крыльев сдвинули назад на 200 мм и угол их стреловидности увеличили до 8°. Вперед передвинули кресла летчика и наблюдателя (соответственно на 50 и 150 мм.), увеличили площадь хвостового оперения и элеронов. Для парирования реактивного момента воздушного винта под правой консолью нижнего крыла в районе внешних крыльевых стоек установили груз весом 7 кг, а переднюю часть киля развернули влево на 30 мм. Доработанный "Анаде" показал вполне удовлетворительные летные данные: максимальная скорость - 136 км/ч, время подъема на высоту 2000 м -16,5 мин. (9806).</w:t>
      </w:r>
    </w:p>
    <w:p w14:paraId="2003FAE5" w14:textId="77777777" w:rsidR="002C0F36" w:rsidRPr="00405303" w:rsidRDefault="002C0F36" w:rsidP="00C15251">
      <w:pPr>
        <w:jc w:val="both"/>
        <w:rPr>
          <w:bCs/>
          <w:color w:val="002060"/>
          <w:sz w:val="16"/>
          <w:szCs w:val="16"/>
        </w:rPr>
      </w:pPr>
      <w:r w:rsidRPr="00405303">
        <w:rPr>
          <w:bCs/>
          <w:color w:val="002060"/>
          <w:sz w:val="16"/>
          <w:szCs w:val="16"/>
        </w:rPr>
        <w:t>После первых полетов на самолете потребовались большие доводки и ряд улучшений. Конструктор - француз Элизо Декан (ЦГВИА, ф. 2008, оп. 1, д. 508, 522, 726).</w:t>
      </w:r>
    </w:p>
    <w:p w14:paraId="53BCF683" w14:textId="77777777" w:rsidR="002C0F36" w:rsidRPr="00405303" w:rsidRDefault="002C0F36" w:rsidP="00C15251">
      <w:pPr>
        <w:jc w:val="both"/>
        <w:rPr>
          <w:bCs/>
          <w:color w:val="002060"/>
          <w:sz w:val="16"/>
          <w:szCs w:val="16"/>
        </w:rPr>
      </w:pPr>
    </w:p>
    <w:p w14:paraId="1349D8D5" w14:textId="5507A9B5" w:rsidR="002C0F36" w:rsidRPr="00405303" w:rsidRDefault="002C0F36" w:rsidP="00C15251">
      <w:pPr>
        <w:shd w:val="clear" w:color="auto" w:fill="FFFFFF"/>
        <w:jc w:val="both"/>
        <w:rPr>
          <w:bCs/>
          <w:color w:val="002060"/>
          <w:sz w:val="16"/>
          <w:szCs w:val="16"/>
        </w:rPr>
      </w:pPr>
      <w:r w:rsidRPr="00405303">
        <w:rPr>
          <w:bCs/>
          <w:color w:val="002060"/>
          <w:sz w:val="16"/>
          <w:szCs w:val="16"/>
        </w:rPr>
        <w:t xml:space="preserve">19 декабря 1915 </w:t>
      </w:r>
      <w:r w:rsidR="00E1045F" w:rsidRPr="00405303">
        <w:rPr>
          <w:bCs/>
          <w:color w:val="002060"/>
          <w:sz w:val="16"/>
          <w:szCs w:val="16"/>
        </w:rPr>
        <w:t xml:space="preserve">г. </w:t>
      </w:r>
      <w:r w:rsidRPr="00405303">
        <w:rPr>
          <w:bCs/>
          <w:color w:val="002060"/>
          <w:sz w:val="16"/>
          <w:szCs w:val="16"/>
        </w:rPr>
        <w:t>(1 января 1916</w:t>
      </w:r>
      <w:r w:rsidR="00E1045F" w:rsidRPr="00405303">
        <w:rPr>
          <w:bCs/>
          <w:color w:val="002060"/>
          <w:sz w:val="16"/>
          <w:szCs w:val="16"/>
        </w:rPr>
        <w:t xml:space="preserve"> г.</w:t>
      </w:r>
      <w:r w:rsidRPr="00405303">
        <w:rPr>
          <w:bCs/>
          <w:color w:val="002060"/>
          <w:sz w:val="16"/>
          <w:szCs w:val="16"/>
        </w:rPr>
        <w:t xml:space="preserve">) </w:t>
      </w:r>
      <w:r w:rsidR="00E1045F" w:rsidRPr="00405303">
        <w:rPr>
          <w:bCs/>
          <w:color w:val="002060"/>
          <w:sz w:val="16"/>
          <w:szCs w:val="16"/>
        </w:rPr>
        <w:t>с</w:t>
      </w:r>
      <w:r w:rsidRPr="00405303">
        <w:rPr>
          <w:bCs/>
          <w:color w:val="002060"/>
          <w:sz w:val="16"/>
          <w:szCs w:val="16"/>
        </w:rPr>
        <w:t>остоялся первый полет опытного самолета "Анаде" (Анатра-Декан, Анатра-Д) одесского завода Анатра -двухместного разведчика-биплана с двигателем "Гном-Моносупап" [в 100 л.с. После первых полетов в самолете потребовались боль</w:t>
      </w:r>
      <w:r w:rsidRPr="00405303">
        <w:rPr>
          <w:bCs/>
          <w:color w:val="002060"/>
          <w:sz w:val="16"/>
          <w:szCs w:val="16"/>
        </w:rPr>
        <w:softHyphen/>
        <w:t>шие доводки и ряд улучшений, после чего он был пущен в серийное производство. 16 мая 1916 года был сдан первый серийный экзем-шляр и за 1916-1917 гг. было выпущено 170 экз. “Анаде”. Самолет широко применялся на фронтах, а оставшиеся экземпляры прошли и гражданскую войну. Награзка самолета составляла 350 кг, скорость - 130 км/час, время набора высоты 1000 м - 7 минут, потолок - 4000 м.; на нем можно было делать петли.Конструктором самолета был французский инженер Элизо Декан, работавший у Анатра (ЦГВИА. ф.2008, оп.1, Д.508, 522 и 726).</w:t>
      </w:r>
    </w:p>
    <w:p w14:paraId="131023AC" w14:textId="77777777" w:rsidR="002C0F36" w:rsidRPr="00405303" w:rsidRDefault="002C0F36" w:rsidP="00C15251">
      <w:pPr>
        <w:shd w:val="clear" w:color="auto" w:fill="FFFFFF"/>
        <w:jc w:val="both"/>
        <w:rPr>
          <w:bCs/>
          <w:color w:val="002060"/>
          <w:sz w:val="16"/>
          <w:szCs w:val="16"/>
        </w:rPr>
      </w:pPr>
    </w:p>
    <w:p w14:paraId="6D352B1D" w14:textId="038DF674" w:rsidR="002C0F36" w:rsidRPr="00405303" w:rsidRDefault="002C0F36" w:rsidP="00C15251">
      <w:pPr>
        <w:jc w:val="both"/>
        <w:rPr>
          <w:bCs/>
          <w:color w:val="002060"/>
          <w:sz w:val="16"/>
          <w:szCs w:val="16"/>
        </w:rPr>
      </w:pPr>
      <w:r w:rsidRPr="00405303">
        <w:rPr>
          <w:bCs/>
          <w:color w:val="002060"/>
          <w:sz w:val="16"/>
          <w:szCs w:val="16"/>
        </w:rPr>
        <w:t>19 декабря 1915 г. (1 января 1916</w:t>
      </w:r>
      <w:r w:rsidR="00E1045F" w:rsidRPr="00405303">
        <w:rPr>
          <w:bCs/>
          <w:color w:val="002060"/>
          <w:sz w:val="16"/>
          <w:szCs w:val="16"/>
        </w:rPr>
        <w:t xml:space="preserve"> г.</w:t>
      </w:r>
      <w:r w:rsidRPr="00405303">
        <w:rPr>
          <w:bCs/>
          <w:color w:val="002060"/>
          <w:sz w:val="16"/>
          <w:szCs w:val="16"/>
        </w:rPr>
        <w:t>) состоялся первый полет прототипа «Анаде», а в серийное производство его запустили весной следующего года. Вероятно, А. Анатра не спешил внедрять самолет собственного КБ, так как был вполне удовлетворен заказами на аппараты французской разработки. В результате такой проволочки машина, вполне современная в начале войны, к 1916 г. оказалась устаревшей. Тем не менее, ничего лучшего российская промышленность предложить не могла, и «Анаде» стали строить в довольно больших количествах. В марте 1916 г. фирма подписала 2 контракта (№№30160, 32793) на производство 300 таких самолетов. К концу июля 1917 г. удалось заключить еще ряд сделок, предусматривавших поставки более четырех с половиной сотен машин. Согласно данным из фондов Российского государственного военного архива, общее количество заказанных «Анаде» достигло 759 единиц. Из них к концу 1917 г. удалось сдать заказчику менее трети — 225. В это число входили и 24 машины, построенные в июле-октябре 1917 г. с более мощными моторами «Клерже» (110 либо 130 л.с), которые получили обозначение «Анаклер». Интересно, что 47 принятых самолетов не проходили сдаточных испытаний из-за задержек с поставками двигателей (12252).</w:t>
      </w:r>
    </w:p>
    <w:p w14:paraId="2BC3E921" w14:textId="77777777" w:rsidR="002C0F36" w:rsidRPr="00405303" w:rsidRDefault="002C0F36" w:rsidP="00C15251">
      <w:pPr>
        <w:jc w:val="both"/>
        <w:rPr>
          <w:bCs/>
          <w:color w:val="002060"/>
          <w:sz w:val="16"/>
          <w:szCs w:val="16"/>
        </w:rPr>
      </w:pPr>
    </w:p>
    <w:p w14:paraId="18E0202A" w14:textId="77777777" w:rsidR="0059663C" w:rsidRPr="00405303" w:rsidRDefault="0059663C" w:rsidP="00C15251">
      <w:pPr>
        <w:shd w:val="clear" w:color="auto" w:fill="FFFFFF"/>
        <w:jc w:val="both"/>
        <w:rPr>
          <w:color w:val="002060"/>
          <w:sz w:val="16"/>
          <w:szCs w:val="16"/>
        </w:rPr>
      </w:pPr>
      <w:r w:rsidRPr="00405303">
        <w:rPr>
          <w:color w:val="002060"/>
          <w:sz w:val="16"/>
          <w:szCs w:val="16"/>
        </w:rPr>
        <w:t>19 декабря 1915 Первый полет самолёта «Анаде» (Анатра-Декан). В 1916-1917 гг. построено 170 экземпляров. Широко применялся на фронтах мировой и гражданской войн (11425).</w:t>
      </w:r>
    </w:p>
    <w:p w14:paraId="693E9E48" w14:textId="77777777" w:rsidR="0059663C" w:rsidRPr="00405303" w:rsidRDefault="0059663C" w:rsidP="00C15251">
      <w:pPr>
        <w:shd w:val="clear" w:color="auto" w:fill="FFFFFF"/>
        <w:jc w:val="both"/>
        <w:rPr>
          <w:color w:val="002060"/>
          <w:sz w:val="16"/>
          <w:szCs w:val="16"/>
        </w:rPr>
      </w:pPr>
    </w:p>
    <w:p w14:paraId="224B24BF" w14:textId="77777777" w:rsidR="0059663C" w:rsidRPr="00405303" w:rsidRDefault="0059663C" w:rsidP="00C15251">
      <w:pPr>
        <w:jc w:val="both"/>
        <w:rPr>
          <w:color w:val="002060"/>
          <w:sz w:val="16"/>
          <w:szCs w:val="16"/>
        </w:rPr>
      </w:pPr>
      <w:r w:rsidRPr="00405303">
        <w:rPr>
          <w:color w:val="002060"/>
          <w:sz w:val="16"/>
          <w:szCs w:val="16"/>
        </w:rPr>
        <w:t>19 декабря 1915-го (1 января 1916) в Одессе начались испытания опытного экземпляра самолета Анаде. Летчик Робино, впервые поднявший аппарат в воздух, отметил недостаточную поперечную и продольную устойчивости, а также малый запас рулей высоты. При доработке коробку крыльев сдвинули назад на 200 мм и угол их стрело-видности увеличили до 8°. Вперед передвинули кресла летчика и наблюдателя (соответственно на 50 и 150 мм.), увеличили площадь хвостового оперения и элеронов. Для парирования реактивного момента воздушного винта под правой консолью нижнего крыла в районе внешних крыльевых стоек установили груз весом 7 кг, а переднюю часть киля развернули влево на 30 мм. Доработанный "Анаде" показал вполне удовлетворительные летные данные: максимальная скорость - 136 км/ч, время подъема на высоту 2000 м -16,5 мин. (9806).</w:t>
      </w:r>
    </w:p>
    <w:p w14:paraId="37CD7F24" w14:textId="77777777" w:rsidR="0059663C" w:rsidRPr="00405303" w:rsidRDefault="0059663C" w:rsidP="00C15251">
      <w:pPr>
        <w:jc w:val="both"/>
        <w:rPr>
          <w:color w:val="002060"/>
          <w:sz w:val="16"/>
          <w:szCs w:val="16"/>
        </w:rPr>
      </w:pPr>
      <w:r w:rsidRPr="00405303">
        <w:rPr>
          <w:color w:val="002060"/>
          <w:sz w:val="16"/>
          <w:szCs w:val="16"/>
        </w:rPr>
        <w:t>После первых полетов на самолете потребовались большие доводки и ряд улучшений. Конструктор - француз Элизо Декан (ЦГВИА, ф. 2008, оп. 1, д. 508, 522, 726).</w:t>
      </w:r>
    </w:p>
    <w:p w14:paraId="6193540E" w14:textId="77777777" w:rsidR="0059663C" w:rsidRPr="00405303" w:rsidRDefault="0059663C" w:rsidP="00C15251">
      <w:pPr>
        <w:jc w:val="both"/>
        <w:rPr>
          <w:color w:val="002060"/>
          <w:sz w:val="16"/>
          <w:szCs w:val="16"/>
        </w:rPr>
      </w:pPr>
    </w:p>
    <w:p w14:paraId="6C0C7DF7" w14:textId="77777777" w:rsidR="0059663C" w:rsidRPr="00405303" w:rsidRDefault="0059663C" w:rsidP="00C15251">
      <w:pPr>
        <w:shd w:val="clear" w:color="auto" w:fill="FFFFFF"/>
        <w:jc w:val="both"/>
        <w:rPr>
          <w:color w:val="002060"/>
          <w:sz w:val="16"/>
          <w:szCs w:val="16"/>
        </w:rPr>
      </w:pPr>
      <w:r w:rsidRPr="00405303">
        <w:rPr>
          <w:color w:val="002060"/>
          <w:sz w:val="16"/>
          <w:szCs w:val="16"/>
        </w:rPr>
        <w:t>19 декабря 1915 (1 января 1916) Состоялся первый полет опытного самолета "Анаде" (Анатра-Декан, Анатра-Д) одесского завода Анатра -двухместного разведчика-биплана с двигателем "Гном-Моносупап" [в 100 л.с. После первых полетов в самолете потребовались боль</w:t>
      </w:r>
      <w:r w:rsidRPr="00405303">
        <w:rPr>
          <w:color w:val="002060"/>
          <w:sz w:val="16"/>
          <w:szCs w:val="16"/>
        </w:rPr>
        <w:softHyphen/>
        <w:t xml:space="preserve">шие доводки и ряд улучшений, после чего он был пущен в серийное производство. 16 мая 1916 года был сдан первый серийный экзем-шляр и за 1916-1917 гг. было выпущено 170 экз. </w:t>
      </w:r>
      <w:r w:rsidRPr="00405303">
        <w:rPr>
          <w:color w:val="002060"/>
          <w:sz w:val="16"/>
          <w:szCs w:val="16"/>
          <w:vertAlign w:val="superscript"/>
        </w:rPr>
        <w:t>::</w:t>
      </w:r>
      <w:r w:rsidRPr="00405303">
        <w:rPr>
          <w:color w:val="002060"/>
          <w:sz w:val="16"/>
          <w:szCs w:val="16"/>
        </w:rPr>
        <w:t>Анаде</w:t>
      </w:r>
      <w:r w:rsidRPr="00405303">
        <w:rPr>
          <w:color w:val="002060"/>
          <w:sz w:val="16"/>
          <w:szCs w:val="16"/>
          <w:vertAlign w:val="superscript"/>
        </w:rPr>
        <w:t>п</w:t>
      </w:r>
      <w:r w:rsidRPr="00405303">
        <w:rPr>
          <w:color w:val="002060"/>
          <w:sz w:val="16"/>
          <w:szCs w:val="16"/>
        </w:rPr>
        <w:t xml:space="preserve">. Самолет широко применялся на фронтах, а оставшиеся экземпляры </w:t>
      </w:r>
      <w:proofErr w:type="gramStart"/>
      <w:r w:rsidRPr="00405303">
        <w:rPr>
          <w:color w:val="002060"/>
          <w:sz w:val="16"/>
          <w:szCs w:val="16"/>
        </w:rPr>
        <w:t>прошли !и</w:t>
      </w:r>
      <w:proofErr w:type="gramEnd"/>
      <w:r w:rsidRPr="00405303">
        <w:rPr>
          <w:color w:val="002060"/>
          <w:sz w:val="16"/>
          <w:szCs w:val="16"/>
        </w:rPr>
        <w:t xml:space="preserve"> гражданскую войну. Награзка самолета составляла 350 кг., скорость - 130 км/час, время набора высоты 1000 м - 7 минут, </w:t>
      </w:r>
      <w:r w:rsidRPr="00405303">
        <w:rPr>
          <w:color w:val="002060"/>
          <w:sz w:val="16"/>
          <w:szCs w:val="16"/>
          <w:vertAlign w:val="superscript"/>
        </w:rPr>
        <w:t>:</w:t>
      </w:r>
      <w:r w:rsidRPr="00405303">
        <w:rPr>
          <w:color w:val="002060"/>
          <w:sz w:val="16"/>
          <w:szCs w:val="16"/>
        </w:rPr>
        <w:t>потолок - 4000 м.; на нем можно было делать петли..Конструктором самолета был французский инженер Элизо Декан, работавший у Анатра (ЦГВИА. ф.2008, оп.1, Д.508, 522 и 726).</w:t>
      </w:r>
    </w:p>
    <w:p w14:paraId="3649679D" w14:textId="77777777" w:rsidR="0059663C" w:rsidRPr="00405303" w:rsidRDefault="0059663C" w:rsidP="00C15251">
      <w:pPr>
        <w:shd w:val="clear" w:color="auto" w:fill="FFFFFF"/>
        <w:jc w:val="both"/>
        <w:rPr>
          <w:color w:val="002060"/>
          <w:sz w:val="16"/>
          <w:szCs w:val="16"/>
        </w:rPr>
      </w:pPr>
    </w:p>
    <w:p w14:paraId="3918C7AE" w14:textId="77777777" w:rsidR="0059663C" w:rsidRPr="00405303" w:rsidRDefault="0059663C" w:rsidP="00C15251">
      <w:pPr>
        <w:jc w:val="both"/>
        <w:rPr>
          <w:color w:val="002060"/>
          <w:sz w:val="16"/>
          <w:szCs w:val="16"/>
        </w:rPr>
      </w:pPr>
      <w:r w:rsidRPr="00405303">
        <w:rPr>
          <w:bCs/>
          <w:color w:val="002060"/>
          <w:sz w:val="16"/>
          <w:szCs w:val="16"/>
        </w:rPr>
        <w:t>19 декабря</w:t>
      </w:r>
      <w:r w:rsidRPr="00405303">
        <w:rPr>
          <w:color w:val="002060"/>
          <w:sz w:val="16"/>
          <w:szCs w:val="16"/>
        </w:rPr>
        <w:t xml:space="preserve"> в 1915 году (1 января 1916) впервые поднялся в воздух «Анатра» тип «Д» (первоначально аппарат получил название «Анатра» тип «Д». В дальнейшем это название трансформировалось в «Анаде», иногда самолет называли также «Анатра-Д», «Анатра-Декан» или просто «Декан»). Полет завершился благополучно, но летчик-испытатель Робино (по другим даным - Робинэ) отметил слабую управляемость машины, а также недостаточную продольную и поперечную устойчивость. Для решения этих проблем был увеличен с 4 до 8 град, угол стреловидности крыльев и с 3,5 до 6 град. - угол их установки. Всю бипланную коробку сдвинули назад на 200 мм, а сиденья летчика и наблюдателя - перенесли вперед на 50 и 150 мм. Кроме того, площадь хвостового оперения нарастили почти на 50%, а площадь элеронов - на 20%. Надо заметить, что все эти доработки производились не сразу, а постепенно, пока в ходе очередного полета устойчивость и управляемость машины не вошли в норму (14865).</w:t>
      </w:r>
    </w:p>
    <w:p w14:paraId="06B1294B" w14:textId="77777777" w:rsidR="0059663C" w:rsidRPr="00405303" w:rsidRDefault="0059663C" w:rsidP="00C15251">
      <w:pPr>
        <w:jc w:val="both"/>
        <w:rPr>
          <w:color w:val="002060"/>
          <w:sz w:val="16"/>
          <w:szCs w:val="16"/>
        </w:rPr>
      </w:pPr>
    </w:p>
    <w:p w14:paraId="15D3588E" w14:textId="51E6D384" w:rsidR="00C46885" w:rsidRPr="00405303" w:rsidRDefault="00C46885" w:rsidP="00C15251">
      <w:pPr>
        <w:jc w:val="both"/>
        <w:rPr>
          <w:bCs/>
          <w:color w:val="002060"/>
          <w:sz w:val="16"/>
          <w:szCs w:val="16"/>
        </w:rPr>
      </w:pPr>
      <w:r w:rsidRPr="00405303">
        <w:rPr>
          <w:bCs/>
          <w:color w:val="002060"/>
          <w:sz w:val="16"/>
          <w:szCs w:val="16"/>
        </w:rPr>
        <w:t>19 декабря в 1915 году (1 января 1916</w:t>
      </w:r>
      <w:r w:rsidR="00E1045F" w:rsidRPr="00405303">
        <w:rPr>
          <w:bCs/>
          <w:color w:val="002060"/>
          <w:sz w:val="16"/>
          <w:szCs w:val="16"/>
        </w:rPr>
        <w:t xml:space="preserve"> г.</w:t>
      </w:r>
      <w:r w:rsidRPr="00405303">
        <w:rPr>
          <w:bCs/>
          <w:color w:val="002060"/>
          <w:sz w:val="16"/>
          <w:szCs w:val="16"/>
        </w:rPr>
        <w:t>) впервые поднялся в воздух «Анатра» тип «Д» (первоначально аппарат получил название «Анатра» тип «Д». В дальнейшем это название трансформировалось в «Анаде», иногда самолет называли также «Анатра-Д», «Анатра-Декан» или просто «Декан»). Полет завершился благополучно, но летчик-испытатель Робино (по другим даным - Робинэ) отметил слабую управляемость машины, а также недостаточную продольную и поперечную устойчивость. Для решения этих проблем был увеличен с 4 до 8 град, угол стреловидности крыльев и с 3,5 до 6 град. - угол их установки. Всю бипланную коробку сдвинули назад на 200 мм, а сиденья летчика и наблюдателя - перенесли вперед на 50 и 150 мм. Кроме того, площадь хвостового оперения нарастили почти на 50%, а площадь элеронов - на 20%. Надо заметить, что все эти доработки производились не сразу, а постепенно, пока в ходе очередного полета устойчивость и управляемость машины не вошли в норму (14865).</w:t>
      </w:r>
    </w:p>
    <w:p w14:paraId="67F8F096" w14:textId="77777777" w:rsidR="00C46885" w:rsidRPr="00405303" w:rsidRDefault="00C46885" w:rsidP="00C15251">
      <w:pPr>
        <w:jc w:val="both"/>
        <w:rPr>
          <w:bCs/>
          <w:color w:val="002060"/>
          <w:sz w:val="16"/>
          <w:szCs w:val="16"/>
        </w:rPr>
      </w:pPr>
    </w:p>
    <w:p w14:paraId="5432A2C0" w14:textId="4B8B29D0"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19 декабря 1915 </w:t>
      </w:r>
      <w:r w:rsidR="00E1045F" w:rsidRPr="00405303">
        <w:rPr>
          <w:bCs/>
          <w:color w:val="002060"/>
          <w:sz w:val="16"/>
          <w:szCs w:val="16"/>
        </w:rPr>
        <w:t xml:space="preserve">г. </w:t>
      </w:r>
      <w:r w:rsidRPr="00405303">
        <w:rPr>
          <w:bCs/>
          <w:color w:val="002060"/>
          <w:sz w:val="16"/>
          <w:szCs w:val="16"/>
        </w:rPr>
        <w:t>(1 января 1916</w:t>
      </w:r>
      <w:r w:rsidR="00E1045F" w:rsidRPr="00405303">
        <w:rPr>
          <w:bCs/>
          <w:color w:val="002060"/>
          <w:sz w:val="16"/>
          <w:szCs w:val="16"/>
        </w:rPr>
        <w:t xml:space="preserve"> г.</w:t>
      </w:r>
      <w:r w:rsidRPr="00405303">
        <w:rPr>
          <w:bCs/>
          <w:color w:val="002060"/>
          <w:sz w:val="16"/>
          <w:szCs w:val="16"/>
        </w:rPr>
        <w:t xml:space="preserve">) </w:t>
      </w:r>
      <w:r w:rsidR="00E1045F" w:rsidRPr="00405303">
        <w:rPr>
          <w:bCs/>
          <w:color w:val="002060"/>
          <w:sz w:val="16"/>
          <w:szCs w:val="16"/>
        </w:rPr>
        <w:t>п</w:t>
      </w:r>
      <w:r w:rsidRPr="00405303">
        <w:rPr>
          <w:bCs/>
          <w:color w:val="002060"/>
          <w:sz w:val="16"/>
          <w:szCs w:val="16"/>
        </w:rPr>
        <w:t>ервый полет самолета «Анаде» (Анатра—Декан). В 1916— 1917 гг. построено 170 экземпляров. Широко применялся на фронтах мировой и гражданской войн (1137).</w:t>
      </w:r>
    </w:p>
    <w:p w14:paraId="359A8E0C" w14:textId="77777777" w:rsidR="004B4E35" w:rsidRPr="00405303" w:rsidRDefault="004B4E35" w:rsidP="00C15251">
      <w:pPr>
        <w:shd w:val="clear" w:color="auto" w:fill="FFFFFF"/>
        <w:jc w:val="both"/>
        <w:rPr>
          <w:bCs/>
          <w:color w:val="002060"/>
          <w:sz w:val="16"/>
          <w:szCs w:val="16"/>
        </w:rPr>
      </w:pPr>
    </w:p>
    <w:p w14:paraId="0548243A" w14:textId="2F7DC8B8"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19 декабря 1915 </w:t>
      </w:r>
      <w:r w:rsidR="00E1045F" w:rsidRPr="00405303">
        <w:rPr>
          <w:bCs/>
          <w:color w:val="002060"/>
          <w:sz w:val="16"/>
          <w:szCs w:val="16"/>
        </w:rPr>
        <w:t>г. (1 января 1916 г.) п</w:t>
      </w:r>
      <w:r w:rsidRPr="00405303">
        <w:rPr>
          <w:bCs/>
          <w:color w:val="002060"/>
          <w:sz w:val="16"/>
          <w:szCs w:val="16"/>
        </w:rPr>
        <w:t>ервый полет самолёта «Анаде» (Анатра-Декан). В 1916-1917 гг. построено 170 экземпляров. Широко применялся на фронтах мировой и гражданской войн (11425).</w:t>
      </w:r>
    </w:p>
    <w:p w14:paraId="3BA26B96" w14:textId="77777777" w:rsidR="004B4E35" w:rsidRPr="00405303" w:rsidRDefault="004B4E35" w:rsidP="00C15251">
      <w:pPr>
        <w:shd w:val="clear" w:color="auto" w:fill="FFFFFF"/>
        <w:jc w:val="both"/>
        <w:rPr>
          <w:bCs/>
          <w:color w:val="002060"/>
          <w:sz w:val="16"/>
          <w:szCs w:val="16"/>
        </w:rPr>
      </w:pPr>
    </w:p>
    <w:p w14:paraId="61061AE7" w14:textId="5DE905BB" w:rsidR="004B4E35" w:rsidRPr="00405303" w:rsidRDefault="009E6F82" w:rsidP="00C15251">
      <w:pPr>
        <w:jc w:val="both"/>
        <w:rPr>
          <w:bCs/>
          <w:color w:val="002060"/>
          <w:sz w:val="16"/>
          <w:szCs w:val="16"/>
        </w:rPr>
      </w:pPr>
      <w:r w:rsidRPr="00405303">
        <w:rPr>
          <w:bCs/>
          <w:color w:val="002060"/>
          <w:sz w:val="16"/>
          <w:szCs w:val="16"/>
        </w:rPr>
        <w:t>19 декабря 1915</w:t>
      </w:r>
      <w:r w:rsidR="00E1045F" w:rsidRPr="00405303">
        <w:rPr>
          <w:bCs/>
          <w:color w:val="002060"/>
          <w:sz w:val="16"/>
          <w:szCs w:val="16"/>
        </w:rPr>
        <w:t xml:space="preserve"> г.</w:t>
      </w:r>
      <w:r w:rsidRPr="00405303">
        <w:rPr>
          <w:bCs/>
          <w:color w:val="002060"/>
          <w:sz w:val="16"/>
          <w:szCs w:val="16"/>
        </w:rPr>
        <w:t xml:space="preserve"> (1 января 1916</w:t>
      </w:r>
      <w:r w:rsidR="00E1045F" w:rsidRPr="00405303">
        <w:rPr>
          <w:bCs/>
          <w:color w:val="002060"/>
          <w:sz w:val="16"/>
          <w:szCs w:val="16"/>
        </w:rPr>
        <w:t xml:space="preserve"> г.</w:t>
      </w:r>
      <w:r w:rsidRPr="00405303">
        <w:rPr>
          <w:bCs/>
          <w:color w:val="002060"/>
          <w:sz w:val="16"/>
          <w:szCs w:val="16"/>
        </w:rPr>
        <w:t>) в воздух поднялся самолет Анатра тип Д. Летал л Робино (Робинэ) и отметил слабую управляемость и недостаточную устойчивость. Увеличили угол стреловидности крыльев с 4 до 8 гр. И с 3.5 до 6 гр угол их установки. Всю бипланную коробку сдвинули на 200 мм вперед, а сиденья л и н - вперед на 50 мм и 100 мм. Площадь хвостового оперения увеличили почти на 50%, а элеронов - на 20% (5151, 9).</w:t>
      </w:r>
    </w:p>
    <w:p w14:paraId="4242FFB6" w14:textId="77777777" w:rsidR="004B4E35" w:rsidRPr="00405303" w:rsidRDefault="004B4E35" w:rsidP="00C15251">
      <w:pPr>
        <w:jc w:val="both"/>
        <w:rPr>
          <w:bCs/>
          <w:color w:val="002060"/>
          <w:sz w:val="16"/>
          <w:szCs w:val="16"/>
        </w:rPr>
      </w:pPr>
    </w:p>
    <w:p w14:paraId="1F58C342" w14:textId="7886E266" w:rsidR="004B4E35" w:rsidRPr="00405303" w:rsidRDefault="009E6F82" w:rsidP="00C15251">
      <w:pPr>
        <w:jc w:val="both"/>
        <w:rPr>
          <w:bCs/>
          <w:color w:val="002060"/>
          <w:sz w:val="16"/>
          <w:szCs w:val="16"/>
        </w:rPr>
      </w:pPr>
      <w:r w:rsidRPr="00405303">
        <w:rPr>
          <w:bCs/>
          <w:color w:val="002060"/>
          <w:sz w:val="16"/>
          <w:szCs w:val="16"/>
        </w:rPr>
        <w:t>19 декабря 1915-го</w:t>
      </w:r>
      <w:r w:rsidR="00E1045F" w:rsidRPr="00405303">
        <w:rPr>
          <w:bCs/>
          <w:color w:val="002060"/>
          <w:sz w:val="16"/>
          <w:szCs w:val="16"/>
        </w:rPr>
        <w:t xml:space="preserve"> г.</w:t>
      </w:r>
      <w:r w:rsidRPr="00405303">
        <w:rPr>
          <w:bCs/>
          <w:color w:val="002060"/>
          <w:sz w:val="16"/>
          <w:szCs w:val="16"/>
        </w:rPr>
        <w:t xml:space="preserve"> (1 января 1916</w:t>
      </w:r>
      <w:r w:rsidR="00E1045F" w:rsidRPr="00405303">
        <w:rPr>
          <w:bCs/>
          <w:color w:val="002060"/>
          <w:sz w:val="16"/>
          <w:szCs w:val="16"/>
        </w:rPr>
        <w:t xml:space="preserve"> го г.</w:t>
      </w:r>
      <w:r w:rsidRPr="00405303">
        <w:rPr>
          <w:bCs/>
          <w:color w:val="002060"/>
          <w:sz w:val="16"/>
          <w:szCs w:val="16"/>
        </w:rPr>
        <w:t>) в Одессе начались испытания опытного экземпляра самолета Анаде. Летчик Робино, впервые поднявший аппарат в воздух, отметил недостаточную поперечную и продольную устойчивости, а также малый запас рулей высоты. При доработке коробку крыльев сдвинули назад на 200 мм и угол их стрело-видности увеличили до 8°. Вперед передвинули кресла летчика и наблюдателя (соответственно на 50 и 150 мм.), увеличили площадь хвостового оперения и элеронов. Для парирования реактивного момента воздушного винта под правой консолью нижнего крыла в районе внешних крыльевых стоек установили груз весом 7 кг, а переднюю часть киля развернули влево на 30 мм. Доработанный "Анаде" показал вполне удовлетворительные летные данные: максимальная скорость - 136 км/ч, время подъема на высоту 2000 м -16,5 мин. (9806).</w:t>
      </w:r>
    </w:p>
    <w:p w14:paraId="2B478229" w14:textId="77777777" w:rsidR="004B4E35" w:rsidRPr="00405303" w:rsidRDefault="009E6F82" w:rsidP="00C15251">
      <w:pPr>
        <w:jc w:val="both"/>
        <w:rPr>
          <w:bCs/>
          <w:color w:val="002060"/>
          <w:sz w:val="16"/>
          <w:szCs w:val="16"/>
        </w:rPr>
      </w:pPr>
      <w:r w:rsidRPr="00405303">
        <w:rPr>
          <w:bCs/>
          <w:color w:val="002060"/>
          <w:sz w:val="16"/>
          <w:szCs w:val="16"/>
        </w:rPr>
        <w:t>После первых полетов на самолете потребовались большие доводки и ряд улучшений. Конструктор - француз Элизо Декан (ЦГВИА, ф. 2008, оп. 1, д. 508, 522, 726).</w:t>
      </w:r>
    </w:p>
    <w:p w14:paraId="715927CC" w14:textId="77777777" w:rsidR="004B4E35" w:rsidRPr="00405303" w:rsidRDefault="004B4E35" w:rsidP="00C15251">
      <w:pPr>
        <w:jc w:val="both"/>
        <w:rPr>
          <w:bCs/>
          <w:color w:val="002060"/>
          <w:sz w:val="16"/>
          <w:szCs w:val="16"/>
        </w:rPr>
      </w:pPr>
    </w:p>
    <w:p w14:paraId="0458B333" w14:textId="6D8DE902"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19 декабря 1915 </w:t>
      </w:r>
      <w:r w:rsidR="00E1045F" w:rsidRPr="00405303">
        <w:rPr>
          <w:bCs/>
          <w:color w:val="002060"/>
          <w:sz w:val="16"/>
          <w:szCs w:val="16"/>
        </w:rPr>
        <w:t xml:space="preserve">г. </w:t>
      </w:r>
      <w:r w:rsidRPr="00405303">
        <w:rPr>
          <w:bCs/>
          <w:color w:val="002060"/>
          <w:sz w:val="16"/>
          <w:szCs w:val="16"/>
        </w:rPr>
        <w:t>(1 января 1916</w:t>
      </w:r>
      <w:r w:rsidR="00E1045F" w:rsidRPr="00405303">
        <w:rPr>
          <w:bCs/>
          <w:color w:val="002060"/>
          <w:sz w:val="16"/>
          <w:szCs w:val="16"/>
        </w:rPr>
        <w:t xml:space="preserve"> г.</w:t>
      </w:r>
      <w:r w:rsidRPr="00405303">
        <w:rPr>
          <w:bCs/>
          <w:color w:val="002060"/>
          <w:sz w:val="16"/>
          <w:szCs w:val="16"/>
        </w:rPr>
        <w:t xml:space="preserve">) </w:t>
      </w:r>
      <w:r w:rsidR="00E1045F" w:rsidRPr="00405303">
        <w:rPr>
          <w:bCs/>
          <w:color w:val="002060"/>
          <w:sz w:val="16"/>
          <w:szCs w:val="16"/>
        </w:rPr>
        <w:t>с</w:t>
      </w:r>
      <w:r w:rsidRPr="00405303">
        <w:rPr>
          <w:bCs/>
          <w:color w:val="002060"/>
          <w:sz w:val="16"/>
          <w:szCs w:val="16"/>
        </w:rPr>
        <w:t>остоялся первый полет опытного самолета "Анаде" (Анатра-Декан, Анатра-Д) одесского завода Анатра -двухместного разведчика-биплана с двигателем "Гном-Моносупап" [в 100 л.с. После первых полетов в самолете потребовались боль</w:t>
      </w:r>
      <w:r w:rsidRPr="00405303">
        <w:rPr>
          <w:bCs/>
          <w:color w:val="002060"/>
          <w:sz w:val="16"/>
          <w:szCs w:val="16"/>
        </w:rPr>
        <w:softHyphen/>
        <w:t xml:space="preserve">шие доводки и ряд улучшений, после чего он был пущен в серийное производство. 16 мая 1916 года был сдан первый серийный экзем-шляр и за 1916-1917 гг. было выпущено 170 экз. </w:t>
      </w:r>
      <w:r w:rsidRPr="00405303">
        <w:rPr>
          <w:bCs/>
          <w:color w:val="002060"/>
          <w:sz w:val="16"/>
          <w:szCs w:val="16"/>
          <w:vertAlign w:val="superscript"/>
        </w:rPr>
        <w:t>::</w:t>
      </w:r>
      <w:r w:rsidRPr="00405303">
        <w:rPr>
          <w:bCs/>
          <w:color w:val="002060"/>
          <w:sz w:val="16"/>
          <w:szCs w:val="16"/>
        </w:rPr>
        <w:t>Анаде</w:t>
      </w:r>
      <w:r w:rsidRPr="00405303">
        <w:rPr>
          <w:bCs/>
          <w:color w:val="002060"/>
          <w:sz w:val="16"/>
          <w:szCs w:val="16"/>
          <w:vertAlign w:val="superscript"/>
        </w:rPr>
        <w:t>п</w:t>
      </w:r>
      <w:r w:rsidRPr="00405303">
        <w:rPr>
          <w:bCs/>
          <w:color w:val="002060"/>
          <w:sz w:val="16"/>
          <w:szCs w:val="16"/>
        </w:rPr>
        <w:t xml:space="preserve">. Самолет широко применялся на фронтах, а оставшиеся экземпляры </w:t>
      </w:r>
      <w:proofErr w:type="gramStart"/>
      <w:r w:rsidRPr="00405303">
        <w:rPr>
          <w:bCs/>
          <w:color w:val="002060"/>
          <w:sz w:val="16"/>
          <w:szCs w:val="16"/>
        </w:rPr>
        <w:t>прошли !и</w:t>
      </w:r>
      <w:proofErr w:type="gramEnd"/>
      <w:r w:rsidRPr="00405303">
        <w:rPr>
          <w:bCs/>
          <w:color w:val="002060"/>
          <w:sz w:val="16"/>
          <w:szCs w:val="16"/>
        </w:rPr>
        <w:t xml:space="preserve"> гражданскую войну. Награзка самолета составляла 350 кг., скорость - 130 км/час, время набора высоты 1000 м - 7 минут, </w:t>
      </w:r>
      <w:r w:rsidRPr="00405303">
        <w:rPr>
          <w:bCs/>
          <w:color w:val="002060"/>
          <w:sz w:val="16"/>
          <w:szCs w:val="16"/>
          <w:vertAlign w:val="superscript"/>
        </w:rPr>
        <w:t>:</w:t>
      </w:r>
      <w:r w:rsidRPr="00405303">
        <w:rPr>
          <w:bCs/>
          <w:color w:val="002060"/>
          <w:sz w:val="16"/>
          <w:szCs w:val="16"/>
        </w:rPr>
        <w:t>потолок - 4000 м.; на нем можно было делать петли..Конструктором самолета был французский инженер Элизо Декан, работавший у Анатра (ЦГВИА. ф.2008, оп.1, Д.508, 522 и 726).</w:t>
      </w:r>
    </w:p>
    <w:p w14:paraId="59DF6931" w14:textId="77777777" w:rsidR="004B4E35" w:rsidRPr="00405303" w:rsidRDefault="004B4E35" w:rsidP="00C15251">
      <w:pPr>
        <w:shd w:val="clear" w:color="auto" w:fill="FFFFFF"/>
        <w:jc w:val="both"/>
        <w:rPr>
          <w:bCs/>
          <w:color w:val="002060"/>
          <w:sz w:val="16"/>
          <w:szCs w:val="16"/>
        </w:rPr>
      </w:pPr>
    </w:p>
    <w:p w14:paraId="4EF89C1D" w14:textId="6171F3FB" w:rsidR="001F23EA" w:rsidRPr="00405303" w:rsidRDefault="001F23EA" w:rsidP="00C15251">
      <w:pPr>
        <w:jc w:val="both"/>
        <w:rPr>
          <w:bCs/>
          <w:color w:val="002060"/>
          <w:sz w:val="16"/>
          <w:szCs w:val="16"/>
        </w:rPr>
      </w:pPr>
      <w:r w:rsidRPr="00405303">
        <w:rPr>
          <w:bCs/>
          <w:color w:val="002060"/>
          <w:sz w:val="16"/>
          <w:szCs w:val="16"/>
        </w:rPr>
        <w:t>19 декабря 1915 г. (1 января 1916 г.) в Одессе начались испытания опытного экземпляра самолета Анадэ. Летчик Робино, впервые подняв</w:t>
      </w:r>
      <w:r w:rsidRPr="00405303">
        <w:rPr>
          <w:bCs/>
          <w:color w:val="002060"/>
          <w:sz w:val="16"/>
          <w:szCs w:val="16"/>
        </w:rPr>
        <w:softHyphen/>
        <w:t>ший аппарат в воздух, отметил недостаточ</w:t>
      </w:r>
      <w:r w:rsidRPr="00405303">
        <w:rPr>
          <w:bCs/>
          <w:color w:val="002060"/>
          <w:sz w:val="16"/>
          <w:szCs w:val="16"/>
        </w:rPr>
        <w:softHyphen/>
        <w:t>ную поперечную и продольную устойчи</w:t>
      </w:r>
      <w:r w:rsidRPr="00405303">
        <w:rPr>
          <w:bCs/>
          <w:color w:val="002060"/>
          <w:sz w:val="16"/>
          <w:szCs w:val="16"/>
        </w:rPr>
        <w:softHyphen/>
        <w:t>вость и малый запас рулей горизонтально</w:t>
      </w:r>
      <w:r w:rsidRPr="00405303">
        <w:rPr>
          <w:bCs/>
          <w:color w:val="002060"/>
          <w:sz w:val="16"/>
          <w:szCs w:val="16"/>
        </w:rPr>
        <w:softHyphen/>
        <w:t>го оперения. В процессе доработки коробку крыльев сдвинули назад на 200 мм, одновременно изменили регулировку крыльев, угол их стреловидности увеличи</w:t>
      </w:r>
      <w:r w:rsidRPr="00405303">
        <w:rPr>
          <w:bCs/>
          <w:color w:val="002060"/>
          <w:sz w:val="16"/>
          <w:szCs w:val="16"/>
        </w:rPr>
        <w:softHyphen/>
        <w:t>ли до 8°. Вперед передвинули кресла лет</w:t>
      </w:r>
      <w:r w:rsidRPr="00405303">
        <w:rPr>
          <w:bCs/>
          <w:color w:val="002060"/>
          <w:sz w:val="16"/>
          <w:szCs w:val="16"/>
        </w:rPr>
        <w:softHyphen/>
        <w:t>чика и наблюдателя (соответственно на 50 и 150 мм.), увеличили площадь хвостового оперения и элеронов. Для парирования ре</w:t>
      </w:r>
      <w:r w:rsidRPr="00405303">
        <w:rPr>
          <w:bCs/>
          <w:color w:val="002060"/>
          <w:sz w:val="16"/>
          <w:szCs w:val="16"/>
        </w:rPr>
        <w:softHyphen/>
        <w:t>активного момента воздушного винта под правым нижним крылом в районе внешних крыльевых стоек установили груз весом 7 кг, а переднюю часть киля вертикального оперения развернули влево на 30 мм.</w:t>
      </w:r>
    </w:p>
    <w:p w14:paraId="3289D60F" w14:textId="77777777" w:rsidR="001F23EA" w:rsidRPr="00405303" w:rsidRDefault="001F23EA" w:rsidP="00C15251">
      <w:pPr>
        <w:jc w:val="both"/>
        <w:rPr>
          <w:bCs/>
          <w:color w:val="002060"/>
          <w:sz w:val="16"/>
          <w:szCs w:val="16"/>
        </w:rPr>
      </w:pPr>
      <w:r w:rsidRPr="00405303">
        <w:rPr>
          <w:bCs/>
          <w:color w:val="002060"/>
          <w:sz w:val="16"/>
          <w:szCs w:val="16"/>
        </w:rPr>
        <w:t>Доработанный «Анаде» показал вполне удовлетворительные летные данные: мак</w:t>
      </w:r>
      <w:r w:rsidRPr="00405303">
        <w:rPr>
          <w:bCs/>
          <w:color w:val="002060"/>
          <w:sz w:val="16"/>
          <w:szCs w:val="16"/>
        </w:rPr>
        <w:softHyphen/>
        <w:t>симальная скорость составила 136 км/ч, время подъема на высоту 2000 м состави</w:t>
      </w:r>
      <w:r w:rsidRPr="00405303">
        <w:rPr>
          <w:bCs/>
          <w:color w:val="002060"/>
          <w:sz w:val="16"/>
          <w:szCs w:val="16"/>
        </w:rPr>
        <w:softHyphen/>
        <w:t>ло 16,5 мин. После прохождения офици</w:t>
      </w:r>
      <w:r w:rsidRPr="00405303">
        <w:rPr>
          <w:bCs/>
          <w:color w:val="002060"/>
          <w:sz w:val="16"/>
          <w:szCs w:val="16"/>
        </w:rPr>
        <w:softHyphen/>
        <w:t>альных испытаний 26 апреля 1916 г. Глав</w:t>
      </w:r>
      <w:r w:rsidRPr="00405303">
        <w:rPr>
          <w:bCs/>
          <w:color w:val="002060"/>
          <w:sz w:val="16"/>
          <w:szCs w:val="16"/>
        </w:rPr>
        <w:softHyphen/>
        <w:t>ное Военно-техническое управление при</w:t>
      </w:r>
      <w:r w:rsidRPr="00405303">
        <w:rPr>
          <w:bCs/>
          <w:color w:val="002060"/>
          <w:sz w:val="16"/>
          <w:szCs w:val="16"/>
        </w:rPr>
        <w:softHyphen/>
        <w:t>няло самолет на снабжение Воздушного флота Российской империи под обозначе</w:t>
      </w:r>
      <w:r w:rsidRPr="00405303">
        <w:rPr>
          <w:bCs/>
          <w:color w:val="002060"/>
          <w:sz w:val="16"/>
          <w:szCs w:val="16"/>
        </w:rPr>
        <w:softHyphen/>
        <w:t>нием «Анатра» тип «Д». Официальный заказ первоначально составил 80 экземпляров.</w:t>
      </w:r>
    </w:p>
    <w:p w14:paraId="6CE5C8E6" w14:textId="77777777" w:rsidR="001F23EA" w:rsidRPr="00405303" w:rsidRDefault="001F23EA" w:rsidP="00C15251">
      <w:pPr>
        <w:jc w:val="both"/>
        <w:rPr>
          <w:bCs/>
          <w:color w:val="002060"/>
          <w:sz w:val="16"/>
          <w:szCs w:val="16"/>
        </w:rPr>
      </w:pPr>
      <w:r w:rsidRPr="00405303">
        <w:rPr>
          <w:bCs/>
          <w:color w:val="002060"/>
          <w:sz w:val="16"/>
          <w:szCs w:val="16"/>
        </w:rPr>
        <w:t>Получение заказа ожидалось заранее, поэтому уже 19 мая 1916 г. первый серий</w:t>
      </w:r>
      <w:r w:rsidRPr="00405303">
        <w:rPr>
          <w:bCs/>
          <w:color w:val="002060"/>
          <w:sz w:val="16"/>
          <w:szCs w:val="16"/>
        </w:rPr>
        <w:softHyphen/>
        <w:t>ный «Анаде» сдали военной приемке. Начи</w:t>
      </w:r>
      <w:r w:rsidRPr="00405303">
        <w:rPr>
          <w:bCs/>
          <w:color w:val="002060"/>
          <w:sz w:val="16"/>
          <w:szCs w:val="16"/>
        </w:rPr>
        <w:softHyphen/>
        <w:t>ная с июня самолеты стали поступать на снабжение авиаотрядов и приняли участие в боевых действиях (23374).</w:t>
      </w:r>
    </w:p>
    <w:p w14:paraId="46591C63" w14:textId="77777777" w:rsidR="001F23EA" w:rsidRPr="00405303" w:rsidRDefault="001F23EA" w:rsidP="00C15251">
      <w:pPr>
        <w:jc w:val="both"/>
        <w:rPr>
          <w:bCs/>
          <w:color w:val="002060"/>
          <w:sz w:val="16"/>
          <w:szCs w:val="16"/>
        </w:rPr>
      </w:pPr>
    </w:p>
    <w:p w14:paraId="63A2CD1E" w14:textId="498011F6" w:rsidR="001F23EA" w:rsidRPr="00405303" w:rsidRDefault="001F23EA" w:rsidP="00C15251">
      <w:pPr>
        <w:jc w:val="both"/>
        <w:rPr>
          <w:bCs/>
          <w:color w:val="002060"/>
          <w:sz w:val="16"/>
          <w:szCs w:val="16"/>
        </w:rPr>
      </w:pPr>
      <w:r w:rsidRPr="00405303">
        <w:rPr>
          <w:bCs/>
          <w:color w:val="002060"/>
          <w:sz w:val="16"/>
          <w:szCs w:val="16"/>
        </w:rPr>
        <w:lastRenderedPageBreak/>
        <w:t>19 декабря 1915 г. (1 января 1916 г.) состоялся первый полет «Анатра-Д». Скорость у «Лебедь-12» и «Анатра-Д» была одинаковой — около 130 км/ч, а по скороподъемности одесский самолет превосходил «Лебедя». Стоимость самолета завода Анатры равнялась 12 тыс. руб. (23472).</w:t>
      </w:r>
    </w:p>
    <w:p w14:paraId="77A3D8DA" w14:textId="77777777" w:rsidR="001F23EA" w:rsidRPr="00405303" w:rsidRDefault="001F23EA" w:rsidP="00C15251">
      <w:pPr>
        <w:jc w:val="both"/>
        <w:rPr>
          <w:bCs/>
          <w:color w:val="002060"/>
          <w:sz w:val="16"/>
          <w:szCs w:val="16"/>
        </w:rPr>
      </w:pPr>
    </w:p>
    <w:p w14:paraId="32EC9E47" w14:textId="4F2C32EA" w:rsidR="006A33D4" w:rsidRPr="00405303" w:rsidRDefault="006A33D4" w:rsidP="00C15251">
      <w:pPr>
        <w:jc w:val="both"/>
        <w:rPr>
          <w:color w:val="002060"/>
          <w:sz w:val="16"/>
          <w:szCs w:val="16"/>
          <w:lang w:bidi="en-US"/>
        </w:rPr>
      </w:pPr>
      <w:r w:rsidRPr="00405303">
        <w:rPr>
          <w:color w:val="002060"/>
          <w:sz w:val="16"/>
          <w:szCs w:val="16"/>
          <w:lang w:bidi="en-US"/>
        </w:rPr>
        <w:t xml:space="preserve">19 декабря 1915 г. (1 января 1916 г.) в Одессе состоялся первый полет прототипа биплана </w:t>
      </w:r>
      <w:r w:rsidRPr="00405303">
        <w:rPr>
          <w:color w:val="002060"/>
          <w:sz w:val="16"/>
          <w:szCs w:val="16"/>
          <w:lang w:val="en-US" w:bidi="en-US"/>
        </w:rPr>
        <w:t>Anatra</w:t>
      </w:r>
      <w:r w:rsidRPr="00405303">
        <w:rPr>
          <w:color w:val="002060"/>
          <w:sz w:val="16"/>
          <w:szCs w:val="16"/>
          <w:lang w:bidi="en-US"/>
        </w:rPr>
        <w:t xml:space="preserve"> </w:t>
      </w:r>
      <w:r w:rsidRPr="00405303">
        <w:rPr>
          <w:color w:val="002060"/>
          <w:sz w:val="16"/>
          <w:szCs w:val="16"/>
          <w:lang w:val="en-US" w:bidi="en-US"/>
        </w:rPr>
        <w:t>D</w:t>
      </w:r>
      <w:r w:rsidRPr="00405303">
        <w:rPr>
          <w:color w:val="002060"/>
          <w:sz w:val="16"/>
          <w:szCs w:val="16"/>
          <w:lang w:bidi="en-US"/>
        </w:rPr>
        <w:t>. 26 апреля поступил производственный заказ на восемьдесят самолетов. В летние месяцы он начал нести службу в различных частях фронта (23525).</w:t>
      </w:r>
    </w:p>
    <w:p w14:paraId="3A80D83E" w14:textId="77777777" w:rsidR="006A33D4" w:rsidRPr="00405303" w:rsidRDefault="006A33D4" w:rsidP="00C15251">
      <w:pPr>
        <w:jc w:val="both"/>
        <w:rPr>
          <w:color w:val="002060"/>
          <w:sz w:val="16"/>
          <w:szCs w:val="16"/>
        </w:rPr>
      </w:pPr>
    </w:p>
    <w:p w14:paraId="37BD05D3" w14:textId="77777777" w:rsidR="005529D6" w:rsidRPr="00CF03EC" w:rsidRDefault="005529D6" w:rsidP="005529D6">
      <w:pPr>
        <w:jc w:val="both"/>
        <w:rPr>
          <w:color w:val="0070C0"/>
          <w:sz w:val="16"/>
          <w:szCs w:val="16"/>
        </w:rPr>
      </w:pPr>
      <w:r w:rsidRPr="00CF03EC">
        <w:rPr>
          <w:color w:val="0070C0"/>
          <w:sz w:val="16"/>
          <w:szCs w:val="16"/>
        </w:rPr>
        <w:t>19 декабря 1915-го (1 января 1916) в Одессе начались испытания опытного экземпляра самолета «Анатра» тип «Д», но также известна и под именами «Анаде» или «Анатра-Декан».</w:t>
      </w:r>
    </w:p>
    <w:p w14:paraId="6995315D" w14:textId="77777777" w:rsidR="005529D6" w:rsidRPr="00CF03EC" w:rsidRDefault="005529D6" w:rsidP="005529D6">
      <w:pPr>
        <w:jc w:val="both"/>
        <w:rPr>
          <w:color w:val="0070C0"/>
          <w:sz w:val="16"/>
          <w:szCs w:val="16"/>
        </w:rPr>
      </w:pPr>
      <w:r w:rsidRPr="00CF03EC">
        <w:rPr>
          <w:color w:val="0070C0"/>
          <w:sz w:val="16"/>
          <w:szCs w:val="16"/>
        </w:rPr>
        <w:t>По некоторым данным в качестве задела был использован проект двухместной машины, купленный Анатра у немецкой фирмы «Авиатик» незадолго до начала войны</w:t>
      </w:r>
    </w:p>
    <w:p w14:paraId="1B93A217" w14:textId="77777777" w:rsidR="005529D6" w:rsidRPr="00CF03EC" w:rsidRDefault="005529D6" w:rsidP="005529D6">
      <w:pPr>
        <w:jc w:val="both"/>
        <w:rPr>
          <w:color w:val="0070C0"/>
          <w:sz w:val="16"/>
          <w:szCs w:val="16"/>
        </w:rPr>
      </w:pPr>
      <w:r w:rsidRPr="00CF03EC">
        <w:rPr>
          <w:color w:val="0070C0"/>
          <w:sz w:val="16"/>
          <w:szCs w:val="16"/>
        </w:rPr>
        <w:t>Летчик Робино, впервые поднявший аппарат в воздух, отметил недостаточную поперечную и продольную устойчивости, а также малый запас рулей высоты. При доработке коробку крыльев сдвинули назад на 200 мм и угол их стреловидности увеличили до 8°. Вперед передвинули кресла летчика и наблюдателя (соответственно на 50 и 150 мм.), увеличили площадь хвостового оперения и элеронов. Для парирования реактивного момента воздушного винта под правой консолью нижнего крыла в районе внешних крыльевых стоек установили груз весом 7 кг, а переднюю часть киля развернули влево на 30 мм. Доработанный «Анаде» показал вполне удовлетворительные летные данные: максимальная скорость — 136 км/ч, время подъема на высоту 2000 м -16,5 мин. (25776).</w:t>
      </w:r>
    </w:p>
    <w:p w14:paraId="09BE1603" w14:textId="77777777" w:rsidR="005529D6" w:rsidRPr="00CF03EC" w:rsidRDefault="005529D6" w:rsidP="005529D6">
      <w:pPr>
        <w:jc w:val="both"/>
        <w:rPr>
          <w:color w:val="0070C0"/>
          <w:sz w:val="16"/>
          <w:szCs w:val="16"/>
        </w:rPr>
      </w:pPr>
    </w:p>
    <w:p w14:paraId="4E3FF627" w14:textId="6DAA2328" w:rsidR="006A33D4" w:rsidRPr="00405303" w:rsidRDefault="006A33D4" w:rsidP="00C15251">
      <w:pPr>
        <w:jc w:val="both"/>
        <w:rPr>
          <w:color w:val="002060"/>
          <w:sz w:val="16"/>
          <w:szCs w:val="16"/>
          <w:lang w:bidi="en-US"/>
        </w:rPr>
      </w:pPr>
      <w:r w:rsidRPr="00405303">
        <w:rPr>
          <w:color w:val="002060"/>
          <w:sz w:val="16"/>
          <w:szCs w:val="16"/>
          <w:lang w:bidi="en-US"/>
        </w:rPr>
        <w:t>По состоянию на 19 декабря 1915 г. (1 января 1916 г.) Франция приняла от России заказы на 586 самолетов и 1730 авиамоторов. Уже получено 366 самолетов, но неясно, сколько двигателей поставлено. Также неизвестно, сколько из оставшихся 280 самолетов было получено Россией и когда (23525).</w:t>
      </w:r>
    </w:p>
    <w:p w14:paraId="06D318ED" w14:textId="77777777" w:rsidR="006A33D4" w:rsidRPr="00405303" w:rsidRDefault="006A33D4" w:rsidP="00C15251">
      <w:pPr>
        <w:jc w:val="both"/>
        <w:rPr>
          <w:color w:val="002060"/>
          <w:sz w:val="16"/>
          <w:szCs w:val="16"/>
        </w:rPr>
      </w:pPr>
    </w:p>
    <w:p w14:paraId="6AD36972" w14:textId="77777777" w:rsidR="00B82A2D" w:rsidRPr="00405303" w:rsidRDefault="00B82A2D" w:rsidP="00C15251">
      <w:pPr>
        <w:jc w:val="both"/>
        <w:rPr>
          <w:bCs/>
          <w:iCs/>
          <w:color w:val="002060"/>
          <w:sz w:val="16"/>
          <w:szCs w:val="16"/>
        </w:rPr>
      </w:pPr>
      <w:r w:rsidRPr="00405303">
        <w:rPr>
          <w:bCs/>
          <w:i/>
          <w:iCs/>
          <w:color w:val="002060"/>
          <w:sz w:val="16"/>
          <w:szCs w:val="16"/>
        </w:rPr>
        <w:t>Жизнь и внутренняя политика:</w:t>
      </w:r>
    </w:p>
    <w:p w14:paraId="4B8122CA" w14:textId="77777777" w:rsidR="00B82A2D" w:rsidRPr="00405303" w:rsidRDefault="00B82A2D" w:rsidP="00C15251">
      <w:pPr>
        <w:jc w:val="both"/>
        <w:rPr>
          <w:bCs/>
          <w:color w:val="002060"/>
          <w:sz w:val="16"/>
          <w:szCs w:val="16"/>
        </w:rPr>
      </w:pPr>
    </w:p>
    <w:p w14:paraId="34207A46" w14:textId="77777777" w:rsidR="00B82A2D" w:rsidRPr="00405303" w:rsidRDefault="00B82A2D" w:rsidP="00C15251">
      <w:pPr>
        <w:jc w:val="both"/>
        <w:rPr>
          <w:bCs/>
          <w:color w:val="002060"/>
          <w:sz w:val="16"/>
          <w:szCs w:val="16"/>
        </w:rPr>
      </w:pPr>
      <w:r w:rsidRPr="00405303">
        <w:rPr>
          <w:bCs/>
          <w:color w:val="002060"/>
          <w:sz w:val="16"/>
          <w:szCs w:val="16"/>
        </w:rPr>
        <w:t>19 декабря 1915 г. (1 января 1916) Родзянко обратился к главе правительства с письмом, в котором говорилось о том, что катастрофа, о неизбежности которой предупреждала Дума, уже наступила, и что палата не возьмет на себя ответственность за поражение в войне, в связи с чем рекомендовал Горемыкину «уступить место более молодым силам» (17036).</w:t>
      </w:r>
    </w:p>
    <w:p w14:paraId="5CFF8F91" w14:textId="77777777" w:rsidR="00B82A2D" w:rsidRPr="00405303" w:rsidRDefault="00B82A2D" w:rsidP="00C15251">
      <w:pPr>
        <w:jc w:val="both"/>
        <w:rPr>
          <w:bCs/>
          <w:color w:val="002060"/>
          <w:sz w:val="16"/>
          <w:szCs w:val="16"/>
        </w:rPr>
      </w:pPr>
    </w:p>
    <w:p w14:paraId="53339A19" w14:textId="77777777" w:rsidR="00B82A2D" w:rsidRPr="00405303" w:rsidRDefault="00B82A2D" w:rsidP="00C15251">
      <w:pPr>
        <w:jc w:val="both"/>
        <w:rPr>
          <w:bCs/>
          <w:i/>
          <w:color w:val="002060"/>
          <w:sz w:val="16"/>
          <w:szCs w:val="16"/>
        </w:rPr>
      </w:pPr>
      <w:r w:rsidRPr="00405303">
        <w:rPr>
          <w:bCs/>
          <w:i/>
          <w:color w:val="002060"/>
          <w:sz w:val="16"/>
          <w:szCs w:val="16"/>
        </w:rPr>
        <w:t>Авиация и воздухоплавание Германии:</w:t>
      </w:r>
    </w:p>
    <w:p w14:paraId="7DAB848C" w14:textId="77777777" w:rsidR="00B82A2D" w:rsidRPr="00405303" w:rsidRDefault="00B82A2D" w:rsidP="00C15251">
      <w:pPr>
        <w:jc w:val="both"/>
        <w:rPr>
          <w:bCs/>
          <w:i/>
          <w:color w:val="002060"/>
          <w:sz w:val="16"/>
          <w:szCs w:val="16"/>
        </w:rPr>
      </w:pPr>
    </w:p>
    <w:p w14:paraId="3808FC66" w14:textId="7E3F4345" w:rsidR="00B82A2D" w:rsidRPr="00405303" w:rsidRDefault="00B82A2D" w:rsidP="00C15251">
      <w:pPr>
        <w:jc w:val="both"/>
        <w:rPr>
          <w:bCs/>
          <w:color w:val="002060"/>
          <w:sz w:val="16"/>
          <w:szCs w:val="16"/>
        </w:rPr>
      </w:pPr>
      <w:r w:rsidRPr="00405303">
        <w:rPr>
          <w:bCs/>
          <w:color w:val="002060"/>
          <w:sz w:val="16"/>
          <w:szCs w:val="16"/>
        </w:rPr>
        <w:t>19 декабря 1915</w:t>
      </w:r>
      <w:r w:rsidR="00E1045F" w:rsidRPr="00405303">
        <w:rPr>
          <w:bCs/>
          <w:color w:val="002060"/>
          <w:sz w:val="16"/>
          <w:szCs w:val="16"/>
        </w:rPr>
        <w:t xml:space="preserve"> г.</w:t>
      </w:r>
      <w:r w:rsidRPr="00405303">
        <w:rPr>
          <w:bCs/>
          <w:color w:val="002060"/>
          <w:sz w:val="16"/>
          <w:szCs w:val="16"/>
        </w:rPr>
        <w:t xml:space="preserve"> (1 января 1916</w:t>
      </w:r>
      <w:r w:rsidR="00E1045F" w:rsidRPr="00405303">
        <w:rPr>
          <w:bCs/>
          <w:color w:val="002060"/>
          <w:sz w:val="16"/>
          <w:szCs w:val="16"/>
        </w:rPr>
        <w:t xml:space="preserve"> г.</w:t>
      </w:r>
      <w:r w:rsidRPr="00405303">
        <w:rPr>
          <w:bCs/>
          <w:color w:val="002060"/>
          <w:sz w:val="16"/>
          <w:szCs w:val="16"/>
        </w:rPr>
        <w:t xml:space="preserve">) </w:t>
      </w:r>
      <w:r w:rsidR="00E1045F" w:rsidRPr="00405303">
        <w:rPr>
          <w:bCs/>
          <w:color w:val="002060"/>
          <w:sz w:val="16"/>
          <w:szCs w:val="16"/>
        </w:rPr>
        <w:t>г</w:t>
      </w:r>
      <w:r w:rsidRPr="00405303">
        <w:rPr>
          <w:bCs/>
          <w:color w:val="002060"/>
          <w:sz w:val="16"/>
          <w:szCs w:val="16"/>
        </w:rPr>
        <w:t>ерманское командование все более серьезное значение начинает придавать бомбардировочной авиации; отряд "Остендского отделения голубиной почты" переименован в 1-й бомбардировочный дивизион (KG- Kampfgeschwader), а отряд "Отделение голубиной почты Мец" - во 2-й KG. В течение нескольких следующих месяцев будут сформированы 3-й, 4-й, 5-й и 6-й KG (11999).</w:t>
      </w:r>
    </w:p>
    <w:p w14:paraId="4BC7B38A" w14:textId="77777777" w:rsidR="00B82A2D" w:rsidRPr="00405303" w:rsidRDefault="00B82A2D" w:rsidP="00C15251">
      <w:pPr>
        <w:jc w:val="both"/>
        <w:rPr>
          <w:bCs/>
          <w:color w:val="002060"/>
          <w:sz w:val="16"/>
          <w:szCs w:val="16"/>
        </w:rPr>
      </w:pPr>
    </w:p>
    <w:p w14:paraId="431C8C3E" w14:textId="7FB28BDE" w:rsidR="00C216A7" w:rsidRPr="00405303" w:rsidRDefault="00C216A7" w:rsidP="00C15251">
      <w:pPr>
        <w:jc w:val="both"/>
        <w:rPr>
          <w:bCs/>
          <w:color w:val="002060"/>
          <w:sz w:val="16"/>
          <w:szCs w:val="16"/>
        </w:rPr>
      </w:pPr>
      <w:r w:rsidRPr="00405303">
        <w:rPr>
          <w:bCs/>
          <w:color w:val="002060"/>
          <w:sz w:val="16"/>
          <w:szCs w:val="16"/>
        </w:rPr>
        <w:t xml:space="preserve">С 19 декабря 1915 </w:t>
      </w:r>
      <w:r w:rsidR="00E1045F" w:rsidRPr="00405303">
        <w:rPr>
          <w:bCs/>
          <w:color w:val="002060"/>
          <w:sz w:val="16"/>
          <w:szCs w:val="16"/>
        </w:rPr>
        <w:t xml:space="preserve">г. </w:t>
      </w:r>
      <w:r w:rsidRPr="00405303">
        <w:rPr>
          <w:bCs/>
          <w:color w:val="002060"/>
          <w:sz w:val="16"/>
          <w:szCs w:val="16"/>
        </w:rPr>
        <w:t>(1 января 1916</w:t>
      </w:r>
      <w:r w:rsidR="00E1045F" w:rsidRPr="00405303">
        <w:rPr>
          <w:bCs/>
          <w:color w:val="002060"/>
          <w:sz w:val="16"/>
          <w:szCs w:val="16"/>
        </w:rPr>
        <w:t xml:space="preserve"> г.</w:t>
      </w:r>
      <w:r w:rsidRPr="00405303">
        <w:rPr>
          <w:bCs/>
          <w:color w:val="002060"/>
          <w:sz w:val="16"/>
          <w:szCs w:val="16"/>
        </w:rPr>
        <w:t xml:space="preserve">) 46 немецких дирижаблей пересекли линию побережья Англии между Йоркшир и Кент. Немецкие дирижабли атаковали Лондон дважды. Британские самолеты, защищающие Англию, внесли свой вклад (совместно с зенитными </w:t>
      </w:r>
      <w:proofErr w:type="gramStart"/>
      <w:r w:rsidRPr="00405303">
        <w:rPr>
          <w:bCs/>
          <w:color w:val="002060"/>
          <w:sz w:val="16"/>
          <w:szCs w:val="16"/>
        </w:rPr>
        <w:t>орудиями )</w:t>
      </w:r>
      <w:proofErr w:type="gramEnd"/>
      <w:r w:rsidRPr="00405303">
        <w:rPr>
          <w:bCs/>
          <w:color w:val="002060"/>
          <w:sz w:val="16"/>
          <w:szCs w:val="16"/>
        </w:rPr>
        <w:t xml:space="preserve"> в сбитие только одного немецкого дирижабля (20340).</w:t>
      </w:r>
    </w:p>
    <w:p w14:paraId="393D06E2" w14:textId="77777777" w:rsidR="00C216A7" w:rsidRPr="00405303" w:rsidRDefault="00C216A7" w:rsidP="00C15251">
      <w:pPr>
        <w:jc w:val="both"/>
        <w:rPr>
          <w:bCs/>
          <w:color w:val="002060"/>
          <w:sz w:val="16"/>
          <w:szCs w:val="16"/>
        </w:rPr>
      </w:pPr>
    </w:p>
    <w:p w14:paraId="473F90D8" w14:textId="77777777" w:rsidR="00B82A2D" w:rsidRPr="00405303" w:rsidRDefault="00B82A2D" w:rsidP="00C15251">
      <w:pPr>
        <w:jc w:val="both"/>
        <w:rPr>
          <w:bCs/>
          <w:iCs/>
          <w:color w:val="002060"/>
          <w:sz w:val="16"/>
          <w:szCs w:val="16"/>
        </w:rPr>
      </w:pPr>
      <w:r w:rsidRPr="00405303">
        <w:rPr>
          <w:bCs/>
          <w:i/>
          <w:iCs/>
          <w:color w:val="002060"/>
          <w:sz w:val="16"/>
          <w:szCs w:val="16"/>
        </w:rPr>
        <w:t>За рубежом:</w:t>
      </w:r>
    </w:p>
    <w:p w14:paraId="6CA494E5" w14:textId="77777777" w:rsidR="00B82A2D" w:rsidRPr="00405303" w:rsidRDefault="00B82A2D" w:rsidP="00C15251">
      <w:pPr>
        <w:jc w:val="both"/>
        <w:rPr>
          <w:bCs/>
          <w:iCs/>
          <w:color w:val="002060"/>
          <w:sz w:val="16"/>
          <w:szCs w:val="16"/>
        </w:rPr>
      </w:pPr>
    </w:p>
    <w:p w14:paraId="00F0FAA6" w14:textId="171BD752" w:rsidR="00B82A2D" w:rsidRPr="00405303" w:rsidRDefault="00B82A2D" w:rsidP="00C15251">
      <w:pPr>
        <w:jc w:val="both"/>
        <w:rPr>
          <w:bCs/>
          <w:color w:val="002060"/>
          <w:sz w:val="16"/>
          <w:szCs w:val="16"/>
        </w:rPr>
      </w:pPr>
      <w:r w:rsidRPr="00405303">
        <w:rPr>
          <w:bCs/>
          <w:color w:val="002060"/>
          <w:sz w:val="16"/>
          <w:szCs w:val="16"/>
        </w:rPr>
        <w:t xml:space="preserve">19 декабря 1915 </w:t>
      </w:r>
      <w:r w:rsidR="00E1045F" w:rsidRPr="00405303">
        <w:rPr>
          <w:bCs/>
          <w:color w:val="002060"/>
          <w:sz w:val="16"/>
          <w:szCs w:val="16"/>
        </w:rPr>
        <w:t xml:space="preserve">г. </w:t>
      </w:r>
      <w:r w:rsidRPr="00405303">
        <w:rPr>
          <w:bCs/>
          <w:color w:val="002060"/>
          <w:sz w:val="16"/>
          <w:szCs w:val="16"/>
        </w:rPr>
        <w:t>(1 января 1916</w:t>
      </w:r>
      <w:r w:rsidR="00E1045F" w:rsidRPr="00405303">
        <w:rPr>
          <w:bCs/>
          <w:color w:val="002060"/>
          <w:sz w:val="16"/>
          <w:szCs w:val="16"/>
        </w:rPr>
        <w:t xml:space="preserve"> г.</w:t>
      </w:r>
      <w:r w:rsidRPr="00405303">
        <w:rPr>
          <w:bCs/>
          <w:color w:val="002060"/>
          <w:sz w:val="16"/>
          <w:szCs w:val="16"/>
        </w:rPr>
        <w:t>) состоялась первая Всегерманская конференция Союза Спартака (2443,286).</w:t>
      </w:r>
    </w:p>
    <w:p w14:paraId="37CC63AF" w14:textId="77777777" w:rsidR="00B82A2D" w:rsidRPr="00405303" w:rsidRDefault="00B82A2D" w:rsidP="00C15251">
      <w:pPr>
        <w:jc w:val="both"/>
        <w:rPr>
          <w:bCs/>
          <w:color w:val="002060"/>
          <w:sz w:val="16"/>
          <w:szCs w:val="16"/>
        </w:rPr>
      </w:pPr>
    </w:p>
    <w:p w14:paraId="3718FEF4" w14:textId="2F77C3BB" w:rsidR="00B82A2D" w:rsidRPr="00405303" w:rsidRDefault="00B82A2D" w:rsidP="00C15251">
      <w:pPr>
        <w:jc w:val="both"/>
        <w:rPr>
          <w:bCs/>
          <w:color w:val="002060"/>
          <w:sz w:val="16"/>
          <w:szCs w:val="16"/>
        </w:rPr>
      </w:pPr>
      <w:r w:rsidRPr="00405303">
        <w:rPr>
          <w:bCs/>
          <w:color w:val="002060"/>
          <w:sz w:val="16"/>
          <w:szCs w:val="16"/>
        </w:rPr>
        <w:t xml:space="preserve">19 декабря 1915 </w:t>
      </w:r>
      <w:r w:rsidR="00E1045F" w:rsidRPr="00405303">
        <w:rPr>
          <w:bCs/>
          <w:color w:val="002060"/>
          <w:sz w:val="16"/>
          <w:szCs w:val="16"/>
        </w:rPr>
        <w:t xml:space="preserve">г. </w:t>
      </w:r>
      <w:r w:rsidRPr="00405303">
        <w:rPr>
          <w:bCs/>
          <w:color w:val="002060"/>
          <w:sz w:val="16"/>
          <w:szCs w:val="16"/>
        </w:rPr>
        <w:t>(1 января в 1916 году) в Германии оформилась «Группа Спартак» – революционная организация германских левых социал-демократов (с 11 ноября 1918 г. – «Союз Спартака», в состав ЦК которого входили К.Либкнехт, Р.Люксембург, Ф.Меринг, В.Пик и др.). Общегерманская конференция спартаковцев и леворадикалов, открывшаяся в Берлине 29 декабря 1918 г., стала Учредительным съездом Коммунистической партии Германии (14996).</w:t>
      </w:r>
    </w:p>
    <w:p w14:paraId="54F9956E" w14:textId="77777777" w:rsidR="00B82A2D" w:rsidRPr="00405303" w:rsidRDefault="00B82A2D" w:rsidP="00C15251">
      <w:pPr>
        <w:jc w:val="both"/>
        <w:rPr>
          <w:bCs/>
          <w:color w:val="002060"/>
          <w:sz w:val="16"/>
          <w:szCs w:val="16"/>
        </w:rPr>
      </w:pPr>
    </w:p>
    <w:p w14:paraId="05E67F0C" w14:textId="7B0DB06B" w:rsidR="00B82A2D" w:rsidRPr="00405303" w:rsidRDefault="00B82A2D" w:rsidP="00C15251">
      <w:pPr>
        <w:jc w:val="both"/>
        <w:rPr>
          <w:bCs/>
          <w:color w:val="002060"/>
          <w:sz w:val="16"/>
          <w:szCs w:val="16"/>
        </w:rPr>
      </w:pPr>
      <w:r w:rsidRPr="00405303">
        <w:rPr>
          <w:bCs/>
          <w:color w:val="002060"/>
          <w:sz w:val="16"/>
          <w:szCs w:val="16"/>
        </w:rPr>
        <w:t xml:space="preserve">19 декабря 1915 </w:t>
      </w:r>
      <w:r w:rsidR="00E1045F" w:rsidRPr="00405303">
        <w:rPr>
          <w:bCs/>
          <w:color w:val="002060"/>
          <w:sz w:val="16"/>
          <w:szCs w:val="16"/>
        </w:rPr>
        <w:t xml:space="preserve">г. </w:t>
      </w:r>
      <w:r w:rsidRPr="00405303">
        <w:rPr>
          <w:bCs/>
          <w:color w:val="002060"/>
          <w:sz w:val="16"/>
          <w:szCs w:val="16"/>
        </w:rPr>
        <w:t>(1 января 1916</w:t>
      </w:r>
      <w:r w:rsidR="00E1045F" w:rsidRPr="00405303">
        <w:rPr>
          <w:bCs/>
          <w:color w:val="002060"/>
          <w:sz w:val="16"/>
          <w:szCs w:val="16"/>
        </w:rPr>
        <w:t xml:space="preserve"> г.</w:t>
      </w:r>
      <w:r w:rsidRPr="00405303">
        <w:rPr>
          <w:bCs/>
          <w:color w:val="002060"/>
          <w:sz w:val="16"/>
          <w:szCs w:val="16"/>
        </w:rPr>
        <w:t>) года пал город Яунде (нынешняя столица Камеруна), оборонявшийся немцами около трех месяцев. Остатки немецких войск бежали в испанскую колонию Рио-Муни (Испания сохраняла нейтралитет в войне), где были интернированы. Эта победа союзников означала конец немецкого сопротивления в Камеруне за исключением небольшого гарнизона, блокированного в крепости Мора (северный Камерун) — он будет сражаться еще около двух месяцев (17045).</w:t>
      </w:r>
    </w:p>
    <w:p w14:paraId="76A499EA" w14:textId="77777777" w:rsidR="00B82A2D" w:rsidRPr="00405303" w:rsidRDefault="00B82A2D" w:rsidP="00C15251">
      <w:pPr>
        <w:jc w:val="both"/>
        <w:rPr>
          <w:bCs/>
          <w:color w:val="002060"/>
          <w:sz w:val="16"/>
          <w:szCs w:val="16"/>
        </w:rPr>
      </w:pPr>
    </w:p>
    <w:p w14:paraId="5E0A3A9B" w14:textId="77777777" w:rsidR="0059663C" w:rsidRPr="00405303" w:rsidRDefault="0059663C" w:rsidP="00C15251">
      <w:pPr>
        <w:jc w:val="both"/>
        <w:rPr>
          <w:color w:val="002060"/>
          <w:sz w:val="16"/>
          <w:szCs w:val="16"/>
        </w:rPr>
      </w:pPr>
      <w:r w:rsidRPr="00405303">
        <w:rPr>
          <w:color w:val="002060"/>
          <w:sz w:val="16"/>
          <w:szCs w:val="16"/>
        </w:rPr>
        <w:t>19 декабря 1915 (1 января 1916) Германское командование все более серьезное значение начинает придавать бомбардировочной авиации; отряд "Остендского отделения голубиной почты" переименован в 1-й бомбардировочный дивизион (KG- Kampfgeschwader), а отряд "Отделение голубиной почты Мец" - во 2-й KG. В течение нескольких следующих месяцев будут сформированы 3-й, 4-й, 5-й и 6-й KG (11999).</w:t>
      </w:r>
    </w:p>
    <w:p w14:paraId="497740BF" w14:textId="77777777" w:rsidR="0059663C" w:rsidRPr="00405303" w:rsidRDefault="0059663C" w:rsidP="00C15251">
      <w:pPr>
        <w:jc w:val="both"/>
        <w:rPr>
          <w:color w:val="002060"/>
          <w:sz w:val="16"/>
          <w:szCs w:val="16"/>
        </w:rPr>
      </w:pPr>
    </w:p>
    <w:p w14:paraId="7EFBC390" w14:textId="77777777" w:rsidR="0059663C" w:rsidRPr="00405303" w:rsidRDefault="0059663C" w:rsidP="00C15251">
      <w:pPr>
        <w:jc w:val="both"/>
        <w:rPr>
          <w:color w:val="002060"/>
          <w:sz w:val="16"/>
          <w:szCs w:val="16"/>
        </w:rPr>
      </w:pPr>
      <w:r w:rsidRPr="00405303">
        <w:rPr>
          <w:color w:val="002060"/>
          <w:sz w:val="16"/>
          <w:szCs w:val="16"/>
        </w:rPr>
        <w:t>С 19 декабря 1915 (1 января 1916) 46 немецких дирижаблей пересекли линию побережья Англии между Йоркшир и Кент. Немецкие дирижабли атаковали Лондон дважды. Британские самолеты, защищающие Англию, внесли свой вклад (совместно с зенитными орудиями) в сбитие только одного немецкого дирижабля (20340).</w:t>
      </w:r>
    </w:p>
    <w:p w14:paraId="1B8A65E6" w14:textId="77777777" w:rsidR="0059663C" w:rsidRPr="00405303" w:rsidRDefault="0059663C" w:rsidP="00C15251">
      <w:pPr>
        <w:jc w:val="both"/>
        <w:rPr>
          <w:color w:val="002060"/>
          <w:sz w:val="16"/>
          <w:szCs w:val="16"/>
        </w:rPr>
      </w:pPr>
    </w:p>
    <w:p w14:paraId="14373991" w14:textId="33F2522E" w:rsidR="002B0FFA" w:rsidRPr="00405303" w:rsidRDefault="002B0FFA" w:rsidP="00C15251">
      <w:pPr>
        <w:jc w:val="both"/>
        <w:rPr>
          <w:bCs/>
          <w:i/>
          <w:iCs/>
          <w:color w:val="002060"/>
          <w:sz w:val="16"/>
          <w:szCs w:val="16"/>
        </w:rPr>
      </w:pPr>
      <w:r w:rsidRPr="00405303">
        <w:rPr>
          <w:bCs/>
          <w:i/>
          <w:iCs/>
          <w:color w:val="002060"/>
          <w:sz w:val="16"/>
          <w:szCs w:val="16"/>
        </w:rPr>
        <w:t>Авиация:</w:t>
      </w:r>
    </w:p>
    <w:p w14:paraId="1D7A50B0" w14:textId="77777777" w:rsidR="002B0FFA" w:rsidRPr="00405303" w:rsidRDefault="002B0FFA" w:rsidP="00C15251">
      <w:pPr>
        <w:jc w:val="both"/>
        <w:rPr>
          <w:bCs/>
          <w:i/>
          <w:iCs/>
          <w:color w:val="002060"/>
          <w:sz w:val="16"/>
          <w:szCs w:val="16"/>
        </w:rPr>
      </w:pPr>
    </w:p>
    <w:p w14:paraId="25A81D02" w14:textId="55ED0335" w:rsidR="002B0FFA" w:rsidRPr="00405303" w:rsidRDefault="002B0FFA" w:rsidP="00C15251">
      <w:pPr>
        <w:jc w:val="both"/>
        <w:rPr>
          <w:bCs/>
          <w:color w:val="002060"/>
          <w:sz w:val="16"/>
          <w:szCs w:val="16"/>
        </w:rPr>
      </w:pPr>
      <w:bookmarkStart w:id="326" w:name="bookmark312"/>
      <w:r w:rsidRPr="00405303">
        <w:rPr>
          <w:bCs/>
          <w:color w:val="002060"/>
          <w:sz w:val="16"/>
          <w:szCs w:val="16"/>
        </w:rPr>
        <w:t xml:space="preserve">20 декабря 1915 </w:t>
      </w:r>
      <w:proofErr w:type="gramStart"/>
      <w:r w:rsidRPr="00405303">
        <w:rPr>
          <w:bCs/>
          <w:color w:val="002060"/>
          <w:sz w:val="16"/>
          <w:szCs w:val="16"/>
        </w:rPr>
        <w:t>г.(</w:t>
      </w:r>
      <w:proofErr w:type="gramEnd"/>
      <w:r w:rsidRPr="00405303">
        <w:rPr>
          <w:bCs/>
          <w:color w:val="002060"/>
          <w:sz w:val="16"/>
          <w:szCs w:val="16"/>
        </w:rPr>
        <w:t xml:space="preserve">1 января 1916 г.) первый же полет дирижабль LZ-39, который вследствие плохой погоды почти два месяца находившийся без боевой работы, стал для него последним. В ходе бомбардировки г. Ровно он подвергся сильному зенитному обстрелу. Находившийся на высоте 2,2 км дирижабль получил множество повреждений. В результате осколочных пробоин воздушное судно потеряло много газа из задних отсеков. Кроме того, у него оборвалась, видимо поврежденная обстрелом, передняя моторная гондола. Экипаж LZ-39 сумел вывести свой корабль из-под огня и совершить вынужденную посадку в районе ст. Лык. Ввиду того что не было возможности </w:t>
      </w:r>
      <w:bookmarkEnd w:id="326"/>
      <w:r w:rsidRPr="00405303">
        <w:rPr>
          <w:bCs/>
          <w:color w:val="002060"/>
          <w:sz w:val="16"/>
          <w:szCs w:val="16"/>
        </w:rPr>
        <w:t>провести на месте ремонт дирижабля, он был разоружен. Вместо него с франко-германского фронта вновь прибыл цеппелин LZ-XII, который только недавно покинул Восточноевропейский театр войны. Но из-за значительной удаленности воздушной базы от линии фронта в течение последующего года ему всего лишь четыре раза удалось долететь до расположения русских войск. Один из его налетов был совершен на железнодорожные станции Столбцы и Лунинец (23405).</w:t>
      </w:r>
    </w:p>
    <w:p w14:paraId="3D6DAB72" w14:textId="77777777" w:rsidR="002B0FFA" w:rsidRPr="00405303" w:rsidRDefault="002B0FFA" w:rsidP="00C15251">
      <w:pPr>
        <w:jc w:val="both"/>
        <w:rPr>
          <w:bCs/>
          <w:color w:val="002060"/>
          <w:sz w:val="16"/>
          <w:szCs w:val="16"/>
        </w:rPr>
      </w:pPr>
    </w:p>
    <w:p w14:paraId="23B1ACCE" w14:textId="30E9CBAB" w:rsidR="00B82A2D" w:rsidRPr="00405303" w:rsidRDefault="00B82A2D" w:rsidP="00C15251">
      <w:pPr>
        <w:jc w:val="both"/>
        <w:rPr>
          <w:bCs/>
          <w:iCs/>
          <w:color w:val="002060"/>
          <w:sz w:val="16"/>
          <w:szCs w:val="16"/>
        </w:rPr>
      </w:pPr>
      <w:r w:rsidRPr="00405303">
        <w:rPr>
          <w:bCs/>
          <w:i/>
          <w:iCs/>
          <w:color w:val="002060"/>
          <w:sz w:val="16"/>
          <w:szCs w:val="16"/>
        </w:rPr>
        <w:t>За рубежом:</w:t>
      </w:r>
    </w:p>
    <w:p w14:paraId="723F2BFB" w14:textId="77777777" w:rsidR="00B82A2D" w:rsidRPr="00405303" w:rsidRDefault="00B82A2D" w:rsidP="00C15251">
      <w:pPr>
        <w:jc w:val="both"/>
        <w:rPr>
          <w:bCs/>
          <w:iCs/>
          <w:color w:val="002060"/>
          <w:sz w:val="16"/>
          <w:szCs w:val="16"/>
        </w:rPr>
      </w:pPr>
    </w:p>
    <w:p w14:paraId="7C873185" w14:textId="06802ABF" w:rsidR="00B82A2D" w:rsidRPr="00405303" w:rsidRDefault="00B82A2D" w:rsidP="00C15251">
      <w:pPr>
        <w:jc w:val="both"/>
        <w:rPr>
          <w:bCs/>
          <w:color w:val="002060"/>
          <w:sz w:val="16"/>
          <w:szCs w:val="16"/>
        </w:rPr>
      </w:pPr>
      <w:r w:rsidRPr="00405303">
        <w:rPr>
          <w:bCs/>
          <w:color w:val="002060"/>
          <w:sz w:val="16"/>
          <w:szCs w:val="16"/>
        </w:rPr>
        <w:t xml:space="preserve">20 декабря </w:t>
      </w:r>
      <w:r w:rsidR="00E1045F" w:rsidRPr="00405303">
        <w:rPr>
          <w:bCs/>
          <w:color w:val="002060"/>
          <w:sz w:val="16"/>
          <w:szCs w:val="16"/>
        </w:rPr>
        <w:t xml:space="preserve">г. </w:t>
      </w:r>
      <w:r w:rsidRPr="00405303">
        <w:rPr>
          <w:bCs/>
          <w:color w:val="002060"/>
          <w:sz w:val="16"/>
          <w:szCs w:val="16"/>
        </w:rPr>
        <w:t>1915 (2 января 1916</w:t>
      </w:r>
      <w:r w:rsidR="00E1045F" w:rsidRPr="00405303">
        <w:rPr>
          <w:bCs/>
          <w:color w:val="002060"/>
          <w:sz w:val="16"/>
          <w:szCs w:val="16"/>
        </w:rPr>
        <w:t xml:space="preserve"> г.</w:t>
      </w:r>
      <w:r w:rsidRPr="00405303">
        <w:rPr>
          <w:bCs/>
          <w:color w:val="002060"/>
          <w:sz w:val="16"/>
          <w:szCs w:val="16"/>
        </w:rPr>
        <w:t>) посол США Шарп получил инструкции сообщить Антанте о том, что США отклонит немецкие предложения о мире (2100).</w:t>
      </w:r>
    </w:p>
    <w:p w14:paraId="6983A689" w14:textId="77777777" w:rsidR="00B82A2D" w:rsidRPr="00405303" w:rsidRDefault="00B82A2D" w:rsidP="00C15251">
      <w:pPr>
        <w:jc w:val="both"/>
        <w:rPr>
          <w:bCs/>
          <w:color w:val="002060"/>
          <w:sz w:val="16"/>
          <w:szCs w:val="16"/>
        </w:rPr>
      </w:pPr>
    </w:p>
    <w:p w14:paraId="7A98D345"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53EE07C9" w14:textId="77777777" w:rsidR="004B4E35" w:rsidRPr="00405303" w:rsidRDefault="004B4E35" w:rsidP="00C15251">
      <w:pPr>
        <w:jc w:val="both"/>
        <w:rPr>
          <w:bCs/>
          <w:i/>
          <w:color w:val="002060"/>
          <w:sz w:val="16"/>
          <w:szCs w:val="16"/>
        </w:rPr>
      </w:pPr>
    </w:p>
    <w:p w14:paraId="6DAD7E76" w14:textId="77777777" w:rsidR="004B4E35" w:rsidRPr="00405303" w:rsidRDefault="00E03E81" w:rsidP="00C15251">
      <w:pPr>
        <w:shd w:val="clear" w:color="auto" w:fill="FFFFFF"/>
        <w:jc w:val="both"/>
        <w:rPr>
          <w:bCs/>
          <w:color w:val="002060"/>
          <w:sz w:val="16"/>
          <w:szCs w:val="16"/>
        </w:rPr>
      </w:pPr>
      <w:r w:rsidRPr="00405303">
        <w:rPr>
          <w:bCs/>
          <w:color w:val="002060"/>
          <w:sz w:val="16"/>
          <w:szCs w:val="16"/>
        </w:rPr>
        <w:lastRenderedPageBreak/>
        <w:t>21 д</w:t>
      </w:r>
      <w:r w:rsidR="009E6F82" w:rsidRPr="00405303">
        <w:rPr>
          <w:bCs/>
          <w:color w:val="002060"/>
          <w:sz w:val="16"/>
          <w:szCs w:val="16"/>
        </w:rPr>
        <w:t>екабр</w:t>
      </w:r>
      <w:r w:rsidRPr="00405303">
        <w:rPr>
          <w:bCs/>
          <w:color w:val="002060"/>
          <w:sz w:val="16"/>
          <w:szCs w:val="16"/>
        </w:rPr>
        <w:t xml:space="preserve">я </w:t>
      </w:r>
      <w:r w:rsidR="009E6F82" w:rsidRPr="00405303">
        <w:rPr>
          <w:bCs/>
          <w:color w:val="002060"/>
          <w:sz w:val="16"/>
          <w:szCs w:val="16"/>
        </w:rPr>
        <w:t>1915 (3 января 1916) был выдан заказ на10 корпусов М-5 без хвостовых оперений и мотора, но с сиденьями, по цене 4 тыс. 750 руб. за каждый. Вряд ли будет ошибкой сказать, что как патрульный аппарат небольшого радиуса действия «пятер</w:t>
      </w:r>
      <w:r w:rsidR="009E6F82" w:rsidRPr="00405303">
        <w:rPr>
          <w:bCs/>
          <w:color w:val="002060"/>
          <w:sz w:val="16"/>
          <w:szCs w:val="16"/>
        </w:rPr>
        <w:softHyphen/>
        <w:t>ка» оказалась весьма эффективным видом авиационного вооружения флота: при своей относительной дешевизне она демонстрировала полную пригодность к выполнению возложенных задач, особенно в тех районах черноморского театра, где не встречала активного противодействия авиации противника. В этом своем качестве машина могла успешно летать не только до 1918 г., но и далее, чему есть примеры в хронике Гражданской войны. Еще одной сферой удачного применения модели стали учебные подразде</w:t>
      </w:r>
      <w:r w:rsidR="009E6F82" w:rsidRPr="00405303">
        <w:rPr>
          <w:bCs/>
          <w:color w:val="002060"/>
          <w:sz w:val="16"/>
          <w:szCs w:val="16"/>
        </w:rPr>
        <w:softHyphen/>
        <w:t>ления, с которыми гидроаэропланы типа М-5 прошли долгий путь, начиная с лета 1915г., открыв небо многим стремившимся к нему людям. В общем, в период с 10 июля 1915 г. по 20 июня 1917г. Черномор</w:t>
      </w:r>
      <w:r w:rsidR="009E6F82" w:rsidRPr="00405303">
        <w:rPr>
          <w:bCs/>
          <w:color w:val="002060"/>
          <w:sz w:val="16"/>
          <w:szCs w:val="16"/>
        </w:rPr>
        <w:softHyphen/>
        <w:t>ский флот принял 71 летающую лодку М-5, а около 60 машин данного типа достались морским авиашко</w:t>
      </w:r>
      <w:r w:rsidR="009E6F82" w:rsidRPr="00405303">
        <w:rPr>
          <w:bCs/>
          <w:color w:val="002060"/>
          <w:sz w:val="16"/>
          <w:szCs w:val="16"/>
        </w:rPr>
        <w:softHyphen/>
        <w:t>лам; с июня 1915 г. по декабрь 1917г. полное число принятых военно-морскими силами М-5 составило, по крайней мере, 1?3 аппарата, но некоторые из них изначально изготовлялись как запасные.</w:t>
      </w:r>
    </w:p>
    <w:p w14:paraId="33D969E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4B4E35" w:rsidRPr="00405303" w14:paraId="793266D1" w14:textId="77777777">
        <w:tc>
          <w:tcPr>
            <w:tcW w:w="1548" w:type="dxa"/>
            <w:shd w:val="clear" w:color="auto" w:fill="FFFFFF"/>
          </w:tcPr>
          <w:p w14:paraId="36C0B8A2" w14:textId="77777777" w:rsidR="004B4E35" w:rsidRPr="00405303" w:rsidRDefault="009E6F82" w:rsidP="00C15251">
            <w:pPr>
              <w:jc w:val="both"/>
              <w:rPr>
                <w:bCs/>
                <w:color w:val="002060"/>
                <w:sz w:val="16"/>
                <w:szCs w:val="16"/>
              </w:rPr>
            </w:pPr>
            <w:r w:rsidRPr="00405303">
              <w:rPr>
                <w:bCs/>
                <w:color w:val="002060"/>
                <w:sz w:val="16"/>
                <w:szCs w:val="16"/>
              </w:rPr>
              <w:t>Дата контракта</w:t>
            </w:r>
          </w:p>
        </w:tc>
        <w:tc>
          <w:tcPr>
            <w:tcW w:w="1170" w:type="dxa"/>
            <w:shd w:val="clear" w:color="auto" w:fill="FFFFFF"/>
          </w:tcPr>
          <w:p w14:paraId="1A77E00B" w14:textId="77777777" w:rsidR="004B4E35" w:rsidRPr="00405303" w:rsidRDefault="009E6F82" w:rsidP="00C15251">
            <w:pPr>
              <w:jc w:val="both"/>
              <w:rPr>
                <w:bCs/>
                <w:color w:val="002060"/>
                <w:sz w:val="16"/>
                <w:szCs w:val="16"/>
              </w:rPr>
            </w:pPr>
            <w:r w:rsidRPr="00405303">
              <w:rPr>
                <w:bCs/>
                <w:color w:val="002060"/>
                <w:sz w:val="16"/>
                <w:szCs w:val="16"/>
              </w:rPr>
              <w:t>Число заказанных аэропланов</w:t>
            </w:r>
          </w:p>
        </w:tc>
        <w:tc>
          <w:tcPr>
            <w:tcW w:w="6858" w:type="dxa"/>
            <w:shd w:val="clear" w:color="auto" w:fill="FFFFFF"/>
          </w:tcPr>
          <w:p w14:paraId="03DABA86" w14:textId="77777777" w:rsidR="004B4E35" w:rsidRPr="00405303" w:rsidRDefault="009E6F82" w:rsidP="00C15251">
            <w:pPr>
              <w:jc w:val="both"/>
              <w:rPr>
                <w:bCs/>
                <w:color w:val="002060"/>
                <w:sz w:val="16"/>
                <w:szCs w:val="16"/>
              </w:rPr>
            </w:pPr>
            <w:r w:rsidRPr="00405303">
              <w:rPr>
                <w:bCs/>
                <w:color w:val="002060"/>
                <w:sz w:val="16"/>
                <w:szCs w:val="16"/>
              </w:rPr>
              <w:t>Условия</w:t>
            </w:r>
          </w:p>
        </w:tc>
      </w:tr>
      <w:tr w:rsidR="004B4E35" w:rsidRPr="00405303" w14:paraId="3C2A989C" w14:textId="77777777">
        <w:tc>
          <w:tcPr>
            <w:tcW w:w="1548" w:type="dxa"/>
            <w:shd w:val="clear" w:color="auto" w:fill="FFFFFF"/>
          </w:tcPr>
          <w:p w14:paraId="1D9F4C59" w14:textId="77777777" w:rsidR="004B4E35" w:rsidRPr="00405303" w:rsidRDefault="009E6F82" w:rsidP="00C15251">
            <w:pPr>
              <w:jc w:val="both"/>
              <w:rPr>
                <w:bCs/>
                <w:color w:val="002060"/>
                <w:sz w:val="16"/>
                <w:szCs w:val="16"/>
              </w:rPr>
            </w:pPr>
            <w:r w:rsidRPr="00405303">
              <w:rPr>
                <w:bCs/>
                <w:color w:val="002060"/>
                <w:sz w:val="16"/>
                <w:szCs w:val="16"/>
              </w:rPr>
              <w:t>Май 27 1915</w:t>
            </w:r>
          </w:p>
        </w:tc>
        <w:tc>
          <w:tcPr>
            <w:tcW w:w="1170" w:type="dxa"/>
            <w:shd w:val="clear" w:color="auto" w:fill="FFFFFF"/>
          </w:tcPr>
          <w:p w14:paraId="0340C5E2" w14:textId="77777777" w:rsidR="004B4E35" w:rsidRPr="00405303" w:rsidRDefault="009E6F82" w:rsidP="00C15251">
            <w:pPr>
              <w:jc w:val="both"/>
              <w:rPr>
                <w:bCs/>
                <w:color w:val="002060"/>
                <w:sz w:val="16"/>
                <w:szCs w:val="16"/>
              </w:rPr>
            </w:pPr>
            <w:r w:rsidRPr="00405303">
              <w:rPr>
                <w:bCs/>
                <w:color w:val="002060"/>
                <w:sz w:val="16"/>
                <w:szCs w:val="16"/>
              </w:rPr>
              <w:t>12</w:t>
            </w:r>
          </w:p>
        </w:tc>
        <w:tc>
          <w:tcPr>
            <w:tcW w:w="6858" w:type="dxa"/>
            <w:shd w:val="clear" w:color="auto" w:fill="FFFFFF"/>
          </w:tcPr>
          <w:p w14:paraId="66F41084" w14:textId="77777777" w:rsidR="004B4E35" w:rsidRPr="00405303" w:rsidRDefault="009E6F82" w:rsidP="00C15251">
            <w:pPr>
              <w:jc w:val="both"/>
              <w:rPr>
                <w:bCs/>
                <w:color w:val="002060"/>
                <w:sz w:val="16"/>
                <w:szCs w:val="16"/>
              </w:rPr>
            </w:pPr>
            <w:r w:rsidRPr="00405303">
              <w:rPr>
                <w:bCs/>
                <w:color w:val="002060"/>
                <w:sz w:val="16"/>
                <w:szCs w:val="16"/>
              </w:rPr>
              <w:t>9 тыс. 500 руб. за аппарат без мотора, срок исполнения с 30 мая по 15 июля 1915 г. (выполнен к 20 июля 1915 г.)</w:t>
            </w:r>
          </w:p>
        </w:tc>
      </w:tr>
      <w:tr w:rsidR="004B4E35" w:rsidRPr="00405303" w14:paraId="579BD9E4" w14:textId="77777777">
        <w:tc>
          <w:tcPr>
            <w:tcW w:w="1548" w:type="dxa"/>
            <w:shd w:val="clear" w:color="auto" w:fill="FFFFFF"/>
          </w:tcPr>
          <w:p w14:paraId="492D5E6E" w14:textId="77777777" w:rsidR="004B4E35" w:rsidRPr="00405303" w:rsidRDefault="009E6F82" w:rsidP="00C15251">
            <w:pPr>
              <w:jc w:val="both"/>
              <w:rPr>
                <w:bCs/>
                <w:color w:val="002060"/>
                <w:sz w:val="16"/>
                <w:szCs w:val="16"/>
              </w:rPr>
            </w:pPr>
            <w:r w:rsidRPr="00405303">
              <w:rPr>
                <w:bCs/>
                <w:color w:val="002060"/>
                <w:sz w:val="16"/>
                <w:szCs w:val="16"/>
              </w:rPr>
              <w:t>Июль 17 1915</w:t>
            </w:r>
          </w:p>
        </w:tc>
        <w:tc>
          <w:tcPr>
            <w:tcW w:w="1170" w:type="dxa"/>
            <w:shd w:val="clear" w:color="auto" w:fill="FFFFFF"/>
          </w:tcPr>
          <w:p w14:paraId="6C8C7FEB" w14:textId="77777777" w:rsidR="004B4E35" w:rsidRPr="00405303" w:rsidRDefault="009E6F82" w:rsidP="00C15251">
            <w:pPr>
              <w:jc w:val="both"/>
              <w:rPr>
                <w:bCs/>
                <w:color w:val="002060"/>
                <w:sz w:val="16"/>
                <w:szCs w:val="16"/>
              </w:rPr>
            </w:pPr>
            <w:r w:rsidRPr="00405303">
              <w:rPr>
                <w:bCs/>
                <w:color w:val="002060"/>
                <w:sz w:val="16"/>
                <w:szCs w:val="16"/>
              </w:rPr>
              <w:t>10</w:t>
            </w:r>
          </w:p>
        </w:tc>
        <w:tc>
          <w:tcPr>
            <w:tcW w:w="6858" w:type="dxa"/>
            <w:shd w:val="clear" w:color="auto" w:fill="FFFFFF"/>
          </w:tcPr>
          <w:p w14:paraId="65145208" w14:textId="77777777" w:rsidR="004B4E35" w:rsidRPr="00405303" w:rsidRDefault="009E6F82" w:rsidP="00C15251">
            <w:pPr>
              <w:jc w:val="both"/>
              <w:rPr>
                <w:bCs/>
                <w:color w:val="002060"/>
                <w:sz w:val="16"/>
                <w:szCs w:val="16"/>
              </w:rPr>
            </w:pPr>
            <w:r w:rsidRPr="00405303">
              <w:rPr>
                <w:bCs/>
                <w:color w:val="002060"/>
                <w:sz w:val="16"/>
                <w:szCs w:val="16"/>
              </w:rPr>
              <w:t>выполнен к 10 сентября 1915 г.</w:t>
            </w:r>
          </w:p>
        </w:tc>
      </w:tr>
      <w:tr w:rsidR="004B4E35" w:rsidRPr="00405303" w14:paraId="0FB8CF22" w14:textId="77777777">
        <w:tc>
          <w:tcPr>
            <w:tcW w:w="1548" w:type="dxa"/>
            <w:shd w:val="clear" w:color="auto" w:fill="FFFFFF"/>
          </w:tcPr>
          <w:p w14:paraId="1102E9A1" w14:textId="77777777" w:rsidR="004B4E35" w:rsidRPr="00405303" w:rsidRDefault="009E6F82" w:rsidP="00C15251">
            <w:pPr>
              <w:jc w:val="both"/>
              <w:rPr>
                <w:bCs/>
                <w:color w:val="002060"/>
                <w:sz w:val="16"/>
                <w:szCs w:val="16"/>
              </w:rPr>
            </w:pPr>
            <w:r w:rsidRPr="00405303">
              <w:rPr>
                <w:bCs/>
                <w:color w:val="002060"/>
                <w:sz w:val="16"/>
                <w:szCs w:val="16"/>
              </w:rPr>
              <w:t>Август 10 1915</w:t>
            </w:r>
          </w:p>
        </w:tc>
        <w:tc>
          <w:tcPr>
            <w:tcW w:w="1170" w:type="dxa"/>
            <w:shd w:val="clear" w:color="auto" w:fill="FFFFFF"/>
          </w:tcPr>
          <w:p w14:paraId="37C98B3F" w14:textId="77777777" w:rsidR="004B4E35" w:rsidRPr="00405303" w:rsidRDefault="009E6F82" w:rsidP="00C15251">
            <w:pPr>
              <w:jc w:val="both"/>
              <w:rPr>
                <w:bCs/>
                <w:color w:val="002060"/>
                <w:sz w:val="16"/>
                <w:szCs w:val="16"/>
              </w:rPr>
            </w:pPr>
            <w:r w:rsidRPr="00405303">
              <w:rPr>
                <w:bCs/>
                <w:color w:val="002060"/>
                <w:sz w:val="16"/>
                <w:szCs w:val="16"/>
              </w:rPr>
              <w:t>3</w:t>
            </w:r>
          </w:p>
        </w:tc>
        <w:tc>
          <w:tcPr>
            <w:tcW w:w="6858" w:type="dxa"/>
            <w:shd w:val="clear" w:color="auto" w:fill="FFFFFF"/>
          </w:tcPr>
          <w:p w14:paraId="49EFCDD9" w14:textId="77777777" w:rsidR="004B4E35" w:rsidRPr="00405303" w:rsidRDefault="009E6F82" w:rsidP="00C15251">
            <w:pPr>
              <w:jc w:val="both"/>
              <w:rPr>
                <w:bCs/>
                <w:color w:val="002060"/>
                <w:sz w:val="16"/>
                <w:szCs w:val="16"/>
              </w:rPr>
            </w:pPr>
            <w:r w:rsidRPr="00405303">
              <w:rPr>
                <w:bCs/>
                <w:color w:val="002060"/>
                <w:sz w:val="16"/>
                <w:szCs w:val="16"/>
              </w:rPr>
              <w:t>выполнен к 20 июля 1915г.</w:t>
            </w:r>
          </w:p>
        </w:tc>
      </w:tr>
      <w:tr w:rsidR="004B4E35" w:rsidRPr="00405303" w14:paraId="4CE2AE0E" w14:textId="77777777">
        <w:tc>
          <w:tcPr>
            <w:tcW w:w="1548" w:type="dxa"/>
            <w:shd w:val="clear" w:color="auto" w:fill="FFFFFF"/>
          </w:tcPr>
          <w:p w14:paraId="3FEF01E6" w14:textId="77777777" w:rsidR="004B4E35" w:rsidRPr="00405303" w:rsidRDefault="009E6F82" w:rsidP="00C15251">
            <w:pPr>
              <w:jc w:val="both"/>
              <w:rPr>
                <w:bCs/>
                <w:color w:val="002060"/>
                <w:sz w:val="16"/>
                <w:szCs w:val="16"/>
              </w:rPr>
            </w:pPr>
            <w:r w:rsidRPr="00405303">
              <w:rPr>
                <w:bCs/>
                <w:color w:val="002060"/>
                <w:sz w:val="16"/>
                <w:szCs w:val="16"/>
              </w:rPr>
              <w:t>Ноябрь 12 1915</w:t>
            </w:r>
          </w:p>
        </w:tc>
        <w:tc>
          <w:tcPr>
            <w:tcW w:w="1170" w:type="dxa"/>
            <w:shd w:val="clear" w:color="auto" w:fill="FFFFFF"/>
          </w:tcPr>
          <w:p w14:paraId="4F28B762" w14:textId="77777777" w:rsidR="004B4E35" w:rsidRPr="00405303" w:rsidRDefault="009E6F82" w:rsidP="00C15251">
            <w:pPr>
              <w:jc w:val="both"/>
              <w:rPr>
                <w:bCs/>
                <w:color w:val="002060"/>
                <w:sz w:val="16"/>
                <w:szCs w:val="16"/>
              </w:rPr>
            </w:pPr>
            <w:r w:rsidRPr="00405303">
              <w:rPr>
                <w:bCs/>
                <w:color w:val="002060"/>
                <w:sz w:val="16"/>
                <w:szCs w:val="16"/>
              </w:rPr>
              <w:t>16</w:t>
            </w:r>
          </w:p>
        </w:tc>
        <w:tc>
          <w:tcPr>
            <w:tcW w:w="6858" w:type="dxa"/>
            <w:shd w:val="clear" w:color="auto" w:fill="FFFFFF"/>
          </w:tcPr>
          <w:p w14:paraId="68101AD8" w14:textId="77777777" w:rsidR="004B4E35" w:rsidRPr="00405303" w:rsidRDefault="009E6F82" w:rsidP="00C15251">
            <w:pPr>
              <w:jc w:val="both"/>
              <w:rPr>
                <w:bCs/>
                <w:color w:val="002060"/>
                <w:sz w:val="16"/>
                <w:szCs w:val="16"/>
              </w:rPr>
            </w:pPr>
            <w:r w:rsidRPr="00405303">
              <w:rPr>
                <w:bCs/>
                <w:color w:val="002060"/>
                <w:sz w:val="16"/>
                <w:szCs w:val="16"/>
              </w:rPr>
              <w:t>10 тыс. 500 руб. за аппарат без мотора, срок исполнения ноябрь 1915-март 1916 гг. (выполнен к 27 мая 1916 г.) ПРИМЕЧАНИЯ: аппараты с номерами 440 и 441 имели депердюссеновскую систему управления</w:t>
            </w:r>
          </w:p>
        </w:tc>
      </w:tr>
      <w:tr w:rsidR="004B4E35" w:rsidRPr="00405303" w14:paraId="3CB132A5" w14:textId="77777777">
        <w:tc>
          <w:tcPr>
            <w:tcW w:w="1548" w:type="dxa"/>
            <w:shd w:val="clear" w:color="auto" w:fill="FFFFFF"/>
          </w:tcPr>
          <w:p w14:paraId="2F3C23E8" w14:textId="77777777" w:rsidR="004B4E35" w:rsidRPr="00405303" w:rsidRDefault="009E6F82" w:rsidP="00C15251">
            <w:pPr>
              <w:jc w:val="both"/>
              <w:rPr>
                <w:bCs/>
                <w:color w:val="002060"/>
                <w:sz w:val="16"/>
                <w:szCs w:val="16"/>
              </w:rPr>
            </w:pPr>
            <w:r w:rsidRPr="00405303">
              <w:rPr>
                <w:bCs/>
                <w:color w:val="002060"/>
                <w:sz w:val="16"/>
                <w:szCs w:val="16"/>
              </w:rPr>
              <w:t xml:space="preserve">Декабрь 21 1915 (3 января 1916) </w:t>
            </w:r>
          </w:p>
        </w:tc>
        <w:tc>
          <w:tcPr>
            <w:tcW w:w="1170" w:type="dxa"/>
            <w:shd w:val="clear" w:color="auto" w:fill="FFFFFF"/>
          </w:tcPr>
          <w:p w14:paraId="313A4670" w14:textId="77777777" w:rsidR="004B4E35" w:rsidRPr="00405303" w:rsidRDefault="009E6F82" w:rsidP="00C15251">
            <w:pPr>
              <w:jc w:val="both"/>
              <w:rPr>
                <w:bCs/>
                <w:color w:val="002060"/>
                <w:sz w:val="16"/>
                <w:szCs w:val="16"/>
              </w:rPr>
            </w:pPr>
            <w:r w:rsidRPr="00405303">
              <w:rPr>
                <w:bCs/>
                <w:color w:val="002060"/>
                <w:sz w:val="16"/>
                <w:szCs w:val="16"/>
              </w:rPr>
              <w:t>10</w:t>
            </w:r>
          </w:p>
        </w:tc>
        <w:tc>
          <w:tcPr>
            <w:tcW w:w="6858" w:type="dxa"/>
            <w:shd w:val="clear" w:color="auto" w:fill="FFFFFF"/>
          </w:tcPr>
          <w:p w14:paraId="23ACF149" w14:textId="77777777" w:rsidR="004B4E35" w:rsidRPr="00405303" w:rsidRDefault="009E6F82" w:rsidP="00C15251">
            <w:pPr>
              <w:jc w:val="both"/>
              <w:rPr>
                <w:bCs/>
                <w:color w:val="002060"/>
                <w:sz w:val="16"/>
                <w:szCs w:val="16"/>
              </w:rPr>
            </w:pPr>
            <w:r w:rsidRPr="00405303">
              <w:rPr>
                <w:bCs/>
                <w:color w:val="002060"/>
                <w:sz w:val="16"/>
                <w:szCs w:val="16"/>
              </w:rPr>
              <w:t>10 корпусов без хвостовых оперений и мотора, но с сиденьями, по цене 4 тыс. 750 руб. за каждый</w:t>
            </w:r>
          </w:p>
        </w:tc>
      </w:tr>
      <w:tr w:rsidR="004B4E35" w:rsidRPr="00405303" w14:paraId="10E949E0" w14:textId="77777777">
        <w:tc>
          <w:tcPr>
            <w:tcW w:w="1548" w:type="dxa"/>
            <w:shd w:val="clear" w:color="auto" w:fill="FFFFFF"/>
          </w:tcPr>
          <w:p w14:paraId="74F0B576" w14:textId="77777777" w:rsidR="004B4E35" w:rsidRPr="00405303" w:rsidRDefault="009E6F82" w:rsidP="00C15251">
            <w:pPr>
              <w:jc w:val="both"/>
              <w:rPr>
                <w:bCs/>
                <w:color w:val="002060"/>
                <w:sz w:val="16"/>
                <w:szCs w:val="16"/>
              </w:rPr>
            </w:pPr>
            <w:r w:rsidRPr="00405303">
              <w:rPr>
                <w:bCs/>
                <w:color w:val="002060"/>
                <w:sz w:val="16"/>
                <w:szCs w:val="16"/>
              </w:rPr>
              <w:t>Апрель 1 1916</w:t>
            </w:r>
          </w:p>
        </w:tc>
        <w:tc>
          <w:tcPr>
            <w:tcW w:w="1170" w:type="dxa"/>
            <w:shd w:val="clear" w:color="auto" w:fill="FFFFFF"/>
          </w:tcPr>
          <w:p w14:paraId="516E61AF" w14:textId="77777777" w:rsidR="004B4E35" w:rsidRPr="00405303" w:rsidRDefault="009E6F82" w:rsidP="00C15251">
            <w:pPr>
              <w:jc w:val="both"/>
              <w:rPr>
                <w:bCs/>
                <w:color w:val="002060"/>
                <w:sz w:val="16"/>
                <w:szCs w:val="16"/>
              </w:rPr>
            </w:pPr>
            <w:r w:rsidRPr="00405303">
              <w:rPr>
                <w:bCs/>
                <w:color w:val="002060"/>
                <w:sz w:val="16"/>
                <w:szCs w:val="16"/>
              </w:rPr>
              <w:t>35</w:t>
            </w:r>
          </w:p>
        </w:tc>
        <w:tc>
          <w:tcPr>
            <w:tcW w:w="6858" w:type="dxa"/>
            <w:shd w:val="clear" w:color="auto" w:fill="FFFFFF"/>
          </w:tcPr>
          <w:p w14:paraId="12A64D1F" w14:textId="77777777" w:rsidR="004B4E35" w:rsidRPr="00405303" w:rsidRDefault="009E6F82" w:rsidP="00C15251">
            <w:pPr>
              <w:jc w:val="both"/>
              <w:rPr>
                <w:bCs/>
                <w:color w:val="002060"/>
                <w:sz w:val="16"/>
                <w:szCs w:val="16"/>
              </w:rPr>
            </w:pPr>
            <w:r w:rsidRPr="00405303">
              <w:rPr>
                <w:bCs/>
                <w:color w:val="002060"/>
                <w:sz w:val="16"/>
                <w:szCs w:val="16"/>
              </w:rPr>
              <w:t>выполнен к 23 сентября 1916 г.</w:t>
            </w:r>
          </w:p>
        </w:tc>
      </w:tr>
      <w:tr w:rsidR="004B4E35" w:rsidRPr="00405303" w14:paraId="64DABF41" w14:textId="77777777">
        <w:tc>
          <w:tcPr>
            <w:tcW w:w="1548" w:type="dxa"/>
            <w:shd w:val="clear" w:color="auto" w:fill="FFFFFF"/>
          </w:tcPr>
          <w:p w14:paraId="60C3BEE9" w14:textId="77777777" w:rsidR="004B4E35" w:rsidRPr="00405303" w:rsidRDefault="009E6F82" w:rsidP="00C15251">
            <w:pPr>
              <w:jc w:val="both"/>
              <w:rPr>
                <w:bCs/>
                <w:color w:val="002060"/>
                <w:sz w:val="16"/>
                <w:szCs w:val="16"/>
              </w:rPr>
            </w:pPr>
            <w:r w:rsidRPr="00405303">
              <w:rPr>
                <w:bCs/>
                <w:color w:val="002060"/>
                <w:sz w:val="16"/>
                <w:szCs w:val="16"/>
              </w:rPr>
              <w:t>Июнь 16 1916</w:t>
            </w:r>
          </w:p>
        </w:tc>
        <w:tc>
          <w:tcPr>
            <w:tcW w:w="1170" w:type="dxa"/>
            <w:shd w:val="clear" w:color="auto" w:fill="FFFFFF"/>
          </w:tcPr>
          <w:p w14:paraId="507FD4C0" w14:textId="77777777" w:rsidR="004B4E35" w:rsidRPr="00405303" w:rsidRDefault="009E6F82" w:rsidP="00C15251">
            <w:pPr>
              <w:jc w:val="both"/>
              <w:rPr>
                <w:bCs/>
                <w:color w:val="002060"/>
                <w:sz w:val="16"/>
                <w:szCs w:val="16"/>
              </w:rPr>
            </w:pPr>
            <w:r w:rsidRPr="00405303">
              <w:rPr>
                <w:bCs/>
                <w:color w:val="002060"/>
                <w:sz w:val="16"/>
                <w:szCs w:val="16"/>
              </w:rPr>
              <w:t>20</w:t>
            </w:r>
          </w:p>
        </w:tc>
        <w:tc>
          <w:tcPr>
            <w:tcW w:w="6858" w:type="dxa"/>
            <w:shd w:val="clear" w:color="auto" w:fill="FFFFFF"/>
          </w:tcPr>
          <w:p w14:paraId="53119700" w14:textId="77777777" w:rsidR="004B4E35" w:rsidRPr="00405303" w:rsidRDefault="009E6F82" w:rsidP="00C15251">
            <w:pPr>
              <w:jc w:val="both"/>
              <w:rPr>
                <w:bCs/>
                <w:color w:val="002060"/>
                <w:sz w:val="16"/>
                <w:szCs w:val="16"/>
              </w:rPr>
            </w:pPr>
            <w:r w:rsidRPr="00405303">
              <w:rPr>
                <w:bCs/>
                <w:color w:val="002060"/>
                <w:sz w:val="16"/>
                <w:szCs w:val="16"/>
              </w:rPr>
              <w:t>10 тыс. 500 руб. за аппарат без мотора, срок исполнения июль-август 1916 г. (выполнен к 20 мая 1917 г.)</w:t>
            </w:r>
          </w:p>
        </w:tc>
      </w:tr>
      <w:tr w:rsidR="004B4E35" w:rsidRPr="00405303" w14:paraId="3D596397" w14:textId="77777777">
        <w:tc>
          <w:tcPr>
            <w:tcW w:w="1548" w:type="dxa"/>
            <w:shd w:val="clear" w:color="auto" w:fill="FFFFFF"/>
          </w:tcPr>
          <w:p w14:paraId="36E7FBCD" w14:textId="77777777" w:rsidR="004B4E35" w:rsidRPr="00405303" w:rsidRDefault="009E6F82" w:rsidP="00C15251">
            <w:pPr>
              <w:jc w:val="both"/>
              <w:rPr>
                <w:bCs/>
                <w:color w:val="002060"/>
                <w:sz w:val="16"/>
                <w:szCs w:val="16"/>
              </w:rPr>
            </w:pPr>
            <w:r w:rsidRPr="00405303">
              <w:rPr>
                <w:bCs/>
                <w:color w:val="002060"/>
                <w:sz w:val="16"/>
                <w:szCs w:val="16"/>
              </w:rPr>
              <w:t xml:space="preserve">Июнь </w:t>
            </w:r>
            <w:r w:rsidRPr="00405303">
              <w:rPr>
                <w:bCs/>
                <w:i/>
                <w:color w:val="002060"/>
                <w:sz w:val="16"/>
                <w:szCs w:val="16"/>
              </w:rPr>
              <w:t xml:space="preserve">1 </w:t>
            </w:r>
            <w:r w:rsidRPr="00405303">
              <w:rPr>
                <w:bCs/>
                <w:color w:val="002060"/>
                <w:sz w:val="16"/>
                <w:szCs w:val="16"/>
              </w:rPr>
              <w:t>1916</w:t>
            </w:r>
          </w:p>
        </w:tc>
        <w:tc>
          <w:tcPr>
            <w:tcW w:w="1170" w:type="dxa"/>
            <w:shd w:val="clear" w:color="auto" w:fill="FFFFFF"/>
          </w:tcPr>
          <w:p w14:paraId="7CB3C37B" w14:textId="77777777" w:rsidR="004B4E35" w:rsidRPr="00405303" w:rsidRDefault="009E6F82" w:rsidP="00C15251">
            <w:pPr>
              <w:jc w:val="both"/>
              <w:rPr>
                <w:bCs/>
                <w:color w:val="002060"/>
                <w:sz w:val="16"/>
                <w:szCs w:val="16"/>
              </w:rPr>
            </w:pPr>
            <w:r w:rsidRPr="00405303">
              <w:rPr>
                <w:bCs/>
                <w:color w:val="002060"/>
                <w:sz w:val="16"/>
                <w:szCs w:val="16"/>
              </w:rPr>
              <w:t>20</w:t>
            </w:r>
          </w:p>
        </w:tc>
        <w:tc>
          <w:tcPr>
            <w:tcW w:w="6858" w:type="dxa"/>
            <w:shd w:val="clear" w:color="auto" w:fill="FFFFFF"/>
          </w:tcPr>
          <w:p w14:paraId="175F47FD" w14:textId="77777777" w:rsidR="004B4E35" w:rsidRPr="00405303" w:rsidRDefault="009E6F82" w:rsidP="00C15251">
            <w:pPr>
              <w:jc w:val="both"/>
              <w:rPr>
                <w:bCs/>
                <w:color w:val="002060"/>
                <w:sz w:val="16"/>
                <w:szCs w:val="16"/>
              </w:rPr>
            </w:pPr>
            <w:r w:rsidRPr="00405303">
              <w:rPr>
                <w:bCs/>
                <w:color w:val="002060"/>
                <w:sz w:val="16"/>
                <w:szCs w:val="16"/>
              </w:rPr>
              <w:t>заказ на 20 запасных аппаратов, но затем некоторые из них все же использовались как боевые; контракт выполнен к апрелю 1917 г.</w:t>
            </w:r>
          </w:p>
        </w:tc>
      </w:tr>
      <w:tr w:rsidR="004B4E35" w:rsidRPr="00405303" w14:paraId="0CFC84E9" w14:textId="77777777">
        <w:tc>
          <w:tcPr>
            <w:tcW w:w="1548" w:type="dxa"/>
            <w:shd w:val="clear" w:color="auto" w:fill="FFFFFF"/>
          </w:tcPr>
          <w:p w14:paraId="294E77EA" w14:textId="77777777" w:rsidR="004B4E35" w:rsidRPr="00405303" w:rsidRDefault="009E6F82" w:rsidP="00C15251">
            <w:pPr>
              <w:jc w:val="both"/>
              <w:rPr>
                <w:bCs/>
                <w:color w:val="002060"/>
                <w:sz w:val="16"/>
                <w:szCs w:val="16"/>
              </w:rPr>
            </w:pPr>
            <w:r w:rsidRPr="00405303">
              <w:rPr>
                <w:bCs/>
                <w:color w:val="002060"/>
                <w:sz w:val="16"/>
                <w:szCs w:val="16"/>
              </w:rPr>
              <w:t>Сентябрь 22 1916</w:t>
            </w:r>
          </w:p>
        </w:tc>
        <w:tc>
          <w:tcPr>
            <w:tcW w:w="1170" w:type="dxa"/>
            <w:shd w:val="clear" w:color="auto" w:fill="FFFFFF"/>
          </w:tcPr>
          <w:p w14:paraId="425B209A" w14:textId="77777777" w:rsidR="004B4E35" w:rsidRPr="00405303" w:rsidRDefault="009E6F82" w:rsidP="00C15251">
            <w:pPr>
              <w:jc w:val="both"/>
              <w:rPr>
                <w:bCs/>
                <w:color w:val="002060"/>
                <w:sz w:val="16"/>
                <w:szCs w:val="16"/>
              </w:rPr>
            </w:pPr>
            <w:r w:rsidRPr="00405303">
              <w:rPr>
                <w:bCs/>
                <w:color w:val="002060"/>
                <w:sz w:val="16"/>
                <w:szCs w:val="16"/>
              </w:rPr>
              <w:t>30</w:t>
            </w:r>
          </w:p>
        </w:tc>
        <w:tc>
          <w:tcPr>
            <w:tcW w:w="6858" w:type="dxa"/>
            <w:shd w:val="clear" w:color="auto" w:fill="FFFFFF"/>
          </w:tcPr>
          <w:p w14:paraId="3CFE908F" w14:textId="77777777" w:rsidR="004B4E35" w:rsidRPr="00405303" w:rsidRDefault="009E6F82" w:rsidP="00C15251">
            <w:pPr>
              <w:jc w:val="both"/>
              <w:rPr>
                <w:bCs/>
                <w:color w:val="002060"/>
                <w:sz w:val="16"/>
                <w:szCs w:val="16"/>
              </w:rPr>
            </w:pPr>
            <w:r w:rsidRPr="00405303">
              <w:rPr>
                <w:bCs/>
                <w:color w:val="002060"/>
                <w:sz w:val="16"/>
                <w:szCs w:val="16"/>
              </w:rPr>
              <w:t>11 тыс. руб. за аппарат без мотора; полезная нагрузкасниже-на до 275 кг; срок исполнения с 1 октября по 1 декабря 1916 г. (выполнен к концу августа 1917 г.)</w:t>
            </w:r>
          </w:p>
        </w:tc>
      </w:tr>
      <w:tr w:rsidR="004B4E35" w:rsidRPr="00405303" w14:paraId="134EF698" w14:textId="77777777">
        <w:tc>
          <w:tcPr>
            <w:tcW w:w="1548" w:type="dxa"/>
            <w:shd w:val="clear" w:color="auto" w:fill="FFFFFF"/>
          </w:tcPr>
          <w:p w14:paraId="4E8392A5" w14:textId="77777777" w:rsidR="004B4E35" w:rsidRPr="00405303" w:rsidRDefault="009E6F82" w:rsidP="00C15251">
            <w:pPr>
              <w:jc w:val="both"/>
              <w:rPr>
                <w:bCs/>
                <w:color w:val="002060"/>
                <w:sz w:val="16"/>
                <w:szCs w:val="16"/>
              </w:rPr>
            </w:pPr>
            <w:r w:rsidRPr="00405303">
              <w:rPr>
                <w:bCs/>
                <w:color w:val="002060"/>
                <w:sz w:val="16"/>
                <w:szCs w:val="16"/>
              </w:rPr>
              <w:t>Апрель 27 1917</w:t>
            </w:r>
          </w:p>
        </w:tc>
        <w:tc>
          <w:tcPr>
            <w:tcW w:w="1170" w:type="dxa"/>
            <w:shd w:val="clear" w:color="auto" w:fill="FFFFFF"/>
          </w:tcPr>
          <w:p w14:paraId="289DA008" w14:textId="77777777" w:rsidR="004B4E35" w:rsidRPr="00405303" w:rsidRDefault="009E6F82" w:rsidP="00C15251">
            <w:pPr>
              <w:jc w:val="both"/>
              <w:rPr>
                <w:bCs/>
                <w:color w:val="002060"/>
                <w:sz w:val="16"/>
                <w:szCs w:val="16"/>
              </w:rPr>
            </w:pPr>
            <w:r w:rsidRPr="00405303">
              <w:rPr>
                <w:bCs/>
                <w:color w:val="002060"/>
                <w:sz w:val="16"/>
                <w:szCs w:val="16"/>
              </w:rPr>
              <w:t>70</w:t>
            </w:r>
          </w:p>
        </w:tc>
        <w:tc>
          <w:tcPr>
            <w:tcW w:w="6858" w:type="dxa"/>
            <w:shd w:val="clear" w:color="auto" w:fill="FFFFFF"/>
          </w:tcPr>
          <w:p w14:paraId="42110F73" w14:textId="77777777" w:rsidR="004B4E35" w:rsidRPr="00405303" w:rsidRDefault="009E6F82" w:rsidP="00C15251">
            <w:pPr>
              <w:jc w:val="both"/>
              <w:rPr>
                <w:bCs/>
                <w:color w:val="002060"/>
                <w:sz w:val="16"/>
                <w:szCs w:val="16"/>
              </w:rPr>
            </w:pPr>
            <w:r w:rsidRPr="00405303">
              <w:rPr>
                <w:bCs/>
                <w:color w:val="002060"/>
                <w:sz w:val="16"/>
                <w:szCs w:val="16"/>
              </w:rPr>
              <w:t>II тыс. руб. за аппарат без мотора, с уплатой 10% лицензион</w:t>
            </w:r>
            <w:r w:rsidRPr="00405303">
              <w:rPr>
                <w:bCs/>
                <w:color w:val="002060"/>
                <w:sz w:val="16"/>
                <w:szCs w:val="16"/>
              </w:rPr>
              <w:softHyphen/>
              <w:t>ной стоимости ПРТВ; аппараты под мотор «Рон» 110 л. с. или «Гном-Моносупап» 100-110 л. с.; полезная нагрузка 300 кг, скороподъемность 500 м за 5 мин., 1000 м за 10 мин., 2000 м за 30 мин., скорость 100 км/ч, запасы бензина/масла 215/21 л; срок исполнения с 1 декабря 1917 г. по 1 апреля 1918 г. (аннулирован к 2 ноября 1917 г.)</w:t>
            </w:r>
          </w:p>
          <w:p w14:paraId="238A7FA1" w14:textId="77777777" w:rsidR="004B4E35" w:rsidRPr="00405303" w:rsidRDefault="009E6F82" w:rsidP="00C15251">
            <w:pPr>
              <w:jc w:val="both"/>
              <w:rPr>
                <w:bCs/>
                <w:color w:val="002060"/>
                <w:sz w:val="16"/>
                <w:szCs w:val="16"/>
              </w:rPr>
            </w:pPr>
            <w:r w:rsidRPr="00405303">
              <w:rPr>
                <w:bCs/>
                <w:color w:val="002060"/>
                <w:sz w:val="16"/>
                <w:szCs w:val="16"/>
              </w:rPr>
              <w:t>ПРИМЕЧАНИЯ: условный контракт, данный компании Ф. Мельцера в Петрограде</w:t>
            </w:r>
          </w:p>
        </w:tc>
      </w:tr>
      <w:tr w:rsidR="004B4E35" w:rsidRPr="00405303" w14:paraId="0A651A82" w14:textId="77777777">
        <w:tc>
          <w:tcPr>
            <w:tcW w:w="1548" w:type="dxa"/>
            <w:shd w:val="clear" w:color="auto" w:fill="FFFFFF"/>
          </w:tcPr>
          <w:p w14:paraId="5756D40C" w14:textId="77777777" w:rsidR="004B4E35" w:rsidRPr="00405303" w:rsidRDefault="009E6F82" w:rsidP="00C15251">
            <w:pPr>
              <w:jc w:val="both"/>
              <w:rPr>
                <w:bCs/>
                <w:color w:val="002060"/>
                <w:sz w:val="16"/>
                <w:szCs w:val="16"/>
              </w:rPr>
            </w:pPr>
            <w:r w:rsidRPr="00405303">
              <w:rPr>
                <w:bCs/>
                <w:color w:val="002060"/>
                <w:sz w:val="16"/>
                <w:szCs w:val="16"/>
              </w:rPr>
              <w:t>Апрель 29 1917</w:t>
            </w:r>
          </w:p>
        </w:tc>
        <w:tc>
          <w:tcPr>
            <w:tcW w:w="1170" w:type="dxa"/>
            <w:shd w:val="clear" w:color="auto" w:fill="FFFFFF"/>
          </w:tcPr>
          <w:p w14:paraId="3911BE5B" w14:textId="77777777" w:rsidR="004B4E35" w:rsidRPr="00405303" w:rsidRDefault="009E6F82" w:rsidP="00C15251">
            <w:pPr>
              <w:jc w:val="both"/>
              <w:rPr>
                <w:bCs/>
                <w:color w:val="002060"/>
                <w:sz w:val="16"/>
                <w:szCs w:val="16"/>
              </w:rPr>
            </w:pPr>
            <w:r w:rsidRPr="00405303">
              <w:rPr>
                <w:bCs/>
                <w:color w:val="002060"/>
                <w:sz w:val="16"/>
                <w:szCs w:val="16"/>
              </w:rPr>
              <w:t>10</w:t>
            </w:r>
          </w:p>
        </w:tc>
        <w:tc>
          <w:tcPr>
            <w:tcW w:w="6858" w:type="dxa"/>
            <w:shd w:val="clear" w:color="auto" w:fill="FFFFFF"/>
          </w:tcPr>
          <w:p w14:paraId="78C07568" w14:textId="77777777" w:rsidR="004B4E35" w:rsidRPr="00405303" w:rsidRDefault="009E6F82" w:rsidP="00C15251">
            <w:pPr>
              <w:jc w:val="both"/>
              <w:rPr>
                <w:bCs/>
                <w:color w:val="002060"/>
                <w:sz w:val="16"/>
                <w:szCs w:val="16"/>
              </w:rPr>
            </w:pPr>
            <w:r w:rsidRPr="00405303">
              <w:rPr>
                <w:bCs/>
                <w:color w:val="002060"/>
                <w:sz w:val="16"/>
                <w:szCs w:val="16"/>
              </w:rPr>
              <w:t>ПРИМЕЧАНИЯ: 10 запасных корпусов; выполнен к 25 мая 1917 г.; возможно, помимо корпусов поставлено и 20 запасных нижних крыльев</w:t>
            </w:r>
          </w:p>
        </w:tc>
      </w:tr>
      <w:tr w:rsidR="004B4E35" w:rsidRPr="00405303" w14:paraId="04BBA142" w14:textId="77777777">
        <w:tc>
          <w:tcPr>
            <w:tcW w:w="1548" w:type="dxa"/>
            <w:shd w:val="clear" w:color="auto" w:fill="FFFFFF"/>
          </w:tcPr>
          <w:p w14:paraId="63B6AD4A" w14:textId="77777777" w:rsidR="004B4E35" w:rsidRPr="00405303" w:rsidRDefault="009E6F82" w:rsidP="00C15251">
            <w:pPr>
              <w:jc w:val="both"/>
              <w:rPr>
                <w:bCs/>
                <w:color w:val="002060"/>
                <w:sz w:val="16"/>
                <w:szCs w:val="16"/>
              </w:rPr>
            </w:pPr>
            <w:r w:rsidRPr="00405303">
              <w:rPr>
                <w:bCs/>
                <w:color w:val="002060"/>
                <w:sz w:val="16"/>
                <w:szCs w:val="16"/>
              </w:rPr>
              <w:t>Май 26 1917</w:t>
            </w:r>
          </w:p>
        </w:tc>
        <w:tc>
          <w:tcPr>
            <w:tcW w:w="1170" w:type="dxa"/>
            <w:shd w:val="clear" w:color="auto" w:fill="FFFFFF"/>
          </w:tcPr>
          <w:p w14:paraId="7222D555" w14:textId="77777777" w:rsidR="004B4E35" w:rsidRPr="00405303" w:rsidRDefault="009E6F82" w:rsidP="00C15251">
            <w:pPr>
              <w:jc w:val="both"/>
              <w:rPr>
                <w:bCs/>
                <w:color w:val="002060"/>
                <w:sz w:val="16"/>
                <w:szCs w:val="16"/>
              </w:rPr>
            </w:pPr>
            <w:r w:rsidRPr="00405303">
              <w:rPr>
                <w:bCs/>
                <w:color w:val="002060"/>
                <w:sz w:val="16"/>
                <w:szCs w:val="16"/>
              </w:rPr>
              <w:t>25</w:t>
            </w:r>
          </w:p>
        </w:tc>
        <w:tc>
          <w:tcPr>
            <w:tcW w:w="6858" w:type="dxa"/>
            <w:shd w:val="clear" w:color="auto" w:fill="FFFFFF"/>
          </w:tcPr>
          <w:p w14:paraId="3D5F1BD5" w14:textId="77777777" w:rsidR="004B4E35" w:rsidRPr="00405303" w:rsidRDefault="009E6F82" w:rsidP="00C15251">
            <w:pPr>
              <w:jc w:val="both"/>
              <w:rPr>
                <w:bCs/>
                <w:color w:val="002060"/>
                <w:sz w:val="16"/>
                <w:szCs w:val="16"/>
              </w:rPr>
            </w:pPr>
            <w:r w:rsidRPr="00405303">
              <w:rPr>
                <w:bCs/>
                <w:color w:val="002060"/>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4B4E35" w:rsidRPr="00405303" w14:paraId="2B6EC692" w14:textId="77777777">
        <w:tc>
          <w:tcPr>
            <w:tcW w:w="1548" w:type="dxa"/>
            <w:shd w:val="clear" w:color="auto" w:fill="FFFFFF"/>
          </w:tcPr>
          <w:p w14:paraId="2D262384" w14:textId="77777777" w:rsidR="004B4E35" w:rsidRPr="00405303" w:rsidRDefault="009E6F82" w:rsidP="00C15251">
            <w:pPr>
              <w:jc w:val="both"/>
              <w:rPr>
                <w:bCs/>
                <w:color w:val="002060"/>
                <w:sz w:val="16"/>
                <w:szCs w:val="16"/>
              </w:rPr>
            </w:pPr>
            <w:r w:rsidRPr="00405303">
              <w:rPr>
                <w:bCs/>
                <w:color w:val="002060"/>
                <w:sz w:val="16"/>
                <w:szCs w:val="16"/>
              </w:rPr>
              <w:t>Июль 28 1917</w:t>
            </w:r>
          </w:p>
        </w:tc>
        <w:tc>
          <w:tcPr>
            <w:tcW w:w="1170" w:type="dxa"/>
            <w:shd w:val="clear" w:color="auto" w:fill="FFFFFF"/>
          </w:tcPr>
          <w:p w14:paraId="2B2D3DD2" w14:textId="77777777" w:rsidR="004B4E35" w:rsidRPr="00405303" w:rsidRDefault="009E6F82" w:rsidP="00C15251">
            <w:pPr>
              <w:jc w:val="both"/>
              <w:rPr>
                <w:bCs/>
                <w:color w:val="002060"/>
                <w:sz w:val="16"/>
                <w:szCs w:val="16"/>
              </w:rPr>
            </w:pPr>
            <w:r w:rsidRPr="00405303">
              <w:rPr>
                <w:bCs/>
                <w:color w:val="002060"/>
                <w:sz w:val="16"/>
                <w:szCs w:val="16"/>
              </w:rPr>
              <w:t>40</w:t>
            </w:r>
          </w:p>
        </w:tc>
        <w:tc>
          <w:tcPr>
            <w:tcW w:w="6858" w:type="dxa"/>
            <w:shd w:val="clear" w:color="auto" w:fill="FFFFFF"/>
          </w:tcPr>
          <w:p w14:paraId="01A963FB" w14:textId="77777777" w:rsidR="004B4E35" w:rsidRPr="00405303" w:rsidRDefault="009E6F82" w:rsidP="00C15251">
            <w:pPr>
              <w:jc w:val="both"/>
              <w:rPr>
                <w:bCs/>
                <w:color w:val="002060"/>
                <w:sz w:val="16"/>
                <w:szCs w:val="16"/>
              </w:rPr>
            </w:pPr>
            <w:r w:rsidRPr="00405303">
              <w:rPr>
                <w:bCs/>
                <w:color w:val="002060"/>
                <w:sz w:val="16"/>
                <w:szCs w:val="16"/>
              </w:rPr>
              <w:t>16 тыс. руб. за аппарат под мотор «Рон» 125 л.с., срок исполнения с 1 сентября 1917 г. по 1 января 1918 г. (не выполнен)</w:t>
            </w:r>
          </w:p>
          <w:p w14:paraId="5A6D3A9F" w14:textId="77777777" w:rsidR="004B4E35" w:rsidRPr="00405303" w:rsidRDefault="009E6F82" w:rsidP="00C15251">
            <w:pPr>
              <w:jc w:val="both"/>
              <w:rPr>
                <w:bCs/>
                <w:color w:val="002060"/>
                <w:sz w:val="16"/>
                <w:szCs w:val="16"/>
              </w:rPr>
            </w:pPr>
            <w:r w:rsidRPr="00405303">
              <w:rPr>
                <w:bCs/>
                <w:color w:val="002060"/>
                <w:sz w:val="16"/>
                <w:szCs w:val="16"/>
              </w:rPr>
              <w:t>ПРИМЕЧАНИЯ: заказ дан Опытному заводу Д. П. Григоровича (см. главу 2 и раздел М-20)</w:t>
            </w:r>
          </w:p>
        </w:tc>
      </w:tr>
      <w:tr w:rsidR="004B4E35" w:rsidRPr="00405303" w14:paraId="361FDDC4" w14:textId="77777777">
        <w:tc>
          <w:tcPr>
            <w:tcW w:w="1548" w:type="dxa"/>
            <w:shd w:val="clear" w:color="auto" w:fill="FFFFFF"/>
          </w:tcPr>
          <w:p w14:paraId="53C4A80E" w14:textId="77777777" w:rsidR="004B4E35" w:rsidRPr="00405303" w:rsidRDefault="009E6F82" w:rsidP="00C15251">
            <w:pPr>
              <w:jc w:val="both"/>
              <w:rPr>
                <w:bCs/>
                <w:color w:val="002060"/>
                <w:sz w:val="16"/>
                <w:szCs w:val="16"/>
              </w:rPr>
            </w:pPr>
            <w:r w:rsidRPr="00405303">
              <w:rPr>
                <w:bCs/>
                <w:color w:val="002060"/>
                <w:sz w:val="16"/>
                <w:szCs w:val="16"/>
              </w:rPr>
              <w:t>Август 31 1917</w:t>
            </w:r>
          </w:p>
        </w:tc>
        <w:tc>
          <w:tcPr>
            <w:tcW w:w="1170" w:type="dxa"/>
            <w:shd w:val="clear" w:color="auto" w:fill="FFFFFF"/>
          </w:tcPr>
          <w:p w14:paraId="3A6FF2D5" w14:textId="77777777" w:rsidR="004B4E35" w:rsidRPr="00405303" w:rsidRDefault="009E6F82" w:rsidP="00C15251">
            <w:pPr>
              <w:jc w:val="both"/>
              <w:rPr>
                <w:bCs/>
                <w:color w:val="002060"/>
                <w:sz w:val="16"/>
                <w:szCs w:val="16"/>
              </w:rPr>
            </w:pPr>
            <w:r w:rsidRPr="00405303">
              <w:rPr>
                <w:bCs/>
                <w:color w:val="002060"/>
                <w:sz w:val="16"/>
                <w:szCs w:val="16"/>
              </w:rPr>
              <w:t>4</w:t>
            </w:r>
          </w:p>
        </w:tc>
        <w:tc>
          <w:tcPr>
            <w:tcW w:w="6858" w:type="dxa"/>
            <w:shd w:val="clear" w:color="auto" w:fill="FFFFFF"/>
          </w:tcPr>
          <w:p w14:paraId="73C3B5BC" w14:textId="77777777" w:rsidR="004B4E35" w:rsidRPr="00405303" w:rsidRDefault="009E6F82" w:rsidP="00C15251">
            <w:pPr>
              <w:jc w:val="both"/>
              <w:rPr>
                <w:bCs/>
                <w:color w:val="002060"/>
                <w:sz w:val="16"/>
                <w:szCs w:val="16"/>
              </w:rPr>
            </w:pPr>
            <w:r w:rsidRPr="00405303">
              <w:rPr>
                <w:bCs/>
                <w:color w:val="002060"/>
                <w:sz w:val="16"/>
                <w:szCs w:val="16"/>
              </w:rPr>
              <w:t>контракт на ранее приобретенные аппараты (2807)</w:t>
            </w:r>
          </w:p>
        </w:tc>
      </w:tr>
    </w:tbl>
    <w:p w14:paraId="7F8B7467" w14:textId="77777777" w:rsidR="004B4E35" w:rsidRPr="00405303" w:rsidRDefault="004B4E35" w:rsidP="00C15251">
      <w:pPr>
        <w:shd w:val="clear" w:color="auto" w:fill="FFFFFF"/>
        <w:jc w:val="both"/>
        <w:rPr>
          <w:bCs/>
          <w:color w:val="002060"/>
          <w:sz w:val="16"/>
          <w:szCs w:val="16"/>
        </w:rPr>
      </w:pPr>
    </w:p>
    <w:p w14:paraId="4D120F35" w14:textId="4CDA43A2"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21 декабря 1915 г. </w:t>
      </w:r>
      <w:r w:rsidR="00E1045F" w:rsidRPr="00405303">
        <w:rPr>
          <w:bCs/>
          <w:color w:val="002060"/>
          <w:sz w:val="16"/>
          <w:szCs w:val="16"/>
        </w:rPr>
        <w:t xml:space="preserve">(3 января 1916 г.) </w:t>
      </w:r>
      <w:r w:rsidRPr="00405303">
        <w:rPr>
          <w:bCs/>
          <w:color w:val="002060"/>
          <w:sz w:val="16"/>
          <w:szCs w:val="16"/>
        </w:rPr>
        <w:t>ГА. Ботезат представил Техническому комитету результаты исследований прибора Толмачева, из которых следовало, что пренебрегать сопротивлением воздуха и влияни</w:t>
      </w:r>
      <w:r w:rsidRPr="00405303">
        <w:rPr>
          <w:bCs/>
          <w:color w:val="002060"/>
          <w:sz w:val="16"/>
          <w:szCs w:val="16"/>
        </w:rPr>
        <w:softHyphen/>
        <w:t>ем ветра без большого ущерба для точности бомбометания нельзя. Бо</w:t>
      </w:r>
      <w:r w:rsidRPr="00405303">
        <w:rPr>
          <w:bCs/>
          <w:color w:val="002060"/>
          <w:sz w:val="16"/>
          <w:szCs w:val="16"/>
        </w:rPr>
        <w:softHyphen/>
        <w:t>тезат представил сводку поправок, которые необходимо принимать во внимание при работе с этим прибором.</w:t>
      </w:r>
    </w:p>
    <w:p w14:paraId="48DE4D4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 кораблях «Илья Муромец» прицел Толмачева не устанавливался. Командование эскадры отказалось от него, так как его визир не имел ав</w:t>
      </w:r>
      <w:r w:rsidRPr="00405303">
        <w:rPr>
          <w:bCs/>
          <w:color w:val="002060"/>
          <w:sz w:val="16"/>
          <w:szCs w:val="16"/>
        </w:rPr>
        <w:softHyphen/>
        <w:t>томатически устанавливающейся вертикали. Просторная кабина самоле</w:t>
      </w:r>
      <w:r w:rsidRPr="00405303">
        <w:rPr>
          <w:bCs/>
          <w:color w:val="002060"/>
          <w:sz w:val="16"/>
          <w:szCs w:val="16"/>
        </w:rPr>
        <w:softHyphen/>
        <w:t>та «Илья Муромец» позволяла применять приборы с автоматической вер</w:t>
      </w:r>
      <w:r w:rsidRPr="00405303">
        <w:rPr>
          <w:bCs/>
          <w:color w:val="002060"/>
          <w:sz w:val="16"/>
          <w:szCs w:val="16"/>
        </w:rPr>
        <w:softHyphen/>
        <w:t>тикалью. Заслуга создания таких приборов принадлежит членам экипа</w:t>
      </w:r>
      <w:r w:rsidRPr="00405303">
        <w:rPr>
          <w:bCs/>
          <w:color w:val="002060"/>
          <w:sz w:val="16"/>
          <w:szCs w:val="16"/>
        </w:rPr>
        <w:softHyphen/>
        <w:t>жей самолетов «Илья Муромец» А.Н. Журавченко и Н.И. Иванову. В начале войны артиллерийский офицер капитан Иванов, откомандированный в эскадру воздушных кораблей, сконструировал прицел для сбрасывания авиабомб.</w:t>
      </w:r>
    </w:p>
    <w:p w14:paraId="1348762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Он представлял собой рамку в виде усеченной пирамиды, свободно подвешенную на карданном кольце. Основание пирамиды представляло собой курсовую черту, разделенную поперечными делениями через 5°. Вдоль курсовой черты перемещался рычажок с визирной планкой. Угол прицеливания отсчитывался автоматически с помощью маятниковой под</w:t>
      </w:r>
      <w:r w:rsidRPr="00405303">
        <w:rPr>
          <w:bCs/>
          <w:color w:val="002060"/>
          <w:sz w:val="16"/>
          <w:szCs w:val="16"/>
        </w:rPr>
        <w:softHyphen/>
        <w:t>вески прицельной рамки в карданном кольце. Визирование на цель про</w:t>
      </w:r>
      <w:r w:rsidRPr="00405303">
        <w:rPr>
          <w:bCs/>
          <w:color w:val="002060"/>
          <w:sz w:val="16"/>
          <w:szCs w:val="16"/>
        </w:rPr>
        <w:softHyphen/>
        <w:t>изводилась по двум точкам на прицеле: центру карданного кольца и пересечению визирной планки с курсовой чертой. Штурман при подлете к цели сначала визировал любой ориентир под углом 45° и 0° (база пролета равнялась высоте) и засекал время. Зная время и длину базы (по высото</w:t>
      </w:r>
      <w:r w:rsidRPr="00405303">
        <w:rPr>
          <w:bCs/>
          <w:color w:val="002060"/>
          <w:sz w:val="16"/>
          <w:szCs w:val="16"/>
        </w:rPr>
        <w:softHyphen/>
        <w:t>меру), определял путевую скорость (полет, как правило, производился в плоскости ветра). По таблицам Ботезата определял угол прицеливания и устанавливал на этот угол визирную планку прицела. Когда прицельный луч совмещался с целью, сбрасывались бомбы.</w:t>
      </w:r>
    </w:p>
    <w:p w14:paraId="5DE8FD8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Прицел Иванова существенно повысил эффективность боевого при</w:t>
      </w:r>
      <w:r w:rsidRPr="00405303">
        <w:rPr>
          <w:bCs/>
          <w:color w:val="002060"/>
          <w:sz w:val="16"/>
          <w:szCs w:val="16"/>
        </w:rPr>
        <w:softHyphen/>
        <w:t>менения эскадры тяжелых самолетов (11425).</w:t>
      </w:r>
    </w:p>
    <w:p w14:paraId="4E52CB3B" w14:textId="77777777" w:rsidR="004B4E35" w:rsidRPr="00405303" w:rsidRDefault="004B4E35" w:rsidP="00C15251">
      <w:pPr>
        <w:shd w:val="clear" w:color="auto" w:fill="FFFFFF"/>
        <w:jc w:val="both"/>
        <w:rPr>
          <w:bCs/>
          <w:color w:val="002060"/>
          <w:sz w:val="16"/>
          <w:szCs w:val="16"/>
        </w:rPr>
      </w:pPr>
    </w:p>
    <w:p w14:paraId="07BC9221" w14:textId="5734F857" w:rsidR="00C74E3B" w:rsidRPr="00405303" w:rsidRDefault="00C74E3B" w:rsidP="00C15251">
      <w:pPr>
        <w:jc w:val="both"/>
        <w:rPr>
          <w:bCs/>
          <w:color w:val="002060"/>
          <w:sz w:val="16"/>
          <w:szCs w:val="16"/>
        </w:rPr>
      </w:pPr>
      <w:r w:rsidRPr="00405303">
        <w:rPr>
          <w:bCs/>
          <w:color w:val="002060"/>
          <w:sz w:val="16"/>
          <w:szCs w:val="16"/>
        </w:rPr>
        <w:t>21 декабря 1915 г. (3 января 1916</w:t>
      </w:r>
      <w:r w:rsidR="00E1045F" w:rsidRPr="00405303">
        <w:rPr>
          <w:bCs/>
          <w:color w:val="002060"/>
          <w:sz w:val="16"/>
          <w:szCs w:val="16"/>
        </w:rPr>
        <w:t xml:space="preserve"> г.</w:t>
      </w:r>
      <w:r w:rsidRPr="00405303">
        <w:rPr>
          <w:bCs/>
          <w:color w:val="002060"/>
          <w:sz w:val="16"/>
          <w:szCs w:val="16"/>
        </w:rPr>
        <w:t>) профессор Г.А. Ботезат представил на рассмотрение Технического комитета исследование «механических оснований прицельного прибора штабс-капитана Толмачева» и сводку поправок, которые необходимо принимать во внимание при пользо</w:t>
      </w:r>
      <w:r w:rsidRPr="00405303">
        <w:rPr>
          <w:bCs/>
          <w:color w:val="002060"/>
          <w:sz w:val="16"/>
          <w:szCs w:val="16"/>
        </w:rPr>
        <w:softHyphen/>
        <w:t>вании этим прибором. Исследование показало, что пренебрегать сопротив</w:t>
      </w:r>
      <w:r w:rsidRPr="00405303">
        <w:rPr>
          <w:bCs/>
          <w:color w:val="002060"/>
          <w:sz w:val="16"/>
          <w:szCs w:val="16"/>
        </w:rPr>
        <w:softHyphen/>
        <w:t>лением воздуха и влиянием ветра без большого ущерба для точности бомбо</w:t>
      </w:r>
      <w:r w:rsidRPr="00405303">
        <w:rPr>
          <w:bCs/>
          <w:color w:val="002060"/>
          <w:sz w:val="16"/>
          <w:szCs w:val="16"/>
        </w:rPr>
        <w:softHyphen/>
        <w:t>метания нельзя. В некоторых случаях вследствие пренебрежения этими фак</w:t>
      </w:r>
      <w:r w:rsidRPr="00405303">
        <w:rPr>
          <w:bCs/>
          <w:color w:val="002060"/>
          <w:sz w:val="16"/>
          <w:szCs w:val="16"/>
        </w:rPr>
        <w:softHyphen/>
        <w:t>торами при бомбометании по прибору Толмачева уклонение снаряда от цели может достигать одного километра. Дополнительно Ботезат разработал круговую номограмму, заменяющую специальную таблицу и позволяющую учитывать зависимость скорость само</w:t>
      </w:r>
      <w:r w:rsidRPr="00405303">
        <w:rPr>
          <w:bCs/>
          <w:color w:val="002060"/>
          <w:sz w:val="16"/>
          <w:szCs w:val="16"/>
        </w:rPr>
        <w:softHyphen/>
        <w:t>лета и ветра. Эти расчеты распростра- столько секунд, сколько составит разность между показаниями секундомера и временем падения бомбы.</w:t>
      </w:r>
    </w:p>
    <w:p w14:paraId="683EA4D2" w14:textId="77777777" w:rsidR="00C74E3B" w:rsidRPr="00405303" w:rsidRDefault="00C74E3B" w:rsidP="00C15251">
      <w:pPr>
        <w:jc w:val="both"/>
        <w:rPr>
          <w:bCs/>
          <w:color w:val="002060"/>
          <w:sz w:val="16"/>
          <w:szCs w:val="16"/>
        </w:rPr>
      </w:pPr>
      <w:r w:rsidRPr="00405303">
        <w:rPr>
          <w:bCs/>
          <w:color w:val="002060"/>
          <w:sz w:val="16"/>
          <w:szCs w:val="16"/>
        </w:rPr>
        <w:t>К этому времени в армию поступило уже большое количес</w:t>
      </w:r>
      <w:r w:rsidRPr="00405303">
        <w:rPr>
          <w:bCs/>
          <w:color w:val="002060"/>
          <w:sz w:val="16"/>
          <w:szCs w:val="16"/>
        </w:rPr>
        <w:softHyphen/>
        <w:t>тво приборов системы Толмачева, поэтому было решено издать к ним поправочные данные в виде таблиц и круговых номограмм профессора Ботезата упрощенного вида с исчислением высоты от 600 до 5000 м. Такими таблицами вскоре были снабжены почти все самолеты, состоявшие на вооружении русской армии.</w:t>
      </w:r>
    </w:p>
    <w:p w14:paraId="46460C44" w14:textId="77777777" w:rsidR="00C74E3B" w:rsidRPr="00405303" w:rsidRDefault="00C74E3B" w:rsidP="00C15251">
      <w:pPr>
        <w:jc w:val="both"/>
        <w:rPr>
          <w:bCs/>
          <w:color w:val="002060"/>
          <w:sz w:val="16"/>
          <w:szCs w:val="16"/>
        </w:rPr>
      </w:pPr>
      <w:r w:rsidRPr="00405303">
        <w:rPr>
          <w:bCs/>
          <w:color w:val="002060"/>
          <w:sz w:val="16"/>
          <w:szCs w:val="16"/>
        </w:rPr>
        <w:t>Однако прицел Толмачева не устанавливался на многомо</w:t>
      </w:r>
      <w:r w:rsidRPr="00405303">
        <w:rPr>
          <w:bCs/>
          <w:color w:val="002060"/>
          <w:sz w:val="16"/>
          <w:szCs w:val="16"/>
        </w:rPr>
        <w:softHyphen/>
        <w:t>торных самолетах. Командование эскадры кораблей «Илья Му</w:t>
      </w:r>
      <w:r w:rsidRPr="00405303">
        <w:rPr>
          <w:bCs/>
          <w:color w:val="002060"/>
          <w:sz w:val="16"/>
          <w:szCs w:val="16"/>
        </w:rPr>
        <w:softHyphen/>
        <w:t xml:space="preserve">ромец» отказалось от него из-за того, что его визир не обладал автоматически устанавливающейся вертикалью маятникового типа. Всякая качка самолета затрудняла визирование цели. В условиях тесной кабины </w:t>
      </w:r>
      <w:r w:rsidRPr="00405303">
        <w:rPr>
          <w:bCs/>
          <w:color w:val="002060"/>
          <w:sz w:val="16"/>
          <w:szCs w:val="16"/>
        </w:rPr>
        <w:lastRenderedPageBreak/>
        <w:t>одномоторных самолетов, не позво</w:t>
      </w:r>
      <w:r w:rsidRPr="00405303">
        <w:rPr>
          <w:bCs/>
          <w:color w:val="002060"/>
          <w:sz w:val="16"/>
          <w:szCs w:val="16"/>
        </w:rPr>
        <w:softHyphen/>
        <w:t>лявшей устанавливать сколько-нибудь громоздкие приборы, прицел Толмачева был приемлем. Просторная же кабина само</w:t>
      </w:r>
      <w:r w:rsidRPr="00405303">
        <w:rPr>
          <w:bCs/>
          <w:color w:val="002060"/>
          <w:sz w:val="16"/>
          <w:szCs w:val="16"/>
        </w:rPr>
        <w:softHyphen/>
        <w:t>летов «Илья Муромец» позволяла применять более совершенные приборы с автоматической верти</w:t>
      </w:r>
      <w:r w:rsidRPr="00405303">
        <w:rPr>
          <w:bCs/>
          <w:color w:val="002060"/>
          <w:sz w:val="16"/>
          <w:szCs w:val="16"/>
        </w:rPr>
        <w:softHyphen/>
        <w:t>калью, которые с применением таблиц профессора Ботезата обеспечивали бы более высокую меткость бомбоме</w:t>
      </w:r>
      <w:r w:rsidRPr="00405303">
        <w:rPr>
          <w:bCs/>
          <w:color w:val="002060"/>
          <w:sz w:val="16"/>
          <w:szCs w:val="16"/>
        </w:rPr>
        <w:softHyphen/>
        <w:t>тания.</w:t>
      </w:r>
    </w:p>
    <w:p w14:paraId="08516FD6" w14:textId="4F027712" w:rsidR="00C74E3B" w:rsidRPr="00405303" w:rsidRDefault="00C74E3B" w:rsidP="00C15251">
      <w:pPr>
        <w:jc w:val="both"/>
        <w:rPr>
          <w:bCs/>
          <w:color w:val="002060"/>
          <w:sz w:val="16"/>
          <w:szCs w:val="16"/>
        </w:rPr>
      </w:pPr>
      <w:r w:rsidRPr="00405303">
        <w:rPr>
          <w:bCs/>
          <w:color w:val="002060"/>
          <w:sz w:val="16"/>
          <w:szCs w:val="16"/>
        </w:rPr>
        <w:t>Заслуга создания таких прибо</w:t>
      </w:r>
      <w:r w:rsidRPr="00405303">
        <w:rPr>
          <w:bCs/>
          <w:color w:val="002060"/>
          <w:sz w:val="16"/>
          <w:szCs w:val="16"/>
        </w:rPr>
        <w:softHyphen/>
        <w:t>ров принадлежит членам экипажей самолетов «Илья Муромец» А.Н. Жу- равченко и Иванову. В начале войны артиллерийский офицер капитан Ива</w:t>
      </w:r>
      <w:r w:rsidRPr="00405303">
        <w:rPr>
          <w:bCs/>
          <w:color w:val="002060"/>
          <w:sz w:val="16"/>
          <w:szCs w:val="16"/>
        </w:rPr>
        <w:softHyphen/>
        <w:t>нов, откомандированный на службу в</w:t>
      </w:r>
      <w:r w:rsidR="000F5756">
        <w:rPr>
          <w:bCs/>
          <w:color w:val="002060"/>
          <w:sz w:val="16"/>
          <w:szCs w:val="16"/>
        </w:rPr>
        <w:t xml:space="preserve"> </w:t>
      </w:r>
      <w:r w:rsidRPr="00405303">
        <w:rPr>
          <w:bCs/>
          <w:color w:val="002060"/>
          <w:sz w:val="16"/>
          <w:szCs w:val="16"/>
        </w:rPr>
        <w:t>эскадру воздушных гигантов, сконс</w:t>
      </w:r>
      <w:r w:rsidRPr="00405303">
        <w:rPr>
          <w:bCs/>
          <w:color w:val="002060"/>
          <w:sz w:val="16"/>
          <w:szCs w:val="16"/>
        </w:rPr>
        <w:softHyphen/>
        <w:t>труировал прицел для сбрасывания авиабомб. Он представлял собой лег</w:t>
      </w:r>
      <w:r w:rsidRPr="00405303">
        <w:rPr>
          <w:bCs/>
          <w:color w:val="002060"/>
          <w:sz w:val="16"/>
          <w:szCs w:val="16"/>
        </w:rPr>
        <w:softHyphen/>
        <w:t>кую рамку в форме усеченной пира</w:t>
      </w:r>
      <w:r w:rsidRPr="00405303">
        <w:rPr>
          <w:bCs/>
          <w:color w:val="002060"/>
          <w:sz w:val="16"/>
          <w:szCs w:val="16"/>
        </w:rPr>
        <w:softHyphen/>
        <w:t>миды, свободно подвешенную на кар</w:t>
      </w:r>
      <w:r w:rsidRPr="00405303">
        <w:rPr>
          <w:bCs/>
          <w:color w:val="002060"/>
          <w:sz w:val="16"/>
          <w:szCs w:val="16"/>
        </w:rPr>
        <w:softHyphen/>
        <w:t>данном кольце. Основание пирамиды представляло собой курсовую черту, разделенную поперечными деления</w:t>
      </w:r>
      <w:r w:rsidRPr="00405303">
        <w:rPr>
          <w:bCs/>
          <w:color w:val="002060"/>
          <w:sz w:val="16"/>
          <w:szCs w:val="16"/>
        </w:rPr>
        <w:softHyphen/>
        <w:t>ми ценою 5°. Вдоль курсовой черты с помощью микрометра перемещался рычажок с визирной планкой. Уста</w:t>
      </w:r>
      <w:r w:rsidRPr="00405303">
        <w:rPr>
          <w:bCs/>
          <w:color w:val="002060"/>
          <w:sz w:val="16"/>
          <w:szCs w:val="16"/>
        </w:rPr>
        <w:softHyphen/>
        <w:t>новка последней производилась по угловой шкале. Угол прицеливания от</w:t>
      </w:r>
      <w:r w:rsidRPr="00405303">
        <w:rPr>
          <w:bCs/>
          <w:color w:val="002060"/>
          <w:sz w:val="16"/>
          <w:szCs w:val="16"/>
        </w:rPr>
        <w:softHyphen/>
        <w:t>считывался автоматически с помощью маятниковой подвески прицельной рамки в карданном кольце. Визирование на цель производилось по двум точкам на прице</w:t>
      </w:r>
      <w:r w:rsidRPr="00405303">
        <w:rPr>
          <w:bCs/>
          <w:color w:val="002060"/>
          <w:sz w:val="16"/>
          <w:szCs w:val="16"/>
        </w:rPr>
        <w:softHyphen/>
        <w:t>ле: центру карданного кольца и пересечению визирной планки с курсовой чертой.</w:t>
      </w:r>
    </w:p>
    <w:p w14:paraId="373C2422" w14:textId="77777777" w:rsidR="00C74E3B" w:rsidRPr="00405303" w:rsidRDefault="00C74E3B" w:rsidP="00C15251">
      <w:pPr>
        <w:jc w:val="both"/>
        <w:rPr>
          <w:bCs/>
          <w:color w:val="002060"/>
          <w:sz w:val="16"/>
          <w:szCs w:val="16"/>
        </w:rPr>
      </w:pPr>
      <w:r w:rsidRPr="00405303">
        <w:rPr>
          <w:bCs/>
          <w:color w:val="002060"/>
          <w:sz w:val="16"/>
          <w:szCs w:val="16"/>
        </w:rPr>
        <w:t>Штурман сначала визировал местный ориентир под углом 45°, потом - по вертикали и засекал время полета между пер</w:t>
      </w:r>
      <w:r w:rsidRPr="00405303">
        <w:rPr>
          <w:bCs/>
          <w:color w:val="002060"/>
          <w:sz w:val="16"/>
          <w:szCs w:val="16"/>
        </w:rPr>
        <w:softHyphen/>
        <w:t>вым и вторым визированием (база пролета равнялась высоте по</w:t>
      </w:r>
      <w:r w:rsidRPr="00405303">
        <w:rPr>
          <w:bCs/>
          <w:color w:val="002060"/>
          <w:sz w:val="16"/>
          <w:szCs w:val="16"/>
        </w:rPr>
        <w:softHyphen/>
        <w:t>лета), затем, зная время и определив по высотомеру длину базы промера, находил скорость самолета относительно земли. Полет производился в плоскости ветра. Пользуясь баллистическими таблицами Ботезата, штурман находил угол прицеливания по высоте и путевой скорости и устанавливал под найденным углом визирную планку прицела. При подходе к цели, когда прицель</w:t>
      </w:r>
      <w:r w:rsidRPr="00405303">
        <w:rPr>
          <w:bCs/>
          <w:color w:val="002060"/>
          <w:sz w:val="16"/>
          <w:szCs w:val="16"/>
        </w:rPr>
        <w:softHyphen/>
        <w:t>ный луч пересекал цель, сбрасывалась бомба (23011).</w:t>
      </w:r>
    </w:p>
    <w:p w14:paraId="1942F975" w14:textId="77777777" w:rsidR="00C74E3B" w:rsidRPr="00405303" w:rsidRDefault="00C74E3B" w:rsidP="00C15251">
      <w:pPr>
        <w:jc w:val="both"/>
        <w:rPr>
          <w:bCs/>
          <w:color w:val="002060"/>
          <w:sz w:val="16"/>
          <w:szCs w:val="16"/>
        </w:rPr>
      </w:pPr>
    </w:p>
    <w:p w14:paraId="023A6502" w14:textId="77777777" w:rsidR="00024AE2" w:rsidRPr="00405303" w:rsidRDefault="00024AE2" w:rsidP="00C15251">
      <w:pPr>
        <w:jc w:val="both"/>
        <w:rPr>
          <w:color w:val="002060"/>
          <w:sz w:val="16"/>
          <w:szCs w:val="16"/>
        </w:rPr>
      </w:pPr>
      <w:r w:rsidRPr="00405303">
        <w:rPr>
          <w:color w:val="002060"/>
          <w:sz w:val="16"/>
          <w:szCs w:val="16"/>
          <w:lang w:bidi="ru-RU"/>
        </w:rPr>
        <w:t>В декабре 1915 г. Управление Военно-воздушного флота (УВВФ) потре</w:t>
      </w:r>
      <w:r w:rsidRPr="00405303">
        <w:rPr>
          <w:color w:val="002060"/>
          <w:sz w:val="16"/>
          <w:szCs w:val="16"/>
          <w:lang w:bidi="ru-RU"/>
        </w:rPr>
        <w:softHyphen/>
        <w:t>бовало вернуть с фронта инженеров и квалифициро</w:t>
      </w:r>
      <w:r w:rsidRPr="00405303">
        <w:rPr>
          <w:color w:val="002060"/>
          <w:sz w:val="16"/>
          <w:szCs w:val="16"/>
          <w:lang w:bidi="ru-RU"/>
        </w:rPr>
        <w:softHyphen/>
        <w:t>ванных рабочих в промышленность, была объявлена трудовая мобилизация выпускников высших учебных заведений.</w:t>
      </w:r>
    </w:p>
    <w:p w14:paraId="1541B7F3" w14:textId="77777777" w:rsidR="00024AE2" w:rsidRPr="00405303" w:rsidRDefault="00024AE2" w:rsidP="00C15251">
      <w:pPr>
        <w:jc w:val="both"/>
        <w:rPr>
          <w:color w:val="002060"/>
          <w:sz w:val="16"/>
          <w:szCs w:val="16"/>
        </w:rPr>
      </w:pPr>
      <w:r w:rsidRPr="00405303">
        <w:rPr>
          <w:color w:val="002060"/>
          <w:sz w:val="16"/>
          <w:szCs w:val="16"/>
          <w:lang w:bidi="ru-RU"/>
        </w:rPr>
        <w:t>Заинтересованные в специалистах предприятия долж</w:t>
      </w:r>
      <w:r w:rsidRPr="00405303">
        <w:rPr>
          <w:color w:val="002060"/>
          <w:sz w:val="16"/>
          <w:szCs w:val="16"/>
          <w:lang w:bidi="ru-RU"/>
        </w:rPr>
        <w:softHyphen/>
        <w:t>ны были направить заявку на каждого в соответствующее Управление Российской армии и флота, в которой указы</w:t>
      </w:r>
      <w:r w:rsidRPr="00405303">
        <w:rPr>
          <w:color w:val="002060"/>
          <w:sz w:val="16"/>
          <w:szCs w:val="16"/>
          <w:lang w:bidi="ru-RU"/>
        </w:rPr>
        <w:softHyphen/>
        <w:t>валось, для выполнения каких задач необходим специа</w:t>
      </w:r>
      <w:r w:rsidRPr="00405303">
        <w:rPr>
          <w:color w:val="002060"/>
          <w:sz w:val="16"/>
          <w:szCs w:val="16"/>
          <w:lang w:bidi="ru-RU"/>
        </w:rPr>
        <w:softHyphen/>
        <w:t>лист. Обычно заявки составлялись на лиц, уже какое-то время работавших на данном предприятии и участвую</w:t>
      </w:r>
      <w:r w:rsidRPr="00405303">
        <w:rPr>
          <w:color w:val="002060"/>
          <w:sz w:val="16"/>
          <w:szCs w:val="16"/>
          <w:lang w:bidi="ru-RU"/>
        </w:rPr>
        <w:softHyphen/>
        <w:t>щих в выполнении военных заказов. И.И.Сикорский, вы</w:t>
      </w:r>
      <w:r w:rsidRPr="00405303">
        <w:rPr>
          <w:color w:val="002060"/>
          <w:sz w:val="16"/>
          <w:szCs w:val="16"/>
          <w:lang w:bidi="ru-RU"/>
        </w:rPr>
        <w:softHyphen/>
        <w:t>соко оценив знания Поликарпова при выполнении им курсовой работы по проекту аэроплана типа «Депердюс- сен» и услышав о его работе на Петроградском отделении завода «Дуке», сделал такой запрос в УВВФ. При этом не исключено, что Николай Николаевич в конце 1915 г. под</w:t>
      </w:r>
      <w:r w:rsidRPr="00405303">
        <w:rPr>
          <w:color w:val="002060"/>
          <w:sz w:val="16"/>
          <w:szCs w:val="16"/>
          <w:lang w:bidi="ru-RU"/>
        </w:rPr>
        <w:softHyphen/>
        <w:t>рабатывал у Сикорского.</w:t>
      </w:r>
    </w:p>
    <w:p w14:paraId="153A9DEE" w14:textId="77777777" w:rsidR="00024AE2" w:rsidRPr="00405303" w:rsidRDefault="00024AE2" w:rsidP="00C15251">
      <w:pPr>
        <w:jc w:val="both"/>
        <w:rPr>
          <w:color w:val="002060"/>
          <w:sz w:val="16"/>
          <w:szCs w:val="16"/>
          <w:lang w:bidi="ru-RU"/>
        </w:rPr>
      </w:pPr>
      <w:r w:rsidRPr="00405303">
        <w:rPr>
          <w:color w:val="002060"/>
          <w:sz w:val="16"/>
          <w:szCs w:val="16"/>
          <w:lang w:bidi="ru-RU"/>
        </w:rPr>
        <w:t>По этой причине сразу после окончания института Н.Н.Поликарпов, несмотря на просьбу зачислить его на Курсы гидроавиации, получил мобилизационное на</w:t>
      </w:r>
      <w:r w:rsidRPr="00405303">
        <w:rPr>
          <w:color w:val="002060"/>
          <w:sz w:val="16"/>
          <w:szCs w:val="16"/>
          <w:lang w:bidi="ru-RU"/>
        </w:rPr>
        <w:softHyphen/>
        <w:t>правление на авиационное отделение Русско-Балтийско</w:t>
      </w:r>
      <w:r w:rsidRPr="00405303">
        <w:rPr>
          <w:color w:val="002060"/>
          <w:sz w:val="16"/>
          <w:szCs w:val="16"/>
          <w:lang w:bidi="ru-RU"/>
        </w:rPr>
        <w:softHyphen/>
        <w:t>го вагонного завода, располагавшееся на Строгановской набережной. Годы учения закончились. Началась трудо</w:t>
      </w:r>
      <w:r w:rsidRPr="00405303">
        <w:rPr>
          <w:color w:val="002060"/>
          <w:sz w:val="16"/>
          <w:szCs w:val="16"/>
          <w:lang w:bidi="ru-RU"/>
        </w:rPr>
        <w:softHyphen/>
        <w:t>вая жизнь (23193).</w:t>
      </w:r>
    </w:p>
    <w:p w14:paraId="04C963DE" w14:textId="77777777" w:rsidR="00024AE2" w:rsidRPr="00405303" w:rsidRDefault="00024AE2" w:rsidP="00C15251">
      <w:pPr>
        <w:jc w:val="both"/>
        <w:rPr>
          <w:color w:val="002060"/>
          <w:sz w:val="16"/>
          <w:szCs w:val="16"/>
          <w:lang w:bidi="ru-RU"/>
        </w:rPr>
      </w:pPr>
    </w:p>
    <w:p w14:paraId="594B7032"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3E1C1F3B" w14:textId="77777777" w:rsidR="004B4E35" w:rsidRPr="00405303" w:rsidRDefault="004B4E35" w:rsidP="00C15251">
      <w:pPr>
        <w:jc w:val="both"/>
        <w:rPr>
          <w:bCs/>
          <w:i/>
          <w:color w:val="002060"/>
          <w:sz w:val="16"/>
          <w:szCs w:val="16"/>
        </w:rPr>
      </w:pPr>
    </w:p>
    <w:p w14:paraId="57E6F7F1" w14:textId="5B1CE6E1" w:rsidR="004B4E35" w:rsidRPr="00405303" w:rsidRDefault="009E6F82" w:rsidP="00C15251">
      <w:pPr>
        <w:jc w:val="both"/>
        <w:rPr>
          <w:bCs/>
          <w:color w:val="002060"/>
          <w:sz w:val="16"/>
          <w:szCs w:val="16"/>
        </w:rPr>
      </w:pPr>
      <w:r w:rsidRPr="00405303">
        <w:rPr>
          <w:bCs/>
          <w:color w:val="002060"/>
          <w:sz w:val="16"/>
          <w:szCs w:val="16"/>
        </w:rPr>
        <w:t>21 декабря 1915 года (2 января 1916</w:t>
      </w:r>
      <w:r w:rsidR="00E1045F" w:rsidRPr="00405303">
        <w:rPr>
          <w:bCs/>
          <w:color w:val="002060"/>
          <w:sz w:val="16"/>
          <w:szCs w:val="16"/>
        </w:rPr>
        <w:t xml:space="preserve"> г.</w:t>
      </w:r>
      <w:r w:rsidRPr="00405303">
        <w:rPr>
          <w:bCs/>
          <w:color w:val="002060"/>
          <w:sz w:val="16"/>
          <w:szCs w:val="16"/>
        </w:rPr>
        <w:t>) артиллерийское отделение Главного управления кораблестроения поручило МЗ в кратчайший срок изготовить для морской крепости "Императора Петра Великого" одну установку на центральном штыре для 12-дюймовой пушки по разработанному им проекту при условии, что по рабочим чертежам и указаниям МЗ другие заводы срочно выполнят еще 11 таких же установок. Из означенного количества Николаевские заводы должны были выполнить 4 установки, Адмиралтейский и Балтийский судостроительные заводы вместе 7 установок. Николаевские заводы были привлечены к этой работе по той причине, что качающиеся части станков для этих установок брались с трехрудийных 12-дюймовых установок строящегося на этом заводе линейного корабля "Император Александр III". Приводы наведения установок были только ручными, хотя МЗ и разработал проект установки с электрическими приводами наведения, действий с замком, прибойником и зарядом. Всего в ней насчитывалось 5 двигателей мощностью 47 л.с. и напряжением постоянного тока 110 вольт. Впрочем считалось, что одновременно могут действовать не более двух двигателей общей мощностью до 25 л.с. Так как установки на центральном штыре были максимально унифицированы с корабельными, уже изготовлявшимися заводом, то заказ был выполнен сравнительно быстро (3861).</w:t>
      </w:r>
    </w:p>
    <w:p w14:paraId="52C2CCC4" w14:textId="77777777" w:rsidR="004B4E35" w:rsidRPr="00405303" w:rsidRDefault="004B4E35" w:rsidP="00C15251">
      <w:pPr>
        <w:jc w:val="both"/>
        <w:rPr>
          <w:bCs/>
          <w:color w:val="002060"/>
          <w:sz w:val="16"/>
          <w:szCs w:val="16"/>
        </w:rPr>
      </w:pPr>
    </w:p>
    <w:p w14:paraId="16364A7B" w14:textId="59BB189C" w:rsidR="00B82A2D" w:rsidRPr="00405303" w:rsidRDefault="00B82A2D" w:rsidP="00C15251">
      <w:pPr>
        <w:pStyle w:val="p1"/>
        <w:spacing w:before="0" w:beforeAutospacing="0" w:after="0" w:afterAutospacing="0"/>
        <w:jc w:val="both"/>
        <w:rPr>
          <w:bCs/>
          <w:color w:val="002060"/>
          <w:sz w:val="16"/>
          <w:szCs w:val="16"/>
        </w:rPr>
      </w:pPr>
      <w:r w:rsidRPr="00405303">
        <w:rPr>
          <w:bCs/>
          <w:color w:val="002060"/>
          <w:sz w:val="16"/>
          <w:szCs w:val="16"/>
        </w:rPr>
        <w:t>21 декабря 1915 г. (3 января 1916</w:t>
      </w:r>
      <w:r w:rsidR="00E1045F" w:rsidRPr="00405303">
        <w:rPr>
          <w:bCs/>
          <w:color w:val="002060"/>
          <w:sz w:val="16"/>
          <w:szCs w:val="16"/>
        </w:rPr>
        <w:t xml:space="preserve"> г.</w:t>
      </w:r>
      <w:r w:rsidRPr="00405303">
        <w:rPr>
          <w:bCs/>
          <w:color w:val="002060"/>
          <w:sz w:val="16"/>
          <w:szCs w:val="16"/>
        </w:rPr>
        <w:t>) Лойко в рапорте с просьбой о разрешении смертельно больному мастеру-оптику выехать в Австрию, чтобы «повидать перед неизбежной скорой смертью свою семью и детей» писал: Возобновить производство оптических приборов удалось с помощью австрийского подданного Густава Кнепфмахера, который «выдан был в мое распоряжение». По словам Лойко, Кнепфмахер «являлся моим лучшим помощником, причем, обладая большими познаниями и опытом в оптическом деле, трудился в высшей степени добросовестно, находясь, несмотря на слабое здоровье, безотлучно по 15 часов в сутки на заводе, и лишь благодаря ему удалось успешно восстановить на заводе производство». Маниковский поддержал ходатайство Лойко (18409).</w:t>
      </w:r>
    </w:p>
    <w:p w14:paraId="3BD40AE7" w14:textId="77777777" w:rsidR="00B82A2D" w:rsidRPr="00405303" w:rsidRDefault="00B82A2D" w:rsidP="00C15251">
      <w:pPr>
        <w:pStyle w:val="p1"/>
        <w:spacing w:before="0" w:beforeAutospacing="0" w:after="0" w:afterAutospacing="0"/>
        <w:jc w:val="both"/>
        <w:rPr>
          <w:bCs/>
          <w:color w:val="002060"/>
          <w:sz w:val="16"/>
          <w:szCs w:val="16"/>
        </w:rPr>
      </w:pPr>
    </w:p>
    <w:p w14:paraId="59679270" w14:textId="63B6EF41" w:rsidR="00103C28" w:rsidRPr="00405303" w:rsidRDefault="00103C28" w:rsidP="00C15251">
      <w:pPr>
        <w:jc w:val="both"/>
        <w:rPr>
          <w:bCs/>
          <w:color w:val="002060"/>
          <w:sz w:val="16"/>
          <w:szCs w:val="16"/>
        </w:rPr>
      </w:pPr>
      <w:r w:rsidRPr="00405303">
        <w:rPr>
          <w:bCs/>
          <w:color w:val="002060"/>
          <w:sz w:val="16"/>
          <w:szCs w:val="16"/>
        </w:rPr>
        <w:t>21 декабря 1915 г. (3 января) Лойко в рапорте обратился с просьбой о разрешении смертельно больному мастеру-оптику австрийскому подданному Густаву Кнепфмахеру выехать в Австрию, чтобы «повидать перед неизбежной скорой смертью свою семью и детей». По словам Лойко, Кнепфмахер «являлся моим лучшим помощником, причем, обладая большими познаниями и опытом в оптическом деле, трудился в выс</w:t>
      </w:r>
      <w:r w:rsidRPr="00405303">
        <w:rPr>
          <w:bCs/>
          <w:color w:val="002060"/>
          <w:sz w:val="16"/>
          <w:szCs w:val="16"/>
        </w:rPr>
        <w:softHyphen/>
        <w:t>шей степени добросовестно, находясь, несмотря на слабое здоровье, безотлучно по 15 часов в сутки на заводе, и лишь благодаря ему удалось успешно восстановить на заводе про</w:t>
      </w:r>
      <w:r w:rsidRPr="00405303">
        <w:rPr>
          <w:bCs/>
          <w:color w:val="002060"/>
          <w:sz w:val="16"/>
          <w:szCs w:val="16"/>
        </w:rPr>
        <w:softHyphen/>
        <w:t>изводство». Маниковский поддержал ходатайство Лойко (РГВИА. Ф. 504. Оп. 10. Д. 8. Л. 39, 318-320) (23452).</w:t>
      </w:r>
    </w:p>
    <w:p w14:paraId="7569A76E" w14:textId="77777777" w:rsidR="00103C28" w:rsidRPr="00405303" w:rsidRDefault="00103C28" w:rsidP="00C15251">
      <w:pPr>
        <w:jc w:val="both"/>
        <w:rPr>
          <w:bCs/>
          <w:color w:val="002060"/>
          <w:sz w:val="16"/>
          <w:szCs w:val="16"/>
        </w:rPr>
      </w:pPr>
    </w:p>
    <w:p w14:paraId="76C1CBCF" w14:textId="4D7C406A" w:rsidR="00103C28" w:rsidRPr="00405303" w:rsidRDefault="00103C28" w:rsidP="00C15251">
      <w:pPr>
        <w:jc w:val="both"/>
        <w:rPr>
          <w:bCs/>
          <w:i/>
          <w:iCs/>
          <w:color w:val="002060"/>
          <w:sz w:val="16"/>
          <w:szCs w:val="16"/>
        </w:rPr>
      </w:pPr>
      <w:r w:rsidRPr="00405303">
        <w:rPr>
          <w:bCs/>
          <w:i/>
          <w:iCs/>
          <w:color w:val="002060"/>
          <w:sz w:val="16"/>
          <w:szCs w:val="16"/>
        </w:rPr>
        <w:t>Авиация:</w:t>
      </w:r>
    </w:p>
    <w:p w14:paraId="47A62356" w14:textId="77777777" w:rsidR="00103C28" w:rsidRPr="00405303" w:rsidRDefault="00103C28" w:rsidP="00C15251">
      <w:pPr>
        <w:jc w:val="both"/>
        <w:rPr>
          <w:bCs/>
          <w:i/>
          <w:iCs/>
          <w:color w:val="002060"/>
          <w:sz w:val="16"/>
          <w:szCs w:val="16"/>
        </w:rPr>
      </w:pPr>
    </w:p>
    <w:p w14:paraId="4BA67667" w14:textId="4D339376" w:rsidR="00103C28" w:rsidRPr="00405303" w:rsidRDefault="00103C28" w:rsidP="00C15251">
      <w:pPr>
        <w:jc w:val="both"/>
        <w:rPr>
          <w:bCs/>
          <w:color w:val="002060"/>
          <w:sz w:val="16"/>
          <w:szCs w:val="16"/>
        </w:rPr>
      </w:pPr>
      <w:r w:rsidRPr="00405303">
        <w:rPr>
          <w:bCs/>
          <w:color w:val="002060"/>
          <w:sz w:val="16"/>
          <w:szCs w:val="16"/>
        </w:rPr>
        <w:t>21 декабря 1915 г. (3 января), несмотря на 20-градусный мороз, два немецких летательных аппарата прорвались к Риге, подвергнув ее бомбардировке (без «особого вреда»). Один из вражеских самолетов, направлявшийся к городу, попал в зону зенитного огня и был вынужден повернуть назад (23405).</w:t>
      </w:r>
    </w:p>
    <w:p w14:paraId="4C19374B" w14:textId="77777777" w:rsidR="00103C28" w:rsidRPr="00405303" w:rsidRDefault="00103C28" w:rsidP="00C15251">
      <w:pPr>
        <w:jc w:val="both"/>
        <w:rPr>
          <w:bCs/>
          <w:color w:val="002060"/>
          <w:sz w:val="16"/>
          <w:szCs w:val="16"/>
        </w:rPr>
      </w:pPr>
    </w:p>
    <w:p w14:paraId="50B31EED" w14:textId="03B4BC3D" w:rsidR="00294B96" w:rsidRPr="00405303" w:rsidRDefault="00294B96" w:rsidP="00C15251">
      <w:pPr>
        <w:jc w:val="both"/>
        <w:rPr>
          <w:bCs/>
          <w:iCs/>
          <w:color w:val="002060"/>
          <w:sz w:val="16"/>
          <w:szCs w:val="16"/>
        </w:rPr>
      </w:pPr>
      <w:r w:rsidRPr="00405303">
        <w:rPr>
          <w:bCs/>
          <w:i/>
          <w:iCs/>
          <w:color w:val="002060"/>
          <w:sz w:val="16"/>
          <w:szCs w:val="16"/>
        </w:rPr>
        <w:t>За рубежом:</w:t>
      </w:r>
    </w:p>
    <w:p w14:paraId="02B6503B" w14:textId="77777777" w:rsidR="00294B96" w:rsidRPr="00405303" w:rsidRDefault="00294B96" w:rsidP="00C15251">
      <w:pPr>
        <w:jc w:val="both"/>
        <w:rPr>
          <w:bCs/>
          <w:iCs/>
          <w:color w:val="002060"/>
          <w:sz w:val="16"/>
          <w:szCs w:val="16"/>
        </w:rPr>
      </w:pPr>
    </w:p>
    <w:p w14:paraId="27308AA7" w14:textId="1F276709" w:rsidR="00294B96" w:rsidRPr="00405303" w:rsidRDefault="00294B96" w:rsidP="00C15251">
      <w:pPr>
        <w:jc w:val="both"/>
        <w:rPr>
          <w:bCs/>
          <w:color w:val="002060"/>
          <w:sz w:val="16"/>
          <w:szCs w:val="16"/>
        </w:rPr>
      </w:pPr>
      <w:r w:rsidRPr="00405303">
        <w:rPr>
          <w:bCs/>
          <w:color w:val="002060"/>
          <w:sz w:val="16"/>
          <w:szCs w:val="16"/>
        </w:rPr>
        <w:t xml:space="preserve">21 декабря 1915 </w:t>
      </w:r>
      <w:r w:rsidR="00E1045F" w:rsidRPr="00405303">
        <w:rPr>
          <w:bCs/>
          <w:color w:val="002060"/>
          <w:sz w:val="16"/>
          <w:szCs w:val="16"/>
        </w:rPr>
        <w:t xml:space="preserve">г. </w:t>
      </w:r>
      <w:r w:rsidRPr="00405303">
        <w:rPr>
          <w:bCs/>
          <w:color w:val="002060"/>
          <w:sz w:val="16"/>
          <w:szCs w:val="16"/>
        </w:rPr>
        <w:t>(3 января 1916</w:t>
      </w:r>
      <w:r w:rsidR="00E1045F" w:rsidRPr="00405303">
        <w:rPr>
          <w:bCs/>
          <w:color w:val="002060"/>
          <w:sz w:val="16"/>
          <w:szCs w:val="16"/>
        </w:rPr>
        <w:t xml:space="preserve"> г.</w:t>
      </w:r>
      <w:r w:rsidRPr="00405303">
        <w:rPr>
          <w:bCs/>
          <w:color w:val="002060"/>
          <w:sz w:val="16"/>
          <w:szCs w:val="16"/>
        </w:rPr>
        <w:t>) три японских крейсера получили приказ охранять Суэцкий канал (2100).</w:t>
      </w:r>
    </w:p>
    <w:p w14:paraId="0C43EA63" w14:textId="77777777" w:rsidR="00294B96" w:rsidRPr="00405303" w:rsidRDefault="00294B96" w:rsidP="00C15251">
      <w:pPr>
        <w:jc w:val="both"/>
        <w:rPr>
          <w:bCs/>
          <w:color w:val="002060"/>
          <w:sz w:val="16"/>
          <w:szCs w:val="16"/>
        </w:rPr>
      </w:pPr>
    </w:p>
    <w:p w14:paraId="2483878C"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64F3C672" w14:textId="77777777" w:rsidR="004B4E35" w:rsidRPr="00405303" w:rsidRDefault="004B4E35" w:rsidP="00C15251">
      <w:pPr>
        <w:jc w:val="both"/>
        <w:rPr>
          <w:bCs/>
          <w:i/>
          <w:color w:val="002060"/>
          <w:sz w:val="16"/>
          <w:szCs w:val="16"/>
        </w:rPr>
      </w:pPr>
    </w:p>
    <w:p w14:paraId="7710F347" w14:textId="141CED0D" w:rsidR="004B4E35" w:rsidRPr="00405303" w:rsidRDefault="009E6F82" w:rsidP="00C15251">
      <w:pPr>
        <w:jc w:val="both"/>
        <w:rPr>
          <w:bCs/>
          <w:color w:val="002060"/>
          <w:sz w:val="16"/>
          <w:szCs w:val="16"/>
        </w:rPr>
      </w:pPr>
      <w:r w:rsidRPr="00405303">
        <w:rPr>
          <w:bCs/>
          <w:color w:val="002060"/>
          <w:sz w:val="16"/>
          <w:szCs w:val="16"/>
        </w:rPr>
        <w:t xml:space="preserve">22 декабря 1915 </w:t>
      </w:r>
      <w:r w:rsidR="00E1045F" w:rsidRPr="00405303">
        <w:rPr>
          <w:bCs/>
          <w:color w:val="002060"/>
          <w:sz w:val="16"/>
          <w:szCs w:val="16"/>
        </w:rPr>
        <w:t xml:space="preserve">г. </w:t>
      </w:r>
      <w:r w:rsidRPr="00405303">
        <w:rPr>
          <w:bCs/>
          <w:color w:val="002060"/>
          <w:sz w:val="16"/>
          <w:szCs w:val="16"/>
        </w:rPr>
        <w:t>(4 января 1916</w:t>
      </w:r>
      <w:r w:rsidR="00E1045F" w:rsidRPr="00405303">
        <w:rPr>
          <w:bCs/>
          <w:color w:val="002060"/>
          <w:sz w:val="16"/>
          <w:szCs w:val="16"/>
        </w:rPr>
        <w:t xml:space="preserve"> г.</w:t>
      </w:r>
      <w:r w:rsidRPr="00405303">
        <w:rPr>
          <w:bCs/>
          <w:color w:val="002060"/>
          <w:sz w:val="16"/>
          <w:szCs w:val="16"/>
        </w:rPr>
        <w:t>) состоялся первый полет л/л М-9 Д.П.Г. (2444,7).</w:t>
      </w:r>
    </w:p>
    <w:p w14:paraId="6051F24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ПРОТОКОЛ</w:t>
      </w:r>
    </w:p>
    <w:p w14:paraId="42C7DDC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Комиссии, назначенной пряказом Начальника Военного Отделения Офицерской Школы Морской Авиации от 22-го декабря1915 (4 января 1916) за № 258 от 30 декабря 1915 года за № 309.</w:t>
      </w:r>
    </w:p>
    <w:p w14:paraId="0893717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 Характеристика гидроаэроплана завода С.С.Щетинина “Морской 9".</w:t>
      </w:r>
    </w:p>
    <w:p w14:paraId="1B756E4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Отрыв</w:t>
      </w:r>
      <w:proofErr w:type="gramStart"/>
      <w:r w:rsidRPr="00405303">
        <w:rPr>
          <w:bCs/>
          <w:color w:val="002060"/>
          <w:sz w:val="16"/>
          <w:szCs w:val="16"/>
        </w:rPr>
        <w:t>: Легко</w:t>
      </w:r>
      <w:proofErr w:type="gramEnd"/>
      <w:r w:rsidRPr="00405303">
        <w:rPr>
          <w:bCs/>
          <w:color w:val="002060"/>
          <w:sz w:val="16"/>
          <w:szCs w:val="16"/>
        </w:rPr>
        <w:t xml:space="preserve"> выходят из воды. При разбеге быстро поднимает хвост</w:t>
      </w:r>
    </w:p>
    <w:p w14:paraId="03135CA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Быстро отрывается</w:t>
      </w:r>
    </w:p>
    <w:p w14:paraId="18D7210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 Полет</w:t>
      </w:r>
      <w:proofErr w:type="gramStart"/>
      <w:r w:rsidRPr="00405303">
        <w:rPr>
          <w:bCs/>
          <w:color w:val="002060"/>
          <w:sz w:val="16"/>
          <w:szCs w:val="16"/>
        </w:rPr>
        <w:t>: Совершенно</w:t>
      </w:r>
      <w:proofErr w:type="gramEnd"/>
      <w:r w:rsidRPr="00405303">
        <w:rPr>
          <w:bCs/>
          <w:color w:val="002060"/>
          <w:sz w:val="16"/>
          <w:szCs w:val="16"/>
        </w:rPr>
        <w:t xml:space="preserve"> уравновешенный аппарат, обладающий большой остойчивостью и летучестью. Сохраняет устойчивость на виражах. Скорость больше чем М-5 и Ф.В.А. Свободно идет на высоту в полном грузу.</w:t>
      </w:r>
    </w:p>
    <w:p w14:paraId="1019FA2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 Планирование</w:t>
      </w:r>
      <w:proofErr w:type="gramStart"/>
      <w:r w:rsidRPr="00405303">
        <w:rPr>
          <w:bCs/>
          <w:color w:val="002060"/>
          <w:sz w:val="16"/>
          <w:szCs w:val="16"/>
        </w:rPr>
        <w:t>: Планирует</w:t>
      </w:r>
      <w:proofErr w:type="gramEnd"/>
      <w:r w:rsidRPr="00405303">
        <w:rPr>
          <w:bCs/>
          <w:color w:val="002060"/>
          <w:sz w:val="16"/>
          <w:szCs w:val="16"/>
        </w:rPr>
        <w:t xml:space="preserve"> полого. Вообще хороший планер.</w:t>
      </w:r>
    </w:p>
    <w:p w14:paraId="4F9DC1D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 Посадка. Благодаря хорошей летучестя долго идет выровненный над водой, почеку садится на небольшой скорости.</w:t>
      </w:r>
    </w:p>
    <w:p w14:paraId="7223417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5/ На воде</w:t>
      </w:r>
      <w:proofErr w:type="gramStart"/>
      <w:r w:rsidRPr="00405303">
        <w:rPr>
          <w:bCs/>
          <w:color w:val="002060"/>
          <w:sz w:val="16"/>
          <w:szCs w:val="16"/>
        </w:rPr>
        <w:t>: Хорошо</w:t>
      </w:r>
      <w:proofErr w:type="gramEnd"/>
      <w:r w:rsidRPr="00405303">
        <w:rPr>
          <w:bCs/>
          <w:color w:val="002060"/>
          <w:sz w:val="16"/>
          <w:szCs w:val="16"/>
        </w:rPr>
        <w:t xml:space="preserve"> управляем.</w:t>
      </w:r>
    </w:p>
    <w:p w14:paraId="4D93F1B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Января 11 дня 1916 года г.</w:t>
      </w:r>
      <w:proofErr w:type="gramStart"/>
      <w:r w:rsidRPr="00405303">
        <w:rPr>
          <w:bCs/>
          <w:color w:val="002060"/>
          <w:sz w:val="16"/>
          <w:szCs w:val="16"/>
        </w:rPr>
        <w:t>Б</w:t>
      </w:r>
      <w:proofErr w:type="gramEnd"/>
      <w:r w:rsidRPr="00405303">
        <w:rPr>
          <w:bCs/>
          <w:color w:val="002060"/>
          <w:sz w:val="16"/>
          <w:szCs w:val="16"/>
        </w:rPr>
        <w:t xml:space="preserve"> а к у.</w:t>
      </w:r>
    </w:p>
    <w:p w14:paraId="3FADA26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Председатель Комиссии:</w:t>
      </w:r>
    </w:p>
    <w:p w14:paraId="033CDD0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Члены (2807)</w:t>
      </w:r>
    </w:p>
    <w:p w14:paraId="50F74C0D" w14:textId="77777777" w:rsidR="004B4E35" w:rsidRPr="00405303" w:rsidRDefault="004B4E35" w:rsidP="00C15251">
      <w:pPr>
        <w:shd w:val="clear" w:color="auto" w:fill="FFFFFF"/>
        <w:jc w:val="both"/>
        <w:rPr>
          <w:bCs/>
          <w:color w:val="002060"/>
          <w:sz w:val="16"/>
          <w:szCs w:val="16"/>
        </w:rPr>
      </w:pPr>
    </w:p>
    <w:p w14:paraId="3A2D5CA7" w14:textId="78C6B86F" w:rsidR="004B4E35" w:rsidRPr="00405303" w:rsidRDefault="009E6F82" w:rsidP="00C15251">
      <w:pPr>
        <w:jc w:val="both"/>
        <w:rPr>
          <w:bCs/>
          <w:color w:val="002060"/>
          <w:sz w:val="16"/>
          <w:szCs w:val="16"/>
        </w:rPr>
      </w:pPr>
      <w:r w:rsidRPr="00405303">
        <w:rPr>
          <w:bCs/>
          <w:color w:val="002060"/>
          <w:sz w:val="16"/>
          <w:szCs w:val="16"/>
        </w:rPr>
        <w:t xml:space="preserve">22 декабря 1915 г. (4 января 1916) прибывшим с фронта Г. И. Лавровым </w:t>
      </w:r>
      <w:r w:rsidR="00E1045F" w:rsidRPr="00405303">
        <w:rPr>
          <w:bCs/>
          <w:color w:val="002060"/>
          <w:sz w:val="16"/>
          <w:szCs w:val="16"/>
        </w:rPr>
        <w:t xml:space="preserve">нались </w:t>
      </w:r>
      <w:r w:rsidRPr="00405303">
        <w:rPr>
          <w:bCs/>
          <w:color w:val="002060"/>
          <w:sz w:val="16"/>
          <w:szCs w:val="16"/>
        </w:rPr>
        <w:t>летно-сдаточные испытания самолетов</w:t>
      </w:r>
      <w:r w:rsidR="00E1045F" w:rsidRPr="00405303">
        <w:rPr>
          <w:bCs/>
          <w:color w:val="002060"/>
          <w:sz w:val="16"/>
          <w:szCs w:val="16"/>
        </w:rPr>
        <w:t xml:space="preserve"> М-9, но были прерваны иза-за плохой погоды</w:t>
      </w:r>
      <w:r w:rsidRPr="00405303">
        <w:rPr>
          <w:bCs/>
          <w:color w:val="002060"/>
          <w:sz w:val="16"/>
          <w:szCs w:val="16"/>
        </w:rPr>
        <w:t>. Во время одного из первых полетов на самолете Nо. 206 из-за сильных порывов ветра летчик не смог при посадке справиться с управлением. Самолет и двигатель были сильно повреждены и ремонтировались до марта 1916 г. С отъездом Лаврова на фронт на заводе не осталось летчиков-сдатчиков. Ссылаясь на условия контракта (АО РБВЗ было обязано проводить сдаточные испытания с помощью заводских летчиков и за свой счет</w:t>
      </w:r>
      <w:proofErr w:type="gramStart"/>
      <w:r w:rsidRPr="00405303">
        <w:rPr>
          <w:bCs/>
          <w:color w:val="002060"/>
          <w:sz w:val="16"/>
          <w:szCs w:val="16"/>
        </w:rPr>
        <w:t>) ,</w:t>
      </w:r>
      <w:proofErr w:type="gramEnd"/>
      <w:r w:rsidRPr="00405303">
        <w:rPr>
          <w:bCs/>
          <w:color w:val="002060"/>
          <w:sz w:val="16"/>
          <w:szCs w:val="16"/>
        </w:rPr>
        <w:t xml:space="preserve"> ГВУ отказывалось предоставить своих летчиков. Несвоевременно поступали из ГВУ на завод и двигатели «Гном</w:t>
      </w:r>
      <w:proofErr w:type="gramStart"/>
      <w:r w:rsidRPr="00405303">
        <w:rPr>
          <w:bCs/>
          <w:color w:val="002060"/>
          <w:sz w:val="16"/>
          <w:szCs w:val="16"/>
        </w:rPr>
        <w:t>» .</w:t>
      </w:r>
      <w:proofErr w:type="gramEnd"/>
      <w:r w:rsidRPr="00405303">
        <w:rPr>
          <w:bCs/>
          <w:color w:val="002060"/>
          <w:sz w:val="16"/>
          <w:szCs w:val="16"/>
        </w:rPr>
        <w:t xml:space="preserve"> Кроме того, задержка поставок в армию С-16сер. способствовала и изменению взглядов на применение этих машин. В истории С-16 произошло важное событие -- расширилось назначение этого самолета. Если в середине 1915 г. «Сикорский маленький» , как иногда называли С-16 в войсках, предполагалось использовать в ЭВК в основном для тренировок летчиков воздушных кораблей, а также в качестве «разведчиков при намечаемых налетах Эскадры на определенные пункты» , то к концу этого года наметилось применение их в качестве истребителей на боевых базах для защиты воздушных кораблей против налетов неприятельского воздушного флота» . По новым утвержденным штатам ЭВК в ее составе предполагалось иметь теперь помимо 12 учебных аппаратов школы Эскадры еще по 14 легких самолетов (4 истребителя, 4разведчика и 6тренировочных) в составе каждого боевого отряда, число которых увеличилось с двух до трех. Подобно большинству других скаутов, С-16 превращался в классический одноместный истребитель. Он стал, таким образом, первым истребителем отечественной конструкции. Изменение назначения самолета С-16 ознаменовалось разработкой для него стационарного бортового вооружения. Одним из главных пропагандистов создания истребительной авиации в российском воздушном флоте был лейтенант Г, И. Лавров. В 1915 г. он сделал ряд предложений по созданию авиационного вооружения и формированию отрядов истребителей. Осенью этого года им был разработан и построен в мастерских ЭВК образец первого в России синхронизатора или, как тогда называли, приспособления для автоматической стрельбы через винт (11188).</w:t>
      </w:r>
    </w:p>
    <w:p w14:paraId="7948398C" w14:textId="77777777" w:rsidR="004B4E35" w:rsidRPr="00405303" w:rsidRDefault="004B4E35" w:rsidP="00C15251">
      <w:pPr>
        <w:jc w:val="both"/>
        <w:rPr>
          <w:bCs/>
          <w:color w:val="002060"/>
          <w:sz w:val="16"/>
          <w:szCs w:val="16"/>
        </w:rPr>
      </w:pPr>
    </w:p>
    <w:p w14:paraId="62D4A99E" w14:textId="1B0C3C93" w:rsidR="00294B96" w:rsidRPr="00405303" w:rsidRDefault="00294B96" w:rsidP="00C15251">
      <w:pPr>
        <w:jc w:val="both"/>
        <w:rPr>
          <w:bCs/>
          <w:color w:val="002060"/>
          <w:sz w:val="16"/>
          <w:szCs w:val="16"/>
        </w:rPr>
      </w:pPr>
      <w:r w:rsidRPr="00405303">
        <w:rPr>
          <w:bCs/>
          <w:color w:val="002060"/>
          <w:sz w:val="16"/>
          <w:szCs w:val="16"/>
        </w:rPr>
        <w:t>22 декабря 1915</w:t>
      </w:r>
      <w:r w:rsidR="00E1045F" w:rsidRPr="00405303">
        <w:rPr>
          <w:bCs/>
          <w:color w:val="002060"/>
          <w:sz w:val="16"/>
          <w:szCs w:val="16"/>
        </w:rPr>
        <w:t xml:space="preserve"> г.</w:t>
      </w:r>
      <w:r w:rsidRPr="00405303">
        <w:rPr>
          <w:bCs/>
          <w:color w:val="002060"/>
          <w:sz w:val="16"/>
          <w:szCs w:val="16"/>
        </w:rPr>
        <w:t xml:space="preserve"> (4 января 1916</w:t>
      </w:r>
      <w:r w:rsidR="00E1045F" w:rsidRPr="00405303">
        <w:rPr>
          <w:bCs/>
          <w:color w:val="002060"/>
          <w:sz w:val="16"/>
          <w:szCs w:val="16"/>
        </w:rPr>
        <w:t xml:space="preserve"> г. </w:t>
      </w:r>
      <w:r w:rsidRPr="00405303">
        <w:rPr>
          <w:bCs/>
          <w:color w:val="002060"/>
          <w:sz w:val="16"/>
          <w:szCs w:val="16"/>
        </w:rPr>
        <w:t>) состоялся первый полет л/л М-9 Д.П.Г. (2444,7).</w:t>
      </w:r>
    </w:p>
    <w:p w14:paraId="137BF2AF" w14:textId="77777777" w:rsidR="00294B96" w:rsidRPr="00405303" w:rsidRDefault="00294B96" w:rsidP="00C15251">
      <w:pPr>
        <w:jc w:val="both"/>
        <w:rPr>
          <w:bCs/>
          <w:color w:val="002060"/>
          <w:sz w:val="16"/>
          <w:szCs w:val="16"/>
        </w:rPr>
      </w:pPr>
    </w:p>
    <w:p w14:paraId="1519E6B7"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1DB4A45E" w14:textId="77777777" w:rsidR="004B4E35" w:rsidRPr="00405303" w:rsidRDefault="004B4E35" w:rsidP="00C15251">
      <w:pPr>
        <w:shd w:val="clear" w:color="auto" w:fill="FFFFFF"/>
        <w:jc w:val="both"/>
        <w:rPr>
          <w:bCs/>
          <w:i/>
          <w:color w:val="002060"/>
          <w:sz w:val="16"/>
          <w:szCs w:val="16"/>
        </w:rPr>
      </w:pPr>
    </w:p>
    <w:p w14:paraId="3612723B" w14:textId="77777777" w:rsidR="00CC77F9" w:rsidRPr="00405303" w:rsidRDefault="00CC77F9" w:rsidP="00C15251">
      <w:pPr>
        <w:pStyle w:val="p1"/>
        <w:spacing w:before="0" w:beforeAutospacing="0" w:after="0" w:afterAutospacing="0"/>
        <w:jc w:val="both"/>
        <w:rPr>
          <w:bCs/>
          <w:color w:val="002060"/>
          <w:sz w:val="16"/>
          <w:szCs w:val="16"/>
        </w:rPr>
      </w:pPr>
      <w:r w:rsidRPr="00405303">
        <w:rPr>
          <w:bCs/>
          <w:color w:val="002060"/>
          <w:sz w:val="16"/>
          <w:szCs w:val="16"/>
        </w:rPr>
        <w:t>22 декабря 1915 г. (4 января 1916), согласно Королеву, появилось предложение ГАУ о строительстве третьего казенного [патронного] завода… но не получило поддержки в Военном совете».</w:t>
      </w:r>
    </w:p>
    <w:p w14:paraId="7CB5113B" w14:textId="77777777" w:rsidR="00CC77F9" w:rsidRPr="00405303" w:rsidRDefault="00CC77F9" w:rsidP="00C15251">
      <w:pPr>
        <w:pStyle w:val="p1"/>
        <w:spacing w:before="0" w:beforeAutospacing="0" w:after="0" w:afterAutospacing="0"/>
        <w:jc w:val="both"/>
        <w:rPr>
          <w:bCs/>
          <w:color w:val="002060"/>
          <w:sz w:val="16"/>
          <w:szCs w:val="16"/>
        </w:rPr>
      </w:pPr>
      <w:r w:rsidRPr="00405303">
        <w:rPr>
          <w:bCs/>
          <w:color w:val="002060"/>
          <w:sz w:val="16"/>
          <w:szCs w:val="16"/>
        </w:rPr>
        <w:t>По сообщению Маниковского в «Боевом снабжении», противоречащему источникам, предпринимательские организации, «нажав все пружины», оказали «особое противодействие» постройке в Симбирске нового патронного завода и смогли задержать решение этого вопроса с января по март 1916 г.</w:t>
      </w:r>
    </w:p>
    <w:p w14:paraId="4962EF6E" w14:textId="77777777" w:rsidR="00CC77F9" w:rsidRPr="00405303" w:rsidRDefault="00CC77F9" w:rsidP="00C15251">
      <w:pPr>
        <w:pStyle w:val="p1"/>
        <w:spacing w:before="0" w:beforeAutospacing="0" w:after="0" w:afterAutospacing="0"/>
        <w:jc w:val="both"/>
        <w:rPr>
          <w:bCs/>
          <w:color w:val="002060"/>
          <w:sz w:val="16"/>
          <w:szCs w:val="16"/>
        </w:rPr>
      </w:pPr>
      <w:r w:rsidRPr="00405303">
        <w:rPr>
          <w:bCs/>
          <w:color w:val="002060"/>
          <w:sz w:val="16"/>
          <w:szCs w:val="16"/>
        </w:rPr>
        <w:t>Однако, в программном докладе и в «Боевом снабжении» Маниковского указано, что Военный совет дал «разрешение постройки», причем трижды: 14 января, 17 и 19 марта 1916 г. А.Л. Сидоров, пользовавшийся сообщением Маниковского о «могущественном влиянии» монополистов как достоверным, ввел, однако, в оборот источники, из которых следует, что еще в ноябре 1915 г. царское правительство добилось согласия союзников поставить оборудование для нового патронного завода. Речь шла о поставке полного комплекта, рассчитанного на выпуск 10–15 млн. патронов в неделю (40–60 в месяц; 480–720 в год) (19409).</w:t>
      </w:r>
    </w:p>
    <w:p w14:paraId="7388377C" w14:textId="77777777" w:rsidR="00CC77F9" w:rsidRPr="00405303" w:rsidRDefault="00CC77F9" w:rsidP="00C15251">
      <w:pPr>
        <w:pStyle w:val="p1"/>
        <w:spacing w:before="0" w:beforeAutospacing="0" w:after="0" w:afterAutospacing="0"/>
        <w:jc w:val="both"/>
        <w:rPr>
          <w:bCs/>
          <w:color w:val="002060"/>
          <w:sz w:val="16"/>
          <w:szCs w:val="16"/>
        </w:rPr>
      </w:pPr>
    </w:p>
    <w:p w14:paraId="4BC578CC" w14:textId="77777777" w:rsidR="004B4E35" w:rsidRPr="00405303" w:rsidRDefault="009E6F82" w:rsidP="00C15251">
      <w:pPr>
        <w:jc w:val="both"/>
        <w:rPr>
          <w:bCs/>
          <w:color w:val="002060"/>
          <w:sz w:val="16"/>
          <w:szCs w:val="16"/>
        </w:rPr>
      </w:pPr>
      <w:r w:rsidRPr="00405303">
        <w:rPr>
          <w:bCs/>
          <w:color w:val="002060"/>
          <w:sz w:val="16"/>
          <w:szCs w:val="16"/>
        </w:rPr>
        <w:t>22 декабря 1915 (4 января 1917) года Русским военным ведомством был заключен контракт с датским синдикатом на строительство пулеметного завода. В июне 1916 года строительство предприятия было передано специально созданному 1-му русскому АО ружейно-пулеметных заводов, членами и держателями акций которого в основном были датчане. В январе 1917 года запущено производство ручного пулемета системы Мадсена, образца принятого на вооружение в датской армии. В конце 1917 года были выпущены первые образцы оружия, которые комиссией не были приняты.</w:t>
      </w:r>
    </w:p>
    <w:p w14:paraId="71B8018C" w14:textId="77777777" w:rsidR="004B4E35" w:rsidRPr="00405303" w:rsidRDefault="009E6F82" w:rsidP="00C15251">
      <w:pPr>
        <w:jc w:val="both"/>
        <w:rPr>
          <w:bCs/>
          <w:color w:val="002060"/>
          <w:sz w:val="16"/>
          <w:szCs w:val="16"/>
        </w:rPr>
      </w:pPr>
      <w:r w:rsidRPr="00405303">
        <w:rPr>
          <w:bCs/>
          <w:color w:val="002060"/>
          <w:sz w:val="16"/>
          <w:szCs w:val="16"/>
        </w:rPr>
        <w:t>К этому же времени завод получил заказ на изготовление стрелкового оружия – автомата русского изобретателя В.Г. Федорова. В 1918 году для установки и развертывания производства по изготовлению автоматического оружия на завод прибыл изобретатель – инженер В.Г. Федоров и вместе с ним прибыл Дегтярев В.А. 8 июля 1918 года завод был национализирован ВСНХ. В 1926 году был принят на вооружение 7,62 мм ручной пулемет системы В.А. Дегтярева. В период 1927-1933 гг. завод изготовляет в больших количествах разновидности ручного пулемета системы Дегтярева ДП, приспособленного для использования в авиации – ДА и ДА-2, в танковых частях – ДТ. В 1934-35 гг. осваивается производство малокалиберной винтовки ТВ-8. В 1936 году заводом осваивается производство крупнокалиберной 12,5 мм, а потом 20 мм авиационной пушки ШВАК.</w:t>
      </w:r>
    </w:p>
    <w:p w14:paraId="3B205717" w14:textId="77777777" w:rsidR="004B4E35" w:rsidRPr="00405303" w:rsidRDefault="009E6F82" w:rsidP="00C15251">
      <w:pPr>
        <w:jc w:val="both"/>
        <w:rPr>
          <w:bCs/>
          <w:color w:val="002060"/>
          <w:sz w:val="16"/>
          <w:szCs w:val="16"/>
        </w:rPr>
      </w:pPr>
      <w:r w:rsidRPr="00405303">
        <w:rPr>
          <w:bCs/>
          <w:color w:val="002060"/>
          <w:sz w:val="16"/>
          <w:szCs w:val="16"/>
        </w:rPr>
        <w:t xml:space="preserve">В это же время осваивается в производстве 12,5 мм пулемет ДШК со станком, морской тумбовой установкой и турелью под него. В 1939 году на производство ставится ручной автомат ППД с последующим переходом на ППШ и осваивается производство крупнокалиберных авиационных пулеметов системы Березина БС, БК и БТ. К началу 1941 года на производстве завода в основном шли пехотный и танковый пулеметы системы Дегтярева, автомат ППШ, крупнокалиберный пулемет системы Березина и авиационная пушка ШВАК. В 1941 году в период боев под Москвой заводом выпускается 20 мм пушка ШВАК, приспособленная </w:t>
      </w:r>
      <w:proofErr w:type="gramStart"/>
      <w:r w:rsidRPr="00405303">
        <w:rPr>
          <w:bCs/>
          <w:color w:val="002060"/>
          <w:sz w:val="16"/>
          <w:szCs w:val="16"/>
        </w:rPr>
        <w:t>для танков</w:t>
      </w:r>
      <w:proofErr w:type="gramEnd"/>
      <w:r w:rsidRPr="00405303">
        <w:rPr>
          <w:bCs/>
          <w:color w:val="002060"/>
          <w:sz w:val="16"/>
          <w:szCs w:val="16"/>
        </w:rPr>
        <w:t xml:space="preserve"> и осваивается производство 14,5 мм противотанкового ружья ПТРД.</w:t>
      </w:r>
    </w:p>
    <w:p w14:paraId="62B9D150" w14:textId="77777777" w:rsidR="004B4E35" w:rsidRPr="00405303" w:rsidRDefault="009E6F82" w:rsidP="00C15251">
      <w:pPr>
        <w:jc w:val="both"/>
        <w:rPr>
          <w:bCs/>
          <w:color w:val="002060"/>
          <w:sz w:val="16"/>
          <w:szCs w:val="16"/>
        </w:rPr>
      </w:pPr>
      <w:r w:rsidRPr="00405303">
        <w:rPr>
          <w:bCs/>
          <w:color w:val="002060"/>
          <w:sz w:val="16"/>
          <w:szCs w:val="16"/>
        </w:rPr>
        <w:t>За время ВОВ, кроме имевшихся на производстве изделий заводом осваивается производство 23 мм авиационной пушки ВЯ и станкового пулемета системы Горюнова С.Г. на станке СД. В 1944 году на замену 20 мм пушки ШВАК осваивается производство 23 мм авиапушек НС.</w:t>
      </w:r>
    </w:p>
    <w:p w14:paraId="0D9FE09A" w14:textId="77777777" w:rsidR="004B4E35" w:rsidRPr="00405303" w:rsidRDefault="009E6F82" w:rsidP="00C15251">
      <w:pPr>
        <w:jc w:val="both"/>
        <w:rPr>
          <w:bCs/>
          <w:color w:val="002060"/>
          <w:sz w:val="16"/>
          <w:szCs w:val="16"/>
        </w:rPr>
      </w:pPr>
      <w:r w:rsidRPr="00405303">
        <w:rPr>
          <w:bCs/>
          <w:color w:val="002060"/>
          <w:sz w:val="16"/>
          <w:szCs w:val="16"/>
        </w:rPr>
        <w:t>В послевоенный период заводом осваивается производство авиационной пушки НР-23, впоследствии замененной НР-30, зенитного, танкового и стрелкового 14,5 мм пулемета КПВ, КПВТ и КПВС.</w:t>
      </w:r>
    </w:p>
    <w:p w14:paraId="4978350F" w14:textId="77777777" w:rsidR="004B4E35" w:rsidRPr="00405303" w:rsidRDefault="009E6F82" w:rsidP="00C15251">
      <w:pPr>
        <w:jc w:val="both"/>
        <w:rPr>
          <w:bCs/>
          <w:color w:val="002060"/>
          <w:sz w:val="16"/>
          <w:szCs w:val="16"/>
        </w:rPr>
      </w:pPr>
      <w:r w:rsidRPr="00405303">
        <w:rPr>
          <w:bCs/>
          <w:color w:val="002060"/>
          <w:sz w:val="16"/>
          <w:szCs w:val="16"/>
        </w:rPr>
        <w:t>В период 1952-1963 гг. завод производил автопилоты АП-75-01 и АП-755. С 1946 года заводом поставлено производство мотоциклов (10255).</w:t>
      </w:r>
    </w:p>
    <w:p w14:paraId="2398545F" w14:textId="77777777" w:rsidR="004B4E35" w:rsidRPr="00405303" w:rsidRDefault="004B4E35" w:rsidP="00C15251">
      <w:pPr>
        <w:jc w:val="both"/>
        <w:rPr>
          <w:bCs/>
          <w:color w:val="002060"/>
          <w:sz w:val="16"/>
          <w:szCs w:val="16"/>
        </w:rPr>
      </w:pPr>
    </w:p>
    <w:p w14:paraId="25E984C6" w14:textId="77777777" w:rsidR="004B4E35" w:rsidRPr="00405303" w:rsidRDefault="009E6F82" w:rsidP="00C15251">
      <w:pPr>
        <w:jc w:val="both"/>
        <w:rPr>
          <w:bCs/>
          <w:color w:val="002060"/>
          <w:sz w:val="16"/>
          <w:szCs w:val="16"/>
        </w:rPr>
      </w:pPr>
      <w:r w:rsidRPr="00405303">
        <w:rPr>
          <w:bCs/>
          <w:color w:val="002060"/>
          <w:sz w:val="16"/>
          <w:szCs w:val="16"/>
        </w:rPr>
        <w:t>22 декабря 1915 года (4 января 1916) рассматривавшая это предложение комиссия по броневым автомобилям вынесла следующее решение: «В специальных приспособлениях для вентиляции надобности нет; достаточно немногоприоткрывать откидную дверку крыши башни, которая должна быть снабженаприспособлением для закрепления ее в таком положении...» (11194).</w:t>
      </w:r>
    </w:p>
    <w:p w14:paraId="0A97659E" w14:textId="77777777" w:rsidR="004B4E35" w:rsidRPr="00405303" w:rsidRDefault="004B4E35" w:rsidP="00C15251">
      <w:pPr>
        <w:jc w:val="both"/>
        <w:rPr>
          <w:bCs/>
          <w:color w:val="002060"/>
          <w:sz w:val="16"/>
          <w:szCs w:val="16"/>
        </w:rPr>
      </w:pPr>
    </w:p>
    <w:p w14:paraId="6D220F06" w14:textId="77777777" w:rsidR="00294B96" w:rsidRPr="00405303" w:rsidRDefault="00294B96" w:rsidP="00C15251">
      <w:pPr>
        <w:jc w:val="both"/>
        <w:rPr>
          <w:bCs/>
          <w:iCs/>
          <w:color w:val="002060"/>
          <w:sz w:val="16"/>
          <w:szCs w:val="16"/>
        </w:rPr>
      </w:pPr>
      <w:r w:rsidRPr="00405303">
        <w:rPr>
          <w:bCs/>
          <w:i/>
          <w:iCs/>
          <w:color w:val="002060"/>
          <w:sz w:val="16"/>
          <w:szCs w:val="16"/>
        </w:rPr>
        <w:t>Армия:</w:t>
      </w:r>
    </w:p>
    <w:p w14:paraId="4EA754F6" w14:textId="77777777" w:rsidR="00294B96" w:rsidRPr="00405303" w:rsidRDefault="00294B96" w:rsidP="00C15251">
      <w:pPr>
        <w:jc w:val="both"/>
        <w:rPr>
          <w:bCs/>
          <w:iCs/>
          <w:color w:val="002060"/>
          <w:sz w:val="16"/>
          <w:szCs w:val="16"/>
        </w:rPr>
      </w:pPr>
    </w:p>
    <w:p w14:paraId="04733DE8" w14:textId="77777777" w:rsidR="00294B96" w:rsidRPr="00405303" w:rsidRDefault="00294B96" w:rsidP="00C15251">
      <w:pPr>
        <w:jc w:val="both"/>
        <w:rPr>
          <w:bCs/>
          <w:iCs/>
          <w:color w:val="002060"/>
          <w:sz w:val="16"/>
          <w:szCs w:val="16"/>
        </w:rPr>
      </w:pPr>
      <w:r w:rsidRPr="00405303">
        <w:rPr>
          <w:bCs/>
          <w:color w:val="002060"/>
          <w:sz w:val="16"/>
          <w:szCs w:val="16"/>
        </w:rPr>
        <w:t xml:space="preserve">22- 18 декабря 1915 (4-10 января 1916 года): русская армия начала наступление на Эрзурум </w:t>
      </w:r>
      <w:r w:rsidRPr="00405303">
        <w:rPr>
          <w:bCs/>
          <w:iCs/>
          <w:color w:val="002060"/>
          <w:sz w:val="16"/>
          <w:szCs w:val="16"/>
        </w:rPr>
        <w:t>(17045).</w:t>
      </w:r>
    </w:p>
    <w:p w14:paraId="541AAD45" w14:textId="77777777" w:rsidR="00294B96" w:rsidRPr="00405303" w:rsidRDefault="00294B96" w:rsidP="00C15251">
      <w:pPr>
        <w:jc w:val="both"/>
        <w:rPr>
          <w:bCs/>
          <w:iCs/>
          <w:color w:val="002060"/>
          <w:sz w:val="16"/>
          <w:szCs w:val="16"/>
        </w:rPr>
      </w:pPr>
    </w:p>
    <w:p w14:paraId="57EBF391" w14:textId="77777777" w:rsidR="00C74E3B" w:rsidRPr="00405303" w:rsidRDefault="00C74E3B" w:rsidP="00C15251">
      <w:pPr>
        <w:jc w:val="both"/>
        <w:rPr>
          <w:rStyle w:val="42"/>
          <w:rFonts w:ascii="Times New Roman" w:hAnsi="Times New Roman" w:cs="Times New Roman"/>
          <w:bCs/>
          <w:color w:val="002060"/>
          <w:w w:val="100"/>
          <w:sz w:val="16"/>
          <w:szCs w:val="16"/>
        </w:rPr>
      </w:pPr>
      <w:bookmarkStart w:id="327" w:name="_Hlk98484674"/>
      <w:r w:rsidRPr="00405303">
        <w:rPr>
          <w:rStyle w:val="42"/>
          <w:rFonts w:ascii="Times New Roman" w:hAnsi="Times New Roman" w:cs="Times New Roman"/>
          <w:bCs/>
          <w:color w:val="002060"/>
          <w:w w:val="100"/>
          <w:sz w:val="16"/>
          <w:szCs w:val="16"/>
        </w:rPr>
        <w:t>22 декабря 1915 г. (4 января 1916) при ГФО по инициативе её директора академика Б.Б. Голицына было со</w:t>
      </w:r>
      <w:r w:rsidRPr="00405303">
        <w:rPr>
          <w:rStyle w:val="42"/>
          <w:rFonts w:ascii="Times New Roman" w:hAnsi="Times New Roman" w:cs="Times New Roman"/>
          <w:bCs/>
          <w:color w:val="002060"/>
          <w:w w:val="100"/>
          <w:sz w:val="16"/>
          <w:szCs w:val="16"/>
        </w:rPr>
        <w:softHyphen/>
        <w:t>здано Главное военно-метеорологическое управ</w:t>
      </w:r>
      <w:r w:rsidRPr="00405303">
        <w:rPr>
          <w:rStyle w:val="42"/>
          <w:rFonts w:ascii="Times New Roman" w:hAnsi="Times New Roman" w:cs="Times New Roman"/>
          <w:bCs/>
          <w:color w:val="002060"/>
          <w:w w:val="100"/>
          <w:sz w:val="16"/>
          <w:szCs w:val="16"/>
        </w:rPr>
        <w:softHyphen/>
        <w:t>ление (Главмет), ставшее центром гидрометео</w:t>
      </w:r>
      <w:r w:rsidRPr="00405303">
        <w:rPr>
          <w:rStyle w:val="42"/>
          <w:rFonts w:ascii="Times New Roman" w:hAnsi="Times New Roman" w:cs="Times New Roman"/>
          <w:bCs/>
          <w:color w:val="002060"/>
          <w:w w:val="100"/>
          <w:sz w:val="16"/>
          <w:szCs w:val="16"/>
        </w:rPr>
        <w:softHyphen/>
        <w:t>рологического обеспечения флота и сухопутных войск. Управление возглавил академик Б.Б. Го</w:t>
      </w:r>
      <w:r w:rsidRPr="00405303">
        <w:rPr>
          <w:rStyle w:val="42"/>
          <w:rFonts w:ascii="Times New Roman" w:hAnsi="Times New Roman" w:cs="Times New Roman"/>
          <w:bCs/>
          <w:color w:val="002060"/>
          <w:w w:val="100"/>
          <w:sz w:val="16"/>
          <w:szCs w:val="16"/>
        </w:rPr>
        <w:softHyphen/>
        <w:t>лицын, а после его смерти, с 24 июня 1916 г. по 11 февраля 1917 г., Главметом руководил акаде</w:t>
      </w:r>
      <w:r w:rsidRPr="00405303">
        <w:rPr>
          <w:rStyle w:val="42"/>
          <w:rFonts w:ascii="Times New Roman" w:hAnsi="Times New Roman" w:cs="Times New Roman"/>
          <w:bCs/>
          <w:color w:val="002060"/>
          <w:w w:val="100"/>
          <w:sz w:val="16"/>
          <w:szCs w:val="16"/>
        </w:rPr>
        <w:softHyphen/>
        <w:t>мик А.Н. Крылов. Каждый день Отделение еже</w:t>
      </w:r>
      <w:r w:rsidRPr="00405303">
        <w:rPr>
          <w:rStyle w:val="42"/>
          <w:rFonts w:ascii="Times New Roman" w:hAnsi="Times New Roman" w:cs="Times New Roman"/>
          <w:bCs/>
          <w:color w:val="002060"/>
          <w:w w:val="100"/>
          <w:sz w:val="16"/>
          <w:szCs w:val="16"/>
        </w:rPr>
        <w:softHyphen/>
        <w:t>дневного метеорологического бюллетеня ГФО рассылало телеграммы, связанные с метеообеспе</w:t>
      </w:r>
      <w:r w:rsidRPr="00405303">
        <w:rPr>
          <w:rStyle w:val="42"/>
          <w:rFonts w:ascii="Times New Roman" w:hAnsi="Times New Roman" w:cs="Times New Roman"/>
          <w:bCs/>
          <w:color w:val="002060"/>
          <w:w w:val="100"/>
          <w:sz w:val="16"/>
          <w:szCs w:val="16"/>
        </w:rPr>
        <w:softHyphen/>
        <w:t>чением войск, в созданные при штабах армий во</w:t>
      </w:r>
      <w:r w:rsidRPr="00405303">
        <w:rPr>
          <w:rStyle w:val="42"/>
          <w:rFonts w:ascii="Times New Roman" w:hAnsi="Times New Roman" w:cs="Times New Roman"/>
          <w:bCs/>
          <w:color w:val="002060"/>
          <w:w w:val="100"/>
          <w:sz w:val="16"/>
          <w:szCs w:val="16"/>
        </w:rPr>
        <w:softHyphen/>
        <w:t>енно-метеорологические отделения. Последние проводили метеорологические наблюдения на местах, получали и расшифровывали телеграм</w:t>
      </w:r>
      <w:r w:rsidRPr="00405303">
        <w:rPr>
          <w:rStyle w:val="42"/>
          <w:rFonts w:ascii="Times New Roman" w:hAnsi="Times New Roman" w:cs="Times New Roman"/>
          <w:bCs/>
          <w:color w:val="002060"/>
          <w:w w:val="100"/>
          <w:sz w:val="16"/>
          <w:szCs w:val="16"/>
        </w:rPr>
        <w:softHyphen/>
        <w:t>мы из Главмета, и передавали прогнозы в подчи</w:t>
      </w:r>
      <w:r w:rsidRPr="00405303">
        <w:rPr>
          <w:rStyle w:val="42"/>
          <w:rFonts w:ascii="Times New Roman" w:hAnsi="Times New Roman" w:cs="Times New Roman"/>
          <w:bCs/>
          <w:color w:val="002060"/>
          <w:w w:val="100"/>
          <w:sz w:val="16"/>
          <w:szCs w:val="16"/>
        </w:rPr>
        <w:softHyphen/>
        <w:t>нённые части, в первую очередь, в авиационные и воздухоплавательные отряды и в химические роты. Метеорологические группы создавались и в аэродромных ротах при авиационных частях. Шаропилотные наблюдения в них вели метео</w:t>
      </w:r>
      <w:r w:rsidRPr="00405303">
        <w:rPr>
          <w:rStyle w:val="42"/>
          <w:rFonts w:ascii="Times New Roman" w:hAnsi="Times New Roman" w:cs="Times New Roman"/>
          <w:bCs/>
          <w:color w:val="002060"/>
          <w:w w:val="100"/>
          <w:sz w:val="16"/>
          <w:szCs w:val="16"/>
        </w:rPr>
        <w:softHyphen/>
        <w:t>рологи, даже в условиях фронта не оставлявшие научную работу по изучению воздушных пото</w:t>
      </w:r>
      <w:r w:rsidRPr="00405303">
        <w:rPr>
          <w:rStyle w:val="42"/>
          <w:rFonts w:ascii="Times New Roman" w:hAnsi="Times New Roman" w:cs="Times New Roman"/>
          <w:bCs/>
          <w:color w:val="002060"/>
          <w:w w:val="100"/>
          <w:sz w:val="16"/>
          <w:szCs w:val="16"/>
        </w:rPr>
        <w:softHyphen/>
        <w:t>ков. Благодаря их усилиям аэрология перешла от простого накопления материала и климатологи</w:t>
      </w:r>
      <w:r w:rsidRPr="00405303">
        <w:rPr>
          <w:rStyle w:val="42"/>
          <w:rFonts w:ascii="Times New Roman" w:hAnsi="Times New Roman" w:cs="Times New Roman"/>
          <w:bCs/>
          <w:color w:val="002060"/>
          <w:w w:val="100"/>
          <w:sz w:val="16"/>
          <w:szCs w:val="16"/>
        </w:rPr>
        <w:softHyphen/>
        <w:t>ческих сводок к глубоким обобщениям (20120).</w:t>
      </w:r>
    </w:p>
    <w:p w14:paraId="11EBDFF0" w14:textId="77777777" w:rsidR="00C74E3B" w:rsidRPr="00405303" w:rsidRDefault="00C74E3B" w:rsidP="00C15251">
      <w:pPr>
        <w:jc w:val="both"/>
        <w:rPr>
          <w:bCs/>
          <w:color w:val="002060"/>
          <w:sz w:val="16"/>
          <w:szCs w:val="16"/>
        </w:rPr>
      </w:pPr>
    </w:p>
    <w:bookmarkEnd w:id="327"/>
    <w:p w14:paraId="1E760E8E"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321912F0" w14:textId="77777777" w:rsidR="004B4E35" w:rsidRPr="00405303" w:rsidRDefault="004B4E35" w:rsidP="00C15251">
      <w:pPr>
        <w:jc w:val="both"/>
        <w:rPr>
          <w:bCs/>
          <w:i/>
          <w:color w:val="002060"/>
          <w:sz w:val="16"/>
          <w:szCs w:val="16"/>
        </w:rPr>
      </w:pPr>
    </w:p>
    <w:p w14:paraId="06F84141" w14:textId="57463220" w:rsidR="004B4E35" w:rsidRPr="00405303" w:rsidRDefault="009E6F82" w:rsidP="00C15251">
      <w:pPr>
        <w:jc w:val="both"/>
        <w:rPr>
          <w:bCs/>
          <w:color w:val="002060"/>
          <w:sz w:val="16"/>
          <w:szCs w:val="16"/>
        </w:rPr>
      </w:pPr>
      <w:r w:rsidRPr="00405303">
        <w:rPr>
          <w:bCs/>
          <w:color w:val="002060"/>
          <w:sz w:val="16"/>
          <w:szCs w:val="16"/>
        </w:rPr>
        <w:t xml:space="preserve">23 декабря 1915 </w:t>
      </w:r>
      <w:r w:rsidR="001C275D" w:rsidRPr="00405303">
        <w:rPr>
          <w:bCs/>
          <w:color w:val="002060"/>
          <w:sz w:val="16"/>
          <w:szCs w:val="16"/>
        </w:rPr>
        <w:t xml:space="preserve">г. </w:t>
      </w:r>
      <w:r w:rsidRPr="00405303">
        <w:rPr>
          <w:bCs/>
          <w:color w:val="002060"/>
          <w:sz w:val="16"/>
          <w:szCs w:val="16"/>
        </w:rPr>
        <w:t>(5 января 1916</w:t>
      </w:r>
      <w:r w:rsidR="001C275D" w:rsidRPr="00405303">
        <w:rPr>
          <w:bCs/>
          <w:color w:val="002060"/>
          <w:sz w:val="16"/>
          <w:szCs w:val="16"/>
        </w:rPr>
        <w:t xml:space="preserve"> г.</w:t>
      </w:r>
      <w:r w:rsidRPr="00405303">
        <w:rPr>
          <w:bCs/>
          <w:color w:val="002060"/>
          <w:sz w:val="16"/>
          <w:szCs w:val="16"/>
        </w:rPr>
        <w:t>) заводу В.А.Лебедева был выдан заказ на постройку 1-й л/л Виллиша Виллиш тип ВМ-2 (Виллиш Морской-2) - развитие ВМ-1 (2843,43).</w:t>
      </w:r>
    </w:p>
    <w:p w14:paraId="7CEC19B3" w14:textId="77777777" w:rsidR="004B4E35" w:rsidRPr="00405303" w:rsidRDefault="004B4E35" w:rsidP="00C15251">
      <w:pPr>
        <w:jc w:val="both"/>
        <w:rPr>
          <w:bCs/>
          <w:color w:val="002060"/>
          <w:sz w:val="16"/>
          <w:szCs w:val="16"/>
        </w:rPr>
      </w:pPr>
    </w:p>
    <w:p w14:paraId="38C47A9B" w14:textId="77777777" w:rsidR="001C275D" w:rsidRPr="00405303" w:rsidRDefault="009E6F82" w:rsidP="00C15251">
      <w:pPr>
        <w:shd w:val="clear" w:color="auto" w:fill="FFFFFF"/>
        <w:jc w:val="both"/>
        <w:rPr>
          <w:bCs/>
          <w:color w:val="002060"/>
          <w:sz w:val="16"/>
          <w:szCs w:val="16"/>
        </w:rPr>
      </w:pPr>
      <w:r w:rsidRPr="00405303">
        <w:rPr>
          <w:bCs/>
          <w:color w:val="002060"/>
          <w:sz w:val="16"/>
          <w:szCs w:val="16"/>
        </w:rPr>
        <w:t>В.А. Лебедев, следивший за работой Виллиша или знавший о ней по рассказам морских авиаторов, был заинтересован в сотрудничестве с конструктором и без особого труда добился своего, т.к. мог предложить много больше, чем мастерская Эбергарда. Соглашение между предпринимателем и изобретателем состоялось в начале декабря 1915 г. и гидроаэроплан ВМ-1 доставили на Комендантский аэродром. 14 декабря Лебедев информировал МГШ о том, что новая лодка может быть построена уже вскоре и за 13.000 руб. 16 декабря коман</w:t>
      </w:r>
      <w:r w:rsidRPr="00405303">
        <w:rPr>
          <w:bCs/>
          <w:color w:val="002060"/>
          <w:sz w:val="16"/>
          <w:szCs w:val="16"/>
        </w:rPr>
        <w:softHyphen/>
        <w:t>диру Петроградского порта поручили послать производителю официальный заказ, что и бы</w:t>
      </w:r>
      <w:r w:rsidRPr="00405303">
        <w:rPr>
          <w:bCs/>
          <w:color w:val="002060"/>
          <w:sz w:val="16"/>
          <w:szCs w:val="16"/>
        </w:rPr>
        <w:softHyphen/>
        <w:t xml:space="preserve">ло исполнено </w:t>
      </w:r>
    </w:p>
    <w:p w14:paraId="787011FE" w14:textId="77777777" w:rsidR="001C275D" w:rsidRPr="00405303" w:rsidRDefault="001C275D" w:rsidP="00C15251">
      <w:pPr>
        <w:shd w:val="clear" w:color="auto" w:fill="FFFFFF"/>
        <w:jc w:val="both"/>
        <w:rPr>
          <w:bCs/>
          <w:color w:val="002060"/>
          <w:sz w:val="16"/>
          <w:szCs w:val="16"/>
        </w:rPr>
      </w:pPr>
    </w:p>
    <w:p w14:paraId="08A2E5FC" w14:textId="15E0EC24" w:rsidR="004B4E35" w:rsidRPr="00405303" w:rsidRDefault="009E6F82" w:rsidP="00C15251">
      <w:pPr>
        <w:shd w:val="clear" w:color="auto" w:fill="FFFFFF"/>
        <w:jc w:val="both"/>
        <w:rPr>
          <w:bCs/>
          <w:color w:val="002060"/>
          <w:sz w:val="16"/>
          <w:szCs w:val="16"/>
        </w:rPr>
      </w:pPr>
      <w:r w:rsidRPr="00405303">
        <w:rPr>
          <w:bCs/>
          <w:color w:val="002060"/>
          <w:sz w:val="16"/>
          <w:szCs w:val="16"/>
        </w:rPr>
        <w:t>23 декабря 1915</w:t>
      </w:r>
      <w:r w:rsidR="001C275D" w:rsidRPr="00405303">
        <w:rPr>
          <w:bCs/>
          <w:color w:val="002060"/>
          <w:sz w:val="16"/>
          <w:szCs w:val="16"/>
        </w:rPr>
        <w:t xml:space="preserve"> г.</w:t>
      </w:r>
      <w:r w:rsidRPr="00405303">
        <w:rPr>
          <w:bCs/>
          <w:color w:val="002060"/>
          <w:sz w:val="16"/>
          <w:szCs w:val="16"/>
        </w:rPr>
        <w:t xml:space="preserve"> (или 29 по другому источнику) (5</w:t>
      </w:r>
      <w:r w:rsidR="001C275D" w:rsidRPr="00405303">
        <w:rPr>
          <w:bCs/>
          <w:color w:val="002060"/>
          <w:sz w:val="16"/>
          <w:szCs w:val="16"/>
        </w:rPr>
        <w:t xml:space="preserve"> или 11</w:t>
      </w:r>
      <w:r w:rsidRPr="00405303">
        <w:rPr>
          <w:bCs/>
          <w:color w:val="002060"/>
          <w:sz w:val="16"/>
          <w:szCs w:val="16"/>
        </w:rPr>
        <w:t xml:space="preserve"> января</w:t>
      </w:r>
      <w:r w:rsidR="001C275D" w:rsidRPr="00405303">
        <w:rPr>
          <w:bCs/>
          <w:color w:val="002060"/>
          <w:sz w:val="16"/>
          <w:szCs w:val="16"/>
        </w:rPr>
        <w:t xml:space="preserve"> </w:t>
      </w:r>
      <w:r w:rsidRPr="00405303">
        <w:rPr>
          <w:bCs/>
          <w:color w:val="002060"/>
          <w:sz w:val="16"/>
          <w:szCs w:val="16"/>
        </w:rPr>
        <w:t>1916</w:t>
      </w:r>
      <w:r w:rsidR="001C275D" w:rsidRPr="00405303">
        <w:rPr>
          <w:bCs/>
          <w:color w:val="002060"/>
          <w:sz w:val="16"/>
          <w:szCs w:val="16"/>
        </w:rPr>
        <w:t xml:space="preserve"> г.</w:t>
      </w:r>
      <w:r w:rsidRPr="00405303">
        <w:rPr>
          <w:bCs/>
          <w:color w:val="002060"/>
          <w:sz w:val="16"/>
          <w:szCs w:val="16"/>
        </w:rPr>
        <w:t>)</w:t>
      </w:r>
      <w:r w:rsidR="001C275D" w:rsidRPr="00405303">
        <w:rPr>
          <w:bCs/>
          <w:color w:val="002060"/>
          <w:sz w:val="16"/>
          <w:szCs w:val="16"/>
        </w:rPr>
        <w:t xml:space="preserve"> фирма Лебедева получила ойициальный заказ на л/л Виллиша</w:t>
      </w:r>
      <w:r w:rsidRPr="00405303">
        <w:rPr>
          <w:bCs/>
          <w:color w:val="002060"/>
          <w:sz w:val="16"/>
          <w:szCs w:val="16"/>
        </w:rPr>
        <w:t>. Фирма обязалась выполнить все необхо</w:t>
      </w:r>
      <w:r w:rsidRPr="00405303">
        <w:rPr>
          <w:bCs/>
          <w:color w:val="002060"/>
          <w:sz w:val="16"/>
          <w:szCs w:val="16"/>
        </w:rPr>
        <w:softHyphen/>
        <w:t>димые чертежи и изготовить самолет в течение трех месяцев, Морское же ведомство бралось доставить мотор и провести все испытания (2843).</w:t>
      </w:r>
    </w:p>
    <w:p w14:paraId="6C5DB50F" w14:textId="77777777" w:rsidR="004B4E35" w:rsidRPr="00405303" w:rsidRDefault="004B4E35" w:rsidP="00C15251">
      <w:pPr>
        <w:shd w:val="clear" w:color="auto" w:fill="FFFFFF"/>
        <w:jc w:val="both"/>
        <w:rPr>
          <w:bCs/>
          <w:color w:val="002060"/>
          <w:sz w:val="16"/>
          <w:szCs w:val="16"/>
        </w:rPr>
      </w:pPr>
    </w:p>
    <w:p w14:paraId="61F7E959" w14:textId="77777777" w:rsidR="00D879C2" w:rsidRPr="00405303" w:rsidRDefault="00D879C2" w:rsidP="00C15251">
      <w:pPr>
        <w:shd w:val="clear" w:color="auto" w:fill="FFFFFF"/>
        <w:jc w:val="both"/>
        <w:rPr>
          <w:bCs/>
          <w:i/>
          <w:color w:val="002060"/>
          <w:sz w:val="16"/>
          <w:szCs w:val="16"/>
        </w:rPr>
      </w:pPr>
      <w:r w:rsidRPr="00405303">
        <w:rPr>
          <w:bCs/>
          <w:i/>
          <w:color w:val="002060"/>
          <w:sz w:val="16"/>
          <w:szCs w:val="16"/>
        </w:rPr>
        <w:t>Авиация:</w:t>
      </w:r>
    </w:p>
    <w:p w14:paraId="7EBFE08F" w14:textId="77777777" w:rsidR="00D879C2" w:rsidRPr="00405303" w:rsidRDefault="00D879C2" w:rsidP="00C15251">
      <w:pPr>
        <w:shd w:val="clear" w:color="auto" w:fill="FFFFFF"/>
        <w:jc w:val="both"/>
        <w:rPr>
          <w:bCs/>
          <w:i/>
          <w:color w:val="002060"/>
          <w:sz w:val="16"/>
          <w:szCs w:val="16"/>
        </w:rPr>
      </w:pPr>
    </w:p>
    <w:p w14:paraId="2216B700" w14:textId="435D57D1" w:rsidR="00CC77F9" w:rsidRPr="00405303" w:rsidRDefault="00CC77F9" w:rsidP="00C15251">
      <w:pPr>
        <w:jc w:val="both"/>
        <w:rPr>
          <w:bCs/>
          <w:color w:val="002060"/>
          <w:sz w:val="16"/>
          <w:szCs w:val="16"/>
        </w:rPr>
      </w:pPr>
      <w:r w:rsidRPr="00405303">
        <w:rPr>
          <w:bCs/>
          <w:color w:val="002060"/>
          <w:sz w:val="16"/>
          <w:szCs w:val="16"/>
        </w:rPr>
        <w:t xml:space="preserve">23 декабря в 1915 году (5 января 1916) в Киеве </w:t>
      </w:r>
      <w:r w:rsidR="001C275D" w:rsidRPr="00405303">
        <w:rPr>
          <w:bCs/>
          <w:color w:val="002060"/>
          <w:sz w:val="16"/>
          <w:szCs w:val="16"/>
        </w:rPr>
        <w:t xml:space="preserve">была </w:t>
      </w:r>
      <w:r w:rsidRPr="00405303">
        <w:rPr>
          <w:bCs/>
          <w:color w:val="002060"/>
          <w:sz w:val="16"/>
          <w:szCs w:val="16"/>
        </w:rPr>
        <w:t>сформирована Военная школа летчиков-наблюдателей (14869).</w:t>
      </w:r>
    </w:p>
    <w:p w14:paraId="5C7747F3" w14:textId="77777777" w:rsidR="00CC77F9" w:rsidRPr="00405303" w:rsidRDefault="00CC77F9" w:rsidP="00C15251">
      <w:pPr>
        <w:jc w:val="both"/>
        <w:rPr>
          <w:bCs/>
          <w:color w:val="002060"/>
          <w:sz w:val="16"/>
          <w:szCs w:val="16"/>
        </w:rPr>
      </w:pPr>
    </w:p>
    <w:p w14:paraId="6C1C67B3" w14:textId="2F4E1189" w:rsidR="00BB35D4" w:rsidRPr="00405303" w:rsidRDefault="00BB35D4" w:rsidP="00C15251">
      <w:pPr>
        <w:jc w:val="both"/>
        <w:rPr>
          <w:bCs/>
          <w:color w:val="002060"/>
          <w:sz w:val="16"/>
          <w:szCs w:val="16"/>
        </w:rPr>
      </w:pPr>
      <w:r w:rsidRPr="00405303">
        <w:rPr>
          <w:bCs/>
          <w:color w:val="002060"/>
          <w:sz w:val="16"/>
          <w:szCs w:val="16"/>
        </w:rPr>
        <w:t>23 декабря 1915 г. (5 января) под шквальный артиллерийский обстрел попали германские аэропланы и привязные аэростаты, которые вскоре вынуждены были удалиться с поля боя. Победа осталась за русскими артиллеристами. Днем ранее австрийский аэроплан, «поднявшийся из Буковины, обстрелянный нашими войсками, был вынужден спуститься на территорию Румынии. Офицеры-летчики арестованы вместе с аппаратом» (23405).</w:t>
      </w:r>
    </w:p>
    <w:p w14:paraId="18C32BBA" w14:textId="77777777" w:rsidR="00BB35D4" w:rsidRPr="00405303" w:rsidRDefault="00BB35D4" w:rsidP="00C15251">
      <w:pPr>
        <w:jc w:val="both"/>
        <w:rPr>
          <w:bCs/>
          <w:color w:val="002060"/>
          <w:sz w:val="16"/>
          <w:szCs w:val="16"/>
          <w:lang w:bidi="ru-RU"/>
        </w:rPr>
      </w:pPr>
    </w:p>
    <w:p w14:paraId="67102405" w14:textId="77777777" w:rsidR="00294B96" w:rsidRPr="00405303" w:rsidRDefault="00294B96" w:rsidP="00C15251">
      <w:pPr>
        <w:jc w:val="both"/>
        <w:rPr>
          <w:bCs/>
          <w:iCs/>
          <w:color w:val="002060"/>
          <w:sz w:val="16"/>
          <w:szCs w:val="16"/>
        </w:rPr>
      </w:pPr>
      <w:r w:rsidRPr="00405303">
        <w:rPr>
          <w:bCs/>
          <w:i/>
          <w:iCs/>
          <w:color w:val="002060"/>
          <w:sz w:val="16"/>
          <w:szCs w:val="16"/>
        </w:rPr>
        <w:t>За рубежом:</w:t>
      </w:r>
    </w:p>
    <w:p w14:paraId="7142BF7C" w14:textId="77777777" w:rsidR="00294B96" w:rsidRPr="00405303" w:rsidRDefault="00294B96" w:rsidP="00C15251">
      <w:pPr>
        <w:jc w:val="both"/>
        <w:rPr>
          <w:bCs/>
          <w:iCs/>
          <w:color w:val="002060"/>
          <w:sz w:val="16"/>
          <w:szCs w:val="16"/>
        </w:rPr>
      </w:pPr>
    </w:p>
    <w:p w14:paraId="28B8F8ED" w14:textId="6F749C07" w:rsidR="00294B96" w:rsidRPr="00405303" w:rsidRDefault="00294B96" w:rsidP="00C15251">
      <w:pPr>
        <w:jc w:val="both"/>
        <w:rPr>
          <w:bCs/>
          <w:color w:val="002060"/>
          <w:sz w:val="16"/>
          <w:szCs w:val="16"/>
        </w:rPr>
      </w:pPr>
      <w:r w:rsidRPr="00405303">
        <w:rPr>
          <w:bCs/>
          <w:color w:val="002060"/>
          <w:sz w:val="16"/>
          <w:szCs w:val="16"/>
        </w:rPr>
        <w:t xml:space="preserve">23 декабря в 1915 году (5 января в 1916 году) </w:t>
      </w:r>
      <w:r w:rsidR="001C275D" w:rsidRPr="00405303">
        <w:rPr>
          <w:bCs/>
          <w:color w:val="002060"/>
          <w:sz w:val="16"/>
          <w:szCs w:val="16"/>
        </w:rPr>
        <w:t xml:space="preserve">состоялся </w:t>
      </w:r>
      <w:r w:rsidRPr="00405303">
        <w:rPr>
          <w:bCs/>
          <w:color w:val="002060"/>
          <w:sz w:val="16"/>
          <w:szCs w:val="16"/>
        </w:rPr>
        <w:t>первый полёт морского бомбардировщика-разведчика «Gotha» «UWD» («Ursinus Wasser Doppeldecker»), компания «Gotha», Германия. Первый «UWD», оснащенный двумя двигателями «Mercedes D.III» мощностью 160 л.с., был передан на базу Seeflugzeug Versuchs Kommando в Варнемюнде. Испытания «UWD» продлились до 6 февраля 1916 года. Испытания самолета прошли успешно и его приняли в состав флота. В ходе военных действий «UWD» совершил несколько удачных рейдов, так летом 1916 года он и еще четыре самолета «Friedrichshafen» «FF 33» совершили налет на Дувр. Все «FF.33» были перехвачены вражескими «Caudron» и «Sopwith Baby», а «UWD» сбросил свой бомбовый груз на береговую батарею и успешно вернулся назад. «UWD» был списан из состава флота 2 октября 1916 года (15000).</w:t>
      </w:r>
    </w:p>
    <w:p w14:paraId="5B325FC2" w14:textId="77777777" w:rsidR="00294B96" w:rsidRPr="00405303" w:rsidRDefault="00294B96" w:rsidP="00C15251">
      <w:pPr>
        <w:jc w:val="both"/>
        <w:rPr>
          <w:bCs/>
          <w:color w:val="002060"/>
          <w:sz w:val="16"/>
          <w:szCs w:val="16"/>
        </w:rPr>
      </w:pPr>
    </w:p>
    <w:p w14:paraId="1BED4741" w14:textId="6128B35C" w:rsidR="00C74E3B" w:rsidRPr="00405303" w:rsidRDefault="00C74E3B" w:rsidP="00C15251">
      <w:pPr>
        <w:jc w:val="both"/>
        <w:rPr>
          <w:bCs/>
          <w:color w:val="002060"/>
          <w:sz w:val="16"/>
          <w:szCs w:val="16"/>
        </w:rPr>
      </w:pPr>
      <w:r w:rsidRPr="00405303">
        <w:rPr>
          <w:bCs/>
          <w:color w:val="002060"/>
          <w:sz w:val="16"/>
          <w:szCs w:val="16"/>
        </w:rPr>
        <w:t xml:space="preserve">23 декабря 1915 </w:t>
      </w:r>
      <w:r w:rsidR="001C275D" w:rsidRPr="00405303">
        <w:rPr>
          <w:bCs/>
          <w:color w:val="002060"/>
          <w:sz w:val="16"/>
          <w:szCs w:val="16"/>
        </w:rPr>
        <w:t xml:space="preserve">г. </w:t>
      </w:r>
      <w:r w:rsidRPr="00405303">
        <w:rPr>
          <w:bCs/>
          <w:color w:val="002060"/>
          <w:sz w:val="16"/>
          <w:szCs w:val="16"/>
        </w:rPr>
        <w:t>(5 января 1916</w:t>
      </w:r>
      <w:r w:rsidR="001C275D" w:rsidRPr="00405303">
        <w:rPr>
          <w:bCs/>
          <w:color w:val="002060"/>
          <w:sz w:val="16"/>
          <w:szCs w:val="16"/>
        </w:rPr>
        <w:t xml:space="preserve"> г.</w:t>
      </w:r>
      <w:r w:rsidRPr="00405303">
        <w:rPr>
          <w:bCs/>
          <w:color w:val="002060"/>
          <w:sz w:val="16"/>
          <w:szCs w:val="16"/>
        </w:rPr>
        <w:t>)</w:t>
      </w:r>
      <w:r w:rsidR="000F5756">
        <w:rPr>
          <w:bCs/>
          <w:color w:val="002060"/>
          <w:sz w:val="16"/>
          <w:szCs w:val="16"/>
        </w:rPr>
        <w:t xml:space="preserve"> </w:t>
      </w:r>
      <w:r w:rsidR="001C275D" w:rsidRPr="00405303">
        <w:rPr>
          <w:bCs/>
          <w:color w:val="002060"/>
          <w:sz w:val="16"/>
          <w:szCs w:val="16"/>
        </w:rPr>
        <w:t>состоялся п</w:t>
      </w:r>
      <w:r w:rsidRPr="00405303">
        <w:rPr>
          <w:bCs/>
          <w:color w:val="002060"/>
          <w:sz w:val="16"/>
          <w:szCs w:val="16"/>
        </w:rPr>
        <w:t>ервый полёт морского бомбардировщика-разведчика Gotha UWD (Ursinus Wasser Doppeldecker), компания Gotha, Германия. Первый UWD, оснащенный двумя двигателями Mercedes D.III мощностью 160 л.с., был передан на базу Seeflugzeug Versuchs Kommando в Варнемюнде. Испытания UWD продлились до 6 февраля 1916 года. Испытания самолета прошли успешно и его приняли в состав флота. В ходе военных действий UWD совершил несколько удачных рейдов, так летом 1916 года он и еще четыре самолета Friedrichshafen FF 33 совершили налет на Дувр. Все FF.33 были перехвачены вражескими Caudron и Sopwith Baby, а UWD сбросил свой бомбовый груз на береговую батарею и успешно вернулся назад. UWD был списан из состава флота 2 октября 1916 года (22679).</w:t>
      </w:r>
    </w:p>
    <w:p w14:paraId="78D34394" w14:textId="77777777" w:rsidR="00C74E3B" w:rsidRPr="00405303" w:rsidRDefault="00C74E3B" w:rsidP="00C15251">
      <w:pPr>
        <w:jc w:val="both"/>
        <w:rPr>
          <w:bCs/>
          <w:color w:val="002060"/>
          <w:sz w:val="16"/>
          <w:szCs w:val="16"/>
        </w:rPr>
      </w:pPr>
    </w:p>
    <w:p w14:paraId="36907024" w14:textId="77777777" w:rsidR="00294B96" w:rsidRPr="00405303" w:rsidRDefault="00294B96" w:rsidP="00C15251">
      <w:pPr>
        <w:jc w:val="both"/>
        <w:rPr>
          <w:bCs/>
          <w:color w:val="002060"/>
          <w:sz w:val="16"/>
          <w:szCs w:val="16"/>
        </w:rPr>
      </w:pPr>
      <w:r w:rsidRPr="00405303">
        <w:rPr>
          <w:bCs/>
          <w:color w:val="002060"/>
          <w:sz w:val="16"/>
          <w:szCs w:val="16"/>
        </w:rPr>
        <w:t>23 декабря в 1915 году (5 января в 1916 году) приступила к боевым вылетам первая эскадрилья, оснащенная новыми французскими самолетами,"Ньюпор 11". N.16 No. 1 AD. Это был типичный истребитель: маленький, маневренный с небольшим силуэтом. На самолете стоял ротационный двигатель "Ле-Рон" мощностью 60 кВт. Поскольку новый "Ньюпор" был заметно меньше своего предшественника, он получил прозвище "Бебе" (Bebe - ребенок). Самолет быстро приобрел популярность за свои отличные летные качества. К 1 февраля на фронте действовало уже 90 "Ньюпоров 11". Новые самолеты прибыли в апреле. В начале 1916 года "Ньюпор 11С.1" был лучшим истребителем Антанты. Именно с помощью "Ньюпора 11" союзникам удалось превзойти немецкие "Фоккеры", которые до того времени господствовали в воздухе. Самолет еще не имел синхронизатора, поэтому пулемет "Льюис" стоял на станке на верхнем крыле, так, что стрелял мимо диска винта. Поскольку дотянуться до установленного высоко пулемета летчик не мог, спуск осуществлялся с помощью гибкого тросика Боудена. Такое расположение пулемета было очень неудобным. Диск вмещал только 47 патронов (позднее появился 96-зарядный диск). В ходе боя пилоту приходилось неоднократно отстегивать ремни, вставать в кабине и, удерживая ручку ногами, перезаряжать пулемет. Это была очень непростая манипуляция, так как в момент перезарядки пилот оставался полностью беззащитным, а мог и просто выпасть из кабины. Кроме того, пулемет не отличался высокой надежностью, а на холодном воздухе замерзал замок. Прицеливание было непростой задачей - наведение осуществлялось на глаз по следам трассирующих пуль. Это вело к перерасходу боеприпасов, что требовало частой смены пулеметных дисков. Ловко наладился стрелять из пулемета Жан Наварр, который, сев противнику на хвост, вставал в кабине и прицеливался традиционно через мушку и целик.</w:t>
      </w:r>
    </w:p>
    <w:p w14:paraId="5E2AE6AC" w14:textId="77777777" w:rsidR="00294B96" w:rsidRPr="00405303" w:rsidRDefault="00294B96" w:rsidP="00C15251">
      <w:pPr>
        <w:jc w:val="both"/>
        <w:rPr>
          <w:bCs/>
          <w:color w:val="002060"/>
          <w:sz w:val="16"/>
          <w:szCs w:val="16"/>
        </w:rPr>
      </w:pPr>
      <w:r w:rsidRPr="00405303">
        <w:rPr>
          <w:bCs/>
          <w:color w:val="002060"/>
          <w:sz w:val="16"/>
          <w:szCs w:val="16"/>
        </w:rPr>
        <w:t xml:space="preserve">Проблему удалось частично решить в апреле 1916 года. 18 апреля механик 11-й эскадрильи Королевских ВВС (англичане также использовали "Ньюпоры 11") сержант Р.Дж.Фостер установил на самолет своего пилота капитана Х.А.Купера пулемет "Льюис" на выгнутой направляющей. В результате пилот получил </w:t>
      </w:r>
      <w:proofErr w:type="gramStart"/>
      <w:r w:rsidRPr="00405303">
        <w:rPr>
          <w:bCs/>
          <w:color w:val="002060"/>
          <w:sz w:val="16"/>
          <w:szCs w:val="16"/>
        </w:rPr>
        <w:t>возможность</w:t>
      </w:r>
      <w:proofErr w:type="gramEnd"/>
      <w:r w:rsidRPr="00405303">
        <w:rPr>
          <w:bCs/>
          <w:color w:val="002060"/>
          <w:sz w:val="16"/>
          <w:szCs w:val="16"/>
        </w:rPr>
        <w:t xml:space="preserve"> не вставая с кресла опускать пулемет вниз и менять диск или передергивать заевший затвор. В верхнем положении пулемет был отъюстирован с телескопическим прицелом "Олдис", остановленным перед кабиной на уровне глаз пилота. 13 июня 1916 года система Фостера стала стандартным оснащением всех французских машин, летавших в составе английских частей. Французы никогда не применяли систему Фостера на своих машинах. Зато системой Фостера воспользовался знаменитый английский ас капитан Альберт Болл. Он был энтузиастом "Ньюпора 11C.1" и большинство из своих 44 побед, одержанных в 1916 году, одержал, летая на этой машине. Он атаковал самолет противника снизу и сзади. Переведя пулемет почти </w:t>
      </w:r>
      <w:proofErr w:type="gramStart"/>
      <w:r w:rsidRPr="00405303">
        <w:rPr>
          <w:bCs/>
          <w:color w:val="002060"/>
          <w:sz w:val="16"/>
          <w:szCs w:val="16"/>
        </w:rPr>
        <w:t>в вертикальное положение</w:t>
      </w:r>
      <w:proofErr w:type="gramEnd"/>
      <w:r w:rsidRPr="00405303">
        <w:rPr>
          <w:bCs/>
          <w:color w:val="002060"/>
          <w:sz w:val="16"/>
          <w:szCs w:val="16"/>
        </w:rPr>
        <w:t xml:space="preserve"> он давал очередь прямо в беззащитное днище самолета. Болл действовал безнаказанно почти год, пока на немецких самолетах не появились пулеметы, стреляющие вниз (15000).</w:t>
      </w:r>
    </w:p>
    <w:p w14:paraId="2EE04D45" w14:textId="77777777" w:rsidR="00294B96" w:rsidRPr="00405303" w:rsidRDefault="00294B96" w:rsidP="00C15251">
      <w:pPr>
        <w:jc w:val="both"/>
        <w:rPr>
          <w:bCs/>
          <w:color w:val="002060"/>
          <w:sz w:val="16"/>
          <w:szCs w:val="16"/>
        </w:rPr>
      </w:pPr>
    </w:p>
    <w:p w14:paraId="4EAF22B8" w14:textId="7E070238" w:rsidR="00C74E3B" w:rsidRPr="00405303" w:rsidRDefault="00C74E3B" w:rsidP="00C15251">
      <w:pPr>
        <w:jc w:val="both"/>
        <w:rPr>
          <w:bCs/>
          <w:i/>
          <w:color w:val="002060"/>
          <w:sz w:val="16"/>
          <w:szCs w:val="16"/>
        </w:rPr>
      </w:pPr>
      <w:r w:rsidRPr="00405303">
        <w:rPr>
          <w:bCs/>
          <w:i/>
          <w:color w:val="002060"/>
          <w:sz w:val="16"/>
          <w:szCs w:val="16"/>
        </w:rPr>
        <w:t>Авиация и воздухоплавание Франции:</w:t>
      </w:r>
    </w:p>
    <w:p w14:paraId="2FD3D31F" w14:textId="77777777" w:rsidR="00C74E3B" w:rsidRPr="00405303" w:rsidRDefault="00C74E3B" w:rsidP="00C15251">
      <w:pPr>
        <w:jc w:val="both"/>
        <w:rPr>
          <w:bCs/>
          <w:i/>
          <w:color w:val="002060"/>
          <w:sz w:val="16"/>
          <w:szCs w:val="16"/>
        </w:rPr>
      </w:pPr>
    </w:p>
    <w:p w14:paraId="1E097412" w14:textId="4AFD5368" w:rsidR="00C74E3B" w:rsidRPr="00405303" w:rsidRDefault="00C74E3B" w:rsidP="00C15251">
      <w:pPr>
        <w:jc w:val="both"/>
        <w:rPr>
          <w:bCs/>
          <w:color w:val="002060"/>
          <w:sz w:val="16"/>
          <w:szCs w:val="16"/>
        </w:rPr>
      </w:pPr>
      <w:bookmarkStart w:id="328" w:name="_Hlk98484822"/>
      <w:r w:rsidRPr="00405303">
        <w:rPr>
          <w:bCs/>
          <w:color w:val="002060"/>
          <w:sz w:val="16"/>
          <w:szCs w:val="16"/>
        </w:rPr>
        <w:t>23 декабря 1915 (5 января 1916)</w:t>
      </w:r>
      <w:r w:rsidR="000F5756">
        <w:rPr>
          <w:bCs/>
          <w:color w:val="002060"/>
          <w:sz w:val="16"/>
          <w:szCs w:val="16"/>
        </w:rPr>
        <w:t xml:space="preserve"> </w:t>
      </w:r>
      <w:r w:rsidR="001C275D" w:rsidRPr="00405303">
        <w:rPr>
          <w:bCs/>
          <w:color w:val="002060"/>
          <w:sz w:val="16"/>
          <w:szCs w:val="16"/>
        </w:rPr>
        <w:t>состоялся п</w:t>
      </w:r>
      <w:r w:rsidRPr="00405303">
        <w:rPr>
          <w:bCs/>
          <w:color w:val="002060"/>
          <w:sz w:val="16"/>
          <w:szCs w:val="16"/>
        </w:rPr>
        <w:t>ервый полет полутораплана Nieuport 11 (Nieuport XI C.1). В 1915 году Гюстав Деляж создал уменьшенный вариант самолета Nieuport 10, обозначенный как "Ньюпор 11". Это был типичный истребитель: маленький, маневренный с небольшим силуэтом. На самолете стоял ротационный двигатель "Ле-Рон" мощностью 60 кВт. Поскольку новый "Ньюпор" был заметно меньше своего предшественника, он получил прозвище "Бебе" (Bebe - ребенок). Самолет быстро приобрел популярность за свои отличные летные качества. Первая эскадрилья, оснащенная новыми самолетами, приступила к боевым вылетам 5 января 1916 года. К 1 февраля на фронте действовало уже 90 "Ньюпоров 11". Новые самолеты прибыли в апреле. В начале 1916 года "Ньюпор 11С.1" был лучшим истребителем Антанты (22679).</w:t>
      </w:r>
    </w:p>
    <w:p w14:paraId="6BB69328" w14:textId="77777777" w:rsidR="00C74E3B" w:rsidRPr="00405303" w:rsidRDefault="00C74E3B" w:rsidP="00C15251">
      <w:pPr>
        <w:jc w:val="both"/>
        <w:rPr>
          <w:bCs/>
          <w:color w:val="002060"/>
          <w:sz w:val="16"/>
          <w:szCs w:val="16"/>
        </w:rPr>
      </w:pPr>
    </w:p>
    <w:bookmarkEnd w:id="328"/>
    <w:p w14:paraId="1D9D8274" w14:textId="77777777" w:rsidR="00325E5B" w:rsidRPr="00405303" w:rsidRDefault="00325E5B" w:rsidP="00C15251">
      <w:pPr>
        <w:jc w:val="both"/>
        <w:rPr>
          <w:bCs/>
          <w:color w:val="002060"/>
          <w:sz w:val="16"/>
          <w:szCs w:val="16"/>
        </w:rPr>
      </w:pPr>
      <w:r w:rsidRPr="00405303">
        <w:rPr>
          <w:bCs/>
          <w:color w:val="002060"/>
          <w:sz w:val="16"/>
          <w:szCs w:val="16"/>
        </w:rPr>
        <w:t>23 декабря</w:t>
      </w:r>
      <w:r w:rsidRPr="00405303">
        <w:rPr>
          <w:color w:val="002060"/>
          <w:sz w:val="16"/>
          <w:szCs w:val="16"/>
        </w:rPr>
        <w:t xml:space="preserve"> в 1915 году (</w:t>
      </w:r>
      <w:r w:rsidRPr="00405303">
        <w:rPr>
          <w:bCs/>
          <w:color w:val="002060"/>
          <w:sz w:val="16"/>
          <w:szCs w:val="16"/>
        </w:rPr>
        <w:t>5 января</w:t>
      </w:r>
      <w:r w:rsidRPr="00405303">
        <w:rPr>
          <w:color w:val="002060"/>
          <w:sz w:val="16"/>
          <w:szCs w:val="16"/>
        </w:rPr>
        <w:t xml:space="preserve"> в 1916 году) приступила к боевым вылетам первая эскадрилья, оснащенная новыми французскими самолетами,"Ньюпор 11". N.16 No. 1 AD. Это был типичный истребитель: маленький, маневренный с небольшим силуэтом. На самолете стоял ротационный двигатель "Ле-Рон" мощностью 60 кВт. </w:t>
      </w:r>
      <w:r w:rsidRPr="00405303">
        <w:rPr>
          <w:color w:val="002060"/>
          <w:sz w:val="16"/>
          <w:szCs w:val="16"/>
        </w:rPr>
        <w:lastRenderedPageBreak/>
        <w:t>Поскольку новый "Ньюпор" был заметно меньше своего предшественника, он получил прозвище "Бебе" (Bebe - ребенок). Самолет быстро приобрел популярность за свои отличные летные качества. К 1 февраля на фронте действовало уже 90 "Ньюпоров 11". Новые самолеты прибыли в апреле. В начале 1916 года "Ньюпор 11С.1" был лучшим истребителем Антанты. Именно с помощью "Ньюпора 11" союзникам удалось превзойти немецкие "Фоккеры", которые до того времени господствовали в воздухе. Самолет еще не имел синхронизатора, поэтому пулемет "Льюис" стоял на станке на верхнем крыле, так, что стрелял мимо диска винта. Поскольку дотянуться до установленного высоко пулемета летчик не мог, спуск осуществлялся с помощью гибкого тросика Боудена. Такое расположение пулемета было очень неудобным. Диск вмещал только 47 патронов (позднее появился 96-зарядный диск). В ходе боя пилоту приходилось неоднократно отстегивать ремни, вставать в кабине и, удерживая ручку ногами, перезаряжать пулемет. Это была очень непростая манипуляция, так как в момент перезарядки пилот оставался полностью беззащитным, а мог и просто выпасть из кабины. Кроме того, пулемет не отличался высокой надежностью, а на холодном воздухе замерзал замок. Прицеливание было непростой задачей - наведение осуществлялось на глаз по следам трассирующих пуль. Это вело к перерасходу боеприпасов, что требовало частой смены пулеметных дисков. Ловко наладился стрелять из пулемета Жан Наварр, который, сев противнику на хвост, вставал в кабине и прицеливался традиционно через мушку и целик.</w:t>
      </w:r>
    </w:p>
    <w:p w14:paraId="3EA254B6" w14:textId="77777777" w:rsidR="00325E5B" w:rsidRPr="00405303" w:rsidRDefault="00325E5B" w:rsidP="00C15251">
      <w:pPr>
        <w:jc w:val="both"/>
        <w:rPr>
          <w:color w:val="002060"/>
          <w:sz w:val="16"/>
          <w:szCs w:val="16"/>
        </w:rPr>
      </w:pPr>
      <w:r w:rsidRPr="00405303">
        <w:rPr>
          <w:color w:val="002060"/>
          <w:sz w:val="16"/>
          <w:szCs w:val="16"/>
        </w:rPr>
        <w:t xml:space="preserve">Проблему удалось частично решить в апреле 1916 года. 18 апреля механик 11-й эскадрильи Королевских ВВС (англичане также использовали "Ньюпоры 11") сержант Р.Дж.Фостер установил на самолет своего пилота капитана Х.А.Купера пулемет "Льюис" на выгнутой направляющей. В результате пилот получил </w:t>
      </w:r>
      <w:proofErr w:type="gramStart"/>
      <w:r w:rsidRPr="00405303">
        <w:rPr>
          <w:color w:val="002060"/>
          <w:sz w:val="16"/>
          <w:szCs w:val="16"/>
        </w:rPr>
        <w:t>возможность</w:t>
      </w:r>
      <w:proofErr w:type="gramEnd"/>
      <w:r w:rsidRPr="00405303">
        <w:rPr>
          <w:color w:val="002060"/>
          <w:sz w:val="16"/>
          <w:szCs w:val="16"/>
        </w:rPr>
        <w:t xml:space="preserve"> не вставая с кресла опускать пулемет вниз и менять диск или передергивать заевший затвор. В верхнем положении пулемет был отъюстирован с телескопическим прицелом "Олдис", остановленным перед кабиной на уровне глаз пилота. 13 июня 1916 года система Фостера стала стандартным оснащением всех французских машин, летавших в составе английских частей. Французы никогда не применяли систему Фостера на своих машинах. Зато системой Фостера воспользовался знаменитый английский ас капитан Альберт Болл. Он был энтузиастом "Ньюпора 11C.1" и большинство из своих 44 побед, одержанных в 1916 году, одержал, летая на этой машине. Он атаковал самолет противника снизу и сзади. Переведя пулемет почти в вертикальное положение, он давал очередь прямо в беззащитное днище самолета. Болл действовал безнаказанно почти год, пока на немецких самолетах не появились пулеметы, стреляющие вниз (15000).</w:t>
      </w:r>
    </w:p>
    <w:p w14:paraId="7498A946" w14:textId="77777777" w:rsidR="00325E5B" w:rsidRPr="00405303" w:rsidRDefault="00325E5B" w:rsidP="00C15251">
      <w:pPr>
        <w:jc w:val="both"/>
        <w:rPr>
          <w:color w:val="002060"/>
          <w:sz w:val="16"/>
          <w:szCs w:val="16"/>
        </w:rPr>
      </w:pPr>
    </w:p>
    <w:p w14:paraId="69027617" w14:textId="692F6E28" w:rsidR="00C74E3B" w:rsidRPr="00405303" w:rsidRDefault="00C74E3B" w:rsidP="00C15251">
      <w:pPr>
        <w:jc w:val="both"/>
        <w:rPr>
          <w:bCs/>
          <w:i/>
          <w:color w:val="002060"/>
          <w:sz w:val="16"/>
          <w:szCs w:val="16"/>
        </w:rPr>
      </w:pPr>
      <w:r w:rsidRPr="00405303">
        <w:rPr>
          <w:bCs/>
          <w:i/>
          <w:color w:val="002060"/>
          <w:sz w:val="16"/>
          <w:szCs w:val="16"/>
        </w:rPr>
        <w:t>Авиация и воздухоплавание за рубежом:</w:t>
      </w:r>
    </w:p>
    <w:p w14:paraId="1E79476B" w14:textId="77777777" w:rsidR="00C74E3B" w:rsidRPr="00405303" w:rsidRDefault="00C74E3B" w:rsidP="00C15251">
      <w:pPr>
        <w:jc w:val="both"/>
        <w:rPr>
          <w:bCs/>
          <w:i/>
          <w:color w:val="002060"/>
          <w:sz w:val="16"/>
          <w:szCs w:val="16"/>
        </w:rPr>
      </w:pPr>
    </w:p>
    <w:p w14:paraId="129B67D3" w14:textId="33DA7D57" w:rsidR="00C74E3B" w:rsidRPr="00405303" w:rsidRDefault="00C74E3B" w:rsidP="00C15251">
      <w:pPr>
        <w:jc w:val="both"/>
        <w:rPr>
          <w:bCs/>
          <w:color w:val="002060"/>
          <w:sz w:val="16"/>
          <w:szCs w:val="16"/>
        </w:rPr>
      </w:pPr>
      <w:bookmarkStart w:id="329" w:name="_Hlk98484893"/>
      <w:r w:rsidRPr="00405303">
        <w:rPr>
          <w:bCs/>
          <w:color w:val="002060"/>
          <w:sz w:val="16"/>
          <w:szCs w:val="16"/>
        </w:rPr>
        <w:t>23 декабря 1915 (5 января 1916)</w:t>
      </w:r>
      <w:r w:rsidR="00DB4D64" w:rsidRPr="00405303">
        <w:rPr>
          <w:bCs/>
          <w:color w:val="002060"/>
          <w:sz w:val="16"/>
          <w:szCs w:val="16"/>
        </w:rPr>
        <w:t xml:space="preserve"> </w:t>
      </w:r>
      <w:r w:rsidRPr="00405303">
        <w:rPr>
          <w:bCs/>
          <w:color w:val="002060"/>
          <w:sz w:val="16"/>
          <w:szCs w:val="16"/>
        </w:rPr>
        <w:t>- Джозеф Карберри (Joseph E. Carberry) установил рекорд высоты 11 690 футов (3560 м), с капитаном Бенджамином Делахауф Фулуа в качестве пассажира (22679).</w:t>
      </w:r>
      <w:r w:rsidR="00DB4D64" w:rsidRPr="00405303">
        <w:rPr>
          <w:bCs/>
          <w:color w:val="002060"/>
          <w:sz w:val="16"/>
          <w:szCs w:val="16"/>
        </w:rPr>
        <w:t xml:space="preserve"> </w:t>
      </w:r>
    </w:p>
    <w:p w14:paraId="6EEAC944" w14:textId="77777777" w:rsidR="00C74E3B" w:rsidRPr="00405303" w:rsidRDefault="00C74E3B" w:rsidP="00C15251">
      <w:pPr>
        <w:jc w:val="both"/>
        <w:rPr>
          <w:bCs/>
          <w:color w:val="002060"/>
          <w:sz w:val="16"/>
          <w:szCs w:val="16"/>
        </w:rPr>
      </w:pPr>
    </w:p>
    <w:bookmarkEnd w:id="329"/>
    <w:p w14:paraId="6E012269" w14:textId="77777777" w:rsidR="00D879C2" w:rsidRPr="00405303" w:rsidRDefault="00D879C2" w:rsidP="00C15251">
      <w:pPr>
        <w:shd w:val="clear" w:color="auto" w:fill="FFFFFF"/>
        <w:jc w:val="both"/>
        <w:rPr>
          <w:bCs/>
          <w:i/>
          <w:color w:val="002060"/>
          <w:sz w:val="16"/>
          <w:szCs w:val="16"/>
        </w:rPr>
      </w:pPr>
      <w:r w:rsidRPr="00405303">
        <w:rPr>
          <w:bCs/>
          <w:i/>
          <w:color w:val="002060"/>
          <w:sz w:val="16"/>
          <w:szCs w:val="16"/>
        </w:rPr>
        <w:t>Самолетостроение:</w:t>
      </w:r>
    </w:p>
    <w:p w14:paraId="3C9207E3" w14:textId="77777777" w:rsidR="00D879C2" w:rsidRPr="00405303" w:rsidRDefault="00D879C2" w:rsidP="00C15251">
      <w:pPr>
        <w:shd w:val="clear" w:color="auto" w:fill="FFFFFF"/>
        <w:jc w:val="both"/>
        <w:rPr>
          <w:bCs/>
          <w:i/>
          <w:color w:val="002060"/>
          <w:sz w:val="16"/>
          <w:szCs w:val="16"/>
        </w:rPr>
      </w:pPr>
    </w:p>
    <w:p w14:paraId="49455F1D" w14:textId="2D8FF110" w:rsidR="00D879C2" w:rsidRPr="00405303" w:rsidRDefault="00D879C2" w:rsidP="00C15251">
      <w:pPr>
        <w:jc w:val="both"/>
        <w:rPr>
          <w:bCs/>
          <w:color w:val="002060"/>
          <w:sz w:val="16"/>
          <w:szCs w:val="16"/>
        </w:rPr>
      </w:pPr>
      <w:r w:rsidRPr="00405303">
        <w:rPr>
          <w:bCs/>
          <w:color w:val="002060"/>
          <w:sz w:val="16"/>
          <w:szCs w:val="16"/>
        </w:rPr>
        <w:t xml:space="preserve">24 декабря в 1915 </w:t>
      </w:r>
      <w:r w:rsidR="00721736" w:rsidRPr="00405303">
        <w:rPr>
          <w:bCs/>
          <w:color w:val="002060"/>
          <w:sz w:val="16"/>
          <w:szCs w:val="16"/>
        </w:rPr>
        <w:t xml:space="preserve">г. </w:t>
      </w:r>
      <w:r w:rsidRPr="00405303">
        <w:rPr>
          <w:bCs/>
          <w:color w:val="002060"/>
          <w:sz w:val="16"/>
          <w:szCs w:val="16"/>
        </w:rPr>
        <w:t>(6 января 1916</w:t>
      </w:r>
      <w:r w:rsidR="00721736" w:rsidRPr="00405303">
        <w:rPr>
          <w:bCs/>
          <w:color w:val="002060"/>
          <w:sz w:val="16"/>
          <w:szCs w:val="16"/>
        </w:rPr>
        <w:t xml:space="preserve"> г.</w:t>
      </w:r>
      <w:r w:rsidRPr="00405303">
        <w:rPr>
          <w:bCs/>
          <w:color w:val="002060"/>
          <w:sz w:val="16"/>
          <w:szCs w:val="16"/>
        </w:rPr>
        <w:t>) году завершены испытательные полеты летающей лодки «М-9» Д.П.Григоровича (14870).</w:t>
      </w:r>
    </w:p>
    <w:p w14:paraId="055EB89A" w14:textId="77777777" w:rsidR="00D879C2" w:rsidRPr="00405303" w:rsidRDefault="00D879C2" w:rsidP="00C15251">
      <w:pPr>
        <w:jc w:val="both"/>
        <w:rPr>
          <w:bCs/>
          <w:color w:val="002060"/>
          <w:sz w:val="16"/>
          <w:szCs w:val="16"/>
        </w:rPr>
      </w:pPr>
    </w:p>
    <w:p w14:paraId="1DDC8FFD" w14:textId="77777777" w:rsidR="002D7B9D" w:rsidRPr="00405303" w:rsidRDefault="002D7B9D" w:rsidP="00C15251">
      <w:pPr>
        <w:jc w:val="both"/>
        <w:rPr>
          <w:bCs/>
          <w:i/>
          <w:color w:val="002060"/>
          <w:sz w:val="16"/>
          <w:szCs w:val="16"/>
        </w:rPr>
      </w:pPr>
      <w:r w:rsidRPr="00405303">
        <w:rPr>
          <w:bCs/>
          <w:i/>
          <w:color w:val="002060"/>
          <w:sz w:val="16"/>
          <w:szCs w:val="16"/>
        </w:rPr>
        <w:t>Авиация:</w:t>
      </w:r>
    </w:p>
    <w:p w14:paraId="318C9E8C" w14:textId="77777777" w:rsidR="002D7B9D" w:rsidRPr="00405303" w:rsidRDefault="002D7B9D" w:rsidP="00C15251">
      <w:pPr>
        <w:jc w:val="both"/>
        <w:rPr>
          <w:bCs/>
          <w:i/>
          <w:color w:val="002060"/>
          <w:sz w:val="16"/>
          <w:szCs w:val="16"/>
        </w:rPr>
      </w:pPr>
    </w:p>
    <w:p w14:paraId="7AAB3F31" w14:textId="726C40DD" w:rsidR="002D7B9D" w:rsidRPr="00405303" w:rsidRDefault="002D7B9D" w:rsidP="00C15251">
      <w:pPr>
        <w:jc w:val="both"/>
        <w:rPr>
          <w:bCs/>
          <w:color w:val="002060"/>
          <w:sz w:val="16"/>
          <w:szCs w:val="16"/>
        </w:rPr>
      </w:pPr>
      <w:r w:rsidRPr="00405303">
        <w:rPr>
          <w:bCs/>
          <w:color w:val="002060"/>
          <w:sz w:val="16"/>
          <w:szCs w:val="16"/>
        </w:rPr>
        <w:t xml:space="preserve">24 декабря 1915 г. </w:t>
      </w:r>
      <w:r w:rsidR="00721736" w:rsidRPr="00405303">
        <w:rPr>
          <w:bCs/>
          <w:color w:val="002060"/>
          <w:sz w:val="16"/>
          <w:szCs w:val="16"/>
        </w:rPr>
        <w:t xml:space="preserve">(5 января 1916 г.) </w:t>
      </w:r>
      <w:r w:rsidRPr="00405303">
        <w:rPr>
          <w:bCs/>
          <w:color w:val="002060"/>
          <w:sz w:val="16"/>
          <w:szCs w:val="16"/>
        </w:rPr>
        <w:t xml:space="preserve">Военный совет принял решение о формировании Киеве военной школы летчиков-наблюдателей (ВШЛН). Положение о школе, штат и табель были утверждены Николаем II 3 января 1916 г. К командируемым в школу офицерам предъявлялись требования по здоровью и технической подготовленности. ВШЛН была рассчитана на шестимесячное обучение 50 офицеров. Согласно Положению </w:t>
      </w:r>
      <w:proofErr w:type="gramStart"/>
      <w:r w:rsidRPr="00405303">
        <w:rPr>
          <w:bCs/>
          <w:color w:val="002060"/>
          <w:sz w:val="16"/>
          <w:szCs w:val="16"/>
        </w:rPr>
        <w:t>о школе</w:t>
      </w:r>
      <w:proofErr w:type="gramEnd"/>
      <w:r w:rsidRPr="00405303">
        <w:rPr>
          <w:bCs/>
          <w:color w:val="002060"/>
          <w:sz w:val="16"/>
          <w:szCs w:val="16"/>
        </w:rPr>
        <w:t xml:space="preserve"> летчики-наблюдатели, закончившие ВШЛН и прослужившие в отрядах не менее шести месяцев, могли поступать в авиашколы для обучения на военного летчика. Кроме того, выпускники ВШЛН получали равные права с военными летчиками в продвижении по службе. Школа наблюдателей непосредственно подчинялась начальнику штаба Киевского военного округа. Инспектирование ее поручалось Заведующему авиацией и Начальнику ГШ, в ведении которого она и должна была находиться. Распределение выпускников возлагалось на штабы армий. В состав школы входили: управление, авиаотряд, полигон, аэродром, радиотелеграфный кабинет, фотографический кабинет, аэронавигационный кабинет, артиллерийская лаборатория, склад и мастерские (19566).</w:t>
      </w:r>
    </w:p>
    <w:p w14:paraId="16A42EF1" w14:textId="77777777" w:rsidR="002D7B9D" w:rsidRPr="00405303" w:rsidRDefault="002D7B9D" w:rsidP="00C15251">
      <w:pPr>
        <w:jc w:val="both"/>
        <w:rPr>
          <w:bCs/>
          <w:color w:val="002060"/>
          <w:sz w:val="16"/>
          <w:szCs w:val="16"/>
        </w:rPr>
      </w:pPr>
    </w:p>
    <w:p w14:paraId="7F923118" w14:textId="7318BF62" w:rsidR="00325E5B" w:rsidRPr="00405303" w:rsidRDefault="00325E5B" w:rsidP="00C15251">
      <w:pPr>
        <w:jc w:val="both"/>
        <w:rPr>
          <w:bCs/>
          <w:i/>
          <w:iCs/>
          <w:color w:val="002060"/>
          <w:sz w:val="16"/>
          <w:szCs w:val="16"/>
        </w:rPr>
      </w:pPr>
      <w:r w:rsidRPr="00405303">
        <w:rPr>
          <w:bCs/>
          <w:i/>
          <w:iCs/>
          <w:color w:val="002060"/>
          <w:sz w:val="16"/>
          <w:szCs w:val="16"/>
        </w:rPr>
        <w:t>Авиация и воздуъоплавание Англии:</w:t>
      </w:r>
    </w:p>
    <w:p w14:paraId="0F01B1CC" w14:textId="77777777" w:rsidR="00325E5B" w:rsidRPr="00405303" w:rsidRDefault="00325E5B" w:rsidP="00C15251">
      <w:pPr>
        <w:jc w:val="both"/>
        <w:rPr>
          <w:bCs/>
          <w:i/>
          <w:iCs/>
          <w:color w:val="002060"/>
          <w:sz w:val="16"/>
          <w:szCs w:val="16"/>
        </w:rPr>
      </w:pPr>
    </w:p>
    <w:p w14:paraId="0CDC8DC2" w14:textId="394F295F" w:rsidR="002D7B9D" w:rsidRPr="00405303" w:rsidRDefault="002D7B9D" w:rsidP="00C15251">
      <w:pPr>
        <w:tabs>
          <w:tab w:val="left" w:pos="11199"/>
        </w:tabs>
        <w:jc w:val="both"/>
        <w:rPr>
          <w:bCs/>
          <w:color w:val="002060"/>
          <w:sz w:val="16"/>
          <w:szCs w:val="16"/>
        </w:rPr>
      </w:pPr>
      <w:r w:rsidRPr="00405303">
        <w:rPr>
          <w:bCs/>
          <w:color w:val="002060"/>
          <w:sz w:val="16"/>
          <w:szCs w:val="16"/>
        </w:rPr>
        <w:t>24 декабря 1915</w:t>
      </w:r>
      <w:r w:rsidR="00721736" w:rsidRPr="00405303">
        <w:rPr>
          <w:bCs/>
          <w:color w:val="002060"/>
          <w:sz w:val="16"/>
          <w:szCs w:val="16"/>
        </w:rPr>
        <w:t xml:space="preserve"> г.</w:t>
      </w:r>
      <w:r w:rsidRPr="00405303">
        <w:rPr>
          <w:bCs/>
          <w:color w:val="002060"/>
          <w:sz w:val="16"/>
          <w:szCs w:val="16"/>
        </w:rPr>
        <w:t xml:space="preserve"> (6 января 1916</w:t>
      </w:r>
      <w:r w:rsidR="00721736" w:rsidRPr="00405303">
        <w:rPr>
          <w:bCs/>
          <w:color w:val="002060"/>
          <w:sz w:val="16"/>
          <w:szCs w:val="16"/>
        </w:rPr>
        <w:t xml:space="preserve"> г.</w:t>
      </w:r>
      <w:r w:rsidRPr="00405303">
        <w:rPr>
          <w:bCs/>
          <w:color w:val="002060"/>
          <w:sz w:val="16"/>
          <w:szCs w:val="16"/>
        </w:rPr>
        <w:t>) в Англии введена всеобщая воинская повинность (4962).</w:t>
      </w:r>
    </w:p>
    <w:p w14:paraId="04370F84" w14:textId="77777777" w:rsidR="002D7B9D" w:rsidRPr="00405303" w:rsidRDefault="002D7B9D" w:rsidP="00C15251">
      <w:pPr>
        <w:tabs>
          <w:tab w:val="left" w:pos="11199"/>
        </w:tabs>
        <w:jc w:val="both"/>
        <w:rPr>
          <w:bCs/>
          <w:color w:val="002060"/>
          <w:sz w:val="16"/>
          <w:szCs w:val="16"/>
        </w:rPr>
      </w:pPr>
    </w:p>
    <w:p w14:paraId="4F5AEBBB" w14:textId="4ECFCCF7" w:rsidR="002D7B9D" w:rsidRPr="00405303" w:rsidRDefault="002D7B9D" w:rsidP="00C15251">
      <w:pPr>
        <w:pStyle w:val="ae"/>
        <w:spacing w:before="0" w:beforeAutospacing="0" w:after="0" w:afterAutospacing="0"/>
        <w:jc w:val="both"/>
        <w:rPr>
          <w:bCs/>
          <w:color w:val="002060"/>
          <w:sz w:val="16"/>
          <w:szCs w:val="16"/>
        </w:rPr>
      </w:pPr>
      <w:r w:rsidRPr="00405303">
        <w:rPr>
          <w:bCs/>
          <w:color w:val="002060"/>
          <w:sz w:val="16"/>
          <w:szCs w:val="16"/>
        </w:rPr>
        <w:t xml:space="preserve">24 декабря 1915 </w:t>
      </w:r>
      <w:r w:rsidR="00721736" w:rsidRPr="00405303">
        <w:rPr>
          <w:bCs/>
          <w:color w:val="002060"/>
          <w:sz w:val="16"/>
          <w:szCs w:val="16"/>
        </w:rPr>
        <w:t xml:space="preserve">г. </w:t>
      </w:r>
      <w:r w:rsidRPr="00405303">
        <w:rPr>
          <w:bCs/>
          <w:color w:val="002060"/>
          <w:sz w:val="16"/>
          <w:szCs w:val="16"/>
        </w:rPr>
        <w:t>(6 января 1916</w:t>
      </w:r>
      <w:r w:rsidR="00721736" w:rsidRPr="00405303">
        <w:rPr>
          <w:bCs/>
          <w:color w:val="002060"/>
          <w:sz w:val="16"/>
          <w:szCs w:val="16"/>
        </w:rPr>
        <w:t xml:space="preserve"> г.</w:t>
      </w:r>
      <w:r w:rsidRPr="00405303">
        <w:rPr>
          <w:bCs/>
          <w:color w:val="002060"/>
          <w:sz w:val="16"/>
          <w:szCs w:val="16"/>
        </w:rPr>
        <w:t>) в Великобритании парламент принял закон о воинской повинности. Если раньше великобританская армия была исключительно профессиональной — в солдаты и офицеры записывались лишь добровольцы, то теперь «священный долг» решили распространить на всех здоровых мужчин.</w:t>
      </w:r>
    </w:p>
    <w:p w14:paraId="6E124849" w14:textId="77777777" w:rsidR="002D7B9D" w:rsidRPr="00405303" w:rsidRDefault="002D7B9D" w:rsidP="00C15251">
      <w:pPr>
        <w:pStyle w:val="ae"/>
        <w:spacing w:before="0" w:beforeAutospacing="0" w:after="0" w:afterAutospacing="0"/>
        <w:jc w:val="both"/>
        <w:rPr>
          <w:bCs/>
          <w:color w:val="002060"/>
          <w:sz w:val="16"/>
          <w:szCs w:val="16"/>
        </w:rPr>
      </w:pPr>
      <w:r w:rsidRPr="00405303">
        <w:rPr>
          <w:bCs/>
          <w:color w:val="002060"/>
          <w:sz w:val="16"/>
          <w:szCs w:val="16"/>
        </w:rPr>
        <w:t>Тема обязательной воинской повинности активно обсуждалась в Англии всю вторую половину 1915 года. Сама по себе она умаляла права человека, которыми традиционно гордилась Великобритания. Да и в плане комплектования армии отсутствие обязательного призыва вначале не создавало проблем даже в условиях войны: для выходцев из аристократических семей, джентльменов, служба была делом чести. На не выслуживших чина косо смотрели. Для простых англичан служба была источником не только карьеры, но и заработка: солдатам платили хорошее жалованье, им полагалась достойная пенсия.</w:t>
      </w:r>
    </w:p>
    <w:p w14:paraId="4E6C132D" w14:textId="77777777" w:rsidR="002D7B9D" w:rsidRPr="00405303" w:rsidRDefault="002D7B9D" w:rsidP="00C15251">
      <w:pPr>
        <w:pStyle w:val="ae"/>
        <w:spacing w:before="0" w:beforeAutospacing="0" w:after="0" w:afterAutospacing="0"/>
        <w:jc w:val="both"/>
        <w:rPr>
          <w:bCs/>
          <w:color w:val="002060"/>
          <w:sz w:val="16"/>
          <w:szCs w:val="16"/>
        </w:rPr>
      </w:pPr>
      <w:r w:rsidRPr="00405303">
        <w:rPr>
          <w:bCs/>
          <w:color w:val="002060"/>
          <w:sz w:val="16"/>
          <w:szCs w:val="16"/>
        </w:rPr>
        <w:t>Поэтому против введения призыва яростно выступили, например, лейбористская партия и профсоюзы. Но другие политики настойчиво поддерживали введение воинской повинности, включая будущего премьер-министра Дэвида Ллойд Джорджа. Ведь фронты от Месопотамии и Египта до Северной Франции, как ненасытный молох, требовали все большего количества солдат, только добровольцев уже не хватало.</w:t>
      </w:r>
    </w:p>
    <w:p w14:paraId="23288C87" w14:textId="77777777" w:rsidR="002D7B9D" w:rsidRPr="00405303" w:rsidRDefault="002D7B9D" w:rsidP="00C15251">
      <w:pPr>
        <w:pStyle w:val="ae"/>
        <w:spacing w:before="0" w:beforeAutospacing="0" w:after="0" w:afterAutospacing="0"/>
        <w:jc w:val="both"/>
        <w:rPr>
          <w:bCs/>
          <w:color w:val="002060"/>
          <w:sz w:val="16"/>
          <w:szCs w:val="16"/>
        </w:rPr>
      </w:pPr>
      <w:r w:rsidRPr="00405303">
        <w:rPr>
          <w:bCs/>
          <w:color w:val="002060"/>
          <w:sz w:val="16"/>
          <w:szCs w:val="16"/>
        </w:rPr>
        <w:t>Первоначально при обсуждении закон носил компромиссный характер и требовал от мужчин призывного возраста лишь «подтвердить» свое желание поступить на военную службу. Он предусматривал, что холостые мужчины будут призваны в первую очередь, и лишь затем семейные. Но в конечном варианте закон предусматривал обязательное прохождение службы для всех неженатых мужчин в возрасте 18-41 года, с апреля 1916 года начали призывать и семейных.</w:t>
      </w:r>
    </w:p>
    <w:p w14:paraId="65A3CF16" w14:textId="77777777" w:rsidR="002D7B9D" w:rsidRPr="00405303" w:rsidRDefault="002D7B9D" w:rsidP="00C15251">
      <w:pPr>
        <w:shd w:val="clear" w:color="auto" w:fill="FFFFFF"/>
        <w:jc w:val="both"/>
        <w:rPr>
          <w:bCs/>
          <w:color w:val="002060"/>
          <w:sz w:val="16"/>
          <w:szCs w:val="16"/>
        </w:rPr>
      </w:pPr>
      <w:r w:rsidRPr="00405303">
        <w:rPr>
          <w:bCs/>
          <w:color w:val="002060"/>
          <w:sz w:val="16"/>
          <w:szCs w:val="16"/>
        </w:rPr>
        <w:t>Закон вызвал меньше возражений, чем ожидало правительство, так как он все же предусматривал возможность отказа от службы в армии по политическим или религиозно-этическим соображениям, если просьбу призывника удовлетворит суд. Одновременно пропаганда возбуждала в английском обществе негодование по отношению к «лодырям» и «увиливающим» — мужчинам, которые были вполне пригодны по состоянию здоровья, но все еще не направились на фронт. Число таких «лодырей» достигало 650 тысяч, не считая 750 тысяч «официальных» претендентов на освобождение от военной повинности по решению судов (17045).</w:t>
      </w:r>
    </w:p>
    <w:p w14:paraId="584C7A19" w14:textId="77777777" w:rsidR="002D7B9D" w:rsidRPr="00405303" w:rsidRDefault="002D7B9D" w:rsidP="00C15251">
      <w:pPr>
        <w:jc w:val="both"/>
        <w:rPr>
          <w:bCs/>
          <w:iCs/>
          <w:color w:val="002060"/>
          <w:sz w:val="16"/>
          <w:szCs w:val="16"/>
        </w:rPr>
      </w:pPr>
    </w:p>
    <w:p w14:paraId="7ADEEE0C" w14:textId="77777777" w:rsidR="00325E5B" w:rsidRPr="00405303" w:rsidRDefault="00325E5B" w:rsidP="00C15251">
      <w:pPr>
        <w:jc w:val="both"/>
        <w:rPr>
          <w:bCs/>
          <w:iCs/>
          <w:color w:val="002060"/>
          <w:sz w:val="16"/>
          <w:szCs w:val="16"/>
        </w:rPr>
      </w:pPr>
      <w:r w:rsidRPr="00405303">
        <w:rPr>
          <w:bCs/>
          <w:i/>
          <w:iCs/>
          <w:color w:val="002060"/>
          <w:sz w:val="16"/>
          <w:szCs w:val="16"/>
        </w:rPr>
        <w:t>За рубежом:</w:t>
      </w:r>
    </w:p>
    <w:p w14:paraId="555F3453" w14:textId="77777777" w:rsidR="00325E5B" w:rsidRPr="00405303" w:rsidRDefault="00325E5B" w:rsidP="00C15251">
      <w:pPr>
        <w:jc w:val="both"/>
        <w:rPr>
          <w:bCs/>
          <w:iCs/>
          <w:color w:val="002060"/>
          <w:sz w:val="16"/>
          <w:szCs w:val="16"/>
        </w:rPr>
      </w:pPr>
    </w:p>
    <w:p w14:paraId="08F4FBA2" w14:textId="0945BE81" w:rsidR="002D7B9D" w:rsidRPr="00405303" w:rsidRDefault="002D7B9D" w:rsidP="00C15251">
      <w:pPr>
        <w:pStyle w:val="ae"/>
        <w:spacing w:before="0" w:beforeAutospacing="0" w:after="0" w:afterAutospacing="0"/>
        <w:jc w:val="both"/>
        <w:rPr>
          <w:bCs/>
          <w:color w:val="002060"/>
          <w:sz w:val="16"/>
          <w:szCs w:val="16"/>
        </w:rPr>
      </w:pPr>
      <w:r w:rsidRPr="00405303">
        <w:rPr>
          <w:bCs/>
          <w:color w:val="002060"/>
          <w:sz w:val="16"/>
          <w:szCs w:val="16"/>
        </w:rPr>
        <w:t>24-25 декабря 1915</w:t>
      </w:r>
      <w:r w:rsidR="00721736" w:rsidRPr="00405303">
        <w:rPr>
          <w:bCs/>
          <w:color w:val="002060"/>
          <w:sz w:val="16"/>
          <w:szCs w:val="16"/>
        </w:rPr>
        <w:t xml:space="preserve"> г.</w:t>
      </w:r>
      <w:r w:rsidRPr="00405303">
        <w:rPr>
          <w:bCs/>
          <w:color w:val="002060"/>
          <w:sz w:val="16"/>
          <w:szCs w:val="16"/>
        </w:rPr>
        <w:t xml:space="preserve"> (6-7 января 1916</w:t>
      </w:r>
      <w:r w:rsidR="00721736" w:rsidRPr="00405303">
        <w:rPr>
          <w:bCs/>
          <w:color w:val="002060"/>
          <w:sz w:val="16"/>
          <w:szCs w:val="16"/>
        </w:rPr>
        <w:t xml:space="preserve"> г.</w:t>
      </w:r>
      <w:r w:rsidRPr="00405303">
        <w:rPr>
          <w:bCs/>
          <w:color w:val="002060"/>
          <w:sz w:val="16"/>
          <w:szCs w:val="16"/>
        </w:rPr>
        <w:t>) на севере Черногории вблизи городка Мойковац произошло крупное сражение между черногорской и австро-венгерской армией, несколькими днями ранее вторгшейся в пределы страны. Бои проходили на православное Рождество, поэтому битва вошла в историю как «Кровавое Рождество». Несмотря на трехкратный перевес сил — 20 тысяч солдат и офицеров против 6,5 тысяч — австро-венгерская армия битву проиграла.</w:t>
      </w:r>
    </w:p>
    <w:p w14:paraId="39663491" w14:textId="77777777" w:rsidR="002D7B9D" w:rsidRPr="00405303" w:rsidRDefault="002D7B9D" w:rsidP="00C15251">
      <w:pPr>
        <w:pStyle w:val="ae"/>
        <w:spacing w:before="0" w:beforeAutospacing="0" w:after="0" w:afterAutospacing="0"/>
        <w:jc w:val="both"/>
        <w:rPr>
          <w:bCs/>
          <w:color w:val="002060"/>
          <w:sz w:val="16"/>
          <w:szCs w:val="16"/>
        </w:rPr>
      </w:pPr>
      <w:r w:rsidRPr="00405303">
        <w:rPr>
          <w:bCs/>
          <w:color w:val="002060"/>
          <w:sz w:val="16"/>
          <w:szCs w:val="16"/>
        </w:rPr>
        <w:t>Черногорская армия под командованием Янко Вукотича и Крсто Поповича, ослабленная в боях 1914-1915 годов, испытывала недостаток в боеприпасах, но как могла сдерживала натиск австро-венгерских войск, медленно отступая вглубь страны.</w:t>
      </w:r>
    </w:p>
    <w:p w14:paraId="20FB79CA" w14:textId="77777777" w:rsidR="002D7B9D" w:rsidRPr="00405303" w:rsidRDefault="002D7B9D" w:rsidP="00C15251">
      <w:pPr>
        <w:jc w:val="both"/>
        <w:rPr>
          <w:bCs/>
          <w:color w:val="002060"/>
          <w:sz w:val="16"/>
          <w:szCs w:val="16"/>
        </w:rPr>
      </w:pPr>
      <w:r w:rsidRPr="00405303">
        <w:rPr>
          <w:bCs/>
          <w:color w:val="002060"/>
          <w:sz w:val="16"/>
          <w:szCs w:val="16"/>
        </w:rPr>
        <w:t>После разгрома Сербии австро-венгры перебросили к границам Черногории все освободившиеся войска, и потому стратегически победа под Мойковацем для Черногории значения уже не имела. Но выигрыш в пару недель позволил остаткам разбитой сербской армии закончить переход через горы к побережью Адриатического моря для дальнейшей эвакуации на Корфу (17045).</w:t>
      </w:r>
    </w:p>
    <w:p w14:paraId="6A7C0F6D" w14:textId="77777777" w:rsidR="002D7B9D" w:rsidRPr="00405303" w:rsidRDefault="002D7B9D" w:rsidP="00C15251">
      <w:pPr>
        <w:jc w:val="both"/>
        <w:rPr>
          <w:bCs/>
          <w:iCs/>
          <w:color w:val="002060"/>
          <w:sz w:val="16"/>
          <w:szCs w:val="16"/>
        </w:rPr>
      </w:pPr>
    </w:p>
    <w:p w14:paraId="3468A8A8" w14:textId="787896E2" w:rsidR="002D7B9D" w:rsidRPr="00405303" w:rsidRDefault="002D7B9D" w:rsidP="00C15251">
      <w:pPr>
        <w:pStyle w:val="ae"/>
        <w:spacing w:before="0" w:beforeAutospacing="0" w:after="0" w:afterAutospacing="0"/>
        <w:jc w:val="both"/>
        <w:rPr>
          <w:bCs/>
          <w:color w:val="002060"/>
          <w:sz w:val="16"/>
          <w:szCs w:val="16"/>
        </w:rPr>
      </w:pPr>
      <w:r w:rsidRPr="00405303">
        <w:rPr>
          <w:bCs/>
          <w:color w:val="002060"/>
          <w:sz w:val="16"/>
          <w:szCs w:val="16"/>
        </w:rPr>
        <w:t xml:space="preserve">24 декабря 1915 </w:t>
      </w:r>
      <w:r w:rsidR="00721736" w:rsidRPr="00405303">
        <w:rPr>
          <w:bCs/>
          <w:color w:val="002060"/>
          <w:sz w:val="16"/>
          <w:szCs w:val="16"/>
        </w:rPr>
        <w:t xml:space="preserve">г. </w:t>
      </w:r>
      <w:r w:rsidRPr="00405303">
        <w:rPr>
          <w:bCs/>
          <w:color w:val="002060"/>
          <w:sz w:val="16"/>
          <w:szCs w:val="16"/>
        </w:rPr>
        <w:t>(6 января 1916</w:t>
      </w:r>
      <w:r w:rsidR="00721736" w:rsidRPr="00405303">
        <w:rPr>
          <w:bCs/>
          <w:color w:val="002060"/>
          <w:sz w:val="16"/>
          <w:szCs w:val="16"/>
        </w:rPr>
        <w:t xml:space="preserve"> г.</w:t>
      </w:r>
      <w:r w:rsidRPr="00405303">
        <w:rPr>
          <w:bCs/>
          <w:color w:val="002060"/>
          <w:sz w:val="16"/>
          <w:szCs w:val="16"/>
        </w:rPr>
        <w:t>) началось сражение при Шейх Сааде на берегу реки Тигр (восток современного Ирака) между турками и англичанами, наступавшими из Басры на помощь своим частям, окруженным в городе Эль-Кут. Великобританская группировка под командованием генерала Чарльза Таунсенда была блокирована там турецкими войсками еще в декабре. На помощь ей пробивался 13-тысячный отряд с 42 орудиями под командованием генерала Фентона Эйлмера, а по реке Тигр отряд поддерживали четыре канонерские лодки. В общей сложности у англичан было в полтора раза больше сил.</w:t>
      </w:r>
    </w:p>
    <w:p w14:paraId="2E1B09A0" w14:textId="77777777" w:rsidR="002D7B9D" w:rsidRPr="00405303" w:rsidRDefault="002D7B9D" w:rsidP="00C15251">
      <w:pPr>
        <w:jc w:val="both"/>
        <w:rPr>
          <w:bCs/>
          <w:iCs/>
          <w:color w:val="002060"/>
          <w:sz w:val="16"/>
          <w:szCs w:val="16"/>
        </w:rPr>
      </w:pPr>
      <w:r w:rsidRPr="00405303">
        <w:rPr>
          <w:bCs/>
          <w:color w:val="002060"/>
          <w:sz w:val="16"/>
          <w:szCs w:val="16"/>
        </w:rPr>
        <w:t>Но командующий турецкой армией прусский генерал-фельдмаршал Кольмар фон дер Гольц перехитрил противника. При подходе англичан турки оборудовали скрытые огневые позиции, перед которыми была заболоченная местность, еще более «раскисшая» в ходе зимних дождей. Великобританцы прямо на марше угодили в ловушку и попали под обстрел. Эйлмер пытался перегруппировывать войска и атаковал турок в течение еще двух дней, но сломать их оборону так и не смог. Понеся огромные потери — около 2000 убитыми и 2500 ранеными, Эйлмер был вынужден отступить (17045).</w:t>
      </w:r>
    </w:p>
    <w:p w14:paraId="5E4D1BBC" w14:textId="77777777" w:rsidR="002D7B9D" w:rsidRPr="00405303" w:rsidRDefault="002D7B9D" w:rsidP="00C15251">
      <w:pPr>
        <w:jc w:val="both"/>
        <w:rPr>
          <w:bCs/>
          <w:iCs/>
          <w:color w:val="002060"/>
          <w:sz w:val="16"/>
          <w:szCs w:val="16"/>
        </w:rPr>
      </w:pPr>
    </w:p>
    <w:p w14:paraId="4F2DE89E" w14:textId="77777777" w:rsidR="00D879C2" w:rsidRPr="00405303" w:rsidRDefault="00D879C2" w:rsidP="00C15251">
      <w:pPr>
        <w:shd w:val="clear" w:color="auto" w:fill="FFFFFF"/>
        <w:jc w:val="both"/>
        <w:rPr>
          <w:bCs/>
          <w:i/>
          <w:color w:val="002060"/>
          <w:sz w:val="16"/>
          <w:szCs w:val="16"/>
        </w:rPr>
      </w:pPr>
      <w:r w:rsidRPr="00405303">
        <w:rPr>
          <w:bCs/>
          <w:i/>
          <w:color w:val="002060"/>
          <w:sz w:val="16"/>
          <w:szCs w:val="16"/>
        </w:rPr>
        <w:t>Самолетостроение:</w:t>
      </w:r>
    </w:p>
    <w:p w14:paraId="2F41CFC3" w14:textId="77777777" w:rsidR="00D879C2" w:rsidRPr="00405303" w:rsidRDefault="00D879C2" w:rsidP="00C15251">
      <w:pPr>
        <w:shd w:val="clear" w:color="auto" w:fill="FFFFFF"/>
        <w:jc w:val="both"/>
        <w:rPr>
          <w:bCs/>
          <w:i/>
          <w:color w:val="002060"/>
          <w:sz w:val="16"/>
          <w:szCs w:val="16"/>
        </w:rPr>
      </w:pPr>
    </w:p>
    <w:p w14:paraId="0ACC47EE" w14:textId="31933618"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25 декабря 1915 </w:t>
      </w:r>
      <w:r w:rsidR="00721736" w:rsidRPr="00405303">
        <w:rPr>
          <w:bCs/>
          <w:color w:val="002060"/>
          <w:sz w:val="16"/>
          <w:szCs w:val="16"/>
        </w:rPr>
        <w:t xml:space="preserve">г. </w:t>
      </w:r>
      <w:r w:rsidRPr="00405303">
        <w:rPr>
          <w:bCs/>
          <w:color w:val="002060"/>
          <w:sz w:val="16"/>
          <w:szCs w:val="16"/>
        </w:rPr>
        <w:t>(7 января 1916</w:t>
      </w:r>
      <w:r w:rsidR="00721736" w:rsidRPr="00405303">
        <w:rPr>
          <w:bCs/>
          <w:color w:val="002060"/>
          <w:sz w:val="16"/>
          <w:szCs w:val="16"/>
        </w:rPr>
        <w:t xml:space="preserve"> г.</w:t>
      </w:r>
      <w:r w:rsidRPr="00405303">
        <w:rPr>
          <w:bCs/>
          <w:color w:val="002060"/>
          <w:sz w:val="16"/>
          <w:szCs w:val="16"/>
        </w:rPr>
        <w:t xml:space="preserve">) </w:t>
      </w:r>
      <w:r w:rsidR="00721736" w:rsidRPr="00405303">
        <w:rPr>
          <w:bCs/>
          <w:color w:val="002060"/>
          <w:sz w:val="16"/>
          <w:szCs w:val="16"/>
        </w:rPr>
        <w:t>состоялся п</w:t>
      </w:r>
      <w:r w:rsidRPr="00405303">
        <w:rPr>
          <w:bCs/>
          <w:color w:val="002060"/>
          <w:sz w:val="16"/>
          <w:szCs w:val="16"/>
        </w:rPr>
        <w:t>ервый полет летающей лодки М-9 Д. П. Григоровича (1137).</w:t>
      </w:r>
    </w:p>
    <w:p w14:paraId="59F03200" w14:textId="77777777" w:rsidR="004B4E35" w:rsidRPr="00405303" w:rsidRDefault="004B4E35" w:rsidP="00C15251">
      <w:pPr>
        <w:shd w:val="clear" w:color="auto" w:fill="FFFFFF"/>
        <w:jc w:val="both"/>
        <w:rPr>
          <w:bCs/>
          <w:color w:val="002060"/>
          <w:sz w:val="16"/>
          <w:szCs w:val="16"/>
        </w:rPr>
      </w:pPr>
    </w:p>
    <w:p w14:paraId="6EBB2135" w14:textId="1EFB7576" w:rsidR="004B4E35" w:rsidRPr="00405303" w:rsidRDefault="009E6F82" w:rsidP="00C15251">
      <w:pPr>
        <w:shd w:val="clear" w:color="auto" w:fill="FFFFFF"/>
        <w:jc w:val="both"/>
        <w:rPr>
          <w:bCs/>
          <w:color w:val="002060"/>
          <w:sz w:val="16"/>
          <w:szCs w:val="16"/>
        </w:rPr>
      </w:pPr>
      <w:r w:rsidRPr="00405303">
        <w:rPr>
          <w:bCs/>
          <w:color w:val="002060"/>
          <w:sz w:val="16"/>
          <w:szCs w:val="16"/>
        </w:rPr>
        <w:t>25 декабря 1915</w:t>
      </w:r>
      <w:r w:rsidR="00721736" w:rsidRPr="00405303">
        <w:rPr>
          <w:bCs/>
          <w:color w:val="002060"/>
          <w:sz w:val="16"/>
          <w:szCs w:val="16"/>
        </w:rPr>
        <w:t xml:space="preserve"> г. (7 янвапя 1916 г.)</w:t>
      </w:r>
      <w:r w:rsidRPr="00405303">
        <w:rPr>
          <w:bCs/>
          <w:color w:val="002060"/>
          <w:sz w:val="16"/>
          <w:szCs w:val="16"/>
        </w:rPr>
        <w:t xml:space="preserve"> </w:t>
      </w:r>
      <w:r w:rsidR="00721736" w:rsidRPr="00405303">
        <w:rPr>
          <w:bCs/>
          <w:color w:val="002060"/>
          <w:sz w:val="16"/>
          <w:szCs w:val="16"/>
        </w:rPr>
        <w:t>состоялся п</w:t>
      </w:r>
      <w:r w:rsidRPr="00405303">
        <w:rPr>
          <w:bCs/>
          <w:color w:val="002060"/>
          <w:sz w:val="16"/>
          <w:szCs w:val="16"/>
        </w:rPr>
        <w:t>ервый полет летающей лодки М-9 Д. П. Григоровича (11425).</w:t>
      </w:r>
    </w:p>
    <w:p w14:paraId="1BF5EE16" w14:textId="77777777" w:rsidR="004B4E35" w:rsidRPr="00405303" w:rsidRDefault="004B4E35" w:rsidP="00C15251">
      <w:pPr>
        <w:shd w:val="clear" w:color="auto" w:fill="FFFFFF"/>
        <w:jc w:val="both"/>
        <w:rPr>
          <w:bCs/>
          <w:color w:val="002060"/>
          <w:sz w:val="16"/>
          <w:szCs w:val="16"/>
        </w:rPr>
      </w:pPr>
    </w:p>
    <w:p w14:paraId="44BB70F9" w14:textId="275DF3AF" w:rsidR="004B4E35" w:rsidRPr="00405303" w:rsidRDefault="009E6F82" w:rsidP="00C15251">
      <w:pPr>
        <w:jc w:val="both"/>
        <w:rPr>
          <w:bCs/>
          <w:color w:val="002060"/>
          <w:sz w:val="16"/>
          <w:szCs w:val="16"/>
        </w:rPr>
      </w:pPr>
      <w:r w:rsidRPr="00405303">
        <w:rPr>
          <w:bCs/>
          <w:color w:val="002060"/>
          <w:sz w:val="16"/>
          <w:szCs w:val="16"/>
        </w:rPr>
        <w:t xml:space="preserve">25 декабря 1915 </w:t>
      </w:r>
      <w:r w:rsidR="00721736" w:rsidRPr="00405303">
        <w:rPr>
          <w:bCs/>
          <w:color w:val="002060"/>
          <w:sz w:val="16"/>
          <w:szCs w:val="16"/>
        </w:rPr>
        <w:t xml:space="preserve">г. </w:t>
      </w:r>
      <w:r w:rsidRPr="00405303">
        <w:rPr>
          <w:bCs/>
          <w:color w:val="002060"/>
          <w:sz w:val="16"/>
          <w:szCs w:val="16"/>
        </w:rPr>
        <w:t>(7 января 1916</w:t>
      </w:r>
      <w:r w:rsidR="00721736" w:rsidRPr="00405303">
        <w:rPr>
          <w:bCs/>
          <w:color w:val="002060"/>
          <w:sz w:val="16"/>
          <w:szCs w:val="16"/>
        </w:rPr>
        <w:t xml:space="preserve"> г.</w:t>
      </w:r>
      <w:r w:rsidRPr="00405303">
        <w:rPr>
          <w:bCs/>
          <w:color w:val="002060"/>
          <w:sz w:val="16"/>
          <w:szCs w:val="16"/>
        </w:rPr>
        <w:t xml:space="preserve">) </w:t>
      </w:r>
      <w:r w:rsidR="00721736" w:rsidRPr="00405303">
        <w:rPr>
          <w:bCs/>
          <w:color w:val="002060"/>
          <w:sz w:val="16"/>
          <w:szCs w:val="16"/>
        </w:rPr>
        <w:t xml:space="preserve">состоялся </w:t>
      </w:r>
      <w:r w:rsidRPr="00405303">
        <w:rPr>
          <w:bCs/>
          <w:color w:val="002060"/>
          <w:sz w:val="16"/>
          <w:szCs w:val="16"/>
        </w:rPr>
        <w:t>первый полет лл М-9 Д.П.Г. (2444,7) и испытания шли до 9 (22) января 1916 (2809,1).</w:t>
      </w:r>
    </w:p>
    <w:p w14:paraId="65E9D606" w14:textId="77777777" w:rsidR="004B4E35" w:rsidRPr="00405303" w:rsidRDefault="004B4E35" w:rsidP="00C15251">
      <w:pPr>
        <w:jc w:val="both"/>
        <w:rPr>
          <w:bCs/>
          <w:color w:val="002060"/>
          <w:sz w:val="16"/>
          <w:szCs w:val="16"/>
        </w:rPr>
      </w:pPr>
    </w:p>
    <w:p w14:paraId="56C48EA7" w14:textId="4987DFC4"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25 декабря 1915 </w:t>
      </w:r>
      <w:r w:rsidR="00721736" w:rsidRPr="00405303">
        <w:rPr>
          <w:bCs/>
          <w:color w:val="002060"/>
          <w:sz w:val="16"/>
          <w:szCs w:val="16"/>
        </w:rPr>
        <w:t xml:space="preserve">г. </w:t>
      </w:r>
      <w:r w:rsidRPr="00405303">
        <w:rPr>
          <w:bCs/>
          <w:color w:val="002060"/>
          <w:sz w:val="16"/>
          <w:szCs w:val="16"/>
        </w:rPr>
        <w:t>(7 января 1916</w:t>
      </w:r>
      <w:r w:rsidR="00721736" w:rsidRPr="00405303">
        <w:rPr>
          <w:bCs/>
          <w:color w:val="002060"/>
          <w:sz w:val="16"/>
          <w:szCs w:val="16"/>
        </w:rPr>
        <w:t xml:space="preserve"> г.</w:t>
      </w:r>
      <w:r w:rsidRPr="00405303">
        <w:rPr>
          <w:bCs/>
          <w:color w:val="002060"/>
          <w:sz w:val="16"/>
          <w:szCs w:val="16"/>
        </w:rPr>
        <w:t>) в Севастополе состоялся первый испытателън</w:t>
      </w:r>
      <w:r w:rsidR="00721736" w:rsidRPr="00405303">
        <w:rPr>
          <w:bCs/>
          <w:color w:val="002060"/>
          <w:sz w:val="16"/>
          <w:szCs w:val="16"/>
        </w:rPr>
        <w:t>ый</w:t>
      </w:r>
      <w:r w:rsidRPr="00405303">
        <w:rPr>
          <w:bCs/>
          <w:color w:val="002060"/>
          <w:sz w:val="16"/>
          <w:szCs w:val="16"/>
        </w:rPr>
        <w:t xml:space="preserve"> полет нового морского самолета "М-9" конструкции Д.П.Григоро</w:t>
      </w:r>
      <w:r w:rsidRPr="00405303">
        <w:rPr>
          <w:bCs/>
          <w:color w:val="002060"/>
          <w:sz w:val="16"/>
          <w:szCs w:val="16"/>
        </w:rPr>
        <w:softHyphen/>
        <w:t xml:space="preserve">вича. "М-9" - трехместный моноплан лодочного типа с двигателем Сальмсон в 150 л.с. Его данные: полетный вес - 1600 кг; вес нагрузки - 480 кг; скорость - 110 км/час. Потолок - 3000? м, дальность полета - 450 км. Самолет обладал хорошими для 1915-1916 гг. летными и мореходными качествами, строился в сотнях I экземпляров и применялся в качестве разведчика и в гражданской [ойнё. Испытание проводил летчик Я.И.Седов (Боевая летопись русского флота. </w:t>
      </w:r>
      <w:proofErr w:type="gramStart"/>
      <w:r w:rsidRPr="00405303">
        <w:rPr>
          <w:bCs/>
          <w:color w:val="002060"/>
          <w:sz w:val="16"/>
          <w:szCs w:val="16"/>
        </w:rPr>
        <w:t>Воениздат..</w:t>
      </w:r>
      <w:proofErr w:type="gramEnd"/>
      <w:r w:rsidRPr="00405303">
        <w:rPr>
          <w:bCs/>
          <w:color w:val="002060"/>
          <w:sz w:val="16"/>
          <w:szCs w:val="16"/>
        </w:rPr>
        <w:t xml:space="preserve"> М.1951).</w:t>
      </w:r>
    </w:p>
    <w:p w14:paraId="4DA17AC7" w14:textId="77777777" w:rsidR="004B4E35" w:rsidRPr="00405303" w:rsidRDefault="004B4E35" w:rsidP="00C15251">
      <w:pPr>
        <w:shd w:val="clear" w:color="auto" w:fill="FFFFFF"/>
        <w:jc w:val="both"/>
        <w:rPr>
          <w:bCs/>
          <w:color w:val="002060"/>
          <w:sz w:val="16"/>
          <w:szCs w:val="16"/>
        </w:rPr>
      </w:pPr>
    </w:p>
    <w:p w14:paraId="46F00387" w14:textId="734E16AB" w:rsidR="004B4E35" w:rsidRPr="00405303" w:rsidRDefault="00721736" w:rsidP="00C15251">
      <w:pPr>
        <w:jc w:val="both"/>
        <w:rPr>
          <w:bCs/>
          <w:color w:val="002060"/>
          <w:sz w:val="16"/>
          <w:szCs w:val="16"/>
        </w:rPr>
      </w:pPr>
      <w:r w:rsidRPr="00405303">
        <w:rPr>
          <w:bCs/>
          <w:color w:val="002060"/>
          <w:sz w:val="16"/>
          <w:szCs w:val="16"/>
        </w:rPr>
        <w:t>С</w:t>
      </w:r>
      <w:r w:rsidR="009E6F82" w:rsidRPr="00405303">
        <w:rPr>
          <w:bCs/>
          <w:color w:val="002060"/>
          <w:sz w:val="16"/>
          <w:szCs w:val="16"/>
        </w:rPr>
        <w:t xml:space="preserve"> 25 декабря </w:t>
      </w:r>
      <w:r w:rsidRPr="00405303">
        <w:rPr>
          <w:bCs/>
          <w:color w:val="002060"/>
          <w:sz w:val="16"/>
          <w:szCs w:val="16"/>
        </w:rPr>
        <w:t xml:space="preserve">1915 г. </w:t>
      </w:r>
      <w:r w:rsidR="009E6F82" w:rsidRPr="00405303">
        <w:rPr>
          <w:bCs/>
          <w:color w:val="002060"/>
          <w:sz w:val="16"/>
          <w:szCs w:val="16"/>
        </w:rPr>
        <w:t>по 9 января (с 7 по 2</w:t>
      </w:r>
      <w:r w:rsidRPr="00405303">
        <w:rPr>
          <w:bCs/>
          <w:color w:val="002060"/>
          <w:sz w:val="16"/>
          <w:szCs w:val="16"/>
        </w:rPr>
        <w:t>2</w:t>
      </w:r>
      <w:r w:rsidR="009E6F82" w:rsidRPr="00405303">
        <w:rPr>
          <w:bCs/>
          <w:color w:val="002060"/>
          <w:sz w:val="16"/>
          <w:szCs w:val="16"/>
        </w:rPr>
        <w:t xml:space="preserve"> января</w:t>
      </w:r>
      <w:r w:rsidRPr="00405303">
        <w:rPr>
          <w:bCs/>
          <w:color w:val="002060"/>
          <w:sz w:val="16"/>
          <w:szCs w:val="16"/>
        </w:rPr>
        <w:t>)</w:t>
      </w:r>
      <w:r w:rsidR="009E6F82" w:rsidRPr="00405303">
        <w:rPr>
          <w:bCs/>
          <w:color w:val="002060"/>
          <w:sz w:val="16"/>
          <w:szCs w:val="16"/>
        </w:rPr>
        <w:t xml:space="preserve"> 1916</w:t>
      </w:r>
      <w:r w:rsidRPr="00405303">
        <w:rPr>
          <w:bCs/>
          <w:color w:val="002060"/>
          <w:sz w:val="16"/>
          <w:szCs w:val="16"/>
        </w:rPr>
        <w:t xml:space="preserve"> г</w:t>
      </w:r>
      <w:r w:rsidR="009E6F82" w:rsidRPr="00405303">
        <w:rPr>
          <w:bCs/>
          <w:color w:val="002060"/>
          <w:sz w:val="16"/>
          <w:szCs w:val="16"/>
        </w:rPr>
        <w:t xml:space="preserve">. </w:t>
      </w:r>
      <w:r w:rsidRPr="00405303">
        <w:rPr>
          <w:bCs/>
          <w:color w:val="002060"/>
          <w:sz w:val="16"/>
          <w:szCs w:val="16"/>
        </w:rPr>
        <w:t>в отделение Петроградской офицерской школы морских летчиков в Баку</w:t>
      </w:r>
      <w:r w:rsidR="00557388" w:rsidRPr="00405303">
        <w:rPr>
          <w:bCs/>
          <w:color w:val="002060"/>
          <w:sz w:val="16"/>
          <w:szCs w:val="16"/>
        </w:rPr>
        <w:t xml:space="preserve"> успешно прошли</w:t>
      </w:r>
      <w:r w:rsidRPr="00405303">
        <w:rPr>
          <w:bCs/>
          <w:color w:val="002060"/>
          <w:sz w:val="16"/>
          <w:szCs w:val="16"/>
        </w:rPr>
        <w:t xml:space="preserve"> испытания </w:t>
      </w:r>
      <w:r w:rsidR="00557388" w:rsidRPr="00405303">
        <w:rPr>
          <w:bCs/>
          <w:color w:val="002060"/>
          <w:sz w:val="16"/>
          <w:szCs w:val="16"/>
        </w:rPr>
        <w:t>М-9.</w:t>
      </w:r>
      <w:r w:rsidRPr="00405303">
        <w:rPr>
          <w:bCs/>
          <w:color w:val="002060"/>
          <w:sz w:val="16"/>
          <w:szCs w:val="16"/>
        </w:rPr>
        <w:t xml:space="preserve"> </w:t>
      </w:r>
      <w:r w:rsidR="009E6F82" w:rsidRPr="00405303">
        <w:rPr>
          <w:bCs/>
          <w:color w:val="002060"/>
          <w:sz w:val="16"/>
          <w:szCs w:val="16"/>
        </w:rPr>
        <w:t>Аппарат, толкаемый 135-сильным мотором продемонстрировал^заме-чательные характеристики: полезную нагрузку 450 кг (включая 200-кг запас топлива), скорость НО км/ч, скороподъемность 500м за 6,5 минуты (при нагрузке 425 кг), 500м за 11 минут (при нагрузке 640 кг), 1000 м за 4,5 минуты (при нагрузке около 150 кг), 1000 м за 13 минут (при нагрузке 425 кг), 3350 м за 1 час 25 минут (при нагрузке 425 кг). Итоги опытов содержались в акте специальной комиссии Бакин</w:t>
      </w:r>
      <w:r w:rsidR="009E6F82" w:rsidRPr="00405303">
        <w:rPr>
          <w:bCs/>
          <w:color w:val="002060"/>
          <w:sz w:val="16"/>
          <w:szCs w:val="16"/>
        </w:rPr>
        <w:softHyphen/>
        <w:t>ского порта от 11 января. По этому документу, летающая лодка легко выходила из воды, при разбеге быстро поднимала хвост и быстро отрывалась. В полете «совершенно уравновешенный» самолет обла</w:t>
      </w:r>
      <w:r w:rsidR="009E6F82" w:rsidRPr="00405303">
        <w:rPr>
          <w:bCs/>
          <w:color w:val="002060"/>
          <w:sz w:val="16"/>
          <w:szCs w:val="16"/>
        </w:rPr>
        <w:softHyphen/>
        <w:t>дал «большой остойчивостью и летучестью», сохранял «устойчивость на вираже» и свободно набирал высоту в полном грузу. Он развивал скорость большую, чем у аппаратов типа ФБА и М-5, и являлся хорошим планером: планировал полого и долго шел, выровненный, над водой, почему садился на отно</w:t>
      </w:r>
      <w:r w:rsidR="009E6F82" w:rsidRPr="00405303">
        <w:rPr>
          <w:bCs/>
          <w:color w:val="002060"/>
          <w:sz w:val="16"/>
          <w:szCs w:val="16"/>
        </w:rPr>
        <w:softHyphen/>
        <w:t>сительно малой скорости. Находясь на морской поверхности, он слушался руля, благодаря чему манев</w:t>
      </w:r>
      <w:r w:rsidR="009E6F82" w:rsidRPr="00405303">
        <w:rPr>
          <w:bCs/>
          <w:color w:val="002060"/>
          <w:sz w:val="16"/>
          <w:szCs w:val="16"/>
        </w:rPr>
        <w:softHyphen/>
        <w:t>ры не вызывали особого труда (2807).</w:t>
      </w:r>
    </w:p>
    <w:p w14:paraId="00C426B7" w14:textId="77777777" w:rsidR="004B4E35" w:rsidRPr="00405303" w:rsidRDefault="004B4E35" w:rsidP="00C15251">
      <w:pPr>
        <w:jc w:val="both"/>
        <w:rPr>
          <w:bCs/>
          <w:color w:val="002060"/>
          <w:sz w:val="16"/>
          <w:szCs w:val="16"/>
        </w:rPr>
      </w:pPr>
    </w:p>
    <w:p w14:paraId="13ED279F" w14:textId="77777777" w:rsidR="00906334" w:rsidRPr="00405303" w:rsidRDefault="00906334" w:rsidP="00C15251">
      <w:pPr>
        <w:shd w:val="clear" w:color="auto" w:fill="FFFFFF"/>
        <w:jc w:val="both"/>
        <w:rPr>
          <w:color w:val="002060"/>
          <w:sz w:val="16"/>
          <w:szCs w:val="16"/>
        </w:rPr>
      </w:pPr>
      <w:r w:rsidRPr="00405303">
        <w:rPr>
          <w:color w:val="002060"/>
          <w:sz w:val="16"/>
          <w:szCs w:val="16"/>
        </w:rPr>
        <w:t>25 декабря 1915 (7 января 1916) в Севастополе состоялся первый испытателъный полет нового морского самолета "М-9" конструкции Д.П.Григоро</w:t>
      </w:r>
      <w:r w:rsidRPr="00405303">
        <w:rPr>
          <w:color w:val="002060"/>
          <w:sz w:val="16"/>
          <w:szCs w:val="16"/>
        </w:rPr>
        <w:softHyphen/>
        <w:t xml:space="preserve">вича. "М-9" - трехместный моноплан лодочного типа с двигателем Сальмсон в 150 л.с. Его данные: полетный вес - 1600 кг; вес нагрузки - 480 кг; скорость - 110 км/час. Потолок - 3000? м, дальность полета - 450 км. Самолет обладал хорошими для 1915-1916 гг. летными и мореходными качествами, строился в сотнях I экземпляров и применялся в качестве разведчика и в гражданской [ойнё. Испытание проводил летчик Я.И.Седов (Боевая летопись русского флота. </w:t>
      </w:r>
      <w:proofErr w:type="gramStart"/>
      <w:r w:rsidRPr="00405303">
        <w:rPr>
          <w:color w:val="002060"/>
          <w:sz w:val="16"/>
          <w:szCs w:val="16"/>
        </w:rPr>
        <w:t>Воениздат..</w:t>
      </w:r>
      <w:proofErr w:type="gramEnd"/>
      <w:r w:rsidRPr="00405303">
        <w:rPr>
          <w:color w:val="002060"/>
          <w:sz w:val="16"/>
          <w:szCs w:val="16"/>
        </w:rPr>
        <w:t xml:space="preserve"> М.1951).</w:t>
      </w:r>
    </w:p>
    <w:p w14:paraId="0C15AEA5" w14:textId="77777777" w:rsidR="00906334" w:rsidRPr="00405303" w:rsidRDefault="00906334" w:rsidP="00C15251">
      <w:pPr>
        <w:jc w:val="both"/>
        <w:rPr>
          <w:color w:val="002060"/>
          <w:sz w:val="16"/>
          <w:szCs w:val="16"/>
        </w:rPr>
      </w:pPr>
      <w:r w:rsidRPr="00405303">
        <w:rPr>
          <w:color w:val="002060"/>
          <w:sz w:val="16"/>
          <w:szCs w:val="16"/>
        </w:rPr>
        <w:t>Начавшиеся с моделью М-7 усилия Д. П. Григоровича по созданию летающей лодки среднего класса привели вскоре к появлению типа М-9 — одномоторного трехстоечного биплана с корпусом для экипажа из двух человек, один из которых в бою пилотировал аппарат, а другой мог находиться в носовом отсеке кабины, где устанавливался подвижный пулемет</w:t>
      </w:r>
      <w:r w:rsidRPr="00405303">
        <w:rPr>
          <w:color w:val="002060"/>
          <w:sz w:val="16"/>
          <w:szCs w:val="16"/>
          <w:vertAlign w:val="superscript"/>
        </w:rPr>
        <w:t>1</w:t>
      </w:r>
      <w:r w:rsidRPr="00405303">
        <w:rPr>
          <w:color w:val="002060"/>
          <w:sz w:val="16"/>
          <w:szCs w:val="16"/>
        </w:rPr>
        <w:t>. Сходная по конструкции со своими предшественницами и, в частности, с М-5, машина отличалась от легких гидросамолетов увеличенными размерами и более мощным двигателем, звездообразным 9-цилиндровым “Сальмсоном” водяного ох</w:t>
      </w:r>
      <w:r w:rsidRPr="00405303">
        <w:rPr>
          <w:color w:val="002060"/>
          <w:sz w:val="16"/>
          <w:szCs w:val="16"/>
        </w:rPr>
        <w:softHyphen/>
        <w:t>лаждения. В конце 1915 г. прототип М-9 покинул завод С. С. Щетинина, чтобы прибыть в отделение Петроградской офицерской школы морских летчиков в Баку, где его испытания успешно прошли в период с 25 декабря по 9 января (с 7 по 21 января 1916). Аппарат, толкаемый 135-сильным мотором</w:t>
      </w:r>
      <w:r w:rsidRPr="00405303">
        <w:rPr>
          <w:color w:val="002060"/>
          <w:sz w:val="16"/>
          <w:szCs w:val="16"/>
          <w:vertAlign w:val="superscript"/>
        </w:rPr>
        <w:t>2</w:t>
      </w:r>
      <w:r w:rsidRPr="00405303">
        <w:rPr>
          <w:color w:val="002060"/>
          <w:sz w:val="16"/>
          <w:szCs w:val="16"/>
        </w:rPr>
        <w:t xml:space="preserve"> продемонстрировал замечательные характеристики: полезную нагрузку 450 кг (включая 200-кг запас топлива), скорость 110 км/ч, скороподъемность 500м за 6,5 минуты (при нагрузке 425 кг), 500м за 11 минут (при нагрузке 640 кг), 1000 м за 4,5 минуты (при нагрузке около 150 кг), 1000 м за 13 минут (при нагрузке 425 кг), 3350 м за 1 час 25 минут (при нагрузке 425 кг). Итоги опытов содержались в акте специальной комиссии Бакин</w:t>
      </w:r>
      <w:r w:rsidRPr="00405303">
        <w:rPr>
          <w:color w:val="002060"/>
          <w:sz w:val="16"/>
          <w:szCs w:val="16"/>
        </w:rPr>
        <w:softHyphen/>
        <w:t>ского порта от 11 января. По этому документу, летающая лодка легко выходила из воды, при разбеге быстро поднимала хвост и быстро отрывалась. В полете “совершенно уравновешенный” самолет обла</w:t>
      </w:r>
      <w:r w:rsidRPr="00405303">
        <w:rPr>
          <w:color w:val="002060"/>
          <w:sz w:val="16"/>
          <w:szCs w:val="16"/>
        </w:rPr>
        <w:softHyphen/>
        <w:t>дал “большой остойчивостью и летучестью”, сохранял “устойчивость на вираже” и свободно набирал высоту в полном грузу. Он развивал скорость большую, чем у аппаратов типа ФБА и М-5, и являлся хорошим планером: планировал полого и долго шел, выровненный, над водой, почему садился на отно</w:t>
      </w:r>
      <w:r w:rsidRPr="00405303">
        <w:rPr>
          <w:color w:val="002060"/>
          <w:sz w:val="16"/>
          <w:szCs w:val="16"/>
        </w:rPr>
        <w:softHyphen/>
        <w:t>сительно малой скорости. Находясь на морской поверхности, он слушался руля, благодаря чему манев</w:t>
      </w:r>
      <w:r w:rsidRPr="00405303">
        <w:rPr>
          <w:color w:val="002060"/>
          <w:sz w:val="16"/>
          <w:szCs w:val="16"/>
        </w:rPr>
        <w:softHyphen/>
        <w:t>ры не вызывали особого труда (2807).</w:t>
      </w:r>
    </w:p>
    <w:p w14:paraId="36D9A60A" w14:textId="77777777" w:rsidR="00906334" w:rsidRPr="00405303" w:rsidRDefault="00906334" w:rsidP="00C15251">
      <w:pPr>
        <w:jc w:val="both"/>
        <w:rPr>
          <w:color w:val="002060"/>
          <w:sz w:val="16"/>
          <w:szCs w:val="16"/>
        </w:rPr>
      </w:pPr>
    </w:p>
    <w:p w14:paraId="46FA8787" w14:textId="77777777" w:rsidR="00325E5B" w:rsidRPr="00405303" w:rsidRDefault="00325E5B" w:rsidP="00C15251">
      <w:pPr>
        <w:jc w:val="both"/>
        <w:rPr>
          <w:color w:val="002060"/>
          <w:sz w:val="16"/>
          <w:szCs w:val="16"/>
        </w:rPr>
      </w:pPr>
      <w:r w:rsidRPr="00405303">
        <w:rPr>
          <w:color w:val="002060"/>
          <w:sz w:val="16"/>
          <w:szCs w:val="16"/>
        </w:rPr>
        <w:t>В период с 25 декабря по 9 января 1916 в Баку успешно испытания М-9. Аппарат, толкаемый 135-сильным мотором</w:t>
      </w:r>
      <w:r w:rsidRPr="00405303">
        <w:rPr>
          <w:color w:val="002060"/>
          <w:sz w:val="16"/>
          <w:szCs w:val="16"/>
          <w:vertAlign w:val="superscript"/>
        </w:rPr>
        <w:t>2</w:t>
      </w:r>
      <w:r w:rsidRPr="00405303">
        <w:rPr>
          <w:color w:val="002060"/>
          <w:sz w:val="16"/>
          <w:szCs w:val="16"/>
        </w:rPr>
        <w:t xml:space="preserve"> продемонстрировал^заме-чательные характеристики: полезную нагрузку 450 кг (включая 200-кг запас топлива), скорость НО км/ч, скороподъемность 500м за 6,5 минуты (при нагрузке 425 кг), 500м за 11 минут (при нагрузке 640 кг), 1000 м за 4,5 минуты (при нагрузке около 150 кг), 1000 м за 13 минут (при нагрузке 425 кг), 3350 м за 1 час 25 минут (при нагрузке 425 кг). Итоги опытов содержались в акте специальной комиссии Бакин</w:t>
      </w:r>
      <w:r w:rsidRPr="00405303">
        <w:rPr>
          <w:color w:val="002060"/>
          <w:sz w:val="16"/>
          <w:szCs w:val="16"/>
        </w:rPr>
        <w:softHyphen/>
        <w:t>ского порта от 11 января. По этому документу, летающая лодка легко выходила из воды, при разбеге быстро поднимала хвост и быстро отрывалась. В полете “совершенно уравновешенный” самолет обла</w:t>
      </w:r>
      <w:r w:rsidRPr="00405303">
        <w:rPr>
          <w:color w:val="002060"/>
          <w:sz w:val="16"/>
          <w:szCs w:val="16"/>
        </w:rPr>
        <w:softHyphen/>
        <w:t>дал “большой остойчивостью и летучестью”, сохранял “устойчивость на вираже” и свободно набирал высоту в полном грузу. Он развивал скорость большую, чем у аппаратов типа ФБА и М-5, и являлся хорошим планером: планировал полого и долго шел, выровненный, над водой, почему садился на отно</w:t>
      </w:r>
      <w:r w:rsidRPr="00405303">
        <w:rPr>
          <w:color w:val="002060"/>
          <w:sz w:val="16"/>
          <w:szCs w:val="16"/>
        </w:rPr>
        <w:softHyphen/>
        <w:t>сительно малой скорости. Находясь на морской поверхности, он слушался руля, благодаря чему манев</w:t>
      </w:r>
      <w:r w:rsidRPr="00405303">
        <w:rPr>
          <w:color w:val="002060"/>
          <w:sz w:val="16"/>
          <w:szCs w:val="16"/>
        </w:rPr>
        <w:softHyphen/>
        <w:t>ры не вызывали особого труда (2807).</w:t>
      </w:r>
    </w:p>
    <w:p w14:paraId="142E2521" w14:textId="77777777" w:rsidR="00325E5B" w:rsidRPr="00405303" w:rsidRDefault="00325E5B" w:rsidP="00C15251">
      <w:pPr>
        <w:jc w:val="both"/>
        <w:rPr>
          <w:color w:val="002060"/>
          <w:sz w:val="16"/>
          <w:szCs w:val="16"/>
        </w:rPr>
      </w:pPr>
    </w:p>
    <w:p w14:paraId="000DF7B3" w14:textId="77777777" w:rsidR="00D879C2" w:rsidRPr="00405303" w:rsidRDefault="00D879C2" w:rsidP="00C15251">
      <w:pPr>
        <w:shd w:val="clear" w:color="auto" w:fill="FFFFFF"/>
        <w:jc w:val="both"/>
        <w:rPr>
          <w:bCs/>
          <w:i/>
          <w:color w:val="002060"/>
          <w:sz w:val="16"/>
          <w:szCs w:val="16"/>
        </w:rPr>
      </w:pPr>
      <w:r w:rsidRPr="00405303">
        <w:rPr>
          <w:bCs/>
          <w:i/>
          <w:color w:val="002060"/>
          <w:sz w:val="16"/>
          <w:szCs w:val="16"/>
        </w:rPr>
        <w:t>Авиация:</w:t>
      </w:r>
    </w:p>
    <w:p w14:paraId="32E450DE" w14:textId="77777777" w:rsidR="00D879C2" w:rsidRPr="00405303" w:rsidRDefault="00D879C2" w:rsidP="00C15251">
      <w:pPr>
        <w:shd w:val="clear" w:color="auto" w:fill="FFFFFF"/>
        <w:jc w:val="both"/>
        <w:rPr>
          <w:bCs/>
          <w:i/>
          <w:color w:val="002060"/>
          <w:sz w:val="16"/>
          <w:szCs w:val="16"/>
        </w:rPr>
      </w:pPr>
    </w:p>
    <w:p w14:paraId="7BFF1485" w14:textId="3D4D9DB7" w:rsidR="00D879C2" w:rsidRPr="00405303" w:rsidRDefault="00D879C2" w:rsidP="00C15251">
      <w:pPr>
        <w:jc w:val="both"/>
        <w:rPr>
          <w:bCs/>
          <w:color w:val="002060"/>
          <w:sz w:val="16"/>
          <w:szCs w:val="16"/>
        </w:rPr>
      </w:pPr>
      <w:r w:rsidRPr="00405303">
        <w:rPr>
          <w:bCs/>
          <w:color w:val="002060"/>
          <w:sz w:val="16"/>
          <w:szCs w:val="16"/>
        </w:rPr>
        <w:t xml:space="preserve">25 декабря в 1915 </w:t>
      </w:r>
      <w:r w:rsidR="00557388" w:rsidRPr="00405303">
        <w:rPr>
          <w:bCs/>
          <w:color w:val="002060"/>
          <w:sz w:val="16"/>
          <w:szCs w:val="16"/>
        </w:rPr>
        <w:t xml:space="preserve">г. </w:t>
      </w:r>
      <w:r w:rsidRPr="00405303">
        <w:rPr>
          <w:bCs/>
          <w:color w:val="002060"/>
          <w:sz w:val="16"/>
          <w:szCs w:val="16"/>
        </w:rPr>
        <w:t>(7 января 1916</w:t>
      </w:r>
      <w:r w:rsidR="00557388" w:rsidRPr="00405303">
        <w:rPr>
          <w:bCs/>
          <w:color w:val="002060"/>
          <w:sz w:val="16"/>
          <w:szCs w:val="16"/>
        </w:rPr>
        <w:t xml:space="preserve"> г.)</w:t>
      </w:r>
      <w:r w:rsidRPr="00405303">
        <w:rPr>
          <w:bCs/>
          <w:color w:val="002060"/>
          <w:sz w:val="16"/>
          <w:szCs w:val="16"/>
        </w:rPr>
        <w:t xml:space="preserve"> в Одессе открылась первая частная авиационная школа А.А.Анатра. Инструктор школы - В.Н.Хиони. Частная школа при авиационном заводе Анатра в Одессе получила наименование "Школа авиации нового времени, учрежденная А.А.Анатра".</w:t>
      </w:r>
    </w:p>
    <w:p w14:paraId="03C32B11" w14:textId="77777777" w:rsidR="00D879C2" w:rsidRPr="00405303" w:rsidRDefault="00D879C2" w:rsidP="00C15251">
      <w:pPr>
        <w:jc w:val="both"/>
        <w:rPr>
          <w:bCs/>
          <w:color w:val="002060"/>
          <w:sz w:val="16"/>
          <w:szCs w:val="16"/>
        </w:rPr>
      </w:pPr>
      <w:r w:rsidRPr="00405303">
        <w:rPr>
          <w:bCs/>
          <w:color w:val="002060"/>
          <w:sz w:val="16"/>
          <w:szCs w:val="16"/>
        </w:rPr>
        <w:t>В этой школе начали обучение 62 человека, руководил занятиями летчик-конструктор завода. 16 апреля 1909 года большинством голосов Общее Собрание Одесского Аэроклуба утвердило новый нагрудный знак. Основу знака составляет вытянутый овальный серебряный лаврово-дубовый венок - символ славы и крепости. Кстати, такой венок является одной из общепризнанных эмблем всех представителей силовых структур нынешней России. В центральной части знака – изображение летного поля, покрытое зеленой эмалью. На фоне летного поля силуэт накладного, золотого воздушного шара. В верхней части знака стилизованный накладной силуэт биплана, развернутый в три четверти, из серебра. Крылья биплана чуть выступают за пределы венка с обеих сторон. В верхней части фалеронима аббревиатура из трех букв золотом ОАК, опирающаяся основанием на центральную часть биплана. На этом же собрании был утвержден и флаг Клуба, представляющий собой белое поле с изображением знака Клуба в центральной части (14871).</w:t>
      </w:r>
    </w:p>
    <w:p w14:paraId="7157E6E4" w14:textId="77777777" w:rsidR="00D879C2" w:rsidRPr="00405303" w:rsidRDefault="00D879C2" w:rsidP="00C15251">
      <w:pPr>
        <w:jc w:val="both"/>
        <w:rPr>
          <w:bCs/>
          <w:color w:val="002060"/>
          <w:sz w:val="16"/>
          <w:szCs w:val="16"/>
        </w:rPr>
      </w:pPr>
    </w:p>
    <w:p w14:paraId="5B2485A7" w14:textId="77777777" w:rsidR="00557388" w:rsidRPr="00405303" w:rsidRDefault="00557388" w:rsidP="00C15251">
      <w:pPr>
        <w:jc w:val="both"/>
        <w:rPr>
          <w:bCs/>
          <w:iCs/>
          <w:color w:val="002060"/>
          <w:sz w:val="16"/>
          <w:szCs w:val="16"/>
        </w:rPr>
      </w:pPr>
      <w:r w:rsidRPr="00405303">
        <w:rPr>
          <w:bCs/>
          <w:i/>
          <w:iCs/>
          <w:color w:val="002060"/>
          <w:sz w:val="16"/>
          <w:szCs w:val="16"/>
        </w:rPr>
        <w:lastRenderedPageBreak/>
        <w:t>Армия:</w:t>
      </w:r>
    </w:p>
    <w:p w14:paraId="232834E1" w14:textId="77777777" w:rsidR="00557388" w:rsidRPr="00405303" w:rsidRDefault="00557388" w:rsidP="00C15251">
      <w:pPr>
        <w:jc w:val="both"/>
        <w:rPr>
          <w:bCs/>
          <w:iCs/>
          <w:color w:val="002060"/>
          <w:sz w:val="16"/>
          <w:szCs w:val="16"/>
        </w:rPr>
      </w:pPr>
    </w:p>
    <w:p w14:paraId="58817414" w14:textId="77777777" w:rsidR="00557388" w:rsidRPr="00405303" w:rsidRDefault="00557388" w:rsidP="00C15251">
      <w:pPr>
        <w:pStyle w:val="ae"/>
        <w:spacing w:before="0" w:beforeAutospacing="0" w:after="0" w:afterAutospacing="0"/>
        <w:jc w:val="both"/>
        <w:rPr>
          <w:bCs/>
          <w:color w:val="002060"/>
          <w:sz w:val="16"/>
          <w:szCs w:val="16"/>
        </w:rPr>
      </w:pPr>
      <w:r w:rsidRPr="00405303">
        <w:rPr>
          <w:bCs/>
          <w:color w:val="002060"/>
          <w:sz w:val="16"/>
          <w:szCs w:val="16"/>
        </w:rPr>
        <w:t>25 декабря в 1915 году (7 января 1916) русская Кавказская армия под командованием генерала Николая Юденича перешла в наступление, которое позднее назовут Эрзурумским сражением (его первая часть — Кеприкейское сражение). Финальной целью тщательно подготовленной операции был захват Эрзурума — города на северо-востоке как тогдашней Османской империи, так и современной Турции, занимавшего стратегического положение. Он находился на пересечении основных дорог, связывающих центральные районы Османской империи с северными и восточными окраинами, и в силу этого являлся главной тыловой базой турецкой армии на Кавказе. Захват Эрзурума позволял русским получить выход на оперативный простор как в долину реки Евфрат (в сторону Месопотамии), так и вглубь полуострова Малая Азия.</w:t>
      </w:r>
    </w:p>
    <w:p w14:paraId="794F0305" w14:textId="77777777" w:rsidR="00557388" w:rsidRPr="00405303" w:rsidRDefault="00557388" w:rsidP="00C15251">
      <w:pPr>
        <w:pStyle w:val="ae"/>
        <w:spacing w:before="0" w:beforeAutospacing="0" w:after="0" w:afterAutospacing="0"/>
        <w:jc w:val="both"/>
        <w:rPr>
          <w:bCs/>
          <w:color w:val="002060"/>
          <w:sz w:val="16"/>
          <w:szCs w:val="16"/>
        </w:rPr>
      </w:pPr>
      <w:r w:rsidRPr="00405303">
        <w:rPr>
          <w:bCs/>
          <w:color w:val="002060"/>
          <w:sz w:val="16"/>
          <w:szCs w:val="16"/>
        </w:rPr>
        <w:t>Начинать наступление в тяжелых условиях — зимой в горах — генерал Юденич был вынужден потому, что только так он успевал использовать преимущество перед турками. Последние изначально не ждали активности от русской армии, полагая, что та будет отсиживаться на зимних квартирах. К весне же турки рассчитывали получить серьезное подкрепление за счет войск, освободившихся в Дарданеллах после эвакуации великобританцев и французов, а также частей, переброшенных из Месопотамии после разгрома английского корпуса под Багдадом, и уже сами могли бы «навалиться» на армию Юденича.</w:t>
      </w:r>
    </w:p>
    <w:p w14:paraId="6733DC43" w14:textId="6ACAC660" w:rsidR="00557388" w:rsidRPr="00405303" w:rsidRDefault="00557388" w:rsidP="00C15251">
      <w:pPr>
        <w:pStyle w:val="ae"/>
        <w:spacing w:before="0" w:beforeAutospacing="0" w:after="0" w:afterAutospacing="0"/>
        <w:jc w:val="both"/>
        <w:rPr>
          <w:bCs/>
          <w:color w:val="002060"/>
          <w:sz w:val="16"/>
          <w:szCs w:val="16"/>
        </w:rPr>
      </w:pPr>
      <w:r w:rsidRPr="00405303">
        <w:rPr>
          <w:bCs/>
          <w:color w:val="002060"/>
          <w:sz w:val="16"/>
          <w:szCs w:val="16"/>
        </w:rPr>
        <w:t>Чтобы усыпить бдительность противника, подготовка операции проводилась в условиях повышенной секретности. Все передвижения русских частей тщательно маскировались, командование разработало отдельный план дезинформации врага. Подразделения Кавказской армии специально проводили тренировки в заснеженных горах, отрабатывали взаимодействие всех родов войск. Для захвата турецких укреплений были созданы специальные «штурмовые отряды»</w:t>
      </w:r>
      <w:r w:rsidR="00DB4D64" w:rsidRPr="00405303">
        <w:rPr>
          <w:bCs/>
          <w:color w:val="002060"/>
          <w:sz w:val="16"/>
          <w:szCs w:val="16"/>
        </w:rPr>
        <w:t xml:space="preserve"> </w:t>
      </w:r>
      <w:r w:rsidRPr="00405303">
        <w:rPr>
          <w:bCs/>
          <w:color w:val="002060"/>
          <w:sz w:val="16"/>
          <w:szCs w:val="16"/>
        </w:rPr>
        <w:t>— на важнейших направлениях полкам пехоты выделялись дополнительные орудия, пулеметы и саперные подразделения. Чтобы турки не смогли перебрасывать подкрепления с одного участка фронта на другой, предполагалось атаковать их одновременно по всей линии укреплений и круглосуточно.</w:t>
      </w:r>
    </w:p>
    <w:p w14:paraId="4B95E383" w14:textId="77777777" w:rsidR="00557388" w:rsidRPr="00405303" w:rsidRDefault="00557388" w:rsidP="00C15251">
      <w:pPr>
        <w:pStyle w:val="ae"/>
        <w:spacing w:before="0" w:beforeAutospacing="0" w:after="0" w:afterAutospacing="0"/>
        <w:jc w:val="both"/>
        <w:rPr>
          <w:bCs/>
          <w:color w:val="002060"/>
          <w:sz w:val="16"/>
          <w:szCs w:val="16"/>
        </w:rPr>
      </w:pPr>
      <w:r w:rsidRPr="00405303">
        <w:rPr>
          <w:bCs/>
          <w:color w:val="002060"/>
          <w:sz w:val="16"/>
          <w:szCs w:val="16"/>
        </w:rPr>
        <w:t>Расчет русского командования оказался точен, и начавшееся наступление застало турок врасплох. Выход ударной армейской группы русских в тыл турецких войск северо-восточнее Кеприкея (в 40 километрах к востоку от Эрзурума) решил исход битвы: уже через несколько дней османская армия, опасаясь полного окружения, была вынуждена начать спешное отступление. Туркам приходилось даже сжигать склады с продовольствием и боеприпасами, чтобы они не достались русским (17045).</w:t>
      </w:r>
    </w:p>
    <w:p w14:paraId="5045E504" w14:textId="1FCDDB03" w:rsidR="00557388" w:rsidRPr="00405303" w:rsidRDefault="00557388" w:rsidP="00C15251">
      <w:pPr>
        <w:jc w:val="both"/>
        <w:rPr>
          <w:bCs/>
          <w:iCs/>
          <w:color w:val="002060"/>
          <w:sz w:val="16"/>
          <w:szCs w:val="16"/>
        </w:rPr>
      </w:pPr>
    </w:p>
    <w:p w14:paraId="4BE01D64" w14:textId="77777777" w:rsidR="00906334" w:rsidRPr="00405303" w:rsidRDefault="00906334" w:rsidP="00C15251">
      <w:pPr>
        <w:jc w:val="both"/>
        <w:rPr>
          <w:color w:val="002060"/>
          <w:sz w:val="16"/>
          <w:szCs w:val="16"/>
        </w:rPr>
      </w:pPr>
      <w:r w:rsidRPr="00405303">
        <w:rPr>
          <w:color w:val="002060"/>
          <w:sz w:val="16"/>
          <w:szCs w:val="16"/>
        </w:rPr>
        <w:t>26 декабря 1915 (8 января 1916) в районе о. Кефкен был бой линкора Императрица Мария с германо-турецким линкором Гебен. Получив повреждения Гебен вышел из боя (3122).</w:t>
      </w:r>
    </w:p>
    <w:p w14:paraId="6FD45A4B" w14:textId="77777777" w:rsidR="00906334" w:rsidRPr="00405303" w:rsidRDefault="00906334" w:rsidP="00C15251">
      <w:pPr>
        <w:jc w:val="both"/>
        <w:rPr>
          <w:color w:val="002060"/>
          <w:sz w:val="16"/>
          <w:szCs w:val="16"/>
        </w:rPr>
      </w:pPr>
    </w:p>
    <w:p w14:paraId="4098EEB3" w14:textId="77777777" w:rsidR="00906334" w:rsidRPr="00405303" w:rsidRDefault="00906334" w:rsidP="00C15251">
      <w:pPr>
        <w:jc w:val="both"/>
        <w:rPr>
          <w:color w:val="002060"/>
          <w:sz w:val="16"/>
          <w:szCs w:val="16"/>
        </w:rPr>
      </w:pPr>
      <w:r w:rsidRPr="00405303">
        <w:rPr>
          <w:color w:val="002060"/>
          <w:sz w:val="16"/>
          <w:szCs w:val="16"/>
        </w:rPr>
        <w:t>26 декабря 1915 - 8 января 1916 г. Бой у о. Кефкен. "Императрица Екатерина Великая" едва не подловила "Гебен". Германский линейный крейсер, пользуясь превосходством в скорости, вынудил "Екатерину" открыть огонь с дистанции 125 каб., что исключало прицельную стрельбу. Однако русские, предвидя такой оборот событий, разработали новую методику стрельбы – огонь "Екатерины" корректировал по радио эсминец "Лейтенант Шестаков". "Гебен" получил попадание в носовую оконечность и ушёл в Босфор (10678).</w:t>
      </w:r>
    </w:p>
    <w:p w14:paraId="460A21D1" w14:textId="77777777" w:rsidR="00906334" w:rsidRPr="00405303" w:rsidRDefault="00906334" w:rsidP="00C15251">
      <w:pPr>
        <w:jc w:val="both"/>
        <w:rPr>
          <w:color w:val="002060"/>
          <w:sz w:val="16"/>
          <w:szCs w:val="16"/>
        </w:rPr>
      </w:pPr>
    </w:p>
    <w:p w14:paraId="0DC03222" w14:textId="77777777" w:rsidR="00906334" w:rsidRPr="00405303" w:rsidRDefault="00906334" w:rsidP="00C15251">
      <w:pPr>
        <w:jc w:val="both"/>
        <w:rPr>
          <w:color w:val="002060"/>
          <w:sz w:val="16"/>
          <w:szCs w:val="16"/>
        </w:rPr>
      </w:pPr>
      <w:r w:rsidRPr="00405303">
        <w:rPr>
          <w:color w:val="002060"/>
          <w:sz w:val="16"/>
          <w:szCs w:val="16"/>
        </w:rPr>
        <w:t>26 декабря 1915 (8 января 1916) вблизи Босфора произошло столкновение между линкором Черноморского флота России «Императрица Екатерина Великая» и немецким крейсером «Гебен». После обмена залпами с большой дистанции германскому крейсеру удалось укрыться в проливе. Он отделался лишь осколочными попаданиями, но, опасаясь русских флагманов, в течение 1916 года «Гебен» фактически бездействовал и выходил в Черное море лишь несколько раз (17045).</w:t>
      </w:r>
    </w:p>
    <w:p w14:paraId="215008B6" w14:textId="77777777" w:rsidR="00906334" w:rsidRPr="00405303" w:rsidRDefault="00906334" w:rsidP="00C15251">
      <w:pPr>
        <w:jc w:val="both"/>
        <w:rPr>
          <w:color w:val="002060"/>
          <w:sz w:val="16"/>
          <w:szCs w:val="16"/>
        </w:rPr>
      </w:pPr>
    </w:p>
    <w:p w14:paraId="3757C8C0" w14:textId="4BA227EC" w:rsidR="00D06DF4" w:rsidRPr="00405303" w:rsidRDefault="00D06DF4" w:rsidP="00C15251">
      <w:pPr>
        <w:jc w:val="both"/>
        <w:rPr>
          <w:bCs/>
          <w:i/>
          <w:color w:val="002060"/>
          <w:sz w:val="16"/>
          <w:szCs w:val="16"/>
        </w:rPr>
      </w:pPr>
      <w:r w:rsidRPr="00405303">
        <w:rPr>
          <w:bCs/>
          <w:i/>
          <w:color w:val="002060"/>
          <w:sz w:val="16"/>
          <w:szCs w:val="16"/>
        </w:rPr>
        <w:t>Самолетостроение:</w:t>
      </w:r>
    </w:p>
    <w:p w14:paraId="1D570CBC" w14:textId="77777777" w:rsidR="00D06DF4" w:rsidRPr="00405303" w:rsidRDefault="00D06DF4" w:rsidP="00C15251">
      <w:pPr>
        <w:jc w:val="both"/>
        <w:rPr>
          <w:bCs/>
          <w:i/>
          <w:color w:val="002060"/>
          <w:sz w:val="16"/>
          <w:szCs w:val="16"/>
        </w:rPr>
      </w:pPr>
    </w:p>
    <w:p w14:paraId="6FE42B4E" w14:textId="77777777" w:rsidR="00D06DF4" w:rsidRPr="00405303" w:rsidRDefault="00D06DF4" w:rsidP="00C15251">
      <w:pPr>
        <w:jc w:val="both"/>
        <w:rPr>
          <w:bCs/>
          <w:color w:val="002060"/>
          <w:sz w:val="16"/>
          <w:szCs w:val="16"/>
        </w:rPr>
      </w:pPr>
      <w:r w:rsidRPr="00405303">
        <w:rPr>
          <w:bCs/>
          <w:color w:val="002060"/>
          <w:sz w:val="16"/>
          <w:szCs w:val="16"/>
        </w:rPr>
        <w:t>26 декабря 1915 (8 января 1916 г.) в Севастополе состоялся первый испытательный полет нового морского самолета М-9 конструкции Д.П. Григоровича. М-9 трехместный биплан лодочного типа с мотором сальмсон 150 л.с. Его данные: полетный вес - 1600; вес полезной нагрузки - 480; скорость 110 км/час; потолок - 3000; дальность полета - 450 км. Самолет обладал хорощими для своего времени летными качествами и применялся в качестве разведчика даже в гражданской войне. Испытание проводил летчик Я.И.Седов.</w:t>
      </w:r>
    </w:p>
    <w:p w14:paraId="1F5E47F9" w14:textId="77777777" w:rsidR="00D06DF4" w:rsidRPr="00405303" w:rsidRDefault="00D06DF4" w:rsidP="00C15251">
      <w:pPr>
        <w:jc w:val="both"/>
        <w:rPr>
          <w:bCs/>
          <w:color w:val="002060"/>
          <w:sz w:val="16"/>
          <w:szCs w:val="16"/>
        </w:rPr>
      </w:pPr>
      <w:r w:rsidRPr="00405303">
        <w:rPr>
          <w:bCs/>
          <w:color w:val="002060"/>
          <w:sz w:val="16"/>
          <w:szCs w:val="16"/>
        </w:rPr>
        <w:t>/По материалам инж. А.Н.Седельникова, проводившего испытания М-9/ (23320).</w:t>
      </w:r>
    </w:p>
    <w:p w14:paraId="7EFBE003" w14:textId="77777777" w:rsidR="00D06DF4" w:rsidRPr="00405303" w:rsidRDefault="00D06DF4" w:rsidP="00C15251">
      <w:pPr>
        <w:jc w:val="both"/>
        <w:rPr>
          <w:bCs/>
          <w:color w:val="002060"/>
          <w:sz w:val="16"/>
          <w:szCs w:val="16"/>
        </w:rPr>
      </w:pPr>
    </w:p>
    <w:p w14:paraId="1A865517" w14:textId="77777777" w:rsidR="006417A8" w:rsidRPr="00405303" w:rsidRDefault="006417A8" w:rsidP="00C15251">
      <w:pPr>
        <w:jc w:val="both"/>
        <w:rPr>
          <w:bCs/>
          <w:iCs/>
          <w:color w:val="002060"/>
          <w:sz w:val="16"/>
          <w:szCs w:val="16"/>
        </w:rPr>
      </w:pPr>
      <w:r w:rsidRPr="00405303">
        <w:rPr>
          <w:bCs/>
          <w:i/>
          <w:iCs/>
          <w:color w:val="002060"/>
          <w:sz w:val="16"/>
          <w:szCs w:val="16"/>
        </w:rPr>
        <w:t>Армия:</w:t>
      </w:r>
    </w:p>
    <w:p w14:paraId="2E7B118C" w14:textId="77777777" w:rsidR="006417A8" w:rsidRPr="00405303" w:rsidRDefault="006417A8" w:rsidP="00C15251">
      <w:pPr>
        <w:jc w:val="both"/>
        <w:rPr>
          <w:bCs/>
          <w:iCs/>
          <w:color w:val="002060"/>
          <w:sz w:val="16"/>
          <w:szCs w:val="16"/>
        </w:rPr>
      </w:pPr>
    </w:p>
    <w:p w14:paraId="425CF88F" w14:textId="52D84B8F" w:rsidR="006417A8" w:rsidRPr="00405303" w:rsidRDefault="006417A8" w:rsidP="00C15251">
      <w:pPr>
        <w:jc w:val="both"/>
        <w:rPr>
          <w:bCs/>
          <w:color w:val="002060"/>
          <w:sz w:val="16"/>
          <w:szCs w:val="16"/>
        </w:rPr>
      </w:pPr>
      <w:r w:rsidRPr="00405303">
        <w:rPr>
          <w:bCs/>
          <w:color w:val="002060"/>
          <w:sz w:val="16"/>
          <w:szCs w:val="16"/>
        </w:rPr>
        <w:t xml:space="preserve">26 декабря 1915 </w:t>
      </w:r>
      <w:r w:rsidR="00557388" w:rsidRPr="00405303">
        <w:rPr>
          <w:bCs/>
          <w:color w:val="002060"/>
          <w:sz w:val="16"/>
          <w:szCs w:val="16"/>
        </w:rPr>
        <w:t xml:space="preserve">г. </w:t>
      </w:r>
      <w:r w:rsidRPr="00405303">
        <w:rPr>
          <w:bCs/>
          <w:color w:val="002060"/>
          <w:sz w:val="16"/>
          <w:szCs w:val="16"/>
        </w:rPr>
        <w:t>(8 января 1916</w:t>
      </w:r>
      <w:r w:rsidR="00557388" w:rsidRPr="00405303">
        <w:rPr>
          <w:bCs/>
          <w:color w:val="002060"/>
          <w:sz w:val="16"/>
          <w:szCs w:val="16"/>
        </w:rPr>
        <w:t xml:space="preserve"> г.</w:t>
      </w:r>
      <w:r w:rsidRPr="00405303">
        <w:rPr>
          <w:bCs/>
          <w:color w:val="002060"/>
          <w:sz w:val="16"/>
          <w:szCs w:val="16"/>
        </w:rPr>
        <w:t>) в районе о. Кефкен был бой линкора Императрица Мария с германо-турецким линкором Гебен. Получив повреждения Гебен вышел из боя (3122).</w:t>
      </w:r>
    </w:p>
    <w:p w14:paraId="03B8517B" w14:textId="77777777" w:rsidR="006417A8" w:rsidRPr="00405303" w:rsidRDefault="006417A8" w:rsidP="00C15251">
      <w:pPr>
        <w:jc w:val="both"/>
        <w:rPr>
          <w:bCs/>
          <w:color w:val="002060"/>
          <w:sz w:val="16"/>
          <w:szCs w:val="16"/>
        </w:rPr>
      </w:pPr>
    </w:p>
    <w:p w14:paraId="511A92C1" w14:textId="215B3755" w:rsidR="006417A8" w:rsidRPr="00405303" w:rsidRDefault="006417A8" w:rsidP="00C15251">
      <w:pPr>
        <w:jc w:val="both"/>
        <w:rPr>
          <w:bCs/>
          <w:color w:val="002060"/>
          <w:sz w:val="16"/>
          <w:szCs w:val="16"/>
        </w:rPr>
      </w:pPr>
      <w:r w:rsidRPr="00405303">
        <w:rPr>
          <w:bCs/>
          <w:color w:val="002060"/>
          <w:sz w:val="16"/>
          <w:szCs w:val="16"/>
        </w:rPr>
        <w:t>26 декабря 1915</w:t>
      </w:r>
      <w:r w:rsidR="00557388" w:rsidRPr="00405303">
        <w:rPr>
          <w:bCs/>
          <w:color w:val="002060"/>
          <w:sz w:val="16"/>
          <w:szCs w:val="16"/>
        </w:rPr>
        <w:t xml:space="preserve"> г.</w:t>
      </w:r>
      <w:r w:rsidRPr="00405303">
        <w:rPr>
          <w:bCs/>
          <w:color w:val="002060"/>
          <w:sz w:val="16"/>
          <w:szCs w:val="16"/>
        </w:rPr>
        <w:t xml:space="preserve"> </w:t>
      </w:r>
      <w:r w:rsidR="00557388" w:rsidRPr="00405303">
        <w:rPr>
          <w:bCs/>
          <w:color w:val="002060"/>
          <w:sz w:val="16"/>
          <w:szCs w:val="16"/>
        </w:rPr>
        <w:t>(</w:t>
      </w:r>
      <w:r w:rsidRPr="00405303">
        <w:rPr>
          <w:bCs/>
          <w:color w:val="002060"/>
          <w:sz w:val="16"/>
          <w:szCs w:val="16"/>
        </w:rPr>
        <w:t>8 января 1916 г.</w:t>
      </w:r>
      <w:r w:rsidR="00557388" w:rsidRPr="00405303">
        <w:rPr>
          <w:bCs/>
          <w:color w:val="002060"/>
          <w:sz w:val="16"/>
          <w:szCs w:val="16"/>
        </w:rPr>
        <w:t>)</w:t>
      </w:r>
      <w:r w:rsidRPr="00405303">
        <w:rPr>
          <w:bCs/>
          <w:color w:val="002060"/>
          <w:sz w:val="16"/>
          <w:szCs w:val="16"/>
        </w:rPr>
        <w:t xml:space="preserve"> </w:t>
      </w:r>
      <w:r w:rsidR="00557388" w:rsidRPr="00405303">
        <w:rPr>
          <w:bCs/>
          <w:color w:val="002060"/>
          <w:sz w:val="16"/>
          <w:szCs w:val="16"/>
        </w:rPr>
        <w:t>состоялся б</w:t>
      </w:r>
      <w:r w:rsidRPr="00405303">
        <w:rPr>
          <w:bCs/>
          <w:color w:val="002060"/>
          <w:sz w:val="16"/>
          <w:szCs w:val="16"/>
        </w:rPr>
        <w:t>ой у о. Кефкен. "Императрица Екатерина Великая" едва не подловила "Гебен". Германский линейный крейсер, пользуясь превосходством в скорости, вынудил "Екатерину" открыть огонь с дистанции 125 каб., что исключало прицельную стрельбу. Однако русские, предвидя такой оборот событий, разработали новую методику стрельбы – огонь "Екатерины" корректировал по радио эсминец "Лейтенант Шестаков". "Гебен" получил попадание в носовую оконечность и ушёл в Босфор (10678).</w:t>
      </w:r>
    </w:p>
    <w:p w14:paraId="037CE35D" w14:textId="77777777" w:rsidR="006417A8" w:rsidRPr="00405303" w:rsidRDefault="006417A8" w:rsidP="00C15251">
      <w:pPr>
        <w:jc w:val="both"/>
        <w:rPr>
          <w:bCs/>
          <w:color w:val="002060"/>
          <w:sz w:val="16"/>
          <w:szCs w:val="16"/>
        </w:rPr>
      </w:pPr>
    </w:p>
    <w:p w14:paraId="692B13D1" w14:textId="16772038" w:rsidR="006417A8" w:rsidRPr="00405303" w:rsidRDefault="006417A8" w:rsidP="00C15251">
      <w:pPr>
        <w:jc w:val="both"/>
        <w:rPr>
          <w:bCs/>
          <w:color w:val="002060"/>
          <w:sz w:val="16"/>
          <w:szCs w:val="16"/>
        </w:rPr>
      </w:pPr>
      <w:r w:rsidRPr="00405303">
        <w:rPr>
          <w:bCs/>
          <w:color w:val="002060"/>
          <w:sz w:val="16"/>
          <w:szCs w:val="16"/>
        </w:rPr>
        <w:t xml:space="preserve">26 декабря 1915 </w:t>
      </w:r>
      <w:r w:rsidR="00557388" w:rsidRPr="00405303">
        <w:rPr>
          <w:bCs/>
          <w:color w:val="002060"/>
          <w:sz w:val="16"/>
          <w:szCs w:val="16"/>
        </w:rPr>
        <w:t xml:space="preserve">г. </w:t>
      </w:r>
      <w:r w:rsidRPr="00405303">
        <w:rPr>
          <w:bCs/>
          <w:color w:val="002060"/>
          <w:sz w:val="16"/>
          <w:szCs w:val="16"/>
        </w:rPr>
        <w:t>(8 января 1916</w:t>
      </w:r>
      <w:r w:rsidR="00557388" w:rsidRPr="00405303">
        <w:rPr>
          <w:bCs/>
          <w:color w:val="002060"/>
          <w:sz w:val="16"/>
          <w:szCs w:val="16"/>
        </w:rPr>
        <w:t xml:space="preserve"> г.</w:t>
      </w:r>
      <w:r w:rsidRPr="00405303">
        <w:rPr>
          <w:bCs/>
          <w:color w:val="002060"/>
          <w:sz w:val="16"/>
          <w:szCs w:val="16"/>
        </w:rPr>
        <w:t>) вблизи Босфора произошло столкновение между линкором Черноморского флота России «Императрица Екатерина Великая» и немецким крейсером «Гебен». После обмена залпами с большой дистанции германскому крейсеру удалось укрыться в проливе. Он отделался лишь осколочными попаданиями, но, опасаясь русских флагманов, в течение 1916 года «Гебен» фактически бездействовал и выходил в Черное море лишь несколько раз (17045).</w:t>
      </w:r>
    </w:p>
    <w:p w14:paraId="34A41922" w14:textId="77777777" w:rsidR="006417A8" w:rsidRPr="00405303" w:rsidRDefault="006417A8" w:rsidP="00C15251">
      <w:pPr>
        <w:jc w:val="both"/>
        <w:rPr>
          <w:bCs/>
          <w:color w:val="002060"/>
          <w:sz w:val="16"/>
          <w:szCs w:val="16"/>
        </w:rPr>
      </w:pPr>
    </w:p>
    <w:p w14:paraId="16650FE3" w14:textId="77777777" w:rsidR="006417A8" w:rsidRPr="00405303" w:rsidRDefault="006417A8" w:rsidP="00C15251">
      <w:pPr>
        <w:jc w:val="both"/>
        <w:rPr>
          <w:bCs/>
          <w:iCs/>
          <w:color w:val="002060"/>
          <w:sz w:val="16"/>
          <w:szCs w:val="16"/>
        </w:rPr>
      </w:pPr>
      <w:r w:rsidRPr="00405303">
        <w:rPr>
          <w:bCs/>
          <w:i/>
          <w:iCs/>
          <w:color w:val="002060"/>
          <w:sz w:val="16"/>
          <w:szCs w:val="16"/>
        </w:rPr>
        <w:t>За рубежом:</w:t>
      </w:r>
    </w:p>
    <w:p w14:paraId="3E1F2579" w14:textId="77777777" w:rsidR="006417A8" w:rsidRPr="00405303" w:rsidRDefault="006417A8" w:rsidP="00C15251">
      <w:pPr>
        <w:jc w:val="both"/>
        <w:rPr>
          <w:bCs/>
          <w:iCs/>
          <w:color w:val="002060"/>
          <w:sz w:val="16"/>
          <w:szCs w:val="16"/>
        </w:rPr>
      </w:pPr>
    </w:p>
    <w:p w14:paraId="4BED5AAA" w14:textId="14137857" w:rsidR="006417A8" w:rsidRPr="00405303" w:rsidRDefault="006417A8" w:rsidP="00C15251">
      <w:pPr>
        <w:jc w:val="both"/>
        <w:rPr>
          <w:bCs/>
          <w:color w:val="002060"/>
          <w:sz w:val="16"/>
          <w:szCs w:val="16"/>
        </w:rPr>
      </w:pPr>
      <w:r w:rsidRPr="00405303">
        <w:rPr>
          <w:bCs/>
          <w:color w:val="002060"/>
          <w:sz w:val="16"/>
          <w:szCs w:val="16"/>
        </w:rPr>
        <w:t xml:space="preserve">26-27 декабря 1915 </w:t>
      </w:r>
      <w:r w:rsidR="00557388" w:rsidRPr="00405303">
        <w:rPr>
          <w:bCs/>
          <w:color w:val="002060"/>
          <w:sz w:val="16"/>
          <w:szCs w:val="16"/>
        </w:rPr>
        <w:t xml:space="preserve">г. </w:t>
      </w:r>
      <w:r w:rsidRPr="00405303">
        <w:rPr>
          <w:bCs/>
          <w:color w:val="002060"/>
          <w:sz w:val="16"/>
          <w:szCs w:val="16"/>
        </w:rPr>
        <w:t>(8-9 января 1916</w:t>
      </w:r>
      <w:r w:rsidR="00557388" w:rsidRPr="00405303">
        <w:rPr>
          <w:bCs/>
          <w:color w:val="002060"/>
          <w:sz w:val="16"/>
          <w:szCs w:val="16"/>
        </w:rPr>
        <w:t xml:space="preserve"> г.</w:t>
      </w:r>
      <w:r w:rsidRPr="00405303">
        <w:rPr>
          <w:bCs/>
          <w:color w:val="002060"/>
          <w:sz w:val="16"/>
          <w:szCs w:val="16"/>
        </w:rPr>
        <w:t>) союзники отвели войска с мыса Хеллес на Галлиполийском полуострове в Турции (3907,83).</w:t>
      </w:r>
    </w:p>
    <w:p w14:paraId="6BBBFF13" w14:textId="77777777" w:rsidR="006417A8" w:rsidRPr="00405303" w:rsidRDefault="006417A8" w:rsidP="00C15251">
      <w:pPr>
        <w:jc w:val="both"/>
        <w:rPr>
          <w:bCs/>
          <w:color w:val="002060"/>
          <w:sz w:val="16"/>
          <w:szCs w:val="16"/>
        </w:rPr>
      </w:pPr>
    </w:p>
    <w:p w14:paraId="26357B82" w14:textId="64AAFA16" w:rsidR="006417A8" w:rsidRPr="00405303" w:rsidRDefault="006417A8" w:rsidP="00C15251">
      <w:pPr>
        <w:jc w:val="both"/>
        <w:rPr>
          <w:bCs/>
          <w:color w:val="002060"/>
          <w:sz w:val="16"/>
          <w:szCs w:val="16"/>
        </w:rPr>
      </w:pPr>
      <w:r w:rsidRPr="00405303">
        <w:rPr>
          <w:bCs/>
          <w:color w:val="002060"/>
          <w:sz w:val="16"/>
          <w:szCs w:val="16"/>
        </w:rPr>
        <w:t xml:space="preserve">26 декабря 1915 </w:t>
      </w:r>
      <w:r w:rsidR="00557388" w:rsidRPr="00405303">
        <w:rPr>
          <w:bCs/>
          <w:color w:val="002060"/>
          <w:sz w:val="16"/>
          <w:szCs w:val="16"/>
        </w:rPr>
        <w:t xml:space="preserve">г. </w:t>
      </w:r>
      <w:r w:rsidRPr="00405303">
        <w:rPr>
          <w:bCs/>
          <w:color w:val="002060"/>
          <w:sz w:val="16"/>
          <w:szCs w:val="16"/>
        </w:rPr>
        <w:t xml:space="preserve">- 4 </w:t>
      </w:r>
      <w:r w:rsidR="00557388" w:rsidRPr="00405303">
        <w:rPr>
          <w:bCs/>
          <w:color w:val="002060"/>
          <w:sz w:val="16"/>
          <w:szCs w:val="16"/>
        </w:rPr>
        <w:t xml:space="preserve">(8-17 января </w:t>
      </w:r>
      <w:r w:rsidRPr="00405303">
        <w:rPr>
          <w:bCs/>
          <w:color w:val="002060"/>
          <w:sz w:val="16"/>
          <w:szCs w:val="16"/>
        </w:rPr>
        <w:t xml:space="preserve">января 1916 </w:t>
      </w:r>
      <w:r w:rsidR="00557388" w:rsidRPr="00405303">
        <w:rPr>
          <w:bCs/>
          <w:color w:val="002060"/>
          <w:sz w:val="16"/>
          <w:szCs w:val="16"/>
        </w:rPr>
        <w:t>г.</w:t>
      </w:r>
      <w:r w:rsidRPr="00405303">
        <w:rPr>
          <w:bCs/>
          <w:color w:val="002060"/>
          <w:sz w:val="16"/>
          <w:szCs w:val="16"/>
        </w:rPr>
        <w:t xml:space="preserve"> Австро-Венгрия вела боевые действия в Черногории. Сербская армия отступила на о. Корфу (3907,83).</w:t>
      </w:r>
    </w:p>
    <w:p w14:paraId="6CCFEA96" w14:textId="77777777" w:rsidR="006417A8" w:rsidRPr="00405303" w:rsidRDefault="006417A8" w:rsidP="00C15251">
      <w:pPr>
        <w:jc w:val="both"/>
        <w:rPr>
          <w:bCs/>
          <w:color w:val="002060"/>
          <w:sz w:val="16"/>
          <w:szCs w:val="16"/>
        </w:rPr>
      </w:pPr>
    </w:p>
    <w:p w14:paraId="216C4476" w14:textId="77777777" w:rsidR="00557388" w:rsidRPr="00405303" w:rsidRDefault="00557388" w:rsidP="00C15251">
      <w:pPr>
        <w:jc w:val="both"/>
        <w:rPr>
          <w:bCs/>
          <w:i/>
          <w:color w:val="002060"/>
          <w:sz w:val="16"/>
          <w:szCs w:val="16"/>
        </w:rPr>
      </w:pPr>
      <w:r w:rsidRPr="00405303">
        <w:rPr>
          <w:bCs/>
          <w:i/>
          <w:color w:val="002060"/>
          <w:sz w:val="16"/>
          <w:szCs w:val="16"/>
        </w:rPr>
        <w:t>Самолетостроение:</w:t>
      </w:r>
    </w:p>
    <w:p w14:paraId="518B233B" w14:textId="77777777" w:rsidR="00557388" w:rsidRPr="00405303" w:rsidRDefault="00557388" w:rsidP="00C15251">
      <w:pPr>
        <w:jc w:val="both"/>
        <w:rPr>
          <w:bCs/>
          <w:i/>
          <w:color w:val="002060"/>
          <w:sz w:val="16"/>
          <w:szCs w:val="16"/>
        </w:rPr>
      </w:pPr>
    </w:p>
    <w:p w14:paraId="61D377C8" w14:textId="08AE6E44" w:rsidR="00557388" w:rsidRPr="00405303" w:rsidRDefault="00557388" w:rsidP="00C15251">
      <w:pPr>
        <w:shd w:val="clear" w:color="auto" w:fill="FFFFFF"/>
        <w:jc w:val="both"/>
        <w:rPr>
          <w:bCs/>
          <w:color w:val="002060"/>
          <w:sz w:val="16"/>
          <w:szCs w:val="16"/>
        </w:rPr>
      </w:pPr>
      <w:r w:rsidRPr="00405303">
        <w:rPr>
          <w:bCs/>
          <w:color w:val="002060"/>
          <w:sz w:val="16"/>
          <w:szCs w:val="16"/>
        </w:rPr>
        <w:t>27 декабря 1915 г. (9 января 1916 г.) МГШ продлил срок сдачи летающей лодки Г.А. Фриде на два месяца, благо спешить особенно было некуда по причине зимы (2843).</w:t>
      </w:r>
    </w:p>
    <w:p w14:paraId="08A71C56" w14:textId="77777777" w:rsidR="00557388" w:rsidRPr="00405303" w:rsidRDefault="00557388" w:rsidP="00C15251">
      <w:pPr>
        <w:shd w:val="clear" w:color="auto" w:fill="FFFFFF"/>
        <w:jc w:val="both"/>
        <w:rPr>
          <w:bCs/>
          <w:color w:val="002060"/>
          <w:sz w:val="16"/>
          <w:szCs w:val="16"/>
        </w:rPr>
      </w:pPr>
    </w:p>
    <w:p w14:paraId="3E18D2CF" w14:textId="30D570DB" w:rsidR="006417A8" w:rsidRPr="00405303" w:rsidRDefault="006417A8" w:rsidP="00C15251">
      <w:pPr>
        <w:shd w:val="clear" w:color="auto" w:fill="FFFFFF"/>
        <w:jc w:val="both"/>
        <w:rPr>
          <w:bCs/>
          <w:color w:val="002060"/>
          <w:sz w:val="16"/>
          <w:szCs w:val="16"/>
        </w:rPr>
      </w:pPr>
      <w:r w:rsidRPr="00405303">
        <w:rPr>
          <w:bCs/>
          <w:color w:val="002060"/>
          <w:sz w:val="16"/>
          <w:szCs w:val="16"/>
        </w:rPr>
        <w:t>27 декабря 1915</w:t>
      </w:r>
      <w:r w:rsidR="00557388" w:rsidRPr="00405303">
        <w:rPr>
          <w:bCs/>
          <w:color w:val="002060"/>
          <w:sz w:val="16"/>
          <w:szCs w:val="16"/>
        </w:rPr>
        <w:t xml:space="preserve"> г.</w:t>
      </w:r>
      <w:r w:rsidRPr="00405303">
        <w:rPr>
          <w:bCs/>
          <w:color w:val="002060"/>
          <w:sz w:val="16"/>
          <w:szCs w:val="16"/>
        </w:rPr>
        <w:t xml:space="preserve"> (9 января 1916</w:t>
      </w:r>
      <w:r w:rsidR="00557388" w:rsidRPr="00405303">
        <w:rPr>
          <w:bCs/>
          <w:color w:val="002060"/>
          <w:sz w:val="16"/>
          <w:szCs w:val="16"/>
        </w:rPr>
        <w:t xml:space="preserve"> г.</w:t>
      </w:r>
      <w:r w:rsidRPr="00405303">
        <w:rPr>
          <w:bCs/>
          <w:color w:val="002060"/>
          <w:sz w:val="16"/>
          <w:szCs w:val="16"/>
        </w:rPr>
        <w:t>)</w:t>
      </w:r>
      <w:r w:rsidR="00557388" w:rsidRPr="00405303">
        <w:rPr>
          <w:bCs/>
          <w:color w:val="002060"/>
          <w:sz w:val="16"/>
          <w:szCs w:val="16"/>
        </w:rPr>
        <w:t xml:space="preserve"> </w:t>
      </w:r>
      <w:r w:rsidRPr="00405303">
        <w:rPr>
          <w:bCs/>
          <w:color w:val="002060"/>
          <w:sz w:val="16"/>
          <w:szCs w:val="16"/>
        </w:rPr>
        <w:t>МГШ продлил срок сдачи на два месяца, благо спешить особенно было некуда по причине зимы. 17 ноября компания послала в МГШ официальное предложение своих услуг в деле со</w:t>
      </w:r>
      <w:r w:rsidRPr="00405303">
        <w:rPr>
          <w:bCs/>
          <w:color w:val="002060"/>
          <w:sz w:val="16"/>
          <w:szCs w:val="16"/>
        </w:rPr>
        <w:softHyphen/>
        <w:t>здания летающей лодки Г.А. Фриде. Письмо гласило, что фирма готова дать своего инже</w:t>
      </w:r>
      <w:r w:rsidRPr="00405303">
        <w:rPr>
          <w:bCs/>
          <w:color w:val="002060"/>
          <w:sz w:val="16"/>
          <w:szCs w:val="16"/>
        </w:rPr>
        <w:softHyphen/>
        <w:t xml:space="preserve">нера для ведения проекта, ожидая от Морского ведомства предоставления мотора; сборка же аэроплана оценивалась в 11.000 руб. Соответствующий договор был заключен 4 декабря 1915 г., предписывая завершить работу в течение 20 дней и испытать самолет за счет флота и силами кого-нибудь из морских летчиков. Как это часто случалось, завод </w:t>
      </w:r>
      <w:r w:rsidRPr="00405303">
        <w:rPr>
          <w:bCs/>
          <w:color w:val="002060"/>
          <w:sz w:val="16"/>
          <w:szCs w:val="16"/>
        </w:rPr>
        <w:lastRenderedPageBreak/>
        <w:t>не смог выпол</w:t>
      </w:r>
      <w:r w:rsidRPr="00405303">
        <w:rPr>
          <w:bCs/>
          <w:color w:val="002060"/>
          <w:sz w:val="16"/>
          <w:szCs w:val="16"/>
        </w:rPr>
        <w:softHyphen/>
        <w:t>нить задание в срок и 9 декабря Лебедеву пришлось донести о том, что некоторая задержка неизбежна, т.к. "тип еще не оформился", в чертежи вносились изменения, а уже изготов</w:t>
      </w:r>
      <w:r w:rsidRPr="00405303">
        <w:rPr>
          <w:bCs/>
          <w:color w:val="002060"/>
          <w:sz w:val="16"/>
          <w:szCs w:val="16"/>
        </w:rPr>
        <w:softHyphen/>
        <w:t>ленные части неоднократно приходилось заменять новыми (2843).</w:t>
      </w:r>
    </w:p>
    <w:p w14:paraId="595C21C5" w14:textId="77777777" w:rsidR="006417A8" w:rsidRPr="00405303" w:rsidRDefault="006417A8" w:rsidP="00C15251">
      <w:pPr>
        <w:shd w:val="clear" w:color="auto" w:fill="FFFFFF"/>
        <w:jc w:val="both"/>
        <w:rPr>
          <w:bCs/>
          <w:color w:val="002060"/>
          <w:sz w:val="16"/>
          <w:szCs w:val="16"/>
        </w:rPr>
      </w:pPr>
    </w:p>
    <w:p w14:paraId="3E8862DA" w14:textId="77777777" w:rsidR="004B4E35" w:rsidRPr="00405303" w:rsidRDefault="009E6F82" w:rsidP="00C15251">
      <w:pPr>
        <w:jc w:val="both"/>
        <w:rPr>
          <w:bCs/>
          <w:i/>
          <w:color w:val="002060"/>
          <w:sz w:val="16"/>
          <w:szCs w:val="16"/>
        </w:rPr>
      </w:pPr>
      <w:r w:rsidRPr="00405303">
        <w:rPr>
          <w:bCs/>
          <w:i/>
          <w:color w:val="002060"/>
          <w:sz w:val="16"/>
          <w:szCs w:val="16"/>
        </w:rPr>
        <w:t>Армия:</w:t>
      </w:r>
    </w:p>
    <w:p w14:paraId="11450856" w14:textId="77777777" w:rsidR="004B4E35" w:rsidRPr="00405303" w:rsidRDefault="004B4E35" w:rsidP="00C15251">
      <w:pPr>
        <w:jc w:val="both"/>
        <w:rPr>
          <w:bCs/>
          <w:i/>
          <w:color w:val="002060"/>
          <w:sz w:val="16"/>
          <w:szCs w:val="16"/>
        </w:rPr>
      </w:pPr>
    </w:p>
    <w:p w14:paraId="205D7521" w14:textId="68E69BAA" w:rsidR="004B4E35" w:rsidRPr="00405303" w:rsidRDefault="009E6F82" w:rsidP="00C15251">
      <w:pPr>
        <w:jc w:val="both"/>
        <w:rPr>
          <w:bCs/>
          <w:color w:val="002060"/>
          <w:sz w:val="16"/>
          <w:szCs w:val="16"/>
        </w:rPr>
      </w:pPr>
      <w:r w:rsidRPr="00405303">
        <w:rPr>
          <w:bCs/>
          <w:color w:val="002060"/>
          <w:sz w:val="16"/>
          <w:szCs w:val="16"/>
        </w:rPr>
        <w:t xml:space="preserve">27 декабря 1915 - 4 </w:t>
      </w:r>
      <w:r w:rsidR="00557388" w:rsidRPr="00405303">
        <w:rPr>
          <w:bCs/>
          <w:color w:val="002060"/>
          <w:sz w:val="16"/>
          <w:szCs w:val="16"/>
        </w:rPr>
        <w:t xml:space="preserve">(9-17 января) </w:t>
      </w:r>
      <w:r w:rsidRPr="00405303">
        <w:rPr>
          <w:bCs/>
          <w:color w:val="002060"/>
          <w:sz w:val="16"/>
          <w:szCs w:val="16"/>
        </w:rPr>
        <w:t xml:space="preserve">января 1916 г. </w:t>
      </w:r>
      <w:r w:rsidR="00557388" w:rsidRPr="00405303">
        <w:rPr>
          <w:bCs/>
          <w:color w:val="002060"/>
          <w:sz w:val="16"/>
          <w:szCs w:val="16"/>
        </w:rPr>
        <w:t>с</w:t>
      </w:r>
      <w:r w:rsidRPr="00405303">
        <w:rPr>
          <w:bCs/>
          <w:color w:val="002060"/>
          <w:sz w:val="16"/>
          <w:szCs w:val="16"/>
        </w:rPr>
        <w:t xml:space="preserve"> целью дезориентировать союзное командование о направлении своих основных действий в новой компании, германцы проводят демонстративное наступление в Восточной Пруссии – "Дзялдовские бои" (10678).</w:t>
      </w:r>
    </w:p>
    <w:p w14:paraId="3C633B12" w14:textId="77777777" w:rsidR="004B4E35" w:rsidRPr="00405303" w:rsidRDefault="004B4E35" w:rsidP="00C15251">
      <w:pPr>
        <w:jc w:val="both"/>
        <w:rPr>
          <w:bCs/>
          <w:color w:val="002060"/>
          <w:sz w:val="16"/>
          <w:szCs w:val="16"/>
        </w:rPr>
      </w:pPr>
    </w:p>
    <w:p w14:paraId="45DDF156" w14:textId="77777777" w:rsidR="0032167A" w:rsidRPr="00405303" w:rsidRDefault="0032167A" w:rsidP="00C15251">
      <w:pPr>
        <w:jc w:val="both"/>
        <w:rPr>
          <w:bCs/>
          <w:iCs/>
          <w:color w:val="002060"/>
          <w:sz w:val="16"/>
          <w:szCs w:val="16"/>
        </w:rPr>
      </w:pPr>
      <w:r w:rsidRPr="00405303">
        <w:rPr>
          <w:bCs/>
          <w:i/>
          <w:iCs/>
          <w:color w:val="002060"/>
          <w:sz w:val="16"/>
          <w:szCs w:val="16"/>
        </w:rPr>
        <w:t>За рубежом:</w:t>
      </w:r>
    </w:p>
    <w:p w14:paraId="6E805B3D" w14:textId="77777777" w:rsidR="0032167A" w:rsidRPr="00405303" w:rsidRDefault="0032167A" w:rsidP="00C15251">
      <w:pPr>
        <w:jc w:val="both"/>
        <w:rPr>
          <w:bCs/>
          <w:iCs/>
          <w:color w:val="002060"/>
          <w:sz w:val="16"/>
          <w:szCs w:val="16"/>
        </w:rPr>
      </w:pPr>
    </w:p>
    <w:p w14:paraId="4D391BAF" w14:textId="14989227" w:rsidR="0032167A" w:rsidRPr="00405303" w:rsidRDefault="0032167A" w:rsidP="00C15251">
      <w:pPr>
        <w:jc w:val="both"/>
        <w:rPr>
          <w:bCs/>
          <w:color w:val="002060"/>
          <w:sz w:val="16"/>
          <w:szCs w:val="16"/>
        </w:rPr>
      </w:pPr>
      <w:r w:rsidRPr="00405303">
        <w:rPr>
          <w:bCs/>
          <w:color w:val="002060"/>
          <w:sz w:val="16"/>
          <w:szCs w:val="16"/>
        </w:rPr>
        <w:t>27 декабря 1915</w:t>
      </w:r>
      <w:r w:rsidR="00557388" w:rsidRPr="00405303">
        <w:rPr>
          <w:bCs/>
          <w:color w:val="002060"/>
          <w:sz w:val="16"/>
          <w:szCs w:val="16"/>
        </w:rPr>
        <w:t xml:space="preserve"> г.</w:t>
      </w:r>
      <w:r w:rsidRPr="00405303">
        <w:rPr>
          <w:bCs/>
          <w:color w:val="002060"/>
          <w:sz w:val="16"/>
          <w:szCs w:val="16"/>
        </w:rPr>
        <w:t xml:space="preserve"> (9 января 1916 г.) </w:t>
      </w:r>
      <w:r w:rsidR="00557388" w:rsidRPr="00405303">
        <w:rPr>
          <w:bCs/>
          <w:color w:val="002060"/>
          <w:sz w:val="16"/>
          <w:szCs w:val="16"/>
        </w:rPr>
        <w:t>с</w:t>
      </w:r>
      <w:r w:rsidRPr="00405303">
        <w:rPr>
          <w:bCs/>
          <w:color w:val="002060"/>
          <w:sz w:val="16"/>
          <w:szCs w:val="16"/>
        </w:rPr>
        <w:t>оюзники эвакуируют Галлиполийский плацдарм (10678).</w:t>
      </w:r>
    </w:p>
    <w:p w14:paraId="22E7F167" w14:textId="77777777" w:rsidR="0032167A" w:rsidRPr="00405303" w:rsidRDefault="0032167A" w:rsidP="00C15251">
      <w:pPr>
        <w:jc w:val="both"/>
        <w:rPr>
          <w:bCs/>
          <w:color w:val="002060"/>
          <w:sz w:val="16"/>
          <w:szCs w:val="16"/>
        </w:rPr>
      </w:pPr>
    </w:p>
    <w:p w14:paraId="3724B451" w14:textId="1E0149B9" w:rsidR="0032167A" w:rsidRPr="00405303" w:rsidRDefault="0032167A" w:rsidP="00C15251">
      <w:pPr>
        <w:jc w:val="both"/>
        <w:rPr>
          <w:bCs/>
          <w:color w:val="002060"/>
          <w:sz w:val="16"/>
          <w:szCs w:val="16"/>
        </w:rPr>
      </w:pPr>
      <w:r w:rsidRPr="00405303">
        <w:rPr>
          <w:bCs/>
          <w:color w:val="002060"/>
          <w:sz w:val="16"/>
          <w:szCs w:val="16"/>
        </w:rPr>
        <w:t xml:space="preserve">27 декабря 1915 </w:t>
      </w:r>
      <w:r w:rsidR="00557388" w:rsidRPr="00405303">
        <w:rPr>
          <w:bCs/>
          <w:color w:val="002060"/>
          <w:sz w:val="16"/>
          <w:szCs w:val="16"/>
        </w:rPr>
        <w:t xml:space="preserve">г. </w:t>
      </w:r>
      <w:r w:rsidRPr="00405303">
        <w:rPr>
          <w:bCs/>
          <w:color w:val="002060"/>
          <w:sz w:val="16"/>
          <w:szCs w:val="16"/>
        </w:rPr>
        <w:t>(9 января 1916 г.) Дарданельский фронт Первой мировой прекратил существование — флот союзников завершил эвакуацию последних великобританских и французских частей с ранее захваченных плацдармов в районе Галлипольского полуострова. Выполнить поставленную задачу — прорвать турецкую оборону, углубиться на территорию врага и взять под контроль весь пролив Дарданеллы — так и не удалось. За более чем полгода ожесточенных боев союзники смогли продвинуться от берега меньше чем на километр. При этом их потери составили около 43 тысяч убитыми, 97 тысяч ранеными. Большое количество погибших при полном отсутствии результата стало настоящим шоком не только для Великобритании, но и ее заокеанских доминионов — Австралии и Новой Зеландии, чьи войска приняли на Галлипольском полуострове «боевое крещение». День высадки первых десантов 25 апреля (день Австралийского и Новозеландского армейского корпуса — АНЗАК) с тех пор отмечается в Австралии и Новой Зеландии как национальный день поминовения по погибшим (17045).</w:t>
      </w:r>
    </w:p>
    <w:p w14:paraId="16264E3C" w14:textId="77777777" w:rsidR="0032167A" w:rsidRPr="00405303" w:rsidRDefault="0032167A" w:rsidP="00C15251">
      <w:pPr>
        <w:jc w:val="both"/>
        <w:rPr>
          <w:bCs/>
          <w:color w:val="002060"/>
          <w:sz w:val="16"/>
          <w:szCs w:val="16"/>
        </w:rPr>
      </w:pPr>
    </w:p>
    <w:p w14:paraId="56942039"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0BA50F0A" w14:textId="77777777" w:rsidR="004B4E35" w:rsidRPr="00405303" w:rsidRDefault="004B4E35" w:rsidP="00C15251">
      <w:pPr>
        <w:jc w:val="both"/>
        <w:rPr>
          <w:bCs/>
          <w:i/>
          <w:color w:val="002060"/>
          <w:sz w:val="16"/>
          <w:szCs w:val="16"/>
        </w:rPr>
      </w:pPr>
    </w:p>
    <w:p w14:paraId="563EAE6D" w14:textId="1C4F1054" w:rsidR="00D879C2" w:rsidRPr="00405303" w:rsidRDefault="00D879C2" w:rsidP="00C15251">
      <w:pPr>
        <w:jc w:val="both"/>
        <w:rPr>
          <w:bCs/>
          <w:color w:val="002060"/>
          <w:sz w:val="16"/>
          <w:szCs w:val="16"/>
        </w:rPr>
      </w:pPr>
      <w:r w:rsidRPr="00405303">
        <w:rPr>
          <w:bCs/>
          <w:color w:val="002060"/>
          <w:sz w:val="16"/>
          <w:szCs w:val="16"/>
        </w:rPr>
        <w:t>28 декабря в 1915 году (</w:t>
      </w:r>
      <w:r w:rsidR="00557388" w:rsidRPr="00405303">
        <w:rPr>
          <w:bCs/>
          <w:color w:val="002060"/>
          <w:sz w:val="16"/>
          <w:szCs w:val="16"/>
        </w:rPr>
        <w:t>10</w:t>
      </w:r>
      <w:r w:rsidRPr="00405303">
        <w:rPr>
          <w:bCs/>
          <w:color w:val="002060"/>
          <w:sz w:val="16"/>
          <w:szCs w:val="16"/>
        </w:rPr>
        <w:t xml:space="preserve"> января 1916</w:t>
      </w:r>
      <w:r w:rsidR="00557388" w:rsidRPr="00405303">
        <w:rPr>
          <w:bCs/>
          <w:color w:val="002060"/>
          <w:sz w:val="16"/>
          <w:szCs w:val="16"/>
        </w:rPr>
        <w:t xml:space="preserve"> г.</w:t>
      </w:r>
      <w:r w:rsidRPr="00405303">
        <w:rPr>
          <w:bCs/>
          <w:color w:val="002060"/>
          <w:sz w:val="16"/>
          <w:szCs w:val="16"/>
        </w:rPr>
        <w:t>) начались испытания первого опытного образца самолета, получившего обозначение "Лебедь-ХII". Их проводил летчик Гренадерского корпусного авиаотряда поручик Слепцов, командированный по этому случаю с фронта. На следующий день он телеграфировал Августейшему Заведующему авиацией и воздухоплаванием в действующей армии Великому Князю Александру Михайловичу: "Лебедь-XII" с мотором "Сальм-сон" лучше всех существующих аэропланов . необходим немедленный заказ для боевых испытаний". В дальнейшем в ходе заводских испытаний была достигнута скорость 120 км/ч, с полезной нагрузкой 350 кг самолет набирал высоту 2000 м за 22 мин</w:t>
      </w:r>
      <w:r w:rsidR="00557388" w:rsidRPr="00405303">
        <w:rPr>
          <w:bCs/>
          <w:color w:val="002060"/>
          <w:sz w:val="16"/>
          <w:szCs w:val="16"/>
        </w:rPr>
        <w:t>.</w:t>
      </w:r>
      <w:r w:rsidRPr="00405303">
        <w:rPr>
          <w:bCs/>
          <w:color w:val="002060"/>
          <w:sz w:val="16"/>
          <w:szCs w:val="16"/>
        </w:rPr>
        <w:t xml:space="preserve"> Как положительное явление отмечалась жесткая установка двигателя и отсутствие вибраций. Выяснилось, что "Лебедь-XII" имеет в сравнении с германским "Альбатросом" больший "запас летучести при 700 оборотах мотора" (малый газ), улучшились пилотажные характеристики самолета, однако усилия на ручке возросли, и следовало предпринять меры для их уменьшения. С целью устранения других обнаруженных недостатков Слепцов рекомендовал переделать патрубки для отвода выхлопных газов так, чтобы последние не попадали в кабину; увеличить козырек кабины летчика; поставить броню для пилота и наблюдателя. Лебедев обещал Великому Князю, что полезная нагрузка нового самолета будет больше на 50 кг, чем у французского "Вуазена", и что следующий опытный экземпляр оснастят двумя пулеметными установками (14874).</w:t>
      </w:r>
    </w:p>
    <w:p w14:paraId="3DB6637D" w14:textId="77777777" w:rsidR="00D879C2" w:rsidRPr="00405303" w:rsidRDefault="00D879C2" w:rsidP="00C15251">
      <w:pPr>
        <w:jc w:val="both"/>
        <w:rPr>
          <w:bCs/>
          <w:color w:val="002060"/>
          <w:sz w:val="16"/>
          <w:szCs w:val="16"/>
        </w:rPr>
      </w:pPr>
    </w:p>
    <w:p w14:paraId="2A8F2A11" w14:textId="5A7FF8BB" w:rsidR="00BB35D4" w:rsidRPr="00405303" w:rsidRDefault="00BB35D4" w:rsidP="00C15251">
      <w:pPr>
        <w:jc w:val="both"/>
        <w:rPr>
          <w:bCs/>
          <w:color w:val="002060"/>
          <w:sz w:val="16"/>
          <w:szCs w:val="16"/>
        </w:rPr>
      </w:pPr>
      <w:r w:rsidRPr="00405303">
        <w:rPr>
          <w:bCs/>
          <w:color w:val="002060"/>
          <w:sz w:val="16"/>
          <w:szCs w:val="16"/>
          <w:lang w:bidi="ru-RU"/>
        </w:rPr>
        <w:t>28 декабря 1915 г. (10 янвпря 1916 г.) на</w:t>
      </w:r>
      <w:r w:rsidRPr="00405303">
        <w:rPr>
          <w:bCs/>
          <w:color w:val="002060"/>
          <w:sz w:val="16"/>
          <w:szCs w:val="16"/>
          <w:lang w:bidi="ru-RU"/>
        </w:rPr>
        <w:softHyphen/>
        <w:t>чались испытания первого опытного образца «Лебедь</w:t>
      </w:r>
      <w:r w:rsidRPr="00405303">
        <w:rPr>
          <w:bCs/>
          <w:color w:val="002060"/>
          <w:sz w:val="16"/>
          <w:szCs w:val="16"/>
          <w:lang w:bidi="en-US"/>
        </w:rPr>
        <w:t>-</w:t>
      </w:r>
      <w:r w:rsidRPr="00405303">
        <w:rPr>
          <w:bCs/>
          <w:color w:val="002060"/>
          <w:sz w:val="16"/>
          <w:szCs w:val="16"/>
          <w:lang w:val="en-US" w:bidi="en-US"/>
        </w:rPr>
        <w:t>XII</w:t>
      </w:r>
      <w:r w:rsidRPr="00405303">
        <w:rPr>
          <w:bCs/>
          <w:color w:val="002060"/>
          <w:sz w:val="16"/>
          <w:szCs w:val="16"/>
          <w:lang w:bidi="en-US"/>
        </w:rPr>
        <w:t xml:space="preserve">». </w:t>
      </w:r>
      <w:r w:rsidRPr="00405303">
        <w:rPr>
          <w:bCs/>
          <w:color w:val="002060"/>
          <w:sz w:val="16"/>
          <w:szCs w:val="16"/>
          <w:lang w:bidi="ru-RU"/>
        </w:rPr>
        <w:t>Их проводил летчик Гренадерского корпусного авиаот</w:t>
      </w:r>
      <w:r w:rsidRPr="00405303">
        <w:rPr>
          <w:bCs/>
          <w:color w:val="002060"/>
          <w:sz w:val="16"/>
          <w:szCs w:val="16"/>
          <w:lang w:bidi="ru-RU"/>
        </w:rPr>
        <w:softHyphen/>
        <w:t>ряда поручик Слепцов, откомандирован</w:t>
      </w:r>
      <w:r w:rsidRPr="00405303">
        <w:rPr>
          <w:bCs/>
          <w:color w:val="002060"/>
          <w:sz w:val="16"/>
          <w:szCs w:val="16"/>
          <w:lang w:bidi="ru-RU"/>
        </w:rPr>
        <w:softHyphen/>
        <w:t>ный по этому случаю с фронта. На следую</w:t>
      </w:r>
      <w:r w:rsidRPr="00405303">
        <w:rPr>
          <w:bCs/>
          <w:color w:val="002060"/>
          <w:sz w:val="16"/>
          <w:szCs w:val="16"/>
          <w:lang w:bidi="ru-RU"/>
        </w:rPr>
        <w:softHyphen/>
        <w:t>щий день он телеграфировал Августейш му заведующему авиацией и воздухоплава</w:t>
      </w:r>
      <w:r w:rsidRPr="00405303">
        <w:rPr>
          <w:bCs/>
          <w:color w:val="002060"/>
          <w:sz w:val="16"/>
          <w:szCs w:val="16"/>
          <w:lang w:bidi="ru-RU"/>
        </w:rPr>
        <w:softHyphen/>
        <w:t>нием в действующей армии великому кня</w:t>
      </w:r>
      <w:r w:rsidRPr="00405303">
        <w:rPr>
          <w:bCs/>
          <w:color w:val="002060"/>
          <w:sz w:val="16"/>
          <w:szCs w:val="16"/>
          <w:lang w:bidi="ru-RU"/>
        </w:rPr>
        <w:softHyphen/>
        <w:t>зю Александру Михайловичу: «Лебедь-ХН» с мотором «Сальмсон» лучше всех сущест</w:t>
      </w:r>
      <w:r w:rsidRPr="00405303">
        <w:rPr>
          <w:bCs/>
          <w:color w:val="002060"/>
          <w:sz w:val="16"/>
          <w:szCs w:val="16"/>
          <w:lang w:bidi="ru-RU"/>
        </w:rPr>
        <w:softHyphen/>
        <w:t>вующих аэропланов ... необходим немед</w:t>
      </w:r>
      <w:r w:rsidRPr="00405303">
        <w:rPr>
          <w:bCs/>
          <w:color w:val="002060"/>
          <w:sz w:val="16"/>
          <w:szCs w:val="16"/>
          <w:lang w:bidi="ru-RU"/>
        </w:rPr>
        <w:softHyphen/>
        <w:t>ленный заказ для боевых испытаний».</w:t>
      </w:r>
    </w:p>
    <w:p w14:paraId="514DA325" w14:textId="77777777" w:rsidR="00BB35D4" w:rsidRPr="00405303" w:rsidRDefault="00BB35D4" w:rsidP="00C15251">
      <w:pPr>
        <w:jc w:val="both"/>
        <w:rPr>
          <w:bCs/>
          <w:color w:val="002060"/>
          <w:sz w:val="16"/>
          <w:szCs w:val="16"/>
        </w:rPr>
      </w:pPr>
      <w:r w:rsidRPr="00405303">
        <w:rPr>
          <w:bCs/>
          <w:color w:val="002060"/>
          <w:sz w:val="16"/>
          <w:szCs w:val="16"/>
          <w:lang w:bidi="ru-RU"/>
        </w:rPr>
        <w:t>В дальнейшем в ходе испытательных по</w:t>
      </w:r>
      <w:r w:rsidRPr="00405303">
        <w:rPr>
          <w:bCs/>
          <w:color w:val="002060"/>
          <w:sz w:val="16"/>
          <w:szCs w:val="16"/>
          <w:lang w:bidi="ru-RU"/>
        </w:rPr>
        <w:softHyphen/>
        <w:t>летов была достигнута полетная скорость 120 км/ч, с полезной нагрузкой 350 кг са</w:t>
      </w:r>
      <w:r w:rsidRPr="00405303">
        <w:rPr>
          <w:bCs/>
          <w:color w:val="002060"/>
          <w:sz w:val="16"/>
          <w:szCs w:val="16"/>
          <w:lang w:bidi="ru-RU"/>
        </w:rPr>
        <w:softHyphen/>
        <w:t>молет набирал высоту 2000 м за 22 мин. Как положительное явление отмечалась жесткая установка двигателя и отсутствие вибраций. Выяснилось, что «Лебедь-ХН» имеет в сравнении с германским «Альбат</w:t>
      </w:r>
      <w:r w:rsidRPr="00405303">
        <w:rPr>
          <w:bCs/>
          <w:color w:val="002060"/>
          <w:sz w:val="16"/>
          <w:szCs w:val="16"/>
          <w:lang w:bidi="ru-RU"/>
        </w:rPr>
        <w:softHyphen/>
        <w:t>росом» больший запас летучести при 700 оборотах двигателя (полный газ), улучши</w:t>
      </w:r>
      <w:r w:rsidRPr="00405303">
        <w:rPr>
          <w:bCs/>
          <w:color w:val="002060"/>
          <w:sz w:val="16"/>
          <w:szCs w:val="16"/>
          <w:lang w:bidi="ru-RU"/>
        </w:rPr>
        <w:softHyphen/>
        <w:t>лись пилотажные характеристики, однако нагрузки на управление возросли, и следу</w:t>
      </w:r>
      <w:r w:rsidRPr="00405303">
        <w:rPr>
          <w:bCs/>
          <w:color w:val="002060"/>
          <w:sz w:val="16"/>
          <w:szCs w:val="16"/>
          <w:lang w:bidi="ru-RU"/>
        </w:rPr>
        <w:softHyphen/>
        <w:t>ет предпринять меры для их уменьшения. С целью устранения этих и других обнару</w:t>
      </w:r>
      <w:r w:rsidRPr="00405303">
        <w:rPr>
          <w:bCs/>
          <w:color w:val="002060"/>
          <w:sz w:val="16"/>
          <w:szCs w:val="16"/>
          <w:lang w:bidi="ru-RU"/>
        </w:rPr>
        <w:softHyphen/>
        <w:t>женных недостатков Слепцов рекомендо</w:t>
      </w:r>
      <w:r w:rsidRPr="00405303">
        <w:rPr>
          <w:bCs/>
          <w:color w:val="002060"/>
          <w:sz w:val="16"/>
          <w:szCs w:val="16"/>
          <w:lang w:bidi="ru-RU"/>
        </w:rPr>
        <w:softHyphen/>
        <w:t>вал переделать патрубки двигателя для от</w:t>
      </w:r>
      <w:r w:rsidRPr="00405303">
        <w:rPr>
          <w:bCs/>
          <w:color w:val="002060"/>
          <w:sz w:val="16"/>
          <w:szCs w:val="16"/>
          <w:lang w:bidi="ru-RU"/>
        </w:rPr>
        <w:softHyphen/>
        <w:t>вода выхлопных газов так, чтобы послед</w:t>
      </w:r>
      <w:r w:rsidRPr="00405303">
        <w:rPr>
          <w:bCs/>
          <w:color w:val="002060"/>
          <w:sz w:val="16"/>
          <w:szCs w:val="16"/>
          <w:lang w:bidi="ru-RU"/>
        </w:rPr>
        <w:softHyphen/>
        <w:t>ние не попадали в кабину, увеличить козырек летчика, поставить броню для эки</w:t>
      </w:r>
      <w:r w:rsidRPr="00405303">
        <w:rPr>
          <w:bCs/>
          <w:color w:val="002060"/>
          <w:sz w:val="16"/>
          <w:szCs w:val="16"/>
          <w:lang w:bidi="ru-RU"/>
        </w:rPr>
        <w:softHyphen/>
        <w:t>пажа.</w:t>
      </w:r>
    </w:p>
    <w:p w14:paraId="2A789B88" w14:textId="77777777" w:rsidR="00BB35D4" w:rsidRPr="00405303" w:rsidRDefault="00BB35D4" w:rsidP="00C15251">
      <w:pPr>
        <w:jc w:val="both"/>
        <w:rPr>
          <w:bCs/>
          <w:color w:val="002060"/>
          <w:sz w:val="16"/>
          <w:szCs w:val="16"/>
        </w:rPr>
      </w:pPr>
      <w:r w:rsidRPr="00405303">
        <w:rPr>
          <w:bCs/>
          <w:color w:val="002060"/>
          <w:sz w:val="16"/>
          <w:szCs w:val="16"/>
          <w:lang w:bidi="ru-RU"/>
        </w:rPr>
        <w:t>В.А. Лебедев, воодушевленный результа</w:t>
      </w:r>
      <w:r w:rsidRPr="00405303">
        <w:rPr>
          <w:bCs/>
          <w:color w:val="002060"/>
          <w:sz w:val="16"/>
          <w:szCs w:val="16"/>
          <w:lang w:bidi="ru-RU"/>
        </w:rPr>
        <w:softHyphen/>
        <w:t>тами испытаний, обещал великому князю, что полезная нагрузка нового самолета бу</w:t>
      </w:r>
      <w:r w:rsidRPr="00405303">
        <w:rPr>
          <w:bCs/>
          <w:color w:val="002060"/>
          <w:sz w:val="16"/>
          <w:szCs w:val="16"/>
          <w:lang w:bidi="ru-RU"/>
        </w:rPr>
        <w:softHyphen/>
        <w:t>дет выше, чем у французского «Вуазена» и что следующий экземпляр оснастят двумя пулеметными установками (23374).</w:t>
      </w:r>
    </w:p>
    <w:p w14:paraId="6FF3891E" w14:textId="77777777" w:rsidR="00BB35D4" w:rsidRPr="00405303" w:rsidRDefault="00BB35D4" w:rsidP="00C15251">
      <w:pPr>
        <w:jc w:val="both"/>
        <w:rPr>
          <w:bCs/>
          <w:color w:val="002060"/>
          <w:sz w:val="16"/>
          <w:szCs w:val="16"/>
        </w:rPr>
      </w:pPr>
    </w:p>
    <w:p w14:paraId="19138EB9" w14:textId="76EEAB90"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28 декабря 1915 </w:t>
      </w:r>
      <w:r w:rsidR="00557388" w:rsidRPr="00405303">
        <w:rPr>
          <w:bCs/>
          <w:color w:val="002060"/>
          <w:sz w:val="16"/>
          <w:szCs w:val="16"/>
        </w:rPr>
        <w:t xml:space="preserve">г. </w:t>
      </w:r>
      <w:r w:rsidRPr="00405303">
        <w:rPr>
          <w:bCs/>
          <w:color w:val="002060"/>
          <w:sz w:val="16"/>
          <w:szCs w:val="16"/>
        </w:rPr>
        <w:t>(10 января 1916</w:t>
      </w:r>
      <w:r w:rsidR="00557388" w:rsidRPr="00405303">
        <w:rPr>
          <w:bCs/>
          <w:color w:val="002060"/>
          <w:sz w:val="16"/>
          <w:szCs w:val="16"/>
        </w:rPr>
        <w:t xml:space="preserve"> г.</w:t>
      </w:r>
      <w:r w:rsidRPr="00405303">
        <w:rPr>
          <w:bCs/>
          <w:color w:val="002060"/>
          <w:sz w:val="16"/>
          <w:szCs w:val="16"/>
        </w:rPr>
        <w:t xml:space="preserve">) </w:t>
      </w:r>
      <w:r w:rsidR="00557388" w:rsidRPr="00405303">
        <w:rPr>
          <w:bCs/>
          <w:color w:val="002060"/>
          <w:sz w:val="16"/>
          <w:szCs w:val="16"/>
        </w:rPr>
        <w:t>состоялся п</w:t>
      </w:r>
      <w:r w:rsidRPr="00405303">
        <w:rPr>
          <w:bCs/>
          <w:color w:val="002060"/>
          <w:sz w:val="16"/>
          <w:szCs w:val="16"/>
        </w:rPr>
        <w:t>ервый полет самолета «Лебедь-12», построенного заводом В. А. Лебедева по образцу немецкого биплана «Альбатрос» с заменой Мерседес на Сальмсон (ЦГВИА, ф. 2008, оп. 1, д. 506, 509, 727). Построено 218 экземпляров (1137).</w:t>
      </w:r>
    </w:p>
    <w:p w14:paraId="1E5720A8" w14:textId="77777777" w:rsidR="004B4E35" w:rsidRPr="00405303" w:rsidRDefault="004B4E35" w:rsidP="00C15251">
      <w:pPr>
        <w:shd w:val="clear" w:color="auto" w:fill="FFFFFF"/>
        <w:jc w:val="both"/>
        <w:rPr>
          <w:bCs/>
          <w:color w:val="002060"/>
          <w:sz w:val="16"/>
          <w:szCs w:val="16"/>
        </w:rPr>
      </w:pPr>
    </w:p>
    <w:p w14:paraId="0F8C9185" w14:textId="657B0D9A"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28 декабря 1915 </w:t>
      </w:r>
      <w:r w:rsidR="00557388" w:rsidRPr="00405303">
        <w:rPr>
          <w:bCs/>
          <w:color w:val="002060"/>
          <w:sz w:val="16"/>
          <w:szCs w:val="16"/>
        </w:rPr>
        <w:t>г. (10 января 1916 г.) состоялся п</w:t>
      </w:r>
      <w:r w:rsidRPr="00405303">
        <w:rPr>
          <w:bCs/>
          <w:color w:val="002060"/>
          <w:sz w:val="16"/>
          <w:szCs w:val="16"/>
        </w:rPr>
        <w:t>ервый полет самолёта «Лебедь-12», построенного заводом В. А. Лебедева по образцу немецкого биплана «Альбатрос». Построено 218 экземпляров (11425).</w:t>
      </w:r>
    </w:p>
    <w:p w14:paraId="1EB74F8B" w14:textId="77777777" w:rsidR="004B4E35" w:rsidRPr="00405303" w:rsidRDefault="004B4E35" w:rsidP="00C15251">
      <w:pPr>
        <w:shd w:val="clear" w:color="auto" w:fill="FFFFFF"/>
        <w:jc w:val="both"/>
        <w:rPr>
          <w:bCs/>
          <w:color w:val="002060"/>
          <w:sz w:val="16"/>
          <w:szCs w:val="16"/>
        </w:rPr>
      </w:pPr>
    </w:p>
    <w:p w14:paraId="7973521F" w14:textId="49D97DF7" w:rsidR="004B4E35" w:rsidRPr="00405303" w:rsidRDefault="009E6F82" w:rsidP="00C15251">
      <w:pPr>
        <w:jc w:val="both"/>
        <w:rPr>
          <w:bCs/>
          <w:color w:val="002060"/>
          <w:sz w:val="16"/>
          <w:szCs w:val="16"/>
        </w:rPr>
      </w:pPr>
      <w:r w:rsidRPr="00405303">
        <w:rPr>
          <w:bCs/>
          <w:color w:val="002060"/>
          <w:sz w:val="16"/>
          <w:szCs w:val="16"/>
        </w:rPr>
        <w:t xml:space="preserve">28 декабря 1915 </w:t>
      </w:r>
      <w:r w:rsidR="00557388" w:rsidRPr="00405303">
        <w:rPr>
          <w:bCs/>
          <w:color w:val="002060"/>
          <w:sz w:val="16"/>
          <w:szCs w:val="16"/>
        </w:rPr>
        <w:t xml:space="preserve">г. </w:t>
      </w:r>
      <w:r w:rsidRPr="00405303">
        <w:rPr>
          <w:bCs/>
          <w:color w:val="002060"/>
          <w:sz w:val="16"/>
          <w:szCs w:val="16"/>
        </w:rPr>
        <w:t>(10 января 1916</w:t>
      </w:r>
      <w:r w:rsidR="00557388" w:rsidRPr="00405303">
        <w:rPr>
          <w:bCs/>
          <w:color w:val="002060"/>
          <w:sz w:val="16"/>
          <w:szCs w:val="16"/>
        </w:rPr>
        <w:t xml:space="preserve"> г.</w:t>
      </w:r>
      <w:r w:rsidRPr="00405303">
        <w:rPr>
          <w:bCs/>
          <w:color w:val="002060"/>
          <w:sz w:val="16"/>
          <w:szCs w:val="16"/>
        </w:rPr>
        <w:t>) начались испытания опытного Лебедь-12 с Сальмсоном 130 нр В.А.Лебедева, которые проводил л В.А.Слепцов, командированный с фронта. Решили сделать заказ войсковой серии. Испытания прервали из-за плохой погоды и для продолжения испытаний отправили по ж/д в Киев, а затем - в Одессу (2549,7).</w:t>
      </w:r>
    </w:p>
    <w:p w14:paraId="58226C2B" w14:textId="77777777" w:rsidR="004B4E35" w:rsidRPr="00405303" w:rsidRDefault="004B4E35" w:rsidP="00C15251">
      <w:pPr>
        <w:jc w:val="both"/>
        <w:rPr>
          <w:bCs/>
          <w:color w:val="002060"/>
          <w:sz w:val="16"/>
          <w:szCs w:val="16"/>
        </w:rPr>
      </w:pPr>
    </w:p>
    <w:p w14:paraId="4E0AC187" w14:textId="6C88C9D7" w:rsidR="004B4E35" w:rsidRPr="00405303" w:rsidRDefault="009E6F82" w:rsidP="00C15251">
      <w:pPr>
        <w:jc w:val="both"/>
        <w:rPr>
          <w:bCs/>
          <w:color w:val="002060"/>
          <w:sz w:val="16"/>
          <w:szCs w:val="16"/>
        </w:rPr>
      </w:pPr>
      <w:r w:rsidRPr="00405303">
        <w:rPr>
          <w:bCs/>
          <w:color w:val="002060"/>
          <w:sz w:val="16"/>
          <w:szCs w:val="16"/>
        </w:rPr>
        <w:t>28 декабря 1915 года (10 января 1916</w:t>
      </w:r>
      <w:r w:rsidR="00557388" w:rsidRPr="00405303">
        <w:rPr>
          <w:bCs/>
          <w:color w:val="002060"/>
          <w:sz w:val="16"/>
          <w:szCs w:val="16"/>
        </w:rPr>
        <w:t xml:space="preserve"> г.</w:t>
      </w:r>
      <w:r w:rsidRPr="00405303">
        <w:rPr>
          <w:bCs/>
          <w:color w:val="002060"/>
          <w:sz w:val="16"/>
          <w:szCs w:val="16"/>
        </w:rPr>
        <w:t>) был подготовлен АКТ ИСПЫТАНИЯ АЭРОПЛАНА «ЛЕБЕДЬ XII</w:t>
      </w:r>
    </w:p>
    <w:p w14:paraId="0DAF40DF" w14:textId="77777777" w:rsidR="004B4E35" w:rsidRPr="00405303" w:rsidRDefault="009E6F82" w:rsidP="00C15251">
      <w:pPr>
        <w:jc w:val="both"/>
        <w:rPr>
          <w:bCs/>
          <w:color w:val="002060"/>
          <w:sz w:val="16"/>
          <w:szCs w:val="16"/>
        </w:rPr>
      </w:pPr>
      <w:r w:rsidRPr="00405303">
        <w:rPr>
          <w:bCs/>
          <w:color w:val="002060"/>
          <w:sz w:val="16"/>
          <w:szCs w:val="16"/>
        </w:rPr>
        <w:t>28 декабря 1915 года мы, нижеподписавшиеся, присутствовали при испытании в полете военным летчиком поручиком Слепцовым аппарата «Лебедь XII», заводской номер 325, с мотором Сальмсон 130 л. с. № 611, сконструированного на заводе Акц. общества воздухопл. «В. А. Лебедев».</w:t>
      </w:r>
    </w:p>
    <w:p w14:paraId="175862E9" w14:textId="77777777" w:rsidR="004B4E35" w:rsidRPr="00405303" w:rsidRDefault="009E6F82" w:rsidP="00C15251">
      <w:pPr>
        <w:jc w:val="both"/>
        <w:rPr>
          <w:bCs/>
          <w:color w:val="002060"/>
          <w:sz w:val="16"/>
          <w:szCs w:val="16"/>
        </w:rPr>
      </w:pPr>
      <w:r w:rsidRPr="00405303">
        <w:rPr>
          <w:bCs/>
          <w:color w:val="002060"/>
          <w:sz w:val="16"/>
          <w:szCs w:val="16"/>
        </w:rPr>
        <w:t>Аппарат два раза взлетел, причем каждый полет продолжался около 15 минут.</w:t>
      </w:r>
    </w:p>
    <w:p w14:paraId="34D74B74" w14:textId="77777777" w:rsidR="004B4E35" w:rsidRPr="00405303" w:rsidRDefault="009E6F82" w:rsidP="00C15251">
      <w:pPr>
        <w:jc w:val="both"/>
        <w:rPr>
          <w:bCs/>
          <w:color w:val="002060"/>
          <w:sz w:val="16"/>
          <w:szCs w:val="16"/>
        </w:rPr>
      </w:pPr>
      <w:r w:rsidRPr="00405303">
        <w:rPr>
          <w:bCs/>
          <w:color w:val="002060"/>
          <w:sz w:val="16"/>
          <w:szCs w:val="16"/>
        </w:rPr>
        <w:t>Испытания производились при температуре -3° Реомюр, порывистом ветре и сплошной облачности на высоте 300 метров.</w:t>
      </w:r>
    </w:p>
    <w:p w14:paraId="42766D91" w14:textId="77777777" w:rsidR="004B4E35" w:rsidRPr="00405303" w:rsidRDefault="009E6F82" w:rsidP="00C15251">
      <w:pPr>
        <w:jc w:val="both"/>
        <w:rPr>
          <w:bCs/>
          <w:color w:val="002060"/>
          <w:sz w:val="16"/>
          <w:szCs w:val="16"/>
        </w:rPr>
      </w:pPr>
      <w:r w:rsidRPr="00405303">
        <w:rPr>
          <w:bCs/>
          <w:color w:val="002060"/>
          <w:sz w:val="16"/>
          <w:szCs w:val="16"/>
        </w:rPr>
        <w:t>Военным летчиком поручиком Слепцовым сделаны следующие указания:</w:t>
      </w:r>
    </w:p>
    <w:p w14:paraId="54563801" w14:textId="77777777" w:rsidR="004B4E35" w:rsidRPr="00405303" w:rsidRDefault="009E6F82" w:rsidP="00C15251">
      <w:pPr>
        <w:jc w:val="both"/>
        <w:rPr>
          <w:bCs/>
          <w:color w:val="002060"/>
          <w:sz w:val="16"/>
          <w:szCs w:val="16"/>
        </w:rPr>
      </w:pPr>
      <w:r w:rsidRPr="00405303">
        <w:rPr>
          <w:bCs/>
          <w:color w:val="002060"/>
          <w:sz w:val="16"/>
          <w:szCs w:val="16"/>
        </w:rPr>
        <w:t>1. Выхлопные трубы должны быть направлены вниз, чтобы отработанный газ не попадал в лицо пилота.</w:t>
      </w:r>
    </w:p>
    <w:p w14:paraId="0AAF6086" w14:textId="77777777" w:rsidR="004B4E35" w:rsidRPr="00405303" w:rsidRDefault="009E6F82" w:rsidP="00C15251">
      <w:pPr>
        <w:jc w:val="both"/>
        <w:rPr>
          <w:bCs/>
          <w:color w:val="002060"/>
          <w:sz w:val="16"/>
          <w:szCs w:val="16"/>
        </w:rPr>
      </w:pPr>
      <w:r w:rsidRPr="00405303">
        <w:rPr>
          <w:bCs/>
          <w:color w:val="002060"/>
          <w:sz w:val="16"/>
          <w:szCs w:val="16"/>
        </w:rPr>
        <w:t>2. Должны быть поставлены два козырька увеличенного типа. Нормальный козырек - пилоту и более увеличенный - пассажиру.</w:t>
      </w:r>
    </w:p>
    <w:p w14:paraId="0516A636" w14:textId="77777777" w:rsidR="004B4E35" w:rsidRPr="00405303" w:rsidRDefault="009E6F82" w:rsidP="00C15251">
      <w:pPr>
        <w:jc w:val="both"/>
        <w:rPr>
          <w:bCs/>
          <w:color w:val="002060"/>
          <w:sz w:val="16"/>
          <w:szCs w:val="16"/>
        </w:rPr>
      </w:pPr>
      <w:r w:rsidRPr="00405303">
        <w:rPr>
          <w:bCs/>
          <w:color w:val="002060"/>
          <w:sz w:val="16"/>
          <w:szCs w:val="16"/>
        </w:rPr>
        <w:t>3. Желательно иметь всегда расход бензина из главного бака, при постоянной возможности включения верхнего запасного бака.</w:t>
      </w:r>
    </w:p>
    <w:p w14:paraId="50F31B91" w14:textId="77777777" w:rsidR="004B4E35" w:rsidRPr="00405303" w:rsidRDefault="009E6F82" w:rsidP="00C15251">
      <w:pPr>
        <w:jc w:val="both"/>
        <w:rPr>
          <w:bCs/>
          <w:color w:val="002060"/>
          <w:sz w:val="16"/>
          <w:szCs w:val="16"/>
        </w:rPr>
      </w:pPr>
      <w:r w:rsidRPr="00405303">
        <w:rPr>
          <w:bCs/>
          <w:color w:val="002060"/>
          <w:sz w:val="16"/>
          <w:szCs w:val="16"/>
        </w:rPr>
        <w:t xml:space="preserve">4. Желательно уменьшить усилие летчика на штурвал при выравнивании кренов, по </w:t>
      </w:r>
      <w:proofErr w:type="gramStart"/>
      <w:r w:rsidRPr="00405303">
        <w:rPr>
          <w:bCs/>
          <w:color w:val="002060"/>
          <w:sz w:val="16"/>
          <w:szCs w:val="16"/>
        </w:rPr>
        <w:t>возможности</w:t>
      </w:r>
      <w:proofErr w:type="gramEnd"/>
      <w:r w:rsidRPr="00405303">
        <w:rPr>
          <w:bCs/>
          <w:color w:val="002060"/>
          <w:sz w:val="16"/>
          <w:szCs w:val="16"/>
        </w:rPr>
        <w:t xml:space="preserve"> не уменьшая чуткости аппарата.</w:t>
      </w:r>
    </w:p>
    <w:p w14:paraId="19755B20" w14:textId="77777777" w:rsidR="004B4E35" w:rsidRPr="00405303" w:rsidRDefault="009E6F82" w:rsidP="00C15251">
      <w:pPr>
        <w:jc w:val="both"/>
        <w:rPr>
          <w:bCs/>
          <w:color w:val="002060"/>
          <w:sz w:val="16"/>
          <w:szCs w:val="16"/>
        </w:rPr>
      </w:pPr>
      <w:r w:rsidRPr="00405303">
        <w:rPr>
          <w:bCs/>
          <w:color w:val="002060"/>
          <w:sz w:val="16"/>
          <w:szCs w:val="16"/>
        </w:rPr>
        <w:t>5. Ввиду грузоподъемности аппарата желательно поставить броню для пилота и для пассажира.</w:t>
      </w:r>
    </w:p>
    <w:p w14:paraId="46359F1C" w14:textId="77777777" w:rsidR="004B4E35" w:rsidRPr="00405303" w:rsidRDefault="009E6F82" w:rsidP="00C15251">
      <w:pPr>
        <w:jc w:val="both"/>
        <w:rPr>
          <w:bCs/>
          <w:color w:val="002060"/>
          <w:sz w:val="16"/>
          <w:szCs w:val="16"/>
        </w:rPr>
      </w:pPr>
      <w:r w:rsidRPr="00405303">
        <w:rPr>
          <w:bCs/>
          <w:color w:val="002060"/>
          <w:sz w:val="16"/>
          <w:szCs w:val="16"/>
        </w:rPr>
        <w:t>По мнению поручика Слепцова, аппарат «Лебедь XII» имеет в сравнении с оригинальным германским «Альбатросом» большой запас летучести. При 700 оборотах мотора (мотор меньше оборотов не давал) аппарат при посадке имел стремление взлететь.</w:t>
      </w:r>
    </w:p>
    <w:p w14:paraId="1225CFC3" w14:textId="77777777" w:rsidR="004B4E35" w:rsidRPr="00405303" w:rsidRDefault="009E6F82" w:rsidP="00C15251">
      <w:pPr>
        <w:jc w:val="both"/>
        <w:rPr>
          <w:bCs/>
          <w:color w:val="002060"/>
          <w:sz w:val="16"/>
          <w:szCs w:val="16"/>
        </w:rPr>
      </w:pPr>
      <w:r w:rsidRPr="00405303">
        <w:rPr>
          <w:bCs/>
          <w:color w:val="002060"/>
          <w:sz w:val="16"/>
          <w:szCs w:val="16"/>
        </w:rPr>
        <w:t>Четкость аппарата вследствие увеличения скорости возросла по сравнению с германским «Альбатросом».</w:t>
      </w:r>
    </w:p>
    <w:p w14:paraId="4FA03678" w14:textId="77777777" w:rsidR="004B4E35" w:rsidRPr="00405303" w:rsidRDefault="009E6F82" w:rsidP="00C15251">
      <w:pPr>
        <w:jc w:val="both"/>
        <w:rPr>
          <w:bCs/>
          <w:color w:val="002060"/>
          <w:sz w:val="16"/>
          <w:szCs w:val="16"/>
        </w:rPr>
      </w:pPr>
      <w:r w:rsidRPr="00405303">
        <w:rPr>
          <w:bCs/>
          <w:color w:val="002060"/>
          <w:sz w:val="16"/>
          <w:szCs w:val="16"/>
        </w:rPr>
        <w:t>При изменении угла полета аппарата (подъем, горизонтальный полет и спуск) нет вредной нагрузки на рули высоты.</w:t>
      </w:r>
    </w:p>
    <w:p w14:paraId="50567023" w14:textId="77777777" w:rsidR="004B4E35" w:rsidRPr="00405303" w:rsidRDefault="009E6F82" w:rsidP="00C15251">
      <w:pPr>
        <w:jc w:val="both"/>
        <w:rPr>
          <w:bCs/>
          <w:color w:val="002060"/>
          <w:sz w:val="16"/>
          <w:szCs w:val="16"/>
        </w:rPr>
      </w:pPr>
      <w:r w:rsidRPr="00405303">
        <w:rPr>
          <w:bCs/>
          <w:color w:val="002060"/>
          <w:sz w:val="16"/>
          <w:szCs w:val="16"/>
        </w:rPr>
        <w:t>Аппарат легко допускает крены, и выправляется из них без помощи руля направления действием одних элеронов.</w:t>
      </w:r>
    </w:p>
    <w:p w14:paraId="1F18C0B0" w14:textId="77777777" w:rsidR="004B4E35" w:rsidRPr="00405303" w:rsidRDefault="009E6F82" w:rsidP="00C15251">
      <w:pPr>
        <w:jc w:val="both"/>
        <w:rPr>
          <w:bCs/>
          <w:color w:val="002060"/>
          <w:sz w:val="16"/>
          <w:szCs w:val="16"/>
        </w:rPr>
      </w:pPr>
      <w:r w:rsidRPr="00405303">
        <w:rPr>
          <w:bCs/>
          <w:color w:val="002060"/>
          <w:sz w:val="16"/>
          <w:szCs w:val="16"/>
        </w:rPr>
        <w:lastRenderedPageBreak/>
        <w:t>В противоположность германским Альбатросам вибрации от работы мотора на этом аппарате не наблюдается.</w:t>
      </w:r>
    </w:p>
    <w:p w14:paraId="13A4EED7" w14:textId="77777777" w:rsidR="004B4E35" w:rsidRPr="00405303" w:rsidRDefault="009E6F82" w:rsidP="00C15251">
      <w:pPr>
        <w:jc w:val="both"/>
        <w:rPr>
          <w:bCs/>
          <w:color w:val="002060"/>
          <w:sz w:val="16"/>
          <w:szCs w:val="16"/>
        </w:rPr>
      </w:pPr>
      <w:r w:rsidRPr="00405303">
        <w:rPr>
          <w:bCs/>
          <w:color w:val="002060"/>
          <w:sz w:val="16"/>
          <w:szCs w:val="16"/>
        </w:rPr>
        <w:t>Естественная устойчивость аппарата очень хорошая: несмотря на порывистый ветер, аппарат выравнивается самостоятельно.</w:t>
      </w:r>
    </w:p>
    <w:p w14:paraId="396B6BD9" w14:textId="77777777" w:rsidR="004B4E35" w:rsidRPr="00405303" w:rsidRDefault="009E6F82" w:rsidP="00C15251">
      <w:pPr>
        <w:jc w:val="both"/>
        <w:rPr>
          <w:bCs/>
          <w:color w:val="002060"/>
          <w:sz w:val="16"/>
          <w:szCs w:val="16"/>
        </w:rPr>
      </w:pPr>
      <w:r w:rsidRPr="00405303">
        <w:rPr>
          <w:bCs/>
          <w:color w:val="002060"/>
          <w:sz w:val="16"/>
          <w:szCs w:val="16"/>
        </w:rPr>
        <w:t>Председатель комиссии</w:t>
      </w:r>
    </w:p>
    <w:p w14:paraId="69153115" w14:textId="77777777" w:rsidR="004B4E35" w:rsidRPr="00405303" w:rsidRDefault="009E6F82" w:rsidP="00C15251">
      <w:pPr>
        <w:jc w:val="both"/>
        <w:rPr>
          <w:bCs/>
          <w:color w:val="002060"/>
          <w:sz w:val="16"/>
          <w:szCs w:val="16"/>
        </w:rPr>
      </w:pPr>
      <w:r w:rsidRPr="00405303">
        <w:rPr>
          <w:bCs/>
          <w:color w:val="002060"/>
          <w:sz w:val="16"/>
          <w:szCs w:val="16"/>
        </w:rPr>
        <w:t>военный летчик, штабс-капитан Марков Члены: поручик Слепцов</w:t>
      </w:r>
    </w:p>
    <w:p w14:paraId="6D08D6E1" w14:textId="77777777" w:rsidR="004B4E35" w:rsidRPr="00405303" w:rsidRDefault="009E6F82" w:rsidP="00C15251">
      <w:pPr>
        <w:jc w:val="both"/>
        <w:rPr>
          <w:bCs/>
          <w:color w:val="002060"/>
          <w:sz w:val="16"/>
          <w:szCs w:val="16"/>
        </w:rPr>
      </w:pPr>
      <w:r w:rsidRPr="00405303">
        <w:rPr>
          <w:bCs/>
          <w:color w:val="002060"/>
          <w:sz w:val="16"/>
          <w:szCs w:val="16"/>
        </w:rPr>
        <w:t>поручик (подпись)</w:t>
      </w:r>
    </w:p>
    <w:p w14:paraId="0728774B" w14:textId="77777777" w:rsidR="004B4E35" w:rsidRPr="00405303" w:rsidRDefault="009E6F82" w:rsidP="00C15251">
      <w:pPr>
        <w:jc w:val="both"/>
        <w:rPr>
          <w:bCs/>
          <w:color w:val="002060"/>
          <w:sz w:val="16"/>
          <w:szCs w:val="16"/>
        </w:rPr>
      </w:pPr>
      <w:r w:rsidRPr="00405303">
        <w:rPr>
          <w:bCs/>
          <w:color w:val="002060"/>
          <w:sz w:val="16"/>
          <w:szCs w:val="16"/>
        </w:rPr>
        <w:t>поручик (подпись)</w:t>
      </w:r>
    </w:p>
    <w:p w14:paraId="36752DF8" w14:textId="77777777" w:rsidR="004B4E35" w:rsidRPr="00405303" w:rsidRDefault="009E6F82" w:rsidP="00C15251">
      <w:pPr>
        <w:jc w:val="both"/>
        <w:rPr>
          <w:bCs/>
          <w:color w:val="002060"/>
          <w:sz w:val="16"/>
          <w:szCs w:val="16"/>
        </w:rPr>
      </w:pPr>
      <w:r w:rsidRPr="00405303">
        <w:rPr>
          <w:bCs/>
          <w:color w:val="002060"/>
          <w:sz w:val="16"/>
          <w:szCs w:val="16"/>
        </w:rPr>
        <w:t>подпоручик (подпись)</w:t>
      </w:r>
    </w:p>
    <w:p w14:paraId="48716600" w14:textId="77777777" w:rsidR="004B4E35" w:rsidRPr="00405303" w:rsidRDefault="009E6F82" w:rsidP="00C15251">
      <w:pPr>
        <w:jc w:val="both"/>
        <w:rPr>
          <w:bCs/>
          <w:color w:val="002060"/>
          <w:sz w:val="16"/>
          <w:szCs w:val="16"/>
        </w:rPr>
      </w:pPr>
      <w:r w:rsidRPr="00405303">
        <w:rPr>
          <w:bCs/>
          <w:color w:val="002060"/>
          <w:sz w:val="16"/>
          <w:szCs w:val="16"/>
        </w:rPr>
        <w:t>подпоручик (подпись)</w:t>
      </w:r>
    </w:p>
    <w:p w14:paraId="4162DED9" w14:textId="77777777" w:rsidR="004B4E35" w:rsidRPr="00405303" w:rsidRDefault="009E6F82" w:rsidP="00C15251">
      <w:pPr>
        <w:jc w:val="both"/>
        <w:rPr>
          <w:bCs/>
          <w:color w:val="002060"/>
          <w:sz w:val="16"/>
          <w:szCs w:val="16"/>
        </w:rPr>
      </w:pPr>
      <w:r w:rsidRPr="00405303">
        <w:rPr>
          <w:bCs/>
          <w:color w:val="002060"/>
          <w:sz w:val="16"/>
          <w:szCs w:val="16"/>
        </w:rPr>
        <w:t>При испытании присутствовали от завода: Лебедев, Шкульник, Михайлов. Петроград, Комендантский аэродром (9790).</w:t>
      </w:r>
    </w:p>
    <w:p w14:paraId="090C044D" w14:textId="77777777" w:rsidR="004B4E35" w:rsidRPr="00405303" w:rsidRDefault="004B4E35" w:rsidP="00C15251">
      <w:pPr>
        <w:jc w:val="both"/>
        <w:rPr>
          <w:bCs/>
          <w:color w:val="002060"/>
          <w:sz w:val="16"/>
          <w:szCs w:val="16"/>
        </w:rPr>
      </w:pPr>
    </w:p>
    <w:p w14:paraId="2D0DACCE" w14:textId="35CB0A73" w:rsidR="004B4E35" w:rsidRPr="00405303" w:rsidRDefault="009E6F82" w:rsidP="00C15251">
      <w:pPr>
        <w:jc w:val="both"/>
        <w:rPr>
          <w:bCs/>
          <w:color w:val="002060"/>
          <w:sz w:val="16"/>
          <w:szCs w:val="16"/>
        </w:rPr>
      </w:pPr>
      <w:r w:rsidRPr="00405303">
        <w:rPr>
          <w:bCs/>
          <w:color w:val="002060"/>
          <w:sz w:val="16"/>
          <w:szCs w:val="16"/>
        </w:rPr>
        <w:t>28 декабря 1915 г. (10 января 1916</w:t>
      </w:r>
      <w:r w:rsidR="00557388" w:rsidRPr="00405303">
        <w:rPr>
          <w:bCs/>
          <w:color w:val="002060"/>
          <w:sz w:val="16"/>
          <w:szCs w:val="16"/>
        </w:rPr>
        <w:t xml:space="preserve"> г.</w:t>
      </w:r>
      <w:r w:rsidRPr="00405303">
        <w:rPr>
          <w:bCs/>
          <w:color w:val="002060"/>
          <w:sz w:val="16"/>
          <w:szCs w:val="16"/>
        </w:rPr>
        <w:t>)</w:t>
      </w:r>
      <w:r w:rsidR="00557388" w:rsidRPr="00405303">
        <w:rPr>
          <w:bCs/>
          <w:color w:val="002060"/>
          <w:sz w:val="16"/>
          <w:szCs w:val="16"/>
        </w:rPr>
        <w:t xml:space="preserve"> </w:t>
      </w:r>
      <w:r w:rsidR="001E33EB" w:rsidRPr="00405303">
        <w:rPr>
          <w:bCs/>
          <w:color w:val="002060"/>
          <w:sz w:val="16"/>
          <w:szCs w:val="16"/>
        </w:rPr>
        <w:t>п</w:t>
      </w:r>
      <w:r w:rsidR="00557388" w:rsidRPr="00405303">
        <w:rPr>
          <w:bCs/>
          <w:color w:val="002060"/>
          <w:sz w:val="16"/>
          <w:szCs w:val="16"/>
        </w:rPr>
        <w:t>рототип аэроплана "Лебедь 12" с мотором "Сальмсон" 130 л.с. был впервые испытан поручиком В.А. Слепцовым</w:t>
      </w:r>
      <w:r w:rsidRPr="00405303">
        <w:rPr>
          <w:bCs/>
          <w:color w:val="002060"/>
          <w:sz w:val="16"/>
          <w:szCs w:val="16"/>
        </w:rPr>
        <w:t>, а затем машина летала с двигателями той же марки, но большей мощности - 140 и 150 л.с. После соответствующего предложения компании, 19 апреля 1916 г. Военное ведомство выдало ей большой заказ на 225 разведчи</w:t>
      </w:r>
      <w:r w:rsidRPr="00405303">
        <w:rPr>
          <w:bCs/>
          <w:color w:val="002060"/>
          <w:sz w:val="16"/>
          <w:szCs w:val="16"/>
        </w:rPr>
        <w:softHyphen/>
        <w:t>ков "Лебедь 12", но, согласно В.Б. Шаврову, только 216 самолетов были построены и оп</w:t>
      </w:r>
      <w:r w:rsidRPr="00405303">
        <w:rPr>
          <w:bCs/>
          <w:color w:val="002060"/>
          <w:sz w:val="16"/>
          <w:szCs w:val="16"/>
        </w:rPr>
        <w:softHyphen/>
        <w:t>робованы до 1 марта 1919 г. и только 192 из них приняты. Во фронтовых частях модель зарекомендовала себя далеко не с лучшей стороны. Она оказалась сложна в управлении, иногда неспровоцированно и фатально затягивалась в пикирование и, более того, выхлопные газы нередко проникали внутрь фюзеляжа, что в некоторых случаях приводило к пожарам. Из-за своих недостатков самолет "Лебедь 12" перестал использоваться в авиаотрядах пере</w:t>
      </w:r>
      <w:r w:rsidRPr="00405303">
        <w:rPr>
          <w:bCs/>
          <w:color w:val="002060"/>
          <w:sz w:val="16"/>
          <w:szCs w:val="16"/>
        </w:rPr>
        <w:softHyphen/>
        <w:t>довой линии, сделавшись школьной машиной и пролетав несмотря ни на что до 1924 г. (2843).</w:t>
      </w:r>
    </w:p>
    <w:p w14:paraId="00AB2279" w14:textId="77777777" w:rsidR="004B4E35" w:rsidRPr="00405303" w:rsidRDefault="004B4E35" w:rsidP="00C15251">
      <w:pPr>
        <w:jc w:val="both"/>
        <w:rPr>
          <w:bCs/>
          <w:color w:val="002060"/>
          <w:sz w:val="16"/>
          <w:szCs w:val="16"/>
        </w:rPr>
      </w:pPr>
    </w:p>
    <w:p w14:paraId="405621F2" w14:textId="5AC01485" w:rsidR="004B4E35" w:rsidRPr="00405303" w:rsidRDefault="009E6F82" w:rsidP="00C15251">
      <w:pPr>
        <w:jc w:val="both"/>
        <w:rPr>
          <w:bCs/>
          <w:color w:val="002060"/>
          <w:sz w:val="16"/>
          <w:szCs w:val="16"/>
        </w:rPr>
      </w:pPr>
      <w:r w:rsidRPr="00405303">
        <w:rPr>
          <w:bCs/>
          <w:color w:val="002060"/>
          <w:sz w:val="16"/>
          <w:szCs w:val="16"/>
        </w:rPr>
        <w:t xml:space="preserve">28 декабря 1915 </w:t>
      </w:r>
      <w:r w:rsidR="001E33EB" w:rsidRPr="00405303">
        <w:rPr>
          <w:bCs/>
          <w:color w:val="002060"/>
          <w:sz w:val="16"/>
          <w:szCs w:val="16"/>
        </w:rPr>
        <w:t xml:space="preserve">г. </w:t>
      </w:r>
      <w:r w:rsidRPr="00405303">
        <w:rPr>
          <w:bCs/>
          <w:color w:val="002060"/>
          <w:sz w:val="16"/>
          <w:szCs w:val="16"/>
        </w:rPr>
        <w:t>(10 января 1916</w:t>
      </w:r>
      <w:r w:rsidR="001E33EB" w:rsidRPr="00405303">
        <w:rPr>
          <w:bCs/>
          <w:color w:val="002060"/>
          <w:sz w:val="16"/>
          <w:szCs w:val="16"/>
        </w:rPr>
        <w:t xml:space="preserve"> г.</w:t>
      </w:r>
      <w:r w:rsidRPr="00405303">
        <w:rPr>
          <w:bCs/>
          <w:color w:val="002060"/>
          <w:sz w:val="16"/>
          <w:szCs w:val="16"/>
        </w:rPr>
        <w:t>) Авиакомитет БФ обсуждал вопрос о летных и боевых качествах "лодки Виллиша с Моносупан 100 нр, модель 1914". Это машина Виллиш ВМ-1 (морской) Ю.А.Виллиша, построенной на заводе Эбергарда (2843,28).</w:t>
      </w:r>
    </w:p>
    <w:p w14:paraId="43611E47" w14:textId="77777777" w:rsidR="004B4E35" w:rsidRPr="00405303" w:rsidRDefault="004B4E35" w:rsidP="00C15251">
      <w:pPr>
        <w:jc w:val="both"/>
        <w:rPr>
          <w:bCs/>
          <w:color w:val="002060"/>
          <w:sz w:val="16"/>
          <w:szCs w:val="16"/>
        </w:rPr>
      </w:pPr>
    </w:p>
    <w:p w14:paraId="7FD3552B" w14:textId="4C673A01" w:rsidR="004B4E35" w:rsidRPr="00405303" w:rsidRDefault="009E6F82" w:rsidP="00C15251">
      <w:pPr>
        <w:shd w:val="clear" w:color="auto" w:fill="FFFFFF"/>
        <w:jc w:val="both"/>
        <w:rPr>
          <w:bCs/>
          <w:color w:val="002060"/>
          <w:sz w:val="16"/>
          <w:szCs w:val="16"/>
        </w:rPr>
      </w:pPr>
      <w:r w:rsidRPr="00405303">
        <w:rPr>
          <w:bCs/>
          <w:color w:val="002060"/>
          <w:sz w:val="16"/>
          <w:szCs w:val="16"/>
        </w:rPr>
        <w:t>28 декабря 1915 г. (10 января 1916</w:t>
      </w:r>
      <w:r w:rsidR="001E33EB" w:rsidRPr="00405303">
        <w:rPr>
          <w:bCs/>
          <w:color w:val="002060"/>
          <w:sz w:val="16"/>
          <w:szCs w:val="16"/>
        </w:rPr>
        <w:t xml:space="preserve"> г)</w:t>
      </w:r>
      <w:r w:rsidRPr="00405303">
        <w:rPr>
          <w:bCs/>
          <w:color w:val="002060"/>
          <w:sz w:val="16"/>
          <w:szCs w:val="16"/>
        </w:rPr>
        <w:t xml:space="preserve"> Авиационный комитет Балтийского флота обсуждал вопрос о летных и боевых качествах "лодки Виллиша с мотором Моносупап 100 л.с. модель 1914 г."; пред</w:t>
      </w:r>
      <w:r w:rsidRPr="00405303">
        <w:rPr>
          <w:bCs/>
          <w:color w:val="002060"/>
          <w:sz w:val="16"/>
          <w:szCs w:val="16"/>
        </w:rPr>
        <w:softHyphen/>
        <w:t>стояло решить, нужны ли подобные аппараты на Балтике. Четверо авиаторов, принимавших участие в заседании, констатировали, что задачу создания самолета изобретатель решил хорошо, ибо при взлете лодка очень легко отрывалась от воды, а при посадке продолжала "рикошетировать" даже при малой скорости, что указывало на удачную форму корпуса. С полезным грузом 350 кг аэроплан без труда набирал высоту, а на виражах выдерживал крен более 45°, что являлось признаком его высоких аэродинамических качеств. Результа</w:t>
      </w:r>
      <w:r w:rsidRPr="00405303">
        <w:rPr>
          <w:bCs/>
          <w:color w:val="002060"/>
          <w:sz w:val="16"/>
          <w:szCs w:val="16"/>
        </w:rPr>
        <w:softHyphen/>
        <w:t>том сказанного стал вывод о том, что конструктор был опытен и заслуживал доверия Ави</w:t>
      </w:r>
      <w:r w:rsidRPr="00405303">
        <w:rPr>
          <w:bCs/>
          <w:color w:val="002060"/>
          <w:sz w:val="16"/>
          <w:szCs w:val="16"/>
        </w:rPr>
        <w:softHyphen/>
        <w:t>ационного комитета.</w:t>
      </w:r>
    </w:p>
    <w:p w14:paraId="6977487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протокол занесли и то, что испытания опытного прототипа были прерваны туманами и наносным льдом, не позволившими определить горизонтальную скорость, скороподъем</w:t>
      </w:r>
      <w:r w:rsidRPr="00405303">
        <w:rPr>
          <w:bCs/>
          <w:color w:val="002060"/>
          <w:sz w:val="16"/>
          <w:szCs w:val="16"/>
        </w:rPr>
        <w:softHyphen/>
        <w:t>ность и полезность использования переменного угла установки крыльев. Подвижная бип-ланная коробка могла оказаться ценным нововведением для достижения больших вертикаль</w:t>
      </w:r>
      <w:r w:rsidRPr="00405303">
        <w:rPr>
          <w:bCs/>
          <w:color w:val="002060"/>
          <w:sz w:val="16"/>
          <w:szCs w:val="16"/>
        </w:rPr>
        <w:softHyphen/>
        <w:t>ных и горизонтальных скоростей, уменьшения посадочной скорости и т.д., но в то же время она вела к усложнению, утяжелению и, возможно, ослаблению конструкции. Что касалось необычной двигательной установки, то никакой выгоды от нее не наблюдалось, тогда как система реданов имела и плюсы, и минусы. С одной стороны, она упрощала взлет, но с другой — делала ремонт корпуса значительно сложнее даже при небольших повреждениях; так как первое свойство оценивалось важнее второго, то наличие 5 реданов все-таки отнесли к разряду достоинств (2843).</w:t>
      </w:r>
    </w:p>
    <w:p w14:paraId="20248C40" w14:textId="77777777" w:rsidR="004B4E35" w:rsidRPr="00405303" w:rsidRDefault="004B4E35" w:rsidP="00C15251">
      <w:pPr>
        <w:shd w:val="clear" w:color="auto" w:fill="FFFFFF"/>
        <w:jc w:val="both"/>
        <w:rPr>
          <w:bCs/>
          <w:color w:val="002060"/>
          <w:sz w:val="16"/>
          <w:szCs w:val="16"/>
        </w:rPr>
      </w:pPr>
    </w:p>
    <w:p w14:paraId="35252680" w14:textId="6202B963" w:rsidR="004B4E35" w:rsidRPr="00405303" w:rsidRDefault="009E6F82" w:rsidP="00C15251">
      <w:pPr>
        <w:shd w:val="clear" w:color="auto" w:fill="FFFFFF"/>
        <w:jc w:val="both"/>
        <w:rPr>
          <w:bCs/>
          <w:color w:val="002060"/>
          <w:sz w:val="16"/>
          <w:szCs w:val="16"/>
        </w:rPr>
      </w:pPr>
      <w:r w:rsidRPr="00405303">
        <w:rPr>
          <w:bCs/>
          <w:color w:val="002060"/>
          <w:sz w:val="16"/>
          <w:szCs w:val="16"/>
        </w:rPr>
        <w:t>28 декабря 1915 г. (10 января 1916</w:t>
      </w:r>
      <w:r w:rsidR="001E33EB" w:rsidRPr="00405303">
        <w:rPr>
          <w:bCs/>
          <w:color w:val="002060"/>
          <w:sz w:val="16"/>
          <w:szCs w:val="16"/>
        </w:rPr>
        <w:t xml:space="preserve"> г.</w:t>
      </w:r>
      <w:r w:rsidRPr="00405303">
        <w:rPr>
          <w:bCs/>
          <w:color w:val="002060"/>
          <w:sz w:val="16"/>
          <w:szCs w:val="16"/>
        </w:rPr>
        <w:t>) А.Ю. Виллиш получил инструкции "построить гидроаэроплан его системы корабель</w:t>
      </w:r>
      <w:r w:rsidRPr="00405303">
        <w:rPr>
          <w:bCs/>
          <w:color w:val="002060"/>
          <w:sz w:val="16"/>
          <w:szCs w:val="16"/>
        </w:rPr>
        <w:softHyphen/>
        <w:t>ного типа, но без переменного угла атаки несущих плоскостей", и далее о том, что теперь, после успешных испытаний щетининской М-9, "препятствий ... к устройству переменного угла атаки на аппарате его конструкции не встречается". Корабельный тип был, конечно же, гидроаэропланом ВМ-2, в то время как новая и большая модель, над которой Виллиш, вероятно, действительно работал в течение какого-то времени, могла быть летающей лодкой ВМ-3. Однако, прямых подтверждений этому не обнаружено, а потому сейчас только и ос</w:t>
      </w:r>
      <w:r w:rsidRPr="00405303">
        <w:rPr>
          <w:bCs/>
          <w:color w:val="002060"/>
          <w:sz w:val="16"/>
          <w:szCs w:val="16"/>
        </w:rPr>
        <w:softHyphen/>
        <w:t>тается, что повторить еще раз уже упоминавшиеся ранее спецификации (2843).</w:t>
      </w:r>
    </w:p>
    <w:p w14:paraId="6D42DFA1" w14:textId="77777777" w:rsidR="004B4E35" w:rsidRPr="00405303" w:rsidRDefault="004B4E35" w:rsidP="00C15251">
      <w:pPr>
        <w:shd w:val="clear" w:color="auto" w:fill="FFFFFF"/>
        <w:jc w:val="both"/>
        <w:rPr>
          <w:bCs/>
          <w:color w:val="002060"/>
          <w:sz w:val="16"/>
          <w:szCs w:val="16"/>
        </w:rPr>
      </w:pPr>
    </w:p>
    <w:p w14:paraId="398A093E" w14:textId="52918F58" w:rsidR="004B4E35" w:rsidRPr="00405303" w:rsidRDefault="009E6F82" w:rsidP="00C15251">
      <w:pPr>
        <w:shd w:val="clear" w:color="auto" w:fill="FFFFFF"/>
        <w:jc w:val="both"/>
        <w:rPr>
          <w:bCs/>
          <w:color w:val="002060"/>
          <w:sz w:val="16"/>
          <w:szCs w:val="16"/>
        </w:rPr>
      </w:pPr>
      <w:r w:rsidRPr="00405303">
        <w:rPr>
          <w:bCs/>
          <w:color w:val="002060"/>
          <w:sz w:val="16"/>
          <w:szCs w:val="16"/>
        </w:rPr>
        <w:t>28 декабря 1915 г. (10 января 1916</w:t>
      </w:r>
      <w:r w:rsidR="001E33EB" w:rsidRPr="00405303">
        <w:rPr>
          <w:bCs/>
          <w:color w:val="002060"/>
          <w:sz w:val="16"/>
          <w:szCs w:val="16"/>
        </w:rPr>
        <w:t xml:space="preserve"> г.</w:t>
      </w:r>
      <w:r w:rsidRPr="00405303">
        <w:rPr>
          <w:bCs/>
          <w:color w:val="002060"/>
          <w:sz w:val="16"/>
          <w:szCs w:val="16"/>
        </w:rPr>
        <w:t>) А.Ю. Виллиш получил инструкции "построить гидроаэроплан его системы корабель</w:t>
      </w:r>
      <w:r w:rsidRPr="00405303">
        <w:rPr>
          <w:bCs/>
          <w:color w:val="002060"/>
          <w:sz w:val="16"/>
          <w:szCs w:val="16"/>
        </w:rPr>
        <w:softHyphen/>
        <w:t>ного типа, но без переменного угла атаки несущих плоскостей", и далее о том, что теперь, после успешных испытаний щетининской М-9, "препятствий ... к устройству переменного угла атаки на аппарате его конструкции не встречается". Корабельный тип был, конечно же, гидроаэропланом ВМ-2, в то время как новая и большая модель, над которой Виллиш, вероятно, действительно работал в течение какого-то времени, могла быть летающей лодкой ВМ-3. Однако, прямых подтверждений этому не обнаружено, а потому сейчас только и ос</w:t>
      </w:r>
      <w:r w:rsidRPr="00405303">
        <w:rPr>
          <w:bCs/>
          <w:color w:val="002060"/>
          <w:sz w:val="16"/>
          <w:szCs w:val="16"/>
        </w:rPr>
        <w:softHyphen/>
        <w:t>тается, что повторить еще раз уже упоминавшиеся ранее спецификации (2843).</w:t>
      </w:r>
    </w:p>
    <w:p w14:paraId="7F915CC5" w14:textId="77777777" w:rsidR="004B4E35" w:rsidRPr="00405303" w:rsidRDefault="004B4E35" w:rsidP="00C15251">
      <w:pPr>
        <w:shd w:val="clear" w:color="auto" w:fill="FFFFFF"/>
        <w:jc w:val="both"/>
        <w:rPr>
          <w:bCs/>
          <w:color w:val="002060"/>
          <w:sz w:val="16"/>
          <w:szCs w:val="16"/>
        </w:rPr>
      </w:pPr>
    </w:p>
    <w:p w14:paraId="6310BB4B" w14:textId="77777777" w:rsidR="00AB1CDC" w:rsidRPr="00405303" w:rsidRDefault="00AB1CDC" w:rsidP="00C15251">
      <w:pPr>
        <w:jc w:val="both"/>
        <w:rPr>
          <w:bCs/>
          <w:color w:val="002060"/>
          <w:sz w:val="16"/>
          <w:szCs w:val="16"/>
        </w:rPr>
      </w:pPr>
      <w:r w:rsidRPr="00405303">
        <w:rPr>
          <w:bCs/>
          <w:color w:val="002060"/>
          <w:sz w:val="16"/>
          <w:szCs w:val="16"/>
        </w:rPr>
        <w:t>28 декабря 1915 г. (10 января 1916 г.) военным летчиком В.А.Слепцовым испытывалась первая машина самолет с двигателем «Сальмсон» мощностью 150 л. с. «Лебедь-12», сконструированная по образцу захваченного Альбатроса.. В акте по поводу этого испытания сказано: «По мнению поручика Слепцова, аппарат «Лебедь-12» имеет в сравнении с оригинальным германским «Альбатросом» большой запас летучести при 700 оборотах мотора (мотор меньше оборотов не давал), аппарат при посадке имел стремление взлететь. Чуткость аппарата вследствие увеличения скорости возросла по сравнению с германским «Альбатросом». Отмечалось также, что «в противоположность германским «Альбатросам» вибрации от работы мотора на этом аппарате не наблюдается». Одновременно был сделан ряд замечаний, которые требовалось учесть при постройке последующих машин. В частности, предлагалось бронировать кабины пилота и наблюдателя (9705). Как показал опыт, самолет легко переходил в пикирование, из которого с трудом выходил. На фронте от него отказывались (ЦГВИА, ф. 2008, оп. 1, д. 506, 509, 727).</w:t>
      </w:r>
    </w:p>
    <w:p w14:paraId="13EE1274" w14:textId="77777777" w:rsidR="00AB1CDC" w:rsidRPr="00405303" w:rsidRDefault="00AB1CDC" w:rsidP="00C15251">
      <w:pPr>
        <w:jc w:val="both"/>
        <w:rPr>
          <w:bCs/>
          <w:color w:val="002060"/>
          <w:sz w:val="16"/>
          <w:szCs w:val="16"/>
        </w:rPr>
      </w:pPr>
    </w:p>
    <w:p w14:paraId="2F469654" w14:textId="77777777" w:rsidR="00AB1CDC" w:rsidRPr="00405303" w:rsidRDefault="00AB1CDC" w:rsidP="00C15251">
      <w:pPr>
        <w:shd w:val="clear" w:color="auto" w:fill="FFFFFF"/>
        <w:jc w:val="both"/>
        <w:rPr>
          <w:bCs/>
          <w:color w:val="002060"/>
          <w:sz w:val="16"/>
          <w:szCs w:val="16"/>
        </w:rPr>
      </w:pPr>
      <w:r w:rsidRPr="00405303">
        <w:rPr>
          <w:bCs/>
          <w:color w:val="002060"/>
          <w:sz w:val="16"/>
          <w:szCs w:val="16"/>
        </w:rPr>
        <w:t>28 декабря 1915 г. (10 января 1916 г.) в Петрограде состоялся первый испытательный полет самолета "Лебедь- 12", построенного заводом В.А.Лебедева по образцу немецкого трофейного биплана "Альбатрос", но с заменой двигателя Мерседес- на Сальмсон в 150 л.с. Испытания,проведен-ге летчиком В.А.Слепцовым, показали, что самолет "имеет в сра</w:t>
      </w:r>
      <w:r w:rsidRPr="00405303">
        <w:rPr>
          <w:bCs/>
          <w:color w:val="002060"/>
          <w:sz w:val="16"/>
          <w:szCs w:val="16"/>
        </w:rPr>
        <w:softHyphen/>
        <w:t>внении с оригинальным германским Альбатросом большой запас летучеоти". Однако, как показал опыт, самолет имел плохие летные качества, легко переходил в пикирование, из которого трудно выходил. На фронте от него отказывались, тем не менее он был вьшущен в большом количестве (218 экземпляров) (ЦГВИА. ф.2008, оп.1, д.506; д.509; д.727).</w:t>
      </w:r>
    </w:p>
    <w:p w14:paraId="4201D21B" w14:textId="77777777" w:rsidR="00AB1CDC" w:rsidRPr="00405303" w:rsidRDefault="00AB1CDC" w:rsidP="00C15251">
      <w:pPr>
        <w:shd w:val="clear" w:color="auto" w:fill="FFFFFF"/>
        <w:jc w:val="both"/>
        <w:rPr>
          <w:bCs/>
          <w:color w:val="002060"/>
          <w:sz w:val="16"/>
          <w:szCs w:val="16"/>
        </w:rPr>
      </w:pPr>
    </w:p>
    <w:p w14:paraId="13FF9A4F" w14:textId="77777777" w:rsidR="00AB1CDC" w:rsidRPr="00405303" w:rsidRDefault="00AB1CDC" w:rsidP="00C15251">
      <w:pPr>
        <w:jc w:val="both"/>
        <w:rPr>
          <w:bCs/>
          <w:color w:val="002060"/>
          <w:sz w:val="16"/>
          <w:szCs w:val="16"/>
        </w:rPr>
      </w:pPr>
      <w:r w:rsidRPr="00405303">
        <w:rPr>
          <w:bCs/>
          <w:color w:val="002060"/>
          <w:sz w:val="16"/>
          <w:szCs w:val="16"/>
        </w:rPr>
        <w:t>28 декабря 1915 г. (10 января 1916 г.) в Петрограде состоялся первый испытательный полет самолета "Лебедь-12", построенного заводом В. А.Лебедева по образцу немецкого /трофейного/ биплана "Альбатрос", но с заменой мотора Мерседес на Сальмсон 150 л .с. Испытания, проведенные летчиком В.А.Слеп</w:t>
      </w:r>
      <w:r w:rsidRPr="00405303">
        <w:rPr>
          <w:bCs/>
          <w:color w:val="002060"/>
          <w:sz w:val="16"/>
          <w:szCs w:val="16"/>
        </w:rPr>
        <w:softHyphen/>
        <w:t>цовым, показали, что самолет "имеет в сравнении с оригинальным германским Альбатросом большой запас летучести". Однако, как показал опыт, самолет имел плохие летные качества, легко переходил в штопор и пикирование, из которого трудно выходил. На фронте от него отказывались, тем не менее он выпускался в большом количестве.</w:t>
      </w:r>
    </w:p>
    <w:p w14:paraId="4FCF8E02" w14:textId="77777777" w:rsidR="00AB1CDC" w:rsidRPr="00405303" w:rsidRDefault="00AB1CDC" w:rsidP="00C15251">
      <w:pPr>
        <w:jc w:val="both"/>
        <w:rPr>
          <w:bCs/>
          <w:color w:val="002060"/>
          <w:sz w:val="16"/>
          <w:szCs w:val="16"/>
        </w:rPr>
      </w:pPr>
      <w:r w:rsidRPr="00405303">
        <w:rPr>
          <w:bCs/>
          <w:color w:val="002060"/>
          <w:sz w:val="16"/>
          <w:szCs w:val="16"/>
        </w:rPr>
        <w:t>/ЦГВИА/ (23320).</w:t>
      </w:r>
    </w:p>
    <w:p w14:paraId="6887BD3D" w14:textId="10092FBF" w:rsidR="00AB1CDC" w:rsidRPr="00405303" w:rsidRDefault="00AB1CDC" w:rsidP="00C15251">
      <w:pPr>
        <w:jc w:val="both"/>
        <w:rPr>
          <w:bCs/>
          <w:color w:val="002060"/>
          <w:sz w:val="16"/>
          <w:szCs w:val="16"/>
        </w:rPr>
      </w:pPr>
    </w:p>
    <w:p w14:paraId="3DC90894" w14:textId="491EE917" w:rsidR="006A33D4" w:rsidRPr="00405303" w:rsidRDefault="006A33D4" w:rsidP="00C15251">
      <w:pPr>
        <w:jc w:val="both"/>
        <w:rPr>
          <w:color w:val="002060"/>
          <w:sz w:val="16"/>
          <w:szCs w:val="16"/>
        </w:rPr>
      </w:pPr>
      <w:r w:rsidRPr="00405303">
        <w:rPr>
          <w:bCs/>
          <w:color w:val="002060"/>
          <w:sz w:val="16"/>
          <w:szCs w:val="16"/>
        </w:rPr>
        <w:t xml:space="preserve">28 декабря 1915 г. (10 января 1916 г.) </w:t>
      </w:r>
      <w:r w:rsidRPr="00405303">
        <w:rPr>
          <w:color w:val="002060"/>
          <w:sz w:val="16"/>
          <w:szCs w:val="16"/>
          <w:lang w:bidi="en-US"/>
        </w:rPr>
        <w:t>в Петрограде состоялся первый полет прототипа биплана «Лебедев-12» с летчиком Поручиком Слепцовым. Первый серийный образец был испытан в Петрограде 4 августа. К октябрю было доставлено около десяти, которые действовали на фронте (23525).</w:t>
      </w:r>
    </w:p>
    <w:p w14:paraId="645AFAEB" w14:textId="77777777" w:rsidR="006A33D4" w:rsidRPr="00405303" w:rsidRDefault="006A33D4" w:rsidP="00C15251">
      <w:pPr>
        <w:jc w:val="both"/>
        <w:rPr>
          <w:color w:val="002060"/>
          <w:sz w:val="16"/>
          <w:szCs w:val="16"/>
        </w:rPr>
      </w:pPr>
    </w:p>
    <w:p w14:paraId="1158EB75" w14:textId="6FAE4485" w:rsidR="006A33D4" w:rsidRPr="00405303" w:rsidRDefault="006A33D4" w:rsidP="00C15251">
      <w:pPr>
        <w:jc w:val="both"/>
        <w:rPr>
          <w:color w:val="002060"/>
          <w:sz w:val="16"/>
          <w:szCs w:val="16"/>
        </w:rPr>
      </w:pPr>
      <w:r w:rsidRPr="00405303">
        <w:rPr>
          <w:bCs/>
          <w:color w:val="002060"/>
          <w:sz w:val="16"/>
          <w:szCs w:val="16"/>
        </w:rPr>
        <w:lastRenderedPageBreak/>
        <w:t xml:space="preserve">28 декабря 1915 г. (10 января 1916 г.) </w:t>
      </w:r>
      <w:r w:rsidRPr="00405303">
        <w:rPr>
          <w:color w:val="002060"/>
          <w:sz w:val="16"/>
          <w:szCs w:val="16"/>
        </w:rPr>
        <w:t>был построен и совершил первый полет опытный самолет Лебедь-12, который был двухместным разведывательным самолетом с двигателем Salmson мощностью 150 л.с., вооруженный одним 7,62-мм пулеметом Colt с подвижной установкой, управляемой наблюдателем. Испытания вел поручик Слепцов. Заказ на 225 самолетов был получен от Военного министерства 19 апреля.</w:t>
      </w:r>
    </w:p>
    <w:p w14:paraId="1B4D9211" w14:textId="77777777" w:rsidR="006A33D4" w:rsidRPr="00405303" w:rsidRDefault="006A33D4" w:rsidP="00C15251">
      <w:pPr>
        <w:jc w:val="both"/>
        <w:rPr>
          <w:color w:val="002060"/>
          <w:sz w:val="16"/>
          <w:szCs w:val="16"/>
        </w:rPr>
      </w:pPr>
      <w:r w:rsidRPr="00405303">
        <w:rPr>
          <w:color w:val="002060"/>
          <w:sz w:val="16"/>
          <w:szCs w:val="16"/>
        </w:rPr>
        <w:t>Первый серийный самолет испытал военный летчик Михайлов 4 августа на Комендантском аэродроме под Петроградом. В течение октября около десяти «Лебедей-12» были переданы военным и действовали на фронте. Пилоты на фронте критиковали «Лебедь-12» за то, что его было трудно восстановить после пикирования, что привело к авариям со смертельным исходом. Экипажам не нравились пары и тепло от выхлопа двигателя, который располагался слишком близко к кабине. Орудийная установка наблюдателя также была плохо спроектирована и позже была заменена улучшенной конструкцией.</w:t>
      </w:r>
    </w:p>
    <w:p w14:paraId="09E95040" w14:textId="77777777" w:rsidR="006A33D4" w:rsidRPr="00405303" w:rsidRDefault="006A33D4" w:rsidP="00C15251">
      <w:pPr>
        <w:jc w:val="both"/>
        <w:rPr>
          <w:color w:val="002060"/>
          <w:sz w:val="16"/>
          <w:szCs w:val="16"/>
        </w:rPr>
      </w:pPr>
      <w:r w:rsidRPr="00405303">
        <w:rPr>
          <w:color w:val="002060"/>
          <w:sz w:val="16"/>
          <w:szCs w:val="16"/>
        </w:rPr>
        <w:t>Летом 1917 года «Лебедь-12» подвергся дальнейшей модификации. По новому контракту было заказано 200 самолетов, некоторые из которых были оснащены поплавками или лыжами. К 1 января 1918 года заводы Лебедева построили 218 «Лебедей-12» и 171 комплект запасных частей.</w:t>
      </w:r>
    </w:p>
    <w:p w14:paraId="56B851F5" w14:textId="77777777" w:rsidR="006A33D4" w:rsidRPr="00405303" w:rsidRDefault="006A33D4" w:rsidP="00C15251">
      <w:pPr>
        <w:jc w:val="both"/>
        <w:rPr>
          <w:color w:val="002060"/>
          <w:sz w:val="16"/>
          <w:szCs w:val="16"/>
        </w:rPr>
      </w:pPr>
      <w:r w:rsidRPr="00405303">
        <w:rPr>
          <w:color w:val="002060"/>
          <w:sz w:val="16"/>
          <w:szCs w:val="16"/>
        </w:rPr>
        <w:t>Ранее, в декабре 1914 г., завод Лебедева заключил договор с авиаконструктором В.А. Слесарева на средства богатого помещика и члена ИВАК Е.М. Малынского на постройку слесаревского «Святогора» — большого трехопорного биплана. Два двигателя Renault мощностью 220 л.с. были установлены в январе 1916 года.</w:t>
      </w:r>
    </w:p>
    <w:p w14:paraId="782D125F" w14:textId="77777777" w:rsidR="006A33D4" w:rsidRPr="00405303" w:rsidRDefault="006A33D4" w:rsidP="00C15251">
      <w:pPr>
        <w:jc w:val="both"/>
        <w:rPr>
          <w:color w:val="002060"/>
          <w:sz w:val="16"/>
          <w:szCs w:val="16"/>
        </w:rPr>
      </w:pPr>
      <w:r w:rsidRPr="00405303">
        <w:rPr>
          <w:color w:val="002060"/>
          <w:sz w:val="16"/>
          <w:szCs w:val="16"/>
        </w:rPr>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7426B5B4" w14:textId="77777777" w:rsidR="006A33D4" w:rsidRPr="00405303" w:rsidRDefault="006A33D4" w:rsidP="00C15251">
      <w:pPr>
        <w:jc w:val="both"/>
        <w:rPr>
          <w:color w:val="002060"/>
          <w:sz w:val="16"/>
          <w:szCs w:val="16"/>
        </w:rPr>
      </w:pPr>
      <w:r w:rsidRPr="00405303">
        <w:rPr>
          <w:color w:val="002060"/>
          <w:sz w:val="16"/>
          <w:szCs w:val="16"/>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0C15A983" w14:textId="77777777" w:rsidR="006A33D4" w:rsidRPr="00405303" w:rsidRDefault="006A33D4" w:rsidP="00C15251">
      <w:pPr>
        <w:jc w:val="both"/>
        <w:rPr>
          <w:color w:val="002060"/>
          <w:sz w:val="16"/>
          <w:szCs w:val="16"/>
        </w:rPr>
      </w:pPr>
      <w:r w:rsidRPr="00405303">
        <w:rPr>
          <w:color w:val="002060"/>
          <w:sz w:val="16"/>
          <w:szCs w:val="16"/>
        </w:rPr>
        <w:t>В течение 1915 года завод Лебедева построил два гидросамолета «Депердюссен»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копии двухместной летающей лодки FBA с двигателем Gnome мощностью 100 л.с.; один тип «ГФ» Лебедева и конструктора Г.А. Фриде, модифицированный Morane Saulnier тип L, переделанный в летающую лодку; одна летающая лодка «Виллиш ВМ-2»; а в декабре 1916 года одна летающая лодка Villish VM-4 с двигателем Rhone HOhp,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3614C874" w14:textId="77777777" w:rsidR="006A33D4" w:rsidRPr="00405303" w:rsidRDefault="006A33D4" w:rsidP="00C15251">
      <w:pPr>
        <w:jc w:val="both"/>
        <w:rPr>
          <w:color w:val="002060"/>
          <w:sz w:val="16"/>
          <w:szCs w:val="16"/>
        </w:rPr>
      </w:pPr>
      <w:r w:rsidRPr="00405303">
        <w:rPr>
          <w:color w:val="002060"/>
          <w:sz w:val="16"/>
          <w:szCs w:val="16"/>
        </w:rPr>
        <w:t>Летом 1916 г. на заводе Лебедева был построен самолет конструкции Л. Д. Колпакова-Мирошниченко «Кл» — двухместная разведывательная машина с двигателем «Аустро-Даймлер» 100 л.с. Самолет отличался крылом изменяемого угла наклона. Он разбился во время своего первого полета и больше не восстанавливался.</w:t>
      </w:r>
    </w:p>
    <w:p w14:paraId="565AD704" w14:textId="77777777" w:rsidR="006A33D4" w:rsidRPr="00405303" w:rsidRDefault="006A33D4" w:rsidP="00C15251">
      <w:pPr>
        <w:jc w:val="both"/>
        <w:rPr>
          <w:color w:val="002060"/>
          <w:sz w:val="16"/>
          <w:szCs w:val="16"/>
        </w:rPr>
      </w:pPr>
      <w:r w:rsidRPr="00405303">
        <w:rPr>
          <w:color w:val="002060"/>
          <w:sz w:val="16"/>
          <w:szCs w:val="16"/>
        </w:rPr>
        <w:t>В 1917 году Лебедев получил британскую лицензию на производство Sopwith Pup и Sopwith Camel, но производство так и не началось. Однако известно, что в 1917 году на заводе в Петрограде было построено пять самолетов Sopwith 1 1/2 Strutters.</w:t>
      </w:r>
    </w:p>
    <w:p w14:paraId="75F79C3A" w14:textId="77777777" w:rsidR="006A33D4" w:rsidRPr="00405303" w:rsidRDefault="006A33D4" w:rsidP="00C15251">
      <w:pPr>
        <w:jc w:val="both"/>
        <w:rPr>
          <w:color w:val="002060"/>
          <w:sz w:val="16"/>
          <w:szCs w:val="16"/>
        </w:rPr>
      </w:pPr>
      <w:r w:rsidRPr="00405303">
        <w:rPr>
          <w:color w:val="002060"/>
          <w:sz w:val="16"/>
          <w:szCs w:val="16"/>
        </w:rPr>
        <w:t>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«Румпир». В феврале 1916 г. отремонтированный Rumpier и LVG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37314CDD" w14:textId="77777777" w:rsidR="006A33D4" w:rsidRPr="00405303" w:rsidRDefault="006A33D4" w:rsidP="00C15251">
      <w:pPr>
        <w:jc w:val="both"/>
        <w:rPr>
          <w:color w:val="002060"/>
          <w:sz w:val="16"/>
          <w:szCs w:val="16"/>
        </w:rPr>
      </w:pPr>
      <w:r w:rsidRPr="00405303">
        <w:rPr>
          <w:color w:val="002060"/>
          <w:sz w:val="16"/>
          <w:szCs w:val="16"/>
        </w:rPr>
        <w:t>Лебедь-17 с двигателем Salmson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(Lebed Le Grand), со- Совместно с Колпаковым-Мирошниченко был разработан большой трехстоечный биплан с двумя двигателями Salmson мощностью 15 Ом.</w:t>
      </w:r>
    </w:p>
    <w:p w14:paraId="795E946C" w14:textId="77777777" w:rsidR="006A33D4" w:rsidRPr="00405303" w:rsidRDefault="006A33D4" w:rsidP="00C15251">
      <w:pPr>
        <w:jc w:val="both"/>
        <w:rPr>
          <w:color w:val="002060"/>
          <w:sz w:val="16"/>
          <w:szCs w:val="16"/>
        </w:rPr>
      </w:pPr>
      <w:r w:rsidRPr="00405303">
        <w:rPr>
          <w:color w:val="002060"/>
          <w:sz w:val="16"/>
          <w:szCs w:val="16"/>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3C70E0C8" w14:textId="77777777" w:rsidR="006A33D4" w:rsidRPr="00405303" w:rsidRDefault="006A33D4" w:rsidP="00C15251">
      <w:pPr>
        <w:jc w:val="both"/>
        <w:rPr>
          <w:color w:val="002060"/>
          <w:sz w:val="16"/>
          <w:szCs w:val="16"/>
        </w:rPr>
      </w:pPr>
      <w:r w:rsidRPr="00405303">
        <w:rPr>
          <w:color w:val="002060"/>
          <w:sz w:val="16"/>
          <w:szCs w:val="16"/>
        </w:rPr>
        <w:t>В начале 1917 г. был испытан трехместный биплан «Лебедь-16» с двумя двигателями «Рона» мощностью 80 л. Лебедь-17, разработанный совместно с Гуревичем, с одним двигателем Salmson мощностью 150 л.с. Летные испытания он прошел в августе 1917 года. Было построено несколько самолетов, но в серийное производство он так и не пошел.</w:t>
      </w:r>
    </w:p>
    <w:p w14:paraId="516C21B6" w14:textId="77777777" w:rsidR="006A33D4" w:rsidRPr="00405303" w:rsidRDefault="006A33D4" w:rsidP="00C15251">
      <w:pPr>
        <w:jc w:val="both"/>
        <w:rPr>
          <w:color w:val="002060"/>
          <w:sz w:val="16"/>
          <w:szCs w:val="16"/>
        </w:rPr>
      </w:pPr>
      <w:r w:rsidRPr="00405303">
        <w:rPr>
          <w:color w:val="002060"/>
          <w:sz w:val="16"/>
          <w:szCs w:val="16"/>
        </w:rPr>
        <w:t>Двухместный «Лебедь-18» (типа «Альбатрос») с двигателем Fiat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Salmson мощностью 150 л.с. Лебедь 24 остался проектом из-за непоставки ожидаемых двигателей Fiat и Hispano-Suiza.</w:t>
      </w:r>
    </w:p>
    <w:p w14:paraId="3C5620C7" w14:textId="77777777" w:rsidR="006A33D4" w:rsidRPr="00405303" w:rsidRDefault="006A33D4" w:rsidP="00C15251">
      <w:pPr>
        <w:jc w:val="both"/>
        <w:rPr>
          <w:color w:val="002060"/>
          <w:sz w:val="16"/>
          <w:szCs w:val="16"/>
        </w:rPr>
      </w:pPr>
      <w:r w:rsidRPr="00405303">
        <w:rPr>
          <w:color w:val="002060"/>
          <w:sz w:val="16"/>
          <w:szCs w:val="16"/>
        </w:rPr>
        <w:t>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Nieuport X; 10 марта 1917 г. - 15 из 60 Nieuport X; 30 мая 1917 г. - ни одного из 200 Лебедей 24; 1917 г., 5 июля - заказ на 140 Sopwith 1/2 Страттерс и 60 Лебедей для школы, неизвестно, были ли они построены.</w:t>
      </w:r>
    </w:p>
    <w:p w14:paraId="4F344E14" w14:textId="77777777" w:rsidR="006A33D4" w:rsidRPr="00405303" w:rsidRDefault="006A33D4" w:rsidP="00C15251">
      <w:pPr>
        <w:jc w:val="both"/>
        <w:rPr>
          <w:color w:val="002060"/>
          <w:sz w:val="16"/>
          <w:szCs w:val="16"/>
        </w:rPr>
      </w:pPr>
      <w:r w:rsidRPr="00405303">
        <w:rPr>
          <w:color w:val="002060"/>
          <w:sz w:val="16"/>
          <w:szCs w:val="16"/>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24A442AA" w14:textId="77777777" w:rsidR="006A33D4" w:rsidRPr="00405303" w:rsidRDefault="006A33D4" w:rsidP="00C15251">
      <w:pPr>
        <w:jc w:val="both"/>
        <w:rPr>
          <w:color w:val="002060"/>
          <w:sz w:val="16"/>
          <w:szCs w:val="16"/>
        </w:rPr>
      </w:pPr>
      <w:r w:rsidRPr="00405303">
        <w:rPr>
          <w:color w:val="002060"/>
          <w:sz w:val="16"/>
          <w:szCs w:val="16"/>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4C9E2EBA" w14:textId="77777777" w:rsidR="006A33D4" w:rsidRPr="00405303" w:rsidRDefault="006A33D4" w:rsidP="00C15251">
      <w:pPr>
        <w:jc w:val="both"/>
        <w:rPr>
          <w:color w:val="002060"/>
          <w:sz w:val="16"/>
          <w:szCs w:val="16"/>
          <w:lang w:bidi="ru-RU"/>
        </w:rPr>
      </w:pPr>
    </w:p>
    <w:p w14:paraId="7EF35A67" w14:textId="77777777" w:rsidR="006177BD" w:rsidRPr="00B52707" w:rsidRDefault="006177BD" w:rsidP="006177BD">
      <w:pPr>
        <w:jc w:val="both"/>
        <w:rPr>
          <w:color w:val="0070C0"/>
          <w:sz w:val="16"/>
          <w:szCs w:val="16"/>
        </w:rPr>
      </w:pPr>
      <w:r w:rsidRPr="00B52707">
        <w:rPr>
          <w:color w:val="0070C0"/>
          <w:sz w:val="16"/>
          <w:szCs w:val="16"/>
        </w:rPr>
        <w:t>28 декабря 1915 г. (10 января 1916 г.) дежурный Генерал при Верховном Главнокомандующем Кондзеровский докладывал: «для скорейшего вооружения аэропланов надо взять 67 пулеметов Кольт под иностранный патрон и миллион патронов к ним».</w:t>
      </w:r>
    </w:p>
    <w:p w14:paraId="58E01328" w14:textId="77777777" w:rsidR="006177BD" w:rsidRPr="00B52707" w:rsidRDefault="006177BD" w:rsidP="006177BD">
      <w:pPr>
        <w:jc w:val="both"/>
        <w:rPr>
          <w:color w:val="0070C0"/>
          <w:sz w:val="16"/>
          <w:szCs w:val="16"/>
        </w:rPr>
      </w:pPr>
      <w:r w:rsidRPr="00B52707">
        <w:rPr>
          <w:color w:val="0070C0"/>
          <w:sz w:val="16"/>
          <w:szCs w:val="16"/>
        </w:rPr>
        <w:t>На это полковник Немченко вынужден был ответить, что пулеметы все еще находятся в пути из Америки в Россию.</w:t>
      </w:r>
    </w:p>
    <w:p w14:paraId="274BDB8C" w14:textId="77777777" w:rsidR="006177BD" w:rsidRPr="00B52707" w:rsidRDefault="006177BD" w:rsidP="006177BD">
      <w:pPr>
        <w:jc w:val="both"/>
        <w:rPr>
          <w:color w:val="0070C0"/>
          <w:sz w:val="16"/>
          <w:szCs w:val="16"/>
        </w:rPr>
      </w:pPr>
      <w:r w:rsidRPr="00B52707">
        <w:rPr>
          <w:color w:val="0070C0"/>
          <w:sz w:val="16"/>
          <w:szCs w:val="16"/>
        </w:rPr>
        <w:t>к 17 января 1916 г. «на триста работающих аппаратов имеется всего 60 пулеметов». В этих условиях командование вытребовало еще 60 пулеметов, забрав иху пехоты, где формировались специальные «кольтовые» команды. (25147).</w:t>
      </w:r>
    </w:p>
    <w:p w14:paraId="2432408F" w14:textId="77777777" w:rsidR="006177BD" w:rsidRPr="00B52707" w:rsidRDefault="006177BD" w:rsidP="006177BD">
      <w:pPr>
        <w:jc w:val="both"/>
        <w:rPr>
          <w:rStyle w:val="aa"/>
          <w:rFonts w:ascii="Times New Roman" w:hAnsi="Times New Roman"/>
          <w:color w:val="0070C0"/>
          <w:spacing w:val="0"/>
          <w:sz w:val="16"/>
          <w:szCs w:val="16"/>
        </w:rPr>
      </w:pPr>
    </w:p>
    <w:p w14:paraId="4B796424" w14:textId="1CC65400" w:rsidR="000C08D1" w:rsidRPr="00405303" w:rsidRDefault="000C08D1" w:rsidP="00C15251">
      <w:pPr>
        <w:jc w:val="both"/>
        <w:rPr>
          <w:bCs/>
          <w:i/>
          <w:iCs/>
          <w:color w:val="002060"/>
          <w:sz w:val="16"/>
          <w:szCs w:val="16"/>
        </w:rPr>
      </w:pPr>
      <w:r w:rsidRPr="00405303">
        <w:rPr>
          <w:bCs/>
          <w:i/>
          <w:iCs/>
          <w:color w:val="002060"/>
          <w:sz w:val="16"/>
          <w:szCs w:val="16"/>
        </w:rPr>
        <w:t>Авиация:</w:t>
      </w:r>
    </w:p>
    <w:p w14:paraId="22A26919" w14:textId="77777777" w:rsidR="000C08D1" w:rsidRPr="00405303" w:rsidRDefault="000C08D1" w:rsidP="00C15251">
      <w:pPr>
        <w:jc w:val="both"/>
        <w:rPr>
          <w:bCs/>
          <w:i/>
          <w:iCs/>
          <w:color w:val="002060"/>
          <w:sz w:val="16"/>
          <w:szCs w:val="16"/>
        </w:rPr>
      </w:pPr>
    </w:p>
    <w:p w14:paraId="053B9D1E" w14:textId="77777777" w:rsidR="006A33D4" w:rsidRPr="00405303" w:rsidRDefault="006A33D4" w:rsidP="00C15251">
      <w:pPr>
        <w:jc w:val="both"/>
        <w:rPr>
          <w:color w:val="002060"/>
          <w:sz w:val="16"/>
          <w:szCs w:val="16"/>
        </w:rPr>
      </w:pPr>
      <w:r w:rsidRPr="00405303">
        <w:rPr>
          <w:bCs/>
          <w:color w:val="002060"/>
          <w:sz w:val="16"/>
          <w:szCs w:val="16"/>
        </w:rPr>
        <w:t xml:space="preserve">28 декабря 1915 г. (10 января 1916 г.) </w:t>
      </w:r>
      <w:r w:rsidRPr="00405303">
        <w:rPr>
          <w:color w:val="002060"/>
          <w:sz w:val="16"/>
          <w:szCs w:val="16"/>
          <w:lang w:bidi="en-US"/>
        </w:rPr>
        <w:t>Ставка приказала создать Кронштадтскую крепость АО на острове Кронштадт в Финском заливе. Ее задачей была защита подступов к Петрограду. Верховный командующий штабом ЦИК приказал создать 9-ю армию АО (7-я армия Юго-Западного фронта); 10-я армия АО (10-я армия Западного фронта); 11-я армия АО (11-я армия Юго-Западного фронта); 12-я армия АО (12-я армия Северного фронта) (23525).</w:t>
      </w:r>
    </w:p>
    <w:p w14:paraId="5B074BC8" w14:textId="77777777" w:rsidR="006A33D4" w:rsidRPr="00405303" w:rsidRDefault="006A33D4" w:rsidP="00C15251">
      <w:pPr>
        <w:jc w:val="both"/>
        <w:rPr>
          <w:color w:val="002060"/>
          <w:sz w:val="16"/>
          <w:szCs w:val="16"/>
        </w:rPr>
      </w:pPr>
    </w:p>
    <w:p w14:paraId="15D3347B" w14:textId="00C4915C" w:rsidR="000C08D1" w:rsidRPr="00405303" w:rsidRDefault="000C08D1" w:rsidP="00C15251">
      <w:pPr>
        <w:jc w:val="both"/>
        <w:rPr>
          <w:bCs/>
          <w:color w:val="002060"/>
          <w:sz w:val="16"/>
          <w:szCs w:val="16"/>
        </w:rPr>
      </w:pPr>
      <w:r w:rsidRPr="00405303">
        <w:rPr>
          <w:bCs/>
          <w:color w:val="002060"/>
          <w:sz w:val="16"/>
          <w:szCs w:val="16"/>
        </w:rPr>
        <w:t>28 декабря 1915 г. (10 января 1916 г.) Совет севастопольской авиашколы обсудил переход на французский метод обучения летчиков, состоящий из трех последователь</w:t>
      </w:r>
      <w:r w:rsidRPr="00405303">
        <w:rPr>
          <w:bCs/>
          <w:color w:val="002060"/>
          <w:sz w:val="16"/>
          <w:szCs w:val="16"/>
        </w:rPr>
        <w:softHyphen/>
        <w:t>ных ступеней: 1-я ступень - первоначальное обучение /вывозка/ под руководством одного, постоянного, инструктора; 2-я ступень - трени</w:t>
      </w:r>
      <w:r w:rsidRPr="00405303">
        <w:rPr>
          <w:bCs/>
          <w:color w:val="002060"/>
          <w:sz w:val="16"/>
          <w:szCs w:val="16"/>
        </w:rPr>
        <w:softHyphen/>
        <w:t>ровка и сдача экзаменов на летчика, имея при этом налетанными на Учебном Фармане 8 часов и на Моран-«Ж" - 12 часов; 3-я ступень - обучение на «боевых самолетах /Фарман-20, Вуазен, Моран-парасоль/. Обучение заканчивалось после налета на "боевых" самолетах не менее 12 часов. Совет высказался за принятие этого метода.</w:t>
      </w:r>
    </w:p>
    <w:p w14:paraId="62911E5C" w14:textId="77777777" w:rsidR="000C08D1" w:rsidRPr="00405303" w:rsidRDefault="000C08D1" w:rsidP="00C15251">
      <w:pPr>
        <w:jc w:val="both"/>
        <w:rPr>
          <w:bCs/>
          <w:color w:val="002060"/>
          <w:sz w:val="16"/>
          <w:szCs w:val="16"/>
        </w:rPr>
      </w:pPr>
      <w:r w:rsidRPr="00405303">
        <w:rPr>
          <w:bCs/>
          <w:color w:val="002060"/>
          <w:sz w:val="16"/>
          <w:szCs w:val="16"/>
        </w:rPr>
        <w:t>/ЦГВИА, ф. 2008, оп. 1, д. 572, л. 26/ (23320).</w:t>
      </w:r>
    </w:p>
    <w:p w14:paraId="74469ACB" w14:textId="77777777" w:rsidR="000C08D1" w:rsidRPr="00405303" w:rsidRDefault="000C08D1" w:rsidP="00C15251">
      <w:pPr>
        <w:jc w:val="both"/>
        <w:rPr>
          <w:bCs/>
          <w:color w:val="002060"/>
          <w:sz w:val="16"/>
          <w:szCs w:val="16"/>
        </w:rPr>
      </w:pPr>
    </w:p>
    <w:p w14:paraId="06A0FC30" w14:textId="77777777" w:rsidR="00D879C2" w:rsidRPr="00405303" w:rsidRDefault="00D879C2" w:rsidP="00C15251">
      <w:pPr>
        <w:jc w:val="both"/>
        <w:rPr>
          <w:bCs/>
          <w:i/>
          <w:color w:val="002060"/>
          <w:sz w:val="16"/>
          <w:szCs w:val="16"/>
        </w:rPr>
      </w:pPr>
      <w:r w:rsidRPr="00405303">
        <w:rPr>
          <w:bCs/>
          <w:i/>
          <w:color w:val="002060"/>
          <w:sz w:val="16"/>
          <w:szCs w:val="16"/>
        </w:rPr>
        <w:lastRenderedPageBreak/>
        <w:t>Армия:</w:t>
      </w:r>
    </w:p>
    <w:p w14:paraId="68F77269" w14:textId="77777777" w:rsidR="00D879C2" w:rsidRPr="00405303" w:rsidRDefault="00D879C2" w:rsidP="00C15251">
      <w:pPr>
        <w:jc w:val="both"/>
        <w:rPr>
          <w:bCs/>
          <w:i/>
          <w:color w:val="002060"/>
          <w:sz w:val="16"/>
          <w:szCs w:val="16"/>
        </w:rPr>
      </w:pPr>
    </w:p>
    <w:p w14:paraId="77ED1017" w14:textId="19DE9639" w:rsidR="00075466" w:rsidRPr="00405303" w:rsidRDefault="00075466" w:rsidP="00C15251">
      <w:pPr>
        <w:jc w:val="both"/>
        <w:rPr>
          <w:bCs/>
          <w:color w:val="002060"/>
          <w:sz w:val="16"/>
          <w:szCs w:val="16"/>
        </w:rPr>
      </w:pPr>
      <w:r w:rsidRPr="00405303">
        <w:rPr>
          <w:bCs/>
          <w:color w:val="002060"/>
          <w:sz w:val="16"/>
          <w:szCs w:val="16"/>
        </w:rPr>
        <w:t>С 28 декабря по 18 февраля 1916 (10 января по 2 марта) 191</w:t>
      </w:r>
      <w:r w:rsidR="001E33EB" w:rsidRPr="00405303">
        <w:rPr>
          <w:bCs/>
          <w:color w:val="002060"/>
          <w:sz w:val="16"/>
          <w:szCs w:val="16"/>
        </w:rPr>
        <w:t>6 г.</w:t>
      </w:r>
      <w:r w:rsidRPr="00405303">
        <w:rPr>
          <w:bCs/>
          <w:color w:val="002060"/>
          <w:sz w:val="16"/>
          <w:szCs w:val="16"/>
        </w:rPr>
        <w:t xml:space="preserve"> была Эрзерумская операция. Захватили </w:t>
      </w:r>
      <w:proofErr w:type="gramStart"/>
      <w:r w:rsidRPr="00405303">
        <w:rPr>
          <w:bCs/>
          <w:color w:val="002060"/>
          <w:sz w:val="16"/>
          <w:szCs w:val="16"/>
        </w:rPr>
        <w:t>Эрзерум</w:t>
      </w:r>
      <w:proofErr w:type="gramEnd"/>
      <w:r w:rsidRPr="00405303">
        <w:rPr>
          <w:bCs/>
          <w:color w:val="002060"/>
          <w:sz w:val="16"/>
          <w:szCs w:val="16"/>
        </w:rPr>
        <w:t xml:space="preserve"> и Франция и Англия подписали с Россией договор, что она получает под контроль Черноморские проливы. Хотели высадить в 1917 десант, но помешала революция (1348,43).</w:t>
      </w:r>
    </w:p>
    <w:p w14:paraId="5C8F3C6A" w14:textId="77777777" w:rsidR="00075466" w:rsidRPr="00405303" w:rsidRDefault="00075466" w:rsidP="00C15251">
      <w:pPr>
        <w:jc w:val="both"/>
        <w:rPr>
          <w:bCs/>
          <w:color w:val="002060"/>
          <w:sz w:val="16"/>
          <w:szCs w:val="16"/>
        </w:rPr>
      </w:pPr>
    </w:p>
    <w:p w14:paraId="7E0D844C" w14:textId="3A06FD22" w:rsidR="00075466" w:rsidRPr="00405303" w:rsidRDefault="00075466" w:rsidP="00C15251">
      <w:pPr>
        <w:jc w:val="both"/>
        <w:rPr>
          <w:bCs/>
          <w:color w:val="002060"/>
          <w:sz w:val="16"/>
          <w:szCs w:val="16"/>
        </w:rPr>
      </w:pPr>
      <w:r w:rsidRPr="00405303">
        <w:rPr>
          <w:bCs/>
          <w:color w:val="002060"/>
          <w:sz w:val="16"/>
          <w:szCs w:val="16"/>
        </w:rPr>
        <w:t xml:space="preserve">28 декабря 1915 </w:t>
      </w:r>
      <w:r w:rsidR="001E33EB" w:rsidRPr="00405303">
        <w:rPr>
          <w:bCs/>
          <w:color w:val="002060"/>
          <w:sz w:val="16"/>
          <w:szCs w:val="16"/>
        </w:rPr>
        <w:t xml:space="preserve">г. </w:t>
      </w:r>
      <w:r w:rsidRPr="00405303">
        <w:rPr>
          <w:bCs/>
          <w:color w:val="002060"/>
          <w:sz w:val="16"/>
          <w:szCs w:val="16"/>
        </w:rPr>
        <w:t>(10.1.1916) — 18.2(2.3)</w:t>
      </w:r>
      <w:r w:rsidR="001E33EB" w:rsidRPr="00405303">
        <w:rPr>
          <w:bCs/>
          <w:color w:val="002060"/>
          <w:sz w:val="16"/>
          <w:szCs w:val="16"/>
        </w:rPr>
        <w:t xml:space="preserve"> </w:t>
      </w:r>
      <w:r w:rsidRPr="00405303">
        <w:rPr>
          <w:bCs/>
          <w:color w:val="002060"/>
          <w:sz w:val="16"/>
          <w:szCs w:val="16"/>
        </w:rPr>
        <w:t>1916</w:t>
      </w:r>
      <w:r w:rsidR="001E33EB" w:rsidRPr="00405303">
        <w:rPr>
          <w:bCs/>
          <w:color w:val="002060"/>
          <w:sz w:val="16"/>
          <w:szCs w:val="16"/>
        </w:rPr>
        <w:t xml:space="preserve"> г.</w:t>
      </w:r>
      <w:r w:rsidRPr="00405303">
        <w:rPr>
          <w:bCs/>
          <w:color w:val="002060"/>
          <w:sz w:val="16"/>
          <w:szCs w:val="16"/>
        </w:rPr>
        <w:t xml:space="preserve"> во время 1-й мировой войны. Русская Кавказская армия (командующий — генерал от инфантерии Н.Н. Юденичразбила 3-ю турецкую армию (командующий — генерал Махмуд-Кямиль-паша) и овладела крепостью Эрзурум (17325).</w:t>
      </w:r>
    </w:p>
    <w:p w14:paraId="679956FC" w14:textId="77777777" w:rsidR="00075466" w:rsidRPr="00405303" w:rsidRDefault="00075466" w:rsidP="00C15251">
      <w:pPr>
        <w:jc w:val="both"/>
        <w:rPr>
          <w:bCs/>
          <w:color w:val="002060"/>
          <w:sz w:val="16"/>
          <w:szCs w:val="16"/>
        </w:rPr>
      </w:pPr>
    </w:p>
    <w:p w14:paraId="00AAF9A9" w14:textId="5FF6F42F" w:rsidR="00075466" w:rsidRPr="00405303" w:rsidRDefault="00075466" w:rsidP="00C15251">
      <w:pPr>
        <w:jc w:val="both"/>
        <w:rPr>
          <w:bCs/>
          <w:color w:val="002060"/>
          <w:sz w:val="16"/>
          <w:szCs w:val="16"/>
        </w:rPr>
      </w:pPr>
      <w:r w:rsidRPr="00405303">
        <w:rPr>
          <w:bCs/>
          <w:color w:val="002060"/>
          <w:sz w:val="16"/>
          <w:szCs w:val="16"/>
        </w:rPr>
        <w:t xml:space="preserve">28 декабря 1915 </w:t>
      </w:r>
      <w:r w:rsidR="001E33EB" w:rsidRPr="00405303">
        <w:rPr>
          <w:bCs/>
          <w:color w:val="002060"/>
          <w:sz w:val="16"/>
          <w:szCs w:val="16"/>
        </w:rPr>
        <w:t xml:space="preserve">г. </w:t>
      </w:r>
      <w:r w:rsidRPr="00405303">
        <w:rPr>
          <w:bCs/>
          <w:color w:val="002060"/>
          <w:sz w:val="16"/>
          <w:szCs w:val="16"/>
        </w:rPr>
        <w:t>(10 января 1916</w:t>
      </w:r>
      <w:r w:rsidR="001E33EB" w:rsidRPr="00405303">
        <w:rPr>
          <w:bCs/>
          <w:color w:val="002060"/>
          <w:sz w:val="16"/>
          <w:szCs w:val="16"/>
        </w:rPr>
        <w:t xml:space="preserve"> г.</w:t>
      </w:r>
      <w:r w:rsidRPr="00405303">
        <w:rPr>
          <w:bCs/>
          <w:color w:val="002060"/>
          <w:sz w:val="16"/>
          <w:szCs w:val="16"/>
        </w:rPr>
        <w:t>) войска Кавказской армии (103 тыс. чел. и 338 орудий, Н.Н.Юденич) начали Эрзерумскую наступательную операцию, которая завершилась к 2 марта 1916 (н). Овладели Эрзерумом и продвинулись на 150 км. турки потеряли 66 тыс. убитыми, раненными и пленными, русские - 17 тыс. Оказали помощь англичанам в Египте и Месопотамии, заставив турков прекратив там активные действия (3398,19).</w:t>
      </w:r>
    </w:p>
    <w:p w14:paraId="3A388264" w14:textId="77777777" w:rsidR="00075466" w:rsidRPr="00405303" w:rsidRDefault="00075466" w:rsidP="00C15251">
      <w:pPr>
        <w:jc w:val="both"/>
        <w:rPr>
          <w:bCs/>
          <w:color w:val="002060"/>
          <w:sz w:val="16"/>
          <w:szCs w:val="16"/>
        </w:rPr>
      </w:pPr>
    </w:p>
    <w:p w14:paraId="24EF006F" w14:textId="6D741204" w:rsidR="00D879C2" w:rsidRPr="00405303" w:rsidRDefault="00D879C2" w:rsidP="00C15251">
      <w:pPr>
        <w:jc w:val="both"/>
        <w:rPr>
          <w:bCs/>
          <w:color w:val="002060"/>
          <w:sz w:val="16"/>
          <w:szCs w:val="16"/>
        </w:rPr>
      </w:pPr>
      <w:r w:rsidRPr="00405303">
        <w:rPr>
          <w:bCs/>
          <w:color w:val="002060"/>
          <w:sz w:val="16"/>
          <w:szCs w:val="16"/>
        </w:rPr>
        <w:t>28 декабря в 1915 году (7 января 1916</w:t>
      </w:r>
      <w:r w:rsidR="001E33EB" w:rsidRPr="00405303">
        <w:rPr>
          <w:bCs/>
          <w:color w:val="002060"/>
          <w:sz w:val="16"/>
          <w:szCs w:val="16"/>
        </w:rPr>
        <w:t xml:space="preserve"> г.</w:t>
      </w:r>
      <w:r w:rsidRPr="00405303">
        <w:rPr>
          <w:bCs/>
          <w:color w:val="002060"/>
          <w:sz w:val="16"/>
          <w:szCs w:val="16"/>
        </w:rPr>
        <w:t>) Русская Кавказская армия (командующий Николай Николаевич Юденич) начала Эрзерумскую наступательную операцию. Командование армии, проявив нечасто встречаемую способность учиться на чужих ошибках, учло турецкий опыт подготовки к Саракамышской операции (9 декабря 1914 - 5 января 1915). В результате 3-я турецкая армия была разгромлена и потеряла до 50% личного состава. 2 февраля 1916 года был взят Эрзерум. «В воздаяние отличного выполнения, при исключительной обстановке, блестящей боевой операции, завершившейся взятием штурмом Деве-Бойнской позиции и крепости Эрзерума 2 февраля 1916 года» генерал от инфантерии Николай Николаевич Юденич был награжден орденом Святого Георгия 2-й степени - последнее (крайнее) награждение этим орденом (14874).</w:t>
      </w:r>
    </w:p>
    <w:p w14:paraId="7FF079E9" w14:textId="77777777" w:rsidR="00D879C2" w:rsidRPr="00405303" w:rsidRDefault="00D879C2" w:rsidP="00C15251">
      <w:pPr>
        <w:jc w:val="both"/>
        <w:rPr>
          <w:bCs/>
          <w:color w:val="002060"/>
          <w:sz w:val="16"/>
          <w:szCs w:val="16"/>
        </w:rPr>
      </w:pPr>
    </w:p>
    <w:p w14:paraId="4781ECCF" w14:textId="77777777" w:rsidR="00075466" w:rsidRPr="00405303" w:rsidRDefault="00075466" w:rsidP="00C15251">
      <w:pPr>
        <w:jc w:val="both"/>
        <w:rPr>
          <w:bCs/>
          <w:iCs/>
          <w:color w:val="002060"/>
          <w:sz w:val="16"/>
          <w:szCs w:val="16"/>
        </w:rPr>
      </w:pPr>
      <w:r w:rsidRPr="00405303">
        <w:rPr>
          <w:bCs/>
          <w:i/>
          <w:iCs/>
          <w:color w:val="002060"/>
          <w:sz w:val="16"/>
          <w:szCs w:val="16"/>
        </w:rPr>
        <w:t>За рубежом:</w:t>
      </w:r>
    </w:p>
    <w:p w14:paraId="5E66A321" w14:textId="77777777" w:rsidR="00075466" w:rsidRPr="00405303" w:rsidRDefault="00075466" w:rsidP="00C15251">
      <w:pPr>
        <w:jc w:val="both"/>
        <w:rPr>
          <w:bCs/>
          <w:iCs/>
          <w:color w:val="002060"/>
          <w:sz w:val="16"/>
          <w:szCs w:val="16"/>
        </w:rPr>
      </w:pPr>
    </w:p>
    <w:p w14:paraId="228D1257" w14:textId="1E5FCB71" w:rsidR="00075466" w:rsidRPr="00405303" w:rsidRDefault="00075466" w:rsidP="00C15251">
      <w:pPr>
        <w:jc w:val="both"/>
        <w:rPr>
          <w:bCs/>
          <w:color w:val="002060"/>
          <w:sz w:val="16"/>
          <w:szCs w:val="16"/>
        </w:rPr>
      </w:pPr>
      <w:r w:rsidRPr="00405303">
        <w:rPr>
          <w:bCs/>
          <w:color w:val="002060"/>
          <w:sz w:val="16"/>
          <w:szCs w:val="16"/>
        </w:rPr>
        <w:t xml:space="preserve">28 декабря 1915 </w:t>
      </w:r>
      <w:r w:rsidR="001E33EB" w:rsidRPr="00405303">
        <w:rPr>
          <w:bCs/>
          <w:color w:val="002060"/>
          <w:sz w:val="16"/>
          <w:szCs w:val="16"/>
        </w:rPr>
        <w:t xml:space="preserve">г. </w:t>
      </w:r>
      <w:r w:rsidRPr="00405303">
        <w:rPr>
          <w:bCs/>
          <w:color w:val="002060"/>
          <w:sz w:val="16"/>
          <w:szCs w:val="16"/>
        </w:rPr>
        <w:t xml:space="preserve">(10 января 1916 г.) </w:t>
      </w:r>
      <w:r w:rsidR="001E33EB" w:rsidRPr="00405303">
        <w:rPr>
          <w:bCs/>
          <w:color w:val="002060"/>
          <w:sz w:val="16"/>
          <w:szCs w:val="16"/>
        </w:rPr>
        <w:t>началась э</w:t>
      </w:r>
      <w:r w:rsidRPr="00405303">
        <w:rPr>
          <w:bCs/>
          <w:color w:val="002060"/>
          <w:sz w:val="16"/>
          <w:szCs w:val="16"/>
        </w:rPr>
        <w:t>вакуация англо-французских войск с Галлиполийского плацдарма высвободила силы 1 и 2 турецкой армий. Юденич хорошо понимал, что скорее всего, эти силы будут добавлены к войскам 3 турецкой армии в восточной Анатолии. Поэтому было принято решение перейти в локальное наступление с целью физического уничтожения максимально возможного числа неприятельских войск. Разумеется, наступление в горной местности зимой, в 30-градусные морозы, было безумно сложным предприятием, но в случае успеха турецкие войска были бы разбиты по частям. Атака была успешной, и не в последнюю очередь – из-за своей безумности. Турки никак не могли предполагать, что их атакуют в такую погоду и в такой местности. К 15 января турецкий фронт был прорван, неприятельские войска в панике откатывались к Эрзеруму. Юденич запросил санкции Главковерха на перерастание тактического наступления в наступление оперативное – на Эрзерум (10678).</w:t>
      </w:r>
    </w:p>
    <w:p w14:paraId="190555EB" w14:textId="77777777" w:rsidR="00075466" w:rsidRPr="00405303" w:rsidRDefault="00075466" w:rsidP="00C15251">
      <w:pPr>
        <w:jc w:val="both"/>
        <w:rPr>
          <w:bCs/>
          <w:color w:val="002060"/>
          <w:sz w:val="16"/>
          <w:szCs w:val="16"/>
        </w:rPr>
      </w:pPr>
    </w:p>
    <w:p w14:paraId="7CBDE8B1"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1C94C3B7" w14:textId="77777777" w:rsidR="004B4E35" w:rsidRPr="00405303" w:rsidRDefault="004B4E35" w:rsidP="00C15251">
      <w:pPr>
        <w:shd w:val="clear" w:color="auto" w:fill="FFFFFF"/>
        <w:jc w:val="both"/>
        <w:rPr>
          <w:bCs/>
          <w:i/>
          <w:color w:val="002060"/>
          <w:sz w:val="16"/>
          <w:szCs w:val="16"/>
        </w:rPr>
      </w:pPr>
    </w:p>
    <w:p w14:paraId="62C1214F" w14:textId="77777777" w:rsidR="001E33EB" w:rsidRPr="00405303" w:rsidRDefault="009E6F82" w:rsidP="00C15251">
      <w:pPr>
        <w:shd w:val="clear" w:color="auto" w:fill="FFFFFF"/>
        <w:jc w:val="both"/>
        <w:rPr>
          <w:bCs/>
          <w:color w:val="002060"/>
          <w:sz w:val="16"/>
          <w:szCs w:val="16"/>
        </w:rPr>
      </w:pPr>
      <w:r w:rsidRPr="00405303">
        <w:rPr>
          <w:bCs/>
          <w:color w:val="002060"/>
          <w:sz w:val="16"/>
          <w:szCs w:val="16"/>
        </w:rPr>
        <w:t>В.А. Лебедев, следивший за работой Виллиша или знавший о ней по рассказам морских авиаторов, был заинтересован в сотрудничестве с конструктором и без особого труда добился своего, т.к. мог предложить много больше, чем мастерская Эбергарда. Соглашение между предпринимателем и изобретателем состоялось в начале декабря 1915 г. и гидроаэроплан ВМ-1 доставили на Комендантский аэродром. 14 декабря Лебедев информировал МГШ о том, что новая лодка может быть построена уже вскоре и за 13.000 руб. 16 декабря коман</w:t>
      </w:r>
      <w:r w:rsidRPr="00405303">
        <w:rPr>
          <w:bCs/>
          <w:color w:val="002060"/>
          <w:sz w:val="16"/>
          <w:szCs w:val="16"/>
        </w:rPr>
        <w:softHyphen/>
        <w:t>диру Петроградского порта поручили послать производителю официальный заказ, что и бы</w:t>
      </w:r>
      <w:r w:rsidRPr="00405303">
        <w:rPr>
          <w:bCs/>
          <w:color w:val="002060"/>
          <w:sz w:val="16"/>
          <w:szCs w:val="16"/>
        </w:rPr>
        <w:softHyphen/>
        <w:t xml:space="preserve">ло исполнено </w:t>
      </w:r>
    </w:p>
    <w:p w14:paraId="5B41F86A" w14:textId="77777777" w:rsidR="001E33EB" w:rsidRPr="00405303" w:rsidRDefault="001E33EB" w:rsidP="00C15251">
      <w:pPr>
        <w:shd w:val="clear" w:color="auto" w:fill="FFFFFF"/>
        <w:jc w:val="both"/>
        <w:rPr>
          <w:bCs/>
          <w:color w:val="002060"/>
          <w:sz w:val="16"/>
          <w:szCs w:val="16"/>
        </w:rPr>
      </w:pPr>
    </w:p>
    <w:p w14:paraId="039A1A5B" w14:textId="1CF15FE2" w:rsidR="00BB35D4" w:rsidRPr="00405303" w:rsidRDefault="00BB35D4" w:rsidP="00C15251">
      <w:pPr>
        <w:jc w:val="both"/>
        <w:rPr>
          <w:bCs/>
          <w:color w:val="002060"/>
          <w:sz w:val="16"/>
          <w:szCs w:val="16"/>
        </w:rPr>
      </w:pPr>
      <w:r w:rsidRPr="00405303">
        <w:rPr>
          <w:bCs/>
          <w:color w:val="002060"/>
          <w:sz w:val="16"/>
          <w:szCs w:val="16"/>
          <w:lang w:bidi="ru-RU"/>
        </w:rPr>
        <w:t>29 декабря 1915 г. (11 января 1916 г.) летчик Гренадерского корпусного авиаот</w:t>
      </w:r>
      <w:r w:rsidRPr="00405303">
        <w:rPr>
          <w:bCs/>
          <w:color w:val="002060"/>
          <w:sz w:val="16"/>
          <w:szCs w:val="16"/>
          <w:lang w:bidi="ru-RU"/>
        </w:rPr>
        <w:softHyphen/>
        <w:t>ряда поручик Слепцов, откомандирован</w:t>
      </w:r>
      <w:r w:rsidRPr="00405303">
        <w:rPr>
          <w:bCs/>
          <w:color w:val="002060"/>
          <w:sz w:val="16"/>
          <w:szCs w:val="16"/>
          <w:lang w:bidi="ru-RU"/>
        </w:rPr>
        <w:softHyphen/>
        <w:t>ный по этому случаю с фронта для проведения испытания первого опытного образца «Лебедь</w:t>
      </w:r>
      <w:r w:rsidRPr="00405303">
        <w:rPr>
          <w:bCs/>
          <w:color w:val="002060"/>
          <w:sz w:val="16"/>
          <w:szCs w:val="16"/>
          <w:lang w:bidi="en-US"/>
        </w:rPr>
        <w:t>-</w:t>
      </w:r>
      <w:r w:rsidRPr="00405303">
        <w:rPr>
          <w:bCs/>
          <w:color w:val="002060"/>
          <w:sz w:val="16"/>
          <w:szCs w:val="16"/>
          <w:lang w:val="en-US" w:bidi="en-US"/>
        </w:rPr>
        <w:t>XII</w:t>
      </w:r>
      <w:r w:rsidRPr="00405303">
        <w:rPr>
          <w:bCs/>
          <w:color w:val="002060"/>
          <w:sz w:val="16"/>
          <w:szCs w:val="16"/>
          <w:lang w:bidi="en-US"/>
        </w:rPr>
        <w:t xml:space="preserve">», </w:t>
      </w:r>
      <w:r w:rsidRPr="00405303">
        <w:rPr>
          <w:bCs/>
          <w:color w:val="002060"/>
          <w:sz w:val="16"/>
          <w:szCs w:val="16"/>
          <w:lang w:bidi="ru-RU"/>
        </w:rPr>
        <w:t>телеграфировал Августейш му заведующему авиацией и воздухоплава</w:t>
      </w:r>
      <w:r w:rsidRPr="00405303">
        <w:rPr>
          <w:bCs/>
          <w:color w:val="002060"/>
          <w:sz w:val="16"/>
          <w:szCs w:val="16"/>
          <w:lang w:bidi="ru-RU"/>
        </w:rPr>
        <w:softHyphen/>
        <w:t>нием в действующей армии великому кня</w:t>
      </w:r>
      <w:r w:rsidRPr="00405303">
        <w:rPr>
          <w:bCs/>
          <w:color w:val="002060"/>
          <w:sz w:val="16"/>
          <w:szCs w:val="16"/>
          <w:lang w:bidi="ru-RU"/>
        </w:rPr>
        <w:softHyphen/>
        <w:t>зю Александру Михайловичу: «Лебедь-ХН» с мотором «Сальмсон» лучше всех сущест</w:t>
      </w:r>
      <w:r w:rsidRPr="00405303">
        <w:rPr>
          <w:bCs/>
          <w:color w:val="002060"/>
          <w:sz w:val="16"/>
          <w:szCs w:val="16"/>
          <w:lang w:bidi="ru-RU"/>
        </w:rPr>
        <w:softHyphen/>
        <w:t>вующих аэропланов ... необходим немед</w:t>
      </w:r>
      <w:r w:rsidRPr="00405303">
        <w:rPr>
          <w:bCs/>
          <w:color w:val="002060"/>
          <w:sz w:val="16"/>
          <w:szCs w:val="16"/>
          <w:lang w:bidi="ru-RU"/>
        </w:rPr>
        <w:softHyphen/>
        <w:t>ленный заказ для боевых испытаний».</w:t>
      </w:r>
    </w:p>
    <w:p w14:paraId="49F1BC05" w14:textId="77777777" w:rsidR="00BB35D4" w:rsidRPr="00405303" w:rsidRDefault="00BB35D4" w:rsidP="00C15251">
      <w:pPr>
        <w:jc w:val="both"/>
        <w:rPr>
          <w:bCs/>
          <w:color w:val="002060"/>
          <w:sz w:val="16"/>
          <w:szCs w:val="16"/>
        </w:rPr>
      </w:pPr>
      <w:r w:rsidRPr="00405303">
        <w:rPr>
          <w:bCs/>
          <w:color w:val="002060"/>
          <w:sz w:val="16"/>
          <w:szCs w:val="16"/>
          <w:lang w:bidi="ru-RU"/>
        </w:rPr>
        <w:t>В дальнейшем в ходе испытательных по</w:t>
      </w:r>
      <w:r w:rsidRPr="00405303">
        <w:rPr>
          <w:bCs/>
          <w:color w:val="002060"/>
          <w:sz w:val="16"/>
          <w:szCs w:val="16"/>
          <w:lang w:bidi="ru-RU"/>
        </w:rPr>
        <w:softHyphen/>
        <w:t>летов была достигнута полетная скорость 120 км/ч, с полезной нагрузкой 350 кг са</w:t>
      </w:r>
      <w:r w:rsidRPr="00405303">
        <w:rPr>
          <w:bCs/>
          <w:color w:val="002060"/>
          <w:sz w:val="16"/>
          <w:szCs w:val="16"/>
          <w:lang w:bidi="ru-RU"/>
        </w:rPr>
        <w:softHyphen/>
        <w:t>молет набирал высоту 2000 м за 22 мин. Как положительное явление отмечалась жесткая установка двигателя и отсутствие вибраций. Выяснилось, что «Лебедь-ХП» имеет в сравнении с германским «Альбат</w:t>
      </w:r>
      <w:r w:rsidRPr="00405303">
        <w:rPr>
          <w:bCs/>
          <w:color w:val="002060"/>
          <w:sz w:val="16"/>
          <w:szCs w:val="16"/>
          <w:lang w:bidi="ru-RU"/>
        </w:rPr>
        <w:softHyphen/>
        <w:t>росом» больший запас летучести при 700 оборотах двигателя (полный газ), улучши</w:t>
      </w:r>
      <w:r w:rsidRPr="00405303">
        <w:rPr>
          <w:bCs/>
          <w:color w:val="002060"/>
          <w:sz w:val="16"/>
          <w:szCs w:val="16"/>
          <w:lang w:bidi="ru-RU"/>
        </w:rPr>
        <w:softHyphen/>
        <w:t>лись пилотажные характеристики, однако нагрузки на управление возросли, и следу</w:t>
      </w:r>
      <w:r w:rsidRPr="00405303">
        <w:rPr>
          <w:bCs/>
          <w:color w:val="002060"/>
          <w:sz w:val="16"/>
          <w:szCs w:val="16"/>
          <w:lang w:bidi="ru-RU"/>
        </w:rPr>
        <w:softHyphen/>
        <w:t>ет предпринять меры для их уменьшения. С целью устранения этих и других обнару</w:t>
      </w:r>
      <w:r w:rsidRPr="00405303">
        <w:rPr>
          <w:bCs/>
          <w:color w:val="002060"/>
          <w:sz w:val="16"/>
          <w:szCs w:val="16"/>
          <w:lang w:bidi="ru-RU"/>
        </w:rPr>
        <w:softHyphen/>
        <w:t>женных недостатков Слепцов рекомендо</w:t>
      </w:r>
      <w:r w:rsidRPr="00405303">
        <w:rPr>
          <w:bCs/>
          <w:color w:val="002060"/>
          <w:sz w:val="16"/>
          <w:szCs w:val="16"/>
          <w:lang w:bidi="ru-RU"/>
        </w:rPr>
        <w:softHyphen/>
        <w:t>вал переделать патрубки двигателя для от</w:t>
      </w:r>
      <w:r w:rsidRPr="00405303">
        <w:rPr>
          <w:bCs/>
          <w:color w:val="002060"/>
          <w:sz w:val="16"/>
          <w:szCs w:val="16"/>
          <w:lang w:bidi="ru-RU"/>
        </w:rPr>
        <w:softHyphen/>
        <w:t>вода выхлопных газов так, чтобы послед</w:t>
      </w:r>
      <w:r w:rsidRPr="00405303">
        <w:rPr>
          <w:bCs/>
          <w:color w:val="002060"/>
          <w:sz w:val="16"/>
          <w:szCs w:val="16"/>
          <w:lang w:bidi="ru-RU"/>
        </w:rPr>
        <w:softHyphen/>
        <w:t>ние не попадали в кабину, увеличить козырек летчика, поставить броню для эки</w:t>
      </w:r>
      <w:r w:rsidRPr="00405303">
        <w:rPr>
          <w:bCs/>
          <w:color w:val="002060"/>
          <w:sz w:val="16"/>
          <w:szCs w:val="16"/>
          <w:lang w:bidi="ru-RU"/>
        </w:rPr>
        <w:softHyphen/>
        <w:t>пажа.</w:t>
      </w:r>
    </w:p>
    <w:p w14:paraId="59C6F70A" w14:textId="77777777" w:rsidR="00BB35D4" w:rsidRPr="00405303" w:rsidRDefault="00BB35D4" w:rsidP="00C15251">
      <w:pPr>
        <w:jc w:val="both"/>
        <w:rPr>
          <w:bCs/>
          <w:color w:val="002060"/>
          <w:sz w:val="16"/>
          <w:szCs w:val="16"/>
        </w:rPr>
      </w:pPr>
      <w:r w:rsidRPr="00405303">
        <w:rPr>
          <w:bCs/>
          <w:color w:val="002060"/>
          <w:sz w:val="16"/>
          <w:szCs w:val="16"/>
          <w:lang w:bidi="ru-RU"/>
        </w:rPr>
        <w:t>В.А. Лебедев, воодушевленный результа</w:t>
      </w:r>
      <w:r w:rsidRPr="00405303">
        <w:rPr>
          <w:bCs/>
          <w:color w:val="002060"/>
          <w:sz w:val="16"/>
          <w:szCs w:val="16"/>
          <w:lang w:bidi="ru-RU"/>
        </w:rPr>
        <w:softHyphen/>
        <w:t>тами испытаний, обещал великому князю, что полезная нагрузка нового самолета бу</w:t>
      </w:r>
      <w:r w:rsidRPr="00405303">
        <w:rPr>
          <w:bCs/>
          <w:color w:val="002060"/>
          <w:sz w:val="16"/>
          <w:szCs w:val="16"/>
          <w:lang w:bidi="ru-RU"/>
        </w:rPr>
        <w:softHyphen/>
        <w:t>дет выше, чем у французского «Вуазена» и что следующий экземпляр оснастят двумя пулеметными установками (23374).</w:t>
      </w:r>
    </w:p>
    <w:p w14:paraId="410011B3" w14:textId="77777777" w:rsidR="00BB35D4" w:rsidRPr="00405303" w:rsidRDefault="00BB35D4" w:rsidP="00C15251">
      <w:pPr>
        <w:jc w:val="both"/>
        <w:rPr>
          <w:bCs/>
          <w:color w:val="002060"/>
          <w:sz w:val="16"/>
          <w:szCs w:val="16"/>
        </w:rPr>
      </w:pPr>
    </w:p>
    <w:p w14:paraId="12250F3C" w14:textId="57BCCDC1"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23 (или 29 декабря </w:t>
      </w:r>
      <w:proofErr w:type="gramStart"/>
      <w:r w:rsidRPr="00405303">
        <w:rPr>
          <w:bCs/>
          <w:color w:val="002060"/>
          <w:sz w:val="16"/>
          <w:szCs w:val="16"/>
        </w:rPr>
        <w:t>по другому</w:t>
      </w:r>
      <w:proofErr w:type="gramEnd"/>
      <w:r w:rsidRPr="00405303">
        <w:rPr>
          <w:bCs/>
          <w:color w:val="002060"/>
          <w:sz w:val="16"/>
          <w:szCs w:val="16"/>
        </w:rPr>
        <w:t xml:space="preserve"> источнику</w:t>
      </w:r>
      <w:r w:rsidR="001E33EB" w:rsidRPr="00405303">
        <w:rPr>
          <w:bCs/>
          <w:color w:val="002060"/>
          <w:sz w:val="16"/>
          <w:szCs w:val="16"/>
        </w:rPr>
        <w:t>1915 г.</w:t>
      </w:r>
      <w:r w:rsidRPr="00405303">
        <w:rPr>
          <w:bCs/>
          <w:color w:val="002060"/>
          <w:sz w:val="16"/>
          <w:szCs w:val="16"/>
        </w:rPr>
        <w:t xml:space="preserve"> (</w:t>
      </w:r>
      <w:r w:rsidR="001E33EB" w:rsidRPr="00405303">
        <w:rPr>
          <w:bCs/>
          <w:color w:val="002060"/>
          <w:sz w:val="16"/>
          <w:szCs w:val="16"/>
        </w:rPr>
        <w:t xml:space="preserve">5 или </w:t>
      </w:r>
      <w:r w:rsidRPr="00405303">
        <w:rPr>
          <w:bCs/>
          <w:color w:val="002060"/>
          <w:sz w:val="16"/>
          <w:szCs w:val="16"/>
        </w:rPr>
        <w:t>11 января 1916</w:t>
      </w:r>
      <w:r w:rsidR="001E33EB" w:rsidRPr="00405303">
        <w:rPr>
          <w:bCs/>
          <w:color w:val="002060"/>
          <w:sz w:val="16"/>
          <w:szCs w:val="16"/>
        </w:rPr>
        <w:t xml:space="preserve"> г.</w:t>
      </w:r>
      <w:r w:rsidRPr="00405303">
        <w:rPr>
          <w:bCs/>
          <w:color w:val="002060"/>
          <w:sz w:val="16"/>
          <w:szCs w:val="16"/>
        </w:rPr>
        <w:t>). Фирма обязалась выполнить все необхо</w:t>
      </w:r>
      <w:r w:rsidRPr="00405303">
        <w:rPr>
          <w:bCs/>
          <w:color w:val="002060"/>
          <w:sz w:val="16"/>
          <w:szCs w:val="16"/>
        </w:rPr>
        <w:softHyphen/>
        <w:t>димые чертежи и изготовить самолет в течение трех месяцев, Морское же ведомство бралось доставить мотор и провести все испытания (2843).</w:t>
      </w:r>
    </w:p>
    <w:p w14:paraId="32C63CC6" w14:textId="77777777" w:rsidR="004B4E35" w:rsidRPr="00405303" w:rsidRDefault="004B4E35" w:rsidP="00C15251">
      <w:pPr>
        <w:shd w:val="clear" w:color="auto" w:fill="FFFFFF"/>
        <w:jc w:val="both"/>
        <w:rPr>
          <w:bCs/>
          <w:color w:val="002060"/>
          <w:sz w:val="16"/>
          <w:szCs w:val="16"/>
        </w:rPr>
      </w:pPr>
    </w:p>
    <w:p w14:paraId="7A1658CF" w14:textId="5187ABB2" w:rsidR="004B4E35" w:rsidRPr="00405303" w:rsidRDefault="009E6F82" w:rsidP="00C15251">
      <w:pPr>
        <w:jc w:val="both"/>
        <w:rPr>
          <w:bCs/>
          <w:color w:val="002060"/>
          <w:sz w:val="16"/>
          <w:szCs w:val="16"/>
        </w:rPr>
      </w:pPr>
      <w:r w:rsidRPr="00405303">
        <w:rPr>
          <w:bCs/>
          <w:color w:val="002060"/>
          <w:sz w:val="16"/>
          <w:szCs w:val="16"/>
        </w:rPr>
        <w:t xml:space="preserve">29 декабря 1915 г. (11 января 1916) </w:t>
      </w:r>
      <w:r w:rsidR="008E4236" w:rsidRPr="00405303">
        <w:rPr>
          <w:bCs/>
          <w:color w:val="002060"/>
          <w:sz w:val="16"/>
          <w:szCs w:val="16"/>
        </w:rPr>
        <w:t>военный летчик Гренадерского корпусного авиаотряда поручик Василий Александрович Слепцов, командированный на завод Лебедева с фронта для испытаний</w:t>
      </w:r>
      <w:r w:rsidRPr="00405303">
        <w:rPr>
          <w:bCs/>
          <w:color w:val="002060"/>
          <w:sz w:val="16"/>
          <w:szCs w:val="16"/>
        </w:rPr>
        <w:t xml:space="preserve"> </w:t>
      </w:r>
      <w:r w:rsidR="008E4236" w:rsidRPr="00405303">
        <w:rPr>
          <w:bCs/>
          <w:color w:val="002060"/>
          <w:sz w:val="16"/>
          <w:szCs w:val="16"/>
        </w:rPr>
        <w:t xml:space="preserve">Лебедя Х11 (зав. № 325) с мотором "Сальмсон" 130 л.с., </w:t>
      </w:r>
      <w:r w:rsidRPr="00405303">
        <w:rPr>
          <w:bCs/>
          <w:color w:val="002060"/>
          <w:sz w:val="16"/>
          <w:szCs w:val="16"/>
        </w:rPr>
        <w:t xml:space="preserve">телеграфировал Августейшему Заведующему авиацией и воздухоплаванием в действующей армии Великому Князю Александру Михайловичу: "Лебедь-ХII с мотором "Сальмсон" лучше всех существующих аэропланов... необходим немедленный заказ для боевых испытаний". </w:t>
      </w:r>
    </w:p>
    <w:p w14:paraId="4659F815" w14:textId="77777777" w:rsidR="004B4E35" w:rsidRPr="00405303" w:rsidRDefault="009E6F82" w:rsidP="00C15251">
      <w:pPr>
        <w:jc w:val="both"/>
        <w:rPr>
          <w:bCs/>
          <w:color w:val="002060"/>
          <w:sz w:val="16"/>
          <w:szCs w:val="16"/>
        </w:rPr>
      </w:pPr>
      <w:r w:rsidRPr="00405303">
        <w:rPr>
          <w:bCs/>
          <w:color w:val="002060"/>
          <w:sz w:val="16"/>
          <w:szCs w:val="16"/>
        </w:rPr>
        <w:t xml:space="preserve">В ходе заводских испытаний аэроплан достиг скорости 120 км/ч и поднимался на высоту 2000 м за 22 мин с полезной нагрузкой в 350 кг. Вместе с тем выявился ряд недостатков. Так, Слепцов рекомендовал переделать патрубки для отвода выхлопных газов, попадавших в кабину; увеличить козырек кабины летчика; уменьшить усилие на штурвал; поставить броню для пилота и наблюдателя. Лебедев обещал Великому Князю, что полезная нагрузка нового самолета будет на 50 кг больше, чем у французского "Вуазена". Кроме того, он обещал на следующем опытном экземпляре поставить две пулеметные установки. </w:t>
      </w:r>
    </w:p>
    <w:p w14:paraId="048F1347" w14:textId="77777777" w:rsidR="004B4E35" w:rsidRPr="00405303" w:rsidRDefault="009E6F82" w:rsidP="00C15251">
      <w:pPr>
        <w:jc w:val="both"/>
        <w:rPr>
          <w:bCs/>
          <w:color w:val="002060"/>
          <w:sz w:val="16"/>
          <w:szCs w:val="16"/>
        </w:rPr>
      </w:pPr>
      <w:r w:rsidRPr="00405303">
        <w:rPr>
          <w:bCs/>
          <w:color w:val="002060"/>
          <w:sz w:val="16"/>
          <w:szCs w:val="16"/>
        </w:rPr>
        <w:t xml:space="preserve">Испытания были прерваны плохой погодой и для их продолжения самолет отправили по железной дороге сначала в Киев, потом на юг России - в Одессу. На завод "А.А.Анатра" самолет прибыл 11 февраля 1916 г., а через 4 дня совершил пробный полет и после посадки при рулении по аэродрому машина перевернулась. На ремонт требовалось недели две и его можно было произвести на месте, но Лебедев, опасаясь конкуренции, решил вернуть самолет в Петроград. </w:t>
      </w:r>
    </w:p>
    <w:p w14:paraId="7FE32F81" w14:textId="77777777" w:rsidR="004B4E35" w:rsidRPr="00405303" w:rsidRDefault="009E6F82" w:rsidP="00C15251">
      <w:pPr>
        <w:jc w:val="both"/>
        <w:rPr>
          <w:bCs/>
          <w:color w:val="002060"/>
          <w:sz w:val="16"/>
          <w:szCs w:val="16"/>
        </w:rPr>
      </w:pPr>
      <w:r w:rsidRPr="00405303">
        <w:rPr>
          <w:bCs/>
          <w:color w:val="002060"/>
          <w:sz w:val="16"/>
          <w:szCs w:val="16"/>
        </w:rPr>
        <w:t xml:space="preserve">Спустя два месяца, в мае 1916 г., не дождавшись результатов испытаний, Великий Князь Александр Михайлович посылает запрос на завод Лебедева о судьбе опытного самолета. Выясняется, что самолет ремонтировать не стали, а построили новый, отличающийся от прежнего. Испытания назначили на июнь. </w:t>
      </w:r>
    </w:p>
    <w:p w14:paraId="49A26837" w14:textId="77777777" w:rsidR="004B4E35" w:rsidRPr="00405303" w:rsidRDefault="009E6F82" w:rsidP="00C15251">
      <w:pPr>
        <w:jc w:val="both"/>
        <w:rPr>
          <w:bCs/>
          <w:color w:val="002060"/>
          <w:sz w:val="16"/>
          <w:szCs w:val="16"/>
        </w:rPr>
      </w:pPr>
      <w:r w:rsidRPr="00405303">
        <w:rPr>
          <w:bCs/>
          <w:color w:val="002060"/>
          <w:sz w:val="16"/>
          <w:szCs w:val="16"/>
        </w:rPr>
        <w:t xml:space="preserve">Решение о серийной постройке разведчика было принято еще во время проведения испытаний первого экземпляра. Великий Князь 23 февраля 1916 г. просил Военное ведомство выдать срочный заказ на 400 самолетов. Однако после долгой переписки между Александром Михайловичем, Главным Военно-Техническим управлением и Военным ведомством 19 апреля Лебедев получил контракт о поставке в армию 225 аэропланов "Лебедь"-ХII без моторов и винтов со сроком исполнения 15 июля 1917 г. Тем же контрактом предусматривалось изготовление 245 комплектов запасных частей и 10 учебных самолетов "Лебедь"-ХII. Общая сумма контракта составила 5153500 рублей. </w:t>
      </w:r>
    </w:p>
    <w:p w14:paraId="7684E5A9" w14:textId="77777777" w:rsidR="004B4E35" w:rsidRPr="00405303" w:rsidRDefault="009E6F82" w:rsidP="00C15251">
      <w:pPr>
        <w:jc w:val="both"/>
        <w:rPr>
          <w:bCs/>
          <w:color w:val="002060"/>
          <w:sz w:val="16"/>
          <w:szCs w:val="16"/>
        </w:rPr>
      </w:pPr>
      <w:r w:rsidRPr="00405303">
        <w:rPr>
          <w:bCs/>
          <w:color w:val="002060"/>
          <w:sz w:val="16"/>
          <w:szCs w:val="16"/>
        </w:rPr>
        <w:t xml:space="preserve">Испытания новой модификации "Лебедя"-XII начались в июле 1916 г. а 31 июля того же года военный летчик 13-го корпусного авиаотряда поручик Василий Захарович Барбас вылетел на опытном самолете (зав. № 457) из Петрограда на фронт. До Пскова он летел 3 ч 30 мин, мотор работал хорошо, самолет нареканий не вызывал. В </w:t>
      </w:r>
      <w:r w:rsidRPr="00405303">
        <w:rPr>
          <w:bCs/>
          <w:color w:val="002060"/>
          <w:sz w:val="16"/>
          <w:szCs w:val="16"/>
        </w:rPr>
        <w:lastRenderedPageBreak/>
        <w:t xml:space="preserve">Пскове Барбас взял новую карту, заправил бензобаки, отрегулировал мотор и вскоре вылетел в Двинск, где приземлился через 2 ч 20 мин. Общее впечатление летчика о машине было хорошим, он только указал, что "аппарат в полете тянет книзу, приходится удерживать его ручкой управления" (11183). </w:t>
      </w:r>
    </w:p>
    <w:p w14:paraId="636B82DF" w14:textId="77777777" w:rsidR="004B4E35" w:rsidRPr="00405303" w:rsidRDefault="004B4E35" w:rsidP="00C15251">
      <w:pPr>
        <w:jc w:val="both"/>
        <w:rPr>
          <w:bCs/>
          <w:color w:val="002060"/>
          <w:sz w:val="16"/>
          <w:szCs w:val="16"/>
        </w:rPr>
      </w:pPr>
    </w:p>
    <w:p w14:paraId="2E88963B"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48F81A84" w14:textId="77777777" w:rsidR="004B4E35" w:rsidRPr="00405303" w:rsidRDefault="004B4E35" w:rsidP="00C15251">
      <w:pPr>
        <w:jc w:val="both"/>
        <w:rPr>
          <w:bCs/>
          <w:i/>
          <w:color w:val="002060"/>
          <w:sz w:val="16"/>
          <w:szCs w:val="16"/>
        </w:rPr>
      </w:pPr>
    </w:p>
    <w:p w14:paraId="711E25EC" w14:textId="215E9251" w:rsidR="004B4E35" w:rsidRPr="00405303" w:rsidRDefault="009E6F82" w:rsidP="00C15251">
      <w:pPr>
        <w:jc w:val="both"/>
        <w:rPr>
          <w:bCs/>
          <w:color w:val="002060"/>
          <w:sz w:val="16"/>
          <w:szCs w:val="16"/>
        </w:rPr>
      </w:pPr>
      <w:r w:rsidRPr="00405303">
        <w:rPr>
          <w:bCs/>
          <w:color w:val="002060"/>
          <w:sz w:val="16"/>
          <w:szCs w:val="16"/>
        </w:rPr>
        <w:t xml:space="preserve">29 декабря 1915 </w:t>
      </w:r>
      <w:r w:rsidR="008E4236" w:rsidRPr="00405303">
        <w:rPr>
          <w:bCs/>
          <w:color w:val="002060"/>
          <w:sz w:val="16"/>
          <w:szCs w:val="16"/>
        </w:rPr>
        <w:t xml:space="preserve">г. </w:t>
      </w:r>
      <w:r w:rsidRPr="00405303">
        <w:rPr>
          <w:bCs/>
          <w:color w:val="002060"/>
          <w:sz w:val="16"/>
          <w:szCs w:val="16"/>
        </w:rPr>
        <w:t>(1</w:t>
      </w:r>
      <w:r w:rsidR="008E4236" w:rsidRPr="00405303">
        <w:rPr>
          <w:bCs/>
          <w:color w:val="002060"/>
          <w:sz w:val="16"/>
          <w:szCs w:val="16"/>
        </w:rPr>
        <w:t>1</w:t>
      </w:r>
      <w:r w:rsidRPr="00405303">
        <w:rPr>
          <w:bCs/>
          <w:color w:val="002060"/>
          <w:sz w:val="16"/>
          <w:szCs w:val="16"/>
        </w:rPr>
        <w:t xml:space="preserve"> января 1916</w:t>
      </w:r>
      <w:r w:rsidR="008E4236" w:rsidRPr="00405303">
        <w:rPr>
          <w:bCs/>
          <w:color w:val="002060"/>
          <w:sz w:val="16"/>
          <w:szCs w:val="16"/>
        </w:rPr>
        <w:t xml:space="preserve"> г.</w:t>
      </w:r>
      <w:r w:rsidRPr="00405303">
        <w:rPr>
          <w:bCs/>
          <w:color w:val="002060"/>
          <w:sz w:val="16"/>
          <w:szCs w:val="16"/>
        </w:rPr>
        <w:t>) доводка «Вездехода» производилась в Петрограде и была</w:t>
      </w:r>
      <w:r w:rsidR="008E4236" w:rsidRPr="00405303">
        <w:rPr>
          <w:bCs/>
          <w:color w:val="002060"/>
          <w:sz w:val="16"/>
          <w:szCs w:val="16"/>
        </w:rPr>
        <w:t xml:space="preserve"> </w:t>
      </w:r>
      <w:r w:rsidRPr="00405303">
        <w:rPr>
          <w:bCs/>
          <w:color w:val="002060"/>
          <w:sz w:val="16"/>
          <w:szCs w:val="16"/>
        </w:rPr>
        <w:t>достигнута скорость порядка 40 верст/час. К этому времени былоизрасходовано 18000 руб. Дело сулило успех, но... военные прекратили</w:t>
      </w:r>
      <w:r w:rsidR="008E4236" w:rsidRPr="00405303">
        <w:rPr>
          <w:bCs/>
          <w:color w:val="002060"/>
          <w:sz w:val="16"/>
          <w:szCs w:val="16"/>
        </w:rPr>
        <w:t xml:space="preserve"> </w:t>
      </w:r>
      <w:r w:rsidRPr="00405303">
        <w:rPr>
          <w:bCs/>
          <w:color w:val="002060"/>
          <w:sz w:val="16"/>
          <w:szCs w:val="16"/>
        </w:rPr>
        <w:t>финансирование работ. В этой связи нередко ссылаются на преступное</w:t>
      </w:r>
      <w:r w:rsidR="008E4236" w:rsidRPr="00405303">
        <w:rPr>
          <w:bCs/>
          <w:color w:val="002060"/>
          <w:sz w:val="16"/>
          <w:szCs w:val="16"/>
        </w:rPr>
        <w:t xml:space="preserve"> </w:t>
      </w:r>
      <w:r w:rsidRPr="00405303">
        <w:rPr>
          <w:bCs/>
          <w:color w:val="002060"/>
          <w:sz w:val="16"/>
          <w:szCs w:val="16"/>
        </w:rPr>
        <w:t>равнодушие и бюрократизм. Однако шел 1916 год, в самом разгаре была первая мировая война, и боевые действия приобрели затяжной позиционный характер. Объективно «Вездеход», обогнавший свое время, оказался «не кстати». Ожидатьот скоростной, высокоманевренной машины эффективной работы на многорядных проволочных заграждениях не приходилось. Для этих целей она явно негодилась. Требовался специальный танк — позиционный. И достаточно было Н.Лебеденко подать заявку на колесную боевую машину прорыва, как свысочайшего благоволения императора Николая II он получил необходимые силы и средства для осуществления своегопроекта. Итак, несмотря на положительные результаты испытаний, работы поусовершенствованию опытного образца «Вездехода» были прекращены. Главноевоенно-техническое управление приняло все меры по срыву успешного завершения опытных работ и организации промышленного производства танков в России. На различные предложения о дальнейшей судьбе «Вездехода» начальник Главного военно-технического управления отвечал следующими характерными резолюциями: «Почему мы вмешались в это дело?», «Для чего он нам?» (напредложение о передаче «Вездехода» в Главное военно-техническоеуправление). С декабря 1915 и по октябрь 1916 года шла бюрократическая переписка, были заторможены все работы над «Вездеходом». Подлинные чертежи первого «Вездехода» А. А. Пороховщикова еще не удалосьразыскать. Сравнительно недавно были обнаружены документы, по которымудалось восстановить в основных чертах историю его постройки, а также былинайдены фотоснимки машины, сделанные во время ее испытаний (11194).</w:t>
      </w:r>
    </w:p>
    <w:p w14:paraId="2CA1C51F" w14:textId="77777777" w:rsidR="004B4E35" w:rsidRPr="00405303" w:rsidRDefault="004B4E35" w:rsidP="00C15251">
      <w:pPr>
        <w:jc w:val="both"/>
        <w:rPr>
          <w:bCs/>
          <w:color w:val="002060"/>
          <w:sz w:val="16"/>
          <w:szCs w:val="16"/>
        </w:rPr>
      </w:pPr>
    </w:p>
    <w:p w14:paraId="55140FCD" w14:textId="7ED3DD55" w:rsidR="004054D2" w:rsidRPr="00405303" w:rsidRDefault="004054D2" w:rsidP="00C15251">
      <w:pPr>
        <w:jc w:val="both"/>
        <w:rPr>
          <w:bCs/>
          <w:color w:val="002060"/>
          <w:sz w:val="16"/>
          <w:szCs w:val="16"/>
        </w:rPr>
      </w:pPr>
      <w:r w:rsidRPr="00405303">
        <w:rPr>
          <w:bCs/>
          <w:color w:val="002060"/>
          <w:sz w:val="16"/>
          <w:szCs w:val="16"/>
        </w:rPr>
        <w:t xml:space="preserve">29 декабря 1915 </w:t>
      </w:r>
      <w:r w:rsidR="008E4236" w:rsidRPr="00405303">
        <w:rPr>
          <w:bCs/>
          <w:color w:val="002060"/>
          <w:sz w:val="16"/>
          <w:szCs w:val="16"/>
        </w:rPr>
        <w:t xml:space="preserve">г. </w:t>
      </w:r>
      <w:r w:rsidRPr="00405303">
        <w:rPr>
          <w:bCs/>
          <w:color w:val="002060"/>
          <w:sz w:val="16"/>
          <w:szCs w:val="16"/>
        </w:rPr>
        <w:t>(11 января 1916</w:t>
      </w:r>
      <w:r w:rsidR="008E4236" w:rsidRPr="00405303">
        <w:rPr>
          <w:bCs/>
          <w:color w:val="002060"/>
          <w:sz w:val="16"/>
          <w:szCs w:val="16"/>
        </w:rPr>
        <w:t xml:space="preserve"> г.</w:t>
      </w:r>
      <w:r w:rsidRPr="00405303">
        <w:rPr>
          <w:bCs/>
          <w:color w:val="002060"/>
          <w:sz w:val="16"/>
          <w:szCs w:val="16"/>
        </w:rPr>
        <w:t>). Вторые официальные испытания “Вездехода”. Достигнута скорость порядка 40 верст/час. Наблюдающий за работами полковник рапортом от 08.01.1916 начальнику Инженерных снабжений армий СЗФ: «построенный экземпляр «Вездехода» не выказал всех тех качеств, которые обусловлены докладом №8101, например, не мог переходить через канавы в 1 м шириной (видимо, траншеи), не мог идти по рыхлому снегу глубиной около 1 фута, а испытания хода по воде сделано не было…». Если считать, что при публикации из рапорта цитировались наиболее серьезные моменты (так должно быть), то ничего фатального на испытаниях не произошло. Если считать, что из заявления Пороховщиков от 03.01.1916 цитируются также наиболее важные показания по доводке машины, то тем более ничего критичного: увеличить длину базы или смонтировать «хвост», поставить дополнительные опорные катки (барабаны), оснастить гусеничную ленту грунтозацепами и форсировать двигатель — дело времени.</w:t>
      </w:r>
    </w:p>
    <w:p w14:paraId="7DAF07A2" w14:textId="77777777" w:rsidR="004054D2" w:rsidRPr="00405303" w:rsidRDefault="004054D2" w:rsidP="00C15251">
      <w:pPr>
        <w:jc w:val="both"/>
        <w:rPr>
          <w:bCs/>
          <w:color w:val="002060"/>
          <w:sz w:val="16"/>
          <w:szCs w:val="16"/>
        </w:rPr>
      </w:pPr>
      <w:r w:rsidRPr="00405303">
        <w:rPr>
          <w:bCs/>
          <w:color w:val="002060"/>
          <w:sz w:val="16"/>
          <w:szCs w:val="16"/>
        </w:rPr>
        <w:t xml:space="preserve">На единственном «испытательном экземпляре» не решают всех вопросов, необходимо продолжение работ по доводке и создание усовершенствованного образца. Это норма(!) Возглавляемая Триттоном компания Foster продолжала строить Little Willy и после того, когда уже знали, что он никуда не пойдет — его перекрывал проектируемый Big Willy. Однако, машину достроили, испытали и получили </w:t>
      </w:r>
      <w:proofErr w:type="gramStart"/>
      <w:r w:rsidRPr="00405303">
        <w:rPr>
          <w:bCs/>
          <w:color w:val="002060"/>
          <w:sz w:val="16"/>
          <w:szCs w:val="16"/>
        </w:rPr>
        <w:t>то</w:t>
      </w:r>
      <w:proofErr w:type="gramEnd"/>
      <w:r w:rsidRPr="00405303">
        <w:rPr>
          <w:bCs/>
          <w:color w:val="002060"/>
          <w:sz w:val="16"/>
          <w:szCs w:val="16"/>
        </w:rPr>
        <w:t xml:space="preserve"> чего нигде не купишь — опыт, более того вскоре нашли ей практическое применение (см. Whippet) (12111).</w:t>
      </w:r>
    </w:p>
    <w:p w14:paraId="3EC4BBBA" w14:textId="77777777" w:rsidR="004054D2" w:rsidRPr="00405303" w:rsidRDefault="004054D2" w:rsidP="00C15251">
      <w:pPr>
        <w:jc w:val="both"/>
        <w:rPr>
          <w:bCs/>
          <w:iCs/>
          <w:color w:val="002060"/>
          <w:sz w:val="16"/>
          <w:szCs w:val="16"/>
        </w:rPr>
      </w:pPr>
    </w:p>
    <w:p w14:paraId="1C629B60" w14:textId="77777777" w:rsidR="00F86DB6" w:rsidRPr="00405303" w:rsidRDefault="00F86DB6" w:rsidP="00C15251">
      <w:pPr>
        <w:jc w:val="both"/>
        <w:rPr>
          <w:bCs/>
          <w:iCs/>
          <w:color w:val="002060"/>
          <w:sz w:val="16"/>
          <w:szCs w:val="16"/>
        </w:rPr>
      </w:pPr>
      <w:r w:rsidRPr="00405303">
        <w:rPr>
          <w:bCs/>
          <w:i/>
          <w:iCs/>
          <w:color w:val="002060"/>
          <w:sz w:val="16"/>
          <w:szCs w:val="16"/>
        </w:rPr>
        <w:t>За рубежом:</w:t>
      </w:r>
    </w:p>
    <w:p w14:paraId="0DEF6C53" w14:textId="77777777" w:rsidR="00F86DB6" w:rsidRPr="00405303" w:rsidRDefault="00F86DB6" w:rsidP="00C15251">
      <w:pPr>
        <w:jc w:val="both"/>
        <w:rPr>
          <w:bCs/>
          <w:iCs/>
          <w:color w:val="002060"/>
          <w:sz w:val="16"/>
          <w:szCs w:val="16"/>
        </w:rPr>
      </w:pPr>
    </w:p>
    <w:p w14:paraId="351B5357" w14:textId="3CBC7794" w:rsidR="00F86DB6" w:rsidRPr="00405303" w:rsidRDefault="00F86DB6" w:rsidP="00C15251">
      <w:pPr>
        <w:pStyle w:val="ae"/>
        <w:spacing w:before="0" w:beforeAutospacing="0" w:after="0" w:afterAutospacing="0"/>
        <w:jc w:val="both"/>
        <w:rPr>
          <w:bCs/>
          <w:color w:val="002060"/>
          <w:sz w:val="16"/>
          <w:szCs w:val="16"/>
        </w:rPr>
      </w:pPr>
      <w:r w:rsidRPr="00405303">
        <w:rPr>
          <w:bCs/>
          <w:color w:val="002060"/>
          <w:sz w:val="16"/>
          <w:szCs w:val="16"/>
        </w:rPr>
        <w:t xml:space="preserve">29 декабря 1915 </w:t>
      </w:r>
      <w:r w:rsidR="008E4236" w:rsidRPr="00405303">
        <w:rPr>
          <w:bCs/>
          <w:color w:val="002060"/>
          <w:sz w:val="16"/>
          <w:szCs w:val="16"/>
        </w:rPr>
        <w:t xml:space="preserve">г. </w:t>
      </w:r>
      <w:r w:rsidRPr="00405303">
        <w:rPr>
          <w:bCs/>
          <w:color w:val="002060"/>
          <w:sz w:val="16"/>
          <w:szCs w:val="16"/>
        </w:rPr>
        <w:t>(11 января 1916</w:t>
      </w:r>
      <w:r w:rsidR="008E4236" w:rsidRPr="00405303">
        <w:rPr>
          <w:bCs/>
          <w:color w:val="002060"/>
          <w:sz w:val="16"/>
          <w:szCs w:val="16"/>
        </w:rPr>
        <w:t xml:space="preserve"> г.</w:t>
      </w:r>
      <w:r w:rsidRPr="00405303">
        <w:rPr>
          <w:bCs/>
          <w:color w:val="002060"/>
          <w:sz w:val="16"/>
          <w:szCs w:val="16"/>
        </w:rPr>
        <w:t>) черногорские войска под натиском многократно превосходящей австро-венгерской армии оставили столицу страны город Цетине (17045).</w:t>
      </w:r>
    </w:p>
    <w:p w14:paraId="74590A5E" w14:textId="77777777" w:rsidR="00F86DB6" w:rsidRPr="00405303" w:rsidRDefault="00F86DB6" w:rsidP="00C15251">
      <w:pPr>
        <w:jc w:val="both"/>
        <w:rPr>
          <w:bCs/>
          <w:iCs/>
          <w:color w:val="002060"/>
          <w:sz w:val="16"/>
          <w:szCs w:val="16"/>
        </w:rPr>
      </w:pPr>
    </w:p>
    <w:p w14:paraId="16EFA938"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033B8092" w14:textId="77777777" w:rsidR="004B4E35" w:rsidRPr="00405303" w:rsidRDefault="004B4E35" w:rsidP="00C15251">
      <w:pPr>
        <w:jc w:val="both"/>
        <w:rPr>
          <w:bCs/>
          <w:i/>
          <w:color w:val="002060"/>
          <w:sz w:val="16"/>
          <w:szCs w:val="16"/>
        </w:rPr>
      </w:pPr>
    </w:p>
    <w:p w14:paraId="78C01DCD" w14:textId="77777777" w:rsidR="008E4236" w:rsidRPr="00405303" w:rsidRDefault="008E4236" w:rsidP="00C15251">
      <w:pPr>
        <w:shd w:val="clear" w:color="auto" w:fill="FFFFFF"/>
        <w:jc w:val="both"/>
        <w:rPr>
          <w:bCs/>
          <w:color w:val="002060"/>
          <w:sz w:val="16"/>
          <w:szCs w:val="16"/>
        </w:rPr>
      </w:pPr>
      <w:r w:rsidRPr="00405303">
        <w:rPr>
          <w:bCs/>
          <w:color w:val="002060"/>
          <w:sz w:val="16"/>
          <w:szCs w:val="16"/>
        </w:rPr>
        <w:t xml:space="preserve">30 декабря 1915 (12 января 1916) года </w:t>
      </w:r>
    </w:p>
    <w:p w14:paraId="1CC00F7F" w14:textId="6944355D" w:rsidR="004B4E35" w:rsidRPr="00405303" w:rsidRDefault="009E6F82" w:rsidP="00C15251">
      <w:pPr>
        <w:shd w:val="clear" w:color="auto" w:fill="FFFFFF"/>
        <w:jc w:val="both"/>
        <w:rPr>
          <w:bCs/>
          <w:color w:val="002060"/>
          <w:sz w:val="16"/>
          <w:szCs w:val="16"/>
        </w:rPr>
      </w:pPr>
      <w:r w:rsidRPr="00405303">
        <w:rPr>
          <w:bCs/>
          <w:color w:val="002060"/>
          <w:sz w:val="16"/>
          <w:szCs w:val="16"/>
        </w:rPr>
        <w:t>ПРОТОКОЛ</w:t>
      </w:r>
    </w:p>
    <w:p w14:paraId="0F1F464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Комиссии, назначенной пряказом Начальника Военного Отделения Офицерской Школы Морской Авиации от 22-го декабря 1915 за № 258 от 30 декабря 1915 (12 января 1916) года за № 309.</w:t>
      </w:r>
    </w:p>
    <w:p w14:paraId="3DD87CD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 Характеристика гидроаэроплана завода С.С.Щетинина “Морской 9".</w:t>
      </w:r>
    </w:p>
    <w:p w14:paraId="353A3CE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Отрыв</w:t>
      </w:r>
      <w:proofErr w:type="gramStart"/>
      <w:r w:rsidRPr="00405303">
        <w:rPr>
          <w:bCs/>
          <w:color w:val="002060"/>
          <w:sz w:val="16"/>
          <w:szCs w:val="16"/>
        </w:rPr>
        <w:t>: Легко</w:t>
      </w:r>
      <w:proofErr w:type="gramEnd"/>
      <w:r w:rsidRPr="00405303">
        <w:rPr>
          <w:bCs/>
          <w:color w:val="002060"/>
          <w:sz w:val="16"/>
          <w:szCs w:val="16"/>
        </w:rPr>
        <w:t xml:space="preserve"> выходят из воды. При разбеге быстро поднимает хвост</w:t>
      </w:r>
    </w:p>
    <w:p w14:paraId="163EC92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Быстро отрывается</w:t>
      </w:r>
    </w:p>
    <w:p w14:paraId="01B88EB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 Полет</w:t>
      </w:r>
      <w:proofErr w:type="gramStart"/>
      <w:r w:rsidRPr="00405303">
        <w:rPr>
          <w:bCs/>
          <w:color w:val="002060"/>
          <w:sz w:val="16"/>
          <w:szCs w:val="16"/>
        </w:rPr>
        <w:t>: Совершенно</w:t>
      </w:r>
      <w:proofErr w:type="gramEnd"/>
      <w:r w:rsidRPr="00405303">
        <w:rPr>
          <w:bCs/>
          <w:color w:val="002060"/>
          <w:sz w:val="16"/>
          <w:szCs w:val="16"/>
        </w:rPr>
        <w:t xml:space="preserve"> уравновешенный аппарат, обладающий большой остойчивостью и летучестью. Сохраняет устойчивость на виражах. Скорость больше чем М-5 и Ф.В.А. Свободно идет на высоту в полном грузу.</w:t>
      </w:r>
    </w:p>
    <w:p w14:paraId="2048451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 Планирование</w:t>
      </w:r>
      <w:proofErr w:type="gramStart"/>
      <w:r w:rsidRPr="00405303">
        <w:rPr>
          <w:bCs/>
          <w:color w:val="002060"/>
          <w:sz w:val="16"/>
          <w:szCs w:val="16"/>
        </w:rPr>
        <w:t>: Планирует</w:t>
      </w:r>
      <w:proofErr w:type="gramEnd"/>
      <w:r w:rsidRPr="00405303">
        <w:rPr>
          <w:bCs/>
          <w:color w:val="002060"/>
          <w:sz w:val="16"/>
          <w:szCs w:val="16"/>
        </w:rPr>
        <w:t xml:space="preserve"> полого. Вообще хороший планер.</w:t>
      </w:r>
    </w:p>
    <w:p w14:paraId="0F8E92A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 Посадка. Благодаря хорошей летучестя долго идет выровненный над водой, почеку садится на небольшой скорости.</w:t>
      </w:r>
    </w:p>
    <w:p w14:paraId="6B9D6D6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 На воде</w:t>
      </w:r>
      <w:proofErr w:type="gramStart"/>
      <w:r w:rsidRPr="00405303">
        <w:rPr>
          <w:bCs/>
          <w:color w:val="002060"/>
          <w:sz w:val="16"/>
          <w:szCs w:val="16"/>
        </w:rPr>
        <w:t>: Хорошо</w:t>
      </w:r>
      <w:proofErr w:type="gramEnd"/>
      <w:r w:rsidRPr="00405303">
        <w:rPr>
          <w:bCs/>
          <w:color w:val="002060"/>
          <w:sz w:val="16"/>
          <w:szCs w:val="16"/>
        </w:rPr>
        <w:t xml:space="preserve"> управляем.</w:t>
      </w:r>
    </w:p>
    <w:p w14:paraId="117B0CF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Января 11 дня 1916 года г.</w:t>
      </w:r>
      <w:proofErr w:type="gramStart"/>
      <w:r w:rsidRPr="00405303">
        <w:rPr>
          <w:bCs/>
          <w:color w:val="002060"/>
          <w:sz w:val="16"/>
          <w:szCs w:val="16"/>
        </w:rPr>
        <w:t>Б</w:t>
      </w:r>
      <w:proofErr w:type="gramEnd"/>
      <w:r w:rsidRPr="00405303">
        <w:rPr>
          <w:bCs/>
          <w:color w:val="002060"/>
          <w:sz w:val="16"/>
          <w:szCs w:val="16"/>
        </w:rPr>
        <w:t xml:space="preserve"> а к у.</w:t>
      </w:r>
    </w:p>
    <w:p w14:paraId="38AD460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Председатель Комиссии:</w:t>
      </w:r>
    </w:p>
    <w:p w14:paraId="6A63923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Члены (2807)</w:t>
      </w:r>
    </w:p>
    <w:p w14:paraId="08EE345C" w14:textId="77777777" w:rsidR="004B4E35" w:rsidRPr="00405303" w:rsidRDefault="004B4E35" w:rsidP="00C15251">
      <w:pPr>
        <w:shd w:val="clear" w:color="auto" w:fill="FFFFFF"/>
        <w:jc w:val="both"/>
        <w:rPr>
          <w:bCs/>
          <w:color w:val="002060"/>
          <w:sz w:val="16"/>
          <w:szCs w:val="16"/>
        </w:rPr>
      </w:pPr>
    </w:p>
    <w:p w14:paraId="355B6D1D" w14:textId="29A4385B" w:rsidR="004B4E35" w:rsidRPr="00405303" w:rsidRDefault="009E6F82" w:rsidP="00C15251">
      <w:pPr>
        <w:jc w:val="both"/>
        <w:rPr>
          <w:bCs/>
          <w:color w:val="002060"/>
          <w:sz w:val="16"/>
          <w:szCs w:val="16"/>
        </w:rPr>
      </w:pPr>
      <w:r w:rsidRPr="00405303">
        <w:rPr>
          <w:bCs/>
          <w:color w:val="002060"/>
          <w:sz w:val="16"/>
          <w:szCs w:val="16"/>
        </w:rPr>
        <w:t>30 декабря 1915</w:t>
      </w:r>
      <w:r w:rsidR="008E4236" w:rsidRPr="00405303">
        <w:rPr>
          <w:bCs/>
          <w:color w:val="002060"/>
          <w:sz w:val="16"/>
          <w:szCs w:val="16"/>
        </w:rPr>
        <w:t xml:space="preserve"> г.</w:t>
      </w:r>
      <w:r w:rsidRPr="00405303">
        <w:rPr>
          <w:bCs/>
          <w:color w:val="002060"/>
          <w:sz w:val="16"/>
          <w:szCs w:val="16"/>
        </w:rPr>
        <w:t xml:space="preserve"> (12 января 1916</w:t>
      </w:r>
      <w:r w:rsidR="008E4236" w:rsidRPr="00405303">
        <w:rPr>
          <w:bCs/>
          <w:color w:val="002060"/>
          <w:sz w:val="16"/>
          <w:szCs w:val="16"/>
        </w:rPr>
        <w:t xml:space="preserve"> г.</w:t>
      </w:r>
      <w:r w:rsidRPr="00405303">
        <w:rPr>
          <w:bCs/>
          <w:color w:val="002060"/>
          <w:sz w:val="16"/>
          <w:szCs w:val="16"/>
        </w:rPr>
        <w:t>) была подготовлена телеграмма:</w:t>
      </w:r>
    </w:p>
    <w:p w14:paraId="0F75B426" w14:textId="77777777" w:rsidR="004B4E35" w:rsidRPr="00405303" w:rsidRDefault="009E6F82" w:rsidP="00C15251">
      <w:pPr>
        <w:jc w:val="both"/>
        <w:rPr>
          <w:bCs/>
          <w:color w:val="002060"/>
          <w:sz w:val="16"/>
          <w:szCs w:val="16"/>
        </w:rPr>
      </w:pPr>
      <w:r w:rsidRPr="00405303">
        <w:rPr>
          <w:bCs/>
          <w:color w:val="002060"/>
          <w:sz w:val="16"/>
          <w:szCs w:val="16"/>
        </w:rPr>
        <w:t>"Мощность и дальность полета, дающие возможность выполнять разведки глубокого тыла и больших районов, значительная подъемная сила, позволяющая брать с собой большой запас бомб, сравнительно меткое попадание их и, наконец, солидное вооружение - все это составляет такие преимущества муромцев в сравнении с малыми аппаратами, что в интересах полной и всесторонней воздушной разведки и набегов отказаться от них как от необходимого дополнения малым самолетам не только не приходится, но наоборот желательно увеличение числа их в Зегевельдской эскадре.</w:t>
      </w:r>
    </w:p>
    <w:p w14:paraId="318CDBA4" w14:textId="77777777" w:rsidR="004B4E35" w:rsidRPr="00405303" w:rsidRDefault="009E6F82" w:rsidP="00C15251">
      <w:pPr>
        <w:jc w:val="both"/>
        <w:rPr>
          <w:bCs/>
          <w:color w:val="002060"/>
          <w:sz w:val="16"/>
          <w:szCs w:val="16"/>
        </w:rPr>
      </w:pPr>
      <w:r w:rsidRPr="00405303">
        <w:rPr>
          <w:bCs/>
          <w:color w:val="002060"/>
          <w:sz w:val="16"/>
          <w:szCs w:val="16"/>
        </w:rPr>
        <w:t>В настоящее время работа муромцев при армии не оставляет желать лучшего.</w:t>
      </w:r>
    </w:p>
    <w:p w14:paraId="03D2E126" w14:textId="77777777" w:rsidR="004B4E35" w:rsidRPr="00405303" w:rsidRDefault="009E6F82" w:rsidP="00C15251">
      <w:pPr>
        <w:jc w:val="both"/>
        <w:rPr>
          <w:bCs/>
          <w:color w:val="002060"/>
          <w:sz w:val="16"/>
          <w:szCs w:val="16"/>
        </w:rPr>
      </w:pPr>
      <w:r w:rsidRPr="00405303">
        <w:rPr>
          <w:bCs/>
          <w:color w:val="002060"/>
          <w:sz w:val="16"/>
          <w:szCs w:val="16"/>
        </w:rPr>
        <w:t>Большинство возлагающихся на них задач были выполнены весьма хорошо и с пользой для дела; приходится только пожалеть, что лучшие по своим техкачествам корабли в настоящее время выбыли из- района армии и имеющихся двух для обслуживания армии недостаточно." Венден, ген. Беляев (Нач. штаба 12А) (3799).</w:t>
      </w:r>
    </w:p>
    <w:p w14:paraId="4C14159E" w14:textId="77777777" w:rsidR="004B4E35" w:rsidRPr="00405303" w:rsidRDefault="004B4E35" w:rsidP="00C15251">
      <w:pPr>
        <w:shd w:val="clear" w:color="auto" w:fill="FFFFFF"/>
        <w:jc w:val="both"/>
        <w:rPr>
          <w:bCs/>
          <w:color w:val="002060"/>
          <w:sz w:val="16"/>
          <w:szCs w:val="16"/>
        </w:rPr>
      </w:pPr>
    </w:p>
    <w:p w14:paraId="28B730DC" w14:textId="14420C73" w:rsidR="00C74E3B" w:rsidRPr="00405303" w:rsidRDefault="00C74E3B" w:rsidP="00C15251">
      <w:pPr>
        <w:jc w:val="both"/>
        <w:rPr>
          <w:bCs/>
          <w:color w:val="002060"/>
          <w:sz w:val="16"/>
          <w:szCs w:val="16"/>
        </w:rPr>
      </w:pPr>
      <w:r w:rsidRPr="00405303">
        <w:rPr>
          <w:bCs/>
          <w:color w:val="002060"/>
          <w:sz w:val="16"/>
          <w:szCs w:val="16"/>
        </w:rPr>
        <w:t>30 декабря 1915 года (1</w:t>
      </w:r>
      <w:r w:rsidR="008E4236" w:rsidRPr="00405303">
        <w:rPr>
          <w:bCs/>
          <w:color w:val="002060"/>
          <w:sz w:val="16"/>
          <w:szCs w:val="16"/>
        </w:rPr>
        <w:t>2</w:t>
      </w:r>
      <w:r w:rsidRPr="00405303">
        <w:rPr>
          <w:bCs/>
          <w:color w:val="002060"/>
          <w:sz w:val="16"/>
          <w:szCs w:val="16"/>
        </w:rPr>
        <w:t xml:space="preserve"> января 1916</w:t>
      </w:r>
      <w:r w:rsidR="008E4236" w:rsidRPr="00405303">
        <w:rPr>
          <w:bCs/>
          <w:color w:val="002060"/>
          <w:sz w:val="16"/>
          <w:szCs w:val="16"/>
        </w:rPr>
        <w:t xml:space="preserve"> г.</w:t>
      </w:r>
      <w:r w:rsidRPr="00405303">
        <w:rPr>
          <w:bCs/>
          <w:color w:val="002060"/>
          <w:sz w:val="16"/>
          <w:szCs w:val="16"/>
        </w:rPr>
        <w:t>)</w:t>
      </w:r>
    </w:p>
    <w:p w14:paraId="16DA2BBC" w14:textId="77777777" w:rsidR="00C74E3B" w:rsidRPr="00405303" w:rsidRDefault="00C74E3B" w:rsidP="00C15251">
      <w:pPr>
        <w:jc w:val="both"/>
        <w:rPr>
          <w:bCs/>
          <w:color w:val="002060"/>
          <w:sz w:val="16"/>
          <w:szCs w:val="16"/>
        </w:rPr>
      </w:pPr>
      <w:r w:rsidRPr="00405303">
        <w:rPr>
          <w:bCs/>
          <w:color w:val="002060"/>
          <w:sz w:val="16"/>
          <w:szCs w:val="16"/>
        </w:rPr>
        <w:t>Копия.</w:t>
      </w:r>
    </w:p>
    <w:p w14:paraId="4ACC8D88" w14:textId="77777777" w:rsidR="00C74E3B" w:rsidRPr="00405303" w:rsidRDefault="00C74E3B" w:rsidP="00C15251">
      <w:pPr>
        <w:jc w:val="both"/>
        <w:rPr>
          <w:bCs/>
          <w:color w:val="002060"/>
          <w:sz w:val="16"/>
          <w:szCs w:val="16"/>
        </w:rPr>
      </w:pPr>
      <w:r w:rsidRPr="00405303">
        <w:rPr>
          <w:bCs/>
          <w:color w:val="002060"/>
          <w:sz w:val="16"/>
          <w:szCs w:val="16"/>
        </w:rPr>
        <w:t>Совершенно секретно.</w:t>
      </w:r>
    </w:p>
    <w:p w14:paraId="245E8A20" w14:textId="77777777" w:rsidR="00C74E3B" w:rsidRPr="00405303" w:rsidRDefault="00C74E3B" w:rsidP="00C15251">
      <w:pPr>
        <w:jc w:val="both"/>
        <w:rPr>
          <w:bCs/>
          <w:color w:val="002060"/>
          <w:sz w:val="16"/>
          <w:szCs w:val="16"/>
        </w:rPr>
      </w:pPr>
      <w:r w:rsidRPr="00405303">
        <w:rPr>
          <w:bCs/>
          <w:color w:val="002060"/>
          <w:sz w:val="16"/>
          <w:szCs w:val="16"/>
        </w:rPr>
        <w:t>Журнал № 36</w:t>
      </w:r>
    </w:p>
    <w:p w14:paraId="59E5C0CB" w14:textId="77777777" w:rsidR="00C74E3B" w:rsidRPr="00405303" w:rsidRDefault="00C74E3B" w:rsidP="00C15251">
      <w:pPr>
        <w:jc w:val="both"/>
        <w:rPr>
          <w:bCs/>
          <w:color w:val="002060"/>
          <w:sz w:val="16"/>
          <w:szCs w:val="16"/>
        </w:rPr>
      </w:pPr>
      <w:r w:rsidRPr="00405303">
        <w:rPr>
          <w:bCs/>
          <w:color w:val="002060"/>
          <w:sz w:val="16"/>
          <w:szCs w:val="16"/>
        </w:rPr>
        <w:t>Особого Совещания для обсуждения и объединения мероприятий по обороне государства.</w:t>
      </w:r>
    </w:p>
    <w:p w14:paraId="5E221D69" w14:textId="77777777" w:rsidR="00C74E3B" w:rsidRPr="00405303" w:rsidRDefault="00C74E3B" w:rsidP="00C15251">
      <w:pPr>
        <w:jc w:val="both"/>
        <w:rPr>
          <w:bCs/>
          <w:color w:val="002060"/>
          <w:sz w:val="16"/>
          <w:szCs w:val="16"/>
        </w:rPr>
      </w:pPr>
      <w:r w:rsidRPr="00405303">
        <w:rPr>
          <w:bCs/>
          <w:color w:val="002060"/>
          <w:sz w:val="16"/>
          <w:szCs w:val="16"/>
        </w:rPr>
        <w:t>Заседание 30 декабря 1915 года.</w:t>
      </w:r>
    </w:p>
    <w:p w14:paraId="5DCF3409" w14:textId="79106C73"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Председательствовал генерал от инфантерии...А. А. Поливанов.</w:t>
      </w:r>
    </w:p>
    <w:p w14:paraId="710C36E0" w14:textId="77777777" w:rsidR="00C74E3B" w:rsidRPr="00405303" w:rsidRDefault="00C74E3B" w:rsidP="00C15251">
      <w:pPr>
        <w:jc w:val="both"/>
        <w:rPr>
          <w:bCs/>
          <w:color w:val="002060"/>
          <w:sz w:val="16"/>
          <w:szCs w:val="16"/>
        </w:rPr>
      </w:pPr>
      <w:r w:rsidRPr="00405303">
        <w:rPr>
          <w:bCs/>
          <w:color w:val="002060"/>
          <w:sz w:val="16"/>
          <w:szCs w:val="16"/>
        </w:rPr>
        <w:t>Присутствовали:</w:t>
      </w:r>
    </w:p>
    <w:p w14:paraId="7CA22802" w14:textId="317CE1EF" w:rsidR="00C74E3B" w:rsidRPr="00405303" w:rsidRDefault="000F5756" w:rsidP="00C15251">
      <w:pPr>
        <w:jc w:val="both"/>
        <w:rPr>
          <w:bCs/>
          <w:color w:val="002060"/>
          <w:sz w:val="16"/>
          <w:szCs w:val="16"/>
        </w:rPr>
      </w:pPr>
      <w:r>
        <w:rPr>
          <w:bCs/>
          <w:color w:val="002060"/>
          <w:sz w:val="16"/>
          <w:szCs w:val="16"/>
        </w:rPr>
        <w:lastRenderedPageBreak/>
        <w:t xml:space="preserve"> </w:t>
      </w:r>
      <w:r w:rsidR="00C74E3B" w:rsidRPr="00405303">
        <w:rPr>
          <w:bCs/>
          <w:color w:val="002060"/>
          <w:sz w:val="16"/>
          <w:szCs w:val="16"/>
        </w:rPr>
        <w:t xml:space="preserve"> Член Государственного Совета ....................С. И. Тимашев.</w:t>
      </w:r>
    </w:p>
    <w:p w14:paraId="73E5BFA5" w14:textId="2DB5B16C"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w:t>
      </w:r>
      <w:proofErr w:type="gramStart"/>
      <w:r w:rsidR="00C74E3B" w:rsidRPr="00405303">
        <w:rPr>
          <w:bCs/>
          <w:color w:val="002060"/>
          <w:sz w:val="16"/>
          <w:szCs w:val="16"/>
        </w:rPr>
        <w:t>» »</w:t>
      </w:r>
      <w:proofErr w:type="gramEnd"/>
      <w:r w:rsidR="00C74E3B" w:rsidRPr="00405303">
        <w:rPr>
          <w:bCs/>
          <w:color w:val="002060"/>
          <w:sz w:val="16"/>
          <w:szCs w:val="16"/>
        </w:rPr>
        <w:t xml:space="preserve"> »</w:t>
      </w:r>
      <w:proofErr w:type="gramStart"/>
      <w:r w:rsidR="00C74E3B" w:rsidRPr="00405303">
        <w:rPr>
          <w:bCs/>
          <w:color w:val="002060"/>
          <w:sz w:val="16"/>
          <w:szCs w:val="16"/>
        </w:rPr>
        <w:t>...................:....................</w:t>
      </w:r>
      <w:proofErr w:type="gramEnd"/>
      <w:r w:rsidR="00C74E3B" w:rsidRPr="00405303">
        <w:rPr>
          <w:bCs/>
          <w:color w:val="002060"/>
          <w:sz w:val="16"/>
          <w:szCs w:val="16"/>
        </w:rPr>
        <w:t>В. И. Тимирязев.</w:t>
      </w:r>
    </w:p>
    <w:p w14:paraId="4FF624F0" w14:textId="77AAF9E0"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w:t>
      </w:r>
      <w:proofErr w:type="gramStart"/>
      <w:r w:rsidR="00C74E3B" w:rsidRPr="00405303">
        <w:rPr>
          <w:bCs/>
          <w:color w:val="002060"/>
          <w:sz w:val="16"/>
          <w:szCs w:val="16"/>
        </w:rPr>
        <w:t>» »</w:t>
      </w:r>
      <w:proofErr w:type="gramEnd"/>
      <w:r w:rsidR="00C74E3B" w:rsidRPr="00405303">
        <w:rPr>
          <w:bCs/>
          <w:color w:val="002060"/>
          <w:sz w:val="16"/>
          <w:szCs w:val="16"/>
        </w:rPr>
        <w:t xml:space="preserve"> »......................................А. С. Стпишинский.</w:t>
      </w:r>
    </w:p>
    <w:p w14:paraId="30F3D8BD" w14:textId="6B52C982"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w:t>
      </w:r>
      <w:proofErr w:type="gramStart"/>
      <w:r w:rsidR="00C74E3B" w:rsidRPr="00405303">
        <w:rPr>
          <w:bCs/>
          <w:color w:val="002060"/>
          <w:sz w:val="16"/>
          <w:szCs w:val="16"/>
        </w:rPr>
        <w:t>*</w:t>
      </w:r>
      <w:r>
        <w:rPr>
          <w:bCs/>
          <w:color w:val="002060"/>
          <w:sz w:val="16"/>
          <w:szCs w:val="16"/>
        </w:rPr>
        <w:t xml:space="preserve"> </w:t>
      </w:r>
      <w:r w:rsidR="00C74E3B" w:rsidRPr="00405303">
        <w:rPr>
          <w:bCs/>
          <w:color w:val="002060"/>
          <w:sz w:val="16"/>
          <w:szCs w:val="16"/>
        </w:rPr>
        <w:t>»</w:t>
      </w:r>
      <w:proofErr w:type="gramEnd"/>
      <w:r w:rsidR="00C74E3B" w:rsidRPr="00405303">
        <w:rPr>
          <w:bCs/>
          <w:color w:val="002060"/>
          <w:sz w:val="16"/>
          <w:szCs w:val="16"/>
        </w:rPr>
        <w:t xml:space="preserve"> ».........................................граф С. Л. Толь.</w:t>
      </w:r>
    </w:p>
    <w:p w14:paraId="15CEA46D" w14:textId="789214F3"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w:t>
      </w:r>
      <w:proofErr w:type="gramStart"/>
      <w:r w:rsidR="00C74E3B" w:rsidRPr="00405303">
        <w:rPr>
          <w:bCs/>
          <w:color w:val="002060"/>
          <w:sz w:val="16"/>
          <w:szCs w:val="16"/>
        </w:rPr>
        <w:t>*</w:t>
      </w:r>
      <w:r>
        <w:rPr>
          <w:bCs/>
          <w:color w:val="002060"/>
          <w:sz w:val="16"/>
          <w:szCs w:val="16"/>
        </w:rPr>
        <w:t xml:space="preserve"> </w:t>
      </w:r>
      <w:r w:rsidR="00C74E3B" w:rsidRPr="00405303">
        <w:rPr>
          <w:bCs/>
          <w:color w:val="002060"/>
          <w:sz w:val="16"/>
          <w:szCs w:val="16"/>
        </w:rPr>
        <w:t>»</w:t>
      </w:r>
      <w:proofErr w:type="gramEnd"/>
      <w:r w:rsidR="00C74E3B" w:rsidRPr="00405303">
        <w:rPr>
          <w:bCs/>
          <w:color w:val="002060"/>
          <w:sz w:val="16"/>
          <w:szCs w:val="16"/>
        </w:rPr>
        <w:t xml:space="preserve"> »............................................В. Я. Гурко.</w:t>
      </w:r>
    </w:p>
    <w:p w14:paraId="3386B44D" w14:textId="5E905D07"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w:t>
      </w:r>
      <w:proofErr w:type="gramStart"/>
      <w:r w:rsidR="00C74E3B" w:rsidRPr="00405303">
        <w:rPr>
          <w:bCs/>
          <w:color w:val="002060"/>
          <w:sz w:val="16"/>
          <w:szCs w:val="16"/>
        </w:rPr>
        <w:t>» »</w:t>
      </w:r>
      <w:proofErr w:type="gramEnd"/>
      <w:r w:rsidR="00C74E3B" w:rsidRPr="00405303">
        <w:rPr>
          <w:bCs/>
          <w:color w:val="002060"/>
          <w:sz w:val="16"/>
          <w:szCs w:val="16"/>
        </w:rPr>
        <w:t xml:space="preserve"> »..........................................Ф. А. Иванов.</w:t>
      </w:r>
    </w:p>
    <w:p w14:paraId="51BFCB7B" w14:textId="270AB7CC"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w:t>
      </w:r>
      <w:proofErr w:type="gramStart"/>
      <w:r w:rsidR="00C74E3B" w:rsidRPr="00405303">
        <w:rPr>
          <w:bCs/>
          <w:color w:val="002060"/>
          <w:sz w:val="16"/>
          <w:szCs w:val="16"/>
        </w:rPr>
        <w:t>* »</w:t>
      </w:r>
      <w:proofErr w:type="gramEnd"/>
      <w:r w:rsidR="00C74E3B" w:rsidRPr="00405303">
        <w:rPr>
          <w:bCs/>
          <w:color w:val="002060"/>
          <w:sz w:val="16"/>
          <w:szCs w:val="16"/>
        </w:rPr>
        <w:t xml:space="preserve"> »......................................С. Ф. Ольденбург.</w:t>
      </w:r>
    </w:p>
    <w:p w14:paraId="45EE21E6" w14:textId="005FEB62"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w:t>
      </w:r>
      <w:proofErr w:type="gramStart"/>
      <w:r w:rsidR="00C74E3B" w:rsidRPr="00405303">
        <w:rPr>
          <w:bCs/>
          <w:color w:val="002060"/>
          <w:sz w:val="16"/>
          <w:szCs w:val="16"/>
        </w:rPr>
        <w:t>* »</w:t>
      </w:r>
      <w:proofErr w:type="gramEnd"/>
      <w:r w:rsidR="00C74E3B" w:rsidRPr="00405303">
        <w:rPr>
          <w:bCs/>
          <w:color w:val="002060"/>
          <w:sz w:val="16"/>
          <w:szCs w:val="16"/>
        </w:rPr>
        <w:t xml:space="preserve"> »..........................................Я. Л. Шебеко.</w:t>
      </w:r>
    </w:p>
    <w:p w14:paraId="5B9743D4" w14:textId="749A7569"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Председатель Государственной Думы................М. В. Родзянко.</w:t>
      </w:r>
    </w:p>
    <w:p w14:paraId="5511FC99" w14:textId="197B0CAF"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Член Государственной Думы ...................А. А. Добровольский.</w:t>
      </w:r>
    </w:p>
    <w:p w14:paraId="2E145898" w14:textId="26F06440"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w:t>
      </w:r>
      <w:r>
        <w:rPr>
          <w:bCs/>
          <w:color w:val="002060"/>
          <w:sz w:val="16"/>
          <w:szCs w:val="16"/>
        </w:rPr>
        <w:t xml:space="preserve"> </w:t>
      </w:r>
      <w:r w:rsidR="00C74E3B" w:rsidRPr="00405303">
        <w:rPr>
          <w:bCs/>
          <w:color w:val="002060"/>
          <w:sz w:val="16"/>
          <w:szCs w:val="16"/>
        </w:rPr>
        <w:t>* »......................................... Я. Я. Ефремов.</w:t>
      </w:r>
    </w:p>
    <w:p w14:paraId="5D977EFB" w14:textId="699441E0"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w:t>
      </w:r>
      <w:proofErr w:type="gramStart"/>
      <w:r w:rsidR="00C74E3B" w:rsidRPr="00405303">
        <w:rPr>
          <w:bCs/>
          <w:color w:val="002060"/>
          <w:sz w:val="16"/>
          <w:szCs w:val="16"/>
        </w:rPr>
        <w:t>* »</w:t>
      </w:r>
      <w:proofErr w:type="gramEnd"/>
      <w:r w:rsidR="00C74E3B" w:rsidRPr="00405303">
        <w:rPr>
          <w:bCs/>
          <w:color w:val="002060"/>
          <w:sz w:val="16"/>
          <w:szCs w:val="16"/>
        </w:rPr>
        <w:t xml:space="preserve"> *..........................................Н.Е. Марков.</w:t>
      </w:r>
    </w:p>
    <w:p w14:paraId="17EF5321" w14:textId="7C21E4D9"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w:t>
      </w:r>
      <w:r>
        <w:rPr>
          <w:bCs/>
          <w:color w:val="002060"/>
          <w:sz w:val="16"/>
          <w:szCs w:val="16"/>
        </w:rPr>
        <w:t xml:space="preserve"> </w:t>
      </w:r>
      <w:r w:rsidR="00C74E3B" w:rsidRPr="00405303">
        <w:rPr>
          <w:bCs/>
          <w:color w:val="002060"/>
          <w:sz w:val="16"/>
          <w:szCs w:val="16"/>
        </w:rPr>
        <w:t>» »............................................ Н.В. Савин.</w:t>
      </w:r>
    </w:p>
    <w:p w14:paraId="5354DAB3" w14:textId="3D93B567"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 » »........................................ Д. Н. Сверчков.</w:t>
      </w:r>
    </w:p>
    <w:p w14:paraId="7956EA54" w14:textId="05E251E5"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w:t>
      </w:r>
      <w:r>
        <w:rPr>
          <w:bCs/>
          <w:color w:val="002060"/>
          <w:sz w:val="16"/>
          <w:szCs w:val="16"/>
        </w:rPr>
        <w:t xml:space="preserve"> </w:t>
      </w:r>
      <w:r w:rsidR="00C74E3B" w:rsidRPr="00405303">
        <w:rPr>
          <w:bCs/>
          <w:color w:val="002060"/>
          <w:sz w:val="16"/>
          <w:szCs w:val="16"/>
        </w:rPr>
        <w:t>* *...................................................П.Н. Крупенский.</w:t>
      </w:r>
    </w:p>
    <w:p w14:paraId="16688889" w14:textId="18490AB2"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От военного министерства:</w:t>
      </w:r>
    </w:p>
    <w:p w14:paraId="434AB886" w14:textId="439D3949"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Генерал от инфантерии............................ М.А. Беляев.</w:t>
      </w:r>
    </w:p>
    <w:p w14:paraId="2495D4D5" w14:textId="2BB4B8EC"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Генерал-лейтенант .............................А. С. Лукомский.</w:t>
      </w:r>
    </w:p>
    <w:p w14:paraId="2312B54A" w14:textId="26C73783"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Генерал от инфантерии........................А.З. Мышлаевский.</w:t>
      </w:r>
    </w:p>
    <w:p w14:paraId="1FC19D6B" w14:textId="559BDDDE"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Генерал-лейтенант ............................... Г.Г.Милеант.</w:t>
      </w:r>
    </w:p>
    <w:p w14:paraId="61C0DAED" w14:textId="00A8870A"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 » »...................................... Л. Л. Маниковский.</w:t>
      </w:r>
    </w:p>
    <w:p w14:paraId="3E9B93C2" w14:textId="77AC9496"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 * »..........................................Н.А. Бабиков.</w:t>
      </w:r>
    </w:p>
    <w:p w14:paraId="71805543" w14:textId="1CA1D3DC"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 » »........................................</w:t>
      </w:r>
      <w:r>
        <w:rPr>
          <w:bCs/>
          <w:color w:val="002060"/>
          <w:sz w:val="16"/>
          <w:szCs w:val="16"/>
        </w:rPr>
        <w:t xml:space="preserve"> </w:t>
      </w:r>
      <w:r w:rsidR="00C74E3B" w:rsidRPr="00405303">
        <w:rPr>
          <w:bCs/>
          <w:color w:val="002060"/>
          <w:sz w:val="16"/>
          <w:szCs w:val="16"/>
        </w:rPr>
        <w:t>Л.</w:t>
      </w:r>
      <w:r>
        <w:rPr>
          <w:bCs/>
          <w:color w:val="002060"/>
          <w:sz w:val="16"/>
          <w:szCs w:val="16"/>
        </w:rPr>
        <w:t xml:space="preserve"> </w:t>
      </w:r>
      <w:r w:rsidR="00C74E3B" w:rsidRPr="00405303">
        <w:rPr>
          <w:bCs/>
          <w:color w:val="002060"/>
          <w:sz w:val="16"/>
          <w:szCs w:val="16"/>
        </w:rPr>
        <w:t>Л. Якимович.</w:t>
      </w:r>
    </w:p>
    <w:p w14:paraId="6353D8BC" w14:textId="3A501BDA"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Генерал-майор ...................................Л.</w:t>
      </w:r>
      <w:r>
        <w:rPr>
          <w:bCs/>
          <w:color w:val="002060"/>
          <w:sz w:val="16"/>
          <w:szCs w:val="16"/>
        </w:rPr>
        <w:t xml:space="preserve"> </w:t>
      </w:r>
      <w:r w:rsidR="00C74E3B" w:rsidRPr="00405303">
        <w:rPr>
          <w:bCs/>
          <w:color w:val="002060"/>
          <w:sz w:val="16"/>
          <w:szCs w:val="16"/>
        </w:rPr>
        <w:t>Л. Саткевич.</w:t>
      </w:r>
    </w:p>
    <w:p w14:paraId="22AE85A1" w14:textId="44AA9929"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w:t>
      </w:r>
      <w:proofErr w:type="gramStart"/>
      <w:r w:rsidR="00C74E3B" w:rsidRPr="00405303">
        <w:rPr>
          <w:bCs/>
          <w:color w:val="002060"/>
          <w:sz w:val="16"/>
          <w:szCs w:val="16"/>
        </w:rPr>
        <w:t>» »</w:t>
      </w:r>
      <w:proofErr w:type="gramEnd"/>
      <w:r w:rsidR="00C74E3B" w:rsidRPr="00405303">
        <w:rPr>
          <w:bCs/>
          <w:color w:val="002060"/>
          <w:sz w:val="16"/>
          <w:szCs w:val="16"/>
        </w:rPr>
        <w:t xml:space="preserve"> »..........................................К Я. Егорьев.</w:t>
      </w:r>
    </w:p>
    <w:p w14:paraId="1C494975" w14:textId="4F4F24D2"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w:t>
      </w:r>
      <w:r>
        <w:rPr>
          <w:bCs/>
          <w:color w:val="002060"/>
          <w:sz w:val="16"/>
          <w:szCs w:val="16"/>
        </w:rPr>
        <w:t xml:space="preserve"> </w:t>
      </w:r>
      <w:r w:rsidR="00C74E3B" w:rsidRPr="00405303">
        <w:rPr>
          <w:bCs/>
          <w:color w:val="002060"/>
          <w:sz w:val="16"/>
          <w:szCs w:val="16"/>
        </w:rPr>
        <w:t>* »..................................... Я. Я. Петровский.</w:t>
      </w:r>
    </w:p>
    <w:p w14:paraId="4293CA6C" w14:textId="2F4DC72B"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 * »........................................Л. Л. Михельсон.</w:t>
      </w:r>
    </w:p>
    <w:p w14:paraId="3AC95E90" w14:textId="555EF423"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От морского министерства:</w:t>
      </w:r>
    </w:p>
    <w:p w14:paraId="5A3D7F2C" w14:textId="4D8C0A0B"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Вице-адмирал....................................Я. Я. Муравьев.</w:t>
      </w:r>
    </w:p>
    <w:p w14:paraId="0444920E" w14:textId="3F6720ED"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w:t>
      </w:r>
      <w:proofErr w:type="gramStart"/>
      <w:r w:rsidR="00C74E3B" w:rsidRPr="00405303">
        <w:rPr>
          <w:bCs/>
          <w:color w:val="002060"/>
          <w:sz w:val="16"/>
          <w:szCs w:val="16"/>
        </w:rPr>
        <w:t>» »</w:t>
      </w:r>
      <w:proofErr w:type="gramEnd"/>
      <w:r w:rsidR="00C74E3B" w:rsidRPr="00405303">
        <w:rPr>
          <w:bCs/>
          <w:color w:val="002060"/>
          <w:sz w:val="16"/>
          <w:szCs w:val="16"/>
        </w:rPr>
        <w:t xml:space="preserve"> »............................................. В. К. Гирс.</w:t>
      </w:r>
    </w:p>
    <w:p w14:paraId="55A3D91C" w14:textId="765378E5"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От министерства финансов:</w:t>
      </w:r>
    </w:p>
    <w:p w14:paraId="09CCDF97" w14:textId="11EF085F"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Действительный статский советник.................П.Н. Кутлер.</w:t>
      </w:r>
    </w:p>
    <w:p w14:paraId="13AA6439" w14:textId="78FF5719"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От министерства путей сообщения:</w:t>
      </w:r>
    </w:p>
    <w:p w14:paraId="0AD3934F" w14:textId="55E4DACE"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Тайный советник..............................П.Н. Думитрашко.</w:t>
      </w:r>
    </w:p>
    <w:p w14:paraId="71C704CE" w14:textId="0407F45E"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От министерства торговли и промышленности:</w:t>
      </w:r>
    </w:p>
    <w:p w14:paraId="7B103B22" w14:textId="02776C0B"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Действительный статский советник...............С.П. Веселого.</w:t>
      </w:r>
    </w:p>
    <w:p w14:paraId="38B9818F" w14:textId="1814C7AB"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 * »........................................Н И. Разумов.</w:t>
      </w:r>
    </w:p>
    <w:p w14:paraId="3FAC2EAE" w14:textId="6351E616"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Статский советник.............................. Р.М. Ловягин.</w:t>
      </w:r>
    </w:p>
    <w:p w14:paraId="4B8799FC" w14:textId="62393D53"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От государственного контроля:</w:t>
      </w:r>
    </w:p>
    <w:p w14:paraId="2C2B2B0B" w14:textId="1A82714F"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Тайный советник..............................М. И. Скипетров.</w:t>
      </w:r>
    </w:p>
    <w:p w14:paraId="0F1F1E50" w14:textId="77777777" w:rsidR="00C74E3B" w:rsidRPr="00405303" w:rsidRDefault="00C74E3B" w:rsidP="00C15251">
      <w:pPr>
        <w:jc w:val="both"/>
        <w:rPr>
          <w:bCs/>
          <w:color w:val="002060"/>
          <w:sz w:val="16"/>
          <w:szCs w:val="16"/>
        </w:rPr>
      </w:pPr>
      <w:r w:rsidRPr="00405303">
        <w:rPr>
          <w:bCs/>
          <w:color w:val="002060"/>
          <w:sz w:val="16"/>
          <w:szCs w:val="16"/>
        </w:rPr>
        <w:t>От Всероссийского земского союза:</w:t>
      </w:r>
    </w:p>
    <w:p w14:paraId="37DAAA52" w14:textId="03827456"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Член Государственного Совета ... барон В. В. Меллер-Закомелъский.</w:t>
      </w:r>
    </w:p>
    <w:p w14:paraId="5AC4DBA9" w14:textId="5B30C8E1"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От центрального военно-промышленного комитета:</w:t>
      </w:r>
    </w:p>
    <w:p w14:paraId="4D2BD45C" w14:textId="3AED2467"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Действительный статский советник.................Д. С. Зернов.</w:t>
      </w:r>
    </w:p>
    <w:p w14:paraId="257EB1D4" w14:textId="59159460"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Особо приглашенные в заседание:</w:t>
      </w:r>
    </w:p>
    <w:p w14:paraId="0878D4C8" w14:textId="4B5DFBD3"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Член Государственного Совета .............. Н.Ф. фон Дитмар.</w:t>
      </w:r>
    </w:p>
    <w:p w14:paraId="1E87AA11" w14:textId="6880DAD2"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Действительный статский советник....В.П. Литвинов-Фалинский.</w:t>
      </w:r>
    </w:p>
    <w:p w14:paraId="5594047F" w14:textId="681D767A"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Флота генерал-майор..........................С. А. Поликарпов.</w:t>
      </w:r>
    </w:p>
    <w:p w14:paraId="2A7D706D" w14:textId="228D7E71"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Инженер путей сообщения ...................барон Г. X. Майдель.</w:t>
      </w:r>
    </w:p>
    <w:p w14:paraId="294EDBD8" w14:textId="762B3C66"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Делопроизводители Особого Совещания:</w:t>
      </w:r>
    </w:p>
    <w:p w14:paraId="5154A391" w14:textId="1D40A46F"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Военный советник ................................А. А. Терне.</w:t>
      </w:r>
    </w:p>
    <w:p w14:paraId="3713D10F" w14:textId="5F7C4A28" w:rsidR="00C74E3B" w:rsidRPr="00405303" w:rsidRDefault="000F5756" w:rsidP="00C15251">
      <w:pPr>
        <w:jc w:val="both"/>
        <w:rPr>
          <w:bCs/>
          <w:color w:val="002060"/>
          <w:sz w:val="16"/>
          <w:szCs w:val="16"/>
        </w:rPr>
      </w:pPr>
      <w:r>
        <w:rPr>
          <w:bCs/>
          <w:color w:val="002060"/>
          <w:sz w:val="16"/>
          <w:szCs w:val="16"/>
        </w:rPr>
        <w:t xml:space="preserve"> </w:t>
      </w:r>
      <w:r w:rsidR="00C74E3B" w:rsidRPr="00405303">
        <w:rPr>
          <w:bCs/>
          <w:color w:val="002060"/>
          <w:sz w:val="16"/>
          <w:szCs w:val="16"/>
        </w:rPr>
        <w:t xml:space="preserve"> Коллежский советник..............................Л.Н. Иванов.</w:t>
      </w:r>
    </w:p>
    <w:p w14:paraId="0E480F0F" w14:textId="77777777" w:rsidR="00C74E3B" w:rsidRPr="00405303" w:rsidRDefault="00C74E3B" w:rsidP="00C15251">
      <w:pPr>
        <w:jc w:val="both"/>
        <w:rPr>
          <w:bCs/>
          <w:color w:val="002060"/>
          <w:sz w:val="16"/>
          <w:szCs w:val="16"/>
        </w:rPr>
      </w:pPr>
      <w:r w:rsidRPr="00405303">
        <w:rPr>
          <w:bCs/>
          <w:color w:val="002060"/>
          <w:sz w:val="16"/>
          <w:szCs w:val="16"/>
        </w:rPr>
        <w:t>По открытии заседания Особое Совещание рассмотрело доклад подготовительной комиссии по общим вопросам о заказе акционерному обществу Русско-Балтийского завода 300 авиационных моторов. Одобрив намеченные комиссией условия заказа, а равно включение в состав правления общества представителя от главного военно-технического управления, Совещание особо остановилось на вопросе о месте устройства нового завода, имеющего быть построенныем для выполнения этого заказа. По имеющимся сведениям, акционерное общество предполагает учредить таковой завод в Москве. Нельзя не признать, что возникновение нового завода в Москве имеет некоторые неудобства ввиду перегруженности столицы. С другой стороны, однако, по разъяснению члена Совещания генерала от инфантерии М. А. Беляева, именно в Москве уже налажено с весьма значительными затруднениями производство авиационного снаряжения и организован правильный, при посредстве командированных из армии летчиков, надзор за заводской работой в этом направлении, а потому уверенность в исправном изготовлении заказанных обществу моторов будет достигнута лишь при устройстве завода именно в Москве. М. А. Беляев указывал также, что производство авиационных моторов не требует больших запасов материала и, следовательно, не вызывает трудностей по доставке грузов.</w:t>
      </w:r>
    </w:p>
    <w:p w14:paraId="7D76676C" w14:textId="77777777" w:rsidR="00C74E3B" w:rsidRPr="00405303" w:rsidRDefault="00C74E3B" w:rsidP="00C15251">
      <w:pPr>
        <w:jc w:val="both"/>
        <w:rPr>
          <w:bCs/>
          <w:color w:val="002060"/>
          <w:sz w:val="16"/>
          <w:szCs w:val="16"/>
        </w:rPr>
      </w:pPr>
      <w:r w:rsidRPr="00405303">
        <w:rPr>
          <w:bCs/>
          <w:color w:val="002060"/>
          <w:sz w:val="16"/>
          <w:szCs w:val="16"/>
        </w:rPr>
        <w:t>В силу этого и приняв во внимание, что относительно местоположения нового завода еще не сделано окончательных сношений с обществом, Особое Совещание признало желательным предоставить разрешение этого вопроса главному военно-техническому управлению.</w:t>
      </w:r>
    </w:p>
    <w:p w14:paraId="426A842F" w14:textId="77777777" w:rsidR="00C74E3B" w:rsidRPr="00405303" w:rsidRDefault="00C74E3B" w:rsidP="00C15251">
      <w:pPr>
        <w:jc w:val="both"/>
        <w:rPr>
          <w:bCs/>
          <w:color w:val="002060"/>
          <w:sz w:val="16"/>
          <w:szCs w:val="16"/>
        </w:rPr>
      </w:pPr>
      <w:r w:rsidRPr="00405303">
        <w:rPr>
          <w:bCs/>
          <w:color w:val="002060"/>
          <w:sz w:val="16"/>
          <w:szCs w:val="16"/>
        </w:rPr>
        <w:t>В последующем Совещание выслушало постановление Особого Совещания по перевозкам о передаче перегрузочных операций с каменным углем, принадлежащим морскому ведомству и находящимся в Архангельске, управлению внутренних водных путей и шоссейные дорог. При этом товарищ министра путей сообщения П. Н. Думитрашко отметил, что постановление Совещания по перевозкам утверждено председателем его - министром путей сообщения и тем самым вопрос о возможности заключения контракта со статским советником Тимротом, ранее ведавшим этим делом, категорически решается в отрицательном смысле.</w:t>
      </w:r>
    </w:p>
    <w:p w14:paraId="0B5DD2EC" w14:textId="77777777" w:rsidR="00C74E3B" w:rsidRPr="00405303" w:rsidRDefault="00C74E3B" w:rsidP="00C15251">
      <w:pPr>
        <w:jc w:val="both"/>
        <w:rPr>
          <w:bCs/>
          <w:color w:val="002060"/>
          <w:sz w:val="16"/>
          <w:szCs w:val="16"/>
        </w:rPr>
      </w:pPr>
      <w:r w:rsidRPr="00405303">
        <w:rPr>
          <w:bCs/>
          <w:color w:val="002060"/>
          <w:sz w:val="16"/>
          <w:szCs w:val="16"/>
        </w:rPr>
        <w:t>Выслушав далее заявление Председателя Государственной Думы М. В. Родзянко, соглашавшегося при этой оговорке примкнуть к намеченной Особым Совещанием по перевозкам мере, а равно заявление товарища морского министра П. П. Муравьева, также не встречавшего против нее возражений, Совещание одобрило сосредоточение упомянутых операций по нагрузке и выгрузке угля в руках управления внутренних водных путей и шоссейных дорог.</w:t>
      </w:r>
    </w:p>
    <w:p w14:paraId="29716507" w14:textId="77777777" w:rsidR="00C74E3B" w:rsidRPr="00405303" w:rsidRDefault="00C74E3B" w:rsidP="00C15251">
      <w:pPr>
        <w:jc w:val="both"/>
        <w:rPr>
          <w:bCs/>
          <w:color w:val="002060"/>
          <w:sz w:val="16"/>
          <w:szCs w:val="16"/>
        </w:rPr>
      </w:pPr>
      <w:r w:rsidRPr="00405303">
        <w:rPr>
          <w:bCs/>
          <w:color w:val="002060"/>
          <w:sz w:val="16"/>
          <w:szCs w:val="16"/>
        </w:rPr>
        <w:lastRenderedPageBreak/>
        <w:t>Вслед засим Совещанием был заслушан доклад эвакуационной комиссии о выдаче товариществу эвакуированного из Риги резинового производства под фирмой «Проводник» безвозвратного пособия в размере 1 760 494 руб. и ссуды в размере 16 136 829 руб. на возобновление производства в Москве.</w:t>
      </w:r>
    </w:p>
    <w:p w14:paraId="7E3D8758" w14:textId="77777777" w:rsidR="00C74E3B" w:rsidRPr="00405303" w:rsidRDefault="00C74E3B" w:rsidP="00C15251">
      <w:pPr>
        <w:jc w:val="both"/>
        <w:rPr>
          <w:bCs/>
          <w:color w:val="002060"/>
          <w:sz w:val="16"/>
          <w:szCs w:val="16"/>
        </w:rPr>
      </w:pPr>
      <w:r w:rsidRPr="00405303">
        <w:rPr>
          <w:bCs/>
          <w:color w:val="002060"/>
          <w:sz w:val="16"/>
          <w:szCs w:val="16"/>
        </w:rPr>
        <w:t>При этом выяснилось, что финансовое положение фирмы совершенно благоприятно и, по-видимому, позволило бы фирме восстановить производство за счет собственных средств и за счет кредита государственного банка. Тем не менее отказ в субсидии не отвечает интересам обороны. Товарищество «Проводник» является крупнейшим из крайне немногочисленных в России поставщиков резиновых изделий для армии и в случае получения пособия обязуется изготовить для военного ведомства к 1 июля 1917 г. изделий на сумму 15 миллионов рублей. Между тем отказ в субсидии лишит военное ведомство возможности обеспечить надлежащее обслуживание нужд армии этим огромным производством:</w:t>
      </w:r>
    </w:p>
    <w:p w14:paraId="197E37F4" w14:textId="77777777" w:rsidR="00C74E3B" w:rsidRPr="00405303" w:rsidRDefault="00C74E3B" w:rsidP="00C15251">
      <w:pPr>
        <w:jc w:val="both"/>
        <w:rPr>
          <w:bCs/>
          <w:color w:val="002060"/>
          <w:sz w:val="16"/>
          <w:szCs w:val="16"/>
        </w:rPr>
      </w:pPr>
      <w:r w:rsidRPr="00405303">
        <w:rPr>
          <w:bCs/>
          <w:color w:val="002060"/>
          <w:sz w:val="16"/>
          <w:szCs w:val="16"/>
        </w:rPr>
        <w:t>фирма может обратить свои средства на выработку иных изделий и необходимые военному ведомству предметы придется заказывать за границей, затрачивая на это большие суммы валюты. Если бы, однако, фирма предполагала своими силами оборудовать производство тех предметов, в коих нуждается военное ведомство, то и в этом случае казенная субсидия все же необходима, так как без нее будет замедлено самое оборудование, а следовательно, и исполнение нарядов на оборону; к тому же затраты по оборудованию заново заводов настолько велики, что поглотили бы все имеющиеся в товариществе свободные капиталы и последнее могло бы уже во время производства остаться без оборотных средств. Что касается значительного размера ссуды, то таковой вполне соответствует исключительному объему производства; к тому же следует принять во внимание, что закупка и доставка заграничного каучука ныне весьма стеснены, ввиду чего приходится, в расчете на разные задержки, заказывать каучук в количестве выше потребности.</w:t>
      </w:r>
    </w:p>
    <w:p w14:paraId="1A353E38" w14:textId="77777777" w:rsidR="00C74E3B" w:rsidRPr="00405303" w:rsidRDefault="00C74E3B" w:rsidP="00C15251">
      <w:pPr>
        <w:jc w:val="both"/>
        <w:rPr>
          <w:bCs/>
          <w:color w:val="002060"/>
          <w:sz w:val="16"/>
          <w:szCs w:val="16"/>
        </w:rPr>
      </w:pPr>
      <w:r w:rsidRPr="00405303">
        <w:rPr>
          <w:bCs/>
          <w:color w:val="002060"/>
          <w:sz w:val="16"/>
          <w:szCs w:val="16"/>
        </w:rPr>
        <w:t>При обсуждении настоящего дела выяснилось, между прочим, что в генеральном штабе имелись указания на политическую неблагонадежность отдельных агентов товарищества, приведшую к захвату одного парохода с каучуком германцами. Однако обстоятельства дела не позволяют придавать этим указаниям бесспорного значения и тем более опорочивать деятельность всей фирмы; к тому же генеральный штаб принял соответствующие меры наблюдения, устраняющие опасность в повторении подобных случаев.</w:t>
      </w:r>
    </w:p>
    <w:p w14:paraId="07A0B520" w14:textId="77777777" w:rsidR="00C74E3B" w:rsidRPr="00405303" w:rsidRDefault="00C74E3B" w:rsidP="00C15251">
      <w:pPr>
        <w:jc w:val="both"/>
        <w:rPr>
          <w:bCs/>
          <w:color w:val="002060"/>
          <w:sz w:val="16"/>
          <w:szCs w:val="16"/>
        </w:rPr>
      </w:pPr>
      <w:r w:rsidRPr="00405303">
        <w:rPr>
          <w:bCs/>
          <w:color w:val="002060"/>
          <w:sz w:val="16"/>
          <w:szCs w:val="16"/>
        </w:rPr>
        <w:t>В Совещании указывалось далее, что вся организация дела в товариществе дает основание рассчитывать, при разрешении субсидии заводам, на действительно своевременное возобновление производства даже в настоящее тяжелое время. Согласно проекту контракта с товариществом, вопрос о том, ответственно ли товарищество за невыполнение заказа казны, будет решаться в каждом данном случае министерством торговли и промышленности, каковая оговорка преграждает возможность заводу уклониться от взятого заказа на нужды обороны.</w:t>
      </w:r>
    </w:p>
    <w:p w14:paraId="3B514ABE" w14:textId="77777777" w:rsidR="00C74E3B" w:rsidRPr="00405303" w:rsidRDefault="00C74E3B" w:rsidP="00C15251">
      <w:pPr>
        <w:jc w:val="both"/>
        <w:rPr>
          <w:bCs/>
          <w:color w:val="002060"/>
          <w:sz w:val="16"/>
          <w:szCs w:val="16"/>
        </w:rPr>
      </w:pPr>
      <w:r w:rsidRPr="00405303">
        <w:rPr>
          <w:bCs/>
          <w:color w:val="002060"/>
          <w:sz w:val="16"/>
          <w:szCs w:val="16"/>
        </w:rPr>
        <w:t>Тем не менее при голосовании мнения присутствующих разделились.11 членов Совещания, а именно А. А. Добровольский. Н. Е. Марков,</w:t>
      </w:r>
    </w:p>
    <w:p w14:paraId="38AD24C1" w14:textId="77777777" w:rsidR="00C74E3B" w:rsidRPr="00405303" w:rsidRDefault="00C74E3B" w:rsidP="00C15251">
      <w:pPr>
        <w:jc w:val="both"/>
        <w:rPr>
          <w:bCs/>
          <w:color w:val="002060"/>
          <w:sz w:val="16"/>
          <w:szCs w:val="16"/>
        </w:rPr>
      </w:pPr>
      <w:r w:rsidRPr="00405303">
        <w:rPr>
          <w:bCs/>
          <w:color w:val="002060"/>
          <w:sz w:val="16"/>
          <w:szCs w:val="16"/>
        </w:rPr>
        <w:t>Д. Н. Сверчков, А. С. Лукомский, Г. Г. Милеант, П. П. Муравьев.</w:t>
      </w:r>
    </w:p>
    <w:p w14:paraId="6567CFC3" w14:textId="77777777" w:rsidR="00C74E3B" w:rsidRPr="00405303" w:rsidRDefault="00C74E3B" w:rsidP="00C15251">
      <w:pPr>
        <w:jc w:val="both"/>
        <w:rPr>
          <w:bCs/>
          <w:color w:val="002060"/>
          <w:sz w:val="16"/>
          <w:szCs w:val="16"/>
        </w:rPr>
      </w:pPr>
      <w:r w:rsidRPr="00405303">
        <w:rPr>
          <w:bCs/>
          <w:color w:val="002060"/>
          <w:sz w:val="16"/>
          <w:szCs w:val="16"/>
        </w:rPr>
        <w:t>П. Н. Думитрашко, М. И. Скипетров, И. А. Шебеко, П. Н. Крупенскийи П. Н. Кутлер, соглашаясь с выдачей товариществу пособия на эвакуацию в сумме 1 760 494 руб., считали преувеличенным исчисленный эвакуационной комиссией размер ссуды на оборудование завода в сумме 16 136 829 руб., каковая ссуда, однако, была одобрена большинством Совещания в составе: С. И. Тимашева, В. И. Тимирязева, А. С. Стишинского, графа С. А. Толь, В. И. Гурко, Ф. А. Иванова, М. В. Родзянко, Н. В. Савича, А. А. Маниковского, С. П. Веселаго, Д. С. Зернова, С. Ф. Ольденбурга, В. В. Меллер-Закомельского и К. Н. Егорьева.</w:t>
      </w:r>
    </w:p>
    <w:p w14:paraId="5A9A48E6" w14:textId="77777777" w:rsidR="00C74E3B" w:rsidRPr="00405303" w:rsidRDefault="00C74E3B" w:rsidP="00C15251">
      <w:pPr>
        <w:jc w:val="both"/>
        <w:rPr>
          <w:bCs/>
          <w:color w:val="002060"/>
          <w:sz w:val="16"/>
          <w:szCs w:val="16"/>
        </w:rPr>
      </w:pPr>
      <w:r w:rsidRPr="00405303">
        <w:rPr>
          <w:bCs/>
          <w:color w:val="002060"/>
          <w:sz w:val="16"/>
          <w:szCs w:val="16"/>
        </w:rPr>
        <w:t>По вопросу об условиях ссуды Совещание приняло во внимание, что поддержка товариществу необходима прежде всего на время войны и на ближайшие за ее окончанием годы, а потому сократило намеченный комиссией срок ссуды с 20 лет до 5 лет, считая со времени окончания войны, при условии погашения ее с первого же года, с начислением 5 % годовых.</w:t>
      </w:r>
    </w:p>
    <w:p w14:paraId="6BEB9052" w14:textId="77777777" w:rsidR="00C74E3B" w:rsidRPr="00405303" w:rsidRDefault="00C74E3B" w:rsidP="00C15251">
      <w:pPr>
        <w:jc w:val="both"/>
        <w:rPr>
          <w:bCs/>
          <w:color w:val="002060"/>
          <w:sz w:val="16"/>
          <w:szCs w:val="16"/>
        </w:rPr>
      </w:pPr>
      <w:r w:rsidRPr="00405303">
        <w:rPr>
          <w:bCs/>
          <w:color w:val="002060"/>
          <w:sz w:val="16"/>
          <w:szCs w:val="16"/>
        </w:rPr>
        <w:t>Далее Совещание рассмотрело и одобрило доклады реквизиционной комиссии:</w:t>
      </w:r>
    </w:p>
    <w:p w14:paraId="470C81CA" w14:textId="77777777" w:rsidR="00C74E3B" w:rsidRPr="00405303" w:rsidRDefault="00C74E3B" w:rsidP="00C15251">
      <w:pPr>
        <w:jc w:val="both"/>
        <w:rPr>
          <w:bCs/>
          <w:color w:val="002060"/>
          <w:sz w:val="16"/>
          <w:szCs w:val="16"/>
        </w:rPr>
      </w:pPr>
      <w:r w:rsidRPr="00405303">
        <w:rPr>
          <w:bCs/>
          <w:color w:val="002060"/>
          <w:sz w:val="16"/>
          <w:szCs w:val="16"/>
        </w:rPr>
        <w:t xml:space="preserve">а) о немедленном, впредь до выяснения вопроса о реквизиции, аресте запасов хризофенина218, имеющихся у Московских и Петроградских торгово-промышленных предприятий, поручив главным военно-техническому и интендантскому управлениям определить количество необходимого им хризофенина и предложив председателю комиссии по заготовке взрывчатых веществ выяснить возможность отечественного производства хризофенина в настоящее время и </w:t>
      </w:r>
    </w:p>
    <w:p w14:paraId="45DC00B8" w14:textId="77777777" w:rsidR="00C74E3B" w:rsidRPr="00405303" w:rsidRDefault="00C74E3B" w:rsidP="00C15251">
      <w:pPr>
        <w:jc w:val="both"/>
        <w:rPr>
          <w:bCs/>
          <w:color w:val="002060"/>
          <w:sz w:val="16"/>
          <w:szCs w:val="16"/>
        </w:rPr>
      </w:pPr>
      <w:r w:rsidRPr="00405303">
        <w:rPr>
          <w:bCs/>
          <w:color w:val="002060"/>
          <w:sz w:val="16"/>
          <w:szCs w:val="16"/>
        </w:rPr>
        <w:t>б) об отклонении ходатайства Путиловского завода о реквизиции находящихся в Архангельске четырех паровых котлов, принадлежащих обществу Сулинского завода.</w:t>
      </w:r>
    </w:p>
    <w:p w14:paraId="2414609F" w14:textId="77777777" w:rsidR="00C74E3B" w:rsidRPr="00405303" w:rsidRDefault="00C74E3B" w:rsidP="00C15251">
      <w:pPr>
        <w:jc w:val="both"/>
        <w:rPr>
          <w:bCs/>
          <w:color w:val="002060"/>
          <w:sz w:val="16"/>
          <w:szCs w:val="16"/>
        </w:rPr>
      </w:pPr>
      <w:r w:rsidRPr="00405303">
        <w:rPr>
          <w:bCs/>
          <w:color w:val="002060"/>
          <w:sz w:val="16"/>
          <w:szCs w:val="16"/>
        </w:rPr>
        <w:t>Председатель Особого Совещания в отношении приведения в исполнение требующих того суждений Особого Совещания решил:</w:t>
      </w:r>
    </w:p>
    <w:p w14:paraId="3CCB7C11" w14:textId="57ABB308" w:rsidR="00C74E3B" w:rsidRPr="00405303" w:rsidRDefault="00C74E3B" w:rsidP="00C15251">
      <w:pPr>
        <w:jc w:val="both"/>
        <w:rPr>
          <w:bCs/>
          <w:color w:val="002060"/>
          <w:sz w:val="16"/>
          <w:szCs w:val="16"/>
        </w:rPr>
      </w:pPr>
      <w:r w:rsidRPr="00405303">
        <w:rPr>
          <w:bCs/>
          <w:color w:val="002060"/>
          <w:sz w:val="16"/>
          <w:szCs w:val="16"/>
        </w:rPr>
        <w:t>1.</w:t>
      </w:r>
      <w:r w:rsidR="000F5756">
        <w:rPr>
          <w:bCs/>
          <w:color w:val="002060"/>
          <w:sz w:val="16"/>
          <w:szCs w:val="16"/>
        </w:rPr>
        <w:t xml:space="preserve">  </w:t>
      </w:r>
      <w:r w:rsidRPr="00405303">
        <w:rPr>
          <w:bCs/>
          <w:color w:val="002060"/>
          <w:sz w:val="16"/>
          <w:szCs w:val="16"/>
        </w:rPr>
        <w:t>Утвердить доклад подготовительной комиссии по общим вопросам о заказе главным военно-техническим управлением акционерному обществу Русско-Балтийского вагонного завода 300 авиационных моторов, с выдачей 100 000 руб. безвозвратного пособия, 600 000 руб. беспроцентной ссуды на указанных в докладе основаниях, 589 895 руб. ссуды на 10 лет из 6 % и аванса без обеспечения 30 % от контрактной суммы в 6 357 000 руб., предложив названному управлению назначить своего представителя в состав правления общества на правах члена правления; установить при этом, что место для устройства нового завода, на коем будут изготовляться заказанные моторы, должно быть определено главным военно-техническим управлением.</w:t>
      </w:r>
    </w:p>
    <w:p w14:paraId="65637CE1" w14:textId="4FB5657B" w:rsidR="00C74E3B" w:rsidRPr="00405303" w:rsidRDefault="00C74E3B" w:rsidP="00C15251">
      <w:pPr>
        <w:jc w:val="both"/>
        <w:rPr>
          <w:bCs/>
          <w:color w:val="002060"/>
          <w:sz w:val="16"/>
          <w:szCs w:val="16"/>
        </w:rPr>
      </w:pPr>
      <w:r w:rsidRPr="00405303">
        <w:rPr>
          <w:bCs/>
          <w:color w:val="002060"/>
          <w:sz w:val="16"/>
          <w:szCs w:val="16"/>
        </w:rPr>
        <w:t>2.</w:t>
      </w:r>
      <w:r w:rsidR="000F5756">
        <w:rPr>
          <w:bCs/>
          <w:color w:val="002060"/>
          <w:sz w:val="16"/>
          <w:szCs w:val="16"/>
        </w:rPr>
        <w:t xml:space="preserve">  </w:t>
      </w:r>
      <w:r w:rsidRPr="00405303">
        <w:rPr>
          <w:bCs/>
          <w:color w:val="002060"/>
          <w:sz w:val="16"/>
          <w:szCs w:val="16"/>
        </w:rPr>
        <w:t>Одобрить принятое Особым Совещанием по перевозкам постановление о передаче операций по нагрузке и выгрузке в Архангельске угля для нужд морского ведомства, с перевозкой угля речным путем - управлению внутренних водных путей и шоссейных дорог.</w:t>
      </w:r>
    </w:p>
    <w:p w14:paraId="34BAA260" w14:textId="74FD991D" w:rsidR="00C74E3B" w:rsidRPr="00405303" w:rsidRDefault="00C74E3B" w:rsidP="00C15251">
      <w:pPr>
        <w:jc w:val="both"/>
        <w:rPr>
          <w:bCs/>
          <w:color w:val="002060"/>
          <w:sz w:val="16"/>
          <w:szCs w:val="16"/>
        </w:rPr>
      </w:pPr>
      <w:r w:rsidRPr="00405303">
        <w:rPr>
          <w:bCs/>
          <w:color w:val="002060"/>
          <w:sz w:val="16"/>
          <w:szCs w:val="16"/>
        </w:rPr>
        <w:t>3.</w:t>
      </w:r>
      <w:r w:rsidR="000F5756">
        <w:rPr>
          <w:bCs/>
          <w:color w:val="002060"/>
          <w:sz w:val="16"/>
          <w:szCs w:val="16"/>
        </w:rPr>
        <w:t xml:space="preserve">  </w:t>
      </w:r>
      <w:r w:rsidRPr="00405303">
        <w:rPr>
          <w:bCs/>
          <w:color w:val="002060"/>
          <w:sz w:val="16"/>
          <w:szCs w:val="16"/>
        </w:rPr>
        <w:t>Утвердить доклад эвакуационной комиссии о выдаче товариществу эвакуированных из Риги русско-французских заводов резинового, гуттаперчевого и телеграфного производств под фирмой «Проводник» на возобновление деятельности безвозвратного пособия в размере 1 760 494 руб. и ссуды в размере 16 136 829 руб. из 5 % годовых, установив, что ссуда эта подлежит возврату в срок 5 лет, считая со времени окончания войны, причем погашение ссуды начинается с первого же года, следующего за окончанием войны.</w:t>
      </w:r>
    </w:p>
    <w:p w14:paraId="76F40028" w14:textId="6633532B" w:rsidR="00C74E3B" w:rsidRPr="00405303" w:rsidRDefault="00C74E3B" w:rsidP="00C15251">
      <w:pPr>
        <w:jc w:val="both"/>
        <w:rPr>
          <w:bCs/>
          <w:color w:val="002060"/>
          <w:sz w:val="16"/>
          <w:szCs w:val="16"/>
        </w:rPr>
      </w:pPr>
      <w:r w:rsidRPr="00405303">
        <w:rPr>
          <w:bCs/>
          <w:color w:val="002060"/>
          <w:sz w:val="16"/>
          <w:szCs w:val="16"/>
        </w:rPr>
        <w:t>4.</w:t>
      </w:r>
      <w:r w:rsidR="000F5756">
        <w:rPr>
          <w:bCs/>
          <w:color w:val="002060"/>
          <w:sz w:val="16"/>
          <w:szCs w:val="16"/>
        </w:rPr>
        <w:t xml:space="preserve">  </w:t>
      </w:r>
      <w:r w:rsidRPr="00405303">
        <w:rPr>
          <w:bCs/>
          <w:color w:val="002060"/>
          <w:sz w:val="16"/>
          <w:szCs w:val="16"/>
        </w:rPr>
        <w:t>Утвердить доклады реквизиционной комиссии:</w:t>
      </w:r>
    </w:p>
    <w:p w14:paraId="09B70315" w14:textId="77777777" w:rsidR="00C74E3B" w:rsidRPr="00405303" w:rsidRDefault="00C74E3B" w:rsidP="00C15251">
      <w:pPr>
        <w:jc w:val="both"/>
        <w:rPr>
          <w:bCs/>
          <w:color w:val="002060"/>
          <w:sz w:val="16"/>
          <w:szCs w:val="16"/>
        </w:rPr>
      </w:pPr>
      <w:r w:rsidRPr="00405303">
        <w:rPr>
          <w:bCs/>
          <w:color w:val="002060"/>
          <w:sz w:val="16"/>
          <w:szCs w:val="16"/>
        </w:rPr>
        <w:t xml:space="preserve">а) о немедленном, впредь до выяснения вопроса о реквизиции, аресте запасов хризофенина, имеющихся у Московских и Петроградских торгово-промышленных предприятий, поручив главным военно-техническому и интендантскому управлениям определить количество необходимого им хризофенина и предложив председателю комиссии по заготовке взрывчатых веществ выяснить возможность отечественного производства хризофенина в настоящее время, и </w:t>
      </w:r>
    </w:p>
    <w:p w14:paraId="4CFDFC8B" w14:textId="77777777" w:rsidR="00C74E3B" w:rsidRPr="00405303" w:rsidRDefault="00C74E3B" w:rsidP="00C15251">
      <w:pPr>
        <w:jc w:val="both"/>
        <w:rPr>
          <w:bCs/>
          <w:color w:val="002060"/>
          <w:sz w:val="16"/>
          <w:szCs w:val="16"/>
        </w:rPr>
      </w:pPr>
      <w:r w:rsidRPr="00405303">
        <w:rPr>
          <w:bCs/>
          <w:color w:val="002060"/>
          <w:sz w:val="16"/>
          <w:szCs w:val="16"/>
        </w:rPr>
        <w:t>б) об отклонении ходатайства Путиловского завода о реквизиции находящихся в Архангельске четырех паровых котлов, принадлежащих обществу Сулинского завода.</w:t>
      </w:r>
    </w:p>
    <w:p w14:paraId="46CE3803" w14:textId="77777777" w:rsidR="00C74E3B" w:rsidRPr="00405303" w:rsidRDefault="00C74E3B" w:rsidP="00C15251">
      <w:pPr>
        <w:jc w:val="both"/>
        <w:rPr>
          <w:bCs/>
          <w:color w:val="002060"/>
          <w:sz w:val="16"/>
          <w:szCs w:val="16"/>
        </w:rPr>
      </w:pPr>
      <w:r w:rsidRPr="00405303">
        <w:rPr>
          <w:bCs/>
          <w:color w:val="002060"/>
          <w:sz w:val="16"/>
          <w:szCs w:val="16"/>
        </w:rPr>
        <w:t>Подлинный журнал за надлежащими подписями.</w:t>
      </w:r>
    </w:p>
    <w:p w14:paraId="7047AAEC" w14:textId="77777777" w:rsidR="00C74E3B" w:rsidRPr="00405303" w:rsidRDefault="00C74E3B" w:rsidP="00C15251">
      <w:pPr>
        <w:jc w:val="both"/>
        <w:rPr>
          <w:bCs/>
          <w:color w:val="002060"/>
          <w:sz w:val="16"/>
          <w:szCs w:val="16"/>
        </w:rPr>
      </w:pPr>
      <w:r w:rsidRPr="00405303">
        <w:rPr>
          <w:bCs/>
          <w:color w:val="002060"/>
          <w:sz w:val="16"/>
          <w:szCs w:val="16"/>
        </w:rPr>
        <w:t>С подлинным верно: делопроизводитель военный советник А. Терне.</w:t>
      </w:r>
    </w:p>
    <w:p w14:paraId="087505CA" w14:textId="77777777" w:rsidR="00C74E3B" w:rsidRPr="00405303" w:rsidRDefault="00C74E3B" w:rsidP="00C15251">
      <w:pPr>
        <w:jc w:val="both"/>
        <w:rPr>
          <w:bCs/>
          <w:color w:val="002060"/>
          <w:sz w:val="16"/>
          <w:szCs w:val="16"/>
        </w:rPr>
      </w:pPr>
      <w:r w:rsidRPr="00405303">
        <w:rPr>
          <w:bCs/>
          <w:color w:val="002060"/>
          <w:sz w:val="16"/>
          <w:szCs w:val="16"/>
        </w:rPr>
        <w:t>Сверял: за делопроизводителя</w:t>
      </w:r>
    </w:p>
    <w:p w14:paraId="0C6BD926" w14:textId="77777777" w:rsidR="00C74E3B" w:rsidRPr="00405303" w:rsidRDefault="00C74E3B" w:rsidP="00C15251">
      <w:pPr>
        <w:jc w:val="both"/>
        <w:rPr>
          <w:bCs/>
          <w:color w:val="002060"/>
          <w:sz w:val="16"/>
          <w:szCs w:val="16"/>
        </w:rPr>
      </w:pPr>
      <w:r w:rsidRPr="00405303">
        <w:rPr>
          <w:bCs/>
          <w:color w:val="002060"/>
          <w:sz w:val="16"/>
          <w:szCs w:val="16"/>
        </w:rPr>
        <w:t>ПРИЛОЖЕНИЯ</w:t>
      </w:r>
    </w:p>
    <w:p w14:paraId="20763437" w14:textId="77777777" w:rsidR="00C74E3B" w:rsidRPr="00405303" w:rsidRDefault="00C74E3B" w:rsidP="00C15251">
      <w:pPr>
        <w:jc w:val="both"/>
        <w:rPr>
          <w:bCs/>
          <w:color w:val="002060"/>
          <w:sz w:val="16"/>
          <w:szCs w:val="16"/>
        </w:rPr>
      </w:pPr>
      <w:r w:rsidRPr="00405303">
        <w:rPr>
          <w:bCs/>
          <w:color w:val="002060"/>
          <w:sz w:val="16"/>
          <w:szCs w:val="16"/>
        </w:rPr>
        <w:t>Приложение 1</w:t>
      </w:r>
    </w:p>
    <w:p w14:paraId="71BDD84D" w14:textId="77777777" w:rsidR="00C74E3B" w:rsidRPr="00405303" w:rsidRDefault="00C74E3B" w:rsidP="00C15251">
      <w:pPr>
        <w:jc w:val="both"/>
        <w:rPr>
          <w:bCs/>
          <w:color w:val="002060"/>
          <w:sz w:val="16"/>
          <w:szCs w:val="16"/>
        </w:rPr>
      </w:pPr>
      <w:r w:rsidRPr="00405303">
        <w:rPr>
          <w:bCs/>
          <w:color w:val="002060"/>
          <w:sz w:val="16"/>
          <w:szCs w:val="16"/>
        </w:rPr>
        <w:t xml:space="preserve">На подлинном ЕГО ИМПЕРАТОРСКОМУ ВЕЛИЧЕСТВУ благоугодно </w:t>
      </w:r>
      <w:proofErr w:type="gramStart"/>
      <w:r w:rsidRPr="00405303">
        <w:rPr>
          <w:bCs/>
          <w:color w:val="002060"/>
          <w:sz w:val="16"/>
          <w:szCs w:val="16"/>
        </w:rPr>
        <w:t>было Собственноручно</w:t>
      </w:r>
      <w:proofErr w:type="gramEnd"/>
      <w:r w:rsidRPr="00405303">
        <w:rPr>
          <w:bCs/>
          <w:color w:val="002060"/>
          <w:sz w:val="16"/>
          <w:szCs w:val="16"/>
        </w:rPr>
        <w:t xml:space="preserve"> начертать «Быть по сему».</w:t>
      </w:r>
    </w:p>
    <w:p w14:paraId="1B1FF644" w14:textId="77777777" w:rsidR="00C74E3B" w:rsidRPr="00405303" w:rsidRDefault="00C74E3B" w:rsidP="00C15251">
      <w:pPr>
        <w:jc w:val="both"/>
        <w:rPr>
          <w:bCs/>
          <w:color w:val="002060"/>
          <w:sz w:val="16"/>
          <w:szCs w:val="16"/>
        </w:rPr>
      </w:pPr>
      <w:r w:rsidRPr="00405303">
        <w:rPr>
          <w:bCs/>
          <w:color w:val="002060"/>
          <w:sz w:val="16"/>
          <w:szCs w:val="16"/>
        </w:rPr>
        <w:t>В Царском Селе 7 июня 1915 года.</w:t>
      </w:r>
    </w:p>
    <w:p w14:paraId="34373E95" w14:textId="77777777" w:rsidR="00C74E3B" w:rsidRPr="00405303" w:rsidRDefault="00C74E3B" w:rsidP="00C15251">
      <w:pPr>
        <w:jc w:val="both"/>
        <w:rPr>
          <w:bCs/>
          <w:color w:val="002060"/>
          <w:sz w:val="16"/>
          <w:szCs w:val="16"/>
        </w:rPr>
      </w:pPr>
      <w:r w:rsidRPr="00405303">
        <w:rPr>
          <w:bCs/>
          <w:color w:val="002060"/>
          <w:sz w:val="16"/>
          <w:szCs w:val="16"/>
        </w:rPr>
        <w:t>Скрепил: Председатель Совета Министров, Статс-Секретарь Горемыкин.</w:t>
      </w:r>
    </w:p>
    <w:p w14:paraId="4668B697" w14:textId="77777777" w:rsidR="00C74E3B" w:rsidRPr="00405303" w:rsidRDefault="00C74E3B" w:rsidP="00C15251">
      <w:pPr>
        <w:jc w:val="both"/>
        <w:rPr>
          <w:bCs/>
          <w:color w:val="002060"/>
          <w:sz w:val="16"/>
          <w:szCs w:val="16"/>
        </w:rPr>
      </w:pPr>
      <w:r w:rsidRPr="00405303">
        <w:rPr>
          <w:bCs/>
          <w:color w:val="002060"/>
          <w:sz w:val="16"/>
          <w:szCs w:val="16"/>
        </w:rPr>
        <w:t>Верно: Управляющий делами Совета Министров И. Лодыженский (20618).</w:t>
      </w:r>
    </w:p>
    <w:p w14:paraId="3A319E3D" w14:textId="77777777" w:rsidR="00C74E3B" w:rsidRPr="00405303" w:rsidRDefault="00C74E3B" w:rsidP="00C15251">
      <w:pPr>
        <w:jc w:val="both"/>
        <w:rPr>
          <w:bCs/>
          <w:color w:val="002060"/>
          <w:sz w:val="16"/>
          <w:szCs w:val="16"/>
        </w:rPr>
      </w:pPr>
    </w:p>
    <w:p w14:paraId="398E2BAF" w14:textId="77777777" w:rsidR="0046475A" w:rsidRPr="00405303" w:rsidRDefault="0046475A" w:rsidP="00C15251">
      <w:pPr>
        <w:jc w:val="both"/>
        <w:rPr>
          <w:bCs/>
          <w:iCs/>
          <w:color w:val="002060"/>
          <w:sz w:val="16"/>
          <w:szCs w:val="16"/>
        </w:rPr>
      </w:pPr>
      <w:r w:rsidRPr="00405303">
        <w:rPr>
          <w:bCs/>
          <w:i/>
          <w:iCs/>
          <w:color w:val="002060"/>
          <w:sz w:val="16"/>
          <w:szCs w:val="16"/>
        </w:rPr>
        <w:t>Армия:</w:t>
      </w:r>
    </w:p>
    <w:p w14:paraId="1E2EB7E3" w14:textId="77777777" w:rsidR="0046475A" w:rsidRPr="00405303" w:rsidRDefault="0046475A" w:rsidP="00C15251">
      <w:pPr>
        <w:jc w:val="both"/>
        <w:rPr>
          <w:bCs/>
          <w:iCs/>
          <w:color w:val="002060"/>
          <w:sz w:val="16"/>
          <w:szCs w:val="16"/>
        </w:rPr>
      </w:pPr>
    </w:p>
    <w:p w14:paraId="015134BE" w14:textId="0BBBAA7F" w:rsidR="0046475A" w:rsidRPr="00405303" w:rsidRDefault="0046475A" w:rsidP="00C15251">
      <w:pPr>
        <w:jc w:val="both"/>
        <w:rPr>
          <w:bCs/>
          <w:color w:val="002060"/>
          <w:sz w:val="16"/>
          <w:szCs w:val="16"/>
        </w:rPr>
      </w:pPr>
      <w:r w:rsidRPr="00405303">
        <w:rPr>
          <w:bCs/>
          <w:color w:val="002060"/>
          <w:sz w:val="16"/>
          <w:szCs w:val="16"/>
        </w:rPr>
        <w:t>30 декабря 1915</w:t>
      </w:r>
      <w:r w:rsidR="00F321F8" w:rsidRPr="00405303">
        <w:rPr>
          <w:bCs/>
          <w:color w:val="002060"/>
          <w:sz w:val="16"/>
          <w:szCs w:val="16"/>
        </w:rPr>
        <w:t xml:space="preserve"> г.</w:t>
      </w:r>
      <w:r w:rsidRPr="00405303">
        <w:rPr>
          <w:bCs/>
          <w:color w:val="002060"/>
          <w:sz w:val="16"/>
          <w:szCs w:val="16"/>
        </w:rPr>
        <w:t xml:space="preserve"> (12 января 1916</w:t>
      </w:r>
      <w:r w:rsidR="00F321F8" w:rsidRPr="00405303">
        <w:rPr>
          <w:bCs/>
          <w:color w:val="002060"/>
          <w:sz w:val="16"/>
          <w:szCs w:val="16"/>
        </w:rPr>
        <w:t xml:space="preserve"> г.</w:t>
      </w:r>
      <w:r w:rsidRPr="00405303">
        <w:rPr>
          <w:bCs/>
          <w:color w:val="002060"/>
          <w:sz w:val="16"/>
          <w:szCs w:val="16"/>
        </w:rPr>
        <w:t>) Юденич начал зимнее наступление и продвинулся к западу от Эрзрума (2100).</w:t>
      </w:r>
    </w:p>
    <w:p w14:paraId="2361161F" w14:textId="77777777" w:rsidR="0046475A" w:rsidRPr="00405303" w:rsidRDefault="0046475A" w:rsidP="00C15251">
      <w:pPr>
        <w:jc w:val="both"/>
        <w:rPr>
          <w:bCs/>
          <w:iCs/>
          <w:color w:val="002060"/>
          <w:sz w:val="16"/>
          <w:szCs w:val="16"/>
        </w:rPr>
      </w:pPr>
    </w:p>
    <w:p w14:paraId="5E9A6679" w14:textId="5F83C5B6" w:rsidR="0046475A" w:rsidRPr="00405303" w:rsidRDefault="0046475A" w:rsidP="00C15251">
      <w:pPr>
        <w:pStyle w:val="ae"/>
        <w:spacing w:before="0" w:beforeAutospacing="0" w:after="0" w:afterAutospacing="0"/>
        <w:jc w:val="both"/>
        <w:rPr>
          <w:bCs/>
          <w:color w:val="002060"/>
          <w:sz w:val="16"/>
          <w:szCs w:val="16"/>
        </w:rPr>
      </w:pPr>
      <w:r w:rsidRPr="00405303">
        <w:rPr>
          <w:bCs/>
          <w:color w:val="002060"/>
          <w:sz w:val="16"/>
          <w:szCs w:val="16"/>
        </w:rPr>
        <w:t>30 декабря 1915</w:t>
      </w:r>
      <w:r w:rsidR="00F321F8" w:rsidRPr="00405303">
        <w:rPr>
          <w:bCs/>
          <w:color w:val="002060"/>
          <w:sz w:val="16"/>
          <w:szCs w:val="16"/>
        </w:rPr>
        <w:t xml:space="preserve"> г.</w:t>
      </w:r>
      <w:r w:rsidRPr="00405303">
        <w:rPr>
          <w:bCs/>
          <w:color w:val="002060"/>
          <w:sz w:val="16"/>
          <w:szCs w:val="16"/>
        </w:rPr>
        <w:t xml:space="preserve"> (12 января 1916</w:t>
      </w:r>
      <w:r w:rsidR="00F321F8" w:rsidRPr="00405303">
        <w:rPr>
          <w:bCs/>
          <w:color w:val="002060"/>
          <w:sz w:val="16"/>
          <w:szCs w:val="16"/>
        </w:rPr>
        <w:t xml:space="preserve"> г.</w:t>
      </w:r>
      <w:r w:rsidRPr="00405303">
        <w:rPr>
          <w:bCs/>
          <w:color w:val="002060"/>
          <w:sz w:val="16"/>
          <w:szCs w:val="16"/>
        </w:rPr>
        <w:t xml:space="preserve">) в атаку были брошены 2-й Туркестанский и 1-й Кавказские корпуса. За последующие двое суток русские войска прорвали левый фланг турецкой обороны, и 14 января вышли в тыл Кеприкейской позиции противника, угрожая отрезать турецкие части от крепости Эрзурум, служившей им </w:t>
      </w:r>
      <w:r w:rsidRPr="00405303">
        <w:rPr>
          <w:bCs/>
          <w:color w:val="002060"/>
          <w:sz w:val="16"/>
          <w:szCs w:val="16"/>
        </w:rPr>
        <w:lastRenderedPageBreak/>
        <w:t>основной тыловой базой. Начались тяжелые, кровопролитные встречные бои. В этих условиях командующий 3-й турецкой армией Махмут Камиль-паша, пытаясь сдержать натиск русских, начал переброску войск с южного фланга на северный. В результате южная часть турецкой позиции оказалась ослаблена. Именно на это изначально и рассчитывал командующий русской Кавказской армией генерал Николай Юденич, нанеся мощный удар по южному флангу турецкой обороны. Турки не выдержали, началось беспорядочное отступление. Русские войска ринулись в преследование (17045).</w:t>
      </w:r>
    </w:p>
    <w:p w14:paraId="645A12AC" w14:textId="50401D01" w:rsidR="0046475A" w:rsidRPr="00405303" w:rsidRDefault="0046475A" w:rsidP="00C15251">
      <w:pPr>
        <w:jc w:val="both"/>
        <w:rPr>
          <w:bCs/>
          <w:iCs/>
          <w:color w:val="002060"/>
          <w:sz w:val="16"/>
          <w:szCs w:val="16"/>
        </w:rPr>
      </w:pPr>
    </w:p>
    <w:p w14:paraId="21B7A5E3" w14:textId="3EEF48C1" w:rsidR="006A33D4" w:rsidRPr="00405303" w:rsidRDefault="006A33D4" w:rsidP="00C15251">
      <w:pPr>
        <w:jc w:val="both"/>
        <w:rPr>
          <w:bCs/>
          <w:i/>
          <w:color w:val="002060"/>
          <w:sz w:val="16"/>
          <w:szCs w:val="16"/>
        </w:rPr>
      </w:pPr>
      <w:r w:rsidRPr="00405303">
        <w:rPr>
          <w:bCs/>
          <w:i/>
          <w:color w:val="002060"/>
          <w:sz w:val="16"/>
          <w:szCs w:val="16"/>
        </w:rPr>
        <w:t>Авиация:</w:t>
      </w:r>
    </w:p>
    <w:p w14:paraId="13663673" w14:textId="77777777" w:rsidR="006A33D4" w:rsidRPr="00405303" w:rsidRDefault="006A33D4" w:rsidP="00C15251">
      <w:pPr>
        <w:jc w:val="both"/>
        <w:rPr>
          <w:bCs/>
          <w:i/>
          <w:color w:val="002060"/>
          <w:sz w:val="16"/>
          <w:szCs w:val="16"/>
        </w:rPr>
      </w:pPr>
    </w:p>
    <w:p w14:paraId="53439A71" w14:textId="13297EF2" w:rsidR="006A33D4" w:rsidRPr="00405303" w:rsidRDefault="006A33D4" w:rsidP="00C15251">
      <w:pPr>
        <w:jc w:val="both"/>
        <w:rPr>
          <w:color w:val="002060"/>
          <w:sz w:val="16"/>
          <w:szCs w:val="16"/>
          <w:lang w:bidi="en-US"/>
        </w:rPr>
      </w:pPr>
      <w:r w:rsidRPr="00405303">
        <w:rPr>
          <w:color w:val="002060"/>
          <w:sz w:val="16"/>
          <w:szCs w:val="16"/>
          <w:lang w:bidi="en-US"/>
        </w:rPr>
        <w:t xml:space="preserve">30 декабря </w:t>
      </w:r>
      <w:r w:rsidR="00C15251" w:rsidRPr="00405303">
        <w:rPr>
          <w:color w:val="002060"/>
          <w:sz w:val="16"/>
          <w:szCs w:val="16"/>
          <w:lang w:bidi="en-US"/>
        </w:rPr>
        <w:t xml:space="preserve">1915 г. </w:t>
      </w:r>
      <w:r w:rsidRPr="00405303">
        <w:rPr>
          <w:color w:val="002060"/>
          <w:sz w:val="16"/>
          <w:szCs w:val="16"/>
          <w:lang w:bidi="en-US"/>
        </w:rPr>
        <w:t>(12 января) 1916 г. на Юго-Западном фронте 1-я боевая группа ЭВК в составе ИМ-</w:t>
      </w:r>
      <w:r w:rsidRPr="00405303">
        <w:rPr>
          <w:color w:val="002060"/>
          <w:sz w:val="16"/>
          <w:szCs w:val="16"/>
          <w:lang w:val="en-US" w:bidi="en-US"/>
        </w:rPr>
        <w:t>II</w:t>
      </w:r>
      <w:r w:rsidRPr="00405303">
        <w:rPr>
          <w:color w:val="002060"/>
          <w:sz w:val="16"/>
          <w:szCs w:val="16"/>
          <w:lang w:bidi="en-US"/>
        </w:rPr>
        <w:t>, ИМ-</w:t>
      </w:r>
      <w:r w:rsidRPr="00405303">
        <w:rPr>
          <w:color w:val="002060"/>
          <w:sz w:val="16"/>
          <w:szCs w:val="16"/>
          <w:lang w:val="en-US" w:bidi="en-US"/>
        </w:rPr>
        <w:t>III</w:t>
      </w:r>
      <w:r w:rsidRPr="00405303">
        <w:rPr>
          <w:color w:val="002060"/>
          <w:sz w:val="16"/>
          <w:szCs w:val="16"/>
          <w:lang w:bidi="en-US"/>
        </w:rPr>
        <w:t xml:space="preserve"> и ИМ-</w:t>
      </w:r>
      <w:r w:rsidRPr="00405303">
        <w:rPr>
          <w:color w:val="002060"/>
          <w:sz w:val="16"/>
          <w:szCs w:val="16"/>
          <w:lang w:val="en-US" w:bidi="en-US"/>
        </w:rPr>
        <w:t>XIII</w:t>
      </w:r>
      <w:r w:rsidRPr="00405303">
        <w:rPr>
          <w:color w:val="002060"/>
          <w:sz w:val="16"/>
          <w:szCs w:val="16"/>
          <w:lang w:bidi="en-US"/>
        </w:rPr>
        <w:t xml:space="preserve"> (Киевский) прибыла в Колодзеевку, в 25 км к юго-востоку от Тарнополя. Проливные дожди препятствовали операциям до 29-го числа, когда командир ИМ-</w:t>
      </w:r>
      <w:r w:rsidRPr="00405303">
        <w:rPr>
          <w:color w:val="002060"/>
          <w:sz w:val="16"/>
          <w:szCs w:val="16"/>
          <w:lang w:val="en-US" w:bidi="en-US"/>
        </w:rPr>
        <w:t>II</w:t>
      </w:r>
      <w:r w:rsidRPr="00405303">
        <w:rPr>
          <w:color w:val="002060"/>
          <w:sz w:val="16"/>
          <w:szCs w:val="16"/>
          <w:lang w:bidi="en-US"/>
        </w:rPr>
        <w:t xml:space="preserve"> Штабс Капитан Панкратьев заметил вымощенную деревянными досками взлетно-посадочную полосу немецкого аэродрома. Он заявил, что должен построить такой же для своего корабля. Работа была выполнена в течение трех дней (23525).</w:t>
      </w:r>
    </w:p>
    <w:p w14:paraId="6388B186" w14:textId="77777777" w:rsidR="006A33D4" w:rsidRPr="00405303" w:rsidRDefault="006A33D4" w:rsidP="00C15251">
      <w:pPr>
        <w:jc w:val="both"/>
        <w:rPr>
          <w:color w:val="002060"/>
          <w:sz w:val="16"/>
          <w:szCs w:val="16"/>
        </w:rPr>
      </w:pPr>
    </w:p>
    <w:p w14:paraId="46A59364" w14:textId="1D63A965" w:rsidR="00C74E3B" w:rsidRPr="00405303" w:rsidRDefault="00C74E3B" w:rsidP="00C15251">
      <w:pPr>
        <w:jc w:val="both"/>
        <w:rPr>
          <w:bCs/>
          <w:i/>
          <w:color w:val="002060"/>
          <w:sz w:val="16"/>
          <w:szCs w:val="16"/>
        </w:rPr>
      </w:pPr>
      <w:r w:rsidRPr="00405303">
        <w:rPr>
          <w:bCs/>
          <w:i/>
          <w:color w:val="002060"/>
          <w:sz w:val="16"/>
          <w:szCs w:val="16"/>
        </w:rPr>
        <w:t>Авиация и воздухоплавание Германии</w:t>
      </w:r>
    </w:p>
    <w:p w14:paraId="7B4CEBD4" w14:textId="77777777" w:rsidR="00C74E3B" w:rsidRPr="00405303" w:rsidRDefault="00C74E3B" w:rsidP="00C15251">
      <w:pPr>
        <w:jc w:val="both"/>
        <w:rPr>
          <w:bCs/>
          <w:i/>
          <w:color w:val="002060"/>
          <w:sz w:val="16"/>
          <w:szCs w:val="16"/>
        </w:rPr>
      </w:pPr>
    </w:p>
    <w:p w14:paraId="09395901" w14:textId="34C9BE48" w:rsidR="00C74E3B" w:rsidRPr="00405303" w:rsidRDefault="00C74E3B" w:rsidP="00C15251">
      <w:pPr>
        <w:jc w:val="both"/>
        <w:rPr>
          <w:bCs/>
          <w:color w:val="002060"/>
          <w:sz w:val="16"/>
          <w:szCs w:val="16"/>
        </w:rPr>
      </w:pPr>
      <w:bookmarkStart w:id="330" w:name="_Hlk98485068"/>
      <w:r w:rsidRPr="00405303">
        <w:rPr>
          <w:bCs/>
          <w:color w:val="002060"/>
          <w:sz w:val="16"/>
          <w:szCs w:val="16"/>
        </w:rPr>
        <w:t xml:space="preserve">30 декабря 1915 </w:t>
      </w:r>
      <w:r w:rsidR="00F321F8" w:rsidRPr="00405303">
        <w:rPr>
          <w:bCs/>
          <w:color w:val="002060"/>
          <w:sz w:val="16"/>
          <w:szCs w:val="16"/>
        </w:rPr>
        <w:t xml:space="preserve">г. </w:t>
      </w:r>
      <w:r w:rsidRPr="00405303">
        <w:rPr>
          <w:bCs/>
          <w:color w:val="002060"/>
          <w:sz w:val="16"/>
          <w:szCs w:val="16"/>
        </w:rPr>
        <w:t>(12 января 1916</w:t>
      </w:r>
      <w:r w:rsidR="00F321F8" w:rsidRPr="00405303">
        <w:rPr>
          <w:bCs/>
          <w:color w:val="002060"/>
          <w:sz w:val="16"/>
          <w:szCs w:val="16"/>
        </w:rPr>
        <w:t xml:space="preserve"> г.</w:t>
      </w:r>
      <w:r w:rsidRPr="00405303">
        <w:rPr>
          <w:bCs/>
          <w:color w:val="002060"/>
          <w:sz w:val="16"/>
          <w:szCs w:val="16"/>
        </w:rPr>
        <w:t>) немецкие асы Макс Иммельманн и Освальд Бёльке, каждый из которых совершил по восемь побед, стали первыми пилотами, получившими награду Pour le Mérite («Синий Макс») (20340).</w:t>
      </w:r>
    </w:p>
    <w:p w14:paraId="78181DE7" w14:textId="77777777" w:rsidR="00C74E3B" w:rsidRPr="00405303" w:rsidRDefault="00C74E3B" w:rsidP="00C15251">
      <w:pPr>
        <w:jc w:val="both"/>
        <w:rPr>
          <w:bCs/>
          <w:color w:val="002060"/>
          <w:sz w:val="16"/>
          <w:szCs w:val="16"/>
        </w:rPr>
      </w:pPr>
    </w:p>
    <w:bookmarkEnd w:id="330"/>
    <w:p w14:paraId="6E8B496B"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708C6E27" w14:textId="77777777" w:rsidR="004B4E35" w:rsidRPr="00405303" w:rsidRDefault="004B4E35" w:rsidP="00C15251">
      <w:pPr>
        <w:shd w:val="clear" w:color="auto" w:fill="FFFFFF"/>
        <w:jc w:val="both"/>
        <w:rPr>
          <w:bCs/>
          <w:i/>
          <w:color w:val="002060"/>
          <w:sz w:val="16"/>
          <w:szCs w:val="16"/>
        </w:rPr>
      </w:pPr>
    </w:p>
    <w:p w14:paraId="566AB7BE" w14:textId="36B194A7" w:rsidR="004B4E35" w:rsidRPr="00405303" w:rsidRDefault="009E6F82" w:rsidP="00C15251">
      <w:pPr>
        <w:jc w:val="both"/>
        <w:rPr>
          <w:bCs/>
          <w:color w:val="002060"/>
          <w:sz w:val="16"/>
          <w:szCs w:val="16"/>
        </w:rPr>
      </w:pPr>
      <w:r w:rsidRPr="00405303">
        <w:rPr>
          <w:bCs/>
          <w:color w:val="002060"/>
          <w:sz w:val="16"/>
          <w:szCs w:val="16"/>
        </w:rPr>
        <w:t xml:space="preserve">31 декабря </w:t>
      </w:r>
      <w:r w:rsidR="00D06DF4" w:rsidRPr="00405303">
        <w:rPr>
          <w:bCs/>
          <w:color w:val="002060"/>
          <w:sz w:val="16"/>
          <w:szCs w:val="16"/>
        </w:rPr>
        <w:t xml:space="preserve">1915 г. </w:t>
      </w:r>
      <w:r w:rsidR="00F321F8" w:rsidRPr="00405303">
        <w:rPr>
          <w:bCs/>
          <w:color w:val="002060"/>
          <w:sz w:val="16"/>
          <w:szCs w:val="16"/>
        </w:rPr>
        <w:t>(13 января</w:t>
      </w:r>
      <w:r w:rsidR="00D06DF4" w:rsidRPr="00405303">
        <w:rPr>
          <w:bCs/>
          <w:color w:val="002060"/>
          <w:sz w:val="16"/>
          <w:szCs w:val="16"/>
        </w:rPr>
        <w:t xml:space="preserve"> 1916 г.), х</w:t>
      </w:r>
      <w:r w:rsidR="00F321F8" w:rsidRPr="00405303">
        <w:rPr>
          <w:bCs/>
          <w:color w:val="002060"/>
          <w:sz w:val="16"/>
          <w:szCs w:val="16"/>
        </w:rPr>
        <w:t>отя обеспечение армии 7-мм патронами вызывало трудности, Военное ведомство заинтересовалось предложением</w:t>
      </w:r>
      <w:r w:rsidR="00D06DF4" w:rsidRPr="00405303">
        <w:rPr>
          <w:bCs/>
          <w:color w:val="002060"/>
          <w:sz w:val="16"/>
          <w:szCs w:val="16"/>
        </w:rPr>
        <w:t xml:space="preserve"> Синдиката</w:t>
      </w:r>
      <w:r w:rsidR="00F321F8" w:rsidRPr="00405303">
        <w:rPr>
          <w:bCs/>
          <w:color w:val="002060"/>
          <w:sz w:val="16"/>
          <w:szCs w:val="16"/>
        </w:rPr>
        <w:t xml:space="preserve">. </w:t>
      </w:r>
      <w:r w:rsidR="00D06DF4" w:rsidRPr="00405303">
        <w:rPr>
          <w:bCs/>
          <w:color w:val="002060"/>
          <w:sz w:val="16"/>
          <w:szCs w:val="16"/>
        </w:rPr>
        <w:t>Н</w:t>
      </w:r>
      <w:r w:rsidRPr="00405303">
        <w:rPr>
          <w:bCs/>
          <w:color w:val="002060"/>
          <w:sz w:val="16"/>
          <w:szCs w:val="16"/>
        </w:rPr>
        <w:t xml:space="preserve">овое ружье-пулемет Мадсена, доставленное инструктором Синдиката, было испытано на Ружейном полигоне и признано "удовлетворяющим всем требованиям". Однако "обойти" законодательство Дании оказалось теперь куда сложнее. Поэтому 6 января 1916 г. Синдикат через петроградского купца Лурье подает в ГАУ новое предложение - о постройке в России завода для изготовления ружей-пулеметов под русский патрон. Интересно отметить, что аналогичным образом события развивались в Англии: там также заинтересовались новой моделью Мадсена и также не смогли вывезти из Дании 900 готовых пулеметов. Однако от предложения о строительстве завода отказались, увеличив выпуск ружей-пулеметов Льюиса. "Мадсены" в Англии производились некоторое время заводом "Rexer Arms Company". </w:t>
      </w:r>
    </w:p>
    <w:p w14:paraId="5717CB50" w14:textId="77777777" w:rsidR="004B4E35" w:rsidRPr="00405303" w:rsidRDefault="009E6F82" w:rsidP="00C15251">
      <w:pPr>
        <w:jc w:val="both"/>
        <w:rPr>
          <w:bCs/>
          <w:color w:val="002060"/>
          <w:sz w:val="16"/>
          <w:szCs w:val="16"/>
        </w:rPr>
      </w:pPr>
      <w:r w:rsidRPr="00405303">
        <w:rPr>
          <w:bCs/>
          <w:color w:val="002060"/>
          <w:sz w:val="16"/>
          <w:szCs w:val="16"/>
        </w:rPr>
        <w:t xml:space="preserve">Русское Военное министерство предложение о постройке пулеметного завода приняло, поскольку в России имелось одно только отделение Тульского завода, выпускавшее пулеметы Максима. Приехавшим в Петроград директорам Синдиката на заседании в ГАУ "было предложено отыскать в указанном районе место для постройки завода". Они выбрали г. Ковров Владимирской губернии. Для "постановления на прочных основаниях выполнения столь важного заказа" для постройки завода создается Первое Русское Акционерное Общество ружейных и пулеметных заводов. Однако правительственные чиновники потребовали "ограничения участия в администрации иностранцев и полного недопущения лиц иудейского вероисповедания". Поскольку все технические сотрудники были датчане, помощнику военного министра пришлось специально улаживать этот вопрос. </w:t>
      </w:r>
    </w:p>
    <w:p w14:paraId="46DFAD5B" w14:textId="77777777" w:rsidR="004B4E35" w:rsidRPr="00405303" w:rsidRDefault="009E6F82" w:rsidP="00C15251">
      <w:pPr>
        <w:jc w:val="both"/>
        <w:rPr>
          <w:bCs/>
          <w:color w:val="002060"/>
          <w:sz w:val="16"/>
          <w:szCs w:val="16"/>
        </w:rPr>
      </w:pPr>
      <w:r w:rsidRPr="00405303">
        <w:rPr>
          <w:bCs/>
          <w:color w:val="002060"/>
          <w:sz w:val="16"/>
          <w:szCs w:val="16"/>
        </w:rPr>
        <w:t xml:space="preserve">В результате директором правления Общества стал Сибилев, а кандидатом в директора завода - генерал Гиппиус. Опасаясь срыва сроков строительства, начальник ГАУ генерал-лейтенант Маниковский в июле 1916 г. вновь попытался выяснить возможность заказа в Дании ружей-пулеметов Мадсена "желательно под русский патрон", но безуспешно. 26 августа началось строительство завода в Коврове, а в ноябре 1916 г. - размещение оборудования в его временном корпусе. </w:t>
      </w:r>
    </w:p>
    <w:p w14:paraId="0E0A481D" w14:textId="77777777" w:rsidR="004B4E35" w:rsidRPr="00405303" w:rsidRDefault="004B4E35" w:rsidP="00C15251">
      <w:pPr>
        <w:jc w:val="both"/>
        <w:rPr>
          <w:bCs/>
          <w:color w:val="002060"/>
          <w:sz w:val="16"/>
          <w:szCs w:val="16"/>
        </w:rPr>
      </w:pPr>
    </w:p>
    <w:p w14:paraId="28323F19" w14:textId="76A4F781" w:rsidR="00376769" w:rsidRPr="00405303" w:rsidRDefault="00376769" w:rsidP="00C15251">
      <w:pPr>
        <w:jc w:val="both"/>
        <w:rPr>
          <w:bCs/>
          <w:color w:val="002060"/>
          <w:sz w:val="16"/>
          <w:szCs w:val="16"/>
        </w:rPr>
      </w:pPr>
      <w:r w:rsidRPr="00405303">
        <w:rPr>
          <w:bCs/>
          <w:color w:val="002060"/>
          <w:sz w:val="16"/>
          <w:szCs w:val="16"/>
        </w:rPr>
        <w:t>31 декабря 1915 (13 января 1916) новое ружье-пулемет Мадсена, доставленное инструктором Синдиката, было испытано на Ружейном полигоне и признано "удовлетворяющим всем требованиям". Однако "обойти" законодательство Дании оказалось теперь куда сложнее. Поэтому 6 января 1916 г. Синдикат через петроградского купца Лурье подает в ГАУ новое предложение - о постройке в России завода для изготовления ружей-пулеметов под русский патрон. Интересно отметить, что аналогичным образом события развивались в Англии: там также заинтересовались новой моделью Мадсена и также не смогли вывезти из Дании 900 готовых пулеметов. Однако от предложения о строительстве завода отказались, увеличив выпуск ружей-пулеметов Льюиса. "Мадсены" в Англии производились некоторое время заводом "Rexer Arms Company". Русское Военное министерство предложение о постройке пулеметного завода приняло, поскольку в России имелось одно только отделение Тульского завода, выпускавшее пулеметы Максима. Приехавшим в Петроград директорам Синдиката на заседании в ГАУ "было предложено отыскать в указанном районе место для постройки завода". Они выбрали г. Ковров Владимирской губернии. Для "постановления на прочных основаниях выполнения столь важного заказа" для постройки завода создается Первое Русское Акционерное Общество ружейных и пулеметных заводов. Однако правительственные чиновники потребовали "ограничения участия в администрации иностранцев и полного недопущения лиц иудейского вероисповедания". Поскольку все технические сотрудники были датчане, помощнику военного министра пришлось специально улаживать этот вопрос. В результате директором правления Общества стал Сибилев, а кандидатом в директора завода - генерал Гиппиус. Опасаясь срыва сроков строительства, начальник ГАУ генерал-лейтенант Маниковский в июле 1916 г. вновь попытался выяснить возможность заказа в Дании ружей-пулеметов Мадсена "желательно под русский патрон", но безуспешно. 26 августа началось строительство завода в Коврове, а в ноябре 1916 г. - размещение оборудования в его временном корпусе (11404).</w:t>
      </w:r>
    </w:p>
    <w:p w14:paraId="2AAB7A93" w14:textId="77777777" w:rsidR="00376769" w:rsidRPr="00405303" w:rsidRDefault="00376769" w:rsidP="00C15251">
      <w:pPr>
        <w:jc w:val="both"/>
        <w:rPr>
          <w:bCs/>
          <w:color w:val="002060"/>
          <w:sz w:val="16"/>
          <w:szCs w:val="16"/>
        </w:rPr>
      </w:pPr>
    </w:p>
    <w:p w14:paraId="4214CA0E" w14:textId="77777777" w:rsidR="00D06DF4" w:rsidRPr="00405303" w:rsidRDefault="00D06DF4" w:rsidP="00C15251">
      <w:pPr>
        <w:jc w:val="both"/>
        <w:rPr>
          <w:bCs/>
          <w:color w:val="002060"/>
          <w:sz w:val="16"/>
          <w:szCs w:val="16"/>
        </w:rPr>
      </w:pPr>
      <w:r w:rsidRPr="00405303">
        <w:rPr>
          <w:bCs/>
          <w:color w:val="002060"/>
          <w:sz w:val="16"/>
          <w:szCs w:val="16"/>
        </w:rPr>
        <w:t>31 декабря 1915 года (13 января 1916 г.) Осотоп принял решение № 509616 об установлении предельных продажных цен на нефть и нефтяные остатки на местах их добычи: для сырой нефти — 45 копеек и для нефтяных остатков на заводах — 47 копеек за пуд.</w:t>
      </w:r>
    </w:p>
    <w:p w14:paraId="3298420B" w14:textId="77777777" w:rsidR="00D06DF4" w:rsidRPr="00405303" w:rsidRDefault="00D06DF4" w:rsidP="00C15251">
      <w:pPr>
        <w:jc w:val="both"/>
        <w:rPr>
          <w:bCs/>
          <w:color w:val="002060"/>
          <w:sz w:val="16"/>
          <w:szCs w:val="16"/>
        </w:rPr>
      </w:pPr>
      <w:r w:rsidRPr="00405303">
        <w:rPr>
          <w:bCs/>
          <w:color w:val="002060"/>
          <w:sz w:val="16"/>
          <w:szCs w:val="16"/>
        </w:rPr>
        <w:t>При этом указывалось, что виновные в неисполнении данного решения будут подвергнуты заключению «в тюрьме или крепости на срок не свыше 3 месяцев, или штрафу не свыше 3 тыс. рублей» (11178).</w:t>
      </w:r>
    </w:p>
    <w:p w14:paraId="162A7A5D" w14:textId="77777777" w:rsidR="00D06DF4" w:rsidRPr="00405303" w:rsidRDefault="00D06DF4" w:rsidP="00C15251">
      <w:pPr>
        <w:jc w:val="both"/>
        <w:rPr>
          <w:bCs/>
          <w:color w:val="002060"/>
          <w:sz w:val="16"/>
          <w:szCs w:val="16"/>
        </w:rPr>
      </w:pPr>
    </w:p>
    <w:p w14:paraId="0F8A20BD"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4116A324" w14:textId="77777777" w:rsidR="004B4E35" w:rsidRPr="00405303" w:rsidRDefault="004B4E35" w:rsidP="00C15251">
      <w:pPr>
        <w:jc w:val="both"/>
        <w:rPr>
          <w:bCs/>
          <w:i/>
          <w:color w:val="002060"/>
          <w:sz w:val="16"/>
          <w:szCs w:val="16"/>
        </w:rPr>
      </w:pPr>
    </w:p>
    <w:p w14:paraId="1C7D639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31 декабря 1915 (13 января 1916) в Петрограде умер один из первых летчиков-спортсменов Сергей Исаевич Уточкин (родился в 1874 г.). Научившсь самостоятельно летать, он в 1910-11 годах совершил большое турне по России, демонстрируя полеты в большинстве крупных городов, что сыграло большую роль в популяризации авиации в нашей стране; гастролировал и заграницей, в частности в Египте Греции. В 1913 году после шумных успехов Уточкин отошел от авиации ("Воздухоплаватель". 1916, № I;"Одесские новости", 1916 г.,3 января).</w:t>
      </w:r>
    </w:p>
    <w:p w14:paraId="116149BB" w14:textId="77777777" w:rsidR="004B4E35" w:rsidRPr="00405303" w:rsidRDefault="004B4E35" w:rsidP="00C15251">
      <w:pPr>
        <w:shd w:val="clear" w:color="auto" w:fill="FFFFFF"/>
        <w:jc w:val="both"/>
        <w:rPr>
          <w:bCs/>
          <w:color w:val="002060"/>
          <w:sz w:val="16"/>
          <w:szCs w:val="16"/>
        </w:rPr>
      </w:pPr>
    </w:p>
    <w:p w14:paraId="2365F22C" w14:textId="77777777" w:rsidR="00B30772" w:rsidRPr="00405303" w:rsidRDefault="00B30772" w:rsidP="00C15251">
      <w:pPr>
        <w:jc w:val="both"/>
        <w:rPr>
          <w:bCs/>
          <w:color w:val="002060"/>
          <w:sz w:val="16"/>
          <w:szCs w:val="16"/>
        </w:rPr>
      </w:pPr>
      <w:r w:rsidRPr="00405303">
        <w:rPr>
          <w:bCs/>
          <w:color w:val="002060"/>
          <w:sz w:val="16"/>
          <w:szCs w:val="16"/>
        </w:rPr>
        <w:t xml:space="preserve">31 декабря 1915 г. (13 января 1916 г.) в Петрограде умер один из первых летчиков-спортсменов Сергей Исаевич Уточкин /род.1874/. Научившись самостоятельно летать, он в 1910-12 годах совершил большое турне по России, демонстрируя полеты в большинстве крупных городов, и этим сыграл большую роль в популяризации авиации в нашей стране, гастролировал и за границей, в частности в Египте и Греции. </w:t>
      </w:r>
      <w:proofErr w:type="gramStart"/>
      <w:r w:rsidRPr="00405303">
        <w:rPr>
          <w:bCs/>
          <w:color w:val="002060"/>
          <w:sz w:val="16"/>
          <w:szCs w:val="16"/>
        </w:rPr>
        <w:t>В июлем</w:t>
      </w:r>
      <w:proofErr w:type="gramEnd"/>
      <w:r w:rsidRPr="00405303">
        <w:rPr>
          <w:bCs/>
          <w:color w:val="002060"/>
          <w:sz w:val="16"/>
          <w:szCs w:val="16"/>
        </w:rPr>
        <w:t xml:space="preserve"> 1910 года он одним </w:t>
      </w:r>
      <w:proofErr w:type="gramStart"/>
      <w:r w:rsidRPr="00405303">
        <w:rPr>
          <w:bCs/>
          <w:color w:val="002060"/>
          <w:sz w:val="16"/>
          <w:szCs w:val="16"/>
        </w:rPr>
        <w:t>из первым</w:t>
      </w:r>
      <w:proofErr w:type="gramEnd"/>
      <w:r w:rsidRPr="00405303">
        <w:rPr>
          <w:bCs/>
          <w:color w:val="002060"/>
          <w:sz w:val="16"/>
          <w:szCs w:val="16"/>
        </w:rPr>
        <w:t xml:space="preserve"> из русских перелетел водный рубеж - Одесский залив. В 1911 году принял участие в перелете Петербург-Москва, но потерпел серьезную аварию. В 1913 году после щумных успехов Уточкин отошел от авиации, предался наркотикам, попал в психиатрическую лечебницу,</w:t>
      </w:r>
    </w:p>
    <w:p w14:paraId="19085682" w14:textId="35150E4E" w:rsidR="00B30772" w:rsidRPr="00405303" w:rsidRDefault="00B30772" w:rsidP="00C15251">
      <w:pPr>
        <w:jc w:val="both"/>
        <w:rPr>
          <w:bCs/>
          <w:color w:val="002060"/>
          <w:sz w:val="16"/>
          <w:szCs w:val="16"/>
        </w:rPr>
      </w:pPr>
      <w:proofErr w:type="gramStart"/>
      <w:r w:rsidRPr="00405303">
        <w:rPr>
          <w:bCs/>
          <w:color w:val="002060"/>
          <w:sz w:val="16"/>
          <w:szCs w:val="16"/>
        </w:rPr>
        <w:t>/«</w:t>
      </w:r>
      <w:proofErr w:type="gramEnd"/>
      <w:r w:rsidRPr="00405303">
        <w:rPr>
          <w:bCs/>
          <w:color w:val="002060"/>
          <w:sz w:val="16"/>
          <w:szCs w:val="16"/>
        </w:rPr>
        <w:t>Воздухоплаватель», 1916, № 1;"Одесские новости" за 3 января 1916/ (23320).</w:t>
      </w:r>
    </w:p>
    <w:p w14:paraId="6FEB6881" w14:textId="77777777" w:rsidR="00B30772" w:rsidRPr="00405303" w:rsidRDefault="00B30772" w:rsidP="00C15251">
      <w:pPr>
        <w:jc w:val="both"/>
        <w:rPr>
          <w:bCs/>
          <w:color w:val="002060"/>
          <w:sz w:val="16"/>
          <w:szCs w:val="16"/>
        </w:rPr>
      </w:pPr>
    </w:p>
    <w:p w14:paraId="5C564A2C" w14:textId="04EF20A4" w:rsidR="007A1AF3" w:rsidRPr="00405303" w:rsidRDefault="007A1AF3" w:rsidP="00C15251">
      <w:pPr>
        <w:shd w:val="clear" w:color="auto" w:fill="FFFFFF"/>
        <w:jc w:val="both"/>
        <w:rPr>
          <w:bCs/>
          <w:color w:val="002060"/>
          <w:sz w:val="16"/>
          <w:szCs w:val="16"/>
        </w:rPr>
      </w:pPr>
      <w:r w:rsidRPr="00405303">
        <w:rPr>
          <w:bCs/>
          <w:color w:val="002060"/>
          <w:sz w:val="16"/>
          <w:szCs w:val="16"/>
        </w:rPr>
        <w:lastRenderedPageBreak/>
        <w:t xml:space="preserve">31 декабря 1915 г. </w:t>
      </w:r>
      <w:r w:rsidR="00D06DF4" w:rsidRPr="00405303">
        <w:rPr>
          <w:bCs/>
          <w:color w:val="002060"/>
          <w:sz w:val="16"/>
          <w:szCs w:val="16"/>
        </w:rPr>
        <w:t xml:space="preserve">(13 января 1916 г.) </w:t>
      </w:r>
      <w:r w:rsidRPr="00405303">
        <w:rPr>
          <w:bCs/>
          <w:color w:val="002060"/>
          <w:sz w:val="16"/>
          <w:szCs w:val="16"/>
        </w:rPr>
        <w:t>в Петрограде на 40-м году жизни от кровоизлияния в мозг умер соратник Ефимова С.И. Уточкин. В некрологе в журна</w:t>
      </w:r>
      <w:r w:rsidRPr="00405303">
        <w:rPr>
          <w:bCs/>
          <w:color w:val="002060"/>
          <w:sz w:val="16"/>
          <w:szCs w:val="16"/>
        </w:rPr>
        <w:softHyphen/>
        <w:t>ле “Искры” сообщили, что в последнее время “Сергей Исаевич мечтал о поступлении на службу добровольцем, о поездке в Сербию, но родные его не пустили. Последние дни в бреду больной твердил: “Надо на войну... Пустите...” (11696).</w:t>
      </w:r>
    </w:p>
    <w:p w14:paraId="75685F82" w14:textId="77777777" w:rsidR="007A1AF3" w:rsidRPr="00405303" w:rsidRDefault="007A1AF3" w:rsidP="00C15251">
      <w:pPr>
        <w:shd w:val="clear" w:color="auto" w:fill="FFFFFF"/>
        <w:jc w:val="both"/>
        <w:rPr>
          <w:bCs/>
          <w:color w:val="002060"/>
          <w:sz w:val="16"/>
          <w:szCs w:val="16"/>
        </w:rPr>
      </w:pPr>
    </w:p>
    <w:p w14:paraId="40250326" w14:textId="77777777" w:rsidR="007A1AF3" w:rsidRPr="00405303" w:rsidRDefault="007A1AF3" w:rsidP="00C15251">
      <w:pPr>
        <w:jc w:val="both"/>
        <w:rPr>
          <w:bCs/>
          <w:iCs/>
          <w:color w:val="002060"/>
          <w:sz w:val="16"/>
          <w:szCs w:val="16"/>
        </w:rPr>
      </w:pPr>
      <w:r w:rsidRPr="00405303">
        <w:rPr>
          <w:bCs/>
          <w:i/>
          <w:iCs/>
          <w:color w:val="002060"/>
          <w:sz w:val="16"/>
          <w:szCs w:val="16"/>
        </w:rPr>
        <w:t>Армия:</w:t>
      </w:r>
    </w:p>
    <w:p w14:paraId="66F6ABA2" w14:textId="77777777" w:rsidR="007A1AF3" w:rsidRPr="00405303" w:rsidRDefault="007A1AF3" w:rsidP="00C15251">
      <w:pPr>
        <w:jc w:val="both"/>
        <w:rPr>
          <w:bCs/>
          <w:color w:val="002060"/>
          <w:sz w:val="16"/>
          <w:szCs w:val="16"/>
        </w:rPr>
      </w:pPr>
    </w:p>
    <w:p w14:paraId="20235619" w14:textId="7BB2D9A9" w:rsidR="007A1AF3" w:rsidRPr="00405303" w:rsidRDefault="007A1AF3" w:rsidP="00C15251">
      <w:pPr>
        <w:jc w:val="both"/>
        <w:rPr>
          <w:bCs/>
          <w:color w:val="002060"/>
          <w:sz w:val="16"/>
          <w:szCs w:val="16"/>
        </w:rPr>
      </w:pPr>
      <w:r w:rsidRPr="00405303">
        <w:rPr>
          <w:bCs/>
          <w:color w:val="002060"/>
          <w:sz w:val="16"/>
          <w:szCs w:val="16"/>
        </w:rPr>
        <w:t>31 декабря 1915 г. (13 января 1916</w:t>
      </w:r>
      <w:r w:rsidR="00D06DF4" w:rsidRPr="00405303">
        <w:rPr>
          <w:bCs/>
          <w:color w:val="002060"/>
          <w:sz w:val="16"/>
          <w:szCs w:val="16"/>
        </w:rPr>
        <w:t xml:space="preserve"> г.</w:t>
      </w:r>
      <w:r w:rsidRPr="00405303">
        <w:rPr>
          <w:bCs/>
          <w:color w:val="002060"/>
          <w:sz w:val="16"/>
          <w:szCs w:val="16"/>
        </w:rPr>
        <w:t>) Николай II издал Приказ по армии и флоту, который заканчивался словами: «Я вступаю в Новый год с твердою верою в милость Божию, в духовную мощь и непоколебимую твердость и верность всего русского народа и в военную доблесть Моих армии и флота» (17036).</w:t>
      </w:r>
    </w:p>
    <w:p w14:paraId="06AAB44F" w14:textId="77777777" w:rsidR="007A1AF3" w:rsidRPr="00405303" w:rsidRDefault="007A1AF3" w:rsidP="00C15251">
      <w:pPr>
        <w:jc w:val="both"/>
        <w:rPr>
          <w:bCs/>
          <w:color w:val="002060"/>
          <w:sz w:val="16"/>
          <w:szCs w:val="16"/>
        </w:rPr>
      </w:pPr>
    </w:p>
    <w:p w14:paraId="24405ACA" w14:textId="78A702AC" w:rsidR="006A33D4" w:rsidRPr="00405303" w:rsidRDefault="006A33D4" w:rsidP="00C15251">
      <w:pPr>
        <w:jc w:val="both"/>
        <w:rPr>
          <w:i/>
          <w:iCs/>
          <w:color w:val="002060"/>
          <w:sz w:val="16"/>
          <w:szCs w:val="16"/>
        </w:rPr>
      </w:pPr>
      <w:r w:rsidRPr="00405303">
        <w:rPr>
          <w:i/>
          <w:iCs/>
          <w:color w:val="002060"/>
          <w:sz w:val="16"/>
          <w:szCs w:val="16"/>
        </w:rPr>
        <w:t>Авиация:</w:t>
      </w:r>
    </w:p>
    <w:p w14:paraId="7CDCC5B3" w14:textId="77777777" w:rsidR="006A33D4" w:rsidRPr="00405303" w:rsidRDefault="006A33D4" w:rsidP="00C15251">
      <w:pPr>
        <w:jc w:val="both"/>
        <w:rPr>
          <w:i/>
          <w:iCs/>
          <w:color w:val="002060"/>
          <w:sz w:val="16"/>
          <w:szCs w:val="16"/>
        </w:rPr>
      </w:pPr>
    </w:p>
    <w:p w14:paraId="3C995193" w14:textId="19ADA647" w:rsidR="006A33D4" w:rsidRPr="00405303" w:rsidRDefault="006A33D4" w:rsidP="00C15251">
      <w:pPr>
        <w:jc w:val="both"/>
        <w:rPr>
          <w:color w:val="002060"/>
          <w:sz w:val="16"/>
          <w:szCs w:val="16"/>
          <w:lang w:bidi="en-US"/>
        </w:rPr>
      </w:pPr>
      <w:r w:rsidRPr="00405303">
        <w:rPr>
          <w:color w:val="002060"/>
          <w:sz w:val="16"/>
          <w:szCs w:val="16"/>
          <w:lang w:bidi="en-US"/>
        </w:rPr>
        <w:t xml:space="preserve">31 декабря 1915 г. (13 января 1916 г.) в отчете </w:t>
      </w:r>
      <w:r w:rsidRPr="00405303">
        <w:rPr>
          <w:color w:val="002060"/>
          <w:sz w:val="16"/>
          <w:szCs w:val="16"/>
          <w:lang w:val="en-US" w:bidi="en-US"/>
        </w:rPr>
        <w:t>CMTD</w:t>
      </w:r>
      <w:r w:rsidRPr="00405303">
        <w:rPr>
          <w:color w:val="002060"/>
          <w:sz w:val="16"/>
          <w:szCs w:val="16"/>
          <w:lang w:bidi="en-US"/>
        </w:rPr>
        <w:t xml:space="preserve"> перечислялось количество и типы самолетов на фронте, в резерве и в ремонте: </w:t>
      </w:r>
      <w:r w:rsidRPr="00405303">
        <w:rPr>
          <w:color w:val="002060"/>
          <w:sz w:val="16"/>
          <w:szCs w:val="16"/>
          <w:lang w:val="en-US" w:bidi="en-US"/>
        </w:rPr>
        <w:t>Voisin</w:t>
      </w:r>
      <w:r w:rsidRPr="00405303">
        <w:rPr>
          <w:color w:val="002060"/>
          <w:sz w:val="16"/>
          <w:szCs w:val="16"/>
          <w:lang w:bidi="en-US"/>
        </w:rPr>
        <w:t xml:space="preserve"> — 115 — 9 — 16; Зонтик Моран -98 -26- 34; Ньюпор - 25 - 25 - 8; Фарман - 31 - 9 - 7; Депердуссин - 6 - 3 - 7; Захваченных самолетов противника – 31 – 3 – 15; Разное - 5 - 1 - 1; Итоги - 311-76-112 (Всего 505) (23525).</w:t>
      </w:r>
    </w:p>
    <w:p w14:paraId="60DB3D75" w14:textId="77777777" w:rsidR="006A33D4" w:rsidRPr="00405303" w:rsidRDefault="006A33D4" w:rsidP="00C15251">
      <w:pPr>
        <w:jc w:val="both"/>
        <w:rPr>
          <w:color w:val="002060"/>
          <w:sz w:val="16"/>
          <w:szCs w:val="16"/>
        </w:rPr>
      </w:pPr>
    </w:p>
    <w:p w14:paraId="1BAC16B2" w14:textId="53E7C0D0" w:rsidR="00906334" w:rsidRPr="00405303" w:rsidRDefault="00906334" w:rsidP="00C15251">
      <w:pPr>
        <w:jc w:val="both"/>
        <w:rPr>
          <w:iCs/>
          <w:color w:val="002060"/>
          <w:sz w:val="16"/>
          <w:szCs w:val="16"/>
        </w:rPr>
      </w:pPr>
      <w:r w:rsidRPr="00405303">
        <w:rPr>
          <w:i/>
          <w:iCs/>
          <w:color w:val="002060"/>
          <w:sz w:val="16"/>
          <w:szCs w:val="16"/>
        </w:rPr>
        <w:t>Жизнь и внутренняя политика:</w:t>
      </w:r>
    </w:p>
    <w:p w14:paraId="33EF70DF" w14:textId="77777777" w:rsidR="00906334" w:rsidRPr="00405303" w:rsidRDefault="00906334" w:rsidP="00C15251">
      <w:pPr>
        <w:jc w:val="both"/>
        <w:rPr>
          <w:color w:val="002060"/>
          <w:sz w:val="16"/>
          <w:szCs w:val="16"/>
        </w:rPr>
      </w:pPr>
    </w:p>
    <w:p w14:paraId="03C9FC6C" w14:textId="77777777" w:rsidR="00906334" w:rsidRPr="00405303" w:rsidRDefault="00906334" w:rsidP="00C15251">
      <w:pPr>
        <w:jc w:val="both"/>
        <w:rPr>
          <w:color w:val="002060"/>
          <w:sz w:val="16"/>
          <w:szCs w:val="16"/>
        </w:rPr>
      </w:pPr>
      <w:r w:rsidRPr="00405303">
        <w:rPr>
          <w:color w:val="002060"/>
          <w:sz w:val="16"/>
          <w:szCs w:val="16"/>
        </w:rPr>
        <w:t>31 декабря 1915 г. (13 января 1916) Николай II издал Приказ по армии и флоту, который заканчивался словами: «Я вступаю в Новый год с твердою верою в милость Божию, в духовную мощь и непоколебимую твердость и верность всего русского народа и в военную доблесть Моих армии и флота» (17036).</w:t>
      </w:r>
    </w:p>
    <w:p w14:paraId="76E573CD" w14:textId="77777777" w:rsidR="00906334" w:rsidRPr="00405303" w:rsidRDefault="00906334" w:rsidP="00C15251">
      <w:pPr>
        <w:jc w:val="both"/>
        <w:rPr>
          <w:color w:val="002060"/>
          <w:sz w:val="16"/>
          <w:szCs w:val="16"/>
        </w:rPr>
      </w:pPr>
    </w:p>
    <w:p w14:paraId="0CE4DE8C" w14:textId="6FA20CC5" w:rsidR="00FA068E" w:rsidRPr="00405303" w:rsidRDefault="00FA068E" w:rsidP="00C15251">
      <w:pPr>
        <w:jc w:val="both"/>
        <w:rPr>
          <w:bCs/>
          <w:iCs/>
          <w:color w:val="002060"/>
          <w:sz w:val="16"/>
          <w:szCs w:val="16"/>
        </w:rPr>
      </w:pPr>
      <w:r w:rsidRPr="00405303">
        <w:rPr>
          <w:bCs/>
          <w:i/>
          <w:iCs/>
          <w:color w:val="002060"/>
          <w:sz w:val="16"/>
          <w:szCs w:val="16"/>
        </w:rPr>
        <w:t>Авиация и воздухоплавание за рубежом:</w:t>
      </w:r>
    </w:p>
    <w:p w14:paraId="433A5F33" w14:textId="77777777" w:rsidR="00FA068E" w:rsidRPr="00405303" w:rsidRDefault="00FA068E" w:rsidP="00C15251">
      <w:pPr>
        <w:jc w:val="both"/>
        <w:rPr>
          <w:bCs/>
          <w:color w:val="002060"/>
          <w:sz w:val="16"/>
          <w:szCs w:val="16"/>
        </w:rPr>
      </w:pPr>
    </w:p>
    <w:p w14:paraId="00ECF21C" w14:textId="01E8ECCE" w:rsidR="00FA068E" w:rsidRPr="00405303" w:rsidRDefault="00FA068E" w:rsidP="00C15251">
      <w:pPr>
        <w:jc w:val="both"/>
        <w:rPr>
          <w:bCs/>
          <w:color w:val="002060"/>
          <w:sz w:val="16"/>
          <w:szCs w:val="16"/>
          <w:lang w:val="en-US"/>
        </w:rPr>
      </w:pPr>
      <w:bookmarkStart w:id="331" w:name="_Hlk98485186"/>
      <w:r w:rsidRPr="00405303">
        <w:rPr>
          <w:bCs/>
          <w:color w:val="002060"/>
          <w:sz w:val="16"/>
          <w:szCs w:val="16"/>
          <w:lang w:val="en-US"/>
        </w:rPr>
        <w:t xml:space="preserve">31 </w:t>
      </w:r>
      <w:r w:rsidRPr="00405303">
        <w:rPr>
          <w:bCs/>
          <w:color w:val="002060"/>
          <w:sz w:val="16"/>
          <w:szCs w:val="16"/>
        </w:rPr>
        <w:t>декабря</w:t>
      </w:r>
      <w:r w:rsidRPr="00405303">
        <w:rPr>
          <w:bCs/>
          <w:color w:val="002060"/>
          <w:sz w:val="16"/>
          <w:szCs w:val="16"/>
          <w:lang w:val="en-US"/>
        </w:rPr>
        <w:t xml:space="preserve"> 1915 </w:t>
      </w:r>
      <w:r w:rsidR="00D06DF4" w:rsidRPr="00405303">
        <w:rPr>
          <w:bCs/>
          <w:color w:val="002060"/>
          <w:sz w:val="16"/>
          <w:szCs w:val="16"/>
        </w:rPr>
        <w:t>г</w:t>
      </w:r>
      <w:r w:rsidR="00D06DF4" w:rsidRPr="00405303">
        <w:rPr>
          <w:bCs/>
          <w:color w:val="002060"/>
          <w:sz w:val="16"/>
          <w:szCs w:val="16"/>
          <w:lang w:val="en-US"/>
        </w:rPr>
        <w:t xml:space="preserve">. </w:t>
      </w:r>
      <w:r w:rsidRPr="00405303">
        <w:rPr>
          <w:bCs/>
          <w:color w:val="002060"/>
          <w:sz w:val="16"/>
          <w:szCs w:val="16"/>
          <w:lang w:val="en-US"/>
        </w:rPr>
        <w:t xml:space="preserve">(13 </w:t>
      </w:r>
      <w:r w:rsidRPr="00405303">
        <w:rPr>
          <w:bCs/>
          <w:color w:val="002060"/>
          <w:sz w:val="16"/>
          <w:szCs w:val="16"/>
        </w:rPr>
        <w:t>января</w:t>
      </w:r>
      <w:r w:rsidRPr="00405303">
        <w:rPr>
          <w:bCs/>
          <w:color w:val="002060"/>
          <w:sz w:val="16"/>
          <w:szCs w:val="16"/>
          <w:lang w:val="en-US"/>
        </w:rPr>
        <w:t xml:space="preserve"> 1916</w:t>
      </w:r>
      <w:r w:rsidR="00D06DF4" w:rsidRPr="00405303">
        <w:rPr>
          <w:bCs/>
          <w:color w:val="002060"/>
          <w:sz w:val="16"/>
          <w:szCs w:val="16"/>
          <w:lang w:val="en-US"/>
        </w:rPr>
        <w:t xml:space="preserve"> </w:t>
      </w:r>
      <w:r w:rsidR="00D06DF4" w:rsidRPr="00405303">
        <w:rPr>
          <w:bCs/>
          <w:color w:val="002060"/>
          <w:sz w:val="16"/>
          <w:szCs w:val="16"/>
        </w:rPr>
        <w:t>г</w:t>
      </w:r>
      <w:r w:rsidR="00D06DF4" w:rsidRPr="00405303">
        <w:rPr>
          <w:bCs/>
          <w:color w:val="002060"/>
          <w:sz w:val="16"/>
          <w:szCs w:val="16"/>
          <w:lang w:val="en-US"/>
        </w:rPr>
        <w:t>.)</w:t>
      </w:r>
      <w:r w:rsidRPr="00405303">
        <w:rPr>
          <w:bCs/>
          <w:color w:val="002060"/>
          <w:sz w:val="16"/>
          <w:szCs w:val="16"/>
          <w:lang w:val="en-US"/>
        </w:rPr>
        <w:t xml:space="preserve"> Curtiss Airplane Company, Curtiss Motor Company, Curtiss Engineering Company </w:t>
      </w:r>
      <w:r w:rsidRPr="00405303">
        <w:rPr>
          <w:bCs/>
          <w:color w:val="002060"/>
          <w:sz w:val="16"/>
          <w:szCs w:val="16"/>
        </w:rPr>
        <w:t>и</w:t>
      </w:r>
      <w:r w:rsidRPr="00405303">
        <w:rPr>
          <w:bCs/>
          <w:color w:val="002060"/>
          <w:sz w:val="16"/>
          <w:szCs w:val="16"/>
          <w:lang w:val="en-US"/>
        </w:rPr>
        <w:t xml:space="preserve"> </w:t>
      </w:r>
      <w:r w:rsidRPr="00405303">
        <w:rPr>
          <w:bCs/>
          <w:color w:val="002060"/>
          <w:sz w:val="16"/>
          <w:szCs w:val="16"/>
        </w:rPr>
        <w:t>Берджесс</w:t>
      </w:r>
      <w:r w:rsidRPr="00405303">
        <w:rPr>
          <w:bCs/>
          <w:color w:val="002060"/>
          <w:sz w:val="16"/>
          <w:szCs w:val="16"/>
          <w:lang w:val="en-US"/>
        </w:rPr>
        <w:t xml:space="preserve"> </w:t>
      </w:r>
      <w:r w:rsidRPr="00405303">
        <w:rPr>
          <w:bCs/>
          <w:color w:val="002060"/>
          <w:sz w:val="16"/>
          <w:szCs w:val="16"/>
        </w:rPr>
        <w:t>и</w:t>
      </w:r>
      <w:r w:rsidRPr="00405303">
        <w:rPr>
          <w:bCs/>
          <w:color w:val="002060"/>
          <w:sz w:val="16"/>
          <w:szCs w:val="16"/>
          <w:lang w:val="en-US"/>
        </w:rPr>
        <w:t xml:space="preserve"> </w:t>
      </w:r>
      <w:r w:rsidRPr="00405303">
        <w:rPr>
          <w:bCs/>
          <w:color w:val="002060"/>
          <w:sz w:val="16"/>
          <w:szCs w:val="16"/>
        </w:rPr>
        <w:t>Кертис</w:t>
      </w:r>
      <w:r w:rsidRPr="00405303">
        <w:rPr>
          <w:bCs/>
          <w:color w:val="002060"/>
          <w:sz w:val="16"/>
          <w:szCs w:val="16"/>
          <w:lang w:val="en-US"/>
        </w:rPr>
        <w:t xml:space="preserve"> </w:t>
      </w:r>
      <w:r w:rsidRPr="00405303">
        <w:rPr>
          <w:bCs/>
          <w:color w:val="002060"/>
          <w:sz w:val="16"/>
          <w:szCs w:val="16"/>
        </w:rPr>
        <w:t>сливаются</w:t>
      </w:r>
      <w:r w:rsidRPr="00405303">
        <w:rPr>
          <w:bCs/>
          <w:color w:val="002060"/>
          <w:sz w:val="16"/>
          <w:szCs w:val="16"/>
          <w:lang w:val="en-US"/>
        </w:rPr>
        <w:t xml:space="preserve">, </w:t>
      </w:r>
      <w:r w:rsidRPr="00405303">
        <w:rPr>
          <w:bCs/>
          <w:color w:val="002060"/>
          <w:sz w:val="16"/>
          <w:szCs w:val="16"/>
        </w:rPr>
        <w:t>чтобы</w:t>
      </w:r>
      <w:r w:rsidRPr="00405303">
        <w:rPr>
          <w:bCs/>
          <w:color w:val="002060"/>
          <w:sz w:val="16"/>
          <w:szCs w:val="16"/>
          <w:lang w:val="en-US"/>
        </w:rPr>
        <w:t xml:space="preserve"> </w:t>
      </w:r>
      <w:r w:rsidRPr="00405303">
        <w:rPr>
          <w:bCs/>
          <w:color w:val="002060"/>
          <w:sz w:val="16"/>
          <w:szCs w:val="16"/>
        </w:rPr>
        <w:t>сформировать</w:t>
      </w:r>
      <w:r w:rsidRPr="00405303">
        <w:rPr>
          <w:bCs/>
          <w:color w:val="002060"/>
          <w:sz w:val="16"/>
          <w:szCs w:val="16"/>
          <w:lang w:val="en-US"/>
        </w:rPr>
        <w:t xml:space="preserve"> Curtiss Airplane and Motor Company (20340).</w:t>
      </w:r>
    </w:p>
    <w:p w14:paraId="1D10DEA3" w14:textId="77777777" w:rsidR="00FA068E" w:rsidRPr="00405303" w:rsidRDefault="00FA068E" w:rsidP="00C15251">
      <w:pPr>
        <w:jc w:val="both"/>
        <w:rPr>
          <w:bCs/>
          <w:color w:val="002060"/>
          <w:sz w:val="16"/>
          <w:szCs w:val="16"/>
          <w:lang w:val="en-US"/>
        </w:rPr>
      </w:pPr>
    </w:p>
    <w:bookmarkEnd w:id="331"/>
    <w:p w14:paraId="5DD3E927" w14:textId="77777777" w:rsidR="00095F90" w:rsidRPr="00405303" w:rsidRDefault="00095F90" w:rsidP="00C15251">
      <w:pPr>
        <w:jc w:val="both"/>
        <w:rPr>
          <w:bCs/>
          <w:iCs/>
          <w:color w:val="002060"/>
          <w:sz w:val="16"/>
          <w:szCs w:val="16"/>
        </w:rPr>
      </w:pPr>
      <w:r w:rsidRPr="00405303">
        <w:rPr>
          <w:bCs/>
          <w:i/>
          <w:iCs/>
          <w:color w:val="002060"/>
          <w:sz w:val="16"/>
          <w:szCs w:val="16"/>
        </w:rPr>
        <w:t>За рубежом:</w:t>
      </w:r>
    </w:p>
    <w:p w14:paraId="25A46EB0" w14:textId="77777777" w:rsidR="00095F90" w:rsidRPr="00405303" w:rsidRDefault="00095F90" w:rsidP="00C15251">
      <w:pPr>
        <w:jc w:val="both"/>
        <w:rPr>
          <w:bCs/>
          <w:iCs/>
          <w:color w:val="002060"/>
          <w:sz w:val="16"/>
          <w:szCs w:val="16"/>
        </w:rPr>
      </w:pPr>
    </w:p>
    <w:p w14:paraId="30371088" w14:textId="3A02F8DD" w:rsidR="00095F90" w:rsidRPr="00405303" w:rsidRDefault="00095F90" w:rsidP="00C15251">
      <w:pPr>
        <w:tabs>
          <w:tab w:val="left" w:pos="11199"/>
        </w:tabs>
        <w:jc w:val="both"/>
        <w:rPr>
          <w:bCs/>
          <w:color w:val="002060"/>
          <w:sz w:val="16"/>
          <w:szCs w:val="16"/>
        </w:rPr>
      </w:pPr>
      <w:r w:rsidRPr="00405303">
        <w:rPr>
          <w:bCs/>
          <w:color w:val="002060"/>
          <w:sz w:val="16"/>
          <w:szCs w:val="16"/>
        </w:rPr>
        <w:t xml:space="preserve">31 декабря 1915 </w:t>
      </w:r>
      <w:r w:rsidR="00D06DF4" w:rsidRPr="00405303">
        <w:rPr>
          <w:bCs/>
          <w:color w:val="002060"/>
          <w:sz w:val="16"/>
          <w:szCs w:val="16"/>
        </w:rPr>
        <w:t xml:space="preserve">г. </w:t>
      </w:r>
      <w:r w:rsidRPr="00405303">
        <w:rPr>
          <w:bCs/>
          <w:color w:val="002060"/>
          <w:sz w:val="16"/>
          <w:szCs w:val="16"/>
        </w:rPr>
        <w:t>(13 января 1916</w:t>
      </w:r>
      <w:r w:rsidR="00D06DF4" w:rsidRPr="00405303">
        <w:rPr>
          <w:bCs/>
          <w:color w:val="002060"/>
          <w:sz w:val="16"/>
          <w:szCs w:val="16"/>
        </w:rPr>
        <w:t xml:space="preserve"> г.</w:t>
      </w:r>
      <w:r w:rsidRPr="00405303">
        <w:rPr>
          <w:bCs/>
          <w:color w:val="002060"/>
          <w:sz w:val="16"/>
          <w:szCs w:val="16"/>
        </w:rPr>
        <w:t>) из-за прорыва дамб воды Северного моря затопили Голландию, около 10 тысяч человек погибли (4962).</w:t>
      </w:r>
    </w:p>
    <w:p w14:paraId="4B820CE5" w14:textId="77777777" w:rsidR="00095F90" w:rsidRPr="00405303" w:rsidRDefault="00095F90" w:rsidP="00C15251">
      <w:pPr>
        <w:tabs>
          <w:tab w:val="left" w:pos="11199"/>
        </w:tabs>
        <w:jc w:val="both"/>
        <w:rPr>
          <w:bCs/>
          <w:color w:val="002060"/>
          <w:sz w:val="16"/>
          <w:szCs w:val="16"/>
        </w:rPr>
      </w:pPr>
    </w:p>
    <w:p w14:paraId="57357EB6" w14:textId="77777777" w:rsidR="00764F22" w:rsidRPr="00405303" w:rsidRDefault="00764F22" w:rsidP="00C15251">
      <w:pPr>
        <w:jc w:val="both"/>
        <w:rPr>
          <w:bCs/>
          <w:iCs/>
          <w:color w:val="002060"/>
          <w:sz w:val="16"/>
          <w:szCs w:val="16"/>
        </w:rPr>
      </w:pPr>
      <w:r w:rsidRPr="00405303">
        <w:rPr>
          <w:bCs/>
          <w:i/>
          <w:iCs/>
          <w:color w:val="002060"/>
          <w:sz w:val="16"/>
          <w:szCs w:val="16"/>
        </w:rPr>
        <w:t>Авиапромышленность:</w:t>
      </w:r>
    </w:p>
    <w:p w14:paraId="3A4AFDEF" w14:textId="77777777" w:rsidR="00764F22" w:rsidRPr="00405303" w:rsidRDefault="00764F22" w:rsidP="00C15251">
      <w:pPr>
        <w:jc w:val="both"/>
        <w:rPr>
          <w:bCs/>
          <w:iCs/>
          <w:color w:val="002060"/>
          <w:sz w:val="16"/>
          <w:szCs w:val="16"/>
        </w:rPr>
      </w:pPr>
    </w:p>
    <w:p w14:paraId="69FC904A" w14:textId="6C4EEE79" w:rsidR="00764F22" w:rsidRPr="00405303" w:rsidRDefault="00764F22" w:rsidP="00C15251">
      <w:pPr>
        <w:jc w:val="both"/>
        <w:rPr>
          <w:bCs/>
          <w:color w:val="002060"/>
          <w:sz w:val="16"/>
          <w:szCs w:val="16"/>
        </w:rPr>
      </w:pPr>
      <w:r w:rsidRPr="00405303">
        <w:rPr>
          <w:bCs/>
          <w:color w:val="002060"/>
          <w:sz w:val="16"/>
          <w:szCs w:val="16"/>
        </w:rPr>
        <w:t>В конце де</w:t>
      </w:r>
      <w:r w:rsidRPr="00405303">
        <w:rPr>
          <w:bCs/>
          <w:color w:val="002060"/>
          <w:sz w:val="16"/>
          <w:szCs w:val="16"/>
        </w:rPr>
        <w:softHyphen/>
        <w:t xml:space="preserve">кабря 1915 </w:t>
      </w:r>
      <w:r w:rsidR="00D06DF4" w:rsidRPr="00405303">
        <w:rPr>
          <w:bCs/>
          <w:color w:val="002060"/>
          <w:sz w:val="16"/>
          <w:szCs w:val="16"/>
        </w:rPr>
        <w:t xml:space="preserve">г. </w:t>
      </w:r>
      <w:r w:rsidRPr="00405303">
        <w:rPr>
          <w:bCs/>
          <w:color w:val="002060"/>
          <w:sz w:val="16"/>
          <w:szCs w:val="16"/>
        </w:rPr>
        <w:t>М-9 впервые подняли в воз</w:t>
      </w:r>
      <w:r w:rsidRPr="00405303">
        <w:rPr>
          <w:bCs/>
          <w:color w:val="002060"/>
          <w:sz w:val="16"/>
          <w:szCs w:val="16"/>
        </w:rPr>
        <w:softHyphen/>
        <w:t>дух в Баку. По результатам испытаний, проведенных в январе 1916 г., са</w:t>
      </w:r>
      <w:r w:rsidRPr="00405303">
        <w:rPr>
          <w:bCs/>
          <w:color w:val="002060"/>
          <w:sz w:val="16"/>
          <w:szCs w:val="16"/>
        </w:rPr>
        <w:softHyphen/>
        <w:t>молет показал хорошую мореход</w:t>
      </w:r>
      <w:r w:rsidRPr="00405303">
        <w:rPr>
          <w:bCs/>
          <w:color w:val="002060"/>
          <w:sz w:val="16"/>
          <w:szCs w:val="16"/>
        </w:rPr>
        <w:softHyphen/>
        <w:t>ность и послушность управления, свободно преодолевал волну высо</w:t>
      </w:r>
      <w:r w:rsidRPr="00405303">
        <w:rPr>
          <w:bCs/>
          <w:color w:val="002060"/>
          <w:sz w:val="16"/>
          <w:szCs w:val="16"/>
        </w:rPr>
        <w:softHyphen/>
        <w:t>той 0,5 метра, легко выходил из воды и отрывался в воздух. В поле</w:t>
      </w:r>
      <w:r w:rsidRPr="00405303">
        <w:rPr>
          <w:bCs/>
          <w:color w:val="002060"/>
          <w:sz w:val="16"/>
          <w:szCs w:val="16"/>
        </w:rPr>
        <w:softHyphen/>
        <w:t>те показал высокую устойчивость и мягкость управления на виражах.</w:t>
      </w:r>
    </w:p>
    <w:p w14:paraId="19385841" w14:textId="77777777" w:rsidR="00764F22" w:rsidRPr="00405303" w:rsidRDefault="00764F22" w:rsidP="00C15251">
      <w:pPr>
        <w:jc w:val="both"/>
        <w:rPr>
          <w:bCs/>
          <w:color w:val="002060"/>
          <w:sz w:val="16"/>
          <w:szCs w:val="16"/>
        </w:rPr>
      </w:pPr>
      <w:r w:rsidRPr="00405303">
        <w:rPr>
          <w:bCs/>
          <w:color w:val="002060"/>
          <w:sz w:val="16"/>
          <w:szCs w:val="16"/>
        </w:rPr>
        <w:t>Летающая лодка М-9 явилась последовательным развитием М-5 под более мощный двигатель «Саль- мсон» 140-150 л.с. и соответствую</w:t>
      </w:r>
      <w:r w:rsidRPr="00405303">
        <w:rPr>
          <w:bCs/>
          <w:color w:val="002060"/>
          <w:sz w:val="16"/>
          <w:szCs w:val="16"/>
        </w:rPr>
        <w:softHyphen/>
        <w:t>щим увеличением размеров. Эки</w:t>
      </w:r>
      <w:r w:rsidRPr="00405303">
        <w:rPr>
          <w:bCs/>
          <w:color w:val="002060"/>
          <w:sz w:val="16"/>
          <w:szCs w:val="16"/>
        </w:rPr>
        <w:softHyphen/>
        <w:t>паж состоял из двух человек, сидя</w:t>
      </w:r>
      <w:r w:rsidRPr="00405303">
        <w:rPr>
          <w:bCs/>
          <w:color w:val="002060"/>
          <w:sz w:val="16"/>
          <w:szCs w:val="16"/>
        </w:rPr>
        <w:softHyphen/>
        <w:t>щих рядом. При этом впереди име</w:t>
      </w:r>
      <w:r w:rsidRPr="00405303">
        <w:rPr>
          <w:bCs/>
          <w:color w:val="002060"/>
          <w:sz w:val="16"/>
          <w:szCs w:val="16"/>
        </w:rPr>
        <w:softHyphen/>
        <w:t>лось еще одно место для воздуш</w:t>
      </w:r>
      <w:r w:rsidRPr="00405303">
        <w:rPr>
          <w:bCs/>
          <w:color w:val="002060"/>
          <w:sz w:val="16"/>
          <w:szCs w:val="16"/>
        </w:rPr>
        <w:softHyphen/>
        <w:t>ного стрелка, вооруженного пуле</w:t>
      </w:r>
      <w:r w:rsidRPr="00405303">
        <w:rPr>
          <w:bCs/>
          <w:color w:val="002060"/>
          <w:sz w:val="16"/>
          <w:szCs w:val="16"/>
        </w:rPr>
        <w:softHyphen/>
        <w:t>метом «Максим» или «Виккерс», ус</w:t>
      </w:r>
      <w:r w:rsidRPr="00405303">
        <w:rPr>
          <w:bCs/>
          <w:color w:val="002060"/>
          <w:sz w:val="16"/>
          <w:szCs w:val="16"/>
        </w:rPr>
        <w:softHyphen/>
        <w:t>тановленном на треноге. В случае необходимости место стрелка за</w:t>
      </w:r>
      <w:r w:rsidRPr="00405303">
        <w:rPr>
          <w:bCs/>
          <w:color w:val="002060"/>
          <w:sz w:val="16"/>
          <w:szCs w:val="16"/>
        </w:rPr>
        <w:softHyphen/>
        <w:t>нимал правый летчик (наблюдатель), в отдельных случаях экипаж состо</w:t>
      </w:r>
      <w:r w:rsidRPr="00405303">
        <w:rPr>
          <w:bCs/>
          <w:color w:val="002060"/>
          <w:sz w:val="16"/>
          <w:szCs w:val="16"/>
        </w:rPr>
        <w:softHyphen/>
        <w:t>ял из трех человек (12088).</w:t>
      </w:r>
    </w:p>
    <w:p w14:paraId="219E6246" w14:textId="77777777" w:rsidR="00764F22" w:rsidRPr="00405303" w:rsidRDefault="00764F22" w:rsidP="00C15251">
      <w:pPr>
        <w:jc w:val="both"/>
        <w:rPr>
          <w:bCs/>
          <w:color w:val="002060"/>
          <w:sz w:val="16"/>
          <w:szCs w:val="16"/>
        </w:rPr>
      </w:pPr>
    </w:p>
    <w:p w14:paraId="787FD1D6" w14:textId="77777777" w:rsidR="00BB35D4" w:rsidRPr="00405303" w:rsidRDefault="00BB35D4" w:rsidP="00C15251">
      <w:pPr>
        <w:jc w:val="both"/>
        <w:rPr>
          <w:bCs/>
          <w:color w:val="002060"/>
          <w:sz w:val="16"/>
          <w:szCs w:val="16"/>
        </w:rPr>
      </w:pPr>
      <w:bookmarkStart w:id="332" w:name="_Hlk98485273"/>
      <w:r w:rsidRPr="00405303">
        <w:rPr>
          <w:bCs/>
          <w:color w:val="002060"/>
          <w:sz w:val="16"/>
          <w:szCs w:val="16"/>
          <w:lang w:bidi="en-US"/>
        </w:rPr>
        <w:t>По конец декабря 1915 г. с августа 1914 г. Россия приобрела 910 самолетов (в августе 1914 г. у них было 244 машины), в результате чего общее количество самолетов достигло 1154. В конце 1915 г. в наличии имелось 553 самолета, из них 322 боеспособных, 118 в ремонте и еще 76 в резерве. За весь 1915 г. армия совершила 9993 боевых вылета, налетав 14647 часов.</w:t>
      </w:r>
    </w:p>
    <w:p w14:paraId="5AA1ECE3" w14:textId="77777777" w:rsidR="00BB35D4" w:rsidRPr="00405303" w:rsidRDefault="00BB35D4" w:rsidP="00C15251">
      <w:pPr>
        <w:jc w:val="both"/>
        <w:rPr>
          <w:bCs/>
          <w:color w:val="002060"/>
          <w:sz w:val="16"/>
          <w:szCs w:val="16"/>
        </w:rPr>
      </w:pPr>
      <w:r w:rsidRPr="00405303">
        <w:rPr>
          <w:bCs/>
          <w:color w:val="002060"/>
          <w:sz w:val="16"/>
          <w:szCs w:val="16"/>
          <w:lang w:bidi="en-US"/>
        </w:rPr>
        <w:t>С начала войны Россия потеряла 139 самолетов, сбитых противником, еще 25 были вынуждены приземлиться и были захвачены противником. Четыреста пятьдесят самолетов изношены, а тридцать девять сгорели при отступлении. Всего до конца декабря 1915 года было потеряно 653 самолета.</w:t>
      </w:r>
    </w:p>
    <w:p w14:paraId="11099AE8" w14:textId="77777777" w:rsidR="00BB35D4" w:rsidRPr="00405303" w:rsidRDefault="00BB35D4" w:rsidP="00C15251">
      <w:pPr>
        <w:jc w:val="both"/>
        <w:rPr>
          <w:bCs/>
          <w:color w:val="002060"/>
          <w:sz w:val="16"/>
          <w:szCs w:val="16"/>
        </w:rPr>
      </w:pPr>
      <w:r w:rsidRPr="00405303">
        <w:rPr>
          <w:bCs/>
          <w:color w:val="002060"/>
          <w:sz w:val="16"/>
          <w:szCs w:val="16"/>
          <w:lang w:bidi="en-US"/>
        </w:rPr>
        <w:t>В декабре русская армия насчитывала двадцать пять полевых воздухоплавательных рот (КВО), что на четырнадцать больше, чем в августе 1914 года (23525).</w:t>
      </w:r>
    </w:p>
    <w:p w14:paraId="388872F9" w14:textId="77777777" w:rsidR="00BB35D4" w:rsidRPr="00405303" w:rsidRDefault="00BB35D4" w:rsidP="00C15251">
      <w:pPr>
        <w:jc w:val="both"/>
        <w:rPr>
          <w:bCs/>
          <w:color w:val="002060"/>
          <w:sz w:val="16"/>
          <w:szCs w:val="16"/>
          <w:lang w:bidi="ru-RU"/>
        </w:rPr>
      </w:pPr>
    </w:p>
    <w:p w14:paraId="20D12801" w14:textId="3B15B9FC" w:rsidR="00FA068E" w:rsidRPr="00405303" w:rsidRDefault="00FA068E" w:rsidP="00C15251">
      <w:pPr>
        <w:jc w:val="both"/>
        <w:rPr>
          <w:bCs/>
          <w:i/>
          <w:color w:val="002060"/>
          <w:sz w:val="16"/>
          <w:szCs w:val="16"/>
        </w:rPr>
      </w:pPr>
      <w:r w:rsidRPr="00405303">
        <w:rPr>
          <w:bCs/>
          <w:i/>
          <w:color w:val="002060"/>
          <w:sz w:val="16"/>
          <w:szCs w:val="16"/>
        </w:rPr>
        <w:t>Другие оборонные отрасли:</w:t>
      </w:r>
    </w:p>
    <w:p w14:paraId="12F87C84" w14:textId="77777777" w:rsidR="00FA068E" w:rsidRPr="00405303" w:rsidRDefault="00FA068E" w:rsidP="00C15251">
      <w:pPr>
        <w:jc w:val="both"/>
        <w:rPr>
          <w:bCs/>
          <w:i/>
          <w:color w:val="002060"/>
          <w:sz w:val="16"/>
          <w:szCs w:val="16"/>
        </w:rPr>
      </w:pPr>
    </w:p>
    <w:p w14:paraId="746E9946" w14:textId="77777777" w:rsidR="00FA068E" w:rsidRPr="00405303" w:rsidRDefault="00FA068E" w:rsidP="00C15251">
      <w:pPr>
        <w:jc w:val="both"/>
        <w:rPr>
          <w:bCs/>
          <w:color w:val="002060"/>
          <w:sz w:val="16"/>
          <w:szCs w:val="16"/>
          <w:shd w:val="clear" w:color="auto" w:fill="FFFFFF"/>
        </w:rPr>
      </w:pPr>
      <w:r w:rsidRPr="00405303">
        <w:rPr>
          <w:bCs/>
          <w:color w:val="002060"/>
          <w:sz w:val="16"/>
          <w:szCs w:val="16"/>
        </w:rPr>
        <w:t>В конце декабря 1915 г. было одобрено предложение Военно-химического комитета о строительстве опытного завода «для выработки новых способов заводского получения химических веществ» [Журнал № 32 ПКАВ. Заседание 29 декабря 1915 г. / Архив ВИМАИВиВС. Ф. 13. Оп. 87/2. Д. 24. Л. 51.]. Позднее на базе Военно-химического комитета и опытного завода на Ватном острове Петрограда был образован Государственный институт прикладной химии, ставший крупнейшим отечественным научно-исследовательским центром химического профиля (20236).</w:t>
      </w:r>
    </w:p>
    <w:p w14:paraId="51FAFCAD" w14:textId="77777777" w:rsidR="00FA068E" w:rsidRPr="00405303" w:rsidRDefault="00FA068E" w:rsidP="00C15251">
      <w:pPr>
        <w:jc w:val="both"/>
        <w:rPr>
          <w:bCs/>
          <w:color w:val="002060"/>
          <w:sz w:val="16"/>
          <w:szCs w:val="16"/>
          <w:shd w:val="clear" w:color="auto" w:fill="FFFFFF"/>
        </w:rPr>
      </w:pPr>
    </w:p>
    <w:p w14:paraId="07355141" w14:textId="77777777" w:rsidR="006177BD" w:rsidRPr="00B52707" w:rsidRDefault="006177BD" w:rsidP="006177BD">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В конце декабря 1915 года на Черном море прошла первые испытания глубинная бомба со штертово-поплавковым взрывателем, разработанная известным специалистом-минером капитаном 1 ранга Н. Н. Шрейбером. Действие ее основывалось не на срабатывании гидростата, а на механическом выдергивании чеки при помощи специального буйрепа (штерта) с буйком.</w:t>
      </w:r>
    </w:p>
    <w:p w14:paraId="237AEE93" w14:textId="77777777" w:rsidR="006177BD" w:rsidRPr="00B52707" w:rsidRDefault="006177BD" w:rsidP="006177BD">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После сбрасывания в воду поплавок оставался на поверхности, а бомба, погружаясь, разматывала буйреп. Взрыв происходил на глубине, равной длине штерта, после выдергивания последним боевой чеки. Такая бомба обещала быть простой в изготовлении и, главное, надежной в действии.</w:t>
      </w:r>
    </w:p>
    <w:p w14:paraId="3E1F4D93" w14:textId="77777777" w:rsidR="006177BD" w:rsidRPr="00B52707" w:rsidRDefault="006177BD" w:rsidP="006177BD">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Однако первые испытания не оправдали этих надежд — взрыватель срабатывал значительно раньше установленной глубины. Бомба оказалась неудобной в обращении: отсоединение буйка и одновременное сбрасывание бомбы вручную с миноносца, особенно при качке, было весьма опасным.</w:t>
      </w:r>
    </w:p>
    <w:p w14:paraId="51EFE7E1" w14:textId="77777777" w:rsidR="006177BD" w:rsidRPr="00B52707" w:rsidRDefault="006177BD" w:rsidP="006177BD">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Несмотря на «совершенно отрицательный отзыв» черноморского командования и даже категорическое указание командующего флотом адмирала А. А. Эбергарда «бомбы Шрейбера не употреблять, имеемые разоружить», дальнейшие работы продолжились на Балтике (25382).</w:t>
      </w:r>
    </w:p>
    <w:p w14:paraId="7B9F76A8" w14:textId="77777777" w:rsidR="006177BD" w:rsidRPr="00B52707" w:rsidRDefault="006177BD" w:rsidP="006177BD">
      <w:pPr>
        <w:jc w:val="both"/>
        <w:rPr>
          <w:rStyle w:val="aa"/>
          <w:rFonts w:ascii="Times New Roman" w:hAnsi="Times New Roman"/>
          <w:color w:val="0070C0"/>
          <w:spacing w:val="0"/>
          <w:sz w:val="16"/>
          <w:szCs w:val="16"/>
        </w:rPr>
      </w:pPr>
    </w:p>
    <w:p w14:paraId="24BC6891" w14:textId="77777777" w:rsidR="00FA068E" w:rsidRPr="00405303" w:rsidRDefault="00FA068E" w:rsidP="00C15251">
      <w:pPr>
        <w:shd w:val="clear" w:color="auto" w:fill="FFFFFF"/>
        <w:jc w:val="both"/>
        <w:rPr>
          <w:bCs/>
          <w:color w:val="002060"/>
          <w:sz w:val="16"/>
          <w:szCs w:val="16"/>
        </w:rPr>
      </w:pPr>
      <w:r w:rsidRPr="00405303">
        <w:rPr>
          <w:bCs/>
          <w:color w:val="002060"/>
          <w:sz w:val="16"/>
          <w:szCs w:val="16"/>
        </w:rPr>
        <w:t>В конце декабря 1915 г. исполнительная комиссия при военном министре одобрила выдачу заказа инженеру Нагорскому на предложенный им прибор подводной сигнализации. Для создания схемы сторожевого охранения 6 апреля 1917 г. Особое совещание по обороне одобрило заказ еще 16 таких приборов и одного стационарного комплекта на общую сумму 42 тыс. руб. [Журнал № 134 ПКОВ. Заседание 6 апреля 1917 г. / Архив ВИМАИВиВС. Ф. 13. Оп. 87/1. Д. 62. Л. 3.] (20236).</w:t>
      </w:r>
    </w:p>
    <w:p w14:paraId="6B0455D8" w14:textId="77777777" w:rsidR="00FA068E" w:rsidRPr="00405303" w:rsidRDefault="00FA068E" w:rsidP="00C15251">
      <w:pPr>
        <w:shd w:val="clear" w:color="auto" w:fill="FFFFFF"/>
        <w:jc w:val="both"/>
        <w:rPr>
          <w:bCs/>
          <w:color w:val="002060"/>
          <w:sz w:val="16"/>
          <w:szCs w:val="16"/>
        </w:rPr>
      </w:pPr>
    </w:p>
    <w:bookmarkEnd w:id="332"/>
    <w:p w14:paraId="06C948DF" w14:textId="43C49C36" w:rsidR="00BB35D4" w:rsidRPr="00405303" w:rsidRDefault="00BB35D4" w:rsidP="00C15251">
      <w:pPr>
        <w:jc w:val="both"/>
        <w:rPr>
          <w:bCs/>
          <w:i/>
          <w:color w:val="002060"/>
          <w:sz w:val="16"/>
          <w:szCs w:val="16"/>
        </w:rPr>
      </w:pPr>
      <w:r w:rsidRPr="00405303">
        <w:rPr>
          <w:bCs/>
          <w:i/>
          <w:color w:val="002060"/>
          <w:sz w:val="16"/>
          <w:szCs w:val="16"/>
        </w:rPr>
        <w:t>Авиация:</w:t>
      </w:r>
    </w:p>
    <w:p w14:paraId="7BA542A3" w14:textId="77777777" w:rsidR="00BB35D4" w:rsidRPr="00405303" w:rsidRDefault="00BB35D4" w:rsidP="00C15251">
      <w:pPr>
        <w:jc w:val="both"/>
        <w:rPr>
          <w:bCs/>
          <w:i/>
          <w:color w:val="002060"/>
          <w:sz w:val="16"/>
          <w:szCs w:val="16"/>
        </w:rPr>
      </w:pPr>
    </w:p>
    <w:p w14:paraId="0DFA5B6F" w14:textId="77777777" w:rsidR="00BB35D4" w:rsidRPr="00405303" w:rsidRDefault="00BB35D4" w:rsidP="00C15251">
      <w:pPr>
        <w:jc w:val="both"/>
        <w:rPr>
          <w:bCs/>
          <w:color w:val="002060"/>
          <w:sz w:val="16"/>
          <w:szCs w:val="16"/>
        </w:rPr>
      </w:pPr>
      <w:bookmarkStart w:id="333" w:name="bookmark318"/>
      <w:r w:rsidRPr="00405303">
        <w:rPr>
          <w:bCs/>
          <w:color w:val="002060"/>
          <w:sz w:val="16"/>
          <w:szCs w:val="16"/>
        </w:rPr>
        <w:lastRenderedPageBreak/>
        <w:t>В конце декабря 1915 г. немецкая авиация предпринимала многочисленные попытки в полосе Северного фронта достичь Двинска и Риги, однако, в большинстве случаев, ее самолеты попадали под шквальный зенитный огонь и вынуждены были возвращаться в расположение своих войск. На Юго-Западном фронте противник продолжал активно вести воздушную разведку. Всего в течение месяца было отмечено лишь несколько случаев воздушной бомбардировки наших объектов (23405).</w:t>
      </w:r>
      <w:bookmarkEnd w:id="333"/>
    </w:p>
    <w:p w14:paraId="58925A4F" w14:textId="77777777" w:rsidR="00BB35D4" w:rsidRPr="00405303" w:rsidRDefault="00BB35D4" w:rsidP="00C15251">
      <w:pPr>
        <w:jc w:val="both"/>
        <w:rPr>
          <w:bCs/>
          <w:color w:val="002060"/>
          <w:sz w:val="16"/>
          <w:szCs w:val="16"/>
          <w:lang w:bidi="ru-RU"/>
        </w:rPr>
      </w:pPr>
    </w:p>
    <w:p w14:paraId="0ABF0E1C" w14:textId="77777777" w:rsidR="00E46E5E" w:rsidRPr="00B52707" w:rsidRDefault="00E46E5E" w:rsidP="00E46E5E">
      <w:pPr>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В конце декабря 1915 г. немецкая авиация предпринимала многочисленные попытки в полосе Северного фронта достичь Двинска и Риги, однако, в большинстве случаев, ее самолеты попадали под шквальный зенитный огонь и вынуждены были возвращаться в расположение своих войск.</w:t>
      </w:r>
    </w:p>
    <w:p w14:paraId="5E8D08D5" w14:textId="77777777" w:rsidR="00E46E5E" w:rsidRPr="00B52707" w:rsidRDefault="00E46E5E" w:rsidP="00E46E5E">
      <w:pPr>
        <w:jc w:val="both"/>
        <w:rPr>
          <w:color w:val="0070C0"/>
          <w:sz w:val="16"/>
          <w:szCs w:val="16"/>
        </w:rPr>
      </w:pPr>
      <w:r w:rsidRPr="00B52707">
        <w:rPr>
          <w:rStyle w:val="aa"/>
          <w:rFonts w:ascii="Times New Roman" w:hAnsi="Times New Roman"/>
          <w:color w:val="0070C0"/>
          <w:spacing w:val="0"/>
          <w:sz w:val="16"/>
          <w:szCs w:val="16"/>
        </w:rPr>
        <w:t>На Юго-Западном фронте противник продолжал активно вести воздушную разведку. Всего в течение месяца было отмечено лишь несколько случаев воздушной бомбардировки наших объектов (25135).</w:t>
      </w:r>
    </w:p>
    <w:p w14:paraId="6398CA37" w14:textId="77777777" w:rsidR="00E46E5E" w:rsidRPr="00B52707" w:rsidRDefault="00E46E5E" w:rsidP="00E46E5E">
      <w:pPr>
        <w:jc w:val="both"/>
        <w:rPr>
          <w:color w:val="0070C0"/>
          <w:sz w:val="16"/>
          <w:szCs w:val="16"/>
        </w:rPr>
      </w:pPr>
    </w:p>
    <w:p w14:paraId="77927CF7" w14:textId="77777777" w:rsidR="00E46E5E" w:rsidRPr="00B52707" w:rsidRDefault="00E46E5E" w:rsidP="00E46E5E">
      <w:pPr>
        <w:jc w:val="both"/>
        <w:rPr>
          <w:color w:val="0070C0"/>
          <w:sz w:val="16"/>
          <w:szCs w:val="16"/>
        </w:rPr>
      </w:pPr>
      <w:r w:rsidRPr="00B52707">
        <w:rPr>
          <w:rStyle w:val="aa"/>
          <w:rFonts w:ascii="Times New Roman" w:hAnsi="Times New Roman"/>
          <w:color w:val="0070C0"/>
          <w:spacing w:val="0"/>
          <w:sz w:val="16"/>
          <w:szCs w:val="16"/>
        </w:rPr>
        <w:t>В конце декабря 1915 г. в полосе Юго-Западного фронта немецкие и австрийские летчики при организации воздушной разведки постоянно сбрасывали над позициями наших войск прокламации. Последние были «полны фантастических сообщений об успехах немцев о происходящих беспорядках в крупных русских городах. Прокламации призывают русских солдат сдаться на милость германского кайзера, который щедро вознаградит сдавшихся в плен»</w:t>
      </w:r>
      <w:hyperlink w:anchor="bookmark1382" w:tooltip="Current Document">
        <w:r w:rsidRPr="00B52707">
          <w:rPr>
            <w:rStyle w:val="aa"/>
            <w:rFonts w:ascii="Times New Roman" w:hAnsi="Times New Roman"/>
            <w:color w:val="0070C0"/>
            <w:spacing w:val="0"/>
            <w:sz w:val="16"/>
            <w:szCs w:val="16"/>
            <w:u w:val="single"/>
            <w:vertAlign w:val="superscript"/>
          </w:rPr>
          <w:t>[314]</w:t>
        </w:r>
      </w:hyperlink>
      <w:r w:rsidRPr="00B52707">
        <w:rPr>
          <w:rStyle w:val="aa"/>
          <w:rFonts w:ascii="Times New Roman" w:hAnsi="Times New Roman"/>
          <w:color w:val="0070C0"/>
          <w:spacing w:val="0"/>
          <w:sz w:val="16"/>
          <w:szCs w:val="16"/>
        </w:rPr>
        <w:t>. В большинстве случаев неприятельские летчики подвергались зенитному обстрелу со стороны русских частей (25135).</w:t>
      </w:r>
    </w:p>
    <w:p w14:paraId="49D0F987" w14:textId="77777777" w:rsidR="00E46E5E" w:rsidRPr="00B52707" w:rsidRDefault="00E46E5E" w:rsidP="00E46E5E">
      <w:pPr>
        <w:jc w:val="both"/>
        <w:rPr>
          <w:color w:val="0070C0"/>
          <w:sz w:val="16"/>
          <w:szCs w:val="16"/>
        </w:rPr>
      </w:pPr>
    </w:p>
    <w:p w14:paraId="019F7041" w14:textId="77777777" w:rsidR="00BB35D4" w:rsidRPr="00405303" w:rsidRDefault="00BB35D4" w:rsidP="00C15251">
      <w:pPr>
        <w:jc w:val="both"/>
        <w:rPr>
          <w:bCs/>
          <w:color w:val="002060"/>
          <w:sz w:val="16"/>
          <w:szCs w:val="16"/>
          <w:lang w:bidi="en-US"/>
        </w:rPr>
      </w:pPr>
      <w:r w:rsidRPr="00405303">
        <w:rPr>
          <w:bCs/>
          <w:color w:val="002060"/>
          <w:sz w:val="16"/>
          <w:szCs w:val="16"/>
          <w:lang w:bidi="en-US"/>
        </w:rPr>
        <w:t>К концу декабря 1915 г. сложилась особая система ПВО с созданием Особых постов начальников местной ПВО, которая должна была прикрывать отдельные населенные пункты и важные военные объекты. Об их деятельности ничего не известно (23525).</w:t>
      </w:r>
    </w:p>
    <w:p w14:paraId="5CA22223" w14:textId="77777777" w:rsidR="00BB35D4" w:rsidRPr="00405303" w:rsidRDefault="00BB35D4" w:rsidP="00C15251">
      <w:pPr>
        <w:jc w:val="both"/>
        <w:rPr>
          <w:bCs/>
          <w:color w:val="002060"/>
          <w:sz w:val="16"/>
          <w:szCs w:val="16"/>
        </w:rPr>
      </w:pPr>
    </w:p>
    <w:p w14:paraId="53047F38" w14:textId="77777777" w:rsidR="00BB35D4" w:rsidRPr="00405303" w:rsidRDefault="00BB35D4" w:rsidP="00C15251">
      <w:pPr>
        <w:jc w:val="both"/>
        <w:rPr>
          <w:bCs/>
          <w:color w:val="002060"/>
          <w:sz w:val="16"/>
          <w:szCs w:val="16"/>
        </w:rPr>
      </w:pPr>
      <w:r w:rsidRPr="00405303">
        <w:rPr>
          <w:bCs/>
          <w:color w:val="002060"/>
          <w:sz w:val="16"/>
          <w:szCs w:val="16"/>
          <w:lang w:bidi="en-US"/>
        </w:rPr>
        <w:t>К концу декабря 1915 г. ЭВК ИМ совершили около 100 боевых вылетов и с февраля сбросили почти 20 000 кг бомб. Наиболее активными кораблями были «Киевский», выполнивший тридцать один вылет, ИМ-</w:t>
      </w:r>
      <w:r w:rsidRPr="00405303">
        <w:rPr>
          <w:bCs/>
          <w:color w:val="002060"/>
          <w:sz w:val="16"/>
          <w:szCs w:val="16"/>
          <w:lang w:val="en-US" w:bidi="en-US"/>
        </w:rPr>
        <w:t>III</w:t>
      </w:r>
      <w:r w:rsidRPr="00405303">
        <w:rPr>
          <w:bCs/>
          <w:color w:val="002060"/>
          <w:sz w:val="16"/>
          <w:szCs w:val="16"/>
          <w:lang w:bidi="en-US"/>
        </w:rPr>
        <w:t xml:space="preserve"> с более чем тридцатью вылетами и по несколько вылетов ИМ-</w:t>
      </w:r>
      <w:r w:rsidRPr="00405303">
        <w:rPr>
          <w:bCs/>
          <w:color w:val="002060"/>
          <w:sz w:val="16"/>
          <w:szCs w:val="16"/>
          <w:lang w:val="en-US" w:bidi="en-US"/>
        </w:rPr>
        <w:t>I</w:t>
      </w:r>
      <w:r w:rsidRPr="00405303">
        <w:rPr>
          <w:bCs/>
          <w:color w:val="002060"/>
          <w:sz w:val="16"/>
          <w:szCs w:val="16"/>
          <w:lang w:bidi="en-US"/>
        </w:rPr>
        <w:t>, ИМ-</w:t>
      </w:r>
      <w:r w:rsidRPr="00405303">
        <w:rPr>
          <w:bCs/>
          <w:color w:val="002060"/>
          <w:sz w:val="16"/>
          <w:szCs w:val="16"/>
          <w:lang w:val="en-US" w:bidi="en-US"/>
        </w:rPr>
        <w:t>II</w:t>
      </w:r>
      <w:r w:rsidRPr="00405303">
        <w:rPr>
          <w:bCs/>
          <w:color w:val="002060"/>
          <w:sz w:val="16"/>
          <w:szCs w:val="16"/>
          <w:lang w:bidi="en-US"/>
        </w:rPr>
        <w:t>, ИМ-</w:t>
      </w:r>
      <w:r w:rsidRPr="00405303">
        <w:rPr>
          <w:bCs/>
          <w:color w:val="002060"/>
          <w:sz w:val="16"/>
          <w:szCs w:val="16"/>
          <w:lang w:val="en-US" w:bidi="en-US"/>
        </w:rPr>
        <w:t>V</w:t>
      </w:r>
      <w:r w:rsidRPr="00405303">
        <w:rPr>
          <w:bCs/>
          <w:color w:val="002060"/>
          <w:sz w:val="16"/>
          <w:szCs w:val="16"/>
          <w:lang w:bidi="en-US"/>
        </w:rPr>
        <w:t xml:space="preserve"> и ИМ-</w:t>
      </w:r>
      <w:r w:rsidRPr="00405303">
        <w:rPr>
          <w:bCs/>
          <w:color w:val="002060"/>
          <w:sz w:val="16"/>
          <w:szCs w:val="16"/>
          <w:lang w:val="en-US" w:bidi="en-US"/>
        </w:rPr>
        <w:t>IX</w:t>
      </w:r>
      <w:r w:rsidRPr="00405303">
        <w:rPr>
          <w:bCs/>
          <w:color w:val="002060"/>
          <w:sz w:val="16"/>
          <w:szCs w:val="16"/>
          <w:lang w:bidi="en-US"/>
        </w:rPr>
        <w:t>. Пять кораблей уже были списаны (23525).</w:t>
      </w:r>
    </w:p>
    <w:p w14:paraId="6E9158DD" w14:textId="77777777" w:rsidR="00BB35D4" w:rsidRPr="00405303" w:rsidRDefault="00BB35D4" w:rsidP="00C15251">
      <w:pPr>
        <w:jc w:val="both"/>
        <w:rPr>
          <w:bCs/>
          <w:color w:val="002060"/>
          <w:sz w:val="16"/>
          <w:szCs w:val="16"/>
          <w:lang w:bidi="en-US"/>
        </w:rPr>
      </w:pPr>
    </w:p>
    <w:p w14:paraId="590B081A" w14:textId="77777777" w:rsidR="00BB35D4" w:rsidRPr="00405303" w:rsidRDefault="00BB35D4" w:rsidP="00C15251">
      <w:pPr>
        <w:jc w:val="both"/>
        <w:rPr>
          <w:bCs/>
          <w:color w:val="002060"/>
          <w:sz w:val="16"/>
          <w:szCs w:val="16"/>
        </w:rPr>
      </w:pPr>
      <w:r w:rsidRPr="00405303">
        <w:rPr>
          <w:bCs/>
          <w:color w:val="002060"/>
          <w:sz w:val="16"/>
          <w:szCs w:val="16"/>
        </w:rPr>
        <w:t>В конце декабря 1915 г. в полосе Юго-Западного фронта немецкие и австрийские летчики при организации воздушной разведки постоянно сбрасывали над позициями наших войск прокламации. Последние были «полны фантастических сообщений об успехах немцев о происходящих беспорядках в крупных русских городах. Прокламации призывают русских солдат сдаться на милость германского кайзера, который щедро вознаградит сдавшихся в плен». В большинстве случаев неприятельские летчики подвергались зенитному обстрелу со стороны русских частей (23405).</w:t>
      </w:r>
    </w:p>
    <w:p w14:paraId="1742A3FE" w14:textId="77777777" w:rsidR="00BB35D4" w:rsidRPr="00405303" w:rsidRDefault="00BB35D4" w:rsidP="00C15251">
      <w:pPr>
        <w:jc w:val="both"/>
        <w:rPr>
          <w:bCs/>
          <w:color w:val="002060"/>
          <w:sz w:val="16"/>
          <w:szCs w:val="16"/>
          <w:lang w:bidi="ru-RU"/>
        </w:rPr>
      </w:pPr>
    </w:p>
    <w:p w14:paraId="542CD4CC" w14:textId="72FD54A5"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56EC66E2" w14:textId="77777777" w:rsidR="004B4E35" w:rsidRPr="00405303" w:rsidRDefault="004B4E35" w:rsidP="00C15251">
      <w:pPr>
        <w:jc w:val="both"/>
        <w:rPr>
          <w:bCs/>
          <w:i/>
          <w:color w:val="002060"/>
          <w:sz w:val="16"/>
          <w:szCs w:val="16"/>
        </w:rPr>
      </w:pPr>
    </w:p>
    <w:p w14:paraId="4633BE99" w14:textId="77777777" w:rsidR="004B4E35" w:rsidRPr="00405303" w:rsidRDefault="009E6F82" w:rsidP="00C15251">
      <w:pPr>
        <w:jc w:val="both"/>
        <w:rPr>
          <w:bCs/>
          <w:color w:val="002060"/>
          <w:sz w:val="16"/>
          <w:szCs w:val="16"/>
        </w:rPr>
      </w:pPr>
      <w:r w:rsidRPr="00405303">
        <w:rPr>
          <w:bCs/>
          <w:color w:val="002060"/>
          <w:sz w:val="16"/>
          <w:szCs w:val="16"/>
        </w:rPr>
        <w:t>В конце декабря 1915 года был отдан приказ о планомерном подавлении неприятельской авиации над районом предстоящего наступления в долине р. Маас. Благодаря предварительной, чрезвычайно тщательно выполненной аэрофотосъемке, разведку можно было ограничить визуальным наблюдением за деятельностью противника. Большая часть имевшихся самолетов была предоставлена для создания боевой завесы. Два патруля, по два самолета в каждом, должны были при всякой маломальски летной погоде отгонять неприятельских летчиков от этого участка фронта. С имевшимися незначительными силами эта задача была бы невыполнимой, еслибы не чрезвычайно неблагоприятная для полетов погода в начале 1916 года. Тем не менее штаб 5-й армии счел нужным запросить у главного командования подкрепления для армейской авиации. Вслед за тем этой армии были приданы две боевые эскадры и несколько авиаотрядов. Создание завесы отнимало чрезвычайно много сил у отрядов. За два дня до начала наступления им уже понадобились новые подкрепления (11282).</w:t>
      </w:r>
    </w:p>
    <w:p w14:paraId="4A23CCE5" w14:textId="77777777" w:rsidR="004B4E35" w:rsidRPr="00405303" w:rsidRDefault="004B4E35" w:rsidP="00C15251">
      <w:pPr>
        <w:jc w:val="both"/>
        <w:rPr>
          <w:bCs/>
          <w:color w:val="002060"/>
          <w:sz w:val="16"/>
          <w:szCs w:val="16"/>
        </w:rPr>
      </w:pPr>
    </w:p>
    <w:p w14:paraId="5A785ACF" w14:textId="77777777" w:rsidR="00764F22" w:rsidRPr="00405303" w:rsidRDefault="00764F22" w:rsidP="00C15251">
      <w:pPr>
        <w:pStyle w:val="ae"/>
        <w:spacing w:before="0" w:beforeAutospacing="0" w:after="0" w:afterAutospacing="0"/>
        <w:jc w:val="both"/>
        <w:rPr>
          <w:bCs/>
          <w:color w:val="002060"/>
          <w:sz w:val="16"/>
          <w:szCs w:val="16"/>
        </w:rPr>
      </w:pPr>
      <w:r w:rsidRPr="00405303">
        <w:rPr>
          <w:bCs/>
          <w:color w:val="002060"/>
          <w:sz w:val="16"/>
          <w:szCs w:val="16"/>
        </w:rPr>
        <w:t>В конце декабря 1915 на основных фронтах Европы продолжались затяжные позиционные бои, стороны обменивались артиллерийскими налетами и газовыми атаками. В Дарданеллах союзники завершали эвакуацию экспедиционного корпуса, так и не сумевшего прорвать оборону турок на Галлиполийском полуострове (17045).</w:t>
      </w:r>
    </w:p>
    <w:p w14:paraId="5640AD6F" w14:textId="77777777" w:rsidR="00764F22" w:rsidRPr="00405303" w:rsidRDefault="00764F22" w:rsidP="00C15251">
      <w:pPr>
        <w:jc w:val="both"/>
        <w:rPr>
          <w:bCs/>
          <w:color w:val="002060"/>
          <w:sz w:val="16"/>
          <w:szCs w:val="16"/>
        </w:rPr>
      </w:pPr>
    </w:p>
    <w:p w14:paraId="0A4A6D4B"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644F9449" w14:textId="77777777" w:rsidR="004B4E35" w:rsidRPr="00405303" w:rsidRDefault="004B4E35" w:rsidP="00C15251">
      <w:pPr>
        <w:jc w:val="both"/>
        <w:rPr>
          <w:bCs/>
          <w:i/>
          <w:color w:val="002060"/>
          <w:sz w:val="16"/>
          <w:szCs w:val="16"/>
        </w:rPr>
      </w:pPr>
    </w:p>
    <w:p w14:paraId="01808275" w14:textId="77777777" w:rsidR="00E46E5E" w:rsidRPr="00B52707" w:rsidRDefault="00E46E5E" w:rsidP="00E46E5E">
      <w:pPr>
        <w:jc w:val="both"/>
        <w:rPr>
          <w:color w:val="0070C0"/>
          <w:sz w:val="16"/>
          <w:szCs w:val="16"/>
        </w:rPr>
      </w:pPr>
      <w:r w:rsidRPr="00B52707">
        <w:rPr>
          <w:color w:val="0070C0"/>
          <w:sz w:val="16"/>
          <w:szCs w:val="16"/>
        </w:rPr>
        <w:t>С декабря 1915 г. выпускался «Илья Муромец» серии «Г» (ИМ-Г, ширококрылый). От серии «В» отличался более крупными размерами, шириной (хордой) крыльев, усиленным стрелковым вооружением, а также увеличенным до 6 человек экипажем. Применялись разные типы моторов в различных комбинациях: «Sunbeam» по 150 или 160 л.с., «Argus» по 125 или 140 л.с., РБВЗ-6 по 150 л.с., «Berdmor» по 160 л.с. и «Renault» по 220 л.с. В зависимости от мощности двигателей летные характеристики заметно варьировались. Самолеты с моторами РБВЗ назывались «Руссобалты», а с двигателями «Renault» - «Ренобалты». Серия «Г» выпускалась с 1916 по 1918 г. и включала в себя несколько субмодификаций:</w:t>
      </w:r>
    </w:p>
    <w:p w14:paraId="3A1985F1" w14:textId="77777777" w:rsidR="00E46E5E" w:rsidRPr="00B52707" w:rsidRDefault="00E46E5E" w:rsidP="00E46E5E">
      <w:pPr>
        <w:jc w:val="both"/>
        <w:rPr>
          <w:color w:val="0070C0"/>
          <w:sz w:val="16"/>
          <w:szCs w:val="16"/>
        </w:rPr>
      </w:pPr>
      <w:r w:rsidRPr="00B52707">
        <w:rPr>
          <w:color w:val="0070C0"/>
          <w:sz w:val="16"/>
          <w:szCs w:val="16"/>
        </w:rPr>
        <w:t>Г-1 (ИМ-Г-1) - переходная модель, очень похожая на самолеты серии «В». Отличалась лишь менее развитыми элеронами.</w:t>
      </w:r>
    </w:p>
    <w:p w14:paraId="00343450" w14:textId="77777777" w:rsidR="00E46E5E" w:rsidRPr="00B52707" w:rsidRDefault="00E46E5E" w:rsidP="00E46E5E">
      <w:pPr>
        <w:jc w:val="both"/>
        <w:rPr>
          <w:color w:val="0070C0"/>
          <w:sz w:val="16"/>
          <w:szCs w:val="16"/>
        </w:rPr>
      </w:pPr>
      <w:r w:rsidRPr="00B52707">
        <w:rPr>
          <w:color w:val="0070C0"/>
          <w:sz w:val="16"/>
          <w:szCs w:val="16"/>
        </w:rPr>
        <w:t>Г-2 (усиленный, ширококрылый) - от предыдущих модификаций отличался прежде всего мощным защитным вооружением. В хвостовой законцовке фюзеляжа - кабина стрелка со шкворневой установкой пулемета «Льюис». Еще два пулемета на стрелковой площадке в вырезе верхнего крыла (или в люковой установке на крыше фюзеляжа за крылом) и по одному - в окнах фюзеляжа. В целом вооружение обеспечивало почти сферический обстрел, но при этом бомбовая нагрузка сократилась до 170-180 кг, что было слишком мало для столь крупной машины. Построено 8 самолетов серии Г-2.</w:t>
      </w:r>
    </w:p>
    <w:p w14:paraId="6DC7A41F" w14:textId="77777777" w:rsidR="00E46E5E" w:rsidRPr="00B52707" w:rsidRDefault="00E46E5E" w:rsidP="00E46E5E">
      <w:pPr>
        <w:jc w:val="both"/>
        <w:rPr>
          <w:color w:val="0070C0"/>
          <w:sz w:val="16"/>
          <w:szCs w:val="16"/>
        </w:rPr>
      </w:pPr>
      <w:r w:rsidRPr="00B52707">
        <w:rPr>
          <w:color w:val="0070C0"/>
          <w:sz w:val="16"/>
          <w:szCs w:val="16"/>
        </w:rPr>
        <w:t>Г-3 - наиболее хорошо вооруженная модификация «муромца». К пяти пулеметам, установленным на Г-2, добавлен еще один в нижней люковой установке. Усилен каркас фюзеляжа и крыльев, введены некоторые изменения в бензосистему и систему управления. Бомбовая нагрузка - 190 кг. До революции выпущено 8 экземпляров.</w:t>
      </w:r>
    </w:p>
    <w:p w14:paraId="1EF028E9" w14:textId="77777777" w:rsidR="00E46E5E" w:rsidRPr="00B52707" w:rsidRDefault="00E46E5E" w:rsidP="00E46E5E">
      <w:pPr>
        <w:jc w:val="both"/>
        <w:rPr>
          <w:color w:val="0070C0"/>
          <w:sz w:val="16"/>
          <w:szCs w:val="16"/>
        </w:rPr>
      </w:pPr>
      <w:r w:rsidRPr="00B52707">
        <w:rPr>
          <w:color w:val="0070C0"/>
          <w:sz w:val="16"/>
          <w:szCs w:val="16"/>
        </w:rPr>
        <w:t>Г-4 - то же, что и Г-3, но запас прочности силового набора увеличен с 3,5-кратного до 4,5-кратного. Весной - летом 1917-го построено около 10 штук (24965).</w:t>
      </w:r>
    </w:p>
    <w:p w14:paraId="7E5E26DE" w14:textId="77777777" w:rsidR="00E46E5E" w:rsidRPr="00B52707" w:rsidRDefault="00E46E5E" w:rsidP="00E46E5E">
      <w:pPr>
        <w:jc w:val="both"/>
        <w:rPr>
          <w:color w:val="0070C0"/>
          <w:sz w:val="16"/>
          <w:szCs w:val="16"/>
        </w:rPr>
      </w:pPr>
    </w:p>
    <w:p w14:paraId="1C2BEE4F" w14:textId="77777777" w:rsidR="00E46E5E" w:rsidRPr="00B52707" w:rsidRDefault="00E46E5E" w:rsidP="00E46E5E">
      <w:pPr>
        <w:jc w:val="both"/>
        <w:rPr>
          <w:color w:val="0070C0"/>
          <w:sz w:val="16"/>
          <w:szCs w:val="16"/>
        </w:rPr>
      </w:pPr>
      <w:r w:rsidRPr="00B52707">
        <w:rPr>
          <w:color w:val="0070C0"/>
          <w:sz w:val="16"/>
          <w:szCs w:val="16"/>
        </w:rPr>
        <w:t>В декабре 1915 года на заводе Дукс, а затем и на РБВЗ в России были выпущены первые самолеты С-XVI, МБ и др., вооруженные синхронизированными пулеметами Максим и Виккерс,. На некоторых из них сохранялись отсекатели или бронещитки (малюнетки) перед винтом. (25100).</w:t>
      </w:r>
    </w:p>
    <w:p w14:paraId="5C621740" w14:textId="77777777" w:rsidR="00E46E5E" w:rsidRPr="00B52707" w:rsidRDefault="00E46E5E" w:rsidP="00E46E5E">
      <w:pPr>
        <w:jc w:val="both"/>
        <w:rPr>
          <w:color w:val="0070C0"/>
          <w:sz w:val="16"/>
          <w:szCs w:val="16"/>
        </w:rPr>
      </w:pPr>
    </w:p>
    <w:p w14:paraId="3A22E830" w14:textId="77777777" w:rsidR="00E46E5E" w:rsidRPr="00B52707" w:rsidRDefault="00E46E5E" w:rsidP="00E46E5E">
      <w:pPr>
        <w:jc w:val="both"/>
        <w:rPr>
          <w:color w:val="0070C0"/>
          <w:sz w:val="16"/>
          <w:szCs w:val="16"/>
        </w:rPr>
      </w:pPr>
      <w:r w:rsidRPr="00B52707">
        <w:rPr>
          <w:color w:val="0070C0"/>
          <w:sz w:val="16"/>
          <w:szCs w:val="16"/>
        </w:rPr>
        <w:t>В декабре 1915 г. были успешно проведены испытания синхронизатора системы Русско-Балтийского вагонного завода (РБВЗ), созданного по идее поручика Лаврова при непосредственном участии И.И.Сикорского (25100).</w:t>
      </w:r>
    </w:p>
    <w:p w14:paraId="68324F87" w14:textId="77777777" w:rsidR="00E46E5E" w:rsidRPr="00B52707" w:rsidRDefault="00E46E5E" w:rsidP="00E46E5E">
      <w:pPr>
        <w:jc w:val="both"/>
        <w:rPr>
          <w:color w:val="0070C0"/>
          <w:sz w:val="16"/>
          <w:szCs w:val="16"/>
        </w:rPr>
      </w:pPr>
    </w:p>
    <w:p w14:paraId="5BF89DA4" w14:textId="77777777" w:rsidR="004B4E35" w:rsidRPr="00405303" w:rsidRDefault="009E6F82" w:rsidP="00C15251">
      <w:pPr>
        <w:jc w:val="both"/>
        <w:rPr>
          <w:bCs/>
          <w:color w:val="002060"/>
          <w:sz w:val="16"/>
          <w:szCs w:val="16"/>
        </w:rPr>
      </w:pPr>
      <w:r w:rsidRPr="00405303">
        <w:rPr>
          <w:bCs/>
          <w:color w:val="002060"/>
          <w:sz w:val="16"/>
          <w:szCs w:val="16"/>
        </w:rPr>
        <w:t>В декабре 1915 после испытаний в октябре 1915 г. (пилот А.Налетов провел испытания первого ЛМ-1 (зав. № 217) (Лебедь Морской) и достиг высоты 500 м за 11,5 мин. Полезная нагрузка составляла 365 кг при взлетном весе 1455 кг.) гидроплан был куплен Морским ведомством и в декабре передан на хранение в Петроградскую школу морских летчиков. Через год еще один аппарат этого типа (зав. № 218), к тому времени уже устаревший, был все же куплен Морским ведомством. За срыв сроков сдачи этого самолета на завод Лебедева наложили штраф, но руководство завода в свою очередь обвинило заказчика, не приславшего вовремя комиссию для приемки давно готового самолета. Споры тянулись до весны 1917 г. Второй экземпляр ЛМ-1 некоторое время оставался невостребованным. Его поставили на колесное шасси и решили передать Военному ведомству. Осенью в Ревеле началось формирование сухопутного авиаотряда Морской крепости Петра Великого, туда и был передан самолет № 218 (11183).</w:t>
      </w:r>
    </w:p>
    <w:p w14:paraId="6BC496B5" w14:textId="77777777" w:rsidR="004B4E35" w:rsidRPr="00405303" w:rsidRDefault="004B4E35" w:rsidP="00C15251">
      <w:pPr>
        <w:jc w:val="both"/>
        <w:rPr>
          <w:bCs/>
          <w:color w:val="002060"/>
          <w:sz w:val="16"/>
          <w:szCs w:val="16"/>
        </w:rPr>
      </w:pPr>
    </w:p>
    <w:p w14:paraId="6FD6A0CD"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В декабре 1915 был заключен контракт с Морским ведомством на постройку самолета "Морской Парасоль" в течение 20 дней (!). Однако из-за внесения изменений в чертежи завод получил двухмесячную отсрочку. От стандартного "Морана" Фриде взял крыло, оперение и мотор "Гном" 80 л.с. Корпус имел форму лодки с большой килеватостью и был снабжен подводными крыльями - "ножами". В апреле 1916 г. готовый аппарат доставили в Петроградскую офицерскую школу морских пилотов. При осмотре приемная комиссия, созданная из офицеров школы, обнаружила дефект заднего лонжерона. В мае самолет отремонтировали </w:t>
      </w:r>
      <w:proofErr w:type="gramStart"/>
      <w:r w:rsidRPr="00405303">
        <w:rPr>
          <w:bCs/>
          <w:color w:val="002060"/>
          <w:sz w:val="16"/>
          <w:szCs w:val="16"/>
        </w:rPr>
        <w:t>на заводе</w:t>
      </w:r>
      <w:proofErr w:type="gramEnd"/>
      <w:r w:rsidRPr="00405303">
        <w:rPr>
          <w:bCs/>
          <w:color w:val="002060"/>
          <w:sz w:val="16"/>
          <w:szCs w:val="16"/>
        </w:rPr>
        <w:t xml:space="preserve"> и он был куплен Морским ведомством (без мотора). Испытывали "Морской Парасоль" летом 1916 г. Эффект от подводных крыльев оказался слишком велик, так что лодка поднималась из воды раньше, чем возникала достаточная подъемная сила крыла и самолет становился неуправляемым. Взлетать с "ножами" летчики не рисковали. А после их снятия аппарат не смог оторваться от воды и работы над ним вскоре прекратили (11183).</w:t>
      </w:r>
    </w:p>
    <w:p w14:paraId="17E3CCD7" w14:textId="77777777" w:rsidR="004B4E35" w:rsidRPr="00405303" w:rsidRDefault="004B4E35" w:rsidP="00C15251">
      <w:pPr>
        <w:jc w:val="both"/>
        <w:rPr>
          <w:bCs/>
          <w:color w:val="002060"/>
          <w:sz w:val="16"/>
          <w:szCs w:val="16"/>
        </w:rPr>
      </w:pPr>
    </w:p>
    <w:p w14:paraId="19360B08" w14:textId="77777777" w:rsidR="004B4E35" w:rsidRPr="00405303" w:rsidRDefault="009E6F82" w:rsidP="00C15251">
      <w:pPr>
        <w:jc w:val="both"/>
        <w:rPr>
          <w:bCs/>
          <w:color w:val="002060"/>
          <w:sz w:val="16"/>
          <w:szCs w:val="16"/>
        </w:rPr>
      </w:pPr>
      <w:r w:rsidRPr="00405303">
        <w:rPr>
          <w:bCs/>
          <w:color w:val="002060"/>
          <w:sz w:val="16"/>
          <w:szCs w:val="16"/>
        </w:rPr>
        <w:t xml:space="preserve">В декабре 1915 взлетел первый прототип Лебедя Х11 (зав. № 325) с мотором "Сальмсон" 130 л.с. Позже "движок" заменили на однотипный большей мощности - 140 л.с. Испытания проводил военный летчик Гренадерского корпусного авиаотряда поручик Василий Александрович Слепцов, командированный на завод Лебедева с фронта. 29 декабря 1915 г. он телеграфировал Августейшему Заведующему авиацией и воздухоплаванием в действующей армии Великому Князю Александру Михайловичу: "Лебедь-ХII с мотором "Сальмсон" лучше всех существующих аэропланов... необходим немедленный заказ для боевых испытаний". </w:t>
      </w:r>
    </w:p>
    <w:p w14:paraId="4951EADA" w14:textId="77777777" w:rsidR="004B4E35" w:rsidRPr="00405303" w:rsidRDefault="009E6F82" w:rsidP="00C15251">
      <w:pPr>
        <w:jc w:val="both"/>
        <w:rPr>
          <w:bCs/>
          <w:color w:val="002060"/>
          <w:sz w:val="16"/>
          <w:szCs w:val="16"/>
        </w:rPr>
      </w:pPr>
      <w:r w:rsidRPr="00405303">
        <w:rPr>
          <w:bCs/>
          <w:color w:val="002060"/>
          <w:sz w:val="16"/>
          <w:szCs w:val="16"/>
        </w:rPr>
        <w:t xml:space="preserve">В ходе заводских испытаний аэроплан достиг скорости 120 км/ч и поднимался на высоту 2000 м за 22 мин с полезной нагрузкой в 350 кг. Вместе с тем выявился ряд недостатков. Так, Слепцов рекомендовал переделать патрубки для отвода выхлопных газов, попадавших в кабину; увеличить козырек кабины летчика; уменьшить усилие на штурвал; поставить броню для пилота и наблюдателя. Лебедев обещал Великому Князю, что полезная нагрузка нового самолета будет на 50 кг больше, чем у французского "Вуазена". Кроме того, он обещал на следующем опытном экземпляре поставить две пулеметные установки. </w:t>
      </w:r>
    </w:p>
    <w:p w14:paraId="66AB88D5" w14:textId="77777777" w:rsidR="004B4E35" w:rsidRPr="00405303" w:rsidRDefault="009E6F82" w:rsidP="00C15251">
      <w:pPr>
        <w:jc w:val="both"/>
        <w:rPr>
          <w:bCs/>
          <w:color w:val="002060"/>
          <w:sz w:val="16"/>
          <w:szCs w:val="16"/>
        </w:rPr>
      </w:pPr>
      <w:r w:rsidRPr="00405303">
        <w:rPr>
          <w:bCs/>
          <w:color w:val="002060"/>
          <w:sz w:val="16"/>
          <w:szCs w:val="16"/>
        </w:rPr>
        <w:t xml:space="preserve">Испытания были прерваны плохой погодой и для их продолжения самолет отправили по железной дороге сначала в Киев, потом на юг России - в Одессу. На завод "А.А.Анатра" самолет прибыл 11 февраля 1916 г., а через 4 дня совершил пробный полет и после посадки при рулении по аэродрому машина перевернулась. На ремонт требовалось недели две и его можно было произвести на месте, но Лебедев, опасаясь конкуренции, решил вернуть самолет в Петроград. </w:t>
      </w:r>
    </w:p>
    <w:p w14:paraId="5DAD32D6" w14:textId="77777777" w:rsidR="004B4E35" w:rsidRPr="00405303" w:rsidRDefault="009E6F82" w:rsidP="00C15251">
      <w:pPr>
        <w:jc w:val="both"/>
        <w:rPr>
          <w:bCs/>
          <w:color w:val="002060"/>
          <w:sz w:val="16"/>
          <w:szCs w:val="16"/>
        </w:rPr>
      </w:pPr>
      <w:r w:rsidRPr="00405303">
        <w:rPr>
          <w:bCs/>
          <w:color w:val="002060"/>
          <w:sz w:val="16"/>
          <w:szCs w:val="16"/>
        </w:rPr>
        <w:t xml:space="preserve">Спустя два месяца, в мае 1916 г., не дождавшись результатов испытаний, Великий Князь Александр Михайлович посылает запрос на завод Лебедева о судьбе опытного самолета. Выясняется, что самолет ремонтировать не стали, а построили новый, отличающийся от прежнего. Испытания назначили на июнь. </w:t>
      </w:r>
    </w:p>
    <w:p w14:paraId="58842551" w14:textId="77777777" w:rsidR="004B4E35" w:rsidRPr="00405303" w:rsidRDefault="009E6F82" w:rsidP="00C15251">
      <w:pPr>
        <w:jc w:val="both"/>
        <w:rPr>
          <w:bCs/>
          <w:color w:val="002060"/>
          <w:sz w:val="16"/>
          <w:szCs w:val="16"/>
        </w:rPr>
      </w:pPr>
      <w:r w:rsidRPr="00405303">
        <w:rPr>
          <w:bCs/>
          <w:color w:val="002060"/>
          <w:sz w:val="16"/>
          <w:szCs w:val="16"/>
        </w:rPr>
        <w:t xml:space="preserve">Решение о серийной постройке разведчика было принято еще во время проведения испытаний первого экземпляра. Великий Князь 23 февраля 1916 г. просил Военное ведомство выдать срочный заказ на 400 самолетов. Однако после долгой переписки между Александром Михайловичем, Главным Военно-Техническим управлением и Военным ведомством 19 апреля Лебедев получил контракт о поставке в армию 225 аэропланов "Лебедь"-ХII без моторов и винтов со сроком исполнения 15 июля 1917 г. Тем же контрактом предусматривалось изготовление 245 комплектов запасных частей и 10 учебных самолетов "Лебедь"-ХII. Общая сумма контракта составила 5153500 рублей. </w:t>
      </w:r>
    </w:p>
    <w:p w14:paraId="60986BA4" w14:textId="77777777" w:rsidR="004B4E35" w:rsidRPr="00405303" w:rsidRDefault="009E6F82" w:rsidP="00C15251">
      <w:pPr>
        <w:jc w:val="both"/>
        <w:rPr>
          <w:bCs/>
          <w:color w:val="002060"/>
          <w:sz w:val="16"/>
          <w:szCs w:val="16"/>
        </w:rPr>
      </w:pPr>
      <w:r w:rsidRPr="00405303">
        <w:rPr>
          <w:bCs/>
          <w:color w:val="002060"/>
          <w:sz w:val="16"/>
          <w:szCs w:val="16"/>
        </w:rPr>
        <w:t xml:space="preserve">Испытания новой модификации "Лебедя"-XII начались в июле 1916 г. а 31 июля того же года военный летчик 13-го корпусного авиаотряда поручик Василий Захарович Барбас вылетел на опытном самолете (зав. № 457) из Петрограда на фронт. До Пскова он летел 3 ч 30 мин, мотор работал хорошо, самолет нареканий не вызывал. В Пскове Барбас взял новую карту, заправил бензобаки, отрегулировал мотор и вскоре вылетел в Двинск, где приземлился через 2 ч 20 мин. Общее впечатление летчика о машине было хорошим, он только указал, что "аппарат в полете тянет книзу, приходится удерживать его ручкой управления" (11183). </w:t>
      </w:r>
    </w:p>
    <w:p w14:paraId="52665CE7" w14:textId="77777777" w:rsidR="004B4E35" w:rsidRPr="00405303" w:rsidRDefault="004B4E35" w:rsidP="00C15251">
      <w:pPr>
        <w:jc w:val="both"/>
        <w:rPr>
          <w:bCs/>
          <w:color w:val="002060"/>
          <w:sz w:val="16"/>
          <w:szCs w:val="16"/>
        </w:rPr>
      </w:pPr>
    </w:p>
    <w:p w14:paraId="3C06DA18" w14:textId="4AE05A0E"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В декабре 1915 г. аппарат </w:t>
      </w:r>
      <w:r w:rsidR="002124B5" w:rsidRPr="00405303">
        <w:rPr>
          <w:bCs/>
          <w:color w:val="002060"/>
          <w:sz w:val="16"/>
          <w:szCs w:val="16"/>
        </w:rPr>
        <w:t xml:space="preserve">Кертисса </w:t>
      </w:r>
      <w:r w:rsidRPr="00405303">
        <w:rPr>
          <w:bCs/>
          <w:color w:val="002060"/>
          <w:sz w:val="16"/>
          <w:szCs w:val="16"/>
        </w:rPr>
        <w:t>номер 217 передали на хранение в Петроградскую офицерскую школу морских летчиков и это послед</w:t>
      </w:r>
      <w:r w:rsidRPr="00405303">
        <w:rPr>
          <w:bCs/>
          <w:color w:val="002060"/>
          <w:sz w:val="16"/>
          <w:szCs w:val="16"/>
        </w:rPr>
        <w:softHyphen/>
        <w:t>нее, что известно о нем. Машина с номером 218 была действительно подготовлена к пере</w:t>
      </w:r>
      <w:r w:rsidRPr="00405303">
        <w:rPr>
          <w:bCs/>
          <w:color w:val="002060"/>
          <w:sz w:val="16"/>
          <w:szCs w:val="16"/>
        </w:rPr>
        <w:softHyphen/>
        <w:t>даче армейской авиации, для чего ее установили на колесное шасси. В августе—сентябре 1916 г. о ней вспомнили и Отдел воздухоплавания ГУК предложил ее, как и "Альбатрос" номер 217, Морской крепости Императора Петра Великого, где намечался к формированию сухопутный авиаотряд флотского подчинения. Командование крепости выразило заинтере</w:t>
      </w:r>
      <w:r w:rsidRPr="00405303">
        <w:rPr>
          <w:bCs/>
          <w:color w:val="002060"/>
          <w:sz w:val="16"/>
          <w:szCs w:val="16"/>
        </w:rPr>
        <w:softHyphen/>
        <w:t>сованность в получении самолетов и аппарат номер 218 был в конце концов принят в Ре</w:t>
      </w:r>
      <w:r w:rsidRPr="00405303">
        <w:rPr>
          <w:bCs/>
          <w:color w:val="002060"/>
          <w:sz w:val="16"/>
          <w:szCs w:val="16"/>
        </w:rPr>
        <w:softHyphen/>
        <w:t>веле 18 января 1917 г. Далее его следы теряются, тогда как основная причина отказа ави</w:t>
      </w:r>
      <w:r w:rsidRPr="00405303">
        <w:rPr>
          <w:bCs/>
          <w:color w:val="002060"/>
          <w:sz w:val="16"/>
          <w:szCs w:val="16"/>
        </w:rPr>
        <w:softHyphen/>
        <w:t>ачастей военно-морских сил от аэропланов модели ЛМ-1 объясняется следующей цитатой из одного документа от 25 августа 1916 г.:</w:t>
      </w:r>
    </w:p>
    <w:p w14:paraId="6DE98BD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"...последнее время гидроавиация комплектуется только лишь летающими лодками, то надобность в вышеуказанных аппаратах у нас отпала" (2843).</w:t>
      </w:r>
    </w:p>
    <w:p w14:paraId="33A63E4D" w14:textId="77777777" w:rsidR="004B4E35" w:rsidRPr="00405303" w:rsidRDefault="004B4E35" w:rsidP="00C15251">
      <w:pPr>
        <w:shd w:val="clear" w:color="auto" w:fill="FFFFFF"/>
        <w:jc w:val="both"/>
        <w:rPr>
          <w:bCs/>
          <w:color w:val="002060"/>
          <w:sz w:val="16"/>
          <w:szCs w:val="16"/>
        </w:rPr>
      </w:pPr>
    </w:p>
    <w:p w14:paraId="0BB0D43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декабре 1915 года завод Лебедева выпустил интересную машину, скопированную с широко известного английского аппарата Сопвича «Таблоид», одного из самых удачных самолетов молодого британского авиаконструктора и пилота Томаса Сопвича. И действительно, этот двухместный одностоечный биплан был, пожалуй, одним из самых легких, компактных и маневренных самолетов своего времени. Построенный незадолго до первой мировой войны, «Таблоид» удивительно напоминает современные спортивные пилотажные бипланы. С двигателем, столь популярным у авиаконструкторов того времени — ротативным «Гномом», — он развивал скорость, большую, чем многие другие аппараты подобного класса. Причина была в прекрасной аэродинамике самолета. Особенно удалась Сопвичу передняя часть самолета — даже капот получился удобообтекаемым и хорошо закрывал лобастый пятицилиндровый мотор. Тщательно продумал конструктор и систему растяжек — их количество было минимальным, и они не создавали излишнего сопротивления. Вскоре новый самолет заставил заговорить о себе победами на авиационных соревнованиях. Так, на одной из авиационных «недель» «Таблоид» со 100-сильным «Гномом», пилотируемый английским авиатором Говардом Пикстоном, развил скорость 139,6 км/ч, обогнав при этом моноплан Ньюпора, оснащенный двухрядной ротативной «звездой» — двигателем, обладающим гораздо большей (160 л. с.) мощностью (11272).</w:t>
      </w:r>
    </w:p>
    <w:p w14:paraId="19CAC77C" w14:textId="77777777" w:rsidR="004B4E35" w:rsidRPr="00405303" w:rsidRDefault="004B4E35" w:rsidP="00C15251">
      <w:pPr>
        <w:pStyle w:val="a3"/>
        <w:jc w:val="both"/>
        <w:rPr>
          <w:bCs/>
          <w:i w:val="0"/>
          <w:color w:val="002060"/>
          <w:spacing w:val="0"/>
          <w:kern w:val="0"/>
          <w:position w:val="0"/>
          <w:sz w:val="16"/>
          <w:szCs w:val="16"/>
        </w:rPr>
      </w:pPr>
    </w:p>
    <w:p w14:paraId="135390AE" w14:textId="7CB2766E" w:rsidR="004B4E35" w:rsidRPr="00405303" w:rsidRDefault="009E6F82" w:rsidP="00C15251">
      <w:pPr>
        <w:shd w:val="clear" w:color="auto" w:fill="FFFFFF"/>
        <w:jc w:val="both"/>
        <w:rPr>
          <w:bCs/>
          <w:i/>
          <w:color w:val="002060"/>
          <w:sz w:val="16"/>
          <w:szCs w:val="16"/>
        </w:rPr>
      </w:pPr>
      <w:r w:rsidRPr="00405303">
        <w:rPr>
          <w:bCs/>
          <w:color w:val="002060"/>
          <w:sz w:val="16"/>
          <w:szCs w:val="16"/>
        </w:rPr>
        <w:t>В декабре 1915 г.</w:t>
      </w:r>
      <w:r w:rsidR="002124B5" w:rsidRPr="00405303">
        <w:rPr>
          <w:bCs/>
          <w:color w:val="002060"/>
          <w:sz w:val="16"/>
          <w:szCs w:val="16"/>
        </w:rPr>
        <w:t xml:space="preserve"> Терещенко</w:t>
      </w:r>
      <w:r w:rsidRPr="00405303">
        <w:rPr>
          <w:bCs/>
          <w:color w:val="002060"/>
          <w:sz w:val="16"/>
          <w:szCs w:val="16"/>
        </w:rPr>
        <w:t xml:space="preserve">, находясь в Париже, выдал доверенность на ведение всех дел по продаже военному ведомству </w:t>
      </w:r>
      <w:r w:rsidR="008E47FA" w:rsidRPr="00405303">
        <w:rPr>
          <w:bCs/>
          <w:color w:val="002060"/>
          <w:sz w:val="16"/>
          <w:szCs w:val="16"/>
        </w:rPr>
        <w:t>15 ап</w:t>
      </w:r>
      <w:r w:rsidR="008E47FA" w:rsidRPr="00405303">
        <w:rPr>
          <w:bCs/>
          <w:color w:val="002060"/>
          <w:sz w:val="16"/>
          <w:szCs w:val="16"/>
        </w:rPr>
        <w:softHyphen/>
        <w:t>паратов «Фарман XVI» (очевидно, в различ</w:t>
      </w:r>
      <w:r w:rsidR="008E47FA" w:rsidRPr="00405303">
        <w:rPr>
          <w:bCs/>
          <w:color w:val="002060"/>
          <w:sz w:val="16"/>
          <w:szCs w:val="16"/>
        </w:rPr>
        <w:softHyphen/>
        <w:t xml:space="preserve">ной степени готовности) </w:t>
      </w:r>
      <w:r w:rsidRPr="00405303">
        <w:rPr>
          <w:bCs/>
          <w:color w:val="002060"/>
          <w:sz w:val="16"/>
          <w:szCs w:val="16"/>
        </w:rPr>
        <w:t xml:space="preserve">своему представителю А.И. Гуляницкому. И тому удалось провести такую сделку. Причем ряд должностных лиц, рассчитывавших на получение мзды, оказался обделенным. Свидетельство тому находим в письме Григорьева к Вашкевичу, написанному в Москве 28 сентября 1916 г. </w:t>
      </w:r>
      <w:r w:rsidRPr="00405303">
        <w:rPr>
          <w:bCs/>
          <w:i/>
          <w:color w:val="002060"/>
          <w:sz w:val="16"/>
          <w:szCs w:val="16"/>
        </w:rPr>
        <w:t>«По сему видно, что здешняя публика весь</w:t>
      </w:r>
      <w:r w:rsidRPr="00405303">
        <w:rPr>
          <w:bCs/>
          <w:i/>
          <w:color w:val="002060"/>
          <w:sz w:val="16"/>
          <w:szCs w:val="16"/>
        </w:rPr>
        <w:softHyphen/>
        <w:t>ма восстановлена против имени Терещенко и всего, что от него исходит, видимо, за то, что труды и возможное их содействие по делу сдачи 15 «Фарманов» прошли для них без ожидаемых результатов» (11217).</w:t>
      </w:r>
    </w:p>
    <w:p w14:paraId="07E21245" w14:textId="77777777" w:rsidR="004B4E35" w:rsidRPr="00405303" w:rsidRDefault="004B4E35" w:rsidP="00C15251">
      <w:pPr>
        <w:shd w:val="clear" w:color="auto" w:fill="FFFFFF"/>
        <w:jc w:val="both"/>
        <w:rPr>
          <w:bCs/>
          <w:color w:val="002060"/>
          <w:sz w:val="16"/>
          <w:szCs w:val="16"/>
        </w:rPr>
      </w:pPr>
    </w:p>
    <w:p w14:paraId="06E3973E" w14:textId="7A4129B8" w:rsidR="004B4E35" w:rsidRPr="00405303" w:rsidRDefault="008E47FA"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декабре 1915 г.</w:t>
      </w:r>
      <w:r w:rsidRPr="00405303">
        <w:rPr>
          <w:bCs/>
          <w:color w:val="002060"/>
          <w:sz w:val="16"/>
          <w:szCs w:val="16"/>
        </w:rPr>
        <w:t xml:space="preserve"> была завершена сборка аппаратлв ИМ (№ 218-222)</w:t>
      </w:r>
      <w:r w:rsidR="009E6F82" w:rsidRPr="00405303">
        <w:rPr>
          <w:bCs/>
          <w:color w:val="002060"/>
          <w:sz w:val="16"/>
          <w:szCs w:val="16"/>
        </w:rPr>
        <w:t xml:space="preserve">, </w:t>
      </w:r>
      <w:r w:rsidRPr="00405303">
        <w:rPr>
          <w:bCs/>
          <w:color w:val="002060"/>
          <w:sz w:val="16"/>
          <w:szCs w:val="16"/>
        </w:rPr>
        <w:t xml:space="preserve">которые </w:t>
      </w:r>
      <w:r w:rsidR="009E6F82" w:rsidRPr="00405303">
        <w:rPr>
          <w:bCs/>
          <w:color w:val="002060"/>
          <w:sz w:val="16"/>
          <w:szCs w:val="16"/>
        </w:rPr>
        <w:t xml:space="preserve">принадлежали к модификации Г-2. Остальные 25 кораблей он намечал строить </w:t>
      </w:r>
      <w:r w:rsidRPr="00405303">
        <w:rPr>
          <w:bCs/>
          <w:color w:val="002060"/>
          <w:sz w:val="16"/>
          <w:szCs w:val="16"/>
        </w:rPr>
        <w:t>п</w:t>
      </w:r>
      <w:r w:rsidR="009E6F82" w:rsidRPr="00405303">
        <w:rPr>
          <w:bCs/>
          <w:color w:val="002060"/>
          <w:sz w:val="16"/>
          <w:szCs w:val="16"/>
        </w:rPr>
        <w:t>ринципиально новой конструкции, получившей название "Илья Муромец-Д" (ДИМ, или С-25). По замыслу боевые и летно-технические характеристики новых аппаратов должны были стать такими высокими, что их предполагалось использовать не только в качестве бомбардировщиков, но и для боевого прикрытия других кораблей старых типов. Поэтому ДИМ именовался даже "Муромцем-истребителем" (11230).</w:t>
      </w:r>
    </w:p>
    <w:p w14:paraId="642DE583" w14:textId="77777777" w:rsidR="004B4E35" w:rsidRPr="00405303" w:rsidRDefault="004B4E35" w:rsidP="00C15251">
      <w:pPr>
        <w:jc w:val="both"/>
        <w:rPr>
          <w:bCs/>
          <w:color w:val="002060"/>
          <w:sz w:val="16"/>
          <w:szCs w:val="16"/>
        </w:rPr>
      </w:pPr>
    </w:p>
    <w:p w14:paraId="4EE499F9" w14:textId="77777777" w:rsidR="004458AB" w:rsidRPr="00405303" w:rsidRDefault="004458AB" w:rsidP="00C15251">
      <w:pPr>
        <w:shd w:val="clear" w:color="auto" w:fill="FFFFFF"/>
        <w:jc w:val="both"/>
        <w:rPr>
          <w:color w:val="002060"/>
          <w:sz w:val="16"/>
          <w:szCs w:val="16"/>
        </w:rPr>
      </w:pPr>
      <w:r w:rsidRPr="00405303">
        <w:rPr>
          <w:color w:val="002060"/>
          <w:sz w:val="16"/>
          <w:szCs w:val="16"/>
        </w:rPr>
        <w:t>В декабре 1915 г. аппарат Альбатрос номер 217 передали на хранение в Петроградскую офицерскую школу морских летчиков и это послед</w:t>
      </w:r>
      <w:r w:rsidRPr="00405303">
        <w:rPr>
          <w:color w:val="002060"/>
          <w:sz w:val="16"/>
          <w:szCs w:val="16"/>
        </w:rPr>
        <w:softHyphen/>
        <w:t>нее, что известно о нем. Машина с номером 218 была действительно подготовлена к пере</w:t>
      </w:r>
      <w:r w:rsidRPr="00405303">
        <w:rPr>
          <w:color w:val="002060"/>
          <w:sz w:val="16"/>
          <w:szCs w:val="16"/>
        </w:rPr>
        <w:softHyphen/>
        <w:t>даче армейской авиации, для чего ее установили на колесное шасси. В августе—сентябре 1916 г. о ней вспомнили и Отдел воздухоплавания ГУК предложил ее, как и "Альбатрос" номер 217, Морской крепости Императора Петра Великого, где намечался к формированию сухопутный авиаотряд флотского подчинения. Командование крепости выразило заинтере</w:t>
      </w:r>
      <w:r w:rsidRPr="00405303">
        <w:rPr>
          <w:color w:val="002060"/>
          <w:sz w:val="16"/>
          <w:szCs w:val="16"/>
        </w:rPr>
        <w:softHyphen/>
        <w:t>сованность в получении самолетов и аппарат номер 218 был в конце концов принят в Ре</w:t>
      </w:r>
      <w:r w:rsidRPr="00405303">
        <w:rPr>
          <w:color w:val="002060"/>
          <w:sz w:val="16"/>
          <w:szCs w:val="16"/>
        </w:rPr>
        <w:softHyphen/>
        <w:t>веле 18 января 1917 г. Далее его следы теряются, тогда как основная причина отказа ави</w:t>
      </w:r>
      <w:r w:rsidRPr="00405303">
        <w:rPr>
          <w:color w:val="002060"/>
          <w:sz w:val="16"/>
          <w:szCs w:val="16"/>
        </w:rPr>
        <w:softHyphen/>
        <w:t>ачастей военно-морских сил от аэропланов модели ЛМ-1 объясняется следующей цитатой из одного документа от 25 августа 1916 г.:</w:t>
      </w:r>
    </w:p>
    <w:p w14:paraId="32F3C7B0" w14:textId="77777777" w:rsidR="004458AB" w:rsidRPr="00405303" w:rsidRDefault="004458AB" w:rsidP="00C15251">
      <w:pPr>
        <w:shd w:val="clear" w:color="auto" w:fill="FFFFFF"/>
        <w:jc w:val="both"/>
        <w:rPr>
          <w:color w:val="002060"/>
          <w:sz w:val="16"/>
          <w:szCs w:val="16"/>
        </w:rPr>
      </w:pPr>
      <w:r w:rsidRPr="00405303">
        <w:rPr>
          <w:color w:val="002060"/>
          <w:sz w:val="16"/>
          <w:szCs w:val="16"/>
        </w:rPr>
        <w:t>"...последнее время гидроавиация комплектуется только лишь летающими лодками, то надобность в вышеуказанных аппаратах у нас отпала" (2843).</w:t>
      </w:r>
    </w:p>
    <w:p w14:paraId="4D4089CC" w14:textId="77777777" w:rsidR="004458AB" w:rsidRPr="00405303" w:rsidRDefault="004458AB" w:rsidP="00C15251">
      <w:pPr>
        <w:shd w:val="clear" w:color="auto" w:fill="FFFFFF"/>
        <w:jc w:val="both"/>
        <w:rPr>
          <w:color w:val="002060"/>
          <w:sz w:val="16"/>
          <w:szCs w:val="16"/>
        </w:rPr>
      </w:pPr>
    </w:p>
    <w:p w14:paraId="3FF32F4D" w14:textId="77777777" w:rsidR="004458AB" w:rsidRPr="00405303" w:rsidRDefault="004458AB" w:rsidP="00C15251">
      <w:pPr>
        <w:jc w:val="both"/>
        <w:rPr>
          <w:color w:val="002060"/>
          <w:sz w:val="16"/>
          <w:szCs w:val="16"/>
        </w:rPr>
      </w:pPr>
      <w:r w:rsidRPr="00405303">
        <w:rPr>
          <w:color w:val="002060"/>
          <w:sz w:val="16"/>
          <w:szCs w:val="16"/>
        </w:rPr>
        <w:t xml:space="preserve">В декабре 1915 был заключен контракт с Морским ведомством на постройку самолета "Морской Парасоль"в течение 20 дней (!). Однако из-за внесения изменений в чертежи завод получил двухмесячную отсрочку. От стандартного "Морана" Фриде взял крыло, оперение и мотор "Гном" 80 л.с. Корпус имел форму лодки с большой </w:t>
      </w:r>
      <w:r w:rsidRPr="00405303">
        <w:rPr>
          <w:color w:val="002060"/>
          <w:sz w:val="16"/>
          <w:szCs w:val="16"/>
        </w:rPr>
        <w:lastRenderedPageBreak/>
        <w:t xml:space="preserve">килеватостью и был снабжен подводными крыльями - "ножами". В апреле 1916 г. готовый аппарат "Морской Парасоль"доставили в Петроградскую офицерскую школу морских пилотов. При осмотре приемная комиссия, созданная из офицеров школы, обнаружила дефект заднего лонжерона. В мае самолет отремонтировали </w:t>
      </w:r>
      <w:proofErr w:type="gramStart"/>
      <w:r w:rsidRPr="00405303">
        <w:rPr>
          <w:color w:val="002060"/>
          <w:sz w:val="16"/>
          <w:szCs w:val="16"/>
        </w:rPr>
        <w:t>на заводе</w:t>
      </w:r>
      <w:proofErr w:type="gramEnd"/>
      <w:r w:rsidRPr="00405303">
        <w:rPr>
          <w:color w:val="002060"/>
          <w:sz w:val="16"/>
          <w:szCs w:val="16"/>
        </w:rPr>
        <w:t xml:space="preserve"> и он был куплен Морским ведомством (без мотора). Испытывали "Морской Парасоль" летом 1916 г. Эффект от подводных крыльев оказался слишком велик, так что лодка поднималась из воды раньше, чем возникала достаточная подъемная сила крыла и самолет становился неуправляемым. Взлетать с "ножами" летчики не рисковали. А после их снятия аппарат не смог оторваться от воды и работы над ним вскоре прекратили (11183).</w:t>
      </w:r>
    </w:p>
    <w:p w14:paraId="6F6A6ECB" w14:textId="77777777" w:rsidR="004458AB" w:rsidRPr="00405303" w:rsidRDefault="004458AB" w:rsidP="00C15251">
      <w:pPr>
        <w:jc w:val="both"/>
        <w:rPr>
          <w:color w:val="002060"/>
          <w:sz w:val="16"/>
          <w:szCs w:val="16"/>
        </w:rPr>
      </w:pPr>
    </w:p>
    <w:p w14:paraId="4FCAB113" w14:textId="712FECEE" w:rsidR="004B4E35" w:rsidRPr="00405303" w:rsidRDefault="008E47FA"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декабре 1915 г. </w:t>
      </w:r>
      <w:r w:rsidRPr="00405303">
        <w:rPr>
          <w:bCs/>
          <w:color w:val="002060"/>
          <w:sz w:val="16"/>
          <w:szCs w:val="16"/>
        </w:rPr>
        <w:t xml:space="preserve">очень простой по конструкции синхронизатор Лаврова, который показал при наземных испытаниях достаточную работоспособность, был доставлен </w:t>
      </w:r>
      <w:r w:rsidR="009E6F82" w:rsidRPr="00405303">
        <w:rPr>
          <w:bCs/>
          <w:color w:val="002060"/>
          <w:sz w:val="16"/>
          <w:szCs w:val="16"/>
        </w:rPr>
        <w:t>на Авиа-Балт</w:t>
      </w:r>
      <w:r w:rsidRPr="00405303">
        <w:rPr>
          <w:bCs/>
          <w:color w:val="002060"/>
          <w:sz w:val="16"/>
          <w:szCs w:val="16"/>
        </w:rPr>
        <w:t>.</w:t>
      </w:r>
      <w:r w:rsidR="009E6F82" w:rsidRPr="00405303">
        <w:rPr>
          <w:bCs/>
          <w:color w:val="002060"/>
          <w:sz w:val="16"/>
          <w:szCs w:val="16"/>
        </w:rPr>
        <w:t xml:space="preserve"> Он предназначался для установки на переделываемый для морского ведомства С-16 (о нем см, далее</w:t>
      </w:r>
      <w:proofErr w:type="gramStart"/>
      <w:r w:rsidR="009E6F82" w:rsidRPr="00405303">
        <w:rPr>
          <w:bCs/>
          <w:color w:val="002060"/>
          <w:sz w:val="16"/>
          <w:szCs w:val="16"/>
        </w:rPr>
        <w:t>) .</w:t>
      </w:r>
      <w:proofErr w:type="gramEnd"/>
      <w:r w:rsidR="009E6F82" w:rsidRPr="00405303">
        <w:rPr>
          <w:bCs/>
          <w:color w:val="002060"/>
          <w:sz w:val="16"/>
          <w:szCs w:val="16"/>
        </w:rPr>
        <w:t xml:space="preserve"> ГВУ, ознакомившись с синхронизатором, тотчас заключило с АО РБВЗ контракт на оснащение строящихся С-16 синхронизаторами Лаврова. Синхронизаторы для С-16сер. были изготовлены только к 21 марта 1916 г., что также задержало поставку самолетов в войска. Начальник ЭВК генерал-майор М. В. Шидловский, остро нуждавшийся в истребителях и потому раздраженный задержкой их, приказал в середине января 1916 г. срочно направить в боевые отряды построенные в декабре С-16сер. (Nо. 207,208 и 209</w:t>
      </w:r>
      <w:proofErr w:type="gramStart"/>
      <w:r w:rsidR="009E6F82" w:rsidRPr="00405303">
        <w:rPr>
          <w:bCs/>
          <w:color w:val="002060"/>
          <w:sz w:val="16"/>
          <w:szCs w:val="16"/>
        </w:rPr>
        <w:t>) ,</w:t>
      </w:r>
      <w:proofErr w:type="gramEnd"/>
      <w:r w:rsidR="009E6F82" w:rsidRPr="00405303">
        <w:rPr>
          <w:bCs/>
          <w:color w:val="002060"/>
          <w:sz w:val="16"/>
          <w:szCs w:val="16"/>
        </w:rPr>
        <w:t xml:space="preserve"> не дожидаясь их официальной приемки. Первые два самолета попали в Первый боевой отряд в Зегевольде (Сигулде) , а Nо. 209 - в Южный боевой отряд ЭВК, базировавшийся в селении Борка-Вельская под Тернополем. Их вооружили уже в боевых отрядах. Дежурный генерал при Ставке Верховного Главнокомандующего отправил 21 января 1916 г. в ГВУ телеграмму следующего содержания: «Необходимо принятие срочных мер к снабжению Эскадры воздушных кораблей малыми аппаратами С-16. Медленность привела к необходимости взять в Эскадру шесть (Ко. 154,155,156,207,208 и 209. -авт.) таких еще не странных аппаратов, причем два из них работают на базе Зегевольд и в районе Тернополя и рва состоят в школе Эскадры для обучения, один (Nо. 154. -- авт.) уже вышел из строя, разбитый бурей, Если не может быть организована сдача на заводе, то предоставьте приезду начальнику Эскадры... «Генеральское «неудовольствие» из Ставукодского) оказало влияние на ускорение военной приемки. В течение февраля-марта 1916 г. все оставшиеся С-16сер, были приняты в Петрограде, но на аппаратах Nо, 210,212 и 213 обнаружились поломки в двигателях, что затянуло отправку затянуло отправку на фронт этих аппаратов, а также ремонтируемого после аварии Авиа-Балтом Nо. 206. Истребители Nо, 214 и 215 были отправлены, в Первый боевой отряд ЭВK в Загевольд 29 марта, Nо. 206 и 212 - в школу ЭВК в Псков 7 апреля, и Nо. 213 -- по тому же адресу 29 апреля. Самолет Nо. 210 еще долго оставался на Авиа-Балте и был переделан в модификацию С-16а (о нем см. далее) (11188).</w:t>
      </w:r>
    </w:p>
    <w:p w14:paraId="2DF8019E" w14:textId="77777777" w:rsidR="004B4E35" w:rsidRPr="00405303" w:rsidRDefault="004B4E35" w:rsidP="00C15251">
      <w:pPr>
        <w:jc w:val="both"/>
        <w:rPr>
          <w:bCs/>
          <w:color w:val="002060"/>
          <w:sz w:val="16"/>
          <w:szCs w:val="16"/>
        </w:rPr>
      </w:pPr>
    </w:p>
    <w:p w14:paraId="7B419B5F" w14:textId="77777777" w:rsidR="008E47FA" w:rsidRPr="00405303" w:rsidRDefault="008E47FA" w:rsidP="00C15251">
      <w:pPr>
        <w:jc w:val="both"/>
        <w:rPr>
          <w:bCs/>
          <w:color w:val="002060"/>
          <w:sz w:val="16"/>
          <w:szCs w:val="16"/>
        </w:rPr>
      </w:pPr>
      <w:r w:rsidRPr="00405303">
        <w:rPr>
          <w:bCs/>
          <w:color w:val="002060"/>
          <w:sz w:val="16"/>
          <w:szCs w:val="16"/>
        </w:rPr>
        <w:t>В декабре 1915 г. РБВЗ запатентовал конструкцию синхронизатора для стрельбы из пулемета Виккерс Mk.I, разработанного летчиком Лавроввм, и ГВТУ «с подачи» Шидловского потребовало ставить синхронизаторы на строящиеся С-16.</w:t>
      </w:r>
    </w:p>
    <w:p w14:paraId="1EF28DD0" w14:textId="77777777" w:rsidR="008E47FA" w:rsidRPr="00405303" w:rsidRDefault="008E47FA" w:rsidP="00C15251">
      <w:pPr>
        <w:jc w:val="both"/>
        <w:rPr>
          <w:bCs/>
          <w:color w:val="002060"/>
          <w:sz w:val="16"/>
          <w:szCs w:val="16"/>
        </w:rPr>
      </w:pPr>
      <w:r w:rsidRPr="00405303">
        <w:rPr>
          <w:bCs/>
          <w:color w:val="002060"/>
          <w:sz w:val="16"/>
          <w:szCs w:val="16"/>
        </w:rPr>
        <w:t>Позднее выяснилось, что синхронизатором Лаврова стал ломаться. Да и дороговат он был — 1 000 рублей за штуку, потому что содержал такие сложные узлы, как кардан, и червячную пару (они, кстати, обычно и подводили). Пришлось его менять на С-16 надкрыльевой установкой «Льюиса», но пошли перебои с поставками пулеметов и «Виккерс», и «Льюис», а данный армейскими интендантами на замену американский Кольт М1895 имел неудобное питание. Пришлось вновь сажать второго летчика, которого вооружали чем попало — предлагавшимся к самолету «Маузером», русским или трофейным карабином, кое у кого был даже американский охотничий «Винчестер». Но стрельба с рук из них, из автомата Федорова или из Кольта М1895 по маневрировавшим со скоростями 150–180 км/ч целям была совершенно бесполезна (22826).</w:t>
      </w:r>
    </w:p>
    <w:p w14:paraId="5A37399B" w14:textId="77777777" w:rsidR="008E47FA" w:rsidRPr="00405303" w:rsidRDefault="008E47FA" w:rsidP="00C15251">
      <w:pPr>
        <w:jc w:val="both"/>
        <w:rPr>
          <w:bCs/>
          <w:color w:val="002060"/>
          <w:sz w:val="16"/>
          <w:szCs w:val="16"/>
        </w:rPr>
      </w:pPr>
    </w:p>
    <w:p w14:paraId="7A4A6B4B" w14:textId="77777777" w:rsidR="004458AB" w:rsidRPr="00405303" w:rsidRDefault="004458AB" w:rsidP="00C15251">
      <w:pPr>
        <w:shd w:val="clear" w:color="auto" w:fill="FFFFFF"/>
        <w:jc w:val="both"/>
        <w:rPr>
          <w:iCs/>
          <w:color w:val="002060"/>
          <w:sz w:val="16"/>
          <w:szCs w:val="16"/>
        </w:rPr>
      </w:pPr>
      <w:r w:rsidRPr="00405303">
        <w:rPr>
          <w:color w:val="002060"/>
          <w:sz w:val="16"/>
          <w:szCs w:val="16"/>
        </w:rPr>
        <w:t xml:space="preserve">В декабре 1915 г., находясь в Париже, Терещенко выдал доверенность на ведение всех дел по продаже военному ведомству этих аэропланов своему представителю А.И. Гуляницкому. И тому удалось провести такую сделку. Причем ряд должностных лиц, рассчитывавших на получение мзды, оказался обделенным. Свидетельство тому находим в письме Григорьева к Вашкевичу, написанному в Москве 28 сентября 1916 г. </w:t>
      </w:r>
      <w:r w:rsidRPr="00405303">
        <w:rPr>
          <w:iCs/>
          <w:color w:val="002060"/>
          <w:sz w:val="16"/>
          <w:szCs w:val="16"/>
        </w:rPr>
        <w:t>“По сему видно, что здешняя публика весь</w:t>
      </w:r>
      <w:r w:rsidRPr="00405303">
        <w:rPr>
          <w:iCs/>
          <w:color w:val="002060"/>
          <w:sz w:val="16"/>
          <w:szCs w:val="16"/>
        </w:rPr>
        <w:softHyphen/>
        <w:t>ма восстановлена против имени Терещенко и всего, что от него исходит, видимо, за то, что труды и возможное их содействие по делу сдачи 15 “Фарманов” прошли для них без ожидаемых результатов” (11217).</w:t>
      </w:r>
    </w:p>
    <w:p w14:paraId="14031376" w14:textId="77777777" w:rsidR="004458AB" w:rsidRPr="00405303" w:rsidRDefault="004458AB" w:rsidP="00C15251">
      <w:pPr>
        <w:shd w:val="clear" w:color="auto" w:fill="FFFFFF"/>
        <w:jc w:val="both"/>
        <w:rPr>
          <w:color w:val="002060"/>
          <w:sz w:val="16"/>
          <w:szCs w:val="16"/>
        </w:rPr>
      </w:pPr>
    </w:p>
    <w:p w14:paraId="550E490B" w14:textId="77777777" w:rsidR="004458AB" w:rsidRPr="00405303" w:rsidRDefault="004458AB" w:rsidP="00C15251">
      <w:pPr>
        <w:jc w:val="both"/>
        <w:rPr>
          <w:color w:val="002060"/>
          <w:sz w:val="16"/>
          <w:szCs w:val="16"/>
        </w:rPr>
      </w:pPr>
      <w:r w:rsidRPr="00405303">
        <w:rPr>
          <w:color w:val="002060"/>
          <w:sz w:val="16"/>
          <w:szCs w:val="16"/>
        </w:rPr>
        <w:t>В декабре 1915 года, учитывая, что самолеты, участвующие в боевых действиях срочно нуждались в ремонте, в специальной комиссии помощника морского министра обсуждался вопрос о создании в Петрограде экспериментального ремонтного авиационного завода.</w:t>
      </w:r>
    </w:p>
    <w:p w14:paraId="20150729" w14:textId="77777777" w:rsidR="004458AB" w:rsidRPr="00405303" w:rsidRDefault="004458AB" w:rsidP="00C15251">
      <w:pPr>
        <w:jc w:val="both"/>
        <w:rPr>
          <w:color w:val="002060"/>
          <w:sz w:val="16"/>
          <w:szCs w:val="16"/>
        </w:rPr>
      </w:pPr>
      <w:r w:rsidRPr="00405303">
        <w:rPr>
          <w:color w:val="002060"/>
          <w:sz w:val="16"/>
          <w:szCs w:val="16"/>
        </w:rPr>
        <w:t>В апреле 1916 года на рассмотрении Совета Министров был внесен проект сметы и штатов нового предприятия оборонной промышленности, который и был утвержден Советом Министров 3 мая 1916 года.</w:t>
      </w:r>
    </w:p>
    <w:p w14:paraId="61C07367" w14:textId="77777777" w:rsidR="004458AB" w:rsidRPr="00405303" w:rsidRDefault="004458AB" w:rsidP="00C15251">
      <w:pPr>
        <w:jc w:val="both"/>
        <w:rPr>
          <w:color w:val="002060"/>
          <w:sz w:val="16"/>
          <w:szCs w:val="16"/>
        </w:rPr>
      </w:pPr>
      <w:r w:rsidRPr="00405303">
        <w:rPr>
          <w:color w:val="002060"/>
          <w:sz w:val="16"/>
          <w:szCs w:val="16"/>
        </w:rPr>
        <w:t>20 августа 1916 года штаты и «Положение о постройке и оборудовании авиационных мастерских и Испытательной станции» получили «Высочайшее» утверждение.</w:t>
      </w:r>
    </w:p>
    <w:p w14:paraId="2F182982" w14:textId="77777777" w:rsidR="004458AB" w:rsidRPr="00405303" w:rsidRDefault="004458AB" w:rsidP="00C15251">
      <w:pPr>
        <w:jc w:val="both"/>
        <w:rPr>
          <w:color w:val="002060"/>
          <w:sz w:val="16"/>
          <w:szCs w:val="16"/>
        </w:rPr>
      </w:pPr>
      <w:r w:rsidRPr="00405303">
        <w:rPr>
          <w:color w:val="002060"/>
          <w:sz w:val="16"/>
          <w:szCs w:val="16"/>
        </w:rPr>
        <w:t>24 августа 1916 года секретным приказом по флоту и Морскому ведомству №176 «Положение» было объявлено и штаты введены в действие. Местом дислокации была определена восточная дамба входного канал Галерной гавани Гребного порта Васильевского острова. Первые машины, которые ремонтировались во вновь созданных мастерских, были «Гаккель-3», «Гаккель-7», «ЮН-30», Дорнье «Валь», летающие лодки М-5, М-9, М-11 конструкции Д.П. Григоровича, С-6А, С-10 – И.И. Сикорского. Первым начальником Испытательной станции и авиационных мастерских был Капитан 2-го ранга ГРИГОРЬЕВ Д.Н., который еще в 1910 году получил диплом пилота и имел большой опыт в эксплуатации самолетов.</w:t>
      </w:r>
    </w:p>
    <w:p w14:paraId="4CFD3A11" w14:textId="77777777" w:rsidR="004458AB" w:rsidRPr="00405303" w:rsidRDefault="004458AB" w:rsidP="00C15251">
      <w:pPr>
        <w:jc w:val="both"/>
        <w:rPr>
          <w:color w:val="002060"/>
          <w:sz w:val="16"/>
          <w:szCs w:val="16"/>
        </w:rPr>
      </w:pPr>
      <w:r w:rsidRPr="00405303">
        <w:rPr>
          <w:color w:val="002060"/>
          <w:sz w:val="16"/>
          <w:szCs w:val="16"/>
        </w:rPr>
        <w:t>В послеоктябрьский период в мастерских продолжали ремонт самолетов МБР-2, У-2, ТБ-3, СБ. В период с 1921 - 1924 г.г. и вплоть до 1937 года идет бесконечная (11890).</w:t>
      </w:r>
    </w:p>
    <w:p w14:paraId="29A96FD9" w14:textId="77777777" w:rsidR="004458AB" w:rsidRPr="00405303" w:rsidRDefault="004458AB" w:rsidP="00C15251">
      <w:pPr>
        <w:jc w:val="both"/>
        <w:rPr>
          <w:color w:val="002060"/>
          <w:sz w:val="16"/>
          <w:szCs w:val="16"/>
        </w:rPr>
      </w:pPr>
    </w:p>
    <w:p w14:paraId="6434B138" w14:textId="77777777" w:rsidR="004458AB" w:rsidRPr="00405303" w:rsidRDefault="004458AB" w:rsidP="00C15251">
      <w:pPr>
        <w:jc w:val="both"/>
        <w:rPr>
          <w:color w:val="002060"/>
          <w:sz w:val="16"/>
          <w:szCs w:val="16"/>
        </w:rPr>
      </w:pPr>
      <w:r w:rsidRPr="00405303">
        <w:rPr>
          <w:color w:val="002060"/>
          <w:sz w:val="16"/>
          <w:szCs w:val="16"/>
        </w:rPr>
        <w:t xml:space="preserve">В декабре 1915 года Акционерным обществом «ДЕКА» приобрело завода братьев Мознаим в Александровске. Объединенный завод получил профиль авиационного предприятия и на него пришли работать десятки новых рабочих и служащих со всей округи, многие из них уже имели большой практический опыт, что позволило быстро завершить переоборудование и приступить к выполнению контрактов. К началу 1916 года завод имел площадь с аэродромом 18260 квадратных сажень. Из них на 1855 кв. саж. размещались семь капитальных каменных зданий, 245 </w:t>
      </w:r>
      <w:proofErr w:type="gramStart"/>
      <w:r w:rsidRPr="00405303">
        <w:rPr>
          <w:color w:val="002060"/>
          <w:sz w:val="16"/>
          <w:szCs w:val="16"/>
        </w:rPr>
        <w:t>кв.саж</w:t>
      </w:r>
      <w:proofErr w:type="gramEnd"/>
      <w:r w:rsidRPr="00405303">
        <w:rPr>
          <w:color w:val="002060"/>
          <w:sz w:val="16"/>
          <w:szCs w:val="16"/>
        </w:rPr>
        <w:t>. составляли деревянные здания. Паровая машина приводила в действие через стационарную систему механических передач 36 токарных станков. Кузнечное отделение имело 22 единиц оборудования, литейное — 16, на предприятии трудилось 150 человек. Государственный заказ предусматривал производство аэропланов разных типов, по чертежам, полученным с других предприятий. Главной продукцией завода должны были стать авиамоторы. Россия к началу I мировой войны располагала Воздушным Флотом, который по численности был вторым после французского, но оснащен он был в основном иностранной техникой. Когда снабжение из-за границы стало затруднено, наибольшие трудности возникли именно с комплектацией авиаотрядов моторами. Заводу ДЕКА» в Александровске было поручено в 1916 году изготовить 100 авиамоторов «Бенц» мощностью 150 л.с. и 120 комплектов запчастей к ним, 20 моторов «Мерседес» в 100-105 л.с., а также 130 авиамоторов «Мерседес» в 129 л.с. и 155 комплектов запчастей на весьма приличную сумму в 2.394.800 рублей (22898).</w:t>
      </w:r>
    </w:p>
    <w:p w14:paraId="547FA5EE" w14:textId="77777777" w:rsidR="004458AB" w:rsidRPr="00405303" w:rsidRDefault="004458AB" w:rsidP="00C15251">
      <w:pPr>
        <w:jc w:val="both"/>
        <w:rPr>
          <w:color w:val="002060"/>
          <w:sz w:val="16"/>
          <w:szCs w:val="16"/>
        </w:rPr>
      </w:pPr>
    </w:p>
    <w:p w14:paraId="400D8D94" w14:textId="0FE4F6C9" w:rsidR="004458AB" w:rsidRPr="00405303" w:rsidRDefault="004458AB" w:rsidP="00C15251">
      <w:pPr>
        <w:jc w:val="both"/>
        <w:rPr>
          <w:color w:val="002060"/>
          <w:sz w:val="16"/>
          <w:szCs w:val="16"/>
        </w:rPr>
      </w:pPr>
      <w:r w:rsidRPr="00405303">
        <w:rPr>
          <w:color w:val="002060"/>
          <w:sz w:val="16"/>
          <w:szCs w:val="16"/>
        </w:rPr>
        <w:t>До декабря 1915 года завод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П.И. Баранова» (ОМПБ) / г. Александровск,</w:t>
      </w:r>
      <w:r w:rsidR="000F5756">
        <w:rPr>
          <w:color w:val="002060"/>
          <w:sz w:val="16"/>
          <w:szCs w:val="16"/>
        </w:rPr>
        <w:t xml:space="preserve"> </w:t>
      </w:r>
      <w:r w:rsidRPr="00405303">
        <w:rPr>
          <w:color w:val="002060"/>
          <w:sz w:val="16"/>
          <w:szCs w:val="16"/>
        </w:rPr>
        <w:t>г. Запорожье Сталинской ж/д пл. Тараса Шевченко «ГАЗ девятый» (1927 г.);</w:t>
      </w:r>
      <w:r w:rsidR="000F5756">
        <w:rPr>
          <w:color w:val="002060"/>
          <w:sz w:val="16"/>
          <w:szCs w:val="16"/>
        </w:rPr>
        <w:t xml:space="preserve"> </w:t>
      </w:r>
      <w:r w:rsidRPr="00405303">
        <w:rPr>
          <w:color w:val="002060"/>
          <w:sz w:val="16"/>
          <w:szCs w:val="16"/>
        </w:rPr>
        <w:t>г. Запорожье п/я 18 «Супорт», ст. Александровск Екатерининской ж/д (1928 г.);</w:t>
      </w:r>
      <w:r w:rsidR="000F5756">
        <w:rPr>
          <w:color w:val="002060"/>
          <w:sz w:val="16"/>
          <w:szCs w:val="16"/>
        </w:rPr>
        <w:t xml:space="preserve"> </w:t>
      </w:r>
      <w:r w:rsidRPr="00405303">
        <w:rPr>
          <w:color w:val="002060"/>
          <w:sz w:val="16"/>
          <w:szCs w:val="16"/>
        </w:rPr>
        <w:t>г. Омск 11-я Линия, 283 (1947 г.)/ /644021</w:t>
      </w:r>
      <w:r w:rsidR="000F5756">
        <w:rPr>
          <w:color w:val="002060"/>
          <w:sz w:val="16"/>
          <w:szCs w:val="16"/>
        </w:rPr>
        <w:t xml:space="preserve"> </w:t>
      </w:r>
      <w:r w:rsidRPr="00405303">
        <w:rPr>
          <w:color w:val="002060"/>
          <w:sz w:val="16"/>
          <w:szCs w:val="16"/>
        </w:rPr>
        <w:t>г. Омск ул. Б. Хмельницкого, 283 тел. 33-47-20/) выпускал сельскохозяйственные механизмы и инструменты, выполнял различные виды механической обработки, отливал чугун и медь. В течение 1915-16 г. Петербургское АО «Дюфлон, Константинович и К</w:t>
      </w:r>
      <w:r w:rsidRPr="00405303">
        <w:rPr>
          <w:color w:val="002060"/>
          <w:sz w:val="16"/>
          <w:szCs w:val="16"/>
          <w:vertAlign w:val="superscript"/>
        </w:rPr>
        <w:t>0</w:t>
      </w:r>
      <w:r w:rsidRPr="00405303">
        <w:rPr>
          <w:color w:val="002060"/>
          <w:sz w:val="16"/>
          <w:szCs w:val="16"/>
        </w:rPr>
        <w:t>» покупает завод у братьев и перепрофилирует его для выпуска авиационных и автомобильных моторов. Новый завод «ДЕКА» вступил в строй в 09.1916 г.</w:t>
      </w:r>
    </w:p>
    <w:p w14:paraId="62FD32BE" w14:textId="77777777" w:rsidR="004458AB" w:rsidRPr="00405303" w:rsidRDefault="004458AB" w:rsidP="00C15251">
      <w:pPr>
        <w:jc w:val="both"/>
        <w:rPr>
          <w:color w:val="002060"/>
          <w:sz w:val="16"/>
          <w:szCs w:val="16"/>
        </w:rPr>
      </w:pPr>
      <w:r w:rsidRPr="00405303">
        <w:rPr>
          <w:color w:val="002060"/>
          <w:sz w:val="16"/>
          <w:szCs w:val="16"/>
        </w:rPr>
        <w:lastRenderedPageBreak/>
        <w:t>До революции строил по лицензии двигатели «Мерседес» как «Дека» М-100 (первый мотор выпущен 16.08.1916 г.) и мотор, созданный инженером Киреевым на базе двигателя «Бенн». Для расширения производства был приобретен местный завод сельскохозяйственного инструмента, в 1916 г. началось строительство новых корпусов.</w:t>
      </w:r>
    </w:p>
    <w:p w14:paraId="269083E8" w14:textId="77777777" w:rsidR="004458AB" w:rsidRPr="00405303" w:rsidRDefault="004458AB" w:rsidP="00C15251">
      <w:pPr>
        <w:jc w:val="both"/>
        <w:rPr>
          <w:color w:val="002060"/>
          <w:sz w:val="16"/>
          <w:szCs w:val="16"/>
        </w:rPr>
      </w:pPr>
      <w:r w:rsidRPr="00405303">
        <w:rPr>
          <w:color w:val="002060"/>
          <w:sz w:val="16"/>
          <w:szCs w:val="16"/>
        </w:rPr>
        <w:t>Завод «ДЕКА» национализирован декретом СНК от 20.01.1918 г. Весной 1920 г. завод передан в ведение Главкоавиа и получил название ГАЗ-9. С 1922 г. получил название ГАЗ-9 «Большевик».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9 «Большевик» переименован в ГАЗ-9 «Большевик». В соответствии с пост. СНК от 27.04.1926 г. по приказам ВСНХ/НКВМ/ОГПУ № 73сс от 9.07.1927 г. и Авиатреста № 114сс от 4.08.1927 г. ГАЗ-9 «Большевик» с 1.10.1927 г. переименован в завод № 29. Приказом Авиатреста № 131 от 27.09.1927 г. действие приказа № 114сс было приостановлено до особого распоряжения.</w:t>
      </w:r>
      <w:r w:rsidRPr="00405303">
        <w:rPr>
          <w:color w:val="002060"/>
          <w:sz w:val="16"/>
          <w:szCs w:val="16"/>
          <w:vertAlign w:val="superscript"/>
        </w:rPr>
        <w:t>133</w:t>
      </w:r>
      <w:r w:rsidRPr="00405303">
        <w:rPr>
          <w:color w:val="002060"/>
          <w:sz w:val="16"/>
          <w:szCs w:val="16"/>
        </w:rPr>
        <w:t xml:space="preserve"> В 1932 г. в его состав влиты ряд заводов Запорожья: завод Кацена (на его базе организован литейный цех), заводы Дзержинского № 1, № 2, № 3 и № 4 (металлообрабатывающие и литейные цеха, ФЗУ) и др., в результате чего завод размещался на восьми разрозненных территориях. С 1930 г. - в ведении ВАО ВСНХ, с 1932 г. - в моторном тресте ГУАП НКТП. К 1936 г. завод вошел в состав моторного треста ГУАП НКТП. В 02.1937 г. - в ведении 1ГУ НКОП, по пр. № ЗЗсс от 1/3.02.1938 г. передан в ведение созданного ГУ авиационного моторостроения, в 12.1938 г. - в ведении 18ГУ.</w:t>
      </w:r>
    </w:p>
    <w:p w14:paraId="11212FCE" w14:textId="77777777" w:rsidR="004458AB" w:rsidRPr="00405303" w:rsidRDefault="004458AB" w:rsidP="00C15251">
      <w:pPr>
        <w:jc w:val="both"/>
        <w:rPr>
          <w:color w:val="002060"/>
          <w:sz w:val="16"/>
          <w:szCs w:val="16"/>
        </w:rPr>
      </w:pPr>
      <w:r w:rsidRPr="00405303">
        <w:rPr>
          <w:color w:val="002060"/>
          <w:sz w:val="16"/>
          <w:szCs w:val="16"/>
        </w:rPr>
        <w:t>В 1918 г. завод был законсервирован, в 1923-24 г. расконсервирован и восстанавлен. Занимался ремонтом, а затем изготовлением деталей к двигателям «Рено». С 1923 г. начато освоение производства двигателя "</w:t>
      </w:r>
      <w:r w:rsidRPr="00405303">
        <w:rPr>
          <w:color w:val="002060"/>
          <w:sz w:val="16"/>
          <w:szCs w:val="16"/>
          <w:lang w:val="en-US"/>
        </w:rPr>
        <w:t>Hispano</w:t>
      </w:r>
      <w:r w:rsidRPr="00405303">
        <w:rPr>
          <w:color w:val="002060"/>
          <w:sz w:val="16"/>
          <w:szCs w:val="16"/>
        </w:rPr>
        <w:t xml:space="preserve">- </w:t>
      </w:r>
      <w:r w:rsidRPr="00405303">
        <w:rPr>
          <w:color w:val="002060"/>
          <w:sz w:val="16"/>
          <w:szCs w:val="16"/>
          <w:lang w:val="en-US"/>
        </w:rPr>
        <w:t>Suisa</w:t>
      </w:r>
      <w:r w:rsidRPr="00405303">
        <w:rPr>
          <w:color w:val="002060"/>
          <w:sz w:val="16"/>
          <w:szCs w:val="16"/>
        </w:rPr>
        <w:t>" 8</w:t>
      </w:r>
      <w:r w:rsidRPr="00405303">
        <w:rPr>
          <w:color w:val="002060"/>
          <w:sz w:val="16"/>
          <w:szCs w:val="16"/>
          <w:lang w:val="en-US"/>
        </w:rPr>
        <w:t>FB</w:t>
      </w:r>
      <w:r w:rsidRPr="00405303">
        <w:rPr>
          <w:color w:val="002060"/>
          <w:sz w:val="16"/>
          <w:szCs w:val="16"/>
        </w:rPr>
        <w:t xml:space="preserve"> под обозначением М-6, затем - "</w:t>
      </w:r>
      <w:r w:rsidRPr="00405303">
        <w:rPr>
          <w:color w:val="002060"/>
          <w:sz w:val="16"/>
          <w:szCs w:val="16"/>
          <w:lang w:val="en-US"/>
        </w:rPr>
        <w:t>Hispano</w:t>
      </w:r>
      <w:r w:rsidRPr="00405303">
        <w:rPr>
          <w:color w:val="002060"/>
          <w:sz w:val="16"/>
          <w:szCs w:val="16"/>
        </w:rPr>
        <w:t>-</w:t>
      </w:r>
      <w:r w:rsidRPr="00405303">
        <w:rPr>
          <w:color w:val="002060"/>
          <w:sz w:val="16"/>
          <w:szCs w:val="16"/>
          <w:lang w:val="en-US"/>
        </w:rPr>
        <w:t>Suisa</w:t>
      </w:r>
      <w:r w:rsidRPr="00405303">
        <w:rPr>
          <w:color w:val="002060"/>
          <w:sz w:val="16"/>
          <w:szCs w:val="16"/>
        </w:rPr>
        <w:t>", 300 л.с. (М-8); на 1923-24 г. выдан заказ на 10 моторов, но ни одного мотора в том году не сдал. С 1927 г. - выпуск М-11. В 1927 г. мощность завода - 175 М-6 в год.</w:t>
      </w:r>
      <w:r w:rsidRPr="00405303">
        <w:rPr>
          <w:color w:val="002060"/>
          <w:sz w:val="16"/>
          <w:szCs w:val="16"/>
          <w:vertAlign w:val="superscript"/>
        </w:rPr>
        <w:t>133</w:t>
      </w:r>
      <w:r w:rsidRPr="00405303">
        <w:rPr>
          <w:color w:val="002060"/>
          <w:sz w:val="16"/>
          <w:szCs w:val="16"/>
        </w:rPr>
        <w:t xml:space="preserve"> С 1930 г. выпуск по лицензии </w:t>
      </w:r>
      <w:r w:rsidRPr="00405303">
        <w:rPr>
          <w:color w:val="002060"/>
          <w:sz w:val="16"/>
          <w:szCs w:val="16"/>
          <w:lang w:val="en-US"/>
        </w:rPr>
        <w:t>Bristol</w:t>
      </w:r>
      <w:r w:rsidRPr="00405303">
        <w:rPr>
          <w:color w:val="002060"/>
          <w:sz w:val="16"/>
          <w:szCs w:val="16"/>
        </w:rPr>
        <w:t xml:space="preserve"> "</w:t>
      </w:r>
      <w:r w:rsidRPr="00405303">
        <w:rPr>
          <w:color w:val="002060"/>
          <w:sz w:val="16"/>
          <w:szCs w:val="16"/>
          <w:lang w:val="en-US"/>
        </w:rPr>
        <w:t>Jupiter</w:t>
      </w:r>
      <w:r w:rsidRPr="00405303">
        <w:rPr>
          <w:color w:val="002060"/>
          <w:sz w:val="16"/>
          <w:szCs w:val="16"/>
        </w:rPr>
        <w:t xml:space="preserve">" VI под обозначением М-22. С 1934 г. - лицензионный </w:t>
      </w:r>
      <w:r w:rsidRPr="00405303">
        <w:rPr>
          <w:color w:val="002060"/>
          <w:sz w:val="16"/>
          <w:szCs w:val="16"/>
          <w:lang w:val="en-US"/>
        </w:rPr>
        <w:t>Gnome</w:t>
      </w:r>
      <w:r w:rsidRPr="00405303">
        <w:rPr>
          <w:color w:val="002060"/>
          <w:sz w:val="16"/>
          <w:szCs w:val="16"/>
        </w:rPr>
        <w:t>-</w:t>
      </w:r>
      <w:r w:rsidRPr="00405303">
        <w:rPr>
          <w:color w:val="002060"/>
          <w:sz w:val="16"/>
          <w:szCs w:val="16"/>
          <w:lang w:val="en-US"/>
        </w:rPr>
        <w:t>Rohne</w:t>
      </w:r>
      <w:r w:rsidRPr="00405303">
        <w:rPr>
          <w:color w:val="002060"/>
          <w:sz w:val="16"/>
          <w:szCs w:val="16"/>
        </w:rPr>
        <w:t xml:space="preserve"> "</w:t>
      </w:r>
      <w:r w:rsidRPr="00405303">
        <w:rPr>
          <w:color w:val="002060"/>
          <w:sz w:val="16"/>
          <w:szCs w:val="16"/>
          <w:lang w:val="en-US"/>
        </w:rPr>
        <w:t>MistralMajor</w:t>
      </w:r>
      <w:r w:rsidRPr="00405303">
        <w:rPr>
          <w:color w:val="002060"/>
          <w:sz w:val="16"/>
          <w:szCs w:val="16"/>
        </w:rPr>
        <w:t>" 14К как М-85.</w:t>
      </w:r>
    </w:p>
    <w:p w14:paraId="4133A11E" w14:textId="77777777" w:rsidR="004458AB" w:rsidRPr="00405303" w:rsidRDefault="004458AB" w:rsidP="00C15251">
      <w:pPr>
        <w:jc w:val="both"/>
        <w:rPr>
          <w:color w:val="002060"/>
          <w:sz w:val="16"/>
          <w:szCs w:val="16"/>
        </w:rPr>
      </w:pPr>
      <w:r w:rsidRPr="00405303">
        <w:rPr>
          <w:color w:val="002060"/>
          <w:sz w:val="16"/>
          <w:szCs w:val="16"/>
        </w:rPr>
        <w:t>В 1926 г. завод строился, закончены мастерские: механическая, инструментальная, ремонтно-механическая, модельная, литейная, сборочная, строилась термическая; на 1926-27 г. запланирована постройка испытательной станции.</w:t>
      </w:r>
    </w:p>
    <w:p w14:paraId="74B8C6F9" w14:textId="77777777" w:rsidR="004458AB" w:rsidRPr="00405303" w:rsidRDefault="004458AB" w:rsidP="00C15251">
      <w:pPr>
        <w:jc w:val="both"/>
        <w:rPr>
          <w:color w:val="002060"/>
          <w:sz w:val="16"/>
          <w:szCs w:val="16"/>
        </w:rPr>
      </w:pPr>
      <w:r w:rsidRPr="00405303">
        <w:rPr>
          <w:color w:val="002060"/>
          <w:sz w:val="16"/>
          <w:szCs w:val="16"/>
        </w:rPr>
        <w:t>Велось опытное моторостроение. В разное время на заводе работали А.С. Назаров, В.Я. Климов, С.К. Туманский, А. Г. Ивченко, В.А. Глушенков.</w:t>
      </w:r>
    </w:p>
    <w:p w14:paraId="6FB63ECE" w14:textId="77777777" w:rsidR="004458AB" w:rsidRPr="00405303" w:rsidRDefault="004458AB" w:rsidP="00C15251">
      <w:pPr>
        <w:jc w:val="both"/>
        <w:rPr>
          <w:color w:val="002060"/>
          <w:sz w:val="16"/>
          <w:szCs w:val="16"/>
        </w:rPr>
      </w:pPr>
      <w:r w:rsidRPr="00405303">
        <w:rPr>
          <w:color w:val="002060"/>
          <w:sz w:val="16"/>
          <w:szCs w:val="16"/>
        </w:rPr>
        <w:t>Производственная программа завода на 1937 г.: 1500 М-85. Приказом № 0032 от 8.02.1937 г. заводу предписано в 1-м полугодии закончить главный корпус, литейный цех - во 2-м квартале, переборочный цех и испытательную станцию сдать в эксплуатацию в 3-м квартале, обеспечив мощность к 1.07.1937 г. - 3500 моторов в год. Приказом № 0127 от 7.06.1937 г. предписано начать подготовку к серийному производству форсированного М-87 950 л.с, чтобы в 4 квартале 1937 г. начать производство; довести мощность М-85 к 1938 г. до 1300 л.с.; закончить и сдать в эксплуатацию опытный отдел в 4 квартале 1937 г. Приказом № 0241 от 14.11.1937 г. заводу установлена программа по выпуску моторов на на 1937 г.: М-85 - 465 шт., М-87 - 425шт., со сдачей в 1937 г. М-85 - 775, М-87 - 125. В соответствии с решением правительства № 191сс от 7.12.1937 г. и пр. № 00274 от 20.12.1937 г. заводу было предписано: выпустить в 1938 г. 1800 моторов М-87, 180 группкомплектов к ним, 300 группкомплектов для М-22; обеспечить к 1.01.1939 г. мощность в 6 тыс. моторов в год; организовать в 1-м полугодии 1938 г. ЛИС для летных испытаний моторов; передать от УВВС заводу аэродром при ст. «Мокрой» (до постройки собственного); укомплектовать ОКО завода кадрами; при технической помощи фирмы «Гном и Рон» построить опытную партию (3-5 шт) малогабаритных моторов типа «14 МАРС»; обеспечить в 1937-38 г. набор рабочих на завод 3-4 тыс. чел.</w:t>
      </w:r>
    </w:p>
    <w:p w14:paraId="3D946AE2" w14:textId="77777777" w:rsidR="004458AB" w:rsidRPr="00405303" w:rsidRDefault="004458AB" w:rsidP="00C15251">
      <w:pPr>
        <w:jc w:val="both"/>
        <w:rPr>
          <w:color w:val="002060"/>
          <w:sz w:val="16"/>
          <w:szCs w:val="16"/>
        </w:rPr>
      </w:pPr>
      <w:r w:rsidRPr="00405303">
        <w:rPr>
          <w:color w:val="002060"/>
          <w:sz w:val="16"/>
          <w:szCs w:val="16"/>
        </w:rPr>
        <w:t>Приказом НКОП № 0127 от 7.06.1937 г. на завод из ЦИАМ перенесены работы по авиадизелю АН-3 и велись в кооперации завода и института.</w:t>
      </w:r>
    </w:p>
    <w:p w14:paraId="01D5384C" w14:textId="77777777" w:rsidR="004458AB" w:rsidRPr="00405303" w:rsidRDefault="004458AB" w:rsidP="00C15251">
      <w:pPr>
        <w:jc w:val="both"/>
        <w:rPr>
          <w:color w:val="002060"/>
          <w:sz w:val="16"/>
          <w:szCs w:val="16"/>
        </w:rPr>
      </w:pPr>
      <w:r w:rsidRPr="00405303">
        <w:rPr>
          <w:color w:val="002060"/>
          <w:sz w:val="16"/>
          <w:szCs w:val="16"/>
        </w:rPr>
        <w:t>Приказом № 111с от 23/26.03.1938 г. предписано установить в 1938 г. на заводе установки для испытаний моторов типа «Хинан-Фруд» и «Райт-Фидц»; пр. № 310с от 7.08.1938 г. требовалось сдать в 1938 г. в эксплуатацию главный корпус, цехи: кузнечный и литейный.</w:t>
      </w:r>
    </w:p>
    <w:p w14:paraId="6BDD6711" w14:textId="77777777" w:rsidR="004458AB" w:rsidRPr="00405303" w:rsidRDefault="004458AB" w:rsidP="00C15251">
      <w:pPr>
        <w:jc w:val="both"/>
        <w:rPr>
          <w:color w:val="002060"/>
          <w:sz w:val="16"/>
          <w:szCs w:val="16"/>
        </w:rPr>
      </w:pPr>
      <w:r w:rsidRPr="00405303">
        <w:rPr>
          <w:color w:val="002060"/>
          <w:sz w:val="16"/>
          <w:szCs w:val="16"/>
        </w:rPr>
        <w:t>Для освоения выпуска М-87 на заводе № 26 по пр. № 127с от 10.04.1938 г. требовалось передать туда технические и производственные материалы по двигателю. Приказом № 240с от 8/10.07.1938 г., в связи с неудовлетворительным положением на заводе (программа по производству М-87 была сорвана, в 1-м полугодии 1938 г. не выпущено ни одного качественного мотора) были сняты и.о. гл. инженера завода Мерцалов и начальник термического цеха Путрин; КО завода был усилен 20 конструкторами (молодыми специалистами и из ЦИАМ). В соответствии с пост, правительства № 223сс от 10.09.1938 г. и пр. № 381сс от 29.09.1938 г. требовалось: выпустить и предъявить на госиспытания: М-88 в 09.1938 г., изготовить 55 шт.; дизель 87-Д на базе М-87; подготовить работы по дальнейшему форсажу М-89. План на 1941 г.: 4000 М-88 и 1000 М-89.</w:t>
      </w:r>
    </w:p>
    <w:p w14:paraId="27C7DE82" w14:textId="77777777" w:rsidR="004458AB" w:rsidRPr="00405303" w:rsidRDefault="004458AB" w:rsidP="00C15251">
      <w:pPr>
        <w:jc w:val="both"/>
        <w:rPr>
          <w:color w:val="002060"/>
          <w:sz w:val="16"/>
          <w:szCs w:val="16"/>
        </w:rPr>
      </w:pPr>
      <w:r w:rsidRPr="00405303">
        <w:rPr>
          <w:color w:val="002060"/>
          <w:sz w:val="16"/>
          <w:szCs w:val="16"/>
        </w:rPr>
        <w:t>В 1939 г. проектная мощность завода составляла 6 тыс. М-88 в год, годовой план - 3 тыс. моторов.</w:t>
      </w:r>
    </w:p>
    <w:p w14:paraId="39AFD7DA" w14:textId="77777777" w:rsidR="004458AB" w:rsidRPr="00405303" w:rsidRDefault="004458AB" w:rsidP="00C15251">
      <w:pPr>
        <w:jc w:val="both"/>
        <w:rPr>
          <w:color w:val="002060"/>
          <w:sz w:val="16"/>
          <w:szCs w:val="16"/>
        </w:rPr>
      </w:pPr>
      <w:r w:rsidRPr="00405303">
        <w:rPr>
          <w:color w:val="002060"/>
          <w:sz w:val="16"/>
          <w:szCs w:val="16"/>
        </w:rPr>
        <w:t>В соответствии с пост. КО № 34сс от 24.01.1940 г. двигатель М-88 был принят на вооружение и запушен в серию. Постановлением КО № 340сс от 6.08.40 г. производство М-88 было остановлено, а пост. № 422сс от 13.11.1940 г. было вновь возобновлено.</w:t>
      </w:r>
      <w:r w:rsidRPr="00405303">
        <w:rPr>
          <w:color w:val="002060"/>
          <w:sz w:val="16"/>
          <w:szCs w:val="16"/>
          <w:vertAlign w:val="superscript"/>
        </w:rPr>
        <w:t>89</w:t>
      </w:r>
    </w:p>
    <w:p w14:paraId="29F889A2" w14:textId="66EEFF42" w:rsidR="004458AB" w:rsidRPr="00405303" w:rsidRDefault="004458AB" w:rsidP="00C15251">
      <w:pPr>
        <w:jc w:val="both"/>
        <w:rPr>
          <w:color w:val="002060"/>
          <w:sz w:val="16"/>
          <w:szCs w:val="16"/>
        </w:rPr>
      </w:pPr>
      <w:r w:rsidRPr="00405303">
        <w:rPr>
          <w:color w:val="002060"/>
          <w:sz w:val="16"/>
          <w:szCs w:val="16"/>
        </w:rPr>
        <w:t>К 29.09.1941 г. завод и ОКБ в соответствии с пост. ГКО № 457сс от 11.08.1941 г. и приказом № 844сс от 12.08.1941 г. эвакуированы в</w:t>
      </w:r>
      <w:r w:rsidR="000F5756">
        <w:rPr>
          <w:color w:val="002060"/>
          <w:sz w:val="16"/>
          <w:szCs w:val="16"/>
        </w:rPr>
        <w:t xml:space="preserve"> </w:t>
      </w:r>
      <w:r w:rsidRPr="00405303">
        <w:rPr>
          <w:color w:val="002060"/>
          <w:sz w:val="16"/>
          <w:szCs w:val="16"/>
        </w:rPr>
        <w:t xml:space="preserve">г. Омск на площадку завода № 166 НКАП и завода сельскохозяйственных машин им. Куйбышева (завод № 495 НКАП) и </w:t>
      </w:r>
      <w:proofErr w:type="gramStart"/>
      <w:r w:rsidRPr="00405303">
        <w:rPr>
          <w:color w:val="002060"/>
          <w:sz w:val="16"/>
          <w:szCs w:val="16"/>
        </w:rPr>
        <w:t>продолжили Действовать</w:t>
      </w:r>
      <w:proofErr w:type="gramEnd"/>
      <w:r w:rsidRPr="00405303">
        <w:rPr>
          <w:color w:val="002060"/>
          <w:sz w:val="16"/>
          <w:szCs w:val="16"/>
        </w:rPr>
        <w:t xml:space="preserve"> самостоятельно, заводу переданы склады УГМР.</w:t>
      </w:r>
    </w:p>
    <w:p w14:paraId="3EC4D19C" w14:textId="77777777" w:rsidR="004458AB" w:rsidRPr="00405303" w:rsidRDefault="004458AB" w:rsidP="00C15251">
      <w:pPr>
        <w:jc w:val="both"/>
        <w:rPr>
          <w:color w:val="002060"/>
          <w:sz w:val="16"/>
          <w:szCs w:val="16"/>
        </w:rPr>
      </w:pPr>
      <w:r w:rsidRPr="00405303">
        <w:rPr>
          <w:color w:val="002060"/>
          <w:sz w:val="16"/>
          <w:szCs w:val="16"/>
        </w:rPr>
        <w:t>19.08.1941 г. вышло постановление ГКО № 512 об ускорении работ на заводе. Приказом № 469с от 3.08.1943 г. заводу переданы все сооружения завода № 288 НКАП (кроме ЛИС и территории, временно закрепленной за ОКБ А.Н. Туполева).</w:t>
      </w:r>
    </w:p>
    <w:p w14:paraId="1FAA2BA2" w14:textId="77777777" w:rsidR="004458AB" w:rsidRPr="00405303" w:rsidRDefault="004458AB" w:rsidP="00C15251">
      <w:pPr>
        <w:jc w:val="both"/>
        <w:rPr>
          <w:color w:val="002060"/>
          <w:sz w:val="16"/>
          <w:szCs w:val="16"/>
        </w:rPr>
      </w:pPr>
      <w:r w:rsidRPr="00405303">
        <w:rPr>
          <w:color w:val="002060"/>
          <w:sz w:val="16"/>
          <w:szCs w:val="16"/>
        </w:rPr>
        <w:t>В 01.1942 г. в Омске восстановлено производство М-88Б.</w:t>
      </w:r>
    </w:p>
    <w:p w14:paraId="5E58B726" w14:textId="77777777" w:rsidR="004458AB" w:rsidRPr="00405303" w:rsidRDefault="004458AB" w:rsidP="00C15251">
      <w:pPr>
        <w:jc w:val="both"/>
        <w:rPr>
          <w:color w:val="002060"/>
          <w:sz w:val="16"/>
          <w:szCs w:val="16"/>
        </w:rPr>
      </w:pPr>
      <w:r w:rsidRPr="00405303">
        <w:rPr>
          <w:color w:val="002060"/>
          <w:sz w:val="16"/>
          <w:szCs w:val="16"/>
        </w:rPr>
        <w:t xml:space="preserve">В соответствии с пост. ГКО № 1263 от 9.02.1942 г. под руководством </w:t>
      </w:r>
      <w:r w:rsidRPr="00405303">
        <w:rPr>
          <w:color w:val="002060"/>
          <w:sz w:val="16"/>
          <w:szCs w:val="16"/>
          <w:lang w:val="en-US"/>
        </w:rPr>
        <w:t>B</w:t>
      </w:r>
      <w:r w:rsidRPr="00405303">
        <w:rPr>
          <w:color w:val="002060"/>
          <w:sz w:val="16"/>
          <w:szCs w:val="16"/>
        </w:rPr>
        <w:t>.</w:t>
      </w:r>
      <w:r w:rsidRPr="00405303">
        <w:rPr>
          <w:color w:val="002060"/>
          <w:sz w:val="16"/>
          <w:szCs w:val="16"/>
          <w:lang w:val="en-US"/>
        </w:rPr>
        <w:t>C</w:t>
      </w:r>
      <w:r w:rsidRPr="00405303">
        <w:rPr>
          <w:color w:val="002060"/>
          <w:sz w:val="16"/>
          <w:szCs w:val="16"/>
        </w:rPr>
        <w:t>. Нитченко (зам. гл. конструктора А.Д. Швецова) на заводе началось освоение производства М-82. 6.03.1942 г. вышло постановление ГКО № 1397 о сохранении на заводе производства М-88. По постановлению ГКО № 1832 от 30.05.1942 г. 50 чел. ИТР были переведены с завода на завод № 45 НКАП. 24.08.1942 г. вышло постановление ГКО № 2210 о производстве моторов М-82 на заводе; 15.06.1943 г. - постановление ГКО № 3587 о производстве моторов М-82ФН на заводе, первые моторы выпущены в 11.1943 г.; 20.10.1944 г. - постановление ГКО № 6752 об увеличении выпуска мотора АШ-82ФН.</w:t>
      </w:r>
    </w:p>
    <w:p w14:paraId="0C7709B8" w14:textId="77777777" w:rsidR="004458AB" w:rsidRPr="00405303" w:rsidRDefault="004458AB" w:rsidP="00C15251">
      <w:pPr>
        <w:jc w:val="both"/>
        <w:rPr>
          <w:color w:val="002060"/>
          <w:sz w:val="16"/>
          <w:szCs w:val="16"/>
        </w:rPr>
      </w:pPr>
      <w:r w:rsidRPr="00405303">
        <w:rPr>
          <w:color w:val="002060"/>
          <w:sz w:val="16"/>
          <w:szCs w:val="16"/>
        </w:rPr>
        <w:t>В 10.1944 г. на старом месте в Запорожье основан завод № 478 (вступил в строй в 1947 г.).</w:t>
      </w:r>
    </w:p>
    <w:p w14:paraId="4DBC944F" w14:textId="77777777" w:rsidR="004458AB" w:rsidRPr="00405303" w:rsidRDefault="004458AB" w:rsidP="00C15251">
      <w:pPr>
        <w:jc w:val="both"/>
        <w:rPr>
          <w:color w:val="002060"/>
          <w:sz w:val="16"/>
          <w:szCs w:val="16"/>
        </w:rPr>
      </w:pPr>
      <w:r w:rsidRPr="00405303">
        <w:rPr>
          <w:color w:val="002060"/>
          <w:sz w:val="16"/>
          <w:szCs w:val="16"/>
        </w:rPr>
        <w:t>Распоряжением ГКО № 6827 от 29.10.1944 г. на заводы № 29 и 19 направлено 3000 освобожденных заключенных. В 1946 г. заводу передано 1600 единиц (196 вагонов) трофейного оборудования из Чехословакии.</w:t>
      </w:r>
    </w:p>
    <w:p w14:paraId="56928AF1" w14:textId="77777777" w:rsidR="004458AB" w:rsidRPr="00405303" w:rsidRDefault="004458AB" w:rsidP="00C15251">
      <w:pPr>
        <w:jc w:val="both"/>
        <w:rPr>
          <w:color w:val="002060"/>
          <w:sz w:val="16"/>
          <w:szCs w:val="16"/>
        </w:rPr>
      </w:pPr>
      <w:r w:rsidRPr="00405303">
        <w:rPr>
          <w:color w:val="002060"/>
          <w:sz w:val="16"/>
          <w:szCs w:val="16"/>
        </w:rPr>
        <w:t>По пр. № 557 от 23.08.1955 г. на заводе организовано серйное КБ - филиал ОКБ-19 для сопровождения серийного выпуска и усовершенствования моторов АШ-82Т, -82В (далее - ОКБ-29).</w:t>
      </w:r>
    </w:p>
    <w:p w14:paraId="4EE91D23" w14:textId="77777777" w:rsidR="004458AB" w:rsidRPr="00405303" w:rsidRDefault="004458AB" w:rsidP="00C15251">
      <w:pPr>
        <w:jc w:val="both"/>
        <w:rPr>
          <w:color w:val="002060"/>
          <w:sz w:val="16"/>
          <w:szCs w:val="16"/>
        </w:rPr>
      </w:pPr>
      <w:r w:rsidRPr="00405303">
        <w:rPr>
          <w:color w:val="002060"/>
          <w:sz w:val="16"/>
          <w:szCs w:val="16"/>
        </w:rPr>
        <w:t>В соответствии с пост. СМ СССР № 713-342 от 26.06.1957 г. завод № 29 передан в ведение управления агрегатостроения Западно-Сибирского СНХ РСФСР. Имел наименование «п/я 64». В 1973-83 г. - предприятие А- 3573, с 1979 г. - ОМПО им. П.И. Баранова. В 2002 г. - ФГУП «ОМО им. Баранова», 2004 г. - ФГУП «ОМПБ».</w:t>
      </w:r>
    </w:p>
    <w:p w14:paraId="600F9C88" w14:textId="77777777" w:rsidR="004458AB" w:rsidRPr="00405303" w:rsidRDefault="004458AB" w:rsidP="00C15251">
      <w:pPr>
        <w:jc w:val="both"/>
        <w:rPr>
          <w:color w:val="002060"/>
          <w:sz w:val="16"/>
          <w:szCs w:val="16"/>
        </w:rPr>
      </w:pPr>
      <w:r w:rsidRPr="00405303">
        <w:rPr>
          <w:color w:val="002060"/>
          <w:sz w:val="16"/>
          <w:szCs w:val="16"/>
        </w:rPr>
        <w:t>В 12.1958 г. при заводе создан филиал № 3 ОКБ-456 для сопровождения серии ЖРД. Ликвидирован в 1968 г.</w:t>
      </w:r>
    </w:p>
    <w:p w14:paraId="51F4FEEC" w14:textId="77777777" w:rsidR="004458AB" w:rsidRPr="00405303" w:rsidRDefault="004458AB" w:rsidP="00C15251">
      <w:pPr>
        <w:jc w:val="both"/>
        <w:rPr>
          <w:color w:val="002060"/>
          <w:sz w:val="16"/>
          <w:szCs w:val="16"/>
        </w:rPr>
      </w:pPr>
      <w:r w:rsidRPr="00405303">
        <w:rPr>
          <w:color w:val="002060"/>
          <w:sz w:val="16"/>
          <w:szCs w:val="16"/>
        </w:rPr>
        <w:t>В 11.1970 г. собран первый АЛ-21Ф (изд. «85»).</w:t>
      </w:r>
    </w:p>
    <w:p w14:paraId="3EE484B1" w14:textId="77777777" w:rsidR="004458AB" w:rsidRPr="00405303" w:rsidRDefault="004458AB" w:rsidP="00C15251">
      <w:pPr>
        <w:jc w:val="both"/>
        <w:rPr>
          <w:color w:val="002060"/>
          <w:sz w:val="16"/>
          <w:szCs w:val="16"/>
        </w:rPr>
      </w:pPr>
      <w:r w:rsidRPr="00405303">
        <w:rPr>
          <w:color w:val="002060"/>
          <w:sz w:val="16"/>
          <w:szCs w:val="16"/>
        </w:rPr>
        <w:t>По Указу Президента РФ № 1009 от 4.08.2004 г. вошло в число стратегических оборонных предприятий. В 07.2005 г. было подписано соглашение о вхождении в течение года ОМПБ им. Баранова в состав ММПП «Салют» в качестве филиала.</w:t>
      </w:r>
    </w:p>
    <w:p w14:paraId="5FC355C9" w14:textId="77777777" w:rsidR="004458AB" w:rsidRPr="00405303" w:rsidRDefault="004458AB" w:rsidP="00C15251">
      <w:pPr>
        <w:jc w:val="both"/>
        <w:rPr>
          <w:color w:val="002060"/>
          <w:sz w:val="16"/>
          <w:szCs w:val="16"/>
        </w:rPr>
      </w:pPr>
      <w:r w:rsidRPr="00405303">
        <w:rPr>
          <w:color w:val="002060"/>
          <w:sz w:val="16"/>
          <w:szCs w:val="16"/>
        </w:rPr>
        <w:t>В 2004 г. предприятие производило также ремонт авиадвигателей.</w:t>
      </w:r>
    </w:p>
    <w:p w14:paraId="63BEF7E7" w14:textId="77777777" w:rsidR="004458AB" w:rsidRPr="00405303" w:rsidRDefault="004458AB" w:rsidP="00C15251">
      <w:pPr>
        <w:jc w:val="both"/>
        <w:rPr>
          <w:color w:val="002060"/>
          <w:sz w:val="16"/>
          <w:szCs w:val="16"/>
        </w:rPr>
      </w:pPr>
      <w:r w:rsidRPr="00405303">
        <w:rPr>
          <w:color w:val="002060"/>
          <w:sz w:val="16"/>
          <w:szCs w:val="16"/>
        </w:rPr>
        <w:t>Количество оборудования (1926 г.)- 279 ед.</w:t>
      </w:r>
    </w:p>
    <w:p w14:paraId="30394ABC" w14:textId="77777777" w:rsidR="004458AB" w:rsidRPr="00405303" w:rsidRDefault="004458AB" w:rsidP="00C15251">
      <w:pPr>
        <w:jc w:val="both"/>
        <w:rPr>
          <w:color w:val="002060"/>
          <w:sz w:val="16"/>
          <w:szCs w:val="16"/>
        </w:rPr>
      </w:pPr>
      <w:r w:rsidRPr="00405303">
        <w:rPr>
          <w:color w:val="002060"/>
          <w:sz w:val="16"/>
          <w:szCs w:val="16"/>
        </w:rPr>
        <w:t>Площадь: территории (1925 г.)- 84 тыс. м</w:t>
      </w:r>
      <w:r w:rsidRPr="00405303">
        <w:rPr>
          <w:color w:val="002060"/>
          <w:sz w:val="16"/>
          <w:szCs w:val="16"/>
          <w:vertAlign w:val="superscript"/>
        </w:rPr>
        <w:t>2</w:t>
      </w:r>
      <w:r w:rsidRPr="00405303">
        <w:rPr>
          <w:color w:val="002060"/>
          <w:sz w:val="16"/>
          <w:szCs w:val="16"/>
        </w:rPr>
        <w:t>; производственная (1925 г.)- 8,8 тыс. м</w:t>
      </w:r>
      <w:r w:rsidRPr="00405303">
        <w:rPr>
          <w:color w:val="002060"/>
          <w:sz w:val="16"/>
          <w:szCs w:val="16"/>
          <w:vertAlign w:val="superscript"/>
        </w:rPr>
        <w:t>2</w:t>
      </w:r>
      <w:r w:rsidRPr="00405303">
        <w:rPr>
          <w:color w:val="002060"/>
          <w:sz w:val="16"/>
          <w:szCs w:val="16"/>
        </w:rPr>
        <w:t>; вспомогательная (1925 г.)- 5,8 тыс. м</w:t>
      </w:r>
      <w:r w:rsidRPr="00405303">
        <w:rPr>
          <w:color w:val="002060"/>
          <w:sz w:val="16"/>
          <w:szCs w:val="16"/>
          <w:vertAlign w:val="superscript"/>
        </w:rPr>
        <w:t>2</w:t>
      </w:r>
      <w:r w:rsidRPr="00405303">
        <w:rPr>
          <w:color w:val="002060"/>
          <w:sz w:val="16"/>
          <w:szCs w:val="16"/>
        </w:rPr>
        <w:t>.</w:t>
      </w:r>
    </w:p>
    <w:p w14:paraId="20F4E4C4" w14:textId="77777777" w:rsidR="004458AB" w:rsidRPr="00405303" w:rsidRDefault="004458AB" w:rsidP="00C15251">
      <w:pPr>
        <w:jc w:val="both"/>
        <w:rPr>
          <w:color w:val="002060"/>
          <w:sz w:val="16"/>
          <w:szCs w:val="16"/>
        </w:rPr>
      </w:pPr>
      <w:r w:rsidRPr="00405303">
        <w:rPr>
          <w:color w:val="002060"/>
          <w:sz w:val="16"/>
          <w:szCs w:val="16"/>
        </w:rPr>
        <w:t>Численность персонала (12.1926 г.)- 521 чел., (15.09.1964 г.)- 21.735 чел., (2005 г.)- около 7000 чел.</w:t>
      </w:r>
    </w:p>
    <w:p w14:paraId="6DF8FE34" w14:textId="77777777" w:rsidR="004458AB" w:rsidRPr="00405303" w:rsidRDefault="004458AB" w:rsidP="00C15251">
      <w:pPr>
        <w:jc w:val="both"/>
        <w:rPr>
          <w:color w:val="002060"/>
          <w:sz w:val="16"/>
          <w:szCs w:val="16"/>
        </w:rPr>
      </w:pPr>
      <w:r w:rsidRPr="00405303">
        <w:rPr>
          <w:color w:val="002060"/>
          <w:sz w:val="16"/>
          <w:szCs w:val="16"/>
        </w:rPr>
        <w:t>Директор (05.1925 г.)- Старов, (-06.1927-01.1928 г.-)- Мартыненко, (08.1928 г.)- Дыпшер, (-1934-23.12.1937 г.)- С.А. Александров (снят как несправившийся), (23.12.1937-39 г.)- В.В. Чернышев, (06.1940 г.)- Громов, (10.1940- 09.41 г.-)- М.М. Лукин, (1941-45 г.-)- И.Т. Борисов. Гендиректор (-1990 г.-)- А.Н. Патрикеичев, (1998-2005 г.-)- Ю.А. Спиваков,</w:t>
      </w:r>
      <w:r w:rsidRPr="00405303">
        <w:rPr>
          <w:color w:val="002060"/>
          <w:sz w:val="16"/>
          <w:szCs w:val="16"/>
          <w:vertAlign w:val="superscript"/>
        </w:rPr>
        <w:t>49</w:t>
      </w:r>
      <w:r w:rsidRPr="00405303">
        <w:rPr>
          <w:color w:val="002060"/>
          <w:sz w:val="16"/>
          <w:szCs w:val="16"/>
        </w:rPr>
        <w:t xml:space="preserve"> (11.2006 г.-)- А. Шутов.</w:t>
      </w:r>
    </w:p>
    <w:p w14:paraId="043D0A47" w14:textId="77777777" w:rsidR="004458AB" w:rsidRPr="00405303" w:rsidRDefault="004458AB" w:rsidP="00C15251">
      <w:pPr>
        <w:jc w:val="both"/>
        <w:rPr>
          <w:color w:val="002060"/>
          <w:sz w:val="16"/>
          <w:szCs w:val="16"/>
        </w:rPr>
      </w:pPr>
      <w:r w:rsidRPr="00405303">
        <w:rPr>
          <w:color w:val="002060"/>
          <w:sz w:val="16"/>
          <w:szCs w:val="16"/>
        </w:rPr>
        <w:t>Зам. директора (06.1937 г.)- О.Д. Дунаевский, (07.1938 г.)- Игнатьев, (9.08.1938 г.-)- В.П. Заикин, (-10.1940 г.)- К.П. Васильев, (10.1940 г.-)- Н.И. Бирюков; по ПВО и охране (31.10.1938 г.-)- П.В. Филоненко. Помощник директора: по техчасти (-1925-6.04.1926 г.)- Сухоруков (снят за халатность); и.о. (6.04.1926 г.-)- Лялин; (06.1927 г.)- Рякин, (08.1928 г.)- Осипов; по найму и увольнению (-06.1937-28.09.1938 г.)- Д.П. Богданов, (28.09.1938 г.-&gt; И.Ф. Ермаков.</w:t>
      </w:r>
    </w:p>
    <w:p w14:paraId="34C00329" w14:textId="77777777" w:rsidR="004458AB" w:rsidRPr="00405303" w:rsidRDefault="004458AB" w:rsidP="00C15251">
      <w:pPr>
        <w:jc w:val="both"/>
        <w:rPr>
          <w:color w:val="002060"/>
          <w:sz w:val="16"/>
          <w:szCs w:val="16"/>
        </w:rPr>
      </w:pPr>
      <w:r w:rsidRPr="00405303">
        <w:rPr>
          <w:color w:val="002060"/>
          <w:sz w:val="16"/>
          <w:szCs w:val="16"/>
        </w:rPr>
        <w:lastRenderedPageBreak/>
        <w:t>Гл. инженер (06.1937 г.)- О.Д. Дунаевский; и.о. (-10.07.1938 г.)- Мерцалов (снят и осужден); (9.08.1938 г.-)- В.П. Заикин, (-1998 г.)- Ю.А. Спиваков, (2005 г.)- Е. Шарапов.</w:t>
      </w:r>
    </w:p>
    <w:p w14:paraId="45460CAB" w14:textId="77777777" w:rsidR="004458AB" w:rsidRPr="00405303" w:rsidRDefault="004458AB" w:rsidP="00C15251">
      <w:pPr>
        <w:jc w:val="both"/>
        <w:rPr>
          <w:color w:val="002060"/>
          <w:sz w:val="16"/>
          <w:szCs w:val="16"/>
        </w:rPr>
      </w:pPr>
      <w:r w:rsidRPr="00405303">
        <w:rPr>
          <w:color w:val="002060"/>
          <w:sz w:val="16"/>
          <w:szCs w:val="16"/>
        </w:rPr>
        <w:t>Гл. инженер строительства (11.03.1937 г.-)- Е.В. Любицкий.</w:t>
      </w:r>
    </w:p>
    <w:p w14:paraId="2B60CE9E" w14:textId="77777777" w:rsidR="004458AB" w:rsidRPr="00405303" w:rsidRDefault="004458AB" w:rsidP="00C15251">
      <w:pPr>
        <w:jc w:val="both"/>
        <w:rPr>
          <w:color w:val="002060"/>
          <w:sz w:val="16"/>
          <w:szCs w:val="16"/>
        </w:rPr>
      </w:pPr>
      <w:r w:rsidRPr="00405303">
        <w:rPr>
          <w:color w:val="002060"/>
          <w:sz w:val="16"/>
          <w:szCs w:val="16"/>
        </w:rPr>
        <w:t>Гл. конструктор (1930-36 г.)- А.С. Назаров, (19.02.1938-10.1940 г.)- С.К. Туманский (снят), (10.1940-08.1941 г.-)- Е.В. Урмин.</w:t>
      </w:r>
    </w:p>
    <w:p w14:paraId="3BE35CB7" w14:textId="77777777" w:rsidR="004458AB" w:rsidRPr="00405303" w:rsidRDefault="004458AB" w:rsidP="00C15251">
      <w:pPr>
        <w:jc w:val="both"/>
        <w:rPr>
          <w:color w:val="002060"/>
          <w:sz w:val="16"/>
          <w:szCs w:val="16"/>
        </w:rPr>
      </w:pPr>
      <w:r w:rsidRPr="00405303">
        <w:rPr>
          <w:color w:val="002060"/>
          <w:sz w:val="16"/>
          <w:szCs w:val="16"/>
        </w:rPr>
        <w:t>Гл. металлург (17.05.1938 г.-)- Газезьян; и.о. Колчинский. Гл. механик (06.1927 г.)- Габелин.</w:t>
      </w:r>
    </w:p>
    <w:p w14:paraId="1C689FBD" w14:textId="77777777" w:rsidR="004458AB" w:rsidRPr="00405303" w:rsidRDefault="004458AB" w:rsidP="00C15251">
      <w:pPr>
        <w:jc w:val="both"/>
        <w:rPr>
          <w:color w:val="002060"/>
          <w:sz w:val="16"/>
          <w:szCs w:val="16"/>
        </w:rPr>
      </w:pPr>
      <w:r w:rsidRPr="00405303">
        <w:rPr>
          <w:color w:val="002060"/>
          <w:sz w:val="16"/>
          <w:szCs w:val="16"/>
        </w:rPr>
        <w:t>Начальник производства (1973 г.)- В. Соснин.</w:t>
      </w:r>
    </w:p>
    <w:p w14:paraId="74C4E588" w14:textId="77777777" w:rsidR="004458AB" w:rsidRPr="00405303" w:rsidRDefault="004458AB" w:rsidP="00C15251">
      <w:pPr>
        <w:jc w:val="both"/>
        <w:rPr>
          <w:color w:val="002060"/>
          <w:sz w:val="16"/>
          <w:szCs w:val="16"/>
        </w:rPr>
      </w:pPr>
      <w:r w:rsidRPr="00405303">
        <w:rPr>
          <w:color w:val="002060"/>
          <w:sz w:val="16"/>
          <w:szCs w:val="16"/>
        </w:rPr>
        <w:t>Начальник серийного КБ завода в Омске- А. Г. Ивченко.</w:t>
      </w:r>
    </w:p>
    <w:p w14:paraId="40A6845F" w14:textId="77777777" w:rsidR="004458AB" w:rsidRPr="00405303" w:rsidRDefault="004458AB" w:rsidP="00C15251">
      <w:pPr>
        <w:jc w:val="both"/>
        <w:rPr>
          <w:color w:val="002060"/>
          <w:sz w:val="16"/>
          <w:szCs w:val="16"/>
        </w:rPr>
      </w:pPr>
      <w:r w:rsidRPr="00405303">
        <w:rPr>
          <w:color w:val="002060"/>
          <w:sz w:val="16"/>
          <w:szCs w:val="16"/>
        </w:rPr>
        <w:t>Заведующие цехами: механическим (06.1927 г.)- П.К. Молодцов; литейным (06.1927 г.)- С.И. Кривоносов; термическим (06.1927 г.)- Ф.О. Рыбкин; испытательной станцией (06.1927 г.)- В.Л. Бушмарин. Начальники цехов: термического (-10.07.1938 г.)- Путрин (снят); (-1978 г.)- П.С. Верхолезов.</w:t>
      </w:r>
    </w:p>
    <w:p w14:paraId="4F3114FD" w14:textId="77777777" w:rsidR="004458AB" w:rsidRPr="00405303" w:rsidRDefault="004458AB" w:rsidP="00C15251">
      <w:pPr>
        <w:jc w:val="both"/>
        <w:rPr>
          <w:color w:val="002060"/>
          <w:sz w:val="16"/>
          <w:szCs w:val="16"/>
        </w:rPr>
      </w:pPr>
      <w:r w:rsidRPr="00405303">
        <w:rPr>
          <w:color w:val="002060"/>
          <w:sz w:val="16"/>
          <w:szCs w:val="16"/>
        </w:rPr>
        <w:t>Зам. начальника цеха: П.С. Верхолезов.</w:t>
      </w:r>
    </w:p>
    <w:p w14:paraId="28FF1E01" w14:textId="77777777" w:rsidR="004458AB" w:rsidRPr="00405303" w:rsidRDefault="004458AB" w:rsidP="00C15251">
      <w:pPr>
        <w:jc w:val="both"/>
        <w:rPr>
          <w:color w:val="002060"/>
          <w:sz w:val="16"/>
          <w:szCs w:val="16"/>
        </w:rPr>
      </w:pPr>
      <w:r w:rsidRPr="00405303">
        <w:rPr>
          <w:color w:val="002060"/>
          <w:sz w:val="16"/>
          <w:szCs w:val="16"/>
        </w:rPr>
        <w:t>Начальники отделов: административного (1925 г.)- Китц; эксплуатационного (04.1938 г.)- Потемкин, (-09- 12.1938 г.-)- Еременко. Заведующий секретным делопроизводством (06.1927 г.)- Шперлин г.</w:t>
      </w:r>
    </w:p>
    <w:p w14:paraId="5E2EDC03" w14:textId="77777777" w:rsidR="004458AB" w:rsidRPr="00405303" w:rsidRDefault="004458AB" w:rsidP="00C15251">
      <w:pPr>
        <w:jc w:val="both"/>
        <w:rPr>
          <w:color w:val="002060"/>
          <w:sz w:val="16"/>
          <w:szCs w:val="16"/>
        </w:rPr>
      </w:pPr>
      <w:r w:rsidRPr="00405303">
        <w:rPr>
          <w:color w:val="002060"/>
          <w:sz w:val="16"/>
          <w:szCs w:val="16"/>
        </w:rPr>
        <w:t>Начальники лабораторий: П.С. Верхолезов.</w:t>
      </w:r>
    </w:p>
    <w:p w14:paraId="46BB3C27" w14:textId="77777777" w:rsidR="004458AB" w:rsidRPr="00405303" w:rsidRDefault="004458AB" w:rsidP="00C15251">
      <w:pPr>
        <w:jc w:val="both"/>
        <w:rPr>
          <w:color w:val="002060"/>
          <w:sz w:val="16"/>
          <w:szCs w:val="16"/>
        </w:rPr>
      </w:pPr>
      <w:r w:rsidRPr="00405303">
        <w:rPr>
          <w:color w:val="002060"/>
          <w:sz w:val="16"/>
          <w:szCs w:val="16"/>
        </w:rPr>
        <w:t>Заведующий чертежным бюро (бюро приспособлений и инструмента) (06.1927 г.)- В.А. Пивовар. Статистик (01.1928 г.)- Богданов.</w:t>
      </w:r>
    </w:p>
    <w:p w14:paraId="17FF6E93" w14:textId="77777777" w:rsidR="004458AB" w:rsidRPr="00405303" w:rsidRDefault="004458AB" w:rsidP="00C15251">
      <w:pPr>
        <w:jc w:val="both"/>
        <w:rPr>
          <w:color w:val="002060"/>
          <w:sz w:val="16"/>
          <w:szCs w:val="16"/>
        </w:rPr>
      </w:pPr>
      <w:r w:rsidRPr="00405303">
        <w:rPr>
          <w:color w:val="002060"/>
          <w:sz w:val="16"/>
          <w:szCs w:val="16"/>
        </w:rPr>
        <w:t>Производство: авиационные двигатели: поршневые: «Дека» М-100 (1916-), М-6 (1923-31), М-11 (1927-41-), М-22 (1930-35)- более 8000, М-85 (1934-41-), М-86 (1937-), М-87 (1937-), М-88 (1940-42-), М-88Б (1942-)- 10.512, М-90 (1940); М-82, АШ-82ФН (1942-45)- всего 17.526; АШ-82Т, АШ-82В, АШ-21; ГТД: ГТД-ЗФ (1966-86)- 1000, ГТД-ЗМ, ГТД-ЗТЛ, ГТД-5М, ТВД-20 (-2002-04), АЛ-21Ф-ЗА (1970-2002-), РД-33 (1980-е-2002-), ВСУ-10 (1990-е- 2002-), ТВ7-117 (2002); ЖРД для РН: РД-119, РД-216 (1960-е); радиаторы для танка Т-26 (1932); коробки передач и дифференциалы для автомобилей ИЖ-2126, ИЖ-2717 (-2006); насосное оборудование, мотокультиваторы, снегоуборочное оборудование (11982).</w:t>
      </w:r>
    </w:p>
    <w:p w14:paraId="3D41BF0A" w14:textId="77777777" w:rsidR="004458AB" w:rsidRPr="00405303" w:rsidRDefault="004458AB" w:rsidP="00C15251">
      <w:pPr>
        <w:jc w:val="both"/>
        <w:rPr>
          <w:color w:val="002060"/>
          <w:sz w:val="16"/>
          <w:szCs w:val="16"/>
        </w:rPr>
      </w:pPr>
    </w:p>
    <w:p w14:paraId="4988B758" w14:textId="77777777" w:rsidR="004458AB" w:rsidRPr="00405303" w:rsidRDefault="004458AB" w:rsidP="00C15251">
      <w:pPr>
        <w:jc w:val="both"/>
        <w:rPr>
          <w:color w:val="002060"/>
          <w:sz w:val="16"/>
          <w:szCs w:val="16"/>
        </w:rPr>
      </w:pPr>
      <w:r w:rsidRPr="00405303">
        <w:rPr>
          <w:color w:val="002060"/>
          <w:sz w:val="16"/>
          <w:szCs w:val="16"/>
        </w:rPr>
        <w:t>Очень простой по конструкции синхронизатор Лаврова показал при наземных испытаниях достаточную работоспособность и был доставлен вдекабре 1915 г. на Авиа-Балт, Он предназначался для установки на переделываемый для морского ведомства С-16 (о нем см, далее) . ГВУ, ознакомившись с синхронизатором, тотчас заключило с АО РБВЗ контракт на оснащение строящихся С-16 синхронизаторами Лаврова. Синхронизаторы для С-16сер. были изготовлены только к 21 марта 1916 г., что также задержало поставку самолетов в войска. Начальник ЭВК генерал-майор М. В. Шидловский, остро нуждавшийся в истребителях и потому раздраженный задержкой их, приказал в середине января 1916 г. срочно направить в боевые отряды построенные в декабре С-16сер. (Nо. 207,208 и 209</w:t>
      </w:r>
      <w:proofErr w:type="gramStart"/>
      <w:r w:rsidRPr="00405303">
        <w:rPr>
          <w:color w:val="002060"/>
          <w:sz w:val="16"/>
          <w:szCs w:val="16"/>
        </w:rPr>
        <w:t>) ,</w:t>
      </w:r>
      <w:proofErr w:type="gramEnd"/>
      <w:r w:rsidRPr="00405303">
        <w:rPr>
          <w:color w:val="002060"/>
          <w:sz w:val="16"/>
          <w:szCs w:val="16"/>
        </w:rPr>
        <w:t xml:space="preserve"> не дожидаясь их официальной приемки. Первые два самолета попали в Первый боевой отряд в Зегевольде (Сигулде) , а Nо. 209 - в Южный боевой отряд ЭВК, базировавшийся в селении Борка-Вельская под Тернополем. Их вооружили уже в боевых отрядах. Дежурный генерал при Ставке Верховного Главнокомандующего отправил 21 января 1916 г. в ГВУ телеграмму следующего содержания: “Необходимо принятие срочных мер к снабжению Эскадры воздушных кораблей малыми аппаратами С-16. Медленность привела к необходимости взять в Эскадру шесть (Nо. 154,155,156,207,208 и 209) таких еще не странных аппаратов, причем два из них работают на базе Зегевольд и в районе Тернополя и рва состоят в школе Эскадры для обучения, один (Nо. 154. -- авт.) уже вышел из строя, разбитый бурей, Если не может быть организована сдача на заводе, то предоставьте приезду начальнику Эскадры... “Генеральское “неудовольствие” из Ставукодского) оказало влияние на ускорение военной приемки. В течение февраля-марта 1916 г. все оставшиеся С-16сер, были приняты в Петрограде, но на аппаратах Nо, 210,212 и 213 обнаружились поломки в двигателях, что затянуло отправку затянуло отправку на фронт этих аппаратов, а также ремонтируемого после аварии Авиа-Балтом Nо. 206. Истребители Nо, 214 и 215 были отправлены, в Первый боевой отряд ЭВK в Загевольд 29 марта, Nо. 206 и 212 - в школу ЭВК в Псков 7 апреля, и Nо. 213 -- по тому же адресу 29 апреля. Самолет Nо. 210 еще долго оставался на Авиа-Балте и был переделан в модификацию С-16а (о нем см. далее) (11188).</w:t>
      </w:r>
    </w:p>
    <w:p w14:paraId="1CEE8243" w14:textId="77777777" w:rsidR="004458AB" w:rsidRPr="00405303" w:rsidRDefault="004458AB" w:rsidP="00C15251">
      <w:pPr>
        <w:jc w:val="both"/>
        <w:rPr>
          <w:color w:val="002060"/>
          <w:sz w:val="16"/>
          <w:szCs w:val="16"/>
        </w:rPr>
      </w:pPr>
    </w:p>
    <w:p w14:paraId="05080F46" w14:textId="77777777" w:rsidR="004458AB" w:rsidRPr="00405303" w:rsidRDefault="004458AB" w:rsidP="00C15251">
      <w:pPr>
        <w:jc w:val="both"/>
        <w:rPr>
          <w:color w:val="002060"/>
          <w:sz w:val="16"/>
          <w:szCs w:val="16"/>
        </w:rPr>
      </w:pPr>
      <w:r w:rsidRPr="00405303">
        <w:rPr>
          <w:color w:val="002060"/>
          <w:sz w:val="16"/>
          <w:szCs w:val="16"/>
        </w:rPr>
        <w:t>В декабре 1915 г. РБВЗ запатентовал конструкцию синхронизатора для стрельбы из пулемета Виккерс Mk.I, разработанного летчиком Лавроввм, и ГВТУ «с подачи» Шидловского потребовало ставить синхронизаторы на строящиеся С-16.</w:t>
      </w:r>
    </w:p>
    <w:p w14:paraId="213E961F" w14:textId="77777777" w:rsidR="004458AB" w:rsidRPr="00405303" w:rsidRDefault="004458AB" w:rsidP="00C15251">
      <w:pPr>
        <w:jc w:val="both"/>
        <w:rPr>
          <w:color w:val="002060"/>
          <w:sz w:val="16"/>
          <w:szCs w:val="16"/>
        </w:rPr>
      </w:pPr>
      <w:r w:rsidRPr="00405303">
        <w:rPr>
          <w:color w:val="002060"/>
          <w:sz w:val="16"/>
          <w:szCs w:val="16"/>
        </w:rPr>
        <w:t>Позднее выяснилось, что синхронизатором Лаврова стал ломаться. Да и дороговат он был — 1 000 рублей за штуку, потому что содержал такие сложные узлы, как кардан, и червячную пару (они, кстати, обычно и подводили). Пришлось его менять на С-16 надкрыльевой установкой «Льюиса», но пошли перебои с поставками пулеметов и «Виккерс», и «Льюис», а данный армейскими интендантами на замену американский Кольт М1895 имел неудобное питание. Пришлось вновь сажать второго летчика, которого вооружали чем попало — предлагавшимся к самолету «Маузером», русским или трофейным карабином, кое у кого был даже американский охотничий «Винчестер». Но стрельба с рук из них, из автомата Федорова или из Кольта М1895 по маневрировавшим со скоростями 150–180 км/ч целям была совершенно бесполезна (22826).</w:t>
      </w:r>
    </w:p>
    <w:p w14:paraId="7911E4BF" w14:textId="77777777" w:rsidR="004458AB" w:rsidRPr="00405303" w:rsidRDefault="004458AB" w:rsidP="00C15251">
      <w:pPr>
        <w:jc w:val="both"/>
        <w:rPr>
          <w:color w:val="002060"/>
          <w:sz w:val="16"/>
          <w:szCs w:val="16"/>
        </w:rPr>
      </w:pPr>
    </w:p>
    <w:p w14:paraId="1E62CA77" w14:textId="77777777" w:rsidR="004B4E35" w:rsidRPr="00405303" w:rsidRDefault="009E6F82" w:rsidP="00C15251">
      <w:pPr>
        <w:tabs>
          <w:tab w:val="left" w:pos="11199"/>
        </w:tabs>
        <w:jc w:val="both"/>
        <w:rPr>
          <w:bCs/>
          <w:color w:val="002060"/>
          <w:sz w:val="16"/>
          <w:szCs w:val="16"/>
        </w:rPr>
      </w:pPr>
      <w:r w:rsidRPr="00405303">
        <w:rPr>
          <w:bCs/>
          <w:color w:val="002060"/>
          <w:sz w:val="16"/>
          <w:szCs w:val="16"/>
        </w:rPr>
        <w:t>В декабре 1915 ГВТУ провел полигонные испытания шрапнельных авиабомб “прыгающего” типа Е.Крыльцова в присутствии изобретателя (7453, 72).</w:t>
      </w:r>
    </w:p>
    <w:p w14:paraId="4EFDF652" w14:textId="77777777" w:rsidR="004B4E35" w:rsidRPr="00405303" w:rsidRDefault="004B4E35" w:rsidP="00C15251">
      <w:pPr>
        <w:tabs>
          <w:tab w:val="left" w:pos="11199"/>
        </w:tabs>
        <w:jc w:val="both"/>
        <w:rPr>
          <w:bCs/>
          <w:color w:val="002060"/>
          <w:sz w:val="16"/>
          <w:szCs w:val="16"/>
        </w:rPr>
      </w:pPr>
    </w:p>
    <w:p w14:paraId="7FDF7F60" w14:textId="77777777" w:rsidR="004B4E35" w:rsidRPr="00405303" w:rsidRDefault="009E6F82" w:rsidP="00C15251">
      <w:pPr>
        <w:jc w:val="both"/>
        <w:rPr>
          <w:bCs/>
          <w:color w:val="002060"/>
          <w:sz w:val="16"/>
          <w:szCs w:val="16"/>
        </w:rPr>
      </w:pPr>
      <w:r w:rsidRPr="00405303">
        <w:rPr>
          <w:bCs/>
          <w:color w:val="002060"/>
          <w:sz w:val="16"/>
          <w:szCs w:val="16"/>
        </w:rPr>
        <w:t>В декабре 1915 г. верховным главнокомандующим было созвано совещание по вопросам авиационного снабжения; в протоколе записано: «Фотографические аппараты желательно системы Потте, и, кроме того, заготовить 100 американских фотографических аппаратов нового типа» (9799).</w:t>
      </w:r>
    </w:p>
    <w:p w14:paraId="3C26930A" w14:textId="77777777" w:rsidR="004B4E35" w:rsidRPr="00405303" w:rsidRDefault="004B4E35" w:rsidP="00C15251">
      <w:pPr>
        <w:jc w:val="both"/>
        <w:rPr>
          <w:bCs/>
          <w:color w:val="002060"/>
          <w:sz w:val="16"/>
          <w:szCs w:val="16"/>
        </w:rPr>
      </w:pPr>
    </w:p>
    <w:p w14:paraId="288ECC00" w14:textId="77777777" w:rsidR="00FA068E" w:rsidRPr="00405303" w:rsidRDefault="00FA068E" w:rsidP="00C15251">
      <w:pPr>
        <w:jc w:val="both"/>
        <w:rPr>
          <w:bCs/>
          <w:color w:val="002060"/>
          <w:sz w:val="16"/>
          <w:szCs w:val="16"/>
        </w:rPr>
      </w:pPr>
      <w:r w:rsidRPr="00405303">
        <w:rPr>
          <w:bCs/>
          <w:color w:val="002060"/>
          <w:sz w:val="16"/>
          <w:szCs w:val="16"/>
        </w:rPr>
        <w:t xml:space="preserve">В декабре 1915 года Акционерным обществом «ДЕКА» приобрело завода братьев Мознаим в Александровске. Объединенный завод получил профиль авиационного предприятия и на него пришли работать десятки новых рабочих и служащих со всей округи, многие из них уже имели большой практический опыт, что позволило быстро завершить переоборудование и приступить к выполнению контрактов. К началу 1916 года завод имел площадь с аэродромом 18260 квадратных сажень. Из них на 1855 кв. саж. размещались семь капитальных каменных зданий, 245 </w:t>
      </w:r>
      <w:proofErr w:type="gramStart"/>
      <w:r w:rsidRPr="00405303">
        <w:rPr>
          <w:bCs/>
          <w:color w:val="002060"/>
          <w:sz w:val="16"/>
          <w:szCs w:val="16"/>
        </w:rPr>
        <w:t>кв.саж</w:t>
      </w:r>
      <w:proofErr w:type="gramEnd"/>
      <w:r w:rsidRPr="00405303">
        <w:rPr>
          <w:bCs/>
          <w:color w:val="002060"/>
          <w:sz w:val="16"/>
          <w:szCs w:val="16"/>
        </w:rPr>
        <w:t>. составляли деревянные здания. Паровая машина приводила в действие через стационарную систему механических передач 36 токарных станков. Кузнечное отделение имело 22 единиц оборудования, литейное — 16, на предприятии трудилось 150 человек. Государственный заказ предусматривал производство аэропланов разных типов, по чертежам, полученным с других предприятий. Главной продукцией завода должны были стать авиамоторы. Россия к началу I мировой войны располагала Воздушным Флотом, который по численности был вторым после французского, но оснащен он был в основном иностранной техникой. Когда снабжение из-за границы стало затруднено, наибольшие трудности возникли именно с комплектацией авиаотрядов моторами. Заводу ДЕКА» в Александровске было поручено в 1916 году изготовить 100 авиамоторов «Бенц» мощностью 150 л.с. и 120 комплектов запчастей к ним, 20 моторов «Мерседес» в 100-105 л.с., а также 130 авиамоторов «Мерседес» в 129 л.с. и 155 комплектов запчастей на весьма приличную сумму в 2.394.800 рублей (22898).</w:t>
      </w:r>
    </w:p>
    <w:p w14:paraId="0934F70B" w14:textId="77777777" w:rsidR="00FA068E" w:rsidRPr="00405303" w:rsidRDefault="00FA068E" w:rsidP="00C15251">
      <w:pPr>
        <w:jc w:val="both"/>
        <w:rPr>
          <w:bCs/>
          <w:color w:val="002060"/>
          <w:sz w:val="16"/>
          <w:szCs w:val="16"/>
        </w:rPr>
      </w:pPr>
    </w:p>
    <w:p w14:paraId="1DC3CAD4" w14:textId="77777777" w:rsidR="00F41BB6" w:rsidRPr="00405303" w:rsidRDefault="00F41BB6" w:rsidP="00C15251">
      <w:pPr>
        <w:pStyle w:val="16"/>
        <w:spacing w:before="0" w:line="240" w:lineRule="auto"/>
        <w:ind w:firstLine="0"/>
        <w:jc w:val="both"/>
        <w:rPr>
          <w:bCs/>
          <w:color w:val="002060"/>
          <w:sz w:val="16"/>
          <w:szCs w:val="16"/>
        </w:rPr>
      </w:pPr>
      <w:r w:rsidRPr="00405303">
        <w:rPr>
          <w:bCs/>
          <w:color w:val="002060"/>
          <w:sz w:val="16"/>
          <w:szCs w:val="16"/>
          <w:lang w:bidi="ru-RU"/>
        </w:rPr>
        <w:t>В декабре 1915 г. Управление Военно-воздушного флота (УВВФ) потре</w:t>
      </w:r>
      <w:r w:rsidRPr="00405303">
        <w:rPr>
          <w:bCs/>
          <w:color w:val="002060"/>
          <w:sz w:val="16"/>
          <w:szCs w:val="16"/>
          <w:lang w:bidi="ru-RU"/>
        </w:rPr>
        <w:softHyphen/>
        <w:t>бовало вернуть с фронта инженеров и квалифициро</w:t>
      </w:r>
      <w:r w:rsidRPr="00405303">
        <w:rPr>
          <w:bCs/>
          <w:color w:val="002060"/>
          <w:sz w:val="16"/>
          <w:szCs w:val="16"/>
          <w:lang w:bidi="ru-RU"/>
        </w:rPr>
        <w:softHyphen/>
        <w:t>ванных рабочих в промышленность, была объявлена трудовая мобилизация выпускников высших учебных заведений.</w:t>
      </w:r>
    </w:p>
    <w:p w14:paraId="7B48DCF6" w14:textId="77777777" w:rsidR="00F41BB6" w:rsidRPr="00405303" w:rsidRDefault="00F41BB6" w:rsidP="00C15251">
      <w:pPr>
        <w:pStyle w:val="16"/>
        <w:spacing w:before="0" w:line="240" w:lineRule="auto"/>
        <w:ind w:firstLine="0"/>
        <w:jc w:val="both"/>
        <w:rPr>
          <w:bCs/>
          <w:color w:val="002060"/>
          <w:sz w:val="16"/>
          <w:szCs w:val="16"/>
        </w:rPr>
      </w:pPr>
      <w:r w:rsidRPr="00405303">
        <w:rPr>
          <w:bCs/>
          <w:color w:val="002060"/>
          <w:sz w:val="16"/>
          <w:szCs w:val="16"/>
          <w:lang w:bidi="ru-RU"/>
        </w:rPr>
        <w:t>Заинтересованные в специалистах предприятия долж</w:t>
      </w:r>
      <w:r w:rsidRPr="00405303">
        <w:rPr>
          <w:bCs/>
          <w:color w:val="002060"/>
          <w:sz w:val="16"/>
          <w:szCs w:val="16"/>
          <w:lang w:bidi="ru-RU"/>
        </w:rPr>
        <w:softHyphen/>
        <w:t>ны были направить заявку на каждого в соответствующее Управление Российской армии и флота, в которой указы</w:t>
      </w:r>
      <w:r w:rsidRPr="00405303">
        <w:rPr>
          <w:bCs/>
          <w:color w:val="002060"/>
          <w:sz w:val="16"/>
          <w:szCs w:val="16"/>
          <w:lang w:bidi="ru-RU"/>
        </w:rPr>
        <w:softHyphen/>
        <w:t>валось, для выполнения каких задач необходим специа</w:t>
      </w:r>
      <w:r w:rsidRPr="00405303">
        <w:rPr>
          <w:bCs/>
          <w:color w:val="002060"/>
          <w:sz w:val="16"/>
          <w:szCs w:val="16"/>
          <w:lang w:bidi="ru-RU"/>
        </w:rPr>
        <w:softHyphen/>
        <w:t>лист. Обычно заявки составлялись на лиц, уже какое-то время работавших на данном предприятии и участвую</w:t>
      </w:r>
      <w:r w:rsidRPr="00405303">
        <w:rPr>
          <w:bCs/>
          <w:color w:val="002060"/>
          <w:sz w:val="16"/>
          <w:szCs w:val="16"/>
          <w:lang w:bidi="ru-RU"/>
        </w:rPr>
        <w:softHyphen/>
        <w:t>щих в выполнении военных заказов. И.И.Сикорский, вы</w:t>
      </w:r>
      <w:r w:rsidRPr="00405303">
        <w:rPr>
          <w:bCs/>
          <w:color w:val="002060"/>
          <w:sz w:val="16"/>
          <w:szCs w:val="16"/>
          <w:lang w:bidi="ru-RU"/>
        </w:rPr>
        <w:softHyphen/>
        <w:t>соко оценив знания Поликарпова при выполнении им курсовой работы по проекту аэроплана типа «Депердюс- сен» и услышав о его работе на Петроградском отделении завода «Дуке», сделал такой запрос в УВВФ. При этом не исключено, что Николай Николаевич в конце 1915 г. под</w:t>
      </w:r>
      <w:r w:rsidRPr="00405303">
        <w:rPr>
          <w:bCs/>
          <w:color w:val="002060"/>
          <w:sz w:val="16"/>
          <w:szCs w:val="16"/>
          <w:lang w:bidi="ru-RU"/>
        </w:rPr>
        <w:softHyphen/>
        <w:t>рабатывал у Сикорского.</w:t>
      </w:r>
    </w:p>
    <w:p w14:paraId="378A6A1A" w14:textId="2E640A09" w:rsidR="00F41BB6" w:rsidRPr="00405303" w:rsidRDefault="00F41BB6" w:rsidP="00C15251">
      <w:pPr>
        <w:jc w:val="both"/>
        <w:rPr>
          <w:bCs/>
          <w:color w:val="002060"/>
          <w:sz w:val="16"/>
          <w:szCs w:val="16"/>
          <w:lang w:bidi="ru-RU"/>
        </w:rPr>
      </w:pPr>
      <w:r w:rsidRPr="00405303">
        <w:rPr>
          <w:bCs/>
          <w:color w:val="002060"/>
          <w:sz w:val="16"/>
          <w:szCs w:val="16"/>
          <w:lang w:bidi="ru-RU"/>
        </w:rPr>
        <w:lastRenderedPageBreak/>
        <w:t>По этой причине сразу после окончания института Н.Н.Поликарпов, несмотря на просьбу зачислить его на Курсы гидроавиации, получил мобилизационное на</w:t>
      </w:r>
      <w:r w:rsidRPr="00405303">
        <w:rPr>
          <w:bCs/>
          <w:color w:val="002060"/>
          <w:sz w:val="16"/>
          <w:szCs w:val="16"/>
          <w:lang w:bidi="ru-RU"/>
        </w:rPr>
        <w:softHyphen/>
        <w:t>правление на авиационное отделение Русско-Балтийско</w:t>
      </w:r>
      <w:r w:rsidRPr="00405303">
        <w:rPr>
          <w:bCs/>
          <w:color w:val="002060"/>
          <w:sz w:val="16"/>
          <w:szCs w:val="16"/>
          <w:lang w:bidi="ru-RU"/>
        </w:rPr>
        <w:softHyphen/>
        <w:t>го вагонного завода, располагавшееся на Строгановской набережной. Годы учения закончились. Началась трудо</w:t>
      </w:r>
      <w:r w:rsidRPr="00405303">
        <w:rPr>
          <w:bCs/>
          <w:color w:val="002060"/>
          <w:sz w:val="16"/>
          <w:szCs w:val="16"/>
          <w:lang w:bidi="ru-RU"/>
        </w:rPr>
        <w:softHyphen/>
        <w:t>вая жизнь (23193).</w:t>
      </w:r>
    </w:p>
    <w:p w14:paraId="4D9BE905" w14:textId="77777777" w:rsidR="00F41BB6" w:rsidRPr="00405303" w:rsidRDefault="00F41BB6" w:rsidP="00C15251">
      <w:pPr>
        <w:jc w:val="both"/>
        <w:rPr>
          <w:bCs/>
          <w:color w:val="002060"/>
          <w:sz w:val="16"/>
          <w:szCs w:val="16"/>
          <w:lang w:bidi="ru-RU"/>
        </w:rPr>
      </w:pPr>
    </w:p>
    <w:p w14:paraId="3F2CFB1F" w14:textId="77777777" w:rsidR="006E36DA" w:rsidRPr="00405303" w:rsidRDefault="006E36DA" w:rsidP="00C15251">
      <w:pPr>
        <w:jc w:val="both"/>
        <w:rPr>
          <w:bCs/>
          <w:color w:val="002060"/>
          <w:sz w:val="16"/>
          <w:szCs w:val="16"/>
        </w:rPr>
      </w:pPr>
      <w:r w:rsidRPr="00405303">
        <w:rPr>
          <w:bCs/>
          <w:color w:val="002060"/>
          <w:sz w:val="16"/>
          <w:szCs w:val="16"/>
          <w:lang w:bidi="ru-RU"/>
        </w:rPr>
        <w:t>В декабре 1915 г. началась постройка «ИМ» серии Г, которые явились наиболее мно</w:t>
      </w:r>
      <w:r w:rsidRPr="00405303">
        <w:rPr>
          <w:bCs/>
          <w:color w:val="002060"/>
          <w:sz w:val="16"/>
          <w:szCs w:val="16"/>
          <w:lang w:bidi="ru-RU"/>
        </w:rPr>
        <w:softHyphen/>
        <w:t>гочисленными кораблями — их общее ко</w:t>
      </w:r>
      <w:r w:rsidRPr="00405303">
        <w:rPr>
          <w:bCs/>
          <w:color w:val="002060"/>
          <w:sz w:val="16"/>
          <w:szCs w:val="16"/>
          <w:lang w:bidi="ru-RU"/>
        </w:rPr>
        <w:softHyphen/>
        <w:t>личество составило до полусотни экземп</w:t>
      </w:r>
      <w:r w:rsidRPr="00405303">
        <w:rPr>
          <w:bCs/>
          <w:color w:val="002060"/>
          <w:sz w:val="16"/>
          <w:szCs w:val="16"/>
          <w:lang w:bidi="ru-RU"/>
        </w:rPr>
        <w:softHyphen/>
        <w:t>ляров. Одновременно, не все указанные аппараты можно безоговорочно отнести к данной серии, известно, что часть «ИМ» тип В переделывалась в тип Г и с некото</w:t>
      </w:r>
      <w:r w:rsidRPr="00405303">
        <w:rPr>
          <w:bCs/>
          <w:color w:val="002060"/>
          <w:sz w:val="16"/>
          <w:szCs w:val="16"/>
          <w:lang w:bidi="ru-RU"/>
        </w:rPr>
        <w:softHyphen/>
        <w:t>рыми допущениями может быть названа промежуточным типом.</w:t>
      </w:r>
    </w:p>
    <w:p w14:paraId="3BAAB97E" w14:textId="77777777" w:rsidR="006E36DA" w:rsidRPr="00405303" w:rsidRDefault="006E36DA" w:rsidP="00C15251">
      <w:pPr>
        <w:jc w:val="both"/>
        <w:rPr>
          <w:bCs/>
          <w:color w:val="002060"/>
          <w:sz w:val="16"/>
          <w:szCs w:val="16"/>
        </w:rPr>
      </w:pPr>
      <w:r w:rsidRPr="00405303">
        <w:rPr>
          <w:bCs/>
          <w:color w:val="002060"/>
          <w:sz w:val="16"/>
          <w:szCs w:val="16"/>
          <w:lang w:bidi="ru-RU"/>
        </w:rPr>
        <w:t>Основной причиной появления новой мо</w:t>
      </w:r>
      <w:r w:rsidRPr="00405303">
        <w:rPr>
          <w:bCs/>
          <w:color w:val="002060"/>
          <w:sz w:val="16"/>
          <w:szCs w:val="16"/>
          <w:lang w:bidi="ru-RU"/>
        </w:rPr>
        <w:softHyphen/>
        <w:t>дификации явилась недостаточная несу</w:t>
      </w:r>
      <w:r w:rsidRPr="00405303">
        <w:rPr>
          <w:bCs/>
          <w:color w:val="002060"/>
          <w:sz w:val="16"/>
          <w:szCs w:val="16"/>
          <w:lang w:bidi="ru-RU"/>
        </w:rPr>
        <w:softHyphen/>
        <w:t>щая поверхность крыльев: экипажи докла</w:t>
      </w:r>
      <w:r w:rsidRPr="00405303">
        <w:rPr>
          <w:bCs/>
          <w:color w:val="002060"/>
          <w:sz w:val="16"/>
          <w:szCs w:val="16"/>
          <w:lang w:bidi="ru-RU"/>
        </w:rPr>
        <w:softHyphen/>
        <w:t>дывали, что в кампании 1915 г. воздушные корабли «ИМ» с полной боевой нагрузкой не достигают высоты полета 2500—3000 метров. Поэтому в машинах серии Г-1 пло</w:t>
      </w:r>
      <w:r w:rsidRPr="00405303">
        <w:rPr>
          <w:bCs/>
          <w:color w:val="002060"/>
          <w:sz w:val="16"/>
          <w:szCs w:val="16"/>
          <w:lang w:bidi="ru-RU"/>
        </w:rPr>
        <w:softHyphen/>
        <w:t>щадь крыльев увеличилась со 120—125 м</w:t>
      </w:r>
      <w:r w:rsidRPr="00405303">
        <w:rPr>
          <w:bCs/>
          <w:color w:val="002060"/>
          <w:sz w:val="16"/>
          <w:szCs w:val="16"/>
          <w:vertAlign w:val="superscript"/>
          <w:lang w:bidi="ru-RU"/>
        </w:rPr>
        <w:t xml:space="preserve">2 </w:t>
      </w:r>
      <w:r w:rsidRPr="00405303">
        <w:rPr>
          <w:bCs/>
          <w:color w:val="002060"/>
          <w:sz w:val="16"/>
          <w:szCs w:val="16"/>
          <w:lang w:bidi="ru-RU"/>
        </w:rPr>
        <w:t>до 148 м</w:t>
      </w:r>
      <w:r w:rsidRPr="00405303">
        <w:rPr>
          <w:bCs/>
          <w:color w:val="002060"/>
          <w:sz w:val="16"/>
          <w:szCs w:val="16"/>
          <w:vertAlign w:val="superscript"/>
          <w:lang w:bidi="ru-RU"/>
        </w:rPr>
        <w:t>2</w:t>
      </w:r>
      <w:r w:rsidRPr="00405303">
        <w:rPr>
          <w:bCs/>
          <w:color w:val="002060"/>
          <w:sz w:val="16"/>
          <w:szCs w:val="16"/>
          <w:lang w:bidi="ru-RU"/>
        </w:rPr>
        <w:t>. Характерным отличием отдель</w:t>
      </w:r>
      <w:r w:rsidRPr="00405303">
        <w:rPr>
          <w:bCs/>
          <w:color w:val="002060"/>
          <w:sz w:val="16"/>
          <w:szCs w:val="16"/>
          <w:lang w:bidi="ru-RU"/>
        </w:rPr>
        <w:softHyphen/>
        <w:t>ных «ИМ» Г-1, при увеличении хорды верх</w:t>
      </w:r>
      <w:r w:rsidRPr="00405303">
        <w:rPr>
          <w:bCs/>
          <w:color w:val="002060"/>
          <w:sz w:val="16"/>
          <w:szCs w:val="16"/>
          <w:lang w:bidi="ru-RU"/>
        </w:rPr>
        <w:softHyphen/>
        <w:t>него крыла, стали элероны меньшей пло</w:t>
      </w:r>
      <w:r w:rsidRPr="00405303">
        <w:rPr>
          <w:bCs/>
          <w:color w:val="002060"/>
          <w:sz w:val="16"/>
          <w:szCs w:val="16"/>
          <w:lang w:bidi="ru-RU"/>
        </w:rPr>
        <w:softHyphen/>
        <w:t>щади. Силовая установка включала двига</w:t>
      </w:r>
      <w:r w:rsidRPr="00405303">
        <w:rPr>
          <w:bCs/>
          <w:color w:val="002060"/>
          <w:sz w:val="16"/>
          <w:szCs w:val="16"/>
          <w:lang w:bidi="ru-RU"/>
        </w:rPr>
        <w:softHyphen/>
        <w:t>тели «Санбим» 150 и 160 л.с., «Аргус» 125 и 140л.с., «Бердмор» 160л.с., РБВЗ-6 150 л.с. и «Рено» 220 л.с. в разных комбинациях.</w:t>
      </w:r>
    </w:p>
    <w:p w14:paraId="1F9AD976" w14:textId="77777777" w:rsidR="006E36DA" w:rsidRPr="00405303" w:rsidRDefault="006E36DA" w:rsidP="00C15251">
      <w:pPr>
        <w:jc w:val="both"/>
        <w:rPr>
          <w:bCs/>
          <w:color w:val="002060"/>
          <w:sz w:val="16"/>
          <w:szCs w:val="16"/>
        </w:rPr>
      </w:pPr>
      <w:r w:rsidRPr="00405303">
        <w:rPr>
          <w:bCs/>
          <w:color w:val="002060"/>
          <w:sz w:val="16"/>
          <w:szCs w:val="16"/>
          <w:lang w:bidi="ru-RU"/>
        </w:rPr>
        <w:t>В ходе развития производства серии Г несущая поверхность крыльев еще более увеличилась и достигла 160 м</w:t>
      </w:r>
      <w:r w:rsidRPr="00405303">
        <w:rPr>
          <w:bCs/>
          <w:color w:val="002060"/>
          <w:sz w:val="16"/>
          <w:szCs w:val="16"/>
          <w:vertAlign w:val="superscript"/>
          <w:lang w:bidi="ru-RU"/>
        </w:rPr>
        <w:t>2</w:t>
      </w:r>
      <w:r w:rsidRPr="00405303">
        <w:rPr>
          <w:bCs/>
          <w:color w:val="002060"/>
          <w:sz w:val="16"/>
          <w:szCs w:val="16"/>
          <w:lang w:bidi="ru-RU"/>
        </w:rPr>
        <w:t>. Зачастую эти аппараты определяются как Г-2. Одна</w:t>
      </w:r>
      <w:r w:rsidRPr="00405303">
        <w:rPr>
          <w:bCs/>
          <w:color w:val="002060"/>
          <w:sz w:val="16"/>
          <w:szCs w:val="16"/>
          <w:lang w:bidi="ru-RU"/>
        </w:rPr>
        <w:softHyphen/>
        <w:t>ко наиболее вероятно, что данное обозна</w:t>
      </w:r>
      <w:r w:rsidRPr="00405303">
        <w:rPr>
          <w:bCs/>
          <w:color w:val="002060"/>
          <w:sz w:val="16"/>
          <w:szCs w:val="16"/>
          <w:lang w:bidi="ru-RU"/>
        </w:rPr>
        <w:softHyphen/>
        <w:t>чение не получило распространения и ос</w:t>
      </w:r>
      <w:r w:rsidRPr="00405303">
        <w:rPr>
          <w:bCs/>
          <w:color w:val="002060"/>
          <w:sz w:val="16"/>
          <w:szCs w:val="16"/>
          <w:lang w:bidi="ru-RU"/>
        </w:rPr>
        <w:softHyphen/>
        <w:t>новная масса «ИМ» образца 1916 г. шла как обобщенный тип Г. Одновременно ис</w:t>
      </w:r>
      <w:r w:rsidRPr="00405303">
        <w:rPr>
          <w:bCs/>
          <w:color w:val="002060"/>
          <w:sz w:val="16"/>
          <w:szCs w:val="16"/>
          <w:lang w:bidi="ru-RU"/>
        </w:rPr>
        <w:softHyphen/>
        <w:t>пользовались названия по типу установ</w:t>
      </w:r>
      <w:r w:rsidRPr="00405303">
        <w:rPr>
          <w:bCs/>
          <w:color w:val="002060"/>
          <w:sz w:val="16"/>
          <w:szCs w:val="16"/>
          <w:lang w:bidi="ru-RU"/>
        </w:rPr>
        <w:softHyphen/>
        <w:t>ленных двигателей. Так, самолеты, осна</w:t>
      </w:r>
      <w:r w:rsidRPr="00405303">
        <w:rPr>
          <w:bCs/>
          <w:color w:val="002060"/>
          <w:sz w:val="16"/>
          <w:szCs w:val="16"/>
          <w:lang w:bidi="ru-RU"/>
        </w:rPr>
        <w:softHyphen/>
        <w:t>щенные двигателями 4 х РБВЗ-6 150 л.с. назывались «Руссобалт», со смешанной силовой установкой 2 х РБВЗ-6 + 2 х «Ре</w:t>
      </w:r>
      <w:r w:rsidRPr="00405303">
        <w:rPr>
          <w:bCs/>
          <w:color w:val="002060"/>
          <w:sz w:val="16"/>
          <w:szCs w:val="16"/>
          <w:lang w:bidi="ru-RU"/>
        </w:rPr>
        <w:softHyphen/>
        <w:t>но» — «Ренобалт».</w:t>
      </w:r>
    </w:p>
    <w:p w14:paraId="129550AC" w14:textId="77777777" w:rsidR="006E36DA" w:rsidRPr="00405303" w:rsidRDefault="006E36DA" w:rsidP="00C15251">
      <w:pPr>
        <w:jc w:val="both"/>
        <w:rPr>
          <w:bCs/>
          <w:color w:val="002060"/>
          <w:sz w:val="16"/>
          <w:szCs w:val="16"/>
        </w:rPr>
      </w:pPr>
      <w:r w:rsidRPr="00405303">
        <w:rPr>
          <w:bCs/>
          <w:color w:val="002060"/>
          <w:sz w:val="16"/>
          <w:szCs w:val="16"/>
          <w:lang w:bidi="ru-RU"/>
        </w:rPr>
        <w:t>Серия Г-3 отличалась усилением конст</w:t>
      </w:r>
      <w:r w:rsidRPr="00405303">
        <w:rPr>
          <w:bCs/>
          <w:color w:val="002060"/>
          <w:sz w:val="16"/>
          <w:szCs w:val="16"/>
          <w:lang w:bidi="ru-RU"/>
        </w:rPr>
        <w:softHyphen/>
        <w:t>рукции планера и увеличением количества оборонительных пулеметов до 6. Топлив</w:t>
      </w:r>
      <w:r w:rsidRPr="00405303">
        <w:rPr>
          <w:bCs/>
          <w:color w:val="002060"/>
          <w:sz w:val="16"/>
          <w:szCs w:val="16"/>
          <w:lang w:bidi="ru-RU"/>
        </w:rPr>
        <w:softHyphen/>
        <w:t>ные сигарообразные баки на части машин вынесены над верхним крылом. Все маши</w:t>
      </w:r>
      <w:r w:rsidRPr="00405303">
        <w:rPr>
          <w:bCs/>
          <w:color w:val="002060"/>
          <w:sz w:val="16"/>
          <w:szCs w:val="16"/>
          <w:lang w:bidi="ru-RU"/>
        </w:rPr>
        <w:softHyphen/>
        <w:t>ны серии Г отличались постоянным увели</w:t>
      </w:r>
      <w:r w:rsidRPr="00405303">
        <w:rPr>
          <w:bCs/>
          <w:color w:val="002060"/>
          <w:sz w:val="16"/>
          <w:szCs w:val="16"/>
          <w:lang w:bidi="ru-RU"/>
        </w:rPr>
        <w:softHyphen/>
        <w:t>чением площади остекления передней части фюзеляжа. В Г-3 кабина пилотов представляла полностью остекленный про</w:t>
      </w:r>
      <w:r w:rsidRPr="00405303">
        <w:rPr>
          <w:bCs/>
          <w:color w:val="002060"/>
          <w:sz w:val="16"/>
          <w:szCs w:val="16"/>
          <w:lang w:bidi="ru-RU"/>
        </w:rPr>
        <w:softHyphen/>
        <w:t>зрачный фонарь.</w:t>
      </w:r>
    </w:p>
    <w:p w14:paraId="054490EF" w14:textId="77777777" w:rsidR="006E36DA" w:rsidRPr="00405303" w:rsidRDefault="006E36DA" w:rsidP="00C15251">
      <w:pPr>
        <w:jc w:val="both"/>
        <w:rPr>
          <w:bCs/>
          <w:color w:val="002060"/>
          <w:sz w:val="16"/>
          <w:szCs w:val="16"/>
          <w:lang w:bidi="ru-RU"/>
        </w:rPr>
      </w:pPr>
      <w:r w:rsidRPr="00405303">
        <w:rPr>
          <w:bCs/>
          <w:color w:val="002060"/>
          <w:sz w:val="16"/>
          <w:szCs w:val="16"/>
          <w:lang w:bidi="ru-RU"/>
        </w:rPr>
        <w:t>На фронт первые 4 экземпляра Г-3 по</w:t>
      </w:r>
      <w:r w:rsidRPr="00405303">
        <w:rPr>
          <w:bCs/>
          <w:color w:val="002060"/>
          <w:sz w:val="16"/>
          <w:szCs w:val="16"/>
          <w:lang w:bidi="ru-RU"/>
        </w:rPr>
        <w:softHyphen/>
        <w:t>ступили уже в конце 1917 г., поэтому в бо</w:t>
      </w:r>
      <w:r w:rsidRPr="00405303">
        <w:rPr>
          <w:bCs/>
          <w:color w:val="002060"/>
          <w:sz w:val="16"/>
          <w:szCs w:val="16"/>
          <w:lang w:bidi="ru-RU"/>
        </w:rPr>
        <w:softHyphen/>
        <w:t>евых действиях мировой войны не участво</w:t>
      </w:r>
      <w:r w:rsidRPr="00405303">
        <w:rPr>
          <w:bCs/>
          <w:color w:val="002060"/>
          <w:sz w:val="16"/>
          <w:szCs w:val="16"/>
          <w:lang w:bidi="ru-RU"/>
        </w:rPr>
        <w:softHyphen/>
        <w:t>вали.</w:t>
      </w:r>
    </w:p>
    <w:p w14:paraId="3278C803" w14:textId="77777777" w:rsidR="006E36DA" w:rsidRPr="00405303" w:rsidRDefault="006E36DA" w:rsidP="00C15251">
      <w:pPr>
        <w:jc w:val="both"/>
        <w:rPr>
          <w:bCs/>
          <w:color w:val="002060"/>
          <w:sz w:val="16"/>
          <w:szCs w:val="16"/>
          <w:lang w:bidi="ru-RU"/>
        </w:rPr>
      </w:pPr>
      <w:bookmarkStart w:id="334" w:name="bookmark120"/>
      <w:r w:rsidRPr="00405303">
        <w:rPr>
          <w:bCs/>
          <w:color w:val="002060"/>
          <w:sz w:val="16"/>
          <w:szCs w:val="16"/>
          <w:lang w:bidi="ru-RU"/>
        </w:rPr>
        <w:t>Летные и технические характеристики «ИМ» тип Г</w:t>
      </w:r>
      <w:bookmarkEnd w:id="334"/>
    </w:p>
    <w:tbl>
      <w:tblPr>
        <w:tblOverlap w:val="never"/>
        <w:tblW w:w="0" w:type="auto"/>
        <w:tblLayout w:type="fixed"/>
        <w:tblCellMar>
          <w:left w:w="10" w:type="dxa"/>
          <w:right w:w="10" w:type="dxa"/>
        </w:tblCellMar>
        <w:tblLook w:val="0000" w:firstRow="0" w:lastRow="0" w:firstColumn="0" w:lastColumn="0" w:noHBand="0" w:noVBand="0"/>
      </w:tblPr>
      <w:tblGrid>
        <w:gridCol w:w="3224"/>
        <w:gridCol w:w="1139"/>
        <w:gridCol w:w="928"/>
      </w:tblGrid>
      <w:tr w:rsidR="006E36DA" w:rsidRPr="00405303" w14:paraId="1B7AA40C" w14:textId="77777777" w:rsidTr="006606CA">
        <w:trPr>
          <w:trHeight w:val="196"/>
        </w:trPr>
        <w:tc>
          <w:tcPr>
            <w:tcW w:w="3224" w:type="dxa"/>
            <w:tcBorders>
              <w:top w:val="single" w:sz="4" w:space="0" w:color="auto"/>
            </w:tcBorders>
          </w:tcPr>
          <w:p w14:paraId="5E9DF4DA"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заводской №</w:t>
            </w:r>
          </w:p>
        </w:tc>
        <w:tc>
          <w:tcPr>
            <w:tcW w:w="1139" w:type="dxa"/>
            <w:tcBorders>
              <w:top w:val="single" w:sz="4" w:space="0" w:color="auto"/>
            </w:tcBorders>
          </w:tcPr>
          <w:p w14:paraId="6CC74042"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182</w:t>
            </w:r>
          </w:p>
        </w:tc>
        <w:tc>
          <w:tcPr>
            <w:tcW w:w="928" w:type="dxa"/>
            <w:tcBorders>
              <w:top w:val="single" w:sz="4" w:space="0" w:color="auto"/>
            </w:tcBorders>
          </w:tcPr>
          <w:p w14:paraId="32F927DA"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№183</w:t>
            </w:r>
          </w:p>
        </w:tc>
      </w:tr>
      <w:tr w:rsidR="006E36DA" w:rsidRPr="00405303" w14:paraId="256B0A02" w14:textId="77777777" w:rsidTr="006606CA">
        <w:trPr>
          <w:trHeight w:val="206"/>
        </w:trPr>
        <w:tc>
          <w:tcPr>
            <w:tcW w:w="3224" w:type="dxa"/>
          </w:tcPr>
          <w:p w14:paraId="4AF42FA2"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Размах верхнего крыла (м)</w:t>
            </w:r>
          </w:p>
        </w:tc>
        <w:tc>
          <w:tcPr>
            <w:tcW w:w="1139" w:type="dxa"/>
          </w:tcPr>
          <w:p w14:paraId="14D43A70"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30,87</w:t>
            </w:r>
          </w:p>
        </w:tc>
        <w:tc>
          <w:tcPr>
            <w:tcW w:w="928" w:type="dxa"/>
          </w:tcPr>
          <w:p w14:paraId="2CD29356"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30,87</w:t>
            </w:r>
          </w:p>
        </w:tc>
      </w:tr>
      <w:tr w:rsidR="006E36DA" w:rsidRPr="00405303" w14:paraId="4ACC726E" w14:textId="77777777" w:rsidTr="006606CA">
        <w:trPr>
          <w:trHeight w:val="187"/>
        </w:trPr>
        <w:tc>
          <w:tcPr>
            <w:tcW w:w="3224" w:type="dxa"/>
          </w:tcPr>
          <w:p w14:paraId="166BB84F"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Размах нижнего крыла (м)</w:t>
            </w:r>
          </w:p>
        </w:tc>
        <w:tc>
          <w:tcPr>
            <w:tcW w:w="1139" w:type="dxa"/>
          </w:tcPr>
          <w:p w14:paraId="3D8A7069"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22,0</w:t>
            </w:r>
          </w:p>
        </w:tc>
        <w:tc>
          <w:tcPr>
            <w:tcW w:w="928" w:type="dxa"/>
          </w:tcPr>
          <w:p w14:paraId="03075174"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22,0</w:t>
            </w:r>
          </w:p>
        </w:tc>
      </w:tr>
      <w:tr w:rsidR="006E36DA" w:rsidRPr="00405303" w14:paraId="1353C86C" w14:textId="77777777" w:rsidTr="006606CA">
        <w:trPr>
          <w:trHeight w:val="201"/>
        </w:trPr>
        <w:tc>
          <w:tcPr>
            <w:tcW w:w="3224" w:type="dxa"/>
            <w:vAlign w:val="bottom"/>
          </w:tcPr>
          <w:p w14:paraId="204ED502"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Длина (м)</w:t>
            </w:r>
          </w:p>
        </w:tc>
        <w:tc>
          <w:tcPr>
            <w:tcW w:w="1139" w:type="dxa"/>
            <w:vAlign w:val="bottom"/>
          </w:tcPr>
          <w:p w14:paraId="0B4E7F8D"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17,1</w:t>
            </w:r>
          </w:p>
        </w:tc>
        <w:tc>
          <w:tcPr>
            <w:tcW w:w="928" w:type="dxa"/>
            <w:vAlign w:val="bottom"/>
          </w:tcPr>
          <w:p w14:paraId="5D80052F"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17,1</w:t>
            </w:r>
          </w:p>
        </w:tc>
      </w:tr>
      <w:tr w:rsidR="006E36DA" w:rsidRPr="00405303" w14:paraId="1D4CC4E2" w14:textId="77777777" w:rsidTr="006606CA">
        <w:trPr>
          <w:trHeight w:val="196"/>
        </w:trPr>
        <w:tc>
          <w:tcPr>
            <w:tcW w:w="3224" w:type="dxa"/>
          </w:tcPr>
          <w:p w14:paraId="103CA3BD"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Площадь крыльев (м</w:t>
            </w:r>
            <w:r w:rsidRPr="00405303">
              <w:rPr>
                <w:rFonts w:ascii="Times New Roman" w:hAnsi="Times New Roman" w:cs="Times New Roman"/>
                <w:bCs/>
                <w:color w:val="002060"/>
                <w:sz w:val="16"/>
                <w:szCs w:val="16"/>
                <w:vertAlign w:val="superscript"/>
                <w:lang w:bidi="ru-RU"/>
              </w:rPr>
              <w:t>2</w:t>
            </w:r>
            <w:r w:rsidRPr="00405303">
              <w:rPr>
                <w:rFonts w:ascii="Times New Roman" w:hAnsi="Times New Roman" w:cs="Times New Roman"/>
                <w:bCs/>
                <w:color w:val="002060"/>
                <w:sz w:val="16"/>
                <w:szCs w:val="16"/>
                <w:lang w:bidi="ru-RU"/>
              </w:rPr>
              <w:t>)</w:t>
            </w:r>
          </w:p>
        </w:tc>
        <w:tc>
          <w:tcPr>
            <w:tcW w:w="1139" w:type="dxa"/>
          </w:tcPr>
          <w:p w14:paraId="01624E99"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159,6</w:t>
            </w:r>
          </w:p>
        </w:tc>
        <w:tc>
          <w:tcPr>
            <w:tcW w:w="928" w:type="dxa"/>
          </w:tcPr>
          <w:p w14:paraId="336DFB41"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148,0</w:t>
            </w:r>
          </w:p>
        </w:tc>
      </w:tr>
      <w:tr w:rsidR="006E36DA" w:rsidRPr="00405303" w14:paraId="076B6BD1" w14:textId="77777777" w:rsidTr="006606CA">
        <w:trPr>
          <w:trHeight w:val="191"/>
        </w:trPr>
        <w:tc>
          <w:tcPr>
            <w:tcW w:w="3224" w:type="dxa"/>
          </w:tcPr>
          <w:p w14:paraId="2529D008"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Вес пустого (кг)</w:t>
            </w:r>
          </w:p>
        </w:tc>
        <w:tc>
          <w:tcPr>
            <w:tcW w:w="1139" w:type="dxa"/>
          </w:tcPr>
          <w:p w14:paraId="501E8E65"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3800</w:t>
            </w:r>
          </w:p>
        </w:tc>
        <w:tc>
          <w:tcPr>
            <w:tcW w:w="928" w:type="dxa"/>
          </w:tcPr>
          <w:p w14:paraId="3F49A5D3"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3800</w:t>
            </w:r>
          </w:p>
        </w:tc>
      </w:tr>
      <w:tr w:rsidR="006E36DA" w:rsidRPr="00405303" w14:paraId="72B13513" w14:textId="77777777" w:rsidTr="006606CA">
        <w:trPr>
          <w:trHeight w:val="191"/>
        </w:trPr>
        <w:tc>
          <w:tcPr>
            <w:tcW w:w="3224" w:type="dxa"/>
          </w:tcPr>
          <w:p w14:paraId="3F13F470"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Полетный вес (кг)</w:t>
            </w:r>
          </w:p>
        </w:tc>
        <w:tc>
          <w:tcPr>
            <w:tcW w:w="1139" w:type="dxa"/>
          </w:tcPr>
          <w:p w14:paraId="7B953969"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5500</w:t>
            </w:r>
          </w:p>
        </w:tc>
        <w:tc>
          <w:tcPr>
            <w:tcW w:w="928" w:type="dxa"/>
          </w:tcPr>
          <w:p w14:paraId="26C87159"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6100</w:t>
            </w:r>
          </w:p>
        </w:tc>
      </w:tr>
      <w:tr w:rsidR="006E36DA" w:rsidRPr="00405303" w14:paraId="7ED5EB8C" w14:textId="77777777" w:rsidTr="006606CA">
        <w:trPr>
          <w:trHeight w:val="206"/>
        </w:trPr>
        <w:tc>
          <w:tcPr>
            <w:tcW w:w="3224" w:type="dxa"/>
          </w:tcPr>
          <w:p w14:paraId="134E20A0"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Полетная скорость (км/ч)</w:t>
            </w:r>
          </w:p>
        </w:tc>
        <w:tc>
          <w:tcPr>
            <w:tcW w:w="1139" w:type="dxa"/>
          </w:tcPr>
          <w:p w14:paraId="37466461"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137</w:t>
            </w:r>
          </w:p>
        </w:tc>
        <w:tc>
          <w:tcPr>
            <w:tcW w:w="928" w:type="dxa"/>
          </w:tcPr>
          <w:p w14:paraId="2285B74E"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110</w:t>
            </w:r>
          </w:p>
        </w:tc>
      </w:tr>
      <w:tr w:rsidR="006E36DA" w:rsidRPr="00405303" w14:paraId="6266CB1C" w14:textId="77777777" w:rsidTr="006606CA">
        <w:trPr>
          <w:trHeight w:val="191"/>
        </w:trPr>
        <w:tc>
          <w:tcPr>
            <w:tcW w:w="3224" w:type="dxa"/>
          </w:tcPr>
          <w:p w14:paraId="6FBA4D3F"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Потолок (м)</w:t>
            </w:r>
          </w:p>
        </w:tc>
        <w:tc>
          <w:tcPr>
            <w:tcW w:w="1139" w:type="dxa"/>
          </w:tcPr>
          <w:p w14:paraId="59325F99"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4600</w:t>
            </w:r>
          </w:p>
        </w:tc>
        <w:tc>
          <w:tcPr>
            <w:tcW w:w="928" w:type="dxa"/>
            <w:vAlign w:val="bottom"/>
          </w:tcPr>
          <w:p w14:paraId="7C8A5834"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w:t>
            </w:r>
          </w:p>
        </w:tc>
      </w:tr>
      <w:tr w:rsidR="006E36DA" w:rsidRPr="00405303" w14:paraId="498AE22E" w14:textId="77777777" w:rsidTr="006606CA">
        <w:trPr>
          <w:trHeight w:val="201"/>
        </w:trPr>
        <w:tc>
          <w:tcPr>
            <w:tcW w:w="3224" w:type="dxa"/>
          </w:tcPr>
          <w:p w14:paraId="1C8AD3B4"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Продолжительность полета (час)</w:t>
            </w:r>
          </w:p>
        </w:tc>
        <w:tc>
          <w:tcPr>
            <w:tcW w:w="1139" w:type="dxa"/>
          </w:tcPr>
          <w:p w14:paraId="14E874C3"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4</w:t>
            </w:r>
          </w:p>
        </w:tc>
        <w:tc>
          <w:tcPr>
            <w:tcW w:w="928" w:type="dxa"/>
          </w:tcPr>
          <w:p w14:paraId="34D4248C"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4</w:t>
            </w:r>
          </w:p>
        </w:tc>
      </w:tr>
      <w:tr w:rsidR="006E36DA" w:rsidRPr="00405303" w14:paraId="0598DC7A" w14:textId="77777777" w:rsidTr="006606CA">
        <w:trPr>
          <w:trHeight w:val="196"/>
        </w:trPr>
        <w:tc>
          <w:tcPr>
            <w:tcW w:w="3224" w:type="dxa"/>
          </w:tcPr>
          <w:p w14:paraId="7013D7F3"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Суммарная мощность двигателей:</w:t>
            </w:r>
          </w:p>
        </w:tc>
        <w:tc>
          <w:tcPr>
            <w:tcW w:w="1139" w:type="dxa"/>
          </w:tcPr>
          <w:p w14:paraId="44506BEE"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640 л.с.</w:t>
            </w:r>
          </w:p>
        </w:tc>
        <w:tc>
          <w:tcPr>
            <w:tcW w:w="928" w:type="dxa"/>
          </w:tcPr>
          <w:p w14:paraId="5C495D9B"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 xml:space="preserve">600 </w:t>
            </w:r>
            <w:proofErr w:type="gramStart"/>
            <w:r w:rsidRPr="00405303">
              <w:rPr>
                <w:rFonts w:ascii="Times New Roman" w:hAnsi="Times New Roman" w:cs="Times New Roman"/>
                <w:bCs/>
                <w:color w:val="002060"/>
                <w:sz w:val="16"/>
                <w:szCs w:val="16"/>
                <w:lang w:bidi="ru-RU"/>
              </w:rPr>
              <w:t>л.с</w:t>
            </w:r>
            <w:proofErr w:type="gramEnd"/>
          </w:p>
        </w:tc>
      </w:tr>
      <w:tr w:rsidR="006E36DA" w:rsidRPr="00405303" w14:paraId="3F33927A" w14:textId="77777777" w:rsidTr="006606CA">
        <w:trPr>
          <w:trHeight w:val="191"/>
        </w:trPr>
        <w:tc>
          <w:tcPr>
            <w:tcW w:w="3224" w:type="dxa"/>
          </w:tcPr>
          <w:p w14:paraId="544EEDA4"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«Бердмор» 160 л.с.</w:t>
            </w:r>
          </w:p>
        </w:tc>
        <w:tc>
          <w:tcPr>
            <w:tcW w:w="1139" w:type="dxa"/>
          </w:tcPr>
          <w:p w14:paraId="72FF84B1"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4</w:t>
            </w:r>
          </w:p>
        </w:tc>
        <w:tc>
          <w:tcPr>
            <w:tcW w:w="928" w:type="dxa"/>
            <w:vAlign w:val="bottom"/>
          </w:tcPr>
          <w:p w14:paraId="4F926B84"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w:t>
            </w:r>
          </w:p>
        </w:tc>
      </w:tr>
      <w:tr w:rsidR="006E36DA" w:rsidRPr="00405303" w14:paraId="1558AC84" w14:textId="77777777" w:rsidTr="006606CA">
        <w:trPr>
          <w:trHeight w:val="187"/>
        </w:trPr>
        <w:tc>
          <w:tcPr>
            <w:tcW w:w="3224" w:type="dxa"/>
            <w:tcBorders>
              <w:bottom w:val="single" w:sz="4" w:space="0" w:color="auto"/>
            </w:tcBorders>
          </w:tcPr>
          <w:p w14:paraId="38871EE6"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«Санбим» 150 л.с.</w:t>
            </w:r>
          </w:p>
        </w:tc>
        <w:tc>
          <w:tcPr>
            <w:tcW w:w="1139" w:type="dxa"/>
            <w:tcBorders>
              <w:bottom w:val="single" w:sz="4" w:space="0" w:color="auto"/>
            </w:tcBorders>
            <w:vAlign w:val="bottom"/>
          </w:tcPr>
          <w:p w14:paraId="32B92975"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w:t>
            </w:r>
          </w:p>
        </w:tc>
        <w:tc>
          <w:tcPr>
            <w:tcW w:w="928" w:type="dxa"/>
            <w:tcBorders>
              <w:bottom w:val="single" w:sz="4" w:space="0" w:color="auto"/>
            </w:tcBorders>
          </w:tcPr>
          <w:p w14:paraId="0478476C" w14:textId="77777777" w:rsidR="006E36DA" w:rsidRPr="00405303" w:rsidRDefault="006E36DA" w:rsidP="00C15251">
            <w:pPr>
              <w:pStyle w:val="afa"/>
              <w:ind w:firstLine="0"/>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lang w:bidi="ru-RU"/>
              </w:rPr>
              <w:t>4</w:t>
            </w:r>
          </w:p>
        </w:tc>
      </w:tr>
    </w:tbl>
    <w:p w14:paraId="05DEF2DD" w14:textId="77777777" w:rsidR="006E36DA" w:rsidRPr="00405303" w:rsidRDefault="006E36DA" w:rsidP="00C15251">
      <w:pPr>
        <w:jc w:val="both"/>
        <w:rPr>
          <w:bCs/>
          <w:color w:val="002060"/>
          <w:sz w:val="16"/>
          <w:szCs w:val="16"/>
        </w:rPr>
      </w:pPr>
      <w:r w:rsidRPr="00405303">
        <w:rPr>
          <w:bCs/>
          <w:color w:val="002060"/>
          <w:sz w:val="16"/>
          <w:szCs w:val="16"/>
          <w:lang w:bidi="ru-RU"/>
        </w:rPr>
        <w:t>(23374).</w:t>
      </w:r>
    </w:p>
    <w:p w14:paraId="5517B085" w14:textId="77777777" w:rsidR="006E36DA" w:rsidRPr="00405303" w:rsidRDefault="006E36DA" w:rsidP="00C15251">
      <w:pPr>
        <w:jc w:val="both"/>
        <w:rPr>
          <w:bCs/>
          <w:color w:val="002060"/>
          <w:sz w:val="16"/>
          <w:szCs w:val="16"/>
        </w:rPr>
      </w:pPr>
    </w:p>
    <w:p w14:paraId="08DBCCEA" w14:textId="77777777" w:rsidR="006E36DA" w:rsidRPr="00405303" w:rsidRDefault="006E36DA" w:rsidP="00C15251">
      <w:pPr>
        <w:jc w:val="both"/>
        <w:rPr>
          <w:bCs/>
          <w:color w:val="002060"/>
          <w:sz w:val="16"/>
          <w:szCs w:val="16"/>
        </w:rPr>
      </w:pPr>
      <w:r w:rsidRPr="00405303">
        <w:rPr>
          <w:bCs/>
          <w:color w:val="002060"/>
          <w:sz w:val="16"/>
          <w:szCs w:val="16"/>
          <w:lang w:bidi="ru-RU"/>
        </w:rPr>
        <w:t>В декабре 1915 г. благодаря интересу, проявленному Акционерным об</w:t>
      </w:r>
      <w:r w:rsidRPr="00405303">
        <w:rPr>
          <w:bCs/>
          <w:color w:val="002060"/>
          <w:sz w:val="16"/>
          <w:szCs w:val="16"/>
          <w:lang w:bidi="ru-RU"/>
        </w:rPr>
        <w:softHyphen/>
        <w:t>ществом В.А. Лебедева к постройке летаю</w:t>
      </w:r>
      <w:r w:rsidRPr="00405303">
        <w:rPr>
          <w:bCs/>
          <w:color w:val="002060"/>
          <w:sz w:val="16"/>
          <w:szCs w:val="16"/>
          <w:lang w:bidi="ru-RU"/>
        </w:rPr>
        <w:softHyphen/>
        <w:t>щих лодок Виллиша и взаимной договоренности о сотрудничестве, был полу</w:t>
      </w:r>
      <w:r w:rsidRPr="00405303">
        <w:rPr>
          <w:bCs/>
          <w:color w:val="002060"/>
          <w:sz w:val="16"/>
          <w:szCs w:val="16"/>
          <w:lang w:bidi="ru-RU"/>
        </w:rPr>
        <w:softHyphen/>
        <w:t>чен заказа от Морско</w:t>
      </w:r>
      <w:r w:rsidRPr="00405303">
        <w:rPr>
          <w:bCs/>
          <w:color w:val="002060"/>
          <w:sz w:val="16"/>
          <w:szCs w:val="16"/>
          <w:lang w:bidi="ru-RU"/>
        </w:rPr>
        <w:softHyphen/>
        <w:t>го ведомства на постройку однотипной с ВМ-1 летающей лодки.</w:t>
      </w:r>
    </w:p>
    <w:p w14:paraId="7350E461" w14:textId="77777777" w:rsidR="006E36DA" w:rsidRPr="00405303" w:rsidRDefault="006E36DA" w:rsidP="00C15251">
      <w:pPr>
        <w:jc w:val="both"/>
        <w:rPr>
          <w:bCs/>
          <w:color w:val="002060"/>
          <w:sz w:val="16"/>
          <w:szCs w:val="16"/>
        </w:rPr>
      </w:pPr>
      <w:r w:rsidRPr="00405303">
        <w:rPr>
          <w:bCs/>
          <w:color w:val="002060"/>
          <w:sz w:val="16"/>
          <w:szCs w:val="16"/>
          <w:lang w:bidi="ru-RU"/>
        </w:rPr>
        <w:t>Новый аппарат, получивший обозначе</w:t>
      </w:r>
      <w:r w:rsidRPr="00405303">
        <w:rPr>
          <w:bCs/>
          <w:color w:val="002060"/>
          <w:sz w:val="16"/>
          <w:szCs w:val="16"/>
          <w:lang w:bidi="ru-RU"/>
        </w:rPr>
        <w:softHyphen/>
        <w:t>ние ВМ-2, в основном оказался близок к первому экземпляру. Отличием явилась несколько измененная двухместная лодка, хвостовая ферма из стальных труб и хвос</w:t>
      </w:r>
      <w:r w:rsidRPr="00405303">
        <w:rPr>
          <w:bCs/>
          <w:color w:val="002060"/>
          <w:sz w:val="16"/>
          <w:szCs w:val="16"/>
          <w:lang w:bidi="ru-RU"/>
        </w:rPr>
        <w:softHyphen/>
        <w:t>товое оперение с небольшим стабилизато</w:t>
      </w:r>
      <w:r w:rsidRPr="00405303">
        <w:rPr>
          <w:bCs/>
          <w:color w:val="002060"/>
          <w:sz w:val="16"/>
          <w:szCs w:val="16"/>
          <w:lang w:bidi="ru-RU"/>
        </w:rPr>
        <w:softHyphen/>
        <w:t>ром и рулями высоты в плане повторяю</w:t>
      </w:r>
      <w:r w:rsidRPr="00405303">
        <w:rPr>
          <w:bCs/>
          <w:color w:val="002060"/>
          <w:sz w:val="16"/>
          <w:szCs w:val="16"/>
          <w:lang w:bidi="ru-RU"/>
        </w:rPr>
        <w:softHyphen/>
        <w:t>щим форму верхнего крыла. Кроме этого, ротативный двигатель «Гном Моносупап» был прикрыт обтекаемым капотом, закан</w:t>
      </w:r>
      <w:r w:rsidRPr="00405303">
        <w:rPr>
          <w:bCs/>
          <w:color w:val="002060"/>
          <w:sz w:val="16"/>
          <w:szCs w:val="16"/>
          <w:lang w:bidi="ru-RU"/>
        </w:rPr>
        <w:softHyphen/>
        <w:t>чивающимся коком-обтекателем воздуш</w:t>
      </w:r>
      <w:r w:rsidRPr="00405303">
        <w:rPr>
          <w:bCs/>
          <w:color w:val="002060"/>
          <w:sz w:val="16"/>
          <w:szCs w:val="16"/>
          <w:lang w:bidi="ru-RU"/>
        </w:rPr>
        <w:softHyphen/>
        <w:t>ного винта.</w:t>
      </w:r>
    </w:p>
    <w:p w14:paraId="01563FFF" w14:textId="77777777" w:rsidR="006E36DA" w:rsidRPr="00405303" w:rsidRDefault="006E36DA" w:rsidP="00C15251">
      <w:pPr>
        <w:jc w:val="both"/>
        <w:rPr>
          <w:bCs/>
          <w:color w:val="002060"/>
          <w:sz w:val="16"/>
          <w:szCs w:val="16"/>
        </w:rPr>
      </w:pPr>
      <w:r w:rsidRPr="00405303">
        <w:rPr>
          <w:bCs/>
          <w:color w:val="002060"/>
          <w:sz w:val="16"/>
          <w:szCs w:val="16"/>
          <w:lang w:bidi="ru-RU"/>
        </w:rPr>
        <w:t>ВМ-2 приняли на снабжение морской авиации 29 июня 1916 г. и направили в Пе</w:t>
      </w:r>
      <w:r w:rsidRPr="00405303">
        <w:rPr>
          <w:bCs/>
          <w:color w:val="002060"/>
          <w:sz w:val="16"/>
          <w:szCs w:val="16"/>
          <w:lang w:bidi="ru-RU"/>
        </w:rPr>
        <w:softHyphen/>
        <w:t>троградскую школу морской авиации. По</w:t>
      </w:r>
      <w:r w:rsidRPr="00405303">
        <w:rPr>
          <w:bCs/>
          <w:color w:val="002060"/>
          <w:sz w:val="16"/>
          <w:szCs w:val="16"/>
          <w:lang w:bidi="ru-RU"/>
        </w:rPr>
        <w:softHyphen/>
        <w:t>зднее лодку доставили в Баку (23374).</w:t>
      </w:r>
    </w:p>
    <w:p w14:paraId="64E1DCB2" w14:textId="77777777" w:rsidR="006E36DA" w:rsidRPr="00405303" w:rsidRDefault="006E36DA" w:rsidP="00C15251">
      <w:pPr>
        <w:jc w:val="both"/>
        <w:rPr>
          <w:bCs/>
          <w:color w:val="002060"/>
          <w:sz w:val="16"/>
          <w:szCs w:val="16"/>
        </w:rPr>
      </w:pPr>
    </w:p>
    <w:p w14:paraId="47DC884F" w14:textId="77777777" w:rsidR="006E36DA" w:rsidRPr="00405303" w:rsidRDefault="006E36DA" w:rsidP="00C15251">
      <w:pPr>
        <w:jc w:val="both"/>
        <w:rPr>
          <w:bCs/>
          <w:color w:val="002060"/>
          <w:sz w:val="16"/>
          <w:szCs w:val="16"/>
        </w:rPr>
      </w:pPr>
      <w:r w:rsidRPr="00405303">
        <w:rPr>
          <w:bCs/>
          <w:color w:val="002060"/>
          <w:sz w:val="16"/>
          <w:szCs w:val="16"/>
        </w:rPr>
        <w:t>В декабре 1915 года прошел испытания опытный образец Anatra D (Anade) (Dekan), который был двухместным разведчиком с двигателем Gnome Monosaupe мощностью 100 л.с., вооруженным одним 7,62-мм пулеметом для наблюдателя. 9 мая 1916 года Анатра получила заказ Главного военно-технического командования (ГВТУ) на восемьдесят самолетов. 28 мая 1916 года был построен первый серийный самолет, который вскоре поступил на фронт. Всего было доставлено 170 Anatra D. На 13 апреля 1917 года на передовой находилось 76 Анатра Д. В октябре 1916 года Военное министерство разместило заказ на 400 Анатра Д, 250 из которых должны были быть построены в Одессе, а остальные 150 - в недавно открытом филиале в Симферополе в Крыму. Считается, что только 200 из них были фактически завершены. Поставки начались только в середине 1917 года, и, наконец, с конвейера сошло 15-20 штук в месяц.</w:t>
      </w:r>
    </w:p>
    <w:p w14:paraId="7266165D" w14:textId="77777777" w:rsidR="006E36DA" w:rsidRPr="00405303" w:rsidRDefault="006E36DA" w:rsidP="00C15251">
      <w:pPr>
        <w:jc w:val="both"/>
        <w:rPr>
          <w:bCs/>
          <w:color w:val="002060"/>
          <w:sz w:val="16"/>
          <w:szCs w:val="16"/>
        </w:rPr>
      </w:pPr>
      <w:r w:rsidRPr="00405303">
        <w:rPr>
          <w:bCs/>
          <w:color w:val="002060"/>
          <w:sz w:val="16"/>
          <w:szCs w:val="16"/>
        </w:rPr>
        <w:t>В июне 1917 г. на 4-м артиллерийском АО шесть вновь поставленных Anatra D разбились при посадке или взлете из-за плохой остойчивости. Этот тип также страдал от плохого охлаждения двигателя. Около двадцати четырех самолетов Anatra D (Anakler или Anakle, что указывает на двигатели Clerget) были построены с двигателями Clerget мощностью 110 и 130 л.с. (23525)</w:t>
      </w:r>
    </w:p>
    <w:p w14:paraId="5174DB8E" w14:textId="77777777" w:rsidR="006E36DA" w:rsidRPr="00405303" w:rsidRDefault="006E36DA" w:rsidP="00C15251">
      <w:pPr>
        <w:jc w:val="both"/>
        <w:rPr>
          <w:bCs/>
          <w:color w:val="002060"/>
          <w:sz w:val="16"/>
          <w:szCs w:val="16"/>
        </w:rPr>
      </w:pPr>
    </w:p>
    <w:p w14:paraId="0B17B47A" w14:textId="77777777" w:rsidR="006E36DA" w:rsidRPr="00405303" w:rsidRDefault="006E36DA" w:rsidP="00C15251">
      <w:pPr>
        <w:jc w:val="both"/>
        <w:rPr>
          <w:bCs/>
          <w:color w:val="002060"/>
          <w:sz w:val="16"/>
          <w:szCs w:val="16"/>
        </w:rPr>
      </w:pPr>
      <w:r w:rsidRPr="00405303">
        <w:rPr>
          <w:bCs/>
          <w:color w:val="002060"/>
          <w:sz w:val="16"/>
          <w:szCs w:val="16"/>
        </w:rPr>
        <w:t>В декабре 1915 г. РБВЗ запатентовал синхронизатор системы Лаврова для пулемета «Виккерс» Mk.I и ГВТУ заключило контракт на установку такого вооружения на строящиеся самолеты С-16 (23557).</w:t>
      </w:r>
    </w:p>
    <w:p w14:paraId="2773504A" w14:textId="77777777" w:rsidR="006E36DA" w:rsidRPr="00405303" w:rsidRDefault="006E36DA" w:rsidP="00C15251">
      <w:pPr>
        <w:jc w:val="both"/>
        <w:rPr>
          <w:bCs/>
          <w:color w:val="002060"/>
          <w:sz w:val="16"/>
          <w:szCs w:val="16"/>
          <w:lang w:bidi="en-US"/>
        </w:rPr>
      </w:pPr>
    </w:p>
    <w:p w14:paraId="2EE3C891" w14:textId="54153B9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739225A9" w14:textId="77777777" w:rsidR="004B4E35" w:rsidRPr="00405303" w:rsidRDefault="004B4E35" w:rsidP="00C15251">
      <w:pPr>
        <w:jc w:val="both"/>
        <w:rPr>
          <w:bCs/>
          <w:i/>
          <w:color w:val="002060"/>
          <w:sz w:val="16"/>
          <w:szCs w:val="16"/>
        </w:rPr>
      </w:pPr>
    </w:p>
    <w:p w14:paraId="48BBAD12" w14:textId="49B6D96E" w:rsidR="00BE0EBB" w:rsidRPr="00405303" w:rsidRDefault="00BE0EBB" w:rsidP="00C15251">
      <w:pPr>
        <w:jc w:val="both"/>
        <w:rPr>
          <w:bCs/>
          <w:color w:val="002060"/>
          <w:sz w:val="16"/>
          <w:szCs w:val="16"/>
          <w:shd w:val="clear" w:color="auto" w:fill="FFFFFF"/>
        </w:rPr>
      </w:pPr>
      <w:r w:rsidRPr="00405303">
        <w:rPr>
          <w:bCs/>
          <w:color w:val="002060"/>
          <w:sz w:val="16"/>
          <w:szCs w:val="16"/>
          <w:shd w:val="clear" w:color="auto" w:fill="FFFFFF"/>
        </w:rPr>
        <w:t xml:space="preserve">В декабре 1915 </w:t>
      </w:r>
      <w:proofErr w:type="gramStart"/>
      <w:r w:rsidRPr="00405303">
        <w:rPr>
          <w:bCs/>
          <w:color w:val="002060"/>
          <w:sz w:val="16"/>
          <w:szCs w:val="16"/>
          <w:shd w:val="clear" w:color="auto" w:fill="FFFFFF"/>
        </w:rPr>
        <w:t>года, после того, как</w:t>
      </w:r>
      <w:proofErr w:type="gramEnd"/>
      <w:r w:rsidRPr="00405303">
        <w:rPr>
          <w:bCs/>
          <w:color w:val="002060"/>
          <w:sz w:val="16"/>
          <w:szCs w:val="16"/>
          <w:shd w:val="clear" w:color="auto" w:fill="FFFFFF"/>
        </w:rPr>
        <w:t xml:space="preserve"> в результате обсуждения проект бронедрезины получил одобрение, прапорщик Д. Сонкин был откомандирован на Путиловский завод в Петрограде для помощи в разработке чертежей. Проект был готов в феврале 1916 года и направлен на утверждение начальнику Управления военных сообщений штаба Верховного главнокомандующего</w:t>
      </w:r>
      <w:r w:rsidR="00DB4D64" w:rsidRPr="00405303">
        <w:rPr>
          <w:bCs/>
          <w:color w:val="002060"/>
          <w:sz w:val="16"/>
          <w:szCs w:val="16"/>
          <w:shd w:val="clear" w:color="auto" w:fill="FFFFFF"/>
        </w:rPr>
        <w:t xml:space="preserve"> </w:t>
      </w:r>
      <w:r w:rsidRPr="00405303">
        <w:rPr>
          <w:bCs/>
          <w:color w:val="002060"/>
          <w:sz w:val="16"/>
          <w:szCs w:val="16"/>
          <w:shd w:val="clear" w:color="auto" w:fill="FFFFFF"/>
        </w:rPr>
        <w:t>генералу Тихменеву (18626).</w:t>
      </w:r>
    </w:p>
    <w:p w14:paraId="62EB5BEF" w14:textId="77777777" w:rsidR="00BE0EBB" w:rsidRPr="00405303" w:rsidRDefault="00BE0EBB" w:rsidP="00C15251">
      <w:pPr>
        <w:jc w:val="both"/>
        <w:rPr>
          <w:bCs/>
          <w:color w:val="002060"/>
          <w:sz w:val="16"/>
          <w:szCs w:val="16"/>
          <w:shd w:val="clear" w:color="auto" w:fill="FFFFFF"/>
        </w:rPr>
      </w:pPr>
    </w:p>
    <w:p w14:paraId="0C36A4D0" w14:textId="3629AADD" w:rsidR="004B4E35" w:rsidRPr="00405303" w:rsidRDefault="008E47FA" w:rsidP="00C15251">
      <w:pPr>
        <w:jc w:val="both"/>
        <w:rPr>
          <w:bCs/>
          <w:color w:val="002060"/>
          <w:sz w:val="16"/>
          <w:szCs w:val="16"/>
        </w:rPr>
      </w:pPr>
      <w:r w:rsidRPr="00405303">
        <w:rPr>
          <w:bCs/>
          <w:color w:val="002060"/>
          <w:sz w:val="16"/>
          <w:szCs w:val="16"/>
        </w:rPr>
        <w:t xml:space="preserve">На </w:t>
      </w:r>
      <w:r w:rsidR="009E6F82" w:rsidRPr="00405303">
        <w:rPr>
          <w:bCs/>
          <w:color w:val="002060"/>
          <w:sz w:val="16"/>
          <w:szCs w:val="16"/>
        </w:rPr>
        <w:t xml:space="preserve">декабрь </w:t>
      </w:r>
      <w:r w:rsidRPr="00405303">
        <w:rPr>
          <w:bCs/>
          <w:color w:val="002060"/>
          <w:sz w:val="16"/>
          <w:szCs w:val="16"/>
        </w:rPr>
        <w:t xml:space="preserve">1915 г. ГАУ требует </w:t>
      </w:r>
      <w:r w:rsidR="009E6F82" w:rsidRPr="00405303">
        <w:rPr>
          <w:bCs/>
          <w:color w:val="002060"/>
          <w:sz w:val="16"/>
          <w:szCs w:val="16"/>
        </w:rPr>
        <w:t>23 000 шт. 22-сек. трубок в сутки</w:t>
      </w:r>
      <w:r w:rsidRPr="00405303">
        <w:rPr>
          <w:bCs/>
          <w:color w:val="002060"/>
          <w:sz w:val="16"/>
          <w:szCs w:val="16"/>
        </w:rPr>
        <w:t>, по сравнению: на сентябрь 1915 г. - 17 000, октябрь 1915 г. — 18 000, ноябрь 1915 г. — 21 000</w:t>
      </w:r>
      <w:r w:rsidR="009E6F82" w:rsidRPr="00405303">
        <w:rPr>
          <w:bCs/>
          <w:color w:val="002060"/>
          <w:sz w:val="16"/>
          <w:szCs w:val="16"/>
        </w:rPr>
        <w:t xml:space="preserve">. </w:t>
      </w:r>
    </w:p>
    <w:p w14:paraId="275D8506" w14:textId="77777777" w:rsidR="004B4E35" w:rsidRPr="00405303" w:rsidRDefault="009E6F82" w:rsidP="00C15251">
      <w:pPr>
        <w:jc w:val="both"/>
        <w:rPr>
          <w:bCs/>
          <w:color w:val="002060"/>
          <w:sz w:val="16"/>
          <w:szCs w:val="16"/>
        </w:rPr>
      </w:pPr>
      <w:r w:rsidRPr="00405303">
        <w:rPr>
          <w:bCs/>
          <w:color w:val="002060"/>
          <w:sz w:val="16"/>
          <w:szCs w:val="16"/>
        </w:rPr>
        <w:t xml:space="preserve">Так как все площади и все оборудование использованы, то каждое из перечисленных увеличений выпуска требует новых площадей и новых станков. В строительный сезон 1915 г. возводится большое здание сборочной. В этот сезон к заводу присоединены были путем отчуждения соседние участки земли Сансена и Третьякова. </w:t>
      </w:r>
    </w:p>
    <w:p w14:paraId="49C4F944" w14:textId="77777777" w:rsidR="004B4E35" w:rsidRPr="00405303" w:rsidRDefault="009E6F82" w:rsidP="00C15251">
      <w:pPr>
        <w:jc w:val="both"/>
        <w:rPr>
          <w:bCs/>
          <w:color w:val="002060"/>
          <w:sz w:val="16"/>
          <w:szCs w:val="16"/>
        </w:rPr>
      </w:pPr>
      <w:r w:rsidRPr="00405303">
        <w:rPr>
          <w:bCs/>
          <w:color w:val="002060"/>
          <w:sz w:val="16"/>
          <w:szCs w:val="16"/>
        </w:rPr>
        <w:t xml:space="preserve">Попутно с расширением площадей идет перемещение и перепланировка мастерских и цехов. Так как это делалось на ходу работы и спешно, то, само собой разумеется, некогда было думать о рациональной распланировке рабочих помещений. </w:t>
      </w:r>
    </w:p>
    <w:p w14:paraId="249B877D" w14:textId="77777777" w:rsidR="004B4E35" w:rsidRPr="00405303" w:rsidRDefault="009E6F82" w:rsidP="00C15251">
      <w:pPr>
        <w:jc w:val="both"/>
        <w:rPr>
          <w:bCs/>
          <w:color w:val="002060"/>
          <w:sz w:val="16"/>
          <w:szCs w:val="16"/>
        </w:rPr>
      </w:pPr>
      <w:r w:rsidRPr="00405303">
        <w:rPr>
          <w:bCs/>
          <w:color w:val="002060"/>
          <w:sz w:val="16"/>
          <w:szCs w:val="16"/>
        </w:rPr>
        <w:t>В той же мере, как требовалось расширение площадей, необходимо было усиливать станочный парк завода. Каждый новый этап программы производства, намеченный Артиллерийским управлением, требовал добавки до 150 станков. Петербургский трубочный завод получал их частью путем реквизиции у частных заводов, частью заказом за границей. Для той и другой цели приходилось командировать заводских инженеров, обессиливая и без того бедный штат технического персонала (11329).</w:t>
      </w:r>
    </w:p>
    <w:p w14:paraId="7DA97B75" w14:textId="77777777" w:rsidR="004B4E35" w:rsidRPr="00405303" w:rsidRDefault="004B4E35" w:rsidP="00C15251">
      <w:pPr>
        <w:jc w:val="both"/>
        <w:rPr>
          <w:bCs/>
          <w:color w:val="002060"/>
          <w:sz w:val="16"/>
          <w:szCs w:val="16"/>
        </w:rPr>
      </w:pPr>
    </w:p>
    <w:p w14:paraId="0A0586E3" w14:textId="6F896924" w:rsidR="004B4E35" w:rsidRPr="00405303" w:rsidRDefault="000C6B7D" w:rsidP="00C15251">
      <w:pPr>
        <w:jc w:val="both"/>
        <w:rPr>
          <w:bCs/>
          <w:color w:val="002060"/>
          <w:sz w:val="16"/>
          <w:szCs w:val="16"/>
        </w:rPr>
      </w:pPr>
      <w:r w:rsidRPr="00405303">
        <w:rPr>
          <w:bCs/>
          <w:color w:val="002060"/>
          <w:sz w:val="16"/>
          <w:szCs w:val="16"/>
        </w:rPr>
        <w:lastRenderedPageBreak/>
        <w:t>В</w:t>
      </w:r>
      <w:r w:rsidR="009E6F82" w:rsidRPr="00405303">
        <w:rPr>
          <w:bCs/>
          <w:color w:val="002060"/>
          <w:sz w:val="16"/>
          <w:szCs w:val="16"/>
        </w:rPr>
        <w:t xml:space="preserve"> декабре 1915 года </w:t>
      </w:r>
      <w:r w:rsidRPr="00405303">
        <w:rPr>
          <w:bCs/>
          <w:color w:val="002060"/>
          <w:sz w:val="16"/>
          <w:szCs w:val="16"/>
        </w:rPr>
        <w:t xml:space="preserve">возбужден вопрос о постройке Казанского военно-химического завода. Завод проектирован на изготовление: фосгена — 50 000 пудов в год и газообразного хлора — 100 000 пудов в год. </w:t>
      </w:r>
      <w:r w:rsidR="009E6F82" w:rsidRPr="00405303">
        <w:rPr>
          <w:bCs/>
          <w:color w:val="002060"/>
          <w:sz w:val="16"/>
          <w:szCs w:val="16"/>
        </w:rPr>
        <w:t xml:space="preserve">Постройка разрешена в марте 1916 года. </w:t>
      </w:r>
    </w:p>
    <w:p w14:paraId="1114692A" w14:textId="77777777" w:rsidR="004B4E35" w:rsidRPr="00405303" w:rsidRDefault="009E6F82" w:rsidP="00C15251">
      <w:pPr>
        <w:jc w:val="both"/>
        <w:rPr>
          <w:bCs/>
          <w:color w:val="002060"/>
          <w:sz w:val="16"/>
          <w:szCs w:val="16"/>
        </w:rPr>
      </w:pPr>
      <w:r w:rsidRPr="00405303">
        <w:rPr>
          <w:bCs/>
          <w:color w:val="002060"/>
          <w:sz w:val="16"/>
          <w:szCs w:val="16"/>
        </w:rPr>
        <w:t xml:space="preserve">К концу 1916 г. завод был построен и оборудован. В 1917 г. начал работать. В 1918 г. — ликвидирован и передан Казанскому СНХ. Стоимость завода 400 000 рублей. </w:t>
      </w:r>
    </w:p>
    <w:p w14:paraId="57133AA9" w14:textId="77777777" w:rsidR="004B4E35" w:rsidRPr="00405303" w:rsidRDefault="004B4E35" w:rsidP="00C15251">
      <w:pPr>
        <w:jc w:val="both"/>
        <w:rPr>
          <w:bCs/>
          <w:color w:val="002060"/>
          <w:sz w:val="16"/>
          <w:szCs w:val="16"/>
        </w:rPr>
      </w:pPr>
    </w:p>
    <w:p w14:paraId="15C0C8A7" w14:textId="4907C264" w:rsidR="004B4E35" w:rsidRPr="00405303" w:rsidRDefault="000C6B7D"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С</w:t>
      </w:r>
      <w:r w:rsidR="009E6F82" w:rsidRPr="00405303">
        <w:rPr>
          <w:bCs/>
          <w:i w:val="0"/>
          <w:color w:val="002060"/>
          <w:spacing w:val="0"/>
          <w:kern w:val="0"/>
          <w:position w:val="0"/>
          <w:sz w:val="16"/>
          <w:szCs w:val="16"/>
        </w:rPr>
        <w:t xml:space="preserve"> декабря 1915 г.</w:t>
      </w:r>
      <w:r w:rsidR="008352B3" w:rsidRPr="00405303">
        <w:rPr>
          <w:bCs/>
          <w:i w:val="0"/>
          <w:color w:val="002060"/>
          <w:spacing w:val="0"/>
          <w:kern w:val="0"/>
          <w:position w:val="0"/>
          <w:sz w:val="16"/>
          <w:szCs w:val="16"/>
        </w:rPr>
        <w:t xml:space="preserve"> приступил к производству</w:t>
      </w:r>
      <w:r w:rsidR="009E6F82" w:rsidRPr="00405303">
        <w:rPr>
          <w:bCs/>
          <w:i w:val="0"/>
          <w:color w:val="002060"/>
          <w:spacing w:val="0"/>
          <w:kern w:val="0"/>
          <w:position w:val="0"/>
          <w:sz w:val="16"/>
          <w:szCs w:val="16"/>
        </w:rPr>
        <w:t xml:space="preserve"> </w:t>
      </w:r>
      <w:r w:rsidRPr="00405303">
        <w:rPr>
          <w:bCs/>
          <w:i w:val="0"/>
          <w:color w:val="002060"/>
          <w:spacing w:val="0"/>
          <w:kern w:val="0"/>
          <w:position w:val="0"/>
          <w:sz w:val="16"/>
          <w:szCs w:val="16"/>
        </w:rPr>
        <w:t>в одном из поволжских городов был переустроен</w:t>
      </w:r>
      <w:r w:rsidR="008352B3" w:rsidRPr="00405303">
        <w:rPr>
          <w:bCs/>
          <w:i w:val="0"/>
          <w:color w:val="002060"/>
          <w:spacing w:val="0"/>
          <w:kern w:val="0"/>
          <w:position w:val="0"/>
          <w:sz w:val="16"/>
          <w:szCs w:val="16"/>
        </w:rPr>
        <w:t xml:space="preserve"> по указаниию ГАУ газовый завод, </w:t>
      </w:r>
      <w:r w:rsidRPr="00405303">
        <w:rPr>
          <w:bCs/>
          <w:i w:val="0"/>
          <w:color w:val="002060"/>
          <w:spacing w:val="0"/>
          <w:kern w:val="0"/>
          <w:position w:val="0"/>
          <w:sz w:val="16"/>
          <w:szCs w:val="16"/>
        </w:rPr>
        <w:t xml:space="preserve">в нефтеперегонный </w:t>
      </w:r>
      <w:r w:rsidR="009E6F82" w:rsidRPr="00405303">
        <w:rPr>
          <w:bCs/>
          <w:i w:val="0"/>
          <w:color w:val="002060"/>
          <w:spacing w:val="0"/>
          <w:kern w:val="0"/>
          <w:position w:val="0"/>
          <w:sz w:val="16"/>
          <w:szCs w:val="16"/>
        </w:rPr>
        <w:t xml:space="preserve">и давал 1.000 - 2.000 пудов в месяц бензола, толуола. </w:t>
      </w:r>
    </w:p>
    <w:p w14:paraId="1FDE72B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4. Подобный же нефтеперегонный завод устроен был на Кавказе по постановлению Особого совещания по обороне 31 августа 1916 г. Центральным военно-промышленным комитетом по предложению промышленников Нобеля и Бенкендорффа. </w:t>
      </w:r>
    </w:p>
    <w:p w14:paraId="33E33A8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5. Главный комитет всероссийского и городского союзов по снабжению армии, получил разрешение Особого совещания по обороне устроить в Центральной Россия завод серной я азотной кислоты. ГАУ должно было предоставить бесплатно Главному комитету Земгора необходимые для постройки и эксплоатации завода 30 тыояч пудов свинца, 1 млн. пудов серного колчедана и потребное количество селитры, но с тем условием, чтобы вся вырабатываемая из нее азотная кислота сдавалась ГАУ. На эксплоатацию завода </w:t>
      </w:r>
      <w:proofErr w:type="gramStart"/>
      <w:r w:rsidRPr="00405303">
        <w:rPr>
          <w:bCs/>
          <w:i w:val="0"/>
          <w:color w:val="002060"/>
          <w:spacing w:val="0"/>
          <w:kern w:val="0"/>
          <w:position w:val="0"/>
          <w:sz w:val="16"/>
          <w:szCs w:val="16"/>
        </w:rPr>
        <w:t>еже-месячно</w:t>
      </w:r>
      <w:proofErr w:type="gramEnd"/>
      <w:r w:rsidRPr="00405303">
        <w:rPr>
          <w:bCs/>
          <w:i w:val="0"/>
          <w:color w:val="002060"/>
          <w:spacing w:val="0"/>
          <w:kern w:val="0"/>
          <w:position w:val="0"/>
          <w:sz w:val="16"/>
          <w:szCs w:val="16"/>
        </w:rPr>
        <w:t xml:space="preserve"> отпускалось по 60.000 руб. в виде аванса. Завод был пущен в ход в конце 1916 г. По окончании войны завод должен был поступить от Земгора в военное ведомство. </w:t>
      </w:r>
    </w:p>
    <w:p w14:paraId="2F4956C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6. Зависимость европейского рынка от чилийской селитры, запасы которой нельзя было считать неистощимыми, побуждала найти практические способы изготовления азотной кислоты путем окисления азота воздуха. </w:t>
      </w:r>
    </w:p>
    <w:p w14:paraId="2B924B2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Идея эта получила осуществление в Германии и Швеции, где были построены заводы с использованием даровой энергии водопадов. </w:t>
      </w:r>
    </w:p>
    <w:p w14:paraId="26593E7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Подобный завод решено было построить в России на р. Суне, чтобы воспользоваться водяной силой ее водопадов. Завод должен был состоять из гидроэлектрической станции для получения значительного количества электрической энергии и кислотного завода, в котором при посредстве вольтовой дуги азот воздуха сжигался в особых игетах, а получаемые при этом окислы азота превращались в азотную кислоту. </w:t>
      </w:r>
    </w:p>
    <w:p w14:paraId="48BDBF9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7. Комиссия удушающих средств при ГАУ встретила большие затруднения в деле организации производства жидкого хлора в России. Из обследования, произведенного по поручению ГАУ специалистами, выяснилась полная возможность использования в этом деле финляндской промышленности, а также в области изготовления металлических баллонов для жидкого хлора. </w:t>
      </w:r>
    </w:p>
    <w:p w14:paraId="326B8FF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Переговоры с финляндским Сенатом по вопросу оборудования заводов для производства жидкого хлора, начатые в августе 1915 г., тянулись целый год, и лишь 9 (22) августа 1916 г. Особое совещание по обороне решило передать заготовку жидкого хлора особой комиссии, учрежденной при Сенате, и на оборудование двух заводов отпустило 3.200.000 рублей. Комиссия была образована по образцу русских хозяйственных комиссий с участием представителей от русского правительства - от Государственного контроля и от Химического комитета - профессора Лялина, который председательствовал в комиссии. </w:t>
      </w:r>
    </w:p>
    <w:p w14:paraId="637FED7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8. Попытка получить в России фосген от частной промышленности потерпела неудачу, вследствие назначения чрезвычайно высоких цен на жидкий фосген и отсутствия гарантий в своевременном выполнении заказов. </w:t>
      </w:r>
    </w:p>
    <w:p w14:paraId="3DC5170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Поэтому, имея в виду, главным образом, нормировку цен на фосген и скорейшее получение этого важного для обороны удушающего средства, комиссия УС при ГАУ установила необходимость постройки казенного фосгенного завода. </w:t>
      </w:r>
    </w:p>
    <w:p w14:paraId="4D10BDC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Завод был построен в одном из городов Поволжья и пущен в ход в конце 1916 г. </w:t>
      </w:r>
    </w:p>
    <w:p w14:paraId="164E815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9. В июле 1915 г. распоряжением главковерха (приказ № 625) организован был в районе Юго-западного фронта военно-химическпй завод для выработки хлорацетона, вызывающего слезотечение. До ноября 1915 г. завод находился в ведении начальника инженерных снабжений фронта, а затем поступил в распоряжение ГАУ, которое расширило завод, устроило в нем лабораторию и установило производство </w:t>
      </w:r>
      <w:proofErr w:type="gramStart"/>
      <w:r w:rsidRPr="00405303">
        <w:rPr>
          <w:bCs/>
          <w:i w:val="0"/>
          <w:color w:val="002060"/>
          <w:spacing w:val="0"/>
          <w:kern w:val="0"/>
          <w:position w:val="0"/>
          <w:sz w:val="16"/>
          <w:szCs w:val="16"/>
        </w:rPr>
        <w:t>хлор-пикрина</w:t>
      </w:r>
      <w:proofErr w:type="gramEnd"/>
      <w:r w:rsidRPr="00405303">
        <w:rPr>
          <w:bCs/>
          <w:i w:val="0"/>
          <w:color w:val="002060"/>
          <w:spacing w:val="0"/>
          <w:kern w:val="0"/>
          <w:position w:val="0"/>
          <w:sz w:val="16"/>
          <w:szCs w:val="16"/>
        </w:rPr>
        <w:t xml:space="preserve"> (11483).</w:t>
      </w:r>
    </w:p>
    <w:p w14:paraId="5CC5E4D0" w14:textId="77777777" w:rsidR="004B4E35" w:rsidRPr="00405303" w:rsidRDefault="004B4E35" w:rsidP="00C15251">
      <w:pPr>
        <w:pStyle w:val="a3"/>
        <w:jc w:val="both"/>
        <w:rPr>
          <w:bCs/>
          <w:i w:val="0"/>
          <w:color w:val="002060"/>
          <w:spacing w:val="0"/>
          <w:kern w:val="0"/>
          <w:position w:val="0"/>
          <w:sz w:val="16"/>
          <w:szCs w:val="16"/>
        </w:rPr>
      </w:pPr>
    </w:p>
    <w:p w14:paraId="65033644" w14:textId="0AD4D21F" w:rsidR="008352B3" w:rsidRPr="00405303" w:rsidRDefault="009E6F82" w:rsidP="00C15251">
      <w:pPr>
        <w:shd w:val="clear" w:color="auto" w:fill="FFFFFF"/>
        <w:jc w:val="both"/>
        <w:rPr>
          <w:bCs/>
          <w:color w:val="002060"/>
          <w:sz w:val="16"/>
          <w:szCs w:val="16"/>
        </w:rPr>
      </w:pPr>
      <w:r w:rsidRPr="00405303">
        <w:rPr>
          <w:bCs/>
          <w:color w:val="002060"/>
          <w:sz w:val="16"/>
          <w:szCs w:val="16"/>
        </w:rPr>
        <w:t>Взрыв</w:t>
      </w:r>
      <w:r w:rsidRPr="00405303">
        <w:rPr>
          <w:bCs/>
          <w:color w:val="002060"/>
          <w:sz w:val="16"/>
          <w:szCs w:val="16"/>
        </w:rPr>
        <w:softHyphen/>
        <w:t xml:space="preserve">чатых веществ, производимых отечественными заводами, не хватало, поэтому ГАУ в первый год войны сделало за границей,. Однако Россия </w:t>
      </w:r>
    </w:p>
    <w:p w14:paraId="59032FC6" w14:textId="77777777" w:rsidR="008352B3" w:rsidRPr="00405303" w:rsidRDefault="008352B3" w:rsidP="00C15251">
      <w:pPr>
        <w:shd w:val="clear" w:color="auto" w:fill="FFFFFF"/>
        <w:jc w:val="both"/>
        <w:rPr>
          <w:bCs/>
          <w:color w:val="002060"/>
          <w:sz w:val="16"/>
          <w:szCs w:val="16"/>
        </w:rPr>
      </w:pPr>
    </w:p>
    <w:p w14:paraId="2EE7EE75" w14:textId="0CE794B4" w:rsidR="004B4E35" w:rsidRPr="00405303" w:rsidRDefault="008352B3" w:rsidP="00C15251">
      <w:pPr>
        <w:shd w:val="clear" w:color="auto" w:fill="FFFFFF"/>
        <w:jc w:val="both"/>
        <w:rPr>
          <w:bCs/>
          <w:color w:val="002060"/>
          <w:sz w:val="16"/>
          <w:szCs w:val="16"/>
        </w:rPr>
      </w:pPr>
      <w:r w:rsidRPr="00405303">
        <w:rPr>
          <w:bCs/>
          <w:color w:val="002060"/>
          <w:sz w:val="16"/>
          <w:szCs w:val="16"/>
        </w:rPr>
        <w:t>Д</w:t>
      </w:r>
      <w:r w:rsidR="009E6F82" w:rsidRPr="00405303">
        <w:rPr>
          <w:bCs/>
          <w:color w:val="002060"/>
          <w:sz w:val="16"/>
          <w:szCs w:val="16"/>
        </w:rPr>
        <w:t xml:space="preserve">о декабря 1915 г. </w:t>
      </w:r>
      <w:r w:rsidRPr="00405303">
        <w:rPr>
          <w:bCs/>
          <w:color w:val="002060"/>
          <w:sz w:val="16"/>
          <w:szCs w:val="16"/>
        </w:rPr>
        <w:t xml:space="preserve">по 30 заказам на поставку взрывчатых веществ, размещенным в основном в США на 2 749 870 пудов, Россия </w:t>
      </w:r>
      <w:r w:rsidR="009E6F82" w:rsidRPr="00405303">
        <w:rPr>
          <w:bCs/>
          <w:color w:val="002060"/>
          <w:sz w:val="16"/>
          <w:szCs w:val="16"/>
        </w:rPr>
        <w:t>получила всего 722 585 пудов взрывчатых веществ, в том числе 64 118 пудов троти</w:t>
      </w:r>
      <w:r w:rsidR="009E6F82" w:rsidRPr="00405303">
        <w:rPr>
          <w:bCs/>
          <w:color w:val="002060"/>
          <w:sz w:val="16"/>
          <w:szCs w:val="16"/>
        </w:rPr>
        <w:softHyphen/>
        <w:t>ла, 16 173 пудов пикриновой кислоты, 367 575 пудов аммонала, 12000 пудов шнейдерита и 262719 пудов аммиачной селитры [5, с. 220] (5484).</w:t>
      </w:r>
    </w:p>
    <w:p w14:paraId="12B3D1C1" w14:textId="77777777" w:rsidR="004B4E35" w:rsidRPr="00405303" w:rsidRDefault="004B4E35" w:rsidP="00C15251">
      <w:pPr>
        <w:shd w:val="clear" w:color="auto" w:fill="FFFFFF"/>
        <w:jc w:val="both"/>
        <w:rPr>
          <w:bCs/>
          <w:color w:val="002060"/>
          <w:sz w:val="16"/>
          <w:szCs w:val="16"/>
        </w:rPr>
      </w:pPr>
    </w:p>
    <w:p w14:paraId="17828506" w14:textId="297C2A3E" w:rsidR="004B4E35" w:rsidRPr="00405303" w:rsidRDefault="008352B3" w:rsidP="00C15251">
      <w:pPr>
        <w:jc w:val="both"/>
        <w:rPr>
          <w:bCs/>
          <w:color w:val="002060"/>
          <w:sz w:val="16"/>
          <w:szCs w:val="16"/>
        </w:rPr>
      </w:pPr>
      <w:r w:rsidRPr="00405303">
        <w:rPr>
          <w:bCs/>
          <w:color w:val="002060"/>
          <w:sz w:val="16"/>
          <w:szCs w:val="16"/>
        </w:rPr>
        <w:t>В д</w:t>
      </w:r>
      <w:r w:rsidR="009E6F82" w:rsidRPr="00405303">
        <w:rPr>
          <w:bCs/>
          <w:color w:val="002060"/>
          <w:sz w:val="16"/>
          <w:szCs w:val="16"/>
        </w:rPr>
        <w:t>екабр</w:t>
      </w:r>
      <w:r w:rsidRPr="00405303">
        <w:rPr>
          <w:bCs/>
          <w:color w:val="002060"/>
          <w:sz w:val="16"/>
          <w:szCs w:val="16"/>
        </w:rPr>
        <w:t>е</w:t>
      </w:r>
      <w:r w:rsidR="009E6F82" w:rsidRPr="00405303">
        <w:rPr>
          <w:bCs/>
          <w:color w:val="002060"/>
          <w:sz w:val="16"/>
          <w:szCs w:val="16"/>
        </w:rPr>
        <w:t xml:space="preserve"> 1915 г. </w:t>
      </w:r>
      <w:r w:rsidRPr="00405303">
        <w:rPr>
          <w:bCs/>
          <w:color w:val="002060"/>
          <w:sz w:val="16"/>
          <w:szCs w:val="16"/>
        </w:rPr>
        <w:t>и</w:t>
      </w:r>
      <w:r w:rsidR="009E6F82" w:rsidRPr="00405303">
        <w:rPr>
          <w:bCs/>
          <w:color w:val="002060"/>
          <w:sz w:val="16"/>
          <w:szCs w:val="16"/>
        </w:rPr>
        <w:t>спытания БА конструкции Кегресса (полугусеничный). Общий восторг – бронеавтомобиль имеет великолепную проходимость! Решено в кратчайшие сроки начать производство БМ-4 (БМ-1 на шасси Кегресса) (10678).</w:t>
      </w:r>
    </w:p>
    <w:p w14:paraId="0535FB98" w14:textId="77777777" w:rsidR="004B4E35" w:rsidRPr="00405303" w:rsidRDefault="004B4E35" w:rsidP="00C15251">
      <w:pPr>
        <w:jc w:val="both"/>
        <w:rPr>
          <w:bCs/>
          <w:color w:val="002060"/>
          <w:sz w:val="16"/>
          <w:szCs w:val="16"/>
        </w:rPr>
      </w:pPr>
    </w:p>
    <w:p w14:paraId="0301A37B" w14:textId="77777777" w:rsidR="004B4E35" w:rsidRPr="00405303" w:rsidRDefault="009E6F82" w:rsidP="00C15251">
      <w:pPr>
        <w:jc w:val="both"/>
        <w:rPr>
          <w:bCs/>
          <w:color w:val="002060"/>
          <w:sz w:val="16"/>
          <w:szCs w:val="16"/>
        </w:rPr>
      </w:pPr>
      <w:r w:rsidRPr="00405303">
        <w:rPr>
          <w:bCs/>
          <w:color w:val="002060"/>
          <w:sz w:val="16"/>
          <w:szCs w:val="16"/>
        </w:rPr>
        <w:t>С декабря 1915 и по октябрь 1916 года шла бюрократическая переписка, были заторможены все работы над «Вездеходом». Подлинные чертежи первого «Вездехода» А. А. Пороховщикова еще не удалосьразыскать. Сравнительно недавно были обнаружены документы, по которымудалось восстановить в основных чертах историю его постройки, а также былинайдены фотоснимки машины, сделанные во время ее испытаний (11194).</w:t>
      </w:r>
    </w:p>
    <w:p w14:paraId="70E94E11" w14:textId="77777777" w:rsidR="004B4E35" w:rsidRPr="00405303" w:rsidRDefault="004B4E35" w:rsidP="00C15251">
      <w:pPr>
        <w:jc w:val="both"/>
        <w:rPr>
          <w:bCs/>
          <w:color w:val="002060"/>
          <w:sz w:val="16"/>
          <w:szCs w:val="16"/>
        </w:rPr>
      </w:pPr>
    </w:p>
    <w:p w14:paraId="1B107BE3" w14:textId="2FFC1621" w:rsidR="004B4E35" w:rsidRPr="00405303" w:rsidRDefault="009E6F82" w:rsidP="00C15251">
      <w:pPr>
        <w:shd w:val="clear" w:color="auto" w:fill="FFFFFF"/>
        <w:jc w:val="both"/>
        <w:rPr>
          <w:bCs/>
          <w:color w:val="002060"/>
          <w:sz w:val="16"/>
          <w:szCs w:val="16"/>
        </w:rPr>
      </w:pPr>
      <w:bookmarkStart w:id="335" w:name="_Hlk117863446"/>
      <w:r w:rsidRPr="00405303">
        <w:rPr>
          <w:bCs/>
          <w:color w:val="002060"/>
          <w:sz w:val="16"/>
          <w:szCs w:val="16"/>
        </w:rPr>
        <w:t>В декабре 1915 г. в г. Ораниенбауме в мастерских Офи</w:t>
      </w:r>
      <w:r w:rsidRPr="00405303">
        <w:rPr>
          <w:bCs/>
          <w:color w:val="002060"/>
          <w:sz w:val="16"/>
          <w:szCs w:val="16"/>
        </w:rPr>
        <w:softHyphen/>
        <w:t xml:space="preserve">церской стрелковой школы началась постройка </w:t>
      </w:r>
      <w:r w:rsidR="008352B3" w:rsidRPr="00405303">
        <w:rPr>
          <w:bCs/>
          <w:color w:val="002060"/>
          <w:sz w:val="16"/>
          <w:szCs w:val="16"/>
        </w:rPr>
        <w:t>легкой штурмовой бронемашины с короткостволь</w:t>
      </w:r>
      <w:r w:rsidR="008352B3" w:rsidRPr="00405303">
        <w:rPr>
          <w:bCs/>
          <w:color w:val="002060"/>
          <w:sz w:val="16"/>
          <w:szCs w:val="16"/>
        </w:rPr>
        <w:softHyphen/>
        <w:t>ной трехдюймовой пушкой на трехколесном шасси, разработанной под руководством начальника Офицерской стрелко</w:t>
      </w:r>
      <w:r w:rsidR="008352B3" w:rsidRPr="00405303">
        <w:rPr>
          <w:bCs/>
          <w:color w:val="002060"/>
          <w:sz w:val="16"/>
          <w:szCs w:val="16"/>
        </w:rPr>
        <w:softHyphen/>
        <w:t>вой школы генерал-майора Н. М. Филатова</w:t>
      </w:r>
      <w:r w:rsidRPr="00405303">
        <w:rPr>
          <w:bCs/>
          <w:color w:val="002060"/>
          <w:sz w:val="16"/>
          <w:szCs w:val="16"/>
        </w:rPr>
        <w:t>. В начале 1916 г. ввиду неподачи артиллерийских орудий («короткие» 76,2-мм пушки были в дефиците), здесь началось также изготовление бронированных «трех</w:t>
      </w:r>
      <w:r w:rsidRPr="00405303">
        <w:rPr>
          <w:bCs/>
          <w:color w:val="002060"/>
          <w:sz w:val="16"/>
          <w:szCs w:val="16"/>
        </w:rPr>
        <w:softHyphen/>
        <w:t>колесок», вооруженных двумя станковыми пулеметами (11417).</w:t>
      </w:r>
    </w:p>
    <w:p w14:paraId="626D6C42" w14:textId="77777777" w:rsidR="004B4E35" w:rsidRPr="00405303" w:rsidRDefault="004B4E35" w:rsidP="00C15251">
      <w:pPr>
        <w:shd w:val="clear" w:color="auto" w:fill="FFFFFF"/>
        <w:jc w:val="both"/>
        <w:rPr>
          <w:bCs/>
          <w:color w:val="002060"/>
          <w:sz w:val="16"/>
          <w:szCs w:val="16"/>
        </w:rPr>
      </w:pPr>
    </w:p>
    <w:bookmarkEnd w:id="335"/>
    <w:p w14:paraId="1ADF140B" w14:textId="7D876408" w:rsidR="004B4E35" w:rsidRPr="00405303" w:rsidRDefault="009E6F82" w:rsidP="00C15251">
      <w:pPr>
        <w:jc w:val="both"/>
        <w:rPr>
          <w:bCs/>
          <w:color w:val="002060"/>
          <w:sz w:val="16"/>
          <w:szCs w:val="16"/>
        </w:rPr>
      </w:pPr>
      <w:r w:rsidRPr="00405303">
        <w:rPr>
          <w:bCs/>
          <w:color w:val="002060"/>
          <w:sz w:val="16"/>
          <w:szCs w:val="16"/>
        </w:rPr>
        <w:t>В декабре 1915 года офицер 7-го автоброневого дивизиона Юго-Западногофронта штабс-капитан Поплавко предложил конструкцию бронеавтомобиля,</w:t>
      </w:r>
      <w:r w:rsidR="008352B3" w:rsidRPr="00405303">
        <w:rPr>
          <w:bCs/>
          <w:color w:val="002060"/>
          <w:sz w:val="16"/>
          <w:szCs w:val="16"/>
        </w:rPr>
        <w:t xml:space="preserve"> </w:t>
      </w:r>
      <w:r w:rsidRPr="00405303">
        <w:rPr>
          <w:bCs/>
          <w:color w:val="002060"/>
          <w:sz w:val="16"/>
          <w:szCs w:val="16"/>
        </w:rPr>
        <w:t>броневой корпус которого был приспособлен для разрушения проволочныхзаграждений. Повышенная проходимость обеспечивалась использованием шасси счетырьмя ведущими колесами. Бронеавтомобиль такого типа был вскоре построени испытан. Благодаря специальной форме корпуса автомобиль, двигаясь соскоростью 5—6 км/час, ломал и выворачивал колья, рвал проволоку и с помощьюособого возимого на нем моста переходил через канавы и траншеи. Поплавкобыл вызван в Петроград, где под его руководством был изготовленбронеавтомобиль, который испытывался в июле 1916 года на Ижорском полигоне.</w:t>
      </w:r>
    </w:p>
    <w:p w14:paraId="7B10AB55" w14:textId="77777777" w:rsidR="004B4E35" w:rsidRPr="00405303" w:rsidRDefault="009E6F82" w:rsidP="00C15251">
      <w:pPr>
        <w:jc w:val="both"/>
        <w:rPr>
          <w:bCs/>
          <w:color w:val="002060"/>
          <w:sz w:val="16"/>
          <w:szCs w:val="16"/>
        </w:rPr>
      </w:pPr>
      <w:r w:rsidRPr="00405303">
        <w:rPr>
          <w:bCs/>
          <w:color w:val="002060"/>
          <w:sz w:val="16"/>
          <w:szCs w:val="16"/>
        </w:rPr>
        <w:t>Испытание проводилось после дождя на глинистом и частично торфяном грунте, Бронеавтомобиль преодолел проволочное заграждение в 5 рядов (колья высотой 1— 2 метра) и заграждение из рогаток, переплетенных колючей проволокой. После испытаний военное министерство заказало 30 бронеавтомобилей этой конструкции. Сформированный из них особыйавтоброневой дивизион в октябре 1916 года был отправлен на Юго-Западныйфронт (11194).</w:t>
      </w:r>
    </w:p>
    <w:p w14:paraId="4989C4B4" w14:textId="77777777" w:rsidR="004B4E35" w:rsidRPr="00405303" w:rsidRDefault="004B4E35" w:rsidP="00C15251">
      <w:pPr>
        <w:jc w:val="both"/>
        <w:rPr>
          <w:bCs/>
          <w:color w:val="002060"/>
          <w:sz w:val="16"/>
          <w:szCs w:val="16"/>
        </w:rPr>
      </w:pPr>
    </w:p>
    <w:p w14:paraId="454C0BBA" w14:textId="77777777" w:rsidR="004B4E35" w:rsidRPr="00405303" w:rsidRDefault="009E6F82" w:rsidP="00C15251">
      <w:pPr>
        <w:jc w:val="both"/>
        <w:rPr>
          <w:bCs/>
          <w:color w:val="002060"/>
          <w:sz w:val="16"/>
          <w:szCs w:val="16"/>
        </w:rPr>
      </w:pPr>
      <w:r w:rsidRPr="00405303">
        <w:rPr>
          <w:bCs/>
          <w:color w:val="002060"/>
          <w:sz w:val="16"/>
          <w:szCs w:val="16"/>
        </w:rPr>
        <w:t>В декабре 1915 года поручик Быковец предложил разрушать проволочныезаграждения тяжелым бронированным трактором на 8 ведущих колесах. Былопроведено испытание по разрушению проволочных заграждений колеснымтрактором, который весил около 10 т и имел двигатель в 65 л. с. Трактор былпущен задним ходом на специально построенные проволочные заграждения,которые и были им разрушены.</w:t>
      </w:r>
    </w:p>
    <w:p w14:paraId="116AAC59" w14:textId="77777777" w:rsidR="004B4E35" w:rsidRPr="00405303" w:rsidRDefault="009E6F82" w:rsidP="00C15251">
      <w:pPr>
        <w:jc w:val="both"/>
        <w:rPr>
          <w:bCs/>
          <w:color w:val="002060"/>
          <w:sz w:val="16"/>
          <w:szCs w:val="16"/>
        </w:rPr>
      </w:pPr>
      <w:r w:rsidRPr="00405303">
        <w:rPr>
          <w:bCs/>
          <w:color w:val="002060"/>
          <w:sz w:val="16"/>
          <w:szCs w:val="16"/>
        </w:rPr>
        <w:t>Для характеристики косности и рутинерства, с которыми приходилосьсталкиваться русским изобретателям в то время, весьма характерно заключениекомиссии, проводившей это испытание. Ее выводы были следующие: «...отспособа уничтожить проволочную сеть массою дорогого металла в виде тракторанадлежит отказаться. ...Тяжелый трактор может сминать проволочноезаграждение, но добраться такому трактору по изрытому снарядами пахотномуполю под артиллерийским огнем противника... при скорости движения от 6 до 8 верстпредставляется едва ли возможным».</w:t>
      </w:r>
    </w:p>
    <w:p w14:paraId="44629AA3" w14:textId="77777777" w:rsidR="004B4E35" w:rsidRPr="00405303" w:rsidRDefault="009E6F82" w:rsidP="00C15251">
      <w:pPr>
        <w:jc w:val="both"/>
        <w:rPr>
          <w:bCs/>
          <w:color w:val="002060"/>
          <w:sz w:val="16"/>
          <w:szCs w:val="16"/>
        </w:rPr>
      </w:pPr>
      <w:r w:rsidRPr="00405303">
        <w:rPr>
          <w:bCs/>
          <w:color w:val="002060"/>
          <w:sz w:val="16"/>
          <w:szCs w:val="16"/>
        </w:rPr>
        <w:t>Заключение комиссии по предложению Быковца было переслано в техническийкомитет Главного военно-технического управления, который на одном из своихзаседаний его «принял к сведению» (11194).</w:t>
      </w:r>
    </w:p>
    <w:p w14:paraId="15D343EC" w14:textId="77777777" w:rsidR="004B4E35" w:rsidRPr="00405303" w:rsidRDefault="004B4E35" w:rsidP="00C15251">
      <w:pPr>
        <w:jc w:val="both"/>
        <w:rPr>
          <w:bCs/>
          <w:color w:val="002060"/>
          <w:sz w:val="16"/>
          <w:szCs w:val="16"/>
        </w:rPr>
      </w:pPr>
    </w:p>
    <w:p w14:paraId="1ACFE287" w14:textId="77777777" w:rsidR="004458AB" w:rsidRPr="00405303" w:rsidRDefault="004458AB" w:rsidP="00C15251">
      <w:pPr>
        <w:jc w:val="both"/>
        <w:rPr>
          <w:iCs/>
          <w:color w:val="002060"/>
          <w:sz w:val="16"/>
          <w:szCs w:val="16"/>
        </w:rPr>
      </w:pPr>
      <w:r w:rsidRPr="00405303">
        <w:rPr>
          <w:i/>
          <w:iCs/>
          <w:color w:val="002060"/>
          <w:sz w:val="16"/>
          <w:szCs w:val="16"/>
        </w:rPr>
        <w:t>Армия:</w:t>
      </w:r>
    </w:p>
    <w:p w14:paraId="34322777" w14:textId="77777777" w:rsidR="004458AB" w:rsidRPr="00405303" w:rsidRDefault="004458AB" w:rsidP="00C15251">
      <w:pPr>
        <w:jc w:val="both"/>
        <w:rPr>
          <w:iCs/>
          <w:color w:val="002060"/>
          <w:sz w:val="16"/>
          <w:szCs w:val="16"/>
        </w:rPr>
      </w:pPr>
    </w:p>
    <w:p w14:paraId="0320D295" w14:textId="77777777" w:rsidR="004458AB" w:rsidRPr="00405303" w:rsidRDefault="004458AB" w:rsidP="00C15251">
      <w:pPr>
        <w:jc w:val="both"/>
        <w:rPr>
          <w:color w:val="002060"/>
          <w:sz w:val="16"/>
          <w:szCs w:val="16"/>
        </w:rPr>
      </w:pPr>
      <w:r w:rsidRPr="00405303">
        <w:rPr>
          <w:color w:val="002060"/>
          <w:sz w:val="16"/>
          <w:szCs w:val="16"/>
        </w:rPr>
        <w:t>В декабре 1915 года на юго-западном фронте начались неудачные атаки австрийских позиций, а в марте 1916 года были сделаны попытки наступления и на германском фронте, но тоже неудачно. Разбор обеих операций показал, что в числе прочих причин неудачи произошли от того, что не была налажена разведывательная служба штабов, не было хороших схем укрепленных позиций противника, описаний их и т.д. Ряд неудач заставил, наконец, прозреть: посыпались всякие наставления по организации разведывательной службы (особенно в начале 1917 года) (7559).</w:t>
      </w:r>
    </w:p>
    <w:p w14:paraId="1D3B4325" w14:textId="77777777" w:rsidR="004458AB" w:rsidRPr="00405303" w:rsidRDefault="004458AB" w:rsidP="00C15251">
      <w:pPr>
        <w:jc w:val="both"/>
        <w:rPr>
          <w:color w:val="002060"/>
          <w:sz w:val="16"/>
          <w:szCs w:val="16"/>
        </w:rPr>
      </w:pPr>
    </w:p>
    <w:p w14:paraId="64E16D01"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371FA903" w14:textId="77777777" w:rsidR="004B4E35" w:rsidRPr="00405303" w:rsidRDefault="004B4E35" w:rsidP="00C15251">
      <w:pPr>
        <w:jc w:val="both"/>
        <w:rPr>
          <w:bCs/>
          <w:i/>
          <w:color w:val="002060"/>
          <w:sz w:val="16"/>
          <w:szCs w:val="16"/>
        </w:rPr>
      </w:pPr>
    </w:p>
    <w:p w14:paraId="54A3B646" w14:textId="5C711E3A"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В декабре 1915 </w:t>
      </w:r>
      <w:r w:rsidR="008352B3" w:rsidRPr="00405303">
        <w:rPr>
          <w:bCs/>
          <w:color w:val="002060"/>
          <w:sz w:val="16"/>
          <w:szCs w:val="16"/>
        </w:rPr>
        <w:t>н</w:t>
      </w:r>
      <w:r w:rsidRPr="00405303">
        <w:rPr>
          <w:bCs/>
          <w:color w:val="002060"/>
          <w:sz w:val="16"/>
          <w:szCs w:val="16"/>
        </w:rPr>
        <w:t>ачало</w:t>
      </w:r>
      <w:r w:rsidR="008352B3" w:rsidRPr="00405303">
        <w:rPr>
          <w:bCs/>
          <w:color w:val="002060"/>
          <w:sz w:val="16"/>
          <w:szCs w:val="16"/>
        </w:rPr>
        <w:t>сь</w:t>
      </w:r>
      <w:r w:rsidRPr="00405303">
        <w:rPr>
          <w:bCs/>
          <w:color w:val="002060"/>
          <w:sz w:val="16"/>
          <w:szCs w:val="16"/>
        </w:rPr>
        <w:t xml:space="preserve"> обучени</w:t>
      </w:r>
      <w:r w:rsidR="008352B3" w:rsidRPr="00405303">
        <w:rPr>
          <w:bCs/>
          <w:color w:val="002060"/>
          <w:sz w:val="16"/>
          <w:szCs w:val="16"/>
        </w:rPr>
        <w:t>е</w:t>
      </w:r>
      <w:r w:rsidRPr="00405303">
        <w:rPr>
          <w:bCs/>
          <w:color w:val="002060"/>
          <w:sz w:val="16"/>
          <w:szCs w:val="16"/>
        </w:rPr>
        <w:t xml:space="preserve"> военных летчиков в частной Школе авиации Московского общества воздухоплавания (1137).</w:t>
      </w:r>
    </w:p>
    <w:p w14:paraId="279481A2" w14:textId="77777777" w:rsidR="004B4E35" w:rsidRPr="00405303" w:rsidRDefault="004B4E35" w:rsidP="00C15251">
      <w:pPr>
        <w:shd w:val="clear" w:color="auto" w:fill="FFFFFF"/>
        <w:jc w:val="both"/>
        <w:rPr>
          <w:bCs/>
          <w:color w:val="002060"/>
          <w:sz w:val="16"/>
          <w:szCs w:val="16"/>
        </w:rPr>
      </w:pPr>
    </w:p>
    <w:p w14:paraId="073DF467" w14:textId="3DD18233"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Декабрь 1915 </w:t>
      </w:r>
      <w:r w:rsidR="008352B3" w:rsidRPr="00405303">
        <w:rPr>
          <w:bCs/>
          <w:color w:val="002060"/>
          <w:sz w:val="16"/>
          <w:szCs w:val="16"/>
        </w:rPr>
        <w:t>н</w:t>
      </w:r>
      <w:r w:rsidRPr="00405303">
        <w:rPr>
          <w:bCs/>
          <w:color w:val="002060"/>
          <w:sz w:val="16"/>
          <w:szCs w:val="16"/>
        </w:rPr>
        <w:t>ачало</w:t>
      </w:r>
      <w:r w:rsidR="008352B3" w:rsidRPr="00405303">
        <w:rPr>
          <w:bCs/>
          <w:color w:val="002060"/>
          <w:sz w:val="16"/>
          <w:szCs w:val="16"/>
        </w:rPr>
        <w:t>сь</w:t>
      </w:r>
      <w:r w:rsidRPr="00405303">
        <w:rPr>
          <w:bCs/>
          <w:color w:val="002060"/>
          <w:sz w:val="16"/>
          <w:szCs w:val="16"/>
        </w:rPr>
        <w:t xml:space="preserve"> обучени</w:t>
      </w:r>
      <w:r w:rsidR="008352B3" w:rsidRPr="00405303">
        <w:rPr>
          <w:bCs/>
          <w:color w:val="002060"/>
          <w:sz w:val="16"/>
          <w:szCs w:val="16"/>
        </w:rPr>
        <w:t>е</w:t>
      </w:r>
      <w:r w:rsidRPr="00405303">
        <w:rPr>
          <w:bCs/>
          <w:color w:val="002060"/>
          <w:sz w:val="16"/>
          <w:szCs w:val="16"/>
        </w:rPr>
        <w:t xml:space="preserve"> военных летчиков в частной Школе авиации Московского общества воздухоплавания (11425).</w:t>
      </w:r>
    </w:p>
    <w:p w14:paraId="6ED5D102" w14:textId="77777777" w:rsidR="004B4E35" w:rsidRPr="00405303" w:rsidRDefault="004B4E35" w:rsidP="00C15251">
      <w:pPr>
        <w:shd w:val="clear" w:color="auto" w:fill="FFFFFF"/>
        <w:jc w:val="both"/>
        <w:rPr>
          <w:bCs/>
          <w:color w:val="002060"/>
          <w:sz w:val="16"/>
          <w:szCs w:val="16"/>
        </w:rPr>
      </w:pPr>
    </w:p>
    <w:p w14:paraId="2070F822" w14:textId="77777777" w:rsidR="006E36DA" w:rsidRPr="00405303" w:rsidRDefault="006E36DA" w:rsidP="00C15251">
      <w:pPr>
        <w:jc w:val="both"/>
        <w:rPr>
          <w:bCs/>
          <w:color w:val="002060"/>
          <w:sz w:val="16"/>
          <w:szCs w:val="16"/>
        </w:rPr>
      </w:pPr>
      <w:r w:rsidRPr="00405303">
        <w:rPr>
          <w:bCs/>
          <w:color w:val="002060"/>
          <w:sz w:val="16"/>
          <w:szCs w:val="16"/>
          <w:lang w:bidi="en-US"/>
        </w:rPr>
        <w:t>В декабре 1915 года генерал Петр Константинович Кондзеровский был дежурным в Ставке и ведал делами ЭВК. Он был близок к командиру ЭВК Шидловскому. Кондзеровский был начальником кадров и организации при начальнике штаба Верховного ЦИК. Он служил в Ставке с августа 1914 года по март 1917 года и отвечал за назначения, продвижения по службе и награды (23525).</w:t>
      </w:r>
    </w:p>
    <w:p w14:paraId="28EBF92F" w14:textId="77777777" w:rsidR="006E36DA" w:rsidRPr="00405303" w:rsidRDefault="006E36DA" w:rsidP="00C15251">
      <w:pPr>
        <w:jc w:val="both"/>
        <w:rPr>
          <w:bCs/>
          <w:color w:val="002060"/>
          <w:sz w:val="16"/>
          <w:szCs w:val="16"/>
        </w:rPr>
      </w:pPr>
    </w:p>
    <w:p w14:paraId="7FC348D3" w14:textId="77777777" w:rsidR="006E36DA" w:rsidRPr="00405303" w:rsidRDefault="006E36DA" w:rsidP="00C15251">
      <w:pPr>
        <w:jc w:val="both"/>
        <w:rPr>
          <w:bCs/>
          <w:color w:val="002060"/>
          <w:sz w:val="16"/>
          <w:szCs w:val="16"/>
          <w:lang w:bidi="en-US"/>
        </w:rPr>
      </w:pPr>
      <w:r w:rsidRPr="00405303">
        <w:rPr>
          <w:bCs/>
          <w:color w:val="002060"/>
          <w:sz w:val="16"/>
          <w:szCs w:val="16"/>
          <w:lang w:bidi="en-US"/>
        </w:rPr>
        <w:t>В декабре 1915 года после семнадцати месяцев войны Россия потеряла более 320 000 человек убитыми и смертельно ранеными, плюс еще 1 550 000 пленных или пропавших без вести. Ушли многие из лучших младших офицеров и унтер-офицеров. Армия была вынуждена набрать большое количество недовольных мужчин, чтобы восполнить большие потери в офицерском корпусе. Многие из таких людей были поставлены во главе военных складов в Петрограде, Москве, Киеве и других местах (23525).</w:t>
      </w:r>
    </w:p>
    <w:p w14:paraId="01CDD52C" w14:textId="77777777" w:rsidR="006E36DA" w:rsidRPr="00405303" w:rsidRDefault="006E36DA" w:rsidP="00C15251">
      <w:pPr>
        <w:jc w:val="both"/>
        <w:rPr>
          <w:bCs/>
          <w:color w:val="002060"/>
          <w:sz w:val="16"/>
          <w:szCs w:val="16"/>
        </w:rPr>
      </w:pPr>
    </w:p>
    <w:p w14:paraId="507798AE" w14:textId="77777777" w:rsidR="006E36DA" w:rsidRPr="00405303" w:rsidRDefault="006E36DA" w:rsidP="00C15251">
      <w:pPr>
        <w:jc w:val="both"/>
        <w:rPr>
          <w:bCs/>
          <w:color w:val="002060"/>
          <w:sz w:val="16"/>
          <w:szCs w:val="16"/>
        </w:rPr>
      </w:pPr>
      <w:r w:rsidRPr="00405303">
        <w:rPr>
          <w:bCs/>
          <w:color w:val="002060"/>
          <w:sz w:val="16"/>
          <w:szCs w:val="16"/>
          <w:lang w:bidi="en-US"/>
        </w:rPr>
        <w:t>В декабре 1915 по мере стабилизации фронта русские зенитные батареи на ключевых участках нуждались в прикрытии от воздушных атак и получали пулеметные взводы, иногда из пехотных войск, которые в основном использовали «Максимы» и «Кольты», установленные на полевых установках (23525).</w:t>
      </w:r>
    </w:p>
    <w:p w14:paraId="17291EB0" w14:textId="77777777" w:rsidR="006E36DA" w:rsidRPr="00405303" w:rsidRDefault="006E36DA" w:rsidP="00C15251">
      <w:pPr>
        <w:jc w:val="both"/>
        <w:rPr>
          <w:bCs/>
          <w:color w:val="002060"/>
          <w:sz w:val="16"/>
          <w:szCs w:val="16"/>
        </w:rPr>
      </w:pPr>
    </w:p>
    <w:p w14:paraId="1F8AF764" w14:textId="77777777" w:rsidR="006E36DA" w:rsidRPr="00405303" w:rsidRDefault="006E36DA" w:rsidP="00C15251">
      <w:pPr>
        <w:jc w:val="both"/>
        <w:rPr>
          <w:bCs/>
          <w:color w:val="002060"/>
          <w:sz w:val="16"/>
          <w:szCs w:val="16"/>
        </w:rPr>
      </w:pPr>
      <w:r w:rsidRPr="00405303">
        <w:rPr>
          <w:bCs/>
          <w:color w:val="002060"/>
          <w:sz w:val="16"/>
          <w:szCs w:val="16"/>
          <w:lang w:bidi="en-US"/>
        </w:rPr>
        <w:t>В декабре 1915 г. авиационные роты теперь расположены следующим образом: вновь сформированная 7-я авиационная рота в Пскове на Северном фронте; 2-я авиационная рота в Брянске, 4-я авиационная рота в Витебске и 5-я авиационная рота в Смоленске, все на Западном фронте; 3-я авиационная рота в Киеве, 6-я авиационная рота в Виннице, обе на Юго-Западном фронте. Осенью 1916 года 6-я авиационная рота была переброшена в Одессу для снабжения 6-го и 9-го авиационных батальонов на Румынском фронте (23525).</w:t>
      </w:r>
    </w:p>
    <w:p w14:paraId="31418CAC" w14:textId="77777777" w:rsidR="006E36DA" w:rsidRPr="00405303" w:rsidRDefault="006E36DA" w:rsidP="00C15251">
      <w:pPr>
        <w:jc w:val="both"/>
        <w:rPr>
          <w:bCs/>
          <w:color w:val="002060"/>
          <w:sz w:val="16"/>
          <w:szCs w:val="16"/>
        </w:rPr>
      </w:pPr>
    </w:p>
    <w:p w14:paraId="1BC01F68" w14:textId="1EE519F2"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34819EFD" w14:textId="77777777" w:rsidR="004B4E35" w:rsidRPr="00405303" w:rsidRDefault="004B4E35" w:rsidP="00C15251">
      <w:pPr>
        <w:shd w:val="clear" w:color="auto" w:fill="FFFFFF"/>
        <w:jc w:val="both"/>
        <w:rPr>
          <w:bCs/>
          <w:i/>
          <w:color w:val="002060"/>
          <w:sz w:val="16"/>
          <w:szCs w:val="16"/>
        </w:rPr>
      </w:pPr>
    </w:p>
    <w:p w14:paraId="6BBD3151" w14:textId="77777777" w:rsidR="004B4E35" w:rsidRPr="00405303" w:rsidRDefault="009E6F82" w:rsidP="00C15251">
      <w:pPr>
        <w:jc w:val="both"/>
        <w:rPr>
          <w:bCs/>
          <w:color w:val="002060"/>
          <w:sz w:val="16"/>
          <w:szCs w:val="16"/>
        </w:rPr>
      </w:pPr>
      <w:r w:rsidRPr="00405303">
        <w:rPr>
          <w:bCs/>
          <w:color w:val="002060"/>
          <w:sz w:val="16"/>
          <w:szCs w:val="16"/>
        </w:rPr>
        <w:t>В декабре 1915 года LZ-59 (принятый флотом под обозначением L-20) открыл новую серию дирижаблей типа «q», объемом 35 800 куб. м., но основные поставки пришлись на март — июнь 1916 года. До конца года были построены 12 кораблей. Каждый имел 4 мотора «Майбах» HSL (1 мотор в главной гондоле и 3 в кормовой). Дирижабли могли подняться на высоту 3200 м и развить скорость 95,3 км/ч. Нормальная грузоподъемность равнялась 15 400 кг, но в случае необходимости цеппелин мог поднять и 18 300 кг полезного груза. Например, в октябре 1916 года L-24 с экипажем в 16 человек пролетел 1460 км на высоте 3500 м и примерной крейсерской скорости 75 км/ч. При этом было израсходовано 2550 кг топлива из 3760 кг, имевшихся на борту. Кроме того, дирижабль нес бомбовый груз весом 2200 кг и 6700 кг водяного балласта. Дирижабль находился в воздухе 19 часов 40 минут (11234).</w:t>
      </w:r>
    </w:p>
    <w:p w14:paraId="5419CF5C" w14:textId="77777777" w:rsidR="004B4E35" w:rsidRPr="00405303" w:rsidRDefault="004B4E35" w:rsidP="00C15251">
      <w:pPr>
        <w:jc w:val="both"/>
        <w:rPr>
          <w:bCs/>
          <w:color w:val="002060"/>
          <w:sz w:val="16"/>
          <w:szCs w:val="16"/>
        </w:rPr>
      </w:pPr>
    </w:p>
    <w:p w14:paraId="7D34DBA7" w14:textId="13D8A5B8" w:rsidR="004B4E35" w:rsidRPr="00405303" w:rsidRDefault="008352B3"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декабре 1915 г., еще до совершения первого полета, Rsl</w:t>
      </w:r>
      <w:r w:rsidRPr="00405303">
        <w:rPr>
          <w:bCs/>
          <w:color w:val="002060"/>
          <w:sz w:val="16"/>
          <w:szCs w:val="16"/>
        </w:rPr>
        <w:t xml:space="preserve"> Дорнье, который выпустили в октябре 1915 г., </w:t>
      </w:r>
      <w:r w:rsidR="009E6F82" w:rsidRPr="00405303">
        <w:rPr>
          <w:bCs/>
          <w:color w:val="002060"/>
          <w:sz w:val="16"/>
          <w:szCs w:val="16"/>
        </w:rPr>
        <w:t xml:space="preserve">был разрушен бурей безо всякой надежды на восстановление </w:t>
      </w:r>
      <w:r w:rsidRPr="00405303">
        <w:rPr>
          <w:bCs/>
          <w:color w:val="002060"/>
          <w:sz w:val="16"/>
          <w:szCs w:val="16"/>
        </w:rPr>
        <w:t xml:space="preserve">Первый гигантский, целиком металлический гидросамолет Rsl был бипланом с размахом крыла 43,5 м и тремя двигателями "Майбах" по 240 л. с. Наряду с дюралюминием во всех силовых узлах, в лонжеронах крыла и корпуса лодки использовалась первоклассная сталь. На этом новаторские идеи конструктора не исчерпывались - вся бипланная коробка самолета могла поворачиваться вокруг особого узла на среднем лонжероне нижнего крыла. Таким образом, по мере надобности изменялся угол атаки крыльев. Впрочем, судьба машины оказалась короткой, а надежды на абсолютную прочность металлической конструкции оказались преувеличенными </w:t>
      </w:r>
      <w:r w:rsidR="009E6F82" w:rsidRPr="00405303">
        <w:rPr>
          <w:bCs/>
          <w:color w:val="002060"/>
          <w:sz w:val="16"/>
          <w:szCs w:val="16"/>
        </w:rPr>
        <w:t>(11961).</w:t>
      </w:r>
    </w:p>
    <w:p w14:paraId="6FDB90B3" w14:textId="77777777" w:rsidR="004B4E35" w:rsidRPr="00405303" w:rsidRDefault="004B4E35" w:rsidP="00C15251">
      <w:pPr>
        <w:jc w:val="both"/>
        <w:rPr>
          <w:bCs/>
          <w:color w:val="002060"/>
          <w:sz w:val="16"/>
          <w:szCs w:val="16"/>
        </w:rPr>
      </w:pPr>
    </w:p>
    <w:p w14:paraId="2542FE9F" w14:textId="77777777" w:rsidR="00FA068E" w:rsidRPr="00405303" w:rsidRDefault="00FA068E" w:rsidP="00C15251">
      <w:pPr>
        <w:jc w:val="both"/>
        <w:rPr>
          <w:bCs/>
          <w:color w:val="002060"/>
          <w:sz w:val="16"/>
          <w:szCs w:val="16"/>
        </w:rPr>
      </w:pPr>
      <w:r w:rsidRPr="00405303">
        <w:rPr>
          <w:bCs/>
          <w:color w:val="002060"/>
          <w:sz w:val="16"/>
          <w:szCs w:val="16"/>
        </w:rPr>
        <w:t>В декабре 1915 года начались испытания следующей модели бомбардировщика, AEG G III. За счет установки более мощных моторов «Мерседес» D IV или IVa (214, а затем 255-260 л.с.) данные улучшились. Но и этот самолет не пошел в большую серию, хотя и повоевал на Македонском, Итальянском и Западном фронтах. Самым массовым бомбардировщиком AEG стал G IV – 400 таких машин получил имперский воздушный флот. Он был и самым скоростным, мог за час пройти 165 км, на 10 км/ч больше, чем G III. Следующая машина уже не была продуктом эволюции G I, это был принципиально новый проект. AEG G V был крупнее и тяжелее, его скорость не превышала 145 км/ч, зато потолок возрос с 4,5 до 6,5 км, а дальность наконец-то превысила заветный 1000-километровый рубеж, тогда как у G III и G IV она была 700 км. Таких самолетов сделали около 100 (22794).</w:t>
      </w:r>
    </w:p>
    <w:p w14:paraId="162ECF0A" w14:textId="77777777" w:rsidR="00FA068E" w:rsidRPr="00405303" w:rsidRDefault="00FA068E" w:rsidP="00C15251">
      <w:pPr>
        <w:jc w:val="both"/>
        <w:rPr>
          <w:bCs/>
          <w:color w:val="002060"/>
          <w:sz w:val="16"/>
          <w:szCs w:val="16"/>
        </w:rPr>
      </w:pPr>
    </w:p>
    <w:p w14:paraId="1CC96BBB" w14:textId="77777777" w:rsidR="00FA068E" w:rsidRPr="00405303" w:rsidRDefault="00FA068E" w:rsidP="00C15251">
      <w:pPr>
        <w:jc w:val="both"/>
        <w:rPr>
          <w:bCs/>
          <w:color w:val="002060"/>
          <w:sz w:val="16"/>
          <w:szCs w:val="16"/>
        </w:rPr>
      </w:pPr>
      <w:r w:rsidRPr="00405303">
        <w:rPr>
          <w:bCs/>
          <w:color w:val="002060"/>
          <w:sz w:val="16"/>
          <w:szCs w:val="16"/>
        </w:rPr>
        <w:t>В декабре 1915 г., за три месяца до контрактного срока опытный образец морского патрульного разведчика Гота WD 7 в разобранном виде привезли на базу Команды испытаний морских самолетов (Seeflugzeuge Versuchs Kommando – SVK) в Варнемюнде близ Ростока на балтийском побережье Германии и к рождеству облетали, невзирая на неважную погоду. Это обстоятельство фирма подавала как свой козырь, заказчик способность действовать в суровых условиях оценил, закрыв глаза на некоторые недостатки машины и проведя официальные испытания в январе 1916 г. Хотя летные данные были невысоки, Флот выкупил опытный самолет, присвоив ему №119, и заказал еще семь с номерами с 670 по 676 (23074).</w:t>
      </w:r>
    </w:p>
    <w:p w14:paraId="7636A824" w14:textId="77777777" w:rsidR="00FA068E" w:rsidRPr="00405303" w:rsidRDefault="00FA068E" w:rsidP="00C15251">
      <w:pPr>
        <w:jc w:val="both"/>
        <w:rPr>
          <w:bCs/>
          <w:color w:val="002060"/>
          <w:sz w:val="16"/>
          <w:szCs w:val="16"/>
        </w:rPr>
      </w:pPr>
    </w:p>
    <w:p w14:paraId="15E7B0CC" w14:textId="6017425A" w:rsidR="00FA068E" w:rsidRPr="00405303" w:rsidRDefault="00FA068E" w:rsidP="00C15251">
      <w:pPr>
        <w:shd w:val="clear" w:color="auto" w:fill="FFFFFF"/>
        <w:jc w:val="both"/>
        <w:rPr>
          <w:bCs/>
          <w:i/>
          <w:color w:val="002060"/>
          <w:sz w:val="16"/>
          <w:szCs w:val="16"/>
        </w:rPr>
      </w:pPr>
      <w:r w:rsidRPr="00405303">
        <w:rPr>
          <w:bCs/>
          <w:i/>
          <w:color w:val="002060"/>
          <w:sz w:val="16"/>
          <w:szCs w:val="16"/>
        </w:rPr>
        <w:t>Авиация и воздухоплавание Франции:</w:t>
      </w:r>
    </w:p>
    <w:p w14:paraId="74763595" w14:textId="77777777" w:rsidR="00FA068E" w:rsidRPr="00405303" w:rsidRDefault="00FA068E" w:rsidP="00C15251">
      <w:pPr>
        <w:shd w:val="clear" w:color="auto" w:fill="FFFFFF"/>
        <w:jc w:val="both"/>
        <w:rPr>
          <w:bCs/>
          <w:i/>
          <w:color w:val="002060"/>
          <w:sz w:val="16"/>
          <w:szCs w:val="16"/>
        </w:rPr>
      </w:pPr>
    </w:p>
    <w:p w14:paraId="4A65116E" w14:textId="77777777" w:rsidR="00FA068E" w:rsidRPr="00405303" w:rsidRDefault="00FA068E" w:rsidP="00C15251">
      <w:pPr>
        <w:jc w:val="both"/>
        <w:rPr>
          <w:bCs/>
          <w:color w:val="002060"/>
          <w:sz w:val="16"/>
          <w:szCs w:val="16"/>
        </w:rPr>
      </w:pPr>
      <w:bookmarkStart w:id="336" w:name="_Hlk98485521"/>
      <w:r w:rsidRPr="00405303">
        <w:rPr>
          <w:bCs/>
          <w:color w:val="002060"/>
          <w:sz w:val="16"/>
          <w:szCs w:val="16"/>
        </w:rPr>
        <w:t>В декабре 1915 Гастон Кодрон из компании Caudron погиб в результате крушения Caudron R.4 (20338).</w:t>
      </w:r>
    </w:p>
    <w:p w14:paraId="225A8281" w14:textId="77777777" w:rsidR="00FA068E" w:rsidRPr="00405303" w:rsidRDefault="00FA068E" w:rsidP="00C15251">
      <w:pPr>
        <w:jc w:val="both"/>
        <w:rPr>
          <w:bCs/>
          <w:color w:val="002060"/>
          <w:sz w:val="16"/>
          <w:szCs w:val="16"/>
        </w:rPr>
      </w:pPr>
    </w:p>
    <w:bookmarkEnd w:id="336"/>
    <w:p w14:paraId="3AF71A43" w14:textId="3D4D59AB" w:rsidR="00FA068E" w:rsidRPr="00405303" w:rsidRDefault="00FA068E" w:rsidP="00C15251">
      <w:pPr>
        <w:shd w:val="clear" w:color="auto" w:fill="FFFFFF"/>
        <w:jc w:val="both"/>
        <w:rPr>
          <w:bCs/>
          <w:i/>
          <w:color w:val="002060"/>
          <w:sz w:val="16"/>
          <w:szCs w:val="16"/>
        </w:rPr>
      </w:pPr>
      <w:r w:rsidRPr="00405303">
        <w:rPr>
          <w:bCs/>
          <w:i/>
          <w:color w:val="002060"/>
          <w:sz w:val="16"/>
          <w:szCs w:val="16"/>
        </w:rPr>
        <w:t xml:space="preserve">Авиация и </w:t>
      </w:r>
      <w:bookmarkStart w:id="337" w:name="_Hlk98485607"/>
      <w:r w:rsidRPr="00405303">
        <w:rPr>
          <w:bCs/>
          <w:i/>
          <w:color w:val="002060"/>
          <w:sz w:val="16"/>
          <w:szCs w:val="16"/>
        </w:rPr>
        <w:t>воздухоплавание за рубежом:</w:t>
      </w:r>
    </w:p>
    <w:p w14:paraId="34B7404D" w14:textId="77777777" w:rsidR="00FA068E" w:rsidRPr="00405303" w:rsidRDefault="00FA068E" w:rsidP="00C15251">
      <w:pPr>
        <w:shd w:val="clear" w:color="auto" w:fill="FFFFFF"/>
        <w:jc w:val="both"/>
        <w:rPr>
          <w:bCs/>
          <w:i/>
          <w:color w:val="002060"/>
          <w:sz w:val="16"/>
          <w:szCs w:val="16"/>
        </w:rPr>
      </w:pPr>
    </w:p>
    <w:p w14:paraId="5B8A51C7" w14:textId="77777777" w:rsidR="00FA068E" w:rsidRPr="00405303" w:rsidRDefault="00FA068E" w:rsidP="00C15251">
      <w:pPr>
        <w:jc w:val="both"/>
        <w:rPr>
          <w:bCs/>
          <w:color w:val="002060"/>
          <w:sz w:val="16"/>
          <w:szCs w:val="16"/>
        </w:rPr>
      </w:pPr>
      <w:r w:rsidRPr="00405303">
        <w:rPr>
          <w:bCs/>
          <w:color w:val="002060"/>
          <w:sz w:val="16"/>
          <w:szCs w:val="16"/>
        </w:rPr>
        <w:t>В IV квартале 1915 г. на фирме «Венгерский самолето- и моторостроительный завод Ллойд» (немецкое название – Ungarische Lloyd Flugzeug und Motoren Fabrik, венгерское название – Magyar Lloyd Repülőgép- és Motorgyár) под руководством главного конструктора предприятия дипломированного инженера доктора Тибора фон Мельцера (Dr. Ing. Tibor von Melczer) по его личному предложению начато проектирование истребителя Ллойд Тип FJ (Lloyd Flugzeug Jäger). Он поставил задачу создать скоростной самолет с установкой пулемета с круговым обстрелом в верхней полусфере, способный одинаково эффективно вести оборонительный и наступательный воздушный бой против истребителей противника, но главным назначением самолета была воздушная разведка (21135).</w:t>
      </w:r>
    </w:p>
    <w:p w14:paraId="64701396" w14:textId="77777777" w:rsidR="00FA068E" w:rsidRPr="00405303" w:rsidRDefault="00FA068E" w:rsidP="00C15251">
      <w:pPr>
        <w:jc w:val="both"/>
        <w:rPr>
          <w:bCs/>
          <w:color w:val="002060"/>
          <w:sz w:val="16"/>
          <w:szCs w:val="16"/>
        </w:rPr>
      </w:pPr>
    </w:p>
    <w:bookmarkEnd w:id="337"/>
    <w:p w14:paraId="554B06C2"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3A4F1153" w14:textId="77777777" w:rsidR="004B4E35" w:rsidRPr="00405303" w:rsidRDefault="004B4E35" w:rsidP="00C15251">
      <w:pPr>
        <w:jc w:val="both"/>
        <w:rPr>
          <w:bCs/>
          <w:i/>
          <w:color w:val="002060"/>
          <w:sz w:val="16"/>
          <w:szCs w:val="16"/>
        </w:rPr>
      </w:pPr>
    </w:p>
    <w:p w14:paraId="0658769F" w14:textId="77777777" w:rsidR="00BE0EBB" w:rsidRPr="00405303" w:rsidRDefault="00BE0EBB" w:rsidP="00C15251">
      <w:pPr>
        <w:pStyle w:val="rtejustify"/>
        <w:shd w:val="clear" w:color="auto" w:fill="FFFFFF"/>
        <w:spacing w:before="0" w:beforeAutospacing="0" w:after="0" w:afterAutospacing="0"/>
        <w:jc w:val="both"/>
        <w:rPr>
          <w:bCs/>
          <w:color w:val="002060"/>
          <w:sz w:val="16"/>
          <w:szCs w:val="16"/>
        </w:rPr>
      </w:pPr>
      <w:r w:rsidRPr="00405303">
        <w:rPr>
          <w:bCs/>
          <w:color w:val="002060"/>
          <w:sz w:val="16"/>
          <w:szCs w:val="16"/>
        </w:rPr>
        <w:t>В конце 1915 г. УваРИ России получило на вооружение еще один самолет-разведчик — «Анаде» («Анатра-Д»). Разработка этого летательного аппарата началась в 1915 г. По конструкции самолет представлял собой двухместный, двухстоечный биплан с двигателем «Гном» мощностью 100 л.с. На некотором числе самолетов ставился двигатель «Клерже» или «Сальмсон», развивающий мощность до 130 л.с., и тогда самолет назывался «Анаклер» или «Анасаль».</w:t>
      </w:r>
    </w:p>
    <w:p w14:paraId="0ACB6098" w14:textId="77777777" w:rsidR="00BE0EBB" w:rsidRPr="00405303" w:rsidRDefault="00BE0EBB" w:rsidP="00C15251">
      <w:pPr>
        <w:pStyle w:val="rtejustify"/>
        <w:shd w:val="clear" w:color="auto" w:fill="FFFFFF"/>
        <w:spacing w:before="0" w:beforeAutospacing="0" w:after="0" w:afterAutospacing="0"/>
        <w:jc w:val="both"/>
        <w:rPr>
          <w:bCs/>
          <w:color w:val="002060"/>
          <w:sz w:val="16"/>
          <w:szCs w:val="16"/>
        </w:rPr>
      </w:pPr>
      <w:r w:rsidRPr="00405303">
        <w:rPr>
          <w:bCs/>
          <w:color w:val="002060"/>
          <w:sz w:val="16"/>
          <w:szCs w:val="16"/>
        </w:rPr>
        <w:t>Конструкция самолета была простой и рациональной. Фюзеляж — четырехгранного сечения, слегка округленный сверху, в передней части был обшит фанерой, в задней — полотном. Элероны устанавливались только на верхних крыльях, а стабилизатор имел почти треугольную форму.</w:t>
      </w:r>
    </w:p>
    <w:p w14:paraId="37456EDA" w14:textId="77777777" w:rsidR="00BE0EBB" w:rsidRPr="00405303" w:rsidRDefault="00BE0EBB" w:rsidP="00C15251">
      <w:pPr>
        <w:pStyle w:val="rtejustify"/>
        <w:shd w:val="clear" w:color="auto" w:fill="FFFFFF"/>
        <w:spacing w:before="0" w:beforeAutospacing="0" w:after="0" w:afterAutospacing="0"/>
        <w:jc w:val="both"/>
        <w:rPr>
          <w:bCs/>
          <w:color w:val="002060"/>
          <w:sz w:val="16"/>
          <w:szCs w:val="16"/>
        </w:rPr>
      </w:pPr>
      <w:r w:rsidRPr="00405303">
        <w:rPr>
          <w:bCs/>
          <w:color w:val="002060"/>
          <w:sz w:val="16"/>
          <w:szCs w:val="16"/>
        </w:rPr>
        <w:t xml:space="preserve">Органы управления самолетом — штурвал и педали — были расположены только в кабине пилота. Наблюдатель вел наблюдение и защищал пилота с помощю </w:t>
      </w:r>
      <w:proofErr w:type="gramStart"/>
      <w:r w:rsidRPr="00405303">
        <w:rPr>
          <w:bCs/>
          <w:color w:val="002060"/>
          <w:sz w:val="16"/>
          <w:szCs w:val="16"/>
        </w:rPr>
        <w:t>оборудованной в задней кабине пулеметной точки</w:t>
      </w:r>
      <w:proofErr w:type="gramEnd"/>
      <w:r w:rsidRPr="00405303">
        <w:rPr>
          <w:bCs/>
          <w:color w:val="002060"/>
          <w:sz w:val="16"/>
          <w:szCs w:val="16"/>
        </w:rPr>
        <w:t xml:space="preserve"> установленной на вращающейся подставке. Кроме этого, в распоряжении наблюдателя могло находиться 25—30 кг бомб, которые при необходимости можно было сбросить на противника.</w:t>
      </w:r>
    </w:p>
    <w:p w14:paraId="7DBA6D8B" w14:textId="3692FAAB" w:rsidR="00BE0EBB" w:rsidRPr="00405303" w:rsidRDefault="00BE0EBB" w:rsidP="00C15251">
      <w:pPr>
        <w:pStyle w:val="rtejustify"/>
        <w:shd w:val="clear" w:color="auto" w:fill="FFFFFF"/>
        <w:spacing w:before="0" w:beforeAutospacing="0" w:after="0" w:afterAutospacing="0"/>
        <w:jc w:val="both"/>
        <w:rPr>
          <w:bCs/>
          <w:color w:val="002060"/>
          <w:sz w:val="16"/>
          <w:szCs w:val="16"/>
        </w:rPr>
      </w:pPr>
      <w:r w:rsidRPr="00405303">
        <w:rPr>
          <w:bCs/>
          <w:color w:val="002060"/>
          <w:sz w:val="16"/>
          <w:szCs w:val="16"/>
        </w:rPr>
        <w:t>Впервые «Анаде» был испытан в воздухе 19 августа 1915 г. Для того чтобы устранить обнаружившуюся в процессе испытаний неустойчивость самолета, возникающую в полете, сиденье летчика и наблюдателя были сдвинуты вперед. В</w:t>
      </w:r>
      <w:r w:rsidR="000F5756">
        <w:rPr>
          <w:bCs/>
          <w:color w:val="002060"/>
          <w:sz w:val="16"/>
          <w:szCs w:val="16"/>
        </w:rPr>
        <w:t xml:space="preserve"> </w:t>
      </w:r>
      <w:r w:rsidRPr="00405303">
        <w:rPr>
          <w:rStyle w:val="highlight"/>
          <w:bCs/>
          <w:color w:val="002060"/>
          <w:sz w:val="16"/>
          <w:szCs w:val="16"/>
        </w:rPr>
        <w:t>1916</w:t>
      </w:r>
      <w:r w:rsidR="000F5756">
        <w:rPr>
          <w:rStyle w:val="highlight"/>
          <w:bCs/>
          <w:color w:val="002060"/>
          <w:sz w:val="16"/>
          <w:szCs w:val="16"/>
        </w:rPr>
        <w:t xml:space="preserve"> </w:t>
      </w:r>
      <w:r w:rsidRPr="00405303">
        <w:rPr>
          <w:bCs/>
          <w:color w:val="002060"/>
          <w:sz w:val="16"/>
          <w:szCs w:val="16"/>
        </w:rPr>
        <w:t>г. был выпущен учебный «Анаде» с двойным управлением и парой колес впереди, предупреждающих опрокидывание при посадке. Самолет был очень устойчив в полете, и на нем можно было выполнять «петлю Нестерова».</w:t>
      </w:r>
    </w:p>
    <w:p w14:paraId="74097138" w14:textId="10E8E4BB" w:rsidR="00BE0EBB" w:rsidRPr="00405303" w:rsidRDefault="00BE0EBB" w:rsidP="00C15251">
      <w:pPr>
        <w:pStyle w:val="rtejustify"/>
        <w:shd w:val="clear" w:color="auto" w:fill="FFFFFF"/>
        <w:spacing w:before="0" w:beforeAutospacing="0" w:after="0" w:afterAutospacing="0"/>
        <w:jc w:val="both"/>
        <w:rPr>
          <w:bCs/>
          <w:color w:val="002060"/>
          <w:sz w:val="16"/>
          <w:szCs w:val="16"/>
        </w:rPr>
      </w:pPr>
      <w:r w:rsidRPr="00405303">
        <w:rPr>
          <w:bCs/>
          <w:color w:val="002060"/>
          <w:sz w:val="16"/>
          <w:szCs w:val="16"/>
        </w:rPr>
        <w:t>Первый серийный аэроплан был сдан государственной комиссии 16 ноября 1915 г. Всего в 1915—</w:t>
      </w:r>
      <w:r w:rsidR="00DB4D64" w:rsidRPr="00405303">
        <w:rPr>
          <w:rStyle w:val="highlight"/>
          <w:bCs/>
          <w:color w:val="002060"/>
          <w:sz w:val="16"/>
          <w:szCs w:val="16"/>
        </w:rPr>
        <w:t xml:space="preserve"> </w:t>
      </w:r>
      <w:r w:rsidRPr="00405303">
        <w:rPr>
          <w:rStyle w:val="highlight"/>
          <w:bCs/>
          <w:color w:val="002060"/>
          <w:sz w:val="16"/>
          <w:szCs w:val="16"/>
        </w:rPr>
        <w:t>1916</w:t>
      </w:r>
      <w:r w:rsidR="000F5756">
        <w:rPr>
          <w:rStyle w:val="highlight"/>
          <w:bCs/>
          <w:color w:val="002060"/>
          <w:sz w:val="16"/>
          <w:szCs w:val="16"/>
        </w:rPr>
        <w:t xml:space="preserve"> </w:t>
      </w:r>
      <w:r w:rsidRPr="00405303">
        <w:rPr>
          <w:bCs/>
          <w:color w:val="002060"/>
          <w:sz w:val="16"/>
          <w:szCs w:val="16"/>
        </w:rPr>
        <w:t>гг. было выпущено 278 экземпляров, имевших различия в отдельных сериях (17110).</w:t>
      </w:r>
    </w:p>
    <w:p w14:paraId="294957C6" w14:textId="77777777" w:rsidR="00BE0EBB" w:rsidRPr="00405303" w:rsidRDefault="00BE0EBB" w:rsidP="00C15251">
      <w:pPr>
        <w:shd w:val="clear" w:color="auto" w:fill="FFFFFF"/>
        <w:jc w:val="both"/>
        <w:rPr>
          <w:bCs/>
          <w:color w:val="002060"/>
          <w:sz w:val="16"/>
          <w:szCs w:val="16"/>
        </w:rPr>
      </w:pPr>
    </w:p>
    <w:p w14:paraId="73D1281B" w14:textId="77777777" w:rsidR="004458AB" w:rsidRPr="00405303" w:rsidRDefault="004458AB" w:rsidP="00C15251">
      <w:pPr>
        <w:shd w:val="clear" w:color="auto" w:fill="FFFFFF"/>
        <w:jc w:val="both"/>
        <w:rPr>
          <w:color w:val="002060"/>
          <w:sz w:val="16"/>
          <w:szCs w:val="16"/>
        </w:rPr>
      </w:pPr>
      <w:r w:rsidRPr="00405303">
        <w:rPr>
          <w:color w:val="002060"/>
          <w:sz w:val="16"/>
          <w:szCs w:val="16"/>
        </w:rPr>
        <w:t>В конце 1915 года п ходе первых испыта</w:t>
      </w:r>
      <w:r w:rsidRPr="00405303">
        <w:rPr>
          <w:color w:val="002060"/>
          <w:sz w:val="16"/>
          <w:szCs w:val="16"/>
        </w:rPr>
        <w:softHyphen/>
        <w:t>ний “Анаде” (“Анаде-Д”, “Анаде-Декан”, “Декан”) обна</w:t>
      </w:r>
      <w:r w:rsidRPr="00405303">
        <w:rPr>
          <w:color w:val="002060"/>
          <w:sz w:val="16"/>
          <w:szCs w:val="16"/>
        </w:rPr>
        <w:softHyphen/>
        <w:t>ружилась неустойчивость в продольном и поперечном направлениях. Эталонный экземпляр утвердили после ряда доработок, сводивших</w:t>
      </w:r>
      <w:r w:rsidRPr="00405303">
        <w:rPr>
          <w:color w:val="002060"/>
          <w:sz w:val="16"/>
          <w:szCs w:val="16"/>
        </w:rPr>
        <w:softHyphen/>
        <w:t>ся по существу к достижению более передней центровки. Проектирование самолет завода “Анатра” “Анаде” (“Анаде-Д”, “Анаде-Декан”, “Декан”) началось летом 1915 года. Аэро</w:t>
      </w:r>
      <w:r w:rsidRPr="00405303">
        <w:rPr>
          <w:color w:val="002060"/>
          <w:sz w:val="16"/>
          <w:szCs w:val="16"/>
        </w:rPr>
        <w:softHyphen/>
        <w:t>план представлял собой двухстоечный биплан с дви</w:t>
      </w:r>
      <w:r w:rsidRPr="00405303">
        <w:rPr>
          <w:color w:val="002060"/>
          <w:sz w:val="16"/>
          <w:szCs w:val="16"/>
        </w:rPr>
        <w:softHyphen/>
        <w:t>гателем “Гном-Моносупап” в 100 л.с. На некоторых самолетах ставился двигатель “Клерже” мощностью 110 л.с. В этом случае самолет назывался “Анакле” или “Анаклер”. Конструкция самолета была простой и рациональ</w:t>
      </w:r>
      <w:r w:rsidRPr="00405303">
        <w:rPr>
          <w:color w:val="002060"/>
          <w:sz w:val="16"/>
          <w:szCs w:val="16"/>
        </w:rPr>
        <w:softHyphen/>
        <w:t>ной. Расчалочный фюзеляж — четырехгранного сечения, слегка округленный по вер</w:t>
      </w:r>
      <w:r w:rsidRPr="00405303">
        <w:rPr>
          <w:color w:val="002060"/>
          <w:sz w:val="16"/>
          <w:szCs w:val="16"/>
        </w:rPr>
        <w:softHyphen/>
        <w:t>ху. Передняя часть обшита фанерой, а задняя — полот</w:t>
      </w:r>
      <w:r w:rsidRPr="00405303">
        <w:rPr>
          <w:color w:val="002060"/>
          <w:sz w:val="16"/>
          <w:szCs w:val="16"/>
        </w:rPr>
        <w:softHyphen/>
        <w:t>ном. Крылья нормальные двухлонжеронные. Бензобак, на случай прострела, разде</w:t>
      </w:r>
      <w:r w:rsidRPr="00405303">
        <w:rPr>
          <w:color w:val="002060"/>
          <w:sz w:val="16"/>
          <w:szCs w:val="16"/>
        </w:rPr>
        <w:softHyphen/>
        <w:t>лен на три отсека. Вооруже</w:t>
      </w:r>
      <w:r w:rsidRPr="00405303">
        <w:rPr>
          <w:color w:val="002060"/>
          <w:sz w:val="16"/>
          <w:szCs w:val="16"/>
        </w:rPr>
        <w:softHyphen/>
        <w:t>ние — пулемет на шкворне</w:t>
      </w:r>
      <w:r w:rsidRPr="00405303">
        <w:rPr>
          <w:color w:val="002060"/>
          <w:sz w:val="16"/>
          <w:szCs w:val="16"/>
        </w:rPr>
        <w:softHyphen/>
        <w:t>вой установке у наблюдате</w:t>
      </w:r>
      <w:r w:rsidRPr="00405303">
        <w:rPr>
          <w:color w:val="002060"/>
          <w:sz w:val="16"/>
          <w:szCs w:val="16"/>
        </w:rPr>
        <w:softHyphen/>
        <w:t>ля. Бомбовая нагрузка — 25-30 кг. (553).</w:t>
      </w:r>
    </w:p>
    <w:p w14:paraId="39FC9150" w14:textId="77777777" w:rsidR="004458AB" w:rsidRPr="00405303" w:rsidRDefault="004458AB" w:rsidP="00C15251">
      <w:pPr>
        <w:shd w:val="clear" w:color="auto" w:fill="FFFFFF"/>
        <w:jc w:val="both"/>
        <w:rPr>
          <w:color w:val="002060"/>
          <w:sz w:val="16"/>
          <w:szCs w:val="16"/>
        </w:rPr>
      </w:pPr>
    </w:p>
    <w:p w14:paraId="7DB90617" w14:textId="59027601" w:rsidR="00BE0EBB" w:rsidRPr="00405303" w:rsidRDefault="00BE0EBB" w:rsidP="00C15251">
      <w:pPr>
        <w:shd w:val="clear" w:color="auto" w:fill="FFFFFF"/>
        <w:jc w:val="both"/>
        <w:rPr>
          <w:bCs/>
          <w:color w:val="002060"/>
          <w:sz w:val="16"/>
          <w:szCs w:val="16"/>
        </w:rPr>
      </w:pPr>
      <w:r w:rsidRPr="00405303">
        <w:rPr>
          <w:bCs/>
          <w:color w:val="002060"/>
          <w:sz w:val="16"/>
          <w:szCs w:val="16"/>
        </w:rPr>
        <w:t>В</w:t>
      </w:r>
      <w:r w:rsidR="00DB4D64" w:rsidRPr="00405303">
        <w:rPr>
          <w:bCs/>
          <w:color w:val="002060"/>
          <w:sz w:val="16"/>
          <w:szCs w:val="16"/>
        </w:rPr>
        <w:t xml:space="preserve"> </w:t>
      </w:r>
      <w:r w:rsidRPr="00405303">
        <w:rPr>
          <w:bCs/>
          <w:color w:val="002060"/>
          <w:sz w:val="16"/>
          <w:szCs w:val="16"/>
        </w:rPr>
        <w:t>конце 1915</w:t>
      </w:r>
      <w:r w:rsidR="00DB4D64" w:rsidRPr="00405303">
        <w:rPr>
          <w:bCs/>
          <w:color w:val="002060"/>
          <w:sz w:val="16"/>
          <w:szCs w:val="16"/>
        </w:rPr>
        <w:t xml:space="preserve"> </w:t>
      </w:r>
      <w:r w:rsidRPr="00405303">
        <w:rPr>
          <w:bCs/>
          <w:color w:val="002060"/>
          <w:sz w:val="16"/>
          <w:szCs w:val="16"/>
        </w:rPr>
        <w:t>г.</w:t>
      </w:r>
      <w:r w:rsidR="000F5756">
        <w:rPr>
          <w:bCs/>
          <w:color w:val="002060"/>
          <w:sz w:val="16"/>
          <w:szCs w:val="16"/>
        </w:rPr>
        <w:t xml:space="preserve"> </w:t>
      </w:r>
      <w:r w:rsidRPr="00405303">
        <w:rPr>
          <w:bCs/>
          <w:color w:val="002060"/>
          <w:sz w:val="16"/>
          <w:szCs w:val="16"/>
        </w:rPr>
        <w:t>двухместный разведчик-биплан «Ньюпор-Х» с</w:t>
      </w:r>
      <w:r w:rsidR="00DB4D64" w:rsidRPr="00405303">
        <w:rPr>
          <w:bCs/>
          <w:color w:val="002060"/>
          <w:sz w:val="16"/>
          <w:szCs w:val="16"/>
        </w:rPr>
        <w:t xml:space="preserve"> </w:t>
      </w:r>
      <w:r w:rsidRPr="00405303">
        <w:rPr>
          <w:bCs/>
          <w:color w:val="002060"/>
          <w:sz w:val="16"/>
          <w:szCs w:val="16"/>
        </w:rPr>
        <w:t>«Роном» в</w:t>
      </w:r>
      <w:r w:rsidR="00DB4D64" w:rsidRPr="00405303">
        <w:rPr>
          <w:bCs/>
          <w:color w:val="002060"/>
          <w:sz w:val="16"/>
          <w:szCs w:val="16"/>
        </w:rPr>
        <w:t xml:space="preserve"> </w:t>
      </w:r>
      <w:r w:rsidRPr="00405303">
        <w:rPr>
          <w:bCs/>
          <w:color w:val="002060"/>
          <w:sz w:val="16"/>
          <w:szCs w:val="16"/>
        </w:rPr>
        <w:t>80 л.с. доставили в</w:t>
      </w:r>
      <w:r w:rsidR="00DB4D64" w:rsidRPr="00405303">
        <w:rPr>
          <w:bCs/>
          <w:color w:val="002060"/>
          <w:sz w:val="16"/>
          <w:szCs w:val="16"/>
        </w:rPr>
        <w:t xml:space="preserve"> </w:t>
      </w:r>
      <w:r w:rsidRPr="00405303">
        <w:rPr>
          <w:bCs/>
          <w:color w:val="002060"/>
          <w:sz w:val="16"/>
          <w:szCs w:val="16"/>
        </w:rPr>
        <w:t>Россию. Варианты размещения экипажа различались размещением летчика сзади или спереди. В</w:t>
      </w:r>
      <w:r w:rsidR="00DB4D64" w:rsidRPr="00405303">
        <w:rPr>
          <w:bCs/>
          <w:color w:val="002060"/>
          <w:sz w:val="16"/>
          <w:szCs w:val="16"/>
        </w:rPr>
        <w:t xml:space="preserve"> </w:t>
      </w:r>
      <w:r w:rsidRPr="00405303">
        <w:rPr>
          <w:bCs/>
          <w:color w:val="002060"/>
          <w:sz w:val="16"/>
          <w:szCs w:val="16"/>
        </w:rPr>
        <w:t>первом случае самолет обозначали как «Ньюпор-IX», в</w:t>
      </w:r>
      <w:r w:rsidR="00DB4D64" w:rsidRPr="00405303">
        <w:rPr>
          <w:bCs/>
          <w:color w:val="002060"/>
          <w:sz w:val="16"/>
          <w:szCs w:val="16"/>
        </w:rPr>
        <w:t xml:space="preserve"> </w:t>
      </w:r>
      <w:r w:rsidRPr="00405303">
        <w:rPr>
          <w:bCs/>
          <w:color w:val="002060"/>
          <w:sz w:val="16"/>
          <w:szCs w:val="16"/>
        </w:rPr>
        <w:t>нем наблюдатель мог встать в</w:t>
      </w:r>
      <w:r w:rsidR="00DB4D64" w:rsidRPr="00405303">
        <w:rPr>
          <w:bCs/>
          <w:color w:val="002060"/>
          <w:sz w:val="16"/>
          <w:szCs w:val="16"/>
        </w:rPr>
        <w:t xml:space="preserve"> </w:t>
      </w:r>
      <w:r w:rsidRPr="00405303">
        <w:rPr>
          <w:bCs/>
          <w:color w:val="002060"/>
          <w:sz w:val="16"/>
          <w:szCs w:val="16"/>
        </w:rPr>
        <w:t>полный рост на</w:t>
      </w:r>
      <w:r w:rsidR="00DB4D64" w:rsidRPr="00405303">
        <w:rPr>
          <w:bCs/>
          <w:color w:val="002060"/>
          <w:sz w:val="16"/>
          <w:szCs w:val="16"/>
        </w:rPr>
        <w:t xml:space="preserve"> </w:t>
      </w:r>
      <w:r w:rsidRPr="00405303">
        <w:rPr>
          <w:bCs/>
          <w:color w:val="002060"/>
          <w:sz w:val="16"/>
          <w:szCs w:val="16"/>
        </w:rPr>
        <w:t>сиденье и, высунувшись по</w:t>
      </w:r>
      <w:r w:rsidR="00DB4D64" w:rsidRPr="00405303">
        <w:rPr>
          <w:bCs/>
          <w:color w:val="002060"/>
          <w:sz w:val="16"/>
          <w:szCs w:val="16"/>
        </w:rPr>
        <w:t xml:space="preserve"> </w:t>
      </w:r>
      <w:r w:rsidRPr="00405303">
        <w:rPr>
          <w:bCs/>
          <w:color w:val="002060"/>
          <w:sz w:val="16"/>
          <w:szCs w:val="16"/>
        </w:rPr>
        <w:t>пояс через вырез в</w:t>
      </w:r>
      <w:r w:rsidR="00DB4D64" w:rsidRPr="00405303">
        <w:rPr>
          <w:bCs/>
          <w:color w:val="002060"/>
          <w:sz w:val="16"/>
          <w:szCs w:val="16"/>
        </w:rPr>
        <w:t xml:space="preserve"> </w:t>
      </w:r>
      <w:r w:rsidRPr="00405303">
        <w:rPr>
          <w:bCs/>
          <w:color w:val="002060"/>
          <w:sz w:val="16"/>
          <w:szCs w:val="16"/>
        </w:rPr>
        <w:t>центроплане, стрелять из</w:t>
      </w:r>
      <w:r w:rsidR="00DB4D64" w:rsidRPr="00405303">
        <w:rPr>
          <w:bCs/>
          <w:color w:val="002060"/>
          <w:sz w:val="16"/>
          <w:szCs w:val="16"/>
        </w:rPr>
        <w:t xml:space="preserve"> </w:t>
      </w:r>
      <w:r w:rsidRPr="00405303">
        <w:rPr>
          <w:bCs/>
          <w:color w:val="002060"/>
          <w:sz w:val="16"/>
          <w:szCs w:val="16"/>
        </w:rPr>
        <w:t>карабина (пулеметов еще не</w:t>
      </w:r>
      <w:r w:rsidR="00DB4D64" w:rsidRPr="00405303">
        <w:rPr>
          <w:bCs/>
          <w:color w:val="002060"/>
          <w:sz w:val="16"/>
          <w:szCs w:val="16"/>
        </w:rPr>
        <w:t xml:space="preserve"> </w:t>
      </w:r>
      <w:r w:rsidRPr="00405303">
        <w:rPr>
          <w:bCs/>
          <w:color w:val="002060"/>
          <w:sz w:val="16"/>
          <w:szCs w:val="16"/>
        </w:rPr>
        <w:t xml:space="preserve">было). </w:t>
      </w:r>
      <w:proofErr w:type="gramStart"/>
      <w:r w:rsidRPr="00405303">
        <w:rPr>
          <w:bCs/>
          <w:color w:val="002060"/>
          <w:sz w:val="16"/>
          <w:szCs w:val="16"/>
        </w:rPr>
        <w:t>На «Ньюпоре-Х»</w:t>
      </w:r>
      <w:proofErr w:type="gramEnd"/>
      <w:r w:rsidRPr="00405303">
        <w:rPr>
          <w:bCs/>
          <w:color w:val="002060"/>
          <w:sz w:val="16"/>
          <w:szCs w:val="16"/>
        </w:rPr>
        <w:t xml:space="preserve"> размещавшийся сзади стрелок уже мог стрелять из</w:t>
      </w:r>
      <w:r w:rsidR="00DB4D64" w:rsidRPr="00405303">
        <w:rPr>
          <w:bCs/>
          <w:color w:val="002060"/>
          <w:sz w:val="16"/>
          <w:szCs w:val="16"/>
        </w:rPr>
        <w:t xml:space="preserve"> </w:t>
      </w:r>
      <w:r w:rsidRPr="00405303">
        <w:rPr>
          <w:bCs/>
          <w:color w:val="002060"/>
          <w:sz w:val="16"/>
          <w:szCs w:val="16"/>
        </w:rPr>
        <w:t>пулемета, но</w:t>
      </w:r>
      <w:r w:rsidR="00DB4D64" w:rsidRPr="00405303">
        <w:rPr>
          <w:bCs/>
          <w:color w:val="002060"/>
          <w:sz w:val="16"/>
          <w:szCs w:val="16"/>
        </w:rPr>
        <w:t xml:space="preserve"> </w:t>
      </w:r>
      <w:r w:rsidRPr="00405303">
        <w:rPr>
          <w:bCs/>
          <w:color w:val="002060"/>
          <w:sz w:val="16"/>
          <w:szCs w:val="16"/>
        </w:rPr>
        <w:t>сектор обстрела получился очень ограниченным, условия стрельбы</w:t>
      </w:r>
      <w:r w:rsidR="00DB4D64" w:rsidRPr="00405303">
        <w:rPr>
          <w:bCs/>
          <w:color w:val="002060"/>
          <w:sz w:val="16"/>
          <w:szCs w:val="16"/>
        </w:rPr>
        <w:t xml:space="preserve"> </w:t>
      </w:r>
      <w:r w:rsidRPr="00405303">
        <w:rPr>
          <w:bCs/>
          <w:color w:val="002060"/>
          <w:sz w:val="16"/>
          <w:szCs w:val="16"/>
        </w:rPr>
        <w:t>— неудобными. В</w:t>
      </w:r>
      <w:r w:rsidR="00DB4D64" w:rsidRPr="00405303">
        <w:rPr>
          <w:bCs/>
          <w:color w:val="002060"/>
          <w:sz w:val="16"/>
          <w:szCs w:val="16"/>
        </w:rPr>
        <w:t xml:space="preserve"> </w:t>
      </w:r>
      <w:r w:rsidRPr="00405303">
        <w:rPr>
          <w:bCs/>
          <w:color w:val="002060"/>
          <w:sz w:val="16"/>
          <w:szCs w:val="16"/>
        </w:rPr>
        <w:t>итоге самолет не</w:t>
      </w:r>
      <w:r w:rsidR="00DB4D64" w:rsidRPr="00405303">
        <w:rPr>
          <w:bCs/>
          <w:color w:val="002060"/>
          <w:sz w:val="16"/>
          <w:szCs w:val="16"/>
        </w:rPr>
        <w:t xml:space="preserve"> </w:t>
      </w:r>
      <w:r w:rsidRPr="00405303">
        <w:rPr>
          <w:bCs/>
          <w:color w:val="002060"/>
          <w:sz w:val="16"/>
          <w:szCs w:val="16"/>
        </w:rPr>
        <w:t>удовлетворял требованиям ни</w:t>
      </w:r>
      <w:r w:rsidR="00DB4D64" w:rsidRPr="00405303">
        <w:rPr>
          <w:bCs/>
          <w:color w:val="002060"/>
          <w:sz w:val="16"/>
          <w:szCs w:val="16"/>
        </w:rPr>
        <w:t xml:space="preserve"> </w:t>
      </w:r>
      <w:r w:rsidRPr="00405303">
        <w:rPr>
          <w:bCs/>
          <w:color w:val="002060"/>
          <w:sz w:val="16"/>
          <w:szCs w:val="16"/>
        </w:rPr>
        <w:t>к</w:t>
      </w:r>
      <w:r w:rsidR="00DB4D64" w:rsidRPr="00405303">
        <w:rPr>
          <w:bCs/>
          <w:color w:val="002060"/>
          <w:sz w:val="16"/>
          <w:szCs w:val="16"/>
        </w:rPr>
        <w:t xml:space="preserve"> </w:t>
      </w:r>
      <w:r w:rsidRPr="00405303">
        <w:rPr>
          <w:bCs/>
          <w:color w:val="002060"/>
          <w:sz w:val="16"/>
          <w:szCs w:val="16"/>
        </w:rPr>
        <w:t>разведчику, ни</w:t>
      </w:r>
      <w:r w:rsidR="00DB4D64" w:rsidRPr="00405303">
        <w:rPr>
          <w:bCs/>
          <w:color w:val="002060"/>
          <w:sz w:val="16"/>
          <w:szCs w:val="16"/>
        </w:rPr>
        <w:t xml:space="preserve"> </w:t>
      </w:r>
      <w:r w:rsidRPr="00405303">
        <w:rPr>
          <w:bCs/>
          <w:color w:val="002060"/>
          <w:sz w:val="16"/>
          <w:szCs w:val="16"/>
        </w:rPr>
        <w:t>к</w:t>
      </w:r>
      <w:r w:rsidR="00DB4D64" w:rsidRPr="00405303">
        <w:rPr>
          <w:bCs/>
          <w:color w:val="002060"/>
          <w:sz w:val="16"/>
          <w:szCs w:val="16"/>
        </w:rPr>
        <w:t xml:space="preserve"> </w:t>
      </w:r>
      <w:r w:rsidRPr="00405303">
        <w:rPr>
          <w:bCs/>
          <w:color w:val="002060"/>
          <w:sz w:val="16"/>
          <w:szCs w:val="16"/>
        </w:rPr>
        <w:t>истребителю. Поэтому практически сразу</w:t>
      </w:r>
      <w:r w:rsidR="00DB4D64" w:rsidRPr="00405303">
        <w:rPr>
          <w:bCs/>
          <w:color w:val="002060"/>
          <w:sz w:val="16"/>
          <w:szCs w:val="16"/>
        </w:rPr>
        <w:t xml:space="preserve"> </w:t>
      </w:r>
      <w:r w:rsidRPr="00405303">
        <w:rPr>
          <w:bCs/>
          <w:color w:val="002060"/>
          <w:sz w:val="16"/>
          <w:szCs w:val="16"/>
        </w:rPr>
        <w:t>же после появления на</w:t>
      </w:r>
      <w:r w:rsidR="00DB4D64" w:rsidRPr="00405303">
        <w:rPr>
          <w:bCs/>
          <w:color w:val="002060"/>
          <w:sz w:val="16"/>
          <w:szCs w:val="16"/>
        </w:rPr>
        <w:t xml:space="preserve"> </w:t>
      </w:r>
      <w:r w:rsidRPr="00405303">
        <w:rPr>
          <w:bCs/>
          <w:color w:val="002060"/>
          <w:sz w:val="16"/>
          <w:szCs w:val="16"/>
        </w:rPr>
        <w:t>фронте двухместный «Ньюпор-Х» по</w:t>
      </w:r>
      <w:r w:rsidR="00DB4D64" w:rsidRPr="00405303">
        <w:rPr>
          <w:bCs/>
          <w:color w:val="002060"/>
          <w:sz w:val="16"/>
          <w:szCs w:val="16"/>
        </w:rPr>
        <w:t xml:space="preserve"> </w:t>
      </w:r>
      <w:r w:rsidRPr="00405303">
        <w:rPr>
          <w:bCs/>
          <w:color w:val="002060"/>
          <w:sz w:val="16"/>
          <w:szCs w:val="16"/>
        </w:rPr>
        <w:t>инициативе летчиков стали переделывать в</w:t>
      </w:r>
      <w:r w:rsidR="00DB4D64" w:rsidRPr="00405303">
        <w:rPr>
          <w:bCs/>
          <w:color w:val="002060"/>
          <w:sz w:val="16"/>
          <w:szCs w:val="16"/>
        </w:rPr>
        <w:t xml:space="preserve"> </w:t>
      </w:r>
      <w:r w:rsidRPr="00405303">
        <w:rPr>
          <w:bCs/>
          <w:color w:val="002060"/>
          <w:sz w:val="16"/>
          <w:szCs w:val="16"/>
        </w:rPr>
        <w:t>одноместный. Такой вариант стали строить на</w:t>
      </w:r>
      <w:r w:rsidR="00DB4D64" w:rsidRPr="00405303">
        <w:rPr>
          <w:bCs/>
          <w:color w:val="002060"/>
          <w:sz w:val="16"/>
          <w:szCs w:val="16"/>
        </w:rPr>
        <w:t xml:space="preserve"> </w:t>
      </w:r>
      <w:r w:rsidRPr="00405303">
        <w:rPr>
          <w:bCs/>
          <w:color w:val="002060"/>
          <w:sz w:val="16"/>
          <w:szCs w:val="16"/>
        </w:rPr>
        <w:t>«</w:t>
      </w:r>
      <w:r w:rsidR="00DB4D64" w:rsidRPr="00405303">
        <w:rPr>
          <w:bCs/>
          <w:color w:val="002060"/>
          <w:sz w:val="16"/>
          <w:szCs w:val="16"/>
        </w:rPr>
        <w:t xml:space="preserve"> </w:t>
      </w:r>
      <w:r w:rsidRPr="00405303">
        <w:rPr>
          <w:bCs/>
          <w:color w:val="002060"/>
          <w:sz w:val="16"/>
          <w:szCs w:val="16"/>
        </w:rPr>
        <w:t>Дуксе</w:t>
      </w:r>
      <w:r w:rsidR="00DB4D64" w:rsidRPr="00405303">
        <w:rPr>
          <w:bCs/>
          <w:color w:val="002060"/>
          <w:sz w:val="16"/>
          <w:szCs w:val="16"/>
        </w:rPr>
        <w:t xml:space="preserve"> </w:t>
      </w:r>
      <w:r w:rsidRPr="00405303">
        <w:rPr>
          <w:bCs/>
          <w:color w:val="002060"/>
          <w:sz w:val="16"/>
          <w:szCs w:val="16"/>
        </w:rPr>
        <w:t>» и у В. А.Лебедева уже с</w:t>
      </w:r>
      <w:r w:rsidR="00DB4D64" w:rsidRPr="00405303">
        <w:rPr>
          <w:bCs/>
          <w:color w:val="002060"/>
          <w:sz w:val="16"/>
          <w:szCs w:val="16"/>
        </w:rPr>
        <w:t xml:space="preserve"> </w:t>
      </w:r>
      <w:r w:rsidRPr="00405303">
        <w:rPr>
          <w:bCs/>
          <w:color w:val="002060"/>
          <w:sz w:val="16"/>
          <w:szCs w:val="16"/>
        </w:rPr>
        <w:t>конца 1915</w:t>
      </w:r>
      <w:r w:rsidR="00DB4D64" w:rsidRPr="00405303">
        <w:rPr>
          <w:bCs/>
          <w:color w:val="002060"/>
          <w:sz w:val="16"/>
          <w:szCs w:val="16"/>
        </w:rPr>
        <w:t xml:space="preserve"> </w:t>
      </w:r>
      <w:r w:rsidRPr="00405303">
        <w:rPr>
          <w:bCs/>
          <w:color w:val="002060"/>
          <w:sz w:val="16"/>
          <w:szCs w:val="16"/>
        </w:rPr>
        <w:t>г.</w:t>
      </w:r>
      <w:r w:rsidR="00DB4D64" w:rsidRPr="00405303">
        <w:rPr>
          <w:bCs/>
          <w:color w:val="002060"/>
          <w:sz w:val="16"/>
          <w:szCs w:val="16"/>
        </w:rPr>
        <w:t xml:space="preserve"> </w:t>
      </w:r>
      <w:r w:rsidRPr="00405303">
        <w:rPr>
          <w:bCs/>
          <w:color w:val="002060"/>
          <w:sz w:val="16"/>
          <w:szCs w:val="16"/>
        </w:rPr>
        <w:t>С «Роном» в</w:t>
      </w:r>
      <w:r w:rsidR="00DB4D64" w:rsidRPr="00405303">
        <w:rPr>
          <w:bCs/>
          <w:color w:val="002060"/>
          <w:sz w:val="16"/>
          <w:szCs w:val="16"/>
        </w:rPr>
        <w:t xml:space="preserve"> </w:t>
      </w:r>
      <w:r w:rsidRPr="00405303">
        <w:rPr>
          <w:bCs/>
          <w:color w:val="002060"/>
          <w:sz w:val="16"/>
          <w:szCs w:val="16"/>
        </w:rPr>
        <w:t>80 л. с. построили всего несколько машин, а</w:t>
      </w:r>
      <w:r w:rsidR="00DB4D64" w:rsidRPr="00405303">
        <w:rPr>
          <w:bCs/>
          <w:color w:val="002060"/>
          <w:sz w:val="16"/>
          <w:szCs w:val="16"/>
        </w:rPr>
        <w:t xml:space="preserve"> </w:t>
      </w:r>
      <w:r w:rsidRPr="00405303">
        <w:rPr>
          <w:bCs/>
          <w:color w:val="002060"/>
          <w:sz w:val="16"/>
          <w:szCs w:val="16"/>
        </w:rPr>
        <w:t>с</w:t>
      </w:r>
      <w:r w:rsidR="00DB4D64" w:rsidRPr="00405303">
        <w:rPr>
          <w:bCs/>
          <w:color w:val="002060"/>
          <w:sz w:val="16"/>
          <w:szCs w:val="16"/>
        </w:rPr>
        <w:t xml:space="preserve"> </w:t>
      </w:r>
      <w:r w:rsidRPr="00405303">
        <w:rPr>
          <w:bCs/>
          <w:color w:val="002060"/>
          <w:sz w:val="16"/>
          <w:szCs w:val="16"/>
        </w:rPr>
        <w:t>мотором «Гном-Моносупан» в</w:t>
      </w:r>
      <w:r w:rsidR="00DB4D64" w:rsidRPr="00405303">
        <w:rPr>
          <w:bCs/>
          <w:color w:val="002060"/>
          <w:sz w:val="16"/>
          <w:szCs w:val="16"/>
        </w:rPr>
        <w:t xml:space="preserve"> </w:t>
      </w:r>
      <w:r w:rsidRPr="00405303">
        <w:rPr>
          <w:bCs/>
          <w:color w:val="002060"/>
          <w:sz w:val="16"/>
          <w:szCs w:val="16"/>
        </w:rPr>
        <w:t>100 л. с. выпустили уже несколько десятков. В</w:t>
      </w:r>
      <w:r w:rsidR="00DB4D64" w:rsidRPr="00405303">
        <w:rPr>
          <w:bCs/>
          <w:color w:val="002060"/>
          <w:sz w:val="16"/>
          <w:szCs w:val="16"/>
        </w:rPr>
        <w:t xml:space="preserve"> </w:t>
      </w:r>
      <w:r w:rsidRPr="00405303">
        <w:rPr>
          <w:bCs/>
          <w:color w:val="002060"/>
          <w:sz w:val="16"/>
          <w:szCs w:val="16"/>
        </w:rPr>
        <w:t>1917</w:t>
      </w:r>
      <w:r w:rsidR="00DB4D64" w:rsidRPr="00405303">
        <w:rPr>
          <w:bCs/>
          <w:color w:val="002060"/>
          <w:sz w:val="16"/>
          <w:szCs w:val="16"/>
        </w:rPr>
        <w:t xml:space="preserve"> </w:t>
      </w:r>
      <w:r w:rsidRPr="00405303">
        <w:rPr>
          <w:bCs/>
          <w:color w:val="002060"/>
          <w:sz w:val="16"/>
          <w:szCs w:val="16"/>
        </w:rPr>
        <w:t>г. «Ньюпор-Х» на</w:t>
      </w:r>
      <w:r w:rsidR="00DB4D64" w:rsidRPr="00405303">
        <w:rPr>
          <w:bCs/>
          <w:color w:val="002060"/>
          <w:sz w:val="16"/>
          <w:szCs w:val="16"/>
        </w:rPr>
        <w:t xml:space="preserve"> </w:t>
      </w:r>
      <w:r w:rsidRPr="00405303">
        <w:rPr>
          <w:bCs/>
          <w:color w:val="002060"/>
          <w:sz w:val="16"/>
          <w:szCs w:val="16"/>
        </w:rPr>
        <w:t>«</w:t>
      </w:r>
      <w:r w:rsidR="00DB4D64" w:rsidRPr="00405303">
        <w:rPr>
          <w:bCs/>
          <w:color w:val="002060"/>
          <w:sz w:val="16"/>
          <w:szCs w:val="16"/>
        </w:rPr>
        <w:t xml:space="preserve"> </w:t>
      </w:r>
      <w:r w:rsidRPr="00405303">
        <w:rPr>
          <w:bCs/>
          <w:color w:val="002060"/>
          <w:sz w:val="16"/>
          <w:szCs w:val="16"/>
        </w:rPr>
        <w:t>Дуксе</w:t>
      </w:r>
      <w:r w:rsidR="00DB4D64" w:rsidRPr="00405303">
        <w:rPr>
          <w:bCs/>
          <w:color w:val="002060"/>
          <w:sz w:val="16"/>
          <w:szCs w:val="16"/>
        </w:rPr>
        <w:t xml:space="preserve"> </w:t>
      </w:r>
      <w:r w:rsidRPr="00405303">
        <w:rPr>
          <w:bCs/>
          <w:color w:val="002060"/>
          <w:sz w:val="16"/>
          <w:szCs w:val="16"/>
        </w:rPr>
        <w:t>» стали оснащать «Ронами» в</w:t>
      </w:r>
      <w:r w:rsidR="00DB4D64" w:rsidRPr="00405303">
        <w:rPr>
          <w:bCs/>
          <w:color w:val="002060"/>
          <w:sz w:val="16"/>
          <w:szCs w:val="16"/>
        </w:rPr>
        <w:t xml:space="preserve"> </w:t>
      </w:r>
      <w:r w:rsidRPr="00405303">
        <w:rPr>
          <w:bCs/>
          <w:color w:val="002060"/>
          <w:sz w:val="16"/>
          <w:szCs w:val="16"/>
        </w:rPr>
        <w:t>110 и</w:t>
      </w:r>
      <w:r w:rsidR="00DB4D64" w:rsidRPr="00405303">
        <w:rPr>
          <w:bCs/>
          <w:color w:val="002060"/>
          <w:sz w:val="16"/>
          <w:szCs w:val="16"/>
        </w:rPr>
        <w:t xml:space="preserve"> </w:t>
      </w:r>
      <w:r w:rsidRPr="00405303">
        <w:rPr>
          <w:bCs/>
          <w:color w:val="002060"/>
          <w:sz w:val="16"/>
          <w:szCs w:val="16"/>
        </w:rPr>
        <w:t>120 л. с. Следующей модификацией, 11-й по</w:t>
      </w:r>
      <w:r w:rsidR="00DB4D64" w:rsidRPr="00405303">
        <w:rPr>
          <w:bCs/>
          <w:color w:val="002060"/>
          <w:sz w:val="16"/>
          <w:szCs w:val="16"/>
        </w:rPr>
        <w:t xml:space="preserve"> </w:t>
      </w:r>
      <w:r w:rsidRPr="00405303">
        <w:rPr>
          <w:bCs/>
          <w:color w:val="002060"/>
          <w:sz w:val="16"/>
          <w:szCs w:val="16"/>
        </w:rPr>
        <w:t>счету, стал самый миниатюрный из</w:t>
      </w:r>
      <w:r w:rsidR="00DB4D64" w:rsidRPr="00405303">
        <w:rPr>
          <w:bCs/>
          <w:color w:val="002060"/>
          <w:sz w:val="16"/>
          <w:szCs w:val="16"/>
        </w:rPr>
        <w:t xml:space="preserve"> </w:t>
      </w:r>
      <w:r w:rsidRPr="00405303">
        <w:rPr>
          <w:bCs/>
          <w:color w:val="002060"/>
          <w:sz w:val="16"/>
          <w:szCs w:val="16"/>
        </w:rPr>
        <w:t>всех «Ньюпоров» тип XI, почти официально получивший прозвище «Бебе». Вес пустого самолета французской постройки был всего 320</w:t>
      </w:r>
      <w:r w:rsidR="00DB4D64" w:rsidRPr="00405303">
        <w:rPr>
          <w:bCs/>
          <w:color w:val="002060"/>
          <w:sz w:val="16"/>
          <w:szCs w:val="16"/>
        </w:rPr>
        <w:t xml:space="preserve"> </w:t>
      </w:r>
      <w:r w:rsidRPr="00405303">
        <w:rPr>
          <w:bCs/>
          <w:color w:val="002060"/>
          <w:sz w:val="16"/>
          <w:szCs w:val="16"/>
        </w:rPr>
        <w:t xml:space="preserve">кг. На </w:t>
      </w:r>
      <w:proofErr w:type="gramStart"/>
      <w:r w:rsidRPr="00405303">
        <w:rPr>
          <w:bCs/>
          <w:color w:val="002060"/>
          <w:sz w:val="16"/>
          <w:szCs w:val="16"/>
        </w:rPr>
        <w:t>«</w:t>
      </w:r>
      <w:r w:rsidR="00DB4D64" w:rsidRPr="00405303">
        <w:rPr>
          <w:bCs/>
          <w:color w:val="002060"/>
          <w:sz w:val="16"/>
          <w:szCs w:val="16"/>
        </w:rPr>
        <w:t xml:space="preserve"> </w:t>
      </w:r>
      <w:r w:rsidRPr="00405303">
        <w:rPr>
          <w:bCs/>
          <w:color w:val="002060"/>
          <w:sz w:val="16"/>
          <w:szCs w:val="16"/>
        </w:rPr>
        <w:t>Дуксе</w:t>
      </w:r>
      <w:proofErr w:type="gramEnd"/>
      <w:r w:rsidR="00DB4D64" w:rsidRPr="00405303">
        <w:rPr>
          <w:bCs/>
          <w:color w:val="002060"/>
          <w:sz w:val="16"/>
          <w:szCs w:val="16"/>
        </w:rPr>
        <w:t xml:space="preserve"> </w:t>
      </w:r>
      <w:r w:rsidRPr="00405303">
        <w:rPr>
          <w:bCs/>
          <w:color w:val="002060"/>
          <w:sz w:val="16"/>
          <w:szCs w:val="16"/>
        </w:rPr>
        <w:t>» машина «потяжелела» на</w:t>
      </w:r>
      <w:r w:rsidR="00DB4D64" w:rsidRPr="00405303">
        <w:rPr>
          <w:bCs/>
          <w:color w:val="002060"/>
          <w:sz w:val="16"/>
          <w:szCs w:val="16"/>
        </w:rPr>
        <w:t xml:space="preserve"> </w:t>
      </w:r>
      <w:r w:rsidRPr="00405303">
        <w:rPr>
          <w:bCs/>
          <w:color w:val="002060"/>
          <w:sz w:val="16"/>
          <w:szCs w:val="16"/>
        </w:rPr>
        <w:t>30</w:t>
      </w:r>
      <w:r w:rsidR="00DB4D64" w:rsidRPr="00405303">
        <w:rPr>
          <w:bCs/>
          <w:color w:val="002060"/>
          <w:sz w:val="16"/>
          <w:szCs w:val="16"/>
        </w:rPr>
        <w:t xml:space="preserve"> </w:t>
      </w:r>
      <w:r w:rsidRPr="00405303">
        <w:rPr>
          <w:bCs/>
          <w:color w:val="002060"/>
          <w:sz w:val="16"/>
          <w:szCs w:val="16"/>
        </w:rPr>
        <w:t>кг из-за использования сосны вместо спруса и</w:t>
      </w:r>
      <w:r w:rsidR="00DB4D64" w:rsidRPr="00405303">
        <w:rPr>
          <w:bCs/>
          <w:color w:val="002060"/>
          <w:sz w:val="16"/>
          <w:szCs w:val="16"/>
        </w:rPr>
        <w:t xml:space="preserve"> </w:t>
      </w:r>
      <w:r w:rsidRPr="00405303">
        <w:rPr>
          <w:bCs/>
          <w:color w:val="002060"/>
          <w:sz w:val="16"/>
          <w:szCs w:val="16"/>
        </w:rPr>
        <w:t>льняного полотна вместо полушелкового. Для защиты головы пилота сделали специальный обтекатель-подголовник, у</w:t>
      </w:r>
      <w:r w:rsidR="00DB4D64" w:rsidRPr="00405303">
        <w:rPr>
          <w:bCs/>
          <w:color w:val="002060"/>
          <w:sz w:val="16"/>
          <w:szCs w:val="16"/>
        </w:rPr>
        <w:t xml:space="preserve"> </w:t>
      </w:r>
      <w:r w:rsidRPr="00405303">
        <w:rPr>
          <w:bCs/>
          <w:color w:val="002060"/>
          <w:sz w:val="16"/>
          <w:szCs w:val="16"/>
        </w:rPr>
        <w:t>французов его не</w:t>
      </w:r>
      <w:r w:rsidR="00DB4D64" w:rsidRPr="00405303">
        <w:rPr>
          <w:bCs/>
          <w:color w:val="002060"/>
          <w:sz w:val="16"/>
          <w:szCs w:val="16"/>
        </w:rPr>
        <w:t xml:space="preserve"> </w:t>
      </w:r>
      <w:r w:rsidRPr="00405303">
        <w:rPr>
          <w:bCs/>
          <w:color w:val="002060"/>
          <w:sz w:val="16"/>
          <w:szCs w:val="16"/>
        </w:rPr>
        <w:t>было. Следующие три модификации</w:t>
      </w:r>
      <w:r w:rsidR="00DB4D64" w:rsidRPr="00405303">
        <w:rPr>
          <w:bCs/>
          <w:color w:val="002060"/>
          <w:sz w:val="16"/>
          <w:szCs w:val="16"/>
        </w:rPr>
        <w:t xml:space="preserve"> </w:t>
      </w:r>
      <w:r w:rsidRPr="00405303">
        <w:rPr>
          <w:bCs/>
          <w:color w:val="002060"/>
          <w:sz w:val="16"/>
          <w:szCs w:val="16"/>
        </w:rPr>
        <w:t>— «Ньюпор-ХII, -XIII,-XIV» приобрели во</w:t>
      </w:r>
      <w:r w:rsidR="00DB4D64" w:rsidRPr="00405303">
        <w:rPr>
          <w:bCs/>
          <w:color w:val="002060"/>
          <w:sz w:val="16"/>
          <w:szCs w:val="16"/>
        </w:rPr>
        <w:t xml:space="preserve"> </w:t>
      </w:r>
      <w:r w:rsidRPr="00405303">
        <w:rPr>
          <w:bCs/>
          <w:color w:val="002060"/>
          <w:sz w:val="16"/>
          <w:szCs w:val="16"/>
        </w:rPr>
        <w:t>Франции в</w:t>
      </w:r>
      <w:r w:rsidR="00DB4D64" w:rsidRPr="00405303">
        <w:rPr>
          <w:bCs/>
          <w:color w:val="002060"/>
          <w:sz w:val="16"/>
          <w:szCs w:val="16"/>
        </w:rPr>
        <w:t xml:space="preserve"> </w:t>
      </w:r>
      <w:r w:rsidRPr="00405303">
        <w:rPr>
          <w:bCs/>
          <w:color w:val="002060"/>
          <w:sz w:val="16"/>
          <w:szCs w:val="16"/>
        </w:rPr>
        <w:t>единичных экземплярах и</w:t>
      </w:r>
      <w:r w:rsidR="00DB4D64" w:rsidRPr="00405303">
        <w:rPr>
          <w:bCs/>
          <w:color w:val="002060"/>
          <w:sz w:val="16"/>
          <w:szCs w:val="16"/>
        </w:rPr>
        <w:t xml:space="preserve"> </w:t>
      </w:r>
      <w:r w:rsidRPr="00405303">
        <w:rPr>
          <w:bCs/>
          <w:color w:val="002060"/>
          <w:sz w:val="16"/>
          <w:szCs w:val="16"/>
        </w:rPr>
        <w:t>изучали на</w:t>
      </w:r>
      <w:r w:rsidR="00DB4D64" w:rsidRPr="00405303">
        <w:rPr>
          <w:bCs/>
          <w:color w:val="002060"/>
          <w:sz w:val="16"/>
          <w:szCs w:val="16"/>
        </w:rPr>
        <w:t xml:space="preserve"> </w:t>
      </w:r>
      <w:r w:rsidRPr="00405303">
        <w:rPr>
          <w:bCs/>
          <w:color w:val="002060"/>
          <w:sz w:val="16"/>
          <w:szCs w:val="16"/>
        </w:rPr>
        <w:t>«</w:t>
      </w:r>
      <w:r w:rsidR="00DB4D64" w:rsidRPr="00405303">
        <w:rPr>
          <w:bCs/>
          <w:color w:val="002060"/>
          <w:sz w:val="16"/>
          <w:szCs w:val="16"/>
        </w:rPr>
        <w:t xml:space="preserve"> </w:t>
      </w:r>
      <w:r w:rsidRPr="00405303">
        <w:rPr>
          <w:bCs/>
          <w:color w:val="002060"/>
          <w:sz w:val="16"/>
          <w:szCs w:val="16"/>
        </w:rPr>
        <w:t>Дуксе</w:t>
      </w:r>
      <w:r w:rsidR="00DB4D64" w:rsidRPr="00405303">
        <w:rPr>
          <w:bCs/>
          <w:color w:val="002060"/>
          <w:sz w:val="16"/>
          <w:szCs w:val="16"/>
        </w:rPr>
        <w:t xml:space="preserve"> </w:t>
      </w:r>
      <w:r w:rsidRPr="00405303">
        <w:rPr>
          <w:bCs/>
          <w:color w:val="002060"/>
          <w:sz w:val="16"/>
          <w:szCs w:val="16"/>
        </w:rPr>
        <w:t>», но</w:t>
      </w:r>
      <w:r w:rsidR="00DB4D64" w:rsidRPr="00405303">
        <w:rPr>
          <w:bCs/>
          <w:color w:val="002060"/>
          <w:sz w:val="16"/>
          <w:szCs w:val="16"/>
        </w:rPr>
        <w:t xml:space="preserve"> </w:t>
      </w:r>
      <w:r w:rsidRPr="00405303">
        <w:rPr>
          <w:bCs/>
          <w:color w:val="002060"/>
          <w:sz w:val="16"/>
          <w:szCs w:val="16"/>
        </w:rPr>
        <w:t>в</w:t>
      </w:r>
      <w:r w:rsidR="00DB4D64" w:rsidRPr="00405303">
        <w:rPr>
          <w:bCs/>
          <w:color w:val="002060"/>
          <w:sz w:val="16"/>
          <w:szCs w:val="16"/>
        </w:rPr>
        <w:t xml:space="preserve"> </w:t>
      </w:r>
      <w:r w:rsidRPr="00405303">
        <w:rPr>
          <w:bCs/>
          <w:color w:val="002060"/>
          <w:sz w:val="16"/>
          <w:szCs w:val="16"/>
        </w:rPr>
        <w:t>России не</w:t>
      </w:r>
      <w:r w:rsidR="00DB4D64" w:rsidRPr="00405303">
        <w:rPr>
          <w:bCs/>
          <w:color w:val="002060"/>
          <w:sz w:val="16"/>
          <w:szCs w:val="16"/>
        </w:rPr>
        <w:t xml:space="preserve"> </w:t>
      </w:r>
      <w:r w:rsidRPr="00405303">
        <w:rPr>
          <w:bCs/>
          <w:color w:val="002060"/>
          <w:sz w:val="16"/>
          <w:szCs w:val="16"/>
        </w:rPr>
        <w:t>строили. «Ньюпоров-XVI» с</w:t>
      </w:r>
      <w:r w:rsidR="00DB4D64" w:rsidRPr="00405303">
        <w:rPr>
          <w:bCs/>
          <w:color w:val="002060"/>
          <w:sz w:val="16"/>
          <w:szCs w:val="16"/>
        </w:rPr>
        <w:t xml:space="preserve"> </w:t>
      </w:r>
      <w:r w:rsidRPr="00405303">
        <w:rPr>
          <w:bCs/>
          <w:color w:val="002060"/>
          <w:sz w:val="16"/>
          <w:szCs w:val="16"/>
        </w:rPr>
        <w:t>моторами «Рон» в</w:t>
      </w:r>
      <w:r w:rsidR="00DB4D64" w:rsidRPr="00405303">
        <w:rPr>
          <w:bCs/>
          <w:color w:val="002060"/>
          <w:sz w:val="16"/>
          <w:szCs w:val="16"/>
        </w:rPr>
        <w:t xml:space="preserve"> </w:t>
      </w:r>
      <w:r w:rsidRPr="00405303">
        <w:rPr>
          <w:bCs/>
          <w:color w:val="002060"/>
          <w:sz w:val="16"/>
          <w:szCs w:val="16"/>
        </w:rPr>
        <w:t>110 л. с. в</w:t>
      </w:r>
      <w:r w:rsidR="00DB4D64" w:rsidRPr="00405303">
        <w:rPr>
          <w:bCs/>
          <w:color w:val="002060"/>
          <w:sz w:val="16"/>
          <w:szCs w:val="16"/>
        </w:rPr>
        <w:t xml:space="preserve"> </w:t>
      </w:r>
      <w:r w:rsidRPr="00405303">
        <w:rPr>
          <w:bCs/>
          <w:color w:val="002060"/>
          <w:sz w:val="16"/>
          <w:szCs w:val="16"/>
        </w:rPr>
        <w:t>Москве построили всего несколько машин. Зато следующий вариант истребителя</w:t>
      </w:r>
      <w:r w:rsidR="00DB4D64" w:rsidRPr="00405303">
        <w:rPr>
          <w:bCs/>
          <w:color w:val="002060"/>
          <w:sz w:val="16"/>
          <w:szCs w:val="16"/>
        </w:rPr>
        <w:t xml:space="preserve"> </w:t>
      </w:r>
      <w:r w:rsidRPr="00405303">
        <w:rPr>
          <w:bCs/>
          <w:color w:val="002060"/>
          <w:sz w:val="16"/>
          <w:szCs w:val="16"/>
        </w:rPr>
        <w:t>— «Ньюпор-XVII» стал особенно популярным на</w:t>
      </w:r>
      <w:r w:rsidR="00DB4D64" w:rsidRPr="00405303">
        <w:rPr>
          <w:bCs/>
          <w:color w:val="002060"/>
          <w:sz w:val="16"/>
          <w:szCs w:val="16"/>
        </w:rPr>
        <w:t xml:space="preserve"> </w:t>
      </w:r>
      <w:r w:rsidRPr="00405303">
        <w:rPr>
          <w:bCs/>
          <w:color w:val="002060"/>
          <w:sz w:val="16"/>
          <w:szCs w:val="16"/>
        </w:rPr>
        <w:t>фронте боевым самолетом наряду с</w:t>
      </w:r>
      <w:r w:rsidR="00DB4D64" w:rsidRPr="00405303">
        <w:rPr>
          <w:bCs/>
          <w:color w:val="002060"/>
          <w:sz w:val="16"/>
          <w:szCs w:val="16"/>
        </w:rPr>
        <w:t xml:space="preserve"> </w:t>
      </w:r>
      <w:r w:rsidRPr="00405303">
        <w:rPr>
          <w:bCs/>
          <w:color w:val="002060"/>
          <w:sz w:val="16"/>
          <w:szCs w:val="16"/>
        </w:rPr>
        <w:t>«Ньюпором-XI». Летчики его ласково прозвали «Бебе-17». Постоянно отставая и</w:t>
      </w:r>
      <w:r w:rsidR="00DB4D64" w:rsidRPr="00405303">
        <w:rPr>
          <w:bCs/>
          <w:color w:val="002060"/>
          <w:sz w:val="16"/>
          <w:szCs w:val="16"/>
        </w:rPr>
        <w:t xml:space="preserve"> </w:t>
      </w:r>
      <w:r w:rsidRPr="00405303">
        <w:rPr>
          <w:bCs/>
          <w:color w:val="002060"/>
          <w:sz w:val="16"/>
          <w:szCs w:val="16"/>
        </w:rPr>
        <w:t>от</w:t>
      </w:r>
      <w:r w:rsidR="00DB4D64" w:rsidRPr="00405303">
        <w:rPr>
          <w:bCs/>
          <w:color w:val="002060"/>
          <w:sz w:val="16"/>
          <w:szCs w:val="16"/>
        </w:rPr>
        <w:t xml:space="preserve"> </w:t>
      </w:r>
      <w:r w:rsidRPr="00405303">
        <w:rPr>
          <w:bCs/>
          <w:color w:val="002060"/>
          <w:sz w:val="16"/>
          <w:szCs w:val="16"/>
        </w:rPr>
        <w:t>союзников, и</w:t>
      </w:r>
      <w:r w:rsidR="00DB4D64" w:rsidRPr="00405303">
        <w:rPr>
          <w:bCs/>
          <w:color w:val="002060"/>
          <w:sz w:val="16"/>
          <w:szCs w:val="16"/>
        </w:rPr>
        <w:t xml:space="preserve"> </w:t>
      </w:r>
      <w:r w:rsidRPr="00405303">
        <w:rPr>
          <w:bCs/>
          <w:color w:val="002060"/>
          <w:sz w:val="16"/>
          <w:szCs w:val="16"/>
        </w:rPr>
        <w:t>от</w:t>
      </w:r>
      <w:r w:rsidR="00DB4D64" w:rsidRPr="00405303">
        <w:rPr>
          <w:bCs/>
          <w:color w:val="002060"/>
          <w:sz w:val="16"/>
          <w:szCs w:val="16"/>
        </w:rPr>
        <w:t xml:space="preserve"> </w:t>
      </w:r>
      <w:r w:rsidRPr="00405303">
        <w:rPr>
          <w:bCs/>
          <w:color w:val="002060"/>
          <w:sz w:val="16"/>
          <w:szCs w:val="16"/>
        </w:rPr>
        <w:t>противника в</w:t>
      </w:r>
      <w:r w:rsidR="00DB4D64" w:rsidRPr="00405303">
        <w:rPr>
          <w:bCs/>
          <w:color w:val="002060"/>
          <w:sz w:val="16"/>
          <w:szCs w:val="16"/>
        </w:rPr>
        <w:t xml:space="preserve"> </w:t>
      </w:r>
      <w:r w:rsidRPr="00405303">
        <w:rPr>
          <w:bCs/>
          <w:color w:val="002060"/>
          <w:sz w:val="16"/>
          <w:szCs w:val="16"/>
        </w:rPr>
        <w:t>боевых качествах фронтовых самолетов, военное ведомство в</w:t>
      </w:r>
      <w:r w:rsidR="00DB4D64" w:rsidRPr="00405303">
        <w:rPr>
          <w:bCs/>
          <w:color w:val="002060"/>
          <w:sz w:val="16"/>
          <w:szCs w:val="16"/>
        </w:rPr>
        <w:t xml:space="preserve"> </w:t>
      </w:r>
      <w:r w:rsidRPr="00405303">
        <w:rPr>
          <w:bCs/>
          <w:color w:val="002060"/>
          <w:sz w:val="16"/>
          <w:szCs w:val="16"/>
        </w:rPr>
        <w:t>1915</w:t>
      </w:r>
      <w:r w:rsidR="00DB4D64" w:rsidRPr="00405303">
        <w:rPr>
          <w:bCs/>
          <w:color w:val="002060"/>
          <w:sz w:val="16"/>
          <w:szCs w:val="16"/>
        </w:rPr>
        <w:t xml:space="preserve"> </w:t>
      </w:r>
      <w:r w:rsidRPr="00405303">
        <w:rPr>
          <w:bCs/>
          <w:color w:val="002060"/>
          <w:sz w:val="16"/>
          <w:szCs w:val="16"/>
        </w:rPr>
        <w:t>г.</w:t>
      </w:r>
      <w:r w:rsidR="00DB4D64" w:rsidRPr="00405303">
        <w:rPr>
          <w:bCs/>
          <w:color w:val="002060"/>
          <w:sz w:val="16"/>
          <w:szCs w:val="16"/>
        </w:rPr>
        <w:t xml:space="preserve"> </w:t>
      </w:r>
      <w:r w:rsidRPr="00405303">
        <w:rPr>
          <w:bCs/>
          <w:color w:val="002060"/>
          <w:sz w:val="16"/>
          <w:szCs w:val="16"/>
        </w:rPr>
        <w:t>вынужденно разработало «проект задания» авиазаводам. Теперь уже требовалось строить истребители со</w:t>
      </w:r>
      <w:r w:rsidR="00DB4D64" w:rsidRPr="00405303">
        <w:rPr>
          <w:bCs/>
          <w:color w:val="002060"/>
          <w:sz w:val="16"/>
          <w:szCs w:val="16"/>
        </w:rPr>
        <w:t xml:space="preserve"> </w:t>
      </w:r>
      <w:r w:rsidRPr="00405303">
        <w:rPr>
          <w:bCs/>
          <w:color w:val="002060"/>
          <w:sz w:val="16"/>
          <w:szCs w:val="16"/>
        </w:rPr>
        <w:t>скоростью не</w:t>
      </w:r>
      <w:r w:rsidR="00DB4D64" w:rsidRPr="00405303">
        <w:rPr>
          <w:bCs/>
          <w:color w:val="002060"/>
          <w:sz w:val="16"/>
          <w:szCs w:val="16"/>
        </w:rPr>
        <w:t xml:space="preserve"> </w:t>
      </w:r>
      <w:r w:rsidRPr="00405303">
        <w:rPr>
          <w:bCs/>
          <w:color w:val="002060"/>
          <w:sz w:val="16"/>
          <w:szCs w:val="16"/>
        </w:rPr>
        <w:t>менее 150 км/ч. (До</w:t>
      </w:r>
      <w:r w:rsidR="00DB4D64" w:rsidRPr="00405303">
        <w:rPr>
          <w:bCs/>
          <w:color w:val="002060"/>
          <w:sz w:val="16"/>
          <w:szCs w:val="16"/>
        </w:rPr>
        <w:t xml:space="preserve"> </w:t>
      </w:r>
      <w:r w:rsidRPr="00405303">
        <w:rPr>
          <w:bCs/>
          <w:color w:val="002060"/>
          <w:sz w:val="16"/>
          <w:szCs w:val="16"/>
        </w:rPr>
        <w:t>какого-то момента на</w:t>
      </w:r>
      <w:r w:rsidR="00DB4D64" w:rsidRPr="00405303">
        <w:rPr>
          <w:bCs/>
          <w:color w:val="002060"/>
          <w:sz w:val="16"/>
          <w:szCs w:val="16"/>
        </w:rPr>
        <w:t xml:space="preserve"> </w:t>
      </w:r>
      <w:r w:rsidRPr="00405303">
        <w:rPr>
          <w:bCs/>
          <w:color w:val="002060"/>
          <w:sz w:val="16"/>
          <w:szCs w:val="16"/>
        </w:rPr>
        <w:t>скорость вообще не</w:t>
      </w:r>
      <w:r w:rsidR="00DB4D64" w:rsidRPr="00405303">
        <w:rPr>
          <w:bCs/>
          <w:color w:val="002060"/>
          <w:sz w:val="16"/>
          <w:szCs w:val="16"/>
        </w:rPr>
        <w:t xml:space="preserve"> </w:t>
      </w:r>
      <w:r w:rsidRPr="00405303">
        <w:rPr>
          <w:bCs/>
          <w:color w:val="002060"/>
          <w:sz w:val="16"/>
          <w:szCs w:val="16"/>
        </w:rPr>
        <w:t>обращали внимания). Для самолетов с</w:t>
      </w:r>
      <w:r w:rsidR="00DB4D64" w:rsidRPr="00405303">
        <w:rPr>
          <w:bCs/>
          <w:color w:val="002060"/>
          <w:sz w:val="16"/>
          <w:szCs w:val="16"/>
        </w:rPr>
        <w:t xml:space="preserve"> </w:t>
      </w:r>
      <w:r w:rsidRPr="00405303">
        <w:rPr>
          <w:bCs/>
          <w:color w:val="002060"/>
          <w:sz w:val="16"/>
          <w:szCs w:val="16"/>
        </w:rPr>
        <w:t>моторами в</w:t>
      </w:r>
      <w:r w:rsidR="00DB4D64" w:rsidRPr="00405303">
        <w:rPr>
          <w:bCs/>
          <w:color w:val="002060"/>
          <w:sz w:val="16"/>
          <w:szCs w:val="16"/>
        </w:rPr>
        <w:t xml:space="preserve"> </w:t>
      </w:r>
      <w:r w:rsidRPr="00405303">
        <w:rPr>
          <w:bCs/>
          <w:color w:val="002060"/>
          <w:sz w:val="16"/>
          <w:szCs w:val="16"/>
        </w:rPr>
        <w:t>100—110 л. с. требовалась скороподъемность не</w:t>
      </w:r>
      <w:r w:rsidR="00DB4D64" w:rsidRPr="00405303">
        <w:rPr>
          <w:bCs/>
          <w:color w:val="002060"/>
          <w:sz w:val="16"/>
          <w:szCs w:val="16"/>
        </w:rPr>
        <w:t xml:space="preserve"> </w:t>
      </w:r>
      <w:r w:rsidRPr="00405303">
        <w:rPr>
          <w:bCs/>
          <w:color w:val="002060"/>
          <w:sz w:val="16"/>
          <w:szCs w:val="16"/>
        </w:rPr>
        <w:t>более 15 мин на</w:t>
      </w:r>
      <w:r w:rsidR="00DB4D64" w:rsidRPr="00405303">
        <w:rPr>
          <w:bCs/>
          <w:color w:val="002060"/>
          <w:sz w:val="16"/>
          <w:szCs w:val="16"/>
        </w:rPr>
        <w:t xml:space="preserve"> </w:t>
      </w:r>
      <w:r w:rsidRPr="00405303">
        <w:rPr>
          <w:bCs/>
          <w:color w:val="002060"/>
          <w:sz w:val="16"/>
          <w:szCs w:val="16"/>
        </w:rPr>
        <w:t>высоту 2</w:t>
      </w:r>
      <w:r w:rsidR="00DB4D64" w:rsidRPr="00405303">
        <w:rPr>
          <w:bCs/>
          <w:color w:val="002060"/>
          <w:sz w:val="16"/>
          <w:szCs w:val="16"/>
        </w:rPr>
        <w:t xml:space="preserve"> </w:t>
      </w:r>
      <w:r w:rsidRPr="00405303">
        <w:rPr>
          <w:bCs/>
          <w:color w:val="002060"/>
          <w:sz w:val="16"/>
          <w:szCs w:val="16"/>
        </w:rPr>
        <w:t>км, продолжительность полета до</w:t>
      </w:r>
      <w:r w:rsidR="00DB4D64" w:rsidRPr="00405303">
        <w:rPr>
          <w:bCs/>
          <w:color w:val="002060"/>
          <w:sz w:val="16"/>
          <w:szCs w:val="16"/>
        </w:rPr>
        <w:t xml:space="preserve"> </w:t>
      </w:r>
      <w:r w:rsidRPr="00405303">
        <w:rPr>
          <w:bCs/>
          <w:color w:val="002060"/>
          <w:sz w:val="16"/>
          <w:szCs w:val="16"/>
        </w:rPr>
        <w:t>7 час, полезная нагрузка не</w:t>
      </w:r>
      <w:r w:rsidR="00DB4D64" w:rsidRPr="00405303">
        <w:rPr>
          <w:bCs/>
          <w:color w:val="002060"/>
          <w:sz w:val="16"/>
          <w:szCs w:val="16"/>
        </w:rPr>
        <w:t xml:space="preserve"> </w:t>
      </w:r>
      <w:r w:rsidRPr="00405303">
        <w:rPr>
          <w:bCs/>
          <w:color w:val="002060"/>
          <w:sz w:val="16"/>
          <w:szCs w:val="16"/>
        </w:rPr>
        <w:t>менее 300</w:t>
      </w:r>
      <w:r w:rsidR="00DB4D64" w:rsidRPr="00405303">
        <w:rPr>
          <w:bCs/>
          <w:color w:val="002060"/>
          <w:sz w:val="16"/>
          <w:szCs w:val="16"/>
        </w:rPr>
        <w:t xml:space="preserve"> </w:t>
      </w:r>
      <w:r w:rsidRPr="00405303">
        <w:rPr>
          <w:bCs/>
          <w:color w:val="002060"/>
          <w:sz w:val="16"/>
          <w:szCs w:val="16"/>
        </w:rPr>
        <w:t>кг (два члена экипажа и</w:t>
      </w:r>
      <w:r w:rsidR="00DB4D64" w:rsidRPr="00405303">
        <w:rPr>
          <w:bCs/>
          <w:color w:val="002060"/>
          <w:sz w:val="16"/>
          <w:szCs w:val="16"/>
        </w:rPr>
        <w:t xml:space="preserve"> </w:t>
      </w:r>
      <w:r w:rsidRPr="00405303">
        <w:rPr>
          <w:bCs/>
          <w:color w:val="002060"/>
          <w:sz w:val="16"/>
          <w:szCs w:val="16"/>
        </w:rPr>
        <w:t>боевое снаряжение). При этом в</w:t>
      </w:r>
      <w:r w:rsidR="00DB4D64" w:rsidRPr="00405303">
        <w:rPr>
          <w:bCs/>
          <w:color w:val="002060"/>
          <w:sz w:val="16"/>
          <w:szCs w:val="16"/>
        </w:rPr>
        <w:t xml:space="preserve"> </w:t>
      </w:r>
      <w:r w:rsidRPr="00405303">
        <w:rPr>
          <w:bCs/>
          <w:color w:val="002060"/>
          <w:sz w:val="16"/>
          <w:szCs w:val="16"/>
        </w:rPr>
        <w:t>УВВФ наивно полагали, что разбег и</w:t>
      </w:r>
      <w:r w:rsidR="00DB4D64" w:rsidRPr="00405303">
        <w:rPr>
          <w:bCs/>
          <w:color w:val="002060"/>
          <w:sz w:val="16"/>
          <w:szCs w:val="16"/>
        </w:rPr>
        <w:t xml:space="preserve"> </w:t>
      </w:r>
      <w:r w:rsidRPr="00405303">
        <w:rPr>
          <w:bCs/>
          <w:color w:val="002060"/>
          <w:sz w:val="16"/>
          <w:szCs w:val="16"/>
        </w:rPr>
        <w:t>пробег не</w:t>
      </w:r>
      <w:r w:rsidR="00DB4D64" w:rsidRPr="00405303">
        <w:rPr>
          <w:bCs/>
          <w:color w:val="002060"/>
          <w:sz w:val="16"/>
          <w:szCs w:val="16"/>
        </w:rPr>
        <w:t xml:space="preserve"> </w:t>
      </w:r>
      <w:r w:rsidRPr="00405303">
        <w:rPr>
          <w:bCs/>
          <w:color w:val="002060"/>
          <w:sz w:val="16"/>
          <w:szCs w:val="16"/>
        </w:rPr>
        <w:t>должны были превышать 90</w:t>
      </w:r>
      <w:r w:rsidR="00DB4D64" w:rsidRPr="00405303">
        <w:rPr>
          <w:bCs/>
          <w:color w:val="002060"/>
          <w:sz w:val="16"/>
          <w:szCs w:val="16"/>
        </w:rPr>
        <w:t xml:space="preserve"> </w:t>
      </w:r>
      <w:r w:rsidRPr="00405303">
        <w:rPr>
          <w:bCs/>
          <w:color w:val="002060"/>
          <w:sz w:val="16"/>
          <w:szCs w:val="16"/>
        </w:rPr>
        <w:t>м. Понятно, что в</w:t>
      </w:r>
      <w:r w:rsidR="00DB4D64" w:rsidRPr="00405303">
        <w:rPr>
          <w:bCs/>
          <w:color w:val="002060"/>
          <w:sz w:val="16"/>
          <w:szCs w:val="16"/>
        </w:rPr>
        <w:t xml:space="preserve"> </w:t>
      </w:r>
      <w:r w:rsidRPr="00405303">
        <w:rPr>
          <w:bCs/>
          <w:color w:val="002060"/>
          <w:sz w:val="16"/>
          <w:szCs w:val="16"/>
        </w:rPr>
        <w:t>комплексе эти явно завышенные требования были трудновыполнимыми. По</w:t>
      </w:r>
      <w:r w:rsidR="00DB4D64" w:rsidRPr="00405303">
        <w:rPr>
          <w:bCs/>
          <w:color w:val="002060"/>
          <w:sz w:val="16"/>
          <w:szCs w:val="16"/>
        </w:rPr>
        <w:t xml:space="preserve"> </w:t>
      </w:r>
      <w:r w:rsidRPr="00405303">
        <w:rPr>
          <w:bCs/>
          <w:color w:val="002060"/>
          <w:sz w:val="16"/>
          <w:szCs w:val="16"/>
        </w:rPr>
        <w:t>скорости и</w:t>
      </w:r>
      <w:r w:rsidR="00DB4D64" w:rsidRPr="00405303">
        <w:rPr>
          <w:bCs/>
          <w:color w:val="002060"/>
          <w:sz w:val="16"/>
          <w:szCs w:val="16"/>
        </w:rPr>
        <w:t xml:space="preserve"> </w:t>
      </w:r>
      <w:r w:rsidRPr="00405303">
        <w:rPr>
          <w:bCs/>
          <w:color w:val="002060"/>
          <w:sz w:val="16"/>
          <w:szCs w:val="16"/>
        </w:rPr>
        <w:t>скороподъемности «Ньюпор-VII» с</w:t>
      </w:r>
      <w:r w:rsidR="00DB4D64" w:rsidRPr="00405303">
        <w:rPr>
          <w:bCs/>
          <w:color w:val="002060"/>
          <w:sz w:val="16"/>
          <w:szCs w:val="16"/>
        </w:rPr>
        <w:t xml:space="preserve"> </w:t>
      </w:r>
      <w:r w:rsidRPr="00405303">
        <w:rPr>
          <w:bCs/>
          <w:color w:val="002060"/>
          <w:sz w:val="16"/>
          <w:szCs w:val="16"/>
        </w:rPr>
        <w:t>«Роном» в</w:t>
      </w:r>
      <w:r w:rsidR="00DB4D64" w:rsidRPr="00405303">
        <w:rPr>
          <w:bCs/>
          <w:color w:val="002060"/>
          <w:sz w:val="16"/>
          <w:szCs w:val="16"/>
        </w:rPr>
        <w:t xml:space="preserve"> </w:t>
      </w:r>
      <w:r w:rsidRPr="00405303">
        <w:rPr>
          <w:bCs/>
          <w:color w:val="002060"/>
          <w:sz w:val="16"/>
          <w:szCs w:val="16"/>
        </w:rPr>
        <w:t>110 л. с. их</w:t>
      </w:r>
      <w:r w:rsidR="00DB4D64" w:rsidRPr="00405303">
        <w:rPr>
          <w:bCs/>
          <w:color w:val="002060"/>
          <w:sz w:val="16"/>
          <w:szCs w:val="16"/>
        </w:rPr>
        <w:t xml:space="preserve"> </w:t>
      </w:r>
      <w:r w:rsidRPr="00405303">
        <w:rPr>
          <w:bCs/>
          <w:color w:val="002060"/>
          <w:sz w:val="16"/>
          <w:szCs w:val="16"/>
        </w:rPr>
        <w:t>значительно превышал (см.</w:t>
      </w:r>
      <w:r w:rsidR="00DB4D64" w:rsidRPr="00405303">
        <w:rPr>
          <w:bCs/>
          <w:color w:val="002060"/>
          <w:sz w:val="16"/>
          <w:szCs w:val="16"/>
        </w:rPr>
        <w:t xml:space="preserve"> </w:t>
      </w:r>
      <w:r w:rsidRPr="00405303">
        <w:rPr>
          <w:bCs/>
          <w:color w:val="002060"/>
          <w:sz w:val="16"/>
          <w:szCs w:val="16"/>
        </w:rPr>
        <w:t>прил. 5), но</w:t>
      </w:r>
      <w:r w:rsidR="00DB4D64" w:rsidRPr="00405303">
        <w:rPr>
          <w:bCs/>
          <w:color w:val="002060"/>
          <w:sz w:val="16"/>
          <w:szCs w:val="16"/>
        </w:rPr>
        <w:t xml:space="preserve"> </w:t>
      </w:r>
      <w:r w:rsidRPr="00405303">
        <w:rPr>
          <w:bCs/>
          <w:color w:val="002060"/>
          <w:sz w:val="16"/>
          <w:szCs w:val="16"/>
        </w:rPr>
        <w:t>длительность полета составляла всего 2 час, а</w:t>
      </w:r>
      <w:r w:rsidR="00DB4D64" w:rsidRPr="00405303">
        <w:rPr>
          <w:bCs/>
          <w:color w:val="002060"/>
          <w:sz w:val="16"/>
          <w:szCs w:val="16"/>
        </w:rPr>
        <w:t xml:space="preserve"> </w:t>
      </w:r>
      <w:r w:rsidRPr="00405303">
        <w:rPr>
          <w:bCs/>
          <w:color w:val="002060"/>
          <w:sz w:val="16"/>
          <w:szCs w:val="16"/>
        </w:rPr>
        <w:t>полезная нагрузка миниатюрного одноместного самолета</w:t>
      </w:r>
      <w:r w:rsidR="00DB4D64" w:rsidRPr="00405303">
        <w:rPr>
          <w:bCs/>
          <w:color w:val="002060"/>
          <w:sz w:val="16"/>
          <w:szCs w:val="16"/>
        </w:rPr>
        <w:t xml:space="preserve"> </w:t>
      </w:r>
      <w:r w:rsidRPr="00405303">
        <w:rPr>
          <w:bCs/>
          <w:color w:val="002060"/>
          <w:sz w:val="16"/>
          <w:szCs w:val="16"/>
        </w:rPr>
        <w:t>— 200</w:t>
      </w:r>
      <w:r w:rsidR="00DB4D64" w:rsidRPr="00405303">
        <w:rPr>
          <w:bCs/>
          <w:color w:val="002060"/>
          <w:sz w:val="16"/>
          <w:szCs w:val="16"/>
        </w:rPr>
        <w:t xml:space="preserve"> </w:t>
      </w:r>
      <w:r w:rsidRPr="00405303">
        <w:rPr>
          <w:bCs/>
          <w:color w:val="002060"/>
          <w:sz w:val="16"/>
          <w:szCs w:val="16"/>
        </w:rPr>
        <w:t>кг. Для улучшения характеристик на</w:t>
      </w:r>
      <w:r w:rsidR="00DB4D64" w:rsidRPr="00405303">
        <w:rPr>
          <w:bCs/>
          <w:color w:val="002060"/>
          <w:sz w:val="16"/>
          <w:szCs w:val="16"/>
        </w:rPr>
        <w:t xml:space="preserve"> </w:t>
      </w:r>
      <w:r w:rsidRPr="00405303">
        <w:rPr>
          <w:bCs/>
          <w:color w:val="002060"/>
          <w:sz w:val="16"/>
          <w:szCs w:val="16"/>
        </w:rPr>
        <w:t>самолет поставили «Клерже» в</w:t>
      </w:r>
      <w:r w:rsidR="00DB4D64" w:rsidRPr="00405303">
        <w:rPr>
          <w:bCs/>
          <w:color w:val="002060"/>
          <w:sz w:val="16"/>
          <w:szCs w:val="16"/>
        </w:rPr>
        <w:t xml:space="preserve"> </w:t>
      </w:r>
      <w:r w:rsidRPr="00405303">
        <w:rPr>
          <w:bCs/>
          <w:color w:val="002060"/>
          <w:sz w:val="16"/>
          <w:szCs w:val="16"/>
        </w:rPr>
        <w:t>110 л. с. («Ньюпор-XXIIбис»), но</w:t>
      </w:r>
      <w:r w:rsidR="00DB4D64" w:rsidRPr="00405303">
        <w:rPr>
          <w:bCs/>
          <w:color w:val="002060"/>
          <w:sz w:val="16"/>
          <w:szCs w:val="16"/>
        </w:rPr>
        <w:t xml:space="preserve"> </w:t>
      </w:r>
      <w:r w:rsidRPr="00405303">
        <w:rPr>
          <w:bCs/>
          <w:color w:val="002060"/>
          <w:sz w:val="16"/>
          <w:szCs w:val="16"/>
        </w:rPr>
        <w:t>в</w:t>
      </w:r>
      <w:r w:rsidR="00DB4D64" w:rsidRPr="00405303">
        <w:rPr>
          <w:bCs/>
          <w:color w:val="002060"/>
          <w:sz w:val="16"/>
          <w:szCs w:val="16"/>
        </w:rPr>
        <w:t xml:space="preserve"> </w:t>
      </w:r>
      <w:r w:rsidRPr="00405303">
        <w:rPr>
          <w:bCs/>
          <w:color w:val="002060"/>
          <w:sz w:val="16"/>
          <w:szCs w:val="16"/>
        </w:rPr>
        <w:t>серию не</w:t>
      </w:r>
      <w:r w:rsidR="00DB4D64" w:rsidRPr="00405303">
        <w:rPr>
          <w:bCs/>
          <w:color w:val="002060"/>
          <w:sz w:val="16"/>
          <w:szCs w:val="16"/>
        </w:rPr>
        <w:t xml:space="preserve"> </w:t>
      </w:r>
      <w:r w:rsidRPr="00405303">
        <w:rPr>
          <w:bCs/>
          <w:color w:val="002060"/>
          <w:sz w:val="16"/>
          <w:szCs w:val="16"/>
        </w:rPr>
        <w:t>запускали. В.</w:t>
      </w:r>
      <w:r w:rsidR="00DB4D64" w:rsidRPr="00405303">
        <w:rPr>
          <w:bCs/>
          <w:color w:val="002060"/>
          <w:sz w:val="16"/>
          <w:szCs w:val="16"/>
        </w:rPr>
        <w:t xml:space="preserve"> </w:t>
      </w:r>
      <w:r w:rsidRPr="00405303">
        <w:rPr>
          <w:bCs/>
          <w:color w:val="002060"/>
          <w:sz w:val="16"/>
          <w:szCs w:val="16"/>
        </w:rPr>
        <w:t>Б.Шавров писал, что в</w:t>
      </w:r>
      <w:r w:rsidR="00DB4D64" w:rsidRPr="00405303">
        <w:rPr>
          <w:bCs/>
          <w:color w:val="002060"/>
          <w:sz w:val="16"/>
          <w:szCs w:val="16"/>
        </w:rPr>
        <w:t xml:space="preserve"> </w:t>
      </w:r>
      <w:r w:rsidRPr="00405303">
        <w:rPr>
          <w:bCs/>
          <w:color w:val="002060"/>
          <w:sz w:val="16"/>
          <w:szCs w:val="16"/>
        </w:rPr>
        <w:t>России часто встречался и</w:t>
      </w:r>
      <w:r w:rsidR="00DB4D64" w:rsidRPr="00405303">
        <w:rPr>
          <w:bCs/>
          <w:color w:val="002060"/>
          <w:sz w:val="16"/>
          <w:szCs w:val="16"/>
        </w:rPr>
        <w:t xml:space="preserve"> </w:t>
      </w:r>
      <w:r w:rsidRPr="00405303">
        <w:rPr>
          <w:bCs/>
          <w:color w:val="002060"/>
          <w:sz w:val="16"/>
          <w:szCs w:val="16"/>
        </w:rPr>
        <w:t>«Ньюпор-XVIII» (так обозначали «Бебе-17» с</w:t>
      </w:r>
      <w:r w:rsidR="00DB4D64" w:rsidRPr="00405303">
        <w:rPr>
          <w:bCs/>
          <w:color w:val="002060"/>
          <w:sz w:val="16"/>
          <w:szCs w:val="16"/>
        </w:rPr>
        <w:t xml:space="preserve"> </w:t>
      </w:r>
      <w:r w:rsidRPr="00405303">
        <w:rPr>
          <w:bCs/>
          <w:color w:val="002060"/>
          <w:sz w:val="16"/>
          <w:szCs w:val="16"/>
        </w:rPr>
        <w:t>«Роном» в</w:t>
      </w:r>
      <w:r w:rsidR="00DB4D64" w:rsidRPr="00405303">
        <w:rPr>
          <w:bCs/>
          <w:color w:val="002060"/>
          <w:sz w:val="16"/>
          <w:szCs w:val="16"/>
        </w:rPr>
        <w:t xml:space="preserve"> </w:t>
      </w:r>
      <w:r w:rsidRPr="00405303">
        <w:rPr>
          <w:bCs/>
          <w:color w:val="002060"/>
          <w:sz w:val="16"/>
          <w:szCs w:val="16"/>
        </w:rPr>
        <w:t>120 л. с. с</w:t>
      </w:r>
      <w:r w:rsidR="00DB4D64" w:rsidRPr="00405303">
        <w:rPr>
          <w:bCs/>
          <w:color w:val="002060"/>
          <w:sz w:val="16"/>
          <w:szCs w:val="16"/>
        </w:rPr>
        <w:t xml:space="preserve"> </w:t>
      </w:r>
      <w:r w:rsidRPr="00405303">
        <w:rPr>
          <w:bCs/>
          <w:color w:val="002060"/>
          <w:sz w:val="16"/>
          <w:szCs w:val="16"/>
        </w:rPr>
        <w:t>алюминиевыми поршнями). Данных о</w:t>
      </w:r>
      <w:r w:rsidR="00DB4D64" w:rsidRPr="00405303">
        <w:rPr>
          <w:bCs/>
          <w:color w:val="002060"/>
          <w:sz w:val="16"/>
          <w:szCs w:val="16"/>
        </w:rPr>
        <w:t xml:space="preserve"> </w:t>
      </w:r>
      <w:r w:rsidRPr="00405303">
        <w:rPr>
          <w:bCs/>
          <w:color w:val="002060"/>
          <w:sz w:val="16"/>
          <w:szCs w:val="16"/>
        </w:rPr>
        <w:t>его серийном выпуске на</w:t>
      </w:r>
      <w:r w:rsidR="00DB4D64" w:rsidRPr="00405303">
        <w:rPr>
          <w:bCs/>
          <w:color w:val="002060"/>
          <w:sz w:val="16"/>
          <w:szCs w:val="16"/>
        </w:rPr>
        <w:t xml:space="preserve"> </w:t>
      </w:r>
      <w:proofErr w:type="gramStart"/>
      <w:r w:rsidRPr="00405303">
        <w:rPr>
          <w:bCs/>
          <w:color w:val="002060"/>
          <w:sz w:val="16"/>
          <w:szCs w:val="16"/>
        </w:rPr>
        <w:t>«</w:t>
      </w:r>
      <w:r w:rsidR="00DB4D64" w:rsidRPr="00405303">
        <w:rPr>
          <w:bCs/>
          <w:color w:val="002060"/>
          <w:sz w:val="16"/>
          <w:szCs w:val="16"/>
        </w:rPr>
        <w:t xml:space="preserve"> </w:t>
      </w:r>
      <w:r w:rsidRPr="00405303">
        <w:rPr>
          <w:bCs/>
          <w:color w:val="002060"/>
          <w:sz w:val="16"/>
          <w:szCs w:val="16"/>
        </w:rPr>
        <w:t>Дуксе</w:t>
      </w:r>
      <w:proofErr w:type="gramEnd"/>
      <w:r w:rsidR="00DB4D64" w:rsidRPr="00405303">
        <w:rPr>
          <w:bCs/>
          <w:color w:val="002060"/>
          <w:sz w:val="16"/>
          <w:szCs w:val="16"/>
        </w:rPr>
        <w:t xml:space="preserve"> </w:t>
      </w:r>
      <w:r w:rsidRPr="00405303">
        <w:rPr>
          <w:bCs/>
          <w:color w:val="002060"/>
          <w:sz w:val="16"/>
          <w:szCs w:val="16"/>
        </w:rPr>
        <w:t>» нет. Прозвище «Бебе» прилипло к</w:t>
      </w:r>
      <w:r w:rsidR="00DB4D64" w:rsidRPr="00405303">
        <w:rPr>
          <w:bCs/>
          <w:color w:val="002060"/>
          <w:sz w:val="16"/>
          <w:szCs w:val="16"/>
        </w:rPr>
        <w:t xml:space="preserve"> </w:t>
      </w:r>
      <w:r w:rsidRPr="00405303">
        <w:rPr>
          <w:bCs/>
          <w:color w:val="002060"/>
          <w:sz w:val="16"/>
          <w:szCs w:val="16"/>
        </w:rPr>
        <w:t>еще двум миниатюрным истребителям «Ньюпор»</w:t>
      </w:r>
      <w:r w:rsidR="00DB4D64" w:rsidRPr="00405303">
        <w:rPr>
          <w:bCs/>
          <w:color w:val="002060"/>
          <w:sz w:val="16"/>
          <w:szCs w:val="16"/>
        </w:rPr>
        <w:t xml:space="preserve"> </w:t>
      </w:r>
      <w:r w:rsidRPr="00405303">
        <w:rPr>
          <w:bCs/>
          <w:color w:val="002060"/>
          <w:sz w:val="16"/>
          <w:szCs w:val="16"/>
        </w:rPr>
        <w:t>— тип XXI и</w:t>
      </w:r>
      <w:r w:rsidR="00DB4D64" w:rsidRPr="00405303">
        <w:rPr>
          <w:bCs/>
          <w:color w:val="002060"/>
          <w:sz w:val="16"/>
          <w:szCs w:val="16"/>
        </w:rPr>
        <w:t xml:space="preserve"> </w:t>
      </w:r>
      <w:r w:rsidRPr="00405303">
        <w:rPr>
          <w:bCs/>
          <w:color w:val="002060"/>
          <w:sz w:val="16"/>
          <w:szCs w:val="16"/>
        </w:rPr>
        <w:t>тип XXIII. «Бебе-21» появился в</w:t>
      </w:r>
      <w:r w:rsidR="00DB4D64" w:rsidRPr="00405303">
        <w:rPr>
          <w:bCs/>
          <w:color w:val="002060"/>
          <w:sz w:val="16"/>
          <w:szCs w:val="16"/>
        </w:rPr>
        <w:t xml:space="preserve"> </w:t>
      </w:r>
      <w:r w:rsidRPr="00405303">
        <w:rPr>
          <w:bCs/>
          <w:color w:val="002060"/>
          <w:sz w:val="16"/>
          <w:szCs w:val="16"/>
        </w:rPr>
        <w:t>России еще раньше своего 17-го собрата и</w:t>
      </w:r>
      <w:r w:rsidR="00DB4D64" w:rsidRPr="00405303">
        <w:rPr>
          <w:bCs/>
          <w:color w:val="002060"/>
          <w:sz w:val="16"/>
          <w:szCs w:val="16"/>
        </w:rPr>
        <w:t xml:space="preserve"> </w:t>
      </w:r>
      <w:r w:rsidRPr="00405303">
        <w:rPr>
          <w:bCs/>
          <w:color w:val="002060"/>
          <w:sz w:val="16"/>
          <w:szCs w:val="16"/>
        </w:rPr>
        <w:t>отличался силовой установкой, формой капота и</w:t>
      </w:r>
      <w:r w:rsidR="00DB4D64" w:rsidRPr="00405303">
        <w:rPr>
          <w:bCs/>
          <w:color w:val="002060"/>
          <w:sz w:val="16"/>
          <w:szCs w:val="16"/>
        </w:rPr>
        <w:t xml:space="preserve"> </w:t>
      </w:r>
      <w:r w:rsidRPr="00405303">
        <w:rPr>
          <w:bCs/>
          <w:color w:val="002060"/>
          <w:sz w:val="16"/>
          <w:szCs w:val="16"/>
        </w:rPr>
        <w:t>прочностью крыльев из-за других сечений лонжеронов. Поэтому в</w:t>
      </w:r>
      <w:r w:rsidR="00DB4D64" w:rsidRPr="00405303">
        <w:rPr>
          <w:bCs/>
          <w:color w:val="002060"/>
          <w:sz w:val="16"/>
          <w:szCs w:val="16"/>
        </w:rPr>
        <w:t xml:space="preserve"> </w:t>
      </w:r>
      <w:r w:rsidRPr="00405303">
        <w:rPr>
          <w:bCs/>
          <w:color w:val="002060"/>
          <w:sz w:val="16"/>
          <w:szCs w:val="16"/>
        </w:rPr>
        <w:t>изданном на</w:t>
      </w:r>
      <w:r w:rsidR="00DB4D64" w:rsidRPr="00405303">
        <w:rPr>
          <w:bCs/>
          <w:color w:val="002060"/>
          <w:sz w:val="16"/>
          <w:szCs w:val="16"/>
        </w:rPr>
        <w:t xml:space="preserve"> </w:t>
      </w:r>
      <w:proofErr w:type="gramStart"/>
      <w:r w:rsidRPr="00405303">
        <w:rPr>
          <w:bCs/>
          <w:color w:val="002060"/>
          <w:sz w:val="16"/>
          <w:szCs w:val="16"/>
        </w:rPr>
        <w:t>«</w:t>
      </w:r>
      <w:r w:rsidR="00DB4D64" w:rsidRPr="00405303">
        <w:rPr>
          <w:bCs/>
          <w:color w:val="002060"/>
          <w:sz w:val="16"/>
          <w:szCs w:val="16"/>
        </w:rPr>
        <w:t xml:space="preserve"> </w:t>
      </w:r>
      <w:r w:rsidRPr="00405303">
        <w:rPr>
          <w:bCs/>
          <w:color w:val="002060"/>
          <w:sz w:val="16"/>
          <w:szCs w:val="16"/>
        </w:rPr>
        <w:t>Дуксе</w:t>
      </w:r>
      <w:proofErr w:type="gramEnd"/>
      <w:r w:rsidR="00DB4D64" w:rsidRPr="00405303">
        <w:rPr>
          <w:bCs/>
          <w:color w:val="002060"/>
          <w:sz w:val="16"/>
          <w:szCs w:val="16"/>
        </w:rPr>
        <w:t xml:space="preserve"> </w:t>
      </w:r>
      <w:r w:rsidRPr="00405303">
        <w:rPr>
          <w:bCs/>
          <w:color w:val="002060"/>
          <w:sz w:val="16"/>
          <w:szCs w:val="16"/>
        </w:rPr>
        <w:t>» «Описании и</w:t>
      </w:r>
      <w:r w:rsidR="00DB4D64" w:rsidRPr="00405303">
        <w:rPr>
          <w:bCs/>
          <w:color w:val="002060"/>
          <w:sz w:val="16"/>
          <w:szCs w:val="16"/>
        </w:rPr>
        <w:t xml:space="preserve"> </w:t>
      </w:r>
      <w:r w:rsidRPr="00405303">
        <w:rPr>
          <w:bCs/>
          <w:color w:val="002060"/>
          <w:sz w:val="16"/>
          <w:szCs w:val="16"/>
        </w:rPr>
        <w:t>наставлении к</w:t>
      </w:r>
      <w:r w:rsidR="00DB4D64" w:rsidRPr="00405303">
        <w:rPr>
          <w:bCs/>
          <w:color w:val="002060"/>
          <w:sz w:val="16"/>
          <w:szCs w:val="16"/>
        </w:rPr>
        <w:t xml:space="preserve"> </w:t>
      </w:r>
      <w:r w:rsidRPr="00405303">
        <w:rPr>
          <w:bCs/>
          <w:color w:val="002060"/>
          <w:sz w:val="16"/>
          <w:szCs w:val="16"/>
        </w:rPr>
        <w:t>сборке…» было оригинальное и</w:t>
      </w:r>
      <w:r w:rsidR="00DB4D64" w:rsidRPr="00405303">
        <w:rPr>
          <w:bCs/>
          <w:color w:val="002060"/>
          <w:sz w:val="16"/>
          <w:szCs w:val="16"/>
        </w:rPr>
        <w:t xml:space="preserve"> </w:t>
      </w:r>
      <w:r w:rsidRPr="00405303">
        <w:rPr>
          <w:bCs/>
          <w:color w:val="002060"/>
          <w:sz w:val="16"/>
          <w:szCs w:val="16"/>
        </w:rPr>
        <w:t>очень грозное предупреждение: во</w:t>
      </w:r>
      <w:r w:rsidR="00DB4D64" w:rsidRPr="00405303">
        <w:rPr>
          <w:bCs/>
          <w:color w:val="002060"/>
          <w:sz w:val="16"/>
          <w:szCs w:val="16"/>
        </w:rPr>
        <w:t xml:space="preserve"> </w:t>
      </w:r>
      <w:r w:rsidRPr="00405303">
        <w:rPr>
          <w:bCs/>
          <w:color w:val="002060"/>
          <w:sz w:val="16"/>
          <w:szCs w:val="16"/>
        </w:rPr>
        <w:t>избежание катастрофы ни</w:t>
      </w:r>
      <w:r w:rsidR="00DB4D64" w:rsidRPr="00405303">
        <w:rPr>
          <w:bCs/>
          <w:color w:val="002060"/>
          <w:sz w:val="16"/>
          <w:szCs w:val="16"/>
        </w:rPr>
        <w:t xml:space="preserve"> </w:t>
      </w:r>
      <w:r w:rsidRPr="00405303">
        <w:rPr>
          <w:bCs/>
          <w:color w:val="002060"/>
          <w:sz w:val="16"/>
          <w:szCs w:val="16"/>
        </w:rPr>
        <w:t>в</w:t>
      </w:r>
      <w:r w:rsidR="00DB4D64" w:rsidRPr="00405303">
        <w:rPr>
          <w:bCs/>
          <w:color w:val="002060"/>
          <w:sz w:val="16"/>
          <w:szCs w:val="16"/>
        </w:rPr>
        <w:t xml:space="preserve"> </w:t>
      </w:r>
      <w:r w:rsidRPr="00405303">
        <w:rPr>
          <w:bCs/>
          <w:color w:val="002060"/>
          <w:sz w:val="16"/>
          <w:szCs w:val="16"/>
        </w:rPr>
        <w:t>коем случае не</w:t>
      </w:r>
      <w:r w:rsidR="00DB4D64" w:rsidRPr="00405303">
        <w:rPr>
          <w:bCs/>
          <w:color w:val="002060"/>
          <w:sz w:val="16"/>
          <w:szCs w:val="16"/>
        </w:rPr>
        <w:t xml:space="preserve"> </w:t>
      </w:r>
      <w:r w:rsidRPr="00405303">
        <w:rPr>
          <w:bCs/>
          <w:color w:val="002060"/>
          <w:sz w:val="16"/>
          <w:szCs w:val="16"/>
        </w:rPr>
        <w:t>смешивать крылья этих двух типов самолетов (15219).</w:t>
      </w:r>
    </w:p>
    <w:p w14:paraId="3E2BA547" w14:textId="77777777" w:rsidR="00BE0EBB" w:rsidRPr="00405303" w:rsidRDefault="00BE0EBB" w:rsidP="00C15251">
      <w:pPr>
        <w:shd w:val="clear" w:color="auto" w:fill="FFFFFF"/>
        <w:jc w:val="both"/>
        <w:rPr>
          <w:bCs/>
          <w:color w:val="002060"/>
          <w:sz w:val="16"/>
          <w:szCs w:val="16"/>
        </w:rPr>
      </w:pPr>
    </w:p>
    <w:p w14:paraId="2B7077A0" w14:textId="77777777" w:rsidR="00BE0EBB" w:rsidRPr="00405303" w:rsidRDefault="00BE0EBB" w:rsidP="00C15251">
      <w:pPr>
        <w:pStyle w:val="2"/>
        <w:spacing w:before="0" w:after="0"/>
        <w:jc w:val="both"/>
        <w:rPr>
          <w:b w:val="0"/>
          <w:bCs/>
          <w:color w:val="002060"/>
          <w:sz w:val="16"/>
          <w:szCs w:val="16"/>
        </w:rPr>
      </w:pPr>
      <w:r w:rsidRPr="00405303">
        <w:rPr>
          <w:b w:val="0"/>
          <w:bCs/>
          <w:color w:val="002060"/>
          <w:sz w:val="16"/>
          <w:szCs w:val="16"/>
        </w:rPr>
        <w:t xml:space="preserve">В конце 1915 года двухместный разведчик-биплан «Ньюпор-Х» с «Роном» в 80 л.с. доставили в Россию. Варианты размещения экипажа различались размещением летчика сзади или спереди. В первом случае самолет обозначали как «Ньюпор-IX», в нем наблюдатель мог встать в полный рост на сиденье и, высунувшись по пояс через вырез в центроплане, стрелять из карабина (пулеметов еще не было). </w:t>
      </w:r>
      <w:proofErr w:type="gramStart"/>
      <w:r w:rsidRPr="00405303">
        <w:rPr>
          <w:b w:val="0"/>
          <w:bCs/>
          <w:color w:val="002060"/>
          <w:sz w:val="16"/>
          <w:szCs w:val="16"/>
        </w:rPr>
        <w:t>На «Ньюпоре-Х»</w:t>
      </w:r>
      <w:proofErr w:type="gramEnd"/>
      <w:r w:rsidRPr="00405303">
        <w:rPr>
          <w:b w:val="0"/>
          <w:bCs/>
          <w:color w:val="002060"/>
          <w:sz w:val="16"/>
          <w:szCs w:val="16"/>
        </w:rPr>
        <w:t xml:space="preserve"> размещавшийся сзади стрелок уже мог стрелять из пулемета, но сектор обстрела получился очень ограниченным, условия стрельбы — неудобными. В итоге самолет не удовлетворял требованиям ни к разведчику, ни к истребителю. Поэтому практически сразу же после появления на фронте двухместный «Ньюпор-Х» по инициативе летчиков стали переделывать в одноместный. Такой вариант стали строить на «Дуксе» и у В.А.Лебедева уже с конца 1915 г. С «Роном» в 80 л.с. построили всего несколько машин, а с мотором «Гном-Моносупан» в 100 л.с. выпустили уже несколько десятков. В 1917 г. «Ньюпор-Х» на «Дуксе» стали оснащать «Ронами» в 110 и 120 л.с. (15464).</w:t>
      </w:r>
    </w:p>
    <w:p w14:paraId="14A9FF02" w14:textId="77777777" w:rsidR="00BE0EBB" w:rsidRPr="00405303" w:rsidRDefault="00BE0EBB" w:rsidP="00C15251">
      <w:pPr>
        <w:pStyle w:val="2"/>
        <w:spacing w:before="0" w:after="0"/>
        <w:jc w:val="both"/>
        <w:rPr>
          <w:b w:val="0"/>
          <w:bCs/>
          <w:color w:val="002060"/>
          <w:sz w:val="16"/>
          <w:szCs w:val="16"/>
        </w:rPr>
      </w:pPr>
    </w:p>
    <w:p w14:paraId="58A8A6F3" w14:textId="77777777" w:rsidR="00BE0EBB" w:rsidRPr="00405303" w:rsidRDefault="00BE0EBB" w:rsidP="00C15251">
      <w:pPr>
        <w:pStyle w:val="2"/>
        <w:spacing w:before="0" w:after="0"/>
        <w:jc w:val="both"/>
        <w:rPr>
          <w:b w:val="0"/>
          <w:bCs/>
          <w:color w:val="002060"/>
          <w:sz w:val="16"/>
          <w:szCs w:val="16"/>
        </w:rPr>
      </w:pPr>
      <w:r w:rsidRPr="00405303">
        <w:rPr>
          <w:b w:val="0"/>
          <w:bCs/>
          <w:color w:val="002060"/>
          <w:sz w:val="16"/>
          <w:szCs w:val="16"/>
        </w:rPr>
        <w:t>В конце 1915 г. завод Гном Рон приступил к выпуску 100-сильного мотора «Моносупан». Однако его освоение затянулось по причинам не столько технического характера, сколько из-за инертности администрации. За десять месяцев 1916 г. собрали всего 40 моторов. К этому времени военное ведомство настояло на внедрении двигателя «Рон» в 110 л.с. и ресурсом 50 часов. К концу года удалось собрать несколько десятков этих моторов. С каждым новым типом двигателя все трудности его внедрения повторялись заново. Это было связано с отсутствием на заводе своего технического бюро, а вся техническая информация и чертежи, нередко с неточностями и ошибками, присылали из Франции с большой задержкой. По этой причине однажды произошла четырехмесячная задержка с выпуском «Моносупанов» (15464).</w:t>
      </w:r>
    </w:p>
    <w:p w14:paraId="59198D18" w14:textId="77777777" w:rsidR="00BE0EBB" w:rsidRPr="00405303" w:rsidRDefault="00BE0EBB" w:rsidP="00C15251">
      <w:pPr>
        <w:pStyle w:val="2"/>
        <w:spacing w:before="0" w:after="0"/>
        <w:jc w:val="both"/>
        <w:rPr>
          <w:b w:val="0"/>
          <w:bCs/>
          <w:color w:val="002060"/>
          <w:sz w:val="16"/>
          <w:szCs w:val="16"/>
        </w:rPr>
      </w:pPr>
      <w:r w:rsidRPr="00405303">
        <w:rPr>
          <w:b w:val="0"/>
          <w:bCs/>
          <w:color w:val="002060"/>
          <w:sz w:val="16"/>
          <w:szCs w:val="16"/>
        </w:rPr>
        <w:t xml:space="preserve">Полковник Яковлев докладывал в УВВФ о «полной технической и административной дезорганизованности заводского хозяйства на заводе в Москве.» Производство «не имеет ни конструктивных расчетов, ни правильно организованной связи с технической работой Парижа, а принуждено слепо копировать образцы, довольствуясь неполными, а иногда и неверными данными». «Война» ГВТУ в лице «особого» представителя военного ведомства с администрацией завода продолжалась около десяти месяцев. Те всеми силами противились кооперированию производства со смежниками. Когда под давлением военного ведомства фирма в июне 1915 г. отозвала директора завода, он был сразу же назначен «заведующим по связям» парижского правления с московским отделением. Как говорится, «что в лоб, что по лбу». В начале 1916 г. Яковлев утверждал, что «из всех русских авиационных заводов Московский завод «Гном» является наиболее косным, медлительным, откровенно отстаивающим свои, иногда очень узко понимаемые коммерческие интересы». Даже жалоба главнокомандующему французской армии генералу Жоффру и военному </w:t>
      </w:r>
      <w:r w:rsidRPr="00405303">
        <w:rPr>
          <w:b w:val="0"/>
          <w:bCs/>
          <w:color w:val="002060"/>
          <w:sz w:val="16"/>
          <w:szCs w:val="16"/>
        </w:rPr>
        <w:lastRenderedPageBreak/>
        <w:t>министру Франции не помогла. В конце концов в ноябре 1916 г. начальник УВВФ на заседании бюджетной комиссии Государственной думы заявил: «Если принятые нами меры не дадут в ближайшем будущем сколько-нибудь осязаемых результатов, ведомство склоняется к мысли о приобретении завода в казну» (15464).</w:t>
      </w:r>
    </w:p>
    <w:p w14:paraId="4446C33C" w14:textId="77777777" w:rsidR="00BE0EBB" w:rsidRPr="00405303" w:rsidRDefault="00BE0EBB" w:rsidP="00C15251">
      <w:pPr>
        <w:pStyle w:val="2"/>
        <w:spacing w:before="0" w:after="0"/>
        <w:jc w:val="both"/>
        <w:rPr>
          <w:b w:val="0"/>
          <w:bCs/>
          <w:color w:val="002060"/>
          <w:sz w:val="16"/>
          <w:szCs w:val="16"/>
        </w:rPr>
      </w:pPr>
    </w:p>
    <w:p w14:paraId="69BCB5C0" w14:textId="77777777" w:rsidR="00BE0EBB" w:rsidRPr="00405303" w:rsidRDefault="00BE0EBB" w:rsidP="00C15251">
      <w:pPr>
        <w:pStyle w:val="2"/>
        <w:spacing w:before="0" w:after="0"/>
        <w:jc w:val="both"/>
        <w:rPr>
          <w:b w:val="0"/>
          <w:bCs/>
          <w:color w:val="002060"/>
          <w:sz w:val="16"/>
          <w:szCs w:val="16"/>
        </w:rPr>
      </w:pPr>
      <w:r w:rsidRPr="00405303">
        <w:rPr>
          <w:b w:val="0"/>
          <w:bCs/>
          <w:color w:val="002060"/>
          <w:sz w:val="16"/>
          <w:szCs w:val="16"/>
        </w:rPr>
        <w:t>С конца 1915 г. «Ньюпор-Х», по инициативе летчиков переделанный в одноместный, стали строить на «Дуксе» С «Роном» в 80 л.с. построили всего несколько машин, а с мотором «Гном-Моносупан» в 100 л.с. выпустили уже несколько десятков. В 1917 г. «Ньюпор-Х» на «Дуксе» стали оснащать «Ронами» в 110 и 120 л.с. (15464).</w:t>
      </w:r>
    </w:p>
    <w:p w14:paraId="0795889B" w14:textId="77777777" w:rsidR="00BE0EBB" w:rsidRPr="00405303" w:rsidRDefault="00BE0EBB" w:rsidP="00C15251">
      <w:pPr>
        <w:pStyle w:val="2"/>
        <w:spacing w:before="0" w:after="0"/>
        <w:jc w:val="both"/>
        <w:rPr>
          <w:b w:val="0"/>
          <w:bCs/>
          <w:color w:val="002060"/>
          <w:sz w:val="16"/>
          <w:szCs w:val="16"/>
        </w:rPr>
      </w:pPr>
    </w:p>
    <w:p w14:paraId="0EA64D78" w14:textId="77777777" w:rsidR="00BE0EBB" w:rsidRPr="00405303" w:rsidRDefault="00BE0EBB" w:rsidP="00C15251">
      <w:pPr>
        <w:jc w:val="both"/>
        <w:rPr>
          <w:bCs/>
          <w:color w:val="002060"/>
          <w:sz w:val="16"/>
          <w:szCs w:val="16"/>
        </w:rPr>
      </w:pPr>
      <w:r w:rsidRPr="00405303">
        <w:rPr>
          <w:bCs/>
          <w:color w:val="002060"/>
          <w:sz w:val="16"/>
          <w:szCs w:val="16"/>
        </w:rPr>
        <w:t xml:space="preserve">В конце 1915 г. простой завода И. И. Сикорский использовал для выпуска серии С-16 и создания новых типов машин. Построенный в двух экземплярах </w:t>
      </w:r>
      <w:proofErr w:type="gramStart"/>
      <w:r w:rsidRPr="00405303">
        <w:rPr>
          <w:bCs/>
          <w:color w:val="002060"/>
          <w:sz w:val="16"/>
          <w:szCs w:val="16"/>
        </w:rPr>
        <w:t>двух-стоечный</w:t>
      </w:r>
      <w:proofErr w:type="gramEnd"/>
      <w:r w:rsidRPr="00405303">
        <w:rPr>
          <w:bCs/>
          <w:color w:val="002060"/>
          <w:sz w:val="16"/>
          <w:szCs w:val="16"/>
        </w:rPr>
        <w:t xml:space="preserve"> биплан С-17 (№ 199 и 200) являлся развитием С-16 и С-10. Это был двухместный разведчик, одновременно он мог использоваться и как истребитель. В мае 1916 г. первый С-17 поступил в эскадру для испытаний. Он рассматривался в качестве прототипа будущей серии штатных разведчиков для эскадренных боевых отрядов. Испытания прошли успешно, однако в серию С-17 не пошел. Слишком ненадежными опять оказались всеми ругаемые двигатели «Санбим», под которые создавался С-17. Та же причина погубила и одновременно созданный самолет С-18 (15127).</w:t>
      </w:r>
    </w:p>
    <w:p w14:paraId="1CF6C00D" w14:textId="77777777" w:rsidR="00BE0EBB" w:rsidRPr="00405303" w:rsidRDefault="00BE0EBB" w:rsidP="00C15251">
      <w:pPr>
        <w:jc w:val="both"/>
        <w:rPr>
          <w:bCs/>
          <w:color w:val="002060"/>
          <w:sz w:val="16"/>
          <w:szCs w:val="16"/>
        </w:rPr>
      </w:pPr>
    </w:p>
    <w:p w14:paraId="413262D4" w14:textId="1C6800F8" w:rsidR="00BE0EBB" w:rsidRPr="00405303" w:rsidRDefault="00BE0EBB" w:rsidP="00C15251">
      <w:pPr>
        <w:shd w:val="clear" w:color="auto" w:fill="FFFFFF"/>
        <w:jc w:val="both"/>
        <w:rPr>
          <w:bCs/>
          <w:color w:val="002060"/>
          <w:sz w:val="16"/>
          <w:szCs w:val="16"/>
        </w:rPr>
      </w:pPr>
      <w:r w:rsidRPr="00405303">
        <w:rPr>
          <w:bCs/>
          <w:color w:val="002060"/>
          <w:sz w:val="16"/>
          <w:szCs w:val="16"/>
        </w:rPr>
        <w:t>В</w:t>
      </w:r>
      <w:r w:rsidR="00DB4D64" w:rsidRPr="00405303">
        <w:rPr>
          <w:bCs/>
          <w:color w:val="002060"/>
          <w:sz w:val="16"/>
          <w:szCs w:val="16"/>
        </w:rPr>
        <w:t xml:space="preserve"> </w:t>
      </w:r>
      <w:r w:rsidRPr="00405303">
        <w:rPr>
          <w:bCs/>
          <w:color w:val="002060"/>
          <w:sz w:val="16"/>
          <w:szCs w:val="16"/>
        </w:rPr>
        <w:t>конце 1915</w:t>
      </w:r>
      <w:r w:rsidR="00DB4D64" w:rsidRPr="00405303">
        <w:rPr>
          <w:bCs/>
          <w:color w:val="002060"/>
          <w:sz w:val="16"/>
          <w:szCs w:val="16"/>
        </w:rPr>
        <w:t xml:space="preserve"> </w:t>
      </w:r>
      <w:r w:rsidRPr="00405303">
        <w:rPr>
          <w:bCs/>
          <w:color w:val="002060"/>
          <w:sz w:val="16"/>
          <w:szCs w:val="16"/>
        </w:rPr>
        <w:t>г.</w:t>
      </w:r>
      <w:r w:rsidR="00DB4D64" w:rsidRPr="00405303">
        <w:rPr>
          <w:bCs/>
          <w:color w:val="002060"/>
          <w:sz w:val="16"/>
          <w:szCs w:val="16"/>
        </w:rPr>
        <w:t xml:space="preserve"> </w:t>
      </w:r>
      <w:r w:rsidRPr="00405303">
        <w:rPr>
          <w:bCs/>
          <w:color w:val="002060"/>
          <w:sz w:val="16"/>
          <w:szCs w:val="16"/>
        </w:rPr>
        <w:t>законченный триплан Безобразова-Моска вновь поднялся в</w:t>
      </w:r>
      <w:r w:rsidR="00DB4D64" w:rsidRPr="00405303">
        <w:rPr>
          <w:bCs/>
          <w:color w:val="002060"/>
          <w:sz w:val="16"/>
          <w:szCs w:val="16"/>
        </w:rPr>
        <w:t xml:space="preserve"> </w:t>
      </w:r>
      <w:r w:rsidRPr="00405303">
        <w:rPr>
          <w:bCs/>
          <w:color w:val="002060"/>
          <w:sz w:val="16"/>
          <w:szCs w:val="16"/>
        </w:rPr>
        <w:t>воздух. В</w:t>
      </w:r>
      <w:r w:rsidR="00DB4D64" w:rsidRPr="00405303">
        <w:rPr>
          <w:bCs/>
          <w:color w:val="002060"/>
          <w:sz w:val="16"/>
          <w:szCs w:val="16"/>
        </w:rPr>
        <w:t xml:space="preserve"> </w:t>
      </w:r>
      <w:r w:rsidRPr="00405303">
        <w:rPr>
          <w:bCs/>
          <w:color w:val="002060"/>
          <w:sz w:val="16"/>
          <w:szCs w:val="16"/>
        </w:rPr>
        <w:t>июне 1916</w:t>
      </w:r>
      <w:r w:rsidR="00DB4D64" w:rsidRPr="00405303">
        <w:rPr>
          <w:bCs/>
          <w:color w:val="002060"/>
          <w:sz w:val="16"/>
          <w:szCs w:val="16"/>
        </w:rPr>
        <w:t xml:space="preserve"> </w:t>
      </w:r>
      <w:r w:rsidRPr="00405303">
        <w:rPr>
          <w:bCs/>
          <w:color w:val="002060"/>
          <w:sz w:val="16"/>
          <w:szCs w:val="16"/>
        </w:rPr>
        <w:t>г.</w:t>
      </w:r>
      <w:r w:rsidR="00DB4D64" w:rsidRPr="00405303">
        <w:rPr>
          <w:bCs/>
          <w:color w:val="002060"/>
          <w:sz w:val="16"/>
          <w:szCs w:val="16"/>
        </w:rPr>
        <w:t xml:space="preserve"> </w:t>
      </w:r>
      <w:r w:rsidRPr="00405303">
        <w:rPr>
          <w:bCs/>
          <w:color w:val="002060"/>
          <w:sz w:val="16"/>
          <w:szCs w:val="16"/>
        </w:rPr>
        <w:t>корнет Безобразов был откомандирован в</w:t>
      </w:r>
      <w:r w:rsidR="00DB4D64" w:rsidRPr="00405303">
        <w:rPr>
          <w:bCs/>
          <w:color w:val="002060"/>
          <w:sz w:val="16"/>
          <w:szCs w:val="16"/>
        </w:rPr>
        <w:t xml:space="preserve"> </w:t>
      </w:r>
      <w:r w:rsidRPr="00405303">
        <w:rPr>
          <w:bCs/>
          <w:color w:val="002060"/>
          <w:sz w:val="16"/>
          <w:szCs w:val="16"/>
        </w:rPr>
        <w:t>Москву и</w:t>
      </w:r>
      <w:r w:rsidR="00DB4D64" w:rsidRPr="00405303">
        <w:rPr>
          <w:bCs/>
          <w:color w:val="002060"/>
          <w:sz w:val="16"/>
          <w:szCs w:val="16"/>
        </w:rPr>
        <w:t xml:space="preserve"> </w:t>
      </w:r>
      <w:r w:rsidRPr="00405303">
        <w:rPr>
          <w:bCs/>
          <w:color w:val="002060"/>
          <w:sz w:val="16"/>
          <w:szCs w:val="16"/>
        </w:rPr>
        <w:t>«прибыл в</w:t>
      </w:r>
      <w:r w:rsidR="00DB4D64" w:rsidRPr="00405303">
        <w:rPr>
          <w:bCs/>
          <w:color w:val="002060"/>
          <w:sz w:val="16"/>
          <w:szCs w:val="16"/>
        </w:rPr>
        <w:t xml:space="preserve"> </w:t>
      </w:r>
      <w:r w:rsidRPr="00405303">
        <w:rPr>
          <w:bCs/>
          <w:color w:val="002060"/>
          <w:sz w:val="16"/>
          <w:szCs w:val="16"/>
        </w:rPr>
        <w:t>школу 15</w:t>
      </w:r>
      <w:r w:rsidR="00DB4D64" w:rsidRPr="00405303">
        <w:rPr>
          <w:bCs/>
          <w:color w:val="002060"/>
          <w:sz w:val="16"/>
          <w:szCs w:val="16"/>
        </w:rPr>
        <w:t xml:space="preserve"> </w:t>
      </w:r>
      <w:r w:rsidRPr="00405303">
        <w:rPr>
          <w:bCs/>
          <w:color w:val="002060"/>
          <w:sz w:val="16"/>
          <w:szCs w:val="16"/>
        </w:rPr>
        <w:t>июля 1916</w:t>
      </w:r>
      <w:r w:rsidR="00DB4D64" w:rsidRPr="00405303">
        <w:rPr>
          <w:bCs/>
          <w:color w:val="002060"/>
          <w:sz w:val="16"/>
          <w:szCs w:val="16"/>
        </w:rPr>
        <w:t xml:space="preserve"> </w:t>
      </w:r>
      <w:r w:rsidRPr="00405303">
        <w:rPr>
          <w:bCs/>
          <w:color w:val="002060"/>
          <w:sz w:val="16"/>
          <w:szCs w:val="16"/>
        </w:rPr>
        <w:t>г.</w:t>
      </w:r>
      <w:r w:rsidR="00DB4D64" w:rsidRPr="00405303">
        <w:rPr>
          <w:bCs/>
          <w:color w:val="002060"/>
          <w:sz w:val="16"/>
          <w:szCs w:val="16"/>
        </w:rPr>
        <w:t xml:space="preserve"> </w:t>
      </w:r>
      <w:r w:rsidRPr="00405303">
        <w:rPr>
          <w:bCs/>
          <w:color w:val="002060"/>
          <w:sz w:val="16"/>
          <w:szCs w:val="16"/>
        </w:rPr>
        <w:t>из Севастопольской Военной Авиационной школы со</w:t>
      </w:r>
      <w:r w:rsidR="00DB4D64" w:rsidRPr="00405303">
        <w:rPr>
          <w:bCs/>
          <w:color w:val="002060"/>
          <w:sz w:val="16"/>
          <w:szCs w:val="16"/>
        </w:rPr>
        <w:t xml:space="preserve"> </w:t>
      </w:r>
      <w:r w:rsidRPr="00405303">
        <w:rPr>
          <w:bCs/>
          <w:color w:val="002060"/>
          <w:sz w:val="16"/>
          <w:szCs w:val="16"/>
        </w:rPr>
        <w:t>своей мастерской впредь до</w:t>
      </w:r>
      <w:r w:rsidR="00DB4D64" w:rsidRPr="00405303">
        <w:rPr>
          <w:bCs/>
          <w:color w:val="002060"/>
          <w:sz w:val="16"/>
          <w:szCs w:val="16"/>
        </w:rPr>
        <w:t xml:space="preserve"> </w:t>
      </w:r>
      <w:r w:rsidRPr="00405303">
        <w:rPr>
          <w:bCs/>
          <w:color w:val="002060"/>
          <w:sz w:val="16"/>
          <w:szCs w:val="16"/>
        </w:rPr>
        <w:t>особого распоряжения." Моска в</w:t>
      </w:r>
      <w:r w:rsidR="00DB4D64" w:rsidRPr="00405303">
        <w:rPr>
          <w:bCs/>
          <w:color w:val="002060"/>
          <w:sz w:val="16"/>
          <w:szCs w:val="16"/>
        </w:rPr>
        <w:t xml:space="preserve"> </w:t>
      </w:r>
      <w:r w:rsidRPr="00405303">
        <w:rPr>
          <w:bCs/>
          <w:color w:val="002060"/>
          <w:sz w:val="16"/>
          <w:szCs w:val="16"/>
        </w:rPr>
        <w:t>работах над трипланом в</w:t>
      </w:r>
      <w:r w:rsidR="00DB4D64" w:rsidRPr="00405303">
        <w:rPr>
          <w:bCs/>
          <w:color w:val="002060"/>
          <w:sz w:val="16"/>
          <w:szCs w:val="16"/>
        </w:rPr>
        <w:t xml:space="preserve"> </w:t>
      </w:r>
      <w:r w:rsidRPr="00405303">
        <w:rPr>
          <w:bCs/>
          <w:color w:val="002060"/>
          <w:sz w:val="16"/>
          <w:szCs w:val="16"/>
        </w:rPr>
        <w:t>1916—1917</w:t>
      </w:r>
      <w:r w:rsidR="00DB4D64" w:rsidRPr="00405303">
        <w:rPr>
          <w:bCs/>
          <w:color w:val="002060"/>
          <w:sz w:val="16"/>
          <w:szCs w:val="16"/>
        </w:rPr>
        <w:t xml:space="preserve"> </w:t>
      </w:r>
      <w:r w:rsidRPr="00405303">
        <w:rPr>
          <w:bCs/>
          <w:color w:val="002060"/>
          <w:sz w:val="16"/>
          <w:szCs w:val="16"/>
        </w:rPr>
        <w:t>гг.</w:t>
      </w:r>
      <w:r w:rsidR="00DB4D64" w:rsidRPr="00405303">
        <w:rPr>
          <w:bCs/>
          <w:color w:val="002060"/>
          <w:sz w:val="16"/>
          <w:szCs w:val="16"/>
        </w:rPr>
        <w:t xml:space="preserve"> </w:t>
      </w:r>
      <w:r w:rsidRPr="00405303">
        <w:rPr>
          <w:bCs/>
          <w:color w:val="002060"/>
          <w:sz w:val="16"/>
          <w:szCs w:val="16"/>
        </w:rPr>
        <w:t>уже не</w:t>
      </w:r>
      <w:r w:rsidR="00DB4D64" w:rsidRPr="00405303">
        <w:rPr>
          <w:bCs/>
          <w:color w:val="002060"/>
          <w:sz w:val="16"/>
          <w:szCs w:val="16"/>
        </w:rPr>
        <w:t xml:space="preserve"> </w:t>
      </w:r>
      <w:r w:rsidRPr="00405303">
        <w:rPr>
          <w:bCs/>
          <w:color w:val="002060"/>
          <w:sz w:val="16"/>
          <w:szCs w:val="16"/>
        </w:rPr>
        <w:t>участвовал. После возвращения офицера в</w:t>
      </w:r>
      <w:r w:rsidR="00DB4D64" w:rsidRPr="00405303">
        <w:rPr>
          <w:bCs/>
          <w:color w:val="002060"/>
          <w:sz w:val="16"/>
          <w:szCs w:val="16"/>
        </w:rPr>
        <w:t xml:space="preserve"> </w:t>
      </w:r>
      <w:r w:rsidRPr="00405303">
        <w:rPr>
          <w:bCs/>
          <w:color w:val="002060"/>
          <w:sz w:val="16"/>
          <w:szCs w:val="16"/>
        </w:rPr>
        <w:t>Москву вскоре появился «Торговый дом А. А.Безобразов, В. А.Понизовкин и</w:t>
      </w:r>
      <w:r w:rsidR="00DB4D64" w:rsidRPr="00405303">
        <w:rPr>
          <w:bCs/>
          <w:color w:val="002060"/>
          <w:sz w:val="16"/>
          <w:szCs w:val="16"/>
        </w:rPr>
        <w:t xml:space="preserve"> </w:t>
      </w:r>
      <w:r w:rsidRPr="00405303">
        <w:rPr>
          <w:bCs/>
          <w:color w:val="002060"/>
          <w:sz w:val="16"/>
          <w:szCs w:val="16"/>
        </w:rPr>
        <w:t>Ко». Фамилии Моска в</w:t>
      </w:r>
      <w:r w:rsidR="00DB4D64" w:rsidRPr="00405303">
        <w:rPr>
          <w:bCs/>
          <w:color w:val="002060"/>
          <w:sz w:val="16"/>
          <w:szCs w:val="16"/>
        </w:rPr>
        <w:t xml:space="preserve"> </w:t>
      </w:r>
      <w:r w:rsidRPr="00405303">
        <w:rPr>
          <w:bCs/>
          <w:color w:val="002060"/>
          <w:sz w:val="16"/>
          <w:szCs w:val="16"/>
        </w:rPr>
        <w:t>названии нет, и</w:t>
      </w:r>
      <w:r w:rsidR="00DB4D64" w:rsidRPr="00405303">
        <w:rPr>
          <w:bCs/>
          <w:color w:val="002060"/>
          <w:sz w:val="16"/>
          <w:szCs w:val="16"/>
        </w:rPr>
        <w:t xml:space="preserve"> </w:t>
      </w:r>
      <w:r w:rsidRPr="00405303">
        <w:rPr>
          <w:bCs/>
          <w:color w:val="002060"/>
          <w:sz w:val="16"/>
          <w:szCs w:val="16"/>
        </w:rPr>
        <w:t>как делили первый сарай</w:t>
      </w:r>
      <w:r w:rsidR="00DB4D64" w:rsidRPr="00405303">
        <w:rPr>
          <w:bCs/>
          <w:color w:val="002060"/>
          <w:sz w:val="16"/>
          <w:szCs w:val="16"/>
        </w:rPr>
        <w:t xml:space="preserve"> </w:t>
      </w:r>
      <w:r w:rsidRPr="00405303">
        <w:rPr>
          <w:bCs/>
          <w:color w:val="002060"/>
          <w:sz w:val="16"/>
          <w:szCs w:val="16"/>
        </w:rPr>
        <w:t>— неизвестно. Новая фирма также получила от</w:t>
      </w:r>
      <w:r w:rsidR="00DB4D64" w:rsidRPr="00405303">
        <w:rPr>
          <w:bCs/>
          <w:color w:val="002060"/>
          <w:sz w:val="16"/>
          <w:szCs w:val="16"/>
        </w:rPr>
        <w:t xml:space="preserve"> </w:t>
      </w:r>
      <w:r w:rsidRPr="00405303">
        <w:rPr>
          <w:bCs/>
          <w:color w:val="002060"/>
          <w:sz w:val="16"/>
          <w:szCs w:val="16"/>
        </w:rPr>
        <w:t>военного ведомства заказ на</w:t>
      </w:r>
      <w:r w:rsidR="00DB4D64" w:rsidRPr="00405303">
        <w:rPr>
          <w:bCs/>
          <w:color w:val="002060"/>
          <w:sz w:val="16"/>
          <w:szCs w:val="16"/>
        </w:rPr>
        <w:t xml:space="preserve"> </w:t>
      </w:r>
      <w:r w:rsidRPr="00405303">
        <w:rPr>
          <w:bCs/>
          <w:color w:val="002060"/>
          <w:sz w:val="16"/>
          <w:szCs w:val="16"/>
        </w:rPr>
        <w:t>постройку «Фарманов-IV» без двигателей и</w:t>
      </w:r>
      <w:r w:rsidR="00DB4D64" w:rsidRPr="00405303">
        <w:rPr>
          <w:bCs/>
          <w:color w:val="002060"/>
          <w:sz w:val="16"/>
          <w:szCs w:val="16"/>
        </w:rPr>
        <w:t xml:space="preserve"> </w:t>
      </w:r>
      <w:r w:rsidRPr="00405303">
        <w:rPr>
          <w:bCs/>
          <w:color w:val="002060"/>
          <w:sz w:val="16"/>
          <w:szCs w:val="16"/>
        </w:rPr>
        <w:t>винтов по</w:t>
      </w:r>
      <w:r w:rsidR="00DB4D64" w:rsidRPr="00405303">
        <w:rPr>
          <w:bCs/>
          <w:color w:val="002060"/>
          <w:sz w:val="16"/>
          <w:szCs w:val="16"/>
        </w:rPr>
        <w:t xml:space="preserve"> </w:t>
      </w:r>
      <w:r w:rsidRPr="00405303">
        <w:rPr>
          <w:bCs/>
          <w:color w:val="002060"/>
          <w:sz w:val="16"/>
          <w:szCs w:val="16"/>
        </w:rPr>
        <w:t>цене 6300</w:t>
      </w:r>
      <w:r w:rsidR="00DB4D64" w:rsidRPr="00405303">
        <w:rPr>
          <w:bCs/>
          <w:color w:val="002060"/>
          <w:sz w:val="16"/>
          <w:szCs w:val="16"/>
        </w:rPr>
        <w:t xml:space="preserve"> </w:t>
      </w:r>
      <w:r w:rsidRPr="00405303">
        <w:rPr>
          <w:bCs/>
          <w:color w:val="002060"/>
          <w:sz w:val="16"/>
          <w:szCs w:val="16"/>
        </w:rPr>
        <w:t>руб. за</w:t>
      </w:r>
      <w:r w:rsidR="00DB4D64" w:rsidRPr="00405303">
        <w:rPr>
          <w:bCs/>
          <w:color w:val="002060"/>
          <w:sz w:val="16"/>
          <w:szCs w:val="16"/>
        </w:rPr>
        <w:t xml:space="preserve"> </w:t>
      </w:r>
      <w:r w:rsidRPr="00405303">
        <w:rPr>
          <w:bCs/>
          <w:color w:val="002060"/>
          <w:sz w:val="16"/>
          <w:szCs w:val="16"/>
        </w:rPr>
        <w:t>самолет. По</w:t>
      </w:r>
      <w:r w:rsidR="00DB4D64" w:rsidRPr="00405303">
        <w:rPr>
          <w:bCs/>
          <w:color w:val="002060"/>
          <w:sz w:val="16"/>
          <w:szCs w:val="16"/>
        </w:rPr>
        <w:t xml:space="preserve"> </w:t>
      </w:r>
      <w:r w:rsidRPr="00405303">
        <w:rPr>
          <w:bCs/>
          <w:color w:val="002060"/>
          <w:sz w:val="16"/>
          <w:szCs w:val="16"/>
        </w:rPr>
        <w:t>контракту к</w:t>
      </w:r>
      <w:r w:rsidR="00DB4D64" w:rsidRPr="00405303">
        <w:rPr>
          <w:bCs/>
          <w:color w:val="002060"/>
          <w:sz w:val="16"/>
          <w:szCs w:val="16"/>
        </w:rPr>
        <w:t xml:space="preserve"> </w:t>
      </w:r>
      <w:r w:rsidRPr="00405303">
        <w:rPr>
          <w:bCs/>
          <w:color w:val="002060"/>
          <w:sz w:val="16"/>
          <w:szCs w:val="16"/>
        </w:rPr>
        <w:t>1</w:t>
      </w:r>
      <w:r w:rsidR="00DB4D64" w:rsidRPr="00405303">
        <w:rPr>
          <w:bCs/>
          <w:color w:val="002060"/>
          <w:sz w:val="16"/>
          <w:szCs w:val="16"/>
        </w:rPr>
        <w:t xml:space="preserve"> </w:t>
      </w:r>
      <w:r w:rsidRPr="00405303">
        <w:rPr>
          <w:bCs/>
          <w:color w:val="002060"/>
          <w:sz w:val="16"/>
          <w:szCs w:val="16"/>
        </w:rPr>
        <w:t>октября 1917</w:t>
      </w:r>
      <w:r w:rsidR="00DB4D64" w:rsidRPr="00405303">
        <w:rPr>
          <w:bCs/>
          <w:color w:val="002060"/>
          <w:sz w:val="16"/>
          <w:szCs w:val="16"/>
        </w:rPr>
        <w:t xml:space="preserve"> </w:t>
      </w:r>
      <w:r w:rsidRPr="00405303">
        <w:rPr>
          <w:bCs/>
          <w:color w:val="002060"/>
          <w:sz w:val="16"/>
          <w:szCs w:val="16"/>
        </w:rPr>
        <w:t>г.</w:t>
      </w:r>
      <w:r w:rsidR="00DB4D64" w:rsidRPr="00405303">
        <w:rPr>
          <w:bCs/>
          <w:color w:val="002060"/>
          <w:sz w:val="16"/>
          <w:szCs w:val="16"/>
        </w:rPr>
        <w:t xml:space="preserve"> </w:t>
      </w:r>
      <w:r w:rsidRPr="00405303">
        <w:rPr>
          <w:bCs/>
          <w:color w:val="002060"/>
          <w:sz w:val="16"/>
          <w:szCs w:val="16"/>
        </w:rPr>
        <w:t>предусматривалась сдача 15 машин (15219).</w:t>
      </w:r>
    </w:p>
    <w:p w14:paraId="45062A05" w14:textId="77777777" w:rsidR="00BE0EBB" w:rsidRPr="00405303" w:rsidRDefault="00BE0EBB" w:rsidP="00C15251">
      <w:pPr>
        <w:shd w:val="clear" w:color="auto" w:fill="FFFFFF"/>
        <w:jc w:val="both"/>
        <w:rPr>
          <w:bCs/>
          <w:color w:val="002060"/>
          <w:sz w:val="16"/>
          <w:szCs w:val="16"/>
        </w:rPr>
      </w:pPr>
    </w:p>
    <w:p w14:paraId="1886D4D7" w14:textId="77777777" w:rsidR="00BE0EBB" w:rsidRPr="00405303" w:rsidRDefault="00BE0EBB" w:rsidP="00C15251">
      <w:pPr>
        <w:shd w:val="clear" w:color="auto" w:fill="FFFFFF"/>
        <w:jc w:val="both"/>
        <w:rPr>
          <w:bCs/>
          <w:color w:val="002060"/>
          <w:sz w:val="16"/>
          <w:szCs w:val="16"/>
        </w:rPr>
      </w:pPr>
      <w:r w:rsidRPr="00405303">
        <w:rPr>
          <w:bCs/>
          <w:color w:val="002060"/>
          <w:sz w:val="16"/>
          <w:szCs w:val="16"/>
        </w:rPr>
        <w:t>В конце 1915 г. ненадежная конструкция 80-сильного «Гнома» с ресурсом не более 30 часов заставила завод перейти к выпуску 100-сильного мотора «Моносупан». Однако его освоение затянулось по причинам не столько технического характера, сколько из-за инертности администрации. За десять месяцев 1916 г. собрали всего 40 моторов. К этому времени военное ведомство настояло на внедрении двигателя «Рон» в 110 л.с. и ресурсом 50 часов. К концу года удалось собрать несколько десятков этих моторов. С каждым новым типом двигателя все трудности его внедрения повторялись заново. Это было связано с отсутствием на заводе своего технического бюро, а вся техническая информация и чертежи, нередко с неточностями и ошибками, присылали из Франции с большой задержкой. По этой причине однажды произошла четырехмесячная задержка с выпуском «Моносупанов». Полковник Яковлев докладывал в УВВФ о «полной технической и административной дезорганизованности заводского хозяйства на заводе в Москве.» Производство «не имеет ни конструктивных расчетов, ни правильно организованной связи с технической работой Парижа, а принуждено слепо копировать образцы, довольствуясь неполными, а иногда и неверными данными». «Война» ГВТУ в лице «особого» представителя военного ведомства с администрацией завода продолжалась около десяти месяцев. Те всеми силами противились кооперированию производства со смежниками. Когда под давлением военного ведомства фирма в июне 1915 г. отозвала директора завода, он был сразу же назначен «заведующим по связям» парижского правления с московским отделением. Как говорится, «что в лоб, что по лбу». В начале 1916 г. Яковлев утверждал, что «из всех русских авиационных заводов Московский завод «Гном» является наиболее косным, медлительным, откровенно отстаивающим свои, иногда очень узко понимаемые коммерческие интересы». Даже жалоба главнокомандующему французской армии генералу Жоффру и военному министру Франции не помогла. В конце концов в ноябре 1916 г. начальник УВВФ на заседании бюджетной комиссии Государственной думы заявил: «Если принятые нами меры не дадут в ближайшем будущем сколько-нибудь осязаемых результатов, ведомство склоняется к мысли о приобретении завода в казну» (15221).</w:t>
      </w:r>
    </w:p>
    <w:p w14:paraId="079FF97A" w14:textId="77777777" w:rsidR="00BE0EBB" w:rsidRPr="00405303" w:rsidRDefault="00BE0EBB" w:rsidP="00C15251">
      <w:pPr>
        <w:shd w:val="clear" w:color="auto" w:fill="FFFFFF"/>
        <w:jc w:val="both"/>
        <w:rPr>
          <w:bCs/>
          <w:color w:val="002060"/>
          <w:sz w:val="16"/>
          <w:szCs w:val="16"/>
        </w:rPr>
      </w:pPr>
    </w:p>
    <w:p w14:paraId="1F3267BB" w14:textId="77777777" w:rsidR="00BE0EBB" w:rsidRPr="00405303" w:rsidRDefault="00BE0EBB" w:rsidP="00C15251">
      <w:pPr>
        <w:jc w:val="both"/>
        <w:rPr>
          <w:bCs/>
          <w:color w:val="002060"/>
          <w:sz w:val="16"/>
          <w:szCs w:val="16"/>
        </w:rPr>
      </w:pPr>
      <w:r w:rsidRPr="00405303">
        <w:rPr>
          <w:bCs/>
          <w:color w:val="002060"/>
          <w:sz w:val="16"/>
          <w:szCs w:val="16"/>
        </w:rPr>
        <w:t xml:space="preserve">В конце 1915 г., учитывая реалии, чтобы как-то улучшить летно-технические характеристики «Муромцев», И. И. Сикорский решил переделать крылья на </w:t>
      </w:r>
      <w:proofErr w:type="gramStart"/>
      <w:r w:rsidRPr="00405303">
        <w:rPr>
          <w:bCs/>
          <w:color w:val="002060"/>
          <w:sz w:val="16"/>
          <w:szCs w:val="16"/>
        </w:rPr>
        <w:t>трех серийных</w:t>
      </w:r>
      <w:proofErr w:type="gramEnd"/>
      <w:r w:rsidRPr="00405303">
        <w:rPr>
          <w:bCs/>
          <w:color w:val="002060"/>
          <w:sz w:val="16"/>
          <w:szCs w:val="16"/>
        </w:rPr>
        <w:t xml:space="preserve"> машинах (№ 180, 183 и 184). На «Муромце» № 180 нижнее крыло было оставлено без изменения, а верхнее существенно расширено с сохранением прежнего профиля. На двух других устанавливались крылья с новыми размерами и профилем. Хорда верхнего крыла стала 3,2 м, нижнего - 2,6 м. При этом увеличился размах, элероны стали менее развитыми. Так появился новый тип «Муромца» (С-24), получивший название «Г» или «ширококрылый». В ожидании результатов испытаний трех опытных машин серийное производство кораблей вновь остановилось. Этот перерыв Сикорский использовал для производства опытного корабля «ДИМ» (т. е. «Муромец» тип «Д»), а также легких самолетов С-16, С-17 и С-18 (15127).</w:t>
      </w:r>
    </w:p>
    <w:p w14:paraId="6BC2436D" w14:textId="77777777" w:rsidR="00BE0EBB" w:rsidRPr="00405303" w:rsidRDefault="00BE0EBB" w:rsidP="00C15251">
      <w:pPr>
        <w:jc w:val="both"/>
        <w:rPr>
          <w:bCs/>
          <w:color w:val="002060"/>
          <w:sz w:val="16"/>
          <w:szCs w:val="16"/>
        </w:rPr>
      </w:pPr>
    </w:p>
    <w:p w14:paraId="16A1AC47" w14:textId="3082F50D" w:rsidR="00BE0EBB" w:rsidRPr="00405303" w:rsidRDefault="00BE0EBB" w:rsidP="00C15251">
      <w:pPr>
        <w:jc w:val="both"/>
        <w:rPr>
          <w:bCs/>
          <w:color w:val="002060"/>
          <w:sz w:val="16"/>
          <w:szCs w:val="16"/>
        </w:rPr>
      </w:pPr>
      <w:r w:rsidRPr="00405303">
        <w:rPr>
          <w:bCs/>
          <w:color w:val="002060"/>
          <w:sz w:val="16"/>
          <w:szCs w:val="16"/>
        </w:rPr>
        <w:t>На конец 1915 г. поначалу планировался к выполнению заказ на 32 машины, поэтому командование русской армии решило заключить с</w:t>
      </w:r>
      <w:r w:rsidR="000F5756">
        <w:rPr>
          <w:bCs/>
          <w:color w:val="002060"/>
          <w:sz w:val="16"/>
          <w:szCs w:val="16"/>
        </w:rPr>
        <w:t xml:space="preserve"> </w:t>
      </w:r>
      <w:r w:rsidRPr="00405303">
        <w:rPr>
          <w:bCs/>
          <w:color w:val="002060"/>
          <w:sz w:val="16"/>
          <w:szCs w:val="16"/>
        </w:rPr>
        <w:t>РБВЗ</w:t>
      </w:r>
      <w:r w:rsidR="000F5756">
        <w:rPr>
          <w:bCs/>
          <w:color w:val="002060"/>
          <w:sz w:val="16"/>
          <w:szCs w:val="16"/>
        </w:rPr>
        <w:t xml:space="preserve"> </w:t>
      </w:r>
      <w:r w:rsidRPr="00405303">
        <w:rPr>
          <w:bCs/>
          <w:color w:val="002060"/>
          <w:sz w:val="16"/>
          <w:szCs w:val="16"/>
        </w:rPr>
        <w:t>новый договор. Контракт на 30 новых кораблей был подписан 16 декабря 1915 г. И. И. Сикорский первоначально предусматривал сдать по нему пять машин, используя задел, подготовленный еще при выпуске предыдущих кораблей. Эти аппараты (№ 218-222), сборка которых была завершена в декабре 1916 г., принадлежали к модификации Г-2. Остальные 25 кораблей он намечал строить принципиально новой конструкции, получившей название «Илья Муромец-Д» (ДИМ, или С-25). По замыслу боевые и летно-технические характеристики новых аппаратов должны были стать такими высокими, что их предполагалось использовать не только в качестве бомбардировщиков, но и для боевого прикрытия других кораблей старых типов. Поэтому ДИМ именовался даже «Муромцем-</w:t>
      </w:r>
      <w:proofErr w:type="gramStart"/>
      <w:r w:rsidRPr="00405303">
        <w:rPr>
          <w:bCs/>
          <w:color w:val="002060"/>
          <w:sz w:val="16"/>
          <w:szCs w:val="16"/>
        </w:rPr>
        <w:t>истребителем »</w:t>
      </w:r>
      <w:proofErr w:type="gramEnd"/>
      <w:r w:rsidRPr="00405303">
        <w:rPr>
          <w:bCs/>
          <w:color w:val="002060"/>
          <w:sz w:val="16"/>
          <w:szCs w:val="16"/>
        </w:rPr>
        <w:t xml:space="preserve"> (15127).</w:t>
      </w:r>
    </w:p>
    <w:p w14:paraId="535AE70D" w14:textId="77777777" w:rsidR="00BE0EBB" w:rsidRPr="00405303" w:rsidRDefault="00BE0EBB" w:rsidP="00C15251">
      <w:pPr>
        <w:jc w:val="both"/>
        <w:rPr>
          <w:bCs/>
          <w:color w:val="002060"/>
          <w:sz w:val="16"/>
          <w:szCs w:val="16"/>
        </w:rPr>
      </w:pPr>
    </w:p>
    <w:p w14:paraId="615EAD98" w14:textId="77777777" w:rsidR="00BE0EBB" w:rsidRPr="00405303" w:rsidRDefault="00BE0EBB" w:rsidP="00C15251">
      <w:pPr>
        <w:pStyle w:val="2"/>
        <w:spacing w:before="0" w:after="0"/>
        <w:jc w:val="both"/>
        <w:rPr>
          <w:b w:val="0"/>
          <w:bCs/>
          <w:color w:val="002060"/>
          <w:sz w:val="16"/>
          <w:szCs w:val="16"/>
        </w:rPr>
      </w:pPr>
      <w:r w:rsidRPr="00405303">
        <w:rPr>
          <w:b w:val="0"/>
          <w:bCs/>
          <w:color w:val="002060"/>
          <w:sz w:val="16"/>
          <w:szCs w:val="16"/>
        </w:rPr>
        <w:t>В конце 1915 г. законченный самолет Безобразова вновь поднялся в воздух. В июне 1916 г. корнет Безобразов был откомандирован в Москву и «прибыл в школу 15 июля 1916 г. из Севастопольской Военной Авиационной школы со своей мастерской впредь до особого распоряжения.»</w:t>
      </w:r>
    </w:p>
    <w:p w14:paraId="08369230" w14:textId="77777777" w:rsidR="00BE0EBB" w:rsidRPr="00405303" w:rsidRDefault="00BE0EBB" w:rsidP="00C15251">
      <w:pPr>
        <w:pStyle w:val="2"/>
        <w:spacing w:before="0" w:after="0"/>
        <w:jc w:val="both"/>
        <w:rPr>
          <w:b w:val="0"/>
          <w:bCs/>
          <w:color w:val="002060"/>
          <w:sz w:val="16"/>
          <w:szCs w:val="16"/>
        </w:rPr>
      </w:pPr>
      <w:r w:rsidRPr="00405303">
        <w:rPr>
          <w:b w:val="0"/>
          <w:bCs/>
          <w:color w:val="002060"/>
          <w:sz w:val="16"/>
          <w:szCs w:val="16"/>
        </w:rPr>
        <w:t>На Ходынве триплан испытывал фронтовой летчик И.А.Орлов, 16 июня 1916 г. одержавший свою вторую победу в воздухе. 6 августа на взлете из-за поломки оси колес самолет скапотировал и был основательно поврежден. Будущий ас Орлов отправился на фронт, затем уехал воевать во Францию, а Безобразову ничего не оставалось делать, как восстанавливать триплан. К февралю 1917 г. машину он отремонтировал, но было уже поздно. Дальнейшая судьба уникального самолета, одного из шести построенных в России трипланов, неизвестна (15464).</w:t>
      </w:r>
    </w:p>
    <w:p w14:paraId="3092F97B" w14:textId="77777777" w:rsidR="00BE0EBB" w:rsidRPr="00405303" w:rsidRDefault="00BE0EBB" w:rsidP="00C15251">
      <w:pPr>
        <w:pStyle w:val="2"/>
        <w:spacing w:before="0" w:after="0"/>
        <w:jc w:val="both"/>
        <w:rPr>
          <w:b w:val="0"/>
          <w:bCs/>
          <w:color w:val="002060"/>
          <w:sz w:val="16"/>
          <w:szCs w:val="16"/>
        </w:rPr>
      </w:pPr>
    </w:p>
    <w:p w14:paraId="1179A673" w14:textId="77777777" w:rsidR="00BE0EBB" w:rsidRPr="00405303" w:rsidRDefault="00BE0EBB" w:rsidP="00C15251">
      <w:pPr>
        <w:pStyle w:val="16"/>
        <w:shd w:val="clear" w:color="auto" w:fill="auto"/>
        <w:spacing w:before="0" w:line="240" w:lineRule="auto"/>
        <w:ind w:firstLine="0"/>
        <w:jc w:val="both"/>
        <w:rPr>
          <w:bCs/>
          <w:color w:val="002060"/>
          <w:sz w:val="16"/>
          <w:szCs w:val="16"/>
        </w:rPr>
      </w:pPr>
      <w:r w:rsidRPr="00405303">
        <w:rPr>
          <w:bCs/>
          <w:color w:val="002060"/>
          <w:sz w:val="16"/>
          <w:szCs w:val="16"/>
        </w:rPr>
        <w:t>К концу 1915 г. аэро</w:t>
      </w:r>
      <w:r w:rsidRPr="00405303">
        <w:rPr>
          <w:bCs/>
          <w:color w:val="002060"/>
          <w:sz w:val="16"/>
          <w:szCs w:val="16"/>
        </w:rPr>
        <w:softHyphen/>
        <w:t>динамическая лаборатория ЦНТЛ в том виде, как она была изначально заду</w:t>
      </w:r>
      <w:r w:rsidRPr="00405303">
        <w:rPr>
          <w:bCs/>
          <w:color w:val="002060"/>
          <w:sz w:val="16"/>
          <w:szCs w:val="16"/>
        </w:rPr>
        <w:softHyphen/>
        <w:t>мана, уже успела морально устареть.</w:t>
      </w:r>
    </w:p>
    <w:p w14:paraId="02F33730" w14:textId="77777777" w:rsidR="00BE0EBB" w:rsidRPr="00405303" w:rsidRDefault="00BE0EBB" w:rsidP="00C15251">
      <w:pPr>
        <w:pStyle w:val="16"/>
        <w:shd w:val="clear" w:color="auto" w:fill="auto"/>
        <w:spacing w:before="0" w:line="240" w:lineRule="auto"/>
        <w:ind w:firstLine="0"/>
        <w:jc w:val="both"/>
        <w:rPr>
          <w:bCs/>
          <w:color w:val="002060"/>
          <w:sz w:val="16"/>
          <w:szCs w:val="16"/>
        </w:rPr>
      </w:pPr>
      <w:r w:rsidRPr="00405303">
        <w:rPr>
          <w:bCs/>
          <w:color w:val="002060"/>
          <w:sz w:val="16"/>
          <w:szCs w:val="16"/>
        </w:rPr>
        <w:t>«Оборудование аэродинамических лабораторий быстро устаревает. Так, на</w:t>
      </w:r>
      <w:r w:rsidRPr="00405303">
        <w:rPr>
          <w:bCs/>
          <w:color w:val="002060"/>
          <w:sz w:val="16"/>
          <w:szCs w:val="16"/>
        </w:rPr>
        <w:softHyphen/>
        <w:t>пример, теперь уже выстроено в Петрограде здание воздухоплавательной ла</w:t>
      </w:r>
      <w:r w:rsidRPr="00405303">
        <w:rPr>
          <w:bCs/>
          <w:color w:val="002060"/>
          <w:sz w:val="16"/>
          <w:szCs w:val="16"/>
        </w:rPr>
        <w:softHyphen/>
        <w:t>боратории при Центральной научно-технической лаборатории военного ве</w:t>
      </w:r>
      <w:r w:rsidRPr="00405303">
        <w:rPr>
          <w:bCs/>
          <w:color w:val="002060"/>
          <w:sz w:val="16"/>
          <w:szCs w:val="16"/>
        </w:rPr>
        <w:softHyphen/>
        <w:t>домства, — заявил, ознакомившись с ходом ее строительства, возвративший</w:t>
      </w:r>
      <w:r w:rsidRPr="00405303">
        <w:rPr>
          <w:bCs/>
          <w:color w:val="002060"/>
          <w:sz w:val="16"/>
          <w:szCs w:val="16"/>
        </w:rPr>
        <w:softHyphen/>
        <w:t>ся из Новочеркасска в Петроград Ботезат. — Эта лаборатория еще не оборудо</w:t>
      </w:r>
      <w:r w:rsidRPr="00405303">
        <w:rPr>
          <w:bCs/>
          <w:color w:val="002060"/>
          <w:sz w:val="16"/>
          <w:szCs w:val="16"/>
        </w:rPr>
        <w:softHyphen/>
        <w:t>вана, но по своему масштабу уже совершенно не удовлетворяет современным требованиям воздухоплавания».</w:t>
      </w:r>
    </w:p>
    <w:p w14:paraId="4798E2C3" w14:textId="77777777" w:rsidR="00BE0EBB" w:rsidRPr="00405303" w:rsidRDefault="00BE0EBB" w:rsidP="00C15251">
      <w:pPr>
        <w:pStyle w:val="16"/>
        <w:shd w:val="clear" w:color="auto" w:fill="auto"/>
        <w:spacing w:before="0" w:line="240" w:lineRule="auto"/>
        <w:ind w:firstLine="0"/>
        <w:jc w:val="both"/>
        <w:rPr>
          <w:bCs/>
          <w:color w:val="002060"/>
          <w:sz w:val="16"/>
          <w:szCs w:val="16"/>
        </w:rPr>
      </w:pPr>
      <w:r w:rsidRPr="00405303">
        <w:rPr>
          <w:bCs/>
          <w:color w:val="002060"/>
          <w:sz w:val="16"/>
          <w:szCs w:val="16"/>
        </w:rPr>
        <w:t>В 1915 г., например, аэродинамическая труба понадобилась Главному военно- метеорологическому управлению для тарировки аэронавигационных прибо</w:t>
      </w:r>
      <w:r w:rsidRPr="00405303">
        <w:rPr>
          <w:bCs/>
          <w:color w:val="002060"/>
          <w:sz w:val="16"/>
          <w:szCs w:val="16"/>
        </w:rPr>
        <w:softHyphen/>
        <w:t>ров. Ботезат предложил Техническому комитету ГВТУ выделить деньги на строительство этой аэродинамической трубы при головном учреждении служ</w:t>
      </w:r>
      <w:r w:rsidRPr="00405303">
        <w:rPr>
          <w:bCs/>
          <w:color w:val="002060"/>
          <w:sz w:val="16"/>
          <w:szCs w:val="16"/>
        </w:rPr>
        <w:softHyphen/>
        <w:t>бы — Николаевской Главной физической обсерватории, так, чтобы иметь воз</w:t>
      </w:r>
      <w:r w:rsidRPr="00405303">
        <w:rPr>
          <w:bCs/>
          <w:color w:val="002060"/>
          <w:sz w:val="16"/>
          <w:szCs w:val="16"/>
        </w:rPr>
        <w:softHyphen/>
        <w:t>можность использовать трубу и для исследований по теории полета. К сожалению, места в обсерватории было мало и строительство аэродинамической трубы диаметром 2 м со скоро</w:t>
      </w:r>
      <w:r w:rsidRPr="00405303">
        <w:rPr>
          <w:bCs/>
          <w:color w:val="002060"/>
          <w:sz w:val="16"/>
          <w:szCs w:val="16"/>
        </w:rPr>
        <w:softHyphen/>
        <w:t>стью потока до 100 м/с для тарировки навигационных и аэрологических при</w:t>
      </w:r>
      <w:r w:rsidRPr="00405303">
        <w:rPr>
          <w:bCs/>
          <w:color w:val="002060"/>
          <w:sz w:val="16"/>
          <w:szCs w:val="16"/>
        </w:rPr>
        <w:softHyphen/>
        <w:t>боров началось несколько позднее в Москве при заводе «Авиаприбор» (15740).</w:t>
      </w:r>
    </w:p>
    <w:p w14:paraId="4F4020C4" w14:textId="77777777" w:rsidR="00BE0EBB" w:rsidRPr="00405303" w:rsidRDefault="00BE0EBB" w:rsidP="00C15251">
      <w:pPr>
        <w:pStyle w:val="16"/>
        <w:shd w:val="clear" w:color="auto" w:fill="auto"/>
        <w:spacing w:before="0" w:line="240" w:lineRule="auto"/>
        <w:ind w:firstLine="0"/>
        <w:jc w:val="both"/>
        <w:rPr>
          <w:bCs/>
          <w:color w:val="002060"/>
          <w:sz w:val="16"/>
          <w:szCs w:val="16"/>
        </w:rPr>
      </w:pPr>
    </w:p>
    <w:p w14:paraId="6A35EC72" w14:textId="77777777" w:rsidR="00BE0EBB" w:rsidRPr="00405303" w:rsidRDefault="00BE0EBB" w:rsidP="00C15251">
      <w:pPr>
        <w:pStyle w:val="a5"/>
        <w:rPr>
          <w:bCs/>
          <w:color w:val="002060"/>
          <w:sz w:val="16"/>
          <w:szCs w:val="16"/>
          <w:lang w:val="ru-RU"/>
        </w:rPr>
      </w:pPr>
      <w:r w:rsidRPr="00405303">
        <w:rPr>
          <w:bCs/>
          <w:color w:val="002060"/>
          <w:sz w:val="16"/>
          <w:szCs w:val="16"/>
          <w:lang w:val="ru-RU"/>
        </w:rPr>
        <w:t>В конце 1915 г., предвидя скорое окончание военной карьеры, Николай Ставрович Саков решил создать авиа</w:t>
      </w:r>
      <w:r w:rsidRPr="00405303">
        <w:rPr>
          <w:bCs/>
          <w:color w:val="002060"/>
          <w:sz w:val="16"/>
          <w:szCs w:val="16"/>
          <w:lang w:val="ru-RU"/>
        </w:rPr>
        <w:softHyphen/>
        <w:t>строительное предприятие. Для этого он убедил своего отца (поскольку сам в это время ещё находился на военной службе) заключить контракт с Управлением Военно-воздушного флота (УВВФ) на поставку аэропланов и организовать их производство в Липецке (15817).</w:t>
      </w:r>
    </w:p>
    <w:p w14:paraId="31BCCB2C" w14:textId="77777777" w:rsidR="00BE0EBB" w:rsidRPr="00405303" w:rsidRDefault="00BE0EBB" w:rsidP="00C15251">
      <w:pPr>
        <w:pStyle w:val="a5"/>
        <w:rPr>
          <w:bCs/>
          <w:color w:val="002060"/>
          <w:sz w:val="16"/>
          <w:szCs w:val="16"/>
          <w:lang w:val="ru-RU"/>
        </w:rPr>
      </w:pPr>
    </w:p>
    <w:p w14:paraId="32CB3732" w14:textId="77777777" w:rsidR="00BE0EBB" w:rsidRPr="00405303" w:rsidRDefault="00BE0EBB" w:rsidP="00C15251">
      <w:pPr>
        <w:pStyle w:val="ae"/>
        <w:spacing w:before="0" w:beforeAutospacing="0" w:after="0" w:afterAutospacing="0"/>
        <w:jc w:val="both"/>
        <w:rPr>
          <w:bCs/>
          <w:color w:val="002060"/>
          <w:sz w:val="16"/>
          <w:szCs w:val="16"/>
        </w:rPr>
      </w:pPr>
      <w:r w:rsidRPr="00405303">
        <w:rPr>
          <w:bCs/>
          <w:color w:val="002060"/>
          <w:sz w:val="16"/>
          <w:szCs w:val="16"/>
        </w:rPr>
        <w:lastRenderedPageBreak/>
        <w:t>К концу 1915 в первые месяцы войны были приняты меры для расширения завода «Гном» в Москве; сооружения на новом месте эвакуированного из Риги в Москву завода «Мотор»; был устроен новый завод «Сальмсон»; заключено соглашение с акционерным обществом «Русский Рено» о постройке нового моторного завода; к работе по изготовлению запасных частей были привлечены еще 16 заводов и мастерских</w:t>
      </w:r>
      <w:bookmarkStart w:id="338" w:name="_ednref31"/>
      <w:r w:rsidRPr="00405303">
        <w:rPr>
          <w:bCs/>
          <w:color w:val="002060"/>
          <w:sz w:val="16"/>
          <w:szCs w:val="16"/>
        </w:rPr>
        <w:t xml:space="preserve"> (18369)</w:t>
      </w:r>
      <w:bookmarkEnd w:id="338"/>
      <w:r w:rsidRPr="00405303">
        <w:rPr>
          <w:bCs/>
          <w:color w:val="002060"/>
          <w:sz w:val="16"/>
          <w:szCs w:val="16"/>
        </w:rPr>
        <w:t>.</w:t>
      </w:r>
    </w:p>
    <w:p w14:paraId="39113555" w14:textId="77777777" w:rsidR="00BE0EBB" w:rsidRPr="00405303" w:rsidRDefault="00BE0EBB" w:rsidP="00C15251">
      <w:pPr>
        <w:pStyle w:val="ae"/>
        <w:spacing w:before="0" w:beforeAutospacing="0" w:after="0" w:afterAutospacing="0"/>
        <w:jc w:val="both"/>
        <w:rPr>
          <w:bCs/>
          <w:color w:val="002060"/>
          <w:sz w:val="16"/>
          <w:szCs w:val="16"/>
        </w:rPr>
      </w:pPr>
    </w:p>
    <w:p w14:paraId="6437D23F" w14:textId="77777777" w:rsidR="00BE0EBB" w:rsidRPr="00405303" w:rsidRDefault="00BE0EBB" w:rsidP="00C15251">
      <w:pPr>
        <w:pStyle w:val="ae"/>
        <w:spacing w:before="0" w:beforeAutospacing="0" w:after="0" w:afterAutospacing="0"/>
        <w:jc w:val="both"/>
        <w:rPr>
          <w:bCs/>
          <w:color w:val="002060"/>
          <w:sz w:val="16"/>
          <w:szCs w:val="16"/>
        </w:rPr>
      </w:pPr>
      <w:r w:rsidRPr="00405303">
        <w:rPr>
          <w:bCs/>
          <w:color w:val="002060"/>
          <w:sz w:val="16"/>
          <w:szCs w:val="16"/>
        </w:rPr>
        <w:t>С конца 1915 г. решения Особого совещания по обороне о выдаче заказов на авиационное имущество подразумевали, а часто прямо указывали на необходимость постройки нового завода или расширения старого. Недаром в отчете УВВФ за 1916 г. указывалось: «Принимавшиеся в 1916 г. меры к обеспечению авиации и воздухоплавания аэропланами, моторами и материалами шли, главным образом, по пути насаждения соответствующей отечественной промышленности, дабы в возможно большей степени освободиться от необходимости прибегать к услугам заграничной промышленности» (18369).</w:t>
      </w:r>
    </w:p>
    <w:p w14:paraId="4C89A8F5" w14:textId="77777777" w:rsidR="00BE0EBB" w:rsidRPr="00405303" w:rsidRDefault="00BE0EBB" w:rsidP="00C15251">
      <w:pPr>
        <w:pStyle w:val="ae"/>
        <w:spacing w:before="0" w:beforeAutospacing="0" w:after="0" w:afterAutospacing="0"/>
        <w:jc w:val="both"/>
        <w:rPr>
          <w:bCs/>
          <w:color w:val="002060"/>
          <w:sz w:val="16"/>
          <w:szCs w:val="16"/>
        </w:rPr>
      </w:pPr>
    </w:p>
    <w:p w14:paraId="58239253" w14:textId="77777777" w:rsidR="00BE0EBB" w:rsidRPr="00405303" w:rsidRDefault="00BE0EBB" w:rsidP="00C15251">
      <w:pPr>
        <w:jc w:val="both"/>
        <w:rPr>
          <w:bCs/>
          <w:color w:val="002060"/>
          <w:sz w:val="16"/>
          <w:szCs w:val="16"/>
        </w:rPr>
      </w:pPr>
      <w:r w:rsidRPr="00405303">
        <w:rPr>
          <w:bCs/>
          <w:color w:val="002060"/>
          <w:sz w:val="16"/>
          <w:szCs w:val="16"/>
        </w:rPr>
        <w:t>В конце 1915 г. от командующих флотами в МГШ стали поступать пожелания о снабжении радиостанциями всех новых типов аэропланов, первоначально выбор был сделан в пользу аэропланного приемника английского производства типа Рузэ.</w:t>
      </w:r>
    </w:p>
    <w:p w14:paraId="67B15364" w14:textId="77777777" w:rsidR="00BE0EBB" w:rsidRPr="00405303" w:rsidRDefault="00BE0EBB" w:rsidP="00C15251">
      <w:pPr>
        <w:jc w:val="both"/>
        <w:rPr>
          <w:bCs/>
          <w:color w:val="002060"/>
          <w:sz w:val="16"/>
          <w:szCs w:val="16"/>
        </w:rPr>
      </w:pPr>
      <w:r w:rsidRPr="00405303">
        <w:rPr>
          <w:bCs/>
          <w:color w:val="002060"/>
          <w:sz w:val="16"/>
          <w:szCs w:val="16"/>
        </w:rPr>
        <w:t>Однако сразу же были приняты меры, чтобы организовать производство аналогичных станций внутри страны. По указаниям известного флотского радиоспециалиста П.Е. Стогова разработка началась на заводе РОБТиТ, и в феврале 1916 г. в соответствии с приказом начальника МГШ начались испытания созданного здесь образца приемника.</w:t>
      </w:r>
    </w:p>
    <w:p w14:paraId="18D909FC" w14:textId="77777777" w:rsidR="00BE0EBB" w:rsidRPr="00405303" w:rsidRDefault="00BE0EBB" w:rsidP="00C15251">
      <w:pPr>
        <w:jc w:val="both"/>
        <w:rPr>
          <w:bCs/>
          <w:color w:val="002060"/>
          <w:sz w:val="16"/>
          <w:szCs w:val="16"/>
        </w:rPr>
      </w:pPr>
      <w:r w:rsidRPr="00405303">
        <w:rPr>
          <w:bCs/>
          <w:color w:val="002060"/>
          <w:sz w:val="16"/>
          <w:szCs w:val="16"/>
        </w:rPr>
        <w:t>А уже в начале марта 1916 г. П.Е. Стогов смог доложить в Организационно-тактическое отделение МГШ: «Вопрос о создании аэропланных приемников благополучно разрешен. Поэтому появилась возможность ночных дальних полетов больших аэропланов». В апреле 1916 г. по докладу МГШ морской министр приказал оборудовать гидросамолеты авиационными приемниками РОБТиТ (18297).</w:t>
      </w:r>
    </w:p>
    <w:p w14:paraId="5960B62D" w14:textId="77777777" w:rsidR="00BE0EBB" w:rsidRPr="00405303" w:rsidRDefault="00BE0EBB" w:rsidP="00C15251">
      <w:pPr>
        <w:jc w:val="both"/>
        <w:rPr>
          <w:bCs/>
          <w:color w:val="002060"/>
          <w:sz w:val="16"/>
          <w:szCs w:val="16"/>
        </w:rPr>
      </w:pPr>
    </w:p>
    <w:p w14:paraId="6E39CDF0" w14:textId="637170BF" w:rsidR="004B4E35" w:rsidRPr="00405303" w:rsidRDefault="008352B3" w:rsidP="00C15251">
      <w:pPr>
        <w:jc w:val="both"/>
        <w:rPr>
          <w:bCs/>
          <w:color w:val="002060"/>
          <w:sz w:val="16"/>
          <w:szCs w:val="16"/>
        </w:rPr>
      </w:pPr>
      <w:r w:rsidRPr="00405303">
        <w:rPr>
          <w:bCs/>
          <w:color w:val="002060"/>
          <w:sz w:val="16"/>
          <w:szCs w:val="16"/>
        </w:rPr>
        <w:t>К</w:t>
      </w:r>
      <w:r w:rsidR="009E6F82" w:rsidRPr="00405303">
        <w:rPr>
          <w:bCs/>
          <w:color w:val="002060"/>
          <w:sz w:val="16"/>
          <w:szCs w:val="16"/>
        </w:rPr>
        <w:t xml:space="preserve"> концу 1915 года </w:t>
      </w:r>
      <w:r w:rsidRPr="00405303">
        <w:rPr>
          <w:bCs/>
          <w:color w:val="002060"/>
          <w:sz w:val="16"/>
          <w:szCs w:val="16"/>
        </w:rPr>
        <w:t xml:space="preserve">Россия имела </w:t>
      </w:r>
      <w:r w:rsidR="009E6F82" w:rsidRPr="00405303">
        <w:rPr>
          <w:bCs/>
          <w:color w:val="002060"/>
          <w:sz w:val="16"/>
          <w:szCs w:val="16"/>
        </w:rPr>
        <w:t xml:space="preserve">всего 553 самолета, из которых в строю состояло только 359. К концу 1916 года - 724 самолета, а к моменту Февральской революции 1917 года - 1 039, но из них находилось в исправном состоянии на фронтах лишь 545 самолетов [60]. Всего с начала войны и до 1917 года русская армия получила 5 600 самолетов, из которых 4 700 было построено на русских заводах и 900 получено от </w:t>
      </w:r>
      <w:proofErr w:type="gramStart"/>
      <w:r w:rsidR="009E6F82" w:rsidRPr="00405303">
        <w:rPr>
          <w:bCs/>
          <w:color w:val="002060"/>
          <w:sz w:val="16"/>
          <w:szCs w:val="16"/>
        </w:rPr>
        <w:t>союзников.С</w:t>
      </w:r>
      <w:proofErr w:type="gramEnd"/>
      <w:r w:rsidR="009E6F82" w:rsidRPr="00405303">
        <w:rPr>
          <w:bCs/>
          <w:color w:val="002060"/>
          <w:sz w:val="16"/>
          <w:szCs w:val="16"/>
        </w:rPr>
        <w:t xml:space="preserve"> моторами было значительно хуже. Открыли несколько "заводов", по существу являвшихся сборочными мастерскими. В них производилась сборка четырех-пяти типов авиамоторов из частей, присылавшихся кружным путем из Франции (11055).</w:t>
      </w:r>
    </w:p>
    <w:p w14:paraId="3A9E581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 период с августа 1914 г. по 1 января 1915 г. в действую</w:t>
      </w:r>
      <w:r w:rsidRPr="00405303">
        <w:rPr>
          <w:bCs/>
          <w:color w:val="002060"/>
          <w:sz w:val="16"/>
          <w:szCs w:val="16"/>
        </w:rPr>
        <w:softHyphen/>
        <w:t>щую армию поступило только 157 самолетов (из них несколько самолетов французских и около 20 трофейных самолетов).</w:t>
      </w:r>
    </w:p>
    <w:p w14:paraId="67A727F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Состояние самолетного парка русской действующей армии во второй половине 1914 г. характеризуется следующими дан</w:t>
      </w:r>
      <w:r w:rsidRPr="00405303">
        <w:rPr>
          <w:bCs/>
          <w:color w:val="002060"/>
          <w:sz w:val="16"/>
          <w:szCs w:val="16"/>
        </w:rPr>
        <w:softHyphen/>
        <w:t>ными (табл. 1) (ЦГВИА, ф. 2008, оп. 2, д. 616, л. .137).</w:t>
      </w:r>
    </w:p>
    <w:p w14:paraId="12B57AB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Таблица 1</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26"/>
        <w:gridCol w:w="1776"/>
        <w:gridCol w:w="797"/>
        <w:gridCol w:w="806"/>
        <w:gridCol w:w="653"/>
      </w:tblGrid>
      <w:tr w:rsidR="004B4E35" w:rsidRPr="00405303" w14:paraId="29BF9B44" w14:textId="77777777">
        <w:trPr>
          <w:trHeight w:val="403"/>
        </w:trPr>
        <w:tc>
          <w:tcPr>
            <w:tcW w:w="2102" w:type="dxa"/>
            <w:gridSpan w:val="2"/>
          </w:tcPr>
          <w:p w14:paraId="573075B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Дата</w:t>
            </w:r>
          </w:p>
        </w:tc>
        <w:tc>
          <w:tcPr>
            <w:tcW w:w="2256" w:type="dxa"/>
            <w:gridSpan w:val="3"/>
          </w:tcPr>
          <w:p w14:paraId="792208F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Количество самолетов</w:t>
            </w:r>
          </w:p>
        </w:tc>
      </w:tr>
      <w:tr w:rsidR="004B4E35" w:rsidRPr="00405303" w14:paraId="112E4DB6" w14:textId="77777777">
        <w:trPr>
          <w:trHeight w:val="432"/>
        </w:trPr>
        <w:tc>
          <w:tcPr>
            <w:tcW w:w="2102" w:type="dxa"/>
            <w:gridSpan w:val="2"/>
          </w:tcPr>
          <w:p w14:paraId="36B452F3" w14:textId="77777777" w:rsidR="004B4E35" w:rsidRPr="00405303" w:rsidRDefault="004B4E35" w:rsidP="00C15251">
            <w:pPr>
              <w:jc w:val="both"/>
              <w:rPr>
                <w:bCs/>
                <w:color w:val="002060"/>
                <w:sz w:val="16"/>
                <w:szCs w:val="16"/>
              </w:rPr>
            </w:pPr>
          </w:p>
        </w:tc>
        <w:tc>
          <w:tcPr>
            <w:tcW w:w="797" w:type="dxa"/>
          </w:tcPr>
          <w:p w14:paraId="3EDF068D" w14:textId="77777777" w:rsidR="004B4E35" w:rsidRPr="00405303" w:rsidRDefault="00995D21" w:rsidP="00C15251">
            <w:pPr>
              <w:shd w:val="clear" w:color="auto" w:fill="FFFFFF"/>
              <w:jc w:val="both"/>
              <w:rPr>
                <w:bCs/>
                <w:color w:val="002060"/>
                <w:sz w:val="16"/>
                <w:szCs w:val="16"/>
              </w:rPr>
            </w:pPr>
            <w:r w:rsidRPr="00405303">
              <w:rPr>
                <w:bCs/>
                <w:color w:val="002060"/>
                <w:sz w:val="16"/>
                <w:szCs w:val="16"/>
              </w:rPr>
              <w:t>И</w:t>
            </w:r>
            <w:r w:rsidR="009E6F82" w:rsidRPr="00405303">
              <w:rPr>
                <w:bCs/>
                <w:color w:val="002060"/>
                <w:sz w:val="16"/>
                <w:szCs w:val="16"/>
              </w:rPr>
              <w:t>справных</w:t>
            </w:r>
          </w:p>
        </w:tc>
        <w:tc>
          <w:tcPr>
            <w:tcW w:w="806" w:type="dxa"/>
          </w:tcPr>
          <w:p w14:paraId="0D0B13A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ремонте</w:t>
            </w:r>
          </w:p>
        </w:tc>
        <w:tc>
          <w:tcPr>
            <w:tcW w:w="653" w:type="dxa"/>
          </w:tcPr>
          <w:p w14:paraId="7CFD017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всего</w:t>
            </w:r>
          </w:p>
        </w:tc>
      </w:tr>
      <w:tr w:rsidR="004B4E35" w:rsidRPr="00405303" w14:paraId="53E2A037" w14:textId="77777777">
        <w:trPr>
          <w:trHeight w:val="442"/>
        </w:trPr>
        <w:tc>
          <w:tcPr>
            <w:tcW w:w="326" w:type="dxa"/>
          </w:tcPr>
          <w:p w14:paraId="3867EEF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w:t>
            </w:r>
          </w:p>
        </w:tc>
        <w:tc>
          <w:tcPr>
            <w:tcW w:w="1776" w:type="dxa"/>
          </w:tcPr>
          <w:p w14:paraId="0648891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сентября 1914 г.</w:t>
            </w:r>
          </w:p>
        </w:tc>
        <w:tc>
          <w:tcPr>
            <w:tcW w:w="797" w:type="dxa"/>
          </w:tcPr>
          <w:p w14:paraId="27C0637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145</w:t>
            </w:r>
          </w:p>
        </w:tc>
        <w:tc>
          <w:tcPr>
            <w:tcW w:w="806" w:type="dxa"/>
          </w:tcPr>
          <w:p w14:paraId="1AB4AED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17</w:t>
            </w:r>
          </w:p>
        </w:tc>
        <w:tc>
          <w:tcPr>
            <w:tcW w:w="653" w:type="dxa"/>
          </w:tcPr>
          <w:p w14:paraId="20A4231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162</w:t>
            </w:r>
          </w:p>
        </w:tc>
      </w:tr>
      <w:tr w:rsidR="004B4E35" w:rsidRPr="00405303" w14:paraId="327D6C2B" w14:textId="77777777">
        <w:trPr>
          <w:trHeight w:val="173"/>
        </w:trPr>
        <w:tc>
          <w:tcPr>
            <w:tcW w:w="326" w:type="dxa"/>
          </w:tcPr>
          <w:p w14:paraId="382931A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w:t>
            </w:r>
          </w:p>
        </w:tc>
        <w:tc>
          <w:tcPr>
            <w:tcW w:w="1776" w:type="dxa"/>
          </w:tcPr>
          <w:p w14:paraId="1F638F9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октября 1914 г.</w:t>
            </w:r>
          </w:p>
        </w:tc>
        <w:tc>
          <w:tcPr>
            <w:tcW w:w="797" w:type="dxa"/>
          </w:tcPr>
          <w:p w14:paraId="49877FB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150</w:t>
            </w:r>
          </w:p>
        </w:tc>
        <w:tc>
          <w:tcPr>
            <w:tcW w:w="806" w:type="dxa"/>
          </w:tcPr>
          <w:p w14:paraId="6E3BB21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w:t>
            </w:r>
          </w:p>
        </w:tc>
        <w:tc>
          <w:tcPr>
            <w:tcW w:w="653" w:type="dxa"/>
          </w:tcPr>
          <w:p w14:paraId="032B62E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170</w:t>
            </w:r>
          </w:p>
        </w:tc>
      </w:tr>
      <w:tr w:rsidR="004B4E35" w:rsidRPr="00405303" w14:paraId="4419D51F" w14:textId="77777777">
        <w:trPr>
          <w:trHeight w:val="163"/>
        </w:trPr>
        <w:tc>
          <w:tcPr>
            <w:tcW w:w="326" w:type="dxa"/>
          </w:tcPr>
          <w:p w14:paraId="10AB6EF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w:t>
            </w:r>
          </w:p>
        </w:tc>
        <w:tc>
          <w:tcPr>
            <w:tcW w:w="1776" w:type="dxa"/>
          </w:tcPr>
          <w:p w14:paraId="1BCCACD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ноября 1914 г.</w:t>
            </w:r>
          </w:p>
        </w:tc>
        <w:tc>
          <w:tcPr>
            <w:tcW w:w="797" w:type="dxa"/>
          </w:tcPr>
          <w:p w14:paraId="160F3C9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160</w:t>
            </w:r>
          </w:p>
        </w:tc>
        <w:tc>
          <w:tcPr>
            <w:tcW w:w="806" w:type="dxa"/>
          </w:tcPr>
          <w:p w14:paraId="61939B0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42</w:t>
            </w:r>
          </w:p>
        </w:tc>
        <w:tc>
          <w:tcPr>
            <w:tcW w:w="653" w:type="dxa"/>
          </w:tcPr>
          <w:p w14:paraId="76AF749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202</w:t>
            </w:r>
          </w:p>
        </w:tc>
      </w:tr>
      <w:tr w:rsidR="004B4E35" w:rsidRPr="00405303" w14:paraId="14FB3993" w14:textId="77777777">
        <w:trPr>
          <w:trHeight w:val="173"/>
        </w:trPr>
        <w:tc>
          <w:tcPr>
            <w:tcW w:w="326" w:type="dxa"/>
          </w:tcPr>
          <w:p w14:paraId="2E11ECB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w:t>
            </w:r>
          </w:p>
        </w:tc>
        <w:tc>
          <w:tcPr>
            <w:tcW w:w="1776" w:type="dxa"/>
          </w:tcPr>
          <w:p w14:paraId="00B2016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декабря 1014 г.</w:t>
            </w:r>
          </w:p>
        </w:tc>
        <w:tc>
          <w:tcPr>
            <w:tcW w:w="797" w:type="dxa"/>
          </w:tcPr>
          <w:p w14:paraId="47EC30E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162</w:t>
            </w:r>
          </w:p>
        </w:tc>
        <w:tc>
          <w:tcPr>
            <w:tcW w:w="806" w:type="dxa"/>
          </w:tcPr>
          <w:p w14:paraId="4B1D8E2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37</w:t>
            </w:r>
          </w:p>
        </w:tc>
        <w:tc>
          <w:tcPr>
            <w:tcW w:w="653" w:type="dxa"/>
          </w:tcPr>
          <w:p w14:paraId="47E41B6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199</w:t>
            </w:r>
          </w:p>
        </w:tc>
      </w:tr>
      <w:tr w:rsidR="004B4E35" w:rsidRPr="00405303" w14:paraId="598D1B84" w14:textId="77777777">
        <w:trPr>
          <w:trHeight w:val="346"/>
        </w:trPr>
        <w:tc>
          <w:tcPr>
            <w:tcW w:w="326" w:type="dxa"/>
          </w:tcPr>
          <w:p w14:paraId="04DC6E0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w:t>
            </w:r>
          </w:p>
        </w:tc>
        <w:tc>
          <w:tcPr>
            <w:tcW w:w="1776" w:type="dxa"/>
          </w:tcPr>
          <w:p w14:paraId="1774FFA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января 1915 г.</w:t>
            </w:r>
          </w:p>
        </w:tc>
        <w:tc>
          <w:tcPr>
            <w:tcW w:w="797" w:type="dxa"/>
          </w:tcPr>
          <w:p w14:paraId="7E802A4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209</w:t>
            </w:r>
          </w:p>
        </w:tc>
        <w:tc>
          <w:tcPr>
            <w:tcW w:w="806" w:type="dxa"/>
          </w:tcPr>
          <w:p w14:paraId="15E25DE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62</w:t>
            </w:r>
          </w:p>
        </w:tc>
        <w:tc>
          <w:tcPr>
            <w:tcW w:w="653" w:type="dxa"/>
          </w:tcPr>
          <w:p w14:paraId="283A243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271</w:t>
            </w:r>
          </w:p>
        </w:tc>
      </w:tr>
    </w:tbl>
    <w:p w14:paraId="15656B4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Когда в ходе войны выявилось огромное значение авиации, русское военное ведомство приняло некоторые меры для повы</w:t>
      </w:r>
      <w:r w:rsidRPr="00405303">
        <w:rPr>
          <w:bCs/>
          <w:color w:val="002060"/>
          <w:sz w:val="16"/>
          <w:szCs w:val="16"/>
        </w:rPr>
        <w:softHyphen/>
        <w:t>шения производительности авиационных предприятий: мобили</w:t>
      </w:r>
      <w:r w:rsidRPr="00405303">
        <w:rPr>
          <w:bCs/>
          <w:color w:val="002060"/>
          <w:sz w:val="16"/>
          <w:szCs w:val="16"/>
        </w:rPr>
        <w:softHyphen/>
        <w:t>зованные в начале войны квалифицированные рабочие были возвращены на авиационные заводы; правительство содейство</w:t>
      </w:r>
      <w:r w:rsidRPr="00405303">
        <w:rPr>
          <w:bCs/>
          <w:color w:val="002060"/>
          <w:sz w:val="16"/>
          <w:szCs w:val="16"/>
        </w:rPr>
        <w:softHyphen/>
        <w:t>вало обеспечению авиационных заводов необходимыми мате</w:t>
      </w:r>
      <w:r w:rsidRPr="00405303">
        <w:rPr>
          <w:bCs/>
          <w:color w:val="002060"/>
          <w:sz w:val="16"/>
          <w:szCs w:val="16"/>
        </w:rPr>
        <w:softHyphen/>
        <w:t>риалами и т. п.</w:t>
      </w:r>
    </w:p>
    <w:p w14:paraId="6ED036F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результате этих мероприятий количество выпускаемых са</w:t>
      </w:r>
      <w:r w:rsidRPr="00405303">
        <w:rPr>
          <w:bCs/>
          <w:color w:val="002060"/>
          <w:sz w:val="16"/>
          <w:szCs w:val="16"/>
        </w:rPr>
        <w:softHyphen/>
        <w:t>молетов постепенно повышалось. Если в начале 1915 г. русские самолетостроительные предприятия давали менее 50 самолетов в месяц, то к концу года ежемесячно производилось до 75 само</w:t>
      </w:r>
      <w:r w:rsidRPr="00405303">
        <w:rPr>
          <w:bCs/>
          <w:color w:val="002060"/>
          <w:sz w:val="16"/>
          <w:szCs w:val="16"/>
        </w:rPr>
        <w:softHyphen/>
        <w:t>летов. Всего за 1915 г. русские заводы дали военному ведом</w:t>
      </w:r>
      <w:r w:rsidRPr="00405303">
        <w:rPr>
          <w:bCs/>
          <w:color w:val="002060"/>
          <w:sz w:val="16"/>
          <w:szCs w:val="16"/>
        </w:rPr>
        <w:softHyphen/>
        <w:t>ству свыше 700 самолетов. В условиях все более развертывав</w:t>
      </w:r>
      <w:r w:rsidRPr="00405303">
        <w:rPr>
          <w:bCs/>
          <w:color w:val="002060"/>
          <w:sz w:val="16"/>
          <w:szCs w:val="16"/>
        </w:rPr>
        <w:softHyphen/>
        <w:t>шейся первой мировой войны, требовавшей огромного количества материальных ресурсов, это было явно недостаточно (278).</w:t>
      </w:r>
    </w:p>
    <w:p w14:paraId="44DA5F5A" w14:textId="77777777" w:rsidR="004B4E35" w:rsidRPr="00405303" w:rsidRDefault="004B4E35" w:rsidP="00C15251">
      <w:pPr>
        <w:shd w:val="clear" w:color="auto" w:fill="FFFFFF"/>
        <w:jc w:val="both"/>
        <w:rPr>
          <w:bCs/>
          <w:color w:val="002060"/>
          <w:sz w:val="16"/>
          <w:szCs w:val="16"/>
        </w:rPr>
      </w:pPr>
    </w:p>
    <w:p w14:paraId="0888D8A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 концу 1915 г. самолеты конца 1914 г перестали соответствовать дости</w:t>
      </w:r>
      <w:r w:rsidRPr="00405303">
        <w:rPr>
          <w:bCs/>
          <w:color w:val="002060"/>
          <w:sz w:val="16"/>
          <w:szCs w:val="16"/>
        </w:rPr>
        <w:softHyphen/>
        <w:t>жениям авиационной техники. За границей стали переходить от самолетов с толкающими винтами к одноместным бипланам с тя</w:t>
      </w:r>
      <w:r w:rsidRPr="00405303">
        <w:rPr>
          <w:bCs/>
          <w:color w:val="002060"/>
          <w:sz w:val="16"/>
          <w:szCs w:val="16"/>
        </w:rPr>
        <w:softHyphen/>
        <w:t>нущим винтом. Это диктовалось появлением истребителей. Пол</w:t>
      </w:r>
      <w:r w:rsidRPr="00405303">
        <w:rPr>
          <w:bCs/>
          <w:color w:val="002060"/>
          <w:sz w:val="16"/>
          <w:szCs w:val="16"/>
        </w:rPr>
        <w:softHyphen/>
        <w:t>ное признание получил самолет с двигателем впереди и тянущим винтом (9705,104).</w:t>
      </w:r>
    </w:p>
    <w:p w14:paraId="04EBAFFF" w14:textId="77777777" w:rsidR="004B4E35" w:rsidRPr="00405303" w:rsidRDefault="004B4E35" w:rsidP="00C15251">
      <w:pPr>
        <w:shd w:val="clear" w:color="auto" w:fill="FFFFFF"/>
        <w:jc w:val="both"/>
        <w:rPr>
          <w:bCs/>
          <w:color w:val="002060"/>
          <w:sz w:val="16"/>
          <w:szCs w:val="16"/>
        </w:rPr>
      </w:pPr>
    </w:p>
    <w:p w14:paraId="60CB87C0" w14:textId="77777777" w:rsidR="004B4E35" w:rsidRPr="00405303" w:rsidRDefault="009E6F82" w:rsidP="00C15251">
      <w:pPr>
        <w:jc w:val="both"/>
        <w:rPr>
          <w:bCs/>
          <w:color w:val="002060"/>
          <w:sz w:val="16"/>
          <w:szCs w:val="16"/>
        </w:rPr>
      </w:pPr>
      <w:r w:rsidRPr="00405303">
        <w:rPr>
          <w:bCs/>
          <w:color w:val="002060"/>
          <w:sz w:val="16"/>
          <w:szCs w:val="16"/>
        </w:rPr>
        <w:t>С конца 1915 РБВЗ начал выпуск ИМ Г-1 с увеличенной хордой верхнего и нижнего крыльев, т.к. ИМ В не могли ходить с полной нагрузкой на 2500-3000 м (2669,25).</w:t>
      </w:r>
    </w:p>
    <w:p w14:paraId="7B23C0D7" w14:textId="77777777" w:rsidR="004B4E35" w:rsidRPr="00405303" w:rsidRDefault="004B4E35" w:rsidP="00C15251">
      <w:pPr>
        <w:jc w:val="both"/>
        <w:rPr>
          <w:bCs/>
          <w:color w:val="002060"/>
          <w:sz w:val="16"/>
          <w:szCs w:val="16"/>
        </w:rPr>
      </w:pPr>
    </w:p>
    <w:p w14:paraId="25A9EE1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К концу января 1916 в Зегевольд из Питера прибыли 4 боевых «Муромца». Среди них был корабль нового типа — «Илья Муромец» Г-1. Его называли еще «ширококрылым», т.к. он отличался от аппаратов серии В большей хордой верхнего и нижнего крыльев. Создание И.Сикорским этой новой модификации объяснялось тем, что «Муромцы» серии В по заявлениям с фронта были «не в состоянии ходить с полной нагрузкой на боевой высоте 2500-3000 м». Выпуск новой серии Г начался на РБВЗ с конца 1915 г. Незаконченные корабли типа В достраивали уже как Г. Подверглись переоснащению даже готовые к отправке «узкокрылые», стоявшие на Комендантском аэродроме, которые после такой переделки становились по существу типом Г-1 (11277).</w:t>
      </w:r>
    </w:p>
    <w:p w14:paraId="0320D20A" w14:textId="77777777" w:rsidR="004B4E35" w:rsidRPr="00405303" w:rsidRDefault="004B4E35" w:rsidP="00C15251">
      <w:pPr>
        <w:pStyle w:val="a3"/>
        <w:jc w:val="both"/>
        <w:rPr>
          <w:bCs/>
          <w:i w:val="0"/>
          <w:color w:val="002060"/>
          <w:spacing w:val="0"/>
          <w:kern w:val="0"/>
          <w:position w:val="0"/>
          <w:sz w:val="16"/>
          <w:szCs w:val="16"/>
        </w:rPr>
      </w:pPr>
    </w:p>
    <w:p w14:paraId="1D2674A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конце 1915 г. был спроектирован «Илья Муромец» тип Г и построен в начале 1916 г. Он отличался от пред</w:t>
      </w:r>
      <w:r w:rsidRPr="00405303">
        <w:rPr>
          <w:bCs/>
          <w:color w:val="002060"/>
          <w:sz w:val="16"/>
          <w:szCs w:val="16"/>
        </w:rPr>
        <w:softHyphen/>
        <w:t>шествующих машин новым крылом с увеличенной хор</w:t>
      </w:r>
      <w:r w:rsidRPr="00405303">
        <w:rPr>
          <w:bCs/>
          <w:color w:val="002060"/>
          <w:sz w:val="16"/>
          <w:szCs w:val="16"/>
        </w:rPr>
        <w:softHyphen/>
        <w:t>дой и размахом. Поликарпов принимал участие в разработке других его вариантов: Г2 с новым стабилиза</w:t>
      </w:r>
      <w:r w:rsidRPr="00405303">
        <w:rPr>
          <w:bCs/>
          <w:color w:val="002060"/>
          <w:sz w:val="16"/>
          <w:szCs w:val="16"/>
        </w:rPr>
        <w:softHyphen/>
        <w:t>тором и вооружением, ГЗ с новым вертикальным опере</w:t>
      </w:r>
      <w:r w:rsidRPr="00405303">
        <w:rPr>
          <w:bCs/>
          <w:color w:val="002060"/>
          <w:sz w:val="16"/>
          <w:szCs w:val="16"/>
        </w:rPr>
        <w:softHyphen/>
        <w:t>нием, двигателями «Рено», измененным вооружением, Г4 (1917 г.) с усиленной конструкцией. Со второй поло</w:t>
      </w:r>
      <w:r w:rsidRPr="00405303">
        <w:rPr>
          <w:bCs/>
          <w:color w:val="002060"/>
          <w:sz w:val="16"/>
          <w:szCs w:val="16"/>
        </w:rPr>
        <w:softHyphen/>
        <w:t>вины 1916 г. эти типы преобладали среди построенных РБВЗ «Муромцев». «Муромец» тип Д (его называли еще ДИМ) появился в январе 1916 г. Он имел новый фюзеляж с улучшенной аэродинамикой и обзором, измененную конструкцию крыла уменьшенного размаха, оперения, шасси. Новые решения обеспечивали снижение сопротивления. Но неудачная по конструкции тандемная установка двига</w:t>
      </w:r>
      <w:r w:rsidRPr="00405303">
        <w:rPr>
          <w:bCs/>
          <w:color w:val="002060"/>
          <w:sz w:val="16"/>
          <w:szCs w:val="16"/>
        </w:rPr>
        <w:softHyphen/>
        <w:t>телей «Санбим» (также неудачных - ненадежных и с мощностью, меньше паспортной) не позволила реали</w:t>
      </w:r>
      <w:r w:rsidRPr="00405303">
        <w:rPr>
          <w:bCs/>
          <w:color w:val="002060"/>
          <w:sz w:val="16"/>
          <w:szCs w:val="16"/>
        </w:rPr>
        <w:softHyphen/>
        <w:t>зовать заложенные в самолете возможности. Постройка Д2 и ДЗ с крылом увеличенного размаха и нормальным расположением моторов неоправданно затянулась и они появились лишь в 1917 г. Тип Е с фюзеляжем, аналогичным типу Д, крылом большей площади и двигателями «Рено» мощностью 220 л.с. воплотил в себе лучшее, что было накоплено в предшествующих модификациях, и, соответственно, имел более высокие летные характеристики. Но нехват</w:t>
      </w:r>
      <w:r w:rsidRPr="00405303">
        <w:rPr>
          <w:bCs/>
          <w:color w:val="002060"/>
          <w:sz w:val="16"/>
          <w:szCs w:val="16"/>
        </w:rPr>
        <w:softHyphen/>
        <w:t>ка моторов «Рено» ограничивала возможности по се</w:t>
      </w:r>
      <w:r w:rsidRPr="00405303">
        <w:rPr>
          <w:bCs/>
          <w:color w:val="002060"/>
          <w:sz w:val="16"/>
          <w:szCs w:val="16"/>
        </w:rPr>
        <w:softHyphen/>
        <w:t>рийному выпуску этих самолетов (10667).</w:t>
      </w:r>
    </w:p>
    <w:p w14:paraId="67559B75" w14:textId="77777777" w:rsidR="004B4E35" w:rsidRPr="00405303" w:rsidRDefault="004B4E35" w:rsidP="00C15251">
      <w:pPr>
        <w:shd w:val="clear" w:color="auto" w:fill="FFFFFF"/>
        <w:jc w:val="both"/>
        <w:rPr>
          <w:bCs/>
          <w:color w:val="002060"/>
          <w:sz w:val="16"/>
          <w:szCs w:val="16"/>
        </w:rPr>
      </w:pPr>
    </w:p>
    <w:p w14:paraId="5A39CD37" w14:textId="5A83397F" w:rsidR="004B4E35" w:rsidRPr="00405303" w:rsidRDefault="008352B3"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конце 1915 г.</w:t>
      </w:r>
      <w:r w:rsidRPr="00405303">
        <w:rPr>
          <w:bCs/>
          <w:color w:val="002060"/>
          <w:sz w:val="16"/>
          <w:szCs w:val="16"/>
        </w:rPr>
        <w:t>, учитывая реалии положеия с моторами, чтобы как-то улучшить летне-технические характеристики "Муромцев", И. И. Сикорский</w:t>
      </w:r>
      <w:r w:rsidR="009E6F82" w:rsidRPr="00405303">
        <w:rPr>
          <w:bCs/>
          <w:color w:val="002060"/>
          <w:sz w:val="16"/>
          <w:szCs w:val="16"/>
        </w:rPr>
        <w:t xml:space="preserve"> решил переделать крылья на </w:t>
      </w:r>
      <w:proofErr w:type="gramStart"/>
      <w:r w:rsidR="009E6F82" w:rsidRPr="00405303">
        <w:rPr>
          <w:bCs/>
          <w:color w:val="002060"/>
          <w:sz w:val="16"/>
          <w:szCs w:val="16"/>
        </w:rPr>
        <w:t>трех серийных</w:t>
      </w:r>
      <w:proofErr w:type="gramEnd"/>
      <w:r w:rsidR="009E6F82" w:rsidRPr="00405303">
        <w:rPr>
          <w:bCs/>
          <w:color w:val="002060"/>
          <w:sz w:val="16"/>
          <w:szCs w:val="16"/>
        </w:rPr>
        <w:t xml:space="preserve"> машинах (№ 180, 183 и 184). На "Муромце" № 180 нижнее крыло было оставлено без изменения, а верхнее существенно расширено с сохранением прежнего профиля. На двух других устанавливались крылья с новыми размерами и профилем. Хорда верхнего крыла стала 3,2 м, нижнего - 2,6 м. При этом увеличился размах, элероны стали менее развитыми. Так появился новый тип "Муромца" (С-24), получивший название "Г" или "ширококрылый". В ожидании результатов испытаний трех опытных машин серийное производство кораблей вновь остановилось. Этот перерыв Сикорский использовал для производства опытного корабля "ДИМ" (т. е. "Муромец" тип "Д"), а также легких самолетов С-16, С-17 и С-18, однако о них чуть позже (11230).</w:t>
      </w:r>
    </w:p>
    <w:p w14:paraId="76829E87" w14:textId="77777777" w:rsidR="004B4E35" w:rsidRPr="00405303" w:rsidRDefault="004B4E35" w:rsidP="00C15251">
      <w:pPr>
        <w:jc w:val="both"/>
        <w:rPr>
          <w:bCs/>
          <w:color w:val="002060"/>
          <w:sz w:val="16"/>
          <w:szCs w:val="16"/>
        </w:rPr>
      </w:pPr>
    </w:p>
    <w:p w14:paraId="0C08A24C" w14:textId="77777777" w:rsidR="004B4E35" w:rsidRPr="00405303" w:rsidRDefault="009E6F82" w:rsidP="00C15251">
      <w:pPr>
        <w:jc w:val="both"/>
        <w:rPr>
          <w:bCs/>
          <w:color w:val="002060"/>
          <w:sz w:val="16"/>
          <w:szCs w:val="16"/>
        </w:rPr>
      </w:pPr>
      <w:r w:rsidRPr="00405303">
        <w:rPr>
          <w:bCs/>
          <w:color w:val="002060"/>
          <w:sz w:val="16"/>
          <w:szCs w:val="16"/>
        </w:rPr>
        <w:t>В конце 1915 г. простой завода И. И. Сикорский использовал для выпуска серии С-16 и создания новых типов машин. Построенный в двух экземплярах двухстоечный биплан С-17 (№ 199 и 200) являлся развитием С-16 и С-10. Это был двухместный разведчик, одновременно он мог использоваться и как истребитель. В мае 1916 г. первый С-17 поступил в эскадру для испытаний. Он рассматривался в качестве прототипа будущей серии штатных разведчиков для эскадренных боевых отрядов. Испытания прошли успешно, однако в серию С-17 не пошел. Слишком ненадежными опять оказались всеми ругаемые двигатели «Санбим», под которые создавался С-17. Та же причина погубила и одновременно созданный самолет С-18 (11196).</w:t>
      </w:r>
    </w:p>
    <w:p w14:paraId="4246FDD3" w14:textId="77777777" w:rsidR="004B4E35" w:rsidRPr="00405303" w:rsidRDefault="004B4E35" w:rsidP="00C15251">
      <w:pPr>
        <w:jc w:val="both"/>
        <w:rPr>
          <w:bCs/>
          <w:color w:val="002060"/>
          <w:sz w:val="16"/>
          <w:szCs w:val="16"/>
        </w:rPr>
      </w:pPr>
    </w:p>
    <w:p w14:paraId="413E6FA5" w14:textId="77777777" w:rsidR="00A15675" w:rsidRPr="00B52707" w:rsidRDefault="00A15675" w:rsidP="00A15675">
      <w:pPr>
        <w:jc w:val="both"/>
        <w:rPr>
          <w:color w:val="0070C0"/>
          <w:sz w:val="16"/>
          <w:szCs w:val="16"/>
        </w:rPr>
      </w:pPr>
      <w:r w:rsidRPr="00B52707">
        <w:rPr>
          <w:color w:val="0070C0"/>
          <w:sz w:val="16"/>
          <w:szCs w:val="16"/>
          <w:shd w:val="clear" w:color="auto" w:fill="FFFFFF"/>
        </w:rPr>
        <w:t>К концу 1915 года наметилось применение «Сикорских- маленьких», как иногда называли С-16 в войсках, в качестве «истребителей на боевых базах для защиты воздушных кораблей (25049).</w:t>
      </w:r>
    </w:p>
    <w:p w14:paraId="134DD912" w14:textId="77777777" w:rsidR="00A15675" w:rsidRPr="00B52707" w:rsidRDefault="00A15675" w:rsidP="00A15675">
      <w:pPr>
        <w:jc w:val="both"/>
        <w:rPr>
          <w:color w:val="0070C0"/>
          <w:sz w:val="16"/>
          <w:szCs w:val="16"/>
        </w:rPr>
      </w:pPr>
    </w:p>
    <w:p w14:paraId="0F613B45" w14:textId="77777777" w:rsidR="003E5951" w:rsidRPr="00405303" w:rsidRDefault="003E5951"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конце 1915 г. </w:t>
      </w:r>
      <w:r w:rsidRPr="00405303">
        <w:rPr>
          <w:bCs/>
          <w:color w:val="002060"/>
          <w:sz w:val="16"/>
          <w:szCs w:val="16"/>
        </w:rPr>
        <w:t xml:space="preserve">был построен прототип (зав. № 101) самолета "Лебедь"-Х ("Лебедь" №10) с двигателем "Рон" 80 л.с. </w:t>
      </w:r>
      <w:r w:rsidR="009E6F82" w:rsidRPr="00405303">
        <w:rPr>
          <w:bCs/>
          <w:color w:val="002060"/>
          <w:sz w:val="16"/>
          <w:szCs w:val="16"/>
        </w:rPr>
        <w:t xml:space="preserve">и весной 1916 г. прошел испытания. Предусматривалась установка одного пулемета, однако самолет остался без вооружения. </w:t>
      </w:r>
      <w:r w:rsidRPr="00405303">
        <w:rPr>
          <w:bCs/>
          <w:color w:val="002060"/>
          <w:sz w:val="16"/>
          <w:szCs w:val="16"/>
        </w:rPr>
        <w:t xml:space="preserve">Работа над самолетом "Лебедь"-Х ("Лебедь" №10) началась в 1915 г. Это была оригинальная конструкция, предусматривающая двойное применение. К фюзеляжу прикреплялись два варианта коробки плоскостей. При установке так называемых "малых крыльев" получался одностоечный полутораплан, который надлежало использовать как истребитель. Его верхнее крыло площадью 16 </w:t>
      </w:r>
      <w:proofErr w:type="gramStart"/>
      <w:r w:rsidRPr="00405303">
        <w:rPr>
          <w:bCs/>
          <w:color w:val="002060"/>
          <w:sz w:val="16"/>
          <w:szCs w:val="16"/>
        </w:rPr>
        <w:t>кв.м</w:t>
      </w:r>
      <w:proofErr w:type="gramEnd"/>
      <w:r w:rsidRPr="00405303">
        <w:rPr>
          <w:bCs/>
          <w:color w:val="002060"/>
          <w:sz w:val="16"/>
          <w:szCs w:val="16"/>
        </w:rPr>
        <w:t xml:space="preserve"> имело элероны, а нижнее крыло площадью 13 </w:t>
      </w:r>
      <w:proofErr w:type="gramStart"/>
      <w:r w:rsidRPr="00405303">
        <w:rPr>
          <w:bCs/>
          <w:color w:val="002060"/>
          <w:sz w:val="16"/>
          <w:szCs w:val="16"/>
        </w:rPr>
        <w:t>кв.м</w:t>
      </w:r>
      <w:proofErr w:type="gramEnd"/>
      <w:r w:rsidRPr="00405303">
        <w:rPr>
          <w:bCs/>
          <w:color w:val="002060"/>
          <w:sz w:val="16"/>
          <w:szCs w:val="16"/>
        </w:rPr>
        <w:t xml:space="preserve"> - нет. При установке так называемых "больших крыльев" получался аппарат обычной бипланной схемы. Крылья его при равном размахе имели почти одинаковую площадь: верхнее 20; нижнее - 19,4 кв.м. Бипланная коробка была двухстоечной, с элеронами только на верхнем крыле. Этот вариант позиционировался как разведчик. </w:t>
      </w:r>
    </w:p>
    <w:p w14:paraId="47B1668F" w14:textId="5F81BDF5" w:rsidR="004B4E35" w:rsidRPr="00405303" w:rsidRDefault="009E6F82" w:rsidP="00C15251">
      <w:pPr>
        <w:jc w:val="both"/>
        <w:rPr>
          <w:bCs/>
          <w:color w:val="002060"/>
          <w:sz w:val="16"/>
          <w:szCs w:val="16"/>
        </w:rPr>
      </w:pPr>
      <w:r w:rsidRPr="00405303">
        <w:rPr>
          <w:bCs/>
          <w:color w:val="002060"/>
          <w:sz w:val="16"/>
          <w:szCs w:val="16"/>
        </w:rPr>
        <w:t>Машину испытывал сам В.А.Лебедев. Летные качества обоих вариантов оказались невысокими и от серийного производства пришлось отказаться. Позже прототип удалось "пристроить" за 9500 рублей 26 января 1917 г. 8 февраля того же года он был принялт в казну. В июле Лебедь-Х передали в Гатчинскую авиашколу (11183).</w:t>
      </w:r>
    </w:p>
    <w:p w14:paraId="7BB8637F" w14:textId="77777777" w:rsidR="004B4E35" w:rsidRPr="00405303" w:rsidRDefault="004B4E35" w:rsidP="00C15251">
      <w:pPr>
        <w:jc w:val="both"/>
        <w:rPr>
          <w:bCs/>
          <w:color w:val="002060"/>
          <w:sz w:val="16"/>
          <w:szCs w:val="16"/>
        </w:rPr>
      </w:pPr>
    </w:p>
    <w:p w14:paraId="4CB5319A" w14:textId="77777777" w:rsidR="003E5951" w:rsidRPr="00405303" w:rsidRDefault="003E5951" w:rsidP="00C15251">
      <w:pPr>
        <w:shd w:val="clear" w:color="auto" w:fill="FFFFFF"/>
        <w:jc w:val="both"/>
        <w:rPr>
          <w:bCs/>
          <w:color w:val="002060"/>
          <w:sz w:val="16"/>
          <w:szCs w:val="16"/>
        </w:rPr>
      </w:pPr>
      <w:r w:rsidRPr="00405303">
        <w:rPr>
          <w:bCs/>
          <w:color w:val="002060"/>
          <w:sz w:val="16"/>
          <w:szCs w:val="16"/>
        </w:rPr>
        <w:t xml:space="preserve">В </w:t>
      </w:r>
      <w:r w:rsidR="009E6F82" w:rsidRPr="00405303">
        <w:rPr>
          <w:bCs/>
          <w:color w:val="002060"/>
          <w:sz w:val="16"/>
          <w:szCs w:val="16"/>
        </w:rPr>
        <w:t>конц</w:t>
      </w:r>
      <w:r w:rsidRPr="00405303">
        <w:rPr>
          <w:bCs/>
          <w:color w:val="002060"/>
          <w:sz w:val="16"/>
          <w:szCs w:val="16"/>
        </w:rPr>
        <w:t>е</w:t>
      </w:r>
      <w:r w:rsidR="009E6F82" w:rsidRPr="00405303">
        <w:rPr>
          <w:bCs/>
          <w:color w:val="002060"/>
          <w:sz w:val="16"/>
          <w:szCs w:val="16"/>
        </w:rPr>
        <w:t xml:space="preserve"> 1915 г. </w:t>
      </w:r>
      <w:r w:rsidRPr="00405303">
        <w:rPr>
          <w:bCs/>
          <w:color w:val="002060"/>
          <w:sz w:val="16"/>
          <w:szCs w:val="16"/>
        </w:rPr>
        <w:t xml:space="preserve">в МГТТТ сециалисты просмотрели все сводки погоды </w:t>
      </w:r>
      <w:r w:rsidR="009E6F82" w:rsidRPr="00405303">
        <w:rPr>
          <w:bCs/>
          <w:color w:val="002060"/>
          <w:sz w:val="16"/>
          <w:szCs w:val="16"/>
        </w:rPr>
        <w:t>и пришли к выводу: приведенные выше ут</w:t>
      </w:r>
      <w:r w:rsidR="009E6F82" w:rsidRPr="00405303">
        <w:rPr>
          <w:bCs/>
          <w:color w:val="002060"/>
          <w:sz w:val="16"/>
          <w:szCs w:val="16"/>
        </w:rPr>
        <w:softHyphen/>
        <w:t xml:space="preserve">верждения о преждевременных холодах, помешавших опытам на воде, не соответствовали истине, а, значит, фирма </w:t>
      </w:r>
      <w:r w:rsidRPr="00405303">
        <w:rPr>
          <w:bCs/>
          <w:color w:val="002060"/>
          <w:sz w:val="16"/>
          <w:szCs w:val="16"/>
        </w:rPr>
        <w:t xml:space="preserve">Лебеждева </w:t>
      </w:r>
      <w:r w:rsidR="009E6F82" w:rsidRPr="00405303">
        <w:rPr>
          <w:bCs/>
          <w:color w:val="002060"/>
          <w:sz w:val="16"/>
          <w:szCs w:val="16"/>
        </w:rPr>
        <w:t>нарушила установленные сроки работы и подлежала наказанию; на нее наложили штраф, а все разбирательства по делу продолжались до весны 1917 г.</w:t>
      </w:r>
    </w:p>
    <w:p w14:paraId="6BCE0063" w14:textId="5E3CB3E4" w:rsidR="004B4E35" w:rsidRPr="00405303" w:rsidRDefault="003E5951" w:rsidP="00C15251">
      <w:pPr>
        <w:shd w:val="clear" w:color="auto" w:fill="FFFFFF"/>
        <w:jc w:val="both"/>
        <w:rPr>
          <w:bCs/>
          <w:color w:val="002060"/>
          <w:sz w:val="16"/>
          <w:szCs w:val="16"/>
        </w:rPr>
      </w:pPr>
      <w:r w:rsidRPr="00405303">
        <w:rPr>
          <w:bCs/>
          <w:color w:val="002060"/>
          <w:sz w:val="16"/>
          <w:szCs w:val="16"/>
        </w:rPr>
        <w:t>Только 24 октября 1915 г. комиссия Петроградского порта приняла в казну первый из заказанных аэропланов, а именно "Альбатрос" тип А.2 М.Л.217. С мотором "Санбим" 150 л.с. и пилотом компании А. Налетовым за штурвалом он достиг высоты 500 м за 11,5 минут, при нагрузке в 360 кг (летчик, пассажир, топливо, масло и дополнитель</w:t>
      </w:r>
      <w:r w:rsidRPr="00405303">
        <w:rPr>
          <w:bCs/>
          <w:color w:val="002060"/>
          <w:sz w:val="16"/>
          <w:szCs w:val="16"/>
        </w:rPr>
        <w:softHyphen/>
        <w:t>ный вес). Через год и 4 дня, 28 октября 1916 г. второй самолет серии, "Альбатрос" тип А.2 М.Л.218, осмотрели на земле — как устаревший и из-за ранних холодов. Он все же был зачислен в списки аппаратов морской авиации, отличаясь от своего предшественника лишь малым — боковыми 18-секционными радиаторами типа "Хазет" германской конст</w:t>
      </w:r>
      <w:r w:rsidRPr="00405303">
        <w:rPr>
          <w:bCs/>
          <w:color w:val="002060"/>
          <w:sz w:val="16"/>
          <w:szCs w:val="16"/>
        </w:rPr>
        <w:softHyphen/>
        <w:t>рукции, которые производились компанией Лебедева и широко применялись на ее маши</w:t>
      </w:r>
      <w:r w:rsidRPr="00405303">
        <w:rPr>
          <w:bCs/>
          <w:color w:val="002060"/>
          <w:sz w:val="16"/>
          <w:szCs w:val="16"/>
        </w:rPr>
        <w:softHyphen/>
        <w:t>нах. Морское ведомство было вынуждено уплатить 630 руб. сверх установленной суммы за это непрошенное усовершенствование, в то время как основной спор разгорелся по дру</w:t>
      </w:r>
      <w:r w:rsidRPr="00405303">
        <w:rPr>
          <w:bCs/>
          <w:color w:val="002060"/>
          <w:sz w:val="16"/>
          <w:szCs w:val="16"/>
        </w:rPr>
        <w:softHyphen/>
        <w:t>гому поводу. Руководство завода утверждало, что аэроплан с заводским номером 218 был собран в сентябре 1915 г. и тогда же испытан подпоручиком Карпюком, военным летчиком, прикомандированным к фирме. Затем, по словам того же начальства, поплавки заменили лыжами по причине нежданной зимы, но флотская приемная комиссия так и не собралась и тогда компания решила продать аппарат Военному ведомству</w:t>
      </w:r>
      <w:r w:rsidR="009E6F82" w:rsidRPr="00405303">
        <w:rPr>
          <w:bCs/>
          <w:color w:val="002060"/>
          <w:sz w:val="16"/>
          <w:szCs w:val="16"/>
        </w:rPr>
        <w:t xml:space="preserve"> (2843).</w:t>
      </w:r>
    </w:p>
    <w:p w14:paraId="58F1BC8A" w14:textId="77777777" w:rsidR="004B4E35" w:rsidRPr="00405303" w:rsidRDefault="004B4E35" w:rsidP="00C15251">
      <w:pPr>
        <w:shd w:val="clear" w:color="auto" w:fill="FFFFFF"/>
        <w:jc w:val="both"/>
        <w:rPr>
          <w:bCs/>
          <w:color w:val="002060"/>
          <w:sz w:val="16"/>
          <w:szCs w:val="16"/>
        </w:rPr>
      </w:pPr>
    </w:p>
    <w:p w14:paraId="4CDAED9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конце 1915 года п ходе первых испыта</w:t>
      </w:r>
      <w:r w:rsidRPr="00405303">
        <w:rPr>
          <w:bCs/>
          <w:color w:val="002060"/>
          <w:sz w:val="16"/>
          <w:szCs w:val="16"/>
        </w:rPr>
        <w:softHyphen/>
        <w:t>ний «Анаде» («Анаде-Д», «Анаде-Декан», «Декан») обна</w:t>
      </w:r>
      <w:r w:rsidRPr="00405303">
        <w:rPr>
          <w:bCs/>
          <w:color w:val="002060"/>
          <w:sz w:val="16"/>
          <w:szCs w:val="16"/>
        </w:rPr>
        <w:softHyphen/>
        <w:t>ружилась неустойчивость в продольном и поперечном направлениях. Эталонный экземпляр утвердили после ряда доработок, сводивших</w:t>
      </w:r>
      <w:r w:rsidRPr="00405303">
        <w:rPr>
          <w:bCs/>
          <w:color w:val="002060"/>
          <w:sz w:val="16"/>
          <w:szCs w:val="16"/>
        </w:rPr>
        <w:softHyphen/>
        <w:t>ся по существу к достижению более передней центровки. Проектирование самолет завода «Анатра» «Анаде» («Анаде-Д», «Анаде-Декан», «Декан») началось летом 1915 года. Аэро</w:t>
      </w:r>
      <w:r w:rsidRPr="00405303">
        <w:rPr>
          <w:bCs/>
          <w:color w:val="002060"/>
          <w:sz w:val="16"/>
          <w:szCs w:val="16"/>
        </w:rPr>
        <w:softHyphen/>
        <w:t>план представлял собой двухстоечный биплан с дви</w:t>
      </w:r>
      <w:r w:rsidRPr="00405303">
        <w:rPr>
          <w:bCs/>
          <w:color w:val="002060"/>
          <w:sz w:val="16"/>
          <w:szCs w:val="16"/>
        </w:rPr>
        <w:softHyphen/>
        <w:t>гателем «Гном-Моносупап» в 100 л.с. На некоторых самолетах ставился двигатель «Клерже» мощностью 110 л.с. В этом случае самолет назывался «Анакле» или «Анаклер». Конструкция самолета была простой и рациональ</w:t>
      </w:r>
      <w:r w:rsidRPr="00405303">
        <w:rPr>
          <w:bCs/>
          <w:color w:val="002060"/>
          <w:sz w:val="16"/>
          <w:szCs w:val="16"/>
        </w:rPr>
        <w:softHyphen/>
        <w:t>ной. Расчалочный фюзеляж — четырехгранного сечения, слегка округленный по вер</w:t>
      </w:r>
      <w:r w:rsidRPr="00405303">
        <w:rPr>
          <w:bCs/>
          <w:color w:val="002060"/>
          <w:sz w:val="16"/>
          <w:szCs w:val="16"/>
        </w:rPr>
        <w:softHyphen/>
        <w:t>ху. Передняя часть обшита фанерой, а задняя — полот</w:t>
      </w:r>
      <w:r w:rsidRPr="00405303">
        <w:rPr>
          <w:bCs/>
          <w:color w:val="002060"/>
          <w:sz w:val="16"/>
          <w:szCs w:val="16"/>
        </w:rPr>
        <w:softHyphen/>
        <w:t>ном. Крылья нормальные двухлонжеронные. Бензобак, на случай прострела, разде</w:t>
      </w:r>
      <w:r w:rsidRPr="00405303">
        <w:rPr>
          <w:bCs/>
          <w:color w:val="002060"/>
          <w:sz w:val="16"/>
          <w:szCs w:val="16"/>
        </w:rPr>
        <w:softHyphen/>
        <w:t>лен на три отсека. Вооруже</w:t>
      </w:r>
      <w:r w:rsidRPr="00405303">
        <w:rPr>
          <w:bCs/>
          <w:color w:val="002060"/>
          <w:sz w:val="16"/>
          <w:szCs w:val="16"/>
        </w:rPr>
        <w:softHyphen/>
        <w:t>ние — пулемет на шкворне</w:t>
      </w:r>
      <w:r w:rsidRPr="00405303">
        <w:rPr>
          <w:bCs/>
          <w:color w:val="002060"/>
          <w:sz w:val="16"/>
          <w:szCs w:val="16"/>
        </w:rPr>
        <w:softHyphen/>
        <w:t>вой установке у наблюдате</w:t>
      </w:r>
      <w:r w:rsidRPr="00405303">
        <w:rPr>
          <w:bCs/>
          <w:color w:val="002060"/>
          <w:sz w:val="16"/>
          <w:szCs w:val="16"/>
        </w:rPr>
        <w:softHyphen/>
        <w:t>ля. Бомбовая нагрузка — 25-30 кг. (553).</w:t>
      </w:r>
    </w:p>
    <w:p w14:paraId="05D9DCE7" w14:textId="77777777" w:rsidR="004B4E35" w:rsidRPr="00405303" w:rsidRDefault="004B4E35" w:rsidP="00C15251">
      <w:pPr>
        <w:shd w:val="clear" w:color="auto" w:fill="FFFFFF"/>
        <w:jc w:val="both"/>
        <w:rPr>
          <w:bCs/>
          <w:color w:val="002060"/>
          <w:sz w:val="16"/>
          <w:szCs w:val="16"/>
        </w:rPr>
      </w:pPr>
    </w:p>
    <w:p w14:paraId="11FC46FD" w14:textId="04507C16"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В конце 1915 г. — начале 1916 г. </w:t>
      </w:r>
      <w:r w:rsidR="003E5951" w:rsidRPr="00405303">
        <w:rPr>
          <w:bCs/>
          <w:color w:val="002060"/>
          <w:sz w:val="16"/>
          <w:szCs w:val="16"/>
        </w:rPr>
        <w:t xml:space="preserve">«Дуксу№ </w:t>
      </w:r>
      <w:r w:rsidRPr="00405303">
        <w:rPr>
          <w:bCs/>
          <w:color w:val="002060"/>
          <w:sz w:val="16"/>
          <w:szCs w:val="16"/>
        </w:rPr>
        <w:t>передали различное оборудование</w:t>
      </w:r>
      <w:r w:rsidR="003E5951" w:rsidRPr="00405303">
        <w:rPr>
          <w:bCs/>
          <w:color w:val="002060"/>
          <w:sz w:val="16"/>
          <w:szCs w:val="16"/>
        </w:rPr>
        <w:t xml:space="preserve"> Червоненского завода</w:t>
      </w:r>
      <w:r w:rsidRPr="00405303">
        <w:rPr>
          <w:bCs/>
          <w:color w:val="002060"/>
          <w:sz w:val="16"/>
          <w:szCs w:val="16"/>
        </w:rPr>
        <w:t>, включая 15 станков, авиама</w:t>
      </w:r>
      <w:r w:rsidRPr="00405303">
        <w:rPr>
          <w:bCs/>
          <w:color w:val="002060"/>
          <w:sz w:val="16"/>
          <w:szCs w:val="16"/>
        </w:rPr>
        <w:softHyphen/>
        <w:t>териалы, готовые изделия и т.п. на сумму 86039 руб. Остатки имущества ликвидатор предприятия П.Т. Замлилый еще длитель</w:t>
      </w:r>
      <w:r w:rsidRPr="00405303">
        <w:rPr>
          <w:bCs/>
          <w:color w:val="002060"/>
          <w:sz w:val="16"/>
          <w:szCs w:val="16"/>
        </w:rPr>
        <w:softHyphen/>
        <w:t>ное время распродавал в розницу. В част</w:t>
      </w:r>
      <w:r w:rsidRPr="00405303">
        <w:rPr>
          <w:bCs/>
          <w:color w:val="002060"/>
          <w:sz w:val="16"/>
          <w:szCs w:val="16"/>
        </w:rPr>
        <w:softHyphen/>
        <w:t>ности, 22 мая 1916 г. он предложил УВВФ приобрести моторы «Мерседес» в 50 л.с. и «Аустро-Даймлер» в 40 л.с., а также различ</w:t>
      </w:r>
      <w:r w:rsidRPr="00405303">
        <w:rPr>
          <w:bCs/>
          <w:color w:val="002060"/>
          <w:sz w:val="16"/>
          <w:szCs w:val="16"/>
        </w:rPr>
        <w:softHyphen/>
        <w:t>ные запчасти к двигателям «Гном» и «Рон». Обращение осталось без ответа. Послед</w:t>
      </w:r>
      <w:r w:rsidRPr="00405303">
        <w:rPr>
          <w:bCs/>
          <w:color w:val="002060"/>
          <w:sz w:val="16"/>
          <w:szCs w:val="16"/>
        </w:rPr>
        <w:softHyphen/>
        <w:t xml:space="preserve">нее упоминание о предприятии Терещенко датировано 18 января 1917 г., когда УВВФ приобрело </w:t>
      </w:r>
      <w:r w:rsidRPr="00405303">
        <w:rPr>
          <w:bCs/>
          <w:i/>
          <w:color w:val="002060"/>
          <w:sz w:val="16"/>
          <w:szCs w:val="16"/>
        </w:rPr>
        <w:t xml:space="preserve">«наличной покупкой» </w:t>
      </w:r>
      <w:r w:rsidRPr="00405303">
        <w:rPr>
          <w:bCs/>
          <w:color w:val="002060"/>
          <w:sz w:val="16"/>
          <w:szCs w:val="16"/>
        </w:rPr>
        <w:t>(то есть, без заключения контракта) из остатков иму</w:t>
      </w:r>
      <w:r w:rsidRPr="00405303">
        <w:rPr>
          <w:bCs/>
          <w:color w:val="002060"/>
          <w:sz w:val="16"/>
          <w:szCs w:val="16"/>
        </w:rPr>
        <w:softHyphen/>
        <w:t>щества Червоннского завода один ком</w:t>
      </w:r>
      <w:r w:rsidRPr="00405303">
        <w:rPr>
          <w:bCs/>
          <w:color w:val="002060"/>
          <w:sz w:val="16"/>
          <w:szCs w:val="16"/>
        </w:rPr>
        <w:softHyphen/>
        <w:t>плект запчастей к «Фарману XVI».</w:t>
      </w:r>
    </w:p>
    <w:p w14:paraId="163C0CD0" w14:textId="77777777" w:rsidR="004B4E35" w:rsidRPr="00405303" w:rsidRDefault="009E6F82" w:rsidP="00C15251">
      <w:pPr>
        <w:jc w:val="both"/>
        <w:rPr>
          <w:bCs/>
          <w:color w:val="002060"/>
          <w:sz w:val="16"/>
          <w:szCs w:val="16"/>
        </w:rPr>
      </w:pPr>
      <w:r w:rsidRPr="00405303">
        <w:rPr>
          <w:bCs/>
          <w:color w:val="002060"/>
          <w:sz w:val="16"/>
          <w:szCs w:val="16"/>
        </w:rPr>
        <w:t>После прихода в Украину советской власти имение Червонное было национали</w:t>
      </w:r>
      <w:r w:rsidRPr="00405303">
        <w:rPr>
          <w:bCs/>
          <w:color w:val="002060"/>
          <w:sz w:val="16"/>
          <w:szCs w:val="16"/>
        </w:rPr>
        <w:softHyphen/>
        <w:t>зировано. О восстановлении там авиацион</w:t>
      </w:r>
      <w:r w:rsidRPr="00405303">
        <w:rPr>
          <w:bCs/>
          <w:color w:val="002060"/>
          <w:sz w:val="16"/>
          <w:szCs w:val="16"/>
        </w:rPr>
        <w:softHyphen/>
        <w:t>ного завода никто не помышлял, хотя сами производственные помещения сохраня</w:t>
      </w:r>
      <w:r w:rsidRPr="00405303">
        <w:rPr>
          <w:bCs/>
          <w:color w:val="002060"/>
          <w:sz w:val="16"/>
          <w:szCs w:val="16"/>
        </w:rPr>
        <w:softHyphen/>
        <w:t>лись довольно долго и были разобраны уже после Второй мировой войны. О судьбе са</w:t>
      </w:r>
      <w:r w:rsidRPr="00405303">
        <w:rPr>
          <w:bCs/>
          <w:color w:val="002060"/>
          <w:sz w:val="16"/>
          <w:szCs w:val="16"/>
        </w:rPr>
        <w:softHyphen/>
        <w:t>мого Терещенко долгие годы на родине ни</w:t>
      </w:r>
      <w:r w:rsidRPr="00405303">
        <w:rPr>
          <w:bCs/>
          <w:color w:val="002060"/>
          <w:sz w:val="16"/>
          <w:szCs w:val="16"/>
        </w:rPr>
        <w:softHyphen/>
        <w:t>чего не знали даже исследователи, зани</w:t>
      </w:r>
      <w:r w:rsidRPr="00405303">
        <w:rPr>
          <w:bCs/>
          <w:color w:val="002060"/>
          <w:sz w:val="16"/>
          <w:szCs w:val="16"/>
        </w:rPr>
        <w:softHyphen/>
        <w:t xml:space="preserve">мавшиеся историей этой семьи. Только несколько лет назад, </w:t>
      </w:r>
      <w:r w:rsidRPr="00405303">
        <w:rPr>
          <w:bCs/>
          <w:i/>
          <w:color w:val="002060"/>
          <w:sz w:val="16"/>
          <w:szCs w:val="16"/>
        </w:rPr>
        <w:t xml:space="preserve">благодаря </w:t>
      </w:r>
      <w:r w:rsidRPr="00405303">
        <w:rPr>
          <w:bCs/>
          <w:color w:val="002060"/>
          <w:sz w:val="16"/>
          <w:szCs w:val="16"/>
        </w:rPr>
        <w:t>усилиям киевского историка В.В. Ковалинского, ста</w:t>
      </w:r>
      <w:r w:rsidRPr="00405303">
        <w:rPr>
          <w:bCs/>
          <w:color w:val="002060"/>
          <w:sz w:val="16"/>
          <w:szCs w:val="16"/>
        </w:rPr>
        <w:softHyphen/>
        <w:t>ло известно, что Федор Федорович эмигри</w:t>
      </w:r>
      <w:r w:rsidRPr="00405303">
        <w:rPr>
          <w:bCs/>
          <w:color w:val="002060"/>
          <w:sz w:val="16"/>
          <w:szCs w:val="16"/>
        </w:rPr>
        <w:softHyphen/>
        <w:t>ровал во Францию и жил в Париже вплоть до своей кончины 30 января 1950 г. (11217).</w:t>
      </w:r>
    </w:p>
    <w:p w14:paraId="18C4442F" w14:textId="77777777" w:rsidR="004B4E35" w:rsidRPr="00405303" w:rsidRDefault="004B4E35" w:rsidP="00C15251">
      <w:pPr>
        <w:jc w:val="both"/>
        <w:rPr>
          <w:bCs/>
          <w:color w:val="002060"/>
          <w:sz w:val="16"/>
          <w:szCs w:val="16"/>
        </w:rPr>
      </w:pPr>
    </w:p>
    <w:p w14:paraId="3C78708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конце 1915 г. двухместные разведчики-бипланы «Ньюпор-ГХ» и «Ньюпор-Х» с мотором «Рон» в 80 л.с. попали в Россию. На «Дуксе» срочно освоили серийное производство. Одноместный вариант — «Ньюпор-Хбис» — строили на заводе с конца 1915 г. (9651).</w:t>
      </w:r>
    </w:p>
    <w:p w14:paraId="7381C062" w14:textId="77777777" w:rsidR="004B4E35" w:rsidRPr="00405303" w:rsidRDefault="004B4E35" w:rsidP="00C15251">
      <w:pPr>
        <w:shd w:val="clear" w:color="auto" w:fill="FFFFFF"/>
        <w:jc w:val="both"/>
        <w:rPr>
          <w:bCs/>
          <w:color w:val="002060"/>
          <w:sz w:val="16"/>
          <w:szCs w:val="16"/>
        </w:rPr>
      </w:pPr>
    </w:p>
    <w:p w14:paraId="53BE6B88" w14:textId="676228B2" w:rsidR="004B4E35" w:rsidRPr="00405303" w:rsidRDefault="003E5951" w:rsidP="00C15251">
      <w:pPr>
        <w:jc w:val="both"/>
        <w:rPr>
          <w:bCs/>
          <w:color w:val="002060"/>
          <w:sz w:val="16"/>
          <w:szCs w:val="16"/>
        </w:rPr>
      </w:pPr>
      <w:r w:rsidRPr="00405303">
        <w:rPr>
          <w:bCs/>
          <w:color w:val="002060"/>
          <w:sz w:val="16"/>
          <w:szCs w:val="16"/>
        </w:rPr>
        <w:t>С</w:t>
      </w:r>
      <w:r w:rsidR="009E6F82" w:rsidRPr="00405303">
        <w:rPr>
          <w:bCs/>
          <w:color w:val="002060"/>
          <w:sz w:val="16"/>
          <w:szCs w:val="16"/>
        </w:rPr>
        <w:t xml:space="preserve"> конца 1915 г. </w:t>
      </w:r>
      <w:r w:rsidRPr="00405303">
        <w:rPr>
          <w:bCs/>
          <w:color w:val="002060"/>
          <w:sz w:val="16"/>
          <w:szCs w:val="16"/>
        </w:rPr>
        <w:t xml:space="preserve">в связи с тем, что из-за близости разрядника радиостанции к бензиновому крану на М-5 существовала реальная угроза возникновения пожара, </w:t>
      </w:r>
      <w:r w:rsidR="009E6F82" w:rsidRPr="00405303">
        <w:rPr>
          <w:bCs/>
          <w:color w:val="002060"/>
          <w:sz w:val="16"/>
          <w:szCs w:val="16"/>
        </w:rPr>
        <w:t>предполагалось закрывать разрядник целлоном. «Поттэ» или «Потте» — полуавтоматический аппарат для воздушной съемки — как маршрутной, так и площадной, с размером кадра 13 х 18 см, фокусным расстоянием 21 см, под кассету пленки на 50 снимков. Изобретатель — подполковник русской армии В. Ф. Потте. Вес камеры около 9 кг. (2807).</w:t>
      </w:r>
    </w:p>
    <w:p w14:paraId="4B302B07" w14:textId="77777777" w:rsidR="004B4E35" w:rsidRPr="00405303" w:rsidRDefault="004B4E35" w:rsidP="00C15251">
      <w:pPr>
        <w:jc w:val="both"/>
        <w:rPr>
          <w:bCs/>
          <w:color w:val="002060"/>
          <w:sz w:val="16"/>
          <w:szCs w:val="16"/>
        </w:rPr>
      </w:pPr>
    </w:p>
    <w:p w14:paraId="11EF9798" w14:textId="3BC01360" w:rsidR="004B4E35" w:rsidRPr="00405303" w:rsidRDefault="009E6F82" w:rsidP="00C15251">
      <w:pPr>
        <w:jc w:val="both"/>
        <w:rPr>
          <w:bCs/>
          <w:color w:val="002060"/>
          <w:sz w:val="16"/>
          <w:szCs w:val="16"/>
        </w:rPr>
      </w:pPr>
      <w:r w:rsidRPr="00405303">
        <w:rPr>
          <w:bCs/>
          <w:color w:val="002060"/>
          <w:sz w:val="16"/>
          <w:szCs w:val="16"/>
        </w:rPr>
        <w:t>В конце 1915г. прототип М-9 покинул завод С. С. Щетинина, чтобы прибыть в отделение Петроградской офицерской школы морских летчиков в Баку, где его испытания успешно прошли в период с 25 декабря по 9 января. Аппарат, толкаемый 135-сильным мотором</w:t>
      </w:r>
      <w:r w:rsidRPr="00405303">
        <w:rPr>
          <w:bCs/>
          <w:color w:val="002060"/>
          <w:sz w:val="16"/>
          <w:szCs w:val="16"/>
          <w:vertAlign w:val="superscript"/>
        </w:rPr>
        <w:t>2</w:t>
      </w:r>
      <w:r w:rsidRPr="00405303">
        <w:rPr>
          <w:bCs/>
          <w:color w:val="002060"/>
          <w:sz w:val="16"/>
          <w:szCs w:val="16"/>
        </w:rPr>
        <w:t xml:space="preserve"> продемонстрировал^</w:t>
      </w:r>
      <w:proofErr w:type="gramStart"/>
      <w:r w:rsidRPr="00405303">
        <w:rPr>
          <w:bCs/>
          <w:color w:val="002060"/>
          <w:sz w:val="16"/>
          <w:szCs w:val="16"/>
        </w:rPr>
        <w:t>заме-чательные</w:t>
      </w:r>
      <w:proofErr w:type="gramEnd"/>
      <w:r w:rsidRPr="00405303">
        <w:rPr>
          <w:bCs/>
          <w:color w:val="002060"/>
          <w:sz w:val="16"/>
          <w:szCs w:val="16"/>
        </w:rPr>
        <w:t xml:space="preserve"> характеристики: полезную нагрузку 450 кг (включая 200-кг запас топлива), скорость НО км/ч, скороподъемность 500м за 6,5 минуты (при нагрузке 425 кг), 500м за 11 минут (при нагрузке 640 кг), 1000 м за 4,5 минуты (при нагрузке около 150 кг), 1000 м за 13 минут (при нагрузке 425 кг), 3350 м за 1 час 25 минут (при нагрузке 425 кг). Итоги опытов содержались в акте специальной комиссии Бакин</w:t>
      </w:r>
      <w:r w:rsidRPr="00405303">
        <w:rPr>
          <w:bCs/>
          <w:color w:val="002060"/>
          <w:sz w:val="16"/>
          <w:szCs w:val="16"/>
        </w:rPr>
        <w:softHyphen/>
        <w:t xml:space="preserve">ского порта от 11 января. По этому документу, летающая лодка легко выходила из воды, при разбеге быстро </w:t>
      </w:r>
      <w:r w:rsidRPr="00405303">
        <w:rPr>
          <w:bCs/>
          <w:color w:val="002060"/>
          <w:sz w:val="16"/>
          <w:szCs w:val="16"/>
        </w:rPr>
        <w:lastRenderedPageBreak/>
        <w:t>поднимала хвост и быстро отрывалась. В полете «совершенно уравновешенный» самолет обла</w:t>
      </w:r>
      <w:r w:rsidRPr="00405303">
        <w:rPr>
          <w:bCs/>
          <w:color w:val="002060"/>
          <w:sz w:val="16"/>
          <w:szCs w:val="16"/>
        </w:rPr>
        <w:softHyphen/>
        <w:t>дал «большой остойчивостью и летучестью», сохранял «устойчивость на вираже» и свободно набирал высоту в полном грузу. Он развивал скорость большую, чем у аппаратов типа ФБА и М-5, и являлся хорошим планером: планировал полого и долго шел, выровненный, над водой, почему садился на отно</w:t>
      </w:r>
      <w:r w:rsidRPr="00405303">
        <w:rPr>
          <w:bCs/>
          <w:color w:val="002060"/>
          <w:sz w:val="16"/>
          <w:szCs w:val="16"/>
        </w:rPr>
        <w:softHyphen/>
        <w:t>сительно малой скорости. Находясь на морской поверхности, он слушался руля, благодаря чему манев</w:t>
      </w:r>
      <w:r w:rsidRPr="00405303">
        <w:rPr>
          <w:bCs/>
          <w:color w:val="002060"/>
          <w:sz w:val="16"/>
          <w:szCs w:val="16"/>
        </w:rPr>
        <w:softHyphen/>
        <w:t>ры не вызывали особого труда (2807).</w:t>
      </w:r>
    </w:p>
    <w:p w14:paraId="2F9752D9" w14:textId="77777777" w:rsidR="004B4E35" w:rsidRPr="00405303" w:rsidRDefault="004B4E35" w:rsidP="00C15251">
      <w:pPr>
        <w:jc w:val="both"/>
        <w:rPr>
          <w:bCs/>
          <w:color w:val="002060"/>
          <w:sz w:val="16"/>
          <w:szCs w:val="16"/>
        </w:rPr>
      </w:pPr>
    </w:p>
    <w:p w14:paraId="5B52244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конце 1915 г. по</w:t>
      </w:r>
      <w:r w:rsidRPr="00405303">
        <w:rPr>
          <w:bCs/>
          <w:color w:val="002060"/>
          <w:sz w:val="16"/>
          <w:szCs w:val="16"/>
        </w:rPr>
        <w:softHyphen/>
        <w:t>строили первый опытный экземпляр М-9. В ходе лет</w:t>
      </w:r>
      <w:r w:rsidRPr="00405303">
        <w:rPr>
          <w:bCs/>
          <w:color w:val="002060"/>
          <w:sz w:val="16"/>
          <w:szCs w:val="16"/>
        </w:rPr>
        <w:softHyphen/>
        <w:t>ных испытаний, проведенных в ян</w:t>
      </w:r>
      <w:r w:rsidRPr="00405303">
        <w:rPr>
          <w:bCs/>
          <w:color w:val="002060"/>
          <w:sz w:val="16"/>
          <w:szCs w:val="16"/>
        </w:rPr>
        <w:softHyphen/>
        <w:t>варе 1916 г. в Баку, самолет показал хорошую мореходность и послуш</w:t>
      </w:r>
      <w:r w:rsidRPr="00405303">
        <w:rPr>
          <w:bCs/>
          <w:color w:val="002060"/>
          <w:sz w:val="16"/>
          <w:szCs w:val="16"/>
        </w:rPr>
        <w:softHyphen/>
        <w:t>ность управления, свободно преодо</w:t>
      </w:r>
      <w:r w:rsidRPr="00405303">
        <w:rPr>
          <w:bCs/>
          <w:color w:val="002060"/>
          <w:sz w:val="16"/>
          <w:szCs w:val="16"/>
        </w:rPr>
        <w:softHyphen/>
        <w:t>левал волну высотой 0,5 метра, легко отрывался от воды. В полете показал высокую устойчивость и мягкость уп</w:t>
      </w:r>
      <w:r w:rsidRPr="00405303">
        <w:rPr>
          <w:bCs/>
          <w:color w:val="002060"/>
          <w:sz w:val="16"/>
          <w:szCs w:val="16"/>
        </w:rPr>
        <w:softHyphen/>
        <w:t>равления на виражах (11107).</w:t>
      </w:r>
    </w:p>
    <w:p w14:paraId="794587C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Серьезным недостатком М-9 оказалось большое лобо</w:t>
      </w:r>
      <w:r w:rsidRPr="00405303">
        <w:rPr>
          <w:bCs/>
          <w:color w:val="002060"/>
          <w:sz w:val="16"/>
          <w:szCs w:val="16"/>
        </w:rPr>
        <w:softHyphen/>
        <w:t>вое сопротивление двигателя «Сальмсон», радиаторов охлаждения и других деталей мотоустановки, не позволя</w:t>
      </w:r>
      <w:r w:rsidRPr="00405303">
        <w:rPr>
          <w:bCs/>
          <w:color w:val="002060"/>
          <w:sz w:val="16"/>
          <w:szCs w:val="16"/>
        </w:rPr>
        <w:softHyphen/>
        <w:t>ющих рассчитывать на значительное увеличение полет</w:t>
      </w:r>
      <w:r w:rsidRPr="00405303">
        <w:rPr>
          <w:bCs/>
          <w:color w:val="002060"/>
          <w:sz w:val="16"/>
          <w:szCs w:val="16"/>
        </w:rPr>
        <w:softHyphen/>
        <w:t>ной скорости. Новые машины развивали 110 км/ч, а по</w:t>
      </w:r>
      <w:r w:rsidRPr="00405303">
        <w:rPr>
          <w:bCs/>
          <w:color w:val="002060"/>
          <w:sz w:val="16"/>
          <w:szCs w:val="16"/>
        </w:rPr>
        <w:softHyphen/>
        <w:t>бывавшие в эксплуатации и с изношенными двигателями - меньше 100 км/ч. Это обстоятельство мешало в ходе войны бороться с немецкими поплавковыми «Альбатро</w:t>
      </w:r>
      <w:r w:rsidRPr="00405303">
        <w:rPr>
          <w:bCs/>
          <w:color w:val="002060"/>
          <w:sz w:val="16"/>
          <w:szCs w:val="16"/>
        </w:rPr>
        <w:softHyphen/>
        <w:t>сами» (русские летчики называли их «жуки»), имеющими скорость 150-160 км/час. Кроме того, М-9 не имели задне</w:t>
      </w:r>
      <w:r w:rsidRPr="00405303">
        <w:rPr>
          <w:bCs/>
          <w:color w:val="002060"/>
          <w:sz w:val="16"/>
          <w:szCs w:val="16"/>
        </w:rPr>
        <w:softHyphen/>
        <w:t>го оборонительного пулемета, и поэтому в 1917 г. на Бал</w:t>
      </w:r>
      <w:r w:rsidRPr="00405303">
        <w:rPr>
          <w:bCs/>
          <w:color w:val="002060"/>
          <w:sz w:val="16"/>
          <w:szCs w:val="16"/>
        </w:rPr>
        <w:softHyphen/>
        <w:t>тике им приходилось летать в сопровождении сухопут</w:t>
      </w:r>
      <w:r w:rsidRPr="00405303">
        <w:rPr>
          <w:bCs/>
          <w:color w:val="002060"/>
          <w:sz w:val="16"/>
          <w:szCs w:val="16"/>
        </w:rPr>
        <w:softHyphen/>
        <w:t>ных истребителей «Ньюпор» (11107).</w:t>
      </w:r>
    </w:p>
    <w:p w14:paraId="7B77105E" w14:textId="77777777" w:rsidR="004B4E35" w:rsidRPr="00405303" w:rsidRDefault="004B4E35" w:rsidP="00C15251">
      <w:pPr>
        <w:shd w:val="clear" w:color="auto" w:fill="FFFFFF"/>
        <w:jc w:val="both"/>
        <w:rPr>
          <w:bCs/>
          <w:color w:val="002060"/>
          <w:sz w:val="16"/>
          <w:szCs w:val="16"/>
        </w:rPr>
      </w:pPr>
    </w:p>
    <w:p w14:paraId="21BBEB26" w14:textId="77777777" w:rsidR="004B4E35" w:rsidRPr="00405303" w:rsidRDefault="009E6F82" w:rsidP="00C15251">
      <w:pPr>
        <w:jc w:val="both"/>
        <w:rPr>
          <w:bCs/>
          <w:color w:val="002060"/>
          <w:sz w:val="16"/>
          <w:szCs w:val="16"/>
        </w:rPr>
      </w:pPr>
      <w:r w:rsidRPr="00405303">
        <w:rPr>
          <w:bCs/>
          <w:color w:val="002060"/>
          <w:sz w:val="16"/>
          <w:szCs w:val="16"/>
        </w:rPr>
        <w:t>В конце 1915 на заводе С.С.Щетинина был подготовлен прототип М-9 Д.П.Г. и направлен в Баку в Петроградскую офицерскую школу морских летчиков (2809,1).</w:t>
      </w:r>
    </w:p>
    <w:p w14:paraId="4138D42A" w14:textId="77777777" w:rsidR="004B4E35" w:rsidRPr="00405303" w:rsidRDefault="004B4E35" w:rsidP="00C15251">
      <w:pPr>
        <w:jc w:val="both"/>
        <w:rPr>
          <w:bCs/>
          <w:color w:val="002060"/>
          <w:sz w:val="16"/>
          <w:szCs w:val="16"/>
        </w:rPr>
      </w:pPr>
    </w:p>
    <w:p w14:paraId="3C303469" w14:textId="0130F203" w:rsidR="004B4E35" w:rsidRPr="00405303" w:rsidRDefault="003E5951"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конце 1915 г.,</w:t>
      </w:r>
      <w:r w:rsidRPr="00405303">
        <w:rPr>
          <w:bCs/>
          <w:color w:val="002060"/>
          <w:sz w:val="16"/>
          <w:szCs w:val="16"/>
        </w:rPr>
        <w:t xml:space="preserve"> собрали прототип М-10 - специальную учебную одномоторную двухместную летающую лодку — двухстоечный биплан под мотор «Гном-Моносупап» 100 л. с., с меньшими по сравнению с М-5 размерами и отсутствие элеронов,</w:t>
      </w:r>
      <w:r w:rsidR="009E6F82" w:rsidRPr="00405303">
        <w:rPr>
          <w:bCs/>
          <w:color w:val="002060"/>
          <w:sz w:val="16"/>
          <w:szCs w:val="16"/>
        </w:rPr>
        <w:t xml:space="preserve"> а затем доставили в Баку, где он подверг</w:t>
      </w:r>
      <w:r w:rsidR="009E6F82" w:rsidRPr="00405303">
        <w:rPr>
          <w:bCs/>
          <w:color w:val="002060"/>
          <w:sz w:val="16"/>
          <w:szCs w:val="16"/>
        </w:rPr>
        <w:softHyphen/>
        <w:t>ся испытаниям одновременно с головной «девят</w:t>
      </w:r>
      <w:r w:rsidR="009E6F82" w:rsidRPr="00405303">
        <w:rPr>
          <w:bCs/>
          <w:color w:val="002060"/>
          <w:sz w:val="16"/>
          <w:szCs w:val="16"/>
        </w:rPr>
        <w:softHyphen/>
        <w:t>кой». Одиннадцатого января 1916г. комиссия Ба</w:t>
      </w:r>
      <w:r w:rsidR="009E6F82" w:rsidRPr="00405303">
        <w:rPr>
          <w:bCs/>
          <w:color w:val="002060"/>
          <w:sz w:val="16"/>
          <w:szCs w:val="16"/>
        </w:rPr>
        <w:softHyphen/>
        <w:t>кинского порта подписала отчет об опытах, в ко</w:t>
      </w:r>
      <w:r w:rsidR="009E6F82" w:rsidRPr="00405303">
        <w:rPr>
          <w:bCs/>
          <w:color w:val="002060"/>
          <w:sz w:val="16"/>
          <w:szCs w:val="16"/>
        </w:rPr>
        <w:softHyphen/>
        <w:t>тором констатировала неутешительный факт: гид</w:t>
      </w:r>
      <w:r w:rsidR="009E6F82" w:rsidRPr="00405303">
        <w:rPr>
          <w:bCs/>
          <w:color w:val="002060"/>
          <w:sz w:val="16"/>
          <w:szCs w:val="16"/>
        </w:rPr>
        <w:softHyphen/>
        <w:t>роаэроплан проявил себя неудовлетворительно. С полезной нагрузкой 300 кг он достиг высоты 500 м за 7 минут, причем его разбег оказался не</w:t>
      </w:r>
      <w:r w:rsidR="009E6F82" w:rsidRPr="00405303">
        <w:rPr>
          <w:bCs/>
          <w:color w:val="002060"/>
          <w:sz w:val="16"/>
          <w:szCs w:val="16"/>
        </w:rPr>
        <w:softHyphen/>
        <w:t>сколько большим, чем у лодок типа М-5 или ФБА, как, впрочем, и взлетная скорость. В воздухе ма</w:t>
      </w:r>
      <w:r w:rsidR="009E6F82" w:rsidRPr="00405303">
        <w:rPr>
          <w:bCs/>
          <w:color w:val="002060"/>
          <w:sz w:val="16"/>
          <w:szCs w:val="16"/>
        </w:rPr>
        <w:softHyphen/>
        <w:t>шина развила «достаточный ход», но при этом от</w:t>
      </w:r>
      <w:r w:rsidR="009E6F82" w:rsidRPr="00405303">
        <w:rPr>
          <w:bCs/>
          <w:color w:val="002060"/>
          <w:sz w:val="16"/>
          <w:szCs w:val="16"/>
        </w:rPr>
        <w:softHyphen/>
        <w:t>мечалась малая поперечная устойчивость; управление рулем глубины осуществлялось легко, чего нельзя было сказать о контроле за ру</w:t>
      </w:r>
      <w:r w:rsidR="009E6F82" w:rsidRPr="00405303">
        <w:rPr>
          <w:bCs/>
          <w:color w:val="002060"/>
          <w:sz w:val="16"/>
          <w:szCs w:val="16"/>
        </w:rPr>
        <w:softHyphen/>
        <w:t>лем направления, требовавшим значитель</w:t>
      </w:r>
      <w:r w:rsidR="009E6F82" w:rsidRPr="00405303">
        <w:rPr>
          <w:bCs/>
          <w:color w:val="002060"/>
          <w:sz w:val="16"/>
          <w:szCs w:val="16"/>
        </w:rPr>
        <w:softHyphen/>
        <w:t>ного усилия правой ноги даже при левом ви</w:t>
      </w:r>
      <w:r w:rsidR="009E6F82" w:rsidRPr="00405303">
        <w:rPr>
          <w:bCs/>
          <w:color w:val="002060"/>
          <w:sz w:val="16"/>
          <w:szCs w:val="16"/>
        </w:rPr>
        <w:softHyphen/>
        <w:t>раже. Последний дефект объяснялся, по всей видимости, негативным влиянием гироско</w:t>
      </w:r>
      <w:r w:rsidR="009E6F82" w:rsidRPr="00405303">
        <w:rPr>
          <w:bCs/>
          <w:color w:val="002060"/>
          <w:sz w:val="16"/>
          <w:szCs w:val="16"/>
        </w:rPr>
        <w:softHyphen/>
        <w:t>пического эффекта ротативного мотора, так как при планировании руль становился урав</w:t>
      </w:r>
      <w:r w:rsidR="009E6F82" w:rsidRPr="00405303">
        <w:rPr>
          <w:bCs/>
          <w:color w:val="002060"/>
          <w:sz w:val="16"/>
          <w:szCs w:val="16"/>
        </w:rPr>
        <w:softHyphen/>
        <w:t>новешенным. Аппарат планировал нормаль</w:t>
      </w:r>
      <w:r w:rsidR="009E6F82" w:rsidRPr="00405303">
        <w:rPr>
          <w:bCs/>
          <w:color w:val="002060"/>
          <w:sz w:val="16"/>
          <w:szCs w:val="16"/>
        </w:rPr>
        <w:softHyphen/>
        <w:t>но, однако при увеличении угла снижения резко повышалась скорость. Посадка все</w:t>
      </w:r>
      <w:r w:rsidR="009E6F82" w:rsidRPr="00405303">
        <w:rPr>
          <w:bCs/>
          <w:color w:val="002060"/>
          <w:sz w:val="16"/>
          <w:szCs w:val="16"/>
        </w:rPr>
        <w:softHyphen/>
        <w:t>гда проходила на относительно большой скорости и, в придачу, лодка на воде плохо поддавалась контролю, а при рулировании и взлете с волны сильно заливалась.</w:t>
      </w:r>
    </w:p>
    <w:p w14:paraId="2057823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Все вышеизложенное явилось своего рода приговором, и все работы над моделью прекратили. Аэроплан, стоивший 11 тыс. руб., достался школе, где он находился позабы</w:t>
      </w:r>
      <w:r w:rsidRPr="00405303">
        <w:rPr>
          <w:bCs/>
          <w:color w:val="002060"/>
          <w:sz w:val="16"/>
          <w:szCs w:val="16"/>
        </w:rPr>
        <w:softHyphen/>
        <w:t>тым до начала февраля, когда его снова со</w:t>
      </w:r>
      <w:r w:rsidRPr="00405303">
        <w:rPr>
          <w:bCs/>
          <w:color w:val="002060"/>
          <w:sz w:val="16"/>
          <w:szCs w:val="16"/>
        </w:rPr>
        <w:softHyphen/>
        <w:t>брали и 12-го числа присвоили номер 14. Еще через несколько дней мотор с машины сняли, дабы установить на другой аппарат, и на том карьера М-10 закончилась, но не совсем — спустя несколько месяцев самолет (скорее, его корпус) использовали при создании пер</w:t>
      </w:r>
      <w:r w:rsidRPr="00405303">
        <w:rPr>
          <w:bCs/>
          <w:color w:val="002060"/>
          <w:sz w:val="16"/>
          <w:szCs w:val="16"/>
        </w:rPr>
        <w:softHyphen/>
        <w:t>вого прототипа лодочного истребителя системы штабс-капитана Е. Р. Энгельса (см. том 2). Никакого контракта на строитель</w:t>
      </w:r>
      <w:r w:rsidRPr="00405303">
        <w:rPr>
          <w:bCs/>
          <w:color w:val="002060"/>
          <w:sz w:val="16"/>
          <w:szCs w:val="16"/>
        </w:rPr>
        <w:softHyphen/>
        <w:t>ство или покупку аппарата А. Н. Седельни-кова Морское ведомство и ПРТВ не заклю</w:t>
      </w:r>
      <w:r w:rsidRPr="00405303">
        <w:rPr>
          <w:bCs/>
          <w:color w:val="002060"/>
          <w:sz w:val="16"/>
          <w:szCs w:val="16"/>
        </w:rPr>
        <w:softHyphen/>
        <w:t>чало (2807).</w:t>
      </w:r>
    </w:p>
    <w:p w14:paraId="582BBBFE" w14:textId="77777777" w:rsidR="004B4E35" w:rsidRPr="00405303" w:rsidRDefault="004B4E35" w:rsidP="00C15251">
      <w:pPr>
        <w:shd w:val="clear" w:color="auto" w:fill="FFFFFF"/>
        <w:jc w:val="both"/>
        <w:rPr>
          <w:bCs/>
          <w:color w:val="002060"/>
          <w:sz w:val="16"/>
          <w:szCs w:val="16"/>
        </w:rPr>
      </w:pPr>
    </w:p>
    <w:p w14:paraId="20D7DFB5" w14:textId="77777777" w:rsidR="004B4E35" w:rsidRPr="00405303" w:rsidRDefault="009E6F82" w:rsidP="00C15251">
      <w:pPr>
        <w:jc w:val="both"/>
        <w:rPr>
          <w:bCs/>
          <w:color w:val="002060"/>
          <w:sz w:val="16"/>
          <w:szCs w:val="16"/>
        </w:rPr>
      </w:pPr>
      <w:r w:rsidRPr="00405303">
        <w:rPr>
          <w:bCs/>
          <w:color w:val="002060"/>
          <w:sz w:val="16"/>
          <w:szCs w:val="16"/>
        </w:rPr>
        <w:t>В конце 1915 на ПРТВ А.Н.Седельников создал специальную учебную морскую лл под Гном-Моносупан 100 нр, меньшими, чем у М-5 размерами. Потом доставили в Баку и испытывали одновременно с М-9 (2807,52).</w:t>
      </w:r>
    </w:p>
    <w:p w14:paraId="14ADF3D4" w14:textId="77777777" w:rsidR="004B4E35" w:rsidRPr="00405303" w:rsidRDefault="004B4E35" w:rsidP="00C15251">
      <w:pPr>
        <w:jc w:val="both"/>
        <w:rPr>
          <w:bCs/>
          <w:color w:val="002060"/>
          <w:sz w:val="16"/>
          <w:szCs w:val="16"/>
        </w:rPr>
      </w:pPr>
    </w:p>
    <w:p w14:paraId="706FD405" w14:textId="0CF26DDA" w:rsidR="004B4E35" w:rsidRPr="00405303" w:rsidRDefault="003E5951" w:rsidP="00C15251">
      <w:pPr>
        <w:shd w:val="clear" w:color="auto" w:fill="FFFFFF"/>
        <w:jc w:val="both"/>
        <w:rPr>
          <w:bCs/>
          <w:color w:val="002060"/>
          <w:sz w:val="16"/>
          <w:szCs w:val="16"/>
        </w:rPr>
      </w:pPr>
      <w:r w:rsidRPr="00405303">
        <w:rPr>
          <w:bCs/>
          <w:color w:val="002060"/>
          <w:sz w:val="16"/>
          <w:szCs w:val="16"/>
        </w:rPr>
        <w:t>С</w:t>
      </w:r>
      <w:r w:rsidR="009E6F82" w:rsidRPr="00405303">
        <w:rPr>
          <w:bCs/>
          <w:color w:val="002060"/>
          <w:sz w:val="16"/>
          <w:szCs w:val="16"/>
        </w:rPr>
        <w:t xml:space="preserve"> конца 1915 г. или начала 1916 г. по какой-то причине руководство морской авиации не строило больших планов в отношении </w:t>
      </w:r>
      <w:r w:rsidRPr="00405303">
        <w:rPr>
          <w:bCs/>
          <w:color w:val="002060"/>
          <w:sz w:val="16"/>
          <w:szCs w:val="16"/>
        </w:rPr>
        <w:t>МК</w:t>
      </w:r>
      <w:r w:rsidR="009E6F82" w:rsidRPr="00405303">
        <w:rPr>
          <w:bCs/>
          <w:color w:val="002060"/>
          <w:sz w:val="16"/>
          <w:szCs w:val="16"/>
        </w:rPr>
        <w:t>, а потому произ</w:t>
      </w:r>
      <w:r w:rsidR="009E6F82" w:rsidRPr="00405303">
        <w:rPr>
          <w:bCs/>
          <w:color w:val="002060"/>
          <w:sz w:val="16"/>
          <w:szCs w:val="16"/>
        </w:rPr>
        <w:softHyphen/>
        <w:t>водитель в своей работе над ней не получал от флота должной моральной и материальной поддержки. На упоминавшемся в предыдущей главе совещании 20 сентября 1916г. заседавшие констатировали:</w:t>
      </w:r>
    </w:p>
    <w:p w14:paraId="0D25B30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«&lt;...&gt; Морской самолет большой, грузоподъемность 1500-1750 килограммов (речь шла о ГАСН. —А. А.), должен быть снабжен специальными приспособлениями по указаниям Мор</w:t>
      </w:r>
      <w:r w:rsidRPr="00405303">
        <w:rPr>
          <w:bCs/>
          <w:color w:val="002060"/>
          <w:sz w:val="16"/>
          <w:szCs w:val="16"/>
        </w:rPr>
        <w:softHyphen/>
        <w:t>ского ведомства. Аппарат переходного типа к большому, в настоящее время разрабатывается заводом Щетинина, но на него нельзя возлагать надежд. &lt;...»&gt; (2807).</w:t>
      </w:r>
    </w:p>
    <w:p w14:paraId="7A5142D8" w14:textId="77777777" w:rsidR="004B4E35" w:rsidRPr="00405303" w:rsidRDefault="004B4E35" w:rsidP="00C15251">
      <w:pPr>
        <w:shd w:val="clear" w:color="auto" w:fill="FFFFFF"/>
        <w:jc w:val="both"/>
        <w:rPr>
          <w:bCs/>
          <w:color w:val="002060"/>
          <w:sz w:val="16"/>
          <w:szCs w:val="16"/>
        </w:rPr>
      </w:pPr>
    </w:p>
    <w:p w14:paraId="1A7E409F" w14:textId="1509C3DE" w:rsidR="004B4E35" w:rsidRPr="00405303" w:rsidRDefault="003E5951"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последние месяцы 1915 г. </w:t>
      </w:r>
      <w:r w:rsidRPr="00405303">
        <w:rPr>
          <w:bCs/>
          <w:color w:val="002060"/>
          <w:sz w:val="16"/>
          <w:szCs w:val="16"/>
        </w:rPr>
        <w:t xml:space="preserve">после относительно удачных опытов с летающей лодкой Виллиша ВМ-1 постройки завода Эбергарда, Авиационный комитет Балтийского флота рекомендовал дать конструктору новый заказ, теперь на аэроплан больших размеров и со стационарным мотором мощностью 150 л.с. Летчики, вероятно, предполагали, что такая машина могла стать соперницей новым моделям Щетинина и кертиссовскому типу К, готовившимся к испытаниям. </w:t>
      </w:r>
      <w:r w:rsidR="009E6F82" w:rsidRPr="00405303">
        <w:rPr>
          <w:bCs/>
          <w:color w:val="002060"/>
          <w:sz w:val="16"/>
          <w:szCs w:val="16"/>
        </w:rPr>
        <w:t>Было также замечено, что изменяемый в полете угол атаки коробки крыльев и тянущий пропеллер расположенного сзади двигателя — не нужны, тогда как от аппа</w:t>
      </w:r>
      <w:r w:rsidR="009E6F82" w:rsidRPr="00405303">
        <w:rPr>
          <w:bCs/>
          <w:color w:val="002060"/>
          <w:sz w:val="16"/>
          <w:szCs w:val="16"/>
        </w:rPr>
        <w:softHyphen/>
        <w:t>рата требовалось развивать скорость не менее 120 км/ч, нести нагрузку 450 кг, подниматься на высоту 2000 м максимум за 40 минут и оставаться в воздухе в течение 5 часов. Он был бы достаточно мореходным и способным на многофункциональное использование, а его стрелковая или стрелковые установки обладали бы хорошим сектором обстрела (2843).</w:t>
      </w:r>
    </w:p>
    <w:p w14:paraId="7881D9D1" w14:textId="77777777" w:rsidR="004B4E35" w:rsidRPr="00405303" w:rsidRDefault="004B4E35" w:rsidP="00C15251">
      <w:pPr>
        <w:jc w:val="both"/>
        <w:rPr>
          <w:bCs/>
          <w:color w:val="002060"/>
          <w:sz w:val="16"/>
          <w:szCs w:val="16"/>
        </w:rPr>
      </w:pPr>
    </w:p>
    <w:p w14:paraId="288E20C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конце 1915 года Петроградский торговый дом «Плюйм-Окс», представлявший интересы фирмы «Кертисс», был уведомлен Морским ведомством о снятии с себя ответственности за случившееся, а также о согласии послать в Нью-Йорк компетентного чиновника для заключения нового контракта. Доставленные в Ревель 14 аппара</w:t>
      </w:r>
      <w:r w:rsidRPr="00405303">
        <w:rPr>
          <w:bCs/>
          <w:color w:val="002060"/>
          <w:sz w:val="16"/>
          <w:szCs w:val="16"/>
        </w:rPr>
        <w:softHyphen/>
        <w:t>тов «Кертисс-К», но без технической документации, оказа</w:t>
      </w:r>
      <w:r w:rsidRPr="00405303">
        <w:rPr>
          <w:bCs/>
          <w:color w:val="002060"/>
          <w:sz w:val="16"/>
          <w:szCs w:val="16"/>
        </w:rPr>
        <w:softHyphen/>
        <w:t>лись мертвым грузом. Поскольку приезд туда американских специалистов не со</w:t>
      </w:r>
      <w:r w:rsidRPr="00405303">
        <w:rPr>
          <w:bCs/>
          <w:color w:val="002060"/>
          <w:sz w:val="16"/>
          <w:szCs w:val="16"/>
        </w:rPr>
        <w:softHyphen/>
        <w:t>стоялся, груз хранился в транспортировочнои укупорке до кон</w:t>
      </w:r>
      <w:r w:rsidRPr="00405303">
        <w:rPr>
          <w:bCs/>
          <w:color w:val="002060"/>
          <w:sz w:val="16"/>
          <w:szCs w:val="16"/>
        </w:rPr>
        <w:softHyphen/>
        <w:t>ца года. Это вызвало нарекания и обвинения в безответствен</w:t>
      </w:r>
      <w:r w:rsidRPr="00405303">
        <w:rPr>
          <w:bCs/>
          <w:color w:val="002060"/>
          <w:sz w:val="16"/>
          <w:szCs w:val="16"/>
        </w:rPr>
        <w:softHyphen/>
        <w:t>ном отношении к обязательствам (11283).</w:t>
      </w:r>
    </w:p>
    <w:p w14:paraId="6F8B99CD" w14:textId="77777777" w:rsidR="004B4E35" w:rsidRPr="00405303" w:rsidRDefault="004B4E35" w:rsidP="00C15251">
      <w:pPr>
        <w:shd w:val="clear" w:color="auto" w:fill="FFFFFF"/>
        <w:jc w:val="both"/>
        <w:rPr>
          <w:bCs/>
          <w:color w:val="002060"/>
          <w:sz w:val="16"/>
          <w:szCs w:val="16"/>
        </w:rPr>
      </w:pPr>
    </w:p>
    <w:p w14:paraId="599839D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 концу 1915 г. удалось освоить производство двигателей «Сальмсон» в России, однако, к этому времени аппарат «Вуазен», популярный в войсках в начале года, успел уже устареть. Только в середине 1916 г., когда завод «Дукс» начал строить аппараты «Фарман-27» и «-30», двигатели «Сальмсон» вновь могли быть эффективно использо</w:t>
      </w:r>
      <w:r w:rsidRPr="00405303">
        <w:rPr>
          <w:bCs/>
          <w:color w:val="002060"/>
          <w:sz w:val="16"/>
          <w:szCs w:val="16"/>
        </w:rPr>
        <w:softHyphen/>
        <w:t>ваны (9705,115).</w:t>
      </w:r>
    </w:p>
    <w:p w14:paraId="3FEEF9F1" w14:textId="77777777" w:rsidR="004B4E35" w:rsidRPr="00405303" w:rsidRDefault="004B4E35" w:rsidP="00C15251">
      <w:pPr>
        <w:shd w:val="clear" w:color="auto" w:fill="FFFFFF"/>
        <w:jc w:val="both"/>
        <w:rPr>
          <w:bCs/>
          <w:color w:val="002060"/>
          <w:sz w:val="16"/>
          <w:szCs w:val="16"/>
        </w:rPr>
      </w:pPr>
    </w:p>
    <w:p w14:paraId="4DF7656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 концу 1915 г. в Москве были построены мастерские для сборки из деталей, изготовленных за границей, девятицилиндро</w:t>
      </w:r>
      <w:r w:rsidRPr="00405303">
        <w:rPr>
          <w:bCs/>
          <w:color w:val="002060"/>
          <w:sz w:val="16"/>
          <w:szCs w:val="16"/>
        </w:rPr>
        <w:softHyphen/>
        <w:t>вых звездообразных двигателей жидкостного охлаждения француз</w:t>
      </w:r>
      <w:r w:rsidRPr="00405303">
        <w:rPr>
          <w:bCs/>
          <w:color w:val="002060"/>
          <w:sz w:val="16"/>
          <w:szCs w:val="16"/>
        </w:rPr>
        <w:softHyphen/>
        <w:t>ской фирмы «Сальмсон» мощностью 130 л.с. Этот двигатель, что немаловажно, имел 1900 об/мин. Производительность мастерских удалось довести до 50 двигателей в месяц (1085).</w:t>
      </w:r>
    </w:p>
    <w:p w14:paraId="26FAB60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Несмотря на принимаемые меры, создание заводов и мастер</w:t>
      </w:r>
      <w:r w:rsidRPr="00405303">
        <w:rPr>
          <w:bCs/>
          <w:color w:val="002060"/>
          <w:sz w:val="16"/>
          <w:szCs w:val="16"/>
        </w:rPr>
        <w:softHyphen/>
        <w:t>ских, в России производилось не более 1300—1400 двигателей в год, что в свою очередь тормозило развитие авиации. С загранич</w:t>
      </w:r>
      <w:r w:rsidRPr="00405303">
        <w:rPr>
          <w:bCs/>
          <w:color w:val="002060"/>
          <w:sz w:val="16"/>
          <w:szCs w:val="16"/>
        </w:rPr>
        <w:softHyphen/>
        <w:t>ными поставками постоянно возникали затруднения по самым раз</w:t>
      </w:r>
      <w:r w:rsidRPr="00405303">
        <w:rPr>
          <w:bCs/>
          <w:color w:val="002060"/>
          <w:sz w:val="16"/>
          <w:szCs w:val="16"/>
        </w:rPr>
        <w:softHyphen/>
        <w:t>личным причинам и поводам. И это вызывало определенное беспо</w:t>
      </w:r>
      <w:r w:rsidRPr="00405303">
        <w:rPr>
          <w:bCs/>
          <w:color w:val="002060"/>
          <w:sz w:val="16"/>
          <w:szCs w:val="16"/>
        </w:rPr>
        <w:softHyphen/>
        <w:t>койство (1085).</w:t>
      </w:r>
    </w:p>
    <w:p w14:paraId="7B26038E" w14:textId="77777777" w:rsidR="004B4E35" w:rsidRPr="00405303" w:rsidRDefault="004B4E35" w:rsidP="00C15251">
      <w:pPr>
        <w:shd w:val="clear" w:color="auto" w:fill="FFFFFF"/>
        <w:jc w:val="both"/>
        <w:rPr>
          <w:bCs/>
          <w:color w:val="002060"/>
          <w:sz w:val="16"/>
          <w:szCs w:val="16"/>
        </w:rPr>
      </w:pPr>
    </w:p>
    <w:p w14:paraId="7C6356B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конце 1915 г. в Москве были построены мастерские, в которых на</w:t>
      </w:r>
      <w:r w:rsidRPr="00405303">
        <w:rPr>
          <w:bCs/>
          <w:color w:val="002060"/>
          <w:sz w:val="16"/>
          <w:szCs w:val="16"/>
        </w:rPr>
        <w:softHyphen/>
        <w:t>чали собирать из деталей, изготовленных во Франции, двигатели «Саль</w:t>
      </w:r>
      <w:r w:rsidRPr="00405303">
        <w:rPr>
          <w:bCs/>
          <w:color w:val="002060"/>
          <w:sz w:val="16"/>
          <w:szCs w:val="16"/>
        </w:rPr>
        <w:softHyphen/>
        <w:t>мсон» мощностью 130 л.с. для французского двухместного самолета-раз</w:t>
      </w:r>
      <w:r w:rsidRPr="00405303">
        <w:rPr>
          <w:bCs/>
          <w:color w:val="002060"/>
          <w:sz w:val="16"/>
          <w:szCs w:val="16"/>
        </w:rPr>
        <w:softHyphen/>
        <w:t>ведчика «Вуазен-2», принятого на вооружение русской армии в 1914 г. Дви</w:t>
      </w:r>
      <w:r w:rsidRPr="00405303">
        <w:rPr>
          <w:bCs/>
          <w:color w:val="002060"/>
          <w:sz w:val="16"/>
          <w:szCs w:val="16"/>
        </w:rPr>
        <w:softHyphen/>
        <w:t>гатели «Сальмсон» устанавливались также на самолеты «Илья Муромец» (14-цилиндровая звезда, мощностью 200 л.с.) и гидросмолеты М-19 кон</w:t>
      </w:r>
      <w:r w:rsidRPr="00405303">
        <w:rPr>
          <w:bCs/>
          <w:color w:val="002060"/>
          <w:sz w:val="16"/>
          <w:szCs w:val="16"/>
        </w:rPr>
        <w:softHyphen/>
        <w:t>струкции Д.П. Григоровича (9-цилиндровая звезда, мощностью 150 л.с.). В 1917 г. на заводе «Сальмсон» собиралось до 50 двигателей в месяц (11425).</w:t>
      </w:r>
    </w:p>
    <w:p w14:paraId="0A01CB1A" w14:textId="77777777" w:rsidR="004B4E35" w:rsidRPr="00405303" w:rsidRDefault="004B4E35" w:rsidP="00C15251">
      <w:pPr>
        <w:shd w:val="clear" w:color="auto" w:fill="FFFFFF"/>
        <w:jc w:val="both"/>
        <w:rPr>
          <w:bCs/>
          <w:color w:val="002060"/>
          <w:sz w:val="16"/>
          <w:szCs w:val="16"/>
        </w:rPr>
      </w:pPr>
    </w:p>
    <w:p w14:paraId="01D94F3C" w14:textId="32ABDCFD"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В конце 1915 г. лейтенант Г.И. Лавров испытал свое синхронизирующее устройство, позволявшее вооружать самолеты пе</w:t>
      </w:r>
      <w:r w:rsidRPr="00405303">
        <w:rPr>
          <w:bCs/>
          <w:color w:val="002060"/>
          <w:sz w:val="16"/>
          <w:szCs w:val="16"/>
        </w:rPr>
        <w:softHyphen/>
        <w:t>редним неподвижным пулеметом "Виккерс" и, таким образом, переводить их в разряд истре</w:t>
      </w:r>
      <w:r w:rsidRPr="00405303">
        <w:rPr>
          <w:bCs/>
          <w:color w:val="002060"/>
          <w:sz w:val="16"/>
          <w:szCs w:val="16"/>
        </w:rPr>
        <w:softHyphen/>
        <w:t>бителей, сопровождавших тяжелые разведчики-бомбардировщики типа "Илья Муромец" и ох</w:t>
      </w:r>
      <w:r w:rsidRPr="00405303">
        <w:rPr>
          <w:bCs/>
          <w:color w:val="002060"/>
          <w:sz w:val="16"/>
          <w:szCs w:val="16"/>
        </w:rPr>
        <w:softHyphen/>
        <w:t>ранявших их аэродромы. В начале 1916 г. синхронизатор Лаврова был адаптирован к широко распространенному в армейской авиации пулемету Кольт, а сами С-16, пущенные в серийное производство, служили вплоть до окончательной гибели старой Империи и далее — до 1923 г., применяясь в качестве истребительных, разведывательных, тренировочных и связных аппаратов в ЭВК и других авиационных подразделениях (2843).</w:t>
      </w:r>
    </w:p>
    <w:p w14:paraId="08C15969" w14:textId="77777777" w:rsidR="004B4E35" w:rsidRPr="00405303" w:rsidRDefault="004B4E35" w:rsidP="00C15251">
      <w:pPr>
        <w:shd w:val="clear" w:color="auto" w:fill="FFFFFF"/>
        <w:jc w:val="both"/>
        <w:rPr>
          <w:bCs/>
          <w:color w:val="002060"/>
          <w:sz w:val="16"/>
          <w:szCs w:val="16"/>
        </w:rPr>
      </w:pPr>
    </w:p>
    <w:p w14:paraId="7C8FD5D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конце 1915 г. лейтенант В.В.Дыбовский изобрел и изготовил на «Дуксе» оригинальный синхронизатор для стрельбы через винт (9651).</w:t>
      </w:r>
    </w:p>
    <w:p w14:paraId="350C12A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1915 на “Дуксе” для одноместных истребителей на «Дуксе» разрабатыва</w:t>
      </w:r>
      <w:r w:rsidRPr="00405303">
        <w:rPr>
          <w:bCs/>
          <w:color w:val="002060"/>
          <w:sz w:val="16"/>
          <w:szCs w:val="16"/>
        </w:rPr>
        <w:softHyphen/>
        <w:t>ли устройства стрельбы через плоскость, сметаемую вин</w:t>
      </w:r>
      <w:r w:rsidRPr="00405303">
        <w:rPr>
          <w:bCs/>
          <w:color w:val="002060"/>
          <w:sz w:val="16"/>
          <w:szCs w:val="16"/>
        </w:rPr>
        <w:softHyphen/>
        <w:t>том. В отклонителе пуль конструкции В.В.Бартошевича пули должны были рикошетировать от бронированных участков лопастей винта. Но доброкачественной стали не оказалось, и, как отмечалось в акте, «броня на винте сильно деформировалась и пробивалась» (9651).</w:t>
      </w:r>
    </w:p>
    <w:p w14:paraId="2B358FEE" w14:textId="77777777" w:rsidR="004B4E35" w:rsidRPr="00405303" w:rsidRDefault="004B4E35" w:rsidP="00C15251">
      <w:pPr>
        <w:shd w:val="clear" w:color="auto" w:fill="FFFFFF"/>
        <w:jc w:val="both"/>
        <w:rPr>
          <w:bCs/>
          <w:color w:val="002060"/>
          <w:sz w:val="16"/>
          <w:szCs w:val="16"/>
        </w:rPr>
      </w:pPr>
    </w:p>
    <w:p w14:paraId="40DF5475" w14:textId="506752C5" w:rsidR="004B4E35" w:rsidRPr="00405303" w:rsidRDefault="009E6F82" w:rsidP="00C15251">
      <w:pPr>
        <w:shd w:val="clear" w:color="auto" w:fill="FFFFFF"/>
        <w:jc w:val="both"/>
        <w:rPr>
          <w:bCs/>
          <w:color w:val="002060"/>
          <w:sz w:val="16"/>
          <w:szCs w:val="16"/>
        </w:rPr>
      </w:pPr>
      <w:r w:rsidRPr="00405303">
        <w:rPr>
          <w:bCs/>
          <w:color w:val="002060"/>
          <w:sz w:val="16"/>
          <w:szCs w:val="16"/>
        </w:rPr>
        <w:t>В конце 1915г. лейтенант Дыбовский самостоятельно изобрел и изготовил на заводе Дукс оригинальное приспособление для стрельбы из неподвижного пулемета через винт. Это был синхронизатор, позволявший беспрепятствен</w:t>
      </w:r>
      <w:r w:rsidRPr="00405303">
        <w:rPr>
          <w:bCs/>
          <w:color w:val="002060"/>
          <w:sz w:val="16"/>
          <w:szCs w:val="16"/>
        </w:rPr>
        <w:softHyphen/>
        <w:t>но вести стрельбу через винт (11425).</w:t>
      </w:r>
    </w:p>
    <w:p w14:paraId="52B7F2C8" w14:textId="77777777" w:rsidR="004B4E35" w:rsidRPr="00405303" w:rsidRDefault="004B4E35" w:rsidP="00C15251">
      <w:pPr>
        <w:shd w:val="clear" w:color="auto" w:fill="FFFFFF"/>
        <w:jc w:val="both"/>
        <w:rPr>
          <w:bCs/>
          <w:color w:val="002060"/>
          <w:sz w:val="16"/>
          <w:szCs w:val="16"/>
        </w:rPr>
      </w:pPr>
    </w:p>
    <w:p w14:paraId="042F7AAB" w14:textId="77777777" w:rsidR="00A15675" w:rsidRPr="00B52707" w:rsidRDefault="00A15675" w:rsidP="00A15675">
      <w:pPr>
        <w:jc w:val="both"/>
        <w:rPr>
          <w:color w:val="0070C0"/>
          <w:sz w:val="16"/>
          <w:szCs w:val="16"/>
        </w:rPr>
      </w:pPr>
      <w:r w:rsidRPr="00B52707">
        <w:rPr>
          <w:color w:val="0070C0"/>
          <w:sz w:val="16"/>
          <w:szCs w:val="16"/>
        </w:rPr>
        <w:t>В конце 1915 г. лейтенант Дыбовский изобрел и изготовил на заводе «Дуке» первый в России синхронизатор для стрельбы через винт (24966).</w:t>
      </w:r>
    </w:p>
    <w:p w14:paraId="2C81A2E7" w14:textId="77777777" w:rsidR="00A15675" w:rsidRPr="00B52707" w:rsidRDefault="00A15675" w:rsidP="00A15675">
      <w:pPr>
        <w:jc w:val="both"/>
        <w:rPr>
          <w:color w:val="0070C0"/>
          <w:sz w:val="16"/>
          <w:szCs w:val="16"/>
        </w:rPr>
      </w:pPr>
    </w:p>
    <w:p w14:paraId="783329C8" w14:textId="77777777" w:rsidR="00A54B3C" w:rsidRPr="00405303" w:rsidRDefault="00A54B3C" w:rsidP="00C15251">
      <w:pPr>
        <w:jc w:val="both"/>
        <w:rPr>
          <w:bCs/>
          <w:color w:val="002060"/>
          <w:sz w:val="16"/>
          <w:szCs w:val="16"/>
        </w:rPr>
      </w:pPr>
      <w:r w:rsidRPr="00405303">
        <w:rPr>
          <w:bCs/>
          <w:color w:val="002060"/>
          <w:sz w:val="16"/>
          <w:szCs w:val="16"/>
        </w:rPr>
        <w:t xml:space="preserve">К концу 1915 г. общее количество заказанных заводу «Муромцев» составило 76 машин. </w:t>
      </w:r>
      <w:proofErr w:type="gramStart"/>
      <w:r w:rsidRPr="00405303">
        <w:rPr>
          <w:bCs/>
          <w:color w:val="002060"/>
          <w:sz w:val="16"/>
          <w:szCs w:val="16"/>
        </w:rPr>
        <w:t>Их сдача согласно условиям</w:t>
      </w:r>
      <w:proofErr w:type="gramEnd"/>
      <w:r w:rsidRPr="00405303">
        <w:rPr>
          <w:bCs/>
          <w:color w:val="002060"/>
          <w:sz w:val="16"/>
          <w:szCs w:val="16"/>
        </w:rPr>
        <w:t xml:space="preserve"> должна была начаться с 1 мая 1916 г. по шесть самолетов в месяц (23009).</w:t>
      </w:r>
    </w:p>
    <w:p w14:paraId="5DD6C355" w14:textId="77777777" w:rsidR="00A54B3C" w:rsidRPr="00405303" w:rsidRDefault="00A54B3C" w:rsidP="00C15251">
      <w:pPr>
        <w:jc w:val="both"/>
        <w:rPr>
          <w:bCs/>
          <w:color w:val="002060"/>
          <w:sz w:val="16"/>
          <w:szCs w:val="16"/>
        </w:rPr>
      </w:pPr>
    </w:p>
    <w:p w14:paraId="13108074" w14:textId="77777777" w:rsidR="00A54B3C" w:rsidRPr="00405303" w:rsidRDefault="00A54B3C" w:rsidP="00C15251">
      <w:pPr>
        <w:jc w:val="both"/>
        <w:rPr>
          <w:bCs/>
          <w:color w:val="002060"/>
          <w:sz w:val="16"/>
          <w:szCs w:val="16"/>
        </w:rPr>
      </w:pPr>
      <w:r w:rsidRPr="00405303">
        <w:rPr>
          <w:bCs/>
          <w:color w:val="002060"/>
          <w:sz w:val="16"/>
          <w:szCs w:val="16"/>
        </w:rPr>
        <w:t>В конце 1915 г. на заводе «Акционерное общество воздухоплавания В.А. Лебедева» в Петрограде был задусвн биплан классической аэродинамической схемы с обтекаемыми формами и с двумя вариантами крыльев – МК (малое крыло) и БК (большое крыло). Это был первый самолет Лебедева самостоятельной конструкцию</w:t>
      </w:r>
    </w:p>
    <w:p w14:paraId="7B1C9D2E" w14:textId="1BE98EC0" w:rsidR="00A54B3C" w:rsidRPr="00405303" w:rsidRDefault="00A54B3C" w:rsidP="00C15251">
      <w:pPr>
        <w:jc w:val="both"/>
        <w:rPr>
          <w:bCs/>
          <w:color w:val="002060"/>
          <w:sz w:val="16"/>
          <w:szCs w:val="16"/>
        </w:rPr>
      </w:pPr>
      <w:r w:rsidRPr="00405303">
        <w:rPr>
          <w:bCs/>
          <w:color w:val="002060"/>
          <w:sz w:val="16"/>
          <w:szCs w:val="16"/>
        </w:rPr>
        <w:t>Первым тогда же в конце 1915 г. вышел и был испытан «Лебедь-Х с малыми крыльями» («Лебедь-Х МК»). К тому времени командование ИВФ России стало требовать, чтобы разведчики были двухместными, и он был предложен в качестве истребителя с синхронным пулеметом, но для этого у самолета оказалась недостаточная скорость.</w:t>
      </w:r>
      <w:r w:rsidR="000F5756">
        <w:rPr>
          <w:bCs/>
          <w:color w:val="002060"/>
          <w:sz w:val="16"/>
          <w:szCs w:val="16"/>
        </w:rPr>
        <w:t xml:space="preserve"> </w:t>
      </w:r>
      <w:r w:rsidRPr="00405303">
        <w:rPr>
          <w:bCs/>
          <w:color w:val="002060"/>
          <w:sz w:val="16"/>
          <w:szCs w:val="16"/>
        </w:rPr>
        <w:t xml:space="preserve"> Не известно, делалась ли установка вооружения.</w:t>
      </w:r>
      <w:r w:rsidR="000F5756">
        <w:rPr>
          <w:bCs/>
          <w:color w:val="002060"/>
          <w:sz w:val="16"/>
          <w:szCs w:val="16"/>
        </w:rPr>
        <w:t xml:space="preserve"> </w:t>
      </w:r>
      <w:r w:rsidRPr="00405303">
        <w:rPr>
          <w:bCs/>
          <w:color w:val="002060"/>
          <w:sz w:val="16"/>
          <w:szCs w:val="16"/>
        </w:rPr>
        <w:t xml:space="preserve"> Самолет на вооружение принят не был и остался на заводе «Лебедь». После Октябрьской революции он был найден там и включен в состав РККВФ, но как использовался не известно</w:t>
      </w:r>
    </w:p>
    <w:p w14:paraId="13C6F303" w14:textId="77777777" w:rsidR="00A54B3C" w:rsidRPr="00405303" w:rsidRDefault="00A54B3C" w:rsidP="00C15251">
      <w:pPr>
        <w:jc w:val="both"/>
        <w:rPr>
          <w:bCs/>
          <w:color w:val="002060"/>
          <w:sz w:val="16"/>
          <w:szCs w:val="16"/>
        </w:rPr>
      </w:pPr>
      <w:r w:rsidRPr="00405303">
        <w:rPr>
          <w:bCs/>
          <w:color w:val="002060"/>
          <w:sz w:val="16"/>
          <w:szCs w:val="16"/>
        </w:rPr>
        <w:t>В начале 1916 г. был построен и испытан «Лебедь-Х с большими крыльями» («Лебедь-Х БК») опытный, скоростной одноместный разведчик как 2-й экземпляр самолета. По конструкции был таким же, как «Лебедь-Х МК», отличаясь лишь бипланной коробкой крыльев: крылья увеличенных размеров с большим числом нервюр и равного размаха; бипланная коробка двухстоечная (добавлена одна II-образная стойка с каждой стороны от ПСС); консоли верхнего и нижнего крыла одинаковы по форме и по конструкции и подобны верхним на самолете с малыми крыльями с отличиями в размахе и числе нервюр; элероны на обоих крыльях, связаны попарно тросами; в связи с изменением размерности бипланной коробки и введением элеронов на нижнем крыле изменены трассы растяжек и проводки управления по крену. Все летные данные с большими крыльями снизились и самолет, по-видимому, был вновь переделан под малые крылья (23134).</w:t>
      </w:r>
    </w:p>
    <w:p w14:paraId="526572F6" w14:textId="77777777" w:rsidR="00A54B3C" w:rsidRPr="00405303" w:rsidRDefault="00A54B3C" w:rsidP="00C15251">
      <w:pPr>
        <w:jc w:val="both"/>
        <w:rPr>
          <w:bCs/>
          <w:color w:val="002060"/>
          <w:sz w:val="16"/>
          <w:szCs w:val="16"/>
        </w:rPr>
      </w:pPr>
    </w:p>
    <w:p w14:paraId="18F81C0A" w14:textId="77777777" w:rsidR="00A54B3C" w:rsidRPr="00405303" w:rsidRDefault="00A54B3C" w:rsidP="00C15251">
      <w:pPr>
        <w:jc w:val="both"/>
        <w:rPr>
          <w:bCs/>
          <w:color w:val="002060"/>
          <w:sz w:val="16"/>
          <w:szCs w:val="16"/>
        </w:rPr>
      </w:pPr>
      <w:r w:rsidRPr="00405303">
        <w:rPr>
          <w:bCs/>
          <w:color w:val="002060"/>
          <w:sz w:val="16"/>
          <w:szCs w:val="16"/>
        </w:rPr>
        <w:t>В конце 1915 г. студент Петроградского университета Г. Бу</w:t>
      </w:r>
      <w:r w:rsidRPr="00405303">
        <w:rPr>
          <w:bCs/>
          <w:color w:val="002060"/>
          <w:sz w:val="16"/>
          <w:szCs w:val="16"/>
        </w:rPr>
        <w:softHyphen/>
        <w:t>лычев предложил прицел и бомбосбрасыватель новой системы. К своему изобретению он приложил подробные чертежи и «Объ</w:t>
      </w:r>
      <w:r w:rsidRPr="00405303">
        <w:rPr>
          <w:bCs/>
          <w:color w:val="002060"/>
          <w:sz w:val="16"/>
          <w:szCs w:val="16"/>
        </w:rPr>
        <w:softHyphen/>
        <w:t>яснительную записку прицела и бомбомета с летательных аппа</w:t>
      </w:r>
      <w:r w:rsidRPr="00405303">
        <w:rPr>
          <w:bCs/>
          <w:color w:val="002060"/>
          <w:sz w:val="16"/>
          <w:szCs w:val="16"/>
        </w:rPr>
        <w:softHyphen/>
        <w:t>ратов», в которой обосновал применение угломерного прибора для бомбометания. В качестве прицела предлагалось применить бомбу.</w:t>
      </w:r>
    </w:p>
    <w:p w14:paraId="015868DA" w14:textId="77777777" w:rsidR="00A54B3C" w:rsidRPr="00405303" w:rsidRDefault="00A54B3C" w:rsidP="00C15251">
      <w:pPr>
        <w:jc w:val="both"/>
        <w:rPr>
          <w:bCs/>
          <w:color w:val="002060"/>
          <w:sz w:val="16"/>
          <w:szCs w:val="16"/>
        </w:rPr>
      </w:pPr>
      <w:r w:rsidRPr="00405303">
        <w:rPr>
          <w:bCs/>
          <w:color w:val="002060"/>
          <w:sz w:val="16"/>
          <w:szCs w:val="16"/>
        </w:rPr>
        <w:t>Не добившись реализации своего изобретения, Г. Булычев обратился с письмом к Верховному главнокомандующему. За</w:t>
      </w:r>
      <w:r w:rsidRPr="00405303">
        <w:rPr>
          <w:bCs/>
          <w:color w:val="002060"/>
          <w:sz w:val="16"/>
          <w:szCs w:val="16"/>
        </w:rPr>
        <w:softHyphen/>
        <w:t>ведующий авиацией в действующей армии, признавая правиль</w:t>
      </w:r>
      <w:r w:rsidRPr="00405303">
        <w:rPr>
          <w:bCs/>
          <w:color w:val="002060"/>
          <w:sz w:val="16"/>
          <w:szCs w:val="16"/>
        </w:rPr>
        <w:softHyphen/>
        <w:t>ность принципа действия прибора, сообщал начальнику штаба Верховного главнокомандующего: «Предложенные студентом Булычевым прицел и бомбомет ввиду их громоздкости не могут быть установлены на аппаратах существующих систем, а потому, естественно, и являются непригодными». Предложение было от</w:t>
      </w:r>
      <w:r w:rsidRPr="00405303">
        <w:rPr>
          <w:bCs/>
          <w:color w:val="002060"/>
          <w:sz w:val="16"/>
          <w:szCs w:val="16"/>
        </w:rPr>
        <w:softHyphen/>
        <w:t xml:space="preserve">клонено, </w:t>
      </w:r>
      <w:proofErr w:type="gramStart"/>
      <w:r w:rsidRPr="00405303">
        <w:rPr>
          <w:bCs/>
          <w:color w:val="002060"/>
          <w:sz w:val="16"/>
          <w:szCs w:val="16"/>
        </w:rPr>
        <w:t>не смотря</w:t>
      </w:r>
      <w:proofErr w:type="gramEnd"/>
      <w:r w:rsidRPr="00405303">
        <w:rPr>
          <w:bCs/>
          <w:color w:val="002060"/>
          <w:sz w:val="16"/>
          <w:szCs w:val="16"/>
        </w:rPr>
        <w:t xml:space="preserve"> на то, что именно на тяжелых самолетах типа «Илья Муромец» прибор Г. Булычева мог бы найти эффективное применение (23011).</w:t>
      </w:r>
    </w:p>
    <w:p w14:paraId="37BB3608" w14:textId="77777777" w:rsidR="00A54B3C" w:rsidRPr="00405303" w:rsidRDefault="00A54B3C" w:rsidP="00C15251">
      <w:pPr>
        <w:jc w:val="both"/>
        <w:rPr>
          <w:bCs/>
          <w:color w:val="002060"/>
          <w:sz w:val="16"/>
          <w:szCs w:val="16"/>
        </w:rPr>
      </w:pPr>
    </w:p>
    <w:p w14:paraId="2414ABA6" w14:textId="77777777" w:rsidR="00A54B3C" w:rsidRPr="00405303" w:rsidRDefault="00A54B3C" w:rsidP="00C15251">
      <w:pPr>
        <w:pStyle w:val="ae"/>
        <w:shd w:val="clear" w:color="auto" w:fill="FFFFFF"/>
        <w:spacing w:before="0" w:beforeAutospacing="0" w:after="0" w:afterAutospacing="0"/>
        <w:jc w:val="both"/>
        <w:rPr>
          <w:bCs/>
          <w:color w:val="002060"/>
          <w:sz w:val="16"/>
          <w:szCs w:val="16"/>
        </w:rPr>
      </w:pPr>
      <w:bookmarkStart w:id="339" w:name="_Hlk83374412"/>
      <w:r w:rsidRPr="00405303">
        <w:rPr>
          <w:bCs/>
          <w:color w:val="002060"/>
          <w:sz w:val="16"/>
          <w:szCs w:val="16"/>
        </w:rPr>
        <w:t>С конца 1915 г. решения Особого совещания по обороне о выдаче заказов на авиационное имущество подразумевали, а часто прямо указывали на необходимость постройки нового завода или расширения старого. Недаром в отчете УВВФ за 1916 г. указывалось: «Принимавшиеся в 1916 г. меры к обеспечению авиации и воздухоплавания аэропланами, моторами и материалами шли, главным образом, по пути насаждения соответствующей отечественной промышленности, дабы в возможно большей степени освободиться от необходимости прибегать к услугам заграничной промышленности» (21552).</w:t>
      </w:r>
    </w:p>
    <w:p w14:paraId="4809BCF8" w14:textId="77777777" w:rsidR="00A54B3C" w:rsidRPr="00405303" w:rsidRDefault="00A54B3C" w:rsidP="00C15251">
      <w:pPr>
        <w:jc w:val="both"/>
        <w:rPr>
          <w:bCs/>
          <w:color w:val="002060"/>
          <w:sz w:val="16"/>
          <w:szCs w:val="16"/>
        </w:rPr>
      </w:pPr>
    </w:p>
    <w:bookmarkEnd w:id="339"/>
    <w:p w14:paraId="71ACBC01" w14:textId="77777777" w:rsidR="00A54B3C" w:rsidRPr="00405303" w:rsidRDefault="00A54B3C" w:rsidP="00C15251">
      <w:pPr>
        <w:jc w:val="both"/>
        <w:rPr>
          <w:bCs/>
          <w:color w:val="002060"/>
          <w:sz w:val="16"/>
          <w:szCs w:val="16"/>
        </w:rPr>
      </w:pPr>
      <w:r w:rsidRPr="00405303">
        <w:rPr>
          <w:bCs/>
          <w:color w:val="002060"/>
          <w:sz w:val="16"/>
          <w:szCs w:val="16"/>
        </w:rPr>
        <w:t xml:space="preserve">В конце 1915 г., учитывая реалии, чтобы как-то улучшить летно-технические характеристики «Муромцев», И. И. Сикорский решил переделать крылья на </w:t>
      </w:r>
      <w:proofErr w:type="gramStart"/>
      <w:r w:rsidRPr="00405303">
        <w:rPr>
          <w:bCs/>
          <w:color w:val="002060"/>
          <w:sz w:val="16"/>
          <w:szCs w:val="16"/>
        </w:rPr>
        <w:t>трех серийных</w:t>
      </w:r>
      <w:proofErr w:type="gramEnd"/>
      <w:r w:rsidRPr="00405303">
        <w:rPr>
          <w:bCs/>
          <w:color w:val="002060"/>
          <w:sz w:val="16"/>
          <w:szCs w:val="16"/>
        </w:rPr>
        <w:t xml:space="preserve"> машинах (№ 180, 183 и 184). На «Муромце» № 180 нижнее крыло было оставлено без изменения, а верхнее существенно расширено с сохранением прежнего профиля. На двух других устанавливались крылья с новыми размерами и профилем. Хорда верхнего крыла стала 3,2 м, нижнего - 2,6 м. При этом увеличился размах, элероны стали менее развитыми. Так появился новый тип «Муромца» (С-24), получивший название «Г» или «ширококрылый». В ожидании результатов испытаний трех опытных машин серийное производство кораблей вновь остановилось. Этот перерыв Сикорский использовал для производства опытного корабля «ДИМ» (т. е. «Муромец» тип «Д»), а также легких самолетов С-16, С-17 и С-18, однако о них чуть позже (19963).</w:t>
      </w:r>
    </w:p>
    <w:p w14:paraId="0AB55473" w14:textId="77777777" w:rsidR="00A54B3C" w:rsidRPr="00405303" w:rsidRDefault="00A54B3C" w:rsidP="00C15251">
      <w:pPr>
        <w:jc w:val="both"/>
        <w:rPr>
          <w:bCs/>
          <w:color w:val="002060"/>
          <w:sz w:val="16"/>
          <w:szCs w:val="16"/>
        </w:rPr>
      </w:pPr>
    </w:p>
    <w:p w14:paraId="69756A69" w14:textId="77777777" w:rsidR="00A54B3C" w:rsidRPr="00405303" w:rsidRDefault="00A54B3C" w:rsidP="00C15251">
      <w:pPr>
        <w:pStyle w:val="book"/>
        <w:spacing w:before="0" w:beforeAutospacing="0" w:after="0" w:afterAutospacing="0"/>
        <w:jc w:val="both"/>
        <w:rPr>
          <w:bCs/>
          <w:color w:val="002060"/>
          <w:sz w:val="16"/>
          <w:szCs w:val="16"/>
        </w:rPr>
      </w:pPr>
      <w:r w:rsidRPr="00405303">
        <w:rPr>
          <w:bCs/>
          <w:color w:val="002060"/>
          <w:sz w:val="16"/>
          <w:szCs w:val="16"/>
          <w:shd w:val="clear" w:color="auto" w:fill="FFFFFF"/>
        </w:rPr>
        <w:t>В конце 1915 г. завод освоил производство двигателя "Моносупап" мощностью 100 л. с. (20047).</w:t>
      </w:r>
    </w:p>
    <w:p w14:paraId="5880258B" w14:textId="77777777" w:rsidR="00A54B3C" w:rsidRPr="00405303" w:rsidRDefault="00A54B3C" w:rsidP="00C15251">
      <w:pPr>
        <w:pStyle w:val="book"/>
        <w:spacing w:before="0" w:beforeAutospacing="0" w:after="0" w:afterAutospacing="0"/>
        <w:jc w:val="both"/>
        <w:rPr>
          <w:bCs/>
          <w:color w:val="002060"/>
          <w:sz w:val="16"/>
          <w:szCs w:val="16"/>
        </w:rPr>
      </w:pPr>
    </w:p>
    <w:p w14:paraId="472D38D0" w14:textId="77777777" w:rsidR="00A54B3C" w:rsidRPr="00405303" w:rsidRDefault="00A54B3C" w:rsidP="00C15251">
      <w:pPr>
        <w:pStyle w:val="book"/>
        <w:spacing w:before="0" w:beforeAutospacing="0" w:after="0" w:afterAutospacing="0"/>
        <w:jc w:val="both"/>
        <w:rPr>
          <w:bCs/>
          <w:color w:val="002060"/>
          <w:sz w:val="16"/>
          <w:szCs w:val="16"/>
        </w:rPr>
      </w:pPr>
      <w:r w:rsidRPr="00405303">
        <w:rPr>
          <w:bCs/>
          <w:color w:val="002060"/>
          <w:sz w:val="16"/>
          <w:szCs w:val="16"/>
        </w:rPr>
        <w:t>В конце 1915 г. объединившиеся фирмы «Гном» и «Рон» запустили в серию мотор Рон 9J с увеличенным на 30 мм ходом поршней и мощностью 110 л. с. (22763).</w:t>
      </w:r>
    </w:p>
    <w:p w14:paraId="2CE94BF2" w14:textId="77777777" w:rsidR="00A54B3C" w:rsidRPr="00405303" w:rsidRDefault="00A54B3C" w:rsidP="00C15251">
      <w:pPr>
        <w:pStyle w:val="book"/>
        <w:spacing w:before="0" w:beforeAutospacing="0" w:after="0" w:afterAutospacing="0"/>
        <w:jc w:val="both"/>
        <w:rPr>
          <w:bCs/>
          <w:color w:val="002060"/>
          <w:sz w:val="16"/>
          <w:szCs w:val="16"/>
        </w:rPr>
      </w:pPr>
    </w:p>
    <w:p w14:paraId="365B0C43" w14:textId="77777777" w:rsidR="005F7831" w:rsidRPr="00405303" w:rsidRDefault="005F7831" w:rsidP="00C15251">
      <w:pPr>
        <w:jc w:val="both"/>
        <w:rPr>
          <w:bCs/>
          <w:color w:val="002060"/>
          <w:sz w:val="16"/>
          <w:szCs w:val="16"/>
        </w:rPr>
      </w:pPr>
      <w:bookmarkStart w:id="340" w:name="_Hlk98485950"/>
      <w:r w:rsidRPr="00405303">
        <w:rPr>
          <w:bCs/>
          <w:color w:val="002060"/>
          <w:sz w:val="16"/>
          <w:szCs w:val="16"/>
        </w:rPr>
        <w:t>К концу 1915 года РБВЗ завершил постройку заказанных 32 воздушных кораб</w:t>
      </w:r>
      <w:r w:rsidRPr="00405303">
        <w:rPr>
          <w:bCs/>
          <w:color w:val="002060"/>
          <w:sz w:val="16"/>
          <w:szCs w:val="16"/>
        </w:rPr>
        <w:softHyphen/>
        <w:t>лей (23469).</w:t>
      </w:r>
    </w:p>
    <w:p w14:paraId="5DF2486B" w14:textId="77777777" w:rsidR="005F7831" w:rsidRPr="00405303" w:rsidRDefault="005F7831" w:rsidP="00C15251">
      <w:pPr>
        <w:jc w:val="both"/>
        <w:rPr>
          <w:bCs/>
          <w:color w:val="002060"/>
          <w:sz w:val="16"/>
          <w:szCs w:val="16"/>
        </w:rPr>
      </w:pPr>
    </w:p>
    <w:p w14:paraId="32D12828" w14:textId="77777777" w:rsidR="005F7831" w:rsidRPr="00405303" w:rsidRDefault="005F7831" w:rsidP="00C15251">
      <w:pPr>
        <w:jc w:val="both"/>
        <w:rPr>
          <w:bCs/>
          <w:color w:val="002060"/>
          <w:sz w:val="16"/>
          <w:szCs w:val="16"/>
        </w:rPr>
      </w:pPr>
      <w:r w:rsidRPr="00405303">
        <w:rPr>
          <w:bCs/>
          <w:color w:val="002060"/>
          <w:sz w:val="16"/>
          <w:szCs w:val="16"/>
        </w:rPr>
        <w:t>В конце 1915 г., учитывая реалии, чтобы как-то улучшить летно</w:t>
      </w:r>
      <w:r w:rsidRPr="00405303">
        <w:rPr>
          <w:bCs/>
          <w:color w:val="002060"/>
          <w:sz w:val="16"/>
          <w:szCs w:val="16"/>
        </w:rPr>
        <w:softHyphen/>
        <w:t xml:space="preserve">технические характеристики «Муромцев», И. И. Сикорский решил переделать крылья на </w:t>
      </w:r>
      <w:proofErr w:type="gramStart"/>
      <w:r w:rsidRPr="00405303">
        <w:rPr>
          <w:bCs/>
          <w:color w:val="002060"/>
          <w:sz w:val="16"/>
          <w:szCs w:val="16"/>
        </w:rPr>
        <w:t>трех серийных</w:t>
      </w:r>
      <w:proofErr w:type="gramEnd"/>
      <w:r w:rsidRPr="00405303">
        <w:rPr>
          <w:bCs/>
          <w:color w:val="002060"/>
          <w:sz w:val="16"/>
          <w:szCs w:val="16"/>
        </w:rPr>
        <w:t xml:space="preserve"> машинах (№ 180, 183 и 184). На «Муромце» № 180 нижнее крыло было оставлено без изменения, а верхнее существенно расширено с сохранением прежнего профиля. На двух других устанавливались крылья с новыми размерами и профилем. Хорда верхнего крыла стала 3,2 м, нижнего — 2,6 м. При этом увеличился размах, элероны стали менее развитыми. Так появился новый тип «Муромца» (С-24), получивший название «Г» или «ши</w:t>
      </w:r>
      <w:r w:rsidRPr="00405303">
        <w:rPr>
          <w:bCs/>
          <w:color w:val="002060"/>
          <w:sz w:val="16"/>
          <w:szCs w:val="16"/>
        </w:rPr>
        <w:softHyphen/>
        <w:t>рококрылый». В ожидании результатов испытаний трех опытных машин серийное производство кораблей вновь остановилось. Этот перерыв Сикорский использовал для производства опытного корабля «ДИМ» (т. е. «Муромец» тип «Д»), а также легких самолетов С-16, С</w:t>
      </w:r>
      <w:r w:rsidRPr="00405303">
        <w:rPr>
          <w:bCs/>
          <w:color w:val="002060"/>
          <w:sz w:val="16"/>
          <w:szCs w:val="16"/>
        </w:rPr>
        <w:softHyphen/>
        <w:t>17 и С-18 (24177).</w:t>
      </w:r>
    </w:p>
    <w:p w14:paraId="1CFE66F7" w14:textId="77777777" w:rsidR="005F7831" w:rsidRPr="00405303" w:rsidRDefault="005F7831" w:rsidP="00C15251">
      <w:pPr>
        <w:jc w:val="both"/>
        <w:rPr>
          <w:bCs/>
          <w:color w:val="002060"/>
          <w:sz w:val="16"/>
          <w:szCs w:val="16"/>
        </w:rPr>
      </w:pPr>
    </w:p>
    <w:p w14:paraId="66C0E2CD" w14:textId="77777777" w:rsidR="005F7831" w:rsidRPr="00405303" w:rsidRDefault="005F7831" w:rsidP="00C15251">
      <w:pPr>
        <w:jc w:val="both"/>
        <w:rPr>
          <w:bCs/>
          <w:color w:val="002060"/>
          <w:sz w:val="16"/>
          <w:szCs w:val="16"/>
        </w:rPr>
      </w:pPr>
      <w:r w:rsidRPr="00405303">
        <w:rPr>
          <w:bCs/>
          <w:color w:val="002060"/>
          <w:sz w:val="16"/>
          <w:szCs w:val="16"/>
        </w:rPr>
        <w:t>В конце 1915 г. по итогам успешного применения самолетов ИМ-В на фронте был дан заказ еще на 30 самолетов, сдача которых должна была идти по 6 в месяц начиная с 15.05.16 г. по ст.ст. Цена одного самолета была определена в 150000 руб., постройка велась единично.</w:t>
      </w:r>
    </w:p>
    <w:p w14:paraId="10C9C0D8" w14:textId="77777777" w:rsidR="005F7831" w:rsidRPr="00405303" w:rsidRDefault="005F7831" w:rsidP="00C15251">
      <w:pPr>
        <w:jc w:val="both"/>
        <w:rPr>
          <w:bCs/>
          <w:color w:val="002060"/>
          <w:sz w:val="16"/>
          <w:szCs w:val="16"/>
        </w:rPr>
      </w:pPr>
      <w:r w:rsidRPr="00405303">
        <w:rPr>
          <w:bCs/>
          <w:color w:val="002060"/>
          <w:sz w:val="16"/>
          <w:szCs w:val="16"/>
        </w:rPr>
        <w:t>Однако приемка и оплата самолетов Военным министерством вовремя не производилась (23563).</w:t>
      </w:r>
    </w:p>
    <w:p w14:paraId="26F7E74D" w14:textId="77777777" w:rsidR="005F7831" w:rsidRPr="00405303" w:rsidRDefault="005F7831" w:rsidP="00C15251">
      <w:pPr>
        <w:jc w:val="both"/>
        <w:rPr>
          <w:bCs/>
          <w:color w:val="002060"/>
          <w:sz w:val="16"/>
          <w:szCs w:val="16"/>
        </w:rPr>
      </w:pPr>
    </w:p>
    <w:p w14:paraId="0F713DBB" w14:textId="77777777" w:rsidR="005F7831" w:rsidRPr="00405303" w:rsidRDefault="005F7831" w:rsidP="00C15251">
      <w:pPr>
        <w:jc w:val="both"/>
        <w:rPr>
          <w:bCs/>
          <w:color w:val="002060"/>
          <w:sz w:val="16"/>
          <w:szCs w:val="16"/>
        </w:rPr>
      </w:pPr>
      <w:r w:rsidRPr="00405303">
        <w:rPr>
          <w:bCs/>
          <w:color w:val="002060"/>
          <w:sz w:val="16"/>
          <w:szCs w:val="16"/>
        </w:rPr>
        <w:t>В конце 1915 г. простой завода И. И. Сикорский ис</w:t>
      </w:r>
      <w:r w:rsidRPr="00405303">
        <w:rPr>
          <w:bCs/>
          <w:color w:val="002060"/>
          <w:sz w:val="16"/>
          <w:szCs w:val="16"/>
        </w:rPr>
        <w:softHyphen/>
        <w:t>пользовал для выпуска серии С-16 и создания новых типов машин. Построенный в двух экземплярах двух</w:t>
      </w:r>
      <w:r w:rsidRPr="00405303">
        <w:rPr>
          <w:bCs/>
          <w:color w:val="002060"/>
          <w:sz w:val="16"/>
          <w:szCs w:val="16"/>
        </w:rPr>
        <w:softHyphen/>
        <w:t>стоечный биплан С-17 (М 199 и 200) являлся развитием С-16 и С-10. Это был двухместный разведчик, одновре</w:t>
      </w:r>
      <w:r w:rsidRPr="00405303">
        <w:rPr>
          <w:bCs/>
          <w:color w:val="002060"/>
          <w:sz w:val="16"/>
          <w:szCs w:val="16"/>
        </w:rPr>
        <w:softHyphen/>
        <w:t xml:space="preserve">менно он мог использоваться и как истребитель. В мае 1916 г. </w:t>
      </w:r>
      <w:r w:rsidRPr="00405303">
        <w:rPr>
          <w:bCs/>
          <w:color w:val="002060"/>
          <w:sz w:val="16"/>
          <w:szCs w:val="16"/>
        </w:rPr>
        <w:lastRenderedPageBreak/>
        <w:t>первый С-17 поступил в эскадру для испытаний. Он рассматривался в качестве прототипа будущей се</w:t>
      </w:r>
      <w:r w:rsidRPr="00405303">
        <w:rPr>
          <w:bCs/>
          <w:color w:val="002060"/>
          <w:sz w:val="16"/>
          <w:szCs w:val="16"/>
        </w:rPr>
        <w:softHyphen/>
        <w:t>рии штатных разведчиков для эскадренных боевых от</w:t>
      </w:r>
      <w:r w:rsidRPr="00405303">
        <w:rPr>
          <w:bCs/>
          <w:color w:val="002060"/>
          <w:sz w:val="16"/>
          <w:szCs w:val="16"/>
        </w:rPr>
        <w:softHyphen/>
        <w:t>рядов. Испытания прошли успешно, однако в серию С-17 не пошел. Слишком ненадежными опять оказались все</w:t>
      </w:r>
      <w:r w:rsidRPr="00405303">
        <w:rPr>
          <w:bCs/>
          <w:color w:val="002060"/>
          <w:sz w:val="16"/>
          <w:szCs w:val="16"/>
        </w:rPr>
        <w:softHyphen/>
        <w:t>ми ругаемые двигатели «Санбим», под которые созда</w:t>
      </w:r>
      <w:r w:rsidRPr="00405303">
        <w:rPr>
          <w:bCs/>
          <w:color w:val="002060"/>
          <w:sz w:val="16"/>
          <w:szCs w:val="16"/>
        </w:rPr>
        <w:softHyphen/>
        <w:t>вался С-17. Та же причина погубила и одновременно со</w:t>
      </w:r>
      <w:r w:rsidRPr="00405303">
        <w:rPr>
          <w:bCs/>
          <w:color w:val="002060"/>
          <w:sz w:val="16"/>
          <w:szCs w:val="16"/>
        </w:rPr>
        <w:softHyphen/>
        <w:t>зданный самолет С-18 (24177).</w:t>
      </w:r>
    </w:p>
    <w:p w14:paraId="0659F0B9" w14:textId="77777777" w:rsidR="005F7831" w:rsidRPr="00405303" w:rsidRDefault="005F7831" w:rsidP="00C15251">
      <w:pPr>
        <w:jc w:val="both"/>
        <w:rPr>
          <w:bCs/>
          <w:color w:val="002060"/>
          <w:sz w:val="16"/>
          <w:szCs w:val="16"/>
        </w:rPr>
      </w:pPr>
    </w:p>
    <w:p w14:paraId="4374AF1E" w14:textId="77777777" w:rsidR="005F7831" w:rsidRPr="00405303" w:rsidRDefault="005F7831" w:rsidP="00C15251">
      <w:pPr>
        <w:jc w:val="both"/>
        <w:rPr>
          <w:bCs/>
          <w:color w:val="002060"/>
          <w:sz w:val="16"/>
          <w:szCs w:val="16"/>
        </w:rPr>
      </w:pPr>
      <w:r w:rsidRPr="00405303">
        <w:rPr>
          <w:bCs/>
          <w:color w:val="002060"/>
          <w:sz w:val="16"/>
          <w:szCs w:val="16"/>
        </w:rPr>
        <w:t>В конце 1915 г. состоялось испытание первого образца «Лебедь-12». Самолет развил большую скорость, чем «Вуазен» с тем же двигателем. В апреле завод получил заказ на 225 таких самолетов по 13500 руб. за экземпляр. Из выделенной на каждый самолет суммы 3 тыс. руб. завод получал золотом для закупок необходимых деталей за границей, что значительно больше, чем выделялось на импорт контрактами 1912 г. До конца года армии сдали около 30 «Лебедь-12». Еще 164 самолета передали в казну в 1917 г. «Лебедем» намеривались заменить «Вуазен». Планировались производить его на нескольких заводах — у Лебедева в Петрограде и Таганроге, на петроградском заводе Пороховщикова. ГВТУ заказало в Италии для «Лебедя» 100 двигателей «Фиат», но в Россию поступило только 10. Тем временем у самолета выявились серьезные недостатки: склонность к самопроизвольному переходу в пикирование, засасывание выхлопных газов в кабины экипажа. Заводскими доработками их не удалось устранить, и к осени 1917 г. «лебеди» перестали отправлять на фронт (23472).</w:t>
      </w:r>
    </w:p>
    <w:p w14:paraId="6E6ED76E" w14:textId="77777777" w:rsidR="005F7831" w:rsidRPr="00405303" w:rsidRDefault="005F7831" w:rsidP="00C15251">
      <w:pPr>
        <w:jc w:val="both"/>
        <w:rPr>
          <w:bCs/>
          <w:color w:val="002060"/>
          <w:sz w:val="16"/>
          <w:szCs w:val="16"/>
        </w:rPr>
      </w:pPr>
    </w:p>
    <w:p w14:paraId="2D4B8661" w14:textId="77777777" w:rsidR="005F7831" w:rsidRPr="00405303" w:rsidRDefault="005F7831" w:rsidP="00C15251">
      <w:pPr>
        <w:jc w:val="both"/>
        <w:rPr>
          <w:bCs/>
          <w:color w:val="002060"/>
          <w:sz w:val="16"/>
          <w:szCs w:val="16"/>
        </w:rPr>
      </w:pPr>
      <w:r w:rsidRPr="00405303">
        <w:rPr>
          <w:bCs/>
          <w:color w:val="002060"/>
          <w:sz w:val="16"/>
          <w:szCs w:val="16"/>
        </w:rPr>
        <w:t xml:space="preserve">К концу 1915 г., особенно на Балтике, где действовали немецкие гидросамолеты, самолеты М-5 перестали отвечать требованиям и их начали передавать в летные школы. Тем не менее, владелец завода ПРТВ С.С. Щеинин выпуск М-5 продолжал, даже когда в серию пошел более совершенный самолет М-9. При этом он отказывался вводить усовершенствования, предлагаемые Д.П. Григоровичем и А.Н. Седельниковым, т.к. это требовало капвложений и было не выгодно, т.к. уменьшало прибыль. </w:t>
      </w:r>
      <w:proofErr w:type="gramStart"/>
      <w:r w:rsidRPr="00405303">
        <w:rPr>
          <w:bCs/>
          <w:color w:val="002060"/>
          <w:sz w:val="16"/>
          <w:szCs w:val="16"/>
        </w:rPr>
        <w:t>С другой стороны</w:t>
      </w:r>
      <w:proofErr w:type="gramEnd"/>
      <w:r w:rsidRPr="00405303">
        <w:rPr>
          <w:bCs/>
          <w:color w:val="002060"/>
          <w:sz w:val="16"/>
          <w:szCs w:val="16"/>
        </w:rPr>
        <w:t xml:space="preserve"> необходимо признать, что большинство этих нововведений и не вело к улучшению летных данных М-5.</w:t>
      </w:r>
    </w:p>
    <w:p w14:paraId="456F14F9" w14:textId="77777777" w:rsidR="005F7831" w:rsidRPr="00405303" w:rsidRDefault="005F7831" w:rsidP="00C15251">
      <w:pPr>
        <w:jc w:val="both"/>
        <w:rPr>
          <w:bCs/>
          <w:color w:val="002060"/>
          <w:sz w:val="16"/>
          <w:szCs w:val="16"/>
        </w:rPr>
      </w:pPr>
      <w:r w:rsidRPr="00405303">
        <w:rPr>
          <w:bCs/>
          <w:color w:val="002060"/>
          <w:sz w:val="16"/>
          <w:szCs w:val="16"/>
        </w:rPr>
        <w:t>Недостатком М-5 на всем протяжении его серийного производства было низкое качество сборки, чем отличались и другие самолеты завода ПРТВ.</w:t>
      </w:r>
    </w:p>
    <w:p w14:paraId="51847736" w14:textId="77777777" w:rsidR="005F7831" w:rsidRPr="00405303" w:rsidRDefault="005F7831" w:rsidP="00C15251">
      <w:pPr>
        <w:jc w:val="both"/>
        <w:rPr>
          <w:bCs/>
          <w:color w:val="002060"/>
          <w:sz w:val="16"/>
          <w:szCs w:val="16"/>
        </w:rPr>
      </w:pPr>
      <w:r w:rsidRPr="00405303">
        <w:rPr>
          <w:bCs/>
          <w:color w:val="002060"/>
          <w:sz w:val="16"/>
          <w:szCs w:val="16"/>
        </w:rPr>
        <w:t xml:space="preserve">К началу 1917 г. начался дефицит материалов, комплектующих, инструмента, электроэнергии и топлива всех видов, что резко затормозило работу предприятия и сдачу самолетов </w:t>
      </w:r>
      <w:proofErr w:type="gramStart"/>
      <w:r w:rsidRPr="00405303">
        <w:rPr>
          <w:bCs/>
          <w:color w:val="002060"/>
          <w:sz w:val="16"/>
          <w:szCs w:val="16"/>
        </w:rPr>
        <w:t>М-5 в частности</w:t>
      </w:r>
      <w:proofErr w:type="gramEnd"/>
      <w:r w:rsidRPr="00405303">
        <w:rPr>
          <w:bCs/>
          <w:color w:val="002060"/>
          <w:sz w:val="16"/>
          <w:szCs w:val="16"/>
        </w:rPr>
        <w:t>, т.к. основными считались М-9. Хотя производство М-5 продолжалось, летом 1917 г. приемка готовой продукции практически прекратилась, а затем вообще начался открытый саботаж.</w:t>
      </w:r>
    </w:p>
    <w:p w14:paraId="61DE3BE4" w14:textId="77777777" w:rsidR="005F7831" w:rsidRPr="00405303" w:rsidRDefault="005F7831" w:rsidP="00C15251">
      <w:pPr>
        <w:jc w:val="both"/>
        <w:rPr>
          <w:bCs/>
          <w:color w:val="002060"/>
          <w:sz w:val="16"/>
          <w:szCs w:val="16"/>
        </w:rPr>
      </w:pPr>
      <w:r w:rsidRPr="00405303">
        <w:rPr>
          <w:bCs/>
          <w:color w:val="002060"/>
          <w:sz w:val="16"/>
          <w:szCs w:val="16"/>
        </w:rPr>
        <w:t>До прекращения работы, завод ПРТВ построил менее 300 самолетов М-5, из которых было облетано и сдано, вероятно, немногим более 250, а остальные остались на территории предприятия и постепенно оказались разукомплектованы или пришли в негодность и требовали ремонта и замены отдельных частей и агрегатов, что делалось уже в советское время на заводе ГАЗ-3, см. ниже.</w:t>
      </w:r>
    </w:p>
    <w:p w14:paraId="25AC7B89" w14:textId="77777777" w:rsidR="005F7831" w:rsidRPr="00405303" w:rsidRDefault="005F7831" w:rsidP="00C15251">
      <w:pPr>
        <w:jc w:val="both"/>
        <w:rPr>
          <w:bCs/>
          <w:color w:val="002060"/>
          <w:sz w:val="16"/>
          <w:szCs w:val="16"/>
        </w:rPr>
      </w:pPr>
      <w:r w:rsidRPr="00405303">
        <w:rPr>
          <w:bCs/>
          <w:color w:val="002060"/>
          <w:sz w:val="16"/>
          <w:szCs w:val="16"/>
        </w:rPr>
        <w:t>Руководство заводом ПРТВ к середине 1917 г. было нарушено, тем не менее, задел готовой полностью или частично продукции удалось сохранить в т.ч. и благодаря усилиям управляющего заводом Д.П. Григоровича (23594).</w:t>
      </w:r>
    </w:p>
    <w:p w14:paraId="650C0B36" w14:textId="77777777" w:rsidR="005F7831" w:rsidRPr="00405303" w:rsidRDefault="005F7831" w:rsidP="00C15251">
      <w:pPr>
        <w:jc w:val="both"/>
        <w:rPr>
          <w:bCs/>
          <w:color w:val="002060"/>
          <w:sz w:val="16"/>
          <w:szCs w:val="16"/>
        </w:rPr>
      </w:pPr>
    </w:p>
    <w:p w14:paraId="1A170BA8" w14:textId="77777777" w:rsidR="005F7831" w:rsidRPr="00405303" w:rsidRDefault="005F7831" w:rsidP="00C15251">
      <w:pPr>
        <w:jc w:val="both"/>
        <w:rPr>
          <w:bCs/>
          <w:color w:val="002060"/>
          <w:sz w:val="16"/>
          <w:szCs w:val="16"/>
        </w:rPr>
      </w:pPr>
      <w:r w:rsidRPr="00405303">
        <w:rPr>
          <w:bCs/>
          <w:color w:val="002060"/>
          <w:sz w:val="16"/>
          <w:szCs w:val="16"/>
          <w:lang w:bidi="ru-RU"/>
        </w:rPr>
        <w:t>В конце 1915 г. построили первый опытный экземпляр л/л Григоровича М-9, после чего, по причине зим</w:t>
      </w:r>
      <w:r w:rsidRPr="00405303">
        <w:rPr>
          <w:bCs/>
          <w:color w:val="002060"/>
          <w:sz w:val="16"/>
          <w:szCs w:val="16"/>
          <w:lang w:bidi="ru-RU"/>
        </w:rPr>
        <w:softHyphen/>
        <w:t>ней погоды, его отправили для тестирова</w:t>
      </w:r>
      <w:r w:rsidRPr="00405303">
        <w:rPr>
          <w:bCs/>
          <w:color w:val="002060"/>
          <w:sz w:val="16"/>
          <w:szCs w:val="16"/>
          <w:lang w:bidi="ru-RU"/>
        </w:rPr>
        <w:softHyphen/>
        <w:t>ния в Баку. На испытаниях, проведенных в январе 1916 г., самолет показал хорошую мореходность и послушность управления, свободно преодолевал волну высотой 0,5 метра, легко выходил из воды и отрывался в воздух. В полете показал высокую устой</w:t>
      </w:r>
      <w:r w:rsidRPr="00405303">
        <w:rPr>
          <w:bCs/>
          <w:color w:val="002060"/>
          <w:sz w:val="16"/>
          <w:szCs w:val="16"/>
          <w:lang w:bidi="ru-RU"/>
        </w:rPr>
        <w:softHyphen/>
        <w:t>чивость и мягкость управления на виражах.</w:t>
      </w:r>
    </w:p>
    <w:p w14:paraId="0126FB3C" w14:textId="77777777" w:rsidR="005F7831" w:rsidRPr="00405303" w:rsidRDefault="005F7831" w:rsidP="00C15251">
      <w:pPr>
        <w:jc w:val="both"/>
        <w:rPr>
          <w:bCs/>
          <w:color w:val="002060"/>
          <w:sz w:val="16"/>
          <w:szCs w:val="16"/>
        </w:rPr>
      </w:pPr>
      <w:r w:rsidRPr="00405303">
        <w:rPr>
          <w:bCs/>
          <w:color w:val="002060"/>
          <w:sz w:val="16"/>
          <w:szCs w:val="16"/>
          <w:lang w:bidi="ru-RU"/>
        </w:rPr>
        <w:t>Положительное заключение участников испытаний позволило рекомендовать стро</w:t>
      </w:r>
      <w:r w:rsidRPr="00405303">
        <w:rPr>
          <w:bCs/>
          <w:color w:val="002060"/>
          <w:sz w:val="16"/>
          <w:szCs w:val="16"/>
          <w:lang w:bidi="ru-RU"/>
        </w:rPr>
        <w:softHyphen/>
        <w:t>ить М-9 для авиации морского флота, при</w:t>
      </w:r>
      <w:r w:rsidRPr="00405303">
        <w:rPr>
          <w:bCs/>
          <w:color w:val="002060"/>
          <w:sz w:val="16"/>
          <w:szCs w:val="16"/>
          <w:lang w:bidi="ru-RU"/>
        </w:rPr>
        <w:softHyphen/>
        <w:t>чем уже первый заказ составил 30 экземп</w:t>
      </w:r>
      <w:r w:rsidRPr="00405303">
        <w:rPr>
          <w:bCs/>
          <w:color w:val="002060"/>
          <w:sz w:val="16"/>
          <w:szCs w:val="16"/>
          <w:lang w:bidi="ru-RU"/>
        </w:rPr>
        <w:softHyphen/>
        <w:t>ляров (23374).</w:t>
      </w:r>
    </w:p>
    <w:p w14:paraId="4F80E00C" w14:textId="77777777" w:rsidR="005F7831" w:rsidRPr="00405303" w:rsidRDefault="005F7831" w:rsidP="00C15251">
      <w:pPr>
        <w:jc w:val="both"/>
        <w:rPr>
          <w:bCs/>
          <w:color w:val="002060"/>
          <w:sz w:val="16"/>
          <w:szCs w:val="16"/>
        </w:rPr>
      </w:pPr>
    </w:p>
    <w:p w14:paraId="1E200F7E" w14:textId="77777777" w:rsidR="005F7831" w:rsidRPr="00405303" w:rsidRDefault="005F7831" w:rsidP="00C15251">
      <w:pPr>
        <w:jc w:val="both"/>
        <w:rPr>
          <w:bCs/>
          <w:color w:val="002060"/>
          <w:sz w:val="16"/>
          <w:szCs w:val="16"/>
        </w:rPr>
      </w:pPr>
      <w:r w:rsidRPr="00405303">
        <w:rPr>
          <w:bCs/>
          <w:color w:val="002060"/>
          <w:sz w:val="16"/>
          <w:szCs w:val="16"/>
        </w:rPr>
        <w:t>В конце 1915 и в течение 1916 года Мельцер построил несколько единственных в своем роде летающих лодок, спроектированных фон Виллишем. В 1916 году Евгений Робертович Энгельс изготовил на заводе Мельцера свою летающую лодку «Энгельс-2». Все это были экспериментальные самолеты для ВМФ. Однако производство в основном было сосредоточено на гребных винтах, 2663 из которых были построены к концу войны.</w:t>
      </w:r>
    </w:p>
    <w:p w14:paraId="4EFF1FA0" w14:textId="77777777" w:rsidR="005F7831" w:rsidRPr="00405303" w:rsidRDefault="005F7831" w:rsidP="00C15251">
      <w:pPr>
        <w:jc w:val="both"/>
        <w:rPr>
          <w:bCs/>
          <w:color w:val="002060"/>
          <w:sz w:val="16"/>
          <w:szCs w:val="16"/>
        </w:rPr>
      </w:pPr>
      <w:r w:rsidRPr="00405303">
        <w:rPr>
          <w:bCs/>
          <w:color w:val="002060"/>
          <w:sz w:val="16"/>
          <w:szCs w:val="16"/>
        </w:rPr>
        <w:t>В 1916 году Мельцер открыл два новых филиала в Петрограде и планировал построить еще один завод в Бердянске, но он так и не был запущен. В 1914 г. было 242 рабочих, в 1915 г. — около 200, в 1916 г. — около 500, в 1917 г. — 255. В 1918 г., после революции, и Мельцер, и Виллиш уехали в Германию. Позже Мельцер переехал в Америку (23525).</w:t>
      </w:r>
    </w:p>
    <w:p w14:paraId="2C6D2893" w14:textId="77777777" w:rsidR="005F7831" w:rsidRPr="00405303" w:rsidRDefault="005F7831" w:rsidP="00C15251">
      <w:pPr>
        <w:jc w:val="both"/>
        <w:rPr>
          <w:bCs/>
          <w:color w:val="002060"/>
          <w:sz w:val="16"/>
          <w:szCs w:val="16"/>
        </w:rPr>
      </w:pPr>
    </w:p>
    <w:p w14:paraId="72BA5502" w14:textId="77777777" w:rsidR="005F7831" w:rsidRPr="00405303" w:rsidRDefault="005F7831" w:rsidP="00C15251">
      <w:pPr>
        <w:jc w:val="both"/>
        <w:rPr>
          <w:bCs/>
          <w:color w:val="002060"/>
          <w:sz w:val="16"/>
          <w:szCs w:val="16"/>
          <w:lang w:bidi="ru-RU"/>
        </w:rPr>
      </w:pPr>
      <w:r w:rsidRPr="00405303">
        <w:rPr>
          <w:bCs/>
          <w:color w:val="002060"/>
          <w:sz w:val="16"/>
          <w:szCs w:val="16"/>
          <w:lang w:bidi="ru-RU"/>
        </w:rPr>
        <w:t>В конце 1915 г. построили М-10 и в янва</w:t>
      </w:r>
      <w:r w:rsidRPr="00405303">
        <w:rPr>
          <w:bCs/>
          <w:color w:val="002060"/>
          <w:sz w:val="16"/>
          <w:szCs w:val="16"/>
          <w:lang w:bidi="ru-RU"/>
        </w:rPr>
        <w:softHyphen/>
        <w:t>ре 1916 г. испытали в Баку. Эта летаю</w:t>
      </w:r>
      <w:r w:rsidRPr="00405303">
        <w:rPr>
          <w:bCs/>
          <w:color w:val="002060"/>
          <w:sz w:val="16"/>
          <w:szCs w:val="16"/>
          <w:lang w:bidi="ru-RU"/>
        </w:rPr>
        <w:softHyphen/>
        <w:t>щая лодка с двигателем «Гном-Моносупап» 100 л.с. строилась на ПРТВ Щетинина по проекту инженера А.Н. Седельникова. От</w:t>
      </w:r>
      <w:r w:rsidRPr="00405303">
        <w:rPr>
          <w:bCs/>
          <w:color w:val="002060"/>
          <w:sz w:val="16"/>
          <w:szCs w:val="16"/>
          <w:lang w:bidi="ru-RU"/>
        </w:rPr>
        <w:softHyphen/>
        <w:t>личалась малыми размерами и размеще</w:t>
      </w:r>
      <w:r w:rsidRPr="00405303">
        <w:rPr>
          <w:bCs/>
          <w:color w:val="002060"/>
          <w:sz w:val="16"/>
          <w:szCs w:val="16"/>
          <w:lang w:bidi="ru-RU"/>
        </w:rPr>
        <w:softHyphen/>
        <w:t>нием пилотов друг за другом. Элероны от</w:t>
      </w:r>
      <w:r w:rsidRPr="00405303">
        <w:rPr>
          <w:bCs/>
          <w:color w:val="002060"/>
          <w:sz w:val="16"/>
          <w:szCs w:val="16"/>
          <w:lang w:bidi="ru-RU"/>
        </w:rPr>
        <w:softHyphen/>
        <w:t>сутствовали, управление по крену осуще</w:t>
      </w:r>
      <w:r w:rsidRPr="00405303">
        <w:rPr>
          <w:bCs/>
          <w:color w:val="002060"/>
          <w:sz w:val="16"/>
          <w:szCs w:val="16"/>
          <w:lang w:bidi="ru-RU"/>
        </w:rPr>
        <w:softHyphen/>
        <w:t>ствлялось при помощи гоширования, т.е. перекашивания задней кромки верхнего крыла. Для этой цели наружные Л-</w:t>
      </w:r>
      <w:proofErr w:type="gramStart"/>
      <w:r w:rsidRPr="00405303">
        <w:rPr>
          <w:bCs/>
          <w:color w:val="002060"/>
          <w:sz w:val="16"/>
          <w:szCs w:val="16"/>
          <w:lang w:bidi="ru-RU"/>
        </w:rPr>
        <w:t>образ- ные</w:t>
      </w:r>
      <w:proofErr w:type="gramEnd"/>
      <w:r w:rsidRPr="00405303">
        <w:rPr>
          <w:bCs/>
          <w:color w:val="002060"/>
          <w:sz w:val="16"/>
          <w:szCs w:val="16"/>
          <w:lang w:bidi="ru-RU"/>
        </w:rPr>
        <w:t xml:space="preserve"> межкрыльевые стойки сходились на переднем лонжероне верхнего крыла, чем достигалась достаточная подвижность за- концовок крыла</w:t>
      </w:r>
    </w:p>
    <w:p w14:paraId="715C241C" w14:textId="77777777" w:rsidR="005F7831" w:rsidRPr="00405303" w:rsidRDefault="005F7831" w:rsidP="00C15251">
      <w:pPr>
        <w:jc w:val="both"/>
        <w:rPr>
          <w:bCs/>
          <w:color w:val="002060"/>
          <w:sz w:val="16"/>
          <w:szCs w:val="16"/>
        </w:rPr>
      </w:pPr>
      <w:r w:rsidRPr="00405303">
        <w:rPr>
          <w:bCs/>
          <w:color w:val="002060"/>
          <w:sz w:val="16"/>
          <w:szCs w:val="16"/>
          <w:lang w:bidi="ru-RU"/>
        </w:rPr>
        <w:t>В полете само</w:t>
      </w:r>
      <w:r w:rsidRPr="00405303">
        <w:rPr>
          <w:bCs/>
          <w:color w:val="002060"/>
          <w:sz w:val="16"/>
          <w:szCs w:val="16"/>
          <w:lang w:bidi="ru-RU"/>
        </w:rPr>
        <w:softHyphen/>
        <w:t>лет показал недостаточную поперечную ус</w:t>
      </w:r>
      <w:r w:rsidRPr="00405303">
        <w:rPr>
          <w:bCs/>
          <w:color w:val="002060"/>
          <w:sz w:val="16"/>
          <w:szCs w:val="16"/>
          <w:lang w:bidi="ru-RU"/>
        </w:rPr>
        <w:softHyphen/>
        <w:t>тойчивость по причине заметного влияния гироскопического момента ротативного двигателя. В ходе руления лодку ощутимо заливало водой, взлет оказался более про</w:t>
      </w:r>
      <w:r w:rsidRPr="00405303">
        <w:rPr>
          <w:bCs/>
          <w:color w:val="002060"/>
          <w:sz w:val="16"/>
          <w:szCs w:val="16"/>
          <w:lang w:bidi="ru-RU"/>
        </w:rPr>
        <w:softHyphen/>
        <w:t>должительным, чем у М-5. В целом при</w:t>
      </w:r>
      <w:r w:rsidRPr="00405303">
        <w:rPr>
          <w:bCs/>
          <w:color w:val="002060"/>
          <w:sz w:val="16"/>
          <w:szCs w:val="16"/>
          <w:lang w:bidi="ru-RU"/>
        </w:rPr>
        <w:softHyphen/>
        <w:t>знавалось, что М-10 проявила себя не</w:t>
      </w:r>
      <w:r w:rsidRPr="00405303">
        <w:rPr>
          <w:bCs/>
          <w:color w:val="002060"/>
          <w:sz w:val="16"/>
          <w:szCs w:val="16"/>
          <w:lang w:bidi="ru-RU"/>
        </w:rPr>
        <w:softHyphen/>
        <w:t>удовлетворительно, и от ее дальнейшего совершенствования отказались. Впослед</w:t>
      </w:r>
      <w:r w:rsidRPr="00405303">
        <w:rPr>
          <w:bCs/>
          <w:color w:val="002060"/>
          <w:sz w:val="16"/>
          <w:szCs w:val="16"/>
          <w:lang w:bidi="ru-RU"/>
        </w:rPr>
        <w:softHyphen/>
        <w:t>ствии М-10 разобрали, ее корпус исполь</w:t>
      </w:r>
      <w:r w:rsidRPr="00405303">
        <w:rPr>
          <w:bCs/>
          <w:color w:val="002060"/>
          <w:sz w:val="16"/>
          <w:szCs w:val="16"/>
          <w:lang w:bidi="ru-RU"/>
        </w:rPr>
        <w:softHyphen/>
        <w:t>зовал штабс-капитан Е.Р.Энгельс при со</w:t>
      </w:r>
      <w:r w:rsidRPr="00405303">
        <w:rPr>
          <w:bCs/>
          <w:color w:val="002060"/>
          <w:sz w:val="16"/>
          <w:szCs w:val="16"/>
          <w:lang w:bidi="ru-RU"/>
        </w:rPr>
        <w:softHyphen/>
        <w:t>здании своего лодочного истребителя (23374).</w:t>
      </w:r>
    </w:p>
    <w:p w14:paraId="76E24612" w14:textId="77777777" w:rsidR="005F7831" w:rsidRPr="00405303" w:rsidRDefault="005F7831" w:rsidP="00C15251">
      <w:pPr>
        <w:jc w:val="both"/>
        <w:rPr>
          <w:bCs/>
          <w:color w:val="002060"/>
          <w:sz w:val="16"/>
          <w:szCs w:val="16"/>
          <w:lang w:bidi="ru-RU"/>
        </w:rPr>
      </w:pPr>
    </w:p>
    <w:p w14:paraId="61A72323" w14:textId="77777777" w:rsidR="005F7831" w:rsidRPr="00405303" w:rsidRDefault="005F7831" w:rsidP="00C15251">
      <w:pPr>
        <w:jc w:val="both"/>
        <w:rPr>
          <w:bCs/>
          <w:color w:val="002060"/>
          <w:sz w:val="16"/>
          <w:szCs w:val="16"/>
        </w:rPr>
      </w:pPr>
      <w:r w:rsidRPr="00405303">
        <w:rPr>
          <w:bCs/>
          <w:color w:val="002060"/>
          <w:sz w:val="16"/>
          <w:szCs w:val="16"/>
        </w:rPr>
        <w:t>В конце 1915 года работы пришлось по доработке лодок Кертиса остановить, так как замерзший порт Архангельска сделал невозмож</w:t>
      </w:r>
      <w:r w:rsidRPr="00405303">
        <w:rPr>
          <w:bCs/>
          <w:color w:val="002060"/>
          <w:sz w:val="16"/>
          <w:szCs w:val="16"/>
        </w:rPr>
        <w:softHyphen/>
        <w:t>ной доставку из США необходимых запчастей. В резуль</w:t>
      </w:r>
      <w:r w:rsidRPr="00405303">
        <w:rPr>
          <w:bCs/>
          <w:color w:val="002060"/>
          <w:sz w:val="16"/>
          <w:szCs w:val="16"/>
        </w:rPr>
        <w:softHyphen/>
        <w:t>тате Черноморский флот согласился принять не более трети из 25 полученных в 1915 году лодок Кертисса.</w:t>
      </w:r>
    </w:p>
    <w:p w14:paraId="63FBE6A1" w14:textId="77777777" w:rsidR="005F7831" w:rsidRPr="00405303" w:rsidRDefault="005F7831" w:rsidP="00C15251">
      <w:pPr>
        <w:jc w:val="both"/>
        <w:rPr>
          <w:bCs/>
          <w:color w:val="002060"/>
          <w:sz w:val="16"/>
          <w:szCs w:val="16"/>
        </w:rPr>
      </w:pPr>
      <w:r w:rsidRPr="00405303">
        <w:rPr>
          <w:bCs/>
          <w:color w:val="002060"/>
          <w:sz w:val="16"/>
          <w:szCs w:val="16"/>
        </w:rPr>
        <w:t>По мере того, как все попытки доработать летающие лодки оканчивались неудачей, отношения между амери</w:t>
      </w:r>
      <w:r w:rsidRPr="00405303">
        <w:rPr>
          <w:bCs/>
          <w:color w:val="002060"/>
          <w:sz w:val="16"/>
          <w:szCs w:val="16"/>
        </w:rPr>
        <w:softHyphen/>
        <w:t>канцами и российскими моряками становились все бо</w:t>
      </w:r>
      <w:r w:rsidRPr="00405303">
        <w:rPr>
          <w:bCs/>
          <w:color w:val="002060"/>
          <w:sz w:val="16"/>
          <w:szCs w:val="16"/>
        </w:rPr>
        <w:softHyphen/>
        <w:t>лее натянутыми. Поползли слухи о преднамеренном желании сдать негодную продукцию. Уолтер Джонсон пишет: «Вначале дружественно настроенные к нам рус</w:t>
      </w:r>
      <w:r w:rsidRPr="00405303">
        <w:rPr>
          <w:bCs/>
          <w:color w:val="002060"/>
          <w:sz w:val="16"/>
          <w:szCs w:val="16"/>
        </w:rPr>
        <w:softHyphen/>
        <w:t>ские офицеры постепенно стали сторониться нас и не проявляли желания помочь в доводке самолетов до ра</w:t>
      </w:r>
      <w:r w:rsidRPr="00405303">
        <w:rPr>
          <w:bCs/>
          <w:color w:val="002060"/>
          <w:sz w:val="16"/>
          <w:szCs w:val="16"/>
        </w:rPr>
        <w:softHyphen/>
        <w:t>ботоспособного состояния. Когда лейтенант Утгоф был в Севастополе, он всячески содействовал нам, но после его отъезда в Америку (Утгофа командировали в США в августе 1915 года для контроля за производством за</w:t>
      </w:r>
      <w:r w:rsidRPr="00405303">
        <w:rPr>
          <w:bCs/>
          <w:color w:val="002060"/>
          <w:sz w:val="16"/>
          <w:szCs w:val="16"/>
        </w:rPr>
        <w:softHyphen/>
        <w:t>казанных «лодок») мы потеряли единственного друга. С этого момента ни один из офицеров не про явил к нам расположения и не предложил какой-либо помощи. Мы остались предоставлены самим себе со всеми нашими проблемами».</w:t>
      </w:r>
    </w:p>
    <w:p w14:paraId="51CBA46D" w14:textId="77777777" w:rsidR="005F7831" w:rsidRPr="00405303" w:rsidRDefault="005F7831" w:rsidP="00C15251">
      <w:pPr>
        <w:jc w:val="both"/>
        <w:rPr>
          <w:bCs/>
          <w:color w:val="002060"/>
          <w:sz w:val="16"/>
          <w:szCs w:val="16"/>
        </w:rPr>
      </w:pPr>
      <w:r w:rsidRPr="00405303">
        <w:rPr>
          <w:bCs/>
          <w:color w:val="002060"/>
          <w:sz w:val="16"/>
          <w:szCs w:val="16"/>
        </w:rPr>
        <w:t>Апогеем антагонизма между русскими и американца</w:t>
      </w:r>
      <w:r w:rsidRPr="00405303">
        <w:rPr>
          <w:bCs/>
          <w:color w:val="002060"/>
          <w:sz w:val="16"/>
          <w:szCs w:val="16"/>
        </w:rPr>
        <w:softHyphen/>
        <w:t>ми стал арест в Севастополе представителя фирмы «Кертисс» в России П.Окса. Его обвинили в шпионаже в пользу Германии и Австро-Венгрии, мотивируя это тем, что до войны Окс работал сотрудником Кертисса в Берлине и Вене. Он провел в тюрьме несколько недель, прежде чем сумел доказать свою невиновность.</w:t>
      </w:r>
    </w:p>
    <w:p w14:paraId="0C6FBFB2" w14:textId="77777777" w:rsidR="005F7831" w:rsidRPr="00405303" w:rsidRDefault="005F7831" w:rsidP="00C15251">
      <w:pPr>
        <w:jc w:val="both"/>
        <w:rPr>
          <w:bCs/>
          <w:color w:val="002060"/>
          <w:sz w:val="16"/>
          <w:szCs w:val="16"/>
        </w:rPr>
      </w:pPr>
      <w:r w:rsidRPr="00405303">
        <w:rPr>
          <w:bCs/>
          <w:color w:val="002060"/>
          <w:sz w:val="16"/>
          <w:szCs w:val="16"/>
        </w:rPr>
        <w:t>В ответ на телеграммы Морского генерального шта</w:t>
      </w:r>
      <w:r w:rsidRPr="00405303">
        <w:rPr>
          <w:bCs/>
          <w:color w:val="002060"/>
          <w:sz w:val="16"/>
          <w:szCs w:val="16"/>
        </w:rPr>
        <w:softHyphen/>
        <w:t>ба о недостатках летающих лодок Г.Кертисс слал депе</w:t>
      </w:r>
      <w:r w:rsidRPr="00405303">
        <w:rPr>
          <w:bCs/>
          <w:color w:val="002060"/>
          <w:sz w:val="16"/>
          <w:szCs w:val="16"/>
        </w:rPr>
        <w:softHyphen/>
        <w:t>ши с заверениями, что с открытием навигации в 1916 году в Россию доставят новые усовершенствованные двигатели и все проблемы будут решены. Однако в на</w:t>
      </w:r>
      <w:r w:rsidRPr="00405303">
        <w:rPr>
          <w:bCs/>
          <w:color w:val="002060"/>
          <w:sz w:val="16"/>
          <w:szCs w:val="16"/>
        </w:rPr>
        <w:softHyphen/>
        <w:t>чале года на вооружение флота начали поступать лета</w:t>
      </w:r>
      <w:r w:rsidRPr="00405303">
        <w:rPr>
          <w:bCs/>
          <w:color w:val="002060"/>
          <w:sz w:val="16"/>
          <w:szCs w:val="16"/>
        </w:rPr>
        <w:softHyphen/>
        <w:t>ющие лодки Д.П.Григоровича М-5 и М-9, оказавшиеся несравненно лучше «Кертиссов». В связи с этим стало назревать решение об отказе от новых контактов с Кер</w:t>
      </w:r>
      <w:r w:rsidRPr="00405303">
        <w:rPr>
          <w:bCs/>
          <w:color w:val="002060"/>
          <w:sz w:val="16"/>
          <w:szCs w:val="16"/>
        </w:rPr>
        <w:softHyphen/>
        <w:t>тиссом и перевооружении авиации флота на отечест</w:t>
      </w:r>
      <w:r w:rsidRPr="00405303">
        <w:rPr>
          <w:bCs/>
          <w:color w:val="002060"/>
          <w:sz w:val="16"/>
          <w:szCs w:val="16"/>
        </w:rPr>
        <w:softHyphen/>
        <w:t>венные самолеты. В феврале 1916 года Тучков сообщил российскому военно-морскому атташе в Нью-Йорке о возможном разрыве контракта, так как принятые «Кер</w:t>
      </w:r>
      <w:r w:rsidRPr="00405303">
        <w:rPr>
          <w:bCs/>
          <w:color w:val="002060"/>
          <w:sz w:val="16"/>
          <w:szCs w:val="16"/>
        </w:rPr>
        <w:softHyphen/>
        <w:t>тиссы» практически не используются из-за отсутствия запасных частей к двигателям.</w:t>
      </w:r>
    </w:p>
    <w:p w14:paraId="3619B7D4" w14:textId="77777777" w:rsidR="005F7831" w:rsidRPr="00405303" w:rsidRDefault="005F7831" w:rsidP="00C15251">
      <w:pPr>
        <w:jc w:val="both"/>
        <w:rPr>
          <w:bCs/>
          <w:color w:val="002060"/>
          <w:sz w:val="16"/>
          <w:szCs w:val="16"/>
        </w:rPr>
      </w:pPr>
      <w:r w:rsidRPr="00405303">
        <w:rPr>
          <w:bCs/>
          <w:color w:val="002060"/>
          <w:sz w:val="16"/>
          <w:szCs w:val="16"/>
        </w:rPr>
        <w:t>«Последней каплей» явилась поломка валов двигате</w:t>
      </w:r>
      <w:r w:rsidRPr="00405303">
        <w:rPr>
          <w:bCs/>
          <w:color w:val="002060"/>
          <w:sz w:val="16"/>
          <w:szCs w:val="16"/>
        </w:rPr>
        <w:softHyphen/>
        <w:t>лей двух новых «Кертисс К» во время их испытаний весной 1916 года В резолюции, подготовленной на за</w:t>
      </w:r>
      <w:r w:rsidRPr="00405303">
        <w:rPr>
          <w:bCs/>
          <w:color w:val="002060"/>
          <w:sz w:val="16"/>
          <w:szCs w:val="16"/>
        </w:rPr>
        <w:softHyphen/>
        <w:t>седании Авиационного комитета Черноморского флота отмечалось, что из-за недостатков в конструкции лодок «К» они абсолютно бесполезны для военных целей и не могут использоваться даже для обучения пилотов, так как полеты на них опасны для жизни.</w:t>
      </w:r>
    </w:p>
    <w:p w14:paraId="13AE0148" w14:textId="77777777" w:rsidR="005F7831" w:rsidRPr="00405303" w:rsidRDefault="005F7831" w:rsidP="00C15251">
      <w:pPr>
        <w:jc w:val="both"/>
        <w:rPr>
          <w:bCs/>
          <w:color w:val="002060"/>
          <w:sz w:val="16"/>
          <w:szCs w:val="16"/>
        </w:rPr>
      </w:pPr>
      <w:r w:rsidRPr="00405303">
        <w:rPr>
          <w:bCs/>
          <w:color w:val="002060"/>
          <w:sz w:val="16"/>
          <w:szCs w:val="16"/>
        </w:rPr>
        <w:t>Этого же мнения придерживался и В.В.Утгоф. «Ле</w:t>
      </w:r>
      <w:r w:rsidRPr="00405303">
        <w:rPr>
          <w:bCs/>
          <w:color w:val="002060"/>
          <w:sz w:val="16"/>
          <w:szCs w:val="16"/>
        </w:rPr>
        <w:softHyphen/>
        <w:t>тающие лодки типа «К» оказались настолько неудачны</w:t>
      </w:r>
      <w:r w:rsidRPr="00405303">
        <w:rPr>
          <w:bCs/>
          <w:color w:val="002060"/>
          <w:sz w:val="16"/>
          <w:szCs w:val="16"/>
        </w:rPr>
        <w:softHyphen/>
        <w:t>ми, что продолжительные усилия многих людей до сих пор оказываются бесплодными в смысле приведения аэ</w:t>
      </w:r>
      <w:r w:rsidRPr="00405303">
        <w:rPr>
          <w:bCs/>
          <w:color w:val="002060"/>
          <w:sz w:val="16"/>
          <w:szCs w:val="16"/>
        </w:rPr>
        <w:softHyphen/>
        <w:t>ропланов Кертисса в готовность»,—писал он по возвра</w:t>
      </w:r>
      <w:r w:rsidRPr="00405303">
        <w:rPr>
          <w:bCs/>
          <w:color w:val="002060"/>
          <w:sz w:val="16"/>
          <w:szCs w:val="16"/>
        </w:rPr>
        <w:softHyphen/>
        <w:t>щении из США в апреле 1916 года.</w:t>
      </w:r>
    </w:p>
    <w:p w14:paraId="1573E2A7" w14:textId="77777777" w:rsidR="005F7831" w:rsidRPr="00405303" w:rsidRDefault="005F7831" w:rsidP="00C15251">
      <w:pPr>
        <w:jc w:val="both"/>
        <w:rPr>
          <w:bCs/>
          <w:color w:val="002060"/>
          <w:sz w:val="16"/>
          <w:szCs w:val="16"/>
        </w:rPr>
      </w:pPr>
      <w:r w:rsidRPr="00405303">
        <w:rPr>
          <w:bCs/>
          <w:color w:val="002060"/>
          <w:sz w:val="16"/>
          <w:szCs w:val="16"/>
        </w:rPr>
        <w:t>16 апреля 1916 года представители Г.Кертисса были уведомлены о прекращении всяких работ в Севастополе и необходимости забрать оттуда летающие лодки и все другое имущество фирмы. Пытаясь спасти положение, Джаннус и Окс предложили организовать сборку и ис</w:t>
      </w:r>
      <w:r w:rsidRPr="00405303">
        <w:rPr>
          <w:bCs/>
          <w:color w:val="002060"/>
          <w:sz w:val="16"/>
          <w:szCs w:val="16"/>
        </w:rPr>
        <w:softHyphen/>
        <w:t xml:space="preserve">пытания поступающих в Россию через Архангельск </w:t>
      </w:r>
      <w:r w:rsidRPr="00405303">
        <w:rPr>
          <w:bCs/>
          <w:color w:val="002060"/>
          <w:sz w:val="16"/>
          <w:szCs w:val="16"/>
        </w:rPr>
        <w:lastRenderedPageBreak/>
        <w:t>ле</w:t>
      </w:r>
      <w:r w:rsidRPr="00405303">
        <w:rPr>
          <w:bCs/>
          <w:color w:val="002060"/>
          <w:sz w:val="16"/>
          <w:szCs w:val="16"/>
        </w:rPr>
        <w:softHyphen/>
        <w:t>тающих лодок в Петрограде, для использования их в дальнейшем на Балтике. Они начали переговоры с ди</w:t>
      </w:r>
      <w:r w:rsidRPr="00405303">
        <w:rPr>
          <w:bCs/>
          <w:color w:val="002060"/>
          <w:sz w:val="16"/>
          <w:szCs w:val="16"/>
        </w:rPr>
        <w:softHyphen/>
        <w:t>ректором петроградского завода пневматических инстру</w:t>
      </w:r>
      <w:r w:rsidRPr="00405303">
        <w:rPr>
          <w:bCs/>
          <w:color w:val="002060"/>
          <w:sz w:val="16"/>
          <w:szCs w:val="16"/>
        </w:rPr>
        <w:softHyphen/>
        <w:t>ментов о сотрудничестве в доводке и ремонте двигате</w:t>
      </w:r>
      <w:r w:rsidRPr="00405303">
        <w:rPr>
          <w:bCs/>
          <w:color w:val="002060"/>
          <w:sz w:val="16"/>
          <w:szCs w:val="16"/>
        </w:rPr>
        <w:softHyphen/>
        <w:t>лей, а также предложили привезти в Россию в качестве компенсации 50 новых авиамоторов Кертисс VX мощ</w:t>
      </w:r>
      <w:r w:rsidRPr="00405303">
        <w:rPr>
          <w:bCs/>
          <w:color w:val="002060"/>
          <w:sz w:val="16"/>
          <w:szCs w:val="16"/>
        </w:rPr>
        <w:softHyphen/>
        <w:t>ностью 160 л.с., но эти замыслы не имели успеха—за</w:t>
      </w:r>
      <w:r w:rsidRPr="00405303">
        <w:rPr>
          <w:bCs/>
          <w:color w:val="002060"/>
          <w:sz w:val="16"/>
          <w:szCs w:val="16"/>
        </w:rPr>
        <w:softHyphen/>
        <w:t>пас доверия Кертиссу был исчерпан (23545).</w:t>
      </w:r>
    </w:p>
    <w:p w14:paraId="19CADCB0" w14:textId="77777777" w:rsidR="005F7831" w:rsidRPr="00405303" w:rsidRDefault="005F7831" w:rsidP="00C15251">
      <w:pPr>
        <w:pStyle w:val="af6"/>
        <w:spacing w:line="240" w:lineRule="auto"/>
        <w:jc w:val="both"/>
        <w:rPr>
          <w:rFonts w:ascii="Times New Roman" w:hAnsi="Times New Roman" w:cs="Times New Roman"/>
          <w:bCs/>
          <w:color w:val="002060"/>
          <w:sz w:val="16"/>
          <w:szCs w:val="16"/>
        </w:rPr>
      </w:pPr>
    </w:p>
    <w:p w14:paraId="1681125F" w14:textId="77777777" w:rsidR="005F7831" w:rsidRPr="00405303" w:rsidRDefault="005F7831" w:rsidP="00C15251">
      <w:pPr>
        <w:jc w:val="both"/>
        <w:rPr>
          <w:bCs/>
          <w:color w:val="002060"/>
          <w:sz w:val="16"/>
          <w:szCs w:val="16"/>
        </w:rPr>
      </w:pPr>
      <w:r w:rsidRPr="00405303">
        <w:rPr>
          <w:bCs/>
          <w:color w:val="002060"/>
          <w:sz w:val="16"/>
          <w:szCs w:val="16"/>
          <w:lang w:bidi="ru-RU"/>
        </w:rPr>
        <w:t>В конце 1915 г. Граве подал в ГАУ заявку на изобретение, ко</w:t>
      </w:r>
      <w:r w:rsidRPr="00405303">
        <w:rPr>
          <w:bCs/>
          <w:color w:val="002060"/>
          <w:sz w:val="16"/>
          <w:szCs w:val="16"/>
          <w:lang w:bidi="ru-RU"/>
        </w:rPr>
        <w:softHyphen/>
        <w:t>торое назвал так: «Боевые ракеты с новым форсовым составом на основе бездымного пироксилинового пороха и переносные станки (в виде желобов на катках с подъемным механизмом) для стрельбы этими ракетами».</w:t>
      </w:r>
    </w:p>
    <w:p w14:paraId="70AA9675" w14:textId="77777777" w:rsidR="005F7831" w:rsidRPr="00405303" w:rsidRDefault="005F7831" w:rsidP="00C15251">
      <w:pPr>
        <w:jc w:val="both"/>
        <w:rPr>
          <w:bCs/>
          <w:color w:val="002060"/>
          <w:sz w:val="16"/>
          <w:szCs w:val="16"/>
        </w:rPr>
      </w:pPr>
      <w:r w:rsidRPr="00405303">
        <w:rPr>
          <w:bCs/>
          <w:color w:val="002060"/>
          <w:sz w:val="16"/>
          <w:szCs w:val="16"/>
          <w:lang w:bidi="ru-RU"/>
        </w:rPr>
        <w:t>Калибр сконструированной им ракеты был 76,2 мм (3 дюйма), проектная дальность полета — до 1000 метров. Станок для её пу</w:t>
      </w:r>
      <w:r w:rsidRPr="00405303">
        <w:rPr>
          <w:bCs/>
          <w:color w:val="002060"/>
          <w:sz w:val="16"/>
          <w:szCs w:val="16"/>
          <w:lang w:bidi="ru-RU"/>
        </w:rPr>
        <w:softHyphen/>
        <w:t>ска два человека могли легко переносить в траншеях и устанав</w:t>
      </w:r>
      <w:r w:rsidRPr="00405303">
        <w:rPr>
          <w:bCs/>
          <w:color w:val="002060"/>
          <w:sz w:val="16"/>
          <w:szCs w:val="16"/>
          <w:lang w:bidi="ru-RU"/>
        </w:rPr>
        <w:softHyphen/>
        <w:t>ливать на внутренние скаты брустверов. Угол возвышения ствола задавался посредством изменения положения станка относитель</w:t>
      </w:r>
      <w:r w:rsidRPr="00405303">
        <w:rPr>
          <w:bCs/>
          <w:color w:val="002060"/>
          <w:sz w:val="16"/>
          <w:szCs w:val="16"/>
          <w:lang w:bidi="ru-RU"/>
        </w:rPr>
        <w:softHyphen/>
        <w:t>но горизонта. Огонь можно было вести как с одиночных станков, так и батарейно (станок Граве не был изготовлен даже в единичном экемпляре, соответственно, опытовые стрельбы не прои) (25550).</w:t>
      </w:r>
    </w:p>
    <w:p w14:paraId="5B5AFF70" w14:textId="77777777" w:rsidR="005F7831" w:rsidRPr="00405303" w:rsidRDefault="005F7831" w:rsidP="00C15251">
      <w:pPr>
        <w:jc w:val="both"/>
        <w:rPr>
          <w:bCs/>
          <w:color w:val="002060"/>
          <w:sz w:val="16"/>
          <w:szCs w:val="16"/>
          <w:lang w:bidi="en-US"/>
        </w:rPr>
      </w:pPr>
    </w:p>
    <w:p w14:paraId="7E2ED627" w14:textId="5BAB3D29" w:rsidR="001F6C5C" w:rsidRPr="00405303" w:rsidRDefault="001F6C5C" w:rsidP="00C15251">
      <w:pPr>
        <w:jc w:val="both"/>
        <w:rPr>
          <w:bCs/>
          <w:color w:val="002060"/>
          <w:sz w:val="16"/>
          <w:szCs w:val="16"/>
        </w:rPr>
      </w:pPr>
      <w:r w:rsidRPr="00405303">
        <w:rPr>
          <w:bCs/>
          <w:color w:val="002060"/>
          <w:sz w:val="16"/>
          <w:szCs w:val="16"/>
        </w:rPr>
        <w:t>В конце 1915 г., в составе ЭВК «Илья Муромец» функцию истребителя стали выполнять одноместные самолеты типа «С-16 РБВЗ», конструкции И.И. Сикорского, до этого являвшиеся тренировочными летательными аппаратами для летного состава воздушных кораблей. По новым утвержденным штатам ЭВК в ее составе предполагалось иметь теперь помимо 12 учебных летательных аппаратов школы Эскадры еще по 14 легких самолетов (4 истребителя, 4 разведчика и 6 тренировочных) в составе каждого боевого отряда, число которых увеличилось с двух до трех. Подобно большинству других самолетов- разведчиков, «С-16 РБВЗ» превращался в классический одноместный истребитель. Он стал одним из первых истребителей отечественной конструкций.</w:t>
      </w:r>
    </w:p>
    <w:p w14:paraId="65DA941F" w14:textId="77777777" w:rsidR="001F6C5C" w:rsidRPr="00405303" w:rsidRDefault="001F6C5C" w:rsidP="00C15251">
      <w:pPr>
        <w:jc w:val="both"/>
        <w:rPr>
          <w:bCs/>
          <w:color w:val="002060"/>
          <w:sz w:val="16"/>
          <w:szCs w:val="16"/>
        </w:rPr>
      </w:pPr>
      <w:bookmarkStart w:id="341" w:name="bookmark425"/>
      <w:r w:rsidRPr="00405303">
        <w:rPr>
          <w:bCs/>
          <w:color w:val="002060"/>
          <w:sz w:val="16"/>
          <w:szCs w:val="16"/>
        </w:rPr>
        <w:t>Вооруженные двумя пулеметами, одномоторные бипланы «С-16 РБВЗ» предназначались «для охраны „Муромцев“ в воздухе, а также для прикрытия на аэродромах [их] базирования» (23405).</w:t>
      </w:r>
      <w:bookmarkEnd w:id="341"/>
    </w:p>
    <w:p w14:paraId="0D715024" w14:textId="77777777" w:rsidR="001F6C5C" w:rsidRPr="00405303" w:rsidRDefault="001F6C5C" w:rsidP="00C15251">
      <w:pPr>
        <w:jc w:val="both"/>
        <w:rPr>
          <w:bCs/>
          <w:color w:val="002060"/>
          <w:sz w:val="16"/>
          <w:szCs w:val="16"/>
        </w:rPr>
      </w:pPr>
    </w:p>
    <w:p w14:paraId="04AB5134" w14:textId="77777777" w:rsidR="00A15675" w:rsidRPr="00B52707" w:rsidRDefault="00A15675" w:rsidP="00A15675">
      <w:pPr>
        <w:jc w:val="both"/>
        <w:rPr>
          <w:color w:val="0070C0"/>
          <w:sz w:val="16"/>
          <w:szCs w:val="16"/>
        </w:rPr>
      </w:pPr>
      <w:r w:rsidRPr="00B52707">
        <w:rPr>
          <w:color w:val="0070C0"/>
          <w:sz w:val="16"/>
          <w:szCs w:val="16"/>
        </w:rPr>
        <w:t>К концу 1915 года Главное инженерное управление, в которое структурно вхо</w:t>
      </w:r>
      <w:r w:rsidRPr="00B52707">
        <w:rPr>
          <w:color w:val="0070C0"/>
          <w:sz w:val="16"/>
          <w:szCs w:val="16"/>
        </w:rPr>
        <w:softHyphen/>
        <w:t>дила тогда авиация, пришло к мнению, что необходимо в не</w:t>
      </w:r>
      <w:r w:rsidRPr="00B52707">
        <w:rPr>
          <w:color w:val="0070C0"/>
          <w:sz w:val="16"/>
          <w:szCs w:val="16"/>
        </w:rPr>
        <w:softHyphen/>
        <w:t>драх своей организации иметь конструк</w:t>
      </w:r>
      <w:r w:rsidRPr="00B52707">
        <w:rPr>
          <w:color w:val="0070C0"/>
          <w:sz w:val="16"/>
          <w:szCs w:val="16"/>
        </w:rPr>
        <w:softHyphen/>
        <w:t>торские бюро для проектирования сов</w:t>
      </w:r>
      <w:r w:rsidRPr="00B52707">
        <w:rPr>
          <w:color w:val="0070C0"/>
          <w:sz w:val="16"/>
          <w:szCs w:val="16"/>
        </w:rPr>
        <w:softHyphen/>
        <w:t>ременных моторов, самолётов, образцов вооружения и др. с опытными заводами, а также заводы для отработки техноло</w:t>
      </w:r>
      <w:r w:rsidRPr="00B52707">
        <w:rPr>
          <w:color w:val="0070C0"/>
          <w:sz w:val="16"/>
          <w:szCs w:val="16"/>
        </w:rPr>
        <w:softHyphen/>
        <w:t>гий серийного производства. Считалось, что производимые работы будут оплаче</w:t>
      </w:r>
      <w:r w:rsidRPr="00B52707">
        <w:rPr>
          <w:color w:val="0070C0"/>
          <w:sz w:val="16"/>
          <w:szCs w:val="16"/>
        </w:rPr>
        <w:softHyphen/>
        <w:t>ны из госбюджета, т.е. населением страны, а потом отлаженная конструкторско-тех</w:t>
      </w:r>
      <w:r w:rsidRPr="00B52707">
        <w:rPr>
          <w:color w:val="0070C0"/>
          <w:sz w:val="16"/>
          <w:szCs w:val="16"/>
        </w:rPr>
        <w:softHyphen/>
        <w:t>нологическая документация будет пред</w:t>
      </w:r>
      <w:r w:rsidRPr="00B52707">
        <w:rPr>
          <w:color w:val="0070C0"/>
          <w:sz w:val="16"/>
          <w:szCs w:val="16"/>
        </w:rPr>
        <w:softHyphen/>
        <w:t>лагаться промышленникам для выпу</w:t>
      </w:r>
      <w:r w:rsidRPr="00B52707">
        <w:rPr>
          <w:color w:val="0070C0"/>
          <w:sz w:val="16"/>
          <w:szCs w:val="16"/>
        </w:rPr>
        <w:softHyphen/>
        <w:t>ска требуемой армии продукции. Естест</w:t>
      </w:r>
      <w:r w:rsidRPr="00B52707">
        <w:rPr>
          <w:color w:val="0070C0"/>
          <w:sz w:val="16"/>
          <w:szCs w:val="16"/>
        </w:rPr>
        <w:softHyphen/>
        <w:t>венно, что рядом должны были распола</w:t>
      </w:r>
      <w:r w:rsidRPr="00B52707">
        <w:rPr>
          <w:color w:val="0070C0"/>
          <w:sz w:val="16"/>
          <w:szCs w:val="16"/>
        </w:rPr>
        <w:softHyphen/>
        <w:t>гаться специализированные лаборатории (прочностная, аэродинамическая с натур</w:t>
      </w:r>
      <w:r w:rsidRPr="00B52707">
        <w:rPr>
          <w:color w:val="0070C0"/>
          <w:sz w:val="16"/>
          <w:szCs w:val="16"/>
        </w:rPr>
        <w:softHyphen/>
        <w:t>ной трубой и др.) для проверки соответст</w:t>
      </w:r>
      <w:r w:rsidRPr="00B52707">
        <w:rPr>
          <w:color w:val="0070C0"/>
          <w:sz w:val="16"/>
          <w:szCs w:val="16"/>
        </w:rPr>
        <w:softHyphen/>
        <w:t>вия построенных опытных образцов тре</w:t>
      </w:r>
      <w:r w:rsidRPr="00B52707">
        <w:rPr>
          <w:color w:val="0070C0"/>
          <w:sz w:val="16"/>
          <w:szCs w:val="16"/>
        </w:rPr>
        <w:softHyphen/>
        <w:t>буемым, а также аэродром для проведе</w:t>
      </w:r>
      <w:r w:rsidRPr="00B52707">
        <w:rPr>
          <w:color w:val="0070C0"/>
          <w:sz w:val="16"/>
          <w:szCs w:val="16"/>
        </w:rPr>
        <w:softHyphen/>
        <w:t>ния лётных испытаний по единым мето</w:t>
      </w:r>
      <w:r w:rsidRPr="00B52707">
        <w:rPr>
          <w:color w:val="0070C0"/>
          <w:sz w:val="16"/>
          <w:szCs w:val="16"/>
        </w:rPr>
        <w:softHyphen/>
        <w:t>дикам с достаточно хорошо оснащённой метеостанцией (аэростанцией, по терми</w:t>
      </w:r>
      <w:r w:rsidRPr="00B52707">
        <w:rPr>
          <w:color w:val="0070C0"/>
          <w:sz w:val="16"/>
          <w:szCs w:val="16"/>
        </w:rPr>
        <w:softHyphen/>
        <w:t>нологии тех лет). Кроме того, лаборатор</w:t>
      </w:r>
      <w:r w:rsidRPr="00B52707">
        <w:rPr>
          <w:color w:val="0070C0"/>
          <w:sz w:val="16"/>
          <w:szCs w:val="16"/>
        </w:rPr>
        <w:softHyphen/>
        <w:t>но-экспериментальный комплекс дол</w:t>
      </w:r>
      <w:r w:rsidRPr="00B52707">
        <w:rPr>
          <w:color w:val="0070C0"/>
          <w:sz w:val="16"/>
          <w:szCs w:val="16"/>
        </w:rPr>
        <w:softHyphen/>
        <w:t>жен был использоваться и для обосно</w:t>
      </w:r>
      <w:r w:rsidRPr="00B52707">
        <w:rPr>
          <w:color w:val="0070C0"/>
          <w:sz w:val="16"/>
          <w:szCs w:val="16"/>
        </w:rPr>
        <w:softHyphen/>
        <w:t>вания тактико-технических требований. При этом учитывался опыт работы Расчёт</w:t>
      </w:r>
      <w:r w:rsidRPr="00B52707">
        <w:rPr>
          <w:color w:val="0070C0"/>
          <w:sz w:val="16"/>
          <w:szCs w:val="16"/>
        </w:rPr>
        <w:softHyphen/>
        <w:t>но-испытательного бюро, организован</w:t>
      </w:r>
      <w:r w:rsidRPr="00B52707">
        <w:rPr>
          <w:color w:val="0070C0"/>
          <w:sz w:val="16"/>
          <w:szCs w:val="16"/>
        </w:rPr>
        <w:softHyphen/>
        <w:t>ного Н.Е. Жуковским, и лабораторий Пе</w:t>
      </w:r>
      <w:r w:rsidRPr="00B52707">
        <w:rPr>
          <w:color w:val="0070C0"/>
          <w:sz w:val="16"/>
          <w:szCs w:val="16"/>
        </w:rPr>
        <w:softHyphen/>
        <w:t>троградского политехнического института во главе с С.П. Тимошенко, ГА. Ботезатом, А.П. Фан-дер-Флитом. Весь этот конгломе</w:t>
      </w:r>
      <w:r w:rsidRPr="00B52707">
        <w:rPr>
          <w:color w:val="0070C0"/>
          <w:sz w:val="16"/>
          <w:szCs w:val="16"/>
        </w:rPr>
        <w:softHyphen/>
        <w:t>рат организаций получил название Глав</w:t>
      </w:r>
      <w:r w:rsidRPr="00B52707">
        <w:rPr>
          <w:color w:val="0070C0"/>
          <w:sz w:val="16"/>
          <w:szCs w:val="16"/>
        </w:rPr>
        <w:softHyphen/>
        <w:t>ного аэродрома. Таким образом, он со</w:t>
      </w:r>
      <w:r w:rsidRPr="00B52707">
        <w:rPr>
          <w:color w:val="0070C0"/>
          <w:sz w:val="16"/>
          <w:szCs w:val="16"/>
        </w:rPr>
        <w:softHyphen/>
        <w:t>единял в себе последующие НИИ ВВС, ЦАГИ и НТК. Там же предполагалось от</w:t>
      </w:r>
      <w:r w:rsidRPr="00B52707">
        <w:rPr>
          <w:color w:val="0070C0"/>
          <w:sz w:val="16"/>
          <w:szCs w:val="16"/>
        </w:rPr>
        <w:softHyphen/>
        <w:t>крыть и лётную школу для обучения по</w:t>
      </w:r>
      <w:r w:rsidRPr="00B52707">
        <w:rPr>
          <w:color w:val="0070C0"/>
          <w:sz w:val="16"/>
          <w:szCs w:val="16"/>
        </w:rPr>
        <w:softHyphen/>
        <w:t>лётам на новых типах аэропланов.</w:t>
      </w:r>
    </w:p>
    <w:p w14:paraId="3B56E7FF" w14:textId="77777777" w:rsidR="00A15675" w:rsidRPr="00B52707" w:rsidRDefault="00A15675" w:rsidP="00A15675">
      <w:pPr>
        <w:jc w:val="both"/>
        <w:rPr>
          <w:color w:val="0070C0"/>
          <w:sz w:val="16"/>
          <w:szCs w:val="16"/>
        </w:rPr>
      </w:pPr>
      <w:r w:rsidRPr="00B52707">
        <w:rPr>
          <w:color w:val="0070C0"/>
          <w:sz w:val="16"/>
          <w:szCs w:val="16"/>
        </w:rPr>
        <w:t>Флот также решил создать подобную организацию в Гребном порту Санкт-Пе</w:t>
      </w:r>
      <w:r w:rsidRPr="00B52707">
        <w:rPr>
          <w:color w:val="0070C0"/>
          <w:sz w:val="16"/>
          <w:szCs w:val="16"/>
        </w:rPr>
        <w:softHyphen/>
        <w:t>тербурга с дополнительным гидроаэро</w:t>
      </w:r>
      <w:r w:rsidRPr="00B52707">
        <w:rPr>
          <w:color w:val="0070C0"/>
          <w:sz w:val="16"/>
          <w:szCs w:val="16"/>
        </w:rPr>
        <w:softHyphen/>
        <w:t>дромом в Баку.</w:t>
      </w:r>
    </w:p>
    <w:p w14:paraId="100EECA5" w14:textId="6F2449C5" w:rsidR="00A15675" w:rsidRPr="00B52707" w:rsidRDefault="00A15675" w:rsidP="00A15675">
      <w:pPr>
        <w:jc w:val="both"/>
        <w:rPr>
          <w:color w:val="0070C0"/>
          <w:sz w:val="16"/>
          <w:szCs w:val="16"/>
        </w:rPr>
      </w:pPr>
      <w:r w:rsidRPr="00B52707">
        <w:rPr>
          <w:color w:val="0070C0"/>
          <w:sz w:val="16"/>
          <w:szCs w:val="16"/>
        </w:rPr>
        <w:t>После обмена мнениями было реше</w:t>
      </w:r>
      <w:r w:rsidRPr="00B52707">
        <w:rPr>
          <w:color w:val="0070C0"/>
          <w:sz w:val="16"/>
          <w:szCs w:val="16"/>
        </w:rPr>
        <w:softHyphen/>
        <w:t>но, что Главный аэродром необходимо расположить в южных районах, там, где есть обилие солнечных дней, где в непо</w:t>
      </w:r>
      <w:r w:rsidRPr="00B52707">
        <w:rPr>
          <w:color w:val="0070C0"/>
          <w:sz w:val="16"/>
          <w:szCs w:val="16"/>
        </w:rPr>
        <w:softHyphen/>
        <w:t>средственной близости имеется доста</w:t>
      </w:r>
      <w:r w:rsidRPr="00B52707">
        <w:rPr>
          <w:color w:val="0070C0"/>
          <w:sz w:val="16"/>
          <w:szCs w:val="16"/>
        </w:rPr>
        <w:softHyphen/>
        <w:t>точно развитая инфраструктура, а также соответствующие трудовые ресурсы. Вы</w:t>
      </w:r>
      <w:r w:rsidRPr="00B52707">
        <w:rPr>
          <w:color w:val="0070C0"/>
          <w:sz w:val="16"/>
          <w:szCs w:val="16"/>
        </w:rPr>
        <w:softHyphen/>
        <w:t>бор пал на Херсон.</w:t>
      </w:r>
      <w:r w:rsidR="000F5756">
        <w:rPr>
          <w:color w:val="0070C0"/>
          <w:sz w:val="16"/>
          <w:szCs w:val="16"/>
        </w:rPr>
        <w:t xml:space="preserve"> </w:t>
      </w:r>
      <w:r w:rsidRPr="00B52707">
        <w:rPr>
          <w:color w:val="0070C0"/>
          <w:sz w:val="16"/>
          <w:szCs w:val="16"/>
        </w:rPr>
        <w:t>(24910).</w:t>
      </w:r>
    </w:p>
    <w:p w14:paraId="2799229A" w14:textId="77777777" w:rsidR="00A15675" w:rsidRPr="00B52707" w:rsidRDefault="00A15675" w:rsidP="00A15675">
      <w:pPr>
        <w:jc w:val="both"/>
        <w:rPr>
          <w:color w:val="0070C0"/>
          <w:sz w:val="16"/>
          <w:szCs w:val="16"/>
        </w:rPr>
      </w:pPr>
    </w:p>
    <w:p w14:paraId="75E9BA2B"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Аэростатостроение:</w:t>
      </w:r>
    </w:p>
    <w:p w14:paraId="229809D2" w14:textId="77777777" w:rsidR="004B4E35" w:rsidRPr="00405303" w:rsidRDefault="004B4E35" w:rsidP="00C15251">
      <w:pPr>
        <w:shd w:val="clear" w:color="auto" w:fill="FFFFFF"/>
        <w:jc w:val="both"/>
        <w:rPr>
          <w:bCs/>
          <w:i/>
          <w:color w:val="002060"/>
          <w:sz w:val="16"/>
          <w:szCs w:val="16"/>
        </w:rPr>
      </w:pPr>
    </w:p>
    <w:p w14:paraId="3DBD7D0E" w14:textId="77777777" w:rsidR="004B4E35" w:rsidRPr="00405303" w:rsidRDefault="009E6F82" w:rsidP="00C15251">
      <w:pPr>
        <w:jc w:val="both"/>
        <w:rPr>
          <w:bCs/>
          <w:color w:val="002060"/>
          <w:sz w:val="16"/>
          <w:szCs w:val="16"/>
        </w:rPr>
      </w:pPr>
      <w:r w:rsidRPr="00405303">
        <w:rPr>
          <w:bCs/>
          <w:color w:val="002060"/>
          <w:sz w:val="16"/>
          <w:szCs w:val="16"/>
        </w:rPr>
        <w:t>К концу 1915 г. основные части дирижабля “Воздушный крейсер” были закопчены. Много хлопот доставили силовые установки и производство цельнотянутых труб для каркаса жестких частей дирижабля. Ижорский и завод, построивший уже управляемые аэростаты «Голубь» и «Альбатрос», использовал весь свой опыт для создания нового, самого мощного воздушного корабля среди всех, какие когда-либо строились в России. Однако его сборку пришлось отложить. Штаб верховного главнокомандующего, учитьизая опыт войны, предъявил новые требования. В основном они сводились к тому, чтобы аэростат поднимал не менее одной тонны бомб, имея возможность совершать полет на высоте 2500 м. За счет увеличения боевой нагрузки военное ведомство соглашалось уменьшить запасы горючего, масла и воды до 15 ч непрерывного полета. Скорость оставалась прежней, оговаривалось, что длина баллона после наполнения газом должна быть не более 150 м. Завод согласился на новые условия и приступил к переделке некоторых частей аэроста-ia. К этому времени на его постройку уже были затрачены громадные деньги. Сборку «Воздушного крейсера» и его испытание намечалось провести не ранее середины 1916 г. Но к этому времени в военном ведомстве уже сложилось мнение о ненадобности дирижаблей большого объема для фронта (9795).</w:t>
      </w:r>
    </w:p>
    <w:p w14:paraId="29734BAB" w14:textId="77777777" w:rsidR="004B4E35" w:rsidRPr="00405303" w:rsidRDefault="004B4E35" w:rsidP="00C15251">
      <w:pPr>
        <w:jc w:val="both"/>
        <w:rPr>
          <w:bCs/>
          <w:color w:val="002060"/>
          <w:sz w:val="16"/>
          <w:szCs w:val="16"/>
        </w:rPr>
      </w:pPr>
    </w:p>
    <w:p w14:paraId="472AA0D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 концу 1915 г. практически все русские дирижабле были разоружены и разобраны и было принято решение о строительстве дирижабл</w:t>
      </w:r>
      <w:r w:rsidRPr="00405303">
        <w:rPr>
          <w:bCs/>
          <w:color w:val="002060"/>
          <w:sz w:val="16"/>
          <w:szCs w:val="16"/>
          <w:vertAlign w:val="superscript"/>
        </w:rPr>
        <w:t xml:space="preserve">е </w:t>
      </w:r>
      <w:r w:rsidRPr="00405303">
        <w:rPr>
          <w:bCs/>
          <w:color w:val="002060"/>
          <w:sz w:val="16"/>
          <w:szCs w:val="16"/>
        </w:rPr>
        <w:t>большего объема, специально предназначенных для ое ных целей (11098).</w:t>
      </w:r>
    </w:p>
    <w:p w14:paraId="4968F0AF" w14:textId="77777777" w:rsidR="004B4E35" w:rsidRPr="00405303" w:rsidRDefault="004B4E35" w:rsidP="00C15251">
      <w:pPr>
        <w:shd w:val="clear" w:color="auto" w:fill="FFFFFF"/>
        <w:jc w:val="both"/>
        <w:rPr>
          <w:bCs/>
          <w:color w:val="002060"/>
          <w:sz w:val="16"/>
          <w:szCs w:val="16"/>
        </w:rPr>
      </w:pPr>
    </w:p>
    <w:p w14:paraId="3E1164B8" w14:textId="4682B04B" w:rsidR="004B4E35" w:rsidRPr="00405303" w:rsidRDefault="002C4482" w:rsidP="00C15251">
      <w:pPr>
        <w:jc w:val="both"/>
        <w:rPr>
          <w:bCs/>
          <w:color w:val="002060"/>
          <w:sz w:val="16"/>
          <w:szCs w:val="16"/>
        </w:rPr>
      </w:pPr>
      <w:r w:rsidRPr="00405303">
        <w:rPr>
          <w:bCs/>
          <w:color w:val="002060"/>
          <w:sz w:val="16"/>
          <w:szCs w:val="16"/>
        </w:rPr>
        <w:t>К</w:t>
      </w:r>
      <w:r w:rsidR="009E6F82" w:rsidRPr="00405303">
        <w:rPr>
          <w:bCs/>
          <w:color w:val="002060"/>
          <w:sz w:val="16"/>
          <w:szCs w:val="16"/>
        </w:rPr>
        <w:t xml:space="preserve"> концу 1915 года</w:t>
      </w:r>
      <w:r w:rsidRPr="00405303">
        <w:rPr>
          <w:bCs/>
          <w:color w:val="002060"/>
          <w:sz w:val="16"/>
          <w:szCs w:val="16"/>
        </w:rPr>
        <w:t xml:space="preserve"> закончилась полная переделка «Гиганта» на Балтийском заводе</w:t>
      </w:r>
      <w:r w:rsidR="009E6F82" w:rsidRPr="00405303">
        <w:rPr>
          <w:bCs/>
          <w:color w:val="002060"/>
          <w:sz w:val="16"/>
          <w:szCs w:val="16"/>
        </w:rPr>
        <w:t>. Испытания дирижабля откладывались с месяца на месяц, так как великий князь Александр Михайлович, шеф Главного военно-технического управления, под различными предлогами отказывал в выделении водорода для заполнения оболочки. Реальные причины отказов состояли в следующем. Во-первых, воздухоплавательные роты действующей армии испытывали недостаток в газе для змейковых аэростатов. Во-вторых, характеристики «Гиганта» уже уступали его боевым современникам. Но самое главное — два года мировой войны окончательно решили спор между дирижаблями и самолетами за место в воздухе.</w:t>
      </w:r>
    </w:p>
    <w:p w14:paraId="3C51B0F3" w14:textId="77777777" w:rsidR="004B4E35" w:rsidRPr="00405303" w:rsidRDefault="009E6F82" w:rsidP="00C15251">
      <w:pPr>
        <w:jc w:val="both"/>
        <w:rPr>
          <w:bCs/>
          <w:color w:val="002060"/>
          <w:sz w:val="16"/>
          <w:szCs w:val="16"/>
        </w:rPr>
      </w:pPr>
      <w:r w:rsidRPr="00405303">
        <w:rPr>
          <w:bCs/>
          <w:color w:val="002060"/>
          <w:sz w:val="16"/>
          <w:szCs w:val="16"/>
        </w:rPr>
        <w:t xml:space="preserve">С другой стороны, воздушные монстры оказались слишком уязвимыми. С появлением пулемета, стрелявшего через винт, дирижабли и аэростаты стали легкой добычей зарождающейся истребительной авиации: вскоре для их защиты пришлось также поднимать в воздух самолеты-истребители. Но самолеты прикрытия не могли эффективно защитить аэростаты и [382] дирижабли от огня зенитной артиллерии. Поэтому «Гигант» был признан негодным для военных нужд. Оболочку его использовали для постройки сферических аэростатов, а трубы каркаса — для самолетов. </w:t>
      </w:r>
    </w:p>
    <w:p w14:paraId="24FE2668" w14:textId="77777777" w:rsidR="004B4E35" w:rsidRPr="00405303" w:rsidRDefault="009E6F82" w:rsidP="00C15251">
      <w:pPr>
        <w:jc w:val="both"/>
        <w:rPr>
          <w:bCs/>
          <w:color w:val="002060"/>
          <w:sz w:val="16"/>
          <w:szCs w:val="16"/>
        </w:rPr>
      </w:pPr>
      <w:r w:rsidRPr="00405303">
        <w:rPr>
          <w:bCs/>
          <w:color w:val="002060"/>
          <w:sz w:val="16"/>
          <w:szCs w:val="16"/>
        </w:rPr>
        <w:t xml:space="preserve">Не был закончен и большой дирижабль на Ижорском заводе. Этот управляемый аэростат строился по типу «Альбатроса». Его оболочка объемом 33 000 куб. м была разделена на 7 отсеков. Предполагалось, что максимальная скорость дирижабля при восьми двигателях (мощностью 250 л. с. каждый) достигнет 108 км/ч. Расчетная высота полета составляла 4000 м, продолжительность полета — около 30 часов, радиус действия — 1500 км. </w:t>
      </w:r>
    </w:p>
    <w:p w14:paraId="45142C3D" w14:textId="77777777" w:rsidR="004B4E35" w:rsidRPr="00405303" w:rsidRDefault="009E6F82" w:rsidP="00C15251">
      <w:pPr>
        <w:jc w:val="both"/>
        <w:rPr>
          <w:bCs/>
          <w:color w:val="002060"/>
          <w:sz w:val="16"/>
          <w:szCs w:val="16"/>
        </w:rPr>
      </w:pPr>
      <w:r w:rsidRPr="00405303">
        <w:rPr>
          <w:bCs/>
          <w:color w:val="002060"/>
          <w:sz w:val="16"/>
          <w:szCs w:val="16"/>
        </w:rPr>
        <w:t>Дирижабли жесткой схемы в России, имевшей слаборазвитую дирижаблестроительную промышленность, не строились. Страна была вынуждена закупать их за границей — в основном у Франции и Германии, которые стремились продать не самые лучшие и современные образцы (11324).</w:t>
      </w:r>
    </w:p>
    <w:p w14:paraId="31F1EC70" w14:textId="77777777" w:rsidR="004B4E35" w:rsidRPr="00405303" w:rsidRDefault="004B4E35" w:rsidP="00C15251">
      <w:pPr>
        <w:pStyle w:val="a3"/>
        <w:jc w:val="both"/>
        <w:rPr>
          <w:bCs/>
          <w:color w:val="002060"/>
          <w:spacing w:val="0"/>
          <w:kern w:val="0"/>
          <w:position w:val="0"/>
          <w:sz w:val="16"/>
          <w:szCs w:val="16"/>
        </w:rPr>
      </w:pPr>
    </w:p>
    <w:p w14:paraId="3FC93C6D" w14:textId="77777777" w:rsidR="00A54B3C" w:rsidRPr="00405303" w:rsidRDefault="00A54B3C" w:rsidP="00C15251">
      <w:pPr>
        <w:jc w:val="both"/>
        <w:rPr>
          <w:rStyle w:val="42"/>
          <w:rFonts w:ascii="Times New Roman" w:hAnsi="Times New Roman" w:cs="Times New Roman"/>
          <w:bCs/>
          <w:color w:val="002060"/>
          <w:w w:val="100"/>
          <w:sz w:val="16"/>
          <w:szCs w:val="16"/>
        </w:rPr>
      </w:pPr>
      <w:bookmarkStart w:id="342" w:name="_Hlk98486122"/>
      <w:bookmarkEnd w:id="340"/>
      <w:r w:rsidRPr="00405303">
        <w:rPr>
          <w:rStyle w:val="42"/>
          <w:rFonts w:ascii="Times New Roman" w:hAnsi="Times New Roman" w:cs="Times New Roman"/>
          <w:bCs/>
          <w:color w:val="002060"/>
          <w:w w:val="100"/>
          <w:sz w:val="16"/>
          <w:szCs w:val="16"/>
        </w:rPr>
        <w:t>К концу 1915 г. основные части дирижабля были готовы. Сборку «Воздушного крейсера», однако, отложили: война внесла свои коррек</w:t>
      </w:r>
      <w:r w:rsidRPr="00405303">
        <w:rPr>
          <w:rStyle w:val="42"/>
          <w:rFonts w:ascii="Times New Roman" w:hAnsi="Times New Roman" w:cs="Times New Roman"/>
          <w:bCs/>
          <w:color w:val="002060"/>
          <w:w w:val="100"/>
          <w:sz w:val="16"/>
          <w:szCs w:val="16"/>
        </w:rPr>
        <w:softHyphen/>
        <w:t>тивы в его тактико-технические характеристи</w:t>
      </w:r>
      <w:r w:rsidRPr="00405303">
        <w:rPr>
          <w:rStyle w:val="42"/>
          <w:rFonts w:ascii="Times New Roman" w:hAnsi="Times New Roman" w:cs="Times New Roman"/>
          <w:bCs/>
          <w:color w:val="002060"/>
          <w:w w:val="100"/>
          <w:sz w:val="16"/>
          <w:szCs w:val="16"/>
        </w:rPr>
        <w:softHyphen/>
        <w:t>ки. По новым требованиям дирижабль должен был совершать полёты на высоте 2500 м и нести 1000 кг бомб. За счёт увеличения боевой нагрузки Военное ведомство соглашалось уменьшить за</w:t>
      </w:r>
      <w:r w:rsidRPr="00405303">
        <w:rPr>
          <w:rStyle w:val="42"/>
          <w:rFonts w:ascii="Times New Roman" w:hAnsi="Times New Roman" w:cs="Times New Roman"/>
          <w:bCs/>
          <w:color w:val="002060"/>
          <w:w w:val="100"/>
          <w:sz w:val="16"/>
          <w:szCs w:val="16"/>
        </w:rPr>
        <w:softHyphen/>
        <w:t>пасы горючего, масла и воды до 15 ч полёта. Ско</w:t>
      </w:r>
      <w:r w:rsidRPr="00405303">
        <w:rPr>
          <w:rStyle w:val="42"/>
          <w:rFonts w:ascii="Times New Roman" w:hAnsi="Times New Roman" w:cs="Times New Roman"/>
          <w:bCs/>
          <w:color w:val="002060"/>
          <w:w w:val="100"/>
          <w:sz w:val="16"/>
          <w:szCs w:val="16"/>
        </w:rPr>
        <w:softHyphen/>
        <w:t>рость оставалась прежней, но оговаривалось, что длина оболочки после наполнения газом должна быть не менее 150 м. В 1916 г., когда завод выпол</w:t>
      </w:r>
      <w:r w:rsidRPr="00405303">
        <w:rPr>
          <w:rStyle w:val="42"/>
          <w:rFonts w:ascii="Times New Roman" w:hAnsi="Times New Roman" w:cs="Times New Roman"/>
          <w:bCs/>
          <w:color w:val="002060"/>
          <w:w w:val="100"/>
          <w:sz w:val="16"/>
          <w:szCs w:val="16"/>
        </w:rPr>
        <w:softHyphen/>
        <w:t>нил необходимые переделки и дирижабль был полностью готов, его испытания из-за дефицита водорода перенесли на конец войны (20120).</w:t>
      </w:r>
    </w:p>
    <w:p w14:paraId="261FEF13" w14:textId="77777777" w:rsidR="00A54B3C" w:rsidRPr="00405303" w:rsidRDefault="00A54B3C" w:rsidP="00C15251">
      <w:pPr>
        <w:jc w:val="both"/>
        <w:rPr>
          <w:bCs/>
          <w:color w:val="002060"/>
          <w:sz w:val="16"/>
          <w:szCs w:val="16"/>
        </w:rPr>
      </w:pPr>
    </w:p>
    <w:bookmarkEnd w:id="342"/>
    <w:p w14:paraId="29085B15" w14:textId="77777777" w:rsidR="004B4E35" w:rsidRPr="00405303" w:rsidRDefault="009E6F82" w:rsidP="00C15251">
      <w:pPr>
        <w:jc w:val="both"/>
        <w:rPr>
          <w:bCs/>
          <w:i/>
          <w:color w:val="002060"/>
          <w:sz w:val="16"/>
          <w:szCs w:val="16"/>
        </w:rPr>
      </w:pPr>
      <w:r w:rsidRPr="00405303">
        <w:rPr>
          <w:bCs/>
          <w:i/>
          <w:color w:val="002060"/>
          <w:sz w:val="16"/>
          <w:szCs w:val="16"/>
        </w:rPr>
        <w:t>Другие оборонные отрасли:</w:t>
      </w:r>
    </w:p>
    <w:p w14:paraId="409AF8AA" w14:textId="77777777" w:rsidR="004B4E35" w:rsidRPr="00405303" w:rsidRDefault="004B4E35" w:rsidP="00C15251">
      <w:pPr>
        <w:jc w:val="both"/>
        <w:rPr>
          <w:bCs/>
          <w:i/>
          <w:color w:val="002060"/>
          <w:sz w:val="16"/>
          <w:szCs w:val="16"/>
        </w:rPr>
      </w:pPr>
    </w:p>
    <w:p w14:paraId="144268E7" w14:textId="77777777" w:rsidR="00676189" w:rsidRPr="00405303" w:rsidRDefault="00676189" w:rsidP="00C15251">
      <w:pPr>
        <w:pStyle w:val="31"/>
        <w:shd w:val="clear" w:color="auto" w:fill="auto"/>
        <w:spacing w:line="240" w:lineRule="auto"/>
        <w:ind w:firstLine="0"/>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lastRenderedPageBreak/>
        <w:t>В конце 1915 г. в 1-й Запасной тяжелый артиллерийский полк, квартировавший в Цар</w:t>
      </w:r>
      <w:r w:rsidRPr="00405303">
        <w:rPr>
          <w:rFonts w:ascii="Times New Roman" w:hAnsi="Times New Roman" w:cs="Times New Roman"/>
          <w:bCs/>
          <w:color w:val="002060"/>
          <w:sz w:val="16"/>
          <w:szCs w:val="16"/>
        </w:rPr>
        <w:softHyphen/>
        <w:t>ском Селе, начали поступать английские па</w:t>
      </w:r>
      <w:r w:rsidRPr="00405303">
        <w:rPr>
          <w:rFonts w:ascii="Times New Roman" w:hAnsi="Times New Roman" w:cs="Times New Roman"/>
          <w:bCs/>
          <w:color w:val="002060"/>
          <w:sz w:val="16"/>
          <w:szCs w:val="16"/>
        </w:rPr>
        <w:softHyphen/>
        <w:t>ровые тракторы «Фоулер» трех моделей весом от 950 до 1150 пудов, повторявшие в целом конструкцию дорожных локомотивов времен Русско-турецкой войны. Эти громоздкие ма</w:t>
      </w:r>
      <w:r w:rsidRPr="00405303">
        <w:rPr>
          <w:rFonts w:ascii="Times New Roman" w:hAnsi="Times New Roman" w:cs="Times New Roman"/>
          <w:bCs/>
          <w:color w:val="002060"/>
          <w:sz w:val="16"/>
          <w:szCs w:val="16"/>
        </w:rPr>
        <w:softHyphen/>
        <w:t>шины предназначались для транспортировки английских восьми- и двенадцатидюймовых гаубиц «Виккерс». Весной 1916 г. «Фоулеры» успешно испытали перевозкой артиллерийс</w:t>
      </w:r>
      <w:r w:rsidRPr="00405303">
        <w:rPr>
          <w:rFonts w:ascii="Times New Roman" w:hAnsi="Times New Roman" w:cs="Times New Roman"/>
          <w:bCs/>
          <w:color w:val="002060"/>
          <w:sz w:val="16"/>
          <w:szCs w:val="16"/>
        </w:rPr>
        <w:softHyphen/>
        <w:t>ких грузов по маршруту Царское Село - Гат</w:t>
      </w:r>
      <w:r w:rsidRPr="00405303">
        <w:rPr>
          <w:rFonts w:ascii="Times New Roman" w:hAnsi="Times New Roman" w:cs="Times New Roman"/>
          <w:bCs/>
          <w:color w:val="002060"/>
          <w:sz w:val="16"/>
          <w:szCs w:val="16"/>
        </w:rPr>
        <w:softHyphen/>
        <w:t>чина, а летом три машины совершили испыта</w:t>
      </w:r>
      <w:r w:rsidRPr="00405303">
        <w:rPr>
          <w:rFonts w:ascii="Times New Roman" w:hAnsi="Times New Roman" w:cs="Times New Roman"/>
          <w:bCs/>
          <w:color w:val="002060"/>
          <w:sz w:val="16"/>
          <w:szCs w:val="16"/>
        </w:rPr>
        <w:softHyphen/>
        <w:t>тельный пробег на 320 верст по маршруту Цар</w:t>
      </w:r>
      <w:r w:rsidRPr="00405303">
        <w:rPr>
          <w:rFonts w:ascii="Times New Roman" w:hAnsi="Times New Roman" w:cs="Times New Roman"/>
          <w:bCs/>
          <w:color w:val="002060"/>
          <w:sz w:val="16"/>
          <w:szCs w:val="16"/>
        </w:rPr>
        <w:softHyphen/>
        <w:t>ское Село - Новгород - Царское Село. Осенью эти же три «Фоулера» транспортировали две</w:t>
      </w:r>
      <w:r w:rsidRPr="00405303">
        <w:rPr>
          <w:rFonts w:ascii="Times New Roman" w:hAnsi="Times New Roman" w:cs="Times New Roman"/>
          <w:bCs/>
          <w:color w:val="002060"/>
          <w:sz w:val="16"/>
          <w:szCs w:val="16"/>
        </w:rPr>
        <w:softHyphen/>
        <w:t>надцатидюймовую батарею из Царского Села в Красное Село, где планировалось провести учебные стрельбы. Однако, пройдя всего лишь около шести верст, дорожные паровозы без</w:t>
      </w:r>
      <w:r w:rsidRPr="00405303">
        <w:rPr>
          <w:rFonts w:ascii="Times New Roman" w:hAnsi="Times New Roman" w:cs="Times New Roman"/>
          <w:bCs/>
          <w:color w:val="002060"/>
          <w:sz w:val="16"/>
          <w:szCs w:val="16"/>
        </w:rPr>
        <w:softHyphen/>
        <w:t>надежно застряли в глубоком снегу, и никаки</w:t>
      </w:r>
      <w:r w:rsidRPr="00405303">
        <w:rPr>
          <w:rFonts w:ascii="Times New Roman" w:hAnsi="Times New Roman" w:cs="Times New Roman"/>
          <w:bCs/>
          <w:color w:val="002060"/>
          <w:sz w:val="16"/>
          <w:szCs w:val="16"/>
        </w:rPr>
        <w:softHyphen/>
        <w:t>ми силами вытащить их не удалось. Простояв на заснеженном шоссе всю зиму, «Фоулеры» продолжили движение только в апреле 1917 г., когда растаял снег и высохли дороги (15775).</w:t>
      </w:r>
    </w:p>
    <w:p w14:paraId="52BF22E9" w14:textId="77777777" w:rsidR="00676189" w:rsidRPr="00405303" w:rsidRDefault="00676189" w:rsidP="00C15251">
      <w:pPr>
        <w:pStyle w:val="31"/>
        <w:shd w:val="clear" w:color="auto" w:fill="auto"/>
        <w:spacing w:line="240" w:lineRule="auto"/>
        <w:ind w:firstLine="0"/>
        <w:rPr>
          <w:rFonts w:ascii="Times New Roman" w:hAnsi="Times New Roman" w:cs="Times New Roman"/>
          <w:bCs/>
          <w:color w:val="002060"/>
          <w:sz w:val="16"/>
          <w:szCs w:val="16"/>
        </w:rPr>
      </w:pPr>
    </w:p>
    <w:p w14:paraId="4A015FB4" w14:textId="77777777" w:rsidR="00073F75" w:rsidRPr="00B52707" w:rsidRDefault="00073F75" w:rsidP="00073F75">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В конце 1915 г. Ставка требовала 200 млн патронов в месяц. Поскольку уже существовавшие отечественные заводы удовлетворить такие запросы не могли, ГАУ спешно приступило к строительству мощного завода в Симбирске. Однако он вступил в строй только в 1918 г. Недостаток патронов покрывался в основном закупками за границей. В 1914– 1915 гг. в различных странах было заказано 3 084 млн патронов, в Россию же поступило всего 150 млн в 1915 г. и 833 млн – в 1916 г. (25601).</w:t>
      </w:r>
    </w:p>
    <w:p w14:paraId="31C14BBE" w14:textId="77777777" w:rsidR="00073F75" w:rsidRPr="00B52707" w:rsidRDefault="00073F75" w:rsidP="00073F75">
      <w:pPr>
        <w:jc w:val="both"/>
        <w:rPr>
          <w:rStyle w:val="aa"/>
          <w:rFonts w:ascii="Times New Roman" w:hAnsi="Times New Roman"/>
          <w:color w:val="0070C0"/>
          <w:spacing w:val="0"/>
          <w:sz w:val="16"/>
          <w:szCs w:val="16"/>
        </w:rPr>
      </w:pPr>
    </w:p>
    <w:p w14:paraId="09AB18F1" w14:textId="7BC05414" w:rsidR="00676189" w:rsidRPr="00405303" w:rsidRDefault="00676189" w:rsidP="00C15251">
      <w:pPr>
        <w:jc w:val="both"/>
        <w:rPr>
          <w:bCs/>
          <w:color w:val="002060"/>
          <w:sz w:val="16"/>
          <w:szCs w:val="16"/>
        </w:rPr>
      </w:pPr>
      <w:r w:rsidRPr="00405303">
        <w:rPr>
          <w:bCs/>
          <w:color w:val="002060"/>
          <w:sz w:val="16"/>
          <w:szCs w:val="16"/>
        </w:rPr>
        <w:t>В конце 1915 г. по инициативе А. Н. Второва и А. И. Кузнецова в Москве было создано Военно-промышленное общество, акционерный капитал которого составлял 6 млн. рублей. В числе крупнейших пайщиков общества были П. Рябушинский, Коновалов, Третьяков и другие. В уставе этого общества отмечалось, что оно имеет своей целью производить орудия, пулемёты, патроны и снаряды</w:t>
      </w:r>
      <w:proofErr w:type="gramStart"/>
      <w:r w:rsidRPr="00405303">
        <w:rPr>
          <w:bCs/>
          <w:color w:val="002060"/>
          <w:sz w:val="16"/>
          <w:szCs w:val="16"/>
          <w:vertAlign w:val="superscript"/>
        </w:rPr>
        <w:t>16</w:t>
      </w:r>
      <w:r w:rsidR="00DB4D64" w:rsidRPr="00405303">
        <w:rPr>
          <w:bCs/>
          <w:color w:val="002060"/>
          <w:sz w:val="16"/>
          <w:szCs w:val="16"/>
        </w:rPr>
        <w:t xml:space="preserve"> </w:t>
      </w:r>
      <w:r w:rsidRPr="00405303">
        <w:rPr>
          <w:bCs/>
          <w:color w:val="002060"/>
          <w:sz w:val="16"/>
          <w:szCs w:val="16"/>
        </w:rPr>
        <w:t>.</w:t>
      </w:r>
      <w:proofErr w:type="gramEnd"/>
      <w:r w:rsidRPr="00405303">
        <w:rPr>
          <w:bCs/>
          <w:color w:val="002060"/>
          <w:sz w:val="16"/>
          <w:szCs w:val="16"/>
        </w:rPr>
        <w:t xml:space="preserve"> В действительности же завод, организованный Военно-промышленным обществом, производил исключительно снаряды. Его производительность составляла в сутки до 3 тыс. штук трёхдюймовых снарядов и около тысячи штук снарядов более крупных калибров.</w:t>
      </w:r>
    </w:p>
    <w:p w14:paraId="03E8964B" w14:textId="77777777" w:rsidR="00676189" w:rsidRPr="00405303" w:rsidRDefault="00676189" w:rsidP="00C15251">
      <w:pPr>
        <w:jc w:val="both"/>
        <w:rPr>
          <w:bCs/>
          <w:color w:val="002060"/>
          <w:sz w:val="16"/>
          <w:szCs w:val="16"/>
        </w:rPr>
      </w:pPr>
      <w:r w:rsidRPr="00405303">
        <w:rPr>
          <w:bCs/>
          <w:color w:val="002060"/>
          <w:sz w:val="16"/>
          <w:szCs w:val="16"/>
        </w:rPr>
        <w:t>Не удовлетворившись своим руководящим участием в Московском промышленном обществе, Н. А. Второв организовал в Москве собственный крупнейший снарядный завод, выпускавший 40 тыс. трёхдюймовых снарядов в день (18381).</w:t>
      </w:r>
    </w:p>
    <w:p w14:paraId="0CDA6C54" w14:textId="77777777" w:rsidR="00676189" w:rsidRPr="00405303" w:rsidRDefault="00676189" w:rsidP="00C15251">
      <w:pPr>
        <w:jc w:val="both"/>
        <w:rPr>
          <w:bCs/>
          <w:color w:val="002060"/>
          <w:sz w:val="16"/>
          <w:szCs w:val="16"/>
        </w:rPr>
      </w:pPr>
    </w:p>
    <w:p w14:paraId="327A8505" w14:textId="77777777" w:rsidR="00676189" w:rsidRPr="00405303" w:rsidRDefault="00676189" w:rsidP="00C15251">
      <w:pPr>
        <w:jc w:val="both"/>
        <w:rPr>
          <w:bCs/>
          <w:color w:val="002060"/>
          <w:sz w:val="16"/>
          <w:szCs w:val="16"/>
        </w:rPr>
      </w:pPr>
      <w:r w:rsidRPr="00405303">
        <w:rPr>
          <w:bCs/>
          <w:color w:val="002060"/>
          <w:sz w:val="16"/>
          <w:szCs w:val="16"/>
        </w:rPr>
        <w:t>В конце 1915 г. министерство финансов обратило внимание на закабаление промышленности банками, которые, которые выдавая свои гарантии не за маленькие проценты (Особое совещание по обороне установило правило, по которому выдача аванса до 65 % должна была производиться под гарантию банков.Гарантийные операции банков, способствуя расширению финансового капитала, в то же время влияли на повышение цен по военным заказам, так как в цены на предметы снабжения армии заранее включались надбавки на уплату процентов банку) и преследовали исключительно свои ростовщические цели, нисколько не считаясь ни с состоянием попавших к ним в сети заводов, ни с интересами казны и рекомендовало военному министерству установить такой порядок предоставления заказов, при котором промышленность могла бы обходиться без банковских гарантий. В феврале 1916 г. этот новый порядок был установлен. Военный министр приказал всем начальникам главных управлений выдавать заказы без гарантии банков. Для этого рекомендовалось, чтобы "учреждения, дающие заказы, входили в рассмотрение вопроса о кредитоспособности предприятий и о возможности выдачи им просимых задатков без поручительства банков.</w:t>
      </w:r>
    </w:p>
    <w:p w14:paraId="214DD4A1" w14:textId="77777777" w:rsidR="00676189" w:rsidRPr="00405303" w:rsidRDefault="00676189" w:rsidP="00C15251">
      <w:pPr>
        <w:jc w:val="both"/>
        <w:rPr>
          <w:bCs/>
          <w:color w:val="002060"/>
          <w:sz w:val="16"/>
          <w:szCs w:val="16"/>
        </w:rPr>
      </w:pPr>
      <w:r w:rsidRPr="00405303">
        <w:rPr>
          <w:bCs/>
          <w:color w:val="002060"/>
          <w:sz w:val="16"/>
          <w:szCs w:val="16"/>
        </w:rPr>
        <w:t>Но это указание военного министерства только урезало гарантийные операции банков, а не ликвидировало их целиком. В письме военного министра отмечалось, что факт признания обследованного военведом предприятия некредитоспособным и отказа в выдаче ему аванса под заказ должен быть зафиксирован в специальном удостоверении. Гарантийные операции банков разрешалось производить по отношению к предприятиям, предъявившим такое удостоверение. Таким образом, с 1916 г. гарантийные операции банков могли развёртываться лишь по отношению к наиболее мелким, недостаточно кредитоспособным предприятиям. Гарантийные операции банков с этого момента стали орудием подчинения финансовому капиталу мелких предпринимателей. По данным буржуазной печати, банки получали за эти гарантии от 16 до 18% общей стоимости военных заказов (18381).</w:t>
      </w:r>
    </w:p>
    <w:p w14:paraId="41E2E6BA" w14:textId="77777777" w:rsidR="00676189" w:rsidRPr="00405303" w:rsidRDefault="00676189" w:rsidP="00C15251">
      <w:pPr>
        <w:jc w:val="both"/>
        <w:rPr>
          <w:bCs/>
          <w:color w:val="002060"/>
          <w:sz w:val="16"/>
          <w:szCs w:val="16"/>
        </w:rPr>
      </w:pPr>
    </w:p>
    <w:p w14:paraId="38BA36ED" w14:textId="77777777" w:rsidR="00676189" w:rsidRPr="00405303" w:rsidRDefault="00676189" w:rsidP="00C15251">
      <w:pPr>
        <w:pStyle w:val="p1"/>
        <w:spacing w:before="0" w:beforeAutospacing="0" w:after="0" w:afterAutospacing="0"/>
        <w:jc w:val="both"/>
        <w:rPr>
          <w:bCs/>
          <w:color w:val="002060"/>
          <w:sz w:val="16"/>
          <w:szCs w:val="16"/>
        </w:rPr>
      </w:pPr>
      <w:r w:rsidRPr="00405303">
        <w:rPr>
          <w:bCs/>
          <w:color w:val="002060"/>
          <w:sz w:val="16"/>
          <w:szCs w:val="16"/>
        </w:rPr>
        <w:t xml:space="preserve">К концу 1915 г. в справке ГВТУ отмечалась активность шести русских фирм, рассчитывавших получить поставку автомобилей. Из них «уже строил автомобили» один только «Русско-Балтийский вагонный завод», при этом количество деталей, импортируемых РБВЗ, к 1914 г. «свелось к минимуму»: магнето, карбюраторы, обода колес «и некоторые другие». Эвакуированный из Риги в Фили (на окраине Москвы), завод «приступил к налажению этого дела» на новом </w:t>
      </w:r>
      <w:proofErr w:type="gramStart"/>
      <w:r w:rsidRPr="00405303">
        <w:rPr>
          <w:bCs/>
          <w:color w:val="002060"/>
          <w:sz w:val="16"/>
          <w:szCs w:val="16"/>
        </w:rPr>
        <w:t>месте[</w:t>
      </w:r>
      <w:proofErr w:type="gramEnd"/>
      <w:r w:rsidRPr="00405303">
        <w:rPr>
          <w:bCs/>
          <w:color w:val="002060"/>
          <w:sz w:val="16"/>
          <w:szCs w:val="16"/>
        </w:rPr>
        <w:t xml:space="preserve">149]. Среди остальных пяти фирм о той или иной причастности к автомобильному делу имели основание заявлять ремонтные мастерские компании П. Ильина в Москве, за которыми числился «большой опыт в ремонте и постройке кузовов» (вскоре, однако, вопрос о заказе этой фирме «отпал» из-за увеличения запрошенной </w:t>
      </w:r>
      <w:proofErr w:type="gramStart"/>
      <w:r w:rsidRPr="00405303">
        <w:rPr>
          <w:bCs/>
          <w:color w:val="002060"/>
          <w:sz w:val="16"/>
          <w:szCs w:val="16"/>
        </w:rPr>
        <w:t>цены</w:t>
      </w:r>
      <w:r w:rsidRPr="00405303">
        <w:rPr>
          <w:bCs/>
          <w:color w:val="002060"/>
          <w:sz w:val="16"/>
          <w:szCs w:val="16"/>
          <w:vertAlign w:val="superscript"/>
        </w:rPr>
        <w:t>{</w:t>
      </w:r>
      <w:proofErr w:type="gramEnd"/>
      <w:r w:rsidRPr="00405303">
        <w:rPr>
          <w:bCs/>
          <w:color w:val="002060"/>
          <w:sz w:val="16"/>
          <w:szCs w:val="16"/>
          <w:vertAlign w:val="superscript"/>
        </w:rPr>
        <w:t>601}</w:t>
      </w:r>
      <w:r w:rsidRPr="00405303">
        <w:rPr>
          <w:bCs/>
          <w:color w:val="002060"/>
          <w:sz w:val="16"/>
          <w:szCs w:val="16"/>
        </w:rPr>
        <w:t xml:space="preserve">), и мастерские в Петрограде фирмы «Русский Рено» — «весьма солидного предприятия» с «большим техническим опытом». Доставляемые в Россию грузовики фирма «Рено» отправляла на свой завод в Рыбинск, где машины «распаковывались, осматривались и приводились в </w:t>
      </w:r>
      <w:proofErr w:type="gramStart"/>
      <w:r w:rsidRPr="00405303">
        <w:rPr>
          <w:bCs/>
          <w:color w:val="002060"/>
          <w:sz w:val="16"/>
          <w:szCs w:val="16"/>
        </w:rPr>
        <w:t>исправность»</w:t>
      </w:r>
      <w:r w:rsidRPr="00405303">
        <w:rPr>
          <w:bCs/>
          <w:color w:val="002060"/>
          <w:sz w:val="16"/>
          <w:szCs w:val="16"/>
          <w:vertAlign w:val="superscript"/>
        </w:rPr>
        <w:t>{</w:t>
      </w:r>
      <w:proofErr w:type="gramEnd"/>
      <w:r w:rsidRPr="00405303">
        <w:rPr>
          <w:bCs/>
          <w:color w:val="002060"/>
          <w:sz w:val="16"/>
          <w:szCs w:val="16"/>
          <w:vertAlign w:val="superscript"/>
        </w:rPr>
        <w:t>602}</w:t>
      </w:r>
      <w:r w:rsidRPr="00405303">
        <w:rPr>
          <w:bCs/>
          <w:color w:val="002060"/>
          <w:sz w:val="16"/>
          <w:szCs w:val="16"/>
        </w:rPr>
        <w:t>. (В Петрограде фирма занималась во время войны только заказами Организации Ванкова на запальные стаканы и детонаторы, «не имея для других целей никаких орудий производства».</w:t>
      </w:r>
    </w:p>
    <w:p w14:paraId="5AD9F544" w14:textId="77777777" w:rsidR="00676189" w:rsidRPr="00405303" w:rsidRDefault="00676189" w:rsidP="00C15251">
      <w:pPr>
        <w:pStyle w:val="p1"/>
        <w:spacing w:before="0" w:beforeAutospacing="0" w:after="0" w:afterAutospacing="0"/>
        <w:jc w:val="both"/>
        <w:rPr>
          <w:bCs/>
          <w:color w:val="002060"/>
          <w:sz w:val="16"/>
          <w:szCs w:val="16"/>
        </w:rPr>
      </w:pPr>
      <w:r w:rsidRPr="00405303">
        <w:rPr>
          <w:bCs/>
          <w:color w:val="002060"/>
          <w:sz w:val="16"/>
          <w:szCs w:val="16"/>
        </w:rPr>
        <w:t>Прочие же три фирмы лишь проявили готовность приспособиться к постройке автомобилей. Это были «А. о. воздухоплавания В.А. Лебедев» с заводом аэропланов в Петрограде, устраивавшее также завод в Ярославле; механический завод а. о. «Аксай» в Нахичевани — «одно из крупных и прекрасно оборудованных предприятий Юга России»; проект автомобильного завода для общества А. Кузнецов и С. Рябушинский готовили в США. «Предполагали приступить» к организации автомобильных заводов в России, кроме «Рено», еще «Фиат», американская «General Motors Truck &amp; С°», общество Бекос, французская «Шнейдер и К</w:t>
      </w:r>
      <w:r w:rsidRPr="00405303">
        <w:rPr>
          <w:bCs/>
          <w:color w:val="002060"/>
          <w:sz w:val="16"/>
          <w:szCs w:val="16"/>
          <w:vertAlign w:val="superscript"/>
        </w:rPr>
        <w:t>0</w:t>
      </w:r>
      <w:r w:rsidRPr="00405303">
        <w:rPr>
          <w:bCs/>
          <w:color w:val="002060"/>
          <w:sz w:val="16"/>
          <w:szCs w:val="16"/>
        </w:rPr>
        <w:t>». Свой завод под Одессой устраивала американская компания Roumley Motor Truck Co. (18366).</w:t>
      </w:r>
    </w:p>
    <w:p w14:paraId="76A3235E" w14:textId="77777777" w:rsidR="00676189" w:rsidRPr="00405303" w:rsidRDefault="00676189" w:rsidP="00C15251">
      <w:pPr>
        <w:pStyle w:val="p1"/>
        <w:spacing w:before="0" w:beforeAutospacing="0" w:after="0" w:afterAutospacing="0"/>
        <w:jc w:val="both"/>
        <w:rPr>
          <w:bCs/>
          <w:color w:val="002060"/>
          <w:sz w:val="16"/>
          <w:szCs w:val="16"/>
        </w:rPr>
      </w:pPr>
    </w:p>
    <w:p w14:paraId="6B90BC0A" w14:textId="77777777" w:rsidR="00676189" w:rsidRPr="00405303" w:rsidRDefault="00676189" w:rsidP="00C15251">
      <w:pPr>
        <w:pStyle w:val="krstr"/>
        <w:spacing w:before="0" w:beforeAutospacing="0" w:after="0" w:afterAutospacing="0"/>
        <w:jc w:val="both"/>
        <w:rPr>
          <w:bCs/>
          <w:color w:val="002060"/>
          <w:sz w:val="16"/>
          <w:szCs w:val="16"/>
        </w:rPr>
      </w:pPr>
      <w:r w:rsidRPr="00405303">
        <w:rPr>
          <w:bCs/>
          <w:color w:val="002060"/>
          <w:sz w:val="16"/>
          <w:szCs w:val="16"/>
        </w:rPr>
        <w:t>В конце 1915 г. по решению Особого государственного совещания по обороне Российской империи в Москве, у Преображенской заставы, на территории нынешнего завода "Изолит" началось строительство завода, рассчитанного на выпуск 1200 телеграфных и 12 тыс. телефонных аппаратов. В мае 1917 г. ВИВ объявило об открытии завода, на котором работало 450 человек (18373).</w:t>
      </w:r>
    </w:p>
    <w:p w14:paraId="2A8AC53E" w14:textId="77777777" w:rsidR="00676189" w:rsidRPr="00405303" w:rsidRDefault="00676189" w:rsidP="00C15251">
      <w:pPr>
        <w:pStyle w:val="krstr"/>
        <w:spacing w:before="0" w:beforeAutospacing="0" w:after="0" w:afterAutospacing="0"/>
        <w:jc w:val="both"/>
        <w:rPr>
          <w:bCs/>
          <w:color w:val="002060"/>
          <w:sz w:val="16"/>
          <w:szCs w:val="16"/>
        </w:rPr>
      </w:pPr>
    </w:p>
    <w:p w14:paraId="55BA2D22" w14:textId="77777777" w:rsidR="00073F75" w:rsidRPr="00B52707" w:rsidRDefault="00073F75" w:rsidP="00073F75">
      <w:pPr>
        <w:jc w:val="both"/>
        <w:rPr>
          <w:color w:val="0070C0"/>
          <w:sz w:val="16"/>
          <w:szCs w:val="16"/>
        </w:rPr>
      </w:pPr>
      <w:r w:rsidRPr="00B52707">
        <w:rPr>
          <w:rStyle w:val="aa"/>
          <w:rFonts w:ascii="Times New Roman" w:hAnsi="Times New Roman"/>
          <w:color w:val="0070C0"/>
          <w:spacing w:val="0"/>
          <w:sz w:val="16"/>
          <w:szCs w:val="16"/>
        </w:rPr>
        <w:t>В конце 1915 г. по предложению чле</w:t>
      </w:r>
      <w:r w:rsidRPr="00B52707">
        <w:rPr>
          <w:rStyle w:val="aa"/>
          <w:rFonts w:ascii="Times New Roman" w:hAnsi="Times New Roman"/>
          <w:color w:val="0070C0"/>
          <w:spacing w:val="0"/>
          <w:sz w:val="16"/>
          <w:szCs w:val="16"/>
        </w:rPr>
        <w:softHyphen/>
        <w:t>на Центрального военного комитета инжене</w:t>
      </w:r>
      <w:r w:rsidRPr="00B52707">
        <w:rPr>
          <w:rStyle w:val="aa"/>
          <w:rFonts w:ascii="Times New Roman" w:hAnsi="Times New Roman"/>
          <w:color w:val="0070C0"/>
          <w:spacing w:val="0"/>
          <w:sz w:val="16"/>
          <w:szCs w:val="16"/>
        </w:rPr>
        <w:softHyphen/>
        <w:t>ра М.В. Пиолунковского было принято прави</w:t>
      </w:r>
      <w:r w:rsidRPr="00B52707">
        <w:rPr>
          <w:rStyle w:val="aa"/>
          <w:rFonts w:ascii="Times New Roman" w:hAnsi="Times New Roman"/>
          <w:color w:val="0070C0"/>
          <w:spacing w:val="0"/>
          <w:sz w:val="16"/>
          <w:szCs w:val="16"/>
        </w:rPr>
        <w:softHyphen/>
        <w:t>тельственное решение об образовании наци</w:t>
      </w:r>
      <w:r w:rsidRPr="00B52707">
        <w:rPr>
          <w:rStyle w:val="aa"/>
          <w:rFonts w:ascii="Times New Roman" w:hAnsi="Times New Roman"/>
          <w:color w:val="0070C0"/>
          <w:spacing w:val="0"/>
          <w:sz w:val="16"/>
          <w:szCs w:val="16"/>
        </w:rPr>
        <w:softHyphen/>
        <w:t>ональной автомобильной промышленности. При этом решили привлечь к созданию оте</w:t>
      </w:r>
      <w:r w:rsidRPr="00B52707">
        <w:rPr>
          <w:rStyle w:val="aa"/>
          <w:rFonts w:ascii="Times New Roman" w:hAnsi="Times New Roman"/>
          <w:color w:val="0070C0"/>
          <w:spacing w:val="0"/>
          <w:sz w:val="16"/>
          <w:szCs w:val="16"/>
        </w:rPr>
        <w:softHyphen/>
        <w:t>чественной автомобильной промышленности как государственный, так и частный капитал.</w:t>
      </w:r>
    </w:p>
    <w:p w14:paraId="6262481E" w14:textId="77777777" w:rsidR="00073F75" w:rsidRPr="00B52707" w:rsidRDefault="00073F75" w:rsidP="00073F75">
      <w:pPr>
        <w:jc w:val="both"/>
        <w:rPr>
          <w:color w:val="0070C0"/>
          <w:sz w:val="16"/>
          <w:szCs w:val="16"/>
        </w:rPr>
      </w:pPr>
      <w:r w:rsidRPr="00B52707">
        <w:rPr>
          <w:rStyle w:val="aa"/>
          <w:rFonts w:ascii="Times New Roman" w:hAnsi="Times New Roman"/>
          <w:color w:val="0070C0"/>
          <w:spacing w:val="0"/>
          <w:sz w:val="16"/>
          <w:szCs w:val="16"/>
        </w:rPr>
        <w:t>Вскоре началось строительство новых ше</w:t>
      </w:r>
      <w:r w:rsidRPr="00B52707">
        <w:rPr>
          <w:rStyle w:val="aa"/>
          <w:rFonts w:ascii="Times New Roman" w:hAnsi="Times New Roman"/>
          <w:color w:val="0070C0"/>
          <w:spacing w:val="0"/>
          <w:sz w:val="16"/>
          <w:szCs w:val="16"/>
        </w:rPr>
        <w:softHyphen/>
        <w:t>сти автомобильных заводов:</w:t>
      </w:r>
    </w:p>
    <w:p w14:paraId="6F758DC6" w14:textId="77777777" w:rsidR="00073F75" w:rsidRPr="00B52707" w:rsidRDefault="00073F75" w:rsidP="00073F75">
      <w:pPr>
        <w:widowControl w:val="0"/>
        <w:tabs>
          <w:tab w:val="left" w:pos="483"/>
        </w:tabs>
        <w:jc w:val="both"/>
        <w:rPr>
          <w:color w:val="0070C0"/>
          <w:sz w:val="16"/>
          <w:szCs w:val="16"/>
        </w:rPr>
      </w:pPr>
      <w:r w:rsidRPr="00B52707">
        <w:rPr>
          <w:rStyle w:val="aa"/>
          <w:rFonts w:ascii="Times New Roman" w:hAnsi="Times New Roman"/>
          <w:color w:val="0070C0"/>
          <w:spacing w:val="0"/>
          <w:sz w:val="16"/>
          <w:szCs w:val="16"/>
        </w:rPr>
        <w:t>- в Москве: Товарищество на паях Авто</w:t>
      </w:r>
      <w:r w:rsidRPr="00B52707">
        <w:rPr>
          <w:rStyle w:val="aa"/>
          <w:rFonts w:ascii="Times New Roman" w:hAnsi="Times New Roman"/>
          <w:color w:val="0070C0"/>
          <w:spacing w:val="0"/>
          <w:sz w:val="16"/>
          <w:szCs w:val="16"/>
        </w:rPr>
        <w:softHyphen/>
        <w:t>мобильного Московского завода (АМО) под управлением Торгового дома «Куз</w:t>
      </w:r>
      <w:r w:rsidRPr="00B52707">
        <w:rPr>
          <w:rStyle w:val="aa"/>
          <w:rFonts w:ascii="Times New Roman" w:hAnsi="Times New Roman"/>
          <w:color w:val="0070C0"/>
          <w:spacing w:val="0"/>
          <w:sz w:val="16"/>
          <w:szCs w:val="16"/>
        </w:rPr>
        <w:softHyphen/>
        <w:t>нецов, Рябушинские и К°», предпо</w:t>
      </w:r>
      <w:r w:rsidRPr="00B52707">
        <w:rPr>
          <w:rStyle w:val="aa"/>
          <w:rFonts w:ascii="Times New Roman" w:hAnsi="Times New Roman"/>
          <w:color w:val="0070C0"/>
          <w:spacing w:val="0"/>
          <w:sz w:val="16"/>
          <w:szCs w:val="16"/>
        </w:rPr>
        <w:softHyphen/>
        <w:t>лагавшее производство автомоби</w:t>
      </w:r>
      <w:r w:rsidRPr="00B52707">
        <w:rPr>
          <w:rStyle w:val="aa"/>
          <w:rFonts w:ascii="Times New Roman" w:hAnsi="Times New Roman"/>
          <w:color w:val="0070C0"/>
          <w:spacing w:val="0"/>
          <w:sz w:val="16"/>
          <w:szCs w:val="16"/>
        </w:rPr>
        <w:softHyphen/>
        <w:t>лей по лицензии итальянской фирмы ФИАТ (</w:t>
      </w:r>
      <w:r w:rsidRPr="00B52707">
        <w:rPr>
          <w:rStyle w:val="aa"/>
          <w:rFonts w:ascii="Times New Roman" w:hAnsi="Times New Roman"/>
          <w:color w:val="0070C0"/>
          <w:spacing w:val="0"/>
          <w:sz w:val="16"/>
          <w:szCs w:val="16"/>
          <w:lang w:val="en-US"/>
        </w:rPr>
        <w:t>FIAT</w:t>
      </w:r>
      <w:r w:rsidRPr="00B52707">
        <w:rPr>
          <w:rStyle w:val="aa"/>
          <w:rFonts w:ascii="Times New Roman" w:hAnsi="Times New Roman"/>
          <w:color w:val="0070C0"/>
          <w:spacing w:val="0"/>
          <w:sz w:val="16"/>
          <w:szCs w:val="16"/>
        </w:rPr>
        <w:t>);</w:t>
      </w:r>
    </w:p>
    <w:p w14:paraId="0BCCCDD5" w14:textId="77777777" w:rsidR="00073F75" w:rsidRPr="00B52707" w:rsidRDefault="00073F75" w:rsidP="00073F75">
      <w:pPr>
        <w:widowControl w:val="0"/>
        <w:tabs>
          <w:tab w:val="left" w:pos="483"/>
        </w:tabs>
        <w:jc w:val="both"/>
        <w:rPr>
          <w:color w:val="0070C0"/>
          <w:sz w:val="16"/>
          <w:szCs w:val="16"/>
        </w:rPr>
      </w:pPr>
      <w:r w:rsidRPr="00B52707">
        <w:rPr>
          <w:rStyle w:val="aa"/>
          <w:rFonts w:ascii="Times New Roman" w:hAnsi="Times New Roman"/>
          <w:color w:val="0070C0"/>
          <w:spacing w:val="0"/>
          <w:sz w:val="16"/>
          <w:szCs w:val="16"/>
        </w:rPr>
        <w:t>- в Рыбинске: завод Акционерного обще</w:t>
      </w:r>
      <w:r w:rsidRPr="00B52707">
        <w:rPr>
          <w:rStyle w:val="aa"/>
          <w:rFonts w:ascii="Times New Roman" w:hAnsi="Times New Roman"/>
          <w:color w:val="0070C0"/>
          <w:spacing w:val="0"/>
          <w:sz w:val="16"/>
          <w:szCs w:val="16"/>
        </w:rPr>
        <w:softHyphen/>
        <w:t>ства «Русский Рено»;</w:t>
      </w:r>
    </w:p>
    <w:p w14:paraId="4B01233E" w14:textId="77777777" w:rsidR="00073F75" w:rsidRPr="00B52707" w:rsidRDefault="00073F75" w:rsidP="00073F75">
      <w:pPr>
        <w:jc w:val="both"/>
        <w:rPr>
          <w:color w:val="0070C0"/>
          <w:sz w:val="16"/>
          <w:szCs w:val="16"/>
        </w:rPr>
      </w:pPr>
      <w:r w:rsidRPr="00B52707">
        <w:rPr>
          <w:rStyle w:val="aa"/>
          <w:rFonts w:ascii="Times New Roman" w:hAnsi="Times New Roman"/>
          <w:color w:val="0070C0"/>
          <w:spacing w:val="0"/>
          <w:sz w:val="16"/>
          <w:szCs w:val="16"/>
        </w:rPr>
        <w:t>- в Ярославле: Акционерное общество механических передвижений «В.А. Ле</w:t>
      </w:r>
      <w:r w:rsidRPr="00B52707">
        <w:rPr>
          <w:rStyle w:val="aa"/>
          <w:rFonts w:ascii="Times New Roman" w:hAnsi="Times New Roman"/>
          <w:color w:val="0070C0"/>
          <w:spacing w:val="0"/>
          <w:sz w:val="16"/>
          <w:szCs w:val="16"/>
        </w:rPr>
        <w:softHyphen/>
        <w:t>бедев» для постройки автомобилей марки КЗВС по лицензии фирмы «Кросслей»;</w:t>
      </w:r>
    </w:p>
    <w:p w14:paraId="05B1EA94" w14:textId="77777777" w:rsidR="00073F75" w:rsidRPr="00B52707" w:rsidRDefault="00073F75" w:rsidP="00073F75">
      <w:pPr>
        <w:widowControl w:val="0"/>
        <w:tabs>
          <w:tab w:val="left" w:pos="488"/>
        </w:tabs>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 в Филях: возрождение производства на эвакуированном из Риги оборудова</w:t>
      </w:r>
      <w:r w:rsidRPr="00B52707">
        <w:rPr>
          <w:rStyle w:val="aa"/>
          <w:rFonts w:ascii="Times New Roman" w:hAnsi="Times New Roman"/>
          <w:color w:val="0070C0"/>
          <w:spacing w:val="0"/>
          <w:sz w:val="16"/>
          <w:szCs w:val="16"/>
        </w:rPr>
        <w:softHyphen/>
        <w:t>нии Отдела автомобилей Русско‑Бал</w:t>
      </w:r>
      <w:r w:rsidRPr="00B52707">
        <w:rPr>
          <w:rStyle w:val="aa"/>
          <w:rFonts w:ascii="Times New Roman" w:hAnsi="Times New Roman"/>
          <w:color w:val="0070C0"/>
          <w:spacing w:val="0"/>
          <w:sz w:val="16"/>
          <w:szCs w:val="16"/>
        </w:rPr>
        <w:softHyphen/>
        <w:t>тийского вагонного завода под уже из</w:t>
      </w:r>
      <w:r w:rsidRPr="00B52707">
        <w:rPr>
          <w:rStyle w:val="aa"/>
          <w:rFonts w:ascii="Times New Roman" w:hAnsi="Times New Roman"/>
          <w:color w:val="0070C0"/>
          <w:spacing w:val="0"/>
          <w:sz w:val="16"/>
          <w:szCs w:val="16"/>
        </w:rPr>
        <w:softHyphen/>
        <w:t>вестной маркой «Руссо‑Балтийский» или сокращенно «Руссо‑Балт».</w:t>
      </w:r>
    </w:p>
    <w:p w14:paraId="1580D635" w14:textId="77777777" w:rsidR="00073F75" w:rsidRPr="00B52707" w:rsidRDefault="00073F75" w:rsidP="00073F75">
      <w:pPr>
        <w:widowControl w:val="0"/>
        <w:tabs>
          <w:tab w:val="left" w:pos="483"/>
        </w:tabs>
        <w:jc w:val="both"/>
        <w:rPr>
          <w:color w:val="0070C0"/>
          <w:sz w:val="16"/>
          <w:szCs w:val="16"/>
        </w:rPr>
      </w:pPr>
      <w:r w:rsidRPr="00B52707">
        <w:rPr>
          <w:rStyle w:val="aa"/>
          <w:rFonts w:ascii="Times New Roman" w:hAnsi="Times New Roman"/>
          <w:color w:val="0070C0"/>
          <w:spacing w:val="0"/>
          <w:sz w:val="16"/>
          <w:szCs w:val="16"/>
        </w:rPr>
        <w:t>- в Нахичеване‑на‑Дону: Акционерное общество «Аксай», предполагавшее вы</w:t>
      </w:r>
      <w:r w:rsidRPr="00B52707">
        <w:rPr>
          <w:rStyle w:val="aa"/>
          <w:rFonts w:ascii="Times New Roman" w:hAnsi="Times New Roman"/>
          <w:color w:val="0070C0"/>
          <w:spacing w:val="0"/>
          <w:sz w:val="16"/>
          <w:szCs w:val="16"/>
        </w:rPr>
        <w:softHyphen/>
        <w:t>пуск грузовиков по лицензии амери</w:t>
      </w:r>
      <w:r w:rsidRPr="00B52707">
        <w:rPr>
          <w:rStyle w:val="aa"/>
          <w:rFonts w:ascii="Times New Roman" w:hAnsi="Times New Roman"/>
          <w:color w:val="0070C0"/>
          <w:spacing w:val="0"/>
          <w:sz w:val="16"/>
          <w:szCs w:val="16"/>
        </w:rPr>
        <w:softHyphen/>
        <w:t>канской компании «Паккард» (</w:t>
      </w:r>
      <w:r w:rsidRPr="00B52707">
        <w:rPr>
          <w:rStyle w:val="aa"/>
          <w:rFonts w:ascii="Times New Roman" w:hAnsi="Times New Roman"/>
          <w:color w:val="0070C0"/>
          <w:spacing w:val="0"/>
          <w:sz w:val="16"/>
          <w:szCs w:val="16"/>
          <w:lang w:val="en-US"/>
        </w:rPr>
        <w:t>Packard</w:t>
      </w:r>
      <w:r w:rsidRPr="00B52707">
        <w:rPr>
          <w:rStyle w:val="aa"/>
          <w:rFonts w:ascii="Times New Roman" w:hAnsi="Times New Roman"/>
          <w:color w:val="0070C0"/>
          <w:spacing w:val="0"/>
          <w:sz w:val="16"/>
          <w:szCs w:val="16"/>
        </w:rPr>
        <w:t>);</w:t>
      </w:r>
    </w:p>
    <w:p w14:paraId="0AA669B4" w14:textId="77777777" w:rsidR="00073F75" w:rsidRPr="00B52707" w:rsidRDefault="00073F75" w:rsidP="00073F75">
      <w:pPr>
        <w:widowControl w:val="0"/>
        <w:tabs>
          <w:tab w:val="left" w:pos="488"/>
        </w:tabs>
        <w:jc w:val="both"/>
        <w:rPr>
          <w:rStyle w:val="aa"/>
          <w:rFonts w:ascii="Times New Roman" w:hAnsi="Times New Roman"/>
          <w:color w:val="0070C0"/>
          <w:spacing w:val="0"/>
          <w:sz w:val="16"/>
          <w:szCs w:val="16"/>
        </w:rPr>
      </w:pPr>
      <w:r w:rsidRPr="00B52707">
        <w:rPr>
          <w:rStyle w:val="aa"/>
          <w:rFonts w:ascii="Times New Roman" w:hAnsi="Times New Roman"/>
          <w:color w:val="0070C0"/>
          <w:spacing w:val="0"/>
          <w:sz w:val="16"/>
          <w:szCs w:val="16"/>
        </w:rPr>
        <w:t>- в Мытищах: Казенный завод воен</w:t>
      </w:r>
      <w:r w:rsidRPr="00B52707">
        <w:rPr>
          <w:rStyle w:val="aa"/>
          <w:rFonts w:ascii="Times New Roman" w:hAnsi="Times New Roman"/>
          <w:color w:val="0070C0"/>
          <w:spacing w:val="0"/>
          <w:sz w:val="16"/>
          <w:szCs w:val="16"/>
        </w:rPr>
        <w:softHyphen/>
        <w:t xml:space="preserve">ных </w:t>
      </w:r>
      <w:bookmarkStart w:id="343" w:name="_Hlk195173831"/>
      <w:r w:rsidRPr="00B52707">
        <w:rPr>
          <w:rStyle w:val="aa"/>
          <w:rFonts w:ascii="Times New Roman" w:hAnsi="Times New Roman"/>
          <w:color w:val="0070C0"/>
          <w:spacing w:val="0"/>
          <w:sz w:val="16"/>
          <w:szCs w:val="16"/>
        </w:rPr>
        <w:t>самоходов (КЗВС) – по предложе</w:t>
      </w:r>
      <w:r w:rsidRPr="00B52707">
        <w:rPr>
          <w:rStyle w:val="aa"/>
          <w:rFonts w:ascii="Times New Roman" w:hAnsi="Times New Roman"/>
          <w:color w:val="0070C0"/>
          <w:spacing w:val="0"/>
          <w:sz w:val="16"/>
          <w:szCs w:val="16"/>
        </w:rPr>
        <w:softHyphen/>
        <w:t>нию экспортера из Англии БЕОС (Бри</w:t>
      </w:r>
      <w:r w:rsidRPr="00B52707">
        <w:rPr>
          <w:rStyle w:val="aa"/>
          <w:rFonts w:ascii="Times New Roman" w:hAnsi="Times New Roman"/>
          <w:color w:val="0070C0"/>
          <w:spacing w:val="0"/>
          <w:sz w:val="16"/>
          <w:szCs w:val="16"/>
        </w:rPr>
        <w:softHyphen/>
        <w:t xml:space="preserve">танская компания инженеров Сибири – </w:t>
      </w:r>
      <w:r w:rsidRPr="00B52707">
        <w:rPr>
          <w:rStyle w:val="aa"/>
          <w:rFonts w:ascii="Times New Roman" w:hAnsi="Times New Roman"/>
          <w:color w:val="0070C0"/>
          <w:spacing w:val="0"/>
          <w:sz w:val="16"/>
          <w:szCs w:val="16"/>
          <w:lang w:val="en-US"/>
        </w:rPr>
        <w:t>British</w:t>
      </w:r>
      <w:r w:rsidRPr="00B52707">
        <w:rPr>
          <w:rStyle w:val="aa"/>
          <w:rFonts w:ascii="Times New Roman" w:hAnsi="Times New Roman"/>
          <w:color w:val="0070C0"/>
          <w:spacing w:val="0"/>
          <w:sz w:val="16"/>
          <w:szCs w:val="16"/>
        </w:rPr>
        <w:t xml:space="preserve"> </w:t>
      </w:r>
      <w:r w:rsidRPr="00B52707">
        <w:rPr>
          <w:rStyle w:val="aa"/>
          <w:rFonts w:ascii="Times New Roman" w:hAnsi="Times New Roman"/>
          <w:color w:val="0070C0"/>
          <w:spacing w:val="0"/>
          <w:sz w:val="16"/>
          <w:szCs w:val="16"/>
          <w:lang w:val="en-US"/>
        </w:rPr>
        <w:t>Enginering</w:t>
      </w:r>
      <w:r w:rsidRPr="00B52707">
        <w:rPr>
          <w:rStyle w:val="aa"/>
          <w:rFonts w:ascii="Times New Roman" w:hAnsi="Times New Roman"/>
          <w:color w:val="0070C0"/>
          <w:spacing w:val="0"/>
          <w:sz w:val="16"/>
          <w:szCs w:val="16"/>
        </w:rPr>
        <w:t xml:space="preserve"> </w:t>
      </w:r>
      <w:r w:rsidRPr="00B52707">
        <w:rPr>
          <w:rStyle w:val="aa"/>
          <w:rFonts w:ascii="Times New Roman" w:hAnsi="Times New Roman"/>
          <w:color w:val="0070C0"/>
          <w:spacing w:val="0"/>
          <w:sz w:val="16"/>
          <w:szCs w:val="16"/>
          <w:lang w:val="en-US"/>
        </w:rPr>
        <w:t>Company</w:t>
      </w:r>
      <w:r w:rsidRPr="00B52707">
        <w:rPr>
          <w:rStyle w:val="aa"/>
          <w:rFonts w:ascii="Times New Roman" w:hAnsi="Times New Roman"/>
          <w:color w:val="0070C0"/>
          <w:spacing w:val="0"/>
          <w:sz w:val="16"/>
          <w:szCs w:val="16"/>
        </w:rPr>
        <w:t xml:space="preserve"> </w:t>
      </w:r>
      <w:r w:rsidRPr="00B52707">
        <w:rPr>
          <w:rStyle w:val="aa"/>
          <w:rFonts w:ascii="Times New Roman" w:hAnsi="Times New Roman"/>
          <w:color w:val="0070C0"/>
          <w:spacing w:val="0"/>
          <w:sz w:val="16"/>
          <w:szCs w:val="16"/>
          <w:lang w:val="en-US"/>
        </w:rPr>
        <w:t>of</w:t>
      </w:r>
      <w:r w:rsidRPr="00B52707">
        <w:rPr>
          <w:rStyle w:val="aa"/>
          <w:rFonts w:ascii="Times New Roman" w:hAnsi="Times New Roman"/>
          <w:color w:val="0070C0"/>
          <w:spacing w:val="0"/>
          <w:sz w:val="16"/>
          <w:szCs w:val="16"/>
        </w:rPr>
        <w:t xml:space="preserve"> </w:t>
      </w:r>
      <w:r w:rsidRPr="00B52707">
        <w:rPr>
          <w:rStyle w:val="aa"/>
          <w:rFonts w:ascii="Times New Roman" w:hAnsi="Times New Roman"/>
          <w:color w:val="0070C0"/>
          <w:spacing w:val="0"/>
          <w:sz w:val="16"/>
          <w:szCs w:val="16"/>
          <w:lang w:val="en-US"/>
        </w:rPr>
        <w:t>Siberia</w:t>
      </w:r>
      <w:r w:rsidRPr="00B52707">
        <w:rPr>
          <w:rStyle w:val="aa"/>
          <w:rFonts w:ascii="Times New Roman" w:hAnsi="Times New Roman"/>
          <w:color w:val="0070C0"/>
          <w:spacing w:val="0"/>
          <w:sz w:val="16"/>
          <w:szCs w:val="16"/>
        </w:rPr>
        <w:t xml:space="preserve">, или </w:t>
      </w:r>
      <w:r w:rsidRPr="00B52707">
        <w:rPr>
          <w:rStyle w:val="aa"/>
          <w:rFonts w:ascii="Times New Roman" w:hAnsi="Times New Roman"/>
          <w:color w:val="0070C0"/>
          <w:spacing w:val="0"/>
          <w:sz w:val="16"/>
          <w:szCs w:val="16"/>
          <w:lang w:val="en-US"/>
        </w:rPr>
        <w:t>BECOS</w:t>
      </w:r>
      <w:r w:rsidRPr="00B52707">
        <w:rPr>
          <w:rStyle w:val="aa"/>
          <w:rFonts w:ascii="Times New Roman" w:hAnsi="Times New Roman"/>
          <w:color w:val="0070C0"/>
          <w:spacing w:val="0"/>
          <w:sz w:val="16"/>
          <w:szCs w:val="16"/>
        </w:rPr>
        <w:t>) для производства автомо</w:t>
      </w:r>
      <w:bookmarkEnd w:id="343"/>
      <w:r w:rsidRPr="00B52707">
        <w:rPr>
          <w:rStyle w:val="aa"/>
          <w:rFonts w:ascii="Times New Roman" w:hAnsi="Times New Roman"/>
          <w:color w:val="0070C0"/>
          <w:spacing w:val="0"/>
          <w:sz w:val="16"/>
          <w:szCs w:val="16"/>
        </w:rPr>
        <w:t>билей, моторов и турбин.</w:t>
      </w:r>
    </w:p>
    <w:p w14:paraId="2D31C594" w14:textId="77777777" w:rsidR="00073F75" w:rsidRPr="00B52707" w:rsidRDefault="00073F75" w:rsidP="00073F75">
      <w:pPr>
        <w:jc w:val="both"/>
        <w:rPr>
          <w:color w:val="0070C0"/>
          <w:sz w:val="16"/>
          <w:szCs w:val="16"/>
        </w:rPr>
      </w:pPr>
      <w:r w:rsidRPr="00B52707">
        <w:rPr>
          <w:rStyle w:val="aa"/>
          <w:rFonts w:ascii="Times New Roman" w:hAnsi="Times New Roman"/>
          <w:color w:val="0070C0"/>
          <w:spacing w:val="0"/>
          <w:sz w:val="16"/>
          <w:szCs w:val="16"/>
        </w:rPr>
        <w:t>На это выделили 133 млн золотых рублей с условием, что будет произведено 7,5 тыс. ав</w:t>
      </w:r>
      <w:r w:rsidRPr="00B52707">
        <w:rPr>
          <w:rStyle w:val="aa"/>
          <w:rFonts w:ascii="Times New Roman" w:hAnsi="Times New Roman"/>
          <w:color w:val="0070C0"/>
          <w:spacing w:val="0"/>
          <w:sz w:val="16"/>
          <w:szCs w:val="16"/>
        </w:rPr>
        <w:softHyphen/>
        <w:t>томобилей (25109).</w:t>
      </w:r>
    </w:p>
    <w:p w14:paraId="69759887" w14:textId="77777777" w:rsidR="00073F75" w:rsidRPr="00B52707" w:rsidRDefault="00073F75" w:rsidP="00073F75">
      <w:pPr>
        <w:jc w:val="both"/>
        <w:rPr>
          <w:color w:val="0070C0"/>
          <w:sz w:val="16"/>
          <w:szCs w:val="16"/>
        </w:rPr>
      </w:pPr>
    </w:p>
    <w:p w14:paraId="28BDADDF" w14:textId="77777777" w:rsidR="003A1985" w:rsidRPr="00405303" w:rsidRDefault="003A1985" w:rsidP="00C15251">
      <w:pPr>
        <w:pStyle w:val="p1"/>
        <w:spacing w:before="0" w:beforeAutospacing="0" w:after="0" w:afterAutospacing="0"/>
        <w:jc w:val="both"/>
        <w:rPr>
          <w:bCs/>
          <w:color w:val="002060"/>
          <w:sz w:val="16"/>
          <w:szCs w:val="16"/>
        </w:rPr>
      </w:pPr>
      <w:r w:rsidRPr="00405303">
        <w:rPr>
          <w:bCs/>
          <w:color w:val="002060"/>
          <w:sz w:val="16"/>
          <w:szCs w:val="16"/>
        </w:rPr>
        <w:t>В конце 1915 г. еще не сложилось определенного мнения, как будет получать литье и поковки будущий завод; возник и другой вопрос: с предложениями взяться за создание орудийных заводов выступили частные лица; неясна была перспектива, связанная с использованием Царицынского завода. Рассмотрением дела со всех этих сторон занималась Подготовительная комиссия по артиллерийским вопросам (18366).</w:t>
      </w:r>
    </w:p>
    <w:p w14:paraId="0FC40F65" w14:textId="77777777" w:rsidR="003A1985" w:rsidRPr="00405303" w:rsidRDefault="003A1985" w:rsidP="00C15251">
      <w:pPr>
        <w:pStyle w:val="p1"/>
        <w:spacing w:before="0" w:beforeAutospacing="0" w:after="0" w:afterAutospacing="0"/>
        <w:jc w:val="both"/>
        <w:rPr>
          <w:bCs/>
          <w:color w:val="002060"/>
          <w:sz w:val="16"/>
          <w:szCs w:val="16"/>
        </w:rPr>
      </w:pPr>
    </w:p>
    <w:p w14:paraId="6F8F3ED3" w14:textId="77777777" w:rsidR="003A1985" w:rsidRPr="00405303" w:rsidRDefault="003A1985" w:rsidP="00C15251">
      <w:pPr>
        <w:jc w:val="both"/>
        <w:rPr>
          <w:bCs/>
          <w:color w:val="002060"/>
          <w:sz w:val="16"/>
          <w:szCs w:val="16"/>
        </w:rPr>
      </w:pPr>
      <w:r w:rsidRPr="00405303">
        <w:rPr>
          <w:bCs/>
          <w:color w:val="002060"/>
          <w:sz w:val="16"/>
          <w:szCs w:val="16"/>
        </w:rPr>
        <w:lastRenderedPageBreak/>
        <w:t>В конце 1915 г. под руководством В.И. Волынкина начались работы по подготовке электровакуумного производства. Однако практическая реализация дела затянулась, и первая партия ламп типа ЛЭ-1 была сдана Морскому ведомству только в декабре 1922 г.2 Серийный выпуск ламповой техники собственного образца (низкочастотных усилителей типа УТ.3) завод начал в 1920 г., а с 1923 г. в этих усилителях стали применяться и лампы собственного производства3. Правда, просуществовало вакуумное производство на предприятии недолго. Последняя партия радиоламп была сдана Радиотелеграфным заводом им. Коминтерна в августе 1924 г., а после разрушительного сентябрьского наводнения того же года электровакуумное производство было прекращено (18297).</w:t>
      </w:r>
    </w:p>
    <w:p w14:paraId="656A1A23" w14:textId="77777777" w:rsidR="003A1985" w:rsidRPr="00405303" w:rsidRDefault="003A1985" w:rsidP="00C15251">
      <w:pPr>
        <w:jc w:val="both"/>
        <w:rPr>
          <w:bCs/>
          <w:color w:val="002060"/>
          <w:sz w:val="16"/>
          <w:szCs w:val="16"/>
        </w:rPr>
      </w:pPr>
    </w:p>
    <w:p w14:paraId="3279A9BA" w14:textId="059CAC30" w:rsidR="003A1985" w:rsidRPr="00405303" w:rsidRDefault="003A1985" w:rsidP="00C15251">
      <w:pPr>
        <w:jc w:val="both"/>
        <w:rPr>
          <w:bCs/>
          <w:color w:val="002060"/>
          <w:sz w:val="16"/>
          <w:szCs w:val="16"/>
        </w:rPr>
      </w:pPr>
      <w:r w:rsidRPr="00405303">
        <w:rPr>
          <w:bCs/>
          <w:color w:val="002060"/>
          <w:sz w:val="16"/>
          <w:szCs w:val="16"/>
        </w:rPr>
        <w:t>В конце 1915 г. в 1-й Запасной тяжелый артиллерийский полк, квартировавший в Царском Селе, начали поступать английские паровые тракторы "Фоулер", повторявшие в общих чертах конструкцию дорожных локомотивов времен Русско-турецкой войны 1877-- 1888 гг. Эти громоздкие машины весом 950 пудов и мощностью 48л.с. предназначались для транспортировки заказанных в Великобритании 8- и 12-дюймовых гаубиц "Виккерс". Весной 1916г. паровые тракторы "Фоулер" были успешно испытаны на перевозках артиллерийских грузов по маршруту Царское Село -- Гатчина, а летом три машины совершили испытательный пробег на 320 верст по маршруту Царское Село -- Новгород -- Царское Село. Осенью 1916 г. эти же три "Фоулера" транспортировали 12-дюймовую батарею из Царского Села в Красное Село, где планировалось провести учебные стрельбы. Однако, пройдя всего лишь около шести верст, дорожные паровозы постоянно</w:t>
      </w:r>
      <w:r w:rsidR="000F5756">
        <w:rPr>
          <w:bCs/>
          <w:color w:val="002060"/>
          <w:sz w:val="16"/>
          <w:szCs w:val="16"/>
        </w:rPr>
        <w:t xml:space="preserve"> </w:t>
      </w:r>
      <w:r w:rsidRPr="00405303">
        <w:rPr>
          <w:bCs/>
          <w:color w:val="002060"/>
          <w:sz w:val="16"/>
          <w:szCs w:val="16"/>
        </w:rPr>
        <w:t>застряли в глубоком снегу. Использовать "Фоулеры" было решено</w:t>
      </w:r>
      <w:r w:rsidR="000F5756">
        <w:rPr>
          <w:bCs/>
          <w:color w:val="002060"/>
          <w:sz w:val="16"/>
          <w:szCs w:val="16"/>
        </w:rPr>
        <w:t xml:space="preserve">  </w:t>
      </w:r>
      <w:r w:rsidRPr="00405303">
        <w:rPr>
          <w:bCs/>
          <w:color w:val="002060"/>
          <w:sz w:val="16"/>
          <w:szCs w:val="16"/>
        </w:rPr>
        <w:t>когда растит снег и высохнут дороги.</w:t>
      </w:r>
    </w:p>
    <w:p w14:paraId="00710576" w14:textId="77777777" w:rsidR="003A1985" w:rsidRPr="00405303" w:rsidRDefault="003A1985" w:rsidP="00C15251">
      <w:pPr>
        <w:jc w:val="both"/>
        <w:rPr>
          <w:bCs/>
          <w:color w:val="002060"/>
          <w:sz w:val="16"/>
          <w:szCs w:val="16"/>
        </w:rPr>
      </w:pPr>
      <w:r w:rsidRPr="00405303">
        <w:rPr>
          <w:bCs/>
          <w:color w:val="002060"/>
          <w:sz w:val="16"/>
          <w:szCs w:val="16"/>
        </w:rPr>
        <w:t>Несмотря на некоторые достоинства паровых тракторов (надежность и простота конструкции, мощная тяговая сила), недостатков у них было все же больше -- тяжелый вес, плохая проходимость, необходимость каждые 5-10 верст заправляться водой, длительный (до 1 ч) разогрев котла перед началом движения. Все эти факторы не позволили эффективно задействовать дорожным паровозам в боевой обстановке. Однако летом 1917 г. четыре батареи 12-дюймовых гаубиц "Виккерс" (по две гаубицы в каждой) были отправлены на фронт вместе с паровыми тракторами "Фоулер" . Для перевозки одной такой гаубицы в разобранном виде требовалось шесть тракторных поездов с прицепами. Пять паровых "Фоулеров" тогда же направили в Черновцы в распоряжение инженерных частей для перевозки электрического кабеля (18380).</w:t>
      </w:r>
    </w:p>
    <w:p w14:paraId="0AEB3EE3" w14:textId="77777777" w:rsidR="003A1985" w:rsidRPr="00405303" w:rsidRDefault="003A1985" w:rsidP="00C15251">
      <w:pPr>
        <w:jc w:val="both"/>
        <w:rPr>
          <w:bCs/>
          <w:color w:val="002060"/>
          <w:sz w:val="16"/>
          <w:szCs w:val="16"/>
        </w:rPr>
      </w:pPr>
    </w:p>
    <w:p w14:paraId="04FBD7A9" w14:textId="5B124DD2" w:rsidR="004B4E35" w:rsidRPr="00405303" w:rsidRDefault="002C44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К</w:t>
      </w:r>
      <w:r w:rsidR="009E6F82" w:rsidRPr="00405303">
        <w:rPr>
          <w:bCs/>
          <w:i w:val="0"/>
          <w:color w:val="002060"/>
          <w:spacing w:val="0"/>
          <w:kern w:val="0"/>
          <w:position w:val="0"/>
          <w:sz w:val="16"/>
          <w:szCs w:val="16"/>
        </w:rPr>
        <w:t xml:space="preserve"> концу 1915 г. </w:t>
      </w:r>
      <w:r w:rsidRPr="00405303">
        <w:rPr>
          <w:bCs/>
          <w:i w:val="0"/>
          <w:color w:val="002060"/>
          <w:spacing w:val="0"/>
          <w:kern w:val="0"/>
          <w:position w:val="0"/>
          <w:sz w:val="16"/>
          <w:szCs w:val="16"/>
        </w:rPr>
        <w:t xml:space="preserve">из 4,5 млн. снарядов, заказанных в Англии и Франции, </w:t>
      </w:r>
      <w:r w:rsidR="009E6F82" w:rsidRPr="00405303">
        <w:rPr>
          <w:bCs/>
          <w:i w:val="0"/>
          <w:color w:val="002060"/>
          <w:spacing w:val="0"/>
          <w:kern w:val="0"/>
          <w:position w:val="0"/>
          <w:sz w:val="16"/>
          <w:szCs w:val="16"/>
        </w:rPr>
        <w:t>поступило лишь около 0,5 млн.</w:t>
      </w:r>
      <w:r w:rsidRPr="00405303">
        <w:rPr>
          <w:bCs/>
          <w:i w:val="0"/>
          <w:color w:val="002060"/>
          <w:spacing w:val="0"/>
          <w:kern w:val="0"/>
          <w:position w:val="0"/>
          <w:sz w:val="16"/>
          <w:szCs w:val="16"/>
        </w:rPr>
        <w:t xml:space="preserve">, что Литвинов-Фалинский в своем докладе </w:t>
      </w:r>
      <w:r w:rsidR="009E6F82" w:rsidRPr="00405303">
        <w:rPr>
          <w:bCs/>
          <w:i w:val="0"/>
          <w:color w:val="002060"/>
          <w:spacing w:val="0"/>
          <w:kern w:val="0"/>
          <w:position w:val="0"/>
          <w:sz w:val="16"/>
          <w:szCs w:val="16"/>
        </w:rPr>
        <w:t xml:space="preserve">объяснял тем, что союзники сами нуждались в снарядах для своих армий и могли давать нам только излишки своего производства. В </w:t>
      </w:r>
      <w:proofErr w:type="gramStart"/>
      <w:r w:rsidR="009E6F82" w:rsidRPr="00405303">
        <w:rPr>
          <w:bCs/>
          <w:i w:val="0"/>
          <w:color w:val="002060"/>
          <w:spacing w:val="0"/>
          <w:kern w:val="0"/>
          <w:position w:val="0"/>
          <w:sz w:val="16"/>
          <w:szCs w:val="16"/>
        </w:rPr>
        <w:t>ней-тральных</w:t>
      </w:r>
      <w:proofErr w:type="gramEnd"/>
      <w:r w:rsidR="009E6F82" w:rsidRPr="00405303">
        <w:rPr>
          <w:bCs/>
          <w:i w:val="0"/>
          <w:color w:val="002060"/>
          <w:spacing w:val="0"/>
          <w:kern w:val="0"/>
          <w:position w:val="0"/>
          <w:sz w:val="16"/>
          <w:szCs w:val="16"/>
        </w:rPr>
        <w:t xml:space="preserve"> странах конкурентами в размещении русских заказов являлись их противники; независимо от того заказы в нейтральных странах подвергались случайностям "в зависимости от склонения политических симпатий в ту или иную сторону". </w:t>
      </w:r>
    </w:p>
    <w:p w14:paraId="4C8D241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Выполнение иностранных заказов сопряжено было с целым рядом неудобств, как-то: трудности доставки заказанных предметов, несоответствие их установившимся условиям заграничного производства и пр. </w:t>
      </w:r>
    </w:p>
    <w:p w14:paraId="5DAF75C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Наконец, расплата по иностранным заказам в золотой валюте ставила Россию в чрезвычайно трудное положение и имела пагубные последствия для курса денег, - безразлично, производилась ли расплата путем кредитных операций или же вывозом золота в натуре, как это было в первый, период войны, когда русское золото было в слитках отправлено в Англию. </w:t>
      </w:r>
    </w:p>
    <w:p w14:paraId="2F4730A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Расплата в золотой валюте поставила Россию в "положение, обязывающее принимать при заключении займов, даже у союзников, условия, не отвечающие ни достоинству, ни независимости страны". </w:t>
      </w:r>
    </w:p>
    <w:p w14:paraId="5923830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Только внутреннее производство могло, по верной мысли Литвинова-Фалинского, служить "прочной основой боевой способности страны". Между тем мы вместо того, чтобы в довоенное время развивать и подготовлять свое производство к изготовлению предметов снаряжения армии передавали многочисленные заказы за границу, в том числе Германии, чем способствовали укреплению ее боевой мощи (11482).</w:t>
      </w:r>
    </w:p>
    <w:p w14:paraId="4266EBD4" w14:textId="77777777" w:rsidR="004B4E35" w:rsidRPr="00405303" w:rsidRDefault="004B4E35" w:rsidP="00C15251">
      <w:pPr>
        <w:pStyle w:val="a3"/>
        <w:jc w:val="both"/>
        <w:rPr>
          <w:bCs/>
          <w:i w:val="0"/>
          <w:color w:val="002060"/>
          <w:spacing w:val="0"/>
          <w:kern w:val="0"/>
          <w:position w:val="0"/>
          <w:sz w:val="16"/>
          <w:szCs w:val="16"/>
        </w:rPr>
      </w:pPr>
    </w:p>
    <w:p w14:paraId="0171EBA7" w14:textId="609643E6" w:rsidR="004B4E35" w:rsidRPr="00405303" w:rsidRDefault="002C4482"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конце 1915 г. был поставлен вопрос о создании 4-го завода взрывчатых веществ. В законодательные учреждения вопрос был внесен осенью 1916 года. </w:t>
      </w:r>
    </w:p>
    <w:p w14:paraId="0A6A0BA9" w14:textId="77777777" w:rsidR="004B4E35" w:rsidRPr="00405303" w:rsidRDefault="009E6F82" w:rsidP="00C15251">
      <w:pPr>
        <w:jc w:val="both"/>
        <w:rPr>
          <w:bCs/>
          <w:color w:val="002060"/>
          <w:sz w:val="16"/>
          <w:szCs w:val="16"/>
        </w:rPr>
      </w:pPr>
      <w:r w:rsidRPr="00405303">
        <w:rPr>
          <w:bCs/>
          <w:color w:val="002060"/>
          <w:sz w:val="16"/>
          <w:szCs w:val="16"/>
        </w:rPr>
        <w:t>Проектное задание для завода было определено следующее:</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1704"/>
      </w:tblGrid>
      <w:tr w:rsidR="004B4E35" w:rsidRPr="00405303" w14:paraId="137478FA" w14:textId="77777777">
        <w:tc>
          <w:tcPr>
            <w:tcW w:w="2472" w:type="dxa"/>
          </w:tcPr>
          <w:p w14:paraId="214E0965" w14:textId="77777777" w:rsidR="004B4E35" w:rsidRPr="00405303" w:rsidRDefault="009E6F82" w:rsidP="00C15251">
            <w:pPr>
              <w:jc w:val="both"/>
              <w:rPr>
                <w:bCs/>
                <w:color w:val="002060"/>
                <w:sz w:val="16"/>
                <w:szCs w:val="16"/>
              </w:rPr>
            </w:pPr>
            <w:r w:rsidRPr="00405303">
              <w:rPr>
                <w:bCs/>
                <w:color w:val="002060"/>
                <w:sz w:val="16"/>
                <w:szCs w:val="16"/>
              </w:rPr>
              <w:t>тротила</w:t>
            </w:r>
          </w:p>
        </w:tc>
        <w:tc>
          <w:tcPr>
            <w:tcW w:w="1704" w:type="dxa"/>
          </w:tcPr>
          <w:p w14:paraId="49CB331B" w14:textId="77777777" w:rsidR="004B4E35" w:rsidRPr="00405303" w:rsidRDefault="009E6F82" w:rsidP="00C15251">
            <w:pPr>
              <w:jc w:val="both"/>
              <w:rPr>
                <w:bCs/>
                <w:color w:val="002060"/>
                <w:sz w:val="16"/>
                <w:szCs w:val="16"/>
              </w:rPr>
            </w:pPr>
            <w:r w:rsidRPr="00405303">
              <w:rPr>
                <w:bCs/>
                <w:color w:val="002060"/>
                <w:sz w:val="16"/>
                <w:szCs w:val="16"/>
              </w:rPr>
              <w:t>510,000 пудов в год</w:t>
            </w:r>
          </w:p>
        </w:tc>
      </w:tr>
      <w:tr w:rsidR="004B4E35" w:rsidRPr="00405303" w14:paraId="288D5F54" w14:textId="77777777">
        <w:tc>
          <w:tcPr>
            <w:tcW w:w="2472" w:type="dxa"/>
          </w:tcPr>
          <w:p w14:paraId="7651C8A9" w14:textId="77777777" w:rsidR="004B4E35" w:rsidRPr="00405303" w:rsidRDefault="009E6F82" w:rsidP="00C15251">
            <w:pPr>
              <w:jc w:val="both"/>
              <w:rPr>
                <w:bCs/>
                <w:color w:val="002060"/>
                <w:sz w:val="16"/>
                <w:szCs w:val="16"/>
              </w:rPr>
            </w:pPr>
            <w:r w:rsidRPr="00405303">
              <w:rPr>
                <w:bCs/>
                <w:color w:val="002060"/>
                <w:sz w:val="16"/>
                <w:szCs w:val="16"/>
              </w:rPr>
              <w:t>тетрила</w:t>
            </w:r>
          </w:p>
        </w:tc>
        <w:tc>
          <w:tcPr>
            <w:tcW w:w="1704" w:type="dxa"/>
          </w:tcPr>
          <w:p w14:paraId="3A8C044A" w14:textId="77777777" w:rsidR="004B4E35" w:rsidRPr="00405303" w:rsidRDefault="009E6F82" w:rsidP="00C15251">
            <w:pPr>
              <w:jc w:val="both"/>
              <w:rPr>
                <w:bCs/>
                <w:color w:val="002060"/>
                <w:sz w:val="16"/>
                <w:szCs w:val="16"/>
              </w:rPr>
            </w:pPr>
            <w:r w:rsidRPr="00405303">
              <w:rPr>
                <w:bCs/>
                <w:color w:val="002060"/>
                <w:sz w:val="16"/>
                <w:szCs w:val="16"/>
              </w:rPr>
              <w:t xml:space="preserve">7000 пудов в год </w:t>
            </w:r>
          </w:p>
        </w:tc>
      </w:tr>
    </w:tbl>
    <w:p w14:paraId="528EE831" w14:textId="77777777" w:rsidR="004B4E35" w:rsidRPr="00405303" w:rsidRDefault="009E6F82" w:rsidP="00C15251">
      <w:pPr>
        <w:jc w:val="both"/>
        <w:rPr>
          <w:bCs/>
          <w:color w:val="002060"/>
          <w:sz w:val="16"/>
          <w:szCs w:val="16"/>
        </w:rPr>
      </w:pPr>
      <w:r w:rsidRPr="00405303">
        <w:rPr>
          <w:bCs/>
          <w:color w:val="002060"/>
          <w:sz w:val="16"/>
          <w:szCs w:val="16"/>
        </w:rPr>
        <w:t xml:space="preserve">снаряжение (шт. в день):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1704"/>
      </w:tblGrid>
      <w:tr w:rsidR="004B4E35" w:rsidRPr="00405303" w14:paraId="0DAD662B" w14:textId="77777777">
        <w:tc>
          <w:tcPr>
            <w:tcW w:w="2472" w:type="dxa"/>
          </w:tcPr>
          <w:p w14:paraId="4F6E6F00" w14:textId="77777777" w:rsidR="004B4E35" w:rsidRPr="00405303" w:rsidRDefault="009E6F82" w:rsidP="00C15251">
            <w:pPr>
              <w:jc w:val="both"/>
              <w:rPr>
                <w:bCs/>
                <w:color w:val="002060"/>
                <w:sz w:val="16"/>
                <w:szCs w:val="16"/>
              </w:rPr>
            </w:pPr>
            <w:r w:rsidRPr="00405303">
              <w:rPr>
                <w:bCs/>
                <w:color w:val="002060"/>
                <w:sz w:val="16"/>
                <w:szCs w:val="16"/>
              </w:rPr>
              <w:t>3-дм гранат</w:t>
            </w:r>
          </w:p>
        </w:tc>
        <w:tc>
          <w:tcPr>
            <w:tcW w:w="1704" w:type="dxa"/>
          </w:tcPr>
          <w:p w14:paraId="5AA52C9D" w14:textId="77777777" w:rsidR="004B4E35" w:rsidRPr="00405303" w:rsidRDefault="009E6F82" w:rsidP="00C15251">
            <w:pPr>
              <w:jc w:val="both"/>
              <w:rPr>
                <w:bCs/>
                <w:color w:val="002060"/>
                <w:sz w:val="16"/>
                <w:szCs w:val="16"/>
              </w:rPr>
            </w:pPr>
            <w:r w:rsidRPr="00405303">
              <w:rPr>
                <w:bCs/>
                <w:color w:val="002060"/>
                <w:sz w:val="16"/>
                <w:szCs w:val="16"/>
              </w:rPr>
              <w:t>16,000</w:t>
            </w:r>
          </w:p>
        </w:tc>
      </w:tr>
      <w:tr w:rsidR="004B4E35" w:rsidRPr="00405303" w14:paraId="30B5E51F" w14:textId="77777777">
        <w:tc>
          <w:tcPr>
            <w:tcW w:w="2472" w:type="dxa"/>
          </w:tcPr>
          <w:p w14:paraId="50353F03" w14:textId="77777777" w:rsidR="004B4E35" w:rsidRPr="00405303" w:rsidRDefault="009E6F82" w:rsidP="00C15251">
            <w:pPr>
              <w:jc w:val="both"/>
              <w:rPr>
                <w:bCs/>
                <w:color w:val="002060"/>
                <w:sz w:val="16"/>
                <w:szCs w:val="16"/>
              </w:rPr>
            </w:pPr>
            <w:r w:rsidRPr="00405303">
              <w:rPr>
                <w:bCs/>
                <w:color w:val="002060"/>
                <w:sz w:val="16"/>
                <w:szCs w:val="16"/>
              </w:rPr>
              <w:t>бомб среднего калибра</w:t>
            </w:r>
          </w:p>
        </w:tc>
        <w:tc>
          <w:tcPr>
            <w:tcW w:w="1704" w:type="dxa"/>
          </w:tcPr>
          <w:p w14:paraId="25BF2331" w14:textId="77777777" w:rsidR="004B4E35" w:rsidRPr="00405303" w:rsidRDefault="009E6F82" w:rsidP="00C15251">
            <w:pPr>
              <w:jc w:val="both"/>
              <w:rPr>
                <w:bCs/>
                <w:color w:val="002060"/>
                <w:sz w:val="16"/>
                <w:szCs w:val="16"/>
              </w:rPr>
            </w:pPr>
            <w:r w:rsidRPr="00405303">
              <w:rPr>
                <w:bCs/>
                <w:color w:val="002060"/>
                <w:sz w:val="16"/>
                <w:szCs w:val="16"/>
              </w:rPr>
              <w:t>5000</w:t>
            </w:r>
          </w:p>
        </w:tc>
      </w:tr>
      <w:tr w:rsidR="004B4E35" w:rsidRPr="00405303" w14:paraId="3BA42D46" w14:textId="77777777">
        <w:tc>
          <w:tcPr>
            <w:tcW w:w="2472" w:type="dxa"/>
          </w:tcPr>
          <w:p w14:paraId="4D239354" w14:textId="77777777" w:rsidR="004B4E35" w:rsidRPr="00405303" w:rsidRDefault="009E6F82" w:rsidP="00C15251">
            <w:pPr>
              <w:jc w:val="both"/>
              <w:rPr>
                <w:bCs/>
                <w:color w:val="002060"/>
                <w:sz w:val="16"/>
                <w:szCs w:val="16"/>
              </w:rPr>
            </w:pPr>
            <w:r w:rsidRPr="00405303">
              <w:rPr>
                <w:bCs/>
                <w:color w:val="002060"/>
                <w:sz w:val="16"/>
                <w:szCs w:val="16"/>
              </w:rPr>
              <w:t>ручных гранат</w:t>
            </w:r>
          </w:p>
        </w:tc>
        <w:tc>
          <w:tcPr>
            <w:tcW w:w="1704" w:type="dxa"/>
          </w:tcPr>
          <w:p w14:paraId="68D7D8C7" w14:textId="77777777" w:rsidR="004B4E35" w:rsidRPr="00405303" w:rsidRDefault="009E6F82" w:rsidP="00C15251">
            <w:pPr>
              <w:jc w:val="both"/>
              <w:rPr>
                <w:bCs/>
                <w:color w:val="002060"/>
                <w:sz w:val="16"/>
                <w:szCs w:val="16"/>
              </w:rPr>
            </w:pPr>
            <w:r w:rsidRPr="00405303">
              <w:rPr>
                <w:bCs/>
                <w:color w:val="002060"/>
                <w:sz w:val="16"/>
                <w:szCs w:val="16"/>
              </w:rPr>
              <w:t>10,000</w:t>
            </w:r>
          </w:p>
        </w:tc>
      </w:tr>
      <w:tr w:rsidR="004B4E35" w:rsidRPr="00405303" w14:paraId="2F00B901" w14:textId="77777777">
        <w:tc>
          <w:tcPr>
            <w:tcW w:w="2472" w:type="dxa"/>
          </w:tcPr>
          <w:p w14:paraId="2469AE3F" w14:textId="77777777" w:rsidR="004B4E35" w:rsidRPr="00405303" w:rsidRDefault="009E6F82" w:rsidP="00C15251">
            <w:pPr>
              <w:jc w:val="both"/>
              <w:rPr>
                <w:bCs/>
                <w:color w:val="002060"/>
                <w:sz w:val="16"/>
                <w:szCs w:val="16"/>
              </w:rPr>
            </w:pPr>
            <w:r w:rsidRPr="00405303">
              <w:rPr>
                <w:bCs/>
                <w:color w:val="002060"/>
                <w:sz w:val="16"/>
                <w:szCs w:val="16"/>
              </w:rPr>
              <w:t>взрывателей</w:t>
            </w:r>
          </w:p>
        </w:tc>
        <w:tc>
          <w:tcPr>
            <w:tcW w:w="1704" w:type="dxa"/>
          </w:tcPr>
          <w:p w14:paraId="054E7C3C" w14:textId="77777777" w:rsidR="004B4E35" w:rsidRPr="00405303" w:rsidRDefault="009E6F82" w:rsidP="00C15251">
            <w:pPr>
              <w:jc w:val="both"/>
              <w:rPr>
                <w:bCs/>
                <w:color w:val="002060"/>
                <w:sz w:val="16"/>
                <w:szCs w:val="16"/>
              </w:rPr>
            </w:pPr>
            <w:r w:rsidRPr="00405303">
              <w:rPr>
                <w:bCs/>
                <w:color w:val="002060"/>
                <w:sz w:val="16"/>
                <w:szCs w:val="16"/>
              </w:rPr>
              <w:t>30,000</w:t>
            </w:r>
          </w:p>
        </w:tc>
      </w:tr>
    </w:tbl>
    <w:p w14:paraId="49C61F79" w14:textId="77777777" w:rsidR="004B4E35" w:rsidRPr="00405303" w:rsidRDefault="009E6F82" w:rsidP="00C15251">
      <w:pPr>
        <w:jc w:val="both"/>
        <w:rPr>
          <w:bCs/>
          <w:color w:val="002060"/>
          <w:sz w:val="16"/>
          <w:szCs w:val="16"/>
        </w:rPr>
      </w:pPr>
      <w:r w:rsidRPr="00405303">
        <w:rPr>
          <w:bCs/>
          <w:color w:val="002060"/>
          <w:sz w:val="16"/>
          <w:szCs w:val="16"/>
        </w:rPr>
        <w:t>снаряжение капсюлей (шт. в день):</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1704"/>
      </w:tblGrid>
      <w:tr w:rsidR="004B4E35" w:rsidRPr="00405303" w14:paraId="2E060AD1" w14:textId="77777777">
        <w:tc>
          <w:tcPr>
            <w:tcW w:w="2472" w:type="dxa"/>
          </w:tcPr>
          <w:p w14:paraId="50B24311" w14:textId="77777777" w:rsidR="004B4E35" w:rsidRPr="00405303" w:rsidRDefault="009E6F82" w:rsidP="00C15251">
            <w:pPr>
              <w:jc w:val="both"/>
              <w:rPr>
                <w:bCs/>
                <w:color w:val="002060"/>
                <w:sz w:val="16"/>
                <w:szCs w:val="16"/>
              </w:rPr>
            </w:pPr>
            <w:r w:rsidRPr="00405303">
              <w:rPr>
                <w:bCs/>
                <w:color w:val="002060"/>
                <w:sz w:val="16"/>
                <w:szCs w:val="16"/>
              </w:rPr>
              <w:t>винтовочных</w:t>
            </w:r>
          </w:p>
        </w:tc>
        <w:tc>
          <w:tcPr>
            <w:tcW w:w="1704" w:type="dxa"/>
          </w:tcPr>
          <w:p w14:paraId="61C3C268" w14:textId="77777777" w:rsidR="004B4E35" w:rsidRPr="00405303" w:rsidRDefault="009E6F82" w:rsidP="00C15251">
            <w:pPr>
              <w:jc w:val="both"/>
              <w:rPr>
                <w:bCs/>
                <w:color w:val="002060"/>
                <w:sz w:val="16"/>
                <w:szCs w:val="16"/>
              </w:rPr>
            </w:pPr>
            <w:r w:rsidRPr="00405303">
              <w:rPr>
                <w:bCs/>
                <w:color w:val="002060"/>
                <w:sz w:val="16"/>
                <w:szCs w:val="16"/>
              </w:rPr>
              <w:t>2,600,000</w:t>
            </w:r>
          </w:p>
        </w:tc>
      </w:tr>
      <w:tr w:rsidR="004B4E35" w:rsidRPr="00405303" w14:paraId="11EACD89" w14:textId="77777777">
        <w:tc>
          <w:tcPr>
            <w:tcW w:w="2472" w:type="dxa"/>
          </w:tcPr>
          <w:p w14:paraId="38D9B125" w14:textId="77777777" w:rsidR="004B4E35" w:rsidRPr="00405303" w:rsidRDefault="009E6F82" w:rsidP="00C15251">
            <w:pPr>
              <w:jc w:val="both"/>
              <w:rPr>
                <w:bCs/>
                <w:color w:val="002060"/>
                <w:sz w:val="16"/>
                <w:szCs w:val="16"/>
              </w:rPr>
            </w:pPr>
            <w:r w:rsidRPr="00405303">
              <w:rPr>
                <w:bCs/>
                <w:color w:val="002060"/>
                <w:sz w:val="16"/>
                <w:szCs w:val="16"/>
              </w:rPr>
              <w:t>детонаторных</w:t>
            </w:r>
          </w:p>
        </w:tc>
        <w:tc>
          <w:tcPr>
            <w:tcW w:w="1704" w:type="dxa"/>
          </w:tcPr>
          <w:p w14:paraId="126D9B48" w14:textId="77777777" w:rsidR="004B4E35" w:rsidRPr="00405303" w:rsidRDefault="009E6F82" w:rsidP="00C15251">
            <w:pPr>
              <w:jc w:val="both"/>
              <w:rPr>
                <w:bCs/>
                <w:color w:val="002060"/>
                <w:sz w:val="16"/>
                <w:szCs w:val="16"/>
              </w:rPr>
            </w:pPr>
            <w:r w:rsidRPr="00405303">
              <w:rPr>
                <w:bCs/>
                <w:color w:val="002060"/>
                <w:sz w:val="16"/>
                <w:szCs w:val="16"/>
              </w:rPr>
              <w:t>25,000</w:t>
            </w:r>
          </w:p>
        </w:tc>
      </w:tr>
      <w:tr w:rsidR="004B4E35" w:rsidRPr="00405303" w14:paraId="08BB8D47" w14:textId="77777777">
        <w:tc>
          <w:tcPr>
            <w:tcW w:w="2472" w:type="dxa"/>
          </w:tcPr>
          <w:p w14:paraId="77DBB2F8" w14:textId="77777777" w:rsidR="004B4E35" w:rsidRPr="00405303" w:rsidRDefault="009E6F82" w:rsidP="00C15251">
            <w:pPr>
              <w:jc w:val="both"/>
              <w:rPr>
                <w:bCs/>
                <w:color w:val="002060"/>
                <w:sz w:val="16"/>
                <w:szCs w:val="16"/>
              </w:rPr>
            </w:pPr>
            <w:r w:rsidRPr="00405303">
              <w:rPr>
                <w:bCs/>
                <w:color w:val="002060"/>
                <w:sz w:val="16"/>
                <w:szCs w:val="16"/>
              </w:rPr>
              <w:t>трубочных</w:t>
            </w:r>
          </w:p>
        </w:tc>
        <w:tc>
          <w:tcPr>
            <w:tcW w:w="1704" w:type="dxa"/>
          </w:tcPr>
          <w:p w14:paraId="426DC8C2" w14:textId="77777777" w:rsidR="004B4E35" w:rsidRPr="00405303" w:rsidRDefault="009E6F82" w:rsidP="00C15251">
            <w:pPr>
              <w:jc w:val="both"/>
              <w:rPr>
                <w:bCs/>
                <w:color w:val="002060"/>
                <w:sz w:val="16"/>
                <w:szCs w:val="16"/>
              </w:rPr>
            </w:pPr>
            <w:r w:rsidRPr="00405303">
              <w:rPr>
                <w:bCs/>
                <w:color w:val="002060"/>
                <w:sz w:val="16"/>
                <w:szCs w:val="16"/>
              </w:rPr>
              <w:t>60,000</w:t>
            </w:r>
          </w:p>
        </w:tc>
      </w:tr>
      <w:tr w:rsidR="004B4E35" w:rsidRPr="00405303" w14:paraId="6273F61F" w14:textId="77777777">
        <w:tc>
          <w:tcPr>
            <w:tcW w:w="2472" w:type="dxa"/>
          </w:tcPr>
          <w:p w14:paraId="1E278542" w14:textId="77777777" w:rsidR="004B4E35" w:rsidRPr="00405303" w:rsidRDefault="009E6F82" w:rsidP="00C15251">
            <w:pPr>
              <w:jc w:val="both"/>
              <w:rPr>
                <w:bCs/>
                <w:color w:val="002060"/>
                <w:sz w:val="16"/>
                <w:szCs w:val="16"/>
              </w:rPr>
            </w:pPr>
            <w:r w:rsidRPr="00405303">
              <w:rPr>
                <w:bCs/>
                <w:color w:val="002060"/>
                <w:sz w:val="16"/>
                <w:szCs w:val="16"/>
              </w:rPr>
              <w:t>капсюльных втулок</w:t>
            </w:r>
          </w:p>
        </w:tc>
        <w:tc>
          <w:tcPr>
            <w:tcW w:w="1704" w:type="dxa"/>
          </w:tcPr>
          <w:p w14:paraId="6D2FEBBF" w14:textId="77777777" w:rsidR="004B4E35" w:rsidRPr="00405303" w:rsidRDefault="009E6F82" w:rsidP="00C15251">
            <w:pPr>
              <w:jc w:val="both"/>
              <w:rPr>
                <w:bCs/>
                <w:color w:val="002060"/>
                <w:sz w:val="16"/>
                <w:szCs w:val="16"/>
              </w:rPr>
            </w:pPr>
            <w:r w:rsidRPr="00405303">
              <w:rPr>
                <w:bCs/>
                <w:color w:val="002060"/>
                <w:sz w:val="16"/>
                <w:szCs w:val="16"/>
              </w:rPr>
              <w:t>60,000</w:t>
            </w:r>
          </w:p>
        </w:tc>
      </w:tr>
    </w:tbl>
    <w:p w14:paraId="15B5E74B" w14:textId="77777777" w:rsidR="004B4E35" w:rsidRPr="00405303" w:rsidRDefault="009E6F82" w:rsidP="00C15251">
      <w:pPr>
        <w:jc w:val="both"/>
        <w:rPr>
          <w:bCs/>
          <w:color w:val="002060"/>
          <w:sz w:val="16"/>
          <w:szCs w:val="16"/>
        </w:rPr>
      </w:pPr>
      <w:r w:rsidRPr="00405303">
        <w:rPr>
          <w:bCs/>
          <w:color w:val="002060"/>
          <w:sz w:val="16"/>
          <w:szCs w:val="16"/>
        </w:rPr>
        <w:t xml:space="preserve">В отличие от Нижегородского завода, 4-й завод должен был иметь капсюльный отдел. </w:t>
      </w:r>
    </w:p>
    <w:p w14:paraId="7E76EE86" w14:textId="77777777" w:rsidR="004B4E35" w:rsidRPr="00405303" w:rsidRDefault="009E6F82" w:rsidP="00C15251">
      <w:pPr>
        <w:jc w:val="both"/>
        <w:rPr>
          <w:bCs/>
          <w:color w:val="002060"/>
          <w:sz w:val="16"/>
          <w:szCs w:val="16"/>
        </w:rPr>
      </w:pPr>
      <w:r w:rsidRPr="00405303">
        <w:rPr>
          <w:bCs/>
          <w:color w:val="002060"/>
          <w:sz w:val="16"/>
          <w:szCs w:val="16"/>
        </w:rPr>
        <w:t xml:space="preserve">Стоимость постройки по ценам 1916 г. определялась следующим образом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1704"/>
      </w:tblGrid>
      <w:tr w:rsidR="004B4E35" w:rsidRPr="00405303" w14:paraId="2B7890FB" w14:textId="77777777">
        <w:tc>
          <w:tcPr>
            <w:tcW w:w="2472" w:type="dxa"/>
          </w:tcPr>
          <w:p w14:paraId="33A9996B" w14:textId="77777777" w:rsidR="004B4E35" w:rsidRPr="00405303" w:rsidRDefault="009E6F82" w:rsidP="00C15251">
            <w:pPr>
              <w:jc w:val="both"/>
              <w:rPr>
                <w:bCs/>
                <w:color w:val="002060"/>
                <w:sz w:val="16"/>
                <w:szCs w:val="16"/>
              </w:rPr>
            </w:pPr>
            <w:r w:rsidRPr="00405303">
              <w:rPr>
                <w:bCs/>
                <w:color w:val="002060"/>
                <w:sz w:val="16"/>
                <w:szCs w:val="16"/>
              </w:rPr>
              <w:t>строительные работы</w:t>
            </w:r>
          </w:p>
        </w:tc>
        <w:tc>
          <w:tcPr>
            <w:tcW w:w="1704" w:type="dxa"/>
          </w:tcPr>
          <w:p w14:paraId="0C6F78C3" w14:textId="77777777" w:rsidR="004B4E35" w:rsidRPr="00405303" w:rsidRDefault="009E6F82" w:rsidP="00C15251">
            <w:pPr>
              <w:jc w:val="both"/>
              <w:rPr>
                <w:bCs/>
                <w:color w:val="002060"/>
                <w:sz w:val="16"/>
                <w:szCs w:val="16"/>
              </w:rPr>
            </w:pPr>
            <w:r w:rsidRPr="00405303">
              <w:rPr>
                <w:bCs/>
                <w:color w:val="002060"/>
                <w:sz w:val="16"/>
                <w:szCs w:val="16"/>
              </w:rPr>
              <w:t>10,2</w:t>
            </w:r>
          </w:p>
        </w:tc>
      </w:tr>
      <w:tr w:rsidR="004B4E35" w:rsidRPr="00405303" w14:paraId="5F0B0B73" w14:textId="77777777">
        <w:tc>
          <w:tcPr>
            <w:tcW w:w="2472" w:type="dxa"/>
          </w:tcPr>
          <w:p w14:paraId="4B5EB33E" w14:textId="77777777" w:rsidR="004B4E35" w:rsidRPr="00405303" w:rsidRDefault="009E6F82" w:rsidP="00C15251">
            <w:pPr>
              <w:jc w:val="both"/>
              <w:rPr>
                <w:bCs/>
                <w:color w:val="002060"/>
                <w:sz w:val="16"/>
                <w:szCs w:val="16"/>
              </w:rPr>
            </w:pPr>
            <w:r w:rsidRPr="00405303">
              <w:rPr>
                <w:bCs/>
                <w:color w:val="002060"/>
                <w:sz w:val="16"/>
                <w:szCs w:val="16"/>
              </w:rPr>
              <w:t>механические</w:t>
            </w:r>
          </w:p>
        </w:tc>
        <w:tc>
          <w:tcPr>
            <w:tcW w:w="1704" w:type="dxa"/>
          </w:tcPr>
          <w:p w14:paraId="0B0F24FF" w14:textId="77777777" w:rsidR="004B4E35" w:rsidRPr="00405303" w:rsidRDefault="009E6F82" w:rsidP="00C15251">
            <w:pPr>
              <w:jc w:val="both"/>
              <w:rPr>
                <w:bCs/>
                <w:color w:val="002060"/>
                <w:sz w:val="16"/>
                <w:szCs w:val="16"/>
              </w:rPr>
            </w:pPr>
            <w:r w:rsidRPr="00405303">
              <w:rPr>
                <w:bCs/>
                <w:color w:val="002060"/>
                <w:sz w:val="16"/>
                <w:szCs w:val="16"/>
              </w:rPr>
              <w:t>9,3</w:t>
            </w:r>
          </w:p>
        </w:tc>
      </w:tr>
      <w:tr w:rsidR="004B4E35" w:rsidRPr="00405303" w14:paraId="60E19E42" w14:textId="77777777">
        <w:tc>
          <w:tcPr>
            <w:tcW w:w="2472" w:type="dxa"/>
          </w:tcPr>
          <w:p w14:paraId="45C31930" w14:textId="77777777" w:rsidR="004B4E35" w:rsidRPr="00405303" w:rsidRDefault="009E6F82" w:rsidP="00C15251">
            <w:pPr>
              <w:jc w:val="both"/>
              <w:rPr>
                <w:bCs/>
                <w:color w:val="002060"/>
                <w:sz w:val="16"/>
                <w:szCs w:val="16"/>
              </w:rPr>
            </w:pPr>
            <w:r w:rsidRPr="00405303">
              <w:rPr>
                <w:bCs/>
                <w:color w:val="002060"/>
                <w:sz w:val="16"/>
                <w:szCs w:val="16"/>
              </w:rPr>
              <w:t>прочие расходы</w:t>
            </w:r>
          </w:p>
        </w:tc>
        <w:tc>
          <w:tcPr>
            <w:tcW w:w="1704" w:type="dxa"/>
          </w:tcPr>
          <w:p w14:paraId="68AA1B2E" w14:textId="77777777" w:rsidR="004B4E35" w:rsidRPr="00405303" w:rsidRDefault="009E6F82" w:rsidP="00C15251">
            <w:pPr>
              <w:jc w:val="both"/>
              <w:rPr>
                <w:bCs/>
                <w:color w:val="002060"/>
                <w:sz w:val="16"/>
                <w:szCs w:val="16"/>
              </w:rPr>
            </w:pPr>
            <w:r w:rsidRPr="00405303">
              <w:rPr>
                <w:bCs/>
                <w:color w:val="002060"/>
                <w:sz w:val="16"/>
                <w:szCs w:val="16"/>
              </w:rPr>
              <w:t>1,1</w:t>
            </w:r>
          </w:p>
        </w:tc>
      </w:tr>
      <w:tr w:rsidR="004B4E35" w:rsidRPr="00405303" w14:paraId="17DC0493" w14:textId="77777777">
        <w:tc>
          <w:tcPr>
            <w:tcW w:w="2472" w:type="dxa"/>
          </w:tcPr>
          <w:p w14:paraId="4A812F0E" w14:textId="77777777" w:rsidR="004B4E35" w:rsidRPr="00405303" w:rsidRDefault="009E6F82" w:rsidP="00C15251">
            <w:pPr>
              <w:jc w:val="both"/>
              <w:rPr>
                <w:bCs/>
                <w:color w:val="002060"/>
                <w:sz w:val="16"/>
                <w:szCs w:val="16"/>
              </w:rPr>
            </w:pPr>
            <w:r w:rsidRPr="00405303">
              <w:rPr>
                <w:bCs/>
                <w:color w:val="002060"/>
                <w:sz w:val="16"/>
                <w:szCs w:val="16"/>
              </w:rPr>
              <w:t>Итого</w:t>
            </w:r>
          </w:p>
        </w:tc>
        <w:tc>
          <w:tcPr>
            <w:tcW w:w="1704" w:type="dxa"/>
          </w:tcPr>
          <w:p w14:paraId="58F70733" w14:textId="77777777" w:rsidR="004B4E35" w:rsidRPr="00405303" w:rsidRDefault="009E6F82" w:rsidP="00C15251">
            <w:pPr>
              <w:jc w:val="both"/>
              <w:rPr>
                <w:bCs/>
                <w:color w:val="002060"/>
                <w:sz w:val="16"/>
                <w:szCs w:val="16"/>
              </w:rPr>
            </w:pPr>
            <w:r w:rsidRPr="00405303">
              <w:rPr>
                <w:bCs/>
                <w:color w:val="002060"/>
                <w:sz w:val="16"/>
                <w:szCs w:val="16"/>
              </w:rPr>
              <w:t>20,6</w:t>
            </w:r>
          </w:p>
        </w:tc>
      </w:tr>
    </w:tbl>
    <w:p w14:paraId="6EA83518" w14:textId="77777777" w:rsidR="004B4E35" w:rsidRPr="00405303" w:rsidRDefault="009E6F82" w:rsidP="00C15251">
      <w:pPr>
        <w:jc w:val="both"/>
        <w:rPr>
          <w:bCs/>
          <w:color w:val="002060"/>
          <w:sz w:val="16"/>
          <w:szCs w:val="16"/>
        </w:rPr>
      </w:pPr>
      <w:r w:rsidRPr="00405303">
        <w:rPr>
          <w:bCs/>
          <w:color w:val="002060"/>
          <w:sz w:val="16"/>
          <w:szCs w:val="16"/>
        </w:rPr>
        <w:t>Место для 4-го завода было выбрано около г. Уфы. Был составлен проект завода, но строительство начато не было в связи с событиями революции, и вопрос о 4-м заводе более не возбуждался (11329).</w:t>
      </w:r>
    </w:p>
    <w:p w14:paraId="4609D4AD" w14:textId="77777777" w:rsidR="004B4E35" w:rsidRPr="00405303" w:rsidRDefault="004B4E35" w:rsidP="00C15251">
      <w:pPr>
        <w:jc w:val="both"/>
        <w:rPr>
          <w:bCs/>
          <w:color w:val="002060"/>
          <w:sz w:val="16"/>
          <w:szCs w:val="16"/>
        </w:rPr>
      </w:pPr>
    </w:p>
    <w:p w14:paraId="0230CD8A" w14:textId="77777777" w:rsidR="004B4E35" w:rsidRPr="00405303" w:rsidRDefault="009E6F82" w:rsidP="00C15251">
      <w:pPr>
        <w:jc w:val="both"/>
        <w:rPr>
          <w:bCs/>
          <w:color w:val="002060"/>
          <w:sz w:val="16"/>
          <w:szCs w:val="16"/>
        </w:rPr>
      </w:pPr>
      <w:r w:rsidRPr="00405303">
        <w:rPr>
          <w:bCs/>
          <w:color w:val="002060"/>
          <w:sz w:val="16"/>
          <w:szCs w:val="16"/>
        </w:rPr>
        <w:t xml:space="preserve">Кадиевский бензольный и ректификационный завод. История возникновения этого завода будет изложена в очерке: "Мобилизация химической промышленности". Задание (пудов в год):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64"/>
        <w:gridCol w:w="1356"/>
      </w:tblGrid>
      <w:tr w:rsidR="004B4E35" w:rsidRPr="00405303" w14:paraId="4BDEAFBF" w14:textId="77777777">
        <w:tc>
          <w:tcPr>
            <w:tcW w:w="3264" w:type="dxa"/>
          </w:tcPr>
          <w:p w14:paraId="2549CEB2" w14:textId="77777777" w:rsidR="004B4E35" w:rsidRPr="00405303" w:rsidRDefault="009E6F82" w:rsidP="00C15251">
            <w:pPr>
              <w:jc w:val="both"/>
              <w:rPr>
                <w:bCs/>
                <w:color w:val="002060"/>
                <w:sz w:val="16"/>
                <w:szCs w:val="16"/>
              </w:rPr>
            </w:pPr>
            <w:r w:rsidRPr="00405303">
              <w:rPr>
                <w:bCs/>
                <w:color w:val="002060"/>
                <w:sz w:val="16"/>
                <w:szCs w:val="16"/>
              </w:rPr>
              <w:t>получение сырого бензола</w:t>
            </w:r>
          </w:p>
        </w:tc>
        <w:tc>
          <w:tcPr>
            <w:tcW w:w="1356" w:type="dxa"/>
          </w:tcPr>
          <w:p w14:paraId="1B8B58E9" w14:textId="77777777" w:rsidR="004B4E35" w:rsidRPr="00405303" w:rsidRDefault="009E6F82" w:rsidP="00C15251">
            <w:pPr>
              <w:jc w:val="both"/>
              <w:rPr>
                <w:bCs/>
                <w:color w:val="002060"/>
                <w:sz w:val="16"/>
                <w:szCs w:val="16"/>
              </w:rPr>
            </w:pPr>
            <w:r w:rsidRPr="00405303">
              <w:rPr>
                <w:bCs/>
                <w:color w:val="002060"/>
                <w:sz w:val="16"/>
                <w:szCs w:val="16"/>
              </w:rPr>
              <w:t xml:space="preserve">150 000 </w:t>
            </w:r>
          </w:p>
        </w:tc>
      </w:tr>
      <w:tr w:rsidR="004B4E35" w:rsidRPr="00405303" w14:paraId="4E4E878D" w14:textId="77777777">
        <w:tc>
          <w:tcPr>
            <w:tcW w:w="3264" w:type="dxa"/>
          </w:tcPr>
          <w:p w14:paraId="390908B4" w14:textId="77777777" w:rsidR="004B4E35" w:rsidRPr="00405303" w:rsidRDefault="009E6F82" w:rsidP="00C15251">
            <w:pPr>
              <w:jc w:val="both"/>
              <w:rPr>
                <w:bCs/>
                <w:color w:val="002060"/>
                <w:sz w:val="16"/>
                <w:szCs w:val="16"/>
              </w:rPr>
            </w:pPr>
            <w:r w:rsidRPr="00405303">
              <w:rPr>
                <w:bCs/>
                <w:color w:val="002060"/>
                <w:sz w:val="16"/>
                <w:szCs w:val="16"/>
              </w:rPr>
              <w:t>очистка сырого бензола</w:t>
            </w:r>
          </w:p>
        </w:tc>
        <w:tc>
          <w:tcPr>
            <w:tcW w:w="1356" w:type="dxa"/>
          </w:tcPr>
          <w:p w14:paraId="2A9FC4D2" w14:textId="77777777" w:rsidR="004B4E35" w:rsidRPr="00405303" w:rsidRDefault="009E6F82" w:rsidP="00C15251">
            <w:pPr>
              <w:jc w:val="both"/>
              <w:rPr>
                <w:bCs/>
                <w:color w:val="002060"/>
                <w:sz w:val="16"/>
                <w:szCs w:val="16"/>
              </w:rPr>
            </w:pPr>
            <w:r w:rsidRPr="00405303">
              <w:rPr>
                <w:bCs/>
                <w:color w:val="002060"/>
                <w:sz w:val="16"/>
                <w:szCs w:val="16"/>
              </w:rPr>
              <w:t xml:space="preserve">400 000 </w:t>
            </w:r>
          </w:p>
        </w:tc>
      </w:tr>
      <w:tr w:rsidR="004B4E35" w:rsidRPr="00405303" w14:paraId="0E5C961A" w14:textId="77777777">
        <w:tc>
          <w:tcPr>
            <w:tcW w:w="3264" w:type="dxa"/>
          </w:tcPr>
          <w:p w14:paraId="35B30F34" w14:textId="77777777" w:rsidR="004B4E35" w:rsidRPr="00405303" w:rsidRDefault="009E6F82" w:rsidP="00C15251">
            <w:pPr>
              <w:jc w:val="both"/>
              <w:rPr>
                <w:bCs/>
                <w:color w:val="002060"/>
                <w:sz w:val="16"/>
                <w:szCs w:val="16"/>
              </w:rPr>
            </w:pPr>
            <w:r w:rsidRPr="00405303">
              <w:rPr>
                <w:bCs/>
                <w:color w:val="002060"/>
                <w:sz w:val="16"/>
                <w:szCs w:val="16"/>
              </w:rPr>
              <w:t>очистка нафталина</w:t>
            </w:r>
          </w:p>
        </w:tc>
        <w:tc>
          <w:tcPr>
            <w:tcW w:w="1356" w:type="dxa"/>
          </w:tcPr>
          <w:p w14:paraId="315B15B5" w14:textId="77777777" w:rsidR="004B4E35" w:rsidRPr="00405303" w:rsidRDefault="009E6F82" w:rsidP="00C15251">
            <w:pPr>
              <w:jc w:val="both"/>
              <w:rPr>
                <w:bCs/>
                <w:color w:val="002060"/>
                <w:sz w:val="16"/>
                <w:szCs w:val="16"/>
              </w:rPr>
            </w:pPr>
            <w:r w:rsidRPr="00405303">
              <w:rPr>
                <w:bCs/>
                <w:color w:val="002060"/>
                <w:sz w:val="16"/>
                <w:szCs w:val="16"/>
              </w:rPr>
              <w:t xml:space="preserve">200 000. </w:t>
            </w:r>
          </w:p>
        </w:tc>
      </w:tr>
    </w:tbl>
    <w:p w14:paraId="10F712A7" w14:textId="77777777" w:rsidR="004B4E35" w:rsidRPr="00405303" w:rsidRDefault="009E6F82" w:rsidP="00C15251">
      <w:pPr>
        <w:jc w:val="both"/>
        <w:rPr>
          <w:bCs/>
          <w:color w:val="002060"/>
          <w:sz w:val="16"/>
          <w:szCs w:val="16"/>
        </w:rPr>
      </w:pPr>
      <w:r w:rsidRPr="00405303">
        <w:rPr>
          <w:bCs/>
          <w:color w:val="002060"/>
          <w:sz w:val="16"/>
          <w:szCs w:val="16"/>
        </w:rPr>
        <w:t xml:space="preserve">Постройка разрешена в феврале 1915 года. В 1916 г. завод открыл работы по производству. Стоимость завода 1,3 млн руб. (по 1915 г.) (11329). </w:t>
      </w:r>
    </w:p>
    <w:p w14:paraId="719354C6" w14:textId="77777777" w:rsidR="004B4E35" w:rsidRPr="00405303" w:rsidRDefault="004B4E35" w:rsidP="00C15251">
      <w:pPr>
        <w:jc w:val="both"/>
        <w:rPr>
          <w:bCs/>
          <w:color w:val="002060"/>
          <w:sz w:val="16"/>
          <w:szCs w:val="16"/>
        </w:rPr>
      </w:pPr>
    </w:p>
    <w:p w14:paraId="3C283467" w14:textId="4D40BD00" w:rsidR="004B4E35" w:rsidRPr="00405303" w:rsidRDefault="002C4482"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конце 1915 г. началось строительство около 20 бензоловых заводов в Донбассе и в Сибири. Но еще в июне комиссию Ипатьева обязали увеличить производство бензола до 3 млн. пудов (4900 т) в год </w:t>
      </w:r>
      <w:proofErr w:type="gramStart"/>
      <w:r w:rsidR="009E6F82" w:rsidRPr="00405303">
        <w:rPr>
          <w:bCs/>
          <w:color w:val="002060"/>
          <w:sz w:val="16"/>
          <w:szCs w:val="16"/>
        </w:rPr>
        <w:t>( в</w:t>
      </w:r>
      <w:proofErr w:type="gramEnd"/>
      <w:r w:rsidR="009E6F82" w:rsidRPr="00405303">
        <w:rPr>
          <w:bCs/>
          <w:color w:val="002060"/>
          <w:sz w:val="16"/>
          <w:szCs w:val="16"/>
        </w:rPr>
        <w:t xml:space="preserve"> 4 раза!) и в кратчайшие сроки. Было решено, что 2 млн пудов (32760 т) сырого бензола можно получить от коксования угля, а 1 миллион — за счет разложения нефти. Комиссия командировала Н.Ф.Дитмара в Донбасс для выяснения, возможно ли в годичный срок построить новые коксовые </w:t>
      </w:r>
      <w:r w:rsidR="009E6F82" w:rsidRPr="00405303">
        <w:rPr>
          <w:bCs/>
          <w:color w:val="002060"/>
          <w:sz w:val="16"/>
          <w:szCs w:val="16"/>
        </w:rPr>
        <w:lastRenderedPageBreak/>
        <w:t>печи и бензольные заводы. Через месяц он сообщил, что в короткое время увеличить производство сырого бензола в Донбассе затруднительно в связи с нехваткой материалов и рабочих рук. Кстати, было предложение за 10-11 месяцев построить в Донбассе 2000 коксовых печей с улавливанием побочных продуктов. Его признали утопическими, хотя и трудно было доказать это. Комиссия по заготовке взрывчатых веществ обратила внимание на получение толуола через пирогенетическое разложение нефти. Опытное производство наладили в Казани. Проблему дефицита серной кислоты решили, построив сернокислотные заводы на местах разработки колчеданов.</w:t>
      </w:r>
    </w:p>
    <w:p w14:paraId="6D6F32A6" w14:textId="77777777" w:rsidR="004B4E35" w:rsidRPr="00405303" w:rsidRDefault="004B4E35" w:rsidP="00C15251">
      <w:pPr>
        <w:jc w:val="both"/>
        <w:rPr>
          <w:bCs/>
          <w:color w:val="002060"/>
          <w:sz w:val="16"/>
          <w:szCs w:val="16"/>
        </w:rPr>
      </w:pPr>
    </w:p>
    <w:p w14:paraId="5DF70556" w14:textId="46CCBB9D" w:rsidR="004B4E35" w:rsidRPr="00405303" w:rsidRDefault="002C4482" w:rsidP="00C15251">
      <w:pPr>
        <w:jc w:val="both"/>
        <w:rPr>
          <w:bCs/>
          <w:color w:val="002060"/>
          <w:sz w:val="16"/>
          <w:szCs w:val="16"/>
        </w:rPr>
      </w:pPr>
      <w:proofErr w:type="gramStart"/>
      <w:r w:rsidRPr="00405303">
        <w:rPr>
          <w:bCs/>
          <w:color w:val="002060"/>
          <w:sz w:val="16"/>
          <w:szCs w:val="16"/>
        </w:rPr>
        <w:t>К конце</w:t>
      </w:r>
      <w:proofErr w:type="gramEnd"/>
      <w:r w:rsidRPr="00405303">
        <w:rPr>
          <w:bCs/>
          <w:color w:val="002060"/>
          <w:sz w:val="16"/>
          <w:szCs w:val="16"/>
        </w:rPr>
        <w:t xml:space="preserve"> 1915 года была разрешена постройка </w:t>
      </w:r>
      <w:r w:rsidR="009E6F82" w:rsidRPr="00405303">
        <w:rPr>
          <w:bCs/>
          <w:color w:val="002060"/>
          <w:sz w:val="16"/>
          <w:szCs w:val="16"/>
        </w:rPr>
        <w:t>Нижегородск</w:t>
      </w:r>
      <w:r w:rsidRPr="00405303">
        <w:rPr>
          <w:bCs/>
          <w:color w:val="002060"/>
          <w:sz w:val="16"/>
          <w:szCs w:val="16"/>
        </w:rPr>
        <w:t>ого</w:t>
      </w:r>
      <w:r w:rsidR="009E6F82" w:rsidRPr="00405303">
        <w:rPr>
          <w:bCs/>
          <w:color w:val="002060"/>
          <w:sz w:val="16"/>
          <w:szCs w:val="16"/>
        </w:rPr>
        <w:t xml:space="preserve"> завод</w:t>
      </w:r>
      <w:r w:rsidRPr="00405303">
        <w:rPr>
          <w:bCs/>
          <w:color w:val="002060"/>
          <w:sz w:val="16"/>
          <w:szCs w:val="16"/>
        </w:rPr>
        <w:t>а</w:t>
      </w:r>
      <w:r w:rsidR="009E6F82" w:rsidRPr="00405303">
        <w:rPr>
          <w:bCs/>
          <w:color w:val="002060"/>
          <w:sz w:val="16"/>
          <w:szCs w:val="16"/>
        </w:rPr>
        <w:t xml:space="preserve"> азотной и серной кислоты. </w:t>
      </w:r>
    </w:p>
    <w:p w14:paraId="689497F8" w14:textId="77777777" w:rsidR="004B4E35" w:rsidRPr="00405303" w:rsidRDefault="009E6F82" w:rsidP="00C15251">
      <w:pPr>
        <w:jc w:val="both"/>
        <w:rPr>
          <w:bCs/>
          <w:color w:val="002060"/>
          <w:sz w:val="16"/>
          <w:szCs w:val="16"/>
        </w:rPr>
      </w:pPr>
      <w:r w:rsidRPr="00405303">
        <w:rPr>
          <w:bCs/>
          <w:color w:val="002060"/>
          <w:sz w:val="16"/>
          <w:szCs w:val="16"/>
        </w:rPr>
        <w:t xml:space="preserve">Проектная производительность завода (пудов в год):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64"/>
        <w:gridCol w:w="1020"/>
      </w:tblGrid>
      <w:tr w:rsidR="004B4E35" w:rsidRPr="00405303" w14:paraId="3ABCC4C7" w14:textId="77777777">
        <w:tc>
          <w:tcPr>
            <w:tcW w:w="3264" w:type="dxa"/>
          </w:tcPr>
          <w:p w14:paraId="2796FC3B" w14:textId="77777777" w:rsidR="004B4E35" w:rsidRPr="00405303" w:rsidRDefault="009E6F82" w:rsidP="00C15251">
            <w:pPr>
              <w:jc w:val="both"/>
              <w:rPr>
                <w:bCs/>
                <w:color w:val="002060"/>
                <w:sz w:val="16"/>
                <w:szCs w:val="16"/>
              </w:rPr>
            </w:pPr>
            <w:r w:rsidRPr="00405303">
              <w:rPr>
                <w:bCs/>
                <w:color w:val="002060"/>
                <w:sz w:val="16"/>
                <w:szCs w:val="16"/>
              </w:rPr>
              <w:t>олеума в 20%</w:t>
            </w:r>
          </w:p>
        </w:tc>
        <w:tc>
          <w:tcPr>
            <w:tcW w:w="1020" w:type="dxa"/>
          </w:tcPr>
          <w:p w14:paraId="665735ED" w14:textId="77777777" w:rsidR="004B4E35" w:rsidRPr="00405303" w:rsidRDefault="009E6F82" w:rsidP="00C15251">
            <w:pPr>
              <w:jc w:val="both"/>
              <w:rPr>
                <w:bCs/>
                <w:color w:val="002060"/>
                <w:sz w:val="16"/>
                <w:szCs w:val="16"/>
              </w:rPr>
            </w:pPr>
            <w:r w:rsidRPr="00405303">
              <w:rPr>
                <w:bCs/>
                <w:color w:val="002060"/>
                <w:sz w:val="16"/>
                <w:szCs w:val="16"/>
              </w:rPr>
              <w:t xml:space="preserve">400 000 </w:t>
            </w:r>
          </w:p>
        </w:tc>
      </w:tr>
      <w:tr w:rsidR="004B4E35" w:rsidRPr="00405303" w14:paraId="19620CD6" w14:textId="77777777">
        <w:tc>
          <w:tcPr>
            <w:tcW w:w="3264" w:type="dxa"/>
          </w:tcPr>
          <w:p w14:paraId="76D5CD8C" w14:textId="77777777" w:rsidR="004B4E35" w:rsidRPr="00405303" w:rsidRDefault="009E6F82" w:rsidP="00C15251">
            <w:pPr>
              <w:jc w:val="both"/>
              <w:rPr>
                <w:bCs/>
                <w:color w:val="002060"/>
                <w:sz w:val="16"/>
                <w:szCs w:val="16"/>
              </w:rPr>
            </w:pPr>
            <w:r w:rsidRPr="00405303">
              <w:rPr>
                <w:bCs/>
                <w:color w:val="002060"/>
                <w:sz w:val="16"/>
                <w:szCs w:val="16"/>
              </w:rPr>
              <w:t>купоросного масла</w:t>
            </w:r>
          </w:p>
        </w:tc>
        <w:tc>
          <w:tcPr>
            <w:tcW w:w="1020" w:type="dxa"/>
          </w:tcPr>
          <w:p w14:paraId="033B6A1A" w14:textId="77777777" w:rsidR="004B4E35" w:rsidRPr="00405303" w:rsidRDefault="009E6F82" w:rsidP="00C15251">
            <w:pPr>
              <w:jc w:val="both"/>
              <w:rPr>
                <w:bCs/>
                <w:color w:val="002060"/>
                <w:sz w:val="16"/>
                <w:szCs w:val="16"/>
              </w:rPr>
            </w:pPr>
            <w:r w:rsidRPr="00405303">
              <w:rPr>
                <w:bCs/>
                <w:color w:val="002060"/>
                <w:sz w:val="16"/>
                <w:szCs w:val="16"/>
              </w:rPr>
              <w:t xml:space="preserve">700 000 </w:t>
            </w:r>
          </w:p>
        </w:tc>
      </w:tr>
      <w:tr w:rsidR="004B4E35" w:rsidRPr="00405303" w14:paraId="520BB463" w14:textId="77777777">
        <w:tc>
          <w:tcPr>
            <w:tcW w:w="3264" w:type="dxa"/>
          </w:tcPr>
          <w:p w14:paraId="619339B8" w14:textId="77777777" w:rsidR="004B4E35" w:rsidRPr="00405303" w:rsidRDefault="009E6F82" w:rsidP="00C15251">
            <w:pPr>
              <w:jc w:val="both"/>
              <w:rPr>
                <w:bCs/>
                <w:color w:val="002060"/>
                <w:sz w:val="16"/>
                <w:szCs w:val="16"/>
              </w:rPr>
            </w:pPr>
            <w:r w:rsidRPr="00405303">
              <w:rPr>
                <w:bCs/>
                <w:color w:val="002060"/>
                <w:sz w:val="16"/>
                <w:szCs w:val="16"/>
              </w:rPr>
              <w:t>азотной кислоты 44-48</w:t>
            </w:r>
            <w:r w:rsidRPr="00405303">
              <w:rPr>
                <w:bCs/>
                <w:color w:val="002060"/>
                <w:sz w:val="16"/>
                <w:szCs w:val="16"/>
                <w:vertAlign w:val="superscript"/>
              </w:rPr>
              <w:t>0</w:t>
            </w:r>
            <w:r w:rsidRPr="00405303">
              <w:rPr>
                <w:bCs/>
                <w:color w:val="002060"/>
                <w:sz w:val="16"/>
                <w:szCs w:val="16"/>
              </w:rPr>
              <w:t>Б</w:t>
            </w:r>
          </w:p>
        </w:tc>
        <w:tc>
          <w:tcPr>
            <w:tcW w:w="1020" w:type="dxa"/>
          </w:tcPr>
          <w:p w14:paraId="681A3FBA" w14:textId="77777777" w:rsidR="004B4E35" w:rsidRPr="00405303" w:rsidRDefault="009E6F82" w:rsidP="00C15251">
            <w:pPr>
              <w:jc w:val="both"/>
              <w:rPr>
                <w:bCs/>
                <w:color w:val="002060"/>
                <w:sz w:val="16"/>
                <w:szCs w:val="16"/>
              </w:rPr>
            </w:pPr>
            <w:r w:rsidRPr="00405303">
              <w:rPr>
                <w:bCs/>
                <w:color w:val="002060"/>
                <w:sz w:val="16"/>
                <w:szCs w:val="16"/>
              </w:rPr>
              <w:t xml:space="preserve">200 000. </w:t>
            </w:r>
          </w:p>
        </w:tc>
      </w:tr>
    </w:tbl>
    <w:p w14:paraId="2614106F" w14:textId="1B78F9E7" w:rsidR="004B4E35" w:rsidRPr="00405303" w:rsidRDefault="009E6F82" w:rsidP="00C15251">
      <w:pPr>
        <w:jc w:val="both"/>
        <w:rPr>
          <w:bCs/>
          <w:color w:val="002060"/>
          <w:sz w:val="16"/>
          <w:szCs w:val="16"/>
        </w:rPr>
      </w:pPr>
      <w:r w:rsidRPr="00405303">
        <w:rPr>
          <w:bCs/>
          <w:color w:val="002060"/>
          <w:sz w:val="16"/>
          <w:szCs w:val="16"/>
        </w:rPr>
        <w:t xml:space="preserve">Стоимость завода 1,9 млн рублей. Постройка завода </w:t>
      </w:r>
      <w:r w:rsidR="002C4482" w:rsidRPr="00405303">
        <w:rPr>
          <w:bCs/>
          <w:color w:val="002060"/>
          <w:sz w:val="16"/>
          <w:szCs w:val="16"/>
        </w:rPr>
        <w:t>н</w:t>
      </w:r>
      <w:r w:rsidRPr="00405303">
        <w:rPr>
          <w:bCs/>
          <w:color w:val="002060"/>
          <w:sz w:val="16"/>
          <w:szCs w:val="16"/>
        </w:rPr>
        <w:t>ачата в 1916 году (11329).</w:t>
      </w:r>
    </w:p>
    <w:p w14:paraId="6AC73D53" w14:textId="77777777" w:rsidR="004B4E35" w:rsidRPr="00405303" w:rsidRDefault="004B4E35" w:rsidP="00C15251">
      <w:pPr>
        <w:jc w:val="both"/>
        <w:rPr>
          <w:bCs/>
          <w:color w:val="002060"/>
          <w:sz w:val="16"/>
          <w:szCs w:val="16"/>
        </w:rPr>
      </w:pPr>
    </w:p>
    <w:p w14:paraId="136271AF" w14:textId="5939AB3E" w:rsidR="004B4E35" w:rsidRPr="00405303" w:rsidRDefault="009E6F82" w:rsidP="00C15251">
      <w:pPr>
        <w:jc w:val="both"/>
        <w:rPr>
          <w:bCs/>
          <w:color w:val="002060"/>
          <w:sz w:val="16"/>
          <w:szCs w:val="16"/>
        </w:rPr>
      </w:pPr>
      <w:r w:rsidRPr="00405303">
        <w:rPr>
          <w:bCs/>
          <w:color w:val="002060"/>
          <w:sz w:val="16"/>
          <w:szCs w:val="16"/>
        </w:rPr>
        <w:t>К концу 1915 г. имелось уже достаточно материалов</w:t>
      </w:r>
      <w:r w:rsidR="002C4482" w:rsidRPr="00405303">
        <w:rPr>
          <w:bCs/>
          <w:color w:val="002060"/>
          <w:sz w:val="16"/>
          <w:szCs w:val="16"/>
        </w:rPr>
        <w:t xml:space="preserve"> по разложению нефти при высоких температурах по методам, предложенным химиком Никифоровым</w:t>
      </w:r>
      <w:r w:rsidRPr="00405303">
        <w:rPr>
          <w:bCs/>
          <w:color w:val="002060"/>
          <w:sz w:val="16"/>
          <w:szCs w:val="16"/>
        </w:rPr>
        <w:t xml:space="preserve">, чтобы ставить заводское производство. </w:t>
      </w:r>
      <w:r w:rsidR="002C4482" w:rsidRPr="00405303">
        <w:rPr>
          <w:bCs/>
          <w:color w:val="002060"/>
          <w:sz w:val="16"/>
          <w:szCs w:val="16"/>
        </w:rPr>
        <w:t xml:space="preserve">Опыты велись проф. Тихвинским, Зелинским и Лебедевым, а также в Научно-технической лаборатории военного ведомства. </w:t>
      </w:r>
      <w:r w:rsidRPr="00405303">
        <w:rPr>
          <w:bCs/>
          <w:color w:val="002060"/>
          <w:sz w:val="16"/>
          <w:szCs w:val="16"/>
        </w:rPr>
        <w:t xml:space="preserve">Первые заводские опыты были поставлены Комиссией Ипатьева на газовом заводе казанской городской управы и там же было поставлено первое валовое производство ароматических углеводородов на небольшую производительность — около 1000 пудов в месяц. </w:t>
      </w:r>
    </w:p>
    <w:p w14:paraId="42B00810" w14:textId="77777777" w:rsidR="004B4E35" w:rsidRPr="00405303" w:rsidRDefault="009E6F82" w:rsidP="00C15251">
      <w:pPr>
        <w:jc w:val="both"/>
        <w:rPr>
          <w:bCs/>
          <w:color w:val="002060"/>
          <w:sz w:val="16"/>
          <w:szCs w:val="16"/>
        </w:rPr>
      </w:pPr>
      <w:r w:rsidRPr="00405303">
        <w:rPr>
          <w:bCs/>
          <w:color w:val="002060"/>
          <w:sz w:val="16"/>
          <w:szCs w:val="16"/>
        </w:rPr>
        <w:t xml:space="preserve">Вопросом получения толуола из нефти пирогенетическим путем занимался деятельно и Военно-промышленный комитет. Бакинский ВПК взял на себя постройку для этой цели завода в Баку. Предварительный проект был составлен проф. П. Кошицем, Смоленским и Громаном. Завод был рассчитан на производство 4000 пудов и к осени 1916 г. был пущен уже в ход. </w:t>
      </w:r>
    </w:p>
    <w:p w14:paraId="76321E35" w14:textId="77777777" w:rsidR="004B4E35" w:rsidRPr="00405303" w:rsidRDefault="009E6F82" w:rsidP="00C15251">
      <w:pPr>
        <w:jc w:val="both"/>
        <w:rPr>
          <w:bCs/>
          <w:color w:val="002060"/>
          <w:sz w:val="16"/>
          <w:szCs w:val="16"/>
        </w:rPr>
      </w:pPr>
      <w:r w:rsidRPr="00405303">
        <w:rPr>
          <w:bCs/>
          <w:color w:val="002060"/>
          <w:sz w:val="16"/>
          <w:szCs w:val="16"/>
        </w:rPr>
        <w:t xml:space="preserve">Одновременно с бакинским ВПК была начата постройка трех заводов для получения ароматических углеводородов из нефти фирмами: Бр. Нобель, Бенкендорф и Нефтегаз. Из них только первая выполнила задачу вовремя. Другие две закончили постройку к самому концу войны. </w:t>
      </w:r>
    </w:p>
    <w:p w14:paraId="7BBDD3A2" w14:textId="77777777" w:rsidR="004B4E35" w:rsidRPr="00405303" w:rsidRDefault="009E6F82" w:rsidP="00C15251">
      <w:pPr>
        <w:jc w:val="both"/>
        <w:rPr>
          <w:bCs/>
          <w:color w:val="002060"/>
          <w:sz w:val="16"/>
          <w:szCs w:val="16"/>
        </w:rPr>
      </w:pPr>
      <w:r w:rsidRPr="00405303">
        <w:rPr>
          <w:bCs/>
          <w:color w:val="002060"/>
          <w:sz w:val="16"/>
          <w:szCs w:val="16"/>
        </w:rPr>
        <w:t xml:space="preserve">В итоге за время войны было изготовлено пирогенетического толуола до 150 000 пудов и была создана таким образом новая отрасль химической промышленности. </w:t>
      </w:r>
    </w:p>
    <w:p w14:paraId="3C6CDBC6" w14:textId="77777777" w:rsidR="004B4E35" w:rsidRPr="00405303" w:rsidRDefault="009E6F82" w:rsidP="00C15251">
      <w:pPr>
        <w:jc w:val="both"/>
        <w:rPr>
          <w:bCs/>
          <w:color w:val="002060"/>
          <w:sz w:val="16"/>
          <w:szCs w:val="16"/>
        </w:rPr>
      </w:pPr>
      <w:r w:rsidRPr="00405303">
        <w:rPr>
          <w:bCs/>
          <w:color w:val="002060"/>
          <w:sz w:val="16"/>
          <w:szCs w:val="16"/>
        </w:rPr>
        <w:t xml:space="preserve">Суммарное получение чистого бензола и [чистого] толуола всеми перечисленными методами (каменноугольного и нефтяного) выражается в следующих цифрах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837"/>
        <w:gridCol w:w="636"/>
        <w:gridCol w:w="641"/>
        <w:gridCol w:w="636"/>
        <w:gridCol w:w="641"/>
      </w:tblGrid>
      <w:tr w:rsidR="004B4E35" w:rsidRPr="00405303" w14:paraId="13C95460" w14:textId="77777777">
        <w:tc>
          <w:tcPr>
            <w:tcW w:w="837" w:type="dxa"/>
          </w:tcPr>
          <w:p w14:paraId="37380064" w14:textId="5B9BCA3E" w:rsidR="004B4E35" w:rsidRPr="00405303" w:rsidRDefault="00DB4D64" w:rsidP="00C15251">
            <w:pPr>
              <w:jc w:val="both"/>
              <w:rPr>
                <w:bCs/>
                <w:color w:val="002060"/>
                <w:sz w:val="16"/>
                <w:szCs w:val="16"/>
              </w:rPr>
            </w:pPr>
            <w:r w:rsidRPr="00405303">
              <w:rPr>
                <w:bCs/>
                <w:color w:val="002060"/>
                <w:sz w:val="16"/>
                <w:szCs w:val="16"/>
              </w:rPr>
              <w:t xml:space="preserve"> </w:t>
            </w:r>
          </w:p>
        </w:tc>
        <w:tc>
          <w:tcPr>
            <w:tcW w:w="1277" w:type="dxa"/>
            <w:gridSpan w:val="2"/>
          </w:tcPr>
          <w:p w14:paraId="7A73BE69" w14:textId="77777777" w:rsidR="004B4E35" w:rsidRPr="00405303" w:rsidRDefault="009E6F82" w:rsidP="00C15251">
            <w:pPr>
              <w:jc w:val="both"/>
              <w:rPr>
                <w:bCs/>
                <w:color w:val="002060"/>
                <w:sz w:val="16"/>
                <w:szCs w:val="16"/>
              </w:rPr>
            </w:pPr>
            <w:r w:rsidRPr="00405303">
              <w:rPr>
                <w:bCs/>
                <w:color w:val="002060"/>
                <w:sz w:val="16"/>
                <w:szCs w:val="16"/>
              </w:rPr>
              <w:t>1916 год</w:t>
            </w:r>
          </w:p>
        </w:tc>
        <w:tc>
          <w:tcPr>
            <w:tcW w:w="1277" w:type="dxa"/>
            <w:gridSpan w:val="2"/>
          </w:tcPr>
          <w:p w14:paraId="455CCA4A" w14:textId="77777777" w:rsidR="004B4E35" w:rsidRPr="00405303" w:rsidRDefault="009E6F82" w:rsidP="00C15251">
            <w:pPr>
              <w:jc w:val="both"/>
              <w:rPr>
                <w:bCs/>
                <w:color w:val="002060"/>
                <w:sz w:val="16"/>
                <w:szCs w:val="16"/>
              </w:rPr>
            </w:pPr>
            <w:r w:rsidRPr="00405303">
              <w:rPr>
                <w:bCs/>
                <w:color w:val="002060"/>
                <w:sz w:val="16"/>
                <w:szCs w:val="16"/>
              </w:rPr>
              <w:t>1917 год</w:t>
            </w:r>
          </w:p>
        </w:tc>
      </w:tr>
      <w:tr w:rsidR="004B4E35" w:rsidRPr="00405303" w14:paraId="2797EFB6" w14:textId="77777777">
        <w:tc>
          <w:tcPr>
            <w:tcW w:w="837" w:type="dxa"/>
          </w:tcPr>
          <w:p w14:paraId="2DB69209" w14:textId="77777777" w:rsidR="004B4E35" w:rsidRPr="00405303" w:rsidRDefault="009E6F82" w:rsidP="00C15251">
            <w:pPr>
              <w:jc w:val="both"/>
              <w:rPr>
                <w:bCs/>
                <w:color w:val="002060"/>
                <w:sz w:val="16"/>
                <w:szCs w:val="16"/>
              </w:rPr>
            </w:pPr>
            <w:r w:rsidRPr="00405303">
              <w:rPr>
                <w:bCs/>
                <w:color w:val="002060"/>
                <w:sz w:val="16"/>
                <w:szCs w:val="16"/>
              </w:rPr>
              <w:t>Месяцы</w:t>
            </w:r>
          </w:p>
        </w:tc>
        <w:tc>
          <w:tcPr>
            <w:tcW w:w="636" w:type="dxa"/>
          </w:tcPr>
          <w:p w14:paraId="500D2EB9" w14:textId="77777777" w:rsidR="004B4E35" w:rsidRPr="00405303" w:rsidRDefault="009E6F82" w:rsidP="00C15251">
            <w:pPr>
              <w:jc w:val="both"/>
              <w:rPr>
                <w:bCs/>
                <w:color w:val="002060"/>
                <w:sz w:val="16"/>
                <w:szCs w:val="16"/>
              </w:rPr>
            </w:pPr>
            <w:r w:rsidRPr="00405303">
              <w:rPr>
                <w:bCs/>
                <w:color w:val="002060"/>
                <w:sz w:val="16"/>
                <w:szCs w:val="16"/>
              </w:rPr>
              <w:t>Бензол</w:t>
            </w:r>
          </w:p>
        </w:tc>
        <w:tc>
          <w:tcPr>
            <w:tcW w:w="641" w:type="dxa"/>
          </w:tcPr>
          <w:p w14:paraId="24C645AD" w14:textId="77777777" w:rsidR="004B4E35" w:rsidRPr="00405303" w:rsidRDefault="009E6F82" w:rsidP="00C15251">
            <w:pPr>
              <w:jc w:val="both"/>
              <w:rPr>
                <w:bCs/>
                <w:color w:val="002060"/>
                <w:sz w:val="16"/>
                <w:szCs w:val="16"/>
              </w:rPr>
            </w:pPr>
            <w:r w:rsidRPr="00405303">
              <w:rPr>
                <w:bCs/>
                <w:color w:val="002060"/>
                <w:sz w:val="16"/>
                <w:szCs w:val="16"/>
              </w:rPr>
              <w:t>Толуол</w:t>
            </w:r>
          </w:p>
        </w:tc>
        <w:tc>
          <w:tcPr>
            <w:tcW w:w="636" w:type="dxa"/>
          </w:tcPr>
          <w:p w14:paraId="656BC8D9" w14:textId="77777777" w:rsidR="004B4E35" w:rsidRPr="00405303" w:rsidRDefault="009E6F82" w:rsidP="00C15251">
            <w:pPr>
              <w:jc w:val="both"/>
              <w:rPr>
                <w:bCs/>
                <w:color w:val="002060"/>
                <w:sz w:val="16"/>
                <w:szCs w:val="16"/>
              </w:rPr>
            </w:pPr>
            <w:r w:rsidRPr="00405303">
              <w:rPr>
                <w:bCs/>
                <w:color w:val="002060"/>
                <w:sz w:val="16"/>
                <w:szCs w:val="16"/>
              </w:rPr>
              <w:t xml:space="preserve">Бензол </w:t>
            </w:r>
          </w:p>
        </w:tc>
        <w:tc>
          <w:tcPr>
            <w:tcW w:w="641" w:type="dxa"/>
          </w:tcPr>
          <w:p w14:paraId="73052637" w14:textId="77777777" w:rsidR="004B4E35" w:rsidRPr="00405303" w:rsidRDefault="009E6F82" w:rsidP="00C15251">
            <w:pPr>
              <w:jc w:val="both"/>
              <w:rPr>
                <w:bCs/>
                <w:color w:val="002060"/>
                <w:sz w:val="16"/>
                <w:szCs w:val="16"/>
              </w:rPr>
            </w:pPr>
            <w:r w:rsidRPr="00405303">
              <w:rPr>
                <w:bCs/>
                <w:color w:val="002060"/>
                <w:sz w:val="16"/>
                <w:szCs w:val="16"/>
              </w:rPr>
              <w:t>Толуол</w:t>
            </w:r>
          </w:p>
        </w:tc>
      </w:tr>
      <w:tr w:rsidR="004B4E35" w:rsidRPr="00405303" w14:paraId="5FDCDAF0" w14:textId="77777777">
        <w:tc>
          <w:tcPr>
            <w:tcW w:w="837" w:type="dxa"/>
          </w:tcPr>
          <w:p w14:paraId="0AD3E9F8" w14:textId="77777777" w:rsidR="004B4E35" w:rsidRPr="00405303" w:rsidRDefault="009E6F82" w:rsidP="00C15251">
            <w:pPr>
              <w:jc w:val="both"/>
              <w:rPr>
                <w:bCs/>
                <w:color w:val="002060"/>
                <w:sz w:val="16"/>
                <w:szCs w:val="16"/>
              </w:rPr>
            </w:pPr>
            <w:r w:rsidRPr="00405303">
              <w:rPr>
                <w:bCs/>
                <w:color w:val="002060"/>
                <w:sz w:val="16"/>
                <w:szCs w:val="16"/>
              </w:rPr>
              <w:t>Январь</w:t>
            </w:r>
          </w:p>
        </w:tc>
        <w:tc>
          <w:tcPr>
            <w:tcW w:w="636" w:type="dxa"/>
          </w:tcPr>
          <w:p w14:paraId="7EC38231" w14:textId="77777777" w:rsidR="004B4E35" w:rsidRPr="00405303" w:rsidRDefault="009E6F82" w:rsidP="00C15251">
            <w:pPr>
              <w:jc w:val="both"/>
              <w:rPr>
                <w:bCs/>
                <w:color w:val="002060"/>
                <w:sz w:val="16"/>
                <w:szCs w:val="16"/>
              </w:rPr>
            </w:pPr>
            <w:r w:rsidRPr="00405303">
              <w:rPr>
                <w:bCs/>
                <w:color w:val="002060"/>
                <w:sz w:val="16"/>
                <w:szCs w:val="16"/>
              </w:rPr>
              <w:t>13,6</w:t>
            </w:r>
          </w:p>
        </w:tc>
        <w:tc>
          <w:tcPr>
            <w:tcW w:w="641" w:type="dxa"/>
          </w:tcPr>
          <w:p w14:paraId="2D668D5C" w14:textId="77777777" w:rsidR="004B4E35" w:rsidRPr="00405303" w:rsidRDefault="009E6F82" w:rsidP="00C15251">
            <w:pPr>
              <w:jc w:val="both"/>
              <w:rPr>
                <w:bCs/>
                <w:color w:val="002060"/>
                <w:sz w:val="16"/>
                <w:szCs w:val="16"/>
              </w:rPr>
            </w:pPr>
            <w:r w:rsidRPr="00405303">
              <w:rPr>
                <w:bCs/>
                <w:color w:val="002060"/>
                <w:sz w:val="16"/>
                <w:szCs w:val="16"/>
              </w:rPr>
              <w:t>10,9</w:t>
            </w:r>
          </w:p>
        </w:tc>
        <w:tc>
          <w:tcPr>
            <w:tcW w:w="636" w:type="dxa"/>
          </w:tcPr>
          <w:p w14:paraId="5249CA21" w14:textId="77777777" w:rsidR="004B4E35" w:rsidRPr="00405303" w:rsidRDefault="009E6F82" w:rsidP="00C15251">
            <w:pPr>
              <w:jc w:val="both"/>
              <w:rPr>
                <w:bCs/>
                <w:color w:val="002060"/>
                <w:sz w:val="16"/>
                <w:szCs w:val="16"/>
              </w:rPr>
            </w:pPr>
            <w:r w:rsidRPr="00405303">
              <w:rPr>
                <w:bCs/>
                <w:color w:val="002060"/>
                <w:sz w:val="16"/>
                <w:szCs w:val="16"/>
              </w:rPr>
              <w:t xml:space="preserve">20,0 </w:t>
            </w:r>
          </w:p>
        </w:tc>
        <w:tc>
          <w:tcPr>
            <w:tcW w:w="641" w:type="dxa"/>
          </w:tcPr>
          <w:p w14:paraId="73DC274E" w14:textId="77777777" w:rsidR="004B4E35" w:rsidRPr="00405303" w:rsidRDefault="009E6F82" w:rsidP="00C15251">
            <w:pPr>
              <w:jc w:val="both"/>
              <w:rPr>
                <w:bCs/>
                <w:color w:val="002060"/>
                <w:sz w:val="16"/>
                <w:szCs w:val="16"/>
              </w:rPr>
            </w:pPr>
            <w:r w:rsidRPr="00405303">
              <w:rPr>
                <w:bCs/>
                <w:color w:val="002060"/>
                <w:sz w:val="16"/>
                <w:szCs w:val="16"/>
              </w:rPr>
              <w:t>16,8</w:t>
            </w:r>
          </w:p>
        </w:tc>
      </w:tr>
      <w:tr w:rsidR="004B4E35" w:rsidRPr="00405303" w14:paraId="7136DA64" w14:textId="77777777">
        <w:tc>
          <w:tcPr>
            <w:tcW w:w="837" w:type="dxa"/>
          </w:tcPr>
          <w:p w14:paraId="36C80FEA" w14:textId="77777777" w:rsidR="004B4E35" w:rsidRPr="00405303" w:rsidRDefault="009E6F82" w:rsidP="00C15251">
            <w:pPr>
              <w:jc w:val="both"/>
              <w:rPr>
                <w:bCs/>
                <w:color w:val="002060"/>
                <w:sz w:val="16"/>
                <w:szCs w:val="16"/>
              </w:rPr>
            </w:pPr>
            <w:r w:rsidRPr="00405303">
              <w:rPr>
                <w:bCs/>
                <w:color w:val="002060"/>
                <w:sz w:val="16"/>
                <w:szCs w:val="16"/>
              </w:rPr>
              <w:t>Февраль</w:t>
            </w:r>
          </w:p>
        </w:tc>
        <w:tc>
          <w:tcPr>
            <w:tcW w:w="636" w:type="dxa"/>
          </w:tcPr>
          <w:p w14:paraId="34175EF9" w14:textId="77777777" w:rsidR="004B4E35" w:rsidRPr="00405303" w:rsidRDefault="009E6F82" w:rsidP="00C15251">
            <w:pPr>
              <w:jc w:val="both"/>
              <w:rPr>
                <w:bCs/>
                <w:color w:val="002060"/>
                <w:sz w:val="16"/>
                <w:szCs w:val="16"/>
              </w:rPr>
            </w:pPr>
            <w:r w:rsidRPr="00405303">
              <w:rPr>
                <w:bCs/>
                <w:color w:val="002060"/>
                <w:sz w:val="16"/>
                <w:szCs w:val="16"/>
              </w:rPr>
              <w:t>13,3</w:t>
            </w:r>
          </w:p>
        </w:tc>
        <w:tc>
          <w:tcPr>
            <w:tcW w:w="641" w:type="dxa"/>
          </w:tcPr>
          <w:p w14:paraId="7FA33D8F" w14:textId="77777777" w:rsidR="004B4E35" w:rsidRPr="00405303" w:rsidRDefault="009E6F82" w:rsidP="00C15251">
            <w:pPr>
              <w:jc w:val="both"/>
              <w:rPr>
                <w:bCs/>
                <w:color w:val="002060"/>
                <w:sz w:val="16"/>
                <w:szCs w:val="16"/>
              </w:rPr>
            </w:pPr>
            <w:r w:rsidRPr="00405303">
              <w:rPr>
                <w:bCs/>
                <w:color w:val="002060"/>
                <w:sz w:val="16"/>
                <w:szCs w:val="16"/>
              </w:rPr>
              <w:t>10,5</w:t>
            </w:r>
          </w:p>
        </w:tc>
        <w:tc>
          <w:tcPr>
            <w:tcW w:w="636" w:type="dxa"/>
          </w:tcPr>
          <w:p w14:paraId="347DA59D" w14:textId="77777777" w:rsidR="004B4E35" w:rsidRPr="00405303" w:rsidRDefault="009E6F82" w:rsidP="00C15251">
            <w:pPr>
              <w:jc w:val="both"/>
              <w:rPr>
                <w:bCs/>
                <w:color w:val="002060"/>
                <w:sz w:val="16"/>
                <w:szCs w:val="16"/>
              </w:rPr>
            </w:pPr>
            <w:r w:rsidRPr="00405303">
              <w:rPr>
                <w:bCs/>
                <w:color w:val="002060"/>
                <w:sz w:val="16"/>
                <w:szCs w:val="16"/>
              </w:rPr>
              <w:t xml:space="preserve">23,5 </w:t>
            </w:r>
          </w:p>
        </w:tc>
        <w:tc>
          <w:tcPr>
            <w:tcW w:w="641" w:type="dxa"/>
          </w:tcPr>
          <w:p w14:paraId="53474BE1" w14:textId="77777777" w:rsidR="004B4E35" w:rsidRPr="00405303" w:rsidRDefault="009E6F82" w:rsidP="00C15251">
            <w:pPr>
              <w:jc w:val="both"/>
              <w:rPr>
                <w:bCs/>
                <w:color w:val="002060"/>
                <w:sz w:val="16"/>
                <w:szCs w:val="16"/>
              </w:rPr>
            </w:pPr>
            <w:r w:rsidRPr="00405303">
              <w:rPr>
                <w:bCs/>
                <w:color w:val="002060"/>
                <w:sz w:val="16"/>
                <w:szCs w:val="16"/>
              </w:rPr>
              <w:t>19,1</w:t>
            </w:r>
          </w:p>
        </w:tc>
      </w:tr>
      <w:tr w:rsidR="004B4E35" w:rsidRPr="00405303" w14:paraId="12C8D24E" w14:textId="77777777">
        <w:tc>
          <w:tcPr>
            <w:tcW w:w="837" w:type="dxa"/>
          </w:tcPr>
          <w:p w14:paraId="60651E7E" w14:textId="77777777" w:rsidR="004B4E35" w:rsidRPr="00405303" w:rsidRDefault="009E6F82" w:rsidP="00C15251">
            <w:pPr>
              <w:jc w:val="both"/>
              <w:rPr>
                <w:bCs/>
                <w:color w:val="002060"/>
                <w:sz w:val="16"/>
                <w:szCs w:val="16"/>
              </w:rPr>
            </w:pPr>
            <w:r w:rsidRPr="00405303">
              <w:rPr>
                <w:bCs/>
                <w:color w:val="002060"/>
                <w:sz w:val="16"/>
                <w:szCs w:val="16"/>
              </w:rPr>
              <w:t>Март</w:t>
            </w:r>
          </w:p>
        </w:tc>
        <w:tc>
          <w:tcPr>
            <w:tcW w:w="636" w:type="dxa"/>
          </w:tcPr>
          <w:p w14:paraId="224FC4D5" w14:textId="77777777" w:rsidR="004B4E35" w:rsidRPr="00405303" w:rsidRDefault="009E6F82" w:rsidP="00C15251">
            <w:pPr>
              <w:jc w:val="both"/>
              <w:rPr>
                <w:bCs/>
                <w:color w:val="002060"/>
                <w:sz w:val="16"/>
                <w:szCs w:val="16"/>
              </w:rPr>
            </w:pPr>
            <w:r w:rsidRPr="00405303">
              <w:rPr>
                <w:bCs/>
                <w:color w:val="002060"/>
                <w:sz w:val="16"/>
                <w:szCs w:val="16"/>
              </w:rPr>
              <w:t>14,2</w:t>
            </w:r>
          </w:p>
        </w:tc>
        <w:tc>
          <w:tcPr>
            <w:tcW w:w="641" w:type="dxa"/>
          </w:tcPr>
          <w:p w14:paraId="693ED8EC" w14:textId="77777777" w:rsidR="004B4E35" w:rsidRPr="00405303" w:rsidRDefault="009E6F82" w:rsidP="00C15251">
            <w:pPr>
              <w:jc w:val="both"/>
              <w:rPr>
                <w:bCs/>
                <w:color w:val="002060"/>
                <w:sz w:val="16"/>
                <w:szCs w:val="16"/>
              </w:rPr>
            </w:pPr>
            <w:r w:rsidRPr="00405303">
              <w:rPr>
                <w:bCs/>
                <w:color w:val="002060"/>
                <w:sz w:val="16"/>
                <w:szCs w:val="16"/>
              </w:rPr>
              <w:t>11,4</w:t>
            </w:r>
          </w:p>
        </w:tc>
        <w:tc>
          <w:tcPr>
            <w:tcW w:w="636" w:type="dxa"/>
          </w:tcPr>
          <w:p w14:paraId="2B14C2C2" w14:textId="77777777" w:rsidR="004B4E35" w:rsidRPr="00405303" w:rsidRDefault="009E6F82" w:rsidP="00C15251">
            <w:pPr>
              <w:jc w:val="both"/>
              <w:rPr>
                <w:bCs/>
                <w:color w:val="002060"/>
                <w:sz w:val="16"/>
                <w:szCs w:val="16"/>
              </w:rPr>
            </w:pPr>
            <w:r w:rsidRPr="00405303">
              <w:rPr>
                <w:bCs/>
                <w:color w:val="002060"/>
                <w:sz w:val="16"/>
                <w:szCs w:val="16"/>
              </w:rPr>
              <w:t xml:space="preserve">26,3 </w:t>
            </w:r>
          </w:p>
        </w:tc>
        <w:tc>
          <w:tcPr>
            <w:tcW w:w="641" w:type="dxa"/>
          </w:tcPr>
          <w:p w14:paraId="56804AF7" w14:textId="77777777" w:rsidR="004B4E35" w:rsidRPr="00405303" w:rsidRDefault="009E6F82" w:rsidP="00C15251">
            <w:pPr>
              <w:jc w:val="both"/>
              <w:rPr>
                <w:bCs/>
                <w:color w:val="002060"/>
                <w:sz w:val="16"/>
                <w:szCs w:val="16"/>
              </w:rPr>
            </w:pPr>
            <w:r w:rsidRPr="00405303">
              <w:rPr>
                <w:bCs/>
                <w:color w:val="002060"/>
                <w:sz w:val="16"/>
                <w:szCs w:val="16"/>
              </w:rPr>
              <w:t>21,6</w:t>
            </w:r>
          </w:p>
        </w:tc>
      </w:tr>
      <w:tr w:rsidR="004B4E35" w:rsidRPr="00405303" w14:paraId="2E34E3FD" w14:textId="77777777">
        <w:tc>
          <w:tcPr>
            <w:tcW w:w="837" w:type="dxa"/>
          </w:tcPr>
          <w:p w14:paraId="3D38B561" w14:textId="77777777" w:rsidR="004B4E35" w:rsidRPr="00405303" w:rsidRDefault="009E6F82" w:rsidP="00C15251">
            <w:pPr>
              <w:jc w:val="both"/>
              <w:rPr>
                <w:bCs/>
                <w:color w:val="002060"/>
                <w:sz w:val="16"/>
                <w:szCs w:val="16"/>
              </w:rPr>
            </w:pPr>
            <w:r w:rsidRPr="00405303">
              <w:rPr>
                <w:bCs/>
                <w:color w:val="002060"/>
                <w:sz w:val="16"/>
                <w:szCs w:val="16"/>
              </w:rPr>
              <w:t>Апрель</w:t>
            </w:r>
          </w:p>
        </w:tc>
        <w:tc>
          <w:tcPr>
            <w:tcW w:w="636" w:type="dxa"/>
          </w:tcPr>
          <w:p w14:paraId="4393292C" w14:textId="77777777" w:rsidR="004B4E35" w:rsidRPr="00405303" w:rsidRDefault="009E6F82" w:rsidP="00C15251">
            <w:pPr>
              <w:jc w:val="both"/>
              <w:rPr>
                <w:bCs/>
                <w:color w:val="002060"/>
                <w:sz w:val="16"/>
                <w:szCs w:val="16"/>
              </w:rPr>
            </w:pPr>
            <w:r w:rsidRPr="00405303">
              <w:rPr>
                <w:bCs/>
                <w:color w:val="002060"/>
                <w:sz w:val="16"/>
                <w:szCs w:val="16"/>
              </w:rPr>
              <w:t>13.5</w:t>
            </w:r>
          </w:p>
        </w:tc>
        <w:tc>
          <w:tcPr>
            <w:tcW w:w="641" w:type="dxa"/>
          </w:tcPr>
          <w:p w14:paraId="7F9F5C24" w14:textId="77777777" w:rsidR="004B4E35" w:rsidRPr="00405303" w:rsidRDefault="009E6F82" w:rsidP="00C15251">
            <w:pPr>
              <w:jc w:val="both"/>
              <w:rPr>
                <w:bCs/>
                <w:color w:val="002060"/>
                <w:sz w:val="16"/>
                <w:szCs w:val="16"/>
              </w:rPr>
            </w:pPr>
            <w:r w:rsidRPr="00405303">
              <w:rPr>
                <w:bCs/>
                <w:color w:val="002060"/>
                <w:sz w:val="16"/>
                <w:szCs w:val="16"/>
              </w:rPr>
              <w:t>9,5</w:t>
            </w:r>
          </w:p>
        </w:tc>
        <w:tc>
          <w:tcPr>
            <w:tcW w:w="636" w:type="dxa"/>
          </w:tcPr>
          <w:p w14:paraId="1F9EC525" w14:textId="77777777" w:rsidR="004B4E35" w:rsidRPr="00405303" w:rsidRDefault="009E6F82" w:rsidP="00C15251">
            <w:pPr>
              <w:jc w:val="both"/>
              <w:rPr>
                <w:bCs/>
                <w:color w:val="002060"/>
                <w:sz w:val="16"/>
                <w:szCs w:val="16"/>
              </w:rPr>
            </w:pPr>
            <w:r w:rsidRPr="00405303">
              <w:rPr>
                <w:bCs/>
                <w:color w:val="002060"/>
                <w:sz w:val="16"/>
                <w:szCs w:val="16"/>
              </w:rPr>
              <w:t>31,5</w:t>
            </w:r>
          </w:p>
        </w:tc>
        <w:tc>
          <w:tcPr>
            <w:tcW w:w="641" w:type="dxa"/>
          </w:tcPr>
          <w:p w14:paraId="28FDDDDB" w14:textId="77777777" w:rsidR="004B4E35" w:rsidRPr="00405303" w:rsidRDefault="009E6F82" w:rsidP="00C15251">
            <w:pPr>
              <w:jc w:val="both"/>
              <w:rPr>
                <w:bCs/>
                <w:color w:val="002060"/>
                <w:sz w:val="16"/>
                <w:szCs w:val="16"/>
              </w:rPr>
            </w:pPr>
            <w:r w:rsidRPr="00405303">
              <w:rPr>
                <w:bCs/>
                <w:color w:val="002060"/>
                <w:sz w:val="16"/>
                <w:szCs w:val="16"/>
              </w:rPr>
              <w:t>26,3</w:t>
            </w:r>
          </w:p>
        </w:tc>
      </w:tr>
      <w:tr w:rsidR="004B4E35" w:rsidRPr="00405303" w14:paraId="2BCF7B63" w14:textId="77777777">
        <w:tc>
          <w:tcPr>
            <w:tcW w:w="837" w:type="dxa"/>
          </w:tcPr>
          <w:p w14:paraId="3E1B3B0D" w14:textId="77777777" w:rsidR="004B4E35" w:rsidRPr="00405303" w:rsidRDefault="009E6F82" w:rsidP="00C15251">
            <w:pPr>
              <w:jc w:val="both"/>
              <w:rPr>
                <w:bCs/>
                <w:color w:val="002060"/>
                <w:sz w:val="16"/>
                <w:szCs w:val="16"/>
              </w:rPr>
            </w:pPr>
            <w:r w:rsidRPr="00405303">
              <w:rPr>
                <w:bCs/>
                <w:color w:val="002060"/>
                <w:sz w:val="16"/>
                <w:szCs w:val="16"/>
              </w:rPr>
              <w:t>Май</w:t>
            </w:r>
          </w:p>
        </w:tc>
        <w:tc>
          <w:tcPr>
            <w:tcW w:w="636" w:type="dxa"/>
          </w:tcPr>
          <w:p w14:paraId="35B528E8" w14:textId="77777777" w:rsidR="004B4E35" w:rsidRPr="00405303" w:rsidRDefault="009E6F82" w:rsidP="00C15251">
            <w:pPr>
              <w:jc w:val="both"/>
              <w:rPr>
                <w:bCs/>
                <w:color w:val="002060"/>
                <w:sz w:val="16"/>
                <w:szCs w:val="16"/>
              </w:rPr>
            </w:pPr>
            <w:r w:rsidRPr="00405303">
              <w:rPr>
                <w:bCs/>
                <w:color w:val="002060"/>
                <w:sz w:val="16"/>
                <w:szCs w:val="16"/>
              </w:rPr>
              <w:t>14,5</w:t>
            </w:r>
          </w:p>
        </w:tc>
        <w:tc>
          <w:tcPr>
            <w:tcW w:w="641" w:type="dxa"/>
          </w:tcPr>
          <w:p w14:paraId="01EF1531" w14:textId="77777777" w:rsidR="004B4E35" w:rsidRPr="00405303" w:rsidRDefault="009E6F82" w:rsidP="00C15251">
            <w:pPr>
              <w:jc w:val="both"/>
              <w:rPr>
                <w:bCs/>
                <w:color w:val="002060"/>
                <w:sz w:val="16"/>
                <w:szCs w:val="16"/>
              </w:rPr>
            </w:pPr>
            <w:r w:rsidRPr="00405303">
              <w:rPr>
                <w:bCs/>
                <w:color w:val="002060"/>
                <w:sz w:val="16"/>
                <w:szCs w:val="16"/>
              </w:rPr>
              <w:t>9,5</w:t>
            </w:r>
          </w:p>
        </w:tc>
        <w:tc>
          <w:tcPr>
            <w:tcW w:w="636" w:type="dxa"/>
          </w:tcPr>
          <w:p w14:paraId="4C0CA229" w14:textId="77777777" w:rsidR="004B4E35" w:rsidRPr="00405303" w:rsidRDefault="009E6F82" w:rsidP="00C15251">
            <w:pPr>
              <w:jc w:val="both"/>
              <w:rPr>
                <w:bCs/>
                <w:color w:val="002060"/>
                <w:sz w:val="16"/>
                <w:szCs w:val="16"/>
              </w:rPr>
            </w:pPr>
            <w:r w:rsidRPr="00405303">
              <w:rPr>
                <w:bCs/>
                <w:color w:val="002060"/>
                <w:sz w:val="16"/>
                <w:szCs w:val="16"/>
              </w:rPr>
              <w:t xml:space="preserve">33,7 </w:t>
            </w:r>
          </w:p>
        </w:tc>
        <w:tc>
          <w:tcPr>
            <w:tcW w:w="641" w:type="dxa"/>
          </w:tcPr>
          <w:p w14:paraId="1BB5E2EE" w14:textId="77777777" w:rsidR="004B4E35" w:rsidRPr="00405303" w:rsidRDefault="009E6F82" w:rsidP="00C15251">
            <w:pPr>
              <w:jc w:val="both"/>
              <w:rPr>
                <w:bCs/>
                <w:color w:val="002060"/>
                <w:sz w:val="16"/>
                <w:szCs w:val="16"/>
              </w:rPr>
            </w:pPr>
            <w:r w:rsidRPr="00405303">
              <w:rPr>
                <w:bCs/>
                <w:color w:val="002060"/>
                <w:sz w:val="16"/>
                <w:szCs w:val="16"/>
              </w:rPr>
              <w:t>28,0</w:t>
            </w:r>
          </w:p>
        </w:tc>
      </w:tr>
      <w:tr w:rsidR="004B4E35" w:rsidRPr="00405303" w14:paraId="31F625A9" w14:textId="77777777">
        <w:tc>
          <w:tcPr>
            <w:tcW w:w="837" w:type="dxa"/>
          </w:tcPr>
          <w:p w14:paraId="51BD3DE9" w14:textId="77777777" w:rsidR="004B4E35" w:rsidRPr="00405303" w:rsidRDefault="009E6F82" w:rsidP="00C15251">
            <w:pPr>
              <w:jc w:val="both"/>
              <w:rPr>
                <w:bCs/>
                <w:color w:val="002060"/>
                <w:sz w:val="16"/>
                <w:szCs w:val="16"/>
              </w:rPr>
            </w:pPr>
            <w:r w:rsidRPr="00405303">
              <w:rPr>
                <w:bCs/>
                <w:color w:val="002060"/>
                <w:sz w:val="16"/>
                <w:szCs w:val="16"/>
              </w:rPr>
              <w:t>Июнь</w:t>
            </w:r>
          </w:p>
        </w:tc>
        <w:tc>
          <w:tcPr>
            <w:tcW w:w="636" w:type="dxa"/>
          </w:tcPr>
          <w:p w14:paraId="63FCEF48" w14:textId="77777777" w:rsidR="004B4E35" w:rsidRPr="00405303" w:rsidRDefault="009E6F82" w:rsidP="00C15251">
            <w:pPr>
              <w:jc w:val="both"/>
              <w:rPr>
                <w:bCs/>
                <w:color w:val="002060"/>
                <w:sz w:val="16"/>
                <w:szCs w:val="16"/>
              </w:rPr>
            </w:pPr>
            <w:r w:rsidRPr="00405303">
              <w:rPr>
                <w:bCs/>
                <w:color w:val="002060"/>
                <w:sz w:val="16"/>
                <w:szCs w:val="16"/>
              </w:rPr>
              <w:t>116,5</w:t>
            </w:r>
          </w:p>
        </w:tc>
        <w:tc>
          <w:tcPr>
            <w:tcW w:w="641" w:type="dxa"/>
          </w:tcPr>
          <w:p w14:paraId="79747C9D" w14:textId="77777777" w:rsidR="004B4E35" w:rsidRPr="00405303" w:rsidRDefault="009E6F82" w:rsidP="00C15251">
            <w:pPr>
              <w:jc w:val="both"/>
              <w:rPr>
                <w:bCs/>
                <w:color w:val="002060"/>
                <w:sz w:val="16"/>
                <w:szCs w:val="16"/>
              </w:rPr>
            </w:pPr>
            <w:r w:rsidRPr="00405303">
              <w:rPr>
                <w:bCs/>
                <w:color w:val="002060"/>
                <w:sz w:val="16"/>
                <w:szCs w:val="16"/>
              </w:rPr>
              <w:t>12,8</w:t>
            </w:r>
          </w:p>
        </w:tc>
        <w:tc>
          <w:tcPr>
            <w:tcW w:w="636" w:type="dxa"/>
          </w:tcPr>
          <w:p w14:paraId="04DD7C9D" w14:textId="77777777" w:rsidR="004B4E35" w:rsidRPr="00405303" w:rsidRDefault="009E6F82" w:rsidP="00C15251">
            <w:pPr>
              <w:jc w:val="both"/>
              <w:rPr>
                <w:bCs/>
                <w:color w:val="002060"/>
                <w:sz w:val="16"/>
                <w:szCs w:val="16"/>
              </w:rPr>
            </w:pPr>
            <w:r w:rsidRPr="00405303">
              <w:rPr>
                <w:bCs/>
                <w:color w:val="002060"/>
                <w:sz w:val="16"/>
                <w:szCs w:val="16"/>
              </w:rPr>
              <w:t xml:space="preserve">33,7 </w:t>
            </w:r>
          </w:p>
        </w:tc>
        <w:tc>
          <w:tcPr>
            <w:tcW w:w="641" w:type="dxa"/>
          </w:tcPr>
          <w:p w14:paraId="400243F7" w14:textId="77777777" w:rsidR="004B4E35" w:rsidRPr="00405303" w:rsidRDefault="009E6F82" w:rsidP="00C15251">
            <w:pPr>
              <w:jc w:val="both"/>
              <w:rPr>
                <w:bCs/>
                <w:color w:val="002060"/>
                <w:sz w:val="16"/>
                <w:szCs w:val="16"/>
              </w:rPr>
            </w:pPr>
            <w:r w:rsidRPr="00405303">
              <w:rPr>
                <w:bCs/>
                <w:color w:val="002060"/>
                <w:sz w:val="16"/>
                <w:szCs w:val="16"/>
              </w:rPr>
              <w:t>28,0</w:t>
            </w:r>
          </w:p>
        </w:tc>
      </w:tr>
      <w:tr w:rsidR="004B4E35" w:rsidRPr="00405303" w14:paraId="124D6BC5" w14:textId="77777777">
        <w:tc>
          <w:tcPr>
            <w:tcW w:w="837" w:type="dxa"/>
          </w:tcPr>
          <w:p w14:paraId="4B0F9072" w14:textId="77777777" w:rsidR="004B4E35" w:rsidRPr="00405303" w:rsidRDefault="009E6F82" w:rsidP="00C15251">
            <w:pPr>
              <w:jc w:val="both"/>
              <w:rPr>
                <w:bCs/>
                <w:color w:val="002060"/>
                <w:sz w:val="16"/>
                <w:szCs w:val="16"/>
              </w:rPr>
            </w:pPr>
            <w:r w:rsidRPr="00405303">
              <w:rPr>
                <w:bCs/>
                <w:color w:val="002060"/>
                <w:sz w:val="16"/>
                <w:szCs w:val="16"/>
              </w:rPr>
              <w:t>Июль</w:t>
            </w:r>
          </w:p>
        </w:tc>
        <w:tc>
          <w:tcPr>
            <w:tcW w:w="636" w:type="dxa"/>
          </w:tcPr>
          <w:p w14:paraId="2F254D44" w14:textId="77777777" w:rsidR="004B4E35" w:rsidRPr="00405303" w:rsidRDefault="009E6F82" w:rsidP="00C15251">
            <w:pPr>
              <w:jc w:val="both"/>
              <w:rPr>
                <w:bCs/>
                <w:color w:val="002060"/>
                <w:sz w:val="16"/>
                <w:szCs w:val="16"/>
              </w:rPr>
            </w:pPr>
            <w:r w:rsidRPr="00405303">
              <w:rPr>
                <w:bCs/>
                <w:color w:val="002060"/>
                <w:sz w:val="16"/>
                <w:szCs w:val="16"/>
              </w:rPr>
              <w:t>126,7</w:t>
            </w:r>
          </w:p>
        </w:tc>
        <w:tc>
          <w:tcPr>
            <w:tcW w:w="641" w:type="dxa"/>
          </w:tcPr>
          <w:p w14:paraId="4511FA1A" w14:textId="77777777" w:rsidR="004B4E35" w:rsidRPr="00405303" w:rsidRDefault="009E6F82" w:rsidP="00C15251">
            <w:pPr>
              <w:jc w:val="both"/>
              <w:rPr>
                <w:bCs/>
                <w:color w:val="002060"/>
                <w:sz w:val="16"/>
                <w:szCs w:val="16"/>
              </w:rPr>
            </w:pPr>
            <w:r w:rsidRPr="00405303">
              <w:rPr>
                <w:bCs/>
                <w:color w:val="002060"/>
                <w:sz w:val="16"/>
                <w:szCs w:val="16"/>
              </w:rPr>
              <w:t>12,5</w:t>
            </w:r>
          </w:p>
        </w:tc>
        <w:tc>
          <w:tcPr>
            <w:tcW w:w="636" w:type="dxa"/>
          </w:tcPr>
          <w:p w14:paraId="5DB48D76"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72A3D5C9"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46DB7975" w14:textId="77777777">
        <w:tc>
          <w:tcPr>
            <w:tcW w:w="837" w:type="dxa"/>
          </w:tcPr>
          <w:p w14:paraId="3F2C1FD6" w14:textId="77777777" w:rsidR="004B4E35" w:rsidRPr="00405303" w:rsidRDefault="009E6F82" w:rsidP="00C15251">
            <w:pPr>
              <w:jc w:val="both"/>
              <w:rPr>
                <w:bCs/>
                <w:color w:val="002060"/>
                <w:sz w:val="16"/>
                <w:szCs w:val="16"/>
              </w:rPr>
            </w:pPr>
            <w:r w:rsidRPr="00405303">
              <w:rPr>
                <w:bCs/>
                <w:color w:val="002060"/>
                <w:sz w:val="16"/>
                <w:szCs w:val="16"/>
              </w:rPr>
              <w:t>Август</w:t>
            </w:r>
          </w:p>
        </w:tc>
        <w:tc>
          <w:tcPr>
            <w:tcW w:w="636" w:type="dxa"/>
          </w:tcPr>
          <w:p w14:paraId="1ACE2238" w14:textId="77777777" w:rsidR="004B4E35" w:rsidRPr="00405303" w:rsidRDefault="009E6F82" w:rsidP="00C15251">
            <w:pPr>
              <w:jc w:val="both"/>
              <w:rPr>
                <w:bCs/>
                <w:color w:val="002060"/>
                <w:sz w:val="16"/>
                <w:szCs w:val="16"/>
              </w:rPr>
            </w:pPr>
            <w:r w:rsidRPr="00405303">
              <w:rPr>
                <w:bCs/>
                <w:color w:val="002060"/>
                <w:sz w:val="16"/>
                <w:szCs w:val="16"/>
              </w:rPr>
              <w:t>15,1</w:t>
            </w:r>
          </w:p>
        </w:tc>
        <w:tc>
          <w:tcPr>
            <w:tcW w:w="641" w:type="dxa"/>
          </w:tcPr>
          <w:p w14:paraId="71039123" w14:textId="77777777" w:rsidR="004B4E35" w:rsidRPr="00405303" w:rsidRDefault="009E6F82" w:rsidP="00C15251">
            <w:pPr>
              <w:jc w:val="both"/>
              <w:rPr>
                <w:bCs/>
                <w:color w:val="002060"/>
                <w:sz w:val="16"/>
                <w:szCs w:val="16"/>
              </w:rPr>
            </w:pPr>
            <w:r w:rsidRPr="00405303">
              <w:rPr>
                <w:bCs/>
                <w:color w:val="002060"/>
                <w:sz w:val="16"/>
                <w:szCs w:val="16"/>
              </w:rPr>
              <w:t>12,4</w:t>
            </w:r>
          </w:p>
        </w:tc>
        <w:tc>
          <w:tcPr>
            <w:tcW w:w="636" w:type="dxa"/>
          </w:tcPr>
          <w:p w14:paraId="30E3E0E7"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3137DB0E"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6714C0B2" w14:textId="77777777">
        <w:tc>
          <w:tcPr>
            <w:tcW w:w="837" w:type="dxa"/>
          </w:tcPr>
          <w:p w14:paraId="6CCF6162" w14:textId="77777777" w:rsidR="004B4E35" w:rsidRPr="00405303" w:rsidRDefault="009E6F82" w:rsidP="00C15251">
            <w:pPr>
              <w:jc w:val="both"/>
              <w:rPr>
                <w:bCs/>
                <w:color w:val="002060"/>
                <w:sz w:val="16"/>
                <w:szCs w:val="16"/>
              </w:rPr>
            </w:pPr>
            <w:r w:rsidRPr="00405303">
              <w:rPr>
                <w:bCs/>
                <w:color w:val="002060"/>
                <w:sz w:val="16"/>
                <w:szCs w:val="16"/>
              </w:rPr>
              <w:t>Сентябрь</w:t>
            </w:r>
          </w:p>
        </w:tc>
        <w:tc>
          <w:tcPr>
            <w:tcW w:w="636" w:type="dxa"/>
          </w:tcPr>
          <w:p w14:paraId="6AD7CB4F" w14:textId="77777777" w:rsidR="004B4E35" w:rsidRPr="00405303" w:rsidRDefault="009E6F82" w:rsidP="00C15251">
            <w:pPr>
              <w:jc w:val="both"/>
              <w:rPr>
                <w:bCs/>
                <w:color w:val="002060"/>
                <w:sz w:val="16"/>
                <w:szCs w:val="16"/>
              </w:rPr>
            </w:pPr>
            <w:r w:rsidRPr="00405303">
              <w:rPr>
                <w:bCs/>
                <w:color w:val="002060"/>
                <w:sz w:val="16"/>
                <w:szCs w:val="16"/>
              </w:rPr>
              <w:t>18,3</w:t>
            </w:r>
          </w:p>
        </w:tc>
        <w:tc>
          <w:tcPr>
            <w:tcW w:w="641" w:type="dxa"/>
          </w:tcPr>
          <w:p w14:paraId="739F8650" w14:textId="77777777" w:rsidR="004B4E35" w:rsidRPr="00405303" w:rsidRDefault="009E6F82" w:rsidP="00C15251">
            <w:pPr>
              <w:jc w:val="both"/>
              <w:rPr>
                <w:bCs/>
                <w:color w:val="002060"/>
                <w:sz w:val="16"/>
                <w:szCs w:val="16"/>
              </w:rPr>
            </w:pPr>
            <w:r w:rsidRPr="00405303">
              <w:rPr>
                <w:bCs/>
                <w:color w:val="002060"/>
                <w:sz w:val="16"/>
                <w:szCs w:val="16"/>
              </w:rPr>
              <w:t>14,3</w:t>
            </w:r>
          </w:p>
        </w:tc>
        <w:tc>
          <w:tcPr>
            <w:tcW w:w="636" w:type="dxa"/>
          </w:tcPr>
          <w:p w14:paraId="49F0AB90"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30F2A0EF"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720F1E4D" w14:textId="77777777">
        <w:tc>
          <w:tcPr>
            <w:tcW w:w="837" w:type="dxa"/>
          </w:tcPr>
          <w:p w14:paraId="22315EA2" w14:textId="77777777" w:rsidR="004B4E35" w:rsidRPr="00405303" w:rsidRDefault="009E6F82" w:rsidP="00C15251">
            <w:pPr>
              <w:jc w:val="both"/>
              <w:rPr>
                <w:bCs/>
                <w:color w:val="002060"/>
                <w:sz w:val="16"/>
                <w:szCs w:val="16"/>
              </w:rPr>
            </w:pPr>
            <w:r w:rsidRPr="00405303">
              <w:rPr>
                <w:bCs/>
                <w:color w:val="002060"/>
                <w:sz w:val="16"/>
                <w:szCs w:val="16"/>
              </w:rPr>
              <w:t>Октябрь</w:t>
            </w:r>
          </w:p>
        </w:tc>
        <w:tc>
          <w:tcPr>
            <w:tcW w:w="636" w:type="dxa"/>
          </w:tcPr>
          <w:p w14:paraId="5B082AE4" w14:textId="77777777" w:rsidR="004B4E35" w:rsidRPr="00405303" w:rsidRDefault="009E6F82" w:rsidP="00C15251">
            <w:pPr>
              <w:jc w:val="both"/>
              <w:rPr>
                <w:bCs/>
                <w:color w:val="002060"/>
                <w:sz w:val="16"/>
                <w:szCs w:val="16"/>
              </w:rPr>
            </w:pPr>
            <w:r w:rsidRPr="00405303">
              <w:rPr>
                <w:bCs/>
                <w:color w:val="002060"/>
                <w:sz w:val="16"/>
                <w:szCs w:val="16"/>
              </w:rPr>
              <w:t>22,3</w:t>
            </w:r>
          </w:p>
        </w:tc>
        <w:tc>
          <w:tcPr>
            <w:tcW w:w="641" w:type="dxa"/>
          </w:tcPr>
          <w:p w14:paraId="636255F3" w14:textId="77777777" w:rsidR="004B4E35" w:rsidRPr="00405303" w:rsidRDefault="009E6F82" w:rsidP="00C15251">
            <w:pPr>
              <w:jc w:val="both"/>
              <w:rPr>
                <w:bCs/>
                <w:color w:val="002060"/>
                <w:sz w:val="16"/>
                <w:szCs w:val="16"/>
              </w:rPr>
            </w:pPr>
            <w:r w:rsidRPr="00405303">
              <w:rPr>
                <w:bCs/>
                <w:color w:val="002060"/>
                <w:sz w:val="16"/>
                <w:szCs w:val="16"/>
              </w:rPr>
              <w:t>16,7</w:t>
            </w:r>
          </w:p>
        </w:tc>
        <w:tc>
          <w:tcPr>
            <w:tcW w:w="636" w:type="dxa"/>
          </w:tcPr>
          <w:p w14:paraId="4E884569"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5CDBA9D4"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45712686" w14:textId="77777777">
        <w:tc>
          <w:tcPr>
            <w:tcW w:w="837" w:type="dxa"/>
          </w:tcPr>
          <w:p w14:paraId="490A6C94"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636" w:type="dxa"/>
          </w:tcPr>
          <w:p w14:paraId="2FF4464E" w14:textId="77777777" w:rsidR="004B4E35" w:rsidRPr="00405303" w:rsidRDefault="009E6F82" w:rsidP="00C15251">
            <w:pPr>
              <w:jc w:val="both"/>
              <w:rPr>
                <w:bCs/>
                <w:color w:val="002060"/>
                <w:sz w:val="16"/>
                <w:szCs w:val="16"/>
              </w:rPr>
            </w:pPr>
            <w:r w:rsidRPr="00405303">
              <w:rPr>
                <w:bCs/>
                <w:color w:val="002060"/>
                <w:sz w:val="16"/>
                <w:szCs w:val="16"/>
              </w:rPr>
              <w:t>19,7</w:t>
            </w:r>
          </w:p>
        </w:tc>
        <w:tc>
          <w:tcPr>
            <w:tcW w:w="641" w:type="dxa"/>
          </w:tcPr>
          <w:p w14:paraId="4939DE53" w14:textId="77777777" w:rsidR="004B4E35" w:rsidRPr="00405303" w:rsidRDefault="009E6F82" w:rsidP="00C15251">
            <w:pPr>
              <w:jc w:val="both"/>
              <w:rPr>
                <w:bCs/>
                <w:color w:val="002060"/>
                <w:sz w:val="16"/>
                <w:szCs w:val="16"/>
              </w:rPr>
            </w:pPr>
            <w:r w:rsidRPr="00405303">
              <w:rPr>
                <w:bCs/>
                <w:color w:val="002060"/>
                <w:sz w:val="16"/>
                <w:szCs w:val="16"/>
              </w:rPr>
              <w:t>15,4</w:t>
            </w:r>
          </w:p>
        </w:tc>
        <w:tc>
          <w:tcPr>
            <w:tcW w:w="636" w:type="dxa"/>
          </w:tcPr>
          <w:p w14:paraId="4C12F4A3"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0E3FECEE"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583FAAA1" w14:textId="77777777">
        <w:tc>
          <w:tcPr>
            <w:tcW w:w="837" w:type="dxa"/>
          </w:tcPr>
          <w:p w14:paraId="20DFC823"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636" w:type="dxa"/>
          </w:tcPr>
          <w:p w14:paraId="440D97F1" w14:textId="77777777" w:rsidR="004B4E35" w:rsidRPr="00405303" w:rsidRDefault="009E6F82" w:rsidP="00C15251">
            <w:pPr>
              <w:jc w:val="both"/>
              <w:rPr>
                <w:bCs/>
                <w:color w:val="002060"/>
                <w:sz w:val="16"/>
                <w:szCs w:val="16"/>
              </w:rPr>
            </w:pPr>
            <w:r w:rsidRPr="00405303">
              <w:rPr>
                <w:bCs/>
                <w:color w:val="002060"/>
                <w:sz w:val="16"/>
                <w:szCs w:val="16"/>
              </w:rPr>
              <w:t>26,7</w:t>
            </w:r>
          </w:p>
        </w:tc>
        <w:tc>
          <w:tcPr>
            <w:tcW w:w="641" w:type="dxa"/>
          </w:tcPr>
          <w:p w14:paraId="588ADF5A" w14:textId="77777777" w:rsidR="004B4E35" w:rsidRPr="00405303" w:rsidRDefault="009E6F82" w:rsidP="00C15251">
            <w:pPr>
              <w:jc w:val="both"/>
              <w:rPr>
                <w:bCs/>
                <w:color w:val="002060"/>
                <w:sz w:val="16"/>
                <w:szCs w:val="16"/>
              </w:rPr>
            </w:pPr>
            <w:r w:rsidRPr="00405303">
              <w:rPr>
                <w:bCs/>
                <w:color w:val="002060"/>
                <w:sz w:val="16"/>
                <w:szCs w:val="16"/>
              </w:rPr>
              <w:t>18,7</w:t>
            </w:r>
          </w:p>
        </w:tc>
        <w:tc>
          <w:tcPr>
            <w:tcW w:w="636" w:type="dxa"/>
          </w:tcPr>
          <w:p w14:paraId="62A761A0" w14:textId="77777777" w:rsidR="004B4E35" w:rsidRPr="00405303" w:rsidRDefault="009E6F82" w:rsidP="00C15251">
            <w:pPr>
              <w:jc w:val="both"/>
              <w:rPr>
                <w:bCs/>
                <w:color w:val="002060"/>
                <w:sz w:val="16"/>
                <w:szCs w:val="16"/>
              </w:rPr>
            </w:pPr>
            <w:r w:rsidRPr="00405303">
              <w:rPr>
                <w:bCs/>
                <w:color w:val="002060"/>
                <w:sz w:val="16"/>
                <w:szCs w:val="16"/>
              </w:rPr>
              <w:t xml:space="preserve">— </w:t>
            </w:r>
          </w:p>
        </w:tc>
        <w:tc>
          <w:tcPr>
            <w:tcW w:w="641" w:type="dxa"/>
          </w:tcPr>
          <w:p w14:paraId="4A592079"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2BA79DC0" w14:textId="77777777">
        <w:tc>
          <w:tcPr>
            <w:tcW w:w="837" w:type="dxa"/>
          </w:tcPr>
          <w:p w14:paraId="1D81D92D" w14:textId="77777777" w:rsidR="004B4E35" w:rsidRPr="00405303" w:rsidRDefault="009E6F82" w:rsidP="00C15251">
            <w:pPr>
              <w:jc w:val="both"/>
              <w:rPr>
                <w:bCs/>
                <w:color w:val="002060"/>
                <w:sz w:val="16"/>
                <w:szCs w:val="16"/>
              </w:rPr>
            </w:pPr>
            <w:r w:rsidRPr="00405303">
              <w:rPr>
                <w:bCs/>
                <w:color w:val="002060"/>
                <w:sz w:val="16"/>
                <w:szCs w:val="16"/>
              </w:rPr>
              <w:t>[Всего]</w:t>
            </w:r>
          </w:p>
        </w:tc>
        <w:tc>
          <w:tcPr>
            <w:tcW w:w="636" w:type="dxa"/>
          </w:tcPr>
          <w:p w14:paraId="19756266" w14:textId="77777777" w:rsidR="004B4E35" w:rsidRPr="00405303" w:rsidRDefault="009E6F82" w:rsidP="00C15251">
            <w:pPr>
              <w:jc w:val="both"/>
              <w:rPr>
                <w:bCs/>
                <w:color w:val="002060"/>
                <w:sz w:val="16"/>
                <w:szCs w:val="16"/>
              </w:rPr>
            </w:pPr>
            <w:r w:rsidRPr="00405303">
              <w:rPr>
                <w:bCs/>
                <w:color w:val="002060"/>
                <w:sz w:val="16"/>
                <w:szCs w:val="16"/>
              </w:rPr>
              <w:t>414,4</w:t>
            </w:r>
          </w:p>
        </w:tc>
        <w:tc>
          <w:tcPr>
            <w:tcW w:w="641" w:type="dxa"/>
          </w:tcPr>
          <w:p w14:paraId="474CAEBB" w14:textId="77777777" w:rsidR="004B4E35" w:rsidRPr="00405303" w:rsidRDefault="009E6F82" w:rsidP="00C15251">
            <w:pPr>
              <w:jc w:val="both"/>
              <w:rPr>
                <w:bCs/>
                <w:color w:val="002060"/>
                <w:sz w:val="16"/>
                <w:szCs w:val="16"/>
              </w:rPr>
            </w:pPr>
            <w:r w:rsidRPr="00405303">
              <w:rPr>
                <w:bCs/>
                <w:color w:val="002060"/>
                <w:sz w:val="16"/>
                <w:szCs w:val="16"/>
              </w:rPr>
              <w:t>154,6</w:t>
            </w:r>
          </w:p>
        </w:tc>
        <w:tc>
          <w:tcPr>
            <w:tcW w:w="636" w:type="dxa"/>
          </w:tcPr>
          <w:p w14:paraId="63D8274E" w14:textId="77777777" w:rsidR="004B4E35" w:rsidRPr="00405303" w:rsidRDefault="009E6F82" w:rsidP="00C15251">
            <w:pPr>
              <w:jc w:val="both"/>
              <w:rPr>
                <w:bCs/>
                <w:color w:val="002060"/>
                <w:sz w:val="16"/>
                <w:szCs w:val="16"/>
              </w:rPr>
            </w:pPr>
            <w:r w:rsidRPr="00405303">
              <w:rPr>
                <w:bCs/>
                <w:color w:val="002060"/>
                <w:sz w:val="16"/>
                <w:szCs w:val="16"/>
              </w:rPr>
              <w:t>168,7</w:t>
            </w:r>
          </w:p>
        </w:tc>
        <w:tc>
          <w:tcPr>
            <w:tcW w:w="641" w:type="dxa"/>
          </w:tcPr>
          <w:p w14:paraId="7668C056" w14:textId="77777777" w:rsidR="004B4E35" w:rsidRPr="00405303" w:rsidRDefault="009E6F82" w:rsidP="00C15251">
            <w:pPr>
              <w:jc w:val="both"/>
              <w:rPr>
                <w:bCs/>
                <w:color w:val="002060"/>
                <w:sz w:val="16"/>
                <w:szCs w:val="16"/>
              </w:rPr>
            </w:pPr>
            <w:r w:rsidRPr="00405303">
              <w:rPr>
                <w:bCs/>
                <w:color w:val="002060"/>
                <w:sz w:val="16"/>
                <w:szCs w:val="16"/>
              </w:rPr>
              <w:t>139,8</w:t>
            </w:r>
          </w:p>
        </w:tc>
      </w:tr>
    </w:tbl>
    <w:p w14:paraId="585BA7FD" w14:textId="77777777" w:rsidR="004B4E35" w:rsidRPr="00405303" w:rsidRDefault="009E6F82" w:rsidP="00C15251">
      <w:pPr>
        <w:jc w:val="both"/>
        <w:rPr>
          <w:bCs/>
          <w:color w:val="002060"/>
          <w:sz w:val="16"/>
          <w:szCs w:val="16"/>
        </w:rPr>
      </w:pPr>
      <w:r w:rsidRPr="00405303">
        <w:rPr>
          <w:bCs/>
          <w:color w:val="002060"/>
          <w:sz w:val="16"/>
          <w:szCs w:val="16"/>
        </w:rPr>
        <w:t xml:space="preserve">Цифры 1916 года показывают фактический выход продуктов. Для 1917 г. показан выход, предполагавшийся соответственно мощности заводов. Цифры выражают суммарный выход бензола и толуола, как нефтяного, так и каменноугольного. </w:t>
      </w:r>
    </w:p>
    <w:p w14:paraId="4F487B90" w14:textId="77777777" w:rsidR="004B4E35" w:rsidRPr="00405303" w:rsidRDefault="009E6F82" w:rsidP="00C15251">
      <w:pPr>
        <w:jc w:val="both"/>
        <w:rPr>
          <w:bCs/>
          <w:color w:val="002060"/>
          <w:sz w:val="16"/>
          <w:szCs w:val="16"/>
        </w:rPr>
      </w:pPr>
      <w:r w:rsidRPr="00405303">
        <w:rPr>
          <w:bCs/>
          <w:color w:val="002060"/>
          <w:sz w:val="16"/>
          <w:szCs w:val="16"/>
        </w:rPr>
        <w:t xml:space="preserve">Количество каменноугольного продукта составляет от общего количества следующий процент: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792"/>
      </w:tblGrid>
      <w:tr w:rsidR="004B4E35" w:rsidRPr="00405303" w14:paraId="7556F805" w14:textId="77777777">
        <w:tc>
          <w:tcPr>
            <w:tcW w:w="1896" w:type="dxa"/>
          </w:tcPr>
          <w:p w14:paraId="2AB9174F" w14:textId="77777777" w:rsidR="004B4E35" w:rsidRPr="00405303" w:rsidRDefault="009E6F82" w:rsidP="00C15251">
            <w:pPr>
              <w:jc w:val="both"/>
              <w:rPr>
                <w:bCs/>
                <w:color w:val="002060"/>
                <w:sz w:val="16"/>
                <w:szCs w:val="16"/>
              </w:rPr>
            </w:pPr>
            <w:r w:rsidRPr="00405303">
              <w:rPr>
                <w:bCs/>
                <w:color w:val="002060"/>
                <w:sz w:val="16"/>
                <w:szCs w:val="16"/>
              </w:rPr>
              <w:t>В январе 1916 г.</w:t>
            </w:r>
          </w:p>
        </w:tc>
        <w:tc>
          <w:tcPr>
            <w:tcW w:w="792" w:type="dxa"/>
          </w:tcPr>
          <w:p w14:paraId="19BFFCEE" w14:textId="77777777" w:rsidR="004B4E35" w:rsidRPr="00405303" w:rsidRDefault="009E6F82" w:rsidP="00C15251">
            <w:pPr>
              <w:jc w:val="both"/>
              <w:rPr>
                <w:bCs/>
                <w:color w:val="002060"/>
                <w:sz w:val="16"/>
                <w:szCs w:val="16"/>
              </w:rPr>
            </w:pPr>
            <w:r w:rsidRPr="00405303">
              <w:rPr>
                <w:bCs/>
                <w:color w:val="002060"/>
                <w:sz w:val="16"/>
                <w:szCs w:val="16"/>
              </w:rPr>
              <w:t xml:space="preserve">100% </w:t>
            </w:r>
          </w:p>
        </w:tc>
      </w:tr>
      <w:tr w:rsidR="004B4E35" w:rsidRPr="00405303" w14:paraId="0483F327" w14:textId="77777777">
        <w:tc>
          <w:tcPr>
            <w:tcW w:w="1896" w:type="dxa"/>
          </w:tcPr>
          <w:p w14:paraId="2475D58C" w14:textId="77777777" w:rsidR="004B4E35" w:rsidRPr="00405303" w:rsidRDefault="009E6F82" w:rsidP="00C15251">
            <w:pPr>
              <w:jc w:val="both"/>
              <w:rPr>
                <w:bCs/>
                <w:color w:val="002060"/>
                <w:sz w:val="16"/>
                <w:szCs w:val="16"/>
              </w:rPr>
            </w:pPr>
            <w:r w:rsidRPr="00405303">
              <w:rPr>
                <w:bCs/>
                <w:color w:val="002060"/>
                <w:sz w:val="16"/>
                <w:szCs w:val="16"/>
              </w:rPr>
              <w:t>В январе 1917 г.</w:t>
            </w:r>
          </w:p>
        </w:tc>
        <w:tc>
          <w:tcPr>
            <w:tcW w:w="792" w:type="dxa"/>
          </w:tcPr>
          <w:p w14:paraId="578E2DE8" w14:textId="77777777" w:rsidR="004B4E35" w:rsidRPr="00405303" w:rsidRDefault="009E6F82" w:rsidP="00C15251">
            <w:pPr>
              <w:jc w:val="both"/>
              <w:rPr>
                <w:bCs/>
                <w:color w:val="002060"/>
                <w:sz w:val="16"/>
                <w:szCs w:val="16"/>
              </w:rPr>
            </w:pPr>
            <w:r w:rsidRPr="00405303">
              <w:rPr>
                <w:bCs/>
                <w:color w:val="002060"/>
                <w:sz w:val="16"/>
                <w:szCs w:val="16"/>
              </w:rPr>
              <w:t xml:space="preserve">70% </w:t>
            </w:r>
          </w:p>
        </w:tc>
      </w:tr>
    </w:tbl>
    <w:p w14:paraId="5513D8C9" w14:textId="77777777" w:rsidR="004B4E35" w:rsidRPr="00405303" w:rsidRDefault="009E6F82" w:rsidP="00C15251">
      <w:pPr>
        <w:jc w:val="both"/>
        <w:rPr>
          <w:bCs/>
          <w:color w:val="002060"/>
          <w:sz w:val="16"/>
          <w:szCs w:val="16"/>
        </w:rPr>
      </w:pPr>
      <w:r w:rsidRPr="00405303">
        <w:rPr>
          <w:bCs/>
          <w:color w:val="002060"/>
          <w:sz w:val="16"/>
          <w:szCs w:val="16"/>
        </w:rPr>
        <w:t xml:space="preserve">С 1909 г. для снаряжения фугасных снарядов был принят в армии и флоте тротил. Однако заводы взрывчатых веществ, изготовлявшие тротил, Самарский казенный и Шлиссельбургский частный, по состоянию их мощности на 1917 г. далеко не могли покрыть той потребности во взрывчатых веществах для снарядов, которая была заявлена военным ведомством уже в первый, а в особенности во второй год войны. </w:t>
      </w:r>
    </w:p>
    <w:p w14:paraId="75708B01" w14:textId="77777777" w:rsidR="004B4E35" w:rsidRPr="00405303" w:rsidRDefault="009E6F82" w:rsidP="00C15251">
      <w:pPr>
        <w:jc w:val="both"/>
        <w:rPr>
          <w:bCs/>
          <w:color w:val="002060"/>
          <w:sz w:val="16"/>
          <w:szCs w:val="16"/>
        </w:rPr>
      </w:pPr>
      <w:r w:rsidRPr="00405303">
        <w:rPr>
          <w:bCs/>
          <w:color w:val="002060"/>
          <w:sz w:val="16"/>
          <w:szCs w:val="16"/>
        </w:rPr>
        <w:t xml:space="preserve">Поэтому Комиссия Ипатьева наряду с другими задачами поставила себе целью развивать производство как тротила, так и других взрывчатых веществ, пригодных для военных целей. Среди них главное место занимала пикриновая кислота, которая до тротила около 15 лет применялась в русской армии как вещество для снаряжения фугасных и бризантных снарядов и была хорошо изучена. </w:t>
      </w:r>
    </w:p>
    <w:p w14:paraId="7991AC75" w14:textId="77777777" w:rsidR="004B4E35" w:rsidRPr="00405303" w:rsidRDefault="009E6F82" w:rsidP="00C15251">
      <w:pPr>
        <w:jc w:val="both"/>
        <w:rPr>
          <w:bCs/>
          <w:color w:val="002060"/>
          <w:sz w:val="16"/>
          <w:szCs w:val="16"/>
        </w:rPr>
      </w:pPr>
      <w:r w:rsidRPr="00405303">
        <w:rPr>
          <w:bCs/>
          <w:color w:val="002060"/>
          <w:sz w:val="16"/>
          <w:szCs w:val="16"/>
        </w:rPr>
        <w:t xml:space="preserve">Натуральный фенол, получаемый из каменноугольной смолы, из которого ранее фабриковалась пикриновая кислота, в России почти не вырабатывался. Поэтому проф. Ипатьев озаботился прежде всего поставить производство синтетического фенола через сульфацию бензола и получение из него пикриновой кислоты. Ранее других это производство было организовано на заводе Фарбверке в Москве. Начав производство в мае 1915 г., завод в декабре мог давать уже до 6000 пудов в месяц. Затем были устроены заводы синтетического фенола: у ст. Рубежной, при заводе "Русско-Краска", и у ст. Шахтной Донецкой области при заводе Парамонова. </w:t>
      </w:r>
    </w:p>
    <w:p w14:paraId="6491F186" w14:textId="77777777" w:rsidR="004B4E35" w:rsidRPr="00405303" w:rsidRDefault="009E6F82" w:rsidP="00C15251">
      <w:pPr>
        <w:jc w:val="both"/>
        <w:rPr>
          <w:bCs/>
          <w:color w:val="002060"/>
          <w:sz w:val="16"/>
          <w:szCs w:val="16"/>
        </w:rPr>
      </w:pPr>
      <w:r w:rsidRPr="00405303">
        <w:rPr>
          <w:bCs/>
          <w:color w:val="002060"/>
          <w:sz w:val="16"/>
          <w:szCs w:val="16"/>
        </w:rPr>
        <w:t xml:space="preserve">Так как производство синтетического фенола в нормальных условиях спроса не может выдерживать конкуренцию с фенолом натуральным, то Химический комитет, заботясь о нормальном развитии химической промышленности в дальнейшем, когда кончится война, организовал также получение карболовой кислоты и крезолов из тяжелой каменноугольной смолы и очистку этих продуктов. С этой целью был Львовым построен завод при ст. Железной Екатеринославской железной дороги. </w:t>
      </w:r>
    </w:p>
    <w:p w14:paraId="4DEB869C" w14:textId="77777777" w:rsidR="004B4E35" w:rsidRPr="00405303" w:rsidRDefault="009E6F82" w:rsidP="00C15251">
      <w:pPr>
        <w:jc w:val="both"/>
        <w:rPr>
          <w:bCs/>
          <w:color w:val="002060"/>
          <w:sz w:val="16"/>
          <w:szCs w:val="16"/>
        </w:rPr>
      </w:pPr>
      <w:r w:rsidRPr="00405303">
        <w:rPr>
          <w:bCs/>
          <w:color w:val="002060"/>
          <w:sz w:val="16"/>
          <w:szCs w:val="16"/>
        </w:rPr>
        <w:t xml:space="preserve">Выработка синтетического фенола в 1916 г. выражается в следующих цифрах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08"/>
        <w:gridCol w:w="792"/>
      </w:tblGrid>
      <w:tr w:rsidR="004B4E35" w:rsidRPr="00405303" w14:paraId="4703EB35" w14:textId="77777777">
        <w:tc>
          <w:tcPr>
            <w:tcW w:w="2808" w:type="dxa"/>
          </w:tcPr>
          <w:p w14:paraId="5F97DBD9" w14:textId="77777777" w:rsidR="004B4E35" w:rsidRPr="00405303" w:rsidRDefault="009E6F82" w:rsidP="00C15251">
            <w:pPr>
              <w:jc w:val="both"/>
              <w:rPr>
                <w:bCs/>
                <w:color w:val="002060"/>
                <w:sz w:val="16"/>
                <w:szCs w:val="16"/>
              </w:rPr>
            </w:pPr>
            <w:r w:rsidRPr="00405303">
              <w:rPr>
                <w:bCs/>
                <w:color w:val="002060"/>
                <w:sz w:val="16"/>
                <w:szCs w:val="16"/>
              </w:rPr>
              <w:t>Первое полугодие 1916 г.</w:t>
            </w:r>
          </w:p>
        </w:tc>
        <w:tc>
          <w:tcPr>
            <w:tcW w:w="792" w:type="dxa"/>
          </w:tcPr>
          <w:p w14:paraId="5FD9F11E" w14:textId="77777777" w:rsidR="004B4E35" w:rsidRPr="00405303" w:rsidRDefault="009E6F82" w:rsidP="00C15251">
            <w:pPr>
              <w:jc w:val="both"/>
              <w:rPr>
                <w:bCs/>
                <w:color w:val="002060"/>
                <w:sz w:val="16"/>
                <w:szCs w:val="16"/>
              </w:rPr>
            </w:pPr>
            <w:r w:rsidRPr="00405303">
              <w:rPr>
                <w:bCs/>
                <w:color w:val="002060"/>
                <w:sz w:val="16"/>
                <w:szCs w:val="16"/>
              </w:rPr>
              <w:t xml:space="preserve">51.8 </w:t>
            </w:r>
          </w:p>
        </w:tc>
      </w:tr>
      <w:tr w:rsidR="004B4E35" w:rsidRPr="00405303" w14:paraId="6C463F3E" w14:textId="77777777">
        <w:tc>
          <w:tcPr>
            <w:tcW w:w="2808" w:type="dxa"/>
          </w:tcPr>
          <w:p w14:paraId="7C632BE3" w14:textId="77777777" w:rsidR="004B4E35" w:rsidRPr="00405303" w:rsidRDefault="009E6F82" w:rsidP="00C15251">
            <w:pPr>
              <w:jc w:val="both"/>
              <w:rPr>
                <w:bCs/>
                <w:color w:val="002060"/>
                <w:sz w:val="16"/>
                <w:szCs w:val="16"/>
              </w:rPr>
            </w:pPr>
            <w:r w:rsidRPr="00405303">
              <w:rPr>
                <w:bCs/>
                <w:color w:val="002060"/>
                <w:sz w:val="16"/>
                <w:szCs w:val="16"/>
              </w:rPr>
              <w:t>Второе полугодие 1916 г.</w:t>
            </w:r>
          </w:p>
        </w:tc>
        <w:tc>
          <w:tcPr>
            <w:tcW w:w="792" w:type="dxa"/>
          </w:tcPr>
          <w:p w14:paraId="0397A94A" w14:textId="77777777" w:rsidR="004B4E35" w:rsidRPr="00405303" w:rsidRDefault="009E6F82" w:rsidP="00C15251">
            <w:pPr>
              <w:jc w:val="both"/>
              <w:rPr>
                <w:bCs/>
                <w:color w:val="002060"/>
                <w:sz w:val="16"/>
                <w:szCs w:val="16"/>
              </w:rPr>
            </w:pPr>
            <w:r w:rsidRPr="00405303">
              <w:rPr>
                <w:bCs/>
                <w:color w:val="002060"/>
                <w:sz w:val="16"/>
                <w:szCs w:val="16"/>
              </w:rPr>
              <w:t xml:space="preserve">73.1 </w:t>
            </w:r>
          </w:p>
        </w:tc>
      </w:tr>
      <w:tr w:rsidR="004B4E35" w:rsidRPr="00405303" w14:paraId="5C983320" w14:textId="77777777">
        <w:tc>
          <w:tcPr>
            <w:tcW w:w="2808" w:type="dxa"/>
          </w:tcPr>
          <w:p w14:paraId="5DF512AD" w14:textId="77777777" w:rsidR="004B4E35" w:rsidRPr="00405303" w:rsidRDefault="009E6F82" w:rsidP="00C15251">
            <w:pPr>
              <w:jc w:val="both"/>
              <w:rPr>
                <w:bCs/>
                <w:color w:val="002060"/>
                <w:sz w:val="16"/>
                <w:szCs w:val="16"/>
              </w:rPr>
            </w:pPr>
            <w:r w:rsidRPr="00405303">
              <w:rPr>
                <w:bCs/>
                <w:color w:val="002060"/>
                <w:sz w:val="16"/>
                <w:szCs w:val="16"/>
              </w:rPr>
              <w:t>Всего за 1916 г.</w:t>
            </w:r>
          </w:p>
        </w:tc>
        <w:tc>
          <w:tcPr>
            <w:tcW w:w="792" w:type="dxa"/>
          </w:tcPr>
          <w:p w14:paraId="1DDA5915" w14:textId="77777777" w:rsidR="004B4E35" w:rsidRPr="00405303" w:rsidRDefault="009E6F82" w:rsidP="00C15251">
            <w:pPr>
              <w:jc w:val="both"/>
              <w:rPr>
                <w:bCs/>
                <w:color w:val="002060"/>
                <w:sz w:val="16"/>
                <w:szCs w:val="16"/>
              </w:rPr>
            </w:pPr>
            <w:r w:rsidRPr="00405303">
              <w:rPr>
                <w:bCs/>
                <w:color w:val="002060"/>
                <w:sz w:val="16"/>
                <w:szCs w:val="16"/>
              </w:rPr>
              <w:t>124.9.</w:t>
            </w:r>
          </w:p>
        </w:tc>
      </w:tr>
    </w:tbl>
    <w:p w14:paraId="55EE2AD1" w14:textId="77777777" w:rsidR="004B4E35" w:rsidRPr="00405303" w:rsidRDefault="009E6F82" w:rsidP="00C15251">
      <w:pPr>
        <w:jc w:val="both"/>
        <w:rPr>
          <w:bCs/>
          <w:color w:val="002060"/>
          <w:sz w:val="16"/>
          <w:szCs w:val="16"/>
        </w:rPr>
      </w:pPr>
      <w:r w:rsidRPr="00405303">
        <w:rPr>
          <w:bCs/>
          <w:color w:val="002060"/>
          <w:sz w:val="16"/>
          <w:szCs w:val="16"/>
        </w:rPr>
        <w:t xml:space="preserve">До войны серная кислота вырабатывалась в России в количестве до 1,25 млн пудов в месяц. Колчедан, необходимый для этой цели, в четверть добывался на Урале, остальные же три четверти привозились из-за границы. </w:t>
      </w:r>
    </w:p>
    <w:p w14:paraId="2CED65C0" w14:textId="77777777" w:rsidR="004B4E35" w:rsidRPr="00405303" w:rsidRDefault="009E6F82" w:rsidP="00C15251">
      <w:pPr>
        <w:jc w:val="both"/>
        <w:rPr>
          <w:bCs/>
          <w:color w:val="002060"/>
          <w:sz w:val="16"/>
          <w:szCs w:val="16"/>
        </w:rPr>
      </w:pPr>
      <w:r w:rsidRPr="00405303">
        <w:rPr>
          <w:bCs/>
          <w:color w:val="002060"/>
          <w:sz w:val="16"/>
          <w:szCs w:val="16"/>
        </w:rPr>
        <w:t xml:space="preserve">В связи с военными операциями на Западном фронте сернокислотные заводы Прибалтики и Царства Польского прекратили работы, благодаря чему с общего счета нужно было скинуть 0,5 млн пудов месячной производительности. </w:t>
      </w:r>
    </w:p>
    <w:p w14:paraId="2A6537B7"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Такое положение с серной кислотой являлось угрозой делу производства порохов и взрывчатых веществ, которые вместе с ростом производства основных материалов — толуола, бензола и пр. — должны были и дальше сильно расти, соответственно с заданиями высшего командования. Поэтому требовались энергичные мероприятия со стороны Комиссии Ипатьева по восстановлению и развитию сернокислотного дела и исходных материалов для него. </w:t>
      </w:r>
    </w:p>
    <w:p w14:paraId="08172D78" w14:textId="77777777" w:rsidR="004B4E35" w:rsidRPr="00405303" w:rsidRDefault="009E6F82" w:rsidP="00C15251">
      <w:pPr>
        <w:jc w:val="both"/>
        <w:rPr>
          <w:bCs/>
          <w:color w:val="002060"/>
          <w:sz w:val="16"/>
          <w:szCs w:val="16"/>
        </w:rPr>
      </w:pPr>
      <w:r w:rsidRPr="00405303">
        <w:rPr>
          <w:bCs/>
          <w:color w:val="002060"/>
          <w:sz w:val="16"/>
          <w:szCs w:val="16"/>
        </w:rPr>
        <w:t xml:space="preserve">С целью выяснить вопрос о возможности постройки новых сернокислотных заводов и развития старых, а также усиления добычи колчедана, в июне 1915 г. был собран съезд кислотозаводчиков и представителей серноколчеданных рудников. На съезде была выработала детальная программа развития сернокислотного и колчеданного дела, и, по утверждении ее Особым совещанием по обороне, с лета 1915 г. было приступлено к осуществлению ее. </w:t>
      </w:r>
    </w:p>
    <w:p w14:paraId="7C37FABB" w14:textId="77777777" w:rsidR="004B4E35" w:rsidRPr="00405303" w:rsidRDefault="009E6F82" w:rsidP="00C15251">
      <w:pPr>
        <w:jc w:val="both"/>
        <w:rPr>
          <w:bCs/>
          <w:color w:val="002060"/>
          <w:sz w:val="16"/>
          <w:szCs w:val="16"/>
        </w:rPr>
      </w:pPr>
      <w:proofErr w:type="gramStart"/>
      <w:r w:rsidRPr="00405303">
        <w:rPr>
          <w:bCs/>
          <w:color w:val="002060"/>
          <w:sz w:val="16"/>
          <w:szCs w:val="16"/>
        </w:rPr>
        <w:t>Согласно программы</w:t>
      </w:r>
      <w:proofErr w:type="gramEnd"/>
      <w:r w:rsidRPr="00405303">
        <w:rPr>
          <w:bCs/>
          <w:color w:val="002060"/>
          <w:sz w:val="16"/>
          <w:szCs w:val="16"/>
        </w:rPr>
        <w:t xml:space="preserve">, намечена была постройка с лета 1915 г. до 20 заводов серной кислоты, которые должны были увеличить вдвое выработку кислоты. Часть этих заводов предположена была к оборудованию контактными системами. </w:t>
      </w:r>
    </w:p>
    <w:p w14:paraId="0A9AC33C" w14:textId="77777777" w:rsidR="004B4E35" w:rsidRPr="00405303" w:rsidRDefault="009E6F82" w:rsidP="00C15251">
      <w:pPr>
        <w:jc w:val="both"/>
        <w:rPr>
          <w:bCs/>
          <w:color w:val="002060"/>
          <w:sz w:val="16"/>
          <w:szCs w:val="16"/>
        </w:rPr>
      </w:pPr>
      <w:r w:rsidRPr="00405303">
        <w:rPr>
          <w:bCs/>
          <w:color w:val="002060"/>
          <w:sz w:val="16"/>
          <w:szCs w:val="16"/>
        </w:rPr>
        <w:t xml:space="preserve">Для наблюдения на местах за производством кислоты и правильного распределения ее между заводами военной и частной промышленности, а также для наблюдения за строительством, Комиссией по заготовлению взрывчатых веществ были организованы районные бюро. Районов было установлено шесть: Петроградский, Московский, Верхневолжский, Казанский, Уральский, Южный и Кавказский. </w:t>
      </w:r>
    </w:p>
    <w:p w14:paraId="6E408C77" w14:textId="77777777" w:rsidR="004B4E35" w:rsidRPr="00405303" w:rsidRDefault="009E6F82" w:rsidP="00C15251">
      <w:pPr>
        <w:jc w:val="both"/>
        <w:rPr>
          <w:bCs/>
          <w:color w:val="002060"/>
          <w:sz w:val="16"/>
          <w:szCs w:val="16"/>
        </w:rPr>
      </w:pPr>
      <w:r w:rsidRPr="00405303">
        <w:rPr>
          <w:bCs/>
          <w:color w:val="002060"/>
          <w:sz w:val="16"/>
          <w:szCs w:val="16"/>
        </w:rPr>
        <w:t xml:space="preserve">Весьма серьезным вопросом являлось правильное распределение кислоты между потребителями частной промышленности, так как в связи с кислотным кризисом на рынке началась спекуляция и искусственное вздутие цен на этот материал. </w:t>
      </w:r>
    </w:p>
    <w:p w14:paraId="3D59AFDC" w14:textId="77777777" w:rsidR="004B4E35" w:rsidRPr="00405303" w:rsidRDefault="009E6F82" w:rsidP="00C15251">
      <w:pPr>
        <w:jc w:val="both"/>
        <w:rPr>
          <w:bCs/>
          <w:color w:val="002060"/>
          <w:sz w:val="16"/>
          <w:szCs w:val="16"/>
        </w:rPr>
      </w:pPr>
      <w:r w:rsidRPr="00405303">
        <w:rPr>
          <w:bCs/>
          <w:color w:val="002060"/>
          <w:sz w:val="16"/>
          <w:szCs w:val="16"/>
        </w:rPr>
        <w:t xml:space="preserve">Ниже приводится таблица, в которой по месяцам указаны: 1) программа работы по производству серной кислоты заводов, существовавших к осени 1915 г., 2) число вновь организованных заводов, вступивших в работу, 3) программа, работы последних и 4) суммарный выпуск серной кислоты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1503"/>
        <w:gridCol w:w="1092"/>
        <w:gridCol w:w="1792"/>
        <w:gridCol w:w="972"/>
      </w:tblGrid>
      <w:tr w:rsidR="004B4E35" w:rsidRPr="00405303" w14:paraId="24834EA8" w14:textId="77777777">
        <w:tc>
          <w:tcPr>
            <w:tcW w:w="1248" w:type="dxa"/>
          </w:tcPr>
          <w:p w14:paraId="34BC63DD" w14:textId="6527B5FA" w:rsidR="004B4E35" w:rsidRPr="00405303" w:rsidRDefault="00DB4D64" w:rsidP="00C15251">
            <w:pPr>
              <w:jc w:val="both"/>
              <w:rPr>
                <w:bCs/>
                <w:color w:val="002060"/>
                <w:sz w:val="16"/>
                <w:szCs w:val="16"/>
              </w:rPr>
            </w:pPr>
            <w:r w:rsidRPr="00405303">
              <w:rPr>
                <w:bCs/>
                <w:color w:val="002060"/>
                <w:sz w:val="16"/>
                <w:szCs w:val="16"/>
              </w:rPr>
              <w:t xml:space="preserve"> </w:t>
            </w:r>
          </w:p>
        </w:tc>
        <w:tc>
          <w:tcPr>
            <w:tcW w:w="1503" w:type="dxa"/>
          </w:tcPr>
          <w:p w14:paraId="3A4FE010" w14:textId="77777777" w:rsidR="004B4E35" w:rsidRPr="00405303" w:rsidRDefault="009E6F82" w:rsidP="00C15251">
            <w:pPr>
              <w:jc w:val="both"/>
              <w:rPr>
                <w:bCs/>
                <w:color w:val="002060"/>
                <w:sz w:val="16"/>
                <w:szCs w:val="16"/>
              </w:rPr>
            </w:pPr>
            <w:r w:rsidRPr="00405303">
              <w:rPr>
                <w:bCs/>
                <w:color w:val="002060"/>
                <w:sz w:val="16"/>
                <w:szCs w:val="16"/>
              </w:rPr>
              <w:t>Существовавшие к осени 1915 г. заводы</w:t>
            </w:r>
          </w:p>
        </w:tc>
        <w:tc>
          <w:tcPr>
            <w:tcW w:w="1092" w:type="dxa"/>
          </w:tcPr>
          <w:p w14:paraId="2553AA4B" w14:textId="77777777" w:rsidR="004B4E35" w:rsidRPr="00405303" w:rsidRDefault="009E6F82" w:rsidP="00C15251">
            <w:pPr>
              <w:jc w:val="both"/>
              <w:rPr>
                <w:bCs/>
                <w:color w:val="002060"/>
                <w:sz w:val="16"/>
                <w:szCs w:val="16"/>
              </w:rPr>
            </w:pPr>
            <w:r w:rsidRPr="00405303">
              <w:rPr>
                <w:bCs/>
                <w:color w:val="002060"/>
                <w:sz w:val="16"/>
                <w:szCs w:val="16"/>
              </w:rPr>
              <w:t>Число новых заводов</w:t>
            </w:r>
          </w:p>
        </w:tc>
        <w:tc>
          <w:tcPr>
            <w:tcW w:w="1792" w:type="dxa"/>
          </w:tcPr>
          <w:p w14:paraId="15B8C8FA" w14:textId="77777777" w:rsidR="004B4E35" w:rsidRPr="00405303" w:rsidRDefault="009E6F82" w:rsidP="00C15251">
            <w:pPr>
              <w:jc w:val="both"/>
              <w:rPr>
                <w:bCs/>
                <w:color w:val="002060"/>
                <w:sz w:val="16"/>
                <w:szCs w:val="16"/>
              </w:rPr>
            </w:pPr>
            <w:r w:rsidRPr="00405303">
              <w:rPr>
                <w:bCs/>
                <w:color w:val="002060"/>
                <w:sz w:val="16"/>
                <w:szCs w:val="16"/>
              </w:rPr>
              <w:t>Производительность новых заводов</w:t>
            </w:r>
          </w:p>
        </w:tc>
        <w:tc>
          <w:tcPr>
            <w:tcW w:w="972" w:type="dxa"/>
          </w:tcPr>
          <w:p w14:paraId="6D02EE77" w14:textId="77777777" w:rsidR="004B4E35" w:rsidRPr="00405303" w:rsidRDefault="009E6F82" w:rsidP="00C15251">
            <w:pPr>
              <w:jc w:val="both"/>
              <w:rPr>
                <w:bCs/>
                <w:color w:val="002060"/>
                <w:sz w:val="16"/>
                <w:szCs w:val="16"/>
              </w:rPr>
            </w:pPr>
            <w:r w:rsidRPr="00405303">
              <w:rPr>
                <w:bCs/>
                <w:color w:val="002060"/>
                <w:sz w:val="16"/>
                <w:szCs w:val="16"/>
              </w:rPr>
              <w:t xml:space="preserve">Итого старые и новые </w:t>
            </w:r>
          </w:p>
        </w:tc>
      </w:tr>
      <w:tr w:rsidR="004B4E35" w:rsidRPr="00405303" w14:paraId="73DB5A97" w14:textId="77777777">
        <w:tc>
          <w:tcPr>
            <w:tcW w:w="1248" w:type="dxa"/>
          </w:tcPr>
          <w:p w14:paraId="5C6D4D95" w14:textId="40DB525D" w:rsidR="004B4E35" w:rsidRPr="00405303" w:rsidRDefault="00DB4D64" w:rsidP="00C15251">
            <w:pPr>
              <w:jc w:val="both"/>
              <w:rPr>
                <w:bCs/>
                <w:color w:val="002060"/>
                <w:sz w:val="16"/>
                <w:szCs w:val="16"/>
              </w:rPr>
            </w:pPr>
            <w:r w:rsidRPr="00405303">
              <w:rPr>
                <w:bCs/>
                <w:color w:val="002060"/>
                <w:sz w:val="16"/>
                <w:szCs w:val="16"/>
              </w:rPr>
              <w:t xml:space="preserve"> </w:t>
            </w:r>
          </w:p>
        </w:tc>
        <w:tc>
          <w:tcPr>
            <w:tcW w:w="4387" w:type="dxa"/>
            <w:gridSpan w:val="3"/>
          </w:tcPr>
          <w:p w14:paraId="68464310" w14:textId="77777777" w:rsidR="004B4E35" w:rsidRPr="00405303" w:rsidRDefault="009E6F82" w:rsidP="00C15251">
            <w:pPr>
              <w:jc w:val="both"/>
              <w:rPr>
                <w:bCs/>
                <w:color w:val="002060"/>
                <w:sz w:val="16"/>
                <w:szCs w:val="16"/>
              </w:rPr>
            </w:pPr>
            <w:r w:rsidRPr="00405303">
              <w:rPr>
                <w:bCs/>
                <w:color w:val="002060"/>
                <w:sz w:val="16"/>
                <w:szCs w:val="16"/>
              </w:rPr>
              <w:t>Программа</w:t>
            </w:r>
          </w:p>
        </w:tc>
        <w:tc>
          <w:tcPr>
            <w:tcW w:w="972" w:type="dxa"/>
          </w:tcPr>
          <w:p w14:paraId="6A87B944" w14:textId="753F1E1A" w:rsidR="004B4E35" w:rsidRPr="00405303" w:rsidRDefault="00DB4D64" w:rsidP="00C15251">
            <w:pPr>
              <w:jc w:val="both"/>
              <w:rPr>
                <w:bCs/>
                <w:color w:val="002060"/>
                <w:sz w:val="16"/>
                <w:szCs w:val="16"/>
              </w:rPr>
            </w:pPr>
            <w:r w:rsidRPr="00405303">
              <w:rPr>
                <w:bCs/>
                <w:color w:val="002060"/>
                <w:sz w:val="16"/>
                <w:szCs w:val="16"/>
              </w:rPr>
              <w:t xml:space="preserve"> </w:t>
            </w:r>
          </w:p>
        </w:tc>
      </w:tr>
      <w:tr w:rsidR="004B4E35" w:rsidRPr="00405303" w14:paraId="7DFADBE4" w14:textId="77777777">
        <w:tc>
          <w:tcPr>
            <w:tcW w:w="1248" w:type="dxa"/>
          </w:tcPr>
          <w:p w14:paraId="412F3A7B" w14:textId="77777777" w:rsidR="004B4E35" w:rsidRPr="00405303" w:rsidRDefault="009E6F82" w:rsidP="00C15251">
            <w:pPr>
              <w:jc w:val="both"/>
              <w:rPr>
                <w:bCs/>
                <w:color w:val="002060"/>
                <w:sz w:val="16"/>
                <w:szCs w:val="16"/>
              </w:rPr>
            </w:pPr>
            <w:r w:rsidRPr="00405303">
              <w:rPr>
                <w:bCs/>
                <w:color w:val="002060"/>
                <w:sz w:val="16"/>
                <w:szCs w:val="16"/>
              </w:rPr>
              <w:t>Декабрь 1915 г.</w:t>
            </w:r>
          </w:p>
        </w:tc>
        <w:tc>
          <w:tcPr>
            <w:tcW w:w="1503" w:type="dxa"/>
          </w:tcPr>
          <w:p w14:paraId="4BE3629D"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6D4B0A62" w14:textId="77777777" w:rsidR="004B4E35" w:rsidRPr="00405303" w:rsidRDefault="009E6F82" w:rsidP="00C15251">
            <w:pPr>
              <w:jc w:val="both"/>
              <w:rPr>
                <w:bCs/>
                <w:color w:val="002060"/>
                <w:sz w:val="16"/>
                <w:szCs w:val="16"/>
              </w:rPr>
            </w:pPr>
            <w:r w:rsidRPr="00405303">
              <w:rPr>
                <w:bCs/>
                <w:color w:val="002060"/>
                <w:sz w:val="16"/>
                <w:szCs w:val="16"/>
              </w:rPr>
              <w:t>2</w:t>
            </w:r>
          </w:p>
        </w:tc>
        <w:tc>
          <w:tcPr>
            <w:tcW w:w="1792" w:type="dxa"/>
          </w:tcPr>
          <w:p w14:paraId="72DA3A46" w14:textId="77777777" w:rsidR="004B4E35" w:rsidRPr="00405303" w:rsidRDefault="009E6F82" w:rsidP="00C15251">
            <w:pPr>
              <w:jc w:val="both"/>
              <w:rPr>
                <w:bCs/>
                <w:color w:val="002060"/>
                <w:sz w:val="16"/>
                <w:szCs w:val="16"/>
              </w:rPr>
            </w:pPr>
            <w:r w:rsidRPr="00405303">
              <w:rPr>
                <w:bCs/>
                <w:color w:val="002060"/>
                <w:sz w:val="16"/>
                <w:szCs w:val="16"/>
              </w:rPr>
              <w:t>75</w:t>
            </w:r>
          </w:p>
        </w:tc>
        <w:tc>
          <w:tcPr>
            <w:tcW w:w="972" w:type="dxa"/>
          </w:tcPr>
          <w:p w14:paraId="38FA8631" w14:textId="77777777" w:rsidR="004B4E35" w:rsidRPr="00405303" w:rsidRDefault="009E6F82" w:rsidP="00C15251">
            <w:pPr>
              <w:jc w:val="both"/>
              <w:rPr>
                <w:bCs/>
                <w:color w:val="002060"/>
                <w:sz w:val="16"/>
                <w:szCs w:val="16"/>
              </w:rPr>
            </w:pPr>
            <w:r w:rsidRPr="00405303">
              <w:rPr>
                <w:bCs/>
                <w:color w:val="002060"/>
                <w:sz w:val="16"/>
                <w:szCs w:val="16"/>
              </w:rPr>
              <w:t>875</w:t>
            </w:r>
          </w:p>
        </w:tc>
      </w:tr>
      <w:tr w:rsidR="004B4E35" w:rsidRPr="00405303" w14:paraId="01BB6B53" w14:textId="77777777">
        <w:tc>
          <w:tcPr>
            <w:tcW w:w="1248" w:type="dxa"/>
          </w:tcPr>
          <w:p w14:paraId="1BD2AEB8" w14:textId="77777777" w:rsidR="004B4E35" w:rsidRPr="00405303" w:rsidRDefault="009E6F82" w:rsidP="00C15251">
            <w:pPr>
              <w:jc w:val="both"/>
              <w:rPr>
                <w:bCs/>
                <w:color w:val="002060"/>
                <w:sz w:val="16"/>
                <w:szCs w:val="16"/>
              </w:rPr>
            </w:pPr>
            <w:r w:rsidRPr="00405303">
              <w:rPr>
                <w:bCs/>
                <w:color w:val="002060"/>
                <w:sz w:val="16"/>
                <w:szCs w:val="16"/>
              </w:rPr>
              <w:t>Январь 1916 г.</w:t>
            </w:r>
          </w:p>
        </w:tc>
        <w:tc>
          <w:tcPr>
            <w:tcW w:w="1503" w:type="dxa"/>
          </w:tcPr>
          <w:p w14:paraId="7C858A1A"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2A100FAB" w14:textId="77777777" w:rsidR="004B4E35" w:rsidRPr="00405303" w:rsidRDefault="009E6F82" w:rsidP="00C15251">
            <w:pPr>
              <w:jc w:val="both"/>
              <w:rPr>
                <w:bCs/>
                <w:color w:val="002060"/>
                <w:sz w:val="16"/>
                <w:szCs w:val="16"/>
              </w:rPr>
            </w:pPr>
            <w:r w:rsidRPr="00405303">
              <w:rPr>
                <w:bCs/>
                <w:color w:val="002060"/>
                <w:sz w:val="16"/>
                <w:szCs w:val="16"/>
              </w:rPr>
              <w:t>6</w:t>
            </w:r>
          </w:p>
        </w:tc>
        <w:tc>
          <w:tcPr>
            <w:tcW w:w="1792" w:type="dxa"/>
          </w:tcPr>
          <w:p w14:paraId="4535CF4A" w14:textId="77777777" w:rsidR="004B4E35" w:rsidRPr="00405303" w:rsidRDefault="009E6F82" w:rsidP="00C15251">
            <w:pPr>
              <w:jc w:val="both"/>
              <w:rPr>
                <w:bCs/>
                <w:color w:val="002060"/>
                <w:sz w:val="16"/>
                <w:szCs w:val="16"/>
              </w:rPr>
            </w:pPr>
            <w:r w:rsidRPr="00405303">
              <w:rPr>
                <w:bCs/>
                <w:color w:val="002060"/>
                <w:sz w:val="16"/>
                <w:szCs w:val="16"/>
              </w:rPr>
              <w:t>249,1</w:t>
            </w:r>
          </w:p>
        </w:tc>
        <w:tc>
          <w:tcPr>
            <w:tcW w:w="972" w:type="dxa"/>
          </w:tcPr>
          <w:p w14:paraId="3C5E1E41" w14:textId="77777777" w:rsidR="004B4E35" w:rsidRPr="00405303" w:rsidRDefault="009E6F82" w:rsidP="00C15251">
            <w:pPr>
              <w:jc w:val="both"/>
              <w:rPr>
                <w:bCs/>
                <w:color w:val="002060"/>
                <w:sz w:val="16"/>
                <w:szCs w:val="16"/>
              </w:rPr>
            </w:pPr>
            <w:r w:rsidRPr="00405303">
              <w:rPr>
                <w:bCs/>
                <w:color w:val="002060"/>
                <w:sz w:val="16"/>
                <w:szCs w:val="16"/>
              </w:rPr>
              <w:t>1.049,1</w:t>
            </w:r>
          </w:p>
        </w:tc>
      </w:tr>
      <w:tr w:rsidR="004B4E35" w:rsidRPr="00405303" w14:paraId="653B1172" w14:textId="77777777">
        <w:tc>
          <w:tcPr>
            <w:tcW w:w="1248" w:type="dxa"/>
          </w:tcPr>
          <w:p w14:paraId="0E10FC1D" w14:textId="77777777" w:rsidR="004B4E35" w:rsidRPr="00405303" w:rsidRDefault="009E6F82" w:rsidP="00C15251">
            <w:pPr>
              <w:jc w:val="both"/>
              <w:rPr>
                <w:bCs/>
                <w:color w:val="002060"/>
                <w:sz w:val="16"/>
                <w:szCs w:val="16"/>
              </w:rPr>
            </w:pPr>
            <w:r w:rsidRPr="00405303">
              <w:rPr>
                <w:bCs/>
                <w:color w:val="002060"/>
                <w:sz w:val="16"/>
                <w:szCs w:val="16"/>
              </w:rPr>
              <w:t>Февраль</w:t>
            </w:r>
          </w:p>
        </w:tc>
        <w:tc>
          <w:tcPr>
            <w:tcW w:w="1503" w:type="dxa"/>
          </w:tcPr>
          <w:p w14:paraId="3CA4976A"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115194CD" w14:textId="77777777" w:rsidR="004B4E35" w:rsidRPr="00405303" w:rsidRDefault="009E6F82" w:rsidP="00C15251">
            <w:pPr>
              <w:jc w:val="both"/>
              <w:rPr>
                <w:bCs/>
                <w:color w:val="002060"/>
                <w:sz w:val="16"/>
                <w:szCs w:val="16"/>
              </w:rPr>
            </w:pPr>
            <w:r w:rsidRPr="00405303">
              <w:rPr>
                <w:bCs/>
                <w:color w:val="002060"/>
                <w:sz w:val="16"/>
                <w:szCs w:val="16"/>
              </w:rPr>
              <w:t>8</w:t>
            </w:r>
          </w:p>
        </w:tc>
        <w:tc>
          <w:tcPr>
            <w:tcW w:w="1792" w:type="dxa"/>
          </w:tcPr>
          <w:p w14:paraId="01C64768" w14:textId="77777777" w:rsidR="004B4E35" w:rsidRPr="00405303" w:rsidRDefault="009E6F82" w:rsidP="00C15251">
            <w:pPr>
              <w:jc w:val="both"/>
              <w:rPr>
                <w:bCs/>
                <w:color w:val="002060"/>
                <w:sz w:val="16"/>
                <w:szCs w:val="16"/>
              </w:rPr>
            </w:pPr>
            <w:r w:rsidRPr="00405303">
              <w:rPr>
                <w:bCs/>
                <w:color w:val="002060"/>
                <w:sz w:val="16"/>
                <w:szCs w:val="16"/>
              </w:rPr>
              <w:t>342,6</w:t>
            </w:r>
          </w:p>
        </w:tc>
        <w:tc>
          <w:tcPr>
            <w:tcW w:w="972" w:type="dxa"/>
          </w:tcPr>
          <w:p w14:paraId="2EAE0679" w14:textId="77777777" w:rsidR="004B4E35" w:rsidRPr="00405303" w:rsidRDefault="009E6F82" w:rsidP="00C15251">
            <w:pPr>
              <w:jc w:val="both"/>
              <w:rPr>
                <w:bCs/>
                <w:color w:val="002060"/>
                <w:sz w:val="16"/>
                <w:szCs w:val="16"/>
              </w:rPr>
            </w:pPr>
            <w:r w:rsidRPr="00405303">
              <w:rPr>
                <w:bCs/>
                <w:color w:val="002060"/>
                <w:sz w:val="16"/>
                <w:szCs w:val="16"/>
              </w:rPr>
              <w:t>1.142,6</w:t>
            </w:r>
          </w:p>
        </w:tc>
      </w:tr>
      <w:tr w:rsidR="004B4E35" w:rsidRPr="00405303" w14:paraId="78D6273E" w14:textId="77777777">
        <w:tc>
          <w:tcPr>
            <w:tcW w:w="1248" w:type="dxa"/>
          </w:tcPr>
          <w:p w14:paraId="261929D1" w14:textId="77777777" w:rsidR="004B4E35" w:rsidRPr="00405303" w:rsidRDefault="009E6F82" w:rsidP="00C15251">
            <w:pPr>
              <w:jc w:val="both"/>
              <w:rPr>
                <w:bCs/>
                <w:color w:val="002060"/>
                <w:sz w:val="16"/>
                <w:szCs w:val="16"/>
              </w:rPr>
            </w:pPr>
            <w:r w:rsidRPr="00405303">
              <w:rPr>
                <w:bCs/>
                <w:color w:val="002060"/>
                <w:sz w:val="16"/>
                <w:szCs w:val="16"/>
              </w:rPr>
              <w:t>М«рт</w:t>
            </w:r>
          </w:p>
        </w:tc>
        <w:tc>
          <w:tcPr>
            <w:tcW w:w="1503" w:type="dxa"/>
          </w:tcPr>
          <w:p w14:paraId="2E6603E1"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1AAF971F" w14:textId="77777777" w:rsidR="004B4E35" w:rsidRPr="00405303" w:rsidRDefault="009E6F82" w:rsidP="00C15251">
            <w:pPr>
              <w:jc w:val="both"/>
              <w:rPr>
                <w:bCs/>
                <w:color w:val="002060"/>
                <w:sz w:val="16"/>
                <w:szCs w:val="16"/>
              </w:rPr>
            </w:pPr>
            <w:r w:rsidRPr="00405303">
              <w:rPr>
                <w:bCs/>
                <w:color w:val="002060"/>
                <w:sz w:val="16"/>
                <w:szCs w:val="16"/>
              </w:rPr>
              <w:t>11</w:t>
            </w:r>
          </w:p>
        </w:tc>
        <w:tc>
          <w:tcPr>
            <w:tcW w:w="1792" w:type="dxa"/>
          </w:tcPr>
          <w:p w14:paraId="5D454592" w14:textId="77777777" w:rsidR="004B4E35" w:rsidRPr="00405303" w:rsidRDefault="009E6F82" w:rsidP="00C15251">
            <w:pPr>
              <w:jc w:val="both"/>
              <w:rPr>
                <w:bCs/>
                <w:color w:val="002060"/>
                <w:sz w:val="16"/>
                <w:szCs w:val="16"/>
              </w:rPr>
            </w:pPr>
            <w:r w:rsidRPr="00405303">
              <w:rPr>
                <w:bCs/>
                <w:color w:val="002060"/>
                <w:sz w:val="16"/>
                <w:szCs w:val="16"/>
              </w:rPr>
              <w:t>479,9</w:t>
            </w:r>
          </w:p>
        </w:tc>
        <w:tc>
          <w:tcPr>
            <w:tcW w:w="972" w:type="dxa"/>
          </w:tcPr>
          <w:p w14:paraId="458ACC8D" w14:textId="77777777" w:rsidR="004B4E35" w:rsidRPr="00405303" w:rsidRDefault="009E6F82" w:rsidP="00C15251">
            <w:pPr>
              <w:jc w:val="both"/>
              <w:rPr>
                <w:bCs/>
                <w:color w:val="002060"/>
                <w:sz w:val="16"/>
                <w:szCs w:val="16"/>
              </w:rPr>
            </w:pPr>
            <w:r w:rsidRPr="00405303">
              <w:rPr>
                <w:bCs/>
                <w:color w:val="002060"/>
                <w:sz w:val="16"/>
                <w:szCs w:val="16"/>
              </w:rPr>
              <w:t>1.279,9</w:t>
            </w:r>
          </w:p>
        </w:tc>
      </w:tr>
      <w:tr w:rsidR="004B4E35" w:rsidRPr="00405303" w14:paraId="0D8EF8C8" w14:textId="77777777">
        <w:tc>
          <w:tcPr>
            <w:tcW w:w="1248" w:type="dxa"/>
          </w:tcPr>
          <w:p w14:paraId="4AAC768D" w14:textId="77777777" w:rsidR="004B4E35" w:rsidRPr="00405303" w:rsidRDefault="009E6F82" w:rsidP="00C15251">
            <w:pPr>
              <w:jc w:val="both"/>
              <w:rPr>
                <w:bCs/>
                <w:color w:val="002060"/>
                <w:sz w:val="16"/>
                <w:szCs w:val="16"/>
              </w:rPr>
            </w:pPr>
            <w:r w:rsidRPr="00405303">
              <w:rPr>
                <w:bCs/>
                <w:color w:val="002060"/>
                <w:sz w:val="16"/>
                <w:szCs w:val="16"/>
              </w:rPr>
              <w:t>Апрель</w:t>
            </w:r>
          </w:p>
        </w:tc>
        <w:tc>
          <w:tcPr>
            <w:tcW w:w="1503" w:type="dxa"/>
          </w:tcPr>
          <w:p w14:paraId="554CD0F8"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7EF99A73" w14:textId="77777777" w:rsidR="004B4E35" w:rsidRPr="00405303" w:rsidRDefault="009E6F82" w:rsidP="00C15251">
            <w:pPr>
              <w:jc w:val="both"/>
              <w:rPr>
                <w:bCs/>
                <w:color w:val="002060"/>
                <w:sz w:val="16"/>
                <w:szCs w:val="16"/>
              </w:rPr>
            </w:pPr>
            <w:r w:rsidRPr="00405303">
              <w:rPr>
                <w:bCs/>
                <w:color w:val="002060"/>
                <w:sz w:val="16"/>
                <w:szCs w:val="16"/>
              </w:rPr>
              <w:t>15</w:t>
            </w:r>
          </w:p>
        </w:tc>
        <w:tc>
          <w:tcPr>
            <w:tcW w:w="1792" w:type="dxa"/>
          </w:tcPr>
          <w:p w14:paraId="48A71E3F" w14:textId="77777777" w:rsidR="004B4E35" w:rsidRPr="00405303" w:rsidRDefault="009E6F82" w:rsidP="00C15251">
            <w:pPr>
              <w:jc w:val="both"/>
              <w:rPr>
                <w:bCs/>
                <w:color w:val="002060"/>
                <w:sz w:val="16"/>
                <w:szCs w:val="16"/>
              </w:rPr>
            </w:pPr>
            <w:r w:rsidRPr="00405303">
              <w:rPr>
                <w:bCs/>
                <w:color w:val="002060"/>
                <w:sz w:val="16"/>
                <w:szCs w:val="16"/>
              </w:rPr>
              <w:t>632,1</w:t>
            </w:r>
          </w:p>
        </w:tc>
        <w:tc>
          <w:tcPr>
            <w:tcW w:w="972" w:type="dxa"/>
          </w:tcPr>
          <w:p w14:paraId="4E402317" w14:textId="77777777" w:rsidR="004B4E35" w:rsidRPr="00405303" w:rsidRDefault="009E6F82" w:rsidP="00C15251">
            <w:pPr>
              <w:jc w:val="both"/>
              <w:rPr>
                <w:bCs/>
                <w:color w:val="002060"/>
                <w:sz w:val="16"/>
                <w:szCs w:val="16"/>
              </w:rPr>
            </w:pPr>
            <w:r w:rsidRPr="00405303">
              <w:rPr>
                <w:bCs/>
                <w:color w:val="002060"/>
                <w:sz w:val="16"/>
                <w:szCs w:val="16"/>
              </w:rPr>
              <w:t>1.432,1</w:t>
            </w:r>
          </w:p>
        </w:tc>
      </w:tr>
      <w:tr w:rsidR="004B4E35" w:rsidRPr="00405303" w14:paraId="5E18A2A8" w14:textId="77777777">
        <w:tc>
          <w:tcPr>
            <w:tcW w:w="1248" w:type="dxa"/>
          </w:tcPr>
          <w:p w14:paraId="40EAD8D0" w14:textId="77777777" w:rsidR="004B4E35" w:rsidRPr="00405303" w:rsidRDefault="009E6F82" w:rsidP="00C15251">
            <w:pPr>
              <w:jc w:val="both"/>
              <w:rPr>
                <w:bCs/>
                <w:color w:val="002060"/>
                <w:sz w:val="16"/>
                <w:szCs w:val="16"/>
              </w:rPr>
            </w:pPr>
            <w:r w:rsidRPr="00405303">
              <w:rPr>
                <w:bCs/>
                <w:color w:val="002060"/>
                <w:sz w:val="16"/>
                <w:szCs w:val="16"/>
              </w:rPr>
              <w:t>Май</w:t>
            </w:r>
          </w:p>
        </w:tc>
        <w:tc>
          <w:tcPr>
            <w:tcW w:w="1503" w:type="dxa"/>
          </w:tcPr>
          <w:p w14:paraId="0C8C7A55"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043DCF65" w14:textId="77777777" w:rsidR="004B4E35" w:rsidRPr="00405303" w:rsidRDefault="009E6F82" w:rsidP="00C15251">
            <w:pPr>
              <w:jc w:val="both"/>
              <w:rPr>
                <w:bCs/>
                <w:color w:val="002060"/>
                <w:sz w:val="16"/>
                <w:szCs w:val="16"/>
              </w:rPr>
            </w:pPr>
            <w:r w:rsidRPr="00405303">
              <w:rPr>
                <w:bCs/>
                <w:color w:val="002060"/>
                <w:sz w:val="16"/>
                <w:szCs w:val="16"/>
              </w:rPr>
              <w:t>18</w:t>
            </w:r>
          </w:p>
        </w:tc>
        <w:tc>
          <w:tcPr>
            <w:tcW w:w="1792" w:type="dxa"/>
          </w:tcPr>
          <w:p w14:paraId="524A183A" w14:textId="77777777" w:rsidR="004B4E35" w:rsidRPr="00405303" w:rsidRDefault="009E6F82" w:rsidP="00C15251">
            <w:pPr>
              <w:jc w:val="both"/>
              <w:rPr>
                <w:bCs/>
                <w:color w:val="002060"/>
                <w:sz w:val="16"/>
                <w:szCs w:val="16"/>
              </w:rPr>
            </w:pPr>
            <w:r w:rsidRPr="00405303">
              <w:rPr>
                <w:bCs/>
                <w:color w:val="002060"/>
                <w:sz w:val="16"/>
                <w:szCs w:val="16"/>
              </w:rPr>
              <w:t>739,8</w:t>
            </w:r>
          </w:p>
        </w:tc>
        <w:tc>
          <w:tcPr>
            <w:tcW w:w="972" w:type="dxa"/>
          </w:tcPr>
          <w:p w14:paraId="7F904E4B" w14:textId="77777777" w:rsidR="004B4E35" w:rsidRPr="00405303" w:rsidRDefault="009E6F82" w:rsidP="00C15251">
            <w:pPr>
              <w:jc w:val="both"/>
              <w:rPr>
                <w:bCs/>
                <w:color w:val="002060"/>
                <w:sz w:val="16"/>
                <w:szCs w:val="16"/>
              </w:rPr>
            </w:pPr>
            <w:r w:rsidRPr="00405303">
              <w:rPr>
                <w:bCs/>
                <w:color w:val="002060"/>
                <w:sz w:val="16"/>
                <w:szCs w:val="16"/>
              </w:rPr>
              <w:t>1.539,8</w:t>
            </w:r>
          </w:p>
        </w:tc>
      </w:tr>
      <w:tr w:rsidR="004B4E35" w:rsidRPr="00405303" w14:paraId="439F640D" w14:textId="77777777">
        <w:tc>
          <w:tcPr>
            <w:tcW w:w="1248" w:type="dxa"/>
          </w:tcPr>
          <w:p w14:paraId="7224FA58" w14:textId="77777777" w:rsidR="004B4E35" w:rsidRPr="00405303" w:rsidRDefault="009E6F82" w:rsidP="00C15251">
            <w:pPr>
              <w:jc w:val="both"/>
              <w:rPr>
                <w:bCs/>
                <w:color w:val="002060"/>
                <w:sz w:val="16"/>
                <w:szCs w:val="16"/>
              </w:rPr>
            </w:pPr>
            <w:r w:rsidRPr="00405303">
              <w:rPr>
                <w:bCs/>
                <w:color w:val="002060"/>
                <w:sz w:val="16"/>
                <w:szCs w:val="16"/>
              </w:rPr>
              <w:t>Июнь</w:t>
            </w:r>
          </w:p>
        </w:tc>
        <w:tc>
          <w:tcPr>
            <w:tcW w:w="1503" w:type="dxa"/>
          </w:tcPr>
          <w:p w14:paraId="0FA4F0B7"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45B361F0" w14:textId="77777777" w:rsidR="004B4E35" w:rsidRPr="00405303" w:rsidRDefault="009E6F82" w:rsidP="00C15251">
            <w:pPr>
              <w:jc w:val="both"/>
              <w:rPr>
                <w:bCs/>
                <w:color w:val="002060"/>
                <w:sz w:val="16"/>
                <w:szCs w:val="16"/>
              </w:rPr>
            </w:pPr>
            <w:r w:rsidRPr="00405303">
              <w:rPr>
                <w:bCs/>
                <w:color w:val="002060"/>
                <w:sz w:val="16"/>
                <w:szCs w:val="16"/>
              </w:rPr>
              <w:t>18</w:t>
            </w:r>
          </w:p>
        </w:tc>
        <w:tc>
          <w:tcPr>
            <w:tcW w:w="1792" w:type="dxa"/>
          </w:tcPr>
          <w:p w14:paraId="0DC11CA4" w14:textId="77777777" w:rsidR="004B4E35" w:rsidRPr="00405303" w:rsidRDefault="009E6F82" w:rsidP="00C15251">
            <w:pPr>
              <w:jc w:val="both"/>
              <w:rPr>
                <w:bCs/>
                <w:color w:val="002060"/>
                <w:sz w:val="16"/>
                <w:szCs w:val="16"/>
              </w:rPr>
            </w:pPr>
            <w:r w:rsidRPr="00405303">
              <w:rPr>
                <w:bCs/>
                <w:color w:val="002060"/>
                <w:sz w:val="16"/>
                <w:szCs w:val="16"/>
              </w:rPr>
              <w:t>739,8</w:t>
            </w:r>
          </w:p>
        </w:tc>
        <w:tc>
          <w:tcPr>
            <w:tcW w:w="972" w:type="dxa"/>
          </w:tcPr>
          <w:p w14:paraId="44747AFF" w14:textId="77777777" w:rsidR="004B4E35" w:rsidRPr="00405303" w:rsidRDefault="009E6F82" w:rsidP="00C15251">
            <w:pPr>
              <w:jc w:val="both"/>
              <w:rPr>
                <w:bCs/>
                <w:color w:val="002060"/>
                <w:sz w:val="16"/>
                <w:szCs w:val="16"/>
              </w:rPr>
            </w:pPr>
            <w:r w:rsidRPr="00405303">
              <w:rPr>
                <w:bCs/>
                <w:color w:val="002060"/>
                <w:sz w:val="16"/>
                <w:szCs w:val="16"/>
              </w:rPr>
              <w:t>1.539,8</w:t>
            </w:r>
          </w:p>
        </w:tc>
      </w:tr>
      <w:tr w:rsidR="004B4E35" w:rsidRPr="00405303" w14:paraId="4234559E" w14:textId="77777777">
        <w:tc>
          <w:tcPr>
            <w:tcW w:w="1248" w:type="dxa"/>
          </w:tcPr>
          <w:p w14:paraId="54CE1146" w14:textId="77777777" w:rsidR="004B4E35" w:rsidRPr="00405303" w:rsidRDefault="009E6F82" w:rsidP="00C15251">
            <w:pPr>
              <w:jc w:val="both"/>
              <w:rPr>
                <w:bCs/>
                <w:color w:val="002060"/>
                <w:sz w:val="16"/>
                <w:szCs w:val="16"/>
              </w:rPr>
            </w:pPr>
            <w:r w:rsidRPr="00405303">
              <w:rPr>
                <w:bCs/>
                <w:color w:val="002060"/>
                <w:sz w:val="16"/>
                <w:szCs w:val="16"/>
              </w:rPr>
              <w:t>Июль</w:t>
            </w:r>
          </w:p>
        </w:tc>
        <w:tc>
          <w:tcPr>
            <w:tcW w:w="1503" w:type="dxa"/>
          </w:tcPr>
          <w:p w14:paraId="0079A05F"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550A0C3D" w14:textId="77777777" w:rsidR="004B4E35" w:rsidRPr="00405303" w:rsidRDefault="009E6F82" w:rsidP="00C15251">
            <w:pPr>
              <w:jc w:val="both"/>
              <w:rPr>
                <w:bCs/>
                <w:color w:val="002060"/>
                <w:sz w:val="16"/>
                <w:szCs w:val="16"/>
              </w:rPr>
            </w:pPr>
            <w:r w:rsidRPr="00405303">
              <w:rPr>
                <w:bCs/>
                <w:color w:val="002060"/>
                <w:sz w:val="16"/>
                <w:szCs w:val="16"/>
              </w:rPr>
              <w:t>23</w:t>
            </w:r>
          </w:p>
        </w:tc>
        <w:tc>
          <w:tcPr>
            <w:tcW w:w="1792" w:type="dxa"/>
          </w:tcPr>
          <w:p w14:paraId="7D84750C" w14:textId="77777777" w:rsidR="004B4E35" w:rsidRPr="00405303" w:rsidRDefault="009E6F82" w:rsidP="00C15251">
            <w:pPr>
              <w:jc w:val="both"/>
              <w:rPr>
                <w:bCs/>
                <w:color w:val="002060"/>
                <w:sz w:val="16"/>
                <w:szCs w:val="16"/>
              </w:rPr>
            </w:pPr>
            <w:r w:rsidRPr="00405303">
              <w:rPr>
                <w:bCs/>
                <w:color w:val="002060"/>
                <w:sz w:val="16"/>
                <w:szCs w:val="16"/>
              </w:rPr>
              <w:t>932,4</w:t>
            </w:r>
          </w:p>
        </w:tc>
        <w:tc>
          <w:tcPr>
            <w:tcW w:w="972" w:type="dxa"/>
          </w:tcPr>
          <w:p w14:paraId="5D8B4073" w14:textId="77777777" w:rsidR="004B4E35" w:rsidRPr="00405303" w:rsidRDefault="009E6F82" w:rsidP="00C15251">
            <w:pPr>
              <w:jc w:val="both"/>
              <w:rPr>
                <w:bCs/>
                <w:color w:val="002060"/>
                <w:sz w:val="16"/>
                <w:szCs w:val="16"/>
              </w:rPr>
            </w:pPr>
            <w:r w:rsidRPr="00405303">
              <w:rPr>
                <w:bCs/>
                <w:color w:val="002060"/>
                <w:sz w:val="16"/>
                <w:szCs w:val="16"/>
              </w:rPr>
              <w:t>1.732,4</w:t>
            </w:r>
          </w:p>
        </w:tc>
      </w:tr>
      <w:tr w:rsidR="004B4E35" w:rsidRPr="00405303" w14:paraId="7D2B5EA3" w14:textId="77777777">
        <w:tc>
          <w:tcPr>
            <w:tcW w:w="1248" w:type="dxa"/>
          </w:tcPr>
          <w:p w14:paraId="6CC56011" w14:textId="77777777" w:rsidR="004B4E35" w:rsidRPr="00405303" w:rsidRDefault="009E6F82" w:rsidP="00C15251">
            <w:pPr>
              <w:jc w:val="both"/>
              <w:rPr>
                <w:bCs/>
                <w:color w:val="002060"/>
                <w:sz w:val="16"/>
                <w:szCs w:val="16"/>
              </w:rPr>
            </w:pPr>
            <w:r w:rsidRPr="00405303">
              <w:rPr>
                <w:bCs/>
                <w:color w:val="002060"/>
                <w:sz w:val="16"/>
                <w:szCs w:val="16"/>
              </w:rPr>
              <w:t>Август</w:t>
            </w:r>
          </w:p>
        </w:tc>
        <w:tc>
          <w:tcPr>
            <w:tcW w:w="1503" w:type="dxa"/>
          </w:tcPr>
          <w:p w14:paraId="6B036BED"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7D5057C2" w14:textId="77777777" w:rsidR="004B4E35" w:rsidRPr="00405303" w:rsidRDefault="009E6F82" w:rsidP="00C15251">
            <w:pPr>
              <w:jc w:val="both"/>
              <w:rPr>
                <w:bCs/>
                <w:color w:val="002060"/>
                <w:sz w:val="16"/>
                <w:szCs w:val="16"/>
              </w:rPr>
            </w:pPr>
            <w:r w:rsidRPr="00405303">
              <w:rPr>
                <w:bCs/>
                <w:color w:val="002060"/>
                <w:sz w:val="16"/>
                <w:szCs w:val="16"/>
              </w:rPr>
              <w:t>23</w:t>
            </w:r>
          </w:p>
        </w:tc>
        <w:tc>
          <w:tcPr>
            <w:tcW w:w="1792" w:type="dxa"/>
          </w:tcPr>
          <w:p w14:paraId="0E43A6A4" w14:textId="77777777" w:rsidR="004B4E35" w:rsidRPr="00405303" w:rsidRDefault="009E6F82" w:rsidP="00C15251">
            <w:pPr>
              <w:jc w:val="both"/>
              <w:rPr>
                <w:bCs/>
                <w:color w:val="002060"/>
                <w:sz w:val="16"/>
                <w:szCs w:val="16"/>
              </w:rPr>
            </w:pPr>
            <w:r w:rsidRPr="00405303">
              <w:rPr>
                <w:bCs/>
                <w:color w:val="002060"/>
                <w:sz w:val="16"/>
                <w:szCs w:val="16"/>
              </w:rPr>
              <w:t>932,4</w:t>
            </w:r>
          </w:p>
        </w:tc>
        <w:tc>
          <w:tcPr>
            <w:tcW w:w="972" w:type="dxa"/>
          </w:tcPr>
          <w:p w14:paraId="545C8A1D" w14:textId="77777777" w:rsidR="004B4E35" w:rsidRPr="00405303" w:rsidRDefault="009E6F82" w:rsidP="00C15251">
            <w:pPr>
              <w:jc w:val="both"/>
              <w:rPr>
                <w:bCs/>
                <w:color w:val="002060"/>
                <w:sz w:val="16"/>
                <w:szCs w:val="16"/>
              </w:rPr>
            </w:pPr>
            <w:r w:rsidRPr="00405303">
              <w:rPr>
                <w:bCs/>
                <w:color w:val="002060"/>
                <w:sz w:val="16"/>
                <w:szCs w:val="16"/>
              </w:rPr>
              <w:t>1.732,4</w:t>
            </w:r>
          </w:p>
        </w:tc>
      </w:tr>
      <w:tr w:rsidR="004B4E35" w:rsidRPr="00405303" w14:paraId="30C7A5E1" w14:textId="77777777">
        <w:tc>
          <w:tcPr>
            <w:tcW w:w="1248" w:type="dxa"/>
          </w:tcPr>
          <w:p w14:paraId="03DA86D5" w14:textId="77777777" w:rsidR="004B4E35" w:rsidRPr="00405303" w:rsidRDefault="009E6F82" w:rsidP="00C15251">
            <w:pPr>
              <w:jc w:val="both"/>
              <w:rPr>
                <w:bCs/>
                <w:color w:val="002060"/>
                <w:sz w:val="16"/>
                <w:szCs w:val="16"/>
              </w:rPr>
            </w:pPr>
            <w:r w:rsidRPr="00405303">
              <w:rPr>
                <w:bCs/>
                <w:color w:val="002060"/>
                <w:sz w:val="16"/>
                <w:szCs w:val="16"/>
              </w:rPr>
              <w:t>Сентябрь</w:t>
            </w:r>
          </w:p>
        </w:tc>
        <w:tc>
          <w:tcPr>
            <w:tcW w:w="1503" w:type="dxa"/>
          </w:tcPr>
          <w:p w14:paraId="71735758"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70EAAD1F" w14:textId="77777777" w:rsidR="004B4E35" w:rsidRPr="00405303" w:rsidRDefault="009E6F82" w:rsidP="00C15251">
            <w:pPr>
              <w:jc w:val="both"/>
              <w:rPr>
                <w:bCs/>
                <w:color w:val="002060"/>
                <w:sz w:val="16"/>
                <w:szCs w:val="16"/>
              </w:rPr>
            </w:pPr>
            <w:r w:rsidRPr="00405303">
              <w:rPr>
                <w:bCs/>
                <w:color w:val="002060"/>
                <w:sz w:val="16"/>
                <w:szCs w:val="16"/>
              </w:rPr>
              <w:t>28</w:t>
            </w:r>
          </w:p>
        </w:tc>
        <w:tc>
          <w:tcPr>
            <w:tcW w:w="1792" w:type="dxa"/>
          </w:tcPr>
          <w:p w14:paraId="76007CAA" w14:textId="77777777" w:rsidR="004B4E35" w:rsidRPr="00405303" w:rsidRDefault="009E6F82" w:rsidP="00C15251">
            <w:pPr>
              <w:jc w:val="both"/>
              <w:rPr>
                <w:bCs/>
                <w:color w:val="002060"/>
                <w:sz w:val="16"/>
                <w:szCs w:val="16"/>
              </w:rPr>
            </w:pPr>
            <w:r w:rsidRPr="00405303">
              <w:rPr>
                <w:bCs/>
                <w:color w:val="002060"/>
                <w:sz w:val="16"/>
                <w:szCs w:val="16"/>
              </w:rPr>
              <w:t>1.064,7</w:t>
            </w:r>
          </w:p>
        </w:tc>
        <w:tc>
          <w:tcPr>
            <w:tcW w:w="972" w:type="dxa"/>
          </w:tcPr>
          <w:p w14:paraId="0BBB7016" w14:textId="77777777" w:rsidR="004B4E35" w:rsidRPr="00405303" w:rsidRDefault="009E6F82" w:rsidP="00C15251">
            <w:pPr>
              <w:jc w:val="both"/>
              <w:rPr>
                <w:bCs/>
                <w:color w:val="002060"/>
                <w:sz w:val="16"/>
                <w:szCs w:val="16"/>
              </w:rPr>
            </w:pPr>
            <w:r w:rsidRPr="00405303">
              <w:rPr>
                <w:bCs/>
                <w:color w:val="002060"/>
                <w:sz w:val="16"/>
                <w:szCs w:val="16"/>
              </w:rPr>
              <w:t>1.864,7</w:t>
            </w:r>
          </w:p>
        </w:tc>
      </w:tr>
      <w:tr w:rsidR="004B4E35" w:rsidRPr="00405303" w14:paraId="7028E765" w14:textId="77777777">
        <w:tc>
          <w:tcPr>
            <w:tcW w:w="1248" w:type="dxa"/>
          </w:tcPr>
          <w:p w14:paraId="763370D1" w14:textId="77777777" w:rsidR="004B4E35" w:rsidRPr="00405303" w:rsidRDefault="009E6F82" w:rsidP="00C15251">
            <w:pPr>
              <w:jc w:val="both"/>
              <w:rPr>
                <w:bCs/>
                <w:color w:val="002060"/>
                <w:sz w:val="16"/>
                <w:szCs w:val="16"/>
              </w:rPr>
            </w:pPr>
            <w:r w:rsidRPr="00405303">
              <w:rPr>
                <w:bCs/>
                <w:color w:val="002060"/>
                <w:sz w:val="16"/>
                <w:szCs w:val="16"/>
              </w:rPr>
              <w:t>Октябрь</w:t>
            </w:r>
          </w:p>
        </w:tc>
        <w:tc>
          <w:tcPr>
            <w:tcW w:w="1503" w:type="dxa"/>
          </w:tcPr>
          <w:p w14:paraId="2E7BF817"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64E94F10" w14:textId="77777777" w:rsidR="004B4E35" w:rsidRPr="00405303" w:rsidRDefault="009E6F82" w:rsidP="00C15251">
            <w:pPr>
              <w:jc w:val="both"/>
              <w:rPr>
                <w:bCs/>
                <w:color w:val="002060"/>
                <w:sz w:val="16"/>
                <w:szCs w:val="16"/>
              </w:rPr>
            </w:pPr>
            <w:r w:rsidRPr="00405303">
              <w:rPr>
                <w:bCs/>
                <w:color w:val="002060"/>
                <w:sz w:val="16"/>
                <w:szCs w:val="16"/>
              </w:rPr>
              <w:t>28</w:t>
            </w:r>
          </w:p>
        </w:tc>
        <w:tc>
          <w:tcPr>
            <w:tcW w:w="1792" w:type="dxa"/>
          </w:tcPr>
          <w:p w14:paraId="658B084E" w14:textId="77777777" w:rsidR="004B4E35" w:rsidRPr="00405303" w:rsidRDefault="009E6F82" w:rsidP="00C15251">
            <w:pPr>
              <w:jc w:val="both"/>
              <w:rPr>
                <w:bCs/>
                <w:color w:val="002060"/>
                <w:sz w:val="16"/>
                <w:szCs w:val="16"/>
              </w:rPr>
            </w:pPr>
            <w:r w:rsidRPr="00405303">
              <w:rPr>
                <w:bCs/>
                <w:color w:val="002060"/>
                <w:sz w:val="16"/>
                <w:szCs w:val="16"/>
              </w:rPr>
              <w:t>1.064,7</w:t>
            </w:r>
          </w:p>
        </w:tc>
        <w:tc>
          <w:tcPr>
            <w:tcW w:w="972" w:type="dxa"/>
          </w:tcPr>
          <w:p w14:paraId="21CA7CF8" w14:textId="77777777" w:rsidR="004B4E35" w:rsidRPr="00405303" w:rsidRDefault="009E6F82" w:rsidP="00C15251">
            <w:pPr>
              <w:jc w:val="both"/>
              <w:rPr>
                <w:bCs/>
                <w:color w:val="002060"/>
                <w:sz w:val="16"/>
                <w:szCs w:val="16"/>
              </w:rPr>
            </w:pPr>
            <w:r w:rsidRPr="00405303">
              <w:rPr>
                <w:bCs/>
                <w:color w:val="002060"/>
                <w:sz w:val="16"/>
                <w:szCs w:val="16"/>
              </w:rPr>
              <w:t>1.864,7</w:t>
            </w:r>
          </w:p>
        </w:tc>
      </w:tr>
      <w:tr w:rsidR="004B4E35" w:rsidRPr="00405303" w14:paraId="2705DA99" w14:textId="77777777">
        <w:tc>
          <w:tcPr>
            <w:tcW w:w="1248" w:type="dxa"/>
          </w:tcPr>
          <w:p w14:paraId="6C41FB75" w14:textId="77777777" w:rsidR="004B4E35" w:rsidRPr="00405303" w:rsidRDefault="009E6F82" w:rsidP="00C15251">
            <w:pPr>
              <w:jc w:val="both"/>
              <w:rPr>
                <w:bCs/>
                <w:color w:val="002060"/>
                <w:sz w:val="16"/>
                <w:szCs w:val="16"/>
              </w:rPr>
            </w:pPr>
            <w:r w:rsidRPr="00405303">
              <w:rPr>
                <w:bCs/>
                <w:color w:val="002060"/>
                <w:sz w:val="16"/>
                <w:szCs w:val="16"/>
              </w:rPr>
              <w:t>Ноябрь</w:t>
            </w:r>
          </w:p>
        </w:tc>
        <w:tc>
          <w:tcPr>
            <w:tcW w:w="1503" w:type="dxa"/>
          </w:tcPr>
          <w:p w14:paraId="3A58BBC1"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7927A584" w14:textId="77777777" w:rsidR="004B4E35" w:rsidRPr="00405303" w:rsidRDefault="009E6F82" w:rsidP="00C15251">
            <w:pPr>
              <w:jc w:val="both"/>
              <w:rPr>
                <w:bCs/>
                <w:color w:val="002060"/>
                <w:sz w:val="16"/>
                <w:szCs w:val="16"/>
              </w:rPr>
            </w:pPr>
            <w:r w:rsidRPr="00405303">
              <w:rPr>
                <w:bCs/>
                <w:color w:val="002060"/>
                <w:sz w:val="16"/>
                <w:szCs w:val="16"/>
              </w:rPr>
              <w:t>28</w:t>
            </w:r>
          </w:p>
        </w:tc>
        <w:tc>
          <w:tcPr>
            <w:tcW w:w="1792" w:type="dxa"/>
          </w:tcPr>
          <w:p w14:paraId="0105A0F5" w14:textId="77777777" w:rsidR="004B4E35" w:rsidRPr="00405303" w:rsidRDefault="009E6F82" w:rsidP="00C15251">
            <w:pPr>
              <w:jc w:val="both"/>
              <w:rPr>
                <w:bCs/>
                <w:color w:val="002060"/>
                <w:sz w:val="16"/>
                <w:szCs w:val="16"/>
              </w:rPr>
            </w:pPr>
            <w:r w:rsidRPr="00405303">
              <w:rPr>
                <w:bCs/>
                <w:color w:val="002060"/>
                <w:sz w:val="16"/>
                <w:szCs w:val="16"/>
              </w:rPr>
              <w:t>1.064,7</w:t>
            </w:r>
          </w:p>
        </w:tc>
        <w:tc>
          <w:tcPr>
            <w:tcW w:w="972" w:type="dxa"/>
          </w:tcPr>
          <w:p w14:paraId="4FFC8EFA" w14:textId="77777777" w:rsidR="004B4E35" w:rsidRPr="00405303" w:rsidRDefault="009E6F82" w:rsidP="00C15251">
            <w:pPr>
              <w:jc w:val="both"/>
              <w:rPr>
                <w:bCs/>
                <w:color w:val="002060"/>
                <w:sz w:val="16"/>
                <w:szCs w:val="16"/>
              </w:rPr>
            </w:pPr>
            <w:r w:rsidRPr="00405303">
              <w:rPr>
                <w:bCs/>
                <w:color w:val="002060"/>
                <w:sz w:val="16"/>
                <w:szCs w:val="16"/>
              </w:rPr>
              <w:t>1.864,7</w:t>
            </w:r>
          </w:p>
        </w:tc>
      </w:tr>
      <w:tr w:rsidR="004B4E35" w:rsidRPr="00405303" w14:paraId="25AE0292" w14:textId="77777777">
        <w:tc>
          <w:tcPr>
            <w:tcW w:w="1248" w:type="dxa"/>
          </w:tcPr>
          <w:p w14:paraId="269FF35B" w14:textId="77777777" w:rsidR="004B4E35" w:rsidRPr="00405303" w:rsidRDefault="009E6F82" w:rsidP="00C15251">
            <w:pPr>
              <w:jc w:val="both"/>
              <w:rPr>
                <w:bCs/>
                <w:color w:val="002060"/>
                <w:sz w:val="16"/>
                <w:szCs w:val="16"/>
              </w:rPr>
            </w:pPr>
            <w:r w:rsidRPr="00405303">
              <w:rPr>
                <w:bCs/>
                <w:color w:val="002060"/>
                <w:sz w:val="16"/>
                <w:szCs w:val="16"/>
              </w:rPr>
              <w:t>Декабрь</w:t>
            </w:r>
          </w:p>
        </w:tc>
        <w:tc>
          <w:tcPr>
            <w:tcW w:w="1503" w:type="dxa"/>
          </w:tcPr>
          <w:p w14:paraId="6147A061"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1092" w:type="dxa"/>
          </w:tcPr>
          <w:p w14:paraId="13E09D88" w14:textId="77777777" w:rsidR="004B4E35" w:rsidRPr="00405303" w:rsidRDefault="009E6F82" w:rsidP="00C15251">
            <w:pPr>
              <w:jc w:val="both"/>
              <w:rPr>
                <w:bCs/>
                <w:color w:val="002060"/>
                <w:sz w:val="16"/>
                <w:szCs w:val="16"/>
              </w:rPr>
            </w:pPr>
            <w:r w:rsidRPr="00405303">
              <w:rPr>
                <w:bCs/>
                <w:color w:val="002060"/>
                <w:sz w:val="16"/>
                <w:szCs w:val="16"/>
              </w:rPr>
              <w:t>28</w:t>
            </w:r>
          </w:p>
        </w:tc>
        <w:tc>
          <w:tcPr>
            <w:tcW w:w="1792" w:type="dxa"/>
          </w:tcPr>
          <w:p w14:paraId="2B081A49" w14:textId="77777777" w:rsidR="004B4E35" w:rsidRPr="00405303" w:rsidRDefault="009E6F82" w:rsidP="00C15251">
            <w:pPr>
              <w:jc w:val="both"/>
              <w:rPr>
                <w:bCs/>
                <w:color w:val="002060"/>
                <w:sz w:val="16"/>
                <w:szCs w:val="16"/>
              </w:rPr>
            </w:pPr>
            <w:r w:rsidRPr="00405303">
              <w:rPr>
                <w:bCs/>
                <w:color w:val="002060"/>
                <w:sz w:val="16"/>
                <w:szCs w:val="16"/>
              </w:rPr>
              <w:t>1.064,7</w:t>
            </w:r>
          </w:p>
        </w:tc>
        <w:tc>
          <w:tcPr>
            <w:tcW w:w="972" w:type="dxa"/>
          </w:tcPr>
          <w:p w14:paraId="70E53EFA" w14:textId="77777777" w:rsidR="004B4E35" w:rsidRPr="00405303" w:rsidRDefault="009E6F82" w:rsidP="00C15251">
            <w:pPr>
              <w:jc w:val="both"/>
              <w:rPr>
                <w:bCs/>
                <w:color w:val="002060"/>
                <w:sz w:val="16"/>
                <w:szCs w:val="16"/>
              </w:rPr>
            </w:pPr>
            <w:r w:rsidRPr="00405303">
              <w:rPr>
                <w:bCs/>
                <w:color w:val="002060"/>
                <w:sz w:val="16"/>
                <w:szCs w:val="16"/>
              </w:rPr>
              <w:t>1.864,7</w:t>
            </w:r>
          </w:p>
        </w:tc>
      </w:tr>
    </w:tbl>
    <w:p w14:paraId="1FA5575C" w14:textId="77777777" w:rsidR="004B4E35" w:rsidRPr="00405303" w:rsidRDefault="009E6F82" w:rsidP="00C15251">
      <w:pPr>
        <w:jc w:val="both"/>
        <w:rPr>
          <w:bCs/>
          <w:color w:val="002060"/>
          <w:sz w:val="16"/>
          <w:szCs w:val="16"/>
        </w:rPr>
      </w:pPr>
      <w:r w:rsidRPr="00405303">
        <w:rPr>
          <w:bCs/>
          <w:color w:val="002060"/>
          <w:sz w:val="16"/>
          <w:szCs w:val="16"/>
        </w:rPr>
        <w:t>Фактически эта программа выполнялась на 80%.</w:t>
      </w:r>
    </w:p>
    <w:p w14:paraId="2515205E" w14:textId="7AD63E3D" w:rsidR="004B4E35" w:rsidRPr="00405303" w:rsidRDefault="00DB4D64" w:rsidP="00C15251">
      <w:pPr>
        <w:jc w:val="both"/>
        <w:rPr>
          <w:bCs/>
          <w:color w:val="002060"/>
          <w:sz w:val="16"/>
          <w:szCs w:val="16"/>
        </w:rPr>
      </w:pPr>
      <w:r w:rsidRPr="00405303">
        <w:rPr>
          <w:bCs/>
          <w:color w:val="002060"/>
          <w:sz w:val="16"/>
          <w:szCs w:val="16"/>
        </w:rPr>
        <w:t xml:space="preserve"> </w:t>
      </w:r>
      <w:r w:rsidR="009E6F82" w:rsidRPr="00405303">
        <w:rPr>
          <w:bCs/>
          <w:color w:val="002060"/>
          <w:sz w:val="16"/>
          <w:szCs w:val="16"/>
        </w:rPr>
        <w:t xml:space="preserve">Что касается добычи колчедана, то в связи с программой сернокислотных заводов программа по колчедану была намечена следующая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52"/>
        <w:gridCol w:w="612"/>
        <w:gridCol w:w="650"/>
        <w:gridCol w:w="636"/>
        <w:gridCol w:w="728"/>
      </w:tblGrid>
      <w:tr w:rsidR="004B4E35" w:rsidRPr="00405303" w14:paraId="74F40F28" w14:textId="77777777">
        <w:tc>
          <w:tcPr>
            <w:tcW w:w="2652" w:type="dxa"/>
          </w:tcPr>
          <w:p w14:paraId="3687759D" w14:textId="1C355B0E" w:rsidR="004B4E35" w:rsidRPr="00405303" w:rsidRDefault="00DB4D64" w:rsidP="00C15251">
            <w:pPr>
              <w:jc w:val="both"/>
              <w:rPr>
                <w:bCs/>
                <w:color w:val="002060"/>
                <w:sz w:val="16"/>
                <w:szCs w:val="16"/>
              </w:rPr>
            </w:pPr>
            <w:r w:rsidRPr="00405303">
              <w:rPr>
                <w:bCs/>
                <w:color w:val="002060"/>
                <w:sz w:val="16"/>
                <w:szCs w:val="16"/>
              </w:rPr>
              <w:t xml:space="preserve"> </w:t>
            </w:r>
          </w:p>
        </w:tc>
        <w:tc>
          <w:tcPr>
            <w:tcW w:w="612" w:type="dxa"/>
          </w:tcPr>
          <w:p w14:paraId="05B7DC1C" w14:textId="77777777" w:rsidR="004B4E35" w:rsidRPr="00405303" w:rsidRDefault="009E6F82" w:rsidP="00C15251">
            <w:pPr>
              <w:jc w:val="both"/>
              <w:rPr>
                <w:bCs/>
                <w:color w:val="002060"/>
                <w:sz w:val="16"/>
                <w:szCs w:val="16"/>
              </w:rPr>
            </w:pPr>
            <w:r w:rsidRPr="00405303">
              <w:rPr>
                <w:bCs/>
                <w:color w:val="002060"/>
                <w:sz w:val="16"/>
                <w:szCs w:val="16"/>
              </w:rPr>
              <w:t>Август 1915 г.</w:t>
            </w:r>
          </w:p>
        </w:tc>
        <w:tc>
          <w:tcPr>
            <w:tcW w:w="650" w:type="dxa"/>
          </w:tcPr>
          <w:p w14:paraId="7983CA00" w14:textId="77777777" w:rsidR="004B4E35" w:rsidRPr="00405303" w:rsidRDefault="009E6F82" w:rsidP="00C15251">
            <w:pPr>
              <w:jc w:val="both"/>
              <w:rPr>
                <w:bCs/>
                <w:color w:val="002060"/>
                <w:sz w:val="16"/>
                <w:szCs w:val="16"/>
              </w:rPr>
            </w:pPr>
            <w:r w:rsidRPr="00405303">
              <w:rPr>
                <w:bCs/>
                <w:color w:val="002060"/>
                <w:sz w:val="16"/>
                <w:szCs w:val="16"/>
              </w:rPr>
              <w:t>Январь 1916 г.</w:t>
            </w:r>
          </w:p>
        </w:tc>
        <w:tc>
          <w:tcPr>
            <w:tcW w:w="636" w:type="dxa"/>
          </w:tcPr>
          <w:p w14:paraId="4FE96C2B" w14:textId="77777777" w:rsidR="004B4E35" w:rsidRPr="00405303" w:rsidRDefault="009E6F82" w:rsidP="00C15251">
            <w:pPr>
              <w:jc w:val="both"/>
              <w:rPr>
                <w:bCs/>
                <w:color w:val="002060"/>
                <w:sz w:val="16"/>
                <w:szCs w:val="16"/>
              </w:rPr>
            </w:pPr>
            <w:r w:rsidRPr="00405303">
              <w:rPr>
                <w:bCs/>
                <w:color w:val="002060"/>
                <w:sz w:val="16"/>
                <w:szCs w:val="16"/>
              </w:rPr>
              <w:t>Июнь 1916 г.</w:t>
            </w:r>
          </w:p>
        </w:tc>
        <w:tc>
          <w:tcPr>
            <w:tcW w:w="728" w:type="dxa"/>
          </w:tcPr>
          <w:p w14:paraId="48E7855D" w14:textId="77777777" w:rsidR="004B4E35" w:rsidRPr="00405303" w:rsidRDefault="009E6F82" w:rsidP="00C15251">
            <w:pPr>
              <w:jc w:val="both"/>
              <w:rPr>
                <w:bCs/>
                <w:color w:val="002060"/>
                <w:sz w:val="16"/>
                <w:szCs w:val="16"/>
              </w:rPr>
            </w:pPr>
            <w:r w:rsidRPr="00405303">
              <w:rPr>
                <w:bCs/>
                <w:color w:val="002060"/>
                <w:sz w:val="16"/>
                <w:szCs w:val="16"/>
              </w:rPr>
              <w:t>Декабрь 1916 г.</w:t>
            </w:r>
          </w:p>
        </w:tc>
      </w:tr>
      <w:tr w:rsidR="004B4E35" w:rsidRPr="00405303" w14:paraId="39A5A1C2" w14:textId="77777777">
        <w:tc>
          <w:tcPr>
            <w:tcW w:w="2652" w:type="dxa"/>
          </w:tcPr>
          <w:p w14:paraId="51F67195" w14:textId="77777777" w:rsidR="004B4E35" w:rsidRPr="00405303" w:rsidRDefault="009E6F82" w:rsidP="00C15251">
            <w:pPr>
              <w:jc w:val="both"/>
              <w:rPr>
                <w:bCs/>
                <w:color w:val="002060"/>
                <w:sz w:val="16"/>
                <w:szCs w:val="16"/>
              </w:rPr>
            </w:pPr>
            <w:r w:rsidRPr="00405303">
              <w:rPr>
                <w:bCs/>
                <w:color w:val="002060"/>
                <w:sz w:val="16"/>
                <w:szCs w:val="16"/>
              </w:rPr>
              <w:t>Кыштымский горный округ</w:t>
            </w:r>
          </w:p>
        </w:tc>
        <w:tc>
          <w:tcPr>
            <w:tcW w:w="612" w:type="dxa"/>
          </w:tcPr>
          <w:p w14:paraId="76704B4D" w14:textId="77777777" w:rsidR="004B4E35" w:rsidRPr="00405303" w:rsidRDefault="009E6F82" w:rsidP="00C15251">
            <w:pPr>
              <w:jc w:val="both"/>
              <w:rPr>
                <w:bCs/>
                <w:color w:val="002060"/>
                <w:sz w:val="16"/>
                <w:szCs w:val="16"/>
              </w:rPr>
            </w:pPr>
            <w:r w:rsidRPr="00405303">
              <w:rPr>
                <w:bCs/>
                <w:color w:val="002060"/>
                <w:sz w:val="16"/>
                <w:szCs w:val="16"/>
              </w:rPr>
              <w:t>225</w:t>
            </w:r>
          </w:p>
        </w:tc>
        <w:tc>
          <w:tcPr>
            <w:tcW w:w="650" w:type="dxa"/>
          </w:tcPr>
          <w:p w14:paraId="4D05B192"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636" w:type="dxa"/>
          </w:tcPr>
          <w:p w14:paraId="6E7A1DC1" w14:textId="77777777" w:rsidR="004B4E35" w:rsidRPr="00405303" w:rsidRDefault="009E6F82" w:rsidP="00C15251">
            <w:pPr>
              <w:jc w:val="both"/>
              <w:rPr>
                <w:bCs/>
                <w:color w:val="002060"/>
                <w:sz w:val="16"/>
                <w:szCs w:val="16"/>
              </w:rPr>
            </w:pPr>
            <w:r w:rsidRPr="00405303">
              <w:rPr>
                <w:bCs/>
                <w:color w:val="002060"/>
                <w:sz w:val="16"/>
                <w:szCs w:val="16"/>
              </w:rPr>
              <w:t>800</w:t>
            </w:r>
          </w:p>
        </w:tc>
        <w:tc>
          <w:tcPr>
            <w:tcW w:w="728" w:type="dxa"/>
          </w:tcPr>
          <w:p w14:paraId="5DD46EA5" w14:textId="77777777" w:rsidR="004B4E35" w:rsidRPr="00405303" w:rsidRDefault="009E6F82" w:rsidP="00C15251">
            <w:pPr>
              <w:jc w:val="both"/>
              <w:rPr>
                <w:bCs/>
                <w:color w:val="002060"/>
                <w:sz w:val="16"/>
                <w:szCs w:val="16"/>
              </w:rPr>
            </w:pPr>
            <w:r w:rsidRPr="00405303">
              <w:rPr>
                <w:bCs/>
                <w:color w:val="002060"/>
                <w:sz w:val="16"/>
                <w:szCs w:val="16"/>
              </w:rPr>
              <w:t>800</w:t>
            </w:r>
          </w:p>
        </w:tc>
      </w:tr>
      <w:tr w:rsidR="004B4E35" w:rsidRPr="00405303" w14:paraId="1BC82E5B" w14:textId="77777777">
        <w:tc>
          <w:tcPr>
            <w:tcW w:w="2652" w:type="dxa"/>
          </w:tcPr>
          <w:p w14:paraId="223B65F2" w14:textId="77777777" w:rsidR="004B4E35" w:rsidRPr="00405303" w:rsidRDefault="009E6F82" w:rsidP="00C15251">
            <w:pPr>
              <w:jc w:val="both"/>
              <w:rPr>
                <w:bCs/>
                <w:color w:val="002060"/>
                <w:sz w:val="16"/>
                <w:szCs w:val="16"/>
              </w:rPr>
            </w:pPr>
            <w:r w:rsidRPr="00405303">
              <w:rPr>
                <w:bCs/>
                <w:color w:val="002060"/>
                <w:sz w:val="16"/>
                <w:szCs w:val="16"/>
              </w:rPr>
              <w:t>Верх-Исетский горный округ</w:t>
            </w:r>
          </w:p>
        </w:tc>
        <w:tc>
          <w:tcPr>
            <w:tcW w:w="612" w:type="dxa"/>
          </w:tcPr>
          <w:p w14:paraId="5BC2BFEA" w14:textId="77777777" w:rsidR="004B4E35" w:rsidRPr="00405303" w:rsidRDefault="009E6F82" w:rsidP="00C15251">
            <w:pPr>
              <w:jc w:val="both"/>
              <w:rPr>
                <w:bCs/>
                <w:color w:val="002060"/>
                <w:sz w:val="16"/>
                <w:szCs w:val="16"/>
              </w:rPr>
            </w:pPr>
            <w:r w:rsidRPr="00405303">
              <w:rPr>
                <w:bCs/>
                <w:color w:val="002060"/>
                <w:sz w:val="16"/>
                <w:szCs w:val="16"/>
              </w:rPr>
              <w:t>325</w:t>
            </w:r>
          </w:p>
        </w:tc>
        <w:tc>
          <w:tcPr>
            <w:tcW w:w="650" w:type="dxa"/>
          </w:tcPr>
          <w:p w14:paraId="59496D64" w14:textId="77777777" w:rsidR="004B4E35" w:rsidRPr="00405303" w:rsidRDefault="009E6F82" w:rsidP="00C15251">
            <w:pPr>
              <w:jc w:val="both"/>
              <w:rPr>
                <w:bCs/>
                <w:color w:val="002060"/>
                <w:sz w:val="16"/>
                <w:szCs w:val="16"/>
              </w:rPr>
            </w:pPr>
            <w:r w:rsidRPr="00405303">
              <w:rPr>
                <w:bCs/>
                <w:color w:val="002060"/>
                <w:sz w:val="16"/>
                <w:szCs w:val="16"/>
              </w:rPr>
              <w:t>325</w:t>
            </w:r>
          </w:p>
        </w:tc>
        <w:tc>
          <w:tcPr>
            <w:tcW w:w="636" w:type="dxa"/>
          </w:tcPr>
          <w:p w14:paraId="70F6790E" w14:textId="77777777" w:rsidR="004B4E35" w:rsidRPr="00405303" w:rsidRDefault="009E6F82" w:rsidP="00C15251">
            <w:pPr>
              <w:jc w:val="both"/>
              <w:rPr>
                <w:bCs/>
                <w:color w:val="002060"/>
                <w:sz w:val="16"/>
                <w:szCs w:val="16"/>
              </w:rPr>
            </w:pPr>
            <w:r w:rsidRPr="00405303">
              <w:rPr>
                <w:bCs/>
                <w:color w:val="002060"/>
                <w:sz w:val="16"/>
                <w:szCs w:val="16"/>
              </w:rPr>
              <w:t>325</w:t>
            </w:r>
          </w:p>
        </w:tc>
        <w:tc>
          <w:tcPr>
            <w:tcW w:w="728" w:type="dxa"/>
          </w:tcPr>
          <w:p w14:paraId="3A8F0539" w14:textId="77777777" w:rsidR="004B4E35" w:rsidRPr="00405303" w:rsidRDefault="009E6F82" w:rsidP="00C15251">
            <w:pPr>
              <w:jc w:val="both"/>
              <w:rPr>
                <w:bCs/>
                <w:color w:val="002060"/>
                <w:sz w:val="16"/>
                <w:szCs w:val="16"/>
              </w:rPr>
            </w:pPr>
            <w:r w:rsidRPr="00405303">
              <w:rPr>
                <w:bCs/>
                <w:color w:val="002060"/>
                <w:sz w:val="16"/>
                <w:szCs w:val="16"/>
              </w:rPr>
              <w:t>325</w:t>
            </w:r>
          </w:p>
        </w:tc>
      </w:tr>
      <w:tr w:rsidR="004B4E35" w:rsidRPr="00405303" w14:paraId="47D5F43D" w14:textId="77777777">
        <w:tc>
          <w:tcPr>
            <w:tcW w:w="2652" w:type="dxa"/>
          </w:tcPr>
          <w:p w14:paraId="69A719F2" w14:textId="77777777" w:rsidR="004B4E35" w:rsidRPr="00405303" w:rsidRDefault="009E6F82" w:rsidP="00C15251">
            <w:pPr>
              <w:jc w:val="both"/>
              <w:rPr>
                <w:bCs/>
                <w:color w:val="002060"/>
                <w:sz w:val="16"/>
                <w:szCs w:val="16"/>
              </w:rPr>
            </w:pPr>
            <w:r w:rsidRPr="00405303">
              <w:rPr>
                <w:bCs/>
                <w:color w:val="002060"/>
                <w:sz w:val="16"/>
                <w:szCs w:val="16"/>
              </w:rPr>
              <w:t>Сысертский горный округ</w:t>
            </w:r>
          </w:p>
        </w:tc>
        <w:tc>
          <w:tcPr>
            <w:tcW w:w="612" w:type="dxa"/>
          </w:tcPr>
          <w:p w14:paraId="4A9B3E4B" w14:textId="77777777" w:rsidR="004B4E35" w:rsidRPr="00405303" w:rsidRDefault="009E6F82" w:rsidP="00C15251">
            <w:pPr>
              <w:jc w:val="both"/>
              <w:rPr>
                <w:bCs/>
                <w:color w:val="002060"/>
                <w:sz w:val="16"/>
                <w:szCs w:val="16"/>
              </w:rPr>
            </w:pPr>
            <w:r w:rsidRPr="00405303">
              <w:rPr>
                <w:bCs/>
                <w:color w:val="002060"/>
                <w:sz w:val="16"/>
                <w:szCs w:val="16"/>
              </w:rPr>
              <w:t>—</w:t>
            </w:r>
          </w:p>
        </w:tc>
        <w:tc>
          <w:tcPr>
            <w:tcW w:w="650" w:type="dxa"/>
          </w:tcPr>
          <w:p w14:paraId="40B193DF" w14:textId="77777777" w:rsidR="004B4E35" w:rsidRPr="00405303" w:rsidRDefault="009E6F82" w:rsidP="00C15251">
            <w:pPr>
              <w:jc w:val="both"/>
              <w:rPr>
                <w:bCs/>
                <w:color w:val="002060"/>
                <w:sz w:val="16"/>
                <w:szCs w:val="16"/>
              </w:rPr>
            </w:pPr>
            <w:r w:rsidRPr="00405303">
              <w:rPr>
                <w:bCs/>
                <w:color w:val="002060"/>
                <w:sz w:val="16"/>
                <w:szCs w:val="16"/>
              </w:rPr>
              <w:t>100</w:t>
            </w:r>
          </w:p>
        </w:tc>
        <w:tc>
          <w:tcPr>
            <w:tcW w:w="636" w:type="dxa"/>
          </w:tcPr>
          <w:p w14:paraId="77829691" w14:textId="77777777" w:rsidR="004B4E35" w:rsidRPr="00405303" w:rsidRDefault="009E6F82" w:rsidP="00C15251">
            <w:pPr>
              <w:jc w:val="both"/>
              <w:rPr>
                <w:bCs/>
                <w:color w:val="002060"/>
                <w:sz w:val="16"/>
                <w:szCs w:val="16"/>
              </w:rPr>
            </w:pPr>
            <w:r w:rsidRPr="00405303">
              <w:rPr>
                <w:bCs/>
                <w:color w:val="002060"/>
                <w:sz w:val="16"/>
                <w:szCs w:val="16"/>
              </w:rPr>
              <w:t>100</w:t>
            </w:r>
          </w:p>
        </w:tc>
        <w:tc>
          <w:tcPr>
            <w:tcW w:w="728" w:type="dxa"/>
          </w:tcPr>
          <w:p w14:paraId="67D74098" w14:textId="77777777" w:rsidR="004B4E35" w:rsidRPr="00405303" w:rsidRDefault="009E6F82" w:rsidP="00C15251">
            <w:pPr>
              <w:jc w:val="both"/>
              <w:rPr>
                <w:bCs/>
                <w:color w:val="002060"/>
                <w:sz w:val="16"/>
                <w:szCs w:val="16"/>
              </w:rPr>
            </w:pPr>
            <w:r w:rsidRPr="00405303">
              <w:rPr>
                <w:bCs/>
                <w:color w:val="002060"/>
                <w:sz w:val="16"/>
                <w:szCs w:val="16"/>
              </w:rPr>
              <w:t>100</w:t>
            </w:r>
          </w:p>
        </w:tc>
      </w:tr>
      <w:tr w:rsidR="004B4E35" w:rsidRPr="00405303" w14:paraId="6F69AA74" w14:textId="77777777">
        <w:tc>
          <w:tcPr>
            <w:tcW w:w="2652" w:type="dxa"/>
          </w:tcPr>
          <w:p w14:paraId="7607AD03" w14:textId="77777777" w:rsidR="004B4E35" w:rsidRPr="00405303" w:rsidRDefault="009E6F82" w:rsidP="00C15251">
            <w:pPr>
              <w:jc w:val="both"/>
              <w:rPr>
                <w:bCs/>
                <w:color w:val="002060"/>
                <w:sz w:val="16"/>
                <w:szCs w:val="16"/>
              </w:rPr>
            </w:pPr>
            <w:r w:rsidRPr="00405303">
              <w:rPr>
                <w:bCs/>
                <w:color w:val="002060"/>
                <w:sz w:val="16"/>
                <w:szCs w:val="16"/>
              </w:rPr>
              <w:t>Ревдинский горный округ</w:t>
            </w:r>
          </w:p>
        </w:tc>
        <w:tc>
          <w:tcPr>
            <w:tcW w:w="612" w:type="dxa"/>
          </w:tcPr>
          <w:p w14:paraId="1F8538AA" w14:textId="77777777" w:rsidR="004B4E35" w:rsidRPr="00405303" w:rsidRDefault="009E6F82" w:rsidP="00C15251">
            <w:pPr>
              <w:jc w:val="both"/>
              <w:rPr>
                <w:bCs/>
                <w:color w:val="002060"/>
                <w:sz w:val="16"/>
                <w:szCs w:val="16"/>
              </w:rPr>
            </w:pPr>
            <w:r w:rsidRPr="00405303">
              <w:rPr>
                <w:bCs/>
                <w:color w:val="002060"/>
                <w:sz w:val="16"/>
                <w:szCs w:val="16"/>
              </w:rPr>
              <w:t>—</w:t>
            </w:r>
          </w:p>
        </w:tc>
        <w:tc>
          <w:tcPr>
            <w:tcW w:w="650" w:type="dxa"/>
          </w:tcPr>
          <w:p w14:paraId="54DB8CE0" w14:textId="77777777" w:rsidR="004B4E35" w:rsidRPr="00405303" w:rsidRDefault="009E6F82" w:rsidP="00C15251">
            <w:pPr>
              <w:jc w:val="both"/>
              <w:rPr>
                <w:bCs/>
                <w:color w:val="002060"/>
                <w:sz w:val="16"/>
                <w:szCs w:val="16"/>
              </w:rPr>
            </w:pPr>
            <w:r w:rsidRPr="00405303">
              <w:rPr>
                <w:bCs/>
                <w:color w:val="002060"/>
                <w:sz w:val="16"/>
                <w:szCs w:val="16"/>
              </w:rPr>
              <w:t>150</w:t>
            </w:r>
          </w:p>
        </w:tc>
        <w:tc>
          <w:tcPr>
            <w:tcW w:w="636" w:type="dxa"/>
          </w:tcPr>
          <w:p w14:paraId="05B85348" w14:textId="77777777" w:rsidR="004B4E35" w:rsidRPr="00405303" w:rsidRDefault="009E6F82" w:rsidP="00C15251">
            <w:pPr>
              <w:jc w:val="both"/>
              <w:rPr>
                <w:bCs/>
                <w:color w:val="002060"/>
                <w:sz w:val="16"/>
                <w:szCs w:val="16"/>
              </w:rPr>
            </w:pPr>
            <w:r w:rsidRPr="00405303">
              <w:rPr>
                <w:bCs/>
                <w:color w:val="002060"/>
                <w:sz w:val="16"/>
                <w:szCs w:val="16"/>
              </w:rPr>
              <w:t>150</w:t>
            </w:r>
          </w:p>
        </w:tc>
        <w:tc>
          <w:tcPr>
            <w:tcW w:w="728" w:type="dxa"/>
          </w:tcPr>
          <w:p w14:paraId="0B5FA5D6" w14:textId="77777777" w:rsidR="004B4E35" w:rsidRPr="00405303" w:rsidRDefault="009E6F82" w:rsidP="00C15251">
            <w:pPr>
              <w:jc w:val="both"/>
              <w:rPr>
                <w:bCs/>
                <w:color w:val="002060"/>
                <w:sz w:val="16"/>
                <w:szCs w:val="16"/>
              </w:rPr>
            </w:pPr>
            <w:r w:rsidRPr="00405303">
              <w:rPr>
                <w:bCs/>
                <w:color w:val="002060"/>
                <w:sz w:val="16"/>
                <w:szCs w:val="16"/>
              </w:rPr>
              <w:t>150</w:t>
            </w:r>
          </w:p>
        </w:tc>
      </w:tr>
      <w:tr w:rsidR="004B4E35" w:rsidRPr="00405303" w14:paraId="473252D5" w14:textId="77777777">
        <w:tc>
          <w:tcPr>
            <w:tcW w:w="2652" w:type="dxa"/>
          </w:tcPr>
          <w:p w14:paraId="43BD0852" w14:textId="77777777" w:rsidR="004B4E35" w:rsidRPr="00405303" w:rsidRDefault="009E6F82" w:rsidP="00C15251">
            <w:pPr>
              <w:jc w:val="both"/>
              <w:rPr>
                <w:bCs/>
                <w:color w:val="002060"/>
                <w:sz w:val="16"/>
                <w:szCs w:val="16"/>
              </w:rPr>
            </w:pPr>
            <w:r w:rsidRPr="00405303">
              <w:rPr>
                <w:bCs/>
                <w:color w:val="002060"/>
                <w:sz w:val="16"/>
                <w:szCs w:val="16"/>
              </w:rPr>
              <w:t>Рудники Ушакова</w:t>
            </w:r>
          </w:p>
        </w:tc>
        <w:tc>
          <w:tcPr>
            <w:tcW w:w="612" w:type="dxa"/>
          </w:tcPr>
          <w:p w14:paraId="45F50615" w14:textId="77777777" w:rsidR="004B4E35" w:rsidRPr="00405303" w:rsidRDefault="009E6F82" w:rsidP="00C15251">
            <w:pPr>
              <w:jc w:val="both"/>
              <w:rPr>
                <w:bCs/>
                <w:color w:val="002060"/>
                <w:sz w:val="16"/>
                <w:szCs w:val="16"/>
              </w:rPr>
            </w:pPr>
            <w:r w:rsidRPr="00405303">
              <w:rPr>
                <w:bCs/>
                <w:color w:val="002060"/>
                <w:sz w:val="16"/>
                <w:szCs w:val="16"/>
              </w:rPr>
              <w:t>—</w:t>
            </w:r>
          </w:p>
        </w:tc>
        <w:tc>
          <w:tcPr>
            <w:tcW w:w="650" w:type="dxa"/>
          </w:tcPr>
          <w:p w14:paraId="63F73ABA" w14:textId="77777777" w:rsidR="004B4E35" w:rsidRPr="00405303" w:rsidRDefault="009E6F82" w:rsidP="00C15251">
            <w:pPr>
              <w:jc w:val="both"/>
              <w:rPr>
                <w:bCs/>
                <w:color w:val="002060"/>
                <w:sz w:val="16"/>
                <w:szCs w:val="16"/>
              </w:rPr>
            </w:pPr>
            <w:r w:rsidRPr="00405303">
              <w:rPr>
                <w:bCs/>
                <w:color w:val="002060"/>
                <w:sz w:val="16"/>
                <w:szCs w:val="16"/>
              </w:rPr>
              <w:t>100</w:t>
            </w:r>
          </w:p>
        </w:tc>
        <w:tc>
          <w:tcPr>
            <w:tcW w:w="636" w:type="dxa"/>
          </w:tcPr>
          <w:p w14:paraId="1E94EF61" w14:textId="77777777" w:rsidR="004B4E35" w:rsidRPr="00405303" w:rsidRDefault="009E6F82" w:rsidP="00C15251">
            <w:pPr>
              <w:jc w:val="both"/>
              <w:rPr>
                <w:bCs/>
                <w:color w:val="002060"/>
                <w:sz w:val="16"/>
                <w:szCs w:val="16"/>
              </w:rPr>
            </w:pPr>
            <w:r w:rsidRPr="00405303">
              <w:rPr>
                <w:bCs/>
                <w:color w:val="002060"/>
                <w:sz w:val="16"/>
                <w:szCs w:val="16"/>
              </w:rPr>
              <w:t>100</w:t>
            </w:r>
          </w:p>
        </w:tc>
        <w:tc>
          <w:tcPr>
            <w:tcW w:w="728" w:type="dxa"/>
          </w:tcPr>
          <w:p w14:paraId="52B00EBD" w14:textId="77777777" w:rsidR="004B4E35" w:rsidRPr="00405303" w:rsidRDefault="009E6F82" w:rsidP="00C15251">
            <w:pPr>
              <w:jc w:val="both"/>
              <w:rPr>
                <w:bCs/>
                <w:color w:val="002060"/>
                <w:sz w:val="16"/>
                <w:szCs w:val="16"/>
              </w:rPr>
            </w:pPr>
            <w:r w:rsidRPr="00405303">
              <w:rPr>
                <w:bCs/>
                <w:color w:val="002060"/>
                <w:sz w:val="16"/>
                <w:szCs w:val="16"/>
              </w:rPr>
              <w:t>100</w:t>
            </w:r>
          </w:p>
        </w:tc>
      </w:tr>
      <w:tr w:rsidR="004B4E35" w:rsidRPr="00405303" w14:paraId="658F3A82" w14:textId="77777777">
        <w:tc>
          <w:tcPr>
            <w:tcW w:w="2652" w:type="dxa"/>
          </w:tcPr>
          <w:p w14:paraId="70A09DFA" w14:textId="77777777" w:rsidR="004B4E35" w:rsidRPr="00405303" w:rsidRDefault="009E6F82" w:rsidP="00C15251">
            <w:pPr>
              <w:jc w:val="both"/>
              <w:rPr>
                <w:bCs/>
                <w:color w:val="002060"/>
                <w:sz w:val="16"/>
                <w:szCs w:val="16"/>
              </w:rPr>
            </w:pPr>
            <w:r w:rsidRPr="00405303">
              <w:rPr>
                <w:bCs/>
                <w:color w:val="002060"/>
                <w:sz w:val="16"/>
                <w:szCs w:val="16"/>
              </w:rPr>
              <w:t xml:space="preserve">Прочие мелкие добычи </w:t>
            </w:r>
          </w:p>
          <w:p w14:paraId="5CD96F89" w14:textId="77777777" w:rsidR="004B4E35" w:rsidRPr="00405303" w:rsidRDefault="009E6F82" w:rsidP="00C15251">
            <w:pPr>
              <w:jc w:val="both"/>
              <w:rPr>
                <w:bCs/>
                <w:color w:val="002060"/>
                <w:sz w:val="16"/>
                <w:szCs w:val="16"/>
              </w:rPr>
            </w:pPr>
            <w:r w:rsidRPr="00405303">
              <w:rPr>
                <w:bCs/>
                <w:color w:val="002060"/>
                <w:sz w:val="16"/>
                <w:szCs w:val="16"/>
              </w:rPr>
              <w:t>(Кавказские, Донецкие, Подмосковные)</w:t>
            </w:r>
          </w:p>
        </w:tc>
        <w:tc>
          <w:tcPr>
            <w:tcW w:w="612" w:type="dxa"/>
          </w:tcPr>
          <w:p w14:paraId="1C98D461" w14:textId="77777777" w:rsidR="004B4E35" w:rsidRPr="00405303" w:rsidRDefault="009E6F82" w:rsidP="00C15251">
            <w:pPr>
              <w:jc w:val="both"/>
              <w:rPr>
                <w:bCs/>
                <w:color w:val="002060"/>
                <w:sz w:val="16"/>
                <w:szCs w:val="16"/>
              </w:rPr>
            </w:pPr>
            <w:r w:rsidRPr="00405303">
              <w:rPr>
                <w:bCs/>
                <w:color w:val="002060"/>
                <w:sz w:val="16"/>
                <w:szCs w:val="16"/>
              </w:rPr>
              <w:t>105</w:t>
            </w:r>
          </w:p>
        </w:tc>
        <w:tc>
          <w:tcPr>
            <w:tcW w:w="650" w:type="dxa"/>
          </w:tcPr>
          <w:p w14:paraId="2E185F83" w14:textId="77777777" w:rsidR="004B4E35" w:rsidRPr="00405303" w:rsidRDefault="009E6F82" w:rsidP="00C15251">
            <w:pPr>
              <w:jc w:val="both"/>
              <w:rPr>
                <w:bCs/>
                <w:color w:val="002060"/>
                <w:sz w:val="16"/>
                <w:szCs w:val="16"/>
              </w:rPr>
            </w:pPr>
            <w:r w:rsidRPr="00405303">
              <w:rPr>
                <w:bCs/>
                <w:color w:val="002060"/>
                <w:sz w:val="16"/>
                <w:szCs w:val="16"/>
              </w:rPr>
              <w:t>110</w:t>
            </w:r>
          </w:p>
        </w:tc>
        <w:tc>
          <w:tcPr>
            <w:tcW w:w="636" w:type="dxa"/>
          </w:tcPr>
          <w:p w14:paraId="7814E8FF" w14:textId="77777777" w:rsidR="004B4E35" w:rsidRPr="00405303" w:rsidRDefault="009E6F82" w:rsidP="00C15251">
            <w:pPr>
              <w:jc w:val="both"/>
              <w:rPr>
                <w:bCs/>
                <w:color w:val="002060"/>
                <w:sz w:val="16"/>
                <w:szCs w:val="16"/>
              </w:rPr>
            </w:pPr>
            <w:r w:rsidRPr="00405303">
              <w:rPr>
                <w:bCs/>
                <w:color w:val="002060"/>
                <w:sz w:val="16"/>
                <w:szCs w:val="16"/>
              </w:rPr>
              <w:t>140</w:t>
            </w:r>
          </w:p>
        </w:tc>
        <w:tc>
          <w:tcPr>
            <w:tcW w:w="728" w:type="dxa"/>
          </w:tcPr>
          <w:p w14:paraId="553B789E" w14:textId="77777777" w:rsidR="004B4E35" w:rsidRPr="00405303" w:rsidRDefault="009E6F82" w:rsidP="00C15251">
            <w:pPr>
              <w:jc w:val="both"/>
              <w:rPr>
                <w:bCs/>
                <w:color w:val="002060"/>
                <w:sz w:val="16"/>
                <w:szCs w:val="16"/>
              </w:rPr>
            </w:pPr>
            <w:r w:rsidRPr="00405303">
              <w:rPr>
                <w:bCs/>
                <w:color w:val="002060"/>
                <w:sz w:val="16"/>
                <w:szCs w:val="16"/>
              </w:rPr>
              <w:t>150</w:t>
            </w:r>
          </w:p>
        </w:tc>
      </w:tr>
    </w:tbl>
    <w:p w14:paraId="42C489C2" w14:textId="77777777" w:rsidR="004B4E35" w:rsidRPr="00405303" w:rsidRDefault="009E6F82" w:rsidP="00C15251">
      <w:pPr>
        <w:jc w:val="both"/>
        <w:rPr>
          <w:bCs/>
          <w:color w:val="002060"/>
          <w:sz w:val="16"/>
          <w:szCs w:val="16"/>
        </w:rPr>
      </w:pPr>
      <w:r w:rsidRPr="00405303">
        <w:rPr>
          <w:bCs/>
          <w:color w:val="002060"/>
          <w:sz w:val="16"/>
          <w:szCs w:val="16"/>
        </w:rPr>
        <w:t xml:space="preserve">Не менее забот представлял вопрос с азотной кислотой. Для изготовления ее ежегодно в Россию необходимо было ввозить до 6 млн пудов чилийской селитры. Комиссия Ипатьева, а впоследствии Химический комитет взял на себя надзор за провозом и распределением ее. </w:t>
      </w:r>
    </w:p>
    <w:p w14:paraId="08E5ACF9" w14:textId="77777777" w:rsidR="004B4E35" w:rsidRPr="00405303" w:rsidRDefault="009E6F82" w:rsidP="00C15251">
      <w:pPr>
        <w:jc w:val="both"/>
        <w:rPr>
          <w:bCs/>
          <w:color w:val="002060"/>
          <w:sz w:val="16"/>
          <w:szCs w:val="16"/>
        </w:rPr>
      </w:pPr>
      <w:r w:rsidRPr="00405303">
        <w:rPr>
          <w:bCs/>
          <w:color w:val="002060"/>
          <w:sz w:val="16"/>
          <w:szCs w:val="16"/>
        </w:rPr>
        <w:t xml:space="preserve">Комитет занялся также исследованием залежей отечественной селитры, но эти месторождения оказались неблагонадежными. </w:t>
      </w:r>
    </w:p>
    <w:p w14:paraId="6E298999" w14:textId="77777777" w:rsidR="004B4E35" w:rsidRPr="00405303" w:rsidRDefault="009E6F82" w:rsidP="00C15251">
      <w:pPr>
        <w:jc w:val="both"/>
        <w:rPr>
          <w:bCs/>
          <w:color w:val="002060"/>
          <w:sz w:val="16"/>
          <w:szCs w:val="16"/>
        </w:rPr>
      </w:pPr>
      <w:r w:rsidRPr="00405303">
        <w:rPr>
          <w:bCs/>
          <w:color w:val="002060"/>
          <w:sz w:val="16"/>
          <w:szCs w:val="16"/>
        </w:rPr>
        <w:t xml:space="preserve">Имея в виду в будущем освободиться от иностранной зависимости, Химический комитет приступил к разработке вопроса о наилучшем для России методе получения азотной кислоты. </w:t>
      </w:r>
    </w:p>
    <w:p w14:paraId="4A9094D0" w14:textId="77777777" w:rsidR="004B4E35" w:rsidRPr="00405303" w:rsidRDefault="009E6F82" w:rsidP="00C15251">
      <w:pPr>
        <w:jc w:val="both"/>
        <w:rPr>
          <w:bCs/>
          <w:color w:val="002060"/>
          <w:sz w:val="16"/>
          <w:szCs w:val="16"/>
        </w:rPr>
      </w:pPr>
      <w:r w:rsidRPr="00405303">
        <w:rPr>
          <w:bCs/>
          <w:color w:val="002060"/>
          <w:sz w:val="16"/>
          <w:szCs w:val="16"/>
        </w:rPr>
        <w:t xml:space="preserve">В связи с установлением улавливания побочных продуктов коксования угля начала быстро расти выработка аммиачных вод. Были привлечены крупные научные силы к разработке практического метода превращения аммиака в азотную кислоту. Лабораторные изыскания и опытная заводская работа дали благоприятные результаты. После этого Химический комитет построил первый казенный завод в Юзовке для получения азотной кислоты переработкой аммиачных вод, производительностью на 50 тыс. пудов селитры в месяц. Этот завод должен был послужить образцом для постройки в дальнейшем таких же заводов. </w:t>
      </w:r>
    </w:p>
    <w:p w14:paraId="27A9CE80" w14:textId="77777777" w:rsidR="004B4E35" w:rsidRPr="00405303" w:rsidRDefault="009E6F82" w:rsidP="00C15251">
      <w:pPr>
        <w:jc w:val="both"/>
        <w:rPr>
          <w:bCs/>
          <w:color w:val="002060"/>
          <w:sz w:val="16"/>
          <w:szCs w:val="16"/>
        </w:rPr>
      </w:pPr>
      <w:r w:rsidRPr="00405303">
        <w:rPr>
          <w:bCs/>
          <w:color w:val="002060"/>
          <w:sz w:val="16"/>
          <w:szCs w:val="16"/>
        </w:rPr>
        <w:t xml:space="preserve">В целях разрешения полностью вопроса о связанном азоте Химическим комитетом был осенью 1916 г. разработан проект завода цианамида кальция производительностью на 2 000 000 пудов в год, который предположено было строить на Кавказе, в Грозном. </w:t>
      </w:r>
    </w:p>
    <w:p w14:paraId="3863BD4C" w14:textId="77777777" w:rsidR="004B4E35" w:rsidRPr="00405303" w:rsidRDefault="009E6F82" w:rsidP="00C15251">
      <w:pPr>
        <w:jc w:val="both"/>
        <w:rPr>
          <w:bCs/>
          <w:color w:val="002060"/>
          <w:sz w:val="16"/>
          <w:szCs w:val="16"/>
        </w:rPr>
      </w:pPr>
      <w:r w:rsidRPr="00405303">
        <w:rPr>
          <w:bCs/>
          <w:color w:val="002060"/>
          <w:sz w:val="16"/>
          <w:szCs w:val="16"/>
        </w:rPr>
        <w:t xml:space="preserve">Таким образом, Комиссия Ипатьева, а в дальнейшем Химический комитет, как видно из приведенного очерка, несли на себе все заботы о снабжении казенных и частных заводов пороха и взрывчатых веществ основными материалами для производства. </w:t>
      </w:r>
    </w:p>
    <w:p w14:paraId="6561DA4F" w14:textId="77777777" w:rsidR="004B4E35" w:rsidRPr="00405303" w:rsidRDefault="009E6F82" w:rsidP="00C15251">
      <w:pPr>
        <w:jc w:val="both"/>
        <w:rPr>
          <w:bCs/>
          <w:color w:val="002060"/>
          <w:sz w:val="16"/>
          <w:szCs w:val="16"/>
        </w:rPr>
      </w:pPr>
      <w:r w:rsidRPr="00405303">
        <w:rPr>
          <w:bCs/>
          <w:color w:val="002060"/>
          <w:sz w:val="16"/>
          <w:szCs w:val="16"/>
        </w:rPr>
        <w:t xml:space="preserve">Независимо от этого на Химическом комитете лежала обязанность привлечь частную промышленность к изготовлению самых взрывчатых веществ в дополнение к тем, которые изготовлялись казенными заводами. </w:t>
      </w:r>
    </w:p>
    <w:p w14:paraId="7600F066" w14:textId="77777777" w:rsidR="004B4E35" w:rsidRPr="00405303" w:rsidRDefault="009E6F82" w:rsidP="00C15251">
      <w:pPr>
        <w:jc w:val="both"/>
        <w:rPr>
          <w:bCs/>
          <w:color w:val="002060"/>
          <w:sz w:val="16"/>
          <w:szCs w:val="16"/>
        </w:rPr>
      </w:pPr>
      <w:r w:rsidRPr="00405303">
        <w:rPr>
          <w:bCs/>
          <w:color w:val="002060"/>
          <w:sz w:val="16"/>
          <w:szCs w:val="16"/>
        </w:rPr>
        <w:t xml:space="preserve">Во время войны производство тротила было установлено на нескольких существовавших частных химических заводах (отдельные цеха) и построены новые тротиловые заводы. Общее число частных заводов, готовивших тротил во время войны, достигло восьми. </w:t>
      </w:r>
    </w:p>
    <w:p w14:paraId="1D1361E2" w14:textId="77777777" w:rsidR="004B4E35" w:rsidRPr="00405303" w:rsidRDefault="009E6F82" w:rsidP="00C15251">
      <w:pPr>
        <w:jc w:val="both"/>
        <w:rPr>
          <w:bCs/>
          <w:color w:val="002060"/>
          <w:sz w:val="16"/>
          <w:szCs w:val="16"/>
        </w:rPr>
      </w:pPr>
      <w:r w:rsidRPr="00405303">
        <w:rPr>
          <w:bCs/>
          <w:color w:val="002060"/>
          <w:sz w:val="16"/>
          <w:szCs w:val="16"/>
        </w:rPr>
        <w:t xml:space="preserve">Пикриновая кислота во время войны готовилась только на частных заводах: на пяти — нитрацией фенола и на двух — синтетическим путем из бензола. До войны ее готовили только два завода по первому способу. Синтетический способ был разработан в России уже во время войны в Центральной научно-технической лаборатории военного ведомства и представляет большой научный интерес. </w:t>
      </w:r>
    </w:p>
    <w:p w14:paraId="0B9ED314" w14:textId="77777777" w:rsidR="004B4E35" w:rsidRPr="00405303" w:rsidRDefault="009E6F82" w:rsidP="00C15251">
      <w:pPr>
        <w:jc w:val="both"/>
        <w:rPr>
          <w:bCs/>
          <w:color w:val="002060"/>
          <w:sz w:val="16"/>
          <w:szCs w:val="16"/>
        </w:rPr>
      </w:pPr>
      <w:r w:rsidRPr="00405303">
        <w:rPr>
          <w:bCs/>
          <w:color w:val="002060"/>
          <w:sz w:val="16"/>
          <w:szCs w:val="16"/>
        </w:rPr>
        <w:t xml:space="preserve">Было установлено Химическим комитетом также производство тринитроксилола и динитронафталина, каждый на двух заводах. </w:t>
      </w:r>
    </w:p>
    <w:p w14:paraId="67144DAD" w14:textId="77777777" w:rsidR="004B4E35" w:rsidRPr="00405303" w:rsidRDefault="009E6F82" w:rsidP="00C15251">
      <w:pPr>
        <w:jc w:val="both"/>
        <w:rPr>
          <w:bCs/>
          <w:color w:val="002060"/>
          <w:sz w:val="16"/>
          <w:szCs w:val="16"/>
        </w:rPr>
      </w:pPr>
      <w:r w:rsidRPr="00405303">
        <w:rPr>
          <w:bCs/>
          <w:color w:val="002060"/>
          <w:sz w:val="16"/>
          <w:szCs w:val="16"/>
        </w:rPr>
        <w:t xml:space="preserve">Изготовление аммиачной селитры, кроме упомянутого выше Юзовского казенного завода, было организовано Комиссией еще на двух заводах в Донецком бассейне. </w:t>
      </w:r>
    </w:p>
    <w:p w14:paraId="10F4D485" w14:textId="77777777" w:rsidR="004B4E35" w:rsidRPr="00405303" w:rsidRDefault="009E6F82" w:rsidP="00C15251">
      <w:pPr>
        <w:jc w:val="both"/>
        <w:rPr>
          <w:bCs/>
          <w:color w:val="002060"/>
          <w:sz w:val="16"/>
          <w:szCs w:val="16"/>
        </w:rPr>
      </w:pPr>
      <w:r w:rsidRPr="00405303">
        <w:rPr>
          <w:bCs/>
          <w:color w:val="002060"/>
          <w:sz w:val="16"/>
          <w:szCs w:val="16"/>
        </w:rPr>
        <w:t xml:space="preserve">Фабрикация взрывчатых смесей на основе аммиачной селитры была организована Химическим комитетом в нескольких мастерских и заводах. </w:t>
      </w:r>
    </w:p>
    <w:p w14:paraId="1B89B0A9" w14:textId="77777777" w:rsidR="004B4E35" w:rsidRPr="00405303" w:rsidRDefault="009E6F82" w:rsidP="00C15251">
      <w:pPr>
        <w:jc w:val="both"/>
        <w:rPr>
          <w:bCs/>
          <w:color w:val="002060"/>
          <w:sz w:val="16"/>
          <w:szCs w:val="16"/>
        </w:rPr>
      </w:pPr>
      <w:r w:rsidRPr="00405303">
        <w:rPr>
          <w:bCs/>
          <w:color w:val="002060"/>
          <w:sz w:val="16"/>
          <w:szCs w:val="16"/>
        </w:rPr>
        <w:t xml:space="preserve">Общее количество заводов, изготовлявших взрывчатые вещества, возросло с февраля 1915 г. по январь 1917 г. с 4 до 28. Общая мощность их по оборудованию в 1917 г. возросла до 218 000 пудов в месяц. Из них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4B4E35" w:rsidRPr="00405303" w14:paraId="71EE7DF7" w14:textId="77777777">
        <w:tc>
          <w:tcPr>
            <w:tcW w:w="1788" w:type="dxa"/>
          </w:tcPr>
          <w:p w14:paraId="0C4AFBAB" w14:textId="77777777" w:rsidR="004B4E35" w:rsidRPr="00405303" w:rsidRDefault="009E6F82" w:rsidP="00C15251">
            <w:pPr>
              <w:jc w:val="both"/>
              <w:rPr>
                <w:bCs/>
                <w:color w:val="002060"/>
                <w:sz w:val="16"/>
                <w:szCs w:val="16"/>
              </w:rPr>
            </w:pPr>
            <w:r w:rsidRPr="00405303">
              <w:rPr>
                <w:bCs/>
                <w:color w:val="002060"/>
                <w:sz w:val="16"/>
                <w:szCs w:val="16"/>
              </w:rPr>
              <w:lastRenderedPageBreak/>
              <w:t>Тротила</w:t>
            </w:r>
          </w:p>
        </w:tc>
        <w:tc>
          <w:tcPr>
            <w:tcW w:w="936" w:type="dxa"/>
          </w:tcPr>
          <w:p w14:paraId="33A59268" w14:textId="77777777" w:rsidR="004B4E35" w:rsidRPr="00405303" w:rsidRDefault="009E6F82" w:rsidP="00C15251">
            <w:pPr>
              <w:jc w:val="both"/>
              <w:rPr>
                <w:bCs/>
                <w:color w:val="002060"/>
                <w:sz w:val="16"/>
                <w:szCs w:val="16"/>
              </w:rPr>
            </w:pPr>
            <w:r w:rsidRPr="00405303">
              <w:rPr>
                <w:bCs/>
                <w:color w:val="002060"/>
                <w:sz w:val="16"/>
                <w:szCs w:val="16"/>
              </w:rPr>
              <w:t xml:space="preserve">52.000 </w:t>
            </w:r>
          </w:p>
        </w:tc>
      </w:tr>
      <w:tr w:rsidR="004B4E35" w:rsidRPr="00405303" w14:paraId="5030FF77" w14:textId="77777777">
        <w:tc>
          <w:tcPr>
            <w:tcW w:w="1788" w:type="dxa"/>
          </w:tcPr>
          <w:p w14:paraId="656352EE" w14:textId="77777777" w:rsidR="004B4E35" w:rsidRPr="00405303" w:rsidRDefault="009E6F82" w:rsidP="00C15251">
            <w:pPr>
              <w:jc w:val="both"/>
              <w:rPr>
                <w:bCs/>
                <w:color w:val="002060"/>
                <w:sz w:val="16"/>
                <w:szCs w:val="16"/>
              </w:rPr>
            </w:pPr>
            <w:r w:rsidRPr="00405303">
              <w:rPr>
                <w:bCs/>
                <w:color w:val="002060"/>
                <w:sz w:val="16"/>
                <w:szCs w:val="16"/>
              </w:rPr>
              <w:t>Пикриновой кислоты</w:t>
            </w:r>
          </w:p>
        </w:tc>
        <w:tc>
          <w:tcPr>
            <w:tcW w:w="936" w:type="dxa"/>
          </w:tcPr>
          <w:p w14:paraId="2E716B60" w14:textId="77777777" w:rsidR="004B4E35" w:rsidRPr="00405303" w:rsidRDefault="009E6F82" w:rsidP="00C15251">
            <w:pPr>
              <w:jc w:val="both"/>
              <w:rPr>
                <w:bCs/>
                <w:color w:val="002060"/>
                <w:sz w:val="16"/>
                <w:szCs w:val="16"/>
              </w:rPr>
            </w:pPr>
            <w:r w:rsidRPr="00405303">
              <w:rPr>
                <w:bCs/>
                <w:color w:val="002060"/>
                <w:sz w:val="16"/>
                <w:szCs w:val="16"/>
              </w:rPr>
              <w:t xml:space="preserve">50.000 </w:t>
            </w:r>
          </w:p>
        </w:tc>
      </w:tr>
      <w:tr w:rsidR="004B4E35" w:rsidRPr="00405303" w14:paraId="553CA1BC" w14:textId="77777777">
        <w:tc>
          <w:tcPr>
            <w:tcW w:w="1788" w:type="dxa"/>
          </w:tcPr>
          <w:p w14:paraId="02C55DEA" w14:textId="77777777" w:rsidR="004B4E35" w:rsidRPr="00405303" w:rsidRDefault="009E6F82" w:rsidP="00C15251">
            <w:pPr>
              <w:jc w:val="both"/>
              <w:rPr>
                <w:bCs/>
                <w:color w:val="002060"/>
                <w:sz w:val="16"/>
                <w:szCs w:val="16"/>
              </w:rPr>
            </w:pPr>
            <w:r w:rsidRPr="00405303">
              <w:rPr>
                <w:bCs/>
                <w:color w:val="002060"/>
                <w:sz w:val="16"/>
                <w:szCs w:val="16"/>
              </w:rPr>
              <w:t>Аммиачной селитры</w:t>
            </w:r>
          </w:p>
        </w:tc>
        <w:tc>
          <w:tcPr>
            <w:tcW w:w="936" w:type="dxa"/>
          </w:tcPr>
          <w:p w14:paraId="68B079C6" w14:textId="77777777" w:rsidR="004B4E35" w:rsidRPr="00405303" w:rsidRDefault="009E6F82" w:rsidP="00C15251">
            <w:pPr>
              <w:jc w:val="both"/>
              <w:rPr>
                <w:bCs/>
                <w:color w:val="002060"/>
                <w:sz w:val="16"/>
                <w:szCs w:val="16"/>
              </w:rPr>
            </w:pPr>
            <w:r w:rsidRPr="00405303">
              <w:rPr>
                <w:bCs/>
                <w:color w:val="002060"/>
                <w:sz w:val="16"/>
                <w:szCs w:val="16"/>
              </w:rPr>
              <w:t xml:space="preserve">60.000 </w:t>
            </w:r>
          </w:p>
        </w:tc>
      </w:tr>
      <w:tr w:rsidR="004B4E35" w:rsidRPr="00405303" w14:paraId="1E186F53" w14:textId="77777777">
        <w:tc>
          <w:tcPr>
            <w:tcW w:w="1788" w:type="dxa"/>
          </w:tcPr>
          <w:p w14:paraId="12157CFF" w14:textId="77777777" w:rsidR="004B4E35" w:rsidRPr="00405303" w:rsidRDefault="009E6F82" w:rsidP="00C15251">
            <w:pPr>
              <w:jc w:val="both"/>
              <w:rPr>
                <w:bCs/>
                <w:color w:val="002060"/>
                <w:sz w:val="16"/>
                <w:szCs w:val="16"/>
              </w:rPr>
            </w:pPr>
            <w:r w:rsidRPr="00405303">
              <w:rPr>
                <w:bCs/>
                <w:color w:val="002060"/>
                <w:sz w:val="16"/>
                <w:szCs w:val="16"/>
              </w:rPr>
              <w:t>Ксилола</w:t>
            </w:r>
          </w:p>
        </w:tc>
        <w:tc>
          <w:tcPr>
            <w:tcW w:w="936" w:type="dxa"/>
          </w:tcPr>
          <w:p w14:paraId="5D68F1FD" w14:textId="77777777" w:rsidR="004B4E35" w:rsidRPr="00405303" w:rsidRDefault="009E6F82" w:rsidP="00C15251">
            <w:pPr>
              <w:jc w:val="both"/>
              <w:rPr>
                <w:bCs/>
                <w:color w:val="002060"/>
                <w:sz w:val="16"/>
                <w:szCs w:val="16"/>
              </w:rPr>
            </w:pPr>
            <w:r w:rsidRPr="00405303">
              <w:rPr>
                <w:bCs/>
                <w:color w:val="002060"/>
                <w:sz w:val="16"/>
                <w:szCs w:val="16"/>
              </w:rPr>
              <w:t xml:space="preserve">9.000 </w:t>
            </w:r>
          </w:p>
        </w:tc>
      </w:tr>
      <w:tr w:rsidR="004B4E35" w:rsidRPr="00405303" w14:paraId="3B9CA214" w14:textId="77777777">
        <w:tc>
          <w:tcPr>
            <w:tcW w:w="1788" w:type="dxa"/>
          </w:tcPr>
          <w:p w14:paraId="2A7372A9" w14:textId="77777777" w:rsidR="004B4E35" w:rsidRPr="00405303" w:rsidRDefault="009E6F82" w:rsidP="00C15251">
            <w:pPr>
              <w:jc w:val="both"/>
              <w:rPr>
                <w:bCs/>
                <w:color w:val="002060"/>
                <w:sz w:val="16"/>
                <w:szCs w:val="16"/>
              </w:rPr>
            </w:pPr>
            <w:r w:rsidRPr="00405303">
              <w:rPr>
                <w:bCs/>
                <w:color w:val="002060"/>
                <w:sz w:val="16"/>
                <w:szCs w:val="16"/>
              </w:rPr>
              <w:t>Динитронафталина</w:t>
            </w:r>
          </w:p>
        </w:tc>
        <w:tc>
          <w:tcPr>
            <w:tcW w:w="936" w:type="dxa"/>
          </w:tcPr>
          <w:p w14:paraId="2A027704" w14:textId="77777777" w:rsidR="004B4E35" w:rsidRPr="00405303" w:rsidRDefault="009E6F82" w:rsidP="00C15251">
            <w:pPr>
              <w:jc w:val="both"/>
              <w:rPr>
                <w:bCs/>
                <w:color w:val="002060"/>
                <w:sz w:val="16"/>
                <w:szCs w:val="16"/>
              </w:rPr>
            </w:pPr>
            <w:r w:rsidRPr="00405303">
              <w:rPr>
                <w:bCs/>
                <w:color w:val="002060"/>
                <w:sz w:val="16"/>
                <w:szCs w:val="16"/>
              </w:rPr>
              <w:t xml:space="preserve">12.000 </w:t>
            </w:r>
          </w:p>
        </w:tc>
      </w:tr>
    </w:tbl>
    <w:p w14:paraId="0302BA01" w14:textId="77777777" w:rsidR="004B4E35" w:rsidRPr="00405303" w:rsidRDefault="009E6F82" w:rsidP="00C15251">
      <w:pPr>
        <w:jc w:val="both"/>
        <w:rPr>
          <w:bCs/>
          <w:color w:val="002060"/>
          <w:sz w:val="16"/>
          <w:szCs w:val="16"/>
        </w:rPr>
      </w:pPr>
      <w:r w:rsidRPr="00405303">
        <w:rPr>
          <w:bCs/>
          <w:color w:val="002060"/>
          <w:sz w:val="16"/>
          <w:szCs w:val="16"/>
        </w:rPr>
        <w:t xml:space="preserve">Фактически эта мощность не была использована полностью. </w:t>
      </w:r>
    </w:p>
    <w:p w14:paraId="1AA65896" w14:textId="77777777" w:rsidR="004B4E35" w:rsidRPr="00405303" w:rsidRDefault="009E6F82" w:rsidP="00C15251">
      <w:pPr>
        <w:jc w:val="both"/>
        <w:rPr>
          <w:bCs/>
          <w:color w:val="002060"/>
          <w:sz w:val="16"/>
          <w:szCs w:val="16"/>
        </w:rPr>
      </w:pPr>
      <w:r w:rsidRPr="00405303">
        <w:rPr>
          <w:bCs/>
          <w:color w:val="002060"/>
          <w:sz w:val="16"/>
          <w:szCs w:val="16"/>
        </w:rPr>
        <w:t xml:space="preserve">Летом 1915 г. определенно выяснилась необходимость организовать производство целого ряда химических продуктов для газовой борьбы с противником. </w:t>
      </w:r>
    </w:p>
    <w:p w14:paraId="7AA12A03" w14:textId="77777777" w:rsidR="004B4E35" w:rsidRPr="00405303" w:rsidRDefault="009E6F82" w:rsidP="00C15251">
      <w:pPr>
        <w:jc w:val="both"/>
        <w:rPr>
          <w:bCs/>
          <w:color w:val="002060"/>
          <w:sz w:val="16"/>
          <w:szCs w:val="16"/>
        </w:rPr>
      </w:pPr>
      <w:r w:rsidRPr="00405303">
        <w:rPr>
          <w:bCs/>
          <w:color w:val="002060"/>
          <w:sz w:val="16"/>
          <w:szCs w:val="16"/>
        </w:rPr>
        <w:t xml:space="preserve">Это дело проводилось с большой энергией и успехом, сначала специально для этой цели организованной Комиссией у[душающих] с[редств], а после Химическим комитетом, куда вошла Комиссия УС. Организации заводского производства предшествовал ряд научных изысканий. </w:t>
      </w:r>
    </w:p>
    <w:p w14:paraId="13D5BCCA" w14:textId="77777777" w:rsidR="004B4E35" w:rsidRPr="00405303" w:rsidRDefault="009E6F82" w:rsidP="00C15251">
      <w:pPr>
        <w:jc w:val="both"/>
        <w:rPr>
          <w:bCs/>
          <w:color w:val="002060"/>
          <w:sz w:val="16"/>
          <w:szCs w:val="16"/>
        </w:rPr>
      </w:pPr>
      <w:r w:rsidRPr="00405303">
        <w:rPr>
          <w:bCs/>
          <w:color w:val="002060"/>
          <w:sz w:val="16"/>
          <w:szCs w:val="16"/>
        </w:rPr>
        <w:t xml:space="preserve">Для выпуска из баллонов принят был сжиженный хлор. Производство было быстро организовано на двух заводах Донецкого бассейна и в период с осени 1915 г. к осени 1916 г. достигло 500-600 пудов в сутки, что вполне покрывало потребность фронта. </w:t>
      </w:r>
    </w:p>
    <w:p w14:paraId="09B84310" w14:textId="77777777" w:rsidR="004B4E35" w:rsidRPr="00405303" w:rsidRDefault="009E6F82" w:rsidP="00C15251">
      <w:pPr>
        <w:jc w:val="both"/>
        <w:rPr>
          <w:bCs/>
          <w:color w:val="002060"/>
          <w:sz w:val="16"/>
          <w:szCs w:val="16"/>
        </w:rPr>
      </w:pPr>
      <w:r w:rsidRPr="00405303">
        <w:rPr>
          <w:bCs/>
          <w:color w:val="002060"/>
          <w:sz w:val="16"/>
          <w:szCs w:val="16"/>
        </w:rPr>
        <w:t xml:space="preserve">Второе вещество, необходимое для баллоновой газовой борьбы, фосген, в России ранее вовсе не вырабатывалось. </w:t>
      </w:r>
    </w:p>
    <w:p w14:paraId="7CF180B2" w14:textId="77777777" w:rsidR="004B4E35" w:rsidRPr="00405303" w:rsidRDefault="009E6F82" w:rsidP="00C15251">
      <w:pPr>
        <w:jc w:val="both"/>
        <w:rPr>
          <w:bCs/>
          <w:color w:val="002060"/>
          <w:sz w:val="16"/>
          <w:szCs w:val="16"/>
        </w:rPr>
      </w:pPr>
      <w:r w:rsidRPr="00405303">
        <w:rPr>
          <w:bCs/>
          <w:color w:val="002060"/>
          <w:sz w:val="16"/>
          <w:szCs w:val="16"/>
        </w:rPr>
        <w:t xml:space="preserve">На это производство оборудовалось пять заводов, из коих один казенный. Из пяти только два своевременно справились с делом. С января по октябрь 1916 г. производство фосгена достигло 600 пудов в месяц. Установка его представляла большие технические трудности. </w:t>
      </w:r>
    </w:p>
    <w:p w14:paraId="57E31C3B" w14:textId="77777777" w:rsidR="004B4E35" w:rsidRPr="00405303" w:rsidRDefault="009E6F82" w:rsidP="00C15251">
      <w:pPr>
        <w:jc w:val="both"/>
        <w:rPr>
          <w:bCs/>
          <w:color w:val="002060"/>
          <w:sz w:val="16"/>
          <w:szCs w:val="16"/>
        </w:rPr>
      </w:pPr>
      <w:r w:rsidRPr="00405303">
        <w:rPr>
          <w:bCs/>
          <w:color w:val="002060"/>
          <w:sz w:val="16"/>
          <w:szCs w:val="16"/>
        </w:rPr>
        <w:t xml:space="preserve">Что касается других удушающих веществ, то Химический комитет поставил следующие производства: </w:t>
      </w:r>
    </w:p>
    <w:p w14:paraId="3EBEEF1B" w14:textId="77777777" w:rsidR="004B4E35" w:rsidRPr="00405303" w:rsidRDefault="009E6F82" w:rsidP="00C15251">
      <w:pPr>
        <w:jc w:val="both"/>
        <w:rPr>
          <w:bCs/>
          <w:color w:val="002060"/>
          <w:sz w:val="16"/>
          <w:szCs w:val="16"/>
        </w:rPr>
      </w:pPr>
      <w:r w:rsidRPr="00405303">
        <w:rPr>
          <w:bCs/>
          <w:color w:val="002060"/>
          <w:sz w:val="16"/>
          <w:szCs w:val="16"/>
        </w:rPr>
        <w:t xml:space="preserve">Хлорпикрин — производство было поставлено на семи заводах. Из них один казенный (Глобинский). По 1 октября 1916 г. изготовлено 21 000 пудов. </w:t>
      </w:r>
    </w:p>
    <w:p w14:paraId="3DE7B953" w14:textId="77777777" w:rsidR="004B4E35" w:rsidRPr="00405303" w:rsidRDefault="009E6F82" w:rsidP="00C15251">
      <w:pPr>
        <w:jc w:val="both"/>
        <w:rPr>
          <w:bCs/>
          <w:color w:val="002060"/>
          <w:sz w:val="16"/>
          <w:szCs w:val="16"/>
        </w:rPr>
      </w:pPr>
      <w:r w:rsidRPr="00405303">
        <w:rPr>
          <w:bCs/>
          <w:color w:val="002060"/>
          <w:sz w:val="16"/>
          <w:szCs w:val="16"/>
        </w:rPr>
        <w:t xml:space="preserve">Хлористый сульфурин и хлористый ангидрид — на одном заводе, до 1 октября 1916 г. выработано: первого 14 000 пудов, а второго 18 000 пудов. </w:t>
      </w:r>
    </w:p>
    <w:p w14:paraId="7DBD68CF" w14:textId="77777777" w:rsidR="004B4E35" w:rsidRPr="00405303" w:rsidRDefault="009E6F82" w:rsidP="00C15251">
      <w:pPr>
        <w:jc w:val="both"/>
        <w:rPr>
          <w:bCs/>
          <w:color w:val="002060"/>
          <w:sz w:val="16"/>
          <w:szCs w:val="16"/>
        </w:rPr>
      </w:pPr>
      <w:r w:rsidRPr="00405303">
        <w:rPr>
          <w:bCs/>
          <w:color w:val="002060"/>
          <w:sz w:val="16"/>
          <w:szCs w:val="16"/>
        </w:rPr>
        <w:t xml:space="preserve">Хлорное олово — на одном заводе, до 1 октября 1916 г. выработано 14 000 пудов. </w:t>
      </w:r>
    </w:p>
    <w:p w14:paraId="666ACE39" w14:textId="77777777" w:rsidR="004B4E35" w:rsidRPr="00405303" w:rsidRDefault="009E6F82" w:rsidP="00C15251">
      <w:pPr>
        <w:jc w:val="both"/>
        <w:rPr>
          <w:bCs/>
          <w:color w:val="002060"/>
          <w:sz w:val="16"/>
          <w:szCs w:val="16"/>
        </w:rPr>
      </w:pPr>
      <w:r w:rsidRPr="00405303">
        <w:rPr>
          <w:bCs/>
          <w:color w:val="002060"/>
          <w:sz w:val="16"/>
          <w:szCs w:val="16"/>
        </w:rPr>
        <w:t xml:space="preserve">Цианистый калий — на одном заводе, за 1916 г. выработано 100 пудов. </w:t>
      </w:r>
    </w:p>
    <w:p w14:paraId="2A7658D2" w14:textId="77777777" w:rsidR="004B4E35" w:rsidRPr="00405303" w:rsidRDefault="009E6F82" w:rsidP="00C15251">
      <w:pPr>
        <w:jc w:val="both"/>
        <w:rPr>
          <w:bCs/>
          <w:color w:val="002060"/>
          <w:sz w:val="16"/>
          <w:szCs w:val="16"/>
        </w:rPr>
      </w:pPr>
      <w:r w:rsidRPr="00405303">
        <w:rPr>
          <w:bCs/>
          <w:color w:val="002060"/>
          <w:sz w:val="16"/>
          <w:szCs w:val="16"/>
        </w:rPr>
        <w:t xml:space="preserve">Хлороформ — на одном заводе, до 1 октября 1916 г. — 300 пудов. </w:t>
      </w:r>
    </w:p>
    <w:p w14:paraId="193A2A49" w14:textId="77777777" w:rsidR="004B4E35" w:rsidRPr="00405303" w:rsidRDefault="009E6F82" w:rsidP="00C15251">
      <w:pPr>
        <w:jc w:val="both"/>
        <w:rPr>
          <w:bCs/>
          <w:color w:val="002060"/>
          <w:sz w:val="16"/>
          <w:szCs w:val="16"/>
        </w:rPr>
      </w:pPr>
      <w:r w:rsidRPr="00405303">
        <w:rPr>
          <w:bCs/>
          <w:color w:val="002060"/>
          <w:sz w:val="16"/>
          <w:szCs w:val="16"/>
        </w:rPr>
        <w:t xml:space="preserve">Хлористый мышьяк — на одном заводе, до 1 октября 1916 г. — 2000 пудов. </w:t>
      </w:r>
    </w:p>
    <w:p w14:paraId="6774FC9F" w14:textId="77777777" w:rsidR="004B4E35" w:rsidRPr="00405303" w:rsidRDefault="009E6F82" w:rsidP="00C15251">
      <w:pPr>
        <w:jc w:val="both"/>
        <w:rPr>
          <w:bCs/>
          <w:color w:val="002060"/>
          <w:sz w:val="16"/>
          <w:szCs w:val="16"/>
        </w:rPr>
      </w:pPr>
      <w:r w:rsidRPr="00405303">
        <w:rPr>
          <w:bCs/>
          <w:color w:val="002060"/>
          <w:sz w:val="16"/>
          <w:szCs w:val="16"/>
        </w:rPr>
        <w:t xml:space="preserve">Для производства бромбензола было установлено, впервые в России, производство брома. </w:t>
      </w:r>
    </w:p>
    <w:p w14:paraId="0E0C5241" w14:textId="77777777" w:rsidR="004B4E35" w:rsidRPr="00405303" w:rsidRDefault="009E6F82" w:rsidP="00C15251">
      <w:pPr>
        <w:jc w:val="both"/>
        <w:rPr>
          <w:bCs/>
          <w:color w:val="002060"/>
          <w:sz w:val="16"/>
          <w:szCs w:val="16"/>
        </w:rPr>
      </w:pPr>
      <w:r w:rsidRPr="00405303">
        <w:rPr>
          <w:bCs/>
          <w:color w:val="002060"/>
          <w:sz w:val="16"/>
          <w:szCs w:val="16"/>
        </w:rPr>
        <w:t xml:space="preserve">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 </w:t>
      </w:r>
    </w:p>
    <w:p w14:paraId="09BC5013" w14:textId="77777777" w:rsidR="004B4E35" w:rsidRPr="00405303" w:rsidRDefault="009E6F82" w:rsidP="00C15251">
      <w:pPr>
        <w:jc w:val="both"/>
        <w:rPr>
          <w:bCs/>
          <w:color w:val="002060"/>
          <w:sz w:val="16"/>
          <w:szCs w:val="16"/>
        </w:rPr>
      </w:pPr>
      <w:r w:rsidRPr="00405303">
        <w:rPr>
          <w:bCs/>
          <w:color w:val="002060"/>
          <w:sz w:val="16"/>
          <w:szCs w:val="16"/>
        </w:rPr>
        <w:t xml:space="preserve">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 </w:t>
      </w:r>
    </w:p>
    <w:p w14:paraId="18588ED2" w14:textId="77777777" w:rsidR="004B4E35" w:rsidRPr="00405303" w:rsidRDefault="009E6F82" w:rsidP="00C15251">
      <w:pPr>
        <w:jc w:val="both"/>
        <w:rPr>
          <w:bCs/>
          <w:color w:val="002060"/>
          <w:sz w:val="16"/>
          <w:szCs w:val="16"/>
        </w:rPr>
      </w:pPr>
      <w:r w:rsidRPr="00405303">
        <w:rPr>
          <w:bCs/>
          <w:color w:val="002060"/>
          <w:sz w:val="16"/>
          <w:szCs w:val="16"/>
        </w:rPr>
        <w:t xml:space="preserve">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 </w:t>
      </w:r>
    </w:p>
    <w:p w14:paraId="186BBE52" w14:textId="77777777" w:rsidR="004B4E35" w:rsidRPr="00405303" w:rsidRDefault="009E6F82" w:rsidP="00C15251">
      <w:pPr>
        <w:jc w:val="both"/>
        <w:rPr>
          <w:bCs/>
          <w:color w:val="002060"/>
          <w:sz w:val="16"/>
          <w:szCs w:val="16"/>
        </w:rPr>
      </w:pPr>
      <w:r w:rsidRPr="00405303">
        <w:rPr>
          <w:bCs/>
          <w:color w:val="002060"/>
          <w:sz w:val="16"/>
          <w:szCs w:val="16"/>
        </w:rPr>
        <w:t xml:space="preserve">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 </w:t>
      </w:r>
    </w:p>
    <w:p w14:paraId="787113D2" w14:textId="77777777" w:rsidR="004B4E35" w:rsidRPr="00405303" w:rsidRDefault="009E6F82" w:rsidP="00C15251">
      <w:pPr>
        <w:jc w:val="both"/>
        <w:rPr>
          <w:bCs/>
          <w:color w:val="002060"/>
          <w:sz w:val="16"/>
          <w:szCs w:val="16"/>
        </w:rPr>
      </w:pPr>
      <w:r w:rsidRPr="00405303">
        <w:rPr>
          <w:bCs/>
          <w:color w:val="002060"/>
          <w:sz w:val="16"/>
          <w:szCs w:val="16"/>
        </w:rPr>
        <w:t xml:space="preserve">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 </w:t>
      </w:r>
    </w:p>
    <w:p w14:paraId="25125CCC" w14:textId="77777777" w:rsidR="004B4E35" w:rsidRPr="00405303" w:rsidRDefault="009E6F82" w:rsidP="00C15251">
      <w:pPr>
        <w:jc w:val="both"/>
        <w:rPr>
          <w:bCs/>
          <w:color w:val="002060"/>
          <w:sz w:val="16"/>
          <w:szCs w:val="16"/>
        </w:rPr>
      </w:pPr>
      <w:r w:rsidRPr="00405303">
        <w:rPr>
          <w:bCs/>
          <w:color w:val="002060"/>
          <w:sz w:val="16"/>
          <w:szCs w:val="16"/>
        </w:rPr>
        <w:t xml:space="preserve">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w:t>
      </w:r>
    </w:p>
    <w:p w14:paraId="4C7EBB2D" w14:textId="77777777" w:rsidR="004B4E35" w:rsidRPr="00405303" w:rsidRDefault="009E6F82" w:rsidP="00C15251">
      <w:pPr>
        <w:jc w:val="both"/>
        <w:rPr>
          <w:bCs/>
          <w:color w:val="002060"/>
          <w:sz w:val="16"/>
          <w:szCs w:val="16"/>
        </w:rPr>
      </w:pPr>
      <w:r w:rsidRPr="00405303">
        <w:rPr>
          <w:bCs/>
          <w:color w:val="002060"/>
          <w:sz w:val="16"/>
          <w:szCs w:val="16"/>
        </w:rPr>
        <w:t>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34DF889C" w14:textId="77777777" w:rsidR="004B4E35" w:rsidRPr="00405303" w:rsidRDefault="009E6F82" w:rsidP="00C15251">
      <w:pPr>
        <w:jc w:val="both"/>
        <w:rPr>
          <w:bCs/>
          <w:color w:val="002060"/>
          <w:sz w:val="16"/>
          <w:szCs w:val="16"/>
        </w:rPr>
      </w:pPr>
      <w:r w:rsidRPr="00405303">
        <w:rPr>
          <w:bCs/>
          <w:color w:val="002060"/>
          <w:sz w:val="16"/>
          <w:szCs w:val="16"/>
        </w:rPr>
        <w:t xml:space="preserve">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7E88ABA6" w14:textId="77777777" w:rsidR="004B4E35" w:rsidRPr="00405303" w:rsidRDefault="009E6F82" w:rsidP="00C15251">
      <w:pPr>
        <w:jc w:val="both"/>
        <w:rPr>
          <w:bCs/>
          <w:color w:val="002060"/>
          <w:sz w:val="16"/>
          <w:szCs w:val="16"/>
        </w:rPr>
      </w:pPr>
      <w:r w:rsidRPr="00405303">
        <w:rPr>
          <w:bCs/>
          <w:color w:val="002060"/>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5C2DFD7C" w14:textId="77777777" w:rsidR="004B4E35" w:rsidRPr="00405303" w:rsidRDefault="009E6F82" w:rsidP="00C15251">
      <w:pPr>
        <w:jc w:val="both"/>
        <w:rPr>
          <w:bCs/>
          <w:color w:val="002060"/>
          <w:sz w:val="16"/>
          <w:szCs w:val="16"/>
        </w:rPr>
      </w:pPr>
      <w:r w:rsidRPr="00405303">
        <w:rPr>
          <w:bCs/>
          <w:color w:val="002060"/>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6B625363" w14:textId="77777777" w:rsidR="004B4E35" w:rsidRPr="00405303" w:rsidRDefault="009E6F82" w:rsidP="00C15251">
      <w:pPr>
        <w:jc w:val="both"/>
        <w:rPr>
          <w:bCs/>
          <w:color w:val="002060"/>
          <w:sz w:val="16"/>
          <w:szCs w:val="16"/>
        </w:rPr>
      </w:pPr>
      <w:r w:rsidRPr="00405303">
        <w:rPr>
          <w:bCs/>
          <w:color w:val="002060"/>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3625F8E6" w14:textId="77777777" w:rsidR="004B4E35" w:rsidRPr="00405303" w:rsidRDefault="004B4E35" w:rsidP="00C15251">
      <w:pPr>
        <w:jc w:val="both"/>
        <w:rPr>
          <w:bCs/>
          <w:i/>
          <w:color w:val="002060"/>
          <w:sz w:val="16"/>
          <w:szCs w:val="16"/>
        </w:rPr>
      </w:pPr>
    </w:p>
    <w:p w14:paraId="3C5D167F" w14:textId="77777777" w:rsidR="004B4E35" w:rsidRPr="00405303" w:rsidRDefault="009E6F82" w:rsidP="00C15251">
      <w:pPr>
        <w:jc w:val="both"/>
        <w:rPr>
          <w:bCs/>
          <w:color w:val="002060"/>
          <w:sz w:val="16"/>
          <w:szCs w:val="16"/>
        </w:rPr>
      </w:pPr>
      <w:r w:rsidRPr="00405303">
        <w:rPr>
          <w:bCs/>
          <w:color w:val="002060"/>
          <w:sz w:val="16"/>
          <w:szCs w:val="16"/>
        </w:rPr>
        <w:t xml:space="preserve">К концу 1915 г. потребность в винтовках русского образца по обстановке войны определялась следующим образом: </w:t>
      </w:r>
    </w:p>
    <w:p w14:paraId="5A34DDBA" w14:textId="77777777" w:rsidR="004B4E35" w:rsidRPr="00405303" w:rsidRDefault="009E6F82" w:rsidP="00C15251">
      <w:pPr>
        <w:jc w:val="both"/>
        <w:rPr>
          <w:bCs/>
          <w:color w:val="002060"/>
          <w:sz w:val="16"/>
          <w:szCs w:val="16"/>
        </w:rPr>
      </w:pPr>
      <w:r w:rsidRPr="00405303">
        <w:rPr>
          <w:bCs/>
          <w:color w:val="002060"/>
          <w:sz w:val="16"/>
          <w:szCs w:val="16"/>
        </w:rPr>
        <w:t>Общая потребность на срок с 1 января 1916 г. по 1 июля 1917 г., то есть на полтора года, исчислена была в 8 300 000 винтовок.</w:t>
      </w:r>
    </w:p>
    <w:p w14:paraId="392B0F5F" w14:textId="77777777" w:rsidR="004B4E35" w:rsidRPr="00405303" w:rsidRDefault="009E6F82" w:rsidP="00C15251">
      <w:pPr>
        <w:jc w:val="both"/>
        <w:rPr>
          <w:bCs/>
          <w:color w:val="002060"/>
          <w:sz w:val="16"/>
          <w:szCs w:val="16"/>
        </w:rPr>
      </w:pPr>
      <w:r w:rsidRPr="00405303">
        <w:rPr>
          <w:bCs/>
          <w:color w:val="002060"/>
          <w:sz w:val="16"/>
          <w:szCs w:val="16"/>
        </w:rPr>
        <w:t xml:space="preserve">В счет этого количества ожидалось получить: </w:t>
      </w:r>
    </w:p>
    <w:p w14:paraId="43F99171" w14:textId="10E69499" w:rsidR="004B4E35" w:rsidRPr="00405303" w:rsidRDefault="009E6F82" w:rsidP="00C15251">
      <w:pPr>
        <w:jc w:val="both"/>
        <w:rPr>
          <w:bCs/>
          <w:color w:val="002060"/>
          <w:sz w:val="16"/>
          <w:szCs w:val="16"/>
        </w:rPr>
      </w:pPr>
      <w:r w:rsidRPr="00405303">
        <w:rPr>
          <w:bCs/>
          <w:color w:val="002060"/>
          <w:sz w:val="16"/>
          <w:szCs w:val="16"/>
        </w:rPr>
        <w:t>от отечественных заводов 2</w:t>
      </w:r>
      <w:r w:rsidR="00DB4D64" w:rsidRPr="00405303">
        <w:rPr>
          <w:bCs/>
          <w:color w:val="002060"/>
          <w:sz w:val="16"/>
          <w:szCs w:val="16"/>
        </w:rPr>
        <w:t xml:space="preserve"> </w:t>
      </w:r>
      <w:r w:rsidRPr="00405303">
        <w:rPr>
          <w:bCs/>
          <w:color w:val="002060"/>
          <w:sz w:val="16"/>
          <w:szCs w:val="16"/>
        </w:rPr>
        <w:t xml:space="preserve">370.000 винтовок, </w:t>
      </w:r>
    </w:p>
    <w:p w14:paraId="584D8566" w14:textId="3108F606" w:rsidR="004B4E35" w:rsidRPr="00405303" w:rsidRDefault="009E6F82" w:rsidP="00C15251">
      <w:pPr>
        <w:jc w:val="both"/>
        <w:rPr>
          <w:bCs/>
          <w:color w:val="002060"/>
          <w:sz w:val="16"/>
          <w:szCs w:val="16"/>
        </w:rPr>
      </w:pPr>
      <w:r w:rsidRPr="00405303">
        <w:rPr>
          <w:bCs/>
          <w:color w:val="002060"/>
          <w:sz w:val="16"/>
          <w:szCs w:val="16"/>
        </w:rPr>
        <w:t>по американским заказам 3</w:t>
      </w:r>
      <w:r w:rsidR="00DB4D64" w:rsidRPr="00405303">
        <w:rPr>
          <w:bCs/>
          <w:color w:val="002060"/>
          <w:sz w:val="16"/>
          <w:szCs w:val="16"/>
        </w:rPr>
        <w:t xml:space="preserve"> </w:t>
      </w:r>
      <w:r w:rsidRPr="00405303">
        <w:rPr>
          <w:bCs/>
          <w:color w:val="002060"/>
          <w:sz w:val="16"/>
          <w:szCs w:val="16"/>
        </w:rPr>
        <w:t xml:space="preserve">300 000 винтовок. </w:t>
      </w:r>
    </w:p>
    <w:p w14:paraId="310382BB"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Таким образом, дефицит определялся в 2 700 000 винтовок, при условии, что все американские заказы будут выполнены и доставлены в Россию непременно в течение первой половины 1916 года. </w:t>
      </w:r>
    </w:p>
    <w:p w14:paraId="6EBB1041" w14:textId="77777777" w:rsidR="004B4E35" w:rsidRPr="00405303" w:rsidRDefault="009E6F82" w:rsidP="00C15251">
      <w:pPr>
        <w:jc w:val="both"/>
        <w:rPr>
          <w:bCs/>
          <w:color w:val="002060"/>
          <w:sz w:val="16"/>
          <w:szCs w:val="16"/>
        </w:rPr>
      </w:pPr>
      <w:r w:rsidRPr="00405303">
        <w:rPr>
          <w:bCs/>
          <w:color w:val="002060"/>
          <w:sz w:val="16"/>
          <w:szCs w:val="16"/>
        </w:rPr>
        <w:t xml:space="preserve">Эта дополнительная потребность в 2 700 000 ружей была сообщена Русскому заготовительному комитету в Америке с тем, чтобы он принял меры к размещению его. По обсуждении вопроса Заготовительный комитет прислал в Петроград ответ, сущность которого сводилось к следующему: </w:t>
      </w:r>
    </w:p>
    <w:p w14:paraId="196B8307" w14:textId="77777777" w:rsidR="004B4E35" w:rsidRPr="00405303" w:rsidRDefault="009E6F82" w:rsidP="00C15251">
      <w:pPr>
        <w:jc w:val="both"/>
        <w:rPr>
          <w:bCs/>
          <w:color w:val="002060"/>
          <w:sz w:val="16"/>
          <w:szCs w:val="16"/>
        </w:rPr>
      </w:pPr>
      <w:r w:rsidRPr="00405303">
        <w:rPr>
          <w:bCs/>
          <w:color w:val="002060"/>
          <w:sz w:val="16"/>
          <w:szCs w:val="16"/>
        </w:rPr>
        <w:t xml:space="preserve">1) заводов, готовых к изготовлению винтовок и свободных от заказов, нет. </w:t>
      </w:r>
    </w:p>
    <w:p w14:paraId="4C8E6F4C" w14:textId="77777777" w:rsidR="004B4E35" w:rsidRPr="00405303" w:rsidRDefault="009E6F82" w:rsidP="00C15251">
      <w:pPr>
        <w:jc w:val="both"/>
        <w:rPr>
          <w:bCs/>
          <w:color w:val="002060"/>
          <w:sz w:val="16"/>
          <w:szCs w:val="16"/>
        </w:rPr>
      </w:pPr>
      <w:r w:rsidRPr="00405303">
        <w:rPr>
          <w:bCs/>
          <w:color w:val="002060"/>
          <w:sz w:val="16"/>
          <w:szCs w:val="16"/>
        </w:rPr>
        <w:t xml:space="preserve">2) все предложения сводятся к организации новых предприятий и постройке новых заводов. </w:t>
      </w:r>
    </w:p>
    <w:p w14:paraId="0F508297" w14:textId="77777777" w:rsidR="004B4E35" w:rsidRPr="00405303" w:rsidRDefault="009E6F82" w:rsidP="00C15251">
      <w:pPr>
        <w:jc w:val="both"/>
        <w:rPr>
          <w:bCs/>
          <w:color w:val="002060"/>
          <w:sz w:val="16"/>
          <w:szCs w:val="16"/>
        </w:rPr>
      </w:pPr>
      <w:r w:rsidRPr="00405303">
        <w:rPr>
          <w:bCs/>
          <w:color w:val="002060"/>
          <w:sz w:val="16"/>
          <w:szCs w:val="16"/>
        </w:rPr>
        <w:t xml:space="preserve">3) опыт выполнения заказов компаниями Вестингауза и Ремингтона указывает, что постановка новых производств требует весьма длительного периода и проходит с большими трудностями и осложнениями. </w:t>
      </w:r>
    </w:p>
    <w:p w14:paraId="1EAE9560" w14:textId="77777777" w:rsidR="004B4E35" w:rsidRPr="00405303" w:rsidRDefault="009E6F82" w:rsidP="00C15251">
      <w:pPr>
        <w:jc w:val="both"/>
        <w:rPr>
          <w:bCs/>
          <w:color w:val="002060"/>
          <w:sz w:val="16"/>
          <w:szCs w:val="16"/>
        </w:rPr>
      </w:pPr>
      <w:r w:rsidRPr="00405303">
        <w:rPr>
          <w:bCs/>
          <w:color w:val="002060"/>
          <w:sz w:val="16"/>
          <w:szCs w:val="16"/>
        </w:rPr>
        <w:t xml:space="preserve">4) идти на устройство новых предприятий — значит заведомо затянуть дело до 1918 г. и не улучшить ни в какой мере баланс по винтовкам в 1916 году. </w:t>
      </w:r>
    </w:p>
    <w:p w14:paraId="2AA55865" w14:textId="77777777" w:rsidR="004B4E35" w:rsidRPr="00405303" w:rsidRDefault="009E6F82" w:rsidP="00C15251">
      <w:pPr>
        <w:jc w:val="both"/>
        <w:rPr>
          <w:bCs/>
          <w:color w:val="002060"/>
          <w:sz w:val="16"/>
          <w:szCs w:val="16"/>
        </w:rPr>
      </w:pPr>
      <w:r w:rsidRPr="00405303">
        <w:rPr>
          <w:bCs/>
          <w:color w:val="002060"/>
          <w:sz w:val="16"/>
          <w:szCs w:val="16"/>
        </w:rPr>
        <w:t xml:space="preserve">5) новые предприятия создали бы лишнюю конкуренцию уже работающим и еще более затруднили бы их положение по части получения рабочих, оборудования, материалов и т. д. </w:t>
      </w:r>
    </w:p>
    <w:p w14:paraId="243CF056" w14:textId="77777777" w:rsidR="004B4E35" w:rsidRPr="00405303" w:rsidRDefault="009E6F82" w:rsidP="00C15251">
      <w:pPr>
        <w:jc w:val="both"/>
        <w:rPr>
          <w:bCs/>
          <w:color w:val="002060"/>
          <w:sz w:val="16"/>
          <w:szCs w:val="16"/>
        </w:rPr>
      </w:pPr>
      <w:r w:rsidRPr="00405303">
        <w:rPr>
          <w:bCs/>
          <w:color w:val="002060"/>
          <w:sz w:val="16"/>
          <w:szCs w:val="16"/>
        </w:rPr>
        <w:t xml:space="preserve">6) единственным выходом является использование уже работающих фирм — Вестингауза и Ремингтона, путем дачи им дополнительных заказов. </w:t>
      </w:r>
    </w:p>
    <w:p w14:paraId="50DCDE52" w14:textId="77777777" w:rsidR="004B4E35" w:rsidRPr="00405303" w:rsidRDefault="009E6F82" w:rsidP="00C15251">
      <w:pPr>
        <w:jc w:val="both"/>
        <w:rPr>
          <w:bCs/>
          <w:color w:val="002060"/>
          <w:sz w:val="16"/>
          <w:szCs w:val="16"/>
        </w:rPr>
      </w:pPr>
      <w:r w:rsidRPr="00405303">
        <w:rPr>
          <w:bCs/>
          <w:color w:val="002060"/>
          <w:sz w:val="16"/>
          <w:szCs w:val="16"/>
        </w:rPr>
        <w:t xml:space="preserve">С этой точкой зрения Заготовительного комитета, хорошо знавшего положение на месте, вполне согласилось военное ведомство и признало необходимым дать заказ, сверх данных уже ранее, на 2 700 000 винтовок названным двум фирмам — Вестингаузу и Ремингтону, с расчетом и условием, что эти винтовки будут сданы непременно не позже 1 мая 1917 года. </w:t>
      </w:r>
    </w:p>
    <w:p w14:paraId="4449C9C7" w14:textId="77777777" w:rsidR="004B4E35" w:rsidRPr="00405303" w:rsidRDefault="009E6F82" w:rsidP="00C15251">
      <w:pPr>
        <w:jc w:val="both"/>
        <w:rPr>
          <w:bCs/>
          <w:color w:val="002060"/>
          <w:sz w:val="16"/>
          <w:szCs w:val="16"/>
        </w:rPr>
      </w:pPr>
      <w:r w:rsidRPr="00405303">
        <w:rPr>
          <w:bCs/>
          <w:color w:val="002060"/>
          <w:sz w:val="16"/>
          <w:szCs w:val="16"/>
        </w:rPr>
        <w:t xml:space="preserve">Однако осуществить эти заказы не удалось: в мае 1916 г. было получено извещение от британского правительства, что оно отказывает в кредите на эти заказы. Впрочем, их все равно и не удалось бы осуществить, как это будет ясно видно дальше. </w:t>
      </w:r>
    </w:p>
    <w:p w14:paraId="5DCEB6E6" w14:textId="77777777" w:rsidR="004B4E35" w:rsidRPr="00405303" w:rsidRDefault="009E6F82" w:rsidP="00C15251">
      <w:pPr>
        <w:jc w:val="both"/>
        <w:rPr>
          <w:bCs/>
          <w:color w:val="002060"/>
          <w:sz w:val="16"/>
          <w:szCs w:val="16"/>
        </w:rPr>
      </w:pPr>
      <w:r w:rsidRPr="00405303">
        <w:rPr>
          <w:bCs/>
          <w:color w:val="002060"/>
          <w:sz w:val="16"/>
          <w:szCs w:val="16"/>
        </w:rPr>
        <w:t xml:space="preserve">Тернистого и трудного пути, которым проходили русские заказы, не миновали и другие государства, поместившие заказы на винтовки на американском рынке. В конце 1916 г. англичане вынуждены были канцелировать Америке ружейные заказы и понесли убытки. То же сделали и французы. Бельгийские заказы также протекали весьма неуспешно, и производство бельгийских маузеров долго не могло выбраться из стадии единичных сдач. </w:t>
      </w:r>
    </w:p>
    <w:p w14:paraId="5E4B8D10" w14:textId="77777777" w:rsidR="004B4E35" w:rsidRPr="00405303" w:rsidRDefault="009E6F82" w:rsidP="00C15251">
      <w:pPr>
        <w:jc w:val="both"/>
        <w:rPr>
          <w:bCs/>
          <w:color w:val="002060"/>
          <w:sz w:val="16"/>
          <w:szCs w:val="16"/>
        </w:rPr>
      </w:pPr>
      <w:r w:rsidRPr="00405303">
        <w:rPr>
          <w:bCs/>
          <w:color w:val="002060"/>
          <w:sz w:val="16"/>
          <w:szCs w:val="16"/>
        </w:rPr>
        <w:t>Ниже даны краткие описания прохождения отдельных заказов на винтовки, в коих указаны наиболее характерные моменты, позволяющие пролить свет на существо военных заграничных заказов вообще и на место, которое они занимают и должны занимать в системе боевого снабжения армии (11329).</w:t>
      </w:r>
    </w:p>
    <w:p w14:paraId="136F9427" w14:textId="77777777" w:rsidR="004B4E35" w:rsidRPr="00405303" w:rsidRDefault="004B4E35" w:rsidP="00C15251">
      <w:pPr>
        <w:jc w:val="both"/>
        <w:rPr>
          <w:bCs/>
          <w:color w:val="002060"/>
          <w:sz w:val="16"/>
          <w:szCs w:val="16"/>
        </w:rPr>
      </w:pPr>
    </w:p>
    <w:p w14:paraId="3A9360E1" w14:textId="42593A3A" w:rsidR="004B4E35" w:rsidRPr="00405303" w:rsidRDefault="002C4482"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конце 1915 г. была организована Комиссия по изысканию и заготовлению удушающих и зажигательных средств при ГАУ. В ее задачу входила научная и производственная разработка отечественного химического оружия и зажигательных средств борьбы. Достижение этой цели также опиралось на химические продукты, производившиеся мирной химической промышленностью (11423).</w:t>
      </w:r>
    </w:p>
    <w:p w14:paraId="42F860DE" w14:textId="77777777" w:rsidR="004B4E35" w:rsidRPr="00405303" w:rsidRDefault="009E6F82" w:rsidP="00C15251">
      <w:pPr>
        <w:jc w:val="both"/>
        <w:rPr>
          <w:bCs/>
          <w:color w:val="002060"/>
          <w:sz w:val="16"/>
          <w:szCs w:val="16"/>
        </w:rPr>
      </w:pPr>
      <w:r w:rsidRPr="00405303">
        <w:rPr>
          <w:bCs/>
          <w:color w:val="002060"/>
          <w:sz w:val="16"/>
          <w:szCs w:val="16"/>
        </w:rPr>
        <w:t>Таким образом, в годы первой мировой войны для обеспечения армии боеприпасами и химическим оружием государство было вынуждено вмешаться в развитие химической отрасли. Деятельность военно-химических заводов оказалась неотделима от предприятий, выпускавших продукцию мирного назначения. Поэтому увеличение продукции военной химии неизбежно вело за собой развитие мирной химической промышленности. Во главе развития этой отрасли стояло Военное министерство России (11423).</w:t>
      </w:r>
    </w:p>
    <w:p w14:paraId="4DA90947" w14:textId="77777777" w:rsidR="004B4E35" w:rsidRPr="00405303" w:rsidRDefault="004B4E35" w:rsidP="00C15251">
      <w:pPr>
        <w:jc w:val="both"/>
        <w:rPr>
          <w:bCs/>
          <w:color w:val="002060"/>
          <w:sz w:val="16"/>
          <w:szCs w:val="16"/>
        </w:rPr>
      </w:pPr>
    </w:p>
    <w:p w14:paraId="68D5C075" w14:textId="741B908B"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конце 1915 же года Лебедев сумел торжественно открыть завод в Ярославле. Учтя проблемы</w:t>
      </w:r>
      <w:r w:rsidR="002C4482" w:rsidRPr="00405303">
        <w:rPr>
          <w:bCs/>
          <w:i w:val="0"/>
          <w:color w:val="002060"/>
          <w:spacing w:val="0"/>
          <w:kern w:val="0"/>
          <w:position w:val="0"/>
          <w:sz w:val="16"/>
          <w:szCs w:val="16"/>
        </w:rPr>
        <w:t>,</w:t>
      </w:r>
      <w:r w:rsidRPr="00405303">
        <w:rPr>
          <w:bCs/>
          <w:i w:val="0"/>
          <w:color w:val="002060"/>
          <w:spacing w:val="0"/>
          <w:kern w:val="0"/>
          <w:position w:val="0"/>
          <w:sz w:val="16"/>
          <w:szCs w:val="16"/>
        </w:rPr>
        <w:t xml:space="preserve"> вставшие перед «Русским Рено», Лебедев сократил производственные площади своего автозавода. Но производительность его так же была далека от заявленных вначале 1500 автомобилей в год. Из-за этого было решено отказаться от выпуска легковых автомобилей (11271).</w:t>
      </w:r>
    </w:p>
    <w:p w14:paraId="6B453646" w14:textId="77777777" w:rsidR="004B4E35" w:rsidRPr="00405303" w:rsidRDefault="004B4E35" w:rsidP="00C15251">
      <w:pPr>
        <w:pStyle w:val="a3"/>
        <w:jc w:val="both"/>
        <w:rPr>
          <w:bCs/>
          <w:i w:val="0"/>
          <w:color w:val="002060"/>
          <w:spacing w:val="0"/>
          <w:kern w:val="0"/>
          <w:position w:val="0"/>
          <w:sz w:val="16"/>
          <w:szCs w:val="16"/>
        </w:rPr>
      </w:pPr>
    </w:p>
    <w:p w14:paraId="593FF93D" w14:textId="77777777" w:rsidR="004B4E35" w:rsidRPr="00405303" w:rsidRDefault="009E6F82" w:rsidP="00C15251">
      <w:pPr>
        <w:jc w:val="both"/>
        <w:rPr>
          <w:bCs/>
          <w:color w:val="002060"/>
          <w:sz w:val="16"/>
          <w:szCs w:val="16"/>
        </w:rPr>
      </w:pPr>
      <w:r w:rsidRPr="00405303">
        <w:rPr>
          <w:bCs/>
          <w:color w:val="002060"/>
          <w:sz w:val="16"/>
          <w:szCs w:val="16"/>
        </w:rPr>
        <w:t>В конце 1915 г. был подготовлен Список промышленных предприятий Петрограда, изготовляющих предметы государственной обороны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483"/>
        <w:gridCol w:w="2285"/>
        <w:gridCol w:w="1162"/>
      </w:tblGrid>
      <w:tr w:rsidR="004B4E35" w:rsidRPr="00405303" w14:paraId="5BA6E596" w14:textId="77777777">
        <w:trPr>
          <w:trHeight w:val="336"/>
        </w:trPr>
        <w:tc>
          <w:tcPr>
            <w:tcW w:w="4483" w:type="dxa"/>
          </w:tcPr>
          <w:p w14:paraId="064982E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[1-й район]</w:t>
            </w:r>
          </w:p>
        </w:tc>
        <w:tc>
          <w:tcPr>
            <w:tcW w:w="2285" w:type="dxa"/>
          </w:tcPr>
          <w:p w14:paraId="4D2EFD41" w14:textId="77777777" w:rsidR="004B4E35" w:rsidRPr="00405303" w:rsidRDefault="004B4E35" w:rsidP="00C15251">
            <w:pPr>
              <w:shd w:val="clear" w:color="auto" w:fill="FFFFFF"/>
              <w:jc w:val="both"/>
              <w:rPr>
                <w:bCs/>
                <w:color w:val="002060"/>
                <w:sz w:val="16"/>
                <w:szCs w:val="16"/>
              </w:rPr>
            </w:pPr>
          </w:p>
        </w:tc>
        <w:tc>
          <w:tcPr>
            <w:tcW w:w="1162" w:type="dxa"/>
          </w:tcPr>
          <w:p w14:paraId="1EB688B2" w14:textId="77777777" w:rsidR="004B4E35" w:rsidRPr="00405303" w:rsidRDefault="004B4E35" w:rsidP="00C15251">
            <w:pPr>
              <w:shd w:val="clear" w:color="auto" w:fill="FFFFFF"/>
              <w:jc w:val="both"/>
              <w:rPr>
                <w:bCs/>
                <w:color w:val="002060"/>
                <w:sz w:val="16"/>
                <w:szCs w:val="16"/>
              </w:rPr>
            </w:pPr>
          </w:p>
        </w:tc>
      </w:tr>
      <w:tr w:rsidR="004B4E35" w:rsidRPr="00405303" w14:paraId="316ED01B" w14:textId="77777777">
        <w:trPr>
          <w:trHeight w:val="336"/>
        </w:trPr>
        <w:tc>
          <w:tcPr>
            <w:tcW w:w="4483" w:type="dxa"/>
          </w:tcPr>
          <w:p w14:paraId="2CC28BE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Завод 1-го Российского т-ва воздухоплавания</w:t>
            </w:r>
          </w:p>
        </w:tc>
        <w:tc>
          <w:tcPr>
            <w:tcW w:w="2285" w:type="dxa"/>
          </w:tcPr>
          <w:p w14:paraId="3E7ED42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Корпусная ул.,3</w:t>
            </w:r>
          </w:p>
        </w:tc>
        <w:tc>
          <w:tcPr>
            <w:tcW w:w="1162" w:type="dxa"/>
          </w:tcPr>
          <w:p w14:paraId="229E63F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600</w:t>
            </w:r>
          </w:p>
        </w:tc>
      </w:tr>
      <w:tr w:rsidR="004B4E35" w:rsidRPr="00405303" w14:paraId="21EDE09E" w14:textId="77777777">
        <w:trPr>
          <w:trHeight w:val="336"/>
        </w:trPr>
        <w:tc>
          <w:tcPr>
            <w:tcW w:w="4483" w:type="dxa"/>
          </w:tcPr>
          <w:p w14:paraId="0332649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Авиационная ф-ка В. В. Слюсаренко</w:t>
            </w:r>
          </w:p>
        </w:tc>
        <w:tc>
          <w:tcPr>
            <w:tcW w:w="2285" w:type="dxa"/>
          </w:tcPr>
          <w:p w14:paraId="3F48D07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Ораниенбаумская, 21</w:t>
            </w:r>
          </w:p>
        </w:tc>
        <w:tc>
          <w:tcPr>
            <w:tcW w:w="1162" w:type="dxa"/>
          </w:tcPr>
          <w:p w14:paraId="67722B2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70</w:t>
            </w:r>
          </w:p>
        </w:tc>
      </w:tr>
      <w:tr w:rsidR="004B4E35" w:rsidRPr="00405303" w14:paraId="314E51D7" w14:textId="77777777">
        <w:trPr>
          <w:trHeight w:val="336"/>
        </w:trPr>
        <w:tc>
          <w:tcPr>
            <w:tcW w:w="4483" w:type="dxa"/>
          </w:tcPr>
          <w:p w14:paraId="3DCECD6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Мебелыю-столярная ф-ка О. Мельцер</w:t>
            </w:r>
          </w:p>
        </w:tc>
        <w:tc>
          <w:tcPr>
            <w:tcW w:w="2285" w:type="dxa"/>
          </w:tcPr>
          <w:p w14:paraId="41AA2D7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Карповка, 27</w:t>
            </w:r>
          </w:p>
        </w:tc>
        <w:tc>
          <w:tcPr>
            <w:tcW w:w="1162" w:type="dxa"/>
          </w:tcPr>
          <w:p w14:paraId="389E707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150</w:t>
            </w:r>
          </w:p>
        </w:tc>
      </w:tr>
      <w:tr w:rsidR="004B4E35" w:rsidRPr="00405303" w14:paraId="00A4EDF1" w14:textId="77777777">
        <w:trPr>
          <w:trHeight w:val="336"/>
        </w:trPr>
        <w:tc>
          <w:tcPr>
            <w:tcW w:w="4483" w:type="dxa"/>
          </w:tcPr>
          <w:p w14:paraId="24A6643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[2-й район]</w:t>
            </w:r>
          </w:p>
        </w:tc>
        <w:tc>
          <w:tcPr>
            <w:tcW w:w="2285" w:type="dxa"/>
          </w:tcPr>
          <w:p w14:paraId="1E5EA9C2" w14:textId="77777777" w:rsidR="004B4E35" w:rsidRPr="00405303" w:rsidRDefault="004B4E35" w:rsidP="00C15251">
            <w:pPr>
              <w:shd w:val="clear" w:color="auto" w:fill="FFFFFF"/>
              <w:jc w:val="both"/>
              <w:rPr>
                <w:bCs/>
                <w:color w:val="002060"/>
                <w:sz w:val="16"/>
                <w:szCs w:val="16"/>
              </w:rPr>
            </w:pPr>
          </w:p>
        </w:tc>
        <w:tc>
          <w:tcPr>
            <w:tcW w:w="1162" w:type="dxa"/>
          </w:tcPr>
          <w:p w14:paraId="30A337EB" w14:textId="77777777" w:rsidR="004B4E35" w:rsidRPr="00405303" w:rsidRDefault="004B4E35" w:rsidP="00C15251">
            <w:pPr>
              <w:shd w:val="clear" w:color="auto" w:fill="FFFFFF"/>
              <w:jc w:val="both"/>
              <w:rPr>
                <w:bCs/>
                <w:color w:val="002060"/>
                <w:sz w:val="16"/>
                <w:szCs w:val="16"/>
              </w:rPr>
            </w:pPr>
          </w:p>
        </w:tc>
      </w:tr>
      <w:tr w:rsidR="004B4E35" w:rsidRPr="00405303" w14:paraId="4CA0EBEC" w14:textId="77777777">
        <w:trPr>
          <w:trHeight w:val="336"/>
        </w:trPr>
        <w:tc>
          <w:tcPr>
            <w:tcW w:w="4483" w:type="dxa"/>
          </w:tcPr>
          <w:p w14:paraId="5248F98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Русско-Балтийский водухоплавательный завод</w:t>
            </w:r>
          </w:p>
        </w:tc>
        <w:tc>
          <w:tcPr>
            <w:tcW w:w="2285" w:type="dxa"/>
          </w:tcPr>
          <w:p w14:paraId="5499E57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Строгановская наб., 1</w:t>
            </w:r>
          </w:p>
        </w:tc>
        <w:tc>
          <w:tcPr>
            <w:tcW w:w="1162" w:type="dxa"/>
          </w:tcPr>
          <w:p w14:paraId="2F04223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350</w:t>
            </w:r>
          </w:p>
        </w:tc>
      </w:tr>
      <w:tr w:rsidR="004B4E35" w:rsidRPr="00405303" w14:paraId="336E58D3" w14:textId="77777777">
        <w:trPr>
          <w:trHeight w:val="336"/>
        </w:trPr>
        <w:tc>
          <w:tcPr>
            <w:tcW w:w="4483" w:type="dxa"/>
          </w:tcPr>
          <w:p w14:paraId="54879E1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Воздухоплавательнй завод акц. о-ва воздухоплавания В. А. Ле</w:t>
            </w:r>
            <w:r w:rsidRPr="00405303">
              <w:rPr>
                <w:bCs/>
                <w:color w:val="002060"/>
                <w:sz w:val="16"/>
                <w:szCs w:val="16"/>
              </w:rPr>
              <w:softHyphen/>
              <w:t>бедев</w:t>
            </w:r>
          </w:p>
        </w:tc>
        <w:tc>
          <w:tcPr>
            <w:tcW w:w="2285" w:type="dxa"/>
          </w:tcPr>
          <w:p w14:paraId="71C7CA2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Комендантский аэродром </w:t>
            </w:r>
          </w:p>
        </w:tc>
        <w:tc>
          <w:tcPr>
            <w:tcW w:w="1162" w:type="dxa"/>
          </w:tcPr>
          <w:p w14:paraId="18A2AA5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800</w:t>
            </w:r>
          </w:p>
        </w:tc>
      </w:tr>
      <w:tr w:rsidR="004B4E35" w:rsidRPr="00405303" w14:paraId="4DC74825" w14:textId="77777777">
        <w:trPr>
          <w:trHeight w:val="336"/>
        </w:trPr>
        <w:tc>
          <w:tcPr>
            <w:tcW w:w="4483" w:type="dxa"/>
          </w:tcPr>
          <w:p w14:paraId="2B52627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[4-й район]</w:t>
            </w:r>
          </w:p>
        </w:tc>
        <w:tc>
          <w:tcPr>
            <w:tcW w:w="2285" w:type="dxa"/>
          </w:tcPr>
          <w:p w14:paraId="1298DBA2" w14:textId="77777777" w:rsidR="004B4E35" w:rsidRPr="00405303" w:rsidRDefault="004B4E35" w:rsidP="00C15251">
            <w:pPr>
              <w:shd w:val="clear" w:color="auto" w:fill="FFFFFF"/>
              <w:jc w:val="both"/>
              <w:rPr>
                <w:bCs/>
                <w:color w:val="002060"/>
                <w:sz w:val="16"/>
                <w:szCs w:val="16"/>
              </w:rPr>
            </w:pPr>
          </w:p>
        </w:tc>
        <w:tc>
          <w:tcPr>
            <w:tcW w:w="1162" w:type="dxa"/>
          </w:tcPr>
          <w:p w14:paraId="0D2E8C41" w14:textId="77777777" w:rsidR="004B4E35" w:rsidRPr="00405303" w:rsidRDefault="004B4E35" w:rsidP="00C15251">
            <w:pPr>
              <w:shd w:val="clear" w:color="auto" w:fill="FFFFFF"/>
              <w:jc w:val="both"/>
              <w:rPr>
                <w:bCs/>
                <w:color w:val="002060"/>
                <w:sz w:val="16"/>
                <w:szCs w:val="16"/>
              </w:rPr>
            </w:pPr>
          </w:p>
        </w:tc>
      </w:tr>
      <w:tr w:rsidR="004B4E35" w:rsidRPr="00405303" w14:paraId="70F9D8FD" w14:textId="77777777">
        <w:trPr>
          <w:trHeight w:val="192"/>
        </w:trPr>
        <w:tc>
          <w:tcPr>
            <w:tcW w:w="4483" w:type="dxa"/>
          </w:tcPr>
          <w:p w14:paraId="7127858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Завод воздушных винтов «Интеграл» В. А. Лебедева</w:t>
            </w:r>
          </w:p>
        </w:tc>
        <w:tc>
          <w:tcPr>
            <w:tcW w:w="2285" w:type="dxa"/>
          </w:tcPr>
          <w:p w14:paraId="143BC22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 5-я лин.,54</w:t>
            </w:r>
          </w:p>
        </w:tc>
        <w:tc>
          <w:tcPr>
            <w:tcW w:w="1162" w:type="dxa"/>
          </w:tcPr>
          <w:p w14:paraId="539407B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90</w:t>
            </w:r>
          </w:p>
        </w:tc>
      </w:tr>
      <w:tr w:rsidR="004B4E35" w:rsidRPr="00405303" w14:paraId="06261609" w14:textId="77777777">
        <w:trPr>
          <w:trHeight w:val="192"/>
        </w:trPr>
        <w:tc>
          <w:tcPr>
            <w:tcW w:w="4483" w:type="dxa"/>
          </w:tcPr>
          <w:p w14:paraId="3C06615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Механические мастерские Русско-Балтийского воздухоплава</w:t>
            </w:r>
            <w:r w:rsidRPr="00405303">
              <w:rPr>
                <w:bCs/>
                <w:color w:val="002060"/>
                <w:sz w:val="16"/>
                <w:szCs w:val="16"/>
              </w:rPr>
              <w:softHyphen/>
              <w:t>тельного завода</w:t>
            </w:r>
          </w:p>
        </w:tc>
        <w:tc>
          <w:tcPr>
            <w:tcW w:w="2285" w:type="dxa"/>
          </w:tcPr>
          <w:p w14:paraId="5BD2059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В.о., 5-я лин., 54 </w:t>
            </w:r>
          </w:p>
        </w:tc>
        <w:tc>
          <w:tcPr>
            <w:tcW w:w="1162" w:type="dxa"/>
          </w:tcPr>
          <w:p w14:paraId="232CBB9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140</w:t>
            </w:r>
          </w:p>
        </w:tc>
      </w:tr>
    </w:tbl>
    <w:p w14:paraId="7E27F9E2" w14:textId="77777777" w:rsidR="004B4E35" w:rsidRPr="00405303" w:rsidRDefault="009E6F82" w:rsidP="00C15251">
      <w:pPr>
        <w:jc w:val="both"/>
        <w:rPr>
          <w:bCs/>
          <w:color w:val="002060"/>
          <w:sz w:val="16"/>
          <w:szCs w:val="16"/>
        </w:rPr>
      </w:pPr>
      <w:r w:rsidRPr="00405303">
        <w:rPr>
          <w:bCs/>
          <w:color w:val="002060"/>
          <w:sz w:val="16"/>
          <w:szCs w:val="16"/>
        </w:rPr>
        <w:t>РГВИА. Ф. 970. Оп. 3. Д. 2025. Л. 11-21 об. Копия (10707).</w:t>
      </w:r>
    </w:p>
    <w:p w14:paraId="5EAA5028" w14:textId="77777777" w:rsidR="004B4E35" w:rsidRPr="00405303" w:rsidRDefault="004B4E35" w:rsidP="00C15251">
      <w:pPr>
        <w:jc w:val="both"/>
        <w:rPr>
          <w:bCs/>
          <w:color w:val="002060"/>
          <w:sz w:val="16"/>
          <w:szCs w:val="16"/>
        </w:rPr>
      </w:pPr>
    </w:p>
    <w:p w14:paraId="46D1EE8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конце 1915 г. был подготовлен Список промышленных предприятий Петрограда, изготовляющих предметы государственной обороны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483"/>
        <w:gridCol w:w="2285"/>
        <w:gridCol w:w="1162"/>
      </w:tblGrid>
      <w:tr w:rsidR="004B4E35" w:rsidRPr="00405303" w14:paraId="29191976" w14:textId="77777777">
        <w:trPr>
          <w:trHeight w:val="336"/>
        </w:trPr>
        <w:tc>
          <w:tcPr>
            <w:tcW w:w="4483" w:type="dxa"/>
          </w:tcPr>
          <w:p w14:paraId="7EB80B9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Название</w:t>
            </w:r>
          </w:p>
        </w:tc>
        <w:tc>
          <w:tcPr>
            <w:tcW w:w="2285" w:type="dxa"/>
          </w:tcPr>
          <w:p w14:paraId="75A10D7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Адрес</w:t>
            </w:r>
          </w:p>
        </w:tc>
        <w:tc>
          <w:tcPr>
            <w:tcW w:w="1162" w:type="dxa"/>
          </w:tcPr>
          <w:p w14:paraId="3E8FAE2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Число рабочих</w:t>
            </w:r>
          </w:p>
        </w:tc>
      </w:tr>
      <w:tr w:rsidR="004B4E35" w:rsidRPr="00405303" w14:paraId="7AEDC5DD" w14:textId="77777777">
        <w:trPr>
          <w:trHeight w:val="336"/>
        </w:trPr>
        <w:tc>
          <w:tcPr>
            <w:tcW w:w="4483" w:type="dxa"/>
          </w:tcPr>
          <w:p w14:paraId="42F2910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[1-й район]</w:t>
            </w:r>
          </w:p>
        </w:tc>
        <w:tc>
          <w:tcPr>
            <w:tcW w:w="2285" w:type="dxa"/>
          </w:tcPr>
          <w:p w14:paraId="6EB33047" w14:textId="77777777" w:rsidR="004B4E35" w:rsidRPr="00405303" w:rsidRDefault="004B4E35" w:rsidP="00C15251">
            <w:pPr>
              <w:shd w:val="clear" w:color="auto" w:fill="FFFFFF"/>
              <w:jc w:val="both"/>
              <w:rPr>
                <w:bCs/>
                <w:color w:val="002060"/>
                <w:sz w:val="16"/>
                <w:szCs w:val="16"/>
              </w:rPr>
            </w:pPr>
          </w:p>
        </w:tc>
        <w:tc>
          <w:tcPr>
            <w:tcW w:w="1162" w:type="dxa"/>
          </w:tcPr>
          <w:p w14:paraId="6B501976" w14:textId="77777777" w:rsidR="004B4E35" w:rsidRPr="00405303" w:rsidRDefault="004B4E35" w:rsidP="00C15251">
            <w:pPr>
              <w:shd w:val="clear" w:color="auto" w:fill="FFFFFF"/>
              <w:jc w:val="both"/>
              <w:rPr>
                <w:bCs/>
                <w:color w:val="002060"/>
                <w:sz w:val="16"/>
                <w:szCs w:val="16"/>
              </w:rPr>
            </w:pPr>
          </w:p>
        </w:tc>
      </w:tr>
      <w:tr w:rsidR="004B4E35" w:rsidRPr="00405303" w14:paraId="723B8A57" w14:textId="77777777">
        <w:trPr>
          <w:trHeight w:val="336"/>
        </w:trPr>
        <w:tc>
          <w:tcPr>
            <w:tcW w:w="4483" w:type="dxa"/>
          </w:tcPr>
          <w:p w14:paraId="0ECCB52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Акционерное общество Петроградского механического и литей</w:t>
            </w:r>
            <w:r w:rsidRPr="00405303">
              <w:rPr>
                <w:bCs/>
                <w:color w:val="002060"/>
                <w:sz w:val="16"/>
                <w:szCs w:val="16"/>
              </w:rPr>
              <w:softHyphen/>
              <w:t>ного завода</w:t>
            </w:r>
          </w:p>
        </w:tc>
        <w:tc>
          <w:tcPr>
            <w:tcW w:w="2285" w:type="dxa"/>
          </w:tcPr>
          <w:p w14:paraId="5E4F965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Петроград, стор., Больш. Спасская, 28</w:t>
            </w:r>
          </w:p>
        </w:tc>
        <w:tc>
          <w:tcPr>
            <w:tcW w:w="1162" w:type="dxa"/>
          </w:tcPr>
          <w:p w14:paraId="2E46EE9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2100</w:t>
            </w:r>
          </w:p>
        </w:tc>
      </w:tr>
      <w:tr w:rsidR="004B4E35" w:rsidRPr="00405303" w14:paraId="42211BD7" w14:textId="77777777">
        <w:trPr>
          <w:trHeight w:val="336"/>
        </w:trPr>
        <w:tc>
          <w:tcPr>
            <w:tcW w:w="4483" w:type="dxa"/>
          </w:tcPr>
          <w:p w14:paraId="71371EF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Электротехнический завод Н. К. Гейслер и К°</w:t>
            </w:r>
          </w:p>
        </w:tc>
        <w:tc>
          <w:tcPr>
            <w:tcW w:w="2285" w:type="dxa"/>
          </w:tcPr>
          <w:p w14:paraId="6AACEBF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Грязная ул., 12</w:t>
            </w:r>
          </w:p>
        </w:tc>
        <w:tc>
          <w:tcPr>
            <w:tcW w:w="1162" w:type="dxa"/>
          </w:tcPr>
          <w:p w14:paraId="06E60A2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1200</w:t>
            </w:r>
          </w:p>
        </w:tc>
      </w:tr>
      <w:tr w:rsidR="004B4E35" w:rsidRPr="00405303" w14:paraId="5D696771" w14:textId="77777777">
        <w:trPr>
          <w:trHeight w:val="336"/>
        </w:trPr>
        <w:tc>
          <w:tcPr>
            <w:tcW w:w="4483" w:type="dxa"/>
          </w:tcPr>
          <w:p w14:paraId="0B35E97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Трикотажная ф-ка акц. о-ва В. П. Керстен</w:t>
            </w:r>
          </w:p>
        </w:tc>
        <w:tc>
          <w:tcPr>
            <w:tcW w:w="2285" w:type="dxa"/>
          </w:tcPr>
          <w:p w14:paraId="2E4B26D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Петр, стор., Б. Спасская, 27</w:t>
            </w:r>
          </w:p>
        </w:tc>
        <w:tc>
          <w:tcPr>
            <w:tcW w:w="1162" w:type="dxa"/>
          </w:tcPr>
          <w:p w14:paraId="141DFC6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2000</w:t>
            </w:r>
          </w:p>
        </w:tc>
      </w:tr>
      <w:tr w:rsidR="004B4E35" w:rsidRPr="00405303" w14:paraId="0DC1507F" w14:textId="77777777">
        <w:trPr>
          <w:trHeight w:val="336"/>
        </w:trPr>
        <w:tc>
          <w:tcPr>
            <w:tcW w:w="4483" w:type="dxa"/>
          </w:tcPr>
          <w:p w14:paraId="2FB23A5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Акц. о-во машиностроительного завода Г. А. Лесснер [старый завод]</w:t>
            </w:r>
          </w:p>
        </w:tc>
        <w:tc>
          <w:tcPr>
            <w:tcW w:w="2285" w:type="dxa"/>
          </w:tcPr>
          <w:p w14:paraId="6374B86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Сампсониевская наб., 3</w:t>
            </w:r>
          </w:p>
        </w:tc>
        <w:tc>
          <w:tcPr>
            <w:tcW w:w="1162" w:type="dxa"/>
          </w:tcPr>
          <w:p w14:paraId="0FD2317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1000</w:t>
            </w:r>
          </w:p>
        </w:tc>
      </w:tr>
      <w:tr w:rsidR="004B4E35" w:rsidRPr="00405303" w14:paraId="6ED5E27E" w14:textId="77777777">
        <w:trPr>
          <w:trHeight w:val="336"/>
        </w:trPr>
        <w:tc>
          <w:tcPr>
            <w:tcW w:w="4483" w:type="dxa"/>
          </w:tcPr>
          <w:p w14:paraId="4C39C19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Акц. о-во машиностроительного завода Людвиг Нобель</w:t>
            </w:r>
          </w:p>
        </w:tc>
        <w:tc>
          <w:tcPr>
            <w:tcW w:w="2285" w:type="dxa"/>
          </w:tcPr>
          <w:p w14:paraId="5EC3E90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Сампсониевскаянаб., 15</w:t>
            </w:r>
          </w:p>
        </w:tc>
        <w:tc>
          <w:tcPr>
            <w:tcW w:w="1162" w:type="dxa"/>
          </w:tcPr>
          <w:p w14:paraId="1CCFE6C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1350</w:t>
            </w:r>
          </w:p>
        </w:tc>
      </w:tr>
      <w:tr w:rsidR="004B4E35" w:rsidRPr="00405303" w14:paraId="08153A7C" w14:textId="77777777">
        <w:trPr>
          <w:trHeight w:val="336"/>
        </w:trPr>
        <w:tc>
          <w:tcPr>
            <w:tcW w:w="4483" w:type="dxa"/>
          </w:tcPr>
          <w:p w14:paraId="1E5EF96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 Сампсониевской бумагопрядильной и ткацкой мануфакту</w:t>
            </w:r>
            <w:r w:rsidRPr="00405303">
              <w:rPr>
                <w:bCs/>
                <w:color w:val="002060"/>
                <w:sz w:val="16"/>
                <w:szCs w:val="16"/>
              </w:rPr>
              <w:softHyphen/>
              <w:t>ры</w:t>
            </w:r>
          </w:p>
        </w:tc>
        <w:tc>
          <w:tcPr>
            <w:tcW w:w="2285" w:type="dxa"/>
          </w:tcPr>
          <w:p w14:paraId="3C93BBF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Баталионныйпер., 1</w:t>
            </w:r>
          </w:p>
        </w:tc>
        <w:tc>
          <w:tcPr>
            <w:tcW w:w="1162" w:type="dxa"/>
          </w:tcPr>
          <w:p w14:paraId="0A9EC5C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1650</w:t>
            </w:r>
          </w:p>
        </w:tc>
      </w:tr>
      <w:tr w:rsidR="004B4E35" w:rsidRPr="00405303" w14:paraId="317CC7AF" w14:textId="77777777">
        <w:trPr>
          <w:trHeight w:val="336"/>
        </w:trPr>
        <w:tc>
          <w:tcPr>
            <w:tcW w:w="4483" w:type="dxa"/>
          </w:tcPr>
          <w:p w14:paraId="3171517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Русское о-во для изготовления снарядов и военных припасов. Снарядный завод</w:t>
            </w:r>
          </w:p>
        </w:tc>
        <w:tc>
          <w:tcPr>
            <w:tcW w:w="2285" w:type="dxa"/>
          </w:tcPr>
          <w:p w14:paraId="634EC80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Выборгскаянаб., 15</w:t>
            </w:r>
          </w:p>
        </w:tc>
        <w:tc>
          <w:tcPr>
            <w:tcW w:w="1162" w:type="dxa"/>
          </w:tcPr>
          <w:p w14:paraId="605B815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1300</w:t>
            </w:r>
          </w:p>
        </w:tc>
      </w:tr>
      <w:tr w:rsidR="004B4E35" w:rsidRPr="00405303" w14:paraId="21C338B4" w14:textId="77777777">
        <w:trPr>
          <w:trHeight w:val="336"/>
        </w:trPr>
        <w:tc>
          <w:tcPr>
            <w:tcW w:w="4483" w:type="dxa"/>
          </w:tcPr>
          <w:p w14:paraId="1B05547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Т-во Невской ниточной мануфактуры. Фабрика «Невка»</w:t>
            </w:r>
          </w:p>
        </w:tc>
        <w:tc>
          <w:tcPr>
            <w:tcW w:w="2285" w:type="dxa"/>
          </w:tcPr>
          <w:p w14:paraId="36858B6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Выборгская наб., 19</w:t>
            </w:r>
          </w:p>
        </w:tc>
        <w:tc>
          <w:tcPr>
            <w:tcW w:w="1162" w:type="dxa"/>
          </w:tcPr>
          <w:p w14:paraId="3C40ECA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2600</w:t>
            </w:r>
          </w:p>
        </w:tc>
      </w:tr>
      <w:tr w:rsidR="004B4E35" w:rsidRPr="00405303" w14:paraId="695ECB54" w14:textId="77777777">
        <w:trPr>
          <w:trHeight w:val="336"/>
        </w:trPr>
        <w:tc>
          <w:tcPr>
            <w:tcW w:w="4483" w:type="dxa"/>
          </w:tcPr>
          <w:p w14:paraId="5963252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Железопрокатный завод Донецке-Юрьевского металлургичес</w:t>
            </w:r>
            <w:r w:rsidRPr="00405303">
              <w:rPr>
                <w:bCs/>
                <w:color w:val="002060"/>
                <w:sz w:val="16"/>
                <w:szCs w:val="16"/>
              </w:rPr>
              <w:softHyphen/>
              <w:t>кого о-ва</w:t>
            </w:r>
          </w:p>
        </w:tc>
        <w:tc>
          <w:tcPr>
            <w:tcW w:w="2285" w:type="dxa"/>
          </w:tcPr>
          <w:p w14:paraId="4B95729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Мал. Зеленина, 7</w:t>
            </w:r>
          </w:p>
        </w:tc>
        <w:tc>
          <w:tcPr>
            <w:tcW w:w="1162" w:type="dxa"/>
          </w:tcPr>
          <w:p w14:paraId="3F598C0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550</w:t>
            </w:r>
          </w:p>
        </w:tc>
      </w:tr>
      <w:tr w:rsidR="004B4E35" w:rsidRPr="00405303" w14:paraId="19F71759" w14:textId="77777777">
        <w:trPr>
          <w:trHeight w:val="336"/>
        </w:trPr>
        <w:tc>
          <w:tcPr>
            <w:tcW w:w="4483" w:type="dxa"/>
          </w:tcPr>
          <w:p w14:paraId="74AB31F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Завод 1-го Российского т-ва воздухоплавания</w:t>
            </w:r>
          </w:p>
        </w:tc>
        <w:tc>
          <w:tcPr>
            <w:tcW w:w="2285" w:type="dxa"/>
          </w:tcPr>
          <w:p w14:paraId="66A9233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Корпусная ул.,3</w:t>
            </w:r>
          </w:p>
        </w:tc>
        <w:tc>
          <w:tcPr>
            <w:tcW w:w="1162" w:type="dxa"/>
          </w:tcPr>
          <w:p w14:paraId="01B8649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600</w:t>
            </w:r>
          </w:p>
        </w:tc>
      </w:tr>
      <w:tr w:rsidR="004B4E35" w:rsidRPr="00405303" w14:paraId="4A140885" w14:textId="77777777">
        <w:trPr>
          <w:trHeight w:val="336"/>
        </w:trPr>
        <w:tc>
          <w:tcPr>
            <w:tcW w:w="4483" w:type="dxa"/>
          </w:tcPr>
          <w:p w14:paraId="374770C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Аккумуляторный завод «Тюдор»</w:t>
            </w:r>
          </w:p>
        </w:tc>
        <w:tc>
          <w:tcPr>
            <w:tcW w:w="2285" w:type="dxa"/>
          </w:tcPr>
          <w:p w14:paraId="4ABF2D2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Улица Грота, 6</w:t>
            </w:r>
          </w:p>
        </w:tc>
        <w:tc>
          <w:tcPr>
            <w:tcW w:w="1162" w:type="dxa"/>
          </w:tcPr>
          <w:p w14:paraId="23352D3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500</w:t>
            </w:r>
          </w:p>
        </w:tc>
      </w:tr>
      <w:tr w:rsidR="004B4E35" w:rsidRPr="00405303" w14:paraId="7D18B65E" w14:textId="77777777">
        <w:trPr>
          <w:trHeight w:val="336"/>
        </w:trPr>
        <w:tc>
          <w:tcPr>
            <w:tcW w:w="4483" w:type="dxa"/>
          </w:tcPr>
          <w:p w14:paraId="7D97ADF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Ткацкая ф-ка акц. о-ва мануфактуры И. А. Воронина, Лютш и Чешер</w:t>
            </w:r>
          </w:p>
        </w:tc>
        <w:tc>
          <w:tcPr>
            <w:tcW w:w="2285" w:type="dxa"/>
          </w:tcPr>
          <w:p w14:paraId="3EFA63F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Петр, стор., Малый просп., 3</w:t>
            </w:r>
          </w:p>
        </w:tc>
        <w:tc>
          <w:tcPr>
            <w:tcW w:w="1162" w:type="dxa"/>
          </w:tcPr>
          <w:p w14:paraId="26D9658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350</w:t>
            </w:r>
          </w:p>
        </w:tc>
      </w:tr>
      <w:tr w:rsidR="004B4E35" w:rsidRPr="00405303" w14:paraId="28A40EB7" w14:textId="77777777">
        <w:trPr>
          <w:trHeight w:val="336"/>
        </w:trPr>
        <w:tc>
          <w:tcPr>
            <w:tcW w:w="4483" w:type="dxa"/>
          </w:tcPr>
          <w:p w14:paraId="38193B8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Ситценабивная ф-ка бр. Леонтьевых</w:t>
            </w:r>
          </w:p>
        </w:tc>
        <w:tc>
          <w:tcPr>
            <w:tcW w:w="2285" w:type="dxa"/>
          </w:tcPr>
          <w:p w14:paraId="3B0E260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Ждановская наб., 31</w:t>
            </w:r>
          </w:p>
        </w:tc>
        <w:tc>
          <w:tcPr>
            <w:tcW w:w="1162" w:type="dxa"/>
          </w:tcPr>
          <w:p w14:paraId="28D5AEE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450</w:t>
            </w:r>
          </w:p>
        </w:tc>
      </w:tr>
      <w:tr w:rsidR="004B4E35" w:rsidRPr="00405303" w14:paraId="731ED7B5" w14:textId="77777777">
        <w:trPr>
          <w:trHeight w:val="336"/>
        </w:trPr>
        <w:tc>
          <w:tcPr>
            <w:tcW w:w="4483" w:type="dxa"/>
          </w:tcPr>
          <w:p w14:paraId="38D555C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Акц. о-во Российской бумагопрядильной мануфактуры К. В. Гергарда</w:t>
            </w:r>
          </w:p>
        </w:tc>
        <w:tc>
          <w:tcPr>
            <w:tcW w:w="2285" w:type="dxa"/>
          </w:tcPr>
          <w:p w14:paraId="6B4972B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Выборгская наб., 11</w:t>
            </w:r>
          </w:p>
        </w:tc>
        <w:tc>
          <w:tcPr>
            <w:tcW w:w="1162" w:type="dxa"/>
          </w:tcPr>
          <w:p w14:paraId="7BC296C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500</w:t>
            </w:r>
          </w:p>
        </w:tc>
      </w:tr>
      <w:tr w:rsidR="004B4E35" w:rsidRPr="00405303" w14:paraId="226EBE32" w14:textId="77777777">
        <w:trPr>
          <w:trHeight w:val="336"/>
        </w:trPr>
        <w:tc>
          <w:tcPr>
            <w:tcW w:w="4483" w:type="dxa"/>
          </w:tcPr>
          <w:p w14:paraId="01463A5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Механический за вод акц. о-ва Лангензипен</w:t>
            </w:r>
          </w:p>
        </w:tc>
        <w:tc>
          <w:tcPr>
            <w:tcW w:w="2285" w:type="dxa"/>
          </w:tcPr>
          <w:p w14:paraId="7E399BC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Каменноостровский, 11</w:t>
            </w:r>
          </w:p>
        </w:tc>
        <w:tc>
          <w:tcPr>
            <w:tcW w:w="1162" w:type="dxa"/>
          </w:tcPr>
          <w:p w14:paraId="031A48F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835</w:t>
            </w:r>
          </w:p>
        </w:tc>
      </w:tr>
      <w:tr w:rsidR="004B4E35" w:rsidRPr="00405303" w14:paraId="362E829C" w14:textId="77777777">
        <w:trPr>
          <w:trHeight w:val="336"/>
        </w:trPr>
        <w:tc>
          <w:tcPr>
            <w:tcW w:w="4483" w:type="dxa"/>
          </w:tcPr>
          <w:p w14:paraId="0D83450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Машиностроительный завод И. А. Семенова</w:t>
            </w:r>
          </w:p>
        </w:tc>
        <w:tc>
          <w:tcPr>
            <w:tcW w:w="2285" w:type="dxa"/>
          </w:tcPr>
          <w:p w14:paraId="7FFD001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Песочная ул.,6</w:t>
            </w:r>
          </w:p>
        </w:tc>
        <w:tc>
          <w:tcPr>
            <w:tcW w:w="1162" w:type="dxa"/>
          </w:tcPr>
          <w:p w14:paraId="27F9D35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535</w:t>
            </w:r>
          </w:p>
        </w:tc>
      </w:tr>
      <w:tr w:rsidR="004B4E35" w:rsidRPr="00405303" w14:paraId="265889E2" w14:textId="77777777">
        <w:trPr>
          <w:trHeight w:val="336"/>
        </w:trPr>
        <w:tc>
          <w:tcPr>
            <w:tcW w:w="4483" w:type="dxa"/>
          </w:tcPr>
          <w:p w14:paraId="31555CC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Завод акц. о-ва электромеханических сооружений, бывш. т-во Дюфлон, Константинович и К°</w:t>
            </w:r>
          </w:p>
        </w:tc>
        <w:tc>
          <w:tcPr>
            <w:tcW w:w="2285" w:type="dxa"/>
          </w:tcPr>
          <w:p w14:paraId="32D4604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Лопухинская ул., 8</w:t>
            </w:r>
          </w:p>
        </w:tc>
        <w:tc>
          <w:tcPr>
            <w:tcW w:w="1162" w:type="dxa"/>
          </w:tcPr>
          <w:p w14:paraId="187D9F6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800</w:t>
            </w:r>
          </w:p>
        </w:tc>
      </w:tr>
      <w:tr w:rsidR="004B4E35" w:rsidRPr="00405303" w14:paraId="0EFE0888" w14:textId="77777777">
        <w:trPr>
          <w:trHeight w:val="336"/>
        </w:trPr>
        <w:tc>
          <w:tcPr>
            <w:tcW w:w="4483" w:type="dxa"/>
          </w:tcPr>
          <w:p w14:paraId="2DAE72A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Завод русс кого о-ва беспро водочных телеграфов и телефонов</w:t>
            </w:r>
          </w:p>
        </w:tc>
        <w:tc>
          <w:tcPr>
            <w:tcW w:w="2285" w:type="dxa"/>
          </w:tcPr>
          <w:p w14:paraId="18722CF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Лопухинская, 14-а</w:t>
            </w:r>
          </w:p>
        </w:tc>
        <w:tc>
          <w:tcPr>
            <w:tcW w:w="1162" w:type="dxa"/>
          </w:tcPr>
          <w:p w14:paraId="6F32E81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200</w:t>
            </w:r>
          </w:p>
        </w:tc>
      </w:tr>
      <w:tr w:rsidR="004B4E35" w:rsidRPr="00405303" w14:paraId="5B3791E9" w14:textId="77777777">
        <w:trPr>
          <w:trHeight w:val="336"/>
        </w:trPr>
        <w:tc>
          <w:tcPr>
            <w:tcW w:w="4483" w:type="dxa"/>
          </w:tcPr>
          <w:p w14:paraId="429A04F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Тюлевая ф-ка Т-ва тюлевой фабрики</w:t>
            </w:r>
          </w:p>
        </w:tc>
        <w:tc>
          <w:tcPr>
            <w:tcW w:w="2285" w:type="dxa"/>
          </w:tcPr>
          <w:p w14:paraId="29BDADC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Петроградская наб., 40-42</w:t>
            </w:r>
          </w:p>
        </w:tc>
        <w:tc>
          <w:tcPr>
            <w:tcW w:w="1162" w:type="dxa"/>
          </w:tcPr>
          <w:p w14:paraId="6CC1A08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70</w:t>
            </w:r>
          </w:p>
        </w:tc>
      </w:tr>
      <w:tr w:rsidR="004B4E35" w:rsidRPr="00405303" w14:paraId="233E5D62" w14:textId="77777777">
        <w:trPr>
          <w:trHeight w:val="336"/>
        </w:trPr>
        <w:tc>
          <w:tcPr>
            <w:tcW w:w="4483" w:type="dxa"/>
          </w:tcPr>
          <w:p w14:paraId="7DE58D0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Хромолитография и фабрика картонажных изделий Т. Киббель</w:t>
            </w:r>
          </w:p>
        </w:tc>
        <w:tc>
          <w:tcPr>
            <w:tcW w:w="2285" w:type="dxa"/>
          </w:tcPr>
          <w:p w14:paraId="6A61442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Больш. Ружейная, 3</w:t>
            </w:r>
          </w:p>
        </w:tc>
        <w:tc>
          <w:tcPr>
            <w:tcW w:w="1162" w:type="dxa"/>
          </w:tcPr>
          <w:p w14:paraId="307F6B2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470</w:t>
            </w:r>
          </w:p>
        </w:tc>
      </w:tr>
      <w:tr w:rsidR="004B4E35" w:rsidRPr="00405303" w14:paraId="0D1CDA19" w14:textId="77777777">
        <w:trPr>
          <w:trHeight w:val="336"/>
        </w:trPr>
        <w:tc>
          <w:tcPr>
            <w:tcW w:w="4483" w:type="dxa"/>
          </w:tcPr>
          <w:p w14:paraId="2A91448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Электромеханический завод М. Д. Шихина</w:t>
            </w:r>
          </w:p>
        </w:tc>
        <w:tc>
          <w:tcPr>
            <w:tcW w:w="2285" w:type="dxa"/>
          </w:tcPr>
          <w:p w14:paraId="21FDE2C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Бол. Гребоцкая, 59</w:t>
            </w:r>
          </w:p>
        </w:tc>
        <w:tc>
          <w:tcPr>
            <w:tcW w:w="1162" w:type="dxa"/>
          </w:tcPr>
          <w:p w14:paraId="23F1C4E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600</w:t>
            </w:r>
          </w:p>
        </w:tc>
      </w:tr>
      <w:tr w:rsidR="004B4E35" w:rsidRPr="00405303" w14:paraId="78692BFA" w14:textId="77777777">
        <w:trPr>
          <w:trHeight w:val="336"/>
        </w:trPr>
        <w:tc>
          <w:tcPr>
            <w:tcW w:w="4483" w:type="dxa"/>
          </w:tcPr>
          <w:p w14:paraId="26E7995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Механический завод Г. М. Нока</w:t>
            </w:r>
          </w:p>
        </w:tc>
        <w:tc>
          <w:tcPr>
            <w:tcW w:w="2285" w:type="dxa"/>
          </w:tcPr>
          <w:p w14:paraId="1DF1A70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Церковная, 17-а</w:t>
            </w:r>
          </w:p>
        </w:tc>
        <w:tc>
          <w:tcPr>
            <w:tcW w:w="1162" w:type="dxa"/>
          </w:tcPr>
          <w:p w14:paraId="5AA1488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600</w:t>
            </w:r>
          </w:p>
        </w:tc>
      </w:tr>
      <w:tr w:rsidR="004B4E35" w:rsidRPr="00405303" w14:paraId="2852C56F" w14:textId="77777777">
        <w:trPr>
          <w:trHeight w:val="336"/>
        </w:trPr>
        <w:tc>
          <w:tcPr>
            <w:tcW w:w="4483" w:type="dxa"/>
          </w:tcPr>
          <w:p w14:paraId="75C8FF1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Механический завод Р. М. Вейтцера</w:t>
            </w:r>
          </w:p>
        </w:tc>
        <w:tc>
          <w:tcPr>
            <w:tcW w:w="2285" w:type="dxa"/>
          </w:tcPr>
          <w:p w14:paraId="3AEF1D8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Каменоостровск., 59</w:t>
            </w:r>
          </w:p>
        </w:tc>
        <w:tc>
          <w:tcPr>
            <w:tcW w:w="1162" w:type="dxa"/>
          </w:tcPr>
          <w:p w14:paraId="024B92F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50</w:t>
            </w:r>
          </w:p>
        </w:tc>
      </w:tr>
      <w:tr w:rsidR="004B4E35" w:rsidRPr="00405303" w14:paraId="536A22EC" w14:textId="77777777">
        <w:trPr>
          <w:trHeight w:val="336"/>
        </w:trPr>
        <w:tc>
          <w:tcPr>
            <w:tcW w:w="4483" w:type="dxa"/>
          </w:tcPr>
          <w:p w14:paraId="0A6CFEC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Авиационная ф-ка В. В. Слюсаренко</w:t>
            </w:r>
          </w:p>
        </w:tc>
        <w:tc>
          <w:tcPr>
            <w:tcW w:w="2285" w:type="dxa"/>
          </w:tcPr>
          <w:p w14:paraId="127705C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Ораниенбаумская, 21</w:t>
            </w:r>
          </w:p>
        </w:tc>
        <w:tc>
          <w:tcPr>
            <w:tcW w:w="1162" w:type="dxa"/>
          </w:tcPr>
          <w:p w14:paraId="7B24F22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70</w:t>
            </w:r>
          </w:p>
        </w:tc>
      </w:tr>
      <w:tr w:rsidR="004B4E35" w:rsidRPr="00405303" w14:paraId="7C5F463C" w14:textId="77777777">
        <w:trPr>
          <w:trHeight w:val="336"/>
        </w:trPr>
        <w:tc>
          <w:tcPr>
            <w:tcW w:w="4483" w:type="dxa"/>
          </w:tcPr>
          <w:p w14:paraId="29CA9B7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Ящичная ф-ка Н. П. Маркова</w:t>
            </w:r>
          </w:p>
        </w:tc>
        <w:tc>
          <w:tcPr>
            <w:tcW w:w="2285" w:type="dxa"/>
          </w:tcPr>
          <w:p w14:paraId="5CBAF50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Лодейнопольская, 6</w:t>
            </w:r>
          </w:p>
        </w:tc>
        <w:tc>
          <w:tcPr>
            <w:tcW w:w="1162" w:type="dxa"/>
          </w:tcPr>
          <w:p w14:paraId="0B55F9D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150</w:t>
            </w:r>
          </w:p>
        </w:tc>
      </w:tr>
      <w:tr w:rsidR="004B4E35" w:rsidRPr="00405303" w14:paraId="4158EF13" w14:textId="77777777">
        <w:trPr>
          <w:trHeight w:val="336"/>
        </w:trPr>
        <w:tc>
          <w:tcPr>
            <w:tcW w:w="4483" w:type="dxa"/>
          </w:tcPr>
          <w:p w14:paraId="6E16596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Мастерская Северного технического т-ва</w:t>
            </w:r>
          </w:p>
        </w:tc>
        <w:tc>
          <w:tcPr>
            <w:tcW w:w="2285" w:type="dxa"/>
          </w:tcPr>
          <w:p w14:paraId="6A712DD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Ординарная ул., 3-а</w:t>
            </w:r>
          </w:p>
        </w:tc>
        <w:tc>
          <w:tcPr>
            <w:tcW w:w="1162" w:type="dxa"/>
          </w:tcPr>
          <w:p w14:paraId="12F7A3F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80</w:t>
            </w:r>
          </w:p>
        </w:tc>
      </w:tr>
      <w:tr w:rsidR="004B4E35" w:rsidRPr="00405303" w14:paraId="59668789" w14:textId="77777777">
        <w:trPr>
          <w:trHeight w:val="336"/>
        </w:trPr>
        <w:tc>
          <w:tcPr>
            <w:tcW w:w="4483" w:type="dxa"/>
          </w:tcPr>
          <w:p w14:paraId="0BD8914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Оптическая ф-ка Е. Краус</w:t>
            </w:r>
          </w:p>
        </w:tc>
        <w:tc>
          <w:tcPr>
            <w:tcW w:w="2285" w:type="dxa"/>
          </w:tcPr>
          <w:p w14:paraId="0E4A47C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Резная ул.,9</w:t>
            </w:r>
          </w:p>
        </w:tc>
        <w:tc>
          <w:tcPr>
            <w:tcW w:w="1162" w:type="dxa"/>
          </w:tcPr>
          <w:p w14:paraId="52B0883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w:t>
            </w:r>
          </w:p>
        </w:tc>
      </w:tr>
      <w:tr w:rsidR="004B4E35" w:rsidRPr="00405303" w14:paraId="1866CE27" w14:textId="77777777">
        <w:trPr>
          <w:trHeight w:val="336"/>
        </w:trPr>
        <w:tc>
          <w:tcPr>
            <w:tcW w:w="4483" w:type="dxa"/>
          </w:tcPr>
          <w:p w14:paraId="4D6A7FA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Химический завод Р. Г.Людке</w:t>
            </w:r>
          </w:p>
        </w:tc>
        <w:tc>
          <w:tcPr>
            <w:tcW w:w="2285" w:type="dxa"/>
          </w:tcPr>
          <w:p w14:paraId="09AF8D8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Ординарная, 19</w:t>
            </w:r>
          </w:p>
        </w:tc>
        <w:tc>
          <w:tcPr>
            <w:tcW w:w="1162" w:type="dxa"/>
          </w:tcPr>
          <w:p w14:paraId="2ED40F9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18</w:t>
            </w:r>
          </w:p>
        </w:tc>
      </w:tr>
      <w:tr w:rsidR="004B4E35" w:rsidRPr="00405303" w14:paraId="4EBCCCBF" w14:textId="77777777">
        <w:trPr>
          <w:trHeight w:val="336"/>
        </w:trPr>
        <w:tc>
          <w:tcPr>
            <w:tcW w:w="4483" w:type="dxa"/>
          </w:tcPr>
          <w:p w14:paraId="3AFF6DC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Ф-кат-ва Нарвской льнопрядильной мануфактуры</w:t>
            </w:r>
          </w:p>
        </w:tc>
        <w:tc>
          <w:tcPr>
            <w:tcW w:w="2285" w:type="dxa"/>
          </w:tcPr>
          <w:p w14:paraId="742373A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Бармалеева, 37</w:t>
            </w:r>
          </w:p>
        </w:tc>
        <w:tc>
          <w:tcPr>
            <w:tcW w:w="1162" w:type="dxa"/>
          </w:tcPr>
          <w:p w14:paraId="0F190AB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43</w:t>
            </w:r>
          </w:p>
        </w:tc>
      </w:tr>
      <w:tr w:rsidR="004B4E35" w:rsidRPr="00405303" w14:paraId="46115FDA" w14:textId="77777777">
        <w:trPr>
          <w:trHeight w:val="336"/>
        </w:trPr>
        <w:tc>
          <w:tcPr>
            <w:tcW w:w="4483" w:type="dxa"/>
          </w:tcPr>
          <w:p w14:paraId="3C07930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Канатная ф- ка Т- ва Гот</w:t>
            </w:r>
          </w:p>
        </w:tc>
        <w:tc>
          <w:tcPr>
            <w:tcW w:w="2285" w:type="dxa"/>
          </w:tcPr>
          <w:p w14:paraId="09A1477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Петровский пр., 6</w:t>
            </w:r>
          </w:p>
        </w:tc>
        <w:tc>
          <w:tcPr>
            <w:tcW w:w="1162" w:type="dxa"/>
          </w:tcPr>
          <w:p w14:paraId="0B408A9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152</w:t>
            </w:r>
          </w:p>
        </w:tc>
      </w:tr>
      <w:tr w:rsidR="004B4E35" w:rsidRPr="00405303" w14:paraId="03D5BA66" w14:textId="77777777">
        <w:trPr>
          <w:trHeight w:val="336"/>
        </w:trPr>
        <w:tc>
          <w:tcPr>
            <w:tcW w:w="4483" w:type="dxa"/>
          </w:tcPr>
          <w:p w14:paraId="2397135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Завод Т-ва тиглей Моргана</w:t>
            </w:r>
          </w:p>
        </w:tc>
        <w:tc>
          <w:tcPr>
            <w:tcW w:w="2285" w:type="dxa"/>
          </w:tcPr>
          <w:p w14:paraId="75CE1F6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Выборгскаянаб., 13-12</w:t>
            </w:r>
          </w:p>
        </w:tc>
        <w:tc>
          <w:tcPr>
            <w:tcW w:w="1162" w:type="dxa"/>
          </w:tcPr>
          <w:p w14:paraId="7F97F66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110</w:t>
            </w:r>
          </w:p>
        </w:tc>
      </w:tr>
      <w:tr w:rsidR="004B4E35" w:rsidRPr="00405303" w14:paraId="1FD9ECBD" w14:textId="77777777">
        <w:trPr>
          <w:trHeight w:val="336"/>
        </w:trPr>
        <w:tc>
          <w:tcPr>
            <w:tcW w:w="4483" w:type="dxa"/>
          </w:tcPr>
          <w:p w14:paraId="395C85D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Роченсальмская м-ра Акц. о-ва м-ры И. А. Воронина, Лютш и Чешер</w:t>
            </w:r>
          </w:p>
        </w:tc>
        <w:tc>
          <w:tcPr>
            <w:tcW w:w="2285" w:type="dxa"/>
          </w:tcPr>
          <w:p w14:paraId="2D87581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Роченсальмский пер., 5</w:t>
            </w:r>
          </w:p>
        </w:tc>
        <w:tc>
          <w:tcPr>
            <w:tcW w:w="1162" w:type="dxa"/>
          </w:tcPr>
          <w:p w14:paraId="3C4AE25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100</w:t>
            </w:r>
          </w:p>
        </w:tc>
      </w:tr>
      <w:tr w:rsidR="004B4E35" w:rsidRPr="00405303" w14:paraId="27697B7C" w14:textId="77777777">
        <w:trPr>
          <w:trHeight w:val="336"/>
        </w:trPr>
        <w:tc>
          <w:tcPr>
            <w:tcW w:w="4483" w:type="dxa"/>
          </w:tcPr>
          <w:p w14:paraId="065BCCE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Ф-ка шорно-седельных, парусиновых и кожевенных изделий 3. О. Пайор</w:t>
            </w:r>
          </w:p>
        </w:tc>
        <w:tc>
          <w:tcPr>
            <w:tcW w:w="2285" w:type="dxa"/>
          </w:tcPr>
          <w:p w14:paraId="0AD177C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Мал. Дворянская, 19</w:t>
            </w:r>
          </w:p>
        </w:tc>
        <w:tc>
          <w:tcPr>
            <w:tcW w:w="1162" w:type="dxa"/>
          </w:tcPr>
          <w:p w14:paraId="20EC619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170</w:t>
            </w:r>
          </w:p>
        </w:tc>
      </w:tr>
      <w:tr w:rsidR="004B4E35" w:rsidRPr="00405303" w14:paraId="15B12C35" w14:textId="77777777">
        <w:trPr>
          <w:trHeight w:val="336"/>
        </w:trPr>
        <w:tc>
          <w:tcPr>
            <w:tcW w:w="4483" w:type="dxa"/>
          </w:tcPr>
          <w:p w14:paraId="14B3076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Ф-ка калильных сеток «Триумф» Л. Я. Можейко</w:t>
            </w:r>
          </w:p>
        </w:tc>
        <w:tc>
          <w:tcPr>
            <w:tcW w:w="2285" w:type="dxa"/>
          </w:tcPr>
          <w:p w14:paraId="333005F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Песочная ул., 7</w:t>
            </w:r>
          </w:p>
        </w:tc>
        <w:tc>
          <w:tcPr>
            <w:tcW w:w="1162" w:type="dxa"/>
          </w:tcPr>
          <w:p w14:paraId="546083E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25</w:t>
            </w:r>
          </w:p>
        </w:tc>
      </w:tr>
      <w:tr w:rsidR="004B4E35" w:rsidRPr="00405303" w14:paraId="28FC0919" w14:textId="77777777">
        <w:trPr>
          <w:trHeight w:val="336"/>
        </w:trPr>
        <w:tc>
          <w:tcPr>
            <w:tcW w:w="4483" w:type="dxa"/>
          </w:tcPr>
          <w:p w14:paraId="48F9A75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Мебелыю-столярная ф-ка О. Мельцер</w:t>
            </w:r>
          </w:p>
        </w:tc>
        <w:tc>
          <w:tcPr>
            <w:tcW w:w="2285" w:type="dxa"/>
          </w:tcPr>
          <w:p w14:paraId="2C94EC3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Карповка, 27</w:t>
            </w:r>
          </w:p>
        </w:tc>
        <w:tc>
          <w:tcPr>
            <w:tcW w:w="1162" w:type="dxa"/>
          </w:tcPr>
          <w:p w14:paraId="6837351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150</w:t>
            </w:r>
          </w:p>
        </w:tc>
      </w:tr>
      <w:tr w:rsidR="004B4E35" w:rsidRPr="00405303" w14:paraId="7CE782FA" w14:textId="77777777">
        <w:trPr>
          <w:trHeight w:val="336"/>
        </w:trPr>
        <w:tc>
          <w:tcPr>
            <w:tcW w:w="4483" w:type="dxa"/>
          </w:tcPr>
          <w:p w14:paraId="67F5CCD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Слесарно-механическая мастерская М. Ф. Юдина</w:t>
            </w:r>
          </w:p>
        </w:tc>
        <w:tc>
          <w:tcPr>
            <w:tcW w:w="2285" w:type="dxa"/>
          </w:tcPr>
          <w:p w14:paraId="5BC015E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Лицейская, 11</w:t>
            </w:r>
          </w:p>
        </w:tc>
        <w:tc>
          <w:tcPr>
            <w:tcW w:w="1162" w:type="dxa"/>
          </w:tcPr>
          <w:p w14:paraId="7314B81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25</w:t>
            </w:r>
          </w:p>
        </w:tc>
      </w:tr>
      <w:tr w:rsidR="004B4E35" w:rsidRPr="00405303" w14:paraId="16E79D57" w14:textId="77777777">
        <w:trPr>
          <w:trHeight w:val="336"/>
        </w:trPr>
        <w:tc>
          <w:tcPr>
            <w:tcW w:w="4483" w:type="dxa"/>
          </w:tcPr>
          <w:p w14:paraId="5898A03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Слесарно-механическая мастерская О. М. Котконкаллио</w:t>
            </w:r>
          </w:p>
        </w:tc>
        <w:tc>
          <w:tcPr>
            <w:tcW w:w="2285" w:type="dxa"/>
          </w:tcPr>
          <w:p w14:paraId="724821E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Бол. Вульфоваул., 23</w:t>
            </w:r>
          </w:p>
        </w:tc>
        <w:tc>
          <w:tcPr>
            <w:tcW w:w="1162" w:type="dxa"/>
          </w:tcPr>
          <w:p w14:paraId="544930F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25</w:t>
            </w:r>
          </w:p>
        </w:tc>
      </w:tr>
      <w:tr w:rsidR="004B4E35" w:rsidRPr="00405303" w14:paraId="10B6AD05" w14:textId="77777777">
        <w:trPr>
          <w:trHeight w:val="336"/>
        </w:trPr>
        <w:tc>
          <w:tcPr>
            <w:tcW w:w="4483" w:type="dxa"/>
          </w:tcPr>
          <w:p w14:paraId="4E8BDBE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Слесарно-механическая мастерская Ф. Р. Петракова</w:t>
            </w:r>
          </w:p>
        </w:tc>
        <w:tc>
          <w:tcPr>
            <w:tcW w:w="2285" w:type="dxa"/>
          </w:tcPr>
          <w:p w14:paraId="667F5FA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Бол. Дворянская, 28</w:t>
            </w:r>
          </w:p>
        </w:tc>
        <w:tc>
          <w:tcPr>
            <w:tcW w:w="1162" w:type="dxa"/>
          </w:tcPr>
          <w:p w14:paraId="3F85F28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w:t>
            </w:r>
          </w:p>
        </w:tc>
      </w:tr>
      <w:tr w:rsidR="004B4E35" w:rsidRPr="00405303" w14:paraId="27D978C1" w14:textId="77777777">
        <w:trPr>
          <w:trHeight w:val="336"/>
        </w:trPr>
        <w:tc>
          <w:tcPr>
            <w:tcW w:w="4483" w:type="dxa"/>
          </w:tcPr>
          <w:p w14:paraId="4B184938" w14:textId="77777777" w:rsidR="004B4E35" w:rsidRPr="00405303" w:rsidRDefault="009E6F82" w:rsidP="00C15251">
            <w:pPr>
              <w:shd w:val="clear" w:color="auto" w:fill="FFFFFF"/>
              <w:jc w:val="both"/>
              <w:rPr>
                <w:bCs/>
                <w:color w:val="002060"/>
                <w:sz w:val="16"/>
                <w:szCs w:val="16"/>
              </w:rPr>
            </w:pPr>
            <w:proofErr w:type="gramStart"/>
            <w:r w:rsidRPr="00405303">
              <w:rPr>
                <w:bCs/>
                <w:color w:val="002060"/>
                <w:sz w:val="16"/>
                <w:szCs w:val="16"/>
              </w:rPr>
              <w:t>За вод</w:t>
            </w:r>
            <w:proofErr w:type="gramEnd"/>
            <w:r w:rsidRPr="00405303">
              <w:rPr>
                <w:bCs/>
                <w:color w:val="002060"/>
                <w:sz w:val="16"/>
                <w:szCs w:val="16"/>
              </w:rPr>
              <w:t xml:space="preserve"> телеграфных и телефонных аппаратов «К. Лоренц», вла делец О. Трейлин, ныне мастерская Офицерской электро технической школы</w:t>
            </w:r>
          </w:p>
        </w:tc>
        <w:tc>
          <w:tcPr>
            <w:tcW w:w="2285" w:type="dxa"/>
          </w:tcPr>
          <w:p w14:paraId="7DBDD03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Бол. Монетная, 16</w:t>
            </w:r>
          </w:p>
        </w:tc>
        <w:tc>
          <w:tcPr>
            <w:tcW w:w="1162" w:type="dxa"/>
          </w:tcPr>
          <w:p w14:paraId="75E9DD3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75</w:t>
            </w:r>
          </w:p>
        </w:tc>
      </w:tr>
      <w:tr w:rsidR="004B4E35" w:rsidRPr="00405303" w14:paraId="28C332EA" w14:textId="77777777">
        <w:trPr>
          <w:trHeight w:val="336"/>
        </w:trPr>
        <w:tc>
          <w:tcPr>
            <w:tcW w:w="4483" w:type="dxa"/>
          </w:tcPr>
          <w:p w14:paraId="5CFA46D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Завод телескопических мачт т-ва инженеров Л. Фаянс и К. Ширлен, под фирмой «Мачта-Фаянс»</w:t>
            </w:r>
          </w:p>
        </w:tc>
        <w:tc>
          <w:tcPr>
            <w:tcW w:w="2285" w:type="dxa"/>
          </w:tcPr>
          <w:p w14:paraId="087DD32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Мал. Дворянская, 19</w:t>
            </w:r>
          </w:p>
        </w:tc>
        <w:tc>
          <w:tcPr>
            <w:tcW w:w="1162" w:type="dxa"/>
          </w:tcPr>
          <w:p w14:paraId="5E1A0F2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w:t>
            </w:r>
          </w:p>
        </w:tc>
      </w:tr>
      <w:tr w:rsidR="004B4E35" w:rsidRPr="00405303" w14:paraId="7C9C221B" w14:textId="77777777">
        <w:trPr>
          <w:trHeight w:val="336"/>
        </w:trPr>
        <w:tc>
          <w:tcPr>
            <w:tcW w:w="4483" w:type="dxa"/>
          </w:tcPr>
          <w:p w14:paraId="6385114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Петроградский механический завод Сиракузова и инжен. Мей ера</w:t>
            </w:r>
          </w:p>
        </w:tc>
        <w:tc>
          <w:tcPr>
            <w:tcW w:w="2285" w:type="dxa"/>
          </w:tcPr>
          <w:p w14:paraId="02F3A0B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Бол. Дворянская, 34</w:t>
            </w:r>
          </w:p>
        </w:tc>
        <w:tc>
          <w:tcPr>
            <w:tcW w:w="1162" w:type="dxa"/>
          </w:tcPr>
          <w:p w14:paraId="5769458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w:t>
            </w:r>
          </w:p>
        </w:tc>
      </w:tr>
      <w:tr w:rsidR="004B4E35" w:rsidRPr="00405303" w14:paraId="00EA7015" w14:textId="77777777">
        <w:trPr>
          <w:trHeight w:val="336"/>
        </w:trPr>
        <w:tc>
          <w:tcPr>
            <w:tcW w:w="4483" w:type="dxa"/>
          </w:tcPr>
          <w:p w14:paraId="0CD5582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Показательная мастерская для металлизации по способу М. И. Шоопа, русского акционерногоо-ва«Металлизатор»</w:t>
            </w:r>
          </w:p>
        </w:tc>
        <w:tc>
          <w:tcPr>
            <w:tcW w:w="2285" w:type="dxa"/>
          </w:tcPr>
          <w:p w14:paraId="6FA38AD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Песочная ул., 7</w:t>
            </w:r>
          </w:p>
        </w:tc>
        <w:tc>
          <w:tcPr>
            <w:tcW w:w="1162" w:type="dxa"/>
          </w:tcPr>
          <w:p w14:paraId="7012163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w:t>
            </w:r>
          </w:p>
        </w:tc>
      </w:tr>
      <w:tr w:rsidR="004B4E35" w:rsidRPr="00405303" w14:paraId="0887CD58" w14:textId="77777777">
        <w:trPr>
          <w:trHeight w:val="336"/>
        </w:trPr>
        <w:tc>
          <w:tcPr>
            <w:tcW w:w="4483" w:type="dxa"/>
          </w:tcPr>
          <w:p w14:paraId="3CDA891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Автомобильная мастерская акц. о-ва Скания-Вабис, ныне Ав томобил ьной роты</w:t>
            </w:r>
          </w:p>
        </w:tc>
        <w:tc>
          <w:tcPr>
            <w:tcW w:w="2285" w:type="dxa"/>
          </w:tcPr>
          <w:p w14:paraId="26CAA27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Мал. Дворянская, 21</w:t>
            </w:r>
          </w:p>
        </w:tc>
        <w:tc>
          <w:tcPr>
            <w:tcW w:w="1162" w:type="dxa"/>
          </w:tcPr>
          <w:p w14:paraId="46C82D8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40</w:t>
            </w:r>
          </w:p>
        </w:tc>
      </w:tr>
      <w:tr w:rsidR="004B4E35" w:rsidRPr="00405303" w14:paraId="6DCABE4E" w14:textId="77777777">
        <w:trPr>
          <w:trHeight w:val="336"/>
        </w:trPr>
        <w:tc>
          <w:tcPr>
            <w:tcW w:w="4483" w:type="dxa"/>
          </w:tcPr>
          <w:p w14:paraId="5CDD640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Ф-ка серебряных изделий бр. Грачевых</w:t>
            </w:r>
          </w:p>
        </w:tc>
        <w:tc>
          <w:tcPr>
            <w:tcW w:w="2285" w:type="dxa"/>
          </w:tcPr>
          <w:p w14:paraId="3452A60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Певческий пер., 14</w:t>
            </w:r>
          </w:p>
        </w:tc>
        <w:tc>
          <w:tcPr>
            <w:tcW w:w="1162" w:type="dxa"/>
          </w:tcPr>
          <w:p w14:paraId="61B8135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w:t>
            </w:r>
          </w:p>
        </w:tc>
      </w:tr>
      <w:tr w:rsidR="004B4E35" w:rsidRPr="00405303" w14:paraId="5FCF29FD" w14:textId="77777777">
        <w:trPr>
          <w:trHeight w:val="336"/>
        </w:trPr>
        <w:tc>
          <w:tcPr>
            <w:tcW w:w="4483" w:type="dxa"/>
          </w:tcPr>
          <w:p w14:paraId="15F39E0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Завод газовых аккумуляторов акц. о-ва «Ромэргаз»</w:t>
            </w:r>
          </w:p>
        </w:tc>
        <w:tc>
          <w:tcPr>
            <w:tcW w:w="2285" w:type="dxa"/>
          </w:tcPr>
          <w:p w14:paraId="3E02A81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Лопухинская,8-б</w:t>
            </w:r>
          </w:p>
        </w:tc>
        <w:tc>
          <w:tcPr>
            <w:tcW w:w="1162" w:type="dxa"/>
          </w:tcPr>
          <w:p w14:paraId="06F77EF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25</w:t>
            </w:r>
          </w:p>
        </w:tc>
      </w:tr>
      <w:tr w:rsidR="004B4E35" w:rsidRPr="00405303" w14:paraId="5A3CDADF" w14:textId="77777777">
        <w:trPr>
          <w:trHeight w:val="336"/>
        </w:trPr>
        <w:tc>
          <w:tcPr>
            <w:tcW w:w="4483" w:type="dxa"/>
          </w:tcPr>
          <w:p w14:paraId="298AC1B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Механическая и столярная мастерские физических приборов Петроградского т-ва преподавателей под фирмой Ф. Ф. Ильин и К°</w:t>
            </w:r>
          </w:p>
        </w:tc>
        <w:tc>
          <w:tcPr>
            <w:tcW w:w="2285" w:type="dxa"/>
          </w:tcPr>
          <w:p w14:paraId="4B35D45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Мал. Дворянская, 19</w:t>
            </w:r>
          </w:p>
        </w:tc>
        <w:tc>
          <w:tcPr>
            <w:tcW w:w="1162" w:type="dxa"/>
          </w:tcPr>
          <w:p w14:paraId="6B20893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w:t>
            </w:r>
          </w:p>
        </w:tc>
      </w:tr>
      <w:tr w:rsidR="004B4E35" w:rsidRPr="00405303" w14:paraId="531384C0" w14:textId="77777777">
        <w:trPr>
          <w:trHeight w:val="336"/>
        </w:trPr>
        <w:tc>
          <w:tcPr>
            <w:tcW w:w="4483" w:type="dxa"/>
          </w:tcPr>
          <w:p w14:paraId="6BA5796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Мастерская дорожн. вещей Г. В. Гольдтмана, под фирмой «Ю. Мюллер»</w:t>
            </w:r>
          </w:p>
        </w:tc>
        <w:tc>
          <w:tcPr>
            <w:tcW w:w="2285" w:type="dxa"/>
          </w:tcPr>
          <w:p w14:paraId="462F167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Певческий пер., 12</w:t>
            </w:r>
          </w:p>
        </w:tc>
        <w:tc>
          <w:tcPr>
            <w:tcW w:w="1162" w:type="dxa"/>
          </w:tcPr>
          <w:p w14:paraId="177DE05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26</w:t>
            </w:r>
          </w:p>
        </w:tc>
      </w:tr>
      <w:tr w:rsidR="004B4E35" w:rsidRPr="00405303" w14:paraId="0D452AAD" w14:textId="77777777">
        <w:trPr>
          <w:trHeight w:val="336"/>
        </w:trPr>
        <w:tc>
          <w:tcPr>
            <w:tcW w:w="4483" w:type="dxa"/>
          </w:tcPr>
          <w:p w14:paraId="2ED8A73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Меднолитейный </w:t>
            </w:r>
            <w:proofErr w:type="gramStart"/>
            <w:r w:rsidRPr="00405303">
              <w:rPr>
                <w:bCs/>
                <w:color w:val="002060"/>
                <w:sz w:val="16"/>
                <w:szCs w:val="16"/>
              </w:rPr>
              <w:t>за вод</w:t>
            </w:r>
            <w:proofErr w:type="gramEnd"/>
            <w:r w:rsidRPr="00405303">
              <w:rPr>
                <w:bCs/>
                <w:color w:val="002060"/>
                <w:sz w:val="16"/>
                <w:szCs w:val="16"/>
              </w:rPr>
              <w:t xml:space="preserve"> Бинова, бывший Дитрих</w:t>
            </w:r>
          </w:p>
        </w:tc>
        <w:tc>
          <w:tcPr>
            <w:tcW w:w="2285" w:type="dxa"/>
          </w:tcPr>
          <w:p w14:paraId="4893F7A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Ольховая ул., 7</w:t>
            </w:r>
          </w:p>
        </w:tc>
        <w:tc>
          <w:tcPr>
            <w:tcW w:w="1162" w:type="dxa"/>
          </w:tcPr>
          <w:p w14:paraId="6F9048C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60</w:t>
            </w:r>
          </w:p>
        </w:tc>
      </w:tr>
      <w:tr w:rsidR="004B4E35" w:rsidRPr="00405303" w14:paraId="5A637C0D" w14:textId="77777777">
        <w:trPr>
          <w:trHeight w:val="336"/>
        </w:trPr>
        <w:tc>
          <w:tcPr>
            <w:tcW w:w="4483" w:type="dxa"/>
          </w:tcPr>
          <w:p w14:paraId="3182F8C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Меднолитейный зав. А. П. Кузнецова</w:t>
            </w:r>
          </w:p>
        </w:tc>
        <w:tc>
          <w:tcPr>
            <w:tcW w:w="2285" w:type="dxa"/>
          </w:tcPr>
          <w:p w14:paraId="088FB50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Газовая ул., 6-а</w:t>
            </w:r>
          </w:p>
        </w:tc>
        <w:tc>
          <w:tcPr>
            <w:tcW w:w="1162" w:type="dxa"/>
          </w:tcPr>
          <w:p w14:paraId="0C209E3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w:t>
            </w:r>
          </w:p>
        </w:tc>
      </w:tr>
      <w:tr w:rsidR="004B4E35" w:rsidRPr="00405303" w14:paraId="38630025" w14:textId="77777777">
        <w:trPr>
          <w:trHeight w:val="336"/>
        </w:trPr>
        <w:tc>
          <w:tcPr>
            <w:tcW w:w="4483" w:type="dxa"/>
          </w:tcPr>
          <w:p w14:paraId="359ADC2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Строительно-механический завод торг, дома Любарских</w:t>
            </w:r>
          </w:p>
        </w:tc>
        <w:tc>
          <w:tcPr>
            <w:tcW w:w="2285" w:type="dxa"/>
          </w:tcPr>
          <w:p w14:paraId="10FCD7C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Татарский пер., 12</w:t>
            </w:r>
          </w:p>
        </w:tc>
        <w:tc>
          <w:tcPr>
            <w:tcW w:w="1162" w:type="dxa"/>
          </w:tcPr>
          <w:p w14:paraId="4EEEC0B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50</w:t>
            </w:r>
          </w:p>
        </w:tc>
      </w:tr>
      <w:tr w:rsidR="004B4E35" w:rsidRPr="00405303" w14:paraId="7368CD86" w14:textId="77777777">
        <w:trPr>
          <w:trHeight w:val="336"/>
        </w:trPr>
        <w:tc>
          <w:tcPr>
            <w:tcW w:w="4483" w:type="dxa"/>
          </w:tcPr>
          <w:p w14:paraId="49096DF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Фабрика хирургических инструментов Н.П. Шаплыгина</w:t>
            </w:r>
          </w:p>
        </w:tc>
        <w:tc>
          <w:tcPr>
            <w:tcW w:w="2285" w:type="dxa"/>
          </w:tcPr>
          <w:p w14:paraId="09CCBDD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Лахтинская ул., 25</w:t>
            </w:r>
          </w:p>
        </w:tc>
        <w:tc>
          <w:tcPr>
            <w:tcW w:w="1162" w:type="dxa"/>
          </w:tcPr>
          <w:p w14:paraId="0E9B35B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83</w:t>
            </w:r>
          </w:p>
        </w:tc>
      </w:tr>
      <w:tr w:rsidR="004B4E35" w:rsidRPr="00405303" w14:paraId="5B577948" w14:textId="77777777">
        <w:trPr>
          <w:trHeight w:val="336"/>
        </w:trPr>
        <w:tc>
          <w:tcPr>
            <w:tcW w:w="4483" w:type="dxa"/>
          </w:tcPr>
          <w:p w14:paraId="16A18D4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[2-й район]</w:t>
            </w:r>
          </w:p>
        </w:tc>
        <w:tc>
          <w:tcPr>
            <w:tcW w:w="2285" w:type="dxa"/>
          </w:tcPr>
          <w:p w14:paraId="4EB5E9E2" w14:textId="77777777" w:rsidR="004B4E35" w:rsidRPr="00405303" w:rsidRDefault="004B4E35" w:rsidP="00C15251">
            <w:pPr>
              <w:shd w:val="clear" w:color="auto" w:fill="FFFFFF"/>
              <w:jc w:val="both"/>
              <w:rPr>
                <w:bCs/>
                <w:color w:val="002060"/>
                <w:sz w:val="16"/>
                <w:szCs w:val="16"/>
              </w:rPr>
            </w:pPr>
          </w:p>
        </w:tc>
        <w:tc>
          <w:tcPr>
            <w:tcW w:w="1162" w:type="dxa"/>
          </w:tcPr>
          <w:p w14:paraId="33DA5E11" w14:textId="77777777" w:rsidR="004B4E35" w:rsidRPr="00405303" w:rsidRDefault="004B4E35" w:rsidP="00C15251">
            <w:pPr>
              <w:shd w:val="clear" w:color="auto" w:fill="FFFFFF"/>
              <w:jc w:val="both"/>
              <w:rPr>
                <w:bCs/>
                <w:color w:val="002060"/>
                <w:sz w:val="16"/>
                <w:szCs w:val="16"/>
              </w:rPr>
            </w:pPr>
          </w:p>
        </w:tc>
      </w:tr>
      <w:tr w:rsidR="004B4E35" w:rsidRPr="00405303" w14:paraId="5590E7B7" w14:textId="77777777">
        <w:trPr>
          <w:trHeight w:val="336"/>
        </w:trPr>
        <w:tc>
          <w:tcPr>
            <w:tcW w:w="4483" w:type="dxa"/>
          </w:tcPr>
          <w:p w14:paraId="45D4A77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Машиностроительный завод акц. о-ва Я.М.Айваз</w:t>
            </w:r>
          </w:p>
        </w:tc>
        <w:tc>
          <w:tcPr>
            <w:tcW w:w="2285" w:type="dxa"/>
          </w:tcPr>
          <w:p w14:paraId="0A29075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Выборгское шоссе, 21— 23—25</w:t>
            </w:r>
          </w:p>
        </w:tc>
        <w:tc>
          <w:tcPr>
            <w:tcW w:w="1162" w:type="dxa"/>
          </w:tcPr>
          <w:p w14:paraId="630BC4F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1582</w:t>
            </w:r>
          </w:p>
        </w:tc>
      </w:tr>
      <w:tr w:rsidR="004B4E35" w:rsidRPr="00405303" w14:paraId="1CE8C9A3" w14:textId="77777777">
        <w:trPr>
          <w:trHeight w:val="336"/>
        </w:trPr>
        <w:tc>
          <w:tcPr>
            <w:tcW w:w="4483" w:type="dxa"/>
          </w:tcPr>
          <w:p w14:paraId="33162E1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Акц. о-во механических гильзовых и трубочных заводов П. В. Барановского</w:t>
            </w:r>
          </w:p>
        </w:tc>
        <w:tc>
          <w:tcPr>
            <w:tcW w:w="2285" w:type="dxa"/>
          </w:tcPr>
          <w:p w14:paraId="74F34E0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Выборгская наб., 21</w:t>
            </w:r>
          </w:p>
        </w:tc>
        <w:tc>
          <w:tcPr>
            <w:tcW w:w="1162" w:type="dxa"/>
          </w:tcPr>
          <w:p w14:paraId="350506F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31 50</w:t>
            </w:r>
          </w:p>
        </w:tc>
      </w:tr>
      <w:tr w:rsidR="004B4E35" w:rsidRPr="00405303" w14:paraId="209A2A2E" w14:textId="77777777">
        <w:trPr>
          <w:trHeight w:val="336"/>
        </w:trPr>
        <w:tc>
          <w:tcPr>
            <w:tcW w:w="4483" w:type="dxa"/>
          </w:tcPr>
          <w:p w14:paraId="298C238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Акц. о-во машиностроительного завода Г. А. Лесснер [Новый завод]</w:t>
            </w:r>
          </w:p>
        </w:tc>
        <w:tc>
          <w:tcPr>
            <w:tcW w:w="2285" w:type="dxa"/>
          </w:tcPr>
          <w:p w14:paraId="003B6CB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Больш. Сампсониевск. пр., 78-80 </w:t>
            </w:r>
          </w:p>
        </w:tc>
        <w:tc>
          <w:tcPr>
            <w:tcW w:w="1162" w:type="dxa"/>
          </w:tcPr>
          <w:p w14:paraId="02C6D30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4520</w:t>
            </w:r>
          </w:p>
        </w:tc>
      </w:tr>
      <w:tr w:rsidR="004B4E35" w:rsidRPr="00405303" w14:paraId="2AF62ACD" w14:textId="77777777">
        <w:trPr>
          <w:trHeight w:val="336"/>
        </w:trPr>
        <w:tc>
          <w:tcPr>
            <w:tcW w:w="4483" w:type="dxa"/>
          </w:tcPr>
          <w:p w14:paraId="5550F3E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Русское о-во для изготовления снарядов и военных припасов, минный завод</w:t>
            </w:r>
          </w:p>
        </w:tc>
        <w:tc>
          <w:tcPr>
            <w:tcW w:w="2285" w:type="dxa"/>
          </w:tcPr>
          <w:p w14:paraId="1DA8B5C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Чугунная, 2</w:t>
            </w:r>
          </w:p>
        </w:tc>
        <w:tc>
          <w:tcPr>
            <w:tcW w:w="1162" w:type="dxa"/>
          </w:tcPr>
          <w:p w14:paraId="6C52438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3000</w:t>
            </w:r>
          </w:p>
        </w:tc>
      </w:tr>
      <w:tr w:rsidR="004B4E35" w:rsidRPr="00405303" w14:paraId="0A85389D" w14:textId="77777777">
        <w:trPr>
          <w:trHeight w:val="336"/>
        </w:trPr>
        <w:tc>
          <w:tcPr>
            <w:tcW w:w="4483" w:type="dxa"/>
          </w:tcPr>
          <w:p w14:paraId="40D4C55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Телефонная ф-ка Русского акц. о-ва Л. М. Эриксон и К°.</w:t>
            </w:r>
          </w:p>
        </w:tc>
        <w:tc>
          <w:tcPr>
            <w:tcW w:w="2285" w:type="dxa"/>
          </w:tcPr>
          <w:p w14:paraId="3DA2EC9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Больш. Сампсониевск. пр., 70</w:t>
            </w:r>
          </w:p>
        </w:tc>
        <w:tc>
          <w:tcPr>
            <w:tcW w:w="1162" w:type="dxa"/>
          </w:tcPr>
          <w:p w14:paraId="2E5B958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2700</w:t>
            </w:r>
          </w:p>
        </w:tc>
      </w:tr>
      <w:tr w:rsidR="004B4E35" w:rsidRPr="00405303" w14:paraId="2CAB2F59" w14:textId="77777777">
        <w:trPr>
          <w:trHeight w:val="336"/>
        </w:trPr>
        <w:tc>
          <w:tcPr>
            <w:tcW w:w="4483" w:type="dxa"/>
          </w:tcPr>
          <w:p w14:paraId="33D9923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Никольская м-ра Акционерного общества м-ры И. А. Ворони</w:t>
            </w:r>
            <w:r w:rsidRPr="00405303">
              <w:rPr>
                <w:bCs/>
                <w:color w:val="002060"/>
                <w:sz w:val="16"/>
                <w:szCs w:val="16"/>
              </w:rPr>
              <w:softHyphen/>
              <w:t>на, Лютш и Чешер</w:t>
            </w:r>
          </w:p>
        </w:tc>
        <w:tc>
          <w:tcPr>
            <w:tcW w:w="2285" w:type="dxa"/>
          </w:tcPr>
          <w:p w14:paraId="3CCAFDC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Выборгская наб., 41</w:t>
            </w:r>
          </w:p>
        </w:tc>
        <w:tc>
          <w:tcPr>
            <w:tcW w:w="1162" w:type="dxa"/>
          </w:tcPr>
          <w:p w14:paraId="5276A52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1380</w:t>
            </w:r>
          </w:p>
        </w:tc>
      </w:tr>
      <w:tr w:rsidR="004B4E35" w:rsidRPr="00405303" w14:paraId="4F40EB75" w14:textId="77777777">
        <w:trPr>
          <w:trHeight w:val="336"/>
        </w:trPr>
        <w:tc>
          <w:tcPr>
            <w:tcW w:w="4483" w:type="dxa"/>
          </w:tcPr>
          <w:p w14:paraId="3E44432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О-во меднопрокатного и трубного завода бывш. Розенкранца</w:t>
            </w:r>
          </w:p>
        </w:tc>
        <w:tc>
          <w:tcPr>
            <w:tcW w:w="2285" w:type="dxa"/>
          </w:tcPr>
          <w:p w14:paraId="5BD1C0A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Полюстровск. наб., 27</w:t>
            </w:r>
          </w:p>
        </w:tc>
        <w:tc>
          <w:tcPr>
            <w:tcW w:w="1162" w:type="dxa"/>
          </w:tcPr>
          <w:p w14:paraId="18D8C66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3000</w:t>
            </w:r>
          </w:p>
        </w:tc>
      </w:tr>
      <w:tr w:rsidR="004B4E35" w:rsidRPr="00405303" w14:paraId="28444418" w14:textId="77777777">
        <w:trPr>
          <w:trHeight w:val="336"/>
        </w:trPr>
        <w:tc>
          <w:tcPr>
            <w:tcW w:w="4483" w:type="dxa"/>
          </w:tcPr>
          <w:p w14:paraId="0895D9A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 Петроградского металлического завода</w:t>
            </w:r>
          </w:p>
        </w:tc>
        <w:tc>
          <w:tcPr>
            <w:tcW w:w="2285" w:type="dxa"/>
          </w:tcPr>
          <w:p w14:paraId="77CA74B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Полюстровская наб., 19</w:t>
            </w:r>
          </w:p>
        </w:tc>
        <w:tc>
          <w:tcPr>
            <w:tcW w:w="1162" w:type="dxa"/>
          </w:tcPr>
          <w:p w14:paraId="2CED578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6500</w:t>
            </w:r>
          </w:p>
        </w:tc>
      </w:tr>
      <w:tr w:rsidR="004B4E35" w:rsidRPr="00405303" w14:paraId="0F5AE415" w14:textId="77777777">
        <w:trPr>
          <w:trHeight w:val="336"/>
        </w:trPr>
        <w:tc>
          <w:tcPr>
            <w:tcW w:w="4483" w:type="dxa"/>
          </w:tcPr>
          <w:p w14:paraId="5DF502F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Т-во Машиностроительного завода Феникс</w:t>
            </w:r>
          </w:p>
        </w:tc>
        <w:tc>
          <w:tcPr>
            <w:tcW w:w="2285" w:type="dxa"/>
          </w:tcPr>
          <w:p w14:paraId="1B7FAB0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Полюстровская наб.,29-а</w:t>
            </w:r>
          </w:p>
        </w:tc>
        <w:tc>
          <w:tcPr>
            <w:tcW w:w="1162" w:type="dxa"/>
          </w:tcPr>
          <w:p w14:paraId="0BD1EC1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1560</w:t>
            </w:r>
          </w:p>
        </w:tc>
      </w:tr>
      <w:tr w:rsidR="004B4E35" w:rsidRPr="00405303" w14:paraId="1E5C9DAA" w14:textId="77777777">
        <w:trPr>
          <w:trHeight w:val="336"/>
        </w:trPr>
        <w:tc>
          <w:tcPr>
            <w:tcW w:w="4483" w:type="dxa"/>
          </w:tcPr>
          <w:p w14:paraId="2CECB62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Выборгская м-ра Акц. о-ва м-ры И. А. Воронина, Лютш и Че</w:t>
            </w:r>
            <w:r w:rsidRPr="00405303">
              <w:rPr>
                <w:bCs/>
                <w:color w:val="002060"/>
                <w:sz w:val="16"/>
                <w:szCs w:val="16"/>
              </w:rPr>
              <w:softHyphen/>
              <w:t>шер</w:t>
            </w:r>
          </w:p>
        </w:tc>
        <w:tc>
          <w:tcPr>
            <w:tcW w:w="2285" w:type="dxa"/>
          </w:tcPr>
          <w:p w14:paraId="101586D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Выборгская наб.,27-29</w:t>
            </w:r>
          </w:p>
        </w:tc>
        <w:tc>
          <w:tcPr>
            <w:tcW w:w="1162" w:type="dxa"/>
          </w:tcPr>
          <w:p w14:paraId="24E272D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768</w:t>
            </w:r>
          </w:p>
        </w:tc>
      </w:tr>
      <w:tr w:rsidR="004B4E35" w:rsidRPr="00405303" w14:paraId="6DAE7177" w14:textId="77777777">
        <w:trPr>
          <w:trHeight w:val="336"/>
        </w:trPr>
        <w:tc>
          <w:tcPr>
            <w:tcW w:w="4483" w:type="dxa"/>
          </w:tcPr>
          <w:p w14:paraId="62194A6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Ящичная ф-ка и лесопильный завод И. А. Семенова</w:t>
            </w:r>
          </w:p>
        </w:tc>
        <w:tc>
          <w:tcPr>
            <w:tcW w:w="2285" w:type="dxa"/>
          </w:tcPr>
          <w:p w14:paraId="7F47AAA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Стар. деревня, Благовещенская, 127</w:t>
            </w:r>
          </w:p>
        </w:tc>
        <w:tc>
          <w:tcPr>
            <w:tcW w:w="1162" w:type="dxa"/>
          </w:tcPr>
          <w:p w14:paraId="7B6BB29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750</w:t>
            </w:r>
          </w:p>
        </w:tc>
      </w:tr>
      <w:tr w:rsidR="004B4E35" w:rsidRPr="00405303" w14:paraId="460B4179" w14:textId="77777777">
        <w:trPr>
          <w:trHeight w:val="336"/>
        </w:trPr>
        <w:tc>
          <w:tcPr>
            <w:tcW w:w="4483" w:type="dxa"/>
          </w:tcPr>
          <w:p w14:paraId="5843C7C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Русско-Балтийский водухоплавательный завод</w:t>
            </w:r>
          </w:p>
        </w:tc>
        <w:tc>
          <w:tcPr>
            <w:tcW w:w="2285" w:type="dxa"/>
          </w:tcPr>
          <w:p w14:paraId="3B533C1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Строгановская наб., 1</w:t>
            </w:r>
          </w:p>
        </w:tc>
        <w:tc>
          <w:tcPr>
            <w:tcW w:w="1162" w:type="dxa"/>
          </w:tcPr>
          <w:p w14:paraId="0335E7D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350</w:t>
            </w:r>
          </w:p>
        </w:tc>
      </w:tr>
      <w:tr w:rsidR="004B4E35" w:rsidRPr="00405303" w14:paraId="609B4579" w14:textId="77777777">
        <w:trPr>
          <w:trHeight w:val="336"/>
        </w:trPr>
        <w:tc>
          <w:tcPr>
            <w:tcW w:w="4483" w:type="dxa"/>
          </w:tcPr>
          <w:p w14:paraId="38DBA52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Воздухоплавательнй завод акц. о-ва воздухоплавания В. А. Ле</w:t>
            </w:r>
            <w:r w:rsidRPr="00405303">
              <w:rPr>
                <w:bCs/>
                <w:color w:val="002060"/>
                <w:sz w:val="16"/>
                <w:szCs w:val="16"/>
              </w:rPr>
              <w:softHyphen/>
              <w:t>бедев</w:t>
            </w:r>
          </w:p>
        </w:tc>
        <w:tc>
          <w:tcPr>
            <w:tcW w:w="2285" w:type="dxa"/>
          </w:tcPr>
          <w:p w14:paraId="5D5BFD7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Комендантский аэродром </w:t>
            </w:r>
          </w:p>
        </w:tc>
        <w:tc>
          <w:tcPr>
            <w:tcW w:w="1162" w:type="dxa"/>
          </w:tcPr>
          <w:p w14:paraId="2D16D94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800</w:t>
            </w:r>
          </w:p>
        </w:tc>
      </w:tr>
      <w:tr w:rsidR="004B4E35" w:rsidRPr="00405303" w14:paraId="55178DDF" w14:textId="77777777">
        <w:trPr>
          <w:trHeight w:val="336"/>
        </w:trPr>
        <w:tc>
          <w:tcPr>
            <w:tcW w:w="4483" w:type="dxa"/>
          </w:tcPr>
          <w:p w14:paraId="3FC51F6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Первая российская ф-ка наждачных изделий и машинострои</w:t>
            </w:r>
            <w:r w:rsidRPr="00405303">
              <w:rPr>
                <w:bCs/>
                <w:color w:val="002060"/>
                <w:sz w:val="16"/>
                <w:szCs w:val="16"/>
              </w:rPr>
              <w:softHyphen/>
              <w:t>тельный завод Н. Н. Сгрук</w:t>
            </w:r>
          </w:p>
        </w:tc>
        <w:tc>
          <w:tcPr>
            <w:tcW w:w="2285" w:type="dxa"/>
          </w:tcPr>
          <w:p w14:paraId="08519FB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Головинский пер., 23</w:t>
            </w:r>
          </w:p>
        </w:tc>
        <w:tc>
          <w:tcPr>
            <w:tcW w:w="1162" w:type="dxa"/>
          </w:tcPr>
          <w:p w14:paraId="3E68C9E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300</w:t>
            </w:r>
          </w:p>
        </w:tc>
      </w:tr>
      <w:tr w:rsidR="004B4E35" w:rsidRPr="00405303" w14:paraId="2D3CB312" w14:textId="77777777">
        <w:trPr>
          <w:trHeight w:val="336"/>
        </w:trPr>
        <w:tc>
          <w:tcPr>
            <w:tcW w:w="4483" w:type="dxa"/>
          </w:tcPr>
          <w:p w14:paraId="03AA78C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Ф-ка военных кожевенных, аммуничных изделий Сампсони-евскоготоргово-промышленного о-ва</w:t>
            </w:r>
          </w:p>
        </w:tc>
        <w:tc>
          <w:tcPr>
            <w:tcW w:w="2285" w:type="dxa"/>
          </w:tcPr>
          <w:p w14:paraId="3DE76EA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Большой Сампсониевский пр., 94-6</w:t>
            </w:r>
          </w:p>
        </w:tc>
        <w:tc>
          <w:tcPr>
            <w:tcW w:w="1162" w:type="dxa"/>
          </w:tcPr>
          <w:p w14:paraId="728D2E7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225</w:t>
            </w:r>
          </w:p>
        </w:tc>
      </w:tr>
      <w:tr w:rsidR="004B4E35" w:rsidRPr="00405303" w14:paraId="2A98D785" w14:textId="77777777">
        <w:trPr>
          <w:trHeight w:val="336"/>
        </w:trPr>
        <w:tc>
          <w:tcPr>
            <w:tcW w:w="4483" w:type="dxa"/>
          </w:tcPr>
          <w:p w14:paraId="0CAE8E9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Трубочный завод Акц. о-ва «Промет»</w:t>
            </w:r>
          </w:p>
        </w:tc>
        <w:tc>
          <w:tcPr>
            <w:tcW w:w="2285" w:type="dxa"/>
          </w:tcPr>
          <w:p w14:paraId="1FA0CA3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Тихвинская, 13</w:t>
            </w:r>
          </w:p>
        </w:tc>
        <w:tc>
          <w:tcPr>
            <w:tcW w:w="1162" w:type="dxa"/>
          </w:tcPr>
          <w:p w14:paraId="7679680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750</w:t>
            </w:r>
          </w:p>
        </w:tc>
      </w:tr>
      <w:tr w:rsidR="004B4E35" w:rsidRPr="00405303" w14:paraId="3951F84A" w14:textId="77777777">
        <w:trPr>
          <w:trHeight w:val="336"/>
        </w:trPr>
        <w:tc>
          <w:tcPr>
            <w:tcW w:w="4483" w:type="dxa"/>
          </w:tcPr>
          <w:p w14:paraId="4490D04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Полюстровский завод Акц. о-ва «Промет»</w:t>
            </w:r>
          </w:p>
        </w:tc>
        <w:tc>
          <w:tcPr>
            <w:tcW w:w="2285" w:type="dxa"/>
          </w:tcPr>
          <w:p w14:paraId="0292E7C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Полюстровская наб., 5-а</w:t>
            </w:r>
          </w:p>
        </w:tc>
        <w:tc>
          <w:tcPr>
            <w:tcW w:w="1162" w:type="dxa"/>
          </w:tcPr>
          <w:p w14:paraId="58D332D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450</w:t>
            </w:r>
          </w:p>
        </w:tc>
      </w:tr>
      <w:tr w:rsidR="004B4E35" w:rsidRPr="00405303" w14:paraId="3D021D51" w14:textId="77777777">
        <w:trPr>
          <w:trHeight w:val="336"/>
        </w:trPr>
        <w:tc>
          <w:tcPr>
            <w:tcW w:w="4483" w:type="dxa"/>
          </w:tcPr>
          <w:p w14:paraId="18AEF05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Фарфоровый завод т-ва братьев Корниловых</w:t>
            </w:r>
          </w:p>
        </w:tc>
        <w:tc>
          <w:tcPr>
            <w:tcW w:w="2285" w:type="dxa"/>
          </w:tcPr>
          <w:p w14:paraId="0A483CE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Полюстровский пр., 93</w:t>
            </w:r>
          </w:p>
        </w:tc>
        <w:tc>
          <w:tcPr>
            <w:tcW w:w="1162" w:type="dxa"/>
          </w:tcPr>
          <w:p w14:paraId="10558CA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260</w:t>
            </w:r>
          </w:p>
        </w:tc>
      </w:tr>
      <w:tr w:rsidR="004B4E35" w:rsidRPr="00405303" w14:paraId="16967393" w14:textId="77777777">
        <w:trPr>
          <w:trHeight w:val="336"/>
        </w:trPr>
        <w:tc>
          <w:tcPr>
            <w:tcW w:w="4483" w:type="dxa"/>
          </w:tcPr>
          <w:p w14:paraId="152B71D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Российское Акционерное о-во оптического и механического производств</w:t>
            </w:r>
          </w:p>
        </w:tc>
        <w:tc>
          <w:tcPr>
            <w:tcW w:w="2285" w:type="dxa"/>
          </w:tcPr>
          <w:p w14:paraId="3EB9F3A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Чугунная ул., 8</w:t>
            </w:r>
          </w:p>
        </w:tc>
        <w:tc>
          <w:tcPr>
            <w:tcW w:w="1162" w:type="dxa"/>
          </w:tcPr>
          <w:p w14:paraId="7EC6401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200</w:t>
            </w:r>
          </w:p>
        </w:tc>
      </w:tr>
      <w:tr w:rsidR="004B4E35" w:rsidRPr="00405303" w14:paraId="0286152F" w14:textId="77777777">
        <w:trPr>
          <w:trHeight w:val="336"/>
        </w:trPr>
        <w:tc>
          <w:tcPr>
            <w:tcW w:w="4483" w:type="dxa"/>
          </w:tcPr>
          <w:p w14:paraId="24DC9C8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Канатная ф-ка общества «Нева»</w:t>
            </w:r>
          </w:p>
        </w:tc>
        <w:tc>
          <w:tcPr>
            <w:tcW w:w="2285" w:type="dxa"/>
          </w:tcPr>
          <w:p w14:paraId="3E6EB85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Проспект Императора Петра Великого, 4</w:t>
            </w:r>
          </w:p>
        </w:tc>
        <w:tc>
          <w:tcPr>
            <w:tcW w:w="1162" w:type="dxa"/>
          </w:tcPr>
          <w:p w14:paraId="38A3E49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277</w:t>
            </w:r>
          </w:p>
        </w:tc>
      </w:tr>
      <w:tr w:rsidR="004B4E35" w:rsidRPr="00405303" w14:paraId="4ADD14A8" w14:textId="77777777">
        <w:trPr>
          <w:trHeight w:val="336"/>
        </w:trPr>
        <w:tc>
          <w:tcPr>
            <w:tcW w:w="4483" w:type="dxa"/>
          </w:tcPr>
          <w:p w14:paraId="6CE75DC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Секвестрированные [заводы Цейса и Герца из Риги] оптичес</w:t>
            </w:r>
            <w:r w:rsidRPr="00405303">
              <w:rPr>
                <w:bCs/>
                <w:color w:val="002060"/>
                <w:sz w:val="16"/>
                <w:szCs w:val="16"/>
              </w:rPr>
              <w:softHyphen/>
              <w:t>кие заводы, находящиеся в ведении ГАУ</w:t>
            </w:r>
          </w:p>
        </w:tc>
        <w:tc>
          <w:tcPr>
            <w:tcW w:w="2285" w:type="dxa"/>
          </w:tcPr>
          <w:p w14:paraId="0304790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Тихвинская, 15</w:t>
            </w:r>
          </w:p>
        </w:tc>
        <w:tc>
          <w:tcPr>
            <w:tcW w:w="1162" w:type="dxa"/>
          </w:tcPr>
          <w:p w14:paraId="5DA2D54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303</w:t>
            </w:r>
          </w:p>
        </w:tc>
      </w:tr>
      <w:tr w:rsidR="004B4E35" w:rsidRPr="00405303" w14:paraId="10FBFE41" w14:textId="77777777">
        <w:trPr>
          <w:trHeight w:val="336"/>
        </w:trPr>
        <w:tc>
          <w:tcPr>
            <w:tcW w:w="4483" w:type="dxa"/>
          </w:tcPr>
          <w:p w14:paraId="1E6E584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Т-во Сестрорецкого металлического завода</w:t>
            </w:r>
          </w:p>
        </w:tc>
        <w:tc>
          <w:tcPr>
            <w:tcW w:w="2285" w:type="dxa"/>
          </w:tcPr>
          <w:p w14:paraId="0A3DA78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Елизаветинская, 11</w:t>
            </w:r>
          </w:p>
        </w:tc>
        <w:tc>
          <w:tcPr>
            <w:tcW w:w="1162" w:type="dxa"/>
          </w:tcPr>
          <w:p w14:paraId="7A51036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110</w:t>
            </w:r>
          </w:p>
        </w:tc>
      </w:tr>
      <w:tr w:rsidR="004B4E35" w:rsidRPr="00405303" w14:paraId="07D95C24" w14:textId="77777777">
        <w:trPr>
          <w:trHeight w:val="336"/>
        </w:trPr>
        <w:tc>
          <w:tcPr>
            <w:tcW w:w="4483" w:type="dxa"/>
          </w:tcPr>
          <w:p w14:paraId="2E55BEE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Ф-ка металлических изделий т-ва П. Зифельдт</w:t>
            </w:r>
          </w:p>
        </w:tc>
        <w:tc>
          <w:tcPr>
            <w:tcW w:w="2285" w:type="dxa"/>
          </w:tcPr>
          <w:p w14:paraId="2A88B19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Выборгское шоссе, 84</w:t>
            </w:r>
          </w:p>
        </w:tc>
        <w:tc>
          <w:tcPr>
            <w:tcW w:w="1162" w:type="dxa"/>
          </w:tcPr>
          <w:p w14:paraId="59114D8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110</w:t>
            </w:r>
          </w:p>
        </w:tc>
      </w:tr>
      <w:tr w:rsidR="004B4E35" w:rsidRPr="00405303" w14:paraId="53568B4B" w14:textId="77777777">
        <w:trPr>
          <w:trHeight w:val="336"/>
        </w:trPr>
        <w:tc>
          <w:tcPr>
            <w:tcW w:w="4483" w:type="dxa"/>
          </w:tcPr>
          <w:p w14:paraId="38B087D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Петроградский механический и напилочный завод С. П. Гла</w:t>
            </w:r>
            <w:r w:rsidRPr="00405303">
              <w:rPr>
                <w:bCs/>
                <w:color w:val="002060"/>
                <w:sz w:val="16"/>
                <w:szCs w:val="16"/>
              </w:rPr>
              <w:softHyphen/>
              <w:t>зунова</w:t>
            </w:r>
          </w:p>
        </w:tc>
        <w:tc>
          <w:tcPr>
            <w:tcW w:w="2285" w:type="dxa"/>
          </w:tcPr>
          <w:p w14:paraId="6758879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Флюгов пер., 15</w:t>
            </w:r>
          </w:p>
        </w:tc>
        <w:tc>
          <w:tcPr>
            <w:tcW w:w="1162" w:type="dxa"/>
          </w:tcPr>
          <w:p w14:paraId="4A55A98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65</w:t>
            </w:r>
          </w:p>
        </w:tc>
      </w:tr>
      <w:tr w:rsidR="004B4E35" w:rsidRPr="00405303" w14:paraId="650497AB" w14:textId="77777777">
        <w:trPr>
          <w:trHeight w:val="336"/>
        </w:trPr>
        <w:tc>
          <w:tcPr>
            <w:tcW w:w="4483" w:type="dxa"/>
          </w:tcPr>
          <w:p w14:paraId="3A2AACD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Чугунолитейный завод, бывш. братья Хеглунд, инженер-тех-нол.Л. Верт</w:t>
            </w:r>
          </w:p>
        </w:tc>
        <w:tc>
          <w:tcPr>
            <w:tcW w:w="2285" w:type="dxa"/>
          </w:tcPr>
          <w:p w14:paraId="1236745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Флюгов пер., 24</w:t>
            </w:r>
          </w:p>
        </w:tc>
        <w:tc>
          <w:tcPr>
            <w:tcW w:w="1162" w:type="dxa"/>
          </w:tcPr>
          <w:p w14:paraId="4E1A60E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25</w:t>
            </w:r>
          </w:p>
        </w:tc>
      </w:tr>
      <w:tr w:rsidR="004B4E35" w:rsidRPr="00405303" w14:paraId="77625F92" w14:textId="77777777">
        <w:trPr>
          <w:trHeight w:val="336"/>
        </w:trPr>
        <w:tc>
          <w:tcPr>
            <w:tcW w:w="4483" w:type="dxa"/>
          </w:tcPr>
          <w:p w14:paraId="7C3B70D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Заводт-ва «Электромеханика»</w:t>
            </w:r>
          </w:p>
        </w:tc>
        <w:tc>
          <w:tcPr>
            <w:tcW w:w="2285" w:type="dxa"/>
          </w:tcPr>
          <w:p w14:paraId="0F6482E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Нижегородская, 14</w:t>
            </w:r>
          </w:p>
        </w:tc>
        <w:tc>
          <w:tcPr>
            <w:tcW w:w="1162" w:type="dxa"/>
          </w:tcPr>
          <w:p w14:paraId="1DFFBF8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120</w:t>
            </w:r>
          </w:p>
        </w:tc>
      </w:tr>
      <w:tr w:rsidR="004B4E35" w:rsidRPr="00405303" w14:paraId="4CE046AF" w14:textId="77777777">
        <w:trPr>
          <w:trHeight w:val="336"/>
        </w:trPr>
        <w:tc>
          <w:tcPr>
            <w:tcW w:w="4483" w:type="dxa"/>
          </w:tcPr>
          <w:p w14:paraId="13F96E9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Механическое и деревообделочное заведение ММ. Вязьменского</w:t>
            </w:r>
          </w:p>
        </w:tc>
        <w:tc>
          <w:tcPr>
            <w:tcW w:w="2285" w:type="dxa"/>
          </w:tcPr>
          <w:p w14:paraId="63141E6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Флюгов пер., 18</w:t>
            </w:r>
          </w:p>
        </w:tc>
        <w:tc>
          <w:tcPr>
            <w:tcW w:w="1162" w:type="dxa"/>
          </w:tcPr>
          <w:p w14:paraId="15DFFC5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45</w:t>
            </w:r>
          </w:p>
        </w:tc>
      </w:tr>
      <w:tr w:rsidR="004B4E35" w:rsidRPr="00405303" w14:paraId="71DC8008" w14:textId="77777777">
        <w:trPr>
          <w:trHeight w:val="336"/>
        </w:trPr>
        <w:tc>
          <w:tcPr>
            <w:tcW w:w="4483" w:type="dxa"/>
          </w:tcPr>
          <w:p w14:paraId="5304807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Автомобильный завод акц. о-ва «Русский Рено»</w:t>
            </w:r>
          </w:p>
        </w:tc>
        <w:tc>
          <w:tcPr>
            <w:tcW w:w="2285" w:type="dxa"/>
          </w:tcPr>
          <w:p w14:paraId="6EC032D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Больш.Сампсон. пр., 77</w:t>
            </w:r>
          </w:p>
        </w:tc>
        <w:tc>
          <w:tcPr>
            <w:tcW w:w="1162" w:type="dxa"/>
          </w:tcPr>
          <w:p w14:paraId="5E6C0A8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50</w:t>
            </w:r>
          </w:p>
        </w:tc>
      </w:tr>
      <w:tr w:rsidR="004B4E35" w:rsidRPr="00405303" w14:paraId="48FF8CE2" w14:textId="77777777">
        <w:trPr>
          <w:trHeight w:val="336"/>
        </w:trPr>
        <w:tc>
          <w:tcPr>
            <w:tcW w:w="4483" w:type="dxa"/>
          </w:tcPr>
          <w:p w14:paraId="3328AC7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Завод перевязочных средств Торг, дома Ю. Мартене</w:t>
            </w:r>
          </w:p>
        </w:tc>
        <w:tc>
          <w:tcPr>
            <w:tcW w:w="2285" w:type="dxa"/>
          </w:tcPr>
          <w:p w14:paraId="3A6C368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Наб. Черной речки, 41</w:t>
            </w:r>
          </w:p>
        </w:tc>
        <w:tc>
          <w:tcPr>
            <w:tcW w:w="1162" w:type="dxa"/>
          </w:tcPr>
          <w:p w14:paraId="6473C95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85</w:t>
            </w:r>
          </w:p>
        </w:tc>
      </w:tr>
      <w:tr w:rsidR="004B4E35" w:rsidRPr="00405303" w14:paraId="0342E4DC" w14:textId="77777777">
        <w:trPr>
          <w:trHeight w:val="336"/>
        </w:trPr>
        <w:tc>
          <w:tcPr>
            <w:tcW w:w="4483" w:type="dxa"/>
          </w:tcPr>
          <w:p w14:paraId="0ECC8D2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Столярно-ящичнаяф-ка И. А. Белова</w:t>
            </w:r>
          </w:p>
        </w:tc>
        <w:tc>
          <w:tcPr>
            <w:tcW w:w="2285" w:type="dxa"/>
          </w:tcPr>
          <w:p w14:paraId="584EC1F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Строганов. наб., 3-б</w:t>
            </w:r>
          </w:p>
        </w:tc>
        <w:tc>
          <w:tcPr>
            <w:tcW w:w="1162" w:type="dxa"/>
          </w:tcPr>
          <w:p w14:paraId="6074FE0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53</w:t>
            </w:r>
          </w:p>
        </w:tc>
      </w:tr>
      <w:tr w:rsidR="004B4E35" w:rsidRPr="00405303" w14:paraId="18BFAF79" w14:textId="77777777">
        <w:trPr>
          <w:trHeight w:val="336"/>
        </w:trPr>
        <w:tc>
          <w:tcPr>
            <w:tcW w:w="4483" w:type="dxa"/>
          </w:tcPr>
          <w:p w14:paraId="38527EE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Столярная ф-ка Г. Г. Клейна</w:t>
            </w:r>
          </w:p>
        </w:tc>
        <w:tc>
          <w:tcPr>
            <w:tcW w:w="2285" w:type="dxa"/>
          </w:tcPr>
          <w:p w14:paraId="4FDA1EA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Заусадебная, 12</w:t>
            </w:r>
          </w:p>
        </w:tc>
        <w:tc>
          <w:tcPr>
            <w:tcW w:w="1162" w:type="dxa"/>
          </w:tcPr>
          <w:p w14:paraId="7DD613B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w:t>
            </w:r>
          </w:p>
        </w:tc>
      </w:tr>
      <w:tr w:rsidR="004B4E35" w:rsidRPr="00405303" w14:paraId="3C399C97" w14:textId="77777777">
        <w:trPr>
          <w:trHeight w:val="336"/>
        </w:trPr>
        <w:tc>
          <w:tcPr>
            <w:tcW w:w="4483" w:type="dxa"/>
          </w:tcPr>
          <w:p w14:paraId="0CBB73D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Меднолитейная итокарная мастерская М. Ю. Аспер</w:t>
            </w:r>
          </w:p>
        </w:tc>
        <w:tc>
          <w:tcPr>
            <w:tcW w:w="2285" w:type="dxa"/>
          </w:tcPr>
          <w:p w14:paraId="0E57285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Сердобольская, 4-6</w:t>
            </w:r>
          </w:p>
        </w:tc>
        <w:tc>
          <w:tcPr>
            <w:tcW w:w="1162" w:type="dxa"/>
          </w:tcPr>
          <w:p w14:paraId="40B35E6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17</w:t>
            </w:r>
          </w:p>
        </w:tc>
      </w:tr>
      <w:tr w:rsidR="004B4E35" w:rsidRPr="00405303" w14:paraId="4A58ABE6" w14:textId="77777777">
        <w:trPr>
          <w:trHeight w:val="336"/>
        </w:trPr>
        <w:tc>
          <w:tcPr>
            <w:tcW w:w="4483" w:type="dxa"/>
          </w:tcPr>
          <w:p w14:paraId="09391A6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Слесарно-кузнечная мастерская А. Б. Минца и А. Ш. Богора-да</w:t>
            </w:r>
          </w:p>
        </w:tc>
        <w:tc>
          <w:tcPr>
            <w:tcW w:w="2285" w:type="dxa"/>
          </w:tcPr>
          <w:p w14:paraId="6EB6E18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Строганов, наб., 3-в</w:t>
            </w:r>
          </w:p>
        </w:tc>
        <w:tc>
          <w:tcPr>
            <w:tcW w:w="1162" w:type="dxa"/>
          </w:tcPr>
          <w:p w14:paraId="78F7828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w:t>
            </w:r>
          </w:p>
        </w:tc>
      </w:tr>
      <w:tr w:rsidR="004B4E35" w:rsidRPr="00405303" w14:paraId="0D73A845" w14:textId="77777777">
        <w:trPr>
          <w:trHeight w:val="336"/>
        </w:trPr>
        <w:tc>
          <w:tcPr>
            <w:tcW w:w="4483" w:type="dxa"/>
          </w:tcPr>
          <w:p w14:paraId="46C76B7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Слесарно-механическая и сталелитейная мастерская Г. Вегмана</w:t>
            </w:r>
          </w:p>
        </w:tc>
        <w:tc>
          <w:tcPr>
            <w:tcW w:w="2285" w:type="dxa"/>
          </w:tcPr>
          <w:p w14:paraId="6B71ECE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Улеаборгскийпер., 5</w:t>
            </w:r>
          </w:p>
        </w:tc>
        <w:tc>
          <w:tcPr>
            <w:tcW w:w="1162" w:type="dxa"/>
          </w:tcPr>
          <w:p w14:paraId="0C9A106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w:t>
            </w:r>
          </w:p>
        </w:tc>
      </w:tr>
      <w:tr w:rsidR="004B4E35" w:rsidRPr="00405303" w14:paraId="4011D323" w14:textId="77777777">
        <w:trPr>
          <w:trHeight w:val="336"/>
        </w:trPr>
        <w:tc>
          <w:tcPr>
            <w:tcW w:w="4483" w:type="dxa"/>
          </w:tcPr>
          <w:p w14:paraId="290B0DA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Чугунолитейный и механический завод братьев Экваль</w:t>
            </w:r>
          </w:p>
        </w:tc>
        <w:tc>
          <w:tcPr>
            <w:tcW w:w="2285" w:type="dxa"/>
          </w:tcPr>
          <w:p w14:paraId="2818589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Головинский пер., 17</w:t>
            </w:r>
          </w:p>
        </w:tc>
        <w:tc>
          <w:tcPr>
            <w:tcW w:w="1162" w:type="dxa"/>
          </w:tcPr>
          <w:p w14:paraId="490AD81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93</w:t>
            </w:r>
          </w:p>
        </w:tc>
      </w:tr>
      <w:tr w:rsidR="004B4E35" w:rsidRPr="00405303" w14:paraId="1C16AFD0" w14:textId="77777777">
        <w:trPr>
          <w:trHeight w:val="336"/>
        </w:trPr>
        <w:tc>
          <w:tcPr>
            <w:tcW w:w="4483" w:type="dxa"/>
          </w:tcPr>
          <w:p w14:paraId="06DDB03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Меднолитейный и механический завод Г. Вешана</w:t>
            </w:r>
          </w:p>
        </w:tc>
        <w:tc>
          <w:tcPr>
            <w:tcW w:w="2285" w:type="dxa"/>
          </w:tcPr>
          <w:p w14:paraId="01BD36C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Сердобольская, 57-42</w:t>
            </w:r>
          </w:p>
        </w:tc>
        <w:tc>
          <w:tcPr>
            <w:tcW w:w="1162" w:type="dxa"/>
          </w:tcPr>
          <w:p w14:paraId="52EAFDC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108</w:t>
            </w:r>
          </w:p>
        </w:tc>
      </w:tr>
      <w:tr w:rsidR="004B4E35" w:rsidRPr="00405303" w14:paraId="36346B11" w14:textId="77777777">
        <w:trPr>
          <w:trHeight w:val="336"/>
        </w:trPr>
        <w:tc>
          <w:tcPr>
            <w:tcW w:w="4483" w:type="dxa"/>
          </w:tcPr>
          <w:p w14:paraId="2D6373F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Меднолитейный завод «Литейщик» Кирштейнаи Кранц</w:t>
            </w:r>
          </w:p>
        </w:tc>
        <w:tc>
          <w:tcPr>
            <w:tcW w:w="2285" w:type="dxa"/>
          </w:tcPr>
          <w:p w14:paraId="5B6577F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Нодендальск. пер., 14-2</w:t>
            </w:r>
          </w:p>
        </w:tc>
        <w:tc>
          <w:tcPr>
            <w:tcW w:w="1162" w:type="dxa"/>
          </w:tcPr>
          <w:p w14:paraId="5EB739E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35</w:t>
            </w:r>
          </w:p>
        </w:tc>
      </w:tr>
      <w:tr w:rsidR="004B4E35" w:rsidRPr="00405303" w14:paraId="01E12E3B" w14:textId="77777777">
        <w:trPr>
          <w:trHeight w:val="336"/>
        </w:trPr>
        <w:tc>
          <w:tcPr>
            <w:tcW w:w="4483" w:type="dxa"/>
          </w:tcPr>
          <w:p w14:paraId="13FC4E7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Русский автомобильный зав. И. П. Пузырева</w:t>
            </w:r>
          </w:p>
        </w:tc>
        <w:tc>
          <w:tcPr>
            <w:tcW w:w="2285" w:type="dxa"/>
          </w:tcPr>
          <w:p w14:paraId="515AABD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Головинский пер., 3</w:t>
            </w:r>
          </w:p>
        </w:tc>
        <w:tc>
          <w:tcPr>
            <w:tcW w:w="1162" w:type="dxa"/>
          </w:tcPr>
          <w:p w14:paraId="1E7ECF3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75</w:t>
            </w:r>
          </w:p>
        </w:tc>
      </w:tr>
      <w:tr w:rsidR="004B4E35" w:rsidRPr="00405303" w14:paraId="7217A757" w14:textId="77777777">
        <w:trPr>
          <w:trHeight w:val="336"/>
        </w:trPr>
        <w:tc>
          <w:tcPr>
            <w:tcW w:w="4483" w:type="dxa"/>
          </w:tcPr>
          <w:p w14:paraId="36B7437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Художественно-кузнечный и слесарный завод Ф. Энгельсона</w:t>
            </w:r>
          </w:p>
        </w:tc>
        <w:tc>
          <w:tcPr>
            <w:tcW w:w="2285" w:type="dxa"/>
          </w:tcPr>
          <w:p w14:paraId="2FA3B7E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Улеаборгский пер., 3</w:t>
            </w:r>
          </w:p>
        </w:tc>
        <w:tc>
          <w:tcPr>
            <w:tcW w:w="1162" w:type="dxa"/>
          </w:tcPr>
          <w:p w14:paraId="36D3B01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25</w:t>
            </w:r>
          </w:p>
        </w:tc>
      </w:tr>
      <w:tr w:rsidR="004B4E35" w:rsidRPr="00405303" w14:paraId="74379B54" w14:textId="77777777">
        <w:trPr>
          <w:trHeight w:val="336"/>
        </w:trPr>
        <w:tc>
          <w:tcPr>
            <w:tcW w:w="4483" w:type="dxa"/>
          </w:tcPr>
          <w:p w14:paraId="107BA2E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Фабрика красок и лаков Фридлсндера</w:t>
            </w:r>
          </w:p>
        </w:tc>
        <w:tc>
          <w:tcPr>
            <w:tcW w:w="2285" w:type="dxa"/>
          </w:tcPr>
          <w:p w14:paraId="722539C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Наб. Черной речки, 19-2</w:t>
            </w:r>
          </w:p>
        </w:tc>
        <w:tc>
          <w:tcPr>
            <w:tcW w:w="1162" w:type="dxa"/>
          </w:tcPr>
          <w:p w14:paraId="19267A8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w:t>
            </w:r>
          </w:p>
        </w:tc>
      </w:tr>
      <w:tr w:rsidR="004B4E35" w:rsidRPr="00405303" w14:paraId="458DF549" w14:textId="77777777">
        <w:trPr>
          <w:trHeight w:val="336"/>
        </w:trPr>
        <w:tc>
          <w:tcPr>
            <w:tcW w:w="4483" w:type="dxa"/>
          </w:tcPr>
          <w:p w14:paraId="144EE34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Петроградская верфь моторных судов Золотова и Лушева</w:t>
            </w:r>
          </w:p>
        </w:tc>
        <w:tc>
          <w:tcPr>
            <w:tcW w:w="2285" w:type="dxa"/>
          </w:tcPr>
          <w:p w14:paraId="3170B9E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Благовещенская, 44</w:t>
            </w:r>
          </w:p>
        </w:tc>
        <w:tc>
          <w:tcPr>
            <w:tcW w:w="1162" w:type="dxa"/>
          </w:tcPr>
          <w:p w14:paraId="4C99DBB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50</w:t>
            </w:r>
          </w:p>
        </w:tc>
      </w:tr>
      <w:tr w:rsidR="004B4E35" w:rsidRPr="00405303" w14:paraId="7A73E337" w14:textId="77777777">
        <w:trPr>
          <w:trHeight w:val="336"/>
        </w:trPr>
        <w:tc>
          <w:tcPr>
            <w:tcW w:w="4483" w:type="dxa"/>
          </w:tcPr>
          <w:p w14:paraId="7207BF2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Механический, арматурный и кузнечный завод Лопиксара</w:t>
            </w:r>
          </w:p>
        </w:tc>
        <w:tc>
          <w:tcPr>
            <w:tcW w:w="2285" w:type="dxa"/>
          </w:tcPr>
          <w:p w14:paraId="2E3CCF2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Наб. Черной речки, 37-4</w:t>
            </w:r>
          </w:p>
        </w:tc>
        <w:tc>
          <w:tcPr>
            <w:tcW w:w="1162" w:type="dxa"/>
          </w:tcPr>
          <w:p w14:paraId="6DE4B80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40</w:t>
            </w:r>
          </w:p>
        </w:tc>
      </w:tr>
      <w:tr w:rsidR="004B4E35" w:rsidRPr="00405303" w14:paraId="789F72B0" w14:textId="77777777">
        <w:trPr>
          <w:trHeight w:val="336"/>
        </w:trPr>
        <w:tc>
          <w:tcPr>
            <w:tcW w:w="4483" w:type="dxa"/>
          </w:tcPr>
          <w:p w14:paraId="4AE0A1B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Меднолитейная мастерская А. М. Орлова</w:t>
            </w:r>
          </w:p>
        </w:tc>
        <w:tc>
          <w:tcPr>
            <w:tcW w:w="2285" w:type="dxa"/>
          </w:tcPr>
          <w:p w14:paraId="26A83F7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Вазасский пер., 3</w:t>
            </w:r>
          </w:p>
        </w:tc>
        <w:tc>
          <w:tcPr>
            <w:tcW w:w="1162" w:type="dxa"/>
          </w:tcPr>
          <w:p w14:paraId="1F96D61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40</w:t>
            </w:r>
          </w:p>
        </w:tc>
      </w:tr>
      <w:tr w:rsidR="004B4E35" w:rsidRPr="00405303" w14:paraId="33F1AB69" w14:textId="77777777">
        <w:trPr>
          <w:trHeight w:val="336"/>
        </w:trPr>
        <w:tc>
          <w:tcPr>
            <w:tcW w:w="4483" w:type="dxa"/>
          </w:tcPr>
          <w:p w14:paraId="17FFB75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Чугунолитейный завод наследников Парвиайнена</w:t>
            </w:r>
          </w:p>
        </w:tc>
        <w:tc>
          <w:tcPr>
            <w:tcW w:w="2285" w:type="dxa"/>
          </w:tcPr>
          <w:p w14:paraId="4829193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Шмеллинскийпер., 9</w:t>
            </w:r>
          </w:p>
        </w:tc>
        <w:tc>
          <w:tcPr>
            <w:tcW w:w="1162" w:type="dxa"/>
          </w:tcPr>
          <w:p w14:paraId="6BB9049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165</w:t>
            </w:r>
          </w:p>
        </w:tc>
      </w:tr>
      <w:tr w:rsidR="004B4E35" w:rsidRPr="00405303" w14:paraId="023AA2F1" w14:textId="77777777">
        <w:trPr>
          <w:trHeight w:val="336"/>
        </w:trPr>
        <w:tc>
          <w:tcPr>
            <w:tcW w:w="4483" w:type="dxa"/>
          </w:tcPr>
          <w:p w14:paraId="5949A88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Механический завод наследи. Титовой</w:t>
            </w:r>
          </w:p>
        </w:tc>
        <w:tc>
          <w:tcPr>
            <w:tcW w:w="2285" w:type="dxa"/>
          </w:tcPr>
          <w:p w14:paraId="79D3CEA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Пороховское шоссе, 84</w:t>
            </w:r>
          </w:p>
        </w:tc>
        <w:tc>
          <w:tcPr>
            <w:tcW w:w="1162" w:type="dxa"/>
          </w:tcPr>
          <w:p w14:paraId="4DAD08E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80</w:t>
            </w:r>
          </w:p>
        </w:tc>
      </w:tr>
      <w:tr w:rsidR="004B4E35" w:rsidRPr="00405303" w14:paraId="23BEF883" w14:textId="77777777">
        <w:trPr>
          <w:trHeight w:val="336"/>
        </w:trPr>
        <w:tc>
          <w:tcPr>
            <w:tcW w:w="4483" w:type="dxa"/>
          </w:tcPr>
          <w:p w14:paraId="1E89AD0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Механический завод Петроградского арматурно-</w:t>
            </w:r>
            <w:proofErr w:type="gramStart"/>
            <w:r w:rsidRPr="00405303">
              <w:rPr>
                <w:bCs/>
                <w:color w:val="002060"/>
                <w:sz w:val="16"/>
                <w:szCs w:val="16"/>
              </w:rPr>
              <w:t>электрическо-го</w:t>
            </w:r>
            <w:proofErr w:type="gramEnd"/>
            <w:r w:rsidRPr="00405303">
              <w:rPr>
                <w:bCs/>
                <w:color w:val="002060"/>
                <w:sz w:val="16"/>
                <w:szCs w:val="16"/>
              </w:rPr>
              <w:t xml:space="preserve"> акц. О-ва</w:t>
            </w:r>
          </w:p>
        </w:tc>
        <w:tc>
          <w:tcPr>
            <w:tcW w:w="2285" w:type="dxa"/>
          </w:tcPr>
          <w:p w14:paraId="22C099B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Александровская, 1</w:t>
            </w:r>
          </w:p>
        </w:tc>
        <w:tc>
          <w:tcPr>
            <w:tcW w:w="1162" w:type="dxa"/>
          </w:tcPr>
          <w:p w14:paraId="51D6426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180</w:t>
            </w:r>
          </w:p>
        </w:tc>
      </w:tr>
      <w:tr w:rsidR="004B4E35" w:rsidRPr="00405303" w14:paraId="36CBD72F" w14:textId="77777777">
        <w:trPr>
          <w:trHeight w:val="336"/>
        </w:trPr>
        <w:tc>
          <w:tcPr>
            <w:tcW w:w="4483" w:type="dxa"/>
          </w:tcPr>
          <w:p w14:paraId="705073C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Жестяночная мастерская администрации поделай А. Оуфа</w:t>
            </w:r>
          </w:p>
        </w:tc>
        <w:tc>
          <w:tcPr>
            <w:tcW w:w="2285" w:type="dxa"/>
          </w:tcPr>
          <w:p w14:paraId="5977AB3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Болыл. Охтенск. пр., 27</w:t>
            </w:r>
          </w:p>
        </w:tc>
        <w:tc>
          <w:tcPr>
            <w:tcW w:w="1162" w:type="dxa"/>
          </w:tcPr>
          <w:p w14:paraId="5EEFF66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150</w:t>
            </w:r>
          </w:p>
        </w:tc>
      </w:tr>
      <w:tr w:rsidR="004B4E35" w:rsidRPr="00405303" w14:paraId="073429E2" w14:textId="77777777">
        <w:trPr>
          <w:trHeight w:val="336"/>
        </w:trPr>
        <w:tc>
          <w:tcPr>
            <w:tcW w:w="4483" w:type="dxa"/>
          </w:tcPr>
          <w:p w14:paraId="450AE7C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Ф-ка асбестовых изделий В. Ю. фон Денфера</w:t>
            </w:r>
          </w:p>
        </w:tc>
        <w:tc>
          <w:tcPr>
            <w:tcW w:w="2285" w:type="dxa"/>
          </w:tcPr>
          <w:p w14:paraId="4E6AEF5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Шмеллинский пер., 21</w:t>
            </w:r>
          </w:p>
        </w:tc>
        <w:tc>
          <w:tcPr>
            <w:tcW w:w="1162" w:type="dxa"/>
          </w:tcPr>
          <w:p w14:paraId="776C0CC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130</w:t>
            </w:r>
          </w:p>
        </w:tc>
      </w:tr>
      <w:tr w:rsidR="004B4E35" w:rsidRPr="00405303" w14:paraId="74B74082" w14:textId="77777777">
        <w:trPr>
          <w:trHeight w:val="336"/>
        </w:trPr>
        <w:tc>
          <w:tcPr>
            <w:tcW w:w="4483" w:type="dxa"/>
          </w:tcPr>
          <w:p w14:paraId="77377E1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Ватная ф-ка Дж. Саутам</w:t>
            </w:r>
          </w:p>
        </w:tc>
        <w:tc>
          <w:tcPr>
            <w:tcW w:w="2285" w:type="dxa"/>
          </w:tcPr>
          <w:p w14:paraId="26EC508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Лабораторный пр., 9</w:t>
            </w:r>
          </w:p>
        </w:tc>
        <w:tc>
          <w:tcPr>
            <w:tcW w:w="1162" w:type="dxa"/>
          </w:tcPr>
          <w:p w14:paraId="52D9484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17</w:t>
            </w:r>
          </w:p>
        </w:tc>
      </w:tr>
      <w:tr w:rsidR="004B4E35" w:rsidRPr="00405303" w14:paraId="0E470F90" w14:textId="77777777">
        <w:trPr>
          <w:trHeight w:val="336"/>
        </w:trPr>
        <w:tc>
          <w:tcPr>
            <w:tcW w:w="4483" w:type="dxa"/>
          </w:tcPr>
          <w:p w14:paraId="35329E3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Чугунолитейный завод наследников Ершова</w:t>
            </w:r>
          </w:p>
        </w:tc>
        <w:tc>
          <w:tcPr>
            <w:tcW w:w="2285" w:type="dxa"/>
          </w:tcPr>
          <w:p w14:paraId="71EC2F2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Шмеллинский пер., 2</w:t>
            </w:r>
          </w:p>
        </w:tc>
        <w:tc>
          <w:tcPr>
            <w:tcW w:w="1162" w:type="dxa"/>
          </w:tcPr>
          <w:p w14:paraId="0CD97AC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w:t>
            </w:r>
          </w:p>
        </w:tc>
      </w:tr>
      <w:tr w:rsidR="004B4E35" w:rsidRPr="00405303" w14:paraId="5523CF93" w14:textId="77777777">
        <w:trPr>
          <w:trHeight w:val="336"/>
        </w:trPr>
        <w:tc>
          <w:tcPr>
            <w:tcW w:w="4483" w:type="dxa"/>
          </w:tcPr>
          <w:p w14:paraId="572CCBC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Напилочная ф-ка К. К. Прейса</w:t>
            </w:r>
          </w:p>
        </w:tc>
        <w:tc>
          <w:tcPr>
            <w:tcW w:w="2285" w:type="dxa"/>
          </w:tcPr>
          <w:p w14:paraId="6C932BB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Варваринская ул., 17</w:t>
            </w:r>
          </w:p>
        </w:tc>
        <w:tc>
          <w:tcPr>
            <w:tcW w:w="1162" w:type="dxa"/>
          </w:tcPr>
          <w:p w14:paraId="65003CA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40</w:t>
            </w:r>
          </w:p>
        </w:tc>
      </w:tr>
      <w:tr w:rsidR="004B4E35" w:rsidRPr="00405303" w14:paraId="1C262B86" w14:textId="77777777">
        <w:trPr>
          <w:trHeight w:val="336"/>
        </w:trPr>
        <w:tc>
          <w:tcPr>
            <w:tcW w:w="4483" w:type="dxa"/>
          </w:tcPr>
          <w:p w14:paraId="59DF0C5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Строительная и механическая мастерская Л. Дегтярева</w:t>
            </w:r>
          </w:p>
        </w:tc>
        <w:tc>
          <w:tcPr>
            <w:tcW w:w="2285" w:type="dxa"/>
          </w:tcPr>
          <w:p w14:paraId="5CEA8DC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Полюстровск. наб., 3</w:t>
            </w:r>
          </w:p>
        </w:tc>
        <w:tc>
          <w:tcPr>
            <w:tcW w:w="1162" w:type="dxa"/>
          </w:tcPr>
          <w:p w14:paraId="2D4DC90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[97]</w:t>
            </w:r>
          </w:p>
        </w:tc>
      </w:tr>
      <w:tr w:rsidR="004B4E35" w:rsidRPr="00405303" w14:paraId="5410EB70" w14:textId="77777777">
        <w:trPr>
          <w:trHeight w:val="336"/>
        </w:trPr>
        <w:tc>
          <w:tcPr>
            <w:tcW w:w="4483" w:type="dxa"/>
          </w:tcPr>
          <w:p w14:paraId="7F60719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Химический завод Петрофадского акц. о-ва</w:t>
            </w:r>
          </w:p>
        </w:tc>
        <w:tc>
          <w:tcPr>
            <w:tcW w:w="2285" w:type="dxa"/>
          </w:tcPr>
          <w:p w14:paraId="31F1C93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Просп. Ими. Петра Великого, 4</w:t>
            </w:r>
          </w:p>
        </w:tc>
        <w:tc>
          <w:tcPr>
            <w:tcW w:w="1162" w:type="dxa"/>
          </w:tcPr>
          <w:p w14:paraId="23C1922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w:t>
            </w:r>
          </w:p>
        </w:tc>
      </w:tr>
      <w:tr w:rsidR="004B4E35" w:rsidRPr="00405303" w14:paraId="129722E8" w14:textId="77777777">
        <w:trPr>
          <w:trHeight w:val="336"/>
        </w:trPr>
        <w:tc>
          <w:tcPr>
            <w:tcW w:w="4483" w:type="dxa"/>
          </w:tcPr>
          <w:p w14:paraId="2824F88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Ф-ка лаков Анонимного о-ва красок и лаков, бывш. Ж. Гите</w:t>
            </w:r>
          </w:p>
        </w:tc>
        <w:tc>
          <w:tcPr>
            <w:tcW w:w="2285" w:type="dxa"/>
          </w:tcPr>
          <w:p w14:paraId="2D5F793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Варваринская, 19</w:t>
            </w:r>
          </w:p>
        </w:tc>
        <w:tc>
          <w:tcPr>
            <w:tcW w:w="1162" w:type="dxa"/>
          </w:tcPr>
          <w:p w14:paraId="42BAC7F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w:t>
            </w:r>
          </w:p>
        </w:tc>
      </w:tr>
      <w:tr w:rsidR="004B4E35" w:rsidRPr="00405303" w14:paraId="4398E7B5" w14:textId="77777777">
        <w:trPr>
          <w:trHeight w:val="336"/>
        </w:trPr>
        <w:tc>
          <w:tcPr>
            <w:tcW w:w="4483" w:type="dxa"/>
          </w:tcPr>
          <w:p w14:paraId="4B22EAA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[3-й район]</w:t>
            </w:r>
          </w:p>
        </w:tc>
        <w:tc>
          <w:tcPr>
            <w:tcW w:w="2285" w:type="dxa"/>
          </w:tcPr>
          <w:p w14:paraId="15902637" w14:textId="77777777" w:rsidR="004B4E35" w:rsidRPr="00405303" w:rsidRDefault="004B4E35" w:rsidP="00C15251">
            <w:pPr>
              <w:shd w:val="clear" w:color="auto" w:fill="FFFFFF"/>
              <w:jc w:val="both"/>
              <w:rPr>
                <w:bCs/>
                <w:color w:val="002060"/>
                <w:sz w:val="16"/>
                <w:szCs w:val="16"/>
              </w:rPr>
            </w:pPr>
          </w:p>
        </w:tc>
        <w:tc>
          <w:tcPr>
            <w:tcW w:w="1162" w:type="dxa"/>
          </w:tcPr>
          <w:p w14:paraId="5616CBE5" w14:textId="77777777" w:rsidR="004B4E35" w:rsidRPr="00405303" w:rsidRDefault="004B4E35" w:rsidP="00C15251">
            <w:pPr>
              <w:shd w:val="clear" w:color="auto" w:fill="FFFFFF"/>
              <w:jc w:val="both"/>
              <w:rPr>
                <w:bCs/>
                <w:color w:val="002060"/>
                <w:sz w:val="16"/>
                <w:szCs w:val="16"/>
              </w:rPr>
            </w:pPr>
          </w:p>
        </w:tc>
      </w:tr>
      <w:tr w:rsidR="004B4E35" w:rsidRPr="00405303" w14:paraId="0DDA82CB" w14:textId="77777777">
        <w:trPr>
          <w:trHeight w:val="336"/>
        </w:trPr>
        <w:tc>
          <w:tcPr>
            <w:tcW w:w="4483" w:type="dxa"/>
          </w:tcPr>
          <w:p w14:paraId="5BFDEA9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Петровская бумагопрядильная и ткацкая ф-ка</w:t>
            </w:r>
          </w:p>
        </w:tc>
        <w:tc>
          <w:tcPr>
            <w:tcW w:w="2285" w:type="dxa"/>
          </w:tcPr>
          <w:p w14:paraId="371D628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Смоленское, 72</w:t>
            </w:r>
          </w:p>
        </w:tc>
        <w:tc>
          <w:tcPr>
            <w:tcW w:w="1162" w:type="dxa"/>
          </w:tcPr>
          <w:p w14:paraId="7D5A577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1630</w:t>
            </w:r>
          </w:p>
        </w:tc>
      </w:tr>
      <w:tr w:rsidR="004B4E35" w:rsidRPr="00405303" w14:paraId="5834DFB9" w14:textId="77777777">
        <w:trPr>
          <w:trHeight w:val="336"/>
        </w:trPr>
        <w:tc>
          <w:tcPr>
            <w:tcW w:w="4483" w:type="dxa"/>
          </w:tcPr>
          <w:p w14:paraId="12D8645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Спасская бумагопрядильная и ткацкая ф-ка</w:t>
            </w:r>
          </w:p>
        </w:tc>
        <w:tc>
          <w:tcPr>
            <w:tcW w:w="2285" w:type="dxa"/>
          </w:tcPr>
          <w:p w14:paraId="128D1E3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Смоленское, 76</w:t>
            </w:r>
          </w:p>
        </w:tc>
        <w:tc>
          <w:tcPr>
            <w:tcW w:w="1162" w:type="dxa"/>
          </w:tcPr>
          <w:p w14:paraId="4ACDE77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1310</w:t>
            </w:r>
          </w:p>
        </w:tc>
      </w:tr>
      <w:tr w:rsidR="004B4E35" w:rsidRPr="00405303" w14:paraId="4BCDCE71" w14:textId="77777777">
        <w:trPr>
          <w:trHeight w:val="336"/>
        </w:trPr>
        <w:tc>
          <w:tcPr>
            <w:tcW w:w="4483" w:type="dxa"/>
          </w:tcPr>
          <w:p w14:paraId="7F7797D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Александре-Невская м-ра К. Я. Паль</w:t>
            </w:r>
          </w:p>
        </w:tc>
        <w:tc>
          <w:tcPr>
            <w:tcW w:w="2285" w:type="dxa"/>
          </w:tcPr>
          <w:p w14:paraId="2A0918E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Смоленское, 56</w:t>
            </w:r>
          </w:p>
        </w:tc>
        <w:tc>
          <w:tcPr>
            <w:tcW w:w="1162" w:type="dxa"/>
          </w:tcPr>
          <w:p w14:paraId="3A0E25D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1760</w:t>
            </w:r>
          </w:p>
        </w:tc>
      </w:tr>
      <w:tr w:rsidR="004B4E35" w:rsidRPr="00405303" w14:paraId="4251EC5C" w14:textId="77777777">
        <w:trPr>
          <w:trHeight w:val="336"/>
        </w:trPr>
        <w:tc>
          <w:tcPr>
            <w:tcW w:w="4483" w:type="dxa"/>
          </w:tcPr>
          <w:p w14:paraId="3175A72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Суконная ф-ка т- ва шерстяных изделий Торнтон</w:t>
            </w:r>
          </w:p>
        </w:tc>
        <w:tc>
          <w:tcPr>
            <w:tcW w:w="2285" w:type="dxa"/>
          </w:tcPr>
          <w:p w14:paraId="0999944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Прав. бер. Невы, 96</w:t>
            </w:r>
          </w:p>
        </w:tc>
        <w:tc>
          <w:tcPr>
            <w:tcW w:w="1162" w:type="dxa"/>
          </w:tcPr>
          <w:p w14:paraId="63DA21D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2587</w:t>
            </w:r>
          </w:p>
        </w:tc>
      </w:tr>
      <w:tr w:rsidR="004B4E35" w:rsidRPr="00405303" w14:paraId="6B5ADFA6" w14:textId="77777777">
        <w:trPr>
          <w:trHeight w:val="336"/>
        </w:trPr>
        <w:tc>
          <w:tcPr>
            <w:tcW w:w="4483" w:type="dxa"/>
          </w:tcPr>
          <w:p w14:paraId="5BE54D6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Т-во Невского судостроительного и механического завода</w:t>
            </w:r>
          </w:p>
        </w:tc>
        <w:tc>
          <w:tcPr>
            <w:tcW w:w="2285" w:type="dxa"/>
          </w:tcPr>
          <w:p w14:paraId="06D83DC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Невская застава, Шлиссельб. пр., 1-8</w:t>
            </w:r>
          </w:p>
        </w:tc>
        <w:tc>
          <w:tcPr>
            <w:tcW w:w="1162" w:type="dxa"/>
          </w:tcPr>
          <w:p w14:paraId="30C75D8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4600</w:t>
            </w:r>
          </w:p>
        </w:tc>
      </w:tr>
      <w:tr w:rsidR="004B4E35" w:rsidRPr="00405303" w14:paraId="2E5A5118" w14:textId="77777777">
        <w:trPr>
          <w:trHeight w:val="336"/>
        </w:trPr>
        <w:tc>
          <w:tcPr>
            <w:tcW w:w="4483" w:type="dxa"/>
          </w:tcPr>
          <w:p w14:paraId="1842CF9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Невская бумагопрядильная м-ра</w:t>
            </w:r>
          </w:p>
        </w:tc>
        <w:tc>
          <w:tcPr>
            <w:tcW w:w="2285" w:type="dxa"/>
          </w:tcPr>
          <w:p w14:paraId="5622265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Мал. Болотная, 10</w:t>
            </w:r>
          </w:p>
        </w:tc>
        <w:tc>
          <w:tcPr>
            <w:tcW w:w="1162" w:type="dxa"/>
          </w:tcPr>
          <w:p w14:paraId="772700E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1700</w:t>
            </w:r>
          </w:p>
        </w:tc>
      </w:tr>
      <w:tr w:rsidR="004B4E35" w:rsidRPr="00405303" w14:paraId="0EB957E3" w14:textId="77777777">
        <w:trPr>
          <w:trHeight w:val="336"/>
        </w:trPr>
        <w:tc>
          <w:tcPr>
            <w:tcW w:w="4483" w:type="dxa"/>
          </w:tcPr>
          <w:p w14:paraId="59E5E1F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Невская ниточная м-ра</w:t>
            </w:r>
          </w:p>
        </w:tc>
        <w:tc>
          <w:tcPr>
            <w:tcW w:w="2285" w:type="dxa"/>
          </w:tcPr>
          <w:p w14:paraId="631A3E7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Мал. Болотная, 12</w:t>
            </w:r>
          </w:p>
        </w:tc>
        <w:tc>
          <w:tcPr>
            <w:tcW w:w="1162" w:type="dxa"/>
          </w:tcPr>
          <w:p w14:paraId="00DBE3A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2000</w:t>
            </w:r>
          </w:p>
        </w:tc>
      </w:tr>
      <w:tr w:rsidR="004B4E35" w:rsidRPr="00405303" w14:paraId="597830D4" w14:textId="77777777">
        <w:trPr>
          <w:trHeight w:val="336"/>
        </w:trPr>
        <w:tc>
          <w:tcPr>
            <w:tcW w:w="4483" w:type="dxa"/>
          </w:tcPr>
          <w:p w14:paraId="776D474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Трувеллеровский лесопильный завод Торг, дома Громов и К"</w:t>
            </w:r>
          </w:p>
        </w:tc>
        <w:tc>
          <w:tcPr>
            <w:tcW w:w="2285" w:type="dxa"/>
          </w:tcPr>
          <w:p w14:paraId="365358E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Смоленское, 64</w:t>
            </w:r>
          </w:p>
        </w:tc>
        <w:tc>
          <w:tcPr>
            <w:tcW w:w="1162" w:type="dxa"/>
          </w:tcPr>
          <w:p w14:paraId="36864E5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276</w:t>
            </w:r>
          </w:p>
        </w:tc>
      </w:tr>
      <w:tr w:rsidR="004B4E35" w:rsidRPr="00405303" w14:paraId="279D1314" w14:textId="77777777">
        <w:trPr>
          <w:trHeight w:val="336"/>
        </w:trPr>
        <w:tc>
          <w:tcPr>
            <w:tcW w:w="4483" w:type="dxa"/>
          </w:tcPr>
          <w:p w14:paraId="72F60AF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Чугунолитейный и механический зав. акц. о-ва «Атлас»</w:t>
            </w:r>
          </w:p>
        </w:tc>
        <w:tc>
          <w:tcPr>
            <w:tcW w:w="2285" w:type="dxa"/>
          </w:tcPr>
          <w:p w14:paraId="640F3FF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Невск. Застава, Мурав. пер., 3</w:t>
            </w:r>
          </w:p>
        </w:tc>
        <w:tc>
          <w:tcPr>
            <w:tcW w:w="1162" w:type="dxa"/>
          </w:tcPr>
          <w:p w14:paraId="381563A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372</w:t>
            </w:r>
          </w:p>
        </w:tc>
      </w:tr>
      <w:tr w:rsidR="004B4E35" w:rsidRPr="00405303" w14:paraId="08D26030" w14:textId="77777777">
        <w:trPr>
          <w:trHeight w:val="336"/>
        </w:trPr>
        <w:tc>
          <w:tcPr>
            <w:tcW w:w="4483" w:type="dxa"/>
          </w:tcPr>
          <w:p w14:paraId="4FF1A11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Механический зав. Русско-Американского акц. металличес</w:t>
            </w:r>
            <w:r w:rsidRPr="00405303">
              <w:rPr>
                <w:bCs/>
                <w:color w:val="002060"/>
                <w:sz w:val="16"/>
                <w:szCs w:val="16"/>
              </w:rPr>
              <w:softHyphen/>
              <w:t>кого о-ва</w:t>
            </w:r>
          </w:p>
        </w:tc>
        <w:tc>
          <w:tcPr>
            <w:tcW w:w="2285" w:type="dxa"/>
          </w:tcPr>
          <w:p w14:paraId="03BD930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Шлиссельбургский пр.,23</w:t>
            </w:r>
          </w:p>
        </w:tc>
        <w:tc>
          <w:tcPr>
            <w:tcW w:w="1162" w:type="dxa"/>
          </w:tcPr>
          <w:p w14:paraId="1ABE125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208</w:t>
            </w:r>
          </w:p>
        </w:tc>
      </w:tr>
      <w:tr w:rsidR="004B4E35" w:rsidRPr="00405303" w14:paraId="00339E76" w14:textId="77777777">
        <w:trPr>
          <w:trHeight w:val="336"/>
        </w:trPr>
        <w:tc>
          <w:tcPr>
            <w:tcW w:w="4483" w:type="dxa"/>
          </w:tcPr>
          <w:p w14:paraId="09C0B6F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Глухоозерский цементный завод</w:t>
            </w:r>
          </w:p>
        </w:tc>
        <w:tc>
          <w:tcPr>
            <w:tcW w:w="2285" w:type="dxa"/>
          </w:tcPr>
          <w:p w14:paraId="41386EB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4-я верста Никол, ж. д.</w:t>
            </w:r>
          </w:p>
        </w:tc>
        <w:tc>
          <w:tcPr>
            <w:tcW w:w="1162" w:type="dxa"/>
          </w:tcPr>
          <w:p w14:paraId="2CFCFAF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378</w:t>
            </w:r>
          </w:p>
        </w:tc>
      </w:tr>
      <w:tr w:rsidR="004B4E35" w:rsidRPr="00405303" w14:paraId="0B48CE14" w14:textId="77777777">
        <w:trPr>
          <w:trHeight w:val="336"/>
        </w:trPr>
        <w:tc>
          <w:tcPr>
            <w:tcW w:w="4483" w:type="dxa"/>
          </w:tcPr>
          <w:p w14:paraId="5752BD1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Невский стеариновый завод</w:t>
            </w:r>
          </w:p>
        </w:tc>
        <w:tc>
          <w:tcPr>
            <w:tcW w:w="2285" w:type="dxa"/>
          </w:tcPr>
          <w:p w14:paraId="1C2D7D0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Смоленское, 68</w:t>
            </w:r>
          </w:p>
        </w:tc>
        <w:tc>
          <w:tcPr>
            <w:tcW w:w="1162" w:type="dxa"/>
          </w:tcPr>
          <w:p w14:paraId="1822D4C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975</w:t>
            </w:r>
          </w:p>
        </w:tc>
      </w:tr>
      <w:tr w:rsidR="004B4E35" w:rsidRPr="00405303" w14:paraId="2510B733" w14:textId="77777777">
        <w:trPr>
          <w:trHeight w:val="336"/>
        </w:trPr>
        <w:tc>
          <w:tcPr>
            <w:tcW w:w="4483" w:type="dxa"/>
          </w:tcPr>
          <w:p w14:paraId="0316803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Ф-ка ювелирных изделий «Эдуард»</w:t>
            </w:r>
          </w:p>
        </w:tc>
        <w:tc>
          <w:tcPr>
            <w:tcW w:w="2285" w:type="dxa"/>
          </w:tcPr>
          <w:p w14:paraId="1141017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4-я Рождественская, 15</w:t>
            </w:r>
          </w:p>
        </w:tc>
        <w:tc>
          <w:tcPr>
            <w:tcW w:w="1162" w:type="dxa"/>
          </w:tcPr>
          <w:p w14:paraId="05E1088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270</w:t>
            </w:r>
          </w:p>
        </w:tc>
      </w:tr>
      <w:tr w:rsidR="004B4E35" w:rsidRPr="00405303" w14:paraId="61E34C30" w14:textId="77777777">
        <w:trPr>
          <w:trHeight w:val="336"/>
        </w:trPr>
        <w:tc>
          <w:tcPr>
            <w:tcW w:w="4483" w:type="dxa"/>
          </w:tcPr>
          <w:p w14:paraId="0D50F40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Меднокотельный и механический зав. А. М. Оуф</w:t>
            </w:r>
          </w:p>
        </w:tc>
        <w:tc>
          <w:tcPr>
            <w:tcW w:w="2285" w:type="dxa"/>
          </w:tcPr>
          <w:p w14:paraId="75AF460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4-я Рождественск., 20-22</w:t>
            </w:r>
          </w:p>
        </w:tc>
        <w:tc>
          <w:tcPr>
            <w:tcW w:w="1162" w:type="dxa"/>
          </w:tcPr>
          <w:p w14:paraId="601D5F7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28</w:t>
            </w:r>
          </w:p>
        </w:tc>
      </w:tr>
      <w:tr w:rsidR="004B4E35" w:rsidRPr="00405303" w14:paraId="67715D50" w14:textId="77777777">
        <w:trPr>
          <w:trHeight w:val="336"/>
        </w:trPr>
        <w:tc>
          <w:tcPr>
            <w:tcW w:w="4483" w:type="dxa"/>
          </w:tcPr>
          <w:p w14:paraId="67EEBAF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Механическая мастерская т-ва «Свет»</w:t>
            </w:r>
          </w:p>
        </w:tc>
        <w:tc>
          <w:tcPr>
            <w:tcW w:w="2285" w:type="dxa"/>
          </w:tcPr>
          <w:p w14:paraId="4C881E7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Невский, 128</w:t>
            </w:r>
          </w:p>
        </w:tc>
        <w:tc>
          <w:tcPr>
            <w:tcW w:w="1162" w:type="dxa"/>
          </w:tcPr>
          <w:p w14:paraId="1D0517D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200</w:t>
            </w:r>
          </w:p>
        </w:tc>
      </w:tr>
      <w:tr w:rsidR="004B4E35" w:rsidRPr="00405303" w14:paraId="25BD8D16" w14:textId="77777777">
        <w:trPr>
          <w:trHeight w:val="336"/>
        </w:trPr>
        <w:tc>
          <w:tcPr>
            <w:tcW w:w="4483" w:type="dxa"/>
          </w:tcPr>
          <w:p w14:paraId="0315B2B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Механический литейный завод Русско-американского акц. металлического о-ва</w:t>
            </w:r>
          </w:p>
        </w:tc>
        <w:tc>
          <w:tcPr>
            <w:tcW w:w="2285" w:type="dxa"/>
          </w:tcPr>
          <w:p w14:paraId="7275B22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Матросская ул., 28</w:t>
            </w:r>
          </w:p>
        </w:tc>
        <w:tc>
          <w:tcPr>
            <w:tcW w:w="1162" w:type="dxa"/>
          </w:tcPr>
          <w:p w14:paraId="283F76C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250</w:t>
            </w:r>
          </w:p>
        </w:tc>
      </w:tr>
      <w:tr w:rsidR="004B4E35" w:rsidRPr="00405303" w14:paraId="4B731D93" w14:textId="77777777">
        <w:trPr>
          <w:trHeight w:val="336"/>
        </w:trPr>
        <w:tc>
          <w:tcPr>
            <w:tcW w:w="4483" w:type="dxa"/>
          </w:tcPr>
          <w:p w14:paraId="73DA4D1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Зеркальный за </w:t>
            </w:r>
            <w:proofErr w:type="gramStart"/>
            <w:r w:rsidRPr="00405303">
              <w:rPr>
                <w:bCs/>
                <w:color w:val="002060"/>
                <w:sz w:val="16"/>
                <w:szCs w:val="16"/>
              </w:rPr>
              <w:t>вод Се</w:t>
            </w:r>
            <w:proofErr w:type="gramEnd"/>
            <w:r w:rsidRPr="00405303">
              <w:rPr>
                <w:bCs/>
                <w:color w:val="002060"/>
                <w:sz w:val="16"/>
                <w:szCs w:val="16"/>
              </w:rPr>
              <w:t xml:space="preserve"> верного стекольнопромышленного о-ва</w:t>
            </w:r>
          </w:p>
        </w:tc>
        <w:tc>
          <w:tcPr>
            <w:tcW w:w="2285" w:type="dxa"/>
          </w:tcPr>
          <w:p w14:paraId="18CBA1B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Деминскаяул., 9</w:t>
            </w:r>
          </w:p>
        </w:tc>
        <w:tc>
          <w:tcPr>
            <w:tcW w:w="1162" w:type="dxa"/>
          </w:tcPr>
          <w:p w14:paraId="57073B1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298</w:t>
            </w:r>
          </w:p>
        </w:tc>
      </w:tr>
      <w:tr w:rsidR="004B4E35" w:rsidRPr="00405303" w14:paraId="1080DC04" w14:textId="77777777">
        <w:trPr>
          <w:trHeight w:val="336"/>
        </w:trPr>
        <w:tc>
          <w:tcPr>
            <w:tcW w:w="4483" w:type="dxa"/>
          </w:tcPr>
          <w:p w14:paraId="1A42750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Альбомная ф-ка С. С. Бехли</w:t>
            </w:r>
          </w:p>
        </w:tc>
        <w:tc>
          <w:tcPr>
            <w:tcW w:w="2285" w:type="dxa"/>
          </w:tcPr>
          <w:p w14:paraId="02908B9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Больш. Болотная, 22</w:t>
            </w:r>
          </w:p>
        </w:tc>
        <w:tc>
          <w:tcPr>
            <w:tcW w:w="1162" w:type="dxa"/>
          </w:tcPr>
          <w:p w14:paraId="7E474DC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240</w:t>
            </w:r>
          </w:p>
        </w:tc>
      </w:tr>
      <w:tr w:rsidR="004B4E35" w:rsidRPr="00405303" w14:paraId="3DCDC9DF" w14:textId="77777777">
        <w:trPr>
          <w:trHeight w:val="336"/>
        </w:trPr>
        <w:tc>
          <w:tcPr>
            <w:tcW w:w="4483" w:type="dxa"/>
          </w:tcPr>
          <w:p w14:paraId="3A85398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Столярная ф-ка П. Беляева наследников</w:t>
            </w:r>
          </w:p>
        </w:tc>
        <w:tc>
          <w:tcPr>
            <w:tcW w:w="2285" w:type="dxa"/>
          </w:tcPr>
          <w:p w14:paraId="23FCD31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Кялашниковск. пр., 84</w:t>
            </w:r>
          </w:p>
        </w:tc>
        <w:tc>
          <w:tcPr>
            <w:tcW w:w="1162" w:type="dxa"/>
          </w:tcPr>
          <w:p w14:paraId="353B44D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209</w:t>
            </w:r>
          </w:p>
        </w:tc>
      </w:tr>
      <w:tr w:rsidR="004B4E35" w:rsidRPr="00405303" w14:paraId="30ECB251" w14:textId="77777777">
        <w:trPr>
          <w:trHeight w:val="336"/>
        </w:trPr>
        <w:tc>
          <w:tcPr>
            <w:tcW w:w="4483" w:type="dxa"/>
          </w:tcPr>
          <w:p w14:paraId="1AC645F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Автомобильная мастерская Российского автомобильного о-ва Г. А. Лесснер</w:t>
            </w:r>
          </w:p>
        </w:tc>
        <w:tc>
          <w:tcPr>
            <w:tcW w:w="2285" w:type="dxa"/>
          </w:tcPr>
          <w:p w14:paraId="4376889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Шпалерная, 15</w:t>
            </w:r>
          </w:p>
        </w:tc>
        <w:tc>
          <w:tcPr>
            <w:tcW w:w="1162" w:type="dxa"/>
          </w:tcPr>
          <w:p w14:paraId="3562F8B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70</w:t>
            </w:r>
          </w:p>
        </w:tc>
      </w:tr>
      <w:tr w:rsidR="004B4E35" w:rsidRPr="00405303" w14:paraId="54CF6249" w14:textId="77777777">
        <w:trPr>
          <w:trHeight w:val="336"/>
        </w:trPr>
        <w:tc>
          <w:tcPr>
            <w:tcW w:w="4483" w:type="dxa"/>
          </w:tcPr>
          <w:p w14:paraId="0381907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Автомобильная мастерская Русско-Балтийского вагонного за</w:t>
            </w:r>
            <w:r w:rsidRPr="00405303">
              <w:rPr>
                <w:bCs/>
                <w:color w:val="002060"/>
                <w:sz w:val="16"/>
                <w:szCs w:val="16"/>
              </w:rPr>
              <w:softHyphen/>
              <w:t>вода в Риге</w:t>
            </w:r>
          </w:p>
        </w:tc>
        <w:tc>
          <w:tcPr>
            <w:tcW w:w="2285" w:type="dxa"/>
          </w:tcPr>
          <w:p w14:paraId="1C90D4B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Эртелев пер., 10</w:t>
            </w:r>
          </w:p>
        </w:tc>
        <w:tc>
          <w:tcPr>
            <w:tcW w:w="1162" w:type="dxa"/>
          </w:tcPr>
          <w:p w14:paraId="7B3C568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120</w:t>
            </w:r>
          </w:p>
        </w:tc>
      </w:tr>
      <w:tr w:rsidR="004B4E35" w:rsidRPr="00405303" w14:paraId="0993895D" w14:textId="77777777">
        <w:trPr>
          <w:trHeight w:val="336"/>
        </w:trPr>
        <w:tc>
          <w:tcPr>
            <w:tcW w:w="4483" w:type="dxa"/>
          </w:tcPr>
          <w:p w14:paraId="32FA790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Трубопрокатный зав. Северного о-ва</w:t>
            </w:r>
          </w:p>
        </w:tc>
        <w:tc>
          <w:tcPr>
            <w:tcW w:w="2285" w:type="dxa"/>
          </w:tcPr>
          <w:p w14:paraId="4E024B6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Железнодорожная, 30-32 </w:t>
            </w:r>
          </w:p>
        </w:tc>
        <w:tc>
          <w:tcPr>
            <w:tcW w:w="1162" w:type="dxa"/>
          </w:tcPr>
          <w:p w14:paraId="49136EE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126</w:t>
            </w:r>
          </w:p>
        </w:tc>
      </w:tr>
      <w:tr w:rsidR="004B4E35" w:rsidRPr="00405303" w14:paraId="245EFB79" w14:textId="77777777">
        <w:trPr>
          <w:trHeight w:val="336"/>
        </w:trPr>
        <w:tc>
          <w:tcPr>
            <w:tcW w:w="4483" w:type="dxa"/>
          </w:tcPr>
          <w:p w14:paraId="7C0973A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Северный проволочный и гвоздильный зав.</w:t>
            </w:r>
          </w:p>
        </w:tc>
        <w:tc>
          <w:tcPr>
            <w:tcW w:w="2285" w:type="dxa"/>
          </w:tcPr>
          <w:p w14:paraId="11A6905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Смоляная, 4</w:t>
            </w:r>
          </w:p>
        </w:tc>
        <w:tc>
          <w:tcPr>
            <w:tcW w:w="1162" w:type="dxa"/>
          </w:tcPr>
          <w:p w14:paraId="3DFCC00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75</w:t>
            </w:r>
          </w:p>
        </w:tc>
      </w:tr>
      <w:tr w:rsidR="004B4E35" w:rsidRPr="00405303" w14:paraId="6C7D9A19" w14:textId="77777777">
        <w:trPr>
          <w:trHeight w:val="173"/>
        </w:trPr>
        <w:tc>
          <w:tcPr>
            <w:tcW w:w="4483" w:type="dxa"/>
          </w:tcPr>
          <w:p w14:paraId="6AE2164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Мастерская проволочи, изделий М. Зубова</w:t>
            </w:r>
          </w:p>
        </w:tc>
        <w:tc>
          <w:tcPr>
            <w:tcW w:w="2285" w:type="dxa"/>
          </w:tcPr>
          <w:p w14:paraId="7E7D093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Шлиссельбургск. пр., 103</w:t>
            </w:r>
          </w:p>
        </w:tc>
        <w:tc>
          <w:tcPr>
            <w:tcW w:w="1162" w:type="dxa"/>
          </w:tcPr>
          <w:p w14:paraId="1DD76D0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16</w:t>
            </w:r>
          </w:p>
        </w:tc>
      </w:tr>
      <w:tr w:rsidR="004B4E35" w:rsidRPr="00405303" w14:paraId="08193A5D" w14:textId="77777777">
        <w:trPr>
          <w:trHeight w:val="192"/>
        </w:trPr>
        <w:tc>
          <w:tcPr>
            <w:tcW w:w="4483" w:type="dxa"/>
          </w:tcPr>
          <w:p w14:paraId="298DB00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Чугунолитейный зав. Торг, дома «И. Парвиайнена наследни ков»</w:t>
            </w:r>
          </w:p>
        </w:tc>
        <w:tc>
          <w:tcPr>
            <w:tcW w:w="2285" w:type="dxa"/>
          </w:tcPr>
          <w:p w14:paraId="3BA6318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Смоленское, 77</w:t>
            </w:r>
          </w:p>
        </w:tc>
        <w:tc>
          <w:tcPr>
            <w:tcW w:w="1162" w:type="dxa"/>
          </w:tcPr>
          <w:p w14:paraId="71C75BC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43</w:t>
            </w:r>
          </w:p>
        </w:tc>
      </w:tr>
      <w:tr w:rsidR="004B4E35" w:rsidRPr="00405303" w14:paraId="4F309436" w14:textId="77777777">
        <w:trPr>
          <w:trHeight w:val="182"/>
        </w:trPr>
        <w:tc>
          <w:tcPr>
            <w:tcW w:w="4483" w:type="dxa"/>
          </w:tcPr>
          <w:p w14:paraId="4AE0BD8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Механический зав. К° насосов Вортингтон</w:t>
            </w:r>
          </w:p>
        </w:tc>
        <w:tc>
          <w:tcPr>
            <w:tcW w:w="2285" w:type="dxa"/>
          </w:tcPr>
          <w:p w14:paraId="2AD2CEC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Палевский просп., 33</w:t>
            </w:r>
          </w:p>
        </w:tc>
        <w:tc>
          <w:tcPr>
            <w:tcW w:w="1162" w:type="dxa"/>
          </w:tcPr>
          <w:p w14:paraId="7453D57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12</w:t>
            </w:r>
          </w:p>
        </w:tc>
      </w:tr>
      <w:tr w:rsidR="004B4E35" w:rsidRPr="00405303" w14:paraId="7A23A6D8" w14:textId="77777777">
        <w:trPr>
          <w:trHeight w:val="163"/>
        </w:trPr>
        <w:tc>
          <w:tcPr>
            <w:tcW w:w="4483" w:type="dxa"/>
          </w:tcPr>
          <w:p w14:paraId="15B2CA2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Механический зав. Л. Грюнтапьи К°</w:t>
            </w:r>
          </w:p>
        </w:tc>
        <w:tc>
          <w:tcPr>
            <w:tcW w:w="2285" w:type="dxa"/>
          </w:tcPr>
          <w:p w14:paraId="0701777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Глухоозерская ул., 18</w:t>
            </w:r>
          </w:p>
        </w:tc>
        <w:tc>
          <w:tcPr>
            <w:tcW w:w="1162" w:type="dxa"/>
          </w:tcPr>
          <w:p w14:paraId="5E51908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60</w:t>
            </w:r>
          </w:p>
        </w:tc>
      </w:tr>
      <w:tr w:rsidR="004B4E35" w:rsidRPr="00405303" w14:paraId="1A4503AC" w14:textId="77777777">
        <w:trPr>
          <w:trHeight w:val="173"/>
        </w:trPr>
        <w:tc>
          <w:tcPr>
            <w:tcW w:w="4483" w:type="dxa"/>
          </w:tcPr>
          <w:p w14:paraId="44C4B80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Механическая мастерская Русского акц. о-ва братьев Кертинг</w:t>
            </w:r>
          </w:p>
        </w:tc>
        <w:tc>
          <w:tcPr>
            <w:tcW w:w="2285" w:type="dxa"/>
          </w:tcPr>
          <w:p w14:paraId="49D6009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Тележная ул., 32</w:t>
            </w:r>
          </w:p>
        </w:tc>
        <w:tc>
          <w:tcPr>
            <w:tcW w:w="1162" w:type="dxa"/>
          </w:tcPr>
          <w:p w14:paraId="31E0DB2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28</w:t>
            </w:r>
          </w:p>
        </w:tc>
      </w:tr>
      <w:tr w:rsidR="004B4E35" w:rsidRPr="00405303" w14:paraId="1DBED7FC" w14:textId="77777777">
        <w:trPr>
          <w:trHeight w:val="173"/>
        </w:trPr>
        <w:tc>
          <w:tcPr>
            <w:tcW w:w="4483" w:type="dxa"/>
          </w:tcPr>
          <w:p w14:paraId="64AAAB6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Завод свинцовых пуль Русского акц. о-ва «Пулемет»</w:t>
            </w:r>
          </w:p>
        </w:tc>
        <w:tc>
          <w:tcPr>
            <w:tcW w:w="2285" w:type="dxa"/>
          </w:tcPr>
          <w:p w14:paraId="027EB16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Глухоозерская ул., 10</w:t>
            </w:r>
          </w:p>
        </w:tc>
        <w:tc>
          <w:tcPr>
            <w:tcW w:w="1162" w:type="dxa"/>
          </w:tcPr>
          <w:p w14:paraId="5167FF6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124</w:t>
            </w:r>
          </w:p>
        </w:tc>
      </w:tr>
      <w:tr w:rsidR="004B4E35" w:rsidRPr="00405303" w14:paraId="14CB9BB1" w14:textId="77777777">
        <w:trPr>
          <w:trHeight w:val="163"/>
        </w:trPr>
        <w:tc>
          <w:tcPr>
            <w:tcW w:w="4483" w:type="dxa"/>
          </w:tcPr>
          <w:p w14:paraId="3D70B1C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Завод Русского акц. о-ва «Блаугаз»</w:t>
            </w:r>
          </w:p>
        </w:tc>
        <w:tc>
          <w:tcPr>
            <w:tcW w:w="2285" w:type="dxa"/>
          </w:tcPr>
          <w:p w14:paraId="27618B0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Железнодорожная, 50-57</w:t>
            </w:r>
          </w:p>
        </w:tc>
        <w:tc>
          <w:tcPr>
            <w:tcW w:w="1162" w:type="dxa"/>
          </w:tcPr>
          <w:p w14:paraId="641F033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22</w:t>
            </w:r>
          </w:p>
        </w:tc>
      </w:tr>
      <w:tr w:rsidR="004B4E35" w:rsidRPr="00405303" w14:paraId="6C32694B" w14:textId="77777777">
        <w:trPr>
          <w:trHeight w:val="173"/>
        </w:trPr>
        <w:tc>
          <w:tcPr>
            <w:tcW w:w="4483" w:type="dxa"/>
          </w:tcPr>
          <w:p w14:paraId="6220A40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Химический зав. С. М. Красновского</w:t>
            </w:r>
          </w:p>
        </w:tc>
        <w:tc>
          <w:tcPr>
            <w:tcW w:w="2285" w:type="dxa"/>
          </w:tcPr>
          <w:p w14:paraId="19425CE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Железнодорожная, 42</w:t>
            </w:r>
          </w:p>
        </w:tc>
        <w:tc>
          <w:tcPr>
            <w:tcW w:w="1162" w:type="dxa"/>
          </w:tcPr>
          <w:p w14:paraId="21F26C5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w:t>
            </w:r>
          </w:p>
        </w:tc>
      </w:tr>
      <w:tr w:rsidR="004B4E35" w:rsidRPr="00405303" w14:paraId="5BE118A1" w14:textId="77777777">
        <w:trPr>
          <w:trHeight w:val="163"/>
        </w:trPr>
        <w:tc>
          <w:tcPr>
            <w:tcW w:w="4483" w:type="dxa"/>
          </w:tcPr>
          <w:p w14:paraId="64FE447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Бумажно-шпульная ф-ка Габекорна и Мацнера</w:t>
            </w:r>
          </w:p>
        </w:tc>
        <w:tc>
          <w:tcPr>
            <w:tcW w:w="2285" w:type="dxa"/>
          </w:tcPr>
          <w:p w14:paraId="0995DB4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Петровская ул., 14</w:t>
            </w:r>
          </w:p>
        </w:tc>
        <w:tc>
          <w:tcPr>
            <w:tcW w:w="1162" w:type="dxa"/>
          </w:tcPr>
          <w:p w14:paraId="55092BC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51</w:t>
            </w:r>
          </w:p>
        </w:tc>
      </w:tr>
      <w:tr w:rsidR="004B4E35" w:rsidRPr="00405303" w14:paraId="7A464CC0" w14:textId="77777777">
        <w:trPr>
          <w:trHeight w:val="173"/>
        </w:trPr>
        <w:tc>
          <w:tcPr>
            <w:tcW w:w="4483" w:type="dxa"/>
          </w:tcPr>
          <w:p w14:paraId="657AC03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Невский лесопильный завод В. А. Русанова</w:t>
            </w:r>
          </w:p>
        </w:tc>
        <w:tc>
          <w:tcPr>
            <w:tcW w:w="2285" w:type="dxa"/>
          </w:tcPr>
          <w:p w14:paraId="312BDA4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Прав, берег Невы, 223</w:t>
            </w:r>
          </w:p>
        </w:tc>
        <w:tc>
          <w:tcPr>
            <w:tcW w:w="1162" w:type="dxa"/>
          </w:tcPr>
          <w:p w14:paraId="7A611A9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159</w:t>
            </w:r>
          </w:p>
        </w:tc>
      </w:tr>
      <w:tr w:rsidR="004B4E35" w:rsidRPr="00405303" w14:paraId="57F24B09" w14:textId="77777777">
        <w:trPr>
          <w:trHeight w:val="173"/>
        </w:trPr>
        <w:tc>
          <w:tcPr>
            <w:tcW w:w="4483" w:type="dxa"/>
          </w:tcPr>
          <w:p w14:paraId="75FB549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Столярно-ящичнаяф-кабр. М. и В. Алексеевых</w:t>
            </w:r>
          </w:p>
        </w:tc>
        <w:tc>
          <w:tcPr>
            <w:tcW w:w="2285" w:type="dxa"/>
          </w:tcPr>
          <w:p w14:paraId="45E9F66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Смоленское, 49</w:t>
            </w:r>
          </w:p>
        </w:tc>
        <w:tc>
          <w:tcPr>
            <w:tcW w:w="1162" w:type="dxa"/>
          </w:tcPr>
          <w:p w14:paraId="3B9ED8D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96</w:t>
            </w:r>
          </w:p>
        </w:tc>
      </w:tr>
      <w:tr w:rsidR="004B4E35" w:rsidRPr="00405303" w14:paraId="3B5E493F" w14:textId="77777777">
        <w:trPr>
          <w:trHeight w:val="173"/>
        </w:trPr>
        <w:tc>
          <w:tcPr>
            <w:tcW w:w="4483" w:type="dxa"/>
          </w:tcPr>
          <w:p w14:paraId="05356D5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Невский проволочный и гвоздильный зав. П. Н. Аристова</w:t>
            </w:r>
          </w:p>
        </w:tc>
        <w:tc>
          <w:tcPr>
            <w:tcW w:w="2285" w:type="dxa"/>
          </w:tcPr>
          <w:p w14:paraId="6DAF761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Общественный пер., 7</w:t>
            </w:r>
          </w:p>
        </w:tc>
        <w:tc>
          <w:tcPr>
            <w:tcW w:w="1162" w:type="dxa"/>
          </w:tcPr>
          <w:p w14:paraId="7F5357D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28</w:t>
            </w:r>
          </w:p>
        </w:tc>
      </w:tr>
      <w:tr w:rsidR="004B4E35" w:rsidRPr="00405303" w14:paraId="158B1A46" w14:textId="77777777">
        <w:trPr>
          <w:trHeight w:val="163"/>
        </w:trPr>
        <w:tc>
          <w:tcPr>
            <w:tcW w:w="4483" w:type="dxa"/>
          </w:tcPr>
          <w:p w14:paraId="2B2CC3E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Механический зав. Белопольского и К"</w:t>
            </w:r>
          </w:p>
        </w:tc>
        <w:tc>
          <w:tcPr>
            <w:tcW w:w="2285" w:type="dxa"/>
          </w:tcPr>
          <w:p w14:paraId="6F63B8A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Александровская, 1 1</w:t>
            </w:r>
          </w:p>
        </w:tc>
        <w:tc>
          <w:tcPr>
            <w:tcW w:w="1162" w:type="dxa"/>
          </w:tcPr>
          <w:p w14:paraId="5FB09D3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21</w:t>
            </w:r>
          </w:p>
        </w:tc>
      </w:tr>
      <w:tr w:rsidR="004B4E35" w:rsidRPr="00405303" w14:paraId="12ABBB2F" w14:textId="77777777">
        <w:trPr>
          <w:trHeight w:val="163"/>
        </w:trPr>
        <w:tc>
          <w:tcPr>
            <w:tcW w:w="4483" w:type="dxa"/>
          </w:tcPr>
          <w:p w14:paraId="147BAF1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Коробочная ф-ка А. Н. Кулыманова</w:t>
            </w:r>
          </w:p>
        </w:tc>
        <w:tc>
          <w:tcPr>
            <w:tcW w:w="2285" w:type="dxa"/>
          </w:tcPr>
          <w:p w14:paraId="67F9FAD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3-я Рождественская, 40</w:t>
            </w:r>
          </w:p>
        </w:tc>
        <w:tc>
          <w:tcPr>
            <w:tcW w:w="1162" w:type="dxa"/>
          </w:tcPr>
          <w:p w14:paraId="7C1A293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170</w:t>
            </w:r>
          </w:p>
        </w:tc>
      </w:tr>
      <w:tr w:rsidR="004B4E35" w:rsidRPr="00405303" w14:paraId="19A18D1C" w14:textId="77777777">
        <w:trPr>
          <w:trHeight w:val="173"/>
        </w:trPr>
        <w:tc>
          <w:tcPr>
            <w:tcW w:w="4483" w:type="dxa"/>
          </w:tcPr>
          <w:p w14:paraId="6138C75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Шорно-седельная ф-кат-</w:t>
            </w:r>
            <w:proofErr w:type="gramStart"/>
            <w:r w:rsidRPr="00405303">
              <w:rPr>
                <w:bCs/>
                <w:color w:val="002060"/>
                <w:sz w:val="16"/>
                <w:szCs w:val="16"/>
              </w:rPr>
              <w:t>ва«</w:t>
            </w:r>
            <w:proofErr w:type="gramEnd"/>
            <w:r w:rsidRPr="00405303">
              <w:rPr>
                <w:bCs/>
                <w:color w:val="002060"/>
                <w:sz w:val="16"/>
                <w:szCs w:val="16"/>
              </w:rPr>
              <w:t>Торг.дом М. И. Санови К°»</w:t>
            </w:r>
          </w:p>
        </w:tc>
        <w:tc>
          <w:tcPr>
            <w:tcW w:w="2285" w:type="dxa"/>
          </w:tcPr>
          <w:p w14:paraId="5A439F6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Орловский пер., 4— 1</w:t>
            </w:r>
          </w:p>
        </w:tc>
        <w:tc>
          <w:tcPr>
            <w:tcW w:w="1162" w:type="dxa"/>
          </w:tcPr>
          <w:p w14:paraId="6F4733F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170</w:t>
            </w:r>
          </w:p>
        </w:tc>
      </w:tr>
      <w:tr w:rsidR="004B4E35" w:rsidRPr="00405303" w14:paraId="09B54A86" w14:textId="77777777">
        <w:trPr>
          <w:trHeight w:val="173"/>
        </w:trPr>
        <w:tc>
          <w:tcPr>
            <w:tcW w:w="4483" w:type="dxa"/>
          </w:tcPr>
          <w:p w14:paraId="65AF20B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Лопаточный и вилопрокатный зав. К. Шпигель</w:t>
            </w:r>
          </w:p>
        </w:tc>
        <w:tc>
          <w:tcPr>
            <w:tcW w:w="2285" w:type="dxa"/>
          </w:tcPr>
          <w:p w14:paraId="0A88145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9-я Рождественская, 5</w:t>
            </w:r>
          </w:p>
        </w:tc>
        <w:tc>
          <w:tcPr>
            <w:tcW w:w="1162" w:type="dxa"/>
          </w:tcPr>
          <w:p w14:paraId="2181C02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180</w:t>
            </w:r>
          </w:p>
        </w:tc>
      </w:tr>
      <w:tr w:rsidR="004B4E35" w:rsidRPr="00405303" w14:paraId="5A79D4DF" w14:textId="77777777">
        <w:trPr>
          <w:trHeight w:val="192"/>
        </w:trPr>
        <w:tc>
          <w:tcPr>
            <w:tcW w:w="4483" w:type="dxa"/>
          </w:tcPr>
          <w:p w14:paraId="0AF8AC8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Электрическая станция Петроградского о-ва электрических сооружений</w:t>
            </w:r>
          </w:p>
        </w:tc>
        <w:tc>
          <w:tcPr>
            <w:tcW w:w="2285" w:type="dxa"/>
          </w:tcPr>
          <w:p w14:paraId="01008E1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Новгородская, 12</w:t>
            </w:r>
          </w:p>
        </w:tc>
        <w:tc>
          <w:tcPr>
            <w:tcW w:w="1162" w:type="dxa"/>
          </w:tcPr>
          <w:p w14:paraId="0D56EAC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107</w:t>
            </w:r>
          </w:p>
        </w:tc>
      </w:tr>
      <w:tr w:rsidR="004B4E35" w:rsidRPr="00405303" w14:paraId="4C33644C" w14:textId="77777777">
        <w:trPr>
          <w:trHeight w:val="163"/>
        </w:trPr>
        <w:tc>
          <w:tcPr>
            <w:tcW w:w="4483" w:type="dxa"/>
          </w:tcPr>
          <w:p w14:paraId="0EE848A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Коробочная ф-ка Ф. С. Година</w:t>
            </w:r>
          </w:p>
        </w:tc>
        <w:tc>
          <w:tcPr>
            <w:tcW w:w="2285" w:type="dxa"/>
          </w:tcPr>
          <w:p w14:paraId="0038753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9-я Рождественская, 24</w:t>
            </w:r>
          </w:p>
        </w:tc>
        <w:tc>
          <w:tcPr>
            <w:tcW w:w="1162" w:type="dxa"/>
          </w:tcPr>
          <w:p w14:paraId="10F6194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84</w:t>
            </w:r>
          </w:p>
        </w:tc>
      </w:tr>
      <w:tr w:rsidR="004B4E35" w:rsidRPr="00405303" w14:paraId="4E574A90" w14:textId="77777777">
        <w:trPr>
          <w:trHeight w:val="173"/>
        </w:trPr>
        <w:tc>
          <w:tcPr>
            <w:tcW w:w="4483" w:type="dxa"/>
          </w:tcPr>
          <w:p w14:paraId="6A9B9AB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Бронзолитейный завод «Моран»Э. П. Гакера</w:t>
            </w:r>
          </w:p>
        </w:tc>
        <w:tc>
          <w:tcPr>
            <w:tcW w:w="2285" w:type="dxa"/>
          </w:tcPr>
          <w:p w14:paraId="6E8B727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Мал. Болотная, 5</w:t>
            </w:r>
          </w:p>
        </w:tc>
        <w:tc>
          <w:tcPr>
            <w:tcW w:w="1162" w:type="dxa"/>
          </w:tcPr>
          <w:p w14:paraId="76B30F1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w:t>
            </w:r>
          </w:p>
        </w:tc>
      </w:tr>
      <w:tr w:rsidR="004B4E35" w:rsidRPr="00405303" w14:paraId="573C9F0D" w14:textId="77777777">
        <w:trPr>
          <w:trHeight w:val="163"/>
        </w:trPr>
        <w:tc>
          <w:tcPr>
            <w:tcW w:w="4483" w:type="dxa"/>
          </w:tcPr>
          <w:p w14:paraId="05D4425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Завод земледельческих орудий В. К. Аккермана</w:t>
            </w:r>
          </w:p>
        </w:tc>
        <w:tc>
          <w:tcPr>
            <w:tcW w:w="2285" w:type="dxa"/>
          </w:tcPr>
          <w:p w14:paraId="3B02D1A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Бол. Болотная, 6</w:t>
            </w:r>
          </w:p>
        </w:tc>
        <w:tc>
          <w:tcPr>
            <w:tcW w:w="1162" w:type="dxa"/>
          </w:tcPr>
          <w:p w14:paraId="76312A9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w:t>
            </w:r>
          </w:p>
        </w:tc>
      </w:tr>
      <w:tr w:rsidR="004B4E35" w:rsidRPr="00405303" w14:paraId="38527FC1" w14:textId="77777777">
        <w:trPr>
          <w:trHeight w:val="173"/>
        </w:trPr>
        <w:tc>
          <w:tcPr>
            <w:tcW w:w="4483" w:type="dxa"/>
          </w:tcPr>
          <w:p w14:paraId="4BAEA3A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Механический зав. торг, дома Я. и Б. Аващ</w:t>
            </w:r>
          </w:p>
        </w:tc>
        <w:tc>
          <w:tcPr>
            <w:tcW w:w="2285" w:type="dxa"/>
          </w:tcPr>
          <w:p w14:paraId="05C8B65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Тверская, 1-25</w:t>
            </w:r>
          </w:p>
        </w:tc>
        <w:tc>
          <w:tcPr>
            <w:tcW w:w="1162" w:type="dxa"/>
          </w:tcPr>
          <w:p w14:paraId="00076FA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42</w:t>
            </w:r>
          </w:p>
        </w:tc>
      </w:tr>
      <w:tr w:rsidR="004B4E35" w:rsidRPr="00405303" w14:paraId="4007B3B6" w14:textId="77777777">
        <w:trPr>
          <w:trHeight w:val="192"/>
        </w:trPr>
        <w:tc>
          <w:tcPr>
            <w:tcW w:w="4483" w:type="dxa"/>
          </w:tcPr>
          <w:p w14:paraId="4FFBEA2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Учебные мастерские Римско-Католического </w:t>
            </w:r>
            <w:proofErr w:type="gramStart"/>
            <w:r w:rsidRPr="00405303">
              <w:rPr>
                <w:bCs/>
                <w:color w:val="002060"/>
                <w:sz w:val="16"/>
                <w:szCs w:val="16"/>
              </w:rPr>
              <w:t>благотворитель ного</w:t>
            </w:r>
            <w:proofErr w:type="gramEnd"/>
            <w:r w:rsidRPr="00405303">
              <w:rPr>
                <w:bCs/>
                <w:color w:val="002060"/>
                <w:sz w:val="16"/>
                <w:szCs w:val="16"/>
              </w:rPr>
              <w:t xml:space="preserve"> о-ва </w:t>
            </w:r>
          </w:p>
        </w:tc>
        <w:tc>
          <w:tcPr>
            <w:tcW w:w="2285" w:type="dxa"/>
          </w:tcPr>
          <w:p w14:paraId="0E52B5E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Кирилловская, 19</w:t>
            </w:r>
          </w:p>
        </w:tc>
        <w:tc>
          <w:tcPr>
            <w:tcW w:w="1162" w:type="dxa"/>
          </w:tcPr>
          <w:p w14:paraId="16185F2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w:t>
            </w:r>
          </w:p>
        </w:tc>
      </w:tr>
      <w:tr w:rsidR="004B4E35" w:rsidRPr="00405303" w14:paraId="6639174E" w14:textId="77777777">
        <w:trPr>
          <w:trHeight w:val="182"/>
        </w:trPr>
        <w:tc>
          <w:tcPr>
            <w:tcW w:w="4483" w:type="dxa"/>
          </w:tcPr>
          <w:p w14:paraId="028624B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Слесарно-механическая мастерская А. Прессера</w:t>
            </w:r>
          </w:p>
        </w:tc>
        <w:tc>
          <w:tcPr>
            <w:tcW w:w="2285" w:type="dxa"/>
          </w:tcPr>
          <w:p w14:paraId="6F3B1A8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Мал. Болотная, 13</w:t>
            </w:r>
          </w:p>
        </w:tc>
        <w:tc>
          <w:tcPr>
            <w:tcW w:w="1162" w:type="dxa"/>
          </w:tcPr>
          <w:p w14:paraId="49769B8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w:t>
            </w:r>
          </w:p>
        </w:tc>
      </w:tr>
      <w:tr w:rsidR="004B4E35" w:rsidRPr="00405303" w14:paraId="5382FD17" w14:textId="77777777">
        <w:trPr>
          <w:trHeight w:val="173"/>
        </w:trPr>
        <w:tc>
          <w:tcPr>
            <w:tcW w:w="4483" w:type="dxa"/>
          </w:tcPr>
          <w:p w14:paraId="373FEAF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Судостроительный и механический завод «Охта» акц. о-ва</w:t>
            </w:r>
          </w:p>
        </w:tc>
        <w:tc>
          <w:tcPr>
            <w:tcW w:w="2285" w:type="dxa"/>
          </w:tcPr>
          <w:p w14:paraId="2A25171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Матросская слоб</w:t>
            </w:r>
            <w:proofErr w:type="gramStart"/>
            <w:r w:rsidRPr="00405303">
              <w:rPr>
                <w:bCs/>
                <w:color w:val="002060"/>
                <w:sz w:val="16"/>
                <w:szCs w:val="16"/>
              </w:rPr>
              <w:t>. ,</w:t>
            </w:r>
            <w:proofErr w:type="gramEnd"/>
            <w:r w:rsidRPr="00405303">
              <w:rPr>
                <w:bCs/>
                <w:color w:val="002060"/>
                <w:sz w:val="16"/>
                <w:szCs w:val="16"/>
              </w:rPr>
              <w:t xml:space="preserve"> 2 1 -а</w:t>
            </w:r>
          </w:p>
        </w:tc>
        <w:tc>
          <w:tcPr>
            <w:tcW w:w="1162" w:type="dxa"/>
          </w:tcPr>
          <w:p w14:paraId="6BF28FC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95</w:t>
            </w:r>
          </w:p>
        </w:tc>
      </w:tr>
      <w:tr w:rsidR="004B4E35" w:rsidRPr="00405303" w14:paraId="7C6A3060" w14:textId="77777777">
        <w:trPr>
          <w:trHeight w:val="163"/>
        </w:trPr>
        <w:tc>
          <w:tcPr>
            <w:tcW w:w="4483" w:type="dxa"/>
          </w:tcPr>
          <w:p w14:paraId="63344AE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Мастерская Русского акц. о-ва «Блаугаз»</w:t>
            </w:r>
          </w:p>
        </w:tc>
        <w:tc>
          <w:tcPr>
            <w:tcW w:w="2285" w:type="dxa"/>
          </w:tcPr>
          <w:p w14:paraId="682B2B5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Невский, 125</w:t>
            </w:r>
          </w:p>
        </w:tc>
        <w:tc>
          <w:tcPr>
            <w:tcW w:w="1162" w:type="dxa"/>
          </w:tcPr>
          <w:p w14:paraId="5B2A2F6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w:t>
            </w:r>
          </w:p>
        </w:tc>
      </w:tr>
      <w:tr w:rsidR="004B4E35" w:rsidRPr="00405303" w14:paraId="2AAB461A" w14:textId="77777777">
        <w:trPr>
          <w:trHeight w:val="259"/>
        </w:trPr>
        <w:tc>
          <w:tcPr>
            <w:tcW w:w="4483" w:type="dxa"/>
          </w:tcPr>
          <w:p w14:paraId="10CED38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Экипажная ф-ка «И. Брейтигам»</w:t>
            </w:r>
          </w:p>
        </w:tc>
        <w:tc>
          <w:tcPr>
            <w:tcW w:w="2285" w:type="dxa"/>
          </w:tcPr>
          <w:p w14:paraId="6995B73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Захарьевская,8</w:t>
            </w:r>
          </w:p>
        </w:tc>
        <w:tc>
          <w:tcPr>
            <w:tcW w:w="1162" w:type="dxa"/>
          </w:tcPr>
          <w:p w14:paraId="2FA366C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180</w:t>
            </w:r>
          </w:p>
        </w:tc>
      </w:tr>
      <w:tr w:rsidR="004B4E35" w:rsidRPr="00405303" w14:paraId="097D77BE" w14:textId="77777777">
        <w:trPr>
          <w:trHeight w:val="250"/>
        </w:trPr>
        <w:tc>
          <w:tcPr>
            <w:tcW w:w="4483" w:type="dxa"/>
          </w:tcPr>
          <w:p w14:paraId="07AD0A7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[4-й район]</w:t>
            </w:r>
          </w:p>
        </w:tc>
        <w:tc>
          <w:tcPr>
            <w:tcW w:w="2285" w:type="dxa"/>
          </w:tcPr>
          <w:p w14:paraId="14767755" w14:textId="77777777" w:rsidR="004B4E35" w:rsidRPr="00405303" w:rsidRDefault="004B4E35" w:rsidP="00C15251">
            <w:pPr>
              <w:shd w:val="clear" w:color="auto" w:fill="FFFFFF"/>
              <w:jc w:val="both"/>
              <w:rPr>
                <w:bCs/>
                <w:color w:val="002060"/>
                <w:sz w:val="16"/>
                <w:szCs w:val="16"/>
              </w:rPr>
            </w:pPr>
          </w:p>
        </w:tc>
        <w:tc>
          <w:tcPr>
            <w:tcW w:w="1162" w:type="dxa"/>
          </w:tcPr>
          <w:p w14:paraId="1FCCA909" w14:textId="77777777" w:rsidR="004B4E35" w:rsidRPr="00405303" w:rsidRDefault="004B4E35" w:rsidP="00C15251">
            <w:pPr>
              <w:shd w:val="clear" w:color="auto" w:fill="FFFFFF"/>
              <w:jc w:val="both"/>
              <w:rPr>
                <w:bCs/>
                <w:color w:val="002060"/>
                <w:sz w:val="16"/>
                <w:szCs w:val="16"/>
              </w:rPr>
            </w:pPr>
          </w:p>
        </w:tc>
      </w:tr>
      <w:tr w:rsidR="004B4E35" w:rsidRPr="00405303" w14:paraId="6A255226" w14:textId="77777777">
        <w:trPr>
          <w:trHeight w:val="173"/>
        </w:trPr>
        <w:tc>
          <w:tcPr>
            <w:tcW w:w="4483" w:type="dxa"/>
          </w:tcPr>
          <w:p w14:paraId="2D6773B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Мануфактура т-ва «Новая бумагопрядильня»</w:t>
            </w:r>
          </w:p>
        </w:tc>
        <w:tc>
          <w:tcPr>
            <w:tcW w:w="2285" w:type="dxa"/>
          </w:tcPr>
          <w:p w14:paraId="74CEF61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Обводи, канал, 60</w:t>
            </w:r>
          </w:p>
        </w:tc>
        <w:tc>
          <w:tcPr>
            <w:tcW w:w="1162" w:type="dxa"/>
          </w:tcPr>
          <w:p w14:paraId="42C3BC8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2100</w:t>
            </w:r>
          </w:p>
        </w:tc>
      </w:tr>
      <w:tr w:rsidR="004B4E35" w:rsidRPr="00405303" w14:paraId="07574560" w14:textId="77777777">
        <w:trPr>
          <w:trHeight w:val="173"/>
        </w:trPr>
        <w:tc>
          <w:tcPr>
            <w:tcW w:w="4483" w:type="dxa"/>
          </w:tcPr>
          <w:p w14:paraId="34CD6F5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Фабрика т-ва Петроградского механического производства обу ви под фирм. «Скороход»</w:t>
            </w:r>
          </w:p>
        </w:tc>
        <w:tc>
          <w:tcPr>
            <w:tcW w:w="2285" w:type="dxa"/>
          </w:tcPr>
          <w:p w14:paraId="4835604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Заставская, 15</w:t>
            </w:r>
          </w:p>
        </w:tc>
        <w:tc>
          <w:tcPr>
            <w:tcW w:w="1162" w:type="dxa"/>
          </w:tcPr>
          <w:p w14:paraId="42BA7CE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4197</w:t>
            </w:r>
          </w:p>
        </w:tc>
      </w:tr>
      <w:tr w:rsidR="004B4E35" w:rsidRPr="00405303" w14:paraId="5DB6CF90" w14:textId="77777777">
        <w:trPr>
          <w:trHeight w:val="163"/>
        </w:trPr>
        <w:tc>
          <w:tcPr>
            <w:tcW w:w="4483" w:type="dxa"/>
          </w:tcPr>
          <w:p w14:paraId="3A0D2CF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Петроградский вагоностроительный завод, Т-во</w:t>
            </w:r>
          </w:p>
        </w:tc>
        <w:tc>
          <w:tcPr>
            <w:tcW w:w="2285" w:type="dxa"/>
          </w:tcPr>
          <w:p w14:paraId="26830FA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Забалканский пр., 99</w:t>
            </w:r>
          </w:p>
        </w:tc>
        <w:tc>
          <w:tcPr>
            <w:tcW w:w="1162" w:type="dxa"/>
          </w:tcPr>
          <w:p w14:paraId="0CFCEA5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2158</w:t>
            </w:r>
          </w:p>
        </w:tc>
      </w:tr>
      <w:tr w:rsidR="004B4E35" w:rsidRPr="00405303" w14:paraId="40C0D706" w14:textId="77777777">
        <w:trPr>
          <w:trHeight w:val="173"/>
        </w:trPr>
        <w:tc>
          <w:tcPr>
            <w:tcW w:w="4483" w:type="dxa"/>
          </w:tcPr>
          <w:p w14:paraId="4945BDD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Чугунолитейный и механический завод Ф. Сан-Галли</w:t>
            </w:r>
          </w:p>
        </w:tc>
        <w:tc>
          <w:tcPr>
            <w:tcW w:w="2285" w:type="dxa"/>
          </w:tcPr>
          <w:p w14:paraId="1391155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Лиговка, 60</w:t>
            </w:r>
          </w:p>
        </w:tc>
        <w:tc>
          <w:tcPr>
            <w:tcW w:w="1162" w:type="dxa"/>
          </w:tcPr>
          <w:p w14:paraId="3FEB4B9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1000</w:t>
            </w:r>
          </w:p>
        </w:tc>
      </w:tr>
      <w:tr w:rsidR="004B4E35" w:rsidRPr="00405303" w14:paraId="78552427" w14:textId="77777777">
        <w:trPr>
          <w:trHeight w:val="173"/>
        </w:trPr>
        <w:tc>
          <w:tcPr>
            <w:tcW w:w="4483" w:type="dxa"/>
          </w:tcPr>
          <w:p w14:paraId="4105C6D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Механический зав. акц. Общ-ва Вестингауза Зигель, Отделе ние «Ю. Пиншти К°»</w:t>
            </w:r>
          </w:p>
        </w:tc>
        <w:tc>
          <w:tcPr>
            <w:tcW w:w="2285" w:type="dxa"/>
          </w:tcPr>
          <w:p w14:paraId="15AAE34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Московское шоссе, 8</w:t>
            </w:r>
          </w:p>
        </w:tc>
        <w:tc>
          <w:tcPr>
            <w:tcW w:w="1162" w:type="dxa"/>
          </w:tcPr>
          <w:p w14:paraId="57DDF03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450</w:t>
            </w:r>
          </w:p>
        </w:tc>
      </w:tr>
      <w:tr w:rsidR="004B4E35" w:rsidRPr="00405303" w14:paraId="4A98AF3A" w14:textId="77777777">
        <w:trPr>
          <w:trHeight w:val="192"/>
        </w:trPr>
        <w:tc>
          <w:tcPr>
            <w:tcW w:w="4483" w:type="dxa"/>
          </w:tcPr>
          <w:p w14:paraId="7558D28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Механические мастерские Русского электрического акц. о-ва «Динамо»</w:t>
            </w:r>
          </w:p>
        </w:tc>
        <w:tc>
          <w:tcPr>
            <w:tcW w:w="2285" w:type="dxa"/>
          </w:tcPr>
          <w:p w14:paraId="6B9116F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Цветочная, 24</w:t>
            </w:r>
          </w:p>
        </w:tc>
        <w:tc>
          <w:tcPr>
            <w:tcW w:w="1162" w:type="dxa"/>
          </w:tcPr>
          <w:p w14:paraId="382A520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500</w:t>
            </w:r>
          </w:p>
        </w:tc>
      </w:tr>
      <w:tr w:rsidR="004B4E35" w:rsidRPr="00405303" w14:paraId="6EBD7250" w14:textId="77777777">
        <w:trPr>
          <w:trHeight w:val="173"/>
        </w:trPr>
        <w:tc>
          <w:tcPr>
            <w:tcW w:w="4483" w:type="dxa"/>
          </w:tcPr>
          <w:p w14:paraId="5E872D1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Обмундировальная мастерская Э. И. Маркушевича</w:t>
            </w:r>
          </w:p>
        </w:tc>
        <w:tc>
          <w:tcPr>
            <w:tcW w:w="2285" w:type="dxa"/>
          </w:tcPr>
          <w:p w14:paraId="02DACB1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Забалканский, 75</w:t>
            </w:r>
          </w:p>
        </w:tc>
        <w:tc>
          <w:tcPr>
            <w:tcW w:w="1162" w:type="dxa"/>
          </w:tcPr>
          <w:p w14:paraId="1EAD059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400</w:t>
            </w:r>
          </w:p>
        </w:tc>
      </w:tr>
      <w:tr w:rsidR="004B4E35" w:rsidRPr="00405303" w14:paraId="7AFC1FEB" w14:textId="77777777">
        <w:trPr>
          <w:trHeight w:val="173"/>
        </w:trPr>
        <w:tc>
          <w:tcPr>
            <w:tcW w:w="4483" w:type="dxa"/>
          </w:tcPr>
          <w:p w14:paraId="74D757D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Меднокотельный и арматурный завод «Стерилизатор»</w:t>
            </w:r>
          </w:p>
        </w:tc>
        <w:tc>
          <w:tcPr>
            <w:tcW w:w="2285" w:type="dxa"/>
          </w:tcPr>
          <w:p w14:paraId="0451481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Тамбовская, 66</w:t>
            </w:r>
          </w:p>
        </w:tc>
        <w:tc>
          <w:tcPr>
            <w:tcW w:w="1162" w:type="dxa"/>
          </w:tcPr>
          <w:p w14:paraId="3D477FB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200</w:t>
            </w:r>
          </w:p>
        </w:tc>
      </w:tr>
      <w:tr w:rsidR="004B4E35" w:rsidRPr="00405303" w14:paraId="399DE8ED" w14:textId="77777777">
        <w:trPr>
          <w:trHeight w:val="173"/>
        </w:trPr>
        <w:tc>
          <w:tcPr>
            <w:tcW w:w="4483" w:type="dxa"/>
          </w:tcPr>
          <w:p w14:paraId="3561654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Механический чугунолитейный завод О. П. Пастора</w:t>
            </w:r>
          </w:p>
        </w:tc>
        <w:tc>
          <w:tcPr>
            <w:tcW w:w="2285" w:type="dxa"/>
          </w:tcPr>
          <w:p w14:paraId="7477CFE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Лубенская,8</w:t>
            </w:r>
          </w:p>
        </w:tc>
        <w:tc>
          <w:tcPr>
            <w:tcW w:w="1162" w:type="dxa"/>
          </w:tcPr>
          <w:p w14:paraId="336EB83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200</w:t>
            </w:r>
          </w:p>
        </w:tc>
      </w:tr>
      <w:tr w:rsidR="004B4E35" w:rsidRPr="00405303" w14:paraId="67381110" w14:textId="77777777">
        <w:trPr>
          <w:trHeight w:val="173"/>
        </w:trPr>
        <w:tc>
          <w:tcPr>
            <w:tcW w:w="4483" w:type="dxa"/>
          </w:tcPr>
          <w:p w14:paraId="79FDA8D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Завод динамо-машин Русского акционерного общества «Сименс- Шуккерт»</w:t>
            </w:r>
          </w:p>
        </w:tc>
        <w:tc>
          <w:tcPr>
            <w:tcW w:w="2285" w:type="dxa"/>
          </w:tcPr>
          <w:p w14:paraId="1343D4D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Московское шоссе, 4</w:t>
            </w:r>
          </w:p>
        </w:tc>
        <w:tc>
          <w:tcPr>
            <w:tcW w:w="1162" w:type="dxa"/>
          </w:tcPr>
          <w:p w14:paraId="2C48282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954</w:t>
            </w:r>
          </w:p>
        </w:tc>
      </w:tr>
      <w:tr w:rsidR="004B4E35" w:rsidRPr="00405303" w14:paraId="41C334BE" w14:textId="77777777">
        <w:trPr>
          <w:trHeight w:val="173"/>
        </w:trPr>
        <w:tc>
          <w:tcPr>
            <w:tcW w:w="4483" w:type="dxa"/>
          </w:tcPr>
          <w:p w14:paraId="6CF390E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Фабрика Акц. об-ва Невской ф-ки механической обуви</w:t>
            </w:r>
          </w:p>
        </w:tc>
        <w:tc>
          <w:tcPr>
            <w:tcW w:w="2285" w:type="dxa"/>
          </w:tcPr>
          <w:p w14:paraId="570B55BF" w14:textId="77777777" w:rsidR="004B4E35" w:rsidRPr="00405303" w:rsidRDefault="009E6F82" w:rsidP="00C15251">
            <w:pPr>
              <w:shd w:val="clear" w:color="auto" w:fill="FFFFFF"/>
              <w:jc w:val="both"/>
              <w:rPr>
                <w:bCs/>
                <w:color w:val="002060"/>
                <w:sz w:val="16"/>
                <w:szCs w:val="16"/>
              </w:rPr>
            </w:pPr>
            <w:proofErr w:type="gramStart"/>
            <w:r w:rsidRPr="00405303">
              <w:rPr>
                <w:bCs/>
                <w:color w:val="002060"/>
                <w:sz w:val="16"/>
                <w:szCs w:val="16"/>
              </w:rPr>
              <w:t>Цветочная ,</w:t>
            </w:r>
            <w:proofErr w:type="gramEnd"/>
            <w:r w:rsidRPr="00405303">
              <w:rPr>
                <w:bCs/>
                <w:color w:val="002060"/>
                <w:sz w:val="16"/>
                <w:szCs w:val="16"/>
              </w:rPr>
              <w:t xml:space="preserve"> 7</w:t>
            </w:r>
          </w:p>
        </w:tc>
        <w:tc>
          <w:tcPr>
            <w:tcW w:w="1162" w:type="dxa"/>
          </w:tcPr>
          <w:p w14:paraId="68E55A3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648</w:t>
            </w:r>
          </w:p>
        </w:tc>
      </w:tr>
      <w:tr w:rsidR="004B4E35" w:rsidRPr="00405303" w14:paraId="755F14B2" w14:textId="77777777">
        <w:trPr>
          <w:trHeight w:val="173"/>
        </w:trPr>
        <w:tc>
          <w:tcPr>
            <w:tcW w:w="4483" w:type="dxa"/>
          </w:tcPr>
          <w:p w14:paraId="78CB366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Завод Акц. об-ва изготовления экономических путей сообще ния и механических приспособлений системы «Артур Коп пель»</w:t>
            </w:r>
          </w:p>
        </w:tc>
        <w:tc>
          <w:tcPr>
            <w:tcW w:w="2285" w:type="dxa"/>
          </w:tcPr>
          <w:p w14:paraId="26F34EB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Московское шоссе, 5</w:t>
            </w:r>
          </w:p>
        </w:tc>
        <w:tc>
          <w:tcPr>
            <w:tcW w:w="1162" w:type="dxa"/>
          </w:tcPr>
          <w:p w14:paraId="5F204E0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450</w:t>
            </w:r>
          </w:p>
        </w:tc>
      </w:tr>
      <w:tr w:rsidR="004B4E35" w:rsidRPr="00405303" w14:paraId="77F23CE2" w14:textId="77777777">
        <w:trPr>
          <w:trHeight w:val="182"/>
        </w:trPr>
        <w:tc>
          <w:tcPr>
            <w:tcW w:w="4483" w:type="dxa"/>
          </w:tcPr>
          <w:p w14:paraId="5BA9F7E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Обмундировальная мастерская торгово-промышленного о-ва Алафузовских фабрик и завод.</w:t>
            </w:r>
          </w:p>
        </w:tc>
        <w:tc>
          <w:tcPr>
            <w:tcW w:w="2285" w:type="dxa"/>
          </w:tcPr>
          <w:p w14:paraId="22987A3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Обводный кан., 66</w:t>
            </w:r>
          </w:p>
        </w:tc>
        <w:tc>
          <w:tcPr>
            <w:tcW w:w="1162" w:type="dxa"/>
          </w:tcPr>
          <w:p w14:paraId="4E9652C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300</w:t>
            </w:r>
          </w:p>
        </w:tc>
      </w:tr>
      <w:tr w:rsidR="004B4E35" w:rsidRPr="00405303" w14:paraId="34988453" w14:textId="77777777">
        <w:trPr>
          <w:trHeight w:val="173"/>
        </w:trPr>
        <w:tc>
          <w:tcPr>
            <w:tcW w:w="4483" w:type="dxa"/>
          </w:tcPr>
          <w:p w14:paraId="2316AAD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Электрическая станция «О-ва электрического освещения 1886г.»</w:t>
            </w:r>
          </w:p>
        </w:tc>
        <w:tc>
          <w:tcPr>
            <w:tcW w:w="2285" w:type="dxa"/>
          </w:tcPr>
          <w:p w14:paraId="37A4634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Обводный кан., 76</w:t>
            </w:r>
          </w:p>
        </w:tc>
        <w:tc>
          <w:tcPr>
            <w:tcW w:w="1162" w:type="dxa"/>
          </w:tcPr>
          <w:p w14:paraId="38807F1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560</w:t>
            </w:r>
          </w:p>
        </w:tc>
      </w:tr>
      <w:tr w:rsidR="004B4E35" w:rsidRPr="00405303" w14:paraId="61F17293" w14:textId="77777777">
        <w:trPr>
          <w:trHeight w:val="182"/>
        </w:trPr>
        <w:tc>
          <w:tcPr>
            <w:tcW w:w="4483" w:type="dxa"/>
          </w:tcPr>
          <w:p w14:paraId="5A193E5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Клееночная ф-ка т-ва Петроградской клееночной м-ры</w:t>
            </w:r>
          </w:p>
        </w:tc>
        <w:tc>
          <w:tcPr>
            <w:tcW w:w="2285" w:type="dxa"/>
          </w:tcPr>
          <w:p w14:paraId="157A6A4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Цветочная, 27</w:t>
            </w:r>
          </w:p>
        </w:tc>
        <w:tc>
          <w:tcPr>
            <w:tcW w:w="1162" w:type="dxa"/>
          </w:tcPr>
          <w:p w14:paraId="144CD0C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320</w:t>
            </w:r>
          </w:p>
        </w:tc>
      </w:tr>
      <w:tr w:rsidR="004B4E35" w:rsidRPr="00405303" w14:paraId="2C7205DC" w14:textId="77777777">
        <w:trPr>
          <w:trHeight w:val="163"/>
        </w:trPr>
        <w:tc>
          <w:tcPr>
            <w:tcW w:w="4483" w:type="dxa"/>
          </w:tcPr>
          <w:p w14:paraId="06C551E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Мастерская дорожных вещей «Трезор»</w:t>
            </w:r>
          </w:p>
        </w:tc>
        <w:tc>
          <w:tcPr>
            <w:tcW w:w="2285" w:type="dxa"/>
          </w:tcPr>
          <w:p w14:paraId="5AE42FA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Цветочная, 27</w:t>
            </w:r>
          </w:p>
        </w:tc>
        <w:tc>
          <w:tcPr>
            <w:tcW w:w="1162" w:type="dxa"/>
          </w:tcPr>
          <w:p w14:paraId="7F0636D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300</w:t>
            </w:r>
          </w:p>
        </w:tc>
      </w:tr>
      <w:tr w:rsidR="004B4E35" w:rsidRPr="00405303" w14:paraId="7316E9D9" w14:textId="77777777">
        <w:trPr>
          <w:trHeight w:val="173"/>
        </w:trPr>
        <w:tc>
          <w:tcPr>
            <w:tcW w:w="4483" w:type="dxa"/>
          </w:tcPr>
          <w:p w14:paraId="2D578E3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Завод акц. о-ва Петроградского кожевенного производства</w:t>
            </w:r>
          </w:p>
        </w:tc>
        <w:tc>
          <w:tcPr>
            <w:tcW w:w="2285" w:type="dxa"/>
          </w:tcPr>
          <w:p w14:paraId="12F847F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Цветочная, 6</w:t>
            </w:r>
          </w:p>
        </w:tc>
        <w:tc>
          <w:tcPr>
            <w:tcW w:w="1162" w:type="dxa"/>
          </w:tcPr>
          <w:p w14:paraId="59ECF8F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300</w:t>
            </w:r>
          </w:p>
        </w:tc>
      </w:tr>
      <w:tr w:rsidR="004B4E35" w:rsidRPr="00405303" w14:paraId="515A095D" w14:textId="77777777">
        <w:trPr>
          <w:trHeight w:val="173"/>
        </w:trPr>
        <w:tc>
          <w:tcPr>
            <w:tcW w:w="4483" w:type="dxa"/>
          </w:tcPr>
          <w:p w14:paraId="511621C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Мастерские Международного о-ва спальных вагонов</w:t>
            </w:r>
          </w:p>
        </w:tc>
        <w:tc>
          <w:tcPr>
            <w:tcW w:w="2285" w:type="dxa"/>
          </w:tcPr>
          <w:p w14:paraId="591B3B3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Волкове кая ул.</w:t>
            </w:r>
          </w:p>
        </w:tc>
        <w:tc>
          <w:tcPr>
            <w:tcW w:w="1162" w:type="dxa"/>
          </w:tcPr>
          <w:p w14:paraId="04BC92D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236</w:t>
            </w:r>
          </w:p>
        </w:tc>
      </w:tr>
      <w:tr w:rsidR="004B4E35" w:rsidRPr="00405303" w14:paraId="0792D9C3" w14:textId="77777777">
        <w:trPr>
          <w:trHeight w:val="163"/>
        </w:trPr>
        <w:tc>
          <w:tcPr>
            <w:tcW w:w="4483" w:type="dxa"/>
          </w:tcPr>
          <w:p w14:paraId="062604A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Ф-ка механической обуви т-ва Столярова с С-ми</w:t>
            </w:r>
          </w:p>
        </w:tc>
        <w:tc>
          <w:tcPr>
            <w:tcW w:w="2285" w:type="dxa"/>
          </w:tcPr>
          <w:p w14:paraId="7B8D92F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Цветочная, 8</w:t>
            </w:r>
          </w:p>
        </w:tc>
        <w:tc>
          <w:tcPr>
            <w:tcW w:w="1162" w:type="dxa"/>
          </w:tcPr>
          <w:p w14:paraId="014D250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238</w:t>
            </w:r>
          </w:p>
        </w:tc>
      </w:tr>
      <w:tr w:rsidR="004B4E35" w:rsidRPr="00405303" w14:paraId="29A66804" w14:textId="77777777">
        <w:trPr>
          <w:trHeight w:val="173"/>
        </w:trPr>
        <w:tc>
          <w:tcPr>
            <w:tcW w:w="4483" w:type="dxa"/>
          </w:tcPr>
          <w:p w14:paraId="27B8BB4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Завод оцинкованного железа, белого железа и жести С. А. Трайнина</w:t>
            </w:r>
          </w:p>
        </w:tc>
        <w:tc>
          <w:tcPr>
            <w:tcW w:w="2285" w:type="dxa"/>
          </w:tcPr>
          <w:p w14:paraId="74F4481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Некрасовская, 5</w:t>
            </w:r>
          </w:p>
        </w:tc>
        <w:tc>
          <w:tcPr>
            <w:tcW w:w="1162" w:type="dxa"/>
          </w:tcPr>
          <w:p w14:paraId="5A7DDD7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165</w:t>
            </w:r>
          </w:p>
        </w:tc>
      </w:tr>
      <w:tr w:rsidR="004B4E35" w:rsidRPr="00405303" w14:paraId="518ED48B" w14:textId="77777777">
        <w:trPr>
          <w:trHeight w:val="163"/>
        </w:trPr>
        <w:tc>
          <w:tcPr>
            <w:tcW w:w="4483" w:type="dxa"/>
          </w:tcPr>
          <w:p w14:paraId="6FF11AF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Меднолитейный зав. С. Ш. Виденского</w:t>
            </w:r>
          </w:p>
        </w:tc>
        <w:tc>
          <w:tcPr>
            <w:tcW w:w="2285" w:type="dxa"/>
          </w:tcPr>
          <w:p w14:paraId="0FA595A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Звенигородская, 28</w:t>
            </w:r>
          </w:p>
        </w:tc>
        <w:tc>
          <w:tcPr>
            <w:tcW w:w="1162" w:type="dxa"/>
          </w:tcPr>
          <w:p w14:paraId="5E6B32F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70</w:t>
            </w:r>
          </w:p>
        </w:tc>
      </w:tr>
      <w:tr w:rsidR="004B4E35" w:rsidRPr="00405303" w14:paraId="0B88509C" w14:textId="77777777">
        <w:trPr>
          <w:trHeight w:val="173"/>
        </w:trPr>
        <w:tc>
          <w:tcPr>
            <w:tcW w:w="4483" w:type="dxa"/>
          </w:tcPr>
          <w:p w14:paraId="6F7CB5C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Механический завод М. В. Кравцович</w:t>
            </w:r>
          </w:p>
        </w:tc>
        <w:tc>
          <w:tcPr>
            <w:tcW w:w="2285" w:type="dxa"/>
          </w:tcPr>
          <w:p w14:paraId="1E5698F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Глазовская, 15</w:t>
            </w:r>
          </w:p>
        </w:tc>
        <w:tc>
          <w:tcPr>
            <w:tcW w:w="1162" w:type="dxa"/>
          </w:tcPr>
          <w:p w14:paraId="7B37175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150</w:t>
            </w:r>
          </w:p>
        </w:tc>
      </w:tr>
      <w:tr w:rsidR="004B4E35" w:rsidRPr="00405303" w14:paraId="6E9D0B54" w14:textId="77777777">
        <w:trPr>
          <w:trHeight w:val="173"/>
        </w:trPr>
        <w:tc>
          <w:tcPr>
            <w:tcW w:w="4483" w:type="dxa"/>
          </w:tcPr>
          <w:p w14:paraId="0789340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Акц. О-во словолитни О. И. Леман</w:t>
            </w:r>
          </w:p>
        </w:tc>
        <w:tc>
          <w:tcPr>
            <w:tcW w:w="2285" w:type="dxa"/>
          </w:tcPr>
          <w:p w14:paraId="359DFC0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Звенигородская, 20</w:t>
            </w:r>
          </w:p>
        </w:tc>
        <w:tc>
          <w:tcPr>
            <w:tcW w:w="1162" w:type="dxa"/>
          </w:tcPr>
          <w:p w14:paraId="08DBAD8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195</w:t>
            </w:r>
          </w:p>
        </w:tc>
      </w:tr>
      <w:tr w:rsidR="004B4E35" w:rsidRPr="00405303" w14:paraId="0A997C1D" w14:textId="77777777">
        <w:trPr>
          <w:trHeight w:val="173"/>
        </w:trPr>
        <w:tc>
          <w:tcPr>
            <w:tcW w:w="4483" w:type="dxa"/>
          </w:tcPr>
          <w:p w14:paraId="19C875F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Ламповая ф-ка А. Ф. Макарова</w:t>
            </w:r>
          </w:p>
        </w:tc>
        <w:tc>
          <w:tcPr>
            <w:tcW w:w="2285" w:type="dxa"/>
          </w:tcPr>
          <w:p w14:paraId="3A61BC6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Разъезжая, 42</w:t>
            </w:r>
          </w:p>
        </w:tc>
        <w:tc>
          <w:tcPr>
            <w:tcW w:w="1162" w:type="dxa"/>
          </w:tcPr>
          <w:p w14:paraId="5286709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40</w:t>
            </w:r>
          </w:p>
        </w:tc>
      </w:tr>
      <w:tr w:rsidR="004B4E35" w:rsidRPr="00405303" w14:paraId="5AB69642" w14:textId="77777777">
        <w:trPr>
          <w:trHeight w:val="192"/>
        </w:trPr>
        <w:tc>
          <w:tcPr>
            <w:tcW w:w="4483" w:type="dxa"/>
          </w:tcPr>
          <w:p w14:paraId="3D3B2DA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Машиностроительный завод Л. Геллер и инженера Лейванд</w:t>
            </w:r>
          </w:p>
        </w:tc>
        <w:tc>
          <w:tcPr>
            <w:tcW w:w="2285" w:type="dxa"/>
          </w:tcPr>
          <w:p w14:paraId="2253B76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Коломенская, 39</w:t>
            </w:r>
          </w:p>
        </w:tc>
        <w:tc>
          <w:tcPr>
            <w:tcW w:w="1162" w:type="dxa"/>
          </w:tcPr>
          <w:p w14:paraId="00AF28A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89</w:t>
            </w:r>
          </w:p>
        </w:tc>
      </w:tr>
      <w:tr w:rsidR="004B4E35" w:rsidRPr="00405303" w14:paraId="3D7992B3" w14:textId="77777777">
        <w:trPr>
          <w:trHeight w:val="192"/>
        </w:trPr>
        <w:tc>
          <w:tcPr>
            <w:tcW w:w="4483" w:type="dxa"/>
          </w:tcPr>
          <w:p w14:paraId="29AF3FC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Ф-ка гигроскопической ваты Г. Г. Игнатова</w:t>
            </w:r>
          </w:p>
        </w:tc>
        <w:tc>
          <w:tcPr>
            <w:tcW w:w="2285" w:type="dxa"/>
          </w:tcPr>
          <w:p w14:paraId="432EF73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Обводный, 78</w:t>
            </w:r>
          </w:p>
        </w:tc>
        <w:tc>
          <w:tcPr>
            <w:tcW w:w="1162" w:type="dxa"/>
          </w:tcPr>
          <w:p w14:paraId="7BCE896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40</w:t>
            </w:r>
          </w:p>
        </w:tc>
      </w:tr>
      <w:tr w:rsidR="004B4E35" w:rsidRPr="00405303" w14:paraId="5A899941" w14:textId="77777777">
        <w:trPr>
          <w:trHeight w:val="192"/>
        </w:trPr>
        <w:tc>
          <w:tcPr>
            <w:tcW w:w="4483" w:type="dxa"/>
          </w:tcPr>
          <w:p w14:paraId="7BFDC10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Чугунолитейный зав. А. С. Соловьева</w:t>
            </w:r>
          </w:p>
        </w:tc>
        <w:tc>
          <w:tcPr>
            <w:tcW w:w="2285" w:type="dxa"/>
          </w:tcPr>
          <w:p w14:paraId="50E422B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Смоленская, 18</w:t>
            </w:r>
          </w:p>
        </w:tc>
        <w:tc>
          <w:tcPr>
            <w:tcW w:w="1162" w:type="dxa"/>
          </w:tcPr>
          <w:p w14:paraId="5B15487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50</w:t>
            </w:r>
          </w:p>
        </w:tc>
      </w:tr>
      <w:tr w:rsidR="004B4E35" w:rsidRPr="00405303" w14:paraId="3F4F12F9" w14:textId="77777777">
        <w:trPr>
          <w:trHeight w:val="192"/>
        </w:trPr>
        <w:tc>
          <w:tcPr>
            <w:tcW w:w="4483" w:type="dxa"/>
          </w:tcPr>
          <w:p w14:paraId="6BC929E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Т-во рессорной ф-ки В. Мохов и К"</w:t>
            </w:r>
          </w:p>
        </w:tc>
        <w:tc>
          <w:tcPr>
            <w:tcW w:w="2285" w:type="dxa"/>
          </w:tcPr>
          <w:p w14:paraId="1F59743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Лиговка, 167</w:t>
            </w:r>
          </w:p>
        </w:tc>
        <w:tc>
          <w:tcPr>
            <w:tcW w:w="1162" w:type="dxa"/>
          </w:tcPr>
          <w:p w14:paraId="45CC07A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w:t>
            </w:r>
          </w:p>
        </w:tc>
      </w:tr>
      <w:tr w:rsidR="004B4E35" w:rsidRPr="00405303" w14:paraId="1C13A79D" w14:textId="77777777">
        <w:trPr>
          <w:trHeight w:val="192"/>
        </w:trPr>
        <w:tc>
          <w:tcPr>
            <w:tcW w:w="4483" w:type="dxa"/>
          </w:tcPr>
          <w:p w14:paraId="5797AAD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Механический завод Н. И.Ливчака</w:t>
            </w:r>
          </w:p>
        </w:tc>
        <w:tc>
          <w:tcPr>
            <w:tcW w:w="2285" w:type="dxa"/>
          </w:tcPr>
          <w:p w14:paraId="7082699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Киевская, 4</w:t>
            </w:r>
          </w:p>
        </w:tc>
        <w:tc>
          <w:tcPr>
            <w:tcW w:w="1162" w:type="dxa"/>
          </w:tcPr>
          <w:p w14:paraId="56191A5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109</w:t>
            </w:r>
          </w:p>
        </w:tc>
      </w:tr>
      <w:tr w:rsidR="004B4E35" w:rsidRPr="00405303" w14:paraId="40EF26B3" w14:textId="77777777">
        <w:trPr>
          <w:trHeight w:val="192"/>
        </w:trPr>
        <w:tc>
          <w:tcPr>
            <w:tcW w:w="4483" w:type="dxa"/>
          </w:tcPr>
          <w:p w14:paraId="3911F41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Ф-ка металлических кроватей Зазулина и Штейнфельд</w:t>
            </w:r>
          </w:p>
        </w:tc>
        <w:tc>
          <w:tcPr>
            <w:tcW w:w="2285" w:type="dxa"/>
          </w:tcPr>
          <w:p w14:paraId="00CF2B0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Лиговка, 175</w:t>
            </w:r>
          </w:p>
        </w:tc>
        <w:tc>
          <w:tcPr>
            <w:tcW w:w="1162" w:type="dxa"/>
          </w:tcPr>
          <w:p w14:paraId="26B3206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35</w:t>
            </w:r>
          </w:p>
        </w:tc>
      </w:tr>
      <w:tr w:rsidR="004B4E35" w:rsidRPr="00405303" w14:paraId="7ACB0855" w14:textId="77777777">
        <w:trPr>
          <w:trHeight w:val="192"/>
        </w:trPr>
        <w:tc>
          <w:tcPr>
            <w:tcW w:w="4483" w:type="dxa"/>
          </w:tcPr>
          <w:p w14:paraId="31AC7C1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Слесарно-кузнечная мастерская «Титан» В. И. Лисецкого</w:t>
            </w:r>
          </w:p>
        </w:tc>
        <w:tc>
          <w:tcPr>
            <w:tcW w:w="2285" w:type="dxa"/>
          </w:tcPr>
          <w:p w14:paraId="4121D62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Глазовская, 38</w:t>
            </w:r>
          </w:p>
        </w:tc>
        <w:tc>
          <w:tcPr>
            <w:tcW w:w="1162" w:type="dxa"/>
          </w:tcPr>
          <w:p w14:paraId="4A214E7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70</w:t>
            </w:r>
          </w:p>
        </w:tc>
      </w:tr>
      <w:tr w:rsidR="004B4E35" w:rsidRPr="00405303" w14:paraId="6B3F72A9" w14:textId="77777777">
        <w:trPr>
          <w:trHeight w:val="192"/>
        </w:trPr>
        <w:tc>
          <w:tcPr>
            <w:tcW w:w="4483" w:type="dxa"/>
          </w:tcPr>
          <w:p w14:paraId="5A0BA96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Ф-ка химических, физических и фармацевтических приборов Эбергарда.бывш. Р. Ниппе</w:t>
            </w:r>
          </w:p>
        </w:tc>
        <w:tc>
          <w:tcPr>
            <w:tcW w:w="2285" w:type="dxa"/>
          </w:tcPr>
          <w:p w14:paraId="0C6FA0E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Обводный кан. ,90</w:t>
            </w:r>
          </w:p>
        </w:tc>
        <w:tc>
          <w:tcPr>
            <w:tcW w:w="1162" w:type="dxa"/>
          </w:tcPr>
          <w:p w14:paraId="317B88E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53</w:t>
            </w:r>
          </w:p>
        </w:tc>
      </w:tr>
      <w:tr w:rsidR="004B4E35" w:rsidRPr="00405303" w14:paraId="1587D47A" w14:textId="77777777">
        <w:trPr>
          <w:trHeight w:val="192"/>
        </w:trPr>
        <w:tc>
          <w:tcPr>
            <w:tcW w:w="4483" w:type="dxa"/>
          </w:tcPr>
          <w:p w14:paraId="7C1EA37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Механический зав. т-ва «Г. Вейнберг и А. Познер — инженеры</w:t>
            </w:r>
          </w:p>
        </w:tc>
        <w:tc>
          <w:tcPr>
            <w:tcW w:w="2285" w:type="dxa"/>
          </w:tcPr>
          <w:p w14:paraId="3E71358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Киевская, 4</w:t>
            </w:r>
          </w:p>
        </w:tc>
        <w:tc>
          <w:tcPr>
            <w:tcW w:w="1162" w:type="dxa"/>
          </w:tcPr>
          <w:p w14:paraId="181FC2F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149</w:t>
            </w:r>
          </w:p>
        </w:tc>
      </w:tr>
      <w:tr w:rsidR="004B4E35" w:rsidRPr="00405303" w14:paraId="3CA8F716" w14:textId="77777777">
        <w:trPr>
          <w:trHeight w:val="192"/>
        </w:trPr>
        <w:tc>
          <w:tcPr>
            <w:tcW w:w="4483" w:type="dxa"/>
          </w:tcPr>
          <w:p w14:paraId="16EF162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Мыловаренный завод торг, дома А. М. Жуков</w:t>
            </w:r>
          </w:p>
        </w:tc>
        <w:tc>
          <w:tcPr>
            <w:tcW w:w="2285" w:type="dxa"/>
          </w:tcPr>
          <w:p w14:paraId="6D30A03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Лиговка, 283</w:t>
            </w:r>
          </w:p>
        </w:tc>
        <w:tc>
          <w:tcPr>
            <w:tcW w:w="1162" w:type="dxa"/>
          </w:tcPr>
          <w:p w14:paraId="7D80437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159</w:t>
            </w:r>
          </w:p>
        </w:tc>
      </w:tr>
      <w:tr w:rsidR="004B4E35" w:rsidRPr="00405303" w14:paraId="78A78FDE" w14:textId="77777777">
        <w:trPr>
          <w:trHeight w:val="192"/>
        </w:trPr>
        <w:tc>
          <w:tcPr>
            <w:tcW w:w="4483" w:type="dxa"/>
          </w:tcPr>
          <w:p w14:paraId="391BCC2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Маслобойный завод акц. О-ва «Астра»</w:t>
            </w:r>
          </w:p>
        </w:tc>
        <w:tc>
          <w:tcPr>
            <w:tcW w:w="2285" w:type="dxa"/>
          </w:tcPr>
          <w:p w14:paraId="7A73C0B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Обводный кан., 76-а</w:t>
            </w:r>
          </w:p>
        </w:tc>
        <w:tc>
          <w:tcPr>
            <w:tcW w:w="1162" w:type="dxa"/>
          </w:tcPr>
          <w:p w14:paraId="45B62B4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144</w:t>
            </w:r>
          </w:p>
        </w:tc>
      </w:tr>
      <w:tr w:rsidR="004B4E35" w:rsidRPr="00405303" w14:paraId="44D5C29F" w14:textId="77777777">
        <w:trPr>
          <w:trHeight w:val="192"/>
        </w:trPr>
        <w:tc>
          <w:tcPr>
            <w:tcW w:w="4483" w:type="dxa"/>
          </w:tcPr>
          <w:p w14:paraId="4F473D9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Мастерская сухих гальванических элементов торгового дома Геллезен, Энке, Людвигсен и К°</w:t>
            </w:r>
          </w:p>
        </w:tc>
        <w:tc>
          <w:tcPr>
            <w:tcW w:w="2285" w:type="dxa"/>
          </w:tcPr>
          <w:p w14:paraId="7B13CDE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Обводный кан., 62</w:t>
            </w:r>
          </w:p>
        </w:tc>
        <w:tc>
          <w:tcPr>
            <w:tcW w:w="1162" w:type="dxa"/>
          </w:tcPr>
          <w:p w14:paraId="41CF329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w:t>
            </w:r>
          </w:p>
        </w:tc>
      </w:tr>
      <w:tr w:rsidR="004B4E35" w:rsidRPr="00405303" w14:paraId="4CFCBA1C" w14:textId="77777777">
        <w:trPr>
          <w:trHeight w:val="192"/>
        </w:trPr>
        <w:tc>
          <w:tcPr>
            <w:tcW w:w="4483" w:type="dxa"/>
          </w:tcPr>
          <w:p w14:paraId="579824D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Механический зав. под фирмой «Бюро исследования почвы профессора Войслава»</w:t>
            </w:r>
          </w:p>
        </w:tc>
        <w:tc>
          <w:tcPr>
            <w:tcW w:w="2285" w:type="dxa"/>
          </w:tcPr>
          <w:p w14:paraId="02C9B56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Благодатный пер., 32</w:t>
            </w:r>
          </w:p>
        </w:tc>
        <w:tc>
          <w:tcPr>
            <w:tcW w:w="1162" w:type="dxa"/>
          </w:tcPr>
          <w:p w14:paraId="0F4108D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57</w:t>
            </w:r>
          </w:p>
        </w:tc>
      </w:tr>
      <w:tr w:rsidR="004B4E35" w:rsidRPr="00405303" w14:paraId="0FE42323" w14:textId="77777777">
        <w:trPr>
          <w:trHeight w:val="192"/>
        </w:trPr>
        <w:tc>
          <w:tcPr>
            <w:tcW w:w="4483" w:type="dxa"/>
          </w:tcPr>
          <w:p w14:paraId="167C8FC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Механическое заведение А. Иванова</w:t>
            </w:r>
          </w:p>
        </w:tc>
        <w:tc>
          <w:tcPr>
            <w:tcW w:w="2285" w:type="dxa"/>
          </w:tcPr>
          <w:p w14:paraId="43A4835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Мариинскийпер.,20</w:t>
            </w:r>
          </w:p>
        </w:tc>
        <w:tc>
          <w:tcPr>
            <w:tcW w:w="1162" w:type="dxa"/>
          </w:tcPr>
          <w:p w14:paraId="194F3D0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60</w:t>
            </w:r>
          </w:p>
        </w:tc>
      </w:tr>
      <w:tr w:rsidR="004B4E35" w:rsidRPr="00405303" w14:paraId="6DC9B943" w14:textId="77777777">
        <w:trPr>
          <w:trHeight w:val="192"/>
        </w:trPr>
        <w:tc>
          <w:tcPr>
            <w:tcW w:w="4483" w:type="dxa"/>
          </w:tcPr>
          <w:p w14:paraId="3E24AC0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Кожевенный завод М. Л. Берн, под фирмой «Инженеры Арен-штейн и Капелинский»</w:t>
            </w:r>
          </w:p>
        </w:tc>
        <w:tc>
          <w:tcPr>
            <w:tcW w:w="2285" w:type="dxa"/>
          </w:tcPr>
          <w:p w14:paraId="1FE8C98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Немецкая ул., 3-15</w:t>
            </w:r>
          </w:p>
        </w:tc>
        <w:tc>
          <w:tcPr>
            <w:tcW w:w="1162" w:type="dxa"/>
          </w:tcPr>
          <w:p w14:paraId="4089493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46</w:t>
            </w:r>
          </w:p>
        </w:tc>
      </w:tr>
      <w:tr w:rsidR="004B4E35" w:rsidRPr="00405303" w14:paraId="47452244" w14:textId="77777777">
        <w:trPr>
          <w:trHeight w:val="192"/>
        </w:trPr>
        <w:tc>
          <w:tcPr>
            <w:tcW w:w="4483" w:type="dxa"/>
          </w:tcPr>
          <w:p w14:paraId="6ED51EB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Свинцовобелильный и красочный завод Карла Вебера</w:t>
            </w:r>
          </w:p>
        </w:tc>
        <w:tc>
          <w:tcPr>
            <w:tcW w:w="2285" w:type="dxa"/>
          </w:tcPr>
          <w:p w14:paraId="010881E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Московское шоссе, 29 </w:t>
            </w:r>
          </w:p>
        </w:tc>
        <w:tc>
          <w:tcPr>
            <w:tcW w:w="1162" w:type="dxa"/>
          </w:tcPr>
          <w:p w14:paraId="3E6BC3D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49</w:t>
            </w:r>
          </w:p>
        </w:tc>
      </w:tr>
      <w:tr w:rsidR="004B4E35" w:rsidRPr="00405303" w14:paraId="17CF5E93" w14:textId="77777777">
        <w:trPr>
          <w:trHeight w:val="192"/>
        </w:trPr>
        <w:tc>
          <w:tcPr>
            <w:tcW w:w="4483" w:type="dxa"/>
          </w:tcPr>
          <w:p w14:paraId="4240661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Чугунолитейный и механический завод Р. Р. Озолинг</w:t>
            </w:r>
          </w:p>
        </w:tc>
        <w:tc>
          <w:tcPr>
            <w:tcW w:w="2285" w:type="dxa"/>
          </w:tcPr>
          <w:p w14:paraId="3B9A577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Волковская, 9</w:t>
            </w:r>
          </w:p>
        </w:tc>
        <w:tc>
          <w:tcPr>
            <w:tcW w:w="1162" w:type="dxa"/>
          </w:tcPr>
          <w:p w14:paraId="2B19CCB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170</w:t>
            </w:r>
          </w:p>
        </w:tc>
      </w:tr>
      <w:tr w:rsidR="004B4E35" w:rsidRPr="00405303" w14:paraId="59088131" w14:textId="77777777">
        <w:trPr>
          <w:trHeight w:val="192"/>
        </w:trPr>
        <w:tc>
          <w:tcPr>
            <w:tcW w:w="4483" w:type="dxa"/>
          </w:tcPr>
          <w:p w14:paraId="096BFBE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Чугуно- и меднолитейный завод Г. Б. Веттерстрашш</w:t>
            </w:r>
          </w:p>
        </w:tc>
        <w:tc>
          <w:tcPr>
            <w:tcW w:w="2285" w:type="dxa"/>
          </w:tcPr>
          <w:p w14:paraId="0EAC9AB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Чигиринскаядор., 7</w:t>
            </w:r>
          </w:p>
        </w:tc>
        <w:tc>
          <w:tcPr>
            <w:tcW w:w="1162" w:type="dxa"/>
          </w:tcPr>
          <w:p w14:paraId="0EB88D1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14</w:t>
            </w:r>
          </w:p>
        </w:tc>
      </w:tr>
      <w:tr w:rsidR="004B4E35" w:rsidRPr="00405303" w14:paraId="3CC9E81B" w14:textId="77777777">
        <w:trPr>
          <w:trHeight w:val="192"/>
        </w:trPr>
        <w:tc>
          <w:tcPr>
            <w:tcW w:w="4483" w:type="dxa"/>
          </w:tcPr>
          <w:p w14:paraId="3651219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Ящичная фабрика «А. Засс»</w:t>
            </w:r>
          </w:p>
        </w:tc>
        <w:tc>
          <w:tcPr>
            <w:tcW w:w="2285" w:type="dxa"/>
          </w:tcPr>
          <w:p w14:paraId="6182BA8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Волковская, 23 </w:t>
            </w:r>
          </w:p>
        </w:tc>
        <w:tc>
          <w:tcPr>
            <w:tcW w:w="1162" w:type="dxa"/>
          </w:tcPr>
          <w:p w14:paraId="6F3AC5F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130</w:t>
            </w:r>
          </w:p>
        </w:tc>
      </w:tr>
      <w:tr w:rsidR="004B4E35" w:rsidRPr="00405303" w14:paraId="19E5329C" w14:textId="77777777">
        <w:trPr>
          <w:trHeight w:val="192"/>
        </w:trPr>
        <w:tc>
          <w:tcPr>
            <w:tcW w:w="4483" w:type="dxa"/>
          </w:tcPr>
          <w:p w14:paraId="28DA170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Чугунолитейный зав. «Форсбом»</w:t>
            </w:r>
          </w:p>
        </w:tc>
        <w:tc>
          <w:tcPr>
            <w:tcW w:w="2285" w:type="dxa"/>
          </w:tcPr>
          <w:p w14:paraId="51B1F20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Московское шоссе, 10</w:t>
            </w:r>
          </w:p>
        </w:tc>
        <w:tc>
          <w:tcPr>
            <w:tcW w:w="1162" w:type="dxa"/>
          </w:tcPr>
          <w:p w14:paraId="329F073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32</w:t>
            </w:r>
          </w:p>
        </w:tc>
      </w:tr>
      <w:tr w:rsidR="004B4E35" w:rsidRPr="00405303" w14:paraId="646E273E" w14:textId="77777777">
        <w:trPr>
          <w:trHeight w:val="192"/>
        </w:trPr>
        <w:tc>
          <w:tcPr>
            <w:tcW w:w="4483" w:type="dxa"/>
          </w:tcPr>
          <w:p w14:paraId="08D34BC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Чугунолитейный завод Айваза</w:t>
            </w:r>
          </w:p>
        </w:tc>
        <w:tc>
          <w:tcPr>
            <w:tcW w:w="2285" w:type="dxa"/>
          </w:tcPr>
          <w:p w14:paraId="2D0F31F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Цветочная, 25</w:t>
            </w:r>
          </w:p>
        </w:tc>
        <w:tc>
          <w:tcPr>
            <w:tcW w:w="1162" w:type="dxa"/>
          </w:tcPr>
          <w:p w14:paraId="3AFBAED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82</w:t>
            </w:r>
          </w:p>
        </w:tc>
      </w:tr>
      <w:tr w:rsidR="004B4E35" w:rsidRPr="00405303" w14:paraId="4996F087" w14:textId="77777777">
        <w:trPr>
          <w:trHeight w:val="192"/>
        </w:trPr>
        <w:tc>
          <w:tcPr>
            <w:tcW w:w="4483" w:type="dxa"/>
          </w:tcPr>
          <w:p w14:paraId="70E472E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Чугунолитейный завод Эссенсона</w:t>
            </w:r>
          </w:p>
        </w:tc>
        <w:tc>
          <w:tcPr>
            <w:tcW w:w="2285" w:type="dxa"/>
          </w:tcPr>
          <w:p w14:paraId="0717F72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Забалканский, 124</w:t>
            </w:r>
          </w:p>
        </w:tc>
        <w:tc>
          <w:tcPr>
            <w:tcW w:w="1162" w:type="dxa"/>
          </w:tcPr>
          <w:p w14:paraId="3D71961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35</w:t>
            </w:r>
          </w:p>
        </w:tc>
      </w:tr>
      <w:tr w:rsidR="004B4E35" w:rsidRPr="00405303" w14:paraId="1FAE9097" w14:textId="77777777">
        <w:trPr>
          <w:trHeight w:val="192"/>
        </w:trPr>
        <w:tc>
          <w:tcPr>
            <w:tcW w:w="4483" w:type="dxa"/>
          </w:tcPr>
          <w:p w14:paraId="3E96498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Завод аккумуляторов т-ва Рекс</w:t>
            </w:r>
          </w:p>
        </w:tc>
        <w:tc>
          <w:tcPr>
            <w:tcW w:w="2285" w:type="dxa"/>
          </w:tcPr>
          <w:p w14:paraId="268F9BC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Московское шоссе, 6</w:t>
            </w:r>
          </w:p>
        </w:tc>
        <w:tc>
          <w:tcPr>
            <w:tcW w:w="1162" w:type="dxa"/>
          </w:tcPr>
          <w:p w14:paraId="6E57218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120</w:t>
            </w:r>
          </w:p>
        </w:tc>
      </w:tr>
      <w:tr w:rsidR="004B4E35" w:rsidRPr="00405303" w14:paraId="32EA1395" w14:textId="77777777">
        <w:trPr>
          <w:trHeight w:val="192"/>
        </w:trPr>
        <w:tc>
          <w:tcPr>
            <w:tcW w:w="4483" w:type="dxa"/>
          </w:tcPr>
          <w:p w14:paraId="06EDA23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Кожевенный завод Н. Г. Савина наследников</w:t>
            </w:r>
          </w:p>
        </w:tc>
        <w:tc>
          <w:tcPr>
            <w:tcW w:w="2285" w:type="dxa"/>
          </w:tcPr>
          <w:p w14:paraId="6575A62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Волковская, 7</w:t>
            </w:r>
          </w:p>
        </w:tc>
        <w:tc>
          <w:tcPr>
            <w:tcW w:w="1162" w:type="dxa"/>
          </w:tcPr>
          <w:p w14:paraId="6D74BFA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140</w:t>
            </w:r>
          </w:p>
        </w:tc>
      </w:tr>
      <w:tr w:rsidR="004B4E35" w:rsidRPr="00405303" w14:paraId="52EDF988" w14:textId="77777777">
        <w:trPr>
          <w:trHeight w:val="192"/>
        </w:trPr>
        <w:tc>
          <w:tcPr>
            <w:tcW w:w="4483" w:type="dxa"/>
          </w:tcPr>
          <w:p w14:paraId="58FE1CC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Невский кожевенный завод А. М. Гофмана</w:t>
            </w:r>
          </w:p>
        </w:tc>
        <w:tc>
          <w:tcPr>
            <w:tcW w:w="2285" w:type="dxa"/>
          </w:tcPr>
          <w:p w14:paraId="27A2325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Цветочная, 6-6</w:t>
            </w:r>
          </w:p>
        </w:tc>
        <w:tc>
          <w:tcPr>
            <w:tcW w:w="1162" w:type="dxa"/>
          </w:tcPr>
          <w:p w14:paraId="1471203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32</w:t>
            </w:r>
          </w:p>
        </w:tc>
      </w:tr>
      <w:tr w:rsidR="004B4E35" w:rsidRPr="00405303" w14:paraId="419EADD4" w14:textId="77777777">
        <w:trPr>
          <w:trHeight w:val="192"/>
        </w:trPr>
        <w:tc>
          <w:tcPr>
            <w:tcW w:w="4483" w:type="dxa"/>
          </w:tcPr>
          <w:p w14:paraId="0E8AB38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Ф-ка обуви Е. Евтишкиной</w:t>
            </w:r>
          </w:p>
        </w:tc>
        <w:tc>
          <w:tcPr>
            <w:tcW w:w="2285" w:type="dxa"/>
          </w:tcPr>
          <w:p w14:paraId="7A16ACD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Заставская ул. 73</w:t>
            </w:r>
          </w:p>
        </w:tc>
        <w:tc>
          <w:tcPr>
            <w:tcW w:w="1162" w:type="dxa"/>
          </w:tcPr>
          <w:p w14:paraId="52F2A487" w14:textId="77777777" w:rsidR="004B4E35" w:rsidRPr="00405303" w:rsidRDefault="004B4E35" w:rsidP="00C15251">
            <w:pPr>
              <w:shd w:val="clear" w:color="auto" w:fill="FFFFFF"/>
              <w:jc w:val="both"/>
              <w:rPr>
                <w:bCs/>
                <w:color w:val="002060"/>
                <w:sz w:val="16"/>
                <w:szCs w:val="16"/>
              </w:rPr>
            </w:pPr>
          </w:p>
        </w:tc>
      </w:tr>
      <w:tr w:rsidR="004B4E35" w:rsidRPr="00405303" w14:paraId="7B89836D" w14:textId="77777777">
        <w:trPr>
          <w:trHeight w:val="192"/>
        </w:trPr>
        <w:tc>
          <w:tcPr>
            <w:tcW w:w="4483" w:type="dxa"/>
          </w:tcPr>
          <w:p w14:paraId="7F7F6F3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Фармацевтический зав. О-ва «Фармакон»</w:t>
            </w:r>
          </w:p>
        </w:tc>
        <w:tc>
          <w:tcPr>
            <w:tcW w:w="2285" w:type="dxa"/>
          </w:tcPr>
          <w:p w14:paraId="56DB4D1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Цветочная ул., 54</w:t>
            </w:r>
          </w:p>
        </w:tc>
        <w:tc>
          <w:tcPr>
            <w:tcW w:w="1162" w:type="dxa"/>
          </w:tcPr>
          <w:p w14:paraId="3629C579" w14:textId="77777777" w:rsidR="004B4E35" w:rsidRPr="00405303" w:rsidRDefault="004B4E35" w:rsidP="00C15251">
            <w:pPr>
              <w:shd w:val="clear" w:color="auto" w:fill="FFFFFF"/>
              <w:jc w:val="both"/>
              <w:rPr>
                <w:bCs/>
                <w:color w:val="002060"/>
                <w:sz w:val="16"/>
                <w:szCs w:val="16"/>
              </w:rPr>
            </w:pPr>
          </w:p>
        </w:tc>
      </w:tr>
      <w:tr w:rsidR="004B4E35" w:rsidRPr="00405303" w14:paraId="24839603" w14:textId="77777777">
        <w:trPr>
          <w:trHeight w:val="192"/>
        </w:trPr>
        <w:tc>
          <w:tcPr>
            <w:tcW w:w="4483" w:type="dxa"/>
          </w:tcPr>
          <w:p w14:paraId="6583EFF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Пуговичная ф-ка Е.В. Копейкина</w:t>
            </w:r>
          </w:p>
        </w:tc>
        <w:tc>
          <w:tcPr>
            <w:tcW w:w="2285" w:type="dxa"/>
          </w:tcPr>
          <w:p w14:paraId="119900C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Лиговка, 42</w:t>
            </w:r>
          </w:p>
        </w:tc>
        <w:tc>
          <w:tcPr>
            <w:tcW w:w="1162" w:type="dxa"/>
          </w:tcPr>
          <w:p w14:paraId="35C0121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80</w:t>
            </w:r>
          </w:p>
        </w:tc>
      </w:tr>
      <w:tr w:rsidR="004B4E35" w:rsidRPr="00405303" w14:paraId="6AFCFC25" w14:textId="77777777">
        <w:trPr>
          <w:trHeight w:val="192"/>
        </w:trPr>
        <w:tc>
          <w:tcPr>
            <w:tcW w:w="4483" w:type="dxa"/>
          </w:tcPr>
          <w:p w14:paraId="671EC2C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Мастерская для изготовления предметов снаряжения для ин</w:t>
            </w:r>
            <w:r w:rsidRPr="00405303">
              <w:rPr>
                <w:bCs/>
                <w:color w:val="002060"/>
                <w:sz w:val="16"/>
                <w:szCs w:val="16"/>
              </w:rPr>
              <w:softHyphen/>
              <w:t>тендантства М. Л. Радолинского</w:t>
            </w:r>
          </w:p>
        </w:tc>
        <w:tc>
          <w:tcPr>
            <w:tcW w:w="2285" w:type="dxa"/>
          </w:tcPr>
          <w:p w14:paraId="22228C3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Лиговка, 80</w:t>
            </w:r>
          </w:p>
        </w:tc>
        <w:tc>
          <w:tcPr>
            <w:tcW w:w="1162" w:type="dxa"/>
          </w:tcPr>
          <w:p w14:paraId="226A81A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100</w:t>
            </w:r>
          </w:p>
        </w:tc>
      </w:tr>
      <w:tr w:rsidR="004B4E35" w:rsidRPr="00405303" w14:paraId="4BF6783E" w14:textId="77777777">
        <w:trPr>
          <w:trHeight w:val="192"/>
        </w:trPr>
        <w:tc>
          <w:tcPr>
            <w:tcW w:w="4483" w:type="dxa"/>
          </w:tcPr>
          <w:p w14:paraId="066209C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Электромеханический завод И. А. Забайкина</w:t>
            </w:r>
          </w:p>
        </w:tc>
        <w:tc>
          <w:tcPr>
            <w:tcW w:w="2285" w:type="dxa"/>
          </w:tcPr>
          <w:p w14:paraId="7A1E1EA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Волковадер., Безымянная ул., 23</w:t>
            </w:r>
          </w:p>
        </w:tc>
        <w:tc>
          <w:tcPr>
            <w:tcW w:w="1162" w:type="dxa"/>
          </w:tcPr>
          <w:p w14:paraId="708C286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170</w:t>
            </w:r>
          </w:p>
        </w:tc>
      </w:tr>
      <w:tr w:rsidR="004B4E35" w:rsidRPr="00405303" w14:paraId="2D2B916B" w14:textId="77777777">
        <w:trPr>
          <w:trHeight w:val="192"/>
        </w:trPr>
        <w:tc>
          <w:tcPr>
            <w:tcW w:w="4483" w:type="dxa"/>
          </w:tcPr>
          <w:p w14:paraId="496FBC5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Завод смазочных масел из мазута «Вакуум-Ойль К°»</w:t>
            </w:r>
          </w:p>
        </w:tc>
        <w:tc>
          <w:tcPr>
            <w:tcW w:w="2285" w:type="dxa"/>
          </w:tcPr>
          <w:p w14:paraId="5E9A0D7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Волкове поле, Новомихайловская ул.</w:t>
            </w:r>
          </w:p>
        </w:tc>
        <w:tc>
          <w:tcPr>
            <w:tcW w:w="1162" w:type="dxa"/>
          </w:tcPr>
          <w:p w14:paraId="57031AE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105</w:t>
            </w:r>
          </w:p>
        </w:tc>
      </w:tr>
      <w:tr w:rsidR="004B4E35" w:rsidRPr="00405303" w14:paraId="6EC113C6" w14:textId="77777777">
        <w:trPr>
          <w:trHeight w:val="192"/>
        </w:trPr>
        <w:tc>
          <w:tcPr>
            <w:tcW w:w="4483" w:type="dxa"/>
          </w:tcPr>
          <w:p w14:paraId="7B76819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Маслобойный и химических продуктов завод акц. о-ва «Сало</w:t>
            </w:r>
            <w:r w:rsidRPr="00405303">
              <w:rPr>
                <w:bCs/>
                <w:color w:val="002060"/>
                <w:sz w:val="16"/>
                <w:szCs w:val="16"/>
              </w:rPr>
              <w:softHyphen/>
              <w:t>лин»</w:t>
            </w:r>
          </w:p>
        </w:tc>
        <w:tc>
          <w:tcPr>
            <w:tcW w:w="2285" w:type="dxa"/>
          </w:tcPr>
          <w:p w14:paraId="0C57A31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Волкове поле, Михайловская ул., 56</w:t>
            </w:r>
          </w:p>
        </w:tc>
        <w:tc>
          <w:tcPr>
            <w:tcW w:w="1162" w:type="dxa"/>
          </w:tcPr>
          <w:p w14:paraId="1918FD7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192</w:t>
            </w:r>
          </w:p>
        </w:tc>
      </w:tr>
      <w:tr w:rsidR="004B4E35" w:rsidRPr="00405303" w14:paraId="719321E1" w14:textId="77777777">
        <w:trPr>
          <w:trHeight w:val="192"/>
        </w:trPr>
        <w:tc>
          <w:tcPr>
            <w:tcW w:w="4483" w:type="dxa"/>
          </w:tcPr>
          <w:p w14:paraId="002086B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Ватная ф-ка С.И. Степанова </w:t>
            </w:r>
          </w:p>
        </w:tc>
        <w:tc>
          <w:tcPr>
            <w:tcW w:w="2285" w:type="dxa"/>
          </w:tcPr>
          <w:p w14:paraId="7ADC269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Тамбовская, 12</w:t>
            </w:r>
          </w:p>
        </w:tc>
        <w:tc>
          <w:tcPr>
            <w:tcW w:w="1162" w:type="dxa"/>
          </w:tcPr>
          <w:p w14:paraId="6AC0629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62</w:t>
            </w:r>
          </w:p>
        </w:tc>
      </w:tr>
      <w:tr w:rsidR="004B4E35" w:rsidRPr="00405303" w14:paraId="111CB6BF" w14:textId="77777777">
        <w:trPr>
          <w:trHeight w:val="192"/>
        </w:trPr>
        <w:tc>
          <w:tcPr>
            <w:tcW w:w="4483" w:type="dxa"/>
          </w:tcPr>
          <w:p w14:paraId="3487AB9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Механическая мастерская С. П. Таунлея</w:t>
            </w:r>
          </w:p>
        </w:tc>
        <w:tc>
          <w:tcPr>
            <w:tcW w:w="2285" w:type="dxa"/>
          </w:tcPr>
          <w:p w14:paraId="53CE038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Тамбовская, 7</w:t>
            </w:r>
          </w:p>
        </w:tc>
        <w:tc>
          <w:tcPr>
            <w:tcW w:w="1162" w:type="dxa"/>
          </w:tcPr>
          <w:p w14:paraId="216A968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w:t>
            </w:r>
          </w:p>
        </w:tc>
      </w:tr>
      <w:tr w:rsidR="004B4E35" w:rsidRPr="00405303" w14:paraId="6AEA7518" w14:textId="77777777">
        <w:trPr>
          <w:trHeight w:val="192"/>
        </w:trPr>
        <w:tc>
          <w:tcPr>
            <w:tcW w:w="4483" w:type="dxa"/>
          </w:tcPr>
          <w:p w14:paraId="159B75B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 зав. Э.И. Закис и А.И. Зайчикова</w:t>
            </w:r>
          </w:p>
        </w:tc>
        <w:tc>
          <w:tcPr>
            <w:tcW w:w="2285" w:type="dxa"/>
          </w:tcPr>
          <w:p w14:paraId="0800778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Тамбовская, 39</w:t>
            </w:r>
          </w:p>
        </w:tc>
        <w:tc>
          <w:tcPr>
            <w:tcW w:w="1162" w:type="dxa"/>
          </w:tcPr>
          <w:p w14:paraId="14F7364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25</w:t>
            </w:r>
          </w:p>
        </w:tc>
      </w:tr>
      <w:tr w:rsidR="004B4E35" w:rsidRPr="00405303" w14:paraId="79FF8A89" w14:textId="77777777">
        <w:trPr>
          <w:trHeight w:val="192"/>
        </w:trPr>
        <w:tc>
          <w:tcPr>
            <w:tcW w:w="4483" w:type="dxa"/>
          </w:tcPr>
          <w:p w14:paraId="3F9B0D1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Т-во механического производства обуви И. В. Савельева и К°</w:t>
            </w:r>
          </w:p>
        </w:tc>
        <w:tc>
          <w:tcPr>
            <w:tcW w:w="2285" w:type="dxa"/>
          </w:tcPr>
          <w:p w14:paraId="3A52BA8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Расстанная, 8-10</w:t>
            </w:r>
          </w:p>
        </w:tc>
        <w:tc>
          <w:tcPr>
            <w:tcW w:w="1162" w:type="dxa"/>
          </w:tcPr>
          <w:p w14:paraId="12CA67D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w:t>
            </w:r>
          </w:p>
        </w:tc>
      </w:tr>
      <w:tr w:rsidR="004B4E35" w:rsidRPr="00405303" w14:paraId="0D309FEB" w14:textId="77777777">
        <w:trPr>
          <w:trHeight w:val="192"/>
        </w:trPr>
        <w:tc>
          <w:tcPr>
            <w:tcW w:w="4483" w:type="dxa"/>
          </w:tcPr>
          <w:p w14:paraId="5B72904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Ф-ка лаков и красок «Книп»</w:t>
            </w:r>
          </w:p>
        </w:tc>
        <w:tc>
          <w:tcPr>
            <w:tcW w:w="2285" w:type="dxa"/>
          </w:tcPr>
          <w:p w14:paraId="5515937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Екатеринославская, 12</w:t>
            </w:r>
          </w:p>
        </w:tc>
        <w:tc>
          <w:tcPr>
            <w:tcW w:w="1162" w:type="dxa"/>
          </w:tcPr>
          <w:p w14:paraId="37C7F5E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28</w:t>
            </w:r>
          </w:p>
        </w:tc>
      </w:tr>
      <w:tr w:rsidR="004B4E35" w:rsidRPr="00405303" w14:paraId="084B455C" w14:textId="77777777">
        <w:trPr>
          <w:trHeight w:val="192"/>
        </w:trPr>
        <w:tc>
          <w:tcPr>
            <w:tcW w:w="4483" w:type="dxa"/>
          </w:tcPr>
          <w:p w14:paraId="1D73B26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Слесарно-кузнечный завод Палехова и сыновья</w:t>
            </w:r>
          </w:p>
        </w:tc>
        <w:tc>
          <w:tcPr>
            <w:tcW w:w="2285" w:type="dxa"/>
          </w:tcPr>
          <w:p w14:paraId="7A90879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Воронежская, 14—26</w:t>
            </w:r>
          </w:p>
        </w:tc>
        <w:tc>
          <w:tcPr>
            <w:tcW w:w="1162" w:type="dxa"/>
          </w:tcPr>
          <w:p w14:paraId="15AF7C9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95</w:t>
            </w:r>
          </w:p>
        </w:tc>
      </w:tr>
      <w:tr w:rsidR="004B4E35" w:rsidRPr="00405303" w14:paraId="14914A42" w14:textId="77777777">
        <w:trPr>
          <w:trHeight w:val="192"/>
        </w:trPr>
        <w:tc>
          <w:tcPr>
            <w:tcW w:w="4483" w:type="dxa"/>
          </w:tcPr>
          <w:p w14:paraId="4AB09D1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[5-й район]</w:t>
            </w:r>
          </w:p>
        </w:tc>
        <w:tc>
          <w:tcPr>
            <w:tcW w:w="2285" w:type="dxa"/>
          </w:tcPr>
          <w:p w14:paraId="748807F8" w14:textId="77777777" w:rsidR="004B4E35" w:rsidRPr="00405303" w:rsidRDefault="004B4E35" w:rsidP="00C15251">
            <w:pPr>
              <w:shd w:val="clear" w:color="auto" w:fill="FFFFFF"/>
              <w:jc w:val="both"/>
              <w:rPr>
                <w:bCs/>
                <w:color w:val="002060"/>
                <w:sz w:val="16"/>
                <w:szCs w:val="16"/>
              </w:rPr>
            </w:pPr>
          </w:p>
        </w:tc>
        <w:tc>
          <w:tcPr>
            <w:tcW w:w="1162" w:type="dxa"/>
          </w:tcPr>
          <w:p w14:paraId="21A6BC44" w14:textId="77777777" w:rsidR="004B4E35" w:rsidRPr="00405303" w:rsidRDefault="004B4E35" w:rsidP="00C15251">
            <w:pPr>
              <w:shd w:val="clear" w:color="auto" w:fill="FFFFFF"/>
              <w:jc w:val="both"/>
              <w:rPr>
                <w:bCs/>
                <w:color w:val="002060"/>
                <w:sz w:val="16"/>
                <w:szCs w:val="16"/>
              </w:rPr>
            </w:pPr>
          </w:p>
        </w:tc>
      </w:tr>
      <w:tr w:rsidR="004B4E35" w:rsidRPr="00405303" w14:paraId="44A3EAAA" w14:textId="77777777">
        <w:trPr>
          <w:trHeight w:val="192"/>
        </w:trPr>
        <w:tc>
          <w:tcPr>
            <w:tcW w:w="4483" w:type="dxa"/>
          </w:tcPr>
          <w:p w14:paraId="24DA796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О-во Франко- Русских заводов</w:t>
            </w:r>
          </w:p>
        </w:tc>
        <w:tc>
          <w:tcPr>
            <w:tcW w:w="2285" w:type="dxa"/>
          </w:tcPr>
          <w:p w14:paraId="6C6F48F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Пряжка, 17</w:t>
            </w:r>
          </w:p>
        </w:tc>
        <w:tc>
          <w:tcPr>
            <w:tcW w:w="1162" w:type="dxa"/>
          </w:tcPr>
          <w:p w14:paraId="044E231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3063</w:t>
            </w:r>
          </w:p>
        </w:tc>
      </w:tr>
      <w:tr w:rsidR="004B4E35" w:rsidRPr="00405303" w14:paraId="4E4742FF" w14:textId="77777777">
        <w:trPr>
          <w:trHeight w:val="192"/>
        </w:trPr>
        <w:tc>
          <w:tcPr>
            <w:tcW w:w="4483" w:type="dxa"/>
          </w:tcPr>
          <w:p w14:paraId="5F6E4B0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Электротехнический зав. Русского акц. о-ва «Сименс и Гальске»</w:t>
            </w:r>
          </w:p>
        </w:tc>
        <w:tc>
          <w:tcPr>
            <w:tcW w:w="2285" w:type="dxa"/>
          </w:tcPr>
          <w:p w14:paraId="2541527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 6-я лин., 61</w:t>
            </w:r>
          </w:p>
        </w:tc>
        <w:tc>
          <w:tcPr>
            <w:tcW w:w="1162" w:type="dxa"/>
          </w:tcPr>
          <w:p w14:paraId="5606646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1100</w:t>
            </w:r>
          </w:p>
        </w:tc>
      </w:tr>
      <w:tr w:rsidR="004B4E35" w:rsidRPr="00405303" w14:paraId="30452BCD" w14:textId="77777777">
        <w:trPr>
          <w:trHeight w:val="192"/>
        </w:trPr>
        <w:tc>
          <w:tcPr>
            <w:tcW w:w="4483" w:type="dxa"/>
          </w:tcPr>
          <w:p w14:paraId="1EE2209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Завод подков и подковных гвоздей Русского акц. о-ва Посселя</w:t>
            </w:r>
          </w:p>
        </w:tc>
        <w:tc>
          <w:tcPr>
            <w:tcW w:w="2285" w:type="dxa"/>
          </w:tcPr>
          <w:p w14:paraId="6408B5D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 17-я лин., 52 1400</w:t>
            </w:r>
          </w:p>
        </w:tc>
        <w:tc>
          <w:tcPr>
            <w:tcW w:w="1162" w:type="dxa"/>
          </w:tcPr>
          <w:p w14:paraId="3D34DE69" w14:textId="77777777" w:rsidR="004B4E35" w:rsidRPr="00405303" w:rsidRDefault="004B4E35" w:rsidP="00C15251">
            <w:pPr>
              <w:shd w:val="clear" w:color="auto" w:fill="FFFFFF"/>
              <w:jc w:val="both"/>
              <w:rPr>
                <w:bCs/>
                <w:color w:val="002060"/>
                <w:sz w:val="16"/>
                <w:szCs w:val="16"/>
              </w:rPr>
            </w:pPr>
          </w:p>
        </w:tc>
      </w:tr>
      <w:tr w:rsidR="004B4E35" w:rsidRPr="00405303" w14:paraId="69C6F3BA" w14:textId="77777777">
        <w:trPr>
          <w:trHeight w:val="192"/>
        </w:trPr>
        <w:tc>
          <w:tcPr>
            <w:tcW w:w="4483" w:type="dxa"/>
          </w:tcPr>
          <w:p w14:paraId="68AE202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Проволочный и гвоздильный зав. Донецко-Юрьевского метал</w:t>
            </w:r>
            <w:r w:rsidRPr="00405303">
              <w:rPr>
                <w:bCs/>
                <w:color w:val="002060"/>
                <w:sz w:val="16"/>
                <w:szCs w:val="16"/>
              </w:rPr>
              <w:softHyphen/>
              <w:t xml:space="preserve">лургического о-ва </w:t>
            </w:r>
          </w:p>
        </w:tc>
        <w:tc>
          <w:tcPr>
            <w:tcW w:w="2285" w:type="dxa"/>
          </w:tcPr>
          <w:p w14:paraId="7B14595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о., 25-я лип., 8</w:t>
            </w:r>
          </w:p>
        </w:tc>
        <w:tc>
          <w:tcPr>
            <w:tcW w:w="1162" w:type="dxa"/>
          </w:tcPr>
          <w:p w14:paraId="56B49BB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2300</w:t>
            </w:r>
          </w:p>
        </w:tc>
      </w:tr>
      <w:tr w:rsidR="004B4E35" w:rsidRPr="00405303" w14:paraId="046C3995" w14:textId="77777777">
        <w:trPr>
          <w:trHeight w:val="192"/>
        </w:trPr>
        <w:tc>
          <w:tcPr>
            <w:tcW w:w="4483" w:type="dxa"/>
          </w:tcPr>
          <w:p w14:paraId="1081198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Кабельный и меднопрокатный зав. акц. о-ва «Соединенные кабельные заводы»</w:t>
            </w:r>
          </w:p>
        </w:tc>
        <w:tc>
          <w:tcPr>
            <w:tcW w:w="2285" w:type="dxa"/>
          </w:tcPr>
          <w:p w14:paraId="43BC827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Кожевенная лин., 39-40</w:t>
            </w:r>
          </w:p>
        </w:tc>
        <w:tc>
          <w:tcPr>
            <w:tcW w:w="1162" w:type="dxa"/>
          </w:tcPr>
          <w:p w14:paraId="31E6F5B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1500</w:t>
            </w:r>
          </w:p>
        </w:tc>
      </w:tr>
      <w:tr w:rsidR="004B4E35" w:rsidRPr="00405303" w14:paraId="42A8E642" w14:textId="77777777">
        <w:trPr>
          <w:trHeight w:val="192"/>
        </w:trPr>
        <w:tc>
          <w:tcPr>
            <w:tcW w:w="4483" w:type="dxa"/>
          </w:tcPr>
          <w:p w14:paraId="46E9B80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О-во Российской бумагопрядильной м-ры, Новоткацкая ф-ка </w:t>
            </w:r>
          </w:p>
        </w:tc>
        <w:tc>
          <w:tcPr>
            <w:tcW w:w="2285" w:type="dxa"/>
          </w:tcPr>
          <w:p w14:paraId="0F45FFD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Уральская, 15</w:t>
            </w:r>
          </w:p>
        </w:tc>
        <w:tc>
          <w:tcPr>
            <w:tcW w:w="1162" w:type="dxa"/>
          </w:tcPr>
          <w:p w14:paraId="0B75D63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680</w:t>
            </w:r>
          </w:p>
        </w:tc>
      </w:tr>
      <w:tr w:rsidR="004B4E35" w:rsidRPr="00405303" w14:paraId="0A1446D1" w14:textId="77777777">
        <w:trPr>
          <w:trHeight w:val="192"/>
        </w:trPr>
        <w:tc>
          <w:tcPr>
            <w:tcW w:w="4483" w:type="dxa"/>
          </w:tcPr>
          <w:p w14:paraId="649654B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Меднолитейный и механический зав. акц. о-ва «Роберт Круг»</w:t>
            </w:r>
          </w:p>
        </w:tc>
        <w:tc>
          <w:tcPr>
            <w:tcW w:w="2285" w:type="dxa"/>
          </w:tcPr>
          <w:p w14:paraId="763D733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Смоленская наб., 19-21</w:t>
            </w:r>
          </w:p>
        </w:tc>
        <w:tc>
          <w:tcPr>
            <w:tcW w:w="1162" w:type="dxa"/>
          </w:tcPr>
          <w:p w14:paraId="2E7999F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250</w:t>
            </w:r>
          </w:p>
        </w:tc>
      </w:tr>
      <w:tr w:rsidR="004B4E35" w:rsidRPr="00405303" w14:paraId="41734666" w14:textId="77777777">
        <w:trPr>
          <w:trHeight w:val="192"/>
        </w:trPr>
        <w:tc>
          <w:tcPr>
            <w:tcW w:w="4483" w:type="dxa"/>
          </w:tcPr>
          <w:p w14:paraId="46ED683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Ф-ка палаток, брезентов, флагов т-ва И. Г. Кебко</w:t>
            </w:r>
          </w:p>
        </w:tc>
        <w:tc>
          <w:tcPr>
            <w:tcW w:w="2285" w:type="dxa"/>
          </w:tcPr>
          <w:p w14:paraId="1CC4BB5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Смоленская наб., 5-9</w:t>
            </w:r>
          </w:p>
        </w:tc>
        <w:tc>
          <w:tcPr>
            <w:tcW w:w="1162" w:type="dxa"/>
          </w:tcPr>
          <w:p w14:paraId="4254920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420</w:t>
            </w:r>
          </w:p>
        </w:tc>
      </w:tr>
      <w:tr w:rsidR="004B4E35" w:rsidRPr="00405303" w14:paraId="746AA82E" w14:textId="77777777">
        <w:trPr>
          <w:trHeight w:val="192"/>
        </w:trPr>
        <w:tc>
          <w:tcPr>
            <w:tcW w:w="4483" w:type="dxa"/>
          </w:tcPr>
          <w:p w14:paraId="7E609CC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Кожевенный зав. и шорные мастерские т-ва «И. А. Осипов иК°»</w:t>
            </w:r>
          </w:p>
        </w:tc>
        <w:tc>
          <w:tcPr>
            <w:tcW w:w="2285" w:type="dxa"/>
          </w:tcPr>
          <w:p w14:paraId="5B6C7E4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Голодаевскийпер., 3</w:t>
            </w:r>
          </w:p>
        </w:tc>
        <w:tc>
          <w:tcPr>
            <w:tcW w:w="1162" w:type="dxa"/>
          </w:tcPr>
          <w:p w14:paraId="6C36265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580</w:t>
            </w:r>
          </w:p>
        </w:tc>
      </w:tr>
      <w:tr w:rsidR="004B4E35" w:rsidRPr="00405303" w14:paraId="797BCEC2" w14:textId="77777777">
        <w:trPr>
          <w:trHeight w:val="192"/>
        </w:trPr>
        <w:tc>
          <w:tcPr>
            <w:tcW w:w="4483" w:type="dxa"/>
          </w:tcPr>
          <w:p w14:paraId="3AC2EA3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Шорно-седельная ф-ка торгового дома Остром и К° </w:t>
            </w:r>
          </w:p>
        </w:tc>
        <w:tc>
          <w:tcPr>
            <w:tcW w:w="2285" w:type="dxa"/>
          </w:tcPr>
          <w:p w14:paraId="62A0236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 7-я лин., 84</w:t>
            </w:r>
          </w:p>
        </w:tc>
        <w:tc>
          <w:tcPr>
            <w:tcW w:w="1162" w:type="dxa"/>
          </w:tcPr>
          <w:p w14:paraId="347B4E6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350</w:t>
            </w:r>
          </w:p>
        </w:tc>
      </w:tr>
      <w:tr w:rsidR="004B4E35" w:rsidRPr="00405303" w14:paraId="2EEA4186" w14:textId="77777777">
        <w:trPr>
          <w:trHeight w:val="192"/>
        </w:trPr>
        <w:tc>
          <w:tcPr>
            <w:tcW w:w="4483" w:type="dxa"/>
          </w:tcPr>
          <w:p w14:paraId="1DB7E6A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Завод акц. о-ва пневматических машин </w:t>
            </w:r>
          </w:p>
        </w:tc>
        <w:tc>
          <w:tcPr>
            <w:tcW w:w="2285" w:type="dxa"/>
          </w:tcPr>
          <w:p w14:paraId="3318906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 18-ялин., 27</w:t>
            </w:r>
          </w:p>
        </w:tc>
        <w:tc>
          <w:tcPr>
            <w:tcW w:w="1162" w:type="dxa"/>
          </w:tcPr>
          <w:p w14:paraId="5067887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200</w:t>
            </w:r>
          </w:p>
        </w:tc>
      </w:tr>
      <w:tr w:rsidR="004B4E35" w:rsidRPr="00405303" w14:paraId="552F98A0" w14:textId="77777777">
        <w:trPr>
          <w:trHeight w:val="192"/>
        </w:trPr>
        <w:tc>
          <w:tcPr>
            <w:tcW w:w="4483" w:type="dxa"/>
          </w:tcPr>
          <w:p w14:paraId="6BE08FC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Электротехнический зав. Русского акц. о-ва «Сименс Шуккерт» </w:t>
            </w:r>
          </w:p>
        </w:tc>
        <w:tc>
          <w:tcPr>
            <w:tcW w:w="2285" w:type="dxa"/>
          </w:tcPr>
          <w:p w14:paraId="20F9179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 24-я лин., 3-7</w:t>
            </w:r>
          </w:p>
        </w:tc>
        <w:tc>
          <w:tcPr>
            <w:tcW w:w="1162" w:type="dxa"/>
          </w:tcPr>
          <w:p w14:paraId="0F0BDD2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680</w:t>
            </w:r>
          </w:p>
        </w:tc>
      </w:tr>
      <w:tr w:rsidR="004B4E35" w:rsidRPr="00405303" w14:paraId="0CCD6DD8" w14:textId="77777777">
        <w:trPr>
          <w:trHeight w:val="192"/>
        </w:trPr>
        <w:tc>
          <w:tcPr>
            <w:tcW w:w="4483" w:type="dxa"/>
          </w:tcPr>
          <w:p w14:paraId="1DFF173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Кожевенный зав. и шорные мастерские А. А. Парамонова </w:t>
            </w:r>
          </w:p>
        </w:tc>
        <w:tc>
          <w:tcPr>
            <w:tcW w:w="2285" w:type="dxa"/>
          </w:tcPr>
          <w:p w14:paraId="5E2A010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 Кожев.лин., 1</w:t>
            </w:r>
          </w:p>
        </w:tc>
        <w:tc>
          <w:tcPr>
            <w:tcW w:w="1162" w:type="dxa"/>
          </w:tcPr>
          <w:p w14:paraId="0C75586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670</w:t>
            </w:r>
          </w:p>
        </w:tc>
      </w:tr>
      <w:tr w:rsidR="004B4E35" w:rsidRPr="00405303" w14:paraId="0A3CB423" w14:textId="77777777">
        <w:trPr>
          <w:trHeight w:val="192"/>
        </w:trPr>
        <w:tc>
          <w:tcPr>
            <w:tcW w:w="4483" w:type="dxa"/>
          </w:tcPr>
          <w:p w14:paraId="3FFBA5B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Кожевен, заводыт-ва П. М. Брусницын с С-ми</w:t>
            </w:r>
          </w:p>
        </w:tc>
        <w:tc>
          <w:tcPr>
            <w:tcW w:w="2285" w:type="dxa"/>
          </w:tcPr>
          <w:p w14:paraId="3410A0A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 Кожевен, лин. 27</w:t>
            </w:r>
          </w:p>
        </w:tc>
        <w:tc>
          <w:tcPr>
            <w:tcW w:w="1162" w:type="dxa"/>
          </w:tcPr>
          <w:p w14:paraId="7CEF7A8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370</w:t>
            </w:r>
          </w:p>
        </w:tc>
      </w:tr>
      <w:tr w:rsidR="004B4E35" w:rsidRPr="00405303" w14:paraId="7EA5390B" w14:textId="77777777">
        <w:trPr>
          <w:trHeight w:val="192"/>
        </w:trPr>
        <w:tc>
          <w:tcPr>
            <w:tcW w:w="4483" w:type="dxa"/>
          </w:tcPr>
          <w:p w14:paraId="55D7589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Ситценабивная ф-ка Акц. о-ва м-ры И. А. Воронина, Лютш и Чешер</w:t>
            </w:r>
          </w:p>
        </w:tc>
        <w:tc>
          <w:tcPr>
            <w:tcW w:w="2285" w:type="dxa"/>
          </w:tcPr>
          <w:p w14:paraId="416E635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 Кожев. Лин., 34</w:t>
            </w:r>
          </w:p>
        </w:tc>
        <w:tc>
          <w:tcPr>
            <w:tcW w:w="1162" w:type="dxa"/>
          </w:tcPr>
          <w:p w14:paraId="42E5A2D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96</w:t>
            </w:r>
          </w:p>
        </w:tc>
      </w:tr>
      <w:tr w:rsidR="004B4E35" w:rsidRPr="00405303" w14:paraId="19EF65DC" w14:textId="77777777">
        <w:trPr>
          <w:trHeight w:val="192"/>
        </w:trPr>
        <w:tc>
          <w:tcPr>
            <w:tcW w:w="4483" w:type="dxa"/>
          </w:tcPr>
          <w:p w14:paraId="238A4F8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Завод акц. о-ва «Всеобщая компания электричества»</w:t>
            </w:r>
          </w:p>
        </w:tc>
        <w:tc>
          <w:tcPr>
            <w:tcW w:w="2285" w:type="dxa"/>
          </w:tcPr>
          <w:p w14:paraId="0C19197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 Кожев. Лин., 37</w:t>
            </w:r>
          </w:p>
        </w:tc>
        <w:tc>
          <w:tcPr>
            <w:tcW w:w="1162" w:type="dxa"/>
          </w:tcPr>
          <w:p w14:paraId="39F227D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50</w:t>
            </w:r>
          </w:p>
        </w:tc>
      </w:tr>
      <w:tr w:rsidR="004B4E35" w:rsidRPr="00405303" w14:paraId="7875C5BD" w14:textId="77777777">
        <w:trPr>
          <w:trHeight w:val="192"/>
        </w:trPr>
        <w:tc>
          <w:tcPr>
            <w:tcW w:w="4483" w:type="dxa"/>
          </w:tcPr>
          <w:p w14:paraId="10235AF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О-во Российской бумагопрядильной м-ры, старая ткацкая ф-ка</w:t>
            </w:r>
          </w:p>
        </w:tc>
        <w:tc>
          <w:tcPr>
            <w:tcW w:w="2285" w:type="dxa"/>
          </w:tcPr>
          <w:p w14:paraId="3765E92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Уральская, 16</w:t>
            </w:r>
          </w:p>
        </w:tc>
        <w:tc>
          <w:tcPr>
            <w:tcW w:w="1162" w:type="dxa"/>
          </w:tcPr>
          <w:p w14:paraId="5BAF8B0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805</w:t>
            </w:r>
          </w:p>
        </w:tc>
      </w:tr>
      <w:tr w:rsidR="004B4E35" w:rsidRPr="00405303" w14:paraId="0D30663D" w14:textId="77777777">
        <w:trPr>
          <w:trHeight w:val="192"/>
        </w:trPr>
        <w:tc>
          <w:tcPr>
            <w:tcW w:w="4483" w:type="dxa"/>
          </w:tcPr>
          <w:p w14:paraId="592FCBF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Электрическая станция Бельгийского акц. о-ва «Электричес</w:t>
            </w:r>
            <w:r w:rsidRPr="00405303">
              <w:rPr>
                <w:bCs/>
                <w:color w:val="002060"/>
                <w:sz w:val="16"/>
                <w:szCs w:val="16"/>
              </w:rPr>
              <w:softHyphen/>
              <w:t>кое освещение Петрограда»</w:t>
            </w:r>
          </w:p>
        </w:tc>
        <w:tc>
          <w:tcPr>
            <w:tcW w:w="2285" w:type="dxa"/>
          </w:tcPr>
          <w:p w14:paraId="19B0703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Фонтанка, 104</w:t>
            </w:r>
          </w:p>
        </w:tc>
        <w:tc>
          <w:tcPr>
            <w:tcW w:w="1162" w:type="dxa"/>
          </w:tcPr>
          <w:p w14:paraId="20CDAB4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146</w:t>
            </w:r>
          </w:p>
        </w:tc>
      </w:tr>
      <w:tr w:rsidR="004B4E35" w:rsidRPr="00405303" w14:paraId="3D269711" w14:textId="77777777">
        <w:trPr>
          <w:trHeight w:val="192"/>
        </w:trPr>
        <w:tc>
          <w:tcPr>
            <w:tcW w:w="4483" w:type="dxa"/>
          </w:tcPr>
          <w:p w14:paraId="14CEE26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Завод «Т-ва Новомеханического завода»</w:t>
            </w:r>
          </w:p>
        </w:tc>
        <w:tc>
          <w:tcPr>
            <w:tcW w:w="2285" w:type="dxa"/>
          </w:tcPr>
          <w:p w14:paraId="5FD0D57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Пряжка, 2</w:t>
            </w:r>
          </w:p>
        </w:tc>
        <w:tc>
          <w:tcPr>
            <w:tcW w:w="1162" w:type="dxa"/>
          </w:tcPr>
          <w:p w14:paraId="6999678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25</w:t>
            </w:r>
          </w:p>
        </w:tc>
      </w:tr>
      <w:tr w:rsidR="004B4E35" w:rsidRPr="00405303" w14:paraId="38A44516" w14:textId="77777777">
        <w:trPr>
          <w:trHeight w:val="192"/>
        </w:trPr>
        <w:tc>
          <w:tcPr>
            <w:tcW w:w="4483" w:type="dxa"/>
          </w:tcPr>
          <w:p w14:paraId="0C7E30E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Механический зав. «Титан» М. С. Цыбиной</w:t>
            </w:r>
          </w:p>
        </w:tc>
        <w:tc>
          <w:tcPr>
            <w:tcW w:w="2285" w:type="dxa"/>
          </w:tcPr>
          <w:p w14:paraId="602703E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Перевозная, 8 25</w:t>
            </w:r>
          </w:p>
        </w:tc>
        <w:tc>
          <w:tcPr>
            <w:tcW w:w="1162" w:type="dxa"/>
          </w:tcPr>
          <w:p w14:paraId="53CE9E85" w14:textId="77777777" w:rsidR="004B4E35" w:rsidRPr="00405303" w:rsidRDefault="004B4E35" w:rsidP="00C15251">
            <w:pPr>
              <w:shd w:val="clear" w:color="auto" w:fill="FFFFFF"/>
              <w:jc w:val="both"/>
              <w:rPr>
                <w:bCs/>
                <w:color w:val="002060"/>
                <w:sz w:val="16"/>
                <w:szCs w:val="16"/>
              </w:rPr>
            </w:pPr>
          </w:p>
        </w:tc>
      </w:tr>
      <w:tr w:rsidR="004B4E35" w:rsidRPr="00405303" w14:paraId="72318444" w14:textId="77777777">
        <w:trPr>
          <w:trHeight w:val="192"/>
        </w:trPr>
        <w:tc>
          <w:tcPr>
            <w:tcW w:w="4483" w:type="dxa"/>
          </w:tcPr>
          <w:p w14:paraId="10FB1EA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Ремонтная мастерская при табачной ф-кеТ-ваА. К. Шапош</w:t>
            </w:r>
            <w:r w:rsidRPr="00405303">
              <w:rPr>
                <w:bCs/>
                <w:color w:val="002060"/>
                <w:sz w:val="16"/>
                <w:szCs w:val="16"/>
              </w:rPr>
              <w:softHyphen/>
              <w:t>ников</w:t>
            </w:r>
          </w:p>
        </w:tc>
        <w:tc>
          <w:tcPr>
            <w:tcW w:w="2285" w:type="dxa"/>
          </w:tcPr>
          <w:p w14:paraId="0CD2E4D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Клинский пр.,25</w:t>
            </w:r>
          </w:p>
        </w:tc>
        <w:tc>
          <w:tcPr>
            <w:tcW w:w="1162" w:type="dxa"/>
          </w:tcPr>
          <w:p w14:paraId="11A1406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20</w:t>
            </w:r>
          </w:p>
        </w:tc>
      </w:tr>
      <w:tr w:rsidR="004B4E35" w:rsidRPr="00405303" w14:paraId="17331997" w14:textId="77777777">
        <w:trPr>
          <w:trHeight w:val="192"/>
        </w:trPr>
        <w:tc>
          <w:tcPr>
            <w:tcW w:w="4483" w:type="dxa"/>
          </w:tcPr>
          <w:p w14:paraId="70AC096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Ремонтная мастерская при электрической станции Бельгийс</w:t>
            </w:r>
            <w:r w:rsidRPr="00405303">
              <w:rPr>
                <w:bCs/>
                <w:color w:val="002060"/>
                <w:sz w:val="16"/>
                <w:szCs w:val="16"/>
              </w:rPr>
              <w:softHyphen/>
              <w:t>кого акц. о-ва «Электрическое освещение Петрограда»</w:t>
            </w:r>
          </w:p>
        </w:tc>
        <w:tc>
          <w:tcPr>
            <w:tcW w:w="2285" w:type="dxa"/>
          </w:tcPr>
          <w:p w14:paraId="12F1B96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Фонтанка, 104</w:t>
            </w:r>
          </w:p>
        </w:tc>
        <w:tc>
          <w:tcPr>
            <w:tcW w:w="1162" w:type="dxa"/>
          </w:tcPr>
          <w:p w14:paraId="5E63013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30</w:t>
            </w:r>
          </w:p>
        </w:tc>
      </w:tr>
      <w:tr w:rsidR="004B4E35" w:rsidRPr="00405303" w14:paraId="00602892" w14:textId="77777777">
        <w:trPr>
          <w:trHeight w:val="192"/>
        </w:trPr>
        <w:tc>
          <w:tcPr>
            <w:tcW w:w="4483" w:type="dxa"/>
          </w:tcPr>
          <w:p w14:paraId="1E69719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Мебельно-столярная ф-ка Я. и И. Кон</w:t>
            </w:r>
          </w:p>
        </w:tc>
        <w:tc>
          <w:tcPr>
            <w:tcW w:w="2285" w:type="dxa"/>
          </w:tcPr>
          <w:p w14:paraId="4E36E55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 10-я лин.,55</w:t>
            </w:r>
          </w:p>
        </w:tc>
        <w:tc>
          <w:tcPr>
            <w:tcW w:w="1162" w:type="dxa"/>
          </w:tcPr>
          <w:p w14:paraId="2B08819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50</w:t>
            </w:r>
          </w:p>
        </w:tc>
      </w:tr>
      <w:tr w:rsidR="004B4E35" w:rsidRPr="00405303" w14:paraId="6A7AB725" w14:textId="77777777">
        <w:trPr>
          <w:trHeight w:val="192"/>
        </w:trPr>
        <w:tc>
          <w:tcPr>
            <w:tcW w:w="4483" w:type="dxa"/>
          </w:tcPr>
          <w:p w14:paraId="04010AB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Завод воздушных винтов «Интеграл» В. А. Лебедева</w:t>
            </w:r>
          </w:p>
        </w:tc>
        <w:tc>
          <w:tcPr>
            <w:tcW w:w="2285" w:type="dxa"/>
          </w:tcPr>
          <w:p w14:paraId="3703A46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В.о.,5-я лин.,54</w:t>
            </w:r>
          </w:p>
        </w:tc>
        <w:tc>
          <w:tcPr>
            <w:tcW w:w="1162" w:type="dxa"/>
          </w:tcPr>
          <w:p w14:paraId="21C700E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90</w:t>
            </w:r>
          </w:p>
        </w:tc>
      </w:tr>
      <w:tr w:rsidR="004B4E35" w:rsidRPr="00405303" w14:paraId="4546E7CA" w14:textId="77777777">
        <w:trPr>
          <w:trHeight w:val="192"/>
        </w:trPr>
        <w:tc>
          <w:tcPr>
            <w:tcW w:w="4483" w:type="dxa"/>
          </w:tcPr>
          <w:p w14:paraId="00D0F1B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Меднолитейный и механический зав. Г. В. Шауб</w:t>
            </w:r>
          </w:p>
        </w:tc>
        <w:tc>
          <w:tcPr>
            <w:tcW w:w="2285" w:type="dxa"/>
          </w:tcPr>
          <w:p w14:paraId="6AD6BDB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В.о.,10-я лин.,55</w:t>
            </w:r>
          </w:p>
        </w:tc>
        <w:tc>
          <w:tcPr>
            <w:tcW w:w="1162" w:type="dxa"/>
          </w:tcPr>
          <w:p w14:paraId="4B382DE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105</w:t>
            </w:r>
          </w:p>
        </w:tc>
      </w:tr>
      <w:tr w:rsidR="004B4E35" w:rsidRPr="00405303" w14:paraId="5A4EBD38" w14:textId="77777777">
        <w:trPr>
          <w:trHeight w:val="192"/>
        </w:trPr>
        <w:tc>
          <w:tcPr>
            <w:tcW w:w="4483" w:type="dxa"/>
          </w:tcPr>
          <w:p w14:paraId="4C37128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Слесарный зав. акц. О-ва «К. Винклер»</w:t>
            </w:r>
          </w:p>
        </w:tc>
        <w:tc>
          <w:tcPr>
            <w:tcW w:w="2285" w:type="dxa"/>
          </w:tcPr>
          <w:p w14:paraId="77CF100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 13-я лин.,76</w:t>
            </w:r>
          </w:p>
        </w:tc>
        <w:tc>
          <w:tcPr>
            <w:tcW w:w="1162" w:type="dxa"/>
          </w:tcPr>
          <w:p w14:paraId="5DA6927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90</w:t>
            </w:r>
          </w:p>
        </w:tc>
      </w:tr>
      <w:tr w:rsidR="004B4E35" w:rsidRPr="00405303" w14:paraId="5FE7958B" w14:textId="77777777">
        <w:trPr>
          <w:trHeight w:val="192"/>
        </w:trPr>
        <w:tc>
          <w:tcPr>
            <w:tcW w:w="4483" w:type="dxa"/>
          </w:tcPr>
          <w:p w14:paraId="19BDF83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Чугуно- меднолитейный и механический зав. Н. Г. Петрова</w:t>
            </w:r>
          </w:p>
        </w:tc>
        <w:tc>
          <w:tcPr>
            <w:tcW w:w="2285" w:type="dxa"/>
          </w:tcPr>
          <w:p w14:paraId="27E74A6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 18-я лин.,48</w:t>
            </w:r>
          </w:p>
        </w:tc>
        <w:tc>
          <w:tcPr>
            <w:tcW w:w="1162" w:type="dxa"/>
          </w:tcPr>
          <w:p w14:paraId="6F1DA8F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150</w:t>
            </w:r>
          </w:p>
        </w:tc>
      </w:tr>
      <w:tr w:rsidR="004B4E35" w:rsidRPr="00405303" w14:paraId="418E4B15" w14:textId="77777777">
        <w:trPr>
          <w:trHeight w:val="192"/>
        </w:trPr>
        <w:tc>
          <w:tcPr>
            <w:tcW w:w="4483" w:type="dxa"/>
          </w:tcPr>
          <w:p w14:paraId="5260EDE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Чугунно -меднолитейный и механический зав. Торгового дома Л. Вельц, бывш. И. Шенцелера</w:t>
            </w:r>
          </w:p>
        </w:tc>
        <w:tc>
          <w:tcPr>
            <w:tcW w:w="2285" w:type="dxa"/>
          </w:tcPr>
          <w:p w14:paraId="6B93B32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 Мал. Гаванск. просп., 1</w:t>
            </w:r>
          </w:p>
        </w:tc>
        <w:tc>
          <w:tcPr>
            <w:tcW w:w="1162" w:type="dxa"/>
          </w:tcPr>
          <w:p w14:paraId="1C4C98C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70</w:t>
            </w:r>
          </w:p>
        </w:tc>
      </w:tr>
      <w:tr w:rsidR="004B4E35" w:rsidRPr="00405303" w14:paraId="14792975" w14:textId="77777777">
        <w:trPr>
          <w:trHeight w:val="192"/>
        </w:trPr>
        <w:tc>
          <w:tcPr>
            <w:tcW w:w="4483" w:type="dxa"/>
          </w:tcPr>
          <w:p w14:paraId="0AE34C5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Меднолитейный и механич. зав. В. С. Леонова</w:t>
            </w:r>
          </w:p>
        </w:tc>
        <w:tc>
          <w:tcPr>
            <w:tcW w:w="2285" w:type="dxa"/>
          </w:tcPr>
          <w:p w14:paraId="4CF41B5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 Гаванск.ул.,77-в</w:t>
            </w:r>
          </w:p>
        </w:tc>
        <w:tc>
          <w:tcPr>
            <w:tcW w:w="1162" w:type="dxa"/>
          </w:tcPr>
          <w:p w14:paraId="4BC9B6D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90</w:t>
            </w:r>
          </w:p>
        </w:tc>
      </w:tr>
      <w:tr w:rsidR="004B4E35" w:rsidRPr="00405303" w14:paraId="112F4C07" w14:textId="77777777">
        <w:trPr>
          <w:trHeight w:val="192"/>
        </w:trPr>
        <w:tc>
          <w:tcPr>
            <w:tcW w:w="4483" w:type="dxa"/>
          </w:tcPr>
          <w:p w14:paraId="073839E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Завод русского производства подков П. Ю. Квиль</w:t>
            </w:r>
          </w:p>
        </w:tc>
        <w:tc>
          <w:tcPr>
            <w:tcW w:w="2285" w:type="dxa"/>
          </w:tcPr>
          <w:p w14:paraId="131343C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о., Малый просп., 54—22</w:t>
            </w:r>
          </w:p>
        </w:tc>
        <w:tc>
          <w:tcPr>
            <w:tcW w:w="1162" w:type="dxa"/>
          </w:tcPr>
          <w:p w14:paraId="651C7E8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120</w:t>
            </w:r>
          </w:p>
        </w:tc>
      </w:tr>
      <w:tr w:rsidR="004B4E35" w:rsidRPr="00405303" w14:paraId="179C4664" w14:textId="77777777">
        <w:trPr>
          <w:trHeight w:val="192"/>
        </w:trPr>
        <w:tc>
          <w:tcPr>
            <w:tcW w:w="4483" w:type="dxa"/>
          </w:tcPr>
          <w:p w14:paraId="5E845E7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Механический завод А. Нешекерова</w:t>
            </w:r>
          </w:p>
        </w:tc>
        <w:tc>
          <w:tcPr>
            <w:tcW w:w="2285" w:type="dxa"/>
          </w:tcPr>
          <w:p w14:paraId="1729D93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 17-я лин., 64</w:t>
            </w:r>
          </w:p>
        </w:tc>
        <w:tc>
          <w:tcPr>
            <w:tcW w:w="1162" w:type="dxa"/>
          </w:tcPr>
          <w:p w14:paraId="3B7F243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180</w:t>
            </w:r>
          </w:p>
        </w:tc>
      </w:tr>
      <w:tr w:rsidR="004B4E35" w:rsidRPr="00405303" w14:paraId="6FB68F47" w14:textId="77777777">
        <w:trPr>
          <w:trHeight w:val="192"/>
        </w:trPr>
        <w:tc>
          <w:tcPr>
            <w:tcW w:w="4483" w:type="dxa"/>
          </w:tcPr>
          <w:p w14:paraId="614534F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Механические мастерские Русско-Балтийского воздухоплава</w:t>
            </w:r>
            <w:r w:rsidRPr="00405303">
              <w:rPr>
                <w:bCs/>
                <w:color w:val="002060"/>
                <w:sz w:val="16"/>
                <w:szCs w:val="16"/>
              </w:rPr>
              <w:softHyphen/>
              <w:t>тельного завода</w:t>
            </w:r>
          </w:p>
        </w:tc>
        <w:tc>
          <w:tcPr>
            <w:tcW w:w="2285" w:type="dxa"/>
          </w:tcPr>
          <w:p w14:paraId="370D718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В.о., 5-я лин., 54 </w:t>
            </w:r>
          </w:p>
        </w:tc>
        <w:tc>
          <w:tcPr>
            <w:tcW w:w="1162" w:type="dxa"/>
          </w:tcPr>
          <w:p w14:paraId="19C9D9D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140</w:t>
            </w:r>
          </w:p>
        </w:tc>
      </w:tr>
      <w:tr w:rsidR="004B4E35" w:rsidRPr="00405303" w14:paraId="27B9EA8C" w14:textId="77777777">
        <w:trPr>
          <w:trHeight w:val="192"/>
        </w:trPr>
        <w:tc>
          <w:tcPr>
            <w:tcW w:w="4483" w:type="dxa"/>
          </w:tcPr>
          <w:p w14:paraId="49A37AE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Чугунолитейный и механический зав. Шкимша и Кирш</w:t>
            </w:r>
          </w:p>
        </w:tc>
        <w:tc>
          <w:tcPr>
            <w:tcW w:w="2285" w:type="dxa"/>
          </w:tcPr>
          <w:p w14:paraId="1FAE96C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Наб. Смоленской речки, 25</w:t>
            </w:r>
          </w:p>
        </w:tc>
        <w:tc>
          <w:tcPr>
            <w:tcW w:w="1162" w:type="dxa"/>
          </w:tcPr>
          <w:p w14:paraId="07DC411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50</w:t>
            </w:r>
          </w:p>
        </w:tc>
      </w:tr>
      <w:tr w:rsidR="004B4E35" w:rsidRPr="00405303" w14:paraId="427DF34F" w14:textId="77777777">
        <w:trPr>
          <w:trHeight w:val="192"/>
        </w:trPr>
        <w:tc>
          <w:tcPr>
            <w:tcW w:w="4483" w:type="dxa"/>
          </w:tcPr>
          <w:p w14:paraId="2267B28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Чугунолитейный и механический зав. «К. Боровский»</w:t>
            </w:r>
          </w:p>
        </w:tc>
        <w:tc>
          <w:tcPr>
            <w:tcW w:w="2285" w:type="dxa"/>
          </w:tcPr>
          <w:p w14:paraId="7F38012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 14-я лин., 78</w:t>
            </w:r>
          </w:p>
        </w:tc>
        <w:tc>
          <w:tcPr>
            <w:tcW w:w="1162" w:type="dxa"/>
          </w:tcPr>
          <w:p w14:paraId="22917D3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80</w:t>
            </w:r>
          </w:p>
        </w:tc>
      </w:tr>
      <w:tr w:rsidR="004B4E35" w:rsidRPr="00405303" w14:paraId="2AE753D7" w14:textId="77777777">
        <w:trPr>
          <w:trHeight w:val="192"/>
        </w:trPr>
        <w:tc>
          <w:tcPr>
            <w:tcW w:w="4483" w:type="dxa"/>
          </w:tcPr>
          <w:p w14:paraId="74EC045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Механический зав. А. Рейхеля</w:t>
            </w:r>
          </w:p>
        </w:tc>
        <w:tc>
          <w:tcPr>
            <w:tcW w:w="2285" w:type="dxa"/>
          </w:tcPr>
          <w:p w14:paraId="1D6FC4B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 8-я лин., 75</w:t>
            </w:r>
          </w:p>
        </w:tc>
        <w:tc>
          <w:tcPr>
            <w:tcW w:w="1162" w:type="dxa"/>
          </w:tcPr>
          <w:p w14:paraId="63D9859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180</w:t>
            </w:r>
          </w:p>
        </w:tc>
      </w:tr>
      <w:tr w:rsidR="004B4E35" w:rsidRPr="00405303" w14:paraId="0D8DD67D" w14:textId="77777777">
        <w:trPr>
          <w:trHeight w:val="192"/>
        </w:trPr>
        <w:tc>
          <w:tcPr>
            <w:tcW w:w="4483" w:type="dxa"/>
          </w:tcPr>
          <w:p w14:paraId="0788325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Механический зав. К. С. Герцыка</w:t>
            </w:r>
          </w:p>
        </w:tc>
        <w:tc>
          <w:tcPr>
            <w:tcW w:w="2285" w:type="dxa"/>
          </w:tcPr>
          <w:p w14:paraId="0F0078F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В.о.,8-я лин., 75</w:t>
            </w:r>
          </w:p>
        </w:tc>
        <w:tc>
          <w:tcPr>
            <w:tcW w:w="1162" w:type="dxa"/>
          </w:tcPr>
          <w:p w14:paraId="202D868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90</w:t>
            </w:r>
          </w:p>
        </w:tc>
      </w:tr>
      <w:tr w:rsidR="004B4E35" w:rsidRPr="00405303" w14:paraId="6F4C1606" w14:textId="77777777">
        <w:trPr>
          <w:trHeight w:val="192"/>
        </w:trPr>
        <w:tc>
          <w:tcPr>
            <w:tcW w:w="4483" w:type="dxa"/>
          </w:tcPr>
          <w:p w14:paraId="156A21C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Граверное заведение «Э. Кортман»</w:t>
            </w:r>
          </w:p>
        </w:tc>
        <w:tc>
          <w:tcPr>
            <w:tcW w:w="2285" w:type="dxa"/>
          </w:tcPr>
          <w:p w14:paraId="239F654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Невский пр., 35 </w:t>
            </w:r>
          </w:p>
        </w:tc>
        <w:tc>
          <w:tcPr>
            <w:tcW w:w="1162" w:type="dxa"/>
          </w:tcPr>
          <w:p w14:paraId="34FD2A4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126</w:t>
            </w:r>
          </w:p>
        </w:tc>
      </w:tr>
      <w:tr w:rsidR="004B4E35" w:rsidRPr="00405303" w14:paraId="35365A73" w14:textId="77777777">
        <w:trPr>
          <w:trHeight w:val="192"/>
        </w:trPr>
        <w:tc>
          <w:tcPr>
            <w:tcW w:w="4483" w:type="dxa"/>
          </w:tcPr>
          <w:p w14:paraId="54F5C66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Бронзовая ф-ка «Р. Кольбе»</w:t>
            </w:r>
          </w:p>
        </w:tc>
        <w:tc>
          <w:tcPr>
            <w:tcW w:w="2285" w:type="dxa"/>
          </w:tcPr>
          <w:p w14:paraId="73C9891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Вознесенский пр., 36</w:t>
            </w:r>
          </w:p>
        </w:tc>
        <w:tc>
          <w:tcPr>
            <w:tcW w:w="1162" w:type="dxa"/>
          </w:tcPr>
          <w:p w14:paraId="159CA36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70</w:t>
            </w:r>
          </w:p>
        </w:tc>
      </w:tr>
      <w:tr w:rsidR="004B4E35" w:rsidRPr="00405303" w14:paraId="566E70A2" w14:textId="77777777">
        <w:trPr>
          <w:trHeight w:val="192"/>
        </w:trPr>
        <w:tc>
          <w:tcPr>
            <w:tcW w:w="4483" w:type="dxa"/>
          </w:tcPr>
          <w:p w14:paraId="0138BD0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Обмундировальная мастерская Н. Ф. Рубахина</w:t>
            </w:r>
          </w:p>
        </w:tc>
        <w:tc>
          <w:tcPr>
            <w:tcW w:w="2285" w:type="dxa"/>
          </w:tcPr>
          <w:p w14:paraId="78B97C4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Измайловский, 7 </w:t>
            </w:r>
          </w:p>
        </w:tc>
        <w:tc>
          <w:tcPr>
            <w:tcW w:w="1162" w:type="dxa"/>
          </w:tcPr>
          <w:p w14:paraId="7EE29B5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150</w:t>
            </w:r>
          </w:p>
        </w:tc>
      </w:tr>
      <w:tr w:rsidR="004B4E35" w:rsidRPr="00405303" w14:paraId="3E9DF050" w14:textId="77777777">
        <w:trPr>
          <w:trHeight w:val="192"/>
        </w:trPr>
        <w:tc>
          <w:tcPr>
            <w:tcW w:w="4483" w:type="dxa"/>
          </w:tcPr>
          <w:p w14:paraId="65E3E5D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Ф-ка металлических пуговиц, крючков и петель «Бр. Бух»</w:t>
            </w:r>
          </w:p>
        </w:tc>
        <w:tc>
          <w:tcPr>
            <w:tcW w:w="2285" w:type="dxa"/>
          </w:tcPr>
          <w:p w14:paraId="72F4838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В.о.,6-я лин.,20 </w:t>
            </w:r>
          </w:p>
        </w:tc>
        <w:tc>
          <w:tcPr>
            <w:tcW w:w="1162" w:type="dxa"/>
          </w:tcPr>
          <w:p w14:paraId="2965BA0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150</w:t>
            </w:r>
          </w:p>
        </w:tc>
      </w:tr>
      <w:tr w:rsidR="004B4E35" w:rsidRPr="00405303" w14:paraId="6A6C3E9B" w14:textId="77777777">
        <w:trPr>
          <w:trHeight w:val="192"/>
        </w:trPr>
        <w:tc>
          <w:tcPr>
            <w:tcW w:w="4483" w:type="dxa"/>
          </w:tcPr>
          <w:p w14:paraId="4C19042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Ф-ка металлических изделий «холодного оружия» бр. Вундер</w:t>
            </w:r>
          </w:p>
        </w:tc>
        <w:tc>
          <w:tcPr>
            <w:tcW w:w="2285" w:type="dxa"/>
          </w:tcPr>
          <w:p w14:paraId="76C0425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В.о., 13-я лин.,22 </w:t>
            </w:r>
          </w:p>
        </w:tc>
        <w:tc>
          <w:tcPr>
            <w:tcW w:w="1162" w:type="dxa"/>
          </w:tcPr>
          <w:p w14:paraId="48BF354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90</w:t>
            </w:r>
          </w:p>
        </w:tc>
      </w:tr>
      <w:tr w:rsidR="004B4E35" w:rsidRPr="00405303" w14:paraId="6A5B0933" w14:textId="77777777">
        <w:trPr>
          <w:trHeight w:val="192"/>
        </w:trPr>
        <w:tc>
          <w:tcPr>
            <w:tcW w:w="4483" w:type="dxa"/>
          </w:tcPr>
          <w:p w14:paraId="55AAC1A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Механический зав. акц. О-ва «Блаугаз»</w:t>
            </w:r>
          </w:p>
        </w:tc>
        <w:tc>
          <w:tcPr>
            <w:tcW w:w="2285" w:type="dxa"/>
          </w:tcPr>
          <w:p w14:paraId="12D3515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В.о.,22-я лин.,3 120</w:t>
            </w:r>
          </w:p>
        </w:tc>
        <w:tc>
          <w:tcPr>
            <w:tcW w:w="1162" w:type="dxa"/>
          </w:tcPr>
          <w:p w14:paraId="4FE39F17" w14:textId="77777777" w:rsidR="004B4E35" w:rsidRPr="00405303" w:rsidRDefault="004B4E35" w:rsidP="00C15251">
            <w:pPr>
              <w:shd w:val="clear" w:color="auto" w:fill="FFFFFF"/>
              <w:jc w:val="both"/>
              <w:rPr>
                <w:bCs/>
                <w:color w:val="002060"/>
                <w:sz w:val="16"/>
                <w:szCs w:val="16"/>
              </w:rPr>
            </w:pPr>
          </w:p>
        </w:tc>
      </w:tr>
      <w:tr w:rsidR="004B4E35" w:rsidRPr="00405303" w14:paraId="34C58700" w14:textId="77777777">
        <w:trPr>
          <w:trHeight w:val="192"/>
        </w:trPr>
        <w:tc>
          <w:tcPr>
            <w:tcW w:w="4483" w:type="dxa"/>
          </w:tcPr>
          <w:p w14:paraId="417CCD2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Электромеханический завод торгового дома «Оде и К'»</w:t>
            </w:r>
          </w:p>
        </w:tc>
        <w:tc>
          <w:tcPr>
            <w:tcW w:w="2285" w:type="dxa"/>
          </w:tcPr>
          <w:p w14:paraId="6BD84DE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В.о., Весельная, 9 </w:t>
            </w:r>
          </w:p>
        </w:tc>
        <w:tc>
          <w:tcPr>
            <w:tcW w:w="1162" w:type="dxa"/>
          </w:tcPr>
          <w:p w14:paraId="6430875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100</w:t>
            </w:r>
          </w:p>
        </w:tc>
      </w:tr>
      <w:tr w:rsidR="004B4E35" w:rsidRPr="00405303" w14:paraId="5F7BB30B" w14:textId="77777777">
        <w:trPr>
          <w:trHeight w:val="192"/>
        </w:trPr>
        <w:tc>
          <w:tcPr>
            <w:tcW w:w="4483" w:type="dxa"/>
          </w:tcPr>
          <w:p w14:paraId="18D8D5C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Завод для оцинкования железа В. Н. Коллан</w:t>
            </w:r>
          </w:p>
        </w:tc>
        <w:tc>
          <w:tcPr>
            <w:tcW w:w="2285" w:type="dxa"/>
          </w:tcPr>
          <w:p w14:paraId="518E17C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В.о., Большой пр., 88-а </w:t>
            </w:r>
          </w:p>
        </w:tc>
        <w:tc>
          <w:tcPr>
            <w:tcW w:w="1162" w:type="dxa"/>
          </w:tcPr>
          <w:p w14:paraId="5332D0A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24</w:t>
            </w:r>
          </w:p>
        </w:tc>
      </w:tr>
      <w:tr w:rsidR="004B4E35" w:rsidRPr="00405303" w14:paraId="3D8A8680" w14:textId="77777777">
        <w:trPr>
          <w:trHeight w:val="192"/>
        </w:trPr>
        <w:tc>
          <w:tcPr>
            <w:tcW w:w="4483" w:type="dxa"/>
          </w:tcPr>
          <w:p w14:paraId="27908A0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Картонажная ф-ка «Прогресс В. С. Прейса»</w:t>
            </w:r>
          </w:p>
        </w:tc>
        <w:tc>
          <w:tcPr>
            <w:tcW w:w="2285" w:type="dxa"/>
          </w:tcPr>
          <w:p w14:paraId="6F0D2BD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В.о., Средний пр., 71 </w:t>
            </w:r>
          </w:p>
        </w:tc>
        <w:tc>
          <w:tcPr>
            <w:tcW w:w="1162" w:type="dxa"/>
          </w:tcPr>
          <w:p w14:paraId="6758323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17</w:t>
            </w:r>
          </w:p>
        </w:tc>
      </w:tr>
      <w:tr w:rsidR="004B4E35" w:rsidRPr="00405303" w14:paraId="7F0952A7" w14:textId="77777777">
        <w:trPr>
          <w:trHeight w:val="192"/>
        </w:trPr>
        <w:tc>
          <w:tcPr>
            <w:tcW w:w="4483" w:type="dxa"/>
          </w:tcPr>
          <w:p w14:paraId="0656AA4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Мастерская метеорологических, физических и химических инструментов Ф. О. Мюллера</w:t>
            </w:r>
          </w:p>
        </w:tc>
        <w:tc>
          <w:tcPr>
            <w:tcW w:w="2285" w:type="dxa"/>
          </w:tcPr>
          <w:p w14:paraId="45CF2E1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 19-я лин., 10</w:t>
            </w:r>
          </w:p>
        </w:tc>
        <w:tc>
          <w:tcPr>
            <w:tcW w:w="1162" w:type="dxa"/>
          </w:tcPr>
          <w:p w14:paraId="382859C9" w14:textId="77777777" w:rsidR="004B4E35" w:rsidRPr="00405303" w:rsidRDefault="004B4E35" w:rsidP="00C15251">
            <w:pPr>
              <w:shd w:val="clear" w:color="auto" w:fill="FFFFFF"/>
              <w:jc w:val="both"/>
              <w:rPr>
                <w:bCs/>
                <w:color w:val="002060"/>
                <w:sz w:val="16"/>
                <w:szCs w:val="16"/>
              </w:rPr>
            </w:pPr>
          </w:p>
        </w:tc>
      </w:tr>
      <w:tr w:rsidR="004B4E35" w:rsidRPr="00405303" w14:paraId="63830EB4" w14:textId="77777777">
        <w:trPr>
          <w:trHeight w:val="192"/>
        </w:trPr>
        <w:tc>
          <w:tcPr>
            <w:tcW w:w="4483" w:type="dxa"/>
          </w:tcPr>
          <w:p w14:paraId="23B4BA5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Селитряный завод Русского о-ва для выделки и продажи пороха</w:t>
            </w:r>
          </w:p>
        </w:tc>
        <w:tc>
          <w:tcPr>
            <w:tcW w:w="2285" w:type="dxa"/>
          </w:tcPr>
          <w:p w14:paraId="675C93C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В.о., Кожевенная лин.,36 </w:t>
            </w:r>
          </w:p>
        </w:tc>
        <w:tc>
          <w:tcPr>
            <w:tcW w:w="1162" w:type="dxa"/>
          </w:tcPr>
          <w:p w14:paraId="659D6D9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36</w:t>
            </w:r>
          </w:p>
        </w:tc>
      </w:tr>
      <w:tr w:rsidR="004B4E35" w:rsidRPr="00405303" w14:paraId="6F754F27" w14:textId="77777777">
        <w:trPr>
          <w:trHeight w:val="192"/>
        </w:trPr>
        <w:tc>
          <w:tcPr>
            <w:tcW w:w="4483" w:type="dxa"/>
          </w:tcPr>
          <w:p w14:paraId="35D7F41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Механический зав. Н. Бенуа и К°</w:t>
            </w:r>
          </w:p>
        </w:tc>
        <w:tc>
          <w:tcPr>
            <w:tcW w:w="2285" w:type="dxa"/>
          </w:tcPr>
          <w:p w14:paraId="38BC1B5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Екатерингофский пр. 3 </w:t>
            </w:r>
          </w:p>
        </w:tc>
        <w:tc>
          <w:tcPr>
            <w:tcW w:w="1162" w:type="dxa"/>
          </w:tcPr>
          <w:p w14:paraId="2372355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w:t>
            </w:r>
          </w:p>
        </w:tc>
      </w:tr>
      <w:tr w:rsidR="004B4E35" w:rsidRPr="00405303" w14:paraId="7A008D18" w14:textId="77777777">
        <w:trPr>
          <w:trHeight w:val="192"/>
        </w:trPr>
        <w:tc>
          <w:tcPr>
            <w:tcW w:w="4483" w:type="dxa"/>
          </w:tcPr>
          <w:p w14:paraId="026A716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Мастерская хирургических инструментов К. Бозе</w:t>
            </w:r>
          </w:p>
        </w:tc>
        <w:tc>
          <w:tcPr>
            <w:tcW w:w="2285" w:type="dxa"/>
          </w:tcPr>
          <w:p w14:paraId="488C1A0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Мойка, 56</w:t>
            </w:r>
          </w:p>
        </w:tc>
        <w:tc>
          <w:tcPr>
            <w:tcW w:w="1162" w:type="dxa"/>
          </w:tcPr>
          <w:p w14:paraId="41D09568" w14:textId="77777777" w:rsidR="004B4E35" w:rsidRPr="00405303" w:rsidRDefault="004B4E35" w:rsidP="00C15251">
            <w:pPr>
              <w:shd w:val="clear" w:color="auto" w:fill="FFFFFF"/>
              <w:jc w:val="both"/>
              <w:rPr>
                <w:bCs/>
                <w:color w:val="002060"/>
                <w:sz w:val="16"/>
                <w:szCs w:val="16"/>
              </w:rPr>
            </w:pPr>
          </w:p>
        </w:tc>
      </w:tr>
    </w:tbl>
    <w:p w14:paraId="0231DB8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РГВИА. Ф. 970. Оп. 3. Д. 2025. Л. 11-21 об. Копия (10707).</w:t>
      </w:r>
    </w:p>
    <w:p w14:paraId="4DBF0BED" w14:textId="77777777" w:rsidR="004B4E35" w:rsidRPr="00405303" w:rsidRDefault="004B4E35" w:rsidP="00C15251">
      <w:pPr>
        <w:shd w:val="clear" w:color="auto" w:fill="FFFFFF"/>
        <w:jc w:val="both"/>
        <w:rPr>
          <w:bCs/>
          <w:color w:val="002060"/>
          <w:sz w:val="16"/>
          <w:szCs w:val="16"/>
        </w:rPr>
      </w:pPr>
    </w:p>
    <w:p w14:paraId="35396D0D" w14:textId="77777777" w:rsidR="004B4E35" w:rsidRPr="00405303" w:rsidRDefault="009E6F82" w:rsidP="00C15251">
      <w:pPr>
        <w:jc w:val="both"/>
        <w:rPr>
          <w:bCs/>
          <w:color w:val="002060"/>
          <w:sz w:val="16"/>
          <w:szCs w:val="16"/>
        </w:rPr>
      </w:pPr>
      <w:r w:rsidRPr="00405303">
        <w:rPr>
          <w:bCs/>
          <w:color w:val="002060"/>
          <w:sz w:val="16"/>
          <w:szCs w:val="16"/>
        </w:rPr>
        <w:t>До конца 1915 года еще четыре аналогичных русских бронепоезда вступили в строй. В российской армии бронепоезда организационно входили в состав железнодорожных войск, что облегчало их строительство, техническое обслуживание и ремонт в полевых условиях. После постройки первых бронепоездов было развернуто их производство в Киеве, в мастерских Юго-Западной железной дороги, и в Одессе в мастерских Русского общества пароходства и торговли.</w:t>
      </w:r>
    </w:p>
    <w:p w14:paraId="7719500E" w14:textId="77777777" w:rsidR="004B4E35" w:rsidRPr="00405303" w:rsidRDefault="009E6F82" w:rsidP="00C15251">
      <w:pPr>
        <w:jc w:val="both"/>
        <w:rPr>
          <w:bCs/>
          <w:color w:val="002060"/>
          <w:sz w:val="16"/>
          <w:szCs w:val="16"/>
        </w:rPr>
      </w:pPr>
      <w:r w:rsidRPr="00405303">
        <w:rPr>
          <w:bCs/>
          <w:color w:val="002060"/>
          <w:sz w:val="16"/>
          <w:szCs w:val="16"/>
        </w:rPr>
        <w:t>Распространение в этот период получила типовая конструкция полевого бронепоезда русской армии образца 1915 года конструкции инженера Балля, включавшая бронепаровоз и две бронеплощадки. На каждой площадке имелось двенадцать станковых пулеметов "Максим" (по шесть на каждый борт), а в концевом каземате была установлена трехдюймовая горная пушка образца 1904 года.</w:t>
      </w:r>
    </w:p>
    <w:p w14:paraId="21211C1A" w14:textId="77777777" w:rsidR="004B4E35" w:rsidRPr="00405303" w:rsidRDefault="009E6F82" w:rsidP="00C15251">
      <w:pPr>
        <w:jc w:val="both"/>
        <w:rPr>
          <w:bCs/>
          <w:color w:val="002060"/>
          <w:sz w:val="16"/>
          <w:szCs w:val="16"/>
        </w:rPr>
      </w:pPr>
      <w:r w:rsidRPr="00405303">
        <w:rPr>
          <w:bCs/>
          <w:color w:val="002060"/>
          <w:sz w:val="16"/>
          <w:szCs w:val="16"/>
        </w:rPr>
        <w:t xml:space="preserve">Как правило, бронепоезд приводился в движение паровозом серии О - наиболее массовым на российских железных дорогах в то время. Кстати, буква О означала "основной". К этому типу с 1892 г. относили паровозы с формулой 0-4-0 (четырехосные, все колесные пары ведущие), с паровыми машинами типа компаунд (то есть с двумя цилиндрами с каждой стороны паровоза). На первых паровозах </w:t>
      </w:r>
      <w:proofErr w:type="gramStart"/>
      <w:r w:rsidRPr="00405303">
        <w:rPr>
          <w:bCs/>
          <w:color w:val="002060"/>
          <w:sz w:val="16"/>
          <w:szCs w:val="16"/>
        </w:rPr>
        <w:t>серии</w:t>
      </w:r>
      <w:proofErr w:type="gramEnd"/>
      <w:r w:rsidRPr="00405303">
        <w:rPr>
          <w:bCs/>
          <w:color w:val="002060"/>
          <w:sz w:val="16"/>
          <w:szCs w:val="16"/>
        </w:rPr>
        <w:t xml:space="preserve"> О цилиндры имели диаметр 500 и 710 мм, ход поршня составлял 650 мм, давление пара в котле составляло 11 кгс/см2. Для разновидности паровоза с парораспределительным механизмом Вальсхарта было принято обозначения ОВ, а среди железнодорожников такие локомотивы получили известность под именем "овечка". Масса паровоза составляла 51…52,5 т, их максимальная скорость не превышала 50…60 км/ч. Всего было построено свыше 4,5 тысяч паровозов серии О. В небольших количествах их строили вплоть до конца двадцатых годов прошлого века. Неудивительно, что именно этот паровоз, доказавший свою надежность и неприхотливость, стал главной "тягловой силой" российских бронепоездов (11149).</w:t>
      </w:r>
    </w:p>
    <w:p w14:paraId="0E3FE465" w14:textId="77777777" w:rsidR="004B4E35" w:rsidRPr="00405303" w:rsidRDefault="004B4E35" w:rsidP="00C15251">
      <w:pPr>
        <w:jc w:val="both"/>
        <w:rPr>
          <w:bCs/>
          <w:color w:val="002060"/>
          <w:sz w:val="16"/>
          <w:szCs w:val="16"/>
        </w:rPr>
      </w:pPr>
    </w:p>
    <w:p w14:paraId="4429AD17" w14:textId="77777777" w:rsidR="004B4E35" w:rsidRPr="00405303" w:rsidRDefault="009E6F82" w:rsidP="00C15251">
      <w:pPr>
        <w:jc w:val="both"/>
        <w:rPr>
          <w:bCs/>
          <w:color w:val="002060"/>
          <w:sz w:val="16"/>
          <w:szCs w:val="16"/>
        </w:rPr>
      </w:pPr>
      <w:r w:rsidRPr="00405303">
        <w:rPr>
          <w:bCs/>
          <w:color w:val="002060"/>
          <w:sz w:val="16"/>
          <w:szCs w:val="16"/>
        </w:rPr>
        <w:t>К концу 1915 года на Восточном фронте действовало уже 15 бронепоездов - по одному на Северном и Западном, восемь на Юго-Западном, четыре на Кавказском фронте и один в Финляндии (использовался для береговой обороны и охраны побережья). Строились они на знаменитом Путиловском заводе в Петрограде. Сложные условия боевого применения и, в частности, все более широкое распространение скорострельных пушек, создавали большие проблемы. Через два года, к середине 1917 года, в российской армии оставалось всего семь бронепоездов, остальные были потеряны в боях или находились в ремонте (11149).</w:t>
      </w:r>
    </w:p>
    <w:p w14:paraId="0DE22041" w14:textId="77777777" w:rsidR="004B4E35" w:rsidRPr="00405303" w:rsidRDefault="004B4E35" w:rsidP="00C15251">
      <w:pPr>
        <w:jc w:val="both"/>
        <w:rPr>
          <w:bCs/>
          <w:color w:val="002060"/>
          <w:sz w:val="16"/>
          <w:szCs w:val="16"/>
        </w:rPr>
      </w:pPr>
    </w:p>
    <w:p w14:paraId="36FC095F" w14:textId="77777777" w:rsidR="004B4E35" w:rsidRPr="00405303" w:rsidRDefault="009E6F82" w:rsidP="00C15251">
      <w:pPr>
        <w:jc w:val="both"/>
        <w:rPr>
          <w:bCs/>
          <w:color w:val="002060"/>
          <w:sz w:val="16"/>
          <w:szCs w:val="16"/>
        </w:rPr>
      </w:pPr>
      <w:r w:rsidRPr="00405303">
        <w:rPr>
          <w:bCs/>
          <w:color w:val="002060"/>
          <w:sz w:val="16"/>
          <w:szCs w:val="16"/>
        </w:rPr>
        <w:t>В конце 1915 года был образован Военно-химический комитет во главе с Н.С. Курнаковым (заместитель председателя В.Е.Тищенко, члены совета В.Н. Ипатьев, А.Е. Фаворский, А.Е. Ферсман и другие ученые). По инициативе активистов в интересах нужд военного времени в 1916 году в Петрограде был основан Опытный завод как промежуточное звено между лабораторной стадией и промышленным выпуском химических продуктов. Хотя к началу 1919 года здесь успешно реализовали ряд проектов, имевших военное значение, однако все определеннее на первый план выдвигалась более широкая цель — индустриализация России, ее экономическое развитие путем рационального использования природных богатств (См.: Климов А.В. Опытный завод Государственного института прикладной химии // Работы Опытного завода 1916—1926 гг.: Труды ГИПХ. Л., 1927.) (11175).</w:t>
      </w:r>
    </w:p>
    <w:p w14:paraId="7E005E58" w14:textId="77777777" w:rsidR="004B4E35" w:rsidRPr="00405303" w:rsidRDefault="004B4E35" w:rsidP="00C15251">
      <w:pPr>
        <w:jc w:val="both"/>
        <w:rPr>
          <w:bCs/>
          <w:color w:val="002060"/>
          <w:sz w:val="16"/>
          <w:szCs w:val="16"/>
        </w:rPr>
      </w:pPr>
    </w:p>
    <w:p w14:paraId="2CB44451" w14:textId="4770BAE4" w:rsidR="004B4E35" w:rsidRPr="00405303" w:rsidRDefault="002C4482" w:rsidP="00C15251">
      <w:pPr>
        <w:jc w:val="both"/>
        <w:rPr>
          <w:bCs/>
          <w:color w:val="002060"/>
          <w:sz w:val="16"/>
          <w:szCs w:val="16"/>
        </w:rPr>
      </w:pPr>
      <w:r w:rsidRPr="00405303">
        <w:rPr>
          <w:bCs/>
          <w:color w:val="002060"/>
          <w:sz w:val="16"/>
          <w:szCs w:val="16"/>
        </w:rPr>
        <w:t>Д</w:t>
      </w:r>
      <w:r w:rsidR="009E6F82" w:rsidRPr="00405303">
        <w:rPr>
          <w:bCs/>
          <w:color w:val="002060"/>
          <w:sz w:val="16"/>
          <w:szCs w:val="16"/>
        </w:rPr>
        <w:t>о конца 1915 года</w:t>
      </w:r>
      <w:r w:rsidRPr="00405303">
        <w:rPr>
          <w:bCs/>
          <w:color w:val="002060"/>
          <w:sz w:val="16"/>
          <w:szCs w:val="16"/>
        </w:rPr>
        <w:t xml:space="preserve"> вступили в строй еще четыре бронепоезда, аналогичных построенному в августе т1914 г. в мастерских 9-го железнодорожного батальона русской армии, в составе бронепаровоза и четырех бронеплощадок. Вооружен он был восемью пулеметами и четырьмя горными 76,2-мм пушками. Орудие было выбрано в качестве основного вооружения за свои небольшие размеры и массу, позволявшие разместить ее на поворотной установке</w:t>
      </w:r>
      <w:r w:rsidR="009E6F82" w:rsidRPr="00405303">
        <w:rPr>
          <w:bCs/>
          <w:color w:val="002060"/>
          <w:sz w:val="16"/>
          <w:szCs w:val="16"/>
        </w:rPr>
        <w:t>. В российской армии бронепоезда организационно входили в состав железнодорожных войск, что облегчало их строительство, техническое обслуживание и ремонт в полевых условиях. После постройки первых бронепоездов было развернуто их производство в Киеве, в мастерских Юго-Западной железной дороги, и в Одессе в мастерских Русского общества пароходства и торговли.</w:t>
      </w:r>
    </w:p>
    <w:p w14:paraId="1AAD9C4A" w14:textId="77777777" w:rsidR="004B4E35" w:rsidRPr="00405303" w:rsidRDefault="009E6F82" w:rsidP="00C15251">
      <w:pPr>
        <w:jc w:val="both"/>
        <w:rPr>
          <w:bCs/>
          <w:color w:val="002060"/>
          <w:sz w:val="16"/>
          <w:szCs w:val="16"/>
        </w:rPr>
      </w:pPr>
      <w:r w:rsidRPr="00405303">
        <w:rPr>
          <w:bCs/>
          <w:color w:val="002060"/>
          <w:sz w:val="16"/>
          <w:szCs w:val="16"/>
        </w:rPr>
        <w:t>Распространение в этот период получила типовая конструкция полевого бронепоезда русской армии образца 1915 года конструкции инженера Балля, включавшая бронепаровоз и две бронеплощадки. На каждой площадке имелось двенадцать станковых пулеметов "Максим" (по шесть на каждый борт), а в концевом каземате была установлена трехдюймовая горная пушка образца 1904 года.</w:t>
      </w:r>
    </w:p>
    <w:p w14:paraId="11517397" w14:textId="77777777" w:rsidR="004B4E35" w:rsidRPr="00405303" w:rsidRDefault="009E6F82" w:rsidP="00C15251">
      <w:pPr>
        <w:jc w:val="both"/>
        <w:rPr>
          <w:bCs/>
          <w:color w:val="002060"/>
          <w:sz w:val="16"/>
          <w:szCs w:val="16"/>
        </w:rPr>
      </w:pPr>
      <w:r w:rsidRPr="00405303">
        <w:rPr>
          <w:bCs/>
          <w:color w:val="002060"/>
          <w:sz w:val="16"/>
          <w:szCs w:val="16"/>
        </w:rPr>
        <w:t xml:space="preserve">Как правило, бронепоезд приводился в движение паровозом серии О - наиболее массовым на российских железных дорогах в то время. Кстати, буква О означала "основной". К этому типу с 1892 г. относили паровозы с формулой 0-4-0 (четырехосные, все колесные пары ведущие), с паровыми машинами типа компаунд (то есть с двумя цилиндрами с каждой стороны паровоза). На первых паровозах </w:t>
      </w:r>
      <w:proofErr w:type="gramStart"/>
      <w:r w:rsidRPr="00405303">
        <w:rPr>
          <w:bCs/>
          <w:color w:val="002060"/>
          <w:sz w:val="16"/>
          <w:szCs w:val="16"/>
        </w:rPr>
        <w:t>серии</w:t>
      </w:r>
      <w:proofErr w:type="gramEnd"/>
      <w:r w:rsidRPr="00405303">
        <w:rPr>
          <w:bCs/>
          <w:color w:val="002060"/>
          <w:sz w:val="16"/>
          <w:szCs w:val="16"/>
        </w:rPr>
        <w:t xml:space="preserve"> О цилиндры имели диаметр 500 и 710 мм, ход поршня составлял 650 мм, давление пара в котле составляло 11 кгс/см2. Для разновидности паровоза с парораспределительным механизмом Вальсхарта было принято обозначения ОВ, а среди железнодорожников такие локомотивы получили известность под именем "овечка". Масса паровоза составляла 51…52,5 т, их максимальная скорость не превышала 50…60 км/ч. Всего было построено свыше 4,5 тысяч паровозов серии О. В небольших количествах их строили вплоть до конца двадцатых годов прошлого века. Неудивительно, что именно этот паровоз, доказавший свою надежность и неприхотливость, стал главной "тягловой силой" российских бронепоездов.</w:t>
      </w:r>
    </w:p>
    <w:p w14:paraId="7CCC1DE0" w14:textId="77777777" w:rsidR="004B4E35" w:rsidRPr="00405303" w:rsidRDefault="009E6F82" w:rsidP="00C15251">
      <w:pPr>
        <w:jc w:val="both"/>
        <w:rPr>
          <w:bCs/>
          <w:color w:val="002060"/>
          <w:sz w:val="16"/>
          <w:szCs w:val="16"/>
        </w:rPr>
      </w:pPr>
      <w:r w:rsidRPr="00405303">
        <w:rPr>
          <w:bCs/>
          <w:color w:val="002060"/>
          <w:sz w:val="16"/>
          <w:szCs w:val="16"/>
        </w:rPr>
        <w:t>К концу 1915 года на Восточном фронте действовало уже 15 бронепоездов - по одному на Северном и Западном, восемь на Юго-Западном, четыре на Кавказском фронте и один в Финляндии (использовался для береговой обороны и охраны побережья). Строились они на знаменитом Путиловском заводе в Петрограде. Сложные условия боевого применения и, в частности, все более широкое распространение скорострельных пушек, создавали большие проблемы (11406).</w:t>
      </w:r>
    </w:p>
    <w:p w14:paraId="3DA31927" w14:textId="77777777" w:rsidR="004B4E35" w:rsidRPr="00405303" w:rsidRDefault="004B4E35" w:rsidP="00C15251">
      <w:pPr>
        <w:jc w:val="both"/>
        <w:rPr>
          <w:bCs/>
          <w:color w:val="002060"/>
          <w:sz w:val="16"/>
          <w:szCs w:val="16"/>
        </w:rPr>
      </w:pPr>
    </w:p>
    <w:p w14:paraId="5D21EA94" w14:textId="77777777" w:rsidR="00F35977" w:rsidRPr="00405303" w:rsidRDefault="00F35977" w:rsidP="00C15251">
      <w:pPr>
        <w:jc w:val="both"/>
        <w:rPr>
          <w:bCs/>
          <w:color w:val="002060"/>
          <w:sz w:val="16"/>
          <w:szCs w:val="16"/>
        </w:rPr>
      </w:pPr>
      <w:r w:rsidRPr="00405303">
        <w:rPr>
          <w:bCs/>
          <w:color w:val="002060"/>
          <w:sz w:val="16"/>
          <w:szCs w:val="16"/>
          <w:lang w:bidi="en-US"/>
        </w:rPr>
        <w:t>К концу 1915 года промышленная прибыль России выросла на 39,7% с начала войны. Индекс розничных цен вырос на 23%, а заработная плата выросла всего на 10%, что привело к ухудшению условий жизни рабочих и крестьян и их семей. К сожалению, было немало русских бизнесменов, которые видели в войне возможность обогатиться за счет народа (23525).</w:t>
      </w:r>
    </w:p>
    <w:p w14:paraId="7931136B" w14:textId="77777777" w:rsidR="00F35977" w:rsidRPr="00405303" w:rsidRDefault="00F35977" w:rsidP="00C15251">
      <w:pPr>
        <w:jc w:val="both"/>
        <w:rPr>
          <w:bCs/>
          <w:color w:val="002060"/>
          <w:sz w:val="16"/>
          <w:szCs w:val="16"/>
          <w:lang w:bidi="en-US"/>
        </w:rPr>
      </w:pPr>
    </w:p>
    <w:p w14:paraId="6AC2E009" w14:textId="77777777" w:rsidR="00F35977" w:rsidRPr="00405303" w:rsidRDefault="00F35977"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К кон</w:t>
      </w:r>
      <w:r w:rsidRPr="00405303">
        <w:rPr>
          <w:rFonts w:ascii="Times New Roman" w:hAnsi="Times New Roman" w:cs="Times New Roman"/>
          <w:bCs/>
          <w:color w:val="002060"/>
          <w:sz w:val="16"/>
          <w:szCs w:val="16"/>
        </w:rPr>
        <w:softHyphen/>
        <w:t>цу 1915 г. отмечалась активность шести русских фирм, рас</w:t>
      </w:r>
      <w:r w:rsidRPr="00405303">
        <w:rPr>
          <w:rFonts w:ascii="Times New Roman" w:hAnsi="Times New Roman" w:cs="Times New Roman"/>
          <w:bCs/>
          <w:color w:val="002060"/>
          <w:sz w:val="16"/>
          <w:szCs w:val="16"/>
        </w:rPr>
        <w:softHyphen/>
        <w:t>считывавших получить поставку автомобилей. Из них «уже строил автомо</w:t>
      </w:r>
      <w:r w:rsidRPr="00405303">
        <w:rPr>
          <w:rFonts w:ascii="Times New Roman" w:hAnsi="Times New Roman" w:cs="Times New Roman"/>
          <w:bCs/>
          <w:color w:val="002060"/>
          <w:sz w:val="16"/>
          <w:szCs w:val="16"/>
        </w:rPr>
        <w:softHyphen/>
        <w:t xml:space="preserve">били» один только «Русско-Балтийский вагонный завод», при этом количество деталей, импортируемых РБВЗ, к 1914 г. «свелось к минимуму»: магнето, карбюраторы, обода колес «и некоторые другие» (РГИА. Ф. 1276. Оп. 12. Д. 208. Л. 67 и об. Данилов — Поливанову, </w:t>
      </w:r>
      <w:r w:rsidRPr="00405303">
        <w:rPr>
          <w:rFonts w:ascii="Times New Roman" w:hAnsi="Times New Roman" w:cs="Times New Roman"/>
          <w:bCs/>
          <w:color w:val="002060"/>
          <w:sz w:val="16"/>
          <w:szCs w:val="16"/>
          <w:lang w:bidi="en-US"/>
        </w:rPr>
        <w:t>10.</w:t>
      </w:r>
      <w:r w:rsidRPr="00405303">
        <w:rPr>
          <w:rFonts w:ascii="Times New Roman" w:hAnsi="Times New Roman" w:cs="Times New Roman"/>
          <w:bCs/>
          <w:color w:val="002060"/>
          <w:sz w:val="16"/>
          <w:szCs w:val="16"/>
          <w:lang w:val="en-US" w:bidi="en-US"/>
        </w:rPr>
        <w:t>XII</w:t>
      </w:r>
      <w:r w:rsidRPr="00405303">
        <w:rPr>
          <w:rFonts w:ascii="Times New Roman" w:hAnsi="Times New Roman" w:cs="Times New Roman"/>
          <w:bCs/>
          <w:color w:val="002060"/>
          <w:sz w:val="16"/>
          <w:szCs w:val="16"/>
          <w:lang w:bidi="en-US"/>
        </w:rPr>
        <w:t xml:space="preserve">.1915; </w:t>
      </w:r>
      <w:r w:rsidRPr="00405303">
        <w:rPr>
          <w:rFonts w:ascii="Times New Roman" w:hAnsi="Times New Roman" w:cs="Times New Roman"/>
          <w:bCs/>
          <w:color w:val="002060"/>
          <w:sz w:val="16"/>
          <w:szCs w:val="16"/>
        </w:rPr>
        <w:t>История автомобильного транспорта России до 1917 [года]. М., 1994. С. 40). Эвакуированный из Риги в Фили (на окраине Москвы), завод «приступил к налажению этого дела» на новом месте (По сведениям в биографической справке о рабочем этого завода Э. Апшенеке, к автомобильному отделу проявили интерес владельцы АМО: «За автомобильным отделением приехали учредители АМО, мил</w:t>
      </w:r>
      <w:r w:rsidRPr="00405303">
        <w:rPr>
          <w:rFonts w:ascii="Times New Roman" w:hAnsi="Times New Roman" w:cs="Times New Roman"/>
          <w:bCs/>
          <w:color w:val="002060"/>
          <w:sz w:val="16"/>
          <w:szCs w:val="16"/>
        </w:rPr>
        <w:softHyphen/>
        <w:t>лионеры Рябушинские, купили и отправили в Москву» (Штраус В. Ла</w:t>
      </w:r>
      <w:r w:rsidRPr="00405303">
        <w:rPr>
          <w:rFonts w:ascii="Times New Roman" w:hAnsi="Times New Roman" w:cs="Times New Roman"/>
          <w:bCs/>
          <w:color w:val="002060"/>
          <w:sz w:val="16"/>
          <w:szCs w:val="16"/>
        </w:rPr>
        <w:softHyphen/>
        <w:t xml:space="preserve">тышский дневник // Бутовский полигон. М., 2007. [Вып. 8]. С. 281 — 282). На работу в АМО взяли и </w:t>
      </w:r>
      <w:proofErr w:type="gramStart"/>
      <w:r w:rsidRPr="00405303">
        <w:rPr>
          <w:rFonts w:ascii="Times New Roman" w:hAnsi="Times New Roman" w:cs="Times New Roman"/>
          <w:bCs/>
          <w:color w:val="002060"/>
          <w:sz w:val="16"/>
          <w:szCs w:val="16"/>
        </w:rPr>
        <w:t>инженеров</w:t>
      </w:r>
      <w:proofErr w:type="gramEnd"/>
      <w:r w:rsidRPr="00405303">
        <w:rPr>
          <w:rFonts w:ascii="Times New Roman" w:hAnsi="Times New Roman" w:cs="Times New Roman"/>
          <w:bCs/>
          <w:color w:val="002060"/>
          <w:sz w:val="16"/>
          <w:szCs w:val="16"/>
        </w:rPr>
        <w:t xml:space="preserve"> и конструкторов РБВЗ (Воронкова С.В. «Заводское строительство в России в годы Первой миро</w:t>
      </w:r>
      <w:r w:rsidRPr="00405303">
        <w:rPr>
          <w:rFonts w:ascii="Times New Roman" w:hAnsi="Times New Roman" w:cs="Times New Roman"/>
          <w:bCs/>
          <w:color w:val="002060"/>
          <w:sz w:val="16"/>
          <w:szCs w:val="16"/>
        </w:rPr>
        <w:softHyphen/>
        <w:t>вой войны И Экономический журнал. 2002. № 8. С. 22). В 1915—1916 гг. была намечена «пересадка» в Москву моторного отдела РБВЗ, но к моменту спешной эвакуации помещения для этого отдела в Москве еще не были построены, и оборудование оказалось в Петрограде (РГВИА. Ф. 369. Оп. 2. Д. 78. Л. 19 и об.). Среди остальных пяти фирм о той или иной причастности к автомобильному делу имели основание за</w:t>
      </w:r>
      <w:r w:rsidRPr="00405303">
        <w:rPr>
          <w:rFonts w:ascii="Times New Roman" w:hAnsi="Times New Roman" w:cs="Times New Roman"/>
          <w:bCs/>
          <w:color w:val="002060"/>
          <w:sz w:val="16"/>
          <w:szCs w:val="16"/>
        </w:rPr>
        <w:softHyphen/>
        <w:t>являть ремонтные мастерские компании П. Ильина в Москве, за которыми числился «большой опыт в ремонте и построй</w:t>
      </w:r>
      <w:r w:rsidRPr="00405303">
        <w:rPr>
          <w:rFonts w:ascii="Times New Roman" w:hAnsi="Times New Roman" w:cs="Times New Roman"/>
          <w:bCs/>
          <w:color w:val="002060"/>
          <w:sz w:val="16"/>
          <w:szCs w:val="16"/>
        </w:rPr>
        <w:softHyphen/>
        <w:t>ке кузовов» (вскоре, однако, вопрос о заказе этой фирме «от</w:t>
      </w:r>
      <w:r w:rsidRPr="00405303">
        <w:rPr>
          <w:rFonts w:ascii="Times New Roman" w:hAnsi="Times New Roman" w:cs="Times New Roman"/>
          <w:bCs/>
          <w:color w:val="002060"/>
          <w:sz w:val="16"/>
          <w:szCs w:val="16"/>
        </w:rPr>
        <w:softHyphen/>
        <w:t xml:space="preserve">пал» из-за увеличения запрошенной цены (ВПР. С. 558)), и мастерские в Петрограде фирмы «Русский Рено» </w:t>
      </w:r>
      <w:r w:rsidRPr="00405303">
        <w:rPr>
          <w:rFonts w:ascii="Times New Roman" w:hAnsi="Times New Roman" w:cs="Times New Roman"/>
          <w:bCs/>
          <w:color w:val="002060"/>
          <w:sz w:val="16"/>
          <w:szCs w:val="16"/>
        </w:rPr>
        <w:lastRenderedPageBreak/>
        <w:t>— «весьма солидного предприятия» с «большим техническим опытом». Доставля</w:t>
      </w:r>
      <w:r w:rsidRPr="00405303">
        <w:rPr>
          <w:rFonts w:ascii="Times New Roman" w:hAnsi="Times New Roman" w:cs="Times New Roman"/>
          <w:bCs/>
          <w:color w:val="002060"/>
          <w:sz w:val="16"/>
          <w:szCs w:val="16"/>
        </w:rPr>
        <w:softHyphen/>
        <w:t>емые в Россию грузовики фирма «Рено» отправляла на свой завод в Рыбинск, где машины «распаковывались, осматри</w:t>
      </w:r>
      <w:r w:rsidRPr="00405303">
        <w:rPr>
          <w:rFonts w:ascii="Times New Roman" w:hAnsi="Times New Roman" w:cs="Times New Roman"/>
          <w:bCs/>
          <w:color w:val="002060"/>
          <w:sz w:val="16"/>
          <w:szCs w:val="16"/>
        </w:rPr>
        <w:softHyphen/>
        <w:t>вались и приводились в исправность»1. (В Петрограде фирма занималась во время войны только заказами Организации Ванкова на запальные стаканы и детонаторы, «не имея для других целей никаких орудий производства» (РГИА. Ф. 1276. Оп. 12. Д. 208. Л. 52; РГВИА. Ф. 369. Оп. 16. Д. 54; История Организации уполномоченного ГАУ. С. 189)).</w:t>
      </w:r>
    </w:p>
    <w:p w14:paraId="5119B653" w14:textId="77777777" w:rsidR="00F35977" w:rsidRPr="00405303" w:rsidRDefault="00F35977" w:rsidP="00C15251">
      <w:pPr>
        <w:pStyle w:val="af6"/>
        <w:spacing w:line="240" w:lineRule="auto"/>
        <w:jc w:val="both"/>
        <w:rPr>
          <w:rFonts w:ascii="Times New Roman" w:hAnsi="Times New Roman" w:cs="Times New Roman"/>
          <w:bCs/>
          <w:color w:val="002060"/>
          <w:sz w:val="16"/>
          <w:szCs w:val="16"/>
        </w:rPr>
      </w:pPr>
      <w:r w:rsidRPr="00405303">
        <w:rPr>
          <w:rFonts w:ascii="Times New Roman" w:hAnsi="Times New Roman" w:cs="Times New Roman"/>
          <w:bCs/>
          <w:color w:val="002060"/>
          <w:sz w:val="16"/>
          <w:szCs w:val="16"/>
        </w:rPr>
        <w:t>Прочие же три фирмы лишь проявили готовность при</w:t>
      </w:r>
      <w:r w:rsidRPr="00405303">
        <w:rPr>
          <w:rFonts w:ascii="Times New Roman" w:hAnsi="Times New Roman" w:cs="Times New Roman"/>
          <w:bCs/>
          <w:color w:val="002060"/>
          <w:sz w:val="16"/>
          <w:szCs w:val="16"/>
        </w:rPr>
        <w:softHyphen/>
        <w:t>способиться к постройке автомобилей. Это были «А. о. воз</w:t>
      </w:r>
      <w:r w:rsidRPr="00405303">
        <w:rPr>
          <w:rFonts w:ascii="Times New Roman" w:hAnsi="Times New Roman" w:cs="Times New Roman"/>
          <w:bCs/>
          <w:color w:val="002060"/>
          <w:sz w:val="16"/>
          <w:szCs w:val="16"/>
        </w:rPr>
        <w:softHyphen/>
        <w:t>духоплавания В.А. Лебедев» с заводом аэропланов в Петро</w:t>
      </w:r>
      <w:r w:rsidRPr="00405303">
        <w:rPr>
          <w:rFonts w:ascii="Times New Roman" w:hAnsi="Times New Roman" w:cs="Times New Roman"/>
          <w:bCs/>
          <w:color w:val="002060"/>
          <w:sz w:val="16"/>
          <w:szCs w:val="16"/>
        </w:rPr>
        <w:softHyphen/>
        <w:t>граде, устраивавшее также завод в Ярославле; механический завод а. о. «Аксай» в Нахичевани — «одно из крупных и пре</w:t>
      </w:r>
      <w:r w:rsidRPr="00405303">
        <w:rPr>
          <w:rFonts w:ascii="Times New Roman" w:hAnsi="Times New Roman" w:cs="Times New Roman"/>
          <w:bCs/>
          <w:color w:val="002060"/>
          <w:sz w:val="16"/>
          <w:szCs w:val="16"/>
        </w:rPr>
        <w:softHyphen/>
        <w:t xml:space="preserve">красно оборудованных предприятий Юга России»; проект автомобильного завода для общества А. Кузнецов и С. Рябушинский готовили в США. «Предполагали приступить» к организации автомобильных заводов в России, кроме «Рено», еще «Фиат», американская «General Motors Truck &amp; С°», общество Бекос, французская «Шнейдер и К0». Свой завод под Одессой устраивала американская компания Roumley Motor Truck Со. </w:t>
      </w:r>
      <w:r w:rsidRPr="00405303">
        <w:rPr>
          <w:rFonts w:ascii="Times New Roman" w:hAnsi="Times New Roman" w:cs="Times New Roman"/>
          <w:bCs/>
          <w:color w:val="002060"/>
          <w:sz w:val="16"/>
          <w:szCs w:val="16"/>
          <w:lang w:val="en-US"/>
        </w:rPr>
        <w:t>(</w:t>
      </w:r>
      <w:r w:rsidRPr="00405303">
        <w:rPr>
          <w:rFonts w:ascii="Times New Roman" w:hAnsi="Times New Roman" w:cs="Times New Roman"/>
          <w:bCs/>
          <w:color w:val="002060"/>
          <w:sz w:val="16"/>
          <w:szCs w:val="16"/>
          <w:lang w:val="en-US" w:bidi="en-US"/>
        </w:rPr>
        <w:t>Marge G.T. Nearing the End in Imperial Russia. N.Y., 1970. P</w:t>
      </w:r>
      <w:r w:rsidRPr="00405303">
        <w:rPr>
          <w:rFonts w:ascii="Times New Roman" w:hAnsi="Times New Roman" w:cs="Times New Roman"/>
          <w:bCs/>
          <w:color w:val="002060"/>
          <w:sz w:val="16"/>
          <w:szCs w:val="16"/>
          <w:lang w:bidi="en-US"/>
        </w:rPr>
        <w:t>. 477</w:t>
      </w:r>
      <w:r w:rsidRPr="00405303">
        <w:rPr>
          <w:rFonts w:ascii="Times New Roman" w:hAnsi="Times New Roman" w:cs="Times New Roman"/>
          <w:bCs/>
          <w:color w:val="002060"/>
          <w:sz w:val="16"/>
          <w:szCs w:val="16"/>
        </w:rPr>
        <w:t>).</w:t>
      </w:r>
    </w:p>
    <w:p w14:paraId="62746E0F" w14:textId="77777777" w:rsidR="00F35977" w:rsidRPr="00405303" w:rsidRDefault="00F35977" w:rsidP="00C15251">
      <w:pPr>
        <w:jc w:val="both"/>
        <w:rPr>
          <w:bCs/>
          <w:color w:val="002060"/>
          <w:sz w:val="16"/>
          <w:szCs w:val="16"/>
        </w:rPr>
      </w:pPr>
      <w:r w:rsidRPr="00405303">
        <w:rPr>
          <w:bCs/>
          <w:color w:val="002060"/>
          <w:sz w:val="16"/>
          <w:szCs w:val="16"/>
        </w:rPr>
        <w:t>Подготовительную комиссию Особого совещания по обо</w:t>
      </w:r>
      <w:r w:rsidRPr="00405303">
        <w:rPr>
          <w:bCs/>
          <w:color w:val="002060"/>
          <w:sz w:val="16"/>
          <w:szCs w:val="16"/>
        </w:rPr>
        <w:softHyphen/>
        <w:t>роне привлекала низкая цена, назначенная обществом Де- лагэ, но еще ниже назначило цену общество Бекос («British Engineering Со of Siberia»). Тем не менее по соображениям таможенной политики комиссия была вынуждена рекомен</w:t>
      </w:r>
      <w:r w:rsidRPr="00405303">
        <w:rPr>
          <w:bCs/>
          <w:color w:val="002060"/>
          <w:sz w:val="16"/>
          <w:szCs w:val="16"/>
        </w:rPr>
        <w:softHyphen/>
        <w:t>довать (наряду с пятью русскими компаниями) фирму «Рус</w:t>
      </w:r>
      <w:r w:rsidRPr="00405303">
        <w:rPr>
          <w:bCs/>
          <w:color w:val="002060"/>
          <w:sz w:val="16"/>
          <w:szCs w:val="16"/>
        </w:rPr>
        <w:softHyphen/>
        <w:t xml:space="preserve">ский Рено» (ВПР. </w:t>
      </w:r>
      <w:r w:rsidRPr="00405303">
        <w:rPr>
          <w:bCs/>
          <w:color w:val="002060"/>
          <w:sz w:val="16"/>
          <w:szCs w:val="16"/>
          <w:lang w:val="en-US" w:bidi="en-US"/>
        </w:rPr>
        <w:t>C</w:t>
      </w:r>
      <w:r w:rsidRPr="00405303">
        <w:rPr>
          <w:bCs/>
          <w:color w:val="002060"/>
          <w:sz w:val="16"/>
          <w:szCs w:val="16"/>
          <w:lang w:bidi="en-US"/>
        </w:rPr>
        <w:t>. 536-538, 555-559</w:t>
      </w:r>
      <w:r w:rsidRPr="00405303">
        <w:rPr>
          <w:bCs/>
          <w:color w:val="002060"/>
          <w:sz w:val="16"/>
          <w:szCs w:val="16"/>
        </w:rPr>
        <w:t>) (23452).</w:t>
      </w:r>
    </w:p>
    <w:p w14:paraId="27AF2279" w14:textId="77777777" w:rsidR="00F35977" w:rsidRPr="00405303" w:rsidRDefault="00F35977" w:rsidP="00C15251">
      <w:pPr>
        <w:jc w:val="both"/>
        <w:rPr>
          <w:bCs/>
          <w:color w:val="002060"/>
          <w:sz w:val="16"/>
          <w:szCs w:val="16"/>
        </w:rPr>
      </w:pPr>
    </w:p>
    <w:p w14:paraId="04CA3A73" w14:textId="77777777" w:rsidR="00F35977" w:rsidRPr="00405303" w:rsidRDefault="00F35977" w:rsidP="00C15251">
      <w:pPr>
        <w:jc w:val="both"/>
        <w:rPr>
          <w:bCs/>
          <w:color w:val="002060"/>
          <w:sz w:val="16"/>
          <w:szCs w:val="16"/>
        </w:rPr>
      </w:pPr>
      <w:r w:rsidRPr="00405303">
        <w:rPr>
          <w:bCs/>
          <w:color w:val="002060"/>
          <w:sz w:val="16"/>
          <w:szCs w:val="16"/>
        </w:rPr>
        <w:t>В конце 1915 г. еще не сложилось определенного мне</w:t>
      </w:r>
      <w:r w:rsidRPr="00405303">
        <w:rPr>
          <w:bCs/>
          <w:color w:val="002060"/>
          <w:sz w:val="16"/>
          <w:szCs w:val="16"/>
        </w:rPr>
        <w:softHyphen/>
        <w:t>ния, как будет получать литье и поковки будущий орудийный завод; возник и другой вопрос: с предложениями взяться за соз</w:t>
      </w:r>
      <w:r w:rsidRPr="00405303">
        <w:rPr>
          <w:bCs/>
          <w:color w:val="002060"/>
          <w:sz w:val="16"/>
          <w:szCs w:val="16"/>
        </w:rPr>
        <w:softHyphen/>
        <w:t>дание орудийных заводов выступили частные лица; неясна была перспектива, связанная с использованием Царицын</w:t>
      </w:r>
      <w:r w:rsidRPr="00405303">
        <w:rPr>
          <w:bCs/>
          <w:color w:val="002060"/>
          <w:sz w:val="16"/>
          <w:szCs w:val="16"/>
        </w:rPr>
        <w:softHyphen/>
        <w:t>ского завода. Рассмотрением дела со всех этих сторон за</w:t>
      </w:r>
      <w:r w:rsidRPr="00405303">
        <w:rPr>
          <w:bCs/>
          <w:color w:val="002060"/>
          <w:sz w:val="16"/>
          <w:szCs w:val="16"/>
        </w:rPr>
        <w:softHyphen/>
        <w:t>нималась Подготовительная комиссия по артиллерийским вопросам (23452).</w:t>
      </w:r>
    </w:p>
    <w:p w14:paraId="1B1ACEAA" w14:textId="77777777" w:rsidR="00FB79CF" w:rsidRPr="00405303" w:rsidRDefault="00FB79CF" w:rsidP="00C15251">
      <w:pPr>
        <w:jc w:val="both"/>
        <w:rPr>
          <w:bCs/>
          <w:color w:val="002060"/>
          <w:sz w:val="16"/>
          <w:szCs w:val="16"/>
          <w:lang w:bidi="ru-RU"/>
        </w:rPr>
      </w:pPr>
    </w:p>
    <w:p w14:paraId="6E76FDB0" w14:textId="77777777" w:rsidR="00FB79CF" w:rsidRPr="00405303" w:rsidRDefault="00FB79CF" w:rsidP="00C15251">
      <w:pPr>
        <w:jc w:val="both"/>
        <w:rPr>
          <w:bCs/>
          <w:color w:val="002060"/>
          <w:sz w:val="16"/>
          <w:szCs w:val="16"/>
        </w:rPr>
      </w:pPr>
      <w:r w:rsidRPr="00405303">
        <w:rPr>
          <w:bCs/>
          <w:color w:val="002060"/>
          <w:sz w:val="16"/>
          <w:szCs w:val="16"/>
        </w:rPr>
        <w:t>К концу 1915 г., как утверждают Киган и Стоун, снабжение русской армии снарядами не уступало снабжению германской и фран</w:t>
      </w:r>
      <w:r w:rsidRPr="00405303">
        <w:rPr>
          <w:bCs/>
          <w:color w:val="002060"/>
          <w:sz w:val="16"/>
          <w:szCs w:val="16"/>
        </w:rPr>
        <w:softHyphen/>
        <w:t xml:space="preserve">цузской армий </w:t>
      </w:r>
      <w:r w:rsidRPr="00405303">
        <w:rPr>
          <w:bCs/>
          <w:color w:val="002060"/>
          <w:sz w:val="16"/>
          <w:szCs w:val="16"/>
          <w:lang w:bidi="en-US"/>
        </w:rPr>
        <w:t>(</w:t>
      </w:r>
      <w:r w:rsidRPr="00405303">
        <w:rPr>
          <w:bCs/>
          <w:color w:val="002060"/>
          <w:sz w:val="16"/>
          <w:szCs w:val="16"/>
          <w:lang w:val="en-US" w:bidi="en-US"/>
        </w:rPr>
        <w:t>Stone</w:t>
      </w:r>
      <w:r w:rsidRPr="00405303">
        <w:rPr>
          <w:bCs/>
          <w:color w:val="002060"/>
          <w:sz w:val="16"/>
          <w:szCs w:val="16"/>
          <w:lang w:bidi="en-US"/>
        </w:rPr>
        <w:t xml:space="preserve"> </w:t>
      </w:r>
      <w:r w:rsidRPr="00405303">
        <w:rPr>
          <w:bCs/>
          <w:color w:val="002060"/>
          <w:sz w:val="16"/>
          <w:szCs w:val="16"/>
          <w:lang w:val="en-US" w:bidi="en-US"/>
        </w:rPr>
        <w:t>N</w:t>
      </w:r>
      <w:r w:rsidRPr="00405303">
        <w:rPr>
          <w:bCs/>
          <w:color w:val="002060"/>
          <w:sz w:val="16"/>
          <w:szCs w:val="16"/>
          <w:lang w:bidi="en-US"/>
        </w:rPr>
        <w:t xml:space="preserve">. </w:t>
      </w:r>
      <w:r w:rsidRPr="00405303">
        <w:rPr>
          <w:bCs/>
          <w:color w:val="002060"/>
          <w:sz w:val="16"/>
          <w:szCs w:val="16"/>
          <w:lang w:val="en-US" w:bidi="en-US"/>
        </w:rPr>
        <w:t>The</w:t>
      </w:r>
      <w:r w:rsidRPr="00405303">
        <w:rPr>
          <w:bCs/>
          <w:color w:val="002060"/>
          <w:sz w:val="16"/>
          <w:szCs w:val="16"/>
          <w:lang w:bidi="en-US"/>
        </w:rPr>
        <w:t xml:space="preserve"> </w:t>
      </w:r>
      <w:r w:rsidRPr="00405303">
        <w:rPr>
          <w:bCs/>
          <w:color w:val="002060"/>
          <w:sz w:val="16"/>
          <w:szCs w:val="16"/>
          <w:lang w:val="en-US" w:bidi="en-US"/>
        </w:rPr>
        <w:t>Eastern</w:t>
      </w:r>
      <w:r w:rsidRPr="00405303">
        <w:rPr>
          <w:bCs/>
          <w:color w:val="002060"/>
          <w:sz w:val="16"/>
          <w:szCs w:val="16"/>
          <w:lang w:bidi="en-US"/>
        </w:rPr>
        <w:t xml:space="preserve"> </w:t>
      </w:r>
      <w:r w:rsidRPr="00405303">
        <w:rPr>
          <w:bCs/>
          <w:color w:val="002060"/>
          <w:sz w:val="16"/>
          <w:szCs w:val="16"/>
          <w:lang w:val="en-US" w:bidi="en-US"/>
        </w:rPr>
        <w:t>Front</w:t>
      </w:r>
      <w:r w:rsidRPr="00405303">
        <w:rPr>
          <w:bCs/>
          <w:color w:val="002060"/>
          <w:sz w:val="16"/>
          <w:szCs w:val="16"/>
          <w:lang w:bidi="en-US"/>
        </w:rPr>
        <w:t xml:space="preserve">. </w:t>
      </w:r>
      <w:r w:rsidRPr="00405303">
        <w:rPr>
          <w:bCs/>
          <w:color w:val="002060"/>
          <w:sz w:val="16"/>
          <w:szCs w:val="16"/>
          <w:lang w:val="en-US" w:bidi="en-US"/>
        </w:rPr>
        <w:t>P</w:t>
      </w:r>
      <w:r w:rsidRPr="00405303">
        <w:rPr>
          <w:bCs/>
          <w:color w:val="002060"/>
          <w:sz w:val="16"/>
          <w:szCs w:val="16"/>
          <w:lang w:bidi="en-US"/>
        </w:rPr>
        <w:t xml:space="preserve">. 209—211; </w:t>
      </w:r>
      <w:r w:rsidRPr="00405303">
        <w:rPr>
          <w:bCs/>
          <w:color w:val="002060"/>
          <w:sz w:val="16"/>
          <w:szCs w:val="16"/>
          <w:lang w:val="en-US" w:bidi="en-US"/>
        </w:rPr>
        <w:t>Keegan</w:t>
      </w:r>
      <w:r w:rsidRPr="00405303">
        <w:rPr>
          <w:bCs/>
          <w:color w:val="002060"/>
          <w:sz w:val="16"/>
          <w:szCs w:val="16"/>
          <w:lang w:bidi="en-US"/>
        </w:rPr>
        <w:t xml:space="preserve"> </w:t>
      </w:r>
      <w:r w:rsidRPr="00405303">
        <w:rPr>
          <w:bCs/>
          <w:color w:val="002060"/>
          <w:sz w:val="16"/>
          <w:szCs w:val="16"/>
          <w:lang w:val="en-US" w:bidi="en-US"/>
        </w:rPr>
        <w:t>J</w:t>
      </w:r>
      <w:r w:rsidRPr="00405303">
        <w:rPr>
          <w:bCs/>
          <w:color w:val="002060"/>
          <w:sz w:val="16"/>
          <w:szCs w:val="16"/>
          <w:lang w:bidi="en-US"/>
        </w:rPr>
        <w:t xml:space="preserve">. </w:t>
      </w:r>
      <w:r w:rsidRPr="00405303">
        <w:rPr>
          <w:bCs/>
          <w:color w:val="002060"/>
          <w:sz w:val="16"/>
          <w:szCs w:val="16"/>
          <w:lang w:val="en-US" w:bidi="en-US"/>
        </w:rPr>
        <w:t>Op</w:t>
      </w:r>
      <w:r w:rsidRPr="00405303">
        <w:rPr>
          <w:bCs/>
          <w:color w:val="002060"/>
          <w:sz w:val="16"/>
          <w:szCs w:val="16"/>
          <w:lang w:bidi="en-US"/>
        </w:rPr>
        <w:t xml:space="preserve">. </w:t>
      </w:r>
      <w:r w:rsidRPr="00405303">
        <w:rPr>
          <w:bCs/>
          <w:color w:val="002060"/>
          <w:sz w:val="16"/>
          <w:szCs w:val="16"/>
          <w:lang w:val="en-US" w:bidi="en-US"/>
        </w:rPr>
        <w:t>cit</w:t>
      </w:r>
      <w:r w:rsidRPr="00405303">
        <w:rPr>
          <w:bCs/>
          <w:color w:val="002060"/>
          <w:sz w:val="16"/>
          <w:szCs w:val="16"/>
          <w:lang w:bidi="en-US"/>
        </w:rPr>
        <w:t xml:space="preserve">. </w:t>
      </w:r>
      <w:r w:rsidRPr="00405303">
        <w:rPr>
          <w:bCs/>
          <w:color w:val="002060"/>
          <w:sz w:val="16"/>
          <w:szCs w:val="16"/>
          <w:lang w:val="en-US" w:bidi="en-US"/>
        </w:rPr>
        <w:t>S</w:t>
      </w:r>
      <w:r w:rsidRPr="00405303">
        <w:rPr>
          <w:bCs/>
          <w:color w:val="002060"/>
          <w:sz w:val="16"/>
          <w:szCs w:val="16"/>
          <w:lang w:bidi="en-US"/>
        </w:rPr>
        <w:t xml:space="preserve">. 386). </w:t>
      </w:r>
      <w:r w:rsidRPr="00405303">
        <w:rPr>
          <w:bCs/>
          <w:color w:val="002060"/>
          <w:sz w:val="16"/>
          <w:szCs w:val="16"/>
        </w:rPr>
        <w:t>В русском издании книги Кигана эта очевидная лакировка дей</w:t>
      </w:r>
      <w:r w:rsidRPr="00405303">
        <w:rPr>
          <w:bCs/>
          <w:color w:val="002060"/>
          <w:sz w:val="16"/>
          <w:szCs w:val="16"/>
        </w:rPr>
        <w:softHyphen/>
        <w:t>ствительности по Стоуну, как и в случае с «изумительным» ростом про</w:t>
      </w:r>
      <w:r w:rsidRPr="00405303">
        <w:rPr>
          <w:bCs/>
          <w:color w:val="002060"/>
          <w:sz w:val="16"/>
          <w:szCs w:val="16"/>
        </w:rPr>
        <w:softHyphen/>
        <w:t>мышленности, несколько сглажена (Киган Дж. Первая мировая война. М., 2002. С. 347—348), но получила распространение в патриотической литературе (23452).</w:t>
      </w:r>
    </w:p>
    <w:p w14:paraId="65EF3009" w14:textId="77777777" w:rsidR="00FB79CF" w:rsidRPr="00405303" w:rsidRDefault="00FB79CF" w:rsidP="00C15251">
      <w:pPr>
        <w:jc w:val="both"/>
        <w:rPr>
          <w:bCs/>
          <w:color w:val="002060"/>
          <w:sz w:val="16"/>
          <w:szCs w:val="16"/>
        </w:rPr>
      </w:pPr>
    </w:p>
    <w:p w14:paraId="6265C22C" w14:textId="07F901B2" w:rsidR="00073F75" w:rsidRPr="00405303" w:rsidRDefault="00073F75" w:rsidP="00073F75">
      <w:pPr>
        <w:jc w:val="both"/>
        <w:rPr>
          <w:bCs/>
          <w:i/>
          <w:color w:val="002060"/>
          <w:sz w:val="16"/>
          <w:szCs w:val="16"/>
        </w:rPr>
      </w:pPr>
      <w:r w:rsidRPr="00405303">
        <w:rPr>
          <w:bCs/>
          <w:i/>
          <w:color w:val="002060"/>
          <w:sz w:val="16"/>
          <w:szCs w:val="16"/>
        </w:rPr>
        <w:t>А</w:t>
      </w:r>
      <w:r>
        <w:rPr>
          <w:bCs/>
          <w:i/>
          <w:color w:val="002060"/>
          <w:sz w:val="16"/>
          <w:szCs w:val="16"/>
        </w:rPr>
        <w:t>рмия</w:t>
      </w:r>
      <w:r w:rsidRPr="00405303">
        <w:rPr>
          <w:bCs/>
          <w:i/>
          <w:color w:val="002060"/>
          <w:sz w:val="16"/>
          <w:szCs w:val="16"/>
        </w:rPr>
        <w:t>:</w:t>
      </w:r>
    </w:p>
    <w:p w14:paraId="74D6F08A" w14:textId="77777777" w:rsidR="00073F75" w:rsidRPr="00405303" w:rsidRDefault="00073F75" w:rsidP="00073F75">
      <w:pPr>
        <w:jc w:val="both"/>
        <w:rPr>
          <w:bCs/>
          <w:i/>
          <w:color w:val="002060"/>
          <w:sz w:val="16"/>
          <w:szCs w:val="16"/>
        </w:rPr>
      </w:pPr>
    </w:p>
    <w:p w14:paraId="0EABA44F" w14:textId="77777777" w:rsidR="00073F75" w:rsidRPr="00B52707" w:rsidRDefault="00073F75" w:rsidP="00073F75">
      <w:pPr>
        <w:jc w:val="both"/>
        <w:rPr>
          <w:color w:val="0070C0"/>
          <w:sz w:val="16"/>
          <w:szCs w:val="16"/>
        </w:rPr>
      </w:pPr>
      <w:r w:rsidRPr="00B52707">
        <w:rPr>
          <w:color w:val="0070C0"/>
          <w:sz w:val="16"/>
          <w:szCs w:val="16"/>
        </w:rPr>
        <w:t>На конец 1915 года всего на фронте находилось 322 исправных аэроплана России.</w:t>
      </w:r>
    </w:p>
    <w:p w14:paraId="69CB1B40" w14:textId="77777777" w:rsidR="00073F75" w:rsidRPr="00B52707" w:rsidRDefault="00073F75" w:rsidP="00073F75">
      <w:pPr>
        <w:jc w:val="both"/>
        <w:rPr>
          <w:color w:val="0070C0"/>
          <w:sz w:val="16"/>
          <w:szCs w:val="16"/>
        </w:rPr>
      </w:pPr>
      <w:r w:rsidRPr="00B52707">
        <w:rPr>
          <w:color w:val="0070C0"/>
          <w:sz w:val="16"/>
          <w:szCs w:val="16"/>
        </w:rPr>
        <w:t>За 1915г.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(25151).</w:t>
      </w:r>
    </w:p>
    <w:p w14:paraId="2FE15B11" w14:textId="77777777" w:rsidR="00073F75" w:rsidRPr="00B52707" w:rsidRDefault="00073F75" w:rsidP="00073F75">
      <w:pPr>
        <w:jc w:val="both"/>
        <w:rPr>
          <w:color w:val="0070C0"/>
          <w:sz w:val="16"/>
          <w:szCs w:val="16"/>
        </w:rPr>
      </w:pPr>
    </w:p>
    <w:p w14:paraId="736F5578" w14:textId="77777777" w:rsidR="00073F75" w:rsidRPr="00B52707" w:rsidRDefault="00073F75" w:rsidP="00073F75">
      <w:pPr>
        <w:jc w:val="both"/>
        <w:rPr>
          <w:color w:val="0070C0"/>
          <w:sz w:val="16"/>
          <w:szCs w:val="16"/>
        </w:rPr>
      </w:pPr>
      <w:r w:rsidRPr="00B52707">
        <w:rPr>
          <w:rStyle w:val="aa"/>
          <w:rFonts w:ascii="Times New Roman" w:hAnsi="Times New Roman"/>
          <w:color w:val="0070C0"/>
          <w:spacing w:val="0"/>
          <w:sz w:val="16"/>
          <w:szCs w:val="16"/>
        </w:rPr>
        <w:t>В течение 1915 года неприятель потерял на русско-германском фронте 102 своих летательных аппарата, из них 12 уничтожено в воздухе, 72 – сбито (подбито) зенитными средствам и 18 – захвачены в качестве трофеев (25135).</w:t>
      </w:r>
    </w:p>
    <w:p w14:paraId="112EC293" w14:textId="77777777" w:rsidR="00073F75" w:rsidRPr="00B52707" w:rsidRDefault="00073F75" w:rsidP="00073F75">
      <w:pPr>
        <w:jc w:val="both"/>
        <w:rPr>
          <w:color w:val="0070C0"/>
          <w:sz w:val="16"/>
          <w:szCs w:val="16"/>
        </w:rPr>
      </w:pPr>
    </w:p>
    <w:p w14:paraId="4B84FC6D" w14:textId="77777777" w:rsidR="00073F75" w:rsidRPr="00B52707" w:rsidRDefault="00073F75" w:rsidP="00073F75">
      <w:pPr>
        <w:jc w:val="both"/>
        <w:rPr>
          <w:color w:val="0070C0"/>
          <w:sz w:val="16"/>
          <w:szCs w:val="16"/>
        </w:rPr>
      </w:pPr>
      <w:r w:rsidRPr="00B52707">
        <w:rPr>
          <w:color w:val="0070C0"/>
          <w:sz w:val="16"/>
          <w:szCs w:val="16"/>
        </w:rPr>
        <w:t>В конце 1915 года, когда Восточный фронт стабилизировался и боевые действия приобрели позиционный характер, один из поездов был направлен в Московский центральный авиационно-воздухоплавательный склад (ЦАВС). Через него в армию шёл основной поток импортной авиационной техники, завозившейся в Россию через Архангельск. Поставлявшаяся союзниками техника отличалась многотипностью, и специалисты Московского ЦАВС не справлялись со сборкой большого количества поступавших самолётов и моторов не известных им ранее систем. В течение всего 1916 года этот ПАРМ-П оказывал помощь работникам склада, собрав 250 аэропланов и 70 двигателей (25138).</w:t>
      </w:r>
    </w:p>
    <w:p w14:paraId="47D4AFBF" w14:textId="77777777" w:rsidR="00073F75" w:rsidRPr="00B52707" w:rsidRDefault="00073F75" w:rsidP="00073F75">
      <w:pPr>
        <w:jc w:val="both"/>
        <w:rPr>
          <w:color w:val="0070C0"/>
          <w:sz w:val="16"/>
          <w:szCs w:val="16"/>
        </w:rPr>
      </w:pPr>
    </w:p>
    <w:p w14:paraId="45671D89" w14:textId="77777777" w:rsidR="00073F75" w:rsidRPr="00B52707" w:rsidRDefault="00073F75" w:rsidP="00073F75">
      <w:pPr>
        <w:jc w:val="both"/>
        <w:rPr>
          <w:color w:val="0070C0"/>
          <w:sz w:val="16"/>
          <w:szCs w:val="16"/>
        </w:rPr>
      </w:pPr>
      <w:r w:rsidRPr="00B52707">
        <w:rPr>
          <w:color w:val="0070C0"/>
          <w:sz w:val="16"/>
          <w:szCs w:val="16"/>
        </w:rPr>
        <w:t>С конца 1915 г. война на восточном фронте приняла позиционный характер. Кавалерия лишилась возможности проводить разведку. Только самолеты позволяли проникнуть в глубину расположения войск противника, чтобы собрать необходимые для командования сведения. При этом задачи воздушной разведки изменились: если в условиях маневренной войны на нее прежде всего возлагалось наблюдение за крупными силами неприятеля и направлением их движения, то теперь от авиаторов главным образом требовалось тщательно изучать систему обороны противника и наблюдать за ее состоянием и развитием (25151).</w:t>
      </w:r>
    </w:p>
    <w:p w14:paraId="1FE4E0DF" w14:textId="77777777" w:rsidR="00073F75" w:rsidRPr="00B52707" w:rsidRDefault="00073F75" w:rsidP="00073F75">
      <w:pPr>
        <w:jc w:val="both"/>
        <w:rPr>
          <w:color w:val="0070C0"/>
          <w:sz w:val="16"/>
          <w:szCs w:val="16"/>
        </w:rPr>
      </w:pPr>
    </w:p>
    <w:p w14:paraId="3508D3E5"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2EB5D328" w14:textId="77777777" w:rsidR="004B4E35" w:rsidRPr="00405303" w:rsidRDefault="004B4E35" w:rsidP="00C15251">
      <w:pPr>
        <w:jc w:val="both"/>
        <w:rPr>
          <w:bCs/>
          <w:i/>
          <w:color w:val="002060"/>
          <w:sz w:val="16"/>
          <w:szCs w:val="16"/>
        </w:rPr>
      </w:pPr>
    </w:p>
    <w:p w14:paraId="75A4F0B8" w14:textId="77777777" w:rsidR="00073F75" w:rsidRPr="00B52707" w:rsidRDefault="00073F75" w:rsidP="00073F75">
      <w:pPr>
        <w:jc w:val="both"/>
        <w:rPr>
          <w:color w:val="0070C0"/>
          <w:sz w:val="16"/>
          <w:szCs w:val="16"/>
        </w:rPr>
      </w:pPr>
      <w:r w:rsidRPr="00B52707">
        <w:rPr>
          <w:color w:val="0070C0"/>
          <w:sz w:val="16"/>
          <w:szCs w:val="16"/>
        </w:rPr>
        <w:t>В конце 1915 г. Эскадра выделила боевой отряд под командованием штабс-капитана А.В. Панкратьева для действий в интересах командования Юго-Западного фронта на Галицийском направлении. Он получил название «боевой отряд № 1» и включал два самолета.</w:t>
      </w:r>
    </w:p>
    <w:p w14:paraId="53B3C225" w14:textId="77777777" w:rsidR="00073F75" w:rsidRPr="00B52707" w:rsidRDefault="00073F75" w:rsidP="00073F75">
      <w:pPr>
        <w:jc w:val="both"/>
        <w:rPr>
          <w:color w:val="0070C0"/>
          <w:sz w:val="16"/>
          <w:szCs w:val="16"/>
        </w:rPr>
      </w:pPr>
      <w:r w:rsidRPr="00B52707">
        <w:rPr>
          <w:color w:val="0070C0"/>
          <w:sz w:val="16"/>
          <w:szCs w:val="16"/>
        </w:rPr>
        <w:t>Оставшиеся в Зегевольде воздушные корабли составили отряд № 2 под командованием л-та Г.И. Лаврова (23965).</w:t>
      </w:r>
    </w:p>
    <w:p w14:paraId="322BF6A9" w14:textId="77777777" w:rsidR="00073F75" w:rsidRPr="00B52707" w:rsidRDefault="00073F75" w:rsidP="00073F75">
      <w:pPr>
        <w:jc w:val="both"/>
        <w:rPr>
          <w:color w:val="0070C0"/>
          <w:sz w:val="16"/>
          <w:szCs w:val="16"/>
        </w:rPr>
      </w:pPr>
    </w:p>
    <w:p w14:paraId="5BA2767A" w14:textId="77777777" w:rsidR="00073F75" w:rsidRPr="00B52707" w:rsidRDefault="00073F75" w:rsidP="00073F75">
      <w:pPr>
        <w:jc w:val="both"/>
        <w:rPr>
          <w:color w:val="0070C0"/>
          <w:sz w:val="16"/>
          <w:szCs w:val="16"/>
        </w:rPr>
      </w:pPr>
      <w:r w:rsidRPr="00B52707">
        <w:rPr>
          <w:rStyle w:val="aa"/>
          <w:rFonts w:ascii="Times New Roman" w:hAnsi="Times New Roman"/>
          <w:color w:val="0070C0"/>
          <w:spacing w:val="0"/>
          <w:sz w:val="16"/>
          <w:szCs w:val="16"/>
        </w:rPr>
        <w:t>В конце 1915 г., в составе ЭВК «Илья Муромец» функцию истребителей стали выполнять одноместные самолеты типа «С-16 РБВЗ», конструкции И.И. Сикорского, до этого являвшиеся тренировочными летательными аппаратами для летного состава воздушных кораблей. По новым утвержденным штатам ЭВК в ее составе предполагалось иметь теперь помимо 12 учебных летательных аппаратов школы Эскадры еще по 14 легких самолетов (4 истребителя, 4 разведчика и 6 тренировочных) в составе каждого боевого отряда, число которых увеличилось с двух до трех. Подобно большинству других самолетов- разведчиков, «С-16 РБВЗ» превращался в классический одноместный истребитель. Он стал одним из первых истребителей отечественной постройки.</w:t>
      </w:r>
    </w:p>
    <w:p w14:paraId="02A8124C" w14:textId="77777777" w:rsidR="00073F75" w:rsidRPr="00B52707" w:rsidRDefault="00073F75" w:rsidP="00073F75">
      <w:pPr>
        <w:jc w:val="both"/>
        <w:rPr>
          <w:color w:val="0070C0"/>
          <w:sz w:val="16"/>
          <w:szCs w:val="16"/>
        </w:rPr>
      </w:pPr>
      <w:r w:rsidRPr="00B52707">
        <w:rPr>
          <w:rStyle w:val="aa"/>
          <w:rFonts w:ascii="Times New Roman" w:hAnsi="Times New Roman"/>
          <w:color w:val="0070C0"/>
          <w:spacing w:val="0"/>
          <w:sz w:val="16"/>
          <w:szCs w:val="16"/>
        </w:rPr>
        <w:t>Вооруженные двумя пулеметами, одномоторные бипланы «С-16 РБВЗ» предназначались «для охраны „Муромцев“ в воздухе, а также для прикрытия на аэродромах [их] базирования» (25135).</w:t>
      </w:r>
    </w:p>
    <w:p w14:paraId="04D29746" w14:textId="77777777" w:rsidR="00073F75" w:rsidRPr="00B52707" w:rsidRDefault="00073F75" w:rsidP="00073F75">
      <w:pPr>
        <w:jc w:val="both"/>
        <w:rPr>
          <w:color w:val="0070C0"/>
          <w:sz w:val="16"/>
          <w:szCs w:val="16"/>
        </w:rPr>
      </w:pPr>
    </w:p>
    <w:p w14:paraId="332A14FC" w14:textId="77777777" w:rsidR="00FB79CF" w:rsidRPr="00405303" w:rsidRDefault="00FB79CF" w:rsidP="00C15251">
      <w:pPr>
        <w:jc w:val="both"/>
        <w:rPr>
          <w:bCs/>
          <w:color w:val="002060"/>
          <w:sz w:val="16"/>
          <w:szCs w:val="16"/>
        </w:rPr>
      </w:pPr>
      <w:r w:rsidRPr="00405303">
        <w:rPr>
          <w:bCs/>
          <w:color w:val="002060"/>
          <w:sz w:val="16"/>
          <w:szCs w:val="16"/>
        </w:rPr>
        <w:t>В конце 1915 г. Эскадра выделила боевой отряд под командованием штабс-капитана Панкратьева и для действия в интересах командова</w:t>
      </w:r>
      <w:r w:rsidRPr="00405303">
        <w:rPr>
          <w:bCs/>
          <w:color w:val="002060"/>
          <w:sz w:val="16"/>
          <w:szCs w:val="16"/>
        </w:rPr>
        <w:softHyphen/>
        <w:t>ния Юго-Западного фронта на Га</w:t>
      </w:r>
      <w:r w:rsidRPr="00405303">
        <w:rPr>
          <w:bCs/>
          <w:color w:val="002060"/>
          <w:sz w:val="16"/>
          <w:szCs w:val="16"/>
        </w:rPr>
        <w:softHyphen/>
        <w:t>лицийском направлении. Он полу</w:t>
      </w:r>
      <w:r w:rsidRPr="00405303">
        <w:rPr>
          <w:bCs/>
          <w:color w:val="002060"/>
          <w:sz w:val="16"/>
          <w:szCs w:val="16"/>
        </w:rPr>
        <w:softHyphen/>
        <w:t>чил название «боевой отряд № 1» и включил два самолёта - коман</w:t>
      </w:r>
      <w:r w:rsidRPr="00405303">
        <w:rPr>
          <w:bCs/>
          <w:color w:val="002060"/>
          <w:sz w:val="16"/>
          <w:szCs w:val="16"/>
        </w:rPr>
        <w:softHyphen/>
        <w:t>дирский ВК-П и «Киевский». Остав</w:t>
      </w:r>
      <w:r w:rsidRPr="00405303">
        <w:rPr>
          <w:bCs/>
          <w:color w:val="002060"/>
          <w:sz w:val="16"/>
          <w:szCs w:val="16"/>
        </w:rPr>
        <w:softHyphen/>
        <w:t>шиеся в Зегевольде воздушные ко</w:t>
      </w:r>
      <w:r w:rsidRPr="00405303">
        <w:rPr>
          <w:bCs/>
          <w:color w:val="002060"/>
          <w:sz w:val="16"/>
          <w:szCs w:val="16"/>
        </w:rPr>
        <w:softHyphen/>
        <w:t>рабли составили отряд № 2 под ко</w:t>
      </w:r>
      <w:r w:rsidRPr="00405303">
        <w:rPr>
          <w:bCs/>
          <w:color w:val="002060"/>
          <w:sz w:val="16"/>
          <w:szCs w:val="16"/>
        </w:rPr>
        <w:softHyphen/>
        <w:t>мандованием лейтенанта Лаврова (23469).</w:t>
      </w:r>
    </w:p>
    <w:p w14:paraId="7073CDC1" w14:textId="77777777" w:rsidR="00FB79CF" w:rsidRPr="00405303" w:rsidRDefault="00FB79CF" w:rsidP="00C15251">
      <w:pPr>
        <w:jc w:val="both"/>
        <w:rPr>
          <w:bCs/>
          <w:color w:val="002060"/>
          <w:sz w:val="16"/>
          <w:szCs w:val="16"/>
        </w:rPr>
      </w:pPr>
    </w:p>
    <w:p w14:paraId="1B9EC7BE" w14:textId="77777777" w:rsidR="00E45D19" w:rsidRPr="00405303" w:rsidRDefault="00E45D19" w:rsidP="00C15251">
      <w:pPr>
        <w:pStyle w:val="af6"/>
        <w:spacing w:line="240" w:lineRule="auto"/>
        <w:jc w:val="both"/>
        <w:rPr>
          <w:rFonts w:ascii="Times New Roman" w:hAnsi="Times New Roman" w:cs="Times New Roman"/>
          <w:bCs/>
          <w:color w:val="002060"/>
          <w:sz w:val="16"/>
          <w:szCs w:val="16"/>
          <w:lang w:bidi="en-US"/>
        </w:rPr>
      </w:pPr>
      <w:r w:rsidRPr="00405303">
        <w:rPr>
          <w:rFonts w:ascii="Times New Roman" w:hAnsi="Times New Roman" w:cs="Times New Roman"/>
          <w:bCs/>
          <w:color w:val="002060"/>
          <w:sz w:val="16"/>
          <w:szCs w:val="16"/>
          <w:lang w:bidi="en-US"/>
        </w:rPr>
        <w:t>К концу 1915 года русские школы подготовили 190 военных летчиков и 81 летчика-добровольца. В течение следующих шести месяцев, с января по июнь 1916 года, русские школы подготовили тридцать семь офицеров-летчиков, семьдесят шесть рядовых летчиков и двадцать девять добровольцев (23525).</w:t>
      </w:r>
    </w:p>
    <w:p w14:paraId="35617EEB" w14:textId="77777777" w:rsidR="00E45D19" w:rsidRPr="00405303" w:rsidRDefault="00E45D19" w:rsidP="00C15251">
      <w:pPr>
        <w:pStyle w:val="af6"/>
        <w:spacing w:line="240" w:lineRule="auto"/>
        <w:jc w:val="both"/>
        <w:rPr>
          <w:rFonts w:ascii="Times New Roman" w:hAnsi="Times New Roman" w:cs="Times New Roman"/>
          <w:bCs/>
          <w:color w:val="002060"/>
          <w:sz w:val="16"/>
          <w:szCs w:val="16"/>
        </w:rPr>
      </w:pPr>
    </w:p>
    <w:p w14:paraId="2AA00D16" w14:textId="34171C00" w:rsidR="004B4E35" w:rsidRPr="00405303" w:rsidRDefault="007351D7" w:rsidP="00C15251">
      <w:pPr>
        <w:jc w:val="both"/>
        <w:rPr>
          <w:bCs/>
          <w:color w:val="002060"/>
          <w:sz w:val="16"/>
          <w:szCs w:val="16"/>
        </w:rPr>
      </w:pPr>
      <w:r w:rsidRPr="00405303">
        <w:rPr>
          <w:bCs/>
          <w:color w:val="002060"/>
          <w:sz w:val="16"/>
          <w:szCs w:val="16"/>
        </w:rPr>
        <w:t>Д</w:t>
      </w:r>
      <w:r w:rsidR="009E6F82" w:rsidRPr="00405303">
        <w:rPr>
          <w:bCs/>
          <w:color w:val="002060"/>
          <w:sz w:val="16"/>
          <w:szCs w:val="16"/>
        </w:rPr>
        <w:t xml:space="preserve">о конца 1915 года </w:t>
      </w:r>
      <w:r w:rsidRPr="00405303">
        <w:rPr>
          <w:bCs/>
          <w:color w:val="002060"/>
          <w:sz w:val="16"/>
          <w:szCs w:val="16"/>
        </w:rPr>
        <w:t xml:space="preserve">"Муромцы" Зегевольдского отряда совершили на Северном фронте </w:t>
      </w:r>
      <w:r w:rsidR="009E6F82" w:rsidRPr="00405303">
        <w:rPr>
          <w:bCs/>
          <w:color w:val="002060"/>
          <w:sz w:val="16"/>
          <w:szCs w:val="16"/>
        </w:rPr>
        <w:t>25 боевых вылетов.</w:t>
      </w:r>
      <w:r w:rsidRPr="00405303">
        <w:rPr>
          <w:bCs/>
          <w:color w:val="002060"/>
          <w:sz w:val="16"/>
          <w:szCs w:val="16"/>
        </w:rPr>
        <w:t xml:space="preserve"> </w:t>
      </w:r>
      <w:r w:rsidR="009E6F82" w:rsidRPr="00405303">
        <w:rPr>
          <w:bCs/>
          <w:color w:val="002060"/>
          <w:sz w:val="16"/>
          <w:szCs w:val="16"/>
        </w:rPr>
        <w:t>Всего же за весь 1915 год воздушные корабли Эскадры выполнили до 100 боевых полётов, сбросив на противника до 1220 пудов бомб (почти 20000 кг!) (12041).</w:t>
      </w:r>
    </w:p>
    <w:p w14:paraId="5922D5B0" w14:textId="77777777" w:rsidR="004B4E35" w:rsidRPr="00405303" w:rsidRDefault="004B4E35" w:rsidP="00C15251">
      <w:pPr>
        <w:jc w:val="both"/>
        <w:rPr>
          <w:bCs/>
          <w:color w:val="002060"/>
          <w:sz w:val="16"/>
          <w:szCs w:val="16"/>
        </w:rPr>
      </w:pPr>
    </w:p>
    <w:p w14:paraId="47F5F057" w14:textId="77777777" w:rsidR="00A54B3C" w:rsidRPr="00405303" w:rsidRDefault="00A54B3C" w:rsidP="00C15251">
      <w:pPr>
        <w:pStyle w:val="rtejustify"/>
        <w:shd w:val="clear" w:color="auto" w:fill="FFFFFF"/>
        <w:spacing w:before="0" w:beforeAutospacing="0" w:after="0" w:afterAutospacing="0"/>
        <w:jc w:val="both"/>
        <w:textAlignment w:val="baseline"/>
        <w:rPr>
          <w:bCs/>
          <w:color w:val="002060"/>
          <w:sz w:val="16"/>
          <w:szCs w:val="16"/>
        </w:rPr>
      </w:pPr>
      <w:r w:rsidRPr="00405303">
        <w:rPr>
          <w:bCs/>
          <w:color w:val="002060"/>
          <w:sz w:val="16"/>
          <w:szCs w:val="16"/>
        </w:rPr>
        <w:lastRenderedPageBreak/>
        <w:t xml:space="preserve">К концу 1915 г. на Восточном фронте обострилась борьба за господство в воздухе. В УваРИ приступили к созданию истребительной авиации. Предполагалось, что для каждой армии будет сформирован особый истребительный отряд из аэропланов истребительного типа в количестве не менее 10 </w:t>
      </w:r>
      <w:proofErr w:type="gramStart"/>
      <w:r w:rsidRPr="00405303">
        <w:rPr>
          <w:bCs/>
          <w:color w:val="002060"/>
          <w:sz w:val="16"/>
          <w:szCs w:val="16"/>
        </w:rPr>
        <w:t>аппаратов</w:t>
      </w:r>
      <w:proofErr w:type="gramEnd"/>
      <w:r w:rsidRPr="00405303">
        <w:rPr>
          <w:bCs/>
          <w:color w:val="002060"/>
          <w:sz w:val="16"/>
          <w:szCs w:val="16"/>
        </w:rPr>
        <w:t xml:space="preserve"> оснащенных пулеметами</w:t>
      </w:r>
      <w:r w:rsidRPr="00405303">
        <w:rPr>
          <w:bCs/>
          <w:color w:val="002060"/>
          <w:sz w:val="16"/>
          <w:szCs w:val="16"/>
          <w:shd w:val="clear" w:color="auto" w:fill="FFFFFF"/>
        </w:rPr>
        <w:t xml:space="preserve"> (20200)</w:t>
      </w:r>
      <w:r w:rsidRPr="00405303">
        <w:rPr>
          <w:bCs/>
          <w:color w:val="002060"/>
          <w:sz w:val="16"/>
          <w:szCs w:val="16"/>
        </w:rPr>
        <w:t>.</w:t>
      </w:r>
    </w:p>
    <w:p w14:paraId="41121312" w14:textId="77777777" w:rsidR="00A54B3C" w:rsidRPr="00405303" w:rsidRDefault="00A54B3C" w:rsidP="00C15251">
      <w:pPr>
        <w:jc w:val="both"/>
        <w:rPr>
          <w:rStyle w:val="42"/>
          <w:rFonts w:ascii="Times New Roman" w:hAnsi="Times New Roman" w:cs="Times New Roman"/>
          <w:bCs/>
          <w:color w:val="002060"/>
          <w:w w:val="100"/>
          <w:sz w:val="16"/>
          <w:szCs w:val="16"/>
        </w:rPr>
      </w:pPr>
    </w:p>
    <w:p w14:paraId="10CF6E53" w14:textId="77777777" w:rsidR="007351D7" w:rsidRPr="00405303" w:rsidRDefault="007351D7" w:rsidP="00C15251">
      <w:pPr>
        <w:jc w:val="both"/>
        <w:rPr>
          <w:bCs/>
          <w:color w:val="002060"/>
          <w:sz w:val="16"/>
          <w:szCs w:val="16"/>
        </w:rPr>
      </w:pPr>
      <w:r w:rsidRPr="00405303">
        <w:rPr>
          <w:bCs/>
          <w:color w:val="002060"/>
          <w:sz w:val="16"/>
          <w:szCs w:val="16"/>
        </w:rPr>
        <w:t>В конце 1915 г. война на восточном фронте приняла позиционный характер. Кавалерия лишилась возможности проводить разведку. Только самолеты позволяли проникнуть в глубину расположения войск противника, чтобы собрать необходимые для командования сведения. При этом задачи воздушной разведки изменились: если в условиях маневренной войны на нее прежде всего возлагалось наблюдение за крупными силами неприятеля и направлением их движения, то теперь от авиаторов главным образом требовалось тщательно изучать систему обороны противника и наблюдать за ее состоянием и развитием. Привлекалась авиация и для выполнения других задач. Летом в Польше на Северо-Западном фронте германские войска окружили пограничную крепость Новогеоргиевск. В начале августа командование русского гарнизона ввиду опасности скорой капитуляции решило воспользоваться услугами летчиков Новогеоргиевского крепостного авиаотряда. Его начальник капитан Иван Массальский организовал отлет всех исправных самолетов, предварительно уничтожив авиационное имущество, которое нельзя было вывезти. Летчики поручик Константин Вакуловский, штабс-ротмистр Ливотов, капитан Массальский и другие по приказу коменданта крепости вылетели в непогоду под сильным обстрелом противника. Прорвавшись, они вывезли штандарты, Георгиевские кресты и секретные документы. Пролетев 4- 5 часов на небольшой высоте, авиаторы благополучно опустились в расположении своих войск. За этот подвиг они были награждены орденами Св. Георгия 4-й степени и Георгиевским оружием. В 1915 г. воздушные бои оставались редкостью. В большинстве случаев экипажи отправлялись на задания, располагая только карабинами и пистолетами, но и с таким оружием некоторые летчики добивались воздушных побед. Так, 25 февраля летчик°доброволец француз Пуаре с наблюдателем поручиком Шебалиным вылетели на трофейном "Эйлере" на разведку района Лович-Неборов-Болилов. Над своими позициями между Камионом и Сулишевым они атаковали немецкий аппарат. С дистанции 40-50 м по нему было произведено 5 выстрелов из карабина. Согласно донесению летчиков 2-го армейского авиаотряда, "после третьего выстрела самолет противника пошел с поворотом книзу и опустился под Скверневицами". 15-го июля во время разведки к востоку от Золотой Липы летчики 2-го Сибирского КАО поручик Покровский и корнет Плонский заметили неприятельский аэроплан. Из оружия у них были только пистолеты 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7-й... авиароты.&gt; Оба русских героя были награждены орденами Св. Георгия 4-й степени. Кстати, &lt;Авиатик&gt;, как и большийство других самолетов того времени, был весьма слабой машиной. Об этом свидетельствует следующий факт: 27 ноября австрийские летчики Дример и Хубнер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Недостаток вооружения во многом компенсировался храбростью русских авиаторов. 18-го марта одержал свою первую победу летчик 4-го КАО поручик А. А. 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В 1915 г. на русских аэропланах появились пулеметы. Для их применения наиболее пригодным оказался биплан Вуазен, на который часто устанавливался пулемет Кольт. Такой самолет становился грозным оружием, 24-го июня летчик прапорщик Иванов и наблюдатель поручик Алексеев из 26-го КАО атаковали в районе Тарнополя австрийский Альбатрос (бортовой номер 21-01) из 1-й авиароты,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Тлусте,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00C8215A" w14:textId="77777777" w:rsidR="007351D7" w:rsidRPr="00405303" w:rsidRDefault="007351D7" w:rsidP="00C15251">
      <w:pPr>
        <w:jc w:val="both"/>
        <w:rPr>
          <w:bCs/>
          <w:color w:val="002060"/>
          <w:sz w:val="16"/>
          <w:szCs w:val="16"/>
        </w:rPr>
      </w:pPr>
    </w:p>
    <w:p w14:paraId="18B419D8" w14:textId="77777777" w:rsidR="007351D7" w:rsidRPr="00405303" w:rsidRDefault="007351D7"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конце 1915 г. война на восточном фронте приняла позиционный характер. Кавалерия лишилась возможности проводить разведку. Только самолеты позволяли проникнуть в глубину расположения войск противника, чтобы собрать необходимые для командования сведения. При этом задачи воздушной разведки изменились: если в условиях маневренной войны на нее прежде всего возлагалось наблюдение за крупными силами неприятеля и направлением их движения, то теперь от авиаторов главным образом требовалось тщательно изучать систему обороны противника и наблюдать за ее состоянием и развитием (11278). Привлекалась авиация и для выполнения других задач. Летом в Польше на Северо-Западном фронте германские войска окружили пограничную крепость Новогеоргиевск. В начале августа командование русского гарнизона ввиду опасности скорой капитуляции решило воспользоваться услугами летчиков Новогеоргиевского крепостного авиаотряда. Его начальник капитан Иван Массальский организовал отлет всех исправных самолетов, предварительно уничтожив авиационное имущество, которое нельзя было вывезти. Летчики поручик Константин Вакуловский, штабсротмистрЛивотов, капитан Массальский и другие по приказу коменданта крепости вылетели в непогоду под сильным обстрелом противника. Прорвавшись, они вывезли штандарты, Георгиевские кресты и секретные документы. Пролетев 4- 5 часов на небольшой высоте, авиаторы благополучно опустились в расположении своих войск. За этот подвиг они были награждены орденами Св.Георгия 4-й степени и Георгиевским оружием. В 1915 г. воздушные бои оставались редкостью. В большинстве случаев экипажи отправлялись на задания, располагая только карабинами и пистолетами, но и с таким оружием некоторые летчики добивались воздушных побед. Так, 25 февраля летчик°доброволец француз Пуаре с наблюдателем поручиком Шебалиным вылетели на трофейном "Эйлере" на разведку района Лович-Неборов-Болилов. Над своими позициями между Камионом и Сулишевым они атаковали немецкий аппарат. С дистанции 40-50 м по нему было произведено 5 выстрелов из карабина. Согласно донесению летчиков 2-го армейского авиаотряда, "после третьего выстрела самолет противника пошел с поворотом книзу и опустился под Скверневицами". 15-го июля во время разведки к востоку or Золотой Липы летчики 2-го Сибирского КАО поручик Покровский и корнет Плонский заметили неприятельский аэроплан. Из оружия у них были только пистолеты 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7-й... авиароты.&gt; Оба русских героя были награждены орденами Св.Георгия 4-й степени. Кстати, &lt;Авиатик&gt;, как и большийство других самолетов того времени, был весьма слабой машиной. Об этом свидетельствует следующий факт: 27 ноября австрийские летчики Дример и Хубнер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(11278).</w:t>
      </w:r>
    </w:p>
    <w:p w14:paraId="50502406" w14:textId="77777777" w:rsidR="007351D7" w:rsidRPr="00405303" w:rsidRDefault="007351D7" w:rsidP="00C15251">
      <w:pPr>
        <w:pStyle w:val="a3"/>
        <w:jc w:val="both"/>
        <w:rPr>
          <w:bCs/>
          <w:i w:val="0"/>
          <w:color w:val="002060"/>
          <w:spacing w:val="0"/>
          <w:kern w:val="0"/>
          <w:position w:val="0"/>
          <w:sz w:val="16"/>
          <w:szCs w:val="16"/>
        </w:rPr>
      </w:pPr>
    </w:p>
    <w:p w14:paraId="2D82D422" w14:textId="77777777" w:rsidR="007351D7" w:rsidRPr="00405303" w:rsidRDefault="007351D7"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Всего на конец 1915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w:t>
      </w:r>
      <w:r w:rsidRPr="00405303">
        <w:rPr>
          <w:bCs/>
          <w:i w:val="0"/>
          <w:color w:val="002060"/>
          <w:spacing w:val="0"/>
          <w:kern w:val="0"/>
          <w:position w:val="0"/>
          <w:sz w:val="16"/>
          <w:szCs w:val="16"/>
        </w:rPr>
        <w:lastRenderedPageBreak/>
        <w:t xml:space="preserve">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(11278). </w:t>
      </w:r>
    </w:p>
    <w:p w14:paraId="0F10E556" w14:textId="77777777" w:rsidR="007351D7" w:rsidRPr="00405303" w:rsidRDefault="007351D7" w:rsidP="00C15251">
      <w:pPr>
        <w:pStyle w:val="a3"/>
        <w:jc w:val="both"/>
        <w:rPr>
          <w:bCs/>
          <w:i w:val="0"/>
          <w:color w:val="002060"/>
          <w:spacing w:val="0"/>
          <w:kern w:val="0"/>
          <w:position w:val="0"/>
          <w:sz w:val="16"/>
          <w:szCs w:val="16"/>
        </w:rPr>
      </w:pPr>
    </w:p>
    <w:p w14:paraId="163AC493" w14:textId="77777777" w:rsidR="007351D7" w:rsidRPr="00405303" w:rsidRDefault="007351D7" w:rsidP="00C15251">
      <w:pPr>
        <w:shd w:val="clear" w:color="auto" w:fill="FFFFFF"/>
        <w:jc w:val="both"/>
        <w:rPr>
          <w:bCs/>
          <w:color w:val="002060"/>
          <w:sz w:val="16"/>
          <w:szCs w:val="16"/>
        </w:rPr>
      </w:pPr>
      <w:r w:rsidRPr="00405303">
        <w:rPr>
          <w:bCs/>
          <w:color w:val="002060"/>
          <w:sz w:val="16"/>
          <w:szCs w:val="16"/>
        </w:rPr>
        <w:t>В конце 1915 года в Киеве разместился со своей канцелярией (Авиаканц) заведующий авиацией Дей</w:t>
      </w:r>
      <w:r w:rsidRPr="00405303">
        <w:rPr>
          <w:bCs/>
          <w:color w:val="002060"/>
          <w:sz w:val="16"/>
          <w:szCs w:val="16"/>
        </w:rPr>
        <w:softHyphen/>
        <w:t>ствующей армии, была организована школа летчи</w:t>
      </w:r>
      <w:r w:rsidRPr="00405303">
        <w:rPr>
          <w:bCs/>
          <w:color w:val="002060"/>
          <w:sz w:val="16"/>
          <w:szCs w:val="16"/>
        </w:rPr>
        <w:softHyphen/>
        <w:t>ков- наблюдателей (553).</w:t>
      </w:r>
    </w:p>
    <w:p w14:paraId="6793F4F2" w14:textId="77777777" w:rsidR="007351D7" w:rsidRPr="00405303" w:rsidRDefault="007351D7" w:rsidP="00C15251">
      <w:pPr>
        <w:shd w:val="clear" w:color="auto" w:fill="FFFFFF"/>
        <w:jc w:val="both"/>
        <w:rPr>
          <w:bCs/>
          <w:color w:val="002060"/>
          <w:sz w:val="16"/>
          <w:szCs w:val="16"/>
        </w:rPr>
      </w:pPr>
    </w:p>
    <w:p w14:paraId="3228D4F0" w14:textId="77777777" w:rsidR="007351D7" w:rsidRPr="00405303" w:rsidRDefault="007351D7" w:rsidP="00C15251">
      <w:pPr>
        <w:shd w:val="clear" w:color="auto" w:fill="FFFFFF"/>
        <w:jc w:val="both"/>
        <w:rPr>
          <w:bCs/>
          <w:i/>
          <w:color w:val="002060"/>
          <w:sz w:val="16"/>
          <w:szCs w:val="16"/>
        </w:rPr>
      </w:pPr>
      <w:r w:rsidRPr="00405303">
        <w:rPr>
          <w:bCs/>
          <w:i/>
          <w:color w:val="002060"/>
          <w:sz w:val="16"/>
          <w:szCs w:val="16"/>
        </w:rPr>
        <w:t>Морская авиация:</w:t>
      </w:r>
    </w:p>
    <w:p w14:paraId="637DB9AD" w14:textId="77777777" w:rsidR="007351D7" w:rsidRPr="00405303" w:rsidRDefault="007351D7" w:rsidP="00C15251">
      <w:pPr>
        <w:shd w:val="clear" w:color="auto" w:fill="FFFFFF"/>
        <w:jc w:val="both"/>
        <w:rPr>
          <w:bCs/>
          <w:i/>
          <w:color w:val="002060"/>
          <w:sz w:val="16"/>
          <w:szCs w:val="16"/>
        </w:rPr>
      </w:pPr>
    </w:p>
    <w:p w14:paraId="69490E6B" w14:textId="77777777" w:rsidR="007351D7" w:rsidRPr="00405303" w:rsidRDefault="007351D7" w:rsidP="00C15251">
      <w:pPr>
        <w:jc w:val="both"/>
        <w:rPr>
          <w:bCs/>
          <w:color w:val="002060"/>
          <w:sz w:val="16"/>
          <w:szCs w:val="16"/>
        </w:rPr>
      </w:pPr>
      <w:r w:rsidRPr="00405303">
        <w:rPr>
          <w:bCs/>
          <w:color w:val="002060"/>
          <w:sz w:val="16"/>
          <w:szCs w:val="16"/>
        </w:rPr>
        <w:t>В конце 1915 г. для работы Петроградская офицерская школа морских летчиков в зимний период появился филиал в Баку, преобразованный в феврале 1917 г. в самостоятельное учебное заведение Морского ведом</w:t>
      </w:r>
      <w:r w:rsidRPr="00405303">
        <w:rPr>
          <w:bCs/>
          <w:color w:val="002060"/>
          <w:sz w:val="16"/>
          <w:szCs w:val="16"/>
        </w:rPr>
        <w:softHyphen/>
        <w:t>ства, управлявшего с конца 1916 г. и Петроградской школой (2807).</w:t>
      </w:r>
    </w:p>
    <w:p w14:paraId="32BB0047" w14:textId="77777777" w:rsidR="007351D7" w:rsidRPr="00405303" w:rsidRDefault="007351D7" w:rsidP="00C15251">
      <w:pPr>
        <w:jc w:val="both"/>
        <w:rPr>
          <w:bCs/>
          <w:color w:val="002060"/>
          <w:sz w:val="16"/>
          <w:szCs w:val="16"/>
        </w:rPr>
      </w:pPr>
    </w:p>
    <w:p w14:paraId="4B0682BA" w14:textId="77777777" w:rsidR="007351D7" w:rsidRPr="00405303" w:rsidRDefault="007351D7" w:rsidP="00C15251">
      <w:pPr>
        <w:jc w:val="both"/>
        <w:rPr>
          <w:bCs/>
          <w:i/>
          <w:color w:val="002060"/>
          <w:sz w:val="16"/>
          <w:szCs w:val="16"/>
        </w:rPr>
      </w:pPr>
      <w:r w:rsidRPr="00405303">
        <w:rPr>
          <w:bCs/>
          <w:i/>
          <w:color w:val="002060"/>
          <w:sz w:val="16"/>
          <w:szCs w:val="16"/>
        </w:rPr>
        <w:t>Воздухоплавание:</w:t>
      </w:r>
    </w:p>
    <w:p w14:paraId="53D1F8BA" w14:textId="77777777" w:rsidR="007351D7" w:rsidRPr="00405303" w:rsidRDefault="007351D7" w:rsidP="00C15251">
      <w:pPr>
        <w:jc w:val="both"/>
        <w:rPr>
          <w:bCs/>
          <w:i/>
          <w:color w:val="002060"/>
          <w:sz w:val="16"/>
          <w:szCs w:val="16"/>
        </w:rPr>
      </w:pPr>
    </w:p>
    <w:p w14:paraId="393FEBA3" w14:textId="77777777" w:rsidR="007351D7" w:rsidRPr="00405303" w:rsidRDefault="007351D7" w:rsidP="00C15251">
      <w:pPr>
        <w:jc w:val="both"/>
        <w:rPr>
          <w:bCs/>
          <w:color w:val="002060"/>
          <w:sz w:val="16"/>
          <w:szCs w:val="16"/>
        </w:rPr>
      </w:pPr>
      <w:r w:rsidRPr="00405303">
        <w:rPr>
          <w:bCs/>
          <w:color w:val="002060"/>
          <w:sz w:val="16"/>
          <w:szCs w:val="16"/>
        </w:rPr>
        <w:t>К концу 1915 года на фронте имелось 40 воздухоплавательных отрядов приблизительно с 80-ю аэростатами. Такое быстрое развитие воздухоплавания всего за один год лучше всего показывает, что оно оправдало за этот период времени возлагавшиеся на него надежды. В течение 1915 года привязные аэростаты на западном фронте служили почти исключительно целям артиллерийского наблюдения (11282).</w:t>
      </w:r>
    </w:p>
    <w:p w14:paraId="643F8D8D" w14:textId="77777777" w:rsidR="007351D7" w:rsidRPr="00405303" w:rsidRDefault="007351D7" w:rsidP="00C15251">
      <w:pPr>
        <w:jc w:val="both"/>
        <w:rPr>
          <w:bCs/>
          <w:color w:val="002060"/>
          <w:sz w:val="16"/>
          <w:szCs w:val="16"/>
        </w:rPr>
      </w:pPr>
    </w:p>
    <w:p w14:paraId="286CB2D5" w14:textId="77777777" w:rsidR="004B4E35" w:rsidRPr="00405303" w:rsidRDefault="009E6F82" w:rsidP="00C15251">
      <w:pPr>
        <w:jc w:val="both"/>
        <w:rPr>
          <w:bCs/>
          <w:i/>
          <w:color w:val="002060"/>
          <w:sz w:val="16"/>
          <w:szCs w:val="16"/>
        </w:rPr>
      </w:pPr>
      <w:r w:rsidRPr="00405303">
        <w:rPr>
          <w:bCs/>
          <w:i/>
          <w:color w:val="002060"/>
          <w:sz w:val="16"/>
          <w:szCs w:val="16"/>
        </w:rPr>
        <w:t>Армия:</w:t>
      </w:r>
    </w:p>
    <w:p w14:paraId="6D154C73" w14:textId="77777777" w:rsidR="004B4E35" w:rsidRPr="00405303" w:rsidRDefault="004B4E35" w:rsidP="00C15251">
      <w:pPr>
        <w:jc w:val="both"/>
        <w:rPr>
          <w:bCs/>
          <w:i/>
          <w:color w:val="002060"/>
          <w:sz w:val="16"/>
          <w:szCs w:val="16"/>
        </w:rPr>
      </w:pPr>
    </w:p>
    <w:p w14:paraId="35307EA9" w14:textId="77777777" w:rsidR="004B4E35" w:rsidRPr="00405303" w:rsidRDefault="009E6F82" w:rsidP="00C15251">
      <w:pPr>
        <w:jc w:val="both"/>
        <w:rPr>
          <w:bCs/>
          <w:color w:val="002060"/>
          <w:sz w:val="16"/>
          <w:szCs w:val="16"/>
        </w:rPr>
      </w:pPr>
      <w:r w:rsidRPr="00405303">
        <w:rPr>
          <w:bCs/>
          <w:color w:val="002060"/>
          <w:sz w:val="16"/>
          <w:szCs w:val="16"/>
        </w:rPr>
        <w:t>К концу 1915 года на Восточном фронте действовало уже 15 бронепоездов - по одному на Северном и Западном, восемь на Юго-Западном, четыре на Кавказском фронте и один в Финляндии (использовался для береговой обороны и охраны побережья). Строились они на знаменитом Путиловском заводе в Петрограде. Сложные условия боевого применения и, в частности, все более широкое распространение скорострельных пушек, создавали большие проблемы (11406).</w:t>
      </w:r>
    </w:p>
    <w:p w14:paraId="2077E812" w14:textId="77777777" w:rsidR="004B4E35" w:rsidRPr="00405303" w:rsidRDefault="004B4E35" w:rsidP="00C15251">
      <w:pPr>
        <w:jc w:val="both"/>
        <w:rPr>
          <w:bCs/>
          <w:color w:val="002060"/>
          <w:sz w:val="16"/>
          <w:szCs w:val="16"/>
        </w:rPr>
      </w:pPr>
    </w:p>
    <w:p w14:paraId="6496B802" w14:textId="1D4456CD" w:rsidR="007351D7" w:rsidRPr="00405303" w:rsidRDefault="007351D7" w:rsidP="00C15251">
      <w:pPr>
        <w:jc w:val="both"/>
        <w:rPr>
          <w:bCs/>
          <w:color w:val="002060"/>
          <w:sz w:val="16"/>
          <w:szCs w:val="16"/>
        </w:rPr>
      </w:pPr>
      <w:r w:rsidRPr="00405303">
        <w:rPr>
          <w:bCs/>
          <w:color w:val="002060"/>
          <w:sz w:val="16"/>
          <w:szCs w:val="16"/>
        </w:rPr>
        <w:t>К концу 1915 года, когда бегство русской армии наконец-то остановилось, а британский экспедиционный корпус захватил часть немецких колониальных владений в Северо-Западной Африке, ситуация начала выправляться. И тем не менее военная кампания 1915 года была с большим преимуществом выиграна Германией и ее союзниками. В общий «улей победы» немалую толику «меда» принесли и дирижабли Дивизиона воздушных кораблей. Противники применения «летающих колбас» в военных [142] целях были посрамлены. Дюжина цеппелинов связала на Британских островах по рукам и ногам десятки самолетов, сотни зенитных орудий и прожекторов и тысячи солдат и офицеров, в которых так нуждался в то время Западный фронт (11324).</w:t>
      </w:r>
    </w:p>
    <w:p w14:paraId="051E0C95" w14:textId="77777777" w:rsidR="007351D7" w:rsidRPr="00405303" w:rsidRDefault="007351D7" w:rsidP="00C15251">
      <w:pPr>
        <w:shd w:val="clear" w:color="auto" w:fill="FFFFFF"/>
        <w:jc w:val="both"/>
        <w:rPr>
          <w:bCs/>
          <w:i/>
          <w:color w:val="002060"/>
          <w:sz w:val="16"/>
          <w:szCs w:val="16"/>
        </w:rPr>
      </w:pPr>
    </w:p>
    <w:p w14:paraId="6CD55A29" w14:textId="77777777" w:rsidR="007351D7" w:rsidRPr="00405303" w:rsidRDefault="007351D7" w:rsidP="00C15251">
      <w:pPr>
        <w:shd w:val="clear" w:color="auto" w:fill="FFFFFF"/>
        <w:jc w:val="both"/>
        <w:rPr>
          <w:bCs/>
          <w:i/>
          <w:color w:val="002060"/>
          <w:sz w:val="16"/>
          <w:szCs w:val="16"/>
        </w:rPr>
      </w:pPr>
      <w:r w:rsidRPr="00405303">
        <w:rPr>
          <w:bCs/>
          <w:i/>
          <w:color w:val="002060"/>
          <w:sz w:val="16"/>
          <w:szCs w:val="16"/>
        </w:rPr>
        <w:t>Внешняя политика:</w:t>
      </w:r>
    </w:p>
    <w:p w14:paraId="4FF0D346" w14:textId="77777777" w:rsidR="007351D7" w:rsidRPr="00405303" w:rsidRDefault="007351D7" w:rsidP="00C15251">
      <w:pPr>
        <w:shd w:val="clear" w:color="auto" w:fill="FFFFFF"/>
        <w:jc w:val="both"/>
        <w:rPr>
          <w:bCs/>
          <w:i/>
          <w:color w:val="002060"/>
          <w:sz w:val="16"/>
          <w:szCs w:val="16"/>
        </w:rPr>
      </w:pPr>
    </w:p>
    <w:p w14:paraId="64E61259" w14:textId="77777777" w:rsidR="007351D7" w:rsidRPr="00405303" w:rsidRDefault="007351D7" w:rsidP="00C15251">
      <w:pPr>
        <w:shd w:val="clear" w:color="auto" w:fill="FFFFFF"/>
        <w:jc w:val="both"/>
        <w:rPr>
          <w:bCs/>
          <w:color w:val="002060"/>
          <w:sz w:val="16"/>
          <w:szCs w:val="16"/>
        </w:rPr>
      </w:pPr>
      <w:r w:rsidRPr="00405303">
        <w:rPr>
          <w:bCs/>
          <w:color w:val="002060"/>
          <w:sz w:val="16"/>
          <w:szCs w:val="16"/>
        </w:rPr>
        <w:t>В конце 1915 под давдением Верховного командования русских армий, настойчиво добива</w:t>
      </w:r>
      <w:r w:rsidRPr="00405303">
        <w:rPr>
          <w:bCs/>
          <w:color w:val="002060"/>
          <w:sz w:val="16"/>
          <w:szCs w:val="16"/>
        </w:rPr>
        <w:softHyphen/>
        <w:t>ющегося помощи союзников, Французское правительство и главно</w:t>
      </w:r>
      <w:r w:rsidRPr="00405303">
        <w:rPr>
          <w:bCs/>
          <w:color w:val="002060"/>
          <w:sz w:val="16"/>
          <w:szCs w:val="16"/>
        </w:rPr>
        <w:softHyphen/>
        <w:t>командующий войсками Жоффр заверили, что с начала 1916 г. в Россию будет доставлено значительное количество самолетов и двигателей. Но эти обещания не были выполнены. В боях под Верденом французская авиация понесла тяжелые потери. Воен</w:t>
      </w:r>
      <w:r w:rsidRPr="00405303">
        <w:rPr>
          <w:bCs/>
          <w:color w:val="002060"/>
          <w:sz w:val="16"/>
          <w:szCs w:val="16"/>
        </w:rPr>
        <w:softHyphen/>
        <w:t>ный агент в Париже сообщал русскому командованию, что за время верденских боев французские эскадрильи с 10-ю аппаратами каждая дошли до 1—2, т. е. за 3 месяца потеряли на одном кор</w:t>
      </w:r>
      <w:r w:rsidRPr="00405303">
        <w:rPr>
          <w:bCs/>
          <w:color w:val="002060"/>
          <w:sz w:val="16"/>
          <w:szCs w:val="16"/>
        </w:rPr>
        <w:softHyphen/>
        <w:t>ректировании стрельбы своей артиллерии около 85 процентов аппаратов. Естественно, что в этих условиях приток французских самолетов в Россию резко уменьшился (9705,113).</w:t>
      </w:r>
    </w:p>
    <w:p w14:paraId="695ACC14" w14:textId="77777777" w:rsidR="007351D7" w:rsidRPr="00405303" w:rsidRDefault="007351D7" w:rsidP="00C15251">
      <w:pPr>
        <w:shd w:val="clear" w:color="auto" w:fill="FFFFFF"/>
        <w:jc w:val="both"/>
        <w:rPr>
          <w:bCs/>
          <w:color w:val="002060"/>
          <w:sz w:val="16"/>
          <w:szCs w:val="16"/>
        </w:rPr>
      </w:pPr>
    </w:p>
    <w:p w14:paraId="5CE81EEB" w14:textId="27D7AD8E" w:rsidR="007351D7" w:rsidRPr="00405303" w:rsidRDefault="007351D7" w:rsidP="00C15251">
      <w:pPr>
        <w:jc w:val="both"/>
        <w:rPr>
          <w:bCs/>
          <w:color w:val="002060"/>
          <w:sz w:val="16"/>
          <w:szCs w:val="16"/>
        </w:rPr>
      </w:pPr>
      <w:r w:rsidRPr="00405303">
        <w:rPr>
          <w:bCs/>
          <w:color w:val="002060"/>
          <w:sz w:val="16"/>
          <w:szCs w:val="16"/>
        </w:rPr>
        <w:t>К концу 1915 г. Компании Ремингтон были даны следующие заказы на трехлинейные винтовки для России (тыс. шт.):</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848"/>
        <w:gridCol w:w="1476"/>
      </w:tblGrid>
      <w:tr w:rsidR="007351D7" w:rsidRPr="00405303" w14:paraId="5E2E5B75" w14:textId="77777777" w:rsidTr="00D34AC1">
        <w:tc>
          <w:tcPr>
            <w:tcW w:w="4848" w:type="dxa"/>
          </w:tcPr>
          <w:p w14:paraId="4FF711CF" w14:textId="77777777" w:rsidR="007351D7" w:rsidRPr="00405303" w:rsidRDefault="007351D7" w:rsidP="00C15251">
            <w:pPr>
              <w:jc w:val="both"/>
              <w:rPr>
                <w:bCs/>
                <w:color w:val="002060"/>
                <w:sz w:val="16"/>
                <w:szCs w:val="16"/>
              </w:rPr>
            </w:pPr>
            <w:r w:rsidRPr="00405303">
              <w:rPr>
                <w:bCs/>
                <w:color w:val="002060"/>
                <w:sz w:val="16"/>
                <w:szCs w:val="16"/>
              </w:rPr>
              <w:t>По контракту с русским правительством 26 января 1915 г.</w:t>
            </w:r>
          </w:p>
        </w:tc>
        <w:tc>
          <w:tcPr>
            <w:tcW w:w="1476" w:type="dxa"/>
          </w:tcPr>
          <w:p w14:paraId="54731661" w14:textId="77777777" w:rsidR="007351D7" w:rsidRPr="00405303" w:rsidRDefault="007351D7" w:rsidP="00C15251">
            <w:pPr>
              <w:jc w:val="both"/>
              <w:rPr>
                <w:bCs/>
                <w:color w:val="002060"/>
                <w:sz w:val="16"/>
                <w:szCs w:val="16"/>
              </w:rPr>
            </w:pPr>
            <w:r w:rsidRPr="00405303">
              <w:rPr>
                <w:bCs/>
                <w:color w:val="002060"/>
                <w:sz w:val="16"/>
                <w:szCs w:val="16"/>
              </w:rPr>
              <w:t xml:space="preserve">на 1000 </w:t>
            </w:r>
          </w:p>
        </w:tc>
      </w:tr>
      <w:tr w:rsidR="007351D7" w:rsidRPr="00405303" w14:paraId="650D41C8" w14:textId="77777777" w:rsidTr="00D34AC1">
        <w:tc>
          <w:tcPr>
            <w:tcW w:w="4848" w:type="dxa"/>
          </w:tcPr>
          <w:p w14:paraId="337777A3" w14:textId="77777777" w:rsidR="007351D7" w:rsidRPr="00405303" w:rsidRDefault="007351D7" w:rsidP="00C15251">
            <w:pPr>
              <w:jc w:val="both"/>
              <w:rPr>
                <w:bCs/>
                <w:color w:val="002060"/>
                <w:sz w:val="16"/>
                <w:szCs w:val="16"/>
              </w:rPr>
            </w:pPr>
            <w:r w:rsidRPr="00405303">
              <w:rPr>
                <w:bCs/>
                <w:color w:val="002060"/>
                <w:sz w:val="16"/>
                <w:szCs w:val="16"/>
              </w:rPr>
              <w:t>То же 16 июля 1915 г.</w:t>
            </w:r>
          </w:p>
        </w:tc>
        <w:tc>
          <w:tcPr>
            <w:tcW w:w="1476" w:type="dxa"/>
          </w:tcPr>
          <w:p w14:paraId="093583C8" w14:textId="77777777" w:rsidR="007351D7" w:rsidRPr="00405303" w:rsidRDefault="007351D7" w:rsidP="00C15251">
            <w:pPr>
              <w:jc w:val="both"/>
              <w:rPr>
                <w:bCs/>
                <w:color w:val="002060"/>
                <w:sz w:val="16"/>
                <w:szCs w:val="16"/>
              </w:rPr>
            </w:pPr>
            <w:r w:rsidRPr="00405303">
              <w:rPr>
                <w:bCs/>
                <w:color w:val="002060"/>
                <w:sz w:val="16"/>
                <w:szCs w:val="16"/>
              </w:rPr>
              <w:t xml:space="preserve">на 200 </w:t>
            </w:r>
          </w:p>
        </w:tc>
      </w:tr>
      <w:tr w:rsidR="007351D7" w:rsidRPr="00405303" w14:paraId="5D8A779D" w14:textId="77777777" w:rsidTr="00D34AC1">
        <w:tc>
          <w:tcPr>
            <w:tcW w:w="4848" w:type="dxa"/>
          </w:tcPr>
          <w:p w14:paraId="48A1835A" w14:textId="77777777" w:rsidR="007351D7" w:rsidRPr="00405303" w:rsidRDefault="007351D7" w:rsidP="00C15251">
            <w:pPr>
              <w:jc w:val="both"/>
              <w:rPr>
                <w:bCs/>
                <w:color w:val="002060"/>
                <w:sz w:val="16"/>
                <w:szCs w:val="16"/>
              </w:rPr>
            </w:pPr>
            <w:r w:rsidRPr="00405303">
              <w:rPr>
                <w:bCs/>
                <w:color w:val="002060"/>
                <w:sz w:val="16"/>
                <w:szCs w:val="16"/>
              </w:rPr>
              <w:t>По контракту с британским правительством 9 сентября 1915 г.</w:t>
            </w:r>
          </w:p>
        </w:tc>
        <w:tc>
          <w:tcPr>
            <w:tcW w:w="1476" w:type="dxa"/>
          </w:tcPr>
          <w:p w14:paraId="7738EA89" w14:textId="77777777" w:rsidR="007351D7" w:rsidRPr="00405303" w:rsidRDefault="007351D7" w:rsidP="00C15251">
            <w:pPr>
              <w:jc w:val="both"/>
              <w:rPr>
                <w:bCs/>
                <w:color w:val="002060"/>
                <w:sz w:val="16"/>
                <w:szCs w:val="16"/>
              </w:rPr>
            </w:pPr>
            <w:r w:rsidRPr="00405303">
              <w:rPr>
                <w:bCs/>
                <w:color w:val="002060"/>
                <w:sz w:val="16"/>
                <w:szCs w:val="16"/>
              </w:rPr>
              <w:t xml:space="preserve">на 300 </w:t>
            </w:r>
          </w:p>
        </w:tc>
      </w:tr>
      <w:tr w:rsidR="007351D7" w:rsidRPr="00405303" w14:paraId="7E6B8790" w14:textId="77777777" w:rsidTr="00D34AC1">
        <w:tc>
          <w:tcPr>
            <w:tcW w:w="4848" w:type="dxa"/>
          </w:tcPr>
          <w:p w14:paraId="241BA6F7" w14:textId="77777777" w:rsidR="007351D7" w:rsidRPr="00405303" w:rsidRDefault="007351D7" w:rsidP="00C15251">
            <w:pPr>
              <w:jc w:val="both"/>
              <w:rPr>
                <w:bCs/>
                <w:color w:val="002060"/>
                <w:sz w:val="16"/>
                <w:szCs w:val="16"/>
              </w:rPr>
            </w:pPr>
            <w:r w:rsidRPr="00405303">
              <w:rPr>
                <w:bCs/>
                <w:color w:val="002060"/>
                <w:sz w:val="16"/>
                <w:szCs w:val="16"/>
              </w:rPr>
              <w:t>Итого</w:t>
            </w:r>
          </w:p>
        </w:tc>
        <w:tc>
          <w:tcPr>
            <w:tcW w:w="1476" w:type="dxa"/>
          </w:tcPr>
          <w:p w14:paraId="53E11EE8" w14:textId="77777777" w:rsidR="007351D7" w:rsidRPr="00405303" w:rsidRDefault="007351D7" w:rsidP="00C15251">
            <w:pPr>
              <w:jc w:val="both"/>
              <w:rPr>
                <w:bCs/>
                <w:color w:val="002060"/>
                <w:sz w:val="16"/>
                <w:szCs w:val="16"/>
              </w:rPr>
            </w:pPr>
            <w:r w:rsidRPr="00405303">
              <w:rPr>
                <w:bCs/>
                <w:color w:val="002060"/>
                <w:sz w:val="16"/>
                <w:szCs w:val="16"/>
              </w:rPr>
              <w:t xml:space="preserve">1 500 000 штук. </w:t>
            </w:r>
          </w:p>
        </w:tc>
      </w:tr>
    </w:tbl>
    <w:p w14:paraId="7E3CA4FB" w14:textId="77777777" w:rsidR="007351D7" w:rsidRPr="00405303" w:rsidRDefault="007351D7" w:rsidP="00C15251">
      <w:pPr>
        <w:jc w:val="both"/>
        <w:rPr>
          <w:bCs/>
          <w:color w:val="002060"/>
          <w:sz w:val="16"/>
          <w:szCs w:val="16"/>
        </w:rPr>
      </w:pPr>
      <w:r w:rsidRPr="00405303">
        <w:rPr>
          <w:bCs/>
          <w:color w:val="002060"/>
          <w:sz w:val="16"/>
          <w:szCs w:val="16"/>
        </w:rPr>
        <w:t xml:space="preserve">Кроме того, заказано 300 000 черновых ружейных стволов по цене 4,75 доллара за штуку. Начальный срок поставки винтовок — ноябрь 1915 г. и конечный — март 1917 года. Цена — 30 долларов за винтовку франко-завод. </w:t>
      </w:r>
    </w:p>
    <w:p w14:paraId="7792332E" w14:textId="77777777" w:rsidR="007351D7" w:rsidRPr="00405303" w:rsidRDefault="007351D7" w:rsidP="00C15251">
      <w:pPr>
        <w:jc w:val="both"/>
        <w:rPr>
          <w:bCs/>
          <w:color w:val="002060"/>
          <w:sz w:val="16"/>
          <w:szCs w:val="16"/>
        </w:rPr>
      </w:pPr>
      <w:r w:rsidRPr="00405303">
        <w:rPr>
          <w:bCs/>
          <w:color w:val="002060"/>
          <w:sz w:val="16"/>
          <w:szCs w:val="16"/>
        </w:rPr>
        <w:t xml:space="preserve">В противоположность Вестингаузу, разбросавшему выполнение заказа по нескольким десяткам заводов, Ремингтон сосредоточил выполнение заказа в одном месте. Для этого в Бриджпорте был выстроен и богато оборудован завод громадных размеров. Мощность его рассчитана была на 6000 винтовок в сутки, максимальная же сдача по плану выполнения контракта предусмотрена в 4500 штук. </w:t>
      </w:r>
    </w:p>
    <w:p w14:paraId="3EC2719C" w14:textId="77777777" w:rsidR="007351D7" w:rsidRPr="00405303" w:rsidRDefault="007351D7" w:rsidP="00C15251">
      <w:pPr>
        <w:jc w:val="both"/>
        <w:rPr>
          <w:bCs/>
          <w:color w:val="002060"/>
          <w:sz w:val="16"/>
          <w:szCs w:val="16"/>
        </w:rPr>
      </w:pPr>
      <w:r w:rsidRPr="00405303">
        <w:rPr>
          <w:bCs/>
          <w:color w:val="002060"/>
          <w:sz w:val="16"/>
          <w:szCs w:val="16"/>
        </w:rPr>
        <w:t xml:space="preserve">Постройка завода началась в марте 1915 г. и закончилась в сентябре того же года. </w:t>
      </w:r>
    </w:p>
    <w:p w14:paraId="448D37ED" w14:textId="77777777" w:rsidR="007351D7" w:rsidRPr="00405303" w:rsidRDefault="007351D7" w:rsidP="00C15251">
      <w:pPr>
        <w:jc w:val="both"/>
        <w:rPr>
          <w:bCs/>
          <w:color w:val="002060"/>
          <w:sz w:val="16"/>
          <w:szCs w:val="16"/>
        </w:rPr>
      </w:pPr>
      <w:r w:rsidRPr="00405303">
        <w:rPr>
          <w:bCs/>
          <w:color w:val="002060"/>
          <w:sz w:val="16"/>
          <w:szCs w:val="16"/>
        </w:rPr>
        <w:t xml:space="preserve">Предварительные данные, необходимые для постановки производства были сообщены заводу заблаговременно еще в 1914 году. Русские приемщики вместе с представителями завода начали разрабатывать необходимые чертежи и корректировать в них некоторые ошибки, наличие коих было указано в главе о Вестингаузе. Эта работа продолжалась по май 1915 года. В марте 1915 г. в распоряжении завода было несколько десятков винтовок, образцовые лекала и чертежи тех и других. Винтовки были не образцовые, так как изготовлялись в военное время по облегченным кондициям. Лекала — новые и вполне исправные. </w:t>
      </w:r>
    </w:p>
    <w:p w14:paraId="78A75929" w14:textId="77777777" w:rsidR="007351D7" w:rsidRPr="00405303" w:rsidRDefault="007351D7" w:rsidP="00C15251">
      <w:pPr>
        <w:jc w:val="both"/>
        <w:rPr>
          <w:bCs/>
          <w:color w:val="002060"/>
          <w:sz w:val="16"/>
          <w:szCs w:val="16"/>
        </w:rPr>
      </w:pPr>
      <w:r w:rsidRPr="00405303">
        <w:rPr>
          <w:bCs/>
          <w:color w:val="002060"/>
          <w:sz w:val="16"/>
          <w:szCs w:val="16"/>
        </w:rPr>
        <w:t xml:space="preserve">В конце 1915 г. прибыли на завод назначенные туда от Заготовительного комитета приемщики. Весьма быстро между администрацией завода и ними возник серьезный конфликт, в результате коего приемщику отказали в допуске в завод. Для ликвидации конфликта на завод прибыла большая комиссия. Один из приемщиков был отозван в Россию, и инцидент был исчерпан. </w:t>
      </w:r>
    </w:p>
    <w:p w14:paraId="47146079" w14:textId="77777777" w:rsidR="007351D7" w:rsidRPr="00405303" w:rsidRDefault="007351D7" w:rsidP="00C15251">
      <w:pPr>
        <w:jc w:val="both"/>
        <w:rPr>
          <w:bCs/>
          <w:color w:val="002060"/>
          <w:sz w:val="16"/>
          <w:szCs w:val="16"/>
        </w:rPr>
      </w:pPr>
      <w:r w:rsidRPr="00405303">
        <w:rPr>
          <w:bCs/>
          <w:color w:val="002060"/>
          <w:sz w:val="16"/>
          <w:szCs w:val="16"/>
        </w:rPr>
        <w:t xml:space="preserve">Сдача винтовок началась с большим запозданием, лишь в апреле 1916 года. Дело шло плохо и в отношении выпуска, и в отношении качеств изделия. Ввиду этого по настоянию русской инспекции директор завода был смещен. Новый директор, весьма опытный человек, предпринял коренную техническую перепланировку производства. Это вызвало резкий упадок достигнутого уже выпуска винтовок. Сдача, дошедшая в августе 1916 г. до 2000 шт. в сутки, снизилась </w:t>
      </w:r>
      <w:proofErr w:type="gramStart"/>
      <w:r w:rsidRPr="00405303">
        <w:rPr>
          <w:bCs/>
          <w:color w:val="002060"/>
          <w:sz w:val="16"/>
          <w:szCs w:val="16"/>
        </w:rPr>
        <w:t>больше</w:t>
      </w:r>
      <w:proofErr w:type="gramEnd"/>
      <w:r w:rsidRPr="00405303">
        <w:rPr>
          <w:bCs/>
          <w:color w:val="002060"/>
          <w:sz w:val="16"/>
          <w:szCs w:val="16"/>
        </w:rPr>
        <w:t xml:space="preserve"> чем вдвое. Но зато методы производства были значительно улучшены проведением правильно-лекального изготовления всех деталей. Это создавало прочную базу для быстрого и широкого разворачивания производства и улучшало качества изделия. Потребовалась перепланировка помещения цехов. </w:t>
      </w:r>
    </w:p>
    <w:p w14:paraId="73C5CF0E" w14:textId="77777777" w:rsidR="007351D7" w:rsidRPr="00405303" w:rsidRDefault="007351D7" w:rsidP="00C15251">
      <w:pPr>
        <w:jc w:val="both"/>
        <w:rPr>
          <w:bCs/>
          <w:color w:val="002060"/>
          <w:sz w:val="16"/>
          <w:szCs w:val="16"/>
        </w:rPr>
      </w:pPr>
      <w:r w:rsidRPr="00405303">
        <w:rPr>
          <w:bCs/>
          <w:color w:val="002060"/>
          <w:sz w:val="16"/>
          <w:szCs w:val="16"/>
        </w:rPr>
        <w:t xml:space="preserve">По прошествии полутора лет со дня заключения контракта фактическое состояние производства по сравнению с контрактным планом представлялось в следующем виде: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984"/>
        <w:gridCol w:w="984"/>
        <w:gridCol w:w="984"/>
        <w:gridCol w:w="1128"/>
      </w:tblGrid>
      <w:tr w:rsidR="007351D7" w:rsidRPr="00405303" w14:paraId="58FCCF84" w14:textId="77777777" w:rsidTr="00D34AC1">
        <w:tc>
          <w:tcPr>
            <w:tcW w:w="1248" w:type="dxa"/>
          </w:tcPr>
          <w:p w14:paraId="06A548C5" w14:textId="77777777" w:rsidR="007351D7" w:rsidRPr="00405303" w:rsidRDefault="007351D7" w:rsidP="00C15251">
            <w:pPr>
              <w:jc w:val="both"/>
              <w:rPr>
                <w:bCs/>
                <w:color w:val="002060"/>
                <w:sz w:val="16"/>
                <w:szCs w:val="16"/>
              </w:rPr>
            </w:pPr>
            <w:r w:rsidRPr="00405303">
              <w:rPr>
                <w:bCs/>
                <w:color w:val="002060"/>
                <w:sz w:val="16"/>
                <w:szCs w:val="16"/>
              </w:rPr>
              <w:t xml:space="preserve">Сдача </w:t>
            </w:r>
          </w:p>
        </w:tc>
        <w:tc>
          <w:tcPr>
            <w:tcW w:w="1968" w:type="dxa"/>
            <w:gridSpan w:val="2"/>
          </w:tcPr>
          <w:p w14:paraId="0DE56AA3" w14:textId="77777777" w:rsidR="007351D7" w:rsidRPr="00405303" w:rsidRDefault="007351D7" w:rsidP="00C15251">
            <w:pPr>
              <w:jc w:val="both"/>
              <w:rPr>
                <w:bCs/>
                <w:color w:val="002060"/>
                <w:sz w:val="16"/>
                <w:szCs w:val="16"/>
              </w:rPr>
            </w:pPr>
            <w:r w:rsidRPr="00405303">
              <w:rPr>
                <w:bCs/>
                <w:color w:val="002060"/>
                <w:sz w:val="16"/>
                <w:szCs w:val="16"/>
              </w:rPr>
              <w:t>Надлежало по плану</w:t>
            </w:r>
          </w:p>
        </w:tc>
        <w:tc>
          <w:tcPr>
            <w:tcW w:w="2112" w:type="dxa"/>
            <w:gridSpan w:val="2"/>
          </w:tcPr>
          <w:p w14:paraId="3538A41D" w14:textId="77777777" w:rsidR="007351D7" w:rsidRPr="00405303" w:rsidRDefault="007351D7" w:rsidP="00C15251">
            <w:pPr>
              <w:jc w:val="both"/>
              <w:rPr>
                <w:bCs/>
                <w:color w:val="002060"/>
                <w:sz w:val="16"/>
                <w:szCs w:val="16"/>
              </w:rPr>
            </w:pPr>
            <w:r w:rsidRPr="00405303">
              <w:rPr>
                <w:bCs/>
                <w:color w:val="002060"/>
                <w:sz w:val="16"/>
                <w:szCs w:val="16"/>
              </w:rPr>
              <w:t>Фактическая</w:t>
            </w:r>
          </w:p>
        </w:tc>
      </w:tr>
      <w:tr w:rsidR="007351D7" w:rsidRPr="00405303" w14:paraId="78C04AAA" w14:textId="77777777" w:rsidTr="00D34AC1">
        <w:tc>
          <w:tcPr>
            <w:tcW w:w="1248" w:type="dxa"/>
          </w:tcPr>
          <w:p w14:paraId="75B1D2C4" w14:textId="77777777" w:rsidR="007351D7" w:rsidRPr="00405303" w:rsidRDefault="007351D7" w:rsidP="00C15251">
            <w:pPr>
              <w:jc w:val="both"/>
              <w:rPr>
                <w:bCs/>
                <w:color w:val="002060"/>
                <w:sz w:val="16"/>
                <w:szCs w:val="16"/>
              </w:rPr>
            </w:pPr>
            <w:r w:rsidRPr="00405303">
              <w:rPr>
                <w:bCs/>
                <w:color w:val="002060"/>
                <w:sz w:val="16"/>
                <w:szCs w:val="16"/>
              </w:rPr>
              <w:t>винтовок</w:t>
            </w:r>
          </w:p>
        </w:tc>
        <w:tc>
          <w:tcPr>
            <w:tcW w:w="984" w:type="dxa"/>
          </w:tcPr>
          <w:p w14:paraId="41EFA4E9" w14:textId="77777777" w:rsidR="007351D7" w:rsidRPr="00405303" w:rsidRDefault="007351D7" w:rsidP="00C15251">
            <w:pPr>
              <w:jc w:val="both"/>
              <w:rPr>
                <w:bCs/>
                <w:color w:val="002060"/>
                <w:sz w:val="16"/>
                <w:szCs w:val="16"/>
              </w:rPr>
            </w:pPr>
            <w:r w:rsidRPr="00405303">
              <w:rPr>
                <w:bCs/>
                <w:color w:val="002060"/>
                <w:sz w:val="16"/>
                <w:szCs w:val="16"/>
              </w:rPr>
              <w:t>В сутки</w:t>
            </w:r>
          </w:p>
        </w:tc>
        <w:tc>
          <w:tcPr>
            <w:tcW w:w="984" w:type="dxa"/>
          </w:tcPr>
          <w:p w14:paraId="2196544A" w14:textId="77777777" w:rsidR="007351D7" w:rsidRPr="00405303" w:rsidRDefault="007351D7" w:rsidP="00C15251">
            <w:pPr>
              <w:jc w:val="both"/>
              <w:rPr>
                <w:bCs/>
                <w:color w:val="002060"/>
                <w:sz w:val="16"/>
                <w:szCs w:val="16"/>
              </w:rPr>
            </w:pPr>
            <w:r w:rsidRPr="00405303">
              <w:rPr>
                <w:bCs/>
                <w:color w:val="002060"/>
                <w:sz w:val="16"/>
                <w:szCs w:val="16"/>
              </w:rPr>
              <w:t>От начала работ</w:t>
            </w:r>
          </w:p>
        </w:tc>
        <w:tc>
          <w:tcPr>
            <w:tcW w:w="984" w:type="dxa"/>
          </w:tcPr>
          <w:p w14:paraId="1F2C65F7" w14:textId="77777777" w:rsidR="007351D7" w:rsidRPr="00405303" w:rsidRDefault="007351D7" w:rsidP="00C15251">
            <w:pPr>
              <w:jc w:val="both"/>
              <w:rPr>
                <w:bCs/>
                <w:color w:val="002060"/>
                <w:sz w:val="16"/>
                <w:szCs w:val="16"/>
              </w:rPr>
            </w:pPr>
            <w:r w:rsidRPr="00405303">
              <w:rPr>
                <w:bCs/>
                <w:color w:val="002060"/>
                <w:sz w:val="16"/>
                <w:szCs w:val="16"/>
              </w:rPr>
              <w:t>В сутки</w:t>
            </w:r>
          </w:p>
        </w:tc>
        <w:tc>
          <w:tcPr>
            <w:tcW w:w="1128" w:type="dxa"/>
          </w:tcPr>
          <w:p w14:paraId="0550685C" w14:textId="77777777" w:rsidR="007351D7" w:rsidRPr="00405303" w:rsidRDefault="007351D7" w:rsidP="00C15251">
            <w:pPr>
              <w:jc w:val="both"/>
              <w:rPr>
                <w:bCs/>
                <w:color w:val="002060"/>
                <w:sz w:val="16"/>
                <w:szCs w:val="16"/>
              </w:rPr>
            </w:pPr>
            <w:r w:rsidRPr="00405303">
              <w:rPr>
                <w:bCs/>
                <w:color w:val="002060"/>
                <w:sz w:val="16"/>
                <w:szCs w:val="16"/>
              </w:rPr>
              <w:t>От начала работ</w:t>
            </w:r>
          </w:p>
        </w:tc>
      </w:tr>
      <w:tr w:rsidR="007351D7" w:rsidRPr="00405303" w14:paraId="4DF425D7" w14:textId="77777777" w:rsidTr="00D34AC1">
        <w:tc>
          <w:tcPr>
            <w:tcW w:w="1248" w:type="dxa"/>
          </w:tcPr>
          <w:p w14:paraId="03FD5346" w14:textId="77777777" w:rsidR="007351D7" w:rsidRPr="00405303" w:rsidRDefault="007351D7" w:rsidP="00C15251">
            <w:pPr>
              <w:jc w:val="both"/>
              <w:rPr>
                <w:bCs/>
                <w:color w:val="002060"/>
                <w:sz w:val="16"/>
                <w:szCs w:val="16"/>
              </w:rPr>
            </w:pPr>
            <w:r w:rsidRPr="00405303">
              <w:rPr>
                <w:bCs/>
                <w:color w:val="002060"/>
                <w:sz w:val="16"/>
                <w:szCs w:val="16"/>
              </w:rPr>
              <w:t>Декабрь 1916 г.</w:t>
            </w:r>
          </w:p>
        </w:tc>
        <w:tc>
          <w:tcPr>
            <w:tcW w:w="984" w:type="dxa"/>
          </w:tcPr>
          <w:p w14:paraId="28704D1E" w14:textId="77777777" w:rsidR="007351D7" w:rsidRPr="00405303" w:rsidRDefault="007351D7" w:rsidP="00C15251">
            <w:pPr>
              <w:jc w:val="both"/>
              <w:rPr>
                <w:bCs/>
                <w:color w:val="002060"/>
                <w:sz w:val="16"/>
                <w:szCs w:val="16"/>
              </w:rPr>
            </w:pPr>
            <w:r w:rsidRPr="00405303">
              <w:rPr>
                <w:bCs/>
                <w:color w:val="002060"/>
                <w:sz w:val="16"/>
                <w:szCs w:val="16"/>
              </w:rPr>
              <w:t>1.000</w:t>
            </w:r>
          </w:p>
        </w:tc>
        <w:tc>
          <w:tcPr>
            <w:tcW w:w="984" w:type="dxa"/>
          </w:tcPr>
          <w:p w14:paraId="774B4393" w14:textId="77777777" w:rsidR="007351D7" w:rsidRPr="00405303" w:rsidRDefault="007351D7" w:rsidP="00C15251">
            <w:pPr>
              <w:jc w:val="both"/>
              <w:rPr>
                <w:bCs/>
                <w:color w:val="002060"/>
                <w:sz w:val="16"/>
                <w:szCs w:val="16"/>
              </w:rPr>
            </w:pPr>
            <w:r w:rsidRPr="00405303">
              <w:rPr>
                <w:bCs/>
                <w:color w:val="002060"/>
                <w:sz w:val="16"/>
                <w:szCs w:val="16"/>
              </w:rPr>
              <w:t>1.000.000</w:t>
            </w:r>
          </w:p>
        </w:tc>
        <w:tc>
          <w:tcPr>
            <w:tcW w:w="984" w:type="dxa"/>
          </w:tcPr>
          <w:p w14:paraId="1D6C49C7" w14:textId="77777777" w:rsidR="007351D7" w:rsidRPr="00405303" w:rsidRDefault="007351D7" w:rsidP="00C15251">
            <w:pPr>
              <w:jc w:val="both"/>
              <w:rPr>
                <w:bCs/>
                <w:color w:val="002060"/>
                <w:sz w:val="16"/>
                <w:szCs w:val="16"/>
              </w:rPr>
            </w:pPr>
            <w:r w:rsidRPr="00405303">
              <w:rPr>
                <w:bCs/>
                <w:color w:val="002060"/>
                <w:sz w:val="16"/>
                <w:szCs w:val="16"/>
              </w:rPr>
              <w:t>500</w:t>
            </w:r>
          </w:p>
        </w:tc>
        <w:tc>
          <w:tcPr>
            <w:tcW w:w="1128" w:type="dxa"/>
          </w:tcPr>
          <w:p w14:paraId="5E571602" w14:textId="77777777" w:rsidR="007351D7" w:rsidRPr="00405303" w:rsidRDefault="007351D7" w:rsidP="00C15251">
            <w:pPr>
              <w:jc w:val="both"/>
              <w:rPr>
                <w:bCs/>
                <w:color w:val="002060"/>
                <w:sz w:val="16"/>
                <w:szCs w:val="16"/>
              </w:rPr>
            </w:pPr>
            <w:r w:rsidRPr="00405303">
              <w:rPr>
                <w:bCs/>
                <w:color w:val="002060"/>
                <w:sz w:val="16"/>
                <w:szCs w:val="16"/>
              </w:rPr>
              <w:t>70.000</w:t>
            </w:r>
          </w:p>
        </w:tc>
      </w:tr>
      <w:tr w:rsidR="007351D7" w:rsidRPr="00405303" w14:paraId="5E162D08" w14:textId="77777777" w:rsidTr="00D34AC1">
        <w:tc>
          <w:tcPr>
            <w:tcW w:w="1248" w:type="dxa"/>
          </w:tcPr>
          <w:p w14:paraId="2A5C7E27" w14:textId="77777777" w:rsidR="007351D7" w:rsidRPr="00405303" w:rsidRDefault="007351D7" w:rsidP="00C15251">
            <w:pPr>
              <w:jc w:val="both"/>
              <w:rPr>
                <w:bCs/>
                <w:color w:val="002060"/>
                <w:sz w:val="16"/>
                <w:szCs w:val="16"/>
              </w:rPr>
            </w:pPr>
            <w:r w:rsidRPr="00405303">
              <w:rPr>
                <w:bCs/>
                <w:color w:val="002060"/>
                <w:sz w:val="16"/>
                <w:szCs w:val="16"/>
              </w:rPr>
              <w:t>Март 1917 г.</w:t>
            </w:r>
          </w:p>
        </w:tc>
        <w:tc>
          <w:tcPr>
            <w:tcW w:w="984" w:type="dxa"/>
          </w:tcPr>
          <w:p w14:paraId="396057DD" w14:textId="77777777" w:rsidR="007351D7" w:rsidRPr="00405303" w:rsidRDefault="007351D7" w:rsidP="00C15251">
            <w:pPr>
              <w:jc w:val="both"/>
              <w:rPr>
                <w:bCs/>
                <w:color w:val="002060"/>
                <w:sz w:val="16"/>
                <w:szCs w:val="16"/>
              </w:rPr>
            </w:pPr>
            <w:r w:rsidRPr="00405303">
              <w:rPr>
                <w:bCs/>
                <w:color w:val="002060"/>
                <w:sz w:val="16"/>
                <w:szCs w:val="16"/>
              </w:rPr>
              <w:t>4.000</w:t>
            </w:r>
          </w:p>
        </w:tc>
        <w:tc>
          <w:tcPr>
            <w:tcW w:w="984" w:type="dxa"/>
          </w:tcPr>
          <w:p w14:paraId="40178DE1" w14:textId="77777777" w:rsidR="007351D7" w:rsidRPr="00405303" w:rsidRDefault="007351D7" w:rsidP="00C15251">
            <w:pPr>
              <w:jc w:val="both"/>
              <w:rPr>
                <w:bCs/>
                <w:color w:val="002060"/>
                <w:sz w:val="16"/>
                <w:szCs w:val="16"/>
              </w:rPr>
            </w:pPr>
            <w:r w:rsidRPr="00405303">
              <w:rPr>
                <w:bCs/>
                <w:color w:val="002060"/>
                <w:sz w:val="16"/>
                <w:szCs w:val="16"/>
              </w:rPr>
              <w:t>1.250.000</w:t>
            </w:r>
          </w:p>
        </w:tc>
        <w:tc>
          <w:tcPr>
            <w:tcW w:w="984" w:type="dxa"/>
          </w:tcPr>
          <w:p w14:paraId="62AACD59" w14:textId="77777777" w:rsidR="007351D7" w:rsidRPr="00405303" w:rsidRDefault="007351D7" w:rsidP="00C15251">
            <w:pPr>
              <w:jc w:val="both"/>
              <w:rPr>
                <w:bCs/>
                <w:color w:val="002060"/>
                <w:sz w:val="16"/>
                <w:szCs w:val="16"/>
              </w:rPr>
            </w:pPr>
            <w:r w:rsidRPr="00405303">
              <w:rPr>
                <w:bCs/>
                <w:color w:val="002060"/>
                <w:sz w:val="16"/>
                <w:szCs w:val="16"/>
              </w:rPr>
              <w:t>1.200</w:t>
            </w:r>
          </w:p>
        </w:tc>
        <w:tc>
          <w:tcPr>
            <w:tcW w:w="1128" w:type="dxa"/>
          </w:tcPr>
          <w:p w14:paraId="4D94BCA7" w14:textId="77777777" w:rsidR="007351D7" w:rsidRPr="00405303" w:rsidRDefault="007351D7" w:rsidP="00C15251">
            <w:pPr>
              <w:jc w:val="both"/>
              <w:rPr>
                <w:bCs/>
                <w:color w:val="002060"/>
                <w:sz w:val="16"/>
                <w:szCs w:val="16"/>
              </w:rPr>
            </w:pPr>
            <w:r w:rsidRPr="00405303">
              <w:rPr>
                <w:bCs/>
                <w:color w:val="002060"/>
                <w:sz w:val="16"/>
                <w:szCs w:val="16"/>
              </w:rPr>
              <w:t>120.000</w:t>
            </w:r>
          </w:p>
        </w:tc>
      </w:tr>
      <w:tr w:rsidR="007351D7" w:rsidRPr="00405303" w14:paraId="75424205" w14:textId="77777777" w:rsidTr="00D34AC1">
        <w:tc>
          <w:tcPr>
            <w:tcW w:w="1248" w:type="dxa"/>
          </w:tcPr>
          <w:p w14:paraId="13CA67FF" w14:textId="77777777" w:rsidR="007351D7" w:rsidRPr="00405303" w:rsidRDefault="007351D7" w:rsidP="00C15251">
            <w:pPr>
              <w:jc w:val="both"/>
              <w:rPr>
                <w:bCs/>
                <w:color w:val="002060"/>
                <w:sz w:val="16"/>
                <w:szCs w:val="16"/>
              </w:rPr>
            </w:pPr>
            <w:r w:rsidRPr="00405303">
              <w:rPr>
                <w:bCs/>
                <w:color w:val="002060"/>
                <w:sz w:val="16"/>
                <w:szCs w:val="16"/>
              </w:rPr>
              <w:t>Май 1917 г.</w:t>
            </w:r>
          </w:p>
        </w:tc>
        <w:tc>
          <w:tcPr>
            <w:tcW w:w="984" w:type="dxa"/>
          </w:tcPr>
          <w:p w14:paraId="57045E2D" w14:textId="77777777" w:rsidR="007351D7" w:rsidRPr="00405303" w:rsidRDefault="007351D7" w:rsidP="00C15251">
            <w:pPr>
              <w:jc w:val="both"/>
              <w:rPr>
                <w:bCs/>
                <w:color w:val="002060"/>
                <w:sz w:val="16"/>
                <w:szCs w:val="16"/>
              </w:rPr>
            </w:pPr>
            <w:r w:rsidRPr="00405303">
              <w:rPr>
                <w:bCs/>
                <w:color w:val="002060"/>
                <w:sz w:val="16"/>
                <w:szCs w:val="16"/>
              </w:rPr>
              <w:t>4.000</w:t>
            </w:r>
          </w:p>
        </w:tc>
        <w:tc>
          <w:tcPr>
            <w:tcW w:w="984" w:type="dxa"/>
          </w:tcPr>
          <w:p w14:paraId="5D9DDB8F" w14:textId="77777777" w:rsidR="007351D7" w:rsidRPr="00405303" w:rsidRDefault="007351D7" w:rsidP="00C15251">
            <w:pPr>
              <w:jc w:val="both"/>
              <w:rPr>
                <w:bCs/>
                <w:color w:val="002060"/>
                <w:sz w:val="16"/>
                <w:szCs w:val="16"/>
              </w:rPr>
            </w:pPr>
            <w:r w:rsidRPr="00405303">
              <w:rPr>
                <w:bCs/>
                <w:color w:val="002060"/>
                <w:sz w:val="16"/>
                <w:szCs w:val="16"/>
              </w:rPr>
              <w:t>1.450.000</w:t>
            </w:r>
          </w:p>
        </w:tc>
        <w:tc>
          <w:tcPr>
            <w:tcW w:w="984" w:type="dxa"/>
          </w:tcPr>
          <w:p w14:paraId="0BFCD66B" w14:textId="77777777" w:rsidR="007351D7" w:rsidRPr="00405303" w:rsidRDefault="007351D7" w:rsidP="00C15251">
            <w:pPr>
              <w:jc w:val="both"/>
              <w:rPr>
                <w:bCs/>
                <w:color w:val="002060"/>
                <w:sz w:val="16"/>
                <w:szCs w:val="16"/>
              </w:rPr>
            </w:pPr>
            <w:r w:rsidRPr="00405303">
              <w:rPr>
                <w:bCs/>
                <w:color w:val="002060"/>
                <w:sz w:val="16"/>
                <w:szCs w:val="16"/>
              </w:rPr>
              <w:t>1.800</w:t>
            </w:r>
          </w:p>
        </w:tc>
        <w:tc>
          <w:tcPr>
            <w:tcW w:w="1128" w:type="dxa"/>
          </w:tcPr>
          <w:p w14:paraId="7DBA75B3" w14:textId="77777777" w:rsidR="007351D7" w:rsidRPr="00405303" w:rsidRDefault="007351D7" w:rsidP="00C15251">
            <w:pPr>
              <w:jc w:val="both"/>
              <w:rPr>
                <w:bCs/>
                <w:color w:val="002060"/>
                <w:sz w:val="16"/>
                <w:szCs w:val="16"/>
              </w:rPr>
            </w:pPr>
            <w:r w:rsidRPr="00405303">
              <w:rPr>
                <w:bCs/>
                <w:color w:val="002060"/>
                <w:sz w:val="16"/>
                <w:szCs w:val="16"/>
              </w:rPr>
              <w:t>200.000</w:t>
            </w:r>
          </w:p>
        </w:tc>
      </w:tr>
    </w:tbl>
    <w:p w14:paraId="09EBAC89" w14:textId="77777777" w:rsidR="007351D7" w:rsidRPr="00405303" w:rsidRDefault="007351D7" w:rsidP="00C15251">
      <w:pPr>
        <w:jc w:val="both"/>
        <w:rPr>
          <w:bCs/>
          <w:color w:val="002060"/>
          <w:sz w:val="16"/>
          <w:szCs w:val="16"/>
        </w:rPr>
      </w:pPr>
      <w:r w:rsidRPr="00405303">
        <w:rPr>
          <w:bCs/>
          <w:color w:val="002060"/>
          <w:sz w:val="16"/>
          <w:szCs w:val="16"/>
        </w:rPr>
        <w:lastRenderedPageBreak/>
        <w:t xml:space="preserve">Таким образом, сдача катастрофически отставала от плана. Это обстоятельство, естественно, создавало для компании крайне тяжелое финансовое положение, угрожавшее крахом, так как поступлений платежей не было, а расходы шли своим порядком. </w:t>
      </w:r>
    </w:p>
    <w:p w14:paraId="3146BAD8" w14:textId="77777777" w:rsidR="007351D7" w:rsidRPr="00405303" w:rsidRDefault="007351D7" w:rsidP="00C15251">
      <w:pPr>
        <w:jc w:val="both"/>
        <w:rPr>
          <w:bCs/>
          <w:color w:val="002060"/>
          <w:sz w:val="16"/>
          <w:szCs w:val="16"/>
        </w:rPr>
      </w:pPr>
      <w:r w:rsidRPr="00405303">
        <w:rPr>
          <w:bCs/>
          <w:color w:val="002060"/>
          <w:sz w:val="16"/>
          <w:szCs w:val="16"/>
        </w:rPr>
        <w:t xml:space="preserve">В декабре 1916 г. Заготовительным комитетом был канцелирован заказ на 300 000 винтовок. </w:t>
      </w:r>
    </w:p>
    <w:p w14:paraId="017AB75B" w14:textId="77777777" w:rsidR="007351D7" w:rsidRPr="00405303" w:rsidRDefault="007351D7" w:rsidP="00C15251">
      <w:pPr>
        <w:jc w:val="both"/>
        <w:rPr>
          <w:bCs/>
          <w:color w:val="002060"/>
          <w:sz w:val="16"/>
          <w:szCs w:val="16"/>
        </w:rPr>
      </w:pPr>
      <w:r w:rsidRPr="00405303">
        <w:rPr>
          <w:bCs/>
          <w:color w:val="002060"/>
          <w:sz w:val="16"/>
          <w:szCs w:val="16"/>
        </w:rPr>
        <w:t xml:space="preserve">В связи со всем этим Ремингтон возбудил вопрос о пересмотре контрактов, угрожая в противном случае остановить производство. Создавался, таким образом, конфликт, подобный тому, какой имел место с Вестингаузом. </w:t>
      </w:r>
    </w:p>
    <w:p w14:paraId="5BD8CB17" w14:textId="77777777" w:rsidR="007351D7" w:rsidRPr="00405303" w:rsidRDefault="007351D7" w:rsidP="00C15251">
      <w:pPr>
        <w:jc w:val="both"/>
        <w:rPr>
          <w:bCs/>
          <w:color w:val="002060"/>
          <w:sz w:val="16"/>
          <w:szCs w:val="16"/>
        </w:rPr>
      </w:pPr>
      <w:r w:rsidRPr="00405303">
        <w:rPr>
          <w:bCs/>
          <w:color w:val="002060"/>
          <w:sz w:val="16"/>
          <w:szCs w:val="16"/>
        </w:rPr>
        <w:t xml:space="preserve">Председатель Заготовительного комитета по этому поводу доносит в Петроград: "Завод Ремингтон, вероятно, опираясь на Вестингауза, получающего всякие льготы, начал опять подавать брак и тоже начинает протестовать против наших правильных требований". </w:t>
      </w:r>
    </w:p>
    <w:p w14:paraId="26F41191" w14:textId="77777777" w:rsidR="007351D7" w:rsidRPr="00405303" w:rsidRDefault="007351D7" w:rsidP="00C15251">
      <w:pPr>
        <w:jc w:val="both"/>
        <w:rPr>
          <w:bCs/>
          <w:color w:val="002060"/>
          <w:sz w:val="16"/>
          <w:szCs w:val="16"/>
        </w:rPr>
      </w:pPr>
      <w:r w:rsidRPr="00405303">
        <w:rPr>
          <w:bCs/>
          <w:color w:val="002060"/>
          <w:sz w:val="16"/>
          <w:szCs w:val="16"/>
        </w:rPr>
        <w:t xml:space="preserve">Очевиден был сговор банков, которые требуют — или брать такие ружья, какие нам дают, или же, в противном случае, грозят закрыть завод, предпочитая не нести дальнейших убытков. Такое давление банков понятно, поскольку некоторые из директоров компании были в то же время директорами банков. </w:t>
      </w:r>
    </w:p>
    <w:p w14:paraId="7C52AF4E" w14:textId="77777777" w:rsidR="007351D7" w:rsidRPr="00405303" w:rsidRDefault="007351D7" w:rsidP="00C15251">
      <w:pPr>
        <w:jc w:val="both"/>
        <w:rPr>
          <w:bCs/>
          <w:color w:val="002060"/>
          <w:sz w:val="16"/>
          <w:szCs w:val="16"/>
        </w:rPr>
      </w:pPr>
      <w:r w:rsidRPr="00405303">
        <w:rPr>
          <w:bCs/>
          <w:color w:val="002060"/>
          <w:sz w:val="16"/>
          <w:szCs w:val="16"/>
        </w:rPr>
        <w:t xml:space="preserve">В периоде переговоров об изменении условий контракта Ремингтон возбудил вопрос о передаче его завода в полное техническое управление русским инженерам-оружейникам. Одновременно такой же вопрос поставил и Вестингауз. </w:t>
      </w:r>
    </w:p>
    <w:p w14:paraId="0B1C360E" w14:textId="77777777" w:rsidR="007351D7" w:rsidRPr="00405303" w:rsidRDefault="007351D7" w:rsidP="00C15251">
      <w:pPr>
        <w:jc w:val="both"/>
        <w:rPr>
          <w:bCs/>
          <w:color w:val="002060"/>
          <w:sz w:val="16"/>
          <w:szCs w:val="16"/>
        </w:rPr>
      </w:pPr>
      <w:r w:rsidRPr="00405303">
        <w:rPr>
          <w:bCs/>
          <w:color w:val="002060"/>
          <w:sz w:val="16"/>
          <w:szCs w:val="16"/>
        </w:rPr>
        <w:t xml:space="preserve">В середине марта 1916 г. переговоры были задержаны почти на месяц союзной конференцией в Петрограде, после чего опять возобновились и шли успешно. </w:t>
      </w:r>
    </w:p>
    <w:p w14:paraId="54526E28" w14:textId="77777777" w:rsidR="007351D7" w:rsidRPr="00405303" w:rsidRDefault="007351D7" w:rsidP="00C15251">
      <w:pPr>
        <w:jc w:val="both"/>
        <w:rPr>
          <w:bCs/>
          <w:color w:val="002060"/>
          <w:sz w:val="16"/>
          <w:szCs w:val="16"/>
        </w:rPr>
      </w:pPr>
      <w:r w:rsidRPr="00405303">
        <w:rPr>
          <w:bCs/>
          <w:color w:val="002060"/>
          <w:sz w:val="16"/>
          <w:szCs w:val="16"/>
        </w:rPr>
        <w:t xml:space="preserve">После долгих переговоров и сношений с Лондоном и Петроградом был, наконец, 10 сентября 1917 г. подписан новый договор с фирмой Ремингтон, заменяющий предшествующие контракты. Основные положения нового договора сводились к следующему. </w:t>
      </w:r>
    </w:p>
    <w:p w14:paraId="7958E1C6" w14:textId="77777777" w:rsidR="007351D7" w:rsidRPr="00405303" w:rsidRDefault="007351D7" w:rsidP="00C15251">
      <w:pPr>
        <w:jc w:val="both"/>
        <w:rPr>
          <w:bCs/>
          <w:color w:val="002060"/>
          <w:sz w:val="16"/>
          <w:szCs w:val="16"/>
        </w:rPr>
      </w:pPr>
      <w:r w:rsidRPr="00405303">
        <w:rPr>
          <w:bCs/>
          <w:color w:val="002060"/>
          <w:sz w:val="16"/>
          <w:szCs w:val="16"/>
        </w:rPr>
        <w:t xml:space="preserve">1) Заказ 1 500 000 ружей сокращается до 1 млн. </w:t>
      </w:r>
    </w:p>
    <w:p w14:paraId="61DA62B0" w14:textId="77777777" w:rsidR="007351D7" w:rsidRPr="00405303" w:rsidRDefault="007351D7" w:rsidP="00C15251">
      <w:pPr>
        <w:jc w:val="both"/>
        <w:rPr>
          <w:bCs/>
          <w:color w:val="002060"/>
          <w:sz w:val="16"/>
          <w:szCs w:val="16"/>
        </w:rPr>
      </w:pPr>
      <w:r w:rsidRPr="00405303">
        <w:rPr>
          <w:bCs/>
          <w:color w:val="002060"/>
          <w:sz w:val="16"/>
          <w:szCs w:val="16"/>
        </w:rPr>
        <w:t xml:space="preserve">2) Организуется общество Новый Ремингтон, в котором половина акций принадлежит старому Ремингтону, другая — русскому правительству. </w:t>
      </w:r>
    </w:p>
    <w:p w14:paraId="1208DA39" w14:textId="77777777" w:rsidR="007351D7" w:rsidRPr="00405303" w:rsidRDefault="007351D7" w:rsidP="00C15251">
      <w:pPr>
        <w:jc w:val="both"/>
        <w:rPr>
          <w:bCs/>
          <w:color w:val="002060"/>
          <w:sz w:val="16"/>
          <w:szCs w:val="16"/>
        </w:rPr>
      </w:pPr>
      <w:r w:rsidRPr="00405303">
        <w:rPr>
          <w:bCs/>
          <w:color w:val="002060"/>
          <w:sz w:val="16"/>
          <w:szCs w:val="16"/>
        </w:rPr>
        <w:t xml:space="preserve">3) Русское правительство вносит за акции 6 млн долларов, которые составляют половину капитала, затраченного фирмой в дело с начала работы по день нового контракта. </w:t>
      </w:r>
    </w:p>
    <w:p w14:paraId="78A87FD7" w14:textId="77777777" w:rsidR="007351D7" w:rsidRPr="00405303" w:rsidRDefault="007351D7" w:rsidP="00C15251">
      <w:pPr>
        <w:jc w:val="both"/>
        <w:rPr>
          <w:bCs/>
          <w:color w:val="002060"/>
          <w:sz w:val="16"/>
          <w:szCs w:val="16"/>
        </w:rPr>
      </w:pPr>
      <w:r w:rsidRPr="00405303">
        <w:rPr>
          <w:bCs/>
          <w:color w:val="002060"/>
          <w:sz w:val="16"/>
          <w:szCs w:val="16"/>
        </w:rPr>
        <w:t xml:space="preserve">4) Старый Ремингтон уступает Новому 0,68 доли участия в недвижимом имуществе, заводе и инвентаре, что отвечает потребности ружейного контракта. Часть имущества по особой описи вполне отчуждается Новому Ремингтону. </w:t>
      </w:r>
    </w:p>
    <w:p w14:paraId="733D51B7" w14:textId="77777777" w:rsidR="007351D7" w:rsidRPr="00405303" w:rsidRDefault="007351D7" w:rsidP="00C15251">
      <w:pPr>
        <w:jc w:val="both"/>
        <w:rPr>
          <w:bCs/>
          <w:color w:val="002060"/>
          <w:sz w:val="16"/>
          <w:szCs w:val="16"/>
        </w:rPr>
      </w:pPr>
      <w:r w:rsidRPr="00405303">
        <w:rPr>
          <w:bCs/>
          <w:color w:val="002060"/>
          <w:sz w:val="16"/>
          <w:szCs w:val="16"/>
        </w:rPr>
        <w:t xml:space="preserve">5) Новый Ремингтон управляется директоратом из шести директоров — три от Ремингтона и три от Русского заготовительного комитета. </w:t>
      </w:r>
    </w:p>
    <w:p w14:paraId="1274C801" w14:textId="77777777" w:rsidR="007351D7" w:rsidRPr="00405303" w:rsidRDefault="007351D7" w:rsidP="00C15251">
      <w:pPr>
        <w:jc w:val="both"/>
        <w:rPr>
          <w:bCs/>
          <w:color w:val="002060"/>
          <w:sz w:val="16"/>
          <w:szCs w:val="16"/>
        </w:rPr>
      </w:pPr>
      <w:r w:rsidRPr="00405303">
        <w:rPr>
          <w:bCs/>
          <w:color w:val="002060"/>
          <w:sz w:val="16"/>
          <w:szCs w:val="16"/>
        </w:rPr>
        <w:t>6) Цена винтовки 30 долларов.</w:t>
      </w:r>
    </w:p>
    <w:p w14:paraId="25297ED8" w14:textId="77777777" w:rsidR="007351D7" w:rsidRPr="00405303" w:rsidRDefault="007351D7" w:rsidP="00C15251">
      <w:pPr>
        <w:jc w:val="both"/>
        <w:rPr>
          <w:bCs/>
          <w:color w:val="002060"/>
          <w:sz w:val="16"/>
          <w:szCs w:val="16"/>
        </w:rPr>
      </w:pPr>
      <w:r w:rsidRPr="00405303">
        <w:rPr>
          <w:bCs/>
          <w:color w:val="002060"/>
          <w:sz w:val="16"/>
          <w:szCs w:val="16"/>
        </w:rPr>
        <w:t xml:space="preserve">7) По окончании договора Россия приобретает от Нового Ремингтона машины, инструмент и пр. оборудование для оружейного дела. </w:t>
      </w:r>
    </w:p>
    <w:p w14:paraId="43F3EBF3" w14:textId="77777777" w:rsidR="007351D7" w:rsidRPr="00405303" w:rsidRDefault="007351D7" w:rsidP="00C15251">
      <w:pPr>
        <w:jc w:val="both"/>
        <w:rPr>
          <w:bCs/>
          <w:color w:val="002060"/>
          <w:sz w:val="16"/>
          <w:szCs w:val="16"/>
        </w:rPr>
      </w:pPr>
      <w:r w:rsidRPr="00405303">
        <w:rPr>
          <w:bCs/>
          <w:color w:val="002060"/>
          <w:sz w:val="16"/>
          <w:szCs w:val="16"/>
        </w:rPr>
        <w:t xml:space="preserve">Указанное соглашение было принято Заготовительным комитетом под давлением обстоятельств, так как иного выхода не было: ружья были до зарезу нужны, а крах фирмы во всех отношениях для России был неприемлем. </w:t>
      </w:r>
    </w:p>
    <w:p w14:paraId="7FAFAE0D" w14:textId="77777777" w:rsidR="007351D7" w:rsidRPr="00405303" w:rsidRDefault="007351D7" w:rsidP="00C15251">
      <w:pPr>
        <w:jc w:val="both"/>
        <w:rPr>
          <w:bCs/>
          <w:color w:val="002060"/>
          <w:sz w:val="16"/>
          <w:szCs w:val="16"/>
        </w:rPr>
      </w:pPr>
      <w:r w:rsidRPr="00405303">
        <w:rPr>
          <w:bCs/>
          <w:color w:val="002060"/>
          <w:sz w:val="16"/>
          <w:szCs w:val="16"/>
        </w:rPr>
        <w:t xml:space="preserve">Таким образом, с подписанием нового контракта производство стало быстро прогрессировать, в то время как в период переговоров и неопределенности оно значительно упало. С мая по сентябрь 1917 г. завод выпускал примерно по 30 000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80"/>
        <w:gridCol w:w="816"/>
      </w:tblGrid>
      <w:tr w:rsidR="007351D7" w:rsidRPr="00405303" w14:paraId="474A98CA" w14:textId="77777777" w:rsidTr="00D34AC1">
        <w:tc>
          <w:tcPr>
            <w:tcW w:w="1680" w:type="dxa"/>
          </w:tcPr>
          <w:p w14:paraId="11B534B1" w14:textId="77777777" w:rsidR="007351D7" w:rsidRPr="00405303" w:rsidRDefault="007351D7" w:rsidP="00C15251">
            <w:pPr>
              <w:jc w:val="both"/>
              <w:rPr>
                <w:bCs/>
                <w:color w:val="002060"/>
                <w:sz w:val="16"/>
                <w:szCs w:val="16"/>
              </w:rPr>
            </w:pPr>
            <w:r w:rsidRPr="00405303">
              <w:rPr>
                <w:bCs/>
                <w:color w:val="002060"/>
                <w:sz w:val="16"/>
                <w:szCs w:val="16"/>
              </w:rPr>
              <w:t>в сентябре 1917 г.</w:t>
            </w:r>
          </w:p>
        </w:tc>
        <w:tc>
          <w:tcPr>
            <w:tcW w:w="816" w:type="dxa"/>
          </w:tcPr>
          <w:p w14:paraId="6FB32976" w14:textId="77777777" w:rsidR="007351D7" w:rsidRPr="00405303" w:rsidRDefault="007351D7" w:rsidP="00C15251">
            <w:pPr>
              <w:jc w:val="both"/>
              <w:rPr>
                <w:bCs/>
                <w:color w:val="002060"/>
                <w:sz w:val="16"/>
                <w:szCs w:val="16"/>
              </w:rPr>
            </w:pPr>
            <w:r w:rsidRPr="00405303">
              <w:rPr>
                <w:bCs/>
                <w:color w:val="002060"/>
                <w:sz w:val="16"/>
                <w:szCs w:val="16"/>
              </w:rPr>
              <w:t xml:space="preserve">52 000 </w:t>
            </w:r>
          </w:p>
        </w:tc>
      </w:tr>
      <w:tr w:rsidR="007351D7" w:rsidRPr="00405303" w14:paraId="0D7AC083" w14:textId="77777777" w:rsidTr="00D34AC1">
        <w:tc>
          <w:tcPr>
            <w:tcW w:w="1680" w:type="dxa"/>
          </w:tcPr>
          <w:p w14:paraId="13D46037" w14:textId="77777777" w:rsidR="007351D7" w:rsidRPr="00405303" w:rsidRDefault="007351D7" w:rsidP="00C15251">
            <w:pPr>
              <w:jc w:val="both"/>
              <w:rPr>
                <w:bCs/>
                <w:color w:val="002060"/>
                <w:sz w:val="16"/>
                <w:szCs w:val="16"/>
              </w:rPr>
            </w:pPr>
            <w:r w:rsidRPr="00405303">
              <w:rPr>
                <w:bCs/>
                <w:color w:val="002060"/>
                <w:sz w:val="16"/>
                <w:szCs w:val="16"/>
              </w:rPr>
              <w:t>в октябре</w:t>
            </w:r>
          </w:p>
        </w:tc>
        <w:tc>
          <w:tcPr>
            <w:tcW w:w="816" w:type="dxa"/>
          </w:tcPr>
          <w:p w14:paraId="557BE7DC" w14:textId="77777777" w:rsidR="007351D7" w:rsidRPr="00405303" w:rsidRDefault="007351D7" w:rsidP="00C15251">
            <w:pPr>
              <w:jc w:val="both"/>
              <w:rPr>
                <w:bCs/>
                <w:color w:val="002060"/>
                <w:sz w:val="16"/>
                <w:szCs w:val="16"/>
              </w:rPr>
            </w:pPr>
            <w:r w:rsidRPr="00405303">
              <w:rPr>
                <w:bCs/>
                <w:color w:val="002060"/>
                <w:sz w:val="16"/>
                <w:szCs w:val="16"/>
              </w:rPr>
              <w:t xml:space="preserve">70 000 </w:t>
            </w:r>
          </w:p>
        </w:tc>
      </w:tr>
      <w:tr w:rsidR="007351D7" w:rsidRPr="00405303" w14:paraId="5AABED8C" w14:textId="77777777" w:rsidTr="00D34AC1">
        <w:tc>
          <w:tcPr>
            <w:tcW w:w="1680" w:type="dxa"/>
          </w:tcPr>
          <w:p w14:paraId="3938100C" w14:textId="77777777" w:rsidR="007351D7" w:rsidRPr="00405303" w:rsidRDefault="007351D7" w:rsidP="00C15251">
            <w:pPr>
              <w:jc w:val="both"/>
              <w:rPr>
                <w:bCs/>
                <w:color w:val="002060"/>
                <w:sz w:val="16"/>
                <w:szCs w:val="16"/>
              </w:rPr>
            </w:pPr>
            <w:r w:rsidRPr="00405303">
              <w:rPr>
                <w:bCs/>
                <w:color w:val="002060"/>
                <w:sz w:val="16"/>
                <w:szCs w:val="16"/>
              </w:rPr>
              <w:t>в ноябре</w:t>
            </w:r>
          </w:p>
        </w:tc>
        <w:tc>
          <w:tcPr>
            <w:tcW w:w="816" w:type="dxa"/>
          </w:tcPr>
          <w:p w14:paraId="36CC6783" w14:textId="77777777" w:rsidR="007351D7" w:rsidRPr="00405303" w:rsidRDefault="007351D7" w:rsidP="00C15251">
            <w:pPr>
              <w:jc w:val="both"/>
              <w:rPr>
                <w:bCs/>
                <w:color w:val="002060"/>
                <w:sz w:val="16"/>
                <w:szCs w:val="16"/>
              </w:rPr>
            </w:pPr>
            <w:r w:rsidRPr="00405303">
              <w:rPr>
                <w:bCs/>
                <w:color w:val="002060"/>
                <w:sz w:val="16"/>
                <w:szCs w:val="16"/>
              </w:rPr>
              <w:t xml:space="preserve">108 000 </w:t>
            </w:r>
          </w:p>
        </w:tc>
      </w:tr>
      <w:tr w:rsidR="007351D7" w:rsidRPr="00405303" w14:paraId="358A6F03" w14:textId="77777777" w:rsidTr="00D34AC1">
        <w:tc>
          <w:tcPr>
            <w:tcW w:w="1680" w:type="dxa"/>
          </w:tcPr>
          <w:p w14:paraId="10C4EF5A" w14:textId="77777777" w:rsidR="007351D7" w:rsidRPr="00405303" w:rsidRDefault="007351D7" w:rsidP="00C15251">
            <w:pPr>
              <w:jc w:val="both"/>
              <w:rPr>
                <w:bCs/>
                <w:color w:val="002060"/>
                <w:sz w:val="16"/>
                <w:szCs w:val="16"/>
              </w:rPr>
            </w:pPr>
            <w:r w:rsidRPr="00405303">
              <w:rPr>
                <w:bCs/>
                <w:color w:val="002060"/>
                <w:sz w:val="16"/>
                <w:szCs w:val="16"/>
              </w:rPr>
              <w:t>в декабре</w:t>
            </w:r>
          </w:p>
        </w:tc>
        <w:tc>
          <w:tcPr>
            <w:tcW w:w="816" w:type="dxa"/>
          </w:tcPr>
          <w:p w14:paraId="6E1EFADA" w14:textId="77777777" w:rsidR="007351D7" w:rsidRPr="00405303" w:rsidRDefault="007351D7" w:rsidP="00C15251">
            <w:pPr>
              <w:jc w:val="both"/>
              <w:rPr>
                <w:bCs/>
                <w:color w:val="002060"/>
                <w:sz w:val="16"/>
                <w:szCs w:val="16"/>
              </w:rPr>
            </w:pPr>
            <w:r w:rsidRPr="00405303">
              <w:rPr>
                <w:bCs/>
                <w:color w:val="002060"/>
                <w:sz w:val="16"/>
                <w:szCs w:val="16"/>
              </w:rPr>
              <w:t xml:space="preserve">107 000 </w:t>
            </w:r>
          </w:p>
        </w:tc>
      </w:tr>
    </w:tbl>
    <w:p w14:paraId="1AD19CA2" w14:textId="77777777" w:rsidR="007351D7" w:rsidRPr="00405303" w:rsidRDefault="007351D7" w:rsidP="00C15251">
      <w:pPr>
        <w:jc w:val="both"/>
        <w:rPr>
          <w:bCs/>
          <w:color w:val="002060"/>
          <w:sz w:val="16"/>
          <w:szCs w:val="16"/>
        </w:rPr>
      </w:pPr>
      <w:r w:rsidRPr="00405303">
        <w:rPr>
          <w:bCs/>
          <w:color w:val="002060"/>
          <w:sz w:val="16"/>
          <w:szCs w:val="16"/>
        </w:rPr>
        <w:t xml:space="preserve">В конце 1917 г. в связи с прекращением войны Россией началась общая ликвидация работ Заготовительного комитета. Ввиду этого с Ремингтоном было выработано в январе 1918 г. особое соглашение о ликвидации контрактов. </w:t>
      </w:r>
    </w:p>
    <w:p w14:paraId="7672C4D2" w14:textId="77777777" w:rsidR="007351D7" w:rsidRPr="00405303" w:rsidRDefault="007351D7" w:rsidP="00C15251">
      <w:pPr>
        <w:jc w:val="both"/>
        <w:rPr>
          <w:bCs/>
          <w:color w:val="002060"/>
          <w:sz w:val="16"/>
          <w:szCs w:val="16"/>
        </w:rPr>
      </w:pPr>
      <w:r w:rsidRPr="00405303">
        <w:rPr>
          <w:bCs/>
          <w:color w:val="002060"/>
          <w:sz w:val="16"/>
          <w:szCs w:val="16"/>
        </w:rPr>
        <w:t xml:space="preserve">Нет надобности входить в детали этого соглашения, оно чрезвычайно сложно, что и понятно при той исключительной сложности взаимоотношения сторон, которое создавалась при учреждении общества Новый Ремингтон. В общем счете всего сдано Ремингтоном 840 307 винтовок. К сожалению, не имеется данных, коими можно было бы установить, сколько же этих ружей попало в Россию и сколько Россия уплатила фирме за все время, чтобы подсчитать, во что обошлось ружье. </w:t>
      </w:r>
    </w:p>
    <w:p w14:paraId="2BF5A18E" w14:textId="77777777" w:rsidR="007351D7" w:rsidRPr="00405303" w:rsidRDefault="007351D7" w:rsidP="00C15251">
      <w:pPr>
        <w:jc w:val="both"/>
        <w:rPr>
          <w:bCs/>
          <w:color w:val="002060"/>
          <w:sz w:val="16"/>
          <w:szCs w:val="16"/>
        </w:rPr>
      </w:pPr>
      <w:r w:rsidRPr="00405303">
        <w:rPr>
          <w:bCs/>
          <w:color w:val="002060"/>
          <w:sz w:val="16"/>
          <w:szCs w:val="16"/>
        </w:rPr>
        <w:t>В итоге заказ был выполнен Ремингтоном только в 55% его первоначального контрактного объема, причем часть эта исполнена с запозданием на 20 месяцев против контрактного срока для всего заказа (11329).</w:t>
      </w:r>
    </w:p>
    <w:p w14:paraId="09438268" w14:textId="77777777" w:rsidR="007351D7" w:rsidRPr="00405303" w:rsidRDefault="007351D7" w:rsidP="00C15251">
      <w:pPr>
        <w:pStyle w:val="a3"/>
        <w:jc w:val="both"/>
        <w:rPr>
          <w:bCs/>
          <w:color w:val="002060"/>
          <w:spacing w:val="0"/>
          <w:kern w:val="0"/>
          <w:position w:val="0"/>
          <w:sz w:val="16"/>
          <w:szCs w:val="16"/>
        </w:rPr>
      </w:pPr>
    </w:p>
    <w:p w14:paraId="330EC9BD"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595E3146" w14:textId="77777777" w:rsidR="004B4E35" w:rsidRPr="00405303" w:rsidRDefault="004B4E35" w:rsidP="00C15251">
      <w:pPr>
        <w:jc w:val="both"/>
        <w:rPr>
          <w:bCs/>
          <w:i/>
          <w:color w:val="002060"/>
          <w:sz w:val="16"/>
          <w:szCs w:val="16"/>
        </w:rPr>
      </w:pPr>
    </w:p>
    <w:p w14:paraId="0D952D90" w14:textId="03C6EDC5" w:rsidR="004B4E35" w:rsidRPr="00405303" w:rsidRDefault="007351D7" w:rsidP="00C15251">
      <w:pPr>
        <w:shd w:val="clear" w:color="auto" w:fill="FFFFFF"/>
        <w:jc w:val="both"/>
        <w:rPr>
          <w:bCs/>
          <w:color w:val="002060"/>
          <w:sz w:val="16"/>
          <w:szCs w:val="16"/>
        </w:rPr>
      </w:pPr>
      <w:r w:rsidRPr="00405303">
        <w:rPr>
          <w:bCs/>
          <w:color w:val="002060"/>
          <w:sz w:val="16"/>
          <w:szCs w:val="16"/>
        </w:rPr>
        <w:t>К</w:t>
      </w:r>
      <w:r w:rsidR="009E6F82" w:rsidRPr="00405303">
        <w:rPr>
          <w:bCs/>
          <w:color w:val="002060"/>
          <w:sz w:val="16"/>
          <w:szCs w:val="16"/>
        </w:rPr>
        <w:t xml:space="preserve"> концу 1915 г. </w:t>
      </w:r>
      <w:r w:rsidRPr="00405303">
        <w:rPr>
          <w:bCs/>
          <w:color w:val="002060"/>
          <w:sz w:val="16"/>
          <w:szCs w:val="16"/>
        </w:rPr>
        <w:t>все новые типы загра</w:t>
      </w:r>
      <w:r w:rsidRPr="00405303">
        <w:rPr>
          <w:bCs/>
          <w:color w:val="002060"/>
          <w:sz w:val="16"/>
          <w:szCs w:val="16"/>
        </w:rPr>
        <w:softHyphen/>
        <w:t xml:space="preserve">ничных самолетов </w:t>
      </w:r>
      <w:r w:rsidR="009E6F82" w:rsidRPr="00405303">
        <w:rPr>
          <w:bCs/>
          <w:color w:val="002060"/>
          <w:sz w:val="16"/>
          <w:szCs w:val="16"/>
        </w:rPr>
        <w:t>имели специальное вооружение</w:t>
      </w:r>
      <w:r w:rsidRPr="00405303">
        <w:rPr>
          <w:bCs/>
          <w:color w:val="002060"/>
          <w:sz w:val="16"/>
          <w:szCs w:val="16"/>
        </w:rPr>
        <w:t xml:space="preserve"> и становится</w:t>
      </w:r>
      <w:r w:rsidR="009E6F82" w:rsidRPr="00405303">
        <w:rPr>
          <w:bCs/>
          <w:color w:val="002060"/>
          <w:sz w:val="16"/>
          <w:szCs w:val="16"/>
        </w:rPr>
        <w:t xml:space="preserve"> ясным, насколько отставшими оказались русские воен</w:t>
      </w:r>
      <w:r w:rsidR="009E6F82" w:rsidRPr="00405303">
        <w:rPr>
          <w:bCs/>
          <w:color w:val="002060"/>
          <w:sz w:val="16"/>
          <w:szCs w:val="16"/>
        </w:rPr>
        <w:softHyphen/>
        <w:t>ные самолеты. Фронтовое командование и летчики настойчиво требовали новых, более быстроходных и грузоподъемных само</w:t>
      </w:r>
      <w:r w:rsidR="009E6F82" w:rsidRPr="00405303">
        <w:rPr>
          <w:bCs/>
          <w:color w:val="002060"/>
          <w:sz w:val="16"/>
          <w:szCs w:val="16"/>
        </w:rPr>
        <w:softHyphen/>
        <w:t>летов (9705,104).</w:t>
      </w:r>
    </w:p>
    <w:p w14:paraId="2F01ACB4" w14:textId="77777777" w:rsidR="004B4E35" w:rsidRPr="00405303" w:rsidRDefault="004B4E35" w:rsidP="00C15251">
      <w:pPr>
        <w:shd w:val="clear" w:color="auto" w:fill="FFFFFF"/>
        <w:jc w:val="both"/>
        <w:rPr>
          <w:bCs/>
          <w:color w:val="002060"/>
          <w:sz w:val="16"/>
          <w:szCs w:val="16"/>
        </w:rPr>
      </w:pPr>
    </w:p>
    <w:p w14:paraId="6E4B427D" w14:textId="77777777" w:rsidR="003A1985" w:rsidRPr="00405303" w:rsidRDefault="003A1985" w:rsidP="00C15251">
      <w:pPr>
        <w:jc w:val="both"/>
        <w:rPr>
          <w:bCs/>
          <w:color w:val="002060"/>
          <w:sz w:val="16"/>
          <w:szCs w:val="16"/>
        </w:rPr>
      </w:pPr>
      <w:r w:rsidRPr="00405303">
        <w:rPr>
          <w:bCs/>
          <w:color w:val="002060"/>
          <w:sz w:val="16"/>
          <w:szCs w:val="16"/>
        </w:rPr>
        <w:t>К концу 1915 г. в принадлежавшей тогда Австро- Венгрии Трансильвании, в городе Сент-Андрас (</w:t>
      </w:r>
      <w:r w:rsidRPr="00405303">
        <w:rPr>
          <w:bCs/>
          <w:color w:val="002060"/>
          <w:sz w:val="16"/>
          <w:szCs w:val="16"/>
          <w:lang w:val="en-US"/>
        </w:rPr>
        <w:t>Szentandras</w:t>
      </w:r>
      <w:r w:rsidRPr="00405303">
        <w:rPr>
          <w:bCs/>
          <w:color w:val="002060"/>
          <w:sz w:val="16"/>
          <w:szCs w:val="16"/>
        </w:rPr>
        <w:t>) севернее Темешвара немцы создали дирижабельную базу с переносным эллингом. Правда, из-за малой про</w:t>
      </w:r>
      <w:r w:rsidRPr="00405303">
        <w:rPr>
          <w:bCs/>
          <w:color w:val="002060"/>
          <w:sz w:val="16"/>
          <w:szCs w:val="16"/>
        </w:rPr>
        <w:softHyphen/>
        <w:t>изводительности газодобывательной установки базы снабжение-дирижаблей водородом осущест</w:t>
      </w:r>
      <w:r w:rsidRPr="00405303">
        <w:rPr>
          <w:bCs/>
          <w:color w:val="002060"/>
          <w:sz w:val="16"/>
          <w:szCs w:val="16"/>
        </w:rPr>
        <w:softHyphen/>
        <w:t>влялось преимущественно из Германии в баллонах высокого давления. Отсюда цеппелины летали бомбить греческий порт Салоники, где в конце октября 1915 г. высадился англо-французский десант (15972).</w:t>
      </w:r>
    </w:p>
    <w:p w14:paraId="5842B217" w14:textId="77777777" w:rsidR="003A1985" w:rsidRPr="00405303" w:rsidRDefault="003A1985" w:rsidP="00C15251">
      <w:pPr>
        <w:jc w:val="both"/>
        <w:rPr>
          <w:bCs/>
          <w:color w:val="002060"/>
          <w:sz w:val="16"/>
          <w:szCs w:val="16"/>
        </w:rPr>
      </w:pPr>
    </w:p>
    <w:p w14:paraId="48ECA735" w14:textId="77777777" w:rsidR="00E8174C" w:rsidRPr="00CF03EC" w:rsidRDefault="00E8174C" w:rsidP="00E8174C">
      <w:pPr>
        <w:jc w:val="both"/>
        <w:rPr>
          <w:color w:val="0070C0"/>
          <w:sz w:val="16"/>
          <w:szCs w:val="16"/>
        </w:rPr>
      </w:pPr>
      <w:r w:rsidRPr="00CF03EC">
        <w:rPr>
          <w:color w:val="0070C0"/>
          <w:sz w:val="16"/>
          <w:szCs w:val="16"/>
        </w:rPr>
        <w:t>К концу 1915 г. завод «Пфальц» выпустил 74 своих E I и для всех их «летчиков от бога» уже не хватало. Из частей морской и сухопутной авиации посыпались жалобы на то, что самолет чрезвычайно сложен в управлении и без видимых причин сваливается в штопор. Что да как спрашивать в таких случаях обычно не с кого, т.к. пилот, как правило, погибал. Но дефицит истребителей заставлял держать самолеты Пфальц E I, и они их сняли с летной эксплуатации только 17 августа 1916 г.</w:t>
      </w:r>
    </w:p>
    <w:p w14:paraId="39D782C2" w14:textId="77777777" w:rsidR="00E8174C" w:rsidRPr="00CF03EC" w:rsidRDefault="00E8174C" w:rsidP="00E8174C">
      <w:pPr>
        <w:jc w:val="both"/>
        <w:rPr>
          <w:color w:val="0070C0"/>
          <w:sz w:val="16"/>
          <w:szCs w:val="16"/>
        </w:rPr>
      </w:pPr>
      <w:r w:rsidRPr="00CF03EC">
        <w:rPr>
          <w:color w:val="0070C0"/>
          <w:sz w:val="16"/>
          <w:szCs w:val="16"/>
        </w:rPr>
        <w:t>Оценка этой машины у разных пилотов оказалась полярно противоположной – от обожания до полного неприятия. Ее очень хвалил Отто Киссенберт – летчик-ас, пусть и не из самых знаменитых, но все же имевший двадцать побед. А вот призванный на военную службу уже как известный авиатор-спортсмен, а в будущем конструктор самолетов и двигателей Гельмут Хирт даже пошел под трибунал за отказ летать на истребителе Пфальц E I.</w:t>
      </w:r>
    </w:p>
    <w:p w14:paraId="1BC01289" w14:textId="77777777" w:rsidR="00E8174C" w:rsidRPr="00CF03EC" w:rsidRDefault="00E8174C" w:rsidP="00E8174C">
      <w:pPr>
        <w:jc w:val="both"/>
        <w:rPr>
          <w:color w:val="0070C0"/>
          <w:sz w:val="16"/>
          <w:szCs w:val="16"/>
        </w:rPr>
      </w:pPr>
      <w:r w:rsidRPr="00CF03EC">
        <w:rPr>
          <w:color w:val="0070C0"/>
          <w:sz w:val="16"/>
          <w:szCs w:val="16"/>
        </w:rPr>
        <w:t>Фирма знала о нехватке продольной устойчивости и постаралась восполнить ее на следующем типе Пфальц E II, планер которого полностью переделала. Поскольку предыдущая модель шла в основном для морской авиации, увеличили запас топлива. Хотя взлетный вес вырос, за счет установки стосильного Оберурселя U I нагрузка на мощность уменьшилась на 7%, но другие удельные показатели упали. Скорость самолета чуть улучшилась, со 145 до 150 км/ч, дальность нарастили существенно, со 180 до 220 км, продолжительность полета – с одного часа до двух, но за счет снижения крейсерской скорости, да и маневренность, скороподъемность и потолок «просели» (25772).</w:t>
      </w:r>
    </w:p>
    <w:p w14:paraId="3293E53E" w14:textId="77777777" w:rsidR="00E8174C" w:rsidRPr="00CF03EC" w:rsidRDefault="00E8174C" w:rsidP="00E8174C">
      <w:pPr>
        <w:jc w:val="both"/>
        <w:rPr>
          <w:color w:val="0070C0"/>
          <w:sz w:val="16"/>
          <w:szCs w:val="16"/>
        </w:rPr>
      </w:pPr>
    </w:p>
    <w:p w14:paraId="6ECE3C55" w14:textId="77777777" w:rsidR="00E8174C" w:rsidRPr="00CF03EC" w:rsidRDefault="00E8174C" w:rsidP="00E8174C">
      <w:pPr>
        <w:jc w:val="both"/>
        <w:rPr>
          <w:color w:val="0070C0"/>
          <w:sz w:val="16"/>
          <w:szCs w:val="16"/>
        </w:rPr>
      </w:pPr>
      <w:r w:rsidRPr="00CF03EC">
        <w:rPr>
          <w:color w:val="0070C0"/>
          <w:sz w:val="16"/>
          <w:szCs w:val="16"/>
        </w:rPr>
        <w:t>До конца 1915 г. фирма Антона Фоккера сдала 258 самолетов  Фоккер E III, отличавшихся от предшественника зауженным крылом меньшей площади. Очевидно, конструктор хотел поднять скорость за счет уменьшения веса и сопротивления трения, но ничего не вышло – по летным данным самолет не отличался от «двойки» и единственным ее достоинством оказалась поначалу лишь экономия металла и одного квадратного метра обшивочного перкаля на каждой машине.</w:t>
      </w:r>
    </w:p>
    <w:p w14:paraId="78ED8DA6" w14:textId="77777777" w:rsidR="00E8174C" w:rsidRPr="00CF03EC" w:rsidRDefault="00E8174C" w:rsidP="00E8174C">
      <w:pPr>
        <w:jc w:val="both"/>
        <w:rPr>
          <w:color w:val="0070C0"/>
          <w:sz w:val="16"/>
          <w:szCs w:val="16"/>
        </w:rPr>
      </w:pPr>
      <w:r w:rsidRPr="00CF03EC">
        <w:rPr>
          <w:color w:val="0070C0"/>
          <w:sz w:val="16"/>
          <w:szCs w:val="16"/>
        </w:rPr>
        <w:t>Тем не менее, он пошел в большую серию, из которых шесть передали Австро-Венгрии, три – Болгарии, а 22 – Османской Империи. К тому времени Фоккер успел на выделенные из казны деньги расширить свои цехи, чем и объясняется то, что именно модель E III выпущена в таких больших количествах, ведь перед «двойкой» существенных технических преимуществ она не имела.</w:t>
      </w:r>
    </w:p>
    <w:p w14:paraId="4C601469" w14:textId="77777777" w:rsidR="00E8174C" w:rsidRPr="00CF03EC" w:rsidRDefault="00E8174C" w:rsidP="00E8174C">
      <w:pPr>
        <w:jc w:val="both"/>
        <w:rPr>
          <w:color w:val="0070C0"/>
          <w:sz w:val="16"/>
          <w:szCs w:val="16"/>
        </w:rPr>
      </w:pPr>
      <w:r w:rsidRPr="00CF03EC">
        <w:rPr>
          <w:color w:val="0070C0"/>
          <w:sz w:val="16"/>
          <w:szCs w:val="16"/>
        </w:rPr>
        <w:t xml:space="preserve">Но Фоккеров E III стало в строевых частях Кайзеровских воздушных войск более-менее много только к концу 1915-го, а летом того года на всех фронтах имели единовременно максимум 25 «Айндеккеров» этой фирмы, причем первых моделей. А основным немецким поставщиком истребителей в те дни стала фирма «Пфальц </w:t>
      </w:r>
      <w:r w:rsidRPr="00CF03EC">
        <w:rPr>
          <w:color w:val="0070C0"/>
          <w:sz w:val="16"/>
          <w:szCs w:val="16"/>
        </w:rPr>
        <w:lastRenderedPageBreak/>
        <w:t>Флюгцойгверке», основанная в 1913 г. Альфредом Эвербухом и Брудером Эрнстом в городке Шпайер – тогда он относился к Королевству Бавария, ныне это земля Рейнланд-Пфальц (25772).</w:t>
      </w:r>
    </w:p>
    <w:p w14:paraId="1CFBEAC5" w14:textId="77777777" w:rsidR="00E8174C" w:rsidRPr="00CF03EC" w:rsidRDefault="00E8174C" w:rsidP="00E8174C">
      <w:pPr>
        <w:jc w:val="both"/>
        <w:rPr>
          <w:color w:val="0070C0"/>
          <w:sz w:val="16"/>
          <w:szCs w:val="16"/>
        </w:rPr>
      </w:pPr>
    </w:p>
    <w:p w14:paraId="076A4D41" w14:textId="77777777" w:rsidR="00E8174C" w:rsidRPr="00CF03EC" w:rsidRDefault="00E8174C" w:rsidP="00E8174C">
      <w:pPr>
        <w:jc w:val="both"/>
        <w:rPr>
          <w:color w:val="0070C0"/>
          <w:sz w:val="16"/>
          <w:szCs w:val="16"/>
        </w:rPr>
      </w:pPr>
      <w:r w:rsidRPr="00CF03EC">
        <w:rPr>
          <w:color w:val="0070C0"/>
          <w:sz w:val="16"/>
          <w:szCs w:val="16"/>
        </w:rPr>
        <w:t>В конце 1915 г. командование Кайзеровских воздушных войск Германии решилось сводить лучших пилотов Фоккер «Айндеккеров» в специальные подразделения, которые получили название KEK– Kampfeinsitzerkommando, или команда одноместных боевых самолетов. Например, на аэродроме Дуэ во Французской Фландрии сформировали команду KEK3, в который вошли Иммельман, Бёльке и Эрнст Гесс – в будущем ас-истребитель, который на момент своей гибели 23 декабря 1917 г. имел на своем счету 17 сбитых самолетов противника (25772).</w:t>
      </w:r>
    </w:p>
    <w:p w14:paraId="1422673F" w14:textId="77777777" w:rsidR="00E8174C" w:rsidRPr="00CF03EC" w:rsidRDefault="00E8174C" w:rsidP="00E8174C">
      <w:pPr>
        <w:jc w:val="both"/>
        <w:rPr>
          <w:color w:val="0070C0"/>
          <w:sz w:val="16"/>
          <w:szCs w:val="16"/>
        </w:rPr>
      </w:pPr>
    </w:p>
    <w:p w14:paraId="6C2F0BDD" w14:textId="77777777" w:rsidR="00A54B3C" w:rsidRPr="00405303" w:rsidRDefault="00A54B3C" w:rsidP="00C15251">
      <w:pPr>
        <w:jc w:val="both"/>
        <w:rPr>
          <w:bCs/>
          <w:color w:val="002060"/>
          <w:sz w:val="16"/>
          <w:szCs w:val="16"/>
        </w:rPr>
      </w:pPr>
      <w:r w:rsidRPr="00405303">
        <w:rPr>
          <w:bCs/>
          <w:color w:val="002060"/>
          <w:sz w:val="16"/>
          <w:szCs w:val="16"/>
        </w:rPr>
        <w:t>В конце 1915 г. совершил первый полет Хальберштадт Д. II Сименс-Шукерт Э.И. Сименс-Шукерт Р.III (20338).</w:t>
      </w:r>
    </w:p>
    <w:p w14:paraId="63E70B34" w14:textId="77777777" w:rsidR="00A54B3C" w:rsidRPr="00405303" w:rsidRDefault="00A54B3C" w:rsidP="00C15251">
      <w:pPr>
        <w:jc w:val="both"/>
        <w:rPr>
          <w:bCs/>
          <w:color w:val="002060"/>
          <w:sz w:val="16"/>
          <w:szCs w:val="16"/>
        </w:rPr>
      </w:pPr>
    </w:p>
    <w:p w14:paraId="31A5B5B7" w14:textId="77777777" w:rsidR="00A54B3C" w:rsidRPr="00405303" w:rsidRDefault="00A54B3C" w:rsidP="00C15251">
      <w:pPr>
        <w:pStyle w:val="ae"/>
        <w:shd w:val="clear" w:color="auto" w:fill="FFFFFF"/>
        <w:spacing w:before="0" w:beforeAutospacing="0" w:after="0" w:afterAutospacing="0"/>
        <w:jc w:val="both"/>
        <w:rPr>
          <w:bCs/>
          <w:color w:val="002060"/>
          <w:sz w:val="16"/>
          <w:szCs w:val="16"/>
        </w:rPr>
      </w:pPr>
      <w:r w:rsidRPr="00405303">
        <w:rPr>
          <w:bCs/>
          <w:color w:val="002060"/>
          <w:sz w:val="16"/>
          <w:szCs w:val="16"/>
        </w:rPr>
        <w:t>К концу 1915 г. завод «Пфальц» выпустил 74 самолета E I и для всех их «летчиков от бога» уже не хватало. Из частей морской и сухопутной авиации посыпались жалобы на то, что самолет чрезвычайно сложен в управлении и без видимых причин сваливается в штопор. Но дефицит истребителей заставлял держать самолеты Пфальц E I, и они были сняты с летной эксплуатации только 17 августа 1916 г. (22750).</w:t>
      </w:r>
    </w:p>
    <w:p w14:paraId="3D38EF91" w14:textId="77777777" w:rsidR="00A54B3C" w:rsidRPr="00405303" w:rsidRDefault="00A54B3C" w:rsidP="00C15251">
      <w:pPr>
        <w:pStyle w:val="ae"/>
        <w:shd w:val="clear" w:color="auto" w:fill="FFFFFF"/>
        <w:spacing w:before="0" w:beforeAutospacing="0" w:after="0" w:afterAutospacing="0"/>
        <w:jc w:val="both"/>
        <w:rPr>
          <w:bCs/>
          <w:color w:val="002060"/>
          <w:sz w:val="16"/>
          <w:szCs w:val="16"/>
        </w:rPr>
      </w:pPr>
    </w:p>
    <w:p w14:paraId="4C4B6F75" w14:textId="77777777" w:rsidR="00A54B3C" w:rsidRPr="00405303" w:rsidRDefault="00A54B3C" w:rsidP="00C15251">
      <w:pPr>
        <w:pStyle w:val="ae"/>
        <w:shd w:val="clear" w:color="auto" w:fill="FFFFFF"/>
        <w:spacing w:before="0" w:beforeAutospacing="0" w:after="0" w:afterAutospacing="0"/>
        <w:jc w:val="both"/>
        <w:rPr>
          <w:bCs/>
          <w:color w:val="002060"/>
          <w:sz w:val="16"/>
          <w:szCs w:val="16"/>
        </w:rPr>
      </w:pPr>
      <w:r w:rsidRPr="00405303">
        <w:rPr>
          <w:bCs/>
          <w:color w:val="002060"/>
          <w:sz w:val="16"/>
          <w:szCs w:val="16"/>
        </w:rPr>
        <w:t>В конце 1915 г. командование кайзеровских воздушных войск Германии решилось сводить лучших пилотов «Айндеккеров» в специальные подразделения, которые получили название KEK — Kampfeinsitzerkommando, или отряд одноместных боевых самолетов. Например, на аэродроме Дуэ во Фландрии был сформирован KEK 3, в который вошли Иммельман, Бельке и Эрнст Гесс — в будущем ас-истребитель, который на момент своей гибели 23 декабря 1917 г. имел на своем счету 17 сбитых самолетов противника. Но отряды KEK еще не были истребительными подразделениями в полном смысле этого слова. И дело было не только в том, что их пилотов продолжали посылать также на разведку, штурмовку и бомбардировку войск противника — этого было не избежать летчикамистребителям и позже, а в том, что они не могли вести активную борьбу с авиацией противника, поскольку оказались связаны задачей пассивного непосредственного прикрытия войск (22750).</w:t>
      </w:r>
    </w:p>
    <w:p w14:paraId="04FFB6EC" w14:textId="77777777" w:rsidR="00A54B3C" w:rsidRPr="00405303" w:rsidRDefault="00A54B3C" w:rsidP="00C15251">
      <w:pPr>
        <w:pStyle w:val="ae"/>
        <w:shd w:val="clear" w:color="auto" w:fill="FFFFFF"/>
        <w:spacing w:before="0" w:beforeAutospacing="0" w:after="0" w:afterAutospacing="0"/>
        <w:jc w:val="both"/>
        <w:rPr>
          <w:bCs/>
          <w:color w:val="002060"/>
          <w:sz w:val="16"/>
          <w:szCs w:val="16"/>
        </w:rPr>
      </w:pPr>
    </w:p>
    <w:p w14:paraId="61191FEC" w14:textId="77777777" w:rsidR="00A54B3C" w:rsidRPr="00405303" w:rsidRDefault="00A54B3C" w:rsidP="00C15251">
      <w:pPr>
        <w:jc w:val="both"/>
        <w:rPr>
          <w:bCs/>
          <w:color w:val="002060"/>
          <w:sz w:val="16"/>
          <w:szCs w:val="16"/>
        </w:rPr>
      </w:pPr>
      <w:r w:rsidRPr="00405303">
        <w:rPr>
          <w:bCs/>
          <w:color w:val="002060"/>
          <w:sz w:val="16"/>
          <w:szCs w:val="16"/>
        </w:rPr>
        <w:t>В конце 1915 г. Хейнкель приступить к проектированию истребителя Бранденбург KD (Kampf Doppeldecker – боевой биплан) Немецкую Инспекцию авиации он не заинтересовал, но остался австрийский заказчик, естественно, с требованиями делать самолет под мотор AD 6 и пулемет Шварцлозе М07/12 (22825).</w:t>
      </w:r>
    </w:p>
    <w:p w14:paraId="1BEA96AD" w14:textId="77777777" w:rsidR="00A54B3C" w:rsidRPr="00405303" w:rsidRDefault="00A54B3C" w:rsidP="00C15251">
      <w:pPr>
        <w:pStyle w:val="ae"/>
        <w:shd w:val="clear" w:color="auto" w:fill="FFFFFF"/>
        <w:spacing w:before="0" w:beforeAutospacing="0" w:after="0" w:afterAutospacing="0"/>
        <w:jc w:val="both"/>
        <w:rPr>
          <w:bCs/>
          <w:color w:val="002060"/>
          <w:sz w:val="16"/>
          <w:szCs w:val="16"/>
        </w:rPr>
      </w:pPr>
    </w:p>
    <w:p w14:paraId="11A31A95" w14:textId="77777777" w:rsidR="00A54B3C" w:rsidRPr="00405303" w:rsidRDefault="00A54B3C" w:rsidP="00C15251">
      <w:pPr>
        <w:pStyle w:val="ae"/>
        <w:shd w:val="clear" w:color="auto" w:fill="FFFFFF"/>
        <w:spacing w:before="0" w:beforeAutospacing="0" w:after="0" w:afterAutospacing="0"/>
        <w:jc w:val="both"/>
        <w:rPr>
          <w:bCs/>
          <w:color w:val="002060"/>
          <w:sz w:val="16"/>
          <w:szCs w:val="16"/>
        </w:rPr>
      </w:pPr>
      <w:r w:rsidRPr="00405303">
        <w:rPr>
          <w:bCs/>
          <w:color w:val="002060"/>
          <w:sz w:val="16"/>
          <w:szCs w:val="16"/>
        </w:rPr>
        <w:t>В конце 1915 г., закончив испытания и подготовку серийного производства «большого» бомбардировщика по проекту 5A15, компания «Румплер» в пригороде Берлина Йоханништале приступила к проектированию его усовершенствованного варианта 5А16. Главным отличием была замена моторов Мерседес D III более мощными Бенц Bz IV – по 220 против 160 л.с. Соответственно переделали и другие системы силовой установки, а запас ГСМ увеличили из расчета сохранения продолжительности полета.</w:t>
      </w:r>
    </w:p>
    <w:p w14:paraId="393F6E4B" w14:textId="77777777" w:rsidR="00A54B3C" w:rsidRPr="00405303" w:rsidRDefault="00A54B3C" w:rsidP="00C15251">
      <w:pPr>
        <w:pStyle w:val="ae"/>
        <w:shd w:val="clear" w:color="auto" w:fill="FFFFFF"/>
        <w:spacing w:before="0" w:beforeAutospacing="0" w:after="0" w:afterAutospacing="0"/>
        <w:jc w:val="both"/>
        <w:rPr>
          <w:bCs/>
          <w:color w:val="002060"/>
          <w:sz w:val="16"/>
          <w:szCs w:val="16"/>
        </w:rPr>
      </w:pPr>
      <w:r w:rsidRPr="00405303">
        <w:rPr>
          <w:bCs/>
          <w:color w:val="002060"/>
          <w:sz w:val="16"/>
          <w:szCs w:val="16"/>
        </w:rPr>
        <w:t>В 1916 г. опытный образец совершил первый полет. Изменения по сравнению с прототипом были невелики, испытания он прошел быстро и на октябрь 1916 г. в строю Люфтваффе числилось уже 10 таких бомбардировщиков, получивших официальное обозначение Румплер G II, а всего их было построено 72. Со своими сравнительно высокими скоростями полета они могли применяться на самых напряженных участках Западного фронта, дожив там как минимум до середины 1918 г. Для «Готы» это уже был конкурент весьма серьезный, и выручала только крайняя перегруженность его мощностей другими заказами – прежде всего на одномоторные сухопутные и морские ближние разведчики и легкие бомбардировщики, выпуск которых на «Румплере» исчислялся сотнями в год.</w:t>
      </w:r>
    </w:p>
    <w:p w14:paraId="5176F482" w14:textId="77777777" w:rsidR="00A54B3C" w:rsidRPr="00405303" w:rsidRDefault="00A54B3C" w:rsidP="00C15251">
      <w:pPr>
        <w:pStyle w:val="ae"/>
        <w:shd w:val="clear" w:color="auto" w:fill="FFFFFF"/>
        <w:spacing w:before="0" w:beforeAutospacing="0" w:after="0" w:afterAutospacing="0"/>
        <w:jc w:val="both"/>
        <w:rPr>
          <w:bCs/>
          <w:color w:val="002060"/>
          <w:sz w:val="16"/>
          <w:szCs w:val="16"/>
        </w:rPr>
      </w:pPr>
      <w:r w:rsidRPr="00405303">
        <w:rPr>
          <w:bCs/>
          <w:color w:val="002060"/>
          <w:sz w:val="16"/>
          <w:szCs w:val="16"/>
        </w:rPr>
        <w:t>В том же 1916 г. это предприятие сделало еще один «большой» бомбардировщик. Одновременно с самолетом Румплер 5A16 под более мощные 260-сильные моторы Мерседес D IVa проектировался самолет 6G2. Все основные изменения предполагались в силовой установке, но необходимость сохранить продолжительность полета заставила снова увеличить запас топлива, и вырос взлетный вес. Его попытались уменьшить за счет хорд крыльев, заузив их, но это дало обратный эффект – их силовые элементы пришлось делать мощнее. С увеличившимся взлетным весом летные данные несколько снизились, но оставались достаточно хороши, как и устойчивость, и управляемость. Однако выросли нагрузки на штурвал по крену, и пришлось сделать новые элероны с роговыми компенсаторами, что потянуло за собой и небольшую переделку консолей верхних крыльев.</w:t>
      </w:r>
    </w:p>
    <w:p w14:paraId="5B8F0115" w14:textId="77777777" w:rsidR="00A54B3C" w:rsidRPr="00405303" w:rsidRDefault="00A54B3C" w:rsidP="00C15251">
      <w:pPr>
        <w:pStyle w:val="ae"/>
        <w:shd w:val="clear" w:color="auto" w:fill="FFFFFF"/>
        <w:spacing w:before="0" w:beforeAutospacing="0" w:after="0" w:afterAutospacing="0"/>
        <w:jc w:val="both"/>
        <w:rPr>
          <w:bCs/>
          <w:color w:val="002060"/>
          <w:sz w:val="16"/>
          <w:szCs w:val="16"/>
        </w:rPr>
      </w:pPr>
      <w:r w:rsidRPr="00405303">
        <w:rPr>
          <w:bCs/>
          <w:color w:val="002060"/>
          <w:sz w:val="16"/>
          <w:szCs w:val="16"/>
        </w:rPr>
        <w:t>Летные данные по сравнению с типом 5A16 несколько упали, тем не менее, самолет был принят на вооружение, и Инспекция ВВС присвоила ему обозначение Румплер G II (23078).</w:t>
      </w:r>
    </w:p>
    <w:p w14:paraId="18296503" w14:textId="77777777" w:rsidR="00A54B3C" w:rsidRPr="00405303" w:rsidRDefault="00A54B3C" w:rsidP="00C15251">
      <w:pPr>
        <w:pStyle w:val="ae"/>
        <w:shd w:val="clear" w:color="auto" w:fill="FFFFFF"/>
        <w:spacing w:before="0" w:beforeAutospacing="0" w:after="0" w:afterAutospacing="0"/>
        <w:jc w:val="both"/>
        <w:rPr>
          <w:bCs/>
          <w:color w:val="002060"/>
          <w:sz w:val="16"/>
          <w:szCs w:val="16"/>
        </w:rPr>
      </w:pPr>
    </w:p>
    <w:p w14:paraId="0714EA87" w14:textId="77777777" w:rsidR="00A54B3C" w:rsidRPr="00405303" w:rsidRDefault="00A54B3C" w:rsidP="00C15251">
      <w:pPr>
        <w:pStyle w:val="ae"/>
        <w:shd w:val="clear" w:color="auto" w:fill="FFFFFF"/>
        <w:spacing w:before="0" w:beforeAutospacing="0" w:after="0" w:afterAutospacing="0"/>
        <w:jc w:val="both"/>
        <w:rPr>
          <w:bCs/>
          <w:color w:val="002060"/>
          <w:sz w:val="16"/>
          <w:szCs w:val="16"/>
        </w:rPr>
      </w:pPr>
      <w:r w:rsidRPr="00405303">
        <w:rPr>
          <w:bCs/>
          <w:color w:val="002060"/>
          <w:sz w:val="16"/>
          <w:szCs w:val="16"/>
        </w:rPr>
        <w:t>С конца 1915 по 1917 гг. в странах оси разработали и построили 16 типов морских одноместных истребителей. В серийное производство для немецкой и австро-венгерской морской авиации были запущены три поплавковых самолета и две летающие лодки — с весны 1916 и по май 1918 гг. их поставили 367 штук. Из них 169 были разработки фирмы «Ганза-Бранденбург», которая перекрыла объем выпуска Альбатросов W 4 почти в полтора раза, а Румплеров 6В — вдвое. И все же этого оказалось недостаточно, для того чтобы оказать сколь-либо значимое противодействие гидроавиации Антанты, особенно английской и итальянской, для которых всю войну плохая погода представляла больше опасности, чем вражеские пилоты. Немцы с конца 1915 г. не оставляли попыток улучшить качество своих морских истребителей, но 11 их типов так и остались опытными. Самолеты Гота WD 10, Саблатниг SF 4, Фридрихсхафен FF.43, Ганза-Бранденбург W 11, W 16, W 17 и W 25, ЛюбекТравемюнде F 3 (ED), LFG Роланд WD, Люфт Торпедо SD 1 «Торп», а также Альбатрос W 8 по разным причинам не были приняты на вооружение, хотя доводка некоторых продолжалась до 1918 г. А всего опытных морских истребителей Германия сделала 34 штуки — соотношение с серийными почти 1 : 10, а результаты очень скромные, как и общий эффект от применения упомянутых здесь самолетов в небе над морем Великой войны (22841).</w:t>
      </w:r>
    </w:p>
    <w:p w14:paraId="4875E6A1" w14:textId="77777777" w:rsidR="00A54B3C" w:rsidRPr="00405303" w:rsidRDefault="00A54B3C" w:rsidP="00C15251">
      <w:pPr>
        <w:pStyle w:val="ae"/>
        <w:shd w:val="clear" w:color="auto" w:fill="FFFFFF"/>
        <w:spacing w:before="0" w:beforeAutospacing="0" w:after="0" w:afterAutospacing="0"/>
        <w:jc w:val="both"/>
        <w:rPr>
          <w:bCs/>
          <w:color w:val="002060"/>
          <w:sz w:val="16"/>
          <w:szCs w:val="16"/>
        </w:rPr>
      </w:pPr>
    </w:p>
    <w:p w14:paraId="73CFE16E" w14:textId="2852F7FA" w:rsidR="007351D7" w:rsidRPr="00405303" w:rsidRDefault="007351D7" w:rsidP="00C15251">
      <w:pPr>
        <w:jc w:val="both"/>
        <w:rPr>
          <w:bCs/>
          <w:color w:val="002060"/>
          <w:sz w:val="16"/>
          <w:szCs w:val="16"/>
        </w:rPr>
      </w:pPr>
      <w:r w:rsidRPr="00405303">
        <w:rPr>
          <w:bCs/>
          <w:color w:val="002060"/>
          <w:sz w:val="16"/>
          <w:szCs w:val="16"/>
        </w:rPr>
        <w:t>В конце 1915 года в болгарском городе Ямболи началось строительство базы для цеппелинов, которые должны были взаимодействовать с германскими подводными лодками, атакующими русский флот на Черном море (11324).</w:t>
      </w:r>
    </w:p>
    <w:p w14:paraId="090822FD" w14:textId="77777777" w:rsidR="007351D7" w:rsidRPr="00405303" w:rsidRDefault="007351D7" w:rsidP="00C15251">
      <w:pPr>
        <w:jc w:val="both"/>
        <w:rPr>
          <w:bCs/>
          <w:i/>
          <w:color w:val="002060"/>
          <w:sz w:val="16"/>
          <w:szCs w:val="16"/>
        </w:rPr>
      </w:pPr>
    </w:p>
    <w:p w14:paraId="1832F84A" w14:textId="37284078" w:rsidR="007351D7" w:rsidRPr="00405303" w:rsidRDefault="007351D7" w:rsidP="00C15251">
      <w:pPr>
        <w:jc w:val="both"/>
        <w:rPr>
          <w:bCs/>
          <w:color w:val="002060"/>
          <w:sz w:val="16"/>
          <w:szCs w:val="16"/>
        </w:rPr>
      </w:pPr>
      <w:r w:rsidRPr="00405303">
        <w:rPr>
          <w:bCs/>
          <w:color w:val="002060"/>
          <w:sz w:val="16"/>
          <w:szCs w:val="16"/>
        </w:rPr>
        <w:t>В конце 1915 года после постройки эллинга около Темешвара дирижабли получили возможность действовать на Балканском полуострове. LZ-81 проявил себя тем, что в короткий срок доставил одного дипломата с важными политическими поручениями в Болгарию и обратно. 31 января, 17 марта и 1 мая 1916 года цеппелин LZ-85 бомбардировал греческий порт Солоники, но в мае противовоздушная оборона города смогла положить конец этим налетам, сбив немецкий дирижабль (11324).</w:t>
      </w:r>
    </w:p>
    <w:p w14:paraId="766BE115" w14:textId="77777777" w:rsidR="007351D7" w:rsidRPr="00405303" w:rsidRDefault="007351D7" w:rsidP="00C15251">
      <w:pPr>
        <w:shd w:val="clear" w:color="auto" w:fill="FFFFFF"/>
        <w:jc w:val="both"/>
        <w:rPr>
          <w:bCs/>
          <w:i/>
          <w:color w:val="002060"/>
          <w:sz w:val="16"/>
          <w:szCs w:val="16"/>
        </w:rPr>
      </w:pPr>
    </w:p>
    <w:p w14:paraId="2A38A21C" w14:textId="77777777" w:rsidR="00FB79CF" w:rsidRPr="00405303" w:rsidRDefault="00FB79CF" w:rsidP="00C15251">
      <w:pPr>
        <w:jc w:val="both"/>
        <w:rPr>
          <w:bCs/>
          <w:color w:val="002060"/>
          <w:sz w:val="16"/>
          <w:szCs w:val="16"/>
        </w:rPr>
      </w:pPr>
      <w:r w:rsidRPr="00405303">
        <w:rPr>
          <w:bCs/>
          <w:color w:val="002060"/>
          <w:sz w:val="16"/>
          <w:szCs w:val="16"/>
        </w:rPr>
        <w:t>В конце 1915 г. первые опытные многомоторные «Цеппелин-Штаакены» и «Сименс-Шукерты», получив</w:t>
      </w:r>
      <w:r w:rsidRPr="00405303">
        <w:rPr>
          <w:bCs/>
          <w:color w:val="002060"/>
          <w:sz w:val="16"/>
          <w:szCs w:val="16"/>
        </w:rPr>
        <w:softHyphen/>
        <w:t>шие в Германии обозначение «Р» от слова «Ризенфлюгцойг» — гигантский самолет, попал на Во</w:t>
      </w:r>
      <w:r w:rsidRPr="00405303">
        <w:rPr>
          <w:bCs/>
          <w:color w:val="002060"/>
          <w:sz w:val="16"/>
          <w:szCs w:val="16"/>
        </w:rPr>
        <w:softHyphen/>
        <w:t>сточный фронт, но после многочисленных поломок и аварий в марте 1916 г. воз</w:t>
      </w:r>
      <w:r w:rsidRPr="00405303">
        <w:rPr>
          <w:bCs/>
          <w:color w:val="002060"/>
          <w:sz w:val="16"/>
          <w:szCs w:val="16"/>
        </w:rPr>
        <w:softHyphen/>
        <w:t>вращен на завод. Он так и не успел совершить ни одного боевого вылета. Боевые действия на этих машинах удалось начать лишь в августе 1916 г., когда наконец после доработки стали поступать самолеты «Р», годные для практического применения. Немецкое командова</w:t>
      </w:r>
      <w:r w:rsidRPr="00405303">
        <w:rPr>
          <w:bCs/>
          <w:color w:val="002060"/>
          <w:sz w:val="16"/>
          <w:szCs w:val="16"/>
        </w:rPr>
        <w:softHyphen/>
        <w:t>ние образовало два «Р-эскадрона». Оба они действовали на Восточном фронте. Самолеты применялись для нале</w:t>
      </w:r>
      <w:r w:rsidRPr="00405303">
        <w:rPr>
          <w:bCs/>
          <w:color w:val="002060"/>
          <w:sz w:val="16"/>
          <w:szCs w:val="16"/>
        </w:rPr>
        <w:softHyphen/>
        <w:t>тов на Ригу и против русских кораблей в заливе. По своей организационной структуре и численности «Р-эскадроны» значительно уступали эскадре воздушных кораблей, так как их комплектование обеспечивалось штучными опытными образцами, не все из которых оказались работоспособными. Только в 1917 г. немцам удалось выпустить серию из 18 сравнительно однотип</w:t>
      </w:r>
      <w:r w:rsidRPr="00405303">
        <w:rPr>
          <w:bCs/>
          <w:color w:val="002060"/>
          <w:sz w:val="16"/>
          <w:szCs w:val="16"/>
        </w:rPr>
        <w:softHyphen/>
        <w:t>ных самолетов «Цеппелин-Штаакен Р-IV» (24177).</w:t>
      </w:r>
    </w:p>
    <w:p w14:paraId="59AFE2F0" w14:textId="77777777" w:rsidR="00FB79CF" w:rsidRPr="00405303" w:rsidRDefault="00FB79CF" w:rsidP="00C15251">
      <w:pPr>
        <w:jc w:val="both"/>
        <w:rPr>
          <w:bCs/>
          <w:color w:val="002060"/>
          <w:sz w:val="16"/>
          <w:szCs w:val="16"/>
          <w:lang w:bidi="en-US"/>
        </w:rPr>
      </w:pPr>
    </w:p>
    <w:p w14:paraId="11B6FFCA"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Англии:</w:t>
      </w:r>
    </w:p>
    <w:p w14:paraId="347F9D49" w14:textId="77777777" w:rsidR="004B4E35" w:rsidRPr="00405303" w:rsidRDefault="004B4E35" w:rsidP="00C15251">
      <w:pPr>
        <w:jc w:val="both"/>
        <w:rPr>
          <w:bCs/>
          <w:i/>
          <w:color w:val="002060"/>
          <w:sz w:val="16"/>
          <w:szCs w:val="16"/>
        </w:rPr>
      </w:pPr>
    </w:p>
    <w:p w14:paraId="1EC1B624" w14:textId="08AD3CE1" w:rsidR="004B4E35" w:rsidRPr="00405303" w:rsidRDefault="009E6F82" w:rsidP="00C15251">
      <w:pPr>
        <w:jc w:val="both"/>
        <w:rPr>
          <w:bCs/>
          <w:color w:val="002060"/>
          <w:sz w:val="16"/>
          <w:szCs w:val="16"/>
        </w:rPr>
      </w:pPr>
      <w:r w:rsidRPr="00405303">
        <w:rPr>
          <w:bCs/>
          <w:color w:val="002060"/>
          <w:sz w:val="16"/>
          <w:szCs w:val="16"/>
        </w:rPr>
        <w:t xml:space="preserve">К концу 1915 года на базе Кэпел в эксплуатации находились 5 дирижаблей, в Поулгейте — 4 и в Маркизе — 1. Для патрулирования Северного пролива в июле 1915 года на западном побережье Англии была построена база в Льюс Бэй. Она начала функционировать в конце года, приняв в свои эллинги 3 дирижабля. На случай </w:t>
      </w:r>
      <w:r w:rsidRPr="00405303">
        <w:rPr>
          <w:bCs/>
          <w:color w:val="002060"/>
          <w:sz w:val="16"/>
          <w:szCs w:val="16"/>
        </w:rPr>
        <w:lastRenderedPageBreak/>
        <w:t>непредвиденных обстоятельств на ирландском побережье в Ларне, против Льюс Бэй, был построен переносной эллинг; на острове Англси организована база в сентябре 1915 года, и с этого момента дирижабли стали нести службу. К концу года их стало четыре (11324).</w:t>
      </w:r>
    </w:p>
    <w:p w14:paraId="08753489" w14:textId="77777777" w:rsidR="004B4E35" w:rsidRPr="00405303" w:rsidRDefault="004B4E35" w:rsidP="00C15251">
      <w:pPr>
        <w:jc w:val="both"/>
        <w:rPr>
          <w:bCs/>
          <w:i/>
          <w:color w:val="002060"/>
          <w:sz w:val="16"/>
          <w:szCs w:val="16"/>
        </w:rPr>
      </w:pPr>
    </w:p>
    <w:p w14:paraId="0FD2F826" w14:textId="1829F3D6" w:rsidR="004B4E35" w:rsidRPr="00405303" w:rsidRDefault="009E6F82" w:rsidP="00C15251">
      <w:pPr>
        <w:jc w:val="both"/>
        <w:rPr>
          <w:bCs/>
          <w:color w:val="002060"/>
          <w:sz w:val="16"/>
          <w:szCs w:val="16"/>
        </w:rPr>
      </w:pPr>
      <w:r w:rsidRPr="00405303">
        <w:rPr>
          <w:bCs/>
          <w:color w:val="002060"/>
          <w:sz w:val="16"/>
          <w:szCs w:val="16"/>
        </w:rPr>
        <w:t>В самом конце 1915 и в начале 1916 гг. в Англии появился первый опытный одноместный истребитель Де Хевилленд ДН-2 с толкающим винтом, хвостовым оперением на ферме и с несинхронным полуподвижным пулеметом, а во Франции — одноместный истребитель Ньюпор ПС с несинхронным пулеметом, расположенным на верхнем крыле би-планной коробки. В Германии же строились монопланы Фоккер Е-1 и Е-2, модифицированные спортивные самолеты М-14, спроектиро</w:t>
      </w:r>
      <w:r w:rsidRPr="00405303">
        <w:rPr>
          <w:bCs/>
          <w:color w:val="002060"/>
          <w:sz w:val="16"/>
          <w:szCs w:val="16"/>
        </w:rPr>
        <w:softHyphen/>
        <w:t>ванные еще до начала войны и наскоро приспособленные для веде</w:t>
      </w:r>
      <w:r w:rsidRPr="00405303">
        <w:rPr>
          <w:bCs/>
          <w:color w:val="002060"/>
          <w:sz w:val="16"/>
          <w:szCs w:val="16"/>
        </w:rPr>
        <w:softHyphen/>
        <w:t>ния воздушного боя. Первый немецкий истребитель Фоккер Д-2 был построен только весной 1916 г. Сравнение основных характе</w:t>
      </w:r>
      <w:r w:rsidRPr="00405303">
        <w:rPr>
          <w:bCs/>
          <w:color w:val="002060"/>
          <w:sz w:val="16"/>
          <w:szCs w:val="16"/>
        </w:rPr>
        <w:softHyphen/>
        <w:t>ристик первых самолетов-истребителей показано в приведенной ниже таблице.</w:t>
      </w:r>
    </w:p>
    <w:p w14:paraId="2B8673D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Первые самолеты-истребители (1915—1916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15"/>
        <w:gridCol w:w="1315"/>
        <w:gridCol w:w="413"/>
        <w:gridCol w:w="432"/>
        <w:gridCol w:w="422"/>
        <w:gridCol w:w="547"/>
        <w:gridCol w:w="547"/>
        <w:gridCol w:w="557"/>
        <w:gridCol w:w="1104"/>
      </w:tblGrid>
      <w:tr w:rsidR="004B4E35" w:rsidRPr="00405303" w14:paraId="6F323697" w14:textId="77777777">
        <w:trPr>
          <w:trHeight w:val="1094"/>
        </w:trPr>
        <w:tc>
          <w:tcPr>
            <w:tcW w:w="1315" w:type="dxa"/>
          </w:tcPr>
          <w:p w14:paraId="6016D51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Марка, страна</w:t>
            </w:r>
          </w:p>
        </w:tc>
        <w:tc>
          <w:tcPr>
            <w:tcW w:w="1315" w:type="dxa"/>
          </w:tcPr>
          <w:p w14:paraId="66FAF42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Время появления</w:t>
            </w:r>
          </w:p>
        </w:tc>
        <w:tc>
          <w:tcPr>
            <w:tcW w:w="413" w:type="dxa"/>
          </w:tcPr>
          <w:p w14:paraId="4476747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Мощность двигателя, л. с.</w:t>
            </w:r>
          </w:p>
        </w:tc>
        <w:tc>
          <w:tcPr>
            <w:tcW w:w="432" w:type="dxa"/>
          </w:tcPr>
          <w:p w14:paraId="0F5E8DF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Максимальная скорость, км 1 час</w:t>
            </w:r>
          </w:p>
        </w:tc>
        <w:tc>
          <w:tcPr>
            <w:tcW w:w="422" w:type="dxa"/>
          </w:tcPr>
          <w:p w14:paraId="3979E27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Полетный вес, кг</w:t>
            </w:r>
          </w:p>
        </w:tc>
        <w:tc>
          <w:tcPr>
            <w:tcW w:w="547" w:type="dxa"/>
          </w:tcPr>
          <w:p w14:paraId="13F130D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Площадь крыла, м</w:t>
            </w:r>
            <w:r w:rsidRPr="00405303">
              <w:rPr>
                <w:bCs/>
                <w:color w:val="002060"/>
                <w:sz w:val="16"/>
                <w:szCs w:val="16"/>
                <w:vertAlign w:val="superscript"/>
              </w:rPr>
              <w:t>2</w:t>
            </w:r>
          </w:p>
        </w:tc>
        <w:tc>
          <w:tcPr>
            <w:tcW w:w="547" w:type="dxa"/>
          </w:tcPr>
          <w:p w14:paraId="26EA900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Удрльчгя на</w:t>
            </w:r>
            <w:r w:rsidRPr="00405303">
              <w:rPr>
                <w:bCs/>
                <w:color w:val="002060"/>
                <w:sz w:val="16"/>
                <w:szCs w:val="16"/>
              </w:rPr>
              <w:softHyphen/>
              <w:t>грузка на крыло, кг/м</w:t>
            </w:r>
            <w:r w:rsidRPr="00405303">
              <w:rPr>
                <w:bCs/>
                <w:color w:val="002060"/>
                <w:sz w:val="16"/>
                <w:szCs w:val="16"/>
                <w:vertAlign w:val="superscript"/>
              </w:rPr>
              <w:t>2</w:t>
            </w:r>
          </w:p>
        </w:tc>
        <w:tc>
          <w:tcPr>
            <w:tcW w:w="557" w:type="dxa"/>
          </w:tcPr>
          <w:p w14:paraId="0FA3342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Удельная на</w:t>
            </w:r>
            <w:r w:rsidRPr="00405303">
              <w:rPr>
                <w:bCs/>
                <w:color w:val="002060"/>
                <w:sz w:val="16"/>
                <w:szCs w:val="16"/>
              </w:rPr>
              <w:softHyphen/>
              <w:t>грузка на I л. с. кг/л. с.</w:t>
            </w:r>
          </w:p>
        </w:tc>
        <w:tc>
          <w:tcPr>
            <w:tcW w:w="1104" w:type="dxa"/>
          </w:tcPr>
          <w:p w14:paraId="03159CE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Вооружение</w:t>
            </w:r>
          </w:p>
        </w:tc>
      </w:tr>
      <w:tr w:rsidR="004B4E35" w:rsidRPr="00405303" w14:paraId="478C4CBE" w14:textId="77777777">
        <w:trPr>
          <w:trHeight w:val="442"/>
        </w:trPr>
        <w:tc>
          <w:tcPr>
            <w:tcW w:w="1315" w:type="dxa"/>
          </w:tcPr>
          <w:p w14:paraId="746540C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РБВЗ-С-16,</w:t>
            </w:r>
          </w:p>
        </w:tc>
        <w:tc>
          <w:tcPr>
            <w:tcW w:w="1315" w:type="dxa"/>
          </w:tcPr>
          <w:p w14:paraId="6B73283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Январь 1915</w:t>
            </w:r>
          </w:p>
        </w:tc>
        <w:tc>
          <w:tcPr>
            <w:tcW w:w="413" w:type="dxa"/>
          </w:tcPr>
          <w:p w14:paraId="3BDAFE6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80</w:t>
            </w:r>
          </w:p>
        </w:tc>
        <w:tc>
          <w:tcPr>
            <w:tcW w:w="432" w:type="dxa"/>
          </w:tcPr>
          <w:p w14:paraId="5B5DA9D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153</w:t>
            </w:r>
          </w:p>
        </w:tc>
        <w:tc>
          <w:tcPr>
            <w:tcW w:w="422" w:type="dxa"/>
          </w:tcPr>
          <w:p w14:paraId="3348F4A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596</w:t>
            </w:r>
          </w:p>
        </w:tc>
        <w:tc>
          <w:tcPr>
            <w:tcW w:w="547" w:type="dxa"/>
          </w:tcPr>
          <w:p w14:paraId="10DE347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27,3</w:t>
            </w:r>
          </w:p>
        </w:tc>
        <w:tc>
          <w:tcPr>
            <w:tcW w:w="547" w:type="dxa"/>
          </w:tcPr>
          <w:p w14:paraId="37904B0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21,8</w:t>
            </w:r>
          </w:p>
        </w:tc>
        <w:tc>
          <w:tcPr>
            <w:tcW w:w="557" w:type="dxa"/>
          </w:tcPr>
          <w:p w14:paraId="359ACDB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7,45</w:t>
            </w:r>
          </w:p>
        </w:tc>
        <w:tc>
          <w:tcPr>
            <w:tcW w:w="1104" w:type="dxa"/>
          </w:tcPr>
          <w:p w14:paraId="0ED2C99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синхрон-</w:t>
            </w:r>
          </w:p>
        </w:tc>
      </w:tr>
      <w:tr w:rsidR="004B4E35" w:rsidRPr="00405303" w14:paraId="5375B8F6" w14:textId="77777777">
        <w:trPr>
          <w:trHeight w:val="182"/>
        </w:trPr>
        <w:tc>
          <w:tcPr>
            <w:tcW w:w="1315" w:type="dxa"/>
          </w:tcPr>
          <w:p w14:paraId="6C68F94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Россия</w:t>
            </w:r>
          </w:p>
        </w:tc>
        <w:tc>
          <w:tcPr>
            <w:tcW w:w="1315" w:type="dxa"/>
          </w:tcPr>
          <w:p w14:paraId="122FF3FC" w14:textId="77777777" w:rsidR="004B4E35" w:rsidRPr="00405303" w:rsidRDefault="004B4E35" w:rsidP="00C15251">
            <w:pPr>
              <w:shd w:val="clear" w:color="auto" w:fill="FFFFFF"/>
              <w:jc w:val="both"/>
              <w:rPr>
                <w:bCs/>
                <w:color w:val="002060"/>
                <w:sz w:val="16"/>
                <w:szCs w:val="16"/>
              </w:rPr>
            </w:pPr>
          </w:p>
        </w:tc>
        <w:tc>
          <w:tcPr>
            <w:tcW w:w="413" w:type="dxa"/>
          </w:tcPr>
          <w:p w14:paraId="54AFC045" w14:textId="77777777" w:rsidR="004B4E35" w:rsidRPr="00405303" w:rsidRDefault="004B4E35" w:rsidP="00C15251">
            <w:pPr>
              <w:shd w:val="clear" w:color="auto" w:fill="FFFFFF"/>
              <w:jc w:val="both"/>
              <w:rPr>
                <w:bCs/>
                <w:color w:val="002060"/>
                <w:sz w:val="16"/>
                <w:szCs w:val="16"/>
              </w:rPr>
            </w:pPr>
          </w:p>
        </w:tc>
        <w:tc>
          <w:tcPr>
            <w:tcW w:w="432" w:type="dxa"/>
          </w:tcPr>
          <w:p w14:paraId="756FF9F8" w14:textId="77777777" w:rsidR="004B4E35" w:rsidRPr="00405303" w:rsidRDefault="004B4E35" w:rsidP="00C15251">
            <w:pPr>
              <w:shd w:val="clear" w:color="auto" w:fill="FFFFFF"/>
              <w:jc w:val="both"/>
              <w:rPr>
                <w:bCs/>
                <w:color w:val="002060"/>
                <w:sz w:val="16"/>
                <w:szCs w:val="16"/>
              </w:rPr>
            </w:pPr>
          </w:p>
        </w:tc>
        <w:tc>
          <w:tcPr>
            <w:tcW w:w="422" w:type="dxa"/>
          </w:tcPr>
          <w:p w14:paraId="63D5964E" w14:textId="77777777" w:rsidR="004B4E35" w:rsidRPr="00405303" w:rsidRDefault="004B4E35" w:rsidP="00C15251">
            <w:pPr>
              <w:shd w:val="clear" w:color="auto" w:fill="FFFFFF"/>
              <w:jc w:val="both"/>
              <w:rPr>
                <w:bCs/>
                <w:color w:val="002060"/>
                <w:sz w:val="16"/>
                <w:szCs w:val="16"/>
              </w:rPr>
            </w:pPr>
          </w:p>
        </w:tc>
        <w:tc>
          <w:tcPr>
            <w:tcW w:w="547" w:type="dxa"/>
          </w:tcPr>
          <w:p w14:paraId="13F407E1" w14:textId="77777777" w:rsidR="004B4E35" w:rsidRPr="00405303" w:rsidRDefault="004B4E35" w:rsidP="00C15251">
            <w:pPr>
              <w:shd w:val="clear" w:color="auto" w:fill="FFFFFF"/>
              <w:jc w:val="both"/>
              <w:rPr>
                <w:bCs/>
                <w:color w:val="002060"/>
                <w:sz w:val="16"/>
                <w:szCs w:val="16"/>
              </w:rPr>
            </w:pPr>
          </w:p>
        </w:tc>
        <w:tc>
          <w:tcPr>
            <w:tcW w:w="547" w:type="dxa"/>
          </w:tcPr>
          <w:p w14:paraId="13DEF88A" w14:textId="77777777" w:rsidR="004B4E35" w:rsidRPr="00405303" w:rsidRDefault="004B4E35" w:rsidP="00C15251">
            <w:pPr>
              <w:shd w:val="clear" w:color="auto" w:fill="FFFFFF"/>
              <w:jc w:val="both"/>
              <w:rPr>
                <w:bCs/>
                <w:color w:val="002060"/>
                <w:sz w:val="16"/>
                <w:szCs w:val="16"/>
              </w:rPr>
            </w:pPr>
          </w:p>
        </w:tc>
        <w:tc>
          <w:tcPr>
            <w:tcW w:w="557" w:type="dxa"/>
          </w:tcPr>
          <w:p w14:paraId="6BF189A4" w14:textId="77777777" w:rsidR="004B4E35" w:rsidRPr="00405303" w:rsidRDefault="004B4E35" w:rsidP="00C15251">
            <w:pPr>
              <w:shd w:val="clear" w:color="auto" w:fill="FFFFFF"/>
              <w:jc w:val="both"/>
              <w:rPr>
                <w:bCs/>
                <w:color w:val="002060"/>
                <w:sz w:val="16"/>
                <w:szCs w:val="16"/>
              </w:rPr>
            </w:pPr>
          </w:p>
        </w:tc>
        <w:tc>
          <w:tcPr>
            <w:tcW w:w="1104" w:type="dxa"/>
          </w:tcPr>
          <w:p w14:paraId="2C3A4BA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ный, 1 не-</w:t>
            </w:r>
          </w:p>
        </w:tc>
      </w:tr>
      <w:tr w:rsidR="004B4E35" w:rsidRPr="00405303" w14:paraId="028DA9BD" w14:textId="77777777">
        <w:trPr>
          <w:trHeight w:val="182"/>
        </w:trPr>
        <w:tc>
          <w:tcPr>
            <w:tcW w:w="1315" w:type="dxa"/>
          </w:tcPr>
          <w:p w14:paraId="66458709" w14:textId="77777777" w:rsidR="004B4E35" w:rsidRPr="00405303" w:rsidRDefault="004B4E35" w:rsidP="00C15251">
            <w:pPr>
              <w:shd w:val="clear" w:color="auto" w:fill="FFFFFF"/>
              <w:jc w:val="both"/>
              <w:rPr>
                <w:bCs/>
                <w:color w:val="002060"/>
                <w:sz w:val="16"/>
                <w:szCs w:val="16"/>
              </w:rPr>
            </w:pPr>
          </w:p>
        </w:tc>
        <w:tc>
          <w:tcPr>
            <w:tcW w:w="1315" w:type="dxa"/>
          </w:tcPr>
          <w:p w14:paraId="145A6406" w14:textId="77777777" w:rsidR="004B4E35" w:rsidRPr="00405303" w:rsidRDefault="004B4E35" w:rsidP="00C15251">
            <w:pPr>
              <w:shd w:val="clear" w:color="auto" w:fill="FFFFFF"/>
              <w:jc w:val="both"/>
              <w:rPr>
                <w:bCs/>
                <w:color w:val="002060"/>
                <w:sz w:val="16"/>
                <w:szCs w:val="16"/>
              </w:rPr>
            </w:pPr>
          </w:p>
        </w:tc>
        <w:tc>
          <w:tcPr>
            <w:tcW w:w="413" w:type="dxa"/>
          </w:tcPr>
          <w:p w14:paraId="6ABC0867" w14:textId="77777777" w:rsidR="004B4E35" w:rsidRPr="00405303" w:rsidRDefault="004B4E35" w:rsidP="00C15251">
            <w:pPr>
              <w:shd w:val="clear" w:color="auto" w:fill="FFFFFF"/>
              <w:jc w:val="both"/>
              <w:rPr>
                <w:bCs/>
                <w:color w:val="002060"/>
                <w:sz w:val="16"/>
                <w:szCs w:val="16"/>
              </w:rPr>
            </w:pPr>
          </w:p>
        </w:tc>
        <w:tc>
          <w:tcPr>
            <w:tcW w:w="432" w:type="dxa"/>
          </w:tcPr>
          <w:p w14:paraId="4A9B4989" w14:textId="77777777" w:rsidR="004B4E35" w:rsidRPr="00405303" w:rsidRDefault="004B4E35" w:rsidP="00C15251">
            <w:pPr>
              <w:shd w:val="clear" w:color="auto" w:fill="FFFFFF"/>
              <w:jc w:val="both"/>
              <w:rPr>
                <w:bCs/>
                <w:color w:val="002060"/>
                <w:sz w:val="16"/>
                <w:szCs w:val="16"/>
              </w:rPr>
            </w:pPr>
          </w:p>
        </w:tc>
        <w:tc>
          <w:tcPr>
            <w:tcW w:w="422" w:type="dxa"/>
          </w:tcPr>
          <w:p w14:paraId="4260D8BF" w14:textId="77777777" w:rsidR="004B4E35" w:rsidRPr="00405303" w:rsidRDefault="004B4E35" w:rsidP="00C15251">
            <w:pPr>
              <w:shd w:val="clear" w:color="auto" w:fill="FFFFFF"/>
              <w:jc w:val="both"/>
              <w:rPr>
                <w:bCs/>
                <w:color w:val="002060"/>
                <w:sz w:val="16"/>
                <w:szCs w:val="16"/>
              </w:rPr>
            </w:pPr>
          </w:p>
        </w:tc>
        <w:tc>
          <w:tcPr>
            <w:tcW w:w="547" w:type="dxa"/>
          </w:tcPr>
          <w:p w14:paraId="1867F846" w14:textId="77777777" w:rsidR="004B4E35" w:rsidRPr="00405303" w:rsidRDefault="004B4E35" w:rsidP="00C15251">
            <w:pPr>
              <w:shd w:val="clear" w:color="auto" w:fill="FFFFFF"/>
              <w:jc w:val="both"/>
              <w:rPr>
                <w:bCs/>
                <w:color w:val="002060"/>
                <w:sz w:val="16"/>
                <w:szCs w:val="16"/>
              </w:rPr>
            </w:pPr>
          </w:p>
        </w:tc>
        <w:tc>
          <w:tcPr>
            <w:tcW w:w="547" w:type="dxa"/>
          </w:tcPr>
          <w:p w14:paraId="67AC4395" w14:textId="77777777" w:rsidR="004B4E35" w:rsidRPr="00405303" w:rsidRDefault="004B4E35" w:rsidP="00C15251">
            <w:pPr>
              <w:shd w:val="clear" w:color="auto" w:fill="FFFFFF"/>
              <w:jc w:val="both"/>
              <w:rPr>
                <w:bCs/>
                <w:color w:val="002060"/>
                <w:sz w:val="16"/>
                <w:szCs w:val="16"/>
              </w:rPr>
            </w:pPr>
          </w:p>
        </w:tc>
        <w:tc>
          <w:tcPr>
            <w:tcW w:w="557" w:type="dxa"/>
          </w:tcPr>
          <w:p w14:paraId="56A9A722" w14:textId="77777777" w:rsidR="004B4E35" w:rsidRPr="00405303" w:rsidRDefault="004B4E35" w:rsidP="00C15251">
            <w:pPr>
              <w:shd w:val="clear" w:color="auto" w:fill="FFFFFF"/>
              <w:jc w:val="both"/>
              <w:rPr>
                <w:bCs/>
                <w:color w:val="002060"/>
                <w:sz w:val="16"/>
                <w:szCs w:val="16"/>
              </w:rPr>
            </w:pPr>
          </w:p>
        </w:tc>
        <w:tc>
          <w:tcPr>
            <w:tcW w:w="1104" w:type="dxa"/>
          </w:tcPr>
          <w:p w14:paraId="457DB4C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синхронный</w:t>
            </w:r>
          </w:p>
        </w:tc>
      </w:tr>
      <w:tr w:rsidR="004B4E35" w:rsidRPr="00405303" w14:paraId="2492ED2C" w14:textId="77777777">
        <w:trPr>
          <w:trHeight w:val="192"/>
        </w:trPr>
        <w:tc>
          <w:tcPr>
            <w:tcW w:w="1315" w:type="dxa"/>
          </w:tcPr>
          <w:p w14:paraId="0FB570E9" w14:textId="77777777" w:rsidR="004B4E35" w:rsidRPr="00405303" w:rsidRDefault="004B4E35" w:rsidP="00C15251">
            <w:pPr>
              <w:shd w:val="clear" w:color="auto" w:fill="FFFFFF"/>
              <w:jc w:val="both"/>
              <w:rPr>
                <w:bCs/>
                <w:color w:val="002060"/>
                <w:sz w:val="16"/>
                <w:szCs w:val="16"/>
              </w:rPr>
            </w:pPr>
          </w:p>
        </w:tc>
        <w:tc>
          <w:tcPr>
            <w:tcW w:w="1315" w:type="dxa"/>
          </w:tcPr>
          <w:p w14:paraId="3EB9456E" w14:textId="77777777" w:rsidR="004B4E35" w:rsidRPr="00405303" w:rsidRDefault="004B4E35" w:rsidP="00C15251">
            <w:pPr>
              <w:shd w:val="clear" w:color="auto" w:fill="FFFFFF"/>
              <w:jc w:val="both"/>
              <w:rPr>
                <w:bCs/>
                <w:color w:val="002060"/>
                <w:sz w:val="16"/>
                <w:szCs w:val="16"/>
              </w:rPr>
            </w:pPr>
          </w:p>
        </w:tc>
        <w:tc>
          <w:tcPr>
            <w:tcW w:w="413" w:type="dxa"/>
          </w:tcPr>
          <w:p w14:paraId="64A972F0" w14:textId="77777777" w:rsidR="004B4E35" w:rsidRPr="00405303" w:rsidRDefault="004B4E35" w:rsidP="00C15251">
            <w:pPr>
              <w:shd w:val="clear" w:color="auto" w:fill="FFFFFF"/>
              <w:jc w:val="both"/>
              <w:rPr>
                <w:bCs/>
                <w:color w:val="002060"/>
                <w:sz w:val="16"/>
                <w:szCs w:val="16"/>
              </w:rPr>
            </w:pPr>
          </w:p>
        </w:tc>
        <w:tc>
          <w:tcPr>
            <w:tcW w:w="432" w:type="dxa"/>
          </w:tcPr>
          <w:p w14:paraId="53AB4331" w14:textId="77777777" w:rsidR="004B4E35" w:rsidRPr="00405303" w:rsidRDefault="004B4E35" w:rsidP="00C15251">
            <w:pPr>
              <w:shd w:val="clear" w:color="auto" w:fill="FFFFFF"/>
              <w:jc w:val="both"/>
              <w:rPr>
                <w:bCs/>
                <w:color w:val="002060"/>
                <w:sz w:val="16"/>
                <w:szCs w:val="16"/>
              </w:rPr>
            </w:pPr>
          </w:p>
        </w:tc>
        <w:tc>
          <w:tcPr>
            <w:tcW w:w="422" w:type="dxa"/>
          </w:tcPr>
          <w:p w14:paraId="6C3D9F1E" w14:textId="77777777" w:rsidR="004B4E35" w:rsidRPr="00405303" w:rsidRDefault="004B4E35" w:rsidP="00C15251">
            <w:pPr>
              <w:shd w:val="clear" w:color="auto" w:fill="FFFFFF"/>
              <w:jc w:val="both"/>
              <w:rPr>
                <w:bCs/>
                <w:color w:val="002060"/>
                <w:sz w:val="16"/>
                <w:szCs w:val="16"/>
              </w:rPr>
            </w:pPr>
          </w:p>
        </w:tc>
        <w:tc>
          <w:tcPr>
            <w:tcW w:w="547" w:type="dxa"/>
          </w:tcPr>
          <w:p w14:paraId="130E2675" w14:textId="77777777" w:rsidR="004B4E35" w:rsidRPr="00405303" w:rsidRDefault="004B4E35" w:rsidP="00C15251">
            <w:pPr>
              <w:shd w:val="clear" w:color="auto" w:fill="FFFFFF"/>
              <w:jc w:val="both"/>
              <w:rPr>
                <w:bCs/>
                <w:color w:val="002060"/>
                <w:sz w:val="16"/>
                <w:szCs w:val="16"/>
              </w:rPr>
            </w:pPr>
          </w:p>
        </w:tc>
        <w:tc>
          <w:tcPr>
            <w:tcW w:w="547" w:type="dxa"/>
          </w:tcPr>
          <w:p w14:paraId="20E600FE" w14:textId="77777777" w:rsidR="004B4E35" w:rsidRPr="00405303" w:rsidRDefault="004B4E35" w:rsidP="00C15251">
            <w:pPr>
              <w:shd w:val="clear" w:color="auto" w:fill="FFFFFF"/>
              <w:jc w:val="both"/>
              <w:rPr>
                <w:bCs/>
                <w:color w:val="002060"/>
                <w:sz w:val="16"/>
                <w:szCs w:val="16"/>
              </w:rPr>
            </w:pPr>
          </w:p>
        </w:tc>
        <w:tc>
          <w:tcPr>
            <w:tcW w:w="557" w:type="dxa"/>
          </w:tcPr>
          <w:p w14:paraId="32C0C360" w14:textId="77777777" w:rsidR="004B4E35" w:rsidRPr="00405303" w:rsidRDefault="004B4E35" w:rsidP="00C15251">
            <w:pPr>
              <w:shd w:val="clear" w:color="auto" w:fill="FFFFFF"/>
              <w:jc w:val="both"/>
              <w:rPr>
                <w:bCs/>
                <w:color w:val="002060"/>
                <w:sz w:val="16"/>
                <w:szCs w:val="16"/>
              </w:rPr>
            </w:pPr>
          </w:p>
        </w:tc>
        <w:tc>
          <w:tcPr>
            <w:tcW w:w="1104" w:type="dxa"/>
          </w:tcPr>
          <w:p w14:paraId="28140F1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пулеметы</w:t>
            </w:r>
          </w:p>
        </w:tc>
      </w:tr>
      <w:tr w:rsidR="004B4E35" w:rsidRPr="00405303" w14:paraId="2831A022" w14:textId="77777777">
        <w:trPr>
          <w:trHeight w:val="211"/>
        </w:trPr>
        <w:tc>
          <w:tcPr>
            <w:tcW w:w="1315" w:type="dxa"/>
          </w:tcPr>
          <w:p w14:paraId="33A17D5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МБ-бис,</w:t>
            </w:r>
          </w:p>
        </w:tc>
        <w:tc>
          <w:tcPr>
            <w:tcW w:w="1315" w:type="dxa"/>
          </w:tcPr>
          <w:p w14:paraId="5552299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Июль 1915</w:t>
            </w:r>
          </w:p>
        </w:tc>
        <w:tc>
          <w:tcPr>
            <w:tcW w:w="413" w:type="dxa"/>
          </w:tcPr>
          <w:p w14:paraId="4C12DF3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80</w:t>
            </w:r>
          </w:p>
        </w:tc>
        <w:tc>
          <w:tcPr>
            <w:tcW w:w="432" w:type="dxa"/>
          </w:tcPr>
          <w:p w14:paraId="0B0A653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130</w:t>
            </w:r>
          </w:p>
        </w:tc>
        <w:tc>
          <w:tcPr>
            <w:tcW w:w="422" w:type="dxa"/>
          </w:tcPr>
          <w:p w14:paraId="28DA1B8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485</w:t>
            </w:r>
          </w:p>
        </w:tc>
        <w:tc>
          <w:tcPr>
            <w:tcW w:w="547" w:type="dxa"/>
          </w:tcPr>
          <w:p w14:paraId="525F632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12,0</w:t>
            </w:r>
          </w:p>
        </w:tc>
        <w:tc>
          <w:tcPr>
            <w:tcW w:w="547" w:type="dxa"/>
          </w:tcPr>
          <w:p w14:paraId="306CEB0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40,4</w:t>
            </w:r>
          </w:p>
        </w:tc>
        <w:tc>
          <w:tcPr>
            <w:tcW w:w="557" w:type="dxa"/>
          </w:tcPr>
          <w:p w14:paraId="5D82178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6,С6</w:t>
            </w:r>
          </w:p>
        </w:tc>
        <w:tc>
          <w:tcPr>
            <w:tcW w:w="1104" w:type="dxa"/>
          </w:tcPr>
          <w:p w14:paraId="62CE878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синхрон-</w:t>
            </w:r>
          </w:p>
        </w:tc>
      </w:tr>
      <w:tr w:rsidR="004B4E35" w:rsidRPr="00405303" w14:paraId="54AA190F" w14:textId="77777777">
        <w:trPr>
          <w:trHeight w:val="202"/>
        </w:trPr>
        <w:tc>
          <w:tcPr>
            <w:tcW w:w="1315" w:type="dxa"/>
          </w:tcPr>
          <w:p w14:paraId="12D8EF4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Россия</w:t>
            </w:r>
          </w:p>
        </w:tc>
        <w:tc>
          <w:tcPr>
            <w:tcW w:w="1315" w:type="dxa"/>
          </w:tcPr>
          <w:p w14:paraId="27602FBE" w14:textId="77777777" w:rsidR="004B4E35" w:rsidRPr="00405303" w:rsidRDefault="004B4E35" w:rsidP="00C15251">
            <w:pPr>
              <w:shd w:val="clear" w:color="auto" w:fill="FFFFFF"/>
              <w:jc w:val="both"/>
              <w:rPr>
                <w:bCs/>
                <w:color w:val="002060"/>
                <w:sz w:val="16"/>
                <w:szCs w:val="16"/>
              </w:rPr>
            </w:pPr>
          </w:p>
        </w:tc>
        <w:tc>
          <w:tcPr>
            <w:tcW w:w="413" w:type="dxa"/>
          </w:tcPr>
          <w:p w14:paraId="3014414C" w14:textId="77777777" w:rsidR="004B4E35" w:rsidRPr="00405303" w:rsidRDefault="004B4E35" w:rsidP="00C15251">
            <w:pPr>
              <w:shd w:val="clear" w:color="auto" w:fill="FFFFFF"/>
              <w:jc w:val="both"/>
              <w:rPr>
                <w:bCs/>
                <w:color w:val="002060"/>
                <w:sz w:val="16"/>
                <w:szCs w:val="16"/>
              </w:rPr>
            </w:pPr>
          </w:p>
        </w:tc>
        <w:tc>
          <w:tcPr>
            <w:tcW w:w="432" w:type="dxa"/>
          </w:tcPr>
          <w:p w14:paraId="1419E012" w14:textId="77777777" w:rsidR="004B4E35" w:rsidRPr="00405303" w:rsidRDefault="004B4E35" w:rsidP="00C15251">
            <w:pPr>
              <w:shd w:val="clear" w:color="auto" w:fill="FFFFFF"/>
              <w:jc w:val="both"/>
              <w:rPr>
                <w:bCs/>
                <w:color w:val="002060"/>
                <w:sz w:val="16"/>
                <w:szCs w:val="16"/>
              </w:rPr>
            </w:pPr>
          </w:p>
        </w:tc>
        <w:tc>
          <w:tcPr>
            <w:tcW w:w="422" w:type="dxa"/>
          </w:tcPr>
          <w:p w14:paraId="3FB5D5C0" w14:textId="77777777" w:rsidR="004B4E35" w:rsidRPr="00405303" w:rsidRDefault="004B4E35" w:rsidP="00C15251">
            <w:pPr>
              <w:shd w:val="clear" w:color="auto" w:fill="FFFFFF"/>
              <w:jc w:val="both"/>
              <w:rPr>
                <w:bCs/>
                <w:color w:val="002060"/>
                <w:sz w:val="16"/>
                <w:szCs w:val="16"/>
              </w:rPr>
            </w:pPr>
          </w:p>
        </w:tc>
        <w:tc>
          <w:tcPr>
            <w:tcW w:w="547" w:type="dxa"/>
          </w:tcPr>
          <w:p w14:paraId="3DD5FDF8" w14:textId="77777777" w:rsidR="004B4E35" w:rsidRPr="00405303" w:rsidRDefault="004B4E35" w:rsidP="00C15251">
            <w:pPr>
              <w:shd w:val="clear" w:color="auto" w:fill="FFFFFF"/>
              <w:jc w:val="both"/>
              <w:rPr>
                <w:bCs/>
                <w:color w:val="002060"/>
                <w:sz w:val="16"/>
                <w:szCs w:val="16"/>
              </w:rPr>
            </w:pPr>
          </w:p>
        </w:tc>
        <w:tc>
          <w:tcPr>
            <w:tcW w:w="547" w:type="dxa"/>
          </w:tcPr>
          <w:p w14:paraId="557CD70D" w14:textId="77777777" w:rsidR="004B4E35" w:rsidRPr="00405303" w:rsidRDefault="004B4E35" w:rsidP="00C15251">
            <w:pPr>
              <w:shd w:val="clear" w:color="auto" w:fill="FFFFFF"/>
              <w:jc w:val="both"/>
              <w:rPr>
                <w:bCs/>
                <w:color w:val="002060"/>
                <w:sz w:val="16"/>
                <w:szCs w:val="16"/>
              </w:rPr>
            </w:pPr>
          </w:p>
        </w:tc>
        <w:tc>
          <w:tcPr>
            <w:tcW w:w="557" w:type="dxa"/>
          </w:tcPr>
          <w:p w14:paraId="31530443" w14:textId="77777777" w:rsidR="004B4E35" w:rsidRPr="00405303" w:rsidRDefault="004B4E35" w:rsidP="00C15251">
            <w:pPr>
              <w:shd w:val="clear" w:color="auto" w:fill="FFFFFF"/>
              <w:jc w:val="both"/>
              <w:rPr>
                <w:bCs/>
                <w:color w:val="002060"/>
                <w:sz w:val="16"/>
                <w:szCs w:val="16"/>
              </w:rPr>
            </w:pPr>
          </w:p>
        </w:tc>
        <w:tc>
          <w:tcPr>
            <w:tcW w:w="1104" w:type="dxa"/>
          </w:tcPr>
          <w:p w14:paraId="58D73F7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ный пулемет</w:t>
            </w:r>
          </w:p>
        </w:tc>
      </w:tr>
      <w:tr w:rsidR="004B4E35" w:rsidRPr="00405303" w14:paraId="4B01C94D" w14:textId="77777777">
        <w:trPr>
          <w:trHeight w:val="240"/>
        </w:trPr>
        <w:tc>
          <w:tcPr>
            <w:tcW w:w="1315" w:type="dxa"/>
          </w:tcPr>
          <w:p w14:paraId="1C903F1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ДМ,</w:t>
            </w:r>
          </w:p>
        </w:tc>
        <w:tc>
          <w:tcPr>
            <w:tcW w:w="1315" w:type="dxa"/>
          </w:tcPr>
          <w:p w14:paraId="64D0819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Апрель 1916</w:t>
            </w:r>
          </w:p>
        </w:tc>
        <w:tc>
          <w:tcPr>
            <w:tcW w:w="413" w:type="dxa"/>
          </w:tcPr>
          <w:p w14:paraId="2E082E7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1СО</w:t>
            </w:r>
          </w:p>
        </w:tc>
        <w:tc>
          <w:tcPr>
            <w:tcW w:w="432" w:type="dxa"/>
          </w:tcPr>
          <w:p w14:paraId="0AEC207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165</w:t>
            </w:r>
          </w:p>
        </w:tc>
        <w:tc>
          <w:tcPr>
            <w:tcW w:w="422" w:type="dxa"/>
          </w:tcPr>
          <w:p w14:paraId="1FA651C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535</w:t>
            </w:r>
          </w:p>
        </w:tc>
        <w:tc>
          <w:tcPr>
            <w:tcW w:w="547" w:type="dxa"/>
          </w:tcPr>
          <w:p w14:paraId="4A9BB28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14,0</w:t>
            </w:r>
          </w:p>
        </w:tc>
        <w:tc>
          <w:tcPr>
            <w:tcW w:w="547" w:type="dxa"/>
          </w:tcPr>
          <w:p w14:paraId="521DD01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38,2</w:t>
            </w:r>
          </w:p>
        </w:tc>
        <w:tc>
          <w:tcPr>
            <w:tcW w:w="557" w:type="dxa"/>
          </w:tcPr>
          <w:p w14:paraId="5CC41E4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5,35</w:t>
            </w:r>
          </w:p>
        </w:tc>
        <w:tc>
          <w:tcPr>
            <w:tcW w:w="1104" w:type="dxa"/>
          </w:tcPr>
          <w:p w14:paraId="6AC963A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синхрон-</w:t>
            </w:r>
          </w:p>
        </w:tc>
      </w:tr>
      <w:tr w:rsidR="004B4E35" w:rsidRPr="00405303" w14:paraId="3BB6A4ED" w14:textId="77777777">
        <w:trPr>
          <w:trHeight w:val="182"/>
        </w:trPr>
        <w:tc>
          <w:tcPr>
            <w:tcW w:w="1315" w:type="dxa"/>
          </w:tcPr>
          <w:p w14:paraId="1E9466B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Россия</w:t>
            </w:r>
          </w:p>
        </w:tc>
        <w:tc>
          <w:tcPr>
            <w:tcW w:w="1315" w:type="dxa"/>
          </w:tcPr>
          <w:p w14:paraId="3E3548DB" w14:textId="77777777" w:rsidR="004B4E35" w:rsidRPr="00405303" w:rsidRDefault="004B4E35" w:rsidP="00C15251">
            <w:pPr>
              <w:shd w:val="clear" w:color="auto" w:fill="FFFFFF"/>
              <w:jc w:val="both"/>
              <w:rPr>
                <w:bCs/>
                <w:color w:val="002060"/>
                <w:sz w:val="16"/>
                <w:szCs w:val="16"/>
              </w:rPr>
            </w:pPr>
          </w:p>
        </w:tc>
        <w:tc>
          <w:tcPr>
            <w:tcW w:w="413" w:type="dxa"/>
          </w:tcPr>
          <w:p w14:paraId="1D38D340" w14:textId="77777777" w:rsidR="004B4E35" w:rsidRPr="00405303" w:rsidRDefault="004B4E35" w:rsidP="00C15251">
            <w:pPr>
              <w:shd w:val="clear" w:color="auto" w:fill="FFFFFF"/>
              <w:jc w:val="both"/>
              <w:rPr>
                <w:bCs/>
                <w:color w:val="002060"/>
                <w:sz w:val="16"/>
                <w:szCs w:val="16"/>
              </w:rPr>
            </w:pPr>
          </w:p>
        </w:tc>
        <w:tc>
          <w:tcPr>
            <w:tcW w:w="432" w:type="dxa"/>
          </w:tcPr>
          <w:p w14:paraId="280D01FD" w14:textId="77777777" w:rsidR="004B4E35" w:rsidRPr="00405303" w:rsidRDefault="004B4E35" w:rsidP="00C15251">
            <w:pPr>
              <w:shd w:val="clear" w:color="auto" w:fill="FFFFFF"/>
              <w:jc w:val="both"/>
              <w:rPr>
                <w:bCs/>
                <w:color w:val="002060"/>
                <w:sz w:val="16"/>
                <w:szCs w:val="16"/>
              </w:rPr>
            </w:pPr>
          </w:p>
        </w:tc>
        <w:tc>
          <w:tcPr>
            <w:tcW w:w="422" w:type="dxa"/>
          </w:tcPr>
          <w:p w14:paraId="1612022E" w14:textId="77777777" w:rsidR="004B4E35" w:rsidRPr="00405303" w:rsidRDefault="004B4E35" w:rsidP="00C15251">
            <w:pPr>
              <w:shd w:val="clear" w:color="auto" w:fill="FFFFFF"/>
              <w:jc w:val="both"/>
              <w:rPr>
                <w:bCs/>
                <w:color w:val="002060"/>
                <w:sz w:val="16"/>
                <w:szCs w:val="16"/>
              </w:rPr>
            </w:pPr>
          </w:p>
        </w:tc>
        <w:tc>
          <w:tcPr>
            <w:tcW w:w="547" w:type="dxa"/>
          </w:tcPr>
          <w:p w14:paraId="4BEA6C30" w14:textId="77777777" w:rsidR="004B4E35" w:rsidRPr="00405303" w:rsidRDefault="004B4E35" w:rsidP="00C15251">
            <w:pPr>
              <w:shd w:val="clear" w:color="auto" w:fill="FFFFFF"/>
              <w:jc w:val="both"/>
              <w:rPr>
                <w:bCs/>
                <w:color w:val="002060"/>
                <w:sz w:val="16"/>
                <w:szCs w:val="16"/>
              </w:rPr>
            </w:pPr>
          </w:p>
        </w:tc>
        <w:tc>
          <w:tcPr>
            <w:tcW w:w="547" w:type="dxa"/>
          </w:tcPr>
          <w:p w14:paraId="7B45403B" w14:textId="77777777" w:rsidR="004B4E35" w:rsidRPr="00405303" w:rsidRDefault="004B4E35" w:rsidP="00C15251">
            <w:pPr>
              <w:shd w:val="clear" w:color="auto" w:fill="FFFFFF"/>
              <w:jc w:val="both"/>
              <w:rPr>
                <w:bCs/>
                <w:color w:val="002060"/>
                <w:sz w:val="16"/>
                <w:szCs w:val="16"/>
              </w:rPr>
            </w:pPr>
          </w:p>
        </w:tc>
        <w:tc>
          <w:tcPr>
            <w:tcW w:w="557" w:type="dxa"/>
          </w:tcPr>
          <w:p w14:paraId="2ABE0CA0" w14:textId="77777777" w:rsidR="004B4E35" w:rsidRPr="00405303" w:rsidRDefault="004B4E35" w:rsidP="00C15251">
            <w:pPr>
              <w:shd w:val="clear" w:color="auto" w:fill="FFFFFF"/>
              <w:jc w:val="both"/>
              <w:rPr>
                <w:bCs/>
                <w:color w:val="002060"/>
                <w:sz w:val="16"/>
                <w:szCs w:val="16"/>
              </w:rPr>
            </w:pPr>
          </w:p>
        </w:tc>
        <w:tc>
          <w:tcPr>
            <w:tcW w:w="1104" w:type="dxa"/>
          </w:tcPr>
          <w:p w14:paraId="57F70CE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ный пулемет</w:t>
            </w:r>
          </w:p>
        </w:tc>
      </w:tr>
      <w:tr w:rsidR="004B4E35" w:rsidRPr="00405303" w14:paraId="1A74FE92" w14:textId="77777777">
        <w:trPr>
          <w:trHeight w:val="240"/>
        </w:trPr>
        <w:tc>
          <w:tcPr>
            <w:tcW w:w="1315" w:type="dxa"/>
          </w:tcPr>
          <w:p w14:paraId="68E1FBF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РБВЗ-С-20,</w:t>
            </w:r>
          </w:p>
        </w:tc>
        <w:tc>
          <w:tcPr>
            <w:tcW w:w="1315" w:type="dxa"/>
          </w:tcPr>
          <w:p w14:paraId="408C848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Сентябрь 1916</w:t>
            </w:r>
          </w:p>
        </w:tc>
        <w:tc>
          <w:tcPr>
            <w:tcW w:w="413" w:type="dxa"/>
          </w:tcPr>
          <w:p w14:paraId="69C51FA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120</w:t>
            </w:r>
          </w:p>
        </w:tc>
        <w:tc>
          <w:tcPr>
            <w:tcW w:w="432" w:type="dxa"/>
          </w:tcPr>
          <w:p w14:paraId="4A5C707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190</w:t>
            </w:r>
          </w:p>
        </w:tc>
        <w:tc>
          <w:tcPr>
            <w:tcW w:w="422" w:type="dxa"/>
          </w:tcPr>
          <w:p w14:paraId="57531F1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570</w:t>
            </w:r>
          </w:p>
        </w:tc>
        <w:tc>
          <w:tcPr>
            <w:tcW w:w="547" w:type="dxa"/>
          </w:tcPr>
          <w:p w14:paraId="2ADC35A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17</w:t>
            </w:r>
          </w:p>
        </w:tc>
        <w:tc>
          <w:tcPr>
            <w:tcW w:w="547" w:type="dxa"/>
          </w:tcPr>
          <w:p w14:paraId="5D033D6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33,5</w:t>
            </w:r>
          </w:p>
        </w:tc>
        <w:tc>
          <w:tcPr>
            <w:tcW w:w="557" w:type="dxa"/>
          </w:tcPr>
          <w:p w14:paraId="605699C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4,75</w:t>
            </w:r>
          </w:p>
        </w:tc>
        <w:tc>
          <w:tcPr>
            <w:tcW w:w="1104" w:type="dxa"/>
          </w:tcPr>
          <w:p w14:paraId="7556B54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 сипхрвн-</w:t>
            </w:r>
          </w:p>
        </w:tc>
      </w:tr>
      <w:tr w:rsidR="004B4E35" w:rsidRPr="00405303" w14:paraId="12DF7D09" w14:textId="77777777">
        <w:trPr>
          <w:trHeight w:val="173"/>
        </w:trPr>
        <w:tc>
          <w:tcPr>
            <w:tcW w:w="1315" w:type="dxa"/>
          </w:tcPr>
          <w:p w14:paraId="1556ED1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Россия</w:t>
            </w:r>
          </w:p>
        </w:tc>
        <w:tc>
          <w:tcPr>
            <w:tcW w:w="1315" w:type="dxa"/>
          </w:tcPr>
          <w:p w14:paraId="42D2AB8D" w14:textId="77777777" w:rsidR="004B4E35" w:rsidRPr="00405303" w:rsidRDefault="004B4E35" w:rsidP="00C15251">
            <w:pPr>
              <w:shd w:val="clear" w:color="auto" w:fill="FFFFFF"/>
              <w:jc w:val="both"/>
              <w:rPr>
                <w:bCs/>
                <w:color w:val="002060"/>
                <w:sz w:val="16"/>
                <w:szCs w:val="16"/>
              </w:rPr>
            </w:pPr>
          </w:p>
        </w:tc>
        <w:tc>
          <w:tcPr>
            <w:tcW w:w="413" w:type="dxa"/>
          </w:tcPr>
          <w:p w14:paraId="270C2767" w14:textId="77777777" w:rsidR="004B4E35" w:rsidRPr="00405303" w:rsidRDefault="004B4E35" w:rsidP="00C15251">
            <w:pPr>
              <w:shd w:val="clear" w:color="auto" w:fill="FFFFFF"/>
              <w:jc w:val="both"/>
              <w:rPr>
                <w:bCs/>
                <w:color w:val="002060"/>
                <w:sz w:val="16"/>
                <w:szCs w:val="16"/>
              </w:rPr>
            </w:pPr>
          </w:p>
        </w:tc>
        <w:tc>
          <w:tcPr>
            <w:tcW w:w="432" w:type="dxa"/>
          </w:tcPr>
          <w:p w14:paraId="18505278" w14:textId="77777777" w:rsidR="004B4E35" w:rsidRPr="00405303" w:rsidRDefault="004B4E35" w:rsidP="00C15251">
            <w:pPr>
              <w:shd w:val="clear" w:color="auto" w:fill="FFFFFF"/>
              <w:jc w:val="both"/>
              <w:rPr>
                <w:bCs/>
                <w:color w:val="002060"/>
                <w:sz w:val="16"/>
                <w:szCs w:val="16"/>
              </w:rPr>
            </w:pPr>
          </w:p>
        </w:tc>
        <w:tc>
          <w:tcPr>
            <w:tcW w:w="422" w:type="dxa"/>
          </w:tcPr>
          <w:p w14:paraId="5C7873F9" w14:textId="77777777" w:rsidR="004B4E35" w:rsidRPr="00405303" w:rsidRDefault="004B4E35" w:rsidP="00C15251">
            <w:pPr>
              <w:shd w:val="clear" w:color="auto" w:fill="FFFFFF"/>
              <w:jc w:val="both"/>
              <w:rPr>
                <w:bCs/>
                <w:color w:val="002060"/>
                <w:sz w:val="16"/>
                <w:szCs w:val="16"/>
              </w:rPr>
            </w:pPr>
          </w:p>
        </w:tc>
        <w:tc>
          <w:tcPr>
            <w:tcW w:w="547" w:type="dxa"/>
          </w:tcPr>
          <w:p w14:paraId="14060202" w14:textId="77777777" w:rsidR="004B4E35" w:rsidRPr="00405303" w:rsidRDefault="004B4E35" w:rsidP="00C15251">
            <w:pPr>
              <w:shd w:val="clear" w:color="auto" w:fill="FFFFFF"/>
              <w:jc w:val="both"/>
              <w:rPr>
                <w:bCs/>
                <w:color w:val="002060"/>
                <w:sz w:val="16"/>
                <w:szCs w:val="16"/>
              </w:rPr>
            </w:pPr>
          </w:p>
        </w:tc>
        <w:tc>
          <w:tcPr>
            <w:tcW w:w="547" w:type="dxa"/>
          </w:tcPr>
          <w:p w14:paraId="4587C571" w14:textId="77777777" w:rsidR="004B4E35" w:rsidRPr="00405303" w:rsidRDefault="004B4E35" w:rsidP="00C15251">
            <w:pPr>
              <w:shd w:val="clear" w:color="auto" w:fill="FFFFFF"/>
              <w:jc w:val="both"/>
              <w:rPr>
                <w:bCs/>
                <w:color w:val="002060"/>
                <w:sz w:val="16"/>
                <w:szCs w:val="16"/>
              </w:rPr>
            </w:pPr>
          </w:p>
        </w:tc>
        <w:tc>
          <w:tcPr>
            <w:tcW w:w="557" w:type="dxa"/>
          </w:tcPr>
          <w:p w14:paraId="04AE5B2B" w14:textId="77777777" w:rsidR="004B4E35" w:rsidRPr="00405303" w:rsidRDefault="004B4E35" w:rsidP="00C15251">
            <w:pPr>
              <w:shd w:val="clear" w:color="auto" w:fill="FFFFFF"/>
              <w:jc w:val="both"/>
              <w:rPr>
                <w:bCs/>
                <w:color w:val="002060"/>
                <w:sz w:val="16"/>
                <w:szCs w:val="16"/>
              </w:rPr>
            </w:pPr>
          </w:p>
        </w:tc>
        <w:tc>
          <w:tcPr>
            <w:tcW w:w="1104" w:type="dxa"/>
          </w:tcPr>
          <w:p w14:paraId="2FEC2F4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ных пуле-</w:t>
            </w:r>
          </w:p>
        </w:tc>
      </w:tr>
      <w:tr w:rsidR="004B4E35" w:rsidRPr="00405303" w14:paraId="177EBB8D" w14:textId="77777777">
        <w:trPr>
          <w:trHeight w:val="192"/>
        </w:trPr>
        <w:tc>
          <w:tcPr>
            <w:tcW w:w="1315" w:type="dxa"/>
          </w:tcPr>
          <w:p w14:paraId="22CC7081" w14:textId="77777777" w:rsidR="004B4E35" w:rsidRPr="00405303" w:rsidRDefault="004B4E35" w:rsidP="00C15251">
            <w:pPr>
              <w:shd w:val="clear" w:color="auto" w:fill="FFFFFF"/>
              <w:jc w:val="both"/>
              <w:rPr>
                <w:bCs/>
                <w:color w:val="002060"/>
                <w:sz w:val="16"/>
                <w:szCs w:val="16"/>
              </w:rPr>
            </w:pPr>
          </w:p>
        </w:tc>
        <w:tc>
          <w:tcPr>
            <w:tcW w:w="1315" w:type="dxa"/>
          </w:tcPr>
          <w:p w14:paraId="1804BB1D" w14:textId="77777777" w:rsidR="004B4E35" w:rsidRPr="00405303" w:rsidRDefault="004B4E35" w:rsidP="00C15251">
            <w:pPr>
              <w:shd w:val="clear" w:color="auto" w:fill="FFFFFF"/>
              <w:jc w:val="both"/>
              <w:rPr>
                <w:bCs/>
                <w:color w:val="002060"/>
                <w:sz w:val="16"/>
                <w:szCs w:val="16"/>
              </w:rPr>
            </w:pPr>
          </w:p>
        </w:tc>
        <w:tc>
          <w:tcPr>
            <w:tcW w:w="413" w:type="dxa"/>
          </w:tcPr>
          <w:p w14:paraId="088B0E7F" w14:textId="77777777" w:rsidR="004B4E35" w:rsidRPr="00405303" w:rsidRDefault="004B4E35" w:rsidP="00C15251">
            <w:pPr>
              <w:shd w:val="clear" w:color="auto" w:fill="FFFFFF"/>
              <w:jc w:val="both"/>
              <w:rPr>
                <w:bCs/>
                <w:color w:val="002060"/>
                <w:sz w:val="16"/>
                <w:szCs w:val="16"/>
              </w:rPr>
            </w:pPr>
          </w:p>
        </w:tc>
        <w:tc>
          <w:tcPr>
            <w:tcW w:w="432" w:type="dxa"/>
          </w:tcPr>
          <w:p w14:paraId="59B7D223" w14:textId="77777777" w:rsidR="004B4E35" w:rsidRPr="00405303" w:rsidRDefault="004B4E35" w:rsidP="00C15251">
            <w:pPr>
              <w:shd w:val="clear" w:color="auto" w:fill="FFFFFF"/>
              <w:jc w:val="both"/>
              <w:rPr>
                <w:bCs/>
                <w:color w:val="002060"/>
                <w:sz w:val="16"/>
                <w:szCs w:val="16"/>
              </w:rPr>
            </w:pPr>
          </w:p>
        </w:tc>
        <w:tc>
          <w:tcPr>
            <w:tcW w:w="422" w:type="dxa"/>
          </w:tcPr>
          <w:p w14:paraId="7C0564CC" w14:textId="77777777" w:rsidR="004B4E35" w:rsidRPr="00405303" w:rsidRDefault="004B4E35" w:rsidP="00C15251">
            <w:pPr>
              <w:shd w:val="clear" w:color="auto" w:fill="FFFFFF"/>
              <w:jc w:val="both"/>
              <w:rPr>
                <w:bCs/>
                <w:color w:val="002060"/>
                <w:sz w:val="16"/>
                <w:szCs w:val="16"/>
              </w:rPr>
            </w:pPr>
          </w:p>
        </w:tc>
        <w:tc>
          <w:tcPr>
            <w:tcW w:w="547" w:type="dxa"/>
          </w:tcPr>
          <w:p w14:paraId="75F8EF60" w14:textId="77777777" w:rsidR="004B4E35" w:rsidRPr="00405303" w:rsidRDefault="004B4E35" w:rsidP="00C15251">
            <w:pPr>
              <w:shd w:val="clear" w:color="auto" w:fill="FFFFFF"/>
              <w:jc w:val="both"/>
              <w:rPr>
                <w:bCs/>
                <w:color w:val="002060"/>
                <w:sz w:val="16"/>
                <w:szCs w:val="16"/>
              </w:rPr>
            </w:pPr>
          </w:p>
        </w:tc>
        <w:tc>
          <w:tcPr>
            <w:tcW w:w="547" w:type="dxa"/>
          </w:tcPr>
          <w:p w14:paraId="6A042D15" w14:textId="77777777" w:rsidR="004B4E35" w:rsidRPr="00405303" w:rsidRDefault="004B4E35" w:rsidP="00C15251">
            <w:pPr>
              <w:shd w:val="clear" w:color="auto" w:fill="FFFFFF"/>
              <w:jc w:val="both"/>
              <w:rPr>
                <w:bCs/>
                <w:color w:val="002060"/>
                <w:sz w:val="16"/>
                <w:szCs w:val="16"/>
              </w:rPr>
            </w:pPr>
          </w:p>
        </w:tc>
        <w:tc>
          <w:tcPr>
            <w:tcW w:w="557" w:type="dxa"/>
          </w:tcPr>
          <w:p w14:paraId="3D427E88" w14:textId="77777777" w:rsidR="004B4E35" w:rsidRPr="00405303" w:rsidRDefault="004B4E35" w:rsidP="00C15251">
            <w:pPr>
              <w:shd w:val="clear" w:color="auto" w:fill="FFFFFF"/>
              <w:jc w:val="both"/>
              <w:rPr>
                <w:bCs/>
                <w:color w:val="002060"/>
                <w:sz w:val="16"/>
                <w:szCs w:val="16"/>
              </w:rPr>
            </w:pPr>
          </w:p>
        </w:tc>
        <w:tc>
          <w:tcPr>
            <w:tcW w:w="1104" w:type="dxa"/>
          </w:tcPr>
          <w:p w14:paraId="3AFD039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мета</w:t>
            </w:r>
          </w:p>
        </w:tc>
      </w:tr>
      <w:tr w:rsidR="004B4E35" w:rsidRPr="00405303" w14:paraId="7EC20436" w14:textId="77777777">
        <w:trPr>
          <w:trHeight w:val="230"/>
        </w:trPr>
        <w:tc>
          <w:tcPr>
            <w:tcW w:w="1315" w:type="dxa"/>
          </w:tcPr>
          <w:p w14:paraId="73EDDCF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Ньюпор ПС,</w:t>
            </w:r>
          </w:p>
        </w:tc>
        <w:tc>
          <w:tcPr>
            <w:tcW w:w="1315" w:type="dxa"/>
          </w:tcPr>
          <w:p w14:paraId="0742301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Ноябрь 1915</w:t>
            </w:r>
          </w:p>
        </w:tc>
        <w:tc>
          <w:tcPr>
            <w:tcW w:w="413" w:type="dxa"/>
          </w:tcPr>
          <w:p w14:paraId="113CC0A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80</w:t>
            </w:r>
          </w:p>
        </w:tc>
        <w:tc>
          <w:tcPr>
            <w:tcW w:w="432" w:type="dxa"/>
          </w:tcPr>
          <w:p w14:paraId="62B75A4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150</w:t>
            </w:r>
          </w:p>
        </w:tc>
        <w:tc>
          <w:tcPr>
            <w:tcW w:w="422" w:type="dxa"/>
          </w:tcPr>
          <w:p w14:paraId="2F10061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480</w:t>
            </w:r>
          </w:p>
        </w:tc>
        <w:tc>
          <w:tcPr>
            <w:tcW w:w="547" w:type="dxa"/>
          </w:tcPr>
          <w:p w14:paraId="14C5F96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13,3</w:t>
            </w:r>
          </w:p>
        </w:tc>
        <w:tc>
          <w:tcPr>
            <w:tcW w:w="547" w:type="dxa"/>
          </w:tcPr>
          <w:p w14:paraId="09FD602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36,1</w:t>
            </w:r>
          </w:p>
        </w:tc>
        <w:tc>
          <w:tcPr>
            <w:tcW w:w="557" w:type="dxa"/>
          </w:tcPr>
          <w:p w14:paraId="585E5E1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0,0</w:t>
            </w:r>
          </w:p>
        </w:tc>
        <w:tc>
          <w:tcPr>
            <w:tcW w:w="1104" w:type="dxa"/>
          </w:tcPr>
          <w:p w14:paraId="374C220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несин-</w:t>
            </w:r>
          </w:p>
        </w:tc>
      </w:tr>
      <w:tr w:rsidR="004B4E35" w:rsidRPr="00405303" w14:paraId="72FEDB8F" w14:textId="77777777">
        <w:trPr>
          <w:trHeight w:val="192"/>
        </w:trPr>
        <w:tc>
          <w:tcPr>
            <w:tcW w:w="1315" w:type="dxa"/>
          </w:tcPr>
          <w:p w14:paraId="7428891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Франция</w:t>
            </w:r>
          </w:p>
        </w:tc>
        <w:tc>
          <w:tcPr>
            <w:tcW w:w="1315" w:type="dxa"/>
          </w:tcPr>
          <w:p w14:paraId="52214DB1" w14:textId="77777777" w:rsidR="004B4E35" w:rsidRPr="00405303" w:rsidRDefault="004B4E35" w:rsidP="00C15251">
            <w:pPr>
              <w:shd w:val="clear" w:color="auto" w:fill="FFFFFF"/>
              <w:jc w:val="both"/>
              <w:rPr>
                <w:bCs/>
                <w:color w:val="002060"/>
                <w:sz w:val="16"/>
                <w:szCs w:val="16"/>
              </w:rPr>
            </w:pPr>
          </w:p>
        </w:tc>
        <w:tc>
          <w:tcPr>
            <w:tcW w:w="413" w:type="dxa"/>
          </w:tcPr>
          <w:p w14:paraId="62AE5AA3" w14:textId="77777777" w:rsidR="004B4E35" w:rsidRPr="00405303" w:rsidRDefault="004B4E35" w:rsidP="00C15251">
            <w:pPr>
              <w:shd w:val="clear" w:color="auto" w:fill="FFFFFF"/>
              <w:jc w:val="both"/>
              <w:rPr>
                <w:bCs/>
                <w:color w:val="002060"/>
                <w:sz w:val="16"/>
                <w:szCs w:val="16"/>
              </w:rPr>
            </w:pPr>
          </w:p>
        </w:tc>
        <w:tc>
          <w:tcPr>
            <w:tcW w:w="432" w:type="dxa"/>
          </w:tcPr>
          <w:p w14:paraId="55D8092A" w14:textId="77777777" w:rsidR="004B4E35" w:rsidRPr="00405303" w:rsidRDefault="004B4E35" w:rsidP="00C15251">
            <w:pPr>
              <w:shd w:val="clear" w:color="auto" w:fill="FFFFFF"/>
              <w:jc w:val="both"/>
              <w:rPr>
                <w:bCs/>
                <w:color w:val="002060"/>
                <w:sz w:val="16"/>
                <w:szCs w:val="16"/>
              </w:rPr>
            </w:pPr>
          </w:p>
        </w:tc>
        <w:tc>
          <w:tcPr>
            <w:tcW w:w="422" w:type="dxa"/>
          </w:tcPr>
          <w:p w14:paraId="5BE463F4" w14:textId="77777777" w:rsidR="004B4E35" w:rsidRPr="00405303" w:rsidRDefault="004B4E35" w:rsidP="00C15251">
            <w:pPr>
              <w:shd w:val="clear" w:color="auto" w:fill="FFFFFF"/>
              <w:jc w:val="both"/>
              <w:rPr>
                <w:bCs/>
                <w:color w:val="002060"/>
                <w:sz w:val="16"/>
                <w:szCs w:val="16"/>
              </w:rPr>
            </w:pPr>
          </w:p>
        </w:tc>
        <w:tc>
          <w:tcPr>
            <w:tcW w:w="547" w:type="dxa"/>
          </w:tcPr>
          <w:p w14:paraId="63DB5D5B" w14:textId="77777777" w:rsidR="004B4E35" w:rsidRPr="00405303" w:rsidRDefault="004B4E35" w:rsidP="00C15251">
            <w:pPr>
              <w:shd w:val="clear" w:color="auto" w:fill="FFFFFF"/>
              <w:jc w:val="both"/>
              <w:rPr>
                <w:bCs/>
                <w:color w:val="002060"/>
                <w:sz w:val="16"/>
                <w:szCs w:val="16"/>
              </w:rPr>
            </w:pPr>
          </w:p>
        </w:tc>
        <w:tc>
          <w:tcPr>
            <w:tcW w:w="547" w:type="dxa"/>
          </w:tcPr>
          <w:p w14:paraId="71996477" w14:textId="77777777" w:rsidR="004B4E35" w:rsidRPr="00405303" w:rsidRDefault="004B4E35" w:rsidP="00C15251">
            <w:pPr>
              <w:shd w:val="clear" w:color="auto" w:fill="FFFFFF"/>
              <w:jc w:val="both"/>
              <w:rPr>
                <w:bCs/>
                <w:color w:val="002060"/>
                <w:sz w:val="16"/>
                <w:szCs w:val="16"/>
              </w:rPr>
            </w:pPr>
          </w:p>
        </w:tc>
        <w:tc>
          <w:tcPr>
            <w:tcW w:w="557" w:type="dxa"/>
          </w:tcPr>
          <w:p w14:paraId="24B02577" w14:textId="77777777" w:rsidR="004B4E35" w:rsidRPr="00405303" w:rsidRDefault="004B4E35" w:rsidP="00C15251">
            <w:pPr>
              <w:shd w:val="clear" w:color="auto" w:fill="FFFFFF"/>
              <w:jc w:val="both"/>
              <w:rPr>
                <w:bCs/>
                <w:color w:val="002060"/>
                <w:sz w:val="16"/>
                <w:szCs w:val="16"/>
              </w:rPr>
            </w:pPr>
          </w:p>
        </w:tc>
        <w:tc>
          <w:tcPr>
            <w:tcW w:w="1104" w:type="dxa"/>
          </w:tcPr>
          <w:p w14:paraId="149A000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хронный</w:t>
            </w:r>
          </w:p>
        </w:tc>
      </w:tr>
      <w:tr w:rsidR="004B4E35" w:rsidRPr="00405303" w14:paraId="16939DF6" w14:textId="77777777">
        <w:trPr>
          <w:trHeight w:val="192"/>
        </w:trPr>
        <w:tc>
          <w:tcPr>
            <w:tcW w:w="1315" w:type="dxa"/>
          </w:tcPr>
          <w:p w14:paraId="3639FBCE" w14:textId="77777777" w:rsidR="004B4E35" w:rsidRPr="00405303" w:rsidRDefault="004B4E35" w:rsidP="00C15251">
            <w:pPr>
              <w:shd w:val="clear" w:color="auto" w:fill="FFFFFF"/>
              <w:jc w:val="both"/>
              <w:rPr>
                <w:bCs/>
                <w:color w:val="002060"/>
                <w:sz w:val="16"/>
                <w:szCs w:val="16"/>
              </w:rPr>
            </w:pPr>
          </w:p>
        </w:tc>
        <w:tc>
          <w:tcPr>
            <w:tcW w:w="1315" w:type="dxa"/>
          </w:tcPr>
          <w:p w14:paraId="697DD53E" w14:textId="77777777" w:rsidR="004B4E35" w:rsidRPr="00405303" w:rsidRDefault="004B4E35" w:rsidP="00C15251">
            <w:pPr>
              <w:shd w:val="clear" w:color="auto" w:fill="FFFFFF"/>
              <w:jc w:val="both"/>
              <w:rPr>
                <w:bCs/>
                <w:color w:val="002060"/>
                <w:sz w:val="16"/>
                <w:szCs w:val="16"/>
              </w:rPr>
            </w:pPr>
          </w:p>
        </w:tc>
        <w:tc>
          <w:tcPr>
            <w:tcW w:w="413" w:type="dxa"/>
          </w:tcPr>
          <w:p w14:paraId="1B6A8956" w14:textId="77777777" w:rsidR="004B4E35" w:rsidRPr="00405303" w:rsidRDefault="004B4E35" w:rsidP="00C15251">
            <w:pPr>
              <w:shd w:val="clear" w:color="auto" w:fill="FFFFFF"/>
              <w:jc w:val="both"/>
              <w:rPr>
                <w:bCs/>
                <w:color w:val="002060"/>
                <w:sz w:val="16"/>
                <w:szCs w:val="16"/>
              </w:rPr>
            </w:pPr>
          </w:p>
        </w:tc>
        <w:tc>
          <w:tcPr>
            <w:tcW w:w="432" w:type="dxa"/>
          </w:tcPr>
          <w:p w14:paraId="61236B9A" w14:textId="77777777" w:rsidR="004B4E35" w:rsidRPr="00405303" w:rsidRDefault="004B4E35" w:rsidP="00C15251">
            <w:pPr>
              <w:shd w:val="clear" w:color="auto" w:fill="FFFFFF"/>
              <w:jc w:val="both"/>
              <w:rPr>
                <w:bCs/>
                <w:color w:val="002060"/>
                <w:sz w:val="16"/>
                <w:szCs w:val="16"/>
              </w:rPr>
            </w:pPr>
          </w:p>
        </w:tc>
        <w:tc>
          <w:tcPr>
            <w:tcW w:w="422" w:type="dxa"/>
          </w:tcPr>
          <w:p w14:paraId="26E3D81A" w14:textId="77777777" w:rsidR="004B4E35" w:rsidRPr="00405303" w:rsidRDefault="004B4E35" w:rsidP="00C15251">
            <w:pPr>
              <w:shd w:val="clear" w:color="auto" w:fill="FFFFFF"/>
              <w:jc w:val="both"/>
              <w:rPr>
                <w:bCs/>
                <w:color w:val="002060"/>
                <w:sz w:val="16"/>
                <w:szCs w:val="16"/>
              </w:rPr>
            </w:pPr>
          </w:p>
        </w:tc>
        <w:tc>
          <w:tcPr>
            <w:tcW w:w="547" w:type="dxa"/>
          </w:tcPr>
          <w:p w14:paraId="0DE6192B" w14:textId="77777777" w:rsidR="004B4E35" w:rsidRPr="00405303" w:rsidRDefault="004B4E35" w:rsidP="00C15251">
            <w:pPr>
              <w:shd w:val="clear" w:color="auto" w:fill="FFFFFF"/>
              <w:jc w:val="both"/>
              <w:rPr>
                <w:bCs/>
                <w:color w:val="002060"/>
                <w:sz w:val="16"/>
                <w:szCs w:val="16"/>
              </w:rPr>
            </w:pPr>
          </w:p>
        </w:tc>
        <w:tc>
          <w:tcPr>
            <w:tcW w:w="547" w:type="dxa"/>
          </w:tcPr>
          <w:p w14:paraId="4F60312E" w14:textId="77777777" w:rsidR="004B4E35" w:rsidRPr="00405303" w:rsidRDefault="004B4E35" w:rsidP="00C15251">
            <w:pPr>
              <w:shd w:val="clear" w:color="auto" w:fill="FFFFFF"/>
              <w:jc w:val="both"/>
              <w:rPr>
                <w:bCs/>
                <w:color w:val="002060"/>
                <w:sz w:val="16"/>
                <w:szCs w:val="16"/>
              </w:rPr>
            </w:pPr>
          </w:p>
        </w:tc>
        <w:tc>
          <w:tcPr>
            <w:tcW w:w="557" w:type="dxa"/>
          </w:tcPr>
          <w:p w14:paraId="384B9225" w14:textId="77777777" w:rsidR="004B4E35" w:rsidRPr="00405303" w:rsidRDefault="004B4E35" w:rsidP="00C15251">
            <w:pPr>
              <w:shd w:val="clear" w:color="auto" w:fill="FFFFFF"/>
              <w:jc w:val="both"/>
              <w:rPr>
                <w:bCs/>
                <w:color w:val="002060"/>
                <w:sz w:val="16"/>
                <w:szCs w:val="16"/>
              </w:rPr>
            </w:pPr>
          </w:p>
        </w:tc>
        <w:tc>
          <w:tcPr>
            <w:tcW w:w="1104" w:type="dxa"/>
          </w:tcPr>
          <w:p w14:paraId="4632668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пулемет</w:t>
            </w:r>
          </w:p>
        </w:tc>
      </w:tr>
      <w:tr w:rsidR="004B4E35" w:rsidRPr="00405303" w14:paraId="2345998C" w14:textId="77777777">
        <w:trPr>
          <w:trHeight w:val="221"/>
        </w:trPr>
        <w:tc>
          <w:tcPr>
            <w:tcW w:w="1315" w:type="dxa"/>
          </w:tcPr>
          <w:p w14:paraId="381FAF3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ДН-2,</w:t>
            </w:r>
          </w:p>
        </w:tc>
        <w:tc>
          <w:tcPr>
            <w:tcW w:w="1315" w:type="dxa"/>
          </w:tcPr>
          <w:p w14:paraId="3291004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Февраль 1916</w:t>
            </w:r>
          </w:p>
        </w:tc>
        <w:tc>
          <w:tcPr>
            <w:tcW w:w="413" w:type="dxa"/>
          </w:tcPr>
          <w:p w14:paraId="7FC4B24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105</w:t>
            </w:r>
          </w:p>
        </w:tc>
        <w:tc>
          <w:tcPr>
            <w:tcW w:w="432" w:type="dxa"/>
          </w:tcPr>
          <w:p w14:paraId="37F9469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124</w:t>
            </w:r>
          </w:p>
        </w:tc>
        <w:tc>
          <w:tcPr>
            <w:tcW w:w="422" w:type="dxa"/>
          </w:tcPr>
          <w:p w14:paraId="7116944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643</w:t>
            </w:r>
          </w:p>
        </w:tc>
        <w:tc>
          <w:tcPr>
            <w:tcW w:w="547" w:type="dxa"/>
          </w:tcPr>
          <w:p w14:paraId="0A435E2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22,6</w:t>
            </w:r>
          </w:p>
        </w:tc>
        <w:tc>
          <w:tcPr>
            <w:tcW w:w="547" w:type="dxa"/>
          </w:tcPr>
          <w:p w14:paraId="5580E44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28,4</w:t>
            </w:r>
          </w:p>
        </w:tc>
        <w:tc>
          <w:tcPr>
            <w:tcW w:w="557" w:type="dxa"/>
          </w:tcPr>
          <w:p w14:paraId="4CC1476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6,13</w:t>
            </w:r>
          </w:p>
        </w:tc>
        <w:tc>
          <w:tcPr>
            <w:tcW w:w="1104" w:type="dxa"/>
          </w:tcPr>
          <w:p w14:paraId="2DDD710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несин-</w:t>
            </w:r>
          </w:p>
        </w:tc>
      </w:tr>
      <w:tr w:rsidR="004B4E35" w:rsidRPr="00405303" w14:paraId="310C45AC" w14:textId="77777777">
        <w:trPr>
          <w:trHeight w:val="182"/>
        </w:trPr>
        <w:tc>
          <w:tcPr>
            <w:tcW w:w="1315" w:type="dxa"/>
          </w:tcPr>
          <w:p w14:paraId="4020435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Англия</w:t>
            </w:r>
          </w:p>
        </w:tc>
        <w:tc>
          <w:tcPr>
            <w:tcW w:w="1315" w:type="dxa"/>
          </w:tcPr>
          <w:p w14:paraId="30C40BEA" w14:textId="77777777" w:rsidR="004B4E35" w:rsidRPr="00405303" w:rsidRDefault="004B4E35" w:rsidP="00C15251">
            <w:pPr>
              <w:shd w:val="clear" w:color="auto" w:fill="FFFFFF"/>
              <w:jc w:val="both"/>
              <w:rPr>
                <w:bCs/>
                <w:color w:val="002060"/>
                <w:sz w:val="16"/>
                <w:szCs w:val="16"/>
              </w:rPr>
            </w:pPr>
          </w:p>
        </w:tc>
        <w:tc>
          <w:tcPr>
            <w:tcW w:w="413" w:type="dxa"/>
          </w:tcPr>
          <w:p w14:paraId="6C09E965" w14:textId="77777777" w:rsidR="004B4E35" w:rsidRPr="00405303" w:rsidRDefault="004B4E35" w:rsidP="00C15251">
            <w:pPr>
              <w:shd w:val="clear" w:color="auto" w:fill="FFFFFF"/>
              <w:jc w:val="both"/>
              <w:rPr>
                <w:bCs/>
                <w:color w:val="002060"/>
                <w:sz w:val="16"/>
                <w:szCs w:val="16"/>
              </w:rPr>
            </w:pPr>
          </w:p>
        </w:tc>
        <w:tc>
          <w:tcPr>
            <w:tcW w:w="432" w:type="dxa"/>
          </w:tcPr>
          <w:p w14:paraId="534BBC47" w14:textId="77777777" w:rsidR="004B4E35" w:rsidRPr="00405303" w:rsidRDefault="004B4E35" w:rsidP="00C15251">
            <w:pPr>
              <w:shd w:val="clear" w:color="auto" w:fill="FFFFFF"/>
              <w:jc w:val="both"/>
              <w:rPr>
                <w:bCs/>
                <w:color w:val="002060"/>
                <w:sz w:val="16"/>
                <w:szCs w:val="16"/>
              </w:rPr>
            </w:pPr>
          </w:p>
        </w:tc>
        <w:tc>
          <w:tcPr>
            <w:tcW w:w="422" w:type="dxa"/>
          </w:tcPr>
          <w:p w14:paraId="1B82E1E9" w14:textId="77777777" w:rsidR="004B4E35" w:rsidRPr="00405303" w:rsidRDefault="004B4E35" w:rsidP="00C15251">
            <w:pPr>
              <w:shd w:val="clear" w:color="auto" w:fill="FFFFFF"/>
              <w:jc w:val="both"/>
              <w:rPr>
                <w:bCs/>
                <w:color w:val="002060"/>
                <w:sz w:val="16"/>
                <w:szCs w:val="16"/>
              </w:rPr>
            </w:pPr>
          </w:p>
        </w:tc>
        <w:tc>
          <w:tcPr>
            <w:tcW w:w="547" w:type="dxa"/>
          </w:tcPr>
          <w:p w14:paraId="072173A0" w14:textId="77777777" w:rsidR="004B4E35" w:rsidRPr="00405303" w:rsidRDefault="004B4E35" w:rsidP="00C15251">
            <w:pPr>
              <w:shd w:val="clear" w:color="auto" w:fill="FFFFFF"/>
              <w:jc w:val="both"/>
              <w:rPr>
                <w:bCs/>
                <w:color w:val="002060"/>
                <w:sz w:val="16"/>
                <w:szCs w:val="16"/>
              </w:rPr>
            </w:pPr>
          </w:p>
        </w:tc>
        <w:tc>
          <w:tcPr>
            <w:tcW w:w="547" w:type="dxa"/>
          </w:tcPr>
          <w:p w14:paraId="295D7BA5" w14:textId="77777777" w:rsidR="004B4E35" w:rsidRPr="00405303" w:rsidRDefault="004B4E35" w:rsidP="00C15251">
            <w:pPr>
              <w:shd w:val="clear" w:color="auto" w:fill="FFFFFF"/>
              <w:jc w:val="both"/>
              <w:rPr>
                <w:bCs/>
                <w:color w:val="002060"/>
                <w:sz w:val="16"/>
                <w:szCs w:val="16"/>
              </w:rPr>
            </w:pPr>
          </w:p>
        </w:tc>
        <w:tc>
          <w:tcPr>
            <w:tcW w:w="557" w:type="dxa"/>
          </w:tcPr>
          <w:p w14:paraId="025D3D77" w14:textId="77777777" w:rsidR="004B4E35" w:rsidRPr="00405303" w:rsidRDefault="004B4E35" w:rsidP="00C15251">
            <w:pPr>
              <w:shd w:val="clear" w:color="auto" w:fill="FFFFFF"/>
              <w:jc w:val="both"/>
              <w:rPr>
                <w:bCs/>
                <w:color w:val="002060"/>
                <w:sz w:val="16"/>
                <w:szCs w:val="16"/>
              </w:rPr>
            </w:pPr>
          </w:p>
        </w:tc>
        <w:tc>
          <w:tcPr>
            <w:tcW w:w="1104" w:type="dxa"/>
          </w:tcPr>
          <w:p w14:paraId="4E0BAD8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хронный</w:t>
            </w:r>
          </w:p>
        </w:tc>
      </w:tr>
      <w:tr w:rsidR="004B4E35" w:rsidRPr="00405303" w14:paraId="48390DB2" w14:textId="77777777">
        <w:trPr>
          <w:trHeight w:val="192"/>
        </w:trPr>
        <w:tc>
          <w:tcPr>
            <w:tcW w:w="1315" w:type="dxa"/>
          </w:tcPr>
          <w:p w14:paraId="3ED9A21D" w14:textId="77777777" w:rsidR="004B4E35" w:rsidRPr="00405303" w:rsidRDefault="004B4E35" w:rsidP="00C15251">
            <w:pPr>
              <w:shd w:val="clear" w:color="auto" w:fill="FFFFFF"/>
              <w:jc w:val="both"/>
              <w:rPr>
                <w:bCs/>
                <w:color w:val="002060"/>
                <w:sz w:val="16"/>
                <w:szCs w:val="16"/>
              </w:rPr>
            </w:pPr>
          </w:p>
        </w:tc>
        <w:tc>
          <w:tcPr>
            <w:tcW w:w="1315" w:type="dxa"/>
          </w:tcPr>
          <w:p w14:paraId="3E2D0914" w14:textId="77777777" w:rsidR="004B4E35" w:rsidRPr="00405303" w:rsidRDefault="004B4E35" w:rsidP="00C15251">
            <w:pPr>
              <w:shd w:val="clear" w:color="auto" w:fill="FFFFFF"/>
              <w:jc w:val="both"/>
              <w:rPr>
                <w:bCs/>
                <w:color w:val="002060"/>
                <w:sz w:val="16"/>
                <w:szCs w:val="16"/>
              </w:rPr>
            </w:pPr>
          </w:p>
        </w:tc>
        <w:tc>
          <w:tcPr>
            <w:tcW w:w="413" w:type="dxa"/>
          </w:tcPr>
          <w:p w14:paraId="60C2163C" w14:textId="77777777" w:rsidR="004B4E35" w:rsidRPr="00405303" w:rsidRDefault="004B4E35" w:rsidP="00C15251">
            <w:pPr>
              <w:shd w:val="clear" w:color="auto" w:fill="FFFFFF"/>
              <w:jc w:val="both"/>
              <w:rPr>
                <w:bCs/>
                <w:color w:val="002060"/>
                <w:sz w:val="16"/>
                <w:szCs w:val="16"/>
              </w:rPr>
            </w:pPr>
          </w:p>
        </w:tc>
        <w:tc>
          <w:tcPr>
            <w:tcW w:w="432" w:type="dxa"/>
          </w:tcPr>
          <w:p w14:paraId="10DBF110" w14:textId="77777777" w:rsidR="004B4E35" w:rsidRPr="00405303" w:rsidRDefault="004B4E35" w:rsidP="00C15251">
            <w:pPr>
              <w:shd w:val="clear" w:color="auto" w:fill="FFFFFF"/>
              <w:jc w:val="both"/>
              <w:rPr>
                <w:bCs/>
                <w:color w:val="002060"/>
                <w:sz w:val="16"/>
                <w:szCs w:val="16"/>
              </w:rPr>
            </w:pPr>
          </w:p>
        </w:tc>
        <w:tc>
          <w:tcPr>
            <w:tcW w:w="422" w:type="dxa"/>
          </w:tcPr>
          <w:p w14:paraId="60BBB08D" w14:textId="77777777" w:rsidR="004B4E35" w:rsidRPr="00405303" w:rsidRDefault="004B4E35" w:rsidP="00C15251">
            <w:pPr>
              <w:shd w:val="clear" w:color="auto" w:fill="FFFFFF"/>
              <w:jc w:val="both"/>
              <w:rPr>
                <w:bCs/>
                <w:color w:val="002060"/>
                <w:sz w:val="16"/>
                <w:szCs w:val="16"/>
              </w:rPr>
            </w:pPr>
          </w:p>
        </w:tc>
        <w:tc>
          <w:tcPr>
            <w:tcW w:w="547" w:type="dxa"/>
          </w:tcPr>
          <w:p w14:paraId="1B7104D7" w14:textId="77777777" w:rsidR="004B4E35" w:rsidRPr="00405303" w:rsidRDefault="004B4E35" w:rsidP="00C15251">
            <w:pPr>
              <w:shd w:val="clear" w:color="auto" w:fill="FFFFFF"/>
              <w:jc w:val="both"/>
              <w:rPr>
                <w:bCs/>
                <w:color w:val="002060"/>
                <w:sz w:val="16"/>
                <w:szCs w:val="16"/>
              </w:rPr>
            </w:pPr>
          </w:p>
        </w:tc>
        <w:tc>
          <w:tcPr>
            <w:tcW w:w="547" w:type="dxa"/>
          </w:tcPr>
          <w:p w14:paraId="59D369FF" w14:textId="77777777" w:rsidR="004B4E35" w:rsidRPr="00405303" w:rsidRDefault="004B4E35" w:rsidP="00C15251">
            <w:pPr>
              <w:shd w:val="clear" w:color="auto" w:fill="FFFFFF"/>
              <w:jc w:val="both"/>
              <w:rPr>
                <w:bCs/>
                <w:color w:val="002060"/>
                <w:sz w:val="16"/>
                <w:szCs w:val="16"/>
              </w:rPr>
            </w:pPr>
          </w:p>
        </w:tc>
        <w:tc>
          <w:tcPr>
            <w:tcW w:w="557" w:type="dxa"/>
          </w:tcPr>
          <w:p w14:paraId="1E9636D4" w14:textId="77777777" w:rsidR="004B4E35" w:rsidRPr="00405303" w:rsidRDefault="004B4E35" w:rsidP="00C15251">
            <w:pPr>
              <w:shd w:val="clear" w:color="auto" w:fill="FFFFFF"/>
              <w:jc w:val="both"/>
              <w:rPr>
                <w:bCs/>
                <w:color w:val="002060"/>
                <w:sz w:val="16"/>
                <w:szCs w:val="16"/>
              </w:rPr>
            </w:pPr>
          </w:p>
        </w:tc>
        <w:tc>
          <w:tcPr>
            <w:tcW w:w="1104" w:type="dxa"/>
          </w:tcPr>
          <w:p w14:paraId="03C218A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пулемет</w:t>
            </w:r>
          </w:p>
        </w:tc>
      </w:tr>
      <w:tr w:rsidR="004B4E35" w:rsidRPr="00405303" w14:paraId="2D8103C4" w14:textId="77777777">
        <w:trPr>
          <w:trHeight w:val="230"/>
        </w:trPr>
        <w:tc>
          <w:tcPr>
            <w:tcW w:w="1315" w:type="dxa"/>
          </w:tcPr>
          <w:p w14:paraId="4FCF3AA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Фоккер Д-2,</w:t>
            </w:r>
          </w:p>
        </w:tc>
        <w:tc>
          <w:tcPr>
            <w:tcW w:w="1315" w:type="dxa"/>
          </w:tcPr>
          <w:p w14:paraId="5C0931F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Март 1916</w:t>
            </w:r>
          </w:p>
        </w:tc>
        <w:tc>
          <w:tcPr>
            <w:tcW w:w="413" w:type="dxa"/>
          </w:tcPr>
          <w:p w14:paraId="67CDC34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100</w:t>
            </w:r>
          </w:p>
        </w:tc>
        <w:tc>
          <w:tcPr>
            <w:tcW w:w="432" w:type="dxa"/>
          </w:tcPr>
          <w:p w14:paraId="5BC8E3F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139</w:t>
            </w:r>
          </w:p>
        </w:tc>
        <w:tc>
          <w:tcPr>
            <w:tcW w:w="422" w:type="dxa"/>
          </w:tcPr>
          <w:p w14:paraId="44DD5F0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576</w:t>
            </w:r>
          </w:p>
        </w:tc>
        <w:tc>
          <w:tcPr>
            <w:tcW w:w="547" w:type="dxa"/>
          </w:tcPr>
          <w:p w14:paraId="7B937E8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18,0</w:t>
            </w:r>
          </w:p>
        </w:tc>
        <w:tc>
          <w:tcPr>
            <w:tcW w:w="547" w:type="dxa"/>
          </w:tcPr>
          <w:p w14:paraId="646941C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32,0</w:t>
            </w:r>
          </w:p>
        </w:tc>
        <w:tc>
          <w:tcPr>
            <w:tcW w:w="557" w:type="dxa"/>
          </w:tcPr>
          <w:p w14:paraId="350E49F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5,76</w:t>
            </w:r>
          </w:p>
        </w:tc>
        <w:tc>
          <w:tcPr>
            <w:tcW w:w="1104" w:type="dxa"/>
          </w:tcPr>
          <w:p w14:paraId="003933B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 синхрон-</w:t>
            </w:r>
          </w:p>
        </w:tc>
      </w:tr>
      <w:tr w:rsidR="004B4E35" w:rsidRPr="00405303" w14:paraId="15BDEE71" w14:textId="77777777">
        <w:trPr>
          <w:trHeight w:val="518"/>
        </w:trPr>
        <w:tc>
          <w:tcPr>
            <w:tcW w:w="1315" w:type="dxa"/>
          </w:tcPr>
          <w:p w14:paraId="497A305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Германия</w:t>
            </w:r>
          </w:p>
        </w:tc>
        <w:tc>
          <w:tcPr>
            <w:tcW w:w="1315" w:type="dxa"/>
          </w:tcPr>
          <w:p w14:paraId="6F9DACC2" w14:textId="77777777" w:rsidR="004B4E35" w:rsidRPr="00405303" w:rsidRDefault="004B4E35" w:rsidP="00C15251">
            <w:pPr>
              <w:shd w:val="clear" w:color="auto" w:fill="FFFFFF"/>
              <w:jc w:val="both"/>
              <w:rPr>
                <w:bCs/>
                <w:color w:val="002060"/>
                <w:sz w:val="16"/>
                <w:szCs w:val="16"/>
              </w:rPr>
            </w:pPr>
          </w:p>
        </w:tc>
        <w:tc>
          <w:tcPr>
            <w:tcW w:w="413" w:type="dxa"/>
          </w:tcPr>
          <w:p w14:paraId="0EF973EF" w14:textId="77777777" w:rsidR="004B4E35" w:rsidRPr="00405303" w:rsidRDefault="004B4E35" w:rsidP="00C15251">
            <w:pPr>
              <w:shd w:val="clear" w:color="auto" w:fill="FFFFFF"/>
              <w:jc w:val="both"/>
              <w:rPr>
                <w:bCs/>
                <w:color w:val="002060"/>
                <w:sz w:val="16"/>
                <w:szCs w:val="16"/>
              </w:rPr>
            </w:pPr>
          </w:p>
        </w:tc>
        <w:tc>
          <w:tcPr>
            <w:tcW w:w="432" w:type="dxa"/>
          </w:tcPr>
          <w:p w14:paraId="12E14934" w14:textId="77777777" w:rsidR="004B4E35" w:rsidRPr="00405303" w:rsidRDefault="004B4E35" w:rsidP="00C15251">
            <w:pPr>
              <w:shd w:val="clear" w:color="auto" w:fill="FFFFFF"/>
              <w:jc w:val="both"/>
              <w:rPr>
                <w:bCs/>
                <w:color w:val="002060"/>
                <w:sz w:val="16"/>
                <w:szCs w:val="16"/>
              </w:rPr>
            </w:pPr>
          </w:p>
        </w:tc>
        <w:tc>
          <w:tcPr>
            <w:tcW w:w="422" w:type="dxa"/>
          </w:tcPr>
          <w:p w14:paraId="67C21E43" w14:textId="77777777" w:rsidR="004B4E35" w:rsidRPr="00405303" w:rsidRDefault="004B4E35" w:rsidP="00C15251">
            <w:pPr>
              <w:shd w:val="clear" w:color="auto" w:fill="FFFFFF"/>
              <w:jc w:val="both"/>
              <w:rPr>
                <w:bCs/>
                <w:color w:val="002060"/>
                <w:sz w:val="16"/>
                <w:szCs w:val="16"/>
              </w:rPr>
            </w:pPr>
          </w:p>
        </w:tc>
        <w:tc>
          <w:tcPr>
            <w:tcW w:w="547" w:type="dxa"/>
          </w:tcPr>
          <w:p w14:paraId="1D0FF065" w14:textId="77777777" w:rsidR="004B4E35" w:rsidRPr="00405303" w:rsidRDefault="004B4E35" w:rsidP="00C15251">
            <w:pPr>
              <w:shd w:val="clear" w:color="auto" w:fill="FFFFFF"/>
              <w:jc w:val="both"/>
              <w:rPr>
                <w:bCs/>
                <w:color w:val="002060"/>
                <w:sz w:val="16"/>
                <w:szCs w:val="16"/>
              </w:rPr>
            </w:pPr>
          </w:p>
        </w:tc>
        <w:tc>
          <w:tcPr>
            <w:tcW w:w="547" w:type="dxa"/>
          </w:tcPr>
          <w:p w14:paraId="0786166E" w14:textId="77777777" w:rsidR="004B4E35" w:rsidRPr="00405303" w:rsidRDefault="004B4E35" w:rsidP="00C15251">
            <w:pPr>
              <w:shd w:val="clear" w:color="auto" w:fill="FFFFFF"/>
              <w:jc w:val="both"/>
              <w:rPr>
                <w:bCs/>
                <w:color w:val="002060"/>
                <w:sz w:val="16"/>
                <w:szCs w:val="16"/>
              </w:rPr>
            </w:pPr>
          </w:p>
        </w:tc>
        <w:tc>
          <w:tcPr>
            <w:tcW w:w="557" w:type="dxa"/>
          </w:tcPr>
          <w:p w14:paraId="3E17353B" w14:textId="77777777" w:rsidR="004B4E35" w:rsidRPr="00405303" w:rsidRDefault="004B4E35" w:rsidP="00C15251">
            <w:pPr>
              <w:shd w:val="clear" w:color="auto" w:fill="FFFFFF"/>
              <w:jc w:val="both"/>
              <w:rPr>
                <w:bCs/>
                <w:color w:val="002060"/>
                <w:sz w:val="16"/>
                <w:szCs w:val="16"/>
              </w:rPr>
            </w:pPr>
          </w:p>
        </w:tc>
        <w:tc>
          <w:tcPr>
            <w:tcW w:w="1104" w:type="dxa"/>
          </w:tcPr>
          <w:p w14:paraId="1B61E5E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ный пулемет</w:t>
            </w:r>
          </w:p>
        </w:tc>
      </w:tr>
    </w:tbl>
    <w:p w14:paraId="327133E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Из таблицы видно превосходство русских истребителей над ино</w:t>
      </w:r>
      <w:r w:rsidRPr="00405303">
        <w:rPr>
          <w:bCs/>
          <w:color w:val="002060"/>
          <w:sz w:val="16"/>
          <w:szCs w:val="16"/>
        </w:rPr>
        <w:softHyphen/>
        <w:t>странными в максимальной скорости горизонтального полета и в мощности вооружения.</w:t>
      </w:r>
    </w:p>
    <w:p w14:paraId="3BDFF58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Первый истребитель РБВЗ был неоднократно модифицирован по инициативе летчиков фронта и инженеров завода. Выпускался также двухместный учебно-тренировочный вариант этого самолета и по</w:t>
      </w:r>
      <w:r w:rsidRPr="00405303">
        <w:rPr>
          <w:bCs/>
          <w:color w:val="002060"/>
          <w:sz w:val="16"/>
          <w:szCs w:val="16"/>
        </w:rPr>
        <w:softHyphen/>
        <w:t>плавковый истребитель (318).</w:t>
      </w:r>
    </w:p>
    <w:p w14:paraId="19DA73F7" w14:textId="77777777" w:rsidR="004B4E35" w:rsidRPr="00405303" w:rsidRDefault="004B4E35" w:rsidP="00C15251">
      <w:pPr>
        <w:shd w:val="clear" w:color="auto" w:fill="FFFFFF"/>
        <w:jc w:val="both"/>
        <w:rPr>
          <w:bCs/>
          <w:color w:val="002060"/>
          <w:sz w:val="16"/>
          <w:szCs w:val="16"/>
        </w:rPr>
      </w:pPr>
    </w:p>
    <w:p w14:paraId="4B954BCF" w14:textId="77777777" w:rsidR="00FB79CF" w:rsidRPr="00405303" w:rsidRDefault="00FB79CF" w:rsidP="00C15251">
      <w:pPr>
        <w:jc w:val="both"/>
        <w:rPr>
          <w:bCs/>
          <w:color w:val="002060"/>
          <w:sz w:val="16"/>
          <w:szCs w:val="16"/>
        </w:rPr>
      </w:pPr>
      <w:r w:rsidRPr="00405303">
        <w:rPr>
          <w:bCs/>
          <w:color w:val="002060"/>
          <w:sz w:val="16"/>
          <w:szCs w:val="16"/>
        </w:rPr>
        <w:t>В кон</w:t>
      </w:r>
      <w:r w:rsidRPr="00405303">
        <w:rPr>
          <w:bCs/>
          <w:color w:val="002060"/>
          <w:sz w:val="16"/>
          <w:szCs w:val="16"/>
        </w:rPr>
        <w:softHyphen/>
        <w:t>це 1915 года появился на свет самолет «Хендли Пейдж 0/100», аналогичный по размерам «Илье Му</w:t>
      </w:r>
      <w:r w:rsidRPr="00405303">
        <w:rPr>
          <w:bCs/>
          <w:color w:val="002060"/>
          <w:sz w:val="16"/>
          <w:szCs w:val="16"/>
        </w:rPr>
        <w:softHyphen/>
        <w:t>ромцу», но оснащенный в отличие от нашего гиганта двумя двигателями. На фронт «Хендли Пейдж» посту</w:t>
      </w:r>
      <w:r w:rsidRPr="00405303">
        <w:rPr>
          <w:bCs/>
          <w:color w:val="002060"/>
          <w:sz w:val="16"/>
          <w:szCs w:val="16"/>
        </w:rPr>
        <w:softHyphen/>
        <w:t>пил только в ноябре 1916 г. С весны 1917 г. началось производство следующей модели 0/400. Годный для бо</w:t>
      </w:r>
      <w:r w:rsidRPr="00405303">
        <w:rPr>
          <w:bCs/>
          <w:color w:val="002060"/>
          <w:sz w:val="16"/>
          <w:szCs w:val="16"/>
        </w:rPr>
        <w:softHyphen/>
        <w:t>евого применения четырехмоторный бомбардировщик англичанам удалось построить только в 1918 г. При</w:t>
      </w:r>
      <w:r w:rsidRPr="00405303">
        <w:rPr>
          <w:bCs/>
          <w:color w:val="002060"/>
          <w:sz w:val="16"/>
          <w:szCs w:val="16"/>
        </w:rPr>
        <w:softHyphen/>
        <w:t>нять участие в боевых действиях он уже не успел (24177).</w:t>
      </w:r>
    </w:p>
    <w:p w14:paraId="398A2382" w14:textId="77777777" w:rsidR="00FB79CF" w:rsidRPr="00405303" w:rsidRDefault="00FB79CF" w:rsidP="00C15251">
      <w:pPr>
        <w:jc w:val="both"/>
        <w:rPr>
          <w:bCs/>
          <w:color w:val="002060"/>
          <w:sz w:val="16"/>
          <w:szCs w:val="16"/>
        </w:rPr>
      </w:pPr>
    </w:p>
    <w:p w14:paraId="1857001F"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Военное воздухоплавание:</w:t>
      </w:r>
    </w:p>
    <w:p w14:paraId="5CAC6673" w14:textId="77777777" w:rsidR="004B4E35" w:rsidRPr="00405303" w:rsidRDefault="004B4E35" w:rsidP="00C15251">
      <w:pPr>
        <w:shd w:val="clear" w:color="auto" w:fill="FFFFFF"/>
        <w:jc w:val="both"/>
        <w:rPr>
          <w:bCs/>
          <w:i/>
          <w:color w:val="002060"/>
          <w:sz w:val="16"/>
          <w:szCs w:val="16"/>
        </w:rPr>
      </w:pPr>
    </w:p>
    <w:p w14:paraId="5CE324AA" w14:textId="77777777" w:rsidR="004B4E35" w:rsidRPr="00405303" w:rsidRDefault="009E6F82" w:rsidP="00C15251">
      <w:pPr>
        <w:jc w:val="both"/>
        <w:rPr>
          <w:bCs/>
          <w:color w:val="002060"/>
          <w:sz w:val="16"/>
          <w:szCs w:val="16"/>
        </w:rPr>
      </w:pPr>
      <w:r w:rsidRPr="00405303">
        <w:rPr>
          <w:bCs/>
          <w:color w:val="002060"/>
          <w:sz w:val="16"/>
          <w:szCs w:val="16"/>
        </w:rPr>
        <w:t>Во второй половине 1915 года все передовые эллинги были потеряны в результате наступления противника и воздухоплавательные части лишились мест базирования. Такая участь постигла Луцкий эллинг, перенесенный во Львов, базы в Брест-Литовске, [388] Ковно и Гродно. Никакого пополнения взамен выбывших из строя дирижаблей воздухоплавательные роты не получали. На складах Главного военно-технического управления к началу войны управляемых аэростатов не имелось. После захвата противником Сосновицкого трубопрокатного завода, где осуществлялась заправка водородом металлических баллонов, снабжение газом управляемых аэростатов сильно ухудшилось. Положение усугублялось нехваткой материалов для добывания водорода (11324).</w:t>
      </w:r>
    </w:p>
    <w:p w14:paraId="11027443" w14:textId="18DB5BC9" w:rsidR="004B4E35" w:rsidRPr="00405303" w:rsidRDefault="004B4E35" w:rsidP="00C15251">
      <w:pPr>
        <w:shd w:val="clear" w:color="auto" w:fill="FFFFFF"/>
        <w:jc w:val="both"/>
        <w:rPr>
          <w:bCs/>
          <w:i/>
          <w:color w:val="002060"/>
          <w:sz w:val="16"/>
          <w:szCs w:val="16"/>
        </w:rPr>
      </w:pPr>
    </w:p>
    <w:p w14:paraId="325CF01C" w14:textId="40F93EC1" w:rsidR="00306D3C" w:rsidRPr="00405303" w:rsidRDefault="00306D3C"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2BA00545" w14:textId="77777777" w:rsidR="00306D3C" w:rsidRPr="00405303" w:rsidRDefault="00306D3C" w:rsidP="00C15251">
      <w:pPr>
        <w:shd w:val="clear" w:color="auto" w:fill="FFFFFF"/>
        <w:jc w:val="both"/>
        <w:rPr>
          <w:bCs/>
          <w:i/>
          <w:color w:val="002060"/>
          <w:sz w:val="16"/>
          <w:szCs w:val="16"/>
        </w:rPr>
      </w:pPr>
    </w:p>
    <w:p w14:paraId="68C95527" w14:textId="77777777" w:rsidR="00306D3C" w:rsidRPr="00405303" w:rsidRDefault="00306D3C" w:rsidP="00C15251">
      <w:pPr>
        <w:pStyle w:val="ae"/>
        <w:shd w:val="clear" w:color="auto" w:fill="FFFFFF"/>
        <w:spacing w:before="0" w:beforeAutospacing="0" w:after="0" w:afterAutospacing="0"/>
        <w:jc w:val="both"/>
        <w:rPr>
          <w:bCs/>
          <w:color w:val="002060"/>
          <w:sz w:val="16"/>
          <w:szCs w:val="16"/>
        </w:rPr>
      </w:pPr>
      <w:r w:rsidRPr="00405303">
        <w:rPr>
          <w:bCs/>
          <w:color w:val="002060"/>
          <w:sz w:val="16"/>
          <w:szCs w:val="16"/>
        </w:rPr>
        <w:t>Во второй половине 1915 г. поступил двухмоторный бомбардировщик Румплер 5А15 под маркой G I и выпущенный приличной серией примерно в 60 экземпляров (23079).</w:t>
      </w:r>
    </w:p>
    <w:p w14:paraId="0ED4AE36" w14:textId="77777777" w:rsidR="00306D3C" w:rsidRPr="00405303" w:rsidRDefault="00306D3C" w:rsidP="00C15251">
      <w:pPr>
        <w:pStyle w:val="ae"/>
        <w:shd w:val="clear" w:color="auto" w:fill="FFFFFF"/>
        <w:spacing w:before="0" w:beforeAutospacing="0" w:after="0" w:afterAutospacing="0"/>
        <w:jc w:val="both"/>
        <w:rPr>
          <w:bCs/>
          <w:color w:val="002060"/>
          <w:sz w:val="16"/>
          <w:szCs w:val="16"/>
        </w:rPr>
      </w:pPr>
    </w:p>
    <w:p w14:paraId="2632F466" w14:textId="77777777" w:rsidR="003A1985" w:rsidRPr="00405303" w:rsidRDefault="003A1985" w:rsidP="00C15251">
      <w:pPr>
        <w:shd w:val="clear" w:color="auto" w:fill="FFFFFF"/>
        <w:jc w:val="both"/>
        <w:rPr>
          <w:bCs/>
          <w:i/>
          <w:color w:val="002060"/>
          <w:sz w:val="16"/>
          <w:szCs w:val="16"/>
        </w:rPr>
      </w:pPr>
      <w:r w:rsidRPr="00405303">
        <w:rPr>
          <w:bCs/>
          <w:i/>
          <w:color w:val="002060"/>
          <w:sz w:val="16"/>
          <w:szCs w:val="16"/>
        </w:rPr>
        <w:t>Самолетостроение:</w:t>
      </w:r>
    </w:p>
    <w:p w14:paraId="0BD6C087" w14:textId="77777777" w:rsidR="003A1985" w:rsidRPr="00405303" w:rsidRDefault="003A1985" w:rsidP="00C15251">
      <w:pPr>
        <w:shd w:val="clear" w:color="auto" w:fill="FFFFFF"/>
        <w:jc w:val="both"/>
        <w:rPr>
          <w:bCs/>
          <w:i/>
          <w:color w:val="002060"/>
          <w:sz w:val="16"/>
          <w:szCs w:val="16"/>
        </w:rPr>
      </w:pPr>
    </w:p>
    <w:p w14:paraId="48A4BBDB" w14:textId="77777777" w:rsidR="003A1985" w:rsidRPr="00405303" w:rsidRDefault="003A1985" w:rsidP="00C15251">
      <w:pPr>
        <w:pStyle w:val="2"/>
        <w:spacing w:before="0" w:after="0"/>
        <w:jc w:val="both"/>
        <w:rPr>
          <w:b w:val="0"/>
          <w:bCs/>
          <w:color w:val="002060"/>
          <w:sz w:val="16"/>
          <w:szCs w:val="16"/>
        </w:rPr>
      </w:pPr>
      <w:r w:rsidRPr="00405303">
        <w:rPr>
          <w:b w:val="0"/>
          <w:bCs/>
          <w:color w:val="002060"/>
          <w:sz w:val="16"/>
          <w:szCs w:val="16"/>
        </w:rPr>
        <w:t>Зимой 1915 г. трехстоечный двухместный учебный биплан «Докучаев-4» с «Гномом» в 80 л.с. применялся в авиашколе на лыжах. Как у последних типов «Фарманов», верхнее крыло увеличенного размаха, с элеронами. Остальные детали — передний руль высоты с его фермой, хвостовая ферма и шасси от «Фармана-IV». Стабилизатор и руль высоты — только верхние, рулей направления — три.</w:t>
      </w:r>
    </w:p>
    <w:p w14:paraId="72C79EF7" w14:textId="77777777" w:rsidR="003A1985" w:rsidRPr="00405303" w:rsidRDefault="003A1985" w:rsidP="00C15251">
      <w:pPr>
        <w:pStyle w:val="2"/>
        <w:spacing w:before="0" w:after="0"/>
        <w:jc w:val="both"/>
        <w:rPr>
          <w:b w:val="0"/>
          <w:bCs/>
          <w:color w:val="002060"/>
          <w:sz w:val="16"/>
          <w:szCs w:val="16"/>
        </w:rPr>
      </w:pPr>
      <w:r w:rsidRPr="00405303">
        <w:rPr>
          <w:b w:val="0"/>
          <w:bCs/>
          <w:color w:val="002060"/>
          <w:sz w:val="16"/>
          <w:szCs w:val="16"/>
        </w:rPr>
        <w:t xml:space="preserve">Последним самолетом Докучаева, работавшего в годы войны в авиашколе инструктором первоначального обучения на учебном «Фармане-IV», стал «Фарман Докучаева» или «Докучаев-6», созданный в 1916 г. Это была традиционная «четверка» с хвостовой фермой и оперением от «Фармана-XVI», мотор «Гном» в 60 л.с. </w:t>
      </w:r>
      <w:r w:rsidRPr="00405303">
        <w:rPr>
          <w:b w:val="0"/>
          <w:bCs/>
          <w:color w:val="002060"/>
          <w:sz w:val="16"/>
          <w:szCs w:val="16"/>
        </w:rPr>
        <w:lastRenderedPageBreak/>
        <w:t xml:space="preserve">Самолет успешно летал как с двумя рулями высоты — передним и задним, так и только с задним. Из общего ряда модификаций «Фармана» выделялся «Докучаев-5» («Моноплан Докучаева»), построенный весной 1916 г. и напоминавший ЛЯМ, но </w:t>
      </w:r>
      <w:proofErr w:type="gramStart"/>
      <w:r w:rsidRPr="00405303">
        <w:rPr>
          <w:b w:val="0"/>
          <w:bCs/>
          <w:color w:val="002060"/>
          <w:sz w:val="16"/>
          <w:szCs w:val="16"/>
        </w:rPr>
        <w:t>фюзеляж</w:t>
      </w:r>
      <w:proofErr w:type="gramEnd"/>
      <w:r w:rsidRPr="00405303">
        <w:rPr>
          <w:b w:val="0"/>
          <w:bCs/>
          <w:color w:val="002060"/>
          <w:sz w:val="16"/>
          <w:szCs w:val="16"/>
        </w:rPr>
        <w:t xml:space="preserve"> сверху и снизу скругленный у кабины. Крылья — от 14-метрового «Морана», мотор «Гном» в 80 л.с. Шавров писал, что Докучаев строил этот самолет дома и только собрал в ангаре авиашколы. О попытке получить на него заказ от военного ведомства данных нет, самолет удачно летал на Ходынке как тренировочный. Война выдвинула новые требования к создаваемым типам боевых самолетов (15464).</w:t>
      </w:r>
    </w:p>
    <w:p w14:paraId="6F2A64D6" w14:textId="77777777" w:rsidR="003A1985" w:rsidRPr="00405303" w:rsidRDefault="003A1985" w:rsidP="00C15251">
      <w:pPr>
        <w:pStyle w:val="2"/>
        <w:spacing w:before="0" w:after="0"/>
        <w:jc w:val="both"/>
        <w:rPr>
          <w:b w:val="0"/>
          <w:bCs/>
          <w:color w:val="002060"/>
          <w:sz w:val="16"/>
          <w:szCs w:val="16"/>
        </w:rPr>
      </w:pPr>
    </w:p>
    <w:p w14:paraId="77B4231F" w14:textId="1C9B2647" w:rsidR="00FB79CF" w:rsidRPr="00405303" w:rsidRDefault="00FB79CF" w:rsidP="00C15251">
      <w:pPr>
        <w:jc w:val="both"/>
        <w:rPr>
          <w:bCs/>
          <w:i/>
          <w:color w:val="002060"/>
          <w:sz w:val="16"/>
          <w:szCs w:val="16"/>
        </w:rPr>
      </w:pPr>
      <w:r w:rsidRPr="00405303">
        <w:rPr>
          <w:bCs/>
          <w:i/>
          <w:color w:val="002060"/>
          <w:sz w:val="16"/>
          <w:szCs w:val="16"/>
        </w:rPr>
        <w:t>Аэростатостроение:</w:t>
      </w:r>
    </w:p>
    <w:p w14:paraId="24214C04" w14:textId="77777777" w:rsidR="00FB79CF" w:rsidRPr="00405303" w:rsidRDefault="00FB79CF" w:rsidP="00C15251">
      <w:pPr>
        <w:jc w:val="both"/>
        <w:rPr>
          <w:bCs/>
          <w:i/>
          <w:color w:val="002060"/>
          <w:sz w:val="16"/>
          <w:szCs w:val="16"/>
        </w:rPr>
      </w:pPr>
    </w:p>
    <w:p w14:paraId="331270B3" w14:textId="77777777" w:rsidR="00FB79CF" w:rsidRPr="00405303" w:rsidRDefault="00FB79CF" w:rsidP="00C15251">
      <w:pPr>
        <w:jc w:val="both"/>
        <w:rPr>
          <w:bCs/>
          <w:color w:val="002060"/>
          <w:sz w:val="16"/>
          <w:szCs w:val="16"/>
          <w:lang w:bidi="en-US"/>
        </w:rPr>
      </w:pPr>
      <w:r w:rsidRPr="00405303">
        <w:rPr>
          <w:bCs/>
          <w:color w:val="002060"/>
          <w:sz w:val="16"/>
          <w:szCs w:val="16"/>
          <w:lang w:bidi="en-US"/>
        </w:rPr>
        <w:t>Зимой 1915 года русский дирижабль «Гигант» потерпел крушение в Гатчине во время летных испытаний из-за неисправных модификаций корабля. Экипаж не пострадал (23525).</w:t>
      </w:r>
    </w:p>
    <w:p w14:paraId="657A5ED0" w14:textId="77777777" w:rsidR="00FB79CF" w:rsidRPr="00405303" w:rsidRDefault="00FB79CF" w:rsidP="00C15251">
      <w:pPr>
        <w:jc w:val="both"/>
        <w:rPr>
          <w:bCs/>
          <w:color w:val="002060"/>
          <w:sz w:val="16"/>
          <w:szCs w:val="16"/>
        </w:rPr>
      </w:pPr>
    </w:p>
    <w:p w14:paraId="486B505D" w14:textId="54B44E00" w:rsidR="003A1985" w:rsidRPr="00405303" w:rsidRDefault="003A1985" w:rsidP="00C15251">
      <w:pPr>
        <w:jc w:val="both"/>
        <w:rPr>
          <w:bCs/>
          <w:i/>
          <w:color w:val="002060"/>
          <w:sz w:val="16"/>
          <w:szCs w:val="16"/>
        </w:rPr>
      </w:pPr>
      <w:r w:rsidRPr="00405303">
        <w:rPr>
          <w:bCs/>
          <w:i/>
          <w:color w:val="002060"/>
          <w:sz w:val="16"/>
          <w:szCs w:val="16"/>
        </w:rPr>
        <w:t>Другие оборонные отрасли:</w:t>
      </w:r>
    </w:p>
    <w:p w14:paraId="57F6EBE8" w14:textId="77777777" w:rsidR="003A1985" w:rsidRPr="00405303" w:rsidRDefault="003A1985" w:rsidP="00C15251">
      <w:pPr>
        <w:jc w:val="both"/>
        <w:rPr>
          <w:bCs/>
          <w:i/>
          <w:color w:val="002060"/>
          <w:sz w:val="16"/>
          <w:szCs w:val="16"/>
        </w:rPr>
      </w:pPr>
    </w:p>
    <w:p w14:paraId="36C5013E" w14:textId="77777777" w:rsidR="003A1985" w:rsidRPr="00405303" w:rsidRDefault="003A1985" w:rsidP="00C15251">
      <w:pPr>
        <w:pStyle w:val="20"/>
        <w:shd w:val="clear" w:color="auto" w:fill="auto"/>
        <w:spacing w:after="0" w:line="240" w:lineRule="auto"/>
        <w:ind w:firstLine="0"/>
        <w:jc w:val="both"/>
        <w:rPr>
          <w:rFonts w:ascii="Times New Roman" w:hAnsi="Times New Roman"/>
          <w:bCs/>
          <w:color w:val="002060"/>
          <w:spacing w:val="0"/>
          <w:sz w:val="16"/>
          <w:szCs w:val="16"/>
        </w:rPr>
      </w:pPr>
      <w:r w:rsidRPr="00405303">
        <w:rPr>
          <w:rFonts w:ascii="Times New Roman" w:hAnsi="Times New Roman"/>
          <w:bCs/>
          <w:color w:val="002060"/>
          <w:spacing w:val="0"/>
          <w:sz w:val="16"/>
          <w:szCs w:val="16"/>
        </w:rPr>
        <w:t>К зиме 1915-1916 гг. «снарядный голод» в русской армии начал постепенно ослабевать. Военный теоретик, фронтовой генерал Н.Н. Головин в своем капитальном труде «Россия в Первой мировой войне» отмечает, что только к летней кампании 1916 года «наша легкая артиллерия оказалась уже в удовлетворительной мере обеспечена огнестрельными припасами».</w:t>
      </w:r>
    </w:p>
    <w:p w14:paraId="3ECD78D2" w14:textId="77777777" w:rsidR="003A1985" w:rsidRPr="00405303" w:rsidRDefault="003A1985" w:rsidP="00C15251">
      <w:pPr>
        <w:pStyle w:val="20"/>
        <w:shd w:val="clear" w:color="auto" w:fill="auto"/>
        <w:spacing w:after="0" w:line="240" w:lineRule="auto"/>
        <w:ind w:firstLine="0"/>
        <w:jc w:val="both"/>
        <w:rPr>
          <w:rFonts w:ascii="Times New Roman" w:hAnsi="Times New Roman"/>
          <w:bCs/>
          <w:color w:val="002060"/>
          <w:spacing w:val="0"/>
          <w:sz w:val="16"/>
          <w:szCs w:val="16"/>
        </w:rPr>
      </w:pPr>
      <w:r w:rsidRPr="00405303">
        <w:rPr>
          <w:rFonts w:ascii="Times New Roman" w:hAnsi="Times New Roman"/>
          <w:bCs/>
          <w:color w:val="002060"/>
          <w:spacing w:val="0"/>
          <w:sz w:val="16"/>
          <w:szCs w:val="16"/>
        </w:rPr>
        <w:t>Одновременно генерал подчеркивает, что дефицит боезапаса для полевых гаубиц и для тяжелой артиллерии в той или иной мере сохранялся на всем протяжении русского периода Великой войны, т.е. до конца 1917 года. Правда, конкретизирует Н.Н. Головин, вопрос боезапаса для гаубиц и тяжелой артиллерии никогда на русском фронте «так не обострялся, поскольку количество этого рода орудий было все время значительно меньше нужной для армии нормы» (15230).</w:t>
      </w:r>
    </w:p>
    <w:p w14:paraId="6BA0ED33" w14:textId="77777777" w:rsidR="003A1985" w:rsidRPr="00405303" w:rsidRDefault="003A1985" w:rsidP="00C15251">
      <w:pPr>
        <w:pStyle w:val="20"/>
        <w:shd w:val="clear" w:color="auto" w:fill="auto"/>
        <w:spacing w:after="0" w:line="240" w:lineRule="auto"/>
        <w:ind w:firstLine="0"/>
        <w:jc w:val="both"/>
        <w:rPr>
          <w:rFonts w:ascii="Times New Roman" w:hAnsi="Times New Roman"/>
          <w:bCs/>
          <w:color w:val="002060"/>
          <w:spacing w:val="0"/>
          <w:sz w:val="16"/>
          <w:szCs w:val="16"/>
        </w:rPr>
      </w:pPr>
    </w:p>
    <w:p w14:paraId="3F4032F1" w14:textId="1B484BEC" w:rsidR="00FB79CF" w:rsidRPr="00405303" w:rsidRDefault="00FB79CF" w:rsidP="00C15251">
      <w:pPr>
        <w:shd w:val="clear" w:color="auto" w:fill="FFFFFF"/>
        <w:jc w:val="both"/>
        <w:rPr>
          <w:bCs/>
          <w:i/>
          <w:color w:val="002060"/>
          <w:sz w:val="16"/>
          <w:szCs w:val="16"/>
        </w:rPr>
      </w:pPr>
      <w:r w:rsidRPr="00405303">
        <w:rPr>
          <w:bCs/>
          <w:i/>
          <w:color w:val="002060"/>
          <w:sz w:val="16"/>
          <w:szCs w:val="16"/>
        </w:rPr>
        <w:t>Авиация:</w:t>
      </w:r>
    </w:p>
    <w:p w14:paraId="1E22BC85" w14:textId="77777777" w:rsidR="00FB79CF" w:rsidRPr="00405303" w:rsidRDefault="00FB79CF" w:rsidP="00C15251">
      <w:pPr>
        <w:shd w:val="clear" w:color="auto" w:fill="FFFFFF"/>
        <w:jc w:val="both"/>
        <w:rPr>
          <w:bCs/>
          <w:i/>
          <w:color w:val="002060"/>
          <w:sz w:val="16"/>
          <w:szCs w:val="16"/>
        </w:rPr>
      </w:pPr>
    </w:p>
    <w:p w14:paraId="1ADC06AB" w14:textId="77777777" w:rsidR="00FB79CF" w:rsidRPr="00405303" w:rsidRDefault="00FB79CF" w:rsidP="00C15251">
      <w:pPr>
        <w:jc w:val="both"/>
        <w:rPr>
          <w:bCs/>
          <w:color w:val="002060"/>
          <w:sz w:val="16"/>
          <w:szCs w:val="16"/>
        </w:rPr>
      </w:pPr>
      <w:r w:rsidRPr="00405303">
        <w:rPr>
          <w:bCs/>
          <w:color w:val="002060"/>
          <w:sz w:val="16"/>
          <w:szCs w:val="16"/>
          <w:lang w:bidi="en-US"/>
        </w:rPr>
        <w:t>Зимой 1915 г. наблюдателем, офицером Генерального штаба капитаном М. П. Строевым была разработана разработка аэрофотограмметрических планов (в составе 37-й и 4-й стрелковых дивизий), позволяющих летчикам составить аэрофотокарту позиций противника (23525).</w:t>
      </w:r>
    </w:p>
    <w:p w14:paraId="05F8941C" w14:textId="77777777" w:rsidR="00FB79CF" w:rsidRPr="00405303" w:rsidRDefault="00FB79CF" w:rsidP="00C15251">
      <w:pPr>
        <w:jc w:val="both"/>
        <w:rPr>
          <w:bCs/>
          <w:color w:val="002060"/>
          <w:sz w:val="16"/>
          <w:szCs w:val="16"/>
        </w:rPr>
      </w:pPr>
    </w:p>
    <w:p w14:paraId="17B8A05C" w14:textId="1CEF29C9" w:rsidR="004B4E35" w:rsidRPr="00405303" w:rsidRDefault="009E6F82" w:rsidP="00C15251">
      <w:pPr>
        <w:shd w:val="clear" w:color="auto" w:fill="FFFFFF"/>
        <w:jc w:val="both"/>
        <w:rPr>
          <w:bCs/>
          <w:i/>
          <w:color w:val="002060"/>
          <w:sz w:val="16"/>
          <w:szCs w:val="16"/>
        </w:rPr>
      </w:pPr>
      <w:r w:rsidRPr="00405303">
        <w:rPr>
          <w:bCs/>
          <w:i/>
          <w:color w:val="002060"/>
          <w:sz w:val="16"/>
          <w:szCs w:val="16"/>
        </w:rPr>
        <w:t>Самолетостроение:</w:t>
      </w:r>
    </w:p>
    <w:p w14:paraId="20ECB361" w14:textId="77777777" w:rsidR="004B4E35" w:rsidRPr="00405303" w:rsidRDefault="004B4E35" w:rsidP="00C15251">
      <w:pPr>
        <w:shd w:val="clear" w:color="auto" w:fill="FFFFFF"/>
        <w:jc w:val="both"/>
        <w:rPr>
          <w:bCs/>
          <w:i/>
          <w:color w:val="002060"/>
          <w:sz w:val="16"/>
          <w:szCs w:val="16"/>
        </w:rPr>
      </w:pPr>
    </w:p>
    <w:p w14:paraId="33AA4E6E" w14:textId="3AC67223" w:rsidR="003A1985" w:rsidRPr="00405303" w:rsidRDefault="003A1985" w:rsidP="00C15251">
      <w:pPr>
        <w:shd w:val="clear" w:color="auto" w:fill="FFFFFF"/>
        <w:jc w:val="both"/>
        <w:rPr>
          <w:bCs/>
          <w:color w:val="002060"/>
          <w:sz w:val="16"/>
          <w:szCs w:val="16"/>
        </w:rPr>
      </w:pPr>
      <w:r w:rsidRPr="00405303">
        <w:rPr>
          <w:bCs/>
          <w:color w:val="002060"/>
          <w:sz w:val="16"/>
          <w:szCs w:val="16"/>
        </w:rPr>
        <w:t>В 1915</w:t>
      </w:r>
      <w:r w:rsidR="00DB4D64" w:rsidRPr="00405303">
        <w:rPr>
          <w:bCs/>
          <w:color w:val="002060"/>
          <w:sz w:val="16"/>
          <w:szCs w:val="16"/>
        </w:rPr>
        <w:t xml:space="preserve"> </w:t>
      </w:r>
      <w:r w:rsidRPr="00405303">
        <w:rPr>
          <w:bCs/>
          <w:color w:val="002060"/>
          <w:sz w:val="16"/>
          <w:szCs w:val="16"/>
        </w:rPr>
        <w:t>г.</w:t>
      </w:r>
      <w:r w:rsidR="00DB4D64" w:rsidRPr="00405303">
        <w:rPr>
          <w:bCs/>
          <w:color w:val="002060"/>
          <w:sz w:val="16"/>
          <w:szCs w:val="16"/>
        </w:rPr>
        <w:t xml:space="preserve"> </w:t>
      </w:r>
      <w:r w:rsidRPr="00405303">
        <w:rPr>
          <w:bCs/>
          <w:color w:val="002060"/>
          <w:sz w:val="16"/>
          <w:szCs w:val="16"/>
        </w:rPr>
        <w:t xml:space="preserve">неудачный моноплан </w:t>
      </w:r>
      <w:proofErr w:type="gramStart"/>
      <w:r w:rsidRPr="00405303">
        <w:rPr>
          <w:bCs/>
          <w:color w:val="002060"/>
          <w:sz w:val="16"/>
          <w:szCs w:val="16"/>
        </w:rPr>
        <w:t>«</w:t>
      </w:r>
      <w:r w:rsidR="00DB4D64" w:rsidRPr="00405303">
        <w:rPr>
          <w:bCs/>
          <w:color w:val="002060"/>
          <w:sz w:val="16"/>
          <w:szCs w:val="16"/>
        </w:rPr>
        <w:t xml:space="preserve"> </w:t>
      </w:r>
      <w:r w:rsidRPr="00405303">
        <w:rPr>
          <w:bCs/>
          <w:color w:val="002060"/>
          <w:sz w:val="16"/>
          <w:szCs w:val="16"/>
        </w:rPr>
        <w:t>Дукс</w:t>
      </w:r>
      <w:proofErr w:type="gramEnd"/>
      <w:r w:rsidRPr="00405303">
        <w:rPr>
          <w:bCs/>
          <w:color w:val="002060"/>
          <w:sz w:val="16"/>
          <w:szCs w:val="16"/>
        </w:rPr>
        <w:t xml:space="preserve"> № 2» 1913</w:t>
      </w:r>
      <w:r w:rsidR="00DB4D64" w:rsidRPr="00405303">
        <w:rPr>
          <w:bCs/>
          <w:color w:val="002060"/>
          <w:sz w:val="16"/>
          <w:szCs w:val="16"/>
        </w:rPr>
        <w:t xml:space="preserve"> </w:t>
      </w:r>
      <w:r w:rsidRPr="00405303">
        <w:rPr>
          <w:bCs/>
          <w:color w:val="002060"/>
          <w:sz w:val="16"/>
          <w:szCs w:val="16"/>
        </w:rPr>
        <w:t>г.</w:t>
      </w:r>
      <w:r w:rsidR="00DB4D64" w:rsidRPr="00405303">
        <w:rPr>
          <w:bCs/>
          <w:color w:val="002060"/>
          <w:sz w:val="16"/>
          <w:szCs w:val="16"/>
        </w:rPr>
        <w:t xml:space="preserve"> </w:t>
      </w:r>
      <w:r w:rsidRPr="00405303">
        <w:rPr>
          <w:bCs/>
          <w:color w:val="002060"/>
          <w:sz w:val="16"/>
          <w:szCs w:val="16"/>
        </w:rPr>
        <w:t>попытались превратить в</w:t>
      </w:r>
      <w:r w:rsidR="00DB4D64" w:rsidRPr="00405303">
        <w:rPr>
          <w:bCs/>
          <w:color w:val="002060"/>
          <w:sz w:val="16"/>
          <w:szCs w:val="16"/>
        </w:rPr>
        <w:t xml:space="preserve"> </w:t>
      </w:r>
      <w:proofErr w:type="gramStart"/>
      <w:r w:rsidRPr="00405303">
        <w:rPr>
          <w:bCs/>
          <w:color w:val="002060"/>
          <w:sz w:val="16"/>
          <w:szCs w:val="16"/>
        </w:rPr>
        <w:t>«</w:t>
      </w:r>
      <w:r w:rsidR="00DB4D64" w:rsidRPr="00405303">
        <w:rPr>
          <w:bCs/>
          <w:color w:val="002060"/>
          <w:sz w:val="16"/>
          <w:szCs w:val="16"/>
        </w:rPr>
        <w:t xml:space="preserve"> </w:t>
      </w:r>
      <w:r w:rsidRPr="00405303">
        <w:rPr>
          <w:bCs/>
          <w:color w:val="002060"/>
          <w:sz w:val="16"/>
          <w:szCs w:val="16"/>
        </w:rPr>
        <w:t>Дукс</w:t>
      </w:r>
      <w:proofErr w:type="gramEnd"/>
      <w:r w:rsidRPr="00405303">
        <w:rPr>
          <w:bCs/>
          <w:color w:val="002060"/>
          <w:sz w:val="16"/>
          <w:szCs w:val="16"/>
        </w:rPr>
        <w:t xml:space="preserve"> военный» Конструкцию шасси сделали более высокой, стойки шли прямо от</w:t>
      </w:r>
      <w:r w:rsidR="00DB4D64" w:rsidRPr="00405303">
        <w:rPr>
          <w:bCs/>
          <w:color w:val="002060"/>
          <w:sz w:val="16"/>
          <w:szCs w:val="16"/>
        </w:rPr>
        <w:t xml:space="preserve"> </w:t>
      </w:r>
      <w:r w:rsidRPr="00405303">
        <w:rPr>
          <w:bCs/>
          <w:color w:val="002060"/>
          <w:sz w:val="16"/>
          <w:szCs w:val="16"/>
        </w:rPr>
        <w:t>верхних лонжеронов фюзеляжа. Гондолу взяли от</w:t>
      </w:r>
      <w:r w:rsidR="00DB4D64" w:rsidRPr="00405303">
        <w:rPr>
          <w:bCs/>
          <w:color w:val="002060"/>
          <w:sz w:val="16"/>
          <w:szCs w:val="16"/>
        </w:rPr>
        <w:t xml:space="preserve"> </w:t>
      </w:r>
      <w:r w:rsidRPr="00405303">
        <w:rPr>
          <w:bCs/>
          <w:color w:val="002060"/>
          <w:sz w:val="16"/>
          <w:szCs w:val="16"/>
        </w:rPr>
        <w:t>«Фармана-XVI», крыло</w:t>
      </w:r>
      <w:r w:rsidR="00DB4D64" w:rsidRPr="00405303">
        <w:rPr>
          <w:bCs/>
          <w:color w:val="002060"/>
          <w:sz w:val="16"/>
          <w:szCs w:val="16"/>
        </w:rPr>
        <w:t xml:space="preserve"> </w:t>
      </w:r>
      <w:r w:rsidRPr="00405303">
        <w:rPr>
          <w:bCs/>
          <w:color w:val="002060"/>
          <w:sz w:val="16"/>
          <w:szCs w:val="16"/>
        </w:rPr>
        <w:t>— от</w:t>
      </w:r>
      <w:r w:rsidR="00DB4D64" w:rsidRPr="00405303">
        <w:rPr>
          <w:bCs/>
          <w:color w:val="002060"/>
          <w:sz w:val="16"/>
          <w:szCs w:val="16"/>
        </w:rPr>
        <w:t xml:space="preserve"> </w:t>
      </w:r>
      <w:r w:rsidRPr="00405303">
        <w:rPr>
          <w:bCs/>
          <w:color w:val="002060"/>
          <w:sz w:val="16"/>
          <w:szCs w:val="16"/>
        </w:rPr>
        <w:t>«Моран-парасоля». Мотор</w:t>
      </w:r>
      <w:r w:rsidR="00DB4D64" w:rsidRPr="00405303">
        <w:rPr>
          <w:bCs/>
          <w:color w:val="002060"/>
          <w:sz w:val="16"/>
          <w:szCs w:val="16"/>
        </w:rPr>
        <w:t xml:space="preserve"> </w:t>
      </w:r>
      <w:r w:rsidRPr="00405303">
        <w:rPr>
          <w:bCs/>
          <w:color w:val="002060"/>
          <w:sz w:val="16"/>
          <w:szCs w:val="16"/>
        </w:rPr>
        <w:t>— «Гном-Моносупап» в</w:t>
      </w:r>
      <w:r w:rsidR="00DB4D64" w:rsidRPr="00405303">
        <w:rPr>
          <w:bCs/>
          <w:color w:val="002060"/>
          <w:sz w:val="16"/>
          <w:szCs w:val="16"/>
        </w:rPr>
        <w:t xml:space="preserve"> </w:t>
      </w:r>
      <w:r w:rsidRPr="00405303">
        <w:rPr>
          <w:bCs/>
          <w:color w:val="002060"/>
          <w:sz w:val="16"/>
          <w:szCs w:val="16"/>
        </w:rPr>
        <w:t>100 л. с. Естественно, что такой самолет успеха не</w:t>
      </w:r>
      <w:r w:rsidR="00DB4D64" w:rsidRPr="00405303">
        <w:rPr>
          <w:bCs/>
          <w:color w:val="002060"/>
          <w:sz w:val="16"/>
          <w:szCs w:val="16"/>
        </w:rPr>
        <w:t xml:space="preserve"> </w:t>
      </w:r>
      <w:r w:rsidRPr="00405303">
        <w:rPr>
          <w:bCs/>
          <w:color w:val="002060"/>
          <w:sz w:val="16"/>
          <w:szCs w:val="16"/>
        </w:rPr>
        <w:t>имел. Похоже, что в</w:t>
      </w:r>
      <w:r w:rsidR="00DB4D64" w:rsidRPr="00405303">
        <w:rPr>
          <w:bCs/>
          <w:color w:val="002060"/>
          <w:sz w:val="16"/>
          <w:szCs w:val="16"/>
        </w:rPr>
        <w:t xml:space="preserve"> </w:t>
      </w:r>
      <w:r w:rsidRPr="00405303">
        <w:rPr>
          <w:bCs/>
          <w:color w:val="002060"/>
          <w:sz w:val="16"/>
          <w:szCs w:val="16"/>
        </w:rPr>
        <w:t xml:space="preserve">штате завода </w:t>
      </w:r>
      <w:proofErr w:type="gramStart"/>
      <w:r w:rsidRPr="00405303">
        <w:rPr>
          <w:bCs/>
          <w:color w:val="002060"/>
          <w:sz w:val="16"/>
          <w:szCs w:val="16"/>
        </w:rPr>
        <w:t>«</w:t>
      </w:r>
      <w:r w:rsidR="00DB4D64" w:rsidRPr="00405303">
        <w:rPr>
          <w:bCs/>
          <w:color w:val="002060"/>
          <w:sz w:val="16"/>
          <w:szCs w:val="16"/>
        </w:rPr>
        <w:t xml:space="preserve"> </w:t>
      </w:r>
      <w:r w:rsidRPr="00405303">
        <w:rPr>
          <w:bCs/>
          <w:color w:val="002060"/>
          <w:sz w:val="16"/>
          <w:szCs w:val="16"/>
        </w:rPr>
        <w:t>Дукс</w:t>
      </w:r>
      <w:proofErr w:type="gramEnd"/>
      <w:r w:rsidR="00DB4D64" w:rsidRPr="00405303">
        <w:rPr>
          <w:bCs/>
          <w:color w:val="002060"/>
          <w:sz w:val="16"/>
          <w:szCs w:val="16"/>
        </w:rPr>
        <w:t xml:space="preserve"> </w:t>
      </w:r>
      <w:r w:rsidRPr="00405303">
        <w:rPr>
          <w:bCs/>
          <w:color w:val="002060"/>
          <w:sz w:val="16"/>
          <w:szCs w:val="16"/>
        </w:rPr>
        <w:t>» в</w:t>
      </w:r>
      <w:r w:rsidR="00DB4D64" w:rsidRPr="00405303">
        <w:rPr>
          <w:bCs/>
          <w:color w:val="002060"/>
          <w:sz w:val="16"/>
          <w:szCs w:val="16"/>
        </w:rPr>
        <w:t xml:space="preserve"> </w:t>
      </w:r>
      <w:r w:rsidRPr="00405303">
        <w:rPr>
          <w:bCs/>
          <w:color w:val="002060"/>
          <w:sz w:val="16"/>
          <w:szCs w:val="16"/>
        </w:rPr>
        <w:t>10-е годы должность главного конструктора была не</w:t>
      </w:r>
      <w:r w:rsidR="00DB4D64" w:rsidRPr="00405303">
        <w:rPr>
          <w:bCs/>
          <w:color w:val="002060"/>
          <w:sz w:val="16"/>
          <w:szCs w:val="16"/>
        </w:rPr>
        <w:t xml:space="preserve"> </w:t>
      </w:r>
      <w:r w:rsidRPr="00405303">
        <w:rPr>
          <w:bCs/>
          <w:color w:val="002060"/>
          <w:sz w:val="16"/>
          <w:szCs w:val="16"/>
        </w:rPr>
        <w:t>в</w:t>
      </w:r>
      <w:r w:rsidR="00DB4D64" w:rsidRPr="00405303">
        <w:rPr>
          <w:bCs/>
          <w:color w:val="002060"/>
          <w:sz w:val="16"/>
          <w:szCs w:val="16"/>
        </w:rPr>
        <w:t xml:space="preserve"> </w:t>
      </w:r>
      <w:r w:rsidRPr="00405303">
        <w:rPr>
          <w:bCs/>
          <w:color w:val="002060"/>
          <w:sz w:val="16"/>
          <w:szCs w:val="16"/>
        </w:rPr>
        <w:t>почете, или просто не</w:t>
      </w:r>
      <w:r w:rsidR="00DB4D64" w:rsidRPr="00405303">
        <w:rPr>
          <w:bCs/>
          <w:color w:val="002060"/>
          <w:sz w:val="16"/>
          <w:szCs w:val="16"/>
        </w:rPr>
        <w:t xml:space="preserve"> </w:t>
      </w:r>
      <w:r w:rsidRPr="00405303">
        <w:rPr>
          <w:bCs/>
          <w:color w:val="002060"/>
          <w:sz w:val="16"/>
          <w:szCs w:val="16"/>
        </w:rPr>
        <w:t>предусматривалась. Ни у</w:t>
      </w:r>
      <w:r w:rsidR="00DB4D64" w:rsidRPr="00405303">
        <w:rPr>
          <w:bCs/>
          <w:color w:val="002060"/>
          <w:sz w:val="16"/>
          <w:szCs w:val="16"/>
        </w:rPr>
        <w:t xml:space="preserve"> </w:t>
      </w:r>
      <w:proofErr w:type="gramStart"/>
      <w:r w:rsidRPr="00405303">
        <w:rPr>
          <w:bCs/>
          <w:color w:val="002060"/>
          <w:sz w:val="16"/>
          <w:szCs w:val="16"/>
        </w:rPr>
        <w:t>«</w:t>
      </w:r>
      <w:r w:rsidR="00DB4D64" w:rsidRPr="00405303">
        <w:rPr>
          <w:bCs/>
          <w:color w:val="002060"/>
          <w:sz w:val="16"/>
          <w:szCs w:val="16"/>
        </w:rPr>
        <w:t xml:space="preserve"> </w:t>
      </w:r>
      <w:r w:rsidRPr="00405303">
        <w:rPr>
          <w:bCs/>
          <w:color w:val="002060"/>
          <w:sz w:val="16"/>
          <w:szCs w:val="16"/>
        </w:rPr>
        <w:t>Дукса</w:t>
      </w:r>
      <w:proofErr w:type="gramEnd"/>
      <w:r w:rsidRPr="00405303">
        <w:rPr>
          <w:bCs/>
          <w:color w:val="002060"/>
          <w:sz w:val="16"/>
          <w:szCs w:val="16"/>
        </w:rPr>
        <w:t>-</w:t>
      </w:r>
      <w:proofErr w:type="gramStart"/>
      <w:r w:rsidRPr="00405303">
        <w:rPr>
          <w:bCs/>
          <w:color w:val="002060"/>
          <w:sz w:val="16"/>
          <w:szCs w:val="16"/>
        </w:rPr>
        <w:t>военного</w:t>
      </w:r>
      <w:r w:rsidR="00DB4D64" w:rsidRPr="00405303">
        <w:rPr>
          <w:bCs/>
          <w:color w:val="002060"/>
          <w:sz w:val="16"/>
          <w:szCs w:val="16"/>
        </w:rPr>
        <w:t xml:space="preserve"> </w:t>
      </w:r>
      <w:r w:rsidRPr="00405303">
        <w:rPr>
          <w:bCs/>
          <w:color w:val="002060"/>
          <w:sz w:val="16"/>
          <w:szCs w:val="16"/>
        </w:rPr>
        <w:t>»</w:t>
      </w:r>
      <w:proofErr w:type="gramEnd"/>
      <w:r w:rsidRPr="00405303">
        <w:rPr>
          <w:bCs/>
          <w:color w:val="002060"/>
          <w:sz w:val="16"/>
          <w:szCs w:val="16"/>
        </w:rPr>
        <w:t xml:space="preserve"> 1915</w:t>
      </w:r>
      <w:r w:rsidR="00DB4D64" w:rsidRPr="00405303">
        <w:rPr>
          <w:bCs/>
          <w:color w:val="002060"/>
          <w:sz w:val="16"/>
          <w:szCs w:val="16"/>
        </w:rPr>
        <w:t xml:space="preserve"> </w:t>
      </w:r>
      <w:r w:rsidRPr="00405303">
        <w:rPr>
          <w:bCs/>
          <w:color w:val="002060"/>
          <w:sz w:val="16"/>
          <w:szCs w:val="16"/>
        </w:rPr>
        <w:t>г., ни у</w:t>
      </w:r>
      <w:r w:rsidR="00DB4D64" w:rsidRPr="00405303">
        <w:rPr>
          <w:bCs/>
          <w:color w:val="002060"/>
          <w:sz w:val="16"/>
          <w:szCs w:val="16"/>
        </w:rPr>
        <w:t xml:space="preserve"> </w:t>
      </w:r>
      <w:proofErr w:type="gramStart"/>
      <w:r w:rsidRPr="00405303">
        <w:rPr>
          <w:bCs/>
          <w:color w:val="002060"/>
          <w:sz w:val="16"/>
          <w:szCs w:val="16"/>
        </w:rPr>
        <w:t>«</w:t>
      </w:r>
      <w:r w:rsidR="00DB4D64" w:rsidRPr="00405303">
        <w:rPr>
          <w:bCs/>
          <w:color w:val="002060"/>
          <w:sz w:val="16"/>
          <w:szCs w:val="16"/>
        </w:rPr>
        <w:t xml:space="preserve"> </w:t>
      </w:r>
      <w:r w:rsidRPr="00405303">
        <w:rPr>
          <w:bCs/>
          <w:color w:val="002060"/>
          <w:sz w:val="16"/>
          <w:szCs w:val="16"/>
        </w:rPr>
        <w:t>Дукса</w:t>
      </w:r>
      <w:proofErr w:type="gramEnd"/>
      <w:r w:rsidRPr="00405303">
        <w:rPr>
          <w:bCs/>
          <w:color w:val="002060"/>
          <w:sz w:val="16"/>
          <w:szCs w:val="16"/>
        </w:rPr>
        <w:t xml:space="preserve"> двухмоторного», начатого постройкой в</w:t>
      </w:r>
      <w:r w:rsidR="00DB4D64" w:rsidRPr="00405303">
        <w:rPr>
          <w:bCs/>
          <w:color w:val="002060"/>
          <w:sz w:val="16"/>
          <w:szCs w:val="16"/>
        </w:rPr>
        <w:t xml:space="preserve"> </w:t>
      </w:r>
      <w:r w:rsidRPr="00405303">
        <w:rPr>
          <w:bCs/>
          <w:color w:val="002060"/>
          <w:sz w:val="16"/>
          <w:szCs w:val="16"/>
        </w:rPr>
        <w:t>1916</w:t>
      </w:r>
      <w:r w:rsidR="00DB4D64" w:rsidRPr="00405303">
        <w:rPr>
          <w:bCs/>
          <w:color w:val="002060"/>
          <w:sz w:val="16"/>
          <w:szCs w:val="16"/>
        </w:rPr>
        <w:t xml:space="preserve"> </w:t>
      </w:r>
      <w:r w:rsidRPr="00405303">
        <w:rPr>
          <w:bCs/>
          <w:color w:val="002060"/>
          <w:sz w:val="16"/>
          <w:szCs w:val="16"/>
        </w:rPr>
        <w:t>г., определенного автора не</w:t>
      </w:r>
      <w:r w:rsidR="00DB4D64" w:rsidRPr="00405303">
        <w:rPr>
          <w:bCs/>
          <w:color w:val="002060"/>
          <w:sz w:val="16"/>
          <w:szCs w:val="16"/>
        </w:rPr>
        <w:t xml:space="preserve"> </w:t>
      </w:r>
      <w:r w:rsidRPr="00405303">
        <w:rPr>
          <w:bCs/>
          <w:color w:val="002060"/>
          <w:sz w:val="16"/>
          <w:szCs w:val="16"/>
        </w:rPr>
        <w:t>было. Последний начали конструировать по</w:t>
      </w:r>
      <w:r w:rsidR="00DB4D64" w:rsidRPr="00405303">
        <w:rPr>
          <w:bCs/>
          <w:color w:val="002060"/>
          <w:sz w:val="16"/>
          <w:szCs w:val="16"/>
        </w:rPr>
        <w:t xml:space="preserve"> </w:t>
      </w:r>
      <w:r w:rsidRPr="00405303">
        <w:rPr>
          <w:bCs/>
          <w:color w:val="002060"/>
          <w:sz w:val="16"/>
          <w:szCs w:val="16"/>
        </w:rPr>
        <w:t>инициативе технического директора завода С. Г.</w:t>
      </w:r>
      <w:r w:rsidR="00DB4D64" w:rsidRPr="00405303">
        <w:rPr>
          <w:bCs/>
          <w:color w:val="002060"/>
          <w:sz w:val="16"/>
          <w:szCs w:val="16"/>
        </w:rPr>
        <w:t xml:space="preserve"> </w:t>
      </w:r>
      <w:r w:rsidRPr="00405303">
        <w:rPr>
          <w:bCs/>
          <w:color w:val="002060"/>
          <w:sz w:val="16"/>
          <w:szCs w:val="16"/>
        </w:rPr>
        <w:t>Бутми, занявшего 3-е место на</w:t>
      </w:r>
      <w:r w:rsidR="00DB4D64" w:rsidRPr="00405303">
        <w:rPr>
          <w:bCs/>
          <w:color w:val="002060"/>
          <w:sz w:val="16"/>
          <w:szCs w:val="16"/>
        </w:rPr>
        <w:t xml:space="preserve"> </w:t>
      </w:r>
      <w:r w:rsidRPr="00405303">
        <w:rPr>
          <w:bCs/>
          <w:color w:val="002060"/>
          <w:sz w:val="16"/>
          <w:szCs w:val="16"/>
        </w:rPr>
        <w:t>«Ньюпоре-IV» «</w:t>
      </w:r>
      <w:r w:rsidR="00DB4D64" w:rsidRPr="00405303">
        <w:rPr>
          <w:bCs/>
          <w:color w:val="002060"/>
          <w:sz w:val="16"/>
          <w:szCs w:val="16"/>
        </w:rPr>
        <w:t xml:space="preserve"> </w:t>
      </w:r>
      <w:r w:rsidRPr="00405303">
        <w:rPr>
          <w:bCs/>
          <w:color w:val="002060"/>
          <w:sz w:val="16"/>
          <w:szCs w:val="16"/>
        </w:rPr>
        <w:t>Дукса</w:t>
      </w:r>
      <w:r w:rsidR="00DB4D64" w:rsidRPr="00405303">
        <w:rPr>
          <w:bCs/>
          <w:color w:val="002060"/>
          <w:sz w:val="16"/>
          <w:szCs w:val="16"/>
        </w:rPr>
        <w:t xml:space="preserve"> </w:t>
      </w:r>
      <w:r w:rsidRPr="00405303">
        <w:rPr>
          <w:bCs/>
          <w:color w:val="002060"/>
          <w:sz w:val="16"/>
          <w:szCs w:val="16"/>
        </w:rPr>
        <w:t>» на</w:t>
      </w:r>
      <w:r w:rsidR="00DB4D64" w:rsidRPr="00405303">
        <w:rPr>
          <w:bCs/>
          <w:color w:val="002060"/>
          <w:sz w:val="16"/>
          <w:szCs w:val="16"/>
        </w:rPr>
        <w:t xml:space="preserve"> </w:t>
      </w:r>
      <w:r w:rsidRPr="00405303">
        <w:rPr>
          <w:bCs/>
          <w:color w:val="002060"/>
          <w:sz w:val="16"/>
          <w:szCs w:val="16"/>
        </w:rPr>
        <w:t>конкурсе 1912</w:t>
      </w:r>
      <w:r w:rsidR="00DB4D64" w:rsidRPr="00405303">
        <w:rPr>
          <w:bCs/>
          <w:color w:val="002060"/>
          <w:sz w:val="16"/>
          <w:szCs w:val="16"/>
        </w:rPr>
        <w:t xml:space="preserve"> </w:t>
      </w:r>
      <w:r w:rsidRPr="00405303">
        <w:rPr>
          <w:bCs/>
          <w:color w:val="002060"/>
          <w:sz w:val="16"/>
          <w:szCs w:val="16"/>
        </w:rPr>
        <w:t>г.</w:t>
      </w:r>
      <w:r w:rsidR="00DB4D64" w:rsidRPr="00405303">
        <w:rPr>
          <w:bCs/>
          <w:color w:val="002060"/>
          <w:sz w:val="16"/>
          <w:szCs w:val="16"/>
        </w:rPr>
        <w:t xml:space="preserve"> </w:t>
      </w:r>
      <w:r w:rsidRPr="00405303">
        <w:rPr>
          <w:bCs/>
          <w:color w:val="002060"/>
          <w:sz w:val="16"/>
          <w:szCs w:val="16"/>
        </w:rPr>
        <w:t>Основной целью являлось создание современного разведчика, способного заменить «Фарман-ХХХ», главным недостатком которого являлось отсутствие защиты сзади. С</w:t>
      </w:r>
      <w:r w:rsidR="00DB4D64" w:rsidRPr="00405303">
        <w:rPr>
          <w:bCs/>
          <w:color w:val="002060"/>
          <w:sz w:val="16"/>
          <w:szCs w:val="16"/>
        </w:rPr>
        <w:t xml:space="preserve"> </w:t>
      </w:r>
      <w:r w:rsidRPr="00405303">
        <w:rPr>
          <w:bCs/>
          <w:color w:val="002060"/>
          <w:sz w:val="16"/>
          <w:szCs w:val="16"/>
        </w:rPr>
        <w:t>1915</w:t>
      </w:r>
      <w:r w:rsidR="00DB4D64" w:rsidRPr="00405303">
        <w:rPr>
          <w:bCs/>
          <w:color w:val="002060"/>
          <w:sz w:val="16"/>
          <w:szCs w:val="16"/>
        </w:rPr>
        <w:t xml:space="preserve"> </w:t>
      </w:r>
      <w:r w:rsidRPr="00405303">
        <w:rPr>
          <w:bCs/>
          <w:color w:val="002060"/>
          <w:sz w:val="16"/>
          <w:szCs w:val="16"/>
        </w:rPr>
        <w:t>г.</w:t>
      </w:r>
      <w:r w:rsidR="00DB4D64" w:rsidRPr="00405303">
        <w:rPr>
          <w:bCs/>
          <w:color w:val="002060"/>
          <w:sz w:val="16"/>
          <w:szCs w:val="16"/>
        </w:rPr>
        <w:t xml:space="preserve"> </w:t>
      </w:r>
      <w:r w:rsidRPr="00405303">
        <w:rPr>
          <w:bCs/>
          <w:color w:val="002060"/>
          <w:sz w:val="16"/>
          <w:szCs w:val="16"/>
        </w:rPr>
        <w:t>невооруженный самолет на</w:t>
      </w:r>
      <w:r w:rsidR="00DB4D64" w:rsidRPr="00405303">
        <w:rPr>
          <w:bCs/>
          <w:color w:val="002060"/>
          <w:sz w:val="16"/>
          <w:szCs w:val="16"/>
        </w:rPr>
        <w:t xml:space="preserve"> </w:t>
      </w:r>
      <w:r w:rsidRPr="00405303">
        <w:rPr>
          <w:bCs/>
          <w:color w:val="002060"/>
          <w:sz w:val="16"/>
          <w:szCs w:val="16"/>
        </w:rPr>
        <w:t>фронте уже не</w:t>
      </w:r>
      <w:r w:rsidR="00DB4D64" w:rsidRPr="00405303">
        <w:rPr>
          <w:bCs/>
          <w:color w:val="002060"/>
          <w:sz w:val="16"/>
          <w:szCs w:val="16"/>
        </w:rPr>
        <w:t xml:space="preserve"> </w:t>
      </w:r>
      <w:r w:rsidRPr="00405303">
        <w:rPr>
          <w:bCs/>
          <w:color w:val="002060"/>
          <w:sz w:val="16"/>
          <w:szCs w:val="16"/>
        </w:rPr>
        <w:t>мог считаться полноценной боевой единицей. Установка вооружения накладывала целый ряд условий и</w:t>
      </w:r>
      <w:r w:rsidR="00DB4D64" w:rsidRPr="00405303">
        <w:rPr>
          <w:bCs/>
          <w:color w:val="002060"/>
          <w:sz w:val="16"/>
          <w:szCs w:val="16"/>
        </w:rPr>
        <w:t xml:space="preserve"> </w:t>
      </w:r>
      <w:r w:rsidRPr="00405303">
        <w:rPr>
          <w:bCs/>
          <w:color w:val="002060"/>
          <w:sz w:val="16"/>
          <w:szCs w:val="16"/>
        </w:rPr>
        <w:t>ограничений на</w:t>
      </w:r>
      <w:r w:rsidR="00DB4D64" w:rsidRPr="00405303">
        <w:rPr>
          <w:bCs/>
          <w:color w:val="002060"/>
          <w:sz w:val="16"/>
          <w:szCs w:val="16"/>
        </w:rPr>
        <w:t xml:space="preserve"> </w:t>
      </w:r>
      <w:r w:rsidRPr="00405303">
        <w:rPr>
          <w:bCs/>
          <w:color w:val="002060"/>
          <w:sz w:val="16"/>
          <w:szCs w:val="16"/>
        </w:rPr>
        <w:t>конструкцию, поэтому самолет оснастили двумя моторами «Рон» в</w:t>
      </w:r>
      <w:r w:rsidR="00DB4D64" w:rsidRPr="00405303">
        <w:rPr>
          <w:bCs/>
          <w:color w:val="002060"/>
          <w:sz w:val="16"/>
          <w:szCs w:val="16"/>
        </w:rPr>
        <w:t xml:space="preserve"> </w:t>
      </w:r>
      <w:r w:rsidRPr="00405303">
        <w:rPr>
          <w:bCs/>
          <w:color w:val="002060"/>
          <w:sz w:val="16"/>
          <w:szCs w:val="16"/>
        </w:rPr>
        <w:t>80 л. с. между крыльями с</w:t>
      </w:r>
      <w:r w:rsidR="00DB4D64" w:rsidRPr="00405303">
        <w:rPr>
          <w:bCs/>
          <w:color w:val="002060"/>
          <w:sz w:val="16"/>
          <w:szCs w:val="16"/>
        </w:rPr>
        <w:t xml:space="preserve"> </w:t>
      </w:r>
      <w:r w:rsidRPr="00405303">
        <w:rPr>
          <w:bCs/>
          <w:color w:val="002060"/>
          <w:sz w:val="16"/>
          <w:szCs w:val="16"/>
        </w:rPr>
        <w:t>толкающими винтами на</w:t>
      </w:r>
      <w:r w:rsidR="00DB4D64" w:rsidRPr="00405303">
        <w:rPr>
          <w:bCs/>
          <w:color w:val="002060"/>
          <w:sz w:val="16"/>
          <w:szCs w:val="16"/>
        </w:rPr>
        <w:t xml:space="preserve"> </w:t>
      </w:r>
      <w:r w:rsidRPr="00405303">
        <w:rPr>
          <w:bCs/>
          <w:color w:val="002060"/>
          <w:sz w:val="16"/>
          <w:szCs w:val="16"/>
        </w:rPr>
        <w:t>длинных валах с</w:t>
      </w:r>
      <w:r w:rsidR="00DB4D64" w:rsidRPr="00405303">
        <w:rPr>
          <w:bCs/>
          <w:color w:val="002060"/>
          <w:sz w:val="16"/>
          <w:szCs w:val="16"/>
        </w:rPr>
        <w:t xml:space="preserve"> </w:t>
      </w:r>
      <w:r w:rsidRPr="00405303">
        <w:rPr>
          <w:bCs/>
          <w:color w:val="002060"/>
          <w:sz w:val="16"/>
          <w:szCs w:val="16"/>
        </w:rPr>
        <w:t>карданами. Валы двигателей «защитили» (окружили) топливными баками. Отсутствие винта сзади гондолы фюзеляжа позволило увеличить экипаж до</w:t>
      </w:r>
      <w:r w:rsidR="00DB4D64" w:rsidRPr="00405303">
        <w:rPr>
          <w:bCs/>
          <w:color w:val="002060"/>
          <w:sz w:val="16"/>
          <w:szCs w:val="16"/>
        </w:rPr>
        <w:t xml:space="preserve"> </w:t>
      </w:r>
      <w:r w:rsidRPr="00405303">
        <w:rPr>
          <w:bCs/>
          <w:color w:val="002060"/>
          <w:sz w:val="16"/>
          <w:szCs w:val="16"/>
        </w:rPr>
        <w:t>трех человек: спереди стрелок-наблюдатель с</w:t>
      </w:r>
      <w:r w:rsidR="00DB4D64" w:rsidRPr="00405303">
        <w:rPr>
          <w:bCs/>
          <w:color w:val="002060"/>
          <w:sz w:val="16"/>
          <w:szCs w:val="16"/>
        </w:rPr>
        <w:t xml:space="preserve"> </w:t>
      </w:r>
      <w:r w:rsidRPr="00405303">
        <w:rPr>
          <w:bCs/>
          <w:color w:val="002060"/>
          <w:sz w:val="16"/>
          <w:szCs w:val="16"/>
        </w:rPr>
        <w:t>пулеметом, за</w:t>
      </w:r>
      <w:r w:rsidR="00DB4D64" w:rsidRPr="00405303">
        <w:rPr>
          <w:bCs/>
          <w:color w:val="002060"/>
          <w:sz w:val="16"/>
          <w:szCs w:val="16"/>
        </w:rPr>
        <w:t xml:space="preserve"> </w:t>
      </w:r>
      <w:r w:rsidRPr="00405303">
        <w:rPr>
          <w:bCs/>
          <w:color w:val="002060"/>
          <w:sz w:val="16"/>
          <w:szCs w:val="16"/>
        </w:rPr>
        <w:t>ним летчик, и</w:t>
      </w:r>
      <w:r w:rsidR="00DB4D64" w:rsidRPr="00405303">
        <w:rPr>
          <w:bCs/>
          <w:color w:val="002060"/>
          <w:sz w:val="16"/>
          <w:szCs w:val="16"/>
        </w:rPr>
        <w:t xml:space="preserve"> </w:t>
      </w:r>
      <w:r w:rsidRPr="00405303">
        <w:rPr>
          <w:bCs/>
          <w:color w:val="002060"/>
          <w:sz w:val="16"/>
          <w:szCs w:val="16"/>
        </w:rPr>
        <w:t>за</w:t>
      </w:r>
      <w:r w:rsidR="00DB4D64" w:rsidRPr="00405303">
        <w:rPr>
          <w:bCs/>
          <w:color w:val="002060"/>
          <w:sz w:val="16"/>
          <w:szCs w:val="16"/>
        </w:rPr>
        <w:t xml:space="preserve"> </w:t>
      </w:r>
      <w:r w:rsidRPr="00405303">
        <w:rPr>
          <w:bCs/>
          <w:color w:val="002060"/>
          <w:sz w:val="16"/>
          <w:szCs w:val="16"/>
        </w:rPr>
        <w:t>бипланной коробкой крыльев второй стрелок. Шавров писал, что конструкция самолета и</w:t>
      </w:r>
      <w:r w:rsidR="00DB4D64" w:rsidRPr="00405303">
        <w:rPr>
          <w:bCs/>
          <w:color w:val="002060"/>
          <w:sz w:val="16"/>
          <w:szCs w:val="16"/>
        </w:rPr>
        <w:t xml:space="preserve"> </w:t>
      </w:r>
      <w:r w:rsidRPr="00405303">
        <w:rPr>
          <w:bCs/>
          <w:color w:val="002060"/>
          <w:sz w:val="16"/>
          <w:szCs w:val="16"/>
        </w:rPr>
        <w:t>технология его создания были передовыми по</w:t>
      </w:r>
      <w:r w:rsidR="00DB4D64" w:rsidRPr="00405303">
        <w:rPr>
          <w:bCs/>
          <w:color w:val="002060"/>
          <w:sz w:val="16"/>
          <w:szCs w:val="16"/>
        </w:rPr>
        <w:t xml:space="preserve"> </w:t>
      </w:r>
      <w:r w:rsidRPr="00405303">
        <w:rPr>
          <w:bCs/>
          <w:color w:val="002060"/>
          <w:sz w:val="16"/>
          <w:szCs w:val="16"/>
        </w:rPr>
        <w:t>сравнению с</w:t>
      </w:r>
      <w:r w:rsidR="00DB4D64" w:rsidRPr="00405303">
        <w:rPr>
          <w:bCs/>
          <w:color w:val="002060"/>
          <w:sz w:val="16"/>
          <w:szCs w:val="16"/>
        </w:rPr>
        <w:t xml:space="preserve"> </w:t>
      </w:r>
      <w:r w:rsidRPr="00405303">
        <w:rPr>
          <w:bCs/>
          <w:color w:val="002060"/>
          <w:sz w:val="16"/>
          <w:szCs w:val="16"/>
        </w:rPr>
        <w:t>строившимися на</w:t>
      </w:r>
      <w:r w:rsidR="00DB4D64" w:rsidRPr="00405303">
        <w:rPr>
          <w:bCs/>
          <w:color w:val="002060"/>
          <w:sz w:val="16"/>
          <w:szCs w:val="16"/>
        </w:rPr>
        <w:t xml:space="preserve"> </w:t>
      </w:r>
      <w:r w:rsidRPr="00405303">
        <w:rPr>
          <w:bCs/>
          <w:color w:val="002060"/>
          <w:sz w:val="16"/>
          <w:szCs w:val="16"/>
        </w:rPr>
        <w:t>заводе «Фарманами» и</w:t>
      </w:r>
      <w:r w:rsidR="00DB4D64" w:rsidRPr="00405303">
        <w:rPr>
          <w:bCs/>
          <w:color w:val="002060"/>
          <w:sz w:val="16"/>
          <w:szCs w:val="16"/>
        </w:rPr>
        <w:t xml:space="preserve"> </w:t>
      </w:r>
      <w:r w:rsidRPr="00405303">
        <w:rPr>
          <w:bCs/>
          <w:color w:val="002060"/>
          <w:sz w:val="16"/>
          <w:szCs w:val="16"/>
        </w:rPr>
        <w:t>«Вуазенами». Вместе с</w:t>
      </w:r>
      <w:r w:rsidR="00DB4D64" w:rsidRPr="00405303">
        <w:rPr>
          <w:bCs/>
          <w:color w:val="002060"/>
          <w:sz w:val="16"/>
          <w:szCs w:val="16"/>
        </w:rPr>
        <w:t xml:space="preserve"> </w:t>
      </w:r>
      <w:r w:rsidRPr="00405303">
        <w:rPr>
          <w:bCs/>
          <w:color w:val="002060"/>
          <w:sz w:val="16"/>
          <w:szCs w:val="16"/>
        </w:rPr>
        <w:t>Бутми в</w:t>
      </w:r>
      <w:r w:rsidR="00DB4D64" w:rsidRPr="00405303">
        <w:rPr>
          <w:bCs/>
          <w:color w:val="002060"/>
          <w:sz w:val="16"/>
          <w:szCs w:val="16"/>
        </w:rPr>
        <w:t xml:space="preserve"> </w:t>
      </w:r>
      <w:r w:rsidRPr="00405303">
        <w:rPr>
          <w:bCs/>
          <w:color w:val="002060"/>
          <w:sz w:val="16"/>
          <w:szCs w:val="16"/>
        </w:rPr>
        <w:t>разработке проекта участвовали конструктор А. В.Нестеров и</w:t>
      </w:r>
      <w:r w:rsidR="00DB4D64" w:rsidRPr="00405303">
        <w:rPr>
          <w:bCs/>
          <w:color w:val="002060"/>
          <w:sz w:val="16"/>
          <w:szCs w:val="16"/>
        </w:rPr>
        <w:t xml:space="preserve"> </w:t>
      </w:r>
      <w:r w:rsidRPr="00405303">
        <w:rPr>
          <w:bCs/>
          <w:color w:val="002060"/>
          <w:sz w:val="16"/>
          <w:szCs w:val="16"/>
        </w:rPr>
        <w:t>инженер Филипповский. Постройка самолета была почти завершена в</w:t>
      </w:r>
      <w:r w:rsidR="00DB4D64" w:rsidRPr="00405303">
        <w:rPr>
          <w:bCs/>
          <w:color w:val="002060"/>
          <w:sz w:val="16"/>
          <w:szCs w:val="16"/>
        </w:rPr>
        <w:t xml:space="preserve"> </w:t>
      </w:r>
      <w:r w:rsidRPr="00405303">
        <w:rPr>
          <w:bCs/>
          <w:color w:val="002060"/>
          <w:sz w:val="16"/>
          <w:szCs w:val="16"/>
        </w:rPr>
        <w:t>1917</w:t>
      </w:r>
      <w:r w:rsidR="00DB4D64" w:rsidRPr="00405303">
        <w:rPr>
          <w:bCs/>
          <w:color w:val="002060"/>
          <w:sz w:val="16"/>
          <w:szCs w:val="16"/>
        </w:rPr>
        <w:t xml:space="preserve"> </w:t>
      </w:r>
      <w:r w:rsidRPr="00405303">
        <w:rPr>
          <w:bCs/>
          <w:color w:val="002060"/>
          <w:sz w:val="16"/>
          <w:szCs w:val="16"/>
        </w:rPr>
        <w:t>г., но</w:t>
      </w:r>
      <w:r w:rsidR="00DB4D64" w:rsidRPr="00405303">
        <w:rPr>
          <w:bCs/>
          <w:color w:val="002060"/>
          <w:sz w:val="16"/>
          <w:szCs w:val="16"/>
        </w:rPr>
        <w:t xml:space="preserve"> </w:t>
      </w:r>
      <w:r w:rsidRPr="00405303">
        <w:rPr>
          <w:bCs/>
          <w:color w:val="002060"/>
          <w:sz w:val="16"/>
          <w:szCs w:val="16"/>
        </w:rPr>
        <w:t>революционные события не</w:t>
      </w:r>
      <w:r w:rsidR="00DB4D64" w:rsidRPr="00405303">
        <w:rPr>
          <w:bCs/>
          <w:color w:val="002060"/>
          <w:sz w:val="16"/>
          <w:szCs w:val="16"/>
        </w:rPr>
        <w:t xml:space="preserve"> </w:t>
      </w:r>
      <w:r w:rsidRPr="00405303">
        <w:rPr>
          <w:bCs/>
          <w:color w:val="002060"/>
          <w:sz w:val="16"/>
          <w:szCs w:val="16"/>
        </w:rPr>
        <w:t>позволили завершить интересную машину. Инженер Бутми уехал в</w:t>
      </w:r>
      <w:r w:rsidR="00DB4D64" w:rsidRPr="00405303">
        <w:rPr>
          <w:bCs/>
          <w:color w:val="002060"/>
          <w:sz w:val="16"/>
          <w:szCs w:val="16"/>
        </w:rPr>
        <w:t xml:space="preserve"> </w:t>
      </w:r>
      <w:r w:rsidRPr="00405303">
        <w:rPr>
          <w:bCs/>
          <w:color w:val="002060"/>
          <w:sz w:val="16"/>
          <w:szCs w:val="16"/>
        </w:rPr>
        <w:t>Англию, дальнейшая его судьба неизвестна (15219).</w:t>
      </w:r>
    </w:p>
    <w:p w14:paraId="278FA2A9" w14:textId="77777777" w:rsidR="003A1985" w:rsidRPr="00405303" w:rsidRDefault="003A1985" w:rsidP="00C15251">
      <w:pPr>
        <w:shd w:val="clear" w:color="auto" w:fill="FFFFFF"/>
        <w:jc w:val="both"/>
        <w:rPr>
          <w:bCs/>
          <w:color w:val="002060"/>
          <w:sz w:val="16"/>
          <w:szCs w:val="16"/>
        </w:rPr>
      </w:pPr>
    </w:p>
    <w:p w14:paraId="4C5FF8EC" w14:textId="77777777" w:rsidR="003A1985" w:rsidRPr="00405303" w:rsidRDefault="003A1985" w:rsidP="00C15251">
      <w:pPr>
        <w:pStyle w:val="2"/>
        <w:spacing w:before="0" w:after="0"/>
        <w:jc w:val="both"/>
        <w:rPr>
          <w:b w:val="0"/>
          <w:bCs/>
          <w:color w:val="002060"/>
          <w:sz w:val="16"/>
          <w:szCs w:val="16"/>
        </w:rPr>
      </w:pPr>
      <w:r w:rsidRPr="00405303">
        <w:rPr>
          <w:b w:val="0"/>
          <w:bCs/>
          <w:color w:val="002060"/>
          <w:sz w:val="16"/>
          <w:szCs w:val="16"/>
        </w:rPr>
        <w:t>В 1915 г. «Дукс» получил большой заказ на изготовление тележек для перевозки «Фа рманов», «Ньюпоров» и «Моранов» (15464).</w:t>
      </w:r>
    </w:p>
    <w:p w14:paraId="18DD532C" w14:textId="77777777" w:rsidR="003A1985" w:rsidRPr="00405303" w:rsidRDefault="003A1985" w:rsidP="00C15251">
      <w:pPr>
        <w:pStyle w:val="2"/>
        <w:spacing w:before="0" w:after="0"/>
        <w:jc w:val="both"/>
        <w:rPr>
          <w:b w:val="0"/>
          <w:bCs/>
          <w:color w:val="002060"/>
          <w:sz w:val="16"/>
          <w:szCs w:val="16"/>
        </w:rPr>
      </w:pPr>
    </w:p>
    <w:p w14:paraId="7DCC85DD" w14:textId="77777777" w:rsidR="003A1985" w:rsidRPr="00405303" w:rsidRDefault="003A1985" w:rsidP="00C15251">
      <w:pPr>
        <w:pStyle w:val="2"/>
        <w:spacing w:before="0" w:after="0"/>
        <w:jc w:val="both"/>
        <w:rPr>
          <w:b w:val="0"/>
          <w:bCs/>
          <w:color w:val="002060"/>
          <w:sz w:val="16"/>
          <w:szCs w:val="16"/>
        </w:rPr>
      </w:pPr>
      <w:r w:rsidRPr="00405303">
        <w:rPr>
          <w:b w:val="0"/>
          <w:bCs/>
          <w:color w:val="002060"/>
          <w:sz w:val="16"/>
          <w:szCs w:val="16"/>
        </w:rPr>
        <w:t>В 1915 г. в Москву из Риги эвакуировали завод товарищества «Мотор», имевший довоенный опьгг постройки ротативных моторов «Калеп», до двух ежемесячно. За Даниловской заставой в Нижних Котлах выстроили три новых корпуса барачного типа. В одном находились инструментальный и механический цехи, в другом — литейная и сварочная мастерские, в третьем — монтажно-сборочный цех и небольшая испытательная станция. К 1917 г. здесь работали 330 рабочих и служащих, ежемесячно выпускавших до 20 «Калепов» и 100—120 комплектов запчастей. Вскоре после переезда завод освоил выпуск «Ронов» в 120 л.с. Заводу дали возможность закупить станки в Америке и передали станочный парк Гродненской крепости, «пылившийся» на складе в Коломне. В помощь производству подключили хорошо оборудованные мастерские Егорьевского технического училища.</w:t>
      </w:r>
    </w:p>
    <w:p w14:paraId="2A38690C" w14:textId="77777777" w:rsidR="003A1985" w:rsidRPr="00405303" w:rsidRDefault="003A1985" w:rsidP="00C15251">
      <w:pPr>
        <w:pStyle w:val="2"/>
        <w:spacing w:before="0" w:after="0"/>
        <w:jc w:val="both"/>
        <w:rPr>
          <w:b w:val="0"/>
          <w:bCs/>
          <w:color w:val="002060"/>
          <w:sz w:val="16"/>
          <w:szCs w:val="16"/>
        </w:rPr>
      </w:pPr>
      <w:r w:rsidRPr="00405303">
        <w:rPr>
          <w:b w:val="0"/>
          <w:bCs/>
          <w:color w:val="002060"/>
          <w:sz w:val="16"/>
          <w:szCs w:val="16"/>
        </w:rPr>
        <w:t>Начальником производства нового предприятия назначили молодого инженера А.Д.Швецова, впоследствии знаменитого конструктора моторов М-11, АШ-82ФН и др. Военное ведомство очень рассчитывало на освоение заводом двигателей автомобильного типа, таких как трофейный 166-сильный «Мерседес». Его постройку целиком из русских материалов завершили 28 сентября 1916 г. Однако, несмотря на успешные стендовые испытания и радужный доклад в Госдуме, перейти к серийному, не говоря уже о массовом выпуске «Мерседесов» не удалось. «Мотор» до конца войны продолжал строить «Роны» (15464).</w:t>
      </w:r>
    </w:p>
    <w:p w14:paraId="5122AB47" w14:textId="77777777" w:rsidR="003A1985" w:rsidRPr="00405303" w:rsidRDefault="003A1985" w:rsidP="00C15251">
      <w:pPr>
        <w:pStyle w:val="2"/>
        <w:spacing w:before="0" w:after="0"/>
        <w:jc w:val="both"/>
        <w:rPr>
          <w:b w:val="0"/>
          <w:bCs/>
          <w:color w:val="002060"/>
          <w:sz w:val="16"/>
          <w:szCs w:val="16"/>
        </w:rPr>
      </w:pPr>
    </w:p>
    <w:p w14:paraId="3A11AC4B" w14:textId="77777777" w:rsidR="003A1985" w:rsidRPr="00405303" w:rsidRDefault="003A1985" w:rsidP="00C15251">
      <w:pPr>
        <w:pStyle w:val="2"/>
        <w:spacing w:before="0" w:after="0"/>
        <w:jc w:val="both"/>
        <w:rPr>
          <w:b w:val="0"/>
          <w:bCs/>
          <w:color w:val="002060"/>
          <w:sz w:val="16"/>
          <w:szCs w:val="16"/>
        </w:rPr>
      </w:pPr>
      <w:r w:rsidRPr="00405303">
        <w:rPr>
          <w:b w:val="0"/>
          <w:bCs/>
          <w:color w:val="002060"/>
          <w:sz w:val="16"/>
          <w:szCs w:val="16"/>
        </w:rPr>
        <w:t xml:space="preserve">В 1915 г., постоянно отставая и </w:t>
      </w:r>
      <w:proofErr w:type="gramStart"/>
      <w:r w:rsidRPr="00405303">
        <w:rPr>
          <w:b w:val="0"/>
          <w:bCs/>
          <w:color w:val="002060"/>
          <w:sz w:val="16"/>
          <w:szCs w:val="16"/>
        </w:rPr>
        <w:t>от союзников</w:t>
      </w:r>
      <w:proofErr w:type="gramEnd"/>
      <w:r w:rsidRPr="00405303">
        <w:rPr>
          <w:b w:val="0"/>
          <w:bCs/>
          <w:color w:val="002060"/>
          <w:sz w:val="16"/>
          <w:szCs w:val="16"/>
        </w:rPr>
        <w:t xml:space="preserve"> и от противника в боевых качествах фронтовых самолетов, военное ведомство вынужденно разработало «проект задания» авиазаводам. Теперь уже требовалось строить истребители со скоростью не менее 150 км/ч. (До какого-то момента на скорость вообще не обращали внимания). Для самолетов с моторами в 100—110 л.с. требовалась скороподъемность не более 15 мин на высоту 2 км, продолжительность полета до 7 час, полезная нагрузка не менее 300 кг (два члена экипажа и боевое снаряжение). При этом в УВВФ наивно полагали, что разбег и пробег не должны были превышать 90 м.</w:t>
      </w:r>
    </w:p>
    <w:p w14:paraId="530B897E" w14:textId="77777777" w:rsidR="003A1985" w:rsidRPr="00405303" w:rsidRDefault="003A1985" w:rsidP="00C15251">
      <w:pPr>
        <w:pStyle w:val="2"/>
        <w:spacing w:before="0" w:after="0"/>
        <w:jc w:val="both"/>
        <w:rPr>
          <w:b w:val="0"/>
          <w:bCs/>
          <w:color w:val="002060"/>
          <w:sz w:val="16"/>
          <w:szCs w:val="16"/>
        </w:rPr>
      </w:pPr>
      <w:r w:rsidRPr="00405303">
        <w:rPr>
          <w:b w:val="0"/>
          <w:bCs/>
          <w:color w:val="002060"/>
          <w:sz w:val="16"/>
          <w:szCs w:val="16"/>
        </w:rPr>
        <w:t>Понятно, что в комплексе эти явно завышенные требования были трудновыполнимыми. По скорости и скороподъемности «Ньюпор-VII» с «Роном» в 110 л.с. их значительно превышал, но длительность полета составляла всего 2 час, а полезная нагрузка миниатюрного одноместного самолета — 200 кг. Для улучшения характеристик на самолет поставили «Клерже» в 110 л.с. («Ньюпор-ХУПбис»), но в серию не запускали. В.Б.Шавров писал, что в России часто встречался и «Ньюпор-XVIII» (так обозначали «Бебе-17» с «Роном» в 120 л.с. с алюминиевыми поршнями). Данных о его серийном выпуске на «Дуксе» нет (15464).</w:t>
      </w:r>
    </w:p>
    <w:p w14:paraId="7CA69537" w14:textId="77777777" w:rsidR="003A1985" w:rsidRPr="00405303" w:rsidRDefault="003A1985" w:rsidP="00C15251">
      <w:pPr>
        <w:pStyle w:val="2"/>
        <w:spacing w:before="0" w:after="0"/>
        <w:jc w:val="both"/>
        <w:rPr>
          <w:b w:val="0"/>
          <w:bCs/>
          <w:color w:val="002060"/>
          <w:sz w:val="16"/>
          <w:szCs w:val="16"/>
        </w:rPr>
      </w:pPr>
    </w:p>
    <w:p w14:paraId="1DB75525" w14:textId="77777777" w:rsidR="003A1985" w:rsidRPr="00405303" w:rsidRDefault="003A1985" w:rsidP="00C15251">
      <w:pPr>
        <w:shd w:val="clear" w:color="auto" w:fill="FFFFFF"/>
        <w:jc w:val="both"/>
        <w:rPr>
          <w:bCs/>
          <w:color w:val="002060"/>
          <w:sz w:val="16"/>
          <w:szCs w:val="16"/>
        </w:rPr>
      </w:pPr>
      <w:r w:rsidRPr="00405303">
        <w:rPr>
          <w:bCs/>
          <w:color w:val="002060"/>
          <w:sz w:val="16"/>
          <w:szCs w:val="16"/>
        </w:rPr>
        <w:t>В 1915 г. в Москву из Риги эвакуировали завод товарищества «Мотор», имевший довоенный опьгг постройки ротативных моторов «Калеп», до двух ежемесячно. За Даниловской заставой в Нижних Котлах выстроили три новых корпуса барачного типа. В одном находились инструментальный и механический цехи, в другом — литейная и сварочная мастерские, в третьем — монтажно-сборочный цех и небольшая испытательная станция. К 1917 г. здесь работали 330 рабочих и служащих, ежемесячно выпускавших до 20 «Калепов» и 100—120 комплектов запчастей. Вскоре после переезда завод освоил выпуск «Ронов» в 120 л.с. Заводу дали возможность закупить станки в Америке и передали станочный парк Гродненской крепости, «пылившийся» на складе в Коломне. В помощь производству подключили хорошо оборудованные мастерские Егорьевского технического училища. Начальником производства нового предприятия назначили молодого инженера А.Д.Швецова, впоследствии знаменитого конструктора моторов М-11, АШ-82ФН и др. Военное ведомство очень рассчитывало на освоение заводом двигателей автомобильного типа, таких как трофейный 166-сильный «Мерседес». Его постройку целиком из русских материалов завершили 28 сентября 1916 г. Однако, несмотря на успешные стендовые испытания и радужный доклад в Госдуме, перейти к серийному, не говоря уже о массовом выпуске «Мерседесов» не удалось. «Мотор» до конца войны продолжал строить «Роны» (15221).</w:t>
      </w:r>
    </w:p>
    <w:p w14:paraId="1D4A3127" w14:textId="77777777" w:rsidR="003A1985" w:rsidRPr="00405303" w:rsidRDefault="003A1985" w:rsidP="00C15251">
      <w:pPr>
        <w:shd w:val="clear" w:color="auto" w:fill="FFFFFF"/>
        <w:jc w:val="both"/>
        <w:rPr>
          <w:bCs/>
          <w:color w:val="002060"/>
          <w:sz w:val="16"/>
          <w:szCs w:val="16"/>
        </w:rPr>
      </w:pPr>
    </w:p>
    <w:p w14:paraId="424C6E4C" w14:textId="77777777" w:rsidR="003A1985" w:rsidRPr="00405303" w:rsidRDefault="003A1985" w:rsidP="00C15251">
      <w:pPr>
        <w:pStyle w:val="2"/>
        <w:spacing w:before="0" w:after="0"/>
        <w:jc w:val="both"/>
        <w:rPr>
          <w:b w:val="0"/>
          <w:bCs/>
          <w:color w:val="002060"/>
          <w:sz w:val="16"/>
          <w:szCs w:val="16"/>
        </w:rPr>
      </w:pPr>
      <w:r w:rsidRPr="00405303">
        <w:rPr>
          <w:b w:val="0"/>
          <w:bCs/>
          <w:color w:val="002060"/>
          <w:sz w:val="16"/>
          <w:szCs w:val="16"/>
        </w:rPr>
        <w:t>В 1915 г. полетами Ветчинкина с Гулевичем продолжилась летно-экспериментальная деятельность московских ученых, прерванная с началом войны и фактически началась летно-испытательная деятельность будущего Авиационного расчетио-испытательного бюро (АРИБ), организационно оформленного только в 1916 г. После окончания экспериментов по теории бомбометания и испытаний авиабомб «Ньюпор» С.В.Гулевича следовало вернуть военным, но на фронт он так и не попал. Появление в 1915 г. военных заказов на исследования по теории бомбометания, разработку конструкций и испытания авиабомб позволили Жуковскому получить от военных новую «экспериментальную базу» в виде «Ньюпора» пилота С.В.Гулевича. Студенты использовали его не только для изучения теории прицельного бомбометания. В летных экспериментах 1915 г. исследовались проблемы прочности, управляемости и устойчивости. В качестве экспериментатора шесть полетов совершил студент В.П.Ветчинкин, будущий знаменитый ученый-аэродинамик (15464).</w:t>
      </w:r>
    </w:p>
    <w:p w14:paraId="09303E3E" w14:textId="77777777" w:rsidR="003A1985" w:rsidRPr="00405303" w:rsidRDefault="003A1985" w:rsidP="00C15251">
      <w:pPr>
        <w:pStyle w:val="2"/>
        <w:spacing w:before="0" w:after="0"/>
        <w:jc w:val="both"/>
        <w:rPr>
          <w:b w:val="0"/>
          <w:bCs/>
          <w:color w:val="002060"/>
          <w:sz w:val="16"/>
          <w:szCs w:val="16"/>
        </w:rPr>
      </w:pPr>
    </w:p>
    <w:p w14:paraId="1AD081D4" w14:textId="77777777" w:rsidR="003A1985" w:rsidRPr="00405303" w:rsidRDefault="003A1985" w:rsidP="00C15251">
      <w:pPr>
        <w:jc w:val="both"/>
        <w:rPr>
          <w:bCs/>
          <w:color w:val="002060"/>
          <w:sz w:val="16"/>
          <w:szCs w:val="16"/>
        </w:rPr>
      </w:pPr>
      <w:r w:rsidRPr="00405303">
        <w:rPr>
          <w:bCs/>
          <w:color w:val="002060"/>
          <w:sz w:val="16"/>
          <w:szCs w:val="16"/>
        </w:rPr>
        <w:t>В 1915 г. военный агент русского правительства в Великобритании сообщил о готовности английского правительства предоставить России строящиеся там восьмицилиндровые У-образные двигатели «Санбим», показавшие неплохие качества на стендовых испытаниях. Специально для «Муромцев» их закупили несколько сот, а московская экипажная фабрика П. Ильина получила заказ на их производство по лицензии. Однако в реальных полевых условиях «Санбимы» оказались дрянью, сущим наказанием для механиков и пилотов. Вместо заявленных 150 л. с. они едва давали 120-130. Кроме того, двигатели оказались капризными в эксплуатации. Несмотря на все старания опытных механиков, их не могли довести до работоспособного состояния. Старший механик эскадры М. Н. Никольской вынужден был отправлять их по рекламации целыми партиями. Не помог и прибывший с фирмы механик. Двигатели по-прежнему недодавали мощность и были ненадежными. Летчики «Муромцев», оснащенных «Санбимами», опасались углубляться далеко в тыл противника, а если и летали туда, то заведомо шли на большой риск. Член Государственной Думы А. Ф. Половцев, с самого начала неравнодушный к «Муромцам», сообщил Комиссии особого совещания по обороне государства, что «приобретение «Санбимов» является крупной ошибкой, затормозившей развитие эскадры». Как бы там ни было, но других двигателей, кроме «Санбимов», в 1915 г. не было, и штатной силовой установкой «Муромцев» стали именно эти моторы (15127).</w:t>
      </w:r>
    </w:p>
    <w:p w14:paraId="4C11696C" w14:textId="77777777" w:rsidR="003A1985" w:rsidRPr="00405303" w:rsidRDefault="003A1985" w:rsidP="00C15251">
      <w:pPr>
        <w:jc w:val="both"/>
        <w:rPr>
          <w:bCs/>
          <w:color w:val="002060"/>
          <w:sz w:val="16"/>
          <w:szCs w:val="16"/>
        </w:rPr>
      </w:pPr>
    </w:p>
    <w:p w14:paraId="5306320B" w14:textId="237E6523" w:rsidR="004B4E35" w:rsidRPr="00405303" w:rsidRDefault="007351D7"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1915 г. </w:t>
      </w:r>
      <w:r w:rsidRPr="00405303">
        <w:rPr>
          <w:bCs/>
          <w:color w:val="002060"/>
          <w:sz w:val="16"/>
          <w:szCs w:val="16"/>
        </w:rPr>
        <w:t xml:space="preserve">Главной причиной невысоких характеристик большинства построенных </w:t>
      </w:r>
      <w:r w:rsidR="00015098" w:rsidRPr="00405303">
        <w:rPr>
          <w:bCs/>
          <w:color w:val="002060"/>
          <w:sz w:val="16"/>
          <w:szCs w:val="16"/>
        </w:rPr>
        <w:t xml:space="preserve">"Муромцев" </w:t>
      </w:r>
      <w:r w:rsidR="009E6F82" w:rsidRPr="00405303">
        <w:rPr>
          <w:bCs/>
          <w:color w:val="002060"/>
          <w:sz w:val="16"/>
          <w:szCs w:val="16"/>
        </w:rPr>
        <w:t>явилось низкое качество поставленных на них английских двигателей "Санбим". И вообще производство воздушных гигантов тормозилось "моторным голодом". "Авиа-Балт" был связан по рукам и ногам поставками двигателей из-за границы. Во время войны это было непростым делом. Забегая вперед, можно отметить, что на "Муромцах" различных серий и модификаций стояло пятнадцать типов двигателей, что весьма осложняло эксплуатацию самолетов (11230).</w:t>
      </w:r>
    </w:p>
    <w:p w14:paraId="2FBAB9B9" w14:textId="77777777" w:rsidR="004B4E35" w:rsidRPr="00405303" w:rsidRDefault="009E6F82" w:rsidP="00C15251">
      <w:pPr>
        <w:jc w:val="both"/>
        <w:rPr>
          <w:bCs/>
          <w:color w:val="002060"/>
          <w:sz w:val="16"/>
          <w:szCs w:val="16"/>
        </w:rPr>
      </w:pPr>
      <w:r w:rsidRPr="00405303">
        <w:rPr>
          <w:bCs/>
          <w:color w:val="002060"/>
          <w:sz w:val="16"/>
          <w:szCs w:val="16"/>
        </w:rPr>
        <w:lastRenderedPageBreak/>
        <w:t>Сознавая важность создания отечественных авиадвигателей, М. В. Шидловский всячески поощрял у себя на заводе разработки в этом направлении. В 1915 г. автомобильным отделением РБВЗ в Риге под руководством талантливого инженера В. В. Киреева, имевшего большой опыт работы на германских моторных заводах, был создан первый русский авиадвигатель водяного охлаждения - шестицилиндровый рядный РБВЗ-6 (иногда его называли РБЗ-6). Он внешне походил на немецкий "Мерседес", но был целиком изготовлен из отечественных материалов и по собственной технологии. Этот двигатель в 150-160 л. с. с небольшим миделем по габаритам был оптимальным для "Муромца". Он имел резерв для форсирования и, как большинство "земных" отечественных двигателей, был прост и надежен в эксплуатации. "Илья Муромец" тип "В" (заводской № 167) с первыми РБВЗ-6 был освящен 28 июля 1915 г. Этот корабль и "Киевский", оснащенный еще довоенными "Аргусами", были лучшими в эскадре (11230).</w:t>
      </w:r>
    </w:p>
    <w:p w14:paraId="2973AD00" w14:textId="77777777" w:rsidR="004B4E35" w:rsidRPr="00405303" w:rsidRDefault="004B4E35" w:rsidP="00C15251">
      <w:pPr>
        <w:jc w:val="both"/>
        <w:rPr>
          <w:bCs/>
          <w:color w:val="002060"/>
          <w:sz w:val="16"/>
          <w:szCs w:val="16"/>
        </w:rPr>
      </w:pPr>
    </w:p>
    <w:p w14:paraId="55C094B8" w14:textId="07E4CE02" w:rsidR="004B4E35" w:rsidRPr="00405303" w:rsidRDefault="00015098"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1915 г. Шишков оставил должность авиационного инженера Службы связи Балтийского моря, но остался все же связан с МГШ с содержанием из так называемого Военного фонда, т.к. сохранялась потребность иметь человека с высшим тех</w:t>
      </w:r>
      <w:r w:rsidR="009E6F82" w:rsidRPr="00405303">
        <w:rPr>
          <w:bCs/>
          <w:color w:val="002060"/>
          <w:sz w:val="16"/>
          <w:szCs w:val="16"/>
        </w:rPr>
        <w:softHyphen/>
        <w:t>ническим образованием. К середине 1916 г. в среде командиров морской авиации утверди</w:t>
      </w:r>
      <w:r w:rsidR="009E6F82" w:rsidRPr="00405303">
        <w:rPr>
          <w:bCs/>
          <w:color w:val="002060"/>
          <w:sz w:val="16"/>
          <w:szCs w:val="16"/>
        </w:rPr>
        <w:softHyphen/>
        <w:t>лась мысль о желательности создания особых экспериментальных учреждений, задачами ко</w:t>
      </w:r>
      <w:r w:rsidR="009E6F82" w:rsidRPr="00405303">
        <w:rPr>
          <w:bCs/>
          <w:color w:val="002060"/>
          <w:sz w:val="16"/>
          <w:szCs w:val="16"/>
        </w:rPr>
        <w:softHyphen/>
        <w:t>торых должны были стать проектирование и испытание новых типов гидроаэропланов и вы</w:t>
      </w:r>
      <w:r w:rsidR="009E6F82" w:rsidRPr="00405303">
        <w:rPr>
          <w:bCs/>
          <w:color w:val="002060"/>
          <w:sz w:val="16"/>
          <w:szCs w:val="16"/>
        </w:rPr>
        <w:softHyphen/>
        <w:t>работка требований к авиационной технике и материалам. Спустя довольно непродолжи</w:t>
      </w:r>
      <w:r w:rsidR="009E6F82" w:rsidRPr="00405303">
        <w:rPr>
          <w:bCs/>
          <w:color w:val="002060"/>
          <w:sz w:val="16"/>
          <w:szCs w:val="16"/>
        </w:rPr>
        <w:softHyphen/>
        <w:t>тельное время эта идея привела к появлению опытного завода Григоровича (см. том 1) и образованию АИС — Авиационной испытательной станции. Последняя была частью Авиационных мастерских и испытательной станции (АМИС) Морского ведомства — организации, формировавшейся в конце 1916 — начале 1917 гг. Кроме ее флотского начальника, кора</w:t>
      </w:r>
      <w:r w:rsidR="009E6F82" w:rsidRPr="00405303">
        <w:rPr>
          <w:bCs/>
          <w:color w:val="002060"/>
          <w:sz w:val="16"/>
          <w:szCs w:val="16"/>
        </w:rPr>
        <w:softHyphen/>
        <w:t>бельного инженера полковника Л.Х. Казина, среди руководящего состава АМИС были тот же П.А. Шишков, заведующий АИС, морской инженер Б.Л. Сушенков, помощник заведу</w:t>
      </w:r>
      <w:r w:rsidR="009E6F82" w:rsidRPr="00405303">
        <w:rPr>
          <w:bCs/>
          <w:color w:val="002060"/>
          <w:sz w:val="16"/>
          <w:szCs w:val="16"/>
        </w:rPr>
        <w:softHyphen/>
        <w:t>ющего, и мичман В.И. Малыныч, также помощник заведующего. Сушенков фактически вы</w:t>
      </w:r>
      <w:r w:rsidR="009E6F82" w:rsidRPr="00405303">
        <w:rPr>
          <w:bCs/>
          <w:color w:val="002060"/>
          <w:sz w:val="16"/>
          <w:szCs w:val="16"/>
        </w:rPr>
        <w:softHyphen/>
        <w:t>полнял роль главного конструктора Авиационных мастерских и испытательной станции, к которым с января 1917 г. прибавился испытательный отдел, открытый при Воздухоплава</w:t>
      </w:r>
      <w:r w:rsidR="009E6F82" w:rsidRPr="00405303">
        <w:rPr>
          <w:bCs/>
          <w:color w:val="002060"/>
          <w:sz w:val="16"/>
          <w:szCs w:val="16"/>
        </w:rPr>
        <w:softHyphen/>
        <w:t>тельной лаборатории Петроградского политехнического института и ведший работы по опы</w:t>
      </w:r>
      <w:r w:rsidR="009E6F82" w:rsidRPr="00405303">
        <w:rPr>
          <w:bCs/>
          <w:color w:val="002060"/>
          <w:sz w:val="16"/>
          <w:szCs w:val="16"/>
        </w:rPr>
        <w:softHyphen/>
        <w:t>там с материалами, моторами, маслами и пр. Тот же отдел должен был готовить конструк</w:t>
      </w:r>
      <w:r w:rsidR="009E6F82" w:rsidRPr="00405303">
        <w:rPr>
          <w:bCs/>
          <w:color w:val="002060"/>
          <w:sz w:val="16"/>
          <w:szCs w:val="16"/>
        </w:rPr>
        <w:softHyphen/>
        <w:t>торов для морской авиации, тогда как опробование создававшихся гидроаэропланов пред</w:t>
      </w:r>
      <w:r w:rsidR="009E6F82" w:rsidRPr="00405303">
        <w:rPr>
          <w:bCs/>
          <w:color w:val="002060"/>
          <w:sz w:val="16"/>
          <w:szCs w:val="16"/>
        </w:rPr>
        <w:softHyphen/>
        <w:t>стояло проводить на том же Крестовском острове, где находились подразделения компании Щетинина, Лебедева и Мельцера. Однако учреждение не располагало достаточно развитыми и специализированными производственными мощностями, необходимыми для постройки экс</w:t>
      </w:r>
      <w:r w:rsidR="009E6F82" w:rsidRPr="00405303">
        <w:rPr>
          <w:bCs/>
          <w:color w:val="002060"/>
          <w:sz w:val="16"/>
          <w:szCs w:val="16"/>
        </w:rPr>
        <w:softHyphen/>
        <w:t>периментальных аппаратов, и, таким образом, все разработанные АИС проекты планирова</w:t>
      </w:r>
      <w:r w:rsidR="009E6F82" w:rsidRPr="00405303">
        <w:rPr>
          <w:bCs/>
          <w:color w:val="002060"/>
          <w:sz w:val="16"/>
          <w:szCs w:val="16"/>
        </w:rPr>
        <w:softHyphen/>
        <w:t>лось воплощать в реальность на заводах частных предпринимателей, а именно у Мельцера и на ПРТВ (2843).</w:t>
      </w:r>
    </w:p>
    <w:p w14:paraId="581627C4" w14:textId="77777777" w:rsidR="004B4E35" w:rsidRPr="00405303" w:rsidRDefault="004B4E35" w:rsidP="00C15251">
      <w:pPr>
        <w:shd w:val="clear" w:color="auto" w:fill="FFFFFF"/>
        <w:jc w:val="both"/>
        <w:rPr>
          <w:bCs/>
          <w:color w:val="002060"/>
          <w:sz w:val="16"/>
          <w:szCs w:val="16"/>
        </w:rPr>
      </w:pPr>
    </w:p>
    <w:p w14:paraId="65006AA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1915 году в России был создан самолет-истребитель (РБВЗ-16), вооруженный двумя пулеметами, из которых один синхронный (11060).</w:t>
      </w:r>
    </w:p>
    <w:p w14:paraId="5C07C049" w14:textId="77777777" w:rsidR="004B4E35" w:rsidRPr="00405303" w:rsidRDefault="004B4E35" w:rsidP="00C15251">
      <w:pPr>
        <w:shd w:val="clear" w:color="auto" w:fill="FFFFFF"/>
        <w:jc w:val="both"/>
        <w:rPr>
          <w:bCs/>
          <w:color w:val="002060"/>
          <w:sz w:val="16"/>
          <w:szCs w:val="16"/>
        </w:rPr>
      </w:pPr>
    </w:p>
    <w:p w14:paraId="30689EE4" w14:textId="5C45893B" w:rsidR="004B4E35" w:rsidRPr="00405303" w:rsidRDefault="00015098" w:rsidP="00C15251">
      <w:pPr>
        <w:jc w:val="both"/>
        <w:rPr>
          <w:bCs/>
          <w:color w:val="002060"/>
          <w:sz w:val="16"/>
          <w:szCs w:val="16"/>
        </w:rPr>
      </w:pPr>
      <w:r w:rsidRPr="00405303">
        <w:rPr>
          <w:bCs/>
          <w:color w:val="002060"/>
          <w:sz w:val="16"/>
          <w:szCs w:val="16"/>
        </w:rPr>
        <w:t>В 1915 г. о</w:t>
      </w:r>
      <w:r w:rsidR="009E6F82" w:rsidRPr="00405303">
        <w:rPr>
          <w:bCs/>
          <w:color w:val="002060"/>
          <w:sz w:val="16"/>
          <w:szCs w:val="16"/>
        </w:rPr>
        <w:t xml:space="preserve">пыт первого года войны выявил недостатки "Фарманов". Так, в отчете о боевой деятельности 1-го корпусного авиаотряда относительно французского биплана "Фарман-22" сообщается: "...летчики справедливо указывают, что наши аппараты очень тихоходны по сравнению с немецкими и годятся только для связи между штабами, но не для разведки. Они выслужили срок и не могут подняться выше 2000 м". О плачевном состоянии русской авиации докладывал 5 июня 1916 года своему шефу Великому Князю Александру Михайловичу заведующий организацией авиационного дела в действующей армии полковник Барсов: "...Фарманы и Ньюпоры русского изготовления уже с самого начала войны не соответствовали даже минимальным требованиям, а изготовляемые на заводе Щетинина прямо не годились. Аппараты заграничные, поступающие в армию - это отживший Фарман-20, неприемлемые уже Ньюпоры и устаревшие Вуазены, т. е. то, что заграничной авиационной техникой уже оставлено. Морис-Фарман во Франции уже снимают, так как это тяжелый аппарат со слабым мотором. Приобретение аппаратов за границей ведется без достаточной компетенции и притом чрезвычайно медленно. Аппараты не берут боевую высоту... Поломки не только при взлете и спуске, но и в воздухе, из-за этого вынужденные посадки в тылу. В плен за последний месяц попало 10 летчиков и наблюдателей." </w:t>
      </w:r>
    </w:p>
    <w:p w14:paraId="38A459A9" w14:textId="77777777" w:rsidR="004B4E35" w:rsidRPr="00405303" w:rsidRDefault="009E6F82" w:rsidP="00C15251">
      <w:pPr>
        <w:jc w:val="both"/>
        <w:rPr>
          <w:bCs/>
          <w:color w:val="002060"/>
          <w:sz w:val="16"/>
          <w:szCs w:val="16"/>
        </w:rPr>
      </w:pPr>
      <w:r w:rsidRPr="00405303">
        <w:rPr>
          <w:bCs/>
          <w:color w:val="002060"/>
          <w:sz w:val="16"/>
          <w:szCs w:val="16"/>
        </w:rPr>
        <w:t>В этих условиях устаревшие "Фарманы" (16-го, 20-го и22-го типов) постепенно сдавались в авиароты за негодностью, а некоторые из них впоследствии передавались в авиашколы. Оставшиеся в авиаотрядах аэропланы, не годясь для боевых, применялись для тренировочных полетов, а также для доставки штабных донесений и обучения наблюдателей (11237).</w:t>
      </w:r>
    </w:p>
    <w:p w14:paraId="14107127" w14:textId="77777777" w:rsidR="004B4E35" w:rsidRPr="00405303" w:rsidRDefault="004B4E35" w:rsidP="00C15251">
      <w:pPr>
        <w:jc w:val="both"/>
        <w:rPr>
          <w:bCs/>
          <w:color w:val="002060"/>
          <w:sz w:val="16"/>
          <w:szCs w:val="16"/>
        </w:rPr>
      </w:pPr>
    </w:p>
    <w:p w14:paraId="55D1A6F4" w14:textId="77777777" w:rsidR="004B4E35" w:rsidRPr="00405303" w:rsidRDefault="009E6F82" w:rsidP="00C15251">
      <w:pPr>
        <w:jc w:val="both"/>
        <w:rPr>
          <w:bCs/>
          <w:color w:val="002060"/>
          <w:sz w:val="16"/>
          <w:szCs w:val="16"/>
        </w:rPr>
      </w:pPr>
      <w:r w:rsidRPr="00405303">
        <w:rPr>
          <w:bCs/>
          <w:color w:val="002060"/>
          <w:sz w:val="16"/>
          <w:szCs w:val="16"/>
        </w:rPr>
        <w:t>В 1915 г. как к при создании гидро</w:t>
      </w:r>
      <w:r w:rsidRPr="00405303">
        <w:rPr>
          <w:bCs/>
          <w:color w:val="002060"/>
          <w:sz w:val="16"/>
          <w:szCs w:val="16"/>
        </w:rPr>
        <w:softHyphen/>
        <w:t>самолета М-5, были по</w:t>
      </w:r>
      <w:r w:rsidRPr="00405303">
        <w:rPr>
          <w:bCs/>
          <w:color w:val="002060"/>
          <w:sz w:val="16"/>
          <w:szCs w:val="16"/>
        </w:rPr>
        <w:softHyphen/>
        <w:t>строены три опытные ле</w:t>
      </w:r>
      <w:r w:rsidRPr="00405303">
        <w:rPr>
          <w:bCs/>
          <w:color w:val="002060"/>
          <w:sz w:val="16"/>
          <w:szCs w:val="16"/>
        </w:rPr>
        <w:softHyphen/>
        <w:t>тающие лодки. На этих лодках были выбраны наи</w:t>
      </w:r>
      <w:r w:rsidRPr="00405303">
        <w:rPr>
          <w:bCs/>
          <w:color w:val="002060"/>
          <w:sz w:val="16"/>
          <w:szCs w:val="16"/>
        </w:rPr>
        <w:softHyphen/>
        <w:t>более выгодные обводы днища, дававшие легкий выход на редан и хорошую устойчивость при гидро</w:t>
      </w:r>
      <w:r w:rsidRPr="00405303">
        <w:rPr>
          <w:bCs/>
          <w:color w:val="002060"/>
          <w:sz w:val="16"/>
          <w:szCs w:val="16"/>
        </w:rPr>
        <w:softHyphen/>
        <w:t>планировании (318).</w:t>
      </w:r>
    </w:p>
    <w:p w14:paraId="66FECAE9" w14:textId="77777777" w:rsidR="004B4E35" w:rsidRPr="00405303" w:rsidRDefault="009E6F82" w:rsidP="00C15251">
      <w:pPr>
        <w:jc w:val="both"/>
        <w:rPr>
          <w:bCs/>
          <w:color w:val="002060"/>
          <w:sz w:val="16"/>
          <w:szCs w:val="16"/>
        </w:rPr>
      </w:pPr>
      <w:r w:rsidRPr="00405303">
        <w:rPr>
          <w:bCs/>
          <w:color w:val="002060"/>
          <w:sz w:val="16"/>
          <w:szCs w:val="16"/>
        </w:rPr>
        <w:t>На основе испытаний опытных гидросамолетов Григоровии с группой инженеров приступил к проектированию известного гидросамолета, летающей лодки М-9, с двигателем жидкостного охлаждения мощностью 150 л. с. Постройка лодки М-9 была закон</w:t>
      </w:r>
      <w:r w:rsidRPr="00405303">
        <w:rPr>
          <w:bCs/>
          <w:color w:val="002060"/>
          <w:sz w:val="16"/>
          <w:szCs w:val="16"/>
        </w:rPr>
        <w:softHyphen/>
        <w:t>чена в декабре 1915 г., а в январе 1916 г. эта двухместная летаю</w:t>
      </w:r>
      <w:r w:rsidRPr="00405303">
        <w:rPr>
          <w:bCs/>
          <w:color w:val="002060"/>
          <w:sz w:val="16"/>
          <w:szCs w:val="16"/>
        </w:rPr>
        <w:softHyphen/>
        <w:t>щая лодка была передана на летные испытания. В отличие от лодки М-5 летающая лодка М-9 имела в носовой части специальный отсек, в который переходил наблюдатель для ве</w:t>
      </w:r>
      <w:r w:rsidRPr="00405303">
        <w:rPr>
          <w:bCs/>
          <w:color w:val="002060"/>
          <w:sz w:val="16"/>
          <w:szCs w:val="16"/>
        </w:rPr>
        <w:softHyphen/>
        <w:t>дения огня. В этом отсеке был первоначально установлен пулемет, а летом 1916 г. — 37-мм. полуавтоматическая пушка. Нормальная бомбовая нагрузка гидросамолета М-9 составляла четыре пуда. Однако гидросамолет мог поднимать значительно больше, так как при испытании он совершил полет с семью человеками вместо двух. Под крылом гидросамолета были установлены четыре бомбодержа</w:t>
      </w:r>
      <w:r w:rsidRPr="00405303">
        <w:rPr>
          <w:bCs/>
          <w:color w:val="002060"/>
          <w:sz w:val="16"/>
          <w:szCs w:val="16"/>
        </w:rPr>
        <w:softHyphen/>
        <w:t>теля (318).</w:t>
      </w:r>
    </w:p>
    <w:p w14:paraId="57BB388A" w14:textId="77777777" w:rsidR="004B4E35" w:rsidRPr="00405303" w:rsidRDefault="004B4E35" w:rsidP="00C15251">
      <w:pPr>
        <w:jc w:val="both"/>
        <w:rPr>
          <w:bCs/>
          <w:color w:val="002060"/>
          <w:sz w:val="16"/>
          <w:szCs w:val="16"/>
        </w:rPr>
      </w:pPr>
    </w:p>
    <w:p w14:paraId="4474F58D" w14:textId="77777777" w:rsidR="004B4E35" w:rsidRPr="00405303" w:rsidRDefault="009E6F82" w:rsidP="00C15251">
      <w:pPr>
        <w:jc w:val="both"/>
        <w:rPr>
          <w:bCs/>
          <w:color w:val="002060"/>
          <w:sz w:val="16"/>
          <w:szCs w:val="16"/>
        </w:rPr>
      </w:pPr>
      <w:r w:rsidRPr="00405303">
        <w:rPr>
          <w:bCs/>
          <w:color w:val="002060"/>
          <w:sz w:val="16"/>
          <w:szCs w:val="16"/>
        </w:rPr>
        <w:t>В 1915 году завод ПРТВ в результате деятельности инженера Григоровича и крупных заказов от морского и военного ведомств соединился с двумя другими предприятиями и получил новое название "Гамаюн". Авторитет Дмитрия Павловича необычайно возрос. Его приглашают уже как признанного специалиста на совещания в Адмиралтейство, на которых обсуждаются насущные вопросы морской авиации. Деятельность завода "Гамаюн" приняла ярко выраженную "морскую" направленность (11239).</w:t>
      </w:r>
    </w:p>
    <w:p w14:paraId="55FCFFE2" w14:textId="77777777" w:rsidR="004B4E35" w:rsidRPr="00405303" w:rsidRDefault="004B4E35" w:rsidP="00C15251">
      <w:pPr>
        <w:jc w:val="both"/>
        <w:rPr>
          <w:bCs/>
          <w:color w:val="002060"/>
          <w:sz w:val="16"/>
          <w:szCs w:val="16"/>
        </w:rPr>
      </w:pPr>
    </w:p>
    <w:p w14:paraId="65F15CE3" w14:textId="72AE7179" w:rsidR="004B4E35" w:rsidRPr="00405303" w:rsidRDefault="009E6F82" w:rsidP="00C15251">
      <w:pPr>
        <w:jc w:val="both"/>
        <w:rPr>
          <w:bCs/>
          <w:color w:val="002060"/>
          <w:sz w:val="16"/>
          <w:szCs w:val="16"/>
        </w:rPr>
      </w:pPr>
      <w:r w:rsidRPr="00405303">
        <w:rPr>
          <w:bCs/>
          <w:color w:val="002060"/>
          <w:sz w:val="16"/>
          <w:szCs w:val="16"/>
        </w:rPr>
        <w:t>В 1915 г. пос</w:t>
      </w:r>
      <w:r w:rsidRPr="00405303">
        <w:rPr>
          <w:bCs/>
          <w:color w:val="002060"/>
          <w:sz w:val="16"/>
          <w:szCs w:val="16"/>
        </w:rPr>
        <w:softHyphen/>
        <w:t>ле получения крупного заказа от морского министерства завод объединился с двумя другими пред</w:t>
      </w:r>
      <w:r w:rsidRPr="00405303">
        <w:rPr>
          <w:bCs/>
          <w:color w:val="002060"/>
          <w:sz w:val="16"/>
          <w:szCs w:val="16"/>
        </w:rPr>
        <w:softHyphen/>
        <w:t>приятиями и стал называться «Гамаюн». Основной профиль работы остался прежним - гидросамолеты. Их производство в довольно корот</w:t>
      </w:r>
      <w:r w:rsidRPr="00405303">
        <w:rPr>
          <w:bCs/>
          <w:color w:val="002060"/>
          <w:sz w:val="16"/>
          <w:szCs w:val="16"/>
        </w:rPr>
        <w:softHyphen/>
        <w:t>кие сроки стало отвечать требова</w:t>
      </w:r>
      <w:r w:rsidRPr="00405303">
        <w:rPr>
          <w:bCs/>
          <w:color w:val="002060"/>
          <w:sz w:val="16"/>
          <w:szCs w:val="16"/>
        </w:rPr>
        <w:softHyphen/>
        <w:t>ниям заказчика. Объяснялось это деревянной конструкцией самоле</w:t>
      </w:r>
      <w:r w:rsidRPr="00405303">
        <w:rPr>
          <w:bCs/>
          <w:color w:val="002060"/>
          <w:sz w:val="16"/>
          <w:szCs w:val="16"/>
        </w:rPr>
        <w:softHyphen/>
        <w:t>тов, несложностью механизмов, широким использованием ручного труда в полукустарных мастерских. Для сборки корпусов лодок, пред</w:t>
      </w:r>
      <w:r w:rsidRPr="00405303">
        <w:rPr>
          <w:bCs/>
          <w:color w:val="002060"/>
          <w:sz w:val="16"/>
          <w:szCs w:val="16"/>
        </w:rPr>
        <w:softHyphen/>
        <w:t>ставляющих довольно жесткую кон</w:t>
      </w:r>
      <w:r w:rsidRPr="00405303">
        <w:rPr>
          <w:bCs/>
          <w:color w:val="002060"/>
          <w:sz w:val="16"/>
          <w:szCs w:val="16"/>
        </w:rPr>
        <w:softHyphen/>
        <w:t>струкцию, использовались техноло</w:t>
      </w:r>
      <w:r w:rsidRPr="00405303">
        <w:rPr>
          <w:bCs/>
          <w:color w:val="002060"/>
          <w:sz w:val="16"/>
          <w:szCs w:val="16"/>
        </w:rPr>
        <w:softHyphen/>
        <w:t>гические приемы из области судо</w:t>
      </w:r>
      <w:r w:rsidRPr="00405303">
        <w:rPr>
          <w:bCs/>
          <w:color w:val="002060"/>
          <w:sz w:val="16"/>
          <w:szCs w:val="16"/>
        </w:rPr>
        <w:softHyphen/>
        <w:t>строения. На плазе выполнялся чер</w:t>
      </w:r>
      <w:r w:rsidRPr="00405303">
        <w:rPr>
          <w:bCs/>
          <w:color w:val="002060"/>
          <w:sz w:val="16"/>
          <w:szCs w:val="16"/>
        </w:rPr>
        <w:softHyphen/>
        <w:t>теж в натуральную величину, и с него снимали шаблоны шпангоутов. Это был прообраз плазово-</w:t>
      </w:r>
      <w:proofErr w:type="gramStart"/>
      <w:r w:rsidRPr="00405303">
        <w:rPr>
          <w:bCs/>
          <w:color w:val="002060"/>
          <w:sz w:val="16"/>
          <w:szCs w:val="16"/>
        </w:rPr>
        <w:t>шаблон- ного</w:t>
      </w:r>
      <w:proofErr w:type="gramEnd"/>
      <w:r w:rsidRPr="00405303">
        <w:rPr>
          <w:bCs/>
          <w:color w:val="002060"/>
          <w:sz w:val="16"/>
          <w:szCs w:val="16"/>
        </w:rPr>
        <w:t xml:space="preserve"> метода, получившего широкое распространение в судостроении после Первой мировой войны. Про</w:t>
      </w:r>
      <w:r w:rsidRPr="00405303">
        <w:rPr>
          <w:bCs/>
          <w:color w:val="002060"/>
          <w:sz w:val="16"/>
          <w:szCs w:val="16"/>
        </w:rPr>
        <w:softHyphen/>
        <w:t>изводительность ПРТВ достигала 50 самолетов в месяц (11872).</w:t>
      </w:r>
    </w:p>
    <w:p w14:paraId="77855DDB" w14:textId="77777777" w:rsidR="004B4E35" w:rsidRPr="00405303" w:rsidRDefault="004B4E35" w:rsidP="00C15251">
      <w:pPr>
        <w:jc w:val="both"/>
        <w:rPr>
          <w:bCs/>
          <w:color w:val="002060"/>
          <w:sz w:val="16"/>
          <w:szCs w:val="16"/>
        </w:rPr>
      </w:pPr>
    </w:p>
    <w:p w14:paraId="526EA24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1915 г. в армию стали поступать самолеты «Вуазен» с двигателями «Сальмсон» мощностью 130—150 л. с. и «Моран» с двигателями «Рон» мощностью 80 л. с. Они постепенно заменили прежние типы аппа</w:t>
      </w:r>
      <w:r w:rsidRPr="00405303">
        <w:rPr>
          <w:bCs/>
          <w:color w:val="002060"/>
          <w:sz w:val="16"/>
          <w:szCs w:val="16"/>
        </w:rPr>
        <w:softHyphen/>
        <w:t>ратов. Новые машины обладали радиусом действия 200—300 км, в результате чего граница между армейскими и корпусными авиа</w:t>
      </w:r>
      <w:r w:rsidRPr="00405303">
        <w:rPr>
          <w:bCs/>
          <w:color w:val="002060"/>
          <w:sz w:val="16"/>
          <w:szCs w:val="16"/>
        </w:rPr>
        <w:softHyphen/>
        <w:t>отрядами постепенно стиралась (9705,80).</w:t>
      </w:r>
    </w:p>
    <w:p w14:paraId="79536FA7" w14:textId="77777777" w:rsidR="004B4E35" w:rsidRPr="00405303" w:rsidRDefault="004B4E35" w:rsidP="00C15251">
      <w:pPr>
        <w:shd w:val="clear" w:color="auto" w:fill="FFFFFF"/>
        <w:jc w:val="both"/>
        <w:rPr>
          <w:bCs/>
          <w:color w:val="002060"/>
          <w:sz w:val="16"/>
          <w:szCs w:val="16"/>
        </w:rPr>
      </w:pPr>
    </w:p>
    <w:p w14:paraId="10EF43E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1915 в основном российские авиазаводы строили двухместные полуторапланы «Ньюпор-4» с вынесенной вперед лыжей, предохранявшей ма</w:t>
      </w:r>
      <w:r w:rsidRPr="00405303">
        <w:rPr>
          <w:bCs/>
          <w:color w:val="002060"/>
          <w:sz w:val="16"/>
          <w:szCs w:val="16"/>
        </w:rPr>
        <w:softHyphen/>
        <w:t>шину от капотажа (так называемый «Ньюпор с ложкой»), и би</w:t>
      </w:r>
      <w:r w:rsidRPr="00405303">
        <w:rPr>
          <w:bCs/>
          <w:color w:val="002060"/>
          <w:sz w:val="16"/>
          <w:szCs w:val="16"/>
        </w:rPr>
        <w:softHyphen/>
        <w:t>планы «Фарман-16» с толкающим винтом. На них устанавлива</w:t>
      </w:r>
      <w:r w:rsidRPr="00405303">
        <w:rPr>
          <w:bCs/>
          <w:color w:val="002060"/>
          <w:sz w:val="16"/>
          <w:szCs w:val="16"/>
        </w:rPr>
        <w:softHyphen/>
        <w:t>лись двигатели «Гном». Обе эти машины французской конструк</w:t>
      </w:r>
      <w:r w:rsidRPr="00405303">
        <w:rPr>
          <w:bCs/>
          <w:color w:val="002060"/>
          <w:sz w:val="16"/>
          <w:szCs w:val="16"/>
        </w:rPr>
        <w:softHyphen/>
        <w:t>ции строились в России с некоторыми изменениями и составляли основное ядро русских военно-воздушных сил. Технические ха</w:t>
      </w:r>
      <w:r w:rsidRPr="00405303">
        <w:rPr>
          <w:bCs/>
          <w:color w:val="002060"/>
          <w:sz w:val="16"/>
          <w:szCs w:val="16"/>
        </w:rPr>
        <w:softHyphen/>
        <w:t>рактеристики этих самолетов приведены в табл. 11 (9705,102).</w:t>
      </w:r>
    </w:p>
    <w:p w14:paraId="460D57B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Некоторые летные характеристики самолетов «Ньюпор-4» и «Фарман-16»</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34"/>
        <w:gridCol w:w="1325"/>
        <w:gridCol w:w="1162"/>
        <w:gridCol w:w="1325"/>
        <w:gridCol w:w="1296"/>
      </w:tblGrid>
      <w:tr w:rsidR="004B4E35" w:rsidRPr="00405303" w14:paraId="30788E87" w14:textId="77777777">
        <w:trPr>
          <w:trHeight w:val="547"/>
        </w:trPr>
        <w:tc>
          <w:tcPr>
            <w:tcW w:w="1334" w:type="dxa"/>
          </w:tcPr>
          <w:p w14:paraId="08EB4DB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Самолет</w:t>
            </w:r>
          </w:p>
          <w:p w14:paraId="46123D54" w14:textId="77777777" w:rsidR="004B4E35" w:rsidRPr="00405303" w:rsidRDefault="004B4E35" w:rsidP="00C15251">
            <w:pPr>
              <w:shd w:val="clear" w:color="auto" w:fill="FFFFFF"/>
              <w:jc w:val="both"/>
              <w:rPr>
                <w:bCs/>
                <w:color w:val="002060"/>
                <w:sz w:val="16"/>
                <w:szCs w:val="16"/>
              </w:rPr>
            </w:pPr>
          </w:p>
        </w:tc>
        <w:tc>
          <w:tcPr>
            <w:tcW w:w="1325" w:type="dxa"/>
          </w:tcPr>
          <w:p w14:paraId="44C7880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Мощность двигателя, л. с.</w:t>
            </w:r>
          </w:p>
          <w:p w14:paraId="35BB079B" w14:textId="77777777" w:rsidR="004B4E35" w:rsidRPr="00405303" w:rsidRDefault="004B4E35" w:rsidP="00C15251">
            <w:pPr>
              <w:shd w:val="clear" w:color="auto" w:fill="FFFFFF"/>
              <w:jc w:val="both"/>
              <w:rPr>
                <w:bCs/>
                <w:color w:val="002060"/>
                <w:sz w:val="16"/>
                <w:szCs w:val="16"/>
              </w:rPr>
            </w:pPr>
          </w:p>
        </w:tc>
        <w:tc>
          <w:tcPr>
            <w:tcW w:w="1162" w:type="dxa"/>
          </w:tcPr>
          <w:p w14:paraId="631F979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Полная нагрузка, кг</w:t>
            </w:r>
          </w:p>
          <w:p w14:paraId="4E06F38A" w14:textId="77777777" w:rsidR="004B4E35" w:rsidRPr="00405303" w:rsidRDefault="004B4E35" w:rsidP="00C15251">
            <w:pPr>
              <w:shd w:val="clear" w:color="auto" w:fill="FFFFFF"/>
              <w:jc w:val="both"/>
              <w:rPr>
                <w:bCs/>
                <w:color w:val="002060"/>
                <w:sz w:val="16"/>
                <w:szCs w:val="16"/>
              </w:rPr>
            </w:pPr>
          </w:p>
        </w:tc>
        <w:tc>
          <w:tcPr>
            <w:tcW w:w="1325" w:type="dxa"/>
          </w:tcPr>
          <w:p w14:paraId="7BB9C8C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Горизонталь</w:t>
            </w:r>
            <w:r w:rsidRPr="00405303">
              <w:rPr>
                <w:bCs/>
                <w:color w:val="002060"/>
                <w:sz w:val="16"/>
                <w:szCs w:val="16"/>
              </w:rPr>
              <w:softHyphen/>
              <w:t>ная скорость, км/ч</w:t>
            </w:r>
          </w:p>
        </w:tc>
        <w:tc>
          <w:tcPr>
            <w:tcW w:w="1296" w:type="dxa"/>
          </w:tcPr>
          <w:p w14:paraId="215762D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Скороподъем</w:t>
            </w:r>
            <w:r w:rsidRPr="00405303">
              <w:rPr>
                <w:bCs/>
                <w:color w:val="002060"/>
                <w:sz w:val="16"/>
                <w:szCs w:val="16"/>
              </w:rPr>
              <w:softHyphen/>
              <w:t>ность на 500 м, мин</w:t>
            </w:r>
          </w:p>
        </w:tc>
      </w:tr>
      <w:tr w:rsidR="004B4E35" w:rsidRPr="00405303" w14:paraId="350F45F5" w14:textId="77777777">
        <w:trPr>
          <w:trHeight w:val="336"/>
        </w:trPr>
        <w:tc>
          <w:tcPr>
            <w:tcW w:w="1334" w:type="dxa"/>
          </w:tcPr>
          <w:p w14:paraId="1C00AD8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«Ньюпор-4»</w:t>
            </w:r>
          </w:p>
        </w:tc>
        <w:tc>
          <w:tcPr>
            <w:tcW w:w="1325" w:type="dxa"/>
          </w:tcPr>
          <w:p w14:paraId="610D0D3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70</w:t>
            </w:r>
          </w:p>
        </w:tc>
        <w:tc>
          <w:tcPr>
            <w:tcW w:w="1162" w:type="dxa"/>
          </w:tcPr>
          <w:p w14:paraId="4CC20C7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240</w:t>
            </w:r>
          </w:p>
        </w:tc>
        <w:tc>
          <w:tcPr>
            <w:tcW w:w="1325" w:type="dxa"/>
          </w:tcPr>
          <w:p w14:paraId="4B66191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95</w:t>
            </w:r>
          </w:p>
        </w:tc>
        <w:tc>
          <w:tcPr>
            <w:tcW w:w="1296" w:type="dxa"/>
          </w:tcPr>
          <w:p w14:paraId="26DE311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12</w:t>
            </w:r>
          </w:p>
        </w:tc>
      </w:tr>
      <w:tr w:rsidR="004B4E35" w:rsidRPr="00405303" w14:paraId="1D030A1F" w14:textId="77777777">
        <w:trPr>
          <w:trHeight w:val="432"/>
        </w:trPr>
        <w:tc>
          <w:tcPr>
            <w:tcW w:w="1334" w:type="dxa"/>
          </w:tcPr>
          <w:p w14:paraId="25FB9DB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«Фарман-16»</w:t>
            </w:r>
          </w:p>
        </w:tc>
        <w:tc>
          <w:tcPr>
            <w:tcW w:w="1325" w:type="dxa"/>
          </w:tcPr>
          <w:p w14:paraId="40DE944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80</w:t>
            </w:r>
          </w:p>
        </w:tc>
        <w:tc>
          <w:tcPr>
            <w:tcW w:w="1162" w:type="dxa"/>
          </w:tcPr>
          <w:p w14:paraId="35EA577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275</w:t>
            </w:r>
          </w:p>
        </w:tc>
        <w:tc>
          <w:tcPr>
            <w:tcW w:w="1325" w:type="dxa"/>
          </w:tcPr>
          <w:p w14:paraId="7A2AE9A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90</w:t>
            </w:r>
          </w:p>
        </w:tc>
        <w:tc>
          <w:tcPr>
            <w:tcW w:w="1296" w:type="dxa"/>
          </w:tcPr>
          <w:p w14:paraId="5B5312B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10</w:t>
            </w:r>
          </w:p>
        </w:tc>
      </w:tr>
    </w:tbl>
    <w:p w14:paraId="18A80DD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(9705,102).</w:t>
      </w:r>
    </w:p>
    <w:p w14:paraId="0227F55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Помимо этих двух машин, было построено несколько самоле</w:t>
      </w:r>
      <w:r w:rsidRPr="00405303">
        <w:rPr>
          <w:bCs/>
          <w:color w:val="002060"/>
          <w:sz w:val="16"/>
          <w:szCs w:val="16"/>
        </w:rPr>
        <w:softHyphen/>
        <w:t>тов типов «Фарман-22» и «Моран-Парасоль» с 70—80-сильными ротативными двигателями «Гном». Все эти французские образцы самолетов к началу войны уже устарели (9705,102).</w:t>
      </w:r>
    </w:p>
    <w:p w14:paraId="51FC6E6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Самолеты русских конструкторов, в частности самолет кон</w:t>
      </w:r>
      <w:r w:rsidRPr="00405303">
        <w:rPr>
          <w:bCs/>
          <w:color w:val="002060"/>
          <w:sz w:val="16"/>
          <w:szCs w:val="16"/>
        </w:rPr>
        <w:softHyphen/>
        <w:t>струкции Сикорского, занявший первое место на конкурсе воен</w:t>
      </w:r>
      <w:r w:rsidRPr="00405303">
        <w:rPr>
          <w:bCs/>
          <w:color w:val="002060"/>
          <w:sz w:val="16"/>
          <w:szCs w:val="16"/>
        </w:rPr>
        <w:softHyphen/>
        <w:t>ных самолетов в 1913 г., а также самолеты конструкций Гаккеля, Стеглау, Дыбовского не строились (9705,102).</w:t>
      </w:r>
    </w:p>
    <w:p w14:paraId="5C23ACF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Четкой технической политики военного ведомства в авиа</w:t>
      </w:r>
      <w:r w:rsidRPr="00405303">
        <w:rPr>
          <w:bCs/>
          <w:color w:val="002060"/>
          <w:sz w:val="16"/>
          <w:szCs w:val="16"/>
        </w:rPr>
        <w:softHyphen/>
        <w:t>строении, планомерной и продуманной системы развития авиа</w:t>
      </w:r>
      <w:r w:rsidRPr="00405303">
        <w:rPr>
          <w:bCs/>
          <w:color w:val="002060"/>
          <w:sz w:val="16"/>
          <w:szCs w:val="16"/>
        </w:rPr>
        <w:softHyphen/>
        <w:t>ционного производства не существовало. Как заявил член Госу</w:t>
      </w:r>
      <w:r w:rsidRPr="00405303">
        <w:rPr>
          <w:bCs/>
          <w:color w:val="002060"/>
          <w:sz w:val="16"/>
          <w:szCs w:val="16"/>
        </w:rPr>
        <w:softHyphen/>
        <w:t>дарственной думы А. Ф. Половцев в Особом совещании по обо</w:t>
      </w:r>
      <w:r w:rsidRPr="00405303">
        <w:rPr>
          <w:bCs/>
          <w:color w:val="002060"/>
          <w:sz w:val="16"/>
          <w:szCs w:val="16"/>
        </w:rPr>
        <w:softHyphen/>
        <w:t>роне государства, «этому роду оружия значения не придавали» (9705,103).</w:t>
      </w:r>
    </w:p>
    <w:p w14:paraId="5FB0AC1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Частные предприятия неохотно переходили к постройке но</w:t>
      </w:r>
      <w:r w:rsidRPr="00405303">
        <w:rPr>
          <w:bCs/>
          <w:color w:val="002060"/>
          <w:sz w:val="16"/>
          <w:szCs w:val="16"/>
        </w:rPr>
        <w:softHyphen/>
        <w:t>вых машин и предпочитали придерживаться старых, уже освоен</w:t>
      </w:r>
      <w:r w:rsidRPr="00405303">
        <w:rPr>
          <w:bCs/>
          <w:color w:val="002060"/>
          <w:sz w:val="16"/>
          <w:szCs w:val="16"/>
        </w:rPr>
        <w:softHyphen/>
        <w:t>ных образцов. Между тем на вооружении германской авиации к началу войны состояли весьма совершенные для того времени двухместные бипланы «Альбатрос», «Эльфауге», «Авиатик» с дви</w:t>
      </w:r>
      <w:r w:rsidRPr="00405303">
        <w:rPr>
          <w:bCs/>
          <w:color w:val="002060"/>
          <w:sz w:val="16"/>
          <w:szCs w:val="16"/>
        </w:rPr>
        <w:softHyphen/>
        <w:t>гателями жидкостного охлаждения мощностью 70—100 л. с. и другие машины, обладавшие скоростью полета свыше 100 км/ч. Зимою 1913/14 г. немцы установили на них ряд авиационных ре</w:t>
      </w:r>
      <w:r w:rsidRPr="00405303">
        <w:rPr>
          <w:bCs/>
          <w:color w:val="002060"/>
          <w:sz w:val="16"/>
          <w:szCs w:val="16"/>
        </w:rPr>
        <w:softHyphen/>
        <w:t>кордов. В частности, летчик Бэм на самолете «Альбатрос» с дви</w:t>
      </w:r>
      <w:r w:rsidRPr="00405303">
        <w:rPr>
          <w:bCs/>
          <w:color w:val="002060"/>
          <w:sz w:val="16"/>
          <w:szCs w:val="16"/>
        </w:rPr>
        <w:softHyphen/>
        <w:t>гателем «Мерседес» мощностью 100 л. с. продержался в воздухе 24 часа 10 мин. Летчик Элерих на биплане «Марс» поднялся на высоту 7500 м. Было ясно, что в России необходимо переходить к производству новых, более совершенных самолетов, обладающих большими скоростью, грузоподъемностью и потолком (9705,103).</w:t>
      </w:r>
    </w:p>
    <w:p w14:paraId="17C6FF6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первые три месяца войны воздушные силы России потеряли, главным образом в результате аварий, значительную часть со</w:t>
      </w:r>
      <w:r w:rsidRPr="00405303">
        <w:rPr>
          <w:bCs/>
          <w:color w:val="002060"/>
          <w:sz w:val="16"/>
          <w:szCs w:val="16"/>
        </w:rPr>
        <w:softHyphen/>
        <w:t>стоявших на вооружении самолетов. Основными причинами ава</w:t>
      </w:r>
      <w:r w:rsidRPr="00405303">
        <w:rPr>
          <w:bCs/>
          <w:color w:val="002060"/>
          <w:sz w:val="16"/>
          <w:szCs w:val="16"/>
        </w:rPr>
        <w:softHyphen/>
        <w:t>рий были несовершенство материальной части и неопытность лет</w:t>
      </w:r>
      <w:r w:rsidRPr="00405303">
        <w:rPr>
          <w:bCs/>
          <w:color w:val="002060"/>
          <w:sz w:val="16"/>
          <w:szCs w:val="16"/>
        </w:rPr>
        <w:softHyphen/>
        <w:t>ного состава (9705,102).</w:t>
      </w:r>
    </w:p>
    <w:p w14:paraId="4841788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Для сохранения боеспособности авиаотрядов ГВТУ сделало крупные заказы авиационным заводам. Однако типы самолетов не были установлены. По словам А. Ф. Половцева, «...брались первые попавшиеся типы летательных машин, большей частью отживших французских типов, бросались от моноплана к бипла</w:t>
      </w:r>
      <w:r w:rsidRPr="00405303">
        <w:rPr>
          <w:bCs/>
          <w:color w:val="002060"/>
          <w:sz w:val="16"/>
          <w:szCs w:val="16"/>
        </w:rPr>
        <w:softHyphen/>
        <w:t>нам, учили, переучивали и постепенно отставали в деле авиа</w:t>
      </w:r>
      <w:r w:rsidRPr="00405303">
        <w:rPr>
          <w:bCs/>
          <w:color w:val="002060"/>
          <w:sz w:val="16"/>
          <w:szCs w:val="16"/>
        </w:rPr>
        <w:softHyphen/>
        <w:t>ции» * (9705,103).</w:t>
      </w:r>
    </w:p>
    <w:p w14:paraId="12B97F8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Русским заводам были заказаны самолеты типа «Вуазен» с двигателями «Сальмсон» мощностью 130 л. с., а затем 140— 150 л. с. и типа «Моран» с двигателями «Рон» мощностью 80 л. с. Такого же типа самолеты военное ведомство заказало и фран</w:t>
      </w:r>
      <w:r w:rsidRPr="00405303">
        <w:rPr>
          <w:bCs/>
          <w:color w:val="002060"/>
          <w:sz w:val="16"/>
          <w:szCs w:val="16"/>
        </w:rPr>
        <w:softHyphen/>
        <w:t>цузским фирмам. Но освоение производства этих самолетов затя</w:t>
      </w:r>
      <w:r w:rsidRPr="00405303">
        <w:rPr>
          <w:bCs/>
          <w:color w:val="002060"/>
          <w:sz w:val="16"/>
          <w:szCs w:val="16"/>
        </w:rPr>
        <w:softHyphen/>
        <w:t>нулось, и к началу войны в русской авиации насчитывалось только несколько таких машин (9705,103).</w:t>
      </w:r>
    </w:p>
    <w:p w14:paraId="715F1A0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Между тем требования фронта к самолетам непрерывно росли. В результате этого прежние типы самолетов в течение первого года войны были заменены новыми, более совершенными.</w:t>
      </w:r>
    </w:p>
    <w:p w14:paraId="6875E47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Только один «Моран», имевший площадь крыльев 14 м</w:t>
      </w:r>
      <w:r w:rsidRPr="00405303">
        <w:rPr>
          <w:bCs/>
          <w:color w:val="002060"/>
          <w:sz w:val="16"/>
          <w:szCs w:val="16"/>
          <w:vertAlign w:val="superscript"/>
        </w:rPr>
        <w:t>2</w:t>
      </w:r>
      <w:r w:rsidRPr="00405303">
        <w:rPr>
          <w:bCs/>
          <w:color w:val="002060"/>
          <w:sz w:val="16"/>
          <w:szCs w:val="16"/>
        </w:rPr>
        <w:t>, был одноместным. Все осталь</w:t>
      </w:r>
      <w:r w:rsidRPr="00405303">
        <w:rPr>
          <w:bCs/>
          <w:color w:val="002060"/>
          <w:sz w:val="16"/>
          <w:szCs w:val="16"/>
        </w:rPr>
        <w:softHyphen/>
        <w:t>ные машины были двухместными. Самолеты «Моран» имели слож</w:t>
      </w:r>
      <w:r w:rsidRPr="00405303">
        <w:rPr>
          <w:bCs/>
          <w:color w:val="002060"/>
          <w:sz w:val="16"/>
          <w:szCs w:val="16"/>
        </w:rPr>
        <w:softHyphen/>
        <w:t>ное управление, киль у них отсутствовал, что сказывалось на устойчивости пути, аэродинамика машины оставляла желать лучшего. «Моран» был монопланом с тонким профилем крыла, расчаленным сверху и снизу проволокой, что сильно сказывалось на скорости машины. Несмотря на то, что эти самолеты по своим летным качествам стояли несравненно выше самолетов образца 1914 г., уже к концу 1915 г. они перестали соответствовать дости</w:t>
      </w:r>
      <w:r w:rsidRPr="00405303">
        <w:rPr>
          <w:bCs/>
          <w:color w:val="002060"/>
          <w:sz w:val="16"/>
          <w:szCs w:val="16"/>
        </w:rPr>
        <w:softHyphen/>
        <w:t>жениям авиационной техники. За границей стали переходить от самолетов с толкающими винтами к одноместным бипланам с тя</w:t>
      </w:r>
      <w:r w:rsidRPr="00405303">
        <w:rPr>
          <w:bCs/>
          <w:color w:val="002060"/>
          <w:sz w:val="16"/>
          <w:szCs w:val="16"/>
        </w:rPr>
        <w:softHyphen/>
        <w:t>нущим винтом. Это диктовалось появлением истребителей. Пол</w:t>
      </w:r>
      <w:r w:rsidRPr="00405303">
        <w:rPr>
          <w:bCs/>
          <w:color w:val="002060"/>
          <w:sz w:val="16"/>
          <w:szCs w:val="16"/>
        </w:rPr>
        <w:softHyphen/>
        <w:t>ное признание получил самолет с двигателем впереди и тянущим винтом (9705,104).</w:t>
      </w:r>
    </w:p>
    <w:p w14:paraId="0DCAA15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Конструкторы одноместных истребителей почти повсеместно перешли от системы моноплана к биплану. Биплан при равной несущей поверхности и грузоподъемности имел лучшую маневрен</w:t>
      </w:r>
      <w:r w:rsidRPr="00405303">
        <w:rPr>
          <w:bCs/>
          <w:color w:val="002060"/>
          <w:sz w:val="16"/>
          <w:szCs w:val="16"/>
        </w:rPr>
        <w:softHyphen/>
        <w:t>ность и обладал большей прочностью (9705,104).</w:t>
      </w:r>
    </w:p>
    <w:p w14:paraId="319C66F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Французу Деляжу удалось создать полутораплан «Ньюпор» с оригинальными крыльями небольшого размаха — узкое нижнее и широкое верхнее крылья скреплялись одной У-образной стой</w:t>
      </w:r>
      <w:r w:rsidRPr="00405303">
        <w:rPr>
          <w:bCs/>
          <w:color w:val="002060"/>
          <w:sz w:val="16"/>
          <w:szCs w:val="16"/>
        </w:rPr>
        <w:softHyphen/>
        <w:t>кой. Получалась машина с хорошим обзором и сравнительно небольшим сопротивлением (9705,104).</w:t>
      </w:r>
    </w:p>
    <w:p w14:paraId="5826DBD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«Ньюпор-11» и «-17», с несущей поверхностью 16 м</w:t>
      </w:r>
      <w:r w:rsidRPr="00405303">
        <w:rPr>
          <w:bCs/>
          <w:color w:val="002060"/>
          <w:sz w:val="16"/>
          <w:szCs w:val="16"/>
          <w:vertAlign w:val="superscript"/>
        </w:rPr>
        <w:t>г</w:t>
      </w:r>
      <w:r w:rsidRPr="00405303">
        <w:rPr>
          <w:bCs/>
          <w:color w:val="002060"/>
          <w:sz w:val="16"/>
          <w:szCs w:val="16"/>
        </w:rPr>
        <w:t xml:space="preserve"> и двига</w:t>
      </w:r>
      <w:r w:rsidRPr="00405303">
        <w:rPr>
          <w:bCs/>
          <w:color w:val="002060"/>
          <w:sz w:val="16"/>
          <w:szCs w:val="16"/>
        </w:rPr>
        <w:softHyphen/>
        <w:t xml:space="preserve">телем «Рон» мощностью ПО л. с. стали особенно популярными на фронте в качестве одноместного истребителя. На вооружение французской авиации были также приняты истребители </w:t>
      </w:r>
      <w:proofErr w:type="gramStart"/>
      <w:r w:rsidRPr="00405303">
        <w:rPr>
          <w:bCs/>
          <w:color w:val="002060"/>
          <w:sz w:val="16"/>
          <w:szCs w:val="16"/>
        </w:rPr>
        <w:t>моно-планного</w:t>
      </w:r>
      <w:proofErr w:type="gramEnd"/>
      <w:r w:rsidRPr="00405303">
        <w:rPr>
          <w:bCs/>
          <w:color w:val="002060"/>
          <w:sz w:val="16"/>
          <w:szCs w:val="16"/>
        </w:rPr>
        <w:t xml:space="preserve"> типа. Самолет «Моран-Сольнье» с двигателем «Рон» мощностью ПО л. с., имея полезную нагрузку 160 кг, показал ско</w:t>
      </w:r>
      <w:r w:rsidRPr="00405303">
        <w:rPr>
          <w:bCs/>
          <w:color w:val="002060"/>
          <w:sz w:val="16"/>
          <w:szCs w:val="16"/>
        </w:rPr>
        <w:softHyphen/>
        <w:t>рость полета 170 км/ч. Кроме этих машин, союзники распола</w:t>
      </w:r>
      <w:r w:rsidRPr="00405303">
        <w:rPr>
          <w:bCs/>
          <w:color w:val="002060"/>
          <w:sz w:val="16"/>
          <w:szCs w:val="16"/>
        </w:rPr>
        <w:softHyphen/>
        <w:t>гали неплохими боевыми самолетами «Фарман-40», «Спад» с дви</w:t>
      </w:r>
      <w:r w:rsidRPr="00405303">
        <w:rPr>
          <w:bCs/>
          <w:color w:val="002060"/>
          <w:sz w:val="16"/>
          <w:szCs w:val="16"/>
        </w:rPr>
        <w:softHyphen/>
        <w:t>гателями «Рено», «Сопвич» с двигателем «Клерже» мощностью 130 л. с., «Кодрон» и др.'Эти самолеты развивали скорость гори</w:t>
      </w:r>
      <w:r w:rsidRPr="00405303">
        <w:rPr>
          <w:bCs/>
          <w:color w:val="002060"/>
          <w:sz w:val="16"/>
          <w:szCs w:val="16"/>
        </w:rPr>
        <w:softHyphen/>
        <w:t>зонтального полета до 170 км/ч (9705,104).</w:t>
      </w:r>
    </w:p>
    <w:p w14:paraId="65CC6CD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Германии в серийном производстве находился биплан кон</w:t>
      </w:r>
      <w:r w:rsidRPr="00405303">
        <w:rPr>
          <w:bCs/>
          <w:color w:val="002060"/>
          <w:sz w:val="16"/>
          <w:szCs w:val="16"/>
        </w:rPr>
        <w:softHyphen/>
        <w:t>струкции А. Фоккера. Он имел тянущий винт, двигатель мощ</w:t>
      </w:r>
      <w:r w:rsidRPr="00405303">
        <w:rPr>
          <w:bCs/>
          <w:color w:val="002060"/>
          <w:sz w:val="16"/>
          <w:szCs w:val="16"/>
        </w:rPr>
        <w:softHyphen/>
        <w:t>ностью 165 л. с., показывал скорость полета до 150 км/ч. Рус</w:t>
      </w:r>
      <w:r w:rsidRPr="00405303">
        <w:rPr>
          <w:bCs/>
          <w:color w:val="002060"/>
          <w:sz w:val="16"/>
          <w:szCs w:val="16"/>
        </w:rPr>
        <w:softHyphen/>
        <w:t>ским летчикам пришлось столкнуться также с немецкими само</w:t>
      </w:r>
      <w:r w:rsidRPr="00405303">
        <w:rPr>
          <w:bCs/>
          <w:color w:val="002060"/>
          <w:sz w:val="16"/>
          <w:szCs w:val="16"/>
        </w:rPr>
        <w:softHyphen/>
        <w:t>летами «Авиатик» с двигателем «Мерседес» мощностью 170 л. с., обладавшими скоростью полета 132 км/ч, и «Альбатрос» с двумя двигателями мощностью по 165 л. с. каждый, развивавшими ско</w:t>
      </w:r>
      <w:r w:rsidRPr="00405303">
        <w:rPr>
          <w:bCs/>
          <w:color w:val="002060"/>
          <w:sz w:val="16"/>
          <w:szCs w:val="16"/>
        </w:rPr>
        <w:softHyphen/>
        <w:t>рость 170 км/ч. Если добавить к этому, что все новые типы загра</w:t>
      </w:r>
      <w:r w:rsidRPr="00405303">
        <w:rPr>
          <w:bCs/>
          <w:color w:val="002060"/>
          <w:sz w:val="16"/>
          <w:szCs w:val="16"/>
        </w:rPr>
        <w:softHyphen/>
        <w:t>ничных самолетов к концу 1915 г. имели специальное вооружение, то станет ясным, насколько отставшими оказались русские воен</w:t>
      </w:r>
      <w:r w:rsidRPr="00405303">
        <w:rPr>
          <w:bCs/>
          <w:color w:val="002060"/>
          <w:sz w:val="16"/>
          <w:szCs w:val="16"/>
        </w:rPr>
        <w:softHyphen/>
        <w:t>ные самолеты. Фронтовое командование и летчики настойчиво требовали новых, более быстроходных и грузоподъемных само</w:t>
      </w:r>
      <w:r w:rsidRPr="00405303">
        <w:rPr>
          <w:bCs/>
          <w:color w:val="002060"/>
          <w:sz w:val="16"/>
          <w:szCs w:val="16"/>
        </w:rPr>
        <w:softHyphen/>
        <w:t>летов (9705,104).</w:t>
      </w:r>
    </w:p>
    <w:p w14:paraId="6E796F7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Накануне войны русские авиаотряды имели на вооружении в большинстве случаев «Ньюпор-4». Этот двухместный моноплан не обладал ни удовлетворительным радиусом действия, ни доста</w:t>
      </w:r>
      <w:r w:rsidRPr="00405303">
        <w:rPr>
          <w:bCs/>
          <w:color w:val="002060"/>
          <w:sz w:val="16"/>
          <w:szCs w:val="16"/>
        </w:rPr>
        <w:softHyphen/>
        <w:t>точной грузоподъемностью, что поставило русский военно-воздуш</w:t>
      </w:r>
      <w:r w:rsidRPr="00405303">
        <w:rPr>
          <w:bCs/>
          <w:color w:val="002060"/>
          <w:sz w:val="16"/>
          <w:szCs w:val="16"/>
        </w:rPr>
        <w:softHyphen/>
        <w:t>ный флот в начале войны в весьма затруднительное положение. Биплан как более грузоподъемный и обладавший относительно большим радиусом действия и хорошим обзором рассматривался военным ведомством в качестве наилучшей боевой машины (9705,95).</w:t>
      </w:r>
    </w:p>
    <w:p w14:paraId="43B61ADF" w14:textId="77777777" w:rsidR="004B4E35" w:rsidRPr="00405303" w:rsidRDefault="004B4E35" w:rsidP="00C15251">
      <w:pPr>
        <w:shd w:val="clear" w:color="auto" w:fill="FFFFFF"/>
        <w:jc w:val="both"/>
        <w:rPr>
          <w:bCs/>
          <w:color w:val="002060"/>
          <w:sz w:val="16"/>
          <w:szCs w:val="16"/>
        </w:rPr>
      </w:pPr>
    </w:p>
    <w:p w14:paraId="3C31B38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1915 г. Военное ведомство вынуждено было разработать «проект задания» авиационным заводам. Теперь уже требовалось строить истребители со скоростью полета не менее 150 км/ч. Ско</w:t>
      </w:r>
      <w:r w:rsidRPr="00405303">
        <w:rPr>
          <w:bCs/>
          <w:color w:val="002060"/>
          <w:sz w:val="16"/>
          <w:szCs w:val="16"/>
        </w:rPr>
        <w:softHyphen/>
        <w:t>роподъемность самолета на высоту 2000 м должна была состав</w:t>
      </w:r>
      <w:r w:rsidRPr="00405303">
        <w:rPr>
          <w:bCs/>
          <w:color w:val="002060"/>
          <w:sz w:val="16"/>
          <w:szCs w:val="16"/>
        </w:rPr>
        <w:softHyphen/>
        <w:t>лять не более 15 мин. Для самолетов с двигателем «Рон» мощ</w:t>
      </w:r>
      <w:r w:rsidRPr="00405303">
        <w:rPr>
          <w:bCs/>
          <w:color w:val="002060"/>
          <w:sz w:val="16"/>
          <w:szCs w:val="16"/>
        </w:rPr>
        <w:softHyphen/>
        <w:t>ностью 100—ПО л. с. грузоподъемность определялась в 300 кг (масса пилота, одного пассажира, вооружения, снаряжения и бомб), продолжительность полета составляла 7 ч. Требовалось также, чтобы разбег и пробег при посадке не превышали 90 м. Но даже такие в общем скромные требования оказались трудно</w:t>
      </w:r>
      <w:r w:rsidRPr="00405303">
        <w:rPr>
          <w:bCs/>
          <w:color w:val="002060"/>
          <w:sz w:val="16"/>
          <w:szCs w:val="16"/>
        </w:rPr>
        <w:softHyphen/>
        <w:t>выполнимыми (9705).</w:t>
      </w:r>
    </w:p>
    <w:p w14:paraId="59C2208E" w14:textId="77777777" w:rsidR="004B4E35" w:rsidRPr="00405303" w:rsidRDefault="004B4E35" w:rsidP="00C15251">
      <w:pPr>
        <w:shd w:val="clear" w:color="auto" w:fill="FFFFFF"/>
        <w:jc w:val="both"/>
        <w:rPr>
          <w:bCs/>
          <w:color w:val="002060"/>
          <w:sz w:val="16"/>
          <w:szCs w:val="16"/>
        </w:rPr>
      </w:pPr>
    </w:p>
    <w:p w14:paraId="0767DCDA" w14:textId="77777777" w:rsidR="004B4E35" w:rsidRPr="00405303" w:rsidRDefault="009E6F82" w:rsidP="00C15251">
      <w:pPr>
        <w:jc w:val="both"/>
        <w:rPr>
          <w:bCs/>
          <w:color w:val="002060"/>
          <w:sz w:val="16"/>
          <w:szCs w:val="16"/>
        </w:rPr>
      </w:pPr>
      <w:r w:rsidRPr="00405303">
        <w:rPr>
          <w:bCs/>
          <w:color w:val="002060"/>
          <w:sz w:val="16"/>
          <w:szCs w:val="16"/>
        </w:rPr>
        <w:t>В 1915 году в авиастроении было занято 2180 человек, а в следующем году их число возросло до 5029. Ряд крупных заводов начал создавать филиалы в других городах - Симферополе, Таганроге, Пензе. Значительно продвинулась вперед технология отечественного авиационного производства. К 1 ноября 1916 года на русских заводах было построено 2050 самолетов (73% от всех, направленных на фронт) и 578 моторов (30%). Однако возможности отечественой авиационой промышлености по прежднему значительно уступали Германии. Поставки союзников также не могли в полной мере решить проблемму самолетного и моторного "голода": осенью 1916 года, когда у русской армии имелось в строю 598 са Франция располагала 1320 машинами, Германия - 1200, Великобритания - 800, Италия - 348 (11184).</w:t>
      </w:r>
    </w:p>
    <w:p w14:paraId="369054F0" w14:textId="77777777" w:rsidR="004B4E35" w:rsidRPr="00405303" w:rsidRDefault="004B4E35" w:rsidP="00C15251">
      <w:pPr>
        <w:jc w:val="both"/>
        <w:rPr>
          <w:bCs/>
          <w:color w:val="002060"/>
          <w:sz w:val="16"/>
          <w:szCs w:val="16"/>
        </w:rPr>
      </w:pPr>
    </w:p>
    <w:p w14:paraId="5A17487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1915г. Создана первая летающая лаборатория на базе самолета «Вуазен» (11425).</w:t>
      </w:r>
    </w:p>
    <w:p w14:paraId="4A42D4F1" w14:textId="77777777" w:rsidR="004B4E35" w:rsidRPr="00405303" w:rsidRDefault="004B4E35" w:rsidP="00C15251">
      <w:pPr>
        <w:shd w:val="clear" w:color="auto" w:fill="FFFFFF"/>
        <w:jc w:val="both"/>
        <w:rPr>
          <w:bCs/>
          <w:color w:val="002060"/>
          <w:sz w:val="16"/>
          <w:szCs w:val="16"/>
        </w:rPr>
      </w:pPr>
    </w:p>
    <w:p w14:paraId="00EFFCB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1915г. На Путиловской верфи создан авианесущий корабль «Ор</w:t>
      </w:r>
      <w:r w:rsidRPr="00405303">
        <w:rPr>
          <w:bCs/>
          <w:color w:val="002060"/>
          <w:sz w:val="16"/>
          <w:szCs w:val="16"/>
        </w:rPr>
        <w:softHyphen/>
        <w:t>лица». На борту корабля находились 6 гидроаэропланов (11425).</w:t>
      </w:r>
    </w:p>
    <w:p w14:paraId="11BFBAAD" w14:textId="77777777" w:rsidR="004B4E35" w:rsidRPr="00405303" w:rsidRDefault="004B4E35" w:rsidP="00C15251">
      <w:pPr>
        <w:shd w:val="clear" w:color="auto" w:fill="FFFFFF"/>
        <w:jc w:val="both"/>
        <w:rPr>
          <w:bCs/>
          <w:color w:val="002060"/>
          <w:sz w:val="16"/>
          <w:szCs w:val="16"/>
        </w:rPr>
      </w:pPr>
    </w:p>
    <w:p w14:paraId="0369346D" w14:textId="77777777" w:rsidR="004B4E35" w:rsidRPr="00405303" w:rsidRDefault="009E6F82" w:rsidP="00C15251">
      <w:pPr>
        <w:jc w:val="both"/>
        <w:rPr>
          <w:bCs/>
          <w:color w:val="002060"/>
          <w:sz w:val="16"/>
          <w:szCs w:val="16"/>
        </w:rPr>
      </w:pPr>
      <w:r w:rsidRPr="00405303">
        <w:rPr>
          <w:bCs/>
          <w:color w:val="002060"/>
          <w:sz w:val="16"/>
          <w:szCs w:val="16"/>
        </w:rPr>
        <w:lastRenderedPageBreak/>
        <w:t>В 1915 года в Москве на базе частной механической мастерской завод начал производственную деятельность изготовлением авиамоторов типа «Самби» для бомбардировщиков «Илья Муромец».</w:t>
      </w:r>
    </w:p>
    <w:p w14:paraId="760CF3B4" w14:textId="77777777" w:rsidR="004B4E35" w:rsidRPr="00405303" w:rsidRDefault="009E6F82" w:rsidP="00C15251">
      <w:pPr>
        <w:jc w:val="both"/>
        <w:rPr>
          <w:bCs/>
          <w:color w:val="002060"/>
          <w:sz w:val="16"/>
          <w:szCs w:val="16"/>
        </w:rPr>
      </w:pPr>
      <w:r w:rsidRPr="00405303">
        <w:rPr>
          <w:bCs/>
          <w:color w:val="002060"/>
          <w:sz w:val="16"/>
          <w:szCs w:val="16"/>
        </w:rPr>
        <w:t>В годы Гражданской войны завод продолжал выпускать новые моторы, а также производил ремонт и восстановление моторов.</w:t>
      </w:r>
    </w:p>
    <w:p w14:paraId="69EE2820" w14:textId="77777777" w:rsidR="004B4E35" w:rsidRPr="00405303" w:rsidRDefault="009E6F82" w:rsidP="00C15251">
      <w:pPr>
        <w:jc w:val="both"/>
        <w:rPr>
          <w:bCs/>
          <w:color w:val="002060"/>
          <w:sz w:val="16"/>
          <w:szCs w:val="16"/>
        </w:rPr>
      </w:pPr>
      <w:r w:rsidRPr="00405303">
        <w:rPr>
          <w:bCs/>
          <w:color w:val="002060"/>
          <w:sz w:val="16"/>
          <w:szCs w:val="16"/>
        </w:rPr>
        <w:t>После организации производства отечественных авиамоторов на новых заводах, завод «Спартак) перешел на производство работ по автомашинам и до 1934 года являлся 1-м филиалом завода им. Сталина (АМО). Находился на углу улиц Краснопролетарской и Садово-Каретной. В 1934 году решением Правительства завод был передан в систему НКАП, а в 1935 году заводу присваивается № 119. В конце 1935 года заводом было получено задание по выпуску шасси самолетов И-16. В 1938 году в состав завода был влит весовой завод «Ильича» НК электропромышленности. В 1940 году завод полностью обеспечивал агрегатами шасси выпуск самолетов И-16 на заводе № 21, самолетов ДБ-3Ф на заводе № 39 и самолетов СП-84 на заводе № 84. С четвертого квартала 1940 года завод приступил к изготовлению и серийному выпуску шасси для самолетов ПЕ-2 и ЛАГГ-3. В октябре 1941 года завод был эвакуирован в Горький.</w:t>
      </w:r>
    </w:p>
    <w:p w14:paraId="7086533A" w14:textId="77777777" w:rsidR="004B4E35" w:rsidRPr="00405303" w:rsidRDefault="009E6F82" w:rsidP="00C15251">
      <w:pPr>
        <w:jc w:val="both"/>
        <w:rPr>
          <w:bCs/>
          <w:color w:val="002060"/>
          <w:sz w:val="16"/>
          <w:szCs w:val="16"/>
        </w:rPr>
      </w:pPr>
      <w:r w:rsidRPr="00405303">
        <w:rPr>
          <w:bCs/>
          <w:color w:val="002060"/>
          <w:sz w:val="16"/>
          <w:szCs w:val="16"/>
        </w:rPr>
        <w:t>В Горьком завод разместился на производственных площадях бывш. завода «Гудок Октября» на площади завода им. Воробьева, производственных мастерских авиатехникума, мастерских Горремвеса). В 1942 году завод приступил к строительству собственных площадей по Арзамасскому шоссе, 14.</w:t>
      </w:r>
    </w:p>
    <w:p w14:paraId="6C33BEB8" w14:textId="77777777" w:rsidR="004B4E35" w:rsidRPr="00405303" w:rsidRDefault="009E6F82" w:rsidP="00C15251">
      <w:pPr>
        <w:jc w:val="both"/>
        <w:rPr>
          <w:bCs/>
          <w:color w:val="002060"/>
          <w:sz w:val="16"/>
          <w:szCs w:val="16"/>
        </w:rPr>
      </w:pPr>
      <w:r w:rsidRPr="00405303">
        <w:rPr>
          <w:bCs/>
          <w:color w:val="002060"/>
          <w:sz w:val="16"/>
          <w:szCs w:val="16"/>
        </w:rPr>
        <w:t>Директор – Волков А.</w:t>
      </w:r>
    </w:p>
    <w:p w14:paraId="1828935B" w14:textId="77777777" w:rsidR="004B4E35" w:rsidRPr="00405303" w:rsidRDefault="009E6F82" w:rsidP="00C15251">
      <w:pPr>
        <w:jc w:val="both"/>
        <w:rPr>
          <w:bCs/>
          <w:color w:val="002060"/>
          <w:sz w:val="16"/>
          <w:szCs w:val="16"/>
        </w:rPr>
      </w:pPr>
      <w:r w:rsidRPr="00405303">
        <w:rPr>
          <w:bCs/>
          <w:color w:val="002060"/>
          <w:sz w:val="16"/>
          <w:szCs w:val="16"/>
        </w:rPr>
        <w:t>Адрес: Горький</w:t>
      </w:r>
    </w:p>
    <w:p w14:paraId="67A9BCEF" w14:textId="77777777" w:rsidR="004B4E35" w:rsidRPr="00405303" w:rsidRDefault="009E6F82" w:rsidP="00C15251">
      <w:pPr>
        <w:jc w:val="both"/>
        <w:rPr>
          <w:bCs/>
          <w:color w:val="002060"/>
          <w:sz w:val="16"/>
          <w:szCs w:val="16"/>
        </w:rPr>
      </w:pPr>
      <w:r w:rsidRPr="00405303">
        <w:rPr>
          <w:bCs/>
          <w:color w:val="002060"/>
          <w:sz w:val="16"/>
          <w:szCs w:val="16"/>
        </w:rPr>
        <w:t>Производственный профиль – шасси самолетов</w:t>
      </w:r>
    </w:p>
    <w:p w14:paraId="75C20379" w14:textId="77777777" w:rsidR="004B4E35" w:rsidRPr="00405303" w:rsidRDefault="009E6F82" w:rsidP="00C15251">
      <w:pPr>
        <w:jc w:val="both"/>
        <w:rPr>
          <w:bCs/>
          <w:color w:val="002060"/>
          <w:sz w:val="16"/>
          <w:szCs w:val="16"/>
        </w:rPr>
      </w:pPr>
      <w:r w:rsidRPr="00405303">
        <w:rPr>
          <w:bCs/>
          <w:color w:val="002060"/>
          <w:sz w:val="16"/>
          <w:szCs w:val="16"/>
        </w:rPr>
        <w:t>Директора: С 11 декабря 1940 года по 19 февраля 1942 года – Попов А.Ф. С 8 февраля 1942 года по 23 июня 1944 года – Григорьев Г.М. С 25 июня 1944 года по 13 октября 1949 года – Солонин В.А. С 29 сентября 1949 года – Волков А.А. (9678).</w:t>
      </w:r>
    </w:p>
    <w:p w14:paraId="2F0C3351" w14:textId="77777777" w:rsidR="004B4E35" w:rsidRPr="00405303" w:rsidRDefault="004B4E35" w:rsidP="00C15251">
      <w:pPr>
        <w:jc w:val="both"/>
        <w:rPr>
          <w:bCs/>
          <w:color w:val="002060"/>
          <w:sz w:val="16"/>
          <w:szCs w:val="16"/>
        </w:rPr>
      </w:pPr>
    </w:p>
    <w:p w14:paraId="021975BC" w14:textId="29443561" w:rsidR="004B4E35" w:rsidRPr="00405303" w:rsidRDefault="009E6F82" w:rsidP="00C15251">
      <w:pPr>
        <w:shd w:val="clear" w:color="auto" w:fill="FFFFFF"/>
        <w:jc w:val="both"/>
        <w:rPr>
          <w:bCs/>
          <w:color w:val="002060"/>
          <w:sz w:val="16"/>
          <w:szCs w:val="16"/>
        </w:rPr>
      </w:pPr>
      <w:r w:rsidRPr="00405303">
        <w:rPr>
          <w:bCs/>
          <w:color w:val="002060"/>
          <w:sz w:val="16"/>
          <w:szCs w:val="16"/>
        </w:rPr>
        <w:t>В 1915 г. в Москве за Семеновской заставой был постро</w:t>
      </w:r>
      <w:r w:rsidRPr="00405303">
        <w:rPr>
          <w:bCs/>
          <w:color w:val="002060"/>
          <w:sz w:val="16"/>
          <w:szCs w:val="16"/>
        </w:rPr>
        <w:softHyphen/>
        <w:t>ен завод общества «Сальмсон». Завод собирал из привезенных из-за грани</w:t>
      </w:r>
      <w:r w:rsidRPr="00405303">
        <w:rPr>
          <w:bCs/>
          <w:color w:val="002060"/>
          <w:sz w:val="16"/>
          <w:szCs w:val="16"/>
        </w:rPr>
        <w:softHyphen/>
        <w:t>цы частей звездообразные девятици-линдровые двигатели с водяным ох</w:t>
      </w:r>
      <w:r w:rsidRPr="00405303">
        <w:rPr>
          <w:bCs/>
          <w:color w:val="002060"/>
          <w:sz w:val="16"/>
          <w:szCs w:val="16"/>
        </w:rPr>
        <w:softHyphen/>
        <w:t>лаждением типа «Сальмсон» мощнос</w:t>
      </w:r>
      <w:r w:rsidRPr="00405303">
        <w:rPr>
          <w:bCs/>
          <w:color w:val="002060"/>
          <w:sz w:val="16"/>
          <w:szCs w:val="16"/>
        </w:rPr>
        <w:softHyphen/>
        <w:t>тью 130...160 л.с. Основным потре</w:t>
      </w:r>
      <w:r w:rsidRPr="00405303">
        <w:rPr>
          <w:bCs/>
          <w:color w:val="002060"/>
          <w:sz w:val="16"/>
          <w:szCs w:val="16"/>
        </w:rPr>
        <w:softHyphen/>
        <w:t>бителем продукции предприятия яв</w:t>
      </w:r>
      <w:r w:rsidRPr="00405303">
        <w:rPr>
          <w:bCs/>
          <w:color w:val="002060"/>
          <w:sz w:val="16"/>
          <w:szCs w:val="16"/>
        </w:rPr>
        <w:softHyphen/>
        <w:t>лялся авиационный завод «Дукс». К началу 1917 г. на «Сальмсоне» было занято около 300 рабочих. Произво</w:t>
      </w:r>
      <w:r w:rsidRPr="00405303">
        <w:rPr>
          <w:bCs/>
          <w:color w:val="002060"/>
          <w:sz w:val="16"/>
          <w:szCs w:val="16"/>
        </w:rPr>
        <w:softHyphen/>
        <w:t>дительность завода достигала 50 авиа</w:t>
      </w:r>
      <w:r w:rsidRPr="00405303">
        <w:rPr>
          <w:bCs/>
          <w:color w:val="002060"/>
          <w:sz w:val="16"/>
          <w:szCs w:val="16"/>
        </w:rPr>
        <w:softHyphen/>
        <w:t>двигателей в месяц.</w:t>
      </w:r>
    </w:p>
    <w:p w14:paraId="25C64F7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Производство авиамоторов имело свою специфику и требовало от рабо</w:t>
      </w:r>
      <w:r w:rsidRPr="00405303">
        <w:rPr>
          <w:bCs/>
          <w:color w:val="002060"/>
          <w:sz w:val="16"/>
          <w:szCs w:val="16"/>
        </w:rPr>
        <w:softHyphen/>
        <w:t>чих высокой квалификации. Как на заводе «Сальмсон», так и на «Гном-Рон» на работу принимали далеко не всех желающих, а только тех, кто был спо</w:t>
      </w:r>
      <w:r w:rsidRPr="00405303">
        <w:rPr>
          <w:bCs/>
          <w:color w:val="002060"/>
          <w:sz w:val="16"/>
          <w:szCs w:val="16"/>
        </w:rPr>
        <w:softHyphen/>
        <w:t>собен сдать пробную работу. За ме</w:t>
      </w:r>
      <w:r w:rsidRPr="00405303">
        <w:rPr>
          <w:bCs/>
          <w:color w:val="002060"/>
          <w:sz w:val="16"/>
          <w:szCs w:val="16"/>
        </w:rPr>
        <w:softHyphen/>
        <w:t>сяц такие мастера зарабатывали по 50...70 рублей, в три-четыре раза больше, чем в среднем по Москве. Пос</w:t>
      </w:r>
      <w:r w:rsidRPr="00405303">
        <w:rPr>
          <w:bCs/>
          <w:color w:val="002060"/>
          <w:sz w:val="16"/>
          <w:szCs w:val="16"/>
        </w:rPr>
        <w:softHyphen/>
        <w:t>ле февральской революции рабочие «Гном-Рона» выбрали заводской коми</w:t>
      </w:r>
      <w:r w:rsidRPr="00405303">
        <w:rPr>
          <w:bCs/>
          <w:color w:val="002060"/>
          <w:sz w:val="16"/>
          <w:szCs w:val="16"/>
        </w:rPr>
        <w:softHyphen/>
        <w:t>тет. С установлением советской власти в Москве из военно-революционного комитета поступил приказ: арестовать директора завода француза Жермине за неуплату зарплаты рабочим и дер</w:t>
      </w:r>
      <w:r w:rsidRPr="00405303">
        <w:rPr>
          <w:bCs/>
          <w:color w:val="002060"/>
          <w:sz w:val="16"/>
          <w:szCs w:val="16"/>
        </w:rPr>
        <w:softHyphen/>
        <w:t>жать его под арестом в рабочем каби</w:t>
      </w:r>
      <w:r w:rsidRPr="00405303">
        <w:rPr>
          <w:bCs/>
          <w:color w:val="002060"/>
          <w:sz w:val="16"/>
          <w:szCs w:val="16"/>
        </w:rPr>
        <w:softHyphen/>
        <w:t>нете до тех пор, пока не урегулирует проблему. На девятый день ареста Жермине согласился заплатить, но после расчета все иностранцы поки</w:t>
      </w:r>
      <w:r w:rsidRPr="00405303">
        <w:rPr>
          <w:bCs/>
          <w:color w:val="002060"/>
          <w:sz w:val="16"/>
          <w:szCs w:val="16"/>
        </w:rPr>
        <w:softHyphen/>
        <w:t>нули Москву, в том числе и мастера-французы. Завод остался без техни</w:t>
      </w:r>
      <w:r w:rsidRPr="00405303">
        <w:rPr>
          <w:bCs/>
          <w:color w:val="002060"/>
          <w:sz w:val="16"/>
          <w:szCs w:val="16"/>
        </w:rPr>
        <w:softHyphen/>
        <w:t>ческих руководителей. Будущее пред</w:t>
      </w:r>
      <w:r w:rsidRPr="00405303">
        <w:rPr>
          <w:bCs/>
          <w:color w:val="002060"/>
          <w:sz w:val="16"/>
          <w:szCs w:val="16"/>
        </w:rPr>
        <w:softHyphen/>
        <w:t>приятия оказалось под угрозой (11156).</w:t>
      </w:r>
    </w:p>
    <w:p w14:paraId="43E35B7A" w14:textId="77777777" w:rsidR="004B4E35" w:rsidRPr="00405303" w:rsidRDefault="004B4E35" w:rsidP="00C15251">
      <w:pPr>
        <w:shd w:val="clear" w:color="auto" w:fill="FFFFFF"/>
        <w:jc w:val="both"/>
        <w:rPr>
          <w:bCs/>
          <w:color w:val="002060"/>
          <w:sz w:val="16"/>
          <w:szCs w:val="16"/>
        </w:rPr>
      </w:pPr>
    </w:p>
    <w:p w14:paraId="04394099" w14:textId="77777777" w:rsidR="004B4E35" w:rsidRPr="00405303" w:rsidRDefault="009E6F82" w:rsidP="00C15251">
      <w:pPr>
        <w:jc w:val="both"/>
        <w:rPr>
          <w:bCs/>
          <w:color w:val="002060"/>
          <w:sz w:val="16"/>
          <w:szCs w:val="16"/>
        </w:rPr>
      </w:pPr>
      <w:r w:rsidRPr="00405303">
        <w:rPr>
          <w:bCs/>
          <w:color w:val="002060"/>
          <w:sz w:val="16"/>
          <w:szCs w:val="16"/>
        </w:rPr>
        <w:t>В 1915 г. военный агент русского правительства в Великобритании сообщил о готовности английского правительства предоставить России строящиеся там восьмицилиндровые V-образные двигатели "Санбим", показавшие неплохие качества на стендовых испытаниях. Специально для "Муромцев" их закупили несколько сот, а московская экипажная фабрика П. Ильина получила заказ на их производство по лицензии. Однако в реальных полевых условиях "Санбимы" оказались дрянью, сущим наказанием для механиков и пилотов. Вместо заявленных 150 л. с. они едва давали 120-130. Кроме того, двигатели оказались капризными в эксплуатации. Несмотря на все старания опытных механиков, их не могли довести до работоспособного состояния. Старший механик эскадры М. Н. Никольской вынужден был отправлять их по рекламации целыми партиями. Не помог и прибывший с фирмы механик. Двигатели по-прежнему недодавали мощность и были ненадежными. Летчики "Муромцев", оснащенных "Санбимами", опасались углубляться далеко в тыл противника, а если и летали туда, то заведомо шли на большой риск (11230).</w:t>
      </w:r>
    </w:p>
    <w:p w14:paraId="236FE8ED" w14:textId="77777777" w:rsidR="004B4E35" w:rsidRPr="00405303" w:rsidRDefault="009E6F82" w:rsidP="00C15251">
      <w:pPr>
        <w:jc w:val="both"/>
        <w:rPr>
          <w:bCs/>
          <w:color w:val="002060"/>
          <w:sz w:val="16"/>
          <w:szCs w:val="16"/>
        </w:rPr>
      </w:pPr>
      <w:r w:rsidRPr="00405303">
        <w:rPr>
          <w:bCs/>
          <w:color w:val="002060"/>
          <w:sz w:val="16"/>
          <w:szCs w:val="16"/>
        </w:rPr>
        <w:t xml:space="preserve">Член Государственной Думы А. Ф. Половцев, с самого начала неравнодушный к "Муромцам", сообщил Комиссии особого совещания по обороне государства, что "приобретение "Санбимов" является крупной ошибкой, затормозившей развитие эскадры". [* Сноска ЦГВИА, ф. 369, on. 8, д. 72, л. 1.] </w:t>
      </w:r>
    </w:p>
    <w:p w14:paraId="1747A08B" w14:textId="77777777" w:rsidR="004B4E35" w:rsidRPr="00405303" w:rsidRDefault="004B4E35" w:rsidP="00C15251">
      <w:pPr>
        <w:jc w:val="both"/>
        <w:rPr>
          <w:bCs/>
          <w:color w:val="002060"/>
          <w:sz w:val="16"/>
          <w:szCs w:val="16"/>
        </w:rPr>
      </w:pPr>
    </w:p>
    <w:p w14:paraId="31E6C32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1915 г. возникло всего 3 новых мотор осборочных ма</w:t>
      </w:r>
      <w:r w:rsidRPr="00405303">
        <w:rPr>
          <w:bCs/>
          <w:color w:val="002060"/>
          <w:sz w:val="16"/>
          <w:szCs w:val="16"/>
        </w:rPr>
        <w:softHyphen/>
        <w:t>стерских, из них 2 французских и завод для производства винтов (пропеллеров) и лыж для самолетов (11094).</w:t>
      </w:r>
    </w:p>
    <w:p w14:paraId="7CDA3E2E" w14:textId="77777777" w:rsidR="004B4E35" w:rsidRPr="00405303" w:rsidRDefault="004B4E35" w:rsidP="00C15251">
      <w:pPr>
        <w:shd w:val="clear" w:color="auto" w:fill="FFFFFF"/>
        <w:jc w:val="both"/>
        <w:rPr>
          <w:bCs/>
          <w:color w:val="002060"/>
          <w:sz w:val="16"/>
          <w:szCs w:val="16"/>
        </w:rPr>
      </w:pPr>
    </w:p>
    <w:p w14:paraId="5B906AB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1915 на “Дуксе” для одноместных истребителей на «Дуксе» разрабатыва</w:t>
      </w:r>
      <w:r w:rsidRPr="00405303">
        <w:rPr>
          <w:bCs/>
          <w:color w:val="002060"/>
          <w:sz w:val="16"/>
          <w:szCs w:val="16"/>
        </w:rPr>
        <w:softHyphen/>
        <w:t>ли устройства стрельбы через плоскость, сметаемую вин</w:t>
      </w:r>
      <w:r w:rsidRPr="00405303">
        <w:rPr>
          <w:bCs/>
          <w:color w:val="002060"/>
          <w:sz w:val="16"/>
          <w:szCs w:val="16"/>
        </w:rPr>
        <w:softHyphen/>
        <w:t>том. В отклонителе пуль конструкции В.В.Бартошевича пули должны были рикошетировать от бронированных участков лопастей винта. Но доброкачественной стали не оказалось, и, как отмечалось в акте, «броня на винте сильно деформировалась и пробивалась» (9651).</w:t>
      </w:r>
    </w:p>
    <w:p w14:paraId="4E59C511" w14:textId="77777777" w:rsidR="004B4E35" w:rsidRPr="00405303" w:rsidRDefault="004B4E35" w:rsidP="00C15251">
      <w:pPr>
        <w:shd w:val="clear" w:color="auto" w:fill="FFFFFF"/>
        <w:jc w:val="both"/>
        <w:rPr>
          <w:bCs/>
          <w:color w:val="002060"/>
          <w:sz w:val="16"/>
          <w:szCs w:val="16"/>
        </w:rPr>
      </w:pPr>
    </w:p>
    <w:p w14:paraId="64EA02ED" w14:textId="38C09EFC"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1915 году русские "Мораны" получили вооружение, сперва пулемет над крылом, а позже, с появлением отсекателей, над правым лонжероном фюзеляжа. Подвижной пулемет наблюдателя устанавливался на задней кромке кабины. В 1916-1917 годах большинство самолетов получили синхронизаторы (11265).</w:t>
      </w:r>
    </w:p>
    <w:p w14:paraId="007F3191" w14:textId="77777777" w:rsidR="004B4E35" w:rsidRPr="00405303" w:rsidRDefault="004B4E35" w:rsidP="00C15251">
      <w:pPr>
        <w:pStyle w:val="a3"/>
        <w:jc w:val="both"/>
        <w:rPr>
          <w:bCs/>
          <w:i w:val="0"/>
          <w:color w:val="002060"/>
          <w:spacing w:val="0"/>
          <w:kern w:val="0"/>
          <w:position w:val="0"/>
          <w:sz w:val="16"/>
          <w:szCs w:val="16"/>
        </w:rPr>
      </w:pPr>
    </w:p>
    <w:p w14:paraId="2A9D37A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1915 г. Киевскому политеху из военного фонда выделили субсидию в 120 тыс. руб. на строительство рядом с учебно-механически</w:t>
      </w:r>
      <w:r w:rsidRPr="00405303">
        <w:rPr>
          <w:bCs/>
          <w:color w:val="002060"/>
          <w:sz w:val="16"/>
          <w:szCs w:val="16"/>
        </w:rPr>
        <w:softHyphen/>
        <w:t>ми мастерскими «аэрогаража». Новая струк</w:t>
      </w:r>
      <w:r w:rsidRPr="00405303">
        <w:rPr>
          <w:bCs/>
          <w:color w:val="002060"/>
          <w:sz w:val="16"/>
          <w:szCs w:val="16"/>
        </w:rPr>
        <w:softHyphen/>
        <w:t>тура получила наименование авиационно-автомобильные мастерские КПИ. Они состо</w:t>
      </w:r>
      <w:r w:rsidRPr="00405303">
        <w:rPr>
          <w:bCs/>
          <w:color w:val="002060"/>
          <w:sz w:val="16"/>
          <w:szCs w:val="16"/>
        </w:rPr>
        <w:softHyphen/>
        <w:t>яли из пяти отделений:</w:t>
      </w:r>
    </w:p>
    <w:p w14:paraId="6C6BFEE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механического (токарный, сборочный, литейный, модельный участки и кузница);</w:t>
      </w:r>
    </w:p>
    <w:p w14:paraId="061F642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авиационного (сборка и ремонт аэропла</w:t>
      </w:r>
      <w:r w:rsidRPr="00405303">
        <w:rPr>
          <w:bCs/>
          <w:color w:val="002060"/>
          <w:sz w:val="16"/>
          <w:szCs w:val="16"/>
        </w:rPr>
        <w:softHyphen/>
        <w:t>нов, а также воздушных винтов);</w:t>
      </w:r>
    </w:p>
    <w:p w14:paraId="7D515E0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авиадвигательного (ремонт, сборка и ис</w:t>
      </w:r>
      <w:r w:rsidRPr="00405303">
        <w:rPr>
          <w:bCs/>
          <w:color w:val="002060"/>
          <w:sz w:val="16"/>
          <w:szCs w:val="16"/>
        </w:rPr>
        <w:softHyphen/>
        <w:t>пытания авиамоторов);</w:t>
      </w:r>
    </w:p>
    <w:p w14:paraId="3590AE5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автомобильного (ремонт, производство запчастей);</w:t>
      </w:r>
    </w:p>
    <w:p w14:paraId="0A7D5F9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лекального (изготовление лекал, калиб</w:t>
      </w:r>
      <w:r w:rsidRPr="00405303">
        <w:rPr>
          <w:bCs/>
          <w:color w:val="002060"/>
          <w:sz w:val="16"/>
          <w:szCs w:val="16"/>
        </w:rPr>
        <w:softHyphen/>
        <w:t>ров и шаблонов для снарядов).</w:t>
      </w:r>
    </w:p>
    <w:p w14:paraId="06C8830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 работам привлекали студентов, кото</w:t>
      </w:r>
      <w:r w:rsidRPr="00405303">
        <w:rPr>
          <w:bCs/>
          <w:color w:val="002060"/>
          <w:sz w:val="16"/>
          <w:szCs w:val="16"/>
        </w:rPr>
        <w:softHyphen/>
        <w:t>рые за это получали зарплату. Правда, су</w:t>
      </w:r>
      <w:r w:rsidRPr="00405303">
        <w:rPr>
          <w:bCs/>
          <w:color w:val="002060"/>
          <w:sz w:val="16"/>
          <w:szCs w:val="16"/>
        </w:rPr>
        <w:softHyphen/>
        <w:t>ществовала проблема текучки кадров, по</w:t>
      </w:r>
      <w:r w:rsidRPr="00405303">
        <w:rPr>
          <w:bCs/>
          <w:color w:val="002060"/>
          <w:sz w:val="16"/>
          <w:szCs w:val="16"/>
        </w:rPr>
        <w:softHyphen/>
        <w:t>скольку большинство из них по достижении призывного возраста попадало на фронт. В мастерских также работали солдаты воин</w:t>
      </w:r>
      <w:r w:rsidRPr="00405303">
        <w:rPr>
          <w:bCs/>
          <w:color w:val="002060"/>
          <w:sz w:val="16"/>
          <w:szCs w:val="16"/>
        </w:rPr>
        <w:softHyphen/>
        <w:t>ских частей, которые располагались на тер</w:t>
      </w:r>
      <w:r w:rsidRPr="00405303">
        <w:rPr>
          <w:bCs/>
          <w:color w:val="002060"/>
          <w:sz w:val="16"/>
          <w:szCs w:val="16"/>
        </w:rPr>
        <w:softHyphen/>
        <w:t>ритории КПИ. Однако положение с трудовы</w:t>
      </w:r>
      <w:r w:rsidRPr="00405303">
        <w:rPr>
          <w:bCs/>
          <w:color w:val="002060"/>
          <w:sz w:val="16"/>
          <w:szCs w:val="16"/>
        </w:rPr>
        <w:softHyphen/>
        <w:t>ми ресурсами было настолько отчаянным, что руководству института пришлось хлопо</w:t>
      </w:r>
      <w:r w:rsidRPr="00405303">
        <w:rPr>
          <w:bCs/>
          <w:color w:val="002060"/>
          <w:sz w:val="16"/>
          <w:szCs w:val="16"/>
        </w:rPr>
        <w:softHyphen/>
        <w:t>тать перед военными о разрешении привле</w:t>
      </w:r>
      <w:r w:rsidRPr="00405303">
        <w:rPr>
          <w:bCs/>
          <w:color w:val="002060"/>
          <w:sz w:val="16"/>
          <w:szCs w:val="16"/>
        </w:rPr>
        <w:softHyphen/>
        <w:t>кать к работе военнопленных-славян из Дарницкого фильтрационного лагеря. Но таких за всю войну набралось лишь 5 человек (11285).</w:t>
      </w:r>
    </w:p>
    <w:p w14:paraId="5557DB0B" w14:textId="77777777" w:rsidR="004B4E35" w:rsidRPr="00405303" w:rsidRDefault="004B4E35" w:rsidP="00C15251">
      <w:pPr>
        <w:shd w:val="clear" w:color="auto" w:fill="FFFFFF"/>
        <w:jc w:val="both"/>
        <w:rPr>
          <w:bCs/>
          <w:color w:val="002060"/>
          <w:sz w:val="16"/>
          <w:szCs w:val="16"/>
        </w:rPr>
      </w:pPr>
    </w:p>
    <w:p w14:paraId="267B089E" w14:textId="509FEDBB" w:rsidR="004B4E35" w:rsidRPr="00405303" w:rsidRDefault="009E6F82" w:rsidP="00C15251">
      <w:pPr>
        <w:jc w:val="both"/>
        <w:rPr>
          <w:bCs/>
          <w:color w:val="002060"/>
          <w:sz w:val="16"/>
          <w:szCs w:val="16"/>
        </w:rPr>
      </w:pPr>
      <w:r w:rsidRPr="00405303">
        <w:rPr>
          <w:bCs/>
          <w:color w:val="002060"/>
          <w:sz w:val="16"/>
          <w:szCs w:val="16"/>
        </w:rPr>
        <w:t>В 1915 г. Жу</w:t>
      </w:r>
      <w:r w:rsidRPr="00405303">
        <w:rPr>
          <w:bCs/>
          <w:color w:val="002060"/>
          <w:sz w:val="16"/>
          <w:szCs w:val="16"/>
        </w:rPr>
        <w:softHyphen/>
        <w:t>ковский выступил с рядом работ, в которых рассматривал балли</w:t>
      </w:r>
      <w:r w:rsidRPr="00405303">
        <w:rPr>
          <w:bCs/>
          <w:color w:val="002060"/>
          <w:sz w:val="16"/>
          <w:szCs w:val="16"/>
        </w:rPr>
        <w:softHyphen/>
        <w:t>стику бомбы, траекторию бомбы, сброшенной с горизонтального полета на различных скоростях и высотах (с учетом влияния ветра) по неподвижным и движущимся целям. На основе этих работ Н. Е. Жуковским и его последователями в «Эскадре воздушных ко</w:t>
      </w:r>
      <w:r w:rsidRPr="00405303">
        <w:rPr>
          <w:bCs/>
          <w:color w:val="002060"/>
          <w:sz w:val="16"/>
          <w:szCs w:val="16"/>
        </w:rPr>
        <w:softHyphen/>
        <w:t>раблей», из которых больше всего работал в этой области военный летчик А. Н. Журавченко, ныне профессор, доктор технических наук, была создана теория авиационных бомбардировочных прице</w:t>
      </w:r>
      <w:r w:rsidRPr="00405303">
        <w:rPr>
          <w:bCs/>
          <w:color w:val="002060"/>
          <w:sz w:val="16"/>
          <w:szCs w:val="16"/>
        </w:rPr>
        <w:softHyphen/>
        <w:t>лов. Итоги работ по теории бомбометания с самолетов были опуб</w:t>
      </w:r>
      <w:r w:rsidRPr="00405303">
        <w:rPr>
          <w:bCs/>
          <w:color w:val="002060"/>
          <w:sz w:val="16"/>
          <w:szCs w:val="16"/>
        </w:rPr>
        <w:softHyphen/>
        <w:t>ликованы Н. Е. Жуковским в 1916 г. в труде «Бомбометание с аэро</w:t>
      </w:r>
      <w:r w:rsidRPr="00405303">
        <w:rPr>
          <w:bCs/>
          <w:color w:val="002060"/>
          <w:sz w:val="16"/>
          <w:szCs w:val="16"/>
        </w:rPr>
        <w:softHyphen/>
        <w:t>планов» и А. Н. Журавченко в работе «Артиллерийские основы авиации» (1917 г.) (318).</w:t>
      </w:r>
    </w:p>
    <w:p w14:paraId="59066426" w14:textId="77777777" w:rsidR="004B4E35" w:rsidRPr="00405303" w:rsidRDefault="004B4E35" w:rsidP="00C15251">
      <w:pPr>
        <w:jc w:val="both"/>
        <w:rPr>
          <w:bCs/>
          <w:color w:val="002060"/>
          <w:sz w:val="16"/>
          <w:szCs w:val="16"/>
        </w:rPr>
      </w:pPr>
    </w:p>
    <w:p w14:paraId="653CDBF8" w14:textId="77777777" w:rsidR="004B4E35" w:rsidRPr="00405303" w:rsidRDefault="009E6F82" w:rsidP="00C15251">
      <w:pPr>
        <w:jc w:val="both"/>
        <w:rPr>
          <w:bCs/>
          <w:color w:val="002060"/>
          <w:sz w:val="16"/>
          <w:szCs w:val="16"/>
        </w:rPr>
      </w:pPr>
      <w:r w:rsidRPr="00405303">
        <w:rPr>
          <w:bCs/>
          <w:color w:val="002060"/>
          <w:sz w:val="16"/>
          <w:szCs w:val="16"/>
        </w:rPr>
        <w:t xml:space="preserve">В 1915 г. прапорщик Голуб изготовил зажигательный снаряд для метания с аэроплана. Первые зажигательные бомбы изготовлялись с применением </w:t>
      </w:r>
      <w:proofErr w:type="gramStart"/>
      <w:r w:rsidRPr="00405303">
        <w:rPr>
          <w:bCs/>
          <w:color w:val="002060"/>
          <w:sz w:val="16"/>
          <w:szCs w:val="16"/>
        </w:rPr>
        <w:t>белого фосфора</w:t>
      </w:r>
      <w:proofErr w:type="gramEnd"/>
      <w:r w:rsidRPr="00405303">
        <w:rPr>
          <w:bCs/>
          <w:color w:val="002060"/>
          <w:sz w:val="16"/>
          <w:szCs w:val="16"/>
        </w:rPr>
        <w:t xml:space="preserve"> Острый дефицит этого химического элемента заставил искать заменители. Для самолетов "Илья Муромец" изобретатель П. А. Архипенко предложил зажигательный снаряд в виде бочки, наполненной бензином с прибавлением небольшого количества эфира которая, по мысли изобретателя, должна была подвешиваться на специальном тросе под самолетом. Предполагалось, что сброшенная на неприятельские колонны бочка с подожженной жидкостью разобьется и море огня от горящих газов бензина произведет в рядах неприятеля огромное опустошение и замешательство. Воспламенение бензина в этом снаряде обеспечивалось также с помощью фосфора. Это обстоятельство заставило военное ведомство отказаться от предложения изобретателя (11237).</w:t>
      </w:r>
    </w:p>
    <w:p w14:paraId="6ACFB4F3" w14:textId="77777777" w:rsidR="004B4E35" w:rsidRPr="00405303" w:rsidRDefault="004B4E35" w:rsidP="00C15251">
      <w:pPr>
        <w:jc w:val="both"/>
        <w:rPr>
          <w:bCs/>
          <w:color w:val="002060"/>
          <w:sz w:val="16"/>
          <w:szCs w:val="16"/>
        </w:rPr>
      </w:pPr>
    </w:p>
    <w:p w14:paraId="4E7A27E3" w14:textId="2A7A264B" w:rsidR="004B4E35" w:rsidRPr="00405303" w:rsidRDefault="00015098" w:rsidP="00C15251">
      <w:pPr>
        <w:shd w:val="clear" w:color="auto" w:fill="FFFFFF"/>
        <w:jc w:val="both"/>
        <w:rPr>
          <w:bCs/>
          <w:color w:val="002060"/>
          <w:sz w:val="16"/>
          <w:szCs w:val="16"/>
        </w:rPr>
      </w:pPr>
      <w:r w:rsidRPr="00405303">
        <w:rPr>
          <w:bCs/>
          <w:color w:val="002060"/>
          <w:sz w:val="16"/>
          <w:szCs w:val="16"/>
        </w:rPr>
        <w:lastRenderedPageBreak/>
        <w:t>В</w:t>
      </w:r>
      <w:r w:rsidR="009E6F82" w:rsidRPr="00405303">
        <w:rPr>
          <w:bCs/>
          <w:color w:val="002060"/>
          <w:sz w:val="16"/>
          <w:szCs w:val="16"/>
        </w:rPr>
        <w:t xml:space="preserve"> 1915 г. </w:t>
      </w:r>
      <w:r w:rsidRPr="00405303">
        <w:rPr>
          <w:bCs/>
          <w:color w:val="002060"/>
          <w:sz w:val="16"/>
          <w:szCs w:val="16"/>
        </w:rPr>
        <w:t>до сих пор применяв</w:t>
      </w:r>
      <w:r w:rsidRPr="00405303">
        <w:rPr>
          <w:bCs/>
          <w:color w:val="002060"/>
          <w:sz w:val="16"/>
          <w:szCs w:val="16"/>
        </w:rPr>
        <w:softHyphen/>
        <w:t xml:space="preserve">шиеся единично приборы с 25-см фокусным расстоянием, которыми снимали вручную наискось </w:t>
      </w:r>
      <w:r w:rsidR="009E6F82" w:rsidRPr="00405303">
        <w:rPr>
          <w:bCs/>
          <w:color w:val="002060"/>
          <w:sz w:val="16"/>
          <w:szCs w:val="16"/>
        </w:rPr>
        <w:t>стали заме</w:t>
      </w:r>
      <w:r w:rsidR="009E6F82" w:rsidRPr="00405303">
        <w:rPr>
          <w:bCs/>
          <w:color w:val="002060"/>
          <w:sz w:val="16"/>
          <w:szCs w:val="16"/>
        </w:rPr>
        <w:softHyphen/>
        <w:t>нять на более тяжелые аппараты с 50- и 70-см фокусным расстоянием, которые фотографировали перпендикулярно вниз, позволяя делать снимки с большой высоты и тем са</w:t>
      </w:r>
      <w:r w:rsidR="009E6F82" w:rsidRPr="00405303">
        <w:rPr>
          <w:bCs/>
          <w:color w:val="002060"/>
          <w:sz w:val="16"/>
          <w:szCs w:val="16"/>
        </w:rPr>
        <w:softHyphen/>
        <w:t>мым успешно уклоняться от все совершенствующейся зе</w:t>
      </w:r>
      <w:r w:rsidR="009E6F82" w:rsidRPr="00405303">
        <w:rPr>
          <w:bCs/>
          <w:color w:val="002060"/>
          <w:sz w:val="16"/>
          <w:szCs w:val="16"/>
        </w:rPr>
        <w:softHyphen/>
        <w:t>нитной артиллерии.</w:t>
      </w:r>
    </w:p>
    <w:p w14:paraId="3F590E5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Также все более важное значение обретала работа аэро</w:t>
      </w:r>
      <w:r w:rsidRPr="00405303">
        <w:rPr>
          <w:bCs/>
          <w:color w:val="002060"/>
          <w:sz w:val="16"/>
          <w:szCs w:val="16"/>
        </w:rPr>
        <w:softHyphen/>
        <w:t>плана с артиллерией; разведка укрытых или закопанных батарей противника и корректировка стрельбы собствен</w:t>
      </w:r>
      <w:r w:rsidRPr="00405303">
        <w:rPr>
          <w:bCs/>
          <w:color w:val="002060"/>
          <w:sz w:val="16"/>
          <w:szCs w:val="16"/>
        </w:rPr>
        <w:softHyphen/>
        <w:t>ной артиллерии. Теперь привязные аэростаты из-за огра</w:t>
      </w:r>
      <w:r w:rsidRPr="00405303">
        <w:rPr>
          <w:bCs/>
          <w:color w:val="002060"/>
          <w:sz w:val="16"/>
          <w:szCs w:val="16"/>
        </w:rPr>
        <w:softHyphen/>
        <w:t>ниченных высоты и угла наблюдения становились все бо</w:t>
      </w:r>
      <w:r w:rsidRPr="00405303">
        <w:rPr>
          <w:bCs/>
          <w:color w:val="002060"/>
          <w:sz w:val="16"/>
          <w:szCs w:val="16"/>
        </w:rPr>
        <w:softHyphen/>
        <w:t>лее недостаточным средством корректирования артогня и наблюдения за линией фронта (11060).</w:t>
      </w:r>
    </w:p>
    <w:p w14:paraId="56875E58" w14:textId="77777777" w:rsidR="004B4E35" w:rsidRPr="00405303" w:rsidRDefault="004B4E35" w:rsidP="00C15251">
      <w:pPr>
        <w:shd w:val="clear" w:color="auto" w:fill="FFFFFF"/>
        <w:jc w:val="both"/>
        <w:rPr>
          <w:bCs/>
          <w:color w:val="002060"/>
          <w:sz w:val="16"/>
          <w:szCs w:val="16"/>
        </w:rPr>
      </w:pPr>
    </w:p>
    <w:p w14:paraId="223B27CB" w14:textId="77777777" w:rsidR="004B4E35" w:rsidRPr="00405303" w:rsidRDefault="009E6F82" w:rsidP="00C15251">
      <w:pPr>
        <w:jc w:val="both"/>
        <w:rPr>
          <w:bCs/>
          <w:color w:val="002060"/>
          <w:sz w:val="16"/>
          <w:szCs w:val="16"/>
        </w:rPr>
      </w:pPr>
      <w:r w:rsidRPr="00405303">
        <w:rPr>
          <w:bCs/>
          <w:color w:val="002060"/>
          <w:sz w:val="16"/>
          <w:szCs w:val="16"/>
        </w:rPr>
        <w:t xml:space="preserve">В 1915 г. Александр Николаевич Вегенер обосновал основные положения по созданию Государственного испытательного </w:t>
      </w:r>
      <w:proofErr w:type="gramStart"/>
      <w:r w:rsidRPr="00405303">
        <w:rPr>
          <w:bCs/>
          <w:color w:val="002060"/>
          <w:sz w:val="16"/>
          <w:szCs w:val="16"/>
        </w:rPr>
        <w:t>центра.такого</w:t>
      </w:r>
      <w:proofErr w:type="gramEnd"/>
      <w:r w:rsidRPr="00405303">
        <w:rPr>
          <w:bCs/>
          <w:color w:val="002060"/>
          <w:sz w:val="16"/>
          <w:szCs w:val="16"/>
        </w:rPr>
        <w:t xml:space="preserve"> центра для испытаний самолётов. Этому предшествовал ряд важнейших организацион- ных акций. Так, в начале 1916 г. решением </w:t>
      </w:r>
      <w:proofErr w:type="gramStart"/>
      <w:r w:rsidRPr="00405303">
        <w:rPr>
          <w:bCs/>
          <w:color w:val="002060"/>
          <w:sz w:val="16"/>
          <w:szCs w:val="16"/>
        </w:rPr>
        <w:t>Госу- дарственной</w:t>
      </w:r>
      <w:proofErr w:type="gramEnd"/>
      <w:r w:rsidRPr="00405303">
        <w:rPr>
          <w:bCs/>
          <w:color w:val="002060"/>
          <w:sz w:val="16"/>
          <w:szCs w:val="16"/>
        </w:rPr>
        <w:t xml:space="preserve"> Думы, в системе военных учрежде- ний было создано специальное Управление, которое занималось организацией российского Военно-воздушного флота и его снабжением авиационным и воздухоплавательным имущест- вом, а также развитием русской авиапромыш- ленности и постановкой в России авиационно-</w:t>
      </w:r>
      <w:proofErr w:type="gramStart"/>
      <w:r w:rsidRPr="00405303">
        <w:rPr>
          <w:bCs/>
          <w:color w:val="002060"/>
          <w:sz w:val="16"/>
          <w:szCs w:val="16"/>
        </w:rPr>
        <w:t>воздухо-плавательного</w:t>
      </w:r>
      <w:proofErr w:type="gramEnd"/>
      <w:r w:rsidRPr="00405303">
        <w:rPr>
          <w:bCs/>
          <w:color w:val="002060"/>
          <w:sz w:val="16"/>
          <w:szCs w:val="16"/>
        </w:rPr>
        <w:t xml:space="preserve"> дела. Затем 31 марта (13 апреля) 1916 г., вышло постановление Военного Совета о формировании Управления ВВФ (Уво- флота) вместо ликвидируемого Воздухоплава- тельного отделения Технического отдела. Уво- флот был переведён в непосредственное под- чинение Военному министру (11054).</w:t>
      </w:r>
    </w:p>
    <w:p w14:paraId="527257B5" w14:textId="77777777" w:rsidR="004B4E35" w:rsidRPr="00405303" w:rsidRDefault="004B4E35" w:rsidP="00C15251">
      <w:pPr>
        <w:shd w:val="clear" w:color="auto" w:fill="FFFFFF"/>
        <w:jc w:val="both"/>
        <w:rPr>
          <w:bCs/>
          <w:color w:val="002060"/>
          <w:sz w:val="16"/>
          <w:szCs w:val="16"/>
        </w:rPr>
      </w:pPr>
    </w:p>
    <w:p w14:paraId="079BA71B" w14:textId="678C7609" w:rsidR="004B4E35" w:rsidRPr="00405303" w:rsidRDefault="009E6F82" w:rsidP="00C15251">
      <w:pPr>
        <w:jc w:val="both"/>
        <w:rPr>
          <w:bCs/>
          <w:color w:val="002060"/>
          <w:sz w:val="16"/>
          <w:szCs w:val="16"/>
        </w:rPr>
      </w:pPr>
      <w:r w:rsidRPr="00405303">
        <w:rPr>
          <w:bCs/>
          <w:color w:val="002060"/>
          <w:sz w:val="16"/>
          <w:szCs w:val="16"/>
        </w:rPr>
        <w:t>В 1915 г. Александр Николаевич Вегенер обосновал основные поло</w:t>
      </w:r>
      <w:r w:rsidRPr="00405303">
        <w:rPr>
          <w:bCs/>
          <w:color w:val="002060"/>
          <w:sz w:val="16"/>
          <w:szCs w:val="16"/>
        </w:rPr>
        <w:softHyphen/>
        <w:t>жения создания научно-испытательной организации для испытаний са</w:t>
      </w:r>
      <w:r w:rsidRPr="00405303">
        <w:rPr>
          <w:bCs/>
          <w:color w:val="002060"/>
          <w:sz w:val="16"/>
          <w:szCs w:val="16"/>
        </w:rPr>
        <w:softHyphen/>
        <w:t>молётов. Основанию испытательного центра предшествовал ряд важнейших организационных акций. Так, в начале 1916 г. решением Государственной Думы в системе военных учреждений было создано специальное Управле</w:t>
      </w:r>
      <w:r w:rsidRPr="00405303">
        <w:rPr>
          <w:bCs/>
          <w:color w:val="002060"/>
          <w:sz w:val="16"/>
          <w:szCs w:val="16"/>
        </w:rPr>
        <w:softHyphen/>
        <w:t>ние, которое занималось организацией российского ВВФ и его снабжени</w:t>
      </w:r>
      <w:r w:rsidRPr="00405303">
        <w:rPr>
          <w:bCs/>
          <w:color w:val="002060"/>
          <w:sz w:val="16"/>
          <w:szCs w:val="16"/>
        </w:rPr>
        <w:softHyphen/>
        <w:t>ем авиационным и воздухоплавательным имуществом, а также развитием русской авиационной промышленности и постановкой в России авиацион-но-воздухоплавательного дела. Затем, 31 марта (13 апреля) 1916г., вышло постановление Военного Совета о формировании Управления военно-воздушного флота (Увофлота) - вместо ликвидируемого Воздухоплава</w:t>
      </w:r>
      <w:r w:rsidRPr="00405303">
        <w:rPr>
          <w:bCs/>
          <w:color w:val="002060"/>
          <w:sz w:val="16"/>
          <w:szCs w:val="16"/>
        </w:rPr>
        <w:softHyphen/>
        <w:t>тельного отделения Технического отдела. Увофлот был отдан в непосред</w:t>
      </w:r>
      <w:r w:rsidRPr="00405303">
        <w:rPr>
          <w:bCs/>
          <w:color w:val="002060"/>
          <w:sz w:val="16"/>
          <w:szCs w:val="16"/>
        </w:rPr>
        <w:softHyphen/>
        <w:t>ственное подчинение Военному министру. Идею необходимости скорейшего создания российского авиацион</w:t>
      </w:r>
      <w:r w:rsidRPr="00405303">
        <w:rPr>
          <w:bCs/>
          <w:color w:val="002060"/>
          <w:sz w:val="16"/>
          <w:szCs w:val="16"/>
        </w:rPr>
        <w:softHyphen/>
        <w:t>ного испытательного центра, отсутствие которого заметно сказывалось на качестве самолетов, поставляемых для ВВФ, поддержал и царь Нико</w:t>
      </w:r>
      <w:r w:rsidRPr="00405303">
        <w:rPr>
          <w:bCs/>
          <w:color w:val="002060"/>
          <w:sz w:val="16"/>
          <w:szCs w:val="16"/>
        </w:rPr>
        <w:softHyphen/>
        <w:t xml:space="preserve">лай </w:t>
      </w:r>
      <w:r w:rsidRPr="00405303">
        <w:rPr>
          <w:bCs/>
          <w:color w:val="002060"/>
          <w:sz w:val="16"/>
          <w:szCs w:val="16"/>
          <w:lang w:val="en-US"/>
        </w:rPr>
        <w:t>II</w:t>
      </w:r>
      <w:r w:rsidRPr="00405303">
        <w:rPr>
          <w:bCs/>
          <w:color w:val="002060"/>
          <w:sz w:val="16"/>
          <w:szCs w:val="16"/>
        </w:rPr>
        <w:t>. Для производства опытов и исследований, для разрешения «техни</w:t>
      </w:r>
      <w:r w:rsidRPr="00405303">
        <w:rPr>
          <w:bCs/>
          <w:color w:val="002060"/>
          <w:sz w:val="16"/>
          <w:szCs w:val="16"/>
        </w:rPr>
        <w:softHyphen/>
        <w:t xml:space="preserve">ческих вопросов по авиационному воздухоплавательному снаряжению» 16 апреля (29 по новому стилю) 1916г. Государь Император Николай </w:t>
      </w:r>
      <w:r w:rsidRPr="00405303">
        <w:rPr>
          <w:bCs/>
          <w:color w:val="002060"/>
          <w:sz w:val="16"/>
          <w:szCs w:val="16"/>
          <w:lang w:val="en-US"/>
        </w:rPr>
        <w:t>II</w:t>
      </w:r>
      <w:r w:rsidRPr="00405303">
        <w:rPr>
          <w:bCs/>
          <w:color w:val="002060"/>
          <w:sz w:val="16"/>
          <w:szCs w:val="16"/>
        </w:rPr>
        <w:t>ут</w:t>
      </w:r>
      <w:r w:rsidRPr="00405303">
        <w:rPr>
          <w:bCs/>
          <w:color w:val="002060"/>
          <w:sz w:val="16"/>
          <w:szCs w:val="16"/>
        </w:rPr>
        <w:softHyphen/>
        <w:t>вердил решение Военного совета о формировании Главного аэродрома с испытательной станцией и мастерскими (11425).</w:t>
      </w:r>
    </w:p>
    <w:p w14:paraId="79665CF2" w14:textId="77777777" w:rsidR="004B4E35" w:rsidRPr="00405303" w:rsidRDefault="004B4E35" w:rsidP="00C15251">
      <w:pPr>
        <w:shd w:val="clear" w:color="auto" w:fill="FFFFFF"/>
        <w:jc w:val="both"/>
        <w:rPr>
          <w:bCs/>
          <w:color w:val="002060"/>
          <w:sz w:val="16"/>
          <w:szCs w:val="16"/>
        </w:rPr>
      </w:pPr>
    </w:p>
    <w:p w14:paraId="67089B36" w14:textId="6E9A4CB4" w:rsidR="004B4E35" w:rsidRPr="00405303" w:rsidRDefault="00015098" w:rsidP="00C15251">
      <w:pPr>
        <w:jc w:val="both"/>
        <w:rPr>
          <w:bCs/>
          <w:color w:val="002060"/>
          <w:sz w:val="16"/>
          <w:szCs w:val="16"/>
        </w:rPr>
      </w:pPr>
      <w:r w:rsidRPr="00405303">
        <w:rPr>
          <w:bCs/>
          <w:color w:val="002060"/>
          <w:sz w:val="16"/>
          <w:szCs w:val="16"/>
        </w:rPr>
        <w:t>С</w:t>
      </w:r>
      <w:r w:rsidR="009E6F82" w:rsidRPr="00405303">
        <w:rPr>
          <w:bCs/>
          <w:color w:val="002060"/>
          <w:sz w:val="16"/>
          <w:szCs w:val="16"/>
        </w:rPr>
        <w:t xml:space="preserve"> 1915 года в КПИ снова начинаются работы в области авиации. Почти на всем первом этаже правого крыла главного корпуса, даже в коридорах, а также частично в актовом зале (часть которого пострадала от пожара) разворачиваются авиамастерские, предназначенные, главным образом, для ремонта трофейных летательных аппаратов. Рядом с механическими мастерскими восстанавливается аэрогараж, где строились самолеты типа "Альбатрос" и создавались новые конструкции. Особо следует подчеркнуть, что мастерские КПИ специализировались и на массовом выпуске винтов собственной конструкции. Воздушные винты "Братья Касьяненко" оказались совершеннее французских и развивали большую тягу, что повышало скорость полета. Военное ведомство заказывало их в большом количестве для потребностей действующей армии.</w:t>
      </w:r>
    </w:p>
    <w:p w14:paraId="503744A7" w14:textId="77777777" w:rsidR="004B4E35" w:rsidRPr="00405303" w:rsidRDefault="004B4E35" w:rsidP="00C15251">
      <w:pPr>
        <w:shd w:val="clear" w:color="auto" w:fill="FFFFFF"/>
        <w:jc w:val="both"/>
        <w:rPr>
          <w:bCs/>
          <w:color w:val="002060"/>
          <w:sz w:val="16"/>
          <w:szCs w:val="16"/>
        </w:rPr>
      </w:pPr>
    </w:p>
    <w:p w14:paraId="735192E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1915 г. были также проведены исследования крыльев, фюзеляжа и винтов самолёта И.И. Сикорского «Илья Муромец», что позволило усовер</w:t>
      </w:r>
      <w:r w:rsidRPr="00405303">
        <w:rPr>
          <w:bCs/>
          <w:color w:val="002060"/>
          <w:sz w:val="16"/>
          <w:szCs w:val="16"/>
        </w:rPr>
        <w:softHyphen/>
        <w:t>шенствовать этот самолёт, который в 1916 г. выгодно отличался по аэро</w:t>
      </w:r>
      <w:r w:rsidRPr="00405303">
        <w:rPr>
          <w:bCs/>
          <w:color w:val="002060"/>
          <w:sz w:val="16"/>
          <w:szCs w:val="16"/>
        </w:rPr>
        <w:softHyphen/>
        <w:t>динамическим качествам от первенца, построенного в 1913 г.</w:t>
      </w:r>
    </w:p>
    <w:p w14:paraId="1B7EB39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Результаты экспериментов В. А. Слесарева в большой и малой аэродинамических трубах способствовали усовершенствованию конст</w:t>
      </w:r>
      <w:r w:rsidRPr="00405303">
        <w:rPr>
          <w:bCs/>
          <w:color w:val="002060"/>
          <w:sz w:val="16"/>
          <w:szCs w:val="16"/>
        </w:rPr>
        <w:softHyphen/>
        <w:t>рукции основных боевых самолётов России «Ньюпор» и «Фарман». В этих же трубах продувались элементы самолёта И. И.Сикорского «Илья Муромец». Опираясь на опыт постройки и эксплуатации этого самолё</w:t>
      </w:r>
      <w:r w:rsidRPr="00405303">
        <w:rPr>
          <w:bCs/>
          <w:color w:val="002060"/>
          <w:sz w:val="16"/>
          <w:szCs w:val="16"/>
        </w:rPr>
        <w:softHyphen/>
        <w:t>та-гиганта, В.А. Слесарев построил свой тяжелый самолет. Все его эле</w:t>
      </w:r>
      <w:r w:rsidRPr="00405303">
        <w:rPr>
          <w:bCs/>
          <w:color w:val="002060"/>
          <w:sz w:val="16"/>
          <w:szCs w:val="16"/>
        </w:rPr>
        <w:softHyphen/>
        <w:t>менты, даже самые мелкие - стойки, подкосы, расчалки - имели обте</w:t>
      </w:r>
      <w:r w:rsidRPr="00405303">
        <w:rPr>
          <w:bCs/>
          <w:color w:val="002060"/>
          <w:sz w:val="16"/>
          <w:szCs w:val="16"/>
        </w:rPr>
        <w:softHyphen/>
        <w:t>каемую форму. Максимальное аэродинамическое качество его, по оцен</w:t>
      </w:r>
      <w:r w:rsidRPr="00405303">
        <w:rPr>
          <w:bCs/>
          <w:color w:val="002060"/>
          <w:sz w:val="16"/>
          <w:szCs w:val="16"/>
        </w:rPr>
        <w:softHyphen/>
        <w:t>ке В. А. Слесарева, получалось более 9 (тогда как у «Ильи Муромца» оно составляло 5,6).</w:t>
      </w:r>
    </w:p>
    <w:p w14:paraId="66BD7150" w14:textId="77777777" w:rsidR="004B4E35" w:rsidRPr="00405303" w:rsidRDefault="009E6F82" w:rsidP="00C15251">
      <w:pPr>
        <w:jc w:val="both"/>
        <w:rPr>
          <w:bCs/>
          <w:color w:val="002060"/>
          <w:sz w:val="16"/>
          <w:szCs w:val="16"/>
        </w:rPr>
      </w:pPr>
      <w:r w:rsidRPr="00405303">
        <w:rPr>
          <w:bCs/>
          <w:color w:val="002060"/>
          <w:sz w:val="16"/>
          <w:szCs w:val="16"/>
        </w:rPr>
        <w:t>В начале первой мировой войны при Петербургском политехничес</w:t>
      </w:r>
      <w:r w:rsidRPr="00405303">
        <w:rPr>
          <w:bCs/>
          <w:color w:val="002060"/>
          <w:sz w:val="16"/>
          <w:szCs w:val="16"/>
        </w:rPr>
        <w:softHyphen/>
        <w:t>ком институте было организовано расчетно-испытательное бюро (РИБ) для обслуживания нужд Управления морской авиации и воздухоплавания.</w:t>
      </w:r>
    </w:p>
    <w:p w14:paraId="0CB0FDC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Таким образом, деятельность Аэродинамической лаборатории Политех</w:t>
      </w:r>
      <w:r w:rsidRPr="00405303">
        <w:rPr>
          <w:bCs/>
          <w:color w:val="002060"/>
          <w:sz w:val="16"/>
          <w:szCs w:val="16"/>
        </w:rPr>
        <w:softHyphen/>
        <w:t>нического института внесла большой вклад в практику отечественного са</w:t>
      </w:r>
      <w:r w:rsidRPr="00405303">
        <w:rPr>
          <w:bCs/>
          <w:color w:val="002060"/>
          <w:sz w:val="16"/>
          <w:szCs w:val="16"/>
        </w:rPr>
        <w:softHyphen/>
        <w:t>молётостроения. Этим она выгодно отличалась от других, более мелких аэродинамических лабораторий Петербурга.</w:t>
      </w:r>
    </w:p>
    <w:p w14:paraId="7D0399F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При постройке гидросамолётов Д.П. Григоровича проводились ис</w:t>
      </w:r>
      <w:r w:rsidRPr="00405303">
        <w:rPr>
          <w:bCs/>
          <w:color w:val="002060"/>
          <w:sz w:val="16"/>
          <w:szCs w:val="16"/>
        </w:rPr>
        <w:softHyphen/>
        <w:t>следования моделей крыльев и фюзеляжа в аэродинамической трубе. Модели гидролодки протаскивали в гидроканале военно-морского фло</w:t>
      </w:r>
      <w:r w:rsidRPr="00405303">
        <w:rPr>
          <w:bCs/>
          <w:color w:val="002060"/>
          <w:sz w:val="16"/>
          <w:szCs w:val="16"/>
        </w:rPr>
        <w:softHyphen/>
        <w:t>та. На основе этих экспериментов был создан гидросамолёт М-5, пока</w:t>
      </w:r>
      <w:r w:rsidRPr="00405303">
        <w:rPr>
          <w:bCs/>
          <w:color w:val="002060"/>
          <w:sz w:val="16"/>
          <w:szCs w:val="16"/>
        </w:rPr>
        <w:softHyphen/>
        <w:t>завший хорошие летные и мореходные качества.</w:t>
      </w:r>
    </w:p>
    <w:p w14:paraId="0E36BC8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Интересные исследования проводились по совершенствованию авиабомб, что позволило существенно повысить точность бомбометания.</w:t>
      </w:r>
    </w:p>
    <w:p w14:paraId="64EB3D3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лаборатории также проводились продувки по выбору оптимальных форм дирижабля «Гигант» объемом 20 тыс. м</w:t>
      </w:r>
      <w:r w:rsidRPr="00405303">
        <w:rPr>
          <w:bCs/>
          <w:color w:val="002060"/>
          <w:sz w:val="16"/>
          <w:szCs w:val="16"/>
          <w:vertAlign w:val="superscript"/>
        </w:rPr>
        <w:t>3</w:t>
      </w:r>
      <w:r w:rsidRPr="00405303">
        <w:rPr>
          <w:bCs/>
          <w:color w:val="002060"/>
          <w:sz w:val="16"/>
          <w:szCs w:val="16"/>
        </w:rPr>
        <w:t xml:space="preserve">, строившегося на </w:t>
      </w:r>
      <w:proofErr w:type="gramStart"/>
      <w:r w:rsidRPr="00405303">
        <w:rPr>
          <w:bCs/>
          <w:color w:val="002060"/>
          <w:sz w:val="16"/>
          <w:szCs w:val="16"/>
        </w:rPr>
        <w:t>Ижорс-ком</w:t>
      </w:r>
      <w:proofErr w:type="gramEnd"/>
      <w:r w:rsidRPr="00405303">
        <w:rPr>
          <w:bCs/>
          <w:color w:val="002060"/>
          <w:sz w:val="16"/>
          <w:szCs w:val="16"/>
        </w:rPr>
        <w:t xml:space="preserve"> заводе.</w:t>
      </w:r>
    </w:p>
    <w:p w14:paraId="2F984D5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Ценные опыты были выполнены в вертикальной аэродинамической трубе по изучению парашюта Г.Е. Котельникова (11425).</w:t>
      </w:r>
    </w:p>
    <w:p w14:paraId="00DB945E" w14:textId="77777777" w:rsidR="004B4E35" w:rsidRPr="00405303" w:rsidRDefault="004B4E35" w:rsidP="00C15251">
      <w:pPr>
        <w:shd w:val="clear" w:color="auto" w:fill="FFFFFF"/>
        <w:jc w:val="both"/>
        <w:rPr>
          <w:bCs/>
          <w:color w:val="002060"/>
          <w:sz w:val="16"/>
          <w:szCs w:val="16"/>
        </w:rPr>
      </w:pPr>
    </w:p>
    <w:p w14:paraId="02D78F80" w14:textId="0C9A95AB" w:rsidR="004B4E35" w:rsidRPr="00405303" w:rsidRDefault="00015098"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1915</w:t>
      </w:r>
      <w:r w:rsidR="00903763" w:rsidRPr="00405303">
        <w:rPr>
          <w:bCs/>
          <w:color w:val="002060"/>
          <w:sz w:val="16"/>
          <w:szCs w:val="16"/>
        </w:rPr>
        <w:t xml:space="preserve"> </w:t>
      </w:r>
      <w:r w:rsidR="009E6F82" w:rsidRPr="00405303">
        <w:rPr>
          <w:bCs/>
          <w:color w:val="002060"/>
          <w:sz w:val="16"/>
          <w:szCs w:val="16"/>
        </w:rPr>
        <w:t xml:space="preserve">г. </w:t>
      </w:r>
      <w:r w:rsidRPr="00405303">
        <w:rPr>
          <w:bCs/>
          <w:color w:val="002060"/>
          <w:sz w:val="16"/>
          <w:szCs w:val="16"/>
        </w:rPr>
        <w:t>первые приеме передающие радиостанции стали по</w:t>
      </w:r>
      <w:r w:rsidRPr="00405303">
        <w:rPr>
          <w:bCs/>
          <w:color w:val="002060"/>
          <w:sz w:val="16"/>
          <w:szCs w:val="16"/>
        </w:rPr>
        <w:softHyphen/>
        <w:t xml:space="preserve">ступать </w:t>
      </w:r>
      <w:r w:rsidR="009E6F82" w:rsidRPr="00405303">
        <w:rPr>
          <w:bCs/>
          <w:color w:val="002060"/>
          <w:sz w:val="16"/>
          <w:szCs w:val="16"/>
        </w:rPr>
        <w:t>в Российскую действующую армию [8] (11425).</w:t>
      </w:r>
    </w:p>
    <w:p w14:paraId="22A8E191" w14:textId="77777777" w:rsidR="004B4E35" w:rsidRPr="00405303" w:rsidRDefault="004B4E35" w:rsidP="00C15251">
      <w:pPr>
        <w:shd w:val="clear" w:color="auto" w:fill="FFFFFF"/>
        <w:jc w:val="both"/>
        <w:rPr>
          <w:bCs/>
          <w:color w:val="002060"/>
          <w:sz w:val="16"/>
          <w:szCs w:val="16"/>
        </w:rPr>
      </w:pPr>
    </w:p>
    <w:p w14:paraId="5A14F9F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1915 года Военным ведомством С.П. Тимошенко привлекался к оценке самолётов в качестве эксперта по прочности. Он принимал учас</w:t>
      </w:r>
      <w:r w:rsidRPr="00405303">
        <w:rPr>
          <w:bCs/>
          <w:color w:val="002060"/>
          <w:sz w:val="16"/>
          <w:szCs w:val="16"/>
        </w:rPr>
        <w:softHyphen/>
        <w:t>тие в анализе прочности конструкции самолёта «Илья Муромец» и др. са</w:t>
      </w:r>
      <w:r w:rsidRPr="00405303">
        <w:rPr>
          <w:bCs/>
          <w:color w:val="002060"/>
          <w:sz w:val="16"/>
          <w:szCs w:val="16"/>
        </w:rPr>
        <w:softHyphen/>
        <w:t>молётов. Благодаря выполнению его рекомендаций по усилению отдель</w:t>
      </w:r>
      <w:r w:rsidRPr="00405303">
        <w:rPr>
          <w:bCs/>
          <w:color w:val="002060"/>
          <w:sz w:val="16"/>
          <w:szCs w:val="16"/>
        </w:rPr>
        <w:softHyphen/>
        <w:t>ных элементов конструкции самолёта «Илья Муромец» разрушений и по</w:t>
      </w:r>
      <w:r w:rsidRPr="00405303">
        <w:rPr>
          <w:bCs/>
          <w:color w:val="002060"/>
          <w:sz w:val="16"/>
          <w:szCs w:val="16"/>
        </w:rPr>
        <w:softHyphen/>
        <w:t>ломок при боевых полетах не было.</w:t>
      </w:r>
    </w:p>
    <w:p w14:paraId="71C55C6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Для определения расчетных условий по прочности конструкции са</w:t>
      </w:r>
      <w:r w:rsidRPr="00405303">
        <w:rPr>
          <w:bCs/>
          <w:color w:val="002060"/>
          <w:sz w:val="16"/>
          <w:szCs w:val="16"/>
        </w:rPr>
        <w:softHyphen/>
        <w:t>молётов была создана комиссия из ведущих специалистов авиационной науки. Председателем первых заседаний комиссии в ноябре 1916 года был А.П. Фан-дер-Флит. В феврале 1917 года председателем стал С.П. Тимо</w:t>
      </w:r>
      <w:r w:rsidRPr="00405303">
        <w:rPr>
          <w:bCs/>
          <w:color w:val="002060"/>
          <w:sz w:val="16"/>
          <w:szCs w:val="16"/>
        </w:rPr>
        <w:softHyphen/>
        <w:t>шенко. Членами комиссии были профессора Н.Е. Жуковский, А.П. Боте</w:t>
      </w:r>
      <w:r w:rsidRPr="00405303">
        <w:rPr>
          <w:bCs/>
          <w:color w:val="002060"/>
          <w:sz w:val="16"/>
          <w:szCs w:val="16"/>
        </w:rPr>
        <w:softHyphen/>
        <w:t>зат, подполковники Калиновский, Вегенер, Лукьянов и инженеры Ветчин-кин, Туполев и Архангельский. На этих совещаниях были разработаны предложения по расчетным нагрузкам на конструкцию самолётов, план дальнейших работ в области прочности самолётов. Впервые были определены необходимые запасы по прочности для истребителей и тяжелых самолётов [29].</w:t>
      </w:r>
    </w:p>
    <w:p w14:paraId="3B77C58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При участии С.П. Тимошенко был сделан первый вклад в создание норм прочности аэропланов. Ему принадлежит крылатая фраза, опреде</w:t>
      </w:r>
      <w:r w:rsidRPr="00405303">
        <w:rPr>
          <w:bCs/>
          <w:color w:val="002060"/>
          <w:sz w:val="16"/>
          <w:szCs w:val="16"/>
        </w:rPr>
        <w:softHyphen/>
        <w:t>лившая задачи теории нормирования прочности на ближайшие годы для ученых ЦАГИ и ОКБ «Дайте мне силы, которые приложены к аэроплану, и тогда мы подсчитаем установленной манерой, каковы будут напряжения, какие опасные места».</w:t>
      </w:r>
    </w:p>
    <w:p w14:paraId="7CE260C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конце 1917 года С.П. Тимошенко написал монографию «О прочно</w:t>
      </w:r>
      <w:r w:rsidRPr="00405303">
        <w:rPr>
          <w:bCs/>
          <w:color w:val="002060"/>
          <w:sz w:val="16"/>
          <w:szCs w:val="16"/>
        </w:rPr>
        <w:softHyphen/>
        <w:t>сти аэропланов». В введении этой монографии С.П. Тимошенко излагает значение его книги:</w:t>
      </w:r>
    </w:p>
    <w:p w14:paraId="13A69E3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начальной стадии развития воздухоплавания, когда оно служило, главным образом, предметом спорта, вопросы прочности не играли су</w:t>
      </w:r>
      <w:r w:rsidRPr="00405303">
        <w:rPr>
          <w:bCs/>
          <w:color w:val="002060"/>
          <w:sz w:val="16"/>
          <w:szCs w:val="16"/>
        </w:rPr>
        <w:softHyphen/>
        <w:t>щественной роли. Пока полеты были сравнительно кратковременными и совершались при благоприятной погоде, условия прочности легко могли быть удовлетворены, и каких-либо расчетов в этом направлении часто вовсе не производилось. Надлежащие размеры частей подбирались обык</w:t>
      </w:r>
      <w:r w:rsidRPr="00405303">
        <w:rPr>
          <w:bCs/>
          <w:color w:val="002060"/>
          <w:sz w:val="16"/>
          <w:szCs w:val="16"/>
        </w:rPr>
        <w:softHyphen/>
        <w:t>новенно эмпирическим путем.</w:t>
      </w:r>
    </w:p>
    <w:p w14:paraId="7A1140A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настоящее время при всех возрастающих требованиях, предъяв</w:t>
      </w:r>
      <w:r w:rsidRPr="00405303">
        <w:rPr>
          <w:bCs/>
          <w:color w:val="002060"/>
          <w:sz w:val="16"/>
          <w:szCs w:val="16"/>
        </w:rPr>
        <w:softHyphen/>
        <w:t>ляемых к скорости, грузоподъемности и выносливости аппаратов и при переходе к массовому изготовлению этих аппаратов, предварительный их расчет на прочность получает большое практическое значение. Мас</w:t>
      </w:r>
      <w:r w:rsidRPr="00405303">
        <w:rPr>
          <w:bCs/>
          <w:color w:val="002060"/>
          <w:sz w:val="16"/>
          <w:szCs w:val="16"/>
        </w:rPr>
        <w:softHyphen/>
        <w:t>совое производство предполагает подробную теоретическую и экспери</w:t>
      </w:r>
      <w:r w:rsidRPr="00405303">
        <w:rPr>
          <w:bCs/>
          <w:color w:val="002060"/>
          <w:sz w:val="16"/>
          <w:szCs w:val="16"/>
        </w:rPr>
        <w:softHyphen/>
        <w:t>ментальную разработку предварительного проекта при содействии спе</w:t>
      </w:r>
      <w:r w:rsidRPr="00405303">
        <w:rPr>
          <w:bCs/>
          <w:color w:val="002060"/>
          <w:sz w:val="16"/>
          <w:szCs w:val="16"/>
        </w:rPr>
        <w:softHyphen/>
        <w:t>циальных лабораторий. Аэродинамические исследования над соответству</w:t>
      </w:r>
      <w:r w:rsidRPr="00405303">
        <w:rPr>
          <w:bCs/>
          <w:color w:val="002060"/>
          <w:sz w:val="16"/>
          <w:szCs w:val="16"/>
        </w:rPr>
        <w:softHyphen/>
        <w:t xml:space="preserve">ющими моделями дают нам надежное основание для определения тех внешних сил, которыми будет подвергаться проектируемый аппарат при различных условиях полета. Наиболее неблагоприятная комбинация этих сил, очевидно, должна быть положена в основание расчетов на прочность. Кроме того, массовое </w:t>
      </w:r>
      <w:r w:rsidRPr="00405303">
        <w:rPr>
          <w:bCs/>
          <w:color w:val="002060"/>
          <w:sz w:val="16"/>
          <w:szCs w:val="16"/>
        </w:rPr>
        <w:lastRenderedPageBreak/>
        <w:t>производство дает возможность переходить к все более совершенным материалам и к все более усовершенствованным способам изготовления, при которых исключаются различные неблагоп</w:t>
      </w:r>
      <w:r w:rsidRPr="00405303">
        <w:rPr>
          <w:bCs/>
          <w:color w:val="002060"/>
          <w:sz w:val="16"/>
          <w:szCs w:val="16"/>
        </w:rPr>
        <w:softHyphen/>
        <w:t>риятные случайности, неизбежные при кустарном выполнении аппаратов.</w:t>
      </w:r>
    </w:p>
    <w:p w14:paraId="02E962B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Правильная оценка внешних сил, применение материалов высокого качества и усовершенствованных однообразных способов изготовления являются теми условиями, которые повышают надежность всех наших расчетов и, соответственно, позволяют уменьшать коэффициент безопас</w:t>
      </w:r>
      <w:r w:rsidRPr="00405303">
        <w:rPr>
          <w:bCs/>
          <w:color w:val="002060"/>
          <w:sz w:val="16"/>
          <w:szCs w:val="16"/>
        </w:rPr>
        <w:softHyphen/>
        <w:t>ности, а вместе с тем и вес аппарата.</w:t>
      </w:r>
    </w:p>
    <w:p w14:paraId="4E7CD4A1" w14:textId="77777777" w:rsidR="004B4E35" w:rsidRPr="00405303" w:rsidRDefault="009E6F82" w:rsidP="00C15251">
      <w:pPr>
        <w:jc w:val="both"/>
        <w:rPr>
          <w:bCs/>
          <w:color w:val="002060"/>
          <w:sz w:val="16"/>
          <w:szCs w:val="16"/>
        </w:rPr>
      </w:pPr>
      <w:r w:rsidRPr="00405303">
        <w:rPr>
          <w:bCs/>
          <w:color w:val="002060"/>
          <w:sz w:val="16"/>
          <w:szCs w:val="16"/>
        </w:rPr>
        <w:t>По поручению военного ведомства я некоторое время занимался расчетами прочности аэропланов и экспериментальными исследования</w:t>
      </w:r>
      <w:r w:rsidRPr="00405303">
        <w:rPr>
          <w:bCs/>
          <w:color w:val="002060"/>
          <w:sz w:val="16"/>
          <w:szCs w:val="16"/>
        </w:rPr>
        <w:softHyphen/>
        <w:t>ми применяемых в аэропланах материалов. При этих работах выяснилась желательность составления для заводских инженеров книги, где были бы собраны соответствующие сведения из области строительной механики. По первоначальному плану книга должна была заключить в себе как тео</w:t>
      </w:r>
      <w:r w:rsidRPr="00405303">
        <w:rPr>
          <w:bCs/>
          <w:color w:val="002060"/>
          <w:sz w:val="16"/>
          <w:szCs w:val="16"/>
        </w:rPr>
        <w:softHyphen/>
        <w:t>ретическую часть, так и разделы экспериментального характера, где дол</w:t>
      </w:r>
      <w:r w:rsidRPr="00405303">
        <w:rPr>
          <w:bCs/>
          <w:color w:val="002060"/>
          <w:sz w:val="16"/>
          <w:szCs w:val="16"/>
        </w:rPr>
        <w:softHyphen/>
        <w:t>жны были бы помещены результаты произведенных под моим руковод</w:t>
      </w:r>
      <w:r w:rsidRPr="00405303">
        <w:rPr>
          <w:bCs/>
          <w:color w:val="002060"/>
          <w:sz w:val="16"/>
          <w:szCs w:val="16"/>
        </w:rPr>
        <w:softHyphen/>
        <w:t>ством опытов по исследованию прочности употребляемых в аэропланах материалов и конструкций. К сожалению, вследствие тяжелых условий последнего времени накопленный экспериментальный материал не мог быть использован при составлении настоящей книги. Кроме того, зате-оялись некоторые расчеты, относящиеся к взятым из жизни типам аэро</w:t>
      </w:r>
      <w:r w:rsidRPr="00405303">
        <w:rPr>
          <w:bCs/>
          <w:color w:val="002060"/>
          <w:sz w:val="16"/>
          <w:szCs w:val="16"/>
        </w:rPr>
        <w:softHyphen/>
        <w:t>планов, и в моем распоряжении осталось лишь несколько глав теорети</w:t>
      </w:r>
      <w:r w:rsidRPr="00405303">
        <w:rPr>
          <w:bCs/>
          <w:color w:val="002060"/>
          <w:sz w:val="16"/>
          <w:szCs w:val="16"/>
        </w:rPr>
        <w:softHyphen/>
        <w:t>ческого характера, которые я и решил напечатать, не ожидая того време</w:t>
      </w:r>
      <w:r w:rsidRPr="00405303">
        <w:rPr>
          <w:bCs/>
          <w:color w:val="002060"/>
          <w:sz w:val="16"/>
          <w:szCs w:val="16"/>
        </w:rPr>
        <w:softHyphen/>
        <w:t>ни, когда можно будет вновь собрать все материалы.</w:t>
      </w:r>
    </w:p>
    <w:p w14:paraId="25F60FA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Я думаю, что при отсутствии литературы по рассматриваемому воп</w:t>
      </w:r>
      <w:r w:rsidRPr="00405303">
        <w:rPr>
          <w:bCs/>
          <w:color w:val="002060"/>
          <w:sz w:val="16"/>
          <w:szCs w:val="16"/>
        </w:rPr>
        <w:softHyphen/>
        <w:t>росу, печатаемый ниже материал может представить некоторый интерес для лиц, занимающихся расчетами аэропланов.» [29].</w:t>
      </w:r>
    </w:p>
    <w:p w14:paraId="6BC2C75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Книга состоит из двух глав.</w:t>
      </w:r>
    </w:p>
    <w:p w14:paraId="2A6545D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 полноте рассмотрения вопросов первой главы можно судить по названиям параграфов: § 1. Давление воздуха</w:t>
      </w:r>
    </w:p>
    <w:p w14:paraId="0A362E9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2. Распределение давления воздуха по поверхности крыла § 3. Нормальный полет § 4. Планирующий спуск § 5. Пикирующий спуск § 6. Влияние центробежной силы § 7. Влияние ветра § 8. Давления на поверхности рулей § 9. Силы инерции при посадке §10. Силы винтомоторной группы</w:t>
      </w:r>
    </w:p>
    <w:p w14:paraId="5BA621A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этой главе С.П. Тимошенко рассматривает силы, действующие на аэроплан.</w:t>
      </w:r>
    </w:p>
    <w:p w14:paraId="0F65285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«При проверке прочности аэропланов приходится принимать в рас-четтри группы сил: а) собственный вес и соответствующие ему силы инер</w:t>
      </w:r>
      <w:r w:rsidRPr="00405303">
        <w:rPr>
          <w:bCs/>
          <w:color w:val="002060"/>
          <w:sz w:val="16"/>
          <w:szCs w:val="16"/>
        </w:rPr>
        <w:softHyphen/>
        <w:t>ции, Ь) винтомоторную группу сил, с) давление воздуха.</w:t>
      </w:r>
    </w:p>
    <w:p w14:paraId="36C90E9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Что касается первой группы сил, то при поверочных расчетах уже изготовленных аппаратов величина этих сил и расположение легко опре</w:t>
      </w:r>
      <w:r w:rsidRPr="00405303">
        <w:rPr>
          <w:bCs/>
          <w:color w:val="002060"/>
          <w:sz w:val="16"/>
          <w:szCs w:val="16"/>
        </w:rPr>
        <w:softHyphen/>
        <w:t>деляются по действительным весам отдельных частей. Для предваритель</w:t>
      </w:r>
      <w:r w:rsidRPr="00405303">
        <w:rPr>
          <w:bCs/>
          <w:color w:val="002060"/>
          <w:sz w:val="16"/>
          <w:szCs w:val="16"/>
        </w:rPr>
        <w:softHyphen/>
        <w:t>ных расчетов веса могут быть приблизительно определены путем срав</w:t>
      </w:r>
      <w:r w:rsidRPr="00405303">
        <w:rPr>
          <w:bCs/>
          <w:color w:val="002060"/>
          <w:sz w:val="16"/>
          <w:szCs w:val="16"/>
        </w:rPr>
        <w:softHyphen/>
        <w:t>нения разрабатываемого типа с уже изготовленными аппаратами.</w:t>
      </w:r>
    </w:p>
    <w:p w14:paraId="5A42465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Винтомоторная группа сил не играет большой роли при оценке об</w:t>
      </w:r>
      <w:r w:rsidRPr="00405303">
        <w:rPr>
          <w:bCs/>
          <w:color w:val="002060"/>
          <w:sz w:val="16"/>
          <w:szCs w:val="16"/>
        </w:rPr>
        <w:softHyphen/>
        <w:t>щей прочности главной коробки аппарата. С этими силами приходится считаться, главным образом, при расчете некоторых деталей, о которых будет сказано далее. Давление воздуха, уравновешивающее, главным образом, собственный вес аппарата, имеет большое значение при иссле</w:t>
      </w:r>
      <w:r w:rsidRPr="00405303">
        <w:rPr>
          <w:bCs/>
          <w:color w:val="002060"/>
          <w:sz w:val="16"/>
          <w:szCs w:val="16"/>
        </w:rPr>
        <w:softHyphen/>
        <w:t>довании прочности аэропланов, и мы начнем наше исследование с рас</w:t>
      </w:r>
      <w:r w:rsidRPr="00405303">
        <w:rPr>
          <w:bCs/>
          <w:color w:val="002060"/>
          <w:sz w:val="16"/>
          <w:szCs w:val="16"/>
        </w:rPr>
        <w:softHyphen/>
        <w:t>смотрения именно этой группы сил» [29].</w:t>
      </w:r>
    </w:p>
    <w:p w14:paraId="3B9094D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С.П. Тимошенко рассматривает достаточно подробно основные рас</w:t>
      </w:r>
      <w:r w:rsidRPr="00405303">
        <w:rPr>
          <w:bCs/>
          <w:color w:val="002060"/>
          <w:sz w:val="16"/>
          <w:szCs w:val="16"/>
        </w:rPr>
        <w:softHyphen/>
        <w:t>четные случаи нагружения аэроплана, которые актуальны и в настоящее время. Во всех расчетных случаях он предлагает аналитические зависи</w:t>
      </w:r>
      <w:r w:rsidRPr="00405303">
        <w:rPr>
          <w:bCs/>
          <w:color w:val="002060"/>
          <w:sz w:val="16"/>
          <w:szCs w:val="16"/>
        </w:rPr>
        <w:softHyphen/>
        <w:t>мости для оценки нагрузок. Например, для маневра истребителя он обо</w:t>
      </w:r>
      <w:r w:rsidRPr="00405303">
        <w:rPr>
          <w:bCs/>
          <w:color w:val="002060"/>
          <w:sz w:val="16"/>
          <w:szCs w:val="16"/>
        </w:rPr>
        <w:softHyphen/>
        <w:t>сновывает величину максимальной перегрузки равную семи. Подробно рассмотрены случаи оценки нагрузок при посадке, где проводится ана</w:t>
      </w:r>
      <w:r w:rsidRPr="00405303">
        <w:rPr>
          <w:bCs/>
          <w:color w:val="002060"/>
          <w:sz w:val="16"/>
          <w:szCs w:val="16"/>
        </w:rPr>
        <w:softHyphen/>
        <w:t>лиз движения самолёта при первом ударе. В этом случае он предлагает расчет на перегрузку равную четырем.</w:t>
      </w:r>
    </w:p>
    <w:p w14:paraId="34AB399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Во второй главе изложены способы расчета на прочность частей аэроплана, о которых можно судить по названиям параграфов: §11. Расчет главной коробки § 12. Роль поперечных связей § 13. О влиянии предварительной затяжки § 14. Об изгибе лонжеронов § 15. Об устойчивости сжатых частей аэроплана § 16. О выборе прочных размеров частей аэроплана</w:t>
      </w:r>
    </w:p>
    <w:p w14:paraId="27CD8A9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последнем 16 параграфе изложены основные концепции методов расчетов на прочность конструкции аэроплана:</w:t>
      </w:r>
    </w:p>
    <w:p w14:paraId="134A547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«Выбор прочных размеров аэроплана стоит в самой тесной связи с нормами допускаемых напряжений для материалов, входящих в конструк</w:t>
      </w:r>
      <w:r w:rsidRPr="00405303">
        <w:rPr>
          <w:bCs/>
          <w:color w:val="002060"/>
          <w:sz w:val="16"/>
          <w:szCs w:val="16"/>
        </w:rPr>
        <w:softHyphen/>
        <w:t>цию аппарата. Величина допускаемого напряжения для какого-либо ма</w:t>
      </w:r>
      <w:r w:rsidRPr="00405303">
        <w:rPr>
          <w:bCs/>
          <w:color w:val="002060"/>
          <w:sz w:val="16"/>
          <w:szCs w:val="16"/>
        </w:rPr>
        <w:softHyphen/>
        <w:t>териала в том или ином случае зависит не только от прочности и упругос</w:t>
      </w:r>
      <w:r w:rsidRPr="00405303">
        <w:rPr>
          <w:bCs/>
          <w:color w:val="002060"/>
          <w:sz w:val="16"/>
          <w:szCs w:val="16"/>
        </w:rPr>
        <w:softHyphen/>
        <w:t>ти свойств материала, но также и от степени надежности принятых при</w:t>
      </w:r>
      <w:r w:rsidRPr="00405303">
        <w:rPr>
          <w:bCs/>
          <w:color w:val="002060"/>
          <w:sz w:val="16"/>
          <w:szCs w:val="16"/>
        </w:rPr>
        <w:softHyphen/>
        <w:t xml:space="preserve">емов </w:t>
      </w:r>
      <w:proofErr w:type="gramStart"/>
      <w:r w:rsidRPr="00405303">
        <w:rPr>
          <w:bCs/>
          <w:color w:val="002060"/>
          <w:sz w:val="16"/>
          <w:szCs w:val="16"/>
        </w:rPr>
        <w:t>расчетов</w:t>
      </w:r>
      <w:proofErr w:type="gramEnd"/>
      <w:r w:rsidRPr="00405303">
        <w:rPr>
          <w:bCs/>
          <w:color w:val="002060"/>
          <w:sz w:val="16"/>
          <w:szCs w:val="16"/>
        </w:rPr>
        <w:t xml:space="preserve"> и от степени достоверности, с которой нам известны дей</w:t>
      </w:r>
      <w:r w:rsidRPr="00405303">
        <w:rPr>
          <w:bCs/>
          <w:color w:val="002060"/>
          <w:sz w:val="16"/>
          <w:szCs w:val="16"/>
        </w:rPr>
        <w:softHyphen/>
        <w:t>ствующие на конструкцию внешние силы. Чем однороднее по своим свой</w:t>
      </w:r>
      <w:r w:rsidRPr="00405303">
        <w:rPr>
          <w:bCs/>
          <w:color w:val="002060"/>
          <w:sz w:val="16"/>
          <w:szCs w:val="16"/>
        </w:rPr>
        <w:softHyphen/>
        <w:t>ствам применяемые материалы, чем точнее способы расчетов и чем с большей достоверностью нам известны те максимальные нагрузки, кото</w:t>
      </w:r>
      <w:r w:rsidRPr="00405303">
        <w:rPr>
          <w:bCs/>
          <w:color w:val="002060"/>
          <w:sz w:val="16"/>
          <w:szCs w:val="16"/>
        </w:rPr>
        <w:softHyphen/>
        <w:t>рые могут действовать на сооружение, тем, очевидно, выше может быть назначено допускаемое напряжение. Стремление получить возможно меньший вес аппарата должно приводить в конечном счете к тому, что в аэропланостроении будут применяться лишь материалы самого высоко</w:t>
      </w:r>
      <w:r w:rsidRPr="00405303">
        <w:rPr>
          <w:bCs/>
          <w:color w:val="002060"/>
          <w:sz w:val="16"/>
          <w:szCs w:val="16"/>
        </w:rPr>
        <w:softHyphen/>
        <w:t>го качества, лишь высшие сорта стали и породы дерева, обладающие наи</w:t>
      </w:r>
      <w:r w:rsidRPr="00405303">
        <w:rPr>
          <w:bCs/>
          <w:color w:val="002060"/>
          <w:sz w:val="16"/>
          <w:szCs w:val="16"/>
        </w:rPr>
        <w:softHyphen/>
        <w:t>более высоким свойством в отношении однородности и упругих свойств.</w:t>
      </w:r>
    </w:p>
    <w:p w14:paraId="25972702" w14:textId="77777777" w:rsidR="004B4E35" w:rsidRPr="00405303" w:rsidRDefault="009E6F82" w:rsidP="00C15251">
      <w:pPr>
        <w:jc w:val="both"/>
        <w:rPr>
          <w:bCs/>
          <w:color w:val="002060"/>
          <w:sz w:val="16"/>
          <w:szCs w:val="16"/>
        </w:rPr>
      </w:pPr>
      <w:r w:rsidRPr="00405303">
        <w:rPr>
          <w:bCs/>
          <w:color w:val="002060"/>
          <w:sz w:val="16"/>
          <w:szCs w:val="16"/>
        </w:rPr>
        <w:t>Что касается способов расчета, то определение усилий, основанное на предположении шарнирных соединений в узлах, по своей точности соответствует обычным приемам расчетов различного рода инженерных сооружений. Дальнейшие исследования прочности, связанные с рассмот</w:t>
      </w:r>
      <w:r w:rsidRPr="00405303">
        <w:rPr>
          <w:bCs/>
          <w:color w:val="002060"/>
          <w:sz w:val="16"/>
          <w:szCs w:val="16"/>
        </w:rPr>
        <w:softHyphen/>
        <w:t>рением изгиба лонжеронов, как неразрезных балок, с оценкой влияния продольных сил на изгиб лонжеронов и с определением критической силы для лонжеронов, как неразрезной балки, дают нам более близкую к дей</w:t>
      </w:r>
      <w:r w:rsidRPr="00405303">
        <w:rPr>
          <w:bCs/>
          <w:color w:val="002060"/>
          <w:sz w:val="16"/>
          <w:szCs w:val="16"/>
        </w:rPr>
        <w:softHyphen/>
        <w:t>ствительности картину распределения напряжений в частях аэроплана, что позволяет нам при выборе прочных размеров назначать более высо</w:t>
      </w:r>
      <w:r w:rsidRPr="00405303">
        <w:rPr>
          <w:bCs/>
          <w:color w:val="002060"/>
          <w:sz w:val="16"/>
          <w:szCs w:val="16"/>
        </w:rPr>
        <w:softHyphen/>
        <w:t>кие нормы допускаемых напряжений.</w:t>
      </w:r>
    </w:p>
    <w:p w14:paraId="32C04009"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Внешние силы и их распределение в случае нормального полета нам известны с большой точностью, в особенности, если произведены предва</w:t>
      </w:r>
      <w:r w:rsidRPr="00405303">
        <w:rPr>
          <w:bCs/>
          <w:color w:val="002060"/>
          <w:sz w:val="16"/>
          <w:szCs w:val="16"/>
        </w:rPr>
        <w:softHyphen/>
        <w:t>рительные испытания в лаборатории над соответствующей моделью аппа</w:t>
      </w:r>
      <w:r w:rsidRPr="00405303">
        <w:rPr>
          <w:bCs/>
          <w:color w:val="002060"/>
          <w:sz w:val="16"/>
          <w:szCs w:val="16"/>
        </w:rPr>
        <w:softHyphen/>
        <w:t>рата. С достаточной точностью можно оценить также повышения давления воздуха, которые получаются при поворотах и при выравнивании аппарата.</w:t>
      </w:r>
    </w:p>
    <w:p w14:paraId="1465579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меньшей достоверностью нам известны те давления, которые при некоторых условиях могут действовать на аппарат сверху вниз, мало ис</w:t>
      </w:r>
      <w:r w:rsidRPr="00405303">
        <w:rPr>
          <w:bCs/>
          <w:color w:val="002060"/>
          <w:sz w:val="16"/>
          <w:szCs w:val="16"/>
        </w:rPr>
        <w:softHyphen/>
        <w:t>следован вопрос о величине сил инерции при посадке аппарата и воз</w:t>
      </w:r>
      <w:r w:rsidRPr="00405303">
        <w:rPr>
          <w:bCs/>
          <w:color w:val="002060"/>
          <w:sz w:val="16"/>
          <w:szCs w:val="16"/>
        </w:rPr>
        <w:softHyphen/>
        <w:t>можные нагрузки от изменений интенсивности направления ветра. Но все же для аппаратов, которые не должны делать в воздухе столь резких эво</w:t>
      </w:r>
      <w:r w:rsidRPr="00405303">
        <w:rPr>
          <w:bCs/>
          <w:color w:val="002060"/>
          <w:sz w:val="16"/>
          <w:szCs w:val="16"/>
        </w:rPr>
        <w:softHyphen/>
        <w:t>люции, как, например, пикирующий спуск или мертвые петли, мы с доста</w:t>
      </w:r>
      <w:r w:rsidRPr="00405303">
        <w:rPr>
          <w:bCs/>
          <w:color w:val="002060"/>
          <w:sz w:val="16"/>
          <w:szCs w:val="16"/>
        </w:rPr>
        <w:softHyphen/>
        <w:t>точной точностью можем назначить те предельные нагрузки, которых можно ожидать при самых неблагоприятных обстоятельствах.</w:t>
      </w:r>
    </w:p>
    <w:p w14:paraId="0EDEDA4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менее благоприятных условиях мы находимся при проектировании аппаратов типа истребителей. Здесь мы имеем значительно меньше ука</w:t>
      </w:r>
      <w:r w:rsidRPr="00405303">
        <w:rPr>
          <w:bCs/>
          <w:color w:val="002060"/>
          <w:sz w:val="16"/>
          <w:szCs w:val="16"/>
        </w:rPr>
        <w:softHyphen/>
        <w:t>заний относительно возможных предельных нагрузок, и потому должны эту недостаточную осведомленность относительно внешних сил покры</w:t>
      </w:r>
      <w:r w:rsidRPr="00405303">
        <w:rPr>
          <w:bCs/>
          <w:color w:val="002060"/>
          <w:sz w:val="16"/>
          <w:szCs w:val="16"/>
        </w:rPr>
        <w:softHyphen/>
        <w:t>вать понижением допускаемых напряжений при условиях нормального полета, или, что все равно, соответствующим повышением коэффициен</w:t>
      </w:r>
      <w:r w:rsidRPr="00405303">
        <w:rPr>
          <w:bCs/>
          <w:color w:val="002060"/>
          <w:sz w:val="16"/>
          <w:szCs w:val="16"/>
        </w:rPr>
        <w:softHyphen/>
        <w:t>тов безопасности.</w:t>
      </w:r>
    </w:p>
    <w:p w14:paraId="1669CBF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При выборе прочных размеров частей аппарата следует исходить из того положения, что ни одна часть, при самой неблагоприятной комбинации вне</w:t>
      </w:r>
      <w:r w:rsidRPr="00405303">
        <w:rPr>
          <w:bCs/>
          <w:color w:val="002060"/>
          <w:sz w:val="16"/>
          <w:szCs w:val="16"/>
        </w:rPr>
        <w:softHyphen/>
        <w:t>шних сил, не должна получать остаточных деформаций. Нигде не должен быть перейден предел упругости материала. В соединениях не должно получать</w:t>
      </w:r>
      <w:r w:rsidRPr="00405303">
        <w:rPr>
          <w:bCs/>
          <w:color w:val="002060"/>
          <w:sz w:val="16"/>
          <w:szCs w:val="16"/>
        </w:rPr>
        <w:softHyphen/>
        <w:t>ся усилий, при которых соединение начинает сдавать. В сжатых частях не должно получаться усилий, вызывающих продольный изгиб.</w:t>
      </w:r>
    </w:p>
    <w:p w14:paraId="73C360B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случае аппаратов, не предназначенных для выполнения в воздухе каких-либо резких эволюции, мы полагали бы возможным установить для отдельных частей такие расчетные нагрузки: 1. При расчете частей главной коробки иметь в виду: а) давление воздуха, направленное снизу вверх и равное удвоенному пол</w:t>
      </w:r>
      <w:r w:rsidRPr="00405303">
        <w:rPr>
          <w:bCs/>
          <w:color w:val="002060"/>
          <w:sz w:val="16"/>
          <w:szCs w:val="16"/>
        </w:rPr>
        <w:softHyphen/>
        <w:t>ному весу аппарата;</w:t>
      </w:r>
    </w:p>
    <w:p w14:paraId="2962CC2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Ь) давление воздуха сверху вниз, равное весу аппарата; с) силы инерции при посадке, направленные сверху вниз и равные учет</w:t>
      </w:r>
      <w:r w:rsidRPr="00405303">
        <w:rPr>
          <w:bCs/>
          <w:color w:val="002060"/>
          <w:sz w:val="16"/>
          <w:szCs w:val="16"/>
        </w:rPr>
        <w:softHyphen/>
        <w:t>веренному весу аппарата;</w:t>
      </w:r>
    </w:p>
    <w:p w14:paraId="4E3E2B4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w:t>
      </w:r>
      <w:r w:rsidRPr="00405303">
        <w:rPr>
          <w:bCs/>
          <w:color w:val="002060"/>
          <w:sz w:val="16"/>
          <w:szCs w:val="16"/>
          <w:vertAlign w:val="superscript"/>
        </w:rPr>
        <w:t>1</w:t>
      </w:r>
      <w:r w:rsidRPr="00405303">
        <w:rPr>
          <w:bCs/>
          <w:color w:val="002060"/>
          <w:sz w:val="16"/>
          <w:szCs w:val="16"/>
        </w:rPr>
        <w:t>) лобовое сопротивление, равное половине веса аппарата. 2. При расчете хвостовой фермы должны быть рассмотрены следую</w:t>
      </w:r>
      <w:r w:rsidRPr="00405303">
        <w:rPr>
          <w:bCs/>
          <w:color w:val="002060"/>
          <w:sz w:val="16"/>
          <w:szCs w:val="16"/>
        </w:rPr>
        <w:softHyphen/>
        <w:t>щие случаи действия сил:</w:t>
      </w:r>
    </w:p>
    <w:p w14:paraId="420E8D4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а) давление на рули, соответствующее отклонению в 15°;</w:t>
      </w:r>
    </w:p>
    <w:p w14:paraId="434F5BE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Ь) силы инерции при посадке, равные учетверенному собственному весу.</w:t>
      </w:r>
    </w:p>
    <w:p w14:paraId="5686593B"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3. Расчет шасси должен быть произведен на силы инерции при посадке равные учетверенному весу аппарата.</w:t>
      </w:r>
    </w:p>
    <w:p w14:paraId="7B1A06D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4. При подсчете напряжений должна быть принята во внимание пер</w:t>
      </w:r>
      <w:r w:rsidRPr="00405303">
        <w:rPr>
          <w:bCs/>
          <w:color w:val="002060"/>
          <w:sz w:val="16"/>
          <w:szCs w:val="16"/>
        </w:rPr>
        <w:softHyphen/>
        <w:t>воначальная затяжка диагоналей, которую следует выбрать так, чтобы не был понижен общий предел упругости конструкции и в то же время, чтобы диагонали не разгружались при тех предельных нагрузках, которые ука</w:t>
      </w:r>
      <w:r w:rsidRPr="00405303">
        <w:rPr>
          <w:bCs/>
          <w:color w:val="002060"/>
          <w:sz w:val="16"/>
          <w:szCs w:val="16"/>
        </w:rPr>
        <w:softHyphen/>
        <w:t xml:space="preserve">заны в пункте </w:t>
      </w:r>
      <w:proofErr w:type="gramStart"/>
      <w:r w:rsidRPr="00405303">
        <w:rPr>
          <w:bCs/>
          <w:color w:val="002060"/>
          <w:sz w:val="16"/>
          <w:szCs w:val="16"/>
        </w:rPr>
        <w:t>1 .</w:t>
      </w:r>
      <w:proofErr w:type="gramEnd"/>
    </w:p>
    <w:p w14:paraId="30867C1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Размеры частей аппарата должны быть подобраны так, чтобы при перечисленных нагрузках нигде не получалось остаточных деформаций. Если те усилия, которые уже вызывают в рассчитываемых частях остаточ</w:t>
      </w:r>
      <w:r w:rsidRPr="00405303">
        <w:rPr>
          <w:bCs/>
          <w:color w:val="002060"/>
          <w:sz w:val="16"/>
          <w:szCs w:val="16"/>
        </w:rPr>
        <w:softHyphen/>
        <w:t>ные деформации, не получены опытным путем, то мы их будем принимать в наших расчетах равными 0,5-0,6 от разрушающих усилий, или 0,6-0,75 от критических нагрузок» [29].</w:t>
      </w:r>
    </w:p>
    <w:p w14:paraId="3252771C"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Эта монография показывает, что в России в дореволюционные годы научный уровень исследований в области авиации был достаточно высок и не уступал передовым странам. Она явилась первой в мире книгой, спе</w:t>
      </w:r>
      <w:r w:rsidRPr="00405303">
        <w:rPr>
          <w:bCs/>
          <w:color w:val="002060"/>
          <w:sz w:val="16"/>
          <w:szCs w:val="16"/>
        </w:rPr>
        <w:softHyphen/>
        <w:t>циально посвященной вопросам прочности аэропланов, хотя по незави</w:t>
      </w:r>
      <w:r w:rsidRPr="00405303">
        <w:rPr>
          <w:bCs/>
          <w:color w:val="002060"/>
          <w:sz w:val="16"/>
          <w:szCs w:val="16"/>
        </w:rPr>
        <w:softHyphen/>
        <w:t xml:space="preserve">сящим от автора причинам </w:t>
      </w:r>
      <w:proofErr w:type="gramStart"/>
      <w:r w:rsidRPr="00405303">
        <w:rPr>
          <w:bCs/>
          <w:color w:val="002060"/>
          <w:sz w:val="16"/>
          <w:szCs w:val="16"/>
        </w:rPr>
        <w:t>( война</w:t>
      </w:r>
      <w:proofErr w:type="gramEnd"/>
      <w:r w:rsidRPr="00405303">
        <w:rPr>
          <w:bCs/>
          <w:color w:val="002060"/>
          <w:sz w:val="16"/>
          <w:szCs w:val="16"/>
        </w:rPr>
        <w:t xml:space="preserve"> 1 9 1 4- 1 9 1 8 </w:t>
      </w:r>
      <w:proofErr w:type="gramStart"/>
      <w:r w:rsidRPr="00405303">
        <w:rPr>
          <w:bCs/>
          <w:color w:val="002060"/>
          <w:sz w:val="16"/>
          <w:szCs w:val="16"/>
        </w:rPr>
        <w:t>гг. ,</w:t>
      </w:r>
      <w:proofErr w:type="gramEnd"/>
      <w:r w:rsidRPr="00405303">
        <w:rPr>
          <w:bCs/>
          <w:color w:val="002060"/>
          <w:sz w:val="16"/>
          <w:szCs w:val="16"/>
        </w:rPr>
        <w:t xml:space="preserve"> революция 1 9 1 7 </w:t>
      </w:r>
      <w:proofErr w:type="gramStart"/>
      <w:r w:rsidRPr="00405303">
        <w:rPr>
          <w:bCs/>
          <w:color w:val="002060"/>
          <w:sz w:val="16"/>
          <w:szCs w:val="16"/>
        </w:rPr>
        <w:t>г. )</w:t>
      </w:r>
      <w:proofErr w:type="gramEnd"/>
      <w:r w:rsidRPr="00405303">
        <w:rPr>
          <w:bCs/>
          <w:color w:val="002060"/>
          <w:sz w:val="16"/>
          <w:szCs w:val="16"/>
        </w:rPr>
        <w:t xml:space="preserve"> не была издана типографским способом. Только в 2003 г., в год 100-летия первого полета аэроплана братьев Райт, питая глубокое уважение к научным зас</w:t>
      </w:r>
      <w:r w:rsidRPr="00405303">
        <w:rPr>
          <w:bCs/>
          <w:color w:val="002060"/>
          <w:sz w:val="16"/>
          <w:szCs w:val="16"/>
        </w:rPr>
        <w:softHyphen/>
        <w:t>лугам великого ученого С. П. Тимошенко, ЦАГИ опубликовал его труды в области авиации [29] (11425).</w:t>
      </w:r>
    </w:p>
    <w:p w14:paraId="20B04C55" w14:textId="77777777" w:rsidR="004B4E35" w:rsidRPr="00405303" w:rsidRDefault="004B4E35" w:rsidP="00C15251">
      <w:pPr>
        <w:shd w:val="clear" w:color="auto" w:fill="FFFFFF"/>
        <w:jc w:val="both"/>
        <w:rPr>
          <w:bCs/>
          <w:color w:val="002060"/>
          <w:sz w:val="16"/>
          <w:szCs w:val="16"/>
        </w:rPr>
      </w:pPr>
    </w:p>
    <w:p w14:paraId="301A752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1915 г. по инициативе Н.Р. Бриллинга в МТУ была начата подготов</w:t>
      </w:r>
      <w:r w:rsidRPr="00405303">
        <w:rPr>
          <w:bCs/>
          <w:color w:val="002060"/>
          <w:sz w:val="16"/>
          <w:szCs w:val="16"/>
        </w:rPr>
        <w:softHyphen/>
        <w:t>ка специалистов по транспортным двигателям. В эти годы в МТУ учились будущие ученые и создатели авиационных двигателей Б.С. Стечкин, В.Я. Климов, А.Д. Швецов, А.А. Микулин.</w:t>
      </w:r>
    </w:p>
    <w:p w14:paraId="020CB28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Русские ученые в 1914-1917 годах разработали основы научного про</w:t>
      </w:r>
      <w:r w:rsidRPr="00405303">
        <w:rPr>
          <w:bCs/>
          <w:color w:val="002060"/>
          <w:sz w:val="16"/>
          <w:szCs w:val="16"/>
        </w:rPr>
        <w:softHyphen/>
        <w:t>ектирования и постройки авиационных двигателей (тепловой расчет ста</w:t>
      </w:r>
      <w:r w:rsidRPr="00405303">
        <w:rPr>
          <w:bCs/>
          <w:color w:val="002060"/>
          <w:sz w:val="16"/>
          <w:szCs w:val="16"/>
        </w:rPr>
        <w:softHyphen/>
        <w:t>тический и динамический расчеты на прочность, теория смазки). Но по</w:t>
      </w:r>
      <w:r w:rsidRPr="00405303">
        <w:rPr>
          <w:bCs/>
          <w:color w:val="002060"/>
          <w:sz w:val="16"/>
          <w:szCs w:val="16"/>
        </w:rPr>
        <w:softHyphen/>
        <w:t xml:space="preserve">скольку в России в тот момент не было широко развитой </w:t>
      </w:r>
      <w:proofErr w:type="gramStart"/>
      <w:r w:rsidRPr="00405303">
        <w:rPr>
          <w:bCs/>
          <w:color w:val="002060"/>
          <w:sz w:val="16"/>
          <w:szCs w:val="16"/>
        </w:rPr>
        <w:t>двигателестрои-тельной</w:t>
      </w:r>
      <w:proofErr w:type="gramEnd"/>
      <w:r w:rsidRPr="00405303">
        <w:rPr>
          <w:bCs/>
          <w:color w:val="002060"/>
          <w:sz w:val="16"/>
          <w:szCs w:val="16"/>
        </w:rPr>
        <w:t xml:space="preserve"> промышленности, русские ученые не смогли реализовать свои теоретические разработки в области авиадвигателей.</w:t>
      </w:r>
    </w:p>
    <w:p w14:paraId="3C28E331" w14:textId="77777777" w:rsidR="004B4E35" w:rsidRPr="00405303" w:rsidRDefault="009E6F82" w:rsidP="00C15251">
      <w:pPr>
        <w:jc w:val="both"/>
        <w:rPr>
          <w:bCs/>
          <w:color w:val="002060"/>
          <w:sz w:val="16"/>
          <w:szCs w:val="16"/>
        </w:rPr>
      </w:pPr>
      <w:r w:rsidRPr="00405303">
        <w:rPr>
          <w:bCs/>
          <w:color w:val="002060"/>
          <w:sz w:val="16"/>
          <w:szCs w:val="16"/>
        </w:rPr>
        <w:t>Революция и гражданская война прервали поставки иностранной авиационной техники. Военный воздушный флот начал испытывать серь</w:t>
      </w:r>
      <w:r w:rsidRPr="00405303">
        <w:rPr>
          <w:bCs/>
          <w:color w:val="002060"/>
          <w:sz w:val="16"/>
          <w:szCs w:val="16"/>
        </w:rPr>
        <w:softHyphen/>
        <w:t>езные затруднения в снабжении авиационных подразделений материаль</w:t>
      </w:r>
      <w:r w:rsidRPr="00405303">
        <w:rPr>
          <w:bCs/>
          <w:color w:val="002060"/>
          <w:sz w:val="16"/>
          <w:szCs w:val="16"/>
        </w:rPr>
        <w:softHyphen/>
        <w:t>ной частью. В результате гражданской войны и иностранной военной ин</w:t>
      </w:r>
      <w:r w:rsidRPr="00405303">
        <w:rPr>
          <w:bCs/>
          <w:color w:val="002060"/>
          <w:sz w:val="16"/>
          <w:szCs w:val="16"/>
        </w:rPr>
        <w:softHyphen/>
        <w:t>тервенции часть авиационных заводов была захвачена белыми, многие предприятия были разрушены (11425).</w:t>
      </w:r>
    </w:p>
    <w:p w14:paraId="07A0B0F7" w14:textId="77777777" w:rsidR="004B4E35" w:rsidRPr="00405303" w:rsidRDefault="004B4E35" w:rsidP="00C15251">
      <w:pPr>
        <w:jc w:val="both"/>
        <w:rPr>
          <w:bCs/>
          <w:color w:val="002060"/>
          <w:sz w:val="16"/>
          <w:szCs w:val="16"/>
        </w:rPr>
      </w:pPr>
    </w:p>
    <w:p w14:paraId="3AB195E6" w14:textId="77777777" w:rsidR="00831D7B" w:rsidRPr="00405303" w:rsidRDefault="00831D7B" w:rsidP="00C15251">
      <w:pPr>
        <w:pStyle w:val="2"/>
        <w:spacing w:before="0" w:after="0"/>
        <w:jc w:val="both"/>
        <w:rPr>
          <w:b w:val="0"/>
          <w:bCs/>
          <w:color w:val="002060"/>
          <w:sz w:val="16"/>
          <w:szCs w:val="16"/>
        </w:rPr>
      </w:pPr>
      <w:r w:rsidRPr="00405303">
        <w:rPr>
          <w:b w:val="0"/>
          <w:bCs/>
          <w:color w:val="002060"/>
          <w:sz w:val="16"/>
          <w:szCs w:val="16"/>
        </w:rPr>
        <w:t>В 1915 г. фронт получил с русских заводов 772 аэроплана, в 1916 г. — 1384 самолета и 1398 моторов. До общей потребности около 10 тысяч боевых машин в год было далеко, национальная авиапромышленность не могла выпустить такое количество авиатехники. Тем не менее к октябрю 1917 г. в военно-воздушном флоте России насчитывалось более 300 различных частей, учреждений и учебных заведений, около 1500 самолетов, до 35000 военнослужащих (15464).</w:t>
      </w:r>
    </w:p>
    <w:p w14:paraId="49D06BCD" w14:textId="77777777" w:rsidR="00831D7B" w:rsidRPr="00405303" w:rsidRDefault="00831D7B" w:rsidP="00C15251">
      <w:pPr>
        <w:pStyle w:val="2"/>
        <w:spacing w:before="0" w:after="0"/>
        <w:jc w:val="both"/>
        <w:rPr>
          <w:b w:val="0"/>
          <w:bCs/>
          <w:color w:val="002060"/>
          <w:sz w:val="16"/>
          <w:szCs w:val="16"/>
        </w:rPr>
      </w:pPr>
    </w:p>
    <w:p w14:paraId="6CC5A639" w14:textId="4A919614" w:rsidR="009949DC" w:rsidRPr="00405303" w:rsidRDefault="009949DC" w:rsidP="00C15251">
      <w:pPr>
        <w:pStyle w:val="ae"/>
        <w:shd w:val="clear" w:color="auto" w:fill="FFFFFF"/>
        <w:spacing w:before="0" w:beforeAutospacing="0" w:after="0" w:afterAutospacing="0"/>
        <w:jc w:val="both"/>
        <w:rPr>
          <w:bCs/>
          <w:color w:val="002060"/>
          <w:sz w:val="16"/>
          <w:szCs w:val="16"/>
        </w:rPr>
      </w:pPr>
      <w:bookmarkStart w:id="344" w:name="_Hlk98486782"/>
      <w:r w:rsidRPr="00405303">
        <w:rPr>
          <w:bCs/>
          <w:color w:val="002060"/>
          <w:sz w:val="16"/>
          <w:szCs w:val="16"/>
        </w:rPr>
        <w:t>Еще в 1915 г. встал вопрос о более существенном расширении предприятия, но имеющаяся территория в Петрограде этого не позволяла. Осенью того же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w:t>
      </w:r>
      <w:r w:rsidRPr="00405303">
        <w:rPr>
          <w:bCs/>
          <w:color w:val="002060"/>
          <w:sz w:val="16"/>
          <w:szCs w:val="16"/>
          <w:shd w:val="clear" w:color="auto" w:fill="FFFFFF"/>
        </w:rPr>
        <w:t>РГВИА. Ф. 369. Оп. 9. Д. 56</w:t>
      </w:r>
      <w:r w:rsidRPr="00405303">
        <w:rPr>
          <w:bCs/>
          <w:color w:val="002060"/>
          <w:sz w:val="16"/>
          <w:szCs w:val="16"/>
        </w:rPr>
        <w:t>).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w:t>
      </w:r>
      <w:r w:rsidRPr="00405303">
        <w:rPr>
          <w:bCs/>
          <w:color w:val="002060"/>
          <w:sz w:val="16"/>
          <w:szCs w:val="16"/>
          <w:vertAlign w:val="superscript"/>
        </w:rPr>
        <w:t>2</w:t>
      </w:r>
      <w:r w:rsidRPr="00405303">
        <w:rPr>
          <w:bCs/>
          <w:color w:val="002060"/>
          <w:sz w:val="16"/>
          <w:szCs w:val="16"/>
        </w:rPr>
        <w:t>. Экономический кризис 1917 г. не позволил полностью закончить строительство и особенно оборудование новых филиалов.</w:t>
      </w:r>
      <w:r w:rsidR="000F5756">
        <w:rPr>
          <w:bCs/>
          <w:color w:val="002060"/>
          <w:sz w:val="16"/>
          <w:szCs w:val="16"/>
        </w:rPr>
        <w:t xml:space="preserve"> </w:t>
      </w:r>
      <w:r w:rsidRPr="00405303">
        <w:rPr>
          <w:bCs/>
          <w:color w:val="002060"/>
          <w:sz w:val="16"/>
          <w:szCs w:val="16"/>
        </w:rPr>
        <w:t>Наиболее законченный из них, Таганрогский стал впоследствии основой крупнейшего авиационного завода им. Димитрова (21552).</w:t>
      </w:r>
    </w:p>
    <w:p w14:paraId="7586D84F" w14:textId="77777777" w:rsidR="009949DC" w:rsidRPr="00405303" w:rsidRDefault="009949DC" w:rsidP="00C15251">
      <w:pPr>
        <w:jc w:val="both"/>
        <w:rPr>
          <w:bCs/>
          <w:color w:val="002060"/>
          <w:sz w:val="16"/>
          <w:szCs w:val="16"/>
        </w:rPr>
      </w:pPr>
    </w:p>
    <w:bookmarkEnd w:id="344"/>
    <w:p w14:paraId="5BC469BE" w14:textId="16B0F364" w:rsidR="00506A3B" w:rsidRPr="00405303" w:rsidRDefault="00506A3B" w:rsidP="00C15251">
      <w:pPr>
        <w:jc w:val="both"/>
        <w:rPr>
          <w:bCs/>
          <w:color w:val="002060"/>
          <w:sz w:val="16"/>
          <w:szCs w:val="16"/>
        </w:rPr>
      </w:pPr>
      <w:r w:rsidRPr="00405303">
        <w:rPr>
          <w:bCs/>
          <w:color w:val="002060"/>
          <w:sz w:val="16"/>
          <w:szCs w:val="16"/>
        </w:rPr>
        <w:t xml:space="preserve">В 1915 году Пороховщиков сконструировал гусеничное шасси для своего самолёта «Би-Кок» </w:t>
      </w:r>
      <w:hyperlink r:id="rId80" w:history="1">
        <w:r w:rsidRPr="00405303">
          <w:rPr>
            <w:bCs/>
            <w:color w:val="002060"/>
            <w:sz w:val="16"/>
            <w:szCs w:val="16"/>
          </w:rPr>
          <w:t>[201]</w:t>
        </w:r>
      </w:hyperlink>
      <w:r w:rsidRPr="00405303">
        <w:rPr>
          <w:bCs/>
          <w:color w:val="002060"/>
          <w:sz w:val="16"/>
          <w:szCs w:val="16"/>
        </w:rPr>
        <w:t xml:space="preserve"> . Это была брезентовая лента, натянутая на семь установленных в ряд барабанов: два крайних диаметром 20</w:t>
      </w:r>
      <w:r w:rsidR="00DB4D64" w:rsidRPr="00405303">
        <w:rPr>
          <w:bCs/>
          <w:color w:val="002060"/>
          <w:sz w:val="16"/>
          <w:szCs w:val="16"/>
        </w:rPr>
        <w:t xml:space="preserve"> </w:t>
      </w:r>
      <w:r w:rsidRPr="00405303">
        <w:rPr>
          <w:bCs/>
          <w:color w:val="002060"/>
          <w:sz w:val="16"/>
          <w:szCs w:val="16"/>
        </w:rPr>
        <w:t>см и пять малых промежуточных, закреплённых в общей раме. Гусеницы поставили взамен самолётных колёс (возможно, впервые в мире), чтобы сделать самолёт всесезонным. Они были испытаны, но из-за недостатков применения не нашли. Судя по описанию, авиагусеницы Пороховщикова имели много общего с гусеницами «Вездехода» (17489).</w:t>
      </w:r>
    </w:p>
    <w:p w14:paraId="191988CD" w14:textId="77777777" w:rsidR="00506A3B" w:rsidRPr="00405303" w:rsidRDefault="00506A3B" w:rsidP="00C15251">
      <w:pPr>
        <w:jc w:val="both"/>
        <w:rPr>
          <w:bCs/>
          <w:color w:val="002060"/>
          <w:sz w:val="16"/>
          <w:szCs w:val="16"/>
        </w:rPr>
      </w:pPr>
    </w:p>
    <w:p w14:paraId="3BC20B89" w14:textId="539536F8" w:rsidR="009608BD" w:rsidRPr="00405303" w:rsidRDefault="009608BD" w:rsidP="00C15251">
      <w:pPr>
        <w:jc w:val="both"/>
        <w:rPr>
          <w:bCs/>
          <w:color w:val="002060"/>
          <w:sz w:val="16"/>
          <w:szCs w:val="16"/>
        </w:rPr>
      </w:pPr>
      <w:r w:rsidRPr="00405303">
        <w:rPr>
          <w:bCs/>
          <w:color w:val="002060"/>
          <w:sz w:val="16"/>
          <w:szCs w:val="16"/>
          <w:shd w:val="clear" w:color="auto" w:fill="FFFFFF"/>
        </w:rPr>
        <w:t xml:space="preserve">В 1915 г. движитель в виде брезентовой гусеницы, натянутой на семь деревянных барабанов </w:t>
      </w:r>
      <w:proofErr w:type="gramStart"/>
      <w:r w:rsidRPr="00405303">
        <w:rPr>
          <w:bCs/>
          <w:color w:val="002060"/>
          <w:sz w:val="16"/>
          <w:szCs w:val="16"/>
          <w:shd w:val="clear" w:color="auto" w:fill="FFFFFF"/>
        </w:rPr>
        <w:t>от «Вездехода»</w:t>
      </w:r>
      <w:proofErr w:type="gramEnd"/>
      <w:r w:rsidRPr="00405303">
        <w:rPr>
          <w:bCs/>
          <w:color w:val="002060"/>
          <w:sz w:val="16"/>
          <w:szCs w:val="16"/>
          <w:shd w:val="clear" w:color="auto" w:fill="FFFFFF"/>
        </w:rPr>
        <w:t xml:space="preserve"> Пороховщиков пытался приспособить на свой «Би-Кок» (20250).</w:t>
      </w:r>
      <w:r w:rsidR="00DB4D64" w:rsidRPr="00405303">
        <w:rPr>
          <w:bCs/>
          <w:color w:val="002060"/>
          <w:sz w:val="16"/>
          <w:szCs w:val="16"/>
          <w:shd w:val="clear" w:color="auto" w:fill="FFFFFF"/>
        </w:rPr>
        <w:t xml:space="preserve"> </w:t>
      </w:r>
    </w:p>
    <w:p w14:paraId="1E416B53" w14:textId="77777777" w:rsidR="009608BD" w:rsidRPr="00405303" w:rsidRDefault="009608BD" w:rsidP="00C15251">
      <w:pPr>
        <w:jc w:val="both"/>
        <w:rPr>
          <w:bCs/>
          <w:color w:val="002060"/>
          <w:sz w:val="16"/>
          <w:szCs w:val="16"/>
        </w:rPr>
      </w:pPr>
    </w:p>
    <w:p w14:paraId="70C3D4B9" w14:textId="77777777" w:rsidR="00FB79CF" w:rsidRPr="00405303" w:rsidRDefault="00FB79CF" w:rsidP="00C15251">
      <w:pPr>
        <w:jc w:val="both"/>
        <w:rPr>
          <w:bCs/>
          <w:color w:val="002060"/>
          <w:sz w:val="16"/>
          <w:szCs w:val="16"/>
        </w:rPr>
      </w:pPr>
      <w:r w:rsidRPr="00405303">
        <w:rPr>
          <w:bCs/>
          <w:color w:val="002060"/>
          <w:sz w:val="16"/>
          <w:szCs w:val="16"/>
        </w:rPr>
        <w:t>В 1915 г. по первому опыту боевого применения самолетов «Илья Муромец» тип В Главным инженером РБВЗ И.И. Сикорским на базе Эскадры Воздушных Кораблей (ЭВК) Императорского Воздушного Флота России (ИВФ) в Яблоне и на своем предприятии были спроектированы модификации самолета «Илья Муромец» типа Г со стандартными и типа Д с уменьшенными размерами для перевозки на стандартных (коротких двухосных) железнодорожных платформах.</w:t>
      </w:r>
    </w:p>
    <w:p w14:paraId="23C4A0CA" w14:textId="77777777" w:rsidR="00FB79CF" w:rsidRPr="00405303" w:rsidRDefault="00FB79CF" w:rsidP="00C15251">
      <w:pPr>
        <w:jc w:val="both"/>
        <w:rPr>
          <w:bCs/>
          <w:color w:val="002060"/>
          <w:sz w:val="16"/>
          <w:szCs w:val="16"/>
        </w:rPr>
      </w:pPr>
      <w:r w:rsidRPr="00405303">
        <w:rPr>
          <w:bCs/>
          <w:color w:val="002060"/>
          <w:sz w:val="16"/>
          <w:szCs w:val="16"/>
        </w:rPr>
        <w:t>Модификация тип Д проектировалась как дальнейшее развитие разрабатываемого одновременно самолета типа Г (формально за основу брался ее первый вариант Г-1) сразу в трех вариантах ДИМ-1, ДИМ-2 и ДИМ-3 (см. ниже) для выбора лучшего.</w:t>
      </w:r>
    </w:p>
    <w:p w14:paraId="4959284B" w14:textId="77777777" w:rsidR="00FB79CF" w:rsidRPr="00405303" w:rsidRDefault="00FB79CF" w:rsidP="00C15251">
      <w:pPr>
        <w:jc w:val="both"/>
        <w:rPr>
          <w:bCs/>
          <w:color w:val="002060"/>
          <w:sz w:val="16"/>
          <w:szCs w:val="16"/>
        </w:rPr>
      </w:pPr>
      <w:r w:rsidRPr="00405303">
        <w:rPr>
          <w:bCs/>
          <w:color w:val="002060"/>
          <w:sz w:val="16"/>
          <w:szCs w:val="16"/>
        </w:rPr>
        <w:t>Среди прочих требований, которые были выставлены к этой модификации, была возможность, для чего:</w:t>
      </w:r>
    </w:p>
    <w:p w14:paraId="7C6BA6F3" w14:textId="77777777" w:rsidR="00FB79CF" w:rsidRPr="00405303" w:rsidRDefault="00FB79CF" w:rsidP="00C15251">
      <w:pPr>
        <w:jc w:val="both"/>
        <w:rPr>
          <w:bCs/>
          <w:color w:val="002060"/>
          <w:sz w:val="16"/>
          <w:szCs w:val="16"/>
        </w:rPr>
      </w:pPr>
      <w:r w:rsidRPr="00405303">
        <w:rPr>
          <w:bCs/>
          <w:color w:val="002060"/>
          <w:sz w:val="16"/>
          <w:szCs w:val="16"/>
        </w:rPr>
        <w:t>- улучшена аэродинамика;</w:t>
      </w:r>
    </w:p>
    <w:p w14:paraId="48F0B316" w14:textId="77777777" w:rsidR="00FB79CF" w:rsidRPr="00405303" w:rsidRDefault="00FB79CF" w:rsidP="00C15251">
      <w:pPr>
        <w:jc w:val="both"/>
        <w:rPr>
          <w:bCs/>
          <w:color w:val="002060"/>
          <w:sz w:val="16"/>
          <w:szCs w:val="16"/>
        </w:rPr>
      </w:pPr>
      <w:r w:rsidRPr="00405303">
        <w:rPr>
          <w:bCs/>
          <w:color w:val="002060"/>
          <w:sz w:val="16"/>
          <w:szCs w:val="16"/>
        </w:rPr>
        <w:t>- предприняты меры по уменьшению габаритов самолета;</w:t>
      </w:r>
    </w:p>
    <w:p w14:paraId="551321BE" w14:textId="77777777" w:rsidR="00FB79CF" w:rsidRPr="00405303" w:rsidRDefault="00FB79CF" w:rsidP="00C15251">
      <w:pPr>
        <w:jc w:val="both"/>
        <w:rPr>
          <w:bCs/>
          <w:color w:val="002060"/>
          <w:sz w:val="16"/>
          <w:szCs w:val="16"/>
        </w:rPr>
      </w:pPr>
      <w:r w:rsidRPr="00405303">
        <w:rPr>
          <w:bCs/>
          <w:color w:val="002060"/>
          <w:sz w:val="16"/>
          <w:szCs w:val="16"/>
        </w:rPr>
        <w:t>- предусмотрена замена ставших дефицитными моторов «Аргус» другими с возможностью повышения мощности силовой установки;</w:t>
      </w:r>
    </w:p>
    <w:p w14:paraId="5A024C31" w14:textId="77777777" w:rsidR="00FB79CF" w:rsidRPr="00405303" w:rsidRDefault="00FB79CF" w:rsidP="00C15251">
      <w:pPr>
        <w:jc w:val="both"/>
        <w:rPr>
          <w:bCs/>
          <w:color w:val="002060"/>
          <w:sz w:val="16"/>
          <w:szCs w:val="16"/>
        </w:rPr>
      </w:pPr>
      <w:r w:rsidRPr="00405303">
        <w:rPr>
          <w:bCs/>
          <w:color w:val="002060"/>
          <w:sz w:val="16"/>
          <w:szCs w:val="16"/>
        </w:rPr>
        <w:t>- изменена компоновка фюзеляжа и, прежде всего кабины летчика для улучшения удобства и расширения полей обзора;</w:t>
      </w:r>
    </w:p>
    <w:p w14:paraId="2531C94C" w14:textId="77777777" w:rsidR="00FB79CF" w:rsidRPr="00405303" w:rsidRDefault="00FB79CF" w:rsidP="00C15251">
      <w:pPr>
        <w:jc w:val="both"/>
        <w:rPr>
          <w:bCs/>
          <w:color w:val="002060"/>
          <w:sz w:val="16"/>
          <w:szCs w:val="16"/>
        </w:rPr>
      </w:pPr>
      <w:r w:rsidRPr="00405303">
        <w:rPr>
          <w:bCs/>
          <w:color w:val="002060"/>
          <w:sz w:val="16"/>
          <w:szCs w:val="16"/>
        </w:rPr>
        <w:t>- в конструкции крыльев и фюзеляжа были изменены существующие и введены дополнительные эксплуатационные разъемы – он расстыковывается на головную, среднюю и хвостовую части (по др. данным головная и средняя части собираются отдельно, однако потом образуют единый агрегат, а отстыковывается только хвостовая часть.</w:t>
      </w:r>
    </w:p>
    <w:p w14:paraId="020425C1" w14:textId="77777777" w:rsidR="00FB79CF" w:rsidRPr="00405303" w:rsidRDefault="00FB79CF" w:rsidP="00C15251">
      <w:pPr>
        <w:jc w:val="both"/>
        <w:rPr>
          <w:bCs/>
          <w:color w:val="002060"/>
          <w:sz w:val="16"/>
          <w:szCs w:val="16"/>
        </w:rPr>
      </w:pPr>
      <w:r w:rsidRPr="00405303">
        <w:rPr>
          <w:bCs/>
          <w:color w:val="002060"/>
          <w:sz w:val="16"/>
          <w:szCs w:val="16"/>
        </w:rPr>
        <w:t>Проект был выполнен в трех вариантах:</w:t>
      </w:r>
    </w:p>
    <w:p w14:paraId="742918FA" w14:textId="77777777" w:rsidR="00FB79CF" w:rsidRPr="00405303" w:rsidRDefault="00FB79CF" w:rsidP="00C15251">
      <w:pPr>
        <w:jc w:val="both"/>
        <w:rPr>
          <w:bCs/>
          <w:color w:val="002060"/>
          <w:sz w:val="16"/>
          <w:szCs w:val="16"/>
        </w:rPr>
      </w:pPr>
      <w:r w:rsidRPr="00405303">
        <w:rPr>
          <w:bCs/>
          <w:color w:val="002060"/>
          <w:sz w:val="16"/>
          <w:szCs w:val="16"/>
        </w:rPr>
        <w:t>«Илья Муромец» типа Д-1 (ДИМ-1) проект, стратегический разведчик и тяжелый бомбардировщик.</w:t>
      </w:r>
    </w:p>
    <w:p w14:paraId="67B0340B" w14:textId="77777777" w:rsidR="00FB79CF" w:rsidRPr="00405303" w:rsidRDefault="00FB79CF" w:rsidP="00C15251">
      <w:pPr>
        <w:jc w:val="both"/>
        <w:rPr>
          <w:bCs/>
          <w:color w:val="002060"/>
          <w:sz w:val="16"/>
          <w:szCs w:val="16"/>
        </w:rPr>
      </w:pPr>
      <w:r w:rsidRPr="00405303">
        <w:rPr>
          <w:bCs/>
          <w:color w:val="002060"/>
          <w:sz w:val="16"/>
          <w:szCs w:val="16"/>
        </w:rPr>
        <w:t>В этом варианте типа Д введены следующие изменения по отношению к типовой конструкции и комплектации самолетов типа Г-1:</w:t>
      </w:r>
    </w:p>
    <w:p w14:paraId="6DC97943" w14:textId="77777777" w:rsidR="00FB79CF" w:rsidRPr="00405303" w:rsidRDefault="00FB79CF" w:rsidP="00C15251">
      <w:pPr>
        <w:jc w:val="both"/>
        <w:rPr>
          <w:bCs/>
          <w:color w:val="002060"/>
          <w:sz w:val="16"/>
          <w:szCs w:val="16"/>
        </w:rPr>
      </w:pPr>
      <w:r w:rsidRPr="00405303">
        <w:rPr>
          <w:bCs/>
          <w:color w:val="002060"/>
          <w:sz w:val="16"/>
          <w:szCs w:val="16"/>
        </w:rPr>
        <w:t>- четыре двигателя Санбим «Крусейдер» (по 160 л.с.) установлены на нижнем крыле попарно друг за другом – передние с тянущими воздушными винтами, задние – с толкающими;</w:t>
      </w:r>
    </w:p>
    <w:p w14:paraId="653DF56D" w14:textId="77777777" w:rsidR="00FB79CF" w:rsidRPr="00405303" w:rsidRDefault="00FB79CF" w:rsidP="00C15251">
      <w:pPr>
        <w:jc w:val="both"/>
        <w:rPr>
          <w:bCs/>
          <w:color w:val="002060"/>
          <w:sz w:val="16"/>
          <w:szCs w:val="16"/>
        </w:rPr>
      </w:pPr>
      <w:r w:rsidRPr="00405303">
        <w:rPr>
          <w:bCs/>
          <w:color w:val="002060"/>
          <w:sz w:val="16"/>
          <w:szCs w:val="16"/>
        </w:rPr>
        <w:t>- сделан новый плоский 3-секционный бензобак с обтекателем над фюзеляжем (по др. данным – он был призматической формы и установлен внутри фюзеляжа);</w:t>
      </w:r>
    </w:p>
    <w:p w14:paraId="14FD3AA1" w14:textId="77777777" w:rsidR="00FB79CF" w:rsidRPr="00405303" w:rsidRDefault="00FB79CF" w:rsidP="00C15251">
      <w:pPr>
        <w:jc w:val="both"/>
        <w:rPr>
          <w:bCs/>
          <w:color w:val="002060"/>
          <w:sz w:val="16"/>
          <w:szCs w:val="16"/>
        </w:rPr>
      </w:pPr>
      <w:r w:rsidRPr="00405303">
        <w:rPr>
          <w:bCs/>
          <w:color w:val="002060"/>
          <w:sz w:val="16"/>
          <w:szCs w:val="16"/>
        </w:rPr>
        <w:t>- система охлаждения с одним радиатором в виде плоского прямоугольного пакета трубок на каждый мотор, которые установлены по бокам моторов справа и слева от них по потоку;</w:t>
      </w:r>
    </w:p>
    <w:p w14:paraId="51BEF8C5" w14:textId="77777777" w:rsidR="00FB79CF" w:rsidRPr="00405303" w:rsidRDefault="00FB79CF" w:rsidP="00C15251">
      <w:pPr>
        <w:jc w:val="both"/>
        <w:rPr>
          <w:bCs/>
          <w:color w:val="002060"/>
          <w:sz w:val="16"/>
          <w:szCs w:val="16"/>
        </w:rPr>
      </w:pPr>
      <w:r w:rsidRPr="00405303">
        <w:rPr>
          <w:bCs/>
          <w:color w:val="002060"/>
          <w:sz w:val="16"/>
          <w:szCs w:val="16"/>
        </w:rPr>
        <w:t>- размах крыльев уменьшен, для чего сделаны полностью новые «короткие» крылья;</w:t>
      </w:r>
    </w:p>
    <w:p w14:paraId="265A85F2" w14:textId="77777777" w:rsidR="00FB79CF" w:rsidRPr="00405303" w:rsidRDefault="00FB79CF" w:rsidP="00C15251">
      <w:pPr>
        <w:jc w:val="both"/>
        <w:rPr>
          <w:bCs/>
          <w:color w:val="002060"/>
          <w:sz w:val="16"/>
          <w:szCs w:val="16"/>
        </w:rPr>
      </w:pPr>
      <w:r w:rsidRPr="00405303">
        <w:rPr>
          <w:bCs/>
          <w:color w:val="002060"/>
          <w:sz w:val="16"/>
          <w:szCs w:val="16"/>
        </w:rPr>
        <w:t>- введены эксплуатационные разъемы, позволявшие быстро отстыковать внешние части крыльев за моторами;</w:t>
      </w:r>
    </w:p>
    <w:p w14:paraId="79D1495C" w14:textId="77777777" w:rsidR="00FB79CF" w:rsidRPr="00405303" w:rsidRDefault="00FB79CF" w:rsidP="00C15251">
      <w:pPr>
        <w:jc w:val="both"/>
        <w:rPr>
          <w:bCs/>
          <w:color w:val="002060"/>
          <w:sz w:val="16"/>
          <w:szCs w:val="16"/>
        </w:rPr>
      </w:pPr>
      <w:r w:rsidRPr="00405303">
        <w:rPr>
          <w:bCs/>
          <w:color w:val="002060"/>
          <w:sz w:val="16"/>
          <w:szCs w:val="16"/>
        </w:rPr>
        <w:t>- сделаны полностью новые носовая и средняя части фюзеляжа с увеличенной высотой;</w:t>
      </w:r>
    </w:p>
    <w:p w14:paraId="6CF85451" w14:textId="77777777" w:rsidR="00FB79CF" w:rsidRPr="00405303" w:rsidRDefault="00FB79CF" w:rsidP="00C15251">
      <w:pPr>
        <w:jc w:val="both"/>
        <w:rPr>
          <w:bCs/>
          <w:color w:val="002060"/>
          <w:sz w:val="16"/>
          <w:szCs w:val="16"/>
        </w:rPr>
      </w:pPr>
      <w:r w:rsidRPr="00405303">
        <w:rPr>
          <w:bCs/>
          <w:color w:val="002060"/>
          <w:sz w:val="16"/>
          <w:szCs w:val="16"/>
        </w:rPr>
        <w:t>- кабина летчика полностью остекленная – новой конструкции, которая была только на этом самолете;</w:t>
      </w:r>
    </w:p>
    <w:p w14:paraId="0DC7980C" w14:textId="77777777" w:rsidR="00FB79CF" w:rsidRPr="00405303" w:rsidRDefault="00FB79CF" w:rsidP="00C15251">
      <w:pPr>
        <w:jc w:val="both"/>
        <w:rPr>
          <w:bCs/>
          <w:color w:val="002060"/>
          <w:sz w:val="16"/>
          <w:szCs w:val="16"/>
        </w:rPr>
      </w:pPr>
      <w:r w:rsidRPr="00405303">
        <w:rPr>
          <w:bCs/>
          <w:color w:val="002060"/>
          <w:sz w:val="16"/>
          <w:szCs w:val="16"/>
        </w:rPr>
        <w:t>- изменена компоновка кабины – место летчика сдвинуто влево;</w:t>
      </w:r>
    </w:p>
    <w:p w14:paraId="3D20B823" w14:textId="77777777" w:rsidR="00FB79CF" w:rsidRPr="00405303" w:rsidRDefault="00FB79CF" w:rsidP="00C15251">
      <w:pPr>
        <w:jc w:val="both"/>
        <w:rPr>
          <w:bCs/>
          <w:color w:val="002060"/>
          <w:sz w:val="16"/>
          <w:szCs w:val="16"/>
        </w:rPr>
      </w:pPr>
      <w:r w:rsidRPr="00405303">
        <w:rPr>
          <w:bCs/>
          <w:color w:val="002060"/>
          <w:sz w:val="16"/>
          <w:szCs w:val="16"/>
        </w:rPr>
        <w:t>- впервые в мире введены эксплуатационные разъемы для расстыковки фюзеляжа;</w:t>
      </w:r>
    </w:p>
    <w:p w14:paraId="2B44DDE6" w14:textId="77777777" w:rsidR="00FB79CF" w:rsidRPr="00405303" w:rsidRDefault="00FB79CF" w:rsidP="00C15251">
      <w:pPr>
        <w:jc w:val="both"/>
        <w:rPr>
          <w:bCs/>
          <w:color w:val="002060"/>
          <w:sz w:val="16"/>
          <w:szCs w:val="16"/>
        </w:rPr>
      </w:pPr>
      <w:r w:rsidRPr="00405303">
        <w:rPr>
          <w:bCs/>
          <w:color w:val="002060"/>
          <w:sz w:val="16"/>
          <w:szCs w:val="16"/>
        </w:rPr>
        <w:t>- вертикальное оперение из одного цельноповоротного РН с роговым компенсатором, его площадь по сравнению с центральной плоскостью ВО самолета ИМ Г-1 увеличена, верхняя, задняя и нижняя кромки сделаны криволинейными;</w:t>
      </w:r>
    </w:p>
    <w:p w14:paraId="0C018977" w14:textId="77777777" w:rsidR="00FB79CF" w:rsidRPr="00405303" w:rsidRDefault="00FB79CF" w:rsidP="00C15251">
      <w:pPr>
        <w:jc w:val="both"/>
        <w:rPr>
          <w:bCs/>
          <w:color w:val="002060"/>
          <w:sz w:val="16"/>
          <w:szCs w:val="16"/>
        </w:rPr>
      </w:pPr>
      <w:r w:rsidRPr="00405303">
        <w:rPr>
          <w:bCs/>
          <w:color w:val="002060"/>
          <w:sz w:val="16"/>
          <w:szCs w:val="16"/>
        </w:rPr>
        <w:t>- сделано новое шасси с основными опорами под мотоустановками без растяжек и подкосов под фюзеляжем и с новой костыльной опорой;</w:t>
      </w:r>
    </w:p>
    <w:p w14:paraId="32034398" w14:textId="77777777" w:rsidR="00FB79CF" w:rsidRPr="00405303" w:rsidRDefault="00FB79CF" w:rsidP="00C15251">
      <w:pPr>
        <w:jc w:val="both"/>
        <w:rPr>
          <w:bCs/>
          <w:color w:val="002060"/>
          <w:sz w:val="16"/>
          <w:szCs w:val="16"/>
        </w:rPr>
      </w:pPr>
      <w:r w:rsidRPr="00405303">
        <w:rPr>
          <w:bCs/>
          <w:color w:val="002060"/>
          <w:sz w:val="16"/>
          <w:szCs w:val="16"/>
        </w:rPr>
        <w:t>- верхняя пулеметная установка в конце высокой средней части фюзеляжа стала более комфортной, но сектор ее обстрела резко сузился (предполагалась новая носовая установка, хвостовой установки не было);</w:t>
      </w:r>
    </w:p>
    <w:p w14:paraId="4244DBE3" w14:textId="77777777" w:rsidR="00FB79CF" w:rsidRPr="00405303" w:rsidRDefault="00FB79CF" w:rsidP="00C15251">
      <w:pPr>
        <w:jc w:val="both"/>
        <w:rPr>
          <w:bCs/>
          <w:color w:val="002060"/>
          <w:sz w:val="16"/>
          <w:szCs w:val="16"/>
        </w:rPr>
      </w:pPr>
      <w:r w:rsidRPr="00405303">
        <w:rPr>
          <w:bCs/>
          <w:color w:val="002060"/>
          <w:sz w:val="16"/>
          <w:szCs w:val="16"/>
        </w:rPr>
        <w:t>- вместо рамы управления установлена штурвальная колонка в канале РВ элеронов и боковые рычаги с секторами в канале элеронов;</w:t>
      </w:r>
    </w:p>
    <w:p w14:paraId="66B459BF" w14:textId="77777777" w:rsidR="00FB79CF" w:rsidRPr="00405303" w:rsidRDefault="00FB79CF" w:rsidP="00C15251">
      <w:pPr>
        <w:jc w:val="both"/>
        <w:rPr>
          <w:bCs/>
          <w:color w:val="002060"/>
          <w:sz w:val="16"/>
          <w:szCs w:val="16"/>
        </w:rPr>
      </w:pPr>
      <w:r w:rsidRPr="00405303">
        <w:rPr>
          <w:bCs/>
          <w:color w:val="002060"/>
          <w:sz w:val="16"/>
          <w:szCs w:val="16"/>
        </w:rPr>
        <w:lastRenderedPageBreak/>
        <w:t>- проводка управления полностью новая;</w:t>
      </w:r>
    </w:p>
    <w:p w14:paraId="2FE3DCC3" w14:textId="77777777" w:rsidR="00FB79CF" w:rsidRPr="00405303" w:rsidRDefault="00FB79CF" w:rsidP="00C15251">
      <w:pPr>
        <w:jc w:val="both"/>
        <w:rPr>
          <w:bCs/>
          <w:color w:val="002060"/>
          <w:sz w:val="16"/>
          <w:szCs w:val="16"/>
        </w:rPr>
      </w:pPr>
      <w:r w:rsidRPr="00405303">
        <w:rPr>
          <w:bCs/>
          <w:color w:val="002060"/>
          <w:sz w:val="16"/>
          <w:szCs w:val="16"/>
        </w:rPr>
        <w:t>- все пулеметные установки полностью новые.</w:t>
      </w:r>
    </w:p>
    <w:p w14:paraId="5398FFA7" w14:textId="77777777" w:rsidR="00FB79CF" w:rsidRPr="00405303" w:rsidRDefault="00FB79CF" w:rsidP="00C15251">
      <w:pPr>
        <w:jc w:val="both"/>
        <w:rPr>
          <w:bCs/>
          <w:color w:val="002060"/>
          <w:sz w:val="16"/>
          <w:szCs w:val="16"/>
        </w:rPr>
      </w:pPr>
      <w:r w:rsidRPr="00405303">
        <w:rPr>
          <w:bCs/>
          <w:color w:val="002060"/>
          <w:sz w:val="16"/>
          <w:szCs w:val="16"/>
        </w:rPr>
        <w:t>«Илья Муромец» типа Д-2 (ДИМ-2) проект, стратегический разведчик и тяжелый бомбардировщик.</w:t>
      </w:r>
    </w:p>
    <w:p w14:paraId="2F948934" w14:textId="77777777" w:rsidR="00FB79CF" w:rsidRPr="00405303" w:rsidRDefault="00FB79CF" w:rsidP="00C15251">
      <w:pPr>
        <w:jc w:val="both"/>
        <w:rPr>
          <w:bCs/>
          <w:color w:val="002060"/>
          <w:sz w:val="16"/>
          <w:szCs w:val="16"/>
        </w:rPr>
      </w:pPr>
      <w:r w:rsidRPr="00405303">
        <w:rPr>
          <w:bCs/>
          <w:color w:val="002060"/>
          <w:sz w:val="16"/>
          <w:szCs w:val="16"/>
        </w:rPr>
        <w:t>По отношению к конструкции и комплектации самолета ДИМ-1 были введены дальнейшие отличия:</w:t>
      </w:r>
    </w:p>
    <w:p w14:paraId="70605A11" w14:textId="77777777" w:rsidR="00FB79CF" w:rsidRPr="00405303" w:rsidRDefault="00FB79CF" w:rsidP="00C15251">
      <w:pPr>
        <w:jc w:val="both"/>
        <w:rPr>
          <w:bCs/>
          <w:color w:val="002060"/>
          <w:sz w:val="16"/>
          <w:szCs w:val="16"/>
        </w:rPr>
      </w:pPr>
      <w:r w:rsidRPr="00405303">
        <w:rPr>
          <w:bCs/>
          <w:color w:val="002060"/>
          <w:sz w:val="16"/>
          <w:szCs w:val="16"/>
        </w:rPr>
        <w:t>- все четыре двигателя Санбим «Крусейдер» по 160 л.с. расположены на нижнем крыле в ряд с тянущими воздушными винтами;</w:t>
      </w:r>
    </w:p>
    <w:p w14:paraId="3B6C37A3" w14:textId="77777777" w:rsidR="00FB79CF" w:rsidRPr="00405303" w:rsidRDefault="00FB79CF" w:rsidP="00C15251">
      <w:pPr>
        <w:jc w:val="both"/>
        <w:rPr>
          <w:bCs/>
          <w:color w:val="002060"/>
          <w:sz w:val="16"/>
          <w:szCs w:val="16"/>
        </w:rPr>
      </w:pPr>
      <w:r w:rsidRPr="00405303">
        <w:rPr>
          <w:bCs/>
          <w:color w:val="002060"/>
          <w:sz w:val="16"/>
          <w:szCs w:val="16"/>
        </w:rPr>
        <w:t>- размах крыльев увеличен;</w:t>
      </w:r>
    </w:p>
    <w:p w14:paraId="419F2CA0" w14:textId="77777777" w:rsidR="00FB79CF" w:rsidRPr="00405303" w:rsidRDefault="00FB79CF" w:rsidP="00C15251">
      <w:pPr>
        <w:jc w:val="both"/>
        <w:rPr>
          <w:bCs/>
          <w:color w:val="002060"/>
          <w:sz w:val="16"/>
          <w:szCs w:val="16"/>
        </w:rPr>
      </w:pPr>
      <w:r w:rsidRPr="00405303">
        <w:rPr>
          <w:bCs/>
          <w:color w:val="002060"/>
          <w:sz w:val="16"/>
          <w:szCs w:val="16"/>
        </w:rPr>
        <w:t>- ферма фюзеляжа удлинена на одну клетку.</w:t>
      </w:r>
    </w:p>
    <w:p w14:paraId="127FC9C0" w14:textId="77777777" w:rsidR="00FB79CF" w:rsidRPr="00405303" w:rsidRDefault="00FB79CF" w:rsidP="00C15251">
      <w:pPr>
        <w:jc w:val="both"/>
        <w:rPr>
          <w:bCs/>
          <w:color w:val="002060"/>
          <w:sz w:val="16"/>
          <w:szCs w:val="16"/>
        </w:rPr>
      </w:pPr>
      <w:r w:rsidRPr="00405303">
        <w:rPr>
          <w:bCs/>
          <w:color w:val="002060"/>
          <w:sz w:val="16"/>
          <w:szCs w:val="16"/>
        </w:rPr>
        <w:t>По данным В. Шаврова построен, но более поздние исследования М. Хайрулина этого не подтверждают.</w:t>
      </w:r>
    </w:p>
    <w:p w14:paraId="4B6B7323" w14:textId="77777777" w:rsidR="00FB79CF" w:rsidRPr="00405303" w:rsidRDefault="00FB79CF" w:rsidP="00C15251">
      <w:pPr>
        <w:jc w:val="both"/>
        <w:rPr>
          <w:bCs/>
          <w:color w:val="002060"/>
          <w:sz w:val="16"/>
          <w:szCs w:val="16"/>
        </w:rPr>
      </w:pPr>
      <w:r w:rsidRPr="00405303">
        <w:rPr>
          <w:bCs/>
          <w:color w:val="002060"/>
          <w:sz w:val="16"/>
          <w:szCs w:val="16"/>
        </w:rPr>
        <w:t>Летные данные самолета улучшились, но дальнейшее производство самолета не возобновлялось. Прогрессивные нововведения, опробованные на ДИМ, были внедрены на самолетах ИМ Г-3.</w:t>
      </w:r>
    </w:p>
    <w:p w14:paraId="742CDBE1" w14:textId="77777777" w:rsidR="00FB79CF" w:rsidRPr="00405303" w:rsidRDefault="00FB79CF" w:rsidP="00C15251">
      <w:pPr>
        <w:jc w:val="both"/>
        <w:rPr>
          <w:bCs/>
          <w:color w:val="002060"/>
          <w:sz w:val="16"/>
          <w:szCs w:val="16"/>
        </w:rPr>
      </w:pPr>
      <w:r w:rsidRPr="00405303">
        <w:rPr>
          <w:bCs/>
          <w:color w:val="002060"/>
          <w:sz w:val="16"/>
          <w:szCs w:val="16"/>
        </w:rPr>
        <w:t>По конструкции и комплектации соответствовал самолету ДИМ-1 с «короткими» крыльями и такой же силовой установкой, но с дальнейшими отличиями:</w:t>
      </w:r>
    </w:p>
    <w:p w14:paraId="77FC4297" w14:textId="77777777" w:rsidR="00FB79CF" w:rsidRPr="00405303" w:rsidRDefault="00FB79CF" w:rsidP="00C15251">
      <w:pPr>
        <w:jc w:val="both"/>
        <w:rPr>
          <w:bCs/>
          <w:color w:val="002060"/>
          <w:sz w:val="16"/>
          <w:szCs w:val="16"/>
        </w:rPr>
      </w:pPr>
      <w:r w:rsidRPr="00405303">
        <w:rPr>
          <w:bCs/>
          <w:color w:val="002060"/>
          <w:sz w:val="16"/>
          <w:szCs w:val="16"/>
        </w:rPr>
        <w:t>- кабина летчика полностью остеклена, могут открываться два двустворчатых окна и форточка;</w:t>
      </w:r>
    </w:p>
    <w:p w14:paraId="2393A4CD" w14:textId="77777777" w:rsidR="00FB79CF" w:rsidRPr="00405303" w:rsidRDefault="00FB79CF" w:rsidP="00C15251">
      <w:pPr>
        <w:jc w:val="both"/>
        <w:rPr>
          <w:bCs/>
          <w:color w:val="002060"/>
          <w:sz w:val="16"/>
          <w:szCs w:val="16"/>
        </w:rPr>
      </w:pPr>
      <w:r w:rsidRPr="00405303">
        <w:rPr>
          <w:bCs/>
          <w:color w:val="002060"/>
          <w:sz w:val="16"/>
          <w:szCs w:val="16"/>
        </w:rPr>
        <w:t>- в головной части сделаны два люка для выхода на крылья;</w:t>
      </w:r>
    </w:p>
    <w:p w14:paraId="72260F62" w14:textId="77777777" w:rsidR="00FB79CF" w:rsidRPr="00405303" w:rsidRDefault="00FB79CF" w:rsidP="00C15251">
      <w:pPr>
        <w:jc w:val="both"/>
        <w:rPr>
          <w:bCs/>
          <w:color w:val="002060"/>
          <w:sz w:val="16"/>
          <w:szCs w:val="16"/>
        </w:rPr>
      </w:pPr>
      <w:r w:rsidRPr="00405303">
        <w:rPr>
          <w:bCs/>
          <w:color w:val="002060"/>
          <w:sz w:val="16"/>
          <w:szCs w:val="16"/>
        </w:rPr>
        <w:t>- хвостовое оперение бипланного типа полностью новое, см. ниже;</w:t>
      </w:r>
    </w:p>
    <w:p w14:paraId="3929044F" w14:textId="77777777" w:rsidR="00FB79CF" w:rsidRPr="00405303" w:rsidRDefault="00FB79CF" w:rsidP="00C15251">
      <w:pPr>
        <w:jc w:val="both"/>
        <w:rPr>
          <w:bCs/>
          <w:color w:val="002060"/>
          <w:sz w:val="16"/>
          <w:szCs w:val="16"/>
        </w:rPr>
      </w:pPr>
      <w:r w:rsidRPr="00405303">
        <w:rPr>
          <w:bCs/>
          <w:color w:val="002060"/>
          <w:sz w:val="16"/>
          <w:szCs w:val="16"/>
        </w:rPr>
        <w:t>- ООШ состоят из 16 вертикальных и наклонных стоек, 4 горизонтальных траверс, 2 лыж и 4 колес;</w:t>
      </w:r>
    </w:p>
    <w:p w14:paraId="75971F24" w14:textId="77777777" w:rsidR="00FB79CF" w:rsidRPr="00405303" w:rsidRDefault="00FB79CF" w:rsidP="00C15251">
      <w:pPr>
        <w:jc w:val="both"/>
        <w:rPr>
          <w:bCs/>
          <w:color w:val="002060"/>
          <w:sz w:val="16"/>
          <w:szCs w:val="16"/>
        </w:rPr>
      </w:pPr>
      <w:r w:rsidRPr="00405303">
        <w:rPr>
          <w:bCs/>
          <w:color w:val="002060"/>
          <w:sz w:val="16"/>
          <w:szCs w:val="16"/>
        </w:rPr>
        <w:t>- ХОШ костыльного типа;</w:t>
      </w:r>
    </w:p>
    <w:p w14:paraId="41929D1E" w14:textId="77777777" w:rsidR="00FB79CF" w:rsidRPr="00405303" w:rsidRDefault="00FB79CF" w:rsidP="00C15251">
      <w:pPr>
        <w:jc w:val="both"/>
        <w:rPr>
          <w:bCs/>
          <w:color w:val="002060"/>
          <w:sz w:val="16"/>
          <w:szCs w:val="16"/>
        </w:rPr>
      </w:pPr>
      <w:r w:rsidRPr="00405303">
        <w:rPr>
          <w:bCs/>
          <w:color w:val="002060"/>
          <w:sz w:val="16"/>
          <w:szCs w:val="16"/>
        </w:rPr>
        <w:t>- в хвостовой части фюзеляжа сделаны две сдвижных входных двери со стеклами в них, 1 верхний и 2 нижних люка;</w:t>
      </w:r>
    </w:p>
    <w:p w14:paraId="30A25740" w14:textId="77777777" w:rsidR="00FB79CF" w:rsidRPr="00405303" w:rsidRDefault="00FB79CF" w:rsidP="00C15251">
      <w:pPr>
        <w:jc w:val="both"/>
        <w:rPr>
          <w:bCs/>
          <w:color w:val="002060"/>
          <w:sz w:val="16"/>
          <w:szCs w:val="16"/>
        </w:rPr>
      </w:pPr>
      <w:r w:rsidRPr="00405303">
        <w:rPr>
          <w:bCs/>
          <w:color w:val="002060"/>
          <w:sz w:val="16"/>
          <w:szCs w:val="16"/>
        </w:rPr>
        <w:t>- оборонительное вооружение – 2 пулеметных установки в головной части фюзеляжа (под центропланом верхнего крыла), в хвостовой части фюзеляжа огонь из пулеметов можно вести по бортам через 4 окна.</w:t>
      </w:r>
    </w:p>
    <w:p w14:paraId="5EF9F370" w14:textId="77777777" w:rsidR="00FB79CF" w:rsidRPr="00405303" w:rsidRDefault="00FB79CF" w:rsidP="00C15251">
      <w:pPr>
        <w:jc w:val="both"/>
        <w:rPr>
          <w:bCs/>
          <w:color w:val="002060"/>
          <w:sz w:val="16"/>
          <w:szCs w:val="16"/>
        </w:rPr>
      </w:pPr>
      <w:r w:rsidRPr="00405303">
        <w:rPr>
          <w:bCs/>
          <w:color w:val="002060"/>
          <w:sz w:val="16"/>
          <w:szCs w:val="16"/>
        </w:rPr>
        <w:t>Конструкция хвостового оперения:</w:t>
      </w:r>
    </w:p>
    <w:p w14:paraId="35FCEA94" w14:textId="77777777" w:rsidR="00FB79CF" w:rsidRPr="00405303" w:rsidRDefault="00FB79CF" w:rsidP="00C15251">
      <w:pPr>
        <w:jc w:val="both"/>
        <w:rPr>
          <w:bCs/>
          <w:color w:val="002060"/>
          <w:sz w:val="16"/>
          <w:szCs w:val="16"/>
        </w:rPr>
      </w:pPr>
      <w:r w:rsidRPr="00405303">
        <w:rPr>
          <w:bCs/>
          <w:color w:val="002060"/>
          <w:sz w:val="16"/>
          <w:szCs w:val="16"/>
        </w:rPr>
        <w:t>- технологически состоит из двух половин – правой и левой, которые крепятся к фюзеляжу так, что клетки его фермы образуют его силовую среднюю часть;</w:t>
      </w:r>
    </w:p>
    <w:p w14:paraId="42BFEFE8" w14:textId="77777777" w:rsidR="00FB79CF" w:rsidRPr="00405303" w:rsidRDefault="00FB79CF" w:rsidP="00C15251">
      <w:pPr>
        <w:jc w:val="both"/>
        <w:rPr>
          <w:bCs/>
          <w:color w:val="002060"/>
          <w:sz w:val="16"/>
          <w:szCs w:val="16"/>
        </w:rPr>
      </w:pPr>
      <w:r w:rsidRPr="00405303">
        <w:rPr>
          <w:bCs/>
          <w:color w:val="002060"/>
          <w:sz w:val="16"/>
          <w:szCs w:val="16"/>
        </w:rPr>
        <w:t>- каждая половина хвостового оперения состоит из двух плоскостей ГО, одной поверхности ВО и 4 вертикальных стоек, вместе с каркасом фюзеляжа соединяющих лонжероны верхнего и нижнего стабилизаторов в единую ферму и обеспечивающих общую жесткость оперения;</w:t>
      </w:r>
    </w:p>
    <w:p w14:paraId="58635D57" w14:textId="77777777" w:rsidR="00FB79CF" w:rsidRPr="00405303" w:rsidRDefault="00FB79CF" w:rsidP="00C15251">
      <w:pPr>
        <w:jc w:val="both"/>
        <w:rPr>
          <w:bCs/>
          <w:color w:val="002060"/>
          <w:sz w:val="16"/>
          <w:szCs w:val="16"/>
        </w:rPr>
      </w:pPr>
      <w:r w:rsidRPr="00405303">
        <w:rPr>
          <w:bCs/>
          <w:color w:val="002060"/>
          <w:sz w:val="16"/>
          <w:szCs w:val="16"/>
        </w:rPr>
        <w:t>- каждая поверхность ГО (верхняя и нижняя) состоит из двух консолей стабилизатора и двух соединенных между собой по главным лонжеронам РВ;</w:t>
      </w:r>
    </w:p>
    <w:p w14:paraId="7700A613" w14:textId="77777777" w:rsidR="00FB79CF" w:rsidRPr="00405303" w:rsidRDefault="00FB79CF" w:rsidP="00C15251">
      <w:pPr>
        <w:jc w:val="both"/>
        <w:rPr>
          <w:bCs/>
          <w:color w:val="002060"/>
          <w:sz w:val="16"/>
          <w:szCs w:val="16"/>
        </w:rPr>
      </w:pPr>
      <w:r w:rsidRPr="00405303">
        <w:rPr>
          <w:bCs/>
          <w:color w:val="002060"/>
          <w:sz w:val="16"/>
          <w:szCs w:val="16"/>
        </w:rPr>
        <w:t>- каждая поверхность ВО (правая и левая) представляет собой цельноповоротный РН.</w:t>
      </w:r>
    </w:p>
    <w:p w14:paraId="6EF00E13" w14:textId="77777777" w:rsidR="00FB79CF" w:rsidRPr="00405303" w:rsidRDefault="00FB79CF" w:rsidP="00C15251">
      <w:pPr>
        <w:jc w:val="both"/>
        <w:rPr>
          <w:bCs/>
          <w:color w:val="002060"/>
          <w:sz w:val="16"/>
          <w:szCs w:val="16"/>
        </w:rPr>
      </w:pPr>
      <w:r w:rsidRPr="00405303">
        <w:rPr>
          <w:bCs/>
          <w:color w:val="002060"/>
          <w:sz w:val="16"/>
          <w:szCs w:val="16"/>
        </w:rPr>
        <w:t>Снимков и чертежей самолета не найдено, приведенные выше сведения – по описанию, составленному летчиком И.С. Башко.</w:t>
      </w:r>
    </w:p>
    <w:p w14:paraId="0A58F3C1" w14:textId="77777777" w:rsidR="00FB79CF" w:rsidRPr="00405303" w:rsidRDefault="00FB79CF" w:rsidP="00C15251">
      <w:pPr>
        <w:jc w:val="both"/>
        <w:rPr>
          <w:bCs/>
          <w:color w:val="002060"/>
          <w:sz w:val="16"/>
          <w:szCs w:val="16"/>
        </w:rPr>
      </w:pPr>
      <w:r w:rsidRPr="00405303">
        <w:rPr>
          <w:bCs/>
          <w:color w:val="002060"/>
          <w:sz w:val="16"/>
          <w:szCs w:val="16"/>
        </w:rPr>
        <w:t>После Октябрьской революции было принято решение о достройке задела самолетов типа Г, но в отношении этой машины ясности нет, но видимо было решено отправить самолет на базу ЭВК для завершения сборки, но сделано это так и не было.</w:t>
      </w:r>
    </w:p>
    <w:p w14:paraId="118BE88A" w14:textId="77777777" w:rsidR="00FB79CF" w:rsidRPr="00405303" w:rsidRDefault="00FB79CF" w:rsidP="00C15251">
      <w:pPr>
        <w:jc w:val="both"/>
        <w:rPr>
          <w:bCs/>
          <w:color w:val="002060"/>
          <w:sz w:val="16"/>
          <w:szCs w:val="16"/>
        </w:rPr>
      </w:pPr>
      <w:r w:rsidRPr="00405303">
        <w:rPr>
          <w:bCs/>
          <w:color w:val="002060"/>
          <w:sz w:val="16"/>
          <w:szCs w:val="16"/>
        </w:rPr>
        <w:t>В июне 1921 г. фюзеляж самолета сгорел при пожаре на базе ДВК в Сарапуле.</w:t>
      </w:r>
    </w:p>
    <w:p w14:paraId="3F64BD2A" w14:textId="77777777" w:rsidR="00FB79CF" w:rsidRPr="00405303" w:rsidRDefault="00FB79CF" w:rsidP="00C15251">
      <w:pPr>
        <w:jc w:val="both"/>
        <w:rPr>
          <w:bCs/>
          <w:color w:val="002060"/>
          <w:sz w:val="16"/>
          <w:szCs w:val="16"/>
        </w:rPr>
      </w:pPr>
      <w:r w:rsidRPr="00405303">
        <w:rPr>
          <w:bCs/>
          <w:color w:val="002060"/>
          <w:sz w:val="16"/>
          <w:szCs w:val="16"/>
        </w:rPr>
        <w:t>«Илья Муромец» Д (ДИМ-3 № 224), стратегический разведчик и тяжелый бомбардировщик.</w:t>
      </w:r>
    </w:p>
    <w:p w14:paraId="16B9D598" w14:textId="77777777" w:rsidR="00FB79CF" w:rsidRPr="00405303" w:rsidRDefault="00FB79CF" w:rsidP="00C15251">
      <w:pPr>
        <w:jc w:val="both"/>
        <w:rPr>
          <w:bCs/>
          <w:color w:val="002060"/>
          <w:sz w:val="16"/>
          <w:szCs w:val="16"/>
        </w:rPr>
      </w:pPr>
      <w:r w:rsidRPr="00405303">
        <w:rPr>
          <w:bCs/>
          <w:color w:val="002060"/>
          <w:sz w:val="16"/>
          <w:szCs w:val="16"/>
        </w:rPr>
        <w:t>Отправлен с завода 17.11.16 г. (30.11.16 г. по н.ст.) на аэродром Винница в агрегатах.</w:t>
      </w:r>
    </w:p>
    <w:p w14:paraId="7243D9D2" w14:textId="77777777" w:rsidR="00FB79CF" w:rsidRPr="00405303" w:rsidRDefault="00FB79CF" w:rsidP="00C15251">
      <w:pPr>
        <w:jc w:val="both"/>
        <w:rPr>
          <w:bCs/>
          <w:color w:val="002060"/>
          <w:sz w:val="16"/>
          <w:szCs w:val="16"/>
        </w:rPr>
      </w:pPr>
      <w:r w:rsidRPr="00405303">
        <w:rPr>
          <w:bCs/>
          <w:color w:val="002060"/>
          <w:sz w:val="16"/>
          <w:szCs w:val="16"/>
        </w:rPr>
        <w:t>В конце 1916 г. собран на базе ЭВК в Виннице и совершил один полет с экипажем 3 человека без вооружения или груза, показав низкие летные данные.</w:t>
      </w:r>
    </w:p>
    <w:p w14:paraId="30083092" w14:textId="77777777" w:rsidR="00FB79CF" w:rsidRPr="00405303" w:rsidRDefault="00FB79CF" w:rsidP="00C15251">
      <w:pPr>
        <w:jc w:val="both"/>
        <w:rPr>
          <w:bCs/>
          <w:color w:val="002060"/>
          <w:sz w:val="16"/>
          <w:szCs w:val="16"/>
        </w:rPr>
      </w:pPr>
      <w:r w:rsidRPr="00405303">
        <w:rPr>
          <w:bCs/>
          <w:color w:val="002060"/>
          <w:sz w:val="16"/>
          <w:szCs w:val="16"/>
        </w:rPr>
        <w:t>«Илья Муромец» Д-60 (ДИМ-3, Д-3, № 225), стратегический разведчик и тяжелый бомбардировщик.</w:t>
      </w:r>
    </w:p>
    <w:p w14:paraId="453C1E71" w14:textId="77777777" w:rsidR="00FB79CF" w:rsidRPr="00405303" w:rsidRDefault="00FB79CF" w:rsidP="00C15251">
      <w:pPr>
        <w:jc w:val="both"/>
        <w:rPr>
          <w:bCs/>
          <w:color w:val="002060"/>
          <w:sz w:val="16"/>
          <w:szCs w:val="16"/>
        </w:rPr>
      </w:pPr>
      <w:r w:rsidRPr="00405303">
        <w:rPr>
          <w:bCs/>
          <w:color w:val="002060"/>
          <w:sz w:val="16"/>
          <w:szCs w:val="16"/>
        </w:rPr>
        <w:t>Заложен РБВЗ до Октябрьской революции.</w:t>
      </w:r>
    </w:p>
    <w:p w14:paraId="2E68A0E1" w14:textId="77777777" w:rsidR="00FB79CF" w:rsidRPr="00405303" w:rsidRDefault="00FB79CF" w:rsidP="00C15251">
      <w:pPr>
        <w:jc w:val="both"/>
        <w:rPr>
          <w:bCs/>
          <w:color w:val="002060"/>
          <w:sz w:val="16"/>
          <w:szCs w:val="16"/>
        </w:rPr>
      </w:pPr>
      <w:r w:rsidRPr="00405303">
        <w:rPr>
          <w:bCs/>
          <w:color w:val="002060"/>
          <w:sz w:val="16"/>
          <w:szCs w:val="16"/>
        </w:rPr>
        <w:t>Планер самолета был собран РБВЗ в варианте ДИМ-3 в 1916 г., но не был укомплектован моторами и в таком виде оставался на предприятии до мая 1919 г.</w:t>
      </w:r>
    </w:p>
    <w:p w14:paraId="7EF0AAAE" w14:textId="77777777" w:rsidR="00FB79CF" w:rsidRPr="00405303" w:rsidRDefault="00FB79CF" w:rsidP="00C15251">
      <w:pPr>
        <w:jc w:val="both"/>
        <w:rPr>
          <w:bCs/>
          <w:color w:val="002060"/>
          <w:sz w:val="16"/>
          <w:szCs w:val="16"/>
        </w:rPr>
      </w:pPr>
      <w:r w:rsidRPr="00405303">
        <w:rPr>
          <w:bCs/>
          <w:color w:val="002060"/>
          <w:sz w:val="16"/>
          <w:szCs w:val="16"/>
        </w:rPr>
        <w:t>В мае 1919 г. самолет без моторов был отправлен по железной дороге на базу ЭВК РККВВФ в Липецк и в том же году прибыл туда, но не был собран.</w:t>
      </w:r>
    </w:p>
    <w:p w14:paraId="71D0D855" w14:textId="77777777" w:rsidR="00FB79CF" w:rsidRPr="00405303" w:rsidRDefault="00FB79CF" w:rsidP="00C15251">
      <w:pPr>
        <w:jc w:val="both"/>
        <w:rPr>
          <w:bCs/>
          <w:color w:val="002060"/>
          <w:sz w:val="16"/>
          <w:szCs w:val="16"/>
        </w:rPr>
      </w:pPr>
      <w:r w:rsidRPr="00405303">
        <w:rPr>
          <w:bCs/>
          <w:color w:val="002060"/>
          <w:sz w:val="16"/>
          <w:szCs w:val="16"/>
        </w:rPr>
        <w:t>Всего построено и облетано 2 самолета ДИМ, которые совершили по одному задокументированному полету. Модификация оказалась неудачной и дальнейшие работы по ней не проводились, хотя некоторое время и планировались (24094).</w:t>
      </w:r>
    </w:p>
    <w:p w14:paraId="74083048" w14:textId="77777777" w:rsidR="00FB79CF" w:rsidRPr="00405303" w:rsidRDefault="00FB79CF" w:rsidP="00C15251">
      <w:pPr>
        <w:jc w:val="both"/>
        <w:rPr>
          <w:bCs/>
          <w:color w:val="002060"/>
          <w:sz w:val="16"/>
          <w:szCs w:val="16"/>
        </w:rPr>
      </w:pPr>
    </w:p>
    <w:p w14:paraId="793140A6" w14:textId="77777777" w:rsidR="00FB79CF" w:rsidRPr="00405303" w:rsidRDefault="00FB79CF" w:rsidP="00C15251">
      <w:pPr>
        <w:jc w:val="both"/>
        <w:rPr>
          <w:bCs/>
          <w:color w:val="002060"/>
          <w:sz w:val="16"/>
          <w:szCs w:val="16"/>
        </w:rPr>
      </w:pPr>
      <w:r w:rsidRPr="00405303">
        <w:rPr>
          <w:bCs/>
          <w:color w:val="002060"/>
          <w:sz w:val="16"/>
          <w:szCs w:val="16"/>
        </w:rPr>
        <w:t>В 1915 г. автомо</w:t>
      </w:r>
      <w:r w:rsidRPr="00405303">
        <w:rPr>
          <w:bCs/>
          <w:color w:val="002060"/>
          <w:sz w:val="16"/>
          <w:szCs w:val="16"/>
        </w:rPr>
        <w:softHyphen/>
        <w:t>бильным отделением РБВЗ в Риге под руководством талантливого инженера В. В. Киреева, имевшего боль</w:t>
      </w:r>
      <w:r w:rsidRPr="00405303">
        <w:rPr>
          <w:bCs/>
          <w:color w:val="002060"/>
          <w:sz w:val="16"/>
          <w:szCs w:val="16"/>
        </w:rPr>
        <w:softHyphen/>
        <w:t>шой опыт работы на германских моторных заводах, был создан первый русский авиадвигатель водяного охлажде</w:t>
      </w:r>
      <w:r w:rsidRPr="00405303">
        <w:rPr>
          <w:bCs/>
          <w:color w:val="002060"/>
          <w:sz w:val="16"/>
          <w:szCs w:val="16"/>
        </w:rPr>
        <w:softHyphen/>
        <w:t>ния — шестицилиндровый рядный РБВЗ-6 (иногда его называли РБЗ-6). Он внешне походил на немецкий «Мер</w:t>
      </w:r>
      <w:r w:rsidRPr="00405303">
        <w:rPr>
          <w:bCs/>
          <w:color w:val="002060"/>
          <w:sz w:val="16"/>
          <w:szCs w:val="16"/>
        </w:rPr>
        <w:softHyphen/>
        <w:t>седес», но был целиком изготовлен из отечественных ма</w:t>
      </w:r>
      <w:r w:rsidRPr="00405303">
        <w:rPr>
          <w:bCs/>
          <w:color w:val="002060"/>
          <w:sz w:val="16"/>
          <w:szCs w:val="16"/>
        </w:rPr>
        <w:softHyphen/>
        <w:t>териалов и по собственной технологии. Этот двигатель в 150—160 л. с. с небольшим миделем по габаритам был оп</w:t>
      </w:r>
      <w:r w:rsidRPr="00405303">
        <w:rPr>
          <w:bCs/>
          <w:color w:val="002060"/>
          <w:sz w:val="16"/>
          <w:szCs w:val="16"/>
        </w:rPr>
        <w:softHyphen/>
        <w:t>тимальным для «Муромца». Он имел резерв для форсиро</w:t>
      </w:r>
      <w:r w:rsidRPr="00405303">
        <w:rPr>
          <w:bCs/>
          <w:color w:val="002060"/>
          <w:sz w:val="16"/>
          <w:szCs w:val="16"/>
        </w:rPr>
        <w:softHyphen/>
        <w:t>вания и, как большинство «земных» отечественных дви</w:t>
      </w:r>
      <w:r w:rsidRPr="00405303">
        <w:rPr>
          <w:bCs/>
          <w:color w:val="002060"/>
          <w:sz w:val="16"/>
          <w:szCs w:val="16"/>
        </w:rPr>
        <w:softHyphen/>
        <w:t>гателей, был прост и надежен в эксплуатации. «Илья Муромец» тип «В» (заводской № 167) с первыми РБВЗ-6 был освящен 28 июля 1915 г. Этот корабль и «Киевский», оснащенный еще довоенными «Аргусами», были лучши</w:t>
      </w:r>
      <w:r w:rsidRPr="00405303">
        <w:rPr>
          <w:bCs/>
          <w:color w:val="002060"/>
          <w:sz w:val="16"/>
          <w:szCs w:val="16"/>
        </w:rPr>
        <w:softHyphen/>
        <w:t>ми в эскадре.</w:t>
      </w:r>
    </w:p>
    <w:p w14:paraId="718A224D" w14:textId="77777777" w:rsidR="00FB79CF" w:rsidRPr="00405303" w:rsidRDefault="00FB79CF" w:rsidP="00C15251">
      <w:pPr>
        <w:jc w:val="both"/>
        <w:rPr>
          <w:bCs/>
          <w:color w:val="002060"/>
          <w:sz w:val="16"/>
          <w:szCs w:val="16"/>
        </w:rPr>
      </w:pPr>
      <w:r w:rsidRPr="00405303">
        <w:rPr>
          <w:bCs/>
          <w:color w:val="002060"/>
          <w:sz w:val="16"/>
          <w:szCs w:val="16"/>
        </w:rPr>
        <w:t>Рижский завод начал наращивать выпуск, однако в связи с эвакуацией осенью 1915 г. производство РБВЗ-6 было временно прекращено. Трудности с организацией производства собственных двигателей вынудили прав</w:t>
      </w:r>
      <w:r w:rsidRPr="00405303">
        <w:rPr>
          <w:bCs/>
          <w:color w:val="002060"/>
          <w:sz w:val="16"/>
          <w:szCs w:val="16"/>
        </w:rPr>
        <w:softHyphen/>
        <w:t>ление РБВЗ искать подходящие моторы за границей. В Москве было налажено по лицензии производство звез</w:t>
      </w:r>
      <w:r w:rsidRPr="00405303">
        <w:rPr>
          <w:bCs/>
          <w:color w:val="002060"/>
          <w:sz w:val="16"/>
          <w:szCs w:val="16"/>
        </w:rPr>
        <w:softHyphen/>
        <w:t>дообразных двигателей воздушного охлаждения «Сальмсон», однако первый опыт их эксплуатации на «Му</w:t>
      </w:r>
      <w:r w:rsidRPr="00405303">
        <w:rPr>
          <w:bCs/>
          <w:color w:val="002060"/>
          <w:sz w:val="16"/>
          <w:szCs w:val="16"/>
        </w:rPr>
        <w:softHyphen/>
        <w:t>ромцах» уже был, и от них отказались. Моторы отличались капризностью и большим лобовым сопротивлением. Ставить же капоты-обтекатели Сикорскии не хотел, опасаясь перегрева двигателей и сложности доступа к ним в полете.</w:t>
      </w:r>
    </w:p>
    <w:p w14:paraId="5B52E9DE" w14:textId="77777777" w:rsidR="00FB79CF" w:rsidRPr="00405303" w:rsidRDefault="00FB79CF" w:rsidP="00C15251">
      <w:pPr>
        <w:jc w:val="both"/>
        <w:rPr>
          <w:bCs/>
          <w:color w:val="002060"/>
          <w:sz w:val="16"/>
          <w:szCs w:val="16"/>
        </w:rPr>
      </w:pPr>
      <w:r w:rsidRPr="00405303">
        <w:rPr>
          <w:bCs/>
          <w:color w:val="002060"/>
          <w:sz w:val="16"/>
          <w:szCs w:val="16"/>
        </w:rPr>
        <w:t>В 1915 г. военный агент русского правительства в Ве</w:t>
      </w:r>
      <w:r w:rsidRPr="00405303">
        <w:rPr>
          <w:bCs/>
          <w:color w:val="002060"/>
          <w:sz w:val="16"/>
          <w:szCs w:val="16"/>
        </w:rPr>
        <w:softHyphen/>
        <w:t>ликобритании сообщил о готовности английского пра</w:t>
      </w:r>
      <w:r w:rsidRPr="00405303">
        <w:rPr>
          <w:bCs/>
          <w:color w:val="002060"/>
          <w:sz w:val="16"/>
          <w:szCs w:val="16"/>
        </w:rPr>
        <w:softHyphen/>
        <w:t>вительства предоставить России строящиеся там вось</w:t>
      </w:r>
      <w:r w:rsidRPr="00405303">
        <w:rPr>
          <w:bCs/>
          <w:color w:val="002060"/>
          <w:sz w:val="16"/>
          <w:szCs w:val="16"/>
        </w:rPr>
        <w:softHyphen/>
        <w:t>мицилиндровые У-образные двигатели «Санбим», показашие неплохие качества. на стендовых испыта</w:t>
      </w:r>
      <w:r w:rsidRPr="00405303">
        <w:rPr>
          <w:bCs/>
          <w:color w:val="002060"/>
          <w:sz w:val="16"/>
          <w:szCs w:val="16"/>
        </w:rPr>
        <w:softHyphen/>
        <w:t>ниях. Специально для «Муромцев» их закупили не</w:t>
      </w:r>
      <w:r w:rsidRPr="00405303">
        <w:rPr>
          <w:bCs/>
          <w:color w:val="002060"/>
          <w:sz w:val="16"/>
          <w:szCs w:val="16"/>
        </w:rPr>
        <w:softHyphen/>
        <w:t>сколько сот, а московская экипажная фабрика П. Иль</w:t>
      </w:r>
      <w:r w:rsidRPr="00405303">
        <w:rPr>
          <w:bCs/>
          <w:color w:val="002060"/>
          <w:sz w:val="16"/>
          <w:szCs w:val="16"/>
        </w:rPr>
        <w:softHyphen/>
        <w:t>ина получила заказ на их производство по лицензии. Однако в реальных полевых условиях «Санбимы» ока</w:t>
      </w:r>
      <w:r w:rsidRPr="00405303">
        <w:rPr>
          <w:bCs/>
          <w:color w:val="002060"/>
          <w:sz w:val="16"/>
          <w:szCs w:val="16"/>
        </w:rPr>
        <w:softHyphen/>
        <w:t>зались дрянью, сущим наказанием для механиков и пилотов. Вместо заявленных 150 л. с. они едва давали 120—130. Кроме того, двигатели оказались капризными в эксплуатации. Несмотря на все старания опытных механиков, их не могли довести до работоспособного состояния. Старший механик эскадры М. Н. Николь</w:t>
      </w:r>
      <w:r w:rsidRPr="00405303">
        <w:rPr>
          <w:bCs/>
          <w:color w:val="002060"/>
          <w:sz w:val="16"/>
          <w:szCs w:val="16"/>
        </w:rPr>
        <w:softHyphen/>
        <w:t>ской вынужден был отправлять их по рекламации це</w:t>
      </w:r>
      <w:r w:rsidRPr="00405303">
        <w:rPr>
          <w:bCs/>
          <w:color w:val="002060"/>
          <w:sz w:val="16"/>
          <w:szCs w:val="16"/>
        </w:rPr>
        <w:softHyphen/>
        <w:t>лыми партиями. Не помог и прибывший с фирмы меха</w:t>
      </w:r>
      <w:r w:rsidRPr="00405303">
        <w:rPr>
          <w:bCs/>
          <w:color w:val="002060"/>
          <w:sz w:val="16"/>
          <w:szCs w:val="16"/>
        </w:rPr>
        <w:softHyphen/>
        <w:t>ник. Двигатели по-прежнему недодавали мощность и были ненадежными. Летчики «Муромцев», оснащенных «Санбимами», опасались углубляться далеко в тыл противника, а если и летали туда, то заведомо шли на большой высоте (24177).</w:t>
      </w:r>
    </w:p>
    <w:p w14:paraId="16E2DA45" w14:textId="77777777" w:rsidR="00FB79CF" w:rsidRPr="00405303" w:rsidRDefault="00FB79CF" w:rsidP="00C15251">
      <w:pPr>
        <w:jc w:val="both"/>
        <w:rPr>
          <w:bCs/>
          <w:color w:val="002060"/>
          <w:sz w:val="16"/>
          <w:szCs w:val="16"/>
        </w:rPr>
      </w:pPr>
    </w:p>
    <w:p w14:paraId="03A1CDBC" w14:textId="77777777" w:rsidR="004B4E35" w:rsidRPr="00405303" w:rsidRDefault="009E6F82" w:rsidP="00C15251">
      <w:pPr>
        <w:jc w:val="both"/>
        <w:rPr>
          <w:bCs/>
          <w:i/>
          <w:color w:val="002060"/>
          <w:sz w:val="16"/>
          <w:szCs w:val="16"/>
        </w:rPr>
      </w:pPr>
      <w:r w:rsidRPr="00405303">
        <w:rPr>
          <w:bCs/>
          <w:i/>
          <w:color w:val="002060"/>
          <w:sz w:val="16"/>
          <w:szCs w:val="16"/>
        </w:rPr>
        <w:t>Аэростатостроение:</w:t>
      </w:r>
    </w:p>
    <w:p w14:paraId="715E4DAE" w14:textId="77777777" w:rsidR="004B4E35" w:rsidRPr="00405303" w:rsidRDefault="004B4E35" w:rsidP="00C15251">
      <w:pPr>
        <w:jc w:val="both"/>
        <w:rPr>
          <w:bCs/>
          <w:i/>
          <w:color w:val="002060"/>
          <w:sz w:val="16"/>
          <w:szCs w:val="16"/>
        </w:rPr>
      </w:pPr>
    </w:p>
    <w:p w14:paraId="49D708B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1915 г. начались испытания самого крупного из построеных в России дирижаблей — корабля «Гигант» струкции А. И. Шабского. Это был дирижабль полужесткой системы, объемом около 20000 м</w:t>
      </w:r>
      <w:r w:rsidRPr="00405303">
        <w:rPr>
          <w:bCs/>
          <w:color w:val="002060"/>
          <w:sz w:val="16"/>
          <w:szCs w:val="16"/>
          <w:vertAlign w:val="superscript"/>
        </w:rPr>
        <w:t>3</w:t>
      </w:r>
      <w:r w:rsidRPr="00405303">
        <w:rPr>
          <w:bCs/>
          <w:color w:val="002060"/>
          <w:sz w:val="16"/>
          <w:szCs w:val="16"/>
        </w:rPr>
        <w:t>, длиной м. Оболочка его была из шелковой прорезиненной материи. Внутри оболочки находились три баллонета, каждый из которых наполнялся воздухом своим вентилятором, приводимым отдельным двигателем. В нижней трети олочки был жесткий каркас из стальных труб. Гондола, также имеющая остов из стальных труб, размещалась вдоль всего дирижабля и была жестко скреплена с каркасом оболочки. На дирижабле были установлены четыре двигателя мощностью около 215 л. с. каждый.</w:t>
      </w:r>
    </w:p>
    <w:p w14:paraId="597736AA"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 xml:space="preserve">По первоначальному проекту для уменьшения лобово-сопротивления дирижабля двигатели должны были располагаться в своих гондолах, установленных по бокам корабля — по две с каждой стороны (при этом были предусмотрены обтекаемые капоты с отверстиями для воздушного охлаждения двигателей в полете). Однако при стройке для уменьшения веса дирижабля от двух зад-гондол отказались, а оставшиеся сдвинули к середине корпуса. Это, естественно, привело к перераспределению нагрузок на корпус дирижабля. Во время испытаний на высоте корабль сильно прогнулся </w:t>
      </w:r>
      <w:proofErr w:type="gramStart"/>
      <w:r w:rsidRPr="00405303">
        <w:rPr>
          <w:bCs/>
          <w:color w:val="002060"/>
          <w:sz w:val="16"/>
          <w:szCs w:val="16"/>
        </w:rPr>
        <w:t>в средней воздушный винт</w:t>
      </w:r>
      <w:proofErr w:type="gramEnd"/>
      <w:r w:rsidRPr="00405303">
        <w:rPr>
          <w:bCs/>
          <w:color w:val="002060"/>
          <w:sz w:val="16"/>
          <w:szCs w:val="16"/>
        </w:rPr>
        <w:t xml:space="preserve"> ударил по одной из тросовых растя-с помощью которых крепились гондолы двигателей. Дижабль переломился в средней части и опустился. Специалисты признали корабль непригодным для йшта, и он был разобран.</w:t>
      </w:r>
    </w:p>
    <w:p w14:paraId="4D790933"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В это же время предполагалось построить еще более крупнный дирижабль «Воздушный крейсер» объемом около м</w:t>
      </w:r>
      <w:r w:rsidRPr="00405303">
        <w:rPr>
          <w:bCs/>
          <w:color w:val="002060"/>
          <w:sz w:val="16"/>
          <w:szCs w:val="16"/>
          <w:vertAlign w:val="superscript"/>
        </w:rPr>
        <w:t>3</w:t>
      </w:r>
      <w:r w:rsidRPr="00405303">
        <w:rPr>
          <w:bCs/>
          <w:color w:val="002060"/>
          <w:sz w:val="16"/>
          <w:szCs w:val="16"/>
        </w:rPr>
        <w:t xml:space="preserve"> с семью изолированными отсеками. Расчетная суммарная мощность его двигателей составляла 2000 л. с. Инициаторами проекта были Б. В. Голубов и Д. С. Сухоржевский. Однако постройка так и не была закончена (11098).</w:t>
      </w:r>
    </w:p>
    <w:p w14:paraId="3762C384" w14:textId="77777777" w:rsidR="004B4E35" w:rsidRPr="00405303" w:rsidRDefault="004B4E35" w:rsidP="00C15251">
      <w:pPr>
        <w:shd w:val="clear" w:color="auto" w:fill="FFFFFF"/>
        <w:jc w:val="both"/>
        <w:rPr>
          <w:bCs/>
          <w:color w:val="002060"/>
          <w:sz w:val="16"/>
          <w:szCs w:val="16"/>
        </w:rPr>
      </w:pPr>
    </w:p>
    <w:p w14:paraId="62F37E8F" w14:textId="31C7FD74" w:rsidR="004B4E35" w:rsidRPr="00405303" w:rsidRDefault="00015098"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1915 году</w:t>
      </w:r>
      <w:r w:rsidRPr="00405303">
        <w:rPr>
          <w:bCs/>
          <w:color w:val="002060"/>
          <w:sz w:val="16"/>
          <w:szCs w:val="16"/>
        </w:rPr>
        <w:t xml:space="preserve"> дирижабли, заказанные во Франции на заводе «Клеман-Байяр» в 1914 году и на заводе «Астра»</w:t>
      </w:r>
      <w:r w:rsidR="009E6F82" w:rsidRPr="00405303">
        <w:rPr>
          <w:bCs/>
          <w:color w:val="002060"/>
          <w:sz w:val="16"/>
          <w:szCs w:val="16"/>
        </w:rPr>
        <w:t>, в Россию так и не попали (11324).</w:t>
      </w:r>
    </w:p>
    <w:p w14:paraId="324B2B76" w14:textId="77777777" w:rsidR="004B4E35" w:rsidRPr="00405303" w:rsidRDefault="004B4E35" w:rsidP="00C15251">
      <w:pPr>
        <w:shd w:val="clear" w:color="auto" w:fill="FFFFFF"/>
        <w:jc w:val="both"/>
        <w:rPr>
          <w:bCs/>
          <w:i/>
          <w:color w:val="002060"/>
          <w:sz w:val="16"/>
          <w:szCs w:val="16"/>
        </w:rPr>
      </w:pPr>
    </w:p>
    <w:p w14:paraId="08CF1CD8"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0C924F2E" w14:textId="77777777" w:rsidR="004B4E35" w:rsidRPr="00405303" w:rsidRDefault="004B4E35" w:rsidP="00C15251">
      <w:pPr>
        <w:shd w:val="clear" w:color="auto" w:fill="FFFFFF"/>
        <w:jc w:val="both"/>
        <w:rPr>
          <w:bCs/>
          <w:i/>
          <w:color w:val="002060"/>
          <w:sz w:val="16"/>
          <w:szCs w:val="16"/>
        </w:rPr>
      </w:pPr>
    </w:p>
    <w:p w14:paraId="3A3E5122" w14:textId="77777777" w:rsidR="00DF37BF" w:rsidRPr="00405303" w:rsidRDefault="00DF37BF"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1915 г. число работающих на оборонную промышленность в воюющих государствах составляло:</w:t>
      </w:r>
    </w:p>
    <w:p w14:paraId="03BB512F" w14:textId="77777777" w:rsidR="00DF37BF" w:rsidRPr="00405303" w:rsidRDefault="00DF37BF"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в Германии (в 1915 г.) 6 млн человек,</w:t>
      </w:r>
    </w:p>
    <w:p w14:paraId="4426301F" w14:textId="77777777" w:rsidR="00DF37BF" w:rsidRPr="00405303" w:rsidRDefault="00DF37BF"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в России — 2,5 млн,</w:t>
      </w:r>
    </w:p>
    <w:p w14:paraId="0810EA02" w14:textId="77777777" w:rsidR="00DF37BF" w:rsidRPr="00405303" w:rsidRDefault="00DF37BF"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во Франции — 3,5 млн,</w:t>
      </w:r>
    </w:p>
    <w:p w14:paraId="0BEE12EA" w14:textId="77777777" w:rsidR="00DF37BF" w:rsidRPr="00405303" w:rsidRDefault="00DF37BF"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в Англии — 5 млн,</w:t>
      </w:r>
    </w:p>
    <w:p w14:paraId="475859B9" w14:textId="77777777" w:rsidR="00DF37BF" w:rsidRPr="00405303" w:rsidRDefault="00DF37BF"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в Италии — 1,7 млн,</w:t>
      </w:r>
    </w:p>
    <w:p w14:paraId="7A0D39A0" w14:textId="77777777" w:rsidR="00053A24" w:rsidRPr="00405303" w:rsidRDefault="00DF37BF"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в США — 9,5 млн</w:t>
      </w:r>
    </w:p>
    <w:p w14:paraId="2376E952" w14:textId="6868A715" w:rsidR="00DF37BF" w:rsidRPr="00405303" w:rsidRDefault="00DF37BF"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(см.: Мировая война в цифрах. С. 55) (11270).</w:t>
      </w:r>
    </w:p>
    <w:p w14:paraId="23E1C3D6" w14:textId="77777777" w:rsidR="00DF37BF" w:rsidRPr="00405303" w:rsidRDefault="00DF37BF" w:rsidP="00C15251">
      <w:pPr>
        <w:pStyle w:val="a3"/>
        <w:jc w:val="both"/>
        <w:rPr>
          <w:bCs/>
          <w:i w:val="0"/>
          <w:color w:val="002060"/>
          <w:spacing w:val="0"/>
          <w:kern w:val="0"/>
          <w:position w:val="0"/>
          <w:sz w:val="16"/>
          <w:szCs w:val="16"/>
        </w:rPr>
      </w:pPr>
    </w:p>
    <w:p w14:paraId="63F460D7" w14:textId="77777777" w:rsidR="00D97AF2" w:rsidRPr="00405303" w:rsidRDefault="00D97AF2" w:rsidP="00C15251">
      <w:pPr>
        <w:pStyle w:val="20"/>
        <w:shd w:val="clear" w:color="auto" w:fill="auto"/>
        <w:spacing w:after="0" w:line="240" w:lineRule="auto"/>
        <w:ind w:firstLine="0"/>
        <w:jc w:val="both"/>
        <w:rPr>
          <w:rFonts w:ascii="Times New Roman" w:hAnsi="Times New Roman"/>
          <w:bCs/>
          <w:color w:val="002060"/>
          <w:spacing w:val="0"/>
          <w:sz w:val="16"/>
          <w:szCs w:val="16"/>
        </w:rPr>
      </w:pPr>
      <w:r w:rsidRPr="00405303">
        <w:rPr>
          <w:rFonts w:ascii="Times New Roman" w:hAnsi="Times New Roman"/>
          <w:bCs/>
          <w:color w:val="002060"/>
          <w:spacing w:val="0"/>
          <w:sz w:val="16"/>
          <w:szCs w:val="16"/>
        </w:rPr>
        <w:t xml:space="preserve">В 1915 г. начальник ГАУ генерал </w:t>
      </w:r>
      <w:r w:rsidRPr="00405303">
        <w:rPr>
          <w:rStyle w:val="af1"/>
          <w:rFonts w:ascii="Times New Roman" w:hAnsi="Times New Roman" w:cs="Times New Roman"/>
          <w:b w:val="0"/>
          <w:color w:val="002060"/>
          <w:spacing w:val="0"/>
          <w:sz w:val="16"/>
          <w:szCs w:val="16"/>
        </w:rPr>
        <w:t>А.А.</w:t>
      </w:r>
      <w:r w:rsidRPr="00405303">
        <w:rPr>
          <w:rFonts w:ascii="Times New Roman" w:hAnsi="Times New Roman"/>
          <w:bCs/>
          <w:color w:val="002060"/>
          <w:spacing w:val="0"/>
          <w:sz w:val="16"/>
          <w:szCs w:val="16"/>
        </w:rPr>
        <w:t xml:space="preserve"> Маниковский издал приказ, где го</w:t>
      </w:r>
      <w:r w:rsidRPr="00405303">
        <w:rPr>
          <w:rFonts w:ascii="Times New Roman" w:hAnsi="Times New Roman"/>
          <w:bCs/>
          <w:color w:val="002060"/>
          <w:spacing w:val="0"/>
          <w:sz w:val="16"/>
          <w:szCs w:val="16"/>
        </w:rPr>
        <w:softHyphen/>
      </w:r>
      <w:r w:rsidRPr="00405303">
        <w:rPr>
          <w:rStyle w:val="af1"/>
          <w:rFonts w:ascii="Times New Roman" w:hAnsi="Times New Roman" w:cs="Times New Roman"/>
          <w:b w:val="0"/>
          <w:color w:val="002060"/>
          <w:spacing w:val="0"/>
          <w:sz w:val="16"/>
          <w:szCs w:val="16"/>
        </w:rPr>
        <w:t>ворилось:</w:t>
      </w:r>
      <w:r w:rsidRPr="00405303">
        <w:rPr>
          <w:rFonts w:ascii="Times New Roman" w:hAnsi="Times New Roman"/>
          <w:bCs/>
          <w:color w:val="002060"/>
          <w:spacing w:val="0"/>
          <w:sz w:val="16"/>
          <w:szCs w:val="16"/>
        </w:rPr>
        <w:t xml:space="preserve"> «Стрельба без четко постав</w:t>
      </w:r>
      <w:r w:rsidRPr="00405303">
        <w:rPr>
          <w:rFonts w:ascii="Times New Roman" w:hAnsi="Times New Roman"/>
          <w:bCs/>
          <w:color w:val="002060"/>
          <w:spacing w:val="0"/>
          <w:sz w:val="16"/>
          <w:szCs w:val="16"/>
        </w:rPr>
        <w:softHyphen/>
      </w:r>
      <w:r w:rsidRPr="00405303">
        <w:rPr>
          <w:rStyle w:val="af1"/>
          <w:rFonts w:ascii="Times New Roman" w:hAnsi="Times New Roman" w:cs="Times New Roman"/>
          <w:b w:val="0"/>
          <w:color w:val="002060"/>
          <w:spacing w:val="0"/>
          <w:sz w:val="16"/>
          <w:szCs w:val="16"/>
        </w:rPr>
        <w:t>ленной</w:t>
      </w:r>
      <w:r w:rsidRPr="00405303">
        <w:rPr>
          <w:rFonts w:ascii="Times New Roman" w:hAnsi="Times New Roman"/>
          <w:bCs/>
          <w:color w:val="002060"/>
          <w:spacing w:val="0"/>
          <w:sz w:val="16"/>
          <w:szCs w:val="16"/>
        </w:rPr>
        <w:t xml:space="preserve"> цели является преступной тра</w:t>
      </w:r>
      <w:r w:rsidRPr="00405303">
        <w:rPr>
          <w:rFonts w:ascii="Times New Roman" w:hAnsi="Times New Roman"/>
          <w:bCs/>
          <w:color w:val="002060"/>
          <w:spacing w:val="0"/>
          <w:sz w:val="16"/>
          <w:szCs w:val="16"/>
        </w:rPr>
        <w:softHyphen/>
      </w:r>
      <w:r w:rsidRPr="00405303">
        <w:rPr>
          <w:rStyle w:val="af1"/>
          <w:rFonts w:ascii="Times New Roman" w:hAnsi="Times New Roman" w:cs="Times New Roman"/>
          <w:b w:val="0"/>
          <w:color w:val="002060"/>
          <w:spacing w:val="0"/>
          <w:sz w:val="16"/>
          <w:szCs w:val="16"/>
        </w:rPr>
        <w:t>той</w:t>
      </w:r>
      <w:r w:rsidRPr="00405303">
        <w:rPr>
          <w:rFonts w:ascii="Times New Roman" w:hAnsi="Times New Roman"/>
          <w:bCs/>
          <w:color w:val="002060"/>
          <w:spacing w:val="0"/>
          <w:sz w:val="16"/>
          <w:szCs w:val="16"/>
        </w:rPr>
        <w:t xml:space="preserve"> снарядов» (15762).</w:t>
      </w:r>
    </w:p>
    <w:p w14:paraId="3133FCBC" w14:textId="77777777" w:rsidR="00D97AF2" w:rsidRPr="00405303" w:rsidRDefault="00D97AF2" w:rsidP="00C15251">
      <w:pPr>
        <w:pStyle w:val="20"/>
        <w:shd w:val="clear" w:color="auto" w:fill="auto"/>
        <w:spacing w:after="0" w:line="240" w:lineRule="auto"/>
        <w:ind w:firstLine="0"/>
        <w:jc w:val="both"/>
        <w:rPr>
          <w:rFonts w:ascii="Times New Roman" w:hAnsi="Times New Roman"/>
          <w:bCs/>
          <w:color w:val="002060"/>
          <w:spacing w:val="0"/>
          <w:sz w:val="16"/>
          <w:szCs w:val="16"/>
        </w:rPr>
      </w:pPr>
    </w:p>
    <w:p w14:paraId="32738FF7" w14:textId="4B884AC3" w:rsidR="00D97AF2" w:rsidRPr="00405303" w:rsidRDefault="00D97AF2" w:rsidP="00C15251">
      <w:pPr>
        <w:jc w:val="both"/>
        <w:rPr>
          <w:bCs/>
          <w:color w:val="002060"/>
          <w:sz w:val="16"/>
          <w:szCs w:val="16"/>
        </w:rPr>
      </w:pPr>
      <w:r w:rsidRPr="00405303">
        <w:rPr>
          <w:bCs/>
          <w:color w:val="002060"/>
          <w:sz w:val="16"/>
          <w:szCs w:val="16"/>
        </w:rPr>
        <w:t>В</w:t>
      </w:r>
      <w:r w:rsidR="00DB4D64" w:rsidRPr="00405303">
        <w:rPr>
          <w:bCs/>
          <w:color w:val="002060"/>
          <w:sz w:val="16"/>
          <w:szCs w:val="16"/>
        </w:rPr>
        <w:t xml:space="preserve"> </w:t>
      </w:r>
      <w:r w:rsidRPr="00405303">
        <w:rPr>
          <w:bCs/>
          <w:color w:val="002060"/>
          <w:sz w:val="16"/>
          <w:szCs w:val="16"/>
        </w:rPr>
        <w:t>1915 г. ГАУ определило на основе заявок фронтов потребность в их количестве: 258 тыс. пудов ВВ в месяц, что в 20 раз перекрывало возможности промышленности. В 1916 г. ГАУ исчисляло потребность в</w:t>
      </w:r>
      <w:r w:rsidR="00DB4D64" w:rsidRPr="00405303">
        <w:rPr>
          <w:bCs/>
          <w:color w:val="002060"/>
          <w:sz w:val="16"/>
          <w:szCs w:val="16"/>
        </w:rPr>
        <w:t xml:space="preserve"> </w:t>
      </w:r>
      <w:r w:rsidRPr="00405303">
        <w:rPr>
          <w:bCs/>
          <w:color w:val="002060"/>
          <w:sz w:val="16"/>
          <w:szCs w:val="16"/>
        </w:rPr>
        <w:t>ВВ уже в 900 тыс. пудов в ме</w:t>
      </w:r>
      <w:r w:rsidRPr="00405303">
        <w:rPr>
          <w:bCs/>
          <w:color w:val="002060"/>
          <w:sz w:val="16"/>
          <w:szCs w:val="16"/>
        </w:rPr>
        <w:softHyphen/>
        <w:t>сяц.</w:t>
      </w:r>
    </w:p>
    <w:p w14:paraId="1666BE24" w14:textId="77777777" w:rsidR="00D97AF2" w:rsidRPr="00405303" w:rsidRDefault="00D97AF2" w:rsidP="00C15251">
      <w:pPr>
        <w:jc w:val="both"/>
        <w:rPr>
          <w:bCs/>
          <w:color w:val="002060"/>
          <w:sz w:val="16"/>
          <w:szCs w:val="16"/>
        </w:rPr>
      </w:pPr>
      <w:r w:rsidRPr="00405303">
        <w:rPr>
          <w:bCs/>
          <w:color w:val="002060"/>
          <w:sz w:val="16"/>
          <w:szCs w:val="16"/>
        </w:rPr>
        <w:t>Начальник ГАУ А.А. Маниковский представил военному ми</w:t>
      </w:r>
      <w:r w:rsidRPr="00405303">
        <w:rPr>
          <w:bCs/>
          <w:color w:val="002060"/>
          <w:sz w:val="16"/>
          <w:szCs w:val="16"/>
        </w:rPr>
        <w:softHyphen/>
        <w:t>нистру программу строительства военных казенных заводов, значительное место (-50%) в программе строительства занимали предприятия по производству ВВ и компонентов для них — то</w:t>
      </w:r>
      <w:r w:rsidRPr="00405303">
        <w:rPr>
          <w:bCs/>
          <w:color w:val="002060"/>
          <w:sz w:val="16"/>
          <w:szCs w:val="16"/>
        </w:rPr>
        <w:softHyphen/>
        <w:t xml:space="preserve">луола, селитры, кислот и т.д. </w:t>
      </w:r>
    </w:p>
    <w:p w14:paraId="7E992286" w14:textId="36CCAD5C" w:rsidR="00D97AF2" w:rsidRPr="00405303" w:rsidRDefault="00D97AF2" w:rsidP="00C15251">
      <w:pPr>
        <w:jc w:val="both"/>
        <w:rPr>
          <w:bCs/>
          <w:color w:val="002060"/>
          <w:sz w:val="16"/>
          <w:szCs w:val="16"/>
        </w:rPr>
      </w:pPr>
      <w:r w:rsidRPr="00405303">
        <w:rPr>
          <w:bCs/>
          <w:color w:val="002060"/>
          <w:sz w:val="16"/>
          <w:szCs w:val="16"/>
        </w:rPr>
        <w:t>Требования фронта заставили вновь идти на поклон к чуже</w:t>
      </w:r>
      <w:r w:rsidRPr="00405303">
        <w:rPr>
          <w:bCs/>
          <w:color w:val="002060"/>
          <w:sz w:val="16"/>
          <w:szCs w:val="16"/>
        </w:rPr>
        <w:softHyphen/>
        <w:t>земцам (в</w:t>
      </w:r>
      <w:r w:rsidR="00DB4D64" w:rsidRPr="00405303">
        <w:rPr>
          <w:bCs/>
          <w:color w:val="002060"/>
          <w:sz w:val="16"/>
          <w:szCs w:val="16"/>
        </w:rPr>
        <w:t xml:space="preserve"> </w:t>
      </w:r>
      <w:r w:rsidRPr="00405303">
        <w:rPr>
          <w:bCs/>
          <w:color w:val="002060"/>
          <w:sz w:val="16"/>
          <w:szCs w:val="16"/>
        </w:rPr>
        <w:t>основном к США). Было оформлено около 30 заказов на поставку ВВ в</w:t>
      </w:r>
      <w:r w:rsidR="00DB4D64" w:rsidRPr="00405303">
        <w:rPr>
          <w:bCs/>
          <w:color w:val="002060"/>
          <w:sz w:val="16"/>
          <w:szCs w:val="16"/>
        </w:rPr>
        <w:t xml:space="preserve"> </w:t>
      </w:r>
      <w:r w:rsidRPr="00405303">
        <w:rPr>
          <w:bCs/>
          <w:color w:val="002060"/>
          <w:sz w:val="16"/>
          <w:szCs w:val="16"/>
        </w:rPr>
        <w:t xml:space="preserve">объеме 2 749 870 пудов, однако до 1916 г. Россия получила всего 722 585 пудов ВВ (тротил, пикриновая кислота, селитра, аммонал) (15989). </w:t>
      </w:r>
    </w:p>
    <w:p w14:paraId="53CE5867" w14:textId="77777777" w:rsidR="00D97AF2" w:rsidRPr="00405303" w:rsidRDefault="00D97AF2" w:rsidP="00C15251">
      <w:pPr>
        <w:jc w:val="both"/>
        <w:rPr>
          <w:bCs/>
          <w:color w:val="002060"/>
          <w:sz w:val="16"/>
          <w:szCs w:val="16"/>
        </w:rPr>
      </w:pPr>
    </w:p>
    <w:p w14:paraId="2E224CA6" w14:textId="77777777" w:rsidR="00D97AF2" w:rsidRPr="00405303" w:rsidRDefault="00D97AF2" w:rsidP="00C15251">
      <w:pPr>
        <w:jc w:val="both"/>
        <w:rPr>
          <w:bCs/>
          <w:color w:val="002060"/>
          <w:sz w:val="16"/>
          <w:szCs w:val="16"/>
        </w:rPr>
      </w:pPr>
      <w:r w:rsidRPr="00405303">
        <w:rPr>
          <w:bCs/>
          <w:color w:val="002060"/>
          <w:sz w:val="16"/>
          <w:szCs w:val="16"/>
        </w:rPr>
        <w:t>В 1915 г. 76-мм пушку Гельвиха (3-дм картечницу Гельвиха - 3-дм (76-мм) орудие весом около двух пудов (32, 8 кг), которое заряжалось перед взлетом зарядом весом 53 золотника (226 г) пороха МСК и картечью, которая, в свою очередь, состояла из каркаса и двух латунных дисков, соединенных стержнем, меду которыми в два слоя расположены цилиндрические поражающие элементы длиной 12 мм и диаметром 12 мм, залитых канифолью и зажатых гайкой на стержне) установили на заднем лонжероне центроплана самолета «Илья Муромец». Было произведено несколько выстрелов на земле и два в воздухе. Однако из-за громоздкости системы и низкой кучности 76-мм пушка Гельвиха не была принята на вооружение. Помимо того полковник Гельвих создал в 1915 г. еще одну 47-мм безоткатную пушку, работавшую по принципу инертной массы. Пушка была создана из двух стволов 47-мм корабельной пушки Гочкиса. При выстреле активный снаряд летел вперед, а фиктивный снаряд летел назад. Стрельба велась штатными морскими 47-мм осколочными снарядами с 8секундной дистанционной трубкой. Морское ведомство выдало Гельвиху для опытов два ствола 47-мм пушек и 100 снарядов с 8-секундными трубками. Однако и эта система Гельвиха не пошла в серийное производство (15117).</w:t>
      </w:r>
    </w:p>
    <w:p w14:paraId="74E33EFD" w14:textId="77777777" w:rsidR="00D97AF2" w:rsidRPr="00405303" w:rsidRDefault="00D97AF2" w:rsidP="00C15251">
      <w:pPr>
        <w:jc w:val="both"/>
        <w:rPr>
          <w:bCs/>
          <w:color w:val="002060"/>
          <w:sz w:val="16"/>
          <w:szCs w:val="16"/>
        </w:rPr>
      </w:pPr>
    </w:p>
    <w:p w14:paraId="4CF46313" w14:textId="77777777" w:rsidR="00D97AF2" w:rsidRPr="00405303" w:rsidRDefault="00D97AF2" w:rsidP="00C15251">
      <w:pPr>
        <w:jc w:val="both"/>
        <w:rPr>
          <w:bCs/>
          <w:color w:val="002060"/>
          <w:sz w:val="16"/>
          <w:szCs w:val="16"/>
        </w:rPr>
      </w:pPr>
      <w:r w:rsidRPr="00405303">
        <w:rPr>
          <w:bCs/>
          <w:color w:val="002060"/>
          <w:sz w:val="16"/>
          <w:szCs w:val="16"/>
        </w:rPr>
        <w:t xml:space="preserve">В 1915 году испытывался опытный образец пушки </w:t>
      </w:r>
      <w:proofErr w:type="gramStart"/>
      <w:r w:rsidRPr="00405303">
        <w:rPr>
          <w:bCs/>
          <w:color w:val="002060"/>
          <w:sz w:val="16"/>
          <w:szCs w:val="16"/>
        </w:rPr>
        <w:t>Розенберга</w:t>
      </w:r>
      <w:proofErr w:type="gramEnd"/>
      <w:r w:rsidRPr="00405303">
        <w:rPr>
          <w:bCs/>
          <w:color w:val="002060"/>
          <w:sz w:val="16"/>
          <w:szCs w:val="16"/>
        </w:rPr>
        <w:t xml:space="preserve"> принятый на вооружение под названием «37-миллиметровая пушка образца 1915 года». Данное название не прижилось, поэтому в официальных бумагах и в частях данное орудие продолжали именовать 37-миллиметровая пушка Розенберга.</w:t>
      </w:r>
    </w:p>
    <w:p w14:paraId="5689B0C9" w14:textId="77777777" w:rsidR="00D97AF2" w:rsidRPr="00405303" w:rsidRDefault="00D97AF2" w:rsidP="00C15251">
      <w:pPr>
        <w:jc w:val="both"/>
        <w:rPr>
          <w:bCs/>
          <w:color w:val="002060"/>
          <w:sz w:val="16"/>
          <w:szCs w:val="16"/>
        </w:rPr>
      </w:pPr>
      <w:r w:rsidRPr="00405303">
        <w:rPr>
          <w:bCs/>
          <w:color w:val="002060"/>
          <w:sz w:val="16"/>
          <w:szCs w:val="16"/>
        </w:rPr>
        <w:t xml:space="preserve">Розенберг, будучи членом арт. комитета, убедил великого князя Сергея Михайловича начальника артиллерии дать ему задание проектировать данную систему. Розенберг отправился в имение и через 1,5 месяца был предъявлен проект 37-миллиметровой пушки. Не умаляя достоинств </w:t>
      </w:r>
      <w:proofErr w:type="gramStart"/>
      <w:r w:rsidRPr="00405303">
        <w:rPr>
          <w:bCs/>
          <w:color w:val="002060"/>
          <w:sz w:val="16"/>
          <w:szCs w:val="16"/>
        </w:rPr>
        <w:t>Розенберга</w:t>
      </w:r>
      <w:proofErr w:type="gramEnd"/>
      <w:r w:rsidRPr="00405303">
        <w:rPr>
          <w:bCs/>
          <w:color w:val="002060"/>
          <w:sz w:val="16"/>
          <w:szCs w:val="16"/>
        </w:rPr>
        <w:t xml:space="preserve"> отметим, что советскими конструкторами в ВОВ, во время работы на казарменном положении, такие проекты делались за 48 часов, а иногда и за одни сутки. В качестве ствола Розенберг использовал 37-миллиметровый штатный стволик, который служил для пристрелки берегового орудия. В конструкцию стволика входили ствольная труба, дульное медное кольцо, цапфенное стальное кольцо и медный накатник, навинченный на ствол. Затвор двухтактный поршневой. Станок однобрусный, деревянный, жесткий (без противооткатных устройств). Энергия отката частично гасилась при помощи специальных резиновых буферов. На подъемном механизме имелся винт, крепящийся к приливу казенника, ввинчивающийся в правую станину салазок. Отсутствовал поворотный механизм. Для поворота осуществлялся за счет перемещения хобота с</w:t>
      </w:r>
      <w:hyperlink r:id="rId81" w:tgtFrame="_blank" w:history="1">
        <w:r w:rsidRPr="00405303">
          <w:rPr>
            <w:bCs/>
            <w:color w:val="002060"/>
            <w:sz w:val="16"/>
            <w:szCs w:val="16"/>
          </w:rPr>
          <w:t>танк</w:t>
        </w:r>
      </w:hyperlink>
      <w:r w:rsidRPr="00405303">
        <w:rPr>
          <w:bCs/>
          <w:color w:val="002060"/>
          <w:sz w:val="16"/>
          <w:szCs w:val="16"/>
        </w:rPr>
        <w:t xml:space="preserve">а. Станок оснащался 6 или </w:t>
      </w:r>
      <w:proofErr w:type="gramStart"/>
      <w:r w:rsidRPr="00405303">
        <w:rPr>
          <w:bCs/>
          <w:color w:val="002060"/>
          <w:sz w:val="16"/>
          <w:szCs w:val="16"/>
        </w:rPr>
        <w:t>8 миллиметровым</w:t>
      </w:r>
      <w:proofErr w:type="gramEnd"/>
      <w:r w:rsidRPr="00405303">
        <w:rPr>
          <w:bCs/>
          <w:color w:val="002060"/>
          <w:sz w:val="16"/>
          <w:szCs w:val="16"/>
        </w:rPr>
        <w:t xml:space="preserve"> щитом. Причем последний выдерживал выпущенную в упор пулю из винтовки Мосина. Как видно, лафет был дешев, прост и мог быть изготовлен в полукустарной мастерской. Систему можно было легко разобрать на две части массой 106,5 и 73,5 килограмм в течение минуты. Орудие на поле боя перевозилось тремя номерами расчета вручную. Для удобства передвижения средствами частей приделывался небольшой каток под хоботовый брус. Зимой систему устанавливали на лыжи.</w:t>
      </w:r>
    </w:p>
    <w:p w14:paraId="7B4FE389" w14:textId="77777777" w:rsidR="00D97AF2" w:rsidRPr="00405303" w:rsidRDefault="00D97AF2" w:rsidP="00C15251">
      <w:pPr>
        <w:jc w:val="both"/>
        <w:rPr>
          <w:bCs/>
          <w:color w:val="002060"/>
          <w:sz w:val="16"/>
          <w:szCs w:val="16"/>
        </w:rPr>
      </w:pPr>
      <w:r w:rsidRPr="00405303">
        <w:rPr>
          <w:bCs/>
          <w:color w:val="002060"/>
          <w:sz w:val="16"/>
          <w:szCs w:val="16"/>
        </w:rPr>
        <w:t>Орудие в походе перевозилось:</w:t>
      </w:r>
    </w:p>
    <w:p w14:paraId="42D8FAC7" w14:textId="77777777" w:rsidR="00D97AF2" w:rsidRPr="00405303" w:rsidRDefault="00D97AF2" w:rsidP="00C15251">
      <w:pPr>
        <w:jc w:val="both"/>
        <w:rPr>
          <w:bCs/>
          <w:color w:val="002060"/>
          <w:sz w:val="16"/>
          <w:szCs w:val="16"/>
        </w:rPr>
      </w:pPr>
      <w:r w:rsidRPr="00405303">
        <w:rPr>
          <w:bCs/>
          <w:color w:val="002060"/>
          <w:sz w:val="16"/>
          <w:szCs w:val="16"/>
        </w:rPr>
        <w:t>- в оглобельной запряжке, когда две оглобли прикрепляют непосредственно к лафету;</w:t>
      </w:r>
    </w:p>
    <w:p w14:paraId="19196F73" w14:textId="77777777" w:rsidR="00D97AF2" w:rsidRPr="00405303" w:rsidRDefault="00D97AF2" w:rsidP="00C15251">
      <w:pPr>
        <w:jc w:val="both"/>
        <w:rPr>
          <w:bCs/>
          <w:color w:val="002060"/>
          <w:sz w:val="16"/>
          <w:szCs w:val="16"/>
        </w:rPr>
      </w:pPr>
      <w:r w:rsidRPr="00405303">
        <w:rPr>
          <w:bCs/>
          <w:color w:val="002060"/>
          <w:sz w:val="16"/>
          <w:szCs w:val="16"/>
        </w:rPr>
        <w:t>- на специальном передке, который изготавливался своими силами, например, снятием котла с походной кухни;</w:t>
      </w:r>
    </w:p>
    <w:p w14:paraId="7FD5495E" w14:textId="77777777" w:rsidR="00D97AF2" w:rsidRPr="00405303" w:rsidRDefault="00D97AF2" w:rsidP="00C15251">
      <w:pPr>
        <w:jc w:val="both"/>
        <w:rPr>
          <w:bCs/>
          <w:color w:val="002060"/>
          <w:sz w:val="16"/>
          <w:szCs w:val="16"/>
        </w:rPr>
      </w:pPr>
      <w:r w:rsidRPr="00405303">
        <w:rPr>
          <w:bCs/>
          <w:color w:val="002060"/>
          <w:sz w:val="16"/>
          <w:szCs w:val="16"/>
        </w:rPr>
        <w:t>- на телеге.</w:t>
      </w:r>
    </w:p>
    <w:p w14:paraId="346C9D00" w14:textId="77777777" w:rsidR="00D97AF2" w:rsidRPr="00405303" w:rsidRDefault="00D97AF2" w:rsidP="00C15251">
      <w:pPr>
        <w:jc w:val="both"/>
        <w:rPr>
          <w:bCs/>
          <w:color w:val="002060"/>
          <w:sz w:val="16"/>
          <w:szCs w:val="16"/>
        </w:rPr>
      </w:pPr>
      <w:r w:rsidRPr="00405303">
        <w:rPr>
          <w:bCs/>
          <w:color w:val="002060"/>
          <w:sz w:val="16"/>
          <w:szCs w:val="16"/>
        </w:rPr>
        <w:t>Как правило, пехотным частям на два орудия отпускались 3 парных повозки образца 1884 года, в двух повозках укладывалось по одному орудию и в ящиках 180 патронов, а на третьей повозке укладывалось 360 патронов (15599).</w:t>
      </w:r>
    </w:p>
    <w:p w14:paraId="45CFDA99" w14:textId="77777777" w:rsidR="00D97AF2" w:rsidRPr="00405303" w:rsidRDefault="00D97AF2" w:rsidP="00C15251">
      <w:pPr>
        <w:jc w:val="both"/>
        <w:rPr>
          <w:bCs/>
          <w:color w:val="002060"/>
          <w:sz w:val="16"/>
          <w:szCs w:val="16"/>
        </w:rPr>
      </w:pPr>
    </w:p>
    <w:p w14:paraId="5201F201" w14:textId="77777777" w:rsidR="00D97AF2" w:rsidRPr="00405303" w:rsidRDefault="00D97AF2" w:rsidP="00C15251">
      <w:pPr>
        <w:jc w:val="both"/>
        <w:rPr>
          <w:bCs/>
          <w:color w:val="002060"/>
          <w:sz w:val="16"/>
          <w:szCs w:val="16"/>
        </w:rPr>
      </w:pPr>
      <w:r w:rsidRPr="00405303">
        <w:rPr>
          <w:bCs/>
          <w:color w:val="002060"/>
          <w:sz w:val="16"/>
          <w:szCs w:val="16"/>
        </w:rPr>
        <w:t>В 1915 г. на Ижорском заводе был изготовлен 20-мм бомбомёт системы Лихонина (капитан Е.А. Лихонин работал на заводе с 1915 г.). Простые по устройству орудия делались довольно быстро, что имело решающее значение, так как фронт требовал их в большом количестве. Но тактико-технические характеристики бомбомётов были низкими: дальность стрельбы составляла до 700 шагов, а мощность снарядов была недостаточной для разрушения даже слабых блиндажей и убежищ. Постепенно бомбомёты уступали место миномётам как более совершенному вооружению. ИЗ производил лёгкие 47-мм миномёты системы Лихонина. С 1916 г. ижорцы изготавливали 89-мм миномёты, сконструированные Лихониным и Сухаржевским, для тяжёлой артиллерии особого назначения. Испытания миномётов проходили в Сапёрном лагере (15122).</w:t>
      </w:r>
    </w:p>
    <w:p w14:paraId="2FADE2B6" w14:textId="77777777" w:rsidR="00D97AF2" w:rsidRPr="00405303" w:rsidRDefault="00D97AF2" w:rsidP="00C15251">
      <w:pPr>
        <w:jc w:val="both"/>
        <w:rPr>
          <w:bCs/>
          <w:color w:val="002060"/>
          <w:sz w:val="16"/>
          <w:szCs w:val="16"/>
        </w:rPr>
      </w:pPr>
    </w:p>
    <w:p w14:paraId="3CDF2B7F" w14:textId="02B1DC76" w:rsidR="00D97AF2" w:rsidRPr="00405303" w:rsidRDefault="00D97AF2" w:rsidP="00C15251">
      <w:pPr>
        <w:jc w:val="both"/>
        <w:rPr>
          <w:bCs/>
          <w:color w:val="002060"/>
          <w:sz w:val="16"/>
          <w:szCs w:val="16"/>
        </w:rPr>
      </w:pPr>
      <w:r w:rsidRPr="00405303">
        <w:rPr>
          <w:bCs/>
          <w:color w:val="002060"/>
          <w:sz w:val="16"/>
          <w:szCs w:val="16"/>
        </w:rPr>
        <w:t>В 1915 г. автомобильным отделением</w:t>
      </w:r>
      <w:r w:rsidR="000F5756">
        <w:rPr>
          <w:bCs/>
          <w:color w:val="002060"/>
          <w:sz w:val="16"/>
          <w:szCs w:val="16"/>
        </w:rPr>
        <w:t xml:space="preserve"> </w:t>
      </w:r>
      <w:r w:rsidRPr="00405303">
        <w:rPr>
          <w:bCs/>
          <w:color w:val="002060"/>
          <w:sz w:val="16"/>
          <w:szCs w:val="16"/>
        </w:rPr>
        <w:t>РБВЗ</w:t>
      </w:r>
      <w:r w:rsidR="000F5756">
        <w:rPr>
          <w:bCs/>
          <w:color w:val="002060"/>
          <w:sz w:val="16"/>
          <w:szCs w:val="16"/>
        </w:rPr>
        <w:t xml:space="preserve"> </w:t>
      </w:r>
      <w:r w:rsidRPr="00405303">
        <w:rPr>
          <w:bCs/>
          <w:color w:val="002060"/>
          <w:sz w:val="16"/>
          <w:szCs w:val="16"/>
        </w:rPr>
        <w:t>в Риге под руководством талантливого инженера В. В. Киреева, имевшего большой опыт работы на германских моторных заводах, был создан первый русский авиадвигатель водяного охлаждения - шестицилиндровый рядный</w:t>
      </w:r>
      <w:r w:rsidR="000F5756">
        <w:rPr>
          <w:bCs/>
          <w:color w:val="002060"/>
          <w:sz w:val="16"/>
          <w:szCs w:val="16"/>
        </w:rPr>
        <w:t xml:space="preserve"> </w:t>
      </w:r>
      <w:r w:rsidRPr="00405303">
        <w:rPr>
          <w:bCs/>
          <w:color w:val="002060"/>
          <w:sz w:val="16"/>
          <w:szCs w:val="16"/>
        </w:rPr>
        <w:t>РБВЗ</w:t>
      </w:r>
      <w:r w:rsidR="00DB4D64" w:rsidRPr="00405303">
        <w:rPr>
          <w:bCs/>
          <w:color w:val="002060"/>
          <w:sz w:val="16"/>
          <w:szCs w:val="16"/>
        </w:rPr>
        <w:t xml:space="preserve"> </w:t>
      </w:r>
      <w:r w:rsidRPr="00405303">
        <w:rPr>
          <w:bCs/>
          <w:color w:val="002060"/>
          <w:sz w:val="16"/>
          <w:szCs w:val="16"/>
        </w:rPr>
        <w:t>-6 (иногда его называли РБЗ-6). Он внешне походил на немецкий «Мерседес», но был целиком изготовлен из отечественных материалов и по собственной технологии. Этот двигатель в 150-160 л. с. с небольшим миделем по габаритам был оптимальным для «Муромца». Он имел резерв для форсирования и, как большинство «земных» отечественных двигателей, был прост и надежен в эксплуатации (15127).</w:t>
      </w:r>
    </w:p>
    <w:p w14:paraId="589476A2" w14:textId="77777777" w:rsidR="00D97AF2" w:rsidRPr="00405303" w:rsidRDefault="00D97AF2" w:rsidP="00C15251">
      <w:pPr>
        <w:jc w:val="both"/>
        <w:rPr>
          <w:bCs/>
          <w:color w:val="002060"/>
          <w:sz w:val="16"/>
          <w:szCs w:val="16"/>
        </w:rPr>
      </w:pPr>
    </w:p>
    <w:p w14:paraId="52981A57" w14:textId="77777777" w:rsidR="00D97AF2" w:rsidRPr="00405303" w:rsidRDefault="00D97AF2" w:rsidP="00C15251">
      <w:pPr>
        <w:pStyle w:val="ae"/>
        <w:spacing w:before="0" w:beforeAutospacing="0" w:after="0" w:afterAutospacing="0"/>
        <w:jc w:val="both"/>
        <w:rPr>
          <w:bCs/>
          <w:color w:val="002060"/>
          <w:sz w:val="16"/>
          <w:szCs w:val="16"/>
        </w:rPr>
      </w:pPr>
      <w:r w:rsidRPr="00405303">
        <w:rPr>
          <w:bCs/>
          <w:color w:val="002060"/>
          <w:sz w:val="16"/>
          <w:szCs w:val="16"/>
        </w:rPr>
        <w:t>В 1915 году завод «Сименс и Гальске» начал производство автомобильных полевых искровых радиостанций. Тогда же организован выпуск аэропланных радиостанций и осуществлены поставки приемной аппаратуры для Царскосельской и Тверской радиостанций (15736).</w:t>
      </w:r>
    </w:p>
    <w:p w14:paraId="30374E41" w14:textId="77777777" w:rsidR="00D97AF2" w:rsidRPr="00405303" w:rsidRDefault="00D97AF2" w:rsidP="00C15251">
      <w:pPr>
        <w:pStyle w:val="ae"/>
        <w:spacing w:before="0" w:beforeAutospacing="0" w:after="0" w:afterAutospacing="0"/>
        <w:jc w:val="both"/>
        <w:rPr>
          <w:bCs/>
          <w:color w:val="002060"/>
          <w:sz w:val="16"/>
          <w:szCs w:val="16"/>
        </w:rPr>
      </w:pPr>
    </w:p>
    <w:p w14:paraId="54C1D480" w14:textId="77777777" w:rsidR="00D97AF2" w:rsidRPr="00405303" w:rsidRDefault="00D97AF2" w:rsidP="00C15251">
      <w:pPr>
        <w:pStyle w:val="ae"/>
        <w:spacing w:before="0" w:beforeAutospacing="0" w:after="0" w:afterAutospacing="0"/>
        <w:jc w:val="both"/>
        <w:rPr>
          <w:bCs/>
          <w:color w:val="002060"/>
          <w:sz w:val="16"/>
          <w:szCs w:val="16"/>
        </w:rPr>
      </w:pPr>
      <w:r w:rsidRPr="00405303">
        <w:rPr>
          <w:bCs/>
          <w:color w:val="002060"/>
          <w:sz w:val="16"/>
          <w:szCs w:val="16"/>
        </w:rPr>
        <w:t>В 1915 году депо было преобразовано в Радиотелеграфный завод Морского ведомства. Здесь была создана первая в России научно-исследовательская промышленная лаборатория, к работе которой был привлечен В.П. Вологдина для разработки и производства высокочастотных генераторов его конструкции (15736).</w:t>
      </w:r>
    </w:p>
    <w:p w14:paraId="2B0217E1" w14:textId="77777777" w:rsidR="00D97AF2" w:rsidRPr="00405303" w:rsidRDefault="00D97AF2" w:rsidP="00C15251">
      <w:pPr>
        <w:pStyle w:val="ae"/>
        <w:spacing w:before="0" w:beforeAutospacing="0" w:after="0" w:afterAutospacing="0"/>
        <w:jc w:val="both"/>
        <w:rPr>
          <w:bCs/>
          <w:color w:val="002060"/>
          <w:sz w:val="16"/>
          <w:szCs w:val="16"/>
        </w:rPr>
      </w:pPr>
    </w:p>
    <w:p w14:paraId="0A5AE35D" w14:textId="77777777" w:rsidR="00D97AF2" w:rsidRPr="00405303" w:rsidRDefault="00D97AF2" w:rsidP="00C15251">
      <w:pPr>
        <w:pStyle w:val="ae"/>
        <w:spacing w:before="0" w:beforeAutospacing="0" w:after="0" w:afterAutospacing="0"/>
        <w:jc w:val="both"/>
        <w:rPr>
          <w:bCs/>
          <w:color w:val="002060"/>
          <w:sz w:val="16"/>
          <w:szCs w:val="16"/>
        </w:rPr>
      </w:pPr>
      <w:r w:rsidRPr="00405303">
        <w:rPr>
          <w:bCs/>
          <w:color w:val="002060"/>
          <w:sz w:val="16"/>
          <w:szCs w:val="16"/>
        </w:rPr>
        <w:t>В 1915 году благодаря губернатору А.Ф. Гирсу под Нижним Новгородом начал строиться телефонный завод «Сименс и Гальске» (15736).</w:t>
      </w:r>
    </w:p>
    <w:p w14:paraId="5BD12B58" w14:textId="77777777" w:rsidR="00D97AF2" w:rsidRPr="00405303" w:rsidRDefault="00D97AF2" w:rsidP="00C15251">
      <w:pPr>
        <w:pStyle w:val="ae"/>
        <w:spacing w:before="0" w:beforeAutospacing="0" w:after="0" w:afterAutospacing="0"/>
        <w:jc w:val="both"/>
        <w:rPr>
          <w:bCs/>
          <w:color w:val="002060"/>
          <w:sz w:val="16"/>
          <w:szCs w:val="16"/>
        </w:rPr>
      </w:pPr>
    </w:p>
    <w:p w14:paraId="0278B088" w14:textId="13A71F40" w:rsidR="00D97AF2" w:rsidRPr="00405303" w:rsidRDefault="00D97AF2" w:rsidP="00C15251">
      <w:pPr>
        <w:jc w:val="both"/>
        <w:rPr>
          <w:bCs/>
          <w:color w:val="002060"/>
          <w:sz w:val="16"/>
          <w:szCs w:val="16"/>
        </w:rPr>
      </w:pPr>
      <w:r w:rsidRPr="00405303">
        <w:rPr>
          <w:bCs/>
          <w:color w:val="002060"/>
          <w:sz w:val="16"/>
          <w:szCs w:val="16"/>
        </w:rPr>
        <w:t>В 1915 г. был составлен проект модернизации батарей форта «Красная Горка», предусматривающий сокращение количества орудий и большее их разнесение (орудия снимались</w:t>
      </w:r>
      <w:r w:rsidR="00DB4D64" w:rsidRPr="00405303">
        <w:rPr>
          <w:bCs/>
          <w:color w:val="002060"/>
          <w:sz w:val="16"/>
          <w:szCs w:val="16"/>
        </w:rPr>
        <w:t xml:space="preserve"> </w:t>
      </w:r>
      <w:r w:rsidRPr="00405303">
        <w:rPr>
          <w:bCs/>
          <w:color w:val="002060"/>
          <w:sz w:val="16"/>
          <w:szCs w:val="16"/>
        </w:rPr>
        <w:t>через одно) с целью повышения живучести, но проект не был реализован (15132).</w:t>
      </w:r>
    </w:p>
    <w:p w14:paraId="6B18F18C" w14:textId="77777777" w:rsidR="00D97AF2" w:rsidRPr="00405303" w:rsidRDefault="00D97AF2" w:rsidP="00C15251">
      <w:pPr>
        <w:jc w:val="both"/>
        <w:rPr>
          <w:bCs/>
          <w:color w:val="002060"/>
          <w:sz w:val="16"/>
          <w:szCs w:val="16"/>
        </w:rPr>
      </w:pPr>
    </w:p>
    <w:p w14:paraId="36F78525" w14:textId="77777777" w:rsidR="00D97AF2" w:rsidRPr="00405303" w:rsidRDefault="00D97AF2" w:rsidP="00C15251">
      <w:pPr>
        <w:pStyle w:val="ae"/>
        <w:spacing w:before="0" w:beforeAutospacing="0" w:after="0" w:afterAutospacing="0"/>
        <w:jc w:val="both"/>
        <w:rPr>
          <w:bCs/>
          <w:color w:val="002060"/>
          <w:sz w:val="16"/>
          <w:szCs w:val="16"/>
        </w:rPr>
      </w:pPr>
      <w:r w:rsidRPr="00405303">
        <w:rPr>
          <w:bCs/>
          <w:color w:val="002060"/>
          <w:sz w:val="16"/>
          <w:szCs w:val="16"/>
        </w:rPr>
        <w:t>В 1915 г. обследование Петроградского орудийного завода показало исключительную скученность на заводе и отсутствие площади для развертывания производства, установки новых станков, организации складов и т. д. По заключению обследовавшей его комиссии, на заводе «перейден предел в смысле удобства работ и их безопасности»</w:t>
      </w:r>
      <w:bookmarkStart w:id="345" w:name="30r"/>
      <w:bookmarkEnd w:id="345"/>
      <w:r w:rsidR="00617EB0" w:rsidRPr="00405303">
        <w:rPr>
          <w:bCs/>
          <w:color w:val="002060"/>
          <w:sz w:val="16"/>
          <w:szCs w:val="16"/>
          <w:vertAlign w:val="superscript"/>
        </w:rPr>
        <w:fldChar w:fldCharType="begin"/>
      </w:r>
      <w:r w:rsidRPr="00405303">
        <w:rPr>
          <w:bCs/>
          <w:color w:val="002060"/>
          <w:sz w:val="16"/>
          <w:szCs w:val="16"/>
          <w:vertAlign w:val="superscript"/>
        </w:rPr>
        <w:instrText xml:space="preserve"> HYPERLINK "http://sergeyhry.narod.ru/txt/sidorov_a_l/econom_rus_ww1_002.htm" \l "30p" </w:instrText>
      </w:r>
      <w:r w:rsidR="00617EB0" w:rsidRPr="00405303">
        <w:rPr>
          <w:bCs/>
          <w:color w:val="002060"/>
          <w:sz w:val="16"/>
          <w:szCs w:val="16"/>
          <w:vertAlign w:val="superscript"/>
        </w:rPr>
      </w:r>
      <w:r w:rsidR="00617EB0" w:rsidRPr="00405303">
        <w:rPr>
          <w:bCs/>
          <w:color w:val="002060"/>
          <w:sz w:val="16"/>
          <w:szCs w:val="16"/>
          <w:vertAlign w:val="superscript"/>
        </w:rPr>
        <w:fldChar w:fldCharType="separate"/>
      </w:r>
      <w:r w:rsidRPr="00405303">
        <w:rPr>
          <w:rStyle w:val="ad"/>
          <w:bCs/>
          <w:color w:val="002060"/>
          <w:sz w:val="16"/>
          <w:szCs w:val="16"/>
          <w:vertAlign w:val="superscript"/>
        </w:rPr>
        <w:t>30</w:t>
      </w:r>
      <w:r w:rsidR="00617EB0" w:rsidRPr="00405303">
        <w:rPr>
          <w:bCs/>
          <w:color w:val="002060"/>
          <w:sz w:val="16"/>
          <w:szCs w:val="16"/>
          <w:vertAlign w:val="superscript"/>
        </w:rPr>
        <w:fldChar w:fldCharType="end"/>
      </w:r>
      <w:r w:rsidRPr="00405303">
        <w:rPr>
          <w:bCs/>
          <w:color w:val="002060"/>
          <w:sz w:val="16"/>
          <w:szCs w:val="16"/>
        </w:rPr>
        <w:t>. Окончательный вывод комиссии сводился к требованию перенести завод на новое место и расширить заготовительные цеха, кузницу, без чего военное ведомство «не будет иметь завода, на который оно могло бы опереться в деле снабжения армии»</w:t>
      </w:r>
      <w:bookmarkStart w:id="346" w:name="31r"/>
      <w:bookmarkEnd w:id="346"/>
      <w:r w:rsidRPr="00405303">
        <w:rPr>
          <w:bCs/>
          <w:color w:val="002060"/>
          <w:sz w:val="16"/>
          <w:szCs w:val="16"/>
        </w:rPr>
        <w:t xml:space="preserve"> (18524).</w:t>
      </w:r>
    </w:p>
    <w:p w14:paraId="50BB9B9B" w14:textId="77777777" w:rsidR="00D97AF2" w:rsidRPr="00405303" w:rsidRDefault="00D97AF2" w:rsidP="00C15251">
      <w:pPr>
        <w:pStyle w:val="ae"/>
        <w:spacing w:before="0" w:beforeAutospacing="0" w:after="0" w:afterAutospacing="0"/>
        <w:jc w:val="both"/>
        <w:rPr>
          <w:bCs/>
          <w:color w:val="002060"/>
          <w:sz w:val="16"/>
          <w:szCs w:val="16"/>
        </w:rPr>
      </w:pPr>
    </w:p>
    <w:p w14:paraId="5C969254" w14:textId="12E3C248" w:rsidR="004B4E35" w:rsidRPr="00405303" w:rsidRDefault="00015098"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Д</w:t>
      </w:r>
      <w:r w:rsidR="009E6F82" w:rsidRPr="00405303">
        <w:rPr>
          <w:bCs/>
          <w:i w:val="0"/>
          <w:color w:val="002060"/>
          <w:spacing w:val="0"/>
          <w:kern w:val="0"/>
          <w:position w:val="0"/>
          <w:sz w:val="16"/>
          <w:szCs w:val="16"/>
        </w:rPr>
        <w:t xml:space="preserve">о 1915 г. </w:t>
      </w:r>
      <w:r w:rsidRPr="00405303">
        <w:rPr>
          <w:bCs/>
          <w:i w:val="0"/>
          <w:color w:val="002060"/>
          <w:spacing w:val="0"/>
          <w:kern w:val="0"/>
          <w:position w:val="0"/>
          <w:sz w:val="16"/>
          <w:szCs w:val="16"/>
        </w:rPr>
        <w:t xml:space="preserve">азотная кислота </w:t>
      </w:r>
      <w:r w:rsidR="009E6F82" w:rsidRPr="00405303">
        <w:rPr>
          <w:bCs/>
          <w:i w:val="0"/>
          <w:color w:val="002060"/>
          <w:spacing w:val="0"/>
          <w:kern w:val="0"/>
          <w:position w:val="0"/>
          <w:sz w:val="16"/>
          <w:szCs w:val="16"/>
        </w:rPr>
        <w:t xml:space="preserve">добывалась из серной кислоты и чилийской селитры, покупаемой на золотую валюту, что ставило Россию в исключительную зависимость от доставки заграничной чилийской селитры. </w:t>
      </w:r>
    </w:p>
    <w:p w14:paraId="177882D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Академик В. Н. Ипатьев практически установил тогда новый способ добывания азотной кислоты и селитры из дешевого азота аммиачных вод. Но частных заводчиков пугала новизна дела, и они стремились остаться при установившихся ранее на их предприятиях производствах, тем более что заводы их были перегружены выгодными казенными заказами. </w:t>
      </w:r>
    </w:p>
    <w:p w14:paraId="053F981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Вследствие этого комиссия по заготовке взрывчатых веществ при ГАУ получила разрешение построить казенный завод азотной кислоты и аммиачной селитры. При этом последняя обходилась вдвое дешевле, чем поставляемая частный заводами, что при годичной выработке до 600.000 пудов аммиачной селитры давало экономию в сумме до 4.200.000 рублей, с избытком покрывавшую стоимость казенного завода, определившуюся приблизительно в 650.000 руб. </w:t>
      </w:r>
    </w:p>
    <w:p w14:paraId="73BB8AF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 Тем же академиком Ипатьевым доказана была полная возможность установки бензольного производства, уловлением отходящих газов коксовых печей, для добывания толуола, ксилила и нафталина. ГАУ разрешено было построить на юге России бензольный завод с ректификационной установкой для переработки сырых - бензола и нафталина. В конце 1916 г. завод был в полном ходу. Себестоимость 1 пуда сырого бензола обходилась на этом заводе в 79 коп., тогда как рыночная цена бензола была в то время около 5 рублей за пуд. </w:t>
      </w:r>
    </w:p>
    <w:p w14:paraId="7CCF1E4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3. По указаниию ГАУ, в одном из поволжских городов был переустроен газовый завод в нефтеперегонный, который приступил к производству с декабря 1915 г. и давал 1.000 - 2.000 пудов в месяц бензола, толуола. </w:t>
      </w:r>
    </w:p>
    <w:p w14:paraId="30C9E0C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4. Подобный же нефтеперегонный завод устроен был на Кавказе по постановлению Особого совещания по обороне 31 августа 1916 г. Центральным военно-промышленным комитетом по предложению промышленников Нобеля и Бенкендорффа. </w:t>
      </w:r>
    </w:p>
    <w:p w14:paraId="4BC077A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5. Главный комитет всероссийского и городского союзов по снабжению армии, получил разрешение Особого совещания по обороне устроить в Центральной Россия завод серной я азотной кислоты. ГАУ должно было предоставить бесплатно Главному комитету Земгора необходимые для постройки и эксплоатации завода 30 тыояч пудов свинца, 1 млн. пудов серного колчедана и потребное количество селитры, но с тем условием, чтобы вся вырабатываемая из нее азотная кислота сдавалась ГАУ. На эксплоатацию завода </w:t>
      </w:r>
      <w:proofErr w:type="gramStart"/>
      <w:r w:rsidRPr="00405303">
        <w:rPr>
          <w:bCs/>
          <w:i w:val="0"/>
          <w:color w:val="002060"/>
          <w:spacing w:val="0"/>
          <w:kern w:val="0"/>
          <w:position w:val="0"/>
          <w:sz w:val="16"/>
          <w:szCs w:val="16"/>
        </w:rPr>
        <w:t>еже-месячно</w:t>
      </w:r>
      <w:proofErr w:type="gramEnd"/>
      <w:r w:rsidRPr="00405303">
        <w:rPr>
          <w:bCs/>
          <w:i w:val="0"/>
          <w:color w:val="002060"/>
          <w:spacing w:val="0"/>
          <w:kern w:val="0"/>
          <w:position w:val="0"/>
          <w:sz w:val="16"/>
          <w:szCs w:val="16"/>
        </w:rPr>
        <w:t xml:space="preserve"> отпускалось по 60.000 руб. в виде аванса. Завод был пущен в ход в конце 1916 г. По окончании войны завод должен был поступить от Земгора в военное ведомство. </w:t>
      </w:r>
    </w:p>
    <w:p w14:paraId="31BA065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6. Зависимость европейского рынка от чилийской селитры, запасы которой нельзя было считать неистощимыми, побуждала найти практические способы изготовления азотной кислоты путем окисления азота воздуха. </w:t>
      </w:r>
    </w:p>
    <w:p w14:paraId="48925A4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Идея эта получила осуществление в Германии и Швеции, где были построены заводы с использованием даровой энергии водопадов. </w:t>
      </w:r>
    </w:p>
    <w:p w14:paraId="319E166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Подобный завод решено было построить в России на р. Суне, чтобы воспользоваться водяной силой ее водопадов. Завод должен был состоять из гидроэлектрической станции для получения значительного количества электрической энергии и кислотного завода, в котором при посредстве вольтовой дуги азот воздуха сжигался в особых игетах, а получаемые при этом окислы азота превращались в азотную кислоту. </w:t>
      </w:r>
    </w:p>
    <w:p w14:paraId="18CD771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7. Комиссия удушающих средств при ГАУ встретила большие затруднения в деле организации производства жидкого хлора в России. Из обследования, произведенного по поручению ГАУ специалистами, выяснилась полная возможность использования в этом деле финляндской промышленности, а также в области изготовления металлических баллонов для жидкого хлора. </w:t>
      </w:r>
    </w:p>
    <w:p w14:paraId="1D5F27E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Переговоры с финляндским Сенатом по вопросу оборудования заводов для производства жидкого хлора, начатые в августе 1915 г., тянулись целый год, и лишь 9 (22) августа 1916 г. Особое совещание по обороне решило передать заготовку жидкого хлора особой комиссии, учрежденной при Сенате, и на оборудование двух заводов отпустило 3.200.000 рублей. Комиссия была образована по образцу русских хозяйственных комиссий с участием представителей от русского правительства - от Государственного контроля и от Химического комитета - профессора Лялина, который председательствовал в комиссии. </w:t>
      </w:r>
    </w:p>
    <w:p w14:paraId="668B256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8. Попытка получить в России фосген от частной промышленности потерпела неудачу, вследствие назначения чрезвычайно высоких цен на жидкий фосген и отсутствия гарантий в своевременном выполнении заказов. </w:t>
      </w:r>
    </w:p>
    <w:p w14:paraId="0327DC9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Поэтому, имея в виду, главным образом, нормировку цен на фосген и скорейшее получение этого важного для обороны удушающего средства, комиссия УС при ГАУ установила необходимость постройки казенного фосгенного завода. </w:t>
      </w:r>
    </w:p>
    <w:p w14:paraId="2B46F28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Завод был построен в одном из городов Поволжья и пущен в ход в конце 1916 г. </w:t>
      </w:r>
    </w:p>
    <w:p w14:paraId="5BD25B0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9. В июле 1915 г. распоряжением главковерха (приказ № 625) организован был в районе Юго-западного фронта военно-химическпй завод для выработки хлорацетона, вызывающего слезотечение. До ноября 1915 г. завод находился в ведении начальника инженерных снабжений фронта, а затем поступил в распоряжение ГАУ, которое расширило завод, устроило в нем лабораторию и установило производство </w:t>
      </w:r>
      <w:proofErr w:type="gramStart"/>
      <w:r w:rsidRPr="00405303">
        <w:rPr>
          <w:bCs/>
          <w:i w:val="0"/>
          <w:color w:val="002060"/>
          <w:spacing w:val="0"/>
          <w:kern w:val="0"/>
          <w:position w:val="0"/>
          <w:sz w:val="16"/>
          <w:szCs w:val="16"/>
        </w:rPr>
        <w:t>хлор-пикрина</w:t>
      </w:r>
      <w:proofErr w:type="gramEnd"/>
      <w:r w:rsidRPr="00405303">
        <w:rPr>
          <w:bCs/>
          <w:i w:val="0"/>
          <w:color w:val="002060"/>
          <w:spacing w:val="0"/>
          <w:kern w:val="0"/>
          <w:position w:val="0"/>
          <w:sz w:val="16"/>
          <w:szCs w:val="16"/>
        </w:rPr>
        <w:t xml:space="preserve"> (11483).</w:t>
      </w:r>
    </w:p>
    <w:p w14:paraId="2FFA879D" w14:textId="77777777" w:rsidR="004B4E35" w:rsidRPr="00405303" w:rsidRDefault="004B4E35" w:rsidP="00C15251">
      <w:pPr>
        <w:pStyle w:val="a3"/>
        <w:jc w:val="both"/>
        <w:rPr>
          <w:bCs/>
          <w:i w:val="0"/>
          <w:color w:val="002060"/>
          <w:spacing w:val="0"/>
          <w:kern w:val="0"/>
          <w:position w:val="0"/>
          <w:sz w:val="16"/>
          <w:szCs w:val="16"/>
        </w:rPr>
      </w:pPr>
    </w:p>
    <w:p w14:paraId="63C09620" w14:textId="5DBE65AB" w:rsidR="004B4E35" w:rsidRPr="00405303" w:rsidRDefault="00015098"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w:t>
      </w:r>
      <w:r w:rsidR="009E6F82" w:rsidRPr="00405303">
        <w:rPr>
          <w:bCs/>
          <w:i w:val="0"/>
          <w:color w:val="002060"/>
          <w:spacing w:val="0"/>
          <w:kern w:val="0"/>
          <w:position w:val="0"/>
          <w:sz w:val="16"/>
          <w:szCs w:val="16"/>
        </w:rPr>
        <w:t xml:space="preserve"> 1915 </w:t>
      </w:r>
      <w:r w:rsidRPr="00405303">
        <w:rPr>
          <w:bCs/>
          <w:i w:val="0"/>
          <w:color w:val="002060"/>
          <w:spacing w:val="0"/>
          <w:kern w:val="0"/>
          <w:position w:val="0"/>
          <w:sz w:val="16"/>
          <w:szCs w:val="16"/>
        </w:rPr>
        <w:t xml:space="preserve">г. Нефедьев, установившийо </w:t>
      </w:r>
      <w:r w:rsidR="009E6F82" w:rsidRPr="00405303">
        <w:rPr>
          <w:bCs/>
          <w:i w:val="0"/>
          <w:color w:val="002060"/>
          <w:spacing w:val="0"/>
          <w:kern w:val="0"/>
          <w:position w:val="0"/>
          <w:sz w:val="16"/>
          <w:szCs w:val="16"/>
        </w:rPr>
        <w:t>обработку 122-мм гранат в железнодорожных мастерских (в Харькове)</w:t>
      </w:r>
      <w:r w:rsidRPr="00405303">
        <w:rPr>
          <w:bCs/>
          <w:i w:val="0"/>
          <w:color w:val="002060"/>
          <w:spacing w:val="0"/>
          <w:kern w:val="0"/>
          <w:position w:val="0"/>
          <w:sz w:val="16"/>
          <w:szCs w:val="16"/>
        </w:rPr>
        <w:t>,</w:t>
      </w:r>
      <w:r w:rsidR="009E6F82" w:rsidRPr="00405303">
        <w:rPr>
          <w:bCs/>
          <w:i w:val="0"/>
          <w:color w:val="002060"/>
          <w:spacing w:val="0"/>
          <w:kern w:val="0"/>
          <w:position w:val="0"/>
          <w:sz w:val="16"/>
          <w:szCs w:val="16"/>
        </w:rPr>
        <w:t xml:space="preserve"> поставил в прямую связь пройденную при этом "школу" с происшедшим резким улучшением в ремонте паровозов в названных мастерских, в которых до этого времени не имели понятия о "такой точности" работы. </w:t>
      </w:r>
    </w:p>
    <w:p w14:paraId="6E4C36C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Все сказанное выше относится к наиболее простым (по требуемой точности) предметам боевого снабжения, как, например, артиллерийские снаряды, капсюльные втулки, трубки упрошенных образцов, ручные гранаты, бомбометы, минометы. Производство же более сложных предметов, как винтовки, пулеметы, дистанционные трубки, взрыватели безопасного типа, артиллерийские орудия, уже настолько сложно и своеобразно, что является посильным лишь солидным заводам, занимающимся специально выработкой этих предметов. И потому заводы, хотя и мощные по своему техническому оборудованию и располагающие выдающимся техническим персоналом, но раньше не занимавшиеся массовым изготовлением предметов боевого снабжения, все же требуют, как показал опыт мировой войны, для налаживания у себя такого производства значительного срока. </w:t>
      </w:r>
    </w:p>
    <w:p w14:paraId="7CDEFC8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Ниже приводится ряд примеров, ярко иллюстрирующих сказанное, а чтобы охарактеризовать числовыми данными сложность и степень требуемой точности в подобных производствах, в таблице 5 указываются такие данные по отношению к некоторым предметам. </w:t>
      </w:r>
    </w:p>
    <w:p w14:paraId="118AF81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последней графе таблицы 5 приведены числа, характеризующие "точность" требуемой работы. Столь высокая точность при выработке некоторых военных изделий, как, например, орудия, винтовки и пулеметы, необходима ввиду требования "взаимозаменяемости" отдельных частей, которые в виде "запаса" рассылаются вместе с орудиями, винтовками и пулеметами и сопутствуют войскам до их боевых позиций. Это дает возможность, быстро восстановить пригодность оружия без отправки его на завод - простой и скорой заменой испортившейся части запасной частью. И так как почти все части выдерживают при стрельбе громадные давления, то пригонка </w:t>
      </w:r>
      <w:r w:rsidRPr="00405303">
        <w:rPr>
          <w:bCs/>
          <w:i w:val="0"/>
          <w:color w:val="002060"/>
          <w:spacing w:val="0"/>
          <w:kern w:val="0"/>
          <w:position w:val="0"/>
          <w:sz w:val="16"/>
          <w:szCs w:val="16"/>
        </w:rPr>
        <w:lastRenderedPageBreak/>
        <w:t xml:space="preserve">их должна быть, во избежание прорывов, очень плотной. Вот почему и всякая запасная часть, чтобы притаись вплотную к любому экземпляру оружия, должна быть сработана с общею для всех большой точностью. Эта точность поверяется особыми измерительными приборами - лекалами, число которых, как видно из таблицы, очень велико. Самое изготовление лекал - дело исключительно трудное, доступное лишь высококвалифицированным мастерам. А так как от употребления эти лекала неизбежно стираются, то после некоторого износа они уже становятся непригодными и заменяются новыми. Для определения степени износа существуют особые "справочные" лекала, по которым и изготовляются рабочие серии лекал. А чтобы быть уверенными в точности самих "справочных" лекал, на каждом заводе имеется специальная серия особо тщательно хранимых "образцовых" лекал, никогда не пускаемых в работу и служащих лишь для проверки по ним "справочных" серий. Если к сказанному добавить, что лекала готовятся (для меньшей изнашиваемости) из закаленной стали, окончательную отделку размеров которой можно производить лишь после длительного промежутка времени (когда исчезнут неизбежные при всякой закалке разные внутренние натяжения, то станет ясным, как трудна, длительна и дорога эта работа и какого искусства и технических средств требует она от завода. </w:t>
      </w:r>
    </w:p>
    <w:p w14:paraId="1B5CB95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Таблица 5*</w:t>
      </w:r>
    </w:p>
    <w:tbl>
      <w:tblPr>
        <w:tblW w:w="0" w:type="auto"/>
        <w:tblInd w:w="15" w:type="dxa"/>
        <w:tblLayout w:type="fixed"/>
        <w:tblCellMar>
          <w:left w:w="7" w:type="dxa"/>
          <w:right w:w="7" w:type="dxa"/>
        </w:tblCellMar>
        <w:tblLook w:val="0000" w:firstRow="0" w:lastRow="0" w:firstColumn="0" w:lastColumn="0" w:noHBand="0" w:noVBand="0"/>
      </w:tblPr>
      <w:tblGrid>
        <w:gridCol w:w="4680"/>
        <w:gridCol w:w="2340"/>
        <w:gridCol w:w="2340"/>
        <w:gridCol w:w="2340"/>
        <w:gridCol w:w="2340"/>
        <w:gridCol w:w="2340"/>
        <w:gridCol w:w="2340"/>
        <w:gridCol w:w="2340"/>
        <w:gridCol w:w="2340"/>
        <w:gridCol w:w="2340"/>
        <w:gridCol w:w="2340"/>
      </w:tblGrid>
      <w:tr w:rsidR="00946658" w:rsidRPr="00405303" w14:paraId="36FABCFF" w14:textId="77777777" w:rsidTr="00946658">
        <w:tc>
          <w:tcPr>
            <w:tcW w:w="4680" w:type="dxa"/>
            <w:tcBorders>
              <w:top w:val="single" w:sz="12" w:space="0" w:color="auto"/>
              <w:left w:val="single" w:sz="12" w:space="0" w:color="auto"/>
              <w:bottom w:val="single" w:sz="6" w:space="0" w:color="auto"/>
              <w:right w:val="single" w:sz="6" w:space="0" w:color="auto"/>
            </w:tcBorders>
          </w:tcPr>
          <w:p w14:paraId="4F3E10E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Изделия </w:t>
            </w:r>
          </w:p>
        </w:tc>
        <w:tc>
          <w:tcPr>
            <w:tcW w:w="2340" w:type="dxa"/>
            <w:tcBorders>
              <w:top w:val="single" w:sz="12" w:space="0" w:color="auto"/>
              <w:left w:val="single" w:sz="6" w:space="0" w:color="auto"/>
              <w:bottom w:val="single" w:sz="6" w:space="0" w:color="auto"/>
              <w:right w:val="single" w:sz="6" w:space="0" w:color="auto"/>
            </w:tcBorders>
          </w:tcPr>
          <w:p w14:paraId="1B1C05E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Число отдельных частей </w:t>
            </w:r>
          </w:p>
        </w:tc>
        <w:tc>
          <w:tcPr>
            <w:tcW w:w="2340" w:type="dxa"/>
            <w:tcBorders>
              <w:top w:val="single" w:sz="12" w:space="0" w:color="auto"/>
              <w:left w:val="single" w:sz="6" w:space="0" w:color="auto"/>
              <w:bottom w:val="single" w:sz="6" w:space="0" w:color="auto"/>
              <w:right w:val="single" w:sz="6" w:space="0" w:color="auto"/>
            </w:tcBorders>
          </w:tcPr>
          <w:p w14:paraId="1D1C26E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Число переходов </w:t>
            </w:r>
          </w:p>
        </w:tc>
        <w:tc>
          <w:tcPr>
            <w:tcW w:w="2340" w:type="dxa"/>
            <w:tcBorders>
              <w:top w:val="single" w:sz="12" w:space="0" w:color="auto"/>
              <w:left w:val="single" w:sz="6" w:space="0" w:color="auto"/>
              <w:bottom w:val="single" w:sz="6" w:space="0" w:color="auto"/>
              <w:right w:val="single" w:sz="12" w:space="0" w:color="auto"/>
            </w:tcBorders>
          </w:tcPr>
          <w:p w14:paraId="5C0DECB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Число лекал </w:t>
            </w:r>
          </w:p>
        </w:tc>
        <w:tc>
          <w:tcPr>
            <w:tcW w:w="2340" w:type="dxa"/>
            <w:tcBorders>
              <w:left w:val="nil"/>
            </w:tcBorders>
          </w:tcPr>
          <w:p w14:paraId="1D3E550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Число обмеров </w:t>
            </w:r>
          </w:p>
        </w:tc>
        <w:tc>
          <w:tcPr>
            <w:tcW w:w="2340" w:type="dxa"/>
          </w:tcPr>
          <w:p w14:paraId="7B50209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Число потребных станков на одно изделие (в смену) </w:t>
            </w:r>
          </w:p>
        </w:tc>
        <w:tc>
          <w:tcPr>
            <w:tcW w:w="2340" w:type="dxa"/>
          </w:tcPr>
          <w:p w14:paraId="4BFF2C2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Число рабочих на одно изделие (суточный выход) </w:t>
            </w:r>
          </w:p>
        </w:tc>
        <w:tc>
          <w:tcPr>
            <w:tcW w:w="4680" w:type="dxa"/>
            <w:gridSpan w:val="2"/>
          </w:tcPr>
          <w:p w14:paraId="174DB23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Время работы на одно изделие </w:t>
            </w:r>
          </w:p>
        </w:tc>
        <w:tc>
          <w:tcPr>
            <w:tcW w:w="2340" w:type="dxa"/>
          </w:tcPr>
          <w:p w14:paraId="1ABA4D2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Средний вес потребных станков в кг. </w:t>
            </w:r>
          </w:p>
        </w:tc>
        <w:tc>
          <w:tcPr>
            <w:tcW w:w="2340" w:type="dxa"/>
          </w:tcPr>
          <w:p w14:paraId="782ED05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Требуемая точность работы в мм </w:t>
            </w:r>
          </w:p>
        </w:tc>
      </w:tr>
      <w:tr w:rsidR="004B4E35" w:rsidRPr="00405303" w14:paraId="3A21C797" w14:textId="77777777">
        <w:tc>
          <w:tcPr>
            <w:tcW w:w="4680" w:type="dxa"/>
            <w:tcBorders>
              <w:top w:val="single" w:sz="6" w:space="0" w:color="auto"/>
              <w:left w:val="single" w:sz="12" w:space="0" w:color="auto"/>
              <w:bottom w:val="single" w:sz="6" w:space="0" w:color="auto"/>
              <w:right w:val="single" w:sz="6" w:space="0" w:color="auto"/>
            </w:tcBorders>
          </w:tcPr>
          <w:p w14:paraId="4C3148FE" w14:textId="77777777" w:rsidR="004B4E35" w:rsidRPr="00405303" w:rsidRDefault="004B4E35" w:rsidP="00C15251">
            <w:pPr>
              <w:pStyle w:val="a3"/>
              <w:jc w:val="both"/>
              <w:rPr>
                <w:bCs/>
                <w:i w:val="0"/>
                <w:color w:val="002060"/>
                <w:spacing w:val="0"/>
                <w:kern w:val="0"/>
                <w:position w:val="0"/>
                <w:sz w:val="16"/>
                <w:szCs w:val="16"/>
              </w:rPr>
            </w:pPr>
          </w:p>
        </w:tc>
        <w:tc>
          <w:tcPr>
            <w:tcW w:w="2340" w:type="dxa"/>
            <w:tcBorders>
              <w:top w:val="single" w:sz="6" w:space="0" w:color="auto"/>
              <w:left w:val="single" w:sz="6" w:space="0" w:color="auto"/>
              <w:bottom w:val="single" w:sz="6" w:space="0" w:color="auto"/>
              <w:right w:val="single" w:sz="6" w:space="0" w:color="auto"/>
            </w:tcBorders>
          </w:tcPr>
          <w:p w14:paraId="19CA279F" w14:textId="77777777" w:rsidR="004B4E35" w:rsidRPr="00405303" w:rsidRDefault="004B4E35" w:rsidP="00C15251">
            <w:pPr>
              <w:pStyle w:val="a3"/>
              <w:jc w:val="both"/>
              <w:rPr>
                <w:bCs/>
                <w:i w:val="0"/>
                <w:color w:val="002060"/>
                <w:spacing w:val="0"/>
                <w:kern w:val="0"/>
                <w:position w:val="0"/>
                <w:sz w:val="16"/>
                <w:szCs w:val="16"/>
              </w:rPr>
            </w:pPr>
          </w:p>
        </w:tc>
        <w:tc>
          <w:tcPr>
            <w:tcW w:w="2340" w:type="dxa"/>
            <w:tcBorders>
              <w:top w:val="single" w:sz="6" w:space="0" w:color="auto"/>
              <w:left w:val="single" w:sz="6" w:space="0" w:color="auto"/>
              <w:bottom w:val="single" w:sz="6" w:space="0" w:color="auto"/>
              <w:right w:val="single" w:sz="6" w:space="0" w:color="auto"/>
            </w:tcBorders>
          </w:tcPr>
          <w:p w14:paraId="7B5EAF16" w14:textId="77777777" w:rsidR="004B4E35" w:rsidRPr="00405303" w:rsidRDefault="004B4E35" w:rsidP="00C15251">
            <w:pPr>
              <w:pStyle w:val="a3"/>
              <w:jc w:val="both"/>
              <w:rPr>
                <w:bCs/>
                <w:i w:val="0"/>
                <w:color w:val="002060"/>
                <w:spacing w:val="0"/>
                <w:kern w:val="0"/>
                <w:position w:val="0"/>
                <w:sz w:val="16"/>
                <w:szCs w:val="16"/>
              </w:rPr>
            </w:pPr>
          </w:p>
        </w:tc>
        <w:tc>
          <w:tcPr>
            <w:tcW w:w="2340" w:type="dxa"/>
            <w:tcBorders>
              <w:top w:val="single" w:sz="6" w:space="0" w:color="auto"/>
              <w:left w:val="single" w:sz="6" w:space="0" w:color="auto"/>
              <w:bottom w:val="single" w:sz="6" w:space="0" w:color="auto"/>
              <w:right w:val="single" w:sz="12" w:space="0" w:color="auto"/>
            </w:tcBorders>
          </w:tcPr>
          <w:p w14:paraId="7A6FE543" w14:textId="77777777" w:rsidR="004B4E35" w:rsidRPr="00405303" w:rsidRDefault="004B4E35" w:rsidP="00C15251">
            <w:pPr>
              <w:pStyle w:val="a3"/>
              <w:jc w:val="both"/>
              <w:rPr>
                <w:bCs/>
                <w:i w:val="0"/>
                <w:color w:val="002060"/>
                <w:spacing w:val="0"/>
                <w:kern w:val="0"/>
                <w:position w:val="0"/>
                <w:sz w:val="16"/>
                <w:szCs w:val="16"/>
              </w:rPr>
            </w:pPr>
          </w:p>
        </w:tc>
        <w:tc>
          <w:tcPr>
            <w:tcW w:w="2340" w:type="dxa"/>
            <w:tcBorders>
              <w:left w:val="nil"/>
            </w:tcBorders>
          </w:tcPr>
          <w:p w14:paraId="31BB285D" w14:textId="77777777" w:rsidR="004B4E35" w:rsidRPr="00405303" w:rsidRDefault="004B4E35" w:rsidP="00C15251">
            <w:pPr>
              <w:pStyle w:val="a3"/>
              <w:jc w:val="both"/>
              <w:rPr>
                <w:bCs/>
                <w:i w:val="0"/>
                <w:color w:val="002060"/>
                <w:spacing w:val="0"/>
                <w:kern w:val="0"/>
                <w:position w:val="0"/>
                <w:sz w:val="16"/>
                <w:szCs w:val="16"/>
              </w:rPr>
            </w:pPr>
          </w:p>
        </w:tc>
        <w:tc>
          <w:tcPr>
            <w:tcW w:w="2340" w:type="dxa"/>
          </w:tcPr>
          <w:p w14:paraId="74083659" w14:textId="77777777" w:rsidR="004B4E35" w:rsidRPr="00405303" w:rsidRDefault="004B4E35" w:rsidP="00C15251">
            <w:pPr>
              <w:pStyle w:val="a3"/>
              <w:jc w:val="both"/>
              <w:rPr>
                <w:bCs/>
                <w:i w:val="0"/>
                <w:color w:val="002060"/>
                <w:spacing w:val="0"/>
                <w:kern w:val="0"/>
                <w:position w:val="0"/>
                <w:sz w:val="16"/>
                <w:szCs w:val="16"/>
              </w:rPr>
            </w:pPr>
          </w:p>
        </w:tc>
        <w:tc>
          <w:tcPr>
            <w:tcW w:w="2340" w:type="dxa"/>
          </w:tcPr>
          <w:p w14:paraId="7A19E7DE" w14:textId="77777777" w:rsidR="004B4E35" w:rsidRPr="00405303" w:rsidRDefault="004B4E35" w:rsidP="00C15251">
            <w:pPr>
              <w:pStyle w:val="a3"/>
              <w:jc w:val="both"/>
              <w:rPr>
                <w:bCs/>
                <w:i w:val="0"/>
                <w:color w:val="002060"/>
                <w:spacing w:val="0"/>
                <w:kern w:val="0"/>
                <w:position w:val="0"/>
                <w:sz w:val="16"/>
                <w:szCs w:val="16"/>
              </w:rPr>
            </w:pPr>
          </w:p>
        </w:tc>
        <w:tc>
          <w:tcPr>
            <w:tcW w:w="2340" w:type="dxa"/>
          </w:tcPr>
          <w:p w14:paraId="4EE1337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а) одной работы (чистое время) часов. </w:t>
            </w:r>
          </w:p>
        </w:tc>
        <w:tc>
          <w:tcPr>
            <w:tcW w:w="2340" w:type="dxa"/>
          </w:tcPr>
          <w:p w14:paraId="307F89B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б) фактическое прохождение всех переходов, месяцев. </w:t>
            </w:r>
          </w:p>
        </w:tc>
        <w:tc>
          <w:tcPr>
            <w:tcW w:w="2340" w:type="dxa"/>
          </w:tcPr>
          <w:p w14:paraId="27D3CBAA" w14:textId="77777777" w:rsidR="004B4E35" w:rsidRPr="00405303" w:rsidRDefault="004B4E35" w:rsidP="00C15251">
            <w:pPr>
              <w:pStyle w:val="a3"/>
              <w:jc w:val="both"/>
              <w:rPr>
                <w:bCs/>
                <w:i w:val="0"/>
                <w:color w:val="002060"/>
                <w:spacing w:val="0"/>
                <w:kern w:val="0"/>
                <w:position w:val="0"/>
                <w:sz w:val="16"/>
                <w:szCs w:val="16"/>
              </w:rPr>
            </w:pPr>
          </w:p>
        </w:tc>
        <w:tc>
          <w:tcPr>
            <w:tcW w:w="2340" w:type="dxa"/>
          </w:tcPr>
          <w:p w14:paraId="0338EE7C" w14:textId="77777777" w:rsidR="004B4E35" w:rsidRPr="00405303" w:rsidRDefault="004B4E35" w:rsidP="00C15251">
            <w:pPr>
              <w:pStyle w:val="a3"/>
              <w:jc w:val="both"/>
              <w:rPr>
                <w:bCs/>
                <w:i w:val="0"/>
                <w:color w:val="002060"/>
                <w:spacing w:val="0"/>
                <w:kern w:val="0"/>
                <w:position w:val="0"/>
                <w:sz w:val="16"/>
                <w:szCs w:val="16"/>
              </w:rPr>
            </w:pPr>
          </w:p>
        </w:tc>
      </w:tr>
      <w:tr w:rsidR="004B4E35" w:rsidRPr="00405303" w14:paraId="0360FAC4" w14:textId="77777777">
        <w:tc>
          <w:tcPr>
            <w:tcW w:w="4680" w:type="dxa"/>
            <w:tcBorders>
              <w:top w:val="single" w:sz="6" w:space="0" w:color="auto"/>
              <w:left w:val="single" w:sz="12" w:space="0" w:color="auto"/>
              <w:bottom w:val="single" w:sz="6" w:space="0" w:color="auto"/>
              <w:right w:val="single" w:sz="6" w:space="0" w:color="auto"/>
            </w:tcBorders>
          </w:tcPr>
          <w:p w14:paraId="3CF2BCB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Винтовка </w:t>
            </w:r>
          </w:p>
        </w:tc>
        <w:tc>
          <w:tcPr>
            <w:tcW w:w="2340" w:type="dxa"/>
            <w:tcBorders>
              <w:top w:val="single" w:sz="6" w:space="0" w:color="auto"/>
              <w:left w:val="single" w:sz="6" w:space="0" w:color="auto"/>
              <w:bottom w:val="single" w:sz="6" w:space="0" w:color="auto"/>
              <w:right w:val="single" w:sz="6" w:space="0" w:color="auto"/>
            </w:tcBorders>
          </w:tcPr>
          <w:p w14:paraId="473E35D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156 </w:t>
            </w:r>
          </w:p>
        </w:tc>
        <w:tc>
          <w:tcPr>
            <w:tcW w:w="2340" w:type="dxa"/>
            <w:tcBorders>
              <w:top w:val="single" w:sz="6" w:space="0" w:color="auto"/>
              <w:left w:val="single" w:sz="6" w:space="0" w:color="auto"/>
              <w:bottom w:val="single" w:sz="6" w:space="0" w:color="auto"/>
              <w:right w:val="single" w:sz="6" w:space="0" w:color="auto"/>
            </w:tcBorders>
          </w:tcPr>
          <w:p w14:paraId="38A5050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1 424 </w:t>
            </w:r>
          </w:p>
        </w:tc>
        <w:tc>
          <w:tcPr>
            <w:tcW w:w="2340" w:type="dxa"/>
            <w:tcBorders>
              <w:top w:val="single" w:sz="6" w:space="0" w:color="auto"/>
              <w:left w:val="single" w:sz="6" w:space="0" w:color="auto"/>
              <w:bottom w:val="single" w:sz="6" w:space="0" w:color="auto"/>
              <w:right w:val="single" w:sz="12" w:space="0" w:color="auto"/>
            </w:tcBorders>
          </w:tcPr>
          <w:p w14:paraId="2DBF8C2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540 </w:t>
            </w:r>
          </w:p>
        </w:tc>
        <w:tc>
          <w:tcPr>
            <w:tcW w:w="2340" w:type="dxa"/>
            <w:tcBorders>
              <w:left w:val="nil"/>
            </w:tcBorders>
          </w:tcPr>
          <w:p w14:paraId="28718CF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812 </w:t>
            </w:r>
          </w:p>
        </w:tc>
        <w:tc>
          <w:tcPr>
            <w:tcW w:w="2340" w:type="dxa"/>
          </w:tcPr>
          <w:p w14:paraId="273A9C4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4,3 </w:t>
            </w:r>
          </w:p>
        </w:tc>
        <w:tc>
          <w:tcPr>
            <w:tcW w:w="2340" w:type="dxa"/>
          </w:tcPr>
          <w:p w14:paraId="0E8B206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7 </w:t>
            </w:r>
          </w:p>
        </w:tc>
        <w:tc>
          <w:tcPr>
            <w:tcW w:w="2340" w:type="dxa"/>
          </w:tcPr>
          <w:p w14:paraId="0A65B3A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35 </w:t>
            </w:r>
          </w:p>
        </w:tc>
        <w:tc>
          <w:tcPr>
            <w:tcW w:w="2340" w:type="dxa"/>
          </w:tcPr>
          <w:p w14:paraId="7AA9F10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6 </w:t>
            </w:r>
          </w:p>
        </w:tc>
        <w:tc>
          <w:tcPr>
            <w:tcW w:w="2340" w:type="dxa"/>
          </w:tcPr>
          <w:p w14:paraId="6490477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около 800-900 кг </w:t>
            </w:r>
          </w:p>
        </w:tc>
        <w:tc>
          <w:tcPr>
            <w:tcW w:w="2340" w:type="dxa"/>
          </w:tcPr>
          <w:p w14:paraId="0E12D42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от 0,127 до 0,025 </w:t>
            </w:r>
          </w:p>
        </w:tc>
      </w:tr>
      <w:tr w:rsidR="004B4E35" w:rsidRPr="00405303" w14:paraId="4689E576" w14:textId="77777777">
        <w:tc>
          <w:tcPr>
            <w:tcW w:w="4680" w:type="dxa"/>
            <w:tcBorders>
              <w:top w:val="single" w:sz="6" w:space="0" w:color="auto"/>
              <w:left w:val="single" w:sz="12" w:space="0" w:color="auto"/>
              <w:bottom w:val="single" w:sz="6" w:space="0" w:color="auto"/>
              <w:right w:val="single" w:sz="6" w:space="0" w:color="auto"/>
            </w:tcBorders>
          </w:tcPr>
          <w:p w14:paraId="3A80DF9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Револьвер </w:t>
            </w:r>
          </w:p>
        </w:tc>
        <w:tc>
          <w:tcPr>
            <w:tcW w:w="2340" w:type="dxa"/>
            <w:tcBorders>
              <w:top w:val="single" w:sz="6" w:space="0" w:color="auto"/>
              <w:left w:val="single" w:sz="6" w:space="0" w:color="auto"/>
              <w:bottom w:val="single" w:sz="6" w:space="0" w:color="auto"/>
              <w:right w:val="single" w:sz="6" w:space="0" w:color="auto"/>
            </w:tcBorders>
          </w:tcPr>
          <w:p w14:paraId="7D0E41A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54 </w:t>
            </w:r>
          </w:p>
        </w:tc>
        <w:tc>
          <w:tcPr>
            <w:tcW w:w="2340" w:type="dxa"/>
            <w:tcBorders>
              <w:top w:val="single" w:sz="6" w:space="0" w:color="auto"/>
              <w:left w:val="single" w:sz="6" w:space="0" w:color="auto"/>
              <w:bottom w:val="single" w:sz="6" w:space="0" w:color="auto"/>
              <w:right w:val="single" w:sz="6" w:space="0" w:color="auto"/>
            </w:tcBorders>
          </w:tcPr>
          <w:p w14:paraId="26FA6EE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817 </w:t>
            </w:r>
          </w:p>
        </w:tc>
        <w:tc>
          <w:tcPr>
            <w:tcW w:w="2340" w:type="dxa"/>
            <w:tcBorders>
              <w:top w:val="single" w:sz="6" w:space="0" w:color="auto"/>
              <w:left w:val="single" w:sz="6" w:space="0" w:color="auto"/>
              <w:bottom w:val="single" w:sz="6" w:space="0" w:color="auto"/>
              <w:right w:val="single" w:sz="12" w:space="0" w:color="auto"/>
            </w:tcBorders>
          </w:tcPr>
          <w:p w14:paraId="707E554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424 </w:t>
            </w:r>
          </w:p>
        </w:tc>
        <w:tc>
          <w:tcPr>
            <w:tcW w:w="2340" w:type="dxa"/>
            <w:tcBorders>
              <w:left w:val="nil"/>
            </w:tcBorders>
          </w:tcPr>
          <w:p w14:paraId="399AAD8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562 </w:t>
            </w:r>
          </w:p>
        </w:tc>
        <w:tc>
          <w:tcPr>
            <w:tcW w:w="2340" w:type="dxa"/>
          </w:tcPr>
          <w:p w14:paraId="7E00165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3,0 </w:t>
            </w:r>
          </w:p>
        </w:tc>
        <w:tc>
          <w:tcPr>
            <w:tcW w:w="2340" w:type="dxa"/>
          </w:tcPr>
          <w:p w14:paraId="646602F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5 </w:t>
            </w:r>
          </w:p>
        </w:tc>
        <w:tc>
          <w:tcPr>
            <w:tcW w:w="2340" w:type="dxa"/>
          </w:tcPr>
          <w:p w14:paraId="388B8A6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24 </w:t>
            </w:r>
          </w:p>
        </w:tc>
        <w:tc>
          <w:tcPr>
            <w:tcW w:w="2340" w:type="dxa"/>
          </w:tcPr>
          <w:p w14:paraId="5C4A5E3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4 </w:t>
            </w:r>
          </w:p>
        </w:tc>
        <w:tc>
          <w:tcPr>
            <w:tcW w:w="2340" w:type="dxa"/>
          </w:tcPr>
          <w:p w14:paraId="2C0E913F" w14:textId="77777777" w:rsidR="004B4E35" w:rsidRPr="00405303" w:rsidRDefault="004B4E35" w:rsidP="00C15251">
            <w:pPr>
              <w:pStyle w:val="a3"/>
              <w:jc w:val="both"/>
              <w:rPr>
                <w:bCs/>
                <w:i w:val="0"/>
                <w:color w:val="002060"/>
                <w:spacing w:val="0"/>
                <w:kern w:val="0"/>
                <w:position w:val="0"/>
                <w:sz w:val="16"/>
                <w:szCs w:val="16"/>
              </w:rPr>
            </w:pPr>
          </w:p>
        </w:tc>
        <w:tc>
          <w:tcPr>
            <w:tcW w:w="2340" w:type="dxa"/>
          </w:tcPr>
          <w:p w14:paraId="45E6E91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от 0,127 до 0,005 </w:t>
            </w:r>
          </w:p>
        </w:tc>
      </w:tr>
      <w:tr w:rsidR="004B4E35" w:rsidRPr="00405303" w14:paraId="2620C1C5" w14:textId="77777777">
        <w:tc>
          <w:tcPr>
            <w:tcW w:w="4680" w:type="dxa"/>
            <w:tcBorders>
              <w:top w:val="single" w:sz="6" w:space="0" w:color="auto"/>
              <w:left w:val="single" w:sz="12" w:space="0" w:color="auto"/>
              <w:bottom w:val="single" w:sz="6" w:space="0" w:color="auto"/>
              <w:right w:val="single" w:sz="6" w:space="0" w:color="auto"/>
            </w:tcBorders>
          </w:tcPr>
          <w:p w14:paraId="3334B73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Пулемет </w:t>
            </w:r>
          </w:p>
        </w:tc>
        <w:tc>
          <w:tcPr>
            <w:tcW w:w="2340" w:type="dxa"/>
            <w:tcBorders>
              <w:top w:val="single" w:sz="6" w:space="0" w:color="auto"/>
              <w:left w:val="single" w:sz="6" w:space="0" w:color="auto"/>
              <w:bottom w:val="single" w:sz="6" w:space="0" w:color="auto"/>
              <w:right w:val="single" w:sz="6" w:space="0" w:color="auto"/>
            </w:tcBorders>
          </w:tcPr>
          <w:p w14:paraId="08664AB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282 </w:t>
            </w:r>
          </w:p>
        </w:tc>
        <w:tc>
          <w:tcPr>
            <w:tcW w:w="2340" w:type="dxa"/>
            <w:tcBorders>
              <w:top w:val="single" w:sz="6" w:space="0" w:color="auto"/>
              <w:left w:val="single" w:sz="6" w:space="0" w:color="auto"/>
              <w:bottom w:val="single" w:sz="6" w:space="0" w:color="auto"/>
              <w:right w:val="single" w:sz="6" w:space="0" w:color="auto"/>
            </w:tcBorders>
          </w:tcPr>
          <w:p w14:paraId="574C569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2 422 </w:t>
            </w:r>
          </w:p>
        </w:tc>
        <w:tc>
          <w:tcPr>
            <w:tcW w:w="2340" w:type="dxa"/>
            <w:tcBorders>
              <w:top w:val="single" w:sz="6" w:space="0" w:color="auto"/>
              <w:left w:val="single" w:sz="6" w:space="0" w:color="auto"/>
              <w:bottom w:val="single" w:sz="6" w:space="0" w:color="auto"/>
              <w:right w:val="single" w:sz="12" w:space="0" w:color="auto"/>
            </w:tcBorders>
          </w:tcPr>
          <w:p w14:paraId="26A2ED7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830 </w:t>
            </w:r>
          </w:p>
        </w:tc>
        <w:tc>
          <w:tcPr>
            <w:tcW w:w="2340" w:type="dxa"/>
            <w:tcBorders>
              <w:left w:val="nil"/>
            </w:tcBorders>
          </w:tcPr>
          <w:p w14:paraId="537BFB4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1 054 </w:t>
            </w:r>
          </w:p>
        </w:tc>
        <w:tc>
          <w:tcPr>
            <w:tcW w:w="2340" w:type="dxa"/>
          </w:tcPr>
          <w:p w14:paraId="56642DA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40,0 </w:t>
            </w:r>
          </w:p>
        </w:tc>
        <w:tc>
          <w:tcPr>
            <w:tcW w:w="2340" w:type="dxa"/>
          </w:tcPr>
          <w:p w14:paraId="5C3875D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105 </w:t>
            </w:r>
          </w:p>
        </w:tc>
        <w:tc>
          <w:tcPr>
            <w:tcW w:w="2340" w:type="dxa"/>
          </w:tcPr>
          <w:p w14:paraId="7D0CF9C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500</w:t>
            </w:r>
            <w:r w:rsidR="00617EB0" w:rsidRPr="00405303">
              <w:rPr>
                <w:bCs/>
                <w:color w:val="002060"/>
                <w:spacing w:val="0"/>
                <w:sz w:val="16"/>
                <w:szCs w:val="16"/>
              </w:rPr>
              <w:fldChar w:fldCharType="begin"/>
            </w:r>
            <w:r w:rsidR="00AA746E" w:rsidRPr="00405303">
              <w:rPr>
                <w:bCs/>
                <w:color w:val="002060"/>
                <w:spacing w:val="0"/>
                <w:sz w:val="16"/>
                <w:szCs w:val="16"/>
              </w:rPr>
              <w:instrText xml:space="preserve"> HYPERLINK \l "ftn2f" </w:instrText>
            </w:r>
            <w:r w:rsidR="00617EB0" w:rsidRPr="00405303">
              <w:rPr>
                <w:bCs/>
                <w:color w:val="002060"/>
                <w:spacing w:val="0"/>
                <w:sz w:val="16"/>
                <w:szCs w:val="16"/>
              </w:rPr>
            </w:r>
            <w:r w:rsidR="00617EB0" w:rsidRPr="00405303">
              <w:rPr>
                <w:bCs/>
                <w:color w:val="002060"/>
                <w:spacing w:val="0"/>
                <w:sz w:val="16"/>
                <w:szCs w:val="16"/>
              </w:rPr>
              <w:fldChar w:fldCharType="separate"/>
            </w:r>
            <w:r w:rsidRPr="00405303">
              <w:rPr>
                <w:bCs/>
                <w:i w:val="0"/>
                <w:color w:val="002060"/>
                <w:spacing w:val="0"/>
                <w:kern w:val="0"/>
                <w:position w:val="0"/>
                <w:sz w:val="16"/>
                <w:szCs w:val="16"/>
              </w:rPr>
              <w:t>Ошибка! Закладка не определена.</w:t>
            </w:r>
            <w:r w:rsidR="00617EB0" w:rsidRPr="00405303">
              <w:rPr>
                <w:bCs/>
                <w:i w:val="0"/>
                <w:color w:val="002060"/>
                <w:spacing w:val="0"/>
                <w:kern w:val="0"/>
                <w:position w:val="0"/>
                <w:sz w:val="16"/>
                <w:szCs w:val="16"/>
              </w:rPr>
              <w:fldChar w:fldCharType="end"/>
            </w:r>
          </w:p>
        </w:tc>
        <w:tc>
          <w:tcPr>
            <w:tcW w:w="2340" w:type="dxa"/>
          </w:tcPr>
          <w:p w14:paraId="75D7A7E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6 </w:t>
            </w:r>
          </w:p>
        </w:tc>
        <w:tc>
          <w:tcPr>
            <w:tcW w:w="2340" w:type="dxa"/>
          </w:tcPr>
          <w:p w14:paraId="6D521E83" w14:textId="77777777" w:rsidR="004B4E35" w:rsidRPr="00405303" w:rsidRDefault="004B4E35" w:rsidP="00C15251">
            <w:pPr>
              <w:pStyle w:val="a3"/>
              <w:jc w:val="both"/>
              <w:rPr>
                <w:bCs/>
                <w:i w:val="0"/>
                <w:color w:val="002060"/>
                <w:spacing w:val="0"/>
                <w:kern w:val="0"/>
                <w:position w:val="0"/>
                <w:sz w:val="16"/>
                <w:szCs w:val="16"/>
              </w:rPr>
            </w:pPr>
          </w:p>
        </w:tc>
        <w:tc>
          <w:tcPr>
            <w:tcW w:w="2340" w:type="dxa"/>
          </w:tcPr>
          <w:p w14:paraId="02698BB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от 0,05 до 0,01 </w:t>
            </w:r>
          </w:p>
        </w:tc>
      </w:tr>
      <w:tr w:rsidR="004B4E35" w:rsidRPr="00405303" w14:paraId="20D9DAB1" w14:textId="77777777">
        <w:tc>
          <w:tcPr>
            <w:tcW w:w="4680" w:type="dxa"/>
            <w:tcBorders>
              <w:top w:val="single" w:sz="6" w:space="0" w:color="auto"/>
              <w:left w:val="single" w:sz="12" w:space="0" w:color="auto"/>
              <w:bottom w:val="single" w:sz="6" w:space="0" w:color="auto"/>
              <w:right w:val="single" w:sz="6" w:space="0" w:color="auto"/>
            </w:tcBorders>
          </w:tcPr>
          <w:p w14:paraId="51B66C7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Станок пулемета </w:t>
            </w:r>
          </w:p>
        </w:tc>
        <w:tc>
          <w:tcPr>
            <w:tcW w:w="2340" w:type="dxa"/>
            <w:tcBorders>
              <w:top w:val="single" w:sz="6" w:space="0" w:color="auto"/>
              <w:left w:val="single" w:sz="6" w:space="0" w:color="auto"/>
              <w:bottom w:val="single" w:sz="6" w:space="0" w:color="auto"/>
              <w:right w:val="single" w:sz="6" w:space="0" w:color="auto"/>
            </w:tcBorders>
          </w:tcPr>
          <w:p w14:paraId="5E6B460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126 </w:t>
            </w:r>
          </w:p>
        </w:tc>
        <w:tc>
          <w:tcPr>
            <w:tcW w:w="2340" w:type="dxa"/>
            <w:tcBorders>
              <w:top w:val="single" w:sz="6" w:space="0" w:color="auto"/>
              <w:left w:val="single" w:sz="6" w:space="0" w:color="auto"/>
              <w:bottom w:val="single" w:sz="6" w:space="0" w:color="auto"/>
              <w:right w:val="single" w:sz="6" w:space="0" w:color="auto"/>
            </w:tcBorders>
          </w:tcPr>
          <w:p w14:paraId="5469601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587 </w:t>
            </w:r>
          </w:p>
        </w:tc>
        <w:tc>
          <w:tcPr>
            <w:tcW w:w="2340" w:type="dxa"/>
            <w:tcBorders>
              <w:top w:val="single" w:sz="6" w:space="0" w:color="auto"/>
              <w:left w:val="single" w:sz="6" w:space="0" w:color="auto"/>
              <w:bottom w:val="single" w:sz="6" w:space="0" w:color="auto"/>
              <w:right w:val="single" w:sz="12" w:space="0" w:color="auto"/>
            </w:tcBorders>
          </w:tcPr>
          <w:p w14:paraId="69992AE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234 </w:t>
            </w:r>
          </w:p>
        </w:tc>
        <w:tc>
          <w:tcPr>
            <w:tcW w:w="2340" w:type="dxa"/>
            <w:tcBorders>
              <w:left w:val="nil"/>
            </w:tcBorders>
          </w:tcPr>
          <w:p w14:paraId="340EB44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361 </w:t>
            </w:r>
          </w:p>
        </w:tc>
        <w:tc>
          <w:tcPr>
            <w:tcW w:w="2340" w:type="dxa"/>
          </w:tcPr>
          <w:p w14:paraId="33261C7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15,0 </w:t>
            </w:r>
          </w:p>
        </w:tc>
        <w:tc>
          <w:tcPr>
            <w:tcW w:w="2340" w:type="dxa"/>
          </w:tcPr>
          <w:p w14:paraId="582009C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40 </w:t>
            </w:r>
          </w:p>
        </w:tc>
        <w:tc>
          <w:tcPr>
            <w:tcW w:w="2340" w:type="dxa"/>
          </w:tcPr>
          <w:p w14:paraId="602408B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170 </w:t>
            </w:r>
          </w:p>
        </w:tc>
        <w:tc>
          <w:tcPr>
            <w:tcW w:w="2340" w:type="dxa"/>
          </w:tcPr>
          <w:p w14:paraId="616FEE4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3 </w:t>
            </w:r>
          </w:p>
        </w:tc>
        <w:tc>
          <w:tcPr>
            <w:tcW w:w="2340" w:type="dxa"/>
          </w:tcPr>
          <w:p w14:paraId="1E154621" w14:textId="77777777" w:rsidR="004B4E35" w:rsidRPr="00405303" w:rsidRDefault="004B4E35" w:rsidP="00C15251">
            <w:pPr>
              <w:pStyle w:val="a3"/>
              <w:jc w:val="both"/>
              <w:rPr>
                <w:bCs/>
                <w:i w:val="0"/>
                <w:color w:val="002060"/>
                <w:spacing w:val="0"/>
                <w:kern w:val="0"/>
                <w:position w:val="0"/>
                <w:sz w:val="16"/>
                <w:szCs w:val="16"/>
              </w:rPr>
            </w:pPr>
          </w:p>
        </w:tc>
        <w:tc>
          <w:tcPr>
            <w:tcW w:w="2340" w:type="dxa"/>
          </w:tcPr>
          <w:p w14:paraId="31303123" w14:textId="77777777" w:rsidR="004B4E35" w:rsidRPr="00405303" w:rsidRDefault="004B4E35" w:rsidP="00C15251">
            <w:pPr>
              <w:pStyle w:val="a3"/>
              <w:jc w:val="both"/>
              <w:rPr>
                <w:bCs/>
                <w:i w:val="0"/>
                <w:color w:val="002060"/>
                <w:spacing w:val="0"/>
                <w:kern w:val="0"/>
                <w:position w:val="0"/>
                <w:sz w:val="16"/>
                <w:szCs w:val="16"/>
              </w:rPr>
            </w:pPr>
          </w:p>
        </w:tc>
      </w:tr>
      <w:tr w:rsidR="004B4E35" w:rsidRPr="00405303" w14:paraId="175F4B16" w14:textId="77777777">
        <w:tc>
          <w:tcPr>
            <w:tcW w:w="4680" w:type="dxa"/>
            <w:tcBorders>
              <w:top w:val="single" w:sz="6" w:space="0" w:color="auto"/>
              <w:left w:val="single" w:sz="12" w:space="0" w:color="auto"/>
              <w:bottom w:val="single" w:sz="6" w:space="0" w:color="auto"/>
              <w:right w:val="single" w:sz="6" w:space="0" w:color="auto"/>
            </w:tcBorders>
          </w:tcPr>
          <w:p w14:paraId="60A77D0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3-лин. патрон, не считая пороха </w:t>
            </w:r>
          </w:p>
        </w:tc>
        <w:tc>
          <w:tcPr>
            <w:tcW w:w="2340" w:type="dxa"/>
            <w:tcBorders>
              <w:top w:val="single" w:sz="6" w:space="0" w:color="auto"/>
              <w:left w:val="single" w:sz="6" w:space="0" w:color="auto"/>
              <w:bottom w:val="single" w:sz="6" w:space="0" w:color="auto"/>
              <w:right w:val="single" w:sz="6" w:space="0" w:color="auto"/>
            </w:tcBorders>
          </w:tcPr>
          <w:p w14:paraId="1473A53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4 </w:t>
            </w:r>
          </w:p>
        </w:tc>
        <w:tc>
          <w:tcPr>
            <w:tcW w:w="2340" w:type="dxa"/>
            <w:tcBorders>
              <w:top w:val="single" w:sz="6" w:space="0" w:color="auto"/>
              <w:left w:val="single" w:sz="6" w:space="0" w:color="auto"/>
              <w:bottom w:val="single" w:sz="6" w:space="0" w:color="auto"/>
              <w:right w:val="single" w:sz="6" w:space="0" w:color="auto"/>
            </w:tcBorders>
          </w:tcPr>
          <w:p w14:paraId="339639F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65 </w:t>
            </w:r>
          </w:p>
        </w:tc>
        <w:tc>
          <w:tcPr>
            <w:tcW w:w="2340" w:type="dxa"/>
            <w:tcBorders>
              <w:top w:val="single" w:sz="6" w:space="0" w:color="auto"/>
              <w:left w:val="single" w:sz="6" w:space="0" w:color="auto"/>
              <w:bottom w:val="single" w:sz="6" w:space="0" w:color="auto"/>
              <w:right w:val="single" w:sz="12" w:space="0" w:color="auto"/>
            </w:tcBorders>
          </w:tcPr>
          <w:p w14:paraId="253ADD2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125 </w:t>
            </w:r>
          </w:p>
        </w:tc>
        <w:tc>
          <w:tcPr>
            <w:tcW w:w="2340" w:type="dxa"/>
            <w:tcBorders>
              <w:left w:val="nil"/>
            </w:tcBorders>
          </w:tcPr>
          <w:p w14:paraId="5E41DC0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165 </w:t>
            </w:r>
          </w:p>
        </w:tc>
        <w:tc>
          <w:tcPr>
            <w:tcW w:w="2340" w:type="dxa"/>
          </w:tcPr>
          <w:p w14:paraId="1FA2FCB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0,002 </w:t>
            </w:r>
          </w:p>
        </w:tc>
        <w:tc>
          <w:tcPr>
            <w:tcW w:w="2340" w:type="dxa"/>
          </w:tcPr>
          <w:p w14:paraId="4AC5E23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0,003 </w:t>
            </w:r>
          </w:p>
        </w:tc>
        <w:tc>
          <w:tcPr>
            <w:tcW w:w="2340" w:type="dxa"/>
          </w:tcPr>
          <w:p w14:paraId="2483CA0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 мн. </w:t>
            </w:r>
          </w:p>
        </w:tc>
        <w:tc>
          <w:tcPr>
            <w:tcW w:w="2340" w:type="dxa"/>
          </w:tcPr>
          <w:p w14:paraId="6EEAEA1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 мн. </w:t>
            </w:r>
          </w:p>
        </w:tc>
        <w:tc>
          <w:tcPr>
            <w:tcW w:w="2340" w:type="dxa"/>
          </w:tcPr>
          <w:p w14:paraId="4522D230" w14:textId="77777777" w:rsidR="004B4E35" w:rsidRPr="00405303" w:rsidRDefault="004B4E35" w:rsidP="00C15251">
            <w:pPr>
              <w:pStyle w:val="a3"/>
              <w:jc w:val="both"/>
              <w:rPr>
                <w:bCs/>
                <w:i w:val="0"/>
                <w:color w:val="002060"/>
                <w:spacing w:val="0"/>
                <w:kern w:val="0"/>
                <w:position w:val="0"/>
                <w:sz w:val="16"/>
                <w:szCs w:val="16"/>
              </w:rPr>
            </w:pPr>
          </w:p>
        </w:tc>
        <w:tc>
          <w:tcPr>
            <w:tcW w:w="2340" w:type="dxa"/>
          </w:tcPr>
          <w:p w14:paraId="63E65BD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от 0,127 до 0,025 </w:t>
            </w:r>
          </w:p>
        </w:tc>
      </w:tr>
      <w:tr w:rsidR="004B4E35" w:rsidRPr="00405303" w14:paraId="1DFAED93" w14:textId="77777777">
        <w:tc>
          <w:tcPr>
            <w:tcW w:w="4680" w:type="dxa"/>
            <w:tcBorders>
              <w:top w:val="single" w:sz="6" w:space="0" w:color="auto"/>
              <w:left w:val="single" w:sz="12" w:space="0" w:color="auto"/>
              <w:bottom w:val="single" w:sz="6" w:space="0" w:color="auto"/>
              <w:right w:val="single" w:sz="6" w:space="0" w:color="auto"/>
            </w:tcBorders>
          </w:tcPr>
          <w:p w14:paraId="3DD0530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Дистанционная 22-сек. трубка </w:t>
            </w:r>
          </w:p>
        </w:tc>
        <w:tc>
          <w:tcPr>
            <w:tcW w:w="2340" w:type="dxa"/>
            <w:tcBorders>
              <w:top w:val="single" w:sz="6" w:space="0" w:color="auto"/>
              <w:left w:val="single" w:sz="6" w:space="0" w:color="auto"/>
              <w:bottom w:val="single" w:sz="6" w:space="0" w:color="auto"/>
              <w:right w:val="single" w:sz="6" w:space="0" w:color="auto"/>
            </w:tcBorders>
          </w:tcPr>
          <w:p w14:paraId="7C0CEFD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48 </w:t>
            </w:r>
          </w:p>
        </w:tc>
        <w:tc>
          <w:tcPr>
            <w:tcW w:w="2340" w:type="dxa"/>
            <w:tcBorders>
              <w:top w:val="single" w:sz="6" w:space="0" w:color="auto"/>
              <w:left w:val="single" w:sz="6" w:space="0" w:color="auto"/>
              <w:bottom w:val="single" w:sz="6" w:space="0" w:color="auto"/>
              <w:right w:val="single" w:sz="6" w:space="0" w:color="auto"/>
            </w:tcBorders>
          </w:tcPr>
          <w:p w14:paraId="1759872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332 </w:t>
            </w:r>
          </w:p>
        </w:tc>
        <w:tc>
          <w:tcPr>
            <w:tcW w:w="2340" w:type="dxa"/>
            <w:tcBorders>
              <w:top w:val="single" w:sz="6" w:space="0" w:color="auto"/>
              <w:left w:val="single" w:sz="6" w:space="0" w:color="auto"/>
              <w:bottom w:val="single" w:sz="6" w:space="0" w:color="auto"/>
              <w:right w:val="single" w:sz="12" w:space="0" w:color="auto"/>
            </w:tcBorders>
          </w:tcPr>
          <w:p w14:paraId="60A20B9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252 </w:t>
            </w:r>
          </w:p>
        </w:tc>
        <w:tc>
          <w:tcPr>
            <w:tcW w:w="2340" w:type="dxa"/>
            <w:tcBorders>
              <w:left w:val="nil"/>
            </w:tcBorders>
          </w:tcPr>
          <w:p w14:paraId="43A2F9A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576 </w:t>
            </w:r>
          </w:p>
        </w:tc>
        <w:tc>
          <w:tcPr>
            <w:tcW w:w="2340" w:type="dxa"/>
          </w:tcPr>
          <w:p w14:paraId="5E4FF05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0,36 </w:t>
            </w:r>
          </w:p>
        </w:tc>
        <w:tc>
          <w:tcPr>
            <w:tcW w:w="2340" w:type="dxa"/>
          </w:tcPr>
          <w:p w14:paraId="3BC49C7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0,96 </w:t>
            </w:r>
          </w:p>
        </w:tc>
        <w:tc>
          <w:tcPr>
            <w:tcW w:w="2340" w:type="dxa"/>
          </w:tcPr>
          <w:p w14:paraId="00B4418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3,6 </w:t>
            </w:r>
          </w:p>
        </w:tc>
        <w:tc>
          <w:tcPr>
            <w:tcW w:w="2340" w:type="dxa"/>
          </w:tcPr>
          <w:p w14:paraId="1E43856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3 </w:t>
            </w:r>
          </w:p>
        </w:tc>
        <w:tc>
          <w:tcPr>
            <w:tcW w:w="2340" w:type="dxa"/>
          </w:tcPr>
          <w:p w14:paraId="1F61AFB1" w14:textId="77777777" w:rsidR="004B4E35" w:rsidRPr="00405303" w:rsidRDefault="004B4E35" w:rsidP="00C15251">
            <w:pPr>
              <w:pStyle w:val="a3"/>
              <w:jc w:val="both"/>
              <w:rPr>
                <w:bCs/>
                <w:i w:val="0"/>
                <w:color w:val="002060"/>
                <w:spacing w:val="0"/>
                <w:kern w:val="0"/>
                <w:position w:val="0"/>
                <w:sz w:val="16"/>
                <w:szCs w:val="16"/>
              </w:rPr>
            </w:pPr>
          </w:p>
        </w:tc>
        <w:tc>
          <w:tcPr>
            <w:tcW w:w="2340" w:type="dxa"/>
          </w:tcPr>
          <w:p w14:paraId="019DCE2B" w14:textId="77777777" w:rsidR="004B4E35" w:rsidRPr="00405303" w:rsidRDefault="004B4E35" w:rsidP="00C15251">
            <w:pPr>
              <w:pStyle w:val="a3"/>
              <w:jc w:val="both"/>
              <w:rPr>
                <w:bCs/>
                <w:i w:val="0"/>
                <w:color w:val="002060"/>
                <w:spacing w:val="0"/>
                <w:kern w:val="0"/>
                <w:position w:val="0"/>
                <w:sz w:val="16"/>
                <w:szCs w:val="16"/>
              </w:rPr>
            </w:pPr>
          </w:p>
        </w:tc>
      </w:tr>
      <w:tr w:rsidR="004B4E35" w:rsidRPr="00405303" w14:paraId="256F7816" w14:textId="77777777">
        <w:tc>
          <w:tcPr>
            <w:tcW w:w="4680" w:type="dxa"/>
            <w:tcBorders>
              <w:top w:val="single" w:sz="6" w:space="0" w:color="auto"/>
              <w:left w:val="single" w:sz="12" w:space="0" w:color="auto"/>
              <w:bottom w:val="single" w:sz="6" w:space="0" w:color="auto"/>
              <w:right w:val="single" w:sz="6" w:space="0" w:color="auto"/>
            </w:tcBorders>
          </w:tcPr>
          <w:p w14:paraId="3E78E71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76-мм горная пушка 1909 г. (без лафета) </w:t>
            </w:r>
          </w:p>
        </w:tc>
        <w:tc>
          <w:tcPr>
            <w:tcW w:w="2340" w:type="dxa"/>
            <w:tcBorders>
              <w:top w:val="single" w:sz="6" w:space="0" w:color="auto"/>
              <w:left w:val="single" w:sz="6" w:space="0" w:color="auto"/>
              <w:bottom w:val="single" w:sz="6" w:space="0" w:color="auto"/>
              <w:right w:val="single" w:sz="6" w:space="0" w:color="auto"/>
            </w:tcBorders>
          </w:tcPr>
          <w:p w14:paraId="3F468AB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536 </w:t>
            </w:r>
          </w:p>
        </w:tc>
        <w:tc>
          <w:tcPr>
            <w:tcW w:w="2340" w:type="dxa"/>
            <w:tcBorders>
              <w:top w:val="single" w:sz="6" w:space="0" w:color="auto"/>
              <w:left w:val="single" w:sz="6" w:space="0" w:color="auto"/>
              <w:bottom w:val="single" w:sz="6" w:space="0" w:color="auto"/>
              <w:right w:val="single" w:sz="6" w:space="0" w:color="auto"/>
            </w:tcBorders>
          </w:tcPr>
          <w:p w14:paraId="10455AA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2 520 </w:t>
            </w:r>
          </w:p>
        </w:tc>
        <w:tc>
          <w:tcPr>
            <w:tcW w:w="2340" w:type="dxa"/>
            <w:tcBorders>
              <w:top w:val="single" w:sz="6" w:space="0" w:color="auto"/>
              <w:left w:val="single" w:sz="6" w:space="0" w:color="auto"/>
              <w:bottom w:val="single" w:sz="6" w:space="0" w:color="auto"/>
              <w:right w:val="single" w:sz="12" w:space="0" w:color="auto"/>
            </w:tcBorders>
          </w:tcPr>
          <w:p w14:paraId="4FB3013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2 820 </w:t>
            </w:r>
          </w:p>
        </w:tc>
        <w:tc>
          <w:tcPr>
            <w:tcW w:w="2340" w:type="dxa"/>
            <w:tcBorders>
              <w:left w:val="nil"/>
            </w:tcBorders>
          </w:tcPr>
          <w:p w14:paraId="2142B1A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4 100 </w:t>
            </w:r>
          </w:p>
        </w:tc>
        <w:tc>
          <w:tcPr>
            <w:tcW w:w="2340" w:type="dxa"/>
          </w:tcPr>
          <w:p w14:paraId="16A684F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9</w:t>
            </w:r>
            <w:r w:rsidR="00617EB0" w:rsidRPr="00405303">
              <w:rPr>
                <w:bCs/>
                <w:color w:val="002060"/>
                <w:spacing w:val="0"/>
                <w:sz w:val="16"/>
                <w:szCs w:val="16"/>
              </w:rPr>
              <w:fldChar w:fldCharType="begin"/>
            </w:r>
            <w:r w:rsidR="00AA746E" w:rsidRPr="00405303">
              <w:rPr>
                <w:bCs/>
                <w:color w:val="002060"/>
                <w:spacing w:val="0"/>
                <w:sz w:val="16"/>
                <w:szCs w:val="16"/>
              </w:rPr>
              <w:instrText xml:space="preserve"> HYPERLINK \l "ftn3f" </w:instrText>
            </w:r>
            <w:r w:rsidR="00617EB0" w:rsidRPr="00405303">
              <w:rPr>
                <w:bCs/>
                <w:color w:val="002060"/>
                <w:spacing w:val="0"/>
                <w:sz w:val="16"/>
                <w:szCs w:val="16"/>
              </w:rPr>
            </w:r>
            <w:r w:rsidR="00617EB0" w:rsidRPr="00405303">
              <w:rPr>
                <w:bCs/>
                <w:color w:val="002060"/>
                <w:spacing w:val="0"/>
                <w:sz w:val="16"/>
                <w:szCs w:val="16"/>
              </w:rPr>
              <w:fldChar w:fldCharType="separate"/>
            </w:r>
            <w:r w:rsidRPr="00405303">
              <w:rPr>
                <w:bCs/>
                <w:i w:val="0"/>
                <w:color w:val="002060"/>
                <w:spacing w:val="0"/>
                <w:kern w:val="0"/>
                <w:position w:val="0"/>
                <w:sz w:val="16"/>
                <w:szCs w:val="16"/>
              </w:rPr>
              <w:t>Ошибка! Закладка не определена.</w:t>
            </w:r>
            <w:r w:rsidR="00617EB0" w:rsidRPr="00405303">
              <w:rPr>
                <w:bCs/>
                <w:i w:val="0"/>
                <w:color w:val="002060"/>
                <w:spacing w:val="0"/>
                <w:kern w:val="0"/>
                <w:position w:val="0"/>
                <w:sz w:val="16"/>
                <w:szCs w:val="16"/>
              </w:rPr>
              <w:fldChar w:fldCharType="end"/>
            </w:r>
          </w:p>
        </w:tc>
        <w:tc>
          <w:tcPr>
            <w:tcW w:w="2340" w:type="dxa"/>
          </w:tcPr>
          <w:p w14:paraId="0D472EF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11</w:t>
            </w:r>
            <w:r w:rsidR="00617EB0" w:rsidRPr="00405303">
              <w:rPr>
                <w:bCs/>
                <w:color w:val="002060"/>
                <w:spacing w:val="0"/>
                <w:sz w:val="16"/>
                <w:szCs w:val="16"/>
              </w:rPr>
              <w:fldChar w:fldCharType="begin"/>
            </w:r>
            <w:r w:rsidR="00AA746E" w:rsidRPr="00405303">
              <w:rPr>
                <w:bCs/>
                <w:color w:val="002060"/>
                <w:spacing w:val="0"/>
                <w:sz w:val="16"/>
                <w:szCs w:val="16"/>
              </w:rPr>
              <w:instrText xml:space="preserve"> HYPERLINK \l "ftn4f" </w:instrText>
            </w:r>
            <w:r w:rsidR="00617EB0" w:rsidRPr="00405303">
              <w:rPr>
                <w:bCs/>
                <w:color w:val="002060"/>
                <w:spacing w:val="0"/>
                <w:sz w:val="16"/>
                <w:szCs w:val="16"/>
              </w:rPr>
            </w:r>
            <w:r w:rsidR="00617EB0" w:rsidRPr="00405303">
              <w:rPr>
                <w:bCs/>
                <w:color w:val="002060"/>
                <w:spacing w:val="0"/>
                <w:sz w:val="16"/>
                <w:szCs w:val="16"/>
              </w:rPr>
              <w:fldChar w:fldCharType="separate"/>
            </w:r>
            <w:r w:rsidRPr="00405303">
              <w:rPr>
                <w:bCs/>
                <w:i w:val="0"/>
                <w:color w:val="002060"/>
                <w:spacing w:val="0"/>
                <w:kern w:val="0"/>
                <w:position w:val="0"/>
                <w:sz w:val="16"/>
                <w:szCs w:val="16"/>
              </w:rPr>
              <w:t>Ошибка! Закладка не определена.</w:t>
            </w:r>
            <w:r w:rsidR="00617EB0" w:rsidRPr="00405303">
              <w:rPr>
                <w:bCs/>
                <w:i w:val="0"/>
                <w:color w:val="002060"/>
                <w:spacing w:val="0"/>
                <w:kern w:val="0"/>
                <w:position w:val="0"/>
                <w:sz w:val="16"/>
                <w:szCs w:val="16"/>
              </w:rPr>
              <w:fldChar w:fldCharType="end"/>
            </w:r>
          </w:p>
        </w:tc>
        <w:tc>
          <w:tcPr>
            <w:tcW w:w="2340" w:type="dxa"/>
          </w:tcPr>
          <w:p w14:paraId="7EE1F85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2 100 </w:t>
            </w:r>
          </w:p>
        </w:tc>
        <w:tc>
          <w:tcPr>
            <w:tcW w:w="2340" w:type="dxa"/>
          </w:tcPr>
          <w:p w14:paraId="3E014BC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5-10</w:t>
            </w:r>
            <w:r w:rsidR="00617EB0" w:rsidRPr="00405303">
              <w:rPr>
                <w:bCs/>
                <w:color w:val="002060"/>
                <w:spacing w:val="0"/>
                <w:sz w:val="16"/>
                <w:szCs w:val="16"/>
              </w:rPr>
              <w:fldChar w:fldCharType="begin"/>
            </w:r>
            <w:r w:rsidR="00AA746E" w:rsidRPr="00405303">
              <w:rPr>
                <w:bCs/>
                <w:color w:val="002060"/>
                <w:spacing w:val="0"/>
                <w:sz w:val="16"/>
                <w:szCs w:val="16"/>
              </w:rPr>
              <w:instrText xml:space="preserve"> HYPERLINK \l "ftn5f" </w:instrText>
            </w:r>
            <w:r w:rsidR="00617EB0" w:rsidRPr="00405303">
              <w:rPr>
                <w:bCs/>
                <w:color w:val="002060"/>
                <w:spacing w:val="0"/>
                <w:sz w:val="16"/>
                <w:szCs w:val="16"/>
              </w:rPr>
            </w:r>
            <w:r w:rsidR="00617EB0" w:rsidRPr="00405303">
              <w:rPr>
                <w:bCs/>
                <w:color w:val="002060"/>
                <w:spacing w:val="0"/>
                <w:sz w:val="16"/>
                <w:szCs w:val="16"/>
              </w:rPr>
              <w:fldChar w:fldCharType="separate"/>
            </w:r>
            <w:r w:rsidRPr="00405303">
              <w:rPr>
                <w:bCs/>
                <w:i w:val="0"/>
                <w:color w:val="002060"/>
                <w:spacing w:val="0"/>
                <w:kern w:val="0"/>
                <w:position w:val="0"/>
                <w:sz w:val="16"/>
                <w:szCs w:val="16"/>
              </w:rPr>
              <w:t>Ошибка! Закладка не определена.</w:t>
            </w:r>
            <w:r w:rsidR="00617EB0" w:rsidRPr="00405303">
              <w:rPr>
                <w:bCs/>
                <w:i w:val="0"/>
                <w:color w:val="002060"/>
                <w:spacing w:val="0"/>
                <w:kern w:val="0"/>
                <w:position w:val="0"/>
                <w:sz w:val="16"/>
                <w:szCs w:val="16"/>
              </w:rPr>
              <w:fldChar w:fldCharType="end"/>
            </w:r>
          </w:p>
        </w:tc>
        <w:tc>
          <w:tcPr>
            <w:tcW w:w="2340" w:type="dxa"/>
          </w:tcPr>
          <w:p w14:paraId="52C48B86"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ок. 1 500 </w:t>
            </w:r>
          </w:p>
        </w:tc>
        <w:tc>
          <w:tcPr>
            <w:tcW w:w="2340" w:type="dxa"/>
          </w:tcPr>
          <w:p w14:paraId="59296E0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от 0,1 до 0,02 </w:t>
            </w:r>
          </w:p>
        </w:tc>
      </w:tr>
      <w:tr w:rsidR="004B4E35" w:rsidRPr="00405303" w14:paraId="6F19AEF4" w14:textId="77777777">
        <w:tc>
          <w:tcPr>
            <w:tcW w:w="4680" w:type="dxa"/>
            <w:tcBorders>
              <w:top w:val="single" w:sz="6" w:space="0" w:color="auto"/>
              <w:left w:val="single" w:sz="12" w:space="0" w:color="auto"/>
              <w:bottom w:val="single" w:sz="6" w:space="0" w:color="auto"/>
              <w:right w:val="single" w:sz="6" w:space="0" w:color="auto"/>
            </w:tcBorders>
          </w:tcPr>
          <w:p w14:paraId="405EA08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76-мм легкая пушка 1902 г. (с лафетом) </w:t>
            </w:r>
          </w:p>
        </w:tc>
        <w:tc>
          <w:tcPr>
            <w:tcW w:w="2340" w:type="dxa"/>
            <w:tcBorders>
              <w:top w:val="single" w:sz="6" w:space="0" w:color="auto"/>
              <w:left w:val="single" w:sz="6" w:space="0" w:color="auto"/>
              <w:bottom w:val="single" w:sz="6" w:space="0" w:color="auto"/>
              <w:right w:val="single" w:sz="6" w:space="0" w:color="auto"/>
            </w:tcBorders>
          </w:tcPr>
          <w:p w14:paraId="0941789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362 </w:t>
            </w:r>
          </w:p>
        </w:tc>
        <w:tc>
          <w:tcPr>
            <w:tcW w:w="2340" w:type="dxa"/>
            <w:tcBorders>
              <w:top w:val="single" w:sz="6" w:space="0" w:color="auto"/>
              <w:left w:val="single" w:sz="6" w:space="0" w:color="auto"/>
              <w:bottom w:val="single" w:sz="6" w:space="0" w:color="auto"/>
              <w:right w:val="single" w:sz="6" w:space="0" w:color="auto"/>
            </w:tcBorders>
          </w:tcPr>
          <w:p w14:paraId="2FBD1ED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2 908 </w:t>
            </w:r>
          </w:p>
        </w:tc>
        <w:tc>
          <w:tcPr>
            <w:tcW w:w="2340" w:type="dxa"/>
            <w:tcBorders>
              <w:top w:val="single" w:sz="6" w:space="0" w:color="auto"/>
              <w:left w:val="single" w:sz="6" w:space="0" w:color="auto"/>
              <w:bottom w:val="single" w:sz="6" w:space="0" w:color="auto"/>
              <w:right w:val="single" w:sz="12" w:space="0" w:color="auto"/>
            </w:tcBorders>
          </w:tcPr>
          <w:p w14:paraId="0555D97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4 187 </w:t>
            </w:r>
          </w:p>
        </w:tc>
        <w:tc>
          <w:tcPr>
            <w:tcW w:w="2340" w:type="dxa"/>
            <w:tcBorders>
              <w:left w:val="nil"/>
            </w:tcBorders>
          </w:tcPr>
          <w:p w14:paraId="49850B5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751 </w:t>
            </w:r>
          </w:p>
        </w:tc>
        <w:tc>
          <w:tcPr>
            <w:tcW w:w="2340" w:type="dxa"/>
          </w:tcPr>
          <w:p w14:paraId="100FEEC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163 </w:t>
            </w:r>
          </w:p>
        </w:tc>
        <w:tc>
          <w:tcPr>
            <w:tcW w:w="2340" w:type="dxa"/>
          </w:tcPr>
          <w:p w14:paraId="4E4825A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316 </w:t>
            </w:r>
          </w:p>
        </w:tc>
        <w:tc>
          <w:tcPr>
            <w:tcW w:w="2340" w:type="dxa"/>
          </w:tcPr>
          <w:p w14:paraId="40D95DF2"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 </w:t>
            </w:r>
          </w:p>
        </w:tc>
        <w:tc>
          <w:tcPr>
            <w:tcW w:w="2340" w:type="dxa"/>
          </w:tcPr>
          <w:p w14:paraId="6DF5E46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ок. 3 700 час. </w:t>
            </w:r>
          </w:p>
        </w:tc>
        <w:tc>
          <w:tcPr>
            <w:tcW w:w="2340" w:type="dxa"/>
          </w:tcPr>
          <w:p w14:paraId="0D492FC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ок. 3 000 </w:t>
            </w:r>
          </w:p>
        </w:tc>
        <w:tc>
          <w:tcPr>
            <w:tcW w:w="2340" w:type="dxa"/>
          </w:tcPr>
          <w:p w14:paraId="4BBB64DF"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от 0,2 до 0,025 </w:t>
            </w:r>
          </w:p>
        </w:tc>
      </w:tr>
      <w:tr w:rsidR="004B4E35" w:rsidRPr="00405303" w14:paraId="27FC78FB" w14:textId="77777777">
        <w:tc>
          <w:tcPr>
            <w:tcW w:w="4680" w:type="dxa"/>
            <w:tcBorders>
              <w:top w:val="single" w:sz="6" w:space="0" w:color="auto"/>
              <w:left w:val="single" w:sz="12" w:space="0" w:color="auto"/>
              <w:bottom w:val="single" w:sz="12" w:space="0" w:color="auto"/>
              <w:right w:val="single" w:sz="6" w:space="0" w:color="auto"/>
            </w:tcBorders>
          </w:tcPr>
          <w:p w14:paraId="4759AEB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122-мм гаубица 1910 г. (с лафетом) </w:t>
            </w:r>
          </w:p>
        </w:tc>
        <w:tc>
          <w:tcPr>
            <w:tcW w:w="2340" w:type="dxa"/>
            <w:tcBorders>
              <w:top w:val="single" w:sz="6" w:space="0" w:color="auto"/>
              <w:left w:val="single" w:sz="6" w:space="0" w:color="auto"/>
              <w:bottom w:val="single" w:sz="12" w:space="0" w:color="auto"/>
              <w:right w:val="single" w:sz="6" w:space="0" w:color="auto"/>
            </w:tcBorders>
          </w:tcPr>
          <w:p w14:paraId="569087D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717 </w:t>
            </w:r>
          </w:p>
        </w:tc>
        <w:tc>
          <w:tcPr>
            <w:tcW w:w="2340" w:type="dxa"/>
            <w:tcBorders>
              <w:top w:val="single" w:sz="6" w:space="0" w:color="auto"/>
              <w:left w:val="single" w:sz="6" w:space="0" w:color="auto"/>
              <w:bottom w:val="single" w:sz="12" w:space="0" w:color="auto"/>
              <w:right w:val="single" w:sz="6" w:space="0" w:color="auto"/>
            </w:tcBorders>
          </w:tcPr>
          <w:p w14:paraId="01B8D38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4 341 </w:t>
            </w:r>
          </w:p>
        </w:tc>
        <w:tc>
          <w:tcPr>
            <w:tcW w:w="2340" w:type="dxa"/>
            <w:tcBorders>
              <w:top w:val="single" w:sz="6" w:space="0" w:color="auto"/>
              <w:left w:val="single" w:sz="6" w:space="0" w:color="auto"/>
              <w:bottom w:val="single" w:sz="12" w:space="0" w:color="auto"/>
              <w:right w:val="single" w:sz="12" w:space="0" w:color="auto"/>
            </w:tcBorders>
          </w:tcPr>
          <w:p w14:paraId="2A98666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7 889 </w:t>
            </w:r>
          </w:p>
        </w:tc>
        <w:tc>
          <w:tcPr>
            <w:tcW w:w="2340" w:type="dxa"/>
            <w:tcBorders>
              <w:left w:val="nil"/>
            </w:tcBorders>
          </w:tcPr>
          <w:p w14:paraId="339DF86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1 411 </w:t>
            </w:r>
          </w:p>
        </w:tc>
        <w:tc>
          <w:tcPr>
            <w:tcW w:w="2340" w:type="dxa"/>
          </w:tcPr>
          <w:p w14:paraId="4E50717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367 </w:t>
            </w:r>
          </w:p>
        </w:tc>
        <w:tc>
          <w:tcPr>
            <w:tcW w:w="2340" w:type="dxa"/>
          </w:tcPr>
          <w:p w14:paraId="7F1DFCC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662 </w:t>
            </w:r>
          </w:p>
        </w:tc>
        <w:tc>
          <w:tcPr>
            <w:tcW w:w="2340" w:type="dxa"/>
          </w:tcPr>
          <w:p w14:paraId="3C78607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 </w:t>
            </w:r>
          </w:p>
        </w:tc>
        <w:tc>
          <w:tcPr>
            <w:tcW w:w="2340" w:type="dxa"/>
          </w:tcPr>
          <w:p w14:paraId="7119E2B0"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ок. 6 475 час. </w:t>
            </w:r>
          </w:p>
        </w:tc>
        <w:tc>
          <w:tcPr>
            <w:tcW w:w="2340" w:type="dxa"/>
          </w:tcPr>
          <w:p w14:paraId="091A66E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ок. 3 800 </w:t>
            </w:r>
          </w:p>
        </w:tc>
        <w:tc>
          <w:tcPr>
            <w:tcW w:w="2340" w:type="dxa"/>
          </w:tcPr>
          <w:p w14:paraId="54E9CA2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от 0,2 до 0,025 </w:t>
            </w:r>
          </w:p>
        </w:tc>
      </w:tr>
    </w:tbl>
    <w:p w14:paraId="1BBA0DF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Таблица составлена по проверенным данным в июле 1927 г. в Главном управлении военной промышленности при Высшем совете народного хозяйства СССР. </w:t>
      </w:r>
    </w:p>
    <w:p w14:paraId="4BB6ECA9" w14:textId="77777777" w:rsidR="004B4E35" w:rsidRPr="00405303" w:rsidRDefault="009E6F82" w:rsidP="00C15251">
      <w:pPr>
        <w:pStyle w:val="a3"/>
        <w:jc w:val="both"/>
        <w:rPr>
          <w:bCs/>
          <w:i w:val="0"/>
          <w:color w:val="002060"/>
          <w:spacing w:val="0"/>
          <w:kern w:val="0"/>
          <w:position w:val="0"/>
          <w:sz w:val="16"/>
          <w:szCs w:val="16"/>
        </w:rPr>
      </w:pPr>
      <w:proofErr w:type="gramStart"/>
      <w:r w:rsidRPr="00405303">
        <w:rPr>
          <w:bCs/>
          <w:i w:val="0"/>
          <w:color w:val="002060"/>
          <w:spacing w:val="0"/>
          <w:kern w:val="0"/>
          <w:position w:val="0"/>
          <w:sz w:val="16"/>
          <w:szCs w:val="16"/>
        </w:rPr>
        <w:t>И прежде чем</w:t>
      </w:r>
      <w:proofErr w:type="gramEnd"/>
      <w:r w:rsidRPr="00405303">
        <w:rPr>
          <w:bCs/>
          <w:i w:val="0"/>
          <w:color w:val="002060"/>
          <w:spacing w:val="0"/>
          <w:kern w:val="0"/>
          <w:position w:val="0"/>
          <w:sz w:val="16"/>
          <w:szCs w:val="16"/>
        </w:rPr>
        <w:t xml:space="preserve"> вполне наладится это дело, завод фактически не может приступить к производству: самый простой способ остановить работу завода на долгое время </w:t>
      </w:r>
      <w:proofErr w:type="gramStart"/>
      <w:r w:rsidRPr="00405303">
        <w:rPr>
          <w:bCs/>
          <w:i w:val="0"/>
          <w:color w:val="002060"/>
          <w:spacing w:val="0"/>
          <w:kern w:val="0"/>
          <w:position w:val="0"/>
          <w:sz w:val="16"/>
          <w:szCs w:val="16"/>
        </w:rPr>
        <w:t>- это</w:t>
      </w:r>
      <w:proofErr w:type="gramEnd"/>
      <w:r w:rsidRPr="00405303">
        <w:rPr>
          <w:bCs/>
          <w:i w:val="0"/>
          <w:color w:val="002060"/>
          <w:spacing w:val="0"/>
          <w:kern w:val="0"/>
          <w:position w:val="0"/>
          <w:sz w:val="16"/>
          <w:szCs w:val="16"/>
        </w:rPr>
        <w:t xml:space="preserve"> лишить его лекал. </w:t>
      </w:r>
    </w:p>
    <w:p w14:paraId="43A1FC1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Отсюда ясно, что для изготовления предметов боевого снабжения недостаточно солидной постановки завода в смысле удовлетворения требований, предъявляемых Общей промышленностью; такие заводы долго не справятся с делом. </w:t>
      </w:r>
    </w:p>
    <w:p w14:paraId="3851D3E1"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И это подтверждается на ряде примеров, взятых из непосредственного опыта войны в отношении не только русской, но и заграничной промышленности. </w:t>
      </w:r>
    </w:p>
    <w:p w14:paraId="363A356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Как только выяснялась нехватка какого-либо предмета боевого снабжения, ГАУ прежде всего обращалось с предложениями к своей промышленности и каждый раз имело возможность убеждаться как в полной ее неподготовленности к выполнению военных заказов, так и в отсутствии у нее той гибкости и приспособляемости, без которых немыслим быстрый переход к новому массовому производству, хотя и близкому к ранее существовавшему. </w:t>
      </w:r>
    </w:p>
    <w:p w14:paraId="72209CDE"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Даже такие элементарно простые производства, как ручные гранаты, мины, разного рода осветительные приборы, совершенно простые трубки и капсюльные втулки, словом, производства, которые, казалось бы, вполне посильны для мало-мальски толковых кустарей, - и те не могли долго наладиться собственными силами частной промышленности именно вследствие незнакомства ее с подробностями этих производств и отсутствия специального руководства. </w:t>
      </w:r>
    </w:p>
    <w:p w14:paraId="682EDDA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Здесь, между прочим, с полной очевидностью оказались все отрицательные стороны русской промышленности, взращенной в условиях бюрократической политики: отсутствие предприимчивости, широты взглядов и настоящего коммерческого расчета у хозяев предприятий; крайняя рутинность и отсутствие инициативы у технического персонала; сильная отсталость, часто граничащая с безграмотностью, у рабочего состава. </w:t>
      </w:r>
    </w:p>
    <w:p w14:paraId="68FACE0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Непривычка при этом работать с точностью, давно уже усвоенною в западноевропейской промышленности, еще более затрудняла для промышленности переход на военные изделия, где требуется исключительная точность. И лишь после того, как была оказана надлежащая помощь со стороны военных специалистов-техников, дело начало понемногу налаживаться. </w:t>
      </w:r>
    </w:p>
    <w:p w14:paraId="78BF95E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начале войны ГАУ поручило особой организации, во главе с уполномоченным г.-м. Ванковым, установить на русских заводах производство простейшей цельнотянутой 3-дм. (76-мм) гранаты французского образца (см. выше). При этом предполагалось, что эта работа, как посильная ввиду ее безусловной простоты наиболее слабым заводам, не отнимет заводов более мощных, необходимых для других, более сложных изделий. На самом же деле вышло иначе. Г.-м. Ванков для исполнения возложенного на него поручения привлек такие солидные заводы, как Коломенский, Люберецкий, Добров и Набгольц, Зингер, Густав Лист, Кольчугин, Краматорский, ряд железнодорожных мастерских, Викула Морозов, Дружковский, Швабе и т. д. </w:t>
      </w:r>
    </w:p>
    <w:p w14:paraId="68E675D7"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Вместе о тем г.-м. Ванков в распоряжение свое избрал в качестве инструкторов кадр опытных военных техников: кроме того, в помощь ему была дана еще специальная миссия французских техников. </w:t>
      </w:r>
    </w:p>
    <w:p w14:paraId="6C43987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И несмотря на все это, дело долго не налаживалось именно потому, что привлеченные заводы раньше снарядов не делали, а ближайшие руководители этих заводов, будучи хорошими техниками вообще, до тех пор не стояли непосредственно у производства именно снарядов. И только после того, как от ГАУ были командированы настоящие специалисты снарядного дела, которые лично направили его, получились надлежащие результаты: эти простенькие снаряды стали печь, как блины. </w:t>
      </w:r>
    </w:p>
    <w:p w14:paraId="783DD60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Так обстояло с простейшим типом снарядов. Когда же дело касалось более сложных предметов, то садились на мель даже первоклассные заводы. Так, известный Коломенский завод, выпускавший из своих мастерских паровозы и гордившийся успешным установлением у себя такого тонкого производства, как двигатель Дизеля, долго не мог справиться с взрывателем 3ГТ, и лишь после соответственной помощи ГАУ (военными специалистами с Тульского оружейного завода, где было установлено производство взрывателей 3ГТ) удалось направить это дело. </w:t>
      </w:r>
    </w:p>
    <w:p w14:paraId="774832C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Таких примеров из практики русской промышленности можно привести сколько угодно; вернее, ни один заказ частному заводу не обходился без того, чтобы ГАУ не приходилось отрывать своих специалистов для инструктирования и налаживания данного производства. О наиболее характерных из них придется говорить в дальнейшем, при детальном разборе вопросов о каждом предмете боевого снабжения (11483).</w:t>
      </w:r>
    </w:p>
    <w:p w14:paraId="27D15968" w14:textId="77777777" w:rsidR="004B4E35" w:rsidRPr="00405303" w:rsidRDefault="004B4E35" w:rsidP="00C15251">
      <w:pPr>
        <w:pStyle w:val="a3"/>
        <w:jc w:val="both"/>
        <w:rPr>
          <w:bCs/>
          <w:i w:val="0"/>
          <w:color w:val="002060"/>
          <w:spacing w:val="0"/>
          <w:kern w:val="0"/>
          <w:position w:val="0"/>
          <w:sz w:val="16"/>
          <w:szCs w:val="16"/>
        </w:rPr>
      </w:pPr>
    </w:p>
    <w:p w14:paraId="255FC585" w14:textId="6C4F482E" w:rsidR="004B4E35" w:rsidRPr="00405303" w:rsidRDefault="009E6F82" w:rsidP="00C15251">
      <w:pPr>
        <w:shd w:val="clear" w:color="auto" w:fill="FFFFFF"/>
        <w:jc w:val="both"/>
        <w:rPr>
          <w:bCs/>
          <w:color w:val="002060"/>
          <w:sz w:val="16"/>
          <w:szCs w:val="16"/>
        </w:rPr>
      </w:pPr>
      <w:r w:rsidRPr="00405303">
        <w:rPr>
          <w:bCs/>
          <w:color w:val="002060"/>
          <w:sz w:val="16"/>
          <w:szCs w:val="16"/>
        </w:rPr>
        <w:t>В 1915г. годо</w:t>
      </w:r>
      <w:r w:rsidRPr="00405303">
        <w:rPr>
          <w:bCs/>
          <w:color w:val="002060"/>
          <w:sz w:val="16"/>
          <w:szCs w:val="16"/>
        </w:rPr>
        <w:softHyphen/>
        <w:t>вая потребность в порохе определялась в 4 400 000 пудов, т. е. почти в 15 раз превышала мощность всех казенных пороховых заводов к началу войны (290 000 пудов), а осенью 1916 г. — уже в 7,5 млн пу</w:t>
      </w:r>
      <w:r w:rsidRPr="00405303">
        <w:rPr>
          <w:bCs/>
          <w:color w:val="002060"/>
          <w:sz w:val="16"/>
          <w:szCs w:val="16"/>
        </w:rPr>
        <w:softHyphen/>
        <w:t>дов [5, с. 209; 7, с. 126</w:t>
      </w:r>
      <w:proofErr w:type="gramStart"/>
      <w:r w:rsidRPr="00405303">
        <w:rPr>
          <w:bCs/>
          <w:color w:val="002060"/>
          <w:sz w:val="16"/>
          <w:szCs w:val="16"/>
        </w:rPr>
        <w:t>] .</w:t>
      </w:r>
      <w:proofErr w:type="gramEnd"/>
    </w:p>
    <w:p w14:paraId="662957E1"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Спешно расширялись казенные пороховые заводы. На Казан</w:t>
      </w:r>
      <w:r w:rsidRPr="00405303">
        <w:rPr>
          <w:bCs/>
          <w:color w:val="002060"/>
          <w:sz w:val="16"/>
          <w:szCs w:val="16"/>
        </w:rPr>
        <w:softHyphen/>
        <w:t>ском заводе был построен практически новый завод с производи</w:t>
      </w:r>
      <w:r w:rsidRPr="00405303">
        <w:rPr>
          <w:bCs/>
          <w:color w:val="002060"/>
          <w:sz w:val="16"/>
          <w:szCs w:val="16"/>
        </w:rPr>
        <w:softHyphen/>
        <w:t>тельностью выше усиленной мощности существующего. С июля 1916 г. мощность Казанского завода была увеличена в 3,5 раза по сравнению с довоенной.</w:t>
      </w:r>
    </w:p>
    <w:p w14:paraId="5B1D476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На Шосткинском заводе также был построен второй пороховой завод со всеми необходимыми цехами и технологическим оборудова</w:t>
      </w:r>
      <w:r w:rsidRPr="00405303">
        <w:rPr>
          <w:bCs/>
          <w:color w:val="002060"/>
          <w:sz w:val="16"/>
          <w:szCs w:val="16"/>
        </w:rPr>
        <w:softHyphen/>
        <w:t>нием.</w:t>
      </w:r>
    </w:p>
    <w:p w14:paraId="0D490D2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От закрытия Охтинского завода пришлось отказаться. Было да</w:t>
      </w:r>
      <w:r w:rsidRPr="00405303">
        <w:rPr>
          <w:bCs/>
          <w:color w:val="002060"/>
          <w:sz w:val="16"/>
          <w:szCs w:val="16"/>
        </w:rPr>
        <w:softHyphen/>
        <w:t>же принято решение об увеличении производства пороха до 210 тыс. пудов в год, т. е. вдвое больше прежнего. В 1915—1916 гг. на заводе возвели новые производственные здания и установили приобретен</w:t>
      </w:r>
      <w:r w:rsidRPr="00405303">
        <w:rPr>
          <w:bCs/>
          <w:color w:val="002060"/>
          <w:sz w:val="16"/>
          <w:szCs w:val="16"/>
        </w:rPr>
        <w:softHyphen/>
        <w:t>ное за границей оборудование. Предполагалось увеличить мощность Охтинского завода до 280 тыс. пудов пороха в год, но работы по его расширению были прекращены в 1917 г.</w:t>
      </w:r>
    </w:p>
    <w:p w14:paraId="4689E5E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lastRenderedPageBreak/>
        <w:t>Таким образом, за февраль—июль 1915 г. были приняты реше</w:t>
      </w:r>
      <w:r w:rsidRPr="00405303">
        <w:rPr>
          <w:bCs/>
          <w:color w:val="002060"/>
          <w:sz w:val="16"/>
          <w:szCs w:val="16"/>
        </w:rPr>
        <w:softHyphen/>
        <w:t>ния, предусматривавшие увеличение производства пороха более чем в 3 раза по сравнению с довоенным уровнем — от 290 до 910 тыс. пу</w:t>
      </w:r>
      <w:r w:rsidRPr="00405303">
        <w:rPr>
          <w:bCs/>
          <w:color w:val="002060"/>
          <w:sz w:val="16"/>
          <w:szCs w:val="16"/>
        </w:rPr>
        <w:softHyphen/>
        <w:t>дов, в том числе на Охтинском заводе — до 210 тыс., на Казанском и Шосткинском — до 350 тыс. пудов на каждом [42, с. 442] (5484).</w:t>
      </w:r>
    </w:p>
    <w:p w14:paraId="3346E315" w14:textId="77777777" w:rsidR="004B4E35" w:rsidRPr="00405303" w:rsidRDefault="004B4E35" w:rsidP="00C15251">
      <w:pPr>
        <w:shd w:val="clear" w:color="auto" w:fill="FFFFFF"/>
        <w:jc w:val="both"/>
        <w:rPr>
          <w:bCs/>
          <w:color w:val="002060"/>
          <w:sz w:val="16"/>
          <w:szCs w:val="16"/>
        </w:rPr>
      </w:pPr>
    </w:p>
    <w:p w14:paraId="7DCD59F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1915 г. пламегасящие вещества стали добавлять в состав поро</w:t>
      </w:r>
      <w:r w:rsidRPr="00405303">
        <w:rPr>
          <w:bCs/>
          <w:color w:val="002060"/>
          <w:sz w:val="16"/>
          <w:szCs w:val="16"/>
        </w:rPr>
        <w:softHyphen/>
        <w:t>ха при его изготовлении, но это не дало желаемых результатов. При стрельбе из 76-мм пушек патронами, снаряженными таким порохом, огневые вспышки были почти такими же, как при стрельбе обычным бездымным порохом, а рассеивание снарядов вследствие неравномерного горения боевого заряда значительно увеличилось. Не дали положительных результатов также и опыты по устранению пламен</w:t>
      </w:r>
      <w:r w:rsidRPr="00405303">
        <w:rPr>
          <w:bCs/>
          <w:color w:val="002060"/>
          <w:sz w:val="16"/>
          <w:szCs w:val="16"/>
        </w:rPr>
        <w:softHyphen/>
        <w:t>ности выстрела за счет уменьшения толщины ленточного пороха.</w:t>
      </w:r>
    </w:p>
    <w:p w14:paraId="4A02540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Положительные результаты были получены в 1916—1917 гг. Г. П. Киснемским, которым создал беспламенный порох, применив для его изготовления пироксилин с уменьшенным содержанием азо</w:t>
      </w:r>
      <w:r w:rsidRPr="00405303">
        <w:rPr>
          <w:bCs/>
          <w:color w:val="002060"/>
          <w:sz w:val="16"/>
          <w:szCs w:val="16"/>
        </w:rPr>
        <w:softHyphen/>
        <w:t>та (5484).</w:t>
      </w:r>
    </w:p>
    <w:p w14:paraId="565E0946" w14:textId="77777777" w:rsidR="004B4E35" w:rsidRPr="00405303" w:rsidRDefault="004B4E35" w:rsidP="00C15251">
      <w:pPr>
        <w:shd w:val="clear" w:color="auto" w:fill="FFFFFF"/>
        <w:jc w:val="both"/>
        <w:rPr>
          <w:bCs/>
          <w:color w:val="002060"/>
          <w:sz w:val="16"/>
          <w:szCs w:val="16"/>
        </w:rPr>
      </w:pPr>
    </w:p>
    <w:p w14:paraId="5F265B85" w14:textId="77777777" w:rsidR="004B4E35" w:rsidRPr="00405303" w:rsidRDefault="009E6F82" w:rsidP="00C15251">
      <w:pPr>
        <w:jc w:val="both"/>
        <w:rPr>
          <w:bCs/>
          <w:color w:val="002060"/>
          <w:sz w:val="16"/>
          <w:szCs w:val="16"/>
        </w:rPr>
      </w:pPr>
      <w:r w:rsidRPr="00405303">
        <w:rPr>
          <w:bCs/>
          <w:color w:val="002060"/>
          <w:sz w:val="16"/>
          <w:szCs w:val="16"/>
        </w:rPr>
        <w:t xml:space="preserve">В 1915 г. завод начал получать заказы на вьючные приспособления для пулеметных станков и патронов. </w:t>
      </w:r>
    </w:p>
    <w:p w14:paraId="5D91D8CD" w14:textId="77777777" w:rsidR="004B4E35" w:rsidRPr="00405303" w:rsidRDefault="009E6F82" w:rsidP="00C15251">
      <w:pPr>
        <w:jc w:val="both"/>
        <w:rPr>
          <w:bCs/>
          <w:color w:val="002060"/>
          <w:sz w:val="16"/>
          <w:szCs w:val="16"/>
        </w:rPr>
      </w:pPr>
      <w:r w:rsidRPr="00405303">
        <w:rPr>
          <w:bCs/>
          <w:color w:val="002060"/>
          <w:sz w:val="16"/>
          <w:szCs w:val="16"/>
        </w:rPr>
        <w:t xml:space="preserve">Всю мировую войну работа завода шла в три смены. Образцовая мастерская работала в одну смену с лишними часами, так как работы при искусственном свете в ней, по техническим условиям, производить нельзя. Работали тем же темпом все праздники и воскресенья. Только один день в месяц давался для полного отдыха. Переутомление рабочих и служащих было чрезвычайное. </w:t>
      </w:r>
    </w:p>
    <w:p w14:paraId="3F37285C" w14:textId="77777777" w:rsidR="004B4E35" w:rsidRPr="00405303" w:rsidRDefault="009E6F82" w:rsidP="00C15251">
      <w:pPr>
        <w:jc w:val="both"/>
        <w:rPr>
          <w:bCs/>
          <w:color w:val="002060"/>
          <w:sz w:val="16"/>
          <w:szCs w:val="16"/>
        </w:rPr>
      </w:pPr>
      <w:r w:rsidRPr="00405303">
        <w:rPr>
          <w:bCs/>
          <w:color w:val="002060"/>
          <w:sz w:val="16"/>
          <w:szCs w:val="16"/>
        </w:rPr>
        <w:t>За годы войны заводы выпустили следующие количества винтовок (тыс.):</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12"/>
        <w:gridCol w:w="912"/>
        <w:gridCol w:w="912"/>
      </w:tblGrid>
      <w:tr w:rsidR="004B4E35" w:rsidRPr="00405303" w14:paraId="355B44FB" w14:textId="77777777">
        <w:tc>
          <w:tcPr>
            <w:tcW w:w="912" w:type="dxa"/>
          </w:tcPr>
          <w:p w14:paraId="42141CE0" w14:textId="311038FD" w:rsidR="004B4E35" w:rsidRPr="00405303" w:rsidRDefault="00DB4D64" w:rsidP="00C15251">
            <w:pPr>
              <w:jc w:val="both"/>
              <w:rPr>
                <w:bCs/>
                <w:color w:val="002060"/>
                <w:sz w:val="16"/>
                <w:szCs w:val="16"/>
              </w:rPr>
            </w:pPr>
            <w:r w:rsidRPr="00405303">
              <w:rPr>
                <w:bCs/>
                <w:color w:val="002060"/>
                <w:sz w:val="16"/>
                <w:szCs w:val="16"/>
              </w:rPr>
              <w:t xml:space="preserve"> </w:t>
            </w:r>
          </w:p>
        </w:tc>
        <w:tc>
          <w:tcPr>
            <w:tcW w:w="912" w:type="dxa"/>
          </w:tcPr>
          <w:p w14:paraId="18A493D8" w14:textId="77777777" w:rsidR="004B4E35" w:rsidRPr="00405303" w:rsidRDefault="009E6F82" w:rsidP="00C15251">
            <w:pPr>
              <w:jc w:val="both"/>
              <w:rPr>
                <w:bCs/>
                <w:color w:val="002060"/>
                <w:sz w:val="16"/>
                <w:szCs w:val="16"/>
              </w:rPr>
            </w:pPr>
            <w:r w:rsidRPr="00405303">
              <w:rPr>
                <w:bCs/>
                <w:color w:val="002060"/>
                <w:sz w:val="16"/>
                <w:szCs w:val="16"/>
              </w:rPr>
              <w:t xml:space="preserve">1914 г. </w:t>
            </w:r>
          </w:p>
        </w:tc>
        <w:tc>
          <w:tcPr>
            <w:tcW w:w="912" w:type="dxa"/>
          </w:tcPr>
          <w:p w14:paraId="7CC89078" w14:textId="4839991E" w:rsidR="004B4E35" w:rsidRPr="00405303" w:rsidRDefault="00DB4D64" w:rsidP="00C15251">
            <w:pPr>
              <w:jc w:val="both"/>
              <w:rPr>
                <w:bCs/>
                <w:color w:val="002060"/>
                <w:sz w:val="16"/>
                <w:szCs w:val="16"/>
              </w:rPr>
            </w:pPr>
            <w:r w:rsidRPr="00405303">
              <w:rPr>
                <w:bCs/>
                <w:color w:val="002060"/>
                <w:sz w:val="16"/>
                <w:szCs w:val="16"/>
              </w:rPr>
              <w:t xml:space="preserve"> </w:t>
            </w:r>
            <w:r w:rsidR="009E6F82" w:rsidRPr="00405303">
              <w:rPr>
                <w:bCs/>
                <w:color w:val="002060"/>
                <w:sz w:val="16"/>
                <w:szCs w:val="16"/>
              </w:rPr>
              <w:t>60</w:t>
            </w:r>
          </w:p>
        </w:tc>
      </w:tr>
      <w:tr w:rsidR="004B4E35" w:rsidRPr="00405303" w14:paraId="0FAFB5BF" w14:textId="77777777">
        <w:tc>
          <w:tcPr>
            <w:tcW w:w="912" w:type="dxa"/>
          </w:tcPr>
          <w:p w14:paraId="09720E8E" w14:textId="6643F6DD" w:rsidR="004B4E35" w:rsidRPr="00405303" w:rsidRDefault="00DB4D64" w:rsidP="00C15251">
            <w:pPr>
              <w:jc w:val="both"/>
              <w:rPr>
                <w:bCs/>
                <w:color w:val="002060"/>
                <w:sz w:val="16"/>
                <w:szCs w:val="16"/>
              </w:rPr>
            </w:pPr>
            <w:r w:rsidRPr="00405303">
              <w:rPr>
                <w:bCs/>
                <w:color w:val="002060"/>
                <w:sz w:val="16"/>
                <w:szCs w:val="16"/>
              </w:rPr>
              <w:t xml:space="preserve"> </w:t>
            </w:r>
          </w:p>
        </w:tc>
        <w:tc>
          <w:tcPr>
            <w:tcW w:w="912" w:type="dxa"/>
          </w:tcPr>
          <w:p w14:paraId="77A507FE" w14:textId="77777777" w:rsidR="004B4E35" w:rsidRPr="00405303" w:rsidRDefault="009E6F82" w:rsidP="00C15251">
            <w:pPr>
              <w:jc w:val="both"/>
              <w:rPr>
                <w:bCs/>
                <w:color w:val="002060"/>
                <w:sz w:val="16"/>
                <w:szCs w:val="16"/>
              </w:rPr>
            </w:pPr>
            <w:r w:rsidRPr="00405303">
              <w:rPr>
                <w:bCs/>
                <w:color w:val="002060"/>
                <w:sz w:val="16"/>
                <w:szCs w:val="16"/>
              </w:rPr>
              <w:t xml:space="preserve">1915 г. </w:t>
            </w:r>
          </w:p>
        </w:tc>
        <w:tc>
          <w:tcPr>
            <w:tcW w:w="912" w:type="dxa"/>
          </w:tcPr>
          <w:p w14:paraId="11309423" w14:textId="531B326E" w:rsidR="004B4E35" w:rsidRPr="00405303" w:rsidRDefault="00DB4D64" w:rsidP="00C15251">
            <w:pPr>
              <w:jc w:val="both"/>
              <w:rPr>
                <w:bCs/>
                <w:color w:val="002060"/>
                <w:sz w:val="16"/>
                <w:szCs w:val="16"/>
              </w:rPr>
            </w:pPr>
            <w:r w:rsidRPr="00405303">
              <w:rPr>
                <w:bCs/>
                <w:color w:val="002060"/>
                <w:sz w:val="16"/>
                <w:szCs w:val="16"/>
              </w:rPr>
              <w:t xml:space="preserve"> </w:t>
            </w:r>
            <w:r w:rsidR="009E6F82" w:rsidRPr="00405303">
              <w:rPr>
                <w:bCs/>
                <w:color w:val="002060"/>
                <w:sz w:val="16"/>
                <w:szCs w:val="16"/>
              </w:rPr>
              <w:t>85</w:t>
            </w:r>
          </w:p>
        </w:tc>
      </w:tr>
      <w:tr w:rsidR="004B4E35" w:rsidRPr="00405303" w14:paraId="6FF0B77C" w14:textId="77777777">
        <w:tc>
          <w:tcPr>
            <w:tcW w:w="912" w:type="dxa"/>
          </w:tcPr>
          <w:p w14:paraId="62DC083F" w14:textId="71F4EA4C" w:rsidR="004B4E35" w:rsidRPr="00405303" w:rsidRDefault="00DB4D64" w:rsidP="00C15251">
            <w:pPr>
              <w:jc w:val="both"/>
              <w:rPr>
                <w:bCs/>
                <w:color w:val="002060"/>
                <w:sz w:val="16"/>
                <w:szCs w:val="16"/>
              </w:rPr>
            </w:pPr>
            <w:r w:rsidRPr="00405303">
              <w:rPr>
                <w:bCs/>
                <w:color w:val="002060"/>
                <w:sz w:val="16"/>
                <w:szCs w:val="16"/>
              </w:rPr>
              <w:t xml:space="preserve"> </w:t>
            </w:r>
          </w:p>
        </w:tc>
        <w:tc>
          <w:tcPr>
            <w:tcW w:w="912" w:type="dxa"/>
          </w:tcPr>
          <w:p w14:paraId="2E354B01" w14:textId="77777777" w:rsidR="004B4E35" w:rsidRPr="00405303" w:rsidRDefault="009E6F82" w:rsidP="00C15251">
            <w:pPr>
              <w:jc w:val="both"/>
              <w:rPr>
                <w:bCs/>
                <w:color w:val="002060"/>
                <w:sz w:val="16"/>
                <w:szCs w:val="16"/>
              </w:rPr>
            </w:pPr>
            <w:r w:rsidRPr="00405303">
              <w:rPr>
                <w:bCs/>
                <w:color w:val="002060"/>
                <w:sz w:val="16"/>
                <w:szCs w:val="16"/>
              </w:rPr>
              <w:t xml:space="preserve">1916 г. </w:t>
            </w:r>
          </w:p>
        </w:tc>
        <w:tc>
          <w:tcPr>
            <w:tcW w:w="912" w:type="dxa"/>
          </w:tcPr>
          <w:p w14:paraId="4D8B3157" w14:textId="6F9FC723" w:rsidR="004B4E35" w:rsidRPr="00405303" w:rsidRDefault="00DB4D64" w:rsidP="00C15251">
            <w:pPr>
              <w:jc w:val="both"/>
              <w:rPr>
                <w:bCs/>
                <w:color w:val="002060"/>
                <w:sz w:val="16"/>
                <w:szCs w:val="16"/>
              </w:rPr>
            </w:pPr>
            <w:r w:rsidRPr="00405303">
              <w:rPr>
                <w:bCs/>
                <w:color w:val="002060"/>
                <w:sz w:val="16"/>
                <w:szCs w:val="16"/>
              </w:rPr>
              <w:t xml:space="preserve"> </w:t>
            </w:r>
            <w:r w:rsidR="009E6F82" w:rsidRPr="00405303">
              <w:rPr>
                <w:bCs/>
                <w:color w:val="002060"/>
                <w:sz w:val="16"/>
                <w:szCs w:val="16"/>
              </w:rPr>
              <w:t>115</w:t>
            </w:r>
          </w:p>
        </w:tc>
      </w:tr>
    </w:tbl>
    <w:p w14:paraId="00BC0AEF" w14:textId="77777777" w:rsidR="004B4E35" w:rsidRPr="00405303" w:rsidRDefault="009E6F82" w:rsidP="00C15251">
      <w:pPr>
        <w:jc w:val="both"/>
        <w:rPr>
          <w:bCs/>
          <w:color w:val="002060"/>
          <w:sz w:val="16"/>
          <w:szCs w:val="16"/>
        </w:rPr>
      </w:pPr>
      <w:r w:rsidRPr="00405303">
        <w:rPr>
          <w:bCs/>
          <w:color w:val="002060"/>
          <w:sz w:val="16"/>
          <w:szCs w:val="16"/>
        </w:rPr>
        <w:t>(11329).</w:t>
      </w:r>
    </w:p>
    <w:p w14:paraId="48FC221B" w14:textId="77777777" w:rsidR="004B4E35" w:rsidRPr="00405303" w:rsidRDefault="004B4E35" w:rsidP="00C15251">
      <w:pPr>
        <w:jc w:val="both"/>
        <w:rPr>
          <w:bCs/>
          <w:color w:val="002060"/>
          <w:sz w:val="16"/>
          <w:szCs w:val="16"/>
        </w:rPr>
      </w:pPr>
    </w:p>
    <w:p w14:paraId="412159EB" w14:textId="4D4B1CBD" w:rsidR="004B4E35" w:rsidRPr="00405303" w:rsidRDefault="00DF6591"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1915 г. </w:t>
      </w:r>
      <w:r w:rsidRPr="00405303">
        <w:rPr>
          <w:bCs/>
          <w:color w:val="002060"/>
          <w:sz w:val="16"/>
          <w:szCs w:val="16"/>
        </w:rPr>
        <w:t xml:space="preserve">была начата </w:t>
      </w:r>
      <w:r w:rsidR="009E6F82" w:rsidRPr="00405303">
        <w:rPr>
          <w:bCs/>
          <w:color w:val="002060"/>
          <w:sz w:val="16"/>
          <w:szCs w:val="16"/>
        </w:rPr>
        <w:t>и кончена в 1917 году</w:t>
      </w:r>
      <w:r w:rsidRPr="00405303">
        <w:rPr>
          <w:bCs/>
          <w:color w:val="002060"/>
          <w:sz w:val="16"/>
          <w:szCs w:val="16"/>
        </w:rPr>
        <w:t xml:space="preserve"> постройка новых мощностей Казанского порохового завода</w:t>
      </w:r>
      <w:r w:rsidR="009E6F82" w:rsidRPr="00405303">
        <w:rPr>
          <w:bCs/>
          <w:color w:val="002060"/>
          <w:sz w:val="16"/>
          <w:szCs w:val="16"/>
        </w:rPr>
        <w:t>. Незадолго перед пуском нового завода старый завод был уничтожен взрывом. При этом несколько пострадал новый завод. После ремонта он открыл производство пироксилина и пороха (11329).</w:t>
      </w:r>
    </w:p>
    <w:p w14:paraId="378363F7" w14:textId="77777777" w:rsidR="004B4E35" w:rsidRPr="00405303" w:rsidRDefault="004B4E35" w:rsidP="00C15251">
      <w:pPr>
        <w:jc w:val="both"/>
        <w:rPr>
          <w:bCs/>
          <w:color w:val="002060"/>
          <w:sz w:val="16"/>
          <w:szCs w:val="16"/>
        </w:rPr>
      </w:pPr>
    </w:p>
    <w:p w14:paraId="469EBB2B" w14:textId="77777777" w:rsidR="004B4E35" w:rsidRPr="00405303" w:rsidRDefault="009E6F82" w:rsidP="00C15251">
      <w:pPr>
        <w:jc w:val="both"/>
        <w:rPr>
          <w:bCs/>
          <w:color w:val="002060"/>
          <w:sz w:val="16"/>
          <w:szCs w:val="16"/>
        </w:rPr>
      </w:pPr>
      <w:r w:rsidRPr="00405303">
        <w:rPr>
          <w:bCs/>
          <w:color w:val="002060"/>
          <w:sz w:val="16"/>
          <w:szCs w:val="16"/>
        </w:rPr>
        <w:t xml:space="preserve">В 1915 г. было предпринято капитальное расширение Шостенского завода по производству пороха. К 1914 г. мощность порохового производства Шостки оценивалась в 240 тыс. пудов в год. Расширение должно было поднять ее до 445 тыс. пудов. В сущности, это была постройка нового завода. К концу войны по расширению выполнены были только строительные работы. Что касается механических работ, оборудование было получено только в небольшой части. </w:t>
      </w:r>
    </w:p>
    <w:p w14:paraId="527F428D" w14:textId="77777777" w:rsidR="004B4E35" w:rsidRPr="00405303" w:rsidRDefault="009E6F82" w:rsidP="00C15251">
      <w:pPr>
        <w:jc w:val="both"/>
        <w:rPr>
          <w:bCs/>
          <w:color w:val="002060"/>
          <w:sz w:val="16"/>
          <w:szCs w:val="16"/>
        </w:rPr>
      </w:pPr>
      <w:r w:rsidRPr="00405303">
        <w:rPr>
          <w:bCs/>
          <w:color w:val="002060"/>
          <w:sz w:val="16"/>
          <w:szCs w:val="16"/>
        </w:rPr>
        <w:t>Помимо указанного расширения в существующем старом заводе ставились дополнительные механизмы и аппаратура с целью увеличения пропускной способности (11329).</w:t>
      </w:r>
    </w:p>
    <w:p w14:paraId="77290492" w14:textId="77777777" w:rsidR="004B4E35" w:rsidRPr="00405303" w:rsidRDefault="004B4E35" w:rsidP="00C15251">
      <w:pPr>
        <w:jc w:val="both"/>
        <w:rPr>
          <w:bCs/>
          <w:color w:val="002060"/>
          <w:sz w:val="16"/>
          <w:szCs w:val="16"/>
        </w:rPr>
      </w:pPr>
    </w:p>
    <w:p w14:paraId="73C965E0" w14:textId="64999FAD" w:rsidR="004B4E35" w:rsidRPr="00405303" w:rsidRDefault="00DF6591" w:rsidP="00C15251">
      <w:pPr>
        <w:jc w:val="both"/>
        <w:rPr>
          <w:bCs/>
          <w:color w:val="002060"/>
          <w:sz w:val="16"/>
          <w:szCs w:val="16"/>
        </w:rPr>
      </w:pPr>
      <w:r w:rsidRPr="00405303">
        <w:rPr>
          <w:bCs/>
          <w:color w:val="002060"/>
          <w:sz w:val="16"/>
          <w:szCs w:val="16"/>
        </w:rPr>
        <w:t xml:space="preserve">В 1915 году было приступлено к постройке </w:t>
      </w:r>
      <w:r w:rsidR="009E6F82" w:rsidRPr="00405303">
        <w:rPr>
          <w:bCs/>
          <w:color w:val="002060"/>
          <w:sz w:val="16"/>
          <w:szCs w:val="16"/>
        </w:rPr>
        <w:t>Онежск</w:t>
      </w:r>
      <w:r w:rsidRPr="00405303">
        <w:rPr>
          <w:bCs/>
          <w:color w:val="002060"/>
          <w:sz w:val="16"/>
          <w:szCs w:val="16"/>
        </w:rPr>
        <w:t>ого</w:t>
      </w:r>
      <w:r w:rsidR="009E6F82" w:rsidRPr="00405303">
        <w:rPr>
          <w:bCs/>
          <w:color w:val="002060"/>
          <w:sz w:val="16"/>
          <w:szCs w:val="16"/>
        </w:rPr>
        <w:t xml:space="preserve"> завод</w:t>
      </w:r>
      <w:r w:rsidRPr="00405303">
        <w:rPr>
          <w:bCs/>
          <w:color w:val="002060"/>
          <w:sz w:val="16"/>
          <w:szCs w:val="16"/>
        </w:rPr>
        <w:t>а</w:t>
      </w:r>
      <w:r w:rsidR="009E6F82" w:rsidRPr="00405303">
        <w:rPr>
          <w:bCs/>
          <w:color w:val="002060"/>
          <w:sz w:val="16"/>
          <w:szCs w:val="16"/>
        </w:rPr>
        <w:t xml:space="preserve"> азотных кислот</w:t>
      </w:r>
      <w:r w:rsidRPr="00405303">
        <w:rPr>
          <w:bCs/>
          <w:color w:val="002060"/>
          <w:sz w:val="16"/>
          <w:szCs w:val="16"/>
        </w:rPr>
        <w:t>.</w:t>
      </w:r>
      <w:r w:rsidR="009E6F82" w:rsidRPr="00405303">
        <w:rPr>
          <w:bCs/>
          <w:color w:val="002060"/>
          <w:sz w:val="16"/>
          <w:szCs w:val="16"/>
        </w:rPr>
        <w:t xml:space="preserve"> До 1917 г. произведена лишь часть гидротехнических работ и сделаны заказы на некоторые механизмы. В 1917 г. строительство завода прекратилось, а в дальнейшем было вовсе ликвидировано. Завод был проектирован для добывания азота по так называемому дуговому способу. За невозможностью собрать проверенные данные об этом заводе здесь помещаются лишь краткие сведения о нем (11329).</w:t>
      </w:r>
    </w:p>
    <w:p w14:paraId="10563ED6" w14:textId="77777777" w:rsidR="004B4E35" w:rsidRPr="00405303" w:rsidRDefault="004B4E35" w:rsidP="00C15251">
      <w:pPr>
        <w:jc w:val="both"/>
        <w:rPr>
          <w:bCs/>
          <w:color w:val="002060"/>
          <w:sz w:val="16"/>
          <w:szCs w:val="16"/>
        </w:rPr>
      </w:pPr>
    </w:p>
    <w:p w14:paraId="6A8D60EA" w14:textId="77777777" w:rsidR="00DF6591" w:rsidRPr="00405303" w:rsidRDefault="00DF6591" w:rsidP="00C15251">
      <w:pPr>
        <w:jc w:val="both"/>
        <w:rPr>
          <w:bCs/>
          <w:color w:val="002060"/>
          <w:sz w:val="16"/>
          <w:szCs w:val="16"/>
        </w:rPr>
      </w:pPr>
      <w:r w:rsidRPr="00405303">
        <w:rPr>
          <w:bCs/>
          <w:color w:val="002060"/>
          <w:sz w:val="16"/>
          <w:szCs w:val="16"/>
        </w:rPr>
        <w:t>В течение 1915 года по этому поводу Тульский завод посетило много отдельных лиц и комиссий, которые знакомились с производством, но дальше этого дело не пошло и, конечно, и пойти не могло. Среди этих комиссий интересно отметить приезд на завод известного профессора Гриневецкого, который имел поручение не только ознакомиться с производством, но и "инструктировать завод". Надо сказать, что в широких инженерных кругах, не имевших близкого знакомства с военной промышленностью, твердо держалось убеждение в сильной отсталости и рутинности русской военной техники. Того же мнения держался и сам проф. Гриневецкий, но после нескольких дней пребывания на заводе изменил свое мнение о заводе и в дальнейшем завод в его лице нашел горячего защитника. Между прочим по вопросу об установке производства оружия на гражданских заводах Гриневецкий твердо и определенно заявил, что производство это настолько сложно, точно и тонко и требует такой длительной подготовки, что во время войны нельзя думать о постановке заново не только производства ружей в целом, но и отдельных их частей.</w:t>
      </w:r>
    </w:p>
    <w:p w14:paraId="4CCBF28F" w14:textId="77777777" w:rsidR="00DF6591" w:rsidRPr="00405303" w:rsidRDefault="00DF6591" w:rsidP="00C15251">
      <w:pPr>
        <w:jc w:val="both"/>
        <w:rPr>
          <w:bCs/>
          <w:color w:val="002060"/>
          <w:sz w:val="16"/>
          <w:szCs w:val="16"/>
        </w:rPr>
      </w:pPr>
      <w:r w:rsidRPr="00405303">
        <w:rPr>
          <w:bCs/>
          <w:color w:val="002060"/>
          <w:sz w:val="16"/>
          <w:szCs w:val="16"/>
        </w:rPr>
        <w:t>С начала войны и до 1916 г. завод не испытывал особых затруднений, тормозящих работу. Необходимые денежные средства отпускались в достаточном размере. В материалах острой нужды также не испытывалось, хотя нередко приходилось пользоваться материалами некондиционными. Не было особых затруднений также и в найме рабочих, в особенности после того, как в 1915 г. было разрешено брать рабочих на учет завода, с освобождением их от фронтовой службы, а также вызывать с фронта. Сказанное не относится, впрочем, к рабочим наиболее высоких квалификаций, как-то: инструментальщикам и лекальщикам; в них завод во время войны испытывал ощутительную нужду (11329).</w:t>
      </w:r>
    </w:p>
    <w:p w14:paraId="472533F6" w14:textId="77777777" w:rsidR="00DF6591" w:rsidRPr="00405303" w:rsidRDefault="00DF6591" w:rsidP="00C15251">
      <w:pPr>
        <w:pStyle w:val="a3"/>
        <w:jc w:val="both"/>
        <w:rPr>
          <w:bCs/>
          <w:i w:val="0"/>
          <w:color w:val="002060"/>
          <w:spacing w:val="0"/>
          <w:kern w:val="0"/>
          <w:position w:val="0"/>
          <w:sz w:val="16"/>
          <w:szCs w:val="16"/>
        </w:rPr>
      </w:pPr>
    </w:p>
    <w:p w14:paraId="0D5C0E12" w14:textId="6BA7EA98" w:rsidR="004B4E35" w:rsidRPr="00405303" w:rsidRDefault="009E6F82" w:rsidP="00C15251">
      <w:pPr>
        <w:jc w:val="both"/>
        <w:rPr>
          <w:bCs/>
          <w:color w:val="002060"/>
          <w:sz w:val="16"/>
          <w:szCs w:val="16"/>
        </w:rPr>
      </w:pPr>
      <w:r w:rsidRPr="00405303">
        <w:rPr>
          <w:bCs/>
          <w:color w:val="002060"/>
          <w:sz w:val="16"/>
          <w:szCs w:val="16"/>
        </w:rPr>
        <w:t xml:space="preserve">В </w:t>
      </w:r>
      <w:r w:rsidR="00DF6591" w:rsidRPr="00405303">
        <w:rPr>
          <w:bCs/>
          <w:color w:val="002060"/>
          <w:sz w:val="16"/>
          <w:szCs w:val="16"/>
        </w:rPr>
        <w:t xml:space="preserve">1915 г. </w:t>
      </w:r>
      <w:r w:rsidRPr="00405303">
        <w:rPr>
          <w:bCs/>
          <w:color w:val="002060"/>
          <w:sz w:val="16"/>
          <w:szCs w:val="16"/>
        </w:rPr>
        <w:t xml:space="preserve">ГАУ признало необходимым развить в широких размерах машиностроительное дело, возникшее при Тульском оружейном заводе, и вместо машиностроительного отдела основать большой машиностроительный завод, который бы мог обслуживать планомерно нужды всех военных заводов в точных станках. </w:t>
      </w:r>
    </w:p>
    <w:p w14:paraId="1F9483E2" w14:textId="77777777" w:rsidR="004B4E35" w:rsidRPr="00405303" w:rsidRDefault="009E6F82" w:rsidP="00C15251">
      <w:pPr>
        <w:jc w:val="both"/>
        <w:rPr>
          <w:bCs/>
          <w:color w:val="002060"/>
          <w:sz w:val="16"/>
          <w:szCs w:val="16"/>
        </w:rPr>
      </w:pPr>
      <w:r w:rsidRPr="00405303">
        <w:rPr>
          <w:bCs/>
          <w:color w:val="002060"/>
          <w:sz w:val="16"/>
          <w:szCs w:val="16"/>
        </w:rPr>
        <w:t xml:space="preserve">Решение организовать станкостроение при оружейном заводе — в идее совершенно правильно, и всюду за границей точное машиностроение возникало именно при военных заводах, занятых точными производствами. Так, например, во Франции первый завод точных станков возник в Пюто при казенном патронном заводе. Равным образом в Германии при оружейном заводе Леве возник знаменитый ныне станочный завод того же наименования. Станочный завод "Браун и Шарп", а также "Пратт и Витней" развились и совершенствовались при прямом участии американского оружейного завода, от которого они получали задания и который они затем обслуживали своими станками. </w:t>
      </w:r>
    </w:p>
    <w:p w14:paraId="1F94498C" w14:textId="77777777" w:rsidR="004B4E35" w:rsidRPr="00405303" w:rsidRDefault="009E6F82" w:rsidP="00C15251">
      <w:pPr>
        <w:jc w:val="both"/>
        <w:rPr>
          <w:bCs/>
          <w:color w:val="002060"/>
          <w:sz w:val="16"/>
          <w:szCs w:val="16"/>
        </w:rPr>
      </w:pPr>
      <w:r w:rsidRPr="00405303">
        <w:rPr>
          <w:bCs/>
          <w:color w:val="002060"/>
          <w:sz w:val="16"/>
          <w:szCs w:val="16"/>
        </w:rPr>
        <w:t>К постройке завода приступлено не было, и в дальнейшем это дело было ликвидировано (11329).</w:t>
      </w:r>
    </w:p>
    <w:p w14:paraId="16D64E89" w14:textId="77777777" w:rsidR="004B4E35" w:rsidRPr="00405303" w:rsidRDefault="004B4E35" w:rsidP="00C15251">
      <w:pPr>
        <w:jc w:val="both"/>
        <w:rPr>
          <w:bCs/>
          <w:color w:val="002060"/>
          <w:sz w:val="16"/>
          <w:szCs w:val="16"/>
        </w:rPr>
      </w:pPr>
    </w:p>
    <w:p w14:paraId="32D182A9" w14:textId="77777777" w:rsidR="004B4E35" w:rsidRPr="00405303" w:rsidRDefault="009E6F82" w:rsidP="00C15251">
      <w:pPr>
        <w:jc w:val="both"/>
        <w:rPr>
          <w:bCs/>
          <w:color w:val="002060"/>
          <w:sz w:val="16"/>
          <w:szCs w:val="16"/>
        </w:rPr>
      </w:pPr>
      <w:r w:rsidRPr="00405303">
        <w:rPr>
          <w:bCs/>
          <w:color w:val="002060"/>
          <w:sz w:val="16"/>
          <w:szCs w:val="16"/>
        </w:rPr>
        <w:t xml:space="preserve">В 1915 г. около Тамбова, на месте бегового круга, был устроен специальный склад для сбора и хранения трофеев, взятых в боях. </w:t>
      </w:r>
    </w:p>
    <w:p w14:paraId="2A8E63CA" w14:textId="77777777" w:rsidR="004B4E35" w:rsidRPr="00405303" w:rsidRDefault="009E6F82" w:rsidP="00C15251">
      <w:pPr>
        <w:jc w:val="both"/>
        <w:rPr>
          <w:bCs/>
          <w:color w:val="002060"/>
          <w:sz w:val="16"/>
          <w:szCs w:val="16"/>
        </w:rPr>
      </w:pPr>
      <w:r w:rsidRPr="00405303">
        <w:rPr>
          <w:bCs/>
          <w:color w:val="002060"/>
          <w:sz w:val="16"/>
          <w:szCs w:val="16"/>
        </w:rPr>
        <w:t xml:space="preserve">Так как понятие "трофеи" толковалось распространительно, то в склад, наряду с подлинными трофеями, каковыми являлись взятые в плен орудия и исправные боевые припасы, свозился также всякий хлам, подобранный на полях сражений, как, например, стреляные снаряды и мины, невзорвавшиеся ручные гранаты, неподействовавшие зажигательные, осветительные и пр. припасы. Предметы этого рода, конечно, трофеями почитаться никак не могли. Но мало того, не имея никакой боевой и иной ценности, они представляли большую опасность в обращении. </w:t>
      </w:r>
    </w:p>
    <w:p w14:paraId="3397006B" w14:textId="77777777" w:rsidR="004B4E35" w:rsidRPr="00405303" w:rsidRDefault="009E6F82" w:rsidP="00C15251">
      <w:pPr>
        <w:jc w:val="both"/>
        <w:rPr>
          <w:bCs/>
          <w:color w:val="002060"/>
          <w:sz w:val="16"/>
          <w:szCs w:val="16"/>
        </w:rPr>
      </w:pPr>
      <w:r w:rsidRPr="00405303">
        <w:rPr>
          <w:bCs/>
          <w:color w:val="002060"/>
          <w:sz w:val="16"/>
          <w:szCs w:val="16"/>
        </w:rPr>
        <w:t>Нужно только удивляться, зачем такие "трофеи" возили с одного конца России на другой, рискуя устроить грандиозный взрыв в пути на какой-нибудь узловой станции, где могли стоять поезда, следующие на фронт с боевыми припасами или людьми. Взрыв в пути, однако, не случился. Но так как, по логике вещей, взрыв такого имущества был неизбежен, то он случился в самом трофейном складе. (11329).</w:t>
      </w:r>
    </w:p>
    <w:p w14:paraId="42F7E003" w14:textId="77777777" w:rsidR="004B4E35" w:rsidRPr="00405303" w:rsidRDefault="004B4E35" w:rsidP="00C15251">
      <w:pPr>
        <w:jc w:val="both"/>
        <w:rPr>
          <w:bCs/>
          <w:color w:val="002060"/>
          <w:sz w:val="16"/>
          <w:szCs w:val="16"/>
        </w:rPr>
      </w:pPr>
    </w:p>
    <w:p w14:paraId="3A59B672" w14:textId="5993AA1C" w:rsidR="004B4E35" w:rsidRPr="00405303" w:rsidRDefault="00DF6591"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1915 г. во время войны с Германией, когда был острый дефицит патронов, на Петроградском патронном заводе провели обширные испытания винтовочных патронов, снаря</w:t>
      </w:r>
      <w:r w:rsidR="009E6F82" w:rsidRPr="00405303">
        <w:rPr>
          <w:bCs/>
          <w:color w:val="002060"/>
          <w:sz w:val="16"/>
          <w:szCs w:val="16"/>
        </w:rPr>
        <w:softHyphen/>
        <w:t>женных в стреляные гильзы. При этом было получено большое ко</w:t>
      </w:r>
      <w:r w:rsidR="009E6F82" w:rsidRPr="00405303">
        <w:rPr>
          <w:bCs/>
          <w:color w:val="002060"/>
          <w:sz w:val="16"/>
          <w:szCs w:val="16"/>
        </w:rPr>
        <w:softHyphen/>
        <w:t>личество разрывов гильз при выстреле, повлекших за собой прорыв газов через затвор, порчу затворов, а иногда и ожоги стрелков. Тогда пришли к заключению, что прибегать к снаряжению патронов в стре</w:t>
      </w:r>
      <w:r w:rsidR="009E6F82" w:rsidRPr="00405303">
        <w:rPr>
          <w:bCs/>
          <w:color w:val="002060"/>
          <w:sz w:val="16"/>
          <w:szCs w:val="16"/>
        </w:rPr>
        <w:softHyphen/>
        <w:t>ляные гильзы следует только при крайней необходимости. В 1919 г. возникла именно такая необходимость. Только в декабре 1919 г. кустарные мастерские изготовили более 2 млн патронов из стреляных гильз. Производство винтовочных патронов из стреля</w:t>
      </w:r>
      <w:r w:rsidR="009E6F82" w:rsidRPr="00405303">
        <w:rPr>
          <w:bCs/>
          <w:color w:val="002060"/>
          <w:sz w:val="16"/>
          <w:szCs w:val="16"/>
        </w:rPr>
        <w:softHyphen/>
        <w:t>ных гильз было налажено на Московском дроболитейном заводе [21, с. 276] (5484).</w:t>
      </w:r>
    </w:p>
    <w:p w14:paraId="1EB907B6" w14:textId="77777777" w:rsidR="004B4E35" w:rsidRPr="00405303" w:rsidRDefault="004B4E35" w:rsidP="00C15251">
      <w:pPr>
        <w:jc w:val="both"/>
        <w:rPr>
          <w:bCs/>
          <w:color w:val="002060"/>
          <w:sz w:val="16"/>
          <w:szCs w:val="16"/>
        </w:rPr>
      </w:pPr>
    </w:p>
    <w:p w14:paraId="216F982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В 1915 г. в помощь действующему правительственному аппарату было создано несколько межведомственных органов: Комитет по распределению топлива (4 марта 1915 г.), Главный продовольственный комитет при Министерстве торговли и промышленности (19 мая 1915 г.), Комитет по перевозкам и др. Эти комитеты в основном занимались вопросами распределения, снабжения и перевозок. Работа их сопровождалась чудовищной волокитой, взяточничеством и вела лишь к усилению спекуляции. В тот же период возникает ряд органов военного снабжения, часто совершенно параллельными функциями, дублирующих деятельность правительственных комитетов и совещаний. После поражения на Галицийском фронте весной 1915 г. катастрофа с производством вооружения и со снабжением им армии обнаружилась со всей силой. Стала ясна необходимость создания централизованных государственных органов, ответственных не только за распределение и снабжение армии всеми необходимыми предметами снаряжения и вооружения, но и за всю постановку промышленного производства. По инициативе военного министра Поливанова после шумных дебатов в Государственной Думе было решено образовать четыре </w:t>
      </w:r>
      <w:r w:rsidRPr="00405303">
        <w:rPr>
          <w:bCs/>
          <w:color w:val="002060"/>
          <w:spacing w:val="0"/>
          <w:kern w:val="0"/>
          <w:position w:val="0"/>
          <w:sz w:val="16"/>
          <w:szCs w:val="16"/>
        </w:rPr>
        <w:t>Особых совещания</w:t>
      </w:r>
      <w:r w:rsidRPr="00405303">
        <w:rPr>
          <w:bCs/>
          <w:i w:val="0"/>
          <w:color w:val="002060"/>
          <w:spacing w:val="0"/>
          <w:kern w:val="0"/>
          <w:position w:val="0"/>
          <w:sz w:val="16"/>
          <w:szCs w:val="16"/>
        </w:rPr>
        <w:t>: по обороне, топливу, перевозкам, продовольствию.</w:t>
      </w:r>
    </w:p>
    <w:p w14:paraId="512D566D"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Главную роль среди них играло Особое совещание по обороне, призванное осуществлять высший надзор за деятельностью всех государственных и частных промышленных предприятий, снабжавших армию и флот; содействовать организации новых заводов, распределять заказы и контролировать их исполнение. Совещание имело право требовать от всех предприятий принятия военных заказов и представления ими всяких сведений, характеризующих их деятельность; производить осмотр предприятий и проверять торговые книги и документы, удостоверяющие количество наличного оборудования, материалов и изделий; назначать и смещать в случае надобности членов правлений, директоров и управляющих как казенных, так и частных заводов.</w:t>
      </w:r>
    </w:p>
    <w:p w14:paraId="53598543"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каждое из совещаний должны были входить несколько членов Государственной думы и Государственного совета (в совещание по обороне входил председатель Думы), представители ведомств в преобладающем числе, небольшое число особо приглашаемых представителей общественных организаций. Всего около 40 человек — и почти все являлись представителями ведомств.</w:t>
      </w:r>
    </w:p>
    <w:p w14:paraId="2C5A4A3C"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Во главе Совещаний стоял военный министр — как председатель Особого совещания по обороне. Ему было предоставлено право контролировать деятельность других особых совещаний. Он имел право приостанавливать все распоряжения председателей других особых совещаний. Председатель мог закрывать предприятия, не выполнявшие казенные заказы; требовать выполнения заказов казны ранее других; секвестировать частные предприятия и назначать для управления ими уполномоченных. В случае необходимости он мог устранять от службы и смещать директоров, управляющих, советы предприятий, работающих на оборону, назначать во главу предприятий новых лиц, регулировать заработную плату.</w:t>
      </w:r>
    </w:p>
    <w:p w14:paraId="1EDEB30B"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Представителями председателя особого совещания по обороне на местах являлись районные уполномоченные, действовавшие в крупных промышленных центрах. При районных уполномоченных были образованы заводские совещания, в состав которых входили представители ведомств военного, морского, торговли и промышленности, путей сообщения и земледелия, а также представители местных организаций. С помощью заводских совещаний Особое совещание по обороне должно было контролировать выполнение военных заказов на огромном количестве промышленных предприятий.</w:t>
      </w:r>
    </w:p>
    <w:p w14:paraId="60877F44"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1916 г. под их контролем находилось 4872 предприятия. Процесс организационного оформления Особого совещания по обороне продолжался до начала 1916 г. В этот период были созданы следующие комиссии Совещания: подготовительная по общим вопросам; подготовительная по артиллерийским вопросам; наблюдательная; эвакуационная.</w:t>
      </w:r>
    </w:p>
    <w:p w14:paraId="492A3E7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Были созданы также комиссии: реквизиционная, по пересмотру норм медицинского и санитарного снабжения армии, по учету и распределению иностранной валюты. Тогда же возникли: Комитет по делам металлургической промышленности, Русский заготовительный комитет в Америке, Русский правительственный комитет в Лондоне и Статистическое бюро при Особом совещании (11270).</w:t>
      </w:r>
    </w:p>
    <w:p w14:paraId="74ABA1F0" w14:textId="77777777" w:rsidR="004B4E35" w:rsidRPr="00405303" w:rsidRDefault="004B4E35" w:rsidP="00C15251">
      <w:pPr>
        <w:pStyle w:val="a3"/>
        <w:jc w:val="both"/>
        <w:rPr>
          <w:bCs/>
          <w:i w:val="0"/>
          <w:color w:val="002060"/>
          <w:spacing w:val="0"/>
          <w:kern w:val="0"/>
          <w:position w:val="0"/>
          <w:sz w:val="16"/>
          <w:szCs w:val="16"/>
        </w:rPr>
      </w:pPr>
    </w:p>
    <w:p w14:paraId="7CC8E5F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1909 по 1915 г. тротиловое производство периодически расши</w:t>
      </w:r>
      <w:r w:rsidRPr="00405303">
        <w:rPr>
          <w:bCs/>
          <w:color w:val="002060"/>
          <w:sz w:val="16"/>
          <w:szCs w:val="16"/>
        </w:rPr>
        <w:softHyphen/>
        <w:t>рялось и пополнялось оборудованием.</w:t>
      </w:r>
    </w:p>
    <w:p w14:paraId="422A111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Охтинский завод в период 1905—1909 гг. изготовил более 30 тыс. пудов мелинита и снарядил им 90,5 тыс. снарядов средних калибров. Производство тротила в 1909—1911 гг. превысило 12 тыс. пудов. Им снарядили в эти годы более 430 тыс. снарядов различных калибров.</w:t>
      </w:r>
    </w:p>
    <w:p w14:paraId="62DE5E3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1911 г. на Охтинском заводе было введено снаряжение ручных гранат прессованным мелинитом. С 1910 по 1914 г. на заводе прово</w:t>
      </w:r>
      <w:r w:rsidRPr="00405303">
        <w:rPr>
          <w:bCs/>
          <w:color w:val="002060"/>
          <w:sz w:val="16"/>
          <w:szCs w:val="16"/>
        </w:rPr>
        <w:softHyphen/>
        <w:t>дили опытные работы по снаряжению авиабомб и взрывателей к ним.</w:t>
      </w:r>
    </w:p>
    <w:p w14:paraId="07D17366"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Таким образом, Охтинский завод был первым и на протяжении многих лет единственным в России казенным предприятием, где за</w:t>
      </w:r>
      <w:r w:rsidRPr="00405303">
        <w:rPr>
          <w:bCs/>
          <w:color w:val="002060"/>
          <w:sz w:val="16"/>
          <w:szCs w:val="16"/>
        </w:rPr>
        <w:softHyphen/>
        <w:t>родилось и развивалось производство бризантных взрывчатых ве</w:t>
      </w:r>
      <w:r w:rsidRPr="00405303">
        <w:rPr>
          <w:bCs/>
          <w:color w:val="002060"/>
          <w:sz w:val="16"/>
          <w:szCs w:val="16"/>
        </w:rPr>
        <w:softHyphen/>
        <w:t>ществ военного назначения — сначала мелинита, а с 1909 г. — тро</w:t>
      </w:r>
      <w:r w:rsidRPr="00405303">
        <w:rPr>
          <w:bCs/>
          <w:color w:val="002060"/>
          <w:sz w:val="16"/>
          <w:szCs w:val="16"/>
        </w:rPr>
        <w:softHyphen/>
        <w:t>тила.</w:t>
      </w:r>
    </w:p>
    <w:p w14:paraId="0944B67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Мастерские Охтинского завода, выпускавшие тротил в неболь</w:t>
      </w:r>
      <w:r w:rsidRPr="00405303">
        <w:rPr>
          <w:bCs/>
          <w:color w:val="002060"/>
          <w:sz w:val="16"/>
          <w:szCs w:val="16"/>
        </w:rPr>
        <w:softHyphen/>
        <w:t>ших количествах, не могли обеспечить резко возросшие потребности артиллерии. Поэтому с 1910г. завод стал использовать для снаряже</w:t>
      </w:r>
      <w:r w:rsidRPr="00405303">
        <w:rPr>
          <w:bCs/>
          <w:color w:val="002060"/>
          <w:sz w:val="16"/>
          <w:szCs w:val="16"/>
        </w:rPr>
        <w:softHyphen/>
        <w:t>ния также тротил, изготовляемый на Шлиссельбургском заводе (5484).</w:t>
      </w:r>
    </w:p>
    <w:p w14:paraId="2C19E095" w14:textId="77777777" w:rsidR="004B4E35" w:rsidRPr="00405303" w:rsidRDefault="004B4E35" w:rsidP="00C15251">
      <w:pPr>
        <w:jc w:val="both"/>
        <w:rPr>
          <w:bCs/>
          <w:color w:val="002060"/>
          <w:sz w:val="16"/>
          <w:szCs w:val="16"/>
        </w:rPr>
      </w:pPr>
    </w:p>
    <w:p w14:paraId="0880C9FB" w14:textId="647CB378" w:rsidR="004B4E35" w:rsidRPr="00405303" w:rsidRDefault="00DF6591" w:rsidP="00C15251">
      <w:pPr>
        <w:jc w:val="both"/>
        <w:rPr>
          <w:bCs/>
          <w:color w:val="002060"/>
          <w:sz w:val="16"/>
          <w:szCs w:val="16"/>
        </w:rPr>
      </w:pPr>
      <w:r w:rsidRPr="00405303">
        <w:rPr>
          <w:bCs/>
          <w:color w:val="002060"/>
          <w:sz w:val="16"/>
          <w:szCs w:val="16"/>
        </w:rPr>
        <w:t xml:space="preserve">С </w:t>
      </w:r>
      <w:r w:rsidR="009E6F82" w:rsidRPr="00405303">
        <w:rPr>
          <w:bCs/>
          <w:color w:val="002060"/>
          <w:sz w:val="16"/>
          <w:szCs w:val="16"/>
        </w:rPr>
        <w:t xml:space="preserve">1915 г. </w:t>
      </w:r>
      <w:r w:rsidRPr="00405303">
        <w:rPr>
          <w:bCs/>
          <w:color w:val="002060"/>
          <w:sz w:val="16"/>
          <w:szCs w:val="16"/>
        </w:rPr>
        <w:t xml:space="preserve">пресловутый "снарядный голод" </w:t>
      </w:r>
      <w:r w:rsidR="009E6F82" w:rsidRPr="00405303">
        <w:rPr>
          <w:bCs/>
          <w:color w:val="002060"/>
          <w:sz w:val="16"/>
          <w:szCs w:val="16"/>
        </w:rPr>
        <w:t>был ликвидирован столь эффективно, что уже в 1917 г. пришлось принимать меры к сокращению производства орудий и боеприпасов. Выпущенного в 1914-1917 гг. военного снаряжения хватило впоследствии на всю гражданскую войну. Его использовали даже в Великую Отечественную. К началу 1917 г. нехватка в армии отмечалась только в отечественном стрелковом, особенно автоматическом оружии. Но и эти проблемы были на пути к решению (11230).</w:t>
      </w:r>
    </w:p>
    <w:p w14:paraId="4FD146AC" w14:textId="77777777" w:rsidR="004B4E35" w:rsidRPr="00405303" w:rsidRDefault="004B4E35" w:rsidP="00C15251">
      <w:pPr>
        <w:jc w:val="both"/>
        <w:rPr>
          <w:bCs/>
          <w:color w:val="002060"/>
          <w:sz w:val="16"/>
          <w:szCs w:val="16"/>
        </w:rPr>
      </w:pPr>
    </w:p>
    <w:p w14:paraId="2A911FEF" w14:textId="28706071" w:rsidR="004B4E35" w:rsidRPr="00405303" w:rsidRDefault="00DF6591" w:rsidP="00C15251">
      <w:pPr>
        <w:jc w:val="both"/>
        <w:rPr>
          <w:bCs/>
          <w:color w:val="002060"/>
          <w:sz w:val="16"/>
          <w:szCs w:val="16"/>
        </w:rPr>
      </w:pPr>
      <w:r w:rsidRPr="00405303">
        <w:rPr>
          <w:bCs/>
          <w:color w:val="002060"/>
          <w:sz w:val="16"/>
          <w:szCs w:val="16"/>
        </w:rPr>
        <w:t xml:space="preserve">В </w:t>
      </w:r>
      <w:r w:rsidR="009E6F82" w:rsidRPr="00405303">
        <w:rPr>
          <w:bCs/>
          <w:color w:val="002060"/>
          <w:sz w:val="16"/>
          <w:szCs w:val="16"/>
        </w:rPr>
        <w:t xml:space="preserve">1915 г. </w:t>
      </w:r>
      <w:r w:rsidRPr="00405303">
        <w:rPr>
          <w:bCs/>
          <w:color w:val="002060"/>
          <w:sz w:val="16"/>
          <w:szCs w:val="16"/>
        </w:rPr>
        <w:t xml:space="preserve">Предписанием за № 4180 с. ГАУ уведомило Рдултовского, что Военный Совет журналом </w:t>
      </w:r>
      <w:r w:rsidR="009E6F82" w:rsidRPr="00405303">
        <w:rPr>
          <w:bCs/>
          <w:color w:val="002060"/>
          <w:sz w:val="16"/>
          <w:szCs w:val="16"/>
        </w:rPr>
        <w:t xml:space="preserve">за №4018 с разрешил произвести постройку Снаряжательного завода, по хозяйственно-строительной Комиссии, под его председательством, руководствуясь приказом по Военному Ведомству от 1902 г. за № 231, и вместе с тем поручил В.И. Рдултовскому донести, кого полагалось бы назначить на должность членов Комиссии и делопроизводителей. </w:t>
      </w:r>
    </w:p>
    <w:p w14:paraId="1C82D96F" w14:textId="77777777" w:rsidR="004B4E35" w:rsidRPr="00405303" w:rsidRDefault="009E6F82" w:rsidP="00C15251">
      <w:pPr>
        <w:jc w:val="both"/>
        <w:rPr>
          <w:bCs/>
          <w:color w:val="002060"/>
          <w:sz w:val="16"/>
          <w:szCs w:val="16"/>
        </w:rPr>
      </w:pPr>
      <w:r w:rsidRPr="00405303">
        <w:rPr>
          <w:bCs/>
          <w:color w:val="002060"/>
          <w:sz w:val="16"/>
          <w:szCs w:val="16"/>
        </w:rPr>
        <w:t xml:space="preserve">Имея в виду указание Хозяйственного отдела ГАУ, (генерал-майор Россевич), «что постройку завода желательно произвести в Московском промышленном районе», Рдултовский просит откомандировать его в Москву, Рязань, Владимир, Тамбов для осмотра выбора участка земли, пригодной для постройки завода. </w:t>
      </w:r>
    </w:p>
    <w:p w14:paraId="62DC4759" w14:textId="77777777" w:rsidR="004B4E35" w:rsidRPr="00405303" w:rsidRDefault="009E6F82" w:rsidP="00C15251">
      <w:pPr>
        <w:jc w:val="both"/>
        <w:rPr>
          <w:bCs/>
          <w:color w:val="002060"/>
          <w:sz w:val="16"/>
          <w:szCs w:val="16"/>
        </w:rPr>
      </w:pPr>
      <w:r w:rsidRPr="00405303">
        <w:rPr>
          <w:bCs/>
          <w:color w:val="002060"/>
          <w:sz w:val="16"/>
          <w:szCs w:val="16"/>
        </w:rPr>
        <w:t xml:space="preserve">Ввиду изложенного, он доносит в ГАУ, что «Журнал Военного Ведомства с.г. за № 4018.» дает возможность немедленно приступить к выбору и приобретению земельного участка и заготовке материалов и механизмов, требующих заблаговременного заказа. К этим мероприятиям следовало преступить теперь же. </w:t>
      </w:r>
    </w:p>
    <w:p w14:paraId="37A9FADF" w14:textId="77777777" w:rsidR="004B4E35" w:rsidRPr="00405303" w:rsidRDefault="009E6F82" w:rsidP="00C15251">
      <w:pPr>
        <w:jc w:val="both"/>
        <w:rPr>
          <w:bCs/>
          <w:color w:val="002060"/>
          <w:sz w:val="16"/>
          <w:szCs w:val="16"/>
        </w:rPr>
      </w:pPr>
      <w:r w:rsidRPr="00405303">
        <w:rPr>
          <w:bCs/>
          <w:color w:val="002060"/>
          <w:sz w:val="16"/>
          <w:szCs w:val="16"/>
        </w:rPr>
        <w:t>4 августа 1915 г. В. И. Рдултовский пишет рапорт в ГАУ. Во исполнение предписаний ГАУ сего года за № 4018 и № 62301 доносит, что доклад о постройке Снаряжательного завода был составлен в 6 отделении ГАУ при его участии и внесен в Военный Совет ранее полученного им предписания за № 62301, о представлении соображений по этому вопросу.</w:t>
      </w:r>
    </w:p>
    <w:p w14:paraId="0F0A192D" w14:textId="77777777" w:rsidR="004B4E35" w:rsidRPr="00405303" w:rsidRDefault="009E6F82" w:rsidP="00C15251">
      <w:pPr>
        <w:jc w:val="both"/>
        <w:rPr>
          <w:bCs/>
          <w:color w:val="002060"/>
          <w:sz w:val="16"/>
          <w:szCs w:val="16"/>
        </w:rPr>
      </w:pPr>
      <w:r w:rsidRPr="00405303">
        <w:rPr>
          <w:bCs/>
          <w:color w:val="002060"/>
          <w:sz w:val="16"/>
          <w:szCs w:val="16"/>
        </w:rPr>
        <w:t xml:space="preserve">Из рапорта за № 85738, октябрь 1915 г.,: «После осмотра Рдултовским нескольких участков в Московском промышленном районе, ГАУ избрало для постройки лесную дачу «Гусенёво», оказавшуюся наиболее удовлетворительной из всех осмотренных за короткое время участков». </w:t>
      </w:r>
    </w:p>
    <w:p w14:paraId="117496DC" w14:textId="77777777" w:rsidR="004B4E35" w:rsidRPr="00405303" w:rsidRDefault="009E6F82" w:rsidP="00C15251">
      <w:pPr>
        <w:jc w:val="both"/>
        <w:rPr>
          <w:bCs/>
          <w:color w:val="002060"/>
          <w:sz w:val="16"/>
          <w:szCs w:val="16"/>
        </w:rPr>
      </w:pPr>
      <w:r w:rsidRPr="00405303">
        <w:rPr>
          <w:bCs/>
          <w:color w:val="002060"/>
          <w:sz w:val="16"/>
          <w:szCs w:val="16"/>
        </w:rPr>
        <w:t xml:space="preserve">Отношение Военного министра генерала от инфантерии Поливанова Главному управлению землеустроительством и земледелием от 10 сентября 1915 г. за № 85166, в котором говорится, что «Военный Совет журналом от 25 июля 1915 г. разрешил ГАУ построить снаряжательный завод для приготовления гремучей ртути, капсюлей, светящихся звездок для снаряжения ручных гранат. Подходящим местом была признана лесная дача «Гусенево» принадлежащая Свято-Троицкой Сергиевой Лавре, находящейся во Владимирской губернии, Александровского уезда, Рогачевской волости. </w:t>
      </w:r>
    </w:p>
    <w:p w14:paraId="40CC42A6" w14:textId="77777777" w:rsidR="004B4E35" w:rsidRPr="00405303" w:rsidRDefault="009E6F82" w:rsidP="00C15251">
      <w:pPr>
        <w:jc w:val="both"/>
        <w:rPr>
          <w:bCs/>
          <w:color w:val="002060"/>
          <w:sz w:val="16"/>
          <w:szCs w:val="16"/>
        </w:rPr>
      </w:pPr>
      <w:r w:rsidRPr="00405303">
        <w:rPr>
          <w:bCs/>
          <w:color w:val="002060"/>
          <w:sz w:val="16"/>
          <w:szCs w:val="16"/>
        </w:rPr>
        <w:t xml:space="preserve">Эта дача находиться в 75 верстах на северо-востоке от Москвы и на расстоянии 7 верст от станции Бужаниново Ярославской линии железных казенных дорог. Сообщая об изложенном, ГАУ просит ГУ Генерального штаба не отказывать в сообщении, не встречаются ли препятствия к постройке завода на избранном для сего участке. Принимая во внимание, что в связи с постройкой завода, который имеет чрезвычайно спешный характер, возникают вопросы. Это подвоз строительных и расходных материалов, отправка готовых изделий. Необходимо проложить ж.д ветку от ст. Бужаниново до завода протяженностью 7 верст. </w:t>
      </w:r>
    </w:p>
    <w:p w14:paraId="7725B424" w14:textId="77777777" w:rsidR="004B4E35" w:rsidRPr="00405303" w:rsidRDefault="009E6F82" w:rsidP="00C15251">
      <w:pPr>
        <w:jc w:val="both"/>
        <w:rPr>
          <w:bCs/>
          <w:color w:val="002060"/>
          <w:sz w:val="16"/>
          <w:szCs w:val="16"/>
        </w:rPr>
      </w:pPr>
      <w:r w:rsidRPr="00405303">
        <w:rPr>
          <w:bCs/>
          <w:color w:val="002060"/>
          <w:sz w:val="16"/>
          <w:szCs w:val="16"/>
        </w:rPr>
        <w:t xml:space="preserve">В сентябре 1915 г. местный лесничий допустил В. И. Рдултовского, как представителя Артиллерийского ведомства, к занятию участка и к возведению на нем построек, не ожидая формального ввода во владения. </w:t>
      </w:r>
    </w:p>
    <w:p w14:paraId="7C7CC11C"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От 15 сентября 1915 г. рапортом № 39 председатель комиссии гв. пол. В.И. Рдултовский просит об отпуске ему 400 000 руб. для заготовления материалов и начала строительства. </w:t>
      </w:r>
    </w:p>
    <w:p w14:paraId="59094F13" w14:textId="77777777" w:rsidR="004B4E35" w:rsidRPr="00405303" w:rsidRDefault="009E6F82" w:rsidP="00C15251">
      <w:pPr>
        <w:jc w:val="both"/>
        <w:rPr>
          <w:bCs/>
          <w:color w:val="002060"/>
          <w:sz w:val="16"/>
          <w:szCs w:val="16"/>
        </w:rPr>
      </w:pPr>
      <w:r w:rsidRPr="00405303">
        <w:rPr>
          <w:bCs/>
          <w:color w:val="002060"/>
          <w:sz w:val="16"/>
          <w:szCs w:val="16"/>
        </w:rPr>
        <w:t xml:space="preserve">Ему сообщают, что денежный кредит на постройку будет открыт комиссией в ближайшие дни. Штаты же еще не утверждены Военным Советом, потому пока все обязанности чинов Комиссии распределяются им. </w:t>
      </w:r>
    </w:p>
    <w:p w14:paraId="552B6823" w14:textId="77777777" w:rsidR="004B4E35" w:rsidRPr="00405303" w:rsidRDefault="009E6F82" w:rsidP="00C15251">
      <w:pPr>
        <w:jc w:val="both"/>
        <w:rPr>
          <w:bCs/>
          <w:color w:val="002060"/>
          <w:sz w:val="16"/>
          <w:szCs w:val="16"/>
        </w:rPr>
      </w:pPr>
      <w:r w:rsidRPr="00405303">
        <w:rPr>
          <w:bCs/>
          <w:color w:val="002060"/>
          <w:sz w:val="16"/>
          <w:szCs w:val="16"/>
        </w:rPr>
        <w:t>11 октября 1915 г. в Комиссии была получена справка Московской Казенной палаты от 6 октября 1915 г., об открытии Комиссии первого кредита в 210 000 рублей. Согласно этому документу эту дату можно считать Днем Рождения завода.</w:t>
      </w:r>
    </w:p>
    <w:p w14:paraId="7D46F78E" w14:textId="77777777" w:rsidR="004B4E35" w:rsidRPr="00405303" w:rsidRDefault="009E6F82" w:rsidP="00C15251">
      <w:pPr>
        <w:jc w:val="both"/>
        <w:rPr>
          <w:bCs/>
          <w:color w:val="002060"/>
          <w:sz w:val="16"/>
          <w:szCs w:val="16"/>
        </w:rPr>
      </w:pPr>
      <w:r w:rsidRPr="00405303">
        <w:rPr>
          <w:bCs/>
          <w:color w:val="002060"/>
          <w:sz w:val="16"/>
          <w:szCs w:val="16"/>
        </w:rPr>
        <w:t xml:space="preserve">Избранные для постройки завода участки земли имели весьма неправильную форму. </w:t>
      </w:r>
    </w:p>
    <w:p w14:paraId="2693F18E" w14:textId="77777777" w:rsidR="004B4E35" w:rsidRPr="00405303" w:rsidRDefault="009E6F82" w:rsidP="00C15251">
      <w:pPr>
        <w:jc w:val="both"/>
        <w:rPr>
          <w:bCs/>
          <w:color w:val="002060"/>
          <w:sz w:val="16"/>
          <w:szCs w:val="16"/>
        </w:rPr>
      </w:pPr>
      <w:r w:rsidRPr="00405303">
        <w:rPr>
          <w:bCs/>
          <w:color w:val="002060"/>
          <w:sz w:val="16"/>
          <w:szCs w:val="16"/>
        </w:rPr>
        <w:t xml:space="preserve">В восточную часть врезались глубокими клиньями земли деревень Язвицы, Алаево, земли купчихи Анны Васильевны Пикуновой и земля купцов братьев Афанасьевых, с северо-восточной стороны деревня Семенково – земля зажиточного крестьянина Савельева. </w:t>
      </w:r>
    </w:p>
    <w:p w14:paraId="14A6AEE1" w14:textId="77777777" w:rsidR="004B4E35" w:rsidRPr="00405303" w:rsidRDefault="009E6F82" w:rsidP="00C15251">
      <w:pPr>
        <w:jc w:val="both"/>
        <w:rPr>
          <w:bCs/>
          <w:color w:val="002060"/>
          <w:sz w:val="16"/>
          <w:szCs w:val="16"/>
        </w:rPr>
      </w:pPr>
      <w:r w:rsidRPr="00405303">
        <w:rPr>
          <w:bCs/>
          <w:color w:val="002060"/>
          <w:sz w:val="16"/>
          <w:szCs w:val="16"/>
        </w:rPr>
        <w:t xml:space="preserve">До июня 1917 г. имение Гусенево арендовалось у Лавры. 6 июня 1917 г. письмом за № 1191 архимандрит святейший Лавры сообщил, что Духовный Собор согласен продать имение Гусенево за 175 000 руб. </w:t>
      </w:r>
    </w:p>
    <w:p w14:paraId="598F9C7E" w14:textId="77777777" w:rsidR="004B4E35" w:rsidRPr="00405303" w:rsidRDefault="009E6F82" w:rsidP="00C15251">
      <w:pPr>
        <w:jc w:val="both"/>
        <w:rPr>
          <w:bCs/>
          <w:color w:val="002060"/>
          <w:sz w:val="16"/>
          <w:szCs w:val="16"/>
        </w:rPr>
      </w:pPr>
      <w:r w:rsidRPr="00405303">
        <w:rPr>
          <w:bCs/>
          <w:color w:val="002060"/>
          <w:sz w:val="16"/>
          <w:szCs w:val="16"/>
        </w:rPr>
        <w:t xml:space="preserve">В конце сентября 1915 г., когда Комиссия могла приступить к действию, топографические работы продолжались Первым Московским землеустроительным и Оценочным бюро в лице его учредителя гражданина Гончаренко-Петренко. </w:t>
      </w:r>
    </w:p>
    <w:p w14:paraId="757374CC" w14:textId="77777777" w:rsidR="004B4E35" w:rsidRPr="00405303" w:rsidRDefault="009E6F82" w:rsidP="00C15251">
      <w:pPr>
        <w:jc w:val="both"/>
        <w:rPr>
          <w:bCs/>
          <w:color w:val="002060"/>
          <w:sz w:val="16"/>
          <w:szCs w:val="16"/>
        </w:rPr>
      </w:pPr>
      <w:r w:rsidRPr="00405303">
        <w:rPr>
          <w:bCs/>
          <w:color w:val="002060"/>
          <w:sz w:val="16"/>
          <w:szCs w:val="16"/>
        </w:rPr>
        <w:t xml:space="preserve">Наиболее подробная карта того района, где отведены земли под строительство завода, снята в 1857 г. в масштабе 1 верста в 1 дюйме. </w:t>
      </w:r>
    </w:p>
    <w:p w14:paraId="6954ACF2" w14:textId="77777777" w:rsidR="004B4E35" w:rsidRPr="00405303" w:rsidRDefault="009E6F82" w:rsidP="00C15251">
      <w:pPr>
        <w:jc w:val="both"/>
        <w:rPr>
          <w:bCs/>
          <w:color w:val="002060"/>
          <w:sz w:val="16"/>
          <w:szCs w:val="16"/>
        </w:rPr>
      </w:pPr>
      <w:r w:rsidRPr="00405303">
        <w:rPr>
          <w:bCs/>
          <w:color w:val="002060"/>
          <w:sz w:val="16"/>
          <w:szCs w:val="16"/>
        </w:rPr>
        <w:t xml:space="preserve">С 15 октября осадки стали в виде мокрого снега. Выпавший снег перестал таять с 19 октября, но санный путь установился лишь с 10 ноября 1915 г. </w:t>
      </w:r>
    </w:p>
    <w:p w14:paraId="707B9D0C" w14:textId="77777777" w:rsidR="004B4E35" w:rsidRPr="00405303" w:rsidRDefault="009E6F82" w:rsidP="00C15251">
      <w:pPr>
        <w:jc w:val="both"/>
        <w:rPr>
          <w:bCs/>
          <w:color w:val="002060"/>
          <w:sz w:val="16"/>
          <w:szCs w:val="16"/>
        </w:rPr>
      </w:pPr>
      <w:r w:rsidRPr="00405303">
        <w:rPr>
          <w:bCs/>
          <w:color w:val="002060"/>
          <w:sz w:val="16"/>
          <w:szCs w:val="16"/>
        </w:rPr>
        <w:t xml:space="preserve">С середины октября началась осенняя распутица, затрудняющая доставку материалов для строительства. </w:t>
      </w:r>
    </w:p>
    <w:p w14:paraId="5144CD18" w14:textId="77777777" w:rsidR="004B4E35" w:rsidRPr="00405303" w:rsidRDefault="009E6F82" w:rsidP="00C15251">
      <w:pPr>
        <w:jc w:val="both"/>
        <w:rPr>
          <w:bCs/>
          <w:color w:val="002060"/>
          <w:sz w:val="16"/>
          <w:szCs w:val="16"/>
        </w:rPr>
      </w:pPr>
      <w:r w:rsidRPr="00405303">
        <w:rPr>
          <w:bCs/>
          <w:color w:val="002060"/>
          <w:sz w:val="16"/>
          <w:szCs w:val="16"/>
        </w:rPr>
        <w:t xml:space="preserve">Вместе с тем, как писал в Рапорте Рдултовский, «… считаю необходимым донести, что ввиду позднего времени года и невозможности приступить в эту осень к постройкам постоянных каменных и бетонных зданий снаряжательного завода, Хозяйственно-строительной Комиссией разработаны и утверждены ГУ по квартирному довольствию войск проекты временных мастерских барачного типа, для производства снаряжательных работ, до тех пор, пока будут готовы постоянные здания». </w:t>
      </w:r>
    </w:p>
    <w:p w14:paraId="577CF5BF" w14:textId="77777777" w:rsidR="004B4E35" w:rsidRPr="00405303" w:rsidRDefault="009E6F82" w:rsidP="00C15251">
      <w:pPr>
        <w:jc w:val="both"/>
        <w:rPr>
          <w:bCs/>
          <w:color w:val="002060"/>
          <w:sz w:val="16"/>
          <w:szCs w:val="16"/>
        </w:rPr>
      </w:pPr>
      <w:r w:rsidRPr="00405303">
        <w:rPr>
          <w:bCs/>
          <w:color w:val="002060"/>
          <w:sz w:val="16"/>
          <w:szCs w:val="16"/>
        </w:rPr>
        <w:t xml:space="preserve">22 августа 1915 г. В.И. Рдултовский обратился к начальнику Северных ж.д. с просьбой указать, на каких условиях они могут принять на себя устройство подъездного пути. </w:t>
      </w:r>
    </w:p>
    <w:p w14:paraId="6FEC8D08" w14:textId="77777777" w:rsidR="004B4E35" w:rsidRPr="00405303" w:rsidRDefault="009E6F82" w:rsidP="00C15251">
      <w:pPr>
        <w:jc w:val="both"/>
        <w:rPr>
          <w:bCs/>
          <w:color w:val="002060"/>
          <w:sz w:val="16"/>
          <w:szCs w:val="16"/>
        </w:rPr>
      </w:pPr>
      <w:r w:rsidRPr="00405303">
        <w:rPr>
          <w:bCs/>
          <w:color w:val="002060"/>
          <w:sz w:val="16"/>
          <w:szCs w:val="16"/>
        </w:rPr>
        <w:t xml:space="preserve">К ноябрю месяцу Комиссией доставлено из Армии по личному ходатайству В.И. Рдултовского 11 верст узкоколейного пути инженерного образца. </w:t>
      </w:r>
    </w:p>
    <w:p w14:paraId="60EB5448" w14:textId="77777777" w:rsidR="004B4E35" w:rsidRPr="00405303" w:rsidRDefault="009E6F82" w:rsidP="00C15251">
      <w:pPr>
        <w:jc w:val="both"/>
        <w:rPr>
          <w:bCs/>
          <w:color w:val="002060"/>
          <w:sz w:val="16"/>
          <w:szCs w:val="16"/>
        </w:rPr>
      </w:pPr>
      <w:r w:rsidRPr="00405303">
        <w:rPr>
          <w:bCs/>
          <w:color w:val="002060"/>
          <w:sz w:val="16"/>
          <w:szCs w:val="16"/>
        </w:rPr>
        <w:t xml:space="preserve">Получено разрешение уложить этот путь от ст. Бужаниново до участка завода, что и было сделано к весне 1916 г. </w:t>
      </w:r>
    </w:p>
    <w:p w14:paraId="3F0D290B" w14:textId="77777777" w:rsidR="004B4E35" w:rsidRPr="00405303" w:rsidRDefault="009E6F82" w:rsidP="00C15251">
      <w:pPr>
        <w:jc w:val="both"/>
        <w:rPr>
          <w:bCs/>
          <w:color w:val="002060"/>
          <w:sz w:val="16"/>
          <w:szCs w:val="16"/>
        </w:rPr>
      </w:pPr>
      <w:r w:rsidRPr="00405303">
        <w:rPr>
          <w:bCs/>
          <w:color w:val="002060"/>
          <w:sz w:val="16"/>
          <w:szCs w:val="16"/>
        </w:rPr>
        <w:t xml:space="preserve">Ближайшим торговым центром, где удобно поместить хозяйственную контору Строительной Комиссии, являлся Сергиев Посад, удаленный от участка на 18 верст. В Сергиевом Посаде для конторы Комиссией нанято у Лавры помещение с отоплением за 80 руб. в месяц, на ул. Переяславской. </w:t>
      </w:r>
    </w:p>
    <w:p w14:paraId="76EC717F" w14:textId="77777777" w:rsidR="004B4E35" w:rsidRPr="00405303" w:rsidRDefault="009E6F82" w:rsidP="00C15251">
      <w:pPr>
        <w:jc w:val="both"/>
        <w:rPr>
          <w:bCs/>
          <w:color w:val="002060"/>
          <w:sz w:val="16"/>
          <w:szCs w:val="16"/>
        </w:rPr>
      </w:pPr>
      <w:r w:rsidRPr="00405303">
        <w:rPr>
          <w:bCs/>
          <w:color w:val="002060"/>
          <w:sz w:val="16"/>
          <w:szCs w:val="16"/>
        </w:rPr>
        <w:t xml:space="preserve">Для удобства связи строительной части с Комиссией приходиться устраивать телефон. Связь комиссии с почтово-телеграфным ведомством </w:t>
      </w:r>
      <w:proofErr w:type="gramStart"/>
      <w:r w:rsidRPr="00405303">
        <w:rPr>
          <w:bCs/>
          <w:color w:val="002060"/>
          <w:sz w:val="16"/>
          <w:szCs w:val="16"/>
        </w:rPr>
        <w:t>сделана</w:t>
      </w:r>
      <w:proofErr w:type="gramEnd"/>
      <w:r w:rsidRPr="00405303">
        <w:rPr>
          <w:bCs/>
          <w:color w:val="002060"/>
          <w:sz w:val="16"/>
          <w:szCs w:val="16"/>
        </w:rPr>
        <w:t xml:space="preserve"> и она приступила к работе. Стоимость телеграфной линии от строительного участка до Сергиева Посада, с возможностью говорить с Москвой составила 5 000 руб. </w:t>
      </w:r>
    </w:p>
    <w:p w14:paraId="67CB018E" w14:textId="77777777" w:rsidR="004B4E35" w:rsidRPr="00405303" w:rsidRDefault="009E6F82" w:rsidP="00C15251">
      <w:pPr>
        <w:jc w:val="both"/>
        <w:rPr>
          <w:bCs/>
          <w:color w:val="002060"/>
          <w:sz w:val="16"/>
          <w:szCs w:val="16"/>
        </w:rPr>
      </w:pPr>
      <w:r w:rsidRPr="00405303">
        <w:rPr>
          <w:bCs/>
          <w:color w:val="002060"/>
          <w:sz w:val="16"/>
          <w:szCs w:val="16"/>
        </w:rPr>
        <w:t xml:space="preserve">Устройство телефонного разговора с Москвой и Сергиевым Посадом закончено 19 февраля 1916 г. Установлен коммутатор на 50 номеров. </w:t>
      </w:r>
    </w:p>
    <w:p w14:paraId="72079E7E" w14:textId="77777777" w:rsidR="004B4E35" w:rsidRPr="00405303" w:rsidRDefault="009E6F82" w:rsidP="00C15251">
      <w:pPr>
        <w:jc w:val="both"/>
        <w:rPr>
          <w:bCs/>
          <w:color w:val="002060"/>
          <w:sz w:val="16"/>
          <w:szCs w:val="16"/>
        </w:rPr>
      </w:pPr>
      <w:r w:rsidRPr="00405303">
        <w:rPr>
          <w:bCs/>
          <w:color w:val="002060"/>
          <w:sz w:val="16"/>
          <w:szCs w:val="16"/>
        </w:rPr>
        <w:t xml:space="preserve">На время строительных работ на территории завода было установлено 26 столбов высотой 5 саженей, а на них подвешены керосинокалильные фонари. </w:t>
      </w:r>
    </w:p>
    <w:p w14:paraId="295835EB" w14:textId="77777777" w:rsidR="004B4E35" w:rsidRPr="00405303" w:rsidRDefault="009E6F82" w:rsidP="00C15251">
      <w:pPr>
        <w:jc w:val="both"/>
        <w:rPr>
          <w:bCs/>
          <w:color w:val="002060"/>
          <w:sz w:val="16"/>
          <w:szCs w:val="16"/>
        </w:rPr>
      </w:pPr>
      <w:r w:rsidRPr="00405303">
        <w:rPr>
          <w:bCs/>
          <w:color w:val="002060"/>
          <w:sz w:val="16"/>
          <w:szCs w:val="16"/>
        </w:rPr>
        <w:t xml:space="preserve">В начале марта 1916 г. Рдултовский докладывает в ГАУ, «Представляя сведения об успехе работы завода за 6 марта 1916г., прошу указания, куда следует сдавать снаряженные гранаты Германского образца, так как они стесняют склады завода». </w:t>
      </w:r>
    </w:p>
    <w:p w14:paraId="381952CF" w14:textId="77777777" w:rsidR="004B4E35" w:rsidRPr="00405303" w:rsidRDefault="009E6F82" w:rsidP="00C15251">
      <w:pPr>
        <w:jc w:val="both"/>
        <w:rPr>
          <w:bCs/>
          <w:color w:val="002060"/>
          <w:sz w:val="16"/>
          <w:szCs w:val="16"/>
        </w:rPr>
      </w:pPr>
      <w:r w:rsidRPr="00405303">
        <w:rPr>
          <w:bCs/>
          <w:color w:val="002060"/>
          <w:sz w:val="16"/>
          <w:szCs w:val="16"/>
        </w:rPr>
        <w:t xml:space="preserve">При осмотре завода 20 августа 1916 г. Начальник Артиллерии Московского округа генерал Атабеков отметил: «При осмотре завода по наружному виду невольно обращаешь внимание, что за столь короткий период времени, сделано очень много. Завод уже частично функционирует, несмотря на чрезвычайно тяжелые и неблагоприятные условия, при которых он создается». </w:t>
      </w:r>
    </w:p>
    <w:p w14:paraId="3E8AB241" w14:textId="77777777" w:rsidR="004B4E35" w:rsidRPr="00405303" w:rsidRDefault="009E6F82" w:rsidP="00C15251">
      <w:pPr>
        <w:jc w:val="both"/>
        <w:rPr>
          <w:bCs/>
          <w:color w:val="002060"/>
          <w:sz w:val="16"/>
          <w:szCs w:val="16"/>
        </w:rPr>
      </w:pPr>
      <w:r w:rsidRPr="00405303">
        <w:rPr>
          <w:bCs/>
          <w:color w:val="002060"/>
          <w:sz w:val="16"/>
          <w:szCs w:val="16"/>
        </w:rPr>
        <w:t xml:space="preserve">Изготовление светящейся ракеты было намечено на вторую половину сентября 1916 г., «…если строительные материалы в план перевозки июля будут доставлены до 10 августа». </w:t>
      </w:r>
    </w:p>
    <w:p w14:paraId="69E54665" w14:textId="77777777" w:rsidR="004B4E35" w:rsidRPr="00405303" w:rsidRDefault="009E6F82" w:rsidP="00C15251">
      <w:pPr>
        <w:jc w:val="both"/>
        <w:rPr>
          <w:bCs/>
          <w:color w:val="002060"/>
          <w:sz w:val="16"/>
          <w:szCs w:val="16"/>
        </w:rPr>
      </w:pPr>
      <w:r w:rsidRPr="00405303">
        <w:rPr>
          <w:bCs/>
          <w:color w:val="002060"/>
          <w:sz w:val="16"/>
          <w:szCs w:val="16"/>
        </w:rPr>
        <w:t xml:space="preserve">Стоимость одной ракеты 58 коп., включая полировку, оборудование, материал, заработную плату, измельчение казенного алюминия. </w:t>
      </w:r>
    </w:p>
    <w:p w14:paraId="1BCA8848" w14:textId="77777777" w:rsidR="004B4E35" w:rsidRPr="00405303" w:rsidRDefault="009E6F82" w:rsidP="00C15251">
      <w:pPr>
        <w:jc w:val="both"/>
        <w:rPr>
          <w:bCs/>
          <w:color w:val="002060"/>
          <w:sz w:val="16"/>
          <w:szCs w:val="16"/>
        </w:rPr>
      </w:pPr>
      <w:r w:rsidRPr="00405303">
        <w:rPr>
          <w:bCs/>
          <w:color w:val="002060"/>
          <w:sz w:val="16"/>
          <w:szCs w:val="16"/>
        </w:rPr>
        <w:t xml:space="preserve">15 декабря 1916 г. слушали приглашенного помощника председателя Комиссии о конском составе и расходе фуража за ноябрь месяц 1916 г. В ноябре 1916г. на довольствии стояло 4408 лошадей. Овса израсходовано 2885 пудов, сена 1101 пуд. </w:t>
      </w:r>
    </w:p>
    <w:p w14:paraId="43DAE1BC" w14:textId="77777777" w:rsidR="004B4E35" w:rsidRPr="00405303" w:rsidRDefault="009E6F82" w:rsidP="00C15251">
      <w:pPr>
        <w:jc w:val="both"/>
        <w:rPr>
          <w:bCs/>
          <w:color w:val="002060"/>
          <w:sz w:val="16"/>
          <w:szCs w:val="16"/>
        </w:rPr>
      </w:pPr>
      <w:r w:rsidRPr="00405303">
        <w:rPr>
          <w:bCs/>
          <w:color w:val="002060"/>
          <w:sz w:val="16"/>
          <w:szCs w:val="16"/>
        </w:rPr>
        <w:t xml:space="preserve">10 января 1917 г. была открыта ширококолейная ж.д. ветка от ст. Бужаниново до ст. Кунья. </w:t>
      </w:r>
    </w:p>
    <w:p w14:paraId="3F12D040" w14:textId="77777777" w:rsidR="004B4E35" w:rsidRPr="00405303" w:rsidRDefault="009E6F82" w:rsidP="00C15251">
      <w:pPr>
        <w:jc w:val="both"/>
        <w:rPr>
          <w:bCs/>
          <w:color w:val="002060"/>
          <w:sz w:val="16"/>
          <w:szCs w:val="16"/>
        </w:rPr>
      </w:pPr>
      <w:r w:rsidRPr="00405303">
        <w:rPr>
          <w:bCs/>
          <w:color w:val="002060"/>
          <w:sz w:val="16"/>
          <w:szCs w:val="16"/>
        </w:rPr>
        <w:t xml:space="preserve">12 ноября 1920 г. открыто пассажирское сообщение от ст. Сергиев Посад до ст. Кунья. Проезд разрешался только для работающих на заводе или командированных на завод лиц. </w:t>
      </w:r>
    </w:p>
    <w:p w14:paraId="4FCBF0C1" w14:textId="77777777" w:rsidR="004B4E35" w:rsidRPr="00405303" w:rsidRDefault="009E6F82" w:rsidP="00C15251">
      <w:pPr>
        <w:jc w:val="both"/>
        <w:rPr>
          <w:bCs/>
          <w:color w:val="002060"/>
          <w:sz w:val="16"/>
          <w:szCs w:val="16"/>
        </w:rPr>
      </w:pPr>
      <w:r w:rsidRPr="00405303">
        <w:rPr>
          <w:bCs/>
          <w:color w:val="002060"/>
          <w:sz w:val="16"/>
          <w:szCs w:val="16"/>
        </w:rPr>
        <w:t xml:space="preserve">Завод начинал дышать полной грудью, увеличивая с каждым днём выпуск необходимой продукции для фронта. </w:t>
      </w:r>
    </w:p>
    <w:p w14:paraId="5DDFFD38" w14:textId="77777777" w:rsidR="004B4E35" w:rsidRPr="00405303" w:rsidRDefault="009E6F82" w:rsidP="00C15251">
      <w:pPr>
        <w:jc w:val="both"/>
        <w:rPr>
          <w:bCs/>
          <w:color w:val="002060"/>
          <w:sz w:val="16"/>
          <w:szCs w:val="16"/>
        </w:rPr>
      </w:pPr>
      <w:r w:rsidRPr="00405303">
        <w:rPr>
          <w:bCs/>
          <w:color w:val="002060"/>
          <w:sz w:val="16"/>
          <w:szCs w:val="16"/>
        </w:rPr>
        <w:t xml:space="preserve">В феврале 1917 г. Россию закружило в февральской пурге революции. </w:t>
      </w:r>
    </w:p>
    <w:p w14:paraId="750236C4" w14:textId="77777777" w:rsidR="004B4E35" w:rsidRPr="00405303" w:rsidRDefault="009E6F82" w:rsidP="00C15251">
      <w:pPr>
        <w:jc w:val="both"/>
        <w:rPr>
          <w:bCs/>
          <w:color w:val="002060"/>
          <w:sz w:val="16"/>
          <w:szCs w:val="16"/>
        </w:rPr>
      </w:pPr>
      <w:r w:rsidRPr="00405303">
        <w:rPr>
          <w:bCs/>
          <w:color w:val="002060"/>
          <w:sz w:val="16"/>
          <w:szCs w:val="16"/>
        </w:rPr>
        <w:t xml:space="preserve">8 марта 1917 г. руководитель строительной Комиссии, первый директор Троицкого снаряжательного завода гв. пол. В.И. Рдултовский был арестован. На заводе начались революционные перемены. </w:t>
      </w:r>
    </w:p>
    <w:p w14:paraId="70FBECD8" w14:textId="77777777" w:rsidR="004B4E35" w:rsidRPr="00405303" w:rsidRDefault="009E6F82" w:rsidP="00C15251">
      <w:pPr>
        <w:jc w:val="both"/>
        <w:rPr>
          <w:bCs/>
          <w:color w:val="002060"/>
          <w:sz w:val="16"/>
          <w:szCs w:val="16"/>
        </w:rPr>
      </w:pPr>
      <w:r w:rsidRPr="00405303">
        <w:rPr>
          <w:bCs/>
          <w:color w:val="002060"/>
          <w:sz w:val="16"/>
          <w:szCs w:val="16"/>
        </w:rPr>
        <w:t>8 октября 1918 г. под председательством Муражова организуется заводская партийная ячейка коммунистов.</w:t>
      </w:r>
    </w:p>
    <w:p w14:paraId="0BBA0D30" w14:textId="77777777" w:rsidR="004B4E35" w:rsidRPr="00405303" w:rsidRDefault="004B4E35" w:rsidP="00C15251">
      <w:pPr>
        <w:jc w:val="both"/>
        <w:rPr>
          <w:bCs/>
          <w:color w:val="002060"/>
          <w:sz w:val="16"/>
          <w:szCs w:val="16"/>
        </w:rPr>
      </w:pPr>
    </w:p>
    <w:p w14:paraId="2978E579" w14:textId="2C84C491" w:rsidR="004B4E35" w:rsidRPr="00405303" w:rsidRDefault="00DF6591" w:rsidP="00C15251">
      <w:pPr>
        <w:pStyle w:val="Iauiue"/>
        <w:jc w:val="both"/>
        <w:rPr>
          <w:bCs/>
          <w:color w:val="002060"/>
          <w:sz w:val="16"/>
          <w:szCs w:val="16"/>
        </w:rPr>
      </w:pPr>
      <w:r w:rsidRPr="00405303">
        <w:rPr>
          <w:bCs/>
          <w:color w:val="002060"/>
          <w:sz w:val="16"/>
          <w:szCs w:val="16"/>
        </w:rPr>
        <w:t>С</w:t>
      </w:r>
      <w:r w:rsidR="009E6F82" w:rsidRPr="00405303">
        <w:rPr>
          <w:bCs/>
          <w:color w:val="002060"/>
          <w:sz w:val="16"/>
          <w:szCs w:val="16"/>
        </w:rPr>
        <w:t xml:space="preserve"> 1915 года было свернуто</w:t>
      </w:r>
      <w:r w:rsidRPr="00405303">
        <w:rPr>
          <w:bCs/>
          <w:color w:val="002060"/>
          <w:sz w:val="16"/>
          <w:szCs w:val="16"/>
        </w:rPr>
        <w:t xml:space="preserve"> производство мотоциклов марки «Мото-Рева Дукс», а потом и «Клено-Дукс». Эти машины оснащались двухцилиндровыми двигателями мощностью соответственно 6 и 8 л. </w:t>
      </w:r>
      <w:proofErr w:type="gramStart"/>
      <w:r w:rsidRPr="00405303">
        <w:rPr>
          <w:bCs/>
          <w:color w:val="002060"/>
          <w:sz w:val="16"/>
          <w:szCs w:val="16"/>
        </w:rPr>
        <w:t>с.</w:t>
      </w:r>
      <w:r w:rsidR="009E6F82" w:rsidRPr="00405303">
        <w:rPr>
          <w:bCs/>
          <w:color w:val="002060"/>
          <w:sz w:val="16"/>
          <w:szCs w:val="16"/>
        </w:rPr>
        <w:t>.</w:t>
      </w:r>
      <w:proofErr w:type="gramEnd"/>
      <w:r w:rsidR="009E6F82" w:rsidRPr="00405303">
        <w:rPr>
          <w:bCs/>
          <w:color w:val="002060"/>
          <w:sz w:val="16"/>
          <w:szCs w:val="16"/>
        </w:rPr>
        <w:t xml:space="preserve"> Окрепшая фирма получила более выгодные заказы и принялась выпускать боевые аэропланы, аэростаты наблюдения, аэросани, моторные лодки, железнодорожные дрезины.</w:t>
      </w:r>
    </w:p>
    <w:p w14:paraId="1E082681" w14:textId="77777777" w:rsidR="004B4E35" w:rsidRPr="00405303" w:rsidRDefault="009E6F82" w:rsidP="00C15251">
      <w:pPr>
        <w:pStyle w:val="Iauiue"/>
        <w:jc w:val="both"/>
        <w:rPr>
          <w:bCs/>
          <w:color w:val="002060"/>
          <w:sz w:val="16"/>
          <w:szCs w:val="16"/>
        </w:rPr>
      </w:pPr>
      <w:r w:rsidRPr="00405303">
        <w:rPr>
          <w:bCs/>
          <w:color w:val="002060"/>
          <w:sz w:val="16"/>
          <w:szCs w:val="16"/>
        </w:rPr>
        <w:t>...Причины неудач, преследовавших пионеров мотоциклостроения в России, были сугубо экономическими. Прежде всего покупатели предпочитали импортные автомобили и мотоциклы, поскольку те были дешевле и надежнее отечественных. Ведь за рубежом эти машины строили крупными сериями на хорошо оснащенных, специализированных заводах, а в результате их себестоимость и, следовательно, цена, были ниже.</w:t>
      </w:r>
    </w:p>
    <w:p w14:paraId="39B9EAA5" w14:textId="77777777" w:rsidR="004B4E35" w:rsidRPr="00405303" w:rsidRDefault="009E6F82" w:rsidP="00C15251">
      <w:pPr>
        <w:pStyle w:val="Iauiue"/>
        <w:jc w:val="both"/>
        <w:rPr>
          <w:bCs/>
          <w:color w:val="002060"/>
          <w:sz w:val="16"/>
          <w:szCs w:val="16"/>
        </w:rPr>
      </w:pPr>
      <w:r w:rsidRPr="00405303">
        <w:rPr>
          <w:bCs/>
          <w:color w:val="002060"/>
          <w:sz w:val="16"/>
          <w:szCs w:val="16"/>
        </w:rPr>
        <w:t>Преимущество импортных машин определялось и низкими ввозными пошлинами — в 1910 году они составляли всего 5% от стоимости продукции. В таких условиях нечего было и думать о равенстве в конкурентной борьбе русских промышленников с иностранными. Вот во что вылилась непродуманная внешнеэкономическая политика царского правительства.</w:t>
      </w:r>
    </w:p>
    <w:p w14:paraId="2C6B963B" w14:textId="77777777" w:rsidR="004B4E35" w:rsidRPr="00405303" w:rsidRDefault="009E6F82" w:rsidP="00C15251">
      <w:pPr>
        <w:pStyle w:val="Iauiue"/>
        <w:jc w:val="both"/>
        <w:rPr>
          <w:bCs/>
          <w:color w:val="002060"/>
          <w:sz w:val="16"/>
          <w:szCs w:val="16"/>
        </w:rPr>
      </w:pPr>
      <w:r w:rsidRPr="00405303">
        <w:rPr>
          <w:bCs/>
          <w:color w:val="002060"/>
          <w:sz w:val="16"/>
          <w:szCs w:val="16"/>
        </w:rPr>
        <w:t>В связи с этим напомним, что в США ввозная пошлина на автомобили и мотоциклы достигала 45%, а в Германии покупатель «своего» грузовика получал 5 тыс. марок премии и, кроме того, в течение первых пяти лет эксплуатации ему выдавали по 1 тыс. марок. Стоит ли удивляться тому, что те же Г. Форд и Г. Даймлер действовали в своих странах уверенно, не опасаясь иностранного соперничества.</w:t>
      </w:r>
    </w:p>
    <w:p w14:paraId="366F2A8E" w14:textId="77777777" w:rsidR="004B4E35" w:rsidRPr="00405303" w:rsidRDefault="004B4E35" w:rsidP="00C15251">
      <w:pPr>
        <w:pStyle w:val="Iauiue"/>
        <w:jc w:val="both"/>
        <w:rPr>
          <w:bCs/>
          <w:color w:val="002060"/>
          <w:sz w:val="16"/>
          <w:szCs w:val="16"/>
        </w:rPr>
      </w:pPr>
    </w:p>
    <w:p w14:paraId="61C04A3F" w14:textId="00B1DAAE" w:rsidR="004B4E35" w:rsidRPr="00405303" w:rsidRDefault="00DF6591" w:rsidP="00C15251">
      <w:pPr>
        <w:jc w:val="both"/>
        <w:rPr>
          <w:bCs/>
          <w:color w:val="002060"/>
          <w:sz w:val="16"/>
          <w:szCs w:val="16"/>
        </w:rPr>
      </w:pPr>
      <w:r w:rsidRPr="00405303">
        <w:rPr>
          <w:bCs/>
          <w:color w:val="002060"/>
          <w:sz w:val="16"/>
          <w:szCs w:val="16"/>
        </w:rPr>
        <w:t xml:space="preserve">С </w:t>
      </w:r>
      <w:r w:rsidR="009E6F82" w:rsidRPr="00405303">
        <w:rPr>
          <w:bCs/>
          <w:color w:val="002060"/>
          <w:sz w:val="16"/>
          <w:szCs w:val="16"/>
        </w:rPr>
        <w:t>1915</w:t>
      </w:r>
      <w:r w:rsidRPr="00405303">
        <w:rPr>
          <w:bCs/>
          <w:color w:val="002060"/>
          <w:sz w:val="16"/>
          <w:szCs w:val="16"/>
        </w:rPr>
        <w:t xml:space="preserve"> г</w:t>
      </w:r>
      <w:r w:rsidR="009E6F82" w:rsidRPr="00405303">
        <w:rPr>
          <w:bCs/>
          <w:color w:val="002060"/>
          <w:sz w:val="16"/>
          <w:szCs w:val="16"/>
        </w:rPr>
        <w:t>. «Радиотелеграфное депо» преобразовано в завод, представляющий собой первое радиоэлектронное предприятие России с численность около 300 человек. Завод специализировался на выпуске радиостанций мощностью 10 и 25 кВт, выпуске радиоприемников и радиопеленгаторов.</w:t>
      </w:r>
    </w:p>
    <w:p w14:paraId="28ED49BA" w14:textId="77777777" w:rsidR="004B4E35" w:rsidRPr="00405303" w:rsidRDefault="009E6F82" w:rsidP="00C15251">
      <w:pPr>
        <w:jc w:val="both"/>
        <w:rPr>
          <w:bCs/>
          <w:color w:val="002060"/>
          <w:sz w:val="16"/>
          <w:szCs w:val="16"/>
        </w:rPr>
      </w:pPr>
      <w:r w:rsidRPr="00405303">
        <w:rPr>
          <w:bCs/>
          <w:color w:val="002060"/>
          <w:sz w:val="16"/>
          <w:szCs w:val="16"/>
        </w:rPr>
        <w:t>Военные радиоспециалисты Бонч-Бруевич М.А. и Лещинский В.М. наладили производство отечественных газонаполненных приемно-усилительных радиоламп в вакуумной мастерской на Тверской военной радиостанции.</w:t>
      </w:r>
    </w:p>
    <w:p w14:paraId="32321B32" w14:textId="77777777" w:rsidR="004B4E35" w:rsidRPr="00405303" w:rsidRDefault="009E6F82" w:rsidP="00C15251">
      <w:pPr>
        <w:jc w:val="both"/>
        <w:rPr>
          <w:bCs/>
          <w:color w:val="002060"/>
          <w:sz w:val="16"/>
          <w:szCs w:val="16"/>
        </w:rPr>
      </w:pPr>
      <w:r w:rsidRPr="00405303">
        <w:rPr>
          <w:bCs/>
          <w:color w:val="002060"/>
          <w:sz w:val="16"/>
          <w:szCs w:val="16"/>
        </w:rPr>
        <w:t>Первая в России радиотелефонная связь была осуществлена между Петербургом и Царским Селом. В устройствах передачи и приема информации использовались лампы профессора Папалекси Н.Д.</w:t>
      </w:r>
    </w:p>
    <w:p w14:paraId="474A1099" w14:textId="77777777" w:rsidR="004B4E35" w:rsidRPr="00405303" w:rsidRDefault="009E6F82" w:rsidP="00C15251">
      <w:pPr>
        <w:jc w:val="both"/>
        <w:rPr>
          <w:bCs/>
          <w:color w:val="002060"/>
          <w:sz w:val="16"/>
          <w:szCs w:val="16"/>
        </w:rPr>
      </w:pPr>
      <w:r w:rsidRPr="00405303">
        <w:rPr>
          <w:bCs/>
          <w:color w:val="002060"/>
          <w:sz w:val="16"/>
          <w:szCs w:val="16"/>
        </w:rPr>
        <w:t>Началось производство электронных ламп на Радиозаводе морского ведомства под руководством Волынкина В.И (11223).</w:t>
      </w:r>
    </w:p>
    <w:p w14:paraId="7F6BA9B3" w14:textId="77777777" w:rsidR="004B4E35" w:rsidRPr="00405303" w:rsidRDefault="004B4E35" w:rsidP="00C15251">
      <w:pPr>
        <w:jc w:val="both"/>
        <w:rPr>
          <w:bCs/>
          <w:color w:val="002060"/>
          <w:sz w:val="16"/>
          <w:szCs w:val="16"/>
        </w:rPr>
      </w:pPr>
    </w:p>
    <w:p w14:paraId="605A3C59" w14:textId="6F65F698" w:rsidR="004B4E35" w:rsidRPr="00405303" w:rsidRDefault="00DF6591" w:rsidP="00C15251">
      <w:pPr>
        <w:jc w:val="both"/>
        <w:rPr>
          <w:bCs/>
          <w:color w:val="002060"/>
          <w:sz w:val="16"/>
          <w:szCs w:val="16"/>
        </w:rPr>
      </w:pPr>
      <w:r w:rsidRPr="00405303">
        <w:rPr>
          <w:bCs/>
          <w:color w:val="002060"/>
          <w:sz w:val="16"/>
          <w:szCs w:val="16"/>
        </w:rPr>
        <w:lastRenderedPageBreak/>
        <w:t>В</w:t>
      </w:r>
      <w:r w:rsidR="009E6F82" w:rsidRPr="00405303">
        <w:rPr>
          <w:bCs/>
          <w:color w:val="002060"/>
          <w:sz w:val="16"/>
          <w:szCs w:val="16"/>
        </w:rPr>
        <w:t xml:space="preserve"> 1915 г.</w:t>
      </w:r>
      <w:r w:rsidRPr="00405303">
        <w:rPr>
          <w:bCs/>
          <w:color w:val="002060"/>
          <w:sz w:val="16"/>
          <w:szCs w:val="16"/>
        </w:rPr>
        <w:t xml:space="preserve"> видными деятелями промышленности в документах, представленных в Особое совещание по обороне, поднимались проблемы развития машиностроения в России и улучшения оборудования русских заводов, особенно занятых производством на оборону, </w:t>
      </w:r>
      <w:r w:rsidR="009E6F82" w:rsidRPr="00405303">
        <w:rPr>
          <w:bCs/>
          <w:color w:val="002060"/>
          <w:sz w:val="16"/>
          <w:szCs w:val="16"/>
        </w:rPr>
        <w:t>однако тогда они не стали предметов специального обсуждения [Воронкова С.В. Материалы Особого совещания...С. 113-115].</w:t>
      </w:r>
    </w:p>
    <w:p w14:paraId="00CA1A26" w14:textId="77777777" w:rsidR="004B4E35" w:rsidRPr="00405303" w:rsidRDefault="009E6F82" w:rsidP="00C15251">
      <w:pPr>
        <w:jc w:val="both"/>
        <w:rPr>
          <w:bCs/>
          <w:color w:val="002060"/>
          <w:sz w:val="16"/>
          <w:szCs w:val="16"/>
        </w:rPr>
      </w:pPr>
      <w:r w:rsidRPr="00405303">
        <w:rPr>
          <w:bCs/>
          <w:color w:val="002060"/>
          <w:sz w:val="16"/>
          <w:szCs w:val="16"/>
        </w:rPr>
        <w:t>Рост производства станков и оборудования на российских заводах в годы войны шел в основном стихийно, главным образом, в виде эпизодических выпусков отдельных небольших партий. Чаще всего заводы налаживали у себя производство станков для собственных нужд. Изготовление станков на отечественных предприятиях, хотя и увеличилось в 1915-1917 гг., но не сопровождалось каким-либо развитием заводского строительства в этой отрасли. Практически только на одном казенном заводе, Тульском оружейном, возникает специальное производство станков, это обусловило постановку вопроса о создании на базе его механического отделения завода точного машиностроения, что нашло отражение в программе А.А. Маниковского.</w:t>
      </w:r>
    </w:p>
    <w:p w14:paraId="6459C1ED" w14:textId="77777777" w:rsidR="004B4E35" w:rsidRPr="00405303" w:rsidRDefault="004B4E35" w:rsidP="00C15251">
      <w:pPr>
        <w:jc w:val="both"/>
        <w:rPr>
          <w:bCs/>
          <w:color w:val="002060"/>
          <w:sz w:val="16"/>
          <w:szCs w:val="16"/>
        </w:rPr>
      </w:pPr>
    </w:p>
    <w:p w14:paraId="38549559" w14:textId="77777777" w:rsidR="004B4E35" w:rsidRPr="00405303" w:rsidRDefault="009E6F82" w:rsidP="00C15251">
      <w:pPr>
        <w:shd w:val="clear" w:color="auto" w:fill="FFFFFF"/>
        <w:jc w:val="both"/>
        <w:rPr>
          <w:bCs/>
          <w:iCs/>
          <w:color w:val="002060"/>
          <w:sz w:val="16"/>
          <w:szCs w:val="16"/>
        </w:rPr>
      </w:pPr>
      <w:r w:rsidRPr="00405303">
        <w:rPr>
          <w:bCs/>
          <w:iCs/>
          <w:color w:val="002060"/>
          <w:sz w:val="16"/>
          <w:szCs w:val="16"/>
        </w:rPr>
        <w:t>В 1915 году в Москве на Ходынке начали строить длинновол</w:t>
      </w:r>
      <w:r w:rsidRPr="00405303">
        <w:rPr>
          <w:bCs/>
          <w:iCs/>
          <w:color w:val="002060"/>
          <w:sz w:val="16"/>
          <w:szCs w:val="16"/>
        </w:rPr>
        <w:softHyphen/>
        <w:t>новую радиостанцию, тоже искровую, мощностью 300 кВт. Сред</w:t>
      </w:r>
      <w:r w:rsidRPr="00405303">
        <w:rPr>
          <w:bCs/>
          <w:iCs/>
          <w:color w:val="002060"/>
          <w:sz w:val="16"/>
          <w:szCs w:val="16"/>
        </w:rPr>
        <w:softHyphen/>
        <w:t>нюю железную мачту высотой 120 м делал и ставил завод "Бари ". Крайние мачты были деревянные высотой 20 м. Заземление состо</w:t>
      </w:r>
      <w:r w:rsidRPr="00405303">
        <w:rPr>
          <w:bCs/>
          <w:iCs/>
          <w:color w:val="002060"/>
          <w:sz w:val="16"/>
          <w:szCs w:val="16"/>
        </w:rPr>
        <w:softHyphen/>
        <w:t>яло из 5 железных труб, опущенных на глубину грунтовых вод. Кроме этого, имелось заземление в виде сети под мачтами из мед</w:t>
      </w:r>
      <w:r w:rsidRPr="00405303">
        <w:rPr>
          <w:bCs/>
          <w:iCs/>
          <w:color w:val="002060"/>
          <w:sz w:val="16"/>
          <w:szCs w:val="16"/>
        </w:rPr>
        <w:softHyphen/>
        <w:t>ной проволоки, зарытой на 20-25 см. Силовая установка состояла из двух дизелей Коломенского завода мощностью 400 л.с. каждый и батареи аккумуляторов, а также 10 или 16 умформеров завода Чибисова. Посредством реле они соединялись с вращающимся дис</w:t>
      </w:r>
      <w:r w:rsidRPr="00405303">
        <w:rPr>
          <w:bCs/>
          <w:iCs/>
          <w:color w:val="002060"/>
          <w:sz w:val="16"/>
          <w:szCs w:val="16"/>
        </w:rPr>
        <w:softHyphen/>
        <w:t>ковым разрядником. Контур состоял из батареи масляных лейдено ких конденсаторов и медной посеребренной спирали. Приемная стан</w:t>
      </w:r>
      <w:r w:rsidRPr="00405303">
        <w:rPr>
          <w:bCs/>
          <w:iCs/>
          <w:color w:val="002060"/>
          <w:sz w:val="16"/>
          <w:szCs w:val="16"/>
        </w:rPr>
        <w:softHyphen/>
        <w:t>ция была ламповая для приема на ленту, слух и фонограф. Подоб</w:t>
      </w:r>
      <w:r w:rsidRPr="00405303">
        <w:rPr>
          <w:bCs/>
          <w:iCs/>
          <w:color w:val="002060"/>
          <w:sz w:val="16"/>
          <w:szCs w:val="16"/>
        </w:rPr>
        <w:softHyphen/>
        <w:t>ная станция одновременно строилась другим инженером в Царс</w:t>
      </w:r>
      <w:r w:rsidRPr="00405303">
        <w:rPr>
          <w:bCs/>
          <w:iCs/>
          <w:color w:val="002060"/>
          <w:sz w:val="16"/>
          <w:szCs w:val="16"/>
        </w:rPr>
        <w:softHyphen/>
        <w:t>ком Селе ".</w:t>
      </w:r>
    </w:p>
    <w:p w14:paraId="1FF259B7" w14:textId="77777777" w:rsidR="004B4E35" w:rsidRPr="00405303" w:rsidRDefault="009E6F82" w:rsidP="00C15251">
      <w:pPr>
        <w:shd w:val="clear" w:color="auto" w:fill="FFFFFF"/>
        <w:jc w:val="both"/>
        <w:rPr>
          <w:bCs/>
          <w:iCs/>
          <w:color w:val="002060"/>
          <w:sz w:val="16"/>
          <w:szCs w:val="16"/>
        </w:rPr>
      </w:pPr>
      <w:r w:rsidRPr="00405303">
        <w:rPr>
          <w:bCs/>
          <w:iCs/>
          <w:color w:val="002060"/>
          <w:sz w:val="16"/>
          <w:szCs w:val="16"/>
        </w:rPr>
        <w:t>В 1916 г. и начале 1917г. мною устанавливались радиостан-ции и пеленгаторы в Балтийском море и на островах Энксе. Люм, Преете и др. Начали также строить дуговою радиостанцию, но не успели её закончить, так как немцы начали с а эронланов обстре</w:t>
      </w:r>
      <w:r w:rsidRPr="00405303">
        <w:rPr>
          <w:bCs/>
          <w:iCs/>
          <w:color w:val="002060"/>
          <w:sz w:val="16"/>
          <w:szCs w:val="16"/>
        </w:rPr>
        <w:softHyphen/>
        <w:t>ливать стройку т пулеметов (11481).</w:t>
      </w:r>
    </w:p>
    <w:p w14:paraId="2F6887EA" w14:textId="77777777" w:rsidR="004B4E35" w:rsidRPr="00405303" w:rsidRDefault="004B4E35" w:rsidP="00C15251">
      <w:pPr>
        <w:jc w:val="both"/>
        <w:rPr>
          <w:bCs/>
          <w:iCs/>
          <w:color w:val="002060"/>
          <w:sz w:val="16"/>
          <w:szCs w:val="16"/>
        </w:rPr>
      </w:pPr>
    </w:p>
    <w:p w14:paraId="5832EBF5" w14:textId="571C1F88" w:rsidR="004B4E35" w:rsidRPr="00405303" w:rsidRDefault="009E6F82" w:rsidP="00C15251">
      <w:pPr>
        <w:jc w:val="both"/>
        <w:rPr>
          <w:bCs/>
          <w:color w:val="002060"/>
          <w:sz w:val="16"/>
          <w:szCs w:val="16"/>
        </w:rPr>
      </w:pPr>
      <w:r w:rsidRPr="00405303">
        <w:rPr>
          <w:bCs/>
          <w:color w:val="002060"/>
          <w:sz w:val="16"/>
          <w:szCs w:val="16"/>
        </w:rPr>
        <w:t>В 1915 г. началось изготовление электронных ламп под руководством В.И. Волынкина на Радиотелеграфном заводе морского ведомства в Петрогра де. Выпуск ламп для нужд ВМФ продолжался здесь вплоть до августа 1924 г. (Там же. С. 21.). Таким образом, в России ко времени установления Советской власти имелась определенная научная и производственная база в области радиоэлек троники. Большой вклад в развитие электровакуумного дела внесла НРЛ. Но лаборатория, подчиняясь НКПиТ, все же была учреждением ведомственным и в известной степени изолированным от радиопромышленности, входившей в систему ВСНХ (11870).</w:t>
      </w:r>
    </w:p>
    <w:p w14:paraId="3492E893" w14:textId="77777777" w:rsidR="004B4E35" w:rsidRPr="00405303" w:rsidRDefault="004B4E35" w:rsidP="00C15251">
      <w:pPr>
        <w:jc w:val="both"/>
        <w:rPr>
          <w:bCs/>
          <w:color w:val="002060"/>
          <w:sz w:val="16"/>
          <w:szCs w:val="16"/>
        </w:rPr>
      </w:pPr>
    </w:p>
    <w:p w14:paraId="02F12FB0" w14:textId="481EA40A" w:rsidR="009A0F3C" w:rsidRPr="00405303" w:rsidRDefault="00976D04" w:rsidP="00C15251">
      <w:pPr>
        <w:autoSpaceDE/>
        <w:autoSpaceDN/>
        <w:adjustRightInd/>
        <w:jc w:val="both"/>
        <w:rPr>
          <w:bCs/>
          <w:color w:val="002060"/>
          <w:sz w:val="16"/>
          <w:szCs w:val="16"/>
        </w:rPr>
      </w:pPr>
      <w:r w:rsidRPr="00405303">
        <w:rPr>
          <w:bCs/>
          <w:color w:val="002060"/>
          <w:sz w:val="16"/>
          <w:szCs w:val="16"/>
        </w:rPr>
        <w:t>В</w:t>
      </w:r>
      <w:r w:rsidR="009A0F3C" w:rsidRPr="00405303">
        <w:rPr>
          <w:bCs/>
          <w:color w:val="002060"/>
          <w:sz w:val="16"/>
          <w:szCs w:val="16"/>
        </w:rPr>
        <w:t xml:space="preserve"> 1915 г. </w:t>
      </w:r>
      <w:r w:rsidRPr="00405303">
        <w:rPr>
          <w:bCs/>
          <w:color w:val="002060"/>
          <w:sz w:val="16"/>
          <w:szCs w:val="16"/>
        </w:rPr>
        <w:t>А.Н. Кузнецов и Е.И. Жуковский предложили</w:t>
      </w:r>
      <w:r w:rsidR="009A0F3C" w:rsidRPr="00405303">
        <w:rPr>
          <w:bCs/>
          <w:color w:val="002060"/>
          <w:sz w:val="16"/>
          <w:szCs w:val="16"/>
        </w:rPr>
        <w:t xml:space="preserve"> способ получения глинозема из низкосортных руд путем восстановительной плавки их на шлаки алюминатов щелочноземельных металлов. Н.А. Пушин с сотрудниками в 1914 г. впервые в нашей стране получил алюминий “русского происхождения", т.е. из отечественных сырья и материалов (12249).</w:t>
      </w:r>
    </w:p>
    <w:p w14:paraId="79BF3612" w14:textId="77777777" w:rsidR="009A0F3C" w:rsidRPr="00405303" w:rsidRDefault="009A0F3C" w:rsidP="00C15251">
      <w:pPr>
        <w:autoSpaceDE/>
        <w:autoSpaceDN/>
        <w:adjustRightInd/>
        <w:jc w:val="both"/>
        <w:rPr>
          <w:bCs/>
          <w:color w:val="002060"/>
          <w:sz w:val="16"/>
          <w:szCs w:val="16"/>
        </w:rPr>
      </w:pPr>
    </w:p>
    <w:p w14:paraId="686BACB0" w14:textId="77777777" w:rsidR="000D3EFD" w:rsidRPr="00405303" w:rsidRDefault="000D3EFD" w:rsidP="00C15251">
      <w:pPr>
        <w:jc w:val="both"/>
        <w:rPr>
          <w:color w:val="002060"/>
          <w:sz w:val="16"/>
          <w:szCs w:val="16"/>
        </w:rPr>
      </w:pPr>
      <w:r w:rsidRPr="00405303">
        <w:rPr>
          <w:color w:val="002060"/>
          <w:sz w:val="16"/>
          <w:szCs w:val="16"/>
        </w:rPr>
        <w:t>В 1915 г., управление заводами «Наваль» и «Руссуд» было объединено, что вызвало снижение цен на судостроительную продукцию завода ввиду резкого снижения накладных расходов. Была создана крупнейшая судостроительная организация юга России — трест «Наваль-Руссуд». Полное слияние предприятий произошло в 1916 г. К этому времени относится начало специализации производства: «Наваль» стал строить только судовые механизмы, а «Руссуд» выполнял все корпусные работы. Крупный задел, созданный при реконструкции николаевских судостроительных заводов в 1911–1913 г., оказался настолько значительным, что давал возможность осуществлять постройку линкоров и более крупных размеров будущих морских программ (12109).</w:t>
      </w:r>
    </w:p>
    <w:p w14:paraId="05CCC956" w14:textId="77777777" w:rsidR="000D3EFD" w:rsidRPr="00405303" w:rsidRDefault="000D3EFD" w:rsidP="00C15251">
      <w:pPr>
        <w:jc w:val="both"/>
        <w:rPr>
          <w:color w:val="002060"/>
          <w:sz w:val="16"/>
          <w:szCs w:val="16"/>
        </w:rPr>
      </w:pPr>
    </w:p>
    <w:p w14:paraId="378A4727" w14:textId="77777777" w:rsidR="004B4E35" w:rsidRPr="00405303" w:rsidRDefault="009E6F82" w:rsidP="00C15251">
      <w:pPr>
        <w:jc w:val="both"/>
        <w:rPr>
          <w:bCs/>
          <w:i/>
          <w:color w:val="002060"/>
          <w:sz w:val="16"/>
          <w:szCs w:val="16"/>
        </w:rPr>
      </w:pPr>
      <w:r w:rsidRPr="00405303">
        <w:rPr>
          <w:bCs/>
          <w:i/>
          <w:color w:val="002060"/>
          <w:sz w:val="16"/>
          <w:szCs w:val="16"/>
        </w:rPr>
        <w:t>Авиация:</w:t>
      </w:r>
    </w:p>
    <w:p w14:paraId="4ED88240" w14:textId="77777777" w:rsidR="004B4E35" w:rsidRPr="00405303" w:rsidRDefault="004B4E35" w:rsidP="00C15251">
      <w:pPr>
        <w:jc w:val="both"/>
        <w:rPr>
          <w:bCs/>
          <w:i/>
          <w:color w:val="002060"/>
          <w:sz w:val="16"/>
          <w:szCs w:val="16"/>
        </w:rPr>
      </w:pPr>
    </w:p>
    <w:p w14:paraId="7C6081FD" w14:textId="77777777" w:rsidR="00FB79CF" w:rsidRPr="00405303" w:rsidRDefault="00FB79CF" w:rsidP="00C15251">
      <w:pPr>
        <w:jc w:val="both"/>
        <w:rPr>
          <w:bCs/>
          <w:color w:val="002060"/>
          <w:sz w:val="16"/>
          <w:szCs w:val="16"/>
        </w:rPr>
      </w:pPr>
      <w:r w:rsidRPr="00405303">
        <w:rPr>
          <w:bCs/>
          <w:color w:val="002060"/>
          <w:sz w:val="16"/>
          <w:szCs w:val="16"/>
        </w:rPr>
        <w:t>В течение 1915 г. года неприятель потерял на русско-германском фронте 102 своих летательных аппарата, из них 12 уничтожено в воздухе, 72 - сбито (подбито) зенитными средствам и 18 - захвачены в качестве трофеев (23405).</w:t>
      </w:r>
    </w:p>
    <w:p w14:paraId="1D67CFCE" w14:textId="77777777" w:rsidR="00FB79CF" w:rsidRPr="00405303" w:rsidRDefault="00FB79CF" w:rsidP="00C15251">
      <w:pPr>
        <w:jc w:val="both"/>
        <w:rPr>
          <w:bCs/>
          <w:color w:val="002060"/>
          <w:sz w:val="16"/>
          <w:szCs w:val="16"/>
          <w:lang w:bidi="ru-RU"/>
        </w:rPr>
      </w:pPr>
    </w:p>
    <w:p w14:paraId="329BE648" w14:textId="77777777" w:rsidR="00FB79CF" w:rsidRPr="00405303" w:rsidRDefault="00FB79CF" w:rsidP="00C15251">
      <w:pPr>
        <w:jc w:val="both"/>
        <w:rPr>
          <w:bCs/>
          <w:color w:val="002060"/>
          <w:sz w:val="16"/>
          <w:szCs w:val="16"/>
        </w:rPr>
      </w:pPr>
      <w:r w:rsidRPr="00405303">
        <w:rPr>
          <w:bCs/>
          <w:color w:val="002060"/>
          <w:sz w:val="16"/>
          <w:szCs w:val="16"/>
          <w:lang w:bidi="en-US"/>
        </w:rPr>
        <w:t xml:space="preserve">В течение 1915 г. русские сформировали 1-ю, 2-ю, 3-ю и 4-ю специальные легкие зенитные </w:t>
      </w:r>
      <w:r w:rsidRPr="00405303">
        <w:rPr>
          <w:bCs/>
          <w:color w:val="002060"/>
          <w:sz w:val="16"/>
          <w:szCs w:val="16"/>
          <w:lang w:bidi="en-US"/>
        </w:rPr>
        <w:softHyphen/>
        <w:t>батареи (по четыре орудия в каждой). В течение 1916 г. было сформировано восемнадцать таких батарей, а в 1917 г. — еще 53. В 1916 г. русская армия начала формировать батареи легкой артиллерии для участков, где фронт стабилизировался. В 1916 г. таких частей было шестьдесят, в 1917 г. - еще шестьдесят. Всего было сформировано 215 батарей (76 мм). В конце 1917 г. на фронте находилось от 130 до 150 батарей. Имелись также зенитные секции, прикрывавшие части на аэродромах, и аэростатные части в полевых условиях (23525).</w:t>
      </w:r>
    </w:p>
    <w:p w14:paraId="21DE26D5" w14:textId="77777777" w:rsidR="00FB79CF" w:rsidRPr="00405303" w:rsidRDefault="00FB79CF" w:rsidP="00C15251">
      <w:pPr>
        <w:jc w:val="both"/>
        <w:rPr>
          <w:bCs/>
          <w:color w:val="002060"/>
          <w:sz w:val="16"/>
          <w:szCs w:val="16"/>
          <w:lang w:bidi="ru-RU"/>
        </w:rPr>
      </w:pPr>
    </w:p>
    <w:p w14:paraId="56EB3FD3" w14:textId="77777777" w:rsidR="009608BD" w:rsidRPr="00405303" w:rsidRDefault="009608BD" w:rsidP="00C15251">
      <w:pPr>
        <w:jc w:val="both"/>
        <w:rPr>
          <w:bCs/>
          <w:color w:val="002060"/>
          <w:sz w:val="16"/>
          <w:szCs w:val="16"/>
        </w:rPr>
      </w:pPr>
      <w:r w:rsidRPr="00405303">
        <w:rPr>
          <w:bCs/>
          <w:color w:val="002060"/>
          <w:sz w:val="16"/>
          <w:szCs w:val="16"/>
        </w:rPr>
        <w:t>В 1915 г. Ленин дает непревзойденный анализ начальных условий войны и характеристику боевых действий авиации, оказавших огромное влияние на военное искусство эпохи империализма.</w:t>
      </w:r>
    </w:p>
    <w:p w14:paraId="19FC550D" w14:textId="77777777" w:rsidR="009608BD" w:rsidRPr="00405303" w:rsidRDefault="009608BD" w:rsidP="00C15251">
      <w:pPr>
        <w:jc w:val="both"/>
        <w:rPr>
          <w:bCs/>
          <w:color w:val="002060"/>
          <w:sz w:val="16"/>
          <w:szCs w:val="16"/>
        </w:rPr>
      </w:pPr>
      <w:r w:rsidRPr="00405303">
        <w:rPr>
          <w:bCs/>
          <w:color w:val="002060"/>
          <w:sz w:val="16"/>
          <w:szCs w:val="16"/>
        </w:rPr>
        <w:t>"Возьмем современное войско. Вот - один из хороших образчиков организации. И хороша эта организация только потому, что она - гибка, умея вместе с тем миллионам людей давать единую волю. Сегодня эти миллионы сидят у себя по домам, в разных концах страны. Завтра приказ о мобилизации - и они собрались в назначенные пункты. Сегодня они лежат в траншеях, лежат иногда месяцами. Завтра они в другом порядке идут на штурм. Сегодня они проявляют чудеса, прячась от пуль и от шрапнели. Завтра они проявляют чудеса в открытом бою. Сегодня их передовые отряды кладут мины под землей, завтра они передвигаются на десятки верст по указаниям летчиков над землей" (21417).</w:t>
      </w:r>
    </w:p>
    <w:p w14:paraId="00578D92" w14:textId="77777777" w:rsidR="009608BD" w:rsidRPr="00405303" w:rsidRDefault="009608BD" w:rsidP="00C15251">
      <w:pPr>
        <w:jc w:val="both"/>
        <w:rPr>
          <w:bCs/>
          <w:color w:val="002060"/>
          <w:sz w:val="16"/>
          <w:szCs w:val="16"/>
        </w:rPr>
      </w:pPr>
    </w:p>
    <w:p w14:paraId="6309BE58"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 xml:space="preserve">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(11278). </w:t>
      </w:r>
    </w:p>
    <w:p w14:paraId="07D821CB" w14:textId="77777777" w:rsidR="004B4E35" w:rsidRPr="00405303" w:rsidRDefault="004B4E35" w:rsidP="00C15251">
      <w:pPr>
        <w:pStyle w:val="a3"/>
        <w:jc w:val="both"/>
        <w:rPr>
          <w:bCs/>
          <w:i w:val="0"/>
          <w:color w:val="002060"/>
          <w:spacing w:val="0"/>
          <w:kern w:val="0"/>
          <w:position w:val="0"/>
          <w:sz w:val="16"/>
          <w:szCs w:val="16"/>
        </w:rPr>
      </w:pPr>
    </w:p>
    <w:p w14:paraId="09952AD6" w14:textId="77777777" w:rsidR="004B4E35" w:rsidRPr="00405303" w:rsidRDefault="009E6F82" w:rsidP="00C15251">
      <w:pPr>
        <w:jc w:val="both"/>
        <w:rPr>
          <w:bCs/>
          <w:color w:val="002060"/>
          <w:sz w:val="16"/>
          <w:szCs w:val="16"/>
        </w:rPr>
      </w:pPr>
      <w:r w:rsidRPr="00405303">
        <w:rPr>
          <w:bCs/>
          <w:color w:val="002060"/>
          <w:sz w:val="16"/>
          <w:szCs w:val="16"/>
        </w:rPr>
        <w:t xml:space="preserve">В 1915 г. германское Верховное командование решило перенести свой главный удар на восток, добиться здесь полного разгрома армий противника и вывести Россию из войны. Кампания оказалась очень тяжелой для русской армии, в том числе для авиации, и потребовала максимального напряжения сил. Основной задачей авиаторов оставалась разведка. Рассказать в короткой журнальной статье об их участии во всех операциях невозможно, поэтому ограничимся отдельными примерами, показывающими огромную важность добываемых воздушной разведкой данных и их влияние на ход боевых действий. Одним из крупнейших событий стал прорыв русского фронта в районе Горлицы, предпринятый с целью разгрома правого крыла Юго-Западного фронта. Немецко-австрийское командование приложило все силы, чтобы скрыть сосредоточение своих войск и обеспечить внезапность наступления, однако русская воздушная разведка помешала этому. Особо ценные сведения удалось добыть летчикам 11-го корпусного авиаотряда (КАО), которые 15, 17, 19, 23 и 25 апреля обследовали район Горлица-Биеч. Используя полученные данные, командование 3-й армии осуществило ряд превентивных мероприятий, снизивших темпы наступления противника. И хотя русские войска были оттеснены из Галиции, но окружить и разгромить их не удалось. В первой половине сентября немцы предприняли попытку обойти и разгромить правый фланг Западного фронта. Воздушная разведка, выполнявшаяся, в основном, силами 34-го КАО, который обслуживал штаб 10-й армии, вовремя вскрыла подготовку противника к Свенцянскому прорыву, обнаружив в районе Ковно-Янов-Вилькомир крупные скопления его войск. Высочайшими приказами отмечены подвиги многих авиаторов. Так, начальник 19-го КАО поручик Владимир Ягелло был награжден орденом Св.Георгия 4-й степени &lt;зато, что, производя воздушную разведку 21-го февраля 1915 г. района расположения противника в направлении на Рожкову-Волю, Томашев и Раву, будучи обстрелян артиллерией противника..., добыл сведения особой важности относительно движения противника к левому флангу нашей армии, которые своевременно доставил в штаб армии, что дало возможность принять меры и с успехом парализовать намерения </w:t>
      </w:r>
      <w:r w:rsidRPr="00405303">
        <w:rPr>
          <w:bCs/>
          <w:color w:val="002060"/>
          <w:sz w:val="16"/>
          <w:szCs w:val="16"/>
        </w:rPr>
        <w:lastRenderedPageBreak/>
        <w:t>противника&gt;. Георгиевскими кавалерами стали поручик Смольянинов из 24-го КАО, подпоручик Иван Орлов и др. Не все герои получили боевые награды: 16-го сентября во время воздушной разведки лейтенант Маркович, "исправляя во время полета пробитый пулей бензиновый бак, был убит, геройской смертью запечатлев содеянный им подвиг". Умер от ран, полученных при падении во время воздушной разведки, начальник 2-го Сибирского КАО штабскапитан И. И. Александрович... Не отставали от кадровых офицеров и летчики-добровольцы, научившиеся полетам на аэропланах в частных школах или аэроклубах еще перед войной. Вот один из примеров. &lt;12 мая во время выполнения разведки летнабом 19-го КАО подпоручиком Рудовичем в моторе аппарата произошел взрыв. До линии фронта оставалось 8 верст. Летчик-охотник ефрейтор Лауниц не растерялся и стал планировать под сильным пулеметным и артиллерийским огнем. Ему удалось вывести аппарат из расположения противника и опуститься вблизи наших боевых позиций. Он спас самолет от захвата противником и офицера от плена. Во время планирования ефрейтор Лауниц был ранен в руку с раздроблением кости, но несмотря на это посадил самолет.&gt; Приказом по войскам 5-й армии от 25.05.1915 г. Владимир Лауниц был награжден солдатским Георгиевским крестом 4-й степени. В конце 1915 г. война на восточном фронте приняла позиционный характер. Кавалерия лишилась возможности проводить разведку. Только самолеты позволяли проникнуть в глубину расположения войск противника, чтобы собрать необходимые для командования сведения. При этом задачи воздушной разведки изменились: если в условиях маневренной войны на нее прежде всего возлагалось наблюдение за крупными силами неприятеля и направлением их движения, то теперь от авиаторов главным образом требовалось тщательно изучать систему обороны противника и наблюдать за ее состоянием и развитием. Привлекалась авиация и для выполнения других задач. Летом в Польше на Северо-Западном фронте германские войска окружили пограничную крепость Новогеоргиевск. В начале августа командование русского гарнизона ввиду опасности скорой капитуляции решило воспользоваться услугами летчиков Новогеоргиевского крепостного авиаотряда. Его начальник капитан Иван Массальский организовал отлет всех исправных самолетов, предварительно уничтожив авиационное имущество, которое нельзя было вывезти. Летчики поручик Константин Вакуловский, штабс-ротмистр Ливотов, капитан Массальский и другие по приказу коменданта крепости вылетели в непогоду под сильным обстрелом противника. Прорвавшись, они вывезли штандарты, Георгиевские кресты и секретные документы. Пролетев 4- 5 часов на небольшой высоте, авиаторы благополучно опустились в расположении своих войск. За этот подвиг они были награждены орденами Св. Георгия 4-й степени и Георгиевским оружием. В 1915 г. воздушные бои оставались редкостью. В большинстве случаев экипажи отправлялись на задания, располагая только карабинами и пистолетами, но и с таким оружием некоторые летчики добивались воздушных побед. Так, 25 февраля летчик°доброволец француз Пуаре с наблюдателем поручиком Шебалиным вылетели на трофейном "Эйлере" на разведку района Лович-Неборов-Болилов. Над своими позициями между Камионом и Сулишевым они атаковали немецкий аппарат. С дистанции 40-50 м по нему было произведено 5 выстрелов из карабина. Согласно донесению летчиков 2-го армейского авиаотряда, "после третьего выстрела самолет противника пошел с поворотом книзу и опустился под Скверневицами". 15-го июля во время разведки к востоку от Золотой Липы летчики 2-го Сибирского КАО поручик Покровский и корнет Плонский заметили неприятельский аэроплан. Из оружия у них были только пистолеты 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7-й... авиароты.&gt; Оба русских героя были награждены орденами Св. Георгия 4-й степени. Кстати, &lt;Авиатик&gt;, как и большийство других самолетов того времени, был весьма слабой машиной. Об этом свидетельствует следующий факт: 27 ноября австрийские летчики Дример и Хубнер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Недостаток вооружения во многом компенсировался храбростью русских авиаторов. 18-го марта одержал свою первую победу летчик 4-го КАО поручик А. А. 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В 1915 г. на русских аэропланах появились пулеметы. Для их применения наиболее пригодным оказался биплан Вуазен, на который часто устанавливался пулемет Кольт. Такой самолет становился грозным оружием, 24-го июня летчик прапорщик Иванов и наблюдатель поручик Алексеев из 26-го КАО атаковали в районе Тарнополя австрийский Альбатрос (бортовой номер 21-01) из 1-й авиароты,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Тлусте,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3A990F29" w14:textId="77777777" w:rsidR="004B4E35" w:rsidRPr="00405303" w:rsidRDefault="004B4E35" w:rsidP="00C15251">
      <w:pPr>
        <w:jc w:val="both"/>
        <w:rPr>
          <w:bCs/>
          <w:color w:val="002060"/>
          <w:sz w:val="16"/>
          <w:szCs w:val="16"/>
        </w:rPr>
      </w:pPr>
    </w:p>
    <w:p w14:paraId="3205AFDB" w14:textId="2B5FCEAA"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Зa весь 1915 год воздушные корабли выполнили около 100 боевых полетов, сбросив на противника до 1220 пудов бомб (11277).</w:t>
      </w:r>
    </w:p>
    <w:p w14:paraId="1F38375B" w14:textId="77777777" w:rsidR="004B4E35" w:rsidRPr="00405303" w:rsidRDefault="004B4E35" w:rsidP="00C15251">
      <w:pPr>
        <w:pStyle w:val="a3"/>
        <w:jc w:val="both"/>
        <w:rPr>
          <w:bCs/>
          <w:i w:val="0"/>
          <w:color w:val="002060"/>
          <w:spacing w:val="0"/>
          <w:kern w:val="0"/>
          <w:position w:val="0"/>
          <w:sz w:val="16"/>
          <w:szCs w:val="16"/>
        </w:rPr>
      </w:pPr>
    </w:p>
    <w:p w14:paraId="4AB06CE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1915 году создаются два первых истребительных авиаотряда и в русской армии. Один для защиты Варшавы, другой — царской Ставки (11060).</w:t>
      </w:r>
    </w:p>
    <w:p w14:paraId="6D4DF73C" w14:textId="77777777" w:rsidR="004B4E35" w:rsidRPr="00405303" w:rsidRDefault="004B4E35" w:rsidP="00C15251">
      <w:pPr>
        <w:shd w:val="clear" w:color="auto" w:fill="FFFFFF"/>
        <w:jc w:val="both"/>
        <w:rPr>
          <w:bCs/>
          <w:color w:val="002060"/>
          <w:sz w:val="16"/>
          <w:szCs w:val="16"/>
        </w:rPr>
      </w:pPr>
    </w:p>
    <w:p w14:paraId="6312B088" w14:textId="77777777" w:rsidR="004B4E35" w:rsidRPr="00405303" w:rsidRDefault="009E6F82" w:rsidP="00C15251">
      <w:pPr>
        <w:jc w:val="both"/>
        <w:rPr>
          <w:bCs/>
          <w:color w:val="002060"/>
          <w:sz w:val="16"/>
          <w:szCs w:val="16"/>
        </w:rPr>
      </w:pPr>
      <w:r w:rsidRPr="00405303">
        <w:rPr>
          <w:bCs/>
          <w:color w:val="002060"/>
          <w:sz w:val="16"/>
          <w:szCs w:val="16"/>
        </w:rPr>
        <w:t>В 1915 году русские летчики также начали совершать ночные полеты.</w:t>
      </w:r>
    </w:p>
    <w:p w14:paraId="5F0B356F" w14:textId="77777777" w:rsidR="004B4E35" w:rsidRPr="00405303" w:rsidRDefault="009E6F82" w:rsidP="00C15251">
      <w:pPr>
        <w:jc w:val="both"/>
        <w:rPr>
          <w:bCs/>
          <w:color w:val="002060"/>
          <w:sz w:val="16"/>
          <w:szCs w:val="16"/>
        </w:rPr>
      </w:pPr>
      <w:r w:rsidRPr="00405303">
        <w:rPr>
          <w:bCs/>
          <w:color w:val="002060"/>
          <w:sz w:val="16"/>
          <w:szCs w:val="16"/>
        </w:rPr>
        <w:t>Командир 41-го авиационного отряда подполковник Глубоковеков, одним из первых организовавший ночные полеты своего подразделения, утверждал: "Значение для русской авиации ночных полетов огромно по причине:</w:t>
      </w:r>
    </w:p>
    <w:p w14:paraId="4C0DCFF8" w14:textId="77777777" w:rsidR="004B4E35" w:rsidRPr="00405303" w:rsidRDefault="009E6F82" w:rsidP="00C15251">
      <w:pPr>
        <w:jc w:val="both"/>
        <w:rPr>
          <w:bCs/>
          <w:color w:val="002060"/>
          <w:sz w:val="16"/>
          <w:szCs w:val="16"/>
        </w:rPr>
      </w:pPr>
      <w:r w:rsidRPr="00405303">
        <w:rPr>
          <w:bCs/>
          <w:color w:val="002060"/>
          <w:sz w:val="16"/>
          <w:szCs w:val="16"/>
        </w:rPr>
        <w:t>а) недостатка технических средств,</w:t>
      </w:r>
    </w:p>
    <w:p w14:paraId="48F04578" w14:textId="77777777" w:rsidR="004B4E35" w:rsidRPr="00405303" w:rsidRDefault="009E6F82" w:rsidP="00C15251">
      <w:pPr>
        <w:jc w:val="both"/>
        <w:rPr>
          <w:bCs/>
          <w:color w:val="002060"/>
          <w:sz w:val="16"/>
          <w:szCs w:val="16"/>
        </w:rPr>
      </w:pPr>
      <w:r w:rsidRPr="00405303">
        <w:rPr>
          <w:bCs/>
          <w:color w:val="002060"/>
          <w:sz w:val="16"/>
          <w:szCs w:val="16"/>
        </w:rPr>
        <w:t>б) сравнительного их несовершенства,</w:t>
      </w:r>
    </w:p>
    <w:p w14:paraId="44A5E768" w14:textId="77777777" w:rsidR="004B4E35" w:rsidRPr="00405303" w:rsidRDefault="009E6F82" w:rsidP="00C15251">
      <w:pPr>
        <w:jc w:val="both"/>
        <w:rPr>
          <w:bCs/>
          <w:color w:val="002060"/>
          <w:sz w:val="16"/>
          <w:szCs w:val="16"/>
        </w:rPr>
      </w:pPr>
      <w:r w:rsidRPr="00405303">
        <w:rPr>
          <w:bCs/>
          <w:color w:val="002060"/>
          <w:sz w:val="16"/>
          <w:szCs w:val="16"/>
        </w:rPr>
        <w:t>в) технической отсталости и необходимости продуктивно использовать весь имеющийся запас устарелых, но надежных самолетов...</w:t>
      </w:r>
    </w:p>
    <w:p w14:paraId="2BAB6051" w14:textId="77777777" w:rsidR="004B4E35" w:rsidRPr="00405303" w:rsidRDefault="009E6F82" w:rsidP="00C15251">
      <w:pPr>
        <w:jc w:val="both"/>
        <w:rPr>
          <w:bCs/>
          <w:color w:val="002060"/>
          <w:sz w:val="16"/>
          <w:szCs w:val="16"/>
        </w:rPr>
      </w:pPr>
      <w:r w:rsidRPr="00405303">
        <w:rPr>
          <w:bCs/>
          <w:color w:val="002060"/>
          <w:sz w:val="16"/>
          <w:szCs w:val="16"/>
        </w:rPr>
        <w:t>Ночные полеты, происходя в необычной обстановке, требуют проявления необычных свойств и со стороны летчиков. Но этот вопрос, принимая во внимание испытанную доблесть наших летчиков, легко разрешим, необходима только планомерная работа для приобретения навыка".</w:t>
      </w:r>
    </w:p>
    <w:p w14:paraId="689ACD9A" w14:textId="77777777" w:rsidR="004B4E35" w:rsidRPr="00405303" w:rsidRDefault="009E6F82" w:rsidP="00C15251">
      <w:pPr>
        <w:jc w:val="both"/>
        <w:rPr>
          <w:bCs/>
          <w:color w:val="002060"/>
          <w:sz w:val="16"/>
          <w:szCs w:val="16"/>
        </w:rPr>
      </w:pPr>
      <w:r w:rsidRPr="00405303">
        <w:rPr>
          <w:bCs/>
          <w:color w:val="002060"/>
          <w:sz w:val="16"/>
          <w:szCs w:val="16"/>
        </w:rPr>
        <w:t>Из практики ночных полетов выяснилось, что нормальная видимость, необходимая для наблюдателя при высоте полета 500 м, достигает 3 км. В целях борьбы с ослепляющим действием лучей прожектора русские летчики применяли различные средства: темные очки, козырьки, щитки и т. п.</w:t>
      </w:r>
    </w:p>
    <w:p w14:paraId="15CE8668" w14:textId="77777777" w:rsidR="004B4E35" w:rsidRPr="00405303" w:rsidRDefault="009E6F82" w:rsidP="00C15251">
      <w:pPr>
        <w:jc w:val="both"/>
        <w:rPr>
          <w:bCs/>
          <w:color w:val="002060"/>
          <w:sz w:val="16"/>
          <w:szCs w:val="16"/>
        </w:rPr>
      </w:pPr>
      <w:r w:rsidRPr="00405303">
        <w:rPr>
          <w:bCs/>
          <w:color w:val="002060"/>
          <w:sz w:val="16"/>
          <w:szCs w:val="16"/>
        </w:rPr>
        <w:t>Из письма военного инженера полковника К.А. Антонова в ГВТУ: "Доношу, что на принятых мною аэропланах "Вуазен" № 385, 487, 672, 689 и 690 поставлено для пробы электрическое освещение, позволяющее совершать ночные полеты".</w:t>
      </w:r>
    </w:p>
    <w:p w14:paraId="2F07081E" w14:textId="77777777" w:rsidR="004B4E35" w:rsidRPr="00405303" w:rsidRDefault="009E6F82" w:rsidP="00C15251">
      <w:pPr>
        <w:jc w:val="both"/>
        <w:rPr>
          <w:bCs/>
          <w:color w:val="002060"/>
          <w:sz w:val="16"/>
          <w:szCs w:val="16"/>
        </w:rPr>
      </w:pPr>
      <w:r w:rsidRPr="00405303">
        <w:rPr>
          <w:bCs/>
          <w:color w:val="002060"/>
          <w:sz w:val="16"/>
          <w:szCs w:val="16"/>
        </w:rPr>
        <w:t>Ночные полеты стали в русской авиации довольно частым явлением, хотя были сопряжены с серьезной опасностью, так как выполнялись на несовершенных самолетах, все приборное оборудование которых сводилось к счетчику оборотов и высотомеру, привязываемому, во избежание влияния на него тряски, к ноге летчика (11999).</w:t>
      </w:r>
    </w:p>
    <w:p w14:paraId="3BCF338D" w14:textId="77777777" w:rsidR="004B4E35" w:rsidRPr="00405303" w:rsidRDefault="004B4E35" w:rsidP="00C15251">
      <w:pPr>
        <w:jc w:val="both"/>
        <w:rPr>
          <w:bCs/>
          <w:color w:val="002060"/>
          <w:sz w:val="16"/>
          <w:szCs w:val="16"/>
        </w:rPr>
      </w:pPr>
    </w:p>
    <w:p w14:paraId="16F97B19" w14:textId="77777777" w:rsidR="004B4E35" w:rsidRPr="00405303" w:rsidRDefault="009E6F82" w:rsidP="00C15251">
      <w:pPr>
        <w:jc w:val="both"/>
        <w:rPr>
          <w:bCs/>
          <w:color w:val="002060"/>
          <w:sz w:val="16"/>
          <w:szCs w:val="16"/>
        </w:rPr>
      </w:pPr>
      <w:r w:rsidRPr="00405303">
        <w:rPr>
          <w:bCs/>
          <w:color w:val="002060"/>
          <w:sz w:val="16"/>
          <w:szCs w:val="16"/>
        </w:rPr>
        <w:lastRenderedPageBreak/>
        <w:t>С 1915 года начала широко применяться аэрофотосъемка с использованием фотоаппаратов конструкции С.А.Ульянина и С.С.Неждановского, несколько позже в войска поступил первый в мире автоматический фотоаппарат для маршрутной и площадной съемки "Потте", разработанный подполковником русской армии аВ.Ф.Потте. Следует отметить, что успех Брусиловского прорыва в 1916 году был, в значительной мере, обеспечен тем, что каждый офицер и многие унтер-офицеры русской армии имели подробные карты неприятельских укреплений, составленные на основе аэрофотосъемки. Для глубинной разведки с 1915 года применялись самолеты "Илья Муромец". Летчики-наблюдатели, по мимо разведки, занимались и корректировкой артиллерийского огня, значительно повышавшей эффективность использования артиллерии. С 1916 года во все корпусные отряды было включено по два самолета-корректировщика со специально подготовленными экипажами. В том же году начались поставки первых английских авиационных радиостанций "Стерлинг" с дальностью действия до 30 км, а в 1917 г. в разведывательную авиацию поступили ламповые передатчики РОБТиТ российского производства (11184).</w:t>
      </w:r>
    </w:p>
    <w:p w14:paraId="7BF41D82" w14:textId="77777777" w:rsidR="004B4E35" w:rsidRPr="00405303" w:rsidRDefault="004B4E35" w:rsidP="00C15251">
      <w:pPr>
        <w:jc w:val="both"/>
        <w:rPr>
          <w:bCs/>
          <w:color w:val="002060"/>
          <w:sz w:val="16"/>
          <w:szCs w:val="16"/>
        </w:rPr>
      </w:pPr>
    </w:p>
    <w:p w14:paraId="5F1D039A" w14:textId="77777777" w:rsidR="004B4E35" w:rsidRPr="00405303" w:rsidRDefault="009E6F82" w:rsidP="00C15251">
      <w:pPr>
        <w:jc w:val="both"/>
        <w:rPr>
          <w:bCs/>
          <w:color w:val="002060"/>
          <w:sz w:val="16"/>
          <w:szCs w:val="16"/>
        </w:rPr>
      </w:pPr>
      <w:r w:rsidRPr="00405303">
        <w:rPr>
          <w:bCs/>
          <w:color w:val="002060"/>
          <w:sz w:val="16"/>
          <w:szCs w:val="16"/>
        </w:rPr>
        <w:t>За весь 1915 г. в России было подготовлено всего 190 летчиков. При ежегодной потребности около 1000 человек все российские школы могли обучить не более 500 авиаторов. Поэтому в 1916 году было заключено соглашение об обучении российских пилотов во Франции и Англии. Темпы обучения летного состава в России были очень низкими (11120).</w:t>
      </w:r>
    </w:p>
    <w:p w14:paraId="7720230D" w14:textId="77777777" w:rsidR="004B4E35" w:rsidRPr="00405303" w:rsidRDefault="004B4E35" w:rsidP="00C15251">
      <w:pPr>
        <w:jc w:val="both"/>
        <w:rPr>
          <w:bCs/>
          <w:color w:val="002060"/>
          <w:sz w:val="16"/>
          <w:szCs w:val="16"/>
        </w:rPr>
      </w:pPr>
    </w:p>
    <w:p w14:paraId="26EDB072" w14:textId="350EAAEA" w:rsidR="004B4E35" w:rsidRPr="00405303" w:rsidRDefault="00976D04"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1915 г.</w:t>
      </w:r>
      <w:r w:rsidRPr="00405303">
        <w:rPr>
          <w:bCs/>
          <w:color w:val="002060"/>
          <w:sz w:val="16"/>
          <w:szCs w:val="16"/>
        </w:rPr>
        <w:t xml:space="preserve">, чтобы упорядочить систему подготовки кадров, в военном ведомстве </w:t>
      </w:r>
      <w:r w:rsidR="009E6F82" w:rsidRPr="00405303">
        <w:rPr>
          <w:bCs/>
          <w:color w:val="002060"/>
          <w:sz w:val="16"/>
          <w:szCs w:val="16"/>
        </w:rPr>
        <w:t>была учреждена должность начальника военно-авиационных школ, что сразу же повлияло на увеличение количества и улучшение качества подготовки выпускников. Прежде всего, были расширены Гатчинская и Севастопольская авиашколы. В процессе летного обучения внедрялись новые методики, велись поиски наиболее эффективных из них (11182).</w:t>
      </w:r>
    </w:p>
    <w:p w14:paraId="0796CFAC" w14:textId="77777777" w:rsidR="004B4E35" w:rsidRPr="00405303" w:rsidRDefault="004B4E35" w:rsidP="00C15251">
      <w:pPr>
        <w:jc w:val="both"/>
        <w:rPr>
          <w:bCs/>
          <w:color w:val="002060"/>
          <w:sz w:val="16"/>
          <w:szCs w:val="16"/>
        </w:rPr>
      </w:pPr>
    </w:p>
    <w:p w14:paraId="3FA9AD2F"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1915 За год 9 авиашкол в России (из них три — школы морской авиа</w:t>
      </w:r>
      <w:r w:rsidRPr="00405303">
        <w:rPr>
          <w:bCs/>
          <w:color w:val="002060"/>
          <w:sz w:val="16"/>
          <w:szCs w:val="16"/>
        </w:rPr>
        <w:softHyphen/>
        <w:t>ции) выпустили 250 военных летчиков (1137).</w:t>
      </w:r>
    </w:p>
    <w:p w14:paraId="6B65CAA6" w14:textId="77777777" w:rsidR="004B4E35" w:rsidRPr="00405303" w:rsidRDefault="004B4E35" w:rsidP="00C15251">
      <w:pPr>
        <w:shd w:val="clear" w:color="auto" w:fill="FFFFFF"/>
        <w:jc w:val="both"/>
        <w:rPr>
          <w:bCs/>
          <w:color w:val="002060"/>
          <w:sz w:val="16"/>
          <w:szCs w:val="16"/>
        </w:rPr>
      </w:pPr>
    </w:p>
    <w:p w14:paraId="3B1C35B2"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1915г. За год 9 авиашкол в России (из них три - школы морской авиации) выпустили 250 военных летчиков (11425).</w:t>
      </w:r>
    </w:p>
    <w:p w14:paraId="4444BD03" w14:textId="77777777" w:rsidR="004B4E35" w:rsidRPr="00405303" w:rsidRDefault="004B4E35" w:rsidP="00C15251">
      <w:pPr>
        <w:shd w:val="clear" w:color="auto" w:fill="FFFFFF"/>
        <w:jc w:val="both"/>
        <w:rPr>
          <w:bCs/>
          <w:color w:val="002060"/>
          <w:sz w:val="16"/>
          <w:szCs w:val="16"/>
        </w:rPr>
      </w:pPr>
    </w:p>
    <w:p w14:paraId="1C1403A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1915 г. Кроме Севастопольской и Гатчинской авиационных школ военных летчиков начали готовить граждан</w:t>
      </w:r>
      <w:r w:rsidRPr="00405303">
        <w:rPr>
          <w:bCs/>
          <w:color w:val="002060"/>
          <w:sz w:val="16"/>
          <w:szCs w:val="16"/>
        </w:rPr>
        <w:softHyphen/>
        <w:t>ские авиационные школы в Петрограде, Москве и Одессе. В 1915 г. все эти школы подготовили 233 летчика, в 1916 г.— 497 (ЦГВИА, ф. 2003, оп. 1, д. 1224, л. 225). В 1916 г. в Киеве была открыта школа летчиков-наблю</w:t>
      </w:r>
      <w:r w:rsidRPr="00405303">
        <w:rPr>
          <w:bCs/>
          <w:color w:val="002060"/>
          <w:sz w:val="16"/>
          <w:szCs w:val="16"/>
        </w:rPr>
        <w:softHyphen/>
        <w:t>дателей, в которой по истечении года было обучено 173 че</w:t>
      </w:r>
      <w:r w:rsidRPr="00405303">
        <w:rPr>
          <w:bCs/>
          <w:color w:val="002060"/>
          <w:sz w:val="16"/>
          <w:szCs w:val="16"/>
        </w:rPr>
        <w:softHyphen/>
        <w:t>ловека (356).</w:t>
      </w:r>
    </w:p>
    <w:p w14:paraId="46DC8577" w14:textId="77777777" w:rsidR="004B4E35" w:rsidRPr="00405303" w:rsidRDefault="004B4E35" w:rsidP="00C15251">
      <w:pPr>
        <w:shd w:val="clear" w:color="auto" w:fill="FFFFFF"/>
        <w:jc w:val="both"/>
        <w:rPr>
          <w:bCs/>
          <w:color w:val="002060"/>
          <w:sz w:val="16"/>
          <w:szCs w:val="16"/>
        </w:rPr>
      </w:pPr>
    </w:p>
    <w:p w14:paraId="1FDA141A" w14:textId="77777777" w:rsidR="00976D04" w:rsidRPr="00405303" w:rsidRDefault="00976D04" w:rsidP="00C15251">
      <w:pPr>
        <w:jc w:val="both"/>
        <w:rPr>
          <w:bCs/>
          <w:color w:val="002060"/>
          <w:sz w:val="16"/>
          <w:szCs w:val="16"/>
        </w:rPr>
      </w:pPr>
      <w:r w:rsidRPr="00405303">
        <w:rPr>
          <w:bCs/>
          <w:color w:val="002060"/>
          <w:sz w:val="16"/>
          <w:szCs w:val="16"/>
        </w:rPr>
        <w:t>В 1915 году было открыто пять авиашкол для подготовки военных летчиков: 1/ школа Анатра в Одессе, 2/ школа ВАК в Петрограде, 3/ офицерская школа в Тифлисе, 4/ офицерская школа морской авиации в Петрограде и 5/ отделение этой школы в Баку. К концу года вместе с имев</w:t>
      </w:r>
      <w:r w:rsidRPr="00405303">
        <w:rPr>
          <w:bCs/>
          <w:color w:val="002060"/>
          <w:sz w:val="16"/>
          <w:szCs w:val="16"/>
        </w:rPr>
        <w:softHyphen/>
        <w:t>шимися гатчинской, севастопольской, московской и школой авиации чер</w:t>
      </w:r>
      <w:r w:rsidRPr="00405303">
        <w:rPr>
          <w:bCs/>
          <w:color w:val="002060"/>
          <w:sz w:val="16"/>
          <w:szCs w:val="16"/>
        </w:rPr>
        <w:softHyphen/>
        <w:t>номорского флота в России насчитывалось девять авиашкол, из них - три школы морской авиации. За год всеми школами было выпущено 250 военных летчиков, из них - 129 офицеров, 24 "нижних" чинов и 97 добровольцев. Выбыло из школ по разным причинам 164 обучавшихся.</w:t>
      </w:r>
    </w:p>
    <w:p w14:paraId="0C41E1B8" w14:textId="77777777" w:rsidR="00976D04" w:rsidRPr="00405303" w:rsidRDefault="00976D04" w:rsidP="00C15251">
      <w:pPr>
        <w:jc w:val="both"/>
        <w:rPr>
          <w:bCs/>
          <w:color w:val="002060"/>
          <w:sz w:val="16"/>
          <w:szCs w:val="16"/>
        </w:rPr>
      </w:pPr>
      <w:r w:rsidRPr="00405303">
        <w:rPr>
          <w:bCs/>
          <w:color w:val="002060"/>
          <w:sz w:val="16"/>
          <w:szCs w:val="16"/>
        </w:rPr>
        <w:t>/ЦГВИА, ф. 2008, д. 671, л. 36 и др./ (23320).</w:t>
      </w:r>
    </w:p>
    <w:p w14:paraId="567D1321" w14:textId="77777777" w:rsidR="00976D04" w:rsidRPr="00405303" w:rsidRDefault="00976D04" w:rsidP="00C15251">
      <w:pPr>
        <w:jc w:val="both"/>
        <w:rPr>
          <w:bCs/>
          <w:color w:val="002060"/>
          <w:sz w:val="16"/>
          <w:szCs w:val="16"/>
        </w:rPr>
      </w:pPr>
    </w:p>
    <w:p w14:paraId="14F90CBC" w14:textId="77777777" w:rsidR="004B4E35" w:rsidRPr="00405303" w:rsidRDefault="009E6F82" w:rsidP="00C15251">
      <w:pPr>
        <w:jc w:val="both"/>
        <w:rPr>
          <w:bCs/>
          <w:i/>
          <w:color w:val="002060"/>
          <w:sz w:val="16"/>
          <w:szCs w:val="16"/>
        </w:rPr>
      </w:pPr>
      <w:r w:rsidRPr="00405303">
        <w:rPr>
          <w:bCs/>
          <w:i/>
          <w:color w:val="002060"/>
          <w:sz w:val="16"/>
          <w:szCs w:val="16"/>
        </w:rPr>
        <w:t>Воздухоплавание:</w:t>
      </w:r>
    </w:p>
    <w:p w14:paraId="316A4E5B" w14:textId="77777777" w:rsidR="004B4E35" w:rsidRPr="00405303" w:rsidRDefault="004B4E35" w:rsidP="00C15251">
      <w:pPr>
        <w:jc w:val="both"/>
        <w:rPr>
          <w:bCs/>
          <w:i/>
          <w:color w:val="002060"/>
          <w:sz w:val="16"/>
          <w:szCs w:val="16"/>
        </w:rPr>
      </w:pPr>
    </w:p>
    <w:p w14:paraId="57AA8ED9" w14:textId="77777777" w:rsidR="00EC161F" w:rsidRPr="00405303" w:rsidRDefault="00EC161F" w:rsidP="00C15251">
      <w:pPr>
        <w:jc w:val="both"/>
        <w:rPr>
          <w:bCs/>
          <w:color w:val="002060"/>
          <w:sz w:val="16"/>
          <w:szCs w:val="16"/>
        </w:rPr>
      </w:pPr>
      <w:r w:rsidRPr="00405303">
        <w:rPr>
          <w:bCs/>
          <w:color w:val="002060"/>
          <w:sz w:val="16"/>
          <w:szCs w:val="16"/>
        </w:rPr>
        <w:t>В 1915 г. дирижабли сняли с во</w:t>
      </w:r>
      <w:r w:rsidRPr="00405303">
        <w:rPr>
          <w:bCs/>
          <w:color w:val="002060"/>
          <w:sz w:val="16"/>
          <w:szCs w:val="16"/>
        </w:rPr>
        <w:softHyphen/>
        <w:t>оружения русской армии, оставшуюся их ма</w:t>
      </w:r>
      <w:r w:rsidRPr="00405303">
        <w:rPr>
          <w:bCs/>
          <w:color w:val="002060"/>
          <w:sz w:val="16"/>
          <w:szCs w:val="16"/>
        </w:rPr>
        <w:softHyphen/>
        <w:t>териальную часть сдали на хранение в возду</w:t>
      </w:r>
      <w:r w:rsidRPr="00405303">
        <w:rPr>
          <w:bCs/>
          <w:color w:val="002060"/>
          <w:sz w:val="16"/>
          <w:szCs w:val="16"/>
        </w:rPr>
        <w:softHyphen/>
        <w:t xml:space="preserve">хоплавательные парки Северного (д. Сализи) и Юго-Западного (г. Курск) фронтов, а также в ОВШ (Петроград) (20120). </w:t>
      </w:r>
    </w:p>
    <w:p w14:paraId="4536F0B3" w14:textId="77777777" w:rsidR="00EC161F" w:rsidRPr="00405303" w:rsidRDefault="00EC161F" w:rsidP="00C15251">
      <w:pPr>
        <w:jc w:val="both"/>
        <w:rPr>
          <w:bCs/>
          <w:color w:val="002060"/>
          <w:sz w:val="16"/>
          <w:szCs w:val="16"/>
        </w:rPr>
      </w:pPr>
    </w:p>
    <w:p w14:paraId="564CCC87" w14:textId="77777777" w:rsidR="004B4E35" w:rsidRPr="00405303" w:rsidRDefault="009E6F82" w:rsidP="00C15251">
      <w:pPr>
        <w:jc w:val="both"/>
        <w:rPr>
          <w:bCs/>
          <w:color w:val="002060"/>
          <w:sz w:val="16"/>
          <w:szCs w:val="16"/>
        </w:rPr>
      </w:pPr>
      <w:r w:rsidRPr="00405303">
        <w:rPr>
          <w:bCs/>
          <w:color w:val="002060"/>
          <w:sz w:val="16"/>
          <w:szCs w:val="16"/>
        </w:rPr>
        <w:t>В 1915 году было приказано переформировать все наблюдательные станции крепостей в полевые воздухоплавательные роты. По расчётам русского командования в середине года необходимо было иметь в Действующей армии 25 воздухоплавательных рот, чтобы обеспечить эффективную разведку и корректировку артиллерийского огня. Каждая армия должна была иметь по 2-3 воздухоплавательные роты, находившиеся в подчинение инспектора артиллерии армии.</w:t>
      </w:r>
    </w:p>
    <w:p w14:paraId="5B4F3E38" w14:textId="77777777" w:rsidR="004B4E35" w:rsidRPr="00405303" w:rsidRDefault="004B4E35" w:rsidP="00C15251">
      <w:pPr>
        <w:jc w:val="both"/>
        <w:rPr>
          <w:bCs/>
          <w:color w:val="002060"/>
          <w:sz w:val="16"/>
          <w:szCs w:val="16"/>
        </w:rPr>
      </w:pPr>
    </w:p>
    <w:p w14:paraId="0A12C8C2" w14:textId="77777777" w:rsidR="004B4E35" w:rsidRPr="00405303" w:rsidRDefault="009E6F82" w:rsidP="00C15251">
      <w:pPr>
        <w:jc w:val="both"/>
        <w:rPr>
          <w:bCs/>
          <w:color w:val="002060"/>
          <w:sz w:val="16"/>
          <w:szCs w:val="16"/>
        </w:rPr>
      </w:pPr>
      <w:r w:rsidRPr="00405303">
        <w:rPr>
          <w:bCs/>
          <w:color w:val="002060"/>
          <w:sz w:val="16"/>
          <w:szCs w:val="16"/>
        </w:rPr>
        <w:t>В 1915 году было приказано переформировать все наблюдательные станции крепостей в полевые воздухоплавательные роты. По расчётам русского командования в середине года необходимо было иметь в Действующей армии 25 воздухоплавательных рот, чтобы обеспечить эффективную разведку и корректировку артиллерийского огня. Каждая армия должна была иметь по 2-3 воздухоплавательные роты, находившиеся в подчинение инспектора артиллерии армии. С 1916 г. каждая воздухоплавательная рота имела по 2 наблюдательные станции, а к концу года треть рот имела уже по 3 станции. В 1917 году воздухоплавательные роты были переформированы в армейские и корпусные воздухоплавательные отряды, сведённые в 1-14-й воздухоплавательные дивизионы. Всего в Действующей армии имелось 59 корпусных и 29 армейских воздухоплавательных отрядов, Ревельская и Свеаборгская крепостные воздухоплавательные роты (по 3 наблюдательные станции). Всего в этих подразделениях имелось около 200 змейковых аэростатов. Численность личного состава воздухоплавательных частей составляла около 700 офицеров и 28 тысяч нижних чинов. В ноябре 1916 г. при 28 воздухоплавательных дивизионах сформировано 28 воздухоплавательных отрядов (по 2 привязных змейковых аэростата). Командиры дивизионов были подчинены инспектору артиллерии армии. Для корректировки воздухоплавательные дивизионы придавались корпусам, и тогда командир отряда подчинялся инспектору артиллерии корпуса (приказ начальника Штаба ВГК № 1623 от 22.11.1916 г.) (11701).</w:t>
      </w:r>
    </w:p>
    <w:p w14:paraId="0DAC68DC" w14:textId="77777777" w:rsidR="004B4E35" w:rsidRPr="00405303" w:rsidRDefault="004B4E35" w:rsidP="00C15251">
      <w:pPr>
        <w:jc w:val="both"/>
        <w:rPr>
          <w:bCs/>
          <w:color w:val="002060"/>
          <w:sz w:val="16"/>
          <w:szCs w:val="16"/>
        </w:rPr>
      </w:pPr>
    </w:p>
    <w:p w14:paraId="2A3F841C" w14:textId="77777777" w:rsidR="004B4E35" w:rsidRPr="00405303" w:rsidRDefault="009E6F82" w:rsidP="00C15251">
      <w:pPr>
        <w:jc w:val="both"/>
        <w:rPr>
          <w:bCs/>
          <w:color w:val="002060"/>
          <w:sz w:val="16"/>
          <w:szCs w:val="16"/>
        </w:rPr>
      </w:pPr>
      <w:r w:rsidRPr="00405303">
        <w:rPr>
          <w:bCs/>
          <w:color w:val="002060"/>
          <w:sz w:val="16"/>
          <w:szCs w:val="16"/>
        </w:rPr>
        <w:t>В 1915 году было приказано переформировать все наблюдательные станции крепостей в полевые воздухоплавательные роты. По расчётам русского командования в середине года необходимо было иметь в Действующей армии 25 воздухоплавательных рот, чтобы обеспечить эффективную разведку и корректировку артиллерийского огня. Каждая армия должна была иметь по 2-3 воздухоплавательные роты, находившиеся в подчинение инспектора артиллерии армии (11701).</w:t>
      </w:r>
    </w:p>
    <w:p w14:paraId="61BBE4E3" w14:textId="77777777" w:rsidR="004B4E35" w:rsidRPr="00405303" w:rsidRDefault="004B4E35" w:rsidP="00C15251">
      <w:pPr>
        <w:jc w:val="both"/>
        <w:rPr>
          <w:bCs/>
          <w:color w:val="002060"/>
          <w:sz w:val="16"/>
          <w:szCs w:val="16"/>
        </w:rPr>
      </w:pPr>
    </w:p>
    <w:p w14:paraId="741FEC27" w14:textId="77777777" w:rsidR="004B4E35" w:rsidRPr="00405303" w:rsidRDefault="009E6F82" w:rsidP="00C15251">
      <w:pPr>
        <w:jc w:val="both"/>
        <w:rPr>
          <w:bCs/>
          <w:color w:val="002060"/>
          <w:sz w:val="16"/>
          <w:szCs w:val="16"/>
        </w:rPr>
      </w:pPr>
      <w:r w:rsidRPr="00405303">
        <w:rPr>
          <w:bCs/>
          <w:color w:val="002060"/>
          <w:sz w:val="16"/>
          <w:szCs w:val="16"/>
        </w:rPr>
        <w:t xml:space="preserve">В 1915 году, когда в России стало известно, что в Англии небольшие дирижабли успешно несут разведывательную и патрульную службу и приносят большую пользу своему морскому флоту, предупреждая его о присутствии подводных лодок и мин, морское ведомство согласилось закупить дирижабли у англичан для своего флота. К решительным мерам черноморцев вынудили действия двух германских лодок, одна из которых потопила 4 небольших парусника и обстреляла пристрелочную торпедную станцию у мыса Чауда, находившуюся на подступах к главной базе флота — Севастополю. Жертвой стал и миноносец, взорвавшийся на глазах гуляющей по Приморскому бульвару публики. Другая лодка под Одессой потопила транспорт «Патагония». </w:t>
      </w:r>
    </w:p>
    <w:p w14:paraId="07B3786D" w14:textId="77777777" w:rsidR="004B4E35" w:rsidRPr="00405303" w:rsidRDefault="009E6F82" w:rsidP="00C15251">
      <w:pPr>
        <w:jc w:val="both"/>
        <w:rPr>
          <w:bCs/>
          <w:color w:val="002060"/>
          <w:sz w:val="16"/>
          <w:szCs w:val="16"/>
        </w:rPr>
      </w:pPr>
      <w:r w:rsidRPr="00405303">
        <w:rPr>
          <w:bCs/>
          <w:color w:val="002060"/>
          <w:sz w:val="16"/>
          <w:szCs w:val="16"/>
        </w:rPr>
        <w:t>После этих событий и было решено срочно приобрести дирижабли. В Англии было заказано 4 дирижабля типа «Костал» объемом 4500 куб. м, которые могли развивать скорость до 80 км/ч. Для подготовки кадров воздухоплавателей для флота в Англию отправили двух морских офицеров и несколько матросов. Окончив школу, они должны были научиться летать на дирижаблях и пройти курс моторного дела (11324).</w:t>
      </w:r>
    </w:p>
    <w:p w14:paraId="0B1FA293" w14:textId="77777777" w:rsidR="004B4E35" w:rsidRPr="00405303" w:rsidRDefault="004B4E35" w:rsidP="00C15251">
      <w:pPr>
        <w:shd w:val="clear" w:color="auto" w:fill="FFFFFF"/>
        <w:jc w:val="both"/>
        <w:rPr>
          <w:bCs/>
          <w:i/>
          <w:color w:val="002060"/>
          <w:sz w:val="16"/>
          <w:szCs w:val="16"/>
        </w:rPr>
      </w:pPr>
    </w:p>
    <w:p w14:paraId="57ACA4FD" w14:textId="77777777" w:rsidR="004B4E35" w:rsidRPr="00405303" w:rsidRDefault="009E6F82" w:rsidP="00C15251">
      <w:pPr>
        <w:jc w:val="both"/>
        <w:rPr>
          <w:bCs/>
          <w:i/>
          <w:color w:val="002060"/>
          <w:sz w:val="16"/>
          <w:szCs w:val="16"/>
        </w:rPr>
      </w:pPr>
      <w:r w:rsidRPr="00405303">
        <w:rPr>
          <w:bCs/>
          <w:i/>
          <w:color w:val="002060"/>
          <w:sz w:val="16"/>
          <w:szCs w:val="16"/>
        </w:rPr>
        <w:t>Армия:</w:t>
      </w:r>
    </w:p>
    <w:p w14:paraId="1542519C" w14:textId="77777777" w:rsidR="004B4E35" w:rsidRPr="00405303" w:rsidRDefault="004B4E35" w:rsidP="00C15251">
      <w:pPr>
        <w:jc w:val="both"/>
        <w:rPr>
          <w:bCs/>
          <w:i/>
          <w:color w:val="002060"/>
          <w:sz w:val="16"/>
          <w:szCs w:val="16"/>
        </w:rPr>
      </w:pPr>
    </w:p>
    <w:p w14:paraId="2C417D07"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1915 г. Германия перенесла главные усилия на Восточный фронт с целью вывести Россию из войны. Русские армии, выру</w:t>
      </w:r>
      <w:r w:rsidRPr="00405303">
        <w:rPr>
          <w:bCs/>
          <w:color w:val="002060"/>
          <w:sz w:val="16"/>
          <w:szCs w:val="16"/>
        </w:rPr>
        <w:softHyphen/>
        <w:t>чая Францию, отвлекли на себя лучшие кадровые корпуса не</w:t>
      </w:r>
      <w:r w:rsidRPr="00405303">
        <w:rPr>
          <w:bCs/>
          <w:color w:val="002060"/>
          <w:sz w:val="16"/>
          <w:szCs w:val="16"/>
        </w:rPr>
        <w:softHyphen/>
        <w:t>мецкой армии и ее основные военно-воздушные силы. В ходе упорных боев русским войскам пришлось оставить Галицию, Восточную Пруссию, а вслед за ними Польшу, Литву и значи</w:t>
      </w:r>
      <w:r w:rsidRPr="00405303">
        <w:rPr>
          <w:bCs/>
          <w:color w:val="002060"/>
          <w:sz w:val="16"/>
          <w:szCs w:val="16"/>
        </w:rPr>
        <w:softHyphen/>
        <w:t>тельную часть Белоруссии. Отступление сопровождалось поте</w:t>
      </w:r>
      <w:r w:rsidRPr="00405303">
        <w:rPr>
          <w:bCs/>
          <w:color w:val="002060"/>
          <w:sz w:val="16"/>
          <w:szCs w:val="16"/>
        </w:rPr>
        <w:softHyphen/>
        <w:t>рями крепостных авиа- и воздухоплавательных баз, авиапарков, части состоявших на вооружении самолетов. Все это усугубляло и без того тяжелое положение авиационных отрядов (9705,113).</w:t>
      </w:r>
    </w:p>
    <w:p w14:paraId="67664796" w14:textId="77777777" w:rsidR="004B4E35" w:rsidRPr="00405303" w:rsidRDefault="004B4E35" w:rsidP="00C15251">
      <w:pPr>
        <w:shd w:val="clear" w:color="auto" w:fill="FFFFFF"/>
        <w:jc w:val="both"/>
        <w:rPr>
          <w:bCs/>
          <w:color w:val="002060"/>
          <w:sz w:val="16"/>
          <w:szCs w:val="16"/>
        </w:rPr>
      </w:pPr>
    </w:p>
    <w:p w14:paraId="59D541B9"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lastRenderedPageBreak/>
        <w:t>В 1915 г. германское Верховное командование решило перенести свой главный удар на восток, добиться здесь полного разгрома армий противника и вывести Россию из войны. Кампания оказалась очень тяжелой для русской армии, в том числе для авиации, и потребовала максимального напряжения сил. Основной задачей авиаторов оставалась разведка. Рассказать в короткой журнальной статье об их участии во всех операциях невозможно, поэтому ограничимся отдельными примерами, показывающими огромную важность добываемых воздушной разведкой данных и их влияние на ход боевых действий (11278).</w:t>
      </w:r>
    </w:p>
    <w:p w14:paraId="65473630" w14:textId="77777777" w:rsidR="004B4E35" w:rsidRPr="00405303" w:rsidRDefault="004B4E35" w:rsidP="00C15251">
      <w:pPr>
        <w:jc w:val="both"/>
        <w:rPr>
          <w:color w:val="002060"/>
          <w:sz w:val="16"/>
          <w:szCs w:val="16"/>
        </w:rPr>
      </w:pPr>
    </w:p>
    <w:p w14:paraId="7F7E6CEE" w14:textId="77777777" w:rsidR="000B3BFF" w:rsidRPr="00405303" w:rsidRDefault="000B3BFF" w:rsidP="00C15251">
      <w:pPr>
        <w:jc w:val="both"/>
        <w:rPr>
          <w:color w:val="002060"/>
          <w:sz w:val="16"/>
          <w:szCs w:val="16"/>
        </w:rPr>
      </w:pPr>
      <w:r w:rsidRPr="00405303">
        <w:rPr>
          <w:color w:val="002060"/>
          <w:sz w:val="16"/>
          <w:szCs w:val="16"/>
        </w:rPr>
        <w:t>Итоги 1915 года на Восточном фронте для Германии на первый взгляд казались более оптимистичными: русская армия была окончательно оттеснена от границ империи в болота Полесья и парализована как минимум на несколько месяцев. С начала войны она потеряла почти все профессиональные кадры (3,4 миллиона человек, из них 312 600 убитыми и 1,55 миллиона пленными и без вести пропавшими, в том числе 45 тысяч офицеров и врачей). Немцами были захвачены территории нынешних Польши, Литвы, юг современной Латвии и запад сегодняшней Беларуси, Волынь. Галиция вновь вернулась в руки австро-венгров, а сами они спасены от разгрома. Россия лишилась важных союзников — фактически уничтожена Сербия, Болгария перешла на сторону Германии и Австро-Венгрии, Румыния отказалась от присоединения к Антанте, убиты сотни тысяч тяготевших к России армян, потерпела полную неудачу англо-французская операция по захвату Дарданелл (это позволило бы снять транспортную блокаду с России, в результате войны лишившейся торговых связей через Балтийское и Черное моря).</w:t>
      </w:r>
    </w:p>
    <w:p w14:paraId="3025DB20" w14:textId="77777777" w:rsidR="000B3BFF" w:rsidRPr="00405303" w:rsidRDefault="000B3BFF" w:rsidP="00C15251">
      <w:pPr>
        <w:jc w:val="both"/>
        <w:rPr>
          <w:color w:val="002060"/>
          <w:sz w:val="16"/>
          <w:szCs w:val="16"/>
        </w:rPr>
      </w:pPr>
      <w:r w:rsidRPr="00405303">
        <w:rPr>
          <w:color w:val="002060"/>
          <w:sz w:val="16"/>
          <w:szCs w:val="16"/>
        </w:rPr>
        <w:t>Но стратегического поражения России немцам нанести так и не удалось: при выводе войск из «польского мешка» русское командование сумело избежать окружения больших группировок, мобилизационные ресурсы России позволяли формировать новые армии, а промышленность успешно развивала военное производство, преодолевая «снарядный голод». Все эти факторы позволяли предполагать, что наступающий 1916 год уже не будет для Германии и их союзников столь удачным, как 1915-й. Даже учитывая то, что противники России продолжали наращивать на нее давление — если в начале войны Россия оттягивала на себя только 31% всех враждебных сил, то к 1916 году уже более 50% сил Германии, Австро-Венгрии и Османской империи действовали против России (17045).</w:t>
      </w:r>
    </w:p>
    <w:p w14:paraId="37542D6C" w14:textId="77777777" w:rsidR="000B3BFF" w:rsidRPr="00405303" w:rsidRDefault="000B3BFF" w:rsidP="00C15251">
      <w:pPr>
        <w:jc w:val="both"/>
        <w:rPr>
          <w:color w:val="002060"/>
          <w:sz w:val="16"/>
          <w:szCs w:val="16"/>
        </w:rPr>
      </w:pPr>
    </w:p>
    <w:p w14:paraId="77F6C36C" w14:textId="77777777" w:rsidR="004B4E35" w:rsidRPr="00405303" w:rsidRDefault="009E6F82" w:rsidP="00C15251">
      <w:pPr>
        <w:jc w:val="both"/>
        <w:rPr>
          <w:bCs/>
          <w:i/>
          <w:color w:val="002060"/>
          <w:sz w:val="16"/>
          <w:szCs w:val="16"/>
        </w:rPr>
      </w:pPr>
      <w:r w:rsidRPr="00405303">
        <w:rPr>
          <w:bCs/>
          <w:i/>
          <w:color w:val="002060"/>
          <w:sz w:val="16"/>
          <w:szCs w:val="16"/>
        </w:rPr>
        <w:t>Жизнь и внутреняя политика:</w:t>
      </w:r>
    </w:p>
    <w:p w14:paraId="50B40D54" w14:textId="77777777" w:rsidR="004B4E35" w:rsidRPr="00405303" w:rsidRDefault="004B4E35" w:rsidP="00C15251">
      <w:pPr>
        <w:jc w:val="both"/>
        <w:rPr>
          <w:bCs/>
          <w:i/>
          <w:color w:val="002060"/>
          <w:sz w:val="16"/>
          <w:szCs w:val="16"/>
        </w:rPr>
      </w:pPr>
    </w:p>
    <w:p w14:paraId="26703C8A"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1915 г. в Петрограде и в некоторых других крупных центрах были организованы биржи труда. За 9 месяцев их работы из 313,9 тыс. рабочих, предлагавших свой труд, поступило на работу лишь 237,9 тыс. человек. Не лучше было и положение работающих. Хотя заработная плата у всех почти представителей военно-промышленного комплекса росла, но не следует забывать об инфляции. Так, заработная плата рабочих Московского военного округа в среднем выросла на 86%; в частности, у металлистов — на 98%, у текстильщиков — на 59,2%, в то время как цены к концу 1916 г. выросли по сравнению с 1914 г. на 200—300% (11270).</w:t>
      </w:r>
    </w:p>
    <w:p w14:paraId="3ACF38A0" w14:textId="77777777" w:rsidR="004B4E35" w:rsidRPr="00405303" w:rsidRDefault="004B4E35" w:rsidP="00C15251">
      <w:pPr>
        <w:jc w:val="both"/>
        <w:rPr>
          <w:bCs/>
          <w:color w:val="002060"/>
          <w:sz w:val="16"/>
          <w:szCs w:val="16"/>
        </w:rPr>
      </w:pPr>
    </w:p>
    <w:p w14:paraId="31E6E4B5" w14:textId="77777777" w:rsidR="00EC161F" w:rsidRPr="00405303" w:rsidRDefault="00EC161F" w:rsidP="00C15251">
      <w:pPr>
        <w:jc w:val="both"/>
        <w:rPr>
          <w:bCs/>
          <w:color w:val="002060"/>
          <w:sz w:val="16"/>
          <w:szCs w:val="16"/>
        </w:rPr>
      </w:pPr>
      <w:r w:rsidRPr="00405303">
        <w:rPr>
          <w:bCs/>
          <w:color w:val="002060"/>
          <w:sz w:val="16"/>
          <w:szCs w:val="16"/>
        </w:rPr>
        <w:t>В навигацию 1915 г. для оказания помощи «Таймыру» и «Вайгачу», зазимовавшим во льдах около Таймырского полуострова, Главное гидрографическое управление (ГГУ) организовало на о. Диксон экспедицию, соорудившую на острове радиостанцию и другие постройки. После выхо</w:t>
      </w:r>
      <w:r w:rsidRPr="00405303">
        <w:rPr>
          <w:bCs/>
          <w:color w:val="002060"/>
          <w:sz w:val="16"/>
          <w:szCs w:val="16"/>
        </w:rPr>
        <w:softHyphen/>
        <w:t>да судов из ледового плена, экспедиция в начале сентября 1915 г. покинула о. Диксон, оставив там радиостанцию, запасы провизии и керосина.</w:t>
      </w:r>
    </w:p>
    <w:p w14:paraId="01E0B9AB" w14:textId="77777777" w:rsidR="00EC161F" w:rsidRPr="00405303" w:rsidRDefault="00EC161F" w:rsidP="00C15251">
      <w:pPr>
        <w:jc w:val="both"/>
        <w:rPr>
          <w:bCs/>
          <w:color w:val="002060"/>
          <w:sz w:val="16"/>
          <w:szCs w:val="16"/>
        </w:rPr>
      </w:pPr>
      <w:r w:rsidRPr="00405303">
        <w:rPr>
          <w:bCs/>
          <w:color w:val="002060"/>
          <w:sz w:val="16"/>
          <w:szCs w:val="16"/>
        </w:rPr>
        <w:t>Радиостанция о. Диксон находилась на сибир</w:t>
      </w:r>
      <w:r w:rsidRPr="00405303">
        <w:rPr>
          <w:bCs/>
          <w:color w:val="002060"/>
          <w:sz w:val="16"/>
          <w:szCs w:val="16"/>
        </w:rPr>
        <w:softHyphen/>
        <w:t>ском побережье Северного Ледовитого океана, в области одного из центров действия атмос</w:t>
      </w:r>
      <w:r w:rsidRPr="00405303">
        <w:rPr>
          <w:bCs/>
          <w:color w:val="002060"/>
          <w:sz w:val="16"/>
          <w:szCs w:val="16"/>
        </w:rPr>
        <w:softHyphen/>
        <w:t>феры, что при наличии здесь метеостанции по</w:t>
      </w:r>
      <w:r w:rsidRPr="00405303">
        <w:rPr>
          <w:bCs/>
          <w:color w:val="002060"/>
          <w:sz w:val="16"/>
          <w:szCs w:val="16"/>
        </w:rPr>
        <w:softHyphen/>
        <w:t>зволяло оперативно передавать в ГФО данные для формирования прогноза погоды. 22 апреля 1916 г. Совет министров по ходатайству Акаде</w:t>
      </w:r>
      <w:r w:rsidRPr="00405303">
        <w:rPr>
          <w:bCs/>
          <w:color w:val="002060"/>
          <w:sz w:val="16"/>
          <w:szCs w:val="16"/>
        </w:rPr>
        <w:softHyphen/>
        <w:t>мии наук, ГФО и ряда предпринимателей выде</w:t>
      </w:r>
      <w:r w:rsidRPr="00405303">
        <w:rPr>
          <w:bCs/>
          <w:color w:val="002060"/>
          <w:sz w:val="16"/>
          <w:szCs w:val="16"/>
        </w:rPr>
        <w:softHyphen/>
        <w:t>лил средства на открытие на о. Диксон посто</w:t>
      </w:r>
      <w:r w:rsidRPr="00405303">
        <w:rPr>
          <w:bCs/>
          <w:color w:val="002060"/>
          <w:sz w:val="16"/>
          <w:szCs w:val="16"/>
        </w:rPr>
        <w:softHyphen/>
        <w:t>янной метеостанции (начальник П.Г. Кушаков). Помощник заведующего гидрометеорологиче</w:t>
      </w:r>
      <w:r w:rsidRPr="00405303">
        <w:rPr>
          <w:bCs/>
          <w:color w:val="002060"/>
          <w:sz w:val="16"/>
          <w:szCs w:val="16"/>
        </w:rPr>
        <w:softHyphen/>
        <w:t>ской частью ГГУ И.К. Тихомиров заново разбил метеоплощадку на острове и организовал метео</w:t>
      </w:r>
      <w:r w:rsidRPr="00405303">
        <w:rPr>
          <w:bCs/>
          <w:color w:val="002060"/>
          <w:sz w:val="16"/>
          <w:szCs w:val="16"/>
        </w:rPr>
        <w:softHyphen/>
        <w:t>рологические и аэрологические наблюдения. Для шаропилотных наблюдений станция получила 600 оболочек шаров, 15 баллонов с водородом, теодолит В.В. Кузнецова и набор принадлежно</w:t>
      </w:r>
      <w:r w:rsidRPr="00405303">
        <w:rPr>
          <w:bCs/>
          <w:color w:val="002060"/>
          <w:sz w:val="16"/>
          <w:szCs w:val="16"/>
        </w:rPr>
        <w:softHyphen/>
        <w:t>стей для обработки наблюдений. В тёмное время года предполагалось пускать шары с искусствен</w:t>
      </w:r>
      <w:r w:rsidRPr="00405303">
        <w:rPr>
          <w:bCs/>
          <w:color w:val="002060"/>
          <w:sz w:val="16"/>
          <w:szCs w:val="16"/>
        </w:rPr>
        <w:softHyphen/>
        <w:t>ным освещением. На станции имелось и обору</w:t>
      </w:r>
      <w:r w:rsidRPr="00405303">
        <w:rPr>
          <w:bCs/>
          <w:color w:val="002060"/>
          <w:sz w:val="16"/>
          <w:szCs w:val="16"/>
        </w:rPr>
        <w:softHyphen/>
        <w:t>дование для выполнения змейковых подъёмов (20120).</w:t>
      </w:r>
    </w:p>
    <w:p w14:paraId="253F744B" w14:textId="77777777" w:rsidR="00EC161F" w:rsidRPr="00405303" w:rsidRDefault="00EC161F" w:rsidP="00C15251">
      <w:pPr>
        <w:jc w:val="both"/>
        <w:rPr>
          <w:bCs/>
          <w:color w:val="002060"/>
          <w:sz w:val="16"/>
          <w:szCs w:val="16"/>
        </w:rPr>
      </w:pPr>
    </w:p>
    <w:p w14:paraId="3ABC1855" w14:textId="77777777" w:rsidR="004B4E35" w:rsidRPr="00405303" w:rsidRDefault="009E6F82" w:rsidP="00C15251">
      <w:pPr>
        <w:jc w:val="both"/>
        <w:rPr>
          <w:bCs/>
          <w:i/>
          <w:color w:val="002060"/>
          <w:sz w:val="16"/>
          <w:szCs w:val="16"/>
        </w:rPr>
      </w:pPr>
      <w:r w:rsidRPr="00405303">
        <w:rPr>
          <w:bCs/>
          <w:i/>
          <w:color w:val="002060"/>
          <w:sz w:val="16"/>
          <w:szCs w:val="16"/>
        </w:rPr>
        <w:t>Внешняя политика:</w:t>
      </w:r>
    </w:p>
    <w:p w14:paraId="5CFE5649" w14:textId="77777777" w:rsidR="004B4E35" w:rsidRPr="00405303" w:rsidRDefault="004B4E35" w:rsidP="00C15251">
      <w:pPr>
        <w:jc w:val="both"/>
        <w:rPr>
          <w:bCs/>
          <w:i/>
          <w:color w:val="002060"/>
          <w:sz w:val="16"/>
          <w:szCs w:val="16"/>
        </w:rPr>
      </w:pPr>
    </w:p>
    <w:p w14:paraId="24410D75" w14:textId="5EC82AC1" w:rsidR="004B4E35" w:rsidRPr="00405303" w:rsidRDefault="009E7A2E"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1915 г. «и. д. французского военного атташе при француз</w:t>
      </w:r>
      <w:r w:rsidR="009E6F82" w:rsidRPr="00405303">
        <w:rPr>
          <w:bCs/>
          <w:color w:val="002060"/>
          <w:sz w:val="16"/>
          <w:szCs w:val="16"/>
        </w:rPr>
        <w:softHyphen/>
        <w:t>ском посольстве в Петрограде майор Верлен обратился с прось</w:t>
      </w:r>
      <w:r w:rsidR="009E6F82" w:rsidRPr="00405303">
        <w:rPr>
          <w:bCs/>
          <w:color w:val="002060"/>
          <w:sz w:val="16"/>
          <w:szCs w:val="16"/>
        </w:rPr>
        <w:softHyphen/>
        <w:t>бой сообщить для передачи французскому военному министерству данные, относящиеся к аэропланам типа «Илья Муромец» и изло</w:t>
      </w:r>
      <w:r w:rsidR="009E6F82" w:rsidRPr="00405303">
        <w:rPr>
          <w:bCs/>
          <w:color w:val="002060"/>
          <w:sz w:val="16"/>
          <w:szCs w:val="16"/>
        </w:rPr>
        <w:softHyphen/>
        <w:t>женные в особом опросном листе» (ЦГВИА, ф. 802, оп. 4, д. 1966, л. 216) (318).</w:t>
      </w:r>
    </w:p>
    <w:p w14:paraId="6EADFA4C" w14:textId="77777777" w:rsidR="004B4E35" w:rsidRPr="00405303" w:rsidRDefault="004B4E35" w:rsidP="00C15251">
      <w:pPr>
        <w:shd w:val="clear" w:color="auto" w:fill="FFFFFF"/>
        <w:jc w:val="both"/>
        <w:rPr>
          <w:bCs/>
          <w:color w:val="002060"/>
          <w:sz w:val="16"/>
          <w:szCs w:val="16"/>
        </w:rPr>
      </w:pPr>
    </w:p>
    <w:p w14:paraId="236829AD" w14:textId="728780F6" w:rsidR="004B4E35" w:rsidRPr="00405303" w:rsidRDefault="009E7A2E"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1915 г. "и. д. французского военного атташе при французском посольстве в Петрограде майор Верлен обратился с просьбой сообщить для передачи французскому военному министерству данные, относящиеся к аэропланам типа "Илья Муромец" и изложенные в особом опросном листе" [* ЦГВИА. ф. 802, оп </w:t>
      </w:r>
      <w:proofErr w:type="gramStart"/>
      <w:r w:rsidR="009E6F82" w:rsidRPr="00405303">
        <w:rPr>
          <w:bCs/>
          <w:color w:val="002060"/>
          <w:sz w:val="16"/>
          <w:szCs w:val="16"/>
        </w:rPr>
        <w:t>4,д</w:t>
      </w:r>
      <w:proofErr w:type="gramEnd"/>
      <w:r w:rsidR="009E6F82" w:rsidRPr="00405303">
        <w:rPr>
          <w:bCs/>
          <w:color w:val="002060"/>
          <w:sz w:val="16"/>
          <w:szCs w:val="16"/>
        </w:rPr>
        <w:t xml:space="preserve"> 1966, л. 216.]. Однако Россия не спешила передавать свое по тому времени чудо техники. Союзники же не унимались. Наконец 17 декабря 1916 г., когда стало очевидным, что "Илья Муромец" уже далеко не новинка, царь такое разрешение выдал (11230).</w:t>
      </w:r>
    </w:p>
    <w:p w14:paraId="6E139342" w14:textId="77777777" w:rsidR="004B4E35" w:rsidRPr="00405303" w:rsidRDefault="004B4E35" w:rsidP="00C15251">
      <w:pPr>
        <w:jc w:val="both"/>
        <w:rPr>
          <w:bCs/>
          <w:color w:val="002060"/>
          <w:sz w:val="16"/>
          <w:szCs w:val="16"/>
        </w:rPr>
      </w:pPr>
    </w:p>
    <w:p w14:paraId="00053AC6" w14:textId="77777777" w:rsidR="004B4E35" w:rsidRPr="00405303" w:rsidRDefault="009E6F82" w:rsidP="00C15251">
      <w:pPr>
        <w:jc w:val="both"/>
        <w:rPr>
          <w:bCs/>
          <w:color w:val="002060"/>
          <w:sz w:val="16"/>
          <w:szCs w:val="16"/>
        </w:rPr>
      </w:pPr>
      <w:r w:rsidRPr="00405303">
        <w:rPr>
          <w:bCs/>
          <w:color w:val="002060"/>
          <w:sz w:val="16"/>
          <w:szCs w:val="16"/>
        </w:rPr>
        <w:t>В 1915 г. военный агент русского правительства в Великобритании сообщил о готовности английского правительства предоставить России строящиеся там восьмицилиндровые V-образные двигатели "Санбим", показавшие неплохие качества на стендовых испытаниях. Специально для "Муромцев" их закупили несколько сот, а московская экипажная фабрика П. Ильина получила заказ на их производство по лицензии. Однако в реальных полевых условиях "Санбимы" оказались дрянью, сущим наказанием для механиков и пилотов. Вместо заявленных 150 л. с. они едва давали 120-130. Кроме того, двигатели оказались капризными в эксплуатации. Несмотря на все старания опытных механиков, их не могли довести до работоспособного состояния. Старший механик эскадры М. Н. Никольской вынужден был отправлять их по рекламации целыми партиями. Не помог и прибывший с фирмы механик. Двигатели по-прежнему недодавали мощность и были ненадежными. Летчики "Муромцев", оснащенных "Санбимами", опасались углубляться далеко в тыл противника, а если и летали туда, то заведомо шли на большой риск (11230).</w:t>
      </w:r>
    </w:p>
    <w:p w14:paraId="63AC71B4" w14:textId="1B43C00E" w:rsidR="004B4E35" w:rsidRPr="00405303" w:rsidRDefault="009E6F82" w:rsidP="00C15251">
      <w:pPr>
        <w:jc w:val="both"/>
        <w:rPr>
          <w:bCs/>
          <w:color w:val="002060"/>
          <w:sz w:val="16"/>
          <w:szCs w:val="16"/>
        </w:rPr>
      </w:pPr>
      <w:r w:rsidRPr="00405303">
        <w:rPr>
          <w:bCs/>
          <w:color w:val="002060"/>
          <w:sz w:val="16"/>
          <w:szCs w:val="16"/>
        </w:rPr>
        <w:t xml:space="preserve">Член Государственной Думы А. Ф. Половцев, с самого начала неравнодушный к "Муромцам", сообщил Комиссии особого совещания по обороне государства, что "приобретение "Санбимов" является крупной ошибкой, затормозившей развитие эскадры". [Сноска ЦГВИА, ф. 369, on. 8, д. 72, л. 1.] </w:t>
      </w:r>
    </w:p>
    <w:p w14:paraId="6992F3EF" w14:textId="77777777" w:rsidR="004B4E35" w:rsidRPr="00405303" w:rsidRDefault="004B4E35" w:rsidP="00C15251">
      <w:pPr>
        <w:jc w:val="both"/>
        <w:rPr>
          <w:bCs/>
          <w:color w:val="002060"/>
          <w:sz w:val="16"/>
          <w:szCs w:val="16"/>
        </w:rPr>
      </w:pPr>
    </w:p>
    <w:p w14:paraId="45A514F4"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Германии:</w:t>
      </w:r>
    </w:p>
    <w:p w14:paraId="6921BB84" w14:textId="77777777" w:rsidR="004B4E35" w:rsidRPr="00405303" w:rsidRDefault="004B4E35" w:rsidP="00C15251">
      <w:pPr>
        <w:jc w:val="both"/>
        <w:rPr>
          <w:bCs/>
          <w:i/>
          <w:color w:val="002060"/>
          <w:sz w:val="16"/>
          <w:szCs w:val="16"/>
        </w:rPr>
      </w:pPr>
    </w:p>
    <w:p w14:paraId="593AFFD0" w14:textId="77777777" w:rsidR="00976D04" w:rsidRPr="00405303" w:rsidRDefault="00976D04" w:rsidP="00C15251">
      <w:pPr>
        <w:shd w:val="clear" w:color="auto" w:fill="FFFFFF"/>
        <w:jc w:val="both"/>
        <w:rPr>
          <w:bCs/>
          <w:color w:val="002060"/>
          <w:sz w:val="16"/>
          <w:szCs w:val="16"/>
        </w:rPr>
      </w:pPr>
      <w:r w:rsidRPr="00405303">
        <w:rPr>
          <w:bCs/>
          <w:color w:val="002060"/>
          <w:sz w:val="16"/>
          <w:szCs w:val="16"/>
        </w:rPr>
        <w:t>В течение 1915г. устаревшие аппараты 1914 г., так называемые А и В типы были изъяты с фронтов и замене</w:t>
      </w:r>
      <w:r w:rsidRPr="00405303">
        <w:rPr>
          <w:bCs/>
          <w:color w:val="002060"/>
          <w:sz w:val="16"/>
          <w:szCs w:val="16"/>
        </w:rPr>
        <w:softHyphen/>
        <w:t>ны новыми едиными аэропланами типа С.</w:t>
      </w:r>
    </w:p>
    <w:p w14:paraId="4774B032" w14:textId="77777777" w:rsidR="00976D04" w:rsidRPr="00405303" w:rsidRDefault="00976D04" w:rsidP="00C15251">
      <w:pPr>
        <w:shd w:val="clear" w:color="auto" w:fill="FFFFFF"/>
        <w:jc w:val="both"/>
        <w:rPr>
          <w:bCs/>
          <w:color w:val="002060"/>
          <w:sz w:val="16"/>
          <w:szCs w:val="16"/>
        </w:rPr>
      </w:pPr>
      <w:r w:rsidRPr="00405303">
        <w:rPr>
          <w:bCs/>
          <w:color w:val="002060"/>
          <w:sz w:val="16"/>
          <w:szCs w:val="16"/>
        </w:rPr>
        <w:t>А — двухместный моноплан без вооружения;</w:t>
      </w:r>
    </w:p>
    <w:p w14:paraId="62983BA3" w14:textId="77777777" w:rsidR="00976D04" w:rsidRPr="00405303" w:rsidRDefault="00976D04" w:rsidP="00C15251">
      <w:pPr>
        <w:shd w:val="clear" w:color="auto" w:fill="FFFFFF"/>
        <w:jc w:val="both"/>
        <w:rPr>
          <w:bCs/>
          <w:color w:val="002060"/>
          <w:sz w:val="16"/>
          <w:szCs w:val="16"/>
        </w:rPr>
      </w:pPr>
      <w:r w:rsidRPr="00405303">
        <w:rPr>
          <w:bCs/>
          <w:color w:val="002060"/>
          <w:sz w:val="16"/>
          <w:szCs w:val="16"/>
        </w:rPr>
        <w:t>В — двухместный биплан без вооружения;</w:t>
      </w:r>
    </w:p>
    <w:p w14:paraId="0534D561" w14:textId="77777777" w:rsidR="00976D04" w:rsidRPr="00405303" w:rsidRDefault="00976D04" w:rsidP="00C15251">
      <w:pPr>
        <w:shd w:val="clear" w:color="auto" w:fill="FFFFFF"/>
        <w:jc w:val="both"/>
        <w:rPr>
          <w:bCs/>
          <w:color w:val="002060"/>
          <w:sz w:val="16"/>
          <w:szCs w:val="16"/>
        </w:rPr>
      </w:pPr>
      <w:r w:rsidRPr="00405303">
        <w:rPr>
          <w:bCs/>
          <w:color w:val="002060"/>
          <w:sz w:val="16"/>
          <w:szCs w:val="16"/>
        </w:rPr>
        <w:t>С — двухместный биплан с вооружением.</w:t>
      </w:r>
    </w:p>
    <w:p w14:paraId="56EA92B3" w14:textId="77777777" w:rsidR="00976D04" w:rsidRPr="00405303" w:rsidRDefault="00976D04" w:rsidP="00C15251">
      <w:pPr>
        <w:shd w:val="clear" w:color="auto" w:fill="FFFFFF"/>
        <w:jc w:val="both"/>
        <w:rPr>
          <w:bCs/>
          <w:color w:val="002060"/>
          <w:sz w:val="16"/>
          <w:szCs w:val="16"/>
        </w:rPr>
      </w:pPr>
      <w:r w:rsidRPr="00405303">
        <w:rPr>
          <w:bCs/>
          <w:color w:val="002060"/>
          <w:sz w:val="16"/>
          <w:szCs w:val="16"/>
        </w:rPr>
        <w:t>Они были снаб</w:t>
      </w:r>
      <w:r w:rsidRPr="00405303">
        <w:rPr>
          <w:bCs/>
          <w:color w:val="002060"/>
          <w:sz w:val="16"/>
          <w:szCs w:val="16"/>
        </w:rPr>
        <w:softHyphen/>
        <w:t>жены 160-сильными моторами, достигали высоты 3000 м и располагали грузоподъемностью, позволявшей брать аэро</w:t>
      </w:r>
      <w:r w:rsidRPr="00405303">
        <w:rPr>
          <w:bCs/>
          <w:color w:val="002060"/>
          <w:sz w:val="16"/>
          <w:szCs w:val="16"/>
        </w:rPr>
        <w:softHyphen/>
        <w:t>камеру, радиоприемник и вооружение. В двухместном ап</w:t>
      </w:r>
      <w:r w:rsidRPr="00405303">
        <w:rPr>
          <w:bCs/>
          <w:color w:val="002060"/>
          <w:sz w:val="16"/>
          <w:szCs w:val="16"/>
        </w:rPr>
        <w:softHyphen/>
        <w:t>парате типа С наблюдатель и пилот поменялись местами. Теперь наблюдатель, сидящий сзади пилота, был в состоя</w:t>
      </w:r>
      <w:r w:rsidRPr="00405303">
        <w:rPr>
          <w:bCs/>
          <w:color w:val="002060"/>
          <w:sz w:val="16"/>
          <w:szCs w:val="16"/>
        </w:rPr>
        <w:softHyphen/>
        <w:t>нии применять фотокамеру вертикально и отражать воз</w:t>
      </w:r>
      <w:r w:rsidRPr="00405303">
        <w:rPr>
          <w:bCs/>
          <w:color w:val="002060"/>
          <w:sz w:val="16"/>
          <w:szCs w:val="16"/>
        </w:rPr>
        <w:softHyphen/>
        <w:t>душного противника при помощи турельного пулемета.</w:t>
      </w:r>
    </w:p>
    <w:p w14:paraId="000ABA2B" w14:textId="77777777" w:rsidR="00976D04" w:rsidRPr="00405303" w:rsidRDefault="00976D04" w:rsidP="00C15251">
      <w:pPr>
        <w:shd w:val="clear" w:color="auto" w:fill="FFFFFF"/>
        <w:jc w:val="both"/>
        <w:rPr>
          <w:bCs/>
          <w:color w:val="002060"/>
          <w:sz w:val="16"/>
          <w:szCs w:val="16"/>
        </w:rPr>
      </w:pPr>
      <w:r w:rsidRPr="00405303">
        <w:rPr>
          <w:bCs/>
          <w:color w:val="002060"/>
          <w:sz w:val="16"/>
          <w:szCs w:val="16"/>
        </w:rPr>
        <w:t>Хотя часть самолетов типа В все еще в начале этого года продолжала специализироваться на артиллерийской раз</w:t>
      </w:r>
      <w:r w:rsidRPr="00405303">
        <w:rPr>
          <w:bCs/>
          <w:color w:val="002060"/>
          <w:sz w:val="16"/>
          <w:szCs w:val="16"/>
        </w:rPr>
        <w:softHyphen/>
        <w:t>ведке и в каждой армии еще оставался в распоряжении от</w:t>
      </w:r>
      <w:r w:rsidRPr="00405303">
        <w:rPr>
          <w:bCs/>
          <w:color w:val="002060"/>
          <w:sz w:val="16"/>
          <w:szCs w:val="16"/>
        </w:rPr>
        <w:softHyphen/>
        <w:t>ряд из 4-х таких машин, руководство воздушных сил неук</w:t>
      </w:r>
      <w:r w:rsidRPr="00405303">
        <w:rPr>
          <w:bCs/>
          <w:color w:val="002060"/>
          <w:sz w:val="16"/>
          <w:szCs w:val="16"/>
        </w:rPr>
        <w:softHyphen/>
        <w:t>лонно вело дело к полной унификации воздушного оружия. Это позволило германскому руководству в противополож</w:t>
      </w:r>
      <w:r w:rsidRPr="00405303">
        <w:rPr>
          <w:bCs/>
          <w:color w:val="002060"/>
          <w:sz w:val="16"/>
          <w:szCs w:val="16"/>
        </w:rPr>
        <w:softHyphen/>
        <w:t>ность к фактическому состоянию, требовавшему в затянув</w:t>
      </w:r>
      <w:r w:rsidRPr="00405303">
        <w:rPr>
          <w:bCs/>
          <w:color w:val="002060"/>
          <w:sz w:val="16"/>
          <w:szCs w:val="16"/>
        </w:rPr>
        <w:softHyphen/>
        <w:t>шейся позиционной войне добиваться еще более тесного взаимодействия между воздушными силами и наземными войсками, перейти к развитию специальных аппаратов и разработке соответствующей тактики, позволяющей при</w:t>
      </w:r>
      <w:r w:rsidRPr="00405303">
        <w:rPr>
          <w:bCs/>
          <w:color w:val="002060"/>
          <w:sz w:val="16"/>
          <w:szCs w:val="16"/>
        </w:rPr>
        <w:softHyphen/>
        <w:t xml:space="preserve">бегнуть почти исключительно </w:t>
      </w:r>
      <w:r w:rsidRPr="00405303">
        <w:rPr>
          <w:bCs/>
          <w:color w:val="002060"/>
          <w:sz w:val="16"/>
          <w:szCs w:val="16"/>
        </w:rPr>
        <w:lastRenderedPageBreak/>
        <w:t>к глубокому бомбардирова-нию незащищенных селений противника. Именно с начала 1915 г. в Германии стали выпускать аэропланы, специально предназначенные для бомбардирования. В этом году было выпущено 185 таких аэропланов.</w:t>
      </w:r>
    </w:p>
    <w:p w14:paraId="3694AEA1" w14:textId="77777777" w:rsidR="00976D04" w:rsidRPr="00405303" w:rsidRDefault="00976D04" w:rsidP="00C15251">
      <w:pPr>
        <w:shd w:val="clear" w:color="auto" w:fill="FFFFFF"/>
        <w:jc w:val="both"/>
        <w:rPr>
          <w:bCs/>
          <w:color w:val="002060"/>
          <w:sz w:val="16"/>
          <w:szCs w:val="16"/>
        </w:rPr>
      </w:pPr>
      <w:r w:rsidRPr="00405303">
        <w:rPr>
          <w:bCs/>
          <w:color w:val="002060"/>
          <w:sz w:val="16"/>
          <w:szCs w:val="16"/>
        </w:rPr>
        <w:t>С авиабомбами в Германии дело обстояло лучше, чем у союзников. В начале 1915 г. в штаб русского верховного главнокомандования стали поступать сведения о герман</w:t>
      </w:r>
      <w:r w:rsidRPr="00405303">
        <w:rPr>
          <w:bCs/>
          <w:color w:val="002060"/>
          <w:sz w:val="16"/>
          <w:szCs w:val="16"/>
        </w:rPr>
        <w:softHyphen/>
        <w:t>ских авиабомбах, дающих большое количество осколков. Такие бомбы имели в головке длинный наконечник и взры</w:t>
      </w:r>
      <w:r w:rsidRPr="00405303">
        <w:rPr>
          <w:bCs/>
          <w:color w:val="002060"/>
          <w:sz w:val="16"/>
          <w:szCs w:val="16"/>
        </w:rPr>
        <w:softHyphen/>
        <w:t>вались над землей. Осколками, разлетавшимися над самой землей, они буквально косили траву и поражали все жи</w:t>
      </w:r>
      <w:r w:rsidRPr="00405303">
        <w:rPr>
          <w:bCs/>
          <w:color w:val="002060"/>
          <w:sz w:val="16"/>
          <w:szCs w:val="16"/>
        </w:rPr>
        <w:softHyphen/>
        <w:t>вое, встречающееся на пути.</w:t>
      </w:r>
    </w:p>
    <w:p w14:paraId="00FC3A60" w14:textId="77777777" w:rsidR="00976D04" w:rsidRPr="00405303" w:rsidRDefault="00976D04" w:rsidP="00C15251">
      <w:pPr>
        <w:shd w:val="clear" w:color="auto" w:fill="FFFFFF"/>
        <w:jc w:val="both"/>
        <w:rPr>
          <w:bCs/>
          <w:color w:val="002060"/>
          <w:sz w:val="16"/>
          <w:szCs w:val="16"/>
        </w:rPr>
      </w:pPr>
      <w:r w:rsidRPr="00405303">
        <w:rPr>
          <w:bCs/>
          <w:color w:val="002060"/>
          <w:sz w:val="16"/>
          <w:szCs w:val="16"/>
        </w:rPr>
        <w:t>Тогда же командующий ЭВК Шидловский доносил в Ставку: «Наши бомбы, насколько позволил судить опыт последних бомбометаний, имея значительные фугасные свойства, почти не дают осколков... ходатайствую о присыл</w:t>
      </w:r>
      <w:r w:rsidRPr="00405303">
        <w:rPr>
          <w:bCs/>
          <w:color w:val="002060"/>
          <w:sz w:val="16"/>
          <w:szCs w:val="16"/>
        </w:rPr>
        <w:softHyphen/>
        <w:t>ке для опыта бомб с зарядами в 10, 15, 25 пудов тротила в бомбе, не менее двух снарядов каждого типа». Шидловский настаивал на необходимости «снабжения воздушной эскад</w:t>
      </w:r>
      <w:r w:rsidRPr="00405303">
        <w:rPr>
          <w:bCs/>
          <w:color w:val="002060"/>
          <w:sz w:val="16"/>
          <w:szCs w:val="16"/>
        </w:rPr>
        <w:softHyphen/>
        <w:t>ры снарядами, дающими большое количество осколков». Поступали подобные требования и из других авиачастей. В результате в России под давлением фронта ГВТУ присту</w:t>
      </w:r>
      <w:r w:rsidRPr="00405303">
        <w:rPr>
          <w:bCs/>
          <w:color w:val="002060"/>
          <w:sz w:val="16"/>
          <w:szCs w:val="16"/>
        </w:rPr>
        <w:softHyphen/>
        <w:t>пило к срочной разработке специальных авиационных бомб фугасного и осколочного типа.</w:t>
      </w:r>
    </w:p>
    <w:p w14:paraId="6758147E" w14:textId="77777777" w:rsidR="00976D04" w:rsidRPr="00405303" w:rsidRDefault="00976D04" w:rsidP="00C15251">
      <w:pPr>
        <w:shd w:val="clear" w:color="auto" w:fill="FFFFFF"/>
        <w:jc w:val="both"/>
        <w:rPr>
          <w:bCs/>
          <w:color w:val="002060"/>
          <w:sz w:val="16"/>
          <w:szCs w:val="16"/>
        </w:rPr>
      </w:pPr>
      <w:r w:rsidRPr="00405303">
        <w:rPr>
          <w:bCs/>
          <w:color w:val="002060"/>
          <w:sz w:val="16"/>
          <w:szCs w:val="16"/>
        </w:rPr>
        <w:t>Много вопросов было предъявлено в первые месяцы вой</w:t>
      </w:r>
      <w:r w:rsidRPr="00405303">
        <w:rPr>
          <w:bCs/>
          <w:color w:val="002060"/>
          <w:sz w:val="16"/>
          <w:szCs w:val="16"/>
        </w:rPr>
        <w:softHyphen/>
        <w:t>ны и к принципам организации воздушных сил. Наиболее рациональное их построение исследовалось военными в те</w:t>
      </w:r>
      <w:r w:rsidRPr="00405303">
        <w:rPr>
          <w:bCs/>
          <w:color w:val="002060"/>
          <w:sz w:val="16"/>
          <w:szCs w:val="16"/>
        </w:rPr>
        <w:softHyphen/>
        <w:t>чение всего 1915 г. На основе всеобщих тенденций развития этот процесс во всех странах был примерно одинаков.</w:t>
      </w:r>
    </w:p>
    <w:p w14:paraId="391718A4" w14:textId="77777777" w:rsidR="00976D04" w:rsidRPr="00405303" w:rsidRDefault="00976D04" w:rsidP="00C15251">
      <w:pPr>
        <w:shd w:val="clear" w:color="auto" w:fill="FFFFFF"/>
        <w:jc w:val="both"/>
        <w:rPr>
          <w:bCs/>
          <w:color w:val="002060"/>
          <w:sz w:val="16"/>
          <w:szCs w:val="16"/>
        </w:rPr>
      </w:pPr>
      <w:r w:rsidRPr="00405303">
        <w:rPr>
          <w:bCs/>
          <w:color w:val="002060"/>
          <w:sz w:val="16"/>
          <w:szCs w:val="16"/>
        </w:rPr>
        <w:t>В связи с установившейся позиционной войной собы</w:t>
      </w:r>
      <w:r w:rsidRPr="00405303">
        <w:rPr>
          <w:bCs/>
          <w:color w:val="002060"/>
          <w:sz w:val="16"/>
          <w:szCs w:val="16"/>
        </w:rPr>
        <w:softHyphen/>
        <w:t>тия на фронтах в 1915 г. имели не такую плотность, как в предыдущие пять месяцев. Частыми были затишья, особен</w:t>
      </w:r>
      <w:r w:rsidRPr="00405303">
        <w:rPr>
          <w:bCs/>
          <w:color w:val="002060"/>
          <w:sz w:val="16"/>
          <w:szCs w:val="16"/>
        </w:rPr>
        <w:softHyphen/>
        <w:t>но на Западноевропейском театре военных действий, имев</w:t>
      </w:r>
      <w:r w:rsidRPr="00405303">
        <w:rPr>
          <w:bCs/>
          <w:color w:val="002060"/>
          <w:sz w:val="16"/>
          <w:szCs w:val="16"/>
        </w:rPr>
        <w:softHyphen/>
        <w:t>шем в этом году второстепенное значение (11060).</w:t>
      </w:r>
    </w:p>
    <w:p w14:paraId="46191BFA" w14:textId="77777777" w:rsidR="00976D04" w:rsidRPr="00405303" w:rsidRDefault="00976D04" w:rsidP="00C15251">
      <w:pPr>
        <w:shd w:val="clear" w:color="auto" w:fill="FFFFFF"/>
        <w:jc w:val="both"/>
        <w:rPr>
          <w:bCs/>
          <w:color w:val="002060"/>
          <w:sz w:val="16"/>
          <w:szCs w:val="16"/>
        </w:rPr>
      </w:pPr>
    </w:p>
    <w:p w14:paraId="4E239FDA" w14:textId="77777777" w:rsidR="00D9522F" w:rsidRPr="00405303" w:rsidRDefault="00D9522F" w:rsidP="00C15251">
      <w:pPr>
        <w:jc w:val="both"/>
        <w:rPr>
          <w:bCs/>
          <w:color w:val="002060"/>
          <w:sz w:val="16"/>
          <w:szCs w:val="16"/>
        </w:rPr>
      </w:pPr>
      <w:r w:rsidRPr="00405303">
        <w:rPr>
          <w:bCs/>
          <w:color w:val="002060"/>
          <w:sz w:val="16"/>
          <w:szCs w:val="16"/>
        </w:rPr>
        <w:t>В 1915 г. X. Юнкере по</w:t>
      </w:r>
      <w:r w:rsidRPr="00405303">
        <w:rPr>
          <w:bCs/>
          <w:color w:val="002060"/>
          <w:sz w:val="16"/>
          <w:szCs w:val="16"/>
        </w:rPr>
        <w:softHyphen/>
        <w:t xml:space="preserve">строил знаменитый свободнонесущий моноплан </w:t>
      </w:r>
      <w:r w:rsidRPr="00405303">
        <w:rPr>
          <w:bCs/>
          <w:color w:val="002060"/>
          <w:sz w:val="16"/>
          <w:szCs w:val="16"/>
          <w:lang w:val="en-US"/>
        </w:rPr>
        <w:t>J</w:t>
      </w:r>
      <w:r w:rsidRPr="00405303">
        <w:rPr>
          <w:bCs/>
          <w:color w:val="002060"/>
          <w:sz w:val="16"/>
          <w:szCs w:val="16"/>
        </w:rPr>
        <w:t>1 «Жестяной осел». Сталь</w:t>
      </w:r>
      <w:r w:rsidRPr="00405303">
        <w:rPr>
          <w:bCs/>
          <w:color w:val="002060"/>
          <w:sz w:val="16"/>
          <w:szCs w:val="16"/>
        </w:rPr>
        <w:softHyphen/>
        <w:t>ными были и каркас, и об</w:t>
      </w:r>
      <w:r w:rsidRPr="00405303">
        <w:rPr>
          <w:bCs/>
          <w:color w:val="002060"/>
          <w:sz w:val="16"/>
          <w:szCs w:val="16"/>
        </w:rPr>
        <w:softHyphen/>
        <w:t>шивка. Её толщина колеба</w:t>
      </w:r>
      <w:r w:rsidRPr="00405303">
        <w:rPr>
          <w:bCs/>
          <w:color w:val="002060"/>
          <w:sz w:val="16"/>
          <w:szCs w:val="16"/>
        </w:rPr>
        <w:softHyphen/>
        <w:t>лась от 0,5 мм до 1 мм, с каркасом она соединялась точечной электросваркой.</w:t>
      </w:r>
    </w:p>
    <w:p w14:paraId="47B8536C" w14:textId="77777777" w:rsidR="00D9522F" w:rsidRPr="00405303" w:rsidRDefault="00D9522F" w:rsidP="00C15251">
      <w:pPr>
        <w:jc w:val="both"/>
        <w:rPr>
          <w:bCs/>
          <w:color w:val="002060"/>
          <w:sz w:val="16"/>
          <w:szCs w:val="16"/>
        </w:rPr>
      </w:pPr>
      <w:r w:rsidRPr="00405303">
        <w:rPr>
          <w:bCs/>
          <w:color w:val="002060"/>
          <w:sz w:val="16"/>
          <w:szCs w:val="16"/>
        </w:rPr>
        <w:t>Как мы видим, Л не стал первым цельностальным самолётом, но в нём впер</w:t>
      </w:r>
      <w:r w:rsidRPr="00405303">
        <w:rPr>
          <w:bCs/>
          <w:color w:val="002060"/>
          <w:sz w:val="16"/>
          <w:szCs w:val="16"/>
        </w:rPr>
        <w:softHyphen/>
        <w:t>вые удалось полностью использовать преимущест</w:t>
      </w:r>
      <w:r w:rsidRPr="00405303">
        <w:rPr>
          <w:bCs/>
          <w:color w:val="002060"/>
          <w:sz w:val="16"/>
          <w:szCs w:val="16"/>
        </w:rPr>
        <w:softHyphen/>
        <w:t xml:space="preserve">ва стали, создав толстое, свободнонесущее крыло </w:t>
      </w:r>
    </w:p>
    <w:p w14:paraId="05653F4A" w14:textId="77777777" w:rsidR="00D9522F" w:rsidRPr="00405303" w:rsidRDefault="00D9522F" w:rsidP="00C15251">
      <w:pPr>
        <w:jc w:val="both"/>
        <w:rPr>
          <w:bCs/>
          <w:color w:val="002060"/>
          <w:sz w:val="16"/>
          <w:szCs w:val="16"/>
        </w:rPr>
      </w:pPr>
    </w:p>
    <w:p w14:paraId="1FE29D23" w14:textId="1417073D" w:rsidR="004B4E35" w:rsidRPr="00405303" w:rsidRDefault="009E7A2E" w:rsidP="00C15251">
      <w:pPr>
        <w:shd w:val="clear" w:color="auto" w:fill="FFFFFF"/>
        <w:jc w:val="both"/>
        <w:rPr>
          <w:bCs/>
          <w:color w:val="002060"/>
          <w:sz w:val="16"/>
          <w:szCs w:val="16"/>
        </w:rPr>
      </w:pPr>
      <w:r w:rsidRPr="00405303">
        <w:rPr>
          <w:bCs/>
          <w:color w:val="002060"/>
          <w:sz w:val="16"/>
          <w:szCs w:val="16"/>
        </w:rPr>
        <w:t xml:space="preserve">В 1915 г. </w:t>
      </w:r>
      <w:r w:rsidR="009E6F82" w:rsidRPr="00405303">
        <w:rPr>
          <w:bCs/>
          <w:color w:val="002060"/>
          <w:sz w:val="16"/>
          <w:szCs w:val="16"/>
        </w:rPr>
        <w:t>Германия построила 4532 самолета (11060).</w:t>
      </w:r>
    </w:p>
    <w:p w14:paraId="53B2FB31" w14:textId="77777777" w:rsidR="004B4E35" w:rsidRPr="00405303" w:rsidRDefault="004B4E35" w:rsidP="00C15251">
      <w:pPr>
        <w:shd w:val="clear" w:color="auto" w:fill="FFFFFF"/>
        <w:jc w:val="both"/>
        <w:rPr>
          <w:bCs/>
          <w:color w:val="002060"/>
          <w:sz w:val="16"/>
          <w:szCs w:val="16"/>
        </w:rPr>
      </w:pPr>
    </w:p>
    <w:p w14:paraId="145B587A" w14:textId="77777777" w:rsidR="004B4E35" w:rsidRPr="00405303" w:rsidRDefault="009E6F82" w:rsidP="00C15251">
      <w:pPr>
        <w:jc w:val="both"/>
        <w:rPr>
          <w:bCs/>
          <w:color w:val="002060"/>
          <w:sz w:val="16"/>
          <w:szCs w:val="16"/>
        </w:rPr>
      </w:pPr>
      <w:r w:rsidRPr="00405303">
        <w:rPr>
          <w:bCs/>
          <w:color w:val="002060"/>
          <w:sz w:val="16"/>
          <w:szCs w:val="16"/>
        </w:rPr>
        <w:t>В 1915 году промышленностью Германии было выпущено 4400 самолетов, а в 1916 году — 8100, производительность промышленности в 1917 году достигла 19 400 самолетов. Германия отставала. Одна только Англия выпустила в 1918 году за десять месяцев войны 26 700 самолетов (11282).</w:t>
      </w:r>
    </w:p>
    <w:p w14:paraId="0F5DF35A" w14:textId="77777777" w:rsidR="004B4E35" w:rsidRPr="00405303" w:rsidRDefault="004B4E35" w:rsidP="00C15251">
      <w:pPr>
        <w:jc w:val="both"/>
        <w:rPr>
          <w:bCs/>
          <w:color w:val="002060"/>
          <w:sz w:val="16"/>
          <w:szCs w:val="16"/>
        </w:rPr>
      </w:pPr>
    </w:p>
    <w:p w14:paraId="091A2FAE" w14:textId="19E5F10A" w:rsidR="004B4E35" w:rsidRPr="00405303" w:rsidRDefault="009E7A2E" w:rsidP="00C15251">
      <w:pPr>
        <w:shd w:val="clear" w:color="auto" w:fill="FFFFFF"/>
        <w:jc w:val="both"/>
        <w:rPr>
          <w:bCs/>
          <w:color w:val="002060"/>
          <w:sz w:val="16"/>
          <w:szCs w:val="16"/>
        </w:rPr>
      </w:pPr>
      <w:r w:rsidRPr="00405303">
        <w:rPr>
          <w:bCs/>
          <w:color w:val="002060"/>
          <w:sz w:val="16"/>
          <w:szCs w:val="16"/>
        </w:rPr>
        <w:t>В</w:t>
      </w:r>
      <w:r w:rsidR="009E6F82" w:rsidRPr="00405303">
        <w:rPr>
          <w:bCs/>
          <w:color w:val="002060"/>
          <w:sz w:val="16"/>
          <w:szCs w:val="16"/>
        </w:rPr>
        <w:t xml:space="preserve"> 1915 г. </w:t>
      </w:r>
      <w:r w:rsidRPr="00405303">
        <w:rPr>
          <w:bCs/>
          <w:color w:val="002060"/>
          <w:sz w:val="16"/>
          <w:szCs w:val="16"/>
        </w:rPr>
        <w:t>производство аэропланов в Германии</w:t>
      </w:r>
      <w:r w:rsidR="009E6F82" w:rsidRPr="00405303">
        <w:rPr>
          <w:bCs/>
          <w:color w:val="002060"/>
          <w:sz w:val="16"/>
          <w:szCs w:val="16"/>
        </w:rPr>
        <w:t xml:space="preserve"> значительно возросло и качество их улуч</w:t>
      </w:r>
      <w:r w:rsidR="009E6F82" w:rsidRPr="00405303">
        <w:rPr>
          <w:bCs/>
          <w:color w:val="002060"/>
          <w:sz w:val="16"/>
          <w:szCs w:val="16"/>
        </w:rPr>
        <w:softHyphen/>
        <w:t>шилось. Устаревшие аппараты 1914 г., так называемые А и В типы были в течение 1915 г. изъяты с фронтов и замене</w:t>
      </w:r>
      <w:r w:rsidR="009E6F82" w:rsidRPr="00405303">
        <w:rPr>
          <w:bCs/>
          <w:color w:val="002060"/>
          <w:sz w:val="16"/>
          <w:szCs w:val="16"/>
        </w:rPr>
        <w:softHyphen/>
        <w:t>ны новыми едиными аэропланами типа С. Они были снаб</w:t>
      </w:r>
      <w:r w:rsidR="009E6F82" w:rsidRPr="00405303">
        <w:rPr>
          <w:bCs/>
          <w:color w:val="002060"/>
          <w:sz w:val="16"/>
          <w:szCs w:val="16"/>
        </w:rPr>
        <w:softHyphen/>
        <w:t>жены 160-сильными моторами, достигали высоты 3000 м и располагали грузоподъемностью, позволявшей брать аэро</w:t>
      </w:r>
      <w:r w:rsidR="009E6F82" w:rsidRPr="00405303">
        <w:rPr>
          <w:bCs/>
          <w:color w:val="002060"/>
          <w:sz w:val="16"/>
          <w:szCs w:val="16"/>
        </w:rPr>
        <w:softHyphen/>
        <w:t>камеру, радиоприемник и вооружение. В двухместном ап</w:t>
      </w:r>
      <w:r w:rsidR="009E6F82" w:rsidRPr="00405303">
        <w:rPr>
          <w:bCs/>
          <w:color w:val="002060"/>
          <w:sz w:val="16"/>
          <w:szCs w:val="16"/>
        </w:rPr>
        <w:softHyphen/>
        <w:t>парате типа С наблюдатель и пилот поменялись местами. Теперь наблюдатель, сидящий сзади пилота, был в состоя</w:t>
      </w:r>
      <w:r w:rsidR="009E6F82" w:rsidRPr="00405303">
        <w:rPr>
          <w:bCs/>
          <w:color w:val="002060"/>
          <w:sz w:val="16"/>
          <w:szCs w:val="16"/>
        </w:rPr>
        <w:softHyphen/>
        <w:t>нии применять фотокамеру вертикально и отражать воз</w:t>
      </w:r>
      <w:r w:rsidR="009E6F82" w:rsidRPr="00405303">
        <w:rPr>
          <w:bCs/>
          <w:color w:val="002060"/>
          <w:sz w:val="16"/>
          <w:szCs w:val="16"/>
        </w:rPr>
        <w:softHyphen/>
        <w:t>душного противника при помощи турельного пулемета.</w:t>
      </w:r>
    </w:p>
    <w:p w14:paraId="4CA3EBE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Хотя часть самолетов типа В все еще в начале этого года продолжала специализироваться на артиллерийской раз</w:t>
      </w:r>
      <w:r w:rsidRPr="00405303">
        <w:rPr>
          <w:bCs/>
          <w:color w:val="002060"/>
          <w:sz w:val="16"/>
          <w:szCs w:val="16"/>
        </w:rPr>
        <w:softHyphen/>
        <w:t>ведке и в каждой армии еще оставался в распоряжении от</w:t>
      </w:r>
      <w:r w:rsidRPr="00405303">
        <w:rPr>
          <w:bCs/>
          <w:color w:val="002060"/>
          <w:sz w:val="16"/>
          <w:szCs w:val="16"/>
        </w:rPr>
        <w:softHyphen/>
        <w:t>ряд из 4-х таких машин, руководство воздушных сил неук</w:t>
      </w:r>
      <w:r w:rsidRPr="00405303">
        <w:rPr>
          <w:bCs/>
          <w:color w:val="002060"/>
          <w:sz w:val="16"/>
          <w:szCs w:val="16"/>
        </w:rPr>
        <w:softHyphen/>
        <w:t>лонно вело дело к полной унификации воздушного оружия. Это позволило германскому руководству в противополож</w:t>
      </w:r>
      <w:r w:rsidRPr="00405303">
        <w:rPr>
          <w:bCs/>
          <w:color w:val="002060"/>
          <w:sz w:val="16"/>
          <w:szCs w:val="16"/>
        </w:rPr>
        <w:softHyphen/>
        <w:t>ность к фактическому состоянию, требовавшему в затянув</w:t>
      </w:r>
      <w:r w:rsidRPr="00405303">
        <w:rPr>
          <w:bCs/>
          <w:color w:val="002060"/>
          <w:sz w:val="16"/>
          <w:szCs w:val="16"/>
        </w:rPr>
        <w:softHyphen/>
        <w:t>шейся позиционной войне добиваться еще более тесного взаимодействия между воздушными силами и наземными войсками, перейти к развитию специальных аппаратов и разработке соответствующей тактики, позволяющей при</w:t>
      </w:r>
      <w:r w:rsidRPr="00405303">
        <w:rPr>
          <w:bCs/>
          <w:color w:val="002060"/>
          <w:sz w:val="16"/>
          <w:szCs w:val="16"/>
        </w:rPr>
        <w:softHyphen/>
        <w:t>бегнуть почти исключительно к глубокому бомбардирова-нию незащищенных селений противника. Именно с начала 1915 г. в Германии стали выпускать аэропланы, специально предназначенные для бомбардирования. В этом году было выпущено 185 таких аэропланов.</w:t>
      </w:r>
    </w:p>
    <w:p w14:paraId="479D9E2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С авиабомбами в Германии дело обстояло лучше, чем у союзников. В начале 1915 г. в штаб русского верховного главнокомандования стали поступать сведения о герман</w:t>
      </w:r>
      <w:r w:rsidRPr="00405303">
        <w:rPr>
          <w:bCs/>
          <w:color w:val="002060"/>
          <w:sz w:val="16"/>
          <w:szCs w:val="16"/>
        </w:rPr>
        <w:softHyphen/>
        <w:t>ских авиабомбах, дающих большое количество осколков. Такие бомбы имели в головке длинный наконечник и взры</w:t>
      </w:r>
      <w:r w:rsidRPr="00405303">
        <w:rPr>
          <w:bCs/>
          <w:color w:val="002060"/>
          <w:sz w:val="16"/>
          <w:szCs w:val="16"/>
        </w:rPr>
        <w:softHyphen/>
        <w:t>вались над землей. Осколками, разлетавшимися над самой землей, они буквально косили траву и поражали все жи</w:t>
      </w:r>
      <w:r w:rsidRPr="00405303">
        <w:rPr>
          <w:bCs/>
          <w:color w:val="002060"/>
          <w:sz w:val="16"/>
          <w:szCs w:val="16"/>
        </w:rPr>
        <w:softHyphen/>
        <w:t>вое, встречающееся на пути.</w:t>
      </w:r>
    </w:p>
    <w:p w14:paraId="04CA07C8"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Тогда же командующий ЭВК Шидловский доносил в Ставку: «Наши бомбы, насколько позволил судить опыт последних бомбометаний, имея значительные фугасные свойства, почти не дают осколков... ходатайствую о присыл</w:t>
      </w:r>
      <w:r w:rsidRPr="00405303">
        <w:rPr>
          <w:bCs/>
          <w:color w:val="002060"/>
          <w:sz w:val="16"/>
          <w:szCs w:val="16"/>
        </w:rPr>
        <w:softHyphen/>
        <w:t>ке для опыта бомб с зарядами в 10, 15, 25 пудов тротила в бомбе, не менее двух снарядов каждого типа». Шидловский настаивал на необходимости «снабжения воздушной эскад</w:t>
      </w:r>
      <w:r w:rsidRPr="00405303">
        <w:rPr>
          <w:bCs/>
          <w:color w:val="002060"/>
          <w:sz w:val="16"/>
          <w:szCs w:val="16"/>
        </w:rPr>
        <w:softHyphen/>
        <w:t>ры снарядами, дающими большое количество осколков». Поступали подобные требования и из других авиачастей. В результате в России под давлением фронта ГВТУ присту</w:t>
      </w:r>
      <w:r w:rsidRPr="00405303">
        <w:rPr>
          <w:bCs/>
          <w:color w:val="002060"/>
          <w:sz w:val="16"/>
          <w:szCs w:val="16"/>
        </w:rPr>
        <w:softHyphen/>
        <w:t>пило к срочной разработке специальных авиационных бомб фугасного и осколочного типа.</w:t>
      </w:r>
    </w:p>
    <w:p w14:paraId="5599388E"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Много вопросов было предъявлено в первые месяцы вой</w:t>
      </w:r>
      <w:r w:rsidRPr="00405303">
        <w:rPr>
          <w:bCs/>
          <w:color w:val="002060"/>
          <w:sz w:val="16"/>
          <w:szCs w:val="16"/>
        </w:rPr>
        <w:softHyphen/>
        <w:t>ны и к принципам организации воздушных сил. Наиболее рациональное их построение исследовалось военными в те</w:t>
      </w:r>
      <w:r w:rsidRPr="00405303">
        <w:rPr>
          <w:bCs/>
          <w:color w:val="002060"/>
          <w:sz w:val="16"/>
          <w:szCs w:val="16"/>
        </w:rPr>
        <w:softHyphen/>
        <w:t>чение всего 1915 г. На основе всеобщих тенденций развития этот процесс во всех странах был примерно одинаков.</w:t>
      </w:r>
    </w:p>
    <w:p w14:paraId="721B8290"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связи с установившейся позиционной войной собы</w:t>
      </w:r>
      <w:r w:rsidRPr="00405303">
        <w:rPr>
          <w:bCs/>
          <w:color w:val="002060"/>
          <w:sz w:val="16"/>
          <w:szCs w:val="16"/>
        </w:rPr>
        <w:softHyphen/>
        <w:t>тия на фронтах в 1915 г. имели не такую плотность, как в предыдущие пять месяцев. Частыми были затишья, особен</w:t>
      </w:r>
      <w:r w:rsidRPr="00405303">
        <w:rPr>
          <w:bCs/>
          <w:color w:val="002060"/>
          <w:sz w:val="16"/>
          <w:szCs w:val="16"/>
        </w:rPr>
        <w:softHyphen/>
        <w:t>но на Западноевропейском театре военных действий, имев</w:t>
      </w:r>
      <w:r w:rsidRPr="00405303">
        <w:rPr>
          <w:bCs/>
          <w:color w:val="002060"/>
          <w:sz w:val="16"/>
          <w:szCs w:val="16"/>
        </w:rPr>
        <w:softHyphen/>
        <w:t>шем в этом году второстепенное значение (11060).</w:t>
      </w:r>
    </w:p>
    <w:p w14:paraId="246CCC7E" w14:textId="77777777" w:rsidR="004B4E35" w:rsidRPr="00405303" w:rsidRDefault="004B4E35" w:rsidP="00C15251">
      <w:pPr>
        <w:shd w:val="clear" w:color="auto" w:fill="FFFFFF"/>
        <w:jc w:val="both"/>
        <w:rPr>
          <w:bCs/>
          <w:color w:val="002060"/>
          <w:sz w:val="16"/>
          <w:szCs w:val="16"/>
        </w:rPr>
      </w:pPr>
    </w:p>
    <w:p w14:paraId="7CEDD31D"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1915 г. Юнкерc, а вслед за ним и Фоккер применили на своих опытных монопланах свободнонесущие крылья. Это крыло, ли</w:t>
      </w:r>
      <w:r w:rsidRPr="00405303">
        <w:rPr>
          <w:bCs/>
          <w:color w:val="002060"/>
          <w:sz w:val="16"/>
          <w:szCs w:val="16"/>
        </w:rPr>
        <w:softHyphen/>
        <w:t>шенное всяких стоек и расчалок и выгодное в аэродинамическом отношении, позволяло создать быстроходные самолеты. Немцы, испытывая затруднения с лесоматериалами для самолетов, использовали для свободнонесущих монопланов богатый опыт дирижабле</w:t>
      </w:r>
      <w:r w:rsidRPr="00405303">
        <w:rPr>
          <w:bCs/>
          <w:color w:val="002060"/>
          <w:sz w:val="16"/>
          <w:szCs w:val="16"/>
        </w:rPr>
        <w:softHyphen/>
        <w:t>строения и применяли жесть, а потом алюминиевый сплав. Фоккер применил крылья, обшивка которых была работающей. Однако жесткая обшивка крыла и сварка стальных деталей самолета не были изобретением Фоккера. В 1912 г. на Всероссийском кон</w:t>
      </w:r>
      <w:r w:rsidRPr="00405303">
        <w:rPr>
          <w:bCs/>
          <w:color w:val="002060"/>
          <w:sz w:val="16"/>
          <w:szCs w:val="16"/>
        </w:rPr>
        <w:softHyphen/>
        <w:t>курсе самолетов он подробно ознакомился с самолетом русского изобретателя Стеглау, на котором впервые в мире были приме</w:t>
      </w:r>
      <w:r w:rsidRPr="00405303">
        <w:rPr>
          <w:bCs/>
          <w:color w:val="002060"/>
          <w:sz w:val="16"/>
          <w:szCs w:val="16"/>
        </w:rPr>
        <w:softHyphen/>
        <w:t>нены стальные двутавровые лонжероны, металлические стойки и работающая фанерная обшивка крыла. Отечественные металли</w:t>
      </w:r>
      <w:r w:rsidRPr="00405303">
        <w:rPr>
          <w:bCs/>
          <w:color w:val="002060"/>
          <w:sz w:val="16"/>
          <w:szCs w:val="16"/>
        </w:rPr>
        <w:softHyphen/>
        <w:t>ческие детали самолета Стеглау сваривал при помощи ацетилено-кислородной сварки (9705,108). Одновременно с Фоккером французскому конструктору Бреге также удалось построить самолет со свободнонесущими крыльями, который был почти полностью сделан из алюминиевого сплава. Изобретение свободнонесущих крыльев означало революцию в са</w:t>
      </w:r>
      <w:r w:rsidRPr="00405303">
        <w:rPr>
          <w:bCs/>
          <w:color w:val="002060"/>
          <w:sz w:val="16"/>
          <w:szCs w:val="16"/>
        </w:rPr>
        <w:softHyphen/>
        <w:t>молетостроении. Однако в то время ему не придавали серьезного значения. Когда Фоккер представил военному ведомству такой самолет, приемочная комиссия его забраковала, отказавшись даже испытать (9705,109).</w:t>
      </w:r>
    </w:p>
    <w:p w14:paraId="4AC8FB77" w14:textId="77777777" w:rsidR="004B4E35" w:rsidRPr="00405303" w:rsidRDefault="004B4E35" w:rsidP="00C15251">
      <w:pPr>
        <w:shd w:val="clear" w:color="auto" w:fill="FFFFFF"/>
        <w:jc w:val="both"/>
        <w:rPr>
          <w:bCs/>
          <w:color w:val="002060"/>
          <w:sz w:val="16"/>
          <w:szCs w:val="16"/>
        </w:rPr>
      </w:pPr>
    </w:p>
    <w:p w14:paraId="1B63EEDB" w14:textId="77777777" w:rsidR="004B4E35" w:rsidRPr="00405303" w:rsidRDefault="009E6F82" w:rsidP="00C15251">
      <w:pPr>
        <w:jc w:val="both"/>
        <w:rPr>
          <w:bCs/>
          <w:color w:val="002060"/>
          <w:sz w:val="16"/>
          <w:szCs w:val="16"/>
        </w:rPr>
      </w:pPr>
      <w:r w:rsidRPr="00405303">
        <w:rPr>
          <w:bCs/>
          <w:color w:val="002060"/>
          <w:sz w:val="16"/>
          <w:szCs w:val="16"/>
        </w:rPr>
        <w:t>В 1915 с переходом к позиционной войне задачи авиации изменились. Разведка глубоких тылов противника сменилась ближней разведкой. Взор позиционного наблюдателя не мог проникнуть за первую линию окопов противника, а между тем командованию требовались актуальные и точные сведения о противнике. Здесь пришла на помощь воздушная фоторазведка. Фотоаппарат, почти не использовавшийся в маневренной войне, так как наблюдать за перемещениями противника можно ыло и невооруженным глазом, становился теперь пооянным спутником летчика в разведке. После того как удавалось установить точное расположение неприятельских окопов, летчикам оставалось лишь внимательно следить за его дальнейшими изменениями, чтобы таким образом выяснять намерения противника. Не было больше необходимости держать в памяти все подробности очертаний окопов и, напрягая зрение, различать мель чайшие новообразования в них, тем более что непосред ственное визуальное наблюдение становилось затрудни тельным при той тщательности, с которой противник стремился скрыть свои работы на стационарных позициях. Фотосъемке не препятствовала маскировка противником своих позиций — пластинка запечатлевала все мелочи, которые в силу их многочисленности уходили от внимания летчика. В мирное время лишь немногие предвидели большое значение воздушной фотосъемки.</w:t>
      </w:r>
    </w:p>
    <w:p w14:paraId="63CF0D3D" w14:textId="77777777" w:rsidR="004B4E35" w:rsidRPr="00405303" w:rsidRDefault="009E6F82" w:rsidP="00C15251">
      <w:pPr>
        <w:jc w:val="both"/>
        <w:rPr>
          <w:bCs/>
          <w:color w:val="002060"/>
          <w:sz w:val="16"/>
          <w:szCs w:val="16"/>
        </w:rPr>
      </w:pPr>
      <w:r w:rsidRPr="00405303">
        <w:rPr>
          <w:bCs/>
          <w:color w:val="002060"/>
          <w:sz w:val="16"/>
          <w:szCs w:val="16"/>
        </w:rPr>
        <w:lastRenderedPageBreak/>
        <w:t>Усовершенствованием фотоаппаратов занимались отдельные любители. Но когда открылись непредвиденные возможности применения фотографии, с помощью нашей хорошо развитой оптической промышленности удалось быстро снабдить все отряды в необходимом количестве обычными 25-сантиметровыми камерами, а также удовлетворить спрос на фотоаппараты с длиннофокусными объективами 50 и 70 см.</w:t>
      </w:r>
    </w:p>
    <w:p w14:paraId="193BDA85" w14:textId="77777777" w:rsidR="004B4E35" w:rsidRPr="00405303" w:rsidRDefault="009E6F82" w:rsidP="00C15251">
      <w:pPr>
        <w:jc w:val="both"/>
        <w:rPr>
          <w:bCs/>
          <w:color w:val="002060"/>
          <w:sz w:val="16"/>
          <w:szCs w:val="16"/>
        </w:rPr>
      </w:pPr>
      <w:r w:rsidRPr="00405303">
        <w:rPr>
          <w:bCs/>
          <w:color w:val="002060"/>
          <w:sz w:val="16"/>
          <w:szCs w:val="16"/>
        </w:rPr>
        <w:t>Пришлось, однако, столкнуться с большими трудностями при укомплектовании личного состава летных отрядов специалистами в области фотографии и аэрофотосъемки, поскольку таковых было чрезвычайно мало.</w:t>
      </w:r>
    </w:p>
    <w:p w14:paraId="283ACF60" w14:textId="77777777" w:rsidR="004B4E35" w:rsidRPr="00405303" w:rsidRDefault="009E6F82" w:rsidP="00C15251">
      <w:pPr>
        <w:jc w:val="both"/>
        <w:rPr>
          <w:bCs/>
          <w:color w:val="002060"/>
          <w:sz w:val="16"/>
          <w:szCs w:val="16"/>
        </w:rPr>
      </w:pPr>
      <w:r w:rsidRPr="00405303">
        <w:rPr>
          <w:bCs/>
          <w:color w:val="002060"/>
          <w:sz w:val="16"/>
          <w:szCs w:val="16"/>
        </w:rPr>
        <w:t>Сказалось также неудобство расположения у немецких самолетов сидений для наблюдателей впереди летчиков, так как этим исключалась возможность плановой аэрофотосъемки.</w:t>
      </w:r>
    </w:p>
    <w:p w14:paraId="73324C0C" w14:textId="77777777" w:rsidR="004B4E35" w:rsidRPr="00405303" w:rsidRDefault="009E6F82" w:rsidP="00C15251">
      <w:pPr>
        <w:jc w:val="both"/>
        <w:rPr>
          <w:bCs/>
          <w:color w:val="002060"/>
          <w:sz w:val="16"/>
          <w:szCs w:val="16"/>
        </w:rPr>
      </w:pPr>
      <w:r w:rsidRPr="00405303">
        <w:rPr>
          <w:bCs/>
          <w:color w:val="002060"/>
          <w:sz w:val="16"/>
          <w:szCs w:val="16"/>
        </w:rPr>
        <w:t>Недостаточная четкость и мелкий масштаб фотоснимков умаляли их ценность; перенасыщенность фотографий многими деталями запутывала малоопытных лиц, пытавшихся в них разобраться, и возбуждало у них недоверие к тому, что читал по ним летчик. Перенос добытого аэрофотосъемкой материала на карту требовал много времени, так как снимки предварительно должны были быть дешифрированы. Много ценных разведывательных сведений вследствие этого так и не было использовано войсками.</w:t>
      </w:r>
    </w:p>
    <w:p w14:paraId="6B9C4EB6" w14:textId="77777777" w:rsidR="004B4E35" w:rsidRPr="00405303" w:rsidRDefault="009E6F82" w:rsidP="00C15251">
      <w:pPr>
        <w:jc w:val="both"/>
        <w:rPr>
          <w:bCs/>
          <w:color w:val="002060"/>
          <w:sz w:val="16"/>
          <w:szCs w:val="16"/>
        </w:rPr>
      </w:pPr>
      <w:r w:rsidRPr="00405303">
        <w:rPr>
          <w:bCs/>
          <w:color w:val="002060"/>
          <w:sz w:val="16"/>
          <w:szCs w:val="16"/>
        </w:rPr>
        <w:t>Прошло много времени, пока войска утратили недоверие к аэрофотоснимкам и поняли, что никакой другой род разведки не может им дать столько ценной и исчерпывающей информации.</w:t>
      </w:r>
    </w:p>
    <w:p w14:paraId="66847AC0" w14:textId="77777777" w:rsidR="004B4E35" w:rsidRPr="00405303" w:rsidRDefault="009E6F82" w:rsidP="00C15251">
      <w:pPr>
        <w:jc w:val="both"/>
        <w:rPr>
          <w:bCs/>
          <w:color w:val="002060"/>
          <w:sz w:val="16"/>
          <w:szCs w:val="16"/>
        </w:rPr>
      </w:pPr>
      <w:r w:rsidRPr="00405303">
        <w:rPr>
          <w:bCs/>
          <w:color w:val="002060"/>
          <w:sz w:val="16"/>
          <w:szCs w:val="16"/>
        </w:rPr>
        <w:t xml:space="preserve">Карты изготавливались поначалу </w:t>
      </w:r>
      <w:proofErr w:type="gramStart"/>
      <w:r w:rsidRPr="00405303">
        <w:rPr>
          <w:bCs/>
          <w:color w:val="002060"/>
          <w:sz w:val="16"/>
          <w:szCs w:val="16"/>
        </w:rPr>
        <w:t>в авиационных отрядах</w:t>
      </w:r>
      <w:proofErr w:type="gramEnd"/>
      <w:r w:rsidRPr="00405303">
        <w:rPr>
          <w:bCs/>
          <w:color w:val="002060"/>
          <w:sz w:val="16"/>
          <w:szCs w:val="16"/>
        </w:rPr>
        <w:t xml:space="preserve"> при которых имелись специально обученные этому делу фотограмметристы. Необходимыми для этого нь толабораторными, чертежными и типографскими приборами отрядам приходилось большею частью обзаводиться самим. Этим значительно снижалась мобильность авиаотрядов. Использовать в полной мере результаты аэрофотосъемки, несмотря на большую работу в этом направлении, на фронте не удавалось, поскольку обучению этому делу в мирное время уделялось мало внимания.</w:t>
      </w:r>
    </w:p>
    <w:p w14:paraId="0366017A" w14:textId="77777777" w:rsidR="004B4E35" w:rsidRPr="00405303" w:rsidRDefault="009E6F82" w:rsidP="00C15251">
      <w:pPr>
        <w:jc w:val="both"/>
        <w:rPr>
          <w:bCs/>
          <w:color w:val="002060"/>
          <w:sz w:val="16"/>
          <w:szCs w:val="16"/>
        </w:rPr>
      </w:pPr>
      <w:r w:rsidRPr="00405303">
        <w:rPr>
          <w:bCs/>
          <w:color w:val="002060"/>
          <w:sz w:val="16"/>
          <w:szCs w:val="16"/>
        </w:rPr>
        <w:t>Отсутствие должной подготовки в мирное время сильно сказалось и на связи авиации с артиллерией. При позиционной войне отовсюду, где происходило наступление противника, доносились жалобы нашей пехоты, что как только в небе появлялся самолет противника, вражеская артиллерия начинала меткий обстрел наших окопов, в результате чего мы несли большие потери (11282).</w:t>
      </w:r>
    </w:p>
    <w:p w14:paraId="7B53641B" w14:textId="77777777" w:rsidR="004B4E35" w:rsidRPr="00405303" w:rsidRDefault="004B4E35" w:rsidP="00C15251">
      <w:pPr>
        <w:jc w:val="both"/>
        <w:rPr>
          <w:bCs/>
          <w:color w:val="002060"/>
          <w:sz w:val="16"/>
          <w:szCs w:val="16"/>
        </w:rPr>
      </w:pPr>
    </w:p>
    <w:p w14:paraId="49346841" w14:textId="7F56BDAE" w:rsidR="004B4E35" w:rsidRPr="00405303" w:rsidRDefault="009E7A2E"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1915 году в Германии боевые отряды одноместных истребителей, которые временно были размещены в тылу, пытались участвовать в противовоздушной обороне, однако их работа, вследствие недостатков воздушной сигнальной службы, успеха не имела. Лишь когда истребительные отряды были соединены собственными телефонными линиями с сетью воздушной сигнальной службы, дело сдвинулось с мертвой точки. Ведение ими боя требовало особого обучения; получив сигнал, они должны были готовиться к бою против еще невидимого противника, чаще всего летящего эскадрой. Выявилась необходимость особых мероприятий для организации передачи уже находящимся на боевой высоте эскадрильям дальнейших приказаний, основанных на новых донесениях, а также указания того района (11282).</w:t>
      </w:r>
    </w:p>
    <w:p w14:paraId="7A90569C" w14:textId="77777777" w:rsidR="004B4E35" w:rsidRPr="00405303" w:rsidRDefault="004B4E35" w:rsidP="00C15251">
      <w:pPr>
        <w:jc w:val="both"/>
        <w:rPr>
          <w:bCs/>
          <w:color w:val="002060"/>
          <w:sz w:val="16"/>
          <w:szCs w:val="16"/>
        </w:rPr>
      </w:pPr>
    </w:p>
    <w:p w14:paraId="0E578614" w14:textId="007AB51C" w:rsidR="004B4E35" w:rsidRPr="00405303" w:rsidRDefault="009E7A2E"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w:t>
      </w:r>
      <w:r w:rsidR="009E6F82" w:rsidRPr="00405303">
        <w:rPr>
          <w:bCs/>
          <w:i w:val="0"/>
          <w:color w:val="002060"/>
          <w:spacing w:val="0"/>
          <w:kern w:val="0"/>
          <w:position w:val="0"/>
          <w:sz w:val="16"/>
          <w:szCs w:val="16"/>
        </w:rPr>
        <w:t xml:space="preserve"> 1915 году</w:t>
      </w:r>
      <w:r w:rsidRPr="00405303">
        <w:rPr>
          <w:bCs/>
          <w:i w:val="0"/>
          <w:color w:val="002060"/>
          <w:spacing w:val="0"/>
          <w:kern w:val="0"/>
          <w:position w:val="0"/>
          <w:sz w:val="16"/>
          <w:szCs w:val="16"/>
        </w:rPr>
        <w:t xml:space="preserve"> в Германии заговорили о строительстве тяжелых бомбардировщиков</w:t>
      </w:r>
      <w:r w:rsidR="009E6F82" w:rsidRPr="00405303">
        <w:rPr>
          <w:bCs/>
          <w:i w:val="0"/>
          <w:color w:val="002060"/>
          <w:spacing w:val="0"/>
          <w:kern w:val="0"/>
          <w:position w:val="0"/>
          <w:sz w:val="16"/>
          <w:szCs w:val="16"/>
        </w:rPr>
        <w:t>, но зато очень быстро перешли от разговоров к делам. "Русский Витязь" стал первым в мире фронтовым тяжелым бомбардировщиком, но, к сожалению, с российской стороны остался единственным. До конца войны лишь РБВЗ выпускал в России самолеты этого типа. Сравнительно рано появились тяжелые бомбардировщики у итальянцев. Здесь лидировала фирма "Капрони". Английские и французские бомбардировщики появились намного позже. Идея трансконтинентального самолета появилась в Европе в 1912 году под впечатлением от "Гранда" Сикорского. Над созданием такого самолета работали многие инженеры, летчики, предприниматели, поскольку дело было неохватным и ресурсоемким. В 1913 году английская ежедневная газета "Дейли Мейл" назначила премию в гигантскую по тем временам сумму 10000 фунтов стерлингов тому пилоту, кто первым перелетит через Атлантику на самолете. Премия досталась американскому конструктору Гленну Кертиссу, пересекшему океан на летающей лодке "Америка". Летом 1913 года немецкий летчик Гельмут Хирт предложил директору фирмы "Бош Верке" Густаву Кляйну создать шестимоторную летающую лодку. Кляйн и Хирт решили создать гигантский самолет, способный перелететь из Европы в Сан-Франциско. Предполагалось создать такую машину в 1915 году. В преддверии войны проектом заинтересовался граф Фердинанд фон Цеппелин - известный создатель дирижаблей. Но по предложению Цеппелина большой самолет следовало использовать для доставки бомбы большого калибра, например, к базе английского флота, и так уничтожить "главную угрозу Германии". Совместно фирмы "Бош" и "Цеппелин Верке Штаакен ГмбХ" (Берлин) приступили в 1914 году к созданию гигантского бомбардировщика серии "R". Зимой 1914/15 года появились так называемые предписания по строительству и эксплуатации бомбардировщиков (Bau und Liefervorschriften fuer Heeresflugzeuge - BLV). Предписания были достаточно подробными. Они касались конструкции планера, двигателей, оснащения, вооружения, экипажа, аппаратуры (в том числе радио), условий эксплуатации и пр. Например, в составе экипажа должны были присутствовать механики-мотористы, оговаривались обязанности механиков, способ их связи с командиром экипажа и даже перечислялись инструменты, которые следовало взять на борт самолета. Предписания касались всех немецких фирм, выпускавших бомбардировщики серий "G" и "R". Подписал документ майор Томсен - командующий армейской авиацией (Feldflugchef) и адмирал Дик - начальник конструкторского департамента ВМФ. К строительству самолетов серии "R" (Reisenflugzeuge) приступили и другие немецкие авиационные заводы, имевшие опыт в постройке крупных самолетов "СШВ", "АЕГ", "ДФВ", "Авиатик", "Шутте-Лянц" и "Дорнье". Быстро выделились две линии в конструировании тяжелых бомбардировщиков. Одни конструкторы предпочитали использовать для самолетов дерево, другие - металл. К числу сторонников металла принадлежал и граф фон Цеппелин. Другой крупной немецкой фирмой, участвовавшей в строительстве самолетов серии "R", была "Сименс Шуккерт Верке" ("СШВ"). Там главными конструкторами были братья Бруно и Франц Штеффен. Уже в октябре 1914 года они закончили первый тяжелый бомбардировщик. Кроме братьев Штеффен на фирме "СШВ" работал Виллихед Форссман, шведский инженер, который в 1910-1912 году конструировал в России военные дирижабли. Форссман был разносторонним конструктором. Он проектировал одноместные подводные лодки, танки с противоснарядной броней, сотрудничал с Ганнесманном при строительстве последнего трансатлантического гиганта. В России Форссман сотрудничает с Сикорским и участвовал в строительстве самолета "Гранд". На фирме "СШВ" Форссман самостоятельно развивал свою линию самолетов "R". Шведский инженер пользовался идеями Сикорского, проектируя самолеты, похожие на "Гранд" - бипланы с рядом двигателей на нижнем крыле. Форссману удалось построить два таких самолета, но они оказались неудачными и дальнейшие работы над линией свернули. Третьей фирмой, строившей тяжелые бомбардировщики, стала "ДФВ" из Лиденталя (район Лейпцига) Здесь главными инженерами были Герман Дорнье и Генрих Элерих (11262).</w:t>
      </w:r>
    </w:p>
    <w:p w14:paraId="4EBF53DA" w14:textId="77777777" w:rsidR="004B4E35" w:rsidRPr="00405303" w:rsidRDefault="004B4E35" w:rsidP="00C15251">
      <w:pPr>
        <w:pStyle w:val="a3"/>
        <w:jc w:val="both"/>
        <w:rPr>
          <w:bCs/>
          <w:i w:val="0"/>
          <w:color w:val="002060"/>
          <w:spacing w:val="0"/>
          <w:kern w:val="0"/>
          <w:position w:val="0"/>
          <w:sz w:val="16"/>
          <w:szCs w:val="16"/>
        </w:rPr>
      </w:pPr>
    </w:p>
    <w:p w14:paraId="1D00C0F1" w14:textId="38EBA4AD" w:rsidR="004B4E35" w:rsidRPr="00405303" w:rsidRDefault="009E7A2E"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1915 году </w:t>
      </w:r>
      <w:r w:rsidRPr="00405303">
        <w:rPr>
          <w:bCs/>
          <w:color w:val="002060"/>
          <w:sz w:val="16"/>
          <w:szCs w:val="16"/>
        </w:rPr>
        <w:t xml:space="preserve">в связи с развитием ночных босбардировок </w:t>
      </w:r>
      <w:r w:rsidR="009E6F82" w:rsidRPr="00405303">
        <w:rPr>
          <w:bCs/>
          <w:color w:val="002060"/>
          <w:sz w:val="16"/>
          <w:szCs w:val="16"/>
        </w:rPr>
        <w:t>большое значение приобрели прожекторы. В конце года, по предложениюначальника полевого воздушного флота, были проведены исследования возможности использования наших дирижаблей для ночных полетов. В результате выяснилось, что прожекторы позволяют определить направление движения и отдаление дирижабля, летящего на высоте 2500—3000 м; обнаружилось также, что при благоприятном лунном освещении можно и без помощи прожекторов определить направление полета дирижабля, но не представляется возможным установить его отдаление. Таким образом, необходимость прожекторов для воздушной обороны была доказана. Потребовались более детальные исследования с целью усовершенствования прожекторов; при этом много пользы принесли наблюдения экипажей наших дирижаблей при налетах на Париж и Лондон (11282).</w:t>
      </w:r>
    </w:p>
    <w:p w14:paraId="40F6A2DC" w14:textId="77777777" w:rsidR="004B4E35" w:rsidRPr="00405303" w:rsidRDefault="004B4E35" w:rsidP="00C15251">
      <w:pPr>
        <w:jc w:val="both"/>
        <w:rPr>
          <w:bCs/>
          <w:color w:val="002060"/>
          <w:sz w:val="16"/>
          <w:szCs w:val="16"/>
        </w:rPr>
      </w:pPr>
    </w:p>
    <w:p w14:paraId="50D2AC6F" w14:textId="77777777" w:rsidR="004B4E35" w:rsidRPr="00405303" w:rsidRDefault="009E6F82" w:rsidP="00C15251">
      <w:pPr>
        <w:jc w:val="both"/>
        <w:rPr>
          <w:bCs/>
          <w:color w:val="002060"/>
          <w:sz w:val="16"/>
          <w:szCs w:val="16"/>
        </w:rPr>
      </w:pPr>
      <w:r w:rsidRPr="00405303">
        <w:rPr>
          <w:bCs/>
          <w:color w:val="002060"/>
          <w:sz w:val="16"/>
          <w:szCs w:val="16"/>
        </w:rPr>
        <w:t xml:space="preserve">В 1915 году в Германии началась постройка самолетов-гигантов </w:t>
      </w:r>
      <w:r w:rsidRPr="00405303">
        <w:rPr>
          <w:rFonts w:eastAsia="Times-Roman"/>
          <w:bCs/>
          <w:color w:val="002060"/>
          <w:sz w:val="16"/>
          <w:szCs w:val="16"/>
        </w:rPr>
        <w:t>ｫ</w:t>
      </w:r>
      <w:r w:rsidRPr="00405303">
        <w:rPr>
          <w:bCs/>
          <w:color w:val="002060"/>
          <w:sz w:val="16"/>
          <w:szCs w:val="16"/>
        </w:rPr>
        <w:t>R</w:t>
      </w:r>
      <w:r w:rsidRPr="00405303">
        <w:rPr>
          <w:rFonts w:eastAsia="Times-Roman"/>
          <w:bCs/>
          <w:color w:val="002060"/>
          <w:sz w:val="16"/>
          <w:szCs w:val="16"/>
        </w:rPr>
        <w:t>ｻ</w:t>
      </w:r>
      <w:r w:rsidRPr="00405303">
        <w:rPr>
          <w:bCs/>
          <w:color w:val="002060"/>
          <w:sz w:val="16"/>
          <w:szCs w:val="16"/>
        </w:rPr>
        <w:t xml:space="preserve">, т.е. самолетов с 2-мя и более моторами. После трудных и полных неудач испытаний они наконец в сентябре 1916 года смогли приступить к боевым действиям вначале на востоке. Накошенный здесь опыт был использован при постройке следующей партии самолетов-гигантов </w:t>
      </w:r>
      <w:r w:rsidRPr="00405303">
        <w:rPr>
          <w:rFonts w:eastAsia="Times-Roman"/>
          <w:bCs/>
          <w:color w:val="002060"/>
          <w:sz w:val="16"/>
          <w:szCs w:val="16"/>
        </w:rPr>
        <w:t>ｫ</w:t>
      </w:r>
      <w:r w:rsidRPr="00405303">
        <w:rPr>
          <w:bCs/>
          <w:color w:val="002060"/>
          <w:sz w:val="16"/>
          <w:szCs w:val="16"/>
        </w:rPr>
        <w:t>R</w:t>
      </w:r>
      <w:r w:rsidRPr="00405303">
        <w:rPr>
          <w:rFonts w:eastAsia="Times-Roman"/>
          <w:bCs/>
          <w:color w:val="002060"/>
          <w:sz w:val="16"/>
          <w:szCs w:val="16"/>
        </w:rPr>
        <w:t>ｻ</w:t>
      </w:r>
      <w:r w:rsidRPr="00405303">
        <w:rPr>
          <w:bCs/>
          <w:color w:val="002060"/>
          <w:sz w:val="16"/>
          <w:szCs w:val="16"/>
        </w:rPr>
        <w:t>. Правильно применяемые вследствие большего радиуса действия и большей бомбовой нагрузки (1000—2000 кг), они стали ценным средством усиления боевой мощи на западе. Перенесение налетов на ночь позволило многократно совершать полеты одному самолету за одну ночь и с болышим грузом бомб (11282).</w:t>
      </w:r>
    </w:p>
    <w:p w14:paraId="3D2E0859" w14:textId="77777777" w:rsidR="004B4E35" w:rsidRPr="00405303" w:rsidRDefault="004B4E35" w:rsidP="00C15251">
      <w:pPr>
        <w:jc w:val="both"/>
        <w:rPr>
          <w:bCs/>
          <w:color w:val="002060"/>
          <w:sz w:val="16"/>
          <w:szCs w:val="16"/>
        </w:rPr>
      </w:pPr>
    </w:p>
    <w:p w14:paraId="2A0318FF" w14:textId="77777777" w:rsidR="004B4E35" w:rsidRPr="00405303" w:rsidRDefault="009E6F82" w:rsidP="00C15251">
      <w:pPr>
        <w:jc w:val="both"/>
        <w:rPr>
          <w:bCs/>
          <w:color w:val="002060"/>
          <w:sz w:val="16"/>
          <w:szCs w:val="16"/>
        </w:rPr>
      </w:pPr>
      <w:r w:rsidRPr="00405303">
        <w:rPr>
          <w:bCs/>
          <w:color w:val="002060"/>
          <w:sz w:val="16"/>
          <w:szCs w:val="16"/>
        </w:rPr>
        <w:lastRenderedPageBreak/>
        <w:t>В 1915 году германская ЗА сбила 51 самолети 1 дирижабль; в 1916 году 392 самолета и 1 дирижабль; в 1917 году 467 самолетов; в 1918 году 748 самолетов — всего 1588 самолетов и 2 дирижабля, в том числе 51 самолет был уничтожен при поддержке прожекторных установок (11282).</w:t>
      </w:r>
    </w:p>
    <w:p w14:paraId="53E2C03C" w14:textId="77777777" w:rsidR="004B4E35" w:rsidRPr="00405303" w:rsidRDefault="004B4E35" w:rsidP="00C15251">
      <w:pPr>
        <w:jc w:val="both"/>
        <w:rPr>
          <w:bCs/>
          <w:color w:val="002060"/>
          <w:sz w:val="16"/>
          <w:szCs w:val="16"/>
        </w:rPr>
      </w:pPr>
    </w:p>
    <w:p w14:paraId="3CF59038" w14:textId="77777777" w:rsidR="004B4E35" w:rsidRPr="00405303" w:rsidRDefault="009E6F82" w:rsidP="00C15251">
      <w:pPr>
        <w:jc w:val="both"/>
        <w:rPr>
          <w:bCs/>
          <w:color w:val="002060"/>
          <w:sz w:val="16"/>
          <w:szCs w:val="16"/>
        </w:rPr>
      </w:pPr>
      <w:r w:rsidRPr="00405303">
        <w:rPr>
          <w:bCs/>
          <w:color w:val="002060"/>
          <w:sz w:val="16"/>
          <w:szCs w:val="16"/>
        </w:rPr>
        <w:t>В 1915 году при германской 5-й армии в Стене была создана испытательная команда; из нее к концу 1916 года развились испытательные и учебные отделения зенитных орудий, которые были затем перенесены в Остенде. В их задачи входило рассматривать вновь предложенные конструкции, производить исследования с целью совершенствования противовоздушной обороны, а также готовить преподавателей для школы дальномерщиков и школы стрельбы зенитной артиллерии (11282).</w:t>
      </w:r>
    </w:p>
    <w:p w14:paraId="33AA86B1" w14:textId="77777777" w:rsidR="004B4E35" w:rsidRPr="00405303" w:rsidRDefault="004B4E35" w:rsidP="00C15251">
      <w:pPr>
        <w:jc w:val="both"/>
        <w:rPr>
          <w:bCs/>
          <w:color w:val="002060"/>
          <w:sz w:val="16"/>
          <w:szCs w:val="16"/>
        </w:rPr>
      </w:pPr>
    </w:p>
    <w:p w14:paraId="2FFDFFAE" w14:textId="77777777" w:rsidR="004B4E35" w:rsidRPr="00405303" w:rsidRDefault="009E6F82" w:rsidP="00C15251">
      <w:pPr>
        <w:jc w:val="both"/>
        <w:rPr>
          <w:bCs/>
          <w:color w:val="002060"/>
          <w:sz w:val="16"/>
          <w:szCs w:val="16"/>
        </w:rPr>
      </w:pPr>
      <w:r w:rsidRPr="00405303">
        <w:rPr>
          <w:bCs/>
          <w:color w:val="002060"/>
          <w:sz w:val="16"/>
          <w:szCs w:val="16"/>
        </w:rPr>
        <w:t>В 1915 году в Германии был сконструирован прибор для звукового обнаружения целей, который указывал местоположение самолета, если дистанции не превышали нормального предела слышимости, но еще не мог работать на предельных дистанциях огня зенитной артиллерии (11282).</w:t>
      </w:r>
    </w:p>
    <w:p w14:paraId="3E4685B6" w14:textId="77777777" w:rsidR="004B4E35" w:rsidRPr="00405303" w:rsidRDefault="004B4E35" w:rsidP="00C15251">
      <w:pPr>
        <w:jc w:val="both"/>
        <w:rPr>
          <w:bCs/>
          <w:color w:val="002060"/>
          <w:sz w:val="16"/>
          <w:szCs w:val="16"/>
        </w:rPr>
      </w:pPr>
    </w:p>
    <w:p w14:paraId="3284663E" w14:textId="701E65BE" w:rsidR="004B4E35" w:rsidRPr="00405303" w:rsidRDefault="009E7A2E"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1915 году военный опыт Германии сверх того показал, что дирижабли, даже на восточном фронте, из-за усилившейся противовоздушной обороны могут летать только в безлунные ночи. Таких полетных ночей было лишь около 14-ти в месяц (11282).</w:t>
      </w:r>
    </w:p>
    <w:p w14:paraId="1C532B2C" w14:textId="77777777" w:rsidR="004B4E35" w:rsidRPr="00405303" w:rsidRDefault="004B4E35" w:rsidP="00C15251">
      <w:pPr>
        <w:jc w:val="both"/>
        <w:rPr>
          <w:bCs/>
          <w:color w:val="002060"/>
          <w:sz w:val="16"/>
          <w:szCs w:val="16"/>
        </w:rPr>
      </w:pPr>
    </w:p>
    <w:p w14:paraId="3DABF7DF" w14:textId="77777777" w:rsidR="004B4E35" w:rsidRPr="00405303" w:rsidRDefault="009E6F82" w:rsidP="00C15251">
      <w:pPr>
        <w:jc w:val="both"/>
        <w:rPr>
          <w:bCs/>
          <w:color w:val="002060"/>
          <w:sz w:val="16"/>
          <w:szCs w:val="16"/>
        </w:rPr>
      </w:pPr>
      <w:r w:rsidRPr="00405303">
        <w:rPr>
          <w:bCs/>
          <w:color w:val="002060"/>
          <w:sz w:val="16"/>
          <w:szCs w:val="16"/>
        </w:rPr>
        <w:t>В 1915 году была построена база дирижаблей в венгерском городе Темишваре, оттуда летали корабли с курьерскими заданиями и с дипломатами в Софию. В то время царская Болгария выступала союзницей Германии. В конце года в болгарском городе Ямболи началось строительство базы для цеппелинов, которые должны были взаимодействовать с германскими подводными лодками, атакующими русский флот на Черном море (11324).</w:t>
      </w:r>
    </w:p>
    <w:p w14:paraId="09510B65" w14:textId="77777777" w:rsidR="004B4E35" w:rsidRPr="00405303" w:rsidRDefault="004B4E35" w:rsidP="00C15251">
      <w:pPr>
        <w:jc w:val="both"/>
        <w:rPr>
          <w:bCs/>
          <w:i/>
          <w:color w:val="002060"/>
          <w:sz w:val="16"/>
          <w:szCs w:val="16"/>
        </w:rPr>
      </w:pPr>
    </w:p>
    <w:p w14:paraId="052ECBF4" w14:textId="158DA023" w:rsidR="004B4E35" w:rsidRPr="00405303" w:rsidRDefault="009E7A2E"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1915 году </w:t>
      </w:r>
      <w:r w:rsidRPr="00405303">
        <w:rPr>
          <w:bCs/>
          <w:color w:val="002060"/>
          <w:sz w:val="16"/>
          <w:szCs w:val="16"/>
        </w:rPr>
        <w:t xml:space="preserve">во время налетов на Англию </w:t>
      </w:r>
      <w:r w:rsidR="009E6F82" w:rsidRPr="00405303">
        <w:rPr>
          <w:bCs/>
          <w:color w:val="002060"/>
          <w:sz w:val="16"/>
          <w:szCs w:val="16"/>
        </w:rPr>
        <w:t>армейские дирижабли сбросили большое количество бомб. Тем самым они нанесли серьезный ущерб экономике англичан и приковали к метрополии большие средства ПВО, ослабив фронт во Фландрии и Франции. Заметное сокращение числа вылетов на боевые задания на Западном фронте объяснялось увеличившимся числом потерь дирижаблей и тем фактом, что из-за частых налетов авиации Антанты стало невозможно пользоваться базами, расположенными в Бельгии. Пришлось использовать эллинги на Рейне, что привело к увеличению расстояния до целей. При такой большой дальности полета быстроменяющиеся метеорологические условия играли большую роль: полеты, которые с бельгийских баз были вполне выполнимы, не могли совершаться с удаленных рейнских баз или же прерывались на середине пути. Для дирижаблей с объемом 35 000 куб. м такие дальние цели, как Булонь, Руан, Абвиль были досягаемы лишь при особо благоприятных погодных условиях (11324).</w:t>
      </w:r>
    </w:p>
    <w:p w14:paraId="6F531433" w14:textId="77777777" w:rsidR="004B4E35" w:rsidRPr="00405303" w:rsidRDefault="004B4E35" w:rsidP="00C15251">
      <w:pPr>
        <w:jc w:val="both"/>
        <w:rPr>
          <w:bCs/>
          <w:i/>
          <w:color w:val="002060"/>
          <w:sz w:val="16"/>
          <w:szCs w:val="16"/>
        </w:rPr>
      </w:pPr>
    </w:p>
    <w:p w14:paraId="613ACA15" w14:textId="77777777" w:rsidR="004B4E35" w:rsidRPr="00405303" w:rsidRDefault="009E6F82" w:rsidP="00C15251">
      <w:pPr>
        <w:jc w:val="both"/>
        <w:rPr>
          <w:bCs/>
          <w:color w:val="002060"/>
          <w:sz w:val="16"/>
          <w:szCs w:val="16"/>
        </w:rPr>
      </w:pPr>
      <w:r w:rsidRPr="00405303">
        <w:rPr>
          <w:bCs/>
          <w:color w:val="002060"/>
          <w:sz w:val="16"/>
          <w:szCs w:val="16"/>
        </w:rPr>
        <w:t>За весь 1915 год 37 немецких дирижаблей произвели 20 налетов на Британию и Лондон, при этом было сброшено 37 тонн бомб. Результат — 208 убитых, около 430 раненых (11324).</w:t>
      </w:r>
    </w:p>
    <w:p w14:paraId="276774A7" w14:textId="77777777" w:rsidR="004B4E35" w:rsidRPr="00405303" w:rsidRDefault="004B4E35" w:rsidP="00C15251">
      <w:pPr>
        <w:jc w:val="both"/>
        <w:rPr>
          <w:bCs/>
          <w:i/>
          <w:color w:val="002060"/>
          <w:sz w:val="16"/>
          <w:szCs w:val="16"/>
        </w:rPr>
      </w:pPr>
    </w:p>
    <w:p w14:paraId="46F2E928" w14:textId="77777777" w:rsidR="004B4E35" w:rsidRPr="00405303" w:rsidRDefault="009E6F82" w:rsidP="00C15251">
      <w:pPr>
        <w:jc w:val="both"/>
        <w:rPr>
          <w:bCs/>
          <w:color w:val="002060"/>
          <w:sz w:val="16"/>
          <w:szCs w:val="16"/>
        </w:rPr>
      </w:pPr>
      <w:r w:rsidRPr="00405303">
        <w:rPr>
          <w:bCs/>
          <w:color w:val="002060"/>
          <w:sz w:val="16"/>
          <w:szCs w:val="16"/>
        </w:rPr>
        <w:t>В 1915 году групповые налеты германских дирижаблей стали постоянным явлением. В 1916 году их активность заметно возросла. За год было совершено 22 атаки, казалось, всего лишь на две больше, чем в 1915 году, но зато германские дирижабли сбросили 125 тонн бомб, почти в 3,5 раза больше по сравнению с предыдущим годом. Групповые налеты случались все чаще и чаще, цеппелины в конце концов «добрались» и до Шотландии (11234).</w:t>
      </w:r>
    </w:p>
    <w:p w14:paraId="6FE7901A" w14:textId="77777777" w:rsidR="004B4E35" w:rsidRPr="00405303" w:rsidRDefault="004B4E35" w:rsidP="00C15251">
      <w:pPr>
        <w:jc w:val="both"/>
        <w:rPr>
          <w:bCs/>
          <w:color w:val="002060"/>
          <w:sz w:val="16"/>
          <w:szCs w:val="16"/>
        </w:rPr>
      </w:pPr>
    </w:p>
    <w:p w14:paraId="219016DB"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Франции:</w:t>
      </w:r>
    </w:p>
    <w:p w14:paraId="2FC98821" w14:textId="77777777" w:rsidR="004B4E35" w:rsidRPr="00405303" w:rsidRDefault="004B4E35" w:rsidP="00C15251">
      <w:pPr>
        <w:jc w:val="both"/>
        <w:rPr>
          <w:bCs/>
          <w:i/>
          <w:color w:val="002060"/>
          <w:sz w:val="16"/>
          <w:szCs w:val="16"/>
        </w:rPr>
      </w:pPr>
    </w:p>
    <w:p w14:paraId="61783925" w14:textId="77777777" w:rsidR="004B4E35" w:rsidRPr="00405303" w:rsidRDefault="009E6F82" w:rsidP="00C15251">
      <w:pPr>
        <w:pStyle w:val="a3"/>
        <w:jc w:val="both"/>
        <w:rPr>
          <w:bCs/>
          <w:i w:val="0"/>
          <w:color w:val="002060"/>
          <w:spacing w:val="0"/>
          <w:kern w:val="0"/>
          <w:position w:val="0"/>
          <w:sz w:val="16"/>
          <w:szCs w:val="16"/>
        </w:rPr>
      </w:pPr>
      <w:r w:rsidRPr="00405303">
        <w:rPr>
          <w:bCs/>
          <w:i w:val="0"/>
          <w:color w:val="002060"/>
          <w:spacing w:val="0"/>
          <w:kern w:val="0"/>
          <w:position w:val="0"/>
          <w:sz w:val="16"/>
          <w:szCs w:val="16"/>
        </w:rPr>
        <w:t>В 1915 году во Франции был создан новый вариант “Мораиа" L, оснащенный элеронами и обозначенный как тип LA. Через год к нему добавили более аэродинамичный фюзеляж типа "монокок", и самолет получил обозначение тип Р. Новых самолетов во Франции выпустили 565. В Англии было построено 24 машины этого типа, которые наряду с самолетами французской постройки состояли на вооружении эскадрилий № 1, 3, 7, 12 и 60, воевавших на Западном фронте. Несколько аппаратов попало в Россию. У нас их назвали "моран-четвертый" или сокращенно "Морчет" (11265).</w:t>
      </w:r>
    </w:p>
    <w:p w14:paraId="5C353481" w14:textId="77777777" w:rsidR="004B4E35" w:rsidRPr="00405303" w:rsidRDefault="004B4E35" w:rsidP="00C15251">
      <w:pPr>
        <w:pStyle w:val="a3"/>
        <w:jc w:val="both"/>
        <w:rPr>
          <w:bCs/>
          <w:i w:val="0"/>
          <w:color w:val="002060"/>
          <w:spacing w:val="0"/>
          <w:kern w:val="0"/>
          <w:position w:val="0"/>
          <w:sz w:val="16"/>
          <w:szCs w:val="16"/>
        </w:rPr>
      </w:pPr>
    </w:p>
    <w:p w14:paraId="002C2091" w14:textId="77777777" w:rsidR="004B4E35" w:rsidRPr="00405303" w:rsidRDefault="009E6F82" w:rsidP="00C15251">
      <w:pPr>
        <w:jc w:val="both"/>
        <w:rPr>
          <w:bCs/>
          <w:i/>
          <w:color w:val="002060"/>
          <w:sz w:val="16"/>
          <w:szCs w:val="16"/>
        </w:rPr>
      </w:pPr>
      <w:r w:rsidRPr="00405303">
        <w:rPr>
          <w:bCs/>
          <w:i/>
          <w:color w:val="002060"/>
          <w:sz w:val="16"/>
          <w:szCs w:val="16"/>
        </w:rPr>
        <w:t>Авиация и воздухоплавание Англии</w:t>
      </w:r>
    </w:p>
    <w:p w14:paraId="37EA1D23" w14:textId="77777777" w:rsidR="004B4E35" w:rsidRPr="00405303" w:rsidRDefault="004B4E35" w:rsidP="00C15251">
      <w:pPr>
        <w:jc w:val="both"/>
        <w:rPr>
          <w:bCs/>
          <w:i/>
          <w:color w:val="002060"/>
          <w:sz w:val="16"/>
          <w:szCs w:val="16"/>
        </w:rPr>
      </w:pPr>
    </w:p>
    <w:p w14:paraId="2B6CA5FA" w14:textId="77777777" w:rsidR="004B4E35" w:rsidRPr="00405303" w:rsidRDefault="009E6F82" w:rsidP="00C15251">
      <w:pPr>
        <w:jc w:val="both"/>
        <w:rPr>
          <w:bCs/>
          <w:color w:val="002060"/>
          <w:sz w:val="16"/>
          <w:szCs w:val="16"/>
        </w:rPr>
      </w:pPr>
      <w:r w:rsidRPr="00405303">
        <w:rPr>
          <w:bCs/>
          <w:color w:val="002060"/>
          <w:sz w:val="16"/>
          <w:szCs w:val="16"/>
        </w:rPr>
        <w:t xml:space="preserve">В течение 1915 года, а в особенности в 1916 году, Англия приложила громадные усилия к укреплению своего </w:t>
      </w:r>
      <w:r w:rsidRPr="00405303">
        <w:rPr>
          <w:rFonts w:eastAsia="Times-Roman"/>
          <w:bCs/>
          <w:color w:val="002060"/>
          <w:sz w:val="16"/>
          <w:szCs w:val="16"/>
        </w:rPr>
        <w:t>ｫ</w:t>
      </w:r>
      <w:r w:rsidRPr="00405303">
        <w:rPr>
          <w:bCs/>
          <w:color w:val="002060"/>
          <w:sz w:val="16"/>
          <w:szCs w:val="16"/>
        </w:rPr>
        <w:t>Royal Flying Corps</w:t>
      </w:r>
      <w:r w:rsidRPr="00405303">
        <w:rPr>
          <w:rFonts w:eastAsia="Times-Roman"/>
          <w:bCs/>
          <w:color w:val="002060"/>
          <w:sz w:val="16"/>
          <w:szCs w:val="16"/>
        </w:rPr>
        <w:t>ｻ</w:t>
      </w:r>
      <w:r w:rsidRPr="00405303">
        <w:rPr>
          <w:bCs/>
          <w:color w:val="002060"/>
          <w:sz w:val="16"/>
          <w:szCs w:val="16"/>
        </w:rPr>
        <w:t xml:space="preserve"> — RFC. Англия прежде Германии разобралась в достоинствах и недостатках воздушного боя, чем и руководствовалась в наращивании своей авиационной мощи, и энергией натиска ее авиация значительно превосходила французскую. Поэтому немцы сочли нужным после сражения на Сомме большую часть наших истребительных эскадрилий противопоставить английским отрядам (11282).</w:t>
      </w:r>
    </w:p>
    <w:p w14:paraId="02283D05" w14:textId="77777777" w:rsidR="004B4E35" w:rsidRPr="00405303" w:rsidRDefault="004B4E35" w:rsidP="00C15251">
      <w:pPr>
        <w:jc w:val="both"/>
        <w:rPr>
          <w:bCs/>
          <w:color w:val="002060"/>
          <w:sz w:val="16"/>
          <w:szCs w:val="16"/>
        </w:rPr>
      </w:pPr>
    </w:p>
    <w:p w14:paraId="5CB98A15"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1915 Английский летчик Г. Хаукер впервые преднамеренно ввел само</w:t>
      </w:r>
      <w:r w:rsidRPr="00405303">
        <w:rPr>
          <w:bCs/>
          <w:color w:val="002060"/>
          <w:sz w:val="16"/>
          <w:szCs w:val="16"/>
        </w:rPr>
        <w:softHyphen/>
        <w:t>лет в штопор и вывел из него свой «Сопвич» (1137).</w:t>
      </w:r>
    </w:p>
    <w:p w14:paraId="54F33A58" w14:textId="77777777" w:rsidR="004B4E35" w:rsidRPr="00405303" w:rsidRDefault="004B4E35" w:rsidP="00C15251">
      <w:pPr>
        <w:shd w:val="clear" w:color="auto" w:fill="FFFFFF"/>
        <w:jc w:val="both"/>
        <w:rPr>
          <w:bCs/>
          <w:color w:val="002060"/>
          <w:sz w:val="16"/>
          <w:szCs w:val="16"/>
        </w:rPr>
      </w:pPr>
    </w:p>
    <w:p w14:paraId="5FBB3817" w14:textId="612D506B" w:rsidR="004B4E35" w:rsidRPr="00405303" w:rsidRDefault="009E7A2E"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1915 была осуществлена целая программа развития жестких дирижаблей, на которую потратили много сил и средств и от которой ждали многого. Ход воздушной войны показал, что британцы в состоянии делать хорошие самолеты, но на создание дирижаблей жесткого типа у них не хватает ни времени, ни опыта. </w:t>
      </w:r>
    </w:p>
    <w:p w14:paraId="2C63A2B3" w14:textId="77777777" w:rsidR="004B4E35" w:rsidRPr="00405303" w:rsidRDefault="009E6F82" w:rsidP="00C15251">
      <w:pPr>
        <w:jc w:val="both"/>
        <w:rPr>
          <w:bCs/>
          <w:color w:val="002060"/>
          <w:sz w:val="16"/>
          <w:szCs w:val="16"/>
        </w:rPr>
      </w:pPr>
      <w:r w:rsidRPr="00405303">
        <w:rPr>
          <w:bCs/>
          <w:color w:val="002060"/>
          <w:sz w:val="16"/>
          <w:szCs w:val="16"/>
        </w:rPr>
        <w:t xml:space="preserve">Проектирование и строительство жестких дирижаблей являлось, несомненно, нелегкой задачей. Для ее решения была необходима разветвленная система научных, исследовательских и испытательных лабораторий и станций и самое главное — приобретение практического опыта. Британцы хотели быстро добиться результата, но за очень короткое время не смогли создать такую инфраструктуру. Единственным выходом стало копирование немецких цеппелинов, естественно тех, которые считались самыми современными. Но иногда случалось и так, что многие новаторские решения успевали морально устареть, пока шел длительный процесс проектирования. [280] </w:t>
      </w:r>
    </w:p>
    <w:p w14:paraId="0565666D" w14:textId="77777777" w:rsidR="004B4E35" w:rsidRPr="00405303" w:rsidRDefault="009E6F82" w:rsidP="00C15251">
      <w:pPr>
        <w:jc w:val="both"/>
        <w:rPr>
          <w:bCs/>
          <w:color w:val="002060"/>
          <w:sz w:val="16"/>
          <w:szCs w:val="16"/>
        </w:rPr>
      </w:pPr>
      <w:r w:rsidRPr="00405303">
        <w:rPr>
          <w:bCs/>
          <w:color w:val="002060"/>
          <w:sz w:val="16"/>
          <w:szCs w:val="16"/>
        </w:rPr>
        <w:t>В полной мере эти слова относятся и к дирижаблю R.9, созданному под сильным влияние довоенных цеппелинов. Разработка R.9 продолжалась очень долго, и конструкторы значительно увеличили его размеры, чтобы он не уступал R. 1. Каркас этого дирижабля в сечении представлял собой 17-гранный равносторонний многоугольник. Носовая и кормовая части имели эллиптическую форму. На дирижабле планировали установить 4 мотора типа «Майбах» мощностью по 180 л. с., изготовленных на фирме «Уолслей», дочернем предприятии «Виккерса». Двигатели сгруппировались по 2 в двух водонепроницаемых гондолах, подвешенных под мощным килем. Интересной деталью являлось то, что воздушные винты можно было поворачивать в горизонтальное положение, чтобы вертикальная тяга двигателей увеличивала подъемную силу дирижабля (11324).</w:t>
      </w:r>
    </w:p>
    <w:p w14:paraId="1E171C52" w14:textId="77777777" w:rsidR="004B4E35" w:rsidRPr="00405303" w:rsidRDefault="004B4E35" w:rsidP="00C15251">
      <w:pPr>
        <w:shd w:val="clear" w:color="auto" w:fill="FFFFFF"/>
        <w:jc w:val="both"/>
        <w:rPr>
          <w:bCs/>
          <w:i/>
          <w:color w:val="002060"/>
          <w:sz w:val="16"/>
          <w:szCs w:val="16"/>
        </w:rPr>
      </w:pPr>
    </w:p>
    <w:p w14:paraId="77A63C85"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за рубежом:</w:t>
      </w:r>
    </w:p>
    <w:p w14:paraId="3F6CA623" w14:textId="77777777" w:rsidR="004B4E35" w:rsidRPr="00405303" w:rsidRDefault="004B4E35" w:rsidP="00C15251">
      <w:pPr>
        <w:shd w:val="clear" w:color="auto" w:fill="FFFFFF"/>
        <w:jc w:val="both"/>
        <w:rPr>
          <w:bCs/>
          <w:i/>
          <w:color w:val="002060"/>
          <w:sz w:val="16"/>
          <w:szCs w:val="16"/>
        </w:rPr>
      </w:pPr>
    </w:p>
    <w:p w14:paraId="462E753D" w14:textId="77777777" w:rsidR="004B4E35" w:rsidRPr="00405303" w:rsidRDefault="009E6F82" w:rsidP="00C15251">
      <w:pPr>
        <w:jc w:val="both"/>
        <w:rPr>
          <w:bCs/>
          <w:color w:val="002060"/>
          <w:sz w:val="16"/>
          <w:szCs w:val="16"/>
        </w:rPr>
      </w:pPr>
      <w:r w:rsidRPr="00405303">
        <w:rPr>
          <w:bCs/>
          <w:color w:val="002060"/>
          <w:sz w:val="16"/>
          <w:szCs w:val="16"/>
        </w:rPr>
        <w:t xml:space="preserve">В 1915 году под влиянием германских цеппелинов инженер Крокко из «Бригада Специалисти» взялся за разработку жесткого дирижабля серии «G». Планировалось, что объем оболочки составит 20 000 куб. м, а шесть моторов «Итала» D 1 позволят ему развить скорость 87 км/ч. Специальное орудие калибра 65 мм, установленное в гондоле, предназначалось для поражения надводных целей. Разработка этого проекта так и не была завершена по причине нехватки моторов. Противокорабельное орудие, напротив, достроили и во время войны установили на дирижабле М.6. Итальянцам все же не удалось твердо выдержать линию на унификацию своего воздухоплавательного [347] парка. В течение 1914 года инженер Вердуцио разработал скоростной дирижабль V.I (veloce — скоростной), с объемом оболочки 15 700 </w:t>
      </w:r>
      <w:r w:rsidRPr="00405303">
        <w:rPr>
          <w:bCs/>
          <w:color w:val="002060"/>
          <w:sz w:val="16"/>
          <w:szCs w:val="16"/>
        </w:rPr>
        <w:lastRenderedPageBreak/>
        <w:t xml:space="preserve">куб. м. Хотя он и был больше по размерам, чем дирижабли типа «М», установка двигателей «SPA» D 1 мощностью по 225 л. с. позволила ему развить и большую скорость — 83,4 км/ч. Были построены 2 дирижабля типа «V», которые вошли в состав военно-морского флота. </w:t>
      </w:r>
    </w:p>
    <w:p w14:paraId="7F548DE8" w14:textId="77777777" w:rsidR="004B4E35" w:rsidRPr="00405303" w:rsidRDefault="004B4E35" w:rsidP="00C15251">
      <w:pPr>
        <w:jc w:val="both"/>
        <w:rPr>
          <w:bCs/>
          <w:i/>
          <w:color w:val="002060"/>
          <w:sz w:val="16"/>
          <w:szCs w:val="16"/>
        </w:rPr>
      </w:pPr>
    </w:p>
    <w:p w14:paraId="19CFCF1F" w14:textId="20CCEF66" w:rsidR="009E7A2E" w:rsidRPr="00405303" w:rsidRDefault="009E7A2E" w:rsidP="00C15251">
      <w:pPr>
        <w:jc w:val="both"/>
        <w:rPr>
          <w:bCs/>
          <w:color w:val="002060"/>
          <w:sz w:val="16"/>
          <w:szCs w:val="16"/>
        </w:rPr>
      </w:pPr>
      <w:r w:rsidRPr="00405303">
        <w:rPr>
          <w:bCs/>
          <w:color w:val="002060"/>
          <w:sz w:val="16"/>
          <w:szCs w:val="16"/>
        </w:rPr>
        <w:t>В</w:t>
      </w:r>
      <w:r w:rsidR="009E6F82" w:rsidRPr="00405303">
        <w:rPr>
          <w:bCs/>
          <w:color w:val="002060"/>
          <w:sz w:val="16"/>
          <w:szCs w:val="16"/>
        </w:rPr>
        <w:t xml:space="preserve"> 1915 году </w:t>
      </w:r>
      <w:r w:rsidRPr="00405303">
        <w:rPr>
          <w:bCs/>
          <w:color w:val="002060"/>
          <w:sz w:val="16"/>
          <w:szCs w:val="16"/>
        </w:rPr>
        <w:t xml:space="preserve">недавно созданная фирма «Эддистоун Эммьюнишн Корпорейшн», филиал известной американской оружейной компании «Балдуин Локомотив Уокс», </w:t>
      </w:r>
    </w:p>
    <w:p w14:paraId="1360EED3" w14:textId="5449A9B5" w:rsidR="004B4E35" w:rsidRPr="00405303" w:rsidRDefault="009E6F82" w:rsidP="00C15251">
      <w:pPr>
        <w:jc w:val="both"/>
        <w:rPr>
          <w:bCs/>
          <w:color w:val="002060"/>
          <w:sz w:val="16"/>
          <w:szCs w:val="16"/>
        </w:rPr>
      </w:pPr>
      <w:r w:rsidRPr="00405303">
        <w:rPr>
          <w:bCs/>
          <w:color w:val="002060"/>
          <w:sz w:val="16"/>
          <w:szCs w:val="16"/>
        </w:rPr>
        <w:t>получила контракт на производство артиллерийских [412] снарядов для российской армии и тут же приступила к строительству испытательного полигона к северу от Лейкхерста (11324).</w:t>
      </w:r>
    </w:p>
    <w:p w14:paraId="08B6D206" w14:textId="45DEDC47" w:rsidR="004B4E35" w:rsidRPr="00405303" w:rsidRDefault="004B4E35" w:rsidP="00C15251">
      <w:pPr>
        <w:jc w:val="both"/>
        <w:rPr>
          <w:bCs/>
          <w:color w:val="002060"/>
          <w:sz w:val="16"/>
          <w:szCs w:val="16"/>
        </w:rPr>
      </w:pPr>
    </w:p>
    <w:p w14:paraId="11B57CAB" w14:textId="171E01AA" w:rsidR="009E7A2E" w:rsidRPr="00405303" w:rsidRDefault="009E7A2E" w:rsidP="00C15251">
      <w:pPr>
        <w:jc w:val="both"/>
        <w:rPr>
          <w:bCs/>
          <w:i/>
          <w:iCs/>
          <w:color w:val="002060"/>
          <w:sz w:val="16"/>
          <w:szCs w:val="16"/>
        </w:rPr>
      </w:pPr>
      <w:r w:rsidRPr="00405303">
        <w:rPr>
          <w:bCs/>
          <w:i/>
          <w:iCs/>
          <w:color w:val="002060"/>
          <w:sz w:val="16"/>
          <w:szCs w:val="16"/>
        </w:rPr>
        <w:t>За рубежом:</w:t>
      </w:r>
    </w:p>
    <w:p w14:paraId="0FFC274D" w14:textId="77777777" w:rsidR="009E7A2E" w:rsidRPr="00405303" w:rsidRDefault="009E7A2E" w:rsidP="00C15251">
      <w:pPr>
        <w:jc w:val="both"/>
        <w:rPr>
          <w:bCs/>
          <w:i/>
          <w:iCs/>
          <w:color w:val="002060"/>
          <w:sz w:val="16"/>
          <w:szCs w:val="16"/>
        </w:rPr>
      </w:pPr>
    </w:p>
    <w:p w14:paraId="038B99D5" w14:textId="77777777" w:rsidR="000B3BFF" w:rsidRPr="00405303" w:rsidRDefault="000B3BFF" w:rsidP="00C15251">
      <w:pPr>
        <w:jc w:val="both"/>
        <w:rPr>
          <w:color w:val="002060"/>
          <w:sz w:val="16"/>
          <w:szCs w:val="16"/>
        </w:rPr>
      </w:pPr>
      <w:r w:rsidRPr="00405303">
        <w:rPr>
          <w:color w:val="002060"/>
          <w:sz w:val="16"/>
          <w:szCs w:val="16"/>
        </w:rPr>
        <w:t>За 1915 год потери союзников на Западном фронте составили около двух миллионов погибшими, раненными и пленными. При этом их самые крупные успехи на фронте ограничились продвижением войск не боле чем на 2-3 мили, и то лишь на нескольких участках (17045).</w:t>
      </w:r>
    </w:p>
    <w:p w14:paraId="1D99350E" w14:textId="77777777" w:rsidR="000B3BFF" w:rsidRPr="00405303" w:rsidRDefault="000B3BFF" w:rsidP="00C15251">
      <w:pPr>
        <w:jc w:val="both"/>
        <w:rPr>
          <w:color w:val="002060"/>
          <w:sz w:val="16"/>
          <w:szCs w:val="16"/>
        </w:rPr>
      </w:pPr>
    </w:p>
    <w:p w14:paraId="0E957D96" w14:textId="77777777" w:rsidR="009E7A2E" w:rsidRPr="00405303" w:rsidRDefault="009E7A2E" w:rsidP="00C15251">
      <w:pPr>
        <w:jc w:val="both"/>
        <w:rPr>
          <w:bCs/>
          <w:color w:val="002060"/>
          <w:sz w:val="16"/>
          <w:szCs w:val="16"/>
        </w:rPr>
      </w:pPr>
      <w:r w:rsidRPr="00405303">
        <w:rPr>
          <w:bCs/>
          <w:color w:val="002060"/>
          <w:sz w:val="16"/>
          <w:szCs w:val="16"/>
        </w:rPr>
        <w:t>В 1915 г. англичане решили создать малый скоростной торпедный катер, который иногда называли «плавучий торпедный аппарат» (15117).</w:t>
      </w:r>
    </w:p>
    <w:p w14:paraId="17FFA80E" w14:textId="77777777" w:rsidR="009E7A2E" w:rsidRPr="00405303" w:rsidRDefault="009E7A2E" w:rsidP="00C15251">
      <w:pPr>
        <w:jc w:val="both"/>
        <w:rPr>
          <w:bCs/>
          <w:color w:val="002060"/>
          <w:sz w:val="16"/>
          <w:szCs w:val="16"/>
        </w:rPr>
      </w:pPr>
    </w:p>
    <w:p w14:paraId="0F5D44BD" w14:textId="77777777" w:rsidR="000D3EFD" w:rsidRPr="00405303" w:rsidRDefault="000D3EFD" w:rsidP="00C15251">
      <w:pPr>
        <w:jc w:val="both"/>
        <w:rPr>
          <w:color w:val="002060"/>
          <w:sz w:val="16"/>
          <w:szCs w:val="16"/>
        </w:rPr>
      </w:pPr>
      <w:r w:rsidRPr="00405303">
        <w:rPr>
          <w:color w:val="002060"/>
          <w:sz w:val="16"/>
          <w:szCs w:val="16"/>
        </w:rPr>
        <w:t>В 1915 г. появились авиационные двигатели Лоррен-Дитрих и всего за два года (до 1917 г.) фирмой было построено до 15 различных опытных типов. Сама французская фирма Лоррен-Дитрих (Lorraine-Dietrich) была организована в 1905 г. путем слияния старейших европейских машиностроительных предприятий. В дальнейшем на основе V- образных образцов создали W-образный тип мощностью 450 л. с. под маркой 12Е (ЛД 12Е), который в 1920-х годах получил достаточно широкое распространение в авиации. При описании ЛД 12Е указывалось, что это 12-цилиндровые, W-образные (трехрядные) авиадвигатели водяного охлаждения, с расположением каждого ряда 4-х цилиндров под углом 60°. Рабочий объем 24,4 литра. Цилиндры стальные, соединены в блоки (по два) рубашками из листовой стали, приваренными к цилиндрам автогенной сваркой. Поршни алюминиевые, с внутренними ребрами. Картер алюминиевый, состоит из двух частей, служит опорой для крепления на самолете (11964).</w:t>
      </w:r>
    </w:p>
    <w:p w14:paraId="0822D078" w14:textId="77777777" w:rsidR="000D3EFD" w:rsidRPr="00405303" w:rsidRDefault="000D3EFD" w:rsidP="00C15251">
      <w:pPr>
        <w:jc w:val="both"/>
        <w:rPr>
          <w:color w:val="002060"/>
          <w:sz w:val="16"/>
          <w:szCs w:val="16"/>
        </w:rPr>
      </w:pPr>
      <w:r w:rsidRPr="00405303">
        <w:rPr>
          <w:color w:val="002060"/>
          <w:sz w:val="16"/>
          <w:szCs w:val="16"/>
        </w:rPr>
        <w:t>В Советском Союзе наиболее отметились двигатели Лоррен-Дитрих 12 ЕЬ, в частности, они стояли на приобретенных во Франции бипланах Фар- ман "Голиаф" и двух летающих лодках Дорнье "Валь". Остальные примеры использования штучные и более относятся к опытным установкам: Р-1, Фоккер D XI, Р-3 (АНТ-3), Р0М-1 (МР-3). [/й]</w:t>
      </w:r>
    </w:p>
    <w:p w14:paraId="3AA43BD9" w14:textId="77777777" w:rsidR="000D3EFD" w:rsidRPr="00405303" w:rsidRDefault="000D3EFD" w:rsidP="00C15251">
      <w:pPr>
        <w:jc w:val="both"/>
        <w:rPr>
          <w:color w:val="002060"/>
          <w:sz w:val="16"/>
          <w:szCs w:val="16"/>
        </w:rPr>
      </w:pPr>
      <w:r w:rsidRPr="00405303">
        <w:rPr>
          <w:color w:val="002060"/>
          <w:sz w:val="16"/>
          <w:szCs w:val="16"/>
        </w:rPr>
        <w:t>Основные характеристики трех модификаций Лоррен-Дитрихов серии 12Е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18"/>
        <w:gridCol w:w="1718"/>
        <w:gridCol w:w="1718"/>
        <w:gridCol w:w="1718"/>
        <w:gridCol w:w="1718"/>
        <w:gridCol w:w="1718"/>
      </w:tblGrid>
      <w:tr w:rsidR="000D3EFD" w:rsidRPr="00405303" w14:paraId="283DDC31" w14:textId="77777777" w:rsidTr="006606CA">
        <w:tc>
          <w:tcPr>
            <w:tcW w:w="1718" w:type="dxa"/>
            <w:tcBorders>
              <w:top w:val="single" w:sz="12" w:space="0" w:color="auto"/>
            </w:tcBorders>
          </w:tcPr>
          <w:p w14:paraId="4998CCC6" w14:textId="77777777" w:rsidR="000D3EFD" w:rsidRPr="00405303" w:rsidRDefault="000D3EFD" w:rsidP="00C15251">
            <w:pPr>
              <w:jc w:val="both"/>
              <w:rPr>
                <w:color w:val="002060"/>
                <w:sz w:val="16"/>
                <w:szCs w:val="16"/>
              </w:rPr>
            </w:pPr>
          </w:p>
        </w:tc>
        <w:tc>
          <w:tcPr>
            <w:tcW w:w="1718" w:type="dxa"/>
            <w:tcBorders>
              <w:top w:val="single" w:sz="12" w:space="0" w:color="auto"/>
            </w:tcBorders>
          </w:tcPr>
          <w:p w14:paraId="05F492B6" w14:textId="77777777" w:rsidR="000D3EFD" w:rsidRPr="00405303" w:rsidRDefault="000D3EFD" w:rsidP="00C15251">
            <w:pPr>
              <w:jc w:val="both"/>
              <w:rPr>
                <w:color w:val="002060"/>
                <w:sz w:val="16"/>
                <w:szCs w:val="16"/>
              </w:rPr>
            </w:pPr>
            <w:r w:rsidRPr="00405303">
              <w:rPr>
                <w:color w:val="002060"/>
                <w:sz w:val="16"/>
                <w:szCs w:val="16"/>
              </w:rPr>
              <w:t>Номинальная мощность (л. с.)</w:t>
            </w:r>
          </w:p>
        </w:tc>
        <w:tc>
          <w:tcPr>
            <w:tcW w:w="1718" w:type="dxa"/>
            <w:tcBorders>
              <w:top w:val="single" w:sz="12" w:space="0" w:color="auto"/>
            </w:tcBorders>
          </w:tcPr>
          <w:p w14:paraId="12AD0E3C" w14:textId="77777777" w:rsidR="000D3EFD" w:rsidRPr="00405303" w:rsidRDefault="000D3EFD" w:rsidP="00C15251">
            <w:pPr>
              <w:jc w:val="both"/>
              <w:rPr>
                <w:color w:val="002060"/>
                <w:sz w:val="16"/>
                <w:szCs w:val="16"/>
              </w:rPr>
            </w:pPr>
            <w:r w:rsidRPr="00405303">
              <w:rPr>
                <w:color w:val="002060"/>
                <w:sz w:val="16"/>
                <w:szCs w:val="16"/>
              </w:rPr>
              <w:t>Частота вращения (об/мин)</w:t>
            </w:r>
          </w:p>
        </w:tc>
        <w:tc>
          <w:tcPr>
            <w:tcW w:w="1718" w:type="dxa"/>
            <w:tcBorders>
              <w:top w:val="single" w:sz="12" w:space="0" w:color="auto"/>
            </w:tcBorders>
          </w:tcPr>
          <w:p w14:paraId="1407DD88" w14:textId="77777777" w:rsidR="000D3EFD" w:rsidRPr="00405303" w:rsidRDefault="000D3EFD" w:rsidP="00C15251">
            <w:pPr>
              <w:jc w:val="both"/>
              <w:rPr>
                <w:color w:val="002060"/>
                <w:sz w:val="16"/>
                <w:szCs w:val="16"/>
              </w:rPr>
            </w:pPr>
            <w:r w:rsidRPr="00405303">
              <w:rPr>
                <w:color w:val="002060"/>
                <w:sz w:val="16"/>
                <w:szCs w:val="16"/>
              </w:rPr>
              <w:t>Степень сжатия</w:t>
            </w:r>
          </w:p>
        </w:tc>
        <w:tc>
          <w:tcPr>
            <w:tcW w:w="1718" w:type="dxa"/>
            <w:tcBorders>
              <w:top w:val="single" w:sz="12" w:space="0" w:color="auto"/>
            </w:tcBorders>
          </w:tcPr>
          <w:p w14:paraId="0CCA53B2" w14:textId="77777777" w:rsidR="000D3EFD" w:rsidRPr="00405303" w:rsidRDefault="000D3EFD" w:rsidP="00C15251">
            <w:pPr>
              <w:jc w:val="both"/>
              <w:rPr>
                <w:color w:val="002060"/>
                <w:sz w:val="16"/>
                <w:szCs w:val="16"/>
              </w:rPr>
            </w:pPr>
            <w:r w:rsidRPr="00405303">
              <w:rPr>
                <w:color w:val="002060"/>
                <w:sz w:val="16"/>
                <w:szCs w:val="16"/>
              </w:rPr>
              <w:t>Сухой вес (кг)</w:t>
            </w:r>
          </w:p>
        </w:tc>
        <w:tc>
          <w:tcPr>
            <w:tcW w:w="1718" w:type="dxa"/>
            <w:tcBorders>
              <w:top w:val="single" w:sz="12" w:space="0" w:color="auto"/>
            </w:tcBorders>
          </w:tcPr>
          <w:p w14:paraId="48F98A5D" w14:textId="77777777" w:rsidR="000D3EFD" w:rsidRPr="00405303" w:rsidRDefault="000D3EFD" w:rsidP="00C15251">
            <w:pPr>
              <w:jc w:val="both"/>
              <w:rPr>
                <w:color w:val="002060"/>
                <w:sz w:val="16"/>
                <w:szCs w:val="16"/>
              </w:rPr>
            </w:pPr>
            <w:r w:rsidRPr="00405303">
              <w:rPr>
                <w:color w:val="002060"/>
                <w:sz w:val="16"/>
                <w:szCs w:val="16"/>
              </w:rPr>
              <w:t>Длина/ Ширина/ Высота (мм)</w:t>
            </w:r>
          </w:p>
        </w:tc>
      </w:tr>
      <w:tr w:rsidR="000D3EFD" w:rsidRPr="00405303" w14:paraId="4C1DBB5F" w14:textId="77777777" w:rsidTr="006606CA">
        <w:tc>
          <w:tcPr>
            <w:tcW w:w="1718" w:type="dxa"/>
          </w:tcPr>
          <w:p w14:paraId="68350570" w14:textId="77777777" w:rsidR="000D3EFD" w:rsidRPr="00405303" w:rsidRDefault="000D3EFD" w:rsidP="00C15251">
            <w:pPr>
              <w:jc w:val="both"/>
              <w:rPr>
                <w:color w:val="002060"/>
                <w:sz w:val="16"/>
                <w:szCs w:val="16"/>
              </w:rPr>
            </w:pPr>
            <w:r w:rsidRPr="00405303">
              <w:rPr>
                <w:color w:val="002060"/>
                <w:sz w:val="16"/>
                <w:szCs w:val="16"/>
              </w:rPr>
              <w:t>ЛД 12 ЕЬ</w:t>
            </w:r>
          </w:p>
        </w:tc>
        <w:tc>
          <w:tcPr>
            <w:tcW w:w="1718" w:type="dxa"/>
          </w:tcPr>
          <w:p w14:paraId="551E7805" w14:textId="77777777" w:rsidR="000D3EFD" w:rsidRPr="00405303" w:rsidRDefault="000D3EFD" w:rsidP="00C15251">
            <w:pPr>
              <w:jc w:val="both"/>
              <w:rPr>
                <w:color w:val="002060"/>
                <w:sz w:val="16"/>
                <w:szCs w:val="16"/>
              </w:rPr>
            </w:pPr>
            <w:r w:rsidRPr="00405303">
              <w:rPr>
                <w:color w:val="002060"/>
                <w:sz w:val="16"/>
                <w:szCs w:val="16"/>
              </w:rPr>
              <w:t>450</w:t>
            </w:r>
          </w:p>
        </w:tc>
        <w:tc>
          <w:tcPr>
            <w:tcW w:w="1718" w:type="dxa"/>
          </w:tcPr>
          <w:p w14:paraId="0CEF4BF5" w14:textId="77777777" w:rsidR="000D3EFD" w:rsidRPr="00405303" w:rsidRDefault="000D3EFD" w:rsidP="00C15251">
            <w:pPr>
              <w:jc w:val="both"/>
              <w:rPr>
                <w:color w:val="002060"/>
                <w:sz w:val="16"/>
                <w:szCs w:val="16"/>
              </w:rPr>
            </w:pPr>
            <w:r w:rsidRPr="00405303">
              <w:rPr>
                <w:color w:val="002060"/>
                <w:sz w:val="16"/>
                <w:szCs w:val="16"/>
              </w:rPr>
              <w:t>1850</w:t>
            </w:r>
          </w:p>
        </w:tc>
        <w:tc>
          <w:tcPr>
            <w:tcW w:w="1718" w:type="dxa"/>
          </w:tcPr>
          <w:p w14:paraId="5341BE4F" w14:textId="77777777" w:rsidR="000D3EFD" w:rsidRPr="00405303" w:rsidRDefault="000D3EFD" w:rsidP="00C15251">
            <w:pPr>
              <w:jc w:val="both"/>
              <w:rPr>
                <w:color w:val="002060"/>
                <w:sz w:val="16"/>
                <w:szCs w:val="16"/>
              </w:rPr>
            </w:pPr>
            <w:r w:rsidRPr="00405303">
              <w:rPr>
                <w:color w:val="002060"/>
                <w:sz w:val="16"/>
                <w:szCs w:val="16"/>
              </w:rPr>
              <w:t>5,5</w:t>
            </w:r>
          </w:p>
        </w:tc>
        <w:tc>
          <w:tcPr>
            <w:tcW w:w="1718" w:type="dxa"/>
          </w:tcPr>
          <w:p w14:paraId="1C2EC168" w14:textId="77777777" w:rsidR="000D3EFD" w:rsidRPr="00405303" w:rsidRDefault="000D3EFD" w:rsidP="00C15251">
            <w:pPr>
              <w:jc w:val="both"/>
              <w:rPr>
                <w:color w:val="002060"/>
                <w:sz w:val="16"/>
                <w:szCs w:val="16"/>
              </w:rPr>
            </w:pPr>
            <w:r w:rsidRPr="00405303">
              <w:rPr>
                <w:color w:val="002060"/>
                <w:sz w:val="16"/>
                <w:szCs w:val="16"/>
              </w:rPr>
              <w:t>370</w:t>
            </w:r>
          </w:p>
        </w:tc>
        <w:tc>
          <w:tcPr>
            <w:tcW w:w="1718" w:type="dxa"/>
          </w:tcPr>
          <w:p w14:paraId="48BE6B0D" w14:textId="77777777" w:rsidR="000D3EFD" w:rsidRPr="00405303" w:rsidRDefault="000D3EFD" w:rsidP="00C15251">
            <w:pPr>
              <w:jc w:val="both"/>
              <w:rPr>
                <w:color w:val="002060"/>
                <w:sz w:val="16"/>
                <w:szCs w:val="16"/>
              </w:rPr>
            </w:pPr>
            <w:r w:rsidRPr="00405303">
              <w:rPr>
                <w:color w:val="002060"/>
                <w:sz w:val="16"/>
                <w:szCs w:val="16"/>
              </w:rPr>
              <w:t>1374/1210/1105</w:t>
            </w:r>
          </w:p>
        </w:tc>
      </w:tr>
      <w:tr w:rsidR="000D3EFD" w:rsidRPr="00405303" w14:paraId="763C36FD" w14:textId="77777777" w:rsidTr="006606CA">
        <w:tc>
          <w:tcPr>
            <w:tcW w:w="1718" w:type="dxa"/>
          </w:tcPr>
          <w:p w14:paraId="2BAA09B3" w14:textId="77777777" w:rsidR="000D3EFD" w:rsidRPr="00405303" w:rsidRDefault="000D3EFD" w:rsidP="00C15251">
            <w:pPr>
              <w:jc w:val="both"/>
              <w:rPr>
                <w:color w:val="002060"/>
                <w:sz w:val="16"/>
                <w:szCs w:val="16"/>
              </w:rPr>
            </w:pPr>
            <w:r w:rsidRPr="00405303">
              <w:rPr>
                <w:color w:val="002060"/>
                <w:sz w:val="16"/>
                <w:szCs w:val="16"/>
              </w:rPr>
              <w:t>ЛД 12 Ed</w:t>
            </w:r>
          </w:p>
        </w:tc>
        <w:tc>
          <w:tcPr>
            <w:tcW w:w="1718" w:type="dxa"/>
          </w:tcPr>
          <w:p w14:paraId="3542D7DE" w14:textId="77777777" w:rsidR="000D3EFD" w:rsidRPr="00405303" w:rsidRDefault="000D3EFD" w:rsidP="00C15251">
            <w:pPr>
              <w:jc w:val="both"/>
              <w:rPr>
                <w:color w:val="002060"/>
                <w:sz w:val="16"/>
                <w:szCs w:val="16"/>
              </w:rPr>
            </w:pPr>
            <w:r w:rsidRPr="00405303">
              <w:rPr>
                <w:color w:val="002060"/>
                <w:sz w:val="16"/>
                <w:szCs w:val="16"/>
              </w:rPr>
              <w:t>450</w:t>
            </w:r>
          </w:p>
        </w:tc>
        <w:tc>
          <w:tcPr>
            <w:tcW w:w="1718" w:type="dxa"/>
          </w:tcPr>
          <w:p w14:paraId="60603032" w14:textId="77777777" w:rsidR="000D3EFD" w:rsidRPr="00405303" w:rsidRDefault="000D3EFD" w:rsidP="00C15251">
            <w:pPr>
              <w:jc w:val="both"/>
              <w:rPr>
                <w:color w:val="002060"/>
                <w:sz w:val="16"/>
                <w:szCs w:val="16"/>
              </w:rPr>
            </w:pPr>
            <w:r w:rsidRPr="00405303">
              <w:rPr>
                <w:color w:val="002060"/>
                <w:sz w:val="16"/>
                <w:szCs w:val="16"/>
              </w:rPr>
              <w:t>1900</w:t>
            </w:r>
          </w:p>
        </w:tc>
        <w:tc>
          <w:tcPr>
            <w:tcW w:w="1718" w:type="dxa"/>
          </w:tcPr>
          <w:p w14:paraId="6525D21E" w14:textId="77777777" w:rsidR="000D3EFD" w:rsidRPr="00405303" w:rsidRDefault="000D3EFD" w:rsidP="00C15251">
            <w:pPr>
              <w:jc w:val="both"/>
              <w:rPr>
                <w:color w:val="002060"/>
                <w:sz w:val="16"/>
                <w:szCs w:val="16"/>
              </w:rPr>
            </w:pPr>
            <w:r w:rsidRPr="00405303">
              <w:rPr>
                <w:color w:val="002060"/>
                <w:sz w:val="16"/>
                <w:szCs w:val="16"/>
              </w:rPr>
              <w:t>6,0</w:t>
            </w:r>
          </w:p>
        </w:tc>
        <w:tc>
          <w:tcPr>
            <w:tcW w:w="1718" w:type="dxa"/>
          </w:tcPr>
          <w:p w14:paraId="76FAAE93" w14:textId="77777777" w:rsidR="000D3EFD" w:rsidRPr="00405303" w:rsidRDefault="000D3EFD" w:rsidP="00C15251">
            <w:pPr>
              <w:jc w:val="both"/>
              <w:rPr>
                <w:color w:val="002060"/>
                <w:sz w:val="16"/>
                <w:szCs w:val="16"/>
              </w:rPr>
            </w:pPr>
            <w:r w:rsidRPr="00405303">
              <w:rPr>
                <w:color w:val="002060"/>
                <w:sz w:val="16"/>
                <w:szCs w:val="16"/>
              </w:rPr>
              <w:t>412</w:t>
            </w:r>
          </w:p>
        </w:tc>
        <w:tc>
          <w:tcPr>
            <w:tcW w:w="1718" w:type="dxa"/>
          </w:tcPr>
          <w:p w14:paraId="0A0829E7" w14:textId="77777777" w:rsidR="000D3EFD" w:rsidRPr="00405303" w:rsidRDefault="000D3EFD" w:rsidP="00C15251">
            <w:pPr>
              <w:jc w:val="both"/>
              <w:rPr>
                <w:color w:val="002060"/>
                <w:sz w:val="16"/>
                <w:szCs w:val="16"/>
              </w:rPr>
            </w:pPr>
            <w:r w:rsidRPr="00405303">
              <w:rPr>
                <w:color w:val="002060"/>
                <w:sz w:val="16"/>
                <w:szCs w:val="16"/>
              </w:rPr>
              <w:t>1522/1210/1105</w:t>
            </w:r>
          </w:p>
        </w:tc>
      </w:tr>
      <w:tr w:rsidR="000D3EFD" w:rsidRPr="00405303" w14:paraId="71149341" w14:textId="77777777" w:rsidTr="006606CA">
        <w:tc>
          <w:tcPr>
            <w:tcW w:w="1718" w:type="dxa"/>
            <w:tcBorders>
              <w:bottom w:val="single" w:sz="12" w:space="0" w:color="auto"/>
            </w:tcBorders>
          </w:tcPr>
          <w:p w14:paraId="7F169153" w14:textId="77777777" w:rsidR="000D3EFD" w:rsidRPr="00405303" w:rsidRDefault="000D3EFD" w:rsidP="00C15251">
            <w:pPr>
              <w:jc w:val="both"/>
              <w:rPr>
                <w:color w:val="002060"/>
                <w:sz w:val="16"/>
                <w:szCs w:val="16"/>
              </w:rPr>
            </w:pPr>
            <w:r w:rsidRPr="00405303">
              <w:rPr>
                <w:color w:val="002060"/>
                <w:sz w:val="16"/>
                <w:szCs w:val="16"/>
              </w:rPr>
              <w:t>ЛД 12 Ее</w:t>
            </w:r>
          </w:p>
        </w:tc>
        <w:tc>
          <w:tcPr>
            <w:tcW w:w="1718" w:type="dxa"/>
            <w:tcBorders>
              <w:bottom w:val="single" w:sz="12" w:space="0" w:color="auto"/>
            </w:tcBorders>
          </w:tcPr>
          <w:p w14:paraId="1FD22274" w14:textId="77777777" w:rsidR="000D3EFD" w:rsidRPr="00405303" w:rsidRDefault="000D3EFD" w:rsidP="00C15251">
            <w:pPr>
              <w:jc w:val="both"/>
              <w:rPr>
                <w:color w:val="002060"/>
                <w:sz w:val="16"/>
                <w:szCs w:val="16"/>
              </w:rPr>
            </w:pPr>
            <w:r w:rsidRPr="00405303">
              <w:rPr>
                <w:color w:val="002060"/>
                <w:sz w:val="16"/>
                <w:szCs w:val="16"/>
              </w:rPr>
              <w:t>480</w:t>
            </w:r>
          </w:p>
        </w:tc>
        <w:tc>
          <w:tcPr>
            <w:tcW w:w="1718" w:type="dxa"/>
            <w:tcBorders>
              <w:bottom w:val="single" w:sz="12" w:space="0" w:color="auto"/>
            </w:tcBorders>
          </w:tcPr>
          <w:p w14:paraId="5B807503" w14:textId="77777777" w:rsidR="000D3EFD" w:rsidRPr="00405303" w:rsidRDefault="000D3EFD" w:rsidP="00C15251">
            <w:pPr>
              <w:jc w:val="both"/>
              <w:rPr>
                <w:color w:val="002060"/>
                <w:sz w:val="16"/>
                <w:szCs w:val="16"/>
              </w:rPr>
            </w:pPr>
            <w:r w:rsidRPr="00405303">
              <w:rPr>
                <w:color w:val="002060"/>
                <w:sz w:val="16"/>
                <w:szCs w:val="16"/>
              </w:rPr>
              <w:t>2 000</w:t>
            </w:r>
          </w:p>
        </w:tc>
        <w:tc>
          <w:tcPr>
            <w:tcW w:w="1718" w:type="dxa"/>
            <w:tcBorders>
              <w:bottom w:val="single" w:sz="12" w:space="0" w:color="auto"/>
            </w:tcBorders>
          </w:tcPr>
          <w:p w14:paraId="6A15C8C2" w14:textId="77777777" w:rsidR="000D3EFD" w:rsidRPr="00405303" w:rsidRDefault="000D3EFD" w:rsidP="00C15251">
            <w:pPr>
              <w:jc w:val="both"/>
              <w:rPr>
                <w:color w:val="002060"/>
                <w:sz w:val="16"/>
                <w:szCs w:val="16"/>
              </w:rPr>
            </w:pPr>
            <w:r w:rsidRPr="00405303">
              <w:rPr>
                <w:color w:val="002060"/>
                <w:sz w:val="16"/>
                <w:szCs w:val="16"/>
              </w:rPr>
              <w:t>6,5</w:t>
            </w:r>
          </w:p>
        </w:tc>
        <w:tc>
          <w:tcPr>
            <w:tcW w:w="1718" w:type="dxa"/>
            <w:tcBorders>
              <w:bottom w:val="single" w:sz="12" w:space="0" w:color="auto"/>
            </w:tcBorders>
          </w:tcPr>
          <w:p w14:paraId="60C39E0E" w14:textId="77777777" w:rsidR="000D3EFD" w:rsidRPr="00405303" w:rsidRDefault="000D3EFD" w:rsidP="00C15251">
            <w:pPr>
              <w:jc w:val="both"/>
              <w:rPr>
                <w:color w:val="002060"/>
                <w:sz w:val="16"/>
                <w:szCs w:val="16"/>
              </w:rPr>
            </w:pPr>
            <w:r w:rsidRPr="00405303">
              <w:rPr>
                <w:color w:val="002060"/>
                <w:sz w:val="16"/>
                <w:szCs w:val="16"/>
              </w:rPr>
              <w:t>380</w:t>
            </w:r>
          </w:p>
        </w:tc>
        <w:tc>
          <w:tcPr>
            <w:tcW w:w="1718" w:type="dxa"/>
            <w:tcBorders>
              <w:bottom w:val="single" w:sz="12" w:space="0" w:color="auto"/>
            </w:tcBorders>
          </w:tcPr>
          <w:p w14:paraId="4B936849" w14:textId="77777777" w:rsidR="000D3EFD" w:rsidRPr="00405303" w:rsidRDefault="000D3EFD" w:rsidP="00C15251">
            <w:pPr>
              <w:jc w:val="both"/>
              <w:rPr>
                <w:color w:val="002060"/>
                <w:sz w:val="16"/>
                <w:szCs w:val="16"/>
              </w:rPr>
            </w:pPr>
            <w:r w:rsidRPr="00405303">
              <w:rPr>
                <w:color w:val="002060"/>
                <w:sz w:val="16"/>
                <w:szCs w:val="16"/>
              </w:rPr>
              <w:t>1460/1145/1210</w:t>
            </w:r>
          </w:p>
        </w:tc>
      </w:tr>
    </w:tbl>
    <w:p w14:paraId="3D62238B" w14:textId="77777777" w:rsidR="000D3EFD" w:rsidRPr="00405303" w:rsidRDefault="000D3EFD" w:rsidP="00C15251">
      <w:pPr>
        <w:jc w:val="both"/>
        <w:rPr>
          <w:color w:val="002060"/>
          <w:sz w:val="16"/>
          <w:szCs w:val="16"/>
        </w:rPr>
      </w:pPr>
      <w:r w:rsidRPr="00405303">
        <w:rPr>
          <w:color w:val="002060"/>
          <w:sz w:val="16"/>
          <w:szCs w:val="16"/>
        </w:rPr>
        <w:t>(11964).</w:t>
      </w:r>
    </w:p>
    <w:p w14:paraId="78FA59F1" w14:textId="77777777" w:rsidR="000D3EFD" w:rsidRPr="00405303" w:rsidRDefault="000D3EFD" w:rsidP="00C15251">
      <w:pPr>
        <w:jc w:val="both"/>
        <w:rPr>
          <w:color w:val="002060"/>
          <w:sz w:val="16"/>
          <w:szCs w:val="16"/>
        </w:rPr>
      </w:pPr>
    </w:p>
    <w:p w14:paraId="37597993" w14:textId="77777777" w:rsidR="000D3EFD" w:rsidRPr="00405303" w:rsidRDefault="000D3EFD" w:rsidP="00C15251">
      <w:pPr>
        <w:jc w:val="both"/>
        <w:rPr>
          <w:color w:val="002060"/>
          <w:sz w:val="16"/>
          <w:szCs w:val="16"/>
        </w:rPr>
      </w:pPr>
      <w:r w:rsidRPr="00405303">
        <w:rPr>
          <w:color w:val="002060"/>
          <w:sz w:val="16"/>
          <w:szCs w:val="16"/>
        </w:rPr>
        <w:t>В 1915 году групповые налеты германских дирижаблей стали постоянным явлением. В 1916 году их активность заметно возросла. За год было совершено 22 атаки, казалось, всего лишь на две больше, чем в 1915 году, но зато германские дирижабли сбросили 125 тонн бомб, почти в 3,5 раза больше по сравнению с предыдущим годом. Групповые налеты случались все чаще и чаще, цеппелины в конце концов “добрались” и до Шотландии (11234).</w:t>
      </w:r>
    </w:p>
    <w:p w14:paraId="7E99BC2A" w14:textId="77777777" w:rsidR="000D3EFD" w:rsidRPr="00405303" w:rsidRDefault="000D3EFD" w:rsidP="00C15251">
      <w:pPr>
        <w:jc w:val="both"/>
        <w:rPr>
          <w:color w:val="002060"/>
          <w:sz w:val="16"/>
          <w:szCs w:val="16"/>
        </w:rPr>
      </w:pPr>
    </w:p>
    <w:p w14:paraId="6AD48733" w14:textId="77777777" w:rsidR="000D3EFD" w:rsidRPr="00405303" w:rsidRDefault="000D3EFD" w:rsidP="00C15251">
      <w:pPr>
        <w:shd w:val="clear" w:color="auto" w:fill="FFFFFF"/>
        <w:jc w:val="both"/>
        <w:rPr>
          <w:color w:val="002060"/>
          <w:sz w:val="16"/>
          <w:szCs w:val="16"/>
        </w:rPr>
      </w:pPr>
      <w:r w:rsidRPr="00405303">
        <w:rPr>
          <w:color w:val="002060"/>
          <w:sz w:val="16"/>
          <w:szCs w:val="16"/>
        </w:rPr>
        <w:t>В 1915 г. Юнкере, а вслед за ним и Фоккер применили на своих опытных монопланах свободнонесущие крылья. Это крыло, ли</w:t>
      </w:r>
      <w:r w:rsidRPr="00405303">
        <w:rPr>
          <w:color w:val="002060"/>
          <w:sz w:val="16"/>
          <w:szCs w:val="16"/>
        </w:rPr>
        <w:softHyphen/>
        <w:t>шенное всяких стоек и расчалок и выгодное в аэродинамическом отношении, позволяло создать быстроходные самолеты. Немцы, испытывая затруднения с лесоматериалами для самолетов, использовали для свободнонесущих монопланов богатый опыт дирижабле</w:t>
      </w:r>
      <w:r w:rsidRPr="00405303">
        <w:rPr>
          <w:color w:val="002060"/>
          <w:sz w:val="16"/>
          <w:szCs w:val="16"/>
        </w:rPr>
        <w:softHyphen/>
        <w:t>строения и применяли жесть, а потом алюминиевый сплав. Фоккер применил крылья, обшивка которых была работающей. Однако жесткая обшивка крыла и сварка стальных деталей самолета не были изобретением Фоккера. В 1912 г. на Всероссийском кон</w:t>
      </w:r>
      <w:r w:rsidRPr="00405303">
        <w:rPr>
          <w:color w:val="002060"/>
          <w:sz w:val="16"/>
          <w:szCs w:val="16"/>
        </w:rPr>
        <w:softHyphen/>
        <w:t>курсе самолетов он подробно ознакомился с самолетом русского изобретателя Стеглау, на котором впервые в мире были приме</w:t>
      </w:r>
      <w:r w:rsidRPr="00405303">
        <w:rPr>
          <w:color w:val="002060"/>
          <w:sz w:val="16"/>
          <w:szCs w:val="16"/>
        </w:rPr>
        <w:softHyphen/>
        <w:t>нены стальные двутавровые лонжероны, металлические стойки и работающая фанерная обшивка крыла. Отечественные металли</w:t>
      </w:r>
      <w:r w:rsidRPr="00405303">
        <w:rPr>
          <w:color w:val="002060"/>
          <w:sz w:val="16"/>
          <w:szCs w:val="16"/>
        </w:rPr>
        <w:softHyphen/>
        <w:t>ческие детали самолета Стеглау сваривал при помощи ацетилено-кислородной сварки (9705,108). Одновременно с Фоккером французскому конструктору Бреге также удалось построить самолет со свободнонесущими крыльями, который был почти полностью сделан из алюминиевого сплава. Изобретение свободнонесущих крыльев означало революцию в са</w:t>
      </w:r>
      <w:r w:rsidRPr="00405303">
        <w:rPr>
          <w:color w:val="002060"/>
          <w:sz w:val="16"/>
          <w:szCs w:val="16"/>
        </w:rPr>
        <w:softHyphen/>
        <w:t>молетостроении. Однако в то время ему не придавали серьезного значения. Когда Фоккер представил военному ведомству такой самолет, приемочная комиссия его забраковала, отказавшись даже испытать (9705,109).</w:t>
      </w:r>
    </w:p>
    <w:p w14:paraId="765397C0" w14:textId="77777777" w:rsidR="000D3EFD" w:rsidRPr="00405303" w:rsidRDefault="000D3EFD" w:rsidP="00C15251">
      <w:pPr>
        <w:shd w:val="clear" w:color="auto" w:fill="FFFFFF"/>
        <w:jc w:val="both"/>
        <w:rPr>
          <w:color w:val="002060"/>
          <w:sz w:val="16"/>
          <w:szCs w:val="16"/>
        </w:rPr>
      </w:pPr>
    </w:p>
    <w:p w14:paraId="7FF19410" w14:textId="77777777" w:rsidR="000D3EFD" w:rsidRPr="00405303" w:rsidRDefault="000D3EFD" w:rsidP="00C15251">
      <w:pPr>
        <w:jc w:val="both"/>
        <w:rPr>
          <w:color w:val="002060"/>
          <w:sz w:val="16"/>
          <w:szCs w:val="16"/>
        </w:rPr>
      </w:pPr>
      <w:r w:rsidRPr="00405303">
        <w:rPr>
          <w:color w:val="002060"/>
          <w:sz w:val="16"/>
          <w:szCs w:val="16"/>
        </w:rPr>
        <w:t>В 1915 году промышленностью Германии было выпущено 4400 самолетов, а в 1916 году — 8100, производительность промышленности в 1917 году достигла 19 400 самолетов. Германия отставала. Одна только Англия выпустила в 1918 году за десять месяцев войны 26 700 самолетов (11282).</w:t>
      </w:r>
    </w:p>
    <w:p w14:paraId="71CA18A1" w14:textId="77777777" w:rsidR="000D3EFD" w:rsidRPr="00405303" w:rsidRDefault="000D3EFD" w:rsidP="00C15251">
      <w:pPr>
        <w:jc w:val="both"/>
        <w:rPr>
          <w:color w:val="002060"/>
          <w:sz w:val="16"/>
          <w:szCs w:val="16"/>
        </w:rPr>
      </w:pPr>
    </w:p>
    <w:p w14:paraId="711FCB33" w14:textId="77777777" w:rsidR="000D3EFD" w:rsidRPr="00405303" w:rsidRDefault="000D3EFD" w:rsidP="00C15251">
      <w:pPr>
        <w:jc w:val="both"/>
        <w:rPr>
          <w:color w:val="002060"/>
          <w:sz w:val="16"/>
          <w:szCs w:val="16"/>
        </w:rPr>
      </w:pPr>
      <w:r w:rsidRPr="00405303">
        <w:rPr>
          <w:color w:val="002060"/>
          <w:sz w:val="16"/>
          <w:szCs w:val="16"/>
        </w:rPr>
        <w:t>В 1915 г. X. Юнкерс по</w:t>
      </w:r>
      <w:r w:rsidRPr="00405303">
        <w:rPr>
          <w:color w:val="002060"/>
          <w:sz w:val="16"/>
          <w:szCs w:val="16"/>
        </w:rPr>
        <w:softHyphen/>
        <w:t xml:space="preserve">строил знаменитый свободнонесущий моноплан </w:t>
      </w:r>
      <w:r w:rsidRPr="00405303">
        <w:rPr>
          <w:color w:val="002060"/>
          <w:sz w:val="16"/>
          <w:szCs w:val="16"/>
          <w:lang w:val="en-US"/>
        </w:rPr>
        <w:t>J</w:t>
      </w:r>
      <w:r w:rsidRPr="00405303">
        <w:rPr>
          <w:color w:val="002060"/>
          <w:sz w:val="16"/>
          <w:szCs w:val="16"/>
        </w:rPr>
        <w:t>1 «Жестяной осел». Сталь</w:t>
      </w:r>
      <w:r w:rsidRPr="00405303">
        <w:rPr>
          <w:color w:val="002060"/>
          <w:sz w:val="16"/>
          <w:szCs w:val="16"/>
        </w:rPr>
        <w:softHyphen/>
        <w:t>ными были и каркас, и об</w:t>
      </w:r>
      <w:r w:rsidRPr="00405303">
        <w:rPr>
          <w:color w:val="002060"/>
          <w:sz w:val="16"/>
          <w:szCs w:val="16"/>
        </w:rPr>
        <w:softHyphen/>
        <w:t>шивка. Её толщина колеба</w:t>
      </w:r>
      <w:r w:rsidRPr="00405303">
        <w:rPr>
          <w:color w:val="002060"/>
          <w:sz w:val="16"/>
          <w:szCs w:val="16"/>
        </w:rPr>
        <w:softHyphen/>
        <w:t xml:space="preserve">лась от 0,5 мм до 1 мм, с каркасом она соединялась точечной электросваркой. </w:t>
      </w:r>
      <w:r w:rsidRPr="00405303">
        <w:rPr>
          <w:color w:val="002060"/>
          <w:sz w:val="16"/>
          <w:szCs w:val="16"/>
          <w:lang w:val="en-US"/>
        </w:rPr>
        <w:t>J</w:t>
      </w:r>
      <w:r w:rsidRPr="00405303">
        <w:rPr>
          <w:color w:val="002060"/>
          <w:sz w:val="16"/>
          <w:szCs w:val="16"/>
        </w:rPr>
        <w:t>1 «Жестяной осел» не стал первым цельностальным самолётом, но в нём впер</w:t>
      </w:r>
      <w:r w:rsidRPr="00405303">
        <w:rPr>
          <w:color w:val="002060"/>
          <w:sz w:val="16"/>
          <w:szCs w:val="16"/>
        </w:rPr>
        <w:softHyphen/>
        <w:t>вые удалось полностью использовать преимущест</w:t>
      </w:r>
      <w:r w:rsidRPr="00405303">
        <w:rPr>
          <w:color w:val="002060"/>
          <w:sz w:val="16"/>
          <w:szCs w:val="16"/>
        </w:rPr>
        <w:softHyphen/>
        <w:t>ва стали, создав толстое, свободнонесущее крыло.</w:t>
      </w:r>
    </w:p>
    <w:p w14:paraId="6BC36753" w14:textId="77777777" w:rsidR="000D3EFD" w:rsidRPr="00405303" w:rsidRDefault="000D3EFD" w:rsidP="00C15251">
      <w:pPr>
        <w:jc w:val="both"/>
        <w:rPr>
          <w:color w:val="002060"/>
          <w:sz w:val="16"/>
          <w:szCs w:val="16"/>
        </w:rPr>
      </w:pPr>
    </w:p>
    <w:p w14:paraId="425FC879" w14:textId="77777777" w:rsidR="000D3EFD" w:rsidRPr="00405303" w:rsidRDefault="000D3EFD" w:rsidP="00C15251">
      <w:pPr>
        <w:jc w:val="both"/>
        <w:rPr>
          <w:color w:val="002060"/>
          <w:sz w:val="16"/>
          <w:szCs w:val="16"/>
        </w:rPr>
      </w:pPr>
      <w:r w:rsidRPr="00405303">
        <w:rPr>
          <w:color w:val="002060"/>
          <w:sz w:val="16"/>
          <w:szCs w:val="16"/>
        </w:rPr>
        <w:t xml:space="preserve">В 1915 году в Германии заговорили о строительстве тяжелых бомбардировщиков, но зато очень быстро перешли от разговоров к делам. "Русский Витязь" стал первым в мире фронтовым тяжелым бомбардировщиком, но, к сожалению, с российской стороны остался единственным. До конца войны лишь РБВЗ выпускал в России самолеты этого типа. Сравнительно рано появились тяжелые бомбардировщики у итальянцев. Здесь лидировала фирма "Капрони". Английские и французские бомбардировщики появились намного позже. Идея трансконтинентального самолета появилась в Европе в 1912 году под впечатлением от "Гранда" Сикорского. Над созданием такого самолета работали многие инженеры, летчики, предприниматели, поскольку дело было неохватным и ресурсоемким. В 1913 году английская ежедневная газета "Дейли Мейл" назначила премию в гигантскую по тем временам сумму 10000 фунтов стерлингов тому пилоту, кто первым перелетит через Атлантику на самолете. Премия досталась американскому конструктору Гленну Кертиссу, пересекшему океан на летающей лодке "Америка". Летом 1913 года немецкий летчик Гельмут Хирт предложил директору фирмы "Бош Верке" Густаву Кляйну создать шестимоторную летающую лодку. Кляйн и Хирт решили создать гигантский самолет, способный перелететь из Европы в Сан-Франциско. Предполагалось создать такую машину в 1915 году. В преддверии войны проектом заинтересовался граф Фердинанд фон Цеппелин - известный создатель дирижаблей. Но по предложению Цеппелина большой самолет следовало использовать для доставки бомбы большого калибра, например, к базе английского флота, и так уничтожить "главную угрозу Германии". Совместно фирмы "Бош" и "Цеппелин Верке Штаакен ГмбХ" (Берлин) приступили в 1914 году к созданию гигантского бомбардировщика серии "R". Зимой 1914/15 года появились так называемые предписания по строительству и эксплуатации бомбардировщиков (Bau und Liefervorschriften fuer Heeresflugzeuge - BLV). Предписания были достаточно подробными. Они касались конструкции планера, двигателей, оснащения, вооружения, экипажа, аппаратуры (в том числе радио), условий эксплуатации и пр. Например, в составе экипажа должны были присутствовать механики-мотористы, оговаривались обязанности механиков, способ их связи с командиром экипажа и даже перечислялись инструменты, которые следовало взять на борт самолета. Предписания касались всех немецких фирм, выпускавших бомбардировщики серий "G" и "R". Подписал </w:t>
      </w:r>
      <w:r w:rsidRPr="00405303">
        <w:rPr>
          <w:color w:val="002060"/>
          <w:sz w:val="16"/>
          <w:szCs w:val="16"/>
        </w:rPr>
        <w:lastRenderedPageBreak/>
        <w:t>документ майор Томсен - командующий армейской авиацией (Feldflugchef) и адмирал Дик - начальник конструкторского департамента ВМФ. К строительству самолетов серии "R" (Reisenflugzeuge) приступили и другие немецкие авиационные заводы, имевшие опыт в постройке крупных самолетов "СШВ", "АЕГ", "ДФВ", "Авиатик", "Шутте-Лянц" и "Дорнье". Быстро выделились две линии в конструировании тяжелых бомбардировщиков. Одни конструкторы предпочитали использовать для самолетов дерево, другие - металл. К числу сторонников металла принадлежал и граф фон Цеппелин. Другой крупной немецкой фирмой, участвовавшей в строительстве самолетов серии "R", была "Сименс Шуккерт Верке" ("СШВ"). Там главными конструкторами были братья Бруно и Франц Штеффен. Уже в октябре 1914 года они закончили первый тяжелый бомбардировщик. Кроме братьев Штеффен на фирме "СШВ" работал Виллихед Форссман, шведский инженер, который в 1910-1912 году конструировал в России военные дирижабли. Форссман был разносторонним конструктором. Он проектировал одноместные подводные лодки, танки с противоснарядной броней, сотрудничал с Ганнесманном при строительстве последнего трансатлантического гиганта. В России Форссман сотрудничает с Сикорским и участвовал в строительстве самолета "Гранд". На фирме "СШВ" Форссман самостоятельно развивал свою линию самолетов "R". Шведский инженер пользовался идеями Сикорского, проектируя самолеты, похожие на "Гранд" - бипланы с рядом двигателей на нижнем крыле. Форссману удалось построить два таких самолета, но они оказались неудачными и дальнейшие работы над линией свернули. Третьей фирмой, строившей тяжелые бомбардировщики, стала "ДФВ" из Лиденталя (район Лейпцига) Здесь главными инженерами были Герман Дорнье и Генрих Элерих (11262).</w:t>
      </w:r>
    </w:p>
    <w:p w14:paraId="6F9AA465" w14:textId="77777777" w:rsidR="000D3EFD" w:rsidRPr="00405303" w:rsidRDefault="000D3EFD" w:rsidP="00C15251">
      <w:pPr>
        <w:jc w:val="both"/>
        <w:rPr>
          <w:color w:val="002060"/>
          <w:sz w:val="16"/>
          <w:szCs w:val="16"/>
        </w:rPr>
      </w:pPr>
    </w:p>
    <w:p w14:paraId="1AA199C0" w14:textId="77777777" w:rsidR="000D3EFD" w:rsidRPr="00405303" w:rsidRDefault="000D3EFD" w:rsidP="00C15251">
      <w:pPr>
        <w:jc w:val="both"/>
        <w:rPr>
          <w:color w:val="002060"/>
          <w:sz w:val="16"/>
          <w:szCs w:val="16"/>
        </w:rPr>
      </w:pPr>
      <w:r w:rsidRPr="00405303">
        <w:rPr>
          <w:color w:val="002060"/>
          <w:sz w:val="16"/>
          <w:szCs w:val="16"/>
        </w:rPr>
        <w:t xml:space="preserve">В 1915 с переходом к позиционной войне задачи авиации изменились. Разведка глубоких тылов противника сменилась ближней разведкой. Взор позиционного наблюдателя не мог проникнуть за первую линию окопов противника, а между тем командованию требовались актуальные и точные сведения о противнике. Здесь пришла на помощь воздушная фоторазведка. Фотоаппарат, почти не использовавшийся в маневренной войне, так как наблюдать за перемещениями противника можно ыло и невооруженным глазом, становился теперь пооянным спутником летчика в разведке. После того как удавалось установить точное расположение неприятельских окопов, летчикам оставалось лишь внимательно следить за его дальнейшими изменениями, чтобы таким образом выяснять намерения противника. Не было больше необходимости держать в памяти все подробности очертаний окопов и, напрягая зрение, различать мель чайшие новообразования в них, тем более что непосред ственное визуальное наблюдение становилось затрудни тельным при той тщательности, с которой противник стремился скрыть свои работы на стационарных позициях. Фотосъемке не препятствовала маскировка противником своих позиций — пластинка запечатлевала все мелочи, которые в силу их многочисленности уходили от внимания летчика. В мирное время лишь немногие предвидели большое значение воздушной фотосъемки. Усовершенствованием фотоаппаратов занимались отдельные любители. Но когда открылись непредвиденные возможности применения фотографии, с помощью нашей хорошо развитой оптической промышленности удалось быстро снабдить все отряды в необходимом количестве обычными 25-сантиметровыми камерами, а также удовлетворить спрос на фотоаппараты с длиннофокусными объективами 50 и 70 см. Пришлось, однако, столкнуться с большими трудностями при укомплектовании личного состава летных отрядов специалистами в области фотографии и аэрофотосъемки, поскольку таковых было чрезвычайно мало. Сказалось также неудобство расположения у немецких самолетов сидений для наблюдателей впереди летчиков, так как этим исключалась возможность плановой аэрофотосъемки. Недостаточная четкость и мелкий масштаб фотоснимков умаляли их ценность; перенасыщенность фотографий многими деталями запутывала малоопытных лиц, пытавшихся в них разобраться, и возбуждало у них недоверие к тому, что читал по ним летчик. Перенос добытого аэрофотосъемкой материала на карту требовал много времени, так как снимки предварительно должны были быть дешифрированы. Много ценных разведывательных сведений вследствие этого так и не было использовано войсками. Прошло много времени, пока войска утратили недоверие к аэрофотоснимкам и поняли, что никакой другой род разведки не может им дать столько ценной и исчерпывающей информации. Карты изготавливались поначалу </w:t>
      </w:r>
      <w:proofErr w:type="gramStart"/>
      <w:r w:rsidRPr="00405303">
        <w:rPr>
          <w:color w:val="002060"/>
          <w:sz w:val="16"/>
          <w:szCs w:val="16"/>
        </w:rPr>
        <w:t>в авиационных отрядах</w:t>
      </w:r>
      <w:proofErr w:type="gramEnd"/>
      <w:r w:rsidRPr="00405303">
        <w:rPr>
          <w:color w:val="002060"/>
          <w:sz w:val="16"/>
          <w:szCs w:val="16"/>
        </w:rPr>
        <w:t xml:space="preserve"> при которых имелись специально обученные этому делу фотограмметристы. Необходимыми для этого нь толабораторными, чертежными и типографскими приборами отрядам приходилось большею частью обзаводиться самим. Этим значительно снижалась мобильность авиаотрядов. Использовать в полной мере результаты аэрофотосъемки, несмотря на большую работу в этом направлении, на фронте не удавалось, поскольку обучению этому делу в мирное время уделялось мало внимания. Отсутствие должной подготовки в мирное время сильно сказалось и на связи авиации с артиллерией. При позиционной войне отовсюду, где происходило наступление противника, доносились жалобы нашей пехоты, что как только в небе появлялся самолет противника, вражеская артиллерия начинала меткий обстрел наших окопов, в результате чего мы несли большие потери (11282).</w:t>
      </w:r>
    </w:p>
    <w:p w14:paraId="44941352" w14:textId="77777777" w:rsidR="000D3EFD" w:rsidRPr="00405303" w:rsidRDefault="000D3EFD" w:rsidP="00C15251">
      <w:pPr>
        <w:jc w:val="both"/>
        <w:rPr>
          <w:color w:val="002060"/>
          <w:sz w:val="16"/>
          <w:szCs w:val="16"/>
        </w:rPr>
      </w:pPr>
    </w:p>
    <w:p w14:paraId="7FB60FF2" w14:textId="77777777" w:rsidR="000D3EFD" w:rsidRPr="00405303" w:rsidRDefault="000D3EFD" w:rsidP="00C15251">
      <w:pPr>
        <w:jc w:val="both"/>
        <w:rPr>
          <w:color w:val="002060"/>
          <w:sz w:val="16"/>
          <w:szCs w:val="16"/>
        </w:rPr>
      </w:pPr>
      <w:r w:rsidRPr="00405303">
        <w:rPr>
          <w:color w:val="002060"/>
          <w:sz w:val="16"/>
          <w:szCs w:val="16"/>
        </w:rPr>
        <w:t>В 1915 году начались ночные бомбардировки и благодаря этому большое значение приобрели прожекторы. В конце года, по предложениюначальника полевого воздушного флота, были проведены исследования возможности использования наших дирижаблей для ночных полетов. В результате выяснилось, что прожекторы позволяют определить направление движения и отдаление дирижабля, летящего на высоте 2500—3000 м; обнаружилось также, что при благоприятном лунном освещении можно и без помощи прожекторов определить направление полета дирижабля, но не представляется возможным установить его отдаление. Таким образом, необходимость прожекторов для воздушной обороны была доказана. Потребовались более детальные исследования с целью усовершенствования прожекторов; при этом много пользы принесли наблюдения экипажей наших дирижаблей при налетах на Париж и Лондон (11282).</w:t>
      </w:r>
    </w:p>
    <w:p w14:paraId="068EAAFB" w14:textId="77777777" w:rsidR="000D3EFD" w:rsidRPr="00405303" w:rsidRDefault="000D3EFD" w:rsidP="00C15251">
      <w:pPr>
        <w:jc w:val="both"/>
        <w:rPr>
          <w:color w:val="002060"/>
          <w:sz w:val="16"/>
          <w:szCs w:val="16"/>
        </w:rPr>
      </w:pPr>
    </w:p>
    <w:p w14:paraId="2A422099" w14:textId="77777777" w:rsidR="000D3EFD" w:rsidRPr="00405303" w:rsidRDefault="000D3EFD" w:rsidP="00C15251">
      <w:pPr>
        <w:jc w:val="both"/>
        <w:rPr>
          <w:color w:val="002060"/>
          <w:sz w:val="16"/>
          <w:szCs w:val="16"/>
        </w:rPr>
      </w:pPr>
      <w:r w:rsidRPr="00405303">
        <w:rPr>
          <w:color w:val="002060"/>
          <w:sz w:val="16"/>
          <w:szCs w:val="16"/>
        </w:rPr>
        <w:t>В 1915 году германская ЗА сбила 51 самолети 1 дирижабль; в 1916 году 392 самолета и 1 дирижабль; в 1917 году 467 самолетов; в 1918 году 748 самолетов — всего 1588 самолетов и 2 дирижабля, в том числе 51 самолет был уничтожен при поддержке прожекторных установок (11282).</w:t>
      </w:r>
    </w:p>
    <w:p w14:paraId="45E95703" w14:textId="77777777" w:rsidR="000D3EFD" w:rsidRPr="00405303" w:rsidRDefault="000D3EFD" w:rsidP="00C15251">
      <w:pPr>
        <w:jc w:val="both"/>
        <w:rPr>
          <w:color w:val="002060"/>
          <w:sz w:val="16"/>
          <w:szCs w:val="16"/>
        </w:rPr>
      </w:pPr>
    </w:p>
    <w:p w14:paraId="23BBE83B" w14:textId="77777777" w:rsidR="000D3EFD" w:rsidRPr="00405303" w:rsidRDefault="000D3EFD" w:rsidP="00C15251">
      <w:pPr>
        <w:jc w:val="both"/>
        <w:rPr>
          <w:color w:val="002060"/>
          <w:sz w:val="16"/>
          <w:szCs w:val="16"/>
        </w:rPr>
      </w:pPr>
      <w:r w:rsidRPr="00405303">
        <w:rPr>
          <w:color w:val="002060"/>
          <w:sz w:val="16"/>
          <w:szCs w:val="16"/>
        </w:rPr>
        <w:t>В 1915 году в Германии был сконструирован прибор для звукового обнаружения целей, который указывал местоположение самолета, если дистанции не превышали нормального предела слышимости, но еще не мог работать на предельных дистанциях огня зенитной артиллерии (11282).</w:t>
      </w:r>
    </w:p>
    <w:p w14:paraId="7AC8E69D" w14:textId="77777777" w:rsidR="000D3EFD" w:rsidRPr="00405303" w:rsidRDefault="000D3EFD" w:rsidP="00C15251">
      <w:pPr>
        <w:jc w:val="both"/>
        <w:rPr>
          <w:color w:val="002060"/>
          <w:sz w:val="16"/>
          <w:szCs w:val="16"/>
        </w:rPr>
      </w:pPr>
    </w:p>
    <w:p w14:paraId="0844044F" w14:textId="77777777" w:rsidR="000D3EFD" w:rsidRPr="00405303" w:rsidRDefault="000D3EFD" w:rsidP="00C15251">
      <w:pPr>
        <w:jc w:val="both"/>
        <w:rPr>
          <w:color w:val="002060"/>
          <w:sz w:val="16"/>
          <w:szCs w:val="16"/>
        </w:rPr>
      </w:pPr>
      <w:r w:rsidRPr="00405303">
        <w:rPr>
          <w:color w:val="002060"/>
          <w:sz w:val="16"/>
          <w:szCs w:val="16"/>
        </w:rPr>
        <w:t>В течение 1915 года привязные аэростаты на западном фронте служили немцам почти исключительно целям артиллерийского наблюдения (11282).</w:t>
      </w:r>
    </w:p>
    <w:p w14:paraId="3465F423" w14:textId="77777777" w:rsidR="000D3EFD" w:rsidRPr="00405303" w:rsidRDefault="000D3EFD" w:rsidP="00C15251">
      <w:pPr>
        <w:jc w:val="both"/>
        <w:rPr>
          <w:color w:val="002060"/>
          <w:sz w:val="16"/>
          <w:szCs w:val="16"/>
        </w:rPr>
      </w:pPr>
    </w:p>
    <w:p w14:paraId="4653A759" w14:textId="77777777" w:rsidR="000D3EFD" w:rsidRPr="00405303" w:rsidRDefault="000D3EFD" w:rsidP="00C15251">
      <w:pPr>
        <w:jc w:val="both"/>
        <w:rPr>
          <w:color w:val="002060"/>
          <w:sz w:val="16"/>
          <w:szCs w:val="16"/>
        </w:rPr>
      </w:pPr>
      <w:r w:rsidRPr="00405303">
        <w:rPr>
          <w:color w:val="002060"/>
          <w:sz w:val="16"/>
          <w:szCs w:val="16"/>
        </w:rPr>
        <w:t>В 1915 году при германской 5-й армии в Стене была создана испытательная команда; из нее к концу 1916 года развились испытательные и учебные отделения зенитных орудий, которые были затем перенесены в Остенде. В их задачи входило рассматривать вновь предложенные конструкции, производить исследования с целью совершенствования противовоздушной обороны, а также готовить преподавателей для школы дальномерщиков и школы стрельбы зенитной артиллерии (11282).</w:t>
      </w:r>
    </w:p>
    <w:p w14:paraId="1247E9DC" w14:textId="77777777" w:rsidR="000D3EFD" w:rsidRPr="00405303" w:rsidRDefault="000D3EFD" w:rsidP="00C15251">
      <w:pPr>
        <w:jc w:val="both"/>
        <w:rPr>
          <w:color w:val="002060"/>
          <w:sz w:val="16"/>
          <w:szCs w:val="16"/>
        </w:rPr>
      </w:pPr>
    </w:p>
    <w:p w14:paraId="6BE35F4E" w14:textId="77777777" w:rsidR="000D3EFD" w:rsidRPr="00405303" w:rsidRDefault="000D3EFD" w:rsidP="00C15251">
      <w:pPr>
        <w:jc w:val="both"/>
        <w:rPr>
          <w:color w:val="002060"/>
          <w:sz w:val="16"/>
          <w:szCs w:val="16"/>
        </w:rPr>
      </w:pPr>
      <w:r w:rsidRPr="00405303">
        <w:rPr>
          <w:color w:val="002060"/>
          <w:sz w:val="16"/>
          <w:szCs w:val="16"/>
        </w:rPr>
        <w:t>Уже в 1915 году в Германии боевые отряды одноместных истребителей, которые временно были размещены в тылу, пытались участвовать в противовоздушной обороне, однако их работа, вследствие недостатков воздушной сигнальной службы, успеха не имела. Лишь когда истребительные отряды были соединены собственными телефонными линиями с сетью воздушной сигнальной службы, дело сдвинулось с мертвой точки. Ведение ими боя требовало особого обучения; получив сигнал, они должны были готовиться к бою против еще невидимого противника, чаще всего летящего эскадрой. Выявилась необходимость особых мероприятий для организации передачи уже находящимся на боевой высоте эскадрильям дальнейших приказаний, основанных на новых донесениях, а также указания того района (11282).</w:t>
      </w:r>
    </w:p>
    <w:p w14:paraId="0CCC30FE" w14:textId="77777777" w:rsidR="000D3EFD" w:rsidRPr="00405303" w:rsidRDefault="000D3EFD" w:rsidP="00C15251">
      <w:pPr>
        <w:jc w:val="both"/>
        <w:rPr>
          <w:color w:val="002060"/>
          <w:sz w:val="16"/>
          <w:szCs w:val="16"/>
        </w:rPr>
      </w:pPr>
    </w:p>
    <w:p w14:paraId="10804B48" w14:textId="77777777" w:rsidR="000D3EFD" w:rsidRPr="00405303" w:rsidRDefault="000D3EFD" w:rsidP="00C15251">
      <w:pPr>
        <w:jc w:val="both"/>
        <w:rPr>
          <w:color w:val="002060"/>
          <w:sz w:val="16"/>
          <w:szCs w:val="16"/>
        </w:rPr>
      </w:pPr>
      <w:r w:rsidRPr="00405303">
        <w:rPr>
          <w:color w:val="002060"/>
          <w:sz w:val="16"/>
          <w:szCs w:val="16"/>
        </w:rPr>
        <w:t>В течение 1915 года, а в особенности в 1916 году, Англия приложила громадные усилия к укреплению своего “Royal Flying Corps” — RFC. Англия прежде германиис разобралась в достоинствах и недостатках воздушного боя, чем и руководствовалась в наращивании своей авиационной мощи, и энергией натиска ее авиация значительно превосходила французскую. Поэтому немцы сочли нужным после сражения на Сомме большую часть наших истребительных эскадрилий противопоставить английским отрядам (11282).</w:t>
      </w:r>
    </w:p>
    <w:p w14:paraId="24D4B5D1" w14:textId="77777777" w:rsidR="000D3EFD" w:rsidRPr="00405303" w:rsidRDefault="000D3EFD" w:rsidP="00C15251">
      <w:pPr>
        <w:jc w:val="both"/>
        <w:rPr>
          <w:color w:val="002060"/>
          <w:sz w:val="16"/>
          <w:szCs w:val="16"/>
        </w:rPr>
      </w:pPr>
    </w:p>
    <w:p w14:paraId="0F4FD04C" w14:textId="77777777" w:rsidR="000D3EFD" w:rsidRPr="00405303" w:rsidRDefault="000D3EFD" w:rsidP="00C15251">
      <w:pPr>
        <w:jc w:val="both"/>
        <w:rPr>
          <w:color w:val="002060"/>
          <w:sz w:val="16"/>
          <w:szCs w:val="16"/>
        </w:rPr>
      </w:pPr>
      <w:r w:rsidRPr="00405303">
        <w:rPr>
          <w:color w:val="002060"/>
          <w:sz w:val="16"/>
          <w:szCs w:val="16"/>
        </w:rPr>
        <w:t>В 1915 г. англичане решили создать малый скоростной торпедный катер, который иногда называли «плавучий торпедный аппарат» (15117).</w:t>
      </w:r>
    </w:p>
    <w:p w14:paraId="03F69E06" w14:textId="77777777" w:rsidR="000D3EFD" w:rsidRPr="00405303" w:rsidRDefault="000D3EFD" w:rsidP="00C15251">
      <w:pPr>
        <w:jc w:val="both"/>
        <w:rPr>
          <w:color w:val="002060"/>
          <w:sz w:val="16"/>
          <w:szCs w:val="16"/>
        </w:rPr>
      </w:pPr>
    </w:p>
    <w:p w14:paraId="2718F850" w14:textId="77777777" w:rsidR="000D3EFD" w:rsidRPr="00405303" w:rsidRDefault="000D3EFD" w:rsidP="00C15251">
      <w:pPr>
        <w:jc w:val="both"/>
        <w:rPr>
          <w:color w:val="002060"/>
          <w:sz w:val="16"/>
          <w:szCs w:val="16"/>
        </w:rPr>
      </w:pPr>
      <w:r w:rsidRPr="00405303">
        <w:rPr>
          <w:color w:val="002060"/>
          <w:sz w:val="16"/>
          <w:szCs w:val="16"/>
        </w:rPr>
        <w:t>В 1915 году во Франции был создан новый вариант “Мораиа" L, оснащенный элеронами и обозначенный как тип LA. Через год к нему добавили более аэродинамичный фюзеляж типа "монокок", и самолет получил обозначение тип Р. Новых самолетов во Франции выпустили 565. В Англии было построено 24 машины этого типа, которые наряду с самолетами французской постройки состояли на вооружении эскадрилий № 1, 3, 7, 12 и 60, воевавших на Западном фронте. Несколько аппаратов попало в Россию. У нас их назвали "моран-четвертый" или сокращенно "Морчет" (11265).</w:t>
      </w:r>
    </w:p>
    <w:p w14:paraId="03FAEE62" w14:textId="77777777" w:rsidR="000D3EFD" w:rsidRPr="00405303" w:rsidRDefault="000D3EFD" w:rsidP="00C15251">
      <w:pPr>
        <w:jc w:val="both"/>
        <w:rPr>
          <w:color w:val="002060"/>
          <w:sz w:val="16"/>
          <w:szCs w:val="16"/>
        </w:rPr>
      </w:pPr>
    </w:p>
    <w:p w14:paraId="4C97C67F" w14:textId="77777777" w:rsidR="000D3EFD" w:rsidRPr="00405303" w:rsidRDefault="000D3EFD" w:rsidP="00C15251">
      <w:pPr>
        <w:jc w:val="both"/>
        <w:rPr>
          <w:color w:val="002060"/>
          <w:sz w:val="16"/>
          <w:szCs w:val="16"/>
        </w:rPr>
      </w:pPr>
      <w:r w:rsidRPr="00405303">
        <w:rPr>
          <w:color w:val="002060"/>
          <w:sz w:val="16"/>
          <w:szCs w:val="16"/>
        </w:rPr>
        <w:t>В 1915 г. фирма “Вестингауз-Леблан” подала заявку на КР с жидкостным ракетным двигателем. Эта ракета должна была запускаться на большие дальности с легких переносных пусковых установок. Ракета предназначалась для замены тяжелой дальнобойной артиллерии. В качестве горючего предлагался бензин, в качестве окислителя – окись азота. Баки горючего и окислителя устанавливались симметрично относительно центра тяжести КР для предотвращения его смещения в процессе выгорания топлива. Компоненты топлива должны были подаваться в камеру сгорания посредством насосов, а истечение продуктов сгорания должно было происходить через сопло.</w:t>
      </w:r>
    </w:p>
    <w:p w14:paraId="75A6C602" w14:textId="77777777" w:rsidR="000D3EFD" w:rsidRPr="00405303" w:rsidRDefault="000D3EFD" w:rsidP="00C15251">
      <w:pPr>
        <w:jc w:val="both"/>
        <w:rPr>
          <w:color w:val="002060"/>
          <w:sz w:val="16"/>
          <w:szCs w:val="16"/>
        </w:rPr>
      </w:pPr>
      <w:r w:rsidRPr="00405303">
        <w:rPr>
          <w:color w:val="002060"/>
          <w:sz w:val="16"/>
          <w:szCs w:val="16"/>
        </w:rPr>
        <w:t>В центре корпуса размещались полезная нагрузка и крылья. КР должна была управляться с помощью гироскопического автопилота, барометрического высотомера и рулевых машинок. По обеим сторонам двигателя размещались хвостовые стабилизаторы. Патент на эту КР был выдан только в 1920 г. (11686).</w:t>
      </w:r>
    </w:p>
    <w:p w14:paraId="1A072CB2" w14:textId="77777777" w:rsidR="000D3EFD" w:rsidRPr="00405303" w:rsidRDefault="000D3EFD" w:rsidP="00C15251">
      <w:pPr>
        <w:jc w:val="both"/>
        <w:rPr>
          <w:color w:val="002060"/>
          <w:sz w:val="16"/>
          <w:szCs w:val="16"/>
        </w:rPr>
      </w:pPr>
    </w:p>
    <w:p w14:paraId="68A3DA96" w14:textId="77777777" w:rsidR="004B4E35" w:rsidRPr="00405303" w:rsidRDefault="009E6F82" w:rsidP="00C15251">
      <w:pPr>
        <w:jc w:val="both"/>
        <w:rPr>
          <w:bCs/>
          <w:i/>
          <w:color w:val="002060"/>
          <w:sz w:val="16"/>
          <w:szCs w:val="16"/>
        </w:rPr>
      </w:pPr>
      <w:r w:rsidRPr="00405303">
        <w:rPr>
          <w:bCs/>
          <w:i/>
          <w:color w:val="002060"/>
          <w:sz w:val="16"/>
          <w:szCs w:val="16"/>
        </w:rPr>
        <w:t>Самолетостроение:</w:t>
      </w:r>
    </w:p>
    <w:p w14:paraId="7105A559" w14:textId="77777777" w:rsidR="004B4E35" w:rsidRPr="00405303" w:rsidRDefault="004B4E35" w:rsidP="00C15251">
      <w:pPr>
        <w:jc w:val="both"/>
        <w:rPr>
          <w:bCs/>
          <w:i/>
          <w:color w:val="002060"/>
          <w:sz w:val="16"/>
          <w:szCs w:val="16"/>
        </w:rPr>
      </w:pPr>
    </w:p>
    <w:p w14:paraId="00A54704" w14:textId="77777777" w:rsidR="004B4E35" w:rsidRPr="00405303" w:rsidRDefault="009E6F82" w:rsidP="00C15251">
      <w:pPr>
        <w:shd w:val="clear" w:color="auto" w:fill="FFFFFF"/>
        <w:jc w:val="both"/>
        <w:rPr>
          <w:bCs/>
          <w:color w:val="002060"/>
          <w:sz w:val="16"/>
          <w:szCs w:val="16"/>
        </w:rPr>
      </w:pPr>
      <w:r w:rsidRPr="00405303">
        <w:rPr>
          <w:bCs/>
          <w:color w:val="002060"/>
          <w:sz w:val="16"/>
          <w:szCs w:val="16"/>
        </w:rPr>
        <w:t>В 1915-1917 годах он служил на фронте в истре</w:t>
      </w:r>
      <w:r w:rsidRPr="00405303">
        <w:rPr>
          <w:bCs/>
          <w:color w:val="002060"/>
          <w:sz w:val="16"/>
          <w:szCs w:val="16"/>
        </w:rPr>
        <w:softHyphen/>
        <w:t>бительной авиации. Помимо выполнения боевых за</w:t>
      </w:r>
      <w:r w:rsidRPr="00405303">
        <w:rPr>
          <w:bCs/>
          <w:color w:val="002060"/>
          <w:sz w:val="16"/>
          <w:szCs w:val="16"/>
        </w:rPr>
        <w:softHyphen/>
        <w:t>даний, заведовал технической частью авиаотряда. В это же время разработал проект двухмоторного бро</w:t>
      </w:r>
      <w:r w:rsidRPr="00405303">
        <w:rPr>
          <w:bCs/>
          <w:color w:val="002060"/>
          <w:sz w:val="16"/>
          <w:szCs w:val="16"/>
        </w:rPr>
        <w:softHyphen/>
        <w:t>нированного истребителя. Самолет представлял со</w:t>
      </w:r>
      <w:r w:rsidRPr="00405303">
        <w:rPr>
          <w:bCs/>
          <w:color w:val="002060"/>
          <w:sz w:val="16"/>
          <w:szCs w:val="16"/>
        </w:rPr>
        <w:softHyphen/>
        <w:t>бой 2-местный биплан с двумя ротативными двига</w:t>
      </w:r>
      <w:r w:rsidRPr="00405303">
        <w:rPr>
          <w:bCs/>
          <w:color w:val="002060"/>
          <w:sz w:val="16"/>
          <w:szCs w:val="16"/>
        </w:rPr>
        <w:softHyphen/>
        <w:t xml:space="preserve">телями по 100 л.с., установленными тандемом, с </w:t>
      </w:r>
      <w:proofErr w:type="gramStart"/>
      <w:r w:rsidRPr="00405303">
        <w:rPr>
          <w:bCs/>
          <w:color w:val="002060"/>
          <w:sz w:val="16"/>
          <w:szCs w:val="16"/>
        </w:rPr>
        <w:t>со-осными</w:t>
      </w:r>
      <w:proofErr w:type="gramEnd"/>
      <w:r w:rsidRPr="00405303">
        <w:rPr>
          <w:bCs/>
          <w:color w:val="002060"/>
          <w:sz w:val="16"/>
          <w:szCs w:val="16"/>
        </w:rPr>
        <w:t xml:space="preserve"> толкающими винтами, гондолой и хвостовой фермой. В первые годы Октябрьской революции М.Н. Ефимов служил в частях гидроавиации в Сева</w:t>
      </w:r>
      <w:r w:rsidRPr="00405303">
        <w:rPr>
          <w:bCs/>
          <w:color w:val="002060"/>
          <w:sz w:val="16"/>
          <w:szCs w:val="16"/>
        </w:rPr>
        <w:softHyphen/>
        <w:t>стополе, принимал участие в гражданской войне в Крыму и в 1919 году был расстрелян белогвардейским десантом в Одессе (553).</w:t>
      </w:r>
    </w:p>
    <w:p w14:paraId="5FA20558" w14:textId="77777777" w:rsidR="004B4E35" w:rsidRPr="00405303" w:rsidRDefault="004B4E35" w:rsidP="00C15251">
      <w:pPr>
        <w:shd w:val="clear" w:color="auto" w:fill="FFFFFF"/>
        <w:jc w:val="both"/>
        <w:rPr>
          <w:bCs/>
          <w:color w:val="002060"/>
          <w:sz w:val="16"/>
          <w:szCs w:val="16"/>
        </w:rPr>
      </w:pPr>
    </w:p>
    <w:p w14:paraId="65B3F734" w14:textId="77777777" w:rsidR="00D9522F" w:rsidRPr="00405303" w:rsidRDefault="00D9522F" w:rsidP="00C15251">
      <w:pPr>
        <w:pStyle w:val="31"/>
        <w:shd w:val="clear" w:color="auto" w:fill="auto"/>
        <w:spacing w:line="240" w:lineRule="auto"/>
        <w:ind w:firstLine="0"/>
        <w:rPr>
          <w:rFonts w:ascii="Times New Roman" w:hAnsi="Times New Roman" w:cs="Times New Roman"/>
          <w:bCs/>
          <w:color w:val="002060"/>
          <w:sz w:val="16"/>
          <w:szCs w:val="16"/>
        </w:rPr>
      </w:pPr>
      <w:r w:rsidRPr="00405303">
        <w:rPr>
          <w:rStyle w:val="10pt"/>
          <w:rFonts w:ascii="Times New Roman" w:hAnsi="Times New Roman" w:cs="Times New Roman"/>
          <w:b w:val="0"/>
          <w:color w:val="002060"/>
          <w:sz w:val="16"/>
          <w:szCs w:val="16"/>
        </w:rPr>
        <w:t>1915</w:t>
      </w:r>
      <w:r w:rsidRPr="00405303">
        <w:rPr>
          <w:rFonts w:ascii="Times New Roman" w:hAnsi="Times New Roman" w:cs="Times New Roman"/>
          <w:bCs/>
          <w:color w:val="002060"/>
          <w:sz w:val="16"/>
          <w:szCs w:val="16"/>
        </w:rPr>
        <w:t xml:space="preserve">-1917 гг. именно И.А. Меллер представлял «Дукс», заключал контракты и подпивал документы с Военным ведомством на поставку самолётов для фронта. </w:t>
      </w:r>
      <w:r w:rsidRPr="00405303">
        <w:rPr>
          <w:rStyle w:val="10pt"/>
          <w:rFonts w:ascii="Times New Roman" w:hAnsi="Times New Roman" w:cs="Times New Roman"/>
          <w:b w:val="0"/>
          <w:color w:val="002060"/>
          <w:sz w:val="16"/>
          <w:szCs w:val="16"/>
        </w:rPr>
        <w:t>Старший</w:t>
      </w:r>
      <w:r w:rsidRPr="00405303">
        <w:rPr>
          <w:rFonts w:ascii="Times New Roman" w:hAnsi="Times New Roman" w:cs="Times New Roman"/>
          <w:bCs/>
          <w:color w:val="002060"/>
          <w:sz w:val="16"/>
          <w:szCs w:val="16"/>
        </w:rPr>
        <w:t xml:space="preserve"> сын сестры братьев Меллер — Матильды, вышедшей замуж за обер-проку</w:t>
      </w:r>
      <w:r w:rsidRPr="00405303">
        <w:rPr>
          <w:rStyle w:val="10pt"/>
          <w:rFonts w:ascii="Times New Roman" w:hAnsi="Times New Roman" w:cs="Times New Roman"/>
          <w:b w:val="0"/>
          <w:color w:val="002060"/>
          <w:sz w:val="16"/>
          <w:szCs w:val="16"/>
        </w:rPr>
        <w:t>роа при</w:t>
      </w:r>
      <w:r w:rsidRPr="00405303">
        <w:rPr>
          <w:rFonts w:ascii="Times New Roman" w:hAnsi="Times New Roman" w:cs="Times New Roman"/>
          <w:bCs/>
          <w:color w:val="002060"/>
          <w:sz w:val="16"/>
          <w:szCs w:val="16"/>
        </w:rPr>
        <w:t xml:space="preserve"> Сенате А.Е. Кильштедта (накануне 1917 г. ставшего Сенатором), Константин рександрович Кильштедт (по другим данным — Веселков-Кильштедт), окончил гимназию в Варшаве и юридический факультет Петербургского университета, и</w:t>
      </w:r>
      <w:r w:rsidRPr="00405303">
        <w:rPr>
          <w:rStyle w:val="af2"/>
          <w:rFonts w:eastAsia="Arial Narrow"/>
          <w:bCs/>
          <w:i w:val="0"/>
          <w:color w:val="002060"/>
          <w:sz w:val="16"/>
          <w:szCs w:val="16"/>
        </w:rPr>
        <w:t xml:space="preserve"> в</w:t>
      </w:r>
      <w:r w:rsidRPr="00405303">
        <w:rPr>
          <w:rFonts w:ascii="Times New Roman" w:hAnsi="Times New Roman" w:cs="Times New Roman"/>
          <w:bCs/>
          <w:color w:val="002060"/>
          <w:sz w:val="16"/>
          <w:szCs w:val="16"/>
        </w:rPr>
        <w:t xml:space="preserve"> годы Перво</w:t>
      </w:r>
      <w:r w:rsidRPr="00405303">
        <w:rPr>
          <w:rStyle w:val="10pt"/>
          <w:rFonts w:ascii="Times New Roman" w:hAnsi="Times New Roman" w:cs="Times New Roman"/>
          <w:b w:val="0"/>
          <w:color w:val="002060"/>
          <w:sz w:val="16"/>
          <w:szCs w:val="16"/>
        </w:rPr>
        <w:t>й мировой</w:t>
      </w:r>
      <w:r w:rsidRPr="00405303">
        <w:rPr>
          <w:rFonts w:ascii="Times New Roman" w:hAnsi="Times New Roman" w:cs="Times New Roman"/>
          <w:bCs/>
          <w:color w:val="002060"/>
          <w:sz w:val="16"/>
          <w:szCs w:val="16"/>
        </w:rPr>
        <w:t xml:space="preserve"> войны работал коммерческим директором «Дукса» (по другим данным — председателем правления), подтвердив статус фирмы как семейного предприятия. Кроме </w:t>
      </w:r>
      <w:r w:rsidRPr="00405303">
        <w:rPr>
          <w:rStyle w:val="10pt"/>
          <w:rFonts w:ascii="Times New Roman" w:hAnsi="Times New Roman" w:cs="Times New Roman"/>
          <w:b w:val="0"/>
          <w:color w:val="002060"/>
          <w:sz w:val="16"/>
          <w:szCs w:val="16"/>
        </w:rPr>
        <w:t>того,</w:t>
      </w:r>
      <w:r w:rsidRPr="00405303">
        <w:rPr>
          <w:rFonts w:ascii="Times New Roman" w:hAnsi="Times New Roman" w:cs="Times New Roman"/>
          <w:bCs/>
          <w:color w:val="002060"/>
          <w:sz w:val="16"/>
          <w:szCs w:val="16"/>
        </w:rPr>
        <w:t xml:space="preserve"> на рядовых должностях — чертежников, контролеров и т.п. на фирме нередко раб</w:t>
      </w:r>
      <w:r w:rsidRPr="00405303">
        <w:rPr>
          <w:rStyle w:val="10pt"/>
          <w:rFonts w:ascii="Times New Roman" w:hAnsi="Times New Roman" w:cs="Times New Roman"/>
          <w:b w:val="0"/>
          <w:color w:val="002060"/>
          <w:sz w:val="16"/>
          <w:szCs w:val="16"/>
        </w:rPr>
        <w:t>отали</w:t>
      </w:r>
      <w:r w:rsidRPr="00405303">
        <w:rPr>
          <w:rFonts w:ascii="Times New Roman" w:hAnsi="Times New Roman" w:cs="Times New Roman"/>
          <w:bCs/>
          <w:color w:val="002060"/>
          <w:sz w:val="16"/>
          <w:szCs w:val="16"/>
        </w:rPr>
        <w:t xml:space="preserve"> (или временно подрабатывали) и другие члены обширной династии (15761).</w:t>
      </w:r>
    </w:p>
    <w:p w14:paraId="441F8352" w14:textId="77777777" w:rsidR="00D9522F" w:rsidRPr="00405303" w:rsidRDefault="00D9522F" w:rsidP="00C15251">
      <w:pPr>
        <w:pStyle w:val="31"/>
        <w:shd w:val="clear" w:color="auto" w:fill="auto"/>
        <w:spacing w:line="240" w:lineRule="auto"/>
        <w:ind w:firstLine="0"/>
        <w:rPr>
          <w:rStyle w:val="af1"/>
          <w:rFonts w:ascii="Times New Roman" w:hAnsi="Times New Roman" w:cs="Times New Roman"/>
          <w:b w:val="0"/>
          <w:color w:val="002060"/>
          <w:sz w:val="16"/>
          <w:szCs w:val="16"/>
        </w:rPr>
      </w:pPr>
    </w:p>
    <w:p w14:paraId="07FDBD2E" w14:textId="77777777" w:rsidR="00D9522F" w:rsidRPr="00405303" w:rsidRDefault="00D9522F" w:rsidP="00C15251">
      <w:pPr>
        <w:pStyle w:val="2"/>
        <w:spacing w:before="0" w:after="0"/>
        <w:jc w:val="both"/>
        <w:rPr>
          <w:b w:val="0"/>
          <w:bCs/>
          <w:color w:val="002060"/>
          <w:sz w:val="16"/>
          <w:szCs w:val="16"/>
        </w:rPr>
      </w:pPr>
      <w:r w:rsidRPr="00405303">
        <w:rPr>
          <w:b w:val="0"/>
          <w:bCs/>
          <w:color w:val="002060"/>
          <w:sz w:val="16"/>
          <w:szCs w:val="16"/>
        </w:rPr>
        <w:t>В 1915—1917 гг. серийный выпуск составил 382, 481 и 543 самолета, соответственно.10 Таких темпов роста выпуска аэропланов не имел ни один из российских авиазаводов.</w:t>
      </w:r>
    </w:p>
    <w:p w14:paraId="2C4F3FC4" w14:textId="77777777" w:rsidR="00D9522F" w:rsidRPr="00405303" w:rsidRDefault="00D9522F" w:rsidP="00C15251">
      <w:pPr>
        <w:pStyle w:val="2"/>
        <w:spacing w:before="0" w:after="0"/>
        <w:jc w:val="both"/>
        <w:rPr>
          <w:b w:val="0"/>
          <w:bCs/>
          <w:color w:val="002060"/>
          <w:sz w:val="16"/>
          <w:szCs w:val="16"/>
        </w:rPr>
      </w:pPr>
      <w:r w:rsidRPr="00405303">
        <w:rPr>
          <w:b w:val="0"/>
          <w:bCs/>
          <w:color w:val="002060"/>
          <w:sz w:val="16"/>
          <w:szCs w:val="16"/>
        </w:rPr>
        <w:t>Строительство самолетов крупными сериями потребовало внедрения новых технологических процессов. Когда «Дукс» готовился приступить к лицензионному выпуску лодок «Теллье» Т.З, при освоении производства применили методы, похожие на современные способы крупносерийной постройки. Полученныё1Г вьтущенные свои чертежи выполнили в натуральную" величину, на все детали изготовили проверочные шаблоны. Стали внедрять методы агрегатной сборки самолета: цеха работали по замкнутому циклу, выпуская законченную продукцию в виде отдельных агрегатов машин, поступавших затем на общую сборку. Еще с начала войны широкомасштабно стали применять ацетиленкислородную сварку основных узлов самолета, пайку медью и серебряным припоем. Не знаю, насколько здесь пригодился опыт АЛ Докучаева, «собственноручно» освоившего эти технологии еще в 1910 г.</w:t>
      </w:r>
    </w:p>
    <w:p w14:paraId="774E0290" w14:textId="77777777" w:rsidR="00D9522F" w:rsidRPr="00405303" w:rsidRDefault="00D9522F" w:rsidP="00C15251">
      <w:pPr>
        <w:pStyle w:val="2"/>
        <w:spacing w:before="0" w:after="0"/>
        <w:jc w:val="both"/>
        <w:rPr>
          <w:b w:val="0"/>
          <w:bCs/>
          <w:color w:val="002060"/>
          <w:sz w:val="16"/>
          <w:szCs w:val="16"/>
        </w:rPr>
      </w:pPr>
      <w:r w:rsidRPr="00405303">
        <w:rPr>
          <w:b w:val="0"/>
          <w:bCs/>
          <w:color w:val="002060"/>
          <w:sz w:val="16"/>
          <w:szCs w:val="16"/>
        </w:rPr>
        <w:t>Большое значение имел выбор древесины, технологии ее сушки и обработки. На лонжероны крыльев и фюзеляжа шла, в основном, недефицитная сосна и ясень, хо- I тя это несколько увеличивало вес конструкции. На заводе построили сушильные камеры больших размеров, организовали всесторонние испытания древесины, освоили и начали широко применять новые способы склейки. Повышение долговечности де- | ревянных деталей достигалось обработкой специальными лаками, обмоткой перкалем с последующей лакировкой. Еще на Московской выставке 1912 г. «Дукс» продемонстрировал французский нитроцеллюлозный аэролак «L’Emalite» («Эмалит») и одним из первых стал широко применять его для покрытия полотняной обтяжки крыльев. Несмотря на значительную дороговизну, эмалит обеспечивал очень высокое качество натяжки полотна на каркас крыльев, не допуская провисания (15464).</w:t>
      </w:r>
    </w:p>
    <w:p w14:paraId="06C54FA4" w14:textId="77777777" w:rsidR="00D9522F" w:rsidRPr="00405303" w:rsidRDefault="00D9522F" w:rsidP="00C15251">
      <w:pPr>
        <w:pStyle w:val="2"/>
        <w:spacing w:before="0" w:after="0"/>
        <w:jc w:val="both"/>
        <w:rPr>
          <w:b w:val="0"/>
          <w:bCs/>
          <w:color w:val="002060"/>
          <w:sz w:val="16"/>
          <w:szCs w:val="16"/>
        </w:rPr>
      </w:pPr>
    </w:p>
    <w:p w14:paraId="5A8D0DD5" w14:textId="77777777" w:rsidR="00D9522F" w:rsidRPr="00405303" w:rsidRDefault="00D9522F" w:rsidP="00C15251">
      <w:pPr>
        <w:pStyle w:val="2"/>
        <w:spacing w:before="0" w:after="0"/>
        <w:jc w:val="both"/>
        <w:rPr>
          <w:b w:val="0"/>
          <w:bCs/>
          <w:color w:val="002060"/>
          <w:sz w:val="16"/>
          <w:szCs w:val="16"/>
        </w:rPr>
      </w:pPr>
      <w:r w:rsidRPr="00405303">
        <w:rPr>
          <w:b w:val="0"/>
          <w:bCs/>
          <w:color w:val="002060"/>
          <w:sz w:val="16"/>
          <w:szCs w:val="16"/>
        </w:rPr>
        <w:t>С 1915—1916 гг. в Москве широко применяли так называемый «Коховскин нитроцеллюлозный аэролак одного покрытия». Поверх него наносили слой масляного лака № 17. Название Коховский пошло от фамилии владельца небольшого агрохимического завода И.К.Коха. В 1914 г. это предприятие эвакуировали из Риги и разместили на Можайском шоссе в Дорогомилово (15454).</w:t>
      </w:r>
    </w:p>
    <w:p w14:paraId="70589A9D" w14:textId="77777777" w:rsidR="00D9522F" w:rsidRPr="00405303" w:rsidRDefault="00D9522F" w:rsidP="00C15251">
      <w:pPr>
        <w:pStyle w:val="2"/>
        <w:spacing w:before="0" w:after="0"/>
        <w:jc w:val="both"/>
        <w:rPr>
          <w:b w:val="0"/>
          <w:bCs/>
          <w:color w:val="002060"/>
          <w:sz w:val="16"/>
          <w:szCs w:val="16"/>
        </w:rPr>
      </w:pPr>
    </w:p>
    <w:p w14:paraId="72DE2952" w14:textId="77777777" w:rsidR="000D3EFD" w:rsidRPr="00405303" w:rsidRDefault="000D3EFD" w:rsidP="00C15251">
      <w:pPr>
        <w:jc w:val="both"/>
        <w:rPr>
          <w:color w:val="002060"/>
          <w:sz w:val="16"/>
          <w:szCs w:val="16"/>
        </w:rPr>
      </w:pPr>
      <w:r w:rsidRPr="00405303">
        <w:rPr>
          <w:color w:val="002060"/>
          <w:sz w:val="16"/>
          <w:szCs w:val="16"/>
        </w:rPr>
        <w:t>1915-1917 гг. именно И.А. Меллер представлял «Дукс», заключал контракты и подпивал документы с Военным ведомством на поставку самолётов для фронта. Старший сын сестры братьев Меллер — Матильды, вышедшей замуж за обер-прокуроа при Сенате А.Е. Кильштедта (накануне 1917 г. ставшего Сенатором), Константин рександрович Кильштедт (по другим данным — Веселков-Кильштедт), окончил гимназию в Варшаве и юридический факультет Петербургского университета, и</w:t>
      </w:r>
      <w:r w:rsidRPr="00405303">
        <w:rPr>
          <w:rFonts w:eastAsia="Arial Narrow"/>
          <w:color w:val="002060"/>
          <w:sz w:val="16"/>
          <w:szCs w:val="16"/>
        </w:rPr>
        <w:t xml:space="preserve"> в</w:t>
      </w:r>
      <w:r w:rsidRPr="00405303">
        <w:rPr>
          <w:color w:val="002060"/>
          <w:sz w:val="16"/>
          <w:szCs w:val="16"/>
        </w:rPr>
        <w:t xml:space="preserve"> годы Первой мировой войны работал коммерческим директором «Дукса» (по другим данным — председателем правления), подтвердив статус фирмы как семейного предприятия. Кроме того, на рядовых должностях — чертежников, контролеров и т.п. на фирме нередко работали (или временно подрабатывали) и другие члены обширной династии (15761).</w:t>
      </w:r>
    </w:p>
    <w:p w14:paraId="4FE4173D" w14:textId="77777777" w:rsidR="000D3EFD" w:rsidRPr="00405303" w:rsidRDefault="000D3EFD" w:rsidP="00C15251">
      <w:pPr>
        <w:jc w:val="both"/>
        <w:rPr>
          <w:color w:val="002060"/>
          <w:sz w:val="16"/>
          <w:szCs w:val="16"/>
        </w:rPr>
      </w:pPr>
    </w:p>
    <w:p w14:paraId="7C5C6117" w14:textId="77777777" w:rsidR="000D3EFD" w:rsidRPr="00405303" w:rsidRDefault="000D3EFD" w:rsidP="00C15251">
      <w:pPr>
        <w:pStyle w:val="2"/>
        <w:spacing w:before="0" w:after="0"/>
        <w:jc w:val="both"/>
        <w:rPr>
          <w:b w:val="0"/>
          <w:color w:val="002060"/>
          <w:sz w:val="16"/>
          <w:szCs w:val="16"/>
        </w:rPr>
      </w:pPr>
      <w:r w:rsidRPr="00405303">
        <w:rPr>
          <w:b w:val="0"/>
          <w:color w:val="002060"/>
          <w:sz w:val="16"/>
          <w:szCs w:val="16"/>
        </w:rPr>
        <w:t>В 1915—1917 гг. серийный выпуск составил 382, 481 и 543 самолета, соответственно.10 Таких темпов роста выпуска аэропланов не имел ни один из российских авиазаводов.</w:t>
      </w:r>
    </w:p>
    <w:p w14:paraId="7F0598B3" w14:textId="77777777" w:rsidR="000D3EFD" w:rsidRPr="00405303" w:rsidRDefault="000D3EFD" w:rsidP="00C15251">
      <w:pPr>
        <w:pStyle w:val="2"/>
        <w:spacing w:before="0" w:after="0"/>
        <w:jc w:val="both"/>
        <w:rPr>
          <w:b w:val="0"/>
          <w:color w:val="002060"/>
          <w:sz w:val="16"/>
          <w:szCs w:val="16"/>
        </w:rPr>
      </w:pPr>
      <w:r w:rsidRPr="00405303">
        <w:rPr>
          <w:b w:val="0"/>
          <w:color w:val="002060"/>
          <w:sz w:val="16"/>
          <w:szCs w:val="16"/>
        </w:rPr>
        <w:t>Строительство самолетов крупными сериями потребовало внедрения новых технологических процессов. Когда «Дукс» готовился приступить к лицензионному выпуску лодок «Теллье» Т.З, при освоении производства применили методы, похожие на современные способы крупносерийной постройки. Полученныё1Г вьтущенные свои чертежи выполнили в натуральную" величину, на все детали изготовили проверочные шаблоны. Стали внедрять методы агрегатной сборки самолета: цеха работали по замкнутому циклу, выпуская законченную продукцию в виде отдельных агрегатов машин, поступавших затем на общую сборку. Еще с начала войны широкомасштабно стали применять ацетиленкислородную сварку основных узлов самолета, пайку медью и серебряным припоем. Не знаю, насколько здесь пригодился опыт АЛ Докучаева, «собственноручно» освоившего эти технологии еще в 1910 г.</w:t>
      </w:r>
    </w:p>
    <w:p w14:paraId="14C01A38" w14:textId="77777777" w:rsidR="000D3EFD" w:rsidRPr="00405303" w:rsidRDefault="000D3EFD" w:rsidP="00C15251">
      <w:pPr>
        <w:pStyle w:val="2"/>
        <w:spacing w:before="0" w:after="0"/>
        <w:jc w:val="both"/>
        <w:rPr>
          <w:b w:val="0"/>
          <w:color w:val="002060"/>
          <w:sz w:val="16"/>
          <w:szCs w:val="16"/>
        </w:rPr>
      </w:pPr>
      <w:r w:rsidRPr="00405303">
        <w:rPr>
          <w:b w:val="0"/>
          <w:color w:val="002060"/>
          <w:sz w:val="16"/>
          <w:szCs w:val="16"/>
        </w:rPr>
        <w:t>Большое значение имел выбор древесины, технологии ее сушки и обработки. На лонжероны крыльев и фюзеляжа шла, в основном, недефицитная сосна и ясень, хо- I тя это несколько увеличивало вес конструкции. На заводе построили сушильные камеры больших размеров, организовали всесторонние испытания древесины, освоили и начали широко применять новые способы склейки. Повышение долговечности де- | ревянных деталей достигалось обработкой специальными лаками, обмоткой перкалем с последующей лакировкой. Еще на Московской выставке 1912 г. «Дукс» продемонстрировал французский нитроцеллюлозный аэролак «L’Emalite» («Эмалит») и одним из первых стал широко применять его для покрытия полотняной обтяжки крыльев. Несмотря на значительную дороговизну, эмалит обеспечивал очень высокое качество натяжки полотна на каркас крыльев, не допуская провисания (15464).</w:t>
      </w:r>
    </w:p>
    <w:p w14:paraId="28BA8E51" w14:textId="77777777" w:rsidR="000D3EFD" w:rsidRPr="00405303" w:rsidRDefault="000D3EFD" w:rsidP="00C15251">
      <w:pPr>
        <w:pStyle w:val="2"/>
        <w:spacing w:before="0" w:after="0"/>
        <w:jc w:val="both"/>
        <w:rPr>
          <w:b w:val="0"/>
          <w:color w:val="002060"/>
          <w:sz w:val="16"/>
          <w:szCs w:val="16"/>
        </w:rPr>
      </w:pPr>
    </w:p>
    <w:p w14:paraId="17F28734" w14:textId="77777777" w:rsidR="000D3EFD" w:rsidRPr="00405303" w:rsidRDefault="000D3EFD" w:rsidP="00C15251">
      <w:pPr>
        <w:pStyle w:val="2"/>
        <w:spacing w:before="0" w:after="0"/>
        <w:jc w:val="both"/>
        <w:rPr>
          <w:b w:val="0"/>
          <w:color w:val="002060"/>
          <w:sz w:val="16"/>
          <w:szCs w:val="16"/>
        </w:rPr>
      </w:pPr>
      <w:r w:rsidRPr="00405303">
        <w:rPr>
          <w:b w:val="0"/>
          <w:color w:val="002060"/>
          <w:sz w:val="16"/>
          <w:szCs w:val="16"/>
        </w:rPr>
        <w:lastRenderedPageBreak/>
        <w:t>С 1915—1916 гг. в Москве широко применяли так называемый «Коховскин нитроцеллюлозный аэролак одного покрытия». Поверх него наносили слой масляного лака № 17. Название Коховский пошло от фамилии владельца небольшого агрохимического завода И.К.Коха. В 1914 г. это предприятие эвакуировали из Риги и разместили на Можайском шоссе в Дорогомилово (15454).</w:t>
      </w:r>
    </w:p>
    <w:p w14:paraId="4E399E32" w14:textId="77777777" w:rsidR="000D3EFD" w:rsidRPr="00405303" w:rsidRDefault="000D3EFD" w:rsidP="00C15251">
      <w:pPr>
        <w:pStyle w:val="2"/>
        <w:spacing w:before="0" w:after="0"/>
        <w:jc w:val="both"/>
        <w:rPr>
          <w:b w:val="0"/>
          <w:color w:val="002060"/>
          <w:sz w:val="16"/>
          <w:szCs w:val="16"/>
        </w:rPr>
      </w:pPr>
    </w:p>
    <w:p w14:paraId="12306B01"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Другие оборонные отрасли:</w:t>
      </w:r>
    </w:p>
    <w:p w14:paraId="6685C37A" w14:textId="77777777" w:rsidR="004B4E35" w:rsidRPr="00405303" w:rsidRDefault="004B4E35" w:rsidP="00C15251">
      <w:pPr>
        <w:shd w:val="clear" w:color="auto" w:fill="FFFFFF"/>
        <w:jc w:val="both"/>
        <w:rPr>
          <w:bCs/>
          <w:i/>
          <w:color w:val="002060"/>
          <w:sz w:val="16"/>
          <w:szCs w:val="16"/>
        </w:rPr>
      </w:pPr>
    </w:p>
    <w:p w14:paraId="34A90F6A" w14:textId="00F4066D" w:rsidR="00D9522F" w:rsidRPr="00405303" w:rsidRDefault="00D9522F" w:rsidP="00C15251">
      <w:pPr>
        <w:jc w:val="both"/>
        <w:rPr>
          <w:bCs/>
          <w:color w:val="002060"/>
          <w:sz w:val="16"/>
          <w:szCs w:val="16"/>
        </w:rPr>
      </w:pPr>
      <w:r w:rsidRPr="00405303">
        <w:rPr>
          <w:bCs/>
          <w:color w:val="002060"/>
          <w:sz w:val="16"/>
          <w:szCs w:val="16"/>
        </w:rPr>
        <w:t>В 1915 - 1917 гг. из строившихся в разных частях империи автомобильных заводов, три возводились в Москве: Государственный автозавод в Мытищах, АМО за Симоновой слободой (ныне ЗИЛ) и</w:t>
      </w:r>
      <w:r w:rsidR="000F5756">
        <w:rPr>
          <w:bCs/>
          <w:color w:val="002060"/>
          <w:sz w:val="16"/>
          <w:szCs w:val="16"/>
        </w:rPr>
        <w:t xml:space="preserve"> </w:t>
      </w:r>
      <w:r w:rsidRPr="00405303">
        <w:rPr>
          <w:bCs/>
          <w:color w:val="002060"/>
          <w:sz w:val="16"/>
          <w:szCs w:val="16"/>
        </w:rPr>
        <w:t>РБВЗ</w:t>
      </w:r>
      <w:r w:rsidR="000F5756">
        <w:rPr>
          <w:bCs/>
          <w:color w:val="002060"/>
          <w:sz w:val="16"/>
          <w:szCs w:val="16"/>
        </w:rPr>
        <w:t xml:space="preserve"> </w:t>
      </w:r>
      <w:r w:rsidRPr="00405303">
        <w:rPr>
          <w:bCs/>
          <w:color w:val="002060"/>
          <w:sz w:val="16"/>
          <w:szCs w:val="16"/>
        </w:rPr>
        <w:t>в Филях. Особая ставка делалась на последний. О надежности, неприхотливости и простоте «самоходов» производства</w:t>
      </w:r>
      <w:r w:rsidR="000F5756">
        <w:rPr>
          <w:bCs/>
          <w:color w:val="002060"/>
          <w:sz w:val="16"/>
          <w:szCs w:val="16"/>
        </w:rPr>
        <w:t xml:space="preserve"> </w:t>
      </w:r>
      <w:r w:rsidRPr="00405303">
        <w:rPr>
          <w:bCs/>
          <w:color w:val="002060"/>
          <w:sz w:val="16"/>
          <w:szCs w:val="16"/>
        </w:rPr>
        <w:t>РБВЗ</w:t>
      </w:r>
      <w:r w:rsidR="000F5756">
        <w:rPr>
          <w:bCs/>
          <w:color w:val="002060"/>
          <w:sz w:val="16"/>
          <w:szCs w:val="16"/>
        </w:rPr>
        <w:t xml:space="preserve"> </w:t>
      </w:r>
      <w:r w:rsidRPr="00405303">
        <w:rPr>
          <w:bCs/>
          <w:color w:val="002060"/>
          <w:sz w:val="16"/>
          <w:szCs w:val="16"/>
        </w:rPr>
        <w:t>(так в то время именовали в армии автомобили) в войсках ходили легенды. Помимо обычных колесных шасси для автомобилей рижский завод</w:t>
      </w:r>
      <w:r w:rsidR="000F5756">
        <w:rPr>
          <w:bCs/>
          <w:color w:val="002060"/>
          <w:sz w:val="16"/>
          <w:szCs w:val="16"/>
        </w:rPr>
        <w:t xml:space="preserve"> </w:t>
      </w:r>
      <w:r w:rsidRPr="00405303">
        <w:rPr>
          <w:bCs/>
          <w:color w:val="002060"/>
          <w:sz w:val="16"/>
          <w:szCs w:val="16"/>
        </w:rPr>
        <w:t>РБВЗ</w:t>
      </w:r>
      <w:r w:rsidR="00DB4D64" w:rsidRPr="00405303">
        <w:rPr>
          <w:bCs/>
          <w:color w:val="002060"/>
          <w:sz w:val="16"/>
          <w:szCs w:val="16"/>
        </w:rPr>
        <w:t xml:space="preserve"> </w:t>
      </w:r>
      <w:r w:rsidRPr="00405303">
        <w:rPr>
          <w:bCs/>
          <w:color w:val="002060"/>
          <w:sz w:val="16"/>
          <w:szCs w:val="16"/>
        </w:rPr>
        <w:t>, например, выпускал и оригинальные полугусеничные шасси системы прапорщика русской армии Кегресса, служившие базой для вездеходов и бронемашин. Новый завод в Филях, получивший название «Автомобильный завод</w:t>
      </w:r>
      <w:r w:rsidR="000F5756">
        <w:rPr>
          <w:bCs/>
          <w:color w:val="002060"/>
          <w:sz w:val="16"/>
          <w:szCs w:val="16"/>
        </w:rPr>
        <w:t xml:space="preserve"> </w:t>
      </w:r>
      <w:r w:rsidRPr="00405303">
        <w:rPr>
          <w:bCs/>
          <w:color w:val="002060"/>
          <w:sz w:val="16"/>
          <w:szCs w:val="16"/>
        </w:rPr>
        <w:t>РБВЗ</w:t>
      </w:r>
      <w:r w:rsidR="00DB4D64" w:rsidRPr="00405303">
        <w:rPr>
          <w:bCs/>
          <w:color w:val="002060"/>
          <w:sz w:val="16"/>
          <w:szCs w:val="16"/>
        </w:rPr>
        <w:t xml:space="preserve"> </w:t>
      </w:r>
      <w:r w:rsidRPr="00405303">
        <w:rPr>
          <w:bCs/>
          <w:color w:val="002060"/>
          <w:sz w:val="16"/>
          <w:szCs w:val="16"/>
        </w:rPr>
        <w:t>» (или Русско-Балтийский автомобильный завод - «Автобалт) строился с поистине российским размахом. Причиной возведения «Автобалта» в Москве были не только огромные заказы на прекрасно зарекомендовавшие себя в нелегких фронтовых условиях автомобили, но и эвакуация рижского завода в связи с приближением фронта к городу. Эвакуированное из Риги оборудование</w:t>
      </w:r>
      <w:r w:rsidR="000F5756">
        <w:rPr>
          <w:bCs/>
          <w:color w:val="002060"/>
          <w:sz w:val="16"/>
          <w:szCs w:val="16"/>
        </w:rPr>
        <w:t xml:space="preserve"> </w:t>
      </w:r>
      <w:r w:rsidRPr="00405303">
        <w:rPr>
          <w:bCs/>
          <w:color w:val="002060"/>
          <w:sz w:val="16"/>
          <w:szCs w:val="16"/>
        </w:rPr>
        <w:t>РБВЗ</w:t>
      </w:r>
      <w:r w:rsidR="000F5756">
        <w:rPr>
          <w:bCs/>
          <w:color w:val="002060"/>
          <w:sz w:val="16"/>
          <w:szCs w:val="16"/>
        </w:rPr>
        <w:t xml:space="preserve"> </w:t>
      </w:r>
      <w:r w:rsidRPr="00405303">
        <w:rPr>
          <w:bCs/>
          <w:color w:val="002060"/>
          <w:sz w:val="16"/>
          <w:szCs w:val="16"/>
        </w:rPr>
        <w:t>разместили преимущественно в Твери на бывшем Верхневолжском вагоностроительном заводе, оставшуюся его часть направили</w:t>
      </w:r>
      <w:r w:rsidR="000F5756">
        <w:rPr>
          <w:bCs/>
          <w:color w:val="002060"/>
          <w:sz w:val="16"/>
          <w:szCs w:val="16"/>
        </w:rPr>
        <w:t xml:space="preserve"> </w:t>
      </w:r>
      <w:proofErr w:type="gramStart"/>
      <w:r w:rsidRPr="00405303">
        <w:rPr>
          <w:bCs/>
          <w:color w:val="002060"/>
          <w:sz w:val="16"/>
          <w:szCs w:val="16"/>
        </w:rPr>
        <w:t>в</w:t>
      </w:r>
      <w:r w:rsidR="000F5756">
        <w:rPr>
          <w:bCs/>
          <w:color w:val="002060"/>
          <w:sz w:val="16"/>
          <w:szCs w:val="16"/>
        </w:rPr>
        <w:t xml:space="preserve"> </w:t>
      </w:r>
      <w:r w:rsidR="00DB4D64" w:rsidRPr="00405303">
        <w:rPr>
          <w:bCs/>
          <w:color w:val="002060"/>
          <w:sz w:val="16"/>
          <w:szCs w:val="16"/>
        </w:rPr>
        <w:t xml:space="preserve"> </w:t>
      </w:r>
      <w:r w:rsidRPr="00405303">
        <w:rPr>
          <w:bCs/>
          <w:color w:val="002060"/>
          <w:sz w:val="16"/>
          <w:szCs w:val="16"/>
        </w:rPr>
        <w:t>Петроград</w:t>
      </w:r>
      <w:proofErr w:type="gramEnd"/>
      <w:r w:rsidR="00DB4D64" w:rsidRPr="00405303">
        <w:rPr>
          <w:bCs/>
          <w:color w:val="002060"/>
          <w:sz w:val="16"/>
          <w:szCs w:val="16"/>
        </w:rPr>
        <w:t xml:space="preserve"> </w:t>
      </w:r>
      <w:r w:rsidRPr="00405303">
        <w:rPr>
          <w:bCs/>
          <w:color w:val="002060"/>
          <w:sz w:val="16"/>
          <w:szCs w:val="16"/>
        </w:rPr>
        <w:t xml:space="preserve">. Его размеры поражали даже приглашенных для консультаций американцев. Огромные корпуса, собственная электростанция, американские и отечественные станки новейших марок, жилой городок для рабочих и служащих </w:t>
      </w:r>
      <w:proofErr w:type="gramStart"/>
      <w:r w:rsidRPr="00405303">
        <w:rPr>
          <w:bCs/>
          <w:color w:val="002060"/>
          <w:sz w:val="16"/>
          <w:szCs w:val="16"/>
        </w:rPr>
        <w:t>- все это</w:t>
      </w:r>
      <w:proofErr w:type="gramEnd"/>
      <w:r w:rsidRPr="00405303">
        <w:rPr>
          <w:bCs/>
          <w:color w:val="002060"/>
          <w:sz w:val="16"/>
          <w:szCs w:val="16"/>
        </w:rPr>
        <w:t xml:space="preserve"> вызывало восхищение. Несмотря на начавшийся в 1917 г. развал экономики, автозавод все-таки удалось к 1918 г. почти построить. Если вначале он предназначался для производства только автомобилей, то в 1917 г. его стали рассматривать как многопрофильное производство, в том числе и для выпуска авиационной техники (15127).</w:t>
      </w:r>
    </w:p>
    <w:p w14:paraId="54C12528" w14:textId="77777777" w:rsidR="00D9522F" w:rsidRPr="00405303" w:rsidRDefault="00D9522F" w:rsidP="00C15251">
      <w:pPr>
        <w:jc w:val="both"/>
        <w:rPr>
          <w:bCs/>
          <w:color w:val="002060"/>
          <w:sz w:val="16"/>
          <w:szCs w:val="16"/>
        </w:rPr>
      </w:pPr>
    </w:p>
    <w:p w14:paraId="10BB4C98" w14:textId="77777777" w:rsidR="004B4E35" w:rsidRPr="00405303" w:rsidRDefault="009E6F82" w:rsidP="00C15251">
      <w:pPr>
        <w:shd w:val="clear" w:color="auto" w:fill="FFFFFF"/>
        <w:jc w:val="both"/>
        <w:rPr>
          <w:bCs/>
          <w:i/>
          <w:color w:val="002060"/>
          <w:sz w:val="16"/>
          <w:szCs w:val="16"/>
        </w:rPr>
      </w:pPr>
      <w:r w:rsidRPr="00405303">
        <w:rPr>
          <w:bCs/>
          <w:color w:val="002060"/>
          <w:sz w:val="16"/>
          <w:szCs w:val="16"/>
        </w:rPr>
        <w:t>В 1915—1916 гг. были построены и введены в эксплуатацию сна-ряжательные мастерские Тверская, Екатеринославская, Кронштадт</w:t>
      </w:r>
      <w:r w:rsidRPr="00405303">
        <w:rPr>
          <w:bCs/>
          <w:color w:val="002060"/>
          <w:sz w:val="16"/>
          <w:szCs w:val="16"/>
        </w:rPr>
        <w:softHyphen/>
        <w:t>ская и Свеаборгская, предназначенные для изготовления артилле</w:t>
      </w:r>
      <w:r w:rsidRPr="00405303">
        <w:rPr>
          <w:bCs/>
          <w:color w:val="002060"/>
          <w:sz w:val="16"/>
          <w:szCs w:val="16"/>
        </w:rPr>
        <w:softHyphen/>
        <w:t>рийских мин к минометам Лихонина и Дюмезиля, ручных гранат и снарядов к 9-см бомбометам. Кроме того, для снаряжения зажигательных и химических сна</w:t>
      </w:r>
      <w:r w:rsidRPr="00405303">
        <w:rPr>
          <w:bCs/>
          <w:color w:val="002060"/>
          <w:sz w:val="16"/>
          <w:szCs w:val="16"/>
        </w:rPr>
        <w:softHyphen/>
        <w:t>рядов в Петрограде в 1916 г. были созданы соответствующие мастер</w:t>
      </w:r>
      <w:r w:rsidRPr="00405303">
        <w:rPr>
          <w:bCs/>
          <w:color w:val="002060"/>
          <w:sz w:val="16"/>
          <w:szCs w:val="16"/>
        </w:rPr>
        <w:softHyphen/>
        <w:t>ские [5, с. 135]. Все эти мастерские были ликвидированы в 1918 г. Значительная часть строек казенных заводов и мастерских по производству взрывчатых веществ и боеприпасов, которые осущест</w:t>
      </w:r>
      <w:r w:rsidRPr="00405303">
        <w:rPr>
          <w:bCs/>
          <w:color w:val="002060"/>
          <w:sz w:val="16"/>
          <w:szCs w:val="16"/>
        </w:rPr>
        <w:softHyphen/>
        <w:t>влялись в годы первой мировой войны, была запоздалой и до конца войны полностью не завершилась</w:t>
      </w:r>
      <w:r w:rsidRPr="00405303">
        <w:rPr>
          <w:bCs/>
          <w:i/>
          <w:color w:val="002060"/>
          <w:sz w:val="16"/>
          <w:szCs w:val="16"/>
        </w:rPr>
        <w:t xml:space="preserve"> (5484).</w:t>
      </w:r>
    </w:p>
    <w:p w14:paraId="7C762D9F" w14:textId="77777777" w:rsidR="004B4E35" w:rsidRPr="00405303" w:rsidRDefault="004B4E35" w:rsidP="00C15251">
      <w:pPr>
        <w:shd w:val="clear" w:color="auto" w:fill="FFFFFF"/>
        <w:jc w:val="both"/>
        <w:rPr>
          <w:bCs/>
          <w:i/>
          <w:color w:val="002060"/>
          <w:sz w:val="16"/>
          <w:szCs w:val="16"/>
        </w:rPr>
      </w:pPr>
    </w:p>
    <w:p w14:paraId="11E327D8" w14:textId="77777777" w:rsidR="000B3BFF" w:rsidRPr="00405303" w:rsidRDefault="000B3BFF" w:rsidP="00C15251">
      <w:pPr>
        <w:shd w:val="clear" w:color="auto" w:fill="FFFFFF"/>
        <w:jc w:val="both"/>
        <w:rPr>
          <w:color w:val="002060"/>
          <w:sz w:val="16"/>
          <w:szCs w:val="16"/>
        </w:rPr>
      </w:pPr>
      <w:r w:rsidRPr="00405303">
        <w:rPr>
          <w:color w:val="002060"/>
          <w:sz w:val="16"/>
          <w:szCs w:val="16"/>
        </w:rPr>
        <w:t>В 1915-1916 гг. спустили на воду четыре линейных крейсера - “Измаил”, “Кинбурн”, “Бородино”, “Наварин”, заложенные еще до войны, далее построй</w:t>
      </w:r>
      <w:r w:rsidRPr="00405303">
        <w:rPr>
          <w:color w:val="002060"/>
          <w:sz w:val="16"/>
          <w:szCs w:val="16"/>
        </w:rPr>
        <w:softHyphen/>
        <w:t>ка затормозилась. “Бородино” и “Наварин” некоторое время продолжали строить уже при советской власти, од</w:t>
      </w:r>
      <w:r w:rsidRPr="00405303">
        <w:rPr>
          <w:color w:val="002060"/>
          <w:sz w:val="16"/>
          <w:szCs w:val="16"/>
        </w:rPr>
        <w:softHyphen/>
        <w:t>нако в связи с тяжелым экономическим положением ра</w:t>
      </w:r>
      <w:r w:rsidRPr="00405303">
        <w:rPr>
          <w:color w:val="002060"/>
          <w:sz w:val="16"/>
          <w:szCs w:val="16"/>
        </w:rPr>
        <w:softHyphen/>
        <w:t>боты прекратили. Постановлением Совета Труда и Обо</w:t>
      </w:r>
      <w:r w:rsidRPr="00405303">
        <w:rPr>
          <w:color w:val="002060"/>
          <w:sz w:val="16"/>
          <w:szCs w:val="16"/>
        </w:rPr>
        <w:softHyphen/>
        <w:t>роны Советской Республики от 19 июля 1922 г. три из ука</w:t>
      </w:r>
      <w:r w:rsidRPr="00405303">
        <w:rPr>
          <w:color w:val="002060"/>
          <w:sz w:val="16"/>
          <w:szCs w:val="16"/>
        </w:rPr>
        <w:softHyphen/>
        <w:t>занных крейсеров исключили из списков флота и в мае 1923 г. продали за границу. Корпуса “Кинбурна”, “Боро</w:t>
      </w:r>
      <w:r w:rsidRPr="00405303">
        <w:rPr>
          <w:color w:val="002060"/>
          <w:sz w:val="16"/>
          <w:szCs w:val="16"/>
        </w:rPr>
        <w:softHyphen/>
        <w:t>дино” и “Наварина” приобрела немецкая фирма “Альф</w:t>
      </w:r>
      <w:r w:rsidRPr="00405303">
        <w:rPr>
          <w:color w:val="002060"/>
          <w:sz w:val="16"/>
          <w:szCs w:val="16"/>
        </w:rPr>
        <w:softHyphen/>
        <w:t>ред Кубац”, после чего их отбуксировали в Германию, где разделали на металл. Судьба “Измаила” имела продолже</w:t>
      </w:r>
      <w:r w:rsidRPr="00405303">
        <w:rPr>
          <w:color w:val="002060"/>
          <w:sz w:val="16"/>
          <w:szCs w:val="16"/>
        </w:rPr>
        <w:softHyphen/>
        <w:t>ние. В марте 1925 г. начались проработки вариантов пере</w:t>
      </w:r>
      <w:r w:rsidRPr="00405303">
        <w:rPr>
          <w:color w:val="002060"/>
          <w:sz w:val="16"/>
          <w:szCs w:val="16"/>
        </w:rPr>
        <w:softHyphen/>
        <w:t>оборудования его в авианосец водоизмещением 22000 т для базирования на нем до 45 самолетов. Однако дальше составления проекта дело не пошло, и в начале 1930 гг. корпус “Измаила” разобрали (11107).</w:t>
      </w:r>
    </w:p>
    <w:p w14:paraId="527C317B" w14:textId="77777777" w:rsidR="000B3BFF" w:rsidRPr="00405303" w:rsidRDefault="000B3BFF" w:rsidP="00C15251">
      <w:pPr>
        <w:shd w:val="clear" w:color="auto" w:fill="FFFFFF"/>
        <w:jc w:val="both"/>
        <w:rPr>
          <w:color w:val="002060"/>
          <w:sz w:val="16"/>
          <w:szCs w:val="16"/>
        </w:rPr>
      </w:pPr>
    </w:p>
    <w:p w14:paraId="2DD32DED" w14:textId="00DCAA4C" w:rsidR="000B3BFF" w:rsidRPr="00405303" w:rsidRDefault="000B3BFF" w:rsidP="00C15251">
      <w:pPr>
        <w:jc w:val="both"/>
        <w:rPr>
          <w:bCs/>
          <w:color w:val="002060"/>
          <w:sz w:val="16"/>
          <w:szCs w:val="16"/>
        </w:rPr>
      </w:pPr>
      <w:r w:rsidRPr="00405303">
        <w:rPr>
          <w:bCs/>
          <w:color w:val="002060"/>
          <w:sz w:val="16"/>
          <w:szCs w:val="16"/>
        </w:rPr>
        <w:t>В 1915 - 1917 гг. из строившихся в разных частях империи автомобильных заводов, три возводились в Москве: Государственный автозавод в Мытищах, АМО за Симоновой слободой (ныне ЗИЛ) и</w:t>
      </w:r>
      <w:r w:rsidR="000F5756">
        <w:rPr>
          <w:bCs/>
          <w:color w:val="002060"/>
          <w:sz w:val="16"/>
          <w:szCs w:val="16"/>
        </w:rPr>
        <w:t xml:space="preserve"> </w:t>
      </w:r>
      <w:r w:rsidRPr="00405303">
        <w:rPr>
          <w:bCs/>
          <w:color w:val="002060"/>
          <w:sz w:val="16"/>
          <w:szCs w:val="16"/>
        </w:rPr>
        <w:t>РБВЗ</w:t>
      </w:r>
      <w:r w:rsidR="000F5756">
        <w:rPr>
          <w:bCs/>
          <w:color w:val="002060"/>
          <w:sz w:val="16"/>
          <w:szCs w:val="16"/>
        </w:rPr>
        <w:t xml:space="preserve"> </w:t>
      </w:r>
      <w:r w:rsidRPr="00405303">
        <w:rPr>
          <w:bCs/>
          <w:color w:val="002060"/>
          <w:sz w:val="16"/>
          <w:szCs w:val="16"/>
        </w:rPr>
        <w:t>в Филях. Особая ставка делалась на последний. О надежности, неприхотливости и простоте «самоходов» производства</w:t>
      </w:r>
      <w:r w:rsidR="000F5756">
        <w:rPr>
          <w:bCs/>
          <w:color w:val="002060"/>
          <w:sz w:val="16"/>
          <w:szCs w:val="16"/>
        </w:rPr>
        <w:t xml:space="preserve"> </w:t>
      </w:r>
      <w:r w:rsidRPr="00405303">
        <w:rPr>
          <w:bCs/>
          <w:color w:val="002060"/>
          <w:sz w:val="16"/>
          <w:szCs w:val="16"/>
        </w:rPr>
        <w:t>РБВЗ</w:t>
      </w:r>
      <w:r w:rsidR="000F5756">
        <w:rPr>
          <w:bCs/>
          <w:color w:val="002060"/>
          <w:sz w:val="16"/>
          <w:szCs w:val="16"/>
        </w:rPr>
        <w:t xml:space="preserve"> </w:t>
      </w:r>
      <w:r w:rsidRPr="00405303">
        <w:rPr>
          <w:bCs/>
          <w:color w:val="002060"/>
          <w:sz w:val="16"/>
          <w:szCs w:val="16"/>
        </w:rPr>
        <w:t>(так в то время именовали в армии автомобили) в войсках ходили легенды. Помимо обычных колесных шасси для автомобилей рижский завод</w:t>
      </w:r>
      <w:r w:rsidR="000F5756">
        <w:rPr>
          <w:bCs/>
          <w:color w:val="002060"/>
          <w:sz w:val="16"/>
          <w:szCs w:val="16"/>
        </w:rPr>
        <w:t xml:space="preserve"> </w:t>
      </w:r>
      <w:r w:rsidRPr="00405303">
        <w:rPr>
          <w:bCs/>
          <w:color w:val="002060"/>
          <w:sz w:val="16"/>
          <w:szCs w:val="16"/>
        </w:rPr>
        <w:t>РБВЗ</w:t>
      </w:r>
      <w:r w:rsidR="000D3EFD" w:rsidRPr="00405303">
        <w:rPr>
          <w:bCs/>
          <w:color w:val="002060"/>
          <w:sz w:val="16"/>
          <w:szCs w:val="16"/>
        </w:rPr>
        <w:t xml:space="preserve"> </w:t>
      </w:r>
      <w:r w:rsidRPr="00405303">
        <w:rPr>
          <w:bCs/>
          <w:color w:val="002060"/>
          <w:sz w:val="16"/>
          <w:szCs w:val="16"/>
        </w:rPr>
        <w:t>, например, выпускал и оригинальные полугусеничные шасси системы прапорщика русской армии Кегресса, служившие базой для вездеходов и бронемашин. Новый завод в Филях, получивший название «Автомобильный завод</w:t>
      </w:r>
      <w:r w:rsidR="000F5756">
        <w:rPr>
          <w:bCs/>
          <w:color w:val="002060"/>
          <w:sz w:val="16"/>
          <w:szCs w:val="16"/>
        </w:rPr>
        <w:t xml:space="preserve"> </w:t>
      </w:r>
      <w:r w:rsidRPr="00405303">
        <w:rPr>
          <w:bCs/>
          <w:color w:val="002060"/>
          <w:sz w:val="16"/>
          <w:szCs w:val="16"/>
        </w:rPr>
        <w:t>РБВЗ</w:t>
      </w:r>
      <w:r w:rsidR="000D3EFD" w:rsidRPr="00405303">
        <w:rPr>
          <w:bCs/>
          <w:color w:val="002060"/>
          <w:sz w:val="16"/>
          <w:szCs w:val="16"/>
        </w:rPr>
        <w:t xml:space="preserve"> </w:t>
      </w:r>
      <w:r w:rsidRPr="00405303">
        <w:rPr>
          <w:bCs/>
          <w:color w:val="002060"/>
          <w:sz w:val="16"/>
          <w:szCs w:val="16"/>
        </w:rPr>
        <w:t>» (или Русско-Балтийский автомобильный завод - «Автобалт) строился с поистине российским размахом. Причиной возведения «Автобалта» в Москве были не только огромные заказы на прекрасно зарекомендовавшие себя в нелегких фронтовых условиях автомобили, но и эвакуация рижского завода в связи с приближением фронта к городу. Эвакуированное из Риги оборудование</w:t>
      </w:r>
      <w:r w:rsidR="000F5756">
        <w:rPr>
          <w:bCs/>
          <w:color w:val="002060"/>
          <w:sz w:val="16"/>
          <w:szCs w:val="16"/>
        </w:rPr>
        <w:t xml:space="preserve"> </w:t>
      </w:r>
      <w:r w:rsidRPr="00405303">
        <w:rPr>
          <w:bCs/>
          <w:color w:val="002060"/>
          <w:sz w:val="16"/>
          <w:szCs w:val="16"/>
        </w:rPr>
        <w:t>РБВЗ</w:t>
      </w:r>
      <w:r w:rsidR="000F5756">
        <w:rPr>
          <w:bCs/>
          <w:color w:val="002060"/>
          <w:sz w:val="16"/>
          <w:szCs w:val="16"/>
        </w:rPr>
        <w:t xml:space="preserve"> </w:t>
      </w:r>
      <w:r w:rsidRPr="00405303">
        <w:rPr>
          <w:bCs/>
          <w:color w:val="002060"/>
          <w:sz w:val="16"/>
          <w:szCs w:val="16"/>
        </w:rPr>
        <w:t>разместили преимущественно в Твери на бывшем Верхневолжском вагоностроительном заводе, оставшуюся его часть направили</w:t>
      </w:r>
      <w:r w:rsidR="000F5756">
        <w:rPr>
          <w:bCs/>
          <w:color w:val="002060"/>
          <w:sz w:val="16"/>
          <w:szCs w:val="16"/>
        </w:rPr>
        <w:t xml:space="preserve"> </w:t>
      </w:r>
      <w:proofErr w:type="gramStart"/>
      <w:r w:rsidRPr="00405303">
        <w:rPr>
          <w:bCs/>
          <w:color w:val="002060"/>
          <w:sz w:val="16"/>
          <w:szCs w:val="16"/>
        </w:rPr>
        <w:t>в</w:t>
      </w:r>
      <w:r w:rsidR="000F5756">
        <w:rPr>
          <w:bCs/>
          <w:color w:val="002060"/>
          <w:sz w:val="16"/>
          <w:szCs w:val="16"/>
        </w:rPr>
        <w:t xml:space="preserve"> </w:t>
      </w:r>
      <w:r w:rsidR="000D3EFD" w:rsidRPr="00405303">
        <w:rPr>
          <w:bCs/>
          <w:color w:val="002060"/>
          <w:sz w:val="16"/>
          <w:szCs w:val="16"/>
        </w:rPr>
        <w:t xml:space="preserve"> </w:t>
      </w:r>
      <w:r w:rsidRPr="00405303">
        <w:rPr>
          <w:bCs/>
          <w:color w:val="002060"/>
          <w:sz w:val="16"/>
          <w:szCs w:val="16"/>
        </w:rPr>
        <w:t>Петроград</w:t>
      </w:r>
      <w:proofErr w:type="gramEnd"/>
      <w:r w:rsidR="000D3EFD" w:rsidRPr="00405303">
        <w:rPr>
          <w:bCs/>
          <w:color w:val="002060"/>
          <w:sz w:val="16"/>
          <w:szCs w:val="16"/>
        </w:rPr>
        <w:t xml:space="preserve"> </w:t>
      </w:r>
      <w:r w:rsidRPr="00405303">
        <w:rPr>
          <w:bCs/>
          <w:color w:val="002060"/>
          <w:sz w:val="16"/>
          <w:szCs w:val="16"/>
        </w:rPr>
        <w:t xml:space="preserve">. Его размеры поражали даже приглашенных для консультаций американцев. Огромные корпуса, собственная электростанция, американские и отечественные станки новейших марок, жилой городок для рабочих и служащих </w:t>
      </w:r>
      <w:proofErr w:type="gramStart"/>
      <w:r w:rsidRPr="00405303">
        <w:rPr>
          <w:bCs/>
          <w:color w:val="002060"/>
          <w:sz w:val="16"/>
          <w:szCs w:val="16"/>
        </w:rPr>
        <w:t>- все это</w:t>
      </w:r>
      <w:proofErr w:type="gramEnd"/>
      <w:r w:rsidRPr="00405303">
        <w:rPr>
          <w:bCs/>
          <w:color w:val="002060"/>
          <w:sz w:val="16"/>
          <w:szCs w:val="16"/>
        </w:rPr>
        <w:t xml:space="preserve"> вызывало восхищение. Несмотря на начавшийся в 1917 г. развал экономики, автозавод все-таки удалось к 1918 г. почти построить. Если вначале он предназначался для производства только автомобилей, то в 1917 г. его стали рассматривать как многопрофильное производство, в том числе и для выпуска авиационной техники (15127).</w:t>
      </w:r>
    </w:p>
    <w:p w14:paraId="1995966C" w14:textId="77777777" w:rsidR="000B3BFF" w:rsidRPr="00405303" w:rsidRDefault="000B3BFF" w:rsidP="00C15251">
      <w:pPr>
        <w:jc w:val="both"/>
        <w:rPr>
          <w:bCs/>
          <w:color w:val="002060"/>
          <w:sz w:val="16"/>
          <w:szCs w:val="16"/>
        </w:rPr>
      </w:pPr>
    </w:p>
    <w:p w14:paraId="1AB85EFD" w14:textId="2A4B34F7" w:rsidR="000B3BFF" w:rsidRPr="00405303" w:rsidRDefault="000B3BFF" w:rsidP="00C15251">
      <w:pPr>
        <w:jc w:val="both"/>
        <w:rPr>
          <w:color w:val="002060"/>
          <w:sz w:val="16"/>
          <w:szCs w:val="16"/>
        </w:rPr>
      </w:pPr>
      <w:r w:rsidRPr="00405303">
        <w:rPr>
          <w:color w:val="002060"/>
          <w:sz w:val="16"/>
          <w:szCs w:val="16"/>
        </w:rPr>
        <w:t>В 1915-16 г. действовало объединенное правление Балтийским и Адмиралтейским заводами (Завод № 194 им. товарища А. Марти НКОП, НКСП, Главное Адмиралтейство, Ленинградский судостроительный завод им. А. Марти ВСНХ, НКТП, Ленинградский судостроительный и механический завод, Ленинградский ордена Ленина и ордена Трудового Красного Знамени Адмиралтейский завод МСП, Ленинградское адмиралтейское объединение (ЛАО), ФГУП, ОАО «Адмиралтейские верфи» /г. Санкт-Петербург,</w:t>
      </w:r>
      <w:r w:rsidR="000F5756">
        <w:rPr>
          <w:color w:val="002060"/>
          <w:sz w:val="16"/>
          <w:szCs w:val="16"/>
        </w:rPr>
        <w:t xml:space="preserve"> </w:t>
      </w:r>
      <w:r w:rsidRPr="00405303">
        <w:rPr>
          <w:color w:val="002060"/>
          <w:sz w:val="16"/>
          <w:szCs w:val="16"/>
        </w:rPr>
        <w:t>г. Петроград;</w:t>
      </w:r>
      <w:r w:rsidR="000F5756">
        <w:rPr>
          <w:color w:val="002060"/>
          <w:sz w:val="16"/>
          <w:szCs w:val="16"/>
        </w:rPr>
        <w:t xml:space="preserve"> </w:t>
      </w:r>
      <w:r w:rsidRPr="00405303">
        <w:rPr>
          <w:color w:val="002060"/>
          <w:sz w:val="16"/>
          <w:szCs w:val="16"/>
        </w:rPr>
        <w:t>г. Ленинград п/я 348 (1938 г.)/ /190121</w:t>
      </w:r>
      <w:r w:rsidR="000F5756">
        <w:rPr>
          <w:color w:val="002060"/>
          <w:sz w:val="16"/>
          <w:szCs w:val="16"/>
        </w:rPr>
        <w:t xml:space="preserve"> </w:t>
      </w:r>
      <w:r w:rsidRPr="00405303">
        <w:rPr>
          <w:color w:val="002060"/>
          <w:sz w:val="16"/>
          <w:szCs w:val="16"/>
        </w:rPr>
        <w:t>г. Санкт-Петербург наб. р. Фонтанки, 203 тел. 312-72-12/). На базе «Петрозавода» (бывшей Охтинской верфи) был организован Охтинский снарядный цех Адмиралтейского завода (далее- «Петрозавод», см. завод № 370).</w:t>
      </w:r>
    </w:p>
    <w:p w14:paraId="2E20DAC4" w14:textId="68B778A2" w:rsidR="000B3BFF" w:rsidRPr="00405303" w:rsidRDefault="000B3BFF" w:rsidP="00C15251">
      <w:pPr>
        <w:jc w:val="both"/>
        <w:rPr>
          <w:color w:val="002060"/>
          <w:sz w:val="16"/>
          <w:szCs w:val="16"/>
        </w:rPr>
      </w:pPr>
      <w:r w:rsidRPr="00405303">
        <w:rPr>
          <w:color w:val="002060"/>
          <w:sz w:val="16"/>
          <w:szCs w:val="16"/>
        </w:rPr>
        <w:t>После революции Адмиралтейский завод Морского министерства передан в ведение НК по морским делам, находился на консервации. В 1919 г. подчинялся Цепвморзу, с 1920 г. - Управлению военной и военно-морской промышленности Петроградского СНХ, с 1922 г. - «Севзапвоенпрому», с 1924 г. - в ведении Судотреста. В 1922 г. заводу присвоено имя Марти, в 07.1922 г. он вошел в состав Балтийского завода на правах Адмиралтейского отделения. Пост, от 9.06.1926 г. в состав отделения вошел Ленинградский государственный механический завод им. Карла Либкнехта, и образован Ленинградский судостроительный и механический завод. В середине 1920-х</w:t>
      </w:r>
      <w:r w:rsidR="000F5756">
        <w:rPr>
          <w:color w:val="002060"/>
          <w:sz w:val="16"/>
          <w:szCs w:val="16"/>
        </w:rPr>
        <w:t xml:space="preserve"> </w:t>
      </w:r>
      <w:r w:rsidRPr="00405303">
        <w:rPr>
          <w:color w:val="002060"/>
          <w:sz w:val="16"/>
          <w:szCs w:val="16"/>
        </w:rPr>
        <w:t>г. Завод им. А. Марти в ведении Центрсудстроя Отдела металла ВСНХ, с 1930 г. - в ведении Союзверфи ВСНХ. В 1933 г. передан из Союзверфи в подчинение Главморпрому НКТП, в 12.1936 г. - НКОП. По пр. № Обсс от 30.12.1936 г. переименован в завод № 194 им. А, Марти, в 1937 г.-в ведении 2ГУ, приказом № 136 от 11.04.1937 г. утвержден Устав завода. В 02.1939 г. завод № 194 2ГУ передан в ведение 1ГУ НКСП.</w:t>
      </w:r>
    </w:p>
    <w:p w14:paraId="3D75564A" w14:textId="30567576" w:rsidR="000B3BFF" w:rsidRPr="00405303" w:rsidRDefault="000B3BFF" w:rsidP="00C15251">
      <w:pPr>
        <w:jc w:val="both"/>
        <w:rPr>
          <w:color w:val="002060"/>
          <w:sz w:val="16"/>
          <w:szCs w:val="16"/>
        </w:rPr>
      </w:pPr>
      <w:r w:rsidRPr="00405303">
        <w:rPr>
          <w:color w:val="002060"/>
          <w:sz w:val="16"/>
          <w:szCs w:val="16"/>
        </w:rPr>
        <w:t>Во второй половине 1920-х</w:t>
      </w:r>
      <w:r w:rsidR="000F5756">
        <w:rPr>
          <w:color w:val="002060"/>
          <w:sz w:val="16"/>
          <w:szCs w:val="16"/>
        </w:rPr>
        <w:t xml:space="preserve"> </w:t>
      </w:r>
      <w:r w:rsidRPr="00405303">
        <w:rPr>
          <w:color w:val="002060"/>
          <w:sz w:val="16"/>
          <w:szCs w:val="16"/>
        </w:rPr>
        <w:t>г. начато строительство железобетонных судов, для чего на острове Сальный Буян (территория на стыке бывшего Галерного островка и Франко-Русского завода) была оборудована перемычка существовавшего там ковша и образована судояма, в которой построен плавучий док. Новое производство преобразовано в самостоятельную Ленинградскую верфь железобетонного судостроения. В 03.1929 г. она присоединена к Ленинградскому судостроительному и механическому заводу.</w:t>
      </w:r>
    </w:p>
    <w:p w14:paraId="597C1A7D" w14:textId="108158A1" w:rsidR="000B3BFF" w:rsidRPr="00405303" w:rsidRDefault="000B3BFF" w:rsidP="00C15251">
      <w:pPr>
        <w:jc w:val="both"/>
        <w:rPr>
          <w:color w:val="002060"/>
          <w:sz w:val="16"/>
          <w:szCs w:val="16"/>
        </w:rPr>
      </w:pPr>
      <w:r w:rsidRPr="00405303">
        <w:rPr>
          <w:color w:val="002060"/>
          <w:sz w:val="16"/>
          <w:szCs w:val="16"/>
        </w:rPr>
        <w:t xml:space="preserve">В 1928-32 г. на заводе построен котельный цех и главный магазин (склад). В 1929 г. введен в строй цех № 17 для постройки дюралюминиевых торпедных катеров (хотя катера строились с 12.1927 г.). В 1935 г. в этом цехе построен дальний арктический разведчик ДАР </w:t>
      </w:r>
      <w:r w:rsidRPr="00405303">
        <w:rPr>
          <w:color w:val="002060"/>
          <w:sz w:val="16"/>
          <w:szCs w:val="16"/>
          <w:lang w:val="en-US"/>
        </w:rPr>
        <w:t>P</w:t>
      </w:r>
      <w:r w:rsidRPr="00405303">
        <w:rPr>
          <w:color w:val="002060"/>
          <w:sz w:val="16"/>
          <w:szCs w:val="16"/>
        </w:rPr>
        <w:t>.</w:t>
      </w:r>
      <w:r w:rsidRPr="00405303">
        <w:rPr>
          <w:color w:val="002060"/>
          <w:sz w:val="16"/>
          <w:szCs w:val="16"/>
          <w:lang w:val="en-US"/>
        </w:rPr>
        <w:t>JI</w:t>
      </w:r>
      <w:r w:rsidRPr="00405303">
        <w:rPr>
          <w:color w:val="002060"/>
          <w:sz w:val="16"/>
          <w:szCs w:val="16"/>
        </w:rPr>
        <w:t>. Бартини. В начале 1930-х</w:t>
      </w:r>
      <w:r w:rsidR="000F5756">
        <w:rPr>
          <w:color w:val="002060"/>
          <w:sz w:val="16"/>
          <w:szCs w:val="16"/>
        </w:rPr>
        <w:t xml:space="preserve"> </w:t>
      </w:r>
      <w:r w:rsidRPr="00405303">
        <w:rPr>
          <w:color w:val="002060"/>
          <w:sz w:val="16"/>
          <w:szCs w:val="16"/>
        </w:rPr>
        <w:t>г. начато внедрение электросварки, на 1.01.1932 г. на заводе было 88 сварочных постов. С 1932-33 г. начато строительство ПЛ.</w:t>
      </w:r>
    </w:p>
    <w:p w14:paraId="091123CD" w14:textId="77777777" w:rsidR="000B3BFF" w:rsidRPr="00405303" w:rsidRDefault="000B3BFF" w:rsidP="00C15251">
      <w:pPr>
        <w:jc w:val="both"/>
        <w:rPr>
          <w:color w:val="002060"/>
          <w:sz w:val="16"/>
          <w:szCs w:val="16"/>
        </w:rPr>
      </w:pPr>
      <w:r w:rsidRPr="00405303">
        <w:rPr>
          <w:color w:val="002060"/>
          <w:sz w:val="16"/>
          <w:szCs w:val="16"/>
        </w:rPr>
        <w:t>В 1931 г. на площадке завода организован завод судовых механизмов, в 1932 г. он выделился в самостоятельный завод.</w:t>
      </w:r>
    </w:p>
    <w:p w14:paraId="719722A5" w14:textId="77777777" w:rsidR="000B3BFF" w:rsidRPr="00405303" w:rsidRDefault="000B3BFF" w:rsidP="00C15251">
      <w:pPr>
        <w:jc w:val="both"/>
        <w:rPr>
          <w:color w:val="002060"/>
          <w:sz w:val="16"/>
          <w:szCs w:val="16"/>
        </w:rPr>
      </w:pPr>
      <w:r w:rsidRPr="00405303">
        <w:rPr>
          <w:color w:val="002060"/>
          <w:sz w:val="16"/>
          <w:szCs w:val="16"/>
        </w:rPr>
        <w:t>По пр. НКТП № 12сс завод к 1.03.1937 г. должен был сдать судовые насосы: 32 турбо-масляных (сдано 4), 16 турбо-трюмно-пожарных (не сдано), 28 турбо-нефтяных (не сдано).</w:t>
      </w:r>
    </w:p>
    <w:p w14:paraId="4E191677" w14:textId="77777777" w:rsidR="000B3BFF" w:rsidRPr="00405303" w:rsidRDefault="000B3BFF" w:rsidP="00C15251">
      <w:pPr>
        <w:jc w:val="both"/>
        <w:rPr>
          <w:color w:val="002060"/>
          <w:sz w:val="16"/>
          <w:szCs w:val="16"/>
        </w:rPr>
      </w:pPr>
      <w:r w:rsidRPr="00405303">
        <w:rPr>
          <w:color w:val="002060"/>
          <w:sz w:val="16"/>
          <w:szCs w:val="16"/>
        </w:rPr>
        <w:t xml:space="preserve">Приказом НКОП № 06с от 14.01.1937 г. заводу поручено изготовить в 1937-38 г. 72 комплекта нижних площадок для стабилизированных визирных постов МПУАЗО-СО боевых кораблей. Приказом № 0088 от 22.04.1937 г. заводу предписано заложить по одному линкору типа «Б» в октябре и в ноябре 1937 г. (приказ был отменен </w:t>
      </w:r>
      <w:r w:rsidRPr="00405303">
        <w:rPr>
          <w:color w:val="002060"/>
          <w:sz w:val="16"/>
          <w:szCs w:val="16"/>
        </w:rPr>
        <w:lastRenderedPageBreak/>
        <w:t xml:space="preserve">пост, правительства № 87сс от 13/15.08.1937 г.). Пр. № 444сс от 25.11.1938 г. заводу предписано заложить в 4-м квартале 1938 г. 9 торпедных катеров </w:t>
      </w:r>
      <w:r w:rsidRPr="00405303">
        <w:rPr>
          <w:color w:val="002060"/>
          <w:sz w:val="16"/>
          <w:szCs w:val="16"/>
          <w:lang w:val="en-US"/>
        </w:rPr>
        <w:t>XI</w:t>
      </w:r>
      <w:r w:rsidRPr="00405303">
        <w:rPr>
          <w:color w:val="002060"/>
          <w:sz w:val="16"/>
          <w:szCs w:val="16"/>
        </w:rPr>
        <w:t>-й серии и две ПЛ типа «Щ» Х-й серии.</w:t>
      </w:r>
    </w:p>
    <w:p w14:paraId="337FBD41" w14:textId="77777777" w:rsidR="000B3BFF" w:rsidRPr="00405303" w:rsidRDefault="000B3BFF" w:rsidP="00C15251">
      <w:pPr>
        <w:jc w:val="both"/>
        <w:rPr>
          <w:color w:val="002060"/>
          <w:sz w:val="16"/>
          <w:szCs w:val="16"/>
        </w:rPr>
      </w:pPr>
      <w:r w:rsidRPr="00405303">
        <w:rPr>
          <w:color w:val="002060"/>
          <w:sz w:val="16"/>
          <w:szCs w:val="16"/>
        </w:rPr>
        <w:t>Приказом № 0014 от 1.02.1937 г. утверждены капработы на 1937 г. по удлинению стапелей; приказом № 0093 от 27.04.1937 г. определено дополнительно достроить 3-й механический цех. Приказом № 00235 от 29.10.1937 г. окончание работ по реконструкции стапелей было перенесено на 04.1938 г. По пр. № 482с от 31.12.1938 г. на заводе организован отдел опытных работ.</w:t>
      </w:r>
    </w:p>
    <w:p w14:paraId="468C4147" w14:textId="77777777" w:rsidR="000B3BFF" w:rsidRPr="00405303" w:rsidRDefault="000B3BFF" w:rsidP="00C15251">
      <w:pPr>
        <w:jc w:val="both"/>
        <w:rPr>
          <w:color w:val="002060"/>
          <w:sz w:val="16"/>
          <w:szCs w:val="16"/>
        </w:rPr>
      </w:pPr>
      <w:r w:rsidRPr="00405303">
        <w:rPr>
          <w:color w:val="002060"/>
          <w:sz w:val="16"/>
          <w:szCs w:val="16"/>
        </w:rPr>
        <w:t xml:space="preserve">По пр. № 168 от 4.05.1938 г. на завод переведены работы по дооборудованию и доводке катера на воздушной подушке </w:t>
      </w:r>
      <w:r w:rsidRPr="00405303">
        <w:rPr>
          <w:color w:val="002060"/>
          <w:sz w:val="16"/>
          <w:szCs w:val="16"/>
          <w:lang w:val="en-US"/>
        </w:rPr>
        <w:t>JI</w:t>
      </w:r>
      <w:r w:rsidRPr="00405303">
        <w:rPr>
          <w:color w:val="002060"/>
          <w:sz w:val="16"/>
          <w:szCs w:val="16"/>
        </w:rPr>
        <w:t>-5 профессора В.И. Левкова, для этого на завод командирована бригада из ОКБ при заводе № 84; приказом НКОП/НКВМФ № 344сс от 31.08.1938 г. производственные площади и оборудование, занятые работами по Л-5, требовалось сохранить до конца госиспытаний Л-5.</w:t>
      </w:r>
    </w:p>
    <w:p w14:paraId="0DB11265" w14:textId="77777777" w:rsidR="000B3BFF" w:rsidRPr="00405303" w:rsidRDefault="000B3BFF" w:rsidP="00C15251">
      <w:pPr>
        <w:jc w:val="both"/>
        <w:rPr>
          <w:color w:val="002060"/>
          <w:sz w:val="16"/>
          <w:szCs w:val="16"/>
        </w:rPr>
      </w:pPr>
      <w:r w:rsidRPr="00405303">
        <w:rPr>
          <w:color w:val="002060"/>
          <w:sz w:val="16"/>
          <w:szCs w:val="16"/>
        </w:rPr>
        <w:t>Приказом № 392сс от 7.10.1938 г. завод определен головным по производству мин ПЛТ и обр. 1908 г., тралов и параванов.</w:t>
      </w:r>
    </w:p>
    <w:p w14:paraId="5D1B58BF" w14:textId="77777777" w:rsidR="000B3BFF" w:rsidRPr="00405303" w:rsidRDefault="000B3BFF" w:rsidP="00C15251">
      <w:pPr>
        <w:jc w:val="both"/>
        <w:rPr>
          <w:color w:val="002060"/>
          <w:sz w:val="16"/>
          <w:szCs w:val="16"/>
        </w:rPr>
      </w:pPr>
      <w:r w:rsidRPr="00405303">
        <w:rPr>
          <w:color w:val="002060"/>
          <w:sz w:val="16"/>
          <w:szCs w:val="16"/>
        </w:rPr>
        <w:t>В соответствии с пост. ГКО № 99сс от 11.07.1941 г. завод подлежал эвакуации на площадку завода № 340 НКСП. По приказу НКСП № 185 от 12.07.1941 г. завод частично эвакуирован (863 чел.) на заводы НКСП: № 340, № 402, № 638, № 192, № 344, № 645, № 199, № 202, № 239, № 347, № 341, катерный цех- на завод № 639 в Тюмень.</w:t>
      </w:r>
    </w:p>
    <w:p w14:paraId="7D289018" w14:textId="77777777" w:rsidR="000B3BFF" w:rsidRPr="00405303" w:rsidRDefault="000B3BFF" w:rsidP="00C15251">
      <w:pPr>
        <w:jc w:val="both"/>
        <w:rPr>
          <w:color w:val="002060"/>
          <w:sz w:val="16"/>
          <w:szCs w:val="16"/>
        </w:rPr>
      </w:pPr>
      <w:r w:rsidRPr="00405303">
        <w:rPr>
          <w:color w:val="002060"/>
          <w:sz w:val="16"/>
          <w:szCs w:val="16"/>
        </w:rPr>
        <w:t>Весной 1942 г. была построена временная верфь в бухте Гольсмана (гл. инженер С.А. Риммер) на берегу Ладожского озера для изготовления барж, первые из 14 барж построены в конце мая 1942 г. На территории эвакуированного Сясьского ЦБК в 1942 г. был организован филиал завода, изготовлявший минометы.</w:t>
      </w:r>
    </w:p>
    <w:p w14:paraId="182CDA76" w14:textId="77777777" w:rsidR="000B3BFF" w:rsidRPr="00405303" w:rsidRDefault="000B3BFF" w:rsidP="00C15251">
      <w:pPr>
        <w:jc w:val="both"/>
        <w:rPr>
          <w:color w:val="002060"/>
          <w:sz w:val="16"/>
          <w:szCs w:val="16"/>
        </w:rPr>
      </w:pPr>
      <w:r w:rsidRPr="00405303">
        <w:rPr>
          <w:color w:val="002060"/>
          <w:sz w:val="16"/>
          <w:szCs w:val="16"/>
        </w:rPr>
        <w:t xml:space="preserve">9.07.1944 г. вышло распоряжение ГКО № 6149 о переводе на завод производства судовых паровых котлов с завода № 141 НКСП </w:t>
      </w:r>
      <w:proofErr w:type="gramStart"/>
      <w:r w:rsidRPr="00405303">
        <w:rPr>
          <w:color w:val="002060"/>
          <w:sz w:val="16"/>
          <w:szCs w:val="16"/>
        </w:rPr>
        <w:t>( г.</w:t>
      </w:r>
      <w:proofErr w:type="gramEnd"/>
      <w:r w:rsidRPr="00405303">
        <w:rPr>
          <w:color w:val="002060"/>
          <w:sz w:val="16"/>
          <w:szCs w:val="16"/>
        </w:rPr>
        <w:t xml:space="preserve"> Таганрог).</w:t>
      </w:r>
    </w:p>
    <w:p w14:paraId="0BC5B085" w14:textId="77777777" w:rsidR="000B3BFF" w:rsidRPr="00405303" w:rsidRDefault="000B3BFF" w:rsidP="00C15251">
      <w:pPr>
        <w:jc w:val="both"/>
        <w:rPr>
          <w:color w:val="002060"/>
          <w:sz w:val="16"/>
          <w:szCs w:val="16"/>
        </w:rPr>
      </w:pPr>
      <w:r w:rsidRPr="00405303">
        <w:rPr>
          <w:color w:val="002060"/>
          <w:sz w:val="16"/>
          <w:szCs w:val="16"/>
        </w:rPr>
        <w:t>После войны были капитально отремонтированы два наклонных продольных стапеля. Завод был подключен к постройке АПЛ. Для этого был создан новый судостроительный комплекс: закрытый эллинг, спусковой плавучий док; созданы производства для сборки атомных реакторов и обеспечения безопасности при загрузке ядерного топлива и пуска реакторов.</w:t>
      </w:r>
    </w:p>
    <w:p w14:paraId="3A119504" w14:textId="77777777" w:rsidR="000B3BFF" w:rsidRPr="00405303" w:rsidRDefault="000B3BFF" w:rsidP="00C15251">
      <w:pPr>
        <w:jc w:val="both"/>
        <w:rPr>
          <w:color w:val="002060"/>
          <w:sz w:val="16"/>
          <w:szCs w:val="16"/>
        </w:rPr>
      </w:pPr>
      <w:r w:rsidRPr="00405303">
        <w:rPr>
          <w:color w:val="002060"/>
          <w:sz w:val="16"/>
          <w:szCs w:val="16"/>
        </w:rPr>
        <w:t>В соответствии с ПСМ № 551-281 от 22.05.1957 г. начата постройка опытной ПЛ пр. 637.</w:t>
      </w:r>
    </w:p>
    <w:p w14:paraId="4F8E84DB" w14:textId="77777777" w:rsidR="000B3BFF" w:rsidRPr="00405303" w:rsidRDefault="000B3BFF" w:rsidP="00C15251">
      <w:pPr>
        <w:jc w:val="both"/>
        <w:rPr>
          <w:color w:val="002060"/>
          <w:sz w:val="16"/>
          <w:szCs w:val="16"/>
        </w:rPr>
      </w:pPr>
      <w:r w:rsidRPr="00405303">
        <w:rPr>
          <w:color w:val="002060"/>
          <w:sz w:val="16"/>
          <w:szCs w:val="16"/>
        </w:rPr>
        <w:t>26.03.1964 г. вышло постановление СМ СССР № 244-95 об обеспечении проведения испытаний ПЛ пр. 671 постройки Адмиралтейского завода.</w:t>
      </w:r>
    </w:p>
    <w:p w14:paraId="298BAD90" w14:textId="77777777" w:rsidR="000B3BFF" w:rsidRPr="00405303" w:rsidRDefault="000B3BFF" w:rsidP="00C15251">
      <w:pPr>
        <w:jc w:val="both"/>
        <w:rPr>
          <w:color w:val="002060"/>
          <w:sz w:val="16"/>
          <w:szCs w:val="16"/>
        </w:rPr>
      </w:pPr>
      <w:r w:rsidRPr="00405303">
        <w:rPr>
          <w:color w:val="002060"/>
          <w:sz w:val="16"/>
          <w:szCs w:val="16"/>
        </w:rPr>
        <w:t>В 1974-87 г. построена серия самых мощных отечественных буксиров - океанских спасателя для ВМФ пр. 1452 мощностью по 9000 л.с.</w:t>
      </w:r>
    </w:p>
    <w:p w14:paraId="6E8E2548" w14:textId="77777777" w:rsidR="000B3BFF" w:rsidRPr="00405303" w:rsidRDefault="000B3BFF" w:rsidP="00C15251">
      <w:pPr>
        <w:jc w:val="both"/>
        <w:rPr>
          <w:color w:val="002060"/>
          <w:sz w:val="16"/>
          <w:szCs w:val="16"/>
        </w:rPr>
      </w:pPr>
      <w:r w:rsidRPr="00405303">
        <w:rPr>
          <w:color w:val="002060"/>
          <w:sz w:val="16"/>
          <w:szCs w:val="16"/>
        </w:rPr>
        <w:t>С 1946 г. завод - в ведении МСП, затем - МТиТМ (1953-54 г.), МСП (1954-57 г.), Управления судостроительной промышленности ЛенСНХ (1957-65 г.), с 01.1966 г. - вновь в ведении МСП. В 1957 г. завод № 194 переименован в Ленинградский Адмиралтейский завод. В конце 1972 г. Адмиралтейский завод и Ново-Адмиралтейский завод объединены в Ленинградское адмиралтейское объединение (ЛАО). 30.03.1992 г. ЛАО преобразовано в ГП «Адмиралтейские верфи».</w:t>
      </w:r>
    </w:p>
    <w:p w14:paraId="5E392F4B" w14:textId="095C6090" w:rsidR="000B3BFF" w:rsidRPr="00405303" w:rsidRDefault="000B3BFF" w:rsidP="00C15251">
      <w:pPr>
        <w:jc w:val="both"/>
        <w:rPr>
          <w:color w:val="002060"/>
          <w:sz w:val="16"/>
          <w:szCs w:val="16"/>
        </w:rPr>
      </w:pPr>
      <w:r w:rsidRPr="00405303">
        <w:rPr>
          <w:color w:val="002060"/>
          <w:sz w:val="16"/>
          <w:szCs w:val="16"/>
        </w:rPr>
        <w:t>С середины 1970-х</w:t>
      </w:r>
      <w:r w:rsidR="000F5756">
        <w:rPr>
          <w:color w:val="002060"/>
          <w:sz w:val="16"/>
          <w:szCs w:val="16"/>
        </w:rPr>
        <w:t xml:space="preserve"> </w:t>
      </w:r>
      <w:r w:rsidRPr="00405303">
        <w:rPr>
          <w:color w:val="002060"/>
          <w:sz w:val="16"/>
          <w:szCs w:val="16"/>
        </w:rPr>
        <w:t>г. практически прекращено строительство гражданских судов.</w:t>
      </w:r>
    </w:p>
    <w:p w14:paraId="52D83F10" w14:textId="3A0EBC5D" w:rsidR="000B3BFF" w:rsidRPr="00405303" w:rsidRDefault="000B3BFF" w:rsidP="00C15251">
      <w:pPr>
        <w:jc w:val="both"/>
        <w:rPr>
          <w:color w:val="002060"/>
          <w:sz w:val="16"/>
          <w:szCs w:val="16"/>
        </w:rPr>
      </w:pPr>
      <w:r w:rsidRPr="00405303">
        <w:rPr>
          <w:color w:val="002060"/>
          <w:sz w:val="16"/>
          <w:szCs w:val="16"/>
        </w:rPr>
        <w:t>В 1990-е</w:t>
      </w:r>
      <w:r w:rsidR="000F5756">
        <w:rPr>
          <w:color w:val="002060"/>
          <w:sz w:val="16"/>
          <w:szCs w:val="16"/>
        </w:rPr>
        <w:t xml:space="preserve"> </w:t>
      </w:r>
      <w:r w:rsidRPr="00405303">
        <w:rPr>
          <w:color w:val="002060"/>
          <w:sz w:val="16"/>
          <w:szCs w:val="16"/>
        </w:rPr>
        <w:t>г. создан инженерный центр. Здесь освоено самостоятельное проектирование судов с помощью созданной своими силами автоматизированной системы проектирования (АСП) «Верфь». В 2001 г. выполнена доработка хорватского проекта 5-55 танкера-продуктовоза. В 1998 г. внедрена шведская АСП "</w:t>
      </w:r>
      <w:r w:rsidRPr="00405303">
        <w:rPr>
          <w:color w:val="002060"/>
          <w:sz w:val="16"/>
          <w:szCs w:val="16"/>
          <w:lang w:val="en-US"/>
        </w:rPr>
        <w:t>Tribon</w:t>
      </w:r>
      <w:r w:rsidRPr="00405303">
        <w:rPr>
          <w:color w:val="002060"/>
          <w:sz w:val="16"/>
          <w:szCs w:val="16"/>
        </w:rPr>
        <w:t>", с ее помощью разработана конструкторская документация на танкер пр. 20070.</w:t>
      </w:r>
    </w:p>
    <w:p w14:paraId="4CF83B74" w14:textId="77777777" w:rsidR="000B3BFF" w:rsidRPr="00405303" w:rsidRDefault="000B3BFF" w:rsidP="00C15251">
      <w:pPr>
        <w:jc w:val="both"/>
        <w:rPr>
          <w:color w:val="002060"/>
          <w:sz w:val="16"/>
          <w:szCs w:val="16"/>
        </w:rPr>
      </w:pPr>
      <w:r w:rsidRPr="00405303">
        <w:rPr>
          <w:color w:val="002060"/>
          <w:sz w:val="16"/>
          <w:szCs w:val="16"/>
        </w:rPr>
        <w:t>По Указу Президента РФ № 1009 от 4.08.2004 г. вошло в перечень стратегических оборонных предприятий. Распоряжением правительства в 06.2007 г. ФГУП «Адмиралтейские верфи» преобразовано в ОАО.</w:t>
      </w:r>
    </w:p>
    <w:p w14:paraId="6A0DA788" w14:textId="77777777" w:rsidR="000B3BFF" w:rsidRPr="00405303" w:rsidRDefault="000B3BFF" w:rsidP="00C15251">
      <w:pPr>
        <w:jc w:val="both"/>
        <w:rPr>
          <w:color w:val="002060"/>
          <w:sz w:val="16"/>
          <w:szCs w:val="16"/>
        </w:rPr>
      </w:pPr>
      <w:r w:rsidRPr="00405303">
        <w:rPr>
          <w:color w:val="002060"/>
          <w:sz w:val="16"/>
          <w:szCs w:val="16"/>
        </w:rPr>
        <w:t>Предприятие имело (2005 г.) две производственных площадки (вторая- на левом берегу Фонтанки): 2</w:t>
      </w:r>
    </w:p>
    <w:p w14:paraId="28E0F6CE" w14:textId="77777777" w:rsidR="000B3BFF" w:rsidRPr="00405303" w:rsidRDefault="000B3BFF" w:rsidP="00C15251">
      <w:pPr>
        <w:jc w:val="both"/>
        <w:rPr>
          <w:color w:val="002060"/>
          <w:sz w:val="16"/>
          <w:szCs w:val="16"/>
        </w:rPr>
      </w:pPr>
      <w:r w:rsidRPr="00405303">
        <w:rPr>
          <w:color w:val="002060"/>
          <w:sz w:val="16"/>
          <w:szCs w:val="16"/>
        </w:rPr>
        <w:t>открытых наклонных стапеля; 5 крытых эллингов, 2 плавучих дока. Макс, дедвейт строящихся кораблей- 70 тыс. „ 101 т.</w:t>
      </w:r>
    </w:p>
    <w:p w14:paraId="596913FA" w14:textId="77777777" w:rsidR="000B3BFF" w:rsidRPr="00405303" w:rsidRDefault="000B3BFF" w:rsidP="00C15251">
      <w:pPr>
        <w:jc w:val="both"/>
        <w:rPr>
          <w:color w:val="002060"/>
          <w:sz w:val="16"/>
          <w:szCs w:val="16"/>
        </w:rPr>
      </w:pPr>
      <w:r w:rsidRPr="00405303">
        <w:rPr>
          <w:color w:val="002060"/>
          <w:sz w:val="16"/>
          <w:szCs w:val="16"/>
        </w:rPr>
        <w:t>К 2006 г. предприятием построено 360 подводных лодок и аппаратов (в т.ч. 302 ПЛ, из них 35 АПЛ; 6 атомных глубоководных станций, 60 подводных аппаратов и сверхмалых ПЛ).</w:t>
      </w:r>
    </w:p>
    <w:p w14:paraId="2F30412D" w14:textId="77777777" w:rsidR="000B3BFF" w:rsidRPr="00405303" w:rsidRDefault="000B3BFF" w:rsidP="00C15251">
      <w:pPr>
        <w:jc w:val="both"/>
        <w:rPr>
          <w:color w:val="002060"/>
          <w:sz w:val="16"/>
          <w:szCs w:val="16"/>
        </w:rPr>
      </w:pPr>
      <w:r w:rsidRPr="00405303">
        <w:rPr>
          <w:color w:val="002060"/>
          <w:sz w:val="16"/>
          <w:szCs w:val="16"/>
        </w:rPr>
        <w:t>Планировалась (2005 г.) комплексная модернизация завода с окончанием в 2009 г. В 2007 г. планировалось вхождение предприятия в один из 7 создаваемых в России судостроительных холдингов- ОАО «Западный центр судостроения».</w:t>
      </w:r>
    </w:p>
    <w:p w14:paraId="69412FA4" w14:textId="77777777" w:rsidR="000B3BFF" w:rsidRPr="00405303" w:rsidRDefault="000B3BFF" w:rsidP="00C15251">
      <w:pPr>
        <w:jc w:val="both"/>
        <w:rPr>
          <w:color w:val="002060"/>
          <w:sz w:val="16"/>
          <w:szCs w:val="16"/>
        </w:rPr>
      </w:pPr>
      <w:r w:rsidRPr="00405303">
        <w:rPr>
          <w:color w:val="002060"/>
          <w:sz w:val="16"/>
          <w:szCs w:val="16"/>
        </w:rPr>
        <w:t>В 2009 г. заключен контракт на строительство 6 ПЛ пр. 636 для Вьетнама.</w:t>
      </w:r>
    </w:p>
    <w:p w14:paraId="04CD8DAF" w14:textId="77777777" w:rsidR="000B3BFF" w:rsidRPr="00405303" w:rsidRDefault="000B3BFF" w:rsidP="00C15251">
      <w:pPr>
        <w:jc w:val="both"/>
        <w:rPr>
          <w:color w:val="002060"/>
          <w:sz w:val="16"/>
          <w:szCs w:val="16"/>
        </w:rPr>
      </w:pPr>
      <w:r w:rsidRPr="00405303">
        <w:rPr>
          <w:color w:val="002060"/>
          <w:sz w:val="16"/>
          <w:szCs w:val="16"/>
        </w:rPr>
        <w:t>Площадь: территории (2008 г.)- 65 га (в т.ч. участок на Ново-Адмиралтейском острове 16,8 га).</w:t>
      </w:r>
    </w:p>
    <w:p w14:paraId="5CC123A7" w14:textId="77777777" w:rsidR="000B3BFF" w:rsidRPr="00405303" w:rsidRDefault="000B3BFF" w:rsidP="00C15251">
      <w:pPr>
        <w:jc w:val="both"/>
        <w:rPr>
          <w:color w:val="002060"/>
          <w:sz w:val="16"/>
          <w:szCs w:val="16"/>
        </w:rPr>
      </w:pPr>
      <w:r w:rsidRPr="00405303">
        <w:rPr>
          <w:color w:val="002060"/>
          <w:sz w:val="16"/>
          <w:szCs w:val="16"/>
        </w:rPr>
        <w:t>Численность персонала (04.1706 г.)- 962 чел., (12.1706 г.)- 1047 чел., (1937 г.)- 9527 чел., (06.1941 г.)- 11.300 чел.</w:t>
      </w:r>
    </w:p>
    <w:p w14:paraId="78819688" w14:textId="77777777" w:rsidR="000B3BFF" w:rsidRPr="00405303" w:rsidRDefault="000B3BFF" w:rsidP="00C15251">
      <w:pPr>
        <w:jc w:val="both"/>
        <w:rPr>
          <w:color w:val="002060"/>
          <w:sz w:val="16"/>
          <w:szCs w:val="16"/>
        </w:rPr>
      </w:pPr>
      <w:r w:rsidRPr="00405303">
        <w:rPr>
          <w:color w:val="002060"/>
          <w:sz w:val="16"/>
          <w:szCs w:val="16"/>
        </w:rPr>
        <w:t>Начальник (1908 г.-&gt; П.Е. Черниговский, (-1911-16 г.-)- г-л А.И. Моисеев. Директор (-04-23.06.1937 г.)- В.Н. Сушунов (снят); и.о. (23.06.1937 г.-)- А.К. Плакид; (1.07.1937-7.12.1938 г.)- А.К. Плакид, (2.12.1938 г.-)- Н. Г. Барабанов, (1942 г.)- Лебедев</w:t>
      </w:r>
      <w:r w:rsidRPr="00405303">
        <w:rPr>
          <w:color w:val="002060"/>
          <w:sz w:val="16"/>
          <w:szCs w:val="16"/>
          <w:vertAlign w:val="superscript"/>
        </w:rPr>
        <w:t>61</w:t>
      </w:r>
      <w:r w:rsidRPr="00405303">
        <w:rPr>
          <w:color w:val="002060"/>
          <w:sz w:val="16"/>
          <w:szCs w:val="16"/>
        </w:rPr>
        <w:t xml:space="preserve">, (-1952 г.)- В.М. Орешкин. Гендиректор (-1996-2010 г.-)- </w:t>
      </w:r>
      <w:r w:rsidRPr="00405303">
        <w:rPr>
          <w:color w:val="002060"/>
          <w:sz w:val="16"/>
          <w:szCs w:val="16"/>
          <w:lang w:val="en-US"/>
        </w:rPr>
        <w:t>B</w:t>
      </w:r>
      <w:r w:rsidRPr="00405303">
        <w:rPr>
          <w:color w:val="002060"/>
          <w:sz w:val="16"/>
          <w:szCs w:val="16"/>
        </w:rPr>
        <w:t>.</w:t>
      </w:r>
      <w:r w:rsidRPr="00405303">
        <w:rPr>
          <w:color w:val="002060"/>
          <w:sz w:val="16"/>
          <w:szCs w:val="16"/>
          <w:lang w:val="en-US"/>
        </w:rPr>
        <w:t>JI</w:t>
      </w:r>
      <w:r w:rsidRPr="00405303">
        <w:rPr>
          <w:color w:val="002060"/>
          <w:sz w:val="16"/>
          <w:szCs w:val="16"/>
        </w:rPr>
        <w:t>. Александров.</w:t>
      </w:r>
    </w:p>
    <w:p w14:paraId="1E78C995" w14:textId="77777777" w:rsidR="000B3BFF" w:rsidRPr="00405303" w:rsidRDefault="000B3BFF" w:rsidP="00C15251">
      <w:pPr>
        <w:jc w:val="both"/>
        <w:rPr>
          <w:color w:val="002060"/>
          <w:sz w:val="16"/>
          <w:szCs w:val="16"/>
        </w:rPr>
      </w:pPr>
      <w:r w:rsidRPr="00405303">
        <w:rPr>
          <w:color w:val="002060"/>
          <w:sz w:val="16"/>
          <w:szCs w:val="16"/>
        </w:rPr>
        <w:t>Помогалик начальника (-1915-16 г.-)- г-м В.И. Невражин. Зам. директора (22.02.1937 г.-)- А.С. Петров. Зам. гендиректора по производству (2008 г.)- А. Быстрое.</w:t>
      </w:r>
    </w:p>
    <w:p w14:paraId="1ADA1B71" w14:textId="77777777" w:rsidR="000B3BFF" w:rsidRPr="00405303" w:rsidRDefault="000B3BFF" w:rsidP="00C15251">
      <w:pPr>
        <w:jc w:val="both"/>
        <w:rPr>
          <w:color w:val="002060"/>
          <w:sz w:val="16"/>
          <w:szCs w:val="16"/>
        </w:rPr>
      </w:pPr>
      <w:r w:rsidRPr="00405303">
        <w:rPr>
          <w:color w:val="002060"/>
          <w:sz w:val="16"/>
          <w:szCs w:val="16"/>
        </w:rPr>
        <w:t>Технический директор (1920-е)- П. Г. Гойнкис.</w:t>
      </w:r>
    </w:p>
    <w:p w14:paraId="3C5B8E60" w14:textId="77777777" w:rsidR="000B3BFF" w:rsidRPr="00405303" w:rsidRDefault="000B3BFF" w:rsidP="00C15251">
      <w:pPr>
        <w:jc w:val="both"/>
        <w:rPr>
          <w:color w:val="002060"/>
          <w:sz w:val="16"/>
          <w:szCs w:val="16"/>
        </w:rPr>
      </w:pPr>
      <w:r w:rsidRPr="00405303">
        <w:rPr>
          <w:color w:val="002060"/>
          <w:sz w:val="16"/>
          <w:szCs w:val="16"/>
        </w:rPr>
        <w:t>Гл. корабельный инженер (1908 г.-)- Д.В. Скворцов. Гл. инженер (1934 г.)- А.И. Павлов, (-31.12.1936 г.)- И.А. Смоленцев; и.о. (31.12.1936 г.-)- Зильберман; (22.02.1937 г.-)- А.С. Петров, (03.1942 г.)- С.М. Турунов, (-11.2004 г.)- А. Бузаков.</w:t>
      </w:r>
    </w:p>
    <w:p w14:paraId="1F71C7ED" w14:textId="77777777" w:rsidR="000B3BFF" w:rsidRPr="00405303" w:rsidRDefault="000B3BFF" w:rsidP="00C15251">
      <w:pPr>
        <w:jc w:val="both"/>
        <w:rPr>
          <w:color w:val="002060"/>
          <w:sz w:val="16"/>
          <w:szCs w:val="16"/>
        </w:rPr>
      </w:pPr>
      <w:r w:rsidRPr="00405303">
        <w:rPr>
          <w:color w:val="002060"/>
          <w:sz w:val="16"/>
          <w:szCs w:val="16"/>
        </w:rPr>
        <w:t>Зам. гл. инженера (1936 г.)- Зильберман.</w:t>
      </w:r>
    </w:p>
    <w:p w14:paraId="6B0F9AC6" w14:textId="77777777" w:rsidR="000B3BFF" w:rsidRPr="00405303" w:rsidRDefault="000B3BFF" w:rsidP="00C15251">
      <w:pPr>
        <w:jc w:val="both"/>
        <w:rPr>
          <w:color w:val="002060"/>
          <w:sz w:val="16"/>
          <w:szCs w:val="16"/>
        </w:rPr>
      </w:pPr>
      <w:r w:rsidRPr="00405303">
        <w:rPr>
          <w:color w:val="002060"/>
          <w:sz w:val="16"/>
          <w:szCs w:val="16"/>
        </w:rPr>
        <w:t>Гл. строители: (1730-е)- Ф.П. Пальчиков, (-1935-37 г.-)- Е.Д. Довжиков («Дежнев»), (1939 г.-)- С.М. Турунов (пр. 69).</w:t>
      </w:r>
    </w:p>
    <w:p w14:paraId="50B1894D" w14:textId="07B5A2E6" w:rsidR="000B3BFF" w:rsidRPr="00405303" w:rsidRDefault="000B3BFF" w:rsidP="00C15251">
      <w:pPr>
        <w:jc w:val="both"/>
        <w:rPr>
          <w:color w:val="002060"/>
          <w:sz w:val="16"/>
          <w:szCs w:val="16"/>
        </w:rPr>
      </w:pPr>
      <w:r w:rsidRPr="00405303">
        <w:rPr>
          <w:color w:val="002060"/>
          <w:sz w:val="16"/>
          <w:szCs w:val="16"/>
        </w:rPr>
        <w:t>Корабельные мастера: (-1706-17 г.-)- Ф.М. Скляев, (-1712-37 г.-&gt; Р. Броун, (-1712-19 г.-)- Р. Козенц, (-1716-31г,- )- О. Най, (1717 г.)-</w:t>
      </w:r>
      <w:r w:rsidR="000F5756">
        <w:rPr>
          <w:color w:val="002060"/>
          <w:sz w:val="16"/>
          <w:szCs w:val="16"/>
        </w:rPr>
        <w:t xml:space="preserve"> </w:t>
      </w:r>
      <w:r w:rsidRPr="00405303">
        <w:rPr>
          <w:color w:val="002060"/>
          <w:sz w:val="16"/>
          <w:szCs w:val="16"/>
        </w:rPr>
        <w:t>Г. Рамз, (1718 г.)- П. Михайлов, (1719 г.)- М. Пангало, (-1740-47 г.-&gt; Д. Щербачев, (1740 г.)- В. Батаков, (-1743-45 г.-)- А. Сютерланд, (-1770-79 г.-)- М.Д. Портнов, (-1770-86 г.-)- И.В. Ямес, (-1788-90 г.-)- Кольман, (1790-е)- Массальский, (1790-е)- Кутыгин. (1790-е)- Мелихов, (1790-е)- Васильев, (1806 г.)-</w:t>
      </w:r>
      <w:r w:rsidR="000F5756">
        <w:rPr>
          <w:color w:val="002060"/>
          <w:sz w:val="16"/>
          <w:szCs w:val="16"/>
        </w:rPr>
        <w:t xml:space="preserve"> </w:t>
      </w:r>
      <w:r w:rsidRPr="00405303">
        <w:rPr>
          <w:color w:val="002060"/>
          <w:sz w:val="16"/>
          <w:szCs w:val="16"/>
        </w:rPr>
        <w:t>Г.С. Исаков, (1808 г.)- И.В. Курепанов, (1839 г.)- п А.А. Попов. Строители кораблей: (1862-65 г.-)- К. Митчел, (1864-65 г.-)- С. Г. Кудрявцев, (1863 г.)- А. Сван, (1879 г.)- П.П. Петров, (1909 г.)- пп В.А. Лютер, (1909 г.)- пп Л.Л. Коромальди, (- 1933-35 г.-)- В.М. Бурдаков, (1937 г.)- Н.В. У сков, (1937 г.)- И.А. Каменецкий, (1937 г.)- Л .Я. Турчин, (1938 г.)- О.С. Покровский, (1938 г.)- Б.И. Иванов, (1938 г.)- М.С. Островский.</w:t>
      </w:r>
    </w:p>
    <w:p w14:paraId="45ED340D" w14:textId="77777777" w:rsidR="000B3BFF" w:rsidRPr="00405303" w:rsidRDefault="000B3BFF" w:rsidP="00C15251">
      <w:pPr>
        <w:jc w:val="both"/>
        <w:rPr>
          <w:color w:val="002060"/>
          <w:sz w:val="16"/>
          <w:szCs w:val="16"/>
        </w:rPr>
      </w:pPr>
      <w:r w:rsidRPr="00405303">
        <w:rPr>
          <w:color w:val="002060"/>
          <w:sz w:val="16"/>
          <w:szCs w:val="16"/>
        </w:rPr>
        <w:t>Начальники цехов: катерного (1928 г.)- В.В. Разумов; корпусного (-22.02.1937 г.)- М.П. Иконников, (22.02.1937 г.-)- Н.М. Клементьев; сдаточного (1988 г.-)- А.С. Бузаков.</w:t>
      </w:r>
    </w:p>
    <w:p w14:paraId="37F2B1D6" w14:textId="77777777" w:rsidR="000B3BFF" w:rsidRPr="00405303" w:rsidRDefault="000B3BFF" w:rsidP="00C15251">
      <w:pPr>
        <w:jc w:val="both"/>
        <w:rPr>
          <w:color w:val="002060"/>
          <w:sz w:val="16"/>
          <w:szCs w:val="16"/>
        </w:rPr>
      </w:pPr>
      <w:r w:rsidRPr="00405303">
        <w:rPr>
          <w:color w:val="002060"/>
          <w:sz w:val="16"/>
          <w:szCs w:val="16"/>
        </w:rPr>
        <w:t>Зав. техническим бюро (1908 г.)- пп И.А. Гаврилов.</w:t>
      </w:r>
    </w:p>
    <w:p w14:paraId="749D33C8" w14:textId="77777777" w:rsidR="000B3BFF" w:rsidRPr="00405303" w:rsidRDefault="000B3BFF" w:rsidP="00C15251">
      <w:pPr>
        <w:jc w:val="both"/>
        <w:rPr>
          <w:color w:val="002060"/>
          <w:sz w:val="16"/>
          <w:szCs w:val="16"/>
        </w:rPr>
      </w:pPr>
      <w:r w:rsidRPr="00405303">
        <w:rPr>
          <w:color w:val="002060"/>
          <w:sz w:val="16"/>
          <w:szCs w:val="16"/>
        </w:rPr>
        <w:t>Начальники секторов: учета ПЭО (1938 г.)- Быков.</w:t>
      </w:r>
    </w:p>
    <w:p w14:paraId="4DD88614" w14:textId="77777777" w:rsidR="000B3BFF" w:rsidRPr="00405303" w:rsidRDefault="000B3BFF" w:rsidP="00C15251">
      <w:pPr>
        <w:jc w:val="both"/>
        <w:rPr>
          <w:color w:val="002060"/>
          <w:sz w:val="16"/>
          <w:szCs w:val="16"/>
        </w:rPr>
      </w:pPr>
      <w:r w:rsidRPr="00405303">
        <w:rPr>
          <w:color w:val="002060"/>
          <w:sz w:val="16"/>
          <w:szCs w:val="16"/>
        </w:rPr>
        <w:t>Производство: боты (1705-)- 30; прамы «Скиния завета», «Ноев ковчег» (01-05.1706), 36-пушечный «Олифант» (1717-18), (1728-29)- 2, 38-пушечный «Гремящий» (-10.1786); яхты «Св. Екатерина», «Любовь» (1706); бригантины «Надежда» (1706-08)- И; линейные корабли: 54-пушечный «Полтава» (12.1709-06.1712), 60- пушечные «Шлиссельбург» (06.1712-), «Нарва» (07.1712-), «Ревель» (08.1712-10.1717), «Св. Екатерина» (09.1718- 21), 64-пушечные «Москва» (10.1712-06.1715), «Ингерманланд» (10.1712-05.1715), «Архистратиг Михаил» (1799- ), 66-пушечные «Исаак-Виктория» (1716-05.1719), «Астрахань» (1716-20), «Нарва» (12.1718-), «Пантелеймон- Виктория» (03.1719-21), «Слава России» (01.1731-), «Иоанн» («Св. Петр», 11.1740-08.1741), «Екатерина» (07.1740-), «Св. великомученица Варвара» (05.1743-05.1745), (1764)- 3, «Спиридон» (1777-06.1779), «Давид Селунский» (10.1770-06.1779), 70-пушечные «Св. Александр» (11.1714-10.1717), «Нептунус» (-06.1718), 74- пушечные «Царь Константин» (04.1770-06.1779), «Зачатие Св. Анны» (1799-), (1826-30)- 13, 88-пушечные «Св. Андрей» (04.1717-21), «Северный орел» (06.1717-20), «Фридемакер» (07.1717-21), «Св. Петр» (04.1717-20), 90- пушечные «Лесное» (11.1714-06.1718), «Фридрихштадт» (01.1717-20), «Гангут» (-04.1719), 100-пушечные «Петр I и II», «Захарий и Елисавет» (05.1745-10.1747), «Чесма» (1782-09.1783), «Три Иерарха» (1782-09.1783), «Двенадцать апостолов» (1785-), «Св. Князь Владимир» (1785-), «Евсевий» (01.1788-07.1790), 110-пушечный «Императрица Анна» (05.1732-06.1737), 120-пушечный «Россия» (-07.1839), 130-пушечный «Благодать» (1799- 08.1800); «Дондер» (1715-16), «Новая Надежда» (-1730), «Храбрый», «Смелый», «Память Евстафия», «Трех Святителей», «Чесма», «Мироносец», «Юпитер» (1807-12), винтовой «Гангут» (1822-25), «Гангут» (06.1909- 09.1911), «Полтава» (06.1909-06.1911); фрегаты: 32-пушечный «Св. Илья» (08.1713-), «Митау» (12.1731-), 38- пушечные (1792-99)- 6, винтовой «Дмитрий Донской» (1854-61); галиоты (-1790)- 2; корветы: 22-пушечные «Флора», «Помона», «Мельпомена» (-1806), 24-пушечный «Гремящий» (1810-е), винтовой «Богатырь» (1860), броненосный «Князь Пожарский» (-1867); шхуны (-1790)- 4; плавучие доки (1744)-1, (1857-</w:t>
      </w:r>
      <w:r w:rsidRPr="00405303">
        <w:rPr>
          <w:color w:val="002060"/>
          <w:sz w:val="16"/>
          <w:szCs w:val="16"/>
        </w:rPr>
        <w:lastRenderedPageBreak/>
        <w:t>60)- 1; островские лодки (1742)- 17, лодки (-1790)- 54; первая ПЛ Е. Никонова (1725); бомбардирские корабли «Перун», «Молния» (01-07.1808); бриги 20-пушечные «Палинур», «Антенор», «Парис», «Уллис», «Аякс» (1836-43); тендеры (1831- 51)- 4; лоц-суда «Нептун», Сирена» (1845); броненосная батарея «Не тронь меня» (01.1863-06.1865); канонерские лодки: «Чародейка», «Русалка» (1868), «Дождь» (09-10.1879), «Каре» («Ленин») (-08.1909), «Ардаган» (Красный Азербайджан») (-08.1909); винтовые клиперы «Жемчуг», «Алмаз» (-1861); мониторы: «Стрелец» (11.1863- 05.1864), «Единорог» (11.1863-05.1864), «Смерч» (11.1863-06.1864); броненосцы: «Петр Великий» (1869-72), «Андрей Первозванный» (28.04.1905-7.10.1906); крейсеры: «Джигит» (-1876), тяжелый пр. 69 «Кронштадт» (11.1939-, не достроен); пр. 68 «Железняков» (31.10.1939-25.06.1941), достройка по пр. 68К (-1950)- 1, пр. 68бис «Орджоникидзе» (зак. № 600, 10.1949-09.1950, 08.1952), «Александр Невский» (зак. № 625, 05.1950-06.1951, 12.1952), «Адмирал Лазарев» (зак. № 626, 02.1951-06.1952, 12.1953), «Щербаков» (зак. № 627, 06.1951-03.1954), «Козьма Минин» (зак. № 628, 1952-, достройка на № 402 как «Архангельск»), «Дмитрий Донской» (зак. № 629, 1952-, достройка на № 402 как «Владивосток»), зак. № 631 (1952-, не достроен);</w:t>
      </w:r>
      <w:r w:rsidRPr="00405303">
        <w:rPr>
          <w:color w:val="002060"/>
          <w:sz w:val="16"/>
          <w:szCs w:val="16"/>
          <w:vertAlign w:val="superscript"/>
        </w:rPr>
        <w:t>148</w:t>
      </w:r>
      <w:r w:rsidRPr="00405303">
        <w:rPr>
          <w:color w:val="002060"/>
          <w:sz w:val="16"/>
          <w:szCs w:val="16"/>
        </w:rPr>
        <w:t xml:space="preserve"> миноносец «Взрыв» (1877); миноноски типа «Орел» (1877-78)- 11; переоборудование императорской яхты «Штандарт» в минзаг «Марти» (1933-36); эсминец пр. 30К (1947-50); сторожевики: пр. 29К (1951)- 1, пограничный ледокольный пр. 52 «Пурга» (1954); парусно-моторные шхуны (1923-25)- 3, мотоботы (1923-25)- 15, дизельные буксиры (1926-27)- 6; торпедные катера: Ш-4 </w:t>
      </w:r>
      <w:r w:rsidRPr="00405303">
        <w:rPr>
          <w:color w:val="002060"/>
          <w:sz w:val="16"/>
          <w:szCs w:val="16"/>
          <w:lang w:val="en-US"/>
        </w:rPr>
        <w:t>I</w:t>
      </w:r>
      <w:r w:rsidRPr="00405303">
        <w:rPr>
          <w:color w:val="002060"/>
          <w:sz w:val="16"/>
          <w:szCs w:val="16"/>
        </w:rPr>
        <w:t>-</w:t>
      </w:r>
      <w:r w:rsidRPr="00405303">
        <w:rPr>
          <w:color w:val="002060"/>
          <w:sz w:val="16"/>
          <w:szCs w:val="16"/>
          <w:lang w:val="en-US"/>
        </w:rPr>
        <w:t>V</w:t>
      </w:r>
      <w:r w:rsidRPr="00405303">
        <w:rPr>
          <w:color w:val="002060"/>
          <w:sz w:val="16"/>
          <w:szCs w:val="16"/>
        </w:rPr>
        <w:t xml:space="preserve"> серий (АНТ-4, 12.1927-32-)- 84; С-1 (В-1), С-2 (В-2) (1930-31); Г-5 (АНТ-5) VI-VIII серий (1933-35)- 150, IX и X серии (пр. 116) (-1939)- всего более 250, XI серии (1938)- 5; УТК (1936-41-, не достроен); пр. 103 СМ-3 (1941), пр. 119 СМ-4 (1939), пр. 123 С-505 «Комсомолец» (1940), пр. 123бис (1944); ныряющий торпедный катер М-400 (1939-42, не закончен); бронекатера: пр. 1125 (1938-39)- 4; МБК пр. 161 (1942-44)- 20; пр. 186 БК-521 (1944-45)- 8;</w:t>
      </w:r>
      <w:r w:rsidRPr="00405303">
        <w:rPr>
          <w:color w:val="002060"/>
          <w:sz w:val="16"/>
          <w:szCs w:val="16"/>
          <w:vertAlign w:val="superscript"/>
        </w:rPr>
        <w:t>61</w:t>
      </w:r>
      <w:r w:rsidRPr="00405303">
        <w:rPr>
          <w:color w:val="002060"/>
          <w:sz w:val="16"/>
          <w:szCs w:val="16"/>
        </w:rPr>
        <w:t xml:space="preserve"> малый охотник М-50 (1941); корпуса для ГШ типа «Барс» (1912-), типа «Щ» (1931-); дизельные ПЛ: типа «Щ» V серии «Лещ» (Щ-102), «Карп» (Щ-104) (1932-), Убис (УПсерии) «Стерлядь» (Щ-113) (10.1932-), «Севрюга» (Щ-114), «Осетр» (Щ-116), «Белуга» (Щ-119), «Навага» (Щ-120) (- 1935, сборка на Дальзаводе), «Сазан» (Щ-201), «Селдь» (Щ-202), «Минога» (Щ-204) (1930-е, сборка на заводе им. 61 Коммунара), «Линь» (Щ-305) (1930-е); Убис (II) серии (1934, сборка на Дальзаводе)- 3; типа «С» серии ТХбис С-54, С-55, С-56 (11.1936-, достройка на заводе 202); X серии Щ-126, -127, -129, -131, -132, -134 (07.1934-, сборка на Дальзаводе), Щ-317, -318, -319, -320 (1934-36), Хбис серии Щ-135, -136, -137, -138 (08.1938-, сборка на заводе 202), Щ-405, -406, -407, -408, -411, -412 (12.1938-09.1941), Щ-413, Щ-414 (06.1941-, не достроены); типа «К» серии XIV (пр. 41) К-1 (зак. 451, 12.1936-04.1938), К-2, К-3 (12.1936-), К-51, К-52, К-53 (1938-09.1939); типа «М» (ВОВ); пр. А615 (1956-57)- 6, еще 1 переоборудована по пр. 637; пр. 877 (1985); пр. 877ЭК для Алжира (1987-88)- 2, пр. 877ЭКМ Б-888 «Синдгош» для Индии (-11.1985)- всего 10; пр. 636 для Китая (2002-05 г.-)- 3 (всего по контракту- 8), для Алжира (2007-09-)- 2; пр. 677 «Лада» «Санкт-Петербург» (12.1997-10.2004, 05.2010), «Кронштадт» (07.2005-16-), «Севастополь» (10.2006-10-); лаборатория пр. 1840 БС-555 (-12.1979); исследовательская пр. 1710 (1987); сверхмалые пр. 865 «Пиранья» МС-520, МС-521 (1988-90)- 2; сверхмалые для боевых пловцов «Тритон-1М», «Тритон-2» (1980-е); АПЛ: пр. 671 (1967-74)- 15 (вместе с заводом 196), пр. 671РТ (1972-)- 7 (вместе с заводами 196 и 112), пр. 671РТМ «Щука» К-244, Б-524 «Западная Лица» (1977-92)- 26 (вместе с заводами 196 и 199), 671РТМК «Щука» Б-414 (1989-90), Б-448 «Тамбов» (-1992); пр. 705 (-12.1971); спецназначения пр. 1910- 2; глубоководные аппараты, пр. 1832 «Поиск-2» (1980-е)- 4, пр. 1906 «Поиск-6» (1980- е)- 1, пр. 1602 «Тинро-2»- 2, пр. 16810 «Русь»- 1, пр. 1825 «Север-2»- 2; буксируемые наблюдательные камеры пр. 1605 «Атлант-2»- 2, «Тетис»- 6, пр. 16051 «Тетис-Н»- 4, 3-го поколения «Консул»; атомная глубоководная станция спецназначения АС-35 (1992) пр. 1851- 3; подводные глубоководные лаборатории пр. 1603 «Бентос-300»- 2; гидробарокамеры ГБК-50; камеры исследования на животных КИЖ; катера: бортовой рабочий пр. 396В (1950- е)- 1, семейства «Мастер»; лесовозы: типа «Волголес» «Волголес» (1930-31), «Двинолес», «Комилес», «Севзаплес», «Экспортлес» («Максим Горький»), «Северолес» («Кузнец Лесов»), «Клара Цеткин», «Лесбел» («Вторая Пятилетка») (1930-е); рефрижераторы: типа «Волга» «Волга», «Кубань», «Нева», «Рион» (1930-32); «Пионер» (1929), «Ленинград», «Тегеран» (1931); грузопассажирские типа «Карелия» «Карелия», «Поморье», «Мудьюг» (1928-30), «Пятилетка» (1932); буксиры: типа «Профинтерн» «Профинтерн», «Тов. Дзержинский», «Тов. Урицкий», «Памяти тов. Войкова», «Тов. Кузьмичев», «10-я годовщина Октября» (1926-29); типа «Мартиец» «Мартиец», Ударник», «Октябренок», «Производственник» (10.1929-32)- 10; типа «Лесосплав» «Лесосплав», «Лесовод», «Правда Севера» (1929-31)- 10; речной 400 л.с. «Видлица» (1928); морские 1500 л.с. (1941-, не достроены); океанский спасатель для ВМФ пр. 1452 (1974-87)- 4, пр. 1453 (1974-87)- 2; ледовый «</w:t>
      </w:r>
      <w:r w:rsidRPr="00405303">
        <w:rPr>
          <w:color w:val="002060"/>
          <w:sz w:val="16"/>
          <w:szCs w:val="16"/>
          <w:lang w:val="en-US"/>
        </w:rPr>
        <w:t>Switzer</w:t>
      </w:r>
      <w:r w:rsidRPr="00405303">
        <w:rPr>
          <w:color w:val="002060"/>
          <w:sz w:val="16"/>
          <w:szCs w:val="16"/>
        </w:rPr>
        <w:t xml:space="preserve"> Корсаков» (-2007); ледоколы: портовые «Торос» (-1929); «Киров», «Куйбышев» (10.1935-, не достроены), пр. 97 «Василий Прончищев» (1960-62)- 3, пр. 97А «Петр Пахтусов» (1965-66)- 2, пр. 97Б (-1969)- 1; атомный пр. 92 «Ленин» (08.1956-12.1957, 12.1959); сухогрузные баржи (1930)- 7, (1942)- 14; сухогрузные и наливные плашкоуты (1941)- 40, самоходные плашкоуты (1942); ледокольные транспорты пр. «Севморпуть-1» «Дежнев», «Леваневский» (11.1935-37); гидрографические суда: типа « Г. Седов» «Мурман», «Океан», «Охотск» (1934-36); типа «Норд» (1930-е)- 4; достройка судов завода им. Жданова «Камчадал», «Партизан», «Полярный» (- 1938); спасательные суда пр. 54 «Нептун», «Сатурн» (1937-40), для спасения ПЛ пр. 21300 «Игорь Белоусов» (2005-); лоцмейстерские суда «Рулевой» (зак. 468, -1938), «Гидролог», «Девиатор» (1939); плавучие доки: на 5000 т пр. 75 (1938), на 12.000 т пр. 1759 «Вуокса», пр. 1759Р «Двина» (1960-е); автомобильный паром пр. 722 (1956- 57)- 4; плавучие рыбоконсервные базы: пр. 398 «Андрей Захаров» (-1960), пр. 400 «Восток» (-1972), пр. 413 «50- летие СССР» (-1972); плавучие КИК: пр. 1914 «Маршал Неделин» (1983-89)- 2, пр. 19510 «Адонис» (1988-91); плавучая лаборатория пр. 1793; плавучий стенд для испытаний ГАС пр. 16860 (1987-); ракетовоз-погрузчик пр. 11570 «Садко» (1986); танкеры: пр. 563 «Ленинград» (1953), пр. 1552 «Ханой» (1963)- 23 (вместе с заводом 189), пр. 15966 «Пулково» (1991-94), "</w:t>
      </w:r>
      <w:r w:rsidRPr="00405303">
        <w:rPr>
          <w:color w:val="002060"/>
          <w:sz w:val="16"/>
          <w:szCs w:val="16"/>
          <w:lang w:val="en-US"/>
        </w:rPr>
        <w:t>Belania</w:t>
      </w:r>
      <w:r w:rsidRPr="00405303">
        <w:rPr>
          <w:color w:val="002060"/>
          <w:sz w:val="16"/>
          <w:szCs w:val="16"/>
        </w:rPr>
        <w:t>" для Норвегии (-1995), "</w:t>
      </w:r>
      <w:r w:rsidRPr="00405303">
        <w:rPr>
          <w:color w:val="002060"/>
          <w:sz w:val="16"/>
          <w:szCs w:val="16"/>
          <w:lang w:val="en-US"/>
        </w:rPr>
        <w:t>CapeBancs</w:t>
      </w:r>
      <w:r w:rsidRPr="00405303">
        <w:rPr>
          <w:color w:val="002060"/>
          <w:sz w:val="16"/>
          <w:szCs w:val="16"/>
        </w:rPr>
        <w:t>", "</w:t>
      </w:r>
      <w:r w:rsidRPr="00405303">
        <w:rPr>
          <w:color w:val="002060"/>
          <w:sz w:val="16"/>
          <w:szCs w:val="16"/>
          <w:lang w:val="en-US"/>
        </w:rPr>
        <w:t>CapeBear</w:t>
      </w:r>
      <w:r w:rsidRPr="00405303">
        <w:rPr>
          <w:color w:val="002060"/>
          <w:sz w:val="16"/>
          <w:szCs w:val="16"/>
        </w:rPr>
        <w:t>", "</w:t>
      </w:r>
      <w:r w:rsidRPr="00405303">
        <w:rPr>
          <w:color w:val="002060"/>
          <w:sz w:val="16"/>
          <w:szCs w:val="16"/>
          <w:lang w:val="en-US"/>
        </w:rPr>
        <w:t>CapeBenat</w:t>
      </w:r>
      <w:r w:rsidRPr="00405303">
        <w:rPr>
          <w:color w:val="002060"/>
          <w:sz w:val="16"/>
          <w:szCs w:val="16"/>
        </w:rPr>
        <w:t xml:space="preserve">", "Саре </w:t>
      </w:r>
      <w:r w:rsidRPr="00405303">
        <w:rPr>
          <w:color w:val="002060"/>
          <w:sz w:val="16"/>
          <w:szCs w:val="16"/>
          <w:lang w:val="en-US"/>
        </w:rPr>
        <w:t>Blanc</w:t>
      </w:r>
      <w:r w:rsidRPr="00405303">
        <w:rPr>
          <w:color w:val="002060"/>
          <w:sz w:val="16"/>
          <w:szCs w:val="16"/>
        </w:rPr>
        <w:t>" для Германии (1997-98), "</w:t>
      </w:r>
      <w:r w:rsidRPr="00405303">
        <w:rPr>
          <w:color w:val="002060"/>
          <w:sz w:val="16"/>
          <w:szCs w:val="16"/>
          <w:lang w:val="en-US"/>
        </w:rPr>
        <w:t>Jyoti</w:t>
      </w:r>
      <w:r w:rsidRPr="00405303">
        <w:rPr>
          <w:color w:val="002060"/>
          <w:sz w:val="16"/>
          <w:szCs w:val="16"/>
        </w:rPr>
        <w:t>" для Индии (1996); химовоз «Виктор Дубровский» (1997); продуктовоз пр. 5-55 "</w:t>
      </w:r>
      <w:r w:rsidRPr="00405303">
        <w:rPr>
          <w:color w:val="002060"/>
          <w:sz w:val="16"/>
          <w:szCs w:val="16"/>
          <w:lang w:val="en-US"/>
        </w:rPr>
        <w:t>TroitskyBridge</w:t>
      </w:r>
      <w:r w:rsidRPr="00405303">
        <w:rPr>
          <w:color w:val="002060"/>
          <w:sz w:val="16"/>
          <w:szCs w:val="16"/>
        </w:rPr>
        <w:t>", "</w:t>
      </w:r>
      <w:r w:rsidRPr="00405303">
        <w:rPr>
          <w:color w:val="002060"/>
          <w:sz w:val="16"/>
          <w:szCs w:val="16"/>
          <w:lang w:val="en-US"/>
        </w:rPr>
        <w:t>TuchkovBridge</w:t>
      </w:r>
      <w:r w:rsidRPr="00405303">
        <w:rPr>
          <w:color w:val="002060"/>
          <w:sz w:val="16"/>
          <w:szCs w:val="16"/>
        </w:rPr>
        <w:t xml:space="preserve">", </w:t>
      </w:r>
      <w:r w:rsidRPr="00405303">
        <w:rPr>
          <w:color w:val="002060"/>
          <w:sz w:val="16"/>
          <w:szCs w:val="16"/>
          <w:lang w:val="en-US"/>
        </w:rPr>
        <w:t>TowerBridge</w:t>
      </w:r>
      <w:r w:rsidRPr="00405303">
        <w:rPr>
          <w:color w:val="002060"/>
          <w:sz w:val="16"/>
          <w:szCs w:val="16"/>
        </w:rPr>
        <w:t>" (все в 2003-04), "</w:t>
      </w:r>
      <w:r w:rsidRPr="00405303">
        <w:rPr>
          <w:color w:val="002060"/>
          <w:sz w:val="16"/>
          <w:szCs w:val="16"/>
          <w:lang w:val="en-US"/>
        </w:rPr>
        <w:t>TorgovyBridge</w:t>
      </w:r>
      <w:r w:rsidRPr="00405303">
        <w:rPr>
          <w:color w:val="002060"/>
          <w:sz w:val="16"/>
          <w:szCs w:val="16"/>
        </w:rPr>
        <w:t>" (-2005), (05.2005-)- 1; арктические пр. 20070 «Астрахань», «Магас», «Калининград» (2000-02), пр. 20071 «Саратов», «Усинск» (все в 2000-02); ледового класса финского проекта (2005-)- 2;</w:t>
      </w:r>
    </w:p>
    <w:p w14:paraId="069C8203" w14:textId="77777777" w:rsidR="000B3BFF" w:rsidRPr="00405303" w:rsidRDefault="000B3BFF" w:rsidP="00C15251">
      <w:pPr>
        <w:jc w:val="both"/>
        <w:rPr>
          <w:color w:val="002060"/>
          <w:sz w:val="16"/>
          <w:szCs w:val="16"/>
        </w:rPr>
      </w:pPr>
      <w:r w:rsidRPr="00405303">
        <w:rPr>
          <w:color w:val="002060"/>
          <w:sz w:val="16"/>
          <w:szCs w:val="16"/>
        </w:rPr>
        <w:t>переоборудование: грузового парохода в учебное судно «Свирь» (1941); польских рудовозов в плавмастерские пр. В-30 (1950-е, завершено на Кронштадтском морзаводе)- 3; плавдока пр. 71 по пр. 782 для АПЛ (1960-е);</w:t>
      </w:r>
    </w:p>
    <w:p w14:paraId="3D347146" w14:textId="77777777" w:rsidR="000B3BFF" w:rsidRPr="00405303" w:rsidRDefault="000B3BFF" w:rsidP="00C15251">
      <w:pPr>
        <w:jc w:val="both"/>
        <w:rPr>
          <w:color w:val="002060"/>
          <w:sz w:val="16"/>
          <w:szCs w:val="16"/>
        </w:rPr>
      </w:pPr>
      <w:r w:rsidRPr="00405303">
        <w:rPr>
          <w:color w:val="002060"/>
          <w:sz w:val="16"/>
          <w:szCs w:val="16"/>
        </w:rPr>
        <w:t>турбомеханизмы для эсминцев пр. 7 (1930-е), для ледокола «Дежнев» (1937); миномет БМ-82 (1941).</w:t>
      </w:r>
    </w:p>
    <w:p w14:paraId="1FEA6F83" w14:textId="77777777" w:rsidR="000B3BFF" w:rsidRPr="00405303" w:rsidRDefault="000B3BFF" w:rsidP="00C15251">
      <w:pPr>
        <w:jc w:val="both"/>
        <w:rPr>
          <w:color w:val="002060"/>
          <w:sz w:val="16"/>
          <w:szCs w:val="16"/>
        </w:rPr>
      </w:pPr>
      <w:r w:rsidRPr="00405303">
        <w:rPr>
          <w:color w:val="002060"/>
          <w:sz w:val="16"/>
          <w:szCs w:val="16"/>
        </w:rPr>
        <w:t>КБ завода им. А. Марти, КБ-194</w:t>
      </w:r>
    </w:p>
    <w:p w14:paraId="7FC4A956" w14:textId="77777777" w:rsidR="000B3BFF" w:rsidRPr="00405303" w:rsidRDefault="000B3BFF" w:rsidP="00C15251">
      <w:pPr>
        <w:jc w:val="both"/>
        <w:rPr>
          <w:color w:val="002060"/>
          <w:sz w:val="16"/>
          <w:szCs w:val="16"/>
        </w:rPr>
      </w:pPr>
      <w:r w:rsidRPr="00405303">
        <w:rPr>
          <w:color w:val="002060"/>
          <w:sz w:val="16"/>
          <w:szCs w:val="16"/>
        </w:rPr>
        <w:t>В 1934-35 г. велись работы по усилению конструкции торпедного катера Г-5, в 1938 г. на базе Г-5 создан пр. 157. В 1939 г. спроектирован торпедный катер пр. 119 в развитие типа Г-8. Перед войной отдел по проектированию торпедных катеров был передан в ЦКБ-50. В 1949 г. катерный сектор КБ завода вошел в состав ЦКБ-19МСП.</w:t>
      </w:r>
    </w:p>
    <w:p w14:paraId="36A143A6" w14:textId="77777777" w:rsidR="000B3BFF" w:rsidRPr="00405303" w:rsidRDefault="000B3BFF" w:rsidP="00C15251">
      <w:pPr>
        <w:jc w:val="both"/>
        <w:rPr>
          <w:color w:val="002060"/>
          <w:sz w:val="16"/>
          <w:szCs w:val="16"/>
        </w:rPr>
      </w:pPr>
      <w:r w:rsidRPr="00405303">
        <w:rPr>
          <w:color w:val="002060"/>
          <w:sz w:val="16"/>
          <w:szCs w:val="16"/>
        </w:rPr>
        <w:t>В 1936 г. продолжены работы по универсальному турбинному катеру (УТК), переданные из НИВК.</w:t>
      </w:r>
    </w:p>
    <w:p w14:paraId="63AD1770" w14:textId="77777777" w:rsidR="000B3BFF" w:rsidRPr="00405303" w:rsidRDefault="000B3BFF" w:rsidP="00C15251">
      <w:pPr>
        <w:jc w:val="both"/>
        <w:rPr>
          <w:color w:val="002060"/>
          <w:sz w:val="16"/>
          <w:szCs w:val="16"/>
        </w:rPr>
      </w:pPr>
      <w:r w:rsidRPr="00405303">
        <w:rPr>
          <w:color w:val="002060"/>
          <w:sz w:val="16"/>
          <w:szCs w:val="16"/>
        </w:rPr>
        <w:t>В 1938-39 г. разработан проект большого охотника за ПЛ пр. 115, дальнейшие работы по нему велись в ЦКБ- 51. По заданию Главного Штаба, утвержденному 25.10.1939 г., разработан проект переоборудования рефрижератора «Феликс Дзержинский» в минный заградитель пр. 125.</w:t>
      </w:r>
    </w:p>
    <w:p w14:paraId="0268FF41" w14:textId="77777777" w:rsidR="000B3BFF" w:rsidRPr="00405303" w:rsidRDefault="000B3BFF" w:rsidP="00C15251">
      <w:pPr>
        <w:jc w:val="both"/>
        <w:rPr>
          <w:color w:val="002060"/>
          <w:sz w:val="16"/>
          <w:szCs w:val="16"/>
        </w:rPr>
      </w:pPr>
      <w:r w:rsidRPr="00405303">
        <w:rPr>
          <w:color w:val="002060"/>
          <w:sz w:val="16"/>
          <w:szCs w:val="16"/>
        </w:rPr>
        <w:t>На базе пр. 138 был разработан проект морского бронекатера пр. 161, утвержденный 15.09.1943 г.</w:t>
      </w:r>
    </w:p>
    <w:p w14:paraId="111512BE" w14:textId="77777777" w:rsidR="000B3BFF" w:rsidRPr="00405303" w:rsidRDefault="000B3BFF" w:rsidP="00C15251">
      <w:pPr>
        <w:jc w:val="both"/>
        <w:rPr>
          <w:color w:val="002060"/>
          <w:sz w:val="16"/>
          <w:szCs w:val="16"/>
        </w:rPr>
      </w:pPr>
      <w:r w:rsidRPr="00405303">
        <w:rPr>
          <w:color w:val="002060"/>
          <w:sz w:val="16"/>
          <w:szCs w:val="16"/>
        </w:rPr>
        <w:t>В 1950 г. начато проектирование сторожевика пр. 50, затем передано в СКБ завода № 820.</w:t>
      </w:r>
    </w:p>
    <w:p w14:paraId="707CCA5B" w14:textId="77777777" w:rsidR="000B3BFF" w:rsidRPr="00405303" w:rsidRDefault="000B3BFF" w:rsidP="00C15251">
      <w:pPr>
        <w:jc w:val="both"/>
        <w:rPr>
          <w:color w:val="002060"/>
          <w:sz w:val="16"/>
          <w:szCs w:val="16"/>
        </w:rPr>
      </w:pPr>
      <w:r w:rsidRPr="00405303">
        <w:rPr>
          <w:color w:val="002060"/>
          <w:sz w:val="16"/>
          <w:szCs w:val="16"/>
        </w:rPr>
        <w:t>Начальник (1934 г.)- К.В. Попов.</w:t>
      </w:r>
    </w:p>
    <w:p w14:paraId="7E6BF2E6" w14:textId="77777777" w:rsidR="000B3BFF" w:rsidRPr="00405303" w:rsidRDefault="000B3BFF" w:rsidP="00C15251">
      <w:pPr>
        <w:jc w:val="both"/>
        <w:rPr>
          <w:color w:val="002060"/>
          <w:sz w:val="16"/>
          <w:szCs w:val="16"/>
        </w:rPr>
      </w:pPr>
      <w:r w:rsidRPr="00405303">
        <w:rPr>
          <w:color w:val="002060"/>
          <w:sz w:val="16"/>
          <w:szCs w:val="16"/>
        </w:rPr>
        <w:t>Гл. конструктор (09.1938 г.)- Д.Д. Жуковский, (-1942-43 г.-)- Ю. Г. Деревянко (позднее- замминистра МСП).</w:t>
      </w:r>
    </w:p>
    <w:p w14:paraId="0E526CDA" w14:textId="77777777" w:rsidR="000B3BFF" w:rsidRPr="00405303" w:rsidRDefault="000B3BFF" w:rsidP="00C15251">
      <w:pPr>
        <w:jc w:val="both"/>
        <w:rPr>
          <w:color w:val="002060"/>
          <w:sz w:val="16"/>
          <w:szCs w:val="16"/>
        </w:rPr>
      </w:pPr>
      <w:r w:rsidRPr="00405303">
        <w:rPr>
          <w:color w:val="002060"/>
          <w:sz w:val="16"/>
          <w:szCs w:val="16"/>
        </w:rPr>
        <w:t>Гл. конструкторы: (1938 г.)- Н. Г. Лощинский (пр. 122), (1939 г.)- П.И. Таптыгин (пр. 123), (1942 г.)- Д.Н. Загайкевич (пр. 161), (1944 г.)- Ю. Г. Деревянко (пр. 186).</w:t>
      </w:r>
    </w:p>
    <w:p w14:paraId="0B268E16" w14:textId="77777777" w:rsidR="000B3BFF" w:rsidRPr="00405303" w:rsidRDefault="000B3BFF" w:rsidP="00C15251">
      <w:pPr>
        <w:jc w:val="both"/>
        <w:rPr>
          <w:color w:val="002060"/>
          <w:sz w:val="16"/>
          <w:szCs w:val="16"/>
        </w:rPr>
      </w:pPr>
      <w:r w:rsidRPr="00405303">
        <w:rPr>
          <w:color w:val="002060"/>
          <w:sz w:val="16"/>
          <w:szCs w:val="16"/>
        </w:rPr>
        <w:t>Создано: охотник за ПЛ пр. 115 (1939); минзаг пр. 125 (1939); торпедные катера: пр. 264 (104) УТК (1936), пр. 157 (1938), пр. 103 СМ-3 (1940), пр. 119 СМ-4 (1939), пр. 123 (1939); морские бронекатера: пр. 161 (1942-43), шхерный монитор пр. 161у (пр. 186) (1944); средняя ПЛ пр. 608-1 (1944, не реализован); самоходный плашкоут (1942); автомобильный паром пр. 722 (1950-е, совместно с ЦКБ-51).</w:t>
      </w:r>
      <w:r w:rsidRPr="00405303">
        <w:rPr>
          <w:color w:val="002060"/>
          <w:sz w:val="16"/>
          <w:szCs w:val="16"/>
          <w:vertAlign w:val="superscript"/>
        </w:rPr>
        <w:t>61,116</w:t>
      </w:r>
    </w:p>
    <w:p w14:paraId="61259FE2" w14:textId="77777777" w:rsidR="000B3BFF" w:rsidRPr="00405303" w:rsidRDefault="000B3BFF" w:rsidP="00C15251">
      <w:pPr>
        <w:jc w:val="both"/>
        <w:rPr>
          <w:color w:val="002060"/>
          <w:sz w:val="16"/>
          <w:szCs w:val="16"/>
        </w:rPr>
      </w:pPr>
      <w:r w:rsidRPr="00405303">
        <w:rPr>
          <w:color w:val="002060"/>
          <w:sz w:val="16"/>
          <w:szCs w:val="16"/>
        </w:rPr>
        <w:t>ОКБ ЛАО</w:t>
      </w:r>
    </w:p>
    <w:p w14:paraId="7B737C49" w14:textId="77777777" w:rsidR="000B3BFF" w:rsidRPr="00405303" w:rsidRDefault="000B3BFF" w:rsidP="00C15251">
      <w:pPr>
        <w:jc w:val="both"/>
        <w:rPr>
          <w:color w:val="002060"/>
          <w:sz w:val="16"/>
          <w:szCs w:val="16"/>
        </w:rPr>
      </w:pPr>
      <w:r w:rsidRPr="00405303">
        <w:rPr>
          <w:color w:val="002060"/>
          <w:sz w:val="16"/>
          <w:szCs w:val="16"/>
        </w:rPr>
        <w:t>Гл. конструкторы: (1980-е)- В.В. Педуре (пр. 16860).</w:t>
      </w:r>
    </w:p>
    <w:p w14:paraId="1873FEE6" w14:textId="77777777" w:rsidR="000B3BFF" w:rsidRPr="00405303" w:rsidRDefault="000B3BFF" w:rsidP="00C15251">
      <w:pPr>
        <w:jc w:val="both"/>
        <w:rPr>
          <w:color w:val="002060"/>
          <w:sz w:val="16"/>
          <w:szCs w:val="16"/>
        </w:rPr>
      </w:pPr>
      <w:r w:rsidRPr="00405303">
        <w:rPr>
          <w:color w:val="002060"/>
          <w:sz w:val="16"/>
          <w:szCs w:val="16"/>
        </w:rPr>
        <w:t>Создано: плавучая лаборатория пр. 1793; плавучий стенд для испытаний ГАС пр. 16860 (1986) (11982).</w:t>
      </w:r>
    </w:p>
    <w:p w14:paraId="35067321" w14:textId="77777777" w:rsidR="000B3BFF" w:rsidRPr="00405303" w:rsidRDefault="000B3BFF" w:rsidP="00C15251">
      <w:pPr>
        <w:jc w:val="both"/>
        <w:rPr>
          <w:color w:val="002060"/>
          <w:sz w:val="16"/>
          <w:szCs w:val="16"/>
        </w:rPr>
      </w:pPr>
    </w:p>
    <w:p w14:paraId="02297C10" w14:textId="77777777" w:rsidR="000B3BFF" w:rsidRPr="00405303" w:rsidRDefault="000B3BFF" w:rsidP="00C15251">
      <w:pPr>
        <w:jc w:val="both"/>
        <w:rPr>
          <w:iCs/>
          <w:color w:val="002060"/>
          <w:sz w:val="16"/>
          <w:szCs w:val="16"/>
        </w:rPr>
      </w:pPr>
      <w:r w:rsidRPr="00405303">
        <w:rPr>
          <w:i/>
          <w:iCs/>
          <w:color w:val="002060"/>
          <w:sz w:val="16"/>
          <w:szCs w:val="16"/>
        </w:rPr>
        <w:t>Армия:</w:t>
      </w:r>
    </w:p>
    <w:p w14:paraId="0C891DB9" w14:textId="77777777" w:rsidR="000B3BFF" w:rsidRPr="00405303" w:rsidRDefault="000B3BFF" w:rsidP="00C15251">
      <w:pPr>
        <w:jc w:val="both"/>
        <w:rPr>
          <w:iCs/>
          <w:color w:val="002060"/>
          <w:sz w:val="16"/>
          <w:szCs w:val="16"/>
        </w:rPr>
      </w:pPr>
    </w:p>
    <w:p w14:paraId="0346069F" w14:textId="77777777" w:rsidR="000B3BFF" w:rsidRPr="00405303" w:rsidRDefault="000B3BFF" w:rsidP="00C15251">
      <w:pPr>
        <w:shd w:val="clear" w:color="auto" w:fill="FFFFFF"/>
        <w:jc w:val="both"/>
        <w:rPr>
          <w:color w:val="002060"/>
          <w:sz w:val="16"/>
          <w:szCs w:val="16"/>
        </w:rPr>
      </w:pPr>
      <w:r w:rsidRPr="00405303">
        <w:rPr>
          <w:color w:val="002060"/>
          <w:sz w:val="16"/>
          <w:szCs w:val="16"/>
        </w:rPr>
        <w:lastRenderedPageBreak/>
        <w:t>В 1915-1916 гг. “Императрица Мария” и “Императри</w:t>
      </w:r>
      <w:r w:rsidRPr="00405303">
        <w:rPr>
          <w:color w:val="002060"/>
          <w:sz w:val="16"/>
          <w:szCs w:val="16"/>
        </w:rPr>
        <w:softHyphen/>
        <w:t>ца Екатерина II” использовались в боевых действиях на Черном море. Хотя ярких и удачных операций с их учас</w:t>
      </w:r>
      <w:r w:rsidRPr="00405303">
        <w:rPr>
          <w:color w:val="002060"/>
          <w:sz w:val="16"/>
          <w:szCs w:val="16"/>
        </w:rPr>
        <w:softHyphen/>
        <w:t>тием в этот период не отмечено, само присутствие мощ</w:t>
      </w:r>
      <w:r w:rsidRPr="00405303">
        <w:rPr>
          <w:color w:val="002060"/>
          <w:sz w:val="16"/>
          <w:szCs w:val="16"/>
        </w:rPr>
        <w:softHyphen/>
        <w:t>ных русских кораблей не позволило полноценно действо</w:t>
      </w:r>
      <w:r w:rsidRPr="00405303">
        <w:rPr>
          <w:color w:val="002060"/>
          <w:sz w:val="16"/>
          <w:szCs w:val="16"/>
        </w:rPr>
        <w:softHyphen/>
        <w:t>вать немецким крейсерам “Гебен” и “Бреслау”. Дальнейшая судьба трех построенных линкоров, как и всей черноморской эскадры, сложилась трагически. 20 октября 1916 г. корабль “Императрица Мария” погиб в результате взрыва боезапаса на рейде Севастополя. Дру</w:t>
      </w:r>
      <w:r w:rsidRPr="00405303">
        <w:rPr>
          <w:color w:val="002060"/>
          <w:sz w:val="16"/>
          <w:szCs w:val="16"/>
        </w:rPr>
        <w:softHyphen/>
        <w:t>гие два линкора, согласно условиям Брест-Литовского мирного договора между правительствами Советской России и Германии, подписанного 3 марта 1918 г., долж</w:t>
      </w:r>
      <w:r w:rsidRPr="00405303">
        <w:rPr>
          <w:color w:val="002060"/>
          <w:sz w:val="16"/>
          <w:szCs w:val="16"/>
        </w:rPr>
        <w:softHyphen/>
        <w:t>ны были уничтожить. Действительно, в соответствии с распоряжением В.И.Ленина, 18 июня 1918 г. линейный корабль “Императрица Екатерина II” (с 1917 г. - “Свобод</w:t>
      </w:r>
      <w:r w:rsidRPr="00405303">
        <w:rPr>
          <w:color w:val="002060"/>
          <w:sz w:val="16"/>
          <w:szCs w:val="16"/>
        </w:rPr>
        <w:softHyphen/>
        <w:t>ная Россия”) был затоплен в районе Новороссийска. Вступивший в строй в 1917 г. “Император Александр III” (“Воля”) находился в руках Белой армии. После ее пора</w:t>
      </w:r>
      <w:r w:rsidRPr="00405303">
        <w:rPr>
          <w:color w:val="002060"/>
          <w:sz w:val="16"/>
          <w:szCs w:val="16"/>
        </w:rPr>
        <w:softHyphen/>
        <w:t>жения он вошел в состав Русской эскадры, с которой в но</w:t>
      </w:r>
      <w:r w:rsidRPr="00405303">
        <w:rPr>
          <w:color w:val="002060"/>
          <w:sz w:val="16"/>
          <w:szCs w:val="16"/>
        </w:rPr>
        <w:softHyphen/>
        <w:t>ябре 1920 г. перешел в Бизерту (Тунис). Переименован</w:t>
      </w:r>
      <w:r w:rsidRPr="00405303">
        <w:rPr>
          <w:color w:val="002060"/>
          <w:sz w:val="16"/>
          <w:szCs w:val="16"/>
        </w:rPr>
        <w:softHyphen/>
        <w:t>ный в “Генерал Алексеев”, линкор находился там до сере</w:t>
      </w:r>
      <w:r w:rsidRPr="00405303">
        <w:rPr>
          <w:color w:val="002060"/>
          <w:sz w:val="16"/>
          <w:szCs w:val="16"/>
        </w:rPr>
        <w:softHyphen/>
        <w:t>дины 1930-х гг., после чего был отдан на слом (11107).</w:t>
      </w:r>
    </w:p>
    <w:p w14:paraId="3078C603" w14:textId="77777777" w:rsidR="000B3BFF" w:rsidRPr="00405303" w:rsidRDefault="000B3BFF" w:rsidP="00C15251">
      <w:pPr>
        <w:shd w:val="clear" w:color="auto" w:fill="FFFFFF"/>
        <w:jc w:val="both"/>
        <w:rPr>
          <w:color w:val="002060"/>
          <w:sz w:val="16"/>
          <w:szCs w:val="16"/>
        </w:rPr>
      </w:pPr>
    </w:p>
    <w:p w14:paraId="5CC114C3"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Внешняя политика:</w:t>
      </w:r>
    </w:p>
    <w:p w14:paraId="76465B2C" w14:textId="77777777" w:rsidR="004B4E35" w:rsidRPr="00405303" w:rsidRDefault="004B4E35" w:rsidP="00C15251">
      <w:pPr>
        <w:shd w:val="clear" w:color="auto" w:fill="FFFFFF"/>
        <w:jc w:val="both"/>
        <w:rPr>
          <w:bCs/>
          <w:i/>
          <w:color w:val="002060"/>
          <w:sz w:val="16"/>
          <w:szCs w:val="16"/>
        </w:rPr>
      </w:pPr>
    </w:p>
    <w:p w14:paraId="04249B21" w14:textId="77777777" w:rsidR="004B4E35" w:rsidRPr="00405303" w:rsidRDefault="009E6F82" w:rsidP="00C15251">
      <w:pPr>
        <w:jc w:val="both"/>
        <w:rPr>
          <w:bCs/>
          <w:color w:val="002060"/>
          <w:sz w:val="16"/>
          <w:szCs w:val="16"/>
        </w:rPr>
      </w:pPr>
      <w:r w:rsidRPr="00405303">
        <w:rPr>
          <w:bCs/>
          <w:color w:val="002060"/>
          <w:sz w:val="16"/>
          <w:szCs w:val="16"/>
        </w:rPr>
        <w:t xml:space="preserve">Быстрый рост в армиях всех воюющих государств штатного числа пулеметов, положенных иметь в дивизии, заставил и Россию деятельно вооружать армию этим оружием. Так как Тульский завод, единственный изготовляющий пулеметы, не мог удовлетворить быстро нарастающую потребность в них, то ничего не оставалось, как прибегнуть к заграничным заказам. Единственным рынком, где можно было разместить эти заказы, был американский. </w:t>
      </w:r>
    </w:p>
    <w:p w14:paraId="0B5FE316" w14:textId="77777777" w:rsidR="004B4E35" w:rsidRPr="00405303" w:rsidRDefault="009E6F82" w:rsidP="00C15251">
      <w:pPr>
        <w:jc w:val="both"/>
        <w:rPr>
          <w:bCs/>
          <w:color w:val="002060"/>
          <w:sz w:val="16"/>
          <w:szCs w:val="16"/>
        </w:rPr>
      </w:pPr>
      <w:r w:rsidRPr="00405303">
        <w:rPr>
          <w:bCs/>
          <w:color w:val="002060"/>
          <w:sz w:val="16"/>
          <w:szCs w:val="16"/>
        </w:rPr>
        <w:t xml:space="preserve">За 1915—1917 гг. были сделаны следующие заказы на пулеметы: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40"/>
        <w:gridCol w:w="792"/>
        <w:gridCol w:w="1248"/>
        <w:gridCol w:w="684"/>
      </w:tblGrid>
      <w:tr w:rsidR="004B4E35" w:rsidRPr="00405303" w14:paraId="1AF64AF6" w14:textId="77777777">
        <w:tc>
          <w:tcPr>
            <w:tcW w:w="1140" w:type="dxa"/>
          </w:tcPr>
          <w:p w14:paraId="789768E7" w14:textId="77777777" w:rsidR="004B4E35" w:rsidRPr="00405303" w:rsidRDefault="009E6F82" w:rsidP="00C15251">
            <w:pPr>
              <w:jc w:val="both"/>
              <w:rPr>
                <w:bCs/>
                <w:color w:val="002060"/>
                <w:sz w:val="16"/>
                <w:szCs w:val="16"/>
              </w:rPr>
            </w:pPr>
            <w:r w:rsidRPr="00405303">
              <w:rPr>
                <w:bCs/>
                <w:color w:val="002060"/>
                <w:sz w:val="16"/>
                <w:szCs w:val="16"/>
              </w:rPr>
              <w:t>Заводы</w:t>
            </w:r>
          </w:p>
        </w:tc>
        <w:tc>
          <w:tcPr>
            <w:tcW w:w="2724" w:type="dxa"/>
            <w:gridSpan w:val="3"/>
          </w:tcPr>
          <w:p w14:paraId="63A062AC" w14:textId="77777777" w:rsidR="004B4E35" w:rsidRPr="00405303" w:rsidRDefault="009E6F82" w:rsidP="00C15251">
            <w:pPr>
              <w:jc w:val="both"/>
              <w:rPr>
                <w:bCs/>
                <w:color w:val="002060"/>
                <w:sz w:val="16"/>
                <w:szCs w:val="16"/>
              </w:rPr>
            </w:pPr>
            <w:r w:rsidRPr="00405303">
              <w:rPr>
                <w:bCs/>
                <w:color w:val="002060"/>
                <w:sz w:val="16"/>
                <w:szCs w:val="16"/>
              </w:rPr>
              <w:t>Системы пулеметов</w:t>
            </w:r>
          </w:p>
        </w:tc>
      </w:tr>
      <w:tr w:rsidR="004B4E35" w:rsidRPr="00405303" w14:paraId="148356F8" w14:textId="77777777">
        <w:tc>
          <w:tcPr>
            <w:tcW w:w="1140" w:type="dxa"/>
          </w:tcPr>
          <w:p w14:paraId="75A6771C" w14:textId="73EDC58A" w:rsidR="004B4E35" w:rsidRPr="00405303" w:rsidRDefault="00DB4D64" w:rsidP="00C15251">
            <w:pPr>
              <w:jc w:val="both"/>
              <w:rPr>
                <w:bCs/>
                <w:color w:val="002060"/>
                <w:sz w:val="16"/>
                <w:szCs w:val="16"/>
              </w:rPr>
            </w:pPr>
            <w:r w:rsidRPr="00405303">
              <w:rPr>
                <w:bCs/>
                <w:color w:val="002060"/>
                <w:sz w:val="16"/>
                <w:szCs w:val="16"/>
              </w:rPr>
              <w:t xml:space="preserve"> </w:t>
            </w:r>
          </w:p>
        </w:tc>
        <w:tc>
          <w:tcPr>
            <w:tcW w:w="792" w:type="dxa"/>
          </w:tcPr>
          <w:p w14:paraId="0E3472C6" w14:textId="77777777" w:rsidR="004B4E35" w:rsidRPr="00405303" w:rsidRDefault="009E6F82" w:rsidP="00C15251">
            <w:pPr>
              <w:jc w:val="both"/>
              <w:rPr>
                <w:bCs/>
                <w:color w:val="002060"/>
                <w:sz w:val="16"/>
                <w:szCs w:val="16"/>
              </w:rPr>
            </w:pPr>
            <w:r w:rsidRPr="00405303">
              <w:rPr>
                <w:bCs/>
                <w:color w:val="002060"/>
                <w:sz w:val="16"/>
                <w:szCs w:val="16"/>
              </w:rPr>
              <w:t>Кольт</w:t>
            </w:r>
          </w:p>
        </w:tc>
        <w:tc>
          <w:tcPr>
            <w:tcW w:w="1248" w:type="dxa"/>
          </w:tcPr>
          <w:p w14:paraId="0D23C450" w14:textId="77777777" w:rsidR="004B4E35" w:rsidRPr="00405303" w:rsidRDefault="009E6F82" w:rsidP="00C15251">
            <w:pPr>
              <w:jc w:val="both"/>
              <w:rPr>
                <w:bCs/>
                <w:color w:val="002060"/>
                <w:sz w:val="16"/>
                <w:szCs w:val="16"/>
              </w:rPr>
            </w:pPr>
            <w:r w:rsidRPr="00405303">
              <w:rPr>
                <w:bCs/>
                <w:color w:val="002060"/>
                <w:sz w:val="16"/>
                <w:szCs w:val="16"/>
              </w:rPr>
              <w:t>Виккерс</w:t>
            </w:r>
          </w:p>
        </w:tc>
        <w:tc>
          <w:tcPr>
            <w:tcW w:w="684" w:type="dxa"/>
          </w:tcPr>
          <w:p w14:paraId="302EF540" w14:textId="77777777" w:rsidR="004B4E35" w:rsidRPr="00405303" w:rsidRDefault="009E6F82" w:rsidP="00C15251">
            <w:pPr>
              <w:jc w:val="both"/>
              <w:rPr>
                <w:bCs/>
                <w:color w:val="002060"/>
                <w:sz w:val="16"/>
                <w:szCs w:val="16"/>
              </w:rPr>
            </w:pPr>
            <w:r w:rsidRPr="00405303">
              <w:rPr>
                <w:bCs/>
                <w:color w:val="002060"/>
                <w:sz w:val="16"/>
                <w:szCs w:val="16"/>
              </w:rPr>
              <w:t>Льюис</w:t>
            </w:r>
          </w:p>
        </w:tc>
      </w:tr>
      <w:tr w:rsidR="004B4E35" w:rsidRPr="00405303" w14:paraId="64DCDC2A" w14:textId="77777777">
        <w:tc>
          <w:tcPr>
            <w:tcW w:w="1140" w:type="dxa"/>
          </w:tcPr>
          <w:p w14:paraId="0DAC1CD9" w14:textId="77777777" w:rsidR="004B4E35" w:rsidRPr="00405303" w:rsidRDefault="009E6F82" w:rsidP="00C15251">
            <w:pPr>
              <w:jc w:val="both"/>
              <w:rPr>
                <w:bCs/>
                <w:color w:val="002060"/>
                <w:sz w:val="16"/>
                <w:szCs w:val="16"/>
              </w:rPr>
            </w:pPr>
            <w:r w:rsidRPr="00405303">
              <w:rPr>
                <w:bCs/>
                <w:color w:val="002060"/>
                <w:sz w:val="16"/>
                <w:szCs w:val="16"/>
              </w:rPr>
              <w:t>Кольт</w:t>
            </w:r>
          </w:p>
        </w:tc>
        <w:tc>
          <w:tcPr>
            <w:tcW w:w="792" w:type="dxa"/>
          </w:tcPr>
          <w:p w14:paraId="1EDB5F84" w14:textId="77777777" w:rsidR="004B4E35" w:rsidRPr="00405303" w:rsidRDefault="009E6F82" w:rsidP="00C15251">
            <w:pPr>
              <w:jc w:val="both"/>
              <w:rPr>
                <w:bCs/>
                <w:color w:val="002060"/>
                <w:sz w:val="16"/>
                <w:szCs w:val="16"/>
              </w:rPr>
            </w:pPr>
            <w:r w:rsidRPr="00405303">
              <w:rPr>
                <w:bCs/>
                <w:color w:val="002060"/>
                <w:sz w:val="16"/>
                <w:szCs w:val="16"/>
              </w:rPr>
              <w:t>7.385</w:t>
            </w:r>
          </w:p>
        </w:tc>
        <w:tc>
          <w:tcPr>
            <w:tcW w:w="1248" w:type="dxa"/>
          </w:tcPr>
          <w:p w14:paraId="60EC04A5" w14:textId="77777777" w:rsidR="004B4E35" w:rsidRPr="00405303" w:rsidRDefault="009E6F82" w:rsidP="00C15251">
            <w:pPr>
              <w:jc w:val="both"/>
              <w:rPr>
                <w:bCs/>
                <w:color w:val="002060"/>
                <w:sz w:val="16"/>
                <w:szCs w:val="16"/>
              </w:rPr>
            </w:pPr>
            <w:r w:rsidRPr="00405303">
              <w:rPr>
                <w:bCs/>
                <w:color w:val="002060"/>
                <w:sz w:val="16"/>
                <w:szCs w:val="16"/>
              </w:rPr>
              <w:t>19.000**</w:t>
            </w:r>
          </w:p>
        </w:tc>
        <w:tc>
          <w:tcPr>
            <w:tcW w:w="684" w:type="dxa"/>
          </w:tcPr>
          <w:p w14:paraId="597B28E6"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4BE50F0C" w14:textId="77777777">
        <w:tc>
          <w:tcPr>
            <w:tcW w:w="1140" w:type="dxa"/>
          </w:tcPr>
          <w:p w14:paraId="07F72495" w14:textId="77777777" w:rsidR="004B4E35" w:rsidRPr="00405303" w:rsidRDefault="009E6F82" w:rsidP="00C15251">
            <w:pPr>
              <w:jc w:val="both"/>
              <w:rPr>
                <w:bCs/>
                <w:color w:val="002060"/>
                <w:sz w:val="16"/>
                <w:szCs w:val="16"/>
              </w:rPr>
            </w:pPr>
            <w:r w:rsidRPr="00405303">
              <w:rPr>
                <w:bCs/>
                <w:color w:val="002060"/>
                <w:sz w:val="16"/>
                <w:szCs w:val="16"/>
              </w:rPr>
              <w:t>Мерлина</w:t>
            </w:r>
          </w:p>
        </w:tc>
        <w:tc>
          <w:tcPr>
            <w:tcW w:w="792" w:type="dxa"/>
          </w:tcPr>
          <w:p w14:paraId="2F431C21" w14:textId="77777777" w:rsidR="004B4E35" w:rsidRPr="00405303" w:rsidRDefault="009E6F82" w:rsidP="00C15251">
            <w:pPr>
              <w:jc w:val="both"/>
              <w:rPr>
                <w:bCs/>
                <w:color w:val="002060"/>
                <w:sz w:val="16"/>
                <w:szCs w:val="16"/>
              </w:rPr>
            </w:pPr>
            <w:r w:rsidRPr="00405303">
              <w:rPr>
                <w:bCs/>
                <w:color w:val="002060"/>
                <w:sz w:val="16"/>
                <w:szCs w:val="16"/>
              </w:rPr>
              <w:t>17.500*</w:t>
            </w:r>
          </w:p>
        </w:tc>
        <w:tc>
          <w:tcPr>
            <w:tcW w:w="1248" w:type="dxa"/>
          </w:tcPr>
          <w:p w14:paraId="3C9AFA13" w14:textId="77777777" w:rsidR="004B4E35" w:rsidRPr="00405303" w:rsidRDefault="009E6F82" w:rsidP="00C15251">
            <w:pPr>
              <w:jc w:val="both"/>
              <w:rPr>
                <w:bCs/>
                <w:color w:val="002060"/>
                <w:sz w:val="16"/>
                <w:szCs w:val="16"/>
              </w:rPr>
            </w:pPr>
            <w:r w:rsidRPr="00405303">
              <w:rPr>
                <w:bCs/>
                <w:color w:val="002060"/>
                <w:sz w:val="16"/>
                <w:szCs w:val="16"/>
              </w:rPr>
              <w:t>—</w:t>
            </w:r>
          </w:p>
        </w:tc>
        <w:tc>
          <w:tcPr>
            <w:tcW w:w="684" w:type="dxa"/>
          </w:tcPr>
          <w:p w14:paraId="20788DCF" w14:textId="77777777" w:rsidR="004B4E35" w:rsidRPr="00405303" w:rsidRDefault="009E6F82" w:rsidP="00C15251">
            <w:pPr>
              <w:jc w:val="both"/>
              <w:rPr>
                <w:bCs/>
                <w:color w:val="002060"/>
                <w:sz w:val="16"/>
                <w:szCs w:val="16"/>
              </w:rPr>
            </w:pPr>
            <w:r w:rsidRPr="00405303">
              <w:rPr>
                <w:bCs/>
                <w:color w:val="002060"/>
                <w:sz w:val="16"/>
                <w:szCs w:val="16"/>
              </w:rPr>
              <w:t>—</w:t>
            </w:r>
          </w:p>
        </w:tc>
      </w:tr>
      <w:tr w:rsidR="004B4E35" w:rsidRPr="00405303" w14:paraId="4EF7317D" w14:textId="77777777">
        <w:tc>
          <w:tcPr>
            <w:tcW w:w="1140" w:type="dxa"/>
          </w:tcPr>
          <w:p w14:paraId="2D7F18D3" w14:textId="77777777" w:rsidR="004B4E35" w:rsidRPr="00405303" w:rsidRDefault="009E6F82" w:rsidP="00C15251">
            <w:pPr>
              <w:jc w:val="both"/>
              <w:rPr>
                <w:bCs/>
                <w:color w:val="002060"/>
                <w:sz w:val="16"/>
                <w:szCs w:val="16"/>
              </w:rPr>
            </w:pPr>
            <w:r w:rsidRPr="00405303">
              <w:rPr>
                <w:bCs/>
                <w:color w:val="002060"/>
                <w:sz w:val="16"/>
                <w:szCs w:val="16"/>
              </w:rPr>
              <w:t>Совадж</w:t>
            </w:r>
          </w:p>
        </w:tc>
        <w:tc>
          <w:tcPr>
            <w:tcW w:w="792" w:type="dxa"/>
          </w:tcPr>
          <w:p w14:paraId="7FE82BD8" w14:textId="77777777" w:rsidR="004B4E35" w:rsidRPr="00405303" w:rsidRDefault="009E6F82" w:rsidP="00C15251">
            <w:pPr>
              <w:jc w:val="both"/>
              <w:rPr>
                <w:bCs/>
                <w:color w:val="002060"/>
                <w:sz w:val="16"/>
                <w:szCs w:val="16"/>
              </w:rPr>
            </w:pPr>
            <w:r w:rsidRPr="00405303">
              <w:rPr>
                <w:bCs/>
                <w:color w:val="002060"/>
                <w:sz w:val="16"/>
                <w:szCs w:val="16"/>
              </w:rPr>
              <w:t>—</w:t>
            </w:r>
          </w:p>
        </w:tc>
        <w:tc>
          <w:tcPr>
            <w:tcW w:w="1248" w:type="dxa"/>
          </w:tcPr>
          <w:p w14:paraId="08E6EB78" w14:textId="77777777" w:rsidR="004B4E35" w:rsidRPr="00405303" w:rsidRDefault="009E6F82" w:rsidP="00C15251">
            <w:pPr>
              <w:jc w:val="both"/>
              <w:rPr>
                <w:bCs/>
                <w:color w:val="002060"/>
                <w:sz w:val="16"/>
                <w:szCs w:val="16"/>
              </w:rPr>
            </w:pPr>
            <w:r w:rsidRPr="00405303">
              <w:rPr>
                <w:bCs/>
                <w:color w:val="002060"/>
                <w:sz w:val="16"/>
                <w:szCs w:val="16"/>
              </w:rPr>
              <w:t>—</w:t>
            </w:r>
          </w:p>
        </w:tc>
        <w:tc>
          <w:tcPr>
            <w:tcW w:w="684" w:type="dxa"/>
          </w:tcPr>
          <w:p w14:paraId="1DE40096" w14:textId="77777777" w:rsidR="004B4E35" w:rsidRPr="00405303" w:rsidRDefault="009E6F82" w:rsidP="00C15251">
            <w:pPr>
              <w:jc w:val="both"/>
              <w:rPr>
                <w:bCs/>
                <w:color w:val="002060"/>
                <w:sz w:val="16"/>
                <w:szCs w:val="16"/>
              </w:rPr>
            </w:pPr>
            <w:r w:rsidRPr="00405303">
              <w:rPr>
                <w:bCs/>
                <w:color w:val="002060"/>
                <w:sz w:val="16"/>
                <w:szCs w:val="16"/>
              </w:rPr>
              <w:t>10.000</w:t>
            </w:r>
          </w:p>
        </w:tc>
      </w:tr>
      <w:tr w:rsidR="004B4E35" w:rsidRPr="00405303" w14:paraId="7F49EC33" w14:textId="77777777">
        <w:tc>
          <w:tcPr>
            <w:tcW w:w="1140" w:type="dxa"/>
          </w:tcPr>
          <w:p w14:paraId="7C326EAF" w14:textId="77777777" w:rsidR="004B4E35" w:rsidRPr="00405303" w:rsidRDefault="009E6F82" w:rsidP="00C15251">
            <w:pPr>
              <w:jc w:val="both"/>
              <w:rPr>
                <w:bCs/>
                <w:color w:val="002060"/>
                <w:sz w:val="16"/>
                <w:szCs w:val="16"/>
              </w:rPr>
            </w:pPr>
            <w:r w:rsidRPr="00405303">
              <w:rPr>
                <w:bCs/>
                <w:color w:val="002060"/>
                <w:sz w:val="16"/>
                <w:szCs w:val="16"/>
              </w:rPr>
              <w:t>По ценам</w:t>
            </w:r>
          </w:p>
        </w:tc>
        <w:tc>
          <w:tcPr>
            <w:tcW w:w="792" w:type="dxa"/>
          </w:tcPr>
          <w:p w14:paraId="35CD2D74" w14:textId="77777777" w:rsidR="004B4E35" w:rsidRPr="00405303" w:rsidRDefault="009E6F82" w:rsidP="00C15251">
            <w:pPr>
              <w:jc w:val="both"/>
              <w:rPr>
                <w:bCs/>
                <w:color w:val="002060"/>
                <w:sz w:val="16"/>
                <w:szCs w:val="16"/>
              </w:rPr>
            </w:pPr>
            <w:r w:rsidRPr="00405303">
              <w:rPr>
                <w:bCs/>
                <w:color w:val="002060"/>
                <w:sz w:val="16"/>
                <w:szCs w:val="16"/>
              </w:rPr>
              <w:t>650 д.</w:t>
            </w:r>
          </w:p>
        </w:tc>
        <w:tc>
          <w:tcPr>
            <w:tcW w:w="1248" w:type="dxa"/>
          </w:tcPr>
          <w:p w14:paraId="1B559AFA" w14:textId="77777777" w:rsidR="004B4E35" w:rsidRPr="00405303" w:rsidRDefault="009E6F82" w:rsidP="00C15251">
            <w:pPr>
              <w:jc w:val="both"/>
              <w:rPr>
                <w:bCs/>
                <w:color w:val="002060"/>
                <w:sz w:val="16"/>
                <w:szCs w:val="16"/>
              </w:rPr>
            </w:pPr>
            <w:r w:rsidRPr="00405303">
              <w:rPr>
                <w:bCs/>
                <w:color w:val="002060"/>
                <w:sz w:val="16"/>
                <w:szCs w:val="16"/>
              </w:rPr>
              <w:t>650—675 д.</w:t>
            </w:r>
          </w:p>
        </w:tc>
        <w:tc>
          <w:tcPr>
            <w:tcW w:w="684" w:type="dxa"/>
          </w:tcPr>
          <w:p w14:paraId="3E272883" w14:textId="77777777" w:rsidR="004B4E35" w:rsidRPr="00405303" w:rsidRDefault="009E6F82" w:rsidP="00C15251">
            <w:pPr>
              <w:jc w:val="both"/>
              <w:rPr>
                <w:bCs/>
                <w:color w:val="002060"/>
                <w:sz w:val="16"/>
                <w:szCs w:val="16"/>
              </w:rPr>
            </w:pPr>
            <w:r w:rsidRPr="00405303">
              <w:rPr>
                <w:bCs/>
                <w:color w:val="002060"/>
                <w:sz w:val="16"/>
                <w:szCs w:val="16"/>
              </w:rPr>
              <w:t>750 д.</w:t>
            </w:r>
          </w:p>
        </w:tc>
      </w:tr>
      <w:tr w:rsidR="004B4E35" w:rsidRPr="00405303" w14:paraId="2654E4D9" w14:textId="77777777">
        <w:tc>
          <w:tcPr>
            <w:tcW w:w="1140" w:type="dxa"/>
          </w:tcPr>
          <w:p w14:paraId="51F74CB9" w14:textId="77777777" w:rsidR="004B4E35" w:rsidRPr="00405303" w:rsidRDefault="009E6F82" w:rsidP="00C15251">
            <w:pPr>
              <w:jc w:val="both"/>
              <w:rPr>
                <w:bCs/>
                <w:color w:val="002060"/>
                <w:sz w:val="16"/>
                <w:szCs w:val="16"/>
              </w:rPr>
            </w:pPr>
            <w:r w:rsidRPr="00405303">
              <w:rPr>
                <w:bCs/>
                <w:color w:val="002060"/>
                <w:sz w:val="16"/>
                <w:szCs w:val="16"/>
              </w:rPr>
              <w:t>С вьюками</w:t>
            </w:r>
          </w:p>
        </w:tc>
        <w:tc>
          <w:tcPr>
            <w:tcW w:w="792" w:type="dxa"/>
          </w:tcPr>
          <w:p w14:paraId="17473A23" w14:textId="77777777" w:rsidR="004B4E35" w:rsidRPr="00405303" w:rsidRDefault="009E6F82" w:rsidP="00C15251">
            <w:pPr>
              <w:jc w:val="both"/>
              <w:rPr>
                <w:bCs/>
                <w:color w:val="002060"/>
                <w:sz w:val="16"/>
                <w:szCs w:val="16"/>
              </w:rPr>
            </w:pPr>
            <w:r w:rsidRPr="00405303">
              <w:rPr>
                <w:bCs/>
                <w:color w:val="002060"/>
                <w:sz w:val="16"/>
                <w:szCs w:val="16"/>
              </w:rPr>
              <w:t>1.250 д.</w:t>
            </w:r>
          </w:p>
        </w:tc>
        <w:tc>
          <w:tcPr>
            <w:tcW w:w="1248" w:type="dxa"/>
          </w:tcPr>
          <w:p w14:paraId="228E1DE5" w14:textId="77777777" w:rsidR="004B4E35" w:rsidRPr="00405303" w:rsidRDefault="009E6F82" w:rsidP="00C15251">
            <w:pPr>
              <w:jc w:val="both"/>
              <w:rPr>
                <w:bCs/>
                <w:color w:val="002060"/>
                <w:sz w:val="16"/>
                <w:szCs w:val="16"/>
              </w:rPr>
            </w:pPr>
            <w:r w:rsidRPr="00405303">
              <w:rPr>
                <w:bCs/>
                <w:color w:val="002060"/>
                <w:sz w:val="16"/>
                <w:szCs w:val="16"/>
              </w:rPr>
              <w:t>—</w:t>
            </w:r>
          </w:p>
        </w:tc>
        <w:tc>
          <w:tcPr>
            <w:tcW w:w="684" w:type="dxa"/>
          </w:tcPr>
          <w:p w14:paraId="411D911D" w14:textId="77777777" w:rsidR="004B4E35" w:rsidRPr="00405303" w:rsidRDefault="009E6F82" w:rsidP="00C15251">
            <w:pPr>
              <w:jc w:val="both"/>
              <w:rPr>
                <w:bCs/>
                <w:color w:val="002060"/>
                <w:sz w:val="16"/>
                <w:szCs w:val="16"/>
              </w:rPr>
            </w:pPr>
            <w:r w:rsidRPr="00405303">
              <w:rPr>
                <w:bCs/>
                <w:color w:val="002060"/>
                <w:sz w:val="16"/>
                <w:szCs w:val="16"/>
              </w:rPr>
              <w:t>—</w:t>
            </w:r>
          </w:p>
        </w:tc>
      </w:tr>
    </w:tbl>
    <w:p w14:paraId="21DC0E1C" w14:textId="77777777" w:rsidR="004B4E35" w:rsidRPr="00405303" w:rsidRDefault="009E6F82" w:rsidP="00C15251">
      <w:pPr>
        <w:jc w:val="both"/>
        <w:rPr>
          <w:bCs/>
          <w:color w:val="002060"/>
          <w:sz w:val="16"/>
          <w:szCs w:val="16"/>
        </w:rPr>
      </w:pPr>
      <w:r w:rsidRPr="00405303">
        <w:rPr>
          <w:bCs/>
          <w:color w:val="002060"/>
          <w:sz w:val="16"/>
          <w:szCs w:val="16"/>
        </w:rPr>
        <w:t>* Из них 3000 были в дальнейшем канцелированы.</w:t>
      </w:r>
    </w:p>
    <w:p w14:paraId="12160145" w14:textId="77777777" w:rsidR="004B4E35" w:rsidRPr="00405303" w:rsidRDefault="009E6F82" w:rsidP="00C15251">
      <w:pPr>
        <w:jc w:val="both"/>
        <w:rPr>
          <w:bCs/>
          <w:color w:val="002060"/>
          <w:sz w:val="16"/>
          <w:szCs w:val="16"/>
        </w:rPr>
      </w:pPr>
      <w:r w:rsidRPr="00405303">
        <w:rPr>
          <w:bCs/>
          <w:color w:val="002060"/>
          <w:sz w:val="16"/>
          <w:szCs w:val="16"/>
        </w:rPr>
        <w:t>** Из них 16 000 тоже канцелированы.</w:t>
      </w:r>
    </w:p>
    <w:p w14:paraId="713B7746" w14:textId="77777777" w:rsidR="004B4E35" w:rsidRPr="00405303" w:rsidRDefault="009E6F82" w:rsidP="00C15251">
      <w:pPr>
        <w:jc w:val="both"/>
        <w:rPr>
          <w:bCs/>
          <w:color w:val="002060"/>
          <w:sz w:val="16"/>
          <w:szCs w:val="16"/>
        </w:rPr>
      </w:pPr>
      <w:r w:rsidRPr="00405303">
        <w:rPr>
          <w:bCs/>
          <w:color w:val="002060"/>
          <w:sz w:val="16"/>
          <w:szCs w:val="16"/>
        </w:rPr>
        <w:t xml:space="preserve">Если исключить канцелированные заказы, то в результате Россией было приобретено заказом и покупкой всего 34 952 пулемета на сумму 24 571 000 д., систем: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560"/>
        <w:gridCol w:w="912"/>
      </w:tblGrid>
      <w:tr w:rsidR="004B4E35" w:rsidRPr="00405303" w14:paraId="0565A3E6" w14:textId="77777777">
        <w:tc>
          <w:tcPr>
            <w:tcW w:w="1560" w:type="dxa"/>
          </w:tcPr>
          <w:p w14:paraId="115BB603" w14:textId="77777777" w:rsidR="004B4E35" w:rsidRPr="00405303" w:rsidRDefault="009E6F82" w:rsidP="00C15251">
            <w:pPr>
              <w:jc w:val="both"/>
              <w:rPr>
                <w:bCs/>
                <w:color w:val="002060"/>
                <w:sz w:val="16"/>
                <w:szCs w:val="16"/>
              </w:rPr>
            </w:pPr>
            <w:r w:rsidRPr="00405303">
              <w:rPr>
                <w:bCs/>
                <w:color w:val="002060"/>
                <w:sz w:val="16"/>
                <w:szCs w:val="16"/>
              </w:rPr>
              <w:t>Кольта</w:t>
            </w:r>
          </w:p>
        </w:tc>
        <w:tc>
          <w:tcPr>
            <w:tcW w:w="912" w:type="dxa"/>
          </w:tcPr>
          <w:p w14:paraId="0662550E" w14:textId="77777777" w:rsidR="004B4E35" w:rsidRPr="00405303" w:rsidRDefault="009E6F82" w:rsidP="00C15251">
            <w:pPr>
              <w:jc w:val="both"/>
              <w:rPr>
                <w:bCs/>
                <w:color w:val="002060"/>
                <w:sz w:val="16"/>
                <w:szCs w:val="16"/>
              </w:rPr>
            </w:pPr>
            <w:r w:rsidRPr="00405303">
              <w:rPr>
                <w:bCs/>
                <w:color w:val="002060"/>
                <w:sz w:val="16"/>
                <w:szCs w:val="16"/>
              </w:rPr>
              <w:t xml:space="preserve">21.952 </w:t>
            </w:r>
          </w:p>
        </w:tc>
      </w:tr>
      <w:tr w:rsidR="004B4E35" w:rsidRPr="00405303" w14:paraId="04FDB542" w14:textId="77777777">
        <w:tc>
          <w:tcPr>
            <w:tcW w:w="1560" w:type="dxa"/>
          </w:tcPr>
          <w:p w14:paraId="274D6FAB" w14:textId="77777777" w:rsidR="004B4E35" w:rsidRPr="00405303" w:rsidRDefault="009E6F82" w:rsidP="00C15251">
            <w:pPr>
              <w:jc w:val="both"/>
              <w:rPr>
                <w:bCs/>
                <w:color w:val="002060"/>
                <w:sz w:val="16"/>
                <w:szCs w:val="16"/>
              </w:rPr>
            </w:pPr>
            <w:r w:rsidRPr="00405303">
              <w:rPr>
                <w:bCs/>
                <w:color w:val="002060"/>
                <w:sz w:val="16"/>
                <w:szCs w:val="16"/>
              </w:rPr>
              <w:t>Виккерса</w:t>
            </w:r>
          </w:p>
        </w:tc>
        <w:tc>
          <w:tcPr>
            <w:tcW w:w="912" w:type="dxa"/>
          </w:tcPr>
          <w:p w14:paraId="60C1C70A" w14:textId="77777777" w:rsidR="004B4E35" w:rsidRPr="00405303" w:rsidRDefault="009E6F82" w:rsidP="00C15251">
            <w:pPr>
              <w:jc w:val="both"/>
              <w:rPr>
                <w:bCs/>
                <w:color w:val="002060"/>
                <w:sz w:val="16"/>
                <w:szCs w:val="16"/>
              </w:rPr>
            </w:pPr>
            <w:r w:rsidRPr="00405303">
              <w:rPr>
                <w:bCs/>
                <w:color w:val="002060"/>
                <w:sz w:val="16"/>
                <w:szCs w:val="16"/>
              </w:rPr>
              <w:t xml:space="preserve">3.000 </w:t>
            </w:r>
          </w:p>
        </w:tc>
      </w:tr>
      <w:tr w:rsidR="004B4E35" w:rsidRPr="00405303" w14:paraId="36212762" w14:textId="77777777">
        <w:tc>
          <w:tcPr>
            <w:tcW w:w="1560" w:type="dxa"/>
          </w:tcPr>
          <w:p w14:paraId="141F6AAA" w14:textId="77777777" w:rsidR="004B4E35" w:rsidRPr="00405303" w:rsidRDefault="009E6F82" w:rsidP="00C15251">
            <w:pPr>
              <w:jc w:val="both"/>
              <w:rPr>
                <w:bCs/>
                <w:color w:val="002060"/>
                <w:sz w:val="16"/>
                <w:szCs w:val="16"/>
              </w:rPr>
            </w:pPr>
            <w:r w:rsidRPr="00405303">
              <w:rPr>
                <w:bCs/>
                <w:color w:val="002060"/>
                <w:sz w:val="16"/>
                <w:szCs w:val="16"/>
              </w:rPr>
              <w:t>Льюиса</w:t>
            </w:r>
          </w:p>
        </w:tc>
        <w:tc>
          <w:tcPr>
            <w:tcW w:w="912" w:type="dxa"/>
          </w:tcPr>
          <w:p w14:paraId="144BAC64" w14:textId="77777777" w:rsidR="004B4E35" w:rsidRPr="00405303" w:rsidRDefault="009E6F82" w:rsidP="00C15251">
            <w:pPr>
              <w:jc w:val="both"/>
              <w:rPr>
                <w:bCs/>
                <w:color w:val="002060"/>
                <w:sz w:val="16"/>
                <w:szCs w:val="16"/>
              </w:rPr>
            </w:pPr>
            <w:r w:rsidRPr="00405303">
              <w:rPr>
                <w:bCs/>
                <w:color w:val="002060"/>
                <w:sz w:val="16"/>
                <w:szCs w:val="16"/>
              </w:rPr>
              <w:t xml:space="preserve">10.000 </w:t>
            </w:r>
          </w:p>
        </w:tc>
      </w:tr>
    </w:tbl>
    <w:p w14:paraId="30F0B724" w14:textId="77777777" w:rsidR="004B4E35" w:rsidRPr="00405303" w:rsidRDefault="009E6F82" w:rsidP="00C15251">
      <w:pPr>
        <w:jc w:val="both"/>
        <w:rPr>
          <w:bCs/>
          <w:color w:val="002060"/>
          <w:sz w:val="16"/>
          <w:szCs w:val="16"/>
        </w:rPr>
      </w:pPr>
      <w:r w:rsidRPr="00405303">
        <w:rPr>
          <w:bCs/>
          <w:color w:val="002060"/>
          <w:sz w:val="16"/>
          <w:szCs w:val="16"/>
        </w:rPr>
        <w:t>К пулеметам были приобретены запасные части, треноги, щиты и вьючные седла на 8 945 000 руб., что вместе с предыдущей суммой дает 33 516 000 рублей.</w:t>
      </w:r>
    </w:p>
    <w:p w14:paraId="1DAEA012" w14:textId="77777777" w:rsidR="004B4E35" w:rsidRPr="00405303" w:rsidRDefault="009E6F82" w:rsidP="00C15251">
      <w:pPr>
        <w:jc w:val="both"/>
        <w:rPr>
          <w:bCs/>
          <w:color w:val="002060"/>
          <w:sz w:val="16"/>
          <w:szCs w:val="16"/>
        </w:rPr>
      </w:pPr>
      <w:r w:rsidRPr="00405303">
        <w:rPr>
          <w:bCs/>
          <w:color w:val="002060"/>
          <w:sz w:val="16"/>
          <w:szCs w:val="16"/>
        </w:rPr>
        <w:t xml:space="preserve">Конское снаряжение удалось заказать только к 4100 пулеметам Кольта, остальное пришлось заказать в Англии. </w:t>
      </w:r>
    </w:p>
    <w:p w14:paraId="4F3F8AA9" w14:textId="77777777" w:rsidR="004B4E35" w:rsidRPr="00405303" w:rsidRDefault="009E6F82" w:rsidP="00C15251">
      <w:pPr>
        <w:jc w:val="both"/>
        <w:rPr>
          <w:bCs/>
          <w:color w:val="002060"/>
          <w:sz w:val="16"/>
          <w:szCs w:val="16"/>
        </w:rPr>
      </w:pPr>
      <w:r w:rsidRPr="00405303">
        <w:rPr>
          <w:bCs/>
          <w:color w:val="002060"/>
          <w:sz w:val="16"/>
          <w:szCs w:val="16"/>
        </w:rPr>
        <w:t xml:space="preserve">Военному ведомству, давая заказы на пулеметы, не приходилось выбирать ту или иную систему. Надо было брать то, что можно было получить в более короткий срок, не особенно считаясь с недостатками систем. Так, пулемет Кольта был заказан в большем количестве, чем другие системы, между тем Артиллерийский комитет дал ему в самом начале войны нелестную оценку. Комитетом отмечалась непрочность соединения частей, необходимость менять ствол после двух лент, ввиду сильного его нагрева, и др. Тем не менее решено было его заказать. </w:t>
      </w:r>
    </w:p>
    <w:p w14:paraId="53B7511B" w14:textId="77777777" w:rsidR="004B4E35" w:rsidRPr="00405303" w:rsidRDefault="009E6F82" w:rsidP="00C15251">
      <w:pPr>
        <w:jc w:val="both"/>
        <w:rPr>
          <w:bCs/>
          <w:color w:val="002060"/>
          <w:sz w:val="16"/>
          <w:szCs w:val="16"/>
        </w:rPr>
      </w:pPr>
      <w:r w:rsidRPr="00405303">
        <w:rPr>
          <w:bCs/>
          <w:color w:val="002060"/>
          <w:sz w:val="16"/>
          <w:szCs w:val="16"/>
        </w:rPr>
        <w:t xml:space="preserve">Наибольший по размеру заказ был дан заводу Кольта в Гарпфорде. По специальности это был завод ручного огнестрельного оружия. Главной продукцией его были пистолеты, револьверы, и охотничьи ружья, и, конечно, пулеметы системы Кольта. </w:t>
      </w:r>
    </w:p>
    <w:p w14:paraId="3AAF5F3C" w14:textId="77777777" w:rsidR="004B4E35" w:rsidRPr="00405303" w:rsidRDefault="009E6F82" w:rsidP="00C15251">
      <w:pPr>
        <w:jc w:val="both"/>
        <w:rPr>
          <w:bCs/>
          <w:color w:val="002060"/>
          <w:sz w:val="16"/>
          <w:szCs w:val="16"/>
        </w:rPr>
      </w:pPr>
      <w:r w:rsidRPr="00405303">
        <w:rPr>
          <w:bCs/>
          <w:color w:val="002060"/>
          <w:sz w:val="16"/>
          <w:szCs w:val="16"/>
        </w:rPr>
        <w:t xml:space="preserve">Производство оружия на заводе Кольта было поставлено полукустарным образом. Сборка оружия производилась в сильной степени путем пригонки и приладки частей, с доработкой их вручную. Таким образом, взаимозаменяемость частей, естественно, должна была отсутствовать. </w:t>
      </w:r>
    </w:p>
    <w:p w14:paraId="74E5663F" w14:textId="77777777" w:rsidR="004B4E35" w:rsidRPr="00405303" w:rsidRDefault="009E6F82" w:rsidP="00C15251">
      <w:pPr>
        <w:jc w:val="both"/>
        <w:rPr>
          <w:bCs/>
          <w:color w:val="002060"/>
          <w:sz w:val="16"/>
          <w:szCs w:val="16"/>
        </w:rPr>
      </w:pPr>
      <w:r w:rsidRPr="00405303">
        <w:rPr>
          <w:bCs/>
          <w:color w:val="002060"/>
          <w:sz w:val="16"/>
          <w:szCs w:val="16"/>
        </w:rPr>
        <w:t xml:space="preserve">Полукустарные приемы работы практиковались заводом потому, что образцы охотничьих ружей по требованию потребителя часто менялись и не было расчета добиваться полной лекальности и взаимозаменяемости частей, затрачивая время и средства на постановку правильного производства. Что касается пулемета Кольта, то к усовершенствованию методов его производства завод не стремился, так как систему эту в недалеком будущем предполагалось снять с вооружения, как несовершенную. </w:t>
      </w:r>
    </w:p>
    <w:p w14:paraId="1F907CD8" w14:textId="77777777" w:rsidR="004B4E35" w:rsidRPr="00405303" w:rsidRDefault="009E6F82" w:rsidP="00C15251">
      <w:pPr>
        <w:jc w:val="both"/>
        <w:rPr>
          <w:bCs/>
          <w:color w:val="002060"/>
          <w:sz w:val="16"/>
          <w:szCs w:val="16"/>
        </w:rPr>
      </w:pPr>
      <w:r w:rsidRPr="00405303">
        <w:rPr>
          <w:bCs/>
          <w:color w:val="002060"/>
          <w:sz w:val="16"/>
          <w:szCs w:val="16"/>
        </w:rPr>
        <w:t xml:space="preserve">Сдаваемые заводом пулеметы Кольта принимались русской инспекцией по лекалам лишь в отношении ствола и патронника, а затем в целом пулеметы испытывались на прочность и взаимодействие частей стрельбой. </w:t>
      </w:r>
    </w:p>
    <w:p w14:paraId="05122AFC" w14:textId="77777777" w:rsidR="004B4E35" w:rsidRPr="00405303" w:rsidRDefault="009E6F82" w:rsidP="00C15251">
      <w:pPr>
        <w:jc w:val="both"/>
        <w:rPr>
          <w:bCs/>
          <w:color w:val="002060"/>
          <w:sz w:val="16"/>
          <w:szCs w:val="16"/>
        </w:rPr>
      </w:pPr>
      <w:r w:rsidRPr="00405303">
        <w:rPr>
          <w:bCs/>
          <w:color w:val="002060"/>
          <w:sz w:val="16"/>
          <w:szCs w:val="16"/>
        </w:rPr>
        <w:t xml:space="preserve">Что касается металла, то завод употреблял те спецификации, которые были установлены им, и в этот вопрос инспекция тоже не вмешивалась. </w:t>
      </w:r>
    </w:p>
    <w:p w14:paraId="2507C816" w14:textId="77777777" w:rsidR="004B4E35" w:rsidRPr="00405303" w:rsidRDefault="009E6F82" w:rsidP="00C15251">
      <w:pPr>
        <w:jc w:val="both"/>
        <w:rPr>
          <w:bCs/>
          <w:color w:val="002060"/>
          <w:sz w:val="16"/>
          <w:szCs w:val="16"/>
        </w:rPr>
      </w:pPr>
      <w:r w:rsidRPr="00405303">
        <w:rPr>
          <w:bCs/>
          <w:color w:val="002060"/>
          <w:sz w:val="16"/>
          <w:szCs w:val="16"/>
        </w:rPr>
        <w:t xml:space="preserve">Завод сдавал заказ весьма исправно, лишь изредка нарушая частные сроки, но недодел быстро нагонял. Добросовестность в работе проявлял совершенно исключительную по сравнению с тем, что происходило по другим американским контрактам. Никаких осложнений у завода с заказчиком не было. </w:t>
      </w:r>
    </w:p>
    <w:p w14:paraId="3693B2DC" w14:textId="77777777" w:rsidR="004B4E35" w:rsidRPr="00405303" w:rsidRDefault="009E6F82" w:rsidP="00C15251">
      <w:pPr>
        <w:jc w:val="both"/>
        <w:rPr>
          <w:bCs/>
          <w:color w:val="002060"/>
          <w:sz w:val="16"/>
          <w:szCs w:val="16"/>
        </w:rPr>
      </w:pPr>
      <w:r w:rsidRPr="00405303">
        <w:rPr>
          <w:bCs/>
          <w:color w:val="002060"/>
          <w:sz w:val="16"/>
          <w:szCs w:val="16"/>
        </w:rPr>
        <w:t xml:space="preserve">Заводу Кольта, кроме пулеметов его системы, был дан еще русский заказ на 10 000 пулеметов системы Виккерса. Перед этим завод имел от британского правительства заказ на 6000 Виккерсов, права на который были вскоре переуступлены России. </w:t>
      </w:r>
    </w:p>
    <w:p w14:paraId="5B41649B" w14:textId="77777777" w:rsidR="004B4E35" w:rsidRPr="00405303" w:rsidRDefault="009E6F82" w:rsidP="00C15251">
      <w:pPr>
        <w:jc w:val="both"/>
        <w:rPr>
          <w:bCs/>
          <w:color w:val="002060"/>
          <w:sz w:val="16"/>
          <w:szCs w:val="16"/>
        </w:rPr>
      </w:pPr>
      <w:r w:rsidRPr="00405303">
        <w:rPr>
          <w:bCs/>
          <w:color w:val="002060"/>
          <w:sz w:val="16"/>
          <w:szCs w:val="16"/>
        </w:rPr>
        <w:t xml:space="preserve">Все необходимое для производства пулеметов Виккерса было передано Кольту из Англии, из завода Виккерса — образцы, чертежи пулемета, лекал и инструмента и некоторые лекала в натуре. </w:t>
      </w:r>
    </w:p>
    <w:p w14:paraId="76BD8178" w14:textId="77777777" w:rsidR="004B4E35" w:rsidRPr="00405303" w:rsidRDefault="009E6F82" w:rsidP="00C15251">
      <w:pPr>
        <w:jc w:val="both"/>
        <w:rPr>
          <w:bCs/>
          <w:color w:val="002060"/>
          <w:sz w:val="16"/>
          <w:szCs w:val="16"/>
        </w:rPr>
      </w:pPr>
      <w:r w:rsidRPr="00405303">
        <w:rPr>
          <w:bCs/>
          <w:color w:val="002060"/>
          <w:sz w:val="16"/>
          <w:szCs w:val="16"/>
        </w:rPr>
        <w:t xml:space="preserve">Опыта в изготовлении Виккерсов завод Кольта не имел. Поэтому нельзя было, конечно, ожидать, что с этим образцом завод будет справляться так же успешно, как со своим. </w:t>
      </w:r>
    </w:p>
    <w:p w14:paraId="5F1CDFC3" w14:textId="77777777" w:rsidR="004B4E35" w:rsidRPr="00405303" w:rsidRDefault="009E6F82" w:rsidP="00C15251">
      <w:pPr>
        <w:jc w:val="both"/>
        <w:rPr>
          <w:bCs/>
          <w:color w:val="002060"/>
          <w:sz w:val="16"/>
          <w:szCs w:val="16"/>
        </w:rPr>
      </w:pPr>
      <w:r w:rsidRPr="00405303">
        <w:rPr>
          <w:bCs/>
          <w:color w:val="002060"/>
          <w:sz w:val="16"/>
          <w:szCs w:val="16"/>
        </w:rPr>
        <w:t xml:space="preserve">Дело постановки производства пулемета Виккерса, весьма сложное само по себе, с места осложнилось тем, что завод Кольта, имея привычку к полукустарному производству, не нашел нужным при установке нового производства стремиться поставить его на началах точной массовой работы, то есть строгой лекальности изготовления всех деталей с требованием взаимозаменяемости. При таких условиях, конечно, нельзя было сколько-нибудь быстро создать прочную базу производства и быстро развернуть его в большем масштабе. По этой причине заказ заводу на пулеметы Виккерса потерпел полный провал. </w:t>
      </w:r>
    </w:p>
    <w:p w14:paraId="71C12FC0" w14:textId="77777777" w:rsidR="004B4E35" w:rsidRPr="00405303" w:rsidRDefault="009E6F82" w:rsidP="00C15251">
      <w:pPr>
        <w:jc w:val="both"/>
        <w:rPr>
          <w:bCs/>
          <w:color w:val="002060"/>
          <w:sz w:val="16"/>
          <w:szCs w:val="16"/>
        </w:rPr>
      </w:pPr>
      <w:r w:rsidRPr="00405303">
        <w:rPr>
          <w:bCs/>
          <w:color w:val="002060"/>
          <w:sz w:val="16"/>
          <w:szCs w:val="16"/>
        </w:rPr>
        <w:t xml:space="preserve">Заказанные Кольту 16 000 пулеметов Виккерса должны были быть сданы в период с ноября 1915 г. по январь 1917 года. Между тем к финальному сроку, то есть январю 1917 г., были предъявлены только единичные экземпляры, то есть запоздание начала сдачи равнялось более чем одному году. Так как конечный срок угрожал отодвинуться еще дальше, то заказ в 16 тыс. был сокращен только до 3000 шт. со сдачей их к июлю 1917 года. Но и этот срок не был выполнен, и к 1 января 1918 г. было сдано всего 2000. Таким образом, заказ был выполнен в размере 13% и с опозданием более чем на один год против окончательного контрактного срока, назначенного для всего заказа. В этой работе Кольту весьма деятельно помогала русская инспекция, приняв прямое участие в цеховых работах. </w:t>
      </w:r>
    </w:p>
    <w:p w14:paraId="1B51D8E1" w14:textId="77777777" w:rsidR="004B4E35" w:rsidRPr="00405303" w:rsidRDefault="009E6F82" w:rsidP="00C15251">
      <w:pPr>
        <w:jc w:val="both"/>
        <w:rPr>
          <w:bCs/>
          <w:color w:val="002060"/>
          <w:sz w:val="16"/>
          <w:szCs w:val="16"/>
        </w:rPr>
      </w:pPr>
      <w:r w:rsidRPr="00405303">
        <w:rPr>
          <w:bCs/>
          <w:color w:val="002060"/>
          <w:sz w:val="16"/>
          <w:szCs w:val="16"/>
        </w:rPr>
        <w:t xml:space="preserve">Только к осени 1917 г. производство Виккерсов наладилось. Выпуск достиг 70 пулеметов в день и продолжал бы развиваться и дальше, но к этому времени завод получил крупный заказ от САСШ на пулеметы Кольта, что окончательно сорвало русский заказ. </w:t>
      </w:r>
    </w:p>
    <w:p w14:paraId="2DF9FA98" w14:textId="77777777" w:rsidR="004B4E35" w:rsidRPr="00405303" w:rsidRDefault="009E6F82" w:rsidP="00C15251">
      <w:pPr>
        <w:jc w:val="both"/>
        <w:rPr>
          <w:bCs/>
          <w:color w:val="002060"/>
          <w:sz w:val="16"/>
          <w:szCs w:val="16"/>
        </w:rPr>
      </w:pPr>
      <w:r w:rsidRPr="00405303">
        <w:rPr>
          <w:bCs/>
          <w:color w:val="002060"/>
          <w:sz w:val="16"/>
          <w:szCs w:val="16"/>
        </w:rPr>
        <w:t xml:space="preserve">Русский заказ на пулеметы системы Кольта был дан также (на 12 000 шт.) заводу Марлина в Нью-Гавене. В пулеметном деле он практики не имел никакой, так как обычной его работой были малокалиберные винтовки и охотничьи ружья. Для выполнения заказа был построен совершенно новый завод. Постройка велась с головокружительной быстротой — была закончена буквально в несколько недель, включая и установку оборудования. </w:t>
      </w:r>
    </w:p>
    <w:p w14:paraId="6A0F5E4D" w14:textId="77777777" w:rsidR="004B4E35" w:rsidRPr="00405303" w:rsidRDefault="009E6F82" w:rsidP="00C15251">
      <w:pPr>
        <w:jc w:val="both"/>
        <w:rPr>
          <w:bCs/>
          <w:color w:val="002060"/>
          <w:sz w:val="16"/>
          <w:szCs w:val="16"/>
        </w:rPr>
      </w:pPr>
      <w:r w:rsidRPr="00405303">
        <w:rPr>
          <w:bCs/>
          <w:color w:val="002060"/>
          <w:sz w:val="16"/>
          <w:szCs w:val="16"/>
        </w:rPr>
        <w:t xml:space="preserve">Постановка производства была сделана сравнительно быстро, так как завод Марлина получил в этом деятельную помощь от завода Кольта, находившегося недалеко, а также благодаря консультации знаменитого Браунинга. </w:t>
      </w:r>
    </w:p>
    <w:p w14:paraId="6AA19BF1" w14:textId="77777777" w:rsidR="004B4E35" w:rsidRPr="00405303" w:rsidRDefault="009E6F82" w:rsidP="00C15251">
      <w:pPr>
        <w:jc w:val="both"/>
        <w:rPr>
          <w:bCs/>
          <w:color w:val="002060"/>
          <w:sz w:val="16"/>
          <w:szCs w:val="16"/>
        </w:rPr>
      </w:pPr>
      <w:r w:rsidRPr="00405303">
        <w:rPr>
          <w:bCs/>
          <w:color w:val="002060"/>
          <w:sz w:val="16"/>
          <w:szCs w:val="16"/>
        </w:rPr>
        <w:lastRenderedPageBreak/>
        <w:t xml:space="preserve">Заказ заводу Марлина был дан еще в декабре 1915 г., а конечный срок исполнения, по контракту, истекал 1 октября 1916 г., то есть через 10 месяцев. Конечно, срок этот был совершенно недопустимо малым для такого задания, как 12 000 пулеметов с постановкой производства заново. Однако в июле 1915 г. было уже сдано 50 пулеметов. Вместе с этим завод просил продления финального срока до 1 января 1917 г., что и было ему дано. Вместе с тем заказ был сокращен с 12 тыс. до 9 тыс. пулеметов. Заказ на разницу — 3000 — был передан заводу Кольта. К осени производство наладилось и стало быстро прогрессировать. Сдача шла следующим порядком: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452"/>
        <w:gridCol w:w="816"/>
      </w:tblGrid>
      <w:tr w:rsidR="004B4E35" w:rsidRPr="00405303" w14:paraId="13933DBC" w14:textId="77777777">
        <w:tc>
          <w:tcPr>
            <w:tcW w:w="1452" w:type="dxa"/>
          </w:tcPr>
          <w:p w14:paraId="54E862F0" w14:textId="77777777" w:rsidR="004B4E35" w:rsidRPr="00405303" w:rsidRDefault="009E6F82" w:rsidP="00C15251">
            <w:pPr>
              <w:jc w:val="both"/>
              <w:rPr>
                <w:bCs/>
                <w:color w:val="002060"/>
                <w:sz w:val="16"/>
                <w:szCs w:val="16"/>
              </w:rPr>
            </w:pPr>
            <w:r w:rsidRPr="00405303">
              <w:rPr>
                <w:bCs/>
                <w:color w:val="002060"/>
                <w:sz w:val="16"/>
                <w:szCs w:val="16"/>
              </w:rPr>
              <w:t>в сентябре 1916 г.</w:t>
            </w:r>
          </w:p>
        </w:tc>
        <w:tc>
          <w:tcPr>
            <w:tcW w:w="816" w:type="dxa"/>
          </w:tcPr>
          <w:p w14:paraId="72286AB9" w14:textId="77777777" w:rsidR="004B4E35" w:rsidRPr="00405303" w:rsidRDefault="009E6F82" w:rsidP="00C15251">
            <w:pPr>
              <w:jc w:val="both"/>
              <w:rPr>
                <w:bCs/>
                <w:color w:val="002060"/>
                <w:sz w:val="16"/>
                <w:szCs w:val="16"/>
              </w:rPr>
            </w:pPr>
            <w:r w:rsidRPr="00405303">
              <w:rPr>
                <w:bCs/>
                <w:color w:val="002060"/>
                <w:sz w:val="16"/>
                <w:szCs w:val="16"/>
              </w:rPr>
              <w:t xml:space="preserve">1150 </w:t>
            </w:r>
          </w:p>
        </w:tc>
      </w:tr>
      <w:tr w:rsidR="004B4E35" w:rsidRPr="00405303" w14:paraId="64CCF6B7" w14:textId="77777777">
        <w:tc>
          <w:tcPr>
            <w:tcW w:w="1452" w:type="dxa"/>
          </w:tcPr>
          <w:p w14:paraId="12B418F6" w14:textId="77777777" w:rsidR="004B4E35" w:rsidRPr="00405303" w:rsidRDefault="009E6F82" w:rsidP="00C15251">
            <w:pPr>
              <w:jc w:val="both"/>
              <w:rPr>
                <w:bCs/>
                <w:color w:val="002060"/>
                <w:sz w:val="16"/>
                <w:szCs w:val="16"/>
              </w:rPr>
            </w:pPr>
            <w:r w:rsidRPr="00405303">
              <w:rPr>
                <w:bCs/>
                <w:color w:val="002060"/>
                <w:sz w:val="16"/>
                <w:szCs w:val="16"/>
              </w:rPr>
              <w:t>в октябре</w:t>
            </w:r>
          </w:p>
        </w:tc>
        <w:tc>
          <w:tcPr>
            <w:tcW w:w="816" w:type="dxa"/>
          </w:tcPr>
          <w:p w14:paraId="222E49AB" w14:textId="77777777" w:rsidR="004B4E35" w:rsidRPr="00405303" w:rsidRDefault="009E6F82" w:rsidP="00C15251">
            <w:pPr>
              <w:jc w:val="both"/>
              <w:rPr>
                <w:bCs/>
                <w:color w:val="002060"/>
                <w:sz w:val="16"/>
                <w:szCs w:val="16"/>
              </w:rPr>
            </w:pPr>
            <w:r w:rsidRPr="00405303">
              <w:rPr>
                <w:bCs/>
                <w:color w:val="002060"/>
                <w:sz w:val="16"/>
                <w:szCs w:val="16"/>
              </w:rPr>
              <w:t xml:space="preserve">1900 </w:t>
            </w:r>
          </w:p>
        </w:tc>
      </w:tr>
      <w:tr w:rsidR="004B4E35" w:rsidRPr="00405303" w14:paraId="3755F01A" w14:textId="77777777">
        <w:tc>
          <w:tcPr>
            <w:tcW w:w="1452" w:type="dxa"/>
          </w:tcPr>
          <w:p w14:paraId="2621C344" w14:textId="77777777" w:rsidR="004B4E35" w:rsidRPr="00405303" w:rsidRDefault="009E6F82" w:rsidP="00C15251">
            <w:pPr>
              <w:jc w:val="both"/>
              <w:rPr>
                <w:bCs/>
                <w:color w:val="002060"/>
                <w:sz w:val="16"/>
                <w:szCs w:val="16"/>
              </w:rPr>
            </w:pPr>
            <w:r w:rsidRPr="00405303">
              <w:rPr>
                <w:bCs/>
                <w:color w:val="002060"/>
                <w:sz w:val="16"/>
                <w:szCs w:val="16"/>
              </w:rPr>
              <w:t>в ноябре</w:t>
            </w:r>
          </w:p>
        </w:tc>
        <w:tc>
          <w:tcPr>
            <w:tcW w:w="816" w:type="dxa"/>
          </w:tcPr>
          <w:p w14:paraId="784CDA0C" w14:textId="77777777" w:rsidR="004B4E35" w:rsidRPr="00405303" w:rsidRDefault="009E6F82" w:rsidP="00C15251">
            <w:pPr>
              <w:jc w:val="both"/>
              <w:rPr>
                <w:bCs/>
                <w:color w:val="002060"/>
                <w:sz w:val="16"/>
                <w:szCs w:val="16"/>
              </w:rPr>
            </w:pPr>
            <w:r w:rsidRPr="00405303">
              <w:rPr>
                <w:bCs/>
                <w:color w:val="002060"/>
                <w:sz w:val="16"/>
                <w:szCs w:val="16"/>
              </w:rPr>
              <w:t xml:space="preserve">2400 </w:t>
            </w:r>
          </w:p>
        </w:tc>
      </w:tr>
      <w:tr w:rsidR="004B4E35" w:rsidRPr="00405303" w14:paraId="0A701137" w14:textId="77777777">
        <w:tc>
          <w:tcPr>
            <w:tcW w:w="1452" w:type="dxa"/>
          </w:tcPr>
          <w:p w14:paraId="76E8E517" w14:textId="77777777" w:rsidR="004B4E35" w:rsidRPr="00405303" w:rsidRDefault="009E6F82" w:rsidP="00C15251">
            <w:pPr>
              <w:jc w:val="both"/>
              <w:rPr>
                <w:bCs/>
                <w:color w:val="002060"/>
                <w:sz w:val="16"/>
                <w:szCs w:val="16"/>
              </w:rPr>
            </w:pPr>
            <w:r w:rsidRPr="00405303">
              <w:rPr>
                <w:bCs/>
                <w:color w:val="002060"/>
                <w:sz w:val="16"/>
                <w:szCs w:val="16"/>
              </w:rPr>
              <w:t>в декабре</w:t>
            </w:r>
          </w:p>
        </w:tc>
        <w:tc>
          <w:tcPr>
            <w:tcW w:w="816" w:type="dxa"/>
          </w:tcPr>
          <w:p w14:paraId="5FA9A6C7" w14:textId="77777777" w:rsidR="004B4E35" w:rsidRPr="00405303" w:rsidRDefault="009E6F82" w:rsidP="00C15251">
            <w:pPr>
              <w:jc w:val="both"/>
              <w:rPr>
                <w:bCs/>
                <w:color w:val="002060"/>
                <w:sz w:val="16"/>
                <w:szCs w:val="16"/>
              </w:rPr>
            </w:pPr>
            <w:r w:rsidRPr="00405303">
              <w:rPr>
                <w:bCs/>
                <w:color w:val="002060"/>
                <w:sz w:val="16"/>
                <w:szCs w:val="16"/>
              </w:rPr>
              <w:t xml:space="preserve">3050 </w:t>
            </w:r>
          </w:p>
        </w:tc>
      </w:tr>
      <w:tr w:rsidR="004B4E35" w:rsidRPr="00405303" w14:paraId="3F9E2CB7" w14:textId="77777777">
        <w:tc>
          <w:tcPr>
            <w:tcW w:w="1452" w:type="dxa"/>
          </w:tcPr>
          <w:p w14:paraId="08511432" w14:textId="77777777" w:rsidR="004B4E35" w:rsidRPr="00405303" w:rsidRDefault="009E6F82" w:rsidP="00C15251">
            <w:pPr>
              <w:jc w:val="both"/>
              <w:rPr>
                <w:bCs/>
                <w:color w:val="002060"/>
                <w:sz w:val="16"/>
                <w:szCs w:val="16"/>
              </w:rPr>
            </w:pPr>
            <w:r w:rsidRPr="00405303">
              <w:rPr>
                <w:bCs/>
                <w:color w:val="002060"/>
                <w:sz w:val="16"/>
                <w:szCs w:val="16"/>
              </w:rPr>
              <w:t>[Всего]</w:t>
            </w:r>
          </w:p>
        </w:tc>
        <w:tc>
          <w:tcPr>
            <w:tcW w:w="816" w:type="dxa"/>
          </w:tcPr>
          <w:p w14:paraId="298071E5" w14:textId="77777777" w:rsidR="004B4E35" w:rsidRPr="00405303" w:rsidRDefault="009E6F82" w:rsidP="00C15251">
            <w:pPr>
              <w:jc w:val="both"/>
              <w:rPr>
                <w:bCs/>
                <w:color w:val="002060"/>
                <w:sz w:val="16"/>
                <w:szCs w:val="16"/>
              </w:rPr>
            </w:pPr>
            <w:r w:rsidRPr="00405303">
              <w:rPr>
                <w:bCs/>
                <w:color w:val="002060"/>
                <w:sz w:val="16"/>
                <w:szCs w:val="16"/>
              </w:rPr>
              <w:t xml:space="preserve">8500 </w:t>
            </w:r>
          </w:p>
        </w:tc>
      </w:tr>
    </w:tbl>
    <w:p w14:paraId="3226501C" w14:textId="77777777" w:rsidR="004B4E35" w:rsidRPr="00405303" w:rsidRDefault="009E6F82" w:rsidP="00C15251">
      <w:pPr>
        <w:jc w:val="both"/>
        <w:rPr>
          <w:bCs/>
          <w:color w:val="002060"/>
          <w:sz w:val="16"/>
          <w:szCs w:val="16"/>
        </w:rPr>
      </w:pPr>
      <w:r w:rsidRPr="00405303">
        <w:rPr>
          <w:bCs/>
          <w:color w:val="002060"/>
          <w:sz w:val="16"/>
          <w:szCs w:val="16"/>
        </w:rPr>
        <w:t xml:space="preserve">При таком успехе Заготовительный комитет нашел возможным возобновить заводу Марлина сбавленные 3000 пулеметов и дать еще дополнительный заказ на 2500. </w:t>
      </w:r>
    </w:p>
    <w:p w14:paraId="02DBFDAB" w14:textId="77777777" w:rsidR="004B4E35" w:rsidRPr="00405303" w:rsidRDefault="009E6F82" w:rsidP="00C15251">
      <w:pPr>
        <w:jc w:val="both"/>
        <w:rPr>
          <w:bCs/>
          <w:color w:val="002060"/>
          <w:sz w:val="16"/>
          <w:szCs w:val="16"/>
        </w:rPr>
      </w:pPr>
      <w:r w:rsidRPr="00405303">
        <w:rPr>
          <w:bCs/>
          <w:color w:val="002060"/>
          <w:sz w:val="16"/>
          <w:szCs w:val="16"/>
        </w:rPr>
        <w:t xml:space="preserve">Успех постановки производства на заводе Марлина надо приписать, кроме содействия Кольта и Браунинга, конечно, главным образом, тому обстоятельству, что завод Марлина с первых же шагов стал на верный путь организации строго лекального массового производства, без всякого уклона в сторону кустарничества. </w:t>
      </w:r>
    </w:p>
    <w:p w14:paraId="4C9F4523" w14:textId="77777777" w:rsidR="004B4E35" w:rsidRPr="00405303" w:rsidRDefault="009E6F82" w:rsidP="00C15251">
      <w:pPr>
        <w:jc w:val="both"/>
        <w:rPr>
          <w:bCs/>
          <w:color w:val="002060"/>
          <w:sz w:val="16"/>
          <w:szCs w:val="16"/>
        </w:rPr>
      </w:pPr>
      <w:r w:rsidRPr="00405303">
        <w:rPr>
          <w:bCs/>
          <w:color w:val="002060"/>
          <w:sz w:val="16"/>
          <w:szCs w:val="16"/>
        </w:rPr>
        <w:t>Третий завод, изготовлявший русский пулеметный заказ, был завод Совадж в Утихе. Заказ носил секретный характер и шел под флагом английского заказа, ввиду того что патент Льюиса был оплачен британским правительством. Поэтому пулемет пришлось изготовлять под английский патрон. Русская инспекция не принимала явного участия в приемке, и это дело [было] поручено английским приемщикам. Контракт был заключен в декабре 1915 г., на срок с марта по ноябрь 1916 года. В действительности к ноябрю вместо 10 000 была сдана только 1000, а весь заказ закончен в мае 1917 года (11329).</w:t>
      </w:r>
    </w:p>
    <w:p w14:paraId="152C3C84" w14:textId="77777777" w:rsidR="004B4E35" w:rsidRPr="00405303" w:rsidRDefault="004B4E35" w:rsidP="00C15251">
      <w:pPr>
        <w:shd w:val="clear" w:color="auto" w:fill="FFFFFF"/>
        <w:jc w:val="both"/>
        <w:rPr>
          <w:bCs/>
          <w:i/>
          <w:color w:val="002060"/>
          <w:sz w:val="16"/>
          <w:szCs w:val="16"/>
        </w:rPr>
      </w:pPr>
    </w:p>
    <w:p w14:paraId="5D1A548A" w14:textId="77777777" w:rsidR="004B4E35" w:rsidRPr="00405303" w:rsidRDefault="009E6F82" w:rsidP="00C15251">
      <w:pPr>
        <w:shd w:val="clear" w:color="auto" w:fill="FFFFFF"/>
        <w:jc w:val="both"/>
        <w:rPr>
          <w:bCs/>
          <w:i/>
          <w:color w:val="002060"/>
          <w:sz w:val="16"/>
          <w:szCs w:val="16"/>
        </w:rPr>
      </w:pPr>
      <w:r w:rsidRPr="00405303">
        <w:rPr>
          <w:bCs/>
          <w:i/>
          <w:color w:val="002060"/>
          <w:sz w:val="16"/>
          <w:szCs w:val="16"/>
        </w:rPr>
        <w:t>Авиация и воздухоплавание Германии:</w:t>
      </w:r>
    </w:p>
    <w:p w14:paraId="562A2200" w14:textId="77777777" w:rsidR="004B4E35" w:rsidRPr="00405303" w:rsidRDefault="004B4E35" w:rsidP="00C15251">
      <w:pPr>
        <w:shd w:val="clear" w:color="auto" w:fill="FFFFFF"/>
        <w:jc w:val="both"/>
        <w:rPr>
          <w:bCs/>
          <w:i/>
          <w:color w:val="002060"/>
          <w:sz w:val="16"/>
          <w:szCs w:val="16"/>
        </w:rPr>
      </w:pPr>
    </w:p>
    <w:p w14:paraId="29673B1C" w14:textId="77777777" w:rsidR="004B4E35" w:rsidRPr="00405303" w:rsidRDefault="009E6F82" w:rsidP="00C15251">
      <w:pPr>
        <w:jc w:val="both"/>
        <w:rPr>
          <w:bCs/>
          <w:color w:val="002060"/>
          <w:sz w:val="16"/>
          <w:szCs w:val="16"/>
        </w:rPr>
      </w:pPr>
      <w:r w:rsidRPr="00405303">
        <w:rPr>
          <w:bCs/>
          <w:color w:val="002060"/>
          <w:sz w:val="16"/>
          <w:szCs w:val="16"/>
        </w:rPr>
        <w:t xml:space="preserve">В 1915 — начале 1916 г. стали подниматься в воздух первые опытные многомоторные «Цеппелин-Штаакены» и «Сименс-Шукерты», получившие в Германии обозначение «Р» от слова «Ризенфлюг-цойг» — гигантский самолет. Первый «Р» попал на Восточный фронт в конце 1915 г., но после многочисленных поломок и аварий в марте 1916 г. возвращен на завод. Он так и не успел совершить ни одного боевого вылета. Боевые действия на этих машинах удалось начать лишь в августе 1916 г., когда наконец после доработки стали поступать самолеты «Р», годные для практического применения. Немецкое командование образовало два </w:t>
      </w:r>
      <w:proofErr w:type="gramStart"/>
      <w:r w:rsidRPr="00405303">
        <w:rPr>
          <w:bCs/>
          <w:color w:val="002060"/>
          <w:sz w:val="16"/>
          <w:szCs w:val="16"/>
        </w:rPr>
        <w:t>« Р</w:t>
      </w:r>
      <w:proofErr w:type="gramEnd"/>
      <w:r w:rsidRPr="00405303">
        <w:rPr>
          <w:bCs/>
          <w:color w:val="002060"/>
          <w:sz w:val="16"/>
          <w:szCs w:val="16"/>
        </w:rPr>
        <w:t xml:space="preserve">-эскадрона». Оба они действовали на Восточном фронте. Самолеты применялись для налетов на Ригу и против русских кораблей в заливе. По своей организационной структуре и численности «Р-эскадроны» значительно уступали эскадре воздушных кораблей, так как их комплектование обеспечивалось штучными опытными образцами, не все из которых оказались работоспособными. Только в 1917 г. немцам удалось выпустить серию из 18 сравнительно однотипных самолетов «Цеппелин-Штаакен P-IV». В выборе компоновки и параметров первых немецких многомоторных самолетов, так </w:t>
      </w:r>
      <w:proofErr w:type="gramStart"/>
      <w:r w:rsidRPr="00405303">
        <w:rPr>
          <w:bCs/>
          <w:color w:val="002060"/>
          <w:sz w:val="16"/>
          <w:szCs w:val="16"/>
        </w:rPr>
        <w:t>же</w:t>
      </w:r>
      <w:proofErr w:type="gramEnd"/>
      <w:r w:rsidRPr="00405303">
        <w:rPr>
          <w:bCs/>
          <w:color w:val="002060"/>
          <w:sz w:val="16"/>
          <w:szCs w:val="16"/>
        </w:rPr>
        <w:t xml:space="preserve"> как и британских, отчетливо просматривается влияние «Русского Витязя» и «Ильи Муромца». Царское правительство, радея за качество российских самолетов (</w:t>
      </w:r>
      <w:proofErr w:type="gramStart"/>
      <w:r w:rsidRPr="00405303">
        <w:rPr>
          <w:bCs/>
          <w:color w:val="002060"/>
          <w:sz w:val="16"/>
          <w:szCs w:val="16"/>
        </w:rPr>
        <w:t>впрочем</w:t>
      </w:r>
      <w:proofErr w:type="gramEnd"/>
      <w:r w:rsidRPr="00405303">
        <w:rPr>
          <w:bCs/>
          <w:color w:val="002060"/>
          <w:sz w:val="16"/>
          <w:szCs w:val="16"/>
        </w:rPr>
        <w:t xml:space="preserve"> не только их) и стремясь не допустить любую монополизацию, стимулировало здоровую конкуренцию. Оно давало возможность разным авиаконструкторам проявить свои способности на ниве создания тяжелых машин. Так, в конце 1914 г. на заводе В. А. Лебедева в Петрограде была начата постройка оригинального тяжелого самолета «Святогор» конструкции талантливого ученого В. А. Слесарева. Имея большой опыт продувок в аэродинамической трубе Политехнического института различных моделей многих самолетов, в том числе и Сикорского, конструктор создал машину, которая по аэродинамике и продуманности компоновки представляла собой значительный шаг вперед. Однако главной ошибкой Слесарева был выбор схемы силовой установки — двигатели в фюзеляже и привод трансмиссией вынесенных по бокам винтов. Это и предопределило неудачу. «Святогор» так и не поднялся в воздух. Разработка Слесарева была не единственной попыткой составить конкуренцию «Муромцу». В 1916–1917 гг. выдающийся русский ученый Г. А. Ботезат, хорошо знакомый с конструкциями Сикорского, консультировал на Ижорском заводе по заказу военного ведомства разработку шестимоторных гигантов — биплана и триплана, а мобилизованный в армию инженер РБВЗ В. Ф. Савельев вместе с В. Залевским в 1916 г. приступили в Смоленском авиапарке к разработке гигантского четырехплана. Завершить эти интересные планы до октября 1917 г. не удалось. Г. А. Ботезат и В. Залевский в 1917 г. встретились в Херсоне, куда оба переехали для интересной </w:t>
      </w:r>
      <w:proofErr w:type="gramStart"/>
      <w:r w:rsidRPr="00405303">
        <w:rPr>
          <w:bCs/>
          <w:color w:val="002060"/>
          <w:sz w:val="16"/>
          <w:szCs w:val="16"/>
        </w:rPr>
        <w:t>в перспективной работы</w:t>
      </w:r>
      <w:proofErr w:type="gramEnd"/>
      <w:r w:rsidRPr="00405303">
        <w:rPr>
          <w:bCs/>
          <w:color w:val="002060"/>
          <w:sz w:val="16"/>
          <w:szCs w:val="16"/>
        </w:rPr>
        <w:t>. Дело в том, что в 1916 г. царское правительство привяло решение создать под Херсоном, где достаточно благоприятный климат, крупнейший в мире государственный многопрофильный авиационный комплекс ( «Авиагородок»), куда должны были входить научно-исследовательская аэродинамическая лаборатория с аэродинамической трубой, позволявшей исследовать самолеты в натуральную величину при скоростях полета до 320 км/ч, опытный завод для постройки по проектам талантливых изобретателей и конструкторов самолетов, двигателей и авиационного оборудования, два серийных завода (самолетный и двигательный), высшее учебное заведение, авиашкола, а также аэродром Управления Военно-Воздушного Флота России, предназначенный для летных испытаний и доводки опытных самолетов — предшественник нынешнего ГНИКИ ВВС. Научными руководителями этого комплекса были приглашены профессоры Г. А. Ботезат и А. П. Фан-дер-Флит. Там В. Залевский и разрабатывал свой тяжелый мультиплан. Однако всем этим грандиозным планам, как и многим другим, свершиться было не дано. 1917 г. изменил весь ход событий. В истории мирового самолетостроения «Муромцы» являются одной из наиболее ярких страниц ее начального периода. Воздушные гиганты И. И. Сикорского стали гордостью России, символом ее нарождавшейся технической мощи. Они были самобытны, уникальны, и их создание является неоспоримым приоритетом России в области разработки тяжелых воздушных кораблей, их оборудования, вооружения, а также военного применения. Полученный огромный опыт постройки и эксплуатации многомоторных тяжелых самолетов стал весомым вкладом в развитие мировой авиации, и это, несомненно, является предметом нашей национальной гордости (11196).</w:t>
      </w:r>
    </w:p>
    <w:p w14:paraId="7853643B" w14:textId="77777777" w:rsidR="004B4E35" w:rsidRPr="00405303" w:rsidRDefault="004B4E35" w:rsidP="00C15251">
      <w:pPr>
        <w:jc w:val="both"/>
        <w:rPr>
          <w:bCs/>
          <w:color w:val="002060"/>
          <w:sz w:val="16"/>
          <w:szCs w:val="16"/>
        </w:rPr>
      </w:pPr>
    </w:p>
    <w:p w14:paraId="5915E788" w14:textId="77777777" w:rsidR="000B3BFF" w:rsidRPr="00405303" w:rsidRDefault="000B3BFF" w:rsidP="00C15251">
      <w:pPr>
        <w:jc w:val="both"/>
        <w:rPr>
          <w:iCs/>
          <w:color w:val="002060"/>
          <w:sz w:val="16"/>
          <w:szCs w:val="16"/>
        </w:rPr>
      </w:pPr>
      <w:r w:rsidRPr="00405303">
        <w:rPr>
          <w:i/>
          <w:iCs/>
          <w:color w:val="002060"/>
          <w:sz w:val="16"/>
          <w:szCs w:val="16"/>
        </w:rPr>
        <w:t>За рубежом:</w:t>
      </w:r>
    </w:p>
    <w:p w14:paraId="3860444B" w14:textId="77777777" w:rsidR="000B3BFF" w:rsidRPr="00405303" w:rsidRDefault="000B3BFF" w:rsidP="00C15251">
      <w:pPr>
        <w:jc w:val="both"/>
        <w:rPr>
          <w:iCs/>
          <w:color w:val="002060"/>
          <w:sz w:val="16"/>
          <w:szCs w:val="16"/>
        </w:rPr>
      </w:pPr>
    </w:p>
    <w:p w14:paraId="6028BCB2" w14:textId="77777777" w:rsidR="000B3BFF" w:rsidRPr="00CE4C0C" w:rsidRDefault="000B3BFF" w:rsidP="00C15251">
      <w:pPr>
        <w:jc w:val="both"/>
        <w:rPr>
          <w:color w:val="002060"/>
          <w:sz w:val="16"/>
          <w:szCs w:val="16"/>
        </w:rPr>
      </w:pPr>
      <w:r w:rsidRPr="00405303">
        <w:rPr>
          <w:color w:val="002060"/>
          <w:sz w:val="16"/>
          <w:szCs w:val="16"/>
        </w:rPr>
        <w:t xml:space="preserve">В 1915-1916 годах появились специальные средства борьбы с дирижаблями. Самолеты сыпали сверху на дирижабль стальные стрелы, которые до того применялись для борьбы с пехотой и конницей. Стрелы пробивали обшивку, из которой выходил газ. Но таким способом удалось сбить только один дирижабль. Для борьбы с дирижаблями применялись и обычные авиабомбы. Так был сбит первый немецкий цеппелин LZ 37 в июне 1915 года над Бельгией. Но наиболее эффективным средством борьбы с дирижаблями оказался обычный пулемет, стреляющий зажигательными патронами. В результате дирижабли стали применять только по ночам, поэтому пришлось создать ночные истребители. Самолеты получили дополнительное оснащение: прицелы с подсветкой, осветительные ракеты системы Гольта, позиционные огни. Пилоты ночных истребителей проходили дополнительный курс подготовки, оборудовались ночные аэродромы. Вокруг Лондона организовали сеть аэродромов системы ПВО. Самолеты использовались не самые современные, но после доработки, они вполне справлялись с задачами, ставящимися перед ночными истребителями. Выяснилось, что самолеты В.Е. 2с, которые считались неудачными, отлично подошли на роль ночного истребителя. Самолеты переоборудовали, сделав одноместными, а в вырезе правого крыла установили пулемет, направленный вправо и вверх. Первый успех ночной истребитель одержал 3 сентября 1916 года, когда лейтенант У.Л. Робинсон на самолете В.Е. 2с (№ 2092) сбил дирижабль "Шютте-Лянц" SL 11. Следующий дирижабль (L.32) сбил 24 сентября лейтенант Ф. Сори, также летавший на В.Е. 2с. Всего истребители В.Е. 2с сбили пять цеппелинов. Для борьбы с дирижаблями применялись и другие самолеты. Хорошо показал себя в роли ночного истребителя легкий бомбардировщик DH. 4, который вместо бомб нес пять пулеметов. 5 августа 1917 года налет на Великобританию совершило несколько цеппелинов, в том числе новейший L.70. Англичане своевременно обнаружили немцев. На перехват вылетело 13 английских самолетов, в том числе DH. 4 № А.8032 с экипажем Э. Кедбери и Р. Лек. Самолет набрал высоту 5000 м и оказался под цеппелином, шедшим на 200 м выше. Залп пяти пулеметов оказался достаточным. Зажигательные пули инициировали на цеппелине пожар и взрыв, после чего дирижабль рухнул в море. Весь экипаж цеппелина погиб, в том числе находившийся на его борту Петер Штрессер, командующий флотом немецких цеппелинов и организатор налетов на Великобританию. Вскоре немцы прекратили использовать цеппелины для налетов на Великобританию, заменив их бомбардировщиками "Гота" G. IV и G. V, а также гигантами серии "R". Для </w:t>
      </w:r>
      <w:r w:rsidRPr="00405303">
        <w:rPr>
          <w:color w:val="002060"/>
          <w:sz w:val="16"/>
          <w:szCs w:val="16"/>
        </w:rPr>
        <w:lastRenderedPageBreak/>
        <w:t>борьбы с цеппелинами пытались использовать специальные самолеты "Сопвич" LRTTr. имевшие большой размах крыла и значительную дальность полета. Стрелок на LRTTr располагался на уровне верхнего крыла, имея круговой сектор обстрела (11262).</w:t>
      </w:r>
    </w:p>
    <w:p w14:paraId="15DBF57F" w14:textId="77777777" w:rsidR="000B3BFF" w:rsidRPr="00CE4C0C" w:rsidRDefault="000B3BFF" w:rsidP="00C15251">
      <w:pPr>
        <w:jc w:val="both"/>
        <w:rPr>
          <w:color w:val="002060"/>
          <w:sz w:val="16"/>
          <w:szCs w:val="16"/>
        </w:rPr>
      </w:pPr>
    </w:p>
    <w:p w14:paraId="289AE37C" w14:textId="77777777" w:rsidR="000B3BFF" w:rsidRPr="00CE4C0C" w:rsidRDefault="000B3BFF" w:rsidP="00C15251">
      <w:pPr>
        <w:jc w:val="both"/>
        <w:rPr>
          <w:bCs/>
          <w:color w:val="002060"/>
          <w:sz w:val="16"/>
          <w:szCs w:val="16"/>
        </w:rPr>
      </w:pPr>
    </w:p>
    <w:sectPr w:rsidR="000B3BFF" w:rsidRPr="00CE4C0C" w:rsidSect="00331766">
      <w:pgSz w:w="12242" w:h="15842"/>
      <w:pgMar w:top="1418" w:right="346" w:bottom="1361" w:left="567"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Microsoft Sans Serif">
    <w:panose1 w:val="020B0604020202020204"/>
    <w:charset w:val="CC"/>
    <w:family w:val="swiss"/>
    <w:pitch w:val="variable"/>
    <w:sig w:usb0="E5002EFF" w:usb1="C000605B" w:usb2="00000029" w:usb3="00000000" w:csb0="000101FF" w:csb1="00000000"/>
  </w:font>
  <w:font w:name="Century Gothic">
    <w:panose1 w:val="020B0502020202020204"/>
    <w:charset w:val="CC"/>
    <w:family w:val="swiss"/>
    <w:pitch w:val="variable"/>
    <w:sig w:usb0="000002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Arial Narrow">
    <w:panose1 w:val="020B0606020202030204"/>
    <w:charset w:val="CC"/>
    <w:family w:val="swiss"/>
    <w:pitch w:val="variable"/>
    <w:sig w:usb0="00000287" w:usb1="00000800" w:usb2="00000000" w:usb3="00000000" w:csb0="0000009F"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Franklin Gothic Book">
    <w:panose1 w:val="020B05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Roman">
    <w:altName w:val="MS Mincho"/>
    <w:panose1 w:val="00000000000000000000"/>
    <w:charset w:val="80"/>
    <w:family w:val="roman"/>
    <w:notTrueType/>
    <w:pitch w:val="default"/>
    <w:sig w:usb0="00000000"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41D58"/>
    <w:multiLevelType w:val="multilevel"/>
    <w:tmpl w:val="CD829F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4064D38"/>
    <w:multiLevelType w:val="multilevel"/>
    <w:tmpl w:val="3A1A7E5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DD81E88"/>
    <w:multiLevelType w:val="multilevel"/>
    <w:tmpl w:val="FEF2254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6891C0B"/>
    <w:multiLevelType w:val="multilevel"/>
    <w:tmpl w:val="354E5B0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73D1AF9"/>
    <w:multiLevelType w:val="multilevel"/>
    <w:tmpl w:val="ECA62A6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4782D6B"/>
    <w:multiLevelType w:val="multilevel"/>
    <w:tmpl w:val="213C733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BCD77D7"/>
    <w:multiLevelType w:val="multilevel"/>
    <w:tmpl w:val="768C6CC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3C106DE"/>
    <w:multiLevelType w:val="multilevel"/>
    <w:tmpl w:val="4912AE0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78D1E5B"/>
    <w:multiLevelType w:val="multilevel"/>
    <w:tmpl w:val="8C0E98E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0576105"/>
    <w:multiLevelType w:val="multilevel"/>
    <w:tmpl w:val="888E3AE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6842E1F"/>
    <w:multiLevelType w:val="multilevel"/>
    <w:tmpl w:val="20EA181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E5679DF"/>
    <w:multiLevelType w:val="multilevel"/>
    <w:tmpl w:val="7598A4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031419403">
    <w:abstractNumId w:val="11"/>
  </w:num>
  <w:num w:numId="2" w16cid:durableId="1211764889">
    <w:abstractNumId w:val="0"/>
  </w:num>
  <w:num w:numId="3" w16cid:durableId="1760371145">
    <w:abstractNumId w:val="8"/>
  </w:num>
  <w:num w:numId="4" w16cid:durableId="547256245">
    <w:abstractNumId w:val="1"/>
  </w:num>
  <w:num w:numId="5" w16cid:durableId="587663414">
    <w:abstractNumId w:val="3"/>
  </w:num>
  <w:num w:numId="6" w16cid:durableId="1044521115">
    <w:abstractNumId w:val="6"/>
  </w:num>
  <w:num w:numId="7" w16cid:durableId="1724133313">
    <w:abstractNumId w:val="4"/>
  </w:num>
  <w:num w:numId="8" w16cid:durableId="1719236566">
    <w:abstractNumId w:val="2"/>
  </w:num>
  <w:num w:numId="9" w16cid:durableId="393086224">
    <w:abstractNumId w:val="5"/>
  </w:num>
  <w:num w:numId="10" w16cid:durableId="601837169">
    <w:abstractNumId w:val="10"/>
  </w:num>
  <w:num w:numId="11" w16cid:durableId="982810200">
    <w:abstractNumId w:val="9"/>
  </w:num>
  <w:num w:numId="12" w16cid:durableId="201440544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hideSpellingErrors/>
  <w:hideGrammaticalErrors/>
  <w:proofState w:grammar="clean"/>
  <w:defaultTabStop w:val="720"/>
  <w:drawingGridHorizontalSpacing w:val="120"/>
  <w:drawingGridVerticalSpacing w:val="120"/>
  <w:displayVerticalDrawingGridEvery w:val="0"/>
  <w:doNotUseMarginsForDrawingGridOrigin/>
  <w:characterSpacingControl w:val="doNotCompress"/>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0324"/>
    <w:rsid w:val="0001297A"/>
    <w:rsid w:val="00014995"/>
    <w:rsid w:val="00014DC9"/>
    <w:rsid w:val="00015098"/>
    <w:rsid w:val="000176B4"/>
    <w:rsid w:val="00020A9D"/>
    <w:rsid w:val="000226B5"/>
    <w:rsid w:val="00023F36"/>
    <w:rsid w:val="00024AE2"/>
    <w:rsid w:val="0002695B"/>
    <w:rsid w:val="00026BA8"/>
    <w:rsid w:val="00027129"/>
    <w:rsid w:val="00033DBF"/>
    <w:rsid w:val="000349A9"/>
    <w:rsid w:val="00035626"/>
    <w:rsid w:val="0004080B"/>
    <w:rsid w:val="000415BF"/>
    <w:rsid w:val="000512CF"/>
    <w:rsid w:val="00053A24"/>
    <w:rsid w:val="00056D37"/>
    <w:rsid w:val="000616D6"/>
    <w:rsid w:val="0006327C"/>
    <w:rsid w:val="00063984"/>
    <w:rsid w:val="00063C82"/>
    <w:rsid w:val="00067DD0"/>
    <w:rsid w:val="00072940"/>
    <w:rsid w:val="00073F75"/>
    <w:rsid w:val="00074935"/>
    <w:rsid w:val="00075466"/>
    <w:rsid w:val="00076032"/>
    <w:rsid w:val="00077547"/>
    <w:rsid w:val="00077A70"/>
    <w:rsid w:val="000839B5"/>
    <w:rsid w:val="00085C2C"/>
    <w:rsid w:val="00086DCC"/>
    <w:rsid w:val="00093136"/>
    <w:rsid w:val="00093785"/>
    <w:rsid w:val="0009477E"/>
    <w:rsid w:val="0009532D"/>
    <w:rsid w:val="00095F90"/>
    <w:rsid w:val="000A236C"/>
    <w:rsid w:val="000A339F"/>
    <w:rsid w:val="000A77E3"/>
    <w:rsid w:val="000B3BFF"/>
    <w:rsid w:val="000B6056"/>
    <w:rsid w:val="000B6BF8"/>
    <w:rsid w:val="000C08D1"/>
    <w:rsid w:val="000C134D"/>
    <w:rsid w:val="000C6426"/>
    <w:rsid w:val="000C6B7D"/>
    <w:rsid w:val="000D0C70"/>
    <w:rsid w:val="000D3EFD"/>
    <w:rsid w:val="000E0FEB"/>
    <w:rsid w:val="000E47F3"/>
    <w:rsid w:val="000E717F"/>
    <w:rsid w:val="000F08A3"/>
    <w:rsid w:val="000F0D48"/>
    <w:rsid w:val="000F5756"/>
    <w:rsid w:val="00100B12"/>
    <w:rsid w:val="001014D2"/>
    <w:rsid w:val="00103C28"/>
    <w:rsid w:val="00104198"/>
    <w:rsid w:val="001050C9"/>
    <w:rsid w:val="001113A6"/>
    <w:rsid w:val="00111B81"/>
    <w:rsid w:val="0011454E"/>
    <w:rsid w:val="00115A99"/>
    <w:rsid w:val="00116C91"/>
    <w:rsid w:val="001220B5"/>
    <w:rsid w:val="001304F1"/>
    <w:rsid w:val="0013484F"/>
    <w:rsid w:val="00135780"/>
    <w:rsid w:val="00141157"/>
    <w:rsid w:val="0015033A"/>
    <w:rsid w:val="00154671"/>
    <w:rsid w:val="0016077E"/>
    <w:rsid w:val="001627A1"/>
    <w:rsid w:val="00164794"/>
    <w:rsid w:val="0016688C"/>
    <w:rsid w:val="00167923"/>
    <w:rsid w:val="00167F04"/>
    <w:rsid w:val="00170C9B"/>
    <w:rsid w:val="00174C66"/>
    <w:rsid w:val="001753A6"/>
    <w:rsid w:val="0018164E"/>
    <w:rsid w:val="00185B77"/>
    <w:rsid w:val="00185E31"/>
    <w:rsid w:val="0019111B"/>
    <w:rsid w:val="0019223D"/>
    <w:rsid w:val="00193161"/>
    <w:rsid w:val="0019394C"/>
    <w:rsid w:val="00197CE4"/>
    <w:rsid w:val="00197F16"/>
    <w:rsid w:val="001A0C4D"/>
    <w:rsid w:val="001A4779"/>
    <w:rsid w:val="001A4DCC"/>
    <w:rsid w:val="001A5081"/>
    <w:rsid w:val="001A6D82"/>
    <w:rsid w:val="001B00A7"/>
    <w:rsid w:val="001B0D71"/>
    <w:rsid w:val="001B25E8"/>
    <w:rsid w:val="001B5E24"/>
    <w:rsid w:val="001B7028"/>
    <w:rsid w:val="001C2313"/>
    <w:rsid w:val="001C275D"/>
    <w:rsid w:val="001C33F5"/>
    <w:rsid w:val="001C614F"/>
    <w:rsid w:val="001C6F31"/>
    <w:rsid w:val="001D07F9"/>
    <w:rsid w:val="001D2D2A"/>
    <w:rsid w:val="001E3102"/>
    <w:rsid w:val="001E33EB"/>
    <w:rsid w:val="001E56AB"/>
    <w:rsid w:val="001E5E4B"/>
    <w:rsid w:val="001F18BF"/>
    <w:rsid w:val="001F23EA"/>
    <w:rsid w:val="001F5EE8"/>
    <w:rsid w:val="001F6C5C"/>
    <w:rsid w:val="00200E4D"/>
    <w:rsid w:val="00202720"/>
    <w:rsid w:val="00202AB0"/>
    <w:rsid w:val="00204C44"/>
    <w:rsid w:val="00205034"/>
    <w:rsid w:val="002051CA"/>
    <w:rsid w:val="0020565F"/>
    <w:rsid w:val="0020648C"/>
    <w:rsid w:val="0021141E"/>
    <w:rsid w:val="002124B5"/>
    <w:rsid w:val="00213165"/>
    <w:rsid w:val="00213A0E"/>
    <w:rsid w:val="0021649E"/>
    <w:rsid w:val="002200A0"/>
    <w:rsid w:val="00220D0B"/>
    <w:rsid w:val="002217E5"/>
    <w:rsid w:val="00225457"/>
    <w:rsid w:val="002255AC"/>
    <w:rsid w:val="002265B3"/>
    <w:rsid w:val="00226FDD"/>
    <w:rsid w:val="002304DC"/>
    <w:rsid w:val="00230F99"/>
    <w:rsid w:val="00231F5A"/>
    <w:rsid w:val="00234C51"/>
    <w:rsid w:val="0023540E"/>
    <w:rsid w:val="0023730C"/>
    <w:rsid w:val="002402A6"/>
    <w:rsid w:val="002409C9"/>
    <w:rsid w:val="00241FDC"/>
    <w:rsid w:val="00244A34"/>
    <w:rsid w:val="00244A4D"/>
    <w:rsid w:val="00244ED3"/>
    <w:rsid w:val="002452A3"/>
    <w:rsid w:val="00247024"/>
    <w:rsid w:val="00247056"/>
    <w:rsid w:val="00250AD8"/>
    <w:rsid w:val="002522CB"/>
    <w:rsid w:val="00252322"/>
    <w:rsid w:val="0025595F"/>
    <w:rsid w:val="0025736F"/>
    <w:rsid w:val="00257683"/>
    <w:rsid w:val="002637DC"/>
    <w:rsid w:val="00264B70"/>
    <w:rsid w:val="00270464"/>
    <w:rsid w:val="00271B68"/>
    <w:rsid w:val="00272D59"/>
    <w:rsid w:val="0027527E"/>
    <w:rsid w:val="00275354"/>
    <w:rsid w:val="002845A9"/>
    <w:rsid w:val="00284908"/>
    <w:rsid w:val="00285FFA"/>
    <w:rsid w:val="00291847"/>
    <w:rsid w:val="00292F01"/>
    <w:rsid w:val="00294B96"/>
    <w:rsid w:val="00295819"/>
    <w:rsid w:val="00297222"/>
    <w:rsid w:val="002A027E"/>
    <w:rsid w:val="002A03B1"/>
    <w:rsid w:val="002A10E8"/>
    <w:rsid w:val="002A4E7A"/>
    <w:rsid w:val="002B0FFA"/>
    <w:rsid w:val="002B5AE8"/>
    <w:rsid w:val="002B5E9B"/>
    <w:rsid w:val="002B682D"/>
    <w:rsid w:val="002B7530"/>
    <w:rsid w:val="002B776E"/>
    <w:rsid w:val="002C0F36"/>
    <w:rsid w:val="002C4482"/>
    <w:rsid w:val="002C470C"/>
    <w:rsid w:val="002C4E14"/>
    <w:rsid w:val="002D484A"/>
    <w:rsid w:val="002D54FF"/>
    <w:rsid w:val="002D7B9D"/>
    <w:rsid w:val="002E1868"/>
    <w:rsid w:val="002E3314"/>
    <w:rsid w:val="002E3922"/>
    <w:rsid w:val="002F16FA"/>
    <w:rsid w:val="002F68F4"/>
    <w:rsid w:val="002F771C"/>
    <w:rsid w:val="00306D3C"/>
    <w:rsid w:val="00307292"/>
    <w:rsid w:val="00311D9E"/>
    <w:rsid w:val="0031207D"/>
    <w:rsid w:val="003134AF"/>
    <w:rsid w:val="0032167A"/>
    <w:rsid w:val="00321B81"/>
    <w:rsid w:val="00323177"/>
    <w:rsid w:val="00325D89"/>
    <w:rsid w:val="00325E5B"/>
    <w:rsid w:val="00325F74"/>
    <w:rsid w:val="00327C41"/>
    <w:rsid w:val="00330E30"/>
    <w:rsid w:val="00331766"/>
    <w:rsid w:val="00331D4D"/>
    <w:rsid w:val="00333023"/>
    <w:rsid w:val="003342C8"/>
    <w:rsid w:val="00336767"/>
    <w:rsid w:val="0033704C"/>
    <w:rsid w:val="00337A06"/>
    <w:rsid w:val="00342179"/>
    <w:rsid w:val="00342F76"/>
    <w:rsid w:val="0034342A"/>
    <w:rsid w:val="00343BBF"/>
    <w:rsid w:val="003462D4"/>
    <w:rsid w:val="00351CDC"/>
    <w:rsid w:val="003526F9"/>
    <w:rsid w:val="003532AF"/>
    <w:rsid w:val="003556A0"/>
    <w:rsid w:val="00365F65"/>
    <w:rsid w:val="00367A37"/>
    <w:rsid w:val="003744F8"/>
    <w:rsid w:val="003746B3"/>
    <w:rsid w:val="00375A71"/>
    <w:rsid w:val="00376769"/>
    <w:rsid w:val="003770D9"/>
    <w:rsid w:val="00380E79"/>
    <w:rsid w:val="003810CD"/>
    <w:rsid w:val="00383C77"/>
    <w:rsid w:val="003873D4"/>
    <w:rsid w:val="00391C87"/>
    <w:rsid w:val="00393E82"/>
    <w:rsid w:val="00394992"/>
    <w:rsid w:val="00397A21"/>
    <w:rsid w:val="003A1985"/>
    <w:rsid w:val="003A4025"/>
    <w:rsid w:val="003B25B1"/>
    <w:rsid w:val="003B3144"/>
    <w:rsid w:val="003B3F09"/>
    <w:rsid w:val="003B4459"/>
    <w:rsid w:val="003B52D0"/>
    <w:rsid w:val="003C0649"/>
    <w:rsid w:val="003C09C3"/>
    <w:rsid w:val="003C16CD"/>
    <w:rsid w:val="003C22DB"/>
    <w:rsid w:val="003C517A"/>
    <w:rsid w:val="003D28B0"/>
    <w:rsid w:val="003D4080"/>
    <w:rsid w:val="003D5795"/>
    <w:rsid w:val="003D708A"/>
    <w:rsid w:val="003D7D74"/>
    <w:rsid w:val="003E0DD5"/>
    <w:rsid w:val="003E40CC"/>
    <w:rsid w:val="003E46B4"/>
    <w:rsid w:val="003E5951"/>
    <w:rsid w:val="003E679D"/>
    <w:rsid w:val="003E7583"/>
    <w:rsid w:val="003E77A4"/>
    <w:rsid w:val="003F16D2"/>
    <w:rsid w:val="003F1867"/>
    <w:rsid w:val="003F2943"/>
    <w:rsid w:val="003F35FB"/>
    <w:rsid w:val="003F4093"/>
    <w:rsid w:val="003F4AD1"/>
    <w:rsid w:val="004000A5"/>
    <w:rsid w:val="0040064B"/>
    <w:rsid w:val="00402FF2"/>
    <w:rsid w:val="00405303"/>
    <w:rsid w:val="004054D2"/>
    <w:rsid w:val="00405B54"/>
    <w:rsid w:val="00412676"/>
    <w:rsid w:val="004126B0"/>
    <w:rsid w:val="004162BF"/>
    <w:rsid w:val="0041701F"/>
    <w:rsid w:val="00417CD1"/>
    <w:rsid w:val="00421EEC"/>
    <w:rsid w:val="00422BA3"/>
    <w:rsid w:val="0042518F"/>
    <w:rsid w:val="004252BD"/>
    <w:rsid w:val="00432504"/>
    <w:rsid w:val="00432AF9"/>
    <w:rsid w:val="00432FFD"/>
    <w:rsid w:val="004339A6"/>
    <w:rsid w:val="0043463F"/>
    <w:rsid w:val="004351B4"/>
    <w:rsid w:val="004375E4"/>
    <w:rsid w:val="00437921"/>
    <w:rsid w:val="00442A91"/>
    <w:rsid w:val="00445026"/>
    <w:rsid w:val="004458AB"/>
    <w:rsid w:val="00450280"/>
    <w:rsid w:val="00450DD3"/>
    <w:rsid w:val="00450FD5"/>
    <w:rsid w:val="00451CD9"/>
    <w:rsid w:val="004571A2"/>
    <w:rsid w:val="00457CF8"/>
    <w:rsid w:val="00460EF3"/>
    <w:rsid w:val="00461264"/>
    <w:rsid w:val="0046475A"/>
    <w:rsid w:val="00471380"/>
    <w:rsid w:val="00476F03"/>
    <w:rsid w:val="00477787"/>
    <w:rsid w:val="00480A8D"/>
    <w:rsid w:val="00481739"/>
    <w:rsid w:val="00483462"/>
    <w:rsid w:val="00484C07"/>
    <w:rsid w:val="00485C83"/>
    <w:rsid w:val="00485DB2"/>
    <w:rsid w:val="0049022B"/>
    <w:rsid w:val="00494E6F"/>
    <w:rsid w:val="0049529C"/>
    <w:rsid w:val="004A0230"/>
    <w:rsid w:val="004A1645"/>
    <w:rsid w:val="004A25C3"/>
    <w:rsid w:val="004A61F3"/>
    <w:rsid w:val="004B01E0"/>
    <w:rsid w:val="004B1BFC"/>
    <w:rsid w:val="004B2761"/>
    <w:rsid w:val="004B4E35"/>
    <w:rsid w:val="004B7EE2"/>
    <w:rsid w:val="004C2250"/>
    <w:rsid w:val="004C5295"/>
    <w:rsid w:val="004D55F9"/>
    <w:rsid w:val="004E10CF"/>
    <w:rsid w:val="004E1668"/>
    <w:rsid w:val="004E2730"/>
    <w:rsid w:val="004E27A5"/>
    <w:rsid w:val="004E63A7"/>
    <w:rsid w:val="004F1A2E"/>
    <w:rsid w:val="004F5FA5"/>
    <w:rsid w:val="005002A9"/>
    <w:rsid w:val="0050121B"/>
    <w:rsid w:val="00501457"/>
    <w:rsid w:val="00501A0A"/>
    <w:rsid w:val="00503924"/>
    <w:rsid w:val="00506A3B"/>
    <w:rsid w:val="00511560"/>
    <w:rsid w:val="00512C11"/>
    <w:rsid w:val="005171B9"/>
    <w:rsid w:val="005203AC"/>
    <w:rsid w:val="005216EF"/>
    <w:rsid w:val="00525846"/>
    <w:rsid w:val="00531363"/>
    <w:rsid w:val="00532D6C"/>
    <w:rsid w:val="00536A95"/>
    <w:rsid w:val="005458AD"/>
    <w:rsid w:val="0055129B"/>
    <w:rsid w:val="005529D6"/>
    <w:rsid w:val="00555B6C"/>
    <w:rsid w:val="005567CB"/>
    <w:rsid w:val="00556D98"/>
    <w:rsid w:val="00557388"/>
    <w:rsid w:val="0055780C"/>
    <w:rsid w:val="0056022D"/>
    <w:rsid w:val="0056080D"/>
    <w:rsid w:val="00561E17"/>
    <w:rsid w:val="00564DD4"/>
    <w:rsid w:val="005657D9"/>
    <w:rsid w:val="005670E2"/>
    <w:rsid w:val="005705F2"/>
    <w:rsid w:val="0057202F"/>
    <w:rsid w:val="005735D6"/>
    <w:rsid w:val="00575F6B"/>
    <w:rsid w:val="005772C4"/>
    <w:rsid w:val="00584E28"/>
    <w:rsid w:val="005863E6"/>
    <w:rsid w:val="005900EE"/>
    <w:rsid w:val="00592C4C"/>
    <w:rsid w:val="00594325"/>
    <w:rsid w:val="0059663C"/>
    <w:rsid w:val="00597EAB"/>
    <w:rsid w:val="005A4891"/>
    <w:rsid w:val="005A5FEF"/>
    <w:rsid w:val="005A69AA"/>
    <w:rsid w:val="005A78DA"/>
    <w:rsid w:val="005A7EAF"/>
    <w:rsid w:val="005B251F"/>
    <w:rsid w:val="005B700A"/>
    <w:rsid w:val="005C4C47"/>
    <w:rsid w:val="005C5013"/>
    <w:rsid w:val="005C5C21"/>
    <w:rsid w:val="005C7A2E"/>
    <w:rsid w:val="005D5BAF"/>
    <w:rsid w:val="005D69B1"/>
    <w:rsid w:val="005E2BB7"/>
    <w:rsid w:val="005E4083"/>
    <w:rsid w:val="005E62BB"/>
    <w:rsid w:val="005F0A52"/>
    <w:rsid w:val="005F1B95"/>
    <w:rsid w:val="005F5FDA"/>
    <w:rsid w:val="005F71B4"/>
    <w:rsid w:val="005F7831"/>
    <w:rsid w:val="006033D0"/>
    <w:rsid w:val="00603FAF"/>
    <w:rsid w:val="00604826"/>
    <w:rsid w:val="0061079F"/>
    <w:rsid w:val="0061179B"/>
    <w:rsid w:val="00612B0B"/>
    <w:rsid w:val="00616842"/>
    <w:rsid w:val="006177BD"/>
    <w:rsid w:val="00617EB0"/>
    <w:rsid w:val="00625FE0"/>
    <w:rsid w:val="00631220"/>
    <w:rsid w:val="00634805"/>
    <w:rsid w:val="00640576"/>
    <w:rsid w:val="006417A8"/>
    <w:rsid w:val="00645069"/>
    <w:rsid w:val="0064595E"/>
    <w:rsid w:val="00652CA7"/>
    <w:rsid w:val="00657064"/>
    <w:rsid w:val="006603C8"/>
    <w:rsid w:val="00660AC3"/>
    <w:rsid w:val="0066213A"/>
    <w:rsid w:val="00663F93"/>
    <w:rsid w:val="00666906"/>
    <w:rsid w:val="00671E93"/>
    <w:rsid w:val="00675C1B"/>
    <w:rsid w:val="00676189"/>
    <w:rsid w:val="00676534"/>
    <w:rsid w:val="00681880"/>
    <w:rsid w:val="0068337E"/>
    <w:rsid w:val="00686730"/>
    <w:rsid w:val="00691E66"/>
    <w:rsid w:val="00697D3B"/>
    <w:rsid w:val="006A33D4"/>
    <w:rsid w:val="006A3B54"/>
    <w:rsid w:val="006A4BA6"/>
    <w:rsid w:val="006A74DD"/>
    <w:rsid w:val="006A7889"/>
    <w:rsid w:val="006B1D23"/>
    <w:rsid w:val="006B3741"/>
    <w:rsid w:val="006C0A51"/>
    <w:rsid w:val="006C30DC"/>
    <w:rsid w:val="006D072D"/>
    <w:rsid w:val="006D164A"/>
    <w:rsid w:val="006D3773"/>
    <w:rsid w:val="006D4A95"/>
    <w:rsid w:val="006D50CC"/>
    <w:rsid w:val="006D6D49"/>
    <w:rsid w:val="006E36DA"/>
    <w:rsid w:val="006E5FA4"/>
    <w:rsid w:val="006F372A"/>
    <w:rsid w:val="006F3862"/>
    <w:rsid w:val="006F3BF5"/>
    <w:rsid w:val="006F5768"/>
    <w:rsid w:val="006F58A5"/>
    <w:rsid w:val="007031D6"/>
    <w:rsid w:val="007048CF"/>
    <w:rsid w:val="00705AC4"/>
    <w:rsid w:val="007066FE"/>
    <w:rsid w:val="00711A46"/>
    <w:rsid w:val="00711BFC"/>
    <w:rsid w:val="00713AF8"/>
    <w:rsid w:val="007148D6"/>
    <w:rsid w:val="00715F25"/>
    <w:rsid w:val="007213D2"/>
    <w:rsid w:val="00721736"/>
    <w:rsid w:val="0072358B"/>
    <w:rsid w:val="0072423A"/>
    <w:rsid w:val="007266BC"/>
    <w:rsid w:val="00726C94"/>
    <w:rsid w:val="00726E20"/>
    <w:rsid w:val="0073033D"/>
    <w:rsid w:val="00732C6C"/>
    <w:rsid w:val="007351D7"/>
    <w:rsid w:val="00735E6F"/>
    <w:rsid w:val="007417C7"/>
    <w:rsid w:val="0074197F"/>
    <w:rsid w:val="00744431"/>
    <w:rsid w:val="007446A6"/>
    <w:rsid w:val="00746050"/>
    <w:rsid w:val="0075094F"/>
    <w:rsid w:val="00753464"/>
    <w:rsid w:val="007538DE"/>
    <w:rsid w:val="00756960"/>
    <w:rsid w:val="0075696C"/>
    <w:rsid w:val="00762929"/>
    <w:rsid w:val="00764D14"/>
    <w:rsid w:val="00764F22"/>
    <w:rsid w:val="0076682D"/>
    <w:rsid w:val="007672F7"/>
    <w:rsid w:val="007704A8"/>
    <w:rsid w:val="00771D5C"/>
    <w:rsid w:val="00774DA7"/>
    <w:rsid w:val="0077504D"/>
    <w:rsid w:val="00775930"/>
    <w:rsid w:val="00776E39"/>
    <w:rsid w:val="00783DFC"/>
    <w:rsid w:val="007908C7"/>
    <w:rsid w:val="00791F61"/>
    <w:rsid w:val="00796C2D"/>
    <w:rsid w:val="00797C5F"/>
    <w:rsid w:val="007A095B"/>
    <w:rsid w:val="007A0D0A"/>
    <w:rsid w:val="007A17B0"/>
    <w:rsid w:val="007A1968"/>
    <w:rsid w:val="007A1AF3"/>
    <w:rsid w:val="007A2E85"/>
    <w:rsid w:val="007A3724"/>
    <w:rsid w:val="007A4BE6"/>
    <w:rsid w:val="007C42AD"/>
    <w:rsid w:val="007C46B4"/>
    <w:rsid w:val="007C47BE"/>
    <w:rsid w:val="007D393D"/>
    <w:rsid w:val="007D6483"/>
    <w:rsid w:val="007D76BD"/>
    <w:rsid w:val="007E7928"/>
    <w:rsid w:val="007F0BAA"/>
    <w:rsid w:val="007F1D4A"/>
    <w:rsid w:val="007F5B65"/>
    <w:rsid w:val="007F6099"/>
    <w:rsid w:val="00801A7C"/>
    <w:rsid w:val="00816051"/>
    <w:rsid w:val="00823962"/>
    <w:rsid w:val="008244EE"/>
    <w:rsid w:val="00825064"/>
    <w:rsid w:val="008260CE"/>
    <w:rsid w:val="008279E2"/>
    <w:rsid w:val="008309B7"/>
    <w:rsid w:val="00831D7B"/>
    <w:rsid w:val="0083394E"/>
    <w:rsid w:val="008352B3"/>
    <w:rsid w:val="00837596"/>
    <w:rsid w:val="00840867"/>
    <w:rsid w:val="00852262"/>
    <w:rsid w:val="008528A0"/>
    <w:rsid w:val="0085292E"/>
    <w:rsid w:val="00853D4F"/>
    <w:rsid w:val="00854D5C"/>
    <w:rsid w:val="00854DFF"/>
    <w:rsid w:val="00870EBC"/>
    <w:rsid w:val="00872C64"/>
    <w:rsid w:val="00892A4C"/>
    <w:rsid w:val="00893A04"/>
    <w:rsid w:val="008975DE"/>
    <w:rsid w:val="008A2252"/>
    <w:rsid w:val="008A24A3"/>
    <w:rsid w:val="008A2885"/>
    <w:rsid w:val="008A3F09"/>
    <w:rsid w:val="008A6822"/>
    <w:rsid w:val="008A7A1C"/>
    <w:rsid w:val="008B0EA3"/>
    <w:rsid w:val="008B1C92"/>
    <w:rsid w:val="008B3FC8"/>
    <w:rsid w:val="008B591E"/>
    <w:rsid w:val="008C1B7D"/>
    <w:rsid w:val="008C3493"/>
    <w:rsid w:val="008C37F0"/>
    <w:rsid w:val="008C3A04"/>
    <w:rsid w:val="008C59DD"/>
    <w:rsid w:val="008C6E63"/>
    <w:rsid w:val="008D0324"/>
    <w:rsid w:val="008D0DAF"/>
    <w:rsid w:val="008D3714"/>
    <w:rsid w:val="008D708A"/>
    <w:rsid w:val="008E0669"/>
    <w:rsid w:val="008E1C9A"/>
    <w:rsid w:val="008E1E96"/>
    <w:rsid w:val="008E4236"/>
    <w:rsid w:val="008E47FA"/>
    <w:rsid w:val="008E4A80"/>
    <w:rsid w:val="008E4C6B"/>
    <w:rsid w:val="008F2DD2"/>
    <w:rsid w:val="008F456E"/>
    <w:rsid w:val="008F6659"/>
    <w:rsid w:val="0090032C"/>
    <w:rsid w:val="00900885"/>
    <w:rsid w:val="00903763"/>
    <w:rsid w:val="00906334"/>
    <w:rsid w:val="009109FF"/>
    <w:rsid w:val="009115C0"/>
    <w:rsid w:val="00912488"/>
    <w:rsid w:val="009159AD"/>
    <w:rsid w:val="00921C27"/>
    <w:rsid w:val="009235C2"/>
    <w:rsid w:val="009337F1"/>
    <w:rsid w:val="00935431"/>
    <w:rsid w:val="00940E68"/>
    <w:rsid w:val="00943C54"/>
    <w:rsid w:val="00944087"/>
    <w:rsid w:val="00944891"/>
    <w:rsid w:val="009458FA"/>
    <w:rsid w:val="00946658"/>
    <w:rsid w:val="0095407F"/>
    <w:rsid w:val="0095516A"/>
    <w:rsid w:val="009553F0"/>
    <w:rsid w:val="00956E0B"/>
    <w:rsid w:val="00957EEC"/>
    <w:rsid w:val="009608BD"/>
    <w:rsid w:val="00961206"/>
    <w:rsid w:val="0096460C"/>
    <w:rsid w:val="00964D50"/>
    <w:rsid w:val="0096614A"/>
    <w:rsid w:val="00967E82"/>
    <w:rsid w:val="00970B21"/>
    <w:rsid w:val="009719B0"/>
    <w:rsid w:val="00974CD5"/>
    <w:rsid w:val="009764E0"/>
    <w:rsid w:val="00976D04"/>
    <w:rsid w:val="00977D3E"/>
    <w:rsid w:val="00986610"/>
    <w:rsid w:val="00992F24"/>
    <w:rsid w:val="00993C18"/>
    <w:rsid w:val="00994372"/>
    <w:rsid w:val="009949DC"/>
    <w:rsid w:val="00995D21"/>
    <w:rsid w:val="00997767"/>
    <w:rsid w:val="0099794F"/>
    <w:rsid w:val="009A0F3C"/>
    <w:rsid w:val="009A3618"/>
    <w:rsid w:val="009A4184"/>
    <w:rsid w:val="009A558B"/>
    <w:rsid w:val="009B612E"/>
    <w:rsid w:val="009B75AD"/>
    <w:rsid w:val="009C3345"/>
    <w:rsid w:val="009D120C"/>
    <w:rsid w:val="009D2AA0"/>
    <w:rsid w:val="009D2D6F"/>
    <w:rsid w:val="009D37E3"/>
    <w:rsid w:val="009D5CA2"/>
    <w:rsid w:val="009E1C3B"/>
    <w:rsid w:val="009E2253"/>
    <w:rsid w:val="009E2354"/>
    <w:rsid w:val="009E34B2"/>
    <w:rsid w:val="009E4EDB"/>
    <w:rsid w:val="009E58A2"/>
    <w:rsid w:val="009E5D3B"/>
    <w:rsid w:val="009E63B5"/>
    <w:rsid w:val="009E6F82"/>
    <w:rsid w:val="009E7A2E"/>
    <w:rsid w:val="009F1CF8"/>
    <w:rsid w:val="009F43CD"/>
    <w:rsid w:val="009F5F5A"/>
    <w:rsid w:val="009F60BD"/>
    <w:rsid w:val="009F708E"/>
    <w:rsid w:val="00A0078B"/>
    <w:rsid w:val="00A02074"/>
    <w:rsid w:val="00A1370A"/>
    <w:rsid w:val="00A14E06"/>
    <w:rsid w:val="00A15675"/>
    <w:rsid w:val="00A22DCA"/>
    <w:rsid w:val="00A24BF5"/>
    <w:rsid w:val="00A41340"/>
    <w:rsid w:val="00A474F8"/>
    <w:rsid w:val="00A504E5"/>
    <w:rsid w:val="00A514CC"/>
    <w:rsid w:val="00A54B3C"/>
    <w:rsid w:val="00A5766F"/>
    <w:rsid w:val="00A652C2"/>
    <w:rsid w:val="00A70B58"/>
    <w:rsid w:val="00A712F5"/>
    <w:rsid w:val="00A71527"/>
    <w:rsid w:val="00A72F81"/>
    <w:rsid w:val="00A73D84"/>
    <w:rsid w:val="00A76D0D"/>
    <w:rsid w:val="00A76FDA"/>
    <w:rsid w:val="00A824EE"/>
    <w:rsid w:val="00A83A36"/>
    <w:rsid w:val="00A841F2"/>
    <w:rsid w:val="00A84279"/>
    <w:rsid w:val="00A933FF"/>
    <w:rsid w:val="00A9503D"/>
    <w:rsid w:val="00AA746E"/>
    <w:rsid w:val="00AB1050"/>
    <w:rsid w:val="00AB1CDC"/>
    <w:rsid w:val="00AB5579"/>
    <w:rsid w:val="00AB5B6C"/>
    <w:rsid w:val="00AB602F"/>
    <w:rsid w:val="00AB6318"/>
    <w:rsid w:val="00AB744D"/>
    <w:rsid w:val="00AC1B15"/>
    <w:rsid w:val="00AC74DB"/>
    <w:rsid w:val="00AD2AA6"/>
    <w:rsid w:val="00AD6D4F"/>
    <w:rsid w:val="00AE0767"/>
    <w:rsid w:val="00AE08F2"/>
    <w:rsid w:val="00AF4401"/>
    <w:rsid w:val="00AF667C"/>
    <w:rsid w:val="00AF6828"/>
    <w:rsid w:val="00B02238"/>
    <w:rsid w:val="00B04221"/>
    <w:rsid w:val="00B055CD"/>
    <w:rsid w:val="00B06DB8"/>
    <w:rsid w:val="00B07D2C"/>
    <w:rsid w:val="00B10892"/>
    <w:rsid w:val="00B1364F"/>
    <w:rsid w:val="00B1428B"/>
    <w:rsid w:val="00B15685"/>
    <w:rsid w:val="00B16A24"/>
    <w:rsid w:val="00B20A34"/>
    <w:rsid w:val="00B236D5"/>
    <w:rsid w:val="00B30458"/>
    <w:rsid w:val="00B30772"/>
    <w:rsid w:val="00B3239B"/>
    <w:rsid w:val="00B36387"/>
    <w:rsid w:val="00B36F73"/>
    <w:rsid w:val="00B41CA3"/>
    <w:rsid w:val="00B42A0C"/>
    <w:rsid w:val="00B442E5"/>
    <w:rsid w:val="00B44654"/>
    <w:rsid w:val="00B47423"/>
    <w:rsid w:val="00B477FF"/>
    <w:rsid w:val="00B53262"/>
    <w:rsid w:val="00B56823"/>
    <w:rsid w:val="00B60CFE"/>
    <w:rsid w:val="00B62E70"/>
    <w:rsid w:val="00B64AC7"/>
    <w:rsid w:val="00B6540F"/>
    <w:rsid w:val="00B66E3C"/>
    <w:rsid w:val="00B7030F"/>
    <w:rsid w:val="00B71AE2"/>
    <w:rsid w:val="00B8011E"/>
    <w:rsid w:val="00B8046E"/>
    <w:rsid w:val="00B8077B"/>
    <w:rsid w:val="00B82A2D"/>
    <w:rsid w:val="00B83BDB"/>
    <w:rsid w:val="00B91BE0"/>
    <w:rsid w:val="00B92EC9"/>
    <w:rsid w:val="00B94229"/>
    <w:rsid w:val="00BA427F"/>
    <w:rsid w:val="00BA7B05"/>
    <w:rsid w:val="00BB35D4"/>
    <w:rsid w:val="00BB544A"/>
    <w:rsid w:val="00BC4B89"/>
    <w:rsid w:val="00BC50B5"/>
    <w:rsid w:val="00BC6508"/>
    <w:rsid w:val="00BC7007"/>
    <w:rsid w:val="00BC765D"/>
    <w:rsid w:val="00BC76FB"/>
    <w:rsid w:val="00BD100F"/>
    <w:rsid w:val="00BD307D"/>
    <w:rsid w:val="00BE044B"/>
    <w:rsid w:val="00BE0EBB"/>
    <w:rsid w:val="00BE1378"/>
    <w:rsid w:val="00BE5215"/>
    <w:rsid w:val="00BE7A60"/>
    <w:rsid w:val="00BE7BD1"/>
    <w:rsid w:val="00BE7D40"/>
    <w:rsid w:val="00BF0061"/>
    <w:rsid w:val="00BF1725"/>
    <w:rsid w:val="00BF185F"/>
    <w:rsid w:val="00BF5A70"/>
    <w:rsid w:val="00C02BCF"/>
    <w:rsid w:val="00C04E11"/>
    <w:rsid w:val="00C1301F"/>
    <w:rsid w:val="00C15251"/>
    <w:rsid w:val="00C16F20"/>
    <w:rsid w:val="00C209DA"/>
    <w:rsid w:val="00C2121F"/>
    <w:rsid w:val="00C214EA"/>
    <w:rsid w:val="00C216A7"/>
    <w:rsid w:val="00C2199C"/>
    <w:rsid w:val="00C246DC"/>
    <w:rsid w:val="00C306B1"/>
    <w:rsid w:val="00C32904"/>
    <w:rsid w:val="00C34793"/>
    <w:rsid w:val="00C369D7"/>
    <w:rsid w:val="00C436BB"/>
    <w:rsid w:val="00C44E2D"/>
    <w:rsid w:val="00C463DD"/>
    <w:rsid w:val="00C46885"/>
    <w:rsid w:val="00C50250"/>
    <w:rsid w:val="00C517EA"/>
    <w:rsid w:val="00C524DD"/>
    <w:rsid w:val="00C52EDB"/>
    <w:rsid w:val="00C6238C"/>
    <w:rsid w:val="00C639AC"/>
    <w:rsid w:val="00C6450A"/>
    <w:rsid w:val="00C70383"/>
    <w:rsid w:val="00C715A3"/>
    <w:rsid w:val="00C727D4"/>
    <w:rsid w:val="00C73373"/>
    <w:rsid w:val="00C74E3B"/>
    <w:rsid w:val="00C75EFF"/>
    <w:rsid w:val="00C80775"/>
    <w:rsid w:val="00C81B52"/>
    <w:rsid w:val="00C81FBB"/>
    <w:rsid w:val="00C8399C"/>
    <w:rsid w:val="00C8672F"/>
    <w:rsid w:val="00C8777C"/>
    <w:rsid w:val="00C93371"/>
    <w:rsid w:val="00C93DD1"/>
    <w:rsid w:val="00C949AE"/>
    <w:rsid w:val="00C9554B"/>
    <w:rsid w:val="00CA3780"/>
    <w:rsid w:val="00CA60CA"/>
    <w:rsid w:val="00CB2F44"/>
    <w:rsid w:val="00CB317A"/>
    <w:rsid w:val="00CB58BE"/>
    <w:rsid w:val="00CB594C"/>
    <w:rsid w:val="00CB6390"/>
    <w:rsid w:val="00CC4422"/>
    <w:rsid w:val="00CC4B36"/>
    <w:rsid w:val="00CC5AAB"/>
    <w:rsid w:val="00CC77F9"/>
    <w:rsid w:val="00CC7E0A"/>
    <w:rsid w:val="00CD0E71"/>
    <w:rsid w:val="00CD247C"/>
    <w:rsid w:val="00CD28F6"/>
    <w:rsid w:val="00CD42EA"/>
    <w:rsid w:val="00CD5C83"/>
    <w:rsid w:val="00CD7855"/>
    <w:rsid w:val="00CD7886"/>
    <w:rsid w:val="00CE2966"/>
    <w:rsid w:val="00CE4C0C"/>
    <w:rsid w:val="00CE6579"/>
    <w:rsid w:val="00CE794B"/>
    <w:rsid w:val="00CE7CBE"/>
    <w:rsid w:val="00CF0ECF"/>
    <w:rsid w:val="00CF6007"/>
    <w:rsid w:val="00CF613C"/>
    <w:rsid w:val="00CF64B9"/>
    <w:rsid w:val="00CF7D7B"/>
    <w:rsid w:val="00D00DBC"/>
    <w:rsid w:val="00D032E2"/>
    <w:rsid w:val="00D06DF4"/>
    <w:rsid w:val="00D11014"/>
    <w:rsid w:val="00D13641"/>
    <w:rsid w:val="00D14C59"/>
    <w:rsid w:val="00D1645F"/>
    <w:rsid w:val="00D2003F"/>
    <w:rsid w:val="00D21FC2"/>
    <w:rsid w:val="00D2269A"/>
    <w:rsid w:val="00D33269"/>
    <w:rsid w:val="00D340DA"/>
    <w:rsid w:val="00D3615C"/>
    <w:rsid w:val="00D37EFB"/>
    <w:rsid w:val="00D40297"/>
    <w:rsid w:val="00D40F7F"/>
    <w:rsid w:val="00D410C6"/>
    <w:rsid w:val="00D416D6"/>
    <w:rsid w:val="00D41A9E"/>
    <w:rsid w:val="00D421C7"/>
    <w:rsid w:val="00D42D7C"/>
    <w:rsid w:val="00D43353"/>
    <w:rsid w:val="00D4614E"/>
    <w:rsid w:val="00D465B0"/>
    <w:rsid w:val="00D50BEC"/>
    <w:rsid w:val="00D51F81"/>
    <w:rsid w:val="00D55569"/>
    <w:rsid w:val="00D56BEA"/>
    <w:rsid w:val="00D60E3D"/>
    <w:rsid w:val="00D64118"/>
    <w:rsid w:val="00D643AE"/>
    <w:rsid w:val="00D6598C"/>
    <w:rsid w:val="00D66BCE"/>
    <w:rsid w:val="00D7068F"/>
    <w:rsid w:val="00D71F82"/>
    <w:rsid w:val="00D72639"/>
    <w:rsid w:val="00D8136E"/>
    <w:rsid w:val="00D82574"/>
    <w:rsid w:val="00D82F10"/>
    <w:rsid w:val="00D85901"/>
    <w:rsid w:val="00D85D3A"/>
    <w:rsid w:val="00D866D7"/>
    <w:rsid w:val="00D879C2"/>
    <w:rsid w:val="00D900A4"/>
    <w:rsid w:val="00D91375"/>
    <w:rsid w:val="00D92A40"/>
    <w:rsid w:val="00D9500B"/>
    <w:rsid w:val="00D9522F"/>
    <w:rsid w:val="00D96905"/>
    <w:rsid w:val="00D979C5"/>
    <w:rsid w:val="00D97AF2"/>
    <w:rsid w:val="00DA314A"/>
    <w:rsid w:val="00DA32B9"/>
    <w:rsid w:val="00DA3A77"/>
    <w:rsid w:val="00DA51D9"/>
    <w:rsid w:val="00DA51EA"/>
    <w:rsid w:val="00DA6567"/>
    <w:rsid w:val="00DB0C4E"/>
    <w:rsid w:val="00DB2A53"/>
    <w:rsid w:val="00DB2BFC"/>
    <w:rsid w:val="00DB2E37"/>
    <w:rsid w:val="00DB4D64"/>
    <w:rsid w:val="00DB5091"/>
    <w:rsid w:val="00DB5288"/>
    <w:rsid w:val="00DB552F"/>
    <w:rsid w:val="00DB5EE2"/>
    <w:rsid w:val="00DB73D1"/>
    <w:rsid w:val="00DB7538"/>
    <w:rsid w:val="00DC267C"/>
    <w:rsid w:val="00DC4F95"/>
    <w:rsid w:val="00DC7430"/>
    <w:rsid w:val="00DD1370"/>
    <w:rsid w:val="00DD1CDC"/>
    <w:rsid w:val="00DD2C8C"/>
    <w:rsid w:val="00DD418F"/>
    <w:rsid w:val="00DD43E9"/>
    <w:rsid w:val="00DE5F3B"/>
    <w:rsid w:val="00DE7562"/>
    <w:rsid w:val="00DE7AA4"/>
    <w:rsid w:val="00DE7C39"/>
    <w:rsid w:val="00DE7D74"/>
    <w:rsid w:val="00DF2D6F"/>
    <w:rsid w:val="00DF37BF"/>
    <w:rsid w:val="00DF49C4"/>
    <w:rsid w:val="00DF5278"/>
    <w:rsid w:val="00DF6591"/>
    <w:rsid w:val="00DF6DA8"/>
    <w:rsid w:val="00E0009C"/>
    <w:rsid w:val="00E03E81"/>
    <w:rsid w:val="00E05705"/>
    <w:rsid w:val="00E066BC"/>
    <w:rsid w:val="00E1045F"/>
    <w:rsid w:val="00E1214F"/>
    <w:rsid w:val="00E136C6"/>
    <w:rsid w:val="00E17754"/>
    <w:rsid w:val="00E20F08"/>
    <w:rsid w:val="00E2193F"/>
    <w:rsid w:val="00E240AF"/>
    <w:rsid w:val="00E2483D"/>
    <w:rsid w:val="00E25151"/>
    <w:rsid w:val="00E2570C"/>
    <w:rsid w:val="00E274C3"/>
    <w:rsid w:val="00E3186F"/>
    <w:rsid w:val="00E33CBF"/>
    <w:rsid w:val="00E341E3"/>
    <w:rsid w:val="00E403EF"/>
    <w:rsid w:val="00E42F28"/>
    <w:rsid w:val="00E45D19"/>
    <w:rsid w:val="00E46E5E"/>
    <w:rsid w:val="00E47662"/>
    <w:rsid w:val="00E47869"/>
    <w:rsid w:val="00E533F5"/>
    <w:rsid w:val="00E5375E"/>
    <w:rsid w:val="00E56C85"/>
    <w:rsid w:val="00E56D58"/>
    <w:rsid w:val="00E60686"/>
    <w:rsid w:val="00E62238"/>
    <w:rsid w:val="00E6406D"/>
    <w:rsid w:val="00E77927"/>
    <w:rsid w:val="00E8174C"/>
    <w:rsid w:val="00E83162"/>
    <w:rsid w:val="00E84D7B"/>
    <w:rsid w:val="00E90C57"/>
    <w:rsid w:val="00E91F33"/>
    <w:rsid w:val="00E933EE"/>
    <w:rsid w:val="00EA55AE"/>
    <w:rsid w:val="00EB0A99"/>
    <w:rsid w:val="00EB76F3"/>
    <w:rsid w:val="00EB7F73"/>
    <w:rsid w:val="00EC0D8E"/>
    <w:rsid w:val="00EC0E95"/>
    <w:rsid w:val="00EC161F"/>
    <w:rsid w:val="00ED0477"/>
    <w:rsid w:val="00ED11A2"/>
    <w:rsid w:val="00ED425E"/>
    <w:rsid w:val="00ED4978"/>
    <w:rsid w:val="00ED6C9F"/>
    <w:rsid w:val="00EE1C4B"/>
    <w:rsid w:val="00EE308A"/>
    <w:rsid w:val="00EE7702"/>
    <w:rsid w:val="00EF05DA"/>
    <w:rsid w:val="00EF196E"/>
    <w:rsid w:val="00EF208C"/>
    <w:rsid w:val="00EF36CA"/>
    <w:rsid w:val="00EF501B"/>
    <w:rsid w:val="00EF5DDC"/>
    <w:rsid w:val="00EF5F47"/>
    <w:rsid w:val="00F01B26"/>
    <w:rsid w:val="00F01F18"/>
    <w:rsid w:val="00F02CB9"/>
    <w:rsid w:val="00F05CB8"/>
    <w:rsid w:val="00F06028"/>
    <w:rsid w:val="00F11369"/>
    <w:rsid w:val="00F15E78"/>
    <w:rsid w:val="00F17DE0"/>
    <w:rsid w:val="00F2328F"/>
    <w:rsid w:val="00F2507F"/>
    <w:rsid w:val="00F26B89"/>
    <w:rsid w:val="00F321F8"/>
    <w:rsid w:val="00F32916"/>
    <w:rsid w:val="00F3362B"/>
    <w:rsid w:val="00F35977"/>
    <w:rsid w:val="00F363E5"/>
    <w:rsid w:val="00F37161"/>
    <w:rsid w:val="00F37D70"/>
    <w:rsid w:val="00F37E1D"/>
    <w:rsid w:val="00F41BB6"/>
    <w:rsid w:val="00F4350B"/>
    <w:rsid w:val="00F51407"/>
    <w:rsid w:val="00F51AC3"/>
    <w:rsid w:val="00F51E86"/>
    <w:rsid w:val="00F53928"/>
    <w:rsid w:val="00F54115"/>
    <w:rsid w:val="00F5698C"/>
    <w:rsid w:val="00F600E7"/>
    <w:rsid w:val="00F6220B"/>
    <w:rsid w:val="00F635F7"/>
    <w:rsid w:val="00F64039"/>
    <w:rsid w:val="00F64A8F"/>
    <w:rsid w:val="00F66C21"/>
    <w:rsid w:val="00F66D26"/>
    <w:rsid w:val="00F66D76"/>
    <w:rsid w:val="00F67A02"/>
    <w:rsid w:val="00F70C71"/>
    <w:rsid w:val="00F7159E"/>
    <w:rsid w:val="00F729B9"/>
    <w:rsid w:val="00F851D6"/>
    <w:rsid w:val="00F86DB6"/>
    <w:rsid w:val="00F878DC"/>
    <w:rsid w:val="00F96AFA"/>
    <w:rsid w:val="00FA068E"/>
    <w:rsid w:val="00FB001D"/>
    <w:rsid w:val="00FB2913"/>
    <w:rsid w:val="00FB2D3F"/>
    <w:rsid w:val="00FB79CF"/>
    <w:rsid w:val="00FC364C"/>
    <w:rsid w:val="00FD7C8E"/>
    <w:rsid w:val="00FE0AA3"/>
    <w:rsid w:val="00FE3A5E"/>
    <w:rsid w:val="00FE470A"/>
    <w:rsid w:val="00FE4E88"/>
    <w:rsid w:val="00FE7209"/>
    <w:rsid w:val="00FE7948"/>
    <w:rsid w:val="00FF3491"/>
    <w:rsid w:val="00FF5A3C"/>
    <w:rsid w:val="00FF5C7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6E5EEA"/>
  <w15:docId w15:val="{9A3DB900-28B6-4AD8-B1A1-36C750D71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56BEA"/>
    <w:pPr>
      <w:overflowPunct w:val="0"/>
      <w:autoSpaceDE w:val="0"/>
      <w:autoSpaceDN w:val="0"/>
      <w:adjustRightInd w:val="0"/>
      <w:textAlignment w:val="baseline"/>
    </w:pPr>
  </w:style>
  <w:style w:type="paragraph" w:styleId="1">
    <w:name w:val="heading 1"/>
    <w:basedOn w:val="a"/>
    <w:next w:val="a"/>
    <w:link w:val="10"/>
    <w:uiPriority w:val="9"/>
    <w:qFormat/>
    <w:rsid w:val="00D979C5"/>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qFormat/>
    <w:rsid w:val="00CD5C83"/>
    <w:pPr>
      <w:spacing w:before="100" w:after="100"/>
      <w:outlineLvl w:val="1"/>
    </w:pPr>
    <w:rPr>
      <w:b/>
      <w:sz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Строгий1"/>
    <w:rsid w:val="00CD5C83"/>
    <w:rPr>
      <w:b/>
    </w:rPr>
  </w:style>
  <w:style w:type="character" w:customStyle="1" w:styleId="12">
    <w:name w:val="Выделение1"/>
    <w:rsid w:val="00CD5C83"/>
    <w:rPr>
      <w:i/>
    </w:rPr>
  </w:style>
  <w:style w:type="character" w:customStyle="1" w:styleId="13">
    <w:name w:val="Гиперссылка1"/>
    <w:rsid w:val="00CD5C83"/>
    <w:rPr>
      <w:color w:val="0000FF"/>
      <w:u w:val="single"/>
    </w:rPr>
  </w:style>
  <w:style w:type="character" w:customStyle="1" w:styleId="20pt4">
    <w:name w:val="Основной текст + Курсив2.Интервал 0 pt4"/>
    <w:basedOn w:val="a0"/>
    <w:uiPriority w:val="99"/>
    <w:rsid w:val="00CD5C83"/>
    <w:rPr>
      <w:rFonts w:ascii="Microsoft Sans Serif" w:hAnsi="Microsoft Sans Serif"/>
      <w:i/>
      <w:spacing w:val="10"/>
      <w:sz w:val="16"/>
    </w:rPr>
  </w:style>
  <w:style w:type="character" w:customStyle="1" w:styleId="14">
    <w:name w:val="С1"/>
    <w:rsid w:val="00CD5C83"/>
    <w:rPr>
      <w:b/>
    </w:rPr>
  </w:style>
  <w:style w:type="character" w:customStyle="1" w:styleId="4">
    <w:name w:val="Основной текст + Курсив4"/>
    <w:basedOn w:val="a0"/>
    <w:uiPriority w:val="99"/>
    <w:rsid w:val="00CD5C83"/>
    <w:rPr>
      <w:rFonts w:ascii="Century Gothic" w:hAnsi="Century Gothic"/>
      <w:i/>
      <w:spacing w:val="-10"/>
      <w:sz w:val="17"/>
    </w:rPr>
  </w:style>
  <w:style w:type="character" w:customStyle="1" w:styleId="135pt25">
    <w:name w:val="Основной текст + 13.5 pt25"/>
    <w:basedOn w:val="a0"/>
    <w:uiPriority w:val="99"/>
    <w:rsid w:val="00CD5C83"/>
    <w:rPr>
      <w:rFonts w:ascii="Lucida Sans Unicode" w:hAnsi="Lucida Sans Unicode"/>
      <w:spacing w:val="0"/>
      <w:sz w:val="27"/>
    </w:rPr>
  </w:style>
  <w:style w:type="character" w:customStyle="1" w:styleId="50pt11">
    <w:name w:val="Основной текст + Курсив5.Интервал 0 pt11"/>
    <w:basedOn w:val="a0"/>
    <w:uiPriority w:val="99"/>
    <w:rsid w:val="00CD5C83"/>
    <w:rPr>
      <w:rFonts w:ascii="Microsoft Sans Serif" w:hAnsi="Microsoft Sans Serif"/>
      <w:i/>
      <w:spacing w:val="10"/>
      <w:sz w:val="16"/>
    </w:rPr>
  </w:style>
  <w:style w:type="character" w:customStyle="1" w:styleId="830pt10">
    <w:name w:val="Основной текст (8) + Не курсив3.Интервал 0 pt10"/>
    <w:basedOn w:val="a0"/>
    <w:uiPriority w:val="99"/>
    <w:rsid w:val="00CD5C83"/>
    <w:rPr>
      <w:i/>
      <w:spacing w:val="0"/>
      <w:sz w:val="16"/>
    </w:rPr>
  </w:style>
  <w:style w:type="character" w:customStyle="1" w:styleId="40pt9">
    <w:name w:val="Основной текст + Курсив4.Интервал 0 pt9"/>
    <w:basedOn w:val="a0"/>
    <w:uiPriority w:val="99"/>
    <w:rsid w:val="00CD5C83"/>
    <w:rPr>
      <w:rFonts w:ascii="Microsoft Sans Serif" w:hAnsi="Microsoft Sans Serif"/>
      <w:i/>
      <w:spacing w:val="10"/>
      <w:sz w:val="16"/>
    </w:rPr>
  </w:style>
  <w:style w:type="paragraph" w:customStyle="1" w:styleId="a3">
    <w:name w:val="п"/>
    <w:rsid w:val="00CD5C83"/>
    <w:pPr>
      <w:overflowPunct w:val="0"/>
      <w:autoSpaceDE w:val="0"/>
      <w:autoSpaceDN w:val="0"/>
      <w:adjustRightInd w:val="0"/>
      <w:textAlignment w:val="baseline"/>
    </w:pPr>
    <w:rPr>
      <w:i/>
      <w:spacing w:val="-1"/>
      <w:kern w:val="65535"/>
      <w:position w:val="-1"/>
      <w:sz w:val="65535"/>
    </w:rPr>
  </w:style>
  <w:style w:type="paragraph" w:customStyle="1" w:styleId="Blockquote">
    <w:name w:val="Blockquote"/>
    <w:basedOn w:val="a"/>
    <w:rsid w:val="00CD5C83"/>
    <w:pPr>
      <w:spacing w:before="100" w:after="100"/>
      <w:ind w:left="360" w:right="360"/>
    </w:pPr>
    <w:rPr>
      <w:sz w:val="24"/>
    </w:rPr>
  </w:style>
  <w:style w:type="paragraph" w:customStyle="1" w:styleId="Iauiue">
    <w:name w:val="Iau?iue"/>
    <w:rsid w:val="00CD5C83"/>
    <w:pPr>
      <w:widowControl w:val="0"/>
      <w:overflowPunct w:val="0"/>
      <w:autoSpaceDE w:val="0"/>
      <w:autoSpaceDN w:val="0"/>
      <w:adjustRightInd w:val="0"/>
      <w:textAlignment w:val="baseline"/>
    </w:pPr>
  </w:style>
  <w:style w:type="paragraph" w:customStyle="1" w:styleId="H1">
    <w:name w:val="H1"/>
    <w:basedOn w:val="a"/>
    <w:next w:val="a"/>
    <w:rsid w:val="00CD5C83"/>
    <w:pPr>
      <w:keepNext/>
      <w:spacing w:before="100" w:after="100"/>
    </w:pPr>
    <w:rPr>
      <w:b/>
      <w:kern w:val="36"/>
      <w:sz w:val="48"/>
    </w:rPr>
  </w:style>
  <w:style w:type="paragraph" w:customStyle="1" w:styleId="a4">
    <w:name w:val="О"/>
    <w:rsid w:val="00CD5C83"/>
    <w:pPr>
      <w:overflowPunct w:val="0"/>
      <w:autoSpaceDE w:val="0"/>
      <w:autoSpaceDN w:val="0"/>
      <w:adjustRightInd w:val="0"/>
      <w:spacing w:before="100" w:after="100"/>
      <w:textAlignment w:val="baseline"/>
    </w:pPr>
    <w:rPr>
      <w:sz w:val="24"/>
    </w:rPr>
  </w:style>
  <w:style w:type="paragraph" w:styleId="a5">
    <w:name w:val="Body Text"/>
    <w:basedOn w:val="a"/>
    <w:link w:val="a6"/>
    <w:semiHidden/>
    <w:rsid w:val="00CD5C83"/>
    <w:pPr>
      <w:widowControl w:val="0"/>
      <w:jc w:val="both"/>
    </w:pPr>
    <w:rPr>
      <w:lang w:val="en-US"/>
    </w:rPr>
  </w:style>
  <w:style w:type="paragraph" w:customStyle="1" w:styleId="DefinitionList">
    <w:name w:val="Definition List"/>
    <w:basedOn w:val="a"/>
    <w:next w:val="a"/>
    <w:rsid w:val="00CD5C83"/>
    <w:pPr>
      <w:ind w:left="360"/>
    </w:pPr>
    <w:rPr>
      <w:sz w:val="24"/>
    </w:rPr>
  </w:style>
  <w:style w:type="paragraph" w:customStyle="1" w:styleId="H3">
    <w:name w:val="H3"/>
    <w:basedOn w:val="a"/>
    <w:next w:val="a"/>
    <w:rsid w:val="00CD5C83"/>
    <w:pPr>
      <w:keepNext/>
      <w:spacing w:before="100" w:after="100"/>
    </w:pPr>
    <w:rPr>
      <w:b/>
      <w:sz w:val="28"/>
    </w:rPr>
  </w:style>
  <w:style w:type="paragraph" w:customStyle="1" w:styleId="a7">
    <w:name w:val="Подпись к картинке"/>
    <w:basedOn w:val="a"/>
    <w:link w:val="a8"/>
    <w:rsid w:val="00CD5C83"/>
    <w:pPr>
      <w:shd w:val="clear" w:color="auto" w:fill="FFFFFF"/>
      <w:spacing w:line="240" w:lineRule="atLeast"/>
      <w:ind w:hanging="820"/>
    </w:pPr>
    <w:rPr>
      <w:rFonts w:ascii="Arial" w:hAnsi="Arial"/>
      <w:b/>
      <w:noProof/>
      <w:sz w:val="13"/>
    </w:rPr>
  </w:style>
  <w:style w:type="paragraph" w:customStyle="1" w:styleId="H4">
    <w:name w:val="H4"/>
    <w:basedOn w:val="a"/>
    <w:next w:val="a"/>
    <w:rsid w:val="00CD5C83"/>
    <w:pPr>
      <w:keepNext/>
      <w:spacing w:before="100" w:after="100"/>
    </w:pPr>
    <w:rPr>
      <w:b/>
      <w:sz w:val="24"/>
    </w:rPr>
  </w:style>
  <w:style w:type="paragraph" w:styleId="a9">
    <w:name w:val="Plain Text"/>
    <w:basedOn w:val="a"/>
    <w:rsid w:val="00CD5C83"/>
    <w:pPr>
      <w:widowControl w:val="0"/>
    </w:pPr>
    <w:rPr>
      <w:rFonts w:ascii="Courier New" w:hAnsi="Courier New"/>
    </w:rPr>
  </w:style>
  <w:style w:type="paragraph" w:customStyle="1" w:styleId="Address">
    <w:name w:val="Address"/>
    <w:basedOn w:val="a"/>
    <w:next w:val="a"/>
    <w:rsid w:val="00CD5C83"/>
    <w:rPr>
      <w:i/>
      <w:sz w:val="24"/>
    </w:rPr>
  </w:style>
  <w:style w:type="paragraph" w:customStyle="1" w:styleId="25">
    <w:name w:val="Основной текст25"/>
    <w:basedOn w:val="a"/>
    <w:rsid w:val="00CD5C83"/>
    <w:pPr>
      <w:shd w:val="clear" w:color="auto" w:fill="FFFFFF"/>
      <w:spacing w:after="1020" w:line="233" w:lineRule="exact"/>
    </w:pPr>
    <w:rPr>
      <w:rFonts w:ascii="Arial Unicode MS" w:eastAsia="Arial Unicode MS"/>
      <w:sz w:val="25"/>
    </w:rPr>
  </w:style>
  <w:style w:type="paragraph" w:customStyle="1" w:styleId="9">
    <w:name w:val="Основной текст (9)"/>
    <w:basedOn w:val="a"/>
    <w:uiPriority w:val="99"/>
    <w:rsid w:val="00CD5C83"/>
    <w:pPr>
      <w:shd w:val="clear" w:color="auto" w:fill="FFFFFF"/>
      <w:spacing w:line="173" w:lineRule="exact"/>
      <w:ind w:hanging="200"/>
      <w:jc w:val="right"/>
    </w:pPr>
    <w:rPr>
      <w:i/>
      <w:noProof/>
      <w:sz w:val="13"/>
    </w:rPr>
  </w:style>
  <w:style w:type="paragraph" w:customStyle="1" w:styleId="81">
    <w:name w:val="Основной текст (8)1"/>
    <w:basedOn w:val="a"/>
    <w:uiPriority w:val="99"/>
    <w:rsid w:val="00CD5C83"/>
    <w:pPr>
      <w:shd w:val="clear" w:color="auto" w:fill="FFFFFF"/>
      <w:spacing w:before="60" w:line="293" w:lineRule="exact"/>
      <w:jc w:val="both"/>
    </w:pPr>
    <w:rPr>
      <w:rFonts w:ascii="Arial Narrow" w:hAnsi="Arial Narrow"/>
      <w:i/>
      <w:noProof/>
      <w:spacing w:val="-10"/>
      <w:sz w:val="28"/>
    </w:rPr>
  </w:style>
  <w:style w:type="paragraph" w:customStyle="1" w:styleId="vR">
    <w:name w:val="Основной текстvцЌ[RХ"/>
    <w:basedOn w:val="a"/>
    <w:uiPriority w:val="99"/>
    <w:rsid w:val="00977D3E"/>
    <w:pPr>
      <w:widowControl w:val="0"/>
      <w:overflowPunct/>
      <w:jc w:val="both"/>
      <w:textAlignment w:val="auto"/>
    </w:pPr>
    <w:rPr>
      <w:rFonts w:eastAsiaTheme="minorHAnsi"/>
      <w:lang w:val="en-US" w:eastAsia="en-US"/>
    </w:rPr>
  </w:style>
  <w:style w:type="paragraph" w:customStyle="1" w:styleId="15">
    <w:name w:val="Обычный (веб)1"/>
    <w:basedOn w:val="a"/>
    <w:rsid w:val="00202AB0"/>
    <w:pPr>
      <w:spacing w:before="100" w:after="100"/>
    </w:pPr>
    <w:rPr>
      <w:sz w:val="24"/>
    </w:rPr>
  </w:style>
  <w:style w:type="paragraph" w:customStyle="1" w:styleId="110">
    <w:name w:val="Основной текст (11)"/>
    <w:basedOn w:val="a"/>
    <w:rsid w:val="00AB5B6C"/>
    <w:pPr>
      <w:shd w:val="clear" w:color="auto" w:fill="FFFFFF"/>
      <w:spacing w:line="240" w:lineRule="atLeast"/>
    </w:pPr>
    <w:rPr>
      <w:rFonts w:ascii="Arial" w:hAnsi="Arial"/>
      <w:sz w:val="36"/>
    </w:rPr>
  </w:style>
  <w:style w:type="character" w:customStyle="1" w:styleId="a8">
    <w:name w:val="Подпись к картинке_"/>
    <w:basedOn w:val="a0"/>
    <w:link w:val="a7"/>
    <w:rsid w:val="00AB5B6C"/>
    <w:rPr>
      <w:rFonts w:ascii="Arial" w:hAnsi="Arial"/>
      <w:b/>
      <w:noProof/>
      <w:sz w:val="13"/>
      <w:shd w:val="clear" w:color="auto" w:fill="FFFFFF"/>
    </w:rPr>
  </w:style>
  <w:style w:type="character" w:customStyle="1" w:styleId="aa">
    <w:name w:val="Основной текст_"/>
    <w:link w:val="20"/>
    <w:rsid w:val="00AB5B6C"/>
    <w:rPr>
      <w:rFonts w:ascii="Lucida Sans Unicode" w:hAnsi="Lucida Sans Unicode"/>
      <w:spacing w:val="-10"/>
      <w:sz w:val="25"/>
    </w:rPr>
  </w:style>
  <w:style w:type="paragraph" w:customStyle="1" w:styleId="8">
    <w:name w:val="Основной текст8"/>
    <w:basedOn w:val="a"/>
    <w:rsid w:val="00C70383"/>
    <w:pPr>
      <w:shd w:val="clear" w:color="auto" w:fill="FFFFFF"/>
      <w:spacing w:after="480" w:line="240" w:lineRule="atLeast"/>
      <w:ind w:hanging="460"/>
    </w:pPr>
    <w:rPr>
      <w:rFonts w:ascii="Arial" w:hAnsi="Arial"/>
      <w:sz w:val="26"/>
    </w:rPr>
  </w:style>
  <w:style w:type="paragraph" w:styleId="ab">
    <w:name w:val="Balloon Text"/>
    <w:basedOn w:val="a"/>
    <w:link w:val="ac"/>
    <w:uiPriority w:val="99"/>
    <w:semiHidden/>
    <w:unhideWhenUsed/>
    <w:rsid w:val="00F11369"/>
    <w:rPr>
      <w:rFonts w:ascii="Tahoma" w:hAnsi="Tahoma" w:cs="Tahoma"/>
      <w:sz w:val="16"/>
      <w:szCs w:val="16"/>
    </w:rPr>
  </w:style>
  <w:style w:type="character" w:customStyle="1" w:styleId="ac">
    <w:name w:val="Текст выноски Знак"/>
    <w:basedOn w:val="a0"/>
    <w:link w:val="ab"/>
    <w:uiPriority w:val="99"/>
    <w:semiHidden/>
    <w:rsid w:val="00F11369"/>
    <w:rPr>
      <w:rFonts w:ascii="Tahoma" w:hAnsi="Tahoma" w:cs="Tahoma"/>
      <w:sz w:val="16"/>
      <w:szCs w:val="16"/>
    </w:rPr>
  </w:style>
  <w:style w:type="character" w:styleId="ad">
    <w:name w:val="Hyperlink"/>
    <w:basedOn w:val="a0"/>
    <w:uiPriority w:val="99"/>
    <w:unhideWhenUsed/>
    <w:rsid w:val="007A4BE6"/>
    <w:rPr>
      <w:color w:val="0000FF"/>
      <w:u w:val="single"/>
    </w:rPr>
  </w:style>
  <w:style w:type="paragraph" w:styleId="ae">
    <w:name w:val="Normal (Web)"/>
    <w:basedOn w:val="a"/>
    <w:uiPriority w:val="99"/>
    <w:unhideWhenUsed/>
    <w:rsid w:val="007A4BE6"/>
    <w:pPr>
      <w:overflowPunct/>
      <w:autoSpaceDE/>
      <w:autoSpaceDN/>
      <w:adjustRightInd/>
      <w:spacing w:before="100" w:beforeAutospacing="1" w:after="100" w:afterAutospacing="1"/>
      <w:textAlignment w:val="auto"/>
    </w:pPr>
    <w:rPr>
      <w:sz w:val="24"/>
      <w:szCs w:val="24"/>
    </w:rPr>
  </w:style>
  <w:style w:type="paragraph" w:customStyle="1" w:styleId="p1">
    <w:name w:val="p1"/>
    <w:basedOn w:val="a"/>
    <w:rsid w:val="007A4BE6"/>
    <w:pPr>
      <w:overflowPunct/>
      <w:autoSpaceDE/>
      <w:autoSpaceDN/>
      <w:adjustRightInd/>
      <w:spacing w:before="100" w:beforeAutospacing="1" w:after="100" w:afterAutospacing="1"/>
      <w:textAlignment w:val="auto"/>
    </w:pPr>
    <w:rPr>
      <w:sz w:val="24"/>
      <w:szCs w:val="24"/>
    </w:rPr>
  </w:style>
  <w:style w:type="character" w:customStyle="1" w:styleId="ucoz-forum-post">
    <w:name w:val="ucoz-forum-post"/>
    <w:basedOn w:val="a0"/>
    <w:rsid w:val="00CB594C"/>
  </w:style>
  <w:style w:type="paragraph" w:customStyle="1" w:styleId="a00">
    <w:name w:val="a0"/>
    <w:basedOn w:val="a"/>
    <w:rsid w:val="000226B5"/>
    <w:pPr>
      <w:overflowPunct/>
      <w:autoSpaceDE/>
      <w:autoSpaceDN/>
      <w:adjustRightInd/>
      <w:spacing w:after="75"/>
      <w:textAlignment w:val="auto"/>
    </w:pPr>
    <w:rPr>
      <w:sz w:val="24"/>
      <w:szCs w:val="24"/>
    </w:rPr>
  </w:style>
  <w:style w:type="paragraph" w:customStyle="1" w:styleId="20">
    <w:name w:val="Основной текст2"/>
    <w:basedOn w:val="a"/>
    <w:link w:val="aa"/>
    <w:rsid w:val="000226B5"/>
    <w:pPr>
      <w:shd w:val="clear" w:color="auto" w:fill="FFFFFF"/>
      <w:overflowPunct/>
      <w:autoSpaceDE/>
      <w:autoSpaceDN/>
      <w:adjustRightInd/>
      <w:spacing w:after="120" w:line="0" w:lineRule="atLeast"/>
      <w:ind w:hanging="400"/>
      <w:jc w:val="center"/>
      <w:textAlignment w:val="auto"/>
    </w:pPr>
    <w:rPr>
      <w:rFonts w:ascii="Lucida Sans Unicode" w:hAnsi="Lucida Sans Unicode"/>
      <w:spacing w:val="-10"/>
      <w:sz w:val="25"/>
    </w:rPr>
  </w:style>
  <w:style w:type="character" w:customStyle="1" w:styleId="21">
    <w:name w:val="Основной текст (2)_"/>
    <w:basedOn w:val="a0"/>
    <w:link w:val="22"/>
    <w:rsid w:val="000226B5"/>
    <w:rPr>
      <w:shd w:val="clear" w:color="auto" w:fill="FFFFFF"/>
    </w:rPr>
  </w:style>
  <w:style w:type="paragraph" w:customStyle="1" w:styleId="22">
    <w:name w:val="Основной текст (2)"/>
    <w:basedOn w:val="a"/>
    <w:link w:val="21"/>
    <w:rsid w:val="000226B5"/>
    <w:pPr>
      <w:shd w:val="clear" w:color="auto" w:fill="FFFFFF"/>
      <w:overflowPunct/>
      <w:autoSpaceDE/>
      <w:autoSpaceDN/>
      <w:adjustRightInd/>
      <w:spacing w:line="238" w:lineRule="exact"/>
      <w:ind w:hanging="500"/>
      <w:jc w:val="right"/>
      <w:textAlignment w:val="auto"/>
    </w:pPr>
  </w:style>
  <w:style w:type="paragraph" w:customStyle="1" w:styleId="rtejustify">
    <w:name w:val="rtejustify"/>
    <w:basedOn w:val="a"/>
    <w:rsid w:val="00E933EE"/>
    <w:pPr>
      <w:overflowPunct/>
      <w:autoSpaceDE/>
      <w:autoSpaceDN/>
      <w:adjustRightInd/>
      <w:spacing w:before="100" w:beforeAutospacing="1" w:after="100" w:afterAutospacing="1"/>
      <w:textAlignment w:val="auto"/>
    </w:pPr>
    <w:rPr>
      <w:sz w:val="24"/>
      <w:szCs w:val="24"/>
    </w:rPr>
  </w:style>
  <w:style w:type="character" w:customStyle="1" w:styleId="LucidaSansUnicode8pt0pt">
    <w:name w:val="Основной текст + Lucida Sans Unicode;8 pt;Полужирный;Интервал 0 pt"/>
    <w:basedOn w:val="aa"/>
    <w:rsid w:val="00961206"/>
    <w:rPr>
      <w:rFonts w:ascii="Lucida Sans Unicode" w:eastAsia="Lucida Sans Unicode" w:hAnsi="Lucida Sans Unicode" w:cs="Lucida Sans Unicode"/>
      <w:b/>
      <w:bCs/>
      <w:i w:val="0"/>
      <w:iCs w:val="0"/>
      <w:smallCaps w:val="0"/>
      <w:strike w:val="0"/>
      <w:spacing w:val="-10"/>
      <w:sz w:val="16"/>
      <w:szCs w:val="16"/>
      <w:shd w:val="clear" w:color="auto" w:fill="FFFFFF"/>
    </w:rPr>
  </w:style>
  <w:style w:type="paragraph" w:customStyle="1" w:styleId="100">
    <w:name w:val="10"/>
    <w:basedOn w:val="a"/>
    <w:rsid w:val="00C44E2D"/>
    <w:pPr>
      <w:overflowPunct/>
      <w:autoSpaceDE/>
      <w:autoSpaceDN/>
      <w:adjustRightInd/>
      <w:spacing w:before="100" w:beforeAutospacing="1" w:after="100" w:afterAutospacing="1"/>
      <w:textAlignment w:val="auto"/>
    </w:pPr>
    <w:rPr>
      <w:sz w:val="24"/>
      <w:szCs w:val="24"/>
    </w:rPr>
  </w:style>
  <w:style w:type="paragraph" w:customStyle="1" w:styleId="16">
    <w:name w:val="Основной текст1"/>
    <w:basedOn w:val="a"/>
    <w:rsid w:val="00056D37"/>
    <w:pPr>
      <w:shd w:val="clear" w:color="auto" w:fill="FFFFFF"/>
      <w:overflowPunct/>
      <w:autoSpaceDE/>
      <w:autoSpaceDN/>
      <w:adjustRightInd/>
      <w:spacing w:before="120" w:line="0" w:lineRule="atLeast"/>
      <w:ind w:hanging="680"/>
      <w:jc w:val="center"/>
      <w:textAlignment w:val="auto"/>
    </w:pPr>
    <w:rPr>
      <w:color w:val="000000"/>
      <w:sz w:val="23"/>
      <w:szCs w:val="23"/>
    </w:rPr>
  </w:style>
  <w:style w:type="character" w:styleId="af">
    <w:name w:val="Emphasis"/>
    <w:basedOn w:val="a0"/>
    <w:uiPriority w:val="20"/>
    <w:qFormat/>
    <w:rsid w:val="00FB2913"/>
    <w:rPr>
      <w:i/>
      <w:iCs/>
    </w:rPr>
  </w:style>
  <w:style w:type="character" w:styleId="af0">
    <w:name w:val="Strong"/>
    <w:basedOn w:val="a0"/>
    <w:uiPriority w:val="22"/>
    <w:qFormat/>
    <w:rsid w:val="000616D6"/>
    <w:rPr>
      <w:b/>
      <w:bCs/>
    </w:rPr>
  </w:style>
  <w:style w:type="character" w:customStyle="1" w:styleId="40">
    <w:name w:val="Основной текст (4)_"/>
    <w:basedOn w:val="a0"/>
    <w:link w:val="41"/>
    <w:locked/>
    <w:rsid w:val="00776E39"/>
    <w:rPr>
      <w:sz w:val="18"/>
      <w:szCs w:val="18"/>
      <w:shd w:val="clear" w:color="auto" w:fill="FFFFFF"/>
    </w:rPr>
  </w:style>
  <w:style w:type="paragraph" w:customStyle="1" w:styleId="41">
    <w:name w:val="Основной текст (4)"/>
    <w:basedOn w:val="a"/>
    <w:link w:val="40"/>
    <w:rsid w:val="00776E39"/>
    <w:pPr>
      <w:shd w:val="clear" w:color="auto" w:fill="FFFFFF"/>
      <w:overflowPunct/>
      <w:autoSpaceDE/>
      <w:autoSpaceDN/>
      <w:adjustRightInd/>
      <w:spacing w:line="240" w:lineRule="atLeast"/>
      <w:ind w:hanging="280"/>
      <w:textAlignment w:val="auto"/>
    </w:pPr>
    <w:rPr>
      <w:sz w:val="18"/>
      <w:szCs w:val="18"/>
    </w:rPr>
  </w:style>
  <w:style w:type="character" w:customStyle="1" w:styleId="3">
    <w:name w:val="Основной текст (3)_"/>
    <w:basedOn w:val="a0"/>
    <w:link w:val="30"/>
    <w:rsid w:val="00244A34"/>
    <w:rPr>
      <w:sz w:val="17"/>
      <w:szCs w:val="17"/>
      <w:shd w:val="clear" w:color="auto" w:fill="FFFFFF"/>
    </w:rPr>
  </w:style>
  <w:style w:type="paragraph" w:customStyle="1" w:styleId="30">
    <w:name w:val="Основной текст (3)"/>
    <w:basedOn w:val="a"/>
    <w:link w:val="3"/>
    <w:uiPriority w:val="99"/>
    <w:rsid w:val="00244A34"/>
    <w:pPr>
      <w:shd w:val="clear" w:color="auto" w:fill="FFFFFF"/>
      <w:overflowPunct/>
      <w:autoSpaceDE/>
      <w:autoSpaceDN/>
      <w:adjustRightInd/>
      <w:spacing w:line="190" w:lineRule="exact"/>
      <w:jc w:val="center"/>
      <w:textAlignment w:val="auto"/>
    </w:pPr>
    <w:rPr>
      <w:sz w:val="17"/>
      <w:szCs w:val="17"/>
    </w:rPr>
  </w:style>
  <w:style w:type="character" w:customStyle="1" w:styleId="6">
    <w:name w:val="Основной текст (6)_"/>
    <w:basedOn w:val="a0"/>
    <w:link w:val="60"/>
    <w:rsid w:val="00D00DBC"/>
    <w:rPr>
      <w:sz w:val="16"/>
      <w:szCs w:val="16"/>
      <w:shd w:val="clear" w:color="auto" w:fill="FFFFFF"/>
    </w:rPr>
  </w:style>
  <w:style w:type="paragraph" w:customStyle="1" w:styleId="60">
    <w:name w:val="Основной текст (6)"/>
    <w:basedOn w:val="a"/>
    <w:link w:val="6"/>
    <w:rsid w:val="00D00DBC"/>
    <w:pPr>
      <w:shd w:val="clear" w:color="auto" w:fill="FFFFFF"/>
      <w:overflowPunct/>
      <w:autoSpaceDE/>
      <w:autoSpaceDN/>
      <w:adjustRightInd/>
      <w:spacing w:line="182" w:lineRule="exact"/>
      <w:jc w:val="both"/>
      <w:textAlignment w:val="auto"/>
    </w:pPr>
    <w:rPr>
      <w:sz w:val="16"/>
      <w:szCs w:val="16"/>
    </w:rPr>
  </w:style>
  <w:style w:type="character" w:customStyle="1" w:styleId="highlight">
    <w:name w:val="highlight"/>
    <w:basedOn w:val="a0"/>
    <w:rsid w:val="00AE0767"/>
  </w:style>
  <w:style w:type="paragraph" w:customStyle="1" w:styleId="krstr">
    <w:name w:val="kr_str"/>
    <w:basedOn w:val="a"/>
    <w:rsid w:val="00676189"/>
    <w:pPr>
      <w:overflowPunct/>
      <w:autoSpaceDE/>
      <w:autoSpaceDN/>
      <w:adjustRightInd/>
      <w:spacing w:before="100" w:beforeAutospacing="1" w:after="100" w:afterAutospacing="1"/>
      <w:textAlignment w:val="auto"/>
    </w:pPr>
    <w:rPr>
      <w:sz w:val="24"/>
      <w:szCs w:val="24"/>
    </w:rPr>
  </w:style>
  <w:style w:type="paragraph" w:customStyle="1" w:styleId="31">
    <w:name w:val="Основной текст3"/>
    <w:basedOn w:val="a"/>
    <w:rsid w:val="00676189"/>
    <w:pPr>
      <w:shd w:val="clear" w:color="auto" w:fill="FFFFFF"/>
      <w:overflowPunct/>
      <w:autoSpaceDE/>
      <w:autoSpaceDN/>
      <w:adjustRightInd/>
      <w:spacing w:line="221" w:lineRule="exact"/>
      <w:ind w:hanging="220"/>
      <w:jc w:val="both"/>
      <w:textAlignment w:val="auto"/>
    </w:pPr>
    <w:rPr>
      <w:rFonts w:ascii="Arial Narrow" w:eastAsia="Arial Narrow" w:hAnsi="Arial Narrow" w:cs="Arial Narrow"/>
      <w:color w:val="000000"/>
      <w:sz w:val="18"/>
      <w:szCs w:val="18"/>
    </w:rPr>
  </w:style>
  <w:style w:type="character" w:customStyle="1" w:styleId="af1">
    <w:name w:val="Основной текст + Полужирный"/>
    <w:aliases w:val="Интервал 0 pt9"/>
    <w:basedOn w:val="a0"/>
    <w:uiPriority w:val="99"/>
    <w:rsid w:val="00D97AF2"/>
    <w:rPr>
      <w:rFonts w:ascii="Arial Narrow" w:hAnsi="Arial Narrow" w:cs="Arial Narrow"/>
      <w:b/>
      <w:bCs/>
      <w:sz w:val="18"/>
      <w:szCs w:val="18"/>
      <w:shd w:val="clear" w:color="auto" w:fill="FFFFFF"/>
    </w:rPr>
  </w:style>
  <w:style w:type="character" w:customStyle="1" w:styleId="af2">
    <w:name w:val="Основной текст + Курсив"/>
    <w:aliases w:val="Интервал 0 pt59"/>
    <w:basedOn w:val="aa"/>
    <w:uiPriority w:val="99"/>
    <w:rsid w:val="00D9522F"/>
    <w:rPr>
      <w:rFonts w:ascii="Times New Roman" w:eastAsia="Times New Roman" w:hAnsi="Times New Roman" w:cs="Times New Roman"/>
      <w:b w:val="0"/>
      <w:bCs w:val="0"/>
      <w:i/>
      <w:iCs/>
      <w:smallCaps w:val="0"/>
      <w:strike w:val="0"/>
      <w:spacing w:val="0"/>
      <w:sz w:val="23"/>
      <w:szCs w:val="23"/>
      <w:shd w:val="clear" w:color="auto" w:fill="FFFFFF"/>
    </w:rPr>
  </w:style>
  <w:style w:type="character" w:customStyle="1" w:styleId="10pt">
    <w:name w:val="Основной текст + 10 pt;Полужирный"/>
    <w:basedOn w:val="aa"/>
    <w:rsid w:val="00D9522F"/>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42">
    <w:name w:val="Основной текст4"/>
    <w:basedOn w:val="aa"/>
    <w:rsid w:val="00D51F81"/>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paragraph" w:customStyle="1" w:styleId="book">
    <w:name w:val="book"/>
    <w:basedOn w:val="a"/>
    <w:rsid w:val="00C02BCF"/>
    <w:pPr>
      <w:overflowPunct/>
      <w:autoSpaceDE/>
      <w:autoSpaceDN/>
      <w:adjustRightInd/>
      <w:spacing w:before="100" w:beforeAutospacing="1" w:after="100" w:afterAutospacing="1"/>
      <w:textAlignment w:val="auto"/>
    </w:pPr>
    <w:rPr>
      <w:sz w:val="24"/>
      <w:szCs w:val="24"/>
    </w:rPr>
  </w:style>
  <w:style w:type="paragraph" w:styleId="af3">
    <w:name w:val="footnote text"/>
    <w:basedOn w:val="a"/>
    <w:link w:val="af4"/>
    <w:uiPriority w:val="99"/>
    <w:unhideWhenUsed/>
    <w:rsid w:val="0004080B"/>
    <w:pPr>
      <w:overflowPunct/>
      <w:autoSpaceDE/>
      <w:autoSpaceDN/>
      <w:adjustRightInd/>
      <w:jc w:val="both"/>
      <w:textAlignment w:val="auto"/>
    </w:pPr>
    <w:rPr>
      <w:rFonts w:asciiTheme="minorHAnsi" w:eastAsiaTheme="minorHAnsi" w:hAnsiTheme="minorHAnsi" w:cstheme="minorBidi"/>
      <w:lang w:eastAsia="en-US"/>
    </w:rPr>
  </w:style>
  <w:style w:type="character" w:customStyle="1" w:styleId="af4">
    <w:name w:val="Текст сноски Знак"/>
    <w:basedOn w:val="a0"/>
    <w:link w:val="af3"/>
    <w:uiPriority w:val="99"/>
    <w:rsid w:val="0004080B"/>
    <w:rPr>
      <w:rFonts w:asciiTheme="minorHAnsi" w:eastAsiaTheme="minorHAnsi" w:hAnsiTheme="minorHAnsi" w:cstheme="minorBidi"/>
      <w:lang w:eastAsia="en-US"/>
    </w:rPr>
  </w:style>
  <w:style w:type="paragraph" w:customStyle="1" w:styleId="160">
    <w:name w:val="Основной текст16"/>
    <w:basedOn w:val="a"/>
    <w:rsid w:val="003C16CD"/>
    <w:pPr>
      <w:shd w:val="clear" w:color="auto" w:fill="FFFFFF"/>
      <w:overflowPunct/>
      <w:autoSpaceDE/>
      <w:autoSpaceDN/>
      <w:adjustRightInd/>
      <w:spacing w:before="2580" w:line="0" w:lineRule="atLeast"/>
      <w:textAlignment w:val="auto"/>
    </w:pPr>
    <w:rPr>
      <w:rFonts w:ascii="Arial Unicode MS" w:eastAsia="Arial Unicode MS" w:hAnsi="Arial Unicode MS" w:cs="Arial Unicode MS"/>
      <w:color w:val="000000"/>
      <w:sz w:val="14"/>
      <w:szCs w:val="14"/>
      <w:lang w:val="ru"/>
    </w:rPr>
  </w:style>
  <w:style w:type="paragraph" w:customStyle="1" w:styleId="article-renderblock">
    <w:name w:val="article-render__block"/>
    <w:basedOn w:val="a"/>
    <w:rsid w:val="007672F7"/>
    <w:pPr>
      <w:overflowPunct/>
      <w:autoSpaceDE/>
      <w:autoSpaceDN/>
      <w:adjustRightInd/>
      <w:spacing w:before="100" w:beforeAutospacing="1" w:after="100" w:afterAutospacing="1"/>
      <w:textAlignment w:val="auto"/>
    </w:pPr>
    <w:rPr>
      <w:sz w:val="24"/>
      <w:szCs w:val="24"/>
    </w:rPr>
  </w:style>
  <w:style w:type="character" w:customStyle="1" w:styleId="af5">
    <w:name w:val="Сноска_"/>
    <w:basedOn w:val="a0"/>
    <w:link w:val="af6"/>
    <w:rsid w:val="009E5D3B"/>
    <w:rPr>
      <w:rFonts w:ascii="Segoe UI" w:eastAsia="Segoe UI" w:hAnsi="Segoe UI" w:cs="Segoe UI"/>
      <w:sz w:val="13"/>
      <w:szCs w:val="13"/>
      <w:shd w:val="clear" w:color="auto" w:fill="FFFFFF"/>
    </w:rPr>
  </w:style>
  <w:style w:type="paragraph" w:customStyle="1" w:styleId="af6">
    <w:name w:val="Сноска"/>
    <w:basedOn w:val="a"/>
    <w:link w:val="af5"/>
    <w:rsid w:val="009E5D3B"/>
    <w:pPr>
      <w:shd w:val="clear" w:color="auto" w:fill="FFFFFF"/>
      <w:overflowPunct/>
      <w:autoSpaceDE/>
      <w:autoSpaceDN/>
      <w:adjustRightInd/>
      <w:spacing w:line="173" w:lineRule="exact"/>
      <w:textAlignment w:val="auto"/>
    </w:pPr>
    <w:rPr>
      <w:rFonts w:ascii="Segoe UI" w:eastAsia="Segoe UI" w:hAnsi="Segoe UI" w:cs="Segoe UI"/>
      <w:sz w:val="13"/>
      <w:szCs w:val="13"/>
    </w:rPr>
  </w:style>
  <w:style w:type="character" w:customStyle="1" w:styleId="af7">
    <w:name w:val="Оглавление_"/>
    <w:basedOn w:val="a0"/>
    <w:link w:val="af8"/>
    <w:rsid w:val="00270464"/>
    <w:rPr>
      <w:rFonts w:ascii="Microsoft Sans Serif" w:eastAsia="Microsoft Sans Serif" w:hAnsi="Microsoft Sans Serif" w:cs="Microsoft Sans Serif"/>
      <w:sz w:val="15"/>
      <w:szCs w:val="15"/>
      <w:shd w:val="clear" w:color="auto" w:fill="FFFFFF"/>
    </w:rPr>
  </w:style>
  <w:style w:type="paragraph" w:customStyle="1" w:styleId="af8">
    <w:name w:val="Оглавление"/>
    <w:basedOn w:val="a"/>
    <w:link w:val="af7"/>
    <w:rsid w:val="00270464"/>
    <w:pPr>
      <w:shd w:val="clear" w:color="auto" w:fill="FFFFFF"/>
      <w:overflowPunct/>
      <w:autoSpaceDE/>
      <w:autoSpaceDN/>
      <w:adjustRightInd/>
      <w:spacing w:line="0" w:lineRule="atLeast"/>
      <w:textAlignment w:val="auto"/>
    </w:pPr>
    <w:rPr>
      <w:rFonts w:ascii="Microsoft Sans Serif" w:eastAsia="Microsoft Sans Serif" w:hAnsi="Microsoft Sans Serif" w:cs="Microsoft Sans Serif"/>
      <w:sz w:val="15"/>
      <w:szCs w:val="15"/>
    </w:rPr>
  </w:style>
  <w:style w:type="character" w:customStyle="1" w:styleId="af9">
    <w:name w:val="Другое_"/>
    <w:basedOn w:val="a0"/>
    <w:link w:val="afa"/>
    <w:rsid w:val="00EF501B"/>
    <w:rPr>
      <w:rFonts w:ascii="Arial" w:eastAsia="Arial" w:hAnsi="Arial" w:cs="Arial"/>
      <w:sz w:val="17"/>
      <w:szCs w:val="17"/>
    </w:rPr>
  </w:style>
  <w:style w:type="paragraph" w:customStyle="1" w:styleId="afa">
    <w:name w:val="Другое"/>
    <w:basedOn w:val="a"/>
    <w:link w:val="af9"/>
    <w:rsid w:val="00EF501B"/>
    <w:pPr>
      <w:widowControl w:val="0"/>
      <w:overflowPunct/>
      <w:autoSpaceDE/>
      <w:autoSpaceDN/>
      <w:adjustRightInd/>
      <w:ind w:firstLine="180"/>
      <w:textAlignment w:val="auto"/>
    </w:pPr>
    <w:rPr>
      <w:rFonts w:ascii="Arial" w:eastAsia="Arial" w:hAnsi="Arial" w:cs="Arial"/>
      <w:sz w:val="17"/>
      <w:szCs w:val="17"/>
    </w:rPr>
  </w:style>
  <w:style w:type="paragraph" w:customStyle="1" w:styleId="17">
    <w:name w:val="Основной текст17"/>
    <w:basedOn w:val="a"/>
    <w:rsid w:val="00CE4C0C"/>
    <w:pPr>
      <w:shd w:val="clear" w:color="auto" w:fill="FFFFFF"/>
      <w:overflowPunct/>
      <w:autoSpaceDE/>
      <w:autoSpaceDN/>
      <w:adjustRightInd/>
      <w:spacing w:before="300" w:line="197" w:lineRule="exact"/>
      <w:ind w:hanging="640"/>
      <w:textAlignment w:val="auto"/>
    </w:pPr>
    <w:rPr>
      <w:rFonts w:ascii="Trebuchet MS" w:eastAsia="Trebuchet MS" w:hAnsi="Trebuchet MS" w:cs="Trebuchet MS"/>
      <w:sz w:val="16"/>
      <w:szCs w:val="16"/>
      <w:lang w:eastAsia="en-US"/>
    </w:rPr>
  </w:style>
  <w:style w:type="character" w:customStyle="1" w:styleId="a6">
    <w:name w:val="Основной текст Знак"/>
    <w:basedOn w:val="a0"/>
    <w:link w:val="a5"/>
    <w:semiHidden/>
    <w:rsid w:val="001627A1"/>
    <w:rPr>
      <w:lang w:val="en-US"/>
    </w:rPr>
  </w:style>
  <w:style w:type="character" w:customStyle="1" w:styleId="10">
    <w:name w:val="Заголовок 1 Знак"/>
    <w:basedOn w:val="a0"/>
    <w:link w:val="1"/>
    <w:uiPriority w:val="9"/>
    <w:rsid w:val="00D979C5"/>
    <w:rPr>
      <w:rFonts w:asciiTheme="majorHAnsi" w:eastAsiaTheme="majorEastAsia" w:hAnsiTheme="majorHAnsi" w:cstheme="majorBidi"/>
      <w:color w:val="365F91" w:themeColor="accent1" w:themeShade="BF"/>
      <w:sz w:val="32"/>
      <w:szCs w:val="32"/>
    </w:rPr>
  </w:style>
  <w:style w:type="paragraph" w:customStyle="1" w:styleId="310">
    <w:name w:val="Основной текст (3)1"/>
    <w:basedOn w:val="a"/>
    <w:rsid w:val="00F54115"/>
    <w:pPr>
      <w:shd w:val="clear" w:color="auto" w:fill="FFFFFF"/>
      <w:overflowPunct/>
      <w:spacing w:line="240" w:lineRule="atLeast"/>
      <w:textAlignment w:val="auto"/>
    </w:pPr>
    <w:rPr>
      <w:rFonts w:ascii="Franklin Gothic Book" w:eastAsia="Franklin Gothic Book" w:hAnsi="Franklin Gothic Book" w:cs="Franklin Gothic Book"/>
      <w:spacing w:val="-10"/>
      <w:sz w:val="38"/>
      <w:szCs w:val="3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istmat.info/node/44814" TargetMode="External"/><Relationship Id="rId21" Type="http://schemas.openxmlformats.org/officeDocument/2006/relationships/hyperlink" Target="http://istmat.info/node/44814" TargetMode="External"/><Relationship Id="rId42" Type="http://schemas.openxmlformats.org/officeDocument/2006/relationships/hyperlink" Target="http://militera.lib.ru/h/barsukov_ez2/03.html" TargetMode="External"/><Relationship Id="rId47" Type="http://schemas.openxmlformats.org/officeDocument/2006/relationships/hyperlink" Target="http://www.airwar.ru/enc/bww1/gothag1.html" TargetMode="External"/><Relationship Id="rId63" Type="http://schemas.openxmlformats.org/officeDocument/2006/relationships/hyperlink" Target="http://istmat.info/node/44814" TargetMode="External"/><Relationship Id="rId68" Type="http://schemas.openxmlformats.org/officeDocument/2006/relationships/hyperlink" Target="http://istmat.info/node/44814" TargetMode="External"/><Relationship Id="rId16" Type="http://schemas.openxmlformats.org/officeDocument/2006/relationships/hyperlink" Target="http://istmat.info/node/44814" TargetMode="External"/><Relationship Id="rId11" Type="http://schemas.openxmlformats.org/officeDocument/2006/relationships/hyperlink" Target="http://istmat.info/node/44814" TargetMode="External"/><Relationship Id="rId32" Type="http://schemas.openxmlformats.org/officeDocument/2006/relationships/hyperlink" Target="http://sergeyhry.narod.ru/txt/sidorov_a_l/econom_rus_ww1_002.htm" TargetMode="External"/><Relationship Id="rId37" Type="http://schemas.openxmlformats.org/officeDocument/2006/relationships/hyperlink" Target="http://www.airwar.ru/enc/fww1/foke1.html" TargetMode="External"/><Relationship Id="rId53" Type="http://schemas.openxmlformats.org/officeDocument/2006/relationships/hyperlink" Target="http://ru.wikipedia.org/wiki/%D0%9F%D0%BE%D0%BB%D0%B8%D0%B2%D0%B0%D0%BD%D0%BE%D0%B2,_%D0%90%D0%BB%D0%B5%D0%BA%D1%81%D0%B5%D0%B9_%D0%90%D0%BD%D0%B4%D1%80%D0%B5%D0%B5%D0%B2%D0%B8%D1%87" TargetMode="External"/><Relationship Id="rId58" Type="http://schemas.openxmlformats.org/officeDocument/2006/relationships/hyperlink" Target="http://sergeyhry.narod.ru/txt/sidorov_a_l/econom_rus_ww1_002.htm" TargetMode="External"/><Relationship Id="rId74" Type="http://schemas.openxmlformats.org/officeDocument/2006/relationships/hyperlink" Target="http://istmat.info/node/44814" TargetMode="External"/><Relationship Id="rId79" Type="http://schemas.openxmlformats.org/officeDocument/2006/relationships/hyperlink" Target="http://economicarggu.ru/2002_5/01.shtml" TargetMode="External"/><Relationship Id="rId5" Type="http://schemas.openxmlformats.org/officeDocument/2006/relationships/hyperlink" Target="https://www.litres.ru/book/a-u-lashkov/vozdushnyy-front-pervoy-mirovoy-borba-za-gospodstvo-v-vozduhe-68485612/chitat-onlayn/?page=2" TargetMode="External"/><Relationship Id="rId61" Type="http://schemas.openxmlformats.org/officeDocument/2006/relationships/hyperlink" Target="http://en.wikipedia.org/wiki/Activated_charcoal" TargetMode="External"/><Relationship Id="rId82" Type="http://schemas.openxmlformats.org/officeDocument/2006/relationships/fontTable" Target="fontTable.xml"/><Relationship Id="rId19" Type="http://schemas.openxmlformats.org/officeDocument/2006/relationships/hyperlink" Target="http://istmat.info/node/44820" TargetMode="External"/><Relationship Id="rId14" Type="http://schemas.openxmlformats.org/officeDocument/2006/relationships/hyperlink" Target="http://istmat.info/node/44814" TargetMode="External"/><Relationship Id="rId22" Type="http://schemas.openxmlformats.org/officeDocument/2006/relationships/hyperlink" Target="http://istmat.info/node/44814" TargetMode="External"/><Relationship Id="rId27" Type="http://schemas.openxmlformats.org/officeDocument/2006/relationships/hyperlink" Target="https://www.litres.ru/book/a-u-lashkov/vozdushnyy-front-pervoy-mirovoy-borba-za-gospodstvo-v-vozduhe-68485612/chitat-onlayn/?page=2" TargetMode="External"/><Relationship Id="rId30" Type="http://schemas.openxmlformats.org/officeDocument/2006/relationships/hyperlink" Target="http://www.kbgrabina.ru/other-guns/246-a-02" TargetMode="External"/><Relationship Id="rId35" Type="http://schemas.openxmlformats.org/officeDocument/2006/relationships/hyperlink" Target="http://www.airwar.ru/enc/fww1/msl.html" TargetMode="External"/><Relationship Id="rId43" Type="http://schemas.openxmlformats.org/officeDocument/2006/relationships/hyperlink" Target="file:///E:\Files%20(D)\old%20D\WORD5\IL\2015\chertoprud_sergei_nauchnotehnicheskaya_razvedka_ot_lenina_do_gorbacheva__33.html" TargetMode="External"/><Relationship Id="rId48" Type="http://schemas.openxmlformats.org/officeDocument/2006/relationships/hyperlink" Target="http://airspot.ru/catalogue/item/short-s-184" TargetMode="External"/><Relationship Id="rId56" Type="http://schemas.openxmlformats.org/officeDocument/2006/relationships/hyperlink" Target="http://www.rulex.ru/01021206.htm" TargetMode="External"/><Relationship Id="rId64" Type="http://schemas.openxmlformats.org/officeDocument/2006/relationships/hyperlink" Target="http://istmat.info/node/44814" TargetMode="External"/><Relationship Id="rId69" Type="http://schemas.openxmlformats.org/officeDocument/2006/relationships/hyperlink" Target="http://istmat.info/node/44817" TargetMode="External"/><Relationship Id="rId77" Type="http://schemas.openxmlformats.org/officeDocument/2006/relationships/hyperlink" Target="http://istmat.info/node/44814" TargetMode="External"/><Relationship Id="rId8" Type="http://schemas.openxmlformats.org/officeDocument/2006/relationships/hyperlink" Target="http://www.airwar.ru/enc/fww1/s16.html" TargetMode="External"/><Relationship Id="rId51" Type="http://schemas.openxmlformats.org/officeDocument/2006/relationships/hyperlink" Target="http://eroplan.boom.ru/shavrov/chr3/IM/IM_1.htm" TargetMode="External"/><Relationship Id="rId72" Type="http://schemas.openxmlformats.org/officeDocument/2006/relationships/hyperlink" Target="http://istmat.info/node/44814" TargetMode="External"/><Relationship Id="rId80" Type="http://schemas.openxmlformats.org/officeDocument/2006/relationships/hyperlink" Target="http://detectivebooks.ru/book/47013018/?page=38" TargetMode="External"/><Relationship Id="rId3" Type="http://schemas.openxmlformats.org/officeDocument/2006/relationships/settings" Target="settings.xml"/><Relationship Id="rId12" Type="http://schemas.openxmlformats.org/officeDocument/2006/relationships/hyperlink" Target="http://istmat.info/node/44814" TargetMode="External"/><Relationship Id="rId17" Type="http://schemas.openxmlformats.org/officeDocument/2006/relationships/hyperlink" Target="http://istmat.info/node/44814" TargetMode="External"/><Relationship Id="rId25" Type="http://schemas.openxmlformats.org/officeDocument/2006/relationships/hyperlink" Target="http://istmat.info/node/44814" TargetMode="External"/><Relationship Id="rId33" Type="http://schemas.openxmlformats.org/officeDocument/2006/relationships/hyperlink" Target="http://www.airwar.ru/history/aces/ace1ww/pilot/frankl.html" TargetMode="External"/><Relationship Id="rId38" Type="http://schemas.openxmlformats.org/officeDocument/2006/relationships/hyperlink" Target="http://economicarggu.ru/2002_5/01.shtml" TargetMode="External"/><Relationship Id="rId46" Type="http://schemas.openxmlformats.org/officeDocument/2006/relationships/hyperlink" Target="http://www.bleskmet.ru/komplektuyushchie-dlya-peril-i-ograzhdeniy-iz-nerzhaveyki-nerzhaveyushchey-stali-v-roznicu-optom-na" TargetMode="External"/><Relationship Id="rId59" Type="http://schemas.openxmlformats.org/officeDocument/2006/relationships/hyperlink" Target="http://sergeyhry.narod.ru/txt/sidorov_a_l/econom_rus_ww1_002.htm" TargetMode="External"/><Relationship Id="rId67" Type="http://schemas.openxmlformats.org/officeDocument/2006/relationships/hyperlink" Target="http://istmat.info/node/44814" TargetMode="External"/><Relationship Id="rId20" Type="http://schemas.openxmlformats.org/officeDocument/2006/relationships/hyperlink" Target="http://istmat.info/node/44814" TargetMode="External"/><Relationship Id="rId41" Type="http://schemas.openxmlformats.org/officeDocument/2006/relationships/hyperlink" Target="http://ru.wikipedia.org/wiki/%D0%A1%D1%83%D1%85%D0%BE%D0%BC%D0%BB%D0%B8%D0%BD%D0%BE%D0%B2" TargetMode="External"/><Relationship Id="rId54" Type="http://schemas.openxmlformats.org/officeDocument/2006/relationships/hyperlink" Target="http://www.top-manager.ru/?a=1&amp;id=649" TargetMode="External"/><Relationship Id="rId62" Type="http://schemas.openxmlformats.org/officeDocument/2006/relationships/hyperlink" Target="http://istmat.info/node/44814" TargetMode="External"/><Relationship Id="rId70" Type="http://schemas.openxmlformats.org/officeDocument/2006/relationships/hyperlink" Target="http://istmat.info/node/44820" TargetMode="External"/><Relationship Id="rId75" Type="http://schemas.openxmlformats.org/officeDocument/2006/relationships/hyperlink" Target="http://istmat.info/node/44814" TargetMode="External"/><Relationship Id="rId83"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airwar.ru/enc/bww1/sopwith860.html" TargetMode="External"/><Relationship Id="rId15" Type="http://schemas.openxmlformats.org/officeDocument/2006/relationships/hyperlink" Target="http://istmat.info/node/44814" TargetMode="External"/><Relationship Id="rId23" Type="http://schemas.openxmlformats.org/officeDocument/2006/relationships/hyperlink" Target="http://istmat.info/node/44814" TargetMode="External"/><Relationship Id="rId28" Type="http://schemas.openxmlformats.org/officeDocument/2006/relationships/hyperlink" Target="http://airspot.ru/catalogue/item/sopwith-pup" TargetMode="External"/><Relationship Id="rId36" Type="http://schemas.openxmlformats.org/officeDocument/2006/relationships/hyperlink" Target="http://wwi.hut2.ru/zepp/air.htm" TargetMode="External"/><Relationship Id="rId49" Type="http://schemas.openxmlformats.org/officeDocument/2006/relationships/hyperlink" Target="http://www.militaryfactory.com/imageviewer/shp/...urrentDescriptor=Bow" TargetMode="External"/><Relationship Id="rId57" Type="http://schemas.openxmlformats.org/officeDocument/2006/relationships/hyperlink" Target="http://www.airwar.ru/enc/bww1/zsr4.html" TargetMode="External"/><Relationship Id="rId10" Type="http://schemas.openxmlformats.org/officeDocument/2006/relationships/hyperlink" Target="https://www.litres.ru/book/a-u-lashkov/vozdushnyy-front-pervoy-mirovoy-borba-za-gospodstvo-v-vozduhe-68485612/chitat-onlayn/?page=2" TargetMode="External"/><Relationship Id="rId31" Type="http://schemas.openxmlformats.org/officeDocument/2006/relationships/hyperlink" Target="http://sergeyhry.narod.ru/txt/sidorov_a_l/econom_rus_ww1_002.htm" TargetMode="External"/><Relationship Id="rId44" Type="http://schemas.openxmlformats.org/officeDocument/2006/relationships/hyperlink" Target="http://en.wikipedia.org/wiki/Gas_mask" TargetMode="External"/><Relationship Id="rId52" Type="http://schemas.openxmlformats.org/officeDocument/2006/relationships/hyperlink" Target="https://cosmatica.org/glossary/127-zadacha.html" TargetMode="External"/><Relationship Id="rId60" Type="http://schemas.openxmlformats.org/officeDocument/2006/relationships/hyperlink" Target="http://sergeyhry.narod.ru/txt/sidorov_a_l/econom_rus_ww1_002.htm" TargetMode="External"/><Relationship Id="rId65" Type="http://schemas.openxmlformats.org/officeDocument/2006/relationships/hyperlink" Target="http://istmat.info/node/44814" TargetMode="External"/><Relationship Id="rId73" Type="http://schemas.openxmlformats.org/officeDocument/2006/relationships/hyperlink" Target="http://istmat.info/node/44814" TargetMode="External"/><Relationship Id="rId78" Type="http://schemas.openxmlformats.org/officeDocument/2006/relationships/hyperlink" Target="http://economicarggu.ru/2002_5/01.shtml" TargetMode="External"/><Relationship Id="rId81" Type="http://schemas.openxmlformats.org/officeDocument/2006/relationships/hyperlink" Target="http://www.rpg-club.com/x1000" TargetMode="External"/><Relationship Id="rId4" Type="http://schemas.openxmlformats.org/officeDocument/2006/relationships/webSettings" Target="webSettings.xml"/><Relationship Id="rId9" Type="http://schemas.openxmlformats.org/officeDocument/2006/relationships/hyperlink" Target="http://airspot.ru/catalogue/item/mann-grimmer-m-1" TargetMode="External"/><Relationship Id="rId13" Type="http://schemas.openxmlformats.org/officeDocument/2006/relationships/hyperlink" Target="http://istmat.info/node/44814" TargetMode="External"/><Relationship Id="rId18" Type="http://schemas.openxmlformats.org/officeDocument/2006/relationships/hyperlink" Target="http://istmat.info/node/44817" TargetMode="External"/><Relationship Id="rId39" Type="http://schemas.openxmlformats.org/officeDocument/2006/relationships/hyperlink" Target="https://www.litres.ru/book/a-u-lashkov/vozdushnyy-front-pervoy-mirovoy-borba-za-gospodstvo-v-vozduhe-68485612/chitat-onlayn/?page=2" TargetMode="External"/><Relationship Id="rId34" Type="http://schemas.openxmlformats.org/officeDocument/2006/relationships/hyperlink" Target="http://flyingmachines.ru/Site2/Crafts/Craft25729.htm" TargetMode="External"/><Relationship Id="rId50" Type="http://schemas.openxmlformats.org/officeDocument/2006/relationships/hyperlink" Target="http://ru.wikipedia.org/wiki/%D0%9C%D0%B0%D0%BD%D0%B8%D0%BA%D0%BE%D0%B2%D1%81%D0%BA%D0%B8%D0%B9%2C_%D0%90%D0%BB%D0%B5%D0%BA%D1%81%D0%B5%D0%B9_%D0%90%D0%BB%D0%B5%D0%BA%D1%81%D0%B5%D0%B5%D0%B2%D0%B8%D1%87" TargetMode="External"/><Relationship Id="rId55" Type="http://schemas.openxmlformats.org/officeDocument/2006/relationships/hyperlink" Target="http://www.supotnitskiy.ru/book/book5_3_12.htm" TargetMode="External"/><Relationship Id="rId76" Type="http://schemas.openxmlformats.org/officeDocument/2006/relationships/hyperlink" Target="http://istmat.info/node/44814" TargetMode="External"/><Relationship Id="rId7" Type="http://schemas.openxmlformats.org/officeDocument/2006/relationships/hyperlink" Target="http://www.airwar.ru/enc/fww1/msl.html" TargetMode="External"/><Relationship Id="rId71" Type="http://schemas.openxmlformats.org/officeDocument/2006/relationships/hyperlink" Target="http://istmat.info/node/44814" TargetMode="External"/><Relationship Id="rId2" Type="http://schemas.openxmlformats.org/officeDocument/2006/relationships/styles" Target="styles.xml"/><Relationship Id="rId29" Type="http://schemas.openxmlformats.org/officeDocument/2006/relationships/hyperlink" Target="http://www.belrussia.ru/forum/viewtopic.php?p=9...dbf78c4f500a98be4014" TargetMode="External"/><Relationship Id="rId24" Type="http://schemas.openxmlformats.org/officeDocument/2006/relationships/hyperlink" Target="http://istmat.info/node/44814" TargetMode="External"/><Relationship Id="rId40" Type="http://schemas.openxmlformats.org/officeDocument/2006/relationships/hyperlink" Target="http://www.hrono.info/biograf/bio_ya/yanushkevich.html" TargetMode="External"/><Relationship Id="rId45" Type="http://schemas.openxmlformats.org/officeDocument/2006/relationships/hyperlink" Target="http://www.airwar.ru/enc/bww1/im.html" TargetMode="External"/><Relationship Id="rId66" Type="http://schemas.openxmlformats.org/officeDocument/2006/relationships/hyperlink" Target="http://istmat.info/node/4481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4450</TotalTime>
  <Pages>744</Pages>
  <Words>825831</Words>
  <Characters>4707241</Characters>
  <Application>Microsoft Office Word</Application>
  <DocSecurity>0</DocSecurity>
  <Lines>39227</Lines>
  <Paragraphs>11044</Paragraphs>
  <ScaleCrop>false</ScaleCrop>
  <HeadingPairs>
    <vt:vector size="2" baseType="variant">
      <vt:variant>
        <vt:lpstr>Название</vt:lpstr>
      </vt:variant>
      <vt:variant>
        <vt:i4>1</vt:i4>
      </vt:variant>
    </vt:vector>
  </HeadingPairs>
  <TitlesOfParts>
    <vt:vector size="1" baseType="lpstr">
      <vt:lpstr>1914</vt:lpstr>
    </vt:vector>
  </TitlesOfParts>
  <Company>TOSHIBA</Company>
  <LinksUpToDate>false</LinksUpToDate>
  <CharactersWithSpaces>5522028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1914</dc:title>
  <dc:creator>User</dc:creator>
  <cp:lastModifiedBy>Иван Родионов</cp:lastModifiedBy>
  <cp:revision>431</cp:revision>
  <cp:lastPrinted>1899-12-31T21:00:00Z</cp:lastPrinted>
  <dcterms:created xsi:type="dcterms:W3CDTF">2022-10-18T10:39:00Z</dcterms:created>
  <dcterms:modified xsi:type="dcterms:W3CDTF">2026-07-07T05:25:00Z</dcterms:modified>
</cp:coreProperties>
</file>